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B0944" w14:textId="77777777" w:rsidR="00A60E6E" w:rsidRDefault="00A60E6E" w:rsidP="00A60E6E">
      <w:pPr>
        <w:jc w:val="center"/>
        <w:rPr>
          <w:b/>
          <w:bCs/>
          <w:color w:val="4F81BD" w:themeColor="accent1"/>
          <w:sz w:val="94"/>
          <w:szCs w:val="94"/>
        </w:rPr>
      </w:pPr>
      <w:bookmarkStart w:id="0" w:name="_Toc24883508"/>
      <w:r>
        <w:rPr>
          <w:b/>
          <w:bCs/>
          <w:color w:val="4F81BD" w:themeColor="accent1"/>
          <w:sz w:val="94"/>
          <w:szCs w:val="94"/>
          <w:rtl/>
        </w:rPr>
        <w:t>שלחן ערוך מהמקורות</w:t>
      </w:r>
    </w:p>
    <w:p w14:paraId="2FBF44AE" w14:textId="77777777" w:rsidR="00A60E6E" w:rsidRDefault="00A60E6E" w:rsidP="00A60E6E">
      <w:pPr>
        <w:jc w:val="center"/>
        <w:rPr>
          <w:b/>
          <w:bCs/>
          <w:color w:val="4F81BD" w:themeColor="accent1"/>
          <w:sz w:val="94"/>
          <w:szCs w:val="94"/>
          <w:rtl/>
        </w:rPr>
      </w:pPr>
    </w:p>
    <w:p w14:paraId="57BA8BEB" w14:textId="2773D2E0" w:rsidR="00A60E6E" w:rsidRPr="00A60E6E" w:rsidRDefault="00A60E6E" w:rsidP="00A60E6E">
      <w:pPr>
        <w:jc w:val="center"/>
        <w:rPr>
          <w:b/>
          <w:bCs/>
          <w:color w:val="4F81BD" w:themeColor="accent1"/>
          <w:sz w:val="46"/>
          <w:szCs w:val="46"/>
          <w:rtl/>
        </w:rPr>
      </w:pPr>
      <w:r>
        <w:rPr>
          <w:rFonts w:hint="cs"/>
          <w:b/>
          <w:bCs/>
          <w:color w:val="4F81BD" w:themeColor="accent1"/>
          <w:sz w:val="62"/>
          <w:szCs w:val="62"/>
          <w:rtl/>
        </w:rPr>
        <w:t>יורה דעה</w:t>
      </w:r>
      <w:r>
        <w:rPr>
          <w:b/>
          <w:bCs/>
          <w:color w:val="4F81BD" w:themeColor="accent1"/>
          <w:sz w:val="62"/>
          <w:szCs w:val="62"/>
          <w:rtl/>
        </w:rPr>
        <w:t xml:space="preserve">: </w:t>
      </w:r>
      <w:r w:rsidRPr="00A60E6E">
        <w:rPr>
          <w:rFonts w:hint="cs"/>
          <w:b/>
          <w:bCs/>
          <w:color w:val="4F81BD" w:themeColor="accent1"/>
          <w:sz w:val="62"/>
          <w:szCs w:val="62"/>
          <w:rtl/>
        </w:rPr>
        <w:t>סט-עח, פד, פז-קיג, קטו, קכ-קכב</w:t>
      </w:r>
      <w:r>
        <w:rPr>
          <w:rFonts w:hint="cs"/>
          <w:b/>
          <w:bCs/>
          <w:color w:val="4F81BD" w:themeColor="accent1"/>
          <w:sz w:val="46"/>
          <w:szCs w:val="46"/>
          <w:rtl/>
        </w:rPr>
        <w:t xml:space="preserve"> </w:t>
      </w:r>
      <w:r w:rsidRPr="00A60E6E">
        <w:rPr>
          <w:rFonts w:hint="cs"/>
          <w:b/>
          <w:bCs/>
          <w:color w:val="4F81BD" w:themeColor="accent1"/>
          <w:sz w:val="18"/>
          <w:szCs w:val="18"/>
          <w:rtl/>
        </w:rPr>
        <w:t>(הסימנים אינם עוקבים כיון שסידרתים לפי הנצרך למבחני הרבנות)</w:t>
      </w:r>
    </w:p>
    <w:p w14:paraId="2A96A5DE" w14:textId="75558D2D" w:rsidR="00A60E6E" w:rsidRDefault="00A60E6E" w:rsidP="00A60E6E">
      <w:pPr>
        <w:jc w:val="center"/>
        <w:rPr>
          <w:color w:val="FF0000"/>
          <w:rtl/>
        </w:rPr>
      </w:pPr>
      <w:r>
        <w:rPr>
          <w:b/>
          <w:bCs/>
          <w:color w:val="4F81BD" w:themeColor="accent1"/>
          <w:sz w:val="62"/>
          <w:szCs w:val="62"/>
          <w:rtl/>
        </w:rPr>
        <w:t xml:space="preserve">הלכות </w:t>
      </w:r>
      <w:bookmarkEnd w:id="0"/>
      <w:r>
        <w:rPr>
          <w:rFonts w:hint="cs"/>
          <w:b/>
          <w:bCs/>
          <w:color w:val="4F81BD" w:themeColor="accent1"/>
          <w:sz w:val="62"/>
          <w:szCs w:val="62"/>
          <w:rtl/>
        </w:rPr>
        <w:t>איסור והיתר</w:t>
      </w:r>
      <w:r>
        <w:rPr>
          <w:b/>
          <w:bCs/>
          <w:color w:val="4F81BD" w:themeColor="accent1"/>
          <w:sz w:val="62"/>
          <w:szCs w:val="62"/>
          <w:rtl/>
        </w:rPr>
        <w:t xml:space="preserve"> </w:t>
      </w:r>
      <w:r>
        <w:rPr>
          <w:b/>
          <w:bCs/>
          <w:color w:val="4F81BD" w:themeColor="accent1"/>
          <w:sz w:val="68"/>
          <w:szCs w:val="68"/>
          <w:rtl/>
        </w:rPr>
        <w:br/>
      </w:r>
    </w:p>
    <w:p w14:paraId="7065F3E9" w14:textId="77777777" w:rsidR="00A60E6E" w:rsidRDefault="00A60E6E" w:rsidP="00A60E6E">
      <w:pPr>
        <w:bidi w:val="0"/>
        <w:spacing w:after="0"/>
        <w:rPr>
          <w:color w:val="FF0000"/>
          <w:rtl/>
        </w:rPr>
        <w:sectPr w:rsidR="00A60E6E">
          <w:footnotePr>
            <w:numRestart w:val="eachSect"/>
          </w:footnotePr>
          <w:pgSz w:w="11906" w:h="16838"/>
          <w:pgMar w:top="1440" w:right="1800" w:bottom="1440" w:left="1800" w:header="720" w:footer="720" w:gutter="0"/>
          <w:cols w:space="720"/>
          <w:bidi/>
          <w:rtlGutter/>
        </w:sectPr>
      </w:pPr>
    </w:p>
    <w:p w14:paraId="124B2FAD" w14:textId="77777777" w:rsidR="00A60E6E" w:rsidRDefault="00A60E6E" w:rsidP="00A60E6E">
      <w:pPr>
        <w:pStyle w:val="2"/>
        <w:rPr>
          <w:b w:val="0"/>
          <w:rtl/>
        </w:rPr>
      </w:pPr>
      <w:r>
        <w:rPr>
          <w:rtl/>
        </w:rPr>
        <w:lastRenderedPageBreak/>
        <w:t>מטרות הספר</w:t>
      </w:r>
    </w:p>
    <w:p w14:paraId="6970C767" w14:textId="77777777" w:rsidR="00A60E6E" w:rsidRDefault="00A60E6E" w:rsidP="00A60E6E">
      <w:pPr>
        <w:pStyle w:val="a8"/>
        <w:numPr>
          <w:ilvl w:val="0"/>
          <w:numId w:val="339"/>
        </w:numPr>
        <w:spacing w:after="160" w:line="256" w:lineRule="auto"/>
        <w:rPr>
          <w:rtl/>
        </w:rPr>
      </w:pPr>
      <w:r>
        <w:rPr>
          <w:rtl/>
        </w:rPr>
        <w:t>לימוד ההלכה מהמקורות, על פי סדר השלחן ערוך, בצורה מלאה</w:t>
      </w:r>
      <w:r>
        <w:rPr>
          <w:rStyle w:val="a7"/>
          <w:rtl/>
        </w:rPr>
        <w:footnoteReference w:id="1"/>
      </w:r>
      <w:r>
        <w:rPr>
          <w:rtl/>
        </w:rPr>
        <w:t xml:space="preserve"> ללא דילוג קיצור או סיכום. וזאת על מנת שתיהיה תורתנו כללים כללים, ועל מנת שנוכל להבין את הסברא מאחורי שמאחורי ההלכה הפסוקה, ובכך התורה פחות תשתכח ממנו בע"ה, וכן כדי שנוכל לדעת כיצד לפסוק במקרים שלא מובאים במפורש בהלכה הפסוקה.</w:t>
      </w:r>
    </w:p>
    <w:p w14:paraId="269EA62B" w14:textId="77777777" w:rsidR="00A60E6E" w:rsidRDefault="00A60E6E" w:rsidP="00A60E6E">
      <w:pPr>
        <w:pStyle w:val="a8"/>
        <w:numPr>
          <w:ilvl w:val="0"/>
          <w:numId w:val="339"/>
        </w:numPr>
        <w:spacing w:after="160" w:line="256" w:lineRule="auto"/>
      </w:pPr>
      <w:r>
        <w:rPr>
          <w:rtl/>
        </w:rPr>
        <w:t>לימוד מספר אחד שיאגד בתוכו את כל השכבות הנצרכות ללימוד ההלכה.</w:t>
      </w:r>
    </w:p>
    <w:p w14:paraId="2F597ABE" w14:textId="77777777" w:rsidR="00A60E6E" w:rsidRDefault="00A60E6E" w:rsidP="00A60E6E">
      <w:pPr>
        <w:pStyle w:val="a8"/>
        <w:numPr>
          <w:ilvl w:val="0"/>
          <w:numId w:val="339"/>
        </w:numPr>
        <w:spacing w:after="160" w:line="256" w:lineRule="auto"/>
      </w:pPr>
      <w:r>
        <w:rPr>
          <w:rtl/>
        </w:rPr>
        <w:t xml:space="preserve">ספר שיתאים: </w:t>
      </w:r>
      <w:r>
        <w:rPr>
          <w:rtl/>
        </w:rPr>
        <w:br/>
        <w:t>לתלמידי חכמים - שרוצים להעמיק/להזכר בסוגיא</w:t>
      </w:r>
      <w:r>
        <w:rPr>
          <w:rStyle w:val="a7"/>
          <w:rtl/>
        </w:rPr>
        <w:footnoteReference w:id="2"/>
      </w:r>
      <w:r>
        <w:rPr>
          <w:rtl/>
        </w:rPr>
        <w:t xml:space="preserve"> </w:t>
      </w:r>
      <w:r>
        <w:rPr>
          <w:rtl/>
        </w:rPr>
        <w:br/>
        <w:t xml:space="preserve">לבעלי בתים - שרוצים ללמוד בצורה יותר קלה תוך הבנת עומק הסברא. </w:t>
      </w:r>
      <w:r>
        <w:rPr>
          <w:rtl/>
        </w:rPr>
        <w:br/>
        <w:t>וכן לכל אלו שרוצים לעשות חזרות על מה שלמדו בצורה מהירה</w:t>
      </w:r>
      <w:r>
        <w:rPr>
          <w:rStyle w:val="a7"/>
          <w:rtl/>
        </w:rPr>
        <w:footnoteReference w:id="3"/>
      </w:r>
      <w:r>
        <w:rPr>
          <w:rtl/>
        </w:rPr>
        <w:t>.</w:t>
      </w:r>
    </w:p>
    <w:p w14:paraId="16C68A91" w14:textId="77777777" w:rsidR="00A60E6E" w:rsidRDefault="00A60E6E" w:rsidP="00A60E6E">
      <w:pPr>
        <w:pStyle w:val="a8"/>
        <w:numPr>
          <w:ilvl w:val="0"/>
          <w:numId w:val="339"/>
        </w:numPr>
        <w:spacing w:after="160" w:line="256" w:lineRule="auto"/>
      </w:pPr>
      <w:r>
        <w:rPr>
          <w:rtl/>
        </w:rPr>
        <w:t xml:space="preserve">ספר הניתן לעריכה (ב- </w:t>
      </w:r>
      <w:r>
        <w:t>word</w:t>
      </w:r>
      <w:r>
        <w:rPr>
          <w:rtl/>
        </w:rPr>
        <w:t xml:space="preserve"> וכדו'), כדי שכל לומד יוכל לשנות להוסיף לשנות להרחיב או לקצר. וכך יוכל הלומד לחפש את שאלתו בצורה מהירה, להסיף את מסקנותיו עם השנים. להשוות בין סוגיות בקלות ובמהירות, ועוד מעלות רבות הידועות ללומדים מתוך מחשב.</w:t>
      </w:r>
    </w:p>
    <w:p w14:paraId="59BE9159" w14:textId="77777777" w:rsidR="00A60E6E" w:rsidRDefault="00A60E6E" w:rsidP="00A60E6E">
      <w:pPr>
        <w:pStyle w:val="2"/>
        <w:rPr>
          <w:b w:val="0"/>
          <w:rtl/>
        </w:rPr>
      </w:pPr>
      <w:r>
        <w:rPr>
          <w:rtl/>
        </w:rPr>
        <w:t>מעלות הספר</w:t>
      </w:r>
    </w:p>
    <w:p w14:paraId="7EDAF7C4" w14:textId="77777777" w:rsidR="00A60E6E" w:rsidRDefault="00A60E6E" w:rsidP="00A60E6E">
      <w:pPr>
        <w:rPr>
          <w:u w:val="single"/>
          <w:rtl/>
        </w:rPr>
      </w:pPr>
      <w:r>
        <w:rPr>
          <w:u w:val="single"/>
          <w:rtl/>
        </w:rPr>
        <w:t>מקורות:</w:t>
      </w:r>
    </w:p>
    <w:p w14:paraId="316024BF" w14:textId="77777777" w:rsidR="00A60E6E" w:rsidRDefault="00A60E6E" w:rsidP="00A60E6E">
      <w:pPr>
        <w:pStyle w:val="a8"/>
        <w:numPr>
          <w:ilvl w:val="0"/>
          <w:numId w:val="340"/>
        </w:numPr>
        <w:spacing w:after="160" w:line="256" w:lineRule="auto"/>
        <w:rPr>
          <w:rtl/>
        </w:rPr>
      </w:pPr>
      <w:r>
        <w:rPr>
          <w:rtl/>
        </w:rPr>
        <w:t>המקורות (משנה, תלמוד ירושלמי, תלמוד בבלי, מדרשי הלכה) הועתקו וסודרו בצורה שלמה ורציפה, תוך השמטת הקטעים שלא נוגעים לעניין המדובר.</w:t>
      </w:r>
    </w:p>
    <w:p w14:paraId="506E87AE" w14:textId="77777777" w:rsidR="00A60E6E" w:rsidRDefault="00A60E6E" w:rsidP="00A60E6E">
      <w:pPr>
        <w:pStyle w:val="a8"/>
        <w:numPr>
          <w:ilvl w:val="0"/>
          <w:numId w:val="340"/>
        </w:numPr>
        <w:spacing w:after="160" w:line="256" w:lineRule="auto"/>
      </w:pPr>
      <w:r>
        <w:rPr>
          <w:rtl/>
        </w:rPr>
        <w:t xml:space="preserve">ציון מדוייק של מקור הדברים. וכן ציון של מעבר בין דפי/עמודי הגמרא. </w:t>
      </w:r>
    </w:p>
    <w:p w14:paraId="3B580550" w14:textId="77777777" w:rsidR="00A60E6E" w:rsidRDefault="00A60E6E" w:rsidP="00A60E6E">
      <w:pPr>
        <w:pStyle w:val="a8"/>
        <w:numPr>
          <w:ilvl w:val="0"/>
          <w:numId w:val="340"/>
        </w:numPr>
        <w:spacing w:after="160" w:line="256" w:lineRule="auto"/>
      </w:pPr>
      <w:r>
        <w:rPr>
          <w:rtl/>
        </w:rPr>
        <w:t xml:space="preserve">גרסאות מתוקנות על פי הראשונים והאחרונים הדנים בסוגייא. </w:t>
      </w:r>
    </w:p>
    <w:p w14:paraId="3AD0A581" w14:textId="77777777" w:rsidR="00A60E6E" w:rsidRDefault="00A60E6E" w:rsidP="00A60E6E">
      <w:pPr>
        <w:pStyle w:val="a8"/>
        <w:numPr>
          <w:ilvl w:val="0"/>
          <w:numId w:val="340"/>
        </w:numPr>
        <w:spacing w:after="160" w:line="256" w:lineRule="auto"/>
      </w:pPr>
      <w:r>
        <w:rPr>
          <w:rtl/>
        </w:rPr>
        <w:t xml:space="preserve">נוספו מקורות שהובאו בראשונים או באחרונים </w:t>
      </w:r>
      <w:r>
        <w:rPr>
          <w:sz w:val="16"/>
          <w:szCs w:val="16"/>
          <w:rtl/>
        </w:rPr>
        <w:t>(ציוני הגר"א באר הגולה ושאר אחרונים)</w:t>
      </w:r>
      <w:r>
        <w:rPr>
          <w:rtl/>
        </w:rPr>
        <w:t xml:space="preserve"> אע"פ שלא הובאו בב"י, מכיון שהן נצרכות להבנת/הרחבת הסוגיא. </w:t>
      </w:r>
    </w:p>
    <w:p w14:paraId="716A1EBA" w14:textId="77777777" w:rsidR="00A60E6E" w:rsidRDefault="00A60E6E" w:rsidP="00A60E6E">
      <w:pPr>
        <w:pStyle w:val="a8"/>
        <w:numPr>
          <w:ilvl w:val="0"/>
          <w:numId w:val="340"/>
        </w:numPr>
        <w:spacing w:after="160" w:line="256" w:lineRule="auto"/>
      </w:pPr>
      <w:r>
        <w:rPr>
          <w:rtl/>
        </w:rPr>
        <w:t>כל מה שכתבו הטור הב"י והדרכ"מ - העותקו לספר זה. למעט דברים שנכפלו בחינם, או אריכות של קושיות ופירוקים, או שהפוסקים הנ"ל העתיקו את לשון הגמרא או הראשונים שאז העתקי את המקור ומחקתי את מה שהם העתיקו</w:t>
      </w:r>
      <w:r>
        <w:rPr>
          <w:rStyle w:val="a7"/>
          <w:rtl/>
        </w:rPr>
        <w:footnoteReference w:id="4"/>
      </w:r>
      <w:r>
        <w:rPr>
          <w:rtl/>
        </w:rPr>
        <w:t xml:space="preserve">.  </w:t>
      </w:r>
    </w:p>
    <w:p w14:paraId="0F29AFBF" w14:textId="77777777" w:rsidR="00A60E6E" w:rsidRDefault="00A60E6E" w:rsidP="00A60E6E">
      <w:pPr>
        <w:rPr>
          <w:u w:val="single"/>
          <w:rtl/>
        </w:rPr>
      </w:pPr>
      <w:r>
        <w:rPr>
          <w:u w:val="single"/>
          <w:rtl/>
        </w:rPr>
        <w:t xml:space="preserve">פוסקים: </w:t>
      </w:r>
    </w:p>
    <w:p w14:paraId="4D47F4B3" w14:textId="77777777" w:rsidR="00A60E6E" w:rsidRDefault="00A60E6E" w:rsidP="00A60E6E">
      <w:pPr>
        <w:pStyle w:val="a8"/>
        <w:numPr>
          <w:ilvl w:val="0"/>
          <w:numId w:val="341"/>
        </w:numPr>
        <w:spacing w:after="160" w:line="256" w:lineRule="auto"/>
        <w:rPr>
          <w:rtl/>
        </w:rPr>
      </w:pPr>
      <w:r>
        <w:rPr>
          <w:rtl/>
        </w:rPr>
        <w:t>דברי הראשונים ואחרונים מובאים בלשונם אחת לאחת! כדי שכל אחד יוכל לעמוד על כוונתם ללא הטיית העורך. לפעמים הבאנו מספר לשונות</w:t>
      </w:r>
      <w:r>
        <w:rPr>
          <w:rStyle w:val="a7"/>
          <w:rtl/>
        </w:rPr>
        <w:footnoteReference w:id="5"/>
      </w:r>
      <w:r>
        <w:rPr>
          <w:rtl/>
        </w:rPr>
        <w:t xml:space="preserve"> אע"פ שמסכימים לדעה אחת, וזאת כיון שאפשר לדייק מהם פרטי דינים נוספים. </w:t>
      </w:r>
    </w:p>
    <w:p w14:paraId="5C834759" w14:textId="77777777" w:rsidR="00A60E6E" w:rsidRDefault="00A60E6E" w:rsidP="00A60E6E">
      <w:pPr>
        <w:pStyle w:val="a8"/>
        <w:numPr>
          <w:ilvl w:val="0"/>
          <w:numId w:val="341"/>
        </w:numPr>
        <w:spacing w:after="160" w:line="256" w:lineRule="auto"/>
      </w:pPr>
      <w:r>
        <w:rPr>
          <w:rtl/>
        </w:rPr>
        <w:t>דברי הראשונים הועתקו בצורה מלאה, אע"פ שהב"י העתיק רק חלק מדבריהם. וזאת על מנת שנוכל לעמוד על דבריהם בצורה הטובה ביותר.</w:t>
      </w:r>
    </w:p>
    <w:p w14:paraId="335516BF" w14:textId="77777777" w:rsidR="00A60E6E" w:rsidRDefault="00A60E6E" w:rsidP="00A60E6E">
      <w:pPr>
        <w:pStyle w:val="a8"/>
        <w:numPr>
          <w:ilvl w:val="0"/>
          <w:numId w:val="341"/>
        </w:numPr>
        <w:spacing w:after="160" w:line="256" w:lineRule="auto"/>
      </w:pPr>
      <w:r>
        <w:rPr>
          <w:rtl/>
        </w:rPr>
        <w:t>הובאו ראשונים שלא הובאו בבית יוסף, הן כאלו שלא היו לפניו, והן כאלו שהאחרונים הוציאו מהם דינים נוספים או שונים.</w:t>
      </w:r>
    </w:p>
    <w:p w14:paraId="62566910" w14:textId="77777777" w:rsidR="00A60E6E" w:rsidRDefault="00A60E6E" w:rsidP="00A60E6E">
      <w:pPr>
        <w:pStyle w:val="a8"/>
        <w:numPr>
          <w:ilvl w:val="0"/>
          <w:numId w:val="341"/>
        </w:numPr>
        <w:spacing w:after="160" w:line="256" w:lineRule="auto"/>
      </w:pPr>
      <w:r>
        <w:rPr>
          <w:rtl/>
        </w:rPr>
        <w:t>ציון מקורות מדוייקים לדברי הראשונים והאחרונים. וכן שינוי הציונים שצויינו בטעות על דברי הרמ"א.</w:t>
      </w:r>
    </w:p>
    <w:p w14:paraId="28097630" w14:textId="77777777" w:rsidR="00A60E6E" w:rsidRDefault="00A60E6E" w:rsidP="00A60E6E">
      <w:pPr>
        <w:rPr>
          <w:u w:val="single"/>
          <w:rtl/>
        </w:rPr>
      </w:pPr>
      <w:r>
        <w:rPr>
          <w:u w:val="single"/>
          <w:rtl/>
        </w:rPr>
        <w:t xml:space="preserve">סדר, ליקוט, השוואה, חיבור והרחבה: </w:t>
      </w:r>
    </w:p>
    <w:p w14:paraId="0E07CE15" w14:textId="77777777" w:rsidR="00A60E6E" w:rsidRDefault="00A60E6E" w:rsidP="00A60E6E">
      <w:pPr>
        <w:pStyle w:val="a8"/>
        <w:numPr>
          <w:ilvl w:val="0"/>
          <w:numId w:val="342"/>
        </w:numPr>
        <w:spacing w:after="160" w:line="256" w:lineRule="auto"/>
        <w:rPr>
          <w:rtl/>
        </w:rPr>
      </w:pPr>
      <w:r>
        <w:rPr>
          <w:rtl/>
        </w:rPr>
        <w:t xml:space="preserve">הספר ערוך על סדר השלחן ערוך, כשבכל סעיף הבאנו את דברי הגמרא והראשונים השייכים לאותו סעיף. </w:t>
      </w:r>
    </w:p>
    <w:p w14:paraId="5C79A969" w14:textId="77777777" w:rsidR="00A60E6E" w:rsidRDefault="00A60E6E" w:rsidP="00A60E6E">
      <w:pPr>
        <w:pStyle w:val="a8"/>
        <w:numPr>
          <w:ilvl w:val="0"/>
          <w:numId w:val="342"/>
        </w:numPr>
        <w:spacing w:after="160" w:line="256" w:lineRule="auto"/>
      </w:pPr>
      <w:r>
        <w:rPr>
          <w:rtl/>
        </w:rPr>
        <w:t>בכל סעיף יש חלוקה לכותרות לפי הנושא המדובר, ותתי כותרות כדי לפתוח תת נושא היוצא מהכותרת הראשית.</w:t>
      </w:r>
    </w:p>
    <w:p w14:paraId="4264FA4F" w14:textId="77777777" w:rsidR="00A60E6E" w:rsidRDefault="00A60E6E" w:rsidP="00A60E6E">
      <w:pPr>
        <w:pStyle w:val="a8"/>
        <w:numPr>
          <w:ilvl w:val="0"/>
          <w:numId w:val="342"/>
        </w:numPr>
        <w:spacing w:after="160" w:line="256" w:lineRule="auto"/>
      </w:pPr>
      <w:r>
        <w:rPr>
          <w:rtl/>
        </w:rPr>
        <w:t>המקורות מפוסקים על מנת שיוכל הלומד לרוץ בהבנת הדברים.</w:t>
      </w:r>
    </w:p>
    <w:p w14:paraId="36E38862" w14:textId="77777777" w:rsidR="00A60E6E" w:rsidRDefault="00A60E6E" w:rsidP="00A60E6E">
      <w:pPr>
        <w:pStyle w:val="a8"/>
        <w:numPr>
          <w:ilvl w:val="0"/>
          <w:numId w:val="342"/>
        </w:numPr>
        <w:spacing w:after="160" w:line="256" w:lineRule="auto"/>
      </w:pPr>
      <w:r>
        <w:rPr>
          <w:rtl/>
        </w:rPr>
        <w:t>השוונו בין סימנים וסעיפים שמשלימים זה את זה, תוך ציון מהיכן נלקחו הדברים.</w:t>
      </w:r>
    </w:p>
    <w:p w14:paraId="51F3EFB7" w14:textId="77777777" w:rsidR="00A60E6E" w:rsidRDefault="00A60E6E" w:rsidP="00A60E6E">
      <w:pPr>
        <w:pStyle w:val="a8"/>
        <w:numPr>
          <w:ilvl w:val="0"/>
          <w:numId w:val="342"/>
        </w:numPr>
        <w:spacing w:after="160" w:line="256" w:lineRule="auto"/>
      </w:pPr>
      <w:r>
        <w:rPr>
          <w:rtl/>
        </w:rPr>
        <w:t>דברי הב"י שמפוזרים בכל מיני מקומות - לוקטו לסעיף המיועד.</w:t>
      </w:r>
    </w:p>
    <w:p w14:paraId="164030B3" w14:textId="77777777" w:rsidR="00A60E6E" w:rsidRDefault="00A60E6E" w:rsidP="00A60E6E">
      <w:pPr>
        <w:pStyle w:val="a8"/>
        <w:numPr>
          <w:ilvl w:val="0"/>
          <w:numId w:val="342"/>
        </w:numPr>
        <w:spacing w:after="160" w:line="256" w:lineRule="auto"/>
      </w:pPr>
      <w:r>
        <w:rPr>
          <w:rtl/>
        </w:rPr>
        <w:t>פתחתי ראשי תיבות מסובכים.</w:t>
      </w:r>
    </w:p>
    <w:p w14:paraId="3799081D" w14:textId="77777777" w:rsidR="00A60E6E" w:rsidRDefault="00A60E6E" w:rsidP="00A60E6E">
      <w:pPr>
        <w:pStyle w:val="a8"/>
        <w:numPr>
          <w:ilvl w:val="0"/>
          <w:numId w:val="342"/>
        </w:numPr>
        <w:spacing w:after="160" w:line="256" w:lineRule="auto"/>
      </w:pPr>
      <w:r>
        <w:rPr>
          <w:rtl/>
        </w:rPr>
        <w:t>מושגים קשים שאינם מהסוגייא - הרחבתי/הפשטתי על מנת שיוכל הלומד לרוץ בלימוד.</w:t>
      </w:r>
    </w:p>
    <w:p w14:paraId="04D90626" w14:textId="77777777" w:rsidR="00A60E6E" w:rsidRDefault="00A60E6E" w:rsidP="00A60E6E">
      <w:pPr>
        <w:rPr>
          <w:u w:val="single"/>
        </w:rPr>
      </w:pPr>
      <w:r>
        <w:rPr>
          <w:u w:val="single"/>
          <w:rtl/>
        </w:rPr>
        <w:lastRenderedPageBreak/>
        <w:t>אחרונים:</w:t>
      </w:r>
    </w:p>
    <w:p w14:paraId="14CD8978" w14:textId="77777777" w:rsidR="00A60E6E" w:rsidRDefault="00A60E6E" w:rsidP="00A60E6E">
      <w:pPr>
        <w:pStyle w:val="a8"/>
        <w:numPr>
          <w:ilvl w:val="0"/>
          <w:numId w:val="343"/>
        </w:numPr>
        <w:spacing w:after="160" w:line="256" w:lineRule="auto"/>
        <w:rPr>
          <w:rtl/>
        </w:rPr>
      </w:pPr>
      <w:r>
        <w:rPr>
          <w:rtl/>
        </w:rPr>
        <w:t xml:space="preserve">כמעט ולא הבאתי מדברי האחרונים בני דורנו בספר זה, וזאת משום שמטרת הספר היא ללמוד את מקורות ההלכה וסברתה. </w:t>
      </w:r>
    </w:p>
    <w:p w14:paraId="2C1F73C5" w14:textId="77777777" w:rsidR="00A60E6E" w:rsidRDefault="00A60E6E" w:rsidP="00A60E6E">
      <w:pPr>
        <w:rPr>
          <w:u w:val="single"/>
        </w:rPr>
      </w:pPr>
      <w:r>
        <w:rPr>
          <w:u w:val="single"/>
          <w:rtl/>
        </w:rPr>
        <w:t>סימנים:</w:t>
      </w:r>
    </w:p>
    <w:p w14:paraId="4DA928BA" w14:textId="77777777" w:rsidR="00A60E6E" w:rsidRDefault="00A60E6E" w:rsidP="00A60E6E">
      <w:pPr>
        <w:pStyle w:val="a8"/>
        <w:numPr>
          <w:ilvl w:val="0"/>
          <w:numId w:val="344"/>
        </w:numPr>
        <w:spacing w:after="160" w:line="256" w:lineRule="auto"/>
        <w:rPr>
          <w:rtl/>
        </w:rPr>
      </w:pPr>
      <w:r>
        <w:rPr>
          <w:rtl/>
        </w:rPr>
        <w:t xml:space="preserve">השתדלתי להביא על כל דף גמרא סימן, על מנת לזכור שהסוגיא הנלמדת נמצאת בדף המסוים הזה. למשל, במסכת בבא קמא דף צ"ז מובאת סוגיא בעניין </w:t>
      </w:r>
      <w:r>
        <w:rPr>
          <w:rFonts w:cs="Arial"/>
          <w:rtl/>
        </w:rPr>
        <w:t xml:space="preserve">המלוה את חבירו על המטבע ונפסל המטבע באותו מקום, באיזו מטבע צריך להחזיר לו. והסימן לסוגיא הוא - </w:t>
      </w:r>
      <w:r>
        <w:rPr>
          <w:rFonts w:cs="Arial"/>
          <w:b/>
          <w:bCs/>
          <w:rtl/>
        </w:rPr>
        <w:t>צ</w:t>
      </w:r>
      <w:r>
        <w:rPr>
          <w:rFonts w:cs="Arial"/>
          <w:rtl/>
        </w:rPr>
        <w:t xml:space="preserve">נחו </w:t>
      </w:r>
      <w:r>
        <w:rPr>
          <w:rFonts w:cs="Arial"/>
          <w:b/>
          <w:bCs/>
          <w:rtl/>
        </w:rPr>
        <w:t>ז</w:t>
      </w:r>
      <w:r>
        <w:rPr>
          <w:rFonts w:cs="Arial"/>
          <w:rtl/>
        </w:rPr>
        <w:t>וזים.</w:t>
      </w:r>
    </w:p>
    <w:p w14:paraId="6D8C5171" w14:textId="77777777" w:rsidR="00A60E6E" w:rsidRDefault="00A60E6E" w:rsidP="00A60E6E">
      <w:pPr>
        <w:pStyle w:val="2"/>
        <w:rPr>
          <w:rtl/>
        </w:rPr>
      </w:pPr>
      <w:r>
        <w:rPr>
          <w:rtl/>
        </w:rPr>
        <w:t>דברים אחדים</w:t>
      </w:r>
    </w:p>
    <w:p w14:paraId="3B1D4F24" w14:textId="77777777" w:rsidR="00A60E6E" w:rsidRDefault="00A60E6E" w:rsidP="00A60E6E">
      <w:pPr>
        <w:rPr>
          <w:rtl/>
        </w:rPr>
      </w:pPr>
      <w:r>
        <w:rPr>
          <w:rtl/>
        </w:rPr>
        <w:t>הספר אינו גמור, צריך בחלק מהמקומות עוד הגהה סידור השלמות וכו'. ה' יהיה בעזרי ואעשה זאת בלנ"ד בהמשך.</w:t>
      </w:r>
    </w:p>
    <w:p w14:paraId="6E71F1EA" w14:textId="77777777" w:rsidR="00A60E6E" w:rsidRDefault="00A60E6E" w:rsidP="00A60E6E">
      <w:pPr>
        <w:rPr>
          <w:rtl/>
        </w:rPr>
      </w:pPr>
      <w:r>
        <w:rPr>
          <w:rtl/>
        </w:rPr>
        <w:t xml:space="preserve">נשארו מספר מקומות שנשארתי בצריך עיון, חלקם סימנתי באדום. </w:t>
      </w:r>
    </w:p>
    <w:p w14:paraId="245A960C" w14:textId="77777777" w:rsidR="00A60E6E" w:rsidRDefault="00A60E6E" w:rsidP="00A60E6E">
      <w:pPr>
        <w:rPr>
          <w:rtl/>
        </w:rPr>
      </w:pPr>
      <w:r>
        <w:rPr>
          <w:rtl/>
        </w:rPr>
        <w:t>השם הטוב יהיה בעזרי ויזכני לסיים את החיבור על כל חלקי השלחן ערוך.</w:t>
      </w:r>
    </w:p>
    <w:p w14:paraId="423AFD89" w14:textId="77777777" w:rsidR="00A60E6E" w:rsidRDefault="00A60E6E" w:rsidP="00A60E6E">
      <w:pPr>
        <w:rPr>
          <w:rtl/>
        </w:rPr>
      </w:pPr>
      <w:r>
        <w:rPr>
          <w:rtl/>
        </w:rPr>
        <w:t xml:space="preserve">השארתי את הספר בקובץ וורד על מנת שכל אחד יוכל לתקן לשנות ולהוסיף כראות עיניו. </w:t>
      </w:r>
      <w:r>
        <w:rPr>
          <w:b/>
          <w:bCs/>
          <w:rtl/>
        </w:rPr>
        <w:t>עם זאת אבקש אם אפשר למי שמצא טעות שישלח לי על מנת שאוכל לבדוק, ואם אכן טעיתי - אתקן אצלי</w:t>
      </w:r>
      <w:r>
        <w:rPr>
          <w:rtl/>
        </w:rPr>
        <w:t xml:space="preserve">. </w:t>
      </w:r>
    </w:p>
    <w:p w14:paraId="6C1D4CEE" w14:textId="77777777" w:rsidR="00A60E6E" w:rsidRDefault="00A60E6E" w:rsidP="00A60E6E">
      <w:pPr>
        <w:rPr>
          <w:rtl/>
        </w:rPr>
      </w:pPr>
      <w:r>
        <w:rPr>
          <w:rtl/>
        </w:rPr>
        <w:t>למי שלומד מהמחשב מומלץ לחלק את הסיכום לכמה חלקים על מנת שהמחשב ירוץ ולא יתקע על כל שינוי בסיכום. או לחילופין לעבוד על מצב טיוטה (נמצא בתפריט תצוגה, מצד ימין). והאפשרות האחרונה עדיפה.</w:t>
      </w:r>
    </w:p>
    <w:p w14:paraId="3B1D3056" w14:textId="77777777" w:rsidR="00A60E6E" w:rsidRDefault="00A60E6E" w:rsidP="00A60E6E">
      <w:pPr>
        <w:rPr>
          <w:rtl/>
        </w:rPr>
      </w:pPr>
      <w:r>
        <w:rPr>
          <w:rtl/>
        </w:rPr>
        <w:t xml:space="preserve">אין להעתיק/להדפיס/לעשות מספר זה שום דבר שהוא לצורך מכירה/מסחר. </w:t>
      </w:r>
    </w:p>
    <w:p w14:paraId="69D4200B" w14:textId="77777777" w:rsidR="00A60E6E" w:rsidRDefault="00A60E6E" w:rsidP="00A60E6E">
      <w:pPr>
        <w:rPr>
          <w:rtl/>
        </w:rPr>
      </w:pPr>
      <w:r>
        <w:rPr>
          <w:rtl/>
        </w:rPr>
        <w:t>יצחק ממן</w:t>
      </w:r>
    </w:p>
    <w:p w14:paraId="09DE26CF" w14:textId="77777777" w:rsidR="00A60E6E" w:rsidRDefault="00A60E6E" w:rsidP="00A60E6E">
      <w:pPr>
        <w:rPr>
          <w:rtl/>
        </w:rPr>
      </w:pPr>
      <w:r>
        <w:rPr>
          <w:rtl/>
        </w:rPr>
        <w:t xml:space="preserve">מייל – </w:t>
      </w:r>
      <w:hyperlink r:id="rId7" w:history="1">
        <w:r>
          <w:rPr>
            <w:rStyle w:val="Hyperlink"/>
          </w:rPr>
          <w:t>itzakmaman@gmail.com</w:t>
        </w:r>
      </w:hyperlink>
      <w:r>
        <w:rPr>
          <w:rtl/>
        </w:rPr>
        <w:t xml:space="preserve">         </w:t>
      </w:r>
    </w:p>
    <w:p w14:paraId="2A837A63" w14:textId="77777777" w:rsidR="00A60E6E" w:rsidRDefault="00A60E6E" w:rsidP="00A60E6E">
      <w:pPr>
        <w:rPr>
          <w:rtl/>
        </w:rPr>
      </w:pPr>
      <w:r>
        <w:rPr>
          <w:rtl/>
        </w:rPr>
        <w:t xml:space="preserve">טלפון – 0545662712 </w:t>
      </w:r>
    </w:p>
    <w:p w14:paraId="10FB01BB" w14:textId="77777777" w:rsidR="00A60E6E" w:rsidRDefault="00A60E6E" w:rsidP="00A60E6E">
      <w:pPr>
        <w:rPr>
          <w:rtl/>
        </w:rPr>
      </w:pPr>
      <w:r>
        <w:rPr>
          <w:rtl/>
        </w:rPr>
        <w:t>בנוסף, אפשר להכנס לאתר 'ברית יצחק' (</w:t>
      </w:r>
      <w:r>
        <w:t>brit-itzak.com</w:t>
      </w:r>
      <w:r>
        <w:rPr>
          <w:rtl/>
        </w:rPr>
        <w:t xml:space="preserve">), שם אני מעדכן מדי פעם את הקבצים לפי ההתקדמות שלי. וכן יש שם טבלאות של סימנים לזכירת דפי הגמרא. </w:t>
      </w:r>
    </w:p>
    <w:p w14:paraId="087E2DA4" w14:textId="77777777" w:rsidR="00A60E6E" w:rsidRDefault="00A60E6E" w:rsidP="00A60E6E">
      <w:pPr>
        <w:rPr>
          <w:rtl/>
        </w:rPr>
      </w:pPr>
      <w:hyperlink r:id="rId8" w:history="1">
        <w:r>
          <w:rPr>
            <w:rStyle w:val="Hyperlink"/>
            <w:rtl/>
          </w:rPr>
          <w:t>לסכומי דיינות לחץ כאן</w:t>
        </w:r>
      </w:hyperlink>
      <w:r>
        <w:rPr>
          <w:rtl/>
        </w:rPr>
        <w:t xml:space="preserve"> </w:t>
      </w:r>
    </w:p>
    <w:p w14:paraId="6BA9A3B9" w14:textId="77777777" w:rsidR="00A60E6E" w:rsidRDefault="00A60E6E" w:rsidP="00A60E6E">
      <w:pPr>
        <w:rPr>
          <w:rFonts w:asciiTheme="minorBidi" w:hAnsiTheme="minorBidi"/>
        </w:rPr>
      </w:pPr>
      <w:hyperlink r:id="rId9" w:history="1">
        <w:r>
          <w:rPr>
            <w:rStyle w:val="Hyperlink"/>
            <w:rtl/>
          </w:rPr>
          <w:t>לסכומי רבנות לחץ כאן</w:t>
        </w:r>
      </w:hyperlink>
      <w:r>
        <w:rPr>
          <w:rtl/>
        </w:rPr>
        <w:t xml:space="preserve"> </w:t>
      </w:r>
    </w:p>
    <w:p w14:paraId="17B9D5F0" w14:textId="77777777" w:rsidR="00C43B8A" w:rsidRDefault="00C43B8A" w:rsidP="002C39F4">
      <w:pPr>
        <w:rPr>
          <w:rFonts w:asciiTheme="minorBidi" w:hAnsiTheme="minorBidi"/>
          <w:b/>
          <w:bCs/>
          <w:sz w:val="36"/>
          <w:szCs w:val="36"/>
          <w:u w:val="single"/>
          <w:rtl/>
        </w:rPr>
        <w:sectPr w:rsidR="00C43B8A" w:rsidSect="004C5A3C">
          <w:footerReference w:type="default" r:id="rId10"/>
          <w:footnotePr>
            <w:numRestart w:val="eachPage"/>
          </w:footnotePr>
          <w:pgSz w:w="11906" w:h="16838"/>
          <w:pgMar w:top="720" w:right="1134" w:bottom="720" w:left="1134" w:header="720" w:footer="0" w:gutter="0"/>
          <w:cols w:space="720"/>
          <w:bidi/>
          <w:rtlGutter/>
          <w:docGrid w:linePitch="360"/>
        </w:sectPr>
      </w:pPr>
    </w:p>
    <w:p w14:paraId="0E417A99" w14:textId="202DCA62" w:rsidR="002C39F4" w:rsidRPr="00FD506B" w:rsidRDefault="002C39F4" w:rsidP="002C39F4">
      <w:pPr>
        <w:rPr>
          <w:rFonts w:asciiTheme="minorBidi" w:hAnsiTheme="minorBidi"/>
          <w:b/>
          <w:bCs/>
          <w:sz w:val="36"/>
          <w:szCs w:val="36"/>
          <w:u w:val="single"/>
          <w:rtl/>
        </w:rPr>
      </w:pPr>
      <w:r>
        <w:rPr>
          <w:rFonts w:asciiTheme="minorBidi" w:hAnsiTheme="minorBidi" w:hint="cs"/>
          <w:b/>
          <w:bCs/>
          <w:sz w:val="36"/>
          <w:szCs w:val="36"/>
          <w:u w:val="single"/>
          <w:rtl/>
        </w:rPr>
        <w:lastRenderedPageBreak/>
        <w:t>מליחה</w:t>
      </w:r>
      <w:r w:rsidRPr="00FD506B">
        <w:rPr>
          <w:rFonts w:asciiTheme="minorBidi" w:hAnsiTheme="minorBidi"/>
          <w:b/>
          <w:bCs/>
          <w:sz w:val="36"/>
          <w:szCs w:val="36"/>
          <w:u w:val="single"/>
          <w:rtl/>
        </w:rPr>
        <w:t>:</w:t>
      </w:r>
    </w:p>
    <w:p w14:paraId="0108F802" w14:textId="77777777" w:rsidR="002C39F4" w:rsidRPr="003024E5" w:rsidRDefault="002C39F4" w:rsidP="002C39F4">
      <w:pPr>
        <w:pStyle w:val="1"/>
        <w:rPr>
          <w:rFonts w:asciiTheme="minorBidi" w:hAnsiTheme="minorBidi"/>
          <w:rtl/>
        </w:rPr>
      </w:pPr>
      <w:r w:rsidRPr="003024E5">
        <w:rPr>
          <w:rFonts w:asciiTheme="minorBidi" w:hAnsiTheme="minorBidi"/>
          <w:rtl/>
        </w:rPr>
        <w:t>סימן סט: דיני מליחה והדחה, ובו כ"א סעיפים</w:t>
      </w:r>
      <w:r>
        <w:rPr>
          <w:rFonts w:asciiTheme="minorBidi" w:hAnsiTheme="minorBidi" w:hint="cs"/>
          <w:rtl/>
        </w:rPr>
        <w:t>.</w:t>
      </w:r>
    </w:p>
    <w:p w14:paraId="501F0F96" w14:textId="77777777" w:rsidR="002C39F4" w:rsidRPr="003024E5" w:rsidRDefault="002C39F4" w:rsidP="002C39F4">
      <w:pPr>
        <w:pStyle w:val="2"/>
        <w:rPr>
          <w:rFonts w:asciiTheme="minorBidi" w:hAnsiTheme="minorBidi"/>
          <w:rtl/>
        </w:rPr>
      </w:pPr>
      <w:r w:rsidRPr="003024E5">
        <w:rPr>
          <w:rFonts w:asciiTheme="minorBidi" w:hAnsiTheme="minorBidi"/>
          <w:rtl/>
        </w:rPr>
        <w:t>סעיף א: הדחה קודם מליחה</w:t>
      </w:r>
      <w:r>
        <w:rPr>
          <w:rFonts w:asciiTheme="minorBidi" w:hAnsiTheme="minorBidi" w:hint="cs"/>
          <w:rtl/>
        </w:rPr>
        <w:t>.</w:t>
      </w:r>
    </w:p>
    <w:p w14:paraId="52A5C36F"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ע"א: </w:t>
      </w:r>
      <w:r w:rsidRPr="003024E5">
        <w:rPr>
          <w:rFonts w:asciiTheme="minorBidi" w:hAnsiTheme="minorBidi"/>
          <w:u w:val="single"/>
          <w:rtl/>
        </w:rPr>
        <w:t xml:space="preserve">אמר שמואל: </w:t>
      </w:r>
      <w:r w:rsidRPr="003024E5">
        <w:rPr>
          <w:rFonts w:asciiTheme="minorBidi" w:hAnsiTheme="minorBidi"/>
          <w:rtl/>
        </w:rPr>
        <w:t xml:space="preserve">אין הבשר יוצא מידי דמו אלא א"כ מולחו יפה יפה, ומדיחו יפה יפה. אתמר, </w:t>
      </w:r>
      <w:r w:rsidRPr="003024E5">
        <w:rPr>
          <w:rFonts w:asciiTheme="minorBidi" w:hAnsiTheme="minorBidi"/>
          <w:u w:val="single"/>
          <w:rtl/>
        </w:rPr>
        <w:t>רב הונא אמר:</w:t>
      </w:r>
      <w:r w:rsidRPr="003024E5">
        <w:rPr>
          <w:rFonts w:asciiTheme="minorBidi" w:hAnsiTheme="minorBidi"/>
          <w:rtl/>
        </w:rPr>
        <w:t xml:space="preserve"> מולח ומדיח, במתניתא תנא: מדיח ומולח ומדיח; ולא פליגי, הא דחלליה בי טבחא</w:t>
      </w:r>
      <w:r w:rsidRPr="003024E5">
        <w:rPr>
          <w:rStyle w:val="a7"/>
          <w:rFonts w:asciiTheme="minorBidi" w:hAnsiTheme="minorBidi"/>
          <w:rtl/>
        </w:rPr>
        <w:footnoteReference w:id="6"/>
      </w:r>
      <w:r w:rsidRPr="003024E5">
        <w:rPr>
          <w:rFonts w:asciiTheme="minorBidi" w:hAnsiTheme="minorBidi"/>
          <w:rtl/>
        </w:rPr>
        <w:t>, הא דלא חלליה בי טבחא.</w:t>
      </w:r>
    </w:p>
    <w:p w14:paraId="3C476BBE" w14:textId="77777777" w:rsidR="002C39F4" w:rsidRPr="003024E5" w:rsidRDefault="002C39F4" w:rsidP="002C39F4">
      <w:pPr>
        <w:rPr>
          <w:rFonts w:asciiTheme="minorBidi" w:hAnsiTheme="minorBidi"/>
          <w:u w:val="single"/>
          <w:rtl/>
        </w:rPr>
      </w:pPr>
      <w:r w:rsidRPr="003024E5">
        <w:rPr>
          <w:rFonts w:asciiTheme="minorBidi" w:hAnsiTheme="minorBidi"/>
          <w:u w:val="single"/>
          <w:rtl/>
        </w:rPr>
        <w:t>מה הטעם שמדיחין לפני המליחה:</w:t>
      </w:r>
    </w:p>
    <w:p w14:paraId="1AFD1983" w14:textId="77777777" w:rsidR="002C39F4" w:rsidRPr="003024E5" w:rsidRDefault="002C39F4" w:rsidP="002C39F4">
      <w:pPr>
        <w:pStyle w:val="a8"/>
        <w:numPr>
          <w:ilvl w:val="0"/>
          <w:numId w:val="1"/>
        </w:numPr>
        <w:rPr>
          <w:rFonts w:asciiTheme="minorBidi" w:hAnsiTheme="minorBidi"/>
        </w:rPr>
      </w:pPr>
      <w:r w:rsidRPr="003024E5">
        <w:rPr>
          <w:rFonts w:asciiTheme="minorBidi" w:hAnsiTheme="minorBidi"/>
          <w:rtl/>
        </w:rPr>
        <w:t>רא"ש</w:t>
      </w:r>
      <w:r w:rsidRPr="003024E5">
        <w:rPr>
          <w:rStyle w:val="a7"/>
          <w:rFonts w:asciiTheme="minorBidi" w:hAnsiTheme="minorBidi"/>
          <w:rtl/>
        </w:rPr>
        <w:footnoteReference w:id="7"/>
      </w:r>
      <w:r w:rsidRPr="003024E5">
        <w:rPr>
          <w:rFonts w:asciiTheme="minorBidi" w:hAnsiTheme="minorBidi"/>
          <w:sz w:val="16"/>
          <w:szCs w:val="16"/>
          <w:rtl/>
        </w:rPr>
        <w:t xml:space="preserve"> (פ"ח סי' מו)</w:t>
      </w:r>
      <w:r w:rsidRPr="003024E5">
        <w:rPr>
          <w:rFonts w:asciiTheme="minorBidi" w:hAnsiTheme="minorBidi"/>
          <w:rtl/>
        </w:rPr>
        <w:t xml:space="preserve"> ר"ן</w:t>
      </w:r>
      <w:r w:rsidRPr="003024E5">
        <w:rPr>
          <w:rFonts w:asciiTheme="minorBidi" w:hAnsiTheme="minorBidi"/>
          <w:sz w:val="16"/>
          <w:szCs w:val="16"/>
          <w:rtl/>
        </w:rPr>
        <w:t xml:space="preserve"> (מב. ד"ה אין הבשר)</w:t>
      </w:r>
      <w:r>
        <w:rPr>
          <w:rFonts w:asciiTheme="minorBidi" w:hAnsiTheme="minorBidi" w:hint="cs"/>
          <w:rtl/>
        </w:rPr>
        <w:t xml:space="preserve"> ואו"ה </w:t>
      </w:r>
      <w:r w:rsidRPr="008F400F">
        <w:rPr>
          <w:rFonts w:asciiTheme="minorBidi" w:hAnsiTheme="minorBidi"/>
          <w:sz w:val="16"/>
          <w:szCs w:val="16"/>
          <w:rtl/>
        </w:rPr>
        <w:t>(ש"א ד</w:t>
      </w:r>
      <w:r>
        <w:rPr>
          <w:rFonts w:asciiTheme="minorBidi" w:hAnsiTheme="minorBidi" w:hint="cs"/>
          <w:sz w:val="16"/>
          <w:szCs w:val="16"/>
          <w:rtl/>
        </w:rPr>
        <w:t>"</w:t>
      </w:r>
      <w:r w:rsidRPr="008F400F">
        <w:rPr>
          <w:rFonts w:asciiTheme="minorBidi" w:hAnsiTheme="minorBidi"/>
          <w:sz w:val="16"/>
          <w:szCs w:val="16"/>
          <w:rtl/>
        </w:rPr>
        <w:t>א)</w:t>
      </w:r>
      <w:r w:rsidRPr="003024E5">
        <w:rPr>
          <w:rFonts w:asciiTheme="minorBidi" w:hAnsiTheme="minorBidi"/>
          <w:rtl/>
        </w:rPr>
        <w:t>- כדי שיתרכך הבשר ויצא דמו ע"י מליחה</w:t>
      </w:r>
      <w:r w:rsidRPr="003024E5">
        <w:rPr>
          <w:rStyle w:val="a7"/>
          <w:rFonts w:asciiTheme="minorBidi" w:hAnsiTheme="minorBidi"/>
          <w:rtl/>
        </w:rPr>
        <w:footnoteReference w:id="8"/>
      </w:r>
      <w:r w:rsidRPr="003024E5">
        <w:rPr>
          <w:rFonts w:asciiTheme="minorBidi" w:hAnsiTheme="minorBidi"/>
          <w:rtl/>
        </w:rPr>
        <w:t xml:space="preserve">, שאם יהא נקרש על פניו לא יהא כח במלח להוציא דמו </w:t>
      </w:r>
      <w:r w:rsidRPr="003024E5">
        <w:rPr>
          <w:rFonts w:asciiTheme="minorBidi" w:hAnsiTheme="minorBidi"/>
          <w:sz w:val="16"/>
          <w:szCs w:val="16"/>
          <w:rtl/>
        </w:rPr>
        <w:t>(וטעמא דמדיח אחר מליחה כדי להדיח לחלוחית הדם שעל פני הבשר הבא שם מפליטתו)</w:t>
      </w:r>
      <w:r w:rsidRPr="003024E5">
        <w:rPr>
          <w:rFonts w:asciiTheme="minorBidi" w:hAnsiTheme="minorBidi"/>
          <w:rtl/>
        </w:rPr>
        <w:t xml:space="preserve">.      </w:t>
      </w:r>
    </w:p>
    <w:p w14:paraId="7AC886FC" w14:textId="77777777" w:rsidR="002C39F4" w:rsidRPr="003024E5" w:rsidRDefault="002C39F4" w:rsidP="002C39F4">
      <w:pPr>
        <w:pStyle w:val="a8"/>
        <w:numPr>
          <w:ilvl w:val="0"/>
          <w:numId w:val="1"/>
        </w:numPr>
        <w:rPr>
          <w:rFonts w:asciiTheme="minorBidi" w:hAnsiTheme="minorBidi"/>
        </w:rPr>
      </w:pPr>
      <w:r w:rsidRPr="003024E5">
        <w:rPr>
          <w:rFonts w:asciiTheme="minorBidi" w:hAnsiTheme="minorBidi"/>
          <w:rtl/>
        </w:rPr>
        <w:t>ראבי"ה</w:t>
      </w:r>
      <w:r w:rsidRPr="003024E5">
        <w:rPr>
          <w:rFonts w:asciiTheme="minorBidi" w:hAnsiTheme="minorBidi"/>
          <w:sz w:val="16"/>
          <w:szCs w:val="16"/>
          <w:rtl/>
        </w:rPr>
        <w:t xml:space="preserve"> (סי' אלף קכ, הביאו המרדכי) </w:t>
      </w:r>
      <w:r w:rsidRPr="003024E5">
        <w:rPr>
          <w:rFonts w:asciiTheme="minorBidi" w:hAnsiTheme="minorBidi"/>
          <w:rtl/>
        </w:rPr>
        <w:t>ומרדכי</w:t>
      </w:r>
      <w:r w:rsidRPr="003024E5">
        <w:rPr>
          <w:rFonts w:asciiTheme="minorBidi" w:hAnsiTheme="minorBidi"/>
          <w:sz w:val="16"/>
          <w:szCs w:val="16"/>
          <w:rtl/>
        </w:rPr>
        <w:t xml:space="preserve"> (סי' תשכא)</w:t>
      </w:r>
      <w:r w:rsidRPr="003024E5">
        <w:rPr>
          <w:rFonts w:asciiTheme="minorBidi" w:hAnsiTheme="minorBidi"/>
          <w:rtl/>
        </w:rPr>
        <w:t>- הדחה ראשונה להעביר לכלוך הדם שעל החתיכה שאל"כ המלח נתמלא ממנו ושוב לא יוציא המלח הדם שבחתיכה</w:t>
      </w:r>
      <w:r w:rsidRPr="003024E5">
        <w:rPr>
          <w:rStyle w:val="a7"/>
          <w:rFonts w:asciiTheme="minorBidi" w:hAnsiTheme="minorBidi"/>
          <w:rtl/>
        </w:rPr>
        <w:footnoteReference w:id="9"/>
      </w:r>
      <w:r w:rsidRPr="003024E5">
        <w:rPr>
          <w:rFonts w:asciiTheme="minorBidi" w:hAnsiTheme="minorBidi"/>
          <w:rtl/>
        </w:rPr>
        <w:t xml:space="preserve">. </w:t>
      </w:r>
    </w:p>
    <w:p w14:paraId="79EF6DED" w14:textId="77777777" w:rsidR="002C39F4" w:rsidRPr="003024E5" w:rsidRDefault="002C39F4" w:rsidP="002C39F4">
      <w:pPr>
        <w:pStyle w:val="a8"/>
        <w:numPr>
          <w:ilvl w:val="0"/>
          <w:numId w:val="1"/>
        </w:numPr>
        <w:rPr>
          <w:rFonts w:asciiTheme="minorBidi" w:hAnsiTheme="minorBidi"/>
        </w:rPr>
      </w:pPr>
      <w:r w:rsidRPr="003024E5">
        <w:rPr>
          <w:rFonts w:asciiTheme="minorBidi" w:hAnsiTheme="minorBidi"/>
          <w:rtl/>
        </w:rPr>
        <w:t>שע"ד</w:t>
      </w:r>
      <w:r>
        <w:rPr>
          <w:rStyle w:val="a7"/>
          <w:rFonts w:asciiTheme="minorBidi" w:hAnsiTheme="minorBidi"/>
          <w:rtl/>
        </w:rPr>
        <w:footnoteReference w:id="10"/>
      </w:r>
      <w:r w:rsidRPr="003024E5">
        <w:rPr>
          <w:rFonts w:asciiTheme="minorBidi" w:hAnsiTheme="minorBidi"/>
          <w:sz w:val="16"/>
          <w:szCs w:val="16"/>
          <w:rtl/>
        </w:rPr>
        <w:t>(ש"ג סי' ה אות ב)</w:t>
      </w:r>
      <w:r w:rsidRPr="003024E5">
        <w:rPr>
          <w:rFonts w:asciiTheme="minorBidi" w:hAnsiTheme="minorBidi"/>
          <w:rtl/>
        </w:rPr>
        <w:t>- הדחה ראשונה צריכה להעביר דם שעל פני הבשר כיון ש-"כח המלח מבליעו ומכניסו בבשר החתיכה, אע"פ דמלח מפליט דם הבלוע, היינו אותו דם שלא פירש, אבל דם שפירש כבר ונמצא עליו המלח מבליעו בבשר ושוב אינו יוצא ואסור</w:t>
      </w:r>
      <w:r w:rsidRPr="003024E5">
        <w:rPr>
          <w:rFonts w:asciiTheme="minorBidi" w:hAnsiTheme="minorBidi"/>
          <w:sz w:val="16"/>
          <w:szCs w:val="16"/>
          <w:rtl/>
        </w:rPr>
        <w:t xml:space="preserve"> (ל' שע"ד)</w:t>
      </w:r>
      <w:r w:rsidRPr="003024E5">
        <w:rPr>
          <w:rStyle w:val="a7"/>
          <w:rFonts w:asciiTheme="minorBidi" w:hAnsiTheme="minorBidi"/>
          <w:rtl/>
        </w:rPr>
        <w:footnoteReference w:id="11"/>
      </w:r>
      <w:r w:rsidRPr="003024E5">
        <w:rPr>
          <w:rFonts w:asciiTheme="minorBidi" w:hAnsiTheme="minorBidi"/>
          <w:rtl/>
        </w:rPr>
        <w:t>".</w:t>
      </w:r>
    </w:p>
    <w:p w14:paraId="71590B04" w14:textId="77777777" w:rsidR="002C39F4" w:rsidRPr="003024E5" w:rsidRDefault="002C39F4" w:rsidP="002C39F4">
      <w:pPr>
        <w:rPr>
          <w:rFonts w:asciiTheme="minorBidi" w:hAnsiTheme="minorBidi"/>
          <w:u w:val="single"/>
          <w:rtl/>
        </w:rPr>
      </w:pPr>
      <w:r>
        <w:rPr>
          <w:rFonts w:asciiTheme="minorBidi" w:hAnsiTheme="minorBidi" w:hint="cs"/>
          <w:u w:val="single"/>
          <w:rtl/>
        </w:rPr>
        <w:t>שריה</w:t>
      </w:r>
      <w:r w:rsidRPr="003024E5">
        <w:rPr>
          <w:rFonts w:asciiTheme="minorBidi" w:hAnsiTheme="minorBidi"/>
          <w:u w:val="single"/>
          <w:rtl/>
        </w:rPr>
        <w:t xml:space="preserve"> קודם ההדחה</w:t>
      </w:r>
      <w:r>
        <w:rPr>
          <w:rFonts w:asciiTheme="minorBidi" w:hAnsiTheme="minorBidi" w:hint="cs"/>
          <w:u w:val="single"/>
          <w:rtl/>
        </w:rPr>
        <w:t>,</w:t>
      </w:r>
      <w:r w:rsidRPr="003024E5">
        <w:rPr>
          <w:rFonts w:asciiTheme="minorBidi" w:hAnsiTheme="minorBidi"/>
          <w:u w:val="single"/>
          <w:rtl/>
        </w:rPr>
        <w:t xml:space="preserve"> ו</w:t>
      </w:r>
      <w:r>
        <w:rPr>
          <w:rFonts w:asciiTheme="minorBidi" w:hAnsiTheme="minorBidi" w:hint="cs"/>
          <w:u w:val="single"/>
          <w:rtl/>
        </w:rPr>
        <w:t xml:space="preserve">המתנת זמן מה </w:t>
      </w:r>
      <w:r w:rsidRPr="003024E5">
        <w:rPr>
          <w:rFonts w:asciiTheme="minorBidi" w:hAnsiTheme="minorBidi"/>
          <w:u w:val="single"/>
          <w:rtl/>
        </w:rPr>
        <w:t>אחרי</w:t>
      </w:r>
      <w:r>
        <w:rPr>
          <w:rFonts w:asciiTheme="minorBidi" w:hAnsiTheme="minorBidi" w:hint="cs"/>
          <w:u w:val="single"/>
          <w:rtl/>
        </w:rPr>
        <w:t xml:space="preserve"> </w:t>
      </w:r>
      <w:r w:rsidRPr="003024E5">
        <w:rPr>
          <w:rFonts w:asciiTheme="minorBidi" w:hAnsiTheme="minorBidi"/>
          <w:u w:val="single"/>
          <w:rtl/>
        </w:rPr>
        <w:t>ה</w:t>
      </w:r>
      <w:r>
        <w:rPr>
          <w:rFonts w:asciiTheme="minorBidi" w:hAnsiTheme="minorBidi" w:hint="cs"/>
          <w:u w:val="single"/>
          <w:rtl/>
        </w:rPr>
        <w:t>הדחה</w:t>
      </w:r>
      <w:r w:rsidRPr="003024E5">
        <w:rPr>
          <w:rFonts w:asciiTheme="minorBidi" w:hAnsiTheme="minorBidi"/>
          <w:u w:val="single"/>
          <w:rtl/>
        </w:rPr>
        <w:t>:</w:t>
      </w:r>
      <w:r w:rsidRPr="003024E5">
        <w:rPr>
          <w:rFonts w:asciiTheme="minorBidi" w:hAnsiTheme="minorBidi"/>
          <w:sz w:val="16"/>
          <w:szCs w:val="16"/>
          <w:rtl/>
        </w:rPr>
        <w:t xml:space="preserve">  (דרכ"מ אות א)</w:t>
      </w:r>
    </w:p>
    <w:p w14:paraId="00088447" w14:textId="77777777" w:rsidR="002C39F4" w:rsidRPr="008F400F" w:rsidRDefault="002C39F4" w:rsidP="002C39F4">
      <w:pPr>
        <w:pStyle w:val="a8"/>
        <w:numPr>
          <w:ilvl w:val="0"/>
          <w:numId w:val="1"/>
        </w:numPr>
        <w:rPr>
          <w:rFonts w:asciiTheme="minorBidi" w:hAnsiTheme="minorBidi"/>
        </w:rPr>
      </w:pPr>
      <w:r w:rsidRPr="003024E5">
        <w:rPr>
          <w:rFonts w:asciiTheme="minorBidi" w:hAnsiTheme="minorBidi"/>
          <w:rtl/>
        </w:rPr>
        <w:t xml:space="preserve">הגשע"ד </w:t>
      </w:r>
      <w:r w:rsidRPr="003024E5">
        <w:rPr>
          <w:rFonts w:asciiTheme="minorBidi" w:hAnsiTheme="minorBidi"/>
          <w:sz w:val="16"/>
          <w:szCs w:val="16"/>
          <w:rtl/>
        </w:rPr>
        <w:t>(סי' טו סק"א</w:t>
      </w:r>
      <w:r>
        <w:rPr>
          <w:rFonts w:asciiTheme="minorBidi" w:hAnsiTheme="minorBidi" w:hint="cs"/>
          <w:sz w:val="16"/>
          <w:szCs w:val="16"/>
          <w:rtl/>
        </w:rPr>
        <w:t>-ב</w:t>
      </w:r>
      <w:r w:rsidRPr="003024E5">
        <w:rPr>
          <w:rFonts w:asciiTheme="minorBidi" w:hAnsiTheme="minorBidi"/>
          <w:sz w:val="16"/>
          <w:szCs w:val="16"/>
          <w:rtl/>
        </w:rPr>
        <w:t>)</w:t>
      </w:r>
      <w:r>
        <w:rPr>
          <w:rFonts w:asciiTheme="minorBidi" w:hAnsiTheme="minorBidi" w:hint="cs"/>
          <w:rtl/>
        </w:rPr>
        <w:t xml:space="preserve"> בשם מהר"ש </w:t>
      </w:r>
      <w:r>
        <w:rPr>
          <w:rFonts w:asciiTheme="minorBidi" w:hAnsiTheme="minorBidi" w:hint="cs"/>
          <w:sz w:val="16"/>
          <w:szCs w:val="16"/>
          <w:rtl/>
        </w:rPr>
        <w:t>(</w:t>
      </w:r>
      <w:r w:rsidRPr="008F400F">
        <w:rPr>
          <w:rFonts w:asciiTheme="minorBidi" w:hAnsiTheme="minorBidi" w:hint="cs"/>
          <w:sz w:val="14"/>
          <w:szCs w:val="14"/>
          <w:rtl/>
        </w:rPr>
        <w:t>[ה"ר שמואל ב"ר אשר]</w:t>
      </w:r>
      <w:r>
        <w:rPr>
          <w:rFonts w:asciiTheme="minorBidi" w:hAnsiTheme="minorBidi" w:hint="cs"/>
          <w:sz w:val="16"/>
          <w:szCs w:val="16"/>
          <w:rtl/>
        </w:rPr>
        <w:t xml:space="preserve"> בשערים)</w:t>
      </w:r>
      <w:r w:rsidRPr="003024E5">
        <w:rPr>
          <w:rFonts w:asciiTheme="minorBidi" w:hAnsiTheme="minorBidi"/>
          <w:rtl/>
        </w:rPr>
        <w:t>-</w:t>
      </w:r>
      <w:r w:rsidRPr="00BB64D7">
        <w:rPr>
          <w:rtl/>
        </w:rPr>
        <w:t xml:space="preserve"> </w:t>
      </w:r>
      <w:r w:rsidRPr="00BB64D7">
        <w:rPr>
          <w:rFonts w:asciiTheme="minorBidi" w:hAnsiTheme="minorBidi" w:cs="Arial"/>
          <w:rtl/>
        </w:rPr>
        <w:t>מנהג העולם לשרות הבשר קודם מליחה</w:t>
      </w:r>
      <w:r w:rsidRPr="003024E5">
        <w:rPr>
          <w:rStyle w:val="a7"/>
          <w:rFonts w:asciiTheme="minorBidi" w:hAnsiTheme="minorBidi"/>
          <w:rtl/>
        </w:rPr>
        <w:footnoteReference w:id="12"/>
      </w:r>
      <w:r w:rsidRPr="00BB64D7">
        <w:rPr>
          <w:rFonts w:asciiTheme="minorBidi" w:hAnsiTheme="minorBidi" w:cs="Arial"/>
          <w:rtl/>
        </w:rPr>
        <w:t xml:space="preserve"> במים כדי שיתרכך הדם</w:t>
      </w:r>
      <w:r w:rsidRPr="003024E5">
        <w:rPr>
          <w:rStyle w:val="a7"/>
          <w:rFonts w:asciiTheme="minorBidi" w:hAnsiTheme="minorBidi"/>
          <w:rtl/>
        </w:rPr>
        <w:footnoteReference w:id="13"/>
      </w:r>
      <w:r w:rsidRPr="00BB64D7">
        <w:rPr>
          <w:rFonts w:asciiTheme="minorBidi" w:hAnsiTheme="minorBidi" w:cs="Arial"/>
          <w:rtl/>
        </w:rPr>
        <w:t xml:space="preserve"> שעל החתיכה ויודח היטב</w:t>
      </w:r>
      <w:r>
        <w:rPr>
          <w:rFonts w:asciiTheme="minorBidi" w:hAnsiTheme="minorBidi" w:cs="Arial" w:hint="cs"/>
          <w:rtl/>
        </w:rPr>
        <w:t xml:space="preserve">. </w:t>
      </w:r>
      <w:r w:rsidRPr="00BB64D7">
        <w:rPr>
          <w:rFonts w:asciiTheme="minorBidi" w:hAnsiTheme="minorBidi" w:cs="Arial"/>
          <w:rtl/>
        </w:rPr>
        <w:t>ואחר שהודח הבשר ימתין זמן מעט קודם שימלח כדי שיטפטפו המים מן הבשר</w:t>
      </w:r>
      <w:r w:rsidRPr="003024E5">
        <w:rPr>
          <w:rStyle w:val="a7"/>
          <w:rFonts w:asciiTheme="minorBidi" w:hAnsiTheme="minorBidi"/>
          <w:rtl/>
        </w:rPr>
        <w:footnoteReference w:id="14"/>
      </w:r>
      <w:r w:rsidRPr="008F400F">
        <w:rPr>
          <w:rFonts w:asciiTheme="minorBidi" w:hAnsiTheme="minorBidi"/>
          <w:rtl/>
        </w:rPr>
        <w:t>.</w:t>
      </w:r>
      <w:r w:rsidRPr="008F400F">
        <w:rPr>
          <w:rFonts w:asciiTheme="minorBidi" w:hAnsiTheme="minorBidi"/>
          <w:color w:val="00B0F0"/>
          <w:rtl/>
        </w:rPr>
        <w:t xml:space="preserve"> (וכ"</w:t>
      </w:r>
      <w:r w:rsidRPr="008F400F">
        <w:rPr>
          <w:rFonts w:asciiTheme="minorBidi" w:hAnsiTheme="minorBidi" w:hint="cs"/>
          <w:color w:val="00B0F0"/>
          <w:rtl/>
        </w:rPr>
        <w:t>פ</w:t>
      </w:r>
      <w:r w:rsidRPr="008F400F">
        <w:rPr>
          <w:rFonts w:asciiTheme="minorBidi" w:hAnsiTheme="minorBidi"/>
          <w:color w:val="00B0F0"/>
          <w:rtl/>
        </w:rPr>
        <w:t xml:space="preserve"> הרמ"א)</w:t>
      </w:r>
    </w:p>
    <w:p w14:paraId="61C759F4" w14:textId="77777777" w:rsidR="002C39F4" w:rsidRPr="003024E5" w:rsidRDefault="002C39F4" w:rsidP="002C39F4">
      <w:pPr>
        <w:rPr>
          <w:rFonts w:asciiTheme="minorBidi" w:hAnsiTheme="minorBidi"/>
          <w:u w:val="single"/>
        </w:rPr>
      </w:pPr>
      <w:r w:rsidRPr="003024E5">
        <w:rPr>
          <w:rFonts w:asciiTheme="minorBidi" w:hAnsiTheme="minorBidi"/>
          <w:u w:val="single"/>
          <w:rtl/>
        </w:rPr>
        <w:t xml:space="preserve">בשר שנמלא קרח ואין ראוי למליחה עד שיפילו תחלה הקרח ממנו </w:t>
      </w:r>
      <w:r>
        <w:rPr>
          <w:rFonts w:asciiTheme="minorBidi" w:hAnsiTheme="minorBidi" w:hint="cs"/>
          <w:u w:val="single"/>
          <w:rtl/>
        </w:rPr>
        <w:t>- ה</w:t>
      </w:r>
      <w:r w:rsidRPr="003024E5">
        <w:rPr>
          <w:rFonts w:asciiTheme="minorBidi" w:hAnsiTheme="minorBidi"/>
          <w:u w:val="single"/>
          <w:rtl/>
        </w:rPr>
        <w:t>אם מותר לשרותו במים חמין בכלי שני:</w:t>
      </w:r>
    </w:p>
    <w:p w14:paraId="37D2CE65" w14:textId="77777777" w:rsidR="002C39F4" w:rsidRPr="003024E5" w:rsidRDefault="002C39F4" w:rsidP="002C39F4">
      <w:pPr>
        <w:pStyle w:val="a8"/>
        <w:numPr>
          <w:ilvl w:val="0"/>
          <w:numId w:val="1"/>
        </w:numPr>
        <w:rPr>
          <w:rFonts w:asciiTheme="minorBidi" w:hAnsiTheme="minorBidi"/>
        </w:rPr>
      </w:pPr>
      <w:r>
        <w:rPr>
          <w:rFonts w:asciiTheme="minorBidi" w:hAnsiTheme="minorBidi" w:hint="cs"/>
          <w:rtl/>
        </w:rPr>
        <w:t>ר"ש</w:t>
      </w:r>
      <w:r w:rsidRPr="003024E5">
        <w:rPr>
          <w:rStyle w:val="a7"/>
          <w:rFonts w:asciiTheme="minorBidi" w:hAnsiTheme="minorBidi"/>
          <w:rtl/>
        </w:rPr>
        <w:footnoteReference w:id="15"/>
      </w:r>
      <w:r>
        <w:rPr>
          <w:rFonts w:asciiTheme="minorBidi" w:hAnsiTheme="minorBidi" w:hint="cs"/>
          <w:rtl/>
        </w:rPr>
        <w:t xml:space="preserve"> ורשב"א</w:t>
      </w:r>
      <w:r>
        <w:rPr>
          <w:rFonts w:asciiTheme="minorBidi" w:hAnsiTheme="minorBidi" w:hint="cs"/>
          <w:sz w:val="16"/>
          <w:szCs w:val="16"/>
          <w:rtl/>
        </w:rPr>
        <w:t xml:space="preserve"> (שם)</w:t>
      </w:r>
      <w:r w:rsidRPr="003024E5">
        <w:rPr>
          <w:rFonts w:asciiTheme="minorBidi" w:hAnsiTheme="minorBidi"/>
          <w:rtl/>
        </w:rPr>
        <w:t>- שרי בכלי שני אע"פ שהיס</w:t>
      </w:r>
      <w:r>
        <w:rPr>
          <w:rFonts w:asciiTheme="minorBidi" w:hAnsiTheme="minorBidi" w:hint="cs"/>
          <w:rtl/>
        </w:rPr>
        <w:t>"ב</w:t>
      </w:r>
      <w:r w:rsidRPr="003024E5">
        <w:rPr>
          <w:rFonts w:asciiTheme="minorBidi" w:hAnsiTheme="minorBidi"/>
          <w:rtl/>
        </w:rPr>
        <w:t>, דכלי שני אינו מבשל אפילו יהא לו כח</w:t>
      </w:r>
      <w:r w:rsidRPr="003024E5">
        <w:rPr>
          <w:rStyle w:val="a7"/>
          <w:rFonts w:asciiTheme="minorBidi" w:hAnsiTheme="minorBidi"/>
          <w:rtl/>
        </w:rPr>
        <w:footnoteReference w:id="16"/>
      </w:r>
      <w:r w:rsidRPr="003024E5">
        <w:rPr>
          <w:rFonts w:asciiTheme="minorBidi" w:hAnsiTheme="minorBidi"/>
          <w:rtl/>
        </w:rPr>
        <w:t xml:space="preserve"> להפליט ולהבליע כמו שהיה אומר רבינו חיים ז"ל, מאחר שלא נתבשל הדם חוזר הדם ויוצא ממנו ע</w:t>
      </w:r>
      <w:r>
        <w:rPr>
          <w:rFonts w:asciiTheme="minorBidi" w:hAnsiTheme="minorBidi" w:hint="cs"/>
          <w:rtl/>
        </w:rPr>
        <w:t>"</w:t>
      </w:r>
      <w:r w:rsidRPr="003024E5">
        <w:rPr>
          <w:rFonts w:asciiTheme="minorBidi" w:hAnsiTheme="minorBidi"/>
          <w:rtl/>
        </w:rPr>
        <w:t>י מליחה או ע</w:t>
      </w:r>
      <w:r>
        <w:rPr>
          <w:rFonts w:asciiTheme="minorBidi" w:hAnsiTheme="minorBidi" w:hint="cs"/>
          <w:rtl/>
        </w:rPr>
        <w:t>"</w:t>
      </w:r>
      <w:r w:rsidRPr="003024E5">
        <w:rPr>
          <w:rFonts w:asciiTheme="minorBidi" w:hAnsiTheme="minorBidi"/>
          <w:rtl/>
        </w:rPr>
        <w:t>י צליה.</w:t>
      </w:r>
    </w:p>
    <w:p w14:paraId="2D44B742" w14:textId="77777777" w:rsidR="002C39F4" w:rsidRPr="003024E5" w:rsidRDefault="002C39F4" w:rsidP="002C39F4">
      <w:pPr>
        <w:pStyle w:val="a8"/>
        <w:numPr>
          <w:ilvl w:val="0"/>
          <w:numId w:val="1"/>
        </w:numPr>
        <w:rPr>
          <w:rFonts w:asciiTheme="minorBidi" w:hAnsiTheme="minorBidi"/>
        </w:rPr>
      </w:pPr>
      <w:r>
        <w:rPr>
          <w:rFonts w:asciiTheme="minorBidi" w:hAnsiTheme="minorBidi"/>
          <w:rtl/>
        </w:rPr>
        <w:t>או"ה</w:t>
      </w:r>
      <w:r w:rsidRPr="003024E5">
        <w:rPr>
          <w:rFonts w:asciiTheme="minorBidi" w:hAnsiTheme="minorBidi"/>
          <w:sz w:val="16"/>
          <w:szCs w:val="16"/>
          <w:rtl/>
        </w:rPr>
        <w:t xml:space="preserve"> (ש"א דין ד)</w:t>
      </w:r>
      <w:r w:rsidRPr="003024E5">
        <w:rPr>
          <w:rFonts w:asciiTheme="minorBidi" w:hAnsiTheme="minorBidi"/>
          <w:rtl/>
        </w:rPr>
        <w:t>- מותר לשרות אותו הבשר בהדחה הראשונה במים פושרים אך שלא יהו חמין כלל ואפי' בכלי שני דהא יש שפוסקין דכלי שני אע"ג דאינו מבשל מ"מ מפליט ומבליע הוא, ומיהו בדיעבד יש לסמוך על הרשב"א שמתיר וז"ל מאחר דכלי שני אינו מבשל אפי' אם הי' מפליט ומבליע מ"מ חוזר הדם ויוצא ע"י מליחה עכ"ל, וגם המים מתקררים מיד על ידי הבשר הקרח</w:t>
      </w:r>
      <w:r w:rsidRPr="003024E5">
        <w:rPr>
          <w:rStyle w:val="a7"/>
          <w:rFonts w:asciiTheme="minorBidi" w:hAnsiTheme="minorBidi"/>
          <w:rtl/>
        </w:rPr>
        <w:footnoteReference w:id="17"/>
      </w:r>
      <w:r w:rsidRPr="003024E5">
        <w:rPr>
          <w:rFonts w:asciiTheme="minorBidi" w:hAnsiTheme="minorBidi"/>
          <w:rtl/>
        </w:rPr>
        <w:t>.</w:t>
      </w:r>
    </w:p>
    <w:p w14:paraId="40372C27" w14:textId="77777777" w:rsidR="002C39F4" w:rsidRPr="003024E5" w:rsidRDefault="002C39F4" w:rsidP="002C39F4">
      <w:pPr>
        <w:rPr>
          <w:rFonts w:asciiTheme="minorBidi" w:hAnsiTheme="minorBidi"/>
          <w:u w:val="single"/>
        </w:rPr>
      </w:pPr>
      <w:r w:rsidRPr="003024E5">
        <w:rPr>
          <w:rFonts w:asciiTheme="minorBidi" w:hAnsiTheme="minorBidi"/>
          <w:u w:val="single"/>
          <w:rtl/>
        </w:rPr>
        <w:lastRenderedPageBreak/>
        <w:t>בשר שנמלח ושהה כדי מליחה ונתנוהו קודם הדחה ברותחין בכלי שני:</w:t>
      </w:r>
    </w:p>
    <w:p w14:paraId="1FA5B175" w14:textId="77777777" w:rsidR="002C39F4" w:rsidRPr="00A25D4A" w:rsidRDefault="002C39F4" w:rsidP="002C39F4">
      <w:pPr>
        <w:pStyle w:val="a8"/>
        <w:numPr>
          <w:ilvl w:val="0"/>
          <w:numId w:val="1"/>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w:t>
      </w:r>
      <w:r>
        <w:rPr>
          <w:rFonts w:asciiTheme="minorBidi" w:hAnsiTheme="minorBidi" w:hint="cs"/>
          <w:sz w:val="16"/>
          <w:szCs w:val="16"/>
          <w:rtl/>
        </w:rPr>
        <w:t xml:space="preserve">ח"א </w:t>
      </w:r>
      <w:r w:rsidRPr="003024E5">
        <w:rPr>
          <w:rFonts w:asciiTheme="minorBidi" w:hAnsiTheme="minorBidi"/>
          <w:sz w:val="16"/>
          <w:szCs w:val="16"/>
          <w:rtl/>
        </w:rPr>
        <w:t>סי</w:t>
      </w:r>
      <w:r>
        <w:rPr>
          <w:rFonts w:asciiTheme="minorBidi" w:hAnsiTheme="minorBidi" w:hint="cs"/>
          <w:sz w:val="16"/>
          <w:szCs w:val="16"/>
          <w:rtl/>
        </w:rPr>
        <w:t>'</w:t>
      </w:r>
      <w:r w:rsidRPr="003024E5">
        <w:rPr>
          <w:rFonts w:asciiTheme="minorBidi" w:hAnsiTheme="minorBidi"/>
          <w:sz w:val="16"/>
          <w:szCs w:val="16"/>
          <w:rtl/>
        </w:rPr>
        <w:t xml:space="preserve"> תתמד</w:t>
      </w:r>
      <w:r>
        <w:rPr>
          <w:rFonts w:asciiTheme="minorBidi" w:hAnsiTheme="minorBidi" w:hint="cs"/>
          <w:sz w:val="16"/>
          <w:szCs w:val="16"/>
          <w:rtl/>
        </w:rPr>
        <w:t xml:space="preserve">, והמרדכי כתב לשון זו </w:t>
      </w:r>
      <w:r w:rsidRPr="00A25D4A">
        <w:rPr>
          <w:rFonts w:asciiTheme="minorBidi" w:hAnsiTheme="minorBidi" w:hint="cs"/>
          <w:sz w:val="14"/>
          <w:szCs w:val="14"/>
          <w:rtl/>
        </w:rPr>
        <w:t xml:space="preserve">[חולין </w:t>
      </w:r>
      <w:r w:rsidRPr="00A25D4A">
        <w:rPr>
          <w:rFonts w:asciiTheme="minorBidi" w:hAnsiTheme="minorBidi"/>
          <w:sz w:val="14"/>
          <w:szCs w:val="14"/>
          <w:rtl/>
        </w:rPr>
        <w:t>סי' תשכו</w:t>
      </w:r>
      <w:r w:rsidRPr="00A25D4A">
        <w:rPr>
          <w:rFonts w:asciiTheme="minorBidi" w:hAnsiTheme="minorBidi" w:hint="cs"/>
          <w:sz w:val="14"/>
          <w:szCs w:val="14"/>
          <w:rtl/>
        </w:rPr>
        <w:t xml:space="preserve">] </w:t>
      </w:r>
      <w:r>
        <w:rPr>
          <w:rFonts w:asciiTheme="minorBidi" w:hAnsiTheme="minorBidi" w:hint="cs"/>
          <w:sz w:val="16"/>
          <w:szCs w:val="16"/>
          <w:rtl/>
        </w:rPr>
        <w:t>וכ' שכן מצא בשם ר"ם</w:t>
      </w:r>
      <w:r w:rsidRPr="003024E5">
        <w:rPr>
          <w:rFonts w:asciiTheme="minorBidi" w:hAnsiTheme="minorBidi"/>
          <w:sz w:val="16"/>
          <w:szCs w:val="16"/>
          <w:rtl/>
        </w:rPr>
        <w:t>)</w:t>
      </w:r>
      <w:r w:rsidRPr="003024E5">
        <w:rPr>
          <w:rFonts w:asciiTheme="minorBidi" w:hAnsiTheme="minorBidi"/>
          <w:rtl/>
        </w:rPr>
        <w:t xml:space="preserve">- </w:t>
      </w:r>
      <w:r w:rsidRPr="00A25D4A">
        <w:rPr>
          <w:rFonts w:asciiTheme="minorBidi" w:hAnsiTheme="minorBidi" w:cs="Arial"/>
          <w:rtl/>
        </w:rPr>
        <w:t>בשר שנמלח ושהה כדי מליחה ונתנוהו קוד</w:t>
      </w:r>
      <w:r>
        <w:rPr>
          <w:rFonts w:asciiTheme="minorBidi" w:hAnsiTheme="minorBidi" w:cs="Arial" w:hint="cs"/>
          <w:rtl/>
        </w:rPr>
        <w:t>ם</w:t>
      </w:r>
      <w:r w:rsidRPr="00A25D4A">
        <w:rPr>
          <w:rFonts w:asciiTheme="minorBidi" w:hAnsiTheme="minorBidi" w:cs="Arial"/>
          <w:rtl/>
        </w:rPr>
        <w:t xml:space="preserve"> הדחה ברותחין בכלי שני</w:t>
      </w:r>
      <w:r w:rsidRPr="003024E5">
        <w:rPr>
          <w:rFonts w:asciiTheme="minorBidi" w:hAnsiTheme="minorBidi"/>
          <w:rtl/>
        </w:rPr>
        <w:t xml:space="preserve"> לא ידענא מה אדון ביה</w:t>
      </w:r>
      <w:r>
        <w:rPr>
          <w:rFonts w:asciiTheme="minorBidi" w:hAnsiTheme="minorBidi" w:hint="cs"/>
          <w:rtl/>
        </w:rPr>
        <w:t>,</w:t>
      </w:r>
      <w:r w:rsidRPr="003024E5">
        <w:rPr>
          <w:rFonts w:asciiTheme="minorBidi" w:hAnsiTheme="minorBidi"/>
          <w:rtl/>
        </w:rPr>
        <w:t xml:space="preserve"> ואל תשיבני ממה שמולגין תרנגולת בכלי שני דהתם לא נמלחה ואם פלטה דם וחזרה ובלעה מאחר שלא נתבשלה חוזר ויוצא הדם ע"י מליחה או צליה</w:t>
      </w:r>
      <w:r>
        <w:rPr>
          <w:rFonts w:asciiTheme="minorBidi" w:hAnsiTheme="minorBidi" w:hint="cs"/>
          <w:rtl/>
        </w:rPr>
        <w:t>,</w:t>
      </w:r>
      <w:r w:rsidRPr="003024E5">
        <w:rPr>
          <w:rFonts w:asciiTheme="minorBidi" w:hAnsiTheme="minorBidi"/>
          <w:rtl/>
        </w:rPr>
        <w:t xml:space="preserve"> אבל בשר זה שכבר נמלח ושהה כדי מליחה שוב אין מליחה וצליה מועילין להפליטה</w:t>
      </w:r>
      <w:r>
        <w:rPr>
          <w:rFonts w:asciiTheme="minorBidi" w:hAnsiTheme="minorBidi" w:hint="cs"/>
          <w:sz w:val="16"/>
          <w:szCs w:val="16"/>
          <w:rtl/>
        </w:rPr>
        <w:t xml:space="preserve"> (ל' הרשב"א)</w:t>
      </w:r>
      <w:r>
        <w:rPr>
          <w:rFonts w:asciiTheme="minorBidi" w:hAnsiTheme="minorBidi" w:hint="cs"/>
          <w:rtl/>
        </w:rPr>
        <w:t>.</w:t>
      </w:r>
      <w:r w:rsidRPr="00A25D4A">
        <w:rPr>
          <w:rFonts w:asciiTheme="minorBidi" w:hAnsiTheme="minorBidi"/>
          <w:rtl/>
        </w:rPr>
        <w:t xml:space="preserve"> </w:t>
      </w:r>
    </w:p>
    <w:p w14:paraId="32958E73" w14:textId="77777777" w:rsidR="002C39F4" w:rsidRPr="00945979" w:rsidRDefault="002C39F4" w:rsidP="002C39F4">
      <w:pPr>
        <w:pStyle w:val="a8"/>
        <w:numPr>
          <w:ilvl w:val="0"/>
          <w:numId w:val="1"/>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יא ד</w:t>
      </w:r>
      <w:r>
        <w:rPr>
          <w:rFonts w:asciiTheme="minorBidi" w:hAnsiTheme="minorBidi" w:hint="cs"/>
          <w:sz w:val="16"/>
          <w:szCs w:val="16"/>
          <w:rtl/>
        </w:rPr>
        <w:t>"</w:t>
      </w:r>
      <w:r w:rsidRPr="003024E5">
        <w:rPr>
          <w:rFonts w:asciiTheme="minorBidi" w:hAnsiTheme="minorBidi"/>
          <w:sz w:val="16"/>
          <w:szCs w:val="16"/>
          <w:rtl/>
        </w:rPr>
        <w:t>א, הביאו הדרכ"מ אות יד)</w:t>
      </w:r>
      <w:r w:rsidRPr="003024E5">
        <w:rPr>
          <w:rFonts w:asciiTheme="minorBidi" w:hAnsiTheme="minorBidi"/>
          <w:rtl/>
        </w:rPr>
        <w:t>- אע"ג דבעלמא נוהגין דכלי שני אינו מבשל, והכי קיי"ל, שמא הכא מבשל משום רתיחת המלח שעליו</w:t>
      </w:r>
      <w:r>
        <w:rPr>
          <w:rFonts w:asciiTheme="minorBidi" w:hAnsiTheme="minorBidi" w:hint="cs"/>
          <w:rtl/>
        </w:rPr>
        <w:t>,</w:t>
      </w:r>
      <w:r w:rsidRPr="003024E5">
        <w:rPr>
          <w:rFonts w:asciiTheme="minorBidi" w:hAnsiTheme="minorBidi"/>
          <w:rtl/>
        </w:rPr>
        <w:t xml:space="preserve"> ונוהגין לאסרו.</w:t>
      </w:r>
    </w:p>
    <w:p w14:paraId="2E86AD6B" w14:textId="77777777" w:rsidR="002C39F4" w:rsidRPr="003024E5" w:rsidRDefault="002C39F4" w:rsidP="002C39F4">
      <w:pPr>
        <w:rPr>
          <w:rFonts w:asciiTheme="minorBidi" w:hAnsiTheme="minorBidi"/>
          <w:u w:val="single"/>
        </w:rPr>
      </w:pPr>
      <w:r w:rsidRPr="003024E5">
        <w:rPr>
          <w:rFonts w:asciiTheme="minorBidi" w:hAnsiTheme="minorBidi"/>
          <w:u w:val="single"/>
          <w:rtl/>
        </w:rPr>
        <w:t xml:space="preserve">נתח </w:t>
      </w:r>
      <w:r>
        <w:rPr>
          <w:rFonts w:asciiTheme="minorBidi" w:hAnsiTheme="minorBidi" w:hint="cs"/>
          <w:u w:val="single"/>
          <w:rtl/>
        </w:rPr>
        <w:t xml:space="preserve">בשר </w:t>
      </w:r>
      <w:r w:rsidRPr="003024E5">
        <w:rPr>
          <w:rFonts w:asciiTheme="minorBidi" w:hAnsiTheme="minorBidi"/>
          <w:u w:val="single"/>
          <w:rtl/>
        </w:rPr>
        <w:t>גדול שהדיחוהו ולאחמ"כ ניתחוהו לכמה נתחים קטנים</w:t>
      </w:r>
      <w:r>
        <w:rPr>
          <w:rFonts w:asciiTheme="minorBidi" w:hAnsiTheme="minorBidi" w:hint="cs"/>
          <w:u w:val="single"/>
          <w:rtl/>
        </w:rPr>
        <w:t xml:space="preserve"> </w:t>
      </w:r>
      <w:r w:rsidRPr="003024E5">
        <w:rPr>
          <w:rFonts w:asciiTheme="minorBidi" w:hAnsiTheme="minorBidi"/>
          <w:u w:val="single"/>
          <w:rtl/>
        </w:rPr>
        <w:t>- האם הנתחים הקטנים צריכים הדחה:</w:t>
      </w:r>
    </w:p>
    <w:p w14:paraId="7FB79AF7" w14:textId="77777777" w:rsidR="002C39F4" w:rsidRDefault="002C39F4" w:rsidP="002C39F4">
      <w:pPr>
        <w:pStyle w:val="a8"/>
        <w:numPr>
          <w:ilvl w:val="0"/>
          <w:numId w:val="1"/>
        </w:numPr>
        <w:rPr>
          <w:rFonts w:asciiTheme="minorBidi" w:hAnsiTheme="minorBidi"/>
        </w:rPr>
      </w:pPr>
      <w:r w:rsidRPr="003024E5">
        <w:rPr>
          <w:rFonts w:asciiTheme="minorBidi" w:hAnsiTheme="minorBidi"/>
          <w:rtl/>
        </w:rPr>
        <w:t>מרדכי</w:t>
      </w:r>
      <w:r w:rsidRPr="003024E5">
        <w:rPr>
          <w:rFonts w:asciiTheme="minorBidi" w:hAnsiTheme="minorBidi"/>
          <w:sz w:val="16"/>
          <w:szCs w:val="16"/>
          <w:rtl/>
        </w:rPr>
        <w:t xml:space="preserve"> (סי' תשכא)</w:t>
      </w:r>
      <w:r w:rsidRPr="003024E5">
        <w:rPr>
          <w:rStyle w:val="a7"/>
          <w:rFonts w:asciiTheme="minorBidi" w:hAnsiTheme="minorBidi"/>
          <w:rtl/>
        </w:rPr>
        <w:footnoteReference w:id="18"/>
      </w:r>
      <w:r w:rsidRPr="003024E5">
        <w:rPr>
          <w:rFonts w:asciiTheme="minorBidi" w:hAnsiTheme="minorBidi"/>
          <w:rtl/>
        </w:rPr>
        <w:t>- היכא שחתכו הטבח לנתחים גדולים אפילו חללינהו ושוב חתך כל נתח לשנים או לשלשה</w:t>
      </w:r>
      <w:r>
        <w:rPr>
          <w:rFonts w:asciiTheme="minorBidi" w:hAnsiTheme="minorBidi" w:hint="cs"/>
          <w:rtl/>
        </w:rPr>
        <w:t>,</w:t>
      </w:r>
      <w:r w:rsidRPr="003024E5">
        <w:rPr>
          <w:rFonts w:asciiTheme="minorBidi" w:hAnsiTheme="minorBidi"/>
          <w:rtl/>
        </w:rPr>
        <w:t xml:space="preserve"> קודם מליחה צריך לחזור ולהדיחו</w:t>
      </w:r>
      <w:r w:rsidRPr="003024E5">
        <w:rPr>
          <w:rStyle w:val="a7"/>
          <w:rFonts w:asciiTheme="minorBidi" w:hAnsiTheme="minorBidi"/>
          <w:rtl/>
        </w:rPr>
        <w:footnoteReference w:id="19"/>
      </w:r>
      <w:r w:rsidRPr="003024E5">
        <w:rPr>
          <w:rFonts w:asciiTheme="minorBidi" w:hAnsiTheme="minorBidi"/>
          <w:rtl/>
        </w:rPr>
        <w:t xml:space="preserve">, דהכי אמרינן בפ"ק </w:t>
      </w:r>
      <w:r w:rsidRPr="003024E5">
        <w:rPr>
          <w:rFonts w:asciiTheme="minorBidi" w:hAnsiTheme="minorBidi"/>
          <w:sz w:val="16"/>
          <w:szCs w:val="16"/>
          <w:rtl/>
        </w:rPr>
        <w:t xml:space="preserve">(ח:) </w:t>
      </w:r>
      <w:r w:rsidRPr="003024E5">
        <w:rPr>
          <w:rFonts w:asciiTheme="minorBidi" w:hAnsiTheme="minorBidi"/>
          <w:rtl/>
        </w:rPr>
        <w:t xml:space="preserve">אפילו למ"ד בית השחיטה צונן אגב דוחקא דסכינא מיבלע בלע וכי היכי דמבליע הכי נמי מפליט אגב דוחקא דסכינא. </w:t>
      </w:r>
      <w:r w:rsidRPr="003024E5">
        <w:rPr>
          <w:rFonts w:asciiTheme="minorBidi" w:hAnsiTheme="minorBidi"/>
          <w:color w:val="E36C0A" w:themeColor="accent6" w:themeShade="BF"/>
          <w:rtl/>
        </w:rPr>
        <w:t>(וכ"פ בשו"ע)</w:t>
      </w:r>
    </w:p>
    <w:p w14:paraId="41C0DF4E" w14:textId="77777777" w:rsidR="002C39F4" w:rsidRDefault="002C39F4" w:rsidP="002C39F4">
      <w:pPr>
        <w:pStyle w:val="a8"/>
        <w:numPr>
          <w:ilvl w:val="0"/>
          <w:numId w:val="1"/>
        </w:numPr>
        <w:rPr>
          <w:rFonts w:asciiTheme="minorBidi" w:hAnsiTheme="minorBidi"/>
        </w:rPr>
      </w:pPr>
      <w:r>
        <w:rPr>
          <w:rFonts w:asciiTheme="minorBidi" w:hAnsiTheme="minorBidi" w:hint="cs"/>
          <w:rtl/>
        </w:rPr>
        <w:t xml:space="preserve">ר"ן </w:t>
      </w:r>
      <w:r>
        <w:rPr>
          <w:rFonts w:asciiTheme="minorBidi" w:hAnsiTheme="minorBidi" w:hint="cs"/>
          <w:sz w:val="16"/>
          <w:szCs w:val="16"/>
          <w:rtl/>
        </w:rPr>
        <w:t>(חולין ב: מדפה"ר, ד"ה הטבח צריך, להב' הש"ך [סק"ג])</w:t>
      </w:r>
      <w:r>
        <w:rPr>
          <w:rFonts w:asciiTheme="minorBidi" w:hAnsiTheme="minorBidi" w:hint="cs"/>
          <w:rtl/>
        </w:rPr>
        <w:t>- כיון דחללי טבחא</w:t>
      </w:r>
      <w:r w:rsidRPr="008F4D5C">
        <w:rPr>
          <w:rFonts w:asciiTheme="minorBidi" w:hAnsiTheme="minorBidi" w:hint="cs"/>
          <w:color w:val="000000" w:themeColor="text1"/>
          <w:rtl/>
        </w:rPr>
        <w:t xml:space="preserve"> </w:t>
      </w:r>
      <w:r w:rsidRPr="008F4D5C">
        <w:rPr>
          <w:rFonts w:asciiTheme="minorBidi" w:hAnsiTheme="minorBidi"/>
          <w:color w:val="000000" w:themeColor="text1"/>
          <w:rtl/>
        </w:rPr>
        <w:t>אם חתכו אח"כ לשנים א"צ לחזור ולהדיחו</w:t>
      </w:r>
      <w:r>
        <w:rPr>
          <w:rStyle w:val="a7"/>
          <w:rFonts w:asciiTheme="minorBidi" w:hAnsiTheme="minorBidi"/>
          <w:color w:val="000000" w:themeColor="text1"/>
          <w:rtl/>
        </w:rPr>
        <w:footnoteReference w:id="20"/>
      </w:r>
      <w:r w:rsidRPr="008F4D5C">
        <w:rPr>
          <w:rFonts w:asciiTheme="minorBidi" w:hAnsiTheme="minorBidi" w:hint="cs"/>
          <w:color w:val="000000" w:themeColor="text1"/>
          <w:rtl/>
        </w:rPr>
        <w:t>.</w:t>
      </w:r>
    </w:p>
    <w:p w14:paraId="1F438AA1" w14:textId="77777777" w:rsidR="002C39F4" w:rsidRPr="007E768A" w:rsidRDefault="002C39F4" w:rsidP="002C39F4">
      <w:pPr>
        <w:rPr>
          <w:rFonts w:asciiTheme="minorBidi" w:hAnsiTheme="minorBidi"/>
          <w:u w:val="single"/>
        </w:rPr>
      </w:pPr>
      <w:r w:rsidRPr="007E768A">
        <w:rPr>
          <w:rFonts w:asciiTheme="minorBidi" w:hAnsiTheme="minorBidi" w:hint="cs"/>
          <w:u w:val="single"/>
          <w:rtl/>
        </w:rPr>
        <w:t>בשר שהודח הדחה מועטת:</w:t>
      </w:r>
      <w:r w:rsidRPr="005E2B7C">
        <w:rPr>
          <w:rFonts w:asciiTheme="minorBidi" w:hAnsiTheme="minorBidi" w:hint="cs"/>
          <w:sz w:val="16"/>
          <w:szCs w:val="16"/>
          <w:rtl/>
        </w:rPr>
        <w:t xml:space="preserve"> </w:t>
      </w:r>
      <w:r>
        <w:rPr>
          <w:rFonts w:asciiTheme="minorBidi" w:hAnsiTheme="minorBidi" w:hint="cs"/>
          <w:sz w:val="16"/>
          <w:szCs w:val="16"/>
          <w:rtl/>
        </w:rPr>
        <w:t xml:space="preserve">  (</w:t>
      </w:r>
      <w:r w:rsidRPr="007E768A">
        <w:rPr>
          <w:rFonts w:asciiTheme="minorBidi" w:hAnsiTheme="minorBidi"/>
          <w:sz w:val="16"/>
          <w:szCs w:val="16"/>
          <w:rtl/>
        </w:rPr>
        <w:t>דרכ"מ [אות ג]</w:t>
      </w:r>
      <w:r w:rsidRPr="007E768A">
        <w:rPr>
          <w:rFonts w:asciiTheme="minorBidi" w:hAnsiTheme="minorBidi" w:hint="cs"/>
          <w:sz w:val="16"/>
          <w:szCs w:val="16"/>
          <w:rtl/>
        </w:rPr>
        <w:t>)</w:t>
      </w:r>
    </w:p>
    <w:p w14:paraId="7D2A0D6A" w14:textId="77777777" w:rsidR="002C39F4" w:rsidRPr="007E768A" w:rsidRDefault="002C39F4" w:rsidP="002C39F4">
      <w:pPr>
        <w:pStyle w:val="a8"/>
        <w:numPr>
          <w:ilvl w:val="0"/>
          <w:numId w:val="1"/>
        </w:numPr>
        <w:rPr>
          <w:rFonts w:asciiTheme="minorBidi" w:hAnsiTheme="minorBidi"/>
        </w:rPr>
      </w:pPr>
      <w:r>
        <w:rPr>
          <w:rFonts w:asciiTheme="minorBidi" w:hAnsiTheme="minorBidi"/>
          <w:rtl/>
        </w:rPr>
        <w:t>או"ה</w:t>
      </w:r>
      <w:r w:rsidRPr="007E768A">
        <w:rPr>
          <w:rFonts w:asciiTheme="minorBidi" w:hAnsiTheme="minorBidi"/>
          <w:rtl/>
        </w:rPr>
        <w:t xml:space="preserve"> </w:t>
      </w:r>
      <w:r w:rsidRPr="007E768A">
        <w:rPr>
          <w:rFonts w:asciiTheme="minorBidi" w:hAnsiTheme="minorBidi"/>
          <w:sz w:val="16"/>
          <w:szCs w:val="16"/>
          <w:rtl/>
        </w:rPr>
        <w:t>(ש"ד ד</w:t>
      </w:r>
      <w:r>
        <w:rPr>
          <w:rFonts w:asciiTheme="minorBidi" w:hAnsiTheme="minorBidi" w:hint="cs"/>
          <w:sz w:val="16"/>
          <w:szCs w:val="16"/>
          <w:rtl/>
        </w:rPr>
        <w:t>"</w:t>
      </w:r>
      <w:r w:rsidRPr="007E768A">
        <w:rPr>
          <w:rFonts w:asciiTheme="minorBidi" w:hAnsiTheme="minorBidi"/>
          <w:sz w:val="16"/>
          <w:szCs w:val="16"/>
          <w:rtl/>
        </w:rPr>
        <w:t>א</w:t>
      </w:r>
      <w:r>
        <w:rPr>
          <w:rFonts w:asciiTheme="minorBidi" w:hAnsiTheme="minorBidi" w:hint="cs"/>
          <w:sz w:val="16"/>
          <w:szCs w:val="16"/>
          <w:rtl/>
        </w:rPr>
        <w:t>)</w:t>
      </w:r>
      <w:r w:rsidRPr="007E768A">
        <w:rPr>
          <w:rFonts w:asciiTheme="minorBidi" w:hAnsiTheme="minorBidi"/>
          <w:rtl/>
        </w:rPr>
        <w:t>- לא מועיל אפי' בדיע</w:t>
      </w:r>
      <w:r w:rsidRPr="007E768A">
        <w:rPr>
          <w:rFonts w:asciiTheme="minorBidi" w:hAnsiTheme="minorBidi" w:hint="cs"/>
          <w:rtl/>
        </w:rPr>
        <w:t>בד</w:t>
      </w:r>
      <w:r w:rsidRPr="007E768A">
        <w:rPr>
          <w:rFonts w:asciiTheme="minorBidi" w:hAnsiTheme="minorBidi"/>
          <w:rtl/>
        </w:rPr>
        <w:t xml:space="preserve"> מה שרוחצין הטבחים הצלעות שלמו</w:t>
      </w:r>
      <w:r w:rsidRPr="007E768A">
        <w:rPr>
          <w:rFonts w:asciiTheme="minorBidi" w:hAnsiTheme="minorBidi" w:hint="cs"/>
          <w:rtl/>
        </w:rPr>
        <w:t>ת</w:t>
      </w:r>
      <w:r w:rsidRPr="007E768A">
        <w:rPr>
          <w:rFonts w:asciiTheme="minorBidi" w:hAnsiTheme="minorBidi"/>
          <w:rtl/>
        </w:rPr>
        <w:t xml:space="preserve"> בבי טבחי כמו שרגילין לשפוך עליה</w:t>
      </w:r>
      <w:r w:rsidRPr="007E768A">
        <w:rPr>
          <w:rFonts w:asciiTheme="minorBidi" w:hAnsiTheme="minorBidi" w:hint="cs"/>
          <w:rtl/>
        </w:rPr>
        <w:t>ם</w:t>
      </w:r>
      <w:r w:rsidRPr="007E768A">
        <w:rPr>
          <w:rFonts w:asciiTheme="minorBidi" w:hAnsiTheme="minorBidi"/>
          <w:rtl/>
        </w:rPr>
        <w:t xml:space="preserve"> בהעברה בעלמא לנאותם</w:t>
      </w:r>
      <w:r w:rsidRPr="007E768A">
        <w:rPr>
          <w:rFonts w:asciiTheme="minorBidi" w:hAnsiTheme="minorBidi" w:hint="cs"/>
          <w:rtl/>
        </w:rPr>
        <w:t>,</w:t>
      </w:r>
      <w:r w:rsidRPr="007E768A">
        <w:rPr>
          <w:rFonts w:asciiTheme="minorBidi" w:hAnsiTheme="minorBidi"/>
          <w:rtl/>
        </w:rPr>
        <w:t xml:space="preserve"> ואפי' לא בקען בעה"ב אח</w:t>
      </w:r>
      <w:r w:rsidRPr="007E768A">
        <w:rPr>
          <w:rFonts w:asciiTheme="minorBidi" w:hAnsiTheme="minorBidi" w:hint="cs"/>
          <w:rtl/>
        </w:rPr>
        <w:t>"</w:t>
      </w:r>
      <w:r w:rsidRPr="007E768A">
        <w:rPr>
          <w:rFonts w:asciiTheme="minorBidi" w:hAnsiTheme="minorBidi"/>
          <w:rtl/>
        </w:rPr>
        <w:t>כ</w:t>
      </w:r>
      <w:r w:rsidRPr="007E768A">
        <w:rPr>
          <w:rFonts w:asciiTheme="minorBidi" w:hAnsiTheme="minorBidi" w:hint="cs"/>
          <w:rtl/>
        </w:rPr>
        <w:t>,</w:t>
      </w:r>
      <w:r w:rsidRPr="007E768A">
        <w:rPr>
          <w:rFonts w:asciiTheme="minorBidi" w:hAnsiTheme="minorBidi"/>
          <w:rtl/>
        </w:rPr>
        <w:t xml:space="preserve"> דאינו קרוי חללי בי טבחי עד ששרה אותו קצת בכלי הבשר שרוצה לבשל</w:t>
      </w:r>
      <w:r>
        <w:rPr>
          <w:rStyle w:val="a7"/>
          <w:rFonts w:asciiTheme="minorBidi" w:hAnsiTheme="minorBidi"/>
          <w:rtl/>
        </w:rPr>
        <w:footnoteReference w:id="21"/>
      </w:r>
      <w:r w:rsidRPr="007E768A">
        <w:rPr>
          <w:rFonts w:asciiTheme="minorBidi" w:hAnsiTheme="minorBidi"/>
          <w:rtl/>
        </w:rPr>
        <w:t>.</w:t>
      </w:r>
    </w:p>
    <w:p w14:paraId="51518DEC" w14:textId="77777777" w:rsidR="002C39F4" w:rsidRPr="003024E5" w:rsidRDefault="002C39F4" w:rsidP="002C39F4">
      <w:pPr>
        <w:rPr>
          <w:rFonts w:asciiTheme="minorBidi" w:hAnsiTheme="minorBidi"/>
          <w:sz w:val="16"/>
          <w:szCs w:val="16"/>
          <w:rtl/>
        </w:rPr>
      </w:pPr>
      <w:r w:rsidRPr="003024E5">
        <w:rPr>
          <w:rFonts w:asciiTheme="minorBidi" w:hAnsiTheme="minorBidi"/>
          <w:u w:val="single"/>
          <w:rtl/>
        </w:rPr>
        <w:t>שימוש בכלי ששרו בו הבשר:</w:t>
      </w:r>
      <w:r w:rsidRPr="003024E5">
        <w:rPr>
          <w:rFonts w:asciiTheme="minorBidi" w:hAnsiTheme="minorBidi"/>
          <w:sz w:val="16"/>
          <w:szCs w:val="16"/>
          <w:rtl/>
        </w:rPr>
        <w:t xml:space="preserve">  (דרכ"מ אות א)</w:t>
      </w:r>
    </w:p>
    <w:p w14:paraId="40BE7EA9" w14:textId="77777777" w:rsidR="002C39F4" w:rsidRPr="003024E5" w:rsidRDefault="002C39F4" w:rsidP="002C39F4">
      <w:pPr>
        <w:pStyle w:val="a8"/>
        <w:numPr>
          <w:ilvl w:val="0"/>
          <w:numId w:val="1"/>
        </w:numPr>
        <w:rPr>
          <w:rFonts w:asciiTheme="minorBidi" w:hAnsiTheme="minorBidi"/>
          <w:rtl/>
        </w:rPr>
      </w:pPr>
      <w:r>
        <w:rPr>
          <w:rFonts w:asciiTheme="minorBidi" w:hAnsiTheme="minorBidi"/>
          <w:rtl/>
        </w:rPr>
        <w:t>או"ה</w:t>
      </w:r>
      <w:r w:rsidRPr="003024E5">
        <w:rPr>
          <w:rFonts w:asciiTheme="minorBidi" w:hAnsiTheme="minorBidi"/>
          <w:sz w:val="16"/>
          <w:szCs w:val="16"/>
          <w:rtl/>
        </w:rPr>
        <w:t xml:space="preserve"> (ש"ב ד</w:t>
      </w:r>
      <w:r>
        <w:rPr>
          <w:rFonts w:asciiTheme="minorBidi" w:hAnsiTheme="minorBidi" w:hint="cs"/>
          <w:sz w:val="16"/>
          <w:szCs w:val="16"/>
          <w:rtl/>
        </w:rPr>
        <w:t>"</w:t>
      </w:r>
      <w:r w:rsidRPr="003024E5">
        <w:rPr>
          <w:rFonts w:asciiTheme="minorBidi" w:hAnsiTheme="minorBidi"/>
          <w:sz w:val="16"/>
          <w:szCs w:val="16"/>
          <w:rtl/>
        </w:rPr>
        <w:t>ז-ח)</w:t>
      </w:r>
      <w:r w:rsidRPr="003024E5">
        <w:rPr>
          <w:rFonts w:asciiTheme="minorBidi" w:hAnsiTheme="minorBidi"/>
          <w:rtl/>
        </w:rPr>
        <w:t>- אסור להשתמש בכלי ששורין בו ואפילו לא שרו בו רק שעה אחת דחיישינן שמא לא הדיחו יפה מדמו, ודוקא דבר לח בצונן או דבר יבש רותח</w:t>
      </w:r>
      <w:r>
        <w:rPr>
          <w:rFonts w:asciiTheme="minorBidi" w:hAnsiTheme="minorBidi" w:hint="cs"/>
          <w:rtl/>
        </w:rPr>
        <w:t>.</w:t>
      </w:r>
      <w:r w:rsidRPr="003024E5">
        <w:rPr>
          <w:rFonts w:asciiTheme="minorBidi" w:hAnsiTheme="minorBidi"/>
          <w:rtl/>
        </w:rPr>
        <w:t xml:space="preserve"> מיהו בדיעבד שרי דהרי הכלי כשר אלא דגזרינן בתחילה שמא לא הדיחו יפה מדמו</w:t>
      </w:r>
      <w:r>
        <w:rPr>
          <w:rFonts w:asciiTheme="minorBidi" w:hAnsiTheme="minorBidi" w:hint="cs"/>
          <w:rtl/>
        </w:rPr>
        <w:t>.</w:t>
      </w:r>
      <w:r w:rsidRPr="003024E5">
        <w:rPr>
          <w:rFonts w:asciiTheme="minorBidi" w:hAnsiTheme="minorBidi"/>
          <w:rtl/>
        </w:rPr>
        <w:t xml:space="preserve"> אך כלי ששרו בו מעת לעת נאסר הכלי מ"מ מותר לחזור ולשרות בו דהא אין שורין בו הבשר השני מעת לעת ואינו בולע. </w:t>
      </w:r>
      <w:r w:rsidRPr="003024E5">
        <w:rPr>
          <w:rFonts w:asciiTheme="minorBidi" w:hAnsiTheme="minorBidi"/>
          <w:color w:val="00B0F0"/>
          <w:rtl/>
        </w:rPr>
        <w:t>(וכ"פ הרמ"א)</w:t>
      </w:r>
    </w:p>
    <w:p w14:paraId="670DF0C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CDA3ABD" w14:textId="77777777" w:rsidR="002C39F4" w:rsidRPr="003024E5" w:rsidRDefault="002C39F4" w:rsidP="002C39F4">
      <w:pPr>
        <w:rPr>
          <w:rFonts w:asciiTheme="minorBidi" w:hAnsiTheme="minorBidi"/>
          <w:rtl/>
        </w:rPr>
      </w:pPr>
      <w:r w:rsidRPr="003024E5">
        <w:rPr>
          <w:rFonts w:asciiTheme="minorBidi" w:hAnsiTheme="minorBidi"/>
          <w:rtl/>
        </w:rPr>
        <w:t xml:space="preserve">צריך להדיח הבשר קודם מליחה. </w:t>
      </w:r>
      <w:r w:rsidRPr="003024E5">
        <w:rPr>
          <w:rFonts w:asciiTheme="minorBidi" w:hAnsiTheme="minorBidi"/>
          <w:sz w:val="18"/>
          <w:szCs w:val="18"/>
          <w:rtl/>
        </w:rPr>
        <w:t>[הגה] ואם הדיחו הטבח אין צריך להדיחו בבית</w:t>
      </w:r>
      <w:r>
        <w:rPr>
          <w:rStyle w:val="a7"/>
          <w:rFonts w:asciiTheme="minorBidi" w:hAnsiTheme="minorBidi"/>
          <w:sz w:val="18"/>
          <w:szCs w:val="18"/>
          <w:rtl/>
        </w:rPr>
        <w:footnoteReference w:id="22"/>
      </w:r>
      <w:r w:rsidRPr="003024E5">
        <w:rPr>
          <w:rFonts w:asciiTheme="minorBidi" w:hAnsiTheme="minorBidi"/>
          <w:sz w:val="18"/>
          <w:szCs w:val="18"/>
          <w:rtl/>
        </w:rPr>
        <w:t xml:space="preserve"> </w:t>
      </w:r>
      <w:r w:rsidRPr="003024E5">
        <w:rPr>
          <w:rFonts w:asciiTheme="minorBidi" w:hAnsiTheme="minorBidi"/>
          <w:sz w:val="16"/>
          <w:szCs w:val="16"/>
          <w:rtl/>
        </w:rPr>
        <w:t>(טור)</w:t>
      </w:r>
      <w:r w:rsidRPr="003024E5">
        <w:rPr>
          <w:rFonts w:asciiTheme="minorBidi" w:hAnsiTheme="minorBidi"/>
          <w:rtl/>
        </w:rPr>
        <w:t>. ואם אחר שהדיח חתך</w:t>
      </w:r>
      <w:r w:rsidRPr="003024E5">
        <w:rPr>
          <w:rStyle w:val="a7"/>
          <w:rFonts w:asciiTheme="minorBidi" w:hAnsiTheme="minorBidi"/>
          <w:rtl/>
        </w:rPr>
        <w:footnoteReference w:id="23"/>
      </w:r>
      <w:r w:rsidRPr="003024E5">
        <w:rPr>
          <w:rFonts w:asciiTheme="minorBidi" w:hAnsiTheme="minorBidi"/>
          <w:rtl/>
        </w:rPr>
        <w:t xml:space="preserve"> כל נתח לשנים</w:t>
      </w:r>
      <w:r>
        <w:rPr>
          <w:rStyle w:val="a7"/>
          <w:rFonts w:asciiTheme="minorBidi" w:hAnsiTheme="minorBidi"/>
          <w:rtl/>
        </w:rPr>
        <w:footnoteReference w:id="24"/>
      </w:r>
      <w:r w:rsidRPr="003024E5">
        <w:rPr>
          <w:rFonts w:asciiTheme="minorBidi" w:hAnsiTheme="minorBidi"/>
          <w:rtl/>
        </w:rPr>
        <w:t xml:space="preserve"> או לשלשה </w:t>
      </w:r>
      <w:r w:rsidRPr="003024E5">
        <w:rPr>
          <w:rFonts w:asciiTheme="minorBidi" w:hAnsiTheme="minorBidi"/>
          <w:sz w:val="18"/>
          <w:szCs w:val="18"/>
          <w:rtl/>
        </w:rPr>
        <w:t>[הגה] או שהסיר טלפי הרגלים, לאחר ההדחה</w:t>
      </w:r>
      <w:r w:rsidRPr="003024E5">
        <w:rPr>
          <w:rStyle w:val="a7"/>
          <w:rFonts w:asciiTheme="minorBidi" w:hAnsiTheme="minorBidi"/>
          <w:sz w:val="18"/>
          <w:szCs w:val="18"/>
          <w:rtl/>
        </w:rPr>
        <w:footnoteReference w:id="25"/>
      </w:r>
      <w:r w:rsidRPr="003024E5">
        <w:rPr>
          <w:rFonts w:asciiTheme="minorBidi" w:hAnsiTheme="minorBidi"/>
          <w:sz w:val="18"/>
          <w:szCs w:val="18"/>
          <w:rtl/>
        </w:rPr>
        <w:t xml:space="preserve"> </w:t>
      </w:r>
      <w:r w:rsidRPr="003024E5">
        <w:rPr>
          <w:rFonts w:asciiTheme="minorBidi" w:hAnsiTheme="minorBidi"/>
          <w:sz w:val="16"/>
          <w:szCs w:val="16"/>
          <w:rtl/>
        </w:rPr>
        <w:t>(ארוך כלל י"ד וי"ז)</w:t>
      </w:r>
      <w:r w:rsidRPr="003024E5">
        <w:rPr>
          <w:rFonts w:asciiTheme="minorBidi" w:hAnsiTheme="minorBidi"/>
          <w:sz w:val="18"/>
          <w:szCs w:val="18"/>
          <w:rtl/>
        </w:rPr>
        <w:t xml:space="preserve"> </w:t>
      </w:r>
      <w:r w:rsidRPr="003024E5">
        <w:rPr>
          <w:rFonts w:asciiTheme="minorBidi" w:hAnsiTheme="minorBidi"/>
          <w:rtl/>
        </w:rPr>
        <w:t xml:space="preserve">צריך לחזור להדיחם. </w:t>
      </w:r>
      <w:r w:rsidRPr="003024E5">
        <w:rPr>
          <w:rFonts w:asciiTheme="minorBidi" w:hAnsiTheme="minorBidi"/>
          <w:sz w:val="18"/>
          <w:szCs w:val="18"/>
          <w:rtl/>
        </w:rPr>
        <w:t xml:space="preserve">הגה: ואם לא עשה כן הוי </w:t>
      </w:r>
      <w:r w:rsidRPr="003024E5">
        <w:rPr>
          <w:rFonts w:asciiTheme="minorBidi" w:hAnsiTheme="minorBidi"/>
          <w:sz w:val="18"/>
          <w:szCs w:val="18"/>
          <w:rtl/>
        </w:rPr>
        <w:lastRenderedPageBreak/>
        <w:t xml:space="preserve">כלא הודח כלל </w:t>
      </w:r>
      <w:r w:rsidRPr="003024E5">
        <w:rPr>
          <w:rFonts w:asciiTheme="minorBidi" w:hAnsiTheme="minorBidi"/>
          <w:sz w:val="16"/>
          <w:szCs w:val="16"/>
          <w:rtl/>
        </w:rPr>
        <w:t>(שם)</w:t>
      </w:r>
      <w:r w:rsidRPr="003024E5">
        <w:rPr>
          <w:rFonts w:asciiTheme="minorBidi" w:hAnsiTheme="minorBidi"/>
          <w:sz w:val="18"/>
          <w:szCs w:val="18"/>
          <w:rtl/>
        </w:rPr>
        <w:t>. הדחת הבשר לכתחלה יזהר לשרותו</w:t>
      </w:r>
      <w:r>
        <w:rPr>
          <w:rStyle w:val="a7"/>
          <w:rFonts w:asciiTheme="minorBidi" w:hAnsiTheme="minorBidi"/>
          <w:sz w:val="18"/>
          <w:szCs w:val="18"/>
          <w:rtl/>
        </w:rPr>
        <w:footnoteReference w:id="26"/>
      </w:r>
      <w:r w:rsidRPr="003024E5">
        <w:rPr>
          <w:rFonts w:asciiTheme="minorBidi" w:hAnsiTheme="minorBidi"/>
          <w:sz w:val="18"/>
          <w:szCs w:val="18"/>
          <w:rtl/>
        </w:rPr>
        <w:t xml:space="preserve"> נגד חצי שעה ולהדיחו היטב במי השרייה, אבל אם לא שראו רק הדיחו היטב סגי ליה</w:t>
      </w:r>
      <w:r w:rsidRPr="003024E5">
        <w:rPr>
          <w:rStyle w:val="a7"/>
          <w:rFonts w:asciiTheme="minorBidi" w:hAnsiTheme="minorBidi"/>
          <w:sz w:val="18"/>
          <w:szCs w:val="18"/>
          <w:rtl/>
        </w:rPr>
        <w:footnoteReference w:id="27"/>
      </w:r>
      <w:r>
        <w:rPr>
          <w:rFonts w:asciiTheme="minorBidi" w:hAnsiTheme="minorBidi" w:hint="cs"/>
          <w:sz w:val="18"/>
          <w:szCs w:val="18"/>
          <w:rtl/>
        </w:rPr>
        <w:t>.</w:t>
      </w:r>
      <w:r w:rsidRPr="003024E5">
        <w:rPr>
          <w:rFonts w:asciiTheme="minorBidi" w:hAnsiTheme="minorBidi"/>
          <w:sz w:val="18"/>
          <w:szCs w:val="18"/>
          <w:rtl/>
        </w:rPr>
        <w:t xml:space="preserve"> ואחר כך ימתין מעט שיטפטפו המים קודם שימלחנו</w:t>
      </w:r>
      <w:r w:rsidRPr="003024E5">
        <w:rPr>
          <w:rStyle w:val="a7"/>
          <w:rFonts w:asciiTheme="minorBidi" w:hAnsiTheme="minorBidi"/>
          <w:sz w:val="18"/>
          <w:szCs w:val="18"/>
          <w:rtl/>
        </w:rPr>
        <w:footnoteReference w:id="28"/>
      </w:r>
      <w:r w:rsidRPr="003024E5">
        <w:rPr>
          <w:rFonts w:asciiTheme="minorBidi" w:hAnsiTheme="minorBidi"/>
          <w:sz w:val="18"/>
          <w:szCs w:val="18"/>
          <w:rtl/>
        </w:rPr>
        <w:t xml:space="preserve">, שלא ימס המלח מן המים ולא יוציא הדם </w:t>
      </w:r>
      <w:r w:rsidRPr="003024E5">
        <w:rPr>
          <w:rFonts w:asciiTheme="minorBidi" w:hAnsiTheme="minorBidi"/>
          <w:sz w:val="16"/>
          <w:szCs w:val="16"/>
          <w:rtl/>
        </w:rPr>
        <w:t>(הגשע"ד הג"א ואו"ה)</w:t>
      </w:r>
      <w:r w:rsidRPr="003024E5">
        <w:rPr>
          <w:rFonts w:asciiTheme="minorBidi" w:hAnsiTheme="minorBidi"/>
          <w:sz w:val="18"/>
          <w:szCs w:val="18"/>
          <w:rtl/>
        </w:rPr>
        <w:t>. ונהגו שלא להשתמש בדברים אחרים בכלי ששורין בו בשר</w:t>
      </w:r>
      <w:r w:rsidRPr="003024E5">
        <w:rPr>
          <w:rStyle w:val="a7"/>
          <w:rFonts w:asciiTheme="minorBidi" w:hAnsiTheme="minorBidi"/>
          <w:sz w:val="18"/>
          <w:szCs w:val="18"/>
          <w:rtl/>
        </w:rPr>
        <w:footnoteReference w:id="29"/>
      </w:r>
      <w:r w:rsidRPr="003024E5">
        <w:rPr>
          <w:rFonts w:asciiTheme="minorBidi" w:hAnsiTheme="minorBidi"/>
          <w:sz w:val="18"/>
          <w:szCs w:val="18"/>
          <w:rtl/>
        </w:rPr>
        <w:t>. ואם נשתהה הבשר בשרייתו מעת לעת הבשר וגם הכלי אסורין</w:t>
      </w:r>
      <w:r w:rsidRPr="003024E5">
        <w:rPr>
          <w:rStyle w:val="a7"/>
          <w:rFonts w:asciiTheme="minorBidi" w:hAnsiTheme="minorBidi"/>
          <w:sz w:val="18"/>
          <w:szCs w:val="18"/>
          <w:rtl/>
        </w:rPr>
        <w:footnoteReference w:id="30"/>
      </w:r>
      <w:r w:rsidRPr="003024E5">
        <w:rPr>
          <w:rFonts w:asciiTheme="minorBidi" w:hAnsiTheme="minorBidi"/>
          <w:sz w:val="18"/>
          <w:szCs w:val="18"/>
          <w:rtl/>
        </w:rPr>
        <w:t>, ועיין לקמן סימן זה</w:t>
      </w:r>
      <w:r w:rsidRPr="003024E5">
        <w:rPr>
          <w:rStyle w:val="a7"/>
          <w:rFonts w:asciiTheme="minorBidi" w:hAnsiTheme="minorBidi"/>
          <w:sz w:val="18"/>
          <w:szCs w:val="18"/>
          <w:rtl/>
        </w:rPr>
        <w:footnoteReference w:id="31"/>
      </w:r>
      <w:r w:rsidRPr="003024E5">
        <w:rPr>
          <w:rFonts w:asciiTheme="minorBidi" w:hAnsiTheme="minorBidi"/>
          <w:sz w:val="18"/>
          <w:szCs w:val="18"/>
          <w:rtl/>
        </w:rPr>
        <w:t>, אבל פחות מעת לעת אין להקפיד. ואף במקום שנאסר הכלי מותר לחזור ולשרות בו</w:t>
      </w:r>
      <w:r w:rsidRPr="003024E5">
        <w:rPr>
          <w:rStyle w:val="a7"/>
          <w:rFonts w:asciiTheme="minorBidi" w:hAnsiTheme="minorBidi"/>
          <w:sz w:val="18"/>
          <w:szCs w:val="18"/>
          <w:rtl/>
        </w:rPr>
        <w:footnoteReference w:id="32"/>
      </w:r>
      <w:r w:rsidRPr="003024E5">
        <w:rPr>
          <w:rFonts w:asciiTheme="minorBidi" w:hAnsiTheme="minorBidi"/>
          <w:sz w:val="18"/>
          <w:szCs w:val="18"/>
          <w:rtl/>
        </w:rPr>
        <w:t xml:space="preserve"> </w:t>
      </w:r>
      <w:r w:rsidRPr="003024E5">
        <w:rPr>
          <w:rFonts w:asciiTheme="minorBidi" w:hAnsiTheme="minorBidi"/>
          <w:sz w:val="16"/>
          <w:szCs w:val="16"/>
          <w:rtl/>
        </w:rPr>
        <w:t>(בארוך)</w:t>
      </w:r>
      <w:r w:rsidRPr="003024E5">
        <w:rPr>
          <w:rFonts w:asciiTheme="minorBidi" w:hAnsiTheme="minorBidi"/>
          <w:sz w:val="18"/>
          <w:szCs w:val="18"/>
          <w:rtl/>
        </w:rPr>
        <w:t>. דין בשר שמלא קרח כיצד נוהגין עם שרייתו עיין לעיל סי</w:t>
      </w:r>
      <w:r>
        <w:rPr>
          <w:rFonts w:asciiTheme="minorBidi" w:hAnsiTheme="minorBidi" w:hint="cs"/>
          <w:sz w:val="18"/>
          <w:szCs w:val="18"/>
          <w:rtl/>
        </w:rPr>
        <w:t>'</w:t>
      </w:r>
      <w:r w:rsidRPr="003024E5">
        <w:rPr>
          <w:rFonts w:asciiTheme="minorBidi" w:hAnsiTheme="minorBidi"/>
          <w:sz w:val="18"/>
          <w:szCs w:val="18"/>
          <w:rtl/>
        </w:rPr>
        <w:t xml:space="preserve"> סח. </w:t>
      </w:r>
      <w:r>
        <w:rPr>
          <w:rFonts w:asciiTheme="minorBidi" w:hAnsiTheme="minorBidi" w:hint="cs"/>
          <w:rtl/>
        </w:rPr>
        <w:t xml:space="preserve"> </w:t>
      </w:r>
    </w:p>
    <w:p w14:paraId="7B0C2C97" w14:textId="77777777" w:rsidR="002C39F4" w:rsidRDefault="002C39F4" w:rsidP="002C39F4">
      <w:pPr>
        <w:rPr>
          <w:rFonts w:asciiTheme="minorBidi" w:hAnsiTheme="minorBidi"/>
          <w:rtl/>
        </w:rPr>
      </w:pPr>
      <w:r w:rsidRPr="00AE7E5A">
        <w:rPr>
          <w:rFonts w:asciiTheme="minorBidi" w:hAnsiTheme="minorBidi" w:hint="cs"/>
          <w:u w:val="single"/>
          <w:rtl/>
        </w:rPr>
        <w:t>בשר שנקרש:</w:t>
      </w:r>
    </w:p>
    <w:p w14:paraId="1D178515" w14:textId="77777777" w:rsidR="002C39F4" w:rsidRDefault="002C39F4" w:rsidP="002C39F4">
      <w:pPr>
        <w:pStyle w:val="a8"/>
        <w:numPr>
          <w:ilvl w:val="0"/>
          <w:numId w:val="1"/>
        </w:numPr>
        <w:rPr>
          <w:rFonts w:asciiTheme="minorBidi" w:hAnsiTheme="minorBidi"/>
        </w:rPr>
      </w:pPr>
      <w:r w:rsidRPr="00AE7E5A">
        <w:rPr>
          <w:rFonts w:asciiTheme="minorBidi" w:hAnsiTheme="minorBidi"/>
          <w:rtl/>
        </w:rPr>
        <w:t xml:space="preserve">רש"ל </w:t>
      </w:r>
      <w:r w:rsidRPr="00AE7E5A">
        <w:rPr>
          <w:rFonts w:asciiTheme="minorBidi" w:hAnsiTheme="minorBidi" w:hint="cs"/>
          <w:sz w:val="16"/>
          <w:szCs w:val="16"/>
          <w:rtl/>
        </w:rPr>
        <w:t>(</w:t>
      </w:r>
      <w:r w:rsidRPr="00AE7E5A">
        <w:rPr>
          <w:rFonts w:asciiTheme="minorBidi" w:hAnsiTheme="minorBidi"/>
          <w:sz w:val="16"/>
          <w:szCs w:val="16"/>
          <w:rtl/>
        </w:rPr>
        <w:t>באוה</w:t>
      </w:r>
      <w:r w:rsidRPr="00AE7E5A">
        <w:rPr>
          <w:rFonts w:asciiTheme="minorBidi" w:hAnsiTheme="minorBidi" w:hint="cs"/>
          <w:sz w:val="16"/>
          <w:szCs w:val="16"/>
          <w:rtl/>
        </w:rPr>
        <w:t xml:space="preserve">"ש </w:t>
      </w:r>
      <w:r w:rsidRPr="00AE7E5A">
        <w:rPr>
          <w:rFonts w:asciiTheme="minorBidi" w:hAnsiTheme="minorBidi"/>
          <w:sz w:val="16"/>
          <w:szCs w:val="16"/>
          <w:rtl/>
        </w:rPr>
        <w:t>ו</w:t>
      </w:r>
      <w:r>
        <w:rPr>
          <w:rFonts w:asciiTheme="minorBidi" w:hAnsiTheme="minorBidi" w:hint="cs"/>
          <w:sz w:val="16"/>
          <w:szCs w:val="16"/>
          <w:rtl/>
        </w:rPr>
        <w:t>ביש"ש</w:t>
      </w:r>
      <w:r w:rsidRPr="00AE7E5A">
        <w:rPr>
          <w:rFonts w:asciiTheme="minorBidi" w:hAnsiTheme="minorBidi"/>
          <w:sz w:val="16"/>
          <w:szCs w:val="16"/>
          <w:rtl/>
        </w:rPr>
        <w:t xml:space="preserve"> פ</w:t>
      </w:r>
      <w:r w:rsidRPr="00AE7E5A">
        <w:rPr>
          <w:rFonts w:asciiTheme="minorBidi" w:hAnsiTheme="minorBidi" w:hint="cs"/>
          <w:sz w:val="16"/>
          <w:szCs w:val="16"/>
          <w:rtl/>
        </w:rPr>
        <w:t>כ"ה</w:t>
      </w:r>
      <w:r w:rsidRPr="00AE7E5A">
        <w:rPr>
          <w:rFonts w:asciiTheme="minorBidi" w:hAnsiTheme="minorBidi"/>
          <w:sz w:val="16"/>
          <w:szCs w:val="16"/>
          <w:rtl/>
        </w:rPr>
        <w:t xml:space="preserve"> סי' צג</w:t>
      </w:r>
      <w:r w:rsidRPr="00AE7E5A">
        <w:rPr>
          <w:rFonts w:asciiTheme="minorBidi" w:hAnsiTheme="minorBidi" w:hint="cs"/>
          <w:sz w:val="16"/>
          <w:szCs w:val="16"/>
          <w:rtl/>
        </w:rPr>
        <w:t>)</w:t>
      </w:r>
      <w:r>
        <w:rPr>
          <w:rFonts w:asciiTheme="minorBidi" w:hAnsiTheme="minorBidi" w:hint="cs"/>
          <w:rtl/>
        </w:rPr>
        <w:t xml:space="preserve"> ו</w:t>
      </w:r>
      <w:r w:rsidRPr="00AE7E5A">
        <w:rPr>
          <w:rFonts w:asciiTheme="minorBidi" w:hAnsiTheme="minorBidi"/>
          <w:rtl/>
        </w:rPr>
        <w:t xml:space="preserve">ש"ך </w:t>
      </w:r>
      <w:r w:rsidRPr="00AE7E5A">
        <w:rPr>
          <w:rFonts w:asciiTheme="minorBidi" w:hAnsiTheme="minorBidi"/>
          <w:sz w:val="16"/>
          <w:szCs w:val="16"/>
          <w:rtl/>
        </w:rPr>
        <w:t>(סקי"א)</w:t>
      </w:r>
      <w:r w:rsidRPr="00AE7E5A">
        <w:rPr>
          <w:rFonts w:asciiTheme="minorBidi" w:hAnsiTheme="minorBidi" w:hint="cs"/>
          <w:rtl/>
        </w:rPr>
        <w:t xml:space="preserve">- </w:t>
      </w:r>
      <w:r w:rsidRPr="00AE7E5A">
        <w:rPr>
          <w:rFonts w:asciiTheme="minorBidi" w:hAnsiTheme="minorBidi"/>
          <w:rtl/>
        </w:rPr>
        <w:t>בשר שנקרש אסור למלחו עד שירכך אותו כמו שהיתה מתחלה</w:t>
      </w:r>
      <w:r>
        <w:rPr>
          <w:rFonts w:asciiTheme="minorBidi" w:hAnsiTheme="minorBidi" w:hint="cs"/>
          <w:rtl/>
        </w:rPr>
        <w:t>,</w:t>
      </w:r>
      <w:r w:rsidRPr="00AE7E5A">
        <w:rPr>
          <w:rFonts w:asciiTheme="minorBidi" w:hAnsiTheme="minorBidi"/>
          <w:rtl/>
        </w:rPr>
        <w:t xml:space="preserve"> ואם נמלח ואח"כ נקרש קודם ששהה שיעור מליחה</w:t>
      </w:r>
      <w:r>
        <w:rPr>
          <w:rFonts w:asciiTheme="minorBidi" w:hAnsiTheme="minorBidi" w:hint="cs"/>
          <w:rtl/>
        </w:rPr>
        <w:t>,</w:t>
      </w:r>
      <w:r w:rsidRPr="00AE7E5A">
        <w:rPr>
          <w:rFonts w:asciiTheme="minorBidi" w:hAnsiTheme="minorBidi"/>
          <w:rtl/>
        </w:rPr>
        <w:t xml:space="preserve"> אם נפשר אח"כ טוב למלחו פעם אחרת ולהשהותו שיעור מליחה</w:t>
      </w:r>
      <w:r>
        <w:rPr>
          <w:rFonts w:asciiTheme="minorBidi" w:hAnsiTheme="minorBidi" w:hint="cs"/>
          <w:rtl/>
        </w:rPr>
        <w:t>,</w:t>
      </w:r>
      <w:r w:rsidRPr="00AE7E5A">
        <w:rPr>
          <w:rFonts w:asciiTheme="minorBidi" w:hAnsiTheme="minorBidi"/>
          <w:rtl/>
        </w:rPr>
        <w:t xml:space="preserve"> ואם לא מלחו פעם אחרת ושהה שיעור מליחה אחר ההפשר ונתבשל מותר בדיעב</w:t>
      </w:r>
      <w:r>
        <w:rPr>
          <w:rFonts w:asciiTheme="minorBidi" w:hAnsiTheme="minorBidi" w:hint="cs"/>
          <w:rtl/>
        </w:rPr>
        <w:t>ד</w:t>
      </w:r>
      <w:r>
        <w:rPr>
          <w:rFonts w:asciiTheme="minorBidi" w:hAnsiTheme="minorBidi" w:hint="cs"/>
          <w:sz w:val="16"/>
          <w:szCs w:val="16"/>
          <w:rtl/>
        </w:rPr>
        <w:t xml:space="preserve"> (ל' הש"ך)</w:t>
      </w:r>
      <w:r>
        <w:rPr>
          <w:rFonts w:asciiTheme="minorBidi" w:hAnsiTheme="minorBidi" w:hint="cs"/>
          <w:rtl/>
        </w:rPr>
        <w:t>.</w:t>
      </w:r>
    </w:p>
    <w:p w14:paraId="2A594395" w14:textId="77777777" w:rsidR="002C39F4" w:rsidRDefault="002C39F4" w:rsidP="002C39F4">
      <w:pPr>
        <w:rPr>
          <w:rFonts w:asciiTheme="minorBidi" w:hAnsiTheme="minorBidi" w:cs="Arial"/>
          <w:rtl/>
        </w:rPr>
      </w:pPr>
      <w:r w:rsidRPr="00AE1396">
        <w:rPr>
          <w:rFonts w:asciiTheme="minorBidi" w:hAnsiTheme="minorBidi" w:cs="Arial"/>
          <w:u w:val="single"/>
          <w:rtl/>
        </w:rPr>
        <w:t>בשר שנמלח ושהה שיעור מליחה והודח ואח"כ נמצא באמצעיתו קרח</w:t>
      </w:r>
      <w:r w:rsidRPr="00AE1396">
        <w:rPr>
          <w:rFonts w:asciiTheme="minorBidi" w:hAnsiTheme="minorBidi" w:cs="Arial"/>
          <w:rtl/>
        </w:rPr>
        <w:t xml:space="preserve"> </w:t>
      </w:r>
      <w:r w:rsidRPr="00AE1396">
        <w:rPr>
          <w:rFonts w:asciiTheme="minorBidi" w:hAnsiTheme="minorBidi" w:cs="Arial"/>
          <w:sz w:val="16"/>
          <w:szCs w:val="16"/>
          <w:rtl/>
        </w:rPr>
        <w:t>(</w:t>
      </w:r>
      <w:r w:rsidRPr="00AE1396">
        <w:rPr>
          <w:rFonts w:asciiTheme="minorBidi" w:hAnsiTheme="minorBidi" w:cs="Arial" w:hint="cs"/>
          <w:sz w:val="16"/>
          <w:szCs w:val="16"/>
          <w:rtl/>
        </w:rPr>
        <w:t>פת"ש סק"</w:t>
      </w:r>
      <w:r w:rsidRPr="00AE1396">
        <w:rPr>
          <w:rFonts w:asciiTheme="minorBidi" w:hAnsiTheme="minorBidi" w:cs="Arial"/>
          <w:sz w:val="16"/>
          <w:szCs w:val="16"/>
          <w:rtl/>
        </w:rPr>
        <w:t>ו)</w:t>
      </w:r>
      <w:r w:rsidRPr="00AE1396">
        <w:rPr>
          <w:rFonts w:asciiTheme="minorBidi" w:hAnsiTheme="minorBidi" w:cs="Arial"/>
          <w:rtl/>
        </w:rPr>
        <w:t xml:space="preserve"> </w:t>
      </w:r>
    </w:p>
    <w:p w14:paraId="3D827383" w14:textId="77777777" w:rsidR="002C39F4" w:rsidRPr="00AE1396" w:rsidRDefault="002C39F4" w:rsidP="002C39F4">
      <w:pPr>
        <w:pStyle w:val="a8"/>
        <w:numPr>
          <w:ilvl w:val="0"/>
          <w:numId w:val="1"/>
        </w:numPr>
        <w:rPr>
          <w:rFonts w:asciiTheme="minorBidi" w:hAnsiTheme="minorBidi"/>
        </w:rPr>
      </w:pPr>
      <w:r w:rsidRPr="00AE1396">
        <w:rPr>
          <w:rFonts w:asciiTheme="minorBidi" w:hAnsiTheme="minorBidi" w:cs="Arial"/>
          <w:rtl/>
        </w:rPr>
        <w:t xml:space="preserve">לוית חן </w:t>
      </w:r>
      <w:r w:rsidRPr="00AE1396">
        <w:rPr>
          <w:rFonts w:asciiTheme="minorBidi" w:hAnsiTheme="minorBidi" w:cs="Arial" w:hint="cs"/>
          <w:sz w:val="16"/>
          <w:szCs w:val="16"/>
          <w:rtl/>
        </w:rPr>
        <w:t>(</w:t>
      </w:r>
      <w:r w:rsidRPr="00AE1396">
        <w:rPr>
          <w:rFonts w:asciiTheme="minorBidi" w:hAnsiTheme="minorBidi" w:cs="Arial"/>
          <w:sz w:val="16"/>
          <w:szCs w:val="16"/>
          <w:rtl/>
        </w:rPr>
        <w:t>פרשה אחרי</w:t>
      </w:r>
      <w:r w:rsidRPr="00AE1396">
        <w:rPr>
          <w:rFonts w:asciiTheme="minorBidi" w:hAnsiTheme="minorBidi" w:cs="Arial" w:hint="cs"/>
          <w:sz w:val="16"/>
          <w:szCs w:val="16"/>
          <w:rtl/>
        </w:rPr>
        <w:t>)</w:t>
      </w:r>
      <w:r>
        <w:rPr>
          <w:rFonts w:asciiTheme="minorBidi" w:hAnsiTheme="minorBidi" w:cs="Arial" w:hint="cs"/>
          <w:rtl/>
        </w:rPr>
        <w:t>-</w:t>
      </w:r>
      <w:r w:rsidRPr="00AE1396">
        <w:rPr>
          <w:rFonts w:asciiTheme="minorBidi" w:hAnsiTheme="minorBidi" w:cs="Arial"/>
          <w:rtl/>
        </w:rPr>
        <w:t xml:space="preserve"> לא מהני לבשר זה שיחזור וימלחנו אחר שנפשר כיון דהבשר סביביו היה נפשר בשעת מליחה ופלט כל דמו שוב לא יפלוט המליחה לדם שבפנים</w:t>
      </w:r>
      <w:r>
        <w:rPr>
          <w:rFonts w:asciiTheme="minorBidi" w:hAnsiTheme="minorBidi" w:cs="Arial" w:hint="cs"/>
          <w:rtl/>
        </w:rPr>
        <w:t>,</w:t>
      </w:r>
      <w:r w:rsidRPr="00AE1396">
        <w:rPr>
          <w:rFonts w:asciiTheme="minorBidi" w:hAnsiTheme="minorBidi" w:cs="Arial"/>
          <w:rtl/>
        </w:rPr>
        <w:t xml:space="preserve"> כמו בחלחולת בסי</w:t>
      </w:r>
      <w:r>
        <w:rPr>
          <w:rFonts w:asciiTheme="minorBidi" w:hAnsiTheme="minorBidi" w:cs="Arial" w:hint="cs"/>
          <w:rtl/>
        </w:rPr>
        <w:t xml:space="preserve">' </w:t>
      </w:r>
      <w:r w:rsidRPr="00AE1396">
        <w:rPr>
          <w:rFonts w:asciiTheme="minorBidi" w:hAnsiTheme="minorBidi" w:cs="Arial"/>
          <w:rtl/>
        </w:rPr>
        <w:t>עה</w:t>
      </w:r>
      <w:r>
        <w:rPr>
          <w:rFonts w:asciiTheme="minorBidi" w:hAnsiTheme="minorBidi" w:cs="Arial" w:hint="cs"/>
          <w:rtl/>
        </w:rPr>
        <w:t>,</w:t>
      </w:r>
      <w:r w:rsidRPr="00AE1396">
        <w:rPr>
          <w:rFonts w:asciiTheme="minorBidi" w:hAnsiTheme="minorBidi" w:cs="Arial"/>
          <w:rtl/>
        </w:rPr>
        <w:t xml:space="preserve"> ואין תקנה לבשר זה רק לצלותו</w:t>
      </w:r>
      <w:r>
        <w:rPr>
          <w:rFonts w:asciiTheme="minorBidi" w:hAnsiTheme="minorBidi" w:cs="Arial" w:hint="cs"/>
          <w:rtl/>
        </w:rPr>
        <w:t>.</w:t>
      </w:r>
    </w:p>
    <w:p w14:paraId="50962DE6" w14:textId="77777777" w:rsidR="002C39F4" w:rsidRPr="00942B9C" w:rsidRDefault="002C39F4" w:rsidP="002C39F4">
      <w:pPr>
        <w:pStyle w:val="a8"/>
        <w:numPr>
          <w:ilvl w:val="0"/>
          <w:numId w:val="1"/>
        </w:numPr>
        <w:rPr>
          <w:rFonts w:asciiTheme="minorBidi" w:hAnsiTheme="minorBidi"/>
        </w:rPr>
      </w:pPr>
      <w:r w:rsidRPr="00AE1396">
        <w:rPr>
          <w:rFonts w:asciiTheme="minorBidi" w:hAnsiTheme="minorBidi" w:cs="Arial"/>
          <w:rtl/>
        </w:rPr>
        <w:t>גבעת שאול</w:t>
      </w:r>
      <w:r w:rsidRPr="00942B9C">
        <w:rPr>
          <w:rFonts w:asciiTheme="minorBidi" w:hAnsiTheme="minorBidi" w:cs="Arial"/>
          <w:sz w:val="16"/>
          <w:szCs w:val="16"/>
          <w:rtl/>
        </w:rPr>
        <w:t xml:space="preserve"> </w:t>
      </w:r>
      <w:r w:rsidRPr="00942B9C">
        <w:rPr>
          <w:rFonts w:asciiTheme="minorBidi" w:hAnsiTheme="minorBidi" w:cs="Arial" w:hint="cs"/>
          <w:sz w:val="16"/>
          <w:szCs w:val="16"/>
          <w:rtl/>
        </w:rPr>
        <w:t>(</w:t>
      </w:r>
      <w:r w:rsidRPr="00942B9C">
        <w:rPr>
          <w:rFonts w:asciiTheme="minorBidi" w:hAnsiTheme="minorBidi" w:cs="Arial"/>
          <w:sz w:val="16"/>
          <w:szCs w:val="16"/>
          <w:rtl/>
        </w:rPr>
        <w:t>סי' טז</w:t>
      </w:r>
      <w:r w:rsidRPr="00942B9C">
        <w:rPr>
          <w:rFonts w:asciiTheme="minorBidi" w:hAnsiTheme="minorBidi" w:cs="Arial" w:hint="cs"/>
          <w:sz w:val="16"/>
          <w:szCs w:val="16"/>
          <w:rtl/>
        </w:rPr>
        <w:t>)</w:t>
      </w:r>
      <w:r>
        <w:rPr>
          <w:rFonts w:asciiTheme="minorBidi" w:hAnsiTheme="minorBidi" w:cs="Arial" w:hint="cs"/>
          <w:rtl/>
        </w:rPr>
        <w:t xml:space="preserve">- </w:t>
      </w:r>
      <w:r w:rsidRPr="00AE1396">
        <w:rPr>
          <w:rFonts w:asciiTheme="minorBidi" w:hAnsiTheme="minorBidi" w:cs="Arial"/>
          <w:rtl/>
        </w:rPr>
        <w:t>אם לא הודח עדיין יש תקנה להתיר ע"י שידיחנו קודם רק להעביר הליכלוך של ציר ואז ודאי דמהני מליחה שנית אפילו שלא במקום הפסד</w:t>
      </w:r>
      <w:r>
        <w:rPr>
          <w:rFonts w:asciiTheme="minorBidi" w:hAnsiTheme="minorBidi" w:cs="Arial" w:hint="cs"/>
          <w:rtl/>
        </w:rPr>
        <w:t>,</w:t>
      </w:r>
      <w:r w:rsidRPr="00AE1396">
        <w:rPr>
          <w:rFonts w:asciiTheme="minorBidi" w:hAnsiTheme="minorBidi" w:cs="Arial"/>
          <w:rtl/>
        </w:rPr>
        <w:t xml:space="preserve"> אך אם כבר הודח היטב אין תקנה רק לצלותו</w:t>
      </w:r>
      <w:r>
        <w:rPr>
          <w:rFonts w:asciiTheme="minorBidi" w:hAnsiTheme="minorBidi" w:cs="Arial" w:hint="cs"/>
          <w:rtl/>
        </w:rPr>
        <w:t>,</w:t>
      </w:r>
      <w:r w:rsidRPr="00AE1396">
        <w:rPr>
          <w:rFonts w:asciiTheme="minorBidi" w:hAnsiTheme="minorBidi" w:cs="Arial"/>
          <w:rtl/>
        </w:rPr>
        <w:t xml:space="preserve"> ואם כבר נמלח שנית אחר שהודח כדין הדחה גמורה יש לאסור אף לצלי</w:t>
      </w:r>
      <w:r>
        <w:rPr>
          <w:rFonts w:asciiTheme="minorBidi" w:hAnsiTheme="minorBidi" w:cs="Arial" w:hint="cs"/>
          <w:rtl/>
        </w:rPr>
        <w:t>.</w:t>
      </w:r>
    </w:p>
    <w:p w14:paraId="2C6BAB12" w14:textId="77777777" w:rsidR="002C39F4" w:rsidRPr="00942B9C" w:rsidRDefault="002C39F4" w:rsidP="002C39F4">
      <w:pPr>
        <w:rPr>
          <w:rFonts w:asciiTheme="minorBidi" w:hAnsiTheme="minorBidi"/>
          <w:u w:val="single"/>
        </w:rPr>
      </w:pPr>
      <w:r w:rsidRPr="00942B9C">
        <w:rPr>
          <w:rFonts w:asciiTheme="minorBidi" w:hAnsiTheme="minorBidi" w:cs="Arial"/>
          <w:u w:val="single"/>
          <w:rtl/>
        </w:rPr>
        <w:t>בשר ששרה במים ונקרש</w:t>
      </w:r>
      <w:r>
        <w:rPr>
          <w:rFonts w:asciiTheme="minorBidi" w:hAnsiTheme="minorBidi" w:cs="Arial" w:hint="cs"/>
          <w:u w:val="single"/>
          <w:rtl/>
        </w:rPr>
        <w:t xml:space="preserve"> הבשר תיכף עם המים ונעשה קרח ושהה כמה ימים בלא מליחה</w:t>
      </w:r>
      <w:r>
        <w:rPr>
          <w:rFonts w:asciiTheme="minorBidi" w:hAnsiTheme="minorBidi" w:hint="cs"/>
          <w:u w:val="single"/>
          <w:rtl/>
        </w:rPr>
        <w:t>:</w:t>
      </w:r>
      <w:r>
        <w:rPr>
          <w:rFonts w:asciiTheme="minorBidi" w:hAnsiTheme="minorBidi" w:cs="Arial" w:hint="cs"/>
          <w:sz w:val="16"/>
          <w:szCs w:val="16"/>
          <w:rtl/>
        </w:rPr>
        <w:t xml:space="preserve"> </w:t>
      </w:r>
      <w:r w:rsidRPr="00942B9C">
        <w:rPr>
          <w:rFonts w:asciiTheme="minorBidi" w:hAnsiTheme="minorBidi" w:cs="Arial"/>
          <w:sz w:val="16"/>
          <w:szCs w:val="16"/>
          <w:rtl/>
        </w:rPr>
        <w:t xml:space="preserve"> </w:t>
      </w:r>
      <w:r>
        <w:rPr>
          <w:rFonts w:asciiTheme="minorBidi" w:hAnsiTheme="minorBidi" w:cs="Arial" w:hint="cs"/>
          <w:sz w:val="16"/>
          <w:szCs w:val="16"/>
          <w:rtl/>
        </w:rPr>
        <w:t xml:space="preserve"> </w:t>
      </w:r>
      <w:r w:rsidRPr="00AE1396">
        <w:rPr>
          <w:rFonts w:asciiTheme="minorBidi" w:hAnsiTheme="minorBidi" w:cs="Arial"/>
          <w:sz w:val="16"/>
          <w:szCs w:val="16"/>
          <w:rtl/>
        </w:rPr>
        <w:t>(</w:t>
      </w:r>
      <w:r>
        <w:rPr>
          <w:rFonts w:asciiTheme="minorBidi" w:hAnsiTheme="minorBidi" w:cs="Arial" w:hint="cs"/>
          <w:sz w:val="16"/>
          <w:szCs w:val="16"/>
          <w:rtl/>
        </w:rPr>
        <w:t xml:space="preserve">באה"ט </w:t>
      </w:r>
      <w:r w:rsidRPr="00AE1396">
        <w:rPr>
          <w:rFonts w:asciiTheme="minorBidi" w:hAnsiTheme="minorBidi" w:cs="Arial" w:hint="cs"/>
          <w:sz w:val="16"/>
          <w:szCs w:val="16"/>
          <w:rtl/>
        </w:rPr>
        <w:t>פת"ש סק"</w:t>
      </w:r>
      <w:r w:rsidRPr="00AE1396">
        <w:rPr>
          <w:rFonts w:asciiTheme="minorBidi" w:hAnsiTheme="minorBidi" w:cs="Arial"/>
          <w:sz w:val="16"/>
          <w:szCs w:val="16"/>
          <w:rtl/>
        </w:rPr>
        <w:t>ו)</w:t>
      </w:r>
    </w:p>
    <w:p w14:paraId="398E9533" w14:textId="77777777" w:rsidR="002C39F4" w:rsidRPr="00942B9C" w:rsidRDefault="002C39F4" w:rsidP="002C39F4">
      <w:pPr>
        <w:pStyle w:val="a8"/>
        <w:numPr>
          <w:ilvl w:val="0"/>
          <w:numId w:val="1"/>
        </w:numPr>
        <w:rPr>
          <w:rFonts w:asciiTheme="minorBidi" w:hAnsiTheme="minorBidi"/>
        </w:rPr>
      </w:pPr>
      <w:r>
        <w:rPr>
          <w:rFonts w:asciiTheme="minorBidi" w:hAnsiTheme="minorBidi" w:hint="cs"/>
          <w:rtl/>
        </w:rPr>
        <w:t xml:space="preserve">מנחת יעקב </w:t>
      </w:r>
      <w:r w:rsidRPr="00942B9C">
        <w:rPr>
          <w:rFonts w:asciiTheme="minorBidi" w:hAnsiTheme="minorBidi" w:hint="cs"/>
          <w:sz w:val="16"/>
          <w:szCs w:val="16"/>
          <w:rtl/>
        </w:rPr>
        <w:t>(סוף ספר ת"ח סי' יד)</w:t>
      </w:r>
      <w:r>
        <w:rPr>
          <w:rFonts w:asciiTheme="minorBidi" w:hAnsiTheme="minorBidi" w:hint="cs"/>
          <w:rtl/>
        </w:rPr>
        <w:t>- אם שהה ג' ימים בתוך הקרח יש לאסור ממה נפשך, אי חשבינן הקרח כמים הוי כבשר ששהה במים מעל"ע שמבליע הדם,</w:t>
      </w:r>
      <w:r w:rsidRPr="00942B9C">
        <w:rPr>
          <w:rFonts w:asciiTheme="minorBidi" w:hAnsiTheme="minorBidi" w:hint="cs"/>
          <w:rtl/>
        </w:rPr>
        <w:t xml:space="preserve"> </w:t>
      </w:r>
      <w:r>
        <w:rPr>
          <w:rFonts w:asciiTheme="minorBidi" w:hAnsiTheme="minorBidi" w:hint="cs"/>
          <w:rtl/>
        </w:rPr>
        <w:t>ואי לא חשיב הקרח כמים א"כ הוי כבשר ששהה ג' ימים בלא הדחה, אבל לצלי מותר בכל עניין</w:t>
      </w:r>
      <w:r>
        <w:rPr>
          <w:rFonts w:asciiTheme="minorBidi" w:hAnsiTheme="minorBidi" w:hint="cs"/>
          <w:sz w:val="16"/>
          <w:szCs w:val="16"/>
          <w:rtl/>
        </w:rPr>
        <w:t xml:space="preserve"> (עיי"ש שהוכיח דקרח לא חשיב כמים)</w:t>
      </w:r>
      <w:r>
        <w:rPr>
          <w:rFonts w:asciiTheme="minorBidi" w:hAnsiTheme="minorBidi" w:hint="cs"/>
          <w:rtl/>
        </w:rPr>
        <w:t>.</w:t>
      </w:r>
    </w:p>
    <w:p w14:paraId="2DFEA031" w14:textId="77777777" w:rsidR="002C39F4" w:rsidRPr="00942B9C" w:rsidRDefault="002C39F4" w:rsidP="002C39F4">
      <w:pPr>
        <w:pStyle w:val="a8"/>
        <w:numPr>
          <w:ilvl w:val="0"/>
          <w:numId w:val="1"/>
        </w:numPr>
        <w:rPr>
          <w:rFonts w:asciiTheme="minorBidi" w:hAnsiTheme="minorBidi"/>
        </w:rPr>
      </w:pPr>
      <w:r w:rsidRPr="00AE1396">
        <w:rPr>
          <w:rFonts w:asciiTheme="minorBidi" w:hAnsiTheme="minorBidi" w:cs="Arial"/>
          <w:rtl/>
        </w:rPr>
        <w:t xml:space="preserve">דבר שמואל </w:t>
      </w:r>
      <w:r>
        <w:rPr>
          <w:rFonts w:asciiTheme="minorBidi" w:hAnsiTheme="minorBidi" w:cs="Arial" w:hint="cs"/>
          <w:sz w:val="16"/>
          <w:szCs w:val="16"/>
          <w:rtl/>
        </w:rPr>
        <w:t>(</w:t>
      </w:r>
      <w:r w:rsidRPr="00942B9C">
        <w:rPr>
          <w:rFonts w:asciiTheme="minorBidi" w:hAnsiTheme="minorBidi" w:cs="Arial"/>
          <w:sz w:val="16"/>
          <w:szCs w:val="16"/>
          <w:rtl/>
        </w:rPr>
        <w:t>סי</w:t>
      </w:r>
      <w:r w:rsidRPr="00942B9C">
        <w:rPr>
          <w:rFonts w:asciiTheme="minorBidi" w:hAnsiTheme="minorBidi" w:cs="Arial" w:hint="cs"/>
          <w:sz w:val="16"/>
          <w:szCs w:val="16"/>
          <w:rtl/>
        </w:rPr>
        <w:t>'</w:t>
      </w:r>
      <w:r w:rsidRPr="00942B9C">
        <w:rPr>
          <w:rFonts w:asciiTheme="minorBidi" w:hAnsiTheme="minorBidi" w:cs="Arial"/>
          <w:sz w:val="16"/>
          <w:szCs w:val="16"/>
          <w:rtl/>
        </w:rPr>
        <w:t xml:space="preserve"> שעג</w:t>
      </w:r>
      <w:r w:rsidRPr="00942B9C">
        <w:rPr>
          <w:rFonts w:asciiTheme="minorBidi" w:hAnsiTheme="minorBidi" w:cs="Arial" w:hint="cs"/>
          <w:sz w:val="16"/>
          <w:szCs w:val="16"/>
          <w:rtl/>
        </w:rPr>
        <w:t>)</w:t>
      </w:r>
      <w:r>
        <w:rPr>
          <w:rFonts w:asciiTheme="minorBidi" w:hAnsiTheme="minorBidi" w:cs="Arial" w:hint="cs"/>
          <w:rtl/>
        </w:rPr>
        <w:t>-</w:t>
      </w:r>
      <w:r w:rsidRPr="00AE1396">
        <w:rPr>
          <w:rFonts w:asciiTheme="minorBidi" w:hAnsiTheme="minorBidi" w:cs="Arial"/>
          <w:rtl/>
        </w:rPr>
        <w:t xml:space="preserve"> אסור אף אם לא נשרה בקרח רק מעל"ע</w:t>
      </w:r>
      <w:r>
        <w:rPr>
          <w:rFonts w:asciiTheme="minorBidi" w:hAnsiTheme="minorBidi" w:cs="Arial" w:hint="cs"/>
          <w:rtl/>
        </w:rPr>
        <w:t>.</w:t>
      </w:r>
      <w:r w:rsidRPr="00AE1396">
        <w:rPr>
          <w:rFonts w:asciiTheme="minorBidi" w:hAnsiTheme="minorBidi" w:cs="Arial"/>
          <w:rtl/>
        </w:rPr>
        <w:t xml:space="preserve"> </w:t>
      </w:r>
    </w:p>
    <w:p w14:paraId="1C544966" w14:textId="77777777" w:rsidR="002C39F4" w:rsidRPr="00AE7E5A" w:rsidRDefault="002C39F4" w:rsidP="002C39F4">
      <w:pPr>
        <w:pStyle w:val="a8"/>
        <w:numPr>
          <w:ilvl w:val="0"/>
          <w:numId w:val="1"/>
        </w:numPr>
        <w:rPr>
          <w:rFonts w:asciiTheme="minorBidi" w:hAnsiTheme="minorBidi"/>
          <w:rtl/>
        </w:rPr>
      </w:pPr>
      <w:r w:rsidRPr="00AE1396">
        <w:rPr>
          <w:rFonts w:asciiTheme="minorBidi" w:hAnsiTheme="minorBidi" w:cs="Arial"/>
          <w:rtl/>
        </w:rPr>
        <w:t xml:space="preserve">קרית חנה </w:t>
      </w:r>
      <w:r w:rsidRPr="00942B9C">
        <w:rPr>
          <w:rFonts w:asciiTheme="minorBidi" w:hAnsiTheme="minorBidi" w:cs="Arial" w:hint="cs"/>
          <w:sz w:val="16"/>
          <w:szCs w:val="16"/>
          <w:rtl/>
        </w:rPr>
        <w:t>(</w:t>
      </w:r>
      <w:r w:rsidRPr="00942B9C">
        <w:rPr>
          <w:rFonts w:asciiTheme="minorBidi" w:hAnsiTheme="minorBidi" w:cs="Arial"/>
          <w:sz w:val="16"/>
          <w:szCs w:val="16"/>
          <w:rtl/>
        </w:rPr>
        <w:t>סי</w:t>
      </w:r>
      <w:r w:rsidRPr="00942B9C">
        <w:rPr>
          <w:rFonts w:asciiTheme="minorBidi" w:hAnsiTheme="minorBidi" w:cs="Arial" w:hint="cs"/>
          <w:sz w:val="16"/>
          <w:szCs w:val="16"/>
          <w:rtl/>
        </w:rPr>
        <w:t>'</w:t>
      </w:r>
      <w:r w:rsidRPr="00942B9C">
        <w:rPr>
          <w:rFonts w:asciiTheme="minorBidi" w:hAnsiTheme="minorBidi" w:cs="Arial"/>
          <w:sz w:val="16"/>
          <w:szCs w:val="16"/>
          <w:rtl/>
        </w:rPr>
        <w:t xml:space="preserve"> כט</w:t>
      </w:r>
      <w:r w:rsidRPr="00942B9C">
        <w:rPr>
          <w:rFonts w:asciiTheme="minorBidi" w:hAnsiTheme="minorBidi" w:cs="Arial" w:hint="cs"/>
          <w:sz w:val="16"/>
          <w:szCs w:val="16"/>
          <w:rtl/>
        </w:rPr>
        <w:t>)</w:t>
      </w:r>
      <w:r>
        <w:rPr>
          <w:rFonts w:asciiTheme="minorBidi" w:hAnsiTheme="minorBidi" w:cs="Arial" w:hint="cs"/>
          <w:rtl/>
        </w:rPr>
        <w:t>-</w:t>
      </w:r>
      <w:r w:rsidRPr="00AE1396">
        <w:rPr>
          <w:rFonts w:asciiTheme="minorBidi" w:hAnsiTheme="minorBidi" w:cs="Arial"/>
          <w:rtl/>
        </w:rPr>
        <w:t xml:space="preserve"> קרח לא חשיב כמים</w:t>
      </w:r>
      <w:r>
        <w:rPr>
          <w:rFonts w:asciiTheme="minorBidi" w:hAnsiTheme="minorBidi" w:cs="Arial" w:hint="cs"/>
          <w:sz w:val="16"/>
          <w:szCs w:val="16"/>
          <w:rtl/>
        </w:rPr>
        <w:t xml:space="preserve"> {כדעת המנחת יעקב}</w:t>
      </w:r>
      <w:r w:rsidRPr="00AE1396">
        <w:rPr>
          <w:rFonts w:asciiTheme="minorBidi" w:hAnsiTheme="minorBidi" w:cs="Arial"/>
          <w:rtl/>
        </w:rPr>
        <w:t xml:space="preserve"> ולכן אם לא שהה בקרח רק מעל"ע בודאי שרי</w:t>
      </w:r>
      <w:r>
        <w:rPr>
          <w:rFonts w:asciiTheme="minorBidi" w:hAnsiTheme="minorBidi" w:cs="Arial" w:hint="cs"/>
          <w:rtl/>
        </w:rPr>
        <w:t>,</w:t>
      </w:r>
      <w:r w:rsidRPr="00AE1396">
        <w:rPr>
          <w:rFonts w:asciiTheme="minorBidi" w:hAnsiTheme="minorBidi" w:cs="Arial"/>
          <w:rtl/>
        </w:rPr>
        <w:t xml:space="preserve"> ואף אם שהה כן ג</w:t>
      </w:r>
      <w:r>
        <w:rPr>
          <w:rFonts w:asciiTheme="minorBidi" w:hAnsiTheme="minorBidi" w:cs="Arial" w:hint="cs"/>
          <w:rtl/>
        </w:rPr>
        <w:t>' ימים</w:t>
      </w:r>
      <w:r w:rsidRPr="00AE1396">
        <w:rPr>
          <w:rFonts w:asciiTheme="minorBidi" w:hAnsiTheme="minorBidi" w:cs="Arial"/>
          <w:rtl/>
        </w:rPr>
        <w:t xml:space="preserve"> ג"כ אין ברור לאסו</w:t>
      </w:r>
      <w:r>
        <w:rPr>
          <w:rFonts w:asciiTheme="minorBidi" w:hAnsiTheme="minorBidi" w:cs="Arial" w:hint="cs"/>
          <w:rtl/>
        </w:rPr>
        <w:t>ר.</w:t>
      </w:r>
    </w:p>
    <w:p w14:paraId="6890A079" w14:textId="77777777" w:rsidR="002C39F4" w:rsidRPr="003024E5" w:rsidRDefault="002C39F4" w:rsidP="002C39F4">
      <w:pPr>
        <w:rPr>
          <w:rFonts w:asciiTheme="minorBidi" w:hAnsiTheme="minorBidi"/>
          <w:rtl/>
        </w:rPr>
      </w:pPr>
    </w:p>
    <w:p w14:paraId="0F693AAB" w14:textId="77777777" w:rsidR="002C39F4" w:rsidRDefault="002C39F4" w:rsidP="002C39F4">
      <w:pPr>
        <w:pStyle w:val="2"/>
        <w:rPr>
          <w:rFonts w:asciiTheme="minorBidi" w:hAnsiTheme="minorBidi"/>
          <w:rtl/>
        </w:rPr>
      </w:pPr>
      <w:r w:rsidRPr="003024E5">
        <w:rPr>
          <w:rFonts w:asciiTheme="minorBidi" w:hAnsiTheme="minorBidi"/>
          <w:rtl/>
        </w:rPr>
        <w:t>סעיף ב: מלח ולא הדיח תחילה</w:t>
      </w:r>
    </w:p>
    <w:p w14:paraId="52FC7D80" w14:textId="77777777" w:rsidR="002C39F4" w:rsidRPr="008D055C" w:rsidRDefault="002C39F4" w:rsidP="002C39F4">
      <w:pPr>
        <w:rPr>
          <w:rtl/>
        </w:rPr>
      </w:pPr>
      <w:r w:rsidRPr="003024E5">
        <w:rPr>
          <w:rFonts w:asciiTheme="minorBidi" w:hAnsiTheme="minorBidi"/>
          <w:b/>
          <w:bCs/>
          <w:rtl/>
        </w:rPr>
        <w:t xml:space="preserve">חולין קיג ע"א: </w:t>
      </w:r>
      <w:r w:rsidRPr="003024E5">
        <w:rPr>
          <w:rFonts w:asciiTheme="minorBidi" w:hAnsiTheme="minorBidi"/>
          <w:u w:val="single"/>
          <w:rtl/>
        </w:rPr>
        <w:t>אמר שמואל:</w:t>
      </w:r>
      <w:r>
        <w:rPr>
          <w:rFonts w:asciiTheme="minorBidi" w:hAnsiTheme="minorBidi" w:hint="cs"/>
          <w:rtl/>
        </w:rPr>
        <w:t xml:space="preserve"> </w:t>
      </w:r>
      <w:r w:rsidRPr="003024E5">
        <w:rPr>
          <w:rFonts w:asciiTheme="minorBidi" w:hAnsiTheme="minorBidi"/>
          <w:rtl/>
        </w:rPr>
        <w:t xml:space="preserve">אין הבשר יוצא מידי דמו אלא א"כ מולחו יפה יפה, ומדיחו יפה יפה. אתמר, </w:t>
      </w:r>
      <w:r w:rsidRPr="003024E5">
        <w:rPr>
          <w:rFonts w:asciiTheme="minorBidi" w:hAnsiTheme="minorBidi"/>
          <w:u w:val="single"/>
          <w:rtl/>
        </w:rPr>
        <w:t>רב הונא אמר:</w:t>
      </w:r>
      <w:r w:rsidRPr="003024E5">
        <w:rPr>
          <w:rFonts w:asciiTheme="minorBidi" w:hAnsiTheme="minorBidi"/>
          <w:rtl/>
        </w:rPr>
        <w:t xml:space="preserve"> מולח ומדיח, במתניתא תנא: מדיח ומולח ומדיח; ולא פליגי, הא דחלליה בי טבחא</w:t>
      </w:r>
      <w:r w:rsidRPr="003024E5">
        <w:rPr>
          <w:rStyle w:val="a7"/>
          <w:rFonts w:asciiTheme="minorBidi" w:hAnsiTheme="minorBidi"/>
          <w:rtl/>
        </w:rPr>
        <w:footnoteReference w:id="33"/>
      </w:r>
      <w:r w:rsidRPr="003024E5">
        <w:rPr>
          <w:rFonts w:asciiTheme="minorBidi" w:hAnsiTheme="minorBidi"/>
          <w:rtl/>
        </w:rPr>
        <w:t>, הא דלא חלליה בי טבחא.</w:t>
      </w:r>
    </w:p>
    <w:p w14:paraId="3B676700" w14:textId="77777777" w:rsidR="002C39F4" w:rsidRPr="003024E5" w:rsidRDefault="002C39F4" w:rsidP="002C39F4">
      <w:pPr>
        <w:rPr>
          <w:rFonts w:asciiTheme="minorBidi" w:hAnsiTheme="minorBidi"/>
          <w:u w:val="single"/>
          <w:rtl/>
        </w:rPr>
      </w:pPr>
      <w:r w:rsidRPr="003024E5">
        <w:rPr>
          <w:rFonts w:asciiTheme="minorBidi" w:hAnsiTheme="minorBidi"/>
          <w:u w:val="single"/>
          <w:rtl/>
        </w:rPr>
        <w:t>מלח ולא הדיח תחילה:</w:t>
      </w:r>
    </w:p>
    <w:p w14:paraId="08E73A21" w14:textId="77777777" w:rsidR="002C39F4" w:rsidRPr="003024E5" w:rsidRDefault="002C39F4" w:rsidP="002C39F4">
      <w:pPr>
        <w:pStyle w:val="a8"/>
        <w:numPr>
          <w:ilvl w:val="0"/>
          <w:numId w:val="1"/>
        </w:numPr>
        <w:rPr>
          <w:rFonts w:asciiTheme="minorBidi" w:hAnsiTheme="minorBidi"/>
        </w:rPr>
      </w:pPr>
      <w:r w:rsidRPr="003024E5">
        <w:rPr>
          <w:rFonts w:asciiTheme="minorBidi" w:hAnsiTheme="minorBidi"/>
          <w:rtl/>
        </w:rPr>
        <w:t xml:space="preserve">רא"ש </w:t>
      </w:r>
      <w:r w:rsidRPr="003024E5">
        <w:rPr>
          <w:rFonts w:asciiTheme="minorBidi" w:hAnsiTheme="minorBidi"/>
          <w:sz w:val="16"/>
          <w:szCs w:val="16"/>
          <w:rtl/>
        </w:rPr>
        <w:t>(סי' מו)</w:t>
      </w:r>
      <w:r w:rsidRPr="003024E5">
        <w:rPr>
          <w:rFonts w:asciiTheme="minorBidi" w:hAnsiTheme="minorBidi"/>
          <w:rtl/>
        </w:rPr>
        <w:t xml:space="preserve">- לפי מ"ש בעל סה"ת </w:t>
      </w:r>
      <w:r w:rsidRPr="003024E5">
        <w:rPr>
          <w:rFonts w:asciiTheme="minorBidi" w:hAnsiTheme="minorBidi"/>
          <w:sz w:val="16"/>
          <w:szCs w:val="16"/>
          <w:rtl/>
        </w:rPr>
        <w:t xml:space="preserve">(סי' סט) </w:t>
      </w:r>
      <w:r w:rsidRPr="003024E5">
        <w:rPr>
          <w:rFonts w:asciiTheme="minorBidi" w:hAnsiTheme="minorBidi"/>
          <w:rtl/>
        </w:rPr>
        <w:t>דבשר שנמלח שנתנוהו על בשר שלא נמלח שיש לו תקנה במליחה ויפלוט דם שבלע עם דמו כ"ש הכא דשרי, כיון שפולט דם שקיבל מעלמא כ"ש דמו וכן מסתבר.</w:t>
      </w:r>
      <w:r w:rsidRPr="002207D3">
        <w:rPr>
          <w:rFonts w:asciiTheme="minorBidi" w:hAnsiTheme="minorBidi"/>
          <w:color w:val="E36C0A" w:themeColor="accent6" w:themeShade="BF"/>
          <w:rtl/>
        </w:rPr>
        <w:t xml:space="preserve"> </w:t>
      </w:r>
    </w:p>
    <w:p w14:paraId="29ADB046" w14:textId="77777777" w:rsidR="002C39F4" w:rsidRPr="003024E5" w:rsidRDefault="002C39F4" w:rsidP="002C39F4">
      <w:pPr>
        <w:pStyle w:val="a8"/>
        <w:numPr>
          <w:ilvl w:val="0"/>
          <w:numId w:val="1"/>
        </w:numPr>
        <w:rPr>
          <w:rFonts w:asciiTheme="minorBidi" w:hAnsiTheme="minorBidi"/>
          <w:rtl/>
        </w:rPr>
      </w:pPr>
      <w:r w:rsidRPr="003024E5">
        <w:rPr>
          <w:rFonts w:asciiTheme="minorBidi" w:hAnsiTheme="minorBidi"/>
          <w:rtl/>
        </w:rPr>
        <w:lastRenderedPageBreak/>
        <w:t>מהר"ם</w:t>
      </w:r>
      <w:r w:rsidRPr="003024E5">
        <w:rPr>
          <w:rStyle w:val="a7"/>
          <w:rFonts w:asciiTheme="minorBidi" w:hAnsiTheme="minorBidi"/>
          <w:rtl/>
        </w:rPr>
        <w:footnoteReference w:id="34"/>
      </w:r>
      <w:r w:rsidRPr="003024E5">
        <w:rPr>
          <w:rFonts w:asciiTheme="minorBidi" w:hAnsiTheme="minorBidi"/>
          <w:rtl/>
        </w:rPr>
        <w:t xml:space="preserve">- מותר בדיעבד, וראיה מכבדא עילוי בישרא </w:t>
      </w:r>
      <w:r w:rsidRPr="003024E5">
        <w:rPr>
          <w:rFonts w:asciiTheme="minorBidi" w:hAnsiTheme="minorBidi"/>
          <w:sz w:val="16"/>
          <w:szCs w:val="16"/>
          <w:rtl/>
        </w:rPr>
        <w:t xml:space="preserve">(קיא.) </w:t>
      </w:r>
      <w:r w:rsidRPr="003024E5">
        <w:rPr>
          <w:rFonts w:asciiTheme="minorBidi" w:hAnsiTheme="minorBidi"/>
          <w:rtl/>
        </w:rPr>
        <w:t>דבדיעבד שפיר דמי משום דדמא מישרק שריק בצלייה והוא הדין במליחה</w:t>
      </w:r>
      <w:r w:rsidRPr="003024E5">
        <w:rPr>
          <w:rStyle w:val="a7"/>
          <w:rFonts w:asciiTheme="minorBidi" w:hAnsiTheme="minorBidi"/>
          <w:rtl/>
        </w:rPr>
        <w:footnoteReference w:id="35"/>
      </w:r>
      <w:r w:rsidRPr="003024E5">
        <w:rPr>
          <w:rFonts w:asciiTheme="minorBidi" w:hAnsiTheme="minorBidi"/>
          <w:rtl/>
        </w:rPr>
        <w:t xml:space="preserve">.  </w:t>
      </w:r>
    </w:p>
    <w:p w14:paraId="07502E52" w14:textId="77777777" w:rsidR="002C39F4" w:rsidRDefault="002C39F4" w:rsidP="002C39F4">
      <w:pPr>
        <w:pStyle w:val="a8"/>
        <w:numPr>
          <w:ilvl w:val="0"/>
          <w:numId w:val="1"/>
        </w:numPr>
        <w:rPr>
          <w:rFonts w:asciiTheme="minorBidi" w:hAnsiTheme="minorBidi"/>
        </w:rPr>
      </w:pPr>
      <w:r w:rsidRPr="003024E5">
        <w:rPr>
          <w:rFonts w:asciiTheme="minorBidi" w:hAnsiTheme="minorBidi"/>
          <w:rtl/>
        </w:rPr>
        <w:t>סמ"ק מהר"י טרושין מהרא"י ואו</w:t>
      </w:r>
      <w:r>
        <w:rPr>
          <w:rFonts w:asciiTheme="minorBidi" w:hAnsiTheme="minorBidi" w:hint="cs"/>
          <w:rtl/>
        </w:rPr>
        <w:t>"</w:t>
      </w:r>
      <w:r w:rsidRPr="003024E5">
        <w:rPr>
          <w:rFonts w:asciiTheme="minorBidi" w:hAnsiTheme="minorBidi"/>
          <w:rtl/>
        </w:rPr>
        <w:t>ה</w:t>
      </w:r>
      <w:r w:rsidRPr="003024E5">
        <w:rPr>
          <w:rStyle w:val="a7"/>
          <w:rFonts w:asciiTheme="minorBidi" w:hAnsiTheme="minorBidi"/>
          <w:rtl/>
        </w:rPr>
        <w:footnoteReference w:id="36"/>
      </w:r>
      <w:r w:rsidRPr="003024E5">
        <w:rPr>
          <w:rFonts w:asciiTheme="minorBidi" w:hAnsiTheme="minorBidi"/>
          <w:rtl/>
        </w:rPr>
        <w:t>- אין לו תקנה עוד, מפני שהמלח מבליעו ואין מפליט דם שהוא בעין</w:t>
      </w:r>
      <w:r w:rsidRPr="003024E5">
        <w:rPr>
          <w:rStyle w:val="a7"/>
          <w:rFonts w:asciiTheme="minorBidi" w:hAnsiTheme="minorBidi"/>
          <w:rtl/>
        </w:rPr>
        <w:footnoteReference w:id="37"/>
      </w:r>
      <w:r w:rsidRPr="003024E5">
        <w:rPr>
          <w:rFonts w:asciiTheme="minorBidi" w:hAnsiTheme="minorBidi"/>
          <w:rtl/>
        </w:rPr>
        <w:t>.</w:t>
      </w:r>
    </w:p>
    <w:p w14:paraId="2A0DBECE" w14:textId="77777777" w:rsidR="002C39F4" w:rsidRPr="003024E5" w:rsidRDefault="002C39F4" w:rsidP="002C39F4">
      <w:pPr>
        <w:pStyle w:val="a8"/>
        <w:numPr>
          <w:ilvl w:val="1"/>
          <w:numId w:val="1"/>
        </w:numPr>
        <w:rPr>
          <w:rFonts w:asciiTheme="minorBidi" w:hAnsiTheme="minorBidi"/>
        </w:rPr>
      </w:pPr>
      <w:r>
        <w:rPr>
          <w:rFonts w:asciiTheme="minorBidi" w:hAnsiTheme="minorBidi" w:hint="cs"/>
          <w:rtl/>
        </w:rPr>
        <w:t>ב"י- ו</w:t>
      </w:r>
      <w:r w:rsidRPr="00C233C9">
        <w:rPr>
          <w:rFonts w:asciiTheme="minorBidi" w:hAnsiTheme="minorBidi"/>
          <w:rtl/>
        </w:rPr>
        <w:t>לענין הלכה אע"פ שסמ"ק אוסר אם הוא במקום שיש הפסד מרובה או שהוא בערב שבת וא"א להכין אחר כדאי הם הר"ם והרא"ש לסמוך עליהם.</w:t>
      </w:r>
      <w:r w:rsidRPr="003024E5">
        <w:rPr>
          <w:rFonts w:asciiTheme="minorBidi" w:hAnsiTheme="minorBidi"/>
          <w:rtl/>
        </w:rPr>
        <w:t xml:space="preserve"> </w:t>
      </w:r>
      <w:r w:rsidRPr="003024E5">
        <w:rPr>
          <w:rFonts w:asciiTheme="minorBidi" w:hAnsiTheme="minorBidi"/>
          <w:color w:val="00B0F0"/>
          <w:rtl/>
        </w:rPr>
        <w:t>(וכ"פ הרמ"א</w:t>
      </w:r>
      <w:r>
        <w:rPr>
          <w:rFonts w:asciiTheme="minorBidi" w:hAnsiTheme="minorBidi" w:hint="cs"/>
          <w:color w:val="00B0F0"/>
          <w:rtl/>
        </w:rPr>
        <w:t>)</w:t>
      </w:r>
    </w:p>
    <w:p w14:paraId="6C5DB575" w14:textId="77777777" w:rsidR="002C39F4" w:rsidRPr="003024E5" w:rsidRDefault="002C39F4" w:rsidP="002C39F4">
      <w:pPr>
        <w:ind w:left="360"/>
        <w:rPr>
          <w:rFonts w:asciiTheme="minorBidi" w:hAnsiTheme="minorBidi"/>
          <w:sz w:val="16"/>
          <w:szCs w:val="16"/>
          <w:rtl/>
        </w:rPr>
      </w:pPr>
      <w:r w:rsidRPr="003024E5">
        <w:rPr>
          <w:rFonts w:asciiTheme="minorBidi" w:hAnsiTheme="minorBidi"/>
          <w:u w:val="dotted"/>
          <w:rtl/>
        </w:rPr>
        <w:t>לדעת האוסרים</w:t>
      </w:r>
      <w:r>
        <w:rPr>
          <w:rFonts w:asciiTheme="minorBidi" w:hAnsiTheme="minorBidi" w:hint="cs"/>
          <w:u w:val="dotted"/>
          <w:rtl/>
        </w:rPr>
        <w:t xml:space="preserve"> </w:t>
      </w:r>
      <w:r w:rsidRPr="003024E5">
        <w:rPr>
          <w:rFonts w:asciiTheme="minorBidi" w:hAnsiTheme="minorBidi"/>
          <w:u w:val="dotted"/>
          <w:rtl/>
        </w:rPr>
        <w:t>- האם ניתן להכשיר את הבשר ע"י צלייה:</w:t>
      </w:r>
      <w:r w:rsidRPr="003024E5">
        <w:rPr>
          <w:rFonts w:asciiTheme="minorBidi" w:hAnsiTheme="minorBidi"/>
          <w:sz w:val="16"/>
          <w:szCs w:val="16"/>
          <w:rtl/>
        </w:rPr>
        <w:t xml:space="preserve">   (דרכ"מ אות ד)</w:t>
      </w:r>
    </w:p>
    <w:p w14:paraId="6207346D" w14:textId="77777777" w:rsidR="002C39F4" w:rsidRPr="003024E5" w:rsidRDefault="002C39F4" w:rsidP="002C39F4">
      <w:pPr>
        <w:pStyle w:val="a8"/>
        <w:numPr>
          <w:ilvl w:val="0"/>
          <w:numId w:val="2"/>
        </w:numPr>
        <w:rPr>
          <w:rFonts w:asciiTheme="minorBidi" w:hAnsiTheme="minorBidi"/>
        </w:rPr>
      </w:pPr>
      <w:r w:rsidRPr="003024E5">
        <w:rPr>
          <w:rFonts w:asciiTheme="minorBidi" w:hAnsiTheme="minorBidi"/>
          <w:rtl/>
        </w:rPr>
        <w:t xml:space="preserve">או"ה </w:t>
      </w:r>
      <w:r w:rsidRPr="003024E5">
        <w:rPr>
          <w:rFonts w:asciiTheme="minorBidi" w:hAnsiTheme="minorBidi"/>
          <w:sz w:val="16"/>
          <w:szCs w:val="16"/>
          <w:rtl/>
        </w:rPr>
        <w:t>(ש"ד דין ג-ד)</w:t>
      </w:r>
      <w:r w:rsidRPr="003024E5">
        <w:rPr>
          <w:rFonts w:asciiTheme="minorBidi" w:hAnsiTheme="minorBidi"/>
          <w:rtl/>
        </w:rPr>
        <w:t>- אם לא שהה שיעור מליחה מותר לצלי.</w:t>
      </w:r>
      <w:r w:rsidRPr="003024E5">
        <w:rPr>
          <w:rFonts w:asciiTheme="minorBidi" w:hAnsiTheme="minorBidi"/>
          <w:color w:val="00B0F0"/>
          <w:rtl/>
        </w:rPr>
        <w:t xml:space="preserve"> (וכ"פ הרמ"א</w:t>
      </w:r>
      <w:r w:rsidRPr="003024E5">
        <w:rPr>
          <w:rFonts w:asciiTheme="minorBidi" w:hAnsiTheme="minorBidi"/>
          <w:color w:val="00B0F0"/>
          <w:sz w:val="16"/>
          <w:szCs w:val="16"/>
          <w:rtl/>
        </w:rPr>
        <w:t xml:space="preserve"> </w:t>
      </w:r>
      <w:r w:rsidRPr="003024E5">
        <w:rPr>
          <w:rFonts w:asciiTheme="minorBidi" w:hAnsiTheme="minorBidi"/>
          <w:sz w:val="16"/>
          <w:szCs w:val="16"/>
          <w:rtl/>
        </w:rPr>
        <w:t>[סי' עו ס"ב]</w:t>
      </w:r>
      <w:r w:rsidRPr="003024E5">
        <w:rPr>
          <w:rFonts w:asciiTheme="minorBidi" w:hAnsiTheme="minorBidi"/>
          <w:color w:val="00B0F0"/>
          <w:rtl/>
        </w:rPr>
        <w:t>)</w:t>
      </w:r>
    </w:p>
    <w:p w14:paraId="49731B3B" w14:textId="77777777" w:rsidR="002C39F4" w:rsidRPr="009D6E56" w:rsidRDefault="002C39F4" w:rsidP="002C39F4">
      <w:pPr>
        <w:pStyle w:val="a8"/>
        <w:numPr>
          <w:ilvl w:val="0"/>
          <w:numId w:val="2"/>
        </w:numPr>
        <w:rPr>
          <w:rFonts w:asciiTheme="minorBidi" w:hAnsiTheme="minorBidi"/>
        </w:rPr>
      </w:pPr>
      <w:r w:rsidRPr="003024E5">
        <w:rPr>
          <w:rFonts w:asciiTheme="minorBidi" w:hAnsiTheme="minorBidi"/>
          <w:rtl/>
        </w:rPr>
        <w:t xml:space="preserve">מהרי"ל </w:t>
      </w:r>
      <w:r w:rsidRPr="003024E5">
        <w:rPr>
          <w:rFonts w:asciiTheme="minorBidi" w:hAnsiTheme="minorBidi"/>
          <w:sz w:val="16"/>
          <w:szCs w:val="16"/>
          <w:rtl/>
        </w:rPr>
        <w:t>(בדרשותיו, הביאו במבוא שערים על הגשע"ד שם)</w:t>
      </w:r>
      <w:r w:rsidRPr="003024E5">
        <w:rPr>
          <w:rFonts w:asciiTheme="minorBidi" w:hAnsiTheme="minorBidi"/>
          <w:rtl/>
        </w:rPr>
        <w:t>- אסור לכתח' אף לצלי, ואם נצלה בדיע' מותר והמחמיר תע"ב.</w:t>
      </w:r>
    </w:p>
    <w:p w14:paraId="5FE873E8" w14:textId="77777777" w:rsidR="002C39F4" w:rsidRPr="00911A06" w:rsidRDefault="002C39F4" w:rsidP="002C39F4">
      <w:pPr>
        <w:pStyle w:val="a8"/>
        <w:numPr>
          <w:ilvl w:val="0"/>
          <w:numId w:val="2"/>
        </w:numPr>
        <w:rPr>
          <w:rFonts w:asciiTheme="minorBidi" w:hAnsiTheme="minorBidi"/>
        </w:rPr>
      </w:pPr>
      <w:r w:rsidRPr="003024E5">
        <w:rPr>
          <w:rFonts w:asciiTheme="minorBidi" w:hAnsiTheme="minorBidi"/>
          <w:rtl/>
        </w:rPr>
        <w:t xml:space="preserve">(הגשע"ד </w:t>
      </w:r>
      <w:r w:rsidRPr="003024E5">
        <w:rPr>
          <w:rFonts w:asciiTheme="minorBidi" w:hAnsiTheme="minorBidi"/>
          <w:sz w:val="14"/>
          <w:szCs w:val="14"/>
          <w:rtl/>
        </w:rPr>
        <w:t>[ש"ג סי' ה אות ח]</w:t>
      </w:r>
      <w:r w:rsidRPr="003024E5">
        <w:rPr>
          <w:rFonts w:asciiTheme="minorBidi" w:hAnsiTheme="minorBidi"/>
          <w:sz w:val="16"/>
          <w:szCs w:val="16"/>
          <w:rtl/>
        </w:rPr>
        <w:t xml:space="preserve"> להב' הדרכ"מ</w:t>
      </w:r>
      <w:r w:rsidRPr="003024E5">
        <w:rPr>
          <w:rFonts w:asciiTheme="minorBidi" w:hAnsiTheme="minorBidi"/>
          <w:rtl/>
        </w:rPr>
        <w:t>)- אף בצלי אסור.</w:t>
      </w:r>
      <w:r>
        <w:rPr>
          <w:rFonts w:asciiTheme="minorBidi" w:hAnsiTheme="minorBidi" w:hint="cs"/>
          <w:rtl/>
        </w:rPr>
        <w:t xml:space="preserve"> (וכ"פ </w:t>
      </w:r>
      <w:r w:rsidRPr="00911A06">
        <w:rPr>
          <w:rFonts w:asciiTheme="minorBidi" w:hAnsiTheme="minorBidi"/>
          <w:rtl/>
        </w:rPr>
        <w:t>רש"ל</w:t>
      </w:r>
      <w:r w:rsidRPr="003024E5">
        <w:rPr>
          <w:rStyle w:val="a7"/>
          <w:rFonts w:asciiTheme="minorBidi" w:hAnsiTheme="minorBidi"/>
          <w:rtl/>
        </w:rPr>
        <w:footnoteReference w:id="38"/>
      </w:r>
      <w:r w:rsidRPr="00911A06">
        <w:rPr>
          <w:rFonts w:asciiTheme="minorBidi" w:hAnsiTheme="minorBidi"/>
          <w:sz w:val="16"/>
          <w:szCs w:val="16"/>
          <w:rtl/>
        </w:rPr>
        <w:t xml:space="preserve"> </w:t>
      </w:r>
      <w:r>
        <w:rPr>
          <w:rFonts w:asciiTheme="minorBidi" w:hAnsiTheme="minorBidi" w:hint="cs"/>
          <w:sz w:val="16"/>
          <w:szCs w:val="16"/>
          <w:rtl/>
        </w:rPr>
        <w:t>[</w:t>
      </w:r>
      <w:r w:rsidRPr="00911A06">
        <w:rPr>
          <w:rFonts w:asciiTheme="minorBidi" w:hAnsiTheme="minorBidi"/>
          <w:sz w:val="16"/>
          <w:szCs w:val="16"/>
          <w:rtl/>
        </w:rPr>
        <w:t>יש"ש פ"ב סי' יח</w:t>
      </w:r>
      <w:r>
        <w:rPr>
          <w:rFonts w:asciiTheme="minorBidi" w:hAnsiTheme="minorBidi" w:hint="cs"/>
          <w:sz w:val="16"/>
          <w:szCs w:val="16"/>
          <w:rtl/>
        </w:rPr>
        <w:t>]</w:t>
      </w:r>
      <w:r w:rsidRPr="00911A06">
        <w:rPr>
          <w:rFonts w:asciiTheme="minorBidi" w:hAnsiTheme="minorBidi"/>
          <w:rtl/>
        </w:rPr>
        <w:t xml:space="preserve"> וב"ח </w:t>
      </w:r>
      <w:r>
        <w:rPr>
          <w:rFonts w:asciiTheme="minorBidi" w:hAnsiTheme="minorBidi" w:hint="cs"/>
          <w:sz w:val="16"/>
          <w:szCs w:val="16"/>
          <w:rtl/>
        </w:rPr>
        <w:t>[</w:t>
      </w:r>
      <w:r w:rsidRPr="00911A06">
        <w:rPr>
          <w:rFonts w:asciiTheme="minorBidi" w:hAnsiTheme="minorBidi"/>
          <w:sz w:val="16"/>
          <w:szCs w:val="16"/>
          <w:rtl/>
        </w:rPr>
        <w:t>עמ' סו ד"ה כתב</w:t>
      </w:r>
      <w:r>
        <w:rPr>
          <w:rFonts w:asciiTheme="minorBidi" w:hAnsiTheme="minorBidi" w:hint="cs"/>
          <w:sz w:val="16"/>
          <w:szCs w:val="16"/>
          <w:rtl/>
        </w:rPr>
        <w:t>]</w:t>
      </w:r>
      <w:r>
        <w:rPr>
          <w:rFonts w:asciiTheme="minorBidi" w:hAnsiTheme="minorBidi" w:hint="cs"/>
          <w:rtl/>
        </w:rPr>
        <w:t>)</w:t>
      </w:r>
      <w:r w:rsidRPr="00911A06">
        <w:rPr>
          <w:rFonts w:asciiTheme="minorBidi" w:hAnsiTheme="minorBidi"/>
          <w:rtl/>
        </w:rPr>
        <w:t>.</w:t>
      </w:r>
      <w:r w:rsidRPr="00911A06">
        <w:rPr>
          <w:rFonts w:asciiTheme="minorBidi" w:hAnsiTheme="minorBidi" w:hint="cs"/>
          <w:rtl/>
        </w:rPr>
        <w:t xml:space="preserve"> </w:t>
      </w:r>
    </w:p>
    <w:p w14:paraId="73B38470" w14:textId="77777777" w:rsidR="002C39F4" w:rsidRPr="003024E5" w:rsidRDefault="002C39F4" w:rsidP="002C39F4">
      <w:pPr>
        <w:ind w:left="360"/>
        <w:rPr>
          <w:rFonts w:asciiTheme="minorBidi" w:hAnsiTheme="minorBidi"/>
          <w:sz w:val="16"/>
          <w:szCs w:val="16"/>
          <w:rtl/>
        </w:rPr>
      </w:pPr>
      <w:r w:rsidRPr="003024E5">
        <w:rPr>
          <w:rFonts w:asciiTheme="minorBidi" w:hAnsiTheme="minorBidi"/>
          <w:u w:val="dotted"/>
          <w:rtl/>
        </w:rPr>
        <w:t>לדעת האוסרים</w:t>
      </w:r>
      <w:r>
        <w:rPr>
          <w:rFonts w:asciiTheme="minorBidi" w:hAnsiTheme="minorBidi" w:hint="cs"/>
          <w:u w:val="dotted"/>
          <w:rtl/>
        </w:rPr>
        <w:t xml:space="preserve"> </w:t>
      </w:r>
      <w:r w:rsidRPr="003024E5">
        <w:rPr>
          <w:rFonts w:asciiTheme="minorBidi" w:hAnsiTheme="minorBidi"/>
          <w:u w:val="dotted"/>
          <w:rtl/>
        </w:rPr>
        <w:t>- מה הדין כשיש בחתיכה פי שישים מהדם שעליו:</w:t>
      </w:r>
      <w:r w:rsidRPr="003024E5">
        <w:rPr>
          <w:rFonts w:asciiTheme="minorBidi" w:hAnsiTheme="minorBidi"/>
          <w:rtl/>
        </w:rPr>
        <w:t xml:space="preserve">  </w:t>
      </w:r>
      <w:r w:rsidRPr="003024E5">
        <w:rPr>
          <w:rFonts w:asciiTheme="minorBidi" w:hAnsiTheme="minorBidi"/>
          <w:sz w:val="16"/>
          <w:szCs w:val="16"/>
          <w:rtl/>
        </w:rPr>
        <w:t>(דרכ"מ אות ד)</w:t>
      </w:r>
    </w:p>
    <w:p w14:paraId="48ECB1E0" w14:textId="77777777" w:rsidR="002C39F4" w:rsidRPr="003024E5" w:rsidRDefault="002C39F4" w:rsidP="002C39F4">
      <w:pPr>
        <w:pStyle w:val="a8"/>
        <w:numPr>
          <w:ilvl w:val="0"/>
          <w:numId w:val="3"/>
        </w:numPr>
        <w:rPr>
          <w:rFonts w:asciiTheme="minorBidi" w:hAnsiTheme="minorBidi"/>
        </w:rPr>
      </w:pPr>
      <w:r w:rsidRPr="003024E5">
        <w:rPr>
          <w:rFonts w:asciiTheme="minorBidi" w:hAnsiTheme="minorBidi"/>
          <w:rtl/>
        </w:rPr>
        <w:t xml:space="preserve">מהרא"י </w:t>
      </w:r>
      <w:r w:rsidRPr="003024E5">
        <w:rPr>
          <w:rFonts w:asciiTheme="minorBidi" w:hAnsiTheme="minorBidi"/>
          <w:sz w:val="16"/>
          <w:szCs w:val="16"/>
          <w:rtl/>
        </w:rPr>
        <w:t>(בהגשע"ד [סי' ה ס"ק א])</w:t>
      </w:r>
      <w:r w:rsidRPr="003024E5">
        <w:rPr>
          <w:rFonts w:asciiTheme="minorBidi" w:hAnsiTheme="minorBidi"/>
          <w:rtl/>
        </w:rPr>
        <w:t>- יראה דאיירי בדליכא ששים בחתיכה נגד הדם שעליה דאי איכא ששים אמאי אסור טפי משאר איסור שנמלח עם ההיתר דמשערינן בששים לדעת מקצת הגאונים.</w:t>
      </w:r>
      <w:r w:rsidRPr="003024E5">
        <w:rPr>
          <w:rFonts w:asciiTheme="minorBidi" w:hAnsiTheme="minorBidi"/>
          <w:color w:val="00B0F0"/>
          <w:rtl/>
        </w:rPr>
        <w:t xml:space="preserve"> (וכ"פ הרמ"א)</w:t>
      </w:r>
    </w:p>
    <w:p w14:paraId="3B70BB83" w14:textId="77777777" w:rsidR="002C39F4" w:rsidRPr="003024E5" w:rsidRDefault="002C39F4" w:rsidP="002C39F4">
      <w:pPr>
        <w:pStyle w:val="a8"/>
        <w:numPr>
          <w:ilvl w:val="0"/>
          <w:numId w:val="3"/>
        </w:numPr>
        <w:rPr>
          <w:rFonts w:asciiTheme="minorBidi" w:hAnsiTheme="minorBidi"/>
          <w:rtl/>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ד ד</w:t>
      </w:r>
      <w:r>
        <w:rPr>
          <w:rFonts w:asciiTheme="minorBidi" w:hAnsiTheme="minorBidi" w:hint="cs"/>
          <w:sz w:val="16"/>
          <w:szCs w:val="16"/>
          <w:rtl/>
        </w:rPr>
        <w:t>"</w:t>
      </w:r>
      <w:r w:rsidRPr="003024E5">
        <w:rPr>
          <w:rFonts w:asciiTheme="minorBidi" w:hAnsiTheme="minorBidi"/>
          <w:sz w:val="16"/>
          <w:szCs w:val="16"/>
          <w:rtl/>
        </w:rPr>
        <w:t>א)</w:t>
      </w:r>
      <w:r w:rsidRPr="003024E5">
        <w:rPr>
          <w:rFonts w:asciiTheme="minorBidi" w:hAnsiTheme="minorBidi"/>
          <w:rtl/>
        </w:rPr>
        <w:t>- אין בשום חתיכה ששים נגד כל הדם שעליו</w:t>
      </w:r>
      <w:r>
        <w:rPr>
          <w:rFonts w:asciiTheme="minorBidi" w:hAnsiTheme="minorBidi" w:hint="cs"/>
          <w:rtl/>
        </w:rPr>
        <w:t>,</w:t>
      </w:r>
      <w:r w:rsidRPr="003024E5">
        <w:rPr>
          <w:rFonts w:asciiTheme="minorBidi" w:hAnsiTheme="minorBidi"/>
          <w:rtl/>
        </w:rPr>
        <w:t xml:space="preserve"> וגם אין המלח מפליט כל הדם שבתוכו מאחר שלא נתרכך הבשר תחילה בהדחה</w:t>
      </w:r>
      <w:r w:rsidRPr="003024E5">
        <w:rPr>
          <w:rStyle w:val="a7"/>
          <w:rFonts w:asciiTheme="minorBidi" w:hAnsiTheme="minorBidi"/>
          <w:rtl/>
        </w:rPr>
        <w:footnoteReference w:id="39"/>
      </w:r>
      <w:r w:rsidRPr="003024E5">
        <w:rPr>
          <w:rFonts w:asciiTheme="minorBidi" w:hAnsiTheme="minorBidi"/>
          <w:rtl/>
        </w:rPr>
        <w:t>.</w:t>
      </w:r>
    </w:p>
    <w:p w14:paraId="6ED661F6" w14:textId="77777777" w:rsidR="002C39F4" w:rsidRPr="003024E5" w:rsidRDefault="002C39F4" w:rsidP="002C39F4">
      <w:pPr>
        <w:rPr>
          <w:rFonts w:asciiTheme="minorBidi" w:hAnsiTheme="minorBidi"/>
          <w:u w:val="single"/>
          <w:rtl/>
        </w:rPr>
      </w:pPr>
      <w:r w:rsidRPr="009D6E56">
        <w:rPr>
          <w:rFonts w:asciiTheme="minorBidi" w:hAnsiTheme="minorBidi"/>
          <w:u w:val="single"/>
          <w:rtl/>
        </w:rPr>
        <w:t>מלחו חתיכות שהודחו אצל בשר שנמלח ולא הודח</w:t>
      </w:r>
      <w:r w:rsidRPr="003024E5">
        <w:rPr>
          <w:rFonts w:asciiTheme="minorBidi" w:hAnsiTheme="minorBidi"/>
          <w:u w:val="single"/>
          <w:rtl/>
        </w:rPr>
        <w:t>:</w:t>
      </w:r>
      <w:r w:rsidRPr="003024E5">
        <w:rPr>
          <w:rFonts w:asciiTheme="minorBidi" w:hAnsiTheme="minorBidi"/>
          <w:rtl/>
        </w:rPr>
        <w:t xml:space="preserve"> </w:t>
      </w:r>
      <w:r w:rsidRPr="003024E5">
        <w:rPr>
          <w:rFonts w:asciiTheme="minorBidi" w:hAnsiTheme="minorBidi"/>
          <w:sz w:val="16"/>
          <w:szCs w:val="16"/>
          <w:rtl/>
        </w:rPr>
        <w:t>(דרכ"מ אות ד)</w:t>
      </w:r>
    </w:p>
    <w:p w14:paraId="3178FE3F" w14:textId="77777777" w:rsidR="002C39F4" w:rsidRPr="007E768A" w:rsidRDefault="002C39F4" w:rsidP="002C39F4">
      <w:pPr>
        <w:pStyle w:val="a8"/>
        <w:numPr>
          <w:ilvl w:val="0"/>
          <w:numId w:val="4"/>
        </w:numPr>
        <w:rPr>
          <w:rFonts w:asciiTheme="minorBidi" w:hAnsiTheme="minorBidi"/>
          <w:rtl/>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ד' דין ה-ו)</w:t>
      </w:r>
      <w:r w:rsidRPr="003024E5">
        <w:rPr>
          <w:rFonts w:asciiTheme="minorBidi" w:hAnsiTheme="minorBidi"/>
          <w:rtl/>
        </w:rPr>
        <w:t>- האחרות מותרות אע"פ שנוגעים בחתיכה שנמלחה ולא הודחה</w:t>
      </w:r>
      <w:r>
        <w:rPr>
          <w:rFonts w:asciiTheme="minorBidi" w:hAnsiTheme="minorBidi" w:hint="cs"/>
          <w:rtl/>
        </w:rPr>
        <w:t>,</w:t>
      </w:r>
      <w:r w:rsidRPr="003024E5">
        <w:rPr>
          <w:rFonts w:asciiTheme="minorBidi" w:hAnsiTheme="minorBidi"/>
          <w:rtl/>
        </w:rPr>
        <w:t xml:space="preserve"> מ"מ לגבי האחרות מיקרי דם פליטה ומישרק שריק או כבולעו כך פולטו</w:t>
      </w:r>
      <w:r>
        <w:rPr>
          <w:rFonts w:asciiTheme="minorBidi" w:hAnsiTheme="minorBidi" w:hint="cs"/>
          <w:rtl/>
        </w:rPr>
        <w:t>,</w:t>
      </w:r>
      <w:r w:rsidRPr="003024E5">
        <w:rPr>
          <w:rFonts w:asciiTheme="minorBidi" w:hAnsiTheme="minorBidi"/>
          <w:rtl/>
        </w:rPr>
        <w:t xml:space="preserve"> ואם נתבשלה זו החתיכה אח"כ בעינן ס' נגד כל החתיכה ואותה חתיכה אסורה לעולם.</w:t>
      </w:r>
      <w:r w:rsidRPr="003024E5">
        <w:rPr>
          <w:rFonts w:asciiTheme="minorBidi" w:hAnsiTheme="minorBidi"/>
          <w:color w:val="00B0F0"/>
          <w:rtl/>
        </w:rPr>
        <w:t xml:space="preserve"> (וכ"פ הרמ"א)</w:t>
      </w:r>
      <w:r w:rsidRPr="003024E5">
        <w:rPr>
          <w:rFonts w:asciiTheme="minorBidi" w:hAnsiTheme="minorBidi"/>
          <w:rtl/>
        </w:rPr>
        <w:t xml:space="preserve"> </w:t>
      </w:r>
      <w:r w:rsidRPr="007E768A">
        <w:rPr>
          <w:rFonts w:asciiTheme="minorBidi" w:hAnsiTheme="minorBidi"/>
          <w:rtl/>
        </w:rPr>
        <w:t xml:space="preserve"> </w:t>
      </w:r>
    </w:p>
    <w:p w14:paraId="09BE95A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F80B8B4" w14:textId="77777777" w:rsidR="002C39F4" w:rsidRPr="003024E5" w:rsidRDefault="002C39F4" w:rsidP="002C39F4">
      <w:pPr>
        <w:rPr>
          <w:rFonts w:asciiTheme="minorBidi" w:hAnsiTheme="minorBidi"/>
          <w:rtl/>
        </w:rPr>
      </w:pPr>
      <w:r w:rsidRPr="003024E5">
        <w:rPr>
          <w:rFonts w:asciiTheme="minorBidi" w:hAnsiTheme="minorBidi"/>
          <w:rtl/>
        </w:rPr>
        <w:lastRenderedPageBreak/>
        <w:t xml:space="preserve">אם מלח ולא הדיח תחילה ידיחנו וימלחנו שנית, ויש אוסרים. </w:t>
      </w:r>
      <w:r w:rsidRPr="003024E5">
        <w:rPr>
          <w:rFonts w:asciiTheme="minorBidi" w:hAnsiTheme="minorBidi"/>
          <w:sz w:val="18"/>
          <w:szCs w:val="18"/>
          <w:rtl/>
        </w:rPr>
        <w:t>הגה: וכן נוהגין אפילו לא נמלח רק מעט</w:t>
      </w:r>
      <w:r w:rsidRPr="003024E5">
        <w:rPr>
          <w:rStyle w:val="a7"/>
          <w:rFonts w:asciiTheme="minorBidi" w:hAnsiTheme="minorBidi"/>
          <w:sz w:val="18"/>
          <w:szCs w:val="18"/>
          <w:rtl/>
        </w:rPr>
        <w:footnoteReference w:id="40"/>
      </w:r>
      <w:r w:rsidRPr="003024E5">
        <w:rPr>
          <w:rFonts w:asciiTheme="minorBidi" w:hAnsiTheme="minorBidi"/>
          <w:sz w:val="18"/>
          <w:szCs w:val="18"/>
          <w:rtl/>
        </w:rPr>
        <w:t xml:space="preserve"> כדרך שמולחין לצלי</w:t>
      </w:r>
      <w:r>
        <w:rPr>
          <w:rFonts w:asciiTheme="minorBidi" w:hAnsiTheme="minorBidi" w:hint="cs"/>
          <w:sz w:val="18"/>
          <w:szCs w:val="18"/>
          <w:rtl/>
        </w:rPr>
        <w:t>,</w:t>
      </w:r>
      <w:r w:rsidRPr="003024E5">
        <w:rPr>
          <w:rFonts w:asciiTheme="minorBidi" w:hAnsiTheme="minorBidi"/>
          <w:sz w:val="18"/>
          <w:szCs w:val="18"/>
          <w:rtl/>
        </w:rPr>
        <w:t xml:space="preserve"> ואפילו לא שהה במלחו שיעור מליחה</w:t>
      </w:r>
      <w:r>
        <w:rPr>
          <w:rStyle w:val="a7"/>
          <w:rFonts w:asciiTheme="minorBidi" w:hAnsiTheme="minorBidi"/>
          <w:sz w:val="18"/>
          <w:szCs w:val="18"/>
          <w:rtl/>
        </w:rPr>
        <w:footnoteReference w:id="41"/>
      </w:r>
      <w:r w:rsidRPr="003024E5">
        <w:rPr>
          <w:rFonts w:asciiTheme="minorBidi" w:hAnsiTheme="minorBidi"/>
          <w:sz w:val="18"/>
          <w:szCs w:val="18"/>
          <w:rtl/>
        </w:rPr>
        <w:t xml:space="preserve"> </w:t>
      </w:r>
      <w:r w:rsidRPr="00911A06">
        <w:rPr>
          <w:rFonts w:asciiTheme="minorBidi" w:hAnsiTheme="minorBidi"/>
          <w:sz w:val="16"/>
          <w:szCs w:val="16"/>
          <w:rtl/>
        </w:rPr>
        <w:t>(ארוך)</w:t>
      </w:r>
      <w:r w:rsidRPr="003024E5">
        <w:rPr>
          <w:rFonts w:asciiTheme="minorBidi" w:hAnsiTheme="minorBidi"/>
          <w:sz w:val="18"/>
          <w:szCs w:val="18"/>
          <w:rtl/>
        </w:rPr>
        <w:t>. מיהו במקום הפסד מרובה</w:t>
      </w:r>
      <w:r w:rsidRPr="003024E5">
        <w:rPr>
          <w:rStyle w:val="a7"/>
          <w:rFonts w:asciiTheme="minorBidi" w:hAnsiTheme="minorBidi"/>
          <w:sz w:val="18"/>
          <w:szCs w:val="18"/>
          <w:rtl/>
        </w:rPr>
        <w:footnoteReference w:id="42"/>
      </w:r>
      <w:r w:rsidRPr="003024E5">
        <w:rPr>
          <w:rFonts w:asciiTheme="minorBidi" w:hAnsiTheme="minorBidi"/>
          <w:sz w:val="18"/>
          <w:szCs w:val="18"/>
          <w:rtl/>
        </w:rPr>
        <w:t xml:space="preserve"> יש להתיר</w:t>
      </w:r>
      <w:r w:rsidRPr="003024E5">
        <w:rPr>
          <w:rStyle w:val="a7"/>
          <w:rFonts w:asciiTheme="minorBidi" w:hAnsiTheme="minorBidi"/>
          <w:sz w:val="18"/>
          <w:szCs w:val="18"/>
          <w:rtl/>
        </w:rPr>
        <w:footnoteReference w:id="43"/>
      </w:r>
      <w:r w:rsidRPr="003024E5">
        <w:rPr>
          <w:rFonts w:asciiTheme="minorBidi" w:hAnsiTheme="minorBidi"/>
          <w:sz w:val="18"/>
          <w:szCs w:val="18"/>
          <w:rtl/>
        </w:rPr>
        <w:t xml:space="preserve"> </w:t>
      </w:r>
      <w:r w:rsidRPr="00911A06">
        <w:rPr>
          <w:rFonts w:asciiTheme="minorBidi" w:hAnsiTheme="minorBidi"/>
          <w:sz w:val="16"/>
          <w:szCs w:val="16"/>
          <w:rtl/>
        </w:rPr>
        <w:t>(ב"י)</w:t>
      </w:r>
      <w:r w:rsidRPr="003024E5">
        <w:rPr>
          <w:rFonts w:asciiTheme="minorBidi" w:hAnsiTheme="minorBidi"/>
          <w:sz w:val="18"/>
          <w:szCs w:val="18"/>
          <w:rtl/>
        </w:rPr>
        <w:t>. ואם לא הודח רק מעט קודם שמלחו מותר בדיעבד</w:t>
      </w:r>
      <w:r w:rsidRPr="003024E5">
        <w:rPr>
          <w:rStyle w:val="a7"/>
          <w:rFonts w:asciiTheme="minorBidi" w:hAnsiTheme="minorBidi"/>
          <w:sz w:val="18"/>
          <w:szCs w:val="18"/>
          <w:rtl/>
        </w:rPr>
        <w:footnoteReference w:id="44"/>
      </w:r>
      <w:r w:rsidRPr="003024E5">
        <w:rPr>
          <w:rFonts w:asciiTheme="minorBidi" w:hAnsiTheme="minorBidi"/>
          <w:sz w:val="18"/>
          <w:szCs w:val="18"/>
          <w:rtl/>
        </w:rPr>
        <w:t>, וה</w:t>
      </w:r>
      <w:r>
        <w:rPr>
          <w:rFonts w:asciiTheme="minorBidi" w:hAnsiTheme="minorBidi" w:hint="cs"/>
          <w:sz w:val="18"/>
          <w:szCs w:val="18"/>
          <w:rtl/>
        </w:rPr>
        <w:t>"</w:t>
      </w:r>
      <w:r w:rsidRPr="003024E5">
        <w:rPr>
          <w:rFonts w:asciiTheme="minorBidi" w:hAnsiTheme="minorBidi"/>
          <w:sz w:val="18"/>
          <w:szCs w:val="18"/>
          <w:rtl/>
        </w:rPr>
        <w:t>ה אם היה ס' בחתיכה נגד דם שעליו</w:t>
      </w:r>
      <w:r w:rsidRPr="003024E5">
        <w:rPr>
          <w:rStyle w:val="a7"/>
          <w:rFonts w:asciiTheme="minorBidi" w:hAnsiTheme="minorBidi"/>
          <w:sz w:val="18"/>
          <w:szCs w:val="18"/>
          <w:rtl/>
        </w:rPr>
        <w:footnoteReference w:id="45"/>
      </w:r>
      <w:r w:rsidRPr="003024E5">
        <w:rPr>
          <w:rFonts w:asciiTheme="minorBidi" w:hAnsiTheme="minorBidi"/>
          <w:sz w:val="18"/>
          <w:szCs w:val="18"/>
          <w:rtl/>
        </w:rPr>
        <w:t xml:space="preserve"> </w:t>
      </w:r>
      <w:r w:rsidRPr="00911A06">
        <w:rPr>
          <w:rFonts w:asciiTheme="minorBidi" w:hAnsiTheme="minorBidi"/>
          <w:sz w:val="16"/>
          <w:szCs w:val="16"/>
          <w:rtl/>
        </w:rPr>
        <w:t>(מהרא"י)</w:t>
      </w:r>
      <w:r w:rsidRPr="003024E5">
        <w:rPr>
          <w:rFonts w:asciiTheme="minorBidi" w:hAnsiTheme="minorBidi"/>
          <w:sz w:val="18"/>
          <w:szCs w:val="18"/>
          <w:rtl/>
        </w:rPr>
        <w:t>. ואם נמלח חתיכה בלא הדחה עם שאר חתיכות, שאר חתיכות מותרות</w:t>
      </w:r>
      <w:r w:rsidRPr="003024E5">
        <w:rPr>
          <w:rStyle w:val="a7"/>
          <w:rFonts w:asciiTheme="minorBidi" w:hAnsiTheme="minorBidi"/>
          <w:sz w:val="18"/>
          <w:szCs w:val="18"/>
          <w:rtl/>
        </w:rPr>
        <w:footnoteReference w:id="46"/>
      </w:r>
      <w:r w:rsidRPr="003024E5">
        <w:rPr>
          <w:rFonts w:asciiTheme="minorBidi" w:hAnsiTheme="minorBidi"/>
          <w:sz w:val="18"/>
          <w:szCs w:val="18"/>
          <w:rtl/>
        </w:rPr>
        <w:t xml:space="preserve"> והיא אסורה </w:t>
      </w:r>
      <w:r w:rsidRPr="00911A06">
        <w:rPr>
          <w:rFonts w:asciiTheme="minorBidi" w:hAnsiTheme="minorBidi"/>
          <w:sz w:val="16"/>
          <w:szCs w:val="16"/>
          <w:rtl/>
        </w:rPr>
        <w:t>(ארוך)</w:t>
      </w:r>
      <w:r w:rsidRPr="003024E5">
        <w:rPr>
          <w:rFonts w:asciiTheme="minorBidi" w:hAnsiTheme="minorBidi"/>
          <w:sz w:val="18"/>
          <w:szCs w:val="18"/>
          <w:rtl/>
        </w:rPr>
        <w:t xml:space="preserve">. </w:t>
      </w:r>
    </w:p>
    <w:p w14:paraId="383ACDB3" w14:textId="77777777" w:rsidR="002C39F4" w:rsidRPr="003024E5" w:rsidRDefault="002C39F4" w:rsidP="002C39F4">
      <w:pPr>
        <w:rPr>
          <w:rFonts w:asciiTheme="minorBidi" w:hAnsiTheme="minorBidi"/>
          <w:rtl/>
        </w:rPr>
      </w:pPr>
    </w:p>
    <w:p w14:paraId="42F20CB1" w14:textId="77777777" w:rsidR="002C39F4" w:rsidRPr="003024E5" w:rsidRDefault="002C39F4" w:rsidP="002C39F4">
      <w:pPr>
        <w:pStyle w:val="2"/>
        <w:rPr>
          <w:rFonts w:asciiTheme="minorBidi" w:hAnsiTheme="minorBidi"/>
          <w:rtl/>
        </w:rPr>
      </w:pPr>
      <w:r w:rsidRPr="003024E5">
        <w:rPr>
          <w:rFonts w:asciiTheme="minorBidi" w:hAnsiTheme="minorBidi"/>
          <w:rtl/>
        </w:rPr>
        <w:t>סעיף ג: באיזה מלח יש למלוח.</w:t>
      </w:r>
    </w:p>
    <w:p w14:paraId="5ADDB2C6" w14:textId="77777777" w:rsidR="002C39F4" w:rsidRPr="003024E5" w:rsidRDefault="002C39F4" w:rsidP="002C39F4">
      <w:pPr>
        <w:rPr>
          <w:rFonts w:asciiTheme="minorBidi" w:hAnsiTheme="minorBidi"/>
          <w:rtl/>
        </w:rPr>
      </w:pPr>
      <w:r>
        <w:rPr>
          <w:rFonts w:asciiTheme="minorBidi" w:hAnsiTheme="minorBidi" w:hint="cs"/>
          <w:b/>
          <w:bCs/>
          <w:rtl/>
        </w:rPr>
        <w:t xml:space="preserve">חולין קיג ע"א: </w:t>
      </w:r>
      <w:r w:rsidRPr="003024E5">
        <w:rPr>
          <w:rFonts w:asciiTheme="minorBidi" w:hAnsiTheme="minorBidi"/>
          <w:rtl/>
        </w:rPr>
        <w:t>רב דימי מנהרדעא מלח ליה במילחא גללניתא</w:t>
      </w:r>
      <w:r w:rsidRPr="003024E5">
        <w:rPr>
          <w:rStyle w:val="a7"/>
          <w:rFonts w:asciiTheme="minorBidi" w:hAnsiTheme="minorBidi"/>
          <w:rtl/>
        </w:rPr>
        <w:footnoteReference w:id="47"/>
      </w:r>
      <w:r w:rsidRPr="003024E5">
        <w:rPr>
          <w:rFonts w:asciiTheme="minorBidi" w:hAnsiTheme="minorBidi"/>
          <w:rtl/>
        </w:rPr>
        <w:t>, ומנפיץ ליה</w:t>
      </w:r>
      <w:r w:rsidRPr="003024E5">
        <w:rPr>
          <w:rStyle w:val="a7"/>
          <w:rFonts w:asciiTheme="minorBidi" w:hAnsiTheme="minorBidi"/>
          <w:rtl/>
        </w:rPr>
        <w:footnoteReference w:id="48"/>
      </w:r>
      <w:r w:rsidRPr="003024E5">
        <w:rPr>
          <w:rFonts w:asciiTheme="minorBidi" w:hAnsiTheme="minorBidi"/>
          <w:rtl/>
        </w:rPr>
        <w:t xml:space="preserve">. </w:t>
      </w:r>
    </w:p>
    <w:p w14:paraId="062032EB" w14:textId="77777777" w:rsidR="002C39F4" w:rsidRPr="003024E5" w:rsidRDefault="002C39F4" w:rsidP="002C39F4">
      <w:pPr>
        <w:rPr>
          <w:rFonts w:asciiTheme="minorBidi" w:hAnsiTheme="minorBidi"/>
          <w:u w:val="single"/>
          <w:rtl/>
        </w:rPr>
      </w:pPr>
      <w:r w:rsidRPr="003024E5">
        <w:rPr>
          <w:rFonts w:asciiTheme="minorBidi" w:hAnsiTheme="minorBidi"/>
          <w:u w:val="single"/>
          <w:rtl/>
        </w:rPr>
        <w:t>באיזה מלח יש למלוח:</w:t>
      </w:r>
    </w:p>
    <w:p w14:paraId="1C4E24CF" w14:textId="77777777" w:rsidR="002C39F4" w:rsidRPr="003024E5" w:rsidRDefault="002C39F4" w:rsidP="002C39F4">
      <w:pPr>
        <w:pStyle w:val="a8"/>
        <w:numPr>
          <w:ilvl w:val="0"/>
          <w:numId w:val="8"/>
        </w:numPr>
        <w:rPr>
          <w:rFonts w:asciiTheme="minorBidi" w:hAnsiTheme="minorBidi"/>
          <w:rtl/>
        </w:rPr>
      </w:pPr>
      <w:r w:rsidRPr="003024E5">
        <w:rPr>
          <w:rFonts w:asciiTheme="minorBidi" w:hAnsiTheme="minorBidi"/>
          <w:rtl/>
        </w:rPr>
        <w:t xml:space="preserve">רא"ש </w:t>
      </w:r>
      <w:r w:rsidRPr="003024E5">
        <w:rPr>
          <w:rFonts w:asciiTheme="minorBidi" w:hAnsiTheme="minorBidi"/>
          <w:sz w:val="16"/>
          <w:szCs w:val="16"/>
          <w:rtl/>
        </w:rPr>
        <w:t>(סי' מז)</w:t>
      </w:r>
      <w:r w:rsidRPr="003024E5">
        <w:rPr>
          <w:rFonts w:asciiTheme="minorBidi" w:hAnsiTheme="minorBidi"/>
          <w:rtl/>
        </w:rPr>
        <w:t xml:space="preserve"> וטור- "מולח בין במלח דק בין במלח גס</w:t>
      </w:r>
      <w:r w:rsidRPr="003024E5">
        <w:rPr>
          <w:rFonts w:asciiTheme="minorBidi" w:hAnsiTheme="minorBidi"/>
          <w:sz w:val="16"/>
          <w:szCs w:val="16"/>
          <w:rtl/>
        </w:rPr>
        <w:t xml:space="preserve"> (ל' הטור)</w:t>
      </w:r>
      <w:r w:rsidRPr="003024E5">
        <w:rPr>
          <w:rStyle w:val="a7"/>
          <w:rFonts w:asciiTheme="minorBidi" w:hAnsiTheme="minorBidi"/>
          <w:rtl/>
        </w:rPr>
        <w:footnoteReference w:id="49"/>
      </w:r>
      <w:r w:rsidRPr="003024E5">
        <w:rPr>
          <w:rFonts w:asciiTheme="minorBidi" w:hAnsiTheme="minorBidi"/>
          <w:rtl/>
        </w:rPr>
        <w:t>".</w:t>
      </w:r>
      <w:r>
        <w:rPr>
          <w:rFonts w:asciiTheme="minorBidi" w:hAnsiTheme="minorBidi" w:hint="cs"/>
          <w:rtl/>
        </w:rPr>
        <w:t xml:space="preserve"> </w:t>
      </w:r>
    </w:p>
    <w:p w14:paraId="7CE6DEF4" w14:textId="77777777" w:rsidR="002C39F4" w:rsidRPr="003024E5" w:rsidRDefault="002C39F4" w:rsidP="002C39F4">
      <w:pPr>
        <w:pStyle w:val="a8"/>
        <w:numPr>
          <w:ilvl w:val="0"/>
          <w:numId w:val="8"/>
        </w:numPr>
        <w:rPr>
          <w:rFonts w:asciiTheme="minorBidi" w:hAnsiTheme="minorBidi"/>
          <w:rtl/>
        </w:rPr>
      </w:pPr>
      <w:r w:rsidRPr="003024E5">
        <w:rPr>
          <w:rFonts w:asciiTheme="minorBidi" w:hAnsiTheme="minorBidi"/>
          <w:rtl/>
        </w:rPr>
        <w:t xml:space="preserve">רמב"ם </w:t>
      </w:r>
      <w:r w:rsidRPr="003024E5">
        <w:rPr>
          <w:rFonts w:asciiTheme="minorBidi" w:hAnsiTheme="minorBidi"/>
          <w:sz w:val="16"/>
          <w:szCs w:val="16"/>
          <w:rtl/>
        </w:rPr>
        <w:t>(</w:t>
      </w:r>
      <w:r>
        <w:rPr>
          <w:rFonts w:asciiTheme="minorBidi" w:hAnsiTheme="minorBidi" w:hint="cs"/>
          <w:sz w:val="16"/>
          <w:szCs w:val="16"/>
          <w:rtl/>
        </w:rPr>
        <w:t>הלמ"א</w:t>
      </w:r>
      <w:r w:rsidRPr="003024E5">
        <w:rPr>
          <w:rFonts w:asciiTheme="minorBidi" w:hAnsiTheme="minorBidi"/>
          <w:sz w:val="16"/>
          <w:szCs w:val="16"/>
          <w:rtl/>
        </w:rPr>
        <w:t xml:space="preserve"> פ"ו הי"א)</w:t>
      </w:r>
      <w:r w:rsidRPr="003024E5">
        <w:rPr>
          <w:rFonts w:asciiTheme="minorBidi" w:hAnsiTheme="minorBidi"/>
          <w:rtl/>
        </w:rPr>
        <w:t>- אין מולחין אלא במלח עבה כחול הגס, שהמלח דק כקמח יבלע בבשר ולא יוציא דם</w:t>
      </w:r>
      <w:r w:rsidRPr="003024E5">
        <w:rPr>
          <w:rStyle w:val="a7"/>
          <w:rFonts w:asciiTheme="minorBidi" w:hAnsiTheme="minorBidi"/>
          <w:rtl/>
        </w:rPr>
        <w:footnoteReference w:id="50"/>
      </w:r>
      <w:r w:rsidRPr="003024E5">
        <w:rPr>
          <w:rFonts w:asciiTheme="minorBidi" w:hAnsiTheme="minorBidi"/>
          <w:rtl/>
        </w:rPr>
        <w:t xml:space="preserve">. </w:t>
      </w:r>
    </w:p>
    <w:p w14:paraId="40043AF7" w14:textId="77777777" w:rsidR="002C39F4" w:rsidRDefault="002C39F4" w:rsidP="002C39F4">
      <w:pPr>
        <w:pStyle w:val="a8"/>
        <w:numPr>
          <w:ilvl w:val="0"/>
          <w:numId w:val="8"/>
        </w:numPr>
        <w:rPr>
          <w:rFonts w:asciiTheme="minorBidi" w:hAnsiTheme="minorBidi"/>
        </w:rPr>
      </w:pPr>
      <w:r w:rsidRPr="003024E5">
        <w:rPr>
          <w:rFonts w:asciiTheme="minorBidi" w:hAnsiTheme="minorBidi"/>
          <w:rtl/>
        </w:rPr>
        <w:t xml:space="preserve">רי"ו </w:t>
      </w:r>
      <w:r w:rsidRPr="003024E5">
        <w:rPr>
          <w:rFonts w:asciiTheme="minorBidi" w:hAnsiTheme="minorBidi"/>
          <w:sz w:val="16"/>
          <w:szCs w:val="16"/>
          <w:rtl/>
        </w:rPr>
        <w:t>(נט"ו ח"ה אות כה)</w:t>
      </w:r>
      <w:r w:rsidRPr="003024E5">
        <w:rPr>
          <w:rFonts w:asciiTheme="minorBidi" w:hAnsiTheme="minorBidi"/>
          <w:rtl/>
        </w:rPr>
        <w:t>- "צריך שתהא דקה שלא תפול אילך ואילך ולא דקה מן הדקה כקמח, ואולי שזו כונת הרמב"ם</w:t>
      </w:r>
      <w:r w:rsidRPr="003024E5">
        <w:rPr>
          <w:rStyle w:val="a7"/>
          <w:rFonts w:asciiTheme="minorBidi" w:hAnsiTheme="minorBidi"/>
          <w:rtl/>
        </w:rPr>
        <w:footnoteReference w:id="51"/>
      </w:r>
      <w:r w:rsidRPr="003024E5">
        <w:rPr>
          <w:rFonts w:asciiTheme="minorBidi" w:hAnsiTheme="minorBidi"/>
          <w:rtl/>
        </w:rPr>
        <w:t xml:space="preserve">". </w:t>
      </w:r>
      <w:r w:rsidRPr="003024E5">
        <w:rPr>
          <w:rFonts w:asciiTheme="minorBidi" w:hAnsiTheme="minorBidi"/>
          <w:color w:val="E36C0A" w:themeColor="accent6" w:themeShade="BF"/>
          <w:rtl/>
        </w:rPr>
        <w:t>(וכ"פ בשו"ע)</w:t>
      </w:r>
      <w:r w:rsidRPr="003024E5">
        <w:rPr>
          <w:rFonts w:asciiTheme="minorBidi" w:hAnsiTheme="minorBidi"/>
          <w:rtl/>
        </w:rPr>
        <w:t xml:space="preserve"> </w:t>
      </w:r>
    </w:p>
    <w:p w14:paraId="7D56E72D" w14:textId="77777777" w:rsidR="002C39F4" w:rsidRPr="003024E5" w:rsidRDefault="002C39F4" w:rsidP="002C39F4">
      <w:pPr>
        <w:pStyle w:val="a8"/>
        <w:numPr>
          <w:ilvl w:val="0"/>
          <w:numId w:val="4"/>
        </w:numPr>
        <w:rPr>
          <w:rFonts w:asciiTheme="minorBidi" w:hAnsiTheme="minorBidi"/>
        </w:rPr>
      </w:pPr>
      <w:r w:rsidRPr="003024E5">
        <w:rPr>
          <w:rFonts w:asciiTheme="minorBidi" w:hAnsiTheme="minorBidi"/>
          <w:rtl/>
        </w:rPr>
        <w:t xml:space="preserve">ראב"ד </w:t>
      </w:r>
      <w:r w:rsidRPr="003024E5">
        <w:rPr>
          <w:rFonts w:asciiTheme="minorBidi" w:hAnsiTheme="minorBidi"/>
          <w:sz w:val="16"/>
          <w:szCs w:val="16"/>
          <w:rtl/>
        </w:rPr>
        <w:t xml:space="preserve">(תשובות ופסקים סי' רז ד"ה מליחת בשר) </w:t>
      </w:r>
      <w:r w:rsidRPr="003024E5">
        <w:rPr>
          <w:rFonts w:asciiTheme="minorBidi" w:hAnsiTheme="minorBidi"/>
          <w:rtl/>
        </w:rPr>
        <w:t xml:space="preserve">ורשב"א </w:t>
      </w:r>
      <w:r w:rsidRPr="003024E5">
        <w:rPr>
          <w:rFonts w:asciiTheme="minorBidi" w:hAnsiTheme="minorBidi"/>
          <w:sz w:val="16"/>
          <w:szCs w:val="16"/>
          <w:rtl/>
        </w:rPr>
        <w:t>(תוה"א ב"ג ש"ג עג., וקצר עב.)</w:t>
      </w:r>
      <w:r w:rsidRPr="003024E5">
        <w:rPr>
          <w:rFonts w:asciiTheme="minorBidi" w:hAnsiTheme="minorBidi"/>
          <w:rtl/>
        </w:rPr>
        <w:t>- בכל מלח יכול למלוח אלא</w:t>
      </w:r>
      <w:r>
        <w:rPr>
          <w:rFonts w:asciiTheme="minorBidi" w:hAnsiTheme="minorBidi" w:hint="cs"/>
          <w:rtl/>
        </w:rPr>
        <w:t>,</w:t>
      </w:r>
      <w:r w:rsidRPr="003024E5">
        <w:rPr>
          <w:rFonts w:asciiTheme="minorBidi" w:hAnsiTheme="minorBidi"/>
          <w:rtl/>
        </w:rPr>
        <w:t xml:space="preserve"> שאם מלח במלח דקה צריך לשפשף היטב הבשר קודם שישים אותו בכלי כדי להדיחו, שאם ישימהו עם קצת מהמלח בכלי שאינו מנוקב להדיחו נמצאו המים שוברין פליטת כח הבשר ונמצא הדם שעל פני הבשר ושעם המלח חוזר ונבלע בתוכו, לפיכך תקנה גדולה היא למלוח במלח גסה שבמעט שהוא מנפץ אותו ננערת ורשאי להדיח הבשר באיזה כלי שירצה</w:t>
      </w:r>
      <w:r>
        <w:rPr>
          <w:rFonts w:asciiTheme="minorBidi" w:hAnsiTheme="minorBidi" w:hint="cs"/>
          <w:rtl/>
        </w:rPr>
        <w:t>,</w:t>
      </w:r>
      <w:r w:rsidRPr="003024E5">
        <w:rPr>
          <w:rFonts w:asciiTheme="minorBidi" w:hAnsiTheme="minorBidi"/>
          <w:rtl/>
        </w:rPr>
        <w:t xml:space="preserve"> וזהו שהיה רב דימי עושה</w:t>
      </w:r>
      <w:r w:rsidRPr="003024E5">
        <w:rPr>
          <w:rStyle w:val="a7"/>
          <w:rFonts w:asciiTheme="minorBidi" w:hAnsiTheme="minorBidi"/>
          <w:rtl/>
        </w:rPr>
        <w:footnoteReference w:id="52"/>
      </w:r>
      <w:r w:rsidRPr="003024E5">
        <w:rPr>
          <w:rFonts w:asciiTheme="minorBidi" w:hAnsiTheme="minorBidi"/>
          <w:rtl/>
        </w:rPr>
        <w:t>.</w:t>
      </w:r>
    </w:p>
    <w:p w14:paraId="09EF9433" w14:textId="77777777" w:rsidR="002C39F4" w:rsidRPr="004B6426" w:rsidRDefault="002C39F4" w:rsidP="002C39F4">
      <w:pPr>
        <w:rPr>
          <w:rFonts w:asciiTheme="minorBidi" w:hAnsiTheme="minorBidi"/>
          <w:u w:val="single"/>
          <w:rtl/>
        </w:rPr>
      </w:pPr>
      <w:r w:rsidRPr="004B6426">
        <w:rPr>
          <w:rFonts w:asciiTheme="minorBidi" w:hAnsiTheme="minorBidi" w:hint="cs"/>
          <w:u w:val="single"/>
          <w:rtl/>
        </w:rPr>
        <w:t>הידוק המלח בבשר:</w:t>
      </w:r>
      <w:r w:rsidRPr="004B6426">
        <w:rPr>
          <w:rFonts w:asciiTheme="minorBidi" w:hAnsiTheme="minorBidi" w:hint="cs"/>
          <w:sz w:val="16"/>
          <w:szCs w:val="16"/>
          <w:rtl/>
        </w:rPr>
        <w:t xml:space="preserve"> </w:t>
      </w:r>
      <w:r>
        <w:rPr>
          <w:rFonts w:asciiTheme="minorBidi" w:hAnsiTheme="minorBidi" w:hint="cs"/>
          <w:sz w:val="16"/>
          <w:szCs w:val="16"/>
          <w:rtl/>
        </w:rPr>
        <w:t xml:space="preserve">  (</w:t>
      </w:r>
      <w:r w:rsidRPr="003024E5">
        <w:rPr>
          <w:rFonts w:asciiTheme="minorBidi" w:hAnsiTheme="minorBidi"/>
          <w:sz w:val="16"/>
          <w:szCs w:val="16"/>
          <w:rtl/>
        </w:rPr>
        <w:t>דרכ"מ אות ה)</w:t>
      </w:r>
    </w:p>
    <w:p w14:paraId="47151CE7" w14:textId="77777777" w:rsidR="002C39F4" w:rsidRPr="003C7368" w:rsidRDefault="002C39F4" w:rsidP="002C39F4">
      <w:pPr>
        <w:pStyle w:val="a8"/>
        <w:numPr>
          <w:ilvl w:val="0"/>
          <w:numId w:val="4"/>
        </w:numPr>
        <w:rPr>
          <w:rFonts w:asciiTheme="minorBidi" w:hAnsiTheme="minorBidi"/>
          <w:rtl/>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א' דין ח</w:t>
      </w:r>
      <w:r>
        <w:rPr>
          <w:rFonts w:asciiTheme="minorBidi" w:hAnsiTheme="minorBidi" w:hint="cs"/>
          <w:sz w:val="16"/>
          <w:szCs w:val="16"/>
          <w:rtl/>
        </w:rPr>
        <w:t>)</w:t>
      </w:r>
      <w:r w:rsidRPr="003024E5">
        <w:rPr>
          <w:rFonts w:asciiTheme="minorBidi" w:hAnsiTheme="minorBidi"/>
          <w:rtl/>
        </w:rPr>
        <w:t xml:space="preserve">- קבלתי מלח שאינו גס יותר ממלח שעושים ממי הים אין צריך להדקו אלא מולח בו כמות שהוא, אבל מלח שגס יותר צריך להדקו שאינו נדבק בבשר. </w:t>
      </w:r>
    </w:p>
    <w:p w14:paraId="1002A27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0203D59" w14:textId="77777777" w:rsidR="002C39F4" w:rsidRPr="003024E5" w:rsidRDefault="002C39F4" w:rsidP="002C39F4">
      <w:pPr>
        <w:rPr>
          <w:rFonts w:asciiTheme="minorBidi" w:hAnsiTheme="minorBidi"/>
          <w:rtl/>
        </w:rPr>
      </w:pPr>
      <w:r w:rsidRPr="003024E5">
        <w:rPr>
          <w:rFonts w:asciiTheme="minorBidi" w:hAnsiTheme="minorBidi"/>
          <w:rtl/>
        </w:rPr>
        <w:lastRenderedPageBreak/>
        <w:t xml:space="preserve">לא ימלח במלח דקה כקמח ולא במלח גסה ביותר שנופלת מעל הבשר אילך ואילך. </w:t>
      </w:r>
      <w:r w:rsidRPr="003024E5">
        <w:rPr>
          <w:rFonts w:asciiTheme="minorBidi" w:hAnsiTheme="minorBidi"/>
          <w:sz w:val="18"/>
          <w:szCs w:val="18"/>
          <w:rtl/>
        </w:rPr>
        <w:t>[הגה] ואם אין לו מלח אחר רק מלח דק כקמח מותר למלוח בו</w:t>
      </w:r>
      <w:r w:rsidRPr="003024E5">
        <w:rPr>
          <w:rStyle w:val="a7"/>
          <w:rFonts w:asciiTheme="minorBidi" w:hAnsiTheme="minorBidi"/>
          <w:sz w:val="18"/>
          <w:szCs w:val="18"/>
          <w:rtl/>
        </w:rPr>
        <w:footnoteReference w:id="53"/>
      </w:r>
      <w:r w:rsidRPr="003024E5">
        <w:rPr>
          <w:rFonts w:asciiTheme="minorBidi" w:hAnsiTheme="minorBidi"/>
          <w:sz w:val="18"/>
          <w:szCs w:val="18"/>
          <w:rtl/>
        </w:rPr>
        <w:t xml:space="preserve"> (ד"ע). </w:t>
      </w:r>
    </w:p>
    <w:p w14:paraId="7FDE520D" w14:textId="77777777" w:rsidR="002C39F4" w:rsidRPr="003024E5" w:rsidRDefault="002C39F4" w:rsidP="002C39F4">
      <w:pPr>
        <w:rPr>
          <w:rFonts w:asciiTheme="minorBidi" w:hAnsiTheme="minorBidi"/>
          <w:rtl/>
        </w:rPr>
      </w:pPr>
    </w:p>
    <w:p w14:paraId="0EFEAAF2" w14:textId="77777777" w:rsidR="002C39F4" w:rsidRPr="003024E5" w:rsidRDefault="002C39F4" w:rsidP="002C39F4">
      <w:pPr>
        <w:pStyle w:val="2"/>
        <w:rPr>
          <w:rFonts w:asciiTheme="minorBidi" w:hAnsiTheme="minorBidi"/>
          <w:rtl/>
        </w:rPr>
      </w:pPr>
      <w:r w:rsidRPr="003024E5">
        <w:rPr>
          <w:rFonts w:asciiTheme="minorBidi" w:hAnsiTheme="minorBidi"/>
          <w:rtl/>
        </w:rPr>
        <w:t>סעיף ד: מליחה מבפנים</w:t>
      </w:r>
      <w:r>
        <w:rPr>
          <w:rFonts w:asciiTheme="minorBidi" w:hAnsiTheme="minorBidi" w:hint="cs"/>
          <w:rtl/>
        </w:rPr>
        <w:t xml:space="preserve">, ומליחה </w:t>
      </w:r>
      <w:r w:rsidRPr="003024E5">
        <w:rPr>
          <w:rFonts w:asciiTheme="minorBidi" w:hAnsiTheme="minorBidi"/>
          <w:rtl/>
        </w:rPr>
        <w:t>משני הצדדים.</w:t>
      </w:r>
      <w:r>
        <w:rPr>
          <w:rFonts w:asciiTheme="minorBidi" w:hAnsiTheme="minorBidi" w:hint="cs"/>
          <w:rtl/>
        </w:rPr>
        <w:t xml:space="preserve"> </w:t>
      </w:r>
    </w:p>
    <w:p w14:paraId="5AF0C0E2"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ע"א: </w:t>
      </w:r>
      <w:r w:rsidRPr="003024E5">
        <w:rPr>
          <w:rFonts w:asciiTheme="minorBidi" w:hAnsiTheme="minorBidi"/>
          <w:u w:val="single"/>
          <w:rtl/>
        </w:rPr>
        <w:t>אמר שמואל:</w:t>
      </w:r>
      <w:r w:rsidRPr="003024E5">
        <w:rPr>
          <w:rFonts w:asciiTheme="minorBidi" w:hAnsiTheme="minorBidi"/>
          <w:rtl/>
        </w:rPr>
        <w:t xml:space="preserve"> אין הבשר יוצא מידי דמו אלא א"כ מולחו יפה יפה, ומדיחו יפה יפה.</w:t>
      </w:r>
    </w:p>
    <w:p w14:paraId="61247611" w14:textId="77777777" w:rsidR="002C39F4" w:rsidRPr="003024E5" w:rsidRDefault="002C39F4" w:rsidP="002C39F4">
      <w:pPr>
        <w:rPr>
          <w:rFonts w:asciiTheme="minorBidi" w:hAnsiTheme="minorBidi"/>
          <w:u w:val="single"/>
          <w:rtl/>
        </w:rPr>
      </w:pPr>
      <w:r w:rsidRPr="003024E5">
        <w:rPr>
          <w:rFonts w:asciiTheme="minorBidi" w:hAnsiTheme="minorBidi"/>
          <w:u w:val="single"/>
          <w:rtl/>
        </w:rPr>
        <w:t>האם צריך למלוח בשר לקדרה משני הצדדים:</w:t>
      </w:r>
    </w:p>
    <w:p w14:paraId="4ED24D75" w14:textId="77777777" w:rsidR="002C39F4" w:rsidRPr="003024E5" w:rsidRDefault="002C39F4" w:rsidP="002C39F4">
      <w:pPr>
        <w:pStyle w:val="a8"/>
        <w:numPr>
          <w:ilvl w:val="0"/>
          <w:numId w:val="6"/>
        </w:numPr>
        <w:rPr>
          <w:rFonts w:asciiTheme="minorBidi" w:hAnsiTheme="minorBidi"/>
          <w:rtl/>
        </w:rPr>
      </w:pPr>
      <w:r w:rsidRPr="003024E5">
        <w:rPr>
          <w:rFonts w:asciiTheme="minorBidi" w:hAnsiTheme="minorBidi"/>
          <w:rtl/>
        </w:rPr>
        <w:t>רשב"א</w:t>
      </w:r>
      <w:r w:rsidRPr="003024E5">
        <w:rPr>
          <w:rStyle w:val="a7"/>
          <w:rFonts w:asciiTheme="minorBidi" w:hAnsiTheme="minorBidi"/>
          <w:rtl/>
        </w:rPr>
        <w:footnoteReference w:id="54"/>
      </w:r>
      <w:r w:rsidRPr="003024E5">
        <w:rPr>
          <w:rFonts w:asciiTheme="minorBidi" w:hAnsiTheme="minorBidi"/>
          <w:rtl/>
        </w:rPr>
        <w:t xml:space="preserve"> רא"ש ור"ן</w:t>
      </w:r>
      <w:r w:rsidRPr="003024E5">
        <w:rPr>
          <w:rStyle w:val="a7"/>
          <w:rFonts w:asciiTheme="minorBidi" w:hAnsiTheme="minorBidi"/>
          <w:rtl/>
        </w:rPr>
        <w:footnoteReference w:id="55"/>
      </w:r>
      <w:r w:rsidRPr="003024E5">
        <w:rPr>
          <w:rFonts w:asciiTheme="minorBidi" w:hAnsiTheme="minorBidi"/>
          <w:rtl/>
        </w:rPr>
        <w:t>- לכתחילה צריך למלוח משני הצדדין</w:t>
      </w:r>
      <w:r w:rsidRPr="003024E5">
        <w:rPr>
          <w:rStyle w:val="a7"/>
          <w:rFonts w:asciiTheme="minorBidi" w:hAnsiTheme="minorBidi"/>
          <w:rtl/>
        </w:rPr>
        <w:footnoteReference w:id="56"/>
      </w:r>
      <w:r w:rsidRPr="003024E5">
        <w:rPr>
          <w:rFonts w:asciiTheme="minorBidi" w:hAnsiTheme="minorBidi"/>
          <w:rtl/>
        </w:rPr>
        <w:t>, ואם מלח רק מצד אחד מותר</w:t>
      </w:r>
      <w:r w:rsidRPr="003024E5">
        <w:rPr>
          <w:rStyle w:val="a7"/>
          <w:rFonts w:asciiTheme="minorBidi" w:hAnsiTheme="minorBidi"/>
          <w:rtl/>
        </w:rPr>
        <w:footnoteReference w:id="57"/>
      </w:r>
      <w:r w:rsidRPr="003024E5">
        <w:rPr>
          <w:rFonts w:asciiTheme="minorBidi" w:hAnsiTheme="minorBidi"/>
          <w:rtl/>
        </w:rPr>
        <w:t>.</w:t>
      </w:r>
      <w:r w:rsidRPr="003024E5">
        <w:rPr>
          <w:rFonts w:asciiTheme="minorBidi" w:hAnsiTheme="minorBidi"/>
          <w:color w:val="E36C0A" w:themeColor="accent6" w:themeShade="BF"/>
          <w:rtl/>
        </w:rPr>
        <w:t xml:space="preserve"> (וכ"פ בשו"ע)</w:t>
      </w:r>
      <w:r w:rsidRPr="003024E5">
        <w:rPr>
          <w:rFonts w:asciiTheme="minorBidi" w:hAnsiTheme="minorBidi"/>
          <w:rtl/>
        </w:rPr>
        <w:t xml:space="preserve">  </w:t>
      </w:r>
    </w:p>
    <w:p w14:paraId="74F24ED4"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ראבי"ה</w:t>
      </w:r>
      <w:r w:rsidRPr="003024E5">
        <w:rPr>
          <w:rStyle w:val="a7"/>
          <w:rFonts w:asciiTheme="minorBidi" w:hAnsiTheme="minorBidi"/>
          <w:rtl/>
        </w:rPr>
        <w:footnoteReference w:id="58"/>
      </w:r>
      <w:r w:rsidRPr="003024E5">
        <w:rPr>
          <w:rFonts w:asciiTheme="minorBidi" w:hAnsiTheme="minorBidi"/>
          <w:rtl/>
        </w:rPr>
        <w:t>- לקדרה אין די במליחה משני הצדדים אלא צריך לשפשף בידיו שיבלע בו המלח</w:t>
      </w:r>
      <w:r w:rsidRPr="003024E5">
        <w:rPr>
          <w:rStyle w:val="a7"/>
          <w:rFonts w:asciiTheme="minorBidi" w:hAnsiTheme="minorBidi"/>
          <w:rtl/>
        </w:rPr>
        <w:footnoteReference w:id="59"/>
      </w:r>
      <w:r w:rsidRPr="003024E5">
        <w:rPr>
          <w:rFonts w:asciiTheme="minorBidi" w:hAnsiTheme="minorBidi"/>
          <w:rtl/>
        </w:rPr>
        <w:t>.</w:t>
      </w:r>
    </w:p>
    <w:p w14:paraId="0EC7063E" w14:textId="77777777" w:rsidR="002C39F4" w:rsidRDefault="002C39F4" w:rsidP="002C39F4">
      <w:pPr>
        <w:pStyle w:val="a8"/>
        <w:numPr>
          <w:ilvl w:val="0"/>
          <w:numId w:val="8"/>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w:t>
      </w:r>
      <w:r>
        <w:rPr>
          <w:rFonts w:asciiTheme="minorBidi" w:hAnsiTheme="minorBidi" w:hint="cs"/>
          <w:sz w:val="16"/>
          <w:szCs w:val="16"/>
          <w:rtl/>
        </w:rPr>
        <w:t>"</w:t>
      </w:r>
      <w:r w:rsidRPr="003024E5">
        <w:rPr>
          <w:rFonts w:asciiTheme="minorBidi" w:hAnsiTheme="minorBidi"/>
          <w:sz w:val="16"/>
          <w:szCs w:val="16"/>
          <w:rtl/>
        </w:rPr>
        <w:t>ז ד</w:t>
      </w:r>
      <w:r>
        <w:rPr>
          <w:rFonts w:asciiTheme="minorBidi" w:hAnsiTheme="minorBidi" w:hint="cs"/>
          <w:sz w:val="16"/>
          <w:szCs w:val="16"/>
          <w:rtl/>
        </w:rPr>
        <w:t>"</w:t>
      </w:r>
      <w:r w:rsidRPr="003024E5">
        <w:rPr>
          <w:rFonts w:asciiTheme="minorBidi" w:hAnsiTheme="minorBidi"/>
          <w:sz w:val="16"/>
          <w:szCs w:val="16"/>
          <w:rtl/>
        </w:rPr>
        <w:t>ה)</w:t>
      </w:r>
      <w:r w:rsidRPr="003024E5">
        <w:rPr>
          <w:rFonts w:asciiTheme="minorBidi" w:hAnsiTheme="minorBidi"/>
          <w:rtl/>
        </w:rPr>
        <w:t>- צריך למלוח מ</w:t>
      </w:r>
      <w:r>
        <w:rPr>
          <w:rFonts w:asciiTheme="minorBidi" w:hAnsiTheme="minorBidi" w:hint="cs"/>
          <w:rtl/>
        </w:rPr>
        <w:t>ב'</w:t>
      </w:r>
      <w:r w:rsidRPr="003024E5">
        <w:rPr>
          <w:rFonts w:asciiTheme="minorBidi" w:hAnsiTheme="minorBidi"/>
          <w:rtl/>
        </w:rPr>
        <w:t xml:space="preserve"> צדדים, ואם מלח רק מצד א</w:t>
      </w:r>
      <w:r>
        <w:rPr>
          <w:rFonts w:asciiTheme="minorBidi" w:hAnsiTheme="minorBidi" w:hint="cs"/>
          <w:rtl/>
        </w:rPr>
        <w:t>'</w:t>
      </w:r>
      <w:r w:rsidRPr="003024E5">
        <w:rPr>
          <w:rFonts w:asciiTheme="minorBidi" w:hAnsiTheme="minorBidi"/>
          <w:rtl/>
        </w:rPr>
        <w:t xml:space="preserve"> אסור אף בדיע</w:t>
      </w:r>
      <w:r>
        <w:rPr>
          <w:rFonts w:asciiTheme="minorBidi" w:hAnsiTheme="minorBidi" w:hint="cs"/>
          <w:rtl/>
        </w:rPr>
        <w:t>'</w:t>
      </w:r>
      <w:r w:rsidRPr="003024E5">
        <w:rPr>
          <w:rFonts w:asciiTheme="minorBidi" w:hAnsiTheme="minorBidi"/>
          <w:rtl/>
        </w:rPr>
        <w:t xml:space="preserve"> אפי</w:t>
      </w:r>
      <w:r>
        <w:rPr>
          <w:rFonts w:asciiTheme="minorBidi" w:hAnsiTheme="minorBidi" w:hint="cs"/>
          <w:rtl/>
        </w:rPr>
        <w:t>'</w:t>
      </w:r>
      <w:r w:rsidRPr="003024E5">
        <w:rPr>
          <w:rFonts w:asciiTheme="minorBidi" w:hAnsiTheme="minorBidi"/>
          <w:rtl/>
        </w:rPr>
        <w:t xml:space="preserve"> נתבשל כך. </w:t>
      </w:r>
    </w:p>
    <w:p w14:paraId="0447294E" w14:textId="77777777" w:rsidR="002C39F4" w:rsidRPr="003024E5" w:rsidRDefault="002C39F4" w:rsidP="002C39F4">
      <w:pPr>
        <w:rPr>
          <w:rFonts w:asciiTheme="minorBidi" w:hAnsiTheme="minorBidi"/>
          <w:u w:val="single"/>
          <w:rtl/>
        </w:rPr>
      </w:pPr>
      <w:r w:rsidRPr="003024E5">
        <w:rPr>
          <w:rFonts w:asciiTheme="minorBidi" w:hAnsiTheme="minorBidi"/>
          <w:u w:val="single"/>
          <w:rtl/>
        </w:rPr>
        <w:t>האם צריך למלוח תרנגולת וכדו' מבחוץ ומבפנים</w:t>
      </w:r>
      <w:r w:rsidRPr="003024E5">
        <w:rPr>
          <w:rFonts w:asciiTheme="minorBidi" w:hAnsiTheme="minorBidi"/>
          <w:sz w:val="16"/>
          <w:szCs w:val="16"/>
          <w:u w:val="single"/>
          <w:rtl/>
        </w:rPr>
        <w:t xml:space="preserve"> (או שמספיק שימלח </w:t>
      </w:r>
      <w:r>
        <w:rPr>
          <w:rFonts w:asciiTheme="minorBidi" w:hAnsiTheme="minorBidi" w:hint="cs"/>
          <w:sz w:val="16"/>
          <w:szCs w:val="16"/>
          <w:u w:val="single"/>
          <w:rtl/>
        </w:rPr>
        <w:t xml:space="preserve">רק </w:t>
      </w:r>
      <w:r w:rsidRPr="003024E5">
        <w:rPr>
          <w:rFonts w:asciiTheme="minorBidi" w:hAnsiTheme="minorBidi"/>
          <w:sz w:val="16"/>
          <w:szCs w:val="16"/>
          <w:u w:val="single"/>
          <w:rtl/>
        </w:rPr>
        <w:t>מבחוץ)</w:t>
      </w:r>
      <w:r w:rsidRPr="003024E5">
        <w:rPr>
          <w:rFonts w:asciiTheme="minorBidi" w:hAnsiTheme="minorBidi"/>
          <w:u w:val="single"/>
          <w:rtl/>
        </w:rPr>
        <w:t xml:space="preserve">: </w:t>
      </w:r>
    </w:p>
    <w:p w14:paraId="39085254" w14:textId="77777777" w:rsidR="002C39F4" w:rsidRPr="003024E5" w:rsidRDefault="002C39F4" w:rsidP="002C39F4">
      <w:pPr>
        <w:pStyle w:val="a8"/>
        <w:numPr>
          <w:ilvl w:val="0"/>
          <w:numId w:val="8"/>
        </w:numPr>
        <w:rPr>
          <w:rFonts w:asciiTheme="minorBidi" w:hAnsiTheme="minorBidi"/>
          <w:rtl/>
        </w:rPr>
      </w:pPr>
      <w:r w:rsidRPr="003024E5">
        <w:rPr>
          <w:rFonts w:asciiTheme="minorBidi" w:hAnsiTheme="minorBidi"/>
          <w:rtl/>
        </w:rPr>
        <w:t>רשב"א רא"ש ור"ן</w:t>
      </w:r>
      <w:r w:rsidRPr="003024E5">
        <w:rPr>
          <w:rStyle w:val="a7"/>
          <w:rFonts w:asciiTheme="minorBidi" w:hAnsiTheme="minorBidi"/>
          <w:rtl/>
        </w:rPr>
        <w:footnoteReference w:id="60"/>
      </w:r>
      <w:r w:rsidRPr="003024E5">
        <w:rPr>
          <w:rFonts w:asciiTheme="minorBidi" w:hAnsiTheme="minorBidi"/>
          <w:rtl/>
        </w:rPr>
        <w:t>- לכתחילה צריך למלוח גם מבפנים</w:t>
      </w:r>
      <w:r w:rsidRPr="003024E5">
        <w:rPr>
          <w:rStyle w:val="a7"/>
          <w:rFonts w:asciiTheme="minorBidi" w:hAnsiTheme="minorBidi"/>
          <w:rtl/>
        </w:rPr>
        <w:footnoteReference w:id="61"/>
      </w:r>
      <w:r w:rsidRPr="003024E5">
        <w:rPr>
          <w:rFonts w:asciiTheme="minorBidi" w:hAnsiTheme="minorBidi"/>
          <w:rtl/>
        </w:rPr>
        <w:t>, ואם מלח רק מבחוץ מותר</w:t>
      </w:r>
      <w:r w:rsidRPr="003024E5">
        <w:rPr>
          <w:rStyle w:val="a7"/>
          <w:rFonts w:asciiTheme="minorBidi" w:hAnsiTheme="minorBidi"/>
          <w:rtl/>
        </w:rPr>
        <w:footnoteReference w:id="62"/>
      </w:r>
      <w:r w:rsidRPr="003024E5">
        <w:rPr>
          <w:rFonts w:asciiTheme="minorBidi" w:hAnsiTheme="minorBidi"/>
          <w:rtl/>
        </w:rPr>
        <w:t xml:space="preserve">. </w:t>
      </w:r>
      <w:r w:rsidRPr="003024E5">
        <w:rPr>
          <w:rFonts w:asciiTheme="minorBidi" w:hAnsiTheme="minorBidi"/>
          <w:color w:val="E36C0A" w:themeColor="accent6" w:themeShade="BF"/>
          <w:rtl/>
        </w:rPr>
        <w:t>(וכ"פ בשו"ע)</w:t>
      </w:r>
      <w:r w:rsidRPr="003024E5">
        <w:rPr>
          <w:rFonts w:asciiTheme="minorBidi" w:hAnsiTheme="minorBidi"/>
          <w:rtl/>
        </w:rPr>
        <w:t xml:space="preserve"> </w:t>
      </w:r>
    </w:p>
    <w:p w14:paraId="0F4B34D0" w14:textId="77777777" w:rsidR="002C39F4" w:rsidRDefault="002C39F4" w:rsidP="002C39F4">
      <w:pPr>
        <w:pStyle w:val="a8"/>
        <w:numPr>
          <w:ilvl w:val="0"/>
          <w:numId w:val="8"/>
        </w:numPr>
        <w:rPr>
          <w:rFonts w:asciiTheme="minorBidi" w:hAnsiTheme="minorBidi"/>
        </w:rPr>
      </w:pPr>
      <w:r w:rsidRPr="003024E5">
        <w:rPr>
          <w:rFonts w:asciiTheme="minorBidi" w:hAnsiTheme="minorBidi"/>
          <w:rtl/>
        </w:rPr>
        <w:t>ה"ר אביגדור</w:t>
      </w:r>
      <w:r>
        <w:rPr>
          <w:rFonts w:asciiTheme="minorBidi" w:hAnsiTheme="minorBidi" w:hint="cs"/>
          <w:rtl/>
        </w:rPr>
        <w:t xml:space="preserve"> ומהרא"י</w:t>
      </w:r>
      <w:r>
        <w:rPr>
          <w:rStyle w:val="a7"/>
          <w:rFonts w:asciiTheme="minorBidi" w:hAnsiTheme="minorBidi"/>
          <w:rtl/>
        </w:rPr>
        <w:footnoteReference w:id="63"/>
      </w:r>
      <w:r w:rsidRPr="003024E5">
        <w:rPr>
          <w:rFonts w:asciiTheme="minorBidi" w:hAnsiTheme="minorBidi"/>
          <w:rtl/>
        </w:rPr>
        <w:t xml:space="preserve">- תרנגולת שנמלחה מבחוץ ולא מבפנים אסורה. </w:t>
      </w:r>
    </w:p>
    <w:p w14:paraId="5335D04D" w14:textId="77777777" w:rsidR="002C39F4" w:rsidRPr="00E27F9C" w:rsidRDefault="002C39F4" w:rsidP="002C39F4">
      <w:pPr>
        <w:ind w:left="360"/>
        <w:rPr>
          <w:u w:val="dotted"/>
          <w:rtl/>
        </w:rPr>
      </w:pPr>
      <w:r>
        <w:rPr>
          <w:rFonts w:hint="cs"/>
          <w:u w:val="dotted"/>
          <w:rtl/>
        </w:rPr>
        <w:t>לדעת האוסרים</w:t>
      </w:r>
      <w:r>
        <w:rPr>
          <w:rStyle w:val="a7"/>
          <w:u w:val="dotted"/>
          <w:rtl/>
        </w:rPr>
        <w:footnoteReference w:id="64"/>
      </w:r>
      <w:r>
        <w:rPr>
          <w:rFonts w:hint="cs"/>
          <w:u w:val="dotted"/>
          <w:rtl/>
        </w:rPr>
        <w:t xml:space="preserve"> - </w:t>
      </w:r>
      <w:r w:rsidRPr="00E27F9C">
        <w:rPr>
          <w:u w:val="dotted"/>
          <w:rtl/>
        </w:rPr>
        <w:t>האם</w:t>
      </w:r>
      <w:r w:rsidRPr="00E27F9C">
        <w:rPr>
          <w:rFonts w:hint="cs"/>
          <w:sz w:val="16"/>
          <w:szCs w:val="16"/>
          <w:u w:val="dotted"/>
          <w:rtl/>
        </w:rPr>
        <w:t xml:space="preserve"> </w:t>
      </w:r>
      <w:r w:rsidRPr="00E27F9C">
        <w:rPr>
          <w:u w:val="dotted"/>
          <w:rtl/>
        </w:rPr>
        <w:t>יש לבשר זה תקנה:</w:t>
      </w:r>
    </w:p>
    <w:p w14:paraId="5284F16A" w14:textId="77777777" w:rsidR="002C39F4" w:rsidRPr="00C233C9" w:rsidRDefault="002C39F4" w:rsidP="002C39F4">
      <w:pPr>
        <w:pStyle w:val="a8"/>
        <w:numPr>
          <w:ilvl w:val="0"/>
          <w:numId w:val="88"/>
        </w:numPr>
      </w:pPr>
      <w:r w:rsidRPr="00C233C9">
        <w:rPr>
          <w:rtl/>
        </w:rPr>
        <w:t>רבינו יהודה</w:t>
      </w:r>
      <w:r w:rsidRPr="00966DC4">
        <w:rPr>
          <w:rtl/>
        </w:rPr>
        <w:t xml:space="preserve"> </w:t>
      </w:r>
      <w:r>
        <w:rPr>
          <w:rFonts w:hint="cs"/>
          <w:rtl/>
        </w:rPr>
        <w:t>ו</w:t>
      </w:r>
      <w:r>
        <w:rPr>
          <w:rtl/>
        </w:rPr>
        <w:t>או"ה</w:t>
      </w:r>
      <w:r>
        <w:rPr>
          <w:rStyle w:val="a7"/>
          <w:rtl/>
        </w:rPr>
        <w:footnoteReference w:id="65"/>
      </w:r>
      <w:r w:rsidRPr="00C233C9">
        <w:rPr>
          <w:rtl/>
        </w:rPr>
        <w:t>- אין למולחה שנית ולא יבשל אותה אלא יצלה אותה, דנורא משאב שאיב.</w:t>
      </w:r>
    </w:p>
    <w:p w14:paraId="512E485F" w14:textId="77777777" w:rsidR="002C39F4" w:rsidRPr="003024E5" w:rsidRDefault="002C39F4" w:rsidP="002C39F4">
      <w:pPr>
        <w:pStyle w:val="a8"/>
        <w:numPr>
          <w:ilvl w:val="0"/>
          <w:numId w:val="88"/>
        </w:numPr>
      </w:pPr>
      <w:r w:rsidRPr="00C233C9">
        <w:rPr>
          <w:rtl/>
        </w:rPr>
        <w:t>מהרא"י</w:t>
      </w:r>
      <w:r w:rsidRPr="00E27F9C">
        <w:rPr>
          <w:sz w:val="16"/>
          <w:szCs w:val="16"/>
          <w:rtl/>
        </w:rPr>
        <w:t xml:space="preserve"> (הגשע"ד </w:t>
      </w:r>
      <w:r w:rsidRPr="009C3C42">
        <w:rPr>
          <w:rFonts w:hint="cs"/>
          <w:sz w:val="14"/>
          <w:szCs w:val="14"/>
          <w:rtl/>
        </w:rPr>
        <w:t>[</w:t>
      </w:r>
      <w:r w:rsidRPr="009C3C42">
        <w:rPr>
          <w:sz w:val="14"/>
          <w:szCs w:val="14"/>
          <w:rtl/>
        </w:rPr>
        <w:t>סי' טו סק"</w:t>
      </w:r>
      <w:r>
        <w:rPr>
          <w:rFonts w:hint="cs"/>
          <w:sz w:val="14"/>
          <w:szCs w:val="14"/>
          <w:rtl/>
        </w:rPr>
        <w:t>ה]</w:t>
      </w:r>
      <w:r w:rsidRPr="00E27F9C">
        <w:rPr>
          <w:sz w:val="16"/>
          <w:szCs w:val="16"/>
          <w:rtl/>
        </w:rPr>
        <w:t>)</w:t>
      </w:r>
      <w:r w:rsidRPr="00C233C9">
        <w:rPr>
          <w:rtl/>
        </w:rPr>
        <w:t>- אי לא עבר עדיין יום שלם שנמלחה מצד א</w:t>
      </w:r>
      <w:r>
        <w:rPr>
          <w:rFonts w:hint="cs"/>
          <w:rtl/>
        </w:rPr>
        <w:t>'</w:t>
      </w:r>
      <w:r w:rsidRPr="00C233C9">
        <w:rPr>
          <w:rtl/>
        </w:rPr>
        <w:t xml:space="preserve"> או מבפנים או מבחוץ בעוף יכול למלחו עדיין צד השני</w:t>
      </w:r>
      <w:r>
        <w:rPr>
          <w:rStyle w:val="a7"/>
          <w:rtl/>
        </w:rPr>
        <w:footnoteReference w:id="66"/>
      </w:r>
      <w:r w:rsidRPr="00C233C9">
        <w:rPr>
          <w:rtl/>
        </w:rPr>
        <w:t xml:space="preserve"> דכיון שהחתיכה פולט ציר יום שלם אינו בולע, ומ"מ אם נמלח לפני זמן מרובה אע"ג שר"ת מתיר אם מלח עליו שאר בשר מטעם מישרק שריק גבי חד חתיכה לא שייך האי טעמא. </w:t>
      </w:r>
    </w:p>
    <w:p w14:paraId="779B4EAF" w14:textId="77777777" w:rsidR="002C39F4" w:rsidRPr="00E27F9C" w:rsidRDefault="002C39F4" w:rsidP="002C39F4">
      <w:pPr>
        <w:rPr>
          <w:rFonts w:asciiTheme="minorBidi" w:hAnsiTheme="minorBidi"/>
          <w:color w:val="000000" w:themeColor="text1"/>
          <w:u w:val="single"/>
          <w:rtl/>
        </w:rPr>
      </w:pPr>
      <w:r w:rsidRPr="00E27F9C">
        <w:rPr>
          <w:rFonts w:asciiTheme="minorBidi" w:hAnsiTheme="minorBidi"/>
          <w:color w:val="000000" w:themeColor="text1"/>
          <w:u w:val="single"/>
          <w:rtl/>
        </w:rPr>
        <w:t xml:space="preserve">כמה מלח יש ליתן על בשר </w:t>
      </w:r>
      <w:r w:rsidRPr="00AE3E1F">
        <w:rPr>
          <w:rFonts w:asciiTheme="minorBidi" w:hAnsiTheme="minorBidi"/>
          <w:color w:val="000000" w:themeColor="text1"/>
          <w:u w:val="single"/>
          <w:rtl/>
        </w:rPr>
        <w:t>שמיועד לקדרה</w:t>
      </w:r>
      <w:r w:rsidRPr="00E27F9C">
        <w:rPr>
          <w:rFonts w:asciiTheme="minorBidi" w:hAnsiTheme="minorBidi"/>
          <w:color w:val="000000" w:themeColor="text1"/>
          <w:u w:val="single"/>
          <w:rtl/>
        </w:rPr>
        <w:t xml:space="preserve"> על מנת למולחו</w:t>
      </w:r>
      <w:r>
        <w:rPr>
          <w:rFonts w:asciiTheme="minorBidi" w:hAnsiTheme="minorBidi" w:hint="cs"/>
          <w:color w:val="000000" w:themeColor="text1"/>
          <w:u w:val="single"/>
          <w:rtl/>
        </w:rPr>
        <w:t xml:space="preserve"> כראוי</w:t>
      </w:r>
      <w:r w:rsidRPr="00E27F9C">
        <w:rPr>
          <w:rFonts w:asciiTheme="minorBidi" w:hAnsiTheme="minorBidi"/>
          <w:color w:val="000000" w:themeColor="text1"/>
          <w:u w:val="single"/>
          <w:rtl/>
        </w:rPr>
        <w:t>:</w:t>
      </w:r>
    </w:p>
    <w:p w14:paraId="1C26782D" w14:textId="77777777" w:rsidR="002C39F4" w:rsidRPr="003024E5" w:rsidRDefault="002C39F4" w:rsidP="002C39F4">
      <w:pPr>
        <w:pStyle w:val="a8"/>
        <w:numPr>
          <w:ilvl w:val="0"/>
          <w:numId w:val="8"/>
        </w:numPr>
        <w:rPr>
          <w:rFonts w:asciiTheme="minorBidi" w:hAnsiTheme="minorBidi"/>
          <w:rtl/>
        </w:rPr>
      </w:pPr>
      <w:r w:rsidRPr="003024E5">
        <w:rPr>
          <w:rFonts w:asciiTheme="minorBidi" w:hAnsiTheme="minorBidi"/>
          <w:rtl/>
        </w:rPr>
        <w:t>ר"ת סה"ת מרדכי ורשב"א</w:t>
      </w:r>
      <w:r w:rsidRPr="003024E5">
        <w:rPr>
          <w:rStyle w:val="a7"/>
          <w:rFonts w:asciiTheme="minorBidi" w:hAnsiTheme="minorBidi"/>
          <w:rtl/>
        </w:rPr>
        <w:footnoteReference w:id="67"/>
      </w:r>
      <w:r w:rsidRPr="003024E5">
        <w:rPr>
          <w:rFonts w:asciiTheme="minorBidi" w:hAnsiTheme="minorBidi"/>
          <w:rtl/>
        </w:rPr>
        <w:t xml:space="preserve">- א"צ ליתן מלח על הבשר עד שיכסנו כולו אלא מולח עד שלא יהא נאכל מחמת מלחו, ולכך הזכיר שמואל פעמיים יפה יפה שצריך למלוח הרבה. </w:t>
      </w:r>
    </w:p>
    <w:p w14:paraId="0ADD1FB5" w14:textId="77777777" w:rsidR="002C39F4" w:rsidRPr="00AE3E1F" w:rsidRDefault="002C39F4" w:rsidP="002C39F4">
      <w:pPr>
        <w:pStyle w:val="a8"/>
        <w:numPr>
          <w:ilvl w:val="0"/>
          <w:numId w:val="7"/>
        </w:numPr>
        <w:rPr>
          <w:rFonts w:asciiTheme="minorBidi" w:hAnsiTheme="minorBidi"/>
          <w:u w:val="single"/>
        </w:rPr>
      </w:pPr>
      <w:r w:rsidRPr="003024E5">
        <w:rPr>
          <w:rFonts w:asciiTheme="minorBidi" w:hAnsiTheme="minorBidi"/>
          <w:rtl/>
        </w:rPr>
        <w:lastRenderedPageBreak/>
        <w:t>רא"ש</w:t>
      </w:r>
      <w:r w:rsidRPr="003024E5">
        <w:rPr>
          <w:rFonts w:asciiTheme="minorBidi" w:hAnsiTheme="minorBidi"/>
          <w:sz w:val="16"/>
          <w:szCs w:val="16"/>
          <w:rtl/>
        </w:rPr>
        <w:t xml:space="preserve"> (כ"כ הטור בשמו)</w:t>
      </w:r>
      <w:r w:rsidRPr="003024E5">
        <w:rPr>
          <w:rFonts w:asciiTheme="minorBidi" w:hAnsiTheme="minorBidi"/>
          <w:rtl/>
        </w:rPr>
        <w:t>- צריך לפזר עליו מלח הרבה שלא ישאר בו מקום מבלי מלח.</w:t>
      </w:r>
    </w:p>
    <w:p w14:paraId="60160F8F" w14:textId="77777777" w:rsidR="002C39F4" w:rsidRPr="003024E5" w:rsidRDefault="002C39F4" w:rsidP="002C39F4">
      <w:pPr>
        <w:pStyle w:val="a8"/>
        <w:numPr>
          <w:ilvl w:val="1"/>
          <w:numId w:val="7"/>
        </w:numPr>
        <w:rPr>
          <w:rFonts w:asciiTheme="minorBidi" w:hAnsiTheme="minorBidi"/>
          <w:u w:val="single"/>
        </w:rPr>
      </w:pPr>
      <w:r w:rsidRPr="00AE3E1F">
        <w:rPr>
          <w:rFonts w:asciiTheme="minorBidi" w:hAnsiTheme="minorBidi" w:hint="cs"/>
          <w:color w:val="000000" w:themeColor="text1"/>
          <w:rtl/>
        </w:rPr>
        <w:t xml:space="preserve">ב"י- </w:t>
      </w:r>
      <w:r w:rsidRPr="00AE3E1F">
        <w:rPr>
          <w:rFonts w:asciiTheme="minorBidi" w:hAnsiTheme="minorBidi"/>
          <w:color w:val="000000" w:themeColor="text1"/>
          <w:rtl/>
        </w:rPr>
        <w:t>אע"פ שמדברי רבינו נראה שהרשב"א והרא"ש חולקים</w:t>
      </w:r>
      <w:r>
        <w:rPr>
          <w:rFonts w:asciiTheme="minorBidi" w:hAnsiTheme="minorBidi" w:hint="cs"/>
          <w:color w:val="000000" w:themeColor="text1"/>
          <w:rtl/>
        </w:rPr>
        <w:t>,</w:t>
      </w:r>
      <w:r w:rsidRPr="00AE3E1F">
        <w:rPr>
          <w:rFonts w:asciiTheme="minorBidi" w:hAnsiTheme="minorBidi"/>
          <w:color w:val="000000" w:themeColor="text1"/>
          <w:rtl/>
        </w:rPr>
        <w:t xml:space="preserve"> מתוך דברי הרשב"א שכתבתי נראה שאפ</w:t>
      </w:r>
      <w:r>
        <w:rPr>
          <w:rFonts w:asciiTheme="minorBidi" w:hAnsiTheme="minorBidi" w:hint="cs"/>
          <w:color w:val="000000" w:themeColor="text1"/>
          <w:rtl/>
        </w:rPr>
        <w:t>שר לומר</w:t>
      </w:r>
      <w:r w:rsidRPr="00AE3E1F">
        <w:rPr>
          <w:rFonts w:asciiTheme="minorBidi" w:hAnsiTheme="minorBidi"/>
          <w:color w:val="000000" w:themeColor="text1"/>
          <w:rtl/>
        </w:rPr>
        <w:t xml:space="preserve"> שאינם חולקים, שמ"ש רבינו בשם הרשב"א שא</w:t>
      </w:r>
      <w:r>
        <w:rPr>
          <w:rFonts w:asciiTheme="minorBidi" w:hAnsiTheme="minorBidi" w:hint="cs"/>
          <w:color w:val="000000" w:themeColor="text1"/>
          <w:rtl/>
        </w:rPr>
        <w:t>"צ</w:t>
      </w:r>
      <w:r w:rsidRPr="00AE3E1F">
        <w:rPr>
          <w:rFonts w:asciiTheme="minorBidi" w:hAnsiTheme="minorBidi"/>
          <w:color w:val="000000" w:themeColor="text1"/>
          <w:rtl/>
        </w:rPr>
        <w:t xml:space="preserve"> ליתן מלח על הבשר עד שיכסנו כולו היינו לומר שא</w:t>
      </w:r>
      <w:r>
        <w:rPr>
          <w:rFonts w:asciiTheme="minorBidi" w:hAnsiTheme="minorBidi" w:hint="cs"/>
          <w:color w:val="000000" w:themeColor="text1"/>
          <w:rtl/>
        </w:rPr>
        <w:t>"צ</w:t>
      </w:r>
      <w:r w:rsidRPr="00AE3E1F">
        <w:rPr>
          <w:rFonts w:asciiTheme="minorBidi" w:hAnsiTheme="minorBidi"/>
          <w:color w:val="000000" w:themeColor="text1"/>
          <w:rtl/>
        </w:rPr>
        <w:t xml:space="preserve"> לעשותו כבנין אבל א</w:t>
      </w:r>
      <w:r>
        <w:rPr>
          <w:rFonts w:asciiTheme="minorBidi" w:hAnsiTheme="minorBidi" w:hint="cs"/>
          <w:color w:val="000000" w:themeColor="text1"/>
          <w:rtl/>
        </w:rPr>
        <w:t>ה"נ</w:t>
      </w:r>
      <w:r w:rsidRPr="00AE3E1F">
        <w:rPr>
          <w:rFonts w:asciiTheme="minorBidi" w:hAnsiTheme="minorBidi"/>
          <w:color w:val="000000" w:themeColor="text1"/>
          <w:rtl/>
        </w:rPr>
        <w:t xml:space="preserve"> שצריך לפזר עליו מלח שלא ישאר מקום מבלי מלח</w:t>
      </w:r>
      <w:r w:rsidRPr="00AE3E1F">
        <w:rPr>
          <w:rFonts w:asciiTheme="minorBidi" w:hAnsiTheme="minorBidi" w:hint="cs"/>
          <w:color w:val="000000" w:themeColor="text1"/>
          <w:rtl/>
        </w:rPr>
        <w:t xml:space="preserve">. </w:t>
      </w:r>
      <w:r w:rsidRPr="00AE3E1F">
        <w:rPr>
          <w:rFonts w:asciiTheme="minorBidi" w:hAnsiTheme="minorBidi" w:hint="cs"/>
          <w:color w:val="E36C0A" w:themeColor="accent6" w:themeShade="BF"/>
          <w:rtl/>
        </w:rPr>
        <w:t>(וכ"פ בשו"ע)</w:t>
      </w:r>
    </w:p>
    <w:p w14:paraId="495FD29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C1FBFED" w14:textId="77777777" w:rsidR="002C39F4" w:rsidRPr="003024E5" w:rsidRDefault="002C39F4" w:rsidP="002C39F4">
      <w:pPr>
        <w:rPr>
          <w:rFonts w:asciiTheme="minorBidi" w:hAnsiTheme="minorBidi"/>
          <w:rtl/>
        </w:rPr>
      </w:pPr>
      <w:r w:rsidRPr="003024E5">
        <w:rPr>
          <w:rFonts w:asciiTheme="minorBidi" w:hAnsiTheme="minorBidi"/>
          <w:rtl/>
        </w:rPr>
        <w:t>יפזר עליו מלח שלא ישאר בו מקום מבלי מלח, וימלח כדי שלא יהא ראוי לאכול עם אותו מלח ואינו צריך להרבות עליו מלח יותר מזה</w:t>
      </w:r>
      <w:r>
        <w:rPr>
          <w:rFonts w:asciiTheme="minorBidi" w:hAnsiTheme="minorBidi" w:hint="cs"/>
          <w:rtl/>
        </w:rPr>
        <w:t>.</w:t>
      </w:r>
      <w:r w:rsidRPr="003024E5">
        <w:rPr>
          <w:rFonts w:asciiTheme="minorBidi" w:hAnsiTheme="minorBidi"/>
          <w:rtl/>
        </w:rPr>
        <w:t xml:space="preserve"> ומולחו משני צדדים, ועופות צריך למלחם גם מבפנים</w:t>
      </w:r>
      <w:r w:rsidRPr="003024E5">
        <w:rPr>
          <w:rStyle w:val="a7"/>
          <w:rFonts w:asciiTheme="minorBidi" w:hAnsiTheme="minorBidi"/>
          <w:rtl/>
        </w:rPr>
        <w:footnoteReference w:id="68"/>
      </w:r>
      <w:r w:rsidRPr="003024E5">
        <w:rPr>
          <w:rFonts w:asciiTheme="minorBidi" w:hAnsiTheme="minorBidi"/>
          <w:rtl/>
        </w:rPr>
        <w:t>, ואם לא מלחם אלא מבפנים או מבחוץ וכן חתיכה שלא נמלחה אלא מצד אחד</w:t>
      </w:r>
      <w:r w:rsidRPr="003024E5">
        <w:rPr>
          <w:rStyle w:val="a7"/>
          <w:rFonts w:asciiTheme="minorBidi" w:hAnsiTheme="minorBidi"/>
          <w:rtl/>
        </w:rPr>
        <w:footnoteReference w:id="69"/>
      </w:r>
      <w:r w:rsidRPr="003024E5">
        <w:rPr>
          <w:rFonts w:asciiTheme="minorBidi" w:hAnsiTheme="minorBidi"/>
          <w:rtl/>
        </w:rPr>
        <w:t xml:space="preserve"> מותר. </w:t>
      </w:r>
      <w:r w:rsidRPr="003024E5">
        <w:rPr>
          <w:rFonts w:asciiTheme="minorBidi" w:hAnsiTheme="minorBidi"/>
          <w:sz w:val="18"/>
          <w:szCs w:val="18"/>
          <w:rtl/>
        </w:rPr>
        <w:t>הגה: ויש אוסרים אפילו בדיעבד</w:t>
      </w:r>
      <w:r w:rsidRPr="003024E5">
        <w:rPr>
          <w:rStyle w:val="a7"/>
          <w:rFonts w:asciiTheme="minorBidi" w:hAnsiTheme="minorBidi"/>
          <w:sz w:val="18"/>
          <w:szCs w:val="18"/>
          <w:rtl/>
        </w:rPr>
        <w:footnoteReference w:id="70"/>
      </w:r>
      <w:r w:rsidRPr="003024E5">
        <w:rPr>
          <w:rFonts w:asciiTheme="minorBidi" w:hAnsiTheme="minorBidi"/>
          <w:sz w:val="18"/>
          <w:szCs w:val="18"/>
          <w:rtl/>
        </w:rPr>
        <w:t xml:space="preserve"> (מהרא"י </w:t>
      </w:r>
      <w:r>
        <w:rPr>
          <w:rFonts w:asciiTheme="minorBidi" w:hAnsiTheme="minorBidi" w:hint="cs"/>
          <w:sz w:val="18"/>
          <w:szCs w:val="18"/>
          <w:rtl/>
        </w:rPr>
        <w:t>וארוך</w:t>
      </w:r>
      <w:r w:rsidRPr="003024E5">
        <w:rPr>
          <w:rFonts w:asciiTheme="minorBidi" w:hAnsiTheme="minorBidi"/>
          <w:sz w:val="18"/>
          <w:szCs w:val="18"/>
          <w:rtl/>
        </w:rPr>
        <w:t>), והכי נהוג אם לא לצורך</w:t>
      </w:r>
      <w:r w:rsidRPr="003024E5">
        <w:rPr>
          <w:rStyle w:val="a7"/>
          <w:rFonts w:asciiTheme="minorBidi" w:hAnsiTheme="minorBidi"/>
          <w:sz w:val="18"/>
          <w:szCs w:val="18"/>
          <w:rtl/>
        </w:rPr>
        <w:footnoteReference w:id="71"/>
      </w:r>
      <w:r w:rsidRPr="003024E5">
        <w:rPr>
          <w:rFonts w:asciiTheme="minorBidi" w:hAnsiTheme="minorBidi"/>
          <w:sz w:val="18"/>
          <w:szCs w:val="18"/>
          <w:rtl/>
        </w:rPr>
        <w:t>, ודוקא אם כבר נתבשל כך, אבל אם לא נתבשל עדיין</w:t>
      </w:r>
      <w:r w:rsidRPr="003024E5">
        <w:rPr>
          <w:rStyle w:val="a7"/>
          <w:rFonts w:asciiTheme="minorBidi" w:hAnsiTheme="minorBidi"/>
          <w:sz w:val="18"/>
          <w:szCs w:val="18"/>
          <w:rtl/>
        </w:rPr>
        <w:footnoteReference w:id="72"/>
      </w:r>
      <w:r w:rsidRPr="003024E5">
        <w:rPr>
          <w:rFonts w:asciiTheme="minorBidi" w:hAnsiTheme="minorBidi"/>
          <w:sz w:val="18"/>
          <w:szCs w:val="18"/>
          <w:rtl/>
        </w:rPr>
        <w:t xml:space="preserve"> לא יבשלנו כך</w:t>
      </w:r>
      <w:r>
        <w:rPr>
          <w:rFonts w:asciiTheme="minorBidi" w:hAnsiTheme="minorBidi" w:hint="cs"/>
          <w:sz w:val="18"/>
          <w:szCs w:val="18"/>
          <w:rtl/>
        </w:rPr>
        <w:t>,</w:t>
      </w:r>
      <w:r w:rsidRPr="003024E5">
        <w:rPr>
          <w:rFonts w:asciiTheme="minorBidi" w:hAnsiTheme="minorBidi"/>
          <w:sz w:val="18"/>
          <w:szCs w:val="18"/>
          <w:rtl/>
        </w:rPr>
        <w:t xml:space="preserve"> אלא</w:t>
      </w:r>
      <w:r>
        <w:rPr>
          <w:rFonts w:asciiTheme="minorBidi" w:hAnsiTheme="minorBidi" w:hint="cs"/>
          <w:sz w:val="18"/>
          <w:szCs w:val="18"/>
          <w:rtl/>
        </w:rPr>
        <w:t xml:space="preserve">, </w:t>
      </w:r>
      <w:r w:rsidRPr="003024E5">
        <w:rPr>
          <w:rFonts w:asciiTheme="minorBidi" w:hAnsiTheme="minorBidi"/>
          <w:sz w:val="18"/>
          <w:szCs w:val="18"/>
          <w:rtl/>
        </w:rPr>
        <w:t>אם הוא תוך י"ב שעות</w:t>
      </w:r>
      <w:r w:rsidRPr="003024E5">
        <w:rPr>
          <w:rStyle w:val="a7"/>
          <w:rFonts w:asciiTheme="minorBidi" w:hAnsiTheme="minorBidi"/>
          <w:sz w:val="18"/>
          <w:szCs w:val="18"/>
          <w:rtl/>
        </w:rPr>
        <w:footnoteReference w:id="73"/>
      </w:r>
      <w:r w:rsidRPr="003024E5">
        <w:rPr>
          <w:rFonts w:asciiTheme="minorBidi" w:hAnsiTheme="minorBidi"/>
          <w:sz w:val="18"/>
          <w:szCs w:val="18"/>
          <w:rtl/>
        </w:rPr>
        <w:t xml:space="preserve"> שנמלח יחזור וימלח צד השני שלא נמלח עדיין</w:t>
      </w:r>
      <w:r w:rsidRPr="003024E5">
        <w:rPr>
          <w:rStyle w:val="a7"/>
          <w:rFonts w:asciiTheme="minorBidi" w:hAnsiTheme="minorBidi"/>
          <w:sz w:val="18"/>
          <w:szCs w:val="18"/>
          <w:rtl/>
        </w:rPr>
        <w:footnoteReference w:id="74"/>
      </w:r>
      <w:r w:rsidRPr="003024E5">
        <w:rPr>
          <w:rFonts w:asciiTheme="minorBidi" w:hAnsiTheme="minorBidi"/>
          <w:sz w:val="18"/>
          <w:szCs w:val="18"/>
          <w:rtl/>
        </w:rPr>
        <w:t xml:space="preserve"> ויבשלנו אחר כך, ואם הוא אחר י"ב שעות אזי יצלנו דנורא משאב שאיב ואין הצד שנמלח כבר בולע מצד שלא נמלח</w:t>
      </w:r>
      <w:r w:rsidRPr="003024E5">
        <w:rPr>
          <w:rStyle w:val="a7"/>
          <w:rFonts w:asciiTheme="minorBidi" w:hAnsiTheme="minorBidi"/>
          <w:sz w:val="18"/>
          <w:szCs w:val="18"/>
          <w:rtl/>
        </w:rPr>
        <w:footnoteReference w:id="75"/>
      </w:r>
      <w:r w:rsidRPr="003024E5">
        <w:rPr>
          <w:rFonts w:asciiTheme="minorBidi" w:hAnsiTheme="minorBidi"/>
          <w:sz w:val="18"/>
          <w:szCs w:val="18"/>
          <w:rtl/>
        </w:rPr>
        <w:t xml:space="preserve"> (שם).</w:t>
      </w:r>
      <w:r w:rsidRPr="003024E5">
        <w:rPr>
          <w:rFonts w:asciiTheme="minorBidi" w:hAnsiTheme="minorBidi"/>
          <w:rtl/>
        </w:rPr>
        <w:t xml:space="preserve"> </w:t>
      </w:r>
    </w:p>
    <w:p w14:paraId="6912E0B4" w14:textId="77777777" w:rsidR="002C39F4" w:rsidRPr="00DC5979" w:rsidRDefault="002C39F4" w:rsidP="002C39F4">
      <w:pPr>
        <w:rPr>
          <w:rFonts w:asciiTheme="minorBidi" w:hAnsiTheme="minorBidi" w:cs="Arial"/>
          <w:u w:val="single"/>
          <w:rtl/>
        </w:rPr>
      </w:pPr>
      <w:r w:rsidRPr="00DC5979">
        <w:rPr>
          <w:rFonts w:asciiTheme="minorBidi" w:hAnsiTheme="minorBidi" w:cs="Arial"/>
          <w:u w:val="single"/>
          <w:rtl/>
        </w:rPr>
        <w:t xml:space="preserve">בשר </w:t>
      </w:r>
      <w:r>
        <w:rPr>
          <w:rFonts w:asciiTheme="minorBidi" w:hAnsiTheme="minorBidi" w:cs="Arial" w:hint="cs"/>
          <w:u w:val="single"/>
          <w:rtl/>
        </w:rPr>
        <w:t xml:space="preserve">שנמלח </w:t>
      </w:r>
      <w:r w:rsidRPr="00DC5979">
        <w:rPr>
          <w:rFonts w:asciiTheme="minorBidi" w:hAnsiTheme="minorBidi" w:cs="Arial"/>
          <w:u w:val="single"/>
          <w:rtl/>
        </w:rPr>
        <w:t xml:space="preserve">במלח </w:t>
      </w:r>
      <w:r>
        <w:rPr>
          <w:rFonts w:asciiTheme="minorBidi" w:hAnsiTheme="minorBidi" w:cs="Arial" w:hint="cs"/>
          <w:u w:val="single"/>
          <w:rtl/>
        </w:rPr>
        <w:t>ש</w:t>
      </w:r>
      <w:r w:rsidRPr="00DC5979">
        <w:rPr>
          <w:rFonts w:asciiTheme="minorBidi" w:hAnsiTheme="minorBidi" w:cs="Arial"/>
          <w:u w:val="single"/>
          <w:rtl/>
        </w:rPr>
        <w:t>מעורב בגרויפין</w:t>
      </w:r>
      <w:r>
        <w:rPr>
          <w:rFonts w:asciiTheme="minorBidi" w:hAnsiTheme="minorBidi" w:cs="Arial" w:hint="cs"/>
          <w:sz w:val="16"/>
          <w:szCs w:val="16"/>
          <w:u w:val="single"/>
          <w:rtl/>
        </w:rPr>
        <w:t xml:space="preserve"> (גריסים)</w:t>
      </w:r>
      <w:r>
        <w:rPr>
          <w:rFonts w:asciiTheme="minorBidi" w:hAnsiTheme="minorBidi" w:cs="Arial" w:hint="cs"/>
          <w:u w:val="single"/>
          <w:rtl/>
        </w:rPr>
        <w:t>:</w:t>
      </w:r>
      <w:r>
        <w:rPr>
          <w:rFonts w:asciiTheme="minorBidi" w:hAnsiTheme="minorBidi" w:cs="Arial" w:hint="cs"/>
          <w:sz w:val="16"/>
          <w:szCs w:val="16"/>
          <w:rtl/>
        </w:rPr>
        <w:t xml:space="preserve">   </w:t>
      </w:r>
      <w:r w:rsidRPr="00DC5979">
        <w:rPr>
          <w:rFonts w:asciiTheme="minorBidi" w:hAnsiTheme="minorBidi" w:cs="Arial" w:hint="cs"/>
          <w:sz w:val="16"/>
          <w:szCs w:val="16"/>
          <w:rtl/>
        </w:rPr>
        <w:t>(</w:t>
      </w:r>
      <w:r>
        <w:rPr>
          <w:rFonts w:asciiTheme="minorBidi" w:hAnsiTheme="minorBidi" w:cs="Arial" w:hint="cs"/>
          <w:sz w:val="16"/>
          <w:szCs w:val="16"/>
          <w:rtl/>
        </w:rPr>
        <w:t>פת"ש סק"י</w:t>
      </w:r>
      <w:r w:rsidRPr="00DC5979">
        <w:rPr>
          <w:rFonts w:asciiTheme="minorBidi" w:hAnsiTheme="minorBidi" w:cs="Arial" w:hint="cs"/>
          <w:sz w:val="16"/>
          <w:szCs w:val="16"/>
          <w:rtl/>
        </w:rPr>
        <w:t>)</w:t>
      </w:r>
    </w:p>
    <w:p w14:paraId="1443521A" w14:textId="77777777" w:rsidR="002C39F4" w:rsidRPr="00DC5979" w:rsidRDefault="002C39F4" w:rsidP="002C39F4">
      <w:pPr>
        <w:pStyle w:val="a8"/>
        <w:numPr>
          <w:ilvl w:val="0"/>
          <w:numId w:val="7"/>
        </w:numPr>
        <w:rPr>
          <w:rFonts w:asciiTheme="minorBidi" w:hAnsiTheme="minorBidi"/>
          <w:rtl/>
        </w:rPr>
      </w:pPr>
      <w:r w:rsidRPr="00DC5979">
        <w:rPr>
          <w:rFonts w:asciiTheme="minorBidi" w:hAnsiTheme="minorBidi" w:cs="Arial"/>
          <w:rtl/>
        </w:rPr>
        <w:t xml:space="preserve">ח"ד </w:t>
      </w:r>
      <w:r w:rsidRPr="00DC5979">
        <w:rPr>
          <w:rFonts w:asciiTheme="minorBidi" w:hAnsiTheme="minorBidi" w:cs="Arial" w:hint="cs"/>
          <w:sz w:val="16"/>
          <w:szCs w:val="16"/>
          <w:rtl/>
        </w:rPr>
        <w:t>(</w:t>
      </w:r>
      <w:r w:rsidRPr="00DC5979">
        <w:rPr>
          <w:rFonts w:asciiTheme="minorBidi" w:hAnsiTheme="minorBidi" w:cs="Arial"/>
          <w:sz w:val="16"/>
          <w:szCs w:val="16"/>
          <w:rtl/>
        </w:rPr>
        <w:t>סי' לו</w:t>
      </w:r>
      <w:r w:rsidRPr="00DC5979">
        <w:rPr>
          <w:rFonts w:asciiTheme="minorBidi" w:hAnsiTheme="minorBidi" w:cs="Arial" w:hint="cs"/>
          <w:sz w:val="16"/>
          <w:szCs w:val="16"/>
          <w:rtl/>
        </w:rPr>
        <w:t>)</w:t>
      </w:r>
      <w:r w:rsidRPr="00DC5979">
        <w:rPr>
          <w:rFonts w:asciiTheme="minorBidi" w:hAnsiTheme="minorBidi" w:cs="Arial" w:hint="cs"/>
          <w:rtl/>
        </w:rPr>
        <w:t>-</w:t>
      </w:r>
      <w:r w:rsidRPr="00DC5979">
        <w:rPr>
          <w:rFonts w:asciiTheme="minorBidi" w:hAnsiTheme="minorBidi" w:cs="Arial"/>
          <w:rtl/>
        </w:rPr>
        <w:t xml:space="preserve"> מעשה שמלחו בשר במלח מעורב בגרויפין שליש או רביע</w:t>
      </w:r>
      <w:r w:rsidRPr="00DC5979">
        <w:rPr>
          <w:rFonts w:asciiTheme="minorBidi" w:hAnsiTheme="minorBidi" w:cs="Arial" w:hint="cs"/>
          <w:rtl/>
        </w:rPr>
        <w:t>,</w:t>
      </w:r>
      <w:r w:rsidRPr="00DC5979">
        <w:rPr>
          <w:rFonts w:asciiTheme="minorBidi" w:hAnsiTheme="minorBidi" w:cs="Arial"/>
          <w:rtl/>
        </w:rPr>
        <w:t xml:space="preserve"> </w:t>
      </w:r>
      <w:r w:rsidRPr="00DC5979">
        <w:rPr>
          <w:rFonts w:asciiTheme="minorBidi" w:hAnsiTheme="minorBidi" w:cs="Arial" w:hint="cs"/>
          <w:rtl/>
        </w:rPr>
        <w:t>ו</w:t>
      </w:r>
      <w:r w:rsidRPr="00DC5979">
        <w:rPr>
          <w:rFonts w:asciiTheme="minorBidi" w:hAnsiTheme="minorBidi" w:cs="Arial"/>
          <w:rtl/>
        </w:rPr>
        <w:t>אסור כיון שנוהגים בלא"ה שיש מקום פנוי ובהצטרף לזה מקום הגרויפין יהיה הרבה פנוי ובאותו מקום נאכל מחמת מלחו וזה מעכב בדיעבד אליבה דכ</w:t>
      </w:r>
      <w:r>
        <w:rPr>
          <w:rFonts w:asciiTheme="minorBidi" w:hAnsiTheme="minorBidi" w:cs="Arial" w:hint="cs"/>
          <w:rtl/>
        </w:rPr>
        <w:t>ו</w:t>
      </w:r>
      <w:r w:rsidRPr="00DC5979">
        <w:rPr>
          <w:rFonts w:asciiTheme="minorBidi" w:hAnsiTheme="minorBidi" w:cs="Arial"/>
          <w:rtl/>
        </w:rPr>
        <w:t>"ע</w:t>
      </w:r>
      <w:r w:rsidRPr="00DC5979">
        <w:rPr>
          <w:rFonts w:asciiTheme="minorBidi" w:hAnsiTheme="minorBidi" w:cs="Arial" w:hint="cs"/>
          <w:rtl/>
        </w:rPr>
        <w:t>,</w:t>
      </w:r>
      <w:r w:rsidRPr="00DC5979">
        <w:rPr>
          <w:rFonts w:asciiTheme="minorBidi" w:hAnsiTheme="minorBidi" w:cs="Arial"/>
          <w:rtl/>
        </w:rPr>
        <w:t xml:space="preserve"> לכן אם לא שהה עדיין שיעור מליחה יש להדיחו ולחזור למולחו במלח יפה דאסור למלוח בעוד שהמלח ודם עליו</w:t>
      </w:r>
      <w:r>
        <w:rPr>
          <w:rFonts w:asciiTheme="minorBidi" w:hAnsiTheme="minorBidi" w:cs="Arial" w:hint="cs"/>
          <w:rtl/>
        </w:rPr>
        <w:t>,</w:t>
      </w:r>
      <w:r w:rsidRPr="00DC5979">
        <w:rPr>
          <w:rFonts w:asciiTheme="minorBidi" w:hAnsiTheme="minorBidi" w:cs="Arial"/>
          <w:rtl/>
        </w:rPr>
        <w:t xml:space="preserve"> ואם שהה שיעור מליחה ידיחנו מעט וימלחנו דאם ידיחו יפה יסתמו נקבי הפליטה ויבלע המקום שנמלח כהוגן מהמקום שלא נמלח</w:t>
      </w:r>
      <w:r>
        <w:rPr>
          <w:rFonts w:asciiTheme="minorBidi" w:hAnsiTheme="minorBidi" w:cs="Arial" w:hint="cs"/>
          <w:rtl/>
        </w:rPr>
        <w:t>,</w:t>
      </w:r>
      <w:r w:rsidRPr="00DC5979">
        <w:rPr>
          <w:rFonts w:asciiTheme="minorBidi" w:hAnsiTheme="minorBidi" w:cs="Arial"/>
          <w:rtl/>
        </w:rPr>
        <w:t xml:space="preserve"> גם ימלחנו על מקום נקי לא על אותו כלי שמלח בראשונה</w:t>
      </w:r>
      <w:r w:rsidRPr="00DC5979">
        <w:rPr>
          <w:rFonts w:asciiTheme="minorBidi" w:hAnsiTheme="minorBidi" w:hint="cs"/>
          <w:rtl/>
        </w:rPr>
        <w:t>.</w:t>
      </w:r>
    </w:p>
    <w:p w14:paraId="75B17AD2" w14:textId="77777777" w:rsidR="002C39F4" w:rsidRPr="003024E5" w:rsidRDefault="002C39F4" w:rsidP="002C39F4">
      <w:pPr>
        <w:rPr>
          <w:rFonts w:asciiTheme="minorBidi" w:hAnsiTheme="minorBidi"/>
          <w:rtl/>
        </w:rPr>
      </w:pPr>
    </w:p>
    <w:p w14:paraId="34C1C027" w14:textId="77777777" w:rsidR="002C39F4" w:rsidRDefault="002C39F4" w:rsidP="002C39F4">
      <w:pPr>
        <w:pStyle w:val="2"/>
        <w:rPr>
          <w:rFonts w:asciiTheme="minorBidi" w:hAnsiTheme="minorBidi"/>
          <w:rtl/>
        </w:rPr>
      </w:pPr>
      <w:r w:rsidRPr="003024E5">
        <w:rPr>
          <w:rFonts w:asciiTheme="minorBidi" w:hAnsiTheme="minorBidi"/>
          <w:rtl/>
        </w:rPr>
        <w:t>סעיף ה: מליחה אחר חיתוך.</w:t>
      </w:r>
    </w:p>
    <w:p w14:paraId="07F5675F" w14:textId="77777777" w:rsidR="002C39F4" w:rsidRPr="003024E5" w:rsidRDefault="002C39F4" w:rsidP="002C39F4">
      <w:pPr>
        <w:rPr>
          <w:rFonts w:asciiTheme="minorBidi" w:hAnsiTheme="minorBidi"/>
          <w:u w:val="single"/>
          <w:rtl/>
        </w:rPr>
      </w:pPr>
      <w:r w:rsidRPr="003024E5">
        <w:rPr>
          <w:rFonts w:asciiTheme="minorBidi" w:hAnsiTheme="minorBidi"/>
          <w:u w:val="single"/>
          <w:rtl/>
        </w:rPr>
        <w:t xml:space="preserve">האם צריך </w:t>
      </w:r>
      <w:r>
        <w:rPr>
          <w:rFonts w:asciiTheme="minorBidi" w:hAnsiTheme="minorBidi" w:hint="cs"/>
          <w:u w:val="single"/>
          <w:rtl/>
        </w:rPr>
        <w:t>לחתוך</w:t>
      </w:r>
      <w:r w:rsidRPr="003024E5">
        <w:rPr>
          <w:rFonts w:asciiTheme="minorBidi" w:hAnsiTheme="minorBidi"/>
          <w:u w:val="single"/>
          <w:rtl/>
        </w:rPr>
        <w:t xml:space="preserve"> חתיכה עבה לשנים כדי למולחה:</w:t>
      </w:r>
    </w:p>
    <w:p w14:paraId="6C8B5AC3"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(בתוה"</w:t>
      </w:r>
      <w:r>
        <w:rPr>
          <w:rFonts w:asciiTheme="minorBidi" w:hAnsiTheme="minorBidi" w:hint="cs"/>
          <w:sz w:val="16"/>
          <w:szCs w:val="16"/>
          <w:rtl/>
        </w:rPr>
        <w:t>ק</w:t>
      </w:r>
      <w:r w:rsidRPr="003024E5">
        <w:rPr>
          <w:rFonts w:asciiTheme="minorBidi" w:hAnsiTheme="minorBidi"/>
          <w:sz w:val="16"/>
          <w:szCs w:val="16"/>
          <w:rtl/>
        </w:rPr>
        <w:t xml:space="preserve"> [עא.] ובתשו' ח"א סי</w:t>
      </w:r>
      <w:r>
        <w:rPr>
          <w:rFonts w:asciiTheme="minorBidi" w:hAnsiTheme="minorBidi" w:hint="cs"/>
          <w:sz w:val="16"/>
          <w:szCs w:val="16"/>
          <w:rtl/>
        </w:rPr>
        <w:t>'</w:t>
      </w:r>
      <w:r w:rsidRPr="003024E5">
        <w:rPr>
          <w:rFonts w:asciiTheme="minorBidi" w:hAnsiTheme="minorBidi"/>
          <w:sz w:val="16"/>
          <w:szCs w:val="16"/>
          <w:rtl/>
        </w:rPr>
        <w:t xml:space="preserve"> רסה)</w:t>
      </w:r>
      <w:r w:rsidRPr="003024E5">
        <w:rPr>
          <w:rFonts w:asciiTheme="minorBidi" w:hAnsiTheme="minorBidi"/>
          <w:rtl/>
        </w:rPr>
        <w:t>- אין צריך לחתכה לשנים.</w:t>
      </w:r>
      <w:r w:rsidRPr="00AE3E1F">
        <w:rPr>
          <w:rFonts w:asciiTheme="minorBidi" w:hAnsiTheme="minorBidi"/>
          <w:rtl/>
        </w:rPr>
        <w:t xml:space="preserve"> </w:t>
      </w:r>
      <w:r w:rsidRPr="003024E5">
        <w:rPr>
          <w:rFonts w:asciiTheme="minorBidi" w:hAnsiTheme="minorBidi"/>
          <w:color w:val="E36C0A" w:themeColor="accent6" w:themeShade="BF"/>
          <w:rtl/>
        </w:rPr>
        <w:t>(וכ"פ בשו"ע)</w:t>
      </w:r>
      <w:r>
        <w:rPr>
          <w:rFonts w:asciiTheme="minorBidi" w:hAnsiTheme="minorBidi" w:hint="cs"/>
          <w:rtl/>
        </w:rPr>
        <w:t xml:space="preserve"> (</w:t>
      </w:r>
      <w:r w:rsidRPr="005C6730">
        <w:rPr>
          <w:rFonts w:asciiTheme="minorBidi" w:hAnsiTheme="minorBidi"/>
          <w:rtl/>
        </w:rPr>
        <w:t>וכ"פ רש"ל ש"ך ופר"</w:t>
      </w:r>
      <w:r>
        <w:rPr>
          <w:rFonts w:asciiTheme="minorBidi" w:hAnsiTheme="minorBidi" w:hint="cs"/>
          <w:rtl/>
        </w:rPr>
        <w:t>ח</w:t>
      </w:r>
      <w:r>
        <w:rPr>
          <w:rStyle w:val="a7"/>
          <w:rFonts w:asciiTheme="minorBidi" w:hAnsiTheme="minorBidi"/>
          <w:rtl/>
        </w:rPr>
        <w:footnoteReference w:id="76"/>
      </w:r>
      <w:r>
        <w:rPr>
          <w:rFonts w:asciiTheme="minorBidi" w:hAnsiTheme="minorBidi" w:hint="cs"/>
          <w:rtl/>
        </w:rPr>
        <w:t>)</w:t>
      </w:r>
    </w:p>
    <w:p w14:paraId="3925CDF9" w14:textId="77777777" w:rsidR="002C39F4" w:rsidRPr="004B15BC" w:rsidRDefault="002C39F4" w:rsidP="002C39F4">
      <w:pPr>
        <w:pStyle w:val="a8"/>
        <w:numPr>
          <w:ilvl w:val="0"/>
          <w:numId w:val="8"/>
        </w:numPr>
        <w:rPr>
          <w:rFonts w:asciiTheme="minorBidi" w:hAnsiTheme="minorBidi"/>
          <w:rtl/>
        </w:rPr>
      </w:pPr>
      <w:r w:rsidRPr="003024E5">
        <w:rPr>
          <w:rFonts w:asciiTheme="minorBidi" w:hAnsiTheme="minorBidi"/>
          <w:rtl/>
        </w:rPr>
        <w:lastRenderedPageBreak/>
        <w:t>מרדכי</w:t>
      </w:r>
      <w:r w:rsidRPr="003024E5">
        <w:rPr>
          <w:rStyle w:val="a7"/>
          <w:rFonts w:asciiTheme="minorBidi" w:hAnsiTheme="minorBidi"/>
          <w:rtl/>
        </w:rPr>
        <w:footnoteReference w:id="77"/>
      </w:r>
      <w:r w:rsidRPr="003024E5">
        <w:rPr>
          <w:rFonts w:asciiTheme="minorBidi" w:hAnsiTheme="minorBidi"/>
          <w:rtl/>
        </w:rPr>
        <w:t>- צריך לבוקעה.</w:t>
      </w:r>
    </w:p>
    <w:p w14:paraId="7A5B88E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4A099CE" w14:textId="77777777" w:rsidR="002C39F4" w:rsidRPr="00A34E88" w:rsidRDefault="002C39F4" w:rsidP="002C39F4">
      <w:pPr>
        <w:rPr>
          <w:rFonts w:asciiTheme="minorBidi" w:hAnsiTheme="minorBidi"/>
          <w:sz w:val="16"/>
          <w:szCs w:val="16"/>
          <w:rtl/>
        </w:rPr>
      </w:pPr>
      <w:r w:rsidRPr="003024E5">
        <w:rPr>
          <w:rFonts w:asciiTheme="minorBidi" w:hAnsiTheme="minorBidi"/>
          <w:rtl/>
        </w:rPr>
        <w:t>אחר שנמלחה החתיכה</w:t>
      </w:r>
      <w:r w:rsidRPr="003024E5">
        <w:rPr>
          <w:rStyle w:val="a7"/>
          <w:rFonts w:asciiTheme="minorBidi" w:hAnsiTheme="minorBidi"/>
          <w:rtl/>
        </w:rPr>
        <w:footnoteReference w:id="78"/>
      </w:r>
      <w:r w:rsidRPr="003024E5">
        <w:rPr>
          <w:rFonts w:asciiTheme="minorBidi" w:hAnsiTheme="minorBidi"/>
          <w:rtl/>
        </w:rPr>
        <w:t xml:space="preserve">, אם חתך ממנה אינו צריך לחזור ולמלוח מקום החתך. </w:t>
      </w:r>
      <w:r>
        <w:rPr>
          <w:rFonts w:asciiTheme="minorBidi" w:hAnsiTheme="minorBidi" w:hint="cs"/>
          <w:sz w:val="16"/>
          <w:szCs w:val="16"/>
          <w:rtl/>
        </w:rPr>
        <w:t xml:space="preserve">{רשב"א </w:t>
      </w:r>
      <w:r w:rsidRPr="00A34E88">
        <w:rPr>
          <w:rFonts w:asciiTheme="minorBidi" w:hAnsiTheme="minorBidi" w:hint="cs"/>
          <w:sz w:val="14"/>
          <w:szCs w:val="14"/>
          <w:rtl/>
        </w:rPr>
        <w:t>[ח"א סי' רסה]</w:t>
      </w:r>
      <w:r>
        <w:rPr>
          <w:rFonts w:asciiTheme="minorBidi" w:hAnsiTheme="minorBidi" w:hint="cs"/>
          <w:sz w:val="16"/>
          <w:szCs w:val="16"/>
          <w:rtl/>
        </w:rPr>
        <w:t>}</w:t>
      </w:r>
    </w:p>
    <w:p w14:paraId="4039462F" w14:textId="77777777" w:rsidR="002C39F4" w:rsidRPr="003024E5" w:rsidRDefault="002C39F4" w:rsidP="002C39F4">
      <w:pPr>
        <w:rPr>
          <w:rFonts w:asciiTheme="minorBidi" w:hAnsiTheme="minorBidi"/>
          <w:rtl/>
        </w:rPr>
      </w:pPr>
    </w:p>
    <w:p w14:paraId="70464473" w14:textId="77777777" w:rsidR="002C39F4" w:rsidRPr="003024E5" w:rsidRDefault="002C39F4" w:rsidP="002C39F4">
      <w:pPr>
        <w:pStyle w:val="2"/>
        <w:rPr>
          <w:rFonts w:asciiTheme="minorBidi" w:hAnsiTheme="minorBidi"/>
          <w:rtl/>
        </w:rPr>
      </w:pPr>
      <w:r w:rsidRPr="003024E5">
        <w:rPr>
          <w:rFonts w:asciiTheme="minorBidi" w:hAnsiTheme="minorBidi"/>
          <w:rtl/>
        </w:rPr>
        <w:t>סעיף ו: שיעור שהיית הבשר במלח.</w:t>
      </w:r>
    </w:p>
    <w:p w14:paraId="52BCE5A4" w14:textId="77777777" w:rsidR="002C39F4" w:rsidRPr="003024E5" w:rsidRDefault="002C39F4" w:rsidP="002C39F4">
      <w:pPr>
        <w:rPr>
          <w:rFonts w:asciiTheme="minorBidi" w:hAnsiTheme="minorBidi"/>
          <w:u w:val="single"/>
          <w:rtl/>
        </w:rPr>
      </w:pPr>
      <w:r>
        <w:rPr>
          <w:rFonts w:asciiTheme="minorBidi" w:hAnsiTheme="minorBidi" w:hint="cs"/>
          <w:u w:val="single"/>
          <w:rtl/>
        </w:rPr>
        <w:t>כמה זמן צריך להשהות את</w:t>
      </w:r>
      <w:r w:rsidRPr="003024E5">
        <w:rPr>
          <w:rFonts w:asciiTheme="minorBidi" w:hAnsiTheme="minorBidi"/>
          <w:u w:val="single"/>
          <w:rtl/>
        </w:rPr>
        <w:t xml:space="preserve"> הבשר </w:t>
      </w:r>
      <w:r>
        <w:rPr>
          <w:rFonts w:asciiTheme="minorBidi" w:hAnsiTheme="minorBidi" w:hint="cs"/>
          <w:u w:val="single"/>
          <w:rtl/>
        </w:rPr>
        <w:t>עם ה</w:t>
      </w:r>
      <w:r w:rsidRPr="003024E5">
        <w:rPr>
          <w:rFonts w:asciiTheme="minorBidi" w:hAnsiTheme="minorBidi"/>
          <w:u w:val="single"/>
          <w:rtl/>
        </w:rPr>
        <w:t>מלח:</w:t>
      </w:r>
    </w:p>
    <w:p w14:paraId="33C293C7"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גאונים רש"י רמב"ם וראבי"ה</w:t>
      </w:r>
      <w:r w:rsidRPr="003024E5">
        <w:rPr>
          <w:rStyle w:val="a7"/>
          <w:rFonts w:asciiTheme="minorBidi" w:hAnsiTheme="minorBidi"/>
          <w:rtl/>
        </w:rPr>
        <w:footnoteReference w:id="79"/>
      </w:r>
      <w:r w:rsidRPr="003024E5">
        <w:rPr>
          <w:rFonts w:asciiTheme="minorBidi" w:hAnsiTheme="minorBidi"/>
          <w:rtl/>
        </w:rPr>
        <w:t>- כדי שיעור הילוך מיל</w:t>
      </w:r>
      <w:r w:rsidRPr="003024E5">
        <w:rPr>
          <w:rStyle w:val="a7"/>
          <w:rFonts w:asciiTheme="minorBidi" w:hAnsiTheme="minorBidi"/>
          <w:rtl/>
        </w:rPr>
        <w:footnoteReference w:id="80"/>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4AAC12E8" w14:textId="77777777" w:rsidR="002C39F4" w:rsidRPr="007D0B46" w:rsidRDefault="002C39F4" w:rsidP="002C39F4">
      <w:pPr>
        <w:pStyle w:val="a8"/>
        <w:numPr>
          <w:ilvl w:val="0"/>
          <w:numId w:val="8"/>
        </w:numPr>
        <w:rPr>
          <w:rFonts w:asciiTheme="minorBidi" w:hAnsiTheme="minorBidi"/>
        </w:rPr>
      </w:pPr>
      <w:r w:rsidRPr="003024E5">
        <w:rPr>
          <w:rFonts w:asciiTheme="minorBidi" w:hAnsiTheme="minorBidi"/>
          <w:rtl/>
        </w:rPr>
        <w:t>בה"ג רשב"א ורא"ש</w:t>
      </w:r>
      <w:r w:rsidRPr="003024E5">
        <w:rPr>
          <w:rStyle w:val="a7"/>
          <w:rFonts w:asciiTheme="minorBidi" w:hAnsiTheme="minorBidi"/>
          <w:rtl/>
        </w:rPr>
        <w:footnoteReference w:id="81"/>
      </w:r>
      <w:r w:rsidRPr="003024E5">
        <w:rPr>
          <w:rFonts w:asciiTheme="minorBidi" w:hAnsiTheme="minorBidi"/>
          <w:rtl/>
        </w:rPr>
        <w:t>- כדי צלייה</w:t>
      </w:r>
      <w:r w:rsidRPr="003024E5">
        <w:rPr>
          <w:rStyle w:val="a7"/>
          <w:rFonts w:asciiTheme="minorBidi" w:hAnsiTheme="minorBidi"/>
          <w:rtl/>
        </w:rPr>
        <w:footnoteReference w:id="82"/>
      </w:r>
      <w:r w:rsidRPr="003024E5">
        <w:rPr>
          <w:rFonts w:asciiTheme="minorBidi" w:hAnsiTheme="minorBidi"/>
          <w:rtl/>
        </w:rPr>
        <w:t xml:space="preserve">. </w:t>
      </w:r>
    </w:p>
    <w:p w14:paraId="465E3169"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תרוה"ד </w:t>
      </w:r>
      <w:r w:rsidRPr="003024E5">
        <w:rPr>
          <w:rFonts w:asciiTheme="minorBidi" w:hAnsiTheme="minorBidi"/>
          <w:sz w:val="16"/>
          <w:szCs w:val="16"/>
          <w:rtl/>
        </w:rPr>
        <w:t>(סי' קסז)</w:t>
      </w:r>
      <w:r w:rsidRPr="003024E5">
        <w:rPr>
          <w:rFonts w:asciiTheme="minorBidi" w:hAnsiTheme="minorBidi"/>
          <w:rtl/>
        </w:rPr>
        <w:t xml:space="preserve"> ו</w:t>
      </w: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א' דין ט)</w:t>
      </w:r>
      <w:r w:rsidRPr="003024E5">
        <w:rPr>
          <w:rFonts w:asciiTheme="minorBidi" w:hAnsiTheme="minorBidi"/>
          <w:rtl/>
        </w:rPr>
        <w:t>- "מרגלא בפומייהו דאינשי שצריך לשהות הבשר במלח שעה אחת</w:t>
      </w:r>
      <w:r w:rsidRPr="003024E5">
        <w:rPr>
          <w:rStyle w:val="a7"/>
          <w:rFonts w:asciiTheme="minorBidi" w:hAnsiTheme="minorBidi"/>
          <w:rtl/>
        </w:rPr>
        <w:footnoteReference w:id="83"/>
      </w:r>
      <w:r w:rsidRPr="003024E5">
        <w:rPr>
          <w:rFonts w:asciiTheme="minorBidi" w:hAnsiTheme="minorBidi"/>
          <w:rtl/>
        </w:rPr>
        <w:t>, אכן נראה בשעה"ד כגון לכבוד שבת ולכבוד אורחים</w:t>
      </w:r>
      <w:r w:rsidRPr="003024E5">
        <w:rPr>
          <w:rStyle w:val="a7"/>
          <w:rFonts w:asciiTheme="minorBidi" w:hAnsiTheme="minorBidi"/>
          <w:rtl/>
        </w:rPr>
        <w:footnoteReference w:id="84"/>
      </w:r>
      <w:r w:rsidRPr="003024E5">
        <w:rPr>
          <w:rFonts w:asciiTheme="minorBidi" w:hAnsiTheme="minorBidi"/>
          <w:rtl/>
        </w:rPr>
        <w:t xml:space="preserve"> יש לסמוך אדברי הרמב"ם </w:t>
      </w:r>
      <w:r w:rsidRPr="003024E5">
        <w:rPr>
          <w:rFonts w:asciiTheme="minorBidi" w:hAnsiTheme="minorBidi"/>
          <w:sz w:val="16"/>
          <w:szCs w:val="16"/>
          <w:rtl/>
        </w:rPr>
        <w:t>(ל' תרוה"ד)</w:t>
      </w:r>
      <w:r w:rsidRPr="003024E5">
        <w:rPr>
          <w:rFonts w:asciiTheme="minorBidi" w:hAnsiTheme="minorBidi"/>
          <w:rtl/>
        </w:rPr>
        <w:t>".</w:t>
      </w:r>
      <w:r w:rsidRPr="003024E5">
        <w:rPr>
          <w:rFonts w:asciiTheme="minorBidi" w:hAnsiTheme="minorBidi"/>
          <w:color w:val="00B0F0"/>
          <w:rtl/>
        </w:rPr>
        <w:t xml:space="preserve"> (וכ"פ הרמ"א)</w:t>
      </w:r>
    </w:p>
    <w:p w14:paraId="269A6EE6"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רי"ף </w:t>
      </w:r>
      <w:r w:rsidRPr="003024E5">
        <w:rPr>
          <w:rFonts w:asciiTheme="minorBidi" w:hAnsiTheme="minorBidi"/>
          <w:sz w:val="16"/>
          <w:szCs w:val="16"/>
          <w:rtl/>
        </w:rPr>
        <w:t>(ספכ"ה [מב:])</w:t>
      </w:r>
      <w:r w:rsidRPr="003024E5">
        <w:rPr>
          <w:rFonts w:asciiTheme="minorBidi" w:hAnsiTheme="minorBidi"/>
          <w:rtl/>
        </w:rPr>
        <w:t>- בכדי שישחוט הבהמה ושתהיה נפשטת ויבדק הבשר מן החלב ומכל איסורין שיש בה</w:t>
      </w:r>
      <w:r>
        <w:rPr>
          <w:rFonts w:asciiTheme="minorBidi" w:hAnsiTheme="minorBidi" w:hint="cs"/>
          <w:rtl/>
        </w:rPr>
        <w:t>,</w:t>
      </w:r>
      <w:r w:rsidRPr="003024E5">
        <w:rPr>
          <w:rFonts w:asciiTheme="minorBidi" w:hAnsiTheme="minorBidi"/>
          <w:rtl/>
        </w:rPr>
        <w:t xml:space="preserve"> בציר מהכי אסור</w:t>
      </w:r>
      <w:r w:rsidRPr="003024E5">
        <w:rPr>
          <w:rStyle w:val="a7"/>
          <w:rFonts w:asciiTheme="minorBidi" w:hAnsiTheme="minorBidi"/>
          <w:rtl/>
        </w:rPr>
        <w:footnoteReference w:id="85"/>
      </w:r>
      <w:r w:rsidRPr="003024E5">
        <w:rPr>
          <w:rFonts w:asciiTheme="minorBidi" w:hAnsiTheme="minorBidi"/>
          <w:rtl/>
        </w:rPr>
        <w:t>.</w:t>
      </w:r>
      <w:r>
        <w:rPr>
          <w:rFonts w:asciiTheme="minorBidi" w:hAnsiTheme="minorBidi" w:hint="cs"/>
          <w:rtl/>
        </w:rPr>
        <w:t xml:space="preserve"> </w:t>
      </w:r>
    </w:p>
    <w:p w14:paraId="0D9D3AA9" w14:textId="77777777" w:rsidR="002C39F4" w:rsidRPr="003024E5" w:rsidRDefault="002C39F4" w:rsidP="002C39F4">
      <w:pPr>
        <w:rPr>
          <w:rFonts w:asciiTheme="minorBidi" w:hAnsiTheme="minorBidi"/>
          <w:u w:val="single"/>
        </w:rPr>
      </w:pPr>
      <w:r w:rsidRPr="003024E5">
        <w:rPr>
          <w:rFonts w:asciiTheme="minorBidi" w:hAnsiTheme="minorBidi"/>
          <w:u w:val="single"/>
          <w:rtl/>
        </w:rPr>
        <w:t>רגלי כבש שהודחו ונמלחו ולא שהו כלל ומיד הושמו בקדרה:</w:t>
      </w:r>
    </w:p>
    <w:p w14:paraId="63E01559" w14:textId="77777777" w:rsidR="002C39F4" w:rsidRPr="003024E5" w:rsidRDefault="002C39F4" w:rsidP="002C39F4">
      <w:pPr>
        <w:pStyle w:val="a8"/>
        <w:numPr>
          <w:ilvl w:val="0"/>
          <w:numId w:val="8"/>
        </w:numPr>
        <w:rPr>
          <w:rFonts w:asciiTheme="minorBidi" w:hAnsiTheme="minorBidi"/>
          <w:rtl/>
        </w:rPr>
      </w:pPr>
      <w:r w:rsidRPr="003024E5">
        <w:rPr>
          <w:rFonts w:asciiTheme="minorBidi" w:hAnsiTheme="minorBidi"/>
          <w:rtl/>
        </w:rPr>
        <w:t>הגשע"ד</w:t>
      </w:r>
      <w:r w:rsidRPr="003024E5">
        <w:rPr>
          <w:rFonts w:asciiTheme="minorBidi" w:hAnsiTheme="minorBidi"/>
          <w:sz w:val="16"/>
          <w:szCs w:val="16"/>
          <w:rtl/>
        </w:rPr>
        <w:t xml:space="preserve"> (סי' טו אות ד)</w:t>
      </w:r>
      <w:r w:rsidRPr="003024E5">
        <w:rPr>
          <w:rFonts w:asciiTheme="minorBidi" w:hAnsiTheme="minorBidi"/>
          <w:rtl/>
        </w:rPr>
        <w:t>- מעשה בגויה שהבהבה רגלי כבש והודחו ונמלחו ולא שהו כלל ומיד הושמו בקדרה ונראה לאסור מאחר שלא שהו אבל אני אליעזר ברבי יהודה מצאתי להתיר מדאמר שמואל אין הבשר יוצא מידי דמו אא"כ מדיחו ומולחו ולא הזכיר שהייה ועוד שהבהוב מוציא הדם ע</w:t>
      </w:r>
      <w:r>
        <w:rPr>
          <w:rFonts w:asciiTheme="minorBidi" w:hAnsiTheme="minorBidi" w:hint="cs"/>
          <w:rtl/>
        </w:rPr>
        <w:t>"</w:t>
      </w:r>
      <w:r w:rsidRPr="003024E5">
        <w:rPr>
          <w:rFonts w:asciiTheme="minorBidi" w:hAnsiTheme="minorBidi"/>
          <w:rtl/>
        </w:rPr>
        <w:t xml:space="preserve">י האור ועוד תחשב ההבהוב עם המלח ואיכא </w:t>
      </w:r>
      <w:r>
        <w:rPr>
          <w:rFonts w:asciiTheme="minorBidi" w:hAnsiTheme="minorBidi" w:hint="cs"/>
          <w:rtl/>
        </w:rPr>
        <w:t>[</w:t>
      </w:r>
      <w:r w:rsidRPr="003024E5">
        <w:rPr>
          <w:rFonts w:asciiTheme="minorBidi" w:hAnsiTheme="minorBidi"/>
          <w:rtl/>
        </w:rPr>
        <w:t>שיעור] שהייה ומותר</w:t>
      </w:r>
      <w:r>
        <w:rPr>
          <w:rStyle w:val="a7"/>
          <w:rFonts w:asciiTheme="minorBidi" w:hAnsiTheme="minorBidi"/>
          <w:rtl/>
        </w:rPr>
        <w:footnoteReference w:id="86"/>
      </w:r>
      <w:r w:rsidRPr="003024E5">
        <w:rPr>
          <w:rFonts w:asciiTheme="minorBidi" w:hAnsiTheme="minorBidi"/>
          <w:rtl/>
        </w:rPr>
        <w:t xml:space="preserve">. </w:t>
      </w:r>
    </w:p>
    <w:p w14:paraId="269FDAC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D98461A" w14:textId="77777777" w:rsidR="002C39F4" w:rsidRPr="003024E5" w:rsidRDefault="002C39F4" w:rsidP="002C39F4">
      <w:pPr>
        <w:rPr>
          <w:rFonts w:asciiTheme="minorBidi" w:hAnsiTheme="minorBidi"/>
          <w:rtl/>
        </w:rPr>
      </w:pPr>
      <w:r w:rsidRPr="003024E5">
        <w:rPr>
          <w:rFonts w:asciiTheme="minorBidi" w:hAnsiTheme="minorBidi"/>
          <w:rtl/>
        </w:rPr>
        <w:t>שיעור שהייה במלח אינו פחות מכדי הילוך מיל</w:t>
      </w:r>
      <w:r w:rsidRPr="003024E5">
        <w:rPr>
          <w:rStyle w:val="a7"/>
          <w:rFonts w:asciiTheme="minorBidi" w:hAnsiTheme="minorBidi"/>
          <w:rtl/>
        </w:rPr>
        <w:footnoteReference w:id="87"/>
      </w:r>
      <w:r w:rsidRPr="003024E5">
        <w:rPr>
          <w:rFonts w:asciiTheme="minorBidi" w:hAnsiTheme="minorBidi"/>
          <w:rtl/>
        </w:rPr>
        <w:t xml:space="preserve">, שהוא כדי שלישית שעה בקירוב. </w:t>
      </w:r>
      <w:r w:rsidRPr="003024E5">
        <w:rPr>
          <w:rFonts w:asciiTheme="minorBidi" w:hAnsiTheme="minorBidi"/>
          <w:sz w:val="18"/>
          <w:szCs w:val="18"/>
          <w:rtl/>
        </w:rPr>
        <w:t>הגה: ועל זה יש לסמוך בדיעבד</w:t>
      </w:r>
      <w:r w:rsidRPr="003024E5">
        <w:rPr>
          <w:rStyle w:val="a7"/>
          <w:rFonts w:asciiTheme="minorBidi" w:hAnsiTheme="minorBidi"/>
          <w:sz w:val="18"/>
          <w:szCs w:val="18"/>
          <w:rtl/>
        </w:rPr>
        <w:footnoteReference w:id="88"/>
      </w:r>
      <w:r w:rsidRPr="003024E5">
        <w:rPr>
          <w:rFonts w:asciiTheme="minorBidi" w:hAnsiTheme="minorBidi"/>
          <w:sz w:val="18"/>
          <w:szCs w:val="18"/>
          <w:rtl/>
        </w:rPr>
        <w:t xml:space="preserve"> או אפילו לכתחלה לכבוד אורחים</w:t>
      </w:r>
      <w:r>
        <w:rPr>
          <w:rStyle w:val="a7"/>
          <w:rFonts w:asciiTheme="minorBidi" w:hAnsiTheme="minorBidi"/>
          <w:sz w:val="18"/>
          <w:szCs w:val="18"/>
          <w:rtl/>
        </w:rPr>
        <w:footnoteReference w:id="89"/>
      </w:r>
      <w:r w:rsidRPr="003024E5">
        <w:rPr>
          <w:rFonts w:asciiTheme="minorBidi" w:hAnsiTheme="minorBidi"/>
          <w:sz w:val="18"/>
          <w:szCs w:val="18"/>
          <w:rtl/>
        </w:rPr>
        <w:t xml:space="preserve"> או לצורך שבת אבל בלאו הכי המנהג להשהות במליחה שיעור שעה ואין לשנות </w:t>
      </w:r>
      <w:r w:rsidRPr="003024E5">
        <w:rPr>
          <w:rFonts w:asciiTheme="minorBidi" w:hAnsiTheme="minorBidi"/>
          <w:sz w:val="16"/>
          <w:szCs w:val="16"/>
          <w:rtl/>
        </w:rPr>
        <w:t>(מהרא"י ואו"ה)</w:t>
      </w:r>
      <w:r w:rsidRPr="003024E5">
        <w:rPr>
          <w:rFonts w:asciiTheme="minorBidi" w:hAnsiTheme="minorBidi"/>
          <w:sz w:val="18"/>
          <w:szCs w:val="18"/>
          <w:rtl/>
        </w:rPr>
        <w:t>.</w:t>
      </w:r>
      <w:r w:rsidRPr="003024E5">
        <w:rPr>
          <w:rFonts w:asciiTheme="minorBidi" w:hAnsiTheme="minorBidi"/>
          <w:rtl/>
        </w:rPr>
        <w:t xml:space="preserve"> </w:t>
      </w:r>
    </w:p>
    <w:p w14:paraId="35C6366D" w14:textId="77777777" w:rsidR="002C39F4" w:rsidRPr="003024E5" w:rsidRDefault="002C39F4" w:rsidP="002C39F4">
      <w:pPr>
        <w:rPr>
          <w:rFonts w:asciiTheme="minorBidi" w:hAnsiTheme="minorBidi"/>
          <w:rtl/>
        </w:rPr>
      </w:pPr>
    </w:p>
    <w:p w14:paraId="1022CB6B" w14:textId="77777777" w:rsidR="002C39F4" w:rsidRPr="003024E5" w:rsidRDefault="002C39F4" w:rsidP="002C39F4">
      <w:pPr>
        <w:pStyle w:val="2"/>
        <w:rPr>
          <w:rFonts w:asciiTheme="minorBidi" w:hAnsiTheme="minorBidi"/>
          <w:rtl/>
        </w:rPr>
      </w:pPr>
      <w:r w:rsidRPr="003024E5">
        <w:rPr>
          <w:rFonts w:asciiTheme="minorBidi" w:hAnsiTheme="minorBidi"/>
          <w:rtl/>
        </w:rPr>
        <w:lastRenderedPageBreak/>
        <w:t>סעיף ז: ניפוץ או שטיפה שקודם ההדחה.</w:t>
      </w:r>
    </w:p>
    <w:p w14:paraId="21E276DA"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ע"א: </w:t>
      </w:r>
      <w:r w:rsidRPr="003024E5">
        <w:rPr>
          <w:rFonts w:asciiTheme="minorBidi" w:hAnsiTheme="minorBidi"/>
          <w:u w:val="single"/>
          <w:rtl/>
        </w:rPr>
        <w:t>אמר שמואל:</w:t>
      </w:r>
      <w:r w:rsidRPr="003024E5">
        <w:rPr>
          <w:rFonts w:asciiTheme="minorBidi" w:hAnsiTheme="minorBidi"/>
          <w:rtl/>
        </w:rPr>
        <w:t xml:space="preserve"> אין הבשר יוצא מידי דמו אלא א"כ מולחו יפה יפה, ומדיחו יפה יפה.</w:t>
      </w:r>
      <w:r w:rsidRPr="007D0B46">
        <w:rPr>
          <w:rFonts w:asciiTheme="minorBidi" w:hAnsiTheme="minorBidi"/>
          <w:rtl/>
        </w:rPr>
        <w:t xml:space="preserve"> </w:t>
      </w:r>
      <w:r w:rsidRPr="003024E5">
        <w:rPr>
          <w:rFonts w:asciiTheme="minorBidi" w:hAnsiTheme="minorBidi"/>
          <w:rtl/>
        </w:rPr>
        <w:t xml:space="preserve">אתמר, </w:t>
      </w:r>
      <w:r w:rsidRPr="003024E5">
        <w:rPr>
          <w:rFonts w:asciiTheme="minorBidi" w:hAnsiTheme="minorBidi"/>
          <w:u w:val="single"/>
          <w:rtl/>
        </w:rPr>
        <w:t>רב הונא אמר:</w:t>
      </w:r>
      <w:r w:rsidRPr="003024E5">
        <w:rPr>
          <w:rFonts w:asciiTheme="minorBidi" w:hAnsiTheme="minorBidi"/>
          <w:rtl/>
        </w:rPr>
        <w:t xml:space="preserve"> מולח ומדיח, במתניתא תנא: מדיח ומולח ומדיח; ולא פליגי, הא דחלליה בי טבחא</w:t>
      </w:r>
      <w:r w:rsidRPr="003024E5">
        <w:rPr>
          <w:rStyle w:val="a7"/>
          <w:rFonts w:asciiTheme="minorBidi" w:hAnsiTheme="minorBidi"/>
          <w:rtl/>
        </w:rPr>
        <w:footnoteReference w:id="90"/>
      </w:r>
      <w:r w:rsidRPr="003024E5">
        <w:rPr>
          <w:rFonts w:asciiTheme="minorBidi" w:hAnsiTheme="minorBidi"/>
          <w:rtl/>
        </w:rPr>
        <w:t>, הא דלא חלליה בי טבחא.</w:t>
      </w:r>
    </w:p>
    <w:p w14:paraId="07F65EC4" w14:textId="77777777" w:rsidR="002C39F4" w:rsidRPr="003024E5" w:rsidRDefault="002C39F4" w:rsidP="002C39F4">
      <w:pPr>
        <w:rPr>
          <w:rFonts w:asciiTheme="minorBidi" w:hAnsiTheme="minorBidi"/>
          <w:u w:val="single"/>
          <w:rtl/>
        </w:rPr>
      </w:pPr>
      <w:r>
        <w:rPr>
          <w:rFonts w:asciiTheme="minorBidi" w:hAnsiTheme="minorBidi" w:hint="cs"/>
          <w:u w:val="single"/>
          <w:rtl/>
        </w:rPr>
        <w:t>הדחה שלאחר מליחה - כיצד</w:t>
      </w:r>
      <w:r w:rsidRPr="003024E5">
        <w:rPr>
          <w:rFonts w:asciiTheme="minorBidi" w:hAnsiTheme="minorBidi"/>
          <w:u w:val="single"/>
          <w:rtl/>
        </w:rPr>
        <w:t>:</w:t>
      </w:r>
    </w:p>
    <w:p w14:paraId="119E4951"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רמב"ם </w:t>
      </w:r>
      <w:r w:rsidRPr="003024E5">
        <w:rPr>
          <w:rFonts w:asciiTheme="minorBidi" w:hAnsiTheme="minorBidi"/>
          <w:sz w:val="16"/>
          <w:szCs w:val="16"/>
          <w:rtl/>
        </w:rPr>
        <w:t>(פ"ו ה"י)</w:t>
      </w:r>
      <w:r w:rsidRPr="003024E5">
        <w:rPr>
          <w:rFonts w:asciiTheme="minorBidi" w:hAnsiTheme="minorBidi"/>
          <w:rtl/>
        </w:rPr>
        <w:t>- מדיחו יפה יפה עד שיצאו המים זכים.</w:t>
      </w:r>
    </w:p>
    <w:p w14:paraId="006F602D"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מרדכי </w:t>
      </w:r>
      <w:r w:rsidRPr="003024E5">
        <w:rPr>
          <w:rFonts w:asciiTheme="minorBidi" w:hAnsiTheme="minorBidi"/>
          <w:sz w:val="16"/>
          <w:szCs w:val="16"/>
          <w:rtl/>
        </w:rPr>
        <w:t xml:space="preserve">(סי' תשיט) </w:t>
      </w:r>
      <w:r w:rsidRPr="003024E5">
        <w:rPr>
          <w:rFonts w:asciiTheme="minorBidi" w:hAnsiTheme="minorBidi"/>
          <w:rtl/>
        </w:rPr>
        <w:t xml:space="preserve">ורא"ש </w:t>
      </w:r>
      <w:r w:rsidRPr="003024E5">
        <w:rPr>
          <w:rFonts w:asciiTheme="minorBidi" w:hAnsiTheme="minorBidi"/>
          <w:sz w:val="16"/>
          <w:szCs w:val="16"/>
          <w:rtl/>
        </w:rPr>
        <w:t>(פכ"ה סי' מד)</w:t>
      </w:r>
      <w:r w:rsidRPr="003024E5">
        <w:rPr>
          <w:rFonts w:asciiTheme="minorBidi" w:hAnsiTheme="minorBidi"/>
          <w:rtl/>
        </w:rPr>
        <w:t>- ידיחנו שתי פעמים</w:t>
      </w:r>
      <w:r>
        <w:rPr>
          <w:rFonts w:asciiTheme="minorBidi" w:hAnsiTheme="minorBidi" w:hint="cs"/>
          <w:rtl/>
        </w:rPr>
        <w:t>,</w:t>
      </w:r>
      <w:r w:rsidRPr="003024E5">
        <w:rPr>
          <w:rFonts w:asciiTheme="minorBidi" w:hAnsiTheme="minorBidi"/>
          <w:rtl/>
        </w:rPr>
        <w:t xml:space="preserve"> ראשונה</w:t>
      </w:r>
      <w:r>
        <w:rPr>
          <w:rFonts w:asciiTheme="minorBidi" w:hAnsiTheme="minorBidi" w:hint="cs"/>
          <w:rtl/>
        </w:rPr>
        <w:t xml:space="preserve"> -</w:t>
      </w:r>
      <w:r w:rsidRPr="003024E5">
        <w:rPr>
          <w:rFonts w:asciiTheme="minorBidi" w:hAnsiTheme="minorBidi"/>
          <w:rtl/>
        </w:rPr>
        <w:t xml:space="preserve"> להעביר המלח והדם</w:t>
      </w:r>
      <w:r>
        <w:rPr>
          <w:rFonts w:asciiTheme="minorBidi" w:hAnsiTheme="minorBidi" w:hint="cs"/>
          <w:rtl/>
        </w:rPr>
        <w:t>,</w:t>
      </w:r>
      <w:r w:rsidRPr="003024E5">
        <w:rPr>
          <w:rFonts w:asciiTheme="minorBidi" w:hAnsiTheme="minorBidi"/>
          <w:rtl/>
        </w:rPr>
        <w:t xml:space="preserve"> ושנייה</w:t>
      </w:r>
      <w:r>
        <w:rPr>
          <w:rFonts w:asciiTheme="minorBidi" w:hAnsiTheme="minorBidi" w:hint="cs"/>
          <w:rtl/>
        </w:rPr>
        <w:t xml:space="preserve"> -</w:t>
      </w:r>
      <w:r w:rsidRPr="003024E5">
        <w:rPr>
          <w:rFonts w:asciiTheme="minorBidi" w:hAnsiTheme="minorBidi"/>
          <w:rtl/>
        </w:rPr>
        <w:t xml:space="preserve"> להעביר לחלוחית המים שנשארו בו</w:t>
      </w:r>
      <w:r w:rsidRPr="003024E5">
        <w:rPr>
          <w:rStyle w:val="a7"/>
          <w:rFonts w:asciiTheme="minorBidi" w:hAnsiTheme="minorBidi"/>
          <w:rtl/>
        </w:rPr>
        <w:footnoteReference w:id="91"/>
      </w:r>
      <w:r w:rsidRPr="003024E5">
        <w:rPr>
          <w:rFonts w:asciiTheme="minorBidi" w:hAnsiTheme="minorBidi"/>
          <w:rtl/>
        </w:rPr>
        <w:t>.</w:t>
      </w:r>
      <w:r w:rsidRPr="003024E5">
        <w:rPr>
          <w:rFonts w:asciiTheme="minorBidi" w:hAnsiTheme="minorBidi"/>
          <w:color w:val="E36C0A" w:themeColor="accent6" w:themeShade="BF"/>
          <w:rtl/>
        </w:rPr>
        <w:t xml:space="preserve"> (וכ"כ בשו"ע)</w:t>
      </w:r>
    </w:p>
    <w:p w14:paraId="4BC95738" w14:textId="77777777" w:rsidR="002C39F4" w:rsidRPr="003024E5" w:rsidRDefault="002C39F4" w:rsidP="002C39F4">
      <w:pPr>
        <w:pStyle w:val="a8"/>
        <w:numPr>
          <w:ilvl w:val="0"/>
          <w:numId w:val="8"/>
        </w:numPr>
        <w:rPr>
          <w:rFonts w:asciiTheme="minorBidi" w:hAnsiTheme="minorBidi"/>
          <w:rtl/>
        </w:rPr>
      </w:pPr>
      <w:r w:rsidRPr="003024E5">
        <w:rPr>
          <w:rFonts w:asciiTheme="minorBidi" w:hAnsiTheme="minorBidi"/>
          <w:rtl/>
        </w:rPr>
        <w:t>סמ"ק</w:t>
      </w:r>
      <w:r w:rsidRPr="003024E5">
        <w:rPr>
          <w:rFonts w:asciiTheme="minorBidi" w:hAnsiTheme="minorBidi"/>
          <w:sz w:val="16"/>
          <w:szCs w:val="16"/>
          <w:rtl/>
        </w:rPr>
        <w:t xml:space="preserve"> (סי' רה, הביאו ההגה"מ</w:t>
      </w:r>
      <w:r w:rsidRPr="003024E5">
        <w:rPr>
          <w:rFonts w:asciiTheme="minorBidi" w:hAnsiTheme="minorBidi"/>
          <w:sz w:val="14"/>
          <w:szCs w:val="14"/>
          <w:rtl/>
        </w:rPr>
        <w:t xml:space="preserve"> [מאכ"א פ"ו אות ח]</w:t>
      </w:r>
      <w:r w:rsidRPr="003024E5">
        <w:rPr>
          <w:rFonts w:asciiTheme="minorBidi" w:hAnsiTheme="minorBidi"/>
          <w:sz w:val="16"/>
          <w:szCs w:val="16"/>
          <w:rtl/>
        </w:rPr>
        <w:t>)</w:t>
      </w:r>
      <w:r w:rsidRPr="003024E5">
        <w:rPr>
          <w:rFonts w:asciiTheme="minorBidi" w:hAnsiTheme="minorBidi"/>
          <w:rtl/>
        </w:rPr>
        <w:t>- ידיחנו שתי פעמים</w:t>
      </w:r>
      <w:r>
        <w:rPr>
          <w:rFonts w:asciiTheme="minorBidi" w:hAnsiTheme="minorBidi" w:hint="cs"/>
          <w:rtl/>
        </w:rPr>
        <w:t>,</w:t>
      </w:r>
      <w:r w:rsidRPr="003024E5">
        <w:rPr>
          <w:rFonts w:asciiTheme="minorBidi" w:hAnsiTheme="minorBidi"/>
          <w:rtl/>
        </w:rPr>
        <w:t xml:space="preserve"> אבל אם לא הדיחו רק פעם אחת בטוב אין קפידא.</w:t>
      </w:r>
    </w:p>
    <w:p w14:paraId="0623D405"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או"ז הג"א ואגודה</w:t>
      </w:r>
      <w:r w:rsidRPr="003024E5">
        <w:rPr>
          <w:rStyle w:val="a7"/>
          <w:rFonts w:asciiTheme="minorBidi" w:hAnsiTheme="minorBidi"/>
          <w:rtl/>
        </w:rPr>
        <w:footnoteReference w:id="92"/>
      </w:r>
      <w:r w:rsidRPr="003024E5">
        <w:rPr>
          <w:rFonts w:asciiTheme="minorBidi" w:hAnsiTheme="minorBidi"/>
          <w:rtl/>
        </w:rPr>
        <w:t>- מדיחין אותו ג' פעמים, שתים כמו שמפורש בפנים</w:t>
      </w:r>
      <w:r>
        <w:rPr>
          <w:rFonts w:asciiTheme="minorBidi" w:hAnsiTheme="minorBidi" w:hint="cs"/>
          <w:rtl/>
        </w:rPr>
        <w:t>,</w:t>
      </w:r>
      <w:r w:rsidRPr="003024E5">
        <w:rPr>
          <w:rFonts w:asciiTheme="minorBidi" w:hAnsiTheme="minorBidi"/>
          <w:rtl/>
        </w:rPr>
        <w:t xml:space="preserve"> ושלישית אנו עושים לטהר מים השניים שנגעו בראשונים, מיהו בדיעבד אם לא הדיח הבשר אלא שתי פעמים שפיר דמי.</w:t>
      </w:r>
      <w:r w:rsidRPr="003024E5">
        <w:rPr>
          <w:rFonts w:asciiTheme="minorBidi" w:hAnsiTheme="minorBidi"/>
          <w:color w:val="00B0F0"/>
          <w:rtl/>
        </w:rPr>
        <w:t xml:space="preserve"> (וכ"</w:t>
      </w:r>
      <w:r>
        <w:rPr>
          <w:rFonts w:asciiTheme="minorBidi" w:hAnsiTheme="minorBidi" w:hint="cs"/>
          <w:color w:val="00B0F0"/>
          <w:rtl/>
        </w:rPr>
        <w:t>פ</w:t>
      </w:r>
      <w:r w:rsidRPr="003024E5">
        <w:rPr>
          <w:rFonts w:asciiTheme="minorBidi" w:hAnsiTheme="minorBidi"/>
          <w:color w:val="00B0F0"/>
          <w:rtl/>
        </w:rPr>
        <w:t xml:space="preserve"> הרמ"א)</w:t>
      </w:r>
    </w:p>
    <w:p w14:paraId="27896623"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מהרא"י </w:t>
      </w:r>
      <w:r w:rsidRPr="003024E5">
        <w:rPr>
          <w:rFonts w:asciiTheme="minorBidi" w:hAnsiTheme="minorBidi"/>
          <w:sz w:val="16"/>
          <w:szCs w:val="16"/>
          <w:rtl/>
        </w:rPr>
        <w:t>(בהגשע"ד סי' טו סק"ז ד"ה וכתב בסמ"ק)</w:t>
      </w:r>
      <w:r w:rsidRPr="003024E5">
        <w:rPr>
          <w:rFonts w:asciiTheme="minorBidi" w:hAnsiTheme="minorBidi"/>
          <w:rtl/>
        </w:rPr>
        <w:t xml:space="preserve"> ו</w:t>
      </w:r>
      <w:r>
        <w:rPr>
          <w:rFonts w:asciiTheme="minorBidi" w:hAnsiTheme="minorBidi"/>
          <w:rtl/>
        </w:rPr>
        <w:t>או"ה</w:t>
      </w:r>
      <w:r w:rsidRPr="003024E5">
        <w:rPr>
          <w:rFonts w:asciiTheme="minorBidi" w:hAnsiTheme="minorBidi"/>
          <w:sz w:val="16"/>
          <w:szCs w:val="16"/>
          <w:rtl/>
        </w:rPr>
        <w:t xml:space="preserve"> (כלל י"א ד</w:t>
      </w:r>
      <w:r>
        <w:rPr>
          <w:rFonts w:asciiTheme="minorBidi" w:hAnsiTheme="minorBidi" w:hint="cs"/>
          <w:sz w:val="16"/>
          <w:szCs w:val="16"/>
          <w:rtl/>
        </w:rPr>
        <w:t>"</w:t>
      </w:r>
      <w:r w:rsidRPr="003024E5">
        <w:rPr>
          <w:rFonts w:asciiTheme="minorBidi" w:hAnsiTheme="minorBidi"/>
          <w:sz w:val="16"/>
          <w:szCs w:val="16"/>
          <w:rtl/>
        </w:rPr>
        <w:t>ג)</w:t>
      </w:r>
      <w:r w:rsidRPr="003024E5">
        <w:rPr>
          <w:rFonts w:asciiTheme="minorBidi" w:hAnsiTheme="minorBidi"/>
          <w:rtl/>
        </w:rPr>
        <w:t>- לכתחלה יש לנהוג כדברי או"ז להדיחו שלש פעמים</w:t>
      </w:r>
      <w:r>
        <w:rPr>
          <w:rFonts w:asciiTheme="minorBidi" w:hAnsiTheme="minorBidi" w:hint="cs"/>
          <w:rtl/>
        </w:rPr>
        <w:t>,</w:t>
      </w:r>
      <w:r w:rsidRPr="003024E5">
        <w:rPr>
          <w:rFonts w:asciiTheme="minorBidi" w:hAnsiTheme="minorBidi"/>
          <w:rtl/>
        </w:rPr>
        <w:t xml:space="preserve"> ובדיעבד יש לנהוג כדברי הסמ"ק להתירו בהדחה אחת. </w:t>
      </w:r>
    </w:p>
    <w:p w14:paraId="5D200788"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אגור </w:t>
      </w:r>
      <w:r w:rsidRPr="003024E5">
        <w:rPr>
          <w:rFonts w:asciiTheme="minorBidi" w:hAnsiTheme="minorBidi"/>
          <w:sz w:val="16"/>
          <w:szCs w:val="16"/>
          <w:rtl/>
        </w:rPr>
        <w:t>(סי' אלף קצא)</w:t>
      </w:r>
      <w:r w:rsidRPr="003024E5">
        <w:rPr>
          <w:rFonts w:asciiTheme="minorBidi" w:hAnsiTheme="minorBidi"/>
          <w:rtl/>
        </w:rPr>
        <w:t>- בשר שלא הודח כי אם פעם אחת כאלו לא הודח כלל דבעינן יפה יפה</w:t>
      </w:r>
      <w:r w:rsidRPr="003024E5">
        <w:rPr>
          <w:rStyle w:val="a7"/>
          <w:rFonts w:asciiTheme="minorBidi" w:hAnsiTheme="minorBidi"/>
          <w:rtl/>
        </w:rPr>
        <w:footnoteReference w:id="93"/>
      </w:r>
      <w:r w:rsidRPr="003024E5">
        <w:rPr>
          <w:rFonts w:asciiTheme="minorBidi" w:hAnsiTheme="minorBidi"/>
          <w:rtl/>
        </w:rPr>
        <w:t>.</w:t>
      </w:r>
    </w:p>
    <w:p w14:paraId="30CDDCCD"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ע"א: </w:t>
      </w:r>
      <w:r w:rsidRPr="003024E5">
        <w:rPr>
          <w:rFonts w:asciiTheme="minorBidi" w:hAnsiTheme="minorBidi"/>
          <w:rtl/>
        </w:rPr>
        <w:t>רב דימי מנהרדעא מלח ליה במילחא גללניתא</w:t>
      </w:r>
      <w:r w:rsidRPr="003024E5">
        <w:rPr>
          <w:rStyle w:val="a7"/>
          <w:rFonts w:asciiTheme="minorBidi" w:hAnsiTheme="minorBidi"/>
          <w:rtl/>
        </w:rPr>
        <w:footnoteReference w:id="94"/>
      </w:r>
      <w:r w:rsidRPr="003024E5">
        <w:rPr>
          <w:rFonts w:asciiTheme="minorBidi" w:hAnsiTheme="minorBidi"/>
          <w:rtl/>
        </w:rPr>
        <w:t xml:space="preserve"> ומנפיץ ליה</w:t>
      </w:r>
      <w:r w:rsidRPr="003024E5">
        <w:rPr>
          <w:rStyle w:val="a7"/>
          <w:rFonts w:asciiTheme="minorBidi" w:hAnsiTheme="minorBidi"/>
          <w:rtl/>
        </w:rPr>
        <w:footnoteReference w:id="95"/>
      </w:r>
      <w:r w:rsidRPr="003024E5">
        <w:rPr>
          <w:rFonts w:asciiTheme="minorBidi" w:hAnsiTheme="minorBidi"/>
          <w:rtl/>
        </w:rPr>
        <w:t xml:space="preserve">. </w:t>
      </w:r>
    </w:p>
    <w:p w14:paraId="649C69A1" w14:textId="77777777" w:rsidR="002C39F4" w:rsidRPr="003024E5" w:rsidRDefault="002C39F4" w:rsidP="002C39F4">
      <w:pPr>
        <w:rPr>
          <w:rFonts w:asciiTheme="minorBidi" w:hAnsiTheme="minorBidi"/>
          <w:u w:val="single"/>
          <w:rtl/>
        </w:rPr>
      </w:pPr>
      <w:r>
        <w:rPr>
          <w:rFonts w:asciiTheme="minorBidi" w:hAnsiTheme="minorBidi" w:hint="cs"/>
          <w:u w:val="single"/>
          <w:rtl/>
        </w:rPr>
        <w:t>האם צריך גם ניפוץ וגם הדחה או שניפוץ יכול לבוא במקום הדחה:</w:t>
      </w:r>
      <w:r w:rsidRPr="003024E5">
        <w:rPr>
          <w:rFonts w:asciiTheme="minorBidi" w:hAnsiTheme="minorBidi"/>
          <w:u w:val="single"/>
          <w:rtl/>
        </w:rPr>
        <w:t xml:space="preserve"> </w:t>
      </w:r>
    </w:p>
    <w:p w14:paraId="5F8D386D"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יש מפרשים </w:t>
      </w:r>
      <w:r w:rsidRPr="003024E5">
        <w:rPr>
          <w:rFonts w:asciiTheme="minorBidi" w:hAnsiTheme="minorBidi"/>
          <w:sz w:val="16"/>
          <w:szCs w:val="16"/>
          <w:rtl/>
        </w:rPr>
        <w:t>(הביאום הר"ן</w:t>
      </w:r>
      <w:r w:rsidRPr="003024E5">
        <w:rPr>
          <w:rFonts w:asciiTheme="minorBidi" w:hAnsiTheme="minorBidi"/>
          <w:sz w:val="14"/>
          <w:szCs w:val="14"/>
          <w:rtl/>
        </w:rPr>
        <w:t xml:space="preserve"> [מב סוע"א ד"ה רב דימי]</w:t>
      </w:r>
      <w:r w:rsidRPr="003024E5">
        <w:rPr>
          <w:rFonts w:asciiTheme="minorBidi" w:hAnsiTheme="minorBidi"/>
          <w:sz w:val="16"/>
          <w:szCs w:val="16"/>
          <w:rtl/>
        </w:rPr>
        <w:t xml:space="preserve"> וההגה"מ </w:t>
      </w:r>
      <w:r w:rsidRPr="003024E5">
        <w:rPr>
          <w:rFonts w:asciiTheme="minorBidi" w:hAnsiTheme="minorBidi"/>
          <w:sz w:val="14"/>
          <w:szCs w:val="14"/>
          <w:rtl/>
        </w:rPr>
        <w:t>[אות כ]</w:t>
      </w:r>
      <w:r w:rsidRPr="003024E5">
        <w:rPr>
          <w:rFonts w:asciiTheme="minorBidi" w:hAnsiTheme="minorBidi"/>
          <w:sz w:val="16"/>
          <w:szCs w:val="16"/>
          <w:rtl/>
        </w:rPr>
        <w:t>)</w:t>
      </w:r>
      <w:r w:rsidRPr="003024E5">
        <w:rPr>
          <w:rFonts w:asciiTheme="minorBidi" w:hAnsiTheme="minorBidi"/>
          <w:rtl/>
        </w:rPr>
        <w:t>- רב דימי לא היה מדיחו אלא מנפץ המלח</w:t>
      </w:r>
      <w:r>
        <w:rPr>
          <w:rFonts w:asciiTheme="minorBidi" w:hAnsiTheme="minorBidi" w:hint="cs"/>
          <w:rtl/>
        </w:rPr>
        <w:t>,</w:t>
      </w:r>
      <w:r w:rsidRPr="003024E5">
        <w:rPr>
          <w:rFonts w:asciiTheme="minorBidi" w:hAnsiTheme="minorBidi"/>
          <w:rtl/>
        </w:rPr>
        <w:t xml:space="preserve"> ודוקא גללניתא דהיינו מלח גסה אבל דקה לא</w:t>
      </w:r>
      <w:r>
        <w:rPr>
          <w:rFonts w:asciiTheme="minorBidi" w:hAnsiTheme="minorBidi" w:hint="cs"/>
          <w:rtl/>
        </w:rPr>
        <w:t>,</w:t>
      </w:r>
      <w:r w:rsidRPr="003024E5">
        <w:rPr>
          <w:rFonts w:asciiTheme="minorBidi" w:hAnsiTheme="minorBidi"/>
          <w:rtl/>
        </w:rPr>
        <w:t xml:space="preserve"> לפי שאינו מתנפץ יפה. </w:t>
      </w:r>
      <w:r>
        <w:rPr>
          <w:rFonts w:asciiTheme="minorBidi" w:hAnsiTheme="minorBidi" w:hint="cs"/>
          <w:rtl/>
        </w:rPr>
        <w:t xml:space="preserve"> </w:t>
      </w:r>
    </w:p>
    <w:p w14:paraId="47BA9FDD"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גאון</w:t>
      </w:r>
      <w:r w:rsidRPr="003024E5">
        <w:rPr>
          <w:rFonts w:asciiTheme="minorBidi" w:hAnsiTheme="minorBidi"/>
          <w:sz w:val="16"/>
          <w:szCs w:val="16"/>
          <w:rtl/>
        </w:rPr>
        <w:t xml:space="preserve"> (הביאו הגה"מ </w:t>
      </w:r>
      <w:r>
        <w:rPr>
          <w:rFonts w:asciiTheme="minorBidi" w:hAnsiTheme="minorBidi" w:hint="cs"/>
          <w:sz w:val="16"/>
          <w:szCs w:val="16"/>
          <w:rtl/>
        </w:rPr>
        <w:t>[שם]</w:t>
      </w:r>
      <w:r w:rsidRPr="003024E5">
        <w:rPr>
          <w:rFonts w:asciiTheme="minorBidi" w:hAnsiTheme="minorBidi"/>
          <w:sz w:val="16"/>
          <w:szCs w:val="16"/>
          <w:rtl/>
        </w:rPr>
        <w:t>)</w:t>
      </w:r>
      <w:r w:rsidRPr="003024E5">
        <w:rPr>
          <w:rFonts w:asciiTheme="minorBidi" w:hAnsiTheme="minorBidi"/>
          <w:rtl/>
        </w:rPr>
        <w:t xml:space="preserve"> רמב"ם </w:t>
      </w:r>
      <w:r w:rsidRPr="003024E5">
        <w:rPr>
          <w:rFonts w:asciiTheme="minorBidi" w:hAnsiTheme="minorBidi"/>
          <w:sz w:val="16"/>
          <w:szCs w:val="16"/>
          <w:rtl/>
        </w:rPr>
        <w:t xml:space="preserve">(פ"ו הי"א) </w:t>
      </w:r>
      <w:r w:rsidRPr="003024E5">
        <w:rPr>
          <w:rFonts w:asciiTheme="minorBidi" w:hAnsiTheme="minorBidi"/>
          <w:rtl/>
        </w:rPr>
        <w:t xml:space="preserve">והה"מ </w:t>
      </w:r>
      <w:r w:rsidRPr="003024E5">
        <w:rPr>
          <w:rFonts w:asciiTheme="minorBidi" w:hAnsiTheme="minorBidi"/>
          <w:sz w:val="16"/>
          <w:szCs w:val="16"/>
          <w:rtl/>
        </w:rPr>
        <w:t>(שם)</w:t>
      </w:r>
      <w:r w:rsidRPr="003024E5">
        <w:rPr>
          <w:rFonts w:asciiTheme="minorBidi" w:hAnsiTheme="minorBidi"/>
          <w:rtl/>
        </w:rPr>
        <w:t xml:space="preserve">- אחר הניפוץ צריך להדיחו, וכן עשה רב דימי. </w:t>
      </w:r>
      <w:r w:rsidRPr="009A2029">
        <w:rPr>
          <w:rFonts w:asciiTheme="minorBidi" w:hAnsiTheme="minorBidi" w:hint="cs"/>
          <w:color w:val="E36C0A" w:themeColor="accent6" w:themeShade="BF"/>
          <w:rtl/>
        </w:rPr>
        <w:t>(וכ"פ בשו"ע)</w:t>
      </w:r>
    </w:p>
    <w:p w14:paraId="5D93BB33" w14:textId="77777777" w:rsidR="002C39F4" w:rsidRPr="003024E5" w:rsidRDefault="002C39F4" w:rsidP="002C39F4">
      <w:pPr>
        <w:rPr>
          <w:rFonts w:asciiTheme="minorBidi" w:hAnsiTheme="minorBidi"/>
          <w:u w:val="single"/>
        </w:rPr>
      </w:pPr>
      <w:r w:rsidRPr="003024E5">
        <w:rPr>
          <w:rFonts w:asciiTheme="minorBidi" w:hAnsiTheme="minorBidi"/>
          <w:u w:val="single"/>
          <w:rtl/>
        </w:rPr>
        <w:t xml:space="preserve">האם </w:t>
      </w:r>
      <w:r>
        <w:rPr>
          <w:rFonts w:asciiTheme="minorBidi" w:hAnsiTheme="minorBidi" w:hint="cs"/>
          <w:u w:val="single"/>
          <w:rtl/>
        </w:rPr>
        <w:t>חובה</w:t>
      </w:r>
      <w:r w:rsidRPr="003024E5">
        <w:rPr>
          <w:rFonts w:asciiTheme="minorBidi" w:hAnsiTheme="minorBidi"/>
          <w:u w:val="single"/>
          <w:rtl/>
        </w:rPr>
        <w:t xml:space="preserve"> לנפץ לפני ההדחה:</w:t>
      </w:r>
    </w:p>
    <w:p w14:paraId="07816C2C"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(תוה"</w:t>
      </w:r>
      <w:r>
        <w:rPr>
          <w:rFonts w:asciiTheme="minorBidi" w:hAnsiTheme="minorBidi" w:hint="cs"/>
          <w:sz w:val="16"/>
          <w:szCs w:val="16"/>
          <w:rtl/>
        </w:rPr>
        <w:t xml:space="preserve">ק </w:t>
      </w:r>
      <w:r w:rsidRPr="003024E5">
        <w:rPr>
          <w:rFonts w:asciiTheme="minorBidi" w:hAnsiTheme="minorBidi"/>
          <w:sz w:val="16"/>
          <w:szCs w:val="16"/>
          <w:rtl/>
        </w:rPr>
        <w:t>ב"ג ש"ג)</w:t>
      </w:r>
      <w:r w:rsidRPr="003024E5">
        <w:rPr>
          <w:rFonts w:asciiTheme="minorBidi" w:hAnsiTheme="minorBidi"/>
          <w:rtl/>
        </w:rPr>
        <w:t>- המולח צריך ליזהר בהדחה שלאחר מליחה שינפץ המלח או שישטפנו במים עד שלא יתננו בתוך כלי המים שהוא מדיחו בו</w:t>
      </w:r>
      <w:r>
        <w:rPr>
          <w:rStyle w:val="a7"/>
          <w:rFonts w:asciiTheme="minorBidi" w:hAnsiTheme="minorBidi"/>
          <w:rtl/>
        </w:rPr>
        <w:footnoteReference w:id="96"/>
      </w:r>
      <w:r w:rsidRPr="003024E5">
        <w:rPr>
          <w:rFonts w:asciiTheme="minorBidi" w:hAnsiTheme="minorBidi"/>
          <w:rtl/>
        </w:rPr>
        <w:t>.</w:t>
      </w:r>
      <w:r w:rsidRPr="00E90A6C">
        <w:rPr>
          <w:rFonts w:asciiTheme="minorBidi" w:hAnsiTheme="minorBidi" w:hint="cs"/>
          <w:color w:val="E36C0A" w:themeColor="accent6" w:themeShade="BF"/>
          <w:rtl/>
        </w:rPr>
        <w:t xml:space="preserve"> </w:t>
      </w:r>
      <w:r w:rsidRPr="009A2029">
        <w:rPr>
          <w:rFonts w:asciiTheme="minorBidi" w:hAnsiTheme="minorBidi" w:hint="cs"/>
          <w:color w:val="E36C0A" w:themeColor="accent6" w:themeShade="BF"/>
          <w:rtl/>
        </w:rPr>
        <w:t>(וכ"פ בשו"ע)</w:t>
      </w:r>
    </w:p>
    <w:p w14:paraId="0B1F82E5"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noProof/>
          <w:rtl/>
        </w:rPr>
        <mc:AlternateContent>
          <mc:Choice Requires="wps">
            <w:drawing>
              <wp:anchor distT="0" distB="0" distL="114300" distR="114300" simplePos="0" relativeHeight="251659264" behindDoc="0" locked="0" layoutInCell="1" allowOverlap="1" wp14:anchorId="081D8958" wp14:editId="702A9E7A">
                <wp:simplePos x="0" y="0"/>
                <wp:positionH relativeFrom="column">
                  <wp:posOffset>4712871</wp:posOffset>
                </wp:positionH>
                <wp:positionV relativeFrom="paragraph">
                  <wp:posOffset>1319076</wp:posOffset>
                </wp:positionV>
                <wp:extent cx="45719" cy="83128"/>
                <wp:effectExtent l="19050" t="0" r="31115" b="31750"/>
                <wp:wrapNone/>
                <wp:docPr id="3" name="Down Arrow 3"/>
                <wp:cNvGraphicFramePr/>
                <a:graphic xmlns:a="http://schemas.openxmlformats.org/drawingml/2006/main">
                  <a:graphicData uri="http://schemas.microsoft.com/office/word/2010/wordprocessingShape">
                    <wps:wsp>
                      <wps:cNvSpPr/>
                      <wps:spPr>
                        <a:xfrm>
                          <a:off x="0" y="0"/>
                          <a:ext cx="45719" cy="8312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029C804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left:0;text-align:left;margin-left:371.1pt;margin-top:103.85pt;width:3.6pt;height:6.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" adj="15660" fillcolor="black [3200]" strokecolor="black [1600]" strokeweight="2pt"/>
            </w:pict>
          </mc:Fallback>
        </mc:AlternateContent>
      </w:r>
      <w:r w:rsidRPr="003024E5">
        <w:rPr>
          <w:rFonts w:asciiTheme="minorBidi" w:hAnsiTheme="minorBidi"/>
          <w:rtl/>
        </w:rPr>
        <w:t xml:space="preserve">גאון </w:t>
      </w:r>
      <w:r w:rsidRPr="003024E5">
        <w:rPr>
          <w:rFonts w:asciiTheme="minorBidi" w:hAnsiTheme="minorBidi"/>
          <w:sz w:val="16"/>
          <w:szCs w:val="16"/>
          <w:rtl/>
        </w:rPr>
        <w:t>(הביאו הגה"מ [אות כ])</w:t>
      </w:r>
      <w:r w:rsidRPr="003024E5">
        <w:rPr>
          <w:rFonts w:asciiTheme="minorBidi" w:hAnsiTheme="minorBidi"/>
          <w:rtl/>
        </w:rPr>
        <w:t xml:space="preserve"> ומרדכי </w:t>
      </w:r>
      <w:r w:rsidRPr="003024E5">
        <w:rPr>
          <w:rFonts w:asciiTheme="minorBidi" w:hAnsiTheme="minorBidi"/>
          <w:sz w:val="16"/>
          <w:szCs w:val="16"/>
          <w:rtl/>
        </w:rPr>
        <w:t>(סי' תשכו)</w:t>
      </w:r>
      <w:r w:rsidRPr="003024E5">
        <w:rPr>
          <w:rFonts w:asciiTheme="minorBidi" w:hAnsiTheme="minorBidi"/>
          <w:rtl/>
        </w:rPr>
        <w:t>- צריך ניפוץ לפני הדחה כדי שלא יהא המלח רב</w:t>
      </w:r>
      <w:r>
        <w:rPr>
          <w:rFonts w:asciiTheme="minorBidi" w:hAnsiTheme="minorBidi" w:hint="cs"/>
          <w:rtl/>
        </w:rPr>
        <w:t>,</w:t>
      </w:r>
      <w:r w:rsidRPr="003024E5">
        <w:rPr>
          <w:rFonts w:asciiTheme="minorBidi" w:hAnsiTheme="minorBidi"/>
          <w:rtl/>
        </w:rPr>
        <w:t xml:space="preserve"> דהא המים נתערב בהם דם והוו ליה כרותח ונאסר הכלי והבשר</w:t>
      </w:r>
      <w:r>
        <w:rPr>
          <w:rFonts w:asciiTheme="minorBidi" w:hAnsiTheme="minorBidi" w:hint="cs"/>
          <w:rtl/>
        </w:rPr>
        <w:t>,</w:t>
      </w:r>
      <w:r w:rsidRPr="003024E5">
        <w:rPr>
          <w:rFonts w:asciiTheme="minorBidi" w:hAnsiTheme="minorBidi"/>
          <w:rtl/>
        </w:rPr>
        <w:t xml:space="preserve"> לכך מנפצו תחלה להתיש כח רתיחת המלח והכי עבדינן</w:t>
      </w:r>
      <w:r>
        <w:rPr>
          <w:rFonts w:asciiTheme="minorBidi" w:hAnsiTheme="minorBidi" w:hint="cs"/>
          <w:rtl/>
        </w:rPr>
        <w:t>,</w:t>
      </w:r>
      <w:r w:rsidRPr="003024E5">
        <w:rPr>
          <w:rFonts w:asciiTheme="minorBidi" w:hAnsiTheme="minorBidi"/>
          <w:rtl/>
        </w:rPr>
        <w:t xml:space="preserve"> ואין ניפוץ מועיל במקום הדחה האחרונה</w:t>
      </w:r>
      <w:r>
        <w:rPr>
          <w:rFonts w:asciiTheme="minorBidi" w:hAnsiTheme="minorBidi" w:hint="cs"/>
          <w:rtl/>
        </w:rPr>
        <w:t>,</w:t>
      </w:r>
      <w:r w:rsidRPr="003024E5">
        <w:rPr>
          <w:rFonts w:asciiTheme="minorBidi" w:hAnsiTheme="minorBidi"/>
          <w:rtl/>
        </w:rPr>
        <w:t xml:space="preserve"> ולכך צריך ליזהר שלא יקח בשר מלוח הרבה ויכניס בכלי מעט מים אלא יקח מעט בשר והרבה מים שלא יעשו המים רותחים ויהיו כ"כ שיהיו המים ראויין לשתות במלחן</w:t>
      </w:r>
      <w:r>
        <w:rPr>
          <w:rFonts w:asciiTheme="minorBidi" w:hAnsiTheme="minorBidi" w:hint="cs"/>
          <w:rtl/>
        </w:rPr>
        <w:t>,</w:t>
      </w:r>
      <w:r w:rsidRPr="003024E5">
        <w:rPr>
          <w:rFonts w:asciiTheme="minorBidi" w:hAnsiTheme="minorBidi"/>
          <w:rtl/>
        </w:rPr>
        <w:t xml:space="preserve"> או יתפוס הבשר באויר וידיח מעט כדי שיפול הדם הנקרש ואח"כ יכניסנו במים ויגמור הדחתו כדרכו</w:t>
      </w:r>
      <w:r>
        <w:rPr>
          <w:rFonts w:asciiTheme="minorBidi" w:hAnsiTheme="minorBidi" w:hint="cs"/>
          <w:rtl/>
        </w:rPr>
        <w:t>,</w:t>
      </w:r>
      <w:r w:rsidRPr="003024E5">
        <w:rPr>
          <w:rFonts w:asciiTheme="minorBidi" w:hAnsiTheme="minorBidi"/>
          <w:rtl/>
        </w:rPr>
        <w:t xml:space="preserve"> ובאחרונה ידיחנו באויר ממי טפיחת איסור שעליו ממי הדחה שבכלי שהרי נתערב בהם דם או ירבה מים כדי ביטול הדם המודח במים</w:t>
      </w:r>
      <w:r>
        <w:rPr>
          <w:rFonts w:asciiTheme="minorBidi" w:hAnsiTheme="minorBidi" w:hint="cs"/>
          <w:rtl/>
        </w:rPr>
        <w:t>,</w:t>
      </w:r>
      <w:r w:rsidRPr="003024E5">
        <w:rPr>
          <w:rFonts w:asciiTheme="minorBidi" w:hAnsiTheme="minorBidi"/>
          <w:rtl/>
        </w:rPr>
        <w:t xml:space="preserve"> והמשנה ממנהג זה הפסיד</w:t>
      </w:r>
      <w:r w:rsidRPr="003024E5">
        <w:rPr>
          <w:rFonts w:asciiTheme="minorBidi" w:hAnsiTheme="minorBidi"/>
          <w:sz w:val="16"/>
          <w:szCs w:val="16"/>
          <w:rtl/>
        </w:rPr>
        <w:t xml:space="preserve"> (ל' הגה"מ</w:t>
      </w:r>
      <w:r>
        <w:rPr>
          <w:rFonts w:asciiTheme="minorBidi" w:hAnsiTheme="minorBidi" w:hint="cs"/>
          <w:sz w:val="16"/>
          <w:szCs w:val="16"/>
          <w:rtl/>
        </w:rPr>
        <w:t xml:space="preserve"> בשם הגאון</w:t>
      </w:r>
      <w:r w:rsidRPr="003024E5">
        <w:rPr>
          <w:rFonts w:asciiTheme="minorBidi" w:hAnsiTheme="minorBidi"/>
          <w:sz w:val="16"/>
          <w:szCs w:val="16"/>
          <w:rtl/>
        </w:rPr>
        <w:t>)</w:t>
      </w:r>
      <w:r w:rsidRPr="003024E5">
        <w:rPr>
          <w:rStyle w:val="a7"/>
          <w:rFonts w:asciiTheme="minorBidi" w:hAnsiTheme="minorBidi"/>
          <w:rtl/>
        </w:rPr>
        <w:footnoteReference w:id="97"/>
      </w:r>
      <w:r w:rsidRPr="003024E5">
        <w:rPr>
          <w:rFonts w:asciiTheme="minorBidi" w:hAnsiTheme="minorBidi"/>
          <w:rtl/>
        </w:rPr>
        <w:t xml:space="preserve">. </w:t>
      </w:r>
    </w:p>
    <w:p w14:paraId="52ED336D"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ומה הדין אם מלח במלח דק:</w:t>
      </w:r>
    </w:p>
    <w:p w14:paraId="70DACB30"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(תוה"ב קצר ב"ג ש"ג)</w:t>
      </w:r>
      <w:r w:rsidRPr="003024E5">
        <w:rPr>
          <w:rFonts w:asciiTheme="minorBidi" w:hAnsiTheme="minorBidi"/>
          <w:rtl/>
        </w:rPr>
        <w:t>- מלח במלח דקה אע"פ שהוא רשאי צריך לשפשף היטב כדי להסיר מן הבשר המלח</w:t>
      </w:r>
      <w:r>
        <w:rPr>
          <w:rFonts w:asciiTheme="minorBidi" w:hAnsiTheme="minorBidi" w:hint="cs"/>
          <w:rtl/>
        </w:rPr>
        <w:t>,</w:t>
      </w:r>
      <w:r w:rsidRPr="003024E5">
        <w:rPr>
          <w:rFonts w:asciiTheme="minorBidi" w:hAnsiTheme="minorBidi"/>
          <w:rtl/>
        </w:rPr>
        <w:t xml:space="preserve"> שהיא נדבקת בו היטב</w:t>
      </w:r>
      <w:r>
        <w:rPr>
          <w:rFonts w:asciiTheme="minorBidi" w:hAnsiTheme="minorBidi" w:hint="cs"/>
          <w:rtl/>
        </w:rPr>
        <w:t>,</w:t>
      </w:r>
      <w:r w:rsidRPr="003024E5">
        <w:rPr>
          <w:rFonts w:asciiTheme="minorBidi" w:hAnsiTheme="minorBidi"/>
          <w:rtl/>
        </w:rPr>
        <w:t xml:space="preserve"> ועוד כדי שיוכל להדיח אח"כ בתוך הכלי עם המים.</w:t>
      </w:r>
    </w:p>
    <w:p w14:paraId="14B1F48A"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רש"י ומרדכי</w:t>
      </w:r>
      <w:r w:rsidRPr="003024E5">
        <w:rPr>
          <w:rStyle w:val="a7"/>
          <w:rFonts w:asciiTheme="minorBidi" w:hAnsiTheme="minorBidi"/>
          <w:rtl/>
        </w:rPr>
        <w:footnoteReference w:id="98"/>
      </w:r>
      <w:r w:rsidRPr="003024E5">
        <w:rPr>
          <w:rFonts w:asciiTheme="minorBidi" w:hAnsiTheme="minorBidi"/>
          <w:rtl/>
        </w:rPr>
        <w:t xml:space="preserve"> </w:t>
      </w:r>
      <w:r w:rsidRPr="003024E5">
        <w:rPr>
          <w:rFonts w:asciiTheme="minorBidi" w:hAnsiTheme="minorBidi"/>
          <w:sz w:val="16"/>
          <w:szCs w:val="16"/>
          <w:rtl/>
        </w:rPr>
        <w:t>(סי' תשכא)</w:t>
      </w:r>
      <w:r w:rsidRPr="003024E5">
        <w:rPr>
          <w:rFonts w:asciiTheme="minorBidi" w:hAnsiTheme="minorBidi"/>
          <w:rtl/>
        </w:rPr>
        <w:t xml:space="preserve">- אם מלח במלח גס צריך ניפוץ כרב דימי מפני שהדם נבלע בה </w:t>
      </w:r>
      <w:r w:rsidRPr="003024E5">
        <w:rPr>
          <w:rFonts w:asciiTheme="minorBidi" w:hAnsiTheme="minorBidi"/>
          <w:sz w:val="16"/>
          <w:szCs w:val="16"/>
          <w:rtl/>
        </w:rPr>
        <w:t>{במלח}</w:t>
      </w:r>
      <w:r w:rsidRPr="003024E5">
        <w:rPr>
          <w:rFonts w:asciiTheme="minorBidi" w:hAnsiTheme="minorBidi"/>
          <w:rtl/>
        </w:rPr>
        <w:t xml:space="preserve">, אבל מלח דקה א"צ לנפץ שהיא ניתכת מעצמה. </w:t>
      </w:r>
    </w:p>
    <w:p w14:paraId="09FF0E9B" w14:textId="77777777" w:rsidR="002C39F4" w:rsidRPr="003024E5" w:rsidRDefault="002C39F4" w:rsidP="002C39F4">
      <w:pPr>
        <w:rPr>
          <w:rFonts w:asciiTheme="minorBidi" w:hAnsiTheme="minorBidi"/>
          <w:rtl/>
        </w:rPr>
      </w:pPr>
      <w:r w:rsidRPr="003024E5">
        <w:rPr>
          <w:rFonts w:asciiTheme="minorBidi" w:hAnsiTheme="minorBidi"/>
          <w:u w:val="single"/>
          <w:rtl/>
        </w:rPr>
        <w:lastRenderedPageBreak/>
        <w:t>האם המלח נאסר לאחר שמלחו איתו בשר:</w:t>
      </w:r>
      <w:r w:rsidRPr="003024E5">
        <w:rPr>
          <w:rFonts w:asciiTheme="minorBidi" w:hAnsiTheme="minorBidi"/>
          <w:rtl/>
        </w:rPr>
        <w:t xml:space="preserve"> </w:t>
      </w:r>
      <w:r w:rsidRPr="003024E5">
        <w:rPr>
          <w:rFonts w:asciiTheme="minorBidi" w:hAnsiTheme="minorBidi"/>
          <w:sz w:val="16"/>
          <w:szCs w:val="16"/>
          <w:rtl/>
        </w:rPr>
        <w:t xml:space="preserve"> (דרכ"מ אות י) </w:t>
      </w:r>
    </w:p>
    <w:p w14:paraId="18DFF3D4"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ר"ן </w:t>
      </w:r>
      <w:r w:rsidRPr="003024E5">
        <w:rPr>
          <w:rFonts w:asciiTheme="minorBidi" w:hAnsiTheme="minorBidi"/>
          <w:sz w:val="16"/>
          <w:szCs w:val="16"/>
          <w:rtl/>
        </w:rPr>
        <w:t>(מב. ד"ה רב דימי)</w:t>
      </w:r>
      <w:r w:rsidRPr="003024E5">
        <w:rPr>
          <w:rFonts w:asciiTheme="minorBidi" w:hAnsiTheme="minorBidi"/>
          <w:rtl/>
        </w:rPr>
        <w:t xml:space="preserve">- המלח מותר, ואמר הרמב"ן דטעמא משום דהמלח שורף הדם ואין בולע דם שנשרף </w:t>
      </w:r>
      <w:r w:rsidRPr="003024E5">
        <w:rPr>
          <w:rFonts w:asciiTheme="minorBidi" w:hAnsiTheme="minorBidi"/>
          <w:sz w:val="16"/>
          <w:szCs w:val="16"/>
          <w:rtl/>
        </w:rPr>
        <w:t>[בכת"י- ואינו בולע מדם שנשרף בתוכו]</w:t>
      </w:r>
      <w:r>
        <w:rPr>
          <w:rFonts w:asciiTheme="minorBidi" w:hAnsiTheme="minorBidi" w:hint="cs"/>
          <w:rtl/>
        </w:rPr>
        <w:t>,</w:t>
      </w:r>
      <w:r w:rsidRPr="003024E5">
        <w:rPr>
          <w:rFonts w:asciiTheme="minorBidi" w:hAnsiTheme="minorBidi"/>
          <w:rtl/>
        </w:rPr>
        <w:t xml:space="preserve"> ומיהו דוקא בדם אמרינן הכי אבל לא בשאר איסור</w:t>
      </w:r>
      <w:r w:rsidRPr="003024E5">
        <w:rPr>
          <w:rStyle w:val="a7"/>
          <w:rFonts w:asciiTheme="minorBidi" w:hAnsiTheme="minorBidi"/>
          <w:rtl/>
        </w:rPr>
        <w:footnoteReference w:id="99"/>
      </w:r>
      <w:r w:rsidRPr="003024E5">
        <w:rPr>
          <w:rFonts w:asciiTheme="minorBidi" w:hAnsiTheme="minorBidi"/>
          <w:rtl/>
        </w:rPr>
        <w:t xml:space="preserve">. </w:t>
      </w:r>
    </w:p>
    <w:p w14:paraId="6299C33C"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כל בו </w:t>
      </w:r>
      <w:r w:rsidRPr="003024E5">
        <w:rPr>
          <w:rFonts w:asciiTheme="minorBidi" w:hAnsiTheme="minorBidi"/>
          <w:sz w:val="16"/>
          <w:szCs w:val="16"/>
          <w:rtl/>
        </w:rPr>
        <w:t>(סי' קג עה ע"ד)</w:t>
      </w:r>
      <w:r w:rsidRPr="003024E5">
        <w:rPr>
          <w:rFonts w:asciiTheme="minorBidi" w:hAnsiTheme="minorBidi"/>
          <w:rtl/>
        </w:rPr>
        <w:t xml:space="preserve">- מלח שנמלח בו פעם אחת אסור ולא אמרינן שמלח שורף הדם. </w:t>
      </w:r>
      <w:r w:rsidRPr="003024E5">
        <w:rPr>
          <w:rFonts w:asciiTheme="minorBidi" w:hAnsiTheme="minorBidi"/>
          <w:color w:val="00B0F0"/>
          <w:rtl/>
        </w:rPr>
        <w:t>(וכ"פ הרמ"א</w:t>
      </w:r>
      <w:r w:rsidRPr="003024E5">
        <w:rPr>
          <w:rFonts w:asciiTheme="minorBidi" w:hAnsiTheme="minorBidi"/>
          <w:sz w:val="16"/>
          <w:szCs w:val="16"/>
          <w:rtl/>
        </w:rPr>
        <w:t xml:space="preserve"> [בסע' ט]</w:t>
      </w:r>
      <w:r w:rsidRPr="003024E5">
        <w:rPr>
          <w:rFonts w:asciiTheme="minorBidi" w:hAnsiTheme="minorBidi"/>
          <w:color w:val="00B0F0"/>
          <w:rtl/>
        </w:rPr>
        <w:t>)</w:t>
      </w:r>
    </w:p>
    <w:p w14:paraId="3FE3CFFB" w14:textId="77777777" w:rsidR="002C39F4" w:rsidRPr="003024E5" w:rsidRDefault="002C39F4" w:rsidP="002C39F4">
      <w:pPr>
        <w:pStyle w:val="a8"/>
        <w:numPr>
          <w:ilvl w:val="0"/>
          <w:numId w:val="8"/>
        </w:numPr>
        <w:rPr>
          <w:rFonts w:asciiTheme="minorBidi" w:hAnsiTheme="minorBidi"/>
          <w:rtl/>
        </w:rPr>
      </w:pPr>
      <w:r w:rsidRPr="003024E5">
        <w:rPr>
          <w:rFonts w:asciiTheme="minorBidi" w:hAnsiTheme="minorBidi"/>
          <w:rtl/>
        </w:rPr>
        <w:t>בעל המנהל</w:t>
      </w:r>
      <w:r w:rsidRPr="003024E5">
        <w:rPr>
          <w:rStyle w:val="a7"/>
          <w:rFonts w:asciiTheme="minorBidi" w:hAnsiTheme="minorBidi"/>
          <w:rtl/>
        </w:rPr>
        <w:footnoteReference w:id="100"/>
      </w:r>
      <w:r w:rsidRPr="003024E5">
        <w:rPr>
          <w:rFonts w:asciiTheme="minorBidi" w:hAnsiTheme="minorBidi"/>
          <w:rtl/>
        </w:rPr>
        <w:t xml:space="preserve"> בשם </w:t>
      </w:r>
      <w:r>
        <w:rPr>
          <w:rFonts w:asciiTheme="minorBidi" w:hAnsiTheme="minorBidi" w:hint="cs"/>
          <w:rtl/>
        </w:rPr>
        <w:t>מ</w:t>
      </w:r>
      <w:r w:rsidRPr="003024E5">
        <w:rPr>
          <w:rFonts w:asciiTheme="minorBidi" w:hAnsiTheme="minorBidi"/>
          <w:rtl/>
        </w:rPr>
        <w:t xml:space="preserve">הר"ם </w:t>
      </w:r>
      <w:r w:rsidRPr="003024E5">
        <w:rPr>
          <w:rFonts w:asciiTheme="minorBidi" w:hAnsiTheme="minorBidi"/>
          <w:sz w:val="16"/>
          <w:szCs w:val="16"/>
          <w:rtl/>
        </w:rPr>
        <w:t>(פסקים ומנהגים ח"ב סי' לב)</w:t>
      </w:r>
      <w:r w:rsidRPr="003024E5">
        <w:rPr>
          <w:rFonts w:asciiTheme="minorBidi" w:hAnsiTheme="minorBidi"/>
          <w:rtl/>
        </w:rPr>
        <w:t>- מלח שמלח בו כבר יכול לחזור ולמלוח בו פעם שנית.</w:t>
      </w:r>
    </w:p>
    <w:p w14:paraId="21AE9B5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28A1333" w14:textId="77777777" w:rsidR="002C39F4" w:rsidRPr="003024E5" w:rsidRDefault="002C39F4" w:rsidP="002C39F4">
      <w:pPr>
        <w:rPr>
          <w:rFonts w:asciiTheme="minorBidi" w:hAnsiTheme="minorBidi"/>
          <w:rtl/>
        </w:rPr>
      </w:pPr>
      <w:r w:rsidRPr="003024E5">
        <w:rPr>
          <w:rFonts w:asciiTheme="minorBidi" w:hAnsiTheme="minorBidi"/>
          <w:rtl/>
        </w:rPr>
        <w:t>קודם שיתן הבשר בכלי שמדיחו בו ינפץ מעליו המלח שעליו או ישטפנו במים</w:t>
      </w:r>
      <w:r>
        <w:rPr>
          <w:rFonts w:asciiTheme="minorBidi" w:hAnsiTheme="minorBidi" w:hint="cs"/>
          <w:rtl/>
        </w:rPr>
        <w:t>,</w:t>
      </w:r>
      <w:r w:rsidRPr="003024E5">
        <w:rPr>
          <w:rFonts w:asciiTheme="minorBidi" w:hAnsiTheme="minorBidi"/>
          <w:rtl/>
        </w:rPr>
        <w:t xml:space="preserve"> ואחר כך יתן הבשר בכלי שמדיחין בו וידיחנו פעמיים</w:t>
      </w:r>
      <w:r>
        <w:rPr>
          <w:rFonts w:asciiTheme="minorBidi" w:hAnsiTheme="minorBidi" w:hint="cs"/>
          <w:rtl/>
        </w:rPr>
        <w:t>,</w:t>
      </w:r>
      <w:r w:rsidRPr="003024E5">
        <w:rPr>
          <w:rFonts w:asciiTheme="minorBidi" w:hAnsiTheme="minorBidi"/>
          <w:rtl/>
        </w:rPr>
        <w:t xml:space="preserve"> וישטוף הכלי בין רחיצה לרחיצה. </w:t>
      </w:r>
      <w:r w:rsidRPr="003024E5">
        <w:rPr>
          <w:rFonts w:asciiTheme="minorBidi" w:hAnsiTheme="minorBidi"/>
          <w:sz w:val="18"/>
          <w:szCs w:val="18"/>
          <w:rtl/>
        </w:rPr>
        <w:t xml:space="preserve">הגה: וי"א שצריכין להדיח ג' פעמים </w:t>
      </w:r>
      <w:r w:rsidRPr="003024E5">
        <w:rPr>
          <w:rFonts w:asciiTheme="minorBidi" w:hAnsiTheme="minorBidi"/>
          <w:sz w:val="16"/>
          <w:szCs w:val="16"/>
          <w:rtl/>
        </w:rPr>
        <w:t>(אגודה או"ז והג"א)</w:t>
      </w:r>
      <w:r w:rsidRPr="003024E5">
        <w:rPr>
          <w:rFonts w:asciiTheme="minorBidi" w:hAnsiTheme="minorBidi"/>
          <w:sz w:val="18"/>
          <w:szCs w:val="18"/>
          <w:rtl/>
        </w:rPr>
        <w:t>, והכי נוהגין לכתחילה</w:t>
      </w:r>
      <w:r w:rsidRPr="00E90A6C">
        <w:rPr>
          <w:rFonts w:asciiTheme="minorBidi" w:hAnsiTheme="minorBidi"/>
          <w:sz w:val="16"/>
          <w:szCs w:val="16"/>
          <w:rtl/>
        </w:rPr>
        <w:t xml:space="preserve"> </w:t>
      </w:r>
      <w:r>
        <w:rPr>
          <w:rFonts w:asciiTheme="minorBidi" w:hAnsiTheme="minorBidi" w:hint="cs"/>
          <w:sz w:val="16"/>
          <w:szCs w:val="16"/>
          <w:rtl/>
        </w:rPr>
        <w:t>(</w:t>
      </w:r>
      <w:r w:rsidRPr="003024E5">
        <w:rPr>
          <w:rFonts w:asciiTheme="minorBidi" w:hAnsiTheme="minorBidi"/>
          <w:sz w:val="16"/>
          <w:szCs w:val="16"/>
          <w:rtl/>
        </w:rPr>
        <w:t>מהרא"י ואו"ה</w:t>
      </w:r>
      <w:r>
        <w:rPr>
          <w:rFonts w:asciiTheme="minorBidi" w:hAnsiTheme="minorBidi" w:hint="cs"/>
          <w:sz w:val="16"/>
          <w:szCs w:val="16"/>
          <w:rtl/>
        </w:rPr>
        <w:t>)</w:t>
      </w:r>
      <w:r w:rsidRPr="003024E5">
        <w:rPr>
          <w:rFonts w:asciiTheme="minorBidi" w:hAnsiTheme="minorBidi"/>
          <w:sz w:val="18"/>
          <w:szCs w:val="18"/>
          <w:rtl/>
        </w:rPr>
        <w:t>, על כן ישטפנו או ינפץ המלח מעליו וידיחנו ב' פעמים דזה הוי כהדחה ג' פעמים</w:t>
      </w:r>
      <w:r w:rsidRPr="003024E5">
        <w:rPr>
          <w:rStyle w:val="a7"/>
          <w:rFonts w:asciiTheme="minorBidi" w:hAnsiTheme="minorBidi"/>
          <w:sz w:val="18"/>
          <w:szCs w:val="18"/>
          <w:rtl/>
        </w:rPr>
        <w:footnoteReference w:id="101"/>
      </w:r>
      <w:r w:rsidRPr="003024E5">
        <w:rPr>
          <w:rFonts w:asciiTheme="minorBidi" w:hAnsiTheme="minorBidi"/>
          <w:sz w:val="18"/>
          <w:szCs w:val="18"/>
          <w:rtl/>
        </w:rPr>
        <w:t>, או</w:t>
      </w:r>
      <w:r w:rsidRPr="003024E5">
        <w:rPr>
          <w:rStyle w:val="a7"/>
          <w:rFonts w:asciiTheme="minorBidi" w:hAnsiTheme="minorBidi"/>
          <w:sz w:val="18"/>
          <w:szCs w:val="18"/>
          <w:rtl/>
        </w:rPr>
        <w:footnoteReference w:id="102"/>
      </w:r>
      <w:r w:rsidRPr="003024E5">
        <w:rPr>
          <w:rFonts w:asciiTheme="minorBidi" w:hAnsiTheme="minorBidi"/>
          <w:sz w:val="18"/>
          <w:szCs w:val="18"/>
          <w:rtl/>
        </w:rPr>
        <w:t xml:space="preserve"> ישים המים תוך הכלי ואחר כך יניח בו הבשר וידיחנו ג' פעמים, והכי נהוג. ולכתחילה יתן מים הרבה בהדחה ראשונה כדי שיבטל כח המלח שבציר </w:t>
      </w:r>
      <w:r w:rsidRPr="003024E5">
        <w:rPr>
          <w:rFonts w:asciiTheme="minorBidi" w:hAnsiTheme="minorBidi"/>
          <w:sz w:val="16"/>
          <w:szCs w:val="16"/>
          <w:rtl/>
        </w:rPr>
        <w:t>(ד"ע)</w:t>
      </w:r>
      <w:r w:rsidRPr="003024E5">
        <w:rPr>
          <w:rFonts w:asciiTheme="minorBidi" w:hAnsiTheme="minorBidi"/>
          <w:sz w:val="18"/>
          <w:szCs w:val="18"/>
          <w:rtl/>
        </w:rPr>
        <w:t>. מותר להדיח הבשר במי פירות ואין צריך מים</w:t>
      </w:r>
      <w:r w:rsidRPr="003024E5">
        <w:rPr>
          <w:rStyle w:val="a7"/>
          <w:rFonts w:asciiTheme="minorBidi" w:hAnsiTheme="minorBidi"/>
          <w:sz w:val="18"/>
          <w:szCs w:val="18"/>
          <w:rtl/>
        </w:rPr>
        <w:footnoteReference w:id="103"/>
      </w:r>
      <w:r w:rsidRPr="003024E5">
        <w:rPr>
          <w:rFonts w:asciiTheme="minorBidi" w:hAnsiTheme="minorBidi"/>
          <w:sz w:val="18"/>
          <w:szCs w:val="18"/>
          <w:rtl/>
        </w:rPr>
        <w:t xml:space="preserve"> </w:t>
      </w:r>
      <w:r w:rsidRPr="003024E5">
        <w:rPr>
          <w:rFonts w:asciiTheme="minorBidi" w:hAnsiTheme="minorBidi"/>
          <w:sz w:val="16"/>
          <w:szCs w:val="16"/>
          <w:rtl/>
        </w:rPr>
        <w:t>(הר"ן פ' השוחט ותוס' שם)</w:t>
      </w:r>
      <w:r w:rsidRPr="003024E5">
        <w:rPr>
          <w:rFonts w:asciiTheme="minorBidi" w:hAnsiTheme="minorBidi"/>
          <w:sz w:val="18"/>
          <w:szCs w:val="18"/>
          <w:rtl/>
        </w:rPr>
        <w:t>.</w:t>
      </w:r>
      <w:r w:rsidRPr="003024E5">
        <w:rPr>
          <w:rFonts w:asciiTheme="minorBidi" w:hAnsiTheme="minorBidi"/>
          <w:rtl/>
        </w:rPr>
        <w:t xml:space="preserve"> </w:t>
      </w:r>
    </w:p>
    <w:p w14:paraId="460F6704" w14:textId="77777777" w:rsidR="002C39F4" w:rsidRPr="003024E5" w:rsidRDefault="002C39F4" w:rsidP="002C39F4">
      <w:pPr>
        <w:rPr>
          <w:rFonts w:asciiTheme="minorBidi" w:hAnsiTheme="minorBidi"/>
          <w:rtl/>
        </w:rPr>
      </w:pPr>
    </w:p>
    <w:p w14:paraId="57EFD5F9" w14:textId="77777777" w:rsidR="002C39F4" w:rsidRPr="003024E5" w:rsidRDefault="002C39F4" w:rsidP="002C39F4">
      <w:pPr>
        <w:pStyle w:val="2"/>
        <w:rPr>
          <w:rFonts w:asciiTheme="minorBidi" w:hAnsiTheme="minorBidi"/>
          <w:rtl/>
        </w:rPr>
      </w:pPr>
      <w:r w:rsidRPr="003024E5">
        <w:rPr>
          <w:rFonts w:asciiTheme="minorBidi" w:hAnsiTheme="minorBidi"/>
          <w:rtl/>
        </w:rPr>
        <w:t>סעיף ח: הדיח ללא ניפוץ או שטיפה.</w:t>
      </w:r>
    </w:p>
    <w:p w14:paraId="26F0A346" w14:textId="77777777" w:rsidR="002C39F4" w:rsidRPr="003024E5" w:rsidRDefault="002C39F4" w:rsidP="002C39F4">
      <w:pPr>
        <w:rPr>
          <w:rFonts w:asciiTheme="minorBidi" w:hAnsiTheme="minorBidi"/>
          <w:u w:val="single"/>
          <w:rtl/>
        </w:rPr>
      </w:pPr>
      <w:r w:rsidRPr="003024E5">
        <w:rPr>
          <w:rFonts w:asciiTheme="minorBidi" w:hAnsiTheme="minorBidi"/>
          <w:u w:val="single"/>
          <w:rtl/>
        </w:rPr>
        <w:t>מה הדין אם הבשר לא נופץ/נשטף לפני ההדחה:</w:t>
      </w:r>
    </w:p>
    <w:p w14:paraId="78B48AE5" w14:textId="77777777" w:rsidR="002C39F4" w:rsidRPr="003024E5" w:rsidRDefault="002C39F4" w:rsidP="002C39F4">
      <w:pPr>
        <w:pStyle w:val="a8"/>
        <w:numPr>
          <w:ilvl w:val="0"/>
          <w:numId w:val="10"/>
        </w:numPr>
        <w:rPr>
          <w:rFonts w:asciiTheme="minorBidi" w:hAnsiTheme="minorBidi"/>
          <w:rtl/>
        </w:rPr>
      </w:pPr>
      <w:r w:rsidRPr="003024E5">
        <w:rPr>
          <w:rFonts w:asciiTheme="minorBidi" w:hAnsiTheme="minorBidi"/>
          <w:rtl/>
        </w:rPr>
        <w:t>טור- בין אם מלח במלח גס או דק ולא נפצו או לא נשטף במים תחלה אין לאסור כי המים שבכלי מבטלין כח המלח ולא חשוב כרותח לאסור הבשר</w:t>
      </w:r>
      <w:r w:rsidRPr="003024E5">
        <w:rPr>
          <w:rStyle w:val="a7"/>
          <w:rFonts w:asciiTheme="minorBidi" w:hAnsiTheme="minorBidi"/>
          <w:rtl/>
        </w:rPr>
        <w:footnoteReference w:id="104"/>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4141648F" w14:textId="77777777" w:rsidR="002C39F4" w:rsidRPr="003024E5" w:rsidRDefault="002C39F4" w:rsidP="002C39F4">
      <w:pPr>
        <w:rPr>
          <w:rFonts w:asciiTheme="minorBidi" w:hAnsiTheme="minorBidi"/>
          <w:u w:val="single"/>
          <w:rtl/>
        </w:rPr>
      </w:pPr>
      <w:r>
        <w:rPr>
          <w:rFonts w:asciiTheme="minorBidi" w:hAnsiTheme="minorBidi" w:hint="cs"/>
          <w:u w:val="single"/>
          <w:rtl/>
        </w:rPr>
        <w:lastRenderedPageBreak/>
        <w:t xml:space="preserve">מהו ליתן </w:t>
      </w:r>
      <w:r w:rsidRPr="003024E5">
        <w:rPr>
          <w:rFonts w:asciiTheme="minorBidi" w:hAnsiTheme="minorBidi"/>
          <w:u w:val="single"/>
          <w:rtl/>
        </w:rPr>
        <w:t xml:space="preserve">בשר שהומלח ולא הודח </w:t>
      </w:r>
      <w:r>
        <w:rPr>
          <w:rFonts w:asciiTheme="minorBidi" w:hAnsiTheme="minorBidi" w:hint="cs"/>
          <w:u w:val="single"/>
          <w:rtl/>
        </w:rPr>
        <w:t>בכלי ריק ורק אח"כ לשפוך לשם מים:</w:t>
      </w:r>
    </w:p>
    <w:p w14:paraId="04BB950C" w14:textId="77777777" w:rsidR="002C39F4" w:rsidRPr="003024E5" w:rsidRDefault="002C39F4" w:rsidP="002C39F4">
      <w:pPr>
        <w:pStyle w:val="a8"/>
        <w:numPr>
          <w:ilvl w:val="0"/>
          <w:numId w:val="9"/>
        </w:numPr>
        <w:rPr>
          <w:rFonts w:asciiTheme="minorBidi" w:hAnsiTheme="minorBidi"/>
        </w:rPr>
      </w:pPr>
      <w:r w:rsidRPr="003024E5">
        <w:rPr>
          <w:rFonts w:asciiTheme="minorBidi" w:hAnsiTheme="minorBidi"/>
          <w:rtl/>
        </w:rPr>
        <w:t>מרדכי הג"א שע"ד ו</w:t>
      </w:r>
      <w:r>
        <w:rPr>
          <w:rFonts w:asciiTheme="minorBidi" w:hAnsiTheme="minorBidi"/>
          <w:rtl/>
        </w:rPr>
        <w:t>או"ה</w:t>
      </w:r>
      <w:r w:rsidRPr="003024E5">
        <w:rPr>
          <w:rStyle w:val="a7"/>
          <w:rFonts w:asciiTheme="minorBidi" w:hAnsiTheme="minorBidi"/>
          <w:rtl/>
        </w:rPr>
        <w:footnoteReference w:id="105"/>
      </w:r>
      <w:r w:rsidRPr="003024E5">
        <w:rPr>
          <w:rFonts w:asciiTheme="minorBidi" w:hAnsiTheme="minorBidi"/>
          <w:rtl/>
        </w:rPr>
        <w:t>- כשמדיחין הבשר בקערה לאחר מליחה צריך לתת מים תחלה בכלי ואח"כ נותן הבשר במים להדיחו, ומיהו אם נתן הבשר בקערה תחלה רגילין להתיר</w:t>
      </w:r>
      <w:r w:rsidRPr="003024E5">
        <w:rPr>
          <w:rFonts w:asciiTheme="minorBidi" w:hAnsiTheme="minorBidi"/>
          <w:sz w:val="16"/>
          <w:szCs w:val="16"/>
          <w:rtl/>
        </w:rPr>
        <w:t xml:space="preserve"> {את הכלי והבשר}</w:t>
      </w:r>
      <w:r w:rsidRPr="003024E5">
        <w:rPr>
          <w:rFonts w:asciiTheme="minorBidi" w:hAnsiTheme="minorBidi"/>
          <w:rtl/>
        </w:rPr>
        <w:t xml:space="preserve"> בזמן מועט כזה וגם שהה כבר שיעור מליחה בכלי מנוקב או על הדף</w:t>
      </w:r>
      <w:r w:rsidRPr="003024E5">
        <w:rPr>
          <w:rFonts w:asciiTheme="minorBidi" w:hAnsiTheme="minorBidi"/>
          <w:sz w:val="16"/>
          <w:szCs w:val="16"/>
          <w:rtl/>
        </w:rPr>
        <w:t xml:space="preserve"> (</w:t>
      </w:r>
      <w:r>
        <w:rPr>
          <w:rFonts w:asciiTheme="minorBidi" w:hAnsiTheme="minorBidi"/>
          <w:sz w:val="16"/>
          <w:szCs w:val="16"/>
          <w:rtl/>
        </w:rPr>
        <w:t>הג"א</w:t>
      </w:r>
      <w:r w:rsidRPr="003024E5">
        <w:rPr>
          <w:rFonts w:asciiTheme="minorBidi" w:hAnsiTheme="minorBidi"/>
          <w:sz w:val="16"/>
          <w:szCs w:val="16"/>
          <w:rtl/>
        </w:rPr>
        <w:t xml:space="preserve"> ושע"ד)</w:t>
      </w:r>
      <w:r w:rsidRPr="003024E5">
        <w:rPr>
          <w:rFonts w:asciiTheme="minorBidi" w:hAnsiTheme="minorBidi"/>
          <w:rtl/>
        </w:rPr>
        <w:t xml:space="preserve"> ועוד דאין שם רק דם שבמלח </w:t>
      </w:r>
      <w:r w:rsidRPr="003024E5">
        <w:rPr>
          <w:rFonts w:asciiTheme="minorBidi" w:hAnsiTheme="minorBidi"/>
          <w:sz w:val="16"/>
          <w:szCs w:val="16"/>
          <w:rtl/>
        </w:rPr>
        <w:t>(הג"א)</w:t>
      </w:r>
      <w:r w:rsidRPr="003024E5">
        <w:rPr>
          <w:rFonts w:asciiTheme="minorBidi" w:hAnsiTheme="minorBidi"/>
          <w:rtl/>
        </w:rPr>
        <w:t>.</w:t>
      </w:r>
    </w:p>
    <w:p w14:paraId="2B51B1B2" w14:textId="77777777" w:rsidR="002C39F4" w:rsidRPr="003024E5" w:rsidRDefault="002C39F4" w:rsidP="002C39F4">
      <w:pPr>
        <w:pStyle w:val="a8"/>
        <w:numPr>
          <w:ilvl w:val="0"/>
          <w:numId w:val="9"/>
        </w:numPr>
        <w:rPr>
          <w:rFonts w:asciiTheme="minorBidi" w:hAnsiTheme="minorBidi"/>
        </w:rPr>
      </w:pPr>
      <w:r w:rsidRPr="003024E5">
        <w:rPr>
          <w:rFonts w:asciiTheme="minorBidi" w:hAnsiTheme="minorBidi"/>
          <w:rtl/>
        </w:rPr>
        <w:t xml:space="preserve">ראבי"ה </w:t>
      </w:r>
      <w:r w:rsidRPr="003024E5">
        <w:rPr>
          <w:rFonts w:asciiTheme="minorBidi" w:hAnsiTheme="minorBidi"/>
          <w:sz w:val="16"/>
          <w:szCs w:val="16"/>
          <w:rtl/>
        </w:rPr>
        <w:t xml:space="preserve">(סי' אלף קיט הביאו המרדכי [שם]) </w:t>
      </w:r>
      <w:r w:rsidRPr="003024E5">
        <w:rPr>
          <w:rFonts w:asciiTheme="minorBidi" w:hAnsiTheme="minorBidi"/>
          <w:rtl/>
        </w:rPr>
        <w:t xml:space="preserve">ומרדכי </w:t>
      </w:r>
      <w:r w:rsidRPr="003024E5">
        <w:rPr>
          <w:rFonts w:asciiTheme="minorBidi" w:hAnsiTheme="minorBidi"/>
          <w:sz w:val="16"/>
          <w:szCs w:val="16"/>
          <w:rtl/>
        </w:rPr>
        <w:t>(סו"ס תשכד וסי' תשכה)</w:t>
      </w:r>
      <w:r w:rsidRPr="003024E5">
        <w:rPr>
          <w:rFonts w:asciiTheme="minorBidi" w:hAnsiTheme="minorBidi"/>
          <w:rtl/>
        </w:rPr>
        <w:t>- מה שאמרו מליח כרותח היינו דוקא בעוד שהמלח בכחו אבל אחר שנתמלא מכח הדם שמשך לחוץ פסק כחו והוי ליה כצונן ולכך הורגלנו להשים הבשר בכלי תחלה ושוב לשפוך עליו מים לכלי והמחמיר לתת מים תחלה מנהג כשר הוא</w:t>
      </w:r>
      <w:r w:rsidRPr="003024E5">
        <w:rPr>
          <w:rStyle w:val="a7"/>
          <w:rFonts w:asciiTheme="minorBidi" w:hAnsiTheme="minorBidi"/>
          <w:rtl/>
        </w:rPr>
        <w:footnoteReference w:id="106"/>
      </w:r>
      <w:r w:rsidRPr="003024E5">
        <w:rPr>
          <w:rFonts w:asciiTheme="minorBidi" w:hAnsiTheme="minorBidi"/>
          <w:rtl/>
        </w:rPr>
        <w:t>.</w:t>
      </w:r>
    </w:p>
    <w:p w14:paraId="781AC650" w14:textId="77777777" w:rsidR="002C39F4" w:rsidRPr="003024E5" w:rsidRDefault="002C39F4" w:rsidP="002C39F4">
      <w:pPr>
        <w:rPr>
          <w:rFonts w:asciiTheme="minorBidi" w:hAnsiTheme="minorBidi"/>
        </w:rPr>
      </w:pPr>
      <w:r w:rsidRPr="003024E5">
        <w:rPr>
          <w:rFonts w:asciiTheme="minorBidi" w:hAnsiTheme="minorBidi"/>
          <w:u w:val="single"/>
          <w:rtl/>
        </w:rPr>
        <w:t>מה הדין אם הדיח את הבשר בכלי חולב או טרפה:</w:t>
      </w:r>
      <w:r w:rsidRPr="003024E5">
        <w:rPr>
          <w:rFonts w:asciiTheme="minorBidi" w:hAnsiTheme="minorBidi"/>
          <w:sz w:val="16"/>
          <w:szCs w:val="16"/>
          <w:rtl/>
        </w:rPr>
        <w:t xml:space="preserve">  (ב"י, דרכ"מ אות יג)</w:t>
      </w:r>
    </w:p>
    <w:p w14:paraId="3636E44C" w14:textId="77777777" w:rsidR="002C39F4" w:rsidRPr="003024E5" w:rsidRDefault="002C39F4" w:rsidP="002C39F4">
      <w:pPr>
        <w:pStyle w:val="a8"/>
        <w:numPr>
          <w:ilvl w:val="0"/>
          <w:numId w:val="9"/>
        </w:numPr>
        <w:rPr>
          <w:rFonts w:asciiTheme="minorBidi" w:hAnsiTheme="minorBidi"/>
        </w:rPr>
      </w:pPr>
      <w:r w:rsidRPr="003024E5">
        <w:rPr>
          <w:rFonts w:asciiTheme="minorBidi" w:hAnsiTheme="minorBidi"/>
          <w:rtl/>
        </w:rPr>
        <w:t xml:space="preserve">הגשע"ד </w:t>
      </w:r>
      <w:r w:rsidRPr="003024E5">
        <w:rPr>
          <w:rFonts w:asciiTheme="minorBidi" w:hAnsiTheme="minorBidi"/>
          <w:sz w:val="16"/>
          <w:szCs w:val="16"/>
          <w:rtl/>
        </w:rPr>
        <w:t>(שם סק"ג ד"ה ולפי"ז אסור)</w:t>
      </w:r>
      <w:r w:rsidRPr="003024E5">
        <w:rPr>
          <w:rFonts w:asciiTheme="minorBidi" w:hAnsiTheme="minorBidi"/>
          <w:rtl/>
        </w:rPr>
        <w:t>- אפילו לפי זה</w:t>
      </w:r>
      <w:r w:rsidRPr="003024E5">
        <w:rPr>
          <w:rFonts w:asciiTheme="minorBidi" w:hAnsiTheme="minorBidi"/>
          <w:sz w:val="16"/>
          <w:szCs w:val="16"/>
          <w:rtl/>
        </w:rPr>
        <w:t xml:space="preserve"> {היינו לפי הקולא דלעיל שפסק כח המלח}</w:t>
      </w:r>
      <w:r w:rsidRPr="003024E5">
        <w:rPr>
          <w:rFonts w:asciiTheme="minorBidi" w:hAnsiTheme="minorBidi"/>
          <w:rtl/>
        </w:rPr>
        <w:t xml:space="preserve"> אם הדיח בשר בכלי חולב מלוכלך קצת מן החלב אפשר לאסור ולהצריך ששים נגד הלכלוך והכלי צריך הגעלה. </w:t>
      </w:r>
    </w:p>
    <w:p w14:paraId="72E10D8D" w14:textId="77777777" w:rsidR="002C39F4" w:rsidRPr="003024E5" w:rsidRDefault="002C39F4" w:rsidP="002C39F4">
      <w:pPr>
        <w:pStyle w:val="a8"/>
        <w:numPr>
          <w:ilvl w:val="0"/>
          <w:numId w:val="9"/>
        </w:numPr>
        <w:rPr>
          <w:rFonts w:asciiTheme="minorBidi" w:hAnsiTheme="minorBidi"/>
          <w:rtl/>
        </w:rPr>
      </w:pPr>
      <w:r>
        <w:rPr>
          <w:rFonts w:asciiTheme="minorBidi" w:hAnsiTheme="minorBidi"/>
          <w:rtl/>
        </w:rPr>
        <w:t>או"ה</w:t>
      </w:r>
      <w:r w:rsidRPr="003024E5">
        <w:rPr>
          <w:rFonts w:asciiTheme="minorBidi" w:hAnsiTheme="minorBidi"/>
          <w:sz w:val="16"/>
          <w:szCs w:val="16"/>
          <w:rtl/>
        </w:rPr>
        <w:t xml:space="preserve"> (כלל יא ד</w:t>
      </w:r>
      <w:r>
        <w:rPr>
          <w:rFonts w:asciiTheme="minorBidi" w:hAnsiTheme="minorBidi" w:hint="cs"/>
          <w:sz w:val="16"/>
          <w:szCs w:val="16"/>
          <w:rtl/>
        </w:rPr>
        <w:t>"</w:t>
      </w:r>
      <w:r w:rsidRPr="003024E5">
        <w:rPr>
          <w:rFonts w:asciiTheme="minorBidi" w:hAnsiTheme="minorBidi"/>
          <w:sz w:val="16"/>
          <w:szCs w:val="16"/>
          <w:rtl/>
        </w:rPr>
        <w:t>ח)</w:t>
      </w:r>
      <w:r w:rsidRPr="003024E5">
        <w:rPr>
          <w:rFonts w:asciiTheme="minorBidi" w:hAnsiTheme="minorBidi"/>
          <w:rtl/>
        </w:rPr>
        <w:t>- הואיל והמים מבטלים כח המלח א"כ לא מיחשב כרותח ומותר אפי' הכלי עדיין מלוכלך בחלב.</w:t>
      </w:r>
      <w:r w:rsidRPr="003024E5">
        <w:rPr>
          <w:rFonts w:asciiTheme="minorBidi" w:hAnsiTheme="minorBidi"/>
          <w:color w:val="00B0F0"/>
          <w:rtl/>
        </w:rPr>
        <w:t xml:space="preserve"> (וכ"פ הרמ"א)</w:t>
      </w:r>
    </w:p>
    <w:p w14:paraId="3ED1C12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FECA501" w14:textId="77777777" w:rsidR="002C39F4" w:rsidRPr="003024E5" w:rsidRDefault="002C39F4" w:rsidP="002C39F4">
      <w:pPr>
        <w:rPr>
          <w:rFonts w:asciiTheme="minorBidi" w:hAnsiTheme="minorBidi"/>
          <w:rtl/>
        </w:rPr>
      </w:pPr>
      <w:r w:rsidRPr="003024E5">
        <w:rPr>
          <w:rFonts w:asciiTheme="minorBidi" w:hAnsiTheme="minorBidi"/>
          <w:rtl/>
        </w:rPr>
        <w:t>אם לא ניפץ המלח שעליו ולא שטפו אין לאסור כי המים שבכלי מבטלין כח המלח</w:t>
      </w:r>
      <w:r w:rsidRPr="003024E5">
        <w:rPr>
          <w:rStyle w:val="a7"/>
          <w:rFonts w:asciiTheme="minorBidi" w:hAnsiTheme="minorBidi"/>
          <w:rtl/>
        </w:rPr>
        <w:footnoteReference w:id="107"/>
      </w:r>
      <w:r w:rsidRPr="003024E5">
        <w:rPr>
          <w:rFonts w:asciiTheme="minorBidi" w:hAnsiTheme="minorBidi"/>
          <w:rtl/>
        </w:rPr>
        <w:t xml:space="preserve">. </w:t>
      </w:r>
      <w:r w:rsidRPr="003024E5">
        <w:rPr>
          <w:rFonts w:asciiTheme="minorBidi" w:hAnsiTheme="minorBidi"/>
          <w:sz w:val="18"/>
          <w:szCs w:val="18"/>
          <w:rtl/>
        </w:rPr>
        <w:t xml:space="preserve">הגה: ואפילו המים מועטים מ"מ מבטלים כח הציר </w:t>
      </w:r>
      <w:r w:rsidRPr="00794626">
        <w:rPr>
          <w:rFonts w:asciiTheme="minorBidi" w:hAnsiTheme="minorBidi"/>
          <w:sz w:val="16"/>
          <w:szCs w:val="16"/>
          <w:rtl/>
        </w:rPr>
        <w:t>(ד"ע ארוך מהרא"י)</w:t>
      </w:r>
      <w:r w:rsidRPr="003024E5">
        <w:rPr>
          <w:rFonts w:asciiTheme="minorBidi" w:hAnsiTheme="minorBidi"/>
          <w:sz w:val="18"/>
          <w:szCs w:val="18"/>
          <w:rtl/>
        </w:rPr>
        <w:t>. ויש מתירין אפילו לא היה מים כלל בכלי והניחו בו הבשר דאין לחוש בשעה מועטת כזו שעוסקין בהדחת הבשר</w:t>
      </w:r>
      <w:r w:rsidRPr="003024E5">
        <w:rPr>
          <w:rStyle w:val="a7"/>
          <w:rFonts w:asciiTheme="minorBidi" w:hAnsiTheme="minorBidi"/>
          <w:sz w:val="18"/>
          <w:szCs w:val="18"/>
          <w:rtl/>
        </w:rPr>
        <w:footnoteReference w:id="108"/>
      </w:r>
      <w:r w:rsidRPr="003024E5">
        <w:rPr>
          <w:rFonts w:asciiTheme="minorBidi" w:hAnsiTheme="minorBidi"/>
          <w:sz w:val="18"/>
          <w:szCs w:val="18"/>
          <w:rtl/>
        </w:rPr>
        <w:t xml:space="preserve"> </w:t>
      </w:r>
      <w:r w:rsidRPr="00794626">
        <w:rPr>
          <w:rFonts w:asciiTheme="minorBidi" w:hAnsiTheme="minorBidi"/>
          <w:sz w:val="16"/>
          <w:szCs w:val="16"/>
          <w:rtl/>
        </w:rPr>
        <w:t xml:space="preserve">(שע"ד ואו"ה </w:t>
      </w:r>
      <w:r w:rsidRPr="00794626">
        <w:rPr>
          <w:rFonts w:asciiTheme="minorBidi" w:hAnsiTheme="minorBidi" w:hint="cs"/>
          <w:sz w:val="16"/>
          <w:szCs w:val="16"/>
          <w:rtl/>
        </w:rPr>
        <w:t>ו</w:t>
      </w:r>
      <w:r w:rsidRPr="00794626">
        <w:rPr>
          <w:rFonts w:asciiTheme="minorBidi" w:hAnsiTheme="minorBidi"/>
          <w:sz w:val="16"/>
          <w:szCs w:val="16"/>
          <w:rtl/>
        </w:rPr>
        <w:t>ע"ל ס"כ)</w:t>
      </w:r>
      <w:r w:rsidRPr="003024E5">
        <w:rPr>
          <w:rFonts w:asciiTheme="minorBidi" w:hAnsiTheme="minorBidi"/>
          <w:sz w:val="18"/>
          <w:szCs w:val="18"/>
          <w:rtl/>
        </w:rPr>
        <w:t xml:space="preserve">, ויש לסמוך עלייהו. ואין לחוש בכל זה רק בהדחה ראשונה, אבל לאחר הדחה ראשונה אין לחוש </w:t>
      </w:r>
      <w:r w:rsidRPr="00794626">
        <w:rPr>
          <w:rFonts w:asciiTheme="minorBidi" w:hAnsiTheme="minorBidi"/>
          <w:sz w:val="16"/>
          <w:szCs w:val="16"/>
          <w:rtl/>
        </w:rPr>
        <w:t>(כ"מ ממרדכי ור"ן)</w:t>
      </w:r>
      <w:r w:rsidRPr="003024E5">
        <w:rPr>
          <w:rFonts w:asciiTheme="minorBidi" w:hAnsiTheme="minorBidi"/>
          <w:sz w:val="18"/>
          <w:szCs w:val="18"/>
          <w:rtl/>
        </w:rPr>
        <w:t>. ואין חילוק בין אם הדיחו בכלי כשר או טרפה או חולבת</w:t>
      </w:r>
      <w:r w:rsidRPr="003024E5">
        <w:rPr>
          <w:rStyle w:val="a7"/>
          <w:rFonts w:asciiTheme="minorBidi" w:hAnsiTheme="minorBidi"/>
          <w:sz w:val="18"/>
          <w:szCs w:val="18"/>
          <w:rtl/>
        </w:rPr>
        <w:footnoteReference w:id="109"/>
      </w:r>
      <w:r w:rsidRPr="003024E5">
        <w:rPr>
          <w:rFonts w:asciiTheme="minorBidi" w:hAnsiTheme="minorBidi"/>
          <w:sz w:val="18"/>
          <w:szCs w:val="18"/>
          <w:rtl/>
        </w:rPr>
        <w:t xml:space="preserve">. ואם היה מעט מים בכלי שמבטל כח המלח שאינו חשוב עוד כרותח אפילו הכלי חולבת או הטריפה מלוכלך עדיין באיסור, מותר </w:t>
      </w:r>
      <w:r w:rsidRPr="00794626">
        <w:rPr>
          <w:rFonts w:asciiTheme="minorBidi" w:hAnsiTheme="minorBidi"/>
          <w:sz w:val="16"/>
          <w:szCs w:val="16"/>
          <w:rtl/>
        </w:rPr>
        <w:t>(בארוך)</w:t>
      </w:r>
      <w:r w:rsidRPr="003024E5">
        <w:rPr>
          <w:rFonts w:asciiTheme="minorBidi" w:hAnsiTheme="minorBidi"/>
          <w:sz w:val="18"/>
          <w:szCs w:val="18"/>
          <w:rtl/>
        </w:rPr>
        <w:t>.</w:t>
      </w:r>
    </w:p>
    <w:p w14:paraId="0482E00C" w14:textId="77777777" w:rsidR="002C39F4" w:rsidRPr="003024E5" w:rsidRDefault="002C39F4" w:rsidP="002C39F4">
      <w:pPr>
        <w:rPr>
          <w:rFonts w:asciiTheme="minorBidi" w:hAnsiTheme="minorBidi"/>
          <w:rtl/>
        </w:rPr>
      </w:pPr>
    </w:p>
    <w:p w14:paraId="2BD9E72E" w14:textId="77777777" w:rsidR="002C39F4" w:rsidRPr="003024E5" w:rsidRDefault="002C39F4" w:rsidP="002C39F4">
      <w:pPr>
        <w:pStyle w:val="2"/>
        <w:rPr>
          <w:rFonts w:asciiTheme="minorBidi" w:hAnsiTheme="minorBidi"/>
          <w:rtl/>
        </w:rPr>
      </w:pPr>
      <w:r w:rsidRPr="003024E5">
        <w:rPr>
          <w:rFonts w:asciiTheme="minorBidi" w:hAnsiTheme="minorBidi"/>
          <w:rtl/>
        </w:rPr>
        <w:t>סעיף ט: בשר שנתבשל בלא הדחה שלאחר מליחה.</w:t>
      </w:r>
    </w:p>
    <w:p w14:paraId="618699BD" w14:textId="77777777" w:rsidR="002C39F4" w:rsidRPr="003024E5" w:rsidRDefault="002C39F4" w:rsidP="002C39F4">
      <w:pPr>
        <w:rPr>
          <w:rFonts w:asciiTheme="minorBidi" w:hAnsiTheme="minorBidi"/>
          <w:rtl/>
        </w:rPr>
      </w:pPr>
      <w:r w:rsidRPr="003024E5">
        <w:rPr>
          <w:rFonts w:asciiTheme="minorBidi" w:hAnsiTheme="minorBidi"/>
          <w:u w:val="single"/>
          <w:rtl/>
        </w:rPr>
        <w:t>בשר שנתבשל בלי שהדיחוהו לאחר המליחה:</w:t>
      </w:r>
      <w:r w:rsidRPr="003024E5">
        <w:rPr>
          <w:rFonts w:asciiTheme="minorBidi" w:hAnsiTheme="minorBidi"/>
          <w:rtl/>
        </w:rPr>
        <w:t xml:space="preserve">  </w:t>
      </w:r>
      <w:r w:rsidRPr="003024E5">
        <w:rPr>
          <w:rFonts w:asciiTheme="minorBidi" w:hAnsiTheme="minorBidi"/>
          <w:sz w:val="16"/>
          <w:szCs w:val="16"/>
          <w:rtl/>
        </w:rPr>
        <w:t>(ב"י ודרכ"מ [אות יד-יז])</w:t>
      </w:r>
    </w:p>
    <w:p w14:paraId="03C4D330" w14:textId="77777777" w:rsidR="002C39F4" w:rsidRPr="003024E5" w:rsidRDefault="002C39F4" w:rsidP="002C39F4">
      <w:pPr>
        <w:pStyle w:val="a8"/>
        <w:numPr>
          <w:ilvl w:val="0"/>
          <w:numId w:val="13"/>
        </w:numPr>
        <w:rPr>
          <w:rFonts w:asciiTheme="minorBidi" w:hAnsiTheme="minorBidi"/>
        </w:rPr>
      </w:pPr>
      <w:r w:rsidRPr="003024E5">
        <w:rPr>
          <w:rFonts w:asciiTheme="minorBidi" w:hAnsiTheme="minorBidi"/>
          <w:rtl/>
        </w:rPr>
        <w:lastRenderedPageBreak/>
        <w:t xml:space="preserve">ראב"ן סמ"ק </w:t>
      </w:r>
      <w:r>
        <w:rPr>
          <w:rFonts w:asciiTheme="minorBidi" w:hAnsiTheme="minorBidi" w:hint="cs"/>
          <w:rtl/>
        </w:rPr>
        <w:t>מה</w:t>
      </w:r>
      <w:r w:rsidRPr="003024E5">
        <w:rPr>
          <w:rFonts w:asciiTheme="minorBidi" w:hAnsiTheme="minorBidi"/>
          <w:rtl/>
        </w:rPr>
        <w:t>ר"ם או"ז וטור</w:t>
      </w:r>
      <w:r w:rsidRPr="003024E5">
        <w:rPr>
          <w:rStyle w:val="a7"/>
          <w:rFonts w:asciiTheme="minorBidi" w:hAnsiTheme="minorBidi"/>
          <w:rtl/>
        </w:rPr>
        <w:footnoteReference w:id="110"/>
      </w:r>
      <w:r w:rsidRPr="003024E5">
        <w:rPr>
          <w:rFonts w:asciiTheme="minorBidi" w:hAnsiTheme="minorBidi"/>
          <w:rtl/>
        </w:rPr>
        <w:t>- אם יש ס' כנגד המלח שרי</w:t>
      </w:r>
      <w:r w:rsidRPr="003024E5">
        <w:rPr>
          <w:rStyle w:val="a7"/>
          <w:rFonts w:asciiTheme="minorBidi" w:hAnsiTheme="minorBidi"/>
          <w:rtl/>
        </w:rPr>
        <w:footnoteReference w:id="111"/>
      </w:r>
      <w:r w:rsidRPr="003024E5">
        <w:rPr>
          <w:rFonts w:asciiTheme="minorBidi" w:hAnsiTheme="minorBidi"/>
          <w:rtl/>
        </w:rPr>
        <w:t xml:space="preserve"> </w:t>
      </w:r>
      <w:r w:rsidRPr="003024E5">
        <w:rPr>
          <w:rFonts w:asciiTheme="minorBidi" w:hAnsiTheme="minorBidi"/>
          <w:sz w:val="16"/>
          <w:szCs w:val="16"/>
          <w:rtl/>
        </w:rPr>
        <w:t>(ואין להצריך שיהא בקדרה ס' כנגד כל החתיכה)</w:t>
      </w:r>
      <w:r w:rsidRPr="003024E5">
        <w:rPr>
          <w:rFonts w:asciiTheme="minorBidi" w:hAnsiTheme="minorBidi"/>
          <w:rtl/>
        </w:rPr>
        <w:t>, והני מילי בבשר לח אבל בשר יבש לגמרי</w:t>
      </w:r>
      <w:r w:rsidRPr="003024E5">
        <w:rPr>
          <w:rStyle w:val="a7"/>
          <w:rFonts w:asciiTheme="minorBidi" w:hAnsiTheme="minorBidi"/>
          <w:rtl/>
        </w:rPr>
        <w:footnoteReference w:id="112"/>
      </w:r>
      <w:r w:rsidRPr="003024E5">
        <w:rPr>
          <w:rFonts w:asciiTheme="minorBidi" w:hAnsiTheme="minorBidi"/>
          <w:rtl/>
        </w:rPr>
        <w:t xml:space="preserve"> לא בעי שיעור</w:t>
      </w:r>
      <w:r w:rsidRPr="003024E5">
        <w:rPr>
          <w:rStyle w:val="a7"/>
          <w:rFonts w:asciiTheme="minorBidi" w:hAnsiTheme="minorBidi"/>
          <w:rtl/>
        </w:rPr>
        <w:footnoteReference w:id="113"/>
      </w:r>
      <w:r w:rsidRPr="003024E5">
        <w:rPr>
          <w:rFonts w:asciiTheme="minorBidi" w:hAnsiTheme="minorBidi"/>
          <w:rtl/>
        </w:rPr>
        <w:t>. (וכ"פ בב"י</w:t>
      </w:r>
      <w:r w:rsidRPr="003024E5">
        <w:rPr>
          <w:rStyle w:val="a7"/>
          <w:rFonts w:asciiTheme="minorBidi" w:hAnsiTheme="minorBidi"/>
          <w:rtl/>
        </w:rPr>
        <w:footnoteReference w:id="114"/>
      </w:r>
      <w:r w:rsidRPr="003024E5">
        <w:rPr>
          <w:rFonts w:asciiTheme="minorBidi" w:hAnsiTheme="minorBidi"/>
          <w:rtl/>
        </w:rPr>
        <w:t>)</w:t>
      </w:r>
      <w:r w:rsidRPr="003024E5">
        <w:rPr>
          <w:rFonts w:asciiTheme="minorBidi" w:hAnsiTheme="minorBidi"/>
          <w:color w:val="00B0F0"/>
          <w:rtl/>
        </w:rPr>
        <w:t xml:space="preserve"> (וכ"פ הרמ"א)</w:t>
      </w:r>
    </w:p>
    <w:p w14:paraId="30E67EA7" w14:textId="77777777" w:rsidR="002C39F4" w:rsidRPr="003024E5" w:rsidRDefault="002C39F4" w:rsidP="002C39F4">
      <w:pPr>
        <w:pStyle w:val="a8"/>
        <w:numPr>
          <w:ilvl w:val="0"/>
          <w:numId w:val="13"/>
        </w:numPr>
        <w:rPr>
          <w:rFonts w:asciiTheme="minorBidi" w:hAnsiTheme="minorBidi"/>
        </w:rPr>
      </w:pPr>
      <w:r w:rsidRPr="003024E5">
        <w:rPr>
          <w:rFonts w:asciiTheme="minorBidi" w:hAnsiTheme="minorBidi"/>
          <w:rtl/>
        </w:rPr>
        <w:t>ריב"א והש"ר מקוצי</w:t>
      </w:r>
      <w:r w:rsidRPr="003024E5">
        <w:rPr>
          <w:rStyle w:val="a7"/>
          <w:rFonts w:asciiTheme="minorBidi" w:hAnsiTheme="minorBidi"/>
          <w:rtl/>
        </w:rPr>
        <w:footnoteReference w:id="115"/>
      </w:r>
      <w:r w:rsidRPr="003024E5">
        <w:rPr>
          <w:rFonts w:asciiTheme="minorBidi" w:hAnsiTheme="minorBidi"/>
          <w:rtl/>
        </w:rPr>
        <w:t>- אסור בכל ענין דמלח לטעמיה עביד ואפילו באלף לא בטיל</w:t>
      </w:r>
      <w:r w:rsidRPr="003024E5">
        <w:rPr>
          <w:rStyle w:val="a7"/>
          <w:rFonts w:asciiTheme="minorBidi" w:hAnsiTheme="minorBidi"/>
          <w:rtl/>
        </w:rPr>
        <w:footnoteReference w:id="116"/>
      </w:r>
      <w:r w:rsidRPr="003024E5">
        <w:rPr>
          <w:rFonts w:asciiTheme="minorBidi" w:hAnsiTheme="minorBidi"/>
          <w:rtl/>
        </w:rPr>
        <w:t xml:space="preserve">. </w:t>
      </w:r>
    </w:p>
    <w:p w14:paraId="15959893"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מה הדין אם אין בבשר/בקדרה ששים נגד המלח אך הכלי שאליו הוכנס הבשר הוא כלי שני:</w:t>
      </w:r>
    </w:p>
    <w:p w14:paraId="270AF2F4" w14:textId="77777777" w:rsidR="002C39F4" w:rsidRPr="003024E5" w:rsidRDefault="002C39F4" w:rsidP="002C39F4">
      <w:pPr>
        <w:pStyle w:val="a8"/>
        <w:numPr>
          <w:ilvl w:val="0"/>
          <w:numId w:val="13"/>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w:t>
      </w:r>
      <w:r>
        <w:rPr>
          <w:rFonts w:asciiTheme="minorBidi" w:hAnsiTheme="minorBidi" w:hint="cs"/>
          <w:sz w:val="16"/>
          <w:szCs w:val="16"/>
          <w:rtl/>
        </w:rPr>
        <w:t xml:space="preserve">ח"א </w:t>
      </w:r>
      <w:r w:rsidRPr="003024E5">
        <w:rPr>
          <w:rFonts w:asciiTheme="minorBidi" w:hAnsiTheme="minorBidi"/>
          <w:sz w:val="16"/>
          <w:szCs w:val="16"/>
          <w:rtl/>
        </w:rPr>
        <w:t>סי</w:t>
      </w:r>
      <w:r>
        <w:rPr>
          <w:rFonts w:asciiTheme="minorBidi" w:hAnsiTheme="minorBidi" w:hint="cs"/>
          <w:sz w:val="16"/>
          <w:szCs w:val="16"/>
          <w:rtl/>
        </w:rPr>
        <w:t>'</w:t>
      </w:r>
      <w:r w:rsidRPr="003024E5">
        <w:rPr>
          <w:rFonts w:asciiTheme="minorBidi" w:hAnsiTheme="minorBidi"/>
          <w:sz w:val="16"/>
          <w:szCs w:val="16"/>
          <w:rtl/>
        </w:rPr>
        <w:t xml:space="preserve"> תתמד</w:t>
      </w:r>
      <w:r>
        <w:rPr>
          <w:rFonts w:asciiTheme="minorBidi" w:hAnsiTheme="minorBidi" w:hint="cs"/>
          <w:sz w:val="16"/>
          <w:szCs w:val="16"/>
          <w:rtl/>
        </w:rPr>
        <w:t xml:space="preserve">, והמרדכי כתב לשון זו </w:t>
      </w:r>
      <w:r w:rsidRPr="00A25D4A">
        <w:rPr>
          <w:rFonts w:asciiTheme="minorBidi" w:hAnsiTheme="minorBidi" w:hint="cs"/>
          <w:sz w:val="14"/>
          <w:szCs w:val="14"/>
          <w:rtl/>
        </w:rPr>
        <w:t xml:space="preserve">[חולין </w:t>
      </w:r>
      <w:r w:rsidRPr="00A25D4A">
        <w:rPr>
          <w:rFonts w:asciiTheme="minorBidi" w:hAnsiTheme="minorBidi"/>
          <w:sz w:val="14"/>
          <w:szCs w:val="14"/>
          <w:rtl/>
        </w:rPr>
        <w:t>סי' תשכו</w:t>
      </w:r>
      <w:r w:rsidRPr="00A25D4A">
        <w:rPr>
          <w:rFonts w:asciiTheme="minorBidi" w:hAnsiTheme="minorBidi" w:hint="cs"/>
          <w:sz w:val="14"/>
          <w:szCs w:val="14"/>
          <w:rtl/>
        </w:rPr>
        <w:t xml:space="preserve">] </w:t>
      </w:r>
      <w:r>
        <w:rPr>
          <w:rFonts w:asciiTheme="minorBidi" w:hAnsiTheme="minorBidi" w:hint="cs"/>
          <w:sz w:val="16"/>
          <w:szCs w:val="16"/>
          <w:rtl/>
        </w:rPr>
        <w:t>וכ' שכן מצא בשם ר"ם</w:t>
      </w:r>
      <w:r w:rsidRPr="003024E5">
        <w:rPr>
          <w:rFonts w:asciiTheme="minorBidi" w:hAnsiTheme="minorBidi"/>
          <w:sz w:val="16"/>
          <w:szCs w:val="16"/>
          <w:rtl/>
        </w:rPr>
        <w:t>)</w:t>
      </w:r>
      <w:r w:rsidRPr="003024E5">
        <w:rPr>
          <w:rFonts w:asciiTheme="minorBidi" w:hAnsiTheme="minorBidi"/>
          <w:rtl/>
        </w:rPr>
        <w:t xml:space="preserve">- </w:t>
      </w:r>
      <w:r w:rsidRPr="00A25D4A">
        <w:rPr>
          <w:rFonts w:asciiTheme="minorBidi" w:hAnsiTheme="minorBidi" w:cs="Arial"/>
          <w:rtl/>
        </w:rPr>
        <w:t>בשר שנמלח ושהה כדי מליחה ונתנוהו קוד</w:t>
      </w:r>
      <w:r>
        <w:rPr>
          <w:rFonts w:asciiTheme="minorBidi" w:hAnsiTheme="minorBidi" w:cs="Arial" w:hint="cs"/>
          <w:rtl/>
        </w:rPr>
        <w:t>ם</w:t>
      </w:r>
      <w:r w:rsidRPr="00A25D4A">
        <w:rPr>
          <w:rFonts w:asciiTheme="minorBidi" w:hAnsiTheme="minorBidi" w:cs="Arial"/>
          <w:rtl/>
        </w:rPr>
        <w:t xml:space="preserve"> הדחה ברותחין בכלי שני</w:t>
      </w:r>
      <w:r w:rsidRPr="003024E5">
        <w:rPr>
          <w:rFonts w:asciiTheme="minorBidi" w:hAnsiTheme="minorBidi"/>
          <w:rtl/>
        </w:rPr>
        <w:t xml:space="preserve"> לא ידענא מה אדון ביה</w:t>
      </w:r>
      <w:r>
        <w:rPr>
          <w:rFonts w:asciiTheme="minorBidi" w:hAnsiTheme="minorBidi" w:hint="cs"/>
          <w:rtl/>
        </w:rPr>
        <w:t>,</w:t>
      </w:r>
      <w:r w:rsidRPr="003024E5">
        <w:rPr>
          <w:rFonts w:asciiTheme="minorBidi" w:hAnsiTheme="minorBidi"/>
          <w:rtl/>
        </w:rPr>
        <w:t xml:space="preserve"> ואל תשיבני ממה שמולגין תרנגולת בכלי שני דהתם לא נמלחה ואם פלטה דם וחזרה ובלעה מאחר שלא נתבשלה חוזר ויוצא הדם ע"י מליחה או צליה</w:t>
      </w:r>
      <w:r>
        <w:rPr>
          <w:rFonts w:asciiTheme="minorBidi" w:hAnsiTheme="minorBidi" w:hint="cs"/>
          <w:rtl/>
        </w:rPr>
        <w:t>,</w:t>
      </w:r>
      <w:r w:rsidRPr="003024E5">
        <w:rPr>
          <w:rFonts w:asciiTheme="minorBidi" w:hAnsiTheme="minorBidi"/>
          <w:rtl/>
        </w:rPr>
        <w:t xml:space="preserve"> אבל בשר זה שכבר נמלח ושהה כדי מליחה שוב אין מליחה וצליה מועילין להפליטה</w:t>
      </w:r>
      <w:r>
        <w:rPr>
          <w:rFonts w:asciiTheme="minorBidi" w:hAnsiTheme="minorBidi" w:hint="cs"/>
          <w:sz w:val="16"/>
          <w:szCs w:val="16"/>
          <w:rtl/>
        </w:rPr>
        <w:t xml:space="preserve"> (ל' הרשב"א)</w:t>
      </w:r>
      <w:r>
        <w:rPr>
          <w:rFonts w:asciiTheme="minorBidi" w:hAnsiTheme="minorBidi" w:hint="cs"/>
          <w:rtl/>
        </w:rPr>
        <w:t>.</w:t>
      </w:r>
    </w:p>
    <w:p w14:paraId="6A175347" w14:textId="77777777" w:rsidR="002C39F4" w:rsidRPr="003024E5" w:rsidRDefault="002C39F4" w:rsidP="002C39F4">
      <w:pPr>
        <w:pStyle w:val="a8"/>
        <w:numPr>
          <w:ilvl w:val="0"/>
          <w:numId w:val="13"/>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יא ד</w:t>
      </w:r>
      <w:r>
        <w:rPr>
          <w:rFonts w:asciiTheme="minorBidi" w:hAnsiTheme="minorBidi" w:hint="cs"/>
          <w:sz w:val="16"/>
          <w:szCs w:val="16"/>
          <w:rtl/>
        </w:rPr>
        <w:t>"</w:t>
      </w:r>
      <w:r w:rsidRPr="003024E5">
        <w:rPr>
          <w:rFonts w:asciiTheme="minorBidi" w:hAnsiTheme="minorBidi"/>
          <w:sz w:val="16"/>
          <w:szCs w:val="16"/>
          <w:rtl/>
        </w:rPr>
        <w:t>א, הביאו הדרכ"מ אות יד)</w:t>
      </w:r>
      <w:r w:rsidRPr="003024E5">
        <w:rPr>
          <w:rFonts w:asciiTheme="minorBidi" w:hAnsiTheme="minorBidi"/>
          <w:rtl/>
        </w:rPr>
        <w:t>- אע"ג דבעלמא נוהגין דכלי שני אינו מבשל, והכי קיי"ל, שמא הכא מבשל משום רתיחת המלח שעליו</w:t>
      </w:r>
      <w:r>
        <w:rPr>
          <w:rFonts w:asciiTheme="minorBidi" w:hAnsiTheme="minorBidi" w:hint="cs"/>
          <w:rtl/>
        </w:rPr>
        <w:t>,</w:t>
      </w:r>
      <w:r w:rsidRPr="003024E5">
        <w:rPr>
          <w:rFonts w:asciiTheme="minorBidi" w:hAnsiTheme="minorBidi"/>
          <w:rtl/>
        </w:rPr>
        <w:t xml:space="preserve"> ונוהגין לאסרו.</w:t>
      </w:r>
      <w:r>
        <w:rPr>
          <w:rFonts w:asciiTheme="minorBidi" w:hAnsiTheme="minorBidi" w:hint="cs"/>
          <w:rtl/>
        </w:rPr>
        <w:t xml:space="preserve"> </w:t>
      </w:r>
      <w:r w:rsidRPr="00B228F8">
        <w:rPr>
          <w:rFonts w:asciiTheme="minorBidi" w:hAnsiTheme="minorBidi" w:hint="cs"/>
          <w:color w:val="00B0F0"/>
          <w:rtl/>
        </w:rPr>
        <w:t>(וכ"פ הרמ"א)</w:t>
      </w:r>
    </w:p>
    <w:p w14:paraId="1BE2C66D" w14:textId="77777777" w:rsidR="002C39F4" w:rsidRPr="003024E5" w:rsidRDefault="002C39F4" w:rsidP="002C39F4">
      <w:pPr>
        <w:rPr>
          <w:rFonts w:asciiTheme="minorBidi" w:hAnsiTheme="minorBidi"/>
          <w:u w:val="single"/>
        </w:rPr>
      </w:pPr>
      <w:r w:rsidRPr="003024E5">
        <w:rPr>
          <w:rFonts w:asciiTheme="minorBidi" w:hAnsiTheme="minorBidi"/>
          <w:u w:val="single"/>
          <w:rtl/>
        </w:rPr>
        <w:t>שריית בשר יבש מליח במים:</w:t>
      </w:r>
    </w:p>
    <w:p w14:paraId="65E31232" w14:textId="77777777" w:rsidR="002C39F4" w:rsidRPr="003024E5" w:rsidRDefault="002C39F4" w:rsidP="002C39F4">
      <w:pPr>
        <w:pStyle w:val="a8"/>
        <w:numPr>
          <w:ilvl w:val="0"/>
          <w:numId w:val="13"/>
        </w:numPr>
        <w:rPr>
          <w:rFonts w:asciiTheme="minorBidi" w:hAnsiTheme="minorBidi"/>
        </w:rPr>
      </w:pPr>
      <w:r w:rsidRPr="003024E5">
        <w:rPr>
          <w:rFonts w:asciiTheme="minorBidi" w:hAnsiTheme="minorBidi"/>
          <w:rtl/>
        </w:rPr>
        <w:t xml:space="preserve">מרדכי </w:t>
      </w:r>
      <w:r w:rsidRPr="003024E5">
        <w:rPr>
          <w:rFonts w:asciiTheme="minorBidi" w:hAnsiTheme="minorBidi"/>
          <w:sz w:val="16"/>
          <w:szCs w:val="16"/>
          <w:rtl/>
        </w:rPr>
        <w:t>(סי' תשלד)</w:t>
      </w:r>
      <w:r w:rsidRPr="003024E5">
        <w:rPr>
          <w:rFonts w:asciiTheme="minorBidi" w:hAnsiTheme="minorBidi"/>
          <w:rtl/>
        </w:rPr>
        <w:t>- אסור לשרות בשר יבש מליח במים כדי למתק הבשר עד שידיחנו במים תחלה</w:t>
      </w:r>
      <w:r w:rsidRPr="003024E5">
        <w:rPr>
          <w:rStyle w:val="a7"/>
          <w:rFonts w:asciiTheme="minorBidi" w:hAnsiTheme="minorBidi"/>
          <w:rtl/>
        </w:rPr>
        <w:footnoteReference w:id="117"/>
      </w:r>
      <w:r w:rsidRPr="003024E5">
        <w:rPr>
          <w:rFonts w:asciiTheme="minorBidi" w:hAnsiTheme="minorBidi"/>
          <w:rtl/>
        </w:rPr>
        <w:t>, אמנם אם לא הדיחו ושראו במים בדיעבד מותר</w:t>
      </w:r>
      <w:r>
        <w:rPr>
          <w:rFonts w:asciiTheme="minorBidi" w:hAnsiTheme="minorBidi" w:hint="cs"/>
          <w:rtl/>
        </w:rPr>
        <w:t>,</w:t>
      </w:r>
      <w:r w:rsidRPr="003024E5">
        <w:rPr>
          <w:rFonts w:asciiTheme="minorBidi" w:hAnsiTheme="minorBidi"/>
          <w:rtl/>
        </w:rPr>
        <w:t xml:space="preserve"> שאין האיסור רק מחמת מלח שעליו הבלוע מדם והרי ששים כנגד הדם שבבשר</w:t>
      </w:r>
      <w:r w:rsidRPr="003024E5">
        <w:rPr>
          <w:rStyle w:val="a7"/>
          <w:rFonts w:asciiTheme="minorBidi" w:hAnsiTheme="minorBidi"/>
          <w:rtl/>
        </w:rPr>
        <w:footnoteReference w:id="118"/>
      </w:r>
      <w:r w:rsidRPr="003024E5">
        <w:rPr>
          <w:rFonts w:asciiTheme="minorBidi" w:hAnsiTheme="minorBidi"/>
          <w:rtl/>
        </w:rPr>
        <w:t>.</w:t>
      </w:r>
      <w:r>
        <w:rPr>
          <w:rFonts w:asciiTheme="minorBidi" w:hAnsiTheme="minorBidi" w:hint="cs"/>
          <w:rtl/>
        </w:rPr>
        <w:t xml:space="preserve"> </w:t>
      </w:r>
    </w:p>
    <w:p w14:paraId="533DF6C2" w14:textId="77777777" w:rsidR="002C39F4" w:rsidRPr="003024E5" w:rsidRDefault="002C39F4" w:rsidP="002C39F4">
      <w:pPr>
        <w:rPr>
          <w:rFonts w:asciiTheme="minorBidi" w:hAnsiTheme="minorBidi"/>
          <w:u w:val="single"/>
        </w:rPr>
      </w:pPr>
      <w:r w:rsidRPr="003024E5">
        <w:rPr>
          <w:rFonts w:asciiTheme="minorBidi" w:hAnsiTheme="minorBidi"/>
          <w:u w:val="single"/>
          <w:rtl/>
        </w:rPr>
        <w:t>בשר שנמלח ולא הודח ונמלח שנית:</w:t>
      </w:r>
    </w:p>
    <w:p w14:paraId="0B304E37" w14:textId="77777777" w:rsidR="002C39F4" w:rsidRPr="003024E5" w:rsidRDefault="002C39F4" w:rsidP="002C39F4">
      <w:pPr>
        <w:pStyle w:val="a8"/>
        <w:numPr>
          <w:ilvl w:val="0"/>
          <w:numId w:val="13"/>
        </w:numPr>
        <w:rPr>
          <w:rFonts w:asciiTheme="minorBidi" w:hAnsiTheme="minorBidi"/>
        </w:rPr>
      </w:pPr>
      <w:r w:rsidRPr="003024E5">
        <w:rPr>
          <w:rFonts w:asciiTheme="minorBidi" w:hAnsiTheme="minorBidi"/>
          <w:rtl/>
        </w:rPr>
        <w:t>תרוה"ד</w:t>
      </w:r>
      <w:r w:rsidRPr="003024E5">
        <w:rPr>
          <w:rFonts w:asciiTheme="minorBidi" w:hAnsiTheme="minorBidi"/>
          <w:sz w:val="16"/>
          <w:szCs w:val="16"/>
          <w:rtl/>
        </w:rPr>
        <w:t xml:space="preserve"> (ח"ב סי' סו)</w:t>
      </w:r>
      <w:r w:rsidRPr="003024E5">
        <w:rPr>
          <w:rFonts w:asciiTheme="minorBidi" w:hAnsiTheme="minorBidi"/>
          <w:rtl/>
        </w:rPr>
        <w:t xml:space="preserve">- בשר שנמלח ולא הודח ונמלח שנית לא ידענא למאי ניחוש לה, אי ניחוש שהמלח השני יבליע בחתיכה לחלוחית דם שעליה האשירי כתב </w:t>
      </w:r>
      <w:r w:rsidRPr="003024E5">
        <w:rPr>
          <w:rFonts w:asciiTheme="minorBidi" w:hAnsiTheme="minorBidi"/>
          <w:sz w:val="16"/>
          <w:szCs w:val="16"/>
          <w:rtl/>
        </w:rPr>
        <w:t xml:space="preserve">(סי' לז) </w:t>
      </w:r>
      <w:r w:rsidRPr="003024E5">
        <w:rPr>
          <w:rFonts w:asciiTheme="minorBidi" w:hAnsiTheme="minorBidi"/>
          <w:rtl/>
        </w:rPr>
        <w:t>דאין דרך המלח להבליע הדם.</w:t>
      </w:r>
    </w:p>
    <w:p w14:paraId="5735505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35935C9" w14:textId="77777777" w:rsidR="002C39F4" w:rsidRPr="003024E5" w:rsidRDefault="002C39F4" w:rsidP="002C39F4">
      <w:pPr>
        <w:rPr>
          <w:rFonts w:asciiTheme="minorBidi" w:hAnsiTheme="minorBidi"/>
          <w:rtl/>
        </w:rPr>
      </w:pPr>
      <w:r w:rsidRPr="003024E5">
        <w:rPr>
          <w:rFonts w:asciiTheme="minorBidi" w:hAnsiTheme="minorBidi"/>
          <w:rtl/>
        </w:rPr>
        <w:lastRenderedPageBreak/>
        <w:t>בשר שנמלח ונתבשל</w:t>
      </w:r>
      <w:r w:rsidRPr="003024E5">
        <w:rPr>
          <w:rStyle w:val="a7"/>
          <w:rFonts w:asciiTheme="minorBidi" w:hAnsiTheme="minorBidi"/>
          <w:rtl/>
        </w:rPr>
        <w:footnoteReference w:id="119"/>
      </w:r>
      <w:r w:rsidRPr="003024E5">
        <w:rPr>
          <w:rFonts w:asciiTheme="minorBidi" w:hAnsiTheme="minorBidi"/>
          <w:rtl/>
        </w:rPr>
        <w:t xml:space="preserve"> בלא הדחה אחרונה צריך שיהא בו ששים כדי המלח</w:t>
      </w:r>
      <w:r w:rsidRPr="003024E5">
        <w:rPr>
          <w:rStyle w:val="a7"/>
          <w:rFonts w:asciiTheme="minorBidi" w:hAnsiTheme="minorBidi"/>
          <w:rtl/>
        </w:rPr>
        <w:footnoteReference w:id="120"/>
      </w:r>
      <w:r w:rsidRPr="003024E5">
        <w:rPr>
          <w:rFonts w:asciiTheme="minorBidi" w:hAnsiTheme="minorBidi"/>
          <w:rtl/>
        </w:rPr>
        <w:t xml:space="preserve"> שבו</w:t>
      </w:r>
      <w:r w:rsidRPr="003024E5">
        <w:rPr>
          <w:rStyle w:val="a7"/>
          <w:rFonts w:asciiTheme="minorBidi" w:hAnsiTheme="minorBidi"/>
          <w:rtl/>
        </w:rPr>
        <w:footnoteReference w:id="121"/>
      </w:r>
      <w:r w:rsidRPr="003024E5">
        <w:rPr>
          <w:rFonts w:asciiTheme="minorBidi" w:hAnsiTheme="minorBidi"/>
          <w:rtl/>
        </w:rPr>
        <w:t xml:space="preserve">. </w:t>
      </w:r>
      <w:r w:rsidRPr="003024E5">
        <w:rPr>
          <w:rFonts w:asciiTheme="minorBidi" w:hAnsiTheme="minorBidi"/>
          <w:sz w:val="18"/>
          <w:szCs w:val="18"/>
          <w:rtl/>
        </w:rPr>
        <w:t>הגה: וכל הקדירה מצטרף לששים</w:t>
      </w:r>
      <w:r w:rsidRPr="003024E5">
        <w:rPr>
          <w:rStyle w:val="a7"/>
          <w:rFonts w:asciiTheme="minorBidi" w:hAnsiTheme="minorBidi"/>
          <w:sz w:val="18"/>
          <w:szCs w:val="18"/>
          <w:rtl/>
        </w:rPr>
        <w:footnoteReference w:id="122"/>
      </w:r>
      <w:r w:rsidRPr="003024E5">
        <w:rPr>
          <w:rFonts w:asciiTheme="minorBidi" w:hAnsiTheme="minorBidi"/>
          <w:sz w:val="18"/>
          <w:szCs w:val="18"/>
          <w:rtl/>
        </w:rPr>
        <w:t xml:space="preserve"> </w:t>
      </w:r>
      <w:r w:rsidRPr="003024E5">
        <w:rPr>
          <w:rFonts w:asciiTheme="minorBidi" w:hAnsiTheme="minorBidi"/>
          <w:sz w:val="16"/>
          <w:szCs w:val="16"/>
          <w:rtl/>
        </w:rPr>
        <w:t>(שע"ד וע"פ)</w:t>
      </w:r>
      <w:r w:rsidRPr="003024E5">
        <w:rPr>
          <w:rFonts w:asciiTheme="minorBidi" w:hAnsiTheme="minorBidi"/>
          <w:sz w:val="18"/>
          <w:szCs w:val="18"/>
          <w:rtl/>
        </w:rPr>
        <w:t>. ואם יש בקדירה כ"כ כמו החתיכה שנמלח ולא הודח הכל שרי דודאי איכא ששים נגד המלח שעל החתיכה דהחתיכה עצמה בודאי היא שלשים נגד המלח שעליו</w:t>
      </w:r>
      <w:r w:rsidRPr="003024E5">
        <w:rPr>
          <w:rStyle w:val="a7"/>
          <w:rFonts w:asciiTheme="minorBidi" w:hAnsiTheme="minorBidi"/>
          <w:sz w:val="18"/>
          <w:szCs w:val="18"/>
          <w:rtl/>
        </w:rPr>
        <w:footnoteReference w:id="123"/>
      </w:r>
      <w:r w:rsidRPr="003024E5">
        <w:rPr>
          <w:rFonts w:asciiTheme="minorBidi" w:hAnsiTheme="minorBidi"/>
          <w:sz w:val="18"/>
          <w:szCs w:val="18"/>
          <w:rtl/>
        </w:rPr>
        <w:t xml:space="preserve"> </w:t>
      </w:r>
      <w:r w:rsidRPr="003024E5">
        <w:rPr>
          <w:rFonts w:asciiTheme="minorBidi" w:hAnsiTheme="minorBidi"/>
          <w:sz w:val="16"/>
          <w:szCs w:val="16"/>
          <w:rtl/>
        </w:rPr>
        <w:t>(בארוך)</w:t>
      </w:r>
      <w:r w:rsidRPr="003024E5">
        <w:rPr>
          <w:rFonts w:asciiTheme="minorBidi" w:hAnsiTheme="minorBidi"/>
          <w:sz w:val="18"/>
          <w:szCs w:val="18"/>
          <w:rtl/>
        </w:rPr>
        <w:t>. ואי ליכא ס' בקדירה נגד המלח אפילו לא הושם רק בכלי שני</w:t>
      </w:r>
      <w:r w:rsidRPr="003024E5">
        <w:rPr>
          <w:rStyle w:val="a7"/>
          <w:rFonts w:asciiTheme="minorBidi" w:hAnsiTheme="minorBidi"/>
          <w:sz w:val="18"/>
          <w:szCs w:val="18"/>
          <w:rtl/>
        </w:rPr>
        <w:footnoteReference w:id="124"/>
      </w:r>
      <w:r w:rsidRPr="003024E5">
        <w:rPr>
          <w:rFonts w:asciiTheme="minorBidi" w:hAnsiTheme="minorBidi"/>
          <w:sz w:val="18"/>
          <w:szCs w:val="18"/>
          <w:rtl/>
        </w:rPr>
        <w:t xml:space="preserve"> הכל אסור, דמאחר שיש שם מלח וציר</w:t>
      </w:r>
      <w:r w:rsidRPr="003024E5">
        <w:rPr>
          <w:rStyle w:val="a7"/>
          <w:rFonts w:asciiTheme="minorBidi" w:hAnsiTheme="minorBidi"/>
          <w:sz w:val="18"/>
          <w:szCs w:val="18"/>
          <w:rtl/>
        </w:rPr>
        <w:footnoteReference w:id="125"/>
      </w:r>
      <w:r w:rsidRPr="003024E5">
        <w:rPr>
          <w:rFonts w:asciiTheme="minorBidi" w:hAnsiTheme="minorBidi"/>
          <w:sz w:val="18"/>
          <w:szCs w:val="18"/>
          <w:rtl/>
        </w:rPr>
        <w:t xml:space="preserve"> אפילו בכלי שני מבשל</w:t>
      </w:r>
      <w:r w:rsidRPr="003024E5">
        <w:rPr>
          <w:rStyle w:val="a7"/>
          <w:rFonts w:asciiTheme="minorBidi" w:hAnsiTheme="minorBidi"/>
          <w:sz w:val="18"/>
          <w:szCs w:val="18"/>
          <w:rtl/>
        </w:rPr>
        <w:footnoteReference w:id="126"/>
      </w:r>
      <w:r w:rsidRPr="003024E5">
        <w:rPr>
          <w:rFonts w:asciiTheme="minorBidi" w:hAnsiTheme="minorBidi"/>
          <w:sz w:val="18"/>
          <w:szCs w:val="18"/>
          <w:rtl/>
        </w:rPr>
        <w:t xml:space="preserve"> </w:t>
      </w:r>
      <w:r w:rsidRPr="003024E5">
        <w:rPr>
          <w:rFonts w:asciiTheme="minorBidi" w:hAnsiTheme="minorBidi"/>
          <w:sz w:val="16"/>
          <w:szCs w:val="16"/>
          <w:rtl/>
        </w:rPr>
        <w:t>(שם דין א')</w:t>
      </w:r>
      <w:r w:rsidRPr="003024E5">
        <w:rPr>
          <w:rFonts w:asciiTheme="minorBidi" w:hAnsiTheme="minorBidi"/>
          <w:sz w:val="18"/>
          <w:szCs w:val="18"/>
          <w:rtl/>
        </w:rPr>
        <w:t>. בשר יבש</w:t>
      </w:r>
      <w:r w:rsidRPr="003024E5">
        <w:rPr>
          <w:rStyle w:val="a7"/>
          <w:rFonts w:asciiTheme="minorBidi" w:hAnsiTheme="minorBidi"/>
          <w:sz w:val="18"/>
          <w:szCs w:val="18"/>
          <w:rtl/>
        </w:rPr>
        <w:footnoteReference w:id="127"/>
      </w:r>
      <w:r w:rsidRPr="003024E5">
        <w:rPr>
          <w:rFonts w:asciiTheme="minorBidi" w:hAnsiTheme="minorBidi"/>
          <w:sz w:val="18"/>
          <w:szCs w:val="18"/>
          <w:rtl/>
        </w:rPr>
        <w:t xml:space="preserve"> יש להתיר אפילו בכלי ראשון, דודאי יש ס' נגד המלח שעליו מאחר שכבר נתייבש </w:t>
      </w:r>
      <w:r w:rsidRPr="003024E5">
        <w:rPr>
          <w:rFonts w:asciiTheme="minorBidi" w:hAnsiTheme="minorBidi"/>
          <w:sz w:val="16"/>
          <w:szCs w:val="16"/>
          <w:rtl/>
        </w:rPr>
        <w:t xml:space="preserve">(מרדכי ראב"ן וב"י בשם </w:t>
      </w:r>
      <w:r>
        <w:rPr>
          <w:rFonts w:asciiTheme="minorBidi" w:hAnsiTheme="minorBidi"/>
          <w:sz w:val="16"/>
          <w:szCs w:val="16"/>
          <w:rtl/>
        </w:rPr>
        <w:t>הג"א</w:t>
      </w:r>
      <w:r w:rsidRPr="003024E5">
        <w:rPr>
          <w:rFonts w:asciiTheme="minorBidi" w:hAnsiTheme="minorBidi"/>
          <w:sz w:val="16"/>
          <w:szCs w:val="16"/>
          <w:rtl/>
        </w:rPr>
        <w:t xml:space="preserve"> ושע"ד)</w:t>
      </w:r>
      <w:r w:rsidRPr="003024E5">
        <w:rPr>
          <w:rFonts w:asciiTheme="minorBidi" w:hAnsiTheme="minorBidi"/>
          <w:sz w:val="18"/>
          <w:szCs w:val="18"/>
          <w:rtl/>
        </w:rPr>
        <w:t xml:space="preserve">, אבל לכתחלה יזהר אפילו בבשר יבש שלא לבשלו או להדיחו במים שהיד סולדת בהם בלא הדחה אחרונה </w:t>
      </w:r>
      <w:r w:rsidRPr="003024E5">
        <w:rPr>
          <w:rFonts w:asciiTheme="minorBidi" w:hAnsiTheme="minorBidi"/>
          <w:sz w:val="16"/>
          <w:szCs w:val="16"/>
          <w:rtl/>
        </w:rPr>
        <w:t>(ש</w:t>
      </w:r>
      <w:r>
        <w:rPr>
          <w:rFonts w:asciiTheme="minorBidi" w:hAnsiTheme="minorBidi" w:hint="cs"/>
          <w:sz w:val="16"/>
          <w:szCs w:val="16"/>
          <w:rtl/>
        </w:rPr>
        <w:t>ע</w:t>
      </w:r>
      <w:r w:rsidRPr="003024E5">
        <w:rPr>
          <w:rFonts w:asciiTheme="minorBidi" w:hAnsiTheme="minorBidi"/>
          <w:sz w:val="16"/>
          <w:szCs w:val="16"/>
          <w:rtl/>
        </w:rPr>
        <w:t>"ד שם)</w:t>
      </w:r>
      <w:r>
        <w:rPr>
          <w:rFonts w:asciiTheme="minorBidi" w:hAnsiTheme="minorBidi" w:hint="cs"/>
          <w:sz w:val="18"/>
          <w:szCs w:val="18"/>
          <w:rtl/>
        </w:rPr>
        <w:t xml:space="preserve">. </w:t>
      </w:r>
      <w:r w:rsidRPr="003024E5">
        <w:rPr>
          <w:rFonts w:asciiTheme="minorBidi" w:hAnsiTheme="minorBidi"/>
          <w:sz w:val="18"/>
          <w:szCs w:val="18"/>
          <w:rtl/>
        </w:rPr>
        <w:t xml:space="preserve">וכל זה מיירי שלא הודח באחרונה כלל אבל אם הודח רק פעם אחת ונתבשל כך מותר, דבדיעבד סגי ליה בהדחה אחת באחרונה </w:t>
      </w:r>
      <w:r w:rsidRPr="003024E5">
        <w:rPr>
          <w:rFonts w:asciiTheme="minorBidi" w:hAnsiTheme="minorBidi"/>
          <w:sz w:val="16"/>
          <w:szCs w:val="16"/>
          <w:rtl/>
        </w:rPr>
        <w:t>(מהרא"י בהגשע"ד)</w:t>
      </w:r>
      <w:r w:rsidRPr="003024E5">
        <w:rPr>
          <w:rFonts w:asciiTheme="minorBidi" w:hAnsiTheme="minorBidi"/>
          <w:sz w:val="18"/>
          <w:szCs w:val="18"/>
          <w:rtl/>
        </w:rPr>
        <w:t>. מלח שמלחו בו פעם אחת אסור למלוח בו פעם שנית</w:t>
      </w:r>
      <w:r w:rsidRPr="003024E5">
        <w:rPr>
          <w:rStyle w:val="a7"/>
          <w:rFonts w:asciiTheme="minorBidi" w:hAnsiTheme="minorBidi"/>
          <w:sz w:val="18"/>
          <w:szCs w:val="18"/>
          <w:rtl/>
        </w:rPr>
        <w:footnoteReference w:id="128"/>
      </w:r>
      <w:r w:rsidRPr="003024E5">
        <w:rPr>
          <w:rFonts w:asciiTheme="minorBidi" w:hAnsiTheme="minorBidi"/>
          <w:sz w:val="18"/>
          <w:szCs w:val="18"/>
          <w:rtl/>
        </w:rPr>
        <w:t xml:space="preserve"> </w:t>
      </w:r>
      <w:r w:rsidRPr="003024E5">
        <w:rPr>
          <w:rFonts w:asciiTheme="minorBidi" w:hAnsiTheme="minorBidi"/>
          <w:sz w:val="16"/>
          <w:szCs w:val="16"/>
          <w:rtl/>
        </w:rPr>
        <w:t>(כל בו וד"ע וד' רוב הפוס')</w:t>
      </w:r>
      <w:r w:rsidRPr="003024E5">
        <w:rPr>
          <w:rFonts w:asciiTheme="minorBidi" w:hAnsiTheme="minorBidi"/>
          <w:sz w:val="18"/>
          <w:szCs w:val="18"/>
          <w:rtl/>
        </w:rPr>
        <w:t>, וכל שכן שאסור לאכול המלח אחר שמלחו בו</w:t>
      </w:r>
      <w:r w:rsidRPr="003024E5">
        <w:rPr>
          <w:rStyle w:val="a7"/>
          <w:rFonts w:asciiTheme="minorBidi" w:hAnsiTheme="minorBidi"/>
          <w:sz w:val="18"/>
          <w:szCs w:val="18"/>
          <w:rtl/>
        </w:rPr>
        <w:footnoteReference w:id="129"/>
      </w:r>
      <w:r w:rsidRPr="003024E5">
        <w:rPr>
          <w:rFonts w:asciiTheme="minorBidi" w:hAnsiTheme="minorBidi"/>
          <w:sz w:val="18"/>
          <w:szCs w:val="18"/>
          <w:rtl/>
        </w:rPr>
        <w:t>.</w:t>
      </w:r>
      <w:r w:rsidRPr="003024E5">
        <w:rPr>
          <w:rFonts w:asciiTheme="minorBidi" w:hAnsiTheme="minorBidi"/>
          <w:rtl/>
        </w:rPr>
        <w:t xml:space="preserve"> </w:t>
      </w:r>
    </w:p>
    <w:p w14:paraId="007141BB" w14:textId="77777777" w:rsidR="002C39F4" w:rsidRPr="003024E5" w:rsidRDefault="002C39F4" w:rsidP="002C39F4">
      <w:pPr>
        <w:rPr>
          <w:rFonts w:asciiTheme="minorBidi" w:hAnsiTheme="minorBidi"/>
          <w:u w:val="single"/>
          <w:rtl/>
        </w:rPr>
      </w:pPr>
      <w:r w:rsidRPr="003024E5">
        <w:rPr>
          <w:rFonts w:asciiTheme="minorBidi" w:hAnsiTheme="minorBidi"/>
          <w:u w:val="single"/>
          <w:rtl/>
        </w:rPr>
        <w:t xml:space="preserve">בשר </w:t>
      </w:r>
      <w:r>
        <w:rPr>
          <w:rFonts w:asciiTheme="minorBidi" w:hAnsiTheme="minorBidi" w:hint="cs"/>
          <w:u w:val="single"/>
          <w:rtl/>
        </w:rPr>
        <w:t xml:space="preserve">שור </w:t>
      </w:r>
      <w:r w:rsidRPr="003024E5">
        <w:rPr>
          <w:rFonts w:asciiTheme="minorBidi" w:hAnsiTheme="minorBidi"/>
          <w:u w:val="single"/>
          <w:rtl/>
        </w:rPr>
        <w:t>שלא נמלח והושם בכלי ראשון:</w:t>
      </w:r>
    </w:p>
    <w:p w14:paraId="13F35104" w14:textId="77777777" w:rsidR="002C39F4" w:rsidRPr="003024E5" w:rsidRDefault="002C39F4" w:rsidP="002C39F4">
      <w:pPr>
        <w:pStyle w:val="a8"/>
        <w:numPr>
          <w:ilvl w:val="0"/>
          <w:numId w:val="13"/>
        </w:numPr>
        <w:rPr>
          <w:rFonts w:asciiTheme="minorBidi" w:hAnsiTheme="minorBidi"/>
          <w:rtl/>
        </w:rPr>
      </w:pPr>
      <w:r w:rsidRPr="003024E5">
        <w:rPr>
          <w:rFonts w:asciiTheme="minorBidi" w:hAnsiTheme="minorBidi"/>
          <w:rtl/>
        </w:rPr>
        <w:t>רי"ו</w:t>
      </w:r>
      <w:r>
        <w:rPr>
          <w:rFonts w:asciiTheme="minorBidi" w:hAnsiTheme="minorBidi" w:cs="Arial" w:hint="cs"/>
          <w:rtl/>
        </w:rPr>
        <w:t xml:space="preserve"> </w:t>
      </w:r>
      <w:r w:rsidRPr="00DB7595">
        <w:rPr>
          <w:rFonts w:asciiTheme="minorBidi" w:hAnsiTheme="minorBidi" w:cs="Arial" w:hint="cs"/>
          <w:sz w:val="16"/>
          <w:szCs w:val="16"/>
          <w:rtl/>
        </w:rPr>
        <w:t>(</w:t>
      </w:r>
      <w:r w:rsidRPr="00DB7595">
        <w:rPr>
          <w:rFonts w:asciiTheme="minorBidi" w:hAnsiTheme="minorBidi" w:cs="Arial"/>
          <w:sz w:val="16"/>
          <w:szCs w:val="16"/>
          <w:rtl/>
        </w:rPr>
        <w:t>נט</w:t>
      </w:r>
      <w:r w:rsidRPr="00DB7595">
        <w:rPr>
          <w:rFonts w:asciiTheme="minorBidi" w:hAnsiTheme="minorBidi" w:cs="Arial" w:hint="cs"/>
          <w:sz w:val="16"/>
          <w:szCs w:val="16"/>
          <w:rtl/>
        </w:rPr>
        <w:t>"</w:t>
      </w:r>
      <w:r w:rsidRPr="00DB7595">
        <w:rPr>
          <w:rFonts w:asciiTheme="minorBidi" w:hAnsiTheme="minorBidi" w:cs="Arial"/>
          <w:sz w:val="16"/>
          <w:szCs w:val="16"/>
          <w:rtl/>
        </w:rPr>
        <w:t>ו ח"ה אות כה קלה</w:t>
      </w:r>
      <w:r w:rsidRPr="00DB7595">
        <w:rPr>
          <w:rFonts w:asciiTheme="minorBidi" w:hAnsiTheme="minorBidi" w:cs="Arial" w:hint="cs"/>
          <w:sz w:val="16"/>
          <w:szCs w:val="16"/>
          <w:rtl/>
        </w:rPr>
        <w:t>:, כ"כ בשמו בת"ח</w:t>
      </w:r>
      <w:r w:rsidRPr="00DB7595">
        <w:rPr>
          <w:rFonts w:asciiTheme="minorBidi" w:hAnsiTheme="minorBidi" w:cs="Arial"/>
          <w:sz w:val="16"/>
          <w:szCs w:val="16"/>
          <w:rtl/>
        </w:rPr>
        <w:t xml:space="preserve"> </w:t>
      </w:r>
      <w:r w:rsidRPr="00DB7595">
        <w:rPr>
          <w:rFonts w:asciiTheme="minorBidi" w:hAnsiTheme="minorBidi" w:cs="Arial" w:hint="cs"/>
          <w:sz w:val="16"/>
          <w:szCs w:val="16"/>
          <w:rtl/>
        </w:rPr>
        <w:t>[</w:t>
      </w:r>
      <w:r w:rsidRPr="00DB7595">
        <w:rPr>
          <w:rFonts w:asciiTheme="minorBidi" w:hAnsiTheme="minorBidi" w:cs="Arial"/>
          <w:sz w:val="16"/>
          <w:szCs w:val="16"/>
          <w:rtl/>
        </w:rPr>
        <w:t xml:space="preserve">כלל ב </w:t>
      </w:r>
      <w:r w:rsidRPr="00DB7595">
        <w:rPr>
          <w:rFonts w:asciiTheme="minorBidi" w:hAnsiTheme="minorBidi" w:cs="Arial" w:hint="cs"/>
          <w:sz w:val="16"/>
          <w:szCs w:val="16"/>
          <w:rtl/>
        </w:rPr>
        <w:t>ד"ד])</w:t>
      </w:r>
      <w:r w:rsidRPr="003024E5">
        <w:rPr>
          <w:rFonts w:asciiTheme="minorBidi" w:hAnsiTheme="minorBidi"/>
          <w:rtl/>
        </w:rPr>
        <w:t>- בשר שלא נמלח חי שנתנוהו בכלי רותח שהוסר מעל האור מותר</w:t>
      </w:r>
      <w:r w:rsidRPr="003024E5">
        <w:rPr>
          <w:rStyle w:val="a7"/>
          <w:rFonts w:asciiTheme="minorBidi" w:hAnsiTheme="minorBidi"/>
          <w:rtl/>
        </w:rPr>
        <w:footnoteReference w:id="130"/>
      </w:r>
      <w:r w:rsidRPr="003024E5">
        <w:rPr>
          <w:rFonts w:asciiTheme="minorBidi" w:hAnsiTheme="minorBidi"/>
          <w:rtl/>
        </w:rPr>
        <w:t>. (וכ"פ הט"ז)</w:t>
      </w:r>
    </w:p>
    <w:p w14:paraId="7877D520" w14:textId="77777777" w:rsidR="002C39F4" w:rsidRPr="003024E5" w:rsidRDefault="002C39F4" w:rsidP="002C39F4">
      <w:pPr>
        <w:pStyle w:val="a8"/>
        <w:numPr>
          <w:ilvl w:val="0"/>
          <w:numId w:val="13"/>
        </w:numPr>
        <w:rPr>
          <w:rFonts w:asciiTheme="minorBidi" w:hAnsiTheme="minorBidi"/>
        </w:rPr>
      </w:pPr>
      <w:r w:rsidRPr="003024E5">
        <w:rPr>
          <w:rFonts w:asciiTheme="minorBidi" w:hAnsiTheme="minorBidi"/>
          <w:rtl/>
        </w:rPr>
        <w:t xml:space="preserve">ת"ח </w:t>
      </w:r>
      <w:r w:rsidRPr="003024E5">
        <w:rPr>
          <w:rFonts w:asciiTheme="minorBidi" w:hAnsiTheme="minorBidi"/>
          <w:sz w:val="16"/>
          <w:szCs w:val="16"/>
          <w:rtl/>
        </w:rPr>
        <w:t>(כלל ב' סי' ד)</w:t>
      </w:r>
      <w:r w:rsidRPr="003024E5">
        <w:rPr>
          <w:rFonts w:asciiTheme="minorBidi" w:hAnsiTheme="minorBidi"/>
          <w:rtl/>
        </w:rPr>
        <w:t>- בכלי ראשון אפי' בלא מליחה אסור</w:t>
      </w:r>
      <w:r w:rsidRPr="003024E5">
        <w:rPr>
          <w:rStyle w:val="a7"/>
          <w:rFonts w:asciiTheme="minorBidi" w:hAnsiTheme="minorBidi"/>
          <w:rtl/>
        </w:rPr>
        <w:footnoteReference w:id="131"/>
      </w:r>
      <w:r w:rsidRPr="003024E5">
        <w:rPr>
          <w:rFonts w:asciiTheme="minorBidi" w:hAnsiTheme="minorBidi"/>
          <w:rtl/>
        </w:rPr>
        <w:t xml:space="preserve">.  </w:t>
      </w:r>
    </w:p>
    <w:p w14:paraId="28382DB1" w14:textId="77777777" w:rsidR="002C39F4" w:rsidRPr="002D41A5" w:rsidRDefault="002C39F4" w:rsidP="002C39F4">
      <w:pPr>
        <w:pStyle w:val="a8"/>
        <w:numPr>
          <w:ilvl w:val="0"/>
          <w:numId w:val="13"/>
        </w:numPr>
        <w:rPr>
          <w:rFonts w:asciiTheme="minorBidi" w:hAnsiTheme="minorBidi"/>
        </w:rPr>
      </w:pPr>
      <w:r w:rsidRPr="003024E5">
        <w:rPr>
          <w:rFonts w:asciiTheme="minorBidi" w:hAnsiTheme="minorBidi"/>
          <w:rtl/>
        </w:rPr>
        <w:t xml:space="preserve">מהרש"ל </w:t>
      </w:r>
      <w:r w:rsidRPr="003024E5">
        <w:rPr>
          <w:rFonts w:asciiTheme="minorBidi" w:hAnsiTheme="minorBidi"/>
          <w:sz w:val="16"/>
          <w:szCs w:val="16"/>
          <w:rtl/>
        </w:rPr>
        <w:t>(באו"ש שער א, הביאו הט"ז)</w:t>
      </w:r>
      <w:r w:rsidRPr="003024E5">
        <w:rPr>
          <w:rFonts w:asciiTheme="minorBidi" w:hAnsiTheme="minorBidi"/>
          <w:rtl/>
        </w:rPr>
        <w:t>- בשר שנמלח ולא שהה שיעור מליחה והודח ונתנוהו בקדרה</w:t>
      </w:r>
      <w:r>
        <w:rPr>
          <w:rFonts w:asciiTheme="minorBidi" w:hAnsiTheme="minorBidi" w:hint="cs"/>
          <w:rtl/>
        </w:rPr>
        <w:t>,</w:t>
      </w:r>
      <w:r w:rsidRPr="003024E5">
        <w:rPr>
          <w:rFonts w:asciiTheme="minorBidi" w:hAnsiTheme="minorBidi"/>
          <w:rtl/>
        </w:rPr>
        <w:t xml:space="preserve"> אם הוא שאר בשר</w:t>
      </w:r>
      <w:r>
        <w:rPr>
          <w:rFonts w:asciiTheme="minorBidi" w:hAnsiTheme="minorBidi" w:hint="cs"/>
          <w:rtl/>
        </w:rPr>
        <w:t>-</w:t>
      </w:r>
      <w:r w:rsidRPr="003024E5">
        <w:rPr>
          <w:rFonts w:asciiTheme="minorBidi" w:hAnsiTheme="minorBidi"/>
          <w:rtl/>
        </w:rPr>
        <w:t xml:space="preserve"> נאסר אף אם לא הושם רק בכלי ראשון שהיד סולדת בו ונזכר קודם שהתחילה להרתיח</w:t>
      </w:r>
      <w:r>
        <w:rPr>
          <w:rFonts w:asciiTheme="minorBidi" w:hAnsiTheme="minorBidi" w:hint="cs"/>
          <w:rtl/>
        </w:rPr>
        <w:t>,</w:t>
      </w:r>
      <w:r w:rsidRPr="003024E5">
        <w:rPr>
          <w:rFonts w:asciiTheme="minorBidi" w:hAnsiTheme="minorBidi"/>
          <w:rtl/>
        </w:rPr>
        <w:t xml:space="preserve"> אבל בשר </w:t>
      </w:r>
      <w:r w:rsidRPr="002D41A5">
        <w:rPr>
          <w:rFonts w:asciiTheme="minorBidi" w:hAnsiTheme="minorBidi"/>
          <w:rtl/>
        </w:rPr>
        <w:t>השור אינו נאסר בזה מאחר שכבר הודח, וכן בשר חי</w:t>
      </w:r>
      <w:r>
        <w:rPr>
          <w:rFonts w:asciiTheme="minorBidi" w:hAnsiTheme="minorBidi" w:hint="cs"/>
          <w:rtl/>
        </w:rPr>
        <w:t xml:space="preserve"> </w:t>
      </w:r>
      <w:r w:rsidRPr="002D41A5">
        <w:rPr>
          <w:rFonts w:asciiTheme="minorBidi" w:hAnsiTheme="minorBidi"/>
          <w:rtl/>
        </w:rPr>
        <w:t>שלא נמלח כלל.</w:t>
      </w:r>
    </w:p>
    <w:p w14:paraId="0E3DA151" w14:textId="77777777" w:rsidR="002C39F4" w:rsidRPr="000E12EB" w:rsidRDefault="002C39F4" w:rsidP="002C39F4">
      <w:pPr>
        <w:rPr>
          <w:rFonts w:asciiTheme="minorBidi" w:hAnsiTheme="minorBidi" w:cs="Arial"/>
          <w:sz w:val="16"/>
          <w:szCs w:val="16"/>
          <w:rtl/>
        </w:rPr>
      </w:pPr>
      <w:r w:rsidRPr="000E12EB">
        <w:rPr>
          <w:rFonts w:asciiTheme="minorBidi" w:hAnsiTheme="minorBidi" w:cs="Arial"/>
          <w:u w:val="single"/>
          <w:rtl/>
        </w:rPr>
        <w:t>אשה ששכחה אם מלחה צד השני</w:t>
      </w:r>
      <w:r w:rsidRPr="000E12EB">
        <w:rPr>
          <w:rFonts w:asciiTheme="minorBidi" w:hAnsiTheme="minorBidi" w:cs="Arial" w:hint="cs"/>
          <w:u w:val="single"/>
          <w:rtl/>
        </w:rPr>
        <w:t>:</w:t>
      </w:r>
      <w:r>
        <w:rPr>
          <w:rFonts w:asciiTheme="minorBidi" w:hAnsiTheme="minorBidi" w:cs="Arial" w:hint="cs"/>
          <w:sz w:val="16"/>
          <w:szCs w:val="16"/>
          <w:rtl/>
        </w:rPr>
        <w:t xml:space="preserve">   (פת"ש סקט"ו)</w:t>
      </w:r>
    </w:p>
    <w:p w14:paraId="6D6254E0" w14:textId="77777777" w:rsidR="002C39F4" w:rsidRDefault="002C39F4" w:rsidP="002C39F4">
      <w:pPr>
        <w:pStyle w:val="a8"/>
        <w:numPr>
          <w:ilvl w:val="0"/>
          <w:numId w:val="89"/>
        </w:numPr>
        <w:rPr>
          <w:rFonts w:asciiTheme="minorBidi" w:hAnsiTheme="minorBidi"/>
        </w:rPr>
      </w:pPr>
      <w:r w:rsidRPr="000E12EB">
        <w:rPr>
          <w:rFonts w:asciiTheme="minorBidi" w:hAnsiTheme="minorBidi" w:cs="Arial"/>
          <w:rtl/>
        </w:rPr>
        <w:t xml:space="preserve">מו"ה שבתי כ"ץ </w:t>
      </w:r>
      <w:r w:rsidRPr="000E12EB">
        <w:rPr>
          <w:rFonts w:asciiTheme="minorBidi" w:hAnsiTheme="minorBidi" w:cs="Arial" w:hint="cs"/>
          <w:sz w:val="16"/>
          <w:szCs w:val="16"/>
          <w:rtl/>
        </w:rPr>
        <w:t>(</w:t>
      </w:r>
      <w:r w:rsidRPr="000E12EB">
        <w:rPr>
          <w:rFonts w:asciiTheme="minorBidi" w:hAnsiTheme="minorBidi" w:cs="Arial"/>
          <w:sz w:val="16"/>
          <w:szCs w:val="16"/>
          <w:rtl/>
        </w:rPr>
        <w:t>כת"י</w:t>
      </w:r>
      <w:r w:rsidRPr="000E12EB">
        <w:rPr>
          <w:rFonts w:asciiTheme="minorBidi" w:hAnsiTheme="minorBidi" w:cs="Arial" w:hint="cs"/>
          <w:sz w:val="16"/>
          <w:szCs w:val="16"/>
          <w:rtl/>
        </w:rPr>
        <w:t>)</w:t>
      </w:r>
      <w:r w:rsidRPr="000E12EB">
        <w:rPr>
          <w:rFonts w:asciiTheme="minorBidi" w:hAnsiTheme="minorBidi" w:cs="Arial" w:hint="cs"/>
          <w:rtl/>
        </w:rPr>
        <w:t>-</w:t>
      </w:r>
      <w:r w:rsidRPr="000E12EB">
        <w:rPr>
          <w:rFonts w:asciiTheme="minorBidi" w:hAnsiTheme="minorBidi" w:cs="Arial"/>
          <w:rtl/>
        </w:rPr>
        <w:t xml:space="preserve"> התר</w:t>
      </w:r>
      <w:r w:rsidRPr="000E12EB">
        <w:rPr>
          <w:rFonts w:asciiTheme="minorBidi" w:hAnsiTheme="minorBidi" w:cs="Arial" w:hint="cs"/>
          <w:rtl/>
        </w:rPr>
        <w:t>תי</w:t>
      </w:r>
      <w:r w:rsidRPr="000E12EB">
        <w:rPr>
          <w:rFonts w:asciiTheme="minorBidi" w:hAnsiTheme="minorBidi" w:cs="Arial"/>
          <w:rtl/>
        </w:rPr>
        <w:t xml:space="preserve"> במעשה שבא לפניו באשה ששכחה אם מלחה צד השני</w:t>
      </w:r>
      <w:r>
        <w:rPr>
          <w:rFonts w:asciiTheme="minorBidi" w:hAnsiTheme="minorBidi" w:cs="Arial" w:hint="cs"/>
          <w:rtl/>
        </w:rPr>
        <w:t>,</w:t>
      </w:r>
      <w:r w:rsidRPr="000E12EB">
        <w:rPr>
          <w:rFonts w:asciiTheme="minorBidi" w:hAnsiTheme="minorBidi" w:cs="Arial"/>
          <w:rtl/>
        </w:rPr>
        <w:t xml:space="preserve"> דאף הש"ך שאוסר אם נמלח מצד א' לאחר שהודח וכן בנה"כ </w:t>
      </w:r>
      <w:r>
        <w:rPr>
          <w:rFonts w:asciiTheme="minorBidi" w:hAnsiTheme="minorBidi" w:cs="Arial" w:hint="cs"/>
          <w:sz w:val="16"/>
          <w:szCs w:val="16"/>
          <w:rtl/>
        </w:rPr>
        <w:t xml:space="preserve">(על הט"ז סקכ"ד) </w:t>
      </w:r>
      <w:r w:rsidRPr="000E12EB">
        <w:rPr>
          <w:rFonts w:asciiTheme="minorBidi" w:hAnsiTheme="minorBidi" w:cs="Arial"/>
          <w:rtl/>
        </w:rPr>
        <w:t>מחמיר אם שכחה אם נמלח</w:t>
      </w:r>
      <w:r>
        <w:rPr>
          <w:rFonts w:asciiTheme="minorBidi" w:hAnsiTheme="minorBidi" w:cs="Arial" w:hint="cs"/>
          <w:rtl/>
        </w:rPr>
        <w:t>,</w:t>
      </w:r>
      <w:r w:rsidRPr="000E12EB">
        <w:rPr>
          <w:rFonts w:asciiTheme="minorBidi" w:hAnsiTheme="minorBidi" w:cs="Arial"/>
          <w:rtl/>
        </w:rPr>
        <w:t xml:space="preserve"> י"ל כה"ג מותר</w:t>
      </w:r>
      <w:r>
        <w:rPr>
          <w:rFonts w:asciiTheme="minorBidi" w:hAnsiTheme="minorBidi" w:cs="Arial" w:hint="cs"/>
          <w:rtl/>
        </w:rPr>
        <w:t>,</w:t>
      </w:r>
      <w:r w:rsidRPr="000E12EB">
        <w:rPr>
          <w:rFonts w:asciiTheme="minorBidi" w:hAnsiTheme="minorBidi" w:cs="Arial"/>
          <w:rtl/>
        </w:rPr>
        <w:t xml:space="preserve"> דשם </w:t>
      </w:r>
      <w:r w:rsidRPr="000E12EB">
        <w:rPr>
          <w:rFonts w:asciiTheme="minorBidi" w:hAnsiTheme="minorBidi" w:cs="Arial"/>
          <w:rtl/>
        </w:rPr>
        <w:lastRenderedPageBreak/>
        <w:t xml:space="preserve">הטעם דמעשה רב </w:t>
      </w:r>
      <w:r>
        <w:rPr>
          <w:rFonts w:asciiTheme="minorBidi" w:hAnsiTheme="minorBidi" w:cs="Arial" w:hint="cs"/>
          <w:sz w:val="16"/>
          <w:szCs w:val="16"/>
          <w:rtl/>
        </w:rPr>
        <w:t xml:space="preserve">{היינו מעשה גדול והרבה טורח יש בו} </w:t>
      </w:r>
      <w:r w:rsidRPr="000E12EB">
        <w:rPr>
          <w:rFonts w:asciiTheme="minorBidi" w:hAnsiTheme="minorBidi" w:cs="Arial"/>
          <w:rtl/>
        </w:rPr>
        <w:t>איך שכחה</w:t>
      </w:r>
      <w:r>
        <w:rPr>
          <w:rFonts w:asciiTheme="minorBidi" w:hAnsiTheme="minorBidi" w:cs="Arial" w:hint="cs"/>
          <w:rtl/>
        </w:rPr>
        <w:t>,</w:t>
      </w:r>
      <w:r w:rsidRPr="000E12EB">
        <w:rPr>
          <w:rFonts w:asciiTheme="minorBidi" w:hAnsiTheme="minorBidi" w:cs="Arial"/>
          <w:rtl/>
        </w:rPr>
        <w:t xml:space="preserve"> אבל כה"ג אדרבה מאחר שמלחה צד א' הרגל הדבר הוא עושה. </w:t>
      </w:r>
    </w:p>
    <w:p w14:paraId="705EF4E8" w14:textId="77777777" w:rsidR="002C39F4" w:rsidRPr="000E12EB" w:rsidRDefault="002C39F4" w:rsidP="002C39F4">
      <w:pPr>
        <w:rPr>
          <w:rFonts w:asciiTheme="minorBidi" w:hAnsiTheme="minorBidi"/>
        </w:rPr>
      </w:pPr>
      <w:r w:rsidRPr="000E12EB">
        <w:rPr>
          <w:rFonts w:asciiTheme="minorBidi" w:hAnsiTheme="minorBidi" w:cs="Arial"/>
          <w:u w:val="single"/>
          <w:rtl/>
        </w:rPr>
        <w:t>אשה ששלחה לבעלה בשר ולא הזכירה בתוך הכתב אם מלחה הבשר</w:t>
      </w:r>
      <w:r w:rsidRPr="000E12EB">
        <w:rPr>
          <w:rFonts w:asciiTheme="minorBidi" w:hAnsiTheme="minorBidi" w:cs="Arial" w:hint="cs"/>
          <w:u w:val="single"/>
          <w:rtl/>
        </w:rPr>
        <w:t>:</w:t>
      </w:r>
      <w:r w:rsidRPr="000E12EB">
        <w:rPr>
          <w:rFonts w:asciiTheme="minorBidi" w:hAnsiTheme="minorBidi" w:cs="Arial" w:hint="cs"/>
          <w:sz w:val="16"/>
          <w:szCs w:val="16"/>
          <w:rtl/>
        </w:rPr>
        <w:t xml:space="preserve"> </w:t>
      </w:r>
      <w:r>
        <w:rPr>
          <w:rFonts w:asciiTheme="minorBidi" w:hAnsiTheme="minorBidi" w:cs="Arial" w:hint="cs"/>
          <w:sz w:val="16"/>
          <w:szCs w:val="16"/>
          <w:rtl/>
        </w:rPr>
        <w:t xml:space="preserve">  </w:t>
      </w:r>
      <w:r w:rsidRPr="000E12EB">
        <w:rPr>
          <w:rFonts w:asciiTheme="minorBidi" w:hAnsiTheme="minorBidi" w:cs="Arial" w:hint="cs"/>
          <w:sz w:val="16"/>
          <w:szCs w:val="16"/>
          <w:rtl/>
        </w:rPr>
        <w:t>(פת"ש סקט"ו)</w:t>
      </w:r>
    </w:p>
    <w:p w14:paraId="05E658E7" w14:textId="77777777" w:rsidR="002C39F4" w:rsidRPr="000E12EB" w:rsidRDefault="002C39F4" w:rsidP="002C39F4">
      <w:pPr>
        <w:pStyle w:val="a8"/>
        <w:numPr>
          <w:ilvl w:val="0"/>
          <w:numId w:val="89"/>
        </w:numPr>
        <w:rPr>
          <w:rFonts w:asciiTheme="minorBidi" w:hAnsiTheme="minorBidi"/>
        </w:rPr>
      </w:pPr>
      <w:r w:rsidRPr="000E12EB">
        <w:rPr>
          <w:rFonts w:asciiTheme="minorBidi" w:hAnsiTheme="minorBidi" w:cs="Arial"/>
          <w:rtl/>
        </w:rPr>
        <w:t>פנמ</w:t>
      </w:r>
      <w:r>
        <w:rPr>
          <w:rFonts w:asciiTheme="minorBidi" w:hAnsiTheme="minorBidi" w:cs="Arial" w:hint="cs"/>
          <w:rtl/>
        </w:rPr>
        <w:t>"</w:t>
      </w:r>
      <w:r w:rsidRPr="000E12EB">
        <w:rPr>
          <w:rFonts w:asciiTheme="minorBidi" w:hAnsiTheme="minorBidi" w:cs="Arial"/>
          <w:rtl/>
        </w:rPr>
        <w:t>א</w:t>
      </w:r>
      <w:r w:rsidRPr="000E12EB">
        <w:rPr>
          <w:rFonts w:asciiTheme="minorBidi" w:hAnsiTheme="minorBidi" w:cs="Arial"/>
          <w:sz w:val="16"/>
          <w:szCs w:val="16"/>
          <w:rtl/>
        </w:rPr>
        <w:t xml:space="preserve"> </w:t>
      </w:r>
      <w:r w:rsidRPr="000E12EB">
        <w:rPr>
          <w:rFonts w:asciiTheme="minorBidi" w:hAnsiTheme="minorBidi" w:cs="Arial" w:hint="cs"/>
          <w:sz w:val="16"/>
          <w:szCs w:val="16"/>
          <w:rtl/>
        </w:rPr>
        <w:t>(</w:t>
      </w:r>
      <w:r w:rsidRPr="000E12EB">
        <w:rPr>
          <w:rFonts w:asciiTheme="minorBidi" w:hAnsiTheme="minorBidi" w:cs="Arial"/>
          <w:sz w:val="16"/>
          <w:szCs w:val="16"/>
          <w:rtl/>
        </w:rPr>
        <w:t>ח"א סי' יא)</w:t>
      </w:r>
      <w:r>
        <w:rPr>
          <w:rFonts w:asciiTheme="minorBidi" w:hAnsiTheme="minorBidi" w:cs="Arial" w:hint="cs"/>
          <w:rtl/>
        </w:rPr>
        <w:t>-</w:t>
      </w:r>
      <w:r w:rsidRPr="000E12EB">
        <w:rPr>
          <w:rFonts w:asciiTheme="minorBidi" w:hAnsiTheme="minorBidi" w:cs="Arial"/>
          <w:rtl/>
        </w:rPr>
        <w:t xml:space="preserve"> אשה ששלחה לבעלה בשר לכפר ולא הזכירה בתוך הכתב אם מלחה הבשר ובישל הבעל הבשר בלא מליחה אם מותר לאכול הבשר ל</w:t>
      </w:r>
      <w:r>
        <w:rPr>
          <w:rFonts w:asciiTheme="minorBidi" w:hAnsiTheme="minorBidi" w:cs="Arial" w:hint="cs"/>
          <w:rtl/>
        </w:rPr>
        <w:t>י</w:t>
      </w:r>
      <w:r w:rsidRPr="000E12EB">
        <w:rPr>
          <w:rFonts w:asciiTheme="minorBidi" w:hAnsiTheme="minorBidi" w:cs="Arial"/>
          <w:rtl/>
        </w:rPr>
        <w:t>ב</w:t>
      </w:r>
      <w:r>
        <w:rPr>
          <w:rFonts w:asciiTheme="minorBidi" w:hAnsiTheme="minorBidi" w:cs="Arial" w:hint="cs"/>
          <w:rtl/>
        </w:rPr>
        <w:t>י</w:t>
      </w:r>
      <w:r w:rsidRPr="000E12EB">
        <w:rPr>
          <w:rFonts w:asciiTheme="minorBidi" w:hAnsiTheme="minorBidi" w:cs="Arial"/>
          <w:rtl/>
        </w:rPr>
        <w:t xml:space="preserve"> מהסס בדבר זה להתיר הבשר אם לא שנצרף איזה אומדנות המוכיחות שבודאי מלחה כגון שהשליח לא היה יכול לבוא אלא סמוך לשבת שלא היה שהות למלוח ולבשל על שבת אז אמרינן בודאי מלחה קודם ששלחה</w:t>
      </w:r>
      <w:r>
        <w:rPr>
          <w:rFonts w:asciiTheme="minorBidi" w:hAnsiTheme="minorBidi" w:cs="Arial" w:hint="cs"/>
          <w:rtl/>
        </w:rPr>
        <w:t>.</w:t>
      </w:r>
      <w:r w:rsidRPr="000E12EB">
        <w:rPr>
          <w:rFonts w:asciiTheme="minorBidi" w:hAnsiTheme="minorBidi" w:cs="Arial"/>
          <w:rtl/>
        </w:rPr>
        <w:t xml:space="preserve"> </w:t>
      </w:r>
    </w:p>
    <w:p w14:paraId="70ED49B1" w14:textId="77777777" w:rsidR="002C39F4" w:rsidRDefault="002C39F4" w:rsidP="002C39F4">
      <w:pPr>
        <w:pStyle w:val="a8"/>
        <w:numPr>
          <w:ilvl w:val="0"/>
          <w:numId w:val="89"/>
        </w:numPr>
        <w:rPr>
          <w:rFonts w:asciiTheme="minorBidi" w:hAnsiTheme="minorBidi"/>
        </w:rPr>
      </w:pPr>
      <w:r w:rsidRPr="000E12EB">
        <w:rPr>
          <w:rFonts w:asciiTheme="minorBidi" w:hAnsiTheme="minorBidi" w:cs="Arial"/>
          <w:rtl/>
        </w:rPr>
        <w:t xml:space="preserve">שבו"י </w:t>
      </w:r>
      <w:r w:rsidRPr="000E12EB">
        <w:rPr>
          <w:rFonts w:asciiTheme="minorBidi" w:hAnsiTheme="minorBidi" w:cs="Arial" w:hint="cs"/>
          <w:sz w:val="16"/>
          <w:szCs w:val="16"/>
          <w:rtl/>
        </w:rPr>
        <w:t>(</w:t>
      </w:r>
      <w:r w:rsidRPr="000E12EB">
        <w:rPr>
          <w:rFonts w:asciiTheme="minorBidi" w:hAnsiTheme="minorBidi" w:cs="Arial"/>
          <w:sz w:val="16"/>
          <w:szCs w:val="16"/>
          <w:rtl/>
        </w:rPr>
        <w:t>ח"ב ס"ס סט)</w:t>
      </w:r>
      <w:r>
        <w:rPr>
          <w:rFonts w:asciiTheme="minorBidi" w:hAnsiTheme="minorBidi" w:cs="Arial" w:hint="cs"/>
          <w:rtl/>
        </w:rPr>
        <w:t>-</w:t>
      </w:r>
      <w:r w:rsidRPr="000E12EB">
        <w:rPr>
          <w:rFonts w:asciiTheme="minorBidi" w:hAnsiTheme="minorBidi" w:cs="Arial"/>
          <w:rtl/>
        </w:rPr>
        <w:t xml:space="preserve"> כיון שהוא דבר שיכול להתברר אין צד כלל להתיר ע"י ספק ואפילו בס"ס יש להחמיר</w:t>
      </w:r>
      <w:r>
        <w:rPr>
          <w:rStyle w:val="a7"/>
          <w:rFonts w:asciiTheme="minorBidi" w:hAnsiTheme="minorBidi" w:cs="Arial"/>
          <w:rtl/>
        </w:rPr>
        <w:footnoteReference w:id="132"/>
      </w:r>
      <w:r w:rsidRPr="000E12EB">
        <w:rPr>
          <w:rFonts w:asciiTheme="minorBidi" w:hAnsiTheme="minorBidi" w:cs="Arial" w:hint="cs"/>
          <w:rtl/>
        </w:rPr>
        <w:t>.</w:t>
      </w:r>
    </w:p>
    <w:p w14:paraId="5A30F8D8" w14:textId="77777777" w:rsidR="002C39F4" w:rsidRPr="00E33880" w:rsidRDefault="002C39F4" w:rsidP="002C39F4">
      <w:pPr>
        <w:rPr>
          <w:rFonts w:asciiTheme="minorBidi" w:hAnsiTheme="minorBidi"/>
          <w:u w:val="single"/>
        </w:rPr>
      </w:pPr>
      <w:r w:rsidRPr="00E33880">
        <w:rPr>
          <w:rFonts w:asciiTheme="minorBidi" w:hAnsiTheme="minorBidi" w:cs="Arial"/>
          <w:u w:val="single"/>
          <w:rtl/>
        </w:rPr>
        <w:t>מלח של הערינ"ג שי</w:t>
      </w:r>
      <w:r w:rsidRPr="00E33880">
        <w:rPr>
          <w:rFonts w:asciiTheme="minorBidi" w:hAnsiTheme="minorBidi" w:cs="Arial" w:hint="cs"/>
          <w:u w:val="single"/>
          <w:rtl/>
        </w:rPr>
        <w:t>י</w:t>
      </w:r>
      <w:r w:rsidRPr="00E33880">
        <w:rPr>
          <w:rFonts w:asciiTheme="minorBidi" w:hAnsiTheme="minorBidi" w:cs="Arial"/>
          <w:u w:val="single"/>
          <w:rtl/>
        </w:rPr>
        <w:t>בשו</w:t>
      </w:r>
      <w:r w:rsidRPr="00E33880">
        <w:rPr>
          <w:rFonts w:asciiTheme="minorBidi" w:hAnsiTheme="minorBidi" w:cs="Arial" w:hint="cs"/>
          <w:u w:val="single"/>
          <w:rtl/>
        </w:rPr>
        <w:t>:</w:t>
      </w:r>
      <w:r w:rsidRPr="000E12EB">
        <w:rPr>
          <w:rFonts w:asciiTheme="minorBidi" w:hAnsiTheme="minorBidi" w:cs="Arial" w:hint="cs"/>
          <w:sz w:val="16"/>
          <w:szCs w:val="16"/>
          <w:rtl/>
        </w:rPr>
        <w:t xml:space="preserve"> </w:t>
      </w:r>
      <w:r>
        <w:rPr>
          <w:rFonts w:asciiTheme="minorBidi" w:hAnsiTheme="minorBidi" w:cs="Arial" w:hint="cs"/>
          <w:sz w:val="16"/>
          <w:szCs w:val="16"/>
          <w:rtl/>
        </w:rPr>
        <w:t xml:space="preserve">  </w:t>
      </w:r>
      <w:r w:rsidRPr="000E12EB">
        <w:rPr>
          <w:rFonts w:asciiTheme="minorBidi" w:hAnsiTheme="minorBidi" w:cs="Arial" w:hint="cs"/>
          <w:sz w:val="16"/>
          <w:szCs w:val="16"/>
          <w:rtl/>
        </w:rPr>
        <w:t>(פת"ש סקט"</w:t>
      </w:r>
      <w:r>
        <w:rPr>
          <w:rFonts w:asciiTheme="minorBidi" w:hAnsiTheme="minorBidi" w:cs="Arial" w:hint="cs"/>
          <w:sz w:val="16"/>
          <w:szCs w:val="16"/>
          <w:rtl/>
        </w:rPr>
        <w:t>ז</w:t>
      </w:r>
      <w:r w:rsidRPr="000E12EB">
        <w:rPr>
          <w:rFonts w:asciiTheme="minorBidi" w:hAnsiTheme="minorBidi" w:cs="Arial" w:hint="cs"/>
          <w:sz w:val="16"/>
          <w:szCs w:val="16"/>
          <w:rtl/>
        </w:rPr>
        <w:t>)</w:t>
      </w:r>
    </w:p>
    <w:p w14:paraId="23C765E4" w14:textId="77777777" w:rsidR="002C39F4" w:rsidRDefault="002C39F4" w:rsidP="002C39F4">
      <w:pPr>
        <w:pStyle w:val="a8"/>
        <w:numPr>
          <w:ilvl w:val="0"/>
          <w:numId w:val="89"/>
        </w:numPr>
        <w:rPr>
          <w:rFonts w:asciiTheme="minorBidi" w:hAnsiTheme="minorBidi" w:cs="Arial"/>
        </w:rPr>
      </w:pPr>
      <w:r w:rsidRPr="000E12EB">
        <w:rPr>
          <w:rFonts w:asciiTheme="minorBidi" w:hAnsiTheme="minorBidi" w:cs="Arial"/>
          <w:rtl/>
        </w:rPr>
        <w:t xml:space="preserve">בספר חמודי דניאל </w:t>
      </w:r>
      <w:r w:rsidRPr="000E12EB">
        <w:rPr>
          <w:rFonts w:asciiTheme="minorBidi" w:hAnsiTheme="minorBidi" w:cs="Arial" w:hint="cs"/>
          <w:sz w:val="16"/>
          <w:szCs w:val="16"/>
          <w:rtl/>
        </w:rPr>
        <w:t>(</w:t>
      </w:r>
      <w:r w:rsidRPr="000E12EB">
        <w:rPr>
          <w:rFonts w:asciiTheme="minorBidi" w:hAnsiTheme="minorBidi" w:cs="Arial"/>
          <w:sz w:val="16"/>
          <w:szCs w:val="16"/>
          <w:rtl/>
        </w:rPr>
        <w:t>סי</w:t>
      </w:r>
      <w:r w:rsidRPr="000E12EB">
        <w:rPr>
          <w:rFonts w:asciiTheme="minorBidi" w:hAnsiTheme="minorBidi" w:cs="Arial" w:hint="cs"/>
          <w:sz w:val="16"/>
          <w:szCs w:val="16"/>
          <w:rtl/>
        </w:rPr>
        <w:t>'</w:t>
      </w:r>
      <w:r w:rsidRPr="000E12EB">
        <w:rPr>
          <w:rFonts w:asciiTheme="minorBidi" w:hAnsiTheme="minorBidi" w:cs="Arial"/>
          <w:sz w:val="16"/>
          <w:szCs w:val="16"/>
          <w:rtl/>
        </w:rPr>
        <w:t xml:space="preserve"> לט</w:t>
      </w:r>
      <w:r w:rsidRPr="000E12EB">
        <w:rPr>
          <w:rFonts w:asciiTheme="minorBidi" w:hAnsiTheme="minorBidi" w:cs="Arial" w:hint="cs"/>
          <w:sz w:val="16"/>
          <w:szCs w:val="16"/>
          <w:rtl/>
        </w:rPr>
        <w:t>)</w:t>
      </w:r>
      <w:r w:rsidRPr="000E12EB">
        <w:rPr>
          <w:rFonts w:asciiTheme="minorBidi" w:hAnsiTheme="minorBidi" w:cs="Arial" w:hint="cs"/>
          <w:rtl/>
        </w:rPr>
        <w:t>-</w:t>
      </w:r>
      <w:r w:rsidRPr="000E12EB">
        <w:rPr>
          <w:rFonts w:asciiTheme="minorBidi" w:hAnsiTheme="minorBidi" w:cs="Arial"/>
          <w:rtl/>
        </w:rPr>
        <w:t xml:space="preserve"> מלח של הערינ"ג שי</w:t>
      </w:r>
      <w:r w:rsidRPr="000E12EB">
        <w:rPr>
          <w:rFonts w:asciiTheme="minorBidi" w:hAnsiTheme="minorBidi" w:cs="Arial" w:hint="cs"/>
          <w:rtl/>
        </w:rPr>
        <w:t>י</w:t>
      </w:r>
      <w:r w:rsidRPr="000E12EB">
        <w:rPr>
          <w:rFonts w:asciiTheme="minorBidi" w:hAnsiTheme="minorBidi" w:cs="Arial"/>
          <w:rtl/>
        </w:rPr>
        <w:t xml:space="preserve">בשו אסור למלוח בו בשר ואפילו בדיעבד יש לאסור דגרע ממלח שמלחו בו בשר כיון שנכבש מעל"ע בציר. </w:t>
      </w:r>
    </w:p>
    <w:p w14:paraId="339C9320" w14:textId="77777777" w:rsidR="002C39F4" w:rsidRPr="000E12EB" w:rsidRDefault="002C39F4" w:rsidP="002C39F4">
      <w:pPr>
        <w:rPr>
          <w:rFonts w:asciiTheme="minorBidi" w:hAnsiTheme="minorBidi" w:cs="Arial"/>
          <w:u w:val="single"/>
        </w:rPr>
      </w:pPr>
      <w:r w:rsidRPr="000E12EB">
        <w:rPr>
          <w:rFonts w:asciiTheme="minorBidi" w:hAnsiTheme="minorBidi" w:cs="Arial"/>
          <w:u w:val="single"/>
          <w:rtl/>
        </w:rPr>
        <w:t xml:space="preserve">מים שהדיחו בו בשר ונשפך על המלח </w:t>
      </w:r>
      <w:r>
        <w:rPr>
          <w:rFonts w:asciiTheme="minorBidi" w:hAnsiTheme="minorBidi" w:cs="Arial" w:hint="cs"/>
          <w:u w:val="single"/>
          <w:rtl/>
        </w:rPr>
        <w:t xml:space="preserve">- </w:t>
      </w:r>
      <w:r w:rsidRPr="000E12EB">
        <w:rPr>
          <w:rFonts w:asciiTheme="minorBidi" w:hAnsiTheme="minorBidi" w:cs="Arial"/>
          <w:u w:val="single"/>
          <w:rtl/>
        </w:rPr>
        <w:t>מה יעשה עם המלח</w:t>
      </w:r>
      <w:r>
        <w:rPr>
          <w:rFonts w:asciiTheme="minorBidi" w:hAnsiTheme="minorBidi" w:cs="Arial" w:hint="cs"/>
          <w:u w:val="single"/>
          <w:rtl/>
        </w:rPr>
        <w:t>:</w:t>
      </w:r>
      <w:r w:rsidRPr="000E12EB">
        <w:rPr>
          <w:rFonts w:asciiTheme="minorBidi" w:hAnsiTheme="minorBidi" w:cs="Arial" w:hint="cs"/>
          <w:sz w:val="16"/>
          <w:szCs w:val="16"/>
          <w:rtl/>
        </w:rPr>
        <w:t xml:space="preserve"> </w:t>
      </w:r>
      <w:r>
        <w:rPr>
          <w:rFonts w:asciiTheme="minorBidi" w:hAnsiTheme="minorBidi" w:cs="Arial" w:hint="cs"/>
          <w:sz w:val="16"/>
          <w:szCs w:val="16"/>
          <w:rtl/>
        </w:rPr>
        <w:t xml:space="preserve">  </w:t>
      </w:r>
      <w:r w:rsidRPr="000E12EB">
        <w:rPr>
          <w:rFonts w:asciiTheme="minorBidi" w:hAnsiTheme="minorBidi" w:cs="Arial" w:hint="cs"/>
          <w:sz w:val="16"/>
          <w:szCs w:val="16"/>
          <w:rtl/>
        </w:rPr>
        <w:t>(פת"ש סקט"</w:t>
      </w:r>
      <w:r>
        <w:rPr>
          <w:rFonts w:asciiTheme="minorBidi" w:hAnsiTheme="minorBidi" w:cs="Arial" w:hint="cs"/>
          <w:sz w:val="16"/>
          <w:szCs w:val="16"/>
          <w:rtl/>
        </w:rPr>
        <w:t>ז</w:t>
      </w:r>
      <w:r w:rsidRPr="000E12EB">
        <w:rPr>
          <w:rFonts w:asciiTheme="minorBidi" w:hAnsiTheme="minorBidi" w:cs="Arial" w:hint="cs"/>
          <w:sz w:val="16"/>
          <w:szCs w:val="16"/>
          <w:rtl/>
        </w:rPr>
        <w:t>)</w:t>
      </w:r>
    </w:p>
    <w:p w14:paraId="18C50E6A" w14:textId="77777777" w:rsidR="002C39F4" w:rsidRPr="000E12EB" w:rsidRDefault="002C39F4" w:rsidP="002C39F4">
      <w:pPr>
        <w:pStyle w:val="a8"/>
        <w:numPr>
          <w:ilvl w:val="0"/>
          <w:numId w:val="89"/>
        </w:numPr>
        <w:rPr>
          <w:rFonts w:asciiTheme="minorBidi" w:hAnsiTheme="minorBidi" w:cs="Arial"/>
          <w:rtl/>
        </w:rPr>
      </w:pPr>
      <w:r w:rsidRPr="000E12EB">
        <w:rPr>
          <w:rFonts w:asciiTheme="minorBidi" w:hAnsiTheme="minorBidi" w:cs="Arial"/>
          <w:rtl/>
        </w:rPr>
        <w:t xml:space="preserve">שבות יעקב </w:t>
      </w:r>
      <w:r w:rsidRPr="000E12EB">
        <w:rPr>
          <w:rFonts w:asciiTheme="minorBidi" w:hAnsiTheme="minorBidi" w:cs="Arial" w:hint="cs"/>
          <w:sz w:val="16"/>
          <w:szCs w:val="16"/>
          <w:rtl/>
        </w:rPr>
        <w:t>(</w:t>
      </w:r>
      <w:r w:rsidRPr="000E12EB">
        <w:rPr>
          <w:rFonts w:asciiTheme="minorBidi" w:hAnsiTheme="minorBidi" w:cs="Arial"/>
          <w:sz w:val="16"/>
          <w:szCs w:val="16"/>
          <w:rtl/>
        </w:rPr>
        <w:t>ח"ג סי</w:t>
      </w:r>
      <w:r w:rsidRPr="000E12EB">
        <w:rPr>
          <w:rFonts w:asciiTheme="minorBidi" w:hAnsiTheme="minorBidi" w:cs="Arial" w:hint="cs"/>
          <w:sz w:val="16"/>
          <w:szCs w:val="16"/>
          <w:rtl/>
        </w:rPr>
        <w:t>'</w:t>
      </w:r>
      <w:r w:rsidRPr="000E12EB">
        <w:rPr>
          <w:rFonts w:asciiTheme="minorBidi" w:hAnsiTheme="minorBidi" w:cs="Arial"/>
          <w:sz w:val="16"/>
          <w:szCs w:val="16"/>
          <w:rtl/>
        </w:rPr>
        <w:t xml:space="preserve"> סו)</w:t>
      </w:r>
      <w:r>
        <w:rPr>
          <w:rFonts w:asciiTheme="minorBidi" w:hAnsiTheme="minorBidi" w:cs="Arial" w:hint="cs"/>
          <w:rtl/>
        </w:rPr>
        <w:t>-</w:t>
      </w:r>
      <w:r w:rsidRPr="000E12EB">
        <w:rPr>
          <w:rFonts w:asciiTheme="minorBidi" w:hAnsiTheme="minorBidi" w:cs="Arial"/>
          <w:rtl/>
        </w:rPr>
        <w:t xml:space="preserve"> יניח להתייבש ואח"כ יוכל למלוח בו בשר להוציא דמו אבל ליתן תוך מאכל אסור</w:t>
      </w:r>
      <w:r>
        <w:rPr>
          <w:rFonts w:asciiTheme="minorBidi" w:hAnsiTheme="minorBidi" w:cs="Arial" w:hint="cs"/>
          <w:rtl/>
        </w:rPr>
        <w:t>,</w:t>
      </w:r>
      <w:r w:rsidRPr="000E12EB">
        <w:rPr>
          <w:rFonts w:asciiTheme="minorBidi" w:hAnsiTheme="minorBidi" w:cs="Arial"/>
          <w:rtl/>
        </w:rPr>
        <w:t xml:space="preserve"> ואם הוא מלח הרבה לא ישהה בתוך ביתו שלא יטעו ליתנו תוך המאכל</w:t>
      </w:r>
      <w:r>
        <w:rPr>
          <w:rFonts w:asciiTheme="minorBidi" w:hAnsiTheme="minorBidi" w:cs="Arial" w:hint="cs"/>
          <w:rtl/>
        </w:rPr>
        <w:t>.</w:t>
      </w:r>
    </w:p>
    <w:p w14:paraId="5AC6BF8A" w14:textId="77777777" w:rsidR="002C39F4" w:rsidRPr="000E12EB" w:rsidRDefault="002C39F4" w:rsidP="002C39F4">
      <w:pPr>
        <w:rPr>
          <w:rFonts w:asciiTheme="minorBidi" w:hAnsiTheme="minorBidi"/>
        </w:rPr>
      </w:pPr>
    </w:p>
    <w:p w14:paraId="15AEF278" w14:textId="77777777" w:rsidR="002C39F4" w:rsidRPr="003024E5" w:rsidRDefault="002C39F4" w:rsidP="002C39F4">
      <w:pPr>
        <w:pStyle w:val="2"/>
        <w:rPr>
          <w:rFonts w:asciiTheme="minorBidi" w:hAnsiTheme="minorBidi"/>
          <w:rtl/>
        </w:rPr>
      </w:pPr>
      <w:r w:rsidRPr="003024E5">
        <w:rPr>
          <w:rFonts w:asciiTheme="minorBidi" w:hAnsiTheme="minorBidi"/>
          <w:rtl/>
        </w:rPr>
        <w:t>סעיף י: גוי שהכניס בשר לקדרה ולא ידוע אם הדיחו.</w:t>
      </w:r>
    </w:p>
    <w:p w14:paraId="73989732" w14:textId="77777777" w:rsidR="002C39F4" w:rsidRPr="003024E5" w:rsidRDefault="002C39F4" w:rsidP="002C39F4">
      <w:pPr>
        <w:rPr>
          <w:rFonts w:asciiTheme="minorBidi" w:hAnsiTheme="minorBidi"/>
          <w:u w:val="single"/>
          <w:rtl/>
        </w:rPr>
      </w:pPr>
      <w:r w:rsidRPr="003024E5">
        <w:rPr>
          <w:rFonts w:asciiTheme="minorBidi" w:hAnsiTheme="minorBidi"/>
          <w:u w:val="single"/>
          <w:rtl/>
        </w:rPr>
        <w:t>גוי המשמש בבית ישראל והכניס בשר לקדרה ולא ידוע אם הדיחו:</w:t>
      </w:r>
    </w:p>
    <w:p w14:paraId="3FED3C72" w14:textId="77777777" w:rsidR="002C39F4" w:rsidRPr="003024E5" w:rsidRDefault="002C39F4" w:rsidP="002C39F4">
      <w:pPr>
        <w:pStyle w:val="a8"/>
        <w:numPr>
          <w:ilvl w:val="0"/>
          <w:numId w:val="14"/>
        </w:numPr>
        <w:rPr>
          <w:rFonts w:asciiTheme="minorBidi" w:hAnsiTheme="minorBidi"/>
        </w:rPr>
      </w:pPr>
      <w:r w:rsidRPr="003024E5">
        <w:rPr>
          <w:rFonts w:asciiTheme="minorBidi" w:hAnsiTheme="minorBidi"/>
          <w:rtl/>
        </w:rPr>
        <w:t xml:space="preserve">סמ"ק </w:t>
      </w:r>
      <w:r w:rsidRPr="003024E5">
        <w:rPr>
          <w:rFonts w:asciiTheme="minorBidi" w:hAnsiTheme="minorBidi"/>
          <w:sz w:val="16"/>
          <w:szCs w:val="16"/>
          <w:rtl/>
        </w:rPr>
        <w:t>(סי' רה)</w:t>
      </w:r>
      <w:r w:rsidRPr="003024E5">
        <w:rPr>
          <w:rFonts w:asciiTheme="minorBidi" w:hAnsiTheme="minorBidi"/>
          <w:rtl/>
        </w:rPr>
        <w:t xml:space="preserve"> וטור</w:t>
      </w:r>
      <w:r w:rsidRPr="003024E5">
        <w:rPr>
          <w:rStyle w:val="a7"/>
          <w:rFonts w:asciiTheme="minorBidi" w:hAnsiTheme="minorBidi"/>
          <w:rtl/>
        </w:rPr>
        <w:footnoteReference w:id="133"/>
      </w:r>
      <w:r w:rsidRPr="003024E5">
        <w:rPr>
          <w:rFonts w:asciiTheme="minorBidi" w:hAnsiTheme="minorBidi"/>
          <w:rtl/>
        </w:rPr>
        <w:t>- נאמנין במסיחין לפי תומן</w:t>
      </w:r>
      <w:r w:rsidRPr="003024E5">
        <w:rPr>
          <w:rStyle w:val="a7"/>
          <w:rFonts w:asciiTheme="minorBidi" w:hAnsiTheme="minorBidi"/>
          <w:rtl/>
        </w:rPr>
        <w:footnoteReference w:id="134"/>
      </w:r>
      <w:r w:rsidRPr="003024E5">
        <w:rPr>
          <w:rFonts w:asciiTheme="minorBidi" w:hAnsiTheme="minorBidi"/>
          <w:rtl/>
        </w:rPr>
        <w:t>, וכ"ש אם יודעים בטיב יהודים</w:t>
      </w:r>
      <w:r w:rsidRPr="003024E5">
        <w:rPr>
          <w:rStyle w:val="a7"/>
          <w:rFonts w:asciiTheme="minorBidi" w:hAnsiTheme="minorBidi"/>
          <w:rtl/>
        </w:rPr>
        <w:footnoteReference w:id="135"/>
      </w:r>
      <w:r w:rsidRPr="003024E5">
        <w:rPr>
          <w:rFonts w:asciiTheme="minorBidi" w:hAnsiTheme="minorBidi"/>
          <w:rtl/>
        </w:rPr>
        <w:t>, ואם יש שם נער או נערה יודעין בטיב הדחה או יוצא ונכנס מותר משום דמירתתי, ועוד דיש לנו לומר דלנקיותא קפדי</w:t>
      </w:r>
      <w:r w:rsidRPr="003024E5">
        <w:rPr>
          <w:rStyle w:val="a7"/>
          <w:rFonts w:asciiTheme="minorBidi" w:hAnsiTheme="minorBidi"/>
          <w:rtl/>
        </w:rPr>
        <w:footnoteReference w:id="136"/>
      </w:r>
      <w:r w:rsidRPr="003024E5">
        <w:rPr>
          <w:rFonts w:asciiTheme="minorBidi" w:hAnsiTheme="minorBidi"/>
          <w:rtl/>
        </w:rPr>
        <w:t>.</w:t>
      </w:r>
      <w:r w:rsidRPr="003024E5">
        <w:rPr>
          <w:rFonts w:asciiTheme="minorBidi" w:hAnsiTheme="minorBidi"/>
          <w:color w:val="00B0F0"/>
          <w:rtl/>
        </w:rPr>
        <w:t xml:space="preserve"> (וכ"פ הרמ"א)</w:t>
      </w:r>
    </w:p>
    <w:p w14:paraId="0B34AED2" w14:textId="77777777" w:rsidR="002C39F4" w:rsidRPr="003024E5" w:rsidRDefault="002C39F4" w:rsidP="002C39F4">
      <w:pPr>
        <w:pStyle w:val="a8"/>
        <w:numPr>
          <w:ilvl w:val="0"/>
          <w:numId w:val="14"/>
        </w:numPr>
        <w:rPr>
          <w:rFonts w:asciiTheme="minorBidi" w:hAnsiTheme="minorBidi"/>
        </w:rPr>
      </w:pPr>
      <w:r w:rsidRPr="003024E5">
        <w:rPr>
          <w:rFonts w:asciiTheme="minorBidi" w:hAnsiTheme="minorBidi"/>
          <w:rtl/>
        </w:rPr>
        <w:t xml:space="preserve">סמ"ג </w:t>
      </w:r>
      <w:r w:rsidRPr="003024E5">
        <w:rPr>
          <w:rFonts w:asciiTheme="minorBidi" w:hAnsiTheme="minorBidi"/>
          <w:sz w:val="16"/>
          <w:szCs w:val="16"/>
          <w:rtl/>
        </w:rPr>
        <w:t>(לאוין קלז)</w:t>
      </w:r>
      <w:r w:rsidRPr="003024E5">
        <w:rPr>
          <w:rFonts w:asciiTheme="minorBidi" w:hAnsiTheme="minorBidi"/>
          <w:rtl/>
        </w:rPr>
        <w:t>- אע"פ שכ</w:t>
      </w:r>
      <w:r>
        <w:rPr>
          <w:rFonts w:asciiTheme="minorBidi" w:hAnsiTheme="minorBidi" w:hint="cs"/>
          <w:rtl/>
        </w:rPr>
        <w:t>'</w:t>
      </w:r>
      <w:r w:rsidRPr="003024E5">
        <w:rPr>
          <w:rFonts w:asciiTheme="minorBidi" w:hAnsiTheme="minorBidi"/>
          <w:rtl/>
        </w:rPr>
        <w:t xml:space="preserve"> רב האי גאון שאין סומכין על דבריו של גוי לא לאיסור ולא להיתר מ"מ יש להתיר כאן אם יודע הגוי מנהג ישראל והיה שם שום ישראל יוצא ונכנס או שום קטן בר דעת</w:t>
      </w:r>
      <w:r w:rsidRPr="003024E5">
        <w:rPr>
          <w:rStyle w:val="a7"/>
          <w:rFonts w:asciiTheme="minorBidi" w:hAnsiTheme="minorBidi"/>
          <w:rtl/>
        </w:rPr>
        <w:footnoteReference w:id="137"/>
      </w:r>
      <w:r w:rsidRPr="003024E5">
        <w:rPr>
          <w:rFonts w:asciiTheme="minorBidi" w:hAnsiTheme="minorBidi"/>
          <w:rtl/>
        </w:rPr>
        <w:t xml:space="preserve"> בבית שירא פן יגיד הדבר</w:t>
      </w:r>
      <w:r w:rsidRPr="003024E5">
        <w:rPr>
          <w:rStyle w:val="a7"/>
          <w:rFonts w:asciiTheme="minorBidi" w:hAnsiTheme="minorBidi"/>
          <w:rtl/>
        </w:rPr>
        <w:footnoteReference w:id="138"/>
      </w:r>
      <w:r w:rsidRPr="003024E5">
        <w:rPr>
          <w:rFonts w:asciiTheme="minorBidi" w:hAnsiTheme="minorBidi"/>
          <w:rtl/>
        </w:rPr>
        <w:t>, ועוד אנו אומרים בפר</w:t>
      </w:r>
      <w:r>
        <w:rPr>
          <w:rFonts w:asciiTheme="minorBidi" w:hAnsiTheme="minorBidi" w:hint="cs"/>
          <w:rtl/>
        </w:rPr>
        <w:t>'</w:t>
      </w:r>
      <w:r w:rsidRPr="003024E5">
        <w:rPr>
          <w:rFonts w:asciiTheme="minorBidi" w:hAnsiTheme="minorBidi"/>
          <w:rtl/>
        </w:rPr>
        <w:t xml:space="preserve"> אין מעמידין </w:t>
      </w:r>
      <w:r w:rsidRPr="003024E5">
        <w:rPr>
          <w:rFonts w:asciiTheme="minorBidi" w:hAnsiTheme="minorBidi"/>
          <w:sz w:val="16"/>
          <w:szCs w:val="16"/>
          <w:rtl/>
        </w:rPr>
        <w:t>(ע"ז ל.)</w:t>
      </w:r>
      <w:r w:rsidRPr="003024E5">
        <w:rPr>
          <w:rFonts w:asciiTheme="minorBidi" w:hAnsiTheme="minorBidi"/>
          <w:rtl/>
        </w:rPr>
        <w:t xml:space="preserve"> גוים נהי דאאיסורא לא קפדי אנקיותא קפדי</w:t>
      </w:r>
      <w:r w:rsidRPr="003024E5">
        <w:rPr>
          <w:rStyle w:val="a7"/>
          <w:rFonts w:asciiTheme="minorBidi" w:hAnsiTheme="minorBidi"/>
          <w:rtl/>
        </w:rPr>
        <w:footnoteReference w:id="139"/>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7F2353C0" w14:textId="77777777" w:rsidR="002C39F4" w:rsidRPr="003024E5" w:rsidRDefault="002C39F4" w:rsidP="002C39F4">
      <w:pPr>
        <w:pStyle w:val="a8"/>
        <w:numPr>
          <w:ilvl w:val="0"/>
          <w:numId w:val="14"/>
        </w:numPr>
        <w:rPr>
          <w:rFonts w:asciiTheme="minorBidi" w:hAnsiTheme="minorBidi"/>
        </w:rPr>
      </w:pPr>
      <w:r w:rsidRPr="003024E5">
        <w:rPr>
          <w:rFonts w:asciiTheme="minorBidi" w:hAnsiTheme="minorBidi"/>
          <w:rtl/>
        </w:rPr>
        <w:t xml:space="preserve">ריב"א </w:t>
      </w:r>
      <w:r w:rsidRPr="003024E5">
        <w:rPr>
          <w:rFonts w:asciiTheme="minorBidi" w:hAnsiTheme="minorBidi"/>
          <w:sz w:val="16"/>
          <w:szCs w:val="16"/>
          <w:rtl/>
        </w:rPr>
        <w:t>(הביאו הסמ"ג)</w:t>
      </w:r>
      <w:r w:rsidRPr="003024E5">
        <w:rPr>
          <w:rFonts w:asciiTheme="minorBidi" w:hAnsiTheme="minorBidi"/>
          <w:rtl/>
        </w:rPr>
        <w:t>- אין להתיר זה אלא ע"י טעימת קפילא לדעת אם יש בקדרה טעם מלח יותר מדאי</w:t>
      </w:r>
      <w:r w:rsidRPr="003024E5">
        <w:rPr>
          <w:rStyle w:val="a7"/>
          <w:rFonts w:asciiTheme="minorBidi" w:hAnsiTheme="minorBidi"/>
          <w:rtl/>
        </w:rPr>
        <w:footnoteReference w:id="140"/>
      </w:r>
      <w:r w:rsidRPr="003024E5">
        <w:rPr>
          <w:rFonts w:asciiTheme="minorBidi" w:hAnsiTheme="minorBidi"/>
          <w:rtl/>
        </w:rPr>
        <w:t xml:space="preserve">. </w:t>
      </w:r>
    </w:p>
    <w:p w14:paraId="0950E610" w14:textId="77777777" w:rsidR="002C39F4" w:rsidRPr="003024E5" w:rsidRDefault="002C39F4" w:rsidP="002C39F4">
      <w:pPr>
        <w:pStyle w:val="a8"/>
        <w:numPr>
          <w:ilvl w:val="0"/>
          <w:numId w:val="14"/>
        </w:numPr>
        <w:rPr>
          <w:rFonts w:asciiTheme="minorBidi" w:hAnsiTheme="minorBidi"/>
        </w:rPr>
      </w:pPr>
      <w:r>
        <w:rPr>
          <w:rFonts w:asciiTheme="minorBidi" w:hAnsiTheme="minorBidi"/>
          <w:rtl/>
        </w:rPr>
        <w:lastRenderedPageBreak/>
        <w:t>או"ה</w:t>
      </w:r>
      <w:r w:rsidRPr="003024E5">
        <w:rPr>
          <w:rFonts w:asciiTheme="minorBidi" w:hAnsiTheme="minorBidi"/>
          <w:rtl/>
        </w:rPr>
        <w:t xml:space="preserve"> </w:t>
      </w:r>
      <w:r w:rsidRPr="003024E5">
        <w:rPr>
          <w:rFonts w:asciiTheme="minorBidi" w:hAnsiTheme="minorBidi"/>
          <w:sz w:val="16"/>
          <w:szCs w:val="16"/>
          <w:rtl/>
        </w:rPr>
        <w:t>(כלל כב ד</w:t>
      </w:r>
      <w:r>
        <w:rPr>
          <w:rFonts w:asciiTheme="minorBidi" w:hAnsiTheme="minorBidi" w:hint="cs"/>
          <w:sz w:val="16"/>
          <w:szCs w:val="16"/>
          <w:rtl/>
        </w:rPr>
        <w:t>"</w:t>
      </w:r>
      <w:r w:rsidRPr="003024E5">
        <w:rPr>
          <w:rFonts w:asciiTheme="minorBidi" w:hAnsiTheme="minorBidi"/>
          <w:sz w:val="16"/>
          <w:szCs w:val="16"/>
          <w:rtl/>
        </w:rPr>
        <w:t>ב)</w:t>
      </w:r>
      <w:r w:rsidRPr="003024E5">
        <w:rPr>
          <w:rFonts w:asciiTheme="minorBidi" w:hAnsiTheme="minorBidi"/>
          <w:rtl/>
        </w:rPr>
        <w:t>- נוהגים להתיר אפילו בלא יוצא ונכנס משום דנהי דאאיסורא לא קפדי אנקיותא קפדי</w:t>
      </w:r>
      <w:r>
        <w:rPr>
          <w:rFonts w:asciiTheme="minorBidi" w:hAnsiTheme="minorBidi" w:hint="cs"/>
          <w:rtl/>
        </w:rPr>
        <w:t>,</w:t>
      </w:r>
      <w:r w:rsidRPr="003024E5">
        <w:rPr>
          <w:rFonts w:asciiTheme="minorBidi" w:hAnsiTheme="minorBidi"/>
          <w:rtl/>
        </w:rPr>
        <w:t xml:space="preserve"> וכ"כ הר"י מאורליינ"ש</w:t>
      </w:r>
      <w:r w:rsidRPr="003024E5">
        <w:rPr>
          <w:rStyle w:val="a7"/>
          <w:rFonts w:asciiTheme="minorBidi" w:hAnsiTheme="minorBidi"/>
          <w:rtl/>
        </w:rPr>
        <w:footnoteReference w:id="141"/>
      </w:r>
      <w:r w:rsidRPr="003024E5">
        <w:rPr>
          <w:rFonts w:asciiTheme="minorBidi" w:hAnsiTheme="minorBidi"/>
          <w:rtl/>
        </w:rPr>
        <w:t>.</w:t>
      </w:r>
    </w:p>
    <w:p w14:paraId="7F96AA4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 xml:space="preserve">שו"ע: </w:t>
      </w:r>
    </w:p>
    <w:p w14:paraId="520F8E61" w14:textId="77777777" w:rsidR="002C39F4" w:rsidRPr="003024E5" w:rsidRDefault="002C39F4" w:rsidP="002C39F4">
      <w:pPr>
        <w:rPr>
          <w:rFonts w:asciiTheme="minorBidi" w:hAnsiTheme="minorBidi"/>
          <w:rtl/>
        </w:rPr>
      </w:pPr>
      <w:r>
        <w:rPr>
          <w:rFonts w:asciiTheme="minorBidi" w:hAnsiTheme="minorBidi" w:hint="cs"/>
          <w:rtl/>
        </w:rPr>
        <w:t>גוי</w:t>
      </w:r>
      <w:r w:rsidRPr="003024E5">
        <w:rPr>
          <w:rFonts w:asciiTheme="minorBidi" w:hAnsiTheme="minorBidi"/>
          <w:rtl/>
        </w:rPr>
        <w:t xml:space="preserve"> משמש בבית ישראל ונתן הבשר בקדירה ואין ידוע אם הדיחו, אם יודע </w:t>
      </w:r>
      <w:r>
        <w:rPr>
          <w:rFonts w:asciiTheme="minorBidi" w:hAnsiTheme="minorBidi" w:hint="cs"/>
          <w:rtl/>
        </w:rPr>
        <w:t>הגוי</w:t>
      </w:r>
      <w:r w:rsidRPr="003024E5">
        <w:rPr>
          <w:rFonts w:asciiTheme="minorBidi" w:hAnsiTheme="minorBidi"/>
          <w:rtl/>
        </w:rPr>
        <w:t xml:space="preserve"> מנהג ישראל סומכין על דבריו אם היה שם ישראל יוצא ונכנס או שום קטן בן דעת. </w:t>
      </w:r>
      <w:r w:rsidRPr="003024E5">
        <w:rPr>
          <w:rFonts w:asciiTheme="minorBidi" w:hAnsiTheme="minorBidi"/>
          <w:sz w:val="18"/>
          <w:szCs w:val="18"/>
          <w:rtl/>
        </w:rPr>
        <w:t>הגה: ובחד מינייהו סגי</w:t>
      </w:r>
      <w:r w:rsidRPr="003024E5">
        <w:rPr>
          <w:rStyle w:val="a7"/>
          <w:rFonts w:asciiTheme="minorBidi" w:hAnsiTheme="minorBidi"/>
          <w:sz w:val="18"/>
          <w:szCs w:val="18"/>
          <w:rtl/>
        </w:rPr>
        <w:footnoteReference w:id="142"/>
      </w:r>
      <w:r w:rsidRPr="003024E5">
        <w:rPr>
          <w:rFonts w:asciiTheme="minorBidi" w:hAnsiTheme="minorBidi"/>
          <w:sz w:val="18"/>
          <w:szCs w:val="18"/>
          <w:rtl/>
        </w:rPr>
        <w:t>, או במסיח לפי תומו שהדיחו יפה</w:t>
      </w:r>
      <w:r w:rsidRPr="003024E5">
        <w:rPr>
          <w:rStyle w:val="a7"/>
          <w:rFonts w:asciiTheme="minorBidi" w:hAnsiTheme="minorBidi"/>
          <w:sz w:val="18"/>
          <w:szCs w:val="18"/>
          <w:rtl/>
        </w:rPr>
        <w:footnoteReference w:id="143"/>
      </w:r>
      <w:r w:rsidRPr="003024E5">
        <w:rPr>
          <w:rFonts w:asciiTheme="minorBidi" w:hAnsiTheme="minorBidi"/>
          <w:sz w:val="18"/>
          <w:szCs w:val="18"/>
          <w:rtl/>
        </w:rPr>
        <w:t xml:space="preserve"> או שישראל אפילו קטן</w:t>
      </w:r>
      <w:r w:rsidRPr="003024E5">
        <w:rPr>
          <w:rStyle w:val="a7"/>
          <w:rFonts w:asciiTheme="minorBidi" w:hAnsiTheme="minorBidi"/>
          <w:sz w:val="18"/>
          <w:szCs w:val="18"/>
          <w:rtl/>
        </w:rPr>
        <w:footnoteReference w:id="144"/>
      </w:r>
      <w:r w:rsidRPr="003024E5">
        <w:rPr>
          <w:rFonts w:asciiTheme="minorBidi" w:hAnsiTheme="minorBidi"/>
          <w:sz w:val="18"/>
          <w:szCs w:val="18"/>
          <w:rtl/>
        </w:rPr>
        <w:t xml:space="preserve"> יוצא ונכנס דמרתת הואיל ויודע מנהגי ישראל</w:t>
      </w:r>
      <w:r>
        <w:rPr>
          <w:rFonts w:asciiTheme="minorBidi" w:hAnsiTheme="minorBidi" w:hint="cs"/>
          <w:sz w:val="18"/>
          <w:szCs w:val="18"/>
          <w:rtl/>
        </w:rPr>
        <w:t xml:space="preserve"> </w:t>
      </w:r>
      <w:r w:rsidRPr="003024E5">
        <w:rPr>
          <w:rFonts w:asciiTheme="minorBidi" w:hAnsiTheme="minorBidi"/>
          <w:sz w:val="18"/>
          <w:szCs w:val="18"/>
          <w:rtl/>
        </w:rPr>
        <w:t>(טור). מיהו אם מיחה ל</w:t>
      </w:r>
      <w:r>
        <w:rPr>
          <w:rFonts w:asciiTheme="minorBidi" w:hAnsiTheme="minorBidi" w:hint="cs"/>
          <w:sz w:val="18"/>
          <w:szCs w:val="18"/>
          <w:rtl/>
        </w:rPr>
        <w:t>גוי</w:t>
      </w:r>
      <w:r w:rsidRPr="003024E5">
        <w:rPr>
          <w:rFonts w:asciiTheme="minorBidi" w:hAnsiTheme="minorBidi"/>
          <w:sz w:val="18"/>
          <w:szCs w:val="18"/>
          <w:rtl/>
        </w:rPr>
        <w:t xml:space="preserve"> שלא ידיחו בלא רשותו והוא עבר על דבריו, אסור</w:t>
      </w:r>
      <w:r w:rsidRPr="003024E5">
        <w:rPr>
          <w:rStyle w:val="a7"/>
          <w:rFonts w:asciiTheme="minorBidi" w:hAnsiTheme="minorBidi"/>
          <w:sz w:val="18"/>
          <w:szCs w:val="18"/>
          <w:rtl/>
        </w:rPr>
        <w:footnoteReference w:id="145"/>
      </w:r>
      <w:r w:rsidRPr="003024E5">
        <w:rPr>
          <w:rFonts w:asciiTheme="minorBidi" w:hAnsiTheme="minorBidi"/>
          <w:sz w:val="18"/>
          <w:szCs w:val="18"/>
          <w:rtl/>
        </w:rPr>
        <w:t>, דהא חזינן דאינו מרתת ואין לסמוך גם כן אדבריו (הגשע"ד ואו"ה).</w:t>
      </w:r>
      <w:r w:rsidRPr="003024E5">
        <w:rPr>
          <w:rFonts w:asciiTheme="minorBidi" w:hAnsiTheme="minorBidi"/>
          <w:rtl/>
        </w:rPr>
        <w:t xml:space="preserve"> </w:t>
      </w:r>
    </w:p>
    <w:p w14:paraId="39D613C1" w14:textId="77777777" w:rsidR="002C39F4" w:rsidRPr="003024E5" w:rsidRDefault="002C39F4" w:rsidP="002C39F4">
      <w:pPr>
        <w:rPr>
          <w:rFonts w:asciiTheme="minorBidi" w:hAnsiTheme="minorBidi"/>
          <w:u w:val="single"/>
          <w:rtl/>
        </w:rPr>
      </w:pPr>
      <w:r w:rsidRPr="003024E5">
        <w:rPr>
          <w:rFonts w:asciiTheme="minorBidi" w:hAnsiTheme="minorBidi"/>
          <w:u w:val="single"/>
          <w:rtl/>
        </w:rPr>
        <w:t>בשר שנתבשל ושכחה האשה אם מלחה את הבשר לפנ"כ:</w:t>
      </w:r>
    </w:p>
    <w:p w14:paraId="64C097E5" w14:textId="77777777" w:rsidR="002C39F4" w:rsidRPr="003024E5" w:rsidRDefault="002C39F4" w:rsidP="002C39F4">
      <w:pPr>
        <w:pStyle w:val="a8"/>
        <w:numPr>
          <w:ilvl w:val="0"/>
          <w:numId w:val="15"/>
        </w:numPr>
        <w:rPr>
          <w:rFonts w:asciiTheme="minorBidi" w:hAnsiTheme="minorBidi"/>
        </w:rPr>
      </w:pPr>
      <w:r w:rsidRPr="003024E5">
        <w:rPr>
          <w:rFonts w:asciiTheme="minorBidi" w:hAnsiTheme="minorBidi"/>
          <w:rtl/>
        </w:rPr>
        <w:t xml:space="preserve">ט"ז </w:t>
      </w:r>
      <w:r w:rsidRPr="003024E5">
        <w:rPr>
          <w:rFonts w:asciiTheme="minorBidi" w:hAnsiTheme="minorBidi"/>
          <w:sz w:val="16"/>
          <w:szCs w:val="16"/>
          <w:rtl/>
        </w:rPr>
        <w:t>(סקכ"ד)</w:t>
      </w:r>
      <w:r w:rsidRPr="003024E5">
        <w:rPr>
          <w:rFonts w:asciiTheme="minorBidi" w:hAnsiTheme="minorBidi"/>
          <w:rtl/>
        </w:rPr>
        <w:t>- מעשה בא לידינו באשה אחת שבשלה בשר ושכחה אם מלחה אותו תחילה אם לאו והתרנו מכח זה</w:t>
      </w:r>
      <w:r w:rsidRPr="003024E5">
        <w:rPr>
          <w:rStyle w:val="a7"/>
          <w:rFonts w:asciiTheme="minorBidi" w:hAnsiTheme="minorBidi"/>
          <w:rtl/>
        </w:rPr>
        <w:footnoteReference w:id="146"/>
      </w:r>
      <w:r w:rsidRPr="003024E5">
        <w:rPr>
          <w:rFonts w:asciiTheme="minorBidi" w:hAnsiTheme="minorBidi"/>
          <w:rtl/>
        </w:rPr>
        <w:t xml:space="preserve"> דלא הוי אלא ספיקא דרבנן ולקולא, ועוד די"א דמליח הוא מדרבנן וספק דרבנן לקולא, ועוד דבודאי עשתה האשה כדרכה ומלחה תחלה </w:t>
      </w:r>
      <w:r w:rsidRPr="003024E5">
        <w:rPr>
          <w:rFonts w:asciiTheme="minorBidi" w:hAnsiTheme="minorBidi"/>
          <w:sz w:val="16"/>
          <w:szCs w:val="16"/>
          <w:rtl/>
        </w:rPr>
        <w:t>(כעין ההיא דאמרינן גבי ק"ש טעה בוכתבתם והתחיל למען ירבו כו' א"צ לחזור דסירכיה נקיט ואתי)</w:t>
      </w:r>
      <w:r w:rsidRPr="003024E5">
        <w:rPr>
          <w:rFonts w:asciiTheme="minorBidi" w:hAnsiTheme="minorBidi"/>
          <w:rtl/>
        </w:rPr>
        <w:t>, ועוד דרוב פעמים מולחין תחלה ורוב עדיף מחזקה.</w:t>
      </w:r>
    </w:p>
    <w:p w14:paraId="4B9022A7" w14:textId="77777777" w:rsidR="002C39F4" w:rsidRPr="003024E5" w:rsidRDefault="002C39F4" w:rsidP="002C39F4">
      <w:pPr>
        <w:pStyle w:val="a8"/>
        <w:numPr>
          <w:ilvl w:val="0"/>
          <w:numId w:val="15"/>
        </w:numPr>
        <w:rPr>
          <w:rFonts w:asciiTheme="minorBidi" w:hAnsiTheme="minorBidi"/>
          <w:rtl/>
        </w:rPr>
      </w:pPr>
      <w:r w:rsidRPr="003024E5">
        <w:rPr>
          <w:rFonts w:asciiTheme="minorBidi" w:hAnsiTheme="minorBidi"/>
          <w:rtl/>
        </w:rPr>
        <w:t>ש"ך</w:t>
      </w:r>
      <w:r w:rsidRPr="003024E5">
        <w:rPr>
          <w:rFonts w:asciiTheme="minorBidi" w:hAnsiTheme="minorBidi"/>
          <w:sz w:val="16"/>
          <w:szCs w:val="16"/>
          <w:rtl/>
        </w:rPr>
        <w:t xml:space="preserve"> (בנה"כ)</w:t>
      </w:r>
      <w:r w:rsidRPr="003024E5">
        <w:rPr>
          <w:rFonts w:asciiTheme="minorBidi" w:hAnsiTheme="minorBidi"/>
          <w:rtl/>
        </w:rPr>
        <w:t xml:space="preserve">- הבשר אסור, דאל"כ למה הוצרכו כל הפוסקים להצריך מסל"ת או ליוצא ונכנס הא בלא"ה שרי, וליתא, והי"א שהביא הט"ז הוא נגד כל הפוסקים ולא אמרינן ספק דרבנן לקולא היכא דאיתחזק איסורא וכאן איכא איסור דם, ואינו דומה לק"ש דסירכה נקט הואיל והמליחה היא עסק גדול וא"א לשכוח עסק כזה.  </w:t>
      </w:r>
    </w:p>
    <w:p w14:paraId="738E412C" w14:textId="77777777" w:rsidR="002C39F4" w:rsidRPr="003024E5" w:rsidRDefault="002C39F4" w:rsidP="002C39F4">
      <w:pPr>
        <w:rPr>
          <w:rFonts w:asciiTheme="minorBidi" w:hAnsiTheme="minorBidi"/>
          <w:rtl/>
        </w:rPr>
      </w:pPr>
    </w:p>
    <w:p w14:paraId="33673364" w14:textId="77777777" w:rsidR="002C39F4" w:rsidRPr="003024E5" w:rsidRDefault="002C39F4" w:rsidP="002C39F4">
      <w:pPr>
        <w:pStyle w:val="2"/>
        <w:rPr>
          <w:rFonts w:asciiTheme="minorBidi" w:hAnsiTheme="minorBidi"/>
          <w:rtl/>
        </w:rPr>
      </w:pPr>
      <w:r w:rsidRPr="003024E5">
        <w:rPr>
          <w:rFonts w:asciiTheme="minorBidi" w:hAnsiTheme="minorBidi"/>
          <w:rtl/>
        </w:rPr>
        <w:t>סעיף יא: בשר שנתבשל בקדרה בלא מליחה.</w:t>
      </w:r>
    </w:p>
    <w:p w14:paraId="192B474A" w14:textId="77777777" w:rsidR="002C39F4" w:rsidRPr="003024E5" w:rsidRDefault="002C39F4" w:rsidP="002C39F4">
      <w:pPr>
        <w:rPr>
          <w:rFonts w:asciiTheme="minorBidi" w:hAnsiTheme="minorBidi"/>
          <w:u w:val="single"/>
          <w:rtl/>
        </w:rPr>
      </w:pPr>
      <w:r w:rsidRPr="003024E5">
        <w:rPr>
          <w:rFonts w:asciiTheme="minorBidi" w:hAnsiTheme="minorBidi"/>
          <w:u w:val="single"/>
          <w:rtl/>
        </w:rPr>
        <w:t>בשר שנתבשל בקדרה בלא מליחה</w:t>
      </w:r>
      <w:r>
        <w:rPr>
          <w:rFonts w:asciiTheme="minorBidi" w:hAnsiTheme="minorBidi" w:hint="cs"/>
          <w:u w:val="single"/>
          <w:rtl/>
        </w:rPr>
        <w:t xml:space="preserve"> </w:t>
      </w:r>
      <w:r>
        <w:rPr>
          <w:rFonts w:asciiTheme="minorBidi" w:hAnsiTheme="minorBidi"/>
          <w:u w:val="single"/>
          <w:rtl/>
        </w:rPr>
        <w:t>–</w:t>
      </w:r>
      <w:r>
        <w:rPr>
          <w:rFonts w:asciiTheme="minorBidi" w:hAnsiTheme="minorBidi" w:hint="cs"/>
          <w:u w:val="single"/>
          <w:rtl/>
        </w:rPr>
        <w:t xml:space="preserve"> מה דין שאר התבשיל שבקדרה</w:t>
      </w:r>
      <w:r w:rsidRPr="003024E5">
        <w:rPr>
          <w:rFonts w:asciiTheme="minorBidi" w:hAnsiTheme="minorBidi"/>
          <w:u w:val="single"/>
          <w:rtl/>
        </w:rPr>
        <w:t>:</w:t>
      </w:r>
    </w:p>
    <w:p w14:paraId="2C5AB20F" w14:textId="77777777" w:rsidR="002C39F4" w:rsidRDefault="002C39F4" w:rsidP="002C39F4">
      <w:pPr>
        <w:pStyle w:val="a8"/>
        <w:numPr>
          <w:ilvl w:val="0"/>
          <w:numId w:val="16"/>
        </w:numPr>
        <w:rPr>
          <w:rFonts w:asciiTheme="minorBidi" w:hAnsiTheme="minorBidi"/>
        </w:rPr>
      </w:pPr>
      <w:r w:rsidRPr="003024E5">
        <w:rPr>
          <w:rFonts w:asciiTheme="minorBidi" w:hAnsiTheme="minorBidi"/>
          <w:rtl/>
        </w:rPr>
        <w:t xml:space="preserve">ר"ש משנץ </w:t>
      </w:r>
      <w:r w:rsidRPr="003024E5">
        <w:rPr>
          <w:rFonts w:asciiTheme="minorBidi" w:hAnsiTheme="minorBidi"/>
          <w:sz w:val="16"/>
          <w:szCs w:val="16"/>
          <w:rtl/>
        </w:rPr>
        <w:t>(כ"כ בשמו המרדכי סי' תשלב)</w:t>
      </w:r>
      <w:r>
        <w:rPr>
          <w:rFonts w:asciiTheme="minorBidi" w:hAnsiTheme="minorBidi" w:hint="cs"/>
          <w:rtl/>
        </w:rPr>
        <w:t xml:space="preserve"> </w:t>
      </w:r>
      <w:r w:rsidRPr="003024E5">
        <w:rPr>
          <w:rFonts w:asciiTheme="minorBidi" w:hAnsiTheme="minorBidi"/>
          <w:rtl/>
        </w:rPr>
        <w:t xml:space="preserve">רשב"ט </w:t>
      </w:r>
      <w:r w:rsidRPr="003024E5">
        <w:rPr>
          <w:rFonts w:asciiTheme="minorBidi" w:hAnsiTheme="minorBidi"/>
          <w:sz w:val="16"/>
          <w:szCs w:val="16"/>
          <w:rtl/>
        </w:rPr>
        <w:t>(כ"כ בשמו המרדכי סי' תשלא)</w:t>
      </w:r>
      <w:r w:rsidRPr="003024E5">
        <w:rPr>
          <w:rFonts w:asciiTheme="minorBidi" w:hAnsiTheme="minorBidi"/>
          <w:rtl/>
        </w:rPr>
        <w:t xml:space="preserve"> ורא"ש </w:t>
      </w:r>
      <w:r w:rsidRPr="003024E5">
        <w:rPr>
          <w:rFonts w:asciiTheme="minorBidi" w:hAnsiTheme="minorBidi"/>
          <w:sz w:val="16"/>
          <w:szCs w:val="16"/>
          <w:rtl/>
        </w:rPr>
        <w:t>(פכ"ה סי' מה)</w:t>
      </w:r>
      <w:r w:rsidRPr="003024E5">
        <w:rPr>
          <w:rFonts w:asciiTheme="minorBidi" w:hAnsiTheme="minorBidi"/>
          <w:rtl/>
        </w:rPr>
        <w:t xml:space="preserve">- "צריך </w:t>
      </w:r>
      <w:r>
        <w:rPr>
          <w:rFonts w:asciiTheme="minorBidi" w:hAnsiTheme="minorBidi" w:hint="cs"/>
          <w:rtl/>
        </w:rPr>
        <w:t>ס'</w:t>
      </w:r>
      <w:r w:rsidRPr="003024E5">
        <w:rPr>
          <w:rFonts w:asciiTheme="minorBidi" w:hAnsiTheme="minorBidi"/>
          <w:rtl/>
        </w:rPr>
        <w:t xml:space="preserve"> לבטל כל החתיכה דלא ידעינן כמה דמא נפיק מיניה, ואם יש </w:t>
      </w:r>
      <w:r>
        <w:rPr>
          <w:rFonts w:asciiTheme="minorBidi" w:hAnsiTheme="minorBidi" w:hint="cs"/>
          <w:rtl/>
        </w:rPr>
        <w:t>ס'</w:t>
      </w:r>
      <w:r w:rsidRPr="003024E5">
        <w:rPr>
          <w:rFonts w:asciiTheme="minorBidi" w:hAnsiTheme="minorBidi"/>
          <w:rtl/>
        </w:rPr>
        <w:t xml:space="preserve"> בתבשיל אז התבשיל מותר</w:t>
      </w:r>
      <w:r w:rsidRPr="003024E5">
        <w:rPr>
          <w:rFonts w:asciiTheme="minorBidi" w:hAnsiTheme="minorBidi"/>
          <w:sz w:val="16"/>
          <w:szCs w:val="16"/>
          <w:rtl/>
        </w:rPr>
        <w:t xml:space="preserve"> (ל' הרא"ש)</w:t>
      </w:r>
      <w:r w:rsidRPr="003024E5">
        <w:rPr>
          <w:rFonts w:asciiTheme="minorBidi" w:hAnsiTheme="minorBidi"/>
          <w:rtl/>
        </w:rPr>
        <w:t xml:space="preserve">". </w:t>
      </w:r>
      <w:r w:rsidRPr="00B15912">
        <w:rPr>
          <w:rFonts w:asciiTheme="minorBidi" w:hAnsiTheme="minorBidi" w:hint="cs"/>
          <w:color w:val="E36C0A" w:themeColor="accent6" w:themeShade="BF"/>
          <w:rtl/>
        </w:rPr>
        <w:t>(וכ"פ בשו"ע)</w:t>
      </w:r>
    </w:p>
    <w:p w14:paraId="2E6DAA90" w14:textId="77777777" w:rsidR="002C39F4" w:rsidRPr="00EF26E7" w:rsidRDefault="002C39F4" w:rsidP="002C39F4">
      <w:pPr>
        <w:ind w:left="360"/>
        <w:rPr>
          <w:rFonts w:asciiTheme="minorBidi" w:hAnsiTheme="minorBidi"/>
          <w:u w:val="dotted"/>
        </w:rPr>
      </w:pPr>
      <w:r w:rsidRPr="00EF26E7">
        <w:rPr>
          <w:rFonts w:asciiTheme="minorBidi" w:hAnsiTheme="minorBidi" w:hint="cs"/>
          <w:u w:val="dotted"/>
          <w:rtl/>
        </w:rPr>
        <w:t>ומה דין הבשר</w:t>
      </w:r>
      <w:r w:rsidRPr="00EF26E7">
        <w:rPr>
          <w:rFonts w:asciiTheme="minorBidi" w:hAnsiTheme="minorBidi" w:hint="cs"/>
          <w:sz w:val="16"/>
          <w:szCs w:val="16"/>
          <w:u w:val="dotted"/>
          <w:rtl/>
        </w:rPr>
        <w:t xml:space="preserve"> </w:t>
      </w:r>
      <w:r>
        <w:rPr>
          <w:rFonts w:asciiTheme="minorBidi" w:hAnsiTheme="minorBidi" w:hint="cs"/>
          <w:u w:val="dotted"/>
          <w:rtl/>
        </w:rPr>
        <w:t xml:space="preserve">שלא נמלח בכה"ג </w:t>
      </w:r>
      <w:r w:rsidRPr="00EF26E7">
        <w:rPr>
          <w:rFonts w:asciiTheme="minorBidi" w:hAnsiTheme="minorBidi" w:hint="cs"/>
          <w:sz w:val="16"/>
          <w:szCs w:val="16"/>
          <w:u w:val="dotted"/>
          <w:rtl/>
        </w:rPr>
        <w:t>(</w:t>
      </w:r>
      <w:r>
        <w:rPr>
          <w:rFonts w:asciiTheme="minorBidi" w:hAnsiTheme="minorBidi" w:hint="cs"/>
          <w:sz w:val="16"/>
          <w:szCs w:val="16"/>
          <w:u w:val="dotted"/>
          <w:rtl/>
        </w:rPr>
        <w:t>היינו כ</w:t>
      </w:r>
      <w:r w:rsidRPr="00EF26E7">
        <w:rPr>
          <w:rFonts w:asciiTheme="minorBidi" w:hAnsiTheme="minorBidi" w:hint="cs"/>
          <w:sz w:val="16"/>
          <w:szCs w:val="16"/>
          <w:u w:val="dotted"/>
          <w:rtl/>
        </w:rPr>
        <w:t>שיש ס' נגד החתיכה)</w:t>
      </w:r>
      <w:r w:rsidRPr="00EF26E7">
        <w:rPr>
          <w:rFonts w:asciiTheme="minorBidi" w:hAnsiTheme="minorBidi" w:hint="cs"/>
          <w:u w:val="dotted"/>
          <w:rtl/>
        </w:rPr>
        <w:t>:</w:t>
      </w:r>
    </w:p>
    <w:p w14:paraId="40352A3C" w14:textId="77777777" w:rsidR="002C39F4" w:rsidRDefault="002C39F4" w:rsidP="002C39F4">
      <w:pPr>
        <w:pStyle w:val="a8"/>
        <w:numPr>
          <w:ilvl w:val="0"/>
          <w:numId w:val="16"/>
        </w:numPr>
        <w:rPr>
          <w:rFonts w:asciiTheme="minorBidi" w:hAnsiTheme="minorBidi"/>
        </w:rPr>
      </w:pPr>
      <w:r w:rsidRPr="003024E5">
        <w:rPr>
          <w:rFonts w:asciiTheme="minorBidi" w:hAnsiTheme="minorBidi"/>
          <w:rtl/>
        </w:rPr>
        <w:t xml:space="preserve">ר"ש משנץ </w:t>
      </w:r>
      <w:r w:rsidRPr="003024E5">
        <w:rPr>
          <w:rFonts w:asciiTheme="minorBidi" w:hAnsiTheme="minorBidi"/>
          <w:sz w:val="16"/>
          <w:szCs w:val="16"/>
          <w:rtl/>
        </w:rPr>
        <w:t>(</w:t>
      </w:r>
      <w:r>
        <w:rPr>
          <w:rFonts w:asciiTheme="minorBidi" w:hAnsiTheme="minorBidi" w:hint="cs"/>
          <w:sz w:val="16"/>
          <w:szCs w:val="16"/>
          <w:rtl/>
        </w:rPr>
        <w:t>שם)</w:t>
      </w:r>
      <w:r>
        <w:rPr>
          <w:rFonts w:asciiTheme="minorBidi" w:hAnsiTheme="minorBidi" w:hint="cs"/>
          <w:rtl/>
        </w:rPr>
        <w:t xml:space="preserve"> </w:t>
      </w:r>
      <w:r w:rsidRPr="003024E5">
        <w:rPr>
          <w:rFonts w:asciiTheme="minorBidi" w:hAnsiTheme="minorBidi"/>
          <w:rtl/>
        </w:rPr>
        <w:t xml:space="preserve">רשב"ט </w:t>
      </w:r>
      <w:r w:rsidRPr="003024E5">
        <w:rPr>
          <w:rFonts w:asciiTheme="minorBidi" w:hAnsiTheme="minorBidi"/>
          <w:sz w:val="16"/>
          <w:szCs w:val="16"/>
          <w:rtl/>
        </w:rPr>
        <w:t>(</w:t>
      </w:r>
      <w:r>
        <w:rPr>
          <w:rFonts w:asciiTheme="minorBidi" w:hAnsiTheme="minorBidi" w:hint="cs"/>
          <w:sz w:val="16"/>
          <w:szCs w:val="16"/>
          <w:rtl/>
        </w:rPr>
        <w:t>שם</w:t>
      </w:r>
      <w:r w:rsidRPr="003024E5">
        <w:rPr>
          <w:rFonts w:asciiTheme="minorBidi" w:hAnsiTheme="minorBidi"/>
          <w:sz w:val="16"/>
          <w:szCs w:val="16"/>
          <w:rtl/>
        </w:rPr>
        <w:t>)</w:t>
      </w:r>
      <w:r w:rsidRPr="003024E5">
        <w:rPr>
          <w:rFonts w:asciiTheme="minorBidi" w:hAnsiTheme="minorBidi"/>
          <w:rtl/>
        </w:rPr>
        <w:t xml:space="preserve"> ורא"ש </w:t>
      </w:r>
      <w:r w:rsidRPr="003024E5">
        <w:rPr>
          <w:rFonts w:asciiTheme="minorBidi" w:hAnsiTheme="minorBidi"/>
          <w:sz w:val="16"/>
          <w:szCs w:val="16"/>
          <w:rtl/>
        </w:rPr>
        <w:t>(</w:t>
      </w:r>
      <w:r>
        <w:rPr>
          <w:rFonts w:asciiTheme="minorBidi" w:hAnsiTheme="minorBidi" w:hint="cs"/>
          <w:sz w:val="16"/>
          <w:szCs w:val="16"/>
          <w:rtl/>
        </w:rPr>
        <w:t>שם</w:t>
      </w:r>
      <w:r w:rsidRPr="003024E5">
        <w:rPr>
          <w:rFonts w:asciiTheme="minorBidi" w:hAnsiTheme="minorBidi"/>
          <w:sz w:val="16"/>
          <w:szCs w:val="16"/>
          <w:rtl/>
        </w:rPr>
        <w:t>)</w:t>
      </w:r>
      <w:r w:rsidRPr="003024E5">
        <w:rPr>
          <w:rFonts w:asciiTheme="minorBidi" w:hAnsiTheme="minorBidi"/>
          <w:rtl/>
        </w:rPr>
        <w:t>- "יש אוסרים הבשר כיון שנתבשל בדמו, ויש מתירים לפי שהדם שנפלט נתבטל בס' ואם נשאר בו מקצת דם הוי דם האברים שלא פירש, וכן מסתבר</w:t>
      </w:r>
      <w:r>
        <w:rPr>
          <w:rStyle w:val="a7"/>
          <w:rFonts w:asciiTheme="minorBidi" w:hAnsiTheme="minorBidi"/>
          <w:rtl/>
        </w:rPr>
        <w:footnoteReference w:id="147"/>
      </w:r>
      <w:r w:rsidRPr="003024E5">
        <w:rPr>
          <w:rFonts w:asciiTheme="minorBidi" w:hAnsiTheme="minorBidi"/>
          <w:sz w:val="16"/>
          <w:szCs w:val="16"/>
          <w:rtl/>
        </w:rPr>
        <w:t>(ל' הרא"ש)</w:t>
      </w:r>
      <w:r w:rsidRPr="003024E5">
        <w:rPr>
          <w:rFonts w:asciiTheme="minorBidi" w:hAnsiTheme="minorBidi"/>
          <w:rtl/>
        </w:rPr>
        <w:t xml:space="preserve">". </w:t>
      </w:r>
      <w:r w:rsidRPr="00B15912">
        <w:rPr>
          <w:rFonts w:asciiTheme="minorBidi" w:hAnsiTheme="minorBidi" w:hint="cs"/>
          <w:color w:val="E36C0A" w:themeColor="accent6" w:themeShade="BF"/>
          <w:rtl/>
        </w:rPr>
        <w:t>(וכ"פ בשו"ע)</w:t>
      </w:r>
    </w:p>
    <w:p w14:paraId="52A2040E" w14:textId="77777777" w:rsidR="002C39F4" w:rsidRPr="003024E5" w:rsidRDefault="002C39F4" w:rsidP="002C39F4">
      <w:pPr>
        <w:pStyle w:val="a8"/>
        <w:numPr>
          <w:ilvl w:val="0"/>
          <w:numId w:val="16"/>
        </w:numPr>
        <w:rPr>
          <w:rFonts w:asciiTheme="minorBidi" w:hAnsiTheme="minorBidi"/>
        </w:rPr>
      </w:pPr>
      <w:r w:rsidRPr="003024E5">
        <w:rPr>
          <w:rFonts w:asciiTheme="minorBidi" w:hAnsiTheme="minorBidi"/>
          <w:rtl/>
        </w:rPr>
        <w:t xml:space="preserve">ראב"ן </w:t>
      </w:r>
      <w:r w:rsidRPr="003024E5">
        <w:rPr>
          <w:rFonts w:asciiTheme="minorBidi" w:hAnsiTheme="minorBidi"/>
          <w:sz w:val="16"/>
          <w:szCs w:val="16"/>
          <w:rtl/>
        </w:rPr>
        <w:t xml:space="preserve">(סי' יז, הביאוהו המרדכי </w:t>
      </w:r>
      <w:r w:rsidRPr="003024E5">
        <w:rPr>
          <w:rFonts w:asciiTheme="minorBidi" w:hAnsiTheme="minorBidi"/>
          <w:sz w:val="14"/>
          <w:szCs w:val="14"/>
          <w:rtl/>
        </w:rPr>
        <w:t>[סי' תשלא]</w:t>
      </w:r>
      <w:r w:rsidRPr="003024E5">
        <w:rPr>
          <w:rFonts w:asciiTheme="minorBidi" w:hAnsiTheme="minorBidi"/>
          <w:sz w:val="16"/>
          <w:szCs w:val="16"/>
          <w:rtl/>
        </w:rPr>
        <w:t xml:space="preserve"> והאו"ה </w:t>
      </w:r>
      <w:r w:rsidRPr="003024E5">
        <w:rPr>
          <w:rFonts w:asciiTheme="minorBidi" w:hAnsiTheme="minorBidi"/>
          <w:sz w:val="14"/>
          <w:szCs w:val="14"/>
          <w:rtl/>
        </w:rPr>
        <w:t>[שם]</w:t>
      </w:r>
      <w:r w:rsidRPr="003024E5">
        <w:rPr>
          <w:rFonts w:asciiTheme="minorBidi" w:hAnsiTheme="minorBidi"/>
          <w:sz w:val="16"/>
          <w:szCs w:val="16"/>
          <w:rtl/>
        </w:rPr>
        <w:t xml:space="preserve">) </w:t>
      </w:r>
      <w:r w:rsidRPr="003024E5">
        <w:rPr>
          <w:rFonts w:asciiTheme="minorBidi" w:hAnsiTheme="minorBidi"/>
          <w:rtl/>
        </w:rPr>
        <w:t xml:space="preserve">ואו"ה </w:t>
      </w:r>
      <w:r w:rsidRPr="003024E5">
        <w:rPr>
          <w:rFonts w:asciiTheme="minorBidi" w:hAnsiTheme="minorBidi"/>
          <w:sz w:val="16"/>
          <w:szCs w:val="16"/>
          <w:rtl/>
        </w:rPr>
        <w:t>(כלל ז ד</w:t>
      </w:r>
      <w:r>
        <w:rPr>
          <w:rFonts w:asciiTheme="minorBidi" w:hAnsiTheme="minorBidi" w:hint="cs"/>
          <w:sz w:val="16"/>
          <w:szCs w:val="16"/>
          <w:rtl/>
        </w:rPr>
        <w:t>"</w:t>
      </w:r>
      <w:r w:rsidRPr="003024E5">
        <w:rPr>
          <w:rFonts w:asciiTheme="minorBidi" w:hAnsiTheme="minorBidi"/>
          <w:sz w:val="16"/>
          <w:szCs w:val="16"/>
          <w:rtl/>
        </w:rPr>
        <w:t>א-ג)</w:t>
      </w:r>
      <w:r w:rsidRPr="003024E5">
        <w:rPr>
          <w:rFonts w:asciiTheme="minorBidi" w:hAnsiTheme="minorBidi"/>
          <w:rtl/>
        </w:rPr>
        <w:t>- אף כשיש ששים החתיכה אסורה</w:t>
      </w:r>
      <w:r w:rsidRPr="003024E5">
        <w:rPr>
          <w:rStyle w:val="a7"/>
          <w:rFonts w:asciiTheme="minorBidi" w:hAnsiTheme="minorBidi"/>
          <w:rtl/>
        </w:rPr>
        <w:footnoteReference w:id="148"/>
      </w:r>
      <w:r w:rsidRPr="003024E5">
        <w:rPr>
          <w:rFonts w:asciiTheme="minorBidi" w:hAnsiTheme="minorBidi"/>
          <w:rtl/>
        </w:rPr>
        <w:t xml:space="preserve">. </w:t>
      </w:r>
    </w:p>
    <w:p w14:paraId="2C827922" w14:textId="77777777" w:rsidR="002C39F4" w:rsidRPr="003024E5" w:rsidRDefault="002C39F4" w:rsidP="002C39F4">
      <w:pPr>
        <w:pStyle w:val="a8"/>
        <w:numPr>
          <w:ilvl w:val="0"/>
          <w:numId w:val="16"/>
        </w:numPr>
        <w:rPr>
          <w:rFonts w:asciiTheme="minorBidi" w:hAnsiTheme="minorBidi"/>
        </w:rPr>
      </w:pPr>
      <w:r w:rsidRPr="003024E5">
        <w:rPr>
          <w:rFonts w:asciiTheme="minorBidi" w:hAnsiTheme="minorBidi"/>
          <w:rtl/>
        </w:rPr>
        <w:t xml:space="preserve">א"ח </w:t>
      </w:r>
      <w:r w:rsidRPr="003024E5">
        <w:rPr>
          <w:rFonts w:asciiTheme="minorBidi" w:hAnsiTheme="minorBidi"/>
          <w:sz w:val="16"/>
          <w:szCs w:val="16"/>
          <w:rtl/>
        </w:rPr>
        <w:t>(הל</w:t>
      </w:r>
      <w:r>
        <w:rPr>
          <w:rFonts w:asciiTheme="minorBidi" w:hAnsiTheme="minorBidi" w:hint="cs"/>
          <w:sz w:val="16"/>
          <w:szCs w:val="16"/>
          <w:rtl/>
        </w:rPr>
        <w:t xml:space="preserve">א"מ </w:t>
      </w:r>
      <w:r w:rsidRPr="003024E5">
        <w:rPr>
          <w:rFonts w:asciiTheme="minorBidi" w:hAnsiTheme="minorBidi"/>
          <w:sz w:val="16"/>
          <w:szCs w:val="16"/>
          <w:rtl/>
        </w:rPr>
        <w:t>אות קב)</w:t>
      </w:r>
      <w:r w:rsidRPr="003024E5">
        <w:rPr>
          <w:rFonts w:asciiTheme="minorBidi" w:hAnsiTheme="minorBidi"/>
          <w:rtl/>
        </w:rPr>
        <w:t>- בשר שנתנוהו בקדרה בלא מליחה וערב שבת הוא מותר משום דוחק מתרי טעמי, חדא שהיו המים רותחים וה"ל כחליטה, ועוד שכתב הראב"ד דבשר שלא נמלח במאי דנפק מיניה משערינן</w:t>
      </w:r>
      <w:r w:rsidRPr="003024E5">
        <w:rPr>
          <w:rStyle w:val="a7"/>
          <w:rFonts w:asciiTheme="minorBidi" w:hAnsiTheme="minorBidi"/>
          <w:rtl/>
        </w:rPr>
        <w:footnoteReference w:id="149"/>
      </w:r>
      <w:r>
        <w:rPr>
          <w:rFonts w:asciiTheme="minorBidi" w:hAnsiTheme="minorBidi" w:hint="cs"/>
          <w:rtl/>
        </w:rPr>
        <w:t>.</w:t>
      </w:r>
      <w:r w:rsidRPr="003024E5">
        <w:rPr>
          <w:rFonts w:asciiTheme="minorBidi" w:hAnsiTheme="minorBidi"/>
          <w:rtl/>
        </w:rPr>
        <w:t xml:space="preserve"> </w:t>
      </w:r>
      <w:r>
        <w:rPr>
          <w:rFonts w:asciiTheme="minorBidi" w:hAnsiTheme="minorBidi" w:hint="cs"/>
          <w:rtl/>
        </w:rPr>
        <w:t>ו</w:t>
      </w:r>
      <w:r w:rsidRPr="003024E5">
        <w:rPr>
          <w:rFonts w:asciiTheme="minorBidi" w:hAnsiTheme="minorBidi"/>
          <w:rtl/>
        </w:rPr>
        <w:t>אפילו אין המים רותחים דדבר מועט הוא ובטל בששים</w:t>
      </w:r>
      <w:r w:rsidRPr="003024E5">
        <w:rPr>
          <w:rStyle w:val="a7"/>
          <w:rFonts w:asciiTheme="minorBidi" w:hAnsiTheme="minorBidi"/>
          <w:rtl/>
        </w:rPr>
        <w:footnoteReference w:id="150"/>
      </w:r>
      <w:r w:rsidRPr="003024E5">
        <w:rPr>
          <w:rFonts w:asciiTheme="minorBidi" w:hAnsiTheme="minorBidi"/>
          <w:rtl/>
        </w:rPr>
        <w:t>.</w:t>
      </w:r>
      <w:r w:rsidRPr="00EF26E7">
        <w:rPr>
          <w:rFonts w:asciiTheme="minorBidi" w:hAnsiTheme="minorBidi"/>
          <w:color w:val="00B0F0"/>
          <w:rtl/>
        </w:rPr>
        <w:t xml:space="preserve"> </w:t>
      </w:r>
      <w:r w:rsidRPr="00EF26E7">
        <w:rPr>
          <w:rFonts w:asciiTheme="minorBidi" w:hAnsiTheme="minorBidi" w:hint="cs"/>
          <w:color w:val="00B0F0"/>
          <w:rtl/>
        </w:rPr>
        <w:t>(וכ"פ הרמ"א)</w:t>
      </w:r>
    </w:p>
    <w:p w14:paraId="246DE458" w14:textId="77777777" w:rsidR="002C39F4" w:rsidRPr="003024E5" w:rsidRDefault="002C39F4" w:rsidP="002C39F4">
      <w:pPr>
        <w:rPr>
          <w:rFonts w:asciiTheme="minorBidi" w:hAnsiTheme="minorBidi"/>
          <w:u w:val="single"/>
        </w:rPr>
      </w:pPr>
      <w:r w:rsidRPr="003024E5">
        <w:rPr>
          <w:rFonts w:asciiTheme="minorBidi" w:hAnsiTheme="minorBidi"/>
          <w:u w:val="single"/>
          <w:rtl/>
        </w:rPr>
        <w:t>תרנגולת שחוטה שנתחבה במחבת רותח על האש:</w:t>
      </w:r>
    </w:p>
    <w:p w14:paraId="26DDD964" w14:textId="77777777" w:rsidR="002C39F4" w:rsidRPr="003024E5" w:rsidRDefault="002C39F4" w:rsidP="002C39F4">
      <w:pPr>
        <w:pStyle w:val="a8"/>
        <w:numPr>
          <w:ilvl w:val="0"/>
          <w:numId w:val="16"/>
        </w:numPr>
        <w:rPr>
          <w:rFonts w:asciiTheme="minorBidi" w:hAnsiTheme="minorBidi"/>
        </w:rPr>
      </w:pPr>
      <w:r w:rsidRPr="003024E5">
        <w:rPr>
          <w:rFonts w:asciiTheme="minorBidi" w:hAnsiTheme="minorBidi"/>
          <w:rtl/>
        </w:rPr>
        <w:lastRenderedPageBreak/>
        <w:t xml:space="preserve">ר"ש משנץ </w:t>
      </w:r>
      <w:r w:rsidRPr="003024E5">
        <w:rPr>
          <w:rFonts w:asciiTheme="minorBidi" w:hAnsiTheme="minorBidi"/>
          <w:sz w:val="16"/>
          <w:szCs w:val="16"/>
          <w:rtl/>
        </w:rPr>
        <w:t>(כ"כ בשמו המרדכי סי' תשלב)</w:t>
      </w:r>
      <w:r w:rsidRPr="003024E5">
        <w:rPr>
          <w:rFonts w:asciiTheme="minorBidi" w:hAnsiTheme="minorBidi"/>
          <w:rtl/>
        </w:rPr>
        <w:t>- וששאלת על תרנגולת שחוטה שנתחבה במחבת רותח על האש כדי למלגה והתיר אותו התלמיד התרנגולת עצמה אם יש במים ששים מכל התרנגולת, ותמהת איך יתיר בשר לקדרה בלא מליחה- חנם תמהת, דודאי אמת הדבר בחתיכת בשר תפל שבשלו בקדירה אם יש במים ששים מכל החתיכה חתיכה עצמה שריא ממה נפשך, דאם נפל דם שלה בתוך המים נתבטל במים</w:t>
      </w:r>
      <w:r>
        <w:rPr>
          <w:rFonts w:asciiTheme="minorBidi" w:hAnsiTheme="minorBidi" w:hint="cs"/>
          <w:rtl/>
        </w:rPr>
        <w:t>,</w:t>
      </w:r>
      <w:r w:rsidRPr="003024E5">
        <w:rPr>
          <w:rFonts w:asciiTheme="minorBidi" w:hAnsiTheme="minorBidi"/>
          <w:rtl/>
        </w:rPr>
        <w:t xml:space="preserve"> ואם לא נפל דם האיברים מותר, אבל תרנגולת זאת ודאי ראוי להחמיר אע"פ שיש במים ששים, מפני כבד ובני מעים דכמאן דמנחי בדיקולא דמיא ודם הנפלט מהם נבלע בתרנגולת</w:t>
      </w:r>
      <w:r>
        <w:rPr>
          <w:rFonts w:asciiTheme="minorBidi" w:hAnsiTheme="minorBidi" w:hint="cs"/>
          <w:rtl/>
        </w:rPr>
        <w:t>,</w:t>
      </w:r>
      <w:r w:rsidRPr="003024E5">
        <w:rPr>
          <w:rFonts w:asciiTheme="minorBidi" w:hAnsiTheme="minorBidi"/>
          <w:rtl/>
        </w:rPr>
        <w:t xml:space="preserve"> ואין רגילות להשהותה במים רק כדי מליגה ולא כדי שתתבשל כולה</w:t>
      </w:r>
      <w:r>
        <w:rPr>
          <w:rFonts w:asciiTheme="minorBidi" w:hAnsiTheme="minorBidi" w:hint="cs"/>
          <w:rtl/>
        </w:rPr>
        <w:t>,</w:t>
      </w:r>
      <w:r w:rsidRPr="003024E5">
        <w:rPr>
          <w:rFonts w:asciiTheme="minorBidi" w:hAnsiTheme="minorBidi"/>
          <w:rtl/>
        </w:rPr>
        <w:t xml:space="preserve"> ונמצא שבלעה דם הכבד והבני מעים ולא חזר ונפלט לתוך המים, ואפילו שהתה עד שנתבשלה יש לדמותה לכחל בששים וכחל עצמו אסור</w:t>
      </w:r>
      <w:r>
        <w:rPr>
          <w:rFonts w:asciiTheme="minorBidi" w:hAnsiTheme="minorBidi" w:hint="cs"/>
          <w:rtl/>
        </w:rPr>
        <w:t>,</w:t>
      </w:r>
      <w:r w:rsidRPr="003024E5">
        <w:rPr>
          <w:rFonts w:asciiTheme="minorBidi" w:hAnsiTheme="minorBidi"/>
          <w:rtl/>
        </w:rPr>
        <w:t xml:space="preserve"> דיש לחוש שהרותחין חולטין דם הנבלע בתרנגולת שנפלט מבני מעים לתוכה ושוב לא יצא. </w:t>
      </w:r>
    </w:p>
    <w:p w14:paraId="27E98781" w14:textId="77777777" w:rsidR="002C39F4" w:rsidRPr="003024E5" w:rsidRDefault="002C39F4" w:rsidP="002C39F4">
      <w:pPr>
        <w:rPr>
          <w:rFonts w:asciiTheme="minorBidi" w:hAnsiTheme="minorBidi"/>
          <w:u w:val="single"/>
        </w:rPr>
      </w:pPr>
      <w:r w:rsidRPr="003024E5">
        <w:rPr>
          <w:rFonts w:asciiTheme="minorBidi" w:hAnsiTheme="minorBidi"/>
          <w:u w:val="single"/>
          <w:rtl/>
        </w:rPr>
        <w:t>בשר חי שנתנו לכלי רותח שהוסר מעל האור ונדבק בדפני הכלי יבש:</w:t>
      </w:r>
    </w:p>
    <w:p w14:paraId="45001FDA" w14:textId="77777777" w:rsidR="002C39F4" w:rsidRDefault="002C39F4" w:rsidP="002C39F4">
      <w:pPr>
        <w:pStyle w:val="a8"/>
        <w:numPr>
          <w:ilvl w:val="0"/>
          <w:numId w:val="16"/>
        </w:numPr>
        <w:rPr>
          <w:rFonts w:asciiTheme="minorBidi" w:hAnsiTheme="minorBidi"/>
        </w:rPr>
      </w:pPr>
      <w:r w:rsidRPr="003024E5">
        <w:rPr>
          <w:rFonts w:asciiTheme="minorBidi" w:hAnsiTheme="minorBidi"/>
          <w:rtl/>
        </w:rPr>
        <w:t xml:space="preserve">רי"ו </w:t>
      </w:r>
      <w:r w:rsidRPr="003024E5">
        <w:rPr>
          <w:rFonts w:asciiTheme="minorBidi" w:hAnsiTheme="minorBidi"/>
          <w:sz w:val="16"/>
          <w:szCs w:val="16"/>
          <w:rtl/>
        </w:rPr>
        <w:t>(נט"ו אות כה קלה:)</w:t>
      </w:r>
      <w:r w:rsidRPr="003024E5">
        <w:rPr>
          <w:rFonts w:asciiTheme="minorBidi" w:hAnsiTheme="minorBidi"/>
          <w:rtl/>
        </w:rPr>
        <w:t>- בשר חי שנתנו לכלי רותח שהוסר מעל האור ונדבק בדפני הכלי יבש</w:t>
      </w:r>
      <w:r>
        <w:rPr>
          <w:rFonts w:asciiTheme="minorBidi" w:hAnsiTheme="minorBidi" w:hint="cs"/>
          <w:rtl/>
        </w:rPr>
        <w:t>,</w:t>
      </w:r>
      <w:r w:rsidRPr="003024E5">
        <w:rPr>
          <w:rFonts w:asciiTheme="minorBidi" w:hAnsiTheme="minorBidi"/>
          <w:rtl/>
        </w:rPr>
        <w:t xml:space="preserve"> כתבו התוס' שמותר על ההיא דפרק כירה </w:t>
      </w:r>
      <w:r w:rsidRPr="003024E5">
        <w:rPr>
          <w:rFonts w:asciiTheme="minorBidi" w:hAnsiTheme="minorBidi"/>
          <w:sz w:val="16"/>
          <w:szCs w:val="16"/>
          <w:rtl/>
        </w:rPr>
        <w:t xml:space="preserve">(מב: ד"ה והיינו) </w:t>
      </w:r>
      <w:r w:rsidRPr="003024E5">
        <w:rPr>
          <w:rFonts w:asciiTheme="minorBidi" w:hAnsiTheme="minorBidi"/>
          <w:rtl/>
        </w:rPr>
        <w:t xml:space="preserve">דבשרא דתורא לא בשלה, ומ"מ אם נמלח ועדיין לא עמדה במלחה והדביקה בתוך כלי רותח אסור, ולא מיבעיא אם מלוחה ישנה היא דממהרת להתבשל אלא אפילו נמלח עתה אסור, שאע"פ שהבשר אינו מתבשל לחלוחית הדם שבתוכו מתבשל ונבלע, וכ"כ הרא"ש </w:t>
      </w:r>
      <w:r w:rsidRPr="003024E5">
        <w:rPr>
          <w:rFonts w:asciiTheme="minorBidi" w:hAnsiTheme="minorBidi"/>
          <w:sz w:val="16"/>
          <w:szCs w:val="16"/>
          <w:rtl/>
        </w:rPr>
        <w:t>(פכ"ה סי' יז)</w:t>
      </w:r>
      <w:r w:rsidRPr="003024E5">
        <w:rPr>
          <w:rFonts w:asciiTheme="minorBidi" w:hAnsiTheme="minorBidi"/>
          <w:rtl/>
        </w:rPr>
        <w:t>, ונראה לי כי מה שאמרו במלוח ישן דממהר להתבשל דמיירי שהכלי ראשון הוא חולב דאל"כ אין כאן לחלוחית ולא דם מבשר עד שיתבשל ויהיה נבלע בבשר מאחר שהמליח ישן.</w:t>
      </w:r>
    </w:p>
    <w:p w14:paraId="30D2CCAE" w14:textId="77777777" w:rsidR="002C39F4" w:rsidRPr="00E87EAE" w:rsidRDefault="002C39F4" w:rsidP="002C39F4">
      <w:pPr>
        <w:rPr>
          <w:rFonts w:asciiTheme="minorBidi" w:hAnsiTheme="minorBidi"/>
          <w:u w:val="single"/>
        </w:rPr>
      </w:pPr>
      <w:r w:rsidRPr="00E87EAE">
        <w:rPr>
          <w:rFonts w:asciiTheme="minorBidi" w:hAnsiTheme="minorBidi" w:hint="cs"/>
          <w:u w:val="single"/>
          <w:rtl/>
        </w:rPr>
        <w:t>בישול בשר שלא נמלח בחמי טבריא:</w:t>
      </w:r>
      <w:r w:rsidRPr="00E87EAE">
        <w:rPr>
          <w:rFonts w:asciiTheme="minorBidi" w:hAnsiTheme="minorBidi" w:cs="Arial" w:hint="cs"/>
          <w:sz w:val="16"/>
          <w:szCs w:val="16"/>
          <w:rtl/>
        </w:rPr>
        <w:t xml:space="preserve"> </w:t>
      </w:r>
      <w:r>
        <w:rPr>
          <w:rFonts w:asciiTheme="minorBidi" w:hAnsiTheme="minorBidi" w:cs="Arial" w:hint="cs"/>
          <w:sz w:val="16"/>
          <w:szCs w:val="16"/>
          <w:rtl/>
        </w:rPr>
        <w:t xml:space="preserve">   </w:t>
      </w:r>
      <w:r w:rsidRPr="00E87EAE">
        <w:rPr>
          <w:rFonts w:asciiTheme="minorBidi" w:hAnsiTheme="minorBidi" w:cs="Arial" w:hint="cs"/>
          <w:sz w:val="16"/>
          <w:szCs w:val="16"/>
          <w:rtl/>
        </w:rPr>
        <w:t>(פת"ש סקי"ח)</w:t>
      </w:r>
    </w:p>
    <w:p w14:paraId="22030AED" w14:textId="77777777" w:rsidR="002C39F4" w:rsidRPr="00E87EAE" w:rsidRDefault="002C39F4" w:rsidP="002C39F4">
      <w:pPr>
        <w:pStyle w:val="a8"/>
        <w:numPr>
          <w:ilvl w:val="0"/>
          <w:numId w:val="16"/>
        </w:numPr>
        <w:rPr>
          <w:rFonts w:asciiTheme="minorBidi" w:hAnsiTheme="minorBidi"/>
          <w:rtl/>
        </w:rPr>
      </w:pPr>
      <w:r>
        <w:rPr>
          <w:rFonts w:asciiTheme="minorBidi" w:hAnsiTheme="minorBidi" w:cs="Arial" w:hint="cs"/>
          <w:rtl/>
        </w:rPr>
        <w:t xml:space="preserve">אגודה </w:t>
      </w:r>
      <w:r w:rsidRPr="00E87EAE">
        <w:rPr>
          <w:rFonts w:asciiTheme="minorBidi" w:hAnsiTheme="minorBidi" w:cs="Arial" w:hint="cs"/>
          <w:sz w:val="16"/>
          <w:szCs w:val="16"/>
          <w:rtl/>
        </w:rPr>
        <w:t>(חולין קיב. בהגה)</w:t>
      </w:r>
      <w:r>
        <w:rPr>
          <w:rFonts w:asciiTheme="minorBidi" w:hAnsiTheme="minorBidi" w:cs="Arial" w:hint="cs"/>
          <w:rtl/>
        </w:rPr>
        <w:t xml:space="preserve">- </w:t>
      </w:r>
      <w:r w:rsidRPr="00E87EAE">
        <w:rPr>
          <w:rFonts w:asciiTheme="minorBidi" w:hAnsiTheme="minorBidi" w:cs="Arial"/>
          <w:rtl/>
        </w:rPr>
        <w:t>בספר אבי העזרי אמר רבי מותר לבשל בשר בלא מליחה בחמי טבריה דטעמ' מאי אסרו בלא מליחה לקדירה משום דפליט והדר בלע משום דנשאר הדם דכלי</w:t>
      </w:r>
      <w:r>
        <w:rPr>
          <w:rFonts w:asciiTheme="minorBidi" w:hAnsiTheme="minorBidi" w:cs="Arial" w:hint="cs"/>
          <w:rtl/>
        </w:rPr>
        <w:t>,</w:t>
      </w:r>
      <w:r w:rsidRPr="00E87EAE">
        <w:rPr>
          <w:rFonts w:asciiTheme="minorBidi" w:hAnsiTheme="minorBidi" w:cs="Arial"/>
          <w:rtl/>
        </w:rPr>
        <w:t xml:space="preserve"> אבל חמי טברי' פליט ולא בלע דומיא דצלי הוא</w:t>
      </w:r>
      <w:r>
        <w:rPr>
          <w:rStyle w:val="a7"/>
          <w:rFonts w:asciiTheme="minorBidi" w:hAnsiTheme="minorBidi" w:cs="Arial"/>
          <w:rtl/>
        </w:rPr>
        <w:footnoteReference w:id="151"/>
      </w:r>
      <w:r w:rsidRPr="00E87EAE">
        <w:rPr>
          <w:rFonts w:asciiTheme="minorBidi" w:hAnsiTheme="minorBidi" w:cs="Arial"/>
          <w:rtl/>
        </w:rPr>
        <w:t>.</w:t>
      </w:r>
    </w:p>
    <w:p w14:paraId="69C6E62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E78985A" w14:textId="77777777" w:rsidR="002C39F4" w:rsidRDefault="002C39F4" w:rsidP="002C39F4">
      <w:pPr>
        <w:rPr>
          <w:rFonts w:asciiTheme="minorBidi" w:hAnsiTheme="minorBidi"/>
          <w:rtl/>
        </w:rPr>
      </w:pPr>
      <w:r w:rsidRPr="003024E5">
        <w:rPr>
          <w:rFonts w:asciiTheme="minorBidi" w:hAnsiTheme="minorBidi"/>
          <w:rtl/>
        </w:rPr>
        <w:t>בשר שנתבשל</w:t>
      </w:r>
      <w:r w:rsidRPr="003024E5">
        <w:rPr>
          <w:rStyle w:val="a7"/>
          <w:rFonts w:asciiTheme="minorBidi" w:hAnsiTheme="minorBidi"/>
          <w:rtl/>
        </w:rPr>
        <w:footnoteReference w:id="152"/>
      </w:r>
      <w:r w:rsidRPr="003024E5">
        <w:rPr>
          <w:rFonts w:asciiTheme="minorBidi" w:hAnsiTheme="minorBidi"/>
          <w:rtl/>
        </w:rPr>
        <w:t xml:space="preserve"> בלא מליחה צריך שיהיה בתבשיל ששים כנגד אותו בשר</w:t>
      </w:r>
      <w:r>
        <w:rPr>
          <w:rStyle w:val="a7"/>
          <w:rFonts w:asciiTheme="minorBidi" w:hAnsiTheme="minorBidi"/>
          <w:rtl/>
        </w:rPr>
        <w:footnoteReference w:id="153"/>
      </w:r>
      <w:r w:rsidRPr="003024E5">
        <w:rPr>
          <w:rFonts w:asciiTheme="minorBidi" w:hAnsiTheme="minorBidi"/>
          <w:rtl/>
        </w:rPr>
        <w:t xml:space="preserve"> ואז מותר הכל. </w:t>
      </w:r>
      <w:r w:rsidRPr="003024E5">
        <w:rPr>
          <w:rFonts w:asciiTheme="minorBidi" w:hAnsiTheme="minorBidi"/>
          <w:sz w:val="18"/>
          <w:szCs w:val="18"/>
          <w:rtl/>
        </w:rPr>
        <w:t>הגה: ויש אוסרים אותה חתיכה</w:t>
      </w:r>
      <w:r w:rsidRPr="003024E5">
        <w:rPr>
          <w:rStyle w:val="a7"/>
          <w:rFonts w:asciiTheme="minorBidi" w:hAnsiTheme="minorBidi"/>
          <w:sz w:val="18"/>
          <w:szCs w:val="18"/>
          <w:rtl/>
        </w:rPr>
        <w:footnoteReference w:id="154"/>
      </w:r>
      <w:r w:rsidRPr="003024E5">
        <w:rPr>
          <w:rFonts w:asciiTheme="minorBidi" w:hAnsiTheme="minorBidi"/>
          <w:sz w:val="18"/>
          <w:szCs w:val="18"/>
          <w:rtl/>
        </w:rPr>
        <w:t xml:space="preserve"> אפילו בדאיכא ס' נגד החתיכה</w:t>
      </w:r>
      <w:r w:rsidRPr="003024E5">
        <w:rPr>
          <w:rStyle w:val="a7"/>
          <w:rFonts w:asciiTheme="minorBidi" w:hAnsiTheme="minorBidi"/>
          <w:sz w:val="18"/>
          <w:szCs w:val="18"/>
          <w:rtl/>
        </w:rPr>
        <w:footnoteReference w:id="155"/>
      </w:r>
      <w:r w:rsidRPr="003024E5">
        <w:rPr>
          <w:rFonts w:asciiTheme="minorBidi" w:hAnsiTheme="minorBidi"/>
          <w:sz w:val="18"/>
          <w:szCs w:val="18"/>
          <w:rtl/>
        </w:rPr>
        <w:t xml:space="preserve"> </w:t>
      </w:r>
      <w:r w:rsidRPr="003024E5">
        <w:rPr>
          <w:rFonts w:asciiTheme="minorBidi" w:hAnsiTheme="minorBidi"/>
          <w:sz w:val="16"/>
          <w:szCs w:val="16"/>
          <w:rtl/>
        </w:rPr>
        <w:t>(טור בשם י"א והגה"מ בשם סמ"ק והגשע"ד וארוך ומהרא"י ומרדכי בשם ראב"ן)</w:t>
      </w:r>
      <w:r w:rsidRPr="003024E5">
        <w:rPr>
          <w:rFonts w:asciiTheme="minorBidi" w:hAnsiTheme="minorBidi"/>
          <w:sz w:val="18"/>
          <w:szCs w:val="18"/>
          <w:rtl/>
        </w:rPr>
        <w:t>, והכי נהוג אם לא לצורך, כגון לכבוד שבת או לכבוד אורחים</w:t>
      </w:r>
      <w:r w:rsidRPr="003024E5">
        <w:rPr>
          <w:rStyle w:val="a7"/>
          <w:rFonts w:asciiTheme="minorBidi" w:hAnsiTheme="minorBidi"/>
          <w:sz w:val="18"/>
          <w:szCs w:val="18"/>
          <w:rtl/>
        </w:rPr>
        <w:footnoteReference w:id="156"/>
      </w:r>
      <w:r w:rsidRPr="003024E5">
        <w:rPr>
          <w:rFonts w:asciiTheme="minorBidi" w:hAnsiTheme="minorBidi"/>
          <w:sz w:val="18"/>
          <w:szCs w:val="18"/>
          <w:rtl/>
        </w:rPr>
        <w:t>, דאז יש לסמוך אדברי המקילין</w:t>
      </w:r>
      <w:r w:rsidRPr="003024E5">
        <w:rPr>
          <w:rStyle w:val="a7"/>
          <w:rFonts w:asciiTheme="minorBidi" w:hAnsiTheme="minorBidi"/>
          <w:sz w:val="18"/>
          <w:szCs w:val="18"/>
          <w:rtl/>
        </w:rPr>
        <w:footnoteReference w:id="157"/>
      </w:r>
      <w:r w:rsidRPr="003024E5">
        <w:rPr>
          <w:rFonts w:asciiTheme="minorBidi" w:hAnsiTheme="minorBidi"/>
          <w:sz w:val="18"/>
          <w:szCs w:val="18"/>
          <w:rtl/>
        </w:rPr>
        <w:t xml:space="preserve"> </w:t>
      </w:r>
      <w:r w:rsidRPr="003024E5">
        <w:rPr>
          <w:rFonts w:asciiTheme="minorBidi" w:hAnsiTheme="minorBidi"/>
          <w:sz w:val="16"/>
          <w:szCs w:val="16"/>
          <w:rtl/>
        </w:rPr>
        <w:t>(ב"י בשם א"ח וד"ע)</w:t>
      </w:r>
      <w:r w:rsidRPr="003024E5">
        <w:rPr>
          <w:rFonts w:asciiTheme="minorBidi" w:hAnsiTheme="minorBidi"/>
          <w:sz w:val="18"/>
          <w:szCs w:val="18"/>
          <w:rtl/>
        </w:rPr>
        <w:t>. ואם נמלחה חתיכה ולא נמלחה כראוי</w:t>
      </w:r>
      <w:r w:rsidRPr="003024E5">
        <w:rPr>
          <w:rStyle w:val="a7"/>
          <w:rFonts w:asciiTheme="minorBidi" w:hAnsiTheme="minorBidi"/>
          <w:sz w:val="18"/>
          <w:szCs w:val="18"/>
          <w:rtl/>
        </w:rPr>
        <w:footnoteReference w:id="158"/>
      </w:r>
      <w:r w:rsidRPr="003024E5">
        <w:rPr>
          <w:rFonts w:asciiTheme="minorBidi" w:hAnsiTheme="minorBidi"/>
          <w:sz w:val="18"/>
          <w:szCs w:val="18"/>
          <w:rtl/>
        </w:rPr>
        <w:t xml:space="preserve"> דינה כאלו לא נמלחה כלל, וכן בשר ששהה ג' ימים בלא מליחה אף אם נמלח דינו כאלו לא נמלח ואם נתבשל צריך ס' כנגדו</w:t>
      </w:r>
      <w:r w:rsidRPr="003024E5">
        <w:rPr>
          <w:rStyle w:val="a7"/>
          <w:rFonts w:asciiTheme="minorBidi" w:hAnsiTheme="minorBidi"/>
          <w:sz w:val="18"/>
          <w:szCs w:val="18"/>
          <w:rtl/>
        </w:rPr>
        <w:footnoteReference w:id="159"/>
      </w:r>
      <w:r w:rsidRPr="003024E5">
        <w:rPr>
          <w:rFonts w:asciiTheme="minorBidi" w:hAnsiTheme="minorBidi"/>
          <w:sz w:val="18"/>
          <w:szCs w:val="18"/>
          <w:rtl/>
        </w:rPr>
        <w:t xml:space="preserve"> </w:t>
      </w:r>
      <w:r w:rsidRPr="003024E5">
        <w:rPr>
          <w:rFonts w:asciiTheme="minorBidi" w:hAnsiTheme="minorBidi"/>
          <w:sz w:val="16"/>
          <w:szCs w:val="16"/>
          <w:rtl/>
        </w:rPr>
        <w:t>(או"ה)</w:t>
      </w:r>
      <w:r w:rsidRPr="003024E5">
        <w:rPr>
          <w:rFonts w:asciiTheme="minorBidi" w:hAnsiTheme="minorBidi"/>
          <w:sz w:val="18"/>
          <w:szCs w:val="18"/>
          <w:rtl/>
        </w:rPr>
        <w:t xml:space="preserve">. </w:t>
      </w:r>
    </w:p>
    <w:p w14:paraId="437965EC" w14:textId="77777777" w:rsidR="002C39F4" w:rsidRDefault="002C39F4" w:rsidP="002C39F4">
      <w:pPr>
        <w:rPr>
          <w:rFonts w:asciiTheme="minorBidi" w:hAnsiTheme="minorBidi" w:cs="Arial"/>
          <w:rtl/>
        </w:rPr>
      </w:pPr>
      <w:r w:rsidRPr="00E87EAE">
        <w:rPr>
          <w:rFonts w:asciiTheme="minorBidi" w:hAnsiTheme="minorBidi" w:cs="Arial" w:hint="cs"/>
          <w:u w:val="single"/>
          <w:rtl/>
        </w:rPr>
        <w:t>חליטת בשר שלא נמלח:</w:t>
      </w:r>
      <w:r w:rsidRPr="00E87EAE">
        <w:rPr>
          <w:rFonts w:asciiTheme="minorBidi" w:hAnsiTheme="minorBidi" w:cs="Arial" w:hint="cs"/>
          <w:rtl/>
        </w:rPr>
        <w:t xml:space="preserve"> </w:t>
      </w:r>
      <w:r w:rsidRPr="00E87EAE">
        <w:rPr>
          <w:rFonts w:asciiTheme="minorBidi" w:hAnsiTheme="minorBidi" w:cs="Arial" w:hint="cs"/>
          <w:sz w:val="16"/>
          <w:szCs w:val="16"/>
          <w:rtl/>
        </w:rPr>
        <w:t>(פת"ש סקי"ח)</w:t>
      </w:r>
      <w:r>
        <w:rPr>
          <w:rFonts w:asciiTheme="minorBidi" w:hAnsiTheme="minorBidi" w:cs="Arial" w:hint="cs"/>
          <w:rtl/>
        </w:rPr>
        <w:t xml:space="preserve"> </w:t>
      </w:r>
    </w:p>
    <w:p w14:paraId="2347F58A" w14:textId="77777777" w:rsidR="002C39F4" w:rsidRPr="00E87EAE" w:rsidRDefault="002C39F4" w:rsidP="002C39F4">
      <w:pPr>
        <w:pStyle w:val="a8"/>
        <w:numPr>
          <w:ilvl w:val="0"/>
          <w:numId w:val="16"/>
        </w:numPr>
        <w:rPr>
          <w:rFonts w:asciiTheme="minorBidi" w:hAnsiTheme="minorBidi"/>
          <w:rtl/>
        </w:rPr>
      </w:pPr>
      <w:r w:rsidRPr="00E87EAE">
        <w:rPr>
          <w:rFonts w:asciiTheme="minorBidi" w:hAnsiTheme="minorBidi" w:cs="Arial" w:hint="cs"/>
          <w:rtl/>
        </w:rPr>
        <w:t xml:space="preserve">ברכי יוסף </w:t>
      </w:r>
      <w:r w:rsidRPr="00E87EAE">
        <w:rPr>
          <w:rFonts w:asciiTheme="minorBidi" w:hAnsiTheme="minorBidi" w:cs="Arial" w:hint="cs"/>
          <w:sz w:val="16"/>
          <w:szCs w:val="16"/>
          <w:rtl/>
        </w:rPr>
        <w:t xml:space="preserve">(שיו"ב אות א) </w:t>
      </w:r>
      <w:r w:rsidRPr="00E87EAE">
        <w:rPr>
          <w:rFonts w:asciiTheme="minorBidi" w:hAnsiTheme="minorBidi" w:cs="Arial"/>
          <w:rtl/>
        </w:rPr>
        <w:t>בשם גדול אחד</w:t>
      </w:r>
      <w:r w:rsidRPr="00E87EAE">
        <w:rPr>
          <w:rFonts w:asciiTheme="minorBidi" w:hAnsiTheme="minorBidi" w:cs="Arial" w:hint="cs"/>
          <w:rtl/>
        </w:rPr>
        <w:t>- צריך שיהיה ששים בתבשיל</w:t>
      </w:r>
      <w:r w:rsidRPr="00E87EAE">
        <w:rPr>
          <w:rFonts w:asciiTheme="minorBidi" w:hAnsiTheme="minorBidi" w:cs="Arial"/>
          <w:rtl/>
        </w:rPr>
        <w:t xml:space="preserve"> דהיינו באם נתנו הבשר במים שאינם רותחים</w:t>
      </w:r>
      <w:r w:rsidRPr="00E87EAE">
        <w:rPr>
          <w:rFonts w:asciiTheme="minorBidi" w:hAnsiTheme="minorBidi" w:cs="Arial" w:hint="cs"/>
          <w:rtl/>
        </w:rPr>
        <w:t>,</w:t>
      </w:r>
      <w:r w:rsidRPr="00E87EAE">
        <w:rPr>
          <w:rFonts w:asciiTheme="minorBidi" w:hAnsiTheme="minorBidi" w:cs="Arial"/>
          <w:rtl/>
        </w:rPr>
        <w:t xml:space="preserve"> אבל אם נתנו אותו במים רותחים הוי חליטה ומותר בדיעבד בלא ס' כמבואר לקמן סי</w:t>
      </w:r>
      <w:r w:rsidRPr="00E87EAE">
        <w:rPr>
          <w:rFonts w:asciiTheme="minorBidi" w:hAnsiTheme="minorBidi" w:cs="Arial" w:hint="cs"/>
          <w:rtl/>
        </w:rPr>
        <w:t>'</w:t>
      </w:r>
      <w:r w:rsidRPr="00E87EAE">
        <w:rPr>
          <w:rFonts w:asciiTheme="minorBidi" w:hAnsiTheme="minorBidi" w:cs="Arial"/>
          <w:rtl/>
        </w:rPr>
        <w:t xml:space="preserve"> עג ס"ב</w:t>
      </w:r>
      <w:r>
        <w:rPr>
          <w:rStyle w:val="a7"/>
          <w:rFonts w:asciiTheme="minorBidi" w:hAnsiTheme="minorBidi" w:cs="Arial"/>
          <w:rtl/>
        </w:rPr>
        <w:footnoteReference w:id="160"/>
      </w:r>
      <w:r w:rsidRPr="00E87EAE">
        <w:rPr>
          <w:rFonts w:asciiTheme="minorBidi" w:hAnsiTheme="minorBidi" w:cs="Arial" w:hint="cs"/>
          <w:rtl/>
        </w:rPr>
        <w:t>.</w:t>
      </w:r>
    </w:p>
    <w:p w14:paraId="1AA36AB4" w14:textId="77777777" w:rsidR="002C39F4" w:rsidRPr="003024E5" w:rsidRDefault="002C39F4" w:rsidP="002C39F4">
      <w:pPr>
        <w:rPr>
          <w:rFonts w:asciiTheme="minorBidi" w:hAnsiTheme="minorBidi"/>
          <w:rtl/>
        </w:rPr>
      </w:pPr>
    </w:p>
    <w:p w14:paraId="0A413E61" w14:textId="77777777" w:rsidR="002C39F4" w:rsidRPr="003024E5" w:rsidRDefault="002C39F4" w:rsidP="002C39F4">
      <w:pPr>
        <w:pStyle w:val="2"/>
        <w:rPr>
          <w:rFonts w:asciiTheme="minorBidi" w:hAnsiTheme="minorBidi"/>
          <w:rtl/>
        </w:rPr>
      </w:pPr>
      <w:r w:rsidRPr="003024E5">
        <w:rPr>
          <w:rFonts w:asciiTheme="minorBidi" w:hAnsiTheme="minorBidi"/>
          <w:rtl/>
        </w:rPr>
        <w:t>סעיף יב: בשר ששהא שלשה ימים בלא מליחה.</w:t>
      </w:r>
    </w:p>
    <w:p w14:paraId="0402D18E" w14:textId="77777777" w:rsidR="002C39F4" w:rsidRPr="003024E5" w:rsidRDefault="002C39F4" w:rsidP="002C39F4">
      <w:pPr>
        <w:rPr>
          <w:rFonts w:asciiTheme="minorBidi" w:hAnsiTheme="minorBidi"/>
          <w:u w:val="single"/>
          <w:rtl/>
        </w:rPr>
      </w:pPr>
      <w:r w:rsidRPr="003024E5">
        <w:rPr>
          <w:rFonts w:asciiTheme="minorBidi" w:hAnsiTheme="minorBidi"/>
          <w:u w:val="single"/>
          <w:rtl/>
        </w:rPr>
        <w:t xml:space="preserve">בשר ששהא שלשה ימים בלא מליחה: </w:t>
      </w:r>
    </w:p>
    <w:p w14:paraId="7B2DDE8B" w14:textId="77777777" w:rsidR="002C39F4" w:rsidRPr="003024E5" w:rsidRDefault="002C39F4" w:rsidP="002C39F4">
      <w:pPr>
        <w:pStyle w:val="a8"/>
        <w:numPr>
          <w:ilvl w:val="0"/>
          <w:numId w:val="16"/>
        </w:numPr>
        <w:rPr>
          <w:rFonts w:asciiTheme="minorBidi" w:hAnsiTheme="minorBidi"/>
        </w:rPr>
      </w:pPr>
      <w:r w:rsidRPr="003024E5">
        <w:rPr>
          <w:rFonts w:asciiTheme="minorBidi" w:hAnsiTheme="minorBidi"/>
          <w:rtl/>
        </w:rPr>
        <w:t xml:space="preserve">גאונים </w:t>
      </w:r>
      <w:r w:rsidRPr="003024E5">
        <w:rPr>
          <w:rFonts w:asciiTheme="minorBidi" w:hAnsiTheme="minorBidi"/>
          <w:sz w:val="16"/>
          <w:szCs w:val="16"/>
          <w:rtl/>
        </w:rPr>
        <w:t xml:space="preserve">(כ"כ הטור בשמם) </w:t>
      </w:r>
      <w:r w:rsidRPr="003024E5">
        <w:rPr>
          <w:rFonts w:asciiTheme="minorBidi" w:hAnsiTheme="minorBidi"/>
          <w:rtl/>
        </w:rPr>
        <w:t xml:space="preserve">מרדכי </w:t>
      </w:r>
      <w:r w:rsidRPr="003024E5">
        <w:rPr>
          <w:rFonts w:asciiTheme="minorBidi" w:hAnsiTheme="minorBidi"/>
          <w:sz w:val="16"/>
          <w:szCs w:val="16"/>
          <w:rtl/>
        </w:rPr>
        <w:t xml:space="preserve">(סי' תשכב ותשכו) </w:t>
      </w:r>
      <w:r w:rsidRPr="003024E5">
        <w:rPr>
          <w:rFonts w:asciiTheme="minorBidi" w:hAnsiTheme="minorBidi"/>
          <w:rtl/>
        </w:rPr>
        <w:t xml:space="preserve">הגה"מ </w:t>
      </w:r>
      <w:r w:rsidRPr="003024E5">
        <w:rPr>
          <w:rFonts w:asciiTheme="minorBidi" w:hAnsiTheme="minorBidi"/>
          <w:sz w:val="16"/>
          <w:szCs w:val="16"/>
          <w:rtl/>
        </w:rPr>
        <w:t>(פ"ו אות ט)</w:t>
      </w:r>
      <w:r w:rsidRPr="003024E5">
        <w:rPr>
          <w:rFonts w:asciiTheme="minorBidi" w:hAnsiTheme="minorBidi"/>
          <w:rtl/>
        </w:rPr>
        <w:t xml:space="preserve"> וטור- בשר ששהה ג' ימים מעל"ע בלא מליחה נתייבש דמו בתוכו ולא יצא עוד ע"י מליחה, ואין לאוכלו מבושל</w:t>
      </w:r>
      <w:r>
        <w:rPr>
          <w:rStyle w:val="a7"/>
          <w:rFonts w:asciiTheme="minorBidi" w:hAnsiTheme="minorBidi"/>
          <w:rtl/>
        </w:rPr>
        <w:footnoteReference w:id="161"/>
      </w:r>
      <w:r w:rsidRPr="003024E5">
        <w:rPr>
          <w:rFonts w:asciiTheme="minorBidi" w:hAnsiTheme="minorBidi"/>
          <w:rtl/>
        </w:rPr>
        <w:t>.</w:t>
      </w:r>
    </w:p>
    <w:p w14:paraId="29BF6FE9" w14:textId="77777777" w:rsidR="002C39F4" w:rsidRPr="003024E5" w:rsidRDefault="002C39F4" w:rsidP="002C39F4">
      <w:pPr>
        <w:pStyle w:val="a8"/>
        <w:numPr>
          <w:ilvl w:val="0"/>
          <w:numId w:val="16"/>
        </w:numPr>
        <w:rPr>
          <w:rFonts w:asciiTheme="minorBidi" w:hAnsiTheme="minorBidi"/>
        </w:rPr>
      </w:pPr>
      <w:r w:rsidRPr="003024E5">
        <w:rPr>
          <w:rFonts w:asciiTheme="minorBidi" w:hAnsiTheme="minorBidi"/>
          <w:rtl/>
        </w:rPr>
        <w:t xml:space="preserve">ריב"ש </w:t>
      </w:r>
      <w:r w:rsidRPr="003024E5">
        <w:rPr>
          <w:rFonts w:asciiTheme="minorBidi" w:hAnsiTheme="minorBidi"/>
          <w:sz w:val="16"/>
          <w:szCs w:val="16"/>
          <w:rtl/>
        </w:rPr>
        <w:t>(סי' פו)</w:t>
      </w:r>
      <w:r w:rsidRPr="003024E5">
        <w:rPr>
          <w:rFonts w:asciiTheme="minorBidi" w:hAnsiTheme="minorBidi"/>
          <w:rtl/>
        </w:rPr>
        <w:t xml:space="preserve">- </w:t>
      </w:r>
      <w:r w:rsidRPr="00665986">
        <w:rPr>
          <w:rFonts w:asciiTheme="minorBidi" w:hAnsiTheme="minorBidi" w:cs="Arial"/>
          <w:rtl/>
        </w:rPr>
        <w:t xml:space="preserve">בברצלונה נהגו לאוסרה אפילו לצלי והיא חומרא יתירה ואפילו לאסרו </w:t>
      </w:r>
      <w:r w:rsidRPr="003024E5">
        <w:rPr>
          <w:rFonts w:asciiTheme="minorBidi" w:hAnsiTheme="minorBidi"/>
          <w:rtl/>
        </w:rPr>
        <w:t>לקדרה ע"י מליחה</w:t>
      </w:r>
      <w:r>
        <w:rPr>
          <w:rFonts w:asciiTheme="minorBidi" w:hAnsiTheme="minorBidi" w:hint="cs"/>
          <w:rtl/>
        </w:rPr>
        <w:t>,</w:t>
      </w:r>
      <w:r w:rsidRPr="003024E5">
        <w:rPr>
          <w:rFonts w:asciiTheme="minorBidi" w:hAnsiTheme="minorBidi"/>
          <w:rtl/>
        </w:rPr>
        <w:t xml:space="preserve"> דלא גרע מאומצא דאסמיק</w:t>
      </w:r>
      <w:r>
        <w:rPr>
          <w:rStyle w:val="a7"/>
          <w:rFonts w:asciiTheme="minorBidi" w:hAnsiTheme="minorBidi"/>
          <w:rtl/>
        </w:rPr>
        <w:footnoteReference w:id="162"/>
      </w:r>
      <w:r w:rsidRPr="003024E5">
        <w:rPr>
          <w:rFonts w:asciiTheme="minorBidi" w:hAnsiTheme="minorBidi"/>
          <w:rtl/>
        </w:rPr>
        <w:t xml:space="preserve"> </w:t>
      </w:r>
      <w:r w:rsidRPr="003024E5">
        <w:rPr>
          <w:rFonts w:asciiTheme="minorBidi" w:hAnsiTheme="minorBidi"/>
          <w:sz w:val="16"/>
          <w:szCs w:val="16"/>
          <w:rtl/>
        </w:rPr>
        <w:t>(חולין צג:)</w:t>
      </w:r>
      <w:r>
        <w:rPr>
          <w:rFonts w:asciiTheme="minorBidi" w:hAnsiTheme="minorBidi" w:hint="cs"/>
          <w:rtl/>
        </w:rPr>
        <w:t xml:space="preserve">... </w:t>
      </w:r>
      <w:r w:rsidRPr="003024E5">
        <w:rPr>
          <w:rFonts w:asciiTheme="minorBidi" w:hAnsiTheme="minorBidi"/>
          <w:rtl/>
        </w:rPr>
        <w:t>וכן בשובר מפרקתה של בהמה</w:t>
      </w:r>
      <w:r>
        <w:rPr>
          <w:rFonts w:asciiTheme="minorBidi" w:hAnsiTheme="minorBidi" w:hint="cs"/>
          <w:rtl/>
        </w:rPr>
        <w:t xml:space="preserve"> קודם שתצא נפשה</w:t>
      </w:r>
      <w:r>
        <w:rPr>
          <w:rStyle w:val="a7"/>
          <w:rFonts w:asciiTheme="minorBidi" w:hAnsiTheme="minorBidi"/>
          <w:rtl/>
        </w:rPr>
        <w:footnoteReference w:id="163"/>
      </w:r>
      <w:r w:rsidRPr="003024E5">
        <w:rPr>
          <w:rFonts w:asciiTheme="minorBidi" w:hAnsiTheme="minorBidi"/>
          <w:rtl/>
        </w:rPr>
        <w:t xml:space="preserve"> </w:t>
      </w:r>
      <w:r w:rsidRPr="003024E5">
        <w:rPr>
          <w:rFonts w:asciiTheme="minorBidi" w:hAnsiTheme="minorBidi"/>
          <w:sz w:val="16"/>
          <w:szCs w:val="16"/>
          <w:rtl/>
        </w:rPr>
        <w:t>(שם קיג.)</w:t>
      </w:r>
      <w:r>
        <w:rPr>
          <w:rFonts w:asciiTheme="minorBidi" w:hAnsiTheme="minorBidi" w:hint="cs"/>
          <w:rtl/>
        </w:rPr>
        <w:t xml:space="preserve">... </w:t>
      </w:r>
      <w:r w:rsidRPr="003024E5">
        <w:rPr>
          <w:rFonts w:asciiTheme="minorBidi" w:hAnsiTheme="minorBidi"/>
          <w:rtl/>
        </w:rPr>
        <w:t xml:space="preserve">אלא שראוי לחוש לדברי הגאונים במקום שנהגו. </w:t>
      </w:r>
    </w:p>
    <w:p w14:paraId="30350966"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האם בשר זה מותר בצלייה:</w:t>
      </w:r>
    </w:p>
    <w:p w14:paraId="7DB65A07" w14:textId="77777777" w:rsidR="002C39F4" w:rsidRPr="003024E5" w:rsidRDefault="002C39F4" w:rsidP="002C39F4">
      <w:pPr>
        <w:pStyle w:val="a8"/>
        <w:numPr>
          <w:ilvl w:val="0"/>
          <w:numId w:val="16"/>
        </w:numPr>
        <w:rPr>
          <w:rFonts w:asciiTheme="minorBidi" w:hAnsiTheme="minorBidi"/>
        </w:rPr>
      </w:pPr>
      <w:r w:rsidRPr="003024E5">
        <w:rPr>
          <w:rFonts w:asciiTheme="minorBidi" w:hAnsiTheme="minorBidi"/>
          <w:rtl/>
        </w:rPr>
        <w:t>או"ז ומהר"ם</w:t>
      </w:r>
      <w:r w:rsidRPr="003024E5">
        <w:rPr>
          <w:rStyle w:val="a7"/>
          <w:rFonts w:asciiTheme="minorBidi" w:hAnsiTheme="minorBidi"/>
          <w:rtl/>
        </w:rPr>
        <w:footnoteReference w:id="164"/>
      </w:r>
      <w:r w:rsidRPr="003024E5">
        <w:rPr>
          <w:rFonts w:asciiTheme="minorBidi" w:hAnsiTheme="minorBidi"/>
          <w:rtl/>
        </w:rPr>
        <w:t>- מותר בצלייה שהרי בשר בלא מליחה מותר בצלייה, דאף אם לא יצא הדם לחוץ הוי דם האיברים שלא פירש ומותר</w:t>
      </w:r>
      <w:r>
        <w:rPr>
          <w:rFonts w:asciiTheme="minorBidi" w:hAnsiTheme="minorBidi" w:hint="cs"/>
          <w:rtl/>
        </w:rPr>
        <w:t>,</w:t>
      </w:r>
      <w:r w:rsidRPr="003024E5">
        <w:rPr>
          <w:rFonts w:asciiTheme="minorBidi" w:hAnsiTheme="minorBidi"/>
          <w:rtl/>
        </w:rPr>
        <w:t xml:space="preserve"> אבל לבשלו בקדרה אסור דאע"פ שאינו פולט ע"י מליחה פולט דמו ע"י קדרה. </w:t>
      </w:r>
    </w:p>
    <w:p w14:paraId="57A8C5CA" w14:textId="77777777" w:rsidR="002C39F4" w:rsidRPr="003024E5" w:rsidRDefault="002C39F4" w:rsidP="002C39F4">
      <w:pPr>
        <w:pStyle w:val="a8"/>
        <w:numPr>
          <w:ilvl w:val="0"/>
          <w:numId w:val="16"/>
        </w:numPr>
        <w:rPr>
          <w:rFonts w:asciiTheme="minorBidi" w:hAnsiTheme="minorBidi"/>
        </w:rPr>
      </w:pPr>
      <w:r w:rsidRPr="003024E5">
        <w:rPr>
          <w:rFonts w:asciiTheme="minorBidi" w:hAnsiTheme="minorBidi"/>
          <w:rtl/>
        </w:rPr>
        <w:t xml:space="preserve">ריב"ש </w:t>
      </w:r>
      <w:r w:rsidRPr="003024E5">
        <w:rPr>
          <w:rFonts w:asciiTheme="minorBidi" w:hAnsiTheme="minorBidi"/>
          <w:sz w:val="16"/>
          <w:szCs w:val="16"/>
          <w:rtl/>
        </w:rPr>
        <w:t>(סי' פו)</w:t>
      </w:r>
      <w:r w:rsidRPr="003024E5">
        <w:rPr>
          <w:rFonts w:asciiTheme="minorBidi" w:hAnsiTheme="minorBidi"/>
          <w:rtl/>
        </w:rPr>
        <w:t xml:space="preserve">- בברצלונא נהגו לאסרה אף לצלי והיא חומרא יתירה. </w:t>
      </w:r>
    </w:p>
    <w:p w14:paraId="00B8AAFB" w14:textId="77777777" w:rsidR="002C39F4" w:rsidRPr="003024E5" w:rsidRDefault="002C39F4" w:rsidP="002C39F4">
      <w:pPr>
        <w:pStyle w:val="a8"/>
        <w:numPr>
          <w:ilvl w:val="0"/>
          <w:numId w:val="16"/>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ב' דין ב)</w:t>
      </w:r>
      <w:r w:rsidRPr="003024E5">
        <w:rPr>
          <w:rFonts w:asciiTheme="minorBidi" w:hAnsiTheme="minorBidi"/>
          <w:rtl/>
        </w:rPr>
        <w:t>- ראוי דאף לצלי ימלחנו תחילה ומיהו אם צלאו כך מותר</w:t>
      </w:r>
      <w:r w:rsidRPr="003024E5">
        <w:rPr>
          <w:rStyle w:val="a7"/>
          <w:rFonts w:asciiTheme="minorBidi" w:hAnsiTheme="minorBidi"/>
          <w:rtl/>
        </w:rPr>
        <w:footnoteReference w:id="165"/>
      </w:r>
      <w:r w:rsidRPr="003024E5">
        <w:rPr>
          <w:rFonts w:asciiTheme="minorBidi" w:hAnsiTheme="minorBidi"/>
          <w:rtl/>
        </w:rPr>
        <w:t>.</w:t>
      </w:r>
    </w:p>
    <w:p w14:paraId="4784156E"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האם מותר לבשלו לאחר הצלייה:</w:t>
      </w:r>
    </w:p>
    <w:p w14:paraId="31370A49" w14:textId="77777777" w:rsidR="002C39F4" w:rsidRPr="003024E5" w:rsidRDefault="002C39F4" w:rsidP="002C39F4">
      <w:pPr>
        <w:pStyle w:val="a8"/>
        <w:numPr>
          <w:ilvl w:val="0"/>
          <w:numId w:val="16"/>
        </w:numPr>
        <w:rPr>
          <w:rFonts w:asciiTheme="minorBidi" w:hAnsiTheme="minorBidi"/>
        </w:rPr>
      </w:pPr>
      <w:r w:rsidRPr="003024E5">
        <w:rPr>
          <w:rFonts w:asciiTheme="minorBidi" w:hAnsiTheme="minorBidi"/>
          <w:rtl/>
        </w:rPr>
        <w:t xml:space="preserve">מהר"ם </w:t>
      </w:r>
      <w:r w:rsidRPr="003024E5">
        <w:rPr>
          <w:rFonts w:asciiTheme="minorBidi" w:hAnsiTheme="minorBidi"/>
          <w:sz w:val="16"/>
          <w:szCs w:val="16"/>
          <w:rtl/>
        </w:rPr>
        <w:t xml:space="preserve">(כ"כ בשמו ההגשע"ד [סי' ד סק"ג]) </w:t>
      </w:r>
      <w:r w:rsidRPr="003024E5">
        <w:rPr>
          <w:rFonts w:asciiTheme="minorBidi" w:hAnsiTheme="minorBidi"/>
          <w:rtl/>
        </w:rPr>
        <w:t xml:space="preserve">ותרוה"ד </w:t>
      </w:r>
      <w:r w:rsidRPr="003024E5">
        <w:rPr>
          <w:rFonts w:asciiTheme="minorBidi" w:hAnsiTheme="minorBidi"/>
          <w:sz w:val="16"/>
          <w:szCs w:val="16"/>
          <w:rtl/>
        </w:rPr>
        <w:t>(סי' קס)</w:t>
      </w:r>
      <w:r w:rsidRPr="003024E5">
        <w:rPr>
          <w:rFonts w:asciiTheme="minorBidi" w:hAnsiTheme="minorBidi"/>
          <w:rtl/>
        </w:rPr>
        <w:t>- אסור לבשלו אחר צלייה</w:t>
      </w:r>
      <w:r w:rsidRPr="003024E5">
        <w:rPr>
          <w:rStyle w:val="a7"/>
          <w:rFonts w:asciiTheme="minorBidi" w:hAnsiTheme="minorBidi"/>
          <w:rtl/>
        </w:rPr>
        <w:footnoteReference w:id="166"/>
      </w:r>
      <w:r w:rsidRPr="003024E5">
        <w:rPr>
          <w:rFonts w:asciiTheme="minorBidi" w:hAnsiTheme="minorBidi"/>
          <w:rtl/>
        </w:rPr>
        <w:t xml:space="preserve">. </w:t>
      </w:r>
    </w:p>
    <w:p w14:paraId="279251FC" w14:textId="77777777" w:rsidR="002C39F4" w:rsidRDefault="002C39F4" w:rsidP="002C39F4">
      <w:pPr>
        <w:pStyle w:val="a8"/>
        <w:numPr>
          <w:ilvl w:val="0"/>
          <w:numId w:val="16"/>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ב' דין ב)</w:t>
      </w:r>
      <w:r w:rsidRPr="003024E5">
        <w:rPr>
          <w:rFonts w:asciiTheme="minorBidi" w:hAnsiTheme="minorBidi"/>
          <w:rtl/>
        </w:rPr>
        <w:t>- מותר לבשלו לאחר הצלייה.</w:t>
      </w:r>
    </w:p>
    <w:p w14:paraId="3360049E" w14:textId="77777777" w:rsidR="002C39F4" w:rsidRPr="003024E5" w:rsidRDefault="002C39F4" w:rsidP="002C39F4">
      <w:pPr>
        <w:pStyle w:val="a8"/>
        <w:numPr>
          <w:ilvl w:val="0"/>
          <w:numId w:val="16"/>
        </w:numPr>
        <w:rPr>
          <w:rFonts w:asciiTheme="minorBidi" w:hAnsiTheme="minorBidi"/>
        </w:rPr>
      </w:pPr>
      <w:r w:rsidRPr="0049416D">
        <w:rPr>
          <w:rFonts w:asciiTheme="minorBidi" w:hAnsiTheme="minorBidi" w:cs="Arial"/>
          <w:rtl/>
        </w:rPr>
        <w:t xml:space="preserve">רדב"ז </w:t>
      </w:r>
      <w:r w:rsidRPr="0049416D">
        <w:rPr>
          <w:rFonts w:asciiTheme="minorBidi" w:hAnsiTheme="minorBidi" w:cs="Arial" w:hint="cs"/>
          <w:sz w:val="16"/>
          <w:szCs w:val="16"/>
          <w:rtl/>
        </w:rPr>
        <w:t>(</w:t>
      </w:r>
      <w:r w:rsidRPr="0049416D">
        <w:rPr>
          <w:rFonts w:asciiTheme="minorBidi" w:hAnsiTheme="minorBidi" w:cs="Arial"/>
          <w:sz w:val="16"/>
          <w:szCs w:val="16"/>
          <w:rtl/>
        </w:rPr>
        <w:t>ח"א ס</w:t>
      </w:r>
      <w:r w:rsidRPr="0049416D">
        <w:rPr>
          <w:rFonts w:asciiTheme="minorBidi" w:hAnsiTheme="minorBidi" w:cs="Arial" w:hint="cs"/>
          <w:sz w:val="16"/>
          <w:szCs w:val="16"/>
          <w:rtl/>
        </w:rPr>
        <w:t>י'</w:t>
      </w:r>
      <w:r w:rsidRPr="0049416D">
        <w:rPr>
          <w:rFonts w:asciiTheme="minorBidi" w:hAnsiTheme="minorBidi" w:cs="Arial"/>
          <w:sz w:val="16"/>
          <w:szCs w:val="16"/>
          <w:rtl/>
        </w:rPr>
        <w:t xml:space="preserve"> קלח</w:t>
      </w:r>
      <w:r w:rsidRPr="0049416D">
        <w:rPr>
          <w:rFonts w:asciiTheme="minorBidi" w:hAnsiTheme="minorBidi" w:cs="Arial" w:hint="cs"/>
          <w:sz w:val="16"/>
          <w:szCs w:val="16"/>
          <w:rtl/>
        </w:rPr>
        <w:t>, הביאו הפת"ש סקכ"ה</w:t>
      </w:r>
      <w:r w:rsidRPr="0049416D">
        <w:rPr>
          <w:rFonts w:asciiTheme="minorBidi" w:hAnsiTheme="minorBidi" w:cs="Arial"/>
          <w:sz w:val="16"/>
          <w:szCs w:val="16"/>
          <w:rtl/>
        </w:rPr>
        <w:t>)</w:t>
      </w:r>
      <w:r>
        <w:rPr>
          <w:rFonts w:asciiTheme="minorBidi" w:hAnsiTheme="minorBidi" w:cs="Arial" w:hint="cs"/>
          <w:rtl/>
        </w:rPr>
        <w:t>-</w:t>
      </w:r>
      <w:r w:rsidRPr="0049416D">
        <w:rPr>
          <w:rFonts w:asciiTheme="minorBidi" w:hAnsiTheme="minorBidi" w:cs="Arial"/>
          <w:rtl/>
        </w:rPr>
        <w:t xml:space="preserve"> הא דאסור לבשל אחר הצליה דוקא אם יתנו בקדירה בעוד שיהיו המים פושרים דאז מרככין אותו אבל אם ישליכו אותו במים רותחים מותר</w:t>
      </w:r>
      <w:r>
        <w:rPr>
          <w:rStyle w:val="a7"/>
          <w:rFonts w:asciiTheme="minorBidi" w:hAnsiTheme="minorBidi" w:cs="Arial"/>
          <w:rtl/>
        </w:rPr>
        <w:footnoteReference w:id="167"/>
      </w:r>
      <w:r w:rsidRPr="0049416D">
        <w:rPr>
          <w:rFonts w:asciiTheme="minorBidi" w:hAnsiTheme="minorBidi" w:cs="Arial"/>
          <w:rtl/>
        </w:rPr>
        <w:t xml:space="preserve">. </w:t>
      </w:r>
    </w:p>
    <w:p w14:paraId="059DF399" w14:textId="77777777" w:rsidR="002C39F4" w:rsidRPr="003024E5" w:rsidRDefault="002C39F4" w:rsidP="002C39F4">
      <w:pPr>
        <w:pStyle w:val="a8"/>
        <w:numPr>
          <w:ilvl w:val="1"/>
          <w:numId w:val="16"/>
        </w:numPr>
        <w:rPr>
          <w:rFonts w:asciiTheme="minorBidi" w:hAnsiTheme="minorBidi"/>
        </w:rPr>
      </w:pPr>
      <w:r w:rsidRPr="003024E5">
        <w:rPr>
          <w:rFonts w:asciiTheme="minorBidi" w:hAnsiTheme="minorBidi"/>
          <w:rtl/>
        </w:rPr>
        <w:t>ב"י- ולענין הלכה נראה דלכתחלה יש לחוש לדברי האוסרים לבשל אחר צלייה מיהו בדיעבד יש לסמוך על דברי המתירים.</w:t>
      </w:r>
      <w:r w:rsidRPr="003024E5">
        <w:rPr>
          <w:rFonts w:asciiTheme="minorBidi" w:hAnsiTheme="minorBidi"/>
          <w:color w:val="E36C0A" w:themeColor="accent6" w:themeShade="BF"/>
          <w:rtl/>
        </w:rPr>
        <w:t xml:space="preserve"> (וכ"פ בשו"ע)</w:t>
      </w:r>
    </w:p>
    <w:p w14:paraId="1796F20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4CFA7EC" w14:textId="77777777" w:rsidR="002C39F4" w:rsidRPr="003024E5" w:rsidRDefault="002C39F4" w:rsidP="002C39F4">
      <w:pPr>
        <w:rPr>
          <w:rFonts w:asciiTheme="minorBidi" w:hAnsiTheme="minorBidi"/>
          <w:sz w:val="18"/>
          <w:szCs w:val="18"/>
          <w:rtl/>
        </w:rPr>
      </w:pPr>
      <w:r w:rsidRPr="003024E5">
        <w:rPr>
          <w:rFonts w:asciiTheme="minorBidi" w:hAnsiTheme="minorBidi"/>
          <w:rtl/>
        </w:rPr>
        <w:t>בשר ששהא שלשה ימים מעת לעת בלא מליחה נתייבש דמו בתוכו ולא יצא עוד על ידי מליחה ואין לאוכלו מבושל</w:t>
      </w:r>
      <w:r w:rsidRPr="003024E5">
        <w:rPr>
          <w:rStyle w:val="a7"/>
          <w:rFonts w:asciiTheme="minorBidi" w:hAnsiTheme="minorBidi"/>
          <w:rtl/>
        </w:rPr>
        <w:footnoteReference w:id="168"/>
      </w:r>
      <w:r w:rsidRPr="003024E5">
        <w:rPr>
          <w:rFonts w:asciiTheme="minorBidi" w:hAnsiTheme="minorBidi"/>
          <w:rtl/>
        </w:rPr>
        <w:t xml:space="preserve"> אלא צלי</w:t>
      </w:r>
      <w:r w:rsidRPr="003024E5">
        <w:rPr>
          <w:rStyle w:val="a7"/>
          <w:rFonts w:asciiTheme="minorBidi" w:hAnsiTheme="minorBidi"/>
          <w:rtl/>
        </w:rPr>
        <w:footnoteReference w:id="169"/>
      </w:r>
      <w:r w:rsidRPr="003024E5">
        <w:rPr>
          <w:rFonts w:asciiTheme="minorBidi" w:hAnsiTheme="minorBidi"/>
          <w:rtl/>
        </w:rPr>
        <w:t>. ואחר שצלאו לא יבשלנו</w:t>
      </w:r>
      <w:r w:rsidRPr="003024E5">
        <w:rPr>
          <w:rStyle w:val="a7"/>
          <w:rFonts w:asciiTheme="minorBidi" w:hAnsiTheme="minorBidi"/>
          <w:rtl/>
        </w:rPr>
        <w:footnoteReference w:id="170"/>
      </w:r>
      <w:r>
        <w:rPr>
          <w:rFonts w:asciiTheme="minorBidi" w:hAnsiTheme="minorBidi" w:hint="cs"/>
          <w:rtl/>
        </w:rPr>
        <w:t>,</w:t>
      </w:r>
      <w:r w:rsidRPr="003024E5">
        <w:rPr>
          <w:rFonts w:asciiTheme="minorBidi" w:hAnsiTheme="minorBidi"/>
          <w:rtl/>
        </w:rPr>
        <w:t xml:space="preserve"> ואם בישלו מותר</w:t>
      </w:r>
      <w:r w:rsidRPr="003024E5">
        <w:rPr>
          <w:rStyle w:val="a7"/>
          <w:rFonts w:asciiTheme="minorBidi" w:hAnsiTheme="minorBidi"/>
          <w:rtl/>
        </w:rPr>
        <w:footnoteReference w:id="171"/>
      </w:r>
      <w:r w:rsidRPr="003024E5">
        <w:rPr>
          <w:rFonts w:asciiTheme="minorBidi" w:hAnsiTheme="minorBidi"/>
          <w:rtl/>
        </w:rPr>
        <w:t xml:space="preserve">. </w:t>
      </w:r>
      <w:r w:rsidRPr="003024E5">
        <w:rPr>
          <w:rFonts w:asciiTheme="minorBidi" w:hAnsiTheme="minorBidi"/>
          <w:sz w:val="18"/>
          <w:szCs w:val="18"/>
          <w:rtl/>
        </w:rPr>
        <w:t>[הגה] ואין להשהות בשר ג' ימים בלא מליחה</w:t>
      </w:r>
      <w:r w:rsidRPr="003024E5">
        <w:rPr>
          <w:rStyle w:val="a7"/>
          <w:rFonts w:asciiTheme="minorBidi" w:hAnsiTheme="minorBidi"/>
          <w:sz w:val="18"/>
          <w:szCs w:val="18"/>
          <w:rtl/>
        </w:rPr>
        <w:footnoteReference w:id="172"/>
      </w:r>
      <w:r w:rsidRPr="003024E5">
        <w:rPr>
          <w:rFonts w:asciiTheme="minorBidi" w:hAnsiTheme="minorBidi"/>
          <w:sz w:val="18"/>
          <w:szCs w:val="18"/>
          <w:rtl/>
        </w:rPr>
        <w:t xml:space="preserve"> דחיישינן שמא יבשלו</w:t>
      </w:r>
      <w:r>
        <w:rPr>
          <w:rStyle w:val="a7"/>
          <w:rFonts w:asciiTheme="minorBidi" w:hAnsiTheme="minorBidi"/>
          <w:sz w:val="18"/>
          <w:szCs w:val="18"/>
          <w:rtl/>
        </w:rPr>
        <w:footnoteReference w:id="173"/>
      </w:r>
      <w:r w:rsidRPr="003024E5">
        <w:rPr>
          <w:rFonts w:asciiTheme="minorBidi" w:hAnsiTheme="minorBidi"/>
          <w:sz w:val="18"/>
          <w:szCs w:val="18"/>
          <w:rtl/>
        </w:rPr>
        <w:t xml:space="preserve"> </w:t>
      </w:r>
      <w:r w:rsidRPr="008E50B8">
        <w:rPr>
          <w:rFonts w:asciiTheme="minorBidi" w:hAnsiTheme="minorBidi"/>
          <w:sz w:val="16"/>
          <w:szCs w:val="16"/>
          <w:rtl/>
        </w:rPr>
        <w:t>(ב"י [עמ' עו ד"ה בכתבי] בשם פסקי מהרא"י סי</w:t>
      </w:r>
      <w:r>
        <w:rPr>
          <w:rFonts w:asciiTheme="minorBidi" w:hAnsiTheme="minorBidi" w:hint="cs"/>
          <w:sz w:val="16"/>
          <w:szCs w:val="16"/>
          <w:rtl/>
        </w:rPr>
        <w:t>'</w:t>
      </w:r>
      <w:r w:rsidRPr="008E50B8">
        <w:rPr>
          <w:rFonts w:asciiTheme="minorBidi" w:hAnsiTheme="minorBidi"/>
          <w:sz w:val="16"/>
          <w:szCs w:val="16"/>
          <w:rtl/>
        </w:rPr>
        <w:t xml:space="preserve"> קצא)</w:t>
      </w:r>
      <w:r w:rsidRPr="003024E5">
        <w:rPr>
          <w:rFonts w:asciiTheme="minorBidi" w:hAnsiTheme="minorBidi"/>
          <w:sz w:val="18"/>
          <w:szCs w:val="18"/>
          <w:rtl/>
        </w:rPr>
        <w:t>.</w:t>
      </w:r>
    </w:p>
    <w:p w14:paraId="7D69D71B" w14:textId="77777777" w:rsidR="002C39F4" w:rsidRPr="003024E5" w:rsidRDefault="002C39F4" w:rsidP="002C39F4">
      <w:pPr>
        <w:rPr>
          <w:rFonts w:asciiTheme="minorBidi" w:hAnsiTheme="minorBidi"/>
          <w:sz w:val="16"/>
          <w:szCs w:val="16"/>
          <w:rtl/>
        </w:rPr>
      </w:pPr>
      <w:r w:rsidRPr="003024E5">
        <w:rPr>
          <w:rFonts w:asciiTheme="minorBidi" w:hAnsiTheme="minorBidi"/>
          <w:u w:val="single"/>
          <w:rtl/>
        </w:rPr>
        <w:t>שאלה על בשר ששה</w:t>
      </w:r>
      <w:r>
        <w:rPr>
          <w:rFonts w:asciiTheme="minorBidi" w:hAnsiTheme="minorBidi" w:hint="cs"/>
          <w:u w:val="single"/>
          <w:rtl/>
        </w:rPr>
        <w:t>ה</w:t>
      </w:r>
      <w:r w:rsidRPr="003024E5">
        <w:rPr>
          <w:rFonts w:asciiTheme="minorBidi" w:hAnsiTheme="minorBidi"/>
          <w:u w:val="single"/>
          <w:rtl/>
        </w:rPr>
        <w:t xml:space="preserve"> ג' ימים בלא מליחה:</w:t>
      </w:r>
      <w:r w:rsidRPr="003024E5">
        <w:rPr>
          <w:rFonts w:asciiTheme="minorBidi" w:hAnsiTheme="minorBidi"/>
          <w:rtl/>
        </w:rPr>
        <w:t xml:space="preserve"> </w:t>
      </w:r>
      <w:r w:rsidRPr="003024E5">
        <w:rPr>
          <w:rFonts w:asciiTheme="minorBidi" w:hAnsiTheme="minorBidi"/>
          <w:sz w:val="16"/>
          <w:szCs w:val="16"/>
          <w:rtl/>
        </w:rPr>
        <w:t>(ט"ז סקל"ב)</w:t>
      </w:r>
    </w:p>
    <w:p w14:paraId="606E26DC" w14:textId="77777777" w:rsidR="002C39F4" w:rsidRPr="003024E5" w:rsidRDefault="002C39F4" w:rsidP="002C39F4">
      <w:pPr>
        <w:pStyle w:val="a8"/>
        <w:numPr>
          <w:ilvl w:val="0"/>
          <w:numId w:val="8"/>
        </w:numPr>
        <w:rPr>
          <w:rFonts w:asciiTheme="minorBidi" w:hAnsiTheme="minorBidi"/>
          <w:rtl/>
        </w:rPr>
      </w:pPr>
      <w:r w:rsidRPr="003024E5">
        <w:rPr>
          <w:rFonts w:asciiTheme="minorBidi" w:hAnsiTheme="minorBidi"/>
          <w:rtl/>
        </w:rPr>
        <w:t xml:space="preserve">רש"ל </w:t>
      </w:r>
      <w:r w:rsidRPr="003024E5">
        <w:rPr>
          <w:rFonts w:asciiTheme="minorBidi" w:hAnsiTheme="minorBidi"/>
          <w:sz w:val="16"/>
          <w:szCs w:val="16"/>
          <w:rtl/>
        </w:rPr>
        <w:t>(פכ"ה סי' צח)</w:t>
      </w:r>
      <w:r w:rsidRPr="003024E5">
        <w:rPr>
          <w:rFonts w:asciiTheme="minorBidi" w:hAnsiTheme="minorBidi"/>
          <w:rtl/>
        </w:rPr>
        <w:t xml:space="preserve">- בשר ששהה ג' ימים בלא מליחה ואח"כ מלחו אותו בכלי מנוקב כשיעור מליחה ואח"כ הדיחוהו וחזרו ומלחוהו והניחוהו בכלי שאינו מנוקב ולא שהה בה שיעור כבישה ומצאו שם ציר </w:t>
      </w:r>
      <w:r w:rsidRPr="003024E5">
        <w:rPr>
          <w:rFonts w:asciiTheme="minorBidi" w:hAnsiTheme="minorBidi"/>
          <w:sz w:val="16"/>
          <w:szCs w:val="16"/>
          <w:rtl/>
        </w:rPr>
        <w:t>(דלכאורה יש לחוש שמא לא היה כח במליחה ראשונה להפליט כל הדם שבתוכו כיון שנתקשה אלא תמיד פולט מעט מעט וע"כ אסור, והשיב דאינו כן אלא)</w:t>
      </w:r>
      <w:r w:rsidRPr="003024E5">
        <w:rPr>
          <w:rFonts w:asciiTheme="minorBidi" w:hAnsiTheme="minorBidi"/>
          <w:rtl/>
        </w:rPr>
        <w:t xml:space="preserve"> ממ"נ מותר דאם לא יצא במליחה הראשונה שוב אינו יוצא בשנייה ואם יצא במליחה הראשונה יצא הכל</w:t>
      </w:r>
      <w:r>
        <w:rPr>
          <w:rStyle w:val="a7"/>
          <w:rFonts w:asciiTheme="minorBidi" w:hAnsiTheme="minorBidi"/>
          <w:rtl/>
        </w:rPr>
        <w:footnoteReference w:id="174"/>
      </w:r>
      <w:r w:rsidRPr="003024E5">
        <w:rPr>
          <w:rFonts w:asciiTheme="minorBidi" w:hAnsiTheme="minorBidi"/>
          <w:rtl/>
        </w:rPr>
        <w:t xml:space="preserve"> </w:t>
      </w:r>
      <w:r w:rsidRPr="003024E5">
        <w:rPr>
          <w:rFonts w:asciiTheme="minorBidi" w:hAnsiTheme="minorBidi"/>
          <w:sz w:val="16"/>
          <w:szCs w:val="16"/>
          <w:rtl/>
        </w:rPr>
        <w:t>(ול"ד למה שאמרו במידי דצריך ליבון ועשה הגעלה דאסור לחתוך בו רותח לדעת הרא"ש משום דע"י ההגעלה פולט מעט מעט דהתם יש פליטה יותר כל שהוא רותח יותר ע"כ יש לחוש שמא ע"י הגעלה ראשונה שחלש כחו אינו יוצא כולו ונתוסף עליו חום אחר אחר שחתך בו רותח משא"כ במליחה)</w:t>
      </w:r>
      <w:r w:rsidRPr="003024E5">
        <w:rPr>
          <w:rStyle w:val="a7"/>
          <w:rFonts w:asciiTheme="minorBidi" w:hAnsiTheme="minorBidi"/>
          <w:rtl/>
        </w:rPr>
        <w:footnoteReference w:id="175"/>
      </w:r>
      <w:r w:rsidRPr="003024E5">
        <w:rPr>
          <w:rFonts w:asciiTheme="minorBidi" w:hAnsiTheme="minorBidi"/>
          <w:rtl/>
        </w:rPr>
        <w:t xml:space="preserve">. </w:t>
      </w:r>
    </w:p>
    <w:p w14:paraId="7CD5B018"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ומה הדין אם מלח אותו בשר ששה</w:t>
      </w:r>
      <w:r>
        <w:rPr>
          <w:rFonts w:asciiTheme="minorBidi" w:hAnsiTheme="minorBidi" w:hint="cs"/>
          <w:u w:val="dotted"/>
          <w:rtl/>
        </w:rPr>
        <w:t>ה</w:t>
      </w:r>
      <w:r w:rsidRPr="003024E5">
        <w:rPr>
          <w:rFonts w:asciiTheme="minorBidi" w:hAnsiTheme="minorBidi"/>
          <w:u w:val="dotted"/>
          <w:rtl/>
        </w:rPr>
        <w:t xml:space="preserve"> ג' ימים בלא מליחה עם בשר שנמלח להוציא דמו:</w:t>
      </w:r>
    </w:p>
    <w:p w14:paraId="2CD17152" w14:textId="77777777" w:rsidR="002C39F4" w:rsidRPr="003024E5" w:rsidRDefault="002C39F4" w:rsidP="002C39F4">
      <w:pPr>
        <w:pStyle w:val="a8"/>
        <w:numPr>
          <w:ilvl w:val="0"/>
          <w:numId w:val="8"/>
        </w:numPr>
        <w:rPr>
          <w:rFonts w:asciiTheme="minorBidi" w:hAnsiTheme="minorBidi"/>
        </w:rPr>
      </w:pPr>
      <w:r w:rsidRPr="003024E5">
        <w:rPr>
          <w:rFonts w:asciiTheme="minorBidi" w:hAnsiTheme="minorBidi"/>
          <w:rtl/>
        </w:rPr>
        <w:t xml:space="preserve">ט"ז </w:t>
      </w:r>
      <w:r w:rsidRPr="003024E5">
        <w:rPr>
          <w:rFonts w:asciiTheme="minorBidi" w:hAnsiTheme="minorBidi"/>
          <w:sz w:val="16"/>
          <w:szCs w:val="16"/>
          <w:rtl/>
        </w:rPr>
        <w:t>(סקל"ב)</w:t>
      </w:r>
      <w:r w:rsidRPr="003024E5">
        <w:rPr>
          <w:rFonts w:asciiTheme="minorBidi" w:hAnsiTheme="minorBidi"/>
          <w:rtl/>
        </w:rPr>
        <w:t>- נראה דאסור זה הבשר ששהה ג' ימים דשמא בולע מהדם שיוצא משאר הבשר, דאע"פ שאמרו שאין מליחה מועיל לו היינו לפי שנתקשה דמו בתוכו מ"מ אין הבשר נתקשה לומר ששוב לא יבלע דבר בתוכו, וגם לענין דם שבתוכו כתב הריב"ש הביאו ב"י דאין בירור שלא יצא ע"י מליחה והיה ראוי להתיר אלא שראוי לחוש לדברי הגאונים במקום שנהגו, ועל כן ודאי לא נסמוך בשום דבר לקולא על זה ולומר שלא יבלע שאר דם אלא לחומרא אמרינן דשמא דם שלו לא יצא ע"י מליחה כיון שנתקשה, וע"כ אין כאן היתר לומר כמו שיפלוט דם שלו יפלוט ג"כ מה שבולע מבשר אחר</w:t>
      </w:r>
      <w:r w:rsidRPr="003024E5">
        <w:rPr>
          <w:rStyle w:val="a7"/>
          <w:rFonts w:asciiTheme="minorBidi" w:hAnsiTheme="minorBidi"/>
          <w:rtl/>
        </w:rPr>
        <w:footnoteReference w:id="176"/>
      </w:r>
      <w:r w:rsidRPr="003024E5">
        <w:rPr>
          <w:rFonts w:asciiTheme="minorBidi" w:hAnsiTheme="minorBidi"/>
          <w:rtl/>
        </w:rPr>
        <w:t>.</w:t>
      </w:r>
    </w:p>
    <w:p w14:paraId="79F52024" w14:textId="77777777" w:rsidR="002C39F4" w:rsidRPr="003024E5" w:rsidRDefault="002C39F4" w:rsidP="002C39F4">
      <w:pPr>
        <w:pStyle w:val="a8"/>
        <w:numPr>
          <w:ilvl w:val="0"/>
          <w:numId w:val="8"/>
        </w:numPr>
        <w:rPr>
          <w:rFonts w:asciiTheme="minorBidi" w:hAnsiTheme="minorBidi"/>
          <w:rtl/>
        </w:rPr>
      </w:pPr>
      <w:r w:rsidRPr="003024E5">
        <w:rPr>
          <w:rFonts w:asciiTheme="minorBidi" w:hAnsiTheme="minorBidi"/>
          <w:rtl/>
        </w:rPr>
        <w:t>מורה אחד</w:t>
      </w:r>
      <w:r w:rsidRPr="003024E5">
        <w:rPr>
          <w:rFonts w:asciiTheme="minorBidi" w:hAnsiTheme="minorBidi"/>
          <w:sz w:val="16"/>
          <w:szCs w:val="16"/>
          <w:rtl/>
        </w:rPr>
        <w:t xml:space="preserve"> (הביאו הט"ז)</w:t>
      </w:r>
      <w:r w:rsidRPr="003024E5">
        <w:rPr>
          <w:rFonts w:asciiTheme="minorBidi" w:hAnsiTheme="minorBidi"/>
          <w:rtl/>
        </w:rPr>
        <w:t xml:space="preserve"> וש"ך</w:t>
      </w:r>
      <w:r w:rsidRPr="003024E5">
        <w:rPr>
          <w:rFonts w:asciiTheme="minorBidi" w:hAnsiTheme="minorBidi"/>
          <w:sz w:val="16"/>
          <w:szCs w:val="16"/>
          <w:rtl/>
        </w:rPr>
        <w:t xml:space="preserve"> (בנה"כ)</w:t>
      </w:r>
      <w:r w:rsidRPr="003024E5">
        <w:rPr>
          <w:rFonts w:asciiTheme="minorBidi" w:hAnsiTheme="minorBidi"/>
          <w:rtl/>
        </w:rPr>
        <w:t>- מותר מטעם שכבולעו כך פולטו</w:t>
      </w:r>
      <w:r w:rsidRPr="003024E5">
        <w:rPr>
          <w:rStyle w:val="a7"/>
          <w:rFonts w:asciiTheme="minorBidi" w:hAnsiTheme="minorBidi"/>
          <w:rtl/>
        </w:rPr>
        <w:footnoteReference w:id="177"/>
      </w:r>
      <w:r w:rsidRPr="003024E5">
        <w:rPr>
          <w:rFonts w:asciiTheme="minorBidi" w:hAnsiTheme="minorBidi"/>
          <w:rtl/>
        </w:rPr>
        <w:t xml:space="preserve">. </w:t>
      </w:r>
    </w:p>
    <w:p w14:paraId="4BDEFE9D" w14:textId="77777777" w:rsidR="002C39F4" w:rsidRPr="003024E5" w:rsidRDefault="002C39F4" w:rsidP="002C39F4">
      <w:pPr>
        <w:ind w:left="360"/>
        <w:rPr>
          <w:rFonts w:asciiTheme="minorBidi" w:hAnsiTheme="minorBidi"/>
          <w:u w:val="dotted"/>
          <w:rtl/>
        </w:rPr>
      </w:pPr>
      <w:r w:rsidRPr="003024E5">
        <w:rPr>
          <w:rFonts w:asciiTheme="minorBidi" w:hAnsiTheme="minorBidi"/>
          <w:u w:val="dotted"/>
          <w:rtl/>
        </w:rPr>
        <w:t xml:space="preserve">ומה הדין אם מלח הבשר ששהא ג' ימים עם בשר שכבר נמלח והודח בכלי שאינו מנוקב: </w:t>
      </w:r>
    </w:p>
    <w:p w14:paraId="44DA987D" w14:textId="77777777" w:rsidR="002C39F4" w:rsidRPr="003024E5" w:rsidRDefault="002C39F4" w:rsidP="002C39F4">
      <w:pPr>
        <w:pStyle w:val="a8"/>
        <w:numPr>
          <w:ilvl w:val="0"/>
          <w:numId w:val="17"/>
        </w:numPr>
        <w:rPr>
          <w:rFonts w:asciiTheme="minorBidi" w:hAnsiTheme="minorBidi"/>
        </w:rPr>
      </w:pPr>
      <w:r w:rsidRPr="003024E5">
        <w:rPr>
          <w:rFonts w:asciiTheme="minorBidi" w:hAnsiTheme="minorBidi"/>
          <w:rtl/>
        </w:rPr>
        <w:t xml:space="preserve">ט"ז </w:t>
      </w:r>
      <w:r w:rsidRPr="003024E5">
        <w:rPr>
          <w:rFonts w:asciiTheme="minorBidi" w:hAnsiTheme="minorBidi"/>
          <w:sz w:val="16"/>
          <w:szCs w:val="16"/>
          <w:rtl/>
        </w:rPr>
        <w:t>(סקל"ב)</w:t>
      </w:r>
      <w:r w:rsidRPr="003024E5">
        <w:rPr>
          <w:rFonts w:asciiTheme="minorBidi" w:hAnsiTheme="minorBidi"/>
          <w:rtl/>
        </w:rPr>
        <w:t>- אסור גם שאר הבשר דבזה אמרינן להיפך לחומרא שמא יצא הדם שנתקשה ע"י המליחה ואוסר שאר הבשר כיון שמונח בכלי שאינו מנוקב</w:t>
      </w:r>
      <w:r w:rsidRPr="00232821">
        <w:rPr>
          <w:rStyle w:val="a7"/>
          <w:rFonts w:asciiTheme="minorBidi" w:hAnsiTheme="minorBidi"/>
          <w:rtl/>
        </w:rPr>
        <w:footnoteReference w:id="178"/>
      </w:r>
      <w:r w:rsidRPr="003024E5">
        <w:rPr>
          <w:rFonts w:asciiTheme="minorBidi" w:hAnsiTheme="minorBidi"/>
          <w:rtl/>
        </w:rPr>
        <w:t>.</w:t>
      </w:r>
    </w:p>
    <w:p w14:paraId="1118C9E1" w14:textId="77777777" w:rsidR="002C39F4" w:rsidRPr="003024E5" w:rsidRDefault="002C39F4" w:rsidP="002C39F4">
      <w:pPr>
        <w:rPr>
          <w:rFonts w:asciiTheme="minorBidi" w:hAnsiTheme="minorBidi"/>
          <w:u w:val="single"/>
        </w:rPr>
      </w:pPr>
      <w:r w:rsidRPr="003024E5">
        <w:rPr>
          <w:rFonts w:asciiTheme="minorBidi" w:hAnsiTheme="minorBidi"/>
          <w:u w:val="single"/>
          <w:rtl/>
        </w:rPr>
        <w:t>בשר ששהא ג' ימים ומלחוהו והדיחוהו וצלאוהו:</w:t>
      </w:r>
    </w:p>
    <w:p w14:paraId="7F0587BD" w14:textId="77777777" w:rsidR="002C39F4" w:rsidRPr="0079339C" w:rsidRDefault="002C39F4" w:rsidP="002C39F4">
      <w:pPr>
        <w:pStyle w:val="a8"/>
        <w:numPr>
          <w:ilvl w:val="0"/>
          <w:numId w:val="17"/>
        </w:numPr>
        <w:rPr>
          <w:rFonts w:asciiTheme="minorBidi" w:hAnsiTheme="minorBidi"/>
        </w:rPr>
      </w:pPr>
      <w:r w:rsidRPr="003024E5">
        <w:rPr>
          <w:rFonts w:asciiTheme="minorBidi" w:hAnsiTheme="minorBidi"/>
          <w:rtl/>
        </w:rPr>
        <w:t xml:space="preserve">ט"ז </w:t>
      </w:r>
      <w:r w:rsidRPr="003024E5">
        <w:rPr>
          <w:rFonts w:asciiTheme="minorBidi" w:hAnsiTheme="minorBidi"/>
          <w:sz w:val="16"/>
          <w:szCs w:val="16"/>
          <w:rtl/>
        </w:rPr>
        <w:t>(סקל"ב)</w:t>
      </w:r>
      <w:r w:rsidRPr="003024E5">
        <w:rPr>
          <w:rFonts w:asciiTheme="minorBidi" w:hAnsiTheme="minorBidi"/>
          <w:rtl/>
        </w:rPr>
        <w:t>- מצאתי בקובץ ישן וז"ל שמעתי מהרב שאמר בשם מהרי"ו שאמר משם מהרי"ל בשר ששהה ג' ימים בלא מליחה שאסור לבשל גם שמעתי שכמדומה הוא שראה כתוב בשם מהר"ר עוזר שאם אחר ששהה ג' ימים מלחוהו כשיעור מליחה והדיחוהו וצלאוהו שוב מותר לבשל עכ"ל</w:t>
      </w:r>
      <w:r w:rsidRPr="003024E5">
        <w:rPr>
          <w:rStyle w:val="a7"/>
          <w:rFonts w:asciiTheme="minorBidi" w:hAnsiTheme="minorBidi"/>
          <w:rtl/>
        </w:rPr>
        <w:footnoteReference w:id="179"/>
      </w:r>
      <w:r w:rsidRPr="003024E5">
        <w:rPr>
          <w:rFonts w:asciiTheme="minorBidi" w:hAnsiTheme="minorBidi"/>
          <w:rtl/>
        </w:rPr>
        <w:t>.</w:t>
      </w:r>
    </w:p>
    <w:p w14:paraId="1235570C" w14:textId="77777777" w:rsidR="002C39F4" w:rsidRDefault="002C39F4" w:rsidP="002C39F4">
      <w:pPr>
        <w:rPr>
          <w:rFonts w:asciiTheme="minorBidi" w:hAnsiTheme="minorBidi" w:cs="Arial"/>
          <w:rtl/>
        </w:rPr>
      </w:pPr>
      <w:r w:rsidRPr="00DB4E00">
        <w:rPr>
          <w:rFonts w:asciiTheme="minorBidi" w:hAnsiTheme="minorBidi" w:cs="Arial" w:hint="cs"/>
          <w:u w:val="single"/>
          <w:rtl/>
        </w:rPr>
        <w:t>שומן ששהה ג' ימים בלא מליחה:</w:t>
      </w:r>
      <w:r>
        <w:rPr>
          <w:rFonts w:asciiTheme="minorBidi" w:hAnsiTheme="minorBidi" w:cs="Arial" w:hint="cs"/>
          <w:rtl/>
        </w:rPr>
        <w:t xml:space="preserve"> </w:t>
      </w:r>
      <w:r w:rsidRPr="00DB4E00">
        <w:rPr>
          <w:rFonts w:asciiTheme="minorBidi" w:hAnsiTheme="minorBidi" w:cs="Arial"/>
          <w:sz w:val="16"/>
          <w:szCs w:val="16"/>
          <w:rtl/>
        </w:rPr>
        <w:t>(</w:t>
      </w:r>
      <w:r w:rsidRPr="00DB4E00">
        <w:rPr>
          <w:rFonts w:asciiTheme="minorBidi" w:hAnsiTheme="minorBidi" w:cs="Arial" w:hint="cs"/>
          <w:sz w:val="16"/>
          <w:szCs w:val="16"/>
          <w:rtl/>
        </w:rPr>
        <w:t>פת"ש סק</w:t>
      </w:r>
      <w:r w:rsidRPr="00DB4E00">
        <w:rPr>
          <w:rFonts w:asciiTheme="minorBidi" w:hAnsiTheme="minorBidi" w:cs="Arial"/>
          <w:sz w:val="16"/>
          <w:szCs w:val="16"/>
          <w:rtl/>
        </w:rPr>
        <w:t>כ</w:t>
      </w:r>
      <w:r w:rsidRPr="00DB4E00">
        <w:rPr>
          <w:rFonts w:asciiTheme="minorBidi" w:hAnsiTheme="minorBidi" w:cs="Arial" w:hint="cs"/>
          <w:sz w:val="16"/>
          <w:szCs w:val="16"/>
          <w:rtl/>
        </w:rPr>
        <w:t>"</w:t>
      </w:r>
      <w:r w:rsidRPr="00DB4E00">
        <w:rPr>
          <w:rFonts w:asciiTheme="minorBidi" w:hAnsiTheme="minorBidi" w:cs="Arial"/>
          <w:sz w:val="16"/>
          <w:szCs w:val="16"/>
          <w:rtl/>
        </w:rPr>
        <w:t>א)</w:t>
      </w:r>
    </w:p>
    <w:p w14:paraId="235924BA" w14:textId="77777777" w:rsidR="002C39F4" w:rsidRPr="00DB4E00" w:rsidRDefault="002C39F4" w:rsidP="002C39F4">
      <w:pPr>
        <w:pStyle w:val="a8"/>
        <w:numPr>
          <w:ilvl w:val="0"/>
          <w:numId w:val="17"/>
        </w:numPr>
        <w:rPr>
          <w:rFonts w:asciiTheme="minorBidi" w:hAnsiTheme="minorBidi" w:cs="Arial"/>
          <w:rtl/>
        </w:rPr>
      </w:pPr>
      <w:r w:rsidRPr="00DB4E00">
        <w:rPr>
          <w:rFonts w:asciiTheme="minorBidi" w:hAnsiTheme="minorBidi" w:cs="Arial"/>
          <w:rtl/>
        </w:rPr>
        <w:t>שבו</w:t>
      </w:r>
      <w:r>
        <w:rPr>
          <w:rFonts w:asciiTheme="minorBidi" w:hAnsiTheme="minorBidi" w:cs="Arial" w:hint="cs"/>
          <w:rtl/>
        </w:rPr>
        <w:t>ת יעקב</w:t>
      </w:r>
      <w:r>
        <w:rPr>
          <w:rFonts w:asciiTheme="minorBidi" w:hAnsiTheme="minorBidi" w:cs="Arial" w:hint="cs"/>
          <w:sz w:val="16"/>
          <w:szCs w:val="16"/>
          <w:rtl/>
        </w:rPr>
        <w:t xml:space="preserve"> (סי' נח, וכ"כ בשמו מהרי"ט [</w:t>
      </w:r>
      <w:r w:rsidRPr="00DB4E00">
        <w:rPr>
          <w:rFonts w:asciiTheme="minorBidi" w:hAnsiTheme="minorBidi" w:cs="Arial" w:hint="cs"/>
          <w:sz w:val="16"/>
          <w:szCs w:val="16"/>
          <w:rtl/>
        </w:rPr>
        <w:t>בבאה"ט</w:t>
      </w:r>
      <w:r>
        <w:rPr>
          <w:rFonts w:asciiTheme="minorBidi" w:hAnsiTheme="minorBidi" w:cs="Arial" w:hint="cs"/>
          <w:sz w:val="16"/>
          <w:szCs w:val="16"/>
          <w:rtl/>
        </w:rPr>
        <w:t xml:space="preserve"> </w:t>
      </w:r>
      <w:r w:rsidRPr="00DB4E00">
        <w:rPr>
          <w:rFonts w:asciiTheme="minorBidi" w:hAnsiTheme="minorBidi" w:cs="Arial" w:hint="cs"/>
          <w:sz w:val="16"/>
          <w:szCs w:val="16"/>
          <w:rtl/>
        </w:rPr>
        <w:t>סי' עה</w:t>
      </w:r>
      <w:r>
        <w:rPr>
          <w:rFonts w:asciiTheme="minorBidi" w:hAnsiTheme="minorBidi" w:cs="Arial" w:hint="cs"/>
          <w:sz w:val="16"/>
          <w:szCs w:val="16"/>
          <w:rtl/>
        </w:rPr>
        <w:t xml:space="preserve"> סק"ה])</w:t>
      </w:r>
      <w:r w:rsidRPr="00DB4E00">
        <w:rPr>
          <w:rFonts w:asciiTheme="minorBidi" w:hAnsiTheme="minorBidi" w:cs="Arial" w:hint="cs"/>
          <w:rtl/>
        </w:rPr>
        <w:t>- יש</w:t>
      </w:r>
      <w:r w:rsidRPr="00DB4E00">
        <w:rPr>
          <w:rFonts w:asciiTheme="minorBidi" w:hAnsiTheme="minorBidi" w:cs="Arial"/>
          <w:rtl/>
        </w:rPr>
        <w:t xml:space="preserve"> להקל בשומן אווזות שלא הודח תוך ג"י</w:t>
      </w:r>
      <w:r w:rsidRPr="00DB4E00">
        <w:rPr>
          <w:rFonts w:asciiTheme="minorBidi" w:hAnsiTheme="minorBidi" w:cs="Arial" w:hint="cs"/>
          <w:rtl/>
        </w:rPr>
        <w:t>.</w:t>
      </w:r>
    </w:p>
    <w:p w14:paraId="2DE2C458" w14:textId="77777777" w:rsidR="002C39F4" w:rsidRPr="00DB4E00" w:rsidRDefault="002C39F4" w:rsidP="002C39F4">
      <w:pPr>
        <w:pStyle w:val="a8"/>
        <w:numPr>
          <w:ilvl w:val="0"/>
          <w:numId w:val="17"/>
        </w:numPr>
        <w:rPr>
          <w:rFonts w:asciiTheme="minorBidi" w:hAnsiTheme="minorBidi" w:cs="Arial"/>
          <w:rtl/>
        </w:rPr>
      </w:pPr>
      <w:r w:rsidRPr="00DB4E00">
        <w:rPr>
          <w:rFonts w:asciiTheme="minorBidi" w:hAnsiTheme="minorBidi" w:cs="Arial"/>
          <w:rtl/>
        </w:rPr>
        <w:t xml:space="preserve">נו"ב </w:t>
      </w:r>
      <w:r w:rsidRPr="00DB4E00">
        <w:rPr>
          <w:rFonts w:asciiTheme="minorBidi" w:hAnsiTheme="minorBidi" w:cs="Arial" w:hint="cs"/>
          <w:sz w:val="16"/>
          <w:szCs w:val="16"/>
          <w:rtl/>
        </w:rPr>
        <w:t>(</w:t>
      </w:r>
      <w:r w:rsidRPr="00DB4E00">
        <w:rPr>
          <w:rFonts w:asciiTheme="minorBidi" w:hAnsiTheme="minorBidi" w:cs="Arial"/>
          <w:sz w:val="16"/>
          <w:szCs w:val="16"/>
          <w:rtl/>
        </w:rPr>
        <w:t>יו"ד סי</w:t>
      </w:r>
      <w:r w:rsidRPr="00DB4E00">
        <w:rPr>
          <w:rFonts w:asciiTheme="minorBidi" w:hAnsiTheme="minorBidi" w:cs="Arial" w:hint="cs"/>
          <w:sz w:val="16"/>
          <w:szCs w:val="16"/>
          <w:rtl/>
        </w:rPr>
        <w:t>'</w:t>
      </w:r>
      <w:r w:rsidRPr="00DB4E00">
        <w:rPr>
          <w:rFonts w:asciiTheme="minorBidi" w:hAnsiTheme="minorBidi" w:cs="Arial"/>
          <w:sz w:val="16"/>
          <w:szCs w:val="16"/>
          <w:rtl/>
        </w:rPr>
        <w:t xml:space="preserve"> כד)</w:t>
      </w:r>
      <w:r w:rsidRPr="00DB4E00">
        <w:rPr>
          <w:rFonts w:asciiTheme="minorBidi" w:hAnsiTheme="minorBidi" w:cs="Arial" w:hint="cs"/>
          <w:sz w:val="16"/>
          <w:szCs w:val="16"/>
          <w:rtl/>
        </w:rPr>
        <w:t xml:space="preserve"> </w:t>
      </w:r>
      <w:r>
        <w:rPr>
          <w:rFonts w:asciiTheme="minorBidi" w:hAnsiTheme="minorBidi" w:cs="Arial" w:hint="cs"/>
          <w:rtl/>
        </w:rPr>
        <w:t xml:space="preserve">ח"ד </w:t>
      </w:r>
      <w:r>
        <w:rPr>
          <w:rFonts w:asciiTheme="minorBidi" w:hAnsiTheme="minorBidi" w:cs="Arial" w:hint="cs"/>
          <w:sz w:val="16"/>
          <w:szCs w:val="16"/>
          <w:rtl/>
        </w:rPr>
        <w:t>(חדושים סקמ"ו)</w:t>
      </w:r>
      <w:r>
        <w:rPr>
          <w:rFonts w:asciiTheme="minorBidi" w:hAnsiTheme="minorBidi" w:cs="Arial" w:hint="cs"/>
          <w:rtl/>
        </w:rPr>
        <w:t xml:space="preserve"> </w:t>
      </w:r>
      <w:r w:rsidRPr="00DB4E00">
        <w:rPr>
          <w:rFonts w:asciiTheme="minorBidi" w:hAnsiTheme="minorBidi" w:cs="Arial" w:hint="cs"/>
          <w:rtl/>
        </w:rPr>
        <w:t xml:space="preserve">ורעק"א </w:t>
      </w:r>
      <w:r w:rsidRPr="00DB4E00">
        <w:rPr>
          <w:rFonts w:asciiTheme="minorBidi" w:hAnsiTheme="minorBidi" w:cs="Arial" w:hint="cs"/>
          <w:sz w:val="16"/>
          <w:szCs w:val="16"/>
          <w:rtl/>
        </w:rPr>
        <w:t>(תשו' סי' מד)</w:t>
      </w:r>
      <w:r w:rsidRPr="00DB4E00">
        <w:rPr>
          <w:rFonts w:asciiTheme="minorBidi" w:hAnsiTheme="minorBidi" w:cs="Arial" w:hint="cs"/>
          <w:rtl/>
        </w:rPr>
        <w:t>-</w:t>
      </w:r>
      <w:r w:rsidRPr="00DB4E00">
        <w:rPr>
          <w:rFonts w:asciiTheme="minorBidi" w:hAnsiTheme="minorBidi" w:cs="Arial"/>
          <w:rtl/>
        </w:rPr>
        <w:t xml:space="preserve"> בשומן הדין כמו בבשר</w:t>
      </w:r>
      <w:r>
        <w:rPr>
          <w:rStyle w:val="a7"/>
          <w:rFonts w:asciiTheme="minorBidi" w:hAnsiTheme="minorBidi" w:cs="Arial"/>
          <w:rtl/>
        </w:rPr>
        <w:footnoteReference w:id="180"/>
      </w:r>
      <w:r w:rsidRPr="00DB4E00">
        <w:rPr>
          <w:rFonts w:asciiTheme="minorBidi" w:hAnsiTheme="minorBidi" w:cs="Arial" w:hint="cs"/>
          <w:rtl/>
        </w:rPr>
        <w:t xml:space="preserve">. </w:t>
      </w:r>
    </w:p>
    <w:p w14:paraId="6F933676" w14:textId="77777777" w:rsidR="002C39F4" w:rsidRDefault="002C39F4" w:rsidP="002C39F4">
      <w:pPr>
        <w:ind w:left="360"/>
        <w:rPr>
          <w:rFonts w:asciiTheme="minorBidi" w:hAnsiTheme="minorBidi" w:cs="Arial"/>
          <w:rtl/>
        </w:rPr>
      </w:pPr>
      <w:r>
        <w:rPr>
          <w:rFonts w:asciiTheme="minorBidi" w:hAnsiTheme="minorBidi" w:cs="Arial" w:hint="cs"/>
          <w:u w:val="dotted"/>
          <w:rtl/>
        </w:rPr>
        <w:t xml:space="preserve">לאוסרים - </w:t>
      </w:r>
      <w:r w:rsidRPr="00B54933">
        <w:rPr>
          <w:rFonts w:asciiTheme="minorBidi" w:hAnsiTheme="minorBidi" w:cs="Arial" w:hint="cs"/>
          <w:u w:val="dotted"/>
          <w:rtl/>
        </w:rPr>
        <w:t>האם יש איזו דרך להתיר שומן ששהה ג"י:</w:t>
      </w:r>
      <w:r w:rsidRPr="00B54933">
        <w:rPr>
          <w:rFonts w:asciiTheme="minorBidi" w:hAnsiTheme="minorBidi" w:cs="Arial"/>
          <w:sz w:val="16"/>
          <w:szCs w:val="16"/>
          <w:rtl/>
        </w:rPr>
        <w:t xml:space="preserve"> </w:t>
      </w:r>
      <w:r>
        <w:rPr>
          <w:rFonts w:asciiTheme="minorBidi" w:hAnsiTheme="minorBidi" w:cs="Arial" w:hint="cs"/>
          <w:sz w:val="16"/>
          <w:szCs w:val="16"/>
          <w:rtl/>
        </w:rPr>
        <w:t xml:space="preserve"> </w:t>
      </w:r>
      <w:r w:rsidRPr="00DB4E00">
        <w:rPr>
          <w:rFonts w:asciiTheme="minorBidi" w:hAnsiTheme="minorBidi" w:cs="Arial"/>
          <w:sz w:val="16"/>
          <w:szCs w:val="16"/>
          <w:rtl/>
        </w:rPr>
        <w:t>(</w:t>
      </w:r>
      <w:r w:rsidRPr="00DB4E00">
        <w:rPr>
          <w:rFonts w:asciiTheme="minorBidi" w:hAnsiTheme="minorBidi" w:cs="Arial" w:hint="cs"/>
          <w:sz w:val="16"/>
          <w:szCs w:val="16"/>
          <w:rtl/>
        </w:rPr>
        <w:t>פת"ש סק</w:t>
      </w:r>
      <w:r w:rsidRPr="00DB4E00">
        <w:rPr>
          <w:rFonts w:asciiTheme="minorBidi" w:hAnsiTheme="minorBidi" w:cs="Arial"/>
          <w:sz w:val="16"/>
          <w:szCs w:val="16"/>
          <w:rtl/>
        </w:rPr>
        <w:t>כ</w:t>
      </w:r>
      <w:r w:rsidRPr="00DB4E00">
        <w:rPr>
          <w:rFonts w:asciiTheme="minorBidi" w:hAnsiTheme="minorBidi" w:cs="Arial" w:hint="cs"/>
          <w:sz w:val="16"/>
          <w:szCs w:val="16"/>
          <w:rtl/>
        </w:rPr>
        <w:t>"</w:t>
      </w:r>
      <w:r w:rsidRPr="00DB4E00">
        <w:rPr>
          <w:rFonts w:asciiTheme="minorBidi" w:hAnsiTheme="minorBidi" w:cs="Arial"/>
          <w:sz w:val="16"/>
          <w:szCs w:val="16"/>
          <w:rtl/>
        </w:rPr>
        <w:t>א)</w:t>
      </w:r>
    </w:p>
    <w:p w14:paraId="7D9D4C8B" w14:textId="77777777" w:rsidR="002C39F4" w:rsidRPr="00232821" w:rsidRDefault="002C39F4" w:rsidP="002C39F4">
      <w:pPr>
        <w:pStyle w:val="a8"/>
        <w:numPr>
          <w:ilvl w:val="0"/>
          <w:numId w:val="90"/>
        </w:numPr>
        <w:rPr>
          <w:rFonts w:asciiTheme="minorBidi" w:hAnsiTheme="minorBidi"/>
        </w:rPr>
      </w:pPr>
      <w:r w:rsidRPr="00B54933">
        <w:rPr>
          <w:rFonts w:asciiTheme="minorBidi" w:hAnsiTheme="minorBidi" w:cs="Arial"/>
          <w:rtl/>
        </w:rPr>
        <w:t>ח"ד</w:t>
      </w:r>
      <w:r w:rsidRPr="00B54933">
        <w:rPr>
          <w:rFonts w:asciiTheme="minorBidi" w:hAnsiTheme="minorBidi" w:cs="Arial" w:hint="cs"/>
          <w:rtl/>
        </w:rPr>
        <w:t xml:space="preserve">- </w:t>
      </w:r>
      <w:r w:rsidRPr="00B54933">
        <w:rPr>
          <w:rFonts w:asciiTheme="minorBidi" w:hAnsiTheme="minorBidi" w:cs="Arial"/>
          <w:rtl/>
        </w:rPr>
        <w:t>יש להתיר ע"י בישול במים בששים אחר המליחה</w:t>
      </w:r>
      <w:r>
        <w:rPr>
          <w:rFonts w:asciiTheme="minorBidi" w:hAnsiTheme="minorBidi" w:cs="Arial" w:hint="cs"/>
          <w:rtl/>
        </w:rPr>
        <w:t>,</w:t>
      </w:r>
      <w:r w:rsidRPr="00B54933">
        <w:rPr>
          <w:rFonts w:asciiTheme="minorBidi" w:hAnsiTheme="minorBidi" w:cs="Arial"/>
          <w:rtl/>
        </w:rPr>
        <w:t xml:space="preserve"> כיון דבהפ"מ סמכינן אמחבר בסעיף י"א</w:t>
      </w:r>
      <w:r>
        <w:rPr>
          <w:rFonts w:asciiTheme="minorBidi" w:hAnsiTheme="minorBidi" w:cs="Arial" w:hint="cs"/>
          <w:rtl/>
        </w:rPr>
        <w:t>,</w:t>
      </w:r>
      <w:r w:rsidRPr="00B54933">
        <w:rPr>
          <w:rFonts w:asciiTheme="minorBidi" w:hAnsiTheme="minorBidi" w:cs="Arial"/>
          <w:rtl/>
        </w:rPr>
        <w:t xml:space="preserve"> והמים שבלעו איסור ישפכו</w:t>
      </w:r>
      <w:r>
        <w:rPr>
          <w:rFonts w:asciiTheme="minorBidi" w:hAnsiTheme="minorBidi" w:cs="Arial" w:hint="cs"/>
          <w:rtl/>
        </w:rPr>
        <w:t>,</w:t>
      </w:r>
      <w:r w:rsidRPr="00B54933">
        <w:rPr>
          <w:rFonts w:asciiTheme="minorBidi" w:hAnsiTheme="minorBidi" w:cs="Arial"/>
          <w:rtl/>
        </w:rPr>
        <w:t xml:space="preserve"> ואין זה מבטל איסור מטעם שיחזור ויבלע השומן מהמים אין זה ביטול איסור דהבליעה בא אחר הביטול</w:t>
      </w:r>
      <w:r>
        <w:rPr>
          <w:rFonts w:asciiTheme="minorBidi" w:hAnsiTheme="minorBidi" w:cs="Arial" w:hint="cs"/>
          <w:rtl/>
        </w:rPr>
        <w:t>,</w:t>
      </w:r>
      <w:r w:rsidRPr="00B54933">
        <w:rPr>
          <w:rFonts w:asciiTheme="minorBidi" w:hAnsiTheme="minorBidi" w:cs="Arial"/>
          <w:rtl/>
        </w:rPr>
        <w:t xml:space="preserve"> ועוד דכוונתנו להתיך השומן</w:t>
      </w:r>
      <w:r>
        <w:rPr>
          <w:rFonts w:asciiTheme="minorBidi" w:hAnsiTheme="minorBidi" w:cs="Arial" w:hint="cs"/>
          <w:rtl/>
        </w:rPr>
        <w:t>,</w:t>
      </w:r>
      <w:r w:rsidRPr="00B54933">
        <w:rPr>
          <w:rFonts w:asciiTheme="minorBidi" w:hAnsiTheme="minorBidi" w:cs="Arial"/>
          <w:rtl/>
        </w:rPr>
        <w:t xml:space="preserve"> דמיא קצת לסי</w:t>
      </w:r>
      <w:r>
        <w:rPr>
          <w:rFonts w:asciiTheme="minorBidi" w:hAnsiTheme="minorBidi" w:cs="Arial" w:hint="cs"/>
          <w:rtl/>
        </w:rPr>
        <w:t>'</w:t>
      </w:r>
      <w:r w:rsidRPr="00B54933">
        <w:rPr>
          <w:rFonts w:asciiTheme="minorBidi" w:hAnsiTheme="minorBidi" w:cs="Arial"/>
          <w:rtl/>
        </w:rPr>
        <w:t xml:space="preserve"> פד ס"ג</w:t>
      </w:r>
      <w:r>
        <w:rPr>
          <w:rFonts w:asciiTheme="minorBidi" w:hAnsiTheme="minorBidi" w:cs="Arial" w:hint="cs"/>
          <w:rtl/>
        </w:rPr>
        <w:t>,</w:t>
      </w:r>
      <w:r w:rsidRPr="00B54933">
        <w:rPr>
          <w:rFonts w:asciiTheme="minorBidi" w:hAnsiTheme="minorBidi" w:cs="Arial"/>
          <w:rtl/>
        </w:rPr>
        <w:t xml:space="preserve"> אבל לערבו בשומן אחר עד ששים נראה דאסור</w:t>
      </w:r>
      <w:r>
        <w:rPr>
          <w:rFonts w:asciiTheme="minorBidi" w:hAnsiTheme="minorBidi" w:cs="Arial" w:hint="cs"/>
          <w:rtl/>
        </w:rPr>
        <w:t>.</w:t>
      </w:r>
    </w:p>
    <w:p w14:paraId="168E5E1E" w14:textId="77777777" w:rsidR="002C39F4" w:rsidRDefault="002C39F4" w:rsidP="002C39F4">
      <w:pPr>
        <w:pStyle w:val="a8"/>
        <w:numPr>
          <w:ilvl w:val="0"/>
          <w:numId w:val="90"/>
        </w:numPr>
        <w:rPr>
          <w:rFonts w:asciiTheme="minorBidi" w:hAnsiTheme="minorBidi"/>
        </w:rPr>
      </w:pPr>
      <w:r w:rsidRPr="00232821">
        <w:rPr>
          <w:rFonts w:asciiTheme="minorBidi" w:hAnsiTheme="minorBidi"/>
          <w:rtl/>
        </w:rPr>
        <w:t xml:space="preserve">רעק"א </w:t>
      </w:r>
      <w:r w:rsidRPr="00232821">
        <w:rPr>
          <w:rFonts w:asciiTheme="minorBidi" w:hAnsiTheme="minorBidi"/>
          <w:sz w:val="16"/>
          <w:szCs w:val="16"/>
          <w:rtl/>
        </w:rPr>
        <w:t>(תשו' סי' לח)</w:t>
      </w:r>
      <w:r>
        <w:rPr>
          <w:rFonts w:asciiTheme="minorBidi" w:hAnsiTheme="minorBidi" w:hint="cs"/>
          <w:rtl/>
        </w:rPr>
        <w:t xml:space="preserve">- </w:t>
      </w:r>
      <w:r w:rsidRPr="00232821">
        <w:rPr>
          <w:rFonts w:asciiTheme="minorBidi" w:hAnsiTheme="minorBidi"/>
          <w:rtl/>
        </w:rPr>
        <w:t>יש להקל בזה בהפ"מ והיינו דמתחלה ימלח השומן כדינו ואחר המליחה והדחה יערב בשאר שומן שנמלח והודח כדינו.</w:t>
      </w:r>
    </w:p>
    <w:p w14:paraId="6EBD74D8" w14:textId="77777777" w:rsidR="002C39F4" w:rsidRDefault="002C39F4" w:rsidP="002C39F4">
      <w:pPr>
        <w:rPr>
          <w:rFonts w:asciiTheme="minorBidi" w:hAnsiTheme="minorBidi" w:cs="Arial"/>
          <w:rtl/>
        </w:rPr>
      </w:pPr>
      <w:r w:rsidRPr="00B54933">
        <w:rPr>
          <w:rFonts w:asciiTheme="minorBidi" w:hAnsiTheme="minorBidi" w:cs="Arial"/>
          <w:u w:val="single"/>
          <w:rtl/>
        </w:rPr>
        <w:t>עוף השוהה למות אחר שחיטה כמה שעות ונש</w:t>
      </w:r>
      <w:r>
        <w:rPr>
          <w:rFonts w:asciiTheme="minorBidi" w:hAnsiTheme="minorBidi" w:cs="Arial" w:hint="cs"/>
          <w:u w:val="single"/>
          <w:rtl/>
        </w:rPr>
        <w:t>ת</w:t>
      </w:r>
      <w:r w:rsidRPr="00B54933">
        <w:rPr>
          <w:rFonts w:asciiTheme="minorBidi" w:hAnsiTheme="minorBidi" w:cs="Arial"/>
          <w:u w:val="single"/>
          <w:rtl/>
        </w:rPr>
        <w:t>הה ג"י בלי מליחה</w:t>
      </w:r>
      <w:r>
        <w:rPr>
          <w:rFonts w:asciiTheme="minorBidi" w:hAnsiTheme="minorBidi" w:cs="Arial" w:hint="cs"/>
          <w:u w:val="single"/>
          <w:rtl/>
        </w:rPr>
        <w:t xml:space="preserve"> ממתי</w:t>
      </w:r>
      <w:r w:rsidRPr="00B54933">
        <w:rPr>
          <w:rFonts w:asciiTheme="minorBidi" w:hAnsiTheme="minorBidi" w:cs="Arial"/>
          <w:u w:val="single"/>
          <w:rtl/>
        </w:rPr>
        <w:t xml:space="preserve"> מונין </w:t>
      </w:r>
      <w:r w:rsidRPr="00B54933">
        <w:rPr>
          <w:rFonts w:asciiTheme="minorBidi" w:hAnsiTheme="minorBidi" w:cs="Arial" w:hint="cs"/>
          <w:u w:val="single"/>
          <w:rtl/>
        </w:rPr>
        <w:t>ג"י</w:t>
      </w:r>
      <w:r w:rsidRPr="00B54933">
        <w:rPr>
          <w:rFonts w:asciiTheme="minorBidi" w:hAnsiTheme="minorBidi" w:cs="Arial" w:hint="cs"/>
          <w:sz w:val="16"/>
          <w:szCs w:val="16"/>
          <w:u w:val="single"/>
          <w:rtl/>
        </w:rPr>
        <w:t xml:space="preserve"> (מהשחיטה או משתצא נפשו)</w:t>
      </w:r>
      <w:r w:rsidRPr="00B54933">
        <w:rPr>
          <w:rFonts w:asciiTheme="minorBidi" w:hAnsiTheme="minorBidi" w:cs="Arial" w:hint="cs"/>
          <w:u w:val="single"/>
          <w:rtl/>
        </w:rPr>
        <w:t>:</w:t>
      </w:r>
      <w:r>
        <w:rPr>
          <w:rFonts w:asciiTheme="minorBidi" w:hAnsiTheme="minorBidi" w:cs="Arial" w:hint="cs"/>
          <w:rtl/>
        </w:rPr>
        <w:t xml:space="preserve"> </w:t>
      </w:r>
      <w:r w:rsidRPr="00B54933">
        <w:rPr>
          <w:rFonts w:asciiTheme="minorBidi" w:hAnsiTheme="minorBidi" w:cs="Arial"/>
          <w:rtl/>
        </w:rPr>
        <w:t xml:space="preserve"> </w:t>
      </w:r>
      <w:r w:rsidRPr="00DB4E00">
        <w:rPr>
          <w:rFonts w:asciiTheme="minorBidi" w:hAnsiTheme="minorBidi" w:cs="Arial"/>
          <w:sz w:val="16"/>
          <w:szCs w:val="16"/>
          <w:rtl/>
        </w:rPr>
        <w:t>(</w:t>
      </w:r>
      <w:r w:rsidRPr="00DB4E00">
        <w:rPr>
          <w:rFonts w:asciiTheme="minorBidi" w:hAnsiTheme="minorBidi" w:cs="Arial" w:hint="cs"/>
          <w:sz w:val="16"/>
          <w:szCs w:val="16"/>
          <w:rtl/>
        </w:rPr>
        <w:t>פת"ש סק</w:t>
      </w:r>
      <w:r w:rsidRPr="00DB4E00">
        <w:rPr>
          <w:rFonts w:asciiTheme="minorBidi" w:hAnsiTheme="minorBidi" w:cs="Arial"/>
          <w:sz w:val="16"/>
          <w:szCs w:val="16"/>
          <w:rtl/>
        </w:rPr>
        <w:t>כ</w:t>
      </w:r>
      <w:r w:rsidRPr="00DB4E00">
        <w:rPr>
          <w:rFonts w:asciiTheme="minorBidi" w:hAnsiTheme="minorBidi" w:cs="Arial" w:hint="cs"/>
          <w:sz w:val="16"/>
          <w:szCs w:val="16"/>
          <w:rtl/>
        </w:rPr>
        <w:t>"</w:t>
      </w:r>
      <w:r>
        <w:rPr>
          <w:rFonts w:asciiTheme="minorBidi" w:hAnsiTheme="minorBidi" w:cs="Arial" w:hint="cs"/>
          <w:sz w:val="16"/>
          <w:szCs w:val="16"/>
          <w:rtl/>
        </w:rPr>
        <w:t>ב</w:t>
      </w:r>
      <w:r w:rsidRPr="00DB4E00">
        <w:rPr>
          <w:rFonts w:asciiTheme="minorBidi" w:hAnsiTheme="minorBidi" w:cs="Arial"/>
          <w:sz w:val="16"/>
          <w:szCs w:val="16"/>
          <w:rtl/>
        </w:rPr>
        <w:t>)</w:t>
      </w:r>
      <w:r>
        <w:rPr>
          <w:rFonts w:asciiTheme="minorBidi" w:hAnsiTheme="minorBidi" w:cs="Arial" w:hint="cs"/>
          <w:sz w:val="16"/>
          <w:szCs w:val="16"/>
          <w:rtl/>
        </w:rPr>
        <w:t xml:space="preserve"> </w:t>
      </w:r>
    </w:p>
    <w:p w14:paraId="75387B66" w14:textId="77777777" w:rsidR="002C39F4" w:rsidRPr="00B54933" w:rsidRDefault="002C39F4" w:rsidP="002C39F4">
      <w:pPr>
        <w:pStyle w:val="a8"/>
        <w:numPr>
          <w:ilvl w:val="0"/>
          <w:numId w:val="90"/>
        </w:numPr>
        <w:rPr>
          <w:rFonts w:asciiTheme="minorBidi" w:hAnsiTheme="minorBidi"/>
        </w:rPr>
      </w:pPr>
      <w:r w:rsidRPr="00B54933">
        <w:rPr>
          <w:rFonts w:asciiTheme="minorBidi" w:hAnsiTheme="minorBidi" w:cs="Arial"/>
          <w:rtl/>
        </w:rPr>
        <w:t>ברית אברהם</w:t>
      </w:r>
      <w:r>
        <w:rPr>
          <w:rFonts w:asciiTheme="minorBidi" w:hAnsiTheme="minorBidi" w:cs="Arial" w:hint="cs"/>
          <w:rtl/>
        </w:rPr>
        <w:t xml:space="preserve"> </w:t>
      </w:r>
      <w:r w:rsidRPr="00B54933">
        <w:rPr>
          <w:rFonts w:asciiTheme="minorBidi" w:hAnsiTheme="minorBidi" w:cs="Arial" w:hint="cs"/>
          <w:sz w:val="16"/>
          <w:szCs w:val="16"/>
          <w:rtl/>
        </w:rPr>
        <w:t>(י</w:t>
      </w:r>
      <w:r w:rsidRPr="00B54933">
        <w:rPr>
          <w:rFonts w:asciiTheme="minorBidi" w:hAnsiTheme="minorBidi" w:cs="Arial"/>
          <w:sz w:val="16"/>
          <w:szCs w:val="16"/>
          <w:rtl/>
        </w:rPr>
        <w:t>ו"ד</w:t>
      </w:r>
      <w:r w:rsidRPr="00B54933">
        <w:rPr>
          <w:rFonts w:asciiTheme="minorBidi" w:hAnsiTheme="minorBidi" w:cs="Arial" w:hint="cs"/>
          <w:sz w:val="16"/>
          <w:szCs w:val="16"/>
          <w:rtl/>
        </w:rPr>
        <w:t xml:space="preserve"> </w:t>
      </w:r>
      <w:r w:rsidRPr="00B54933">
        <w:rPr>
          <w:rFonts w:asciiTheme="minorBidi" w:hAnsiTheme="minorBidi" w:cs="Arial"/>
          <w:sz w:val="16"/>
          <w:szCs w:val="16"/>
          <w:rtl/>
        </w:rPr>
        <w:t>סי</w:t>
      </w:r>
      <w:r w:rsidRPr="00B54933">
        <w:rPr>
          <w:rFonts w:asciiTheme="minorBidi" w:hAnsiTheme="minorBidi" w:cs="Arial" w:hint="cs"/>
          <w:sz w:val="16"/>
          <w:szCs w:val="16"/>
          <w:rtl/>
        </w:rPr>
        <w:t>'</w:t>
      </w:r>
      <w:r w:rsidRPr="00B54933">
        <w:rPr>
          <w:rFonts w:asciiTheme="minorBidi" w:hAnsiTheme="minorBidi" w:cs="Arial"/>
          <w:sz w:val="16"/>
          <w:szCs w:val="16"/>
          <w:rtl/>
        </w:rPr>
        <w:t xml:space="preserve"> כט</w:t>
      </w:r>
      <w:r w:rsidRPr="00B54933">
        <w:rPr>
          <w:rFonts w:asciiTheme="minorBidi" w:hAnsiTheme="minorBidi" w:cs="Arial" w:hint="cs"/>
          <w:sz w:val="16"/>
          <w:szCs w:val="16"/>
          <w:rtl/>
        </w:rPr>
        <w:t>)</w:t>
      </w:r>
      <w:r>
        <w:rPr>
          <w:rFonts w:asciiTheme="minorBidi" w:hAnsiTheme="minorBidi" w:cs="Arial" w:hint="cs"/>
          <w:rtl/>
        </w:rPr>
        <w:t>-</w:t>
      </w:r>
      <w:r w:rsidRPr="00B54933">
        <w:rPr>
          <w:rFonts w:asciiTheme="minorBidi" w:hAnsiTheme="minorBidi" w:cs="Arial"/>
          <w:rtl/>
        </w:rPr>
        <w:t xml:space="preserve"> יש לחשוב משעה שתצא נפש</w:t>
      </w:r>
      <w:r>
        <w:rPr>
          <w:rFonts w:asciiTheme="minorBidi" w:hAnsiTheme="minorBidi" w:cs="Arial" w:hint="cs"/>
          <w:rtl/>
        </w:rPr>
        <w:t>ה</w:t>
      </w:r>
      <w:r>
        <w:rPr>
          <w:rFonts w:asciiTheme="minorBidi" w:hAnsiTheme="minorBidi" w:cs="Arial" w:hint="cs"/>
          <w:sz w:val="16"/>
          <w:szCs w:val="16"/>
          <w:rtl/>
        </w:rPr>
        <w:t xml:space="preserve"> (בין לגבי הבשר ובין לגבי בני מעיים)</w:t>
      </w:r>
      <w:r w:rsidRPr="00B54933">
        <w:rPr>
          <w:rFonts w:asciiTheme="minorBidi" w:hAnsiTheme="minorBidi" w:cs="Arial"/>
          <w:rtl/>
        </w:rPr>
        <w:t>.</w:t>
      </w:r>
    </w:p>
    <w:p w14:paraId="12E2FEDB" w14:textId="77777777" w:rsidR="002C39F4" w:rsidRPr="003024E5" w:rsidRDefault="002C39F4" w:rsidP="002C39F4">
      <w:pPr>
        <w:rPr>
          <w:rFonts w:asciiTheme="minorBidi" w:hAnsiTheme="minorBidi"/>
          <w:rtl/>
        </w:rPr>
      </w:pPr>
    </w:p>
    <w:p w14:paraId="2957C258" w14:textId="77777777" w:rsidR="002C39F4" w:rsidRPr="003024E5" w:rsidRDefault="002C39F4" w:rsidP="002C39F4">
      <w:pPr>
        <w:pStyle w:val="2"/>
        <w:rPr>
          <w:rFonts w:asciiTheme="minorBidi" w:hAnsiTheme="minorBidi"/>
          <w:rtl/>
        </w:rPr>
      </w:pPr>
      <w:r w:rsidRPr="003024E5">
        <w:rPr>
          <w:rFonts w:asciiTheme="minorBidi" w:hAnsiTheme="minorBidi"/>
          <w:rtl/>
        </w:rPr>
        <w:t>סעיף יג: בשר שנשרה בתוך השלשה ימים.</w:t>
      </w:r>
    </w:p>
    <w:p w14:paraId="26C778F2" w14:textId="77777777" w:rsidR="002C39F4" w:rsidRPr="003024E5" w:rsidRDefault="002C39F4" w:rsidP="002C39F4">
      <w:pPr>
        <w:rPr>
          <w:rFonts w:asciiTheme="minorBidi" w:hAnsiTheme="minorBidi"/>
          <w:sz w:val="16"/>
          <w:szCs w:val="16"/>
          <w:rtl/>
        </w:rPr>
      </w:pPr>
      <w:r w:rsidRPr="003024E5">
        <w:rPr>
          <w:rFonts w:asciiTheme="minorBidi" w:hAnsiTheme="minorBidi"/>
          <w:u w:val="single"/>
          <w:rtl/>
        </w:rPr>
        <w:t>בשר שלא נמלח וביום השלישי נשרה/נשטף במים:</w:t>
      </w:r>
      <w:r w:rsidRPr="003024E5">
        <w:rPr>
          <w:rFonts w:asciiTheme="minorBidi" w:hAnsiTheme="minorBidi"/>
          <w:sz w:val="16"/>
          <w:szCs w:val="16"/>
          <w:rtl/>
        </w:rPr>
        <w:t xml:space="preserve"> </w:t>
      </w:r>
      <w:r>
        <w:rPr>
          <w:rFonts w:asciiTheme="minorBidi" w:hAnsiTheme="minorBidi" w:hint="cs"/>
          <w:sz w:val="16"/>
          <w:szCs w:val="16"/>
          <w:rtl/>
        </w:rPr>
        <w:t xml:space="preserve">  </w:t>
      </w:r>
      <w:r w:rsidRPr="003024E5">
        <w:rPr>
          <w:rFonts w:asciiTheme="minorBidi" w:hAnsiTheme="minorBidi"/>
          <w:sz w:val="16"/>
          <w:szCs w:val="16"/>
          <w:rtl/>
        </w:rPr>
        <w:t>(ב"י ודרכ"מ [אות כז- ל])</w:t>
      </w:r>
    </w:p>
    <w:p w14:paraId="4D77A09F" w14:textId="77777777" w:rsidR="002C39F4" w:rsidRPr="003024E5" w:rsidRDefault="002C39F4" w:rsidP="002C39F4">
      <w:pPr>
        <w:pStyle w:val="a8"/>
        <w:numPr>
          <w:ilvl w:val="0"/>
          <w:numId w:val="17"/>
        </w:numPr>
        <w:rPr>
          <w:rFonts w:asciiTheme="minorBidi" w:hAnsiTheme="minorBidi"/>
        </w:rPr>
      </w:pPr>
      <w:r>
        <w:rPr>
          <w:rFonts w:asciiTheme="minorBidi" w:hAnsiTheme="minorBidi" w:hint="cs"/>
          <w:rtl/>
        </w:rPr>
        <w:t xml:space="preserve">ר' יצחק חוזה </w:t>
      </w:r>
      <w:r>
        <w:rPr>
          <w:rFonts w:asciiTheme="minorBidi" w:hAnsiTheme="minorBidi" w:hint="cs"/>
          <w:sz w:val="16"/>
          <w:szCs w:val="16"/>
          <w:rtl/>
        </w:rPr>
        <w:t xml:space="preserve">(כ"כ בשמו מהר"ם שע"ד וב"ז </w:t>
      </w:r>
      <w:r w:rsidRPr="001D3E04">
        <w:rPr>
          <w:rFonts w:asciiTheme="minorBidi" w:hAnsiTheme="minorBidi" w:hint="cs"/>
          <w:sz w:val="14"/>
          <w:szCs w:val="14"/>
          <w:rtl/>
        </w:rPr>
        <w:t>[עי' הערה לקמן]</w:t>
      </w:r>
      <w:r>
        <w:rPr>
          <w:rFonts w:asciiTheme="minorBidi" w:hAnsiTheme="minorBidi" w:hint="cs"/>
          <w:sz w:val="16"/>
          <w:szCs w:val="16"/>
          <w:rtl/>
        </w:rPr>
        <w:t xml:space="preserve">) </w:t>
      </w:r>
      <w:r>
        <w:rPr>
          <w:rFonts w:asciiTheme="minorBidi" w:hAnsiTheme="minorBidi" w:hint="cs"/>
          <w:rtl/>
        </w:rPr>
        <w:t>ו</w:t>
      </w:r>
      <w:r w:rsidRPr="003024E5">
        <w:rPr>
          <w:rFonts w:asciiTheme="minorBidi" w:hAnsiTheme="minorBidi"/>
          <w:rtl/>
        </w:rPr>
        <w:t>אגור</w:t>
      </w:r>
      <w:r w:rsidRPr="003024E5">
        <w:rPr>
          <w:rFonts w:asciiTheme="minorBidi" w:hAnsiTheme="minorBidi"/>
          <w:sz w:val="16"/>
          <w:szCs w:val="16"/>
          <w:rtl/>
        </w:rPr>
        <w:t xml:space="preserve"> (סי' אלף ר)</w:t>
      </w:r>
      <w:r w:rsidRPr="003024E5">
        <w:rPr>
          <w:rFonts w:asciiTheme="minorBidi" w:hAnsiTheme="minorBidi"/>
          <w:rtl/>
        </w:rPr>
        <w:t>- ראיתי גדולים מכשירים כששפכו עליו מים תוך השלשה ימים, והמהדרין נותנין הבשר תוך שלשה ימים במים ומניחין אותו שם כמו שתי שעות ואז יכול להשהותו עוד עד שלשה ימים אחרים מפני שהמים מרככין אותו ואינו מתקשה</w:t>
      </w:r>
      <w:r w:rsidRPr="003024E5">
        <w:rPr>
          <w:rStyle w:val="a7"/>
          <w:rFonts w:asciiTheme="minorBidi" w:hAnsiTheme="minorBidi"/>
          <w:rtl/>
        </w:rPr>
        <w:footnoteReference w:id="181"/>
      </w:r>
      <w:r w:rsidRPr="003024E5">
        <w:rPr>
          <w:rFonts w:asciiTheme="minorBidi" w:hAnsiTheme="minorBidi"/>
          <w:rtl/>
        </w:rPr>
        <w:t xml:space="preserve">. </w:t>
      </w:r>
    </w:p>
    <w:p w14:paraId="0159E342" w14:textId="77777777" w:rsidR="002C39F4" w:rsidRPr="003024E5" w:rsidRDefault="002C39F4" w:rsidP="002C39F4">
      <w:pPr>
        <w:pStyle w:val="a8"/>
        <w:numPr>
          <w:ilvl w:val="0"/>
          <w:numId w:val="17"/>
        </w:numPr>
        <w:rPr>
          <w:rFonts w:asciiTheme="minorBidi" w:hAnsiTheme="minorBidi"/>
        </w:rPr>
      </w:pPr>
      <w:r>
        <w:rPr>
          <w:rFonts w:asciiTheme="minorBidi" w:hAnsiTheme="minorBidi" w:hint="cs"/>
          <w:rtl/>
        </w:rPr>
        <w:t xml:space="preserve">רא"ש בשם ר"י </w:t>
      </w:r>
      <w:r>
        <w:rPr>
          <w:rFonts w:asciiTheme="minorBidi" w:hAnsiTheme="minorBidi" w:hint="cs"/>
          <w:sz w:val="16"/>
          <w:szCs w:val="16"/>
          <w:rtl/>
        </w:rPr>
        <w:t>(כ"כ האו"ה [שם] בשמו)</w:t>
      </w:r>
      <w:r>
        <w:rPr>
          <w:rFonts w:asciiTheme="minorBidi" w:hAnsiTheme="minorBidi" w:hint="cs"/>
          <w:rtl/>
        </w:rPr>
        <w:t xml:space="preserve"> ו</w:t>
      </w: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ב דין ג-ד)</w:t>
      </w:r>
      <w:r w:rsidRPr="003024E5">
        <w:rPr>
          <w:rFonts w:asciiTheme="minorBidi" w:hAnsiTheme="minorBidi"/>
          <w:rtl/>
        </w:rPr>
        <w:t>- אם שרו אותו קצת שעה תוך שלשה מותר לבשלו אבל אין די לו בהעברת מים עליו כמו שרגילין לעשות בבית המטבחים</w:t>
      </w:r>
      <w:r w:rsidRPr="003024E5">
        <w:rPr>
          <w:rStyle w:val="a7"/>
          <w:rFonts w:asciiTheme="minorBidi" w:hAnsiTheme="minorBidi"/>
          <w:rtl/>
        </w:rPr>
        <w:footnoteReference w:id="182"/>
      </w:r>
      <w:r w:rsidRPr="003024E5">
        <w:rPr>
          <w:rFonts w:asciiTheme="minorBidi" w:hAnsiTheme="minorBidi"/>
          <w:rtl/>
        </w:rPr>
        <w:t xml:space="preserve">. </w:t>
      </w:r>
    </w:p>
    <w:p w14:paraId="7070193D" w14:textId="77777777" w:rsidR="002C39F4" w:rsidRPr="003024E5" w:rsidRDefault="002C39F4" w:rsidP="002C39F4">
      <w:pPr>
        <w:pStyle w:val="a8"/>
        <w:numPr>
          <w:ilvl w:val="0"/>
          <w:numId w:val="17"/>
        </w:numPr>
        <w:rPr>
          <w:rFonts w:asciiTheme="minorBidi" w:hAnsiTheme="minorBidi"/>
        </w:rPr>
      </w:pPr>
      <w:r w:rsidRPr="003024E5">
        <w:rPr>
          <w:rFonts w:asciiTheme="minorBidi" w:hAnsiTheme="minorBidi"/>
          <w:rtl/>
        </w:rPr>
        <w:t xml:space="preserve">הגשע"ד </w:t>
      </w:r>
      <w:r w:rsidRPr="003024E5">
        <w:rPr>
          <w:rFonts w:asciiTheme="minorBidi" w:hAnsiTheme="minorBidi"/>
          <w:sz w:val="16"/>
          <w:szCs w:val="16"/>
          <w:rtl/>
        </w:rPr>
        <w:t>(שם אות א)</w:t>
      </w:r>
      <w:r w:rsidRPr="003024E5">
        <w:rPr>
          <w:rFonts w:asciiTheme="minorBidi" w:hAnsiTheme="minorBidi"/>
          <w:rtl/>
        </w:rPr>
        <w:t>- שמעתי כי במקום הגאונים נהגו כששהה בשר בלא מליחה שלשה ימים או ארבעה לשרותו במים פושרין כדי שיתעורר דמו ויפלוט ע"י המלח</w:t>
      </w:r>
      <w:r w:rsidRPr="003024E5">
        <w:rPr>
          <w:rStyle w:val="a7"/>
          <w:rFonts w:asciiTheme="minorBidi" w:hAnsiTheme="minorBidi"/>
          <w:rtl/>
        </w:rPr>
        <w:footnoteReference w:id="183"/>
      </w:r>
      <w:r w:rsidRPr="003024E5">
        <w:rPr>
          <w:rFonts w:asciiTheme="minorBidi" w:hAnsiTheme="minorBidi"/>
          <w:rtl/>
        </w:rPr>
        <w:t>.</w:t>
      </w:r>
      <w:r>
        <w:rPr>
          <w:rFonts w:asciiTheme="minorBidi" w:hAnsiTheme="minorBidi" w:hint="cs"/>
          <w:rtl/>
        </w:rPr>
        <w:t xml:space="preserve"> </w:t>
      </w:r>
    </w:p>
    <w:p w14:paraId="17853732" w14:textId="77777777" w:rsidR="002C39F4" w:rsidRPr="000D258D" w:rsidRDefault="002C39F4" w:rsidP="002C39F4">
      <w:pPr>
        <w:pStyle w:val="a8"/>
        <w:numPr>
          <w:ilvl w:val="0"/>
          <w:numId w:val="17"/>
        </w:numPr>
        <w:rPr>
          <w:rFonts w:asciiTheme="minorBidi" w:hAnsiTheme="minorBidi"/>
        </w:rPr>
      </w:pPr>
      <w:r w:rsidRPr="003024E5">
        <w:rPr>
          <w:rFonts w:asciiTheme="minorBidi" w:hAnsiTheme="minorBidi"/>
          <w:rtl/>
        </w:rPr>
        <w:t xml:space="preserve">מהרא"י </w:t>
      </w:r>
      <w:r w:rsidRPr="003024E5">
        <w:rPr>
          <w:rFonts w:asciiTheme="minorBidi" w:hAnsiTheme="minorBidi"/>
          <w:sz w:val="16"/>
          <w:szCs w:val="16"/>
          <w:rtl/>
        </w:rPr>
        <w:t>(בהגשע"ד סי' ד סק"ו)</w:t>
      </w:r>
      <w:r w:rsidRPr="003024E5">
        <w:rPr>
          <w:rFonts w:asciiTheme="minorBidi" w:hAnsiTheme="minorBidi"/>
          <w:rtl/>
        </w:rPr>
        <w:t>- כמדומה לי שקבלתי שלא נהיגין הכי</w:t>
      </w:r>
      <w:r>
        <w:rPr>
          <w:rFonts w:asciiTheme="minorBidi" w:hAnsiTheme="minorBidi" w:hint="cs"/>
          <w:sz w:val="16"/>
          <w:szCs w:val="16"/>
          <w:rtl/>
        </w:rPr>
        <w:t xml:space="preserve"> {היינו להתיר בשר שנשרה תוך ג' ימים}</w:t>
      </w:r>
      <w:r w:rsidRPr="003024E5">
        <w:rPr>
          <w:rFonts w:asciiTheme="minorBidi" w:hAnsiTheme="minorBidi"/>
          <w:rtl/>
        </w:rPr>
        <w:t xml:space="preserve">, וכן יראה קצת דמהני סברא דפרישית בשם מרדכי </w:t>
      </w:r>
      <w:r w:rsidRPr="003024E5">
        <w:rPr>
          <w:rFonts w:asciiTheme="minorBidi" w:hAnsiTheme="minorBidi"/>
          <w:sz w:val="16"/>
          <w:szCs w:val="16"/>
          <w:rtl/>
        </w:rPr>
        <w:t xml:space="preserve">(סי' תשכא) </w:t>
      </w:r>
      <w:r w:rsidRPr="003024E5">
        <w:rPr>
          <w:rFonts w:asciiTheme="minorBidi" w:hAnsiTheme="minorBidi"/>
          <w:rtl/>
        </w:rPr>
        <w:t>דמיא מטרשא ליה, פירוש מחזקין ליה, לסמוך עליה שלא להתיר בכה"ג</w:t>
      </w:r>
      <w:r w:rsidRPr="003024E5">
        <w:rPr>
          <w:rStyle w:val="a7"/>
          <w:rFonts w:asciiTheme="minorBidi" w:hAnsiTheme="minorBidi"/>
          <w:rtl/>
        </w:rPr>
        <w:footnoteReference w:id="184"/>
      </w:r>
      <w:r w:rsidRPr="003024E5">
        <w:rPr>
          <w:rFonts w:asciiTheme="minorBidi" w:hAnsiTheme="minorBidi"/>
          <w:rtl/>
        </w:rPr>
        <w:t xml:space="preserve">. </w:t>
      </w:r>
    </w:p>
    <w:p w14:paraId="6CA325BE" w14:textId="77777777" w:rsidR="002C39F4" w:rsidRPr="003024E5" w:rsidRDefault="002C39F4" w:rsidP="002C39F4">
      <w:pPr>
        <w:pStyle w:val="a8"/>
        <w:numPr>
          <w:ilvl w:val="0"/>
          <w:numId w:val="17"/>
        </w:numPr>
        <w:rPr>
          <w:rFonts w:asciiTheme="minorBidi" w:hAnsiTheme="minorBidi"/>
        </w:rPr>
      </w:pPr>
      <w:r w:rsidRPr="003024E5">
        <w:rPr>
          <w:rFonts w:asciiTheme="minorBidi" w:hAnsiTheme="minorBidi"/>
          <w:rtl/>
        </w:rPr>
        <w:t>ראבי"ה וריב"א</w:t>
      </w:r>
      <w:r w:rsidRPr="003024E5">
        <w:rPr>
          <w:rFonts w:asciiTheme="minorBidi" w:hAnsiTheme="minorBidi"/>
          <w:sz w:val="16"/>
          <w:szCs w:val="16"/>
          <w:rtl/>
        </w:rPr>
        <w:t xml:space="preserve"> (כ"כ בשמם ה</w:t>
      </w:r>
      <w:r>
        <w:rPr>
          <w:rFonts w:asciiTheme="minorBidi" w:hAnsiTheme="minorBidi"/>
          <w:sz w:val="16"/>
          <w:szCs w:val="16"/>
          <w:rtl/>
        </w:rPr>
        <w:t>או"ה</w:t>
      </w:r>
      <w:r w:rsidRPr="003024E5">
        <w:rPr>
          <w:rFonts w:asciiTheme="minorBidi" w:hAnsiTheme="minorBidi"/>
          <w:sz w:val="16"/>
          <w:szCs w:val="16"/>
          <w:rtl/>
        </w:rPr>
        <w:t xml:space="preserve"> ש"ב ד</w:t>
      </w:r>
      <w:r>
        <w:rPr>
          <w:rFonts w:asciiTheme="minorBidi" w:hAnsiTheme="minorBidi" w:hint="cs"/>
          <w:sz w:val="16"/>
          <w:szCs w:val="16"/>
          <w:rtl/>
        </w:rPr>
        <w:t>"</w:t>
      </w:r>
      <w:r w:rsidRPr="003024E5">
        <w:rPr>
          <w:rFonts w:asciiTheme="minorBidi" w:hAnsiTheme="minorBidi"/>
          <w:sz w:val="16"/>
          <w:szCs w:val="16"/>
          <w:rtl/>
        </w:rPr>
        <w:t>ד)</w:t>
      </w:r>
      <w:r w:rsidRPr="003024E5">
        <w:rPr>
          <w:rFonts w:asciiTheme="minorBidi" w:hAnsiTheme="minorBidi"/>
          <w:rtl/>
        </w:rPr>
        <w:t xml:space="preserve">- נוהגין רק לצלותו </w:t>
      </w:r>
      <w:r w:rsidRPr="008D5A77">
        <w:rPr>
          <w:rFonts w:asciiTheme="minorBidi" w:hAnsiTheme="minorBidi" w:hint="cs"/>
          <w:sz w:val="16"/>
          <w:szCs w:val="16"/>
          <w:rtl/>
        </w:rPr>
        <w:t>(</w:t>
      </w:r>
      <w:r w:rsidRPr="008D5A77">
        <w:rPr>
          <w:rFonts w:asciiTheme="minorBidi" w:hAnsiTheme="minorBidi"/>
          <w:sz w:val="16"/>
          <w:szCs w:val="16"/>
          <w:rtl/>
        </w:rPr>
        <w:t>ואפילו לא נתנקר כלל</w:t>
      </w:r>
      <w:r>
        <w:rPr>
          <w:rFonts w:asciiTheme="minorBidi" w:hAnsiTheme="minorBidi" w:hint="cs"/>
          <w:sz w:val="16"/>
          <w:szCs w:val="16"/>
          <w:rtl/>
        </w:rPr>
        <w:t>)</w:t>
      </w:r>
      <w:r>
        <w:rPr>
          <w:rFonts w:asciiTheme="minorBidi" w:hAnsiTheme="minorBidi" w:hint="cs"/>
          <w:rtl/>
        </w:rPr>
        <w:t>,</w:t>
      </w:r>
      <w:r w:rsidRPr="003024E5">
        <w:rPr>
          <w:rFonts w:asciiTheme="minorBidi" w:hAnsiTheme="minorBidi"/>
          <w:rtl/>
        </w:rPr>
        <w:t xml:space="preserve"> ולא לבשלו </w:t>
      </w:r>
      <w:r w:rsidRPr="008D5A77">
        <w:rPr>
          <w:rFonts w:asciiTheme="minorBidi" w:hAnsiTheme="minorBidi" w:hint="cs"/>
          <w:sz w:val="16"/>
          <w:szCs w:val="16"/>
          <w:rtl/>
        </w:rPr>
        <w:t>(</w:t>
      </w:r>
      <w:r w:rsidRPr="008D5A77">
        <w:rPr>
          <w:rFonts w:asciiTheme="minorBidi" w:hAnsiTheme="minorBidi"/>
          <w:sz w:val="16"/>
          <w:szCs w:val="16"/>
          <w:rtl/>
        </w:rPr>
        <w:t>אפילו אם נשרה תוך השלש ימים שעה אחת במים</w:t>
      </w:r>
      <w:r w:rsidRPr="008D5A77">
        <w:rPr>
          <w:rFonts w:asciiTheme="minorBidi" w:hAnsiTheme="minorBidi" w:hint="cs"/>
          <w:sz w:val="16"/>
          <w:szCs w:val="16"/>
          <w:rtl/>
        </w:rPr>
        <w:t>,</w:t>
      </w:r>
      <w:r w:rsidRPr="008D5A77">
        <w:rPr>
          <w:rFonts w:asciiTheme="minorBidi" w:hAnsiTheme="minorBidi"/>
          <w:sz w:val="16"/>
          <w:szCs w:val="16"/>
          <w:rtl/>
        </w:rPr>
        <w:t xml:space="preserve"> מאחר שלא נתנק</w:t>
      </w:r>
      <w:r>
        <w:rPr>
          <w:rFonts w:asciiTheme="minorBidi" w:hAnsiTheme="minorBidi" w:hint="cs"/>
          <w:sz w:val="16"/>
          <w:szCs w:val="16"/>
          <w:rtl/>
        </w:rPr>
        <w:t>ר)</w:t>
      </w:r>
      <w:r w:rsidRPr="003024E5">
        <w:rPr>
          <w:rFonts w:asciiTheme="minorBidi" w:hAnsiTheme="minorBidi"/>
          <w:rtl/>
        </w:rPr>
        <w:t>.</w:t>
      </w:r>
    </w:p>
    <w:p w14:paraId="49EBED26" w14:textId="77777777" w:rsidR="002C39F4" w:rsidRPr="003024E5" w:rsidRDefault="002C39F4" w:rsidP="002C39F4">
      <w:pPr>
        <w:rPr>
          <w:rFonts w:asciiTheme="minorBidi" w:hAnsiTheme="minorBidi"/>
          <w:sz w:val="16"/>
          <w:szCs w:val="16"/>
        </w:rPr>
      </w:pPr>
      <w:r w:rsidRPr="003024E5">
        <w:rPr>
          <w:rFonts w:asciiTheme="minorBidi" w:hAnsiTheme="minorBidi"/>
          <w:u w:val="single"/>
          <w:rtl/>
        </w:rPr>
        <w:t>בשר שספק אם עברו עליו ג' ימים:</w:t>
      </w:r>
      <w:r w:rsidRPr="003024E5">
        <w:rPr>
          <w:rFonts w:asciiTheme="minorBidi" w:hAnsiTheme="minorBidi"/>
          <w:rtl/>
        </w:rPr>
        <w:t xml:space="preserve"> </w:t>
      </w:r>
      <w:r w:rsidRPr="003024E5">
        <w:rPr>
          <w:rFonts w:asciiTheme="minorBidi" w:hAnsiTheme="minorBidi"/>
          <w:sz w:val="16"/>
          <w:szCs w:val="16"/>
          <w:rtl/>
        </w:rPr>
        <w:t>(דרכ"מ אות ל)</w:t>
      </w:r>
    </w:p>
    <w:p w14:paraId="7AF59FD8" w14:textId="77777777" w:rsidR="002C39F4" w:rsidRPr="003024E5" w:rsidRDefault="002C39F4" w:rsidP="002C39F4">
      <w:pPr>
        <w:pStyle w:val="a8"/>
        <w:numPr>
          <w:ilvl w:val="0"/>
          <w:numId w:val="17"/>
        </w:numPr>
        <w:rPr>
          <w:rFonts w:asciiTheme="minorBidi" w:hAnsiTheme="minorBidi"/>
          <w:rtl/>
        </w:rPr>
      </w:pPr>
      <w:r>
        <w:rPr>
          <w:rFonts w:asciiTheme="minorBidi" w:hAnsiTheme="minorBidi"/>
          <w:rtl/>
        </w:rPr>
        <w:t>או"ה</w:t>
      </w:r>
      <w:r w:rsidRPr="003024E5">
        <w:rPr>
          <w:rFonts w:asciiTheme="minorBidi" w:hAnsiTheme="minorBidi"/>
          <w:sz w:val="16"/>
          <w:szCs w:val="16"/>
          <w:rtl/>
        </w:rPr>
        <w:t xml:space="preserve"> (בהגהות שבסופו ש"ב סי' ה)</w:t>
      </w:r>
      <w:r w:rsidRPr="003024E5">
        <w:rPr>
          <w:rFonts w:asciiTheme="minorBidi" w:hAnsiTheme="minorBidi"/>
          <w:rtl/>
        </w:rPr>
        <w:t>- התרנו מעשה בבשר שהיה ספק אם היה ג' ימים משחיטתו או לא היה עדיין ג' ימים.</w:t>
      </w:r>
      <w:r w:rsidRPr="003024E5">
        <w:rPr>
          <w:rFonts w:asciiTheme="minorBidi" w:hAnsiTheme="minorBidi"/>
          <w:color w:val="00B0F0"/>
          <w:rtl/>
        </w:rPr>
        <w:t xml:space="preserve"> (וכ"פ הרמ"א)</w:t>
      </w:r>
    </w:p>
    <w:p w14:paraId="3C0227E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9C12A93" w14:textId="77777777" w:rsidR="002C39F4" w:rsidRDefault="002C39F4" w:rsidP="002C39F4">
      <w:pPr>
        <w:rPr>
          <w:rFonts w:asciiTheme="minorBidi" w:hAnsiTheme="minorBidi"/>
          <w:rtl/>
        </w:rPr>
      </w:pPr>
      <w:r w:rsidRPr="003024E5">
        <w:rPr>
          <w:rFonts w:asciiTheme="minorBidi" w:hAnsiTheme="minorBidi"/>
          <w:rtl/>
        </w:rPr>
        <w:t>ואם שרו אותו במים תוך השלשה ימים יכול להשהותו עוד שלשה ימים אחרים פחות חצי שעה</w:t>
      </w:r>
      <w:r w:rsidRPr="003024E5">
        <w:rPr>
          <w:rStyle w:val="a7"/>
          <w:rFonts w:asciiTheme="minorBidi" w:hAnsiTheme="minorBidi"/>
          <w:rtl/>
        </w:rPr>
        <w:footnoteReference w:id="185"/>
      </w:r>
      <w:r w:rsidRPr="003024E5">
        <w:rPr>
          <w:rFonts w:asciiTheme="minorBidi" w:hAnsiTheme="minorBidi"/>
          <w:rtl/>
        </w:rPr>
        <w:t xml:space="preserve"> </w:t>
      </w:r>
      <w:r w:rsidRPr="003024E5">
        <w:rPr>
          <w:rFonts w:asciiTheme="minorBidi" w:hAnsiTheme="minorBidi"/>
          <w:sz w:val="16"/>
          <w:szCs w:val="16"/>
          <w:rtl/>
        </w:rPr>
        <w:t>(אגור)</w:t>
      </w:r>
      <w:r w:rsidRPr="003024E5">
        <w:rPr>
          <w:rFonts w:asciiTheme="minorBidi" w:hAnsiTheme="minorBidi"/>
          <w:rtl/>
        </w:rPr>
        <w:t xml:space="preserve">. </w:t>
      </w:r>
      <w:r w:rsidRPr="003024E5">
        <w:rPr>
          <w:rFonts w:asciiTheme="minorBidi" w:hAnsiTheme="minorBidi"/>
          <w:sz w:val="18"/>
          <w:szCs w:val="18"/>
          <w:rtl/>
        </w:rPr>
        <w:t xml:space="preserve">[הגה] </w:t>
      </w:r>
      <w:r w:rsidRPr="003024E5">
        <w:rPr>
          <w:rStyle w:val="a7"/>
          <w:rFonts w:asciiTheme="minorBidi" w:hAnsiTheme="minorBidi"/>
          <w:sz w:val="18"/>
          <w:szCs w:val="18"/>
          <w:rtl/>
        </w:rPr>
        <w:footnoteReference w:id="186"/>
      </w:r>
      <w:r w:rsidRPr="003024E5">
        <w:rPr>
          <w:rFonts w:asciiTheme="minorBidi" w:hAnsiTheme="minorBidi"/>
          <w:sz w:val="18"/>
          <w:szCs w:val="18"/>
          <w:rtl/>
        </w:rPr>
        <w:t>בשר שנמלח וספק אם נמלח תוך ג' מותר (</w:t>
      </w:r>
      <w:r>
        <w:rPr>
          <w:rFonts w:asciiTheme="minorBidi" w:hAnsiTheme="minorBidi" w:hint="cs"/>
          <w:sz w:val="18"/>
          <w:szCs w:val="18"/>
          <w:rtl/>
        </w:rPr>
        <w:t>הגה' או"ה</w:t>
      </w:r>
      <w:r w:rsidRPr="003024E5">
        <w:rPr>
          <w:rFonts w:asciiTheme="minorBidi" w:hAnsiTheme="minorBidi"/>
          <w:sz w:val="18"/>
          <w:szCs w:val="18"/>
          <w:rtl/>
        </w:rPr>
        <w:t xml:space="preserve">). </w:t>
      </w:r>
    </w:p>
    <w:p w14:paraId="428B0D96" w14:textId="77777777" w:rsidR="002C39F4" w:rsidRPr="002C1364" w:rsidRDefault="002C39F4" w:rsidP="002C39F4">
      <w:pPr>
        <w:rPr>
          <w:rFonts w:asciiTheme="minorBidi" w:hAnsiTheme="minorBidi" w:cs="Arial"/>
          <w:sz w:val="16"/>
          <w:szCs w:val="16"/>
          <w:rtl/>
        </w:rPr>
      </w:pPr>
      <w:r w:rsidRPr="002C1364">
        <w:rPr>
          <w:rFonts w:asciiTheme="minorBidi" w:hAnsiTheme="minorBidi" w:cs="Arial" w:hint="cs"/>
          <w:u w:val="single"/>
          <w:rtl/>
        </w:rPr>
        <w:t xml:space="preserve">בשר </w:t>
      </w:r>
      <w:r>
        <w:rPr>
          <w:rFonts w:asciiTheme="minorBidi" w:hAnsiTheme="minorBidi" w:cs="Arial" w:hint="cs"/>
          <w:u w:val="single"/>
          <w:rtl/>
        </w:rPr>
        <w:t xml:space="preserve">מלא קרח </w:t>
      </w:r>
      <w:r>
        <w:rPr>
          <w:rFonts w:asciiTheme="minorBidi" w:hAnsiTheme="minorBidi" w:cs="Arial"/>
          <w:u w:val="single"/>
          <w:rtl/>
        </w:rPr>
        <w:t>–</w:t>
      </w:r>
      <w:r>
        <w:rPr>
          <w:rFonts w:asciiTheme="minorBidi" w:hAnsiTheme="minorBidi" w:cs="Arial" w:hint="cs"/>
          <w:u w:val="single"/>
          <w:rtl/>
        </w:rPr>
        <w:t xml:space="preserve"> מהו לשרותו </w:t>
      </w:r>
      <w:r w:rsidRPr="002C1364">
        <w:rPr>
          <w:rFonts w:asciiTheme="minorBidi" w:hAnsiTheme="minorBidi" w:cs="Arial" w:hint="cs"/>
          <w:b/>
          <w:bCs/>
          <w:u w:val="single"/>
          <w:rtl/>
        </w:rPr>
        <w:t>תוך</w:t>
      </w:r>
      <w:r>
        <w:rPr>
          <w:rFonts w:asciiTheme="minorBidi" w:hAnsiTheme="minorBidi" w:cs="Arial" w:hint="cs"/>
          <w:u w:val="single"/>
          <w:rtl/>
        </w:rPr>
        <w:t xml:space="preserve"> הג' ימים</w:t>
      </w:r>
      <w:r w:rsidRPr="002C1364">
        <w:rPr>
          <w:rFonts w:asciiTheme="minorBidi" w:hAnsiTheme="minorBidi" w:cs="Arial" w:hint="cs"/>
          <w:u w:val="single"/>
          <w:rtl/>
        </w:rPr>
        <w:t>:</w:t>
      </w:r>
      <w:r>
        <w:rPr>
          <w:rFonts w:asciiTheme="minorBidi" w:hAnsiTheme="minorBidi" w:cs="Arial" w:hint="cs"/>
          <w:sz w:val="16"/>
          <w:szCs w:val="16"/>
          <w:rtl/>
        </w:rPr>
        <w:t xml:space="preserve">   (פת"ש סקכ"ח)</w:t>
      </w:r>
    </w:p>
    <w:p w14:paraId="6B951891" w14:textId="77777777" w:rsidR="002C39F4" w:rsidRPr="002C1364" w:rsidRDefault="002C39F4" w:rsidP="002C39F4">
      <w:pPr>
        <w:pStyle w:val="a8"/>
        <w:numPr>
          <w:ilvl w:val="0"/>
          <w:numId w:val="94"/>
        </w:numPr>
        <w:rPr>
          <w:rFonts w:asciiTheme="minorBidi" w:hAnsiTheme="minorBidi"/>
          <w:rtl/>
        </w:rPr>
      </w:pPr>
      <w:r w:rsidRPr="002C1364">
        <w:rPr>
          <w:rFonts w:asciiTheme="minorBidi" w:hAnsiTheme="minorBidi" w:cs="Arial"/>
          <w:rtl/>
        </w:rPr>
        <w:t xml:space="preserve">פמ"ג </w:t>
      </w:r>
      <w:r w:rsidRPr="002C1364">
        <w:rPr>
          <w:rFonts w:asciiTheme="minorBidi" w:hAnsiTheme="minorBidi" w:cs="Arial" w:hint="cs"/>
          <w:sz w:val="16"/>
          <w:szCs w:val="16"/>
          <w:rtl/>
        </w:rPr>
        <w:t>(</w:t>
      </w:r>
      <w:r w:rsidRPr="002C1364">
        <w:rPr>
          <w:rFonts w:asciiTheme="minorBidi" w:hAnsiTheme="minorBidi" w:cs="Arial"/>
          <w:sz w:val="16"/>
          <w:szCs w:val="16"/>
          <w:rtl/>
        </w:rPr>
        <w:t>שפ"ד סקנ"ג</w:t>
      </w:r>
      <w:r w:rsidRPr="002C1364">
        <w:rPr>
          <w:rFonts w:asciiTheme="minorBidi" w:hAnsiTheme="minorBidi" w:cs="Arial" w:hint="cs"/>
          <w:sz w:val="16"/>
          <w:szCs w:val="16"/>
          <w:rtl/>
        </w:rPr>
        <w:t>)</w:t>
      </w:r>
      <w:r w:rsidRPr="002C1364">
        <w:rPr>
          <w:rFonts w:asciiTheme="minorBidi" w:hAnsiTheme="minorBidi" w:cs="Arial" w:hint="cs"/>
          <w:rtl/>
        </w:rPr>
        <w:t xml:space="preserve">- </w:t>
      </w:r>
      <w:r w:rsidRPr="002C1364">
        <w:rPr>
          <w:rFonts w:asciiTheme="minorBidi" w:hAnsiTheme="minorBidi" w:cs="Arial"/>
          <w:rtl/>
        </w:rPr>
        <w:t>אם היה הבשר מלא קרח ושראו תוך שלשה ימים אסור אף דיעבד</w:t>
      </w:r>
      <w:r w:rsidRPr="002C1364">
        <w:rPr>
          <w:rFonts w:asciiTheme="minorBidi" w:hAnsiTheme="minorBidi" w:cs="Arial" w:hint="cs"/>
          <w:rtl/>
        </w:rPr>
        <w:t>,</w:t>
      </w:r>
      <w:r w:rsidRPr="002C1364">
        <w:rPr>
          <w:rFonts w:asciiTheme="minorBidi" w:hAnsiTheme="minorBidi" w:cs="Arial"/>
          <w:rtl/>
        </w:rPr>
        <w:t xml:space="preserve"> כי ידוע שהשריה תוך ג' ימים הוא לרכך ובזמן שהוא נקרש כאבן קשה הוא ואין פועל השריה כלום</w:t>
      </w:r>
      <w:r>
        <w:rPr>
          <w:rFonts w:asciiTheme="minorBidi" w:hAnsiTheme="minorBidi" w:cs="Arial" w:hint="cs"/>
          <w:rtl/>
        </w:rPr>
        <w:t>,</w:t>
      </w:r>
      <w:r w:rsidRPr="002C1364">
        <w:rPr>
          <w:rFonts w:asciiTheme="minorBidi" w:hAnsiTheme="minorBidi" w:cs="Arial"/>
          <w:rtl/>
        </w:rPr>
        <w:t xml:space="preserve"> וכן במי פירות אפשר להחמיר</w:t>
      </w:r>
      <w:r w:rsidRPr="002C1364">
        <w:rPr>
          <w:rFonts w:asciiTheme="minorBidi" w:hAnsiTheme="minorBidi" w:hint="cs"/>
          <w:rtl/>
        </w:rPr>
        <w:t>.</w:t>
      </w:r>
    </w:p>
    <w:p w14:paraId="51DC7427" w14:textId="77777777" w:rsidR="002C39F4" w:rsidRPr="003024E5" w:rsidRDefault="002C39F4" w:rsidP="002C39F4">
      <w:pPr>
        <w:rPr>
          <w:rFonts w:asciiTheme="minorBidi" w:hAnsiTheme="minorBidi"/>
          <w:rtl/>
        </w:rPr>
      </w:pPr>
    </w:p>
    <w:p w14:paraId="1160D137" w14:textId="77777777" w:rsidR="002C39F4" w:rsidRPr="003024E5" w:rsidRDefault="002C39F4" w:rsidP="002C39F4">
      <w:pPr>
        <w:pStyle w:val="2"/>
        <w:rPr>
          <w:rFonts w:asciiTheme="minorBidi" w:hAnsiTheme="minorBidi"/>
          <w:rtl/>
        </w:rPr>
      </w:pPr>
      <w:r w:rsidRPr="003024E5">
        <w:rPr>
          <w:rFonts w:asciiTheme="minorBidi" w:hAnsiTheme="minorBidi"/>
          <w:rtl/>
        </w:rPr>
        <w:t>סעיף יד: בשר ששהא שלשה ימים בלא מליחה שנתערב בחתיכות אחרות.</w:t>
      </w:r>
    </w:p>
    <w:p w14:paraId="4A46E4AD" w14:textId="77777777" w:rsidR="002C39F4" w:rsidRPr="003024E5" w:rsidRDefault="002C39F4" w:rsidP="002C39F4">
      <w:pPr>
        <w:rPr>
          <w:rFonts w:asciiTheme="minorBidi" w:hAnsiTheme="minorBidi"/>
          <w:u w:val="single"/>
          <w:rtl/>
        </w:rPr>
      </w:pPr>
      <w:r w:rsidRPr="003024E5">
        <w:rPr>
          <w:rFonts w:asciiTheme="minorBidi" w:hAnsiTheme="minorBidi"/>
          <w:u w:val="single"/>
          <w:rtl/>
        </w:rPr>
        <w:t xml:space="preserve">בשר ששהא שלשה ימים בלא מליחה ונתערבה אותה חתיכה בחתיכות אחרות: </w:t>
      </w:r>
    </w:p>
    <w:p w14:paraId="1CBF9572" w14:textId="77777777" w:rsidR="002C39F4" w:rsidRPr="003024E5" w:rsidRDefault="002C39F4" w:rsidP="002C39F4">
      <w:pPr>
        <w:pStyle w:val="a8"/>
        <w:numPr>
          <w:ilvl w:val="0"/>
          <w:numId w:val="17"/>
        </w:numPr>
        <w:rPr>
          <w:rFonts w:asciiTheme="minorBidi" w:hAnsiTheme="minorBidi"/>
          <w:rtl/>
        </w:rPr>
      </w:pPr>
      <w:r w:rsidRPr="003024E5">
        <w:rPr>
          <w:rFonts w:asciiTheme="minorBidi" w:hAnsiTheme="minorBidi"/>
          <w:rtl/>
        </w:rPr>
        <w:t xml:space="preserve">תרוה"ד </w:t>
      </w:r>
      <w:r w:rsidRPr="003024E5">
        <w:rPr>
          <w:rFonts w:asciiTheme="minorBidi" w:hAnsiTheme="minorBidi"/>
          <w:sz w:val="16"/>
          <w:szCs w:val="16"/>
          <w:rtl/>
        </w:rPr>
        <w:t>(סי' קע)</w:t>
      </w:r>
      <w:r w:rsidRPr="003024E5">
        <w:rPr>
          <w:rFonts w:asciiTheme="minorBidi" w:hAnsiTheme="minorBidi"/>
          <w:rtl/>
        </w:rPr>
        <w:t>- בשר ששהה ג' ימים בלא מליחה ונתערבה אותה חתיכה בחתיכות אחרות יראה דבטלה היא ברוב דשרי כולן לבשל</w:t>
      </w:r>
      <w:r>
        <w:rPr>
          <w:rFonts w:asciiTheme="minorBidi" w:hAnsiTheme="minorBidi" w:hint="cs"/>
          <w:rtl/>
        </w:rPr>
        <w:t>,</w:t>
      </w:r>
      <w:r w:rsidRPr="003024E5">
        <w:rPr>
          <w:rFonts w:asciiTheme="minorBidi" w:hAnsiTheme="minorBidi"/>
          <w:rtl/>
        </w:rPr>
        <w:t xml:space="preserve"> ולא אמרינן דכיון דמותר בצלי דבר שיש לו מתירין הוא דלא בטיל אפילו באלף משום דכל כה"ג לא מיקרי דבר שיש לו מתירין דצלייה לא נאסר מעולם</w:t>
      </w:r>
      <w:r w:rsidRPr="003024E5">
        <w:rPr>
          <w:rStyle w:val="a7"/>
          <w:rFonts w:asciiTheme="minorBidi" w:hAnsiTheme="minorBidi"/>
          <w:rtl/>
        </w:rPr>
        <w:footnoteReference w:id="187"/>
      </w:r>
      <w:r>
        <w:rPr>
          <w:rFonts w:asciiTheme="minorBidi" w:hAnsiTheme="minorBidi" w:hint="cs"/>
          <w:rtl/>
        </w:rPr>
        <w:t>...</w:t>
      </w:r>
      <w:r w:rsidRPr="003024E5">
        <w:rPr>
          <w:rFonts w:asciiTheme="minorBidi" w:hAnsiTheme="minorBidi"/>
          <w:rtl/>
        </w:rPr>
        <w:t xml:space="preserve"> ונראה דאפילו היתה חתיכה הראויה להתכבד בטילה היא כיון דאינה אסורה מחמת עצמה אלא מחמת דם הבלוע בה. </w:t>
      </w:r>
      <w:r w:rsidRPr="003024E5">
        <w:rPr>
          <w:rFonts w:asciiTheme="minorBidi" w:hAnsiTheme="minorBidi"/>
          <w:color w:val="E36C0A" w:themeColor="accent6" w:themeShade="BF"/>
          <w:rtl/>
        </w:rPr>
        <w:t>(וכ"פ בשו"ע)</w:t>
      </w:r>
    </w:p>
    <w:p w14:paraId="7CD4ECA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F87FCB8" w14:textId="77777777" w:rsidR="002C39F4" w:rsidRPr="003024E5" w:rsidRDefault="002C39F4" w:rsidP="002C39F4">
      <w:pPr>
        <w:rPr>
          <w:rFonts w:asciiTheme="minorBidi" w:hAnsiTheme="minorBidi"/>
          <w:sz w:val="18"/>
          <w:szCs w:val="18"/>
          <w:rtl/>
        </w:rPr>
      </w:pPr>
      <w:r w:rsidRPr="003024E5">
        <w:rPr>
          <w:rFonts w:asciiTheme="minorBidi" w:hAnsiTheme="minorBidi"/>
          <w:rtl/>
        </w:rPr>
        <w:t>בשר ששהא שלשה ימים בלא מליחה ונתערבה אותה חתיכה בחתיכות אחרות</w:t>
      </w:r>
      <w:r w:rsidRPr="003024E5">
        <w:rPr>
          <w:rStyle w:val="a7"/>
          <w:rFonts w:asciiTheme="minorBidi" w:hAnsiTheme="minorBidi"/>
          <w:rtl/>
        </w:rPr>
        <w:footnoteReference w:id="188"/>
      </w:r>
      <w:r w:rsidRPr="003024E5">
        <w:rPr>
          <w:rFonts w:asciiTheme="minorBidi" w:hAnsiTheme="minorBidi"/>
          <w:rtl/>
        </w:rPr>
        <w:t xml:space="preserve"> בטלה ברוב</w:t>
      </w:r>
      <w:r w:rsidRPr="003024E5">
        <w:rPr>
          <w:rStyle w:val="a7"/>
          <w:rFonts w:asciiTheme="minorBidi" w:hAnsiTheme="minorBidi"/>
          <w:rtl/>
        </w:rPr>
        <w:footnoteReference w:id="189"/>
      </w:r>
      <w:r w:rsidRPr="003024E5">
        <w:rPr>
          <w:rFonts w:asciiTheme="minorBidi" w:hAnsiTheme="minorBidi"/>
          <w:rtl/>
        </w:rPr>
        <w:t xml:space="preserve"> ומותר לבשל כולן</w:t>
      </w:r>
      <w:r w:rsidRPr="003024E5">
        <w:rPr>
          <w:rStyle w:val="a7"/>
          <w:rFonts w:asciiTheme="minorBidi" w:hAnsiTheme="minorBidi"/>
          <w:rtl/>
        </w:rPr>
        <w:footnoteReference w:id="190"/>
      </w:r>
      <w:r w:rsidRPr="003024E5">
        <w:rPr>
          <w:rFonts w:asciiTheme="minorBidi" w:hAnsiTheme="minorBidi"/>
          <w:rtl/>
        </w:rPr>
        <w:t xml:space="preserve"> ואפילו היתה ראויה להתכבד. </w:t>
      </w:r>
      <w:r w:rsidRPr="003024E5">
        <w:rPr>
          <w:rFonts w:asciiTheme="minorBidi" w:hAnsiTheme="minorBidi"/>
          <w:sz w:val="18"/>
          <w:szCs w:val="18"/>
          <w:rtl/>
        </w:rPr>
        <w:t xml:space="preserve">[הגה] וכן הדין בנתבשל בלא מליחה ונתערב אחר כך באחרות (או"ה). </w:t>
      </w:r>
    </w:p>
    <w:p w14:paraId="6EF6D2EB" w14:textId="77777777" w:rsidR="002C39F4" w:rsidRPr="003024E5" w:rsidRDefault="002C39F4" w:rsidP="002C39F4">
      <w:pPr>
        <w:rPr>
          <w:rFonts w:asciiTheme="minorBidi" w:hAnsiTheme="minorBidi"/>
          <w:u w:val="single"/>
        </w:rPr>
      </w:pPr>
      <w:r w:rsidRPr="003024E5">
        <w:rPr>
          <w:rFonts w:asciiTheme="minorBidi" w:hAnsiTheme="minorBidi"/>
          <w:u w:val="single"/>
          <w:rtl/>
        </w:rPr>
        <w:t xml:space="preserve">חתיכה שלא נמלחה ונתערבה </w:t>
      </w:r>
      <w:r w:rsidRPr="003024E5">
        <w:rPr>
          <w:rFonts w:asciiTheme="minorBidi" w:hAnsiTheme="minorBidi"/>
          <w:b/>
          <w:bCs/>
          <w:u w:val="single"/>
          <w:rtl/>
        </w:rPr>
        <w:t>תוך</w:t>
      </w:r>
      <w:r w:rsidRPr="003024E5">
        <w:rPr>
          <w:rFonts w:asciiTheme="minorBidi" w:hAnsiTheme="minorBidi"/>
          <w:u w:val="single"/>
          <w:rtl/>
        </w:rPr>
        <w:t xml:space="preserve"> ג' ימים עם שתי חתיכות שנמלחו:</w:t>
      </w:r>
    </w:p>
    <w:p w14:paraId="0E06646E" w14:textId="77777777" w:rsidR="002C39F4" w:rsidRPr="003024E5" w:rsidRDefault="002C39F4" w:rsidP="002C39F4">
      <w:pPr>
        <w:pStyle w:val="a8"/>
        <w:numPr>
          <w:ilvl w:val="0"/>
          <w:numId w:val="17"/>
        </w:numPr>
        <w:rPr>
          <w:rFonts w:asciiTheme="minorBidi" w:hAnsiTheme="minorBidi"/>
        </w:rPr>
      </w:pPr>
      <w:r w:rsidRPr="003024E5">
        <w:rPr>
          <w:rFonts w:asciiTheme="minorBidi" w:hAnsiTheme="minorBidi"/>
          <w:rtl/>
        </w:rPr>
        <w:t xml:space="preserve">רש"ל </w:t>
      </w:r>
      <w:r w:rsidRPr="003024E5">
        <w:rPr>
          <w:rFonts w:asciiTheme="minorBidi" w:hAnsiTheme="minorBidi"/>
          <w:sz w:val="16"/>
          <w:szCs w:val="16"/>
          <w:rtl/>
        </w:rPr>
        <w:t>(פכ"ה סי' פו)</w:t>
      </w:r>
      <w:r w:rsidRPr="003024E5">
        <w:rPr>
          <w:rFonts w:asciiTheme="minorBidi" w:hAnsiTheme="minorBidi"/>
          <w:rtl/>
        </w:rPr>
        <w:t xml:space="preserve"> וט"ז </w:t>
      </w:r>
      <w:r w:rsidRPr="003024E5">
        <w:rPr>
          <w:rFonts w:asciiTheme="minorBidi" w:hAnsiTheme="minorBidi"/>
          <w:sz w:val="16"/>
          <w:szCs w:val="16"/>
          <w:rtl/>
        </w:rPr>
        <w:t>(סקל"ה)</w:t>
      </w:r>
      <w:r w:rsidRPr="003024E5">
        <w:rPr>
          <w:rFonts w:asciiTheme="minorBidi" w:hAnsiTheme="minorBidi"/>
          <w:rtl/>
        </w:rPr>
        <w:t>- מותרים וא"צ למלוח את כולם מספק, ולא הוי דבר שיש לו מתירין כיון שצריך הוצאה למולחו</w:t>
      </w:r>
      <w:r w:rsidRPr="003024E5">
        <w:rPr>
          <w:rStyle w:val="a7"/>
          <w:rFonts w:asciiTheme="minorBidi" w:hAnsiTheme="minorBidi"/>
          <w:rtl/>
        </w:rPr>
        <w:footnoteReference w:id="191"/>
      </w:r>
      <w:r w:rsidRPr="003024E5">
        <w:rPr>
          <w:rFonts w:asciiTheme="minorBidi" w:hAnsiTheme="minorBidi"/>
          <w:rtl/>
        </w:rPr>
        <w:t>.</w:t>
      </w:r>
    </w:p>
    <w:p w14:paraId="26478889" w14:textId="77777777" w:rsidR="002C39F4" w:rsidRPr="003024E5" w:rsidRDefault="002C39F4" w:rsidP="002C39F4">
      <w:pPr>
        <w:pStyle w:val="a8"/>
        <w:numPr>
          <w:ilvl w:val="0"/>
          <w:numId w:val="17"/>
        </w:numPr>
        <w:rPr>
          <w:rFonts w:asciiTheme="minorBidi" w:hAnsiTheme="minorBidi"/>
          <w:rtl/>
        </w:rPr>
      </w:pPr>
      <w:r w:rsidRPr="003024E5">
        <w:rPr>
          <w:rFonts w:asciiTheme="minorBidi" w:hAnsiTheme="minorBidi"/>
          <w:rtl/>
        </w:rPr>
        <w:t xml:space="preserve">ש"ך </w:t>
      </w:r>
      <w:r w:rsidRPr="003024E5">
        <w:rPr>
          <w:rFonts w:asciiTheme="minorBidi" w:hAnsiTheme="minorBidi"/>
          <w:sz w:val="16"/>
          <w:szCs w:val="16"/>
          <w:rtl/>
        </w:rPr>
        <w:t>(נה"כ, עי' בסי' קב סק"ח)</w:t>
      </w:r>
      <w:r w:rsidRPr="003024E5">
        <w:rPr>
          <w:rFonts w:asciiTheme="minorBidi" w:hAnsiTheme="minorBidi"/>
          <w:rtl/>
        </w:rPr>
        <w:t xml:space="preserve"> ופר"ח </w:t>
      </w:r>
      <w:r w:rsidRPr="003024E5">
        <w:rPr>
          <w:rFonts w:asciiTheme="minorBidi" w:hAnsiTheme="minorBidi"/>
          <w:sz w:val="16"/>
          <w:szCs w:val="16"/>
          <w:rtl/>
        </w:rPr>
        <w:t>(סוף סקמ"ח)</w:t>
      </w:r>
      <w:r w:rsidRPr="003024E5">
        <w:rPr>
          <w:rFonts w:asciiTheme="minorBidi" w:hAnsiTheme="minorBidi"/>
          <w:rtl/>
        </w:rPr>
        <w:t>- צריך לחזור ולמולח</w:t>
      </w:r>
      <w:r>
        <w:rPr>
          <w:rFonts w:asciiTheme="minorBidi" w:hAnsiTheme="minorBidi" w:hint="cs"/>
          <w:rtl/>
        </w:rPr>
        <w:t>ם</w:t>
      </w:r>
      <w:r w:rsidRPr="003024E5">
        <w:rPr>
          <w:rFonts w:asciiTheme="minorBidi" w:hAnsiTheme="minorBidi"/>
          <w:rtl/>
        </w:rPr>
        <w:t>.</w:t>
      </w:r>
    </w:p>
    <w:p w14:paraId="214DA891" w14:textId="77777777" w:rsidR="002C39F4" w:rsidRPr="003024E5" w:rsidRDefault="002C39F4" w:rsidP="002C39F4">
      <w:pPr>
        <w:rPr>
          <w:rFonts w:asciiTheme="minorBidi" w:hAnsiTheme="minorBidi"/>
          <w:rtl/>
        </w:rPr>
      </w:pPr>
    </w:p>
    <w:p w14:paraId="3B489061" w14:textId="77777777" w:rsidR="002C39F4" w:rsidRPr="003024E5" w:rsidRDefault="002C39F4" w:rsidP="002C39F4">
      <w:pPr>
        <w:pStyle w:val="2"/>
        <w:rPr>
          <w:rFonts w:asciiTheme="minorBidi" w:hAnsiTheme="minorBidi"/>
          <w:rtl/>
        </w:rPr>
      </w:pPr>
      <w:r w:rsidRPr="003024E5">
        <w:rPr>
          <w:rFonts w:asciiTheme="minorBidi" w:hAnsiTheme="minorBidi"/>
          <w:rtl/>
        </w:rPr>
        <w:t>סעיף טו: בשר המלוכלך בדמים שנשרה במים מעל"ע.</w:t>
      </w:r>
    </w:p>
    <w:p w14:paraId="69D79A93" w14:textId="77777777" w:rsidR="002C39F4" w:rsidRPr="003024E5" w:rsidRDefault="002C39F4" w:rsidP="002C39F4">
      <w:pPr>
        <w:rPr>
          <w:rFonts w:asciiTheme="minorBidi" w:hAnsiTheme="minorBidi"/>
          <w:u w:val="single"/>
          <w:rtl/>
        </w:rPr>
      </w:pPr>
      <w:r w:rsidRPr="003024E5">
        <w:rPr>
          <w:rFonts w:asciiTheme="minorBidi" w:hAnsiTheme="minorBidi"/>
          <w:u w:val="single"/>
          <w:rtl/>
        </w:rPr>
        <w:t>בשר מלוכלך בדמים שנשרה במים מעת לעת</w:t>
      </w:r>
      <w:r w:rsidRPr="003024E5">
        <w:rPr>
          <w:rStyle w:val="a7"/>
          <w:rFonts w:asciiTheme="minorBidi" w:hAnsiTheme="minorBidi"/>
          <w:u w:val="single"/>
          <w:rtl/>
        </w:rPr>
        <w:footnoteReference w:id="192"/>
      </w:r>
      <w:r w:rsidRPr="003024E5">
        <w:rPr>
          <w:rFonts w:asciiTheme="minorBidi" w:hAnsiTheme="minorBidi"/>
          <w:u w:val="single"/>
          <w:rtl/>
        </w:rPr>
        <w:t>:</w:t>
      </w:r>
    </w:p>
    <w:p w14:paraId="0F51E23B" w14:textId="77777777" w:rsidR="002C39F4" w:rsidRPr="003024E5" w:rsidRDefault="002C39F4" w:rsidP="002C39F4">
      <w:pPr>
        <w:pStyle w:val="a8"/>
        <w:numPr>
          <w:ilvl w:val="0"/>
          <w:numId w:val="18"/>
        </w:numPr>
        <w:rPr>
          <w:rFonts w:asciiTheme="minorBidi" w:hAnsiTheme="minorBidi"/>
        </w:rPr>
      </w:pPr>
      <w:r w:rsidRPr="003024E5">
        <w:rPr>
          <w:rFonts w:asciiTheme="minorBidi" w:hAnsiTheme="minorBidi"/>
          <w:rtl/>
        </w:rPr>
        <w:t xml:space="preserve">מהר"ם </w:t>
      </w:r>
      <w:r w:rsidRPr="003024E5">
        <w:rPr>
          <w:rFonts w:asciiTheme="minorBidi" w:hAnsiTheme="minorBidi"/>
          <w:sz w:val="16"/>
          <w:szCs w:val="16"/>
          <w:rtl/>
        </w:rPr>
        <w:t>(ד</w:t>
      </w:r>
      <w:r>
        <w:rPr>
          <w:rFonts w:asciiTheme="minorBidi" w:hAnsiTheme="minorBidi" w:hint="cs"/>
          <w:sz w:val="16"/>
          <w:szCs w:val="16"/>
          <w:rtl/>
        </w:rPr>
        <w:t>"</w:t>
      </w:r>
      <w:r w:rsidRPr="003024E5">
        <w:rPr>
          <w:rFonts w:asciiTheme="minorBidi" w:hAnsiTheme="minorBidi"/>
          <w:sz w:val="16"/>
          <w:szCs w:val="16"/>
          <w:rtl/>
        </w:rPr>
        <w:t xml:space="preserve">ב סי' לד) </w:t>
      </w:r>
      <w:r w:rsidRPr="003024E5">
        <w:rPr>
          <w:rFonts w:asciiTheme="minorBidi" w:hAnsiTheme="minorBidi"/>
          <w:rtl/>
        </w:rPr>
        <w:t xml:space="preserve">ורי"ו </w:t>
      </w:r>
      <w:r w:rsidRPr="003024E5">
        <w:rPr>
          <w:rFonts w:asciiTheme="minorBidi" w:hAnsiTheme="minorBidi"/>
          <w:sz w:val="16"/>
          <w:szCs w:val="16"/>
          <w:rtl/>
        </w:rPr>
        <w:t>(נט"ו אות כה קלה:)</w:t>
      </w:r>
      <w:r w:rsidRPr="003024E5">
        <w:rPr>
          <w:rFonts w:asciiTheme="minorBidi" w:hAnsiTheme="minorBidi"/>
          <w:rtl/>
        </w:rPr>
        <w:t>- בשר המלוכלך בדמו שנשרה מעת לעת במים קבלתי שאסור</w:t>
      </w:r>
      <w:r>
        <w:rPr>
          <w:rFonts w:asciiTheme="minorBidi" w:hAnsiTheme="minorBidi" w:hint="cs"/>
          <w:rtl/>
        </w:rPr>
        <w:t>,</w:t>
      </w:r>
      <w:r w:rsidRPr="00ED11B2">
        <w:rPr>
          <w:rFonts w:asciiTheme="minorBidi" w:hAnsiTheme="minorBidi"/>
          <w:rtl/>
        </w:rPr>
        <w:t xml:space="preserve"> </w:t>
      </w:r>
      <w:r w:rsidRPr="003024E5">
        <w:rPr>
          <w:rFonts w:asciiTheme="minorBidi" w:hAnsiTheme="minorBidi"/>
          <w:rtl/>
        </w:rPr>
        <w:t>דדמי לכבוש דאמרינן כבוש הרי הוא כמבושל</w:t>
      </w:r>
      <w:r>
        <w:rPr>
          <w:rStyle w:val="a7"/>
          <w:rFonts w:asciiTheme="minorBidi" w:hAnsiTheme="minorBidi"/>
          <w:rtl/>
        </w:rPr>
        <w:footnoteReference w:id="193"/>
      </w:r>
      <w:r>
        <w:rPr>
          <w:rFonts w:asciiTheme="minorBidi" w:hAnsiTheme="minorBidi" w:hint="cs"/>
          <w:sz w:val="16"/>
          <w:szCs w:val="16"/>
          <w:rtl/>
        </w:rPr>
        <w:t xml:space="preserve"> (ל' רי"ו בשם מהר"ם)</w:t>
      </w:r>
      <w:r>
        <w:rPr>
          <w:rFonts w:asciiTheme="minorBidi" w:hAnsiTheme="minorBidi" w:hint="cs"/>
          <w:rtl/>
        </w:rPr>
        <w:t>,</w:t>
      </w:r>
      <w:r w:rsidRPr="00ED11B2">
        <w:rPr>
          <w:rFonts w:asciiTheme="minorBidi" w:hAnsiTheme="minorBidi"/>
          <w:rtl/>
        </w:rPr>
        <w:t xml:space="preserve"> </w:t>
      </w:r>
      <w:r>
        <w:rPr>
          <w:rFonts w:asciiTheme="minorBidi" w:hAnsiTheme="minorBidi" w:hint="cs"/>
          <w:rtl/>
        </w:rPr>
        <w:t>ו</w:t>
      </w:r>
      <w:r w:rsidRPr="003024E5">
        <w:rPr>
          <w:rFonts w:asciiTheme="minorBidi" w:hAnsiTheme="minorBidi"/>
          <w:rtl/>
        </w:rPr>
        <w:t>היינו בבשר הרבה שאין במים ששים כנגד כל החתיכות אבל אם יש ששים במים נגד כל החתיכות אז הדם שיצא בטל במים כבר</w:t>
      </w:r>
      <w:r>
        <w:rPr>
          <w:rFonts w:asciiTheme="minorBidi" w:hAnsiTheme="minorBidi" w:hint="cs"/>
          <w:rtl/>
        </w:rPr>
        <w:t>,</w:t>
      </w:r>
      <w:r w:rsidRPr="003024E5">
        <w:rPr>
          <w:rFonts w:asciiTheme="minorBidi" w:hAnsiTheme="minorBidi"/>
          <w:rtl/>
        </w:rPr>
        <w:t xml:space="preserve"> ואם חוזר ונבלע בבשר אינו מזיק</w:t>
      </w:r>
      <w:r>
        <w:rPr>
          <w:rFonts w:asciiTheme="minorBidi" w:hAnsiTheme="minorBidi" w:hint="cs"/>
          <w:rtl/>
        </w:rPr>
        <w:t>,</w:t>
      </w:r>
      <w:r w:rsidRPr="003024E5">
        <w:rPr>
          <w:rFonts w:asciiTheme="minorBidi" w:hAnsiTheme="minorBidi"/>
          <w:rtl/>
        </w:rPr>
        <w:t xml:space="preserve"> ומה שנשאר בחתיכה יצא ע"י מלח</w:t>
      </w:r>
      <w:r>
        <w:rPr>
          <w:rFonts w:asciiTheme="minorBidi" w:hAnsiTheme="minorBidi" w:hint="cs"/>
          <w:rtl/>
        </w:rPr>
        <w:t xml:space="preserve"> </w:t>
      </w:r>
      <w:r>
        <w:rPr>
          <w:rFonts w:asciiTheme="minorBidi" w:hAnsiTheme="minorBidi" w:hint="cs"/>
          <w:sz w:val="16"/>
          <w:szCs w:val="16"/>
          <w:rtl/>
        </w:rPr>
        <w:t>(ל' הגשע"ד</w:t>
      </w:r>
      <w:r>
        <w:rPr>
          <w:rFonts w:asciiTheme="minorBidi" w:hAnsiTheme="minorBidi" w:hint="cs"/>
          <w:sz w:val="14"/>
          <w:szCs w:val="14"/>
          <w:rtl/>
        </w:rPr>
        <w:t xml:space="preserve"> [סק"ג]</w:t>
      </w:r>
      <w:r>
        <w:rPr>
          <w:rFonts w:asciiTheme="minorBidi" w:hAnsiTheme="minorBidi" w:hint="cs"/>
          <w:sz w:val="16"/>
          <w:szCs w:val="16"/>
          <w:rtl/>
        </w:rPr>
        <w:t xml:space="preserve"> בשם מהר"ם)</w:t>
      </w:r>
      <w:r w:rsidRPr="003024E5">
        <w:rPr>
          <w:rStyle w:val="a7"/>
          <w:rFonts w:asciiTheme="minorBidi" w:hAnsiTheme="minorBidi"/>
          <w:rtl/>
        </w:rPr>
        <w:footnoteReference w:id="194"/>
      </w:r>
      <w:r w:rsidRPr="003024E5">
        <w:rPr>
          <w:rFonts w:asciiTheme="minorBidi" w:hAnsiTheme="minorBidi"/>
          <w:rtl/>
        </w:rPr>
        <w:t xml:space="preserve">. </w:t>
      </w:r>
      <w:r w:rsidRPr="003024E5">
        <w:rPr>
          <w:rFonts w:asciiTheme="minorBidi" w:hAnsiTheme="minorBidi"/>
          <w:color w:val="E36C0A" w:themeColor="accent6" w:themeShade="BF"/>
          <w:rtl/>
        </w:rPr>
        <w:t>(וכ"</w:t>
      </w:r>
      <w:r>
        <w:rPr>
          <w:rFonts w:asciiTheme="minorBidi" w:hAnsiTheme="minorBidi" w:hint="cs"/>
          <w:color w:val="E36C0A" w:themeColor="accent6" w:themeShade="BF"/>
          <w:rtl/>
        </w:rPr>
        <w:t>ס</w:t>
      </w:r>
      <w:r w:rsidRPr="003024E5">
        <w:rPr>
          <w:rFonts w:asciiTheme="minorBidi" w:hAnsiTheme="minorBidi"/>
          <w:color w:val="E36C0A" w:themeColor="accent6" w:themeShade="BF"/>
          <w:rtl/>
        </w:rPr>
        <w:t xml:space="preserve"> בשו"ע)</w:t>
      </w:r>
    </w:p>
    <w:p w14:paraId="5360A954" w14:textId="77777777" w:rsidR="002C39F4" w:rsidRPr="003024E5" w:rsidRDefault="002C39F4" w:rsidP="002C39F4">
      <w:pPr>
        <w:pStyle w:val="a8"/>
        <w:numPr>
          <w:ilvl w:val="0"/>
          <w:numId w:val="18"/>
        </w:numPr>
        <w:rPr>
          <w:rFonts w:asciiTheme="minorBidi" w:hAnsiTheme="minorBidi"/>
        </w:rPr>
      </w:pPr>
      <w:r w:rsidRPr="003024E5">
        <w:rPr>
          <w:rFonts w:asciiTheme="minorBidi" w:hAnsiTheme="minorBidi"/>
          <w:rtl/>
        </w:rPr>
        <w:t>מהר"ח או"ז</w:t>
      </w:r>
      <w:r w:rsidRPr="003024E5">
        <w:rPr>
          <w:rStyle w:val="a7"/>
          <w:rFonts w:asciiTheme="minorBidi" w:hAnsiTheme="minorBidi"/>
          <w:rtl/>
        </w:rPr>
        <w:footnoteReference w:id="195"/>
      </w:r>
      <w:r w:rsidRPr="003024E5">
        <w:rPr>
          <w:rFonts w:asciiTheme="minorBidi" w:hAnsiTheme="minorBidi"/>
          <w:rtl/>
        </w:rPr>
        <w:t xml:space="preserve">- בשר שנשרה יום שלם אע"ג דמפליט ובולע </w:t>
      </w:r>
      <w:r w:rsidRPr="003024E5">
        <w:rPr>
          <w:rFonts w:asciiTheme="minorBidi" w:hAnsiTheme="minorBidi"/>
          <w:sz w:val="16"/>
          <w:szCs w:val="16"/>
          <w:rtl/>
        </w:rPr>
        <w:t>(מההיא דאי תרו ליה כולי יומא בחלבא)</w:t>
      </w:r>
      <w:r w:rsidRPr="003024E5">
        <w:rPr>
          <w:rFonts w:asciiTheme="minorBidi" w:hAnsiTheme="minorBidi"/>
          <w:rtl/>
        </w:rPr>
        <w:t xml:space="preserve"> לא עדיף מכלי שני</w:t>
      </w:r>
      <w:r w:rsidRPr="003024E5">
        <w:rPr>
          <w:rStyle w:val="a7"/>
          <w:rFonts w:asciiTheme="minorBidi" w:hAnsiTheme="minorBidi"/>
          <w:rtl/>
        </w:rPr>
        <w:footnoteReference w:id="196"/>
      </w:r>
      <w:r w:rsidRPr="003024E5">
        <w:rPr>
          <w:rFonts w:asciiTheme="minorBidi" w:hAnsiTheme="minorBidi"/>
          <w:rtl/>
        </w:rPr>
        <w:t xml:space="preserve"> ויש לו תקנה במליחה.</w:t>
      </w:r>
    </w:p>
    <w:p w14:paraId="3E4CE8B0" w14:textId="77777777" w:rsidR="002C39F4" w:rsidRPr="003024E5" w:rsidRDefault="002C39F4" w:rsidP="002C39F4">
      <w:pPr>
        <w:pStyle w:val="a8"/>
        <w:numPr>
          <w:ilvl w:val="0"/>
          <w:numId w:val="18"/>
        </w:numPr>
        <w:rPr>
          <w:rFonts w:asciiTheme="minorBidi" w:hAnsiTheme="minorBidi"/>
        </w:rPr>
      </w:pPr>
      <w:r w:rsidRPr="003024E5">
        <w:rPr>
          <w:rFonts w:asciiTheme="minorBidi" w:hAnsiTheme="minorBidi"/>
          <w:rtl/>
        </w:rPr>
        <w:t>תוס'</w:t>
      </w:r>
      <w:r w:rsidRPr="003024E5">
        <w:rPr>
          <w:rFonts w:asciiTheme="minorBidi" w:hAnsiTheme="minorBidi"/>
          <w:sz w:val="16"/>
          <w:szCs w:val="16"/>
          <w:rtl/>
        </w:rPr>
        <w:t xml:space="preserve"> (כ"כ האגור בשמם [סי' אלף קצג])</w:t>
      </w:r>
      <w:r w:rsidRPr="003024E5">
        <w:rPr>
          <w:rFonts w:asciiTheme="minorBidi" w:hAnsiTheme="minorBidi"/>
          <w:rtl/>
        </w:rPr>
        <w:t xml:space="preserve">- צונן בצונן מותר אפילו מעת לעת. </w:t>
      </w:r>
      <w:r>
        <w:rPr>
          <w:rFonts w:asciiTheme="minorBidi" w:hAnsiTheme="minorBidi" w:hint="cs"/>
          <w:rtl/>
        </w:rPr>
        <w:t xml:space="preserve"> </w:t>
      </w:r>
    </w:p>
    <w:p w14:paraId="2787745E" w14:textId="77777777" w:rsidR="002C39F4" w:rsidRPr="003024E5" w:rsidRDefault="002C39F4" w:rsidP="002C39F4">
      <w:pPr>
        <w:ind w:left="360"/>
        <w:rPr>
          <w:rFonts w:asciiTheme="minorBidi" w:hAnsiTheme="minorBidi"/>
          <w:u w:val="dotted"/>
        </w:rPr>
      </w:pPr>
      <w:r>
        <w:rPr>
          <w:rFonts w:asciiTheme="minorBidi" w:hAnsiTheme="minorBidi" w:hint="cs"/>
          <w:u w:val="dotted"/>
          <w:rtl/>
        </w:rPr>
        <w:t xml:space="preserve">לאוסרים - </w:t>
      </w:r>
      <w:r w:rsidRPr="003024E5">
        <w:rPr>
          <w:rFonts w:asciiTheme="minorBidi" w:hAnsiTheme="minorBidi"/>
          <w:u w:val="dotted"/>
          <w:rtl/>
        </w:rPr>
        <w:t>האם בשר זה מותר בצלייה:</w:t>
      </w:r>
    </w:p>
    <w:p w14:paraId="1287F81E" w14:textId="77777777" w:rsidR="002C39F4" w:rsidRPr="003024E5" w:rsidRDefault="002C39F4" w:rsidP="002C39F4">
      <w:pPr>
        <w:pStyle w:val="a8"/>
        <w:numPr>
          <w:ilvl w:val="0"/>
          <w:numId w:val="18"/>
        </w:numPr>
        <w:rPr>
          <w:rFonts w:asciiTheme="minorBidi" w:hAnsiTheme="minorBidi"/>
          <w:rtl/>
        </w:rPr>
      </w:pPr>
      <w:r w:rsidRPr="003024E5">
        <w:rPr>
          <w:rFonts w:asciiTheme="minorBidi" w:hAnsiTheme="minorBidi"/>
          <w:rtl/>
        </w:rPr>
        <w:t xml:space="preserve">י"א </w:t>
      </w:r>
      <w:r w:rsidRPr="003024E5">
        <w:rPr>
          <w:rFonts w:asciiTheme="minorBidi" w:hAnsiTheme="minorBidi"/>
          <w:sz w:val="16"/>
          <w:szCs w:val="16"/>
          <w:rtl/>
        </w:rPr>
        <w:t>(הביאום האגור [סי' אלף קצג] והגשע"ד [סי' ג])</w:t>
      </w:r>
      <w:r w:rsidRPr="003024E5">
        <w:rPr>
          <w:rFonts w:asciiTheme="minorBidi" w:hAnsiTheme="minorBidi"/>
          <w:rtl/>
        </w:rPr>
        <w:t>- מותר לצלות ולאכול.</w:t>
      </w:r>
      <w:r>
        <w:rPr>
          <w:rFonts w:asciiTheme="minorBidi" w:hAnsiTheme="minorBidi" w:hint="cs"/>
          <w:rtl/>
        </w:rPr>
        <w:t xml:space="preserve"> </w:t>
      </w:r>
      <w:r w:rsidRPr="003024E5">
        <w:rPr>
          <w:rFonts w:asciiTheme="minorBidi" w:hAnsiTheme="minorBidi"/>
          <w:color w:val="E36C0A" w:themeColor="accent6" w:themeShade="BF"/>
          <w:rtl/>
        </w:rPr>
        <w:t>(וכ"</w:t>
      </w:r>
      <w:r>
        <w:rPr>
          <w:rFonts w:asciiTheme="minorBidi" w:hAnsiTheme="minorBidi" w:hint="cs"/>
          <w:color w:val="E36C0A" w:themeColor="accent6" w:themeShade="BF"/>
          <w:rtl/>
        </w:rPr>
        <w:t>פ</w:t>
      </w:r>
      <w:r w:rsidRPr="003024E5">
        <w:rPr>
          <w:rFonts w:asciiTheme="minorBidi" w:hAnsiTheme="minorBidi"/>
          <w:color w:val="E36C0A" w:themeColor="accent6" w:themeShade="BF"/>
          <w:rtl/>
        </w:rPr>
        <w:t xml:space="preserve"> בשו"ע)</w:t>
      </w:r>
    </w:p>
    <w:p w14:paraId="054652B2" w14:textId="77777777" w:rsidR="002C39F4" w:rsidRPr="003024E5" w:rsidRDefault="002C39F4" w:rsidP="002C39F4">
      <w:pPr>
        <w:pStyle w:val="a8"/>
        <w:numPr>
          <w:ilvl w:val="0"/>
          <w:numId w:val="18"/>
        </w:numPr>
        <w:rPr>
          <w:rFonts w:asciiTheme="minorBidi" w:hAnsiTheme="minorBidi"/>
          <w:rtl/>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ב דין ה, הביאו הדרכ"מ אות לא)</w:t>
      </w:r>
      <w:r w:rsidRPr="003024E5">
        <w:rPr>
          <w:rFonts w:asciiTheme="minorBidi" w:hAnsiTheme="minorBidi"/>
          <w:rtl/>
        </w:rPr>
        <w:t>- אפילו בצלייה אסור אחר מעת לעת.</w:t>
      </w:r>
      <w:r w:rsidRPr="003024E5">
        <w:rPr>
          <w:rFonts w:asciiTheme="minorBidi" w:hAnsiTheme="minorBidi"/>
          <w:color w:val="00B0F0"/>
          <w:rtl/>
        </w:rPr>
        <w:t xml:space="preserve"> (וכ"פ הרמ"א)</w:t>
      </w:r>
    </w:p>
    <w:p w14:paraId="75DF283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D15BC1E" w14:textId="77777777" w:rsidR="002C39F4" w:rsidRPr="003024E5" w:rsidRDefault="002C39F4" w:rsidP="002C39F4">
      <w:pPr>
        <w:rPr>
          <w:rFonts w:asciiTheme="minorBidi" w:hAnsiTheme="minorBidi"/>
        </w:rPr>
      </w:pPr>
      <w:r w:rsidRPr="003024E5">
        <w:rPr>
          <w:rFonts w:asciiTheme="minorBidi" w:hAnsiTheme="minorBidi"/>
          <w:rtl/>
        </w:rPr>
        <w:t>בשר המלוכלך בדמים</w:t>
      </w:r>
      <w:r w:rsidRPr="003024E5">
        <w:rPr>
          <w:rStyle w:val="a7"/>
          <w:rFonts w:asciiTheme="minorBidi" w:hAnsiTheme="minorBidi"/>
          <w:rtl/>
        </w:rPr>
        <w:footnoteReference w:id="197"/>
      </w:r>
      <w:r w:rsidRPr="003024E5">
        <w:rPr>
          <w:rFonts w:asciiTheme="minorBidi" w:hAnsiTheme="minorBidi"/>
          <w:rtl/>
        </w:rPr>
        <w:t xml:space="preserve"> שנשרה במים מעת לעת יש אוסרים לאכלו כי אם צלי אלא אם כן יש במים ששים כנגדו</w:t>
      </w:r>
      <w:r w:rsidRPr="003024E5">
        <w:rPr>
          <w:rStyle w:val="a7"/>
          <w:rFonts w:asciiTheme="minorBidi" w:hAnsiTheme="minorBidi"/>
          <w:rtl/>
        </w:rPr>
        <w:footnoteReference w:id="198"/>
      </w:r>
      <w:r w:rsidRPr="003024E5">
        <w:rPr>
          <w:rFonts w:asciiTheme="minorBidi" w:hAnsiTheme="minorBidi"/>
          <w:rtl/>
        </w:rPr>
        <w:t xml:space="preserve">. </w:t>
      </w:r>
      <w:r w:rsidRPr="003024E5">
        <w:rPr>
          <w:rFonts w:asciiTheme="minorBidi" w:hAnsiTheme="minorBidi"/>
          <w:sz w:val="18"/>
          <w:szCs w:val="18"/>
          <w:rtl/>
        </w:rPr>
        <w:t>[הגה] ויש אוסרים</w:t>
      </w:r>
      <w:r w:rsidRPr="003024E5">
        <w:rPr>
          <w:rStyle w:val="a7"/>
          <w:rFonts w:asciiTheme="minorBidi" w:hAnsiTheme="minorBidi"/>
          <w:sz w:val="18"/>
          <w:szCs w:val="18"/>
          <w:rtl/>
        </w:rPr>
        <w:footnoteReference w:id="199"/>
      </w:r>
      <w:r w:rsidRPr="003024E5">
        <w:rPr>
          <w:rFonts w:asciiTheme="minorBidi" w:hAnsiTheme="minorBidi"/>
          <w:sz w:val="18"/>
          <w:szCs w:val="18"/>
          <w:rtl/>
        </w:rPr>
        <w:t xml:space="preserve"> אפילו לצלי</w:t>
      </w:r>
      <w:r w:rsidRPr="003024E5">
        <w:rPr>
          <w:rStyle w:val="a7"/>
          <w:rFonts w:asciiTheme="minorBidi" w:hAnsiTheme="minorBidi"/>
          <w:sz w:val="18"/>
          <w:szCs w:val="18"/>
          <w:rtl/>
        </w:rPr>
        <w:footnoteReference w:id="200"/>
      </w:r>
      <w:r w:rsidRPr="003024E5">
        <w:rPr>
          <w:rFonts w:asciiTheme="minorBidi" w:hAnsiTheme="minorBidi"/>
          <w:sz w:val="18"/>
          <w:szCs w:val="18"/>
          <w:rtl/>
        </w:rPr>
        <w:t>, והכי נהוג (או"ה).</w:t>
      </w:r>
      <w:r w:rsidRPr="003024E5">
        <w:rPr>
          <w:rFonts w:asciiTheme="minorBidi" w:hAnsiTheme="minorBidi"/>
          <w:rtl/>
        </w:rPr>
        <w:t xml:space="preserve"> </w:t>
      </w:r>
    </w:p>
    <w:p w14:paraId="15DE75FC" w14:textId="77777777" w:rsidR="002C39F4" w:rsidRPr="003024E5" w:rsidRDefault="002C39F4" w:rsidP="002C39F4">
      <w:pPr>
        <w:rPr>
          <w:rFonts w:asciiTheme="minorBidi" w:hAnsiTheme="minorBidi"/>
          <w:rtl/>
        </w:rPr>
      </w:pPr>
    </w:p>
    <w:p w14:paraId="12610909" w14:textId="77777777" w:rsidR="002C39F4" w:rsidRPr="003024E5" w:rsidRDefault="002C39F4" w:rsidP="002C39F4">
      <w:pPr>
        <w:pStyle w:val="2"/>
        <w:rPr>
          <w:rFonts w:asciiTheme="minorBidi" w:hAnsiTheme="minorBidi"/>
          <w:rtl/>
        </w:rPr>
      </w:pPr>
      <w:r w:rsidRPr="003024E5">
        <w:rPr>
          <w:rFonts w:asciiTheme="minorBidi" w:hAnsiTheme="minorBidi"/>
          <w:rtl/>
        </w:rPr>
        <w:t>סעיף טז: באיזה כלי יש למלוח.</w:t>
      </w:r>
    </w:p>
    <w:p w14:paraId="2FA4527F"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ע"א: </w:t>
      </w:r>
      <w:r w:rsidRPr="003024E5">
        <w:rPr>
          <w:rFonts w:asciiTheme="minorBidi" w:hAnsiTheme="minorBidi"/>
          <w:u w:val="single"/>
          <w:rtl/>
        </w:rPr>
        <w:t>אמר שמואל:</w:t>
      </w:r>
      <w:r w:rsidRPr="003024E5">
        <w:rPr>
          <w:rFonts w:asciiTheme="minorBidi" w:hAnsiTheme="minorBidi"/>
          <w:rtl/>
        </w:rPr>
        <w:t xml:space="preserve"> אין מניחין בשר מליח אלא ע"ג כלי מנוקב.</w:t>
      </w:r>
    </w:p>
    <w:p w14:paraId="4DFD9CC4" w14:textId="77777777" w:rsidR="002C39F4" w:rsidRPr="003024E5" w:rsidRDefault="002C39F4" w:rsidP="002C39F4">
      <w:pPr>
        <w:rPr>
          <w:rFonts w:asciiTheme="minorBidi" w:hAnsiTheme="minorBidi"/>
          <w:rtl/>
        </w:rPr>
      </w:pPr>
      <w:r>
        <w:rPr>
          <w:rFonts w:asciiTheme="minorBidi" w:hAnsiTheme="minorBidi" w:hint="cs"/>
          <w:u w:val="single"/>
          <w:rtl/>
        </w:rPr>
        <w:t>על גבי איזה כלי צריך למלוח</w:t>
      </w:r>
      <w:r w:rsidRPr="003024E5">
        <w:rPr>
          <w:rFonts w:asciiTheme="minorBidi" w:hAnsiTheme="minorBidi"/>
          <w:u w:val="single"/>
          <w:rtl/>
        </w:rPr>
        <w:t>:</w:t>
      </w:r>
    </w:p>
    <w:p w14:paraId="1573E1C0" w14:textId="77777777" w:rsidR="002C39F4" w:rsidRDefault="002C39F4" w:rsidP="002C39F4">
      <w:pPr>
        <w:pStyle w:val="a8"/>
        <w:numPr>
          <w:ilvl w:val="0"/>
          <w:numId w:val="18"/>
        </w:numPr>
        <w:rPr>
          <w:rFonts w:asciiTheme="minorBidi" w:hAnsiTheme="minorBidi"/>
        </w:rPr>
      </w:pPr>
      <w:r w:rsidRPr="003024E5">
        <w:rPr>
          <w:rFonts w:asciiTheme="minorBidi" w:hAnsiTheme="minorBidi"/>
          <w:rtl/>
        </w:rPr>
        <w:t xml:space="preserve">רא"ש </w:t>
      </w:r>
      <w:r w:rsidRPr="003024E5">
        <w:rPr>
          <w:rFonts w:asciiTheme="minorBidi" w:hAnsiTheme="minorBidi"/>
          <w:sz w:val="16"/>
          <w:szCs w:val="16"/>
          <w:rtl/>
        </w:rPr>
        <w:t>(סי' מט)</w:t>
      </w:r>
      <w:r w:rsidRPr="003024E5">
        <w:rPr>
          <w:rFonts w:asciiTheme="minorBidi" w:hAnsiTheme="minorBidi"/>
          <w:rtl/>
        </w:rPr>
        <w:t>- המולח צריך שימלח ע"ג כלי מנוקב או על קשין או על עצים כללו של דבר כל דבר שכששופך מים עליו יוצאים מים לחוץ אז הבשר מותר למלוח עליו</w:t>
      </w:r>
      <w:r>
        <w:rPr>
          <w:rStyle w:val="a7"/>
          <w:rFonts w:asciiTheme="minorBidi" w:hAnsiTheme="minorBidi"/>
          <w:rtl/>
        </w:rPr>
        <w:footnoteReference w:id="201"/>
      </w:r>
      <w:r w:rsidRPr="003024E5">
        <w:rPr>
          <w:rFonts w:asciiTheme="minorBidi" w:hAnsiTheme="minorBidi"/>
          <w:rtl/>
        </w:rPr>
        <w:t>.</w:t>
      </w:r>
      <w:r w:rsidRPr="00497901">
        <w:rPr>
          <w:rFonts w:asciiTheme="minorBidi" w:hAnsiTheme="minorBidi"/>
          <w:color w:val="E36C0A" w:themeColor="accent6" w:themeShade="BF"/>
          <w:rtl/>
        </w:rPr>
        <w:t xml:space="preserve"> </w:t>
      </w:r>
      <w:r>
        <w:rPr>
          <w:rFonts w:asciiTheme="minorBidi" w:hAnsiTheme="minorBidi" w:hint="cs"/>
          <w:color w:val="E36C0A" w:themeColor="accent6" w:themeShade="BF"/>
          <w:rtl/>
        </w:rPr>
        <w:t>(</w:t>
      </w:r>
      <w:r w:rsidRPr="00497901">
        <w:rPr>
          <w:rFonts w:asciiTheme="minorBidi" w:hAnsiTheme="minorBidi"/>
          <w:color w:val="E36C0A" w:themeColor="accent6" w:themeShade="BF"/>
          <w:rtl/>
        </w:rPr>
        <w:t>וכ"פ בשו"ע</w:t>
      </w:r>
      <w:r>
        <w:rPr>
          <w:rFonts w:asciiTheme="minorBidi" w:hAnsiTheme="minorBidi" w:hint="cs"/>
          <w:color w:val="E36C0A" w:themeColor="accent6" w:themeShade="BF"/>
          <w:rtl/>
        </w:rPr>
        <w:t>)</w:t>
      </w:r>
    </w:p>
    <w:p w14:paraId="19A82E5C" w14:textId="77777777" w:rsidR="002C39F4" w:rsidRPr="004F1D75" w:rsidRDefault="002C39F4" w:rsidP="002C39F4">
      <w:pPr>
        <w:rPr>
          <w:rFonts w:asciiTheme="minorBidi" w:hAnsiTheme="minorBidi"/>
        </w:rPr>
      </w:pPr>
      <w:r w:rsidRPr="004F1D75">
        <w:rPr>
          <w:rFonts w:asciiTheme="minorBidi" w:hAnsiTheme="minorBidi"/>
          <w:u w:val="single"/>
          <w:rtl/>
        </w:rPr>
        <w:t>מליחה ע"ג דף:</w:t>
      </w:r>
    </w:p>
    <w:p w14:paraId="64074E52" w14:textId="77777777" w:rsidR="002C39F4" w:rsidRPr="003024E5" w:rsidRDefault="002C39F4" w:rsidP="002C39F4">
      <w:pPr>
        <w:pStyle w:val="a8"/>
        <w:numPr>
          <w:ilvl w:val="0"/>
          <w:numId w:val="18"/>
        </w:numPr>
        <w:rPr>
          <w:rFonts w:asciiTheme="minorBidi" w:hAnsiTheme="minorBidi"/>
        </w:rPr>
      </w:pPr>
      <w:r w:rsidRPr="003024E5">
        <w:rPr>
          <w:rFonts w:asciiTheme="minorBidi" w:hAnsiTheme="minorBidi"/>
          <w:rtl/>
        </w:rPr>
        <w:t xml:space="preserve">סמ"ג </w:t>
      </w:r>
      <w:r w:rsidRPr="003024E5">
        <w:rPr>
          <w:rFonts w:asciiTheme="minorBidi" w:hAnsiTheme="minorBidi"/>
          <w:sz w:val="16"/>
          <w:szCs w:val="16"/>
          <w:rtl/>
        </w:rPr>
        <w:t xml:space="preserve">(לאוין קלז מז ע"ד, וכ"כ בשמו ההגה"מ [פ"ו אות י]) </w:t>
      </w:r>
      <w:r w:rsidRPr="003024E5">
        <w:rPr>
          <w:rFonts w:asciiTheme="minorBidi" w:hAnsiTheme="minorBidi"/>
          <w:rtl/>
        </w:rPr>
        <w:t xml:space="preserve">ומרדכי </w:t>
      </w:r>
      <w:r w:rsidRPr="003024E5">
        <w:rPr>
          <w:rFonts w:asciiTheme="minorBidi" w:hAnsiTheme="minorBidi"/>
          <w:sz w:val="16"/>
          <w:szCs w:val="16"/>
          <w:rtl/>
        </w:rPr>
        <w:t>(סי' תשכד)</w:t>
      </w:r>
      <w:r w:rsidRPr="003024E5">
        <w:rPr>
          <w:rFonts w:asciiTheme="minorBidi" w:hAnsiTheme="minorBidi"/>
          <w:rtl/>
        </w:rPr>
        <w:t xml:space="preserve">- מותר למלוח ע"ג דף פשוט. </w:t>
      </w:r>
    </w:p>
    <w:p w14:paraId="075483E6" w14:textId="77777777" w:rsidR="002C39F4" w:rsidRPr="003024E5" w:rsidRDefault="002C39F4" w:rsidP="002C39F4">
      <w:pPr>
        <w:pStyle w:val="a8"/>
        <w:numPr>
          <w:ilvl w:val="0"/>
          <w:numId w:val="18"/>
        </w:numPr>
        <w:rPr>
          <w:rFonts w:asciiTheme="minorBidi" w:hAnsiTheme="minorBidi"/>
        </w:rPr>
      </w:pPr>
      <w:r w:rsidRPr="003024E5">
        <w:rPr>
          <w:rFonts w:asciiTheme="minorBidi" w:hAnsiTheme="minorBidi"/>
          <w:rtl/>
        </w:rPr>
        <w:t xml:space="preserve">או"ז </w:t>
      </w:r>
      <w:r w:rsidRPr="003024E5">
        <w:rPr>
          <w:rFonts w:asciiTheme="minorBidi" w:hAnsiTheme="minorBidi"/>
          <w:sz w:val="16"/>
          <w:szCs w:val="16"/>
          <w:rtl/>
        </w:rPr>
        <w:t>(ח"א סי' תעד, הביאו תרוה"ד סי' קעג)</w:t>
      </w:r>
      <w:r w:rsidRPr="003024E5">
        <w:rPr>
          <w:rFonts w:asciiTheme="minorBidi" w:hAnsiTheme="minorBidi"/>
          <w:rtl/>
        </w:rPr>
        <w:t>- המולח ע"ג דף שאינו מדרון אסור</w:t>
      </w:r>
      <w:r w:rsidRPr="003024E5">
        <w:rPr>
          <w:rStyle w:val="a7"/>
          <w:rFonts w:asciiTheme="minorBidi" w:hAnsiTheme="minorBidi"/>
          <w:rtl/>
        </w:rPr>
        <w:footnoteReference w:id="202"/>
      </w:r>
      <w:r w:rsidRPr="003024E5">
        <w:rPr>
          <w:rFonts w:asciiTheme="minorBidi" w:hAnsiTheme="minorBidi"/>
          <w:rtl/>
        </w:rPr>
        <w:t xml:space="preserve">. </w:t>
      </w:r>
      <w:r>
        <w:rPr>
          <w:rFonts w:asciiTheme="minorBidi" w:hAnsiTheme="minorBidi" w:hint="cs"/>
          <w:rtl/>
        </w:rPr>
        <w:t xml:space="preserve"> </w:t>
      </w:r>
    </w:p>
    <w:p w14:paraId="5054B571" w14:textId="77777777" w:rsidR="002C39F4" w:rsidRPr="003024E5" w:rsidRDefault="002C39F4" w:rsidP="002C39F4">
      <w:pPr>
        <w:rPr>
          <w:rFonts w:asciiTheme="minorBidi" w:hAnsiTheme="minorBidi"/>
          <w:u w:val="single"/>
        </w:rPr>
      </w:pPr>
      <w:r w:rsidRPr="003024E5">
        <w:rPr>
          <w:rFonts w:asciiTheme="minorBidi" w:hAnsiTheme="minorBidi"/>
          <w:u w:val="single"/>
          <w:rtl/>
        </w:rPr>
        <w:t>מליחת בשר ע"ג קערה הפוכה:</w:t>
      </w:r>
    </w:p>
    <w:p w14:paraId="5CC1944E" w14:textId="77777777" w:rsidR="002C39F4" w:rsidRPr="002E3C59" w:rsidRDefault="002C39F4" w:rsidP="002C39F4">
      <w:pPr>
        <w:pStyle w:val="a8"/>
        <w:numPr>
          <w:ilvl w:val="0"/>
          <w:numId w:val="91"/>
        </w:numPr>
        <w:rPr>
          <w:rFonts w:asciiTheme="minorBidi" w:hAnsiTheme="minorBidi"/>
          <w:u w:val="single"/>
          <w:rtl/>
        </w:rPr>
      </w:pPr>
      <w:r w:rsidRPr="002E3C59">
        <w:rPr>
          <w:rFonts w:asciiTheme="minorBidi" w:hAnsiTheme="minorBidi"/>
          <w:rtl/>
        </w:rPr>
        <w:t xml:space="preserve">סמ"ג </w:t>
      </w:r>
      <w:r w:rsidRPr="002E3C59">
        <w:rPr>
          <w:rFonts w:asciiTheme="minorBidi" w:hAnsiTheme="minorBidi"/>
          <w:sz w:val="16"/>
          <w:szCs w:val="16"/>
          <w:rtl/>
        </w:rPr>
        <w:t>(לאוין קלז מח.)</w:t>
      </w:r>
      <w:r w:rsidRPr="002E3C59">
        <w:rPr>
          <w:rFonts w:asciiTheme="minorBidi" w:hAnsiTheme="minorBidi"/>
          <w:rtl/>
        </w:rPr>
        <w:t>- מה שנוהגין העולם למלוח על גבי קערה כפויה ואין הקערה נאסרת מפני שנשרק הדם ונופל</w:t>
      </w:r>
      <w:r w:rsidRPr="002E3C59">
        <w:rPr>
          <w:rFonts w:asciiTheme="minorBidi" w:hAnsiTheme="minorBidi" w:hint="cs"/>
          <w:rtl/>
        </w:rPr>
        <w:t>,</w:t>
      </w:r>
      <w:r w:rsidRPr="002E3C59">
        <w:rPr>
          <w:rFonts w:asciiTheme="minorBidi" w:hAnsiTheme="minorBidi"/>
          <w:rtl/>
        </w:rPr>
        <w:t xml:space="preserve"> ואם יש גומא בקערה ודאי נאסר.</w:t>
      </w:r>
    </w:p>
    <w:p w14:paraId="09634F87" w14:textId="77777777" w:rsidR="002C39F4" w:rsidRPr="003024E5" w:rsidRDefault="002C39F4" w:rsidP="002C39F4">
      <w:pPr>
        <w:rPr>
          <w:rFonts w:asciiTheme="minorBidi" w:hAnsiTheme="minorBidi"/>
          <w:u w:val="single"/>
        </w:rPr>
      </w:pPr>
      <w:r w:rsidRPr="003024E5">
        <w:rPr>
          <w:rFonts w:asciiTheme="minorBidi" w:hAnsiTheme="minorBidi"/>
          <w:u w:val="single"/>
          <w:rtl/>
        </w:rPr>
        <w:t xml:space="preserve">הנחת בשר בכלי </w:t>
      </w:r>
      <w:r w:rsidRPr="0071203B">
        <w:rPr>
          <w:rFonts w:asciiTheme="minorBidi" w:hAnsiTheme="minorBidi"/>
          <w:b/>
          <w:bCs/>
          <w:u w:val="single"/>
          <w:rtl/>
        </w:rPr>
        <w:t>שאינו</w:t>
      </w:r>
      <w:r w:rsidRPr="003024E5">
        <w:rPr>
          <w:rFonts w:asciiTheme="minorBidi" w:hAnsiTheme="minorBidi"/>
          <w:u w:val="single"/>
          <w:rtl/>
        </w:rPr>
        <w:t xml:space="preserve"> מנוקב:</w:t>
      </w:r>
    </w:p>
    <w:p w14:paraId="41EEA3B1" w14:textId="77777777" w:rsidR="002C39F4" w:rsidRPr="002E3C59" w:rsidRDefault="002C39F4" w:rsidP="002C39F4">
      <w:pPr>
        <w:pStyle w:val="a8"/>
        <w:numPr>
          <w:ilvl w:val="0"/>
          <w:numId w:val="18"/>
        </w:numPr>
        <w:rPr>
          <w:rFonts w:asciiTheme="minorBidi" w:hAnsiTheme="minorBidi"/>
          <w:rtl/>
        </w:rPr>
      </w:pPr>
      <w:r w:rsidRPr="003024E5">
        <w:rPr>
          <w:rFonts w:asciiTheme="minorBidi" w:hAnsiTheme="minorBidi"/>
          <w:rtl/>
        </w:rPr>
        <w:t>ר"ן</w:t>
      </w:r>
      <w:r w:rsidRPr="003024E5">
        <w:rPr>
          <w:rStyle w:val="a7"/>
          <w:rFonts w:asciiTheme="minorBidi" w:hAnsiTheme="minorBidi"/>
          <w:rtl/>
        </w:rPr>
        <w:footnoteReference w:id="203"/>
      </w:r>
      <w:r w:rsidRPr="003024E5">
        <w:rPr>
          <w:rFonts w:asciiTheme="minorBidi" w:hAnsiTheme="minorBidi"/>
          <w:rtl/>
        </w:rPr>
        <w:t xml:space="preserve">- מדקאמר שמואל אין מניחין ולא קאמר אין מולחין משמע דלא מיבעיא שאסור למלוח בשר בכלי שאינו מנוקב אלא אפילו להניחו שם אסור, ומיהו היינו דוקא כשיצא מידי כל דמו ועדיין לא הודח </w:t>
      </w:r>
      <w:r w:rsidRPr="003024E5">
        <w:rPr>
          <w:rFonts w:asciiTheme="minorBidi" w:hAnsiTheme="minorBidi"/>
          <w:sz w:val="16"/>
          <w:szCs w:val="16"/>
          <w:rtl/>
        </w:rPr>
        <w:t>(לפי שיש לחוש שיבלע מן הדם שעל פניו, דאע"ג דאכתי פליט ציר ליכא למימר דאיידי דטריד למיפלט לא בלע כדאמרינן בסתם מליחה, לפי שכאן שהדם מתכנס תחתיו כיון שהכלי אינו מנוקב, וכה"ג ודאי בלע אע"ג דפליט ציר, וכיון דבלע אין לו תקנה במליחה שאין המלח מוציא דם הבא ממקום אחר כל שאינו מוציא דם של עצמו)</w:t>
      </w:r>
      <w:r w:rsidRPr="003024E5">
        <w:rPr>
          <w:rFonts w:asciiTheme="minorBidi" w:hAnsiTheme="minorBidi"/>
          <w:rtl/>
        </w:rPr>
        <w:t>, אבל אם הניחו בכלי שאינו מנוקב קודם שיצא מידי דמו אפילו תאמר שבלע הבשר מדם שפלט כשיחזור וימלחנו בכלי אחר מנוקב יפליטנו המלח כשם שהוא מפליט דם של עצמו כמו שכתבתי בשם ה"ר יונה.</w:t>
      </w:r>
    </w:p>
    <w:p w14:paraId="7B0A993C" w14:textId="77777777" w:rsidR="002C39F4" w:rsidRPr="003024E5" w:rsidRDefault="002C39F4" w:rsidP="002C39F4">
      <w:pPr>
        <w:rPr>
          <w:rFonts w:asciiTheme="minorBidi" w:hAnsiTheme="minorBidi"/>
          <w:rtl/>
        </w:rPr>
      </w:pPr>
      <w:r w:rsidRPr="003024E5">
        <w:rPr>
          <w:rFonts w:asciiTheme="minorBidi" w:hAnsiTheme="minorBidi"/>
          <w:b/>
          <w:bCs/>
          <w:rtl/>
        </w:rPr>
        <w:t>חולין קיא ע"ב:</w:t>
      </w:r>
      <w:r w:rsidRPr="003024E5">
        <w:rPr>
          <w:rFonts w:asciiTheme="minorBidi" w:hAnsiTheme="minorBidi"/>
          <w:rtl/>
        </w:rPr>
        <w:t xml:space="preserve"> </w:t>
      </w:r>
      <w:r w:rsidRPr="003024E5">
        <w:rPr>
          <w:rFonts w:asciiTheme="minorBidi" w:hAnsiTheme="minorBidi"/>
          <w:u w:val="single"/>
          <w:rtl/>
        </w:rPr>
        <w:t>אמר רב נחמן אמר שמואל:</w:t>
      </w:r>
      <w:r w:rsidRPr="003024E5">
        <w:rPr>
          <w:rFonts w:asciiTheme="minorBidi" w:hAnsiTheme="minorBidi"/>
          <w:rtl/>
        </w:rPr>
        <w:t xml:space="preserve"> סכין ששחט בה</w:t>
      </w:r>
      <w:r>
        <w:rPr>
          <w:rFonts w:asciiTheme="minorBidi" w:hAnsiTheme="minorBidi" w:hint="cs"/>
          <w:rtl/>
        </w:rPr>
        <w:t xml:space="preserve"> -</w:t>
      </w:r>
      <w:r w:rsidRPr="003024E5">
        <w:rPr>
          <w:rFonts w:asciiTheme="minorBidi" w:hAnsiTheme="minorBidi"/>
          <w:rtl/>
        </w:rPr>
        <w:t xml:space="preserve"> אסור לחתוך בה רותח, צונן, אמרי לה בעיא הדחה, ואמרי לה לא בעיא הדחה.</w:t>
      </w:r>
      <w:r w:rsidRPr="003024E5">
        <w:rPr>
          <w:rFonts w:asciiTheme="minorBidi" w:hAnsiTheme="minorBidi"/>
          <w:b/>
          <w:bCs/>
          <w:rtl/>
        </w:rPr>
        <w:t xml:space="preserve"> </w:t>
      </w:r>
      <w:r w:rsidRPr="003024E5">
        <w:rPr>
          <w:rFonts w:asciiTheme="minorBidi" w:hAnsiTheme="minorBidi"/>
          <w:u w:val="single"/>
          <w:rtl/>
        </w:rPr>
        <w:t>אמר רב יהודה אמר שמואל</w:t>
      </w:r>
      <w:r w:rsidRPr="003024E5">
        <w:rPr>
          <w:rFonts w:asciiTheme="minorBidi" w:hAnsiTheme="minorBidi"/>
          <w:rtl/>
        </w:rPr>
        <w:t>: קערה שמלח בה בשר</w:t>
      </w:r>
      <w:r>
        <w:rPr>
          <w:rFonts w:asciiTheme="minorBidi" w:hAnsiTheme="minorBidi" w:hint="cs"/>
          <w:rtl/>
        </w:rPr>
        <w:t xml:space="preserve"> </w:t>
      </w:r>
      <w:r w:rsidRPr="003024E5">
        <w:rPr>
          <w:rFonts w:asciiTheme="minorBidi" w:hAnsiTheme="minorBidi"/>
          <w:rtl/>
        </w:rPr>
        <w:t xml:space="preserve">- אסור לאכול בה רותח. ושמואל לטעמיה, דאמר שמואל מליח הרי הוא כרותח, וכבוש הרי הוא כמבושל. </w:t>
      </w:r>
      <w:r w:rsidRPr="003024E5">
        <w:rPr>
          <w:rFonts w:asciiTheme="minorBidi" w:hAnsiTheme="minorBidi"/>
          <w:u w:val="single"/>
          <w:rtl/>
        </w:rPr>
        <w:t>כי אתא רבין א"ר יוחנן</w:t>
      </w:r>
      <w:r w:rsidRPr="003024E5">
        <w:rPr>
          <w:rFonts w:asciiTheme="minorBidi" w:hAnsiTheme="minorBidi"/>
          <w:rtl/>
        </w:rPr>
        <w:t xml:space="preserve">: מליח אינו כרותח, וכבוש אינו כמבושל. </w:t>
      </w:r>
      <w:r w:rsidRPr="003024E5">
        <w:rPr>
          <w:rFonts w:asciiTheme="minorBidi" w:hAnsiTheme="minorBidi"/>
          <w:u w:val="single"/>
          <w:rtl/>
        </w:rPr>
        <w:t>אמר אביי</w:t>
      </w:r>
      <w:r w:rsidRPr="003024E5">
        <w:rPr>
          <w:rFonts w:asciiTheme="minorBidi" w:hAnsiTheme="minorBidi"/>
          <w:rtl/>
        </w:rPr>
        <w:t>: הא דרבין ליתא, דההיא פינכא דהוה בי ר' אמי דמלח ביה בשרא ותבריה, מכדי רבי אמי תלמיד דר' יוחנן הוה מאי טעמא תבריה, לאו משום דשמיעא ליה מיניה דר' יוחנן דאמר מליח הרי הוא כרותח?</w:t>
      </w:r>
    </w:p>
    <w:p w14:paraId="60A58E21" w14:textId="77777777" w:rsidR="002C39F4" w:rsidRPr="003024E5" w:rsidRDefault="002C39F4" w:rsidP="002C39F4">
      <w:pPr>
        <w:rPr>
          <w:rFonts w:asciiTheme="minorBidi" w:hAnsiTheme="minorBidi"/>
          <w:u w:val="single"/>
        </w:rPr>
      </w:pPr>
      <w:r w:rsidRPr="003024E5">
        <w:rPr>
          <w:rFonts w:asciiTheme="minorBidi" w:hAnsiTheme="minorBidi"/>
          <w:u w:val="single"/>
          <w:rtl/>
        </w:rPr>
        <w:t>מלח בכלי</w:t>
      </w:r>
      <w:r>
        <w:rPr>
          <w:rFonts w:asciiTheme="minorBidi" w:hAnsiTheme="minorBidi" w:hint="cs"/>
          <w:u w:val="single"/>
          <w:rtl/>
        </w:rPr>
        <w:t xml:space="preserve"> </w:t>
      </w:r>
      <w:r>
        <w:rPr>
          <w:rFonts w:asciiTheme="minorBidi" w:hAnsiTheme="minorBidi" w:hint="cs"/>
          <w:sz w:val="16"/>
          <w:szCs w:val="16"/>
          <w:u w:val="single"/>
          <w:rtl/>
        </w:rPr>
        <w:t>(</w:t>
      </w:r>
      <w:r w:rsidRPr="00D86611">
        <w:rPr>
          <w:rFonts w:asciiTheme="minorBidi" w:hAnsiTheme="minorBidi" w:hint="cs"/>
          <w:sz w:val="16"/>
          <w:szCs w:val="16"/>
          <w:u w:val="single"/>
          <w:rtl/>
        </w:rPr>
        <w:t>שטף</w:t>
      </w:r>
      <w:r>
        <w:rPr>
          <w:rFonts w:asciiTheme="minorBidi" w:hAnsiTheme="minorBidi" w:hint="cs"/>
          <w:sz w:val="16"/>
          <w:szCs w:val="16"/>
          <w:u w:val="single"/>
          <w:rtl/>
        </w:rPr>
        <w:t>)</w:t>
      </w:r>
      <w:r w:rsidRPr="00D86611">
        <w:rPr>
          <w:rFonts w:asciiTheme="minorBidi" w:hAnsiTheme="minorBidi"/>
          <w:sz w:val="16"/>
          <w:szCs w:val="16"/>
          <w:u w:val="single"/>
          <w:rtl/>
        </w:rPr>
        <w:t xml:space="preserve"> </w:t>
      </w:r>
      <w:r w:rsidRPr="0071203B">
        <w:rPr>
          <w:rFonts w:asciiTheme="minorBidi" w:hAnsiTheme="minorBidi"/>
          <w:b/>
          <w:bCs/>
          <w:u w:val="single"/>
          <w:rtl/>
        </w:rPr>
        <w:t>שאינו</w:t>
      </w:r>
      <w:r w:rsidRPr="003024E5">
        <w:rPr>
          <w:rFonts w:asciiTheme="minorBidi" w:hAnsiTheme="minorBidi"/>
          <w:u w:val="single"/>
          <w:rtl/>
        </w:rPr>
        <w:t xml:space="preserve"> מנוקב:</w:t>
      </w:r>
    </w:p>
    <w:p w14:paraId="4A4A613A"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מה הדין להשתמש ב</w:t>
      </w:r>
      <w:r>
        <w:rPr>
          <w:rFonts w:asciiTheme="minorBidi" w:hAnsiTheme="minorBidi" w:hint="cs"/>
          <w:u w:val="dotted"/>
          <w:rtl/>
        </w:rPr>
        <w:t>כלי</w:t>
      </w:r>
      <w:r w:rsidRPr="003024E5">
        <w:rPr>
          <w:rFonts w:asciiTheme="minorBidi" w:hAnsiTheme="minorBidi"/>
          <w:u w:val="dotted"/>
          <w:rtl/>
        </w:rPr>
        <w:t xml:space="preserve"> בצונן</w:t>
      </w:r>
      <w:r w:rsidRPr="003024E5">
        <w:rPr>
          <w:rStyle w:val="a7"/>
          <w:rFonts w:asciiTheme="minorBidi" w:hAnsiTheme="minorBidi"/>
          <w:u w:val="dotted"/>
          <w:rtl/>
        </w:rPr>
        <w:footnoteReference w:id="204"/>
      </w:r>
      <w:r w:rsidRPr="003024E5">
        <w:rPr>
          <w:rFonts w:asciiTheme="minorBidi" w:hAnsiTheme="minorBidi"/>
          <w:u w:val="dotted"/>
          <w:rtl/>
        </w:rPr>
        <w:t xml:space="preserve">: </w:t>
      </w:r>
    </w:p>
    <w:p w14:paraId="2280D4B9" w14:textId="77777777" w:rsidR="002C39F4" w:rsidRPr="003024E5" w:rsidRDefault="002C39F4" w:rsidP="002C39F4">
      <w:pPr>
        <w:pStyle w:val="a8"/>
        <w:numPr>
          <w:ilvl w:val="0"/>
          <w:numId w:val="18"/>
        </w:numPr>
        <w:rPr>
          <w:rFonts w:asciiTheme="minorBidi" w:hAnsiTheme="minorBidi"/>
        </w:rPr>
      </w:pPr>
      <w:r w:rsidRPr="003024E5">
        <w:rPr>
          <w:rFonts w:asciiTheme="minorBidi" w:hAnsiTheme="minorBidi"/>
          <w:rtl/>
        </w:rPr>
        <w:t>י"א</w:t>
      </w:r>
      <w:r w:rsidRPr="003024E5">
        <w:rPr>
          <w:rFonts w:asciiTheme="minorBidi" w:hAnsiTheme="minorBidi"/>
          <w:sz w:val="16"/>
          <w:szCs w:val="16"/>
          <w:rtl/>
        </w:rPr>
        <w:t xml:space="preserve"> (סברא א' שהביא הרשב"א</w:t>
      </w:r>
      <w:r w:rsidRPr="003024E5">
        <w:rPr>
          <w:rStyle w:val="a7"/>
          <w:rFonts w:asciiTheme="minorBidi" w:hAnsiTheme="minorBidi"/>
          <w:rtl/>
        </w:rPr>
        <w:footnoteReference w:id="205"/>
      </w:r>
      <w:r w:rsidRPr="003024E5">
        <w:rPr>
          <w:rFonts w:asciiTheme="minorBidi" w:hAnsiTheme="minorBidi"/>
          <w:sz w:val="16"/>
          <w:szCs w:val="16"/>
          <w:rtl/>
        </w:rPr>
        <w:t>)</w:t>
      </w:r>
      <w:r w:rsidRPr="003024E5">
        <w:rPr>
          <w:rFonts w:asciiTheme="minorBidi" w:hAnsiTheme="minorBidi"/>
          <w:rtl/>
        </w:rPr>
        <w:t xml:space="preserve"> רשב"א</w:t>
      </w:r>
      <w:r w:rsidRPr="003024E5">
        <w:rPr>
          <w:rStyle w:val="a7"/>
          <w:rFonts w:asciiTheme="minorBidi" w:hAnsiTheme="minorBidi"/>
          <w:rtl/>
        </w:rPr>
        <w:footnoteReference w:id="206"/>
      </w:r>
      <w:r w:rsidRPr="003024E5">
        <w:rPr>
          <w:rFonts w:asciiTheme="minorBidi" w:hAnsiTheme="minorBidi"/>
          <w:rtl/>
        </w:rPr>
        <w:t xml:space="preserve"> וטור- לכתחילה מותר להשתמש בו בצונן בלא הדחה</w:t>
      </w:r>
      <w:r w:rsidRPr="003024E5">
        <w:rPr>
          <w:rStyle w:val="a7"/>
          <w:rFonts w:asciiTheme="minorBidi" w:hAnsiTheme="minorBidi"/>
          <w:rtl/>
        </w:rPr>
        <w:footnoteReference w:id="207"/>
      </w:r>
      <w:r w:rsidRPr="003024E5">
        <w:rPr>
          <w:rFonts w:asciiTheme="minorBidi" w:hAnsiTheme="minorBidi"/>
          <w:rtl/>
        </w:rPr>
        <w:t xml:space="preserve">. </w:t>
      </w:r>
      <w:r w:rsidRPr="003024E5">
        <w:rPr>
          <w:rFonts w:asciiTheme="minorBidi" w:hAnsiTheme="minorBidi"/>
          <w:color w:val="E36C0A" w:themeColor="accent6" w:themeShade="BF"/>
          <w:rtl/>
        </w:rPr>
        <w:t>(וכ</w:t>
      </w:r>
      <w:r>
        <w:rPr>
          <w:rFonts w:asciiTheme="minorBidi" w:hAnsiTheme="minorBidi" w:hint="cs"/>
          <w:color w:val="E36C0A" w:themeColor="accent6" w:themeShade="BF"/>
          <w:rtl/>
        </w:rPr>
        <w:t>"ס</w:t>
      </w:r>
      <w:r w:rsidRPr="003024E5">
        <w:rPr>
          <w:rFonts w:asciiTheme="minorBidi" w:hAnsiTheme="minorBidi"/>
          <w:color w:val="E36C0A" w:themeColor="accent6" w:themeShade="BF"/>
          <w:rtl/>
        </w:rPr>
        <w:t xml:space="preserve"> בשו"ע)</w:t>
      </w:r>
    </w:p>
    <w:p w14:paraId="436D9134" w14:textId="77777777" w:rsidR="002C39F4" w:rsidRPr="003024E5" w:rsidRDefault="002C39F4" w:rsidP="002C39F4">
      <w:pPr>
        <w:pStyle w:val="a8"/>
        <w:numPr>
          <w:ilvl w:val="0"/>
          <w:numId w:val="18"/>
        </w:numPr>
        <w:rPr>
          <w:rFonts w:asciiTheme="minorBidi" w:hAnsiTheme="minorBidi"/>
        </w:rPr>
      </w:pPr>
      <w:r w:rsidRPr="003024E5">
        <w:rPr>
          <w:rFonts w:asciiTheme="minorBidi" w:hAnsiTheme="minorBidi"/>
          <w:rtl/>
        </w:rPr>
        <w:t>י"א</w:t>
      </w:r>
      <w:r w:rsidRPr="003024E5">
        <w:rPr>
          <w:rFonts w:asciiTheme="minorBidi" w:hAnsiTheme="minorBidi"/>
          <w:sz w:val="16"/>
          <w:szCs w:val="16"/>
          <w:rtl/>
        </w:rPr>
        <w:t xml:space="preserve"> (סברא ב' שהביא הרשב"א)</w:t>
      </w:r>
      <w:r w:rsidRPr="003024E5">
        <w:rPr>
          <w:rFonts w:asciiTheme="minorBidi" w:hAnsiTheme="minorBidi"/>
          <w:rtl/>
        </w:rPr>
        <w:t xml:space="preserve"> ראב"ד ורמב"ן</w:t>
      </w:r>
      <w:r w:rsidRPr="003024E5">
        <w:rPr>
          <w:rStyle w:val="a7"/>
          <w:rFonts w:asciiTheme="minorBidi" w:hAnsiTheme="minorBidi"/>
          <w:rtl/>
        </w:rPr>
        <w:footnoteReference w:id="208"/>
      </w:r>
      <w:r w:rsidRPr="003024E5">
        <w:rPr>
          <w:rFonts w:asciiTheme="minorBidi" w:hAnsiTheme="minorBidi"/>
          <w:rtl/>
        </w:rPr>
        <w:t>- אסור להשתמש בו לכתחילה בלא הדחה</w:t>
      </w:r>
      <w:r w:rsidRPr="003024E5">
        <w:rPr>
          <w:rStyle w:val="a7"/>
          <w:rFonts w:asciiTheme="minorBidi" w:hAnsiTheme="minorBidi"/>
          <w:rtl/>
        </w:rPr>
        <w:footnoteReference w:id="209"/>
      </w:r>
      <w:r w:rsidRPr="003024E5">
        <w:rPr>
          <w:rFonts w:asciiTheme="minorBidi" w:hAnsiTheme="minorBidi"/>
          <w:rtl/>
        </w:rPr>
        <w:t>.</w:t>
      </w:r>
    </w:p>
    <w:p w14:paraId="5D68431E" w14:textId="77777777" w:rsidR="002C39F4" w:rsidRPr="003024E5" w:rsidRDefault="002C39F4" w:rsidP="002C39F4">
      <w:pPr>
        <w:pStyle w:val="a8"/>
        <w:numPr>
          <w:ilvl w:val="0"/>
          <w:numId w:val="18"/>
        </w:numPr>
        <w:rPr>
          <w:rFonts w:asciiTheme="minorBidi" w:hAnsiTheme="minorBidi"/>
          <w:rtl/>
        </w:rPr>
      </w:pPr>
      <w:r w:rsidRPr="003024E5">
        <w:rPr>
          <w:rFonts w:asciiTheme="minorBidi" w:hAnsiTheme="minorBidi"/>
          <w:rtl/>
        </w:rPr>
        <w:t xml:space="preserve">י"א </w:t>
      </w:r>
      <w:r w:rsidRPr="003024E5">
        <w:rPr>
          <w:rFonts w:asciiTheme="minorBidi" w:hAnsiTheme="minorBidi"/>
          <w:sz w:val="16"/>
          <w:szCs w:val="16"/>
          <w:rtl/>
        </w:rPr>
        <w:t>(סברא ג' שהביא הרשב"א)</w:t>
      </w:r>
      <w:r w:rsidRPr="003024E5">
        <w:rPr>
          <w:rFonts w:asciiTheme="minorBidi" w:hAnsiTheme="minorBidi"/>
          <w:rtl/>
        </w:rPr>
        <w:t>- אסור להשתמש בה צונן ואפילו בהדחה לא סגי לה דרותחת היא</w:t>
      </w:r>
      <w:r w:rsidRPr="003024E5">
        <w:rPr>
          <w:rStyle w:val="a7"/>
          <w:rFonts w:asciiTheme="minorBidi" w:hAnsiTheme="minorBidi"/>
          <w:rtl/>
        </w:rPr>
        <w:footnoteReference w:id="210"/>
      </w:r>
      <w:r w:rsidRPr="003024E5">
        <w:rPr>
          <w:rFonts w:asciiTheme="minorBidi" w:hAnsiTheme="minorBidi"/>
          <w:rtl/>
        </w:rPr>
        <w:t>.</w:t>
      </w:r>
    </w:p>
    <w:p w14:paraId="03E3BDD4" w14:textId="77777777" w:rsidR="002C39F4" w:rsidRPr="003024E5" w:rsidRDefault="002C39F4" w:rsidP="002C39F4">
      <w:pPr>
        <w:ind w:left="360"/>
        <w:rPr>
          <w:rFonts w:asciiTheme="minorBidi" w:hAnsiTheme="minorBidi"/>
          <w:u w:val="double"/>
          <w:rtl/>
        </w:rPr>
      </w:pPr>
      <w:r w:rsidRPr="003024E5">
        <w:rPr>
          <w:rFonts w:asciiTheme="minorBidi" w:hAnsiTheme="minorBidi"/>
          <w:u w:val="dotted"/>
          <w:rtl/>
        </w:rPr>
        <w:t>מה הדין למלוח בו שוב:</w:t>
      </w:r>
      <w:r w:rsidRPr="003024E5">
        <w:rPr>
          <w:rFonts w:asciiTheme="minorBidi" w:hAnsiTheme="minorBidi"/>
          <w:sz w:val="16"/>
          <w:szCs w:val="16"/>
          <w:rtl/>
        </w:rPr>
        <w:t xml:space="preserve">    (ב"י ודרכ"מ [אות לד*])</w:t>
      </w:r>
    </w:p>
    <w:p w14:paraId="52F61F05" w14:textId="77777777" w:rsidR="002C39F4" w:rsidRPr="003024E5" w:rsidRDefault="002C39F4" w:rsidP="002C39F4">
      <w:pPr>
        <w:pStyle w:val="a8"/>
        <w:numPr>
          <w:ilvl w:val="0"/>
          <w:numId w:val="18"/>
        </w:numPr>
        <w:rPr>
          <w:rFonts w:asciiTheme="minorBidi" w:hAnsiTheme="minorBidi"/>
          <w:rtl/>
        </w:rPr>
      </w:pPr>
      <w:r w:rsidRPr="003024E5">
        <w:rPr>
          <w:rFonts w:asciiTheme="minorBidi" w:hAnsiTheme="minorBidi"/>
          <w:rtl/>
        </w:rPr>
        <w:t xml:space="preserve">הגשע"ד </w:t>
      </w:r>
      <w:r w:rsidRPr="003024E5">
        <w:rPr>
          <w:rFonts w:asciiTheme="minorBidi" w:hAnsiTheme="minorBidi"/>
          <w:sz w:val="16"/>
          <w:szCs w:val="16"/>
          <w:rtl/>
        </w:rPr>
        <w:t>(סי' טז סק"א)</w:t>
      </w:r>
      <w:r w:rsidRPr="003024E5">
        <w:rPr>
          <w:rFonts w:asciiTheme="minorBidi" w:hAnsiTheme="minorBidi"/>
          <w:rtl/>
        </w:rPr>
        <w:t xml:space="preserve"> ו</w:t>
      </w:r>
      <w:r>
        <w:rPr>
          <w:rFonts w:asciiTheme="minorBidi" w:hAnsiTheme="minorBidi"/>
          <w:rtl/>
        </w:rPr>
        <w:t>או"ה</w:t>
      </w:r>
      <w:r w:rsidRPr="003024E5">
        <w:rPr>
          <w:rFonts w:asciiTheme="minorBidi" w:hAnsiTheme="minorBidi"/>
          <w:sz w:val="16"/>
          <w:szCs w:val="16"/>
          <w:rtl/>
        </w:rPr>
        <w:t xml:space="preserve"> (כלל ג דין ב)</w:t>
      </w:r>
      <w:r w:rsidRPr="003024E5">
        <w:rPr>
          <w:rFonts w:asciiTheme="minorBidi" w:hAnsiTheme="minorBidi"/>
          <w:rtl/>
        </w:rPr>
        <w:t>- מותר למלוח בו בשר ששהה כשיעור מליחה והודח במים כהלכתו, או שינקב הכלי וימלוח בו לכתחלה</w:t>
      </w:r>
      <w:r w:rsidRPr="003024E5">
        <w:rPr>
          <w:rStyle w:val="a7"/>
          <w:rFonts w:asciiTheme="minorBidi" w:hAnsiTheme="minorBidi"/>
          <w:rtl/>
        </w:rPr>
        <w:footnoteReference w:id="211"/>
      </w:r>
      <w:r w:rsidRPr="003024E5">
        <w:rPr>
          <w:rFonts w:asciiTheme="minorBidi" w:hAnsiTheme="minorBidi"/>
          <w:rtl/>
        </w:rPr>
        <w:t>.</w:t>
      </w:r>
      <w:r w:rsidRPr="003024E5">
        <w:rPr>
          <w:rFonts w:asciiTheme="minorBidi" w:hAnsiTheme="minorBidi"/>
          <w:color w:val="00B0F0"/>
          <w:rtl/>
        </w:rPr>
        <w:t xml:space="preserve"> (וכ"פ הרמ"א)</w:t>
      </w:r>
    </w:p>
    <w:p w14:paraId="4710D4B7"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מה הדין אם טעה ונתן ב</w:t>
      </w:r>
      <w:r>
        <w:rPr>
          <w:rFonts w:asciiTheme="minorBidi" w:hAnsiTheme="minorBidi" w:hint="cs"/>
          <w:u w:val="dotted"/>
          <w:rtl/>
        </w:rPr>
        <w:t>ו</w:t>
      </w:r>
      <w:r w:rsidRPr="003024E5">
        <w:rPr>
          <w:rFonts w:asciiTheme="minorBidi" w:hAnsiTheme="minorBidi"/>
          <w:u w:val="dotted"/>
          <w:rtl/>
        </w:rPr>
        <w:t xml:space="preserve"> רותח:</w:t>
      </w:r>
    </w:p>
    <w:p w14:paraId="6BBD3869" w14:textId="77777777" w:rsidR="002C39F4" w:rsidRPr="003024E5" w:rsidRDefault="002C39F4" w:rsidP="002C39F4">
      <w:pPr>
        <w:pStyle w:val="a8"/>
        <w:numPr>
          <w:ilvl w:val="0"/>
          <w:numId w:val="21"/>
        </w:numPr>
        <w:rPr>
          <w:rFonts w:asciiTheme="minorBidi" w:hAnsiTheme="minorBidi"/>
        </w:rPr>
      </w:pPr>
      <w:r w:rsidRPr="003024E5">
        <w:rPr>
          <w:rFonts w:asciiTheme="minorBidi" w:hAnsiTheme="minorBidi"/>
          <w:rtl/>
        </w:rPr>
        <w:t>ראב"ד ורשב"א</w:t>
      </w:r>
      <w:r w:rsidRPr="003024E5">
        <w:rPr>
          <w:rStyle w:val="a7"/>
          <w:rFonts w:asciiTheme="minorBidi" w:hAnsiTheme="minorBidi"/>
          <w:rtl/>
        </w:rPr>
        <w:footnoteReference w:id="212"/>
      </w:r>
      <w:r w:rsidRPr="003024E5">
        <w:rPr>
          <w:rFonts w:asciiTheme="minorBidi" w:hAnsiTheme="minorBidi"/>
          <w:rtl/>
        </w:rPr>
        <w:t>- נתן בה רותח נגוב טעון קליפה, נתן בה רותח לח</w:t>
      </w:r>
      <w:r w:rsidRPr="003024E5">
        <w:rPr>
          <w:rStyle w:val="a7"/>
          <w:rFonts w:asciiTheme="minorBidi" w:hAnsiTheme="minorBidi"/>
          <w:rtl/>
        </w:rPr>
        <w:footnoteReference w:id="213"/>
      </w:r>
      <w:r w:rsidRPr="003024E5">
        <w:rPr>
          <w:rFonts w:asciiTheme="minorBidi" w:hAnsiTheme="minorBidi"/>
          <w:rtl/>
        </w:rPr>
        <w:t xml:space="preserve"> צריך נטילת מקום</w:t>
      </w:r>
      <w:r w:rsidRPr="003024E5">
        <w:rPr>
          <w:rStyle w:val="a7"/>
          <w:rFonts w:asciiTheme="minorBidi" w:hAnsiTheme="minorBidi"/>
          <w:rtl/>
        </w:rPr>
        <w:footnoteReference w:id="214"/>
      </w:r>
      <w:r w:rsidRPr="003024E5">
        <w:rPr>
          <w:rFonts w:asciiTheme="minorBidi" w:hAnsiTheme="minorBidi"/>
          <w:rtl/>
        </w:rPr>
        <w:t xml:space="preserve">. </w:t>
      </w:r>
    </w:p>
    <w:p w14:paraId="5529FC5E" w14:textId="77777777" w:rsidR="002C39F4" w:rsidRPr="003024E5" w:rsidRDefault="002C39F4" w:rsidP="002C39F4">
      <w:pPr>
        <w:pStyle w:val="a8"/>
        <w:numPr>
          <w:ilvl w:val="0"/>
          <w:numId w:val="21"/>
        </w:numPr>
        <w:rPr>
          <w:rFonts w:asciiTheme="minorBidi" w:hAnsiTheme="minorBidi"/>
        </w:rPr>
      </w:pPr>
      <w:r w:rsidRPr="003024E5">
        <w:rPr>
          <w:rFonts w:asciiTheme="minorBidi" w:hAnsiTheme="minorBidi"/>
          <w:rtl/>
        </w:rPr>
        <w:t xml:space="preserve">תוס' </w:t>
      </w:r>
      <w:r w:rsidRPr="003024E5">
        <w:rPr>
          <w:rFonts w:asciiTheme="minorBidi" w:hAnsiTheme="minorBidi"/>
          <w:sz w:val="16"/>
          <w:szCs w:val="16"/>
          <w:rtl/>
        </w:rPr>
        <w:t>(חולין קיג. ד"ה טהור)</w:t>
      </w:r>
      <w:r w:rsidRPr="003024E5">
        <w:rPr>
          <w:rFonts w:asciiTheme="minorBidi" w:hAnsiTheme="minorBidi"/>
          <w:rtl/>
        </w:rPr>
        <w:t>- נתן בה רותח סגי לה בקליפה</w:t>
      </w:r>
      <w:r>
        <w:rPr>
          <w:rFonts w:asciiTheme="minorBidi" w:hAnsiTheme="minorBidi" w:hint="cs"/>
          <w:rtl/>
        </w:rPr>
        <w:t>,</w:t>
      </w:r>
      <w:r w:rsidRPr="003024E5">
        <w:rPr>
          <w:rFonts w:asciiTheme="minorBidi" w:hAnsiTheme="minorBidi"/>
          <w:rtl/>
        </w:rPr>
        <w:t xml:space="preserve"> בין ברותח נגוב בין ברותח לח</w:t>
      </w:r>
      <w:r w:rsidRPr="003024E5">
        <w:rPr>
          <w:rStyle w:val="a7"/>
          <w:rFonts w:asciiTheme="minorBidi" w:hAnsiTheme="minorBidi"/>
          <w:rtl/>
        </w:rPr>
        <w:footnoteReference w:id="215"/>
      </w:r>
      <w:r w:rsidRPr="003024E5">
        <w:rPr>
          <w:rFonts w:asciiTheme="minorBidi" w:hAnsiTheme="minorBidi"/>
          <w:rtl/>
        </w:rPr>
        <w:t>.</w:t>
      </w:r>
      <w:r w:rsidRPr="003024E5">
        <w:rPr>
          <w:rFonts w:asciiTheme="minorBidi" w:hAnsiTheme="minorBidi"/>
          <w:color w:val="00B0F0"/>
          <w:rtl/>
        </w:rPr>
        <w:t xml:space="preserve"> (וכ"פ הרמ"א)</w:t>
      </w:r>
    </w:p>
    <w:p w14:paraId="46C39577" w14:textId="77777777" w:rsidR="002C39F4" w:rsidRPr="00930C9A" w:rsidRDefault="002C39F4" w:rsidP="002C39F4">
      <w:pPr>
        <w:rPr>
          <w:rFonts w:asciiTheme="minorBidi" w:hAnsiTheme="minorBidi"/>
          <w:u w:val="single"/>
        </w:rPr>
      </w:pPr>
      <w:r>
        <w:rPr>
          <w:rFonts w:asciiTheme="minorBidi" w:hAnsiTheme="minorBidi" w:hint="cs"/>
          <w:u w:val="single"/>
          <w:rtl/>
        </w:rPr>
        <w:t>מלח</w:t>
      </w:r>
      <w:r w:rsidRPr="00930C9A">
        <w:rPr>
          <w:rFonts w:asciiTheme="minorBidi" w:hAnsiTheme="minorBidi" w:hint="cs"/>
          <w:u w:val="single"/>
          <w:rtl/>
        </w:rPr>
        <w:t xml:space="preserve"> ב</w:t>
      </w:r>
      <w:r w:rsidRPr="00930C9A">
        <w:rPr>
          <w:rFonts w:asciiTheme="minorBidi" w:hAnsiTheme="minorBidi"/>
          <w:u w:val="single"/>
          <w:rtl/>
        </w:rPr>
        <w:t>כלי</w:t>
      </w:r>
      <w:r w:rsidRPr="00930C9A">
        <w:rPr>
          <w:rFonts w:asciiTheme="minorBidi" w:hAnsiTheme="minorBidi"/>
          <w:b/>
          <w:bCs/>
          <w:u w:val="single"/>
          <w:rtl/>
        </w:rPr>
        <w:t xml:space="preserve"> חרס</w:t>
      </w:r>
      <w:r w:rsidRPr="00930C9A">
        <w:rPr>
          <w:rFonts w:asciiTheme="minorBidi" w:hAnsiTheme="minorBidi"/>
          <w:u w:val="single"/>
          <w:rtl/>
        </w:rPr>
        <w:t xml:space="preserve"> </w:t>
      </w:r>
      <w:r w:rsidRPr="00930C9A">
        <w:rPr>
          <w:rFonts w:asciiTheme="minorBidi" w:hAnsiTheme="minorBidi"/>
          <w:b/>
          <w:bCs/>
          <w:u w:val="single"/>
          <w:rtl/>
        </w:rPr>
        <w:t>שאינו</w:t>
      </w:r>
      <w:r w:rsidRPr="003024E5">
        <w:rPr>
          <w:rFonts w:asciiTheme="minorBidi" w:hAnsiTheme="minorBidi"/>
          <w:u w:val="single"/>
          <w:rtl/>
        </w:rPr>
        <w:t xml:space="preserve"> מנוקב:</w:t>
      </w:r>
    </w:p>
    <w:p w14:paraId="5849BE9C" w14:textId="77777777" w:rsidR="002C39F4" w:rsidRPr="007A657F" w:rsidRDefault="002C39F4" w:rsidP="002C39F4">
      <w:pPr>
        <w:pStyle w:val="a8"/>
        <w:numPr>
          <w:ilvl w:val="0"/>
          <w:numId w:val="20"/>
        </w:numPr>
        <w:rPr>
          <w:rFonts w:asciiTheme="minorBidi" w:hAnsiTheme="minorBidi"/>
        </w:rPr>
      </w:pPr>
      <w:r w:rsidRPr="003024E5">
        <w:rPr>
          <w:rFonts w:asciiTheme="minorBidi" w:hAnsiTheme="minorBidi"/>
          <w:rtl/>
        </w:rPr>
        <w:t>רי"ף רמב"ן</w:t>
      </w:r>
      <w:r w:rsidRPr="007A657F">
        <w:rPr>
          <w:rFonts w:asciiTheme="minorBidi" w:hAnsiTheme="minorBidi"/>
          <w:rtl/>
        </w:rPr>
        <w:t xml:space="preserve"> </w:t>
      </w:r>
      <w:r w:rsidRPr="003024E5">
        <w:rPr>
          <w:rFonts w:asciiTheme="minorBidi" w:hAnsiTheme="minorBidi"/>
          <w:rtl/>
        </w:rPr>
        <w:t>הה"</w:t>
      </w:r>
      <w:r>
        <w:rPr>
          <w:rFonts w:asciiTheme="minorBidi" w:hAnsiTheme="minorBidi" w:hint="cs"/>
          <w:rtl/>
        </w:rPr>
        <w:t>מ ו</w:t>
      </w:r>
      <w:r w:rsidRPr="003024E5">
        <w:rPr>
          <w:rFonts w:asciiTheme="minorBidi" w:hAnsiTheme="minorBidi"/>
          <w:rtl/>
        </w:rPr>
        <w:t>ר"ן</w:t>
      </w:r>
      <w:r w:rsidRPr="003024E5">
        <w:rPr>
          <w:rStyle w:val="a7"/>
          <w:rFonts w:asciiTheme="minorBidi" w:hAnsiTheme="minorBidi"/>
          <w:rtl/>
        </w:rPr>
        <w:footnoteReference w:id="216"/>
      </w:r>
      <w:r>
        <w:rPr>
          <w:rFonts w:asciiTheme="minorBidi" w:hAnsiTheme="minorBidi" w:hint="cs"/>
          <w:rtl/>
        </w:rPr>
        <w:t>-</w:t>
      </w:r>
      <w:r w:rsidRPr="003024E5">
        <w:rPr>
          <w:rFonts w:asciiTheme="minorBidi" w:hAnsiTheme="minorBidi"/>
          <w:rtl/>
        </w:rPr>
        <w:t xml:space="preserve"> אסור להשתמש בו אפילו בצונן, דכלי חרס שנבלע ע"י רותח אין לו תקנה</w:t>
      </w:r>
      <w:r>
        <w:rPr>
          <w:rFonts w:asciiTheme="minorBidi" w:hAnsiTheme="minorBidi" w:hint="cs"/>
          <w:sz w:val="16"/>
          <w:szCs w:val="16"/>
          <w:rtl/>
        </w:rPr>
        <w:t xml:space="preserve"> (רמב"ן)</w:t>
      </w:r>
      <w:r w:rsidRPr="003024E5">
        <w:rPr>
          <w:rFonts w:asciiTheme="minorBidi" w:hAnsiTheme="minorBidi"/>
          <w:rtl/>
        </w:rPr>
        <w:t xml:space="preserve">. </w:t>
      </w:r>
      <w:r>
        <w:rPr>
          <w:rFonts w:asciiTheme="minorBidi" w:hAnsiTheme="minorBidi" w:hint="cs"/>
          <w:rtl/>
        </w:rPr>
        <w:t>ועוד יש ל</w:t>
      </w:r>
      <w:r w:rsidRPr="007A657F">
        <w:rPr>
          <w:rFonts w:asciiTheme="minorBidi" w:hAnsiTheme="minorBidi"/>
          <w:rtl/>
        </w:rPr>
        <w:t>אסור להשתמש בו צונן שמא יבוא להשתמש בו חמין</w:t>
      </w:r>
      <w:r w:rsidRPr="003024E5">
        <w:rPr>
          <w:rStyle w:val="a7"/>
          <w:rFonts w:asciiTheme="minorBidi" w:hAnsiTheme="minorBidi"/>
          <w:rtl/>
        </w:rPr>
        <w:footnoteReference w:id="217"/>
      </w:r>
      <w:r w:rsidRPr="007A657F">
        <w:rPr>
          <w:rFonts w:asciiTheme="minorBidi" w:hAnsiTheme="minorBidi"/>
          <w:rtl/>
        </w:rPr>
        <w:t>.</w:t>
      </w:r>
    </w:p>
    <w:p w14:paraId="20225259" w14:textId="77777777" w:rsidR="002C39F4" w:rsidRPr="003024E5" w:rsidRDefault="002C39F4" w:rsidP="002C39F4">
      <w:pPr>
        <w:pStyle w:val="a8"/>
        <w:numPr>
          <w:ilvl w:val="0"/>
          <w:numId w:val="20"/>
        </w:numPr>
        <w:rPr>
          <w:rFonts w:asciiTheme="minorBidi" w:hAnsiTheme="minorBidi"/>
        </w:rPr>
      </w:pPr>
      <w:r w:rsidRPr="003024E5">
        <w:rPr>
          <w:rFonts w:asciiTheme="minorBidi" w:hAnsiTheme="minorBidi"/>
          <w:rtl/>
        </w:rPr>
        <w:t xml:space="preserve">רמב"ם </w:t>
      </w:r>
      <w:r w:rsidRPr="003024E5">
        <w:rPr>
          <w:rFonts w:asciiTheme="minorBidi" w:hAnsiTheme="minorBidi"/>
          <w:sz w:val="16"/>
          <w:szCs w:val="16"/>
          <w:rtl/>
        </w:rPr>
        <w:t>(מאכ"א פ"ו הכ"א)</w:t>
      </w:r>
      <w:r w:rsidRPr="003024E5">
        <w:rPr>
          <w:rFonts w:asciiTheme="minorBidi" w:hAnsiTheme="minorBidi"/>
          <w:rtl/>
        </w:rPr>
        <w:t>- קערה שמלח בה בשר אפילו היתה שועה באבר אסור לאכול בה רותח לעולם שכבר נבלע הדם בחרסיה</w:t>
      </w:r>
      <w:r w:rsidRPr="003024E5">
        <w:rPr>
          <w:rStyle w:val="a7"/>
          <w:rFonts w:asciiTheme="minorBidi" w:hAnsiTheme="minorBidi"/>
          <w:rtl/>
        </w:rPr>
        <w:footnoteReference w:id="218"/>
      </w:r>
      <w:r w:rsidRPr="003024E5">
        <w:rPr>
          <w:rFonts w:asciiTheme="minorBidi" w:hAnsiTheme="minorBidi"/>
          <w:rtl/>
        </w:rPr>
        <w:t>.</w:t>
      </w:r>
    </w:p>
    <w:p w14:paraId="5FBDD47B" w14:textId="77777777" w:rsidR="002C39F4" w:rsidRPr="00B27F72" w:rsidRDefault="002C39F4" w:rsidP="002C39F4">
      <w:pPr>
        <w:rPr>
          <w:rFonts w:asciiTheme="minorBidi" w:hAnsiTheme="minorBidi"/>
          <w:color w:val="000000" w:themeColor="text1"/>
          <w:u w:val="single"/>
          <w:rtl/>
        </w:rPr>
      </w:pPr>
      <w:r w:rsidRPr="00B27F72">
        <w:rPr>
          <w:rFonts w:asciiTheme="minorBidi" w:hAnsiTheme="minorBidi"/>
          <w:color w:val="000000" w:themeColor="text1"/>
          <w:u w:val="single"/>
          <w:rtl/>
        </w:rPr>
        <w:t>ציר שנטף ע"ג כלי:</w:t>
      </w:r>
    </w:p>
    <w:p w14:paraId="108D5CB6" w14:textId="77777777" w:rsidR="002C39F4" w:rsidRPr="00B27F72" w:rsidRDefault="002C39F4" w:rsidP="002C39F4">
      <w:pPr>
        <w:pStyle w:val="a8"/>
        <w:numPr>
          <w:ilvl w:val="0"/>
          <w:numId w:val="20"/>
        </w:numPr>
        <w:rPr>
          <w:rFonts w:asciiTheme="minorBidi" w:hAnsiTheme="minorBidi"/>
          <w:color w:val="000000" w:themeColor="text1"/>
          <w:rtl/>
        </w:rPr>
      </w:pPr>
      <w:r w:rsidRPr="00B27F72">
        <w:rPr>
          <w:rFonts w:asciiTheme="minorBidi" w:hAnsiTheme="minorBidi"/>
          <w:color w:val="000000" w:themeColor="text1"/>
          <w:rtl/>
        </w:rPr>
        <w:t>הגשע"ד</w:t>
      </w:r>
      <w:r w:rsidRPr="00B27F72">
        <w:rPr>
          <w:rFonts w:asciiTheme="minorBidi" w:hAnsiTheme="minorBidi"/>
          <w:color w:val="000000" w:themeColor="text1"/>
          <w:sz w:val="16"/>
          <w:szCs w:val="16"/>
          <w:rtl/>
        </w:rPr>
        <w:t xml:space="preserve"> (סי' יג סק"א)</w:t>
      </w:r>
      <w:r w:rsidRPr="00B27F72">
        <w:rPr>
          <w:rFonts w:asciiTheme="minorBidi" w:hAnsiTheme="minorBidi"/>
          <w:color w:val="000000" w:themeColor="text1"/>
          <w:rtl/>
        </w:rPr>
        <w:t>- אין אותו כלי אסור אלא כדי קליפה כדין חם לתוך צונן</w:t>
      </w:r>
      <w:r>
        <w:rPr>
          <w:rFonts w:asciiTheme="minorBidi" w:hAnsiTheme="minorBidi" w:hint="cs"/>
          <w:color w:val="000000" w:themeColor="text1"/>
          <w:rtl/>
        </w:rPr>
        <w:t>,</w:t>
      </w:r>
      <w:r w:rsidRPr="00B27F72">
        <w:rPr>
          <w:rFonts w:asciiTheme="minorBidi" w:hAnsiTheme="minorBidi"/>
          <w:color w:val="000000" w:themeColor="text1"/>
          <w:rtl/>
        </w:rPr>
        <w:t xml:space="preserve"> ומ</w:t>
      </w:r>
      <w:r>
        <w:rPr>
          <w:rFonts w:asciiTheme="minorBidi" w:hAnsiTheme="minorBidi" w:hint="cs"/>
          <w:color w:val="000000" w:themeColor="text1"/>
          <w:rtl/>
        </w:rPr>
        <w:t>"</w:t>
      </w:r>
      <w:r w:rsidRPr="00B27F72">
        <w:rPr>
          <w:rFonts w:asciiTheme="minorBidi" w:hAnsiTheme="minorBidi"/>
          <w:color w:val="000000" w:themeColor="text1"/>
          <w:rtl/>
        </w:rPr>
        <w:t>מ נראה לי דצריך הגעלה בכלי ראשון ולא סגי בעירוי משום דכל עירוי נידון ככלי שני אבל ציר הנוטף לתוך הכלי עדיין שם ברתיחתו.</w:t>
      </w:r>
    </w:p>
    <w:p w14:paraId="1A2A666B" w14:textId="77777777" w:rsidR="002C39F4" w:rsidRPr="003024E5" w:rsidRDefault="002C39F4" w:rsidP="002C39F4">
      <w:pPr>
        <w:rPr>
          <w:rFonts w:asciiTheme="minorBidi" w:hAnsiTheme="minorBidi"/>
          <w:sz w:val="16"/>
          <w:szCs w:val="16"/>
        </w:rPr>
      </w:pPr>
      <w:r w:rsidRPr="003024E5">
        <w:rPr>
          <w:rFonts w:asciiTheme="minorBidi" w:hAnsiTheme="minorBidi"/>
          <w:u w:val="single"/>
          <w:rtl/>
        </w:rPr>
        <w:t>מליחה ע"ג קרקע:</w:t>
      </w:r>
      <w:r w:rsidRPr="003024E5">
        <w:rPr>
          <w:rFonts w:asciiTheme="minorBidi" w:hAnsiTheme="minorBidi"/>
          <w:sz w:val="16"/>
          <w:szCs w:val="16"/>
          <w:rtl/>
        </w:rPr>
        <w:t xml:space="preserve">   (דרכ"מ [אות לד]) </w:t>
      </w:r>
    </w:p>
    <w:p w14:paraId="67A7E877" w14:textId="77777777" w:rsidR="002C39F4" w:rsidRPr="003024E5" w:rsidRDefault="002C39F4" w:rsidP="002C39F4">
      <w:pPr>
        <w:pStyle w:val="a8"/>
        <w:numPr>
          <w:ilvl w:val="0"/>
          <w:numId w:val="20"/>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ו דין ח)</w:t>
      </w:r>
      <w:r w:rsidRPr="003024E5">
        <w:rPr>
          <w:rFonts w:asciiTheme="minorBidi" w:hAnsiTheme="minorBidi"/>
          <w:rtl/>
        </w:rPr>
        <w:t xml:space="preserve">- ר"י מפרי"ש נסתפק אי הוה קרקע ככלי מנוקב או לא ומאחר שנסתפק ראוי להחמיר. </w:t>
      </w:r>
    </w:p>
    <w:p w14:paraId="2F8E1604" w14:textId="77777777" w:rsidR="002C39F4" w:rsidRPr="003024E5" w:rsidRDefault="002C39F4" w:rsidP="002C39F4">
      <w:pPr>
        <w:rPr>
          <w:rFonts w:asciiTheme="minorBidi" w:hAnsiTheme="minorBidi"/>
          <w:sz w:val="16"/>
          <w:szCs w:val="16"/>
          <w:rtl/>
        </w:rPr>
      </w:pPr>
      <w:r w:rsidRPr="003024E5">
        <w:rPr>
          <w:rFonts w:asciiTheme="minorBidi" w:hAnsiTheme="minorBidi"/>
          <w:u w:val="single"/>
          <w:rtl/>
        </w:rPr>
        <w:t>חומרות ומנהגים במליחה:</w:t>
      </w:r>
      <w:r w:rsidRPr="003024E5">
        <w:rPr>
          <w:rFonts w:asciiTheme="minorBidi" w:hAnsiTheme="minorBidi"/>
          <w:sz w:val="16"/>
          <w:szCs w:val="16"/>
          <w:rtl/>
        </w:rPr>
        <w:t xml:space="preserve">  (דרכ"מ [אות לד]) </w:t>
      </w:r>
    </w:p>
    <w:p w14:paraId="78EF69CC" w14:textId="77777777" w:rsidR="002C39F4" w:rsidRPr="003024E5" w:rsidRDefault="002C39F4" w:rsidP="002C39F4">
      <w:pPr>
        <w:pStyle w:val="a8"/>
        <w:numPr>
          <w:ilvl w:val="0"/>
          <w:numId w:val="19"/>
        </w:numPr>
        <w:rPr>
          <w:rFonts w:asciiTheme="minorBidi" w:hAnsiTheme="minorBidi"/>
        </w:rPr>
      </w:pPr>
      <w:r>
        <w:rPr>
          <w:rFonts w:asciiTheme="minorBidi" w:hAnsiTheme="minorBidi"/>
          <w:rtl/>
        </w:rPr>
        <w:t>הג"א</w:t>
      </w:r>
      <w:r w:rsidRPr="003024E5">
        <w:rPr>
          <w:rFonts w:asciiTheme="minorBidi" w:hAnsiTheme="minorBidi"/>
          <w:rtl/>
        </w:rPr>
        <w:t xml:space="preserve"> </w:t>
      </w:r>
      <w:r w:rsidRPr="003024E5">
        <w:rPr>
          <w:rFonts w:asciiTheme="minorBidi" w:hAnsiTheme="minorBidi"/>
          <w:sz w:val="16"/>
          <w:szCs w:val="16"/>
          <w:rtl/>
        </w:rPr>
        <w:t xml:space="preserve">(פכ"ה סי' מט) </w:t>
      </w:r>
      <w:r w:rsidRPr="003024E5">
        <w:rPr>
          <w:rFonts w:asciiTheme="minorBidi" w:hAnsiTheme="minorBidi"/>
          <w:rtl/>
        </w:rPr>
        <w:t>ו</w:t>
      </w: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א דין יא)</w:t>
      </w:r>
      <w:r w:rsidRPr="003024E5">
        <w:rPr>
          <w:rFonts w:asciiTheme="minorBidi" w:hAnsiTheme="minorBidi"/>
          <w:rtl/>
        </w:rPr>
        <w:t>- אף בכלי מנוקב יש ליתן קש וקסמין בשולי הכלי כדי שיהא מפסיק שלא יגע הציר בבשר וכדי שלא יסתום הבשר הנקבים והוי ככלי שאינו מנוקב</w:t>
      </w:r>
      <w:r w:rsidRPr="003024E5">
        <w:rPr>
          <w:rStyle w:val="a7"/>
          <w:rFonts w:asciiTheme="minorBidi" w:hAnsiTheme="minorBidi"/>
          <w:rtl/>
        </w:rPr>
        <w:footnoteReference w:id="219"/>
      </w:r>
      <w:r w:rsidRPr="003024E5">
        <w:rPr>
          <w:rFonts w:asciiTheme="minorBidi" w:hAnsiTheme="minorBidi"/>
          <w:rtl/>
        </w:rPr>
        <w:t xml:space="preserve">. </w:t>
      </w:r>
    </w:p>
    <w:p w14:paraId="13BAA8DB" w14:textId="77777777" w:rsidR="002C39F4" w:rsidRPr="003024E5" w:rsidRDefault="002C39F4" w:rsidP="002C39F4">
      <w:pPr>
        <w:pStyle w:val="a8"/>
        <w:numPr>
          <w:ilvl w:val="0"/>
          <w:numId w:val="19"/>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ג דין ה)</w:t>
      </w:r>
      <w:r w:rsidRPr="003024E5">
        <w:rPr>
          <w:rFonts w:asciiTheme="minorBidi" w:hAnsiTheme="minorBidi"/>
          <w:rtl/>
        </w:rPr>
        <w:t>- כשמולח בסל צריך לראות שלא יהו הנקבים סתומים מציר שמלח בו כבר בשר.</w:t>
      </w:r>
    </w:p>
    <w:p w14:paraId="7AEC82D7" w14:textId="77777777" w:rsidR="002C39F4" w:rsidRPr="003024E5" w:rsidRDefault="002C39F4" w:rsidP="002C39F4">
      <w:pPr>
        <w:pStyle w:val="a8"/>
        <w:numPr>
          <w:ilvl w:val="0"/>
          <w:numId w:val="19"/>
        </w:numPr>
        <w:rPr>
          <w:rFonts w:asciiTheme="minorBidi" w:hAnsiTheme="minorBidi"/>
        </w:rPr>
      </w:pPr>
      <w:r w:rsidRPr="003024E5">
        <w:rPr>
          <w:rFonts w:asciiTheme="minorBidi" w:hAnsiTheme="minorBidi"/>
          <w:rtl/>
        </w:rPr>
        <w:t xml:space="preserve">הגשע"ד </w:t>
      </w:r>
      <w:r w:rsidRPr="003024E5">
        <w:rPr>
          <w:rFonts w:asciiTheme="minorBidi" w:hAnsiTheme="minorBidi"/>
          <w:sz w:val="16"/>
          <w:szCs w:val="16"/>
          <w:rtl/>
        </w:rPr>
        <w:t xml:space="preserve">(סי' יא סק"א) </w:t>
      </w:r>
      <w:r w:rsidRPr="003024E5">
        <w:rPr>
          <w:rFonts w:asciiTheme="minorBidi" w:hAnsiTheme="minorBidi"/>
          <w:rtl/>
        </w:rPr>
        <w:t>בשם מהר"י טרושין- מנהג כשר למלוח על דף המיוחד לכך.</w:t>
      </w:r>
    </w:p>
    <w:p w14:paraId="5E647587" w14:textId="77777777" w:rsidR="002C39F4" w:rsidRPr="003024E5" w:rsidRDefault="002C39F4" w:rsidP="002C39F4">
      <w:pPr>
        <w:pStyle w:val="a8"/>
        <w:numPr>
          <w:ilvl w:val="1"/>
          <w:numId w:val="19"/>
        </w:numPr>
        <w:rPr>
          <w:rFonts w:asciiTheme="minorBidi" w:hAnsiTheme="minorBidi"/>
        </w:rPr>
      </w:pPr>
      <w:r w:rsidRPr="003024E5">
        <w:rPr>
          <w:rFonts w:asciiTheme="minorBidi" w:hAnsiTheme="minorBidi"/>
          <w:rtl/>
        </w:rPr>
        <w:t xml:space="preserve">דרכ"מ- </w:t>
      </w:r>
      <w:r>
        <w:rPr>
          <w:rFonts w:asciiTheme="minorBidi" w:hAnsiTheme="minorBidi" w:hint="cs"/>
          <w:rtl/>
        </w:rPr>
        <w:t>ו</w:t>
      </w:r>
      <w:r w:rsidRPr="003024E5">
        <w:rPr>
          <w:rFonts w:asciiTheme="minorBidi" w:hAnsiTheme="minorBidi"/>
          <w:rtl/>
        </w:rPr>
        <w:t xml:space="preserve">נ"ל דכל זה לכתחלה הואיל והכלי מנוקב אין לאסרו בדיעבד דהא רוב הפוסקים לא הזכירו חומרות אלו. </w:t>
      </w:r>
    </w:p>
    <w:p w14:paraId="4EFDACF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4E128F0" w14:textId="77777777" w:rsidR="002C39F4" w:rsidRPr="00501CC6" w:rsidRDefault="002C39F4" w:rsidP="002C39F4">
      <w:pPr>
        <w:rPr>
          <w:rFonts w:asciiTheme="minorBidi" w:hAnsiTheme="minorBidi"/>
          <w:sz w:val="18"/>
          <w:szCs w:val="18"/>
          <w:rtl/>
        </w:rPr>
      </w:pPr>
      <w:r w:rsidRPr="003024E5">
        <w:rPr>
          <w:rFonts w:asciiTheme="minorBidi" w:hAnsiTheme="minorBidi"/>
          <w:rtl/>
        </w:rPr>
        <w:t>אין מולחין אלא בכלי מנוקב או על גבי קשין וקסמין או במקום מדרון בענין שאם ישפך שם מים יצאו מיד.</w:t>
      </w:r>
      <w:r w:rsidRPr="003024E5">
        <w:rPr>
          <w:rFonts w:asciiTheme="minorBidi" w:hAnsiTheme="minorBidi"/>
          <w:sz w:val="18"/>
          <w:szCs w:val="18"/>
          <w:rtl/>
        </w:rPr>
        <w:t xml:space="preserve"> הגה: ודף חלק ברהטני שמים זבין ממנו אין צריך להניחו במדרון, אבל אם אינו חלק ברהיטני צריך להניחו במדרון שיצאו המים ממנו (שערים ש"ו ובב"י בשם ת</w:t>
      </w:r>
      <w:r>
        <w:rPr>
          <w:rFonts w:asciiTheme="minorBidi" w:hAnsiTheme="minorBidi" w:hint="cs"/>
          <w:sz w:val="18"/>
          <w:szCs w:val="18"/>
          <w:rtl/>
        </w:rPr>
        <w:t>רו</w:t>
      </w:r>
      <w:r w:rsidRPr="003024E5">
        <w:rPr>
          <w:rFonts w:asciiTheme="minorBidi" w:hAnsiTheme="minorBidi"/>
          <w:sz w:val="18"/>
          <w:szCs w:val="18"/>
          <w:rtl/>
        </w:rPr>
        <w:t>ה</w:t>
      </w:r>
      <w:r>
        <w:rPr>
          <w:rFonts w:asciiTheme="minorBidi" w:hAnsiTheme="minorBidi" w:hint="cs"/>
          <w:sz w:val="18"/>
          <w:szCs w:val="18"/>
          <w:rtl/>
        </w:rPr>
        <w:t>"ד</w:t>
      </w:r>
      <w:r w:rsidRPr="003024E5">
        <w:rPr>
          <w:rFonts w:asciiTheme="minorBidi" w:hAnsiTheme="minorBidi"/>
          <w:sz w:val="18"/>
          <w:szCs w:val="18"/>
          <w:rtl/>
        </w:rPr>
        <w:t xml:space="preserve"> סי' קעג). בכלי מנוקב יזהר לכתחלה שיהיו הנקבים פתוחים (בארוך כלל ג'), ולכן לא יעמידו על גבי קרקע כי הוא ככלי שאינו מנוקב (ע"ל ס"ס ע). וכן מחמירין קצת לשום תוך הכלי מנוקב קש או קסמין כי הבשר יסתום הנקבים (</w:t>
      </w:r>
      <w:r>
        <w:rPr>
          <w:rFonts w:asciiTheme="minorBidi" w:hAnsiTheme="minorBidi"/>
          <w:sz w:val="18"/>
          <w:szCs w:val="18"/>
          <w:rtl/>
        </w:rPr>
        <w:t>הג"א</w:t>
      </w:r>
      <w:r w:rsidRPr="003024E5">
        <w:rPr>
          <w:rFonts w:asciiTheme="minorBidi" w:hAnsiTheme="minorBidi"/>
          <w:sz w:val="18"/>
          <w:szCs w:val="18"/>
          <w:rtl/>
        </w:rPr>
        <w:t xml:space="preserve"> פכ"ה ובארוך כלל א'), ובדיעבד אין לחוש לכל זה. </w:t>
      </w:r>
      <w:r w:rsidRPr="003024E5">
        <w:rPr>
          <w:rFonts w:asciiTheme="minorBidi" w:hAnsiTheme="minorBidi"/>
          <w:rtl/>
        </w:rPr>
        <w:t>ואם מלח בכלי שאינו מנוקב אסור להשתמש באותו כלי בדבר רותח</w:t>
      </w:r>
      <w:r w:rsidRPr="003024E5">
        <w:rPr>
          <w:rStyle w:val="a7"/>
          <w:rFonts w:asciiTheme="minorBidi" w:hAnsiTheme="minorBidi"/>
          <w:rtl/>
        </w:rPr>
        <w:footnoteReference w:id="220"/>
      </w:r>
      <w:r w:rsidRPr="003024E5">
        <w:rPr>
          <w:rFonts w:asciiTheme="minorBidi" w:hAnsiTheme="minorBidi"/>
          <w:rtl/>
        </w:rPr>
        <w:t xml:space="preserve">. </w:t>
      </w:r>
      <w:r w:rsidRPr="003024E5">
        <w:rPr>
          <w:rFonts w:asciiTheme="minorBidi" w:hAnsiTheme="minorBidi"/>
          <w:sz w:val="18"/>
          <w:szCs w:val="18"/>
          <w:rtl/>
        </w:rPr>
        <w:t>הגה</w:t>
      </w:r>
      <w:r w:rsidRPr="003024E5">
        <w:rPr>
          <w:rStyle w:val="a7"/>
          <w:rFonts w:asciiTheme="minorBidi" w:hAnsiTheme="minorBidi"/>
          <w:sz w:val="18"/>
          <w:szCs w:val="18"/>
          <w:rtl/>
        </w:rPr>
        <w:footnoteReference w:id="221"/>
      </w:r>
      <w:r w:rsidRPr="003024E5">
        <w:rPr>
          <w:rFonts w:asciiTheme="minorBidi" w:hAnsiTheme="minorBidi"/>
          <w:sz w:val="18"/>
          <w:szCs w:val="18"/>
          <w:rtl/>
        </w:rPr>
        <w:t>: ואם נשתמש בו בעי קליפה אם הוא דבר יבש (רשב"א), ואם הוא דבר לח בעינן ששים נגד קליפה מן הקערה</w:t>
      </w:r>
      <w:r w:rsidRPr="003024E5">
        <w:rPr>
          <w:rStyle w:val="a7"/>
          <w:rFonts w:asciiTheme="minorBidi" w:hAnsiTheme="minorBidi"/>
          <w:sz w:val="18"/>
          <w:szCs w:val="18"/>
          <w:rtl/>
        </w:rPr>
        <w:footnoteReference w:id="222"/>
      </w:r>
      <w:r w:rsidRPr="003024E5">
        <w:rPr>
          <w:rFonts w:asciiTheme="minorBidi" w:hAnsiTheme="minorBidi"/>
          <w:sz w:val="18"/>
          <w:szCs w:val="18"/>
          <w:rtl/>
        </w:rPr>
        <w:t xml:space="preserve"> (ב"י בשם י"א).</w:t>
      </w:r>
      <w:r w:rsidRPr="003024E5">
        <w:rPr>
          <w:rFonts w:asciiTheme="minorBidi" w:hAnsiTheme="minorBidi"/>
          <w:rtl/>
        </w:rPr>
        <w:t xml:space="preserve"> ויש אומרים שאפילו בצונן אסור להשתמש בו בלא הדחה ואם נשתמש בו בלא הדחה ידיח מה שנשתמש בו. </w:t>
      </w:r>
      <w:r w:rsidRPr="003024E5">
        <w:rPr>
          <w:rFonts w:asciiTheme="minorBidi" w:hAnsiTheme="minorBidi"/>
          <w:sz w:val="18"/>
          <w:szCs w:val="18"/>
          <w:rtl/>
        </w:rPr>
        <w:t>הגה: אבל מותר לחזור ולמלוח בה בשר לאחר שניקבוה</w:t>
      </w:r>
      <w:r w:rsidRPr="003024E5">
        <w:rPr>
          <w:rStyle w:val="a7"/>
          <w:rFonts w:asciiTheme="minorBidi" w:hAnsiTheme="minorBidi"/>
          <w:sz w:val="18"/>
          <w:szCs w:val="18"/>
          <w:rtl/>
        </w:rPr>
        <w:footnoteReference w:id="223"/>
      </w:r>
      <w:r w:rsidRPr="003024E5">
        <w:rPr>
          <w:rFonts w:asciiTheme="minorBidi" w:hAnsiTheme="minorBidi"/>
          <w:sz w:val="18"/>
          <w:szCs w:val="18"/>
          <w:rtl/>
        </w:rPr>
        <w:t>, או אפילו בלא נקיבה אם הבשר שהה כבר במליחתו והודח</w:t>
      </w:r>
      <w:r w:rsidRPr="003024E5">
        <w:rPr>
          <w:rStyle w:val="a7"/>
          <w:rFonts w:asciiTheme="minorBidi" w:hAnsiTheme="minorBidi"/>
          <w:sz w:val="18"/>
          <w:szCs w:val="18"/>
          <w:rtl/>
        </w:rPr>
        <w:footnoteReference w:id="224"/>
      </w:r>
      <w:r w:rsidRPr="003024E5">
        <w:rPr>
          <w:rFonts w:asciiTheme="minorBidi" w:hAnsiTheme="minorBidi"/>
          <w:sz w:val="18"/>
          <w:szCs w:val="18"/>
          <w:rtl/>
        </w:rPr>
        <w:t xml:space="preserve"> (ב"י בשם הגשע"ד וארוך).</w:t>
      </w:r>
    </w:p>
    <w:p w14:paraId="7CEC7BA4" w14:textId="77777777" w:rsidR="002C39F4" w:rsidRPr="003024E5" w:rsidRDefault="002C39F4" w:rsidP="002C39F4">
      <w:pPr>
        <w:rPr>
          <w:rFonts w:asciiTheme="minorBidi" w:hAnsiTheme="minorBidi"/>
          <w:rtl/>
        </w:rPr>
      </w:pPr>
    </w:p>
    <w:p w14:paraId="1750378B" w14:textId="77777777" w:rsidR="002C39F4" w:rsidRPr="003024E5" w:rsidRDefault="002C39F4" w:rsidP="002C39F4">
      <w:pPr>
        <w:pStyle w:val="2"/>
        <w:rPr>
          <w:rFonts w:asciiTheme="minorBidi" w:hAnsiTheme="minorBidi"/>
          <w:rtl/>
        </w:rPr>
      </w:pPr>
      <w:r w:rsidRPr="003024E5">
        <w:rPr>
          <w:rFonts w:asciiTheme="minorBidi" w:hAnsiTheme="minorBidi"/>
          <w:rtl/>
        </w:rPr>
        <w:t>סעיף יז: שימוש בכלי מנוקב שמלחו עליו.</w:t>
      </w:r>
    </w:p>
    <w:p w14:paraId="7B6F97CC" w14:textId="77777777" w:rsidR="002C39F4" w:rsidRPr="003024E5" w:rsidRDefault="002C39F4" w:rsidP="002C39F4">
      <w:pPr>
        <w:rPr>
          <w:rFonts w:asciiTheme="minorBidi" w:hAnsiTheme="minorBidi"/>
          <w:rtl/>
        </w:rPr>
      </w:pPr>
      <w:r w:rsidRPr="003024E5">
        <w:rPr>
          <w:rFonts w:asciiTheme="minorBidi" w:hAnsiTheme="minorBidi"/>
          <w:b/>
          <w:bCs/>
          <w:rtl/>
        </w:rPr>
        <w:t>חולין קיא ע"ב:</w:t>
      </w:r>
      <w:r w:rsidRPr="003024E5">
        <w:rPr>
          <w:rFonts w:asciiTheme="minorBidi" w:hAnsiTheme="minorBidi"/>
          <w:rtl/>
        </w:rPr>
        <w:t xml:space="preserve"> </w:t>
      </w:r>
      <w:r w:rsidRPr="003024E5">
        <w:rPr>
          <w:rFonts w:asciiTheme="minorBidi" w:hAnsiTheme="minorBidi"/>
          <w:u w:val="single"/>
          <w:rtl/>
        </w:rPr>
        <w:t>אמר רב יהודה אמר שמואל</w:t>
      </w:r>
      <w:r w:rsidRPr="003024E5">
        <w:rPr>
          <w:rFonts w:asciiTheme="minorBidi" w:hAnsiTheme="minorBidi"/>
          <w:rtl/>
        </w:rPr>
        <w:t>: קערה שמלח בה בשר</w:t>
      </w:r>
      <w:r>
        <w:rPr>
          <w:rFonts w:asciiTheme="minorBidi" w:hAnsiTheme="minorBidi" w:hint="cs"/>
          <w:rtl/>
        </w:rPr>
        <w:t xml:space="preserve"> </w:t>
      </w:r>
      <w:r w:rsidRPr="003024E5">
        <w:rPr>
          <w:rFonts w:asciiTheme="minorBidi" w:hAnsiTheme="minorBidi"/>
          <w:rtl/>
        </w:rPr>
        <w:t>- אסור לאכול בה רותח.</w:t>
      </w:r>
    </w:p>
    <w:p w14:paraId="031F782E" w14:textId="77777777" w:rsidR="002C39F4" w:rsidRPr="003024E5" w:rsidRDefault="002C39F4" w:rsidP="002C39F4">
      <w:pPr>
        <w:rPr>
          <w:rFonts w:asciiTheme="minorBidi" w:hAnsiTheme="minorBidi"/>
          <w:u w:val="single"/>
        </w:rPr>
      </w:pPr>
      <w:r w:rsidRPr="003024E5">
        <w:rPr>
          <w:rFonts w:asciiTheme="minorBidi" w:hAnsiTheme="minorBidi"/>
          <w:u w:val="single"/>
          <w:rtl/>
        </w:rPr>
        <w:t>באיזו קערה דיבר שמואל:</w:t>
      </w:r>
    </w:p>
    <w:p w14:paraId="695234FB" w14:textId="77777777" w:rsidR="002C39F4" w:rsidRPr="003024E5" w:rsidRDefault="002C39F4" w:rsidP="002C39F4">
      <w:pPr>
        <w:pStyle w:val="a8"/>
        <w:numPr>
          <w:ilvl w:val="0"/>
          <w:numId w:val="18"/>
        </w:numPr>
        <w:rPr>
          <w:rFonts w:asciiTheme="minorBidi" w:hAnsiTheme="minorBidi"/>
        </w:rPr>
      </w:pPr>
      <w:r w:rsidRPr="003024E5">
        <w:rPr>
          <w:rFonts w:asciiTheme="minorBidi" w:hAnsiTheme="minorBidi"/>
          <w:rtl/>
        </w:rPr>
        <w:t xml:space="preserve">רא"ש </w:t>
      </w:r>
      <w:r w:rsidRPr="003024E5">
        <w:rPr>
          <w:rFonts w:asciiTheme="minorBidi" w:hAnsiTheme="minorBidi"/>
          <w:sz w:val="16"/>
          <w:szCs w:val="16"/>
          <w:rtl/>
        </w:rPr>
        <w:t>(סי' כח)</w:t>
      </w:r>
      <w:r w:rsidRPr="003024E5">
        <w:rPr>
          <w:rFonts w:asciiTheme="minorBidi" w:hAnsiTheme="minorBidi"/>
          <w:rtl/>
        </w:rPr>
        <w:t>- בקערה שאינה מנוקבת איירי, ושלא כדברי המפרשים דאיירי אפילו במנוקבת דאם כן יהא אסור למלוח שני פעמים בכלי מנוקב אלא ודאי דמא מישרק שריק.</w:t>
      </w:r>
    </w:p>
    <w:p w14:paraId="11C76AD7" w14:textId="77777777" w:rsidR="002C39F4" w:rsidRPr="003024E5" w:rsidRDefault="002C39F4" w:rsidP="002C39F4">
      <w:pPr>
        <w:pStyle w:val="a8"/>
        <w:numPr>
          <w:ilvl w:val="0"/>
          <w:numId w:val="18"/>
        </w:numPr>
        <w:rPr>
          <w:rFonts w:asciiTheme="minorBidi" w:hAnsiTheme="minorBidi"/>
        </w:rPr>
      </w:pPr>
      <w:r w:rsidRPr="003024E5">
        <w:rPr>
          <w:rFonts w:asciiTheme="minorBidi" w:hAnsiTheme="minorBidi"/>
          <w:rtl/>
        </w:rPr>
        <w:t>ראב"ד רמב"ן</w:t>
      </w:r>
      <w:r>
        <w:rPr>
          <w:rFonts w:asciiTheme="minorBidi" w:hAnsiTheme="minorBidi" w:hint="cs"/>
          <w:rtl/>
        </w:rPr>
        <w:t xml:space="preserve"> </w:t>
      </w:r>
      <w:r w:rsidRPr="003024E5">
        <w:rPr>
          <w:rFonts w:asciiTheme="minorBidi" w:hAnsiTheme="minorBidi"/>
          <w:rtl/>
        </w:rPr>
        <w:t>רשב"א ור"ן</w:t>
      </w:r>
      <w:r w:rsidRPr="003024E5">
        <w:rPr>
          <w:rStyle w:val="a7"/>
          <w:rFonts w:asciiTheme="minorBidi" w:hAnsiTheme="minorBidi"/>
          <w:rtl/>
        </w:rPr>
        <w:footnoteReference w:id="225"/>
      </w:r>
      <w:r w:rsidRPr="003024E5">
        <w:rPr>
          <w:rFonts w:asciiTheme="minorBidi" w:hAnsiTheme="minorBidi"/>
          <w:rtl/>
        </w:rPr>
        <w:t>- קערה שמלח בה בשר כהלכתו משמע דאפילו במנוקבת, ומה שאנו מולחים וחוזרים בכלי אחד מנוקב היינו משום דאיידי דטרידא חתיכה למיפלט לא בלעה ואפילו כי גמרה לפלוט דם פולטת ציר וכל דפלטה ציר לא בלעה דם</w:t>
      </w:r>
      <w:r w:rsidRPr="003024E5">
        <w:rPr>
          <w:rFonts w:asciiTheme="minorBidi" w:hAnsiTheme="minorBidi"/>
          <w:sz w:val="16"/>
          <w:szCs w:val="16"/>
          <w:rtl/>
        </w:rPr>
        <w:t xml:space="preserve"> (ל' הר"ן)</w:t>
      </w:r>
      <w:r w:rsidRPr="003024E5">
        <w:rPr>
          <w:rFonts w:asciiTheme="minorBidi" w:hAnsiTheme="minorBidi"/>
          <w:rtl/>
        </w:rPr>
        <w:t>.</w:t>
      </w:r>
    </w:p>
    <w:p w14:paraId="2A5A6292" w14:textId="77777777" w:rsidR="002C39F4" w:rsidRPr="003024E5" w:rsidRDefault="002C39F4" w:rsidP="002C39F4">
      <w:pPr>
        <w:rPr>
          <w:rFonts w:asciiTheme="minorBidi" w:hAnsiTheme="minorBidi"/>
          <w:u w:val="dotted"/>
        </w:rPr>
      </w:pPr>
      <w:r w:rsidRPr="003024E5">
        <w:rPr>
          <w:rFonts w:asciiTheme="minorBidi" w:hAnsiTheme="minorBidi"/>
          <w:u w:val="single"/>
          <w:rtl/>
        </w:rPr>
        <w:t>האם מותר לאכול דבר רותח בקערה מנוקבת שמלחו עליה בשר:</w:t>
      </w:r>
      <w:r w:rsidRPr="003024E5">
        <w:rPr>
          <w:rFonts w:asciiTheme="minorBidi" w:hAnsiTheme="minorBidi"/>
          <w:rtl/>
        </w:rPr>
        <w:t xml:space="preserve"> </w:t>
      </w:r>
      <w:r>
        <w:rPr>
          <w:rFonts w:asciiTheme="minorBidi" w:hAnsiTheme="minorBidi" w:hint="cs"/>
          <w:sz w:val="16"/>
          <w:szCs w:val="16"/>
          <w:rtl/>
        </w:rPr>
        <w:t xml:space="preserve">  </w:t>
      </w:r>
      <w:r w:rsidRPr="003024E5">
        <w:rPr>
          <w:rFonts w:asciiTheme="minorBidi" w:hAnsiTheme="minorBidi"/>
          <w:sz w:val="16"/>
          <w:szCs w:val="16"/>
          <w:rtl/>
        </w:rPr>
        <w:t>(ב"י ודרכ"מ [אות לה])</w:t>
      </w:r>
    </w:p>
    <w:p w14:paraId="688431CF" w14:textId="77777777" w:rsidR="002C39F4" w:rsidRPr="003024E5" w:rsidRDefault="002C39F4" w:rsidP="002C39F4">
      <w:pPr>
        <w:pStyle w:val="a8"/>
        <w:numPr>
          <w:ilvl w:val="0"/>
          <w:numId w:val="18"/>
        </w:numPr>
        <w:rPr>
          <w:rFonts w:asciiTheme="minorBidi" w:hAnsiTheme="minorBidi"/>
        </w:rPr>
      </w:pPr>
      <w:r w:rsidRPr="003024E5">
        <w:rPr>
          <w:rFonts w:asciiTheme="minorBidi" w:hAnsiTheme="minorBidi"/>
          <w:rtl/>
        </w:rPr>
        <w:t>רא"ש</w:t>
      </w:r>
      <w:r w:rsidRPr="001006BC">
        <w:rPr>
          <w:rFonts w:asciiTheme="minorBidi" w:hAnsiTheme="minorBidi"/>
          <w:rtl/>
        </w:rPr>
        <w:t xml:space="preserve"> </w:t>
      </w:r>
      <w:r w:rsidRPr="003024E5">
        <w:rPr>
          <w:rFonts w:asciiTheme="minorBidi" w:hAnsiTheme="minorBidi"/>
          <w:rtl/>
        </w:rPr>
        <w:t>א"ח בשם הרא"ה ומהרא"י</w:t>
      </w:r>
      <w:r w:rsidRPr="003024E5">
        <w:rPr>
          <w:rStyle w:val="a7"/>
          <w:rFonts w:asciiTheme="minorBidi" w:hAnsiTheme="minorBidi"/>
          <w:rtl/>
        </w:rPr>
        <w:footnoteReference w:id="226"/>
      </w:r>
      <w:r w:rsidRPr="003024E5">
        <w:rPr>
          <w:rFonts w:asciiTheme="minorBidi" w:hAnsiTheme="minorBidi"/>
          <w:rtl/>
        </w:rPr>
        <w:t>- מותר לאכול בקערה מנוקבת אפילו היא של חרס הואיל והיא מנוקבת</w:t>
      </w:r>
      <w:r>
        <w:rPr>
          <w:rStyle w:val="a7"/>
          <w:rFonts w:asciiTheme="minorBidi" w:hAnsiTheme="minorBidi"/>
          <w:rtl/>
        </w:rPr>
        <w:footnoteReference w:id="227"/>
      </w:r>
      <w:r w:rsidRPr="003024E5">
        <w:rPr>
          <w:rFonts w:asciiTheme="minorBidi" w:hAnsiTheme="minorBidi"/>
          <w:rtl/>
        </w:rPr>
        <w:t xml:space="preserve">. </w:t>
      </w:r>
      <w:r w:rsidRPr="003024E5">
        <w:rPr>
          <w:rFonts w:asciiTheme="minorBidi" w:hAnsiTheme="minorBidi"/>
          <w:color w:val="E36C0A" w:themeColor="accent6" w:themeShade="BF"/>
          <w:rtl/>
        </w:rPr>
        <w:t>(וכ</w:t>
      </w:r>
      <w:r>
        <w:rPr>
          <w:rFonts w:asciiTheme="minorBidi" w:hAnsiTheme="minorBidi" w:hint="cs"/>
          <w:color w:val="E36C0A" w:themeColor="accent6" w:themeShade="BF"/>
          <w:rtl/>
        </w:rPr>
        <w:t>"</w:t>
      </w:r>
      <w:r w:rsidRPr="003024E5">
        <w:rPr>
          <w:rFonts w:asciiTheme="minorBidi" w:hAnsiTheme="minorBidi"/>
          <w:color w:val="E36C0A" w:themeColor="accent6" w:themeShade="BF"/>
          <w:rtl/>
        </w:rPr>
        <w:t>ס בשו"ע)</w:t>
      </w:r>
    </w:p>
    <w:p w14:paraId="3277C9F0" w14:textId="77777777" w:rsidR="002C39F4" w:rsidRPr="003024E5" w:rsidRDefault="002C39F4" w:rsidP="002C39F4">
      <w:pPr>
        <w:pStyle w:val="a8"/>
        <w:numPr>
          <w:ilvl w:val="0"/>
          <w:numId w:val="18"/>
        </w:numPr>
        <w:rPr>
          <w:rFonts w:asciiTheme="minorBidi" w:hAnsiTheme="minorBidi"/>
        </w:rPr>
      </w:pPr>
      <w:r>
        <w:rPr>
          <w:rFonts w:asciiTheme="minorBidi" w:hAnsiTheme="minorBidi"/>
          <w:rtl/>
        </w:rPr>
        <w:t>או"ה</w:t>
      </w:r>
      <w:r w:rsidRPr="003024E5">
        <w:rPr>
          <w:rFonts w:asciiTheme="minorBidi" w:hAnsiTheme="minorBidi"/>
          <w:rtl/>
        </w:rPr>
        <w:t>- נוהגין להחמיר לכתח' שלא לאכול בקערה מנוקבת, ובחרס אף בדיע' אסור</w:t>
      </w:r>
      <w:r w:rsidRPr="003024E5">
        <w:rPr>
          <w:rStyle w:val="a7"/>
          <w:rFonts w:asciiTheme="minorBidi" w:hAnsiTheme="minorBidi"/>
          <w:rtl/>
        </w:rPr>
        <w:footnoteReference w:id="228"/>
      </w:r>
      <w:r w:rsidRPr="003024E5">
        <w:rPr>
          <w:rFonts w:asciiTheme="minorBidi" w:hAnsiTheme="minorBidi"/>
          <w:rtl/>
        </w:rPr>
        <w:t xml:space="preserve">. (וכ"פ ב"ח וש"ך) </w:t>
      </w:r>
    </w:p>
    <w:p w14:paraId="388AB9B4" w14:textId="77777777" w:rsidR="002C39F4" w:rsidRPr="001006BC" w:rsidRDefault="002C39F4" w:rsidP="002C39F4">
      <w:pPr>
        <w:pStyle w:val="a8"/>
        <w:numPr>
          <w:ilvl w:val="0"/>
          <w:numId w:val="18"/>
        </w:numPr>
        <w:rPr>
          <w:rFonts w:asciiTheme="minorBidi" w:hAnsiTheme="minorBidi"/>
        </w:rPr>
      </w:pPr>
      <w:r w:rsidRPr="003024E5">
        <w:rPr>
          <w:rFonts w:asciiTheme="minorBidi" w:hAnsiTheme="minorBidi"/>
          <w:rtl/>
        </w:rPr>
        <w:t>ר"פ</w:t>
      </w:r>
      <w:r w:rsidRPr="003024E5">
        <w:rPr>
          <w:rStyle w:val="a7"/>
          <w:rFonts w:asciiTheme="minorBidi" w:hAnsiTheme="minorBidi"/>
          <w:rtl/>
        </w:rPr>
        <w:footnoteReference w:id="229"/>
      </w:r>
      <w:r w:rsidRPr="003024E5">
        <w:rPr>
          <w:rFonts w:asciiTheme="minorBidi" w:hAnsiTheme="minorBidi"/>
          <w:rtl/>
        </w:rPr>
        <w:t>- אם הוא של עץ מותר כיון שהוא מנוקב, ואם הוא של חרס אסור אע"פ שהוא מנוקב. (וכ"פ רש"ל)</w:t>
      </w:r>
      <w:r w:rsidRPr="001006BC">
        <w:rPr>
          <w:rFonts w:asciiTheme="minorBidi" w:hAnsiTheme="minorBidi"/>
          <w:rtl/>
        </w:rPr>
        <w:t xml:space="preserve">  </w:t>
      </w:r>
    </w:p>
    <w:p w14:paraId="3D030D1A" w14:textId="77777777" w:rsidR="002C39F4" w:rsidRPr="003024E5" w:rsidRDefault="002C39F4" w:rsidP="002C39F4">
      <w:pPr>
        <w:pStyle w:val="a8"/>
        <w:numPr>
          <w:ilvl w:val="0"/>
          <w:numId w:val="18"/>
        </w:numPr>
        <w:rPr>
          <w:rFonts w:asciiTheme="minorBidi" w:hAnsiTheme="minorBidi"/>
        </w:rPr>
      </w:pPr>
      <w:r w:rsidRPr="003024E5">
        <w:rPr>
          <w:rFonts w:asciiTheme="minorBidi" w:hAnsiTheme="minorBidi"/>
          <w:rtl/>
        </w:rPr>
        <w:t>י"א</w:t>
      </w:r>
      <w:r w:rsidRPr="003024E5">
        <w:rPr>
          <w:rFonts w:asciiTheme="minorBidi" w:hAnsiTheme="minorBidi"/>
          <w:sz w:val="16"/>
          <w:szCs w:val="16"/>
          <w:rtl/>
        </w:rPr>
        <w:t xml:space="preserve"> (הביאם הטור)</w:t>
      </w:r>
      <w:r w:rsidRPr="001006BC">
        <w:rPr>
          <w:rFonts w:asciiTheme="minorBidi" w:hAnsiTheme="minorBidi"/>
          <w:rtl/>
        </w:rPr>
        <w:t xml:space="preserve"> </w:t>
      </w:r>
      <w:r w:rsidRPr="003024E5">
        <w:rPr>
          <w:rFonts w:asciiTheme="minorBidi" w:hAnsiTheme="minorBidi"/>
          <w:rtl/>
        </w:rPr>
        <w:t>ראב"ד רמב"ן</w:t>
      </w:r>
      <w:r>
        <w:rPr>
          <w:rFonts w:asciiTheme="minorBidi" w:hAnsiTheme="minorBidi" w:hint="cs"/>
          <w:rtl/>
        </w:rPr>
        <w:t xml:space="preserve"> </w:t>
      </w:r>
      <w:r w:rsidRPr="003024E5">
        <w:rPr>
          <w:rFonts w:asciiTheme="minorBidi" w:hAnsiTheme="minorBidi"/>
          <w:rtl/>
        </w:rPr>
        <w:t>רשב"א ור"ן</w:t>
      </w:r>
      <w:r w:rsidRPr="003024E5">
        <w:rPr>
          <w:rStyle w:val="a7"/>
          <w:rFonts w:asciiTheme="minorBidi" w:hAnsiTheme="minorBidi"/>
          <w:rtl/>
        </w:rPr>
        <w:footnoteReference w:id="230"/>
      </w:r>
      <w:r w:rsidRPr="003024E5">
        <w:rPr>
          <w:rFonts w:asciiTheme="minorBidi" w:hAnsiTheme="minorBidi"/>
          <w:rtl/>
        </w:rPr>
        <w:t>- אסור לאכול בו רותח.</w:t>
      </w:r>
      <w:r>
        <w:rPr>
          <w:rFonts w:asciiTheme="minorBidi" w:hAnsiTheme="minorBidi" w:hint="cs"/>
          <w:rtl/>
        </w:rPr>
        <w:t xml:space="preserve"> </w:t>
      </w:r>
    </w:p>
    <w:p w14:paraId="391A68B3"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52F7517" w14:textId="77777777" w:rsidR="002C39F4" w:rsidRPr="003024E5" w:rsidRDefault="002C39F4" w:rsidP="002C39F4">
      <w:pPr>
        <w:rPr>
          <w:rFonts w:asciiTheme="minorBidi" w:hAnsiTheme="minorBidi"/>
          <w:rtl/>
        </w:rPr>
      </w:pPr>
      <w:r w:rsidRPr="003024E5">
        <w:rPr>
          <w:rFonts w:asciiTheme="minorBidi" w:hAnsiTheme="minorBidi"/>
          <w:rtl/>
        </w:rPr>
        <w:t>אבל אם הוא מנוקב מותר לאכול בו אפילו רותח</w:t>
      </w:r>
      <w:r w:rsidRPr="003024E5">
        <w:rPr>
          <w:rStyle w:val="a7"/>
          <w:rFonts w:asciiTheme="minorBidi" w:hAnsiTheme="minorBidi"/>
          <w:rtl/>
        </w:rPr>
        <w:footnoteReference w:id="231"/>
      </w:r>
      <w:r w:rsidRPr="003024E5">
        <w:rPr>
          <w:rFonts w:asciiTheme="minorBidi" w:hAnsiTheme="minorBidi"/>
          <w:rtl/>
        </w:rPr>
        <w:t>, ויש אוסרין ברותח.</w:t>
      </w:r>
      <w:r w:rsidRPr="003024E5">
        <w:rPr>
          <w:rFonts w:asciiTheme="minorBidi" w:hAnsiTheme="minorBidi"/>
          <w:sz w:val="18"/>
          <w:szCs w:val="18"/>
          <w:rtl/>
        </w:rPr>
        <w:t xml:space="preserve"> [הגה] ויש ליזהר לכתחלה, ובדיעבד מותר</w:t>
      </w:r>
      <w:r w:rsidRPr="003024E5">
        <w:rPr>
          <w:rStyle w:val="a7"/>
          <w:rFonts w:asciiTheme="minorBidi" w:hAnsiTheme="minorBidi"/>
          <w:sz w:val="18"/>
          <w:szCs w:val="18"/>
          <w:rtl/>
        </w:rPr>
        <w:footnoteReference w:id="232"/>
      </w:r>
      <w:r w:rsidRPr="003024E5">
        <w:rPr>
          <w:rFonts w:asciiTheme="minorBidi" w:hAnsiTheme="minorBidi"/>
          <w:sz w:val="18"/>
          <w:szCs w:val="18"/>
          <w:rtl/>
        </w:rPr>
        <w:t>.</w:t>
      </w:r>
      <w:r w:rsidRPr="003024E5">
        <w:rPr>
          <w:rFonts w:asciiTheme="minorBidi" w:hAnsiTheme="minorBidi"/>
          <w:rtl/>
        </w:rPr>
        <w:t xml:space="preserve"> </w:t>
      </w:r>
    </w:p>
    <w:p w14:paraId="48ABD9EF" w14:textId="77777777" w:rsidR="002C39F4" w:rsidRPr="003024E5" w:rsidRDefault="002C39F4" w:rsidP="002C39F4">
      <w:pPr>
        <w:rPr>
          <w:rFonts w:asciiTheme="minorBidi" w:hAnsiTheme="minorBidi"/>
          <w:rtl/>
        </w:rPr>
      </w:pPr>
    </w:p>
    <w:p w14:paraId="03D472DB" w14:textId="77777777" w:rsidR="002C39F4" w:rsidRPr="003024E5" w:rsidRDefault="002C39F4" w:rsidP="002C39F4">
      <w:pPr>
        <w:pStyle w:val="2"/>
        <w:rPr>
          <w:rFonts w:asciiTheme="minorBidi" w:hAnsiTheme="minorBidi"/>
          <w:rtl/>
        </w:rPr>
      </w:pPr>
      <w:r w:rsidRPr="003024E5">
        <w:rPr>
          <w:rFonts w:asciiTheme="minorBidi" w:hAnsiTheme="minorBidi"/>
          <w:rtl/>
        </w:rPr>
        <w:t>סעיף יח: בשר שנמלח בכלי לא מנוקב.</w:t>
      </w:r>
    </w:p>
    <w:p w14:paraId="0846E48C"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ע"א: </w:t>
      </w:r>
      <w:r w:rsidRPr="003024E5">
        <w:rPr>
          <w:rFonts w:asciiTheme="minorBidi" w:hAnsiTheme="minorBidi"/>
          <w:u w:val="single"/>
          <w:rtl/>
        </w:rPr>
        <w:t>אמר שמואל:</w:t>
      </w:r>
      <w:r w:rsidRPr="003024E5">
        <w:rPr>
          <w:rFonts w:asciiTheme="minorBidi" w:hAnsiTheme="minorBidi"/>
          <w:rtl/>
        </w:rPr>
        <w:t xml:space="preserve"> אין מניחין בשר מליח אלא ע"ג כלי מנוקב.</w:t>
      </w:r>
    </w:p>
    <w:p w14:paraId="22BA900D" w14:textId="77777777" w:rsidR="002C39F4" w:rsidRDefault="002C39F4" w:rsidP="002C39F4">
      <w:pPr>
        <w:rPr>
          <w:rFonts w:asciiTheme="minorBidi" w:hAnsiTheme="minorBidi"/>
          <w:u w:val="single"/>
          <w:rtl/>
        </w:rPr>
      </w:pPr>
      <w:r w:rsidRPr="003024E5">
        <w:rPr>
          <w:rFonts w:asciiTheme="minorBidi" w:hAnsiTheme="minorBidi"/>
          <w:u w:val="single"/>
          <w:rtl/>
        </w:rPr>
        <w:t>בשר שנמלח בכלי לא מנוקב</w:t>
      </w:r>
      <w:r>
        <w:rPr>
          <w:rFonts w:asciiTheme="minorBidi" w:hAnsiTheme="minorBidi" w:hint="cs"/>
          <w:u w:val="single"/>
          <w:rtl/>
        </w:rPr>
        <w:t xml:space="preserve"> </w:t>
      </w:r>
      <w:r>
        <w:rPr>
          <w:rFonts w:asciiTheme="minorBidi" w:hAnsiTheme="minorBidi"/>
          <w:u w:val="single"/>
          <w:rtl/>
        </w:rPr>
        <w:t>–</w:t>
      </w:r>
      <w:r>
        <w:rPr>
          <w:rFonts w:asciiTheme="minorBidi" w:hAnsiTheme="minorBidi" w:hint="cs"/>
          <w:u w:val="single"/>
          <w:rtl/>
        </w:rPr>
        <w:t xml:space="preserve"> מה דין הבשר</w:t>
      </w:r>
      <w:r w:rsidRPr="003024E5">
        <w:rPr>
          <w:rFonts w:asciiTheme="minorBidi" w:hAnsiTheme="minorBidi"/>
          <w:u w:val="single"/>
          <w:rtl/>
        </w:rPr>
        <w:t>:</w:t>
      </w:r>
    </w:p>
    <w:p w14:paraId="6A34F73F" w14:textId="77777777" w:rsidR="002C39F4" w:rsidRPr="003024E5" w:rsidRDefault="002C39F4" w:rsidP="002C39F4">
      <w:pPr>
        <w:pStyle w:val="a8"/>
        <w:numPr>
          <w:ilvl w:val="0"/>
          <w:numId w:val="22"/>
        </w:numPr>
        <w:rPr>
          <w:rFonts w:asciiTheme="minorBidi" w:hAnsiTheme="minorBidi"/>
          <w:u w:val="single"/>
          <w:rtl/>
        </w:rPr>
      </w:pPr>
      <w:r w:rsidRPr="003024E5">
        <w:rPr>
          <w:rFonts w:asciiTheme="minorBidi" w:hAnsiTheme="minorBidi"/>
          <w:rtl/>
        </w:rPr>
        <w:t>סה"ת ר"י אלברצלוני</w:t>
      </w:r>
      <w:r w:rsidRPr="003024E5">
        <w:rPr>
          <w:rStyle w:val="a7"/>
          <w:rFonts w:asciiTheme="minorBidi" w:hAnsiTheme="minorBidi"/>
          <w:rtl/>
        </w:rPr>
        <w:footnoteReference w:id="233"/>
      </w:r>
      <w:r w:rsidRPr="003024E5">
        <w:rPr>
          <w:rFonts w:asciiTheme="minorBidi" w:hAnsiTheme="minorBidi"/>
          <w:rtl/>
        </w:rPr>
        <w:t xml:space="preserve"> מרדכי רשב"א ורא"ש</w:t>
      </w:r>
      <w:r w:rsidRPr="003024E5">
        <w:rPr>
          <w:rStyle w:val="a7"/>
          <w:rFonts w:asciiTheme="minorBidi" w:hAnsiTheme="minorBidi"/>
          <w:rtl/>
        </w:rPr>
        <w:footnoteReference w:id="234"/>
      </w:r>
      <w:r w:rsidRPr="003024E5">
        <w:rPr>
          <w:rFonts w:asciiTheme="minorBidi" w:hAnsiTheme="minorBidi"/>
          <w:rtl/>
        </w:rPr>
        <w:t>- בשר שנמלח בכלי שאינו מנוקב אסור לאוכלו אפילו צלי</w:t>
      </w:r>
      <w:r>
        <w:rPr>
          <w:rFonts w:asciiTheme="minorBidi" w:hAnsiTheme="minorBidi" w:hint="cs"/>
          <w:rtl/>
        </w:rPr>
        <w:t>,</w:t>
      </w:r>
      <w:r w:rsidRPr="003024E5">
        <w:rPr>
          <w:rFonts w:asciiTheme="minorBidi" w:hAnsiTheme="minorBidi"/>
          <w:rtl/>
        </w:rPr>
        <w:t xml:space="preserve"> משום דהוי כבוש וכבוש הרי הוא כמבושל</w:t>
      </w:r>
      <w:r>
        <w:rPr>
          <w:rFonts w:asciiTheme="minorBidi" w:hAnsiTheme="minorBidi" w:hint="cs"/>
          <w:rtl/>
        </w:rPr>
        <w:t>,</w:t>
      </w:r>
      <w:r w:rsidRPr="003024E5">
        <w:rPr>
          <w:rFonts w:asciiTheme="minorBidi" w:hAnsiTheme="minorBidi"/>
          <w:rtl/>
        </w:rPr>
        <w:t xml:space="preserve"> ובלוע מחמת בישול אינו יוצא ע"י האש שנתקשה בו כבר האיסור </w:t>
      </w:r>
      <w:r w:rsidRPr="003024E5">
        <w:rPr>
          <w:rFonts w:asciiTheme="minorBidi" w:hAnsiTheme="minorBidi"/>
          <w:sz w:val="16"/>
          <w:szCs w:val="16"/>
          <w:rtl/>
        </w:rPr>
        <w:t>(ב"י ומרדכי)</w:t>
      </w:r>
      <w:r w:rsidRPr="003024E5">
        <w:rPr>
          <w:rFonts w:asciiTheme="minorBidi" w:hAnsiTheme="minorBidi"/>
          <w:rtl/>
        </w:rPr>
        <w:t xml:space="preserve">, ועוד דילמא פליט האי גיסא ובלע האי גיסא </w:t>
      </w:r>
      <w:r w:rsidRPr="003024E5">
        <w:rPr>
          <w:rFonts w:asciiTheme="minorBidi" w:hAnsiTheme="minorBidi"/>
          <w:sz w:val="16"/>
          <w:szCs w:val="16"/>
          <w:rtl/>
        </w:rPr>
        <w:t>(מרדכי)</w:t>
      </w:r>
      <w:r w:rsidRPr="003024E5">
        <w:rPr>
          <w:rStyle w:val="a7"/>
          <w:rFonts w:asciiTheme="minorBidi" w:hAnsiTheme="minorBidi"/>
          <w:rtl/>
        </w:rPr>
        <w:footnoteReference w:id="235"/>
      </w:r>
      <w:r w:rsidRPr="003024E5">
        <w:rPr>
          <w:rFonts w:asciiTheme="minorBidi" w:hAnsiTheme="minorBidi"/>
          <w:rtl/>
        </w:rPr>
        <w:t xml:space="preserve">. </w:t>
      </w:r>
    </w:p>
    <w:p w14:paraId="0CFE1264" w14:textId="77777777" w:rsidR="002C39F4" w:rsidRPr="003024E5" w:rsidRDefault="002C39F4" w:rsidP="002C39F4">
      <w:pPr>
        <w:ind w:left="360"/>
        <w:rPr>
          <w:rFonts w:asciiTheme="minorBidi" w:hAnsiTheme="minorBidi"/>
          <w:u w:val="dotted"/>
          <w:rtl/>
        </w:rPr>
      </w:pPr>
      <w:r>
        <w:rPr>
          <w:rFonts w:asciiTheme="minorBidi" w:hAnsiTheme="minorBidi" w:hint="cs"/>
          <w:u w:val="dotted"/>
          <w:rtl/>
        </w:rPr>
        <w:t>כמה מלח צריך ליתן על הבשר כדי שיאסר מחמת צירו</w:t>
      </w:r>
      <w:r w:rsidRPr="003024E5">
        <w:rPr>
          <w:rFonts w:asciiTheme="minorBidi" w:hAnsiTheme="minorBidi"/>
          <w:u w:val="dotted"/>
          <w:rtl/>
        </w:rPr>
        <w:t>:</w:t>
      </w:r>
    </w:p>
    <w:p w14:paraId="0A144C64"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סה"ת</w:t>
      </w:r>
      <w:r w:rsidRPr="003024E5">
        <w:rPr>
          <w:rFonts w:asciiTheme="minorBidi" w:hAnsiTheme="minorBidi"/>
          <w:sz w:val="16"/>
          <w:szCs w:val="16"/>
          <w:rtl/>
        </w:rPr>
        <w:t xml:space="preserve"> (סי' סב, הביאו המרדכי סי' תשכד)</w:t>
      </w:r>
      <w:r w:rsidRPr="003024E5">
        <w:rPr>
          <w:rFonts w:asciiTheme="minorBidi" w:hAnsiTheme="minorBidi"/>
          <w:rtl/>
        </w:rPr>
        <w:t xml:space="preserve"> ו</w:t>
      </w:r>
      <w:r>
        <w:rPr>
          <w:rFonts w:asciiTheme="minorBidi" w:hAnsiTheme="minorBidi"/>
          <w:rtl/>
        </w:rPr>
        <w:t>או"ה</w:t>
      </w:r>
      <w:r w:rsidRPr="003024E5">
        <w:rPr>
          <w:rFonts w:asciiTheme="minorBidi" w:hAnsiTheme="minorBidi"/>
          <w:sz w:val="16"/>
          <w:szCs w:val="16"/>
          <w:rtl/>
        </w:rPr>
        <w:t xml:space="preserve"> (כלל י דין ג, ז)</w:t>
      </w:r>
      <w:r w:rsidRPr="003024E5">
        <w:rPr>
          <w:rFonts w:asciiTheme="minorBidi" w:hAnsiTheme="minorBidi"/>
          <w:rtl/>
        </w:rPr>
        <w:t>- אין מניחין בשר מלוח אלא ע"ג כלי מנוקב אפילו נאכל מחמת מלחו, משום דא"א שלא יוציא המלח כל דהו מן הדם.</w:t>
      </w:r>
      <w:r w:rsidRPr="003024E5">
        <w:rPr>
          <w:rFonts w:asciiTheme="minorBidi" w:hAnsiTheme="minorBidi"/>
          <w:color w:val="00B0F0"/>
          <w:rtl/>
        </w:rPr>
        <w:t xml:space="preserve"> (וכ"פ הרמ"א)</w:t>
      </w:r>
      <w:r w:rsidRPr="003024E5">
        <w:rPr>
          <w:rFonts w:asciiTheme="minorBidi" w:hAnsiTheme="minorBidi"/>
          <w:rtl/>
        </w:rPr>
        <w:t xml:space="preserve"> (וכ"פ הש"ך</w:t>
      </w:r>
      <w:r w:rsidRPr="003024E5">
        <w:rPr>
          <w:rFonts w:asciiTheme="minorBidi" w:hAnsiTheme="minorBidi"/>
          <w:sz w:val="16"/>
          <w:szCs w:val="16"/>
          <w:rtl/>
        </w:rPr>
        <w:t xml:space="preserve"> [סקע"א]</w:t>
      </w:r>
      <w:r w:rsidRPr="003024E5">
        <w:rPr>
          <w:rFonts w:asciiTheme="minorBidi" w:hAnsiTheme="minorBidi"/>
          <w:rtl/>
        </w:rPr>
        <w:t>)</w:t>
      </w:r>
    </w:p>
    <w:p w14:paraId="47C3456F"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(בתוה"ב שם)</w:t>
      </w:r>
      <w:r w:rsidRPr="003024E5">
        <w:rPr>
          <w:rFonts w:asciiTheme="minorBidi" w:hAnsiTheme="minorBidi"/>
          <w:rtl/>
        </w:rPr>
        <w:t>- אם נמלח במלח כל כך שפוגם את הבשר מלאכלו עמו הרי זה כרותח, וכשהדם מתקבץ בתוך הכלי הבשר ככבוש בתוכו, וכבוש הרי הוא כמבושל, לפיכך אסור, ועיקר</w:t>
      </w:r>
      <w:r w:rsidRPr="003024E5">
        <w:rPr>
          <w:rStyle w:val="a7"/>
          <w:rFonts w:asciiTheme="minorBidi" w:hAnsiTheme="minorBidi"/>
          <w:rtl/>
        </w:rPr>
        <w:footnoteReference w:id="236"/>
      </w:r>
      <w:r w:rsidRPr="003024E5">
        <w:rPr>
          <w:rFonts w:asciiTheme="minorBidi" w:hAnsiTheme="minorBidi"/>
          <w:rtl/>
        </w:rPr>
        <w:t>. (וכ"פ בב"י</w:t>
      </w:r>
      <w:r w:rsidRPr="003024E5">
        <w:rPr>
          <w:rStyle w:val="a7"/>
          <w:rFonts w:asciiTheme="minorBidi" w:hAnsiTheme="minorBidi"/>
          <w:rtl/>
        </w:rPr>
        <w:footnoteReference w:id="237"/>
      </w:r>
      <w:r w:rsidRPr="003024E5">
        <w:rPr>
          <w:rFonts w:asciiTheme="minorBidi" w:hAnsiTheme="minorBidi"/>
          <w:rtl/>
        </w:rPr>
        <w:t>)</w:t>
      </w:r>
    </w:p>
    <w:p w14:paraId="294B9A81"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 xml:space="preserve">י"א </w:t>
      </w:r>
      <w:r w:rsidRPr="003024E5">
        <w:rPr>
          <w:rFonts w:asciiTheme="minorBidi" w:hAnsiTheme="minorBidi"/>
          <w:sz w:val="16"/>
          <w:szCs w:val="16"/>
          <w:rtl/>
        </w:rPr>
        <w:t>(הביאם הרשב"א בתוה"ב שם)</w:t>
      </w:r>
      <w:r w:rsidRPr="003024E5">
        <w:rPr>
          <w:rFonts w:asciiTheme="minorBidi" w:hAnsiTheme="minorBidi"/>
          <w:rtl/>
        </w:rPr>
        <w:t xml:space="preserve">- אינו אסור אא"כ נמלח הרבה כבשר שמולחין להצניע ולהוליכו בדרך מרחוק שהוא נמלח עד שאינו נאכל מחמת מלחו אף לכשיודח מן המלח. </w:t>
      </w:r>
    </w:p>
    <w:p w14:paraId="5472FEE9" w14:textId="77777777" w:rsidR="002C39F4" w:rsidRPr="003024E5" w:rsidRDefault="002C39F4" w:rsidP="002C39F4">
      <w:pPr>
        <w:ind w:left="360"/>
        <w:rPr>
          <w:rFonts w:asciiTheme="minorBidi" w:hAnsiTheme="minorBidi"/>
          <w:u w:val="dotted"/>
          <w:rtl/>
        </w:rPr>
      </w:pPr>
      <w:r>
        <w:rPr>
          <w:rFonts w:asciiTheme="minorBidi" w:hAnsiTheme="minorBidi" w:hint="cs"/>
          <w:u w:val="dotted"/>
          <w:rtl/>
        </w:rPr>
        <w:t>האם נאסר רק החלק שבתוך הציר או כל החתיכה</w:t>
      </w:r>
      <w:r w:rsidRPr="003024E5">
        <w:rPr>
          <w:rFonts w:asciiTheme="minorBidi" w:hAnsiTheme="minorBidi"/>
          <w:u w:val="dotted"/>
          <w:rtl/>
        </w:rPr>
        <w:t xml:space="preserve">: </w:t>
      </w:r>
    </w:p>
    <w:p w14:paraId="5AAA0563"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ר"ת מרדכי ור"פ</w:t>
      </w:r>
      <w:r w:rsidRPr="003024E5">
        <w:rPr>
          <w:rStyle w:val="a7"/>
          <w:rFonts w:asciiTheme="minorBidi" w:hAnsiTheme="minorBidi"/>
          <w:rtl/>
        </w:rPr>
        <w:footnoteReference w:id="238"/>
      </w:r>
      <w:r w:rsidRPr="003024E5">
        <w:rPr>
          <w:rFonts w:asciiTheme="minorBidi" w:hAnsiTheme="minorBidi"/>
          <w:rtl/>
        </w:rPr>
        <w:t>- כל החתיכה אסורה אפילו מה שממנה חוץ לציר</w:t>
      </w:r>
      <w:r w:rsidRPr="003024E5">
        <w:rPr>
          <w:rStyle w:val="a7"/>
          <w:rFonts w:asciiTheme="minorBidi" w:hAnsiTheme="minorBidi"/>
          <w:rtl/>
        </w:rPr>
        <w:footnoteReference w:id="239"/>
      </w:r>
      <w:r w:rsidRPr="003024E5">
        <w:rPr>
          <w:rFonts w:asciiTheme="minorBidi" w:hAnsiTheme="minorBidi"/>
          <w:rtl/>
        </w:rPr>
        <w:t xml:space="preserve">. </w:t>
      </w:r>
      <w:r w:rsidRPr="003024E5">
        <w:rPr>
          <w:rFonts w:asciiTheme="minorBidi" w:hAnsiTheme="minorBidi"/>
          <w:color w:val="00B0F0"/>
          <w:rtl/>
        </w:rPr>
        <w:t>(וכ"פ הרמ"א)</w:t>
      </w:r>
      <w:r w:rsidRPr="003024E5">
        <w:rPr>
          <w:rFonts w:asciiTheme="minorBidi" w:hAnsiTheme="minorBidi"/>
          <w:rtl/>
        </w:rPr>
        <w:t xml:space="preserve"> (וכ"פ רש"ל)</w:t>
      </w:r>
    </w:p>
    <w:p w14:paraId="479D9183" w14:textId="77777777" w:rsidR="002C39F4" w:rsidRPr="003024E5" w:rsidRDefault="002C39F4" w:rsidP="002C39F4">
      <w:pPr>
        <w:pStyle w:val="a8"/>
        <w:numPr>
          <w:ilvl w:val="0"/>
          <w:numId w:val="22"/>
        </w:numPr>
        <w:rPr>
          <w:rFonts w:asciiTheme="minorBidi" w:hAnsiTheme="minorBidi"/>
          <w:rtl/>
        </w:rPr>
      </w:pPr>
      <w:r w:rsidRPr="003024E5">
        <w:rPr>
          <w:rFonts w:asciiTheme="minorBidi" w:hAnsiTheme="minorBidi"/>
          <w:rtl/>
        </w:rPr>
        <w:t>רשב"א ורא"ש</w:t>
      </w:r>
      <w:r w:rsidRPr="003024E5">
        <w:rPr>
          <w:rStyle w:val="a7"/>
          <w:rFonts w:asciiTheme="minorBidi" w:hAnsiTheme="minorBidi"/>
          <w:rtl/>
        </w:rPr>
        <w:footnoteReference w:id="240"/>
      </w:r>
      <w:r w:rsidRPr="003024E5">
        <w:rPr>
          <w:rFonts w:asciiTheme="minorBidi" w:hAnsiTheme="minorBidi"/>
          <w:rtl/>
        </w:rPr>
        <w:t xml:space="preserve">- רואין כל מה שנכנס בתוך הדם והציר שבתוך הכלי ואסור אפילו לצלי, ואינו נאסר מה שחוץ לדם ולציר אלא כדי קליפה, ואפילו יש בה שומן לא אמרינן שע"י השומן מפעפע בכולה. </w:t>
      </w:r>
      <w:r w:rsidRPr="003024E5">
        <w:rPr>
          <w:rFonts w:asciiTheme="minorBidi" w:hAnsiTheme="minorBidi"/>
          <w:color w:val="E36C0A" w:themeColor="accent6" w:themeShade="BF"/>
          <w:rtl/>
        </w:rPr>
        <w:t>(וכ"פ בשו"ע)</w:t>
      </w:r>
    </w:p>
    <w:p w14:paraId="02E433AC" w14:textId="77777777" w:rsidR="002C39F4" w:rsidRPr="00400224" w:rsidRDefault="002C39F4" w:rsidP="002C39F4">
      <w:pPr>
        <w:ind w:left="360"/>
        <w:rPr>
          <w:u w:val="dotted"/>
          <w:rtl/>
        </w:rPr>
      </w:pPr>
      <w:r w:rsidRPr="00400224">
        <w:rPr>
          <w:u w:val="dotted"/>
          <w:rtl/>
        </w:rPr>
        <w:t xml:space="preserve">כמה זמן צריכה חתיכת הבשר לשהות שם </w:t>
      </w:r>
      <w:r w:rsidRPr="00400224">
        <w:rPr>
          <w:rFonts w:hint="cs"/>
          <w:sz w:val="16"/>
          <w:szCs w:val="16"/>
          <w:u w:val="dotted"/>
          <w:rtl/>
        </w:rPr>
        <w:t>(</w:t>
      </w:r>
      <w:r w:rsidRPr="00400224">
        <w:rPr>
          <w:sz w:val="16"/>
          <w:szCs w:val="16"/>
          <w:u w:val="dotted"/>
          <w:rtl/>
        </w:rPr>
        <w:t xml:space="preserve">בדם </w:t>
      </w:r>
      <w:r w:rsidRPr="00400224">
        <w:rPr>
          <w:rFonts w:hint="cs"/>
          <w:sz w:val="16"/>
          <w:szCs w:val="16"/>
          <w:u w:val="dotted"/>
          <w:rtl/>
        </w:rPr>
        <w:t>ו</w:t>
      </w:r>
      <w:r w:rsidRPr="00400224">
        <w:rPr>
          <w:sz w:val="16"/>
          <w:szCs w:val="16"/>
          <w:u w:val="dotted"/>
          <w:rtl/>
        </w:rPr>
        <w:t>בציר</w:t>
      </w:r>
      <w:r w:rsidRPr="00400224">
        <w:rPr>
          <w:rFonts w:hint="cs"/>
          <w:sz w:val="16"/>
          <w:szCs w:val="16"/>
          <w:u w:val="dotted"/>
          <w:rtl/>
        </w:rPr>
        <w:t>)</w:t>
      </w:r>
      <w:r w:rsidRPr="00400224">
        <w:rPr>
          <w:sz w:val="16"/>
          <w:szCs w:val="16"/>
          <w:u w:val="dotted"/>
          <w:rtl/>
        </w:rPr>
        <w:t xml:space="preserve"> </w:t>
      </w:r>
      <w:r w:rsidRPr="00400224">
        <w:rPr>
          <w:u w:val="dotted"/>
          <w:rtl/>
        </w:rPr>
        <w:t xml:space="preserve">כדי להאסר: </w:t>
      </w:r>
    </w:p>
    <w:p w14:paraId="079F023D"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ר"ת</w:t>
      </w:r>
      <w:r w:rsidRPr="003024E5">
        <w:rPr>
          <w:rStyle w:val="a7"/>
          <w:rFonts w:asciiTheme="minorBidi" w:hAnsiTheme="minorBidi"/>
          <w:rtl/>
        </w:rPr>
        <w:footnoteReference w:id="241"/>
      </w:r>
      <w:r w:rsidRPr="003024E5">
        <w:rPr>
          <w:rFonts w:asciiTheme="minorBidi" w:hAnsiTheme="minorBidi"/>
          <w:rtl/>
        </w:rPr>
        <w:t xml:space="preserve"> ומהרא"י</w:t>
      </w:r>
      <w:r w:rsidRPr="003024E5">
        <w:rPr>
          <w:rStyle w:val="a7"/>
          <w:rFonts w:asciiTheme="minorBidi" w:hAnsiTheme="minorBidi"/>
          <w:rtl/>
        </w:rPr>
        <w:footnoteReference w:id="242"/>
      </w:r>
      <w:r w:rsidRPr="003024E5">
        <w:rPr>
          <w:rFonts w:asciiTheme="minorBidi" w:hAnsiTheme="minorBidi"/>
          <w:rtl/>
        </w:rPr>
        <w:t>- נאסרה מיד אפילו לא שהתה שיעור מליחה</w:t>
      </w:r>
      <w:r w:rsidRPr="003024E5">
        <w:rPr>
          <w:rStyle w:val="a7"/>
          <w:rFonts w:asciiTheme="minorBidi" w:hAnsiTheme="minorBidi"/>
          <w:rtl/>
        </w:rPr>
        <w:footnoteReference w:id="243"/>
      </w:r>
      <w:r w:rsidRPr="003024E5">
        <w:rPr>
          <w:rFonts w:asciiTheme="minorBidi" w:hAnsiTheme="minorBidi"/>
          <w:rtl/>
        </w:rPr>
        <w:t xml:space="preserve">. </w:t>
      </w:r>
      <w:r w:rsidRPr="003024E5">
        <w:rPr>
          <w:rFonts w:asciiTheme="minorBidi" w:hAnsiTheme="minorBidi"/>
          <w:color w:val="00B0F0"/>
          <w:rtl/>
        </w:rPr>
        <w:t>(וכ"פ הרמ"א)</w:t>
      </w:r>
    </w:p>
    <w:p w14:paraId="7A258CD7"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הרב אלברצלוני</w:t>
      </w:r>
      <w:r w:rsidRPr="003024E5">
        <w:rPr>
          <w:rFonts w:asciiTheme="minorBidi" w:hAnsiTheme="minorBidi"/>
          <w:sz w:val="16"/>
          <w:szCs w:val="16"/>
          <w:rtl/>
        </w:rPr>
        <w:t xml:space="preserve"> (הביאו הרא"ש [סי' מט])</w:t>
      </w:r>
      <w:r w:rsidRPr="003024E5">
        <w:rPr>
          <w:rFonts w:asciiTheme="minorBidi" w:hAnsiTheme="minorBidi"/>
          <w:rtl/>
        </w:rPr>
        <w:t xml:space="preserve">- </w:t>
      </w:r>
      <w:r>
        <w:rPr>
          <w:rFonts w:asciiTheme="minorBidi" w:hAnsiTheme="minorBidi" w:hint="cs"/>
          <w:rtl/>
        </w:rPr>
        <w:t>כ</w:t>
      </w:r>
      <w:r w:rsidRPr="003024E5">
        <w:rPr>
          <w:rFonts w:asciiTheme="minorBidi" w:hAnsiTheme="minorBidi"/>
          <w:rtl/>
        </w:rPr>
        <w:t>שנשתהה הבשר שם כשיעור מליחתו</w:t>
      </w:r>
      <w:r>
        <w:rPr>
          <w:rFonts w:asciiTheme="minorBidi" w:hAnsiTheme="minorBidi" w:hint="cs"/>
          <w:rtl/>
        </w:rPr>
        <w:t>,</w:t>
      </w:r>
      <w:r w:rsidRPr="003024E5">
        <w:rPr>
          <w:rFonts w:asciiTheme="minorBidi" w:hAnsiTheme="minorBidi"/>
          <w:rtl/>
        </w:rPr>
        <w:t xml:space="preserve"> אבל לא נשתהה שם כ"כ מותר</w:t>
      </w:r>
      <w:r w:rsidRPr="003024E5">
        <w:rPr>
          <w:rStyle w:val="a7"/>
          <w:rFonts w:asciiTheme="minorBidi" w:hAnsiTheme="minorBidi"/>
          <w:rtl/>
        </w:rPr>
        <w:footnoteReference w:id="244"/>
      </w:r>
      <w:r w:rsidRPr="003024E5">
        <w:rPr>
          <w:rFonts w:asciiTheme="minorBidi" w:hAnsiTheme="minorBidi"/>
          <w:rtl/>
        </w:rPr>
        <w:t xml:space="preserve">. </w:t>
      </w:r>
    </w:p>
    <w:p w14:paraId="0D990B29"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 xml:space="preserve">רש"י </w:t>
      </w:r>
      <w:r w:rsidRPr="003024E5">
        <w:rPr>
          <w:rFonts w:asciiTheme="minorBidi" w:hAnsiTheme="minorBidi"/>
          <w:sz w:val="16"/>
          <w:szCs w:val="16"/>
          <w:rtl/>
        </w:rPr>
        <w:t>(קיב: ד"ה אפילו עופות ו</w:t>
      </w:r>
      <w:r>
        <w:rPr>
          <w:rFonts w:asciiTheme="minorBidi" w:hAnsiTheme="minorBidi" w:hint="cs"/>
          <w:sz w:val="16"/>
          <w:szCs w:val="16"/>
          <w:rtl/>
        </w:rPr>
        <w:t xml:space="preserve">ד"ה </w:t>
      </w:r>
      <w:r w:rsidRPr="003024E5">
        <w:rPr>
          <w:rFonts w:asciiTheme="minorBidi" w:hAnsiTheme="minorBidi"/>
          <w:sz w:val="16"/>
          <w:szCs w:val="16"/>
          <w:rtl/>
        </w:rPr>
        <w:t>עופות, הביאו ההג"א [פכ"ה סי' לו])</w:t>
      </w:r>
      <w:r w:rsidRPr="003024E5">
        <w:rPr>
          <w:rFonts w:asciiTheme="minorBidi" w:hAnsiTheme="minorBidi"/>
          <w:rtl/>
        </w:rPr>
        <w:t>- כדי פליטת כל דמו שאז חוזר ובולע ואינו פולט עוד</w:t>
      </w:r>
      <w:r w:rsidRPr="003024E5">
        <w:rPr>
          <w:rStyle w:val="a7"/>
          <w:rFonts w:asciiTheme="minorBidi" w:hAnsiTheme="minorBidi"/>
          <w:rtl/>
        </w:rPr>
        <w:footnoteReference w:id="245"/>
      </w:r>
      <w:r w:rsidRPr="003024E5">
        <w:rPr>
          <w:rFonts w:asciiTheme="minorBidi" w:hAnsiTheme="minorBidi"/>
          <w:rtl/>
        </w:rPr>
        <w:t xml:space="preserve">. </w:t>
      </w:r>
    </w:p>
    <w:p w14:paraId="434DE036"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 xml:space="preserve">ראב"ד </w:t>
      </w:r>
      <w:r w:rsidRPr="003024E5">
        <w:rPr>
          <w:rFonts w:asciiTheme="minorBidi" w:hAnsiTheme="minorBidi"/>
          <w:sz w:val="16"/>
          <w:szCs w:val="16"/>
          <w:rtl/>
        </w:rPr>
        <w:t xml:space="preserve">(תשובות ופסקים סי' עז, הביאו א"ח [שם]) </w:t>
      </w:r>
      <w:r w:rsidRPr="003024E5">
        <w:rPr>
          <w:rFonts w:asciiTheme="minorBidi" w:hAnsiTheme="minorBidi"/>
          <w:rtl/>
        </w:rPr>
        <w:t xml:space="preserve">וא"ח </w:t>
      </w:r>
      <w:r w:rsidRPr="003024E5">
        <w:rPr>
          <w:rFonts w:asciiTheme="minorBidi" w:hAnsiTheme="minorBidi"/>
          <w:sz w:val="16"/>
          <w:szCs w:val="16"/>
          <w:rtl/>
        </w:rPr>
        <w:t>(הל</w:t>
      </w:r>
      <w:r>
        <w:rPr>
          <w:rFonts w:asciiTheme="minorBidi" w:hAnsiTheme="minorBidi" w:hint="cs"/>
          <w:sz w:val="16"/>
          <w:szCs w:val="16"/>
          <w:rtl/>
        </w:rPr>
        <w:t xml:space="preserve">א"מ </w:t>
      </w:r>
      <w:r w:rsidRPr="003024E5">
        <w:rPr>
          <w:rFonts w:asciiTheme="minorBidi" w:hAnsiTheme="minorBidi"/>
          <w:sz w:val="16"/>
          <w:szCs w:val="16"/>
          <w:rtl/>
        </w:rPr>
        <w:t>אות צה ד"ה ואם מלח)</w:t>
      </w:r>
      <w:r w:rsidRPr="003024E5">
        <w:rPr>
          <w:rFonts w:asciiTheme="minorBidi" w:hAnsiTheme="minorBidi"/>
          <w:rtl/>
        </w:rPr>
        <w:t xml:space="preserve">- אם מלח בשר במעט מלח כגון לצלי בכלי שאינו מנוקב סגי בהדחה בין לבשל בין לצלי ובלבד שלא ישהה שם יותר מכדי מליחת הצלי </w:t>
      </w:r>
      <w:r w:rsidRPr="003024E5">
        <w:rPr>
          <w:rFonts w:asciiTheme="minorBidi" w:hAnsiTheme="minorBidi"/>
          <w:sz w:val="16"/>
          <w:szCs w:val="16"/>
          <w:rtl/>
        </w:rPr>
        <w:t>(שאם שהה אפשר שבמליחה מועטת יכול למלוח חתיכה גדולה כל צרכה, ומה שמלח מרובה תמלח בשעה אחת - מלח מועט תמלח בשתי שעות)</w:t>
      </w:r>
      <w:r w:rsidRPr="003024E5">
        <w:rPr>
          <w:rFonts w:asciiTheme="minorBidi" w:hAnsiTheme="minorBidi"/>
          <w:rtl/>
        </w:rPr>
        <w:t xml:space="preserve">. </w:t>
      </w:r>
    </w:p>
    <w:p w14:paraId="1D9F59ED"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 xml:space="preserve">רא"ש </w:t>
      </w:r>
      <w:r w:rsidRPr="003024E5">
        <w:rPr>
          <w:rFonts w:asciiTheme="minorBidi" w:hAnsiTheme="minorBidi"/>
          <w:sz w:val="16"/>
          <w:szCs w:val="16"/>
          <w:rtl/>
        </w:rPr>
        <w:t>(סי' מט)</w:t>
      </w:r>
      <w:r w:rsidRPr="003024E5">
        <w:rPr>
          <w:rFonts w:asciiTheme="minorBidi" w:hAnsiTheme="minorBidi"/>
          <w:rtl/>
        </w:rPr>
        <w:t xml:space="preserve">- </w:t>
      </w:r>
      <w:r w:rsidRPr="003024E5">
        <w:rPr>
          <w:rStyle w:val="a7"/>
          <w:rFonts w:asciiTheme="minorBidi" w:hAnsiTheme="minorBidi"/>
          <w:rtl/>
        </w:rPr>
        <w:footnoteReference w:id="246"/>
      </w:r>
      <w:r w:rsidRPr="003024E5">
        <w:rPr>
          <w:rFonts w:asciiTheme="minorBidi" w:hAnsiTheme="minorBidi"/>
          <w:rtl/>
        </w:rPr>
        <w:t>הכובש בציר ונטלו מיד א"א שיאסר לאלתר כיון שהוא צונן ושיעור כבישה הוי כאילו נתנו על האור כדי שירתיח ויתחיל להתבשל, אם נכבש בתוך הציר כשיעור זה נאסר כל מה שבתוך הציר, ובפחות משיעור זה לא נאסר אלא כדי קליפה כדין מלוח הרי הוא כרותח</w:t>
      </w:r>
      <w:r w:rsidRPr="003024E5">
        <w:rPr>
          <w:rStyle w:val="a7"/>
          <w:rFonts w:asciiTheme="minorBidi" w:hAnsiTheme="minorBidi"/>
          <w:rtl/>
        </w:rPr>
        <w:footnoteReference w:id="247"/>
      </w:r>
      <w:r w:rsidRPr="003024E5">
        <w:rPr>
          <w:rFonts w:asciiTheme="minorBidi" w:hAnsiTheme="minorBidi"/>
          <w:rtl/>
        </w:rPr>
        <w:t xml:space="preserve">. </w:t>
      </w:r>
      <w:r w:rsidRPr="003024E5">
        <w:rPr>
          <w:rFonts w:asciiTheme="minorBidi" w:hAnsiTheme="minorBidi"/>
          <w:color w:val="E36C0A" w:themeColor="accent6" w:themeShade="BF"/>
          <w:rtl/>
        </w:rPr>
        <w:t>(וכ"פ בשו"ע)</w:t>
      </w:r>
      <w:r w:rsidRPr="003024E5">
        <w:rPr>
          <w:rFonts w:asciiTheme="minorBidi" w:hAnsiTheme="minorBidi"/>
          <w:rtl/>
        </w:rPr>
        <w:t xml:space="preserve"> </w:t>
      </w:r>
    </w:p>
    <w:p w14:paraId="05499891" w14:textId="77777777" w:rsidR="002C39F4" w:rsidRDefault="002C39F4" w:rsidP="002C39F4">
      <w:pPr>
        <w:pStyle w:val="a8"/>
        <w:numPr>
          <w:ilvl w:val="0"/>
          <w:numId w:val="22"/>
        </w:numPr>
        <w:rPr>
          <w:rFonts w:asciiTheme="minorBidi" w:hAnsiTheme="minorBidi"/>
        </w:rPr>
      </w:pPr>
      <w:r w:rsidRPr="003024E5">
        <w:rPr>
          <w:rFonts w:asciiTheme="minorBidi" w:hAnsiTheme="minorBidi"/>
          <w:rtl/>
        </w:rPr>
        <w:t xml:space="preserve">ר' שמשון ב"ר אברהם </w:t>
      </w:r>
      <w:r w:rsidRPr="003024E5">
        <w:rPr>
          <w:rFonts w:asciiTheme="minorBidi" w:hAnsiTheme="minorBidi"/>
          <w:sz w:val="16"/>
          <w:szCs w:val="16"/>
          <w:rtl/>
        </w:rPr>
        <w:t>(בהגשע"ד סי' ו סק"ט)</w:t>
      </w:r>
      <w:r w:rsidRPr="003024E5">
        <w:rPr>
          <w:rFonts w:asciiTheme="minorBidi" w:hAnsiTheme="minorBidi"/>
          <w:rtl/>
        </w:rPr>
        <w:t xml:space="preserve">- אם גמרה כל פליטתה מציר ומדם ואח"כ נפלה לתוך הציר לפי שעה, שלא נשרית שם יום או לילה, אין בידי לאסור רק כדי קליפה. </w:t>
      </w:r>
    </w:p>
    <w:p w14:paraId="736EA061" w14:textId="77777777" w:rsidR="002C39F4" w:rsidRPr="0025459F" w:rsidRDefault="002C39F4" w:rsidP="002C39F4">
      <w:pPr>
        <w:rPr>
          <w:rFonts w:asciiTheme="minorBidi" w:hAnsiTheme="minorBidi"/>
          <w:u w:val="single"/>
        </w:rPr>
      </w:pPr>
      <w:r w:rsidRPr="0025459F">
        <w:rPr>
          <w:rFonts w:asciiTheme="minorBidi" w:hAnsiTheme="minorBidi" w:hint="cs"/>
          <w:u w:val="single"/>
          <w:rtl/>
        </w:rPr>
        <w:t xml:space="preserve">מלח בשר טריפה יחד עם בשר שחוטה </w:t>
      </w:r>
      <w:r w:rsidRPr="0025459F">
        <w:rPr>
          <w:rFonts w:asciiTheme="minorBidi" w:hAnsiTheme="minorBidi"/>
          <w:u w:val="single"/>
          <w:rtl/>
        </w:rPr>
        <w:t>–</w:t>
      </w:r>
      <w:r w:rsidRPr="0025459F">
        <w:rPr>
          <w:rFonts w:asciiTheme="minorBidi" w:hAnsiTheme="minorBidi" w:hint="cs"/>
          <w:u w:val="single"/>
          <w:rtl/>
        </w:rPr>
        <w:t xml:space="preserve"> ונגע ציר הטריפה בבשר השחוטה</w:t>
      </w:r>
      <w:r w:rsidRPr="0025459F">
        <w:rPr>
          <w:rStyle w:val="a7"/>
          <w:rFonts w:asciiTheme="minorBidi" w:hAnsiTheme="minorBidi"/>
          <w:u w:val="single"/>
          <w:rtl/>
        </w:rPr>
        <w:footnoteReference w:id="248"/>
      </w:r>
      <w:r w:rsidRPr="0025459F">
        <w:rPr>
          <w:rFonts w:asciiTheme="minorBidi" w:hAnsiTheme="minorBidi" w:hint="cs"/>
          <w:u w:val="single"/>
          <w:rtl/>
        </w:rPr>
        <w:t>:</w:t>
      </w:r>
    </w:p>
    <w:p w14:paraId="760BA1CC"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 xml:space="preserve">ראבי"ה </w:t>
      </w:r>
      <w:r w:rsidRPr="003024E5">
        <w:rPr>
          <w:rFonts w:asciiTheme="minorBidi" w:hAnsiTheme="minorBidi"/>
          <w:sz w:val="16"/>
          <w:szCs w:val="16"/>
          <w:rtl/>
        </w:rPr>
        <w:t>(סו"ס אלף קיט, הביאו המרדכי [סו"ס תשכ])</w:t>
      </w:r>
      <w:r w:rsidRPr="003024E5">
        <w:rPr>
          <w:rFonts w:asciiTheme="minorBidi" w:hAnsiTheme="minorBidi"/>
          <w:rtl/>
        </w:rPr>
        <w:t xml:space="preserve">- אם מלח בשר טרפה יחד עם בשר כשרה וקדם וסילקן קודם גמר פליטתן אסור דציר נבלה חזק הוא ומבליע אפילו קודם גמר פליטתו.  </w:t>
      </w:r>
      <w:r>
        <w:rPr>
          <w:rFonts w:asciiTheme="minorBidi" w:hAnsiTheme="minorBidi" w:hint="cs"/>
          <w:rtl/>
        </w:rPr>
        <w:t xml:space="preserve"> </w:t>
      </w:r>
    </w:p>
    <w:p w14:paraId="374AF2FD"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ראב"ן</w:t>
      </w:r>
      <w:r w:rsidRPr="003024E5">
        <w:rPr>
          <w:rFonts w:asciiTheme="minorBidi" w:hAnsiTheme="minorBidi"/>
          <w:sz w:val="16"/>
          <w:szCs w:val="16"/>
          <w:rtl/>
        </w:rPr>
        <w:t xml:space="preserve"> (סי' ערה, הביאו המרדכי)</w:t>
      </w:r>
      <w:r w:rsidRPr="003024E5">
        <w:rPr>
          <w:rFonts w:asciiTheme="minorBidi" w:hAnsiTheme="minorBidi"/>
          <w:rtl/>
        </w:rPr>
        <w:t>- אם מלח בשר טרפה יחד עם בשר כשרה וקדם וסילקן קודם גמר פליטתן מותר.</w:t>
      </w:r>
    </w:p>
    <w:p w14:paraId="5158B2B2" w14:textId="77777777" w:rsidR="002C39F4" w:rsidRPr="003024E5" w:rsidRDefault="002C39F4" w:rsidP="002C39F4">
      <w:pPr>
        <w:rPr>
          <w:rFonts w:asciiTheme="minorBidi" w:hAnsiTheme="minorBidi"/>
          <w:sz w:val="16"/>
          <w:szCs w:val="16"/>
          <w:rtl/>
        </w:rPr>
      </w:pPr>
      <w:r w:rsidRPr="003024E5">
        <w:rPr>
          <w:rFonts w:asciiTheme="minorBidi" w:hAnsiTheme="minorBidi"/>
          <w:u w:val="single"/>
          <w:rtl/>
        </w:rPr>
        <w:t>כלי שאינו מנוקב שנמלחו בו הרבה חתיכות ואותן שלמעלה אינן נוגעות בציר:</w:t>
      </w:r>
      <w:r w:rsidRPr="003024E5">
        <w:rPr>
          <w:rFonts w:asciiTheme="minorBidi" w:hAnsiTheme="minorBidi"/>
          <w:rtl/>
        </w:rPr>
        <w:t xml:space="preserve"> </w:t>
      </w:r>
      <w:r w:rsidRPr="003024E5">
        <w:rPr>
          <w:rFonts w:asciiTheme="minorBidi" w:hAnsiTheme="minorBidi"/>
          <w:sz w:val="16"/>
          <w:szCs w:val="16"/>
          <w:rtl/>
        </w:rPr>
        <w:t>(דרכ"מ אות לז)</w:t>
      </w:r>
    </w:p>
    <w:p w14:paraId="52CC27E3" w14:textId="77777777" w:rsidR="002C39F4" w:rsidRPr="003024E5" w:rsidRDefault="002C39F4" w:rsidP="002C39F4">
      <w:pPr>
        <w:pStyle w:val="a8"/>
        <w:numPr>
          <w:ilvl w:val="0"/>
          <w:numId w:val="23"/>
        </w:numPr>
        <w:rPr>
          <w:rFonts w:asciiTheme="minorBidi" w:hAnsiTheme="minorBidi"/>
        </w:rPr>
      </w:pPr>
      <w:r w:rsidRPr="003024E5">
        <w:rPr>
          <w:rFonts w:asciiTheme="minorBidi" w:hAnsiTheme="minorBidi"/>
          <w:rtl/>
        </w:rPr>
        <w:t>כל בו</w:t>
      </w:r>
      <w:r w:rsidRPr="003024E5">
        <w:rPr>
          <w:rFonts w:asciiTheme="minorBidi" w:hAnsiTheme="minorBidi"/>
          <w:sz w:val="16"/>
          <w:szCs w:val="16"/>
          <w:rtl/>
        </w:rPr>
        <w:t xml:space="preserve"> (סי' קג)</w:t>
      </w:r>
      <w:r w:rsidRPr="003024E5">
        <w:rPr>
          <w:rFonts w:asciiTheme="minorBidi" w:hAnsiTheme="minorBidi"/>
          <w:rtl/>
        </w:rPr>
        <w:t xml:space="preserve"> ו</w:t>
      </w: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י דין ט)</w:t>
      </w:r>
      <w:r w:rsidRPr="003024E5">
        <w:rPr>
          <w:rFonts w:asciiTheme="minorBidi" w:hAnsiTheme="minorBidi"/>
          <w:rtl/>
        </w:rPr>
        <w:t xml:space="preserve">- אינו אסור כשמולח בכלי שאינו מנוקב אלא אותה חתיכה שנוגעת קצת בציר, וכן אם נמלחו הרבה חתיכות יחד בכלי שאינו מנוקב אותן שלמעלה שאינן נוגעין בציר אלא שמונחים על אותן שמקצתן בציר לא נאסרו ומותרין הם דלגבי דידהו הוי ככלי מנוקב דאין חתיכה התחתונה מונעת העליונה מלפלוט והעליונה אפילו קליפה לא בעי אף שהתחתונה שמינה </w:t>
      </w:r>
      <w:r w:rsidRPr="003024E5">
        <w:rPr>
          <w:rFonts w:asciiTheme="minorBidi" w:hAnsiTheme="minorBidi"/>
          <w:sz w:val="16"/>
          <w:szCs w:val="16"/>
          <w:rtl/>
        </w:rPr>
        <w:t xml:space="preserve">(ל' </w:t>
      </w:r>
      <w:r>
        <w:rPr>
          <w:rFonts w:asciiTheme="minorBidi" w:hAnsiTheme="minorBidi" w:hint="cs"/>
          <w:sz w:val="16"/>
          <w:szCs w:val="16"/>
          <w:rtl/>
        </w:rPr>
        <w:t>או"ה</w:t>
      </w:r>
      <w:r w:rsidRPr="003024E5">
        <w:rPr>
          <w:rFonts w:asciiTheme="minorBidi" w:hAnsiTheme="minorBidi"/>
          <w:sz w:val="16"/>
          <w:szCs w:val="16"/>
          <w:rtl/>
        </w:rPr>
        <w:t>)</w:t>
      </w:r>
      <w:r w:rsidRPr="003024E5">
        <w:rPr>
          <w:rFonts w:asciiTheme="minorBidi" w:hAnsiTheme="minorBidi"/>
          <w:rtl/>
        </w:rPr>
        <w:t>.</w:t>
      </w:r>
      <w:r w:rsidRPr="003024E5">
        <w:rPr>
          <w:rFonts w:asciiTheme="minorBidi" w:hAnsiTheme="minorBidi"/>
          <w:color w:val="00B0F0"/>
          <w:rtl/>
        </w:rPr>
        <w:t xml:space="preserve"> (וכ"פ הרמ"א)</w:t>
      </w:r>
    </w:p>
    <w:p w14:paraId="7D230567" w14:textId="77777777" w:rsidR="002C39F4" w:rsidRPr="003024E5" w:rsidRDefault="002C39F4" w:rsidP="002C39F4">
      <w:pPr>
        <w:rPr>
          <w:rFonts w:asciiTheme="minorBidi" w:hAnsiTheme="minorBidi"/>
          <w:u w:val="single"/>
        </w:rPr>
      </w:pPr>
      <w:r w:rsidRPr="003024E5">
        <w:rPr>
          <w:rFonts w:asciiTheme="minorBidi" w:hAnsiTheme="minorBidi"/>
          <w:u w:val="single"/>
          <w:rtl/>
        </w:rPr>
        <w:t>ציר שנט</w:t>
      </w:r>
      <w:r>
        <w:rPr>
          <w:rFonts w:asciiTheme="minorBidi" w:hAnsiTheme="minorBidi" w:hint="cs"/>
          <w:u w:val="single"/>
          <w:rtl/>
        </w:rPr>
        <w:t>ף</w:t>
      </w:r>
      <w:r w:rsidRPr="003024E5">
        <w:rPr>
          <w:rFonts w:asciiTheme="minorBidi" w:hAnsiTheme="minorBidi"/>
          <w:u w:val="single"/>
          <w:rtl/>
        </w:rPr>
        <w:t xml:space="preserve"> ע"ג </w:t>
      </w:r>
      <w:r>
        <w:rPr>
          <w:rFonts w:asciiTheme="minorBidi" w:hAnsiTheme="minorBidi" w:hint="cs"/>
          <w:u w:val="single"/>
          <w:rtl/>
        </w:rPr>
        <w:t>ה</w:t>
      </w:r>
      <w:r w:rsidRPr="003024E5">
        <w:rPr>
          <w:rFonts w:asciiTheme="minorBidi" w:hAnsiTheme="minorBidi"/>
          <w:u w:val="single"/>
          <w:rtl/>
        </w:rPr>
        <w:t xml:space="preserve">קרקע ונפלה עליו חתיכת בשר: </w:t>
      </w:r>
    </w:p>
    <w:p w14:paraId="43934DBC" w14:textId="77777777" w:rsidR="002C39F4" w:rsidRPr="003024E5" w:rsidRDefault="002C39F4" w:rsidP="002C39F4">
      <w:pPr>
        <w:pStyle w:val="a8"/>
        <w:numPr>
          <w:ilvl w:val="0"/>
          <w:numId w:val="22"/>
        </w:numPr>
        <w:rPr>
          <w:rFonts w:asciiTheme="minorBidi" w:hAnsiTheme="minorBidi"/>
          <w:rtl/>
        </w:rPr>
      </w:pPr>
      <w:r w:rsidRPr="003024E5">
        <w:rPr>
          <w:rFonts w:asciiTheme="minorBidi" w:hAnsiTheme="minorBidi"/>
          <w:rtl/>
        </w:rPr>
        <w:t xml:space="preserve">הגשע"ד </w:t>
      </w:r>
      <w:r w:rsidRPr="003024E5">
        <w:rPr>
          <w:rFonts w:asciiTheme="minorBidi" w:hAnsiTheme="minorBidi"/>
          <w:sz w:val="16"/>
          <w:szCs w:val="16"/>
          <w:rtl/>
        </w:rPr>
        <w:t>(שם סק"ט)</w:t>
      </w:r>
      <w:r w:rsidRPr="003024E5">
        <w:rPr>
          <w:rFonts w:asciiTheme="minorBidi" w:hAnsiTheme="minorBidi"/>
          <w:rtl/>
        </w:rPr>
        <w:t>- ציר שנוטף ע"ג קרקע ועדיין לח הקרקע ונפלה חתיכת בשר על אותו מקום לח צ"ע דשמא הציר עומד ליבלע בקרקע ודומה לכלי מנוקב דאגב דאזלי לא בלע או שמא אין הקרקע ככלי מנוקב ונאסר הבשר, מנימוקי פרש"י ז"ל</w:t>
      </w:r>
      <w:r w:rsidRPr="003024E5">
        <w:rPr>
          <w:rStyle w:val="a7"/>
          <w:rFonts w:asciiTheme="minorBidi" w:hAnsiTheme="minorBidi"/>
          <w:rtl/>
        </w:rPr>
        <w:footnoteReference w:id="249"/>
      </w:r>
      <w:r w:rsidRPr="003024E5">
        <w:rPr>
          <w:rFonts w:asciiTheme="minorBidi" w:hAnsiTheme="minorBidi"/>
          <w:rtl/>
        </w:rPr>
        <w:t>.</w:t>
      </w:r>
      <w:r>
        <w:rPr>
          <w:rFonts w:asciiTheme="minorBidi" w:hAnsiTheme="minorBidi" w:hint="cs"/>
          <w:rtl/>
        </w:rPr>
        <w:t xml:space="preserve"> </w:t>
      </w:r>
      <w:r w:rsidRPr="003024E5">
        <w:rPr>
          <w:rFonts w:asciiTheme="minorBidi" w:hAnsiTheme="minorBidi"/>
          <w:color w:val="00B0F0"/>
          <w:rtl/>
        </w:rPr>
        <w:t>(וכ"פ הרמ"א</w:t>
      </w:r>
      <w:r>
        <w:rPr>
          <w:rFonts w:asciiTheme="minorBidi" w:hAnsiTheme="minorBidi" w:hint="cs"/>
          <w:color w:val="00B0F0"/>
          <w:sz w:val="16"/>
          <w:szCs w:val="16"/>
          <w:rtl/>
        </w:rPr>
        <w:t xml:space="preserve"> </w:t>
      </w:r>
      <w:r>
        <w:rPr>
          <w:rFonts w:asciiTheme="minorBidi" w:hAnsiTheme="minorBidi" w:hint="cs"/>
          <w:color w:val="000000" w:themeColor="text1"/>
          <w:sz w:val="16"/>
          <w:szCs w:val="16"/>
          <w:rtl/>
        </w:rPr>
        <w:t>[סי' ע ס"ו]</w:t>
      </w:r>
      <w:r w:rsidRPr="003024E5">
        <w:rPr>
          <w:rFonts w:asciiTheme="minorBidi" w:hAnsiTheme="minorBidi"/>
          <w:color w:val="00B0F0"/>
          <w:rtl/>
        </w:rPr>
        <w:t>)</w:t>
      </w:r>
    </w:p>
    <w:p w14:paraId="0519EEF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EF0CF52" w14:textId="77777777" w:rsidR="002C39F4" w:rsidRPr="003024E5" w:rsidRDefault="002C39F4" w:rsidP="002C39F4">
      <w:pPr>
        <w:rPr>
          <w:rFonts w:asciiTheme="minorBidi" w:hAnsiTheme="minorBidi"/>
          <w:rtl/>
        </w:rPr>
      </w:pPr>
      <w:r w:rsidRPr="003024E5">
        <w:rPr>
          <w:rFonts w:asciiTheme="minorBidi" w:hAnsiTheme="minorBidi"/>
          <w:rtl/>
        </w:rPr>
        <w:t>בשר שנמלח בכלי שאינו מנוקב ושהא בו כשיעור שיתנו מים</w:t>
      </w:r>
      <w:r w:rsidRPr="003024E5">
        <w:rPr>
          <w:rStyle w:val="a7"/>
          <w:rFonts w:asciiTheme="minorBidi" w:hAnsiTheme="minorBidi"/>
          <w:rtl/>
        </w:rPr>
        <w:footnoteReference w:id="250"/>
      </w:r>
      <w:r w:rsidRPr="003024E5">
        <w:rPr>
          <w:rFonts w:asciiTheme="minorBidi" w:hAnsiTheme="minorBidi"/>
          <w:rtl/>
        </w:rPr>
        <w:t xml:space="preserve"> על האש ויתחילו להרתיח כל מה שממנו בציר אסור לאכלו</w:t>
      </w:r>
      <w:r w:rsidRPr="003024E5">
        <w:rPr>
          <w:rStyle w:val="a7"/>
          <w:rFonts w:asciiTheme="minorBidi" w:hAnsiTheme="minorBidi"/>
          <w:rtl/>
        </w:rPr>
        <w:footnoteReference w:id="251"/>
      </w:r>
      <w:r w:rsidRPr="003024E5">
        <w:rPr>
          <w:rFonts w:asciiTheme="minorBidi" w:hAnsiTheme="minorBidi"/>
          <w:rtl/>
        </w:rPr>
        <w:t xml:space="preserve"> אפילו צלי</w:t>
      </w:r>
      <w:r w:rsidRPr="003024E5">
        <w:rPr>
          <w:rStyle w:val="a7"/>
          <w:rFonts w:asciiTheme="minorBidi" w:hAnsiTheme="minorBidi"/>
          <w:rtl/>
        </w:rPr>
        <w:footnoteReference w:id="252"/>
      </w:r>
      <w:r w:rsidRPr="003024E5">
        <w:rPr>
          <w:rFonts w:asciiTheme="minorBidi" w:hAnsiTheme="minorBidi"/>
          <w:rtl/>
        </w:rPr>
        <w:t>, וחלק החתיכה שחוץ לציר אין אסור ממנו אלא כדי קליפה</w:t>
      </w:r>
      <w:r w:rsidRPr="003024E5">
        <w:rPr>
          <w:rStyle w:val="a7"/>
          <w:rFonts w:asciiTheme="minorBidi" w:hAnsiTheme="minorBidi"/>
          <w:rtl/>
        </w:rPr>
        <w:footnoteReference w:id="253"/>
      </w:r>
      <w:r w:rsidRPr="003024E5">
        <w:rPr>
          <w:rFonts w:asciiTheme="minorBidi" w:hAnsiTheme="minorBidi"/>
          <w:rtl/>
        </w:rPr>
        <w:t xml:space="preserve"> ואפילו אם יש בה שומן. </w:t>
      </w:r>
      <w:r w:rsidRPr="003024E5">
        <w:rPr>
          <w:rFonts w:asciiTheme="minorBidi" w:hAnsiTheme="minorBidi"/>
          <w:sz w:val="18"/>
          <w:szCs w:val="18"/>
          <w:rtl/>
        </w:rPr>
        <w:t>הגה: ויש אוסרין כל החתיכה אפילו מה שחוץ לציר</w:t>
      </w:r>
      <w:r w:rsidRPr="003024E5">
        <w:rPr>
          <w:rStyle w:val="a7"/>
          <w:rFonts w:asciiTheme="minorBidi" w:hAnsiTheme="minorBidi"/>
          <w:sz w:val="18"/>
          <w:szCs w:val="18"/>
          <w:rtl/>
        </w:rPr>
        <w:footnoteReference w:id="254"/>
      </w:r>
      <w:r w:rsidRPr="003024E5">
        <w:rPr>
          <w:rFonts w:asciiTheme="minorBidi" w:hAnsiTheme="minorBidi"/>
          <w:sz w:val="18"/>
          <w:szCs w:val="18"/>
          <w:rtl/>
        </w:rPr>
        <w:t xml:space="preserve"> (טור ומרדכי בשם מהר"ף), ואפילו לא נמלח רק מעט כדרך שמולחין לצלי, ואפילו לא שהה שיעור מליחה רק מעט עד שנראה ציר בכלי (מרדכי פכ"ה בשם סה"ת והגשע"ד וארוך כלל י) וכן נוהגין ואין לשנות</w:t>
      </w:r>
      <w:r w:rsidRPr="003024E5">
        <w:rPr>
          <w:rStyle w:val="a7"/>
          <w:rFonts w:asciiTheme="minorBidi" w:hAnsiTheme="minorBidi"/>
          <w:sz w:val="18"/>
          <w:szCs w:val="18"/>
          <w:rtl/>
        </w:rPr>
        <w:footnoteReference w:id="255"/>
      </w:r>
      <w:r w:rsidRPr="003024E5">
        <w:rPr>
          <w:rFonts w:asciiTheme="minorBidi" w:hAnsiTheme="minorBidi"/>
          <w:sz w:val="18"/>
          <w:szCs w:val="18"/>
          <w:rtl/>
        </w:rPr>
        <w:t>, ומכל מקום אינו אסור רק אותה חתיכה המונחת למטה בכלי ונוגעת בציר אבל שאר חתיכות שעליה הנמלחים עמה מותרות</w:t>
      </w:r>
      <w:r w:rsidRPr="003024E5">
        <w:rPr>
          <w:rStyle w:val="a7"/>
          <w:rFonts w:asciiTheme="minorBidi" w:hAnsiTheme="minorBidi"/>
          <w:sz w:val="18"/>
          <w:szCs w:val="18"/>
          <w:rtl/>
        </w:rPr>
        <w:footnoteReference w:id="256"/>
      </w:r>
      <w:r w:rsidRPr="003024E5">
        <w:rPr>
          <w:rFonts w:asciiTheme="minorBidi" w:hAnsiTheme="minorBidi"/>
          <w:sz w:val="18"/>
          <w:szCs w:val="18"/>
          <w:rtl/>
        </w:rPr>
        <w:t xml:space="preserve"> (שם בארוך ובכל בו) והכי נהוג.</w:t>
      </w:r>
      <w:r w:rsidRPr="003024E5">
        <w:rPr>
          <w:rFonts w:asciiTheme="minorBidi" w:hAnsiTheme="minorBidi"/>
          <w:rtl/>
        </w:rPr>
        <w:t xml:space="preserve"> </w:t>
      </w:r>
    </w:p>
    <w:p w14:paraId="074E5DFA" w14:textId="77777777" w:rsidR="002C39F4" w:rsidRPr="003024E5" w:rsidRDefault="002C39F4" w:rsidP="002C39F4">
      <w:pPr>
        <w:rPr>
          <w:rFonts w:asciiTheme="minorBidi" w:hAnsiTheme="minorBidi"/>
          <w:u w:val="single"/>
          <w:rtl/>
        </w:rPr>
      </w:pPr>
      <w:r w:rsidRPr="003024E5">
        <w:rPr>
          <w:rFonts w:asciiTheme="minorBidi" w:hAnsiTheme="minorBidi"/>
          <w:u w:val="single"/>
          <w:rtl/>
        </w:rPr>
        <w:t>מעשה באווז ששהא בציר מליחה בכלי שאינו מנוקב:</w:t>
      </w:r>
    </w:p>
    <w:p w14:paraId="6477E37C"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 xml:space="preserve">ט"ז </w:t>
      </w:r>
      <w:r w:rsidRPr="003024E5">
        <w:rPr>
          <w:rFonts w:asciiTheme="minorBidi" w:hAnsiTheme="minorBidi"/>
          <w:sz w:val="16"/>
          <w:szCs w:val="16"/>
          <w:rtl/>
        </w:rPr>
        <w:t>(סקמ"ד)</w:t>
      </w:r>
      <w:r w:rsidRPr="003024E5">
        <w:rPr>
          <w:rFonts w:asciiTheme="minorBidi" w:hAnsiTheme="minorBidi"/>
          <w:rtl/>
        </w:rPr>
        <w:t>- מעשה בא בעירנו שהניחה אשה אווז שנמלח והודח על אווז שלא נמלח, ומלחה האווז העליונה, והיה זב ציר ממנה ונשרה קצת מן התחתונה בתוך אותו ציר בכלי שאינו מנוקב, נ"ל שבכזה יש לסמוך על הרא"ש ורשב"א ולא לאסור רק מה שמונח בציר ולא הוי אווז התחתון כנמלח בכלי שאינו מנוקב דהא אין כאן מליחה כלל רק ה"ל דין כבוש בציר שנזכר ר"ס ק"ה ושם הביא רמ"א יש מקילין מה שחוץ לציר</w:t>
      </w:r>
      <w:r w:rsidRPr="003024E5">
        <w:rPr>
          <w:rStyle w:val="a7"/>
          <w:rFonts w:asciiTheme="minorBidi" w:hAnsiTheme="minorBidi"/>
          <w:rtl/>
        </w:rPr>
        <w:footnoteReference w:id="257"/>
      </w:r>
      <w:r w:rsidRPr="003024E5">
        <w:rPr>
          <w:rFonts w:asciiTheme="minorBidi" w:hAnsiTheme="minorBidi"/>
          <w:rtl/>
        </w:rPr>
        <w:t>.</w:t>
      </w:r>
    </w:p>
    <w:p w14:paraId="665EF791" w14:textId="77777777" w:rsidR="002C39F4" w:rsidRPr="003024E5" w:rsidRDefault="002C39F4" w:rsidP="002C39F4">
      <w:pPr>
        <w:rPr>
          <w:rFonts w:asciiTheme="minorBidi" w:hAnsiTheme="minorBidi"/>
          <w:u w:val="single"/>
          <w:rtl/>
        </w:rPr>
      </w:pPr>
      <w:r w:rsidRPr="003024E5">
        <w:rPr>
          <w:rFonts w:asciiTheme="minorBidi" w:hAnsiTheme="minorBidi"/>
          <w:u w:val="single"/>
          <w:rtl/>
        </w:rPr>
        <w:t>חתיכה שנפלה לציר בכלי שאינו מנוקב</w:t>
      </w:r>
      <w:r>
        <w:rPr>
          <w:rFonts w:asciiTheme="minorBidi" w:hAnsiTheme="minorBidi" w:hint="cs"/>
          <w:u w:val="single"/>
          <w:rtl/>
        </w:rPr>
        <w:t xml:space="preserve"> ויש ספק מתי נפלה</w:t>
      </w:r>
      <w:r w:rsidRPr="003024E5">
        <w:rPr>
          <w:rFonts w:asciiTheme="minorBidi" w:hAnsiTheme="minorBidi"/>
          <w:u w:val="single"/>
          <w:rtl/>
        </w:rPr>
        <w:t>:</w:t>
      </w:r>
    </w:p>
    <w:p w14:paraId="644C689D" w14:textId="77777777" w:rsidR="002C39F4" w:rsidRPr="003024E5" w:rsidRDefault="002C39F4" w:rsidP="002C39F4">
      <w:pPr>
        <w:pStyle w:val="a8"/>
        <w:numPr>
          <w:ilvl w:val="0"/>
          <w:numId w:val="22"/>
        </w:numPr>
        <w:rPr>
          <w:rFonts w:asciiTheme="minorBidi" w:hAnsiTheme="minorBidi"/>
          <w:rtl/>
        </w:rPr>
      </w:pPr>
      <w:r w:rsidRPr="003024E5">
        <w:rPr>
          <w:rFonts w:asciiTheme="minorBidi" w:hAnsiTheme="minorBidi"/>
          <w:rtl/>
        </w:rPr>
        <w:t xml:space="preserve">ש"ך </w:t>
      </w:r>
      <w:r w:rsidRPr="003024E5">
        <w:rPr>
          <w:rFonts w:asciiTheme="minorBidi" w:hAnsiTheme="minorBidi"/>
          <w:sz w:val="16"/>
          <w:szCs w:val="16"/>
          <w:rtl/>
        </w:rPr>
        <w:t>(סקע"ה)</w:t>
      </w:r>
      <w:r w:rsidRPr="003024E5">
        <w:rPr>
          <w:rFonts w:asciiTheme="minorBidi" w:hAnsiTheme="minorBidi"/>
          <w:rtl/>
        </w:rPr>
        <w:t>- אם נפלה חתיכה לציר בכלי שאינו מנוקב וספק אם נפלה לשם קודם ששהה שיעור מליחה מותר מה שחוץ לציר, וכ"ש אם ברי שנפלה לשם אחר ששהה שיעור מליחה, אבל אם ברי לנו שנפלה לשם קודם ששהה שיעור מליחה אסור אף מה שחוץ לציר, דכיון דעדיין לא פלט כל דמו הוי ממש כמולח בכלי שאינו מנוקב</w:t>
      </w:r>
      <w:r w:rsidRPr="003024E5">
        <w:rPr>
          <w:rStyle w:val="a7"/>
          <w:rFonts w:asciiTheme="minorBidi" w:hAnsiTheme="minorBidi"/>
          <w:rtl/>
        </w:rPr>
        <w:footnoteReference w:id="258"/>
      </w:r>
      <w:r w:rsidRPr="003024E5">
        <w:rPr>
          <w:rFonts w:asciiTheme="minorBidi" w:hAnsiTheme="minorBidi"/>
          <w:rtl/>
        </w:rPr>
        <w:t>.</w:t>
      </w:r>
    </w:p>
    <w:p w14:paraId="6256414D" w14:textId="77777777" w:rsidR="002C39F4" w:rsidRPr="003024E5" w:rsidRDefault="002C39F4" w:rsidP="002C39F4">
      <w:pPr>
        <w:rPr>
          <w:rFonts w:asciiTheme="minorBidi" w:hAnsiTheme="minorBidi"/>
          <w:rtl/>
        </w:rPr>
      </w:pPr>
    </w:p>
    <w:p w14:paraId="221400E4" w14:textId="77777777" w:rsidR="002C39F4" w:rsidRDefault="002C39F4" w:rsidP="002C39F4">
      <w:pPr>
        <w:pStyle w:val="2"/>
        <w:rPr>
          <w:rFonts w:asciiTheme="minorBidi" w:hAnsiTheme="minorBidi"/>
          <w:rtl/>
        </w:rPr>
      </w:pPr>
      <w:r w:rsidRPr="003024E5">
        <w:rPr>
          <w:rFonts w:asciiTheme="minorBidi" w:hAnsiTheme="minorBidi"/>
          <w:rtl/>
        </w:rPr>
        <w:t>סעיף יט: חליטת הבשר לאחר מליחה.</w:t>
      </w:r>
    </w:p>
    <w:p w14:paraId="7472DD1A" w14:textId="77777777" w:rsidR="002C39F4" w:rsidRPr="00393A33" w:rsidRDefault="002C39F4" w:rsidP="002C39F4">
      <w:pPr>
        <w:rPr>
          <w:sz w:val="16"/>
          <w:szCs w:val="16"/>
          <w:rtl/>
        </w:rPr>
      </w:pPr>
      <w:r>
        <w:rPr>
          <w:rFonts w:cs="Arial" w:hint="cs"/>
          <w:b/>
          <w:bCs/>
          <w:rtl/>
        </w:rPr>
        <w:t xml:space="preserve">פסחים עד ע"ב: </w:t>
      </w:r>
      <w:r w:rsidRPr="00393A33">
        <w:rPr>
          <w:rFonts w:cs="Arial"/>
          <w:rtl/>
        </w:rPr>
        <w:t>האי אומצא דאסמיק, חתכיה ומלחיה - אפילו לקדרה שרי.</w:t>
      </w:r>
      <w:r>
        <w:rPr>
          <w:rFonts w:hint="cs"/>
          <w:sz w:val="16"/>
          <w:szCs w:val="16"/>
          <w:rtl/>
        </w:rPr>
        <w:t xml:space="preserve"> (</w:t>
      </w:r>
      <w:r w:rsidRPr="00B33CBB">
        <w:rPr>
          <w:sz w:val="16"/>
          <w:szCs w:val="16"/>
          <w:rtl/>
        </w:rPr>
        <w:t>אלמא המלח מוציא אפילו הדם שבתוך החוטים, ואע"פ שאחר שיעור המליחה המוחל מאדים איכא למימר דקים להו דבשיעור מליחה יוצא כל מה שהוא דם גמור והשאר מוחל אדום הוא שיוצא ומותר</w:t>
      </w:r>
      <w:r>
        <w:rPr>
          <w:rFonts w:hint="cs"/>
          <w:sz w:val="16"/>
          <w:szCs w:val="16"/>
          <w:rtl/>
        </w:rPr>
        <w:t>, ר"ן. ומכאן הוכחה לדברי הראב"ד וסיעתו)</w:t>
      </w:r>
    </w:p>
    <w:p w14:paraId="75992A13" w14:textId="77777777" w:rsidR="002C39F4" w:rsidRPr="003024E5" w:rsidRDefault="002C39F4" w:rsidP="002C39F4">
      <w:pPr>
        <w:rPr>
          <w:rFonts w:asciiTheme="minorBidi" w:hAnsiTheme="minorBidi"/>
          <w:u w:val="single"/>
          <w:rtl/>
        </w:rPr>
      </w:pPr>
      <w:r w:rsidRPr="003024E5">
        <w:rPr>
          <w:rFonts w:asciiTheme="minorBidi" w:hAnsiTheme="minorBidi"/>
          <w:u w:val="single"/>
          <w:rtl/>
        </w:rPr>
        <w:t>האם מותר לבשל את הבשר לאחר שנמלח והודח כדין או שצריך להכניסו לרותחין דוקא:</w:t>
      </w:r>
    </w:p>
    <w:p w14:paraId="0FF01005" w14:textId="77777777" w:rsidR="002C39F4" w:rsidRPr="003024E5" w:rsidRDefault="002C39F4" w:rsidP="002C39F4">
      <w:pPr>
        <w:pStyle w:val="a8"/>
        <w:numPr>
          <w:ilvl w:val="0"/>
          <w:numId w:val="24"/>
        </w:numPr>
        <w:rPr>
          <w:rFonts w:asciiTheme="minorBidi" w:hAnsiTheme="minorBidi"/>
          <w:rtl/>
        </w:rPr>
      </w:pPr>
      <w:r w:rsidRPr="003024E5">
        <w:rPr>
          <w:rFonts w:asciiTheme="minorBidi" w:hAnsiTheme="minorBidi"/>
          <w:rtl/>
        </w:rPr>
        <w:t>רמב"ם</w:t>
      </w:r>
      <w:r w:rsidRPr="003024E5">
        <w:rPr>
          <w:rStyle w:val="a7"/>
          <w:rFonts w:asciiTheme="minorBidi" w:hAnsiTheme="minorBidi"/>
          <w:rtl/>
        </w:rPr>
        <w:footnoteReference w:id="259"/>
      </w:r>
      <w:r w:rsidRPr="003024E5">
        <w:rPr>
          <w:rFonts w:asciiTheme="minorBidi" w:hAnsiTheme="minorBidi"/>
          <w:rtl/>
        </w:rPr>
        <w:t>- לאחר שמדיחו "משליכו מיד לתוך מים רותחין אבל לא לפושרין כדי שיתלבן מיד ולא יצא דם"</w:t>
      </w:r>
      <w:r w:rsidRPr="003024E5">
        <w:rPr>
          <w:rStyle w:val="a7"/>
          <w:rFonts w:asciiTheme="minorBidi" w:hAnsiTheme="minorBidi"/>
          <w:rtl/>
        </w:rPr>
        <w:footnoteReference w:id="260"/>
      </w:r>
      <w:r w:rsidRPr="003024E5">
        <w:rPr>
          <w:rFonts w:asciiTheme="minorBidi" w:hAnsiTheme="minorBidi"/>
          <w:rtl/>
        </w:rPr>
        <w:t xml:space="preserve">. </w:t>
      </w:r>
    </w:p>
    <w:p w14:paraId="07A33FB3" w14:textId="77777777" w:rsidR="002C39F4" w:rsidRPr="003024E5" w:rsidRDefault="002C39F4" w:rsidP="002C39F4">
      <w:pPr>
        <w:pStyle w:val="a8"/>
        <w:numPr>
          <w:ilvl w:val="0"/>
          <w:numId w:val="24"/>
        </w:numPr>
        <w:rPr>
          <w:rFonts w:asciiTheme="minorBidi" w:hAnsiTheme="minorBidi"/>
        </w:rPr>
      </w:pPr>
      <w:r w:rsidRPr="003024E5">
        <w:rPr>
          <w:rFonts w:asciiTheme="minorBidi" w:hAnsiTheme="minorBidi"/>
          <w:rtl/>
        </w:rPr>
        <w:t>ראב"ד רשב"א ר"ן הה"מ וריב"ש</w:t>
      </w:r>
      <w:r w:rsidRPr="003024E5">
        <w:rPr>
          <w:rStyle w:val="a7"/>
          <w:rFonts w:asciiTheme="minorBidi" w:hAnsiTheme="minorBidi"/>
          <w:rtl/>
        </w:rPr>
        <w:footnoteReference w:id="261"/>
      </w:r>
      <w:r w:rsidRPr="003024E5">
        <w:rPr>
          <w:rFonts w:asciiTheme="minorBidi" w:hAnsiTheme="minorBidi"/>
          <w:rtl/>
        </w:rPr>
        <w:t>- לאחר שמולחו ומדיחו אינו צריך כלום.</w:t>
      </w:r>
      <w:r w:rsidRPr="00B33CBB">
        <w:rPr>
          <w:rFonts w:asciiTheme="minorBidi" w:hAnsiTheme="minorBidi"/>
          <w:color w:val="00B0F0"/>
          <w:rtl/>
        </w:rPr>
        <w:t xml:space="preserve"> </w:t>
      </w:r>
      <w:r w:rsidRPr="00B33CBB">
        <w:rPr>
          <w:rFonts w:asciiTheme="minorBidi" w:hAnsiTheme="minorBidi" w:hint="cs"/>
          <w:color w:val="00B0F0"/>
          <w:rtl/>
        </w:rPr>
        <w:t>(וכ"פ הרמ"א)</w:t>
      </w:r>
    </w:p>
    <w:p w14:paraId="1CCF6C21" w14:textId="77777777" w:rsidR="002C39F4" w:rsidRPr="003024E5" w:rsidRDefault="002C39F4" w:rsidP="002C39F4">
      <w:pPr>
        <w:pStyle w:val="a8"/>
        <w:numPr>
          <w:ilvl w:val="1"/>
          <w:numId w:val="22"/>
        </w:numPr>
        <w:rPr>
          <w:rFonts w:asciiTheme="minorBidi" w:hAnsiTheme="minorBidi"/>
          <w:rtl/>
        </w:rPr>
      </w:pPr>
      <w:r w:rsidRPr="003024E5">
        <w:rPr>
          <w:rFonts w:asciiTheme="minorBidi" w:hAnsiTheme="minorBidi"/>
          <w:rtl/>
        </w:rPr>
        <w:t>ב"י- ולענין הלכה כיון דכל הני רבוותא חולקים על הרמב"ם כוותייהו נקטינן ומיהו היכא דאיפשר טוב לחוש לדברי הרמב"ם ז"ל</w:t>
      </w:r>
      <w:r w:rsidRPr="003024E5">
        <w:rPr>
          <w:rStyle w:val="a7"/>
          <w:rFonts w:asciiTheme="minorBidi" w:hAnsiTheme="minorBidi"/>
          <w:rtl/>
        </w:rPr>
        <w:footnoteReference w:id="262"/>
      </w:r>
      <w:r w:rsidRPr="003024E5">
        <w:rPr>
          <w:rFonts w:asciiTheme="minorBidi" w:hAnsiTheme="minorBidi"/>
          <w:rtl/>
        </w:rPr>
        <w:t>.</w:t>
      </w:r>
    </w:p>
    <w:p w14:paraId="5C73E70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5721A55" w14:textId="77777777" w:rsidR="002C39F4" w:rsidRPr="003024E5" w:rsidRDefault="002C39F4" w:rsidP="002C39F4">
      <w:pPr>
        <w:rPr>
          <w:rFonts w:asciiTheme="minorBidi" w:hAnsiTheme="minorBidi"/>
          <w:rtl/>
        </w:rPr>
      </w:pPr>
      <w:r w:rsidRPr="003024E5">
        <w:rPr>
          <w:rFonts w:asciiTheme="minorBidi" w:hAnsiTheme="minorBidi"/>
          <w:rtl/>
        </w:rPr>
        <w:t>אחר שנמלח הבשר והודח מותר ליתנו אפילו במים שאינם רותחין, ויש מי שמצריך ליתנו במים רותחין</w:t>
      </w:r>
      <w:r w:rsidRPr="003024E5">
        <w:rPr>
          <w:rStyle w:val="a7"/>
          <w:rFonts w:asciiTheme="minorBidi" w:hAnsiTheme="minorBidi"/>
          <w:rtl/>
        </w:rPr>
        <w:footnoteReference w:id="263"/>
      </w:r>
      <w:r w:rsidRPr="003024E5">
        <w:rPr>
          <w:rFonts w:asciiTheme="minorBidi" w:hAnsiTheme="minorBidi"/>
          <w:rtl/>
        </w:rPr>
        <w:t>.</w:t>
      </w:r>
      <w:r w:rsidRPr="003024E5">
        <w:rPr>
          <w:rFonts w:asciiTheme="minorBidi" w:hAnsiTheme="minorBidi"/>
          <w:sz w:val="18"/>
          <w:szCs w:val="18"/>
          <w:rtl/>
        </w:rPr>
        <w:t xml:space="preserve"> [הגה] והמנהג כסברא ראשונה, וכן עיקר (ב"י ודעת עצמו).</w:t>
      </w:r>
      <w:r w:rsidRPr="003024E5">
        <w:rPr>
          <w:rFonts w:asciiTheme="minorBidi" w:hAnsiTheme="minorBidi"/>
          <w:rtl/>
        </w:rPr>
        <w:t xml:space="preserve"> </w:t>
      </w:r>
    </w:p>
    <w:p w14:paraId="65690A37" w14:textId="77777777" w:rsidR="002C39F4" w:rsidRPr="003024E5" w:rsidRDefault="002C39F4" w:rsidP="002C39F4">
      <w:pPr>
        <w:rPr>
          <w:rFonts w:asciiTheme="minorBidi" w:hAnsiTheme="minorBidi"/>
          <w:rtl/>
        </w:rPr>
      </w:pPr>
    </w:p>
    <w:p w14:paraId="09B9C9EF" w14:textId="77777777" w:rsidR="002C39F4" w:rsidRPr="003024E5" w:rsidRDefault="002C39F4" w:rsidP="002C39F4">
      <w:pPr>
        <w:pStyle w:val="2"/>
        <w:rPr>
          <w:rFonts w:asciiTheme="minorBidi" w:hAnsiTheme="minorBidi"/>
          <w:rtl/>
        </w:rPr>
      </w:pPr>
      <w:r w:rsidRPr="003024E5">
        <w:rPr>
          <w:rFonts w:asciiTheme="minorBidi" w:hAnsiTheme="minorBidi"/>
          <w:rtl/>
        </w:rPr>
        <w:t>סעיף כ: בשר שנמלח ולא הודח.</w:t>
      </w:r>
    </w:p>
    <w:p w14:paraId="37848328" w14:textId="77777777" w:rsidR="002C39F4" w:rsidRPr="003024E5" w:rsidRDefault="002C39F4" w:rsidP="002C39F4">
      <w:pPr>
        <w:rPr>
          <w:rFonts w:asciiTheme="minorBidi" w:hAnsiTheme="minorBidi"/>
          <w:u w:val="single"/>
          <w:rtl/>
        </w:rPr>
      </w:pPr>
      <w:r w:rsidRPr="003024E5">
        <w:rPr>
          <w:rFonts w:asciiTheme="minorBidi" w:hAnsiTheme="minorBidi"/>
          <w:u w:val="single"/>
          <w:rtl/>
        </w:rPr>
        <w:t xml:space="preserve">בשר שנמלח ושהה כדי מליחה ונתנוהו אח"כ בכלי </w:t>
      </w:r>
      <w:r>
        <w:rPr>
          <w:rFonts w:asciiTheme="minorBidi" w:hAnsiTheme="minorBidi" w:hint="cs"/>
          <w:u w:val="single"/>
          <w:rtl/>
        </w:rPr>
        <w:t xml:space="preserve">שאינו מנוקב </w:t>
      </w:r>
      <w:r w:rsidRPr="003024E5">
        <w:rPr>
          <w:rFonts w:asciiTheme="minorBidi" w:hAnsiTheme="minorBidi"/>
          <w:u w:val="single"/>
          <w:rtl/>
        </w:rPr>
        <w:t>בלא הדחה ונתמלא מציר:</w:t>
      </w:r>
    </w:p>
    <w:p w14:paraId="71A86B3F" w14:textId="77777777" w:rsidR="002C39F4" w:rsidRPr="003024E5" w:rsidRDefault="002C39F4" w:rsidP="002C39F4">
      <w:pPr>
        <w:pStyle w:val="a8"/>
        <w:numPr>
          <w:ilvl w:val="0"/>
          <w:numId w:val="26"/>
        </w:numPr>
        <w:rPr>
          <w:rFonts w:asciiTheme="minorBidi" w:hAnsiTheme="minorBidi"/>
        </w:rPr>
      </w:pPr>
      <w:r w:rsidRPr="003024E5">
        <w:rPr>
          <w:rFonts w:asciiTheme="minorBidi" w:hAnsiTheme="minorBidi"/>
          <w:rtl/>
        </w:rPr>
        <w:t>רש"י ראבי"ה רוקח רא"ש וטור</w:t>
      </w:r>
      <w:r w:rsidRPr="003024E5">
        <w:rPr>
          <w:rStyle w:val="a7"/>
          <w:rFonts w:asciiTheme="minorBidi" w:hAnsiTheme="minorBidi"/>
          <w:rtl/>
        </w:rPr>
        <w:footnoteReference w:id="264"/>
      </w:r>
      <w:r w:rsidRPr="003024E5">
        <w:rPr>
          <w:rFonts w:asciiTheme="minorBidi" w:hAnsiTheme="minorBidi"/>
          <w:rtl/>
        </w:rPr>
        <w:t>- מותר</w:t>
      </w:r>
      <w:r w:rsidRPr="003024E5">
        <w:rPr>
          <w:rStyle w:val="a7"/>
          <w:rFonts w:asciiTheme="minorBidi" w:hAnsiTheme="minorBidi"/>
          <w:rtl/>
        </w:rPr>
        <w:footnoteReference w:id="265"/>
      </w:r>
      <w:r w:rsidRPr="003024E5">
        <w:rPr>
          <w:rFonts w:asciiTheme="minorBidi" w:hAnsiTheme="minorBidi"/>
          <w:rtl/>
        </w:rPr>
        <w:t>.</w:t>
      </w:r>
    </w:p>
    <w:p w14:paraId="6527484B" w14:textId="77777777" w:rsidR="002C39F4" w:rsidRPr="003024E5" w:rsidRDefault="002C39F4" w:rsidP="002C39F4">
      <w:pPr>
        <w:pStyle w:val="a8"/>
        <w:numPr>
          <w:ilvl w:val="0"/>
          <w:numId w:val="26"/>
        </w:numPr>
        <w:rPr>
          <w:rFonts w:asciiTheme="minorBidi" w:hAnsiTheme="minorBidi"/>
        </w:rPr>
      </w:pPr>
      <w:r w:rsidRPr="003024E5">
        <w:rPr>
          <w:rFonts w:asciiTheme="minorBidi" w:hAnsiTheme="minorBidi"/>
          <w:rtl/>
        </w:rPr>
        <w:t>תוס' וסמ"ג</w:t>
      </w:r>
      <w:r w:rsidRPr="003024E5">
        <w:rPr>
          <w:rStyle w:val="a7"/>
          <w:rFonts w:asciiTheme="minorBidi" w:hAnsiTheme="minorBidi"/>
          <w:rtl/>
        </w:rPr>
        <w:footnoteReference w:id="266"/>
      </w:r>
      <w:r w:rsidRPr="003024E5">
        <w:rPr>
          <w:rFonts w:asciiTheme="minorBidi" w:hAnsiTheme="minorBidi"/>
          <w:rtl/>
        </w:rPr>
        <w:t xml:space="preserve">- אין להקל כרש"י שכבר נהגו העם איסור. </w:t>
      </w:r>
    </w:p>
    <w:p w14:paraId="2F0D618E" w14:textId="77777777" w:rsidR="002C39F4" w:rsidRPr="003024E5" w:rsidRDefault="002C39F4" w:rsidP="002C39F4">
      <w:pPr>
        <w:pStyle w:val="a8"/>
        <w:numPr>
          <w:ilvl w:val="0"/>
          <w:numId w:val="26"/>
        </w:numPr>
        <w:rPr>
          <w:rFonts w:asciiTheme="minorBidi" w:hAnsiTheme="minorBidi"/>
        </w:rPr>
      </w:pPr>
      <w:r>
        <w:rPr>
          <w:rFonts w:asciiTheme="minorBidi" w:hAnsiTheme="minorBidi"/>
          <w:rtl/>
        </w:rPr>
        <w:t>או"ה</w:t>
      </w:r>
      <w:r w:rsidRPr="003024E5">
        <w:rPr>
          <w:rFonts w:asciiTheme="minorBidi" w:hAnsiTheme="minorBidi"/>
          <w:sz w:val="16"/>
          <w:szCs w:val="16"/>
          <w:rtl/>
        </w:rPr>
        <w:t xml:space="preserve"> (כלל י דט</w:t>
      </w:r>
      <w:r>
        <w:rPr>
          <w:rFonts w:asciiTheme="minorBidi" w:hAnsiTheme="minorBidi" w:hint="cs"/>
          <w:sz w:val="16"/>
          <w:szCs w:val="16"/>
          <w:rtl/>
        </w:rPr>
        <w:t>"</w:t>
      </w:r>
      <w:r w:rsidRPr="003024E5">
        <w:rPr>
          <w:rFonts w:asciiTheme="minorBidi" w:hAnsiTheme="minorBidi"/>
          <w:sz w:val="16"/>
          <w:szCs w:val="16"/>
          <w:rtl/>
        </w:rPr>
        <w:t>ז, הביאו הדרכ"מ [אות לט])</w:t>
      </w:r>
      <w:r w:rsidRPr="003024E5">
        <w:rPr>
          <w:rFonts w:asciiTheme="minorBidi" w:hAnsiTheme="minorBidi"/>
          <w:rtl/>
        </w:rPr>
        <w:t>- המנהג לאסרו אפילו בדיעבד ואפילו לא שהה בתוכו רק מעט הכל אסור, וכן נהגו העולם לאסרו הכל ולא סגי ליה בקליפה</w:t>
      </w:r>
      <w:r w:rsidRPr="003024E5">
        <w:rPr>
          <w:rStyle w:val="a7"/>
          <w:rFonts w:asciiTheme="minorBidi" w:hAnsiTheme="minorBidi"/>
          <w:rtl/>
        </w:rPr>
        <w:footnoteReference w:id="267"/>
      </w:r>
      <w:r w:rsidRPr="003024E5">
        <w:rPr>
          <w:rFonts w:asciiTheme="minorBidi" w:hAnsiTheme="minorBidi"/>
          <w:rtl/>
        </w:rPr>
        <w:t>. (וכ"פ מהרש"ל</w:t>
      </w:r>
      <w:r w:rsidRPr="003024E5">
        <w:rPr>
          <w:rStyle w:val="a7"/>
          <w:rFonts w:asciiTheme="minorBidi" w:hAnsiTheme="minorBidi"/>
          <w:rtl/>
        </w:rPr>
        <w:footnoteReference w:id="268"/>
      </w:r>
      <w:r w:rsidRPr="003024E5">
        <w:rPr>
          <w:rFonts w:asciiTheme="minorBidi" w:hAnsiTheme="minorBidi"/>
          <w:rtl/>
        </w:rPr>
        <w:t>)</w:t>
      </w:r>
    </w:p>
    <w:p w14:paraId="2F64452D" w14:textId="77777777" w:rsidR="002C39F4" w:rsidRPr="003024E5" w:rsidRDefault="002C39F4" w:rsidP="002C39F4">
      <w:pPr>
        <w:pStyle w:val="a8"/>
        <w:numPr>
          <w:ilvl w:val="0"/>
          <w:numId w:val="26"/>
        </w:numPr>
        <w:rPr>
          <w:rFonts w:asciiTheme="minorBidi" w:hAnsiTheme="minorBidi"/>
        </w:rPr>
      </w:pPr>
      <w:r w:rsidRPr="003024E5">
        <w:rPr>
          <w:rFonts w:asciiTheme="minorBidi" w:hAnsiTheme="minorBidi"/>
          <w:rtl/>
        </w:rPr>
        <w:t>שע"ד</w:t>
      </w:r>
      <w:r w:rsidRPr="003024E5">
        <w:rPr>
          <w:rFonts w:asciiTheme="minorBidi" w:hAnsiTheme="minorBidi"/>
          <w:sz w:val="16"/>
          <w:szCs w:val="16"/>
          <w:rtl/>
        </w:rPr>
        <w:t xml:space="preserve"> (סי' יד)</w:t>
      </w:r>
      <w:r w:rsidRPr="003024E5">
        <w:rPr>
          <w:rFonts w:asciiTheme="minorBidi" w:hAnsiTheme="minorBidi"/>
          <w:rtl/>
        </w:rPr>
        <w:t>- נהגו העולם לאסור אפילו שהה בכלי מנוקב תחלה</w:t>
      </w:r>
      <w:r>
        <w:rPr>
          <w:rFonts w:asciiTheme="minorBidi" w:hAnsiTheme="minorBidi" w:hint="cs"/>
          <w:rtl/>
        </w:rPr>
        <w:t>,</w:t>
      </w:r>
      <w:r w:rsidRPr="003024E5">
        <w:rPr>
          <w:rFonts w:asciiTheme="minorBidi" w:hAnsiTheme="minorBidi"/>
          <w:rtl/>
        </w:rPr>
        <w:t xml:space="preserve"> ורגילים להתיר ע"י קליפה מאחר ששהה בכלי מנוקב כדי שיעור מליחה</w:t>
      </w:r>
      <w:r w:rsidRPr="003024E5">
        <w:rPr>
          <w:rStyle w:val="a7"/>
          <w:rFonts w:asciiTheme="minorBidi" w:hAnsiTheme="minorBidi"/>
          <w:rtl/>
        </w:rPr>
        <w:footnoteReference w:id="269"/>
      </w:r>
      <w:r w:rsidRPr="003024E5">
        <w:rPr>
          <w:rFonts w:asciiTheme="minorBidi" w:hAnsiTheme="minorBidi"/>
          <w:rtl/>
        </w:rPr>
        <w:t xml:space="preserve">. </w:t>
      </w:r>
      <w:r w:rsidRPr="003024E5">
        <w:rPr>
          <w:rFonts w:asciiTheme="minorBidi" w:hAnsiTheme="minorBidi"/>
          <w:color w:val="00B0F0"/>
          <w:rtl/>
        </w:rPr>
        <w:t>(וכ"פ הרמ"א)</w:t>
      </w:r>
    </w:p>
    <w:p w14:paraId="34BE98DA" w14:textId="77777777" w:rsidR="002C39F4" w:rsidRPr="003024E5" w:rsidRDefault="002C39F4" w:rsidP="002C39F4">
      <w:pPr>
        <w:pStyle w:val="a8"/>
        <w:numPr>
          <w:ilvl w:val="0"/>
          <w:numId w:val="26"/>
        </w:numPr>
        <w:rPr>
          <w:rFonts w:asciiTheme="minorBidi" w:hAnsiTheme="minorBidi"/>
        </w:rPr>
      </w:pPr>
      <w:r w:rsidRPr="003024E5">
        <w:rPr>
          <w:rFonts w:asciiTheme="minorBidi" w:hAnsiTheme="minorBidi"/>
          <w:rtl/>
        </w:rPr>
        <w:t xml:space="preserve">ר"א ממיץ </w:t>
      </w:r>
      <w:r w:rsidRPr="003024E5">
        <w:rPr>
          <w:rFonts w:asciiTheme="minorBidi" w:hAnsiTheme="minorBidi"/>
          <w:sz w:val="16"/>
          <w:szCs w:val="16"/>
          <w:rtl/>
        </w:rPr>
        <w:t>(הביאו הרוקח)</w:t>
      </w:r>
      <w:r w:rsidRPr="003024E5">
        <w:rPr>
          <w:rFonts w:asciiTheme="minorBidi" w:hAnsiTheme="minorBidi"/>
          <w:rtl/>
        </w:rPr>
        <w:t>- בשר לח מאחר שנמלח ולא הודח אפי' אם שהה כשיעור</w:t>
      </w:r>
      <w:r w:rsidRPr="003024E5">
        <w:rPr>
          <w:rFonts w:asciiTheme="minorBidi" w:hAnsiTheme="minorBidi"/>
          <w:color w:val="FF0000"/>
          <w:rtl/>
        </w:rPr>
        <w:t xml:space="preserve"> </w:t>
      </w:r>
      <w:r w:rsidRPr="00072BAF">
        <w:rPr>
          <w:rFonts w:asciiTheme="minorBidi" w:hAnsiTheme="minorBidi"/>
          <w:color w:val="000000" w:themeColor="text1"/>
          <w:rtl/>
        </w:rPr>
        <w:t xml:space="preserve">צלייה </w:t>
      </w:r>
      <w:r w:rsidRPr="003024E5">
        <w:rPr>
          <w:rFonts w:asciiTheme="minorBidi" w:hAnsiTheme="minorBidi"/>
          <w:rtl/>
        </w:rPr>
        <w:t>ואח"כ ניתן בכלי ומצאו בו ציר שניטף ממנו אותו הבשר אסור</w:t>
      </w:r>
      <w:r w:rsidRPr="003024E5">
        <w:rPr>
          <w:rStyle w:val="a7"/>
          <w:rFonts w:asciiTheme="minorBidi" w:hAnsiTheme="minorBidi"/>
          <w:rtl/>
        </w:rPr>
        <w:footnoteReference w:id="270"/>
      </w:r>
      <w:r w:rsidRPr="003024E5">
        <w:rPr>
          <w:rFonts w:asciiTheme="minorBidi" w:hAnsiTheme="minorBidi"/>
          <w:rtl/>
        </w:rPr>
        <w:t>.</w:t>
      </w:r>
    </w:p>
    <w:p w14:paraId="0EFAC44E" w14:textId="77777777" w:rsidR="002C39F4" w:rsidRPr="00072BAF" w:rsidRDefault="002C39F4" w:rsidP="002C39F4">
      <w:pPr>
        <w:ind w:left="360"/>
        <w:rPr>
          <w:rFonts w:asciiTheme="minorBidi" w:hAnsiTheme="minorBidi"/>
          <w:sz w:val="16"/>
          <w:szCs w:val="16"/>
          <w:u w:val="dotted"/>
        </w:rPr>
      </w:pPr>
      <w:r w:rsidRPr="00072BAF">
        <w:rPr>
          <w:rFonts w:asciiTheme="minorBidi" w:hAnsiTheme="minorBidi"/>
          <w:u w:val="dotted"/>
          <w:rtl/>
        </w:rPr>
        <w:t xml:space="preserve">האם יש </w:t>
      </w:r>
      <w:r w:rsidRPr="00072BAF">
        <w:rPr>
          <w:rFonts w:asciiTheme="minorBidi" w:hAnsiTheme="minorBidi" w:hint="cs"/>
          <w:u w:val="dotted"/>
          <w:rtl/>
        </w:rPr>
        <w:t>ל</w:t>
      </w:r>
      <w:r w:rsidRPr="00072BAF">
        <w:rPr>
          <w:rFonts w:asciiTheme="minorBidi" w:hAnsiTheme="minorBidi"/>
          <w:u w:val="dotted"/>
          <w:rtl/>
        </w:rPr>
        <w:t>ציר</w:t>
      </w:r>
      <w:r w:rsidRPr="00072BAF">
        <w:rPr>
          <w:rFonts w:asciiTheme="minorBidi" w:hAnsiTheme="minorBidi" w:hint="cs"/>
          <w:u w:val="dotted"/>
          <w:rtl/>
        </w:rPr>
        <w:t xml:space="preserve"> זה</w:t>
      </w:r>
      <w:r w:rsidRPr="00072BAF">
        <w:rPr>
          <w:rFonts w:asciiTheme="minorBidi" w:hAnsiTheme="minorBidi"/>
          <w:u w:val="dotted"/>
          <w:rtl/>
        </w:rPr>
        <w:t xml:space="preserve"> </w:t>
      </w:r>
      <w:r w:rsidRPr="00072BAF">
        <w:rPr>
          <w:rFonts w:asciiTheme="minorBidi" w:hAnsiTheme="minorBidi"/>
          <w:sz w:val="16"/>
          <w:szCs w:val="16"/>
          <w:u w:val="dotted"/>
          <w:rtl/>
        </w:rPr>
        <w:t>(של מעשה רש"י)</w:t>
      </w:r>
      <w:r w:rsidRPr="00072BAF">
        <w:rPr>
          <w:rFonts w:asciiTheme="minorBidi" w:hAnsiTheme="minorBidi"/>
          <w:u w:val="dotted"/>
          <w:rtl/>
        </w:rPr>
        <w:t xml:space="preserve"> דין בשר מלוח לאסור גבינה וחלב:</w:t>
      </w:r>
    </w:p>
    <w:p w14:paraId="4549A766" w14:textId="77777777" w:rsidR="002C39F4" w:rsidRPr="00DF6810" w:rsidRDefault="002C39F4" w:rsidP="002C39F4">
      <w:pPr>
        <w:pStyle w:val="a8"/>
        <w:numPr>
          <w:ilvl w:val="0"/>
          <w:numId w:val="26"/>
        </w:numPr>
        <w:rPr>
          <w:rFonts w:asciiTheme="minorBidi" w:hAnsiTheme="minorBidi"/>
          <w:rtl/>
        </w:rPr>
      </w:pPr>
      <w:r w:rsidRPr="003024E5">
        <w:rPr>
          <w:rFonts w:asciiTheme="minorBidi" w:hAnsiTheme="minorBidi"/>
          <w:rtl/>
        </w:rPr>
        <w:t>ריב"א</w:t>
      </w:r>
      <w:r w:rsidRPr="003024E5">
        <w:rPr>
          <w:rStyle w:val="a7"/>
          <w:rFonts w:asciiTheme="minorBidi" w:hAnsiTheme="minorBidi"/>
          <w:rtl/>
        </w:rPr>
        <w:footnoteReference w:id="271"/>
      </w:r>
      <w:r w:rsidRPr="003024E5">
        <w:rPr>
          <w:rFonts w:asciiTheme="minorBidi" w:hAnsiTheme="minorBidi"/>
          <w:rtl/>
        </w:rPr>
        <w:t>- אין על אותו ציר דין דם מלוח אבל יש לו דין בשר מלוח לאסור גבינה וחלב באשר נפל הציר עליהם</w:t>
      </w:r>
      <w:r w:rsidRPr="003024E5">
        <w:rPr>
          <w:rStyle w:val="a7"/>
          <w:rFonts w:asciiTheme="minorBidi" w:hAnsiTheme="minorBidi"/>
          <w:rtl/>
        </w:rPr>
        <w:footnoteReference w:id="272"/>
      </w:r>
      <w:r w:rsidRPr="00DF6810">
        <w:rPr>
          <w:rFonts w:asciiTheme="minorBidi" w:hAnsiTheme="minorBidi"/>
          <w:rtl/>
        </w:rPr>
        <w:t xml:space="preserve">. </w:t>
      </w:r>
      <w:r>
        <w:rPr>
          <w:rFonts w:asciiTheme="minorBidi" w:hAnsiTheme="minorBidi" w:hint="cs"/>
          <w:color w:val="00B0F0"/>
          <w:rtl/>
        </w:rPr>
        <w:t>(</w:t>
      </w:r>
      <w:r w:rsidRPr="00DF6810">
        <w:rPr>
          <w:rFonts w:asciiTheme="minorBidi" w:hAnsiTheme="minorBidi" w:hint="cs"/>
          <w:color w:val="00B0F0"/>
          <w:rtl/>
        </w:rPr>
        <w:t>וכ"פ הרמ"א)</w:t>
      </w:r>
    </w:p>
    <w:p w14:paraId="35A7BD56" w14:textId="77777777" w:rsidR="002C39F4" w:rsidRPr="003024E5" w:rsidRDefault="002C39F4" w:rsidP="002C39F4">
      <w:pPr>
        <w:rPr>
          <w:rFonts w:asciiTheme="minorBidi" w:hAnsiTheme="minorBidi"/>
          <w:u w:val="single"/>
        </w:rPr>
      </w:pPr>
      <w:r>
        <w:rPr>
          <w:rFonts w:asciiTheme="minorBidi" w:hAnsiTheme="minorBidi" w:hint="cs"/>
          <w:u w:val="single"/>
          <w:rtl/>
        </w:rPr>
        <w:t xml:space="preserve">חתיכת </w:t>
      </w:r>
      <w:r w:rsidRPr="003024E5">
        <w:rPr>
          <w:rFonts w:asciiTheme="minorBidi" w:hAnsiTheme="minorBidi"/>
          <w:u w:val="single"/>
          <w:rtl/>
        </w:rPr>
        <w:t>בשר שנפל</w:t>
      </w:r>
      <w:r>
        <w:rPr>
          <w:rFonts w:asciiTheme="minorBidi" w:hAnsiTheme="minorBidi" w:hint="cs"/>
          <w:u w:val="single"/>
          <w:rtl/>
        </w:rPr>
        <w:t>ה</w:t>
      </w:r>
      <w:r w:rsidRPr="003024E5">
        <w:rPr>
          <w:rFonts w:asciiTheme="minorBidi" w:hAnsiTheme="minorBidi"/>
          <w:u w:val="single"/>
          <w:rtl/>
        </w:rPr>
        <w:t xml:space="preserve"> לתוך </w:t>
      </w:r>
      <w:r>
        <w:rPr>
          <w:rFonts w:asciiTheme="minorBidi" w:hAnsiTheme="minorBidi" w:hint="cs"/>
          <w:u w:val="single"/>
          <w:rtl/>
        </w:rPr>
        <w:t xml:space="preserve">'חמר בשר' </w:t>
      </w:r>
      <w:r w:rsidRPr="00EB675E">
        <w:rPr>
          <w:rFonts w:asciiTheme="minorBidi" w:hAnsiTheme="minorBidi" w:hint="cs"/>
          <w:sz w:val="16"/>
          <w:szCs w:val="16"/>
          <w:u w:val="single"/>
          <w:rtl/>
        </w:rPr>
        <w:t>(</w:t>
      </w:r>
      <w:r w:rsidRPr="00EB675E">
        <w:rPr>
          <w:rFonts w:asciiTheme="minorBidi" w:hAnsiTheme="minorBidi"/>
          <w:sz w:val="16"/>
          <w:szCs w:val="16"/>
          <w:u w:val="single"/>
          <w:rtl/>
        </w:rPr>
        <w:t xml:space="preserve">ציר </w:t>
      </w:r>
      <w:r>
        <w:rPr>
          <w:rFonts w:asciiTheme="minorBidi" w:hAnsiTheme="minorBidi" w:hint="cs"/>
          <w:sz w:val="16"/>
          <w:szCs w:val="16"/>
          <w:u w:val="single"/>
          <w:rtl/>
        </w:rPr>
        <w:t>ש</w:t>
      </w:r>
      <w:r w:rsidRPr="00EB675E">
        <w:rPr>
          <w:rFonts w:asciiTheme="minorBidi" w:hAnsiTheme="minorBidi"/>
          <w:sz w:val="16"/>
          <w:szCs w:val="16"/>
          <w:u w:val="single"/>
          <w:rtl/>
        </w:rPr>
        <w:t>יצא מבשר אחר ששהה כדי מליחה</w:t>
      </w:r>
      <w:r>
        <w:rPr>
          <w:rFonts w:asciiTheme="minorBidi" w:hAnsiTheme="minorBidi" w:hint="cs"/>
          <w:sz w:val="16"/>
          <w:szCs w:val="16"/>
          <w:u w:val="single"/>
          <w:rtl/>
        </w:rPr>
        <w:t>)</w:t>
      </w:r>
      <w:r w:rsidRPr="003024E5">
        <w:rPr>
          <w:rFonts w:asciiTheme="minorBidi" w:hAnsiTheme="minorBidi"/>
          <w:u w:val="single"/>
          <w:rtl/>
        </w:rPr>
        <w:t>:</w:t>
      </w:r>
    </w:p>
    <w:p w14:paraId="7F175871" w14:textId="77777777" w:rsidR="002C39F4" w:rsidRPr="003024E5" w:rsidRDefault="002C39F4" w:rsidP="002C39F4">
      <w:pPr>
        <w:pStyle w:val="a8"/>
        <w:numPr>
          <w:ilvl w:val="0"/>
          <w:numId w:val="26"/>
        </w:numPr>
        <w:rPr>
          <w:rFonts w:asciiTheme="minorBidi" w:hAnsiTheme="minorBidi"/>
        </w:rPr>
      </w:pPr>
      <w:r w:rsidRPr="003024E5">
        <w:rPr>
          <w:rFonts w:asciiTheme="minorBidi" w:hAnsiTheme="minorBidi"/>
          <w:rtl/>
        </w:rPr>
        <w:t>הג"א</w:t>
      </w:r>
      <w:r w:rsidRPr="003024E5">
        <w:rPr>
          <w:rFonts w:asciiTheme="minorBidi" w:hAnsiTheme="minorBidi"/>
          <w:sz w:val="16"/>
          <w:szCs w:val="16"/>
          <w:rtl/>
        </w:rPr>
        <w:t xml:space="preserve"> (סי' מט)</w:t>
      </w:r>
      <w:r w:rsidRPr="003024E5">
        <w:rPr>
          <w:rFonts w:asciiTheme="minorBidi" w:hAnsiTheme="minorBidi"/>
          <w:rtl/>
        </w:rPr>
        <w:t>- מטעם זה שעשה רש"י יש להתיר בשר הנופל לתוך ציר היוצא מן הבשר אחר ששהה כדי מליחה, שהדם נדבק במלח ואין לו כח ליכנס בבשר</w:t>
      </w:r>
      <w:r w:rsidRPr="003024E5">
        <w:rPr>
          <w:rStyle w:val="a7"/>
          <w:rFonts w:asciiTheme="minorBidi" w:hAnsiTheme="minorBidi"/>
          <w:rtl/>
        </w:rPr>
        <w:footnoteReference w:id="273"/>
      </w:r>
      <w:r w:rsidRPr="003024E5">
        <w:rPr>
          <w:rFonts w:asciiTheme="minorBidi" w:hAnsiTheme="minorBidi"/>
          <w:rtl/>
        </w:rPr>
        <w:t xml:space="preserve">. </w:t>
      </w:r>
    </w:p>
    <w:p w14:paraId="3DA8DCD7" w14:textId="77777777" w:rsidR="002C39F4" w:rsidRPr="003024E5" w:rsidRDefault="002C39F4" w:rsidP="002C39F4">
      <w:pPr>
        <w:rPr>
          <w:rFonts w:asciiTheme="minorBidi" w:hAnsiTheme="minorBidi"/>
          <w:u w:val="single"/>
        </w:rPr>
      </w:pPr>
      <w:r w:rsidRPr="003024E5">
        <w:rPr>
          <w:rFonts w:asciiTheme="minorBidi" w:hAnsiTheme="minorBidi"/>
          <w:u w:val="single"/>
          <w:rtl/>
        </w:rPr>
        <w:t>חתיכת בשר שלא נמלחה שנפלה לגיגית שיש בה הרבה מים שרחצו ומלחו על גביהם בשר:</w:t>
      </w:r>
    </w:p>
    <w:p w14:paraId="122CEC44" w14:textId="77777777" w:rsidR="002C39F4" w:rsidRPr="003024E5" w:rsidRDefault="002C39F4" w:rsidP="002C39F4">
      <w:pPr>
        <w:pStyle w:val="a8"/>
        <w:numPr>
          <w:ilvl w:val="0"/>
          <w:numId w:val="26"/>
        </w:numPr>
        <w:rPr>
          <w:rFonts w:asciiTheme="minorBidi" w:hAnsiTheme="minorBidi"/>
        </w:rPr>
      </w:pPr>
      <w:r w:rsidRPr="003024E5">
        <w:rPr>
          <w:rFonts w:asciiTheme="minorBidi" w:hAnsiTheme="minorBidi"/>
          <w:rtl/>
        </w:rPr>
        <w:t>הג"א</w:t>
      </w:r>
      <w:r w:rsidRPr="003024E5">
        <w:rPr>
          <w:rFonts w:asciiTheme="minorBidi" w:hAnsiTheme="minorBidi"/>
          <w:sz w:val="16"/>
          <w:szCs w:val="16"/>
          <w:rtl/>
        </w:rPr>
        <w:t xml:space="preserve"> (סי' לח)</w:t>
      </w:r>
      <w:r w:rsidRPr="003024E5">
        <w:rPr>
          <w:rFonts w:asciiTheme="minorBidi" w:hAnsiTheme="minorBidi"/>
          <w:rtl/>
        </w:rPr>
        <w:t>- אם נפלה חתיכת בשר שלא נמלחה בגיגית שיש בה הרבה מים שרחצו בהם בשר שאין מלוח ושוב מלחו על גבי אותה גיגית כארבע חתיכות בשר ודלפה פליטת הציר לאותן מים דהיתר גמור הוא כיון שאותו הציר מעורב בהרבה מים לא הוי רותח</w:t>
      </w:r>
      <w:r w:rsidRPr="003024E5">
        <w:rPr>
          <w:rStyle w:val="a7"/>
          <w:rFonts w:asciiTheme="minorBidi" w:hAnsiTheme="minorBidi"/>
          <w:rtl/>
        </w:rPr>
        <w:footnoteReference w:id="274"/>
      </w:r>
      <w:r w:rsidRPr="003024E5">
        <w:rPr>
          <w:rFonts w:asciiTheme="minorBidi" w:hAnsiTheme="minorBidi"/>
          <w:rtl/>
        </w:rPr>
        <w:t xml:space="preserve"> ולא חשיב כציר באפי נפשיה ליאסר כרותח וליחשב אינו נאכל מחמת מלחו אע"פ שקלטו המים הרבה טעם ציר </w:t>
      </w:r>
      <w:r w:rsidRPr="003024E5">
        <w:rPr>
          <w:rFonts w:asciiTheme="minorBidi" w:hAnsiTheme="minorBidi"/>
          <w:sz w:val="16"/>
          <w:szCs w:val="16"/>
          <w:rtl/>
        </w:rPr>
        <w:t>(וכ' בהגשע"ד (סי' ז סקי"ז) דאפילו אין במים ששים מיירי, ונראה דה"ה לבשר שנמלח שנפל במים שנתאדמו מפני שהדיחו בהם בשר, וכ"כ האגור (סי' אלף קצד) בשם ה"ר שלום אע"פ שכתב שיש אוסרים)</w:t>
      </w:r>
      <w:r w:rsidRPr="003024E5">
        <w:rPr>
          <w:rFonts w:asciiTheme="minorBidi" w:hAnsiTheme="minorBidi"/>
          <w:rtl/>
        </w:rPr>
        <w:t xml:space="preserve">. </w:t>
      </w:r>
    </w:p>
    <w:p w14:paraId="60709D1B" w14:textId="77777777" w:rsidR="002C39F4" w:rsidRDefault="002C39F4" w:rsidP="002C39F4">
      <w:pPr>
        <w:rPr>
          <w:rFonts w:asciiTheme="minorBidi" w:hAnsiTheme="minorBidi"/>
          <w:u w:val="single"/>
          <w:rtl/>
        </w:rPr>
      </w:pPr>
      <w:r w:rsidRPr="003024E5">
        <w:rPr>
          <w:rFonts w:asciiTheme="minorBidi" w:hAnsiTheme="minorBidi"/>
          <w:b/>
          <w:bCs/>
          <w:rtl/>
        </w:rPr>
        <w:t xml:space="preserve">חולין קיג ע"א: </w:t>
      </w:r>
      <w:r w:rsidRPr="003024E5">
        <w:rPr>
          <w:rFonts w:asciiTheme="minorBidi" w:hAnsiTheme="minorBidi"/>
          <w:u w:val="single"/>
          <w:rtl/>
        </w:rPr>
        <w:t xml:space="preserve">אמר שמואל: </w:t>
      </w:r>
      <w:r w:rsidRPr="003024E5">
        <w:rPr>
          <w:rFonts w:asciiTheme="minorBidi" w:hAnsiTheme="minorBidi"/>
          <w:rtl/>
        </w:rPr>
        <w:t xml:space="preserve">אין הבשר יוצא מידי דמו אלא א"כ מולחו יפה יפה, ומדיחו יפה יפה. </w:t>
      </w:r>
    </w:p>
    <w:p w14:paraId="5B47FBAF" w14:textId="77777777" w:rsidR="002C39F4" w:rsidRPr="003024E5" w:rsidRDefault="002C39F4" w:rsidP="002C39F4">
      <w:pPr>
        <w:rPr>
          <w:rFonts w:asciiTheme="minorBidi" w:hAnsiTheme="minorBidi"/>
          <w:u w:val="single"/>
          <w:rtl/>
        </w:rPr>
      </w:pPr>
      <w:r>
        <w:rPr>
          <w:rFonts w:asciiTheme="minorBidi" w:hAnsiTheme="minorBidi" w:hint="cs"/>
          <w:u w:val="single"/>
          <w:rtl/>
        </w:rPr>
        <w:t xml:space="preserve">מהו לאכול </w:t>
      </w:r>
      <w:r>
        <w:rPr>
          <w:rFonts w:asciiTheme="minorBidi" w:hAnsiTheme="minorBidi" w:hint="cs"/>
          <w:sz w:val="16"/>
          <w:szCs w:val="16"/>
          <w:u w:val="single"/>
          <w:rtl/>
        </w:rPr>
        <w:t>(</w:t>
      </w:r>
      <w:r w:rsidRPr="00EB675E">
        <w:rPr>
          <w:rFonts w:asciiTheme="minorBidi" w:hAnsiTheme="minorBidi" w:hint="cs"/>
          <w:sz w:val="16"/>
          <w:szCs w:val="16"/>
          <w:u w:val="single"/>
          <w:rtl/>
        </w:rPr>
        <w:t>בלא בישול או עם בישול)</w:t>
      </w:r>
      <w:r>
        <w:rPr>
          <w:rFonts w:asciiTheme="minorBidi" w:hAnsiTheme="minorBidi" w:hint="cs"/>
          <w:u w:val="single"/>
          <w:rtl/>
        </w:rPr>
        <w:t xml:space="preserve"> </w:t>
      </w:r>
      <w:r w:rsidRPr="003024E5">
        <w:rPr>
          <w:rFonts w:asciiTheme="minorBidi" w:hAnsiTheme="minorBidi"/>
          <w:u w:val="single"/>
          <w:rtl/>
        </w:rPr>
        <w:t>בשר ששה</w:t>
      </w:r>
      <w:r>
        <w:rPr>
          <w:rFonts w:asciiTheme="minorBidi" w:hAnsiTheme="minorBidi" w:hint="cs"/>
          <w:u w:val="single"/>
          <w:rtl/>
        </w:rPr>
        <w:t>ה</w:t>
      </w:r>
      <w:r w:rsidRPr="003024E5">
        <w:rPr>
          <w:rFonts w:asciiTheme="minorBidi" w:hAnsiTheme="minorBidi"/>
          <w:u w:val="single"/>
          <w:rtl/>
        </w:rPr>
        <w:t xml:space="preserve"> במלחו שיעור מליחה ולא הודח:</w:t>
      </w:r>
    </w:p>
    <w:p w14:paraId="738F5179" w14:textId="77777777" w:rsidR="002C39F4" w:rsidRPr="003024E5" w:rsidRDefault="002C39F4" w:rsidP="002C39F4">
      <w:pPr>
        <w:pStyle w:val="a8"/>
        <w:numPr>
          <w:ilvl w:val="0"/>
          <w:numId w:val="27"/>
        </w:numPr>
        <w:rPr>
          <w:rFonts w:asciiTheme="minorBidi" w:hAnsiTheme="minorBidi"/>
        </w:rPr>
      </w:pPr>
      <w:r w:rsidRPr="003024E5">
        <w:rPr>
          <w:rFonts w:asciiTheme="minorBidi" w:hAnsiTheme="minorBidi"/>
          <w:rtl/>
        </w:rPr>
        <w:t>הר"ר יונה</w:t>
      </w:r>
      <w:r w:rsidRPr="003024E5">
        <w:rPr>
          <w:rFonts w:asciiTheme="minorBidi" w:hAnsiTheme="minorBidi"/>
          <w:sz w:val="16"/>
          <w:szCs w:val="16"/>
          <w:rtl/>
        </w:rPr>
        <w:t xml:space="preserve"> (אות פט)</w:t>
      </w:r>
      <w:r w:rsidRPr="003024E5">
        <w:rPr>
          <w:rStyle w:val="a7"/>
          <w:rFonts w:asciiTheme="minorBidi" w:hAnsiTheme="minorBidi"/>
          <w:rtl/>
        </w:rPr>
        <w:footnoteReference w:id="275"/>
      </w:r>
      <w:r w:rsidRPr="003024E5">
        <w:rPr>
          <w:rFonts w:asciiTheme="minorBidi" w:hAnsiTheme="minorBidi"/>
          <w:rtl/>
        </w:rPr>
        <w:t>- הבשר לאחר שנמלח אע"פ ששהה במלח כשיעור הראוי לשהות אסור לאכול ממנו עד שידיחנו יפה יפה</w:t>
      </w:r>
      <w:r w:rsidRPr="003024E5">
        <w:rPr>
          <w:rStyle w:val="a7"/>
          <w:rFonts w:asciiTheme="minorBidi" w:hAnsiTheme="minorBidi"/>
          <w:rtl/>
        </w:rPr>
        <w:footnoteReference w:id="276"/>
      </w:r>
      <w:r w:rsidRPr="003024E5">
        <w:rPr>
          <w:rFonts w:asciiTheme="minorBidi" w:hAnsiTheme="minorBidi"/>
          <w:rtl/>
        </w:rPr>
        <w:t>.</w:t>
      </w:r>
    </w:p>
    <w:p w14:paraId="5C35742F" w14:textId="77777777" w:rsidR="002C39F4" w:rsidRPr="003024E5" w:rsidRDefault="002C39F4" w:rsidP="002C39F4">
      <w:pPr>
        <w:ind w:left="360"/>
        <w:rPr>
          <w:rFonts w:asciiTheme="minorBidi" w:hAnsiTheme="minorBidi"/>
          <w:sz w:val="16"/>
          <w:szCs w:val="16"/>
          <w:rtl/>
        </w:rPr>
      </w:pPr>
      <w:r w:rsidRPr="00430D34">
        <w:rPr>
          <w:rFonts w:asciiTheme="minorBidi" w:hAnsiTheme="minorBidi"/>
          <w:u w:val="dotted"/>
          <w:rtl/>
        </w:rPr>
        <w:t xml:space="preserve">מהו לחתוך עם סכין </w:t>
      </w:r>
      <w:r>
        <w:rPr>
          <w:rFonts w:asciiTheme="minorBidi" w:hAnsiTheme="minorBidi" w:hint="cs"/>
          <w:u w:val="dotted"/>
          <w:rtl/>
        </w:rPr>
        <w:t>את ה</w:t>
      </w:r>
      <w:r w:rsidRPr="00430D34">
        <w:rPr>
          <w:rFonts w:asciiTheme="minorBidi" w:hAnsiTheme="minorBidi"/>
          <w:u w:val="dotted"/>
          <w:rtl/>
        </w:rPr>
        <w:t xml:space="preserve">בשר </w:t>
      </w:r>
      <w:r>
        <w:rPr>
          <w:rFonts w:asciiTheme="minorBidi" w:hAnsiTheme="minorBidi" w:hint="cs"/>
          <w:u w:val="dotted"/>
          <w:rtl/>
        </w:rPr>
        <w:t>הנ"ל</w:t>
      </w:r>
      <w:r w:rsidRPr="00430D34">
        <w:rPr>
          <w:rFonts w:asciiTheme="minorBidi" w:hAnsiTheme="minorBidi"/>
          <w:u w:val="dotted"/>
          <w:rtl/>
        </w:rPr>
        <w:t>:</w:t>
      </w:r>
      <w:r w:rsidRPr="003024E5">
        <w:rPr>
          <w:rFonts w:asciiTheme="minorBidi" w:hAnsiTheme="minorBidi"/>
          <w:sz w:val="16"/>
          <w:szCs w:val="16"/>
          <w:rtl/>
        </w:rPr>
        <w:t xml:space="preserve">  (טור ב"י ודרכ"מ [אות מב])</w:t>
      </w:r>
    </w:p>
    <w:p w14:paraId="09B71834" w14:textId="77777777" w:rsidR="002C39F4" w:rsidRPr="003024E5" w:rsidRDefault="002C39F4" w:rsidP="002C39F4">
      <w:pPr>
        <w:pStyle w:val="a8"/>
        <w:numPr>
          <w:ilvl w:val="0"/>
          <w:numId w:val="27"/>
        </w:numPr>
        <w:rPr>
          <w:rFonts w:asciiTheme="minorBidi" w:hAnsiTheme="minorBidi"/>
        </w:rPr>
      </w:pPr>
      <w:r w:rsidRPr="003024E5">
        <w:rPr>
          <w:rFonts w:asciiTheme="minorBidi" w:hAnsiTheme="minorBidi"/>
          <w:rtl/>
        </w:rPr>
        <w:t>הר"ר יונה</w:t>
      </w:r>
      <w:r w:rsidRPr="003024E5">
        <w:rPr>
          <w:rStyle w:val="a7"/>
          <w:rFonts w:asciiTheme="minorBidi" w:hAnsiTheme="minorBidi"/>
          <w:rtl/>
        </w:rPr>
        <w:footnoteReference w:id="277"/>
      </w:r>
      <w:r w:rsidRPr="003024E5">
        <w:rPr>
          <w:rFonts w:asciiTheme="minorBidi" w:hAnsiTheme="minorBidi"/>
          <w:rtl/>
        </w:rPr>
        <w:t>- אסור לחתוך ממנו בסכין עד שידיח הבשר יפה</w:t>
      </w:r>
      <w:r>
        <w:rPr>
          <w:rFonts w:asciiTheme="minorBidi" w:hAnsiTheme="minorBidi" w:hint="cs"/>
          <w:rtl/>
        </w:rPr>
        <w:t>,</w:t>
      </w:r>
      <w:r w:rsidRPr="003024E5">
        <w:rPr>
          <w:rFonts w:asciiTheme="minorBidi" w:hAnsiTheme="minorBidi"/>
          <w:rtl/>
        </w:rPr>
        <w:t xml:space="preserve"> ואם חתכו בסכין צריך להגעיל הסכין ברותחין על גבי האש לפי שהמליח הרי הוא כרותח</w:t>
      </w:r>
      <w:r w:rsidRPr="003024E5">
        <w:rPr>
          <w:rStyle w:val="a7"/>
          <w:rFonts w:asciiTheme="minorBidi" w:hAnsiTheme="minorBidi"/>
          <w:rtl/>
        </w:rPr>
        <w:footnoteReference w:id="278"/>
      </w:r>
      <w:r w:rsidRPr="003024E5">
        <w:rPr>
          <w:rFonts w:asciiTheme="minorBidi" w:hAnsiTheme="minorBidi"/>
          <w:rtl/>
        </w:rPr>
        <w:t>.</w:t>
      </w:r>
    </w:p>
    <w:p w14:paraId="5028304C" w14:textId="77777777" w:rsidR="002C39F4" w:rsidRPr="003024E5" w:rsidRDefault="002C39F4" w:rsidP="002C39F4">
      <w:pPr>
        <w:pStyle w:val="a8"/>
        <w:numPr>
          <w:ilvl w:val="0"/>
          <w:numId w:val="27"/>
        </w:numPr>
        <w:rPr>
          <w:rFonts w:asciiTheme="minorBidi" w:hAnsiTheme="minorBidi"/>
        </w:rPr>
      </w:pPr>
      <w:r w:rsidRPr="003024E5">
        <w:rPr>
          <w:rFonts w:asciiTheme="minorBidi" w:hAnsiTheme="minorBidi"/>
          <w:rtl/>
        </w:rPr>
        <w:t xml:space="preserve">מהרי"ל </w:t>
      </w:r>
      <w:r w:rsidRPr="003024E5">
        <w:rPr>
          <w:rFonts w:asciiTheme="minorBidi" w:hAnsiTheme="minorBidi"/>
          <w:sz w:val="16"/>
          <w:szCs w:val="16"/>
          <w:rtl/>
        </w:rPr>
        <w:t>(בדרשות מהרי"ל הל' או"ה אות ו)</w:t>
      </w:r>
      <w:r w:rsidRPr="003024E5">
        <w:rPr>
          <w:rFonts w:asciiTheme="minorBidi" w:hAnsiTheme="minorBidi"/>
          <w:rtl/>
        </w:rPr>
        <w:t xml:space="preserve">- אסור לכתחלה, אא"כ הבשר יבש. </w:t>
      </w:r>
    </w:p>
    <w:p w14:paraId="30D1B04C" w14:textId="77777777" w:rsidR="002C39F4" w:rsidRPr="003024E5" w:rsidRDefault="002C39F4" w:rsidP="002C39F4">
      <w:pPr>
        <w:pStyle w:val="a8"/>
        <w:numPr>
          <w:ilvl w:val="0"/>
          <w:numId w:val="27"/>
        </w:numPr>
        <w:rPr>
          <w:rFonts w:asciiTheme="minorBidi" w:hAnsiTheme="minorBidi"/>
          <w:rtl/>
        </w:rPr>
      </w:pPr>
      <w:r w:rsidRPr="003024E5">
        <w:rPr>
          <w:rFonts w:asciiTheme="minorBidi" w:hAnsiTheme="minorBidi"/>
          <w:rtl/>
        </w:rPr>
        <w:t>תרוה"ד הגשע"ד ו</w:t>
      </w:r>
      <w:r>
        <w:rPr>
          <w:rFonts w:asciiTheme="minorBidi" w:hAnsiTheme="minorBidi"/>
          <w:rtl/>
        </w:rPr>
        <w:t>או"ה</w:t>
      </w:r>
      <w:r w:rsidRPr="003024E5">
        <w:rPr>
          <w:rStyle w:val="a7"/>
          <w:rFonts w:asciiTheme="minorBidi" w:hAnsiTheme="minorBidi"/>
          <w:rtl/>
        </w:rPr>
        <w:footnoteReference w:id="279"/>
      </w:r>
      <w:r w:rsidRPr="003024E5">
        <w:rPr>
          <w:rFonts w:asciiTheme="minorBidi" w:hAnsiTheme="minorBidi"/>
          <w:rtl/>
        </w:rPr>
        <w:t>- מותר</w:t>
      </w:r>
      <w:r w:rsidRPr="003024E5">
        <w:rPr>
          <w:rStyle w:val="a7"/>
          <w:rFonts w:asciiTheme="minorBidi" w:hAnsiTheme="minorBidi"/>
          <w:rtl/>
        </w:rPr>
        <w:footnoteReference w:id="280"/>
      </w:r>
      <w:r w:rsidRPr="003024E5">
        <w:rPr>
          <w:rFonts w:asciiTheme="minorBidi" w:hAnsiTheme="minorBidi"/>
          <w:rtl/>
        </w:rPr>
        <w:t xml:space="preserve">, דאין מתכת ועץ פולטים ע"י מליחה כלל </w:t>
      </w:r>
      <w:r w:rsidRPr="003024E5">
        <w:rPr>
          <w:rFonts w:asciiTheme="minorBidi" w:hAnsiTheme="minorBidi"/>
          <w:sz w:val="16"/>
          <w:szCs w:val="16"/>
          <w:rtl/>
        </w:rPr>
        <w:t>(הגשע"ד וארוך)</w:t>
      </w:r>
      <w:r w:rsidRPr="003024E5">
        <w:rPr>
          <w:rStyle w:val="a7"/>
          <w:rFonts w:asciiTheme="minorBidi" w:hAnsiTheme="minorBidi"/>
          <w:rtl/>
        </w:rPr>
        <w:footnoteReference w:id="281"/>
      </w:r>
      <w:r w:rsidRPr="003024E5">
        <w:rPr>
          <w:rFonts w:asciiTheme="minorBidi" w:hAnsiTheme="minorBidi"/>
          <w:rtl/>
        </w:rPr>
        <w:t>.</w:t>
      </w:r>
      <w:r w:rsidRPr="003024E5">
        <w:rPr>
          <w:rFonts w:asciiTheme="minorBidi" w:hAnsiTheme="minorBidi"/>
          <w:color w:val="00B0F0"/>
          <w:rtl/>
        </w:rPr>
        <w:t xml:space="preserve"> (וכ"פ הרמ"א)</w:t>
      </w:r>
    </w:p>
    <w:p w14:paraId="77652188"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מהו לצלות את הבשר הנ"ל:</w:t>
      </w:r>
    </w:p>
    <w:p w14:paraId="7DC45B02" w14:textId="77777777" w:rsidR="002C39F4" w:rsidRPr="003024E5" w:rsidRDefault="002C39F4" w:rsidP="002C39F4">
      <w:pPr>
        <w:pStyle w:val="a8"/>
        <w:numPr>
          <w:ilvl w:val="0"/>
          <w:numId w:val="27"/>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(תוה"ב קצר ב"ג ש"ג ע:)</w:t>
      </w:r>
      <w:r w:rsidRPr="003024E5">
        <w:rPr>
          <w:rFonts w:asciiTheme="minorBidi" w:hAnsiTheme="minorBidi"/>
          <w:rtl/>
        </w:rPr>
        <w:t>- הרוצה למלוח ולאכול בצלי ובלא הדחה עושה ואינו חושש לדם שעל המלח, שהאש שואב הדם ומונע את המלח מלבלוע את הדם, בד"א במולחו ומעלהו לצלי, אבל אם שהה במלחו המלח בולע את הדם ונאסר</w:t>
      </w:r>
      <w:r w:rsidRPr="003024E5">
        <w:rPr>
          <w:rStyle w:val="a7"/>
          <w:rFonts w:asciiTheme="minorBidi" w:hAnsiTheme="minorBidi"/>
          <w:rtl/>
        </w:rPr>
        <w:footnoteReference w:id="282"/>
      </w:r>
      <w:r w:rsidRPr="003024E5">
        <w:rPr>
          <w:rFonts w:asciiTheme="minorBidi" w:hAnsiTheme="minorBidi"/>
          <w:rtl/>
        </w:rPr>
        <w:t>, ולפיכך מדיחו יפה יפה וצולה ואוכל</w:t>
      </w:r>
      <w:r w:rsidRPr="003024E5">
        <w:rPr>
          <w:rStyle w:val="a7"/>
          <w:rFonts w:asciiTheme="minorBidi" w:hAnsiTheme="minorBidi"/>
          <w:rtl/>
        </w:rPr>
        <w:footnoteReference w:id="283"/>
      </w:r>
      <w:r w:rsidRPr="003024E5">
        <w:rPr>
          <w:rFonts w:asciiTheme="minorBidi" w:hAnsiTheme="minorBidi"/>
          <w:rtl/>
        </w:rPr>
        <w:t xml:space="preserve">. </w:t>
      </w:r>
      <w:r w:rsidRPr="00DF6810">
        <w:rPr>
          <w:rFonts w:asciiTheme="minorBidi" w:hAnsiTheme="minorBidi" w:hint="cs"/>
          <w:color w:val="E36C0A" w:themeColor="accent6" w:themeShade="BF"/>
          <w:rtl/>
        </w:rPr>
        <w:t>(וכ"פ בשו"ע)</w:t>
      </w:r>
    </w:p>
    <w:p w14:paraId="70E45EA0" w14:textId="77777777" w:rsidR="002C39F4" w:rsidRPr="003024E5" w:rsidRDefault="002C39F4" w:rsidP="002C39F4">
      <w:pPr>
        <w:rPr>
          <w:rFonts w:asciiTheme="minorBidi" w:hAnsiTheme="minorBidi"/>
          <w:sz w:val="16"/>
          <w:szCs w:val="16"/>
          <w:rtl/>
        </w:rPr>
      </w:pPr>
      <w:r w:rsidRPr="003024E5">
        <w:rPr>
          <w:rFonts w:asciiTheme="minorBidi" w:hAnsiTheme="minorBidi"/>
          <w:u w:val="single"/>
          <w:rtl/>
        </w:rPr>
        <w:t>בשר ש</w:t>
      </w:r>
      <w:r>
        <w:rPr>
          <w:rFonts w:asciiTheme="minorBidi" w:hAnsiTheme="minorBidi" w:hint="cs"/>
          <w:u w:val="single"/>
          <w:rtl/>
        </w:rPr>
        <w:t>רוצים לייבשו ע"י מליחה</w:t>
      </w:r>
      <w:r w:rsidRPr="003024E5">
        <w:rPr>
          <w:rFonts w:asciiTheme="minorBidi" w:hAnsiTheme="minorBidi"/>
          <w:u w:val="single"/>
          <w:rtl/>
        </w:rPr>
        <w:t>:</w:t>
      </w:r>
      <w:r w:rsidRPr="003024E5">
        <w:rPr>
          <w:rFonts w:asciiTheme="minorBidi" w:hAnsiTheme="minorBidi"/>
          <w:rtl/>
        </w:rPr>
        <w:t xml:space="preserve">  </w:t>
      </w:r>
      <w:r w:rsidRPr="003024E5">
        <w:rPr>
          <w:rFonts w:asciiTheme="minorBidi" w:hAnsiTheme="minorBidi"/>
          <w:sz w:val="16"/>
          <w:szCs w:val="16"/>
          <w:rtl/>
        </w:rPr>
        <w:t xml:space="preserve">(רי"ו </w:t>
      </w:r>
      <w:r w:rsidRPr="003024E5">
        <w:rPr>
          <w:rFonts w:asciiTheme="minorBidi" w:hAnsiTheme="minorBidi"/>
          <w:sz w:val="14"/>
          <w:szCs w:val="14"/>
          <w:rtl/>
        </w:rPr>
        <w:t>[נט"ו אות כט קלט</w:t>
      </w:r>
      <w:r>
        <w:rPr>
          <w:rFonts w:asciiTheme="minorBidi" w:hAnsiTheme="minorBidi" w:hint="cs"/>
          <w:sz w:val="14"/>
          <w:szCs w:val="14"/>
          <w:rtl/>
        </w:rPr>
        <w:t xml:space="preserve">, הביאו הב"י </w:t>
      </w:r>
      <w:r w:rsidRPr="00521D2F">
        <w:rPr>
          <w:rFonts w:asciiTheme="minorBidi" w:hAnsiTheme="minorBidi"/>
          <w:sz w:val="14"/>
          <w:szCs w:val="14"/>
          <w:rtl/>
        </w:rPr>
        <w:t>בבדה"ב</w:t>
      </w:r>
      <w:r>
        <w:rPr>
          <w:rFonts w:asciiTheme="minorBidi" w:hAnsiTheme="minorBidi" w:hint="cs"/>
          <w:sz w:val="14"/>
          <w:szCs w:val="14"/>
          <w:rtl/>
        </w:rPr>
        <w:t>]</w:t>
      </w:r>
      <w:r w:rsidRPr="003024E5">
        <w:rPr>
          <w:rFonts w:asciiTheme="minorBidi" w:hAnsiTheme="minorBidi"/>
          <w:sz w:val="16"/>
          <w:szCs w:val="16"/>
          <w:rtl/>
        </w:rPr>
        <w:t>)</w:t>
      </w:r>
    </w:p>
    <w:p w14:paraId="040F068E" w14:textId="77777777" w:rsidR="002C39F4" w:rsidRPr="003024E5" w:rsidRDefault="002C39F4" w:rsidP="002C39F4">
      <w:pPr>
        <w:pStyle w:val="a8"/>
        <w:numPr>
          <w:ilvl w:val="0"/>
          <w:numId w:val="25"/>
        </w:numPr>
        <w:rPr>
          <w:rFonts w:asciiTheme="minorBidi" w:hAnsiTheme="minorBidi"/>
        </w:rPr>
      </w:pPr>
      <w:r w:rsidRPr="003024E5">
        <w:rPr>
          <w:rFonts w:asciiTheme="minorBidi" w:hAnsiTheme="minorBidi"/>
          <w:rtl/>
        </w:rPr>
        <w:t>ראב"ד</w:t>
      </w:r>
      <w:r w:rsidRPr="003024E5">
        <w:rPr>
          <w:rFonts w:asciiTheme="minorBidi" w:hAnsiTheme="minorBidi"/>
          <w:sz w:val="16"/>
          <w:szCs w:val="16"/>
          <w:rtl/>
        </w:rPr>
        <w:t xml:space="preserve"> (תמים דעים סי' ז, יד)</w:t>
      </w:r>
      <w:r w:rsidRPr="003024E5">
        <w:rPr>
          <w:rFonts w:asciiTheme="minorBidi" w:hAnsiTheme="minorBidi"/>
          <w:rtl/>
        </w:rPr>
        <w:t xml:space="preserve">- אם השהה המלח על הבשר עד שהוא יבש אז הוא חוזר ובולע ממנו ובעי קליפה. </w:t>
      </w:r>
    </w:p>
    <w:p w14:paraId="4F7B34C0" w14:textId="77777777" w:rsidR="002C39F4" w:rsidRPr="003024E5" w:rsidRDefault="002C39F4" w:rsidP="002C39F4">
      <w:pPr>
        <w:pStyle w:val="a8"/>
        <w:numPr>
          <w:ilvl w:val="0"/>
          <w:numId w:val="25"/>
        </w:numPr>
        <w:rPr>
          <w:rFonts w:asciiTheme="minorBidi" w:hAnsiTheme="minorBidi"/>
          <w:rtl/>
        </w:rPr>
      </w:pPr>
      <w:r w:rsidRPr="003024E5">
        <w:rPr>
          <w:rFonts w:asciiTheme="minorBidi" w:hAnsiTheme="minorBidi"/>
          <w:rtl/>
        </w:rPr>
        <w:t>רא"ש</w:t>
      </w:r>
      <w:r w:rsidRPr="003024E5">
        <w:rPr>
          <w:rStyle w:val="a7"/>
          <w:rFonts w:asciiTheme="minorBidi" w:hAnsiTheme="minorBidi"/>
          <w:rtl/>
        </w:rPr>
        <w:footnoteReference w:id="284"/>
      </w:r>
      <w:r w:rsidRPr="003024E5">
        <w:rPr>
          <w:rFonts w:asciiTheme="minorBidi" w:hAnsiTheme="minorBidi"/>
          <w:rtl/>
        </w:rPr>
        <w:t xml:space="preserve">- </w:t>
      </w:r>
      <w:r>
        <w:rPr>
          <w:rStyle w:val="a7"/>
          <w:rFonts w:asciiTheme="minorBidi" w:hAnsiTheme="minorBidi"/>
          <w:rtl/>
        </w:rPr>
        <w:footnoteReference w:id="285"/>
      </w:r>
      <w:r w:rsidRPr="003024E5">
        <w:rPr>
          <w:rFonts w:asciiTheme="minorBidi" w:hAnsiTheme="minorBidi"/>
          <w:rtl/>
        </w:rPr>
        <w:t xml:space="preserve">יש דם על פני הבשר ועל פני המלח ונבלע בבשר אחר שנח מלפלוט, </w:t>
      </w:r>
      <w:r w:rsidRPr="003024E5">
        <w:rPr>
          <w:rStyle w:val="a7"/>
          <w:rFonts w:asciiTheme="minorBidi" w:hAnsiTheme="minorBidi"/>
          <w:rtl/>
        </w:rPr>
        <w:footnoteReference w:id="286"/>
      </w:r>
      <w:r w:rsidRPr="003024E5">
        <w:rPr>
          <w:rFonts w:asciiTheme="minorBidi" w:hAnsiTheme="minorBidi"/>
          <w:rtl/>
        </w:rPr>
        <w:t>ולכך נהגו להדיח הבשר ממלח הראשון אחר ששהה שיעור מליחה ונותנים בו מלח אחר ומתיישן במלח שני.</w:t>
      </w:r>
    </w:p>
    <w:p w14:paraId="44A3884F" w14:textId="77777777" w:rsidR="002C39F4" w:rsidRDefault="002C39F4" w:rsidP="002C39F4">
      <w:pPr>
        <w:pStyle w:val="a8"/>
        <w:numPr>
          <w:ilvl w:val="0"/>
          <w:numId w:val="27"/>
        </w:numPr>
        <w:rPr>
          <w:rFonts w:asciiTheme="minorBidi" w:hAnsiTheme="minorBidi"/>
        </w:rPr>
      </w:pPr>
      <w:r w:rsidRPr="003024E5">
        <w:rPr>
          <w:rFonts w:asciiTheme="minorBidi" w:hAnsiTheme="minorBidi"/>
          <w:rtl/>
        </w:rPr>
        <w:t>הר"ר יונה</w:t>
      </w:r>
      <w:r>
        <w:rPr>
          <w:rFonts w:asciiTheme="minorBidi" w:hAnsiTheme="minorBidi" w:hint="cs"/>
          <w:rtl/>
        </w:rPr>
        <w:t xml:space="preserve"> </w:t>
      </w:r>
      <w:r w:rsidRPr="00D64C4B">
        <w:rPr>
          <w:rFonts w:asciiTheme="minorBidi" w:hAnsiTheme="minorBidi" w:hint="cs"/>
          <w:sz w:val="16"/>
          <w:szCs w:val="16"/>
          <w:rtl/>
        </w:rPr>
        <w:t>(</w:t>
      </w:r>
      <w:r w:rsidRPr="00D64C4B">
        <w:rPr>
          <w:rFonts w:asciiTheme="minorBidi" w:hAnsiTheme="minorBidi"/>
          <w:sz w:val="16"/>
          <w:szCs w:val="16"/>
          <w:rtl/>
        </w:rPr>
        <w:t>הובא בסוף דברי הטור בשם "מצאתי כתוב באגרת תשובה להר"ר יונה"</w:t>
      </w:r>
      <w:r>
        <w:rPr>
          <w:rFonts w:asciiTheme="minorBidi" w:hAnsiTheme="minorBidi" w:hint="cs"/>
          <w:sz w:val="16"/>
          <w:szCs w:val="16"/>
          <w:rtl/>
        </w:rPr>
        <w:t>)</w:t>
      </w:r>
      <w:r w:rsidRPr="003024E5">
        <w:rPr>
          <w:rFonts w:asciiTheme="minorBidi" w:hAnsiTheme="minorBidi"/>
          <w:rtl/>
        </w:rPr>
        <w:t>- המנהג הכשר כשרוצין לקיים הבשר המליח ב' ימים או ג' או יותר מדיחין אותו יפה יפה לאחר ששהה במלחו בכלי מנוקב כשיעור הראוי</w:t>
      </w:r>
      <w:r>
        <w:rPr>
          <w:rFonts w:asciiTheme="minorBidi" w:hAnsiTheme="minorBidi" w:hint="cs"/>
          <w:rtl/>
        </w:rPr>
        <w:t>,</w:t>
      </w:r>
      <w:r w:rsidRPr="003024E5">
        <w:rPr>
          <w:rFonts w:asciiTheme="minorBidi" w:hAnsiTheme="minorBidi"/>
          <w:rtl/>
        </w:rPr>
        <w:t xml:space="preserve"> ואח"כ חוזרין ומולחין אותו פעם שנייה כרצונם בכלי שאינו מנוקב</w:t>
      </w:r>
      <w:r>
        <w:rPr>
          <w:rFonts w:asciiTheme="minorBidi" w:hAnsiTheme="minorBidi" w:hint="cs"/>
          <w:rtl/>
        </w:rPr>
        <w:t>,</w:t>
      </w:r>
      <w:r w:rsidRPr="003024E5">
        <w:rPr>
          <w:rFonts w:asciiTheme="minorBidi" w:hAnsiTheme="minorBidi"/>
          <w:rtl/>
        </w:rPr>
        <w:t xml:space="preserve"> כדי שיהא מותר לחתוך ממנו בסכין וכדי שלא יפול מן הדם הנוטף מן הבשר דרך נקבי הכלי על הכלים שבבית ויאסר אותם</w:t>
      </w:r>
      <w:r w:rsidRPr="003024E5">
        <w:rPr>
          <w:rStyle w:val="a7"/>
          <w:rFonts w:asciiTheme="minorBidi" w:hAnsiTheme="minorBidi"/>
          <w:rtl/>
        </w:rPr>
        <w:footnoteReference w:id="287"/>
      </w:r>
      <w:r w:rsidRPr="003024E5">
        <w:rPr>
          <w:rFonts w:asciiTheme="minorBidi" w:hAnsiTheme="minorBidi"/>
          <w:rtl/>
        </w:rPr>
        <w:t xml:space="preserve">.  </w:t>
      </w:r>
    </w:p>
    <w:p w14:paraId="50B1216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65A688C" w14:textId="77777777" w:rsidR="002C39F4" w:rsidRPr="003024E5" w:rsidRDefault="002C39F4" w:rsidP="002C39F4">
      <w:pPr>
        <w:rPr>
          <w:rFonts w:asciiTheme="minorBidi" w:hAnsiTheme="minorBidi"/>
          <w:rtl/>
        </w:rPr>
      </w:pPr>
      <w:r w:rsidRPr="003024E5">
        <w:rPr>
          <w:rFonts w:asciiTheme="minorBidi" w:hAnsiTheme="minorBidi"/>
          <w:rtl/>
        </w:rPr>
        <w:t>בשר שנמלח ושהה כדי מליחה ונתנוהו אחר כך בכלי בלא הדחה ונתמלא מציר, מותר, ולפי זה בשר שנפל לתוך ציר היוצא מהבשר אחר ששהה כדי מליחה מותר</w:t>
      </w:r>
      <w:r w:rsidRPr="003024E5">
        <w:rPr>
          <w:rStyle w:val="a7"/>
          <w:rFonts w:asciiTheme="minorBidi" w:hAnsiTheme="minorBidi"/>
          <w:rtl/>
        </w:rPr>
        <w:footnoteReference w:id="288"/>
      </w:r>
      <w:r w:rsidRPr="003024E5">
        <w:rPr>
          <w:rFonts w:asciiTheme="minorBidi" w:hAnsiTheme="minorBidi"/>
          <w:rtl/>
        </w:rPr>
        <w:t xml:space="preserve">, ויש מי שאוסר בזה ובזה ויש לחוש לו לכתחלה. </w:t>
      </w:r>
      <w:r w:rsidRPr="003024E5">
        <w:rPr>
          <w:rFonts w:asciiTheme="minorBidi" w:hAnsiTheme="minorBidi"/>
          <w:sz w:val="18"/>
          <w:szCs w:val="18"/>
          <w:rtl/>
        </w:rPr>
        <w:t>הגה: ויש אוסרין</w:t>
      </w:r>
      <w:r w:rsidRPr="003024E5">
        <w:rPr>
          <w:rStyle w:val="a7"/>
          <w:rFonts w:asciiTheme="minorBidi" w:hAnsiTheme="minorBidi"/>
          <w:sz w:val="16"/>
          <w:szCs w:val="16"/>
          <w:rtl/>
        </w:rPr>
        <w:footnoteReference w:id="289"/>
      </w:r>
      <w:r w:rsidRPr="003024E5">
        <w:rPr>
          <w:rFonts w:asciiTheme="minorBidi" w:hAnsiTheme="minorBidi"/>
          <w:sz w:val="16"/>
          <w:szCs w:val="16"/>
          <w:rtl/>
        </w:rPr>
        <w:t xml:space="preserve"> (תוס' ורא"ש)</w:t>
      </w:r>
      <w:r w:rsidRPr="003024E5">
        <w:rPr>
          <w:rFonts w:asciiTheme="minorBidi" w:hAnsiTheme="minorBidi"/>
          <w:sz w:val="18"/>
          <w:szCs w:val="18"/>
          <w:rtl/>
        </w:rPr>
        <w:t xml:space="preserve"> אפילו בדיעבד כדי קליפה</w:t>
      </w:r>
      <w:r w:rsidRPr="003024E5">
        <w:rPr>
          <w:rStyle w:val="a7"/>
          <w:rFonts w:asciiTheme="minorBidi" w:hAnsiTheme="minorBidi"/>
          <w:sz w:val="18"/>
          <w:szCs w:val="18"/>
          <w:rtl/>
        </w:rPr>
        <w:footnoteReference w:id="290"/>
      </w:r>
      <w:r w:rsidRPr="003024E5">
        <w:rPr>
          <w:rFonts w:asciiTheme="minorBidi" w:hAnsiTheme="minorBidi"/>
          <w:sz w:val="16"/>
          <w:szCs w:val="16"/>
          <w:rtl/>
        </w:rPr>
        <w:t xml:space="preserve"> (הגשע"ד מהרא"י מהרי"ב מהר"ש ב"י וארוך)</w:t>
      </w:r>
      <w:r w:rsidRPr="003024E5">
        <w:rPr>
          <w:rFonts w:asciiTheme="minorBidi" w:hAnsiTheme="minorBidi"/>
          <w:sz w:val="18"/>
          <w:szCs w:val="18"/>
          <w:rtl/>
        </w:rPr>
        <w:t>, והכי נהוג</w:t>
      </w:r>
      <w:r w:rsidRPr="003024E5">
        <w:rPr>
          <w:rStyle w:val="a7"/>
          <w:rFonts w:asciiTheme="minorBidi" w:hAnsiTheme="minorBidi"/>
          <w:sz w:val="18"/>
          <w:szCs w:val="18"/>
          <w:rtl/>
        </w:rPr>
        <w:footnoteReference w:id="291"/>
      </w:r>
      <w:r w:rsidRPr="003024E5">
        <w:rPr>
          <w:rFonts w:asciiTheme="minorBidi" w:hAnsiTheme="minorBidi"/>
          <w:sz w:val="18"/>
          <w:szCs w:val="18"/>
          <w:rtl/>
        </w:rPr>
        <w:t>. ודוקא מה שמונח בתוך הציר אבל מה שחוץ לציר שרי</w:t>
      </w:r>
      <w:r w:rsidRPr="003024E5">
        <w:rPr>
          <w:rStyle w:val="a7"/>
          <w:rFonts w:asciiTheme="minorBidi" w:hAnsiTheme="minorBidi"/>
          <w:sz w:val="18"/>
          <w:szCs w:val="18"/>
          <w:rtl/>
        </w:rPr>
        <w:footnoteReference w:id="292"/>
      </w:r>
      <w:r w:rsidRPr="003024E5">
        <w:rPr>
          <w:rFonts w:asciiTheme="minorBidi" w:hAnsiTheme="minorBidi"/>
          <w:sz w:val="18"/>
          <w:szCs w:val="18"/>
          <w:rtl/>
        </w:rPr>
        <w:t>, והכלי שנפל בו אותו הציר אסור</w:t>
      </w:r>
      <w:r w:rsidRPr="003024E5">
        <w:rPr>
          <w:rStyle w:val="a7"/>
          <w:rFonts w:asciiTheme="minorBidi" w:hAnsiTheme="minorBidi"/>
          <w:sz w:val="18"/>
          <w:szCs w:val="18"/>
          <w:rtl/>
        </w:rPr>
        <w:footnoteReference w:id="293"/>
      </w:r>
      <w:r w:rsidRPr="003024E5">
        <w:rPr>
          <w:rFonts w:asciiTheme="minorBidi" w:hAnsiTheme="minorBidi"/>
          <w:sz w:val="18"/>
          <w:szCs w:val="18"/>
          <w:rtl/>
        </w:rPr>
        <w:t>. וכן אם היה הכלי חולבת ויש בו לכלוך אסור הבשר</w:t>
      </w:r>
      <w:r w:rsidRPr="003024E5">
        <w:rPr>
          <w:rStyle w:val="a7"/>
          <w:rFonts w:asciiTheme="minorBidi" w:hAnsiTheme="minorBidi"/>
          <w:sz w:val="18"/>
          <w:szCs w:val="18"/>
          <w:rtl/>
        </w:rPr>
        <w:footnoteReference w:id="294"/>
      </w:r>
      <w:r w:rsidRPr="003024E5">
        <w:rPr>
          <w:rFonts w:asciiTheme="minorBidi" w:hAnsiTheme="minorBidi"/>
          <w:sz w:val="18"/>
          <w:szCs w:val="18"/>
          <w:rtl/>
        </w:rPr>
        <w:t xml:space="preserve">, דאף לאחר שיעור מליחתו נחשב כרותח </w:t>
      </w:r>
      <w:r w:rsidRPr="003024E5">
        <w:rPr>
          <w:rFonts w:asciiTheme="minorBidi" w:hAnsiTheme="minorBidi"/>
          <w:sz w:val="16"/>
          <w:szCs w:val="16"/>
          <w:rtl/>
        </w:rPr>
        <w:t>(הגשע"ד ותרוה"ד סי' קנט)</w:t>
      </w:r>
      <w:r w:rsidRPr="003024E5">
        <w:rPr>
          <w:rFonts w:asciiTheme="minorBidi" w:hAnsiTheme="minorBidi"/>
          <w:sz w:val="18"/>
          <w:szCs w:val="18"/>
          <w:rtl/>
        </w:rPr>
        <w:t>, אבל אם הוא הפסד מרובה ואית ביה גם כן צורך סעודת מצוה יש להקל ולומר דאחר ששהה שיעור מליחה לא מחשב צירו כרותח</w:t>
      </w:r>
      <w:r w:rsidRPr="003024E5">
        <w:rPr>
          <w:rStyle w:val="a7"/>
          <w:rFonts w:asciiTheme="minorBidi" w:hAnsiTheme="minorBidi"/>
          <w:sz w:val="18"/>
          <w:szCs w:val="18"/>
          <w:rtl/>
        </w:rPr>
        <w:footnoteReference w:id="295"/>
      </w:r>
      <w:r w:rsidRPr="003024E5">
        <w:rPr>
          <w:rFonts w:asciiTheme="minorBidi" w:hAnsiTheme="minorBidi"/>
          <w:sz w:val="18"/>
          <w:szCs w:val="18"/>
          <w:rtl/>
        </w:rPr>
        <w:t xml:space="preserve"> </w:t>
      </w:r>
      <w:r w:rsidRPr="003024E5">
        <w:rPr>
          <w:rFonts w:asciiTheme="minorBidi" w:hAnsiTheme="minorBidi"/>
          <w:sz w:val="16"/>
          <w:szCs w:val="16"/>
          <w:rtl/>
        </w:rPr>
        <w:t>(תרוה"ד וע"ל סי' צא)</w:t>
      </w:r>
      <w:r w:rsidRPr="003024E5">
        <w:rPr>
          <w:rFonts w:asciiTheme="minorBidi" w:hAnsiTheme="minorBidi"/>
          <w:sz w:val="18"/>
          <w:szCs w:val="18"/>
          <w:rtl/>
        </w:rPr>
        <w:t xml:space="preserve">. </w:t>
      </w:r>
      <w:r w:rsidRPr="003024E5">
        <w:rPr>
          <w:rFonts w:asciiTheme="minorBidi" w:hAnsiTheme="minorBidi"/>
          <w:rtl/>
        </w:rPr>
        <w:t>ולפי דבריו אף על פי ששהה הבשר במלח כשיעור אסור לאכול ממנו עד שידיחנו יפה יפה</w:t>
      </w:r>
      <w:r w:rsidRPr="003024E5">
        <w:rPr>
          <w:rStyle w:val="a7"/>
          <w:rFonts w:asciiTheme="minorBidi" w:hAnsiTheme="minorBidi"/>
          <w:rtl/>
        </w:rPr>
        <w:footnoteReference w:id="296"/>
      </w:r>
      <w:r w:rsidRPr="003024E5">
        <w:rPr>
          <w:rFonts w:asciiTheme="minorBidi" w:hAnsiTheme="minorBidi"/>
          <w:rtl/>
        </w:rPr>
        <w:t>, ואסור לחתוך ממנו בסכין קודם שידיחנו ואם חתך צריך להגעילו</w:t>
      </w:r>
      <w:r w:rsidRPr="003024E5">
        <w:rPr>
          <w:rStyle w:val="a7"/>
          <w:rFonts w:asciiTheme="minorBidi" w:hAnsiTheme="minorBidi"/>
          <w:rtl/>
        </w:rPr>
        <w:footnoteReference w:id="297"/>
      </w:r>
      <w:r w:rsidRPr="003024E5">
        <w:rPr>
          <w:rFonts w:asciiTheme="minorBidi" w:hAnsiTheme="minorBidi"/>
          <w:rtl/>
        </w:rPr>
        <w:t xml:space="preserve">. </w:t>
      </w:r>
      <w:r w:rsidRPr="003024E5">
        <w:rPr>
          <w:rFonts w:asciiTheme="minorBidi" w:hAnsiTheme="minorBidi"/>
          <w:sz w:val="18"/>
          <w:szCs w:val="18"/>
          <w:rtl/>
        </w:rPr>
        <w:t>הגה: ויש מתירין לחתוך בסכין לאחר ששהה שיעור מליחה</w:t>
      </w:r>
      <w:r w:rsidRPr="003024E5">
        <w:rPr>
          <w:rStyle w:val="a7"/>
          <w:rFonts w:asciiTheme="minorBidi" w:hAnsiTheme="minorBidi"/>
          <w:sz w:val="18"/>
          <w:szCs w:val="18"/>
          <w:rtl/>
        </w:rPr>
        <w:footnoteReference w:id="298"/>
      </w:r>
      <w:r w:rsidRPr="003024E5">
        <w:rPr>
          <w:rFonts w:asciiTheme="minorBidi" w:hAnsiTheme="minorBidi"/>
          <w:sz w:val="18"/>
          <w:szCs w:val="18"/>
          <w:rtl/>
        </w:rPr>
        <w:t xml:space="preserve"> דאין מליחה לכלים</w:t>
      </w:r>
      <w:r w:rsidRPr="003024E5">
        <w:rPr>
          <w:rStyle w:val="a7"/>
          <w:rFonts w:asciiTheme="minorBidi" w:hAnsiTheme="minorBidi"/>
          <w:sz w:val="18"/>
          <w:szCs w:val="18"/>
          <w:rtl/>
        </w:rPr>
        <w:footnoteReference w:id="299"/>
      </w:r>
      <w:r w:rsidRPr="003024E5">
        <w:rPr>
          <w:rFonts w:asciiTheme="minorBidi" w:hAnsiTheme="minorBidi"/>
          <w:sz w:val="18"/>
          <w:szCs w:val="18"/>
          <w:rtl/>
        </w:rPr>
        <w:t>, וכן עיקר</w:t>
      </w:r>
      <w:r w:rsidRPr="003024E5">
        <w:rPr>
          <w:rStyle w:val="a7"/>
          <w:rFonts w:asciiTheme="minorBidi" w:hAnsiTheme="minorBidi"/>
          <w:sz w:val="18"/>
          <w:szCs w:val="18"/>
          <w:rtl/>
        </w:rPr>
        <w:footnoteReference w:id="300"/>
      </w:r>
      <w:r w:rsidRPr="003024E5">
        <w:rPr>
          <w:rFonts w:asciiTheme="minorBidi" w:hAnsiTheme="minorBidi"/>
          <w:sz w:val="18"/>
          <w:szCs w:val="18"/>
          <w:rtl/>
        </w:rPr>
        <w:t xml:space="preserve"> דמותר</w:t>
      </w:r>
      <w:r w:rsidRPr="003024E5">
        <w:rPr>
          <w:rStyle w:val="a7"/>
          <w:rFonts w:asciiTheme="minorBidi" w:hAnsiTheme="minorBidi"/>
          <w:sz w:val="18"/>
          <w:szCs w:val="18"/>
          <w:rtl/>
        </w:rPr>
        <w:footnoteReference w:id="301"/>
      </w:r>
      <w:r w:rsidRPr="003024E5">
        <w:rPr>
          <w:rFonts w:asciiTheme="minorBidi" w:hAnsiTheme="minorBidi"/>
          <w:sz w:val="16"/>
          <w:szCs w:val="16"/>
          <w:rtl/>
        </w:rPr>
        <w:t xml:space="preserve"> (תרוה"ד סי' קנב ואו"ה כלל לז)</w:t>
      </w:r>
      <w:r w:rsidRPr="003024E5">
        <w:rPr>
          <w:rFonts w:asciiTheme="minorBidi" w:hAnsiTheme="minorBidi"/>
          <w:sz w:val="18"/>
          <w:szCs w:val="18"/>
          <w:rtl/>
        </w:rPr>
        <w:t>. אבל הסכין צריך הדחה אחר כך</w:t>
      </w:r>
      <w:r w:rsidRPr="003024E5">
        <w:rPr>
          <w:rStyle w:val="a7"/>
          <w:rFonts w:asciiTheme="minorBidi" w:hAnsiTheme="minorBidi"/>
          <w:sz w:val="18"/>
          <w:szCs w:val="18"/>
          <w:rtl/>
        </w:rPr>
        <w:footnoteReference w:id="302"/>
      </w:r>
      <w:r w:rsidRPr="003024E5">
        <w:rPr>
          <w:rFonts w:asciiTheme="minorBidi" w:hAnsiTheme="minorBidi"/>
          <w:sz w:val="18"/>
          <w:szCs w:val="18"/>
          <w:rtl/>
        </w:rPr>
        <w:t xml:space="preserve"> או נעיצה בקרקע אם נתייבשה עליו הציר </w:t>
      </w:r>
      <w:r w:rsidRPr="003024E5">
        <w:rPr>
          <w:rFonts w:asciiTheme="minorBidi" w:hAnsiTheme="minorBidi"/>
          <w:sz w:val="16"/>
          <w:szCs w:val="16"/>
          <w:rtl/>
        </w:rPr>
        <w:t>(ארוך)</w:t>
      </w:r>
      <w:r w:rsidRPr="003024E5">
        <w:rPr>
          <w:rFonts w:asciiTheme="minorBidi" w:hAnsiTheme="minorBidi"/>
          <w:sz w:val="18"/>
          <w:szCs w:val="18"/>
          <w:rtl/>
        </w:rPr>
        <w:t>. ואפילו קודם שיעור מליחה אין האיסור משום הסכין אלא משום שיצא דם בעין על הבשר</w:t>
      </w:r>
      <w:r w:rsidRPr="003024E5">
        <w:rPr>
          <w:rStyle w:val="a7"/>
          <w:rFonts w:asciiTheme="minorBidi" w:hAnsiTheme="minorBidi"/>
          <w:sz w:val="18"/>
          <w:szCs w:val="18"/>
          <w:rtl/>
        </w:rPr>
        <w:footnoteReference w:id="303"/>
      </w:r>
      <w:r w:rsidRPr="003024E5">
        <w:rPr>
          <w:rFonts w:asciiTheme="minorBidi" w:hAnsiTheme="minorBidi"/>
          <w:sz w:val="18"/>
          <w:szCs w:val="18"/>
          <w:rtl/>
        </w:rPr>
        <w:t xml:space="preserve"> ואם רוצה להדיחו שם היטב ולחזור ולמלחו שם מותר.</w:t>
      </w:r>
      <w:r w:rsidRPr="003024E5">
        <w:rPr>
          <w:rFonts w:asciiTheme="minorBidi" w:hAnsiTheme="minorBidi"/>
          <w:rtl/>
        </w:rPr>
        <w:t xml:space="preserve"> וכשרוצים לעשות מליח להתקיים לאחר ששהה במלחו בכלי מנוקב כשיעור הראוי מדיחים אותו יפה יפה ואח"כ חוזרים ומולחים אותו כדי שיתקיים ואפילו בכלי שאינו מנוקב</w:t>
      </w:r>
      <w:r w:rsidRPr="003024E5">
        <w:rPr>
          <w:rStyle w:val="a7"/>
          <w:rFonts w:asciiTheme="minorBidi" w:hAnsiTheme="minorBidi"/>
          <w:rtl/>
        </w:rPr>
        <w:footnoteReference w:id="304"/>
      </w:r>
      <w:r w:rsidRPr="003024E5">
        <w:rPr>
          <w:rFonts w:asciiTheme="minorBidi" w:hAnsiTheme="minorBidi"/>
          <w:rtl/>
        </w:rPr>
        <w:t xml:space="preserve">, ואפילו לפי סברא זו אם רוצה למלוח ולאכול צלי בלא הדחה עושה ואינו חושש לדם שעל המלח שהאש שואבו ומונע המלח מלבלוע דם, והני מילי במולחו ומעלהו לצלי אבל אם שהה במלחו המלח בולע הדם ונאסר ולפיכך מדיחו יפה יפה וצולה ואוכל. </w:t>
      </w:r>
      <w:r w:rsidRPr="003024E5">
        <w:rPr>
          <w:rFonts w:asciiTheme="minorBidi" w:hAnsiTheme="minorBidi"/>
          <w:sz w:val="18"/>
          <w:szCs w:val="18"/>
          <w:rtl/>
        </w:rPr>
        <w:t>[הגה] וע"ל סי' עו מדין בשר שנמלח ולא הודח ונצלה כך.</w:t>
      </w:r>
      <w:r w:rsidRPr="003024E5">
        <w:rPr>
          <w:rFonts w:asciiTheme="minorBidi" w:hAnsiTheme="minorBidi"/>
          <w:rtl/>
        </w:rPr>
        <w:t xml:space="preserve"> </w:t>
      </w:r>
    </w:p>
    <w:p w14:paraId="45698253" w14:textId="77777777" w:rsidR="002C39F4" w:rsidRPr="003024E5" w:rsidRDefault="002C39F4" w:rsidP="002C39F4">
      <w:pPr>
        <w:rPr>
          <w:rFonts w:asciiTheme="minorBidi" w:hAnsiTheme="minorBidi"/>
          <w:rtl/>
        </w:rPr>
      </w:pPr>
    </w:p>
    <w:p w14:paraId="7BB97E38" w14:textId="77777777" w:rsidR="002C39F4" w:rsidRDefault="002C39F4" w:rsidP="002C39F4">
      <w:pPr>
        <w:pStyle w:val="2"/>
        <w:rPr>
          <w:rFonts w:asciiTheme="minorBidi" w:hAnsiTheme="minorBidi"/>
          <w:rtl/>
        </w:rPr>
      </w:pPr>
      <w:r w:rsidRPr="003024E5">
        <w:rPr>
          <w:rFonts w:asciiTheme="minorBidi" w:hAnsiTheme="minorBidi"/>
          <w:rtl/>
        </w:rPr>
        <w:t>סעיף כא: מקום שאין מצוי בו מלח.</w:t>
      </w:r>
    </w:p>
    <w:p w14:paraId="162C22E8" w14:textId="77777777" w:rsidR="002C39F4" w:rsidRPr="00852858" w:rsidRDefault="002C39F4" w:rsidP="002C39F4">
      <w:pPr>
        <w:rPr>
          <w:sz w:val="16"/>
          <w:szCs w:val="16"/>
          <w:rtl/>
        </w:rPr>
      </w:pPr>
      <w:r>
        <w:rPr>
          <w:rFonts w:cs="Arial" w:hint="cs"/>
          <w:b/>
          <w:bCs/>
          <w:rtl/>
        </w:rPr>
        <w:t xml:space="preserve">פסחים עד ע"ב: </w:t>
      </w:r>
      <w:r w:rsidRPr="00852858">
        <w:rPr>
          <w:rFonts w:cs="Arial"/>
          <w:rtl/>
        </w:rPr>
        <w:t>האי אומצא דאסמיק, חתכיה ומלחיה - אפילו לקדרה שרי. שפדיה בשפודא - שרי, מידב דייב. אחתיה אגומרי - פליגי בה רב אחא ורבינא. חד אסר וחד שרי. מאן דאסר - מצמית צמית, ומאן דשרי - מישאב שאיב. והילכתא: מישאב שאיב.</w:t>
      </w:r>
      <w:r>
        <w:rPr>
          <w:rFonts w:hint="cs"/>
          <w:sz w:val="16"/>
          <w:szCs w:val="16"/>
          <w:rtl/>
        </w:rPr>
        <w:t xml:space="preserve">   </w:t>
      </w:r>
      <w:r>
        <w:rPr>
          <w:rFonts w:hint="cs"/>
          <w:color w:val="FF0000"/>
          <w:sz w:val="16"/>
          <w:szCs w:val="16"/>
          <w:rtl/>
        </w:rPr>
        <w:t>{</w:t>
      </w:r>
      <w:r w:rsidRPr="00852858">
        <w:rPr>
          <w:rFonts w:hint="cs"/>
          <w:color w:val="FF0000"/>
          <w:sz w:val="16"/>
          <w:szCs w:val="16"/>
          <w:rtl/>
        </w:rPr>
        <w:t>צל"ע מדוע אף אחד מהפוסקים</w:t>
      </w:r>
      <w:r>
        <w:rPr>
          <w:rFonts w:hint="cs"/>
          <w:color w:val="FF0000"/>
          <w:sz w:val="16"/>
          <w:szCs w:val="16"/>
          <w:rtl/>
        </w:rPr>
        <w:t xml:space="preserve"> שראיתי</w:t>
      </w:r>
      <w:r w:rsidRPr="00852858">
        <w:rPr>
          <w:rFonts w:hint="cs"/>
          <w:color w:val="FF0000"/>
          <w:sz w:val="16"/>
          <w:szCs w:val="16"/>
          <w:rtl/>
        </w:rPr>
        <w:t xml:space="preserve"> לא ציין לכאן</w:t>
      </w:r>
      <w:r>
        <w:rPr>
          <w:rFonts w:hint="cs"/>
          <w:color w:val="FF0000"/>
          <w:sz w:val="16"/>
          <w:szCs w:val="16"/>
          <w:rtl/>
        </w:rPr>
        <w:t>}</w:t>
      </w:r>
    </w:p>
    <w:p w14:paraId="3643DBCC" w14:textId="77777777" w:rsidR="002C39F4" w:rsidRPr="00852858" w:rsidRDefault="002C39F4" w:rsidP="002C39F4">
      <w:pPr>
        <w:rPr>
          <w:sz w:val="16"/>
          <w:szCs w:val="16"/>
          <w:rtl/>
        </w:rPr>
      </w:pPr>
      <w:r>
        <w:rPr>
          <w:rFonts w:cs="Arial" w:hint="cs"/>
          <w:b/>
          <w:bCs/>
          <w:rtl/>
        </w:rPr>
        <w:t xml:space="preserve">חולין קיב ע"א: </w:t>
      </w:r>
      <w:r w:rsidRPr="007E722E">
        <w:rPr>
          <w:rFonts w:cs="Arial"/>
          <w:u w:val="single"/>
          <w:rtl/>
        </w:rPr>
        <w:t>אמר רב נחמן אמר שמואל:</w:t>
      </w:r>
      <w:r w:rsidRPr="007E722E">
        <w:rPr>
          <w:rFonts w:cs="Arial"/>
          <w:rtl/>
        </w:rPr>
        <w:t xml:space="preserve"> אין מניחין כלי תחת בשר עד שיכלה כל מראה אדמומית שבו</w:t>
      </w:r>
      <w:r>
        <w:rPr>
          <w:rFonts w:cs="Arial" w:hint="cs"/>
          <w:rtl/>
        </w:rPr>
        <w:t>.</w:t>
      </w:r>
      <w:r w:rsidRPr="007E722E">
        <w:rPr>
          <w:rFonts w:cs="Arial"/>
          <w:rtl/>
        </w:rPr>
        <w:t xml:space="preserve"> מנא ידעינן? </w:t>
      </w:r>
      <w:r w:rsidRPr="007E722E">
        <w:rPr>
          <w:rFonts w:cs="Arial"/>
          <w:u w:val="single"/>
          <w:rtl/>
        </w:rPr>
        <w:t>מר זוטרא משמיה דרב פפא אמר</w:t>
      </w:r>
      <w:r w:rsidRPr="007E722E">
        <w:rPr>
          <w:rFonts w:cs="Arial"/>
          <w:rtl/>
        </w:rPr>
        <w:t xml:space="preserve">: משתעלה תימרתו, </w:t>
      </w:r>
      <w:r w:rsidRPr="007E722E">
        <w:rPr>
          <w:rFonts w:cs="Arial"/>
          <w:u w:val="single"/>
          <w:rtl/>
        </w:rPr>
        <w:t>מתקיף לה רב אשי</w:t>
      </w:r>
      <w:r w:rsidRPr="007E722E">
        <w:rPr>
          <w:rFonts w:cs="Arial"/>
          <w:rtl/>
        </w:rPr>
        <w:t xml:space="preserve">: ודלמא, תתאה מטא עילאה לא מטא? </w:t>
      </w:r>
      <w:r w:rsidRPr="007E722E">
        <w:rPr>
          <w:rFonts w:cs="Arial"/>
          <w:u w:val="single"/>
          <w:rtl/>
        </w:rPr>
        <w:t>אלא אמר רב אשי</w:t>
      </w:r>
      <w:r w:rsidRPr="007E722E">
        <w:rPr>
          <w:rFonts w:cs="Arial"/>
          <w:rtl/>
        </w:rPr>
        <w:t>: לית ליה תקנתא אלא - משדא ביה תרתי גללי מלחא,</w:t>
      </w:r>
      <w:r w:rsidRPr="007E722E">
        <w:rPr>
          <w:rtl/>
        </w:rPr>
        <w:t xml:space="preserve"> </w:t>
      </w:r>
      <w:r w:rsidRPr="007E722E">
        <w:rPr>
          <w:rFonts w:cs="Arial"/>
          <w:rtl/>
        </w:rPr>
        <w:t>ומשפייה.</w:t>
      </w:r>
      <w:r>
        <w:rPr>
          <w:rFonts w:hint="cs"/>
          <w:sz w:val="16"/>
          <w:szCs w:val="16"/>
          <w:rtl/>
        </w:rPr>
        <w:t xml:space="preserve"> </w:t>
      </w:r>
      <w:r w:rsidRPr="00852858">
        <w:rPr>
          <w:rFonts w:hint="cs"/>
          <w:color w:val="FF0000"/>
          <w:sz w:val="16"/>
          <w:szCs w:val="16"/>
          <w:rtl/>
        </w:rPr>
        <w:t xml:space="preserve"> (לכאן ציין הגר"א וצל"ע </w:t>
      </w:r>
      <w:r>
        <w:rPr>
          <w:rFonts w:hint="cs"/>
          <w:color w:val="FF0000"/>
          <w:sz w:val="16"/>
          <w:szCs w:val="16"/>
          <w:rtl/>
        </w:rPr>
        <w:t>מדוע</w:t>
      </w:r>
      <w:r w:rsidRPr="00852858">
        <w:rPr>
          <w:rFonts w:hint="cs"/>
          <w:color w:val="FF0000"/>
          <w:sz w:val="16"/>
          <w:szCs w:val="16"/>
          <w:rtl/>
        </w:rPr>
        <w:t>)</w:t>
      </w:r>
    </w:p>
    <w:p w14:paraId="6453FFD1" w14:textId="77777777" w:rsidR="002C39F4" w:rsidRPr="003024E5" w:rsidRDefault="002C39F4" w:rsidP="002C39F4">
      <w:pPr>
        <w:rPr>
          <w:rFonts w:asciiTheme="minorBidi" w:hAnsiTheme="minorBidi"/>
          <w:u w:val="single"/>
          <w:rtl/>
        </w:rPr>
      </w:pPr>
      <w:r w:rsidRPr="003024E5">
        <w:rPr>
          <w:rFonts w:asciiTheme="minorBidi" w:hAnsiTheme="minorBidi"/>
          <w:u w:val="single"/>
          <w:rtl/>
        </w:rPr>
        <w:t xml:space="preserve">כיצד יש להכשיר </w:t>
      </w:r>
      <w:r>
        <w:rPr>
          <w:rFonts w:asciiTheme="minorBidi" w:hAnsiTheme="minorBidi" w:hint="cs"/>
          <w:u w:val="single"/>
          <w:rtl/>
        </w:rPr>
        <w:t xml:space="preserve">את </w:t>
      </w:r>
      <w:r w:rsidRPr="003024E5">
        <w:rPr>
          <w:rFonts w:asciiTheme="minorBidi" w:hAnsiTheme="minorBidi"/>
          <w:u w:val="single"/>
          <w:rtl/>
        </w:rPr>
        <w:t>הבשר במקום שאין בו מלח:</w:t>
      </w:r>
      <w:r w:rsidRPr="00852858">
        <w:rPr>
          <w:rFonts w:asciiTheme="minorBidi" w:hAnsiTheme="minorBidi"/>
          <w:sz w:val="16"/>
          <w:szCs w:val="16"/>
          <w:rtl/>
        </w:rPr>
        <w:t xml:space="preserve"> </w:t>
      </w:r>
      <w:r>
        <w:rPr>
          <w:rFonts w:asciiTheme="minorBidi" w:hAnsiTheme="minorBidi" w:hint="cs"/>
          <w:sz w:val="16"/>
          <w:szCs w:val="16"/>
          <w:rtl/>
        </w:rPr>
        <w:t xml:space="preserve">  </w:t>
      </w:r>
      <w:r w:rsidRPr="003024E5">
        <w:rPr>
          <w:rFonts w:asciiTheme="minorBidi" w:hAnsiTheme="minorBidi"/>
          <w:sz w:val="16"/>
          <w:szCs w:val="16"/>
          <w:rtl/>
        </w:rPr>
        <w:t>(ב"י, דרכ"מ [אות מא] וט"ז [סקנ"ד])</w:t>
      </w:r>
    </w:p>
    <w:p w14:paraId="0589E58C" w14:textId="77777777" w:rsidR="002C39F4" w:rsidRPr="003024E5" w:rsidRDefault="002C39F4" w:rsidP="002C39F4">
      <w:pPr>
        <w:pStyle w:val="a8"/>
        <w:numPr>
          <w:ilvl w:val="0"/>
          <w:numId w:val="27"/>
        </w:numPr>
        <w:rPr>
          <w:rFonts w:asciiTheme="minorBidi" w:hAnsiTheme="minorBidi"/>
        </w:rPr>
      </w:pPr>
      <w:r w:rsidRPr="003024E5">
        <w:rPr>
          <w:rFonts w:asciiTheme="minorBidi" w:hAnsiTheme="minorBidi"/>
          <w:rtl/>
        </w:rPr>
        <w:t xml:space="preserve">ר"ן </w:t>
      </w:r>
      <w:r w:rsidRPr="003024E5">
        <w:rPr>
          <w:rFonts w:asciiTheme="minorBidi" w:hAnsiTheme="minorBidi"/>
          <w:sz w:val="16"/>
          <w:szCs w:val="16"/>
          <w:rtl/>
        </w:rPr>
        <w:t>(חולין מא: ד"ה ככר וד"ה מיהו)</w:t>
      </w:r>
      <w:r w:rsidRPr="003024E5">
        <w:rPr>
          <w:rFonts w:asciiTheme="minorBidi" w:hAnsiTheme="minorBidi"/>
          <w:rtl/>
        </w:rPr>
        <w:t xml:space="preserve">- </w:t>
      </w:r>
      <w:r>
        <w:rPr>
          <w:rFonts w:asciiTheme="minorBidi" w:hAnsiTheme="minorBidi" w:hint="cs"/>
          <w:rtl/>
        </w:rPr>
        <w:t xml:space="preserve">צולהו עד </w:t>
      </w:r>
      <w:r w:rsidRPr="003024E5">
        <w:rPr>
          <w:rFonts w:asciiTheme="minorBidi" w:hAnsiTheme="minorBidi"/>
          <w:rtl/>
        </w:rPr>
        <w:t>שיתבשל כמאכל בן דרוסאי</w:t>
      </w:r>
      <w:r>
        <w:rPr>
          <w:rFonts w:asciiTheme="minorBidi" w:hAnsiTheme="minorBidi" w:hint="cs"/>
          <w:rtl/>
        </w:rPr>
        <w:t xml:space="preserve"> </w:t>
      </w:r>
      <w:r>
        <w:rPr>
          <w:rFonts w:asciiTheme="minorBidi" w:hAnsiTheme="minorBidi" w:hint="cs"/>
          <w:sz w:val="16"/>
          <w:szCs w:val="16"/>
          <w:rtl/>
        </w:rPr>
        <w:t>(</w:t>
      </w:r>
      <w:r w:rsidRPr="00F62BA4">
        <w:rPr>
          <w:rFonts w:asciiTheme="minorBidi" w:hAnsiTheme="minorBidi" w:hint="cs"/>
          <w:sz w:val="16"/>
          <w:szCs w:val="16"/>
          <w:rtl/>
        </w:rPr>
        <w:t>היינו כשליש בישולו</w:t>
      </w:r>
      <w:r w:rsidRPr="00F62BA4">
        <w:rPr>
          <w:rFonts w:asciiTheme="minorBidi" w:hAnsiTheme="minorBidi" w:hint="cs"/>
          <w:sz w:val="10"/>
          <w:szCs w:val="10"/>
          <w:rtl/>
        </w:rPr>
        <w:t xml:space="preserve"> </w:t>
      </w:r>
      <w:r>
        <w:rPr>
          <w:rFonts w:asciiTheme="minorBidi" w:hAnsiTheme="minorBidi" w:hint="cs"/>
          <w:sz w:val="16"/>
          <w:szCs w:val="16"/>
          <w:rtl/>
        </w:rPr>
        <w:t xml:space="preserve">,ע"פ ר"ן </w:t>
      </w:r>
      <w:r w:rsidRPr="00F62BA4">
        <w:rPr>
          <w:rFonts w:asciiTheme="minorBidi" w:hAnsiTheme="minorBidi" w:hint="cs"/>
          <w:sz w:val="14"/>
          <w:szCs w:val="14"/>
          <w:rtl/>
        </w:rPr>
        <w:t>[שבת ח. מדפה"ר]</w:t>
      </w:r>
      <w:r>
        <w:rPr>
          <w:rFonts w:asciiTheme="minorBidi" w:hAnsiTheme="minorBidi" w:hint="cs"/>
          <w:sz w:val="16"/>
          <w:szCs w:val="16"/>
          <w:rtl/>
        </w:rPr>
        <w:t>)</w:t>
      </w:r>
      <w:r w:rsidRPr="003024E5">
        <w:rPr>
          <w:rFonts w:asciiTheme="minorBidi" w:hAnsiTheme="minorBidi"/>
          <w:rtl/>
        </w:rPr>
        <w:t>.</w:t>
      </w:r>
    </w:p>
    <w:p w14:paraId="1637DF90" w14:textId="77777777" w:rsidR="002C39F4" w:rsidRPr="003024E5" w:rsidRDefault="002C39F4" w:rsidP="002C39F4">
      <w:pPr>
        <w:pStyle w:val="a8"/>
        <w:numPr>
          <w:ilvl w:val="0"/>
          <w:numId w:val="27"/>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(חולין צג. ד"ה חתכיה)</w:t>
      </w:r>
      <w:r w:rsidRPr="003024E5">
        <w:rPr>
          <w:rFonts w:asciiTheme="minorBidi" w:hAnsiTheme="minorBidi"/>
          <w:rtl/>
        </w:rPr>
        <w:t xml:space="preserve"> ורא"ש </w:t>
      </w:r>
      <w:r w:rsidRPr="003024E5">
        <w:rPr>
          <w:rFonts w:asciiTheme="minorBidi" w:hAnsiTheme="minorBidi"/>
          <w:sz w:val="16"/>
          <w:szCs w:val="16"/>
          <w:rtl/>
        </w:rPr>
        <w:t>(פ"ז סי' ז)</w:t>
      </w:r>
      <w:r w:rsidRPr="003024E5">
        <w:rPr>
          <w:rFonts w:asciiTheme="minorBidi" w:hAnsiTheme="minorBidi"/>
          <w:rtl/>
        </w:rPr>
        <w:t>- שדרו ממתיבתא</w:t>
      </w:r>
      <w:r>
        <w:rPr>
          <w:rFonts w:asciiTheme="minorBidi" w:hAnsiTheme="minorBidi" w:hint="cs"/>
          <w:rtl/>
        </w:rPr>
        <w:t>,</w:t>
      </w:r>
      <w:r w:rsidRPr="003024E5">
        <w:rPr>
          <w:rFonts w:asciiTheme="minorBidi" w:hAnsiTheme="minorBidi"/>
          <w:rtl/>
        </w:rPr>
        <w:t xml:space="preserve"> באתרא דלית להו מילחא</w:t>
      </w:r>
      <w:r>
        <w:rPr>
          <w:rStyle w:val="a7"/>
          <w:rFonts w:asciiTheme="minorBidi" w:hAnsiTheme="minorBidi"/>
          <w:rtl/>
        </w:rPr>
        <w:footnoteReference w:id="305"/>
      </w:r>
      <w:r>
        <w:rPr>
          <w:rFonts w:asciiTheme="minorBidi" w:hAnsiTheme="minorBidi" w:hint="cs"/>
          <w:rtl/>
        </w:rPr>
        <w:t>,</w:t>
      </w:r>
      <w:r w:rsidRPr="003024E5">
        <w:rPr>
          <w:rFonts w:asciiTheme="minorBidi" w:hAnsiTheme="minorBidi"/>
          <w:rtl/>
        </w:rPr>
        <w:t xml:space="preserve"> ליטוי טוויה דשייב ליה נורא, ובתר דמטוי </w:t>
      </w:r>
      <w:r w:rsidRPr="000E1BBB">
        <w:rPr>
          <w:rFonts w:asciiTheme="minorBidi" w:hAnsiTheme="minorBidi"/>
          <w:rtl/>
        </w:rPr>
        <w:t>פלגא</w:t>
      </w:r>
      <w:r w:rsidRPr="003024E5">
        <w:rPr>
          <w:rFonts w:asciiTheme="minorBidi" w:hAnsiTheme="minorBidi"/>
          <w:rtl/>
        </w:rPr>
        <w:t xml:space="preserve"> אי בעי לבשולי בקדירה שפיר דמי</w:t>
      </w:r>
      <w:r>
        <w:rPr>
          <w:rFonts w:asciiTheme="minorBidi" w:hAnsiTheme="minorBidi" w:hint="cs"/>
          <w:sz w:val="16"/>
          <w:szCs w:val="16"/>
          <w:rtl/>
        </w:rPr>
        <w:t xml:space="preserve"> (ל' הרא"ש)</w:t>
      </w:r>
      <w:r w:rsidRPr="003024E5">
        <w:rPr>
          <w:rStyle w:val="a7"/>
          <w:rFonts w:asciiTheme="minorBidi" w:hAnsiTheme="minorBidi"/>
          <w:rtl/>
        </w:rPr>
        <w:footnoteReference w:id="306"/>
      </w:r>
      <w:r w:rsidRPr="003024E5">
        <w:rPr>
          <w:rFonts w:asciiTheme="minorBidi" w:hAnsiTheme="minorBidi"/>
          <w:rtl/>
        </w:rPr>
        <w:t>. (וכ"פ פר"ח</w:t>
      </w:r>
      <w:r w:rsidRPr="003024E5">
        <w:rPr>
          <w:rFonts w:asciiTheme="minorBidi" w:hAnsiTheme="minorBidi"/>
          <w:sz w:val="16"/>
          <w:szCs w:val="16"/>
          <w:rtl/>
        </w:rPr>
        <w:t xml:space="preserve"> [סי' עו סקט"ו]</w:t>
      </w:r>
      <w:r w:rsidRPr="003024E5">
        <w:rPr>
          <w:rFonts w:asciiTheme="minorBidi" w:hAnsiTheme="minorBidi"/>
          <w:rtl/>
        </w:rPr>
        <w:t>)</w:t>
      </w:r>
    </w:p>
    <w:p w14:paraId="78885786" w14:textId="77777777" w:rsidR="002C39F4" w:rsidRPr="003024E5" w:rsidRDefault="002C39F4" w:rsidP="002C39F4">
      <w:pPr>
        <w:pStyle w:val="a8"/>
        <w:numPr>
          <w:ilvl w:val="0"/>
          <w:numId w:val="27"/>
        </w:numPr>
        <w:rPr>
          <w:rFonts w:asciiTheme="minorBidi" w:hAnsiTheme="minorBidi"/>
          <w:rtl/>
        </w:rPr>
      </w:pPr>
      <w:r>
        <w:rPr>
          <w:rFonts w:asciiTheme="minorBidi" w:hAnsiTheme="minorBidi"/>
          <w:rtl/>
        </w:rPr>
        <w:t>הג"א</w:t>
      </w:r>
      <w:r w:rsidRPr="003024E5">
        <w:rPr>
          <w:rFonts w:asciiTheme="minorBidi" w:hAnsiTheme="minorBidi"/>
          <w:rtl/>
        </w:rPr>
        <w:t xml:space="preserve"> </w:t>
      </w:r>
      <w:r w:rsidRPr="003024E5">
        <w:rPr>
          <w:rFonts w:asciiTheme="minorBidi" w:hAnsiTheme="minorBidi"/>
          <w:sz w:val="16"/>
          <w:szCs w:val="16"/>
          <w:rtl/>
        </w:rPr>
        <w:t xml:space="preserve">(פכ"ה סי' מט) </w:t>
      </w:r>
      <w:r w:rsidRPr="003024E5">
        <w:rPr>
          <w:rFonts w:asciiTheme="minorBidi" w:hAnsiTheme="minorBidi"/>
          <w:rtl/>
        </w:rPr>
        <w:t xml:space="preserve">בשם או"ז </w:t>
      </w:r>
      <w:r w:rsidRPr="003024E5">
        <w:rPr>
          <w:rFonts w:asciiTheme="minorBidi" w:hAnsiTheme="minorBidi"/>
          <w:sz w:val="16"/>
          <w:szCs w:val="16"/>
          <w:rtl/>
        </w:rPr>
        <w:t>(ח"א סי' תעז)</w:t>
      </w:r>
      <w:r w:rsidRPr="003024E5">
        <w:rPr>
          <w:rFonts w:asciiTheme="minorBidi" w:hAnsiTheme="minorBidi"/>
          <w:rtl/>
        </w:rPr>
        <w:t>- במקום שאין מלח כלל יצלנו תחלה עד שיזוב כל דמו ואח"כ יבשלנו.</w:t>
      </w:r>
      <w:r>
        <w:rPr>
          <w:rFonts w:asciiTheme="minorBidi" w:hAnsiTheme="minorBidi" w:hint="cs"/>
          <w:rtl/>
        </w:rPr>
        <w:t xml:space="preserve"> </w:t>
      </w:r>
      <w:r w:rsidRPr="00F62BA4">
        <w:rPr>
          <w:rFonts w:asciiTheme="minorBidi" w:hAnsiTheme="minorBidi" w:hint="cs"/>
          <w:color w:val="E36C0A" w:themeColor="accent6" w:themeShade="BF"/>
          <w:rtl/>
        </w:rPr>
        <w:t>(וכ"פ בשו"ע)</w:t>
      </w:r>
      <w:r>
        <w:rPr>
          <w:rFonts w:asciiTheme="minorBidi" w:hAnsiTheme="minorBidi" w:hint="cs"/>
          <w:rtl/>
        </w:rPr>
        <w:t xml:space="preserve"> </w:t>
      </w:r>
    </w:p>
    <w:p w14:paraId="2192A312" w14:textId="77777777" w:rsidR="002C39F4" w:rsidRPr="003024E5" w:rsidRDefault="002C39F4" w:rsidP="002C39F4">
      <w:pPr>
        <w:pStyle w:val="a8"/>
        <w:numPr>
          <w:ilvl w:val="0"/>
          <w:numId w:val="27"/>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(חולין קיב. ד"ה א"ר נחמן)</w:t>
      </w:r>
      <w:r w:rsidRPr="003024E5">
        <w:rPr>
          <w:rFonts w:asciiTheme="minorBidi" w:hAnsiTheme="minorBidi"/>
          <w:rtl/>
        </w:rPr>
        <w:t xml:space="preserve">- </w:t>
      </w:r>
      <w:r>
        <w:rPr>
          <w:rFonts w:asciiTheme="minorBidi" w:hAnsiTheme="minorBidi" w:hint="cs"/>
          <w:rtl/>
        </w:rPr>
        <w:t xml:space="preserve">צולהו </w:t>
      </w:r>
      <w:r w:rsidRPr="003024E5">
        <w:rPr>
          <w:rFonts w:asciiTheme="minorBidi" w:hAnsiTheme="minorBidi"/>
          <w:rtl/>
        </w:rPr>
        <w:t>עד שיהא ראוי לאכילה לרוב בני אדם. (וכ"פ רש"ל</w:t>
      </w:r>
      <w:r w:rsidRPr="003024E5">
        <w:rPr>
          <w:rFonts w:asciiTheme="minorBidi" w:hAnsiTheme="minorBidi"/>
          <w:sz w:val="16"/>
          <w:szCs w:val="16"/>
          <w:rtl/>
        </w:rPr>
        <w:t xml:space="preserve"> [יש"ש חולין פ"ח סי' עב]</w:t>
      </w:r>
      <w:r w:rsidRPr="003024E5">
        <w:rPr>
          <w:rFonts w:asciiTheme="minorBidi" w:hAnsiTheme="minorBidi"/>
          <w:rtl/>
        </w:rPr>
        <w:t xml:space="preserve">) </w:t>
      </w:r>
    </w:p>
    <w:p w14:paraId="1186B8E4" w14:textId="77777777" w:rsidR="002C39F4" w:rsidRPr="003024E5" w:rsidRDefault="002C39F4" w:rsidP="002C39F4">
      <w:pPr>
        <w:pStyle w:val="a8"/>
        <w:numPr>
          <w:ilvl w:val="0"/>
          <w:numId w:val="27"/>
        </w:numPr>
        <w:rPr>
          <w:rFonts w:asciiTheme="minorBidi" w:hAnsiTheme="minorBidi"/>
        </w:rPr>
      </w:pPr>
      <w:r w:rsidRPr="003024E5">
        <w:rPr>
          <w:rFonts w:asciiTheme="minorBidi" w:hAnsiTheme="minorBidi"/>
          <w:rtl/>
        </w:rPr>
        <w:t xml:space="preserve">א"ח </w:t>
      </w:r>
      <w:r w:rsidRPr="003024E5">
        <w:rPr>
          <w:rFonts w:asciiTheme="minorBidi" w:hAnsiTheme="minorBidi"/>
          <w:sz w:val="16"/>
          <w:szCs w:val="16"/>
          <w:rtl/>
        </w:rPr>
        <w:t>(הל</w:t>
      </w:r>
      <w:r>
        <w:rPr>
          <w:rFonts w:asciiTheme="minorBidi" w:hAnsiTheme="minorBidi" w:hint="cs"/>
          <w:sz w:val="16"/>
          <w:szCs w:val="16"/>
          <w:rtl/>
        </w:rPr>
        <w:t xml:space="preserve">מ"א </w:t>
      </w:r>
      <w:r w:rsidRPr="003024E5">
        <w:rPr>
          <w:rFonts w:asciiTheme="minorBidi" w:hAnsiTheme="minorBidi"/>
          <w:sz w:val="16"/>
          <w:szCs w:val="16"/>
          <w:rtl/>
        </w:rPr>
        <w:t xml:space="preserve">סי' צו) </w:t>
      </w:r>
      <w:r w:rsidRPr="003024E5">
        <w:rPr>
          <w:rFonts w:asciiTheme="minorBidi" w:hAnsiTheme="minorBidi"/>
          <w:rtl/>
        </w:rPr>
        <w:t xml:space="preserve">בשם </w:t>
      </w:r>
      <w:r>
        <w:rPr>
          <w:rFonts w:asciiTheme="minorBidi" w:hAnsiTheme="minorBidi" w:hint="cs"/>
          <w:rtl/>
        </w:rPr>
        <w:t xml:space="preserve">ר"פ </w:t>
      </w:r>
      <w:r w:rsidRPr="003024E5">
        <w:rPr>
          <w:rFonts w:asciiTheme="minorBidi" w:hAnsiTheme="minorBidi"/>
          <w:sz w:val="16"/>
          <w:szCs w:val="16"/>
          <w:rtl/>
        </w:rPr>
        <w:t>(</w:t>
      </w:r>
      <w:r>
        <w:rPr>
          <w:rFonts w:asciiTheme="minorBidi" w:hAnsiTheme="minorBidi" w:hint="cs"/>
          <w:sz w:val="16"/>
          <w:szCs w:val="16"/>
          <w:rtl/>
        </w:rPr>
        <w:t xml:space="preserve">בהג' </w:t>
      </w:r>
      <w:r w:rsidRPr="003024E5">
        <w:rPr>
          <w:rFonts w:asciiTheme="minorBidi" w:hAnsiTheme="minorBidi"/>
          <w:sz w:val="16"/>
          <w:szCs w:val="16"/>
          <w:rtl/>
        </w:rPr>
        <w:t xml:space="preserve">סמ"ק סי' רה אות ה) </w:t>
      </w:r>
      <w:r>
        <w:rPr>
          <w:rFonts w:asciiTheme="minorBidi" w:hAnsiTheme="minorBidi" w:hint="cs"/>
          <w:rtl/>
        </w:rPr>
        <w:t>ומ</w:t>
      </w:r>
      <w:r w:rsidRPr="003024E5">
        <w:rPr>
          <w:rFonts w:asciiTheme="minorBidi" w:hAnsiTheme="minorBidi"/>
          <w:rtl/>
        </w:rPr>
        <w:t>הר"ם</w:t>
      </w:r>
      <w:r w:rsidRPr="003024E5">
        <w:rPr>
          <w:rFonts w:asciiTheme="minorBidi" w:hAnsiTheme="minorBidi"/>
          <w:sz w:val="16"/>
          <w:szCs w:val="16"/>
          <w:rtl/>
        </w:rPr>
        <w:t xml:space="preserve"> (תשובות פסקים ומנהגים ח"ב סי' מד)</w:t>
      </w:r>
      <w:r w:rsidRPr="003024E5">
        <w:rPr>
          <w:rFonts w:asciiTheme="minorBidi" w:hAnsiTheme="minorBidi"/>
          <w:rtl/>
        </w:rPr>
        <w:t xml:space="preserve">- </w:t>
      </w:r>
      <w:r>
        <w:rPr>
          <w:rFonts w:asciiTheme="minorBidi" w:hAnsiTheme="minorBidi" w:hint="cs"/>
          <w:rtl/>
        </w:rPr>
        <w:t xml:space="preserve">צולהו </w:t>
      </w:r>
      <w:r w:rsidRPr="003024E5">
        <w:rPr>
          <w:rFonts w:asciiTheme="minorBidi" w:hAnsiTheme="minorBidi"/>
          <w:rtl/>
        </w:rPr>
        <w:t>עד גמר צלייתו</w:t>
      </w:r>
      <w:r w:rsidRPr="003024E5">
        <w:rPr>
          <w:rStyle w:val="a7"/>
          <w:rFonts w:asciiTheme="minorBidi" w:hAnsiTheme="minorBidi"/>
          <w:rtl/>
        </w:rPr>
        <w:footnoteReference w:id="307"/>
      </w:r>
      <w:r w:rsidRPr="003024E5">
        <w:rPr>
          <w:rFonts w:asciiTheme="minorBidi" w:hAnsiTheme="minorBidi"/>
          <w:rtl/>
        </w:rPr>
        <w:t>.</w:t>
      </w:r>
    </w:p>
    <w:p w14:paraId="786FC403" w14:textId="77777777" w:rsidR="002C39F4" w:rsidRPr="003024E5" w:rsidRDefault="002C39F4" w:rsidP="002C39F4">
      <w:pPr>
        <w:pStyle w:val="a8"/>
        <w:numPr>
          <w:ilvl w:val="0"/>
          <w:numId w:val="27"/>
        </w:numPr>
        <w:rPr>
          <w:rFonts w:asciiTheme="minorBidi" w:hAnsiTheme="minorBidi"/>
          <w:rtl/>
        </w:rPr>
      </w:pPr>
      <w:r w:rsidRPr="003024E5">
        <w:rPr>
          <w:rFonts w:asciiTheme="minorBidi" w:hAnsiTheme="minorBidi"/>
          <w:rtl/>
        </w:rPr>
        <w:t xml:space="preserve">הגשע"ד </w:t>
      </w:r>
      <w:r w:rsidRPr="003024E5">
        <w:rPr>
          <w:rFonts w:asciiTheme="minorBidi" w:hAnsiTheme="minorBidi"/>
          <w:sz w:val="16"/>
          <w:szCs w:val="16"/>
          <w:rtl/>
        </w:rPr>
        <w:t>(סי' ט אות ט)</w:t>
      </w:r>
      <w:r w:rsidRPr="003024E5">
        <w:rPr>
          <w:rFonts w:asciiTheme="minorBidi" w:hAnsiTheme="minorBidi"/>
          <w:rtl/>
        </w:rPr>
        <w:t>- מפני שאין הנשים בקיאות בדבר נוהגין לצלותו כ"כ עד שיתייבש מבחוץ ואח"כ מבשלים אותו בלי הדחה. (וכ"פ הט"ז</w:t>
      </w:r>
      <w:r w:rsidRPr="003024E5">
        <w:rPr>
          <w:rFonts w:asciiTheme="minorBidi" w:hAnsiTheme="minorBidi"/>
          <w:sz w:val="16"/>
          <w:szCs w:val="16"/>
          <w:rtl/>
        </w:rPr>
        <w:t xml:space="preserve"> [סקנ"ד]</w:t>
      </w:r>
      <w:r w:rsidRPr="003024E5">
        <w:rPr>
          <w:rFonts w:asciiTheme="minorBidi" w:hAnsiTheme="minorBidi"/>
          <w:rtl/>
        </w:rPr>
        <w:t>)</w:t>
      </w:r>
    </w:p>
    <w:p w14:paraId="72BFA85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DA9F82F" w14:textId="77777777" w:rsidR="002C39F4" w:rsidRDefault="002C39F4" w:rsidP="002C39F4">
      <w:pPr>
        <w:rPr>
          <w:rFonts w:asciiTheme="minorBidi" w:hAnsiTheme="minorBidi"/>
          <w:rtl/>
        </w:rPr>
        <w:sectPr w:rsidR="002C39F4" w:rsidSect="004C5A3C">
          <w:footnotePr>
            <w:numRestart w:val="eachPage"/>
          </w:footnotePr>
          <w:pgSz w:w="11906" w:h="16838"/>
          <w:pgMar w:top="720" w:right="1134" w:bottom="720" w:left="1134" w:header="720" w:footer="0" w:gutter="0"/>
          <w:cols w:space="720"/>
          <w:bidi/>
          <w:rtlGutter/>
          <w:docGrid w:linePitch="360"/>
        </w:sectPr>
      </w:pPr>
      <w:r w:rsidRPr="003024E5">
        <w:rPr>
          <w:rFonts w:asciiTheme="minorBidi" w:hAnsiTheme="minorBidi"/>
          <w:rtl/>
        </w:rPr>
        <w:t>במקום שאין מלח מצוי יצלו הבשר עד שיזוב כל דמו ואחר כך יבשלוהו.</w:t>
      </w:r>
    </w:p>
    <w:p w14:paraId="3CA2F02D"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ע: דין מליחת בשר ביחד, ובו ו' סעיפים. </w:t>
      </w:r>
    </w:p>
    <w:p w14:paraId="51E4C4AA" w14:textId="77777777" w:rsidR="002C39F4" w:rsidRPr="003024E5" w:rsidRDefault="002C39F4" w:rsidP="002C39F4">
      <w:pPr>
        <w:pStyle w:val="2"/>
        <w:rPr>
          <w:rFonts w:asciiTheme="minorBidi" w:hAnsiTheme="minorBidi"/>
          <w:rtl/>
        </w:rPr>
      </w:pPr>
      <w:r w:rsidRPr="003024E5">
        <w:rPr>
          <w:rFonts w:asciiTheme="minorBidi" w:hAnsiTheme="minorBidi"/>
          <w:rtl/>
        </w:rPr>
        <w:t>סעיף א: מליחת כמה חתיכות אחת על השניה, ומליחת דג עם בשר.</w:t>
      </w:r>
    </w:p>
    <w:p w14:paraId="50599130"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ע"א: </w:t>
      </w:r>
      <w:r w:rsidRPr="003024E5">
        <w:rPr>
          <w:rFonts w:asciiTheme="minorBidi" w:hAnsiTheme="minorBidi"/>
          <w:rtl/>
        </w:rPr>
        <w:t xml:space="preserve">רב ששת מלח ליה גרמא גרמא, תרי מאי טעמא לא - משום דפריש מהאי ובלע האי, חד נמי, פריש מהאי גיסא ובלע האי גיסא! אלא לא שנא. </w:t>
      </w:r>
    </w:p>
    <w:p w14:paraId="1723B9B4" w14:textId="77777777" w:rsidR="002C39F4" w:rsidRPr="003024E5" w:rsidRDefault="002C39F4" w:rsidP="002C39F4">
      <w:pPr>
        <w:rPr>
          <w:rFonts w:asciiTheme="minorBidi" w:hAnsiTheme="minorBidi"/>
          <w:u w:val="single"/>
          <w:rtl/>
        </w:rPr>
      </w:pPr>
      <w:r w:rsidRPr="003024E5">
        <w:rPr>
          <w:rFonts w:asciiTheme="minorBidi" w:hAnsiTheme="minorBidi"/>
          <w:u w:val="single"/>
          <w:rtl/>
        </w:rPr>
        <w:t>מהי מסקנת הגמ'- "אלא לא שנא":</w:t>
      </w:r>
    </w:p>
    <w:p w14:paraId="5097EB02" w14:textId="77777777" w:rsidR="002C39F4" w:rsidRPr="003024E5" w:rsidRDefault="002C39F4" w:rsidP="002C39F4">
      <w:pPr>
        <w:pStyle w:val="a8"/>
        <w:numPr>
          <w:ilvl w:val="0"/>
          <w:numId w:val="29"/>
        </w:numPr>
        <w:rPr>
          <w:rFonts w:asciiTheme="minorBidi" w:hAnsiTheme="minorBidi"/>
          <w:rtl/>
        </w:rPr>
      </w:pPr>
      <w:r w:rsidRPr="003024E5">
        <w:rPr>
          <w:rFonts w:asciiTheme="minorBidi" w:hAnsiTheme="minorBidi"/>
          <w:rtl/>
        </w:rPr>
        <w:t>רש"י- דמותר, דכל זמן שטרודים לפלוט אינן בולעים וכשנח זה כבר נח זה</w:t>
      </w:r>
      <w:r w:rsidRPr="003024E5">
        <w:rPr>
          <w:rStyle w:val="a7"/>
          <w:rFonts w:asciiTheme="minorBidi" w:hAnsiTheme="minorBidi"/>
          <w:rtl/>
        </w:rPr>
        <w:footnoteReference w:id="308"/>
      </w:r>
      <w:r w:rsidRPr="003024E5">
        <w:rPr>
          <w:rFonts w:asciiTheme="minorBidi" w:hAnsiTheme="minorBidi"/>
          <w:rtl/>
        </w:rPr>
        <w:t xml:space="preserve">. </w:t>
      </w:r>
    </w:p>
    <w:p w14:paraId="6F1F838A"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לפ"ז קשה איך שרי למלוח כמה חתיכות יחד זו אחר זו אחת על השניה דהרי הראשונה גומרת פליטתה תחלה</w:t>
      </w:r>
      <w:r w:rsidRPr="003024E5">
        <w:rPr>
          <w:rStyle w:val="a7"/>
          <w:rFonts w:asciiTheme="minorBidi" w:hAnsiTheme="minorBidi"/>
          <w:u w:val="dotted"/>
          <w:rtl/>
        </w:rPr>
        <w:footnoteReference w:id="309"/>
      </w:r>
      <w:r w:rsidRPr="003024E5">
        <w:rPr>
          <w:rFonts w:asciiTheme="minorBidi" w:hAnsiTheme="minorBidi"/>
          <w:u w:val="dotted"/>
          <w:rtl/>
        </w:rPr>
        <w:t>:</w:t>
      </w:r>
    </w:p>
    <w:p w14:paraId="270640D7" w14:textId="77777777" w:rsidR="002C39F4" w:rsidRPr="003024E5" w:rsidRDefault="002C39F4" w:rsidP="002C39F4">
      <w:pPr>
        <w:pStyle w:val="a8"/>
        <w:numPr>
          <w:ilvl w:val="0"/>
          <w:numId w:val="29"/>
        </w:numPr>
        <w:rPr>
          <w:rFonts w:asciiTheme="minorBidi" w:hAnsiTheme="minorBidi"/>
        </w:rPr>
      </w:pPr>
      <w:r w:rsidRPr="003024E5">
        <w:rPr>
          <w:rFonts w:asciiTheme="minorBidi" w:hAnsiTheme="minorBidi"/>
          <w:rtl/>
        </w:rPr>
        <w:t xml:space="preserve">ר"ת ותוס' </w:t>
      </w:r>
      <w:r w:rsidRPr="003024E5">
        <w:rPr>
          <w:rFonts w:asciiTheme="minorBidi" w:hAnsiTheme="minorBidi"/>
          <w:sz w:val="16"/>
          <w:szCs w:val="16"/>
          <w:rtl/>
        </w:rPr>
        <w:t>(קיב: ד"ה ודגים)</w:t>
      </w:r>
      <w:r w:rsidRPr="003024E5">
        <w:rPr>
          <w:rFonts w:asciiTheme="minorBidi" w:hAnsiTheme="minorBidi"/>
          <w:rtl/>
        </w:rPr>
        <w:t>- אע"פ שהתחתון פלט תחלה אינו נאסר ומותר</w:t>
      </w:r>
      <w:r>
        <w:rPr>
          <w:rFonts w:asciiTheme="minorBidi" w:hAnsiTheme="minorBidi" w:hint="cs"/>
          <w:rtl/>
        </w:rPr>
        <w:t>,</w:t>
      </w:r>
      <w:r w:rsidRPr="003024E5">
        <w:rPr>
          <w:rFonts w:asciiTheme="minorBidi" w:hAnsiTheme="minorBidi"/>
          <w:rtl/>
        </w:rPr>
        <w:t xml:space="preserve"> כיון שפליטת התחתון קודמת ודם מישרק שריק </w:t>
      </w:r>
      <w:r w:rsidRPr="003024E5">
        <w:rPr>
          <w:rFonts w:asciiTheme="minorBidi" w:hAnsiTheme="minorBidi"/>
          <w:sz w:val="16"/>
          <w:szCs w:val="16"/>
          <w:rtl/>
        </w:rPr>
        <w:t xml:space="preserve">(שם קיא:) </w:t>
      </w:r>
      <w:r w:rsidRPr="003024E5">
        <w:rPr>
          <w:rFonts w:asciiTheme="minorBidi" w:hAnsiTheme="minorBidi"/>
          <w:rtl/>
        </w:rPr>
        <w:t>במליחה כמו בצלייה, וכי היכי דשרי בצלי בשר עילוי בישרא אפילו לכתחלה אע"פ שכלה תחלת פליטתה בצד התחתון של צד האש משום דמישרק שריק</w:t>
      </w:r>
      <w:r>
        <w:rPr>
          <w:rFonts w:asciiTheme="minorBidi" w:hAnsiTheme="minorBidi" w:hint="cs"/>
          <w:rtl/>
        </w:rPr>
        <w:t xml:space="preserve"> </w:t>
      </w:r>
      <w:r w:rsidRPr="003024E5">
        <w:rPr>
          <w:rFonts w:asciiTheme="minorBidi" w:hAnsiTheme="minorBidi"/>
          <w:rtl/>
        </w:rPr>
        <w:t xml:space="preserve">- ה"ה נמי במליחה דשרי כה"ג. </w:t>
      </w:r>
    </w:p>
    <w:p w14:paraId="35F24DC0"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ומיהו, היכא דאיכא גומות בצד עליון של תחתונות דלא מצי שריק קשה למה יהא מותר</w:t>
      </w:r>
      <w:r w:rsidRPr="003024E5">
        <w:rPr>
          <w:rStyle w:val="a7"/>
          <w:rFonts w:asciiTheme="minorBidi" w:hAnsiTheme="minorBidi"/>
          <w:u w:val="dotted"/>
          <w:rtl/>
        </w:rPr>
        <w:footnoteReference w:id="310"/>
      </w:r>
      <w:r w:rsidRPr="003024E5">
        <w:rPr>
          <w:rFonts w:asciiTheme="minorBidi" w:hAnsiTheme="minorBidi"/>
          <w:u w:val="dotted"/>
          <w:rtl/>
        </w:rPr>
        <w:t xml:space="preserve">: </w:t>
      </w:r>
    </w:p>
    <w:p w14:paraId="2B9D89D4" w14:textId="77777777" w:rsidR="002C39F4" w:rsidRPr="003024E5" w:rsidRDefault="002C39F4" w:rsidP="002C39F4">
      <w:pPr>
        <w:pStyle w:val="a8"/>
        <w:numPr>
          <w:ilvl w:val="0"/>
          <w:numId w:val="29"/>
        </w:numPr>
        <w:rPr>
          <w:rFonts w:asciiTheme="minorBidi" w:hAnsiTheme="minorBidi"/>
        </w:rPr>
      </w:pPr>
      <w:r w:rsidRPr="003024E5">
        <w:rPr>
          <w:rFonts w:asciiTheme="minorBidi" w:hAnsiTheme="minorBidi"/>
          <w:rtl/>
        </w:rPr>
        <w:t xml:space="preserve">י"א </w:t>
      </w:r>
      <w:r w:rsidRPr="003024E5">
        <w:rPr>
          <w:rFonts w:asciiTheme="minorBidi" w:hAnsiTheme="minorBidi"/>
          <w:sz w:val="16"/>
          <w:szCs w:val="16"/>
          <w:rtl/>
        </w:rPr>
        <w:t xml:space="preserve">(תירוץ ראשון </w:t>
      </w:r>
      <w:r>
        <w:rPr>
          <w:rFonts w:asciiTheme="minorBidi" w:hAnsiTheme="minorBidi" w:hint="cs"/>
          <w:sz w:val="16"/>
          <w:szCs w:val="16"/>
          <w:rtl/>
        </w:rPr>
        <w:t>של</w:t>
      </w:r>
      <w:r w:rsidRPr="003024E5">
        <w:rPr>
          <w:rFonts w:asciiTheme="minorBidi" w:hAnsiTheme="minorBidi"/>
          <w:sz w:val="16"/>
          <w:szCs w:val="16"/>
          <w:rtl/>
        </w:rPr>
        <w:t xml:space="preserve"> התוס')</w:t>
      </w:r>
      <w:r w:rsidRPr="003024E5">
        <w:rPr>
          <w:rFonts w:asciiTheme="minorBidi" w:hAnsiTheme="minorBidi"/>
          <w:rtl/>
        </w:rPr>
        <w:t xml:space="preserve">- משום דפליטת ציר מושכת הרבה אחר פליטת הדם וכל זמן שמושך פליטת הציר פולטות מה שבולעות מן העליונות אחר פליטת דמן, ומה שנמצא בגומות ציר הוא ולא דם. </w:t>
      </w:r>
    </w:p>
    <w:p w14:paraId="55BD6401" w14:textId="77777777" w:rsidR="002C39F4" w:rsidRDefault="002C39F4" w:rsidP="002C39F4">
      <w:pPr>
        <w:pStyle w:val="a8"/>
        <w:numPr>
          <w:ilvl w:val="0"/>
          <w:numId w:val="29"/>
        </w:numPr>
        <w:rPr>
          <w:rFonts w:asciiTheme="minorBidi" w:hAnsiTheme="minorBidi"/>
        </w:rPr>
      </w:pPr>
      <w:r w:rsidRPr="003024E5">
        <w:rPr>
          <w:rFonts w:asciiTheme="minorBidi" w:hAnsiTheme="minorBidi"/>
          <w:rtl/>
        </w:rPr>
        <w:t>ה</w:t>
      </w:r>
      <w:r>
        <w:rPr>
          <w:rFonts w:asciiTheme="minorBidi" w:hAnsiTheme="minorBidi" w:hint="cs"/>
          <w:rtl/>
        </w:rPr>
        <w:t>"</w:t>
      </w:r>
      <w:r w:rsidRPr="003024E5">
        <w:rPr>
          <w:rFonts w:asciiTheme="minorBidi" w:hAnsiTheme="minorBidi"/>
          <w:rtl/>
        </w:rPr>
        <w:t>ר</w:t>
      </w:r>
      <w:r>
        <w:rPr>
          <w:rFonts w:asciiTheme="minorBidi" w:hAnsiTheme="minorBidi" w:hint="cs"/>
          <w:rtl/>
        </w:rPr>
        <w:t xml:space="preserve"> יוסף</w:t>
      </w:r>
      <w:r w:rsidRPr="003024E5">
        <w:rPr>
          <w:rFonts w:asciiTheme="minorBidi" w:hAnsiTheme="minorBidi"/>
          <w:rtl/>
        </w:rPr>
        <w:t xml:space="preserve"> מאורליינ"ש </w:t>
      </w:r>
      <w:r w:rsidRPr="003024E5">
        <w:rPr>
          <w:rFonts w:asciiTheme="minorBidi" w:hAnsiTheme="minorBidi"/>
          <w:sz w:val="16"/>
          <w:szCs w:val="16"/>
          <w:rtl/>
        </w:rPr>
        <w:t xml:space="preserve">(תירוץ שני </w:t>
      </w:r>
      <w:r>
        <w:rPr>
          <w:rFonts w:asciiTheme="minorBidi" w:hAnsiTheme="minorBidi" w:hint="cs"/>
          <w:sz w:val="16"/>
          <w:szCs w:val="16"/>
          <w:rtl/>
        </w:rPr>
        <w:t>שהביאו</w:t>
      </w:r>
      <w:r w:rsidRPr="003024E5">
        <w:rPr>
          <w:rFonts w:asciiTheme="minorBidi" w:hAnsiTheme="minorBidi"/>
          <w:sz w:val="16"/>
          <w:szCs w:val="16"/>
          <w:rtl/>
        </w:rPr>
        <w:t xml:space="preserve"> התוס')</w:t>
      </w:r>
      <w:r w:rsidRPr="003024E5">
        <w:rPr>
          <w:rFonts w:asciiTheme="minorBidi" w:hAnsiTheme="minorBidi"/>
          <w:rtl/>
        </w:rPr>
        <w:t>- כיון שלא נגמר פליטת דם התחתון קודם התחלת בליעתה מן העליון אין דרך פליטתה נסתמת דהואיל ופתוח לפלוט לא יסתם עד גמר פליטת החתיכה שעליה, וכן אם מלחו שלישית ונתנו על העליונות קודם גמר פליטתה- התחתונה פולטת עד שתגמור השלישית פליטתה, וכן לעולם כל מה שיתנו עליה תבלע ותפלוט כיון שלא נחה רגע אחת</w:t>
      </w:r>
      <w:r w:rsidRPr="003024E5">
        <w:rPr>
          <w:rStyle w:val="a7"/>
          <w:rFonts w:asciiTheme="minorBidi" w:hAnsiTheme="minorBidi"/>
          <w:rtl/>
        </w:rPr>
        <w:footnoteReference w:id="311"/>
      </w:r>
      <w:r w:rsidRPr="003024E5">
        <w:rPr>
          <w:rFonts w:asciiTheme="minorBidi" w:hAnsiTheme="minorBidi"/>
          <w:rtl/>
        </w:rPr>
        <w:t>.</w:t>
      </w:r>
    </w:p>
    <w:p w14:paraId="5DB259F8" w14:textId="77777777" w:rsidR="002C39F4" w:rsidRPr="00364826" w:rsidRDefault="002C39F4" w:rsidP="002C39F4">
      <w:pPr>
        <w:ind w:left="360"/>
        <w:rPr>
          <w:rFonts w:asciiTheme="minorBidi" w:hAnsiTheme="minorBidi"/>
          <w:u w:val="dotted"/>
        </w:rPr>
      </w:pPr>
      <w:r w:rsidRPr="00364826">
        <w:rPr>
          <w:rFonts w:asciiTheme="minorBidi" w:hAnsiTheme="minorBidi" w:cs="Arial" w:hint="cs"/>
          <w:u w:val="dotted"/>
          <w:rtl/>
        </w:rPr>
        <w:t xml:space="preserve">ומדוע לא יאסור הדם </w:t>
      </w:r>
      <w:r>
        <w:rPr>
          <w:rFonts w:asciiTheme="minorBidi" w:hAnsiTheme="minorBidi" w:cs="Arial" w:hint="cs"/>
          <w:u w:val="dotted"/>
          <w:rtl/>
        </w:rPr>
        <w:t>הבלוע</w:t>
      </w:r>
      <w:r w:rsidRPr="00364826">
        <w:rPr>
          <w:rFonts w:asciiTheme="minorBidi" w:hAnsiTheme="minorBidi" w:cs="Arial" w:hint="cs"/>
          <w:u w:val="dotted"/>
          <w:rtl/>
        </w:rPr>
        <w:t xml:space="preserve"> במלח שבין החתיכות שהרי נמחה בציר שבגומות ועתה יש בכוחו לאסור כ"ק</w:t>
      </w:r>
      <w:r w:rsidRPr="00364826">
        <w:rPr>
          <w:rStyle w:val="a7"/>
          <w:rFonts w:asciiTheme="minorBidi" w:hAnsiTheme="minorBidi" w:cs="Arial"/>
          <w:u w:val="dotted"/>
          <w:rtl/>
        </w:rPr>
        <w:footnoteReference w:id="312"/>
      </w:r>
      <w:r w:rsidRPr="00364826">
        <w:rPr>
          <w:rFonts w:asciiTheme="minorBidi" w:hAnsiTheme="minorBidi" w:cs="Arial" w:hint="cs"/>
          <w:u w:val="dotted"/>
          <w:rtl/>
        </w:rPr>
        <w:t xml:space="preserve">: </w:t>
      </w:r>
    </w:p>
    <w:p w14:paraId="1E32769B" w14:textId="77777777" w:rsidR="002C39F4" w:rsidRPr="00364826" w:rsidRDefault="002C39F4" w:rsidP="002C39F4">
      <w:pPr>
        <w:pStyle w:val="a8"/>
        <w:numPr>
          <w:ilvl w:val="0"/>
          <w:numId w:val="29"/>
        </w:numPr>
        <w:rPr>
          <w:rFonts w:asciiTheme="minorBidi" w:hAnsiTheme="minorBidi"/>
        </w:rPr>
      </w:pPr>
      <w:r>
        <w:rPr>
          <w:rFonts w:asciiTheme="minorBidi" w:hAnsiTheme="minorBidi" w:cs="Arial" w:hint="cs"/>
          <w:rtl/>
        </w:rPr>
        <w:t>תוס'</w:t>
      </w:r>
      <w:r>
        <w:rPr>
          <w:rFonts w:asciiTheme="minorBidi" w:hAnsiTheme="minorBidi" w:cs="Arial" w:hint="cs"/>
          <w:sz w:val="16"/>
          <w:szCs w:val="16"/>
          <w:rtl/>
        </w:rPr>
        <w:t xml:space="preserve"> (שם)</w:t>
      </w:r>
      <w:r>
        <w:rPr>
          <w:rFonts w:asciiTheme="minorBidi" w:hAnsiTheme="minorBidi" w:cs="Arial" w:hint="cs"/>
          <w:rtl/>
        </w:rPr>
        <w:t xml:space="preserve">- </w:t>
      </w:r>
      <w:r w:rsidRPr="00364826">
        <w:rPr>
          <w:rFonts w:asciiTheme="minorBidi" w:hAnsiTheme="minorBidi" w:cs="Arial"/>
          <w:rtl/>
        </w:rPr>
        <w:t>שמא לא אמרינן מליח הרי הוא כרותח אלא בשעת פליטה אבל אחר גמר פליטה לא חשיב כרותח דפסק כח המלח מחמת שהפליט את הבשר ויוצא כח המלח עם הדם</w:t>
      </w:r>
      <w:r>
        <w:rPr>
          <w:rFonts w:asciiTheme="minorBidi" w:hAnsiTheme="minorBidi" w:cs="Arial" w:hint="cs"/>
          <w:rtl/>
        </w:rPr>
        <w:t>.</w:t>
      </w:r>
      <w:r w:rsidRPr="00364826">
        <w:rPr>
          <w:rFonts w:asciiTheme="minorBidi" w:hAnsiTheme="minorBidi" w:cs="Arial"/>
          <w:rtl/>
        </w:rPr>
        <w:t xml:space="preserve"> א</w:t>
      </w:r>
      <w:r>
        <w:rPr>
          <w:rFonts w:asciiTheme="minorBidi" w:hAnsiTheme="minorBidi" w:cs="Arial" w:hint="cs"/>
          <w:rtl/>
        </w:rPr>
        <w:t>"</w:t>
      </w:r>
      <w:r w:rsidRPr="00364826">
        <w:rPr>
          <w:rFonts w:asciiTheme="minorBidi" w:hAnsiTheme="minorBidi" w:cs="Arial"/>
          <w:rtl/>
        </w:rPr>
        <w:t>נ י"ל שהמלח שעל הבשר מעכב הדם הזה מליכנס בבשר</w:t>
      </w:r>
      <w:r>
        <w:rPr>
          <w:rFonts w:asciiTheme="minorBidi" w:hAnsiTheme="minorBidi" w:cs="Arial" w:hint="cs"/>
          <w:rtl/>
        </w:rPr>
        <w:t>.</w:t>
      </w:r>
      <w:r w:rsidRPr="00364826">
        <w:rPr>
          <w:rFonts w:asciiTheme="minorBidi" w:hAnsiTheme="minorBidi" w:cs="Arial"/>
          <w:rtl/>
        </w:rPr>
        <w:t xml:space="preserve"> </w:t>
      </w:r>
      <w:r>
        <w:rPr>
          <w:rStyle w:val="a7"/>
          <w:rFonts w:asciiTheme="minorBidi" w:hAnsiTheme="minorBidi" w:cs="Arial"/>
          <w:rtl/>
        </w:rPr>
        <w:footnoteReference w:id="313"/>
      </w:r>
      <w:r w:rsidRPr="00364826">
        <w:rPr>
          <w:rFonts w:asciiTheme="minorBidi" w:hAnsiTheme="minorBidi" w:cs="Arial"/>
          <w:rtl/>
        </w:rPr>
        <w:t>ומיהו עדיין י"ל טעם אחר דכל זמן שהבשר טרוד לפלוט ציר אין בולע דם וזמן פליטת הציר אינו כלה כל כך מהרה</w:t>
      </w:r>
      <w:r w:rsidRPr="003024E5">
        <w:rPr>
          <w:rStyle w:val="a7"/>
          <w:rFonts w:asciiTheme="minorBidi" w:hAnsiTheme="minorBidi"/>
          <w:rtl/>
        </w:rPr>
        <w:footnoteReference w:id="314"/>
      </w:r>
      <w:r w:rsidRPr="00364826">
        <w:rPr>
          <w:rFonts w:asciiTheme="minorBidi" w:hAnsiTheme="minorBidi" w:hint="cs"/>
          <w:rtl/>
        </w:rPr>
        <w:t xml:space="preserve">. </w:t>
      </w:r>
      <w:r w:rsidRPr="00663D1A">
        <w:rPr>
          <w:rFonts w:asciiTheme="minorBidi" w:hAnsiTheme="minorBidi" w:hint="cs"/>
          <w:color w:val="E36C0A" w:themeColor="accent6" w:themeShade="BF"/>
          <w:rtl/>
        </w:rPr>
        <w:t>(וכ"כ בשו"ע</w:t>
      </w:r>
      <w:r>
        <w:rPr>
          <w:rFonts w:asciiTheme="minorBidi" w:hAnsiTheme="minorBidi" w:hint="cs"/>
          <w:color w:val="E36C0A" w:themeColor="accent6" w:themeShade="BF"/>
          <w:sz w:val="16"/>
          <w:szCs w:val="16"/>
          <w:rtl/>
        </w:rPr>
        <w:t xml:space="preserve"> </w:t>
      </w:r>
      <w:r>
        <w:rPr>
          <w:rFonts w:asciiTheme="minorBidi" w:hAnsiTheme="minorBidi" w:hint="cs"/>
          <w:color w:val="000000" w:themeColor="text1"/>
          <w:sz w:val="16"/>
          <w:szCs w:val="16"/>
          <w:rtl/>
        </w:rPr>
        <w:t>[היינו כתרוץ האחרון]</w:t>
      </w:r>
      <w:r w:rsidRPr="00663D1A">
        <w:rPr>
          <w:rFonts w:asciiTheme="minorBidi" w:hAnsiTheme="minorBidi" w:hint="cs"/>
          <w:color w:val="E36C0A" w:themeColor="accent6" w:themeShade="BF"/>
          <w:rtl/>
        </w:rPr>
        <w:t>)</w:t>
      </w:r>
    </w:p>
    <w:p w14:paraId="10FCE749"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קיב ע"ב: </w:t>
      </w:r>
      <w:r w:rsidRPr="003024E5">
        <w:rPr>
          <w:rFonts w:asciiTheme="minorBidi" w:hAnsiTheme="minorBidi"/>
          <w:u w:val="single"/>
          <w:rtl/>
        </w:rPr>
        <w:t>אמר רב נחמן:</w:t>
      </w:r>
      <w:r w:rsidRPr="003024E5">
        <w:rPr>
          <w:rFonts w:asciiTheme="minorBidi" w:hAnsiTheme="minorBidi"/>
          <w:rtl/>
        </w:rPr>
        <w:t xml:space="preserve"> דגים ועופות</w:t>
      </w:r>
      <w:r w:rsidRPr="003024E5">
        <w:rPr>
          <w:rStyle w:val="a7"/>
          <w:rFonts w:asciiTheme="minorBidi" w:hAnsiTheme="minorBidi"/>
          <w:rtl/>
        </w:rPr>
        <w:footnoteReference w:id="315"/>
      </w:r>
      <w:r w:rsidRPr="003024E5">
        <w:rPr>
          <w:rFonts w:asciiTheme="minorBidi" w:hAnsiTheme="minorBidi"/>
          <w:rtl/>
        </w:rPr>
        <w:t xml:space="preserve"> שמלחן זה עם זה</w:t>
      </w:r>
      <w:r>
        <w:rPr>
          <w:rFonts w:asciiTheme="minorBidi" w:hAnsiTheme="minorBidi" w:hint="cs"/>
          <w:rtl/>
        </w:rPr>
        <w:t xml:space="preserve"> </w:t>
      </w:r>
      <w:r w:rsidRPr="003024E5">
        <w:rPr>
          <w:rFonts w:asciiTheme="minorBidi" w:hAnsiTheme="minorBidi"/>
          <w:rtl/>
        </w:rPr>
        <w:t>- אסורין. היכי דמי? אי בכלי שאינו מנוקב - אפי' עופות ועופות נמי אסירי! אי בכלי מנוקב - אפי' דגים ועופות נמי שרי! לעולם - בכלי מנוקב, ודגים משום דרפו קרמייהו</w:t>
      </w:r>
      <w:r w:rsidRPr="003024E5">
        <w:rPr>
          <w:rStyle w:val="a7"/>
          <w:rFonts w:asciiTheme="minorBidi" w:hAnsiTheme="minorBidi"/>
          <w:rtl/>
        </w:rPr>
        <w:footnoteReference w:id="316"/>
      </w:r>
      <w:r w:rsidRPr="003024E5">
        <w:rPr>
          <w:rFonts w:asciiTheme="minorBidi" w:hAnsiTheme="minorBidi"/>
          <w:rtl/>
        </w:rPr>
        <w:t xml:space="preserve"> קדמי ופלטי</w:t>
      </w:r>
      <w:r w:rsidRPr="003024E5">
        <w:rPr>
          <w:rStyle w:val="a7"/>
          <w:rFonts w:asciiTheme="minorBidi" w:hAnsiTheme="minorBidi"/>
          <w:rtl/>
        </w:rPr>
        <w:footnoteReference w:id="317"/>
      </w:r>
      <w:r w:rsidRPr="003024E5">
        <w:rPr>
          <w:rFonts w:asciiTheme="minorBidi" w:hAnsiTheme="minorBidi"/>
          <w:rtl/>
        </w:rPr>
        <w:t>, ועופות קמיטי</w:t>
      </w:r>
      <w:r w:rsidRPr="003024E5">
        <w:rPr>
          <w:rStyle w:val="a7"/>
          <w:rFonts w:asciiTheme="minorBidi" w:hAnsiTheme="minorBidi"/>
          <w:rtl/>
        </w:rPr>
        <w:footnoteReference w:id="318"/>
      </w:r>
      <w:r w:rsidRPr="003024E5">
        <w:rPr>
          <w:rFonts w:asciiTheme="minorBidi" w:hAnsiTheme="minorBidi"/>
          <w:rtl/>
        </w:rPr>
        <w:t>, בתר דניחי דגים פליטי עופות והדר בלעי מיניה.</w:t>
      </w:r>
    </w:p>
    <w:p w14:paraId="5141A03A" w14:textId="77777777" w:rsidR="002C39F4" w:rsidRPr="003024E5" w:rsidRDefault="002C39F4" w:rsidP="002C39F4">
      <w:pPr>
        <w:rPr>
          <w:rFonts w:asciiTheme="minorBidi" w:hAnsiTheme="minorBidi"/>
          <w:u w:val="single"/>
          <w:rtl/>
        </w:rPr>
      </w:pPr>
      <w:r w:rsidRPr="003024E5">
        <w:rPr>
          <w:rFonts w:asciiTheme="minorBidi" w:hAnsiTheme="minorBidi"/>
          <w:u w:val="single"/>
          <w:rtl/>
        </w:rPr>
        <w:t xml:space="preserve">"דגים ועופות שמלחן זה עם זה אסורין"- מה נאסר </w:t>
      </w:r>
      <w:r w:rsidRPr="003024E5">
        <w:rPr>
          <w:rFonts w:asciiTheme="minorBidi" w:hAnsiTheme="minorBidi"/>
          <w:sz w:val="16"/>
          <w:szCs w:val="16"/>
          <w:u w:val="single"/>
          <w:rtl/>
        </w:rPr>
        <w:t>(הדגים</w:t>
      </w:r>
      <w:r>
        <w:rPr>
          <w:rFonts w:asciiTheme="minorBidi" w:hAnsiTheme="minorBidi" w:hint="cs"/>
          <w:sz w:val="16"/>
          <w:szCs w:val="16"/>
          <w:u w:val="single"/>
          <w:rtl/>
        </w:rPr>
        <w:t>/</w:t>
      </w:r>
      <w:r w:rsidRPr="003024E5">
        <w:rPr>
          <w:rFonts w:asciiTheme="minorBidi" w:hAnsiTheme="minorBidi"/>
          <w:sz w:val="16"/>
          <w:szCs w:val="16"/>
          <w:u w:val="single"/>
          <w:rtl/>
        </w:rPr>
        <w:t>העופות</w:t>
      </w:r>
      <w:r>
        <w:rPr>
          <w:rFonts w:asciiTheme="minorBidi" w:hAnsiTheme="minorBidi" w:hint="cs"/>
          <w:sz w:val="16"/>
          <w:szCs w:val="16"/>
          <w:u w:val="single"/>
          <w:rtl/>
        </w:rPr>
        <w:t>/</w:t>
      </w:r>
      <w:r w:rsidRPr="003024E5">
        <w:rPr>
          <w:rFonts w:asciiTheme="minorBidi" w:hAnsiTheme="minorBidi"/>
          <w:sz w:val="16"/>
          <w:szCs w:val="16"/>
          <w:u w:val="single"/>
          <w:rtl/>
        </w:rPr>
        <w:t>שניהם)</w:t>
      </w:r>
      <w:r w:rsidRPr="003024E5">
        <w:rPr>
          <w:rFonts w:asciiTheme="minorBidi" w:hAnsiTheme="minorBidi"/>
          <w:u w:val="single"/>
          <w:rtl/>
        </w:rPr>
        <w:t>:</w:t>
      </w:r>
    </w:p>
    <w:p w14:paraId="5DACC090" w14:textId="77777777" w:rsidR="002C39F4" w:rsidRPr="003024E5" w:rsidRDefault="002C39F4" w:rsidP="002C39F4">
      <w:pPr>
        <w:pStyle w:val="a8"/>
        <w:numPr>
          <w:ilvl w:val="0"/>
          <w:numId w:val="30"/>
        </w:numPr>
        <w:rPr>
          <w:rFonts w:asciiTheme="minorBidi" w:hAnsiTheme="minorBidi"/>
        </w:rPr>
      </w:pPr>
      <w:r w:rsidRPr="003024E5">
        <w:rPr>
          <w:rFonts w:asciiTheme="minorBidi" w:hAnsiTheme="minorBidi"/>
          <w:rtl/>
        </w:rPr>
        <w:t>רש"י תוס' רמב"ם</w:t>
      </w:r>
      <w:r w:rsidRPr="003024E5">
        <w:rPr>
          <w:rFonts w:asciiTheme="minorBidi" w:hAnsiTheme="minorBidi"/>
          <w:sz w:val="16"/>
          <w:szCs w:val="16"/>
          <w:rtl/>
        </w:rPr>
        <w:t xml:space="preserve"> </w:t>
      </w:r>
      <w:r w:rsidRPr="003024E5">
        <w:rPr>
          <w:rFonts w:asciiTheme="minorBidi" w:hAnsiTheme="minorBidi"/>
          <w:rtl/>
        </w:rPr>
        <w:t xml:space="preserve">רשב"א (רא"ש </w:t>
      </w:r>
      <w:r w:rsidRPr="003024E5">
        <w:rPr>
          <w:rFonts w:asciiTheme="minorBidi" w:hAnsiTheme="minorBidi"/>
          <w:sz w:val="16"/>
          <w:szCs w:val="16"/>
          <w:rtl/>
        </w:rPr>
        <w:t>להב' הב"י</w:t>
      </w:r>
      <w:r w:rsidRPr="003024E5">
        <w:rPr>
          <w:rStyle w:val="a7"/>
          <w:rFonts w:asciiTheme="minorBidi" w:hAnsiTheme="minorBidi"/>
          <w:rtl/>
        </w:rPr>
        <w:footnoteReference w:id="319"/>
      </w:r>
      <w:r w:rsidRPr="003024E5">
        <w:rPr>
          <w:rFonts w:asciiTheme="minorBidi" w:hAnsiTheme="minorBidi"/>
          <w:rtl/>
        </w:rPr>
        <w:t>) הגה"מ הגשע"ד ר"ן ואו"ה</w:t>
      </w:r>
      <w:r w:rsidRPr="003024E5">
        <w:rPr>
          <w:rStyle w:val="a7"/>
          <w:rFonts w:asciiTheme="minorBidi" w:hAnsiTheme="minorBidi"/>
          <w:rtl/>
        </w:rPr>
        <w:footnoteReference w:id="320"/>
      </w:r>
      <w:r w:rsidRPr="003024E5">
        <w:rPr>
          <w:rFonts w:asciiTheme="minorBidi" w:hAnsiTheme="minorBidi"/>
          <w:rtl/>
        </w:rPr>
        <w:t>- הדגים לבדם אסורים.</w:t>
      </w:r>
      <w:r>
        <w:rPr>
          <w:rFonts w:asciiTheme="minorBidi" w:hAnsiTheme="minorBidi" w:hint="cs"/>
          <w:color w:val="E36C0A" w:themeColor="accent6" w:themeShade="BF"/>
          <w:rtl/>
        </w:rPr>
        <w:t xml:space="preserve"> (וכ"פ בשו"ע)</w:t>
      </w:r>
    </w:p>
    <w:p w14:paraId="476438F1" w14:textId="77777777" w:rsidR="002C39F4" w:rsidRPr="003024E5" w:rsidRDefault="002C39F4" w:rsidP="002C39F4">
      <w:pPr>
        <w:pStyle w:val="a8"/>
        <w:numPr>
          <w:ilvl w:val="0"/>
          <w:numId w:val="30"/>
        </w:numPr>
        <w:rPr>
          <w:rFonts w:asciiTheme="minorBidi" w:hAnsiTheme="minorBidi"/>
        </w:rPr>
      </w:pPr>
      <w:r w:rsidRPr="003024E5">
        <w:rPr>
          <w:rFonts w:asciiTheme="minorBidi" w:hAnsiTheme="minorBidi"/>
          <w:rtl/>
        </w:rPr>
        <w:t xml:space="preserve">רשב"ם </w:t>
      </w:r>
      <w:r w:rsidRPr="003024E5">
        <w:rPr>
          <w:rFonts w:asciiTheme="minorBidi" w:hAnsiTheme="minorBidi"/>
          <w:sz w:val="16"/>
          <w:szCs w:val="16"/>
          <w:rtl/>
        </w:rPr>
        <w:t>(הביאו הרא"ש [סי' לו])</w:t>
      </w:r>
      <w:r w:rsidRPr="003024E5">
        <w:rPr>
          <w:rFonts w:asciiTheme="minorBidi" w:hAnsiTheme="minorBidi"/>
          <w:rtl/>
        </w:rPr>
        <w:t xml:space="preserve"> (ורא"ש </w:t>
      </w:r>
      <w:r w:rsidRPr="003024E5">
        <w:rPr>
          <w:rFonts w:asciiTheme="minorBidi" w:hAnsiTheme="minorBidi"/>
          <w:sz w:val="16"/>
          <w:szCs w:val="16"/>
          <w:rtl/>
        </w:rPr>
        <w:t>להב' הטור</w:t>
      </w:r>
      <w:r w:rsidRPr="003024E5">
        <w:rPr>
          <w:rFonts w:asciiTheme="minorBidi" w:hAnsiTheme="minorBidi"/>
          <w:rtl/>
        </w:rPr>
        <w:t>)- גם העופות אסורים לפי שהדגים הנאסרים נעשים נבלה וחוזרין ואוסרין את העופות בצירן האסור שנאסר מחמת דם העופות</w:t>
      </w:r>
      <w:r w:rsidRPr="003024E5">
        <w:rPr>
          <w:rStyle w:val="a7"/>
          <w:rFonts w:asciiTheme="minorBidi" w:hAnsiTheme="minorBidi"/>
          <w:rtl/>
        </w:rPr>
        <w:footnoteReference w:id="321"/>
      </w:r>
      <w:r w:rsidRPr="003024E5">
        <w:rPr>
          <w:rFonts w:asciiTheme="minorBidi" w:hAnsiTheme="minorBidi"/>
          <w:rtl/>
        </w:rPr>
        <w:t xml:space="preserve">. </w:t>
      </w:r>
    </w:p>
    <w:p w14:paraId="6AE94D37"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 xml:space="preserve">כמה שיעור המלח שצריך למלוח </w:t>
      </w:r>
      <w:r w:rsidRPr="003024E5">
        <w:rPr>
          <w:rFonts w:asciiTheme="minorBidi" w:hAnsiTheme="minorBidi"/>
          <w:sz w:val="16"/>
          <w:szCs w:val="16"/>
          <w:u w:val="dotted"/>
          <w:rtl/>
        </w:rPr>
        <w:t>(את הדגים והעופות הנ"ל)</w:t>
      </w:r>
      <w:r w:rsidRPr="003024E5">
        <w:rPr>
          <w:rFonts w:asciiTheme="minorBidi" w:hAnsiTheme="minorBidi"/>
          <w:u w:val="dotted"/>
          <w:rtl/>
        </w:rPr>
        <w:t xml:space="preserve"> כדי שיאסרו:</w:t>
      </w:r>
    </w:p>
    <w:p w14:paraId="134424C1" w14:textId="77777777" w:rsidR="002C39F4" w:rsidRDefault="002C39F4" w:rsidP="002C39F4">
      <w:pPr>
        <w:pStyle w:val="a8"/>
        <w:numPr>
          <w:ilvl w:val="0"/>
          <w:numId w:val="30"/>
        </w:numPr>
        <w:rPr>
          <w:rFonts w:asciiTheme="minorBidi" w:hAnsiTheme="minorBidi"/>
        </w:rPr>
      </w:pPr>
      <w:r w:rsidRPr="003024E5">
        <w:rPr>
          <w:rFonts w:asciiTheme="minorBidi" w:hAnsiTheme="minorBidi"/>
          <w:rtl/>
        </w:rPr>
        <w:t xml:space="preserve">ר"ן </w:t>
      </w:r>
      <w:r w:rsidRPr="003024E5">
        <w:rPr>
          <w:rFonts w:asciiTheme="minorBidi" w:hAnsiTheme="minorBidi"/>
          <w:sz w:val="16"/>
          <w:szCs w:val="16"/>
          <w:rtl/>
        </w:rPr>
        <w:t>(מא: ד"ה דגים ועופות)</w:t>
      </w:r>
      <w:r w:rsidRPr="003024E5">
        <w:rPr>
          <w:rFonts w:asciiTheme="minorBidi" w:hAnsiTheme="minorBidi"/>
          <w:rtl/>
        </w:rPr>
        <w:t>- כשמלחן כשיעור מליחתן לקדרה</w:t>
      </w:r>
      <w:r w:rsidRPr="003024E5">
        <w:rPr>
          <w:rStyle w:val="a7"/>
          <w:rFonts w:asciiTheme="minorBidi" w:hAnsiTheme="minorBidi"/>
          <w:rtl/>
        </w:rPr>
        <w:footnoteReference w:id="322"/>
      </w:r>
      <w:r w:rsidRPr="003024E5">
        <w:rPr>
          <w:rFonts w:asciiTheme="minorBidi" w:hAnsiTheme="minorBidi"/>
          <w:rtl/>
        </w:rPr>
        <w:t xml:space="preserve">. </w:t>
      </w:r>
    </w:p>
    <w:p w14:paraId="3842B7A3" w14:textId="77777777" w:rsidR="002C39F4" w:rsidRPr="003024E5" w:rsidRDefault="002C39F4" w:rsidP="002C39F4">
      <w:pPr>
        <w:pStyle w:val="a8"/>
        <w:numPr>
          <w:ilvl w:val="0"/>
          <w:numId w:val="30"/>
        </w:numPr>
        <w:rPr>
          <w:rFonts w:asciiTheme="minorBidi" w:hAnsiTheme="minorBidi"/>
        </w:rPr>
      </w:pPr>
      <w:r>
        <w:rPr>
          <w:rFonts w:asciiTheme="minorBidi" w:hAnsiTheme="minorBidi" w:cs="Arial" w:hint="cs"/>
          <w:rtl/>
        </w:rPr>
        <w:t>או</w:t>
      </w:r>
      <w:r>
        <w:rPr>
          <w:rFonts w:asciiTheme="minorBidi" w:hAnsiTheme="minorBidi" w:cs="Arial"/>
          <w:rtl/>
        </w:rPr>
        <w:t>"</w:t>
      </w:r>
      <w:r>
        <w:rPr>
          <w:rFonts w:asciiTheme="minorBidi" w:hAnsiTheme="minorBidi" w:cs="Arial" w:hint="cs"/>
          <w:rtl/>
        </w:rPr>
        <w:t>ה</w:t>
      </w:r>
      <w:r w:rsidRPr="0020364C">
        <w:rPr>
          <w:rFonts w:asciiTheme="minorBidi" w:hAnsiTheme="minorBidi" w:cs="Arial"/>
          <w:rtl/>
        </w:rPr>
        <w:t xml:space="preserve"> </w:t>
      </w:r>
      <w:r w:rsidRPr="0020364C">
        <w:rPr>
          <w:rFonts w:asciiTheme="minorBidi" w:hAnsiTheme="minorBidi" w:cs="Arial" w:hint="cs"/>
          <w:sz w:val="16"/>
          <w:szCs w:val="16"/>
          <w:rtl/>
        </w:rPr>
        <w:t>(כלל</w:t>
      </w:r>
      <w:r w:rsidRPr="0020364C">
        <w:rPr>
          <w:rFonts w:asciiTheme="minorBidi" w:hAnsiTheme="minorBidi" w:cs="Arial"/>
          <w:sz w:val="16"/>
          <w:szCs w:val="16"/>
          <w:rtl/>
        </w:rPr>
        <w:t xml:space="preserve"> י)</w:t>
      </w:r>
      <w:r>
        <w:rPr>
          <w:rFonts w:asciiTheme="minorBidi" w:hAnsiTheme="minorBidi" w:cs="Arial" w:hint="cs"/>
          <w:rtl/>
        </w:rPr>
        <w:t xml:space="preserve">- </w:t>
      </w:r>
      <w:r w:rsidRPr="0020364C">
        <w:rPr>
          <w:rFonts w:asciiTheme="minorBidi" w:hAnsiTheme="minorBidi" w:cs="Arial"/>
          <w:rtl/>
        </w:rPr>
        <w:t>אנן אין בקיאין בדבר, ויש לנו לחשב אפילו מליחת צלי כרותח</w:t>
      </w:r>
      <w:r>
        <w:rPr>
          <w:rStyle w:val="a7"/>
          <w:rFonts w:asciiTheme="minorBidi" w:hAnsiTheme="minorBidi" w:cs="Arial"/>
          <w:rtl/>
        </w:rPr>
        <w:footnoteReference w:id="323"/>
      </w:r>
      <w:r w:rsidRPr="0020364C">
        <w:rPr>
          <w:rFonts w:asciiTheme="minorBidi" w:hAnsiTheme="minorBidi" w:cs="Arial"/>
          <w:rtl/>
        </w:rPr>
        <w:t xml:space="preserve">. </w:t>
      </w:r>
    </w:p>
    <w:p w14:paraId="728BB28A"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כמה זמן הם צריכים לשהות יחד כדי שיאסרו:</w:t>
      </w:r>
    </w:p>
    <w:p w14:paraId="744D5F86" w14:textId="77777777" w:rsidR="002C39F4" w:rsidRPr="003024E5" w:rsidRDefault="002C39F4" w:rsidP="002C39F4">
      <w:pPr>
        <w:pStyle w:val="a8"/>
        <w:numPr>
          <w:ilvl w:val="0"/>
          <w:numId w:val="30"/>
        </w:numPr>
        <w:rPr>
          <w:rFonts w:asciiTheme="minorBidi" w:hAnsiTheme="minorBidi"/>
          <w:rtl/>
        </w:rPr>
      </w:pPr>
      <w:r w:rsidRPr="003024E5">
        <w:rPr>
          <w:rFonts w:asciiTheme="minorBidi" w:hAnsiTheme="minorBidi"/>
          <w:rtl/>
        </w:rPr>
        <w:t xml:space="preserve">ר"ן </w:t>
      </w:r>
      <w:r w:rsidRPr="003024E5">
        <w:rPr>
          <w:rFonts w:asciiTheme="minorBidi" w:hAnsiTheme="minorBidi"/>
          <w:sz w:val="16"/>
          <w:szCs w:val="16"/>
          <w:rtl/>
        </w:rPr>
        <w:t>(מא:)</w:t>
      </w:r>
      <w:r w:rsidRPr="003024E5">
        <w:rPr>
          <w:rFonts w:asciiTheme="minorBidi" w:hAnsiTheme="minorBidi"/>
          <w:rtl/>
        </w:rPr>
        <w:t>- כל ששהה במלחו שיעור שהייה לקדרה הוי רותח ומקמי הכי לא</w:t>
      </w:r>
      <w:r w:rsidRPr="003024E5">
        <w:rPr>
          <w:rFonts w:asciiTheme="minorBidi" w:hAnsiTheme="minorBidi"/>
          <w:sz w:val="16"/>
          <w:szCs w:val="16"/>
          <w:rtl/>
        </w:rPr>
        <w:t xml:space="preserve"> (וכ"כ הרב אלברגילוני)</w:t>
      </w:r>
      <w:r w:rsidRPr="003024E5">
        <w:rPr>
          <w:rFonts w:asciiTheme="minorBidi" w:hAnsiTheme="minorBidi"/>
          <w:rtl/>
        </w:rPr>
        <w:t>, אבל בעופות ודגים אע"ג דלא שלימא פליטת עופות חושבין להו רותחים גבי דגים כיון דרפו קרמייהו.</w:t>
      </w:r>
      <w:r>
        <w:rPr>
          <w:rFonts w:asciiTheme="minorBidi" w:hAnsiTheme="minorBidi" w:hint="cs"/>
          <w:color w:val="E36C0A" w:themeColor="accent6" w:themeShade="BF"/>
          <w:rtl/>
        </w:rPr>
        <w:t xml:space="preserve"> (וכ"פ בשו"ע)</w:t>
      </w:r>
    </w:p>
    <w:p w14:paraId="5756A093" w14:textId="77777777" w:rsidR="002C39F4" w:rsidRPr="003024E5" w:rsidRDefault="002C39F4" w:rsidP="002C39F4">
      <w:pPr>
        <w:ind w:left="360"/>
        <w:rPr>
          <w:rFonts w:asciiTheme="minorBidi" w:hAnsiTheme="minorBidi"/>
          <w:u w:val="dotted"/>
          <w:rtl/>
        </w:rPr>
      </w:pPr>
      <w:r>
        <w:rPr>
          <w:rFonts w:asciiTheme="minorBidi" w:hAnsiTheme="minorBidi" w:hint="cs"/>
          <w:u w:val="dotted"/>
          <w:rtl/>
        </w:rPr>
        <w:t>כ</w:t>
      </w:r>
      <w:r w:rsidRPr="003024E5">
        <w:rPr>
          <w:rFonts w:asciiTheme="minorBidi" w:hAnsiTheme="minorBidi"/>
          <w:u w:val="dotted"/>
          <w:rtl/>
        </w:rPr>
        <w:t>מה מהדגים נאסר:</w:t>
      </w:r>
    </w:p>
    <w:p w14:paraId="315AFBD9" w14:textId="77777777" w:rsidR="002C39F4" w:rsidRPr="003024E5" w:rsidRDefault="002C39F4" w:rsidP="002C39F4">
      <w:pPr>
        <w:pStyle w:val="a8"/>
        <w:numPr>
          <w:ilvl w:val="0"/>
          <w:numId w:val="31"/>
        </w:numPr>
        <w:rPr>
          <w:rFonts w:asciiTheme="minorBidi" w:hAnsiTheme="minorBidi"/>
        </w:rPr>
      </w:pPr>
      <w:r w:rsidRPr="003024E5">
        <w:rPr>
          <w:rFonts w:asciiTheme="minorBidi" w:hAnsiTheme="minorBidi"/>
          <w:rtl/>
        </w:rPr>
        <w:t>רשב"א</w:t>
      </w:r>
      <w:r w:rsidRPr="003024E5">
        <w:rPr>
          <w:rStyle w:val="a7"/>
          <w:rFonts w:asciiTheme="minorBidi" w:hAnsiTheme="minorBidi"/>
          <w:rtl/>
        </w:rPr>
        <w:footnoteReference w:id="324"/>
      </w:r>
      <w:r w:rsidRPr="003024E5">
        <w:rPr>
          <w:rFonts w:asciiTheme="minorBidi" w:hAnsiTheme="minorBidi"/>
          <w:rtl/>
        </w:rPr>
        <w:t xml:space="preserve"> רא"ש</w:t>
      </w:r>
      <w:r w:rsidRPr="003024E5">
        <w:rPr>
          <w:rStyle w:val="a7"/>
          <w:rFonts w:asciiTheme="minorBidi" w:hAnsiTheme="minorBidi"/>
          <w:rtl/>
        </w:rPr>
        <w:footnoteReference w:id="325"/>
      </w:r>
      <w:r w:rsidRPr="003024E5">
        <w:rPr>
          <w:rFonts w:asciiTheme="minorBidi" w:hAnsiTheme="minorBidi"/>
          <w:rtl/>
        </w:rPr>
        <w:t xml:space="preserve"> טור ור"ן- כדי קליפה מהם</w:t>
      </w:r>
      <w:r w:rsidRPr="003024E5">
        <w:rPr>
          <w:rStyle w:val="a7"/>
          <w:rFonts w:asciiTheme="minorBidi" w:hAnsiTheme="minorBidi"/>
          <w:rtl/>
        </w:rPr>
        <w:footnoteReference w:id="326"/>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0A7C8283" w14:textId="77777777" w:rsidR="002C39F4" w:rsidRPr="003024E5" w:rsidRDefault="002C39F4" w:rsidP="002C39F4">
      <w:pPr>
        <w:pStyle w:val="a8"/>
        <w:numPr>
          <w:ilvl w:val="0"/>
          <w:numId w:val="31"/>
        </w:numPr>
        <w:rPr>
          <w:rFonts w:asciiTheme="minorBidi" w:hAnsiTheme="minorBidi"/>
        </w:rPr>
      </w:pPr>
      <w:r w:rsidRPr="003024E5">
        <w:rPr>
          <w:rFonts w:asciiTheme="minorBidi" w:hAnsiTheme="minorBidi"/>
          <w:rtl/>
        </w:rPr>
        <w:t xml:space="preserve">רא"ה </w:t>
      </w:r>
      <w:r w:rsidRPr="003024E5">
        <w:rPr>
          <w:rFonts w:asciiTheme="minorBidi" w:hAnsiTheme="minorBidi"/>
          <w:sz w:val="16"/>
          <w:szCs w:val="16"/>
          <w:rtl/>
        </w:rPr>
        <w:t>(הביאו הר"ן)</w:t>
      </w:r>
      <w:r w:rsidRPr="003024E5">
        <w:rPr>
          <w:rFonts w:asciiTheme="minorBidi" w:hAnsiTheme="minorBidi"/>
          <w:rtl/>
        </w:rPr>
        <w:t>- צריך נטילת מקום.</w:t>
      </w:r>
    </w:p>
    <w:p w14:paraId="65A7846C" w14:textId="77777777" w:rsidR="002C39F4" w:rsidRPr="003024E5" w:rsidRDefault="002C39F4" w:rsidP="002C39F4">
      <w:pPr>
        <w:pStyle w:val="a8"/>
        <w:numPr>
          <w:ilvl w:val="0"/>
          <w:numId w:val="31"/>
        </w:numPr>
        <w:rPr>
          <w:rFonts w:asciiTheme="minorBidi" w:hAnsiTheme="minorBidi"/>
        </w:rPr>
      </w:pPr>
      <w:r w:rsidRPr="003024E5">
        <w:rPr>
          <w:rFonts w:asciiTheme="minorBidi" w:hAnsiTheme="minorBidi"/>
          <w:rtl/>
        </w:rPr>
        <w:t xml:space="preserve">רמב"ן </w:t>
      </w:r>
      <w:r w:rsidRPr="003024E5">
        <w:rPr>
          <w:rFonts w:asciiTheme="minorBidi" w:hAnsiTheme="minorBidi"/>
          <w:sz w:val="16"/>
          <w:szCs w:val="16"/>
          <w:rtl/>
        </w:rPr>
        <w:t>(</w:t>
      </w:r>
      <w:r>
        <w:rPr>
          <w:rFonts w:asciiTheme="minorBidi" w:hAnsiTheme="minorBidi" w:hint="cs"/>
          <w:sz w:val="16"/>
          <w:szCs w:val="16"/>
          <w:rtl/>
        </w:rPr>
        <w:t>כ"כ</w:t>
      </w:r>
      <w:r w:rsidRPr="003024E5">
        <w:rPr>
          <w:rFonts w:asciiTheme="minorBidi" w:hAnsiTheme="minorBidi"/>
          <w:sz w:val="16"/>
          <w:szCs w:val="16"/>
          <w:rtl/>
        </w:rPr>
        <w:t xml:space="preserve"> הר"ן</w:t>
      </w:r>
      <w:r>
        <w:rPr>
          <w:rFonts w:asciiTheme="minorBidi" w:hAnsiTheme="minorBidi" w:hint="cs"/>
          <w:sz w:val="16"/>
          <w:szCs w:val="16"/>
          <w:rtl/>
        </w:rPr>
        <w:t xml:space="preserve"> בשמו</w:t>
      </w:r>
      <w:r w:rsidRPr="003024E5">
        <w:rPr>
          <w:rStyle w:val="a7"/>
          <w:rFonts w:asciiTheme="minorBidi" w:hAnsiTheme="minorBidi"/>
          <w:rtl/>
        </w:rPr>
        <w:footnoteReference w:id="327"/>
      </w:r>
      <w:r w:rsidRPr="003024E5">
        <w:rPr>
          <w:rFonts w:asciiTheme="minorBidi" w:hAnsiTheme="minorBidi"/>
          <w:sz w:val="16"/>
          <w:szCs w:val="16"/>
          <w:rtl/>
        </w:rPr>
        <w:t>)</w:t>
      </w:r>
      <w:r w:rsidRPr="003024E5">
        <w:rPr>
          <w:rFonts w:asciiTheme="minorBidi" w:hAnsiTheme="minorBidi"/>
          <w:rtl/>
        </w:rPr>
        <w:t xml:space="preserve"> ואו"ה </w:t>
      </w:r>
      <w:r w:rsidRPr="003024E5">
        <w:rPr>
          <w:rFonts w:asciiTheme="minorBidi" w:hAnsiTheme="minorBidi"/>
          <w:sz w:val="16"/>
          <w:szCs w:val="16"/>
          <w:rtl/>
        </w:rPr>
        <w:t>(כלל י"ג דין א)</w:t>
      </w:r>
      <w:r w:rsidRPr="003024E5">
        <w:rPr>
          <w:rFonts w:asciiTheme="minorBidi" w:hAnsiTheme="minorBidi"/>
          <w:rtl/>
        </w:rPr>
        <w:t>- הכל אסור</w:t>
      </w:r>
      <w:r w:rsidRPr="003024E5">
        <w:rPr>
          <w:rStyle w:val="a7"/>
          <w:rFonts w:asciiTheme="minorBidi" w:hAnsiTheme="minorBidi"/>
          <w:rtl/>
        </w:rPr>
        <w:footnoteReference w:id="328"/>
      </w:r>
      <w:r w:rsidRPr="003024E5">
        <w:rPr>
          <w:rFonts w:asciiTheme="minorBidi" w:hAnsiTheme="minorBidi"/>
          <w:rtl/>
        </w:rPr>
        <w:t xml:space="preserve">. </w:t>
      </w:r>
      <w:r w:rsidRPr="003024E5">
        <w:rPr>
          <w:rFonts w:asciiTheme="minorBidi" w:hAnsiTheme="minorBidi"/>
          <w:color w:val="00B0F0"/>
          <w:rtl/>
        </w:rPr>
        <w:t>(וכ"פ הרמ"א)</w:t>
      </w:r>
    </w:p>
    <w:p w14:paraId="66902336" w14:textId="77777777" w:rsidR="002C39F4" w:rsidRPr="006A7A17" w:rsidRDefault="002C39F4" w:rsidP="002C39F4">
      <w:pPr>
        <w:ind w:left="360"/>
        <w:rPr>
          <w:rFonts w:asciiTheme="minorBidi" w:hAnsiTheme="minorBidi"/>
          <w:u w:val="dotted"/>
        </w:rPr>
      </w:pPr>
      <w:r w:rsidRPr="006A7A17">
        <w:rPr>
          <w:rFonts w:asciiTheme="minorBidi" w:hAnsiTheme="minorBidi"/>
          <w:u w:val="dotted"/>
          <w:rtl/>
        </w:rPr>
        <w:t xml:space="preserve">האם יש לדגים תקנה ע"י </w:t>
      </w:r>
      <w:r>
        <w:rPr>
          <w:rFonts w:asciiTheme="minorBidi" w:hAnsiTheme="minorBidi" w:hint="cs"/>
          <w:u w:val="dotted"/>
          <w:rtl/>
        </w:rPr>
        <w:t>שימלח אותם שנית</w:t>
      </w:r>
      <w:r w:rsidRPr="006A7A17">
        <w:rPr>
          <w:rFonts w:asciiTheme="minorBidi" w:hAnsiTheme="minorBidi"/>
          <w:u w:val="dotted"/>
          <w:rtl/>
        </w:rPr>
        <w:t>:</w:t>
      </w:r>
    </w:p>
    <w:p w14:paraId="42A3B1BF" w14:textId="77777777" w:rsidR="002C39F4" w:rsidRPr="003024E5" w:rsidRDefault="002C39F4" w:rsidP="002C39F4">
      <w:pPr>
        <w:pStyle w:val="a8"/>
        <w:numPr>
          <w:ilvl w:val="0"/>
          <w:numId w:val="31"/>
        </w:numPr>
        <w:rPr>
          <w:rFonts w:asciiTheme="minorBidi" w:hAnsiTheme="minorBidi"/>
          <w:rtl/>
        </w:rPr>
      </w:pPr>
      <w:r w:rsidRPr="003024E5">
        <w:rPr>
          <w:rFonts w:asciiTheme="minorBidi" w:hAnsiTheme="minorBidi"/>
          <w:rtl/>
        </w:rPr>
        <w:t xml:space="preserve">ר"ן </w:t>
      </w:r>
      <w:r w:rsidRPr="003024E5">
        <w:rPr>
          <w:rFonts w:asciiTheme="minorBidi" w:hAnsiTheme="minorBidi"/>
          <w:sz w:val="16"/>
          <w:szCs w:val="16"/>
          <w:rtl/>
        </w:rPr>
        <w:t>(מא: ד"ה דגים ועופות)</w:t>
      </w:r>
      <w:r w:rsidRPr="003024E5">
        <w:rPr>
          <w:rFonts w:asciiTheme="minorBidi" w:hAnsiTheme="minorBidi"/>
          <w:rtl/>
        </w:rPr>
        <w:t>- מדאמרינן אסורים סתמא משמע דאסורין לגמרי ולית להו תקנתא במליחה</w:t>
      </w:r>
      <w:r w:rsidRPr="003024E5">
        <w:rPr>
          <w:rStyle w:val="a7"/>
          <w:rFonts w:asciiTheme="minorBidi" w:hAnsiTheme="minorBidi"/>
          <w:rtl/>
        </w:rPr>
        <w:footnoteReference w:id="329"/>
      </w:r>
      <w:r w:rsidRPr="003024E5">
        <w:rPr>
          <w:rFonts w:asciiTheme="minorBidi" w:hAnsiTheme="minorBidi"/>
          <w:rtl/>
        </w:rPr>
        <w:t>.</w:t>
      </w:r>
    </w:p>
    <w:p w14:paraId="1CE6D224"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 xml:space="preserve">מה הדין </w:t>
      </w:r>
      <w:r>
        <w:rPr>
          <w:rFonts w:asciiTheme="minorBidi" w:hAnsiTheme="minorBidi" w:hint="cs"/>
          <w:sz w:val="16"/>
          <w:szCs w:val="16"/>
          <w:u w:val="dotted"/>
          <w:rtl/>
        </w:rPr>
        <w:t>(</w:t>
      </w:r>
      <w:r w:rsidRPr="006A7A17">
        <w:rPr>
          <w:rFonts w:asciiTheme="minorBidi" w:hAnsiTheme="minorBidi" w:hint="cs"/>
          <w:sz w:val="16"/>
          <w:szCs w:val="16"/>
          <w:u w:val="dotted"/>
          <w:rtl/>
        </w:rPr>
        <w:t xml:space="preserve">בכל הנ"ל) </w:t>
      </w:r>
      <w:r w:rsidRPr="003024E5">
        <w:rPr>
          <w:rFonts w:asciiTheme="minorBidi" w:hAnsiTheme="minorBidi"/>
          <w:u w:val="dotted"/>
          <w:rtl/>
        </w:rPr>
        <w:t>אם יש לדג קשקשים:</w:t>
      </w:r>
    </w:p>
    <w:p w14:paraId="5E187C2E" w14:textId="77777777" w:rsidR="002C39F4" w:rsidRPr="003024E5" w:rsidRDefault="002C39F4" w:rsidP="002C39F4">
      <w:pPr>
        <w:pStyle w:val="a8"/>
        <w:numPr>
          <w:ilvl w:val="0"/>
          <w:numId w:val="31"/>
        </w:numPr>
        <w:rPr>
          <w:rFonts w:asciiTheme="minorBidi" w:hAnsiTheme="minorBidi"/>
        </w:rPr>
      </w:pPr>
      <w:r w:rsidRPr="003024E5">
        <w:rPr>
          <w:rFonts w:asciiTheme="minorBidi" w:hAnsiTheme="minorBidi"/>
          <w:rtl/>
        </w:rPr>
        <w:t xml:space="preserve">רא"ש </w:t>
      </w:r>
      <w:r w:rsidRPr="003024E5">
        <w:rPr>
          <w:rFonts w:asciiTheme="minorBidi" w:hAnsiTheme="minorBidi"/>
          <w:sz w:val="16"/>
          <w:szCs w:val="16"/>
          <w:rtl/>
        </w:rPr>
        <w:t>(פ"ח סי' לו)</w:t>
      </w:r>
      <w:r w:rsidRPr="003024E5">
        <w:rPr>
          <w:rFonts w:asciiTheme="minorBidi" w:hAnsiTheme="minorBidi"/>
          <w:rtl/>
        </w:rPr>
        <w:t xml:space="preserve">- </w:t>
      </w:r>
      <w:r>
        <w:rPr>
          <w:rFonts w:asciiTheme="minorBidi" w:hAnsiTheme="minorBidi" w:hint="cs"/>
          <w:rtl/>
        </w:rPr>
        <w:t>עד השתא</w:t>
      </w:r>
      <w:r w:rsidRPr="003024E5">
        <w:rPr>
          <w:rFonts w:asciiTheme="minorBidi" w:hAnsiTheme="minorBidi"/>
          <w:rtl/>
        </w:rPr>
        <w:t xml:space="preserve"> "מיירי בחתיכות של דגים או דגים שלמים שנטלו קשקשיהן אבל בעוד הקשקשים עליהם נראה לעינים דקמיטי יותר מעופות"</w:t>
      </w:r>
      <w:r w:rsidRPr="003024E5">
        <w:rPr>
          <w:rStyle w:val="a7"/>
          <w:rFonts w:asciiTheme="minorBidi" w:hAnsiTheme="minorBidi"/>
          <w:rtl/>
        </w:rPr>
        <w:footnoteReference w:id="330"/>
      </w:r>
      <w:r w:rsidRPr="003024E5">
        <w:rPr>
          <w:rFonts w:asciiTheme="minorBidi" w:hAnsiTheme="minorBidi"/>
          <w:rtl/>
        </w:rPr>
        <w:t>.</w:t>
      </w:r>
      <w:r>
        <w:rPr>
          <w:rFonts w:asciiTheme="minorBidi" w:hAnsiTheme="minorBidi" w:hint="cs"/>
          <w:rtl/>
        </w:rPr>
        <w:t xml:space="preserve"> </w:t>
      </w:r>
      <w:r w:rsidRPr="003024E5">
        <w:rPr>
          <w:rFonts w:asciiTheme="minorBidi" w:hAnsiTheme="minorBidi"/>
          <w:color w:val="E36C0A" w:themeColor="accent6" w:themeShade="BF"/>
          <w:rtl/>
        </w:rPr>
        <w:t>(וכ"פ בשו"ע)</w:t>
      </w:r>
      <w:r w:rsidRPr="0051792A">
        <w:rPr>
          <w:rFonts w:asciiTheme="minorBidi" w:hAnsiTheme="minorBidi"/>
          <w:color w:val="00B0F0"/>
          <w:rtl/>
        </w:rPr>
        <w:t xml:space="preserve"> </w:t>
      </w:r>
      <w:r w:rsidRPr="003024E5">
        <w:rPr>
          <w:rFonts w:asciiTheme="minorBidi" w:hAnsiTheme="minorBidi"/>
          <w:color w:val="00B0F0"/>
          <w:rtl/>
        </w:rPr>
        <w:t>(וכ"פ הרמ"א)</w:t>
      </w:r>
    </w:p>
    <w:p w14:paraId="6C60C707" w14:textId="77777777" w:rsidR="002C39F4" w:rsidRPr="003024E5" w:rsidRDefault="002C39F4" w:rsidP="002C39F4">
      <w:pPr>
        <w:pStyle w:val="a8"/>
        <w:numPr>
          <w:ilvl w:val="0"/>
          <w:numId w:val="31"/>
        </w:numPr>
        <w:rPr>
          <w:rFonts w:asciiTheme="minorBidi" w:hAnsiTheme="minorBidi"/>
        </w:rPr>
      </w:pPr>
      <w:r w:rsidRPr="003024E5">
        <w:rPr>
          <w:rFonts w:asciiTheme="minorBidi" w:hAnsiTheme="minorBidi"/>
          <w:rtl/>
        </w:rPr>
        <w:t>טור- מותר בלי קליפה לפי שהקשקשים הם במקום קליפה</w:t>
      </w:r>
      <w:r w:rsidRPr="003024E5">
        <w:rPr>
          <w:rStyle w:val="a7"/>
          <w:rFonts w:asciiTheme="minorBidi" w:hAnsiTheme="minorBidi"/>
          <w:rtl/>
        </w:rPr>
        <w:footnoteReference w:id="331"/>
      </w:r>
      <w:r w:rsidRPr="003024E5">
        <w:rPr>
          <w:rFonts w:asciiTheme="minorBidi" w:hAnsiTheme="minorBidi"/>
          <w:rtl/>
        </w:rPr>
        <w:t>.</w:t>
      </w:r>
    </w:p>
    <w:p w14:paraId="57C03AF9" w14:textId="77777777" w:rsidR="002C39F4" w:rsidRPr="003024E5" w:rsidRDefault="002C39F4" w:rsidP="002C39F4">
      <w:pPr>
        <w:rPr>
          <w:rFonts w:asciiTheme="minorBidi" w:hAnsiTheme="minorBidi"/>
        </w:rPr>
      </w:pPr>
      <w:r>
        <w:rPr>
          <w:rFonts w:asciiTheme="minorBidi" w:hAnsiTheme="minorBidi" w:hint="cs"/>
          <w:u w:val="single"/>
          <w:rtl/>
        </w:rPr>
        <w:t xml:space="preserve">אדם שמלח </w:t>
      </w:r>
      <w:r w:rsidRPr="003024E5">
        <w:rPr>
          <w:rFonts w:asciiTheme="minorBidi" w:hAnsiTheme="minorBidi"/>
          <w:u w:val="single"/>
          <w:rtl/>
        </w:rPr>
        <w:t>חתיכת בשר אחת שתי פעמים</w:t>
      </w:r>
      <w:r>
        <w:rPr>
          <w:rFonts w:asciiTheme="minorBidi" w:hAnsiTheme="minorBidi" w:hint="cs"/>
          <w:u w:val="single"/>
          <w:rtl/>
        </w:rPr>
        <w:t xml:space="preserve"> </w:t>
      </w:r>
      <w:r>
        <w:rPr>
          <w:rFonts w:asciiTheme="minorBidi" w:hAnsiTheme="minorBidi" w:hint="cs"/>
          <w:sz w:val="16"/>
          <w:szCs w:val="16"/>
          <w:u w:val="single"/>
          <w:rtl/>
        </w:rPr>
        <w:t>(בלא הדחה בנתיים)</w:t>
      </w:r>
      <w:r w:rsidRPr="003024E5">
        <w:rPr>
          <w:rFonts w:asciiTheme="minorBidi" w:hAnsiTheme="minorBidi"/>
          <w:u w:val="single"/>
          <w:rtl/>
        </w:rPr>
        <w:t>:</w:t>
      </w:r>
      <w:r w:rsidRPr="003024E5">
        <w:rPr>
          <w:rFonts w:asciiTheme="minorBidi" w:hAnsiTheme="minorBidi"/>
          <w:rtl/>
        </w:rPr>
        <w:t xml:space="preserve"> </w:t>
      </w:r>
      <w:r w:rsidRPr="003024E5">
        <w:rPr>
          <w:rFonts w:asciiTheme="minorBidi" w:hAnsiTheme="minorBidi"/>
          <w:sz w:val="16"/>
          <w:szCs w:val="16"/>
          <w:rtl/>
        </w:rPr>
        <w:t>(דרכ"מ אות א)</w:t>
      </w:r>
    </w:p>
    <w:p w14:paraId="04A33DCC" w14:textId="77777777" w:rsidR="002C39F4" w:rsidRPr="003024E5" w:rsidRDefault="002C39F4" w:rsidP="002C39F4">
      <w:pPr>
        <w:pStyle w:val="a8"/>
        <w:numPr>
          <w:ilvl w:val="0"/>
          <w:numId w:val="29"/>
        </w:numPr>
        <w:rPr>
          <w:rFonts w:asciiTheme="minorBidi" w:hAnsiTheme="minorBidi"/>
        </w:rPr>
      </w:pPr>
      <w:r w:rsidRPr="003024E5">
        <w:rPr>
          <w:rFonts w:asciiTheme="minorBidi" w:hAnsiTheme="minorBidi"/>
          <w:rtl/>
        </w:rPr>
        <w:t>מהרא"י</w:t>
      </w:r>
      <w:r w:rsidRPr="003024E5">
        <w:rPr>
          <w:rStyle w:val="a7"/>
          <w:rFonts w:asciiTheme="minorBidi" w:hAnsiTheme="minorBidi"/>
          <w:rtl/>
        </w:rPr>
        <w:footnoteReference w:id="332"/>
      </w:r>
      <w:r w:rsidRPr="003024E5">
        <w:rPr>
          <w:rFonts w:asciiTheme="minorBidi" w:hAnsiTheme="minorBidi"/>
          <w:rtl/>
        </w:rPr>
        <w:t xml:space="preserve">- לא חיישינן שמא המלח השני יבליע לחלוחית הדם שנשאר ממליחה ראשונה. </w:t>
      </w:r>
      <w:r w:rsidRPr="003024E5">
        <w:rPr>
          <w:rFonts w:asciiTheme="minorBidi" w:hAnsiTheme="minorBidi"/>
          <w:color w:val="00B0F0"/>
          <w:rtl/>
        </w:rPr>
        <w:t>(וכ"פ הרמ"א</w:t>
      </w:r>
      <w:r w:rsidRPr="00A31D6E">
        <w:rPr>
          <w:rStyle w:val="a7"/>
          <w:rFonts w:asciiTheme="minorBidi" w:hAnsiTheme="minorBidi"/>
          <w:color w:val="000000" w:themeColor="text1"/>
          <w:rtl/>
        </w:rPr>
        <w:footnoteReference w:id="333"/>
      </w:r>
      <w:r w:rsidRPr="003024E5">
        <w:rPr>
          <w:rFonts w:asciiTheme="minorBidi" w:hAnsiTheme="minorBidi"/>
          <w:color w:val="00B0F0"/>
          <w:rtl/>
        </w:rPr>
        <w:t>)</w:t>
      </w:r>
    </w:p>
    <w:p w14:paraId="05867EB3" w14:textId="77777777" w:rsidR="002C39F4" w:rsidRPr="003024E5" w:rsidRDefault="002C39F4" w:rsidP="002C39F4">
      <w:pPr>
        <w:pStyle w:val="a8"/>
        <w:numPr>
          <w:ilvl w:val="0"/>
          <w:numId w:val="29"/>
        </w:numPr>
        <w:rPr>
          <w:rFonts w:asciiTheme="minorBidi" w:hAnsiTheme="minorBidi"/>
          <w:rtl/>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(ש"ו דין כא)</w:t>
      </w:r>
      <w:r w:rsidRPr="003024E5">
        <w:rPr>
          <w:rFonts w:asciiTheme="minorBidi" w:hAnsiTheme="minorBidi"/>
          <w:rtl/>
        </w:rPr>
        <w:t>- המליחה עצמה השנייה מבלעת המוהל שעליו לתוכו</w:t>
      </w:r>
      <w:r>
        <w:rPr>
          <w:rFonts w:asciiTheme="minorBidi" w:hAnsiTheme="minorBidi" w:hint="cs"/>
          <w:rtl/>
        </w:rPr>
        <w:t>,</w:t>
      </w:r>
      <w:r w:rsidRPr="003024E5">
        <w:rPr>
          <w:rFonts w:asciiTheme="minorBidi" w:hAnsiTheme="minorBidi"/>
          <w:rtl/>
        </w:rPr>
        <w:t xml:space="preserve"> ואפי' אם נמלח קודם חצי שנה, ואסור אפילו בדיעבד ואפילו לצלי</w:t>
      </w:r>
      <w:r>
        <w:rPr>
          <w:rFonts w:asciiTheme="minorBidi" w:hAnsiTheme="minorBidi" w:hint="cs"/>
          <w:rtl/>
        </w:rPr>
        <w:t xml:space="preserve">, אלא, </w:t>
      </w:r>
      <w:r w:rsidRPr="003024E5">
        <w:rPr>
          <w:rFonts w:asciiTheme="minorBidi" w:hAnsiTheme="minorBidi"/>
          <w:rtl/>
        </w:rPr>
        <w:t xml:space="preserve">אם מלח חתיכת בשר ורוצה למולחה שנית </w:t>
      </w:r>
      <w:r w:rsidRPr="003024E5">
        <w:rPr>
          <w:rFonts w:asciiTheme="minorBidi" w:hAnsiTheme="minorBidi"/>
          <w:sz w:val="16"/>
          <w:szCs w:val="16"/>
          <w:rtl/>
        </w:rPr>
        <w:t xml:space="preserve">(כגון שרוצה לייבשו) </w:t>
      </w:r>
      <w:r w:rsidRPr="003024E5">
        <w:rPr>
          <w:rFonts w:asciiTheme="minorBidi" w:hAnsiTheme="minorBidi"/>
          <w:rtl/>
        </w:rPr>
        <w:t>צריך להדיחו מתחילה מהדם והמוהל שעליו. (וכ"פ הט"ז</w:t>
      </w:r>
      <w:r w:rsidRPr="003024E5">
        <w:rPr>
          <w:rStyle w:val="a7"/>
          <w:rFonts w:asciiTheme="minorBidi" w:hAnsiTheme="minorBidi"/>
          <w:rtl/>
        </w:rPr>
        <w:footnoteReference w:id="334"/>
      </w:r>
      <w:r w:rsidRPr="003024E5">
        <w:rPr>
          <w:rFonts w:asciiTheme="minorBidi" w:hAnsiTheme="minorBidi"/>
          <w:rtl/>
        </w:rPr>
        <w:t>)</w:t>
      </w:r>
      <w:r>
        <w:rPr>
          <w:rFonts w:asciiTheme="minorBidi" w:hAnsiTheme="minorBidi" w:hint="cs"/>
          <w:rtl/>
        </w:rPr>
        <w:t xml:space="preserve"> </w:t>
      </w:r>
    </w:p>
    <w:p w14:paraId="13B7465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9130D23" w14:textId="77777777" w:rsidR="002C39F4" w:rsidRPr="003024E5" w:rsidRDefault="002C39F4" w:rsidP="002C39F4">
      <w:pPr>
        <w:rPr>
          <w:rFonts w:asciiTheme="minorBidi" w:hAnsiTheme="minorBidi"/>
          <w:rtl/>
        </w:rPr>
      </w:pPr>
      <w:r w:rsidRPr="003024E5">
        <w:rPr>
          <w:rFonts w:asciiTheme="minorBidi" w:hAnsiTheme="minorBidi"/>
          <w:rtl/>
        </w:rPr>
        <w:t>מולחין הרבה חתיכות זו על גב זו אף על פי שהתחתונה גומרת פליטתה קודם לעליונה לא אמרינן שחוזרת ובולעת מדם העליונה לפי שהוא שוהה הרבה לפלוט ציר וכל זמן שפולטת צירה אינה בולעת</w:t>
      </w:r>
      <w:r w:rsidRPr="003024E5">
        <w:rPr>
          <w:rStyle w:val="a7"/>
          <w:rFonts w:asciiTheme="minorBidi" w:hAnsiTheme="minorBidi"/>
          <w:rtl/>
        </w:rPr>
        <w:footnoteReference w:id="335"/>
      </w:r>
      <w:r w:rsidRPr="003024E5">
        <w:rPr>
          <w:rFonts w:asciiTheme="minorBidi" w:hAnsiTheme="minorBidi"/>
          <w:rtl/>
        </w:rPr>
        <w:t>, ואפילו מתקבץ הרבה ציר ועומד בגומא שבין החתיכות מותר, במה דברים אמורים במולח בשר עם בשר</w:t>
      </w:r>
      <w:r>
        <w:rPr>
          <w:rFonts w:asciiTheme="minorBidi" w:hAnsiTheme="minorBidi" w:hint="cs"/>
          <w:rtl/>
        </w:rPr>
        <w:t>,</w:t>
      </w:r>
      <w:r w:rsidRPr="003024E5">
        <w:rPr>
          <w:rFonts w:asciiTheme="minorBidi" w:hAnsiTheme="minorBidi"/>
          <w:rtl/>
        </w:rPr>
        <w:t xml:space="preserve"> ואפילו בשר שור עם בשר גדיים וטלאים ואפילו עם עופות</w:t>
      </w:r>
      <w:r>
        <w:rPr>
          <w:rFonts w:asciiTheme="minorBidi" w:hAnsiTheme="minorBidi" w:hint="cs"/>
          <w:rtl/>
        </w:rPr>
        <w:t>,</w:t>
      </w:r>
      <w:r w:rsidRPr="003024E5">
        <w:rPr>
          <w:rFonts w:asciiTheme="minorBidi" w:hAnsiTheme="minorBidi"/>
          <w:rtl/>
        </w:rPr>
        <w:t xml:space="preserve"> שאי אפשר להם לגמור כל פליטת צירן עד שיגמור בשר שור לפלוט את דמו. </w:t>
      </w:r>
      <w:r w:rsidRPr="003024E5">
        <w:rPr>
          <w:rFonts w:asciiTheme="minorBidi" w:hAnsiTheme="minorBidi"/>
          <w:sz w:val="18"/>
          <w:szCs w:val="18"/>
          <w:rtl/>
        </w:rPr>
        <w:t>הגה: ומכל מקום נוהגין להחמיר לכתחלה שכל חתיכה שיש לה בית קיבול כגון דופן שלימה מהפכין אותה שיזוב הדם אבל בדיעבד אין לחוש</w:t>
      </w:r>
      <w:r w:rsidRPr="003024E5">
        <w:rPr>
          <w:rFonts w:asciiTheme="minorBidi" w:hAnsiTheme="minorBidi"/>
          <w:sz w:val="16"/>
          <w:szCs w:val="16"/>
          <w:rtl/>
        </w:rPr>
        <w:t xml:space="preserve"> (ארוך)</w:t>
      </w:r>
      <w:r w:rsidRPr="003024E5">
        <w:rPr>
          <w:rFonts w:asciiTheme="minorBidi" w:hAnsiTheme="minorBidi"/>
          <w:sz w:val="18"/>
          <w:szCs w:val="18"/>
          <w:rtl/>
        </w:rPr>
        <w:t>. חתיכה שמלח אותה ב' פעמים</w:t>
      </w:r>
      <w:r w:rsidRPr="003024E5">
        <w:rPr>
          <w:rStyle w:val="a7"/>
          <w:rFonts w:asciiTheme="minorBidi" w:hAnsiTheme="minorBidi"/>
          <w:sz w:val="18"/>
          <w:szCs w:val="18"/>
          <w:rtl/>
        </w:rPr>
        <w:footnoteReference w:id="336"/>
      </w:r>
      <w:r w:rsidRPr="003024E5">
        <w:rPr>
          <w:rFonts w:asciiTheme="minorBidi" w:hAnsiTheme="minorBidi"/>
          <w:sz w:val="18"/>
          <w:szCs w:val="18"/>
          <w:rtl/>
        </w:rPr>
        <w:t xml:space="preserve"> מותרת ולא חיישינן שמלח השני מבליע הדם הנשאר ממליחה הראשונה</w:t>
      </w:r>
      <w:r w:rsidRPr="003024E5">
        <w:rPr>
          <w:rStyle w:val="a7"/>
          <w:rFonts w:asciiTheme="minorBidi" w:hAnsiTheme="minorBidi"/>
          <w:sz w:val="18"/>
          <w:szCs w:val="18"/>
          <w:rtl/>
        </w:rPr>
        <w:footnoteReference w:id="337"/>
      </w:r>
      <w:r w:rsidRPr="003024E5">
        <w:rPr>
          <w:rFonts w:asciiTheme="minorBidi" w:hAnsiTheme="minorBidi"/>
          <w:sz w:val="18"/>
          <w:szCs w:val="18"/>
          <w:rtl/>
        </w:rPr>
        <w:t xml:space="preserve"> (מהרא"י). </w:t>
      </w:r>
      <w:r w:rsidRPr="003024E5">
        <w:rPr>
          <w:rFonts w:asciiTheme="minorBidi" w:hAnsiTheme="minorBidi"/>
          <w:rtl/>
        </w:rPr>
        <w:t>אבל בשר עם דגים, אפילו בשר עופות עם דגים, אסור למלוח</w:t>
      </w:r>
      <w:r>
        <w:rPr>
          <w:rFonts w:asciiTheme="minorBidi" w:hAnsiTheme="minorBidi" w:hint="cs"/>
          <w:rtl/>
        </w:rPr>
        <w:t>,</w:t>
      </w:r>
      <w:r w:rsidRPr="003024E5">
        <w:rPr>
          <w:rFonts w:asciiTheme="minorBidi" w:hAnsiTheme="minorBidi"/>
          <w:rtl/>
        </w:rPr>
        <w:t xml:space="preserve"> לפי שהדגים פולטים כל צירן קודם שיפלוט העוף את דמו, ואם עבר ומלחן יחד העופות מותרין</w:t>
      </w:r>
      <w:r w:rsidRPr="003024E5">
        <w:rPr>
          <w:rStyle w:val="a7"/>
          <w:rFonts w:asciiTheme="minorBidi" w:hAnsiTheme="minorBidi"/>
          <w:rtl/>
        </w:rPr>
        <w:footnoteReference w:id="338"/>
      </w:r>
      <w:r w:rsidRPr="003024E5">
        <w:rPr>
          <w:rFonts w:asciiTheme="minorBidi" w:hAnsiTheme="minorBidi"/>
          <w:rtl/>
        </w:rPr>
        <w:t xml:space="preserve"> אבל הדגים צריך ליטול מהם כדי קליפה, ואם לא ניטלו קשקשיהם כשנמלחו מותרים</w:t>
      </w:r>
      <w:r w:rsidRPr="003024E5">
        <w:rPr>
          <w:rStyle w:val="a7"/>
          <w:rFonts w:asciiTheme="minorBidi" w:hAnsiTheme="minorBidi"/>
          <w:rtl/>
        </w:rPr>
        <w:footnoteReference w:id="339"/>
      </w:r>
      <w:r w:rsidRPr="003024E5">
        <w:rPr>
          <w:rFonts w:asciiTheme="minorBidi" w:hAnsiTheme="minorBidi"/>
          <w:rtl/>
        </w:rPr>
        <w:t>.</w:t>
      </w:r>
      <w:r w:rsidRPr="003024E5">
        <w:rPr>
          <w:rFonts w:asciiTheme="minorBidi" w:hAnsiTheme="minorBidi"/>
          <w:sz w:val="18"/>
          <w:szCs w:val="18"/>
          <w:rtl/>
        </w:rPr>
        <w:t xml:space="preserve"> הגה: ויש אוסרין כל הדגים (ארוך) אם אינן ס' נגד העופות, דאנו משערין במליחה בס', והכי נהוג. ודוקא דלית בהו קשקשים דרפו קרמייהו ופלטי מיד אבל אי אית בהו קשקשים מותרים דאינן פולטים מיד ולא בלעי מן העופות (הרא"ש), דאיידי דטרידי לפלוט לא בלעי מידי דהוי אשני חתיכות שנמלחו יחד.</w:t>
      </w:r>
    </w:p>
    <w:p w14:paraId="6AEBF01F" w14:textId="77777777" w:rsidR="002C39F4" w:rsidRPr="003024E5" w:rsidRDefault="002C39F4" w:rsidP="002C39F4">
      <w:pPr>
        <w:rPr>
          <w:rFonts w:asciiTheme="minorBidi" w:hAnsiTheme="minorBidi"/>
          <w:rtl/>
        </w:rPr>
      </w:pPr>
      <w:r w:rsidRPr="003024E5">
        <w:rPr>
          <w:rFonts w:asciiTheme="minorBidi" w:hAnsiTheme="minorBidi"/>
          <w:rtl/>
        </w:rPr>
        <w:t xml:space="preserve"> </w:t>
      </w:r>
    </w:p>
    <w:p w14:paraId="7867D191" w14:textId="77777777" w:rsidR="002C39F4" w:rsidRDefault="002C39F4" w:rsidP="002C39F4">
      <w:pPr>
        <w:pStyle w:val="2"/>
        <w:rPr>
          <w:rFonts w:asciiTheme="minorBidi" w:hAnsiTheme="minorBidi"/>
          <w:rtl/>
        </w:rPr>
      </w:pPr>
      <w:r w:rsidRPr="003024E5">
        <w:rPr>
          <w:rFonts w:asciiTheme="minorBidi" w:hAnsiTheme="minorBidi"/>
          <w:rtl/>
        </w:rPr>
        <w:t>סעיף ב: דג מליח ועוף תפל.</w:t>
      </w:r>
    </w:p>
    <w:p w14:paraId="41DF8EB4" w14:textId="77777777" w:rsidR="002C39F4" w:rsidRPr="000134F1" w:rsidRDefault="002C39F4" w:rsidP="002C39F4">
      <w:pPr>
        <w:rPr>
          <w:rFonts w:asciiTheme="minorBidi" w:hAnsiTheme="minorBidi"/>
          <w:rtl/>
        </w:rPr>
      </w:pPr>
      <w:r w:rsidRPr="003024E5">
        <w:rPr>
          <w:rFonts w:asciiTheme="minorBidi" w:hAnsiTheme="minorBidi"/>
          <w:b/>
          <w:bCs/>
          <w:rtl/>
        </w:rPr>
        <w:t>חולין קי</w:t>
      </w:r>
      <w:r>
        <w:rPr>
          <w:rFonts w:asciiTheme="minorBidi" w:hAnsiTheme="minorBidi" w:hint="cs"/>
          <w:b/>
          <w:bCs/>
          <w:rtl/>
        </w:rPr>
        <w:t>ג</w:t>
      </w:r>
      <w:r w:rsidRPr="003024E5">
        <w:rPr>
          <w:rFonts w:asciiTheme="minorBidi" w:hAnsiTheme="minorBidi"/>
          <w:b/>
          <w:bCs/>
          <w:rtl/>
        </w:rPr>
        <w:t xml:space="preserve"> ע"</w:t>
      </w:r>
      <w:r>
        <w:rPr>
          <w:rFonts w:asciiTheme="minorBidi" w:hAnsiTheme="minorBidi" w:hint="cs"/>
          <w:b/>
          <w:bCs/>
          <w:rtl/>
        </w:rPr>
        <w:t>א</w:t>
      </w:r>
      <w:r w:rsidRPr="003024E5">
        <w:rPr>
          <w:rFonts w:asciiTheme="minorBidi" w:hAnsiTheme="minorBidi"/>
          <w:b/>
          <w:bCs/>
          <w:rtl/>
        </w:rPr>
        <w:t xml:space="preserve">: </w:t>
      </w:r>
      <w:r w:rsidRPr="003024E5">
        <w:rPr>
          <w:rFonts w:asciiTheme="minorBidi" w:hAnsiTheme="minorBidi"/>
          <w:rtl/>
        </w:rPr>
        <w:t>מיתיבי: דג טהור שמלחו עם דג טמא מותר, מאי לאו שהיו שניהן מלוחין</w:t>
      </w:r>
      <w:r w:rsidRPr="003024E5">
        <w:rPr>
          <w:rStyle w:val="a7"/>
          <w:rFonts w:asciiTheme="minorBidi" w:hAnsiTheme="minorBidi"/>
          <w:rtl/>
        </w:rPr>
        <w:footnoteReference w:id="340"/>
      </w:r>
      <w:r w:rsidRPr="003024E5">
        <w:rPr>
          <w:rFonts w:asciiTheme="minorBidi" w:hAnsiTheme="minorBidi"/>
          <w:rtl/>
        </w:rPr>
        <w:t>? לא, כגון שהיה טהור מליח וטמא תפל</w:t>
      </w:r>
      <w:r w:rsidRPr="003024E5">
        <w:rPr>
          <w:rStyle w:val="a7"/>
          <w:rFonts w:asciiTheme="minorBidi" w:hAnsiTheme="minorBidi"/>
          <w:rtl/>
        </w:rPr>
        <w:footnoteReference w:id="341"/>
      </w:r>
      <w:r w:rsidRPr="003024E5">
        <w:rPr>
          <w:rFonts w:asciiTheme="minorBidi" w:hAnsiTheme="minorBidi"/>
          <w:rtl/>
        </w:rPr>
        <w:t>, והא מדקתני סיפא היה טהור מליח וטמא תפל מותר מכלל דרישא בששניהם מלוחין עסקינן! פרושי קא מפרש, טהור שמלחו עם דג טמא מותר, כיצד, שהיה טהור מליח וטמא תפל.</w:t>
      </w:r>
    </w:p>
    <w:p w14:paraId="38725FF0" w14:textId="77777777" w:rsidR="002C39F4" w:rsidRPr="003024E5" w:rsidRDefault="002C39F4" w:rsidP="002C39F4">
      <w:pPr>
        <w:rPr>
          <w:rFonts w:asciiTheme="minorBidi" w:hAnsiTheme="minorBidi"/>
          <w:u w:val="single"/>
          <w:rtl/>
        </w:rPr>
      </w:pPr>
      <w:r w:rsidRPr="003024E5">
        <w:rPr>
          <w:rFonts w:asciiTheme="minorBidi" w:hAnsiTheme="minorBidi"/>
          <w:u w:val="single"/>
          <w:rtl/>
        </w:rPr>
        <w:t>מלח את הדג והניחו עם עוף שאינו מלוח:</w:t>
      </w:r>
    </w:p>
    <w:p w14:paraId="16D75E25" w14:textId="77777777" w:rsidR="002C39F4" w:rsidRPr="003024E5" w:rsidRDefault="002C39F4" w:rsidP="002C39F4">
      <w:pPr>
        <w:pStyle w:val="a8"/>
        <w:numPr>
          <w:ilvl w:val="0"/>
          <w:numId w:val="33"/>
        </w:numPr>
        <w:rPr>
          <w:rFonts w:asciiTheme="minorBidi" w:hAnsiTheme="minorBidi"/>
        </w:rPr>
      </w:pPr>
      <w:r w:rsidRPr="003024E5">
        <w:rPr>
          <w:rFonts w:asciiTheme="minorBidi" w:hAnsiTheme="minorBidi"/>
          <w:rtl/>
        </w:rPr>
        <w:t>תוס' רא"ש טור</w:t>
      </w:r>
      <w:r w:rsidRPr="003024E5">
        <w:rPr>
          <w:rStyle w:val="a7"/>
          <w:rFonts w:asciiTheme="minorBidi" w:hAnsiTheme="minorBidi"/>
          <w:rtl/>
        </w:rPr>
        <w:footnoteReference w:id="342"/>
      </w:r>
      <w:r w:rsidRPr="003024E5">
        <w:rPr>
          <w:rFonts w:asciiTheme="minorBidi" w:hAnsiTheme="minorBidi"/>
          <w:rtl/>
        </w:rPr>
        <w:t xml:space="preserve"> ור"ן</w:t>
      </w:r>
      <w:r w:rsidRPr="003024E5">
        <w:rPr>
          <w:rStyle w:val="a7"/>
          <w:rFonts w:asciiTheme="minorBidi" w:hAnsiTheme="minorBidi"/>
          <w:rtl/>
        </w:rPr>
        <w:footnoteReference w:id="343"/>
      </w:r>
      <w:r w:rsidRPr="003024E5">
        <w:rPr>
          <w:rFonts w:asciiTheme="minorBidi" w:hAnsiTheme="minorBidi"/>
          <w:rtl/>
        </w:rPr>
        <w:t>- אם לא מלחן יחד אלא לאחר שמלח הדג נתנו עם העוף מותר</w:t>
      </w:r>
      <w:r w:rsidRPr="003024E5">
        <w:rPr>
          <w:rFonts w:asciiTheme="minorBidi" w:hAnsiTheme="minorBidi"/>
          <w:sz w:val="16"/>
          <w:szCs w:val="16"/>
          <w:rtl/>
        </w:rPr>
        <w:t xml:space="preserve"> (ל' הטור)</w:t>
      </w:r>
      <w:r w:rsidRPr="003024E5">
        <w:rPr>
          <w:rStyle w:val="a7"/>
          <w:rFonts w:asciiTheme="minorBidi" w:hAnsiTheme="minorBidi"/>
          <w:rtl/>
        </w:rPr>
        <w:footnoteReference w:id="344"/>
      </w:r>
      <w:r w:rsidRPr="003024E5">
        <w:rPr>
          <w:rFonts w:asciiTheme="minorBidi" w:hAnsiTheme="minorBidi"/>
          <w:rtl/>
        </w:rPr>
        <w:t>.</w:t>
      </w:r>
      <w:r w:rsidRPr="00770496">
        <w:rPr>
          <w:rFonts w:asciiTheme="minorBidi" w:hAnsiTheme="minorBidi"/>
          <w:color w:val="E36C0A" w:themeColor="accent6" w:themeShade="BF"/>
          <w:rtl/>
        </w:rPr>
        <w:t xml:space="preserve"> </w:t>
      </w:r>
      <w:r w:rsidRPr="003024E5">
        <w:rPr>
          <w:rFonts w:asciiTheme="minorBidi" w:hAnsiTheme="minorBidi"/>
          <w:color w:val="E36C0A" w:themeColor="accent6" w:themeShade="BF"/>
          <w:rtl/>
        </w:rPr>
        <w:t>(וכ"פ בשו"ע)</w:t>
      </w:r>
    </w:p>
    <w:p w14:paraId="5F4370C1" w14:textId="77777777" w:rsidR="002C39F4" w:rsidRPr="000134F1" w:rsidRDefault="002C39F4" w:rsidP="002C39F4">
      <w:pPr>
        <w:ind w:left="360"/>
        <w:rPr>
          <w:rFonts w:asciiTheme="minorBidi" w:hAnsiTheme="minorBidi"/>
          <w:u w:val="dotted"/>
          <w:rtl/>
        </w:rPr>
      </w:pPr>
      <w:r>
        <w:rPr>
          <w:rFonts w:asciiTheme="minorBidi" w:hAnsiTheme="minorBidi" w:hint="cs"/>
          <w:u w:val="dotted"/>
          <w:rtl/>
        </w:rPr>
        <w:t xml:space="preserve">ומה הדין אם המקרה הפוך - </w:t>
      </w:r>
      <w:r w:rsidRPr="000134F1">
        <w:rPr>
          <w:rFonts w:asciiTheme="minorBidi" w:hAnsiTheme="minorBidi"/>
          <w:u w:val="dotted"/>
          <w:rtl/>
        </w:rPr>
        <w:t>מלח את העוף והניחו עם דג שאינו מלוח:</w:t>
      </w:r>
    </w:p>
    <w:p w14:paraId="3949889C" w14:textId="77777777" w:rsidR="002C39F4" w:rsidRPr="003024E5" w:rsidRDefault="002C39F4" w:rsidP="002C39F4">
      <w:pPr>
        <w:pStyle w:val="a8"/>
        <w:numPr>
          <w:ilvl w:val="0"/>
          <w:numId w:val="33"/>
        </w:numPr>
        <w:rPr>
          <w:rFonts w:asciiTheme="minorBidi" w:hAnsiTheme="minorBidi"/>
          <w:rtl/>
        </w:rPr>
      </w:pPr>
      <w:r w:rsidRPr="003024E5">
        <w:rPr>
          <w:rFonts w:asciiTheme="minorBidi" w:hAnsiTheme="minorBidi"/>
          <w:rtl/>
        </w:rPr>
        <w:t xml:space="preserve">ב"י- דוקא נקט </w:t>
      </w:r>
      <w:r w:rsidRPr="003024E5">
        <w:rPr>
          <w:rFonts w:asciiTheme="minorBidi" w:hAnsiTheme="minorBidi"/>
          <w:sz w:val="16"/>
          <w:szCs w:val="16"/>
          <w:rtl/>
        </w:rPr>
        <w:t>{הטור}</w:t>
      </w:r>
      <w:r w:rsidRPr="003024E5">
        <w:rPr>
          <w:rFonts w:asciiTheme="minorBidi" w:hAnsiTheme="minorBidi"/>
          <w:rtl/>
        </w:rPr>
        <w:t xml:space="preserve"> דג מליח ועוף תפל, דבכהאי גוונא הוא דשרי, דאילו עוף מליח ודג תפל</w:t>
      </w:r>
      <w:r>
        <w:rPr>
          <w:rFonts w:asciiTheme="minorBidi" w:hAnsiTheme="minorBidi" w:hint="cs"/>
          <w:rtl/>
        </w:rPr>
        <w:t>-</w:t>
      </w:r>
      <w:r w:rsidRPr="003024E5">
        <w:rPr>
          <w:rFonts w:asciiTheme="minorBidi" w:hAnsiTheme="minorBidi"/>
          <w:rtl/>
        </w:rPr>
        <w:t xml:space="preserve"> דגים אסורים, במכ"ש דשניהם מלוחים</w:t>
      </w:r>
      <w:r w:rsidRPr="003024E5">
        <w:rPr>
          <w:rStyle w:val="a7"/>
          <w:rFonts w:asciiTheme="minorBidi" w:hAnsiTheme="minorBidi"/>
          <w:rtl/>
        </w:rPr>
        <w:footnoteReference w:id="345"/>
      </w:r>
      <w:r w:rsidRPr="003024E5">
        <w:rPr>
          <w:rFonts w:asciiTheme="minorBidi" w:hAnsiTheme="minorBidi"/>
          <w:rtl/>
        </w:rPr>
        <w:t xml:space="preserve"> כמו שיתבאר בסמוך. </w:t>
      </w:r>
      <w:r w:rsidRPr="003024E5">
        <w:rPr>
          <w:rFonts w:asciiTheme="minorBidi" w:hAnsiTheme="minorBidi"/>
          <w:color w:val="E36C0A" w:themeColor="accent6" w:themeShade="BF"/>
          <w:rtl/>
        </w:rPr>
        <w:t>(וכ"פ בשו"ע)</w:t>
      </w:r>
      <w:r w:rsidRPr="003024E5">
        <w:rPr>
          <w:rFonts w:asciiTheme="minorBidi" w:hAnsiTheme="minorBidi"/>
          <w:rtl/>
        </w:rPr>
        <w:t xml:space="preserve"> (וכ"פ מהרש"ל </w:t>
      </w:r>
      <w:r w:rsidRPr="003024E5">
        <w:rPr>
          <w:rFonts w:asciiTheme="minorBidi" w:hAnsiTheme="minorBidi"/>
          <w:sz w:val="16"/>
          <w:szCs w:val="16"/>
          <w:rtl/>
        </w:rPr>
        <w:t xml:space="preserve">[פ"ח סי' עג] </w:t>
      </w:r>
      <w:r w:rsidRPr="003024E5">
        <w:rPr>
          <w:rFonts w:asciiTheme="minorBidi" w:hAnsiTheme="minorBidi"/>
          <w:rtl/>
        </w:rPr>
        <w:t>וט"ז</w:t>
      </w:r>
      <w:r w:rsidRPr="003024E5">
        <w:rPr>
          <w:rFonts w:asciiTheme="minorBidi" w:hAnsiTheme="minorBidi"/>
          <w:sz w:val="16"/>
          <w:szCs w:val="16"/>
          <w:rtl/>
        </w:rPr>
        <w:t xml:space="preserve"> [סק"ח]</w:t>
      </w:r>
      <w:r w:rsidRPr="003024E5">
        <w:rPr>
          <w:rFonts w:asciiTheme="minorBidi" w:hAnsiTheme="minorBidi"/>
          <w:rtl/>
        </w:rPr>
        <w:t>)</w:t>
      </w:r>
      <w:r>
        <w:rPr>
          <w:rFonts w:asciiTheme="minorBidi" w:hAnsiTheme="minorBidi" w:hint="cs"/>
          <w:rtl/>
        </w:rPr>
        <w:t xml:space="preserve"> </w:t>
      </w:r>
    </w:p>
    <w:p w14:paraId="550AA31C" w14:textId="77777777" w:rsidR="002C39F4" w:rsidRPr="003024E5" w:rsidRDefault="002C39F4" w:rsidP="002C39F4">
      <w:pPr>
        <w:pStyle w:val="a8"/>
        <w:numPr>
          <w:ilvl w:val="0"/>
          <w:numId w:val="33"/>
        </w:numPr>
        <w:rPr>
          <w:rFonts w:asciiTheme="minorBidi" w:hAnsiTheme="minorBidi"/>
          <w:rtl/>
        </w:rPr>
      </w:pPr>
      <w:r w:rsidRPr="003024E5">
        <w:rPr>
          <w:rFonts w:asciiTheme="minorBidi" w:hAnsiTheme="minorBidi"/>
          <w:rtl/>
        </w:rPr>
        <w:t>דרכ"מ</w:t>
      </w:r>
      <w:r w:rsidRPr="003024E5">
        <w:rPr>
          <w:rFonts w:asciiTheme="minorBidi" w:hAnsiTheme="minorBidi"/>
          <w:sz w:val="16"/>
          <w:szCs w:val="16"/>
          <w:rtl/>
        </w:rPr>
        <w:t xml:space="preserve"> (אות ז ואות ט)</w:t>
      </w:r>
      <w:r w:rsidRPr="003024E5">
        <w:rPr>
          <w:rFonts w:asciiTheme="minorBidi" w:hAnsiTheme="minorBidi"/>
          <w:rtl/>
        </w:rPr>
        <w:t>- ואני אומר דלא דמי כלל דהתם הוא טמא ולכך אמרינן דהטהור נאסר, אבל כאן שהדג תפל אינו בולע רק דם אמרינן הואיל ועדיין פולט דם דידיה יפלוט נמי דם שבולע ממקום אחר כמו שיתבאר למטה גבי בשר שלא נמלח שהונח עם בשר שנמלח, וכ"מ ב</w:t>
      </w:r>
      <w:r>
        <w:rPr>
          <w:rFonts w:asciiTheme="minorBidi" w:hAnsiTheme="minorBidi"/>
          <w:rtl/>
        </w:rPr>
        <w:t>או"ה</w:t>
      </w:r>
      <w:r w:rsidRPr="003024E5">
        <w:rPr>
          <w:rStyle w:val="a7"/>
          <w:rFonts w:asciiTheme="minorBidi" w:hAnsiTheme="minorBidi"/>
          <w:rtl/>
        </w:rPr>
        <w:footnoteReference w:id="346"/>
      </w:r>
      <w:r w:rsidRPr="003024E5">
        <w:rPr>
          <w:rFonts w:asciiTheme="minorBidi" w:hAnsiTheme="minorBidi"/>
          <w:sz w:val="16"/>
          <w:szCs w:val="16"/>
          <w:rtl/>
        </w:rPr>
        <w:t xml:space="preserve"> (כלל יג דין ג)</w:t>
      </w:r>
      <w:r w:rsidRPr="003024E5">
        <w:rPr>
          <w:rFonts w:asciiTheme="minorBidi" w:hAnsiTheme="minorBidi"/>
          <w:rtl/>
        </w:rPr>
        <w:t>.</w:t>
      </w:r>
      <w:r w:rsidRPr="003024E5">
        <w:rPr>
          <w:rFonts w:asciiTheme="minorBidi" w:hAnsiTheme="minorBidi"/>
          <w:color w:val="00B0F0"/>
          <w:rtl/>
        </w:rPr>
        <w:t xml:space="preserve"> (וכ"פ בהג"ה)</w:t>
      </w:r>
      <w:r w:rsidRPr="003024E5">
        <w:rPr>
          <w:rFonts w:asciiTheme="minorBidi" w:hAnsiTheme="minorBidi"/>
          <w:rtl/>
        </w:rPr>
        <w:t xml:space="preserve"> </w:t>
      </w:r>
    </w:p>
    <w:p w14:paraId="14204C3B" w14:textId="77777777" w:rsidR="002C39F4" w:rsidRPr="003024E5" w:rsidRDefault="002C39F4" w:rsidP="002C39F4">
      <w:pPr>
        <w:rPr>
          <w:rFonts w:asciiTheme="minorBidi" w:hAnsiTheme="minorBidi"/>
          <w:u w:val="single"/>
          <w:rtl/>
        </w:rPr>
      </w:pPr>
      <w:r w:rsidRPr="003024E5">
        <w:rPr>
          <w:rFonts w:asciiTheme="minorBidi" w:hAnsiTheme="minorBidi"/>
          <w:u w:val="single"/>
          <w:rtl/>
        </w:rPr>
        <w:t>מליחת דגים בכלי שמלחו בו בשר:</w:t>
      </w:r>
    </w:p>
    <w:p w14:paraId="36192BDB" w14:textId="77777777" w:rsidR="002C39F4" w:rsidRPr="003024E5" w:rsidRDefault="002C39F4" w:rsidP="002C39F4">
      <w:pPr>
        <w:pStyle w:val="a8"/>
        <w:numPr>
          <w:ilvl w:val="0"/>
          <w:numId w:val="34"/>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(ח"א סי' קכט)</w:t>
      </w:r>
      <w:r w:rsidRPr="003024E5">
        <w:rPr>
          <w:rFonts w:asciiTheme="minorBidi" w:hAnsiTheme="minorBidi"/>
          <w:rtl/>
        </w:rPr>
        <w:t>- שאלת מהו למלוח דגים בכלי שמלחו בו בשר</w:t>
      </w:r>
      <w:r>
        <w:rPr>
          <w:rFonts w:asciiTheme="minorBidi" w:hAnsiTheme="minorBidi" w:hint="cs"/>
          <w:rtl/>
        </w:rPr>
        <w:t>,</w:t>
      </w:r>
      <w:r w:rsidRPr="003024E5">
        <w:rPr>
          <w:rFonts w:asciiTheme="minorBidi" w:hAnsiTheme="minorBidi"/>
          <w:rtl/>
        </w:rPr>
        <w:t xml:space="preserve"> מי נימא בתר דנייחי דגים פולט כלי ובלעי דגים. תשובה ומאן לימא לן שהמלח מפליט כלי שאם אתה אומר כן נמצאת אוסר להניח מלח בכלי אסור, וכמדומה שכן הסכימו התוס' </w:t>
      </w:r>
      <w:r w:rsidRPr="003024E5">
        <w:rPr>
          <w:rFonts w:asciiTheme="minorBidi" w:hAnsiTheme="minorBidi"/>
          <w:sz w:val="16"/>
          <w:szCs w:val="16"/>
          <w:rtl/>
        </w:rPr>
        <w:t>(קיג. ד"ה טהור)</w:t>
      </w:r>
      <w:r w:rsidRPr="003024E5">
        <w:rPr>
          <w:rFonts w:asciiTheme="minorBidi" w:hAnsiTheme="minorBidi"/>
          <w:rtl/>
        </w:rPr>
        <w:t>, ומ"מ בין כך ובין כך מסתברא דמותר, שלא אמרו אלא בבשר ודגים אבל הכלי אינו פולט דם ממש אלא טעם לבד, וכדאמרינן בנ"ט ב</w:t>
      </w:r>
      <w:r>
        <w:rPr>
          <w:rFonts w:asciiTheme="minorBidi" w:hAnsiTheme="minorBidi" w:hint="cs"/>
          <w:rtl/>
        </w:rPr>
        <w:t xml:space="preserve">ר </w:t>
      </w:r>
      <w:r w:rsidRPr="003024E5">
        <w:rPr>
          <w:rFonts w:asciiTheme="minorBidi" w:hAnsiTheme="minorBidi"/>
          <w:rtl/>
        </w:rPr>
        <w:t>נ"ט, ואין אומרים בכי הא שפולט הכלי דם ובולעים הדגים.</w:t>
      </w:r>
      <w:r w:rsidRPr="003024E5">
        <w:rPr>
          <w:rFonts w:asciiTheme="minorBidi" w:hAnsiTheme="minorBidi"/>
          <w:color w:val="00B0F0"/>
          <w:rtl/>
        </w:rPr>
        <w:t xml:space="preserve"> (וכ"פ הרמ"א)</w:t>
      </w:r>
    </w:p>
    <w:p w14:paraId="7EB441C7" w14:textId="77777777" w:rsidR="002C39F4" w:rsidRPr="003024E5" w:rsidRDefault="002C39F4" w:rsidP="002C39F4">
      <w:pPr>
        <w:rPr>
          <w:rFonts w:asciiTheme="minorBidi" w:hAnsiTheme="minorBidi"/>
          <w:u w:val="single"/>
        </w:rPr>
      </w:pPr>
      <w:r w:rsidRPr="003024E5">
        <w:rPr>
          <w:rFonts w:asciiTheme="minorBidi" w:hAnsiTheme="minorBidi"/>
          <w:u w:val="single"/>
          <w:rtl/>
        </w:rPr>
        <w:t>מליחת דגים בכלי שבלוע מאיסור:</w:t>
      </w:r>
    </w:p>
    <w:p w14:paraId="644C6B99" w14:textId="77777777" w:rsidR="002C39F4" w:rsidRDefault="002C39F4" w:rsidP="002C39F4">
      <w:pPr>
        <w:pStyle w:val="a8"/>
        <w:numPr>
          <w:ilvl w:val="0"/>
          <w:numId w:val="34"/>
        </w:numPr>
        <w:rPr>
          <w:rFonts w:asciiTheme="minorBidi" w:hAnsiTheme="minorBidi"/>
        </w:rPr>
      </w:pPr>
      <w:r w:rsidRPr="003024E5">
        <w:rPr>
          <w:rFonts w:asciiTheme="minorBidi" w:hAnsiTheme="minorBidi"/>
          <w:rtl/>
        </w:rPr>
        <w:t xml:space="preserve">שבה"ל </w:t>
      </w:r>
      <w:r w:rsidRPr="003024E5">
        <w:rPr>
          <w:rFonts w:asciiTheme="minorBidi" w:hAnsiTheme="minorBidi"/>
          <w:sz w:val="16"/>
          <w:szCs w:val="16"/>
          <w:rtl/>
        </w:rPr>
        <w:t>(ח"ב סי' לז ד"ה מעשה)</w:t>
      </w:r>
      <w:r w:rsidRPr="003024E5">
        <w:rPr>
          <w:rFonts w:asciiTheme="minorBidi" w:hAnsiTheme="minorBidi"/>
          <w:rtl/>
        </w:rPr>
        <w:t>- מעשה שנמלחו דגים בקערה שאכלו בה השפחות נבלה ואסר ה"ר קלונימוס, ואח"כ הגידו לו שקודם שמלחו בה הדגים היו משמשים בה תדיר מים חמין והורה מותר, שהמים שמחמין בה פולט האיסור והדגים מותרים בלא קליפה.</w:t>
      </w:r>
    </w:p>
    <w:p w14:paraId="62C8B39B" w14:textId="77777777" w:rsidR="002C39F4" w:rsidRPr="003024E5" w:rsidRDefault="002C39F4" w:rsidP="002C39F4">
      <w:pPr>
        <w:pStyle w:val="a8"/>
        <w:numPr>
          <w:ilvl w:val="0"/>
          <w:numId w:val="34"/>
        </w:numPr>
        <w:rPr>
          <w:rFonts w:asciiTheme="minorBidi" w:hAnsiTheme="minorBidi"/>
          <w:rtl/>
        </w:rPr>
      </w:pPr>
      <w:r w:rsidRPr="003024E5">
        <w:rPr>
          <w:rFonts w:asciiTheme="minorBidi" w:hAnsiTheme="minorBidi"/>
          <w:rtl/>
        </w:rPr>
        <w:t xml:space="preserve">רשב"א </w:t>
      </w:r>
      <w:r w:rsidRPr="003024E5">
        <w:rPr>
          <w:rFonts w:asciiTheme="minorBidi" w:hAnsiTheme="minorBidi"/>
          <w:sz w:val="16"/>
          <w:szCs w:val="16"/>
          <w:rtl/>
        </w:rPr>
        <w:t>(ח"א סי' קכט)</w:t>
      </w:r>
      <w:r w:rsidRPr="003024E5">
        <w:rPr>
          <w:rFonts w:asciiTheme="minorBidi" w:hAnsiTheme="minorBidi"/>
          <w:rtl/>
        </w:rPr>
        <w:t>-</w:t>
      </w:r>
      <w:r w:rsidRPr="00945A71">
        <w:rPr>
          <w:rFonts w:asciiTheme="minorBidi" w:hAnsiTheme="minorBidi"/>
          <w:rtl/>
        </w:rPr>
        <w:t xml:space="preserve"> </w:t>
      </w:r>
      <w:r w:rsidRPr="003024E5">
        <w:rPr>
          <w:rFonts w:asciiTheme="minorBidi" w:hAnsiTheme="minorBidi"/>
          <w:rtl/>
        </w:rPr>
        <w:t>אפשר שאם מלחו הדגים בכלי איסור ממש מבליעת שאר האיסורים שיהו הדגים אסורים לפי שפליטת שאר האיסורים מסתרכת יותר</w:t>
      </w:r>
      <w:r>
        <w:rPr>
          <w:rFonts w:asciiTheme="minorBidi" w:hAnsiTheme="minorBidi" w:hint="cs"/>
          <w:sz w:val="16"/>
          <w:szCs w:val="16"/>
          <w:rtl/>
        </w:rPr>
        <w:t xml:space="preserve"> {מפליטת דם של בשר מהכלי}</w:t>
      </w:r>
      <w:r w:rsidRPr="0020364C">
        <w:rPr>
          <w:rFonts w:asciiTheme="minorBidi" w:hAnsiTheme="minorBidi" w:hint="cs"/>
          <w:rtl/>
        </w:rPr>
        <w:t>.</w:t>
      </w:r>
    </w:p>
    <w:p w14:paraId="489F382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F39C06E" w14:textId="77777777" w:rsidR="002C39F4" w:rsidRPr="003024E5" w:rsidRDefault="002C39F4" w:rsidP="002C39F4">
      <w:pPr>
        <w:rPr>
          <w:rFonts w:asciiTheme="minorBidi" w:hAnsiTheme="minorBidi"/>
          <w:rtl/>
        </w:rPr>
      </w:pPr>
      <w:r w:rsidRPr="003024E5">
        <w:rPr>
          <w:rFonts w:asciiTheme="minorBidi" w:hAnsiTheme="minorBidi"/>
          <w:rtl/>
        </w:rPr>
        <w:t>במה דברים אמורים, כשמלח שניהם יחד או שהעוף מליח ודג תפל</w:t>
      </w:r>
      <w:r w:rsidRPr="003024E5">
        <w:rPr>
          <w:rStyle w:val="a7"/>
          <w:rFonts w:asciiTheme="minorBidi" w:hAnsiTheme="minorBidi"/>
          <w:rtl/>
        </w:rPr>
        <w:footnoteReference w:id="347"/>
      </w:r>
      <w:r w:rsidRPr="003024E5">
        <w:rPr>
          <w:rFonts w:asciiTheme="minorBidi" w:hAnsiTheme="minorBidi"/>
          <w:rtl/>
        </w:rPr>
        <w:t>, אבל אם דג מליח ועוף תפל ונתנם זה אצל זה או זה על גב זה</w:t>
      </w:r>
      <w:r w:rsidRPr="003024E5">
        <w:rPr>
          <w:rStyle w:val="a7"/>
          <w:rFonts w:asciiTheme="minorBidi" w:hAnsiTheme="minorBidi"/>
          <w:rtl/>
        </w:rPr>
        <w:footnoteReference w:id="348"/>
      </w:r>
      <w:r w:rsidRPr="003024E5">
        <w:rPr>
          <w:rFonts w:asciiTheme="minorBidi" w:hAnsiTheme="minorBidi"/>
          <w:rtl/>
        </w:rPr>
        <w:t xml:space="preserve"> אף דגים מותרים בלא קליפה</w:t>
      </w:r>
      <w:r w:rsidRPr="003024E5">
        <w:rPr>
          <w:rStyle w:val="a7"/>
          <w:rFonts w:asciiTheme="minorBidi" w:hAnsiTheme="minorBidi"/>
          <w:rtl/>
        </w:rPr>
        <w:footnoteReference w:id="349"/>
      </w:r>
      <w:r w:rsidRPr="003024E5">
        <w:rPr>
          <w:rFonts w:asciiTheme="minorBidi" w:hAnsiTheme="minorBidi"/>
          <w:rtl/>
        </w:rPr>
        <w:t xml:space="preserve">. </w:t>
      </w:r>
      <w:r w:rsidRPr="003024E5">
        <w:rPr>
          <w:rFonts w:asciiTheme="minorBidi" w:hAnsiTheme="minorBidi"/>
          <w:sz w:val="18"/>
          <w:szCs w:val="18"/>
          <w:rtl/>
        </w:rPr>
        <w:t>הגה: וכן אם הדגים מונחים על העופות</w:t>
      </w:r>
      <w:r w:rsidRPr="003024E5">
        <w:rPr>
          <w:rStyle w:val="a7"/>
          <w:rFonts w:asciiTheme="minorBidi" w:hAnsiTheme="minorBidi"/>
          <w:sz w:val="18"/>
          <w:szCs w:val="18"/>
          <w:rtl/>
        </w:rPr>
        <w:footnoteReference w:id="350"/>
      </w:r>
      <w:r w:rsidRPr="003024E5">
        <w:rPr>
          <w:rFonts w:asciiTheme="minorBidi" w:hAnsiTheme="minorBidi"/>
          <w:sz w:val="18"/>
          <w:szCs w:val="18"/>
          <w:rtl/>
        </w:rPr>
        <w:t xml:space="preserve"> מותרים</w:t>
      </w:r>
      <w:r w:rsidRPr="003024E5">
        <w:rPr>
          <w:rStyle w:val="a7"/>
          <w:rFonts w:asciiTheme="minorBidi" w:hAnsiTheme="minorBidi"/>
          <w:sz w:val="18"/>
          <w:szCs w:val="18"/>
          <w:rtl/>
        </w:rPr>
        <w:footnoteReference w:id="351"/>
      </w:r>
      <w:r w:rsidRPr="003024E5">
        <w:rPr>
          <w:rFonts w:asciiTheme="minorBidi" w:hAnsiTheme="minorBidi"/>
          <w:sz w:val="18"/>
          <w:szCs w:val="18"/>
          <w:rtl/>
        </w:rPr>
        <w:t xml:space="preserve"> אפילו נמלחו יחד דדם אינו מפעפע מלמטה למעלה</w:t>
      </w:r>
      <w:r w:rsidRPr="003024E5">
        <w:rPr>
          <w:rStyle w:val="a7"/>
          <w:rFonts w:asciiTheme="minorBidi" w:hAnsiTheme="minorBidi"/>
          <w:sz w:val="18"/>
          <w:szCs w:val="18"/>
          <w:rtl/>
        </w:rPr>
        <w:footnoteReference w:id="352"/>
      </w:r>
      <w:r w:rsidRPr="003024E5">
        <w:rPr>
          <w:rFonts w:asciiTheme="minorBidi" w:hAnsiTheme="minorBidi"/>
          <w:sz w:val="18"/>
          <w:szCs w:val="18"/>
          <w:rtl/>
        </w:rPr>
        <w:t xml:space="preserve"> ולא גרע מחתיכה המונחת בציר דמה שלמעלה מן הציר שרי (ארוך כלל יג). וכן אם לא הניח הדגים אצל העופות אלא לאחר ששהו העופות במלחן שיעור מליחה אף הדגים מותרים</w:t>
      </w:r>
      <w:r w:rsidRPr="003024E5">
        <w:rPr>
          <w:rStyle w:val="a7"/>
          <w:rFonts w:asciiTheme="minorBidi" w:hAnsiTheme="minorBidi"/>
          <w:sz w:val="18"/>
          <w:szCs w:val="18"/>
          <w:rtl/>
        </w:rPr>
        <w:footnoteReference w:id="353"/>
      </w:r>
      <w:r w:rsidRPr="003024E5">
        <w:rPr>
          <w:rFonts w:asciiTheme="minorBidi" w:hAnsiTheme="minorBidi"/>
          <w:sz w:val="18"/>
          <w:szCs w:val="18"/>
          <w:rtl/>
        </w:rPr>
        <w:t xml:space="preserve"> אף על פי ששניהם מלוחים</w:t>
      </w:r>
      <w:r w:rsidRPr="003024E5">
        <w:rPr>
          <w:rStyle w:val="a7"/>
          <w:rFonts w:asciiTheme="minorBidi" w:hAnsiTheme="minorBidi"/>
          <w:sz w:val="18"/>
          <w:szCs w:val="18"/>
          <w:rtl/>
        </w:rPr>
        <w:footnoteReference w:id="354"/>
      </w:r>
      <w:r w:rsidRPr="003024E5">
        <w:rPr>
          <w:rFonts w:asciiTheme="minorBidi" w:hAnsiTheme="minorBidi"/>
          <w:sz w:val="18"/>
          <w:szCs w:val="18"/>
          <w:rtl/>
        </w:rPr>
        <w:t xml:space="preserve"> (ד"ע וכ"מ בארוך). ואם נמלחו</w:t>
      </w:r>
      <w:r w:rsidRPr="003024E5">
        <w:rPr>
          <w:rStyle w:val="a7"/>
          <w:rFonts w:asciiTheme="minorBidi" w:hAnsiTheme="minorBidi"/>
          <w:sz w:val="18"/>
          <w:szCs w:val="18"/>
          <w:rtl/>
        </w:rPr>
        <w:footnoteReference w:id="355"/>
      </w:r>
      <w:r w:rsidRPr="003024E5">
        <w:rPr>
          <w:rFonts w:asciiTheme="minorBidi" w:hAnsiTheme="minorBidi"/>
          <w:sz w:val="18"/>
          <w:szCs w:val="18"/>
          <w:rtl/>
        </w:rPr>
        <w:t xml:space="preserve"> דגים בכלי שמלחו בו בשר</w:t>
      </w:r>
      <w:r>
        <w:rPr>
          <w:rFonts w:asciiTheme="minorBidi" w:hAnsiTheme="minorBidi" w:hint="cs"/>
          <w:sz w:val="18"/>
          <w:szCs w:val="18"/>
          <w:rtl/>
        </w:rPr>
        <w:t>,</w:t>
      </w:r>
      <w:r w:rsidRPr="003024E5">
        <w:rPr>
          <w:rFonts w:asciiTheme="minorBidi" w:hAnsiTheme="minorBidi"/>
          <w:sz w:val="18"/>
          <w:szCs w:val="18"/>
          <w:rtl/>
        </w:rPr>
        <w:t xml:space="preserve"> הדגים מותרים דאין הדגים בולעים הדם שבכלי</w:t>
      </w:r>
      <w:r w:rsidRPr="003024E5">
        <w:rPr>
          <w:rStyle w:val="a7"/>
          <w:rFonts w:asciiTheme="minorBidi" w:hAnsiTheme="minorBidi"/>
          <w:sz w:val="18"/>
          <w:szCs w:val="18"/>
          <w:rtl/>
        </w:rPr>
        <w:footnoteReference w:id="356"/>
      </w:r>
      <w:r w:rsidRPr="003024E5">
        <w:rPr>
          <w:rFonts w:asciiTheme="minorBidi" w:hAnsiTheme="minorBidi"/>
          <w:sz w:val="18"/>
          <w:szCs w:val="18"/>
          <w:rtl/>
        </w:rPr>
        <w:t xml:space="preserve"> דאין מליחה לכלים (רשב"א). והא דאמרינן</w:t>
      </w:r>
      <w:r w:rsidRPr="003024E5">
        <w:rPr>
          <w:rStyle w:val="a7"/>
          <w:rFonts w:asciiTheme="minorBidi" w:hAnsiTheme="minorBidi"/>
          <w:sz w:val="18"/>
          <w:szCs w:val="18"/>
          <w:rtl/>
        </w:rPr>
        <w:footnoteReference w:id="357"/>
      </w:r>
      <w:r w:rsidRPr="003024E5">
        <w:rPr>
          <w:rFonts w:asciiTheme="minorBidi" w:hAnsiTheme="minorBidi"/>
          <w:sz w:val="18"/>
          <w:szCs w:val="18"/>
          <w:rtl/>
        </w:rPr>
        <w:t xml:space="preserve"> דאם הדג תפל והעופות מלוחים אסורים, היינו דוקא שהדג פלט כבר דמו והודח</w:t>
      </w:r>
      <w:r w:rsidRPr="003024E5">
        <w:rPr>
          <w:rStyle w:val="a7"/>
          <w:rFonts w:asciiTheme="minorBidi" w:hAnsiTheme="minorBidi"/>
          <w:sz w:val="18"/>
          <w:szCs w:val="18"/>
          <w:rtl/>
        </w:rPr>
        <w:footnoteReference w:id="358"/>
      </w:r>
      <w:r w:rsidRPr="003024E5">
        <w:rPr>
          <w:rFonts w:asciiTheme="minorBidi" w:hAnsiTheme="minorBidi"/>
          <w:sz w:val="18"/>
          <w:szCs w:val="18"/>
          <w:rtl/>
        </w:rPr>
        <w:t>, אבל אם עדיין לא פלט דמו ולא נמלח מעולם מותר, דאגב דיפלוט דם דידיה יפלוט גם כן הדם שבולע מן העופות (סברת עצמו וכ"מ בארוך כלל י"ג בשם הסמ"ק), כמו חתיכה שנפלה לציר קודם מליחה דמותר מהאי טעמא כמו שיתבאר לקמן סימן זה. ועיין לקמן סימן צ"א באיזה מליחה אמרינן דהוי כרותח</w:t>
      </w:r>
      <w:r w:rsidRPr="003024E5">
        <w:rPr>
          <w:rStyle w:val="a7"/>
          <w:rFonts w:asciiTheme="minorBidi" w:hAnsiTheme="minorBidi"/>
          <w:sz w:val="18"/>
          <w:szCs w:val="18"/>
          <w:rtl/>
        </w:rPr>
        <w:footnoteReference w:id="359"/>
      </w:r>
      <w:r w:rsidRPr="003024E5">
        <w:rPr>
          <w:rFonts w:asciiTheme="minorBidi" w:hAnsiTheme="minorBidi"/>
          <w:sz w:val="18"/>
          <w:szCs w:val="18"/>
          <w:rtl/>
        </w:rPr>
        <w:t>.</w:t>
      </w:r>
    </w:p>
    <w:p w14:paraId="0597FF66" w14:textId="77777777" w:rsidR="002C39F4" w:rsidRPr="003024E5" w:rsidRDefault="002C39F4" w:rsidP="002C39F4">
      <w:pPr>
        <w:rPr>
          <w:rFonts w:asciiTheme="minorBidi" w:hAnsiTheme="minorBidi"/>
          <w:rtl/>
        </w:rPr>
      </w:pPr>
    </w:p>
    <w:p w14:paraId="332DB1D0" w14:textId="77777777" w:rsidR="002C39F4" w:rsidRPr="003024E5" w:rsidRDefault="002C39F4" w:rsidP="002C39F4">
      <w:pPr>
        <w:pStyle w:val="2"/>
        <w:rPr>
          <w:rFonts w:asciiTheme="minorBidi" w:hAnsiTheme="minorBidi"/>
          <w:rtl/>
        </w:rPr>
      </w:pPr>
      <w:r w:rsidRPr="003024E5">
        <w:rPr>
          <w:rFonts w:asciiTheme="minorBidi" w:hAnsiTheme="minorBidi"/>
          <w:rtl/>
        </w:rPr>
        <w:t>סעיף ג: בשר טריפה ובשר כשרה שנמלחו יחד</w:t>
      </w:r>
      <w:r>
        <w:rPr>
          <w:rFonts w:asciiTheme="minorBidi" w:hAnsiTheme="minorBidi" w:hint="cs"/>
          <w:rtl/>
        </w:rPr>
        <w:t xml:space="preserve"> </w:t>
      </w:r>
      <w:r w:rsidRPr="003024E5">
        <w:rPr>
          <w:rFonts w:asciiTheme="minorBidi" w:hAnsiTheme="minorBidi"/>
          <w:rtl/>
        </w:rPr>
        <w:t>- ושתיהם כחושות.</w:t>
      </w:r>
    </w:p>
    <w:p w14:paraId="7B0B5685"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קיב ע"ב: </w:t>
      </w:r>
      <w:r w:rsidRPr="003024E5">
        <w:rPr>
          <w:rFonts w:asciiTheme="minorBidi" w:hAnsiTheme="minorBidi"/>
          <w:rtl/>
        </w:rPr>
        <w:t>רב מרי בר רחל אימלח ליה בשר שחוטה בהדי בשר טרפה</w:t>
      </w:r>
      <w:r w:rsidRPr="003024E5">
        <w:rPr>
          <w:rStyle w:val="a7"/>
          <w:rFonts w:asciiTheme="minorBidi" w:hAnsiTheme="minorBidi"/>
          <w:rtl/>
        </w:rPr>
        <w:footnoteReference w:id="360"/>
      </w:r>
      <w:r w:rsidRPr="003024E5">
        <w:rPr>
          <w:rFonts w:asciiTheme="minorBidi" w:hAnsiTheme="minorBidi"/>
          <w:rtl/>
        </w:rPr>
        <w:t xml:space="preserve">, אתא לקמיה דרבא, </w:t>
      </w:r>
      <w:r w:rsidRPr="00770496">
        <w:rPr>
          <w:rFonts w:asciiTheme="minorBidi" w:hAnsiTheme="minorBidi"/>
          <w:u w:val="single"/>
          <w:rtl/>
        </w:rPr>
        <w:t>אמר ליה</w:t>
      </w:r>
      <w:r w:rsidRPr="003024E5">
        <w:rPr>
          <w:rFonts w:asciiTheme="minorBidi" w:hAnsiTheme="minorBidi"/>
          <w:rtl/>
        </w:rPr>
        <w:t>: הטמאים</w:t>
      </w:r>
      <w:r w:rsidRPr="003024E5">
        <w:rPr>
          <w:rStyle w:val="a7"/>
          <w:rFonts w:asciiTheme="minorBidi" w:hAnsiTheme="minorBidi"/>
          <w:rtl/>
        </w:rPr>
        <w:footnoteReference w:id="361"/>
      </w:r>
      <w:r w:rsidRPr="003024E5">
        <w:rPr>
          <w:rFonts w:asciiTheme="minorBidi" w:hAnsiTheme="minorBidi"/>
          <w:rtl/>
        </w:rPr>
        <w:t>- לאסור צירן ורוטבן וקיפה</w:t>
      </w:r>
      <w:r w:rsidRPr="003024E5">
        <w:rPr>
          <w:rStyle w:val="a7"/>
          <w:rFonts w:asciiTheme="minorBidi" w:hAnsiTheme="minorBidi"/>
          <w:rtl/>
        </w:rPr>
        <w:footnoteReference w:id="362"/>
      </w:r>
      <w:r w:rsidRPr="003024E5">
        <w:rPr>
          <w:rFonts w:asciiTheme="minorBidi" w:hAnsiTheme="minorBidi"/>
          <w:rtl/>
        </w:rPr>
        <w:t xml:space="preserve"> שלהן...  </w:t>
      </w:r>
      <w:r w:rsidRPr="008F031B">
        <w:rPr>
          <w:rFonts w:asciiTheme="minorBidi" w:hAnsiTheme="minorBidi"/>
          <w:sz w:val="14"/>
          <w:szCs w:val="14"/>
          <w:rtl/>
        </w:rPr>
        <w:t>(קיג.)</w:t>
      </w:r>
      <w:r w:rsidRPr="003024E5">
        <w:rPr>
          <w:rFonts w:asciiTheme="minorBidi" w:hAnsiTheme="minorBidi"/>
          <w:rtl/>
        </w:rPr>
        <w:t xml:space="preserve"> מיתיבי: דג טהור שמלחו עם דג טמא מותר, מאי לאו שהיו שניהן מלוחין</w:t>
      </w:r>
      <w:r w:rsidRPr="003024E5">
        <w:rPr>
          <w:rStyle w:val="a7"/>
          <w:rFonts w:asciiTheme="minorBidi" w:hAnsiTheme="minorBidi"/>
          <w:rtl/>
        </w:rPr>
        <w:footnoteReference w:id="363"/>
      </w:r>
      <w:r w:rsidRPr="003024E5">
        <w:rPr>
          <w:rFonts w:asciiTheme="minorBidi" w:hAnsiTheme="minorBidi"/>
          <w:rtl/>
        </w:rPr>
        <w:t>? לא, כגון שהיה טהור מליח וטמא תפל</w:t>
      </w:r>
      <w:r w:rsidRPr="003024E5">
        <w:rPr>
          <w:rStyle w:val="a7"/>
          <w:rFonts w:asciiTheme="minorBidi" w:hAnsiTheme="minorBidi"/>
          <w:rtl/>
        </w:rPr>
        <w:footnoteReference w:id="364"/>
      </w:r>
      <w:r w:rsidRPr="003024E5">
        <w:rPr>
          <w:rFonts w:asciiTheme="minorBidi" w:hAnsiTheme="minorBidi"/>
          <w:rtl/>
        </w:rPr>
        <w:t>, והא מדקתני סיפא היה טהור מליח וטמא תפל מותר מכלל דרישא בששניהם מלוחין עסקינן! פרושי קא מפרש, טהור שמלחו עם דג טמא מותר, כיצד, שהיה טהור מליח וטמא תפל</w:t>
      </w:r>
      <w:r w:rsidRPr="003024E5">
        <w:rPr>
          <w:rStyle w:val="a7"/>
          <w:rFonts w:asciiTheme="minorBidi" w:hAnsiTheme="minorBidi"/>
          <w:rtl/>
        </w:rPr>
        <w:footnoteReference w:id="365"/>
      </w:r>
      <w:r w:rsidRPr="003024E5">
        <w:rPr>
          <w:rFonts w:asciiTheme="minorBidi" w:hAnsiTheme="minorBidi"/>
          <w:rtl/>
        </w:rPr>
        <w:t>.</w:t>
      </w:r>
    </w:p>
    <w:p w14:paraId="7D0323F9" w14:textId="77777777" w:rsidR="002C39F4" w:rsidRPr="00513D77" w:rsidRDefault="002C39F4" w:rsidP="002C39F4">
      <w:pPr>
        <w:rPr>
          <w:rFonts w:asciiTheme="minorBidi" w:hAnsiTheme="minorBidi"/>
          <w:sz w:val="16"/>
          <w:szCs w:val="16"/>
          <w:rtl/>
        </w:rPr>
      </w:pPr>
      <w:r w:rsidRPr="000C72D2">
        <w:rPr>
          <w:rFonts w:asciiTheme="minorBidi" w:hAnsiTheme="minorBidi" w:hint="cs"/>
          <w:u w:val="single"/>
          <w:rtl/>
        </w:rPr>
        <w:t xml:space="preserve">בשר טריפה </w:t>
      </w:r>
      <w:r>
        <w:rPr>
          <w:rFonts w:asciiTheme="minorBidi" w:hAnsiTheme="minorBidi" w:hint="cs"/>
          <w:u w:val="single"/>
          <w:rtl/>
        </w:rPr>
        <w:t>כחוש</w:t>
      </w:r>
      <w:r w:rsidRPr="000C72D2">
        <w:rPr>
          <w:rFonts w:asciiTheme="minorBidi" w:hAnsiTheme="minorBidi" w:hint="cs"/>
          <w:u w:val="single"/>
          <w:rtl/>
        </w:rPr>
        <w:t xml:space="preserve"> ובשר כשירה</w:t>
      </w:r>
      <w:r>
        <w:rPr>
          <w:rFonts w:asciiTheme="minorBidi" w:hAnsiTheme="minorBidi" w:hint="cs"/>
          <w:u w:val="single"/>
          <w:rtl/>
        </w:rPr>
        <w:t xml:space="preserve"> כחוש</w:t>
      </w:r>
      <w:r>
        <w:rPr>
          <w:rFonts w:asciiTheme="minorBidi" w:hAnsiTheme="minorBidi" w:hint="cs"/>
          <w:sz w:val="16"/>
          <w:szCs w:val="16"/>
          <w:u w:val="single"/>
          <w:rtl/>
        </w:rPr>
        <w:t xml:space="preserve"> (וכן</w:t>
      </w:r>
      <w:r w:rsidRPr="000C72D2">
        <w:rPr>
          <w:rFonts w:asciiTheme="minorBidi" w:hAnsiTheme="minorBidi" w:hint="cs"/>
          <w:sz w:val="16"/>
          <w:szCs w:val="16"/>
          <w:u w:val="single"/>
          <w:rtl/>
        </w:rPr>
        <w:t xml:space="preserve"> דג טמא ודג טהור</w:t>
      </w:r>
      <w:r>
        <w:rPr>
          <w:rFonts w:asciiTheme="minorBidi" w:hAnsiTheme="minorBidi" w:hint="cs"/>
          <w:sz w:val="16"/>
          <w:szCs w:val="16"/>
          <w:u w:val="single"/>
          <w:rtl/>
        </w:rPr>
        <w:t>)</w:t>
      </w:r>
      <w:r w:rsidRPr="00513D77">
        <w:rPr>
          <w:rFonts w:asciiTheme="minorBidi" w:hAnsiTheme="minorBidi" w:hint="cs"/>
          <w:u w:val="single"/>
          <w:rtl/>
        </w:rPr>
        <w:t xml:space="preserve"> שנמלחו יחד</w:t>
      </w:r>
      <w:r>
        <w:rPr>
          <w:rFonts w:asciiTheme="minorBidi" w:hAnsiTheme="minorBidi" w:hint="cs"/>
          <w:sz w:val="16"/>
          <w:szCs w:val="16"/>
          <w:u w:val="single"/>
          <w:rtl/>
        </w:rPr>
        <w:t xml:space="preserve"> (או שהטריפה מלוחה והכשרה תפילה)</w:t>
      </w:r>
      <w:r w:rsidRPr="00513D77">
        <w:rPr>
          <w:rFonts w:asciiTheme="minorBidi" w:hAnsiTheme="minorBidi" w:hint="cs"/>
          <w:u w:val="single"/>
          <w:rtl/>
        </w:rPr>
        <w:t xml:space="preserve"> </w:t>
      </w:r>
      <w:r w:rsidRPr="00513D77">
        <w:rPr>
          <w:rFonts w:asciiTheme="minorBidi" w:hAnsiTheme="minorBidi"/>
          <w:u w:val="single"/>
          <w:rtl/>
        </w:rPr>
        <w:t>- כמה נאסר</w:t>
      </w:r>
      <w:r w:rsidRPr="003024E5">
        <w:rPr>
          <w:rStyle w:val="a7"/>
          <w:rFonts w:asciiTheme="minorBidi" w:hAnsiTheme="minorBidi"/>
          <w:u w:val="single"/>
          <w:rtl/>
        </w:rPr>
        <w:footnoteReference w:id="366"/>
      </w:r>
      <w:r w:rsidRPr="00513D77">
        <w:rPr>
          <w:rFonts w:asciiTheme="minorBidi" w:hAnsiTheme="minorBidi"/>
          <w:u w:val="single"/>
          <w:rtl/>
        </w:rPr>
        <w:t>:</w:t>
      </w:r>
      <w:r w:rsidRPr="00513D77">
        <w:rPr>
          <w:rFonts w:asciiTheme="minorBidi" w:hAnsiTheme="minorBidi" w:hint="cs"/>
          <w:sz w:val="16"/>
          <w:szCs w:val="16"/>
          <w:rtl/>
        </w:rPr>
        <w:t xml:space="preserve"> </w:t>
      </w:r>
    </w:p>
    <w:p w14:paraId="7C880ACE" w14:textId="77777777" w:rsidR="002C39F4" w:rsidRPr="003024E5" w:rsidRDefault="002C39F4" w:rsidP="002C39F4">
      <w:pPr>
        <w:pStyle w:val="a8"/>
        <w:numPr>
          <w:ilvl w:val="0"/>
          <w:numId w:val="34"/>
        </w:numPr>
        <w:rPr>
          <w:rFonts w:asciiTheme="minorBidi" w:hAnsiTheme="minorBidi"/>
          <w:rtl/>
        </w:rPr>
      </w:pPr>
      <w:r w:rsidRPr="003024E5">
        <w:rPr>
          <w:rFonts w:asciiTheme="minorBidi" w:hAnsiTheme="minorBidi"/>
          <w:rtl/>
        </w:rPr>
        <w:t>תוס'</w:t>
      </w:r>
      <w:r w:rsidRPr="003024E5">
        <w:rPr>
          <w:rFonts w:asciiTheme="minorBidi" w:hAnsiTheme="minorBidi"/>
          <w:sz w:val="16"/>
          <w:szCs w:val="16"/>
          <w:rtl/>
        </w:rPr>
        <w:t xml:space="preserve"> </w:t>
      </w:r>
      <w:r w:rsidRPr="003024E5">
        <w:rPr>
          <w:rFonts w:asciiTheme="minorBidi" w:hAnsiTheme="minorBidi"/>
          <w:rtl/>
        </w:rPr>
        <w:t>רשב"א רא"ש וטור</w:t>
      </w:r>
      <w:r w:rsidRPr="003024E5">
        <w:rPr>
          <w:rStyle w:val="a7"/>
          <w:rFonts w:asciiTheme="minorBidi" w:hAnsiTheme="minorBidi"/>
          <w:rtl/>
        </w:rPr>
        <w:footnoteReference w:id="367"/>
      </w:r>
      <w:r w:rsidRPr="003024E5">
        <w:rPr>
          <w:rFonts w:asciiTheme="minorBidi" w:hAnsiTheme="minorBidi"/>
          <w:rtl/>
        </w:rPr>
        <w:t>- כדי קליפה</w:t>
      </w:r>
      <w:r w:rsidRPr="003024E5">
        <w:rPr>
          <w:rStyle w:val="a7"/>
          <w:rFonts w:asciiTheme="minorBidi" w:hAnsiTheme="minorBidi"/>
          <w:rtl/>
        </w:rPr>
        <w:footnoteReference w:id="368"/>
      </w:r>
      <w:r w:rsidRPr="003024E5">
        <w:rPr>
          <w:rFonts w:asciiTheme="minorBidi" w:hAnsiTheme="minorBidi"/>
          <w:rtl/>
        </w:rPr>
        <w:t xml:space="preserve">. </w:t>
      </w:r>
      <w:r w:rsidRPr="00513D77">
        <w:rPr>
          <w:rFonts w:asciiTheme="minorBidi" w:hAnsiTheme="minorBidi" w:hint="cs"/>
          <w:color w:val="E36C0A" w:themeColor="accent6" w:themeShade="BF"/>
          <w:rtl/>
        </w:rPr>
        <w:t>(וכ"</w:t>
      </w:r>
      <w:r>
        <w:rPr>
          <w:rFonts w:asciiTheme="minorBidi" w:hAnsiTheme="minorBidi" w:hint="cs"/>
          <w:color w:val="E36C0A" w:themeColor="accent6" w:themeShade="BF"/>
          <w:rtl/>
        </w:rPr>
        <w:t>ס</w:t>
      </w:r>
      <w:r w:rsidRPr="00513D77">
        <w:rPr>
          <w:rFonts w:asciiTheme="minorBidi" w:hAnsiTheme="minorBidi" w:hint="cs"/>
          <w:color w:val="E36C0A" w:themeColor="accent6" w:themeShade="BF"/>
          <w:rtl/>
        </w:rPr>
        <w:t xml:space="preserve"> בשו"ע</w:t>
      </w:r>
      <w:r w:rsidRPr="00513D77">
        <w:rPr>
          <w:rFonts w:asciiTheme="minorBidi" w:hAnsiTheme="minorBidi" w:hint="cs"/>
          <w:color w:val="E36C0A" w:themeColor="accent6" w:themeShade="BF"/>
          <w:sz w:val="16"/>
          <w:szCs w:val="16"/>
          <w:rtl/>
        </w:rPr>
        <w:t xml:space="preserve"> </w:t>
      </w:r>
      <w:r>
        <w:rPr>
          <w:rFonts w:asciiTheme="minorBidi" w:hAnsiTheme="minorBidi" w:hint="cs"/>
          <w:sz w:val="16"/>
          <w:szCs w:val="16"/>
          <w:rtl/>
        </w:rPr>
        <w:t>[כאן, ובסי' צא סע' ה פסק כן בהדיא]</w:t>
      </w:r>
      <w:r w:rsidRPr="00513D77">
        <w:rPr>
          <w:rFonts w:asciiTheme="minorBidi" w:hAnsiTheme="minorBidi" w:hint="cs"/>
          <w:color w:val="E36C0A" w:themeColor="accent6" w:themeShade="BF"/>
          <w:rtl/>
        </w:rPr>
        <w:t>)</w:t>
      </w:r>
    </w:p>
    <w:p w14:paraId="0A136AB7" w14:textId="77777777" w:rsidR="002C39F4" w:rsidRPr="003024E5" w:rsidRDefault="002C39F4" w:rsidP="002C39F4">
      <w:pPr>
        <w:pStyle w:val="a8"/>
        <w:numPr>
          <w:ilvl w:val="0"/>
          <w:numId w:val="34"/>
        </w:numPr>
        <w:rPr>
          <w:rFonts w:asciiTheme="minorBidi" w:hAnsiTheme="minorBidi"/>
        </w:rPr>
      </w:pPr>
      <w:r w:rsidRPr="003024E5">
        <w:rPr>
          <w:rFonts w:asciiTheme="minorBidi" w:hAnsiTheme="minorBidi"/>
          <w:rtl/>
        </w:rPr>
        <w:t xml:space="preserve">הרא"ה </w:t>
      </w:r>
      <w:r w:rsidRPr="003024E5">
        <w:rPr>
          <w:rFonts w:asciiTheme="minorBidi" w:hAnsiTheme="minorBidi"/>
          <w:sz w:val="16"/>
          <w:szCs w:val="16"/>
          <w:rtl/>
        </w:rPr>
        <w:t>(בדה"ב ב"ג ש"ג עה. ד"ה ומיהו)</w:t>
      </w:r>
      <w:r w:rsidRPr="003024E5">
        <w:rPr>
          <w:rFonts w:asciiTheme="minorBidi" w:hAnsiTheme="minorBidi"/>
          <w:rtl/>
        </w:rPr>
        <w:t>- כדי נטילה</w:t>
      </w:r>
      <w:r w:rsidRPr="003024E5">
        <w:rPr>
          <w:rStyle w:val="a7"/>
          <w:rFonts w:asciiTheme="minorBidi" w:hAnsiTheme="minorBidi"/>
          <w:rtl/>
        </w:rPr>
        <w:footnoteReference w:id="369"/>
      </w:r>
      <w:r w:rsidRPr="003024E5">
        <w:rPr>
          <w:rFonts w:asciiTheme="minorBidi" w:hAnsiTheme="minorBidi"/>
          <w:rtl/>
        </w:rPr>
        <w:t>.</w:t>
      </w:r>
      <w:r>
        <w:rPr>
          <w:rFonts w:asciiTheme="minorBidi" w:hAnsiTheme="minorBidi" w:hint="cs"/>
          <w:rtl/>
        </w:rPr>
        <w:t xml:space="preserve">  </w:t>
      </w:r>
    </w:p>
    <w:p w14:paraId="25F194EC" w14:textId="77777777" w:rsidR="002C39F4" w:rsidRPr="00B9274D" w:rsidRDefault="002C39F4" w:rsidP="002C39F4">
      <w:pPr>
        <w:pStyle w:val="a8"/>
        <w:numPr>
          <w:ilvl w:val="0"/>
          <w:numId w:val="34"/>
        </w:numPr>
        <w:rPr>
          <w:rFonts w:asciiTheme="minorBidi" w:hAnsiTheme="minorBidi"/>
          <w:rtl/>
        </w:rPr>
      </w:pPr>
      <w:r w:rsidRPr="003024E5">
        <w:rPr>
          <w:rFonts w:asciiTheme="minorBidi" w:hAnsiTheme="minorBidi"/>
          <w:rtl/>
        </w:rPr>
        <w:t>רמב"ן</w:t>
      </w:r>
      <w:r w:rsidRPr="003024E5">
        <w:rPr>
          <w:rFonts w:asciiTheme="minorBidi" w:hAnsiTheme="minorBidi"/>
          <w:sz w:val="16"/>
          <w:szCs w:val="16"/>
          <w:rtl/>
        </w:rPr>
        <w:t xml:space="preserve"> (מהדו' רייכמן חולין קיב: ד"ה ורבינ</w:t>
      </w:r>
      <w:r>
        <w:rPr>
          <w:rFonts w:asciiTheme="minorBidi" w:hAnsiTheme="minorBidi" w:hint="cs"/>
          <w:sz w:val="16"/>
          <w:szCs w:val="16"/>
          <w:rtl/>
        </w:rPr>
        <w:t>ו</w:t>
      </w:r>
      <w:r w:rsidRPr="003024E5">
        <w:rPr>
          <w:rFonts w:asciiTheme="minorBidi" w:hAnsiTheme="minorBidi"/>
          <w:sz w:val="16"/>
          <w:szCs w:val="16"/>
          <w:rtl/>
        </w:rPr>
        <w:t>)</w:t>
      </w:r>
      <w:r w:rsidRPr="003024E5">
        <w:rPr>
          <w:rFonts w:asciiTheme="minorBidi" w:hAnsiTheme="minorBidi"/>
          <w:rtl/>
        </w:rPr>
        <w:t>- הכל אסור, דהכא כוליה חיים מרוב טיפות מלוחות שהן חמות בעצמן</w:t>
      </w:r>
      <w:r w:rsidRPr="003024E5">
        <w:rPr>
          <w:rStyle w:val="a7"/>
          <w:rFonts w:asciiTheme="minorBidi" w:hAnsiTheme="minorBidi"/>
          <w:rtl/>
        </w:rPr>
        <w:footnoteReference w:id="370"/>
      </w:r>
      <w:r w:rsidRPr="00B9274D">
        <w:rPr>
          <w:rFonts w:asciiTheme="minorBidi" w:hAnsiTheme="minorBidi"/>
          <w:rtl/>
        </w:rPr>
        <w:t xml:space="preserve">. </w:t>
      </w:r>
    </w:p>
    <w:p w14:paraId="3FEADC2E" w14:textId="77777777" w:rsidR="002C39F4" w:rsidRPr="003024E5" w:rsidRDefault="002C39F4" w:rsidP="002C39F4">
      <w:pPr>
        <w:rPr>
          <w:rFonts w:asciiTheme="minorBidi" w:hAnsiTheme="minorBidi"/>
          <w:u w:val="single"/>
          <w:rtl/>
        </w:rPr>
      </w:pPr>
      <w:r w:rsidRPr="003024E5">
        <w:rPr>
          <w:rFonts w:asciiTheme="minorBidi" w:hAnsiTheme="minorBidi"/>
          <w:u w:val="single"/>
          <w:rtl/>
        </w:rPr>
        <w:t>"טהור מליח וטמא תפל מותר"</w:t>
      </w:r>
      <w:r>
        <w:rPr>
          <w:rFonts w:asciiTheme="minorBidi" w:hAnsiTheme="minorBidi" w:hint="cs"/>
          <w:u w:val="single"/>
          <w:rtl/>
        </w:rPr>
        <w:t>,</w:t>
      </w:r>
      <w:r w:rsidRPr="003024E5">
        <w:rPr>
          <w:rFonts w:asciiTheme="minorBidi" w:hAnsiTheme="minorBidi"/>
          <w:u w:val="single"/>
          <w:rtl/>
        </w:rPr>
        <w:t xml:space="preserve"> </w:t>
      </w:r>
      <w:r>
        <w:rPr>
          <w:rFonts w:asciiTheme="minorBidi" w:hAnsiTheme="minorBidi" w:hint="cs"/>
          <w:u w:val="single"/>
          <w:rtl/>
        </w:rPr>
        <w:t xml:space="preserve">האם מדובר בנוגעין זה בזה </w:t>
      </w:r>
      <w:r w:rsidRPr="00D96D4D">
        <w:rPr>
          <w:rFonts w:asciiTheme="minorBidi" w:hAnsiTheme="minorBidi" w:hint="cs"/>
          <w:sz w:val="16"/>
          <w:szCs w:val="16"/>
          <w:u w:val="single"/>
          <w:rtl/>
        </w:rPr>
        <w:t>(</w:t>
      </w:r>
      <w:r>
        <w:rPr>
          <w:rFonts w:asciiTheme="minorBidi" w:hAnsiTheme="minorBidi" w:hint="cs"/>
          <w:sz w:val="16"/>
          <w:szCs w:val="16"/>
          <w:u w:val="single"/>
          <w:rtl/>
        </w:rPr>
        <w:t xml:space="preserve">דא"כ </w:t>
      </w:r>
      <w:r w:rsidRPr="00D96D4D">
        <w:rPr>
          <w:rFonts w:asciiTheme="minorBidi" w:hAnsiTheme="minorBidi" w:hint="cs"/>
          <w:sz w:val="16"/>
          <w:szCs w:val="16"/>
          <w:u w:val="single"/>
          <w:rtl/>
        </w:rPr>
        <w:t>קשה ד</w:t>
      </w:r>
      <w:r w:rsidRPr="00D96D4D">
        <w:rPr>
          <w:rFonts w:asciiTheme="minorBidi" w:hAnsiTheme="minorBidi"/>
          <w:sz w:val="16"/>
          <w:szCs w:val="16"/>
          <w:u w:val="single"/>
          <w:rtl/>
        </w:rPr>
        <w:t xml:space="preserve">הרי כשהטהור </w:t>
      </w:r>
      <w:r w:rsidRPr="00D96D4D">
        <w:rPr>
          <w:rFonts w:asciiTheme="minorBidi" w:hAnsiTheme="minorBidi" w:hint="cs"/>
          <w:sz w:val="16"/>
          <w:szCs w:val="16"/>
          <w:u w:val="single"/>
          <w:rtl/>
        </w:rPr>
        <w:t>נוגע ב</w:t>
      </w:r>
      <w:r w:rsidRPr="00D96D4D">
        <w:rPr>
          <w:rFonts w:asciiTheme="minorBidi" w:hAnsiTheme="minorBidi"/>
          <w:sz w:val="16"/>
          <w:szCs w:val="16"/>
          <w:u w:val="single"/>
          <w:rtl/>
        </w:rPr>
        <w:t>טמא נמלח גם הטמא ממלח שעל הטהור</w:t>
      </w:r>
      <w:r>
        <w:rPr>
          <w:rFonts w:asciiTheme="minorBidi" w:hAnsiTheme="minorBidi" w:hint="cs"/>
          <w:sz w:val="16"/>
          <w:szCs w:val="16"/>
          <w:u w:val="single"/>
          <w:rtl/>
        </w:rPr>
        <w:t>)</w:t>
      </w:r>
      <w:r w:rsidRPr="003024E5">
        <w:rPr>
          <w:rFonts w:asciiTheme="minorBidi" w:hAnsiTheme="minorBidi"/>
          <w:u w:val="single"/>
          <w:rtl/>
        </w:rPr>
        <w:t>:</w:t>
      </w:r>
    </w:p>
    <w:p w14:paraId="300D9E43" w14:textId="77777777" w:rsidR="002C39F4" w:rsidRPr="00D96D4D" w:rsidRDefault="002C39F4" w:rsidP="002C39F4">
      <w:pPr>
        <w:pStyle w:val="a8"/>
        <w:numPr>
          <w:ilvl w:val="0"/>
          <w:numId w:val="35"/>
        </w:numPr>
        <w:rPr>
          <w:rFonts w:asciiTheme="minorBidi" w:hAnsiTheme="minorBidi"/>
        </w:rPr>
      </w:pPr>
      <w:r w:rsidRPr="003024E5">
        <w:rPr>
          <w:rFonts w:asciiTheme="minorBidi" w:hAnsiTheme="minorBidi"/>
          <w:rtl/>
        </w:rPr>
        <w:t>רשב"א רא"ש</w:t>
      </w:r>
      <w:r>
        <w:rPr>
          <w:rFonts w:asciiTheme="minorBidi" w:hAnsiTheme="minorBidi" w:hint="cs"/>
          <w:rtl/>
        </w:rPr>
        <w:t xml:space="preserve"> </w:t>
      </w:r>
      <w:r w:rsidRPr="003024E5">
        <w:rPr>
          <w:rFonts w:asciiTheme="minorBidi" w:hAnsiTheme="minorBidi"/>
          <w:rtl/>
        </w:rPr>
        <w:t>הג"א וטור</w:t>
      </w:r>
      <w:r>
        <w:rPr>
          <w:rStyle w:val="a7"/>
          <w:rFonts w:asciiTheme="minorBidi" w:hAnsiTheme="minorBidi"/>
          <w:rtl/>
        </w:rPr>
        <w:footnoteReference w:id="371"/>
      </w:r>
      <w:r>
        <w:rPr>
          <w:rFonts w:asciiTheme="minorBidi" w:hAnsiTheme="minorBidi" w:hint="cs"/>
          <w:rtl/>
        </w:rPr>
        <w:t>- מיירי בנוגעין זה בזה ואעפ"כ שרי,</w:t>
      </w:r>
      <w:r w:rsidRPr="003024E5">
        <w:rPr>
          <w:rFonts w:asciiTheme="minorBidi" w:hAnsiTheme="minorBidi"/>
          <w:rtl/>
        </w:rPr>
        <w:t xml:space="preserve"> </w:t>
      </w:r>
      <w:r>
        <w:rPr>
          <w:rFonts w:asciiTheme="minorBidi" w:hAnsiTheme="minorBidi" w:hint="cs"/>
          <w:rtl/>
        </w:rPr>
        <w:t>ד</w:t>
      </w:r>
      <w:r w:rsidRPr="003024E5">
        <w:rPr>
          <w:rFonts w:asciiTheme="minorBidi" w:hAnsiTheme="minorBidi"/>
          <w:rtl/>
        </w:rPr>
        <w:t>י"ל שנמלח מכל צדדין רק לא במקום שהוא דבוק לטמא, א"נ אחר שנמלח הטהור נגע לטמא ובמה שהוא נוגע בטמא אינו נחשב כרותח להיות פולט</w:t>
      </w:r>
      <w:r>
        <w:rPr>
          <w:rFonts w:asciiTheme="minorBidi" w:hAnsiTheme="minorBidi" w:hint="cs"/>
          <w:rtl/>
        </w:rPr>
        <w:t>,</w:t>
      </w:r>
      <w:r w:rsidRPr="003024E5">
        <w:rPr>
          <w:rFonts w:asciiTheme="minorBidi" w:hAnsiTheme="minorBidi"/>
          <w:rtl/>
        </w:rPr>
        <w:t xml:space="preserve"> דהבשר אינו יוצא מידי דמו עד שימלחנו יפה יפה</w:t>
      </w:r>
      <w:r>
        <w:rPr>
          <w:rFonts w:asciiTheme="minorBidi" w:hAnsiTheme="minorBidi" w:hint="cs"/>
          <w:sz w:val="16"/>
          <w:szCs w:val="16"/>
          <w:rtl/>
        </w:rPr>
        <w:t xml:space="preserve"> (ל' הרא"ש)</w:t>
      </w:r>
      <w:r w:rsidRPr="003024E5">
        <w:rPr>
          <w:rFonts w:asciiTheme="minorBidi" w:hAnsiTheme="minorBidi"/>
          <w:rtl/>
        </w:rPr>
        <w:t>.</w:t>
      </w:r>
      <w:r>
        <w:rPr>
          <w:rFonts w:asciiTheme="minorBidi" w:hAnsiTheme="minorBidi" w:hint="cs"/>
          <w:rtl/>
        </w:rPr>
        <w:t xml:space="preserve"> </w:t>
      </w:r>
      <w:r w:rsidRPr="00D96D4D">
        <w:rPr>
          <w:rFonts w:asciiTheme="minorBidi" w:hAnsiTheme="minorBidi"/>
          <w:rtl/>
        </w:rPr>
        <w:t>לפי שאין חום המלח גדול שיפליט החתיכה שלא נמלחה אע"פ שהחתיכה המלוחה נוגעת בה, אלא החתיכה המלוחה מבלעת את החתיכה התפלה מה שהיא פולטת, ואינה מפליטה ציר של עצמה אלא מעט, ואותו המועט אין בו כח להבלע בחתיכה המלוחה מפני שהחתיכה המלוחה פולטת וכל שהיא פולטת הרבה אינה בולעת אותו המועט</w:t>
      </w:r>
      <w:r>
        <w:rPr>
          <w:rFonts w:asciiTheme="minorBidi" w:hAnsiTheme="minorBidi" w:hint="cs"/>
          <w:rtl/>
        </w:rPr>
        <w:t xml:space="preserve"> </w:t>
      </w:r>
      <w:r w:rsidRPr="00D96D4D">
        <w:rPr>
          <w:rFonts w:asciiTheme="minorBidi" w:hAnsiTheme="minorBidi"/>
          <w:sz w:val="16"/>
          <w:szCs w:val="16"/>
          <w:rtl/>
        </w:rPr>
        <w:t>(ל' הרשב"א)</w:t>
      </w:r>
      <w:r w:rsidRPr="003024E5">
        <w:rPr>
          <w:rStyle w:val="a7"/>
          <w:rFonts w:asciiTheme="minorBidi" w:hAnsiTheme="minorBidi"/>
          <w:rtl/>
        </w:rPr>
        <w:footnoteReference w:id="372"/>
      </w:r>
      <w:r w:rsidRPr="00D96D4D">
        <w:rPr>
          <w:rFonts w:asciiTheme="minorBidi" w:hAnsiTheme="minorBidi"/>
          <w:rtl/>
        </w:rPr>
        <w:t xml:space="preserve">. </w:t>
      </w:r>
      <w:r w:rsidRPr="00D96D4D">
        <w:rPr>
          <w:rFonts w:asciiTheme="minorBidi" w:hAnsiTheme="minorBidi"/>
          <w:color w:val="E36C0A" w:themeColor="accent6" w:themeShade="BF"/>
          <w:rtl/>
        </w:rPr>
        <w:t>(וכ"ס בשו"ע)</w:t>
      </w:r>
    </w:p>
    <w:p w14:paraId="157D4A1B" w14:textId="77777777" w:rsidR="002C39F4" w:rsidRPr="003024E5" w:rsidRDefault="002C39F4" w:rsidP="002C39F4">
      <w:pPr>
        <w:pStyle w:val="a8"/>
        <w:numPr>
          <w:ilvl w:val="0"/>
          <w:numId w:val="35"/>
        </w:numPr>
        <w:rPr>
          <w:rFonts w:asciiTheme="minorBidi" w:hAnsiTheme="minorBidi"/>
          <w:rtl/>
        </w:rPr>
      </w:pPr>
      <w:r w:rsidRPr="003024E5">
        <w:rPr>
          <w:rFonts w:asciiTheme="minorBidi" w:hAnsiTheme="minorBidi"/>
          <w:rtl/>
        </w:rPr>
        <w:t>סה"ת</w:t>
      </w:r>
      <w:r w:rsidRPr="003024E5">
        <w:rPr>
          <w:rFonts w:asciiTheme="minorBidi" w:hAnsiTheme="minorBidi"/>
          <w:sz w:val="16"/>
          <w:szCs w:val="16"/>
          <w:rtl/>
        </w:rPr>
        <w:t xml:space="preserve"> </w:t>
      </w:r>
      <w:r w:rsidRPr="003024E5">
        <w:rPr>
          <w:rFonts w:asciiTheme="minorBidi" w:hAnsiTheme="minorBidi"/>
          <w:rtl/>
        </w:rPr>
        <w:t>ור"ן</w:t>
      </w:r>
      <w:r w:rsidRPr="003024E5">
        <w:rPr>
          <w:rStyle w:val="a7"/>
          <w:rFonts w:asciiTheme="minorBidi" w:hAnsiTheme="minorBidi"/>
          <w:rtl/>
        </w:rPr>
        <w:footnoteReference w:id="373"/>
      </w:r>
      <w:r w:rsidRPr="003024E5">
        <w:rPr>
          <w:rFonts w:asciiTheme="minorBidi" w:hAnsiTheme="minorBidi"/>
          <w:rtl/>
        </w:rPr>
        <w:t>- לאו בנוגעים זה בזה עסקינן אלא שעומדים בסמוך בכדי שפליטה של זה נוגעת בזה</w:t>
      </w:r>
      <w:r w:rsidRPr="003024E5">
        <w:rPr>
          <w:rStyle w:val="a7"/>
          <w:rFonts w:asciiTheme="minorBidi" w:hAnsiTheme="minorBidi"/>
          <w:rtl/>
        </w:rPr>
        <w:footnoteReference w:id="374"/>
      </w:r>
      <w:r w:rsidRPr="003024E5">
        <w:rPr>
          <w:rFonts w:asciiTheme="minorBidi" w:hAnsiTheme="minorBidi"/>
          <w:rtl/>
        </w:rPr>
        <w:t xml:space="preserve">. </w:t>
      </w:r>
    </w:p>
    <w:p w14:paraId="0290B884" w14:textId="77777777" w:rsidR="002C39F4" w:rsidRPr="003E3124" w:rsidRDefault="002C39F4" w:rsidP="002C39F4">
      <w:pPr>
        <w:rPr>
          <w:rFonts w:asciiTheme="minorBidi" w:hAnsiTheme="minorBidi"/>
          <w:u w:val="single"/>
          <w:rtl/>
        </w:rPr>
      </w:pPr>
      <w:r w:rsidRPr="003E3124">
        <w:rPr>
          <w:rFonts w:asciiTheme="minorBidi" w:hAnsiTheme="minorBidi"/>
          <w:u w:val="single"/>
          <w:rtl/>
        </w:rPr>
        <w:t xml:space="preserve">חֵלֶב צונן על דגים מלוחים: </w:t>
      </w:r>
    </w:p>
    <w:p w14:paraId="0503571B" w14:textId="77777777" w:rsidR="002C39F4" w:rsidRPr="003024E5" w:rsidRDefault="002C39F4" w:rsidP="002C39F4">
      <w:pPr>
        <w:pStyle w:val="a8"/>
        <w:numPr>
          <w:ilvl w:val="0"/>
          <w:numId w:val="36"/>
        </w:numPr>
        <w:rPr>
          <w:rFonts w:asciiTheme="minorBidi" w:hAnsiTheme="minorBidi"/>
          <w:rtl/>
        </w:rPr>
      </w:pPr>
      <w:r w:rsidRPr="003024E5">
        <w:rPr>
          <w:rFonts w:asciiTheme="minorBidi" w:hAnsiTheme="minorBidi"/>
          <w:rtl/>
        </w:rPr>
        <w:t>הגשע"ד</w:t>
      </w:r>
      <w:r w:rsidRPr="003024E5">
        <w:rPr>
          <w:rFonts w:asciiTheme="minorBidi" w:hAnsiTheme="minorBidi"/>
          <w:sz w:val="16"/>
          <w:szCs w:val="16"/>
          <w:rtl/>
        </w:rPr>
        <w:t xml:space="preserve"> (סי' כא סק"ו)</w:t>
      </w:r>
      <w:r w:rsidRPr="003024E5">
        <w:rPr>
          <w:rFonts w:asciiTheme="minorBidi" w:hAnsiTheme="minorBidi"/>
          <w:rtl/>
        </w:rPr>
        <w:t>- מעשה היה שנמצא חֵלֶב צונן על דגים מלוחים והתיר ר"י מפני שהוא טהור מלוח וטמא תפל, ואני מסופק דכיון שהחלב לח ורך כ"כ א"א שלא בלע פורתא, אבל רבי משולם כתב שגם החלב</w:t>
      </w:r>
      <w:r>
        <w:rPr>
          <w:rStyle w:val="a7"/>
          <w:rFonts w:asciiTheme="minorBidi" w:hAnsiTheme="minorBidi"/>
          <w:rtl/>
        </w:rPr>
        <w:footnoteReference w:id="375"/>
      </w:r>
      <w:r w:rsidRPr="003024E5">
        <w:rPr>
          <w:rFonts w:asciiTheme="minorBidi" w:hAnsiTheme="minorBidi"/>
          <w:rtl/>
        </w:rPr>
        <w:t xml:space="preserve"> מותר. </w:t>
      </w:r>
    </w:p>
    <w:p w14:paraId="6C314E4C" w14:textId="77777777" w:rsidR="002C39F4" w:rsidRPr="003024E5" w:rsidRDefault="002C39F4" w:rsidP="002C39F4">
      <w:pPr>
        <w:rPr>
          <w:rFonts w:asciiTheme="minorBidi" w:hAnsiTheme="minorBidi"/>
          <w:rtl/>
        </w:rPr>
      </w:pPr>
      <w:r w:rsidRPr="003024E5">
        <w:rPr>
          <w:rFonts w:asciiTheme="minorBidi" w:hAnsiTheme="minorBidi"/>
          <w:u w:val="single"/>
          <w:rtl/>
        </w:rPr>
        <w:t>בשר ועוף שנמלחו ושהו כדי מליחה בכלים שונים ולאחר שעירבו בניהם נמצא שאחד מהעופות טרפה:</w:t>
      </w:r>
      <w:r w:rsidRPr="003024E5">
        <w:rPr>
          <w:rFonts w:asciiTheme="minorBidi" w:hAnsiTheme="minorBidi"/>
          <w:rtl/>
        </w:rPr>
        <w:t xml:space="preserve"> </w:t>
      </w:r>
    </w:p>
    <w:p w14:paraId="3A959FE1" w14:textId="77777777" w:rsidR="002C39F4" w:rsidRDefault="002C39F4" w:rsidP="002C39F4">
      <w:pPr>
        <w:pStyle w:val="a8"/>
        <w:numPr>
          <w:ilvl w:val="0"/>
          <w:numId w:val="36"/>
        </w:numPr>
        <w:rPr>
          <w:rFonts w:asciiTheme="minorBidi" w:hAnsiTheme="minorBidi"/>
        </w:rPr>
      </w:pPr>
      <w:r w:rsidRPr="003024E5">
        <w:rPr>
          <w:rFonts w:asciiTheme="minorBidi" w:hAnsiTheme="minorBidi"/>
          <w:rtl/>
        </w:rPr>
        <w:t xml:space="preserve">תרוה"ד </w:t>
      </w:r>
      <w:r w:rsidRPr="003024E5">
        <w:rPr>
          <w:rFonts w:asciiTheme="minorBidi" w:hAnsiTheme="minorBidi"/>
          <w:sz w:val="16"/>
          <w:szCs w:val="16"/>
          <w:rtl/>
        </w:rPr>
        <w:t>(סי' קנט)</w:t>
      </w:r>
      <w:r w:rsidRPr="003024E5">
        <w:rPr>
          <w:rFonts w:asciiTheme="minorBidi" w:hAnsiTheme="minorBidi"/>
          <w:rtl/>
        </w:rPr>
        <w:t xml:space="preserve">- </w:t>
      </w:r>
      <w:r>
        <w:rPr>
          <w:rFonts w:asciiTheme="minorBidi" w:hAnsiTheme="minorBidi" w:cs="Arial" w:hint="cs"/>
          <w:rtl/>
        </w:rPr>
        <w:t xml:space="preserve">מעשה </w:t>
      </w:r>
      <w:r w:rsidRPr="003E3124">
        <w:rPr>
          <w:rFonts w:asciiTheme="minorBidi" w:hAnsiTheme="minorBidi" w:cs="Arial"/>
          <w:rtl/>
        </w:rPr>
        <w:t>בסעודת ברית מילה מלחו בשר הרבה מבקר ומצאן בכלי מנוקב אחד, ומלחו ג"כ בכלי אחר אווזות. ואחר ששהו הכל שיעור מליחה ויותר, כמו חצי יום לקחו האווזות המלוחות, ושמו אותן על הבשר המלוח, והפכו כל הבשר עם האווזות מלמעלה למטה ומלמטה למעלה, עד שנגעו הכל זה בזה. ונמצא אח"כ שאווזה אחת טריפה היתה, ואין ס' בכל הבשר אפילו כנגד אווזה אחת. יראה דבכה"ג לעת הצורך לסעודת מצוה המקיל לא הפסיד</w:t>
      </w:r>
      <w:r>
        <w:rPr>
          <w:rFonts w:asciiTheme="minorBidi" w:hAnsiTheme="minorBidi" w:cs="Arial" w:hint="cs"/>
          <w:rtl/>
        </w:rPr>
        <w:t>,</w:t>
      </w:r>
      <w:r w:rsidRPr="003E3124">
        <w:rPr>
          <w:rFonts w:asciiTheme="minorBidi" w:hAnsiTheme="minorBidi" w:cs="Arial"/>
          <w:rtl/>
        </w:rPr>
        <w:t xml:space="preserve"> </w:t>
      </w:r>
      <w:r>
        <w:rPr>
          <w:rFonts w:asciiTheme="minorBidi" w:hAnsiTheme="minorBidi" w:cs="Arial" w:hint="cs"/>
          <w:rtl/>
        </w:rPr>
        <w:t>ד</w:t>
      </w:r>
      <w:r w:rsidRPr="003E3124">
        <w:rPr>
          <w:rFonts w:asciiTheme="minorBidi" w:hAnsiTheme="minorBidi" w:cs="Arial"/>
          <w:rtl/>
        </w:rPr>
        <w:t xml:space="preserve">התוס' </w:t>
      </w:r>
      <w:r w:rsidRPr="006B0D04">
        <w:rPr>
          <w:rFonts w:asciiTheme="minorBidi" w:hAnsiTheme="minorBidi" w:cs="Arial" w:hint="cs"/>
          <w:sz w:val="16"/>
          <w:szCs w:val="16"/>
          <w:rtl/>
        </w:rPr>
        <w:t>(</w:t>
      </w:r>
      <w:r w:rsidRPr="006B0D04">
        <w:rPr>
          <w:rFonts w:asciiTheme="minorBidi" w:hAnsiTheme="minorBidi" w:cs="Arial"/>
          <w:sz w:val="16"/>
          <w:szCs w:val="16"/>
          <w:rtl/>
        </w:rPr>
        <w:t>חולין קיב ע"ב ד"ה ודגים רפו</w:t>
      </w:r>
      <w:r w:rsidRPr="006B0D04">
        <w:rPr>
          <w:rFonts w:asciiTheme="minorBidi" w:hAnsiTheme="minorBidi" w:cs="Arial" w:hint="cs"/>
          <w:sz w:val="16"/>
          <w:szCs w:val="16"/>
          <w:rtl/>
        </w:rPr>
        <w:t>)</w:t>
      </w:r>
      <w:r w:rsidRPr="003E3124">
        <w:rPr>
          <w:rFonts w:asciiTheme="minorBidi" w:hAnsiTheme="minorBidi" w:cs="Arial"/>
          <w:rtl/>
        </w:rPr>
        <w:t>, וכן ה</w:t>
      </w:r>
      <w:r>
        <w:rPr>
          <w:rFonts w:asciiTheme="minorBidi" w:hAnsiTheme="minorBidi" w:cs="Arial" w:hint="cs"/>
          <w:rtl/>
        </w:rPr>
        <w:t>רא"ש</w:t>
      </w:r>
      <w:r w:rsidRPr="003E3124">
        <w:rPr>
          <w:rFonts w:asciiTheme="minorBidi" w:hAnsiTheme="minorBidi" w:cs="Arial"/>
          <w:rtl/>
        </w:rPr>
        <w:t xml:space="preserve"> </w:t>
      </w:r>
      <w:r w:rsidRPr="003024E5">
        <w:rPr>
          <w:rFonts w:asciiTheme="minorBidi" w:hAnsiTheme="minorBidi"/>
          <w:sz w:val="16"/>
          <w:szCs w:val="16"/>
          <w:rtl/>
        </w:rPr>
        <w:t>(סי' לז)</w:t>
      </w:r>
      <w:r>
        <w:rPr>
          <w:rFonts w:asciiTheme="minorBidi" w:hAnsiTheme="minorBidi" w:cs="Arial" w:hint="cs"/>
          <w:rtl/>
        </w:rPr>
        <w:t xml:space="preserve"> </w:t>
      </w:r>
      <w:r w:rsidRPr="003E3124">
        <w:rPr>
          <w:rFonts w:asciiTheme="minorBidi" w:hAnsiTheme="minorBidi" w:cs="Arial"/>
          <w:rtl/>
        </w:rPr>
        <w:t>כתבו לחד שינויא, דהא דקי"ל דמלוח הרי הוא כרותח, היינו בזמן שיעור מליחה</w:t>
      </w:r>
      <w:r>
        <w:rPr>
          <w:rFonts w:asciiTheme="minorBidi" w:hAnsiTheme="minorBidi" w:cs="Arial" w:hint="cs"/>
          <w:rtl/>
        </w:rPr>
        <w:t>,</w:t>
      </w:r>
      <w:r w:rsidRPr="003E3124">
        <w:rPr>
          <w:rFonts w:asciiTheme="minorBidi" w:hAnsiTheme="minorBidi" w:cs="Arial"/>
          <w:rtl/>
        </w:rPr>
        <w:t xml:space="preserve"> אבל לאחר זמן שיעור מליחה סבר כבר פסק כוחו של מלח, ואינו חשוב עוד כרותח. וכ</w:t>
      </w:r>
      <w:r>
        <w:rPr>
          <w:rFonts w:asciiTheme="minorBidi" w:hAnsiTheme="minorBidi" w:cs="Arial" w:hint="cs"/>
          <w:rtl/>
        </w:rPr>
        <w:t>"כ</w:t>
      </w:r>
      <w:r w:rsidRPr="003E3124">
        <w:rPr>
          <w:rFonts w:asciiTheme="minorBidi" w:hAnsiTheme="minorBidi" w:cs="Arial"/>
          <w:rtl/>
        </w:rPr>
        <w:t xml:space="preserve"> בסמ"ג</w:t>
      </w:r>
      <w:r>
        <w:rPr>
          <w:rFonts w:asciiTheme="minorBidi" w:hAnsiTheme="minorBidi" w:cs="Arial" w:hint="cs"/>
          <w:rtl/>
        </w:rPr>
        <w:t xml:space="preserve"> </w:t>
      </w:r>
      <w:r w:rsidRPr="003024E5">
        <w:rPr>
          <w:rFonts w:asciiTheme="minorBidi" w:hAnsiTheme="minorBidi"/>
          <w:sz w:val="16"/>
          <w:szCs w:val="16"/>
          <w:rtl/>
        </w:rPr>
        <w:t>(לאוין קלז מח.)</w:t>
      </w:r>
      <w:r w:rsidRPr="003E3124">
        <w:rPr>
          <w:rFonts w:asciiTheme="minorBidi" w:hAnsiTheme="minorBidi" w:cs="Arial"/>
          <w:rtl/>
        </w:rPr>
        <w:t xml:space="preserve"> הך שינויא, וכתב עלה דטעם הגון הוא.</w:t>
      </w:r>
      <w:r>
        <w:rPr>
          <w:rFonts w:asciiTheme="minorBidi" w:hAnsiTheme="minorBidi" w:cs="Arial" w:hint="cs"/>
          <w:rtl/>
        </w:rPr>
        <w:t>...</w:t>
      </w:r>
      <w:r w:rsidRPr="003E3124">
        <w:rPr>
          <w:rFonts w:asciiTheme="minorBidi" w:hAnsiTheme="minorBidi" w:cs="Arial"/>
          <w:rtl/>
        </w:rPr>
        <w:t xml:space="preserve"> ובמרדכי בשם ראבי"ה כתב נמי דהא דאמרינן מלוח הרי הוא כרותח, זהו דווקא בעוד המלח בכוחו. אבל לאחר שנתמלאה מן הדם שמשך לחוץ פסק כחו והויא ליה כצונן.</w:t>
      </w:r>
      <w:r>
        <w:rPr>
          <w:rFonts w:asciiTheme="minorBidi" w:hAnsiTheme="minorBidi" w:cs="Arial" w:hint="cs"/>
          <w:rtl/>
        </w:rPr>
        <w:t xml:space="preserve">.. </w:t>
      </w:r>
      <w:r w:rsidRPr="003E3124">
        <w:rPr>
          <w:rFonts w:asciiTheme="minorBidi" w:hAnsiTheme="minorBidi" w:cs="Arial"/>
          <w:rtl/>
        </w:rPr>
        <w:t>מכל הני מילי נראה דיש להתיר בנ"ד, רצוני לומר כל הבשר שנגעו באווזות לאחר ששהו האווזות והבשר כשיעור מליחה, משום דהוי כצונן הנוגע בצונן, דלא בעי רק הדחה</w:t>
      </w:r>
      <w:r>
        <w:rPr>
          <w:rFonts w:asciiTheme="minorBidi" w:hAnsiTheme="minorBidi" w:cs="Arial" w:hint="cs"/>
          <w:rtl/>
        </w:rPr>
        <w:t>,</w:t>
      </w:r>
      <w:r w:rsidRPr="003E3124">
        <w:rPr>
          <w:rFonts w:asciiTheme="minorBidi" w:hAnsiTheme="minorBidi" w:cs="Arial"/>
          <w:rtl/>
        </w:rPr>
        <w:t xml:space="preserve"> </w:t>
      </w:r>
      <w:r>
        <w:rPr>
          <w:rFonts w:asciiTheme="minorBidi" w:hAnsiTheme="minorBidi" w:cs="Arial" w:hint="cs"/>
          <w:rtl/>
        </w:rPr>
        <w:t>ו</w:t>
      </w:r>
      <w:r w:rsidRPr="003E3124">
        <w:rPr>
          <w:rFonts w:asciiTheme="minorBidi" w:hAnsiTheme="minorBidi" w:cs="Arial"/>
          <w:rtl/>
        </w:rPr>
        <w:t>אין למחות ביד המיקל בכה"ג לצורך סעודת מצוה, ובדאיכא ג"כ הפסד מרובה כנ"ד</w:t>
      </w:r>
      <w:r>
        <w:rPr>
          <w:rFonts w:asciiTheme="minorBidi" w:hAnsiTheme="minorBidi" w:cs="Arial" w:hint="cs"/>
          <w:rtl/>
        </w:rPr>
        <w:t>..</w:t>
      </w:r>
      <w:r w:rsidRPr="003E3124">
        <w:rPr>
          <w:rFonts w:asciiTheme="minorBidi" w:hAnsiTheme="minorBidi" w:cs="Arial"/>
          <w:rtl/>
        </w:rPr>
        <w:t xml:space="preserve">. אפס אי קשה לן הא קשה לן, דבסמ"ג </w:t>
      </w:r>
      <w:r w:rsidRPr="003024E5">
        <w:rPr>
          <w:rFonts w:asciiTheme="minorBidi" w:hAnsiTheme="minorBidi"/>
          <w:sz w:val="16"/>
          <w:szCs w:val="16"/>
          <w:rtl/>
        </w:rPr>
        <w:t>(שם ע"ב)</w:t>
      </w:r>
      <w:r>
        <w:rPr>
          <w:rFonts w:asciiTheme="minorBidi" w:hAnsiTheme="minorBidi" w:cs="Arial" w:hint="cs"/>
          <w:rtl/>
        </w:rPr>
        <w:t xml:space="preserve"> </w:t>
      </w:r>
      <w:r w:rsidRPr="003E3124">
        <w:rPr>
          <w:rFonts w:asciiTheme="minorBidi" w:hAnsiTheme="minorBidi" w:cs="Arial"/>
          <w:rtl/>
        </w:rPr>
        <w:t>גופיה כתב וז"ל: ובשר וגבינה שנוגעים זה בזה כשהן לחים אם שניהם מלוחים ואינם יבישים שניהם אסורים. משמע בפשיטות אפי' לאחר שיעור מליחה איירי, מדלא מסיק אלא שהן יבשים. הא קמן דסמ"ג גופיה לא ס"ל דאותו טעם הגון. לכך אין נראה כלל להקל בענין זה, אלא לצורך גדול כדפרישית. דקשה ג"כ מאד לשבר דברי א</w:t>
      </w:r>
      <w:r>
        <w:rPr>
          <w:rFonts w:asciiTheme="minorBidi" w:hAnsiTheme="minorBidi" w:cs="Arial" w:hint="cs"/>
          <w:rtl/>
        </w:rPr>
        <w:t>ו</w:t>
      </w:r>
      <w:r w:rsidRPr="003E3124">
        <w:rPr>
          <w:rFonts w:asciiTheme="minorBidi" w:hAnsiTheme="minorBidi" w:cs="Arial"/>
          <w:rtl/>
        </w:rPr>
        <w:t xml:space="preserve">"ז </w:t>
      </w:r>
      <w:r w:rsidRPr="003024E5">
        <w:rPr>
          <w:rFonts w:asciiTheme="minorBidi" w:hAnsiTheme="minorBidi"/>
          <w:sz w:val="16"/>
          <w:szCs w:val="16"/>
          <w:rtl/>
        </w:rPr>
        <w:t xml:space="preserve">(ח"א סי' תסט) </w:t>
      </w:r>
      <w:r w:rsidRPr="003E3124">
        <w:rPr>
          <w:rFonts w:asciiTheme="minorBidi" w:hAnsiTheme="minorBidi" w:cs="Arial"/>
          <w:rtl/>
        </w:rPr>
        <w:t>דכתב בהדיא דחשיב כרותח אפילו יש זמן מרובה קצת שנמלחה</w:t>
      </w:r>
      <w:r>
        <w:rPr>
          <w:rStyle w:val="a7"/>
          <w:rFonts w:asciiTheme="minorBidi" w:hAnsiTheme="minorBidi" w:cs="Arial"/>
          <w:rtl/>
        </w:rPr>
        <w:footnoteReference w:id="376"/>
      </w:r>
      <w:r w:rsidRPr="003E3124">
        <w:rPr>
          <w:rFonts w:asciiTheme="minorBidi" w:hAnsiTheme="minorBidi" w:cs="Arial"/>
          <w:rtl/>
        </w:rPr>
        <w:t>.</w:t>
      </w:r>
    </w:p>
    <w:p w14:paraId="1923430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8CFE1B2" w14:textId="77777777" w:rsidR="002C39F4" w:rsidRPr="003024E5" w:rsidRDefault="002C39F4" w:rsidP="002C39F4">
      <w:pPr>
        <w:rPr>
          <w:rFonts w:asciiTheme="minorBidi" w:hAnsiTheme="minorBidi"/>
          <w:rtl/>
        </w:rPr>
      </w:pPr>
      <w:r w:rsidRPr="003024E5">
        <w:rPr>
          <w:rFonts w:asciiTheme="minorBidi" w:hAnsiTheme="minorBidi"/>
          <w:rtl/>
        </w:rPr>
        <w:t>בשר שחוטה שמלחו עם בשר טריפה</w:t>
      </w:r>
      <w:r w:rsidRPr="003024E5">
        <w:rPr>
          <w:rStyle w:val="a7"/>
          <w:rFonts w:asciiTheme="minorBidi" w:hAnsiTheme="minorBidi"/>
          <w:rtl/>
        </w:rPr>
        <w:footnoteReference w:id="377"/>
      </w:r>
      <w:r w:rsidRPr="003024E5">
        <w:rPr>
          <w:rFonts w:asciiTheme="minorBidi" w:hAnsiTheme="minorBidi"/>
          <w:rtl/>
        </w:rPr>
        <w:t xml:space="preserve"> או שהטריפה מלוחה וְהַכְּשֵירָה תפלה והם נוגעים זה בזה</w:t>
      </w:r>
      <w:r w:rsidRPr="003024E5">
        <w:rPr>
          <w:rStyle w:val="a7"/>
          <w:rFonts w:asciiTheme="minorBidi" w:hAnsiTheme="minorBidi"/>
          <w:rtl/>
        </w:rPr>
        <w:footnoteReference w:id="378"/>
      </w:r>
      <w:r w:rsidRPr="003024E5">
        <w:rPr>
          <w:rFonts w:asciiTheme="minorBidi" w:hAnsiTheme="minorBidi"/>
          <w:rtl/>
        </w:rPr>
        <w:t xml:space="preserve"> אסור כדי קליפה, שאע"פ שאינו בולע מדם הטריפה</w:t>
      </w:r>
      <w:r w:rsidRPr="003024E5">
        <w:rPr>
          <w:rStyle w:val="a7"/>
          <w:rFonts w:asciiTheme="minorBidi" w:hAnsiTheme="minorBidi"/>
          <w:rtl/>
        </w:rPr>
        <w:footnoteReference w:id="379"/>
      </w:r>
      <w:r w:rsidRPr="003024E5">
        <w:rPr>
          <w:rFonts w:asciiTheme="minorBidi" w:hAnsiTheme="minorBidi"/>
          <w:rtl/>
        </w:rPr>
        <w:t xml:space="preserve"> בולע מצירה, אבל אם הַכְּשֵירָה מלוחה והטריפה תפלה מותרת בהדחה</w:t>
      </w:r>
      <w:r w:rsidRPr="003024E5">
        <w:rPr>
          <w:rStyle w:val="a7"/>
          <w:rFonts w:asciiTheme="minorBidi" w:hAnsiTheme="minorBidi"/>
          <w:rtl/>
        </w:rPr>
        <w:footnoteReference w:id="380"/>
      </w:r>
      <w:r w:rsidRPr="003024E5">
        <w:rPr>
          <w:rFonts w:asciiTheme="minorBidi" w:hAnsiTheme="minorBidi"/>
          <w:rtl/>
        </w:rPr>
        <w:t xml:space="preserve"> בלא קליפה בין נתן כשירה למעלה בין נתנה למטה, ויש מי שאוסר בנוגעים זה בזה וסובר שלא הותרו אלא בעומדים בסמוך בכדי שפליטה של זה נוגעת בזה</w:t>
      </w:r>
      <w:r w:rsidRPr="003024E5">
        <w:rPr>
          <w:rStyle w:val="a7"/>
          <w:rFonts w:asciiTheme="minorBidi" w:hAnsiTheme="minorBidi"/>
          <w:rtl/>
        </w:rPr>
        <w:footnoteReference w:id="381"/>
      </w:r>
      <w:r w:rsidRPr="003024E5">
        <w:rPr>
          <w:rFonts w:asciiTheme="minorBidi" w:hAnsiTheme="minorBidi"/>
          <w:rtl/>
        </w:rPr>
        <w:t xml:space="preserve">. </w:t>
      </w:r>
      <w:r w:rsidRPr="003024E5">
        <w:rPr>
          <w:rFonts w:asciiTheme="minorBidi" w:hAnsiTheme="minorBidi"/>
          <w:sz w:val="18"/>
          <w:szCs w:val="18"/>
          <w:rtl/>
        </w:rPr>
        <w:t>הגה: וכשהטריפה מלוח וכשר תפל אפילו בכהאי גונא</w:t>
      </w:r>
      <w:r w:rsidRPr="003024E5">
        <w:rPr>
          <w:rStyle w:val="a7"/>
          <w:rFonts w:asciiTheme="minorBidi" w:hAnsiTheme="minorBidi"/>
          <w:sz w:val="18"/>
          <w:szCs w:val="18"/>
          <w:rtl/>
        </w:rPr>
        <w:footnoteReference w:id="382"/>
      </w:r>
      <w:r w:rsidRPr="003024E5">
        <w:rPr>
          <w:rFonts w:asciiTheme="minorBidi" w:hAnsiTheme="minorBidi"/>
          <w:sz w:val="18"/>
          <w:szCs w:val="18"/>
          <w:rtl/>
        </w:rPr>
        <w:t xml:space="preserve"> אסור</w:t>
      </w:r>
      <w:r w:rsidRPr="003024E5">
        <w:rPr>
          <w:rStyle w:val="a7"/>
          <w:rFonts w:asciiTheme="minorBidi" w:hAnsiTheme="minorBidi"/>
          <w:sz w:val="18"/>
          <w:szCs w:val="18"/>
          <w:rtl/>
        </w:rPr>
        <w:footnoteReference w:id="383"/>
      </w:r>
      <w:r w:rsidRPr="003024E5">
        <w:rPr>
          <w:rFonts w:asciiTheme="minorBidi" w:hAnsiTheme="minorBidi"/>
          <w:sz w:val="18"/>
          <w:szCs w:val="18"/>
          <w:rtl/>
        </w:rPr>
        <w:t>, וע"ל סי</w:t>
      </w:r>
      <w:r>
        <w:rPr>
          <w:rFonts w:asciiTheme="minorBidi" w:hAnsiTheme="minorBidi" w:hint="cs"/>
          <w:sz w:val="18"/>
          <w:szCs w:val="18"/>
          <w:rtl/>
        </w:rPr>
        <w:t>'</w:t>
      </w:r>
      <w:r w:rsidRPr="003024E5">
        <w:rPr>
          <w:rFonts w:asciiTheme="minorBidi" w:hAnsiTheme="minorBidi"/>
          <w:sz w:val="18"/>
          <w:szCs w:val="18"/>
          <w:rtl/>
        </w:rPr>
        <w:t xml:space="preserve"> קה מאלו דינים</w:t>
      </w:r>
      <w:r w:rsidRPr="003024E5">
        <w:rPr>
          <w:rStyle w:val="a7"/>
          <w:rFonts w:asciiTheme="minorBidi" w:hAnsiTheme="minorBidi"/>
          <w:sz w:val="18"/>
          <w:szCs w:val="18"/>
          <w:rtl/>
        </w:rPr>
        <w:footnoteReference w:id="384"/>
      </w:r>
      <w:r w:rsidRPr="003024E5">
        <w:rPr>
          <w:rFonts w:asciiTheme="minorBidi" w:hAnsiTheme="minorBidi"/>
          <w:sz w:val="18"/>
          <w:szCs w:val="18"/>
          <w:rtl/>
        </w:rPr>
        <w:t xml:space="preserve">. </w:t>
      </w:r>
    </w:p>
    <w:p w14:paraId="5A126EA9" w14:textId="77777777" w:rsidR="002C39F4" w:rsidRPr="003024E5" w:rsidRDefault="002C39F4" w:rsidP="002C39F4">
      <w:pPr>
        <w:rPr>
          <w:rFonts w:asciiTheme="minorBidi" w:hAnsiTheme="minorBidi"/>
          <w:rtl/>
        </w:rPr>
      </w:pPr>
    </w:p>
    <w:p w14:paraId="102C331F" w14:textId="77777777" w:rsidR="002C39F4" w:rsidRPr="003024E5" w:rsidRDefault="002C39F4" w:rsidP="002C39F4">
      <w:pPr>
        <w:pStyle w:val="2"/>
        <w:rPr>
          <w:rFonts w:asciiTheme="minorBidi" w:hAnsiTheme="minorBidi"/>
          <w:rtl/>
        </w:rPr>
      </w:pPr>
      <w:r w:rsidRPr="003024E5">
        <w:rPr>
          <w:rFonts w:asciiTheme="minorBidi" w:hAnsiTheme="minorBidi"/>
          <w:rtl/>
        </w:rPr>
        <w:t>סעיף ד: בשר טריפה ובשר כשרה שנמלחו יחד- ואחת מהן שמנה.</w:t>
      </w:r>
    </w:p>
    <w:p w14:paraId="0AB1EB0E" w14:textId="77777777" w:rsidR="002C39F4" w:rsidRPr="000C72D2" w:rsidRDefault="002C39F4" w:rsidP="002C39F4">
      <w:pPr>
        <w:rPr>
          <w:rFonts w:cs="Arial"/>
          <w:sz w:val="16"/>
          <w:szCs w:val="16"/>
          <w:rtl/>
        </w:rPr>
      </w:pPr>
      <w:r>
        <w:rPr>
          <w:rStyle w:val="a7"/>
          <w:u w:val="single"/>
          <w:rtl/>
        </w:rPr>
        <w:footnoteReference w:id="385"/>
      </w:r>
      <w:r w:rsidRPr="00913D93">
        <w:rPr>
          <w:rFonts w:hint="cs"/>
          <w:u w:val="single"/>
          <w:rtl/>
        </w:rPr>
        <w:t xml:space="preserve">האם יש חילוק בין </w:t>
      </w:r>
      <w:r>
        <w:rPr>
          <w:rFonts w:hint="cs"/>
          <w:u w:val="single"/>
          <w:rtl/>
        </w:rPr>
        <w:t xml:space="preserve">אם </w:t>
      </w:r>
      <w:r w:rsidRPr="00913D93">
        <w:rPr>
          <w:rFonts w:hint="cs"/>
          <w:u w:val="single"/>
          <w:rtl/>
        </w:rPr>
        <w:t xml:space="preserve">ההיתר התפל למטה לבין </w:t>
      </w:r>
      <w:r>
        <w:rPr>
          <w:rFonts w:hint="cs"/>
          <w:u w:val="single"/>
          <w:rtl/>
        </w:rPr>
        <w:t xml:space="preserve">אם </w:t>
      </w:r>
      <w:r w:rsidRPr="00913D93">
        <w:rPr>
          <w:rFonts w:hint="cs"/>
          <w:u w:val="single"/>
          <w:rtl/>
        </w:rPr>
        <w:t>האיסור המל</w:t>
      </w:r>
      <w:r>
        <w:rPr>
          <w:rFonts w:hint="cs"/>
          <w:u w:val="single"/>
          <w:rtl/>
        </w:rPr>
        <w:t>ו</w:t>
      </w:r>
      <w:r w:rsidRPr="00913D93">
        <w:rPr>
          <w:rFonts w:hint="cs"/>
          <w:u w:val="single"/>
          <w:rtl/>
        </w:rPr>
        <w:t>ח למטה:</w:t>
      </w:r>
      <w:r>
        <w:rPr>
          <w:rFonts w:cs="Arial" w:hint="cs"/>
          <w:sz w:val="16"/>
          <w:szCs w:val="16"/>
          <w:rtl/>
        </w:rPr>
        <w:t xml:space="preserve">   (הועתק מסי' קה סע' יא)</w:t>
      </w:r>
    </w:p>
    <w:p w14:paraId="669333CD" w14:textId="77777777" w:rsidR="002C39F4" w:rsidRPr="00711EB1" w:rsidRDefault="002C39F4" w:rsidP="002C39F4">
      <w:pPr>
        <w:pStyle w:val="a8"/>
        <w:numPr>
          <w:ilvl w:val="0"/>
          <w:numId w:val="92"/>
        </w:numPr>
        <w:rPr>
          <w:rFonts w:cs="Arial"/>
        </w:rPr>
      </w:pPr>
      <w:r w:rsidRPr="00913D93">
        <w:rPr>
          <w:rFonts w:cs="Arial"/>
          <w:rtl/>
        </w:rPr>
        <w:t>רשב"א</w:t>
      </w:r>
      <w:r>
        <w:rPr>
          <w:rStyle w:val="a7"/>
          <w:rFonts w:cs="Arial"/>
          <w:rtl/>
        </w:rPr>
        <w:footnoteReference w:id="386"/>
      </w:r>
      <w:r w:rsidRPr="00913D93">
        <w:rPr>
          <w:rFonts w:cs="Arial" w:hint="cs"/>
          <w:rtl/>
        </w:rPr>
        <w:t>-</w:t>
      </w:r>
      <w:r w:rsidRPr="00913D93">
        <w:rPr>
          <w:rFonts w:cs="Arial"/>
          <w:rtl/>
        </w:rPr>
        <w:t xml:space="preserve"> </w:t>
      </w:r>
      <w:r>
        <w:rPr>
          <w:rFonts w:cs="Arial"/>
          <w:rtl/>
        </w:rPr>
        <w:t>דברים אלו שאמרנו יראה לי דוקא בשהיה הטמא המלוח למטה והטהור הטפל למעלה לפי שהתחתון גובר ומחמם את העליון ומבליעו</w:t>
      </w:r>
      <w:r>
        <w:rPr>
          <w:rFonts w:cs="Arial" w:hint="cs"/>
          <w:rtl/>
        </w:rPr>
        <w:t>,</w:t>
      </w:r>
      <w:r>
        <w:rPr>
          <w:rFonts w:cs="Arial"/>
          <w:rtl/>
        </w:rPr>
        <w:t xml:space="preserve"> אבל אם היה הטהור התפל למטה והטמא המלוח למעלה אינו אוסר את התחתון אלא כדי קליפה</w:t>
      </w:r>
      <w:r>
        <w:rPr>
          <w:rFonts w:cs="Arial" w:hint="cs"/>
          <w:rtl/>
        </w:rPr>
        <w:t>,</w:t>
      </w:r>
      <w:r>
        <w:rPr>
          <w:rFonts w:cs="Arial"/>
          <w:rtl/>
        </w:rPr>
        <w:t xml:space="preserve"> ובד"א כשהיה הטמא שמן</w:t>
      </w:r>
      <w:r>
        <w:rPr>
          <w:rFonts w:cs="Arial" w:hint="cs"/>
          <w:rtl/>
        </w:rPr>
        <w:t>,</w:t>
      </w:r>
      <w:r>
        <w:rPr>
          <w:rFonts w:cs="Arial"/>
          <w:rtl/>
        </w:rPr>
        <w:t xml:space="preserve"> לפי שהשומן מפעפע ואפי' ע"י צלי ואפילו ע"י מליחה ונבלע בכל ההיתר ואוסר את כולו אא</w:t>
      </w:r>
      <w:r>
        <w:rPr>
          <w:rFonts w:cs="Arial" w:hint="cs"/>
          <w:rtl/>
        </w:rPr>
        <w:t>"</w:t>
      </w:r>
      <w:r>
        <w:rPr>
          <w:rFonts w:cs="Arial"/>
          <w:rtl/>
        </w:rPr>
        <w:t>כ יש בו ס' של היתר כנגד כל האיסור</w:t>
      </w:r>
      <w:r>
        <w:rPr>
          <w:rFonts w:cs="Arial" w:hint="cs"/>
          <w:rtl/>
        </w:rPr>
        <w:t>,</w:t>
      </w:r>
      <w:r>
        <w:rPr>
          <w:rFonts w:cs="Arial"/>
          <w:rtl/>
        </w:rPr>
        <w:t xml:space="preserve"> אבל אם אין הטמא שמן אע</w:t>
      </w:r>
      <w:r>
        <w:rPr>
          <w:rFonts w:cs="Arial" w:hint="cs"/>
          <w:rtl/>
        </w:rPr>
        <w:t>"</w:t>
      </w:r>
      <w:r>
        <w:rPr>
          <w:rFonts w:cs="Arial"/>
          <w:rtl/>
        </w:rPr>
        <w:t>פ שהוא למטה והטהור למעלה אינו אוסר אלא כדי קליפה לפי שאין בו כח לפעפע לא ע"י צלי ולא ע"י מליחה</w:t>
      </w:r>
      <w:r>
        <w:rPr>
          <w:rFonts w:cs="Arial" w:hint="cs"/>
          <w:rtl/>
        </w:rPr>
        <w:t>,</w:t>
      </w:r>
      <w:r>
        <w:rPr>
          <w:rFonts w:cs="Arial"/>
          <w:rtl/>
        </w:rPr>
        <w:t xml:space="preserve"> לפי שאין המליח כרותח של מבושל אלא כרותח של צלי</w:t>
      </w:r>
      <w:r>
        <w:rPr>
          <w:rStyle w:val="a7"/>
          <w:rFonts w:cs="Arial"/>
          <w:rtl/>
        </w:rPr>
        <w:footnoteReference w:id="387"/>
      </w:r>
      <w:r w:rsidRPr="00913D93">
        <w:rPr>
          <w:rFonts w:cs="Arial" w:hint="cs"/>
          <w:rtl/>
        </w:rPr>
        <w:t>.</w:t>
      </w:r>
      <w:r w:rsidRPr="002C4273">
        <w:rPr>
          <w:rFonts w:cs="Arial"/>
          <w:color w:val="E36C0A" w:themeColor="accent6" w:themeShade="BF"/>
          <w:rtl/>
        </w:rPr>
        <w:t xml:space="preserve"> </w:t>
      </w:r>
      <w:r w:rsidRPr="002C4273">
        <w:rPr>
          <w:rFonts w:cs="Arial" w:hint="cs"/>
          <w:color w:val="E36C0A" w:themeColor="accent6" w:themeShade="BF"/>
          <w:rtl/>
        </w:rPr>
        <w:t>(וכ"פ בשו"ע</w:t>
      </w:r>
      <w:r>
        <w:rPr>
          <w:rFonts w:cs="Arial" w:hint="cs"/>
          <w:sz w:val="16"/>
          <w:szCs w:val="16"/>
          <w:rtl/>
        </w:rPr>
        <w:t xml:space="preserve"> [כאן ובסי' קה סי"א]</w:t>
      </w:r>
      <w:r w:rsidRPr="002C4273">
        <w:rPr>
          <w:rFonts w:cs="Arial" w:hint="cs"/>
          <w:color w:val="E36C0A" w:themeColor="accent6" w:themeShade="BF"/>
          <w:rtl/>
        </w:rPr>
        <w:t>)</w:t>
      </w:r>
    </w:p>
    <w:p w14:paraId="383736C2" w14:textId="77777777" w:rsidR="002C39F4" w:rsidRPr="00711EB1" w:rsidRDefault="002C39F4" w:rsidP="002C39F4">
      <w:pPr>
        <w:pStyle w:val="a8"/>
        <w:numPr>
          <w:ilvl w:val="0"/>
          <w:numId w:val="92"/>
        </w:numPr>
        <w:rPr>
          <w:rFonts w:cs="Arial"/>
          <w:rtl/>
        </w:rPr>
      </w:pPr>
      <w:r w:rsidRPr="00711EB1">
        <w:rPr>
          <w:rFonts w:cs="Arial"/>
          <w:rtl/>
        </w:rPr>
        <w:t>ר"י תוס</w:t>
      </w:r>
      <w:r w:rsidRPr="00711EB1">
        <w:rPr>
          <w:rFonts w:cs="Arial" w:hint="cs"/>
          <w:rtl/>
        </w:rPr>
        <w:t>'</w:t>
      </w:r>
      <w:r w:rsidRPr="00711EB1">
        <w:rPr>
          <w:rFonts w:cs="Arial"/>
          <w:rtl/>
        </w:rPr>
        <w:t xml:space="preserve"> ס</w:t>
      </w:r>
      <w:r w:rsidRPr="00711EB1">
        <w:rPr>
          <w:rFonts w:cs="Arial" w:hint="cs"/>
          <w:rtl/>
        </w:rPr>
        <w:t>ה"ת</w:t>
      </w:r>
      <w:r w:rsidRPr="00711EB1">
        <w:rPr>
          <w:rFonts w:cs="Arial"/>
          <w:sz w:val="16"/>
          <w:szCs w:val="16"/>
          <w:rtl/>
        </w:rPr>
        <w:t xml:space="preserve"> </w:t>
      </w:r>
      <w:r w:rsidRPr="00711EB1">
        <w:rPr>
          <w:rFonts w:cs="Arial"/>
          <w:rtl/>
        </w:rPr>
        <w:t>רא"ש הגה</w:t>
      </w:r>
      <w:r w:rsidRPr="00711EB1">
        <w:rPr>
          <w:rFonts w:cs="Arial" w:hint="cs"/>
          <w:rtl/>
        </w:rPr>
        <w:t xml:space="preserve">"מ </w:t>
      </w:r>
      <w:r w:rsidRPr="00711EB1">
        <w:rPr>
          <w:rFonts w:cs="Arial"/>
          <w:rtl/>
        </w:rPr>
        <w:t>בשם סמ"ק</w:t>
      </w:r>
      <w:r w:rsidRPr="00711EB1">
        <w:rPr>
          <w:rFonts w:cs="Arial" w:hint="cs"/>
          <w:sz w:val="16"/>
          <w:szCs w:val="16"/>
          <w:rtl/>
        </w:rPr>
        <w:t xml:space="preserve"> </w:t>
      </w:r>
      <w:r w:rsidRPr="00711EB1">
        <w:rPr>
          <w:rFonts w:cs="Arial" w:hint="cs"/>
          <w:rtl/>
        </w:rPr>
        <w:t>וטור</w:t>
      </w:r>
      <w:r w:rsidRPr="002C4273">
        <w:rPr>
          <w:rStyle w:val="a7"/>
          <w:rFonts w:cs="Arial"/>
          <w:rtl/>
        </w:rPr>
        <w:footnoteReference w:id="388"/>
      </w:r>
      <w:r w:rsidRPr="00711EB1">
        <w:rPr>
          <w:rFonts w:cs="Arial" w:hint="cs"/>
          <w:rtl/>
        </w:rPr>
        <w:t xml:space="preserve">- </w:t>
      </w:r>
      <w:r w:rsidRPr="00711EB1">
        <w:rPr>
          <w:rFonts w:cs="Arial"/>
          <w:rtl/>
        </w:rPr>
        <w:t>אין חילוק</w:t>
      </w:r>
      <w:r w:rsidRPr="00711EB1">
        <w:rPr>
          <w:rFonts w:cs="Arial" w:hint="cs"/>
          <w:rtl/>
        </w:rPr>
        <w:t>,</w:t>
      </w:r>
      <w:r w:rsidRPr="00711EB1">
        <w:rPr>
          <w:rFonts w:cs="Arial"/>
          <w:rtl/>
        </w:rPr>
        <w:t xml:space="preserve"> דכיון שהוא חם ע"י מליחה אין חילוק בין תתאה לעילאה אלא בכל ענין שהאיסור מלוח מבליע בהיתר התפל</w:t>
      </w:r>
      <w:r w:rsidRPr="002D2317">
        <w:rPr>
          <w:rStyle w:val="a7"/>
          <w:rFonts w:cs="Arial"/>
          <w:rtl/>
        </w:rPr>
        <w:footnoteReference w:id="389"/>
      </w:r>
      <w:r w:rsidRPr="00711EB1">
        <w:rPr>
          <w:rFonts w:cs="Arial" w:hint="cs"/>
          <w:sz w:val="16"/>
          <w:szCs w:val="16"/>
          <w:rtl/>
        </w:rPr>
        <w:t>(ל' הטור)</w:t>
      </w:r>
      <w:r w:rsidRPr="00711EB1">
        <w:rPr>
          <w:rFonts w:cs="Arial" w:hint="cs"/>
          <w:rtl/>
        </w:rPr>
        <w:t>.</w:t>
      </w:r>
      <w:r>
        <w:rPr>
          <w:rFonts w:hint="cs"/>
          <w:rtl/>
        </w:rPr>
        <w:t xml:space="preserve"> </w:t>
      </w:r>
      <w:r w:rsidRPr="00711EB1">
        <w:rPr>
          <w:rFonts w:hint="cs"/>
          <w:color w:val="00B0F0"/>
          <w:rtl/>
        </w:rPr>
        <w:t xml:space="preserve">(וכ"פ הרמ"א </w:t>
      </w:r>
      <w:r w:rsidRPr="00711EB1">
        <w:rPr>
          <w:rFonts w:cs="Arial" w:hint="cs"/>
          <w:sz w:val="16"/>
          <w:szCs w:val="16"/>
          <w:rtl/>
        </w:rPr>
        <w:t>[סי' קה סי</w:t>
      </w:r>
      <w:r>
        <w:rPr>
          <w:rFonts w:cs="Arial" w:hint="cs"/>
          <w:sz w:val="16"/>
          <w:szCs w:val="16"/>
          <w:rtl/>
        </w:rPr>
        <w:t>"</w:t>
      </w:r>
      <w:r w:rsidRPr="00711EB1">
        <w:rPr>
          <w:rFonts w:cs="Arial" w:hint="cs"/>
          <w:sz w:val="16"/>
          <w:szCs w:val="16"/>
          <w:rtl/>
        </w:rPr>
        <w:t>א]</w:t>
      </w:r>
      <w:r w:rsidRPr="00711EB1">
        <w:rPr>
          <w:rFonts w:hint="cs"/>
          <w:color w:val="00B0F0"/>
          <w:rtl/>
        </w:rPr>
        <w:t>)</w:t>
      </w:r>
    </w:p>
    <w:p w14:paraId="393C90E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3900BB7" w14:textId="77777777" w:rsidR="002C39F4" w:rsidRPr="003024E5" w:rsidRDefault="002C39F4" w:rsidP="002C39F4">
      <w:pPr>
        <w:rPr>
          <w:rFonts w:asciiTheme="minorBidi" w:hAnsiTheme="minorBidi"/>
          <w:rtl/>
        </w:rPr>
      </w:pPr>
      <w:r w:rsidRPr="003024E5">
        <w:rPr>
          <w:rFonts w:asciiTheme="minorBidi" w:hAnsiTheme="minorBidi"/>
          <w:rtl/>
        </w:rPr>
        <w:t>הא דאמרינן דאינו אוסר אלא כדי קליפה היינו כששתיהן כחושות, אבל אם אחת מהן שמינה</w:t>
      </w:r>
      <w:r>
        <w:rPr>
          <w:rFonts w:asciiTheme="minorBidi" w:hAnsiTheme="minorBidi" w:hint="cs"/>
          <w:rtl/>
        </w:rPr>
        <w:t>,</w:t>
      </w:r>
      <w:r w:rsidRPr="003024E5">
        <w:rPr>
          <w:rFonts w:asciiTheme="minorBidi" w:hAnsiTheme="minorBidi"/>
          <w:rtl/>
        </w:rPr>
        <w:t xml:space="preserve"> אפילו אם חתיכת הטריפה כחושה וחתיכת הכשירה שמינה</w:t>
      </w:r>
      <w:r>
        <w:rPr>
          <w:rFonts w:asciiTheme="minorBidi" w:hAnsiTheme="minorBidi" w:hint="cs"/>
          <w:rtl/>
        </w:rPr>
        <w:t>,</w:t>
      </w:r>
      <w:r w:rsidRPr="003024E5">
        <w:rPr>
          <w:rFonts w:asciiTheme="minorBidi" w:hAnsiTheme="minorBidi"/>
          <w:rtl/>
        </w:rPr>
        <w:t xml:space="preserve"> מפעפע האיסור בכולה</w:t>
      </w:r>
      <w:r w:rsidRPr="003024E5">
        <w:rPr>
          <w:rStyle w:val="a7"/>
          <w:rFonts w:asciiTheme="minorBidi" w:hAnsiTheme="minorBidi"/>
          <w:rtl/>
        </w:rPr>
        <w:footnoteReference w:id="390"/>
      </w:r>
      <w:r w:rsidRPr="003024E5">
        <w:rPr>
          <w:rFonts w:asciiTheme="minorBidi" w:hAnsiTheme="minorBidi"/>
          <w:rtl/>
        </w:rPr>
        <w:t xml:space="preserve"> אם היתה הטריפה המלוחה למטה</w:t>
      </w:r>
      <w:r w:rsidRPr="003024E5">
        <w:rPr>
          <w:rStyle w:val="a7"/>
          <w:rFonts w:asciiTheme="minorBidi" w:hAnsiTheme="minorBidi"/>
          <w:rtl/>
        </w:rPr>
        <w:footnoteReference w:id="391"/>
      </w:r>
      <w:r w:rsidRPr="003024E5">
        <w:rPr>
          <w:rFonts w:asciiTheme="minorBidi" w:hAnsiTheme="minorBidi"/>
          <w:rtl/>
        </w:rPr>
        <w:t xml:space="preserve"> משום דתתאה גבר.</w:t>
      </w:r>
      <w:r w:rsidRPr="003024E5">
        <w:rPr>
          <w:rFonts w:asciiTheme="minorBidi" w:hAnsiTheme="minorBidi"/>
          <w:sz w:val="18"/>
          <w:szCs w:val="18"/>
          <w:rtl/>
        </w:rPr>
        <w:t xml:space="preserve"> [הגה] ועיין לקמן סי</w:t>
      </w:r>
      <w:r>
        <w:rPr>
          <w:rFonts w:asciiTheme="minorBidi" w:hAnsiTheme="minorBidi" w:hint="cs"/>
          <w:sz w:val="18"/>
          <w:szCs w:val="18"/>
          <w:rtl/>
        </w:rPr>
        <w:t>'</w:t>
      </w:r>
      <w:r w:rsidRPr="003024E5">
        <w:rPr>
          <w:rFonts w:asciiTheme="minorBidi" w:hAnsiTheme="minorBidi"/>
          <w:sz w:val="18"/>
          <w:szCs w:val="18"/>
          <w:rtl/>
        </w:rPr>
        <w:t xml:space="preserve"> קה כיצד נוהגין</w:t>
      </w:r>
      <w:r w:rsidRPr="003024E5">
        <w:rPr>
          <w:rStyle w:val="a7"/>
          <w:rFonts w:asciiTheme="minorBidi" w:hAnsiTheme="minorBidi"/>
          <w:sz w:val="18"/>
          <w:szCs w:val="18"/>
          <w:rtl/>
        </w:rPr>
        <w:footnoteReference w:id="392"/>
      </w:r>
      <w:r w:rsidRPr="003024E5">
        <w:rPr>
          <w:rFonts w:asciiTheme="minorBidi" w:hAnsiTheme="minorBidi"/>
          <w:sz w:val="18"/>
          <w:szCs w:val="18"/>
          <w:rtl/>
        </w:rPr>
        <w:t>.</w:t>
      </w:r>
      <w:r w:rsidRPr="003024E5">
        <w:rPr>
          <w:rFonts w:asciiTheme="minorBidi" w:hAnsiTheme="minorBidi"/>
          <w:rtl/>
        </w:rPr>
        <w:t xml:space="preserve"> </w:t>
      </w:r>
    </w:p>
    <w:p w14:paraId="281E59DA" w14:textId="77777777" w:rsidR="002C39F4" w:rsidRPr="003024E5" w:rsidRDefault="002C39F4" w:rsidP="002C39F4">
      <w:pPr>
        <w:rPr>
          <w:rFonts w:asciiTheme="minorBidi" w:hAnsiTheme="minorBidi"/>
          <w:rtl/>
        </w:rPr>
      </w:pPr>
    </w:p>
    <w:p w14:paraId="2F69C907" w14:textId="77777777" w:rsidR="002C39F4" w:rsidRPr="003024E5" w:rsidRDefault="002C39F4" w:rsidP="002C39F4">
      <w:pPr>
        <w:pStyle w:val="2"/>
        <w:rPr>
          <w:rFonts w:asciiTheme="minorBidi" w:hAnsiTheme="minorBidi"/>
          <w:rtl/>
        </w:rPr>
      </w:pPr>
      <w:r w:rsidRPr="003024E5">
        <w:rPr>
          <w:rFonts w:asciiTheme="minorBidi" w:hAnsiTheme="minorBidi"/>
          <w:rtl/>
        </w:rPr>
        <w:t>סעיף ה: שהיית בשר שנמלח ללא הדחה.</w:t>
      </w:r>
    </w:p>
    <w:p w14:paraId="0851DA4D" w14:textId="77777777" w:rsidR="002C39F4" w:rsidRPr="003024E5" w:rsidRDefault="002C39F4" w:rsidP="002C39F4">
      <w:pPr>
        <w:rPr>
          <w:rFonts w:asciiTheme="minorBidi" w:hAnsiTheme="minorBidi"/>
          <w:u w:val="single"/>
        </w:rPr>
      </w:pPr>
      <w:r w:rsidRPr="003024E5">
        <w:rPr>
          <w:rFonts w:asciiTheme="minorBidi" w:hAnsiTheme="minorBidi"/>
          <w:u w:val="single"/>
          <w:rtl/>
        </w:rPr>
        <w:t xml:space="preserve">חתיכת בשר שנמלחה ושהתה כדי מליחה ונשארה כך </w:t>
      </w:r>
      <w:r>
        <w:rPr>
          <w:rFonts w:asciiTheme="minorBidi" w:hAnsiTheme="minorBidi" w:hint="cs"/>
          <w:sz w:val="16"/>
          <w:szCs w:val="16"/>
          <w:u w:val="single"/>
          <w:rtl/>
        </w:rPr>
        <w:t>(</w:t>
      </w:r>
      <w:r w:rsidRPr="003024E5">
        <w:rPr>
          <w:rFonts w:asciiTheme="minorBidi" w:hAnsiTheme="minorBidi"/>
          <w:sz w:val="16"/>
          <w:szCs w:val="16"/>
          <w:u w:val="single"/>
          <w:rtl/>
        </w:rPr>
        <w:t>ללא הדחה</w:t>
      </w:r>
      <w:r>
        <w:rPr>
          <w:rFonts w:asciiTheme="minorBidi" w:hAnsiTheme="minorBidi" w:hint="cs"/>
          <w:sz w:val="16"/>
          <w:szCs w:val="16"/>
          <w:u w:val="single"/>
          <w:rtl/>
        </w:rPr>
        <w:t>)</w:t>
      </w:r>
      <w:r w:rsidRPr="003024E5">
        <w:rPr>
          <w:rFonts w:asciiTheme="minorBidi" w:hAnsiTheme="minorBidi"/>
          <w:sz w:val="16"/>
          <w:szCs w:val="16"/>
          <w:u w:val="single"/>
          <w:rtl/>
        </w:rPr>
        <w:t xml:space="preserve"> </w:t>
      </w:r>
      <w:r w:rsidRPr="003024E5">
        <w:rPr>
          <w:rFonts w:asciiTheme="minorBidi" w:hAnsiTheme="minorBidi"/>
          <w:u w:val="single"/>
          <w:rtl/>
        </w:rPr>
        <w:t>אף לאחר שסיימה לפלוט צירה:</w:t>
      </w:r>
    </w:p>
    <w:p w14:paraId="47307DC2" w14:textId="77777777" w:rsidR="002C39F4" w:rsidRPr="003024E5" w:rsidRDefault="002C39F4" w:rsidP="002C39F4">
      <w:pPr>
        <w:pStyle w:val="a8"/>
        <w:numPr>
          <w:ilvl w:val="0"/>
          <w:numId w:val="36"/>
        </w:numPr>
        <w:rPr>
          <w:rFonts w:asciiTheme="minorBidi" w:hAnsiTheme="minorBidi"/>
        </w:rPr>
      </w:pPr>
      <w:r w:rsidRPr="003604EC">
        <w:rPr>
          <w:rFonts w:asciiTheme="minorBidi" w:hAnsiTheme="minorBidi"/>
          <w:b/>
          <w:bCs/>
          <w:rtl/>
        </w:rPr>
        <w:t>ה"ר יונה</w:t>
      </w:r>
      <w:r w:rsidRPr="003024E5">
        <w:rPr>
          <w:rFonts w:asciiTheme="minorBidi" w:hAnsiTheme="minorBidi"/>
          <w:rtl/>
        </w:rPr>
        <w:t xml:space="preserve"> </w:t>
      </w:r>
      <w:r w:rsidRPr="003024E5">
        <w:rPr>
          <w:rFonts w:asciiTheme="minorBidi" w:hAnsiTheme="minorBidi"/>
          <w:sz w:val="16"/>
          <w:szCs w:val="16"/>
          <w:rtl/>
        </w:rPr>
        <w:t>(</w:t>
      </w:r>
      <w:r>
        <w:rPr>
          <w:rFonts w:asciiTheme="minorBidi" w:hAnsiTheme="minorBidi" w:hint="cs"/>
          <w:sz w:val="16"/>
          <w:szCs w:val="16"/>
          <w:rtl/>
        </w:rPr>
        <w:t>כ"כ</w:t>
      </w:r>
      <w:r w:rsidRPr="003024E5">
        <w:rPr>
          <w:rFonts w:asciiTheme="minorBidi" w:hAnsiTheme="minorBidi"/>
          <w:sz w:val="16"/>
          <w:szCs w:val="16"/>
          <w:rtl/>
        </w:rPr>
        <w:t xml:space="preserve"> הרשב"א</w:t>
      </w:r>
      <w:r>
        <w:rPr>
          <w:rFonts w:asciiTheme="minorBidi" w:hAnsiTheme="minorBidi" w:hint="cs"/>
          <w:sz w:val="16"/>
          <w:szCs w:val="16"/>
          <w:rtl/>
        </w:rPr>
        <w:t xml:space="preserve"> בשמו</w:t>
      </w:r>
      <w:r w:rsidRPr="003024E5">
        <w:rPr>
          <w:rFonts w:asciiTheme="minorBidi" w:hAnsiTheme="minorBidi"/>
          <w:sz w:val="16"/>
          <w:szCs w:val="16"/>
          <w:rtl/>
        </w:rPr>
        <w:t xml:space="preserve">) </w:t>
      </w:r>
      <w:r w:rsidRPr="003604EC">
        <w:rPr>
          <w:rFonts w:asciiTheme="minorBidi" w:hAnsiTheme="minorBidi"/>
          <w:b/>
          <w:bCs/>
          <w:rtl/>
        </w:rPr>
        <w:t>ורשב"א</w:t>
      </w:r>
      <w:r w:rsidRPr="003024E5">
        <w:rPr>
          <w:rFonts w:asciiTheme="minorBidi" w:hAnsiTheme="minorBidi"/>
          <w:rtl/>
        </w:rPr>
        <w:t xml:space="preserve"> </w:t>
      </w:r>
      <w:r w:rsidRPr="003024E5">
        <w:rPr>
          <w:rFonts w:asciiTheme="minorBidi" w:hAnsiTheme="minorBidi"/>
          <w:sz w:val="16"/>
          <w:szCs w:val="16"/>
          <w:rtl/>
        </w:rPr>
        <w:t>(תוה"</w:t>
      </w:r>
      <w:r>
        <w:rPr>
          <w:rFonts w:asciiTheme="minorBidi" w:hAnsiTheme="minorBidi" w:hint="cs"/>
          <w:sz w:val="16"/>
          <w:szCs w:val="16"/>
          <w:rtl/>
        </w:rPr>
        <w:t>ק</w:t>
      </w:r>
      <w:r w:rsidRPr="003024E5">
        <w:rPr>
          <w:rFonts w:asciiTheme="minorBidi" w:hAnsiTheme="minorBidi"/>
          <w:sz w:val="16"/>
          <w:szCs w:val="16"/>
          <w:rtl/>
        </w:rPr>
        <w:t xml:space="preserve"> ב"ג ש"ג עב:)</w:t>
      </w:r>
      <w:r w:rsidRPr="003024E5">
        <w:rPr>
          <w:rFonts w:asciiTheme="minorBidi" w:hAnsiTheme="minorBidi"/>
          <w:rtl/>
        </w:rPr>
        <w:t>- בשר שנמלח ועומד עם מלחו לאחר פליטת דם וציר אסור</w:t>
      </w:r>
      <w:r w:rsidRPr="003024E5">
        <w:rPr>
          <w:rStyle w:val="a7"/>
          <w:rFonts w:asciiTheme="minorBidi" w:hAnsiTheme="minorBidi"/>
          <w:rtl/>
        </w:rPr>
        <w:footnoteReference w:id="393"/>
      </w:r>
      <w:r w:rsidRPr="003024E5">
        <w:rPr>
          <w:rFonts w:asciiTheme="minorBidi" w:hAnsiTheme="minorBidi"/>
          <w:rtl/>
        </w:rPr>
        <w:t>, לפי שיש על פניו טיחת דם שנפלט וכן המלח מלוכלך בדם הפליטה</w:t>
      </w:r>
      <w:r>
        <w:rPr>
          <w:rFonts w:asciiTheme="minorBidi" w:hAnsiTheme="minorBidi" w:hint="cs"/>
          <w:rtl/>
        </w:rPr>
        <w:t>,</w:t>
      </w:r>
      <w:r w:rsidRPr="003024E5">
        <w:rPr>
          <w:rFonts w:asciiTheme="minorBidi" w:hAnsiTheme="minorBidi"/>
          <w:rtl/>
        </w:rPr>
        <w:t xml:space="preserve"> וחוזר הוא ובולע מחמת חום המלח</w:t>
      </w:r>
      <w:r>
        <w:rPr>
          <w:rFonts w:asciiTheme="minorBidi" w:hAnsiTheme="minorBidi" w:hint="cs"/>
          <w:rtl/>
        </w:rPr>
        <w:t>,</w:t>
      </w:r>
      <w:r w:rsidRPr="003024E5">
        <w:rPr>
          <w:rFonts w:asciiTheme="minorBidi" w:hAnsiTheme="minorBidi"/>
          <w:rtl/>
        </w:rPr>
        <w:t xml:space="preserve"> ולפיכך צריך ליזהר להדיח הבשר קודם גמר פליטת ציר</w:t>
      </w:r>
      <w:r w:rsidRPr="003024E5">
        <w:rPr>
          <w:rStyle w:val="a7"/>
          <w:rFonts w:asciiTheme="minorBidi" w:hAnsiTheme="minorBidi"/>
          <w:rtl/>
        </w:rPr>
        <w:footnoteReference w:id="394"/>
      </w:r>
      <w:r w:rsidRPr="003024E5">
        <w:rPr>
          <w:rFonts w:asciiTheme="minorBidi" w:hAnsiTheme="minorBidi"/>
          <w:rtl/>
        </w:rPr>
        <w:t>.</w:t>
      </w:r>
    </w:p>
    <w:p w14:paraId="2A5567C0" w14:textId="77777777" w:rsidR="002C39F4" w:rsidRPr="003024E5" w:rsidRDefault="002C39F4" w:rsidP="002C39F4">
      <w:pPr>
        <w:pStyle w:val="a8"/>
        <w:numPr>
          <w:ilvl w:val="0"/>
          <w:numId w:val="36"/>
        </w:numPr>
        <w:rPr>
          <w:rFonts w:asciiTheme="minorBidi" w:hAnsiTheme="minorBidi"/>
        </w:rPr>
      </w:pPr>
      <w:r w:rsidRPr="003604EC">
        <w:rPr>
          <w:rFonts w:asciiTheme="minorBidi" w:hAnsiTheme="minorBidi"/>
          <w:b/>
          <w:bCs/>
          <w:rtl/>
        </w:rPr>
        <w:t>רא"ש</w:t>
      </w:r>
      <w:r>
        <w:rPr>
          <w:rFonts w:asciiTheme="minorBidi" w:hAnsiTheme="minorBidi" w:hint="cs"/>
          <w:sz w:val="16"/>
          <w:szCs w:val="16"/>
          <w:rtl/>
        </w:rPr>
        <w:t xml:space="preserve"> (כ"כ הטור בשמו)</w:t>
      </w:r>
      <w:r w:rsidRPr="003024E5">
        <w:rPr>
          <w:rFonts w:asciiTheme="minorBidi" w:hAnsiTheme="minorBidi"/>
          <w:rtl/>
        </w:rPr>
        <w:t>- יכולין להשהותו כמו שירצה</w:t>
      </w:r>
      <w:r>
        <w:rPr>
          <w:rFonts w:asciiTheme="minorBidi" w:hAnsiTheme="minorBidi" w:hint="cs"/>
          <w:rtl/>
        </w:rPr>
        <w:t>,</w:t>
      </w:r>
      <w:r w:rsidRPr="003024E5">
        <w:rPr>
          <w:rFonts w:asciiTheme="minorBidi" w:hAnsiTheme="minorBidi"/>
          <w:rtl/>
        </w:rPr>
        <w:t xml:space="preserve"> לפי שדם שעליו מעט הוא ובלוע במלח ואינו יכול לצאת ממנו שאין המלח מפליטו ממנו אדרבה דרך המלח להפליט הדם</w:t>
      </w:r>
      <w:r w:rsidRPr="003024E5">
        <w:rPr>
          <w:rStyle w:val="a7"/>
          <w:rFonts w:asciiTheme="minorBidi" w:hAnsiTheme="minorBidi"/>
          <w:rtl/>
        </w:rPr>
        <w:footnoteReference w:id="395"/>
      </w:r>
      <w:r w:rsidRPr="003024E5">
        <w:rPr>
          <w:rFonts w:asciiTheme="minorBidi" w:hAnsiTheme="minorBidi"/>
          <w:rtl/>
        </w:rPr>
        <w:t xml:space="preserve"> ומושכה אחריו ונשאר בתוכו ואינו חוזר לבשר</w:t>
      </w:r>
      <w:r>
        <w:rPr>
          <w:rFonts w:asciiTheme="minorBidi" w:hAnsiTheme="minorBidi" w:hint="cs"/>
          <w:sz w:val="16"/>
          <w:szCs w:val="16"/>
          <w:rtl/>
        </w:rPr>
        <w:t xml:space="preserve"> (ל' הטור)</w:t>
      </w:r>
      <w:r w:rsidRPr="003024E5">
        <w:rPr>
          <w:rStyle w:val="a7"/>
          <w:rFonts w:asciiTheme="minorBidi" w:hAnsiTheme="minorBidi"/>
          <w:rtl/>
        </w:rPr>
        <w:footnoteReference w:id="396"/>
      </w:r>
      <w:r w:rsidRPr="003024E5">
        <w:rPr>
          <w:rFonts w:asciiTheme="minorBidi" w:hAnsiTheme="minorBidi"/>
          <w:rtl/>
        </w:rPr>
        <w:t>.</w:t>
      </w:r>
    </w:p>
    <w:p w14:paraId="2979F649" w14:textId="77777777" w:rsidR="002C39F4" w:rsidRPr="003024E5" w:rsidRDefault="002C39F4" w:rsidP="002C39F4">
      <w:pPr>
        <w:rPr>
          <w:rFonts w:asciiTheme="minorBidi" w:hAnsiTheme="minorBidi"/>
          <w:u w:val="single"/>
          <w:rtl/>
        </w:rPr>
      </w:pPr>
      <w:r w:rsidRPr="003024E5">
        <w:rPr>
          <w:rFonts w:asciiTheme="minorBidi" w:hAnsiTheme="minorBidi"/>
          <w:u w:val="single"/>
          <w:rtl/>
        </w:rPr>
        <w:t>כמה זמן הבשר פולט ציר:</w:t>
      </w:r>
    </w:p>
    <w:p w14:paraId="46EA1793" w14:textId="77777777" w:rsidR="002C39F4" w:rsidRPr="003024E5" w:rsidRDefault="002C39F4" w:rsidP="002C39F4">
      <w:pPr>
        <w:pStyle w:val="a8"/>
        <w:numPr>
          <w:ilvl w:val="0"/>
          <w:numId w:val="36"/>
        </w:numPr>
        <w:rPr>
          <w:rFonts w:asciiTheme="minorBidi" w:hAnsiTheme="minorBidi"/>
        </w:rPr>
      </w:pPr>
      <w:r w:rsidRPr="00162BC6">
        <w:rPr>
          <w:rFonts w:asciiTheme="minorBidi" w:hAnsiTheme="minorBidi"/>
          <w:b/>
          <w:bCs/>
          <w:rtl/>
        </w:rPr>
        <w:t>רשב"א</w:t>
      </w:r>
      <w:r w:rsidRPr="003024E5">
        <w:rPr>
          <w:rFonts w:asciiTheme="minorBidi" w:hAnsiTheme="minorBidi"/>
          <w:rtl/>
        </w:rPr>
        <w:t xml:space="preserve"> </w:t>
      </w:r>
      <w:r w:rsidRPr="003024E5">
        <w:rPr>
          <w:rFonts w:asciiTheme="minorBidi" w:hAnsiTheme="minorBidi"/>
          <w:sz w:val="16"/>
          <w:szCs w:val="16"/>
          <w:rtl/>
        </w:rPr>
        <w:t>(תוה"ק שם, ארוך עד.)</w:t>
      </w:r>
      <w:r w:rsidRPr="003024E5">
        <w:rPr>
          <w:rFonts w:asciiTheme="minorBidi" w:hAnsiTheme="minorBidi"/>
          <w:rtl/>
        </w:rPr>
        <w:t xml:space="preserve">- מקובל אני מרבותי </w:t>
      </w:r>
      <w:r w:rsidRPr="003024E5">
        <w:rPr>
          <w:rFonts w:asciiTheme="minorBidi" w:hAnsiTheme="minorBidi"/>
          <w:sz w:val="16"/>
          <w:szCs w:val="16"/>
          <w:rtl/>
        </w:rPr>
        <w:t>{ה"ר יונה}</w:t>
      </w:r>
      <w:r w:rsidRPr="003024E5">
        <w:rPr>
          <w:rFonts w:asciiTheme="minorBidi" w:hAnsiTheme="minorBidi"/>
          <w:rtl/>
        </w:rPr>
        <w:t xml:space="preserve"> שעד י"ב שעות פולט ציר</w:t>
      </w:r>
      <w:r w:rsidRPr="003024E5">
        <w:rPr>
          <w:rStyle w:val="a7"/>
          <w:rFonts w:asciiTheme="minorBidi" w:hAnsiTheme="minorBidi"/>
          <w:rtl/>
        </w:rPr>
        <w:footnoteReference w:id="397"/>
      </w:r>
      <w:r w:rsidRPr="003024E5">
        <w:rPr>
          <w:rFonts w:asciiTheme="minorBidi" w:hAnsiTheme="minorBidi"/>
          <w:rtl/>
        </w:rPr>
        <w:t xml:space="preserve">. </w:t>
      </w:r>
      <w:r w:rsidRPr="003024E5">
        <w:rPr>
          <w:rFonts w:asciiTheme="minorBidi" w:hAnsiTheme="minorBidi"/>
          <w:color w:val="E36C0A" w:themeColor="accent6" w:themeShade="BF"/>
          <w:rtl/>
        </w:rPr>
        <w:t>(וכ"פ בשו"ע</w:t>
      </w:r>
      <w:r w:rsidRPr="003024E5">
        <w:rPr>
          <w:rStyle w:val="a7"/>
          <w:rFonts w:asciiTheme="minorBidi" w:hAnsiTheme="minorBidi"/>
          <w:rtl/>
        </w:rPr>
        <w:footnoteReference w:id="398"/>
      </w:r>
      <w:r w:rsidRPr="003024E5">
        <w:rPr>
          <w:rFonts w:asciiTheme="minorBidi" w:hAnsiTheme="minorBidi"/>
          <w:color w:val="E36C0A" w:themeColor="accent6" w:themeShade="BF"/>
          <w:rtl/>
        </w:rPr>
        <w:t>)</w:t>
      </w:r>
    </w:p>
    <w:p w14:paraId="1D974011" w14:textId="77777777" w:rsidR="002C39F4" w:rsidRPr="00730280" w:rsidRDefault="002C39F4" w:rsidP="002C39F4">
      <w:pPr>
        <w:pStyle w:val="a8"/>
        <w:numPr>
          <w:ilvl w:val="0"/>
          <w:numId w:val="36"/>
        </w:numPr>
        <w:rPr>
          <w:rFonts w:asciiTheme="minorBidi" w:hAnsiTheme="minorBidi"/>
        </w:rPr>
      </w:pPr>
      <w:r w:rsidRPr="00162BC6">
        <w:rPr>
          <w:rFonts w:asciiTheme="minorBidi" w:hAnsiTheme="minorBidi"/>
          <w:b/>
          <w:bCs/>
          <w:rtl/>
        </w:rPr>
        <w:t>גאונים</w:t>
      </w:r>
      <w:r w:rsidRPr="003024E5">
        <w:rPr>
          <w:rFonts w:asciiTheme="minorBidi" w:hAnsiTheme="minorBidi"/>
          <w:sz w:val="16"/>
          <w:szCs w:val="16"/>
          <w:rtl/>
        </w:rPr>
        <w:t xml:space="preserve"> (הביאם שע"ד סי' ו)</w:t>
      </w:r>
      <w:r w:rsidRPr="00730280">
        <w:rPr>
          <w:rFonts w:asciiTheme="minorBidi" w:hAnsiTheme="minorBidi"/>
          <w:b/>
          <w:bCs/>
          <w:rtl/>
        </w:rPr>
        <w:t xml:space="preserve"> </w:t>
      </w:r>
      <w:r>
        <w:rPr>
          <w:rFonts w:asciiTheme="minorBidi" w:hAnsiTheme="minorBidi" w:hint="cs"/>
          <w:b/>
          <w:bCs/>
          <w:rtl/>
        </w:rPr>
        <w:t>ו</w:t>
      </w:r>
      <w:r w:rsidRPr="00162BC6">
        <w:rPr>
          <w:rFonts w:asciiTheme="minorBidi" w:hAnsiTheme="minorBidi"/>
          <w:b/>
          <w:bCs/>
          <w:rtl/>
        </w:rPr>
        <w:t>סה"ת בשם ר"י</w:t>
      </w:r>
      <w:r w:rsidRPr="003024E5">
        <w:rPr>
          <w:rStyle w:val="a7"/>
          <w:rFonts w:asciiTheme="minorBidi" w:hAnsiTheme="minorBidi"/>
          <w:rtl/>
        </w:rPr>
        <w:footnoteReference w:id="399"/>
      </w:r>
      <w:r w:rsidRPr="003024E5">
        <w:rPr>
          <w:rFonts w:asciiTheme="minorBidi" w:hAnsiTheme="minorBidi"/>
          <w:rtl/>
        </w:rPr>
        <w:t xml:space="preserve"> </w:t>
      </w:r>
      <w:r w:rsidRPr="003024E5">
        <w:rPr>
          <w:rFonts w:asciiTheme="minorBidi" w:hAnsiTheme="minorBidi"/>
          <w:sz w:val="16"/>
          <w:szCs w:val="16"/>
          <w:rtl/>
        </w:rPr>
        <w:t>(</w:t>
      </w:r>
      <w:r>
        <w:rPr>
          <w:rFonts w:asciiTheme="minorBidi" w:hAnsiTheme="minorBidi" w:hint="cs"/>
          <w:sz w:val="16"/>
          <w:szCs w:val="16"/>
          <w:rtl/>
        </w:rPr>
        <w:t>הביאם ה</w:t>
      </w:r>
      <w:r w:rsidRPr="003024E5">
        <w:rPr>
          <w:rFonts w:asciiTheme="minorBidi" w:hAnsiTheme="minorBidi"/>
          <w:sz w:val="16"/>
          <w:szCs w:val="16"/>
          <w:rtl/>
        </w:rPr>
        <w:t xml:space="preserve">הגשע"ד </w:t>
      </w:r>
      <w:r w:rsidRPr="00730280">
        <w:rPr>
          <w:rFonts w:asciiTheme="minorBidi" w:hAnsiTheme="minorBidi"/>
          <w:sz w:val="14"/>
          <w:szCs w:val="14"/>
          <w:rtl/>
        </w:rPr>
        <w:t>[סי' ו די</w:t>
      </w:r>
      <w:r w:rsidRPr="00730280">
        <w:rPr>
          <w:rFonts w:asciiTheme="minorBidi" w:hAnsiTheme="minorBidi" w:hint="cs"/>
          <w:sz w:val="14"/>
          <w:szCs w:val="14"/>
          <w:rtl/>
        </w:rPr>
        <w:t>"</w:t>
      </w:r>
      <w:r w:rsidRPr="00730280">
        <w:rPr>
          <w:rFonts w:asciiTheme="minorBidi" w:hAnsiTheme="minorBidi"/>
          <w:sz w:val="14"/>
          <w:szCs w:val="14"/>
          <w:rtl/>
        </w:rPr>
        <w:t>ב]</w:t>
      </w:r>
      <w:r w:rsidRPr="003024E5">
        <w:rPr>
          <w:rFonts w:asciiTheme="minorBidi" w:hAnsiTheme="minorBidi"/>
          <w:sz w:val="16"/>
          <w:szCs w:val="16"/>
          <w:rtl/>
        </w:rPr>
        <w:t>)</w:t>
      </w:r>
      <w:r w:rsidRPr="003024E5">
        <w:rPr>
          <w:rFonts w:asciiTheme="minorBidi" w:hAnsiTheme="minorBidi"/>
          <w:rtl/>
        </w:rPr>
        <w:t xml:space="preserve">- יום אחד. (וכ"פ רש"ל </w:t>
      </w:r>
      <w:r w:rsidRPr="003024E5">
        <w:rPr>
          <w:rFonts w:asciiTheme="minorBidi" w:hAnsiTheme="minorBidi"/>
          <w:sz w:val="16"/>
          <w:szCs w:val="16"/>
          <w:rtl/>
        </w:rPr>
        <w:t>[סי' ז אות ז, ובפכ"ה סי' עד]</w:t>
      </w:r>
      <w:r w:rsidRPr="003024E5">
        <w:rPr>
          <w:rFonts w:asciiTheme="minorBidi" w:hAnsiTheme="minorBidi"/>
          <w:rtl/>
        </w:rPr>
        <w:t>)</w:t>
      </w:r>
      <w:r w:rsidRPr="00730280">
        <w:rPr>
          <w:rFonts w:asciiTheme="minorBidi" w:hAnsiTheme="minorBidi"/>
          <w:rtl/>
        </w:rPr>
        <w:t xml:space="preserve"> </w:t>
      </w:r>
    </w:p>
    <w:p w14:paraId="4E81819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955B7FA" w14:textId="77777777" w:rsidR="002C39F4" w:rsidRPr="003024E5" w:rsidRDefault="002C39F4" w:rsidP="002C39F4">
      <w:pPr>
        <w:rPr>
          <w:rFonts w:asciiTheme="minorBidi" w:hAnsiTheme="minorBidi"/>
          <w:rtl/>
        </w:rPr>
      </w:pPr>
      <w:r w:rsidRPr="003024E5">
        <w:rPr>
          <w:rFonts w:asciiTheme="minorBidi" w:hAnsiTheme="minorBidi"/>
          <w:rtl/>
        </w:rPr>
        <w:t xml:space="preserve">יש אומרים שבשר שנמלח אסור להשהותו במלחו לאחר פליטת כל צירו, דהיינו </w:t>
      </w:r>
      <w:r>
        <w:rPr>
          <w:rFonts w:asciiTheme="minorBidi" w:hAnsiTheme="minorBidi" w:hint="cs"/>
          <w:rtl/>
        </w:rPr>
        <w:t>שתים עשרה</w:t>
      </w:r>
      <w:r w:rsidRPr="003024E5">
        <w:rPr>
          <w:rFonts w:asciiTheme="minorBidi" w:hAnsiTheme="minorBidi"/>
          <w:rtl/>
        </w:rPr>
        <w:t xml:space="preserve"> שעות, לפי שחוזר ובולע מלחלוחית דם שעליו ושעל המלח, ויש מתירים להשהותו במלחו אפילו כמה ימים</w:t>
      </w:r>
      <w:r w:rsidRPr="003024E5">
        <w:rPr>
          <w:rStyle w:val="a7"/>
          <w:rFonts w:asciiTheme="minorBidi" w:hAnsiTheme="minorBidi"/>
          <w:rtl/>
        </w:rPr>
        <w:footnoteReference w:id="400"/>
      </w:r>
      <w:r w:rsidRPr="003024E5">
        <w:rPr>
          <w:rFonts w:asciiTheme="minorBidi" w:hAnsiTheme="minorBidi"/>
          <w:rtl/>
        </w:rPr>
        <w:t xml:space="preserve">, </w:t>
      </w:r>
      <w:r w:rsidRPr="003024E5">
        <w:rPr>
          <w:rStyle w:val="a7"/>
          <w:rFonts w:asciiTheme="minorBidi" w:hAnsiTheme="minorBidi"/>
          <w:rtl/>
        </w:rPr>
        <w:footnoteReference w:id="401"/>
      </w:r>
      <w:r w:rsidRPr="003024E5">
        <w:rPr>
          <w:rFonts w:asciiTheme="minorBidi" w:hAnsiTheme="minorBidi"/>
          <w:rtl/>
        </w:rPr>
        <w:t>ולכתחלה יש לחוש לדברי האוסרים ובדיעבד מותר</w:t>
      </w:r>
      <w:r w:rsidRPr="003024E5">
        <w:rPr>
          <w:rStyle w:val="a7"/>
          <w:rFonts w:asciiTheme="minorBidi" w:hAnsiTheme="minorBidi"/>
          <w:rtl/>
        </w:rPr>
        <w:footnoteReference w:id="402"/>
      </w:r>
      <w:r w:rsidRPr="003024E5">
        <w:rPr>
          <w:rFonts w:asciiTheme="minorBidi" w:hAnsiTheme="minorBidi"/>
          <w:rtl/>
        </w:rPr>
        <w:t>.</w:t>
      </w:r>
    </w:p>
    <w:p w14:paraId="487FD327" w14:textId="77777777" w:rsidR="002C39F4" w:rsidRPr="003024E5" w:rsidRDefault="002C39F4" w:rsidP="002C39F4">
      <w:pPr>
        <w:rPr>
          <w:rFonts w:asciiTheme="minorBidi" w:hAnsiTheme="minorBidi"/>
          <w:rtl/>
        </w:rPr>
      </w:pPr>
    </w:p>
    <w:p w14:paraId="6AD45722" w14:textId="77777777" w:rsidR="002C39F4" w:rsidRPr="003024E5" w:rsidRDefault="002C39F4" w:rsidP="002C39F4">
      <w:pPr>
        <w:pStyle w:val="2"/>
        <w:rPr>
          <w:rFonts w:asciiTheme="minorBidi" w:hAnsiTheme="minorBidi"/>
          <w:rtl/>
        </w:rPr>
      </w:pPr>
      <w:r w:rsidRPr="003024E5">
        <w:rPr>
          <w:rFonts w:asciiTheme="minorBidi" w:hAnsiTheme="minorBidi"/>
          <w:rtl/>
        </w:rPr>
        <w:t>סעיף ו: בשר שנוגע בבשר מלוח או בציר.</w:t>
      </w:r>
    </w:p>
    <w:p w14:paraId="6F1F96A1" w14:textId="77777777" w:rsidR="002C39F4" w:rsidRPr="003024E5" w:rsidRDefault="002C39F4" w:rsidP="002C39F4">
      <w:pPr>
        <w:rPr>
          <w:rFonts w:asciiTheme="minorBidi" w:hAnsiTheme="minorBidi"/>
          <w:u w:val="single"/>
          <w:rtl/>
        </w:rPr>
      </w:pPr>
      <w:r w:rsidRPr="003024E5">
        <w:rPr>
          <w:rFonts w:asciiTheme="minorBidi" w:hAnsiTheme="minorBidi"/>
          <w:u w:val="single"/>
          <w:rtl/>
        </w:rPr>
        <w:t>מליחת בשר שלא נמלח עדיין עם בשר שכבר נמלח ושהא במלחו כדי פליטת צירו:</w:t>
      </w:r>
    </w:p>
    <w:p w14:paraId="29E29241" w14:textId="77777777" w:rsidR="002C39F4" w:rsidRPr="003024E5" w:rsidRDefault="002C39F4" w:rsidP="002C39F4">
      <w:pPr>
        <w:pStyle w:val="a8"/>
        <w:numPr>
          <w:ilvl w:val="0"/>
          <w:numId w:val="36"/>
        </w:numPr>
        <w:rPr>
          <w:rFonts w:asciiTheme="minorBidi" w:hAnsiTheme="minorBidi"/>
        </w:rPr>
      </w:pPr>
      <w:r w:rsidRPr="00760548">
        <w:rPr>
          <w:rFonts w:asciiTheme="minorBidi" w:hAnsiTheme="minorBidi"/>
          <w:b/>
          <w:bCs/>
          <w:rtl/>
        </w:rPr>
        <w:t>רשב"א ר"ן והה"מ</w:t>
      </w:r>
      <w:r w:rsidRPr="00760548">
        <w:rPr>
          <w:rStyle w:val="a7"/>
          <w:rFonts w:asciiTheme="minorBidi" w:hAnsiTheme="minorBidi"/>
          <w:b/>
          <w:bCs/>
          <w:rtl/>
        </w:rPr>
        <w:footnoteReference w:id="403"/>
      </w:r>
      <w:r w:rsidRPr="003024E5">
        <w:rPr>
          <w:rFonts w:asciiTheme="minorBidi" w:hAnsiTheme="minorBidi"/>
          <w:rtl/>
        </w:rPr>
        <w:t xml:space="preserve">- אסור למלוח בשר עם בשר שכבר נמלח אם שהה הראשון במלחו כדי פליטת צירו </w:t>
      </w:r>
      <w:r w:rsidRPr="003024E5">
        <w:rPr>
          <w:rFonts w:asciiTheme="minorBidi" w:hAnsiTheme="minorBidi"/>
          <w:sz w:val="16"/>
          <w:szCs w:val="16"/>
          <w:rtl/>
        </w:rPr>
        <w:t xml:space="preserve">{שהוא י"ב שעות, רשב"א} </w:t>
      </w:r>
      <w:r w:rsidRPr="003024E5">
        <w:rPr>
          <w:rFonts w:asciiTheme="minorBidi" w:hAnsiTheme="minorBidi"/>
          <w:rtl/>
        </w:rPr>
        <w:t xml:space="preserve">לפי שחוזר ובולע מדם חתיכה זו כיון שאינו טרוד לפלוט אפילו צירו. </w:t>
      </w:r>
    </w:p>
    <w:p w14:paraId="74119383" w14:textId="77777777" w:rsidR="002C39F4" w:rsidRPr="003024E5" w:rsidRDefault="002C39F4" w:rsidP="002C39F4">
      <w:pPr>
        <w:pStyle w:val="a8"/>
        <w:numPr>
          <w:ilvl w:val="0"/>
          <w:numId w:val="36"/>
        </w:numPr>
        <w:rPr>
          <w:rFonts w:asciiTheme="minorBidi" w:hAnsiTheme="minorBidi"/>
        </w:rPr>
      </w:pPr>
      <w:r w:rsidRPr="00760548">
        <w:rPr>
          <w:rFonts w:asciiTheme="minorBidi" w:hAnsiTheme="minorBidi"/>
          <w:b/>
          <w:bCs/>
          <w:rtl/>
        </w:rPr>
        <w:t xml:space="preserve">ר"ת </w:t>
      </w:r>
      <w:r w:rsidRPr="003024E5">
        <w:rPr>
          <w:rFonts w:asciiTheme="minorBidi" w:hAnsiTheme="minorBidi"/>
          <w:sz w:val="16"/>
          <w:szCs w:val="16"/>
          <w:rtl/>
        </w:rPr>
        <w:t>(תוס' קיב: ד"ה ודגים)</w:t>
      </w:r>
      <w:r w:rsidRPr="00162BC6">
        <w:rPr>
          <w:rFonts w:asciiTheme="minorBidi" w:hAnsiTheme="minorBidi"/>
          <w:b/>
          <w:bCs/>
          <w:rtl/>
        </w:rPr>
        <w:t xml:space="preserve"> </w:t>
      </w:r>
      <w:r>
        <w:rPr>
          <w:rFonts w:asciiTheme="minorBidi" w:hAnsiTheme="minorBidi" w:hint="cs"/>
          <w:b/>
          <w:bCs/>
          <w:rtl/>
        </w:rPr>
        <w:t>ו</w:t>
      </w:r>
      <w:r w:rsidRPr="00760548">
        <w:rPr>
          <w:rFonts w:asciiTheme="minorBidi" w:hAnsiTheme="minorBidi"/>
          <w:b/>
          <w:bCs/>
          <w:rtl/>
        </w:rPr>
        <w:t>א"ח</w:t>
      </w:r>
      <w:r w:rsidRPr="00856B8D">
        <w:rPr>
          <w:rStyle w:val="a7"/>
          <w:rFonts w:asciiTheme="minorBidi" w:hAnsiTheme="minorBidi"/>
          <w:rtl/>
        </w:rPr>
        <w:footnoteReference w:id="404"/>
      </w:r>
      <w:r w:rsidRPr="00760548">
        <w:rPr>
          <w:rFonts w:asciiTheme="minorBidi" w:hAnsiTheme="minorBidi"/>
          <w:b/>
          <w:bCs/>
          <w:rtl/>
        </w:rPr>
        <w:t xml:space="preserve"> </w:t>
      </w:r>
      <w:r w:rsidRPr="003024E5">
        <w:rPr>
          <w:rFonts w:asciiTheme="minorBidi" w:hAnsiTheme="minorBidi"/>
          <w:sz w:val="16"/>
          <w:szCs w:val="16"/>
          <w:rtl/>
        </w:rPr>
        <w:t>(הל</w:t>
      </w:r>
      <w:r>
        <w:rPr>
          <w:rFonts w:asciiTheme="minorBidi" w:hAnsiTheme="minorBidi" w:hint="cs"/>
          <w:sz w:val="16"/>
          <w:szCs w:val="16"/>
          <w:rtl/>
        </w:rPr>
        <w:t xml:space="preserve">א"מ </w:t>
      </w:r>
      <w:r w:rsidRPr="003024E5">
        <w:rPr>
          <w:rFonts w:asciiTheme="minorBidi" w:hAnsiTheme="minorBidi"/>
          <w:sz w:val="16"/>
          <w:szCs w:val="16"/>
          <w:rtl/>
        </w:rPr>
        <w:t>אות צג ד"ה מותר)</w:t>
      </w:r>
      <w:r w:rsidRPr="003024E5">
        <w:rPr>
          <w:rFonts w:asciiTheme="minorBidi" w:hAnsiTheme="minorBidi"/>
          <w:rtl/>
        </w:rPr>
        <w:t xml:space="preserve">- </w:t>
      </w:r>
      <w:r w:rsidRPr="003024E5">
        <w:rPr>
          <w:rStyle w:val="a7"/>
          <w:rFonts w:asciiTheme="minorBidi" w:hAnsiTheme="minorBidi"/>
          <w:rtl/>
        </w:rPr>
        <w:footnoteReference w:id="405"/>
      </w:r>
      <w:r w:rsidRPr="003024E5">
        <w:rPr>
          <w:rFonts w:asciiTheme="minorBidi" w:hAnsiTheme="minorBidi"/>
          <w:rtl/>
        </w:rPr>
        <w:t>אין הדם נבלע בחתיכה אחרת במליחה כל שנמלחו בכלי מנוקב דדם מישרק שריק ודרך הנקבים יוצא כולו ואינו נבלע כלל בחתיכה</w:t>
      </w:r>
      <w:r w:rsidRPr="003024E5">
        <w:rPr>
          <w:rStyle w:val="a7"/>
          <w:rFonts w:asciiTheme="minorBidi" w:hAnsiTheme="minorBidi"/>
          <w:rtl/>
        </w:rPr>
        <w:footnoteReference w:id="406"/>
      </w:r>
      <w:r>
        <w:rPr>
          <w:rFonts w:asciiTheme="minorBidi" w:hAnsiTheme="minorBidi" w:hint="cs"/>
          <w:rtl/>
        </w:rPr>
        <w:t xml:space="preserve"> </w:t>
      </w:r>
      <w:r w:rsidRPr="00162BC6">
        <w:rPr>
          <w:rFonts w:asciiTheme="minorBidi" w:hAnsiTheme="minorBidi"/>
          <w:rtl/>
        </w:rPr>
        <w:t>ודוקא בדגים הוא דאסרינן משום דרפו קרמייהו אבל בשר אחר לא</w:t>
      </w:r>
      <w:r w:rsidRPr="003024E5">
        <w:rPr>
          <w:rStyle w:val="a7"/>
          <w:rFonts w:asciiTheme="minorBidi" w:hAnsiTheme="minorBidi"/>
          <w:rtl/>
        </w:rPr>
        <w:footnoteReference w:id="407"/>
      </w:r>
      <w:r w:rsidRPr="003024E5">
        <w:rPr>
          <w:rFonts w:asciiTheme="minorBidi" w:hAnsiTheme="minorBidi"/>
          <w:rtl/>
        </w:rPr>
        <w:t xml:space="preserve">.  </w:t>
      </w:r>
    </w:p>
    <w:p w14:paraId="615508DE" w14:textId="77777777" w:rsidR="002C39F4" w:rsidRPr="003024E5" w:rsidRDefault="002C39F4" w:rsidP="002C39F4">
      <w:pPr>
        <w:pStyle w:val="a8"/>
        <w:numPr>
          <w:ilvl w:val="0"/>
          <w:numId w:val="36"/>
        </w:numPr>
        <w:rPr>
          <w:rFonts w:asciiTheme="minorBidi" w:hAnsiTheme="minorBidi"/>
        </w:rPr>
      </w:pPr>
      <w:r w:rsidRPr="00760548">
        <w:rPr>
          <w:rFonts w:asciiTheme="minorBidi" w:hAnsiTheme="minorBidi"/>
          <w:b/>
          <w:bCs/>
          <w:rtl/>
        </w:rPr>
        <w:t>אגור</w:t>
      </w:r>
      <w:r w:rsidRPr="003024E5">
        <w:rPr>
          <w:rFonts w:asciiTheme="minorBidi" w:hAnsiTheme="minorBidi"/>
          <w:sz w:val="16"/>
          <w:szCs w:val="16"/>
          <w:rtl/>
        </w:rPr>
        <w:t xml:space="preserve"> (סי' אלף רב)</w:t>
      </w:r>
      <w:r w:rsidRPr="003024E5">
        <w:rPr>
          <w:rFonts w:asciiTheme="minorBidi" w:hAnsiTheme="minorBidi"/>
          <w:rtl/>
        </w:rPr>
        <w:t xml:space="preserve">- העולם נזהרים לכתחלה ומתירין בדיעבד. </w:t>
      </w:r>
    </w:p>
    <w:p w14:paraId="1642054B" w14:textId="77777777" w:rsidR="002C39F4" w:rsidRPr="003024E5" w:rsidRDefault="002C39F4" w:rsidP="002C39F4">
      <w:pPr>
        <w:ind w:left="360"/>
        <w:rPr>
          <w:rFonts w:asciiTheme="minorBidi" w:hAnsiTheme="minorBidi"/>
          <w:u w:val="dotted"/>
        </w:rPr>
      </w:pPr>
      <w:r>
        <w:rPr>
          <w:rFonts w:asciiTheme="minorBidi" w:hAnsiTheme="minorBidi" w:hint="cs"/>
          <w:u w:val="dotted"/>
          <w:rtl/>
        </w:rPr>
        <w:t xml:space="preserve">לאוסרים - </w:t>
      </w:r>
      <w:r w:rsidRPr="003024E5">
        <w:rPr>
          <w:rFonts w:asciiTheme="minorBidi" w:hAnsiTheme="minorBidi"/>
          <w:u w:val="dotted"/>
          <w:rtl/>
        </w:rPr>
        <w:t>מה הדין אם חתיכת הבשר שנמלחה עדיין לא סיימה לפלוט את כל צירה:</w:t>
      </w:r>
    </w:p>
    <w:p w14:paraId="7DD1BD26" w14:textId="77777777" w:rsidR="002C39F4" w:rsidRPr="003024E5" w:rsidRDefault="002C39F4" w:rsidP="002C39F4">
      <w:pPr>
        <w:pStyle w:val="a8"/>
        <w:numPr>
          <w:ilvl w:val="0"/>
          <w:numId w:val="36"/>
        </w:numPr>
        <w:rPr>
          <w:rFonts w:asciiTheme="minorBidi" w:hAnsiTheme="minorBidi"/>
        </w:rPr>
      </w:pPr>
      <w:r w:rsidRPr="00162BC6">
        <w:rPr>
          <w:rFonts w:asciiTheme="minorBidi" w:hAnsiTheme="minorBidi"/>
          <w:b/>
          <w:bCs/>
          <w:rtl/>
        </w:rPr>
        <w:t>ר"ן</w:t>
      </w:r>
      <w:r>
        <w:rPr>
          <w:rFonts w:asciiTheme="minorBidi" w:hAnsiTheme="minorBidi" w:hint="cs"/>
          <w:sz w:val="16"/>
          <w:szCs w:val="16"/>
          <w:rtl/>
        </w:rPr>
        <w:t xml:space="preserve"> (שם)</w:t>
      </w:r>
      <w:r w:rsidRPr="003024E5">
        <w:rPr>
          <w:rFonts w:asciiTheme="minorBidi" w:hAnsiTheme="minorBidi"/>
          <w:rtl/>
        </w:rPr>
        <w:t>- יש ליזהר שלא למלוח בשר בתחלה עם בשר שנמלח כבר אע"פ שאותו בשר פולט ציר עדיין כל שיש לחוש שתגמור פליטת ציר הראשון קודם פליטת דם האחרון דכי נח מלפלוט ציר בלע מדמא דאידך כדגים ועופות</w:t>
      </w:r>
      <w:r w:rsidRPr="003024E5">
        <w:rPr>
          <w:rFonts w:asciiTheme="minorBidi" w:hAnsiTheme="minorBidi"/>
          <w:sz w:val="16"/>
          <w:szCs w:val="16"/>
          <w:rtl/>
        </w:rPr>
        <w:t xml:space="preserve"> (ל' הר"ן)</w:t>
      </w:r>
      <w:r w:rsidRPr="003024E5">
        <w:rPr>
          <w:rFonts w:asciiTheme="minorBidi" w:hAnsiTheme="minorBidi"/>
          <w:rtl/>
        </w:rPr>
        <w:t>.</w:t>
      </w:r>
    </w:p>
    <w:p w14:paraId="72524FC4" w14:textId="77777777" w:rsidR="002C39F4" w:rsidRPr="00E00D70" w:rsidRDefault="002C39F4" w:rsidP="002C39F4">
      <w:pPr>
        <w:pStyle w:val="a8"/>
        <w:numPr>
          <w:ilvl w:val="0"/>
          <w:numId w:val="36"/>
        </w:numPr>
        <w:rPr>
          <w:rFonts w:asciiTheme="minorBidi" w:hAnsiTheme="minorBidi"/>
        </w:rPr>
      </w:pPr>
      <w:r w:rsidRPr="00E00D70">
        <w:rPr>
          <w:rFonts w:asciiTheme="minorBidi" w:hAnsiTheme="minorBidi"/>
          <w:b/>
          <w:bCs/>
          <w:rtl/>
        </w:rPr>
        <w:t>גאונים</w:t>
      </w:r>
      <w:r w:rsidRPr="00E00D70">
        <w:rPr>
          <w:rFonts w:asciiTheme="minorBidi" w:hAnsiTheme="minorBidi"/>
          <w:sz w:val="16"/>
          <w:szCs w:val="16"/>
          <w:rtl/>
        </w:rPr>
        <w:t xml:space="preserve"> (הביאם שע"ד סי' ו)</w:t>
      </w:r>
      <w:r>
        <w:rPr>
          <w:rFonts w:asciiTheme="minorBidi" w:hAnsiTheme="minorBidi" w:hint="cs"/>
          <w:b/>
          <w:bCs/>
          <w:rtl/>
        </w:rPr>
        <w:t xml:space="preserve"> ו</w:t>
      </w:r>
      <w:r w:rsidRPr="00B7053D">
        <w:rPr>
          <w:rFonts w:asciiTheme="minorBidi" w:hAnsiTheme="minorBidi"/>
          <w:b/>
          <w:bCs/>
          <w:rtl/>
        </w:rPr>
        <w:t>סה"ת בשם ר"י</w:t>
      </w:r>
      <w:r w:rsidRPr="00B7053D">
        <w:rPr>
          <w:rFonts w:asciiTheme="minorBidi" w:hAnsiTheme="minorBidi"/>
          <w:rtl/>
        </w:rPr>
        <w:t xml:space="preserve"> </w:t>
      </w:r>
      <w:r w:rsidRPr="00B7053D">
        <w:rPr>
          <w:rFonts w:asciiTheme="minorBidi" w:hAnsiTheme="minorBidi"/>
          <w:sz w:val="16"/>
          <w:szCs w:val="16"/>
          <w:rtl/>
        </w:rPr>
        <w:t>(הביאם ההגשע"ד [סי' ו די</w:t>
      </w:r>
      <w:r w:rsidRPr="00B7053D">
        <w:rPr>
          <w:rFonts w:asciiTheme="minorBidi" w:hAnsiTheme="minorBidi" w:hint="cs"/>
          <w:sz w:val="16"/>
          <w:szCs w:val="16"/>
          <w:rtl/>
        </w:rPr>
        <w:t>"</w:t>
      </w:r>
      <w:r w:rsidRPr="00B7053D">
        <w:rPr>
          <w:rFonts w:asciiTheme="minorBidi" w:hAnsiTheme="minorBidi"/>
          <w:sz w:val="16"/>
          <w:szCs w:val="16"/>
          <w:rtl/>
        </w:rPr>
        <w:t>ב])</w:t>
      </w:r>
      <w:r w:rsidRPr="00B7053D">
        <w:rPr>
          <w:rFonts w:asciiTheme="minorBidi" w:hAnsiTheme="minorBidi"/>
          <w:rtl/>
        </w:rPr>
        <w:t>- מותר כל זמן שהחתיכה פתוחה לפלוט ציר</w:t>
      </w:r>
      <w:r>
        <w:rPr>
          <w:rFonts w:asciiTheme="minorBidi" w:hAnsiTheme="minorBidi" w:hint="cs"/>
          <w:rtl/>
        </w:rPr>
        <w:t xml:space="preserve"> </w:t>
      </w:r>
      <w:r>
        <w:rPr>
          <w:rFonts w:asciiTheme="minorBidi" w:hAnsiTheme="minorBidi" w:hint="cs"/>
          <w:sz w:val="16"/>
          <w:szCs w:val="16"/>
          <w:rtl/>
        </w:rPr>
        <w:t>(ל' הגשע"ד)</w:t>
      </w:r>
      <w:r w:rsidRPr="00B7053D">
        <w:rPr>
          <w:rFonts w:asciiTheme="minorBidi" w:hAnsiTheme="minorBidi"/>
          <w:rtl/>
        </w:rPr>
        <w:t xml:space="preserve">, </w:t>
      </w:r>
      <w:r w:rsidRPr="00E00D70">
        <w:rPr>
          <w:rFonts w:asciiTheme="minorBidi" w:hAnsiTheme="minorBidi"/>
          <w:rtl/>
        </w:rPr>
        <w:t>דדם משרק שריק ונפיל</w:t>
      </w:r>
      <w:r>
        <w:rPr>
          <w:rFonts w:asciiTheme="minorBidi" w:hAnsiTheme="minorBidi" w:hint="cs"/>
          <w:sz w:val="16"/>
          <w:szCs w:val="16"/>
          <w:rtl/>
        </w:rPr>
        <w:t xml:space="preserve"> (ל' שע"ד)</w:t>
      </w:r>
      <w:r>
        <w:rPr>
          <w:rFonts w:asciiTheme="minorBidi" w:hAnsiTheme="minorBidi" w:hint="cs"/>
          <w:rtl/>
        </w:rPr>
        <w:t>, אבל לאחמ"כ אסור</w:t>
      </w:r>
      <w:r w:rsidRPr="003024E5">
        <w:rPr>
          <w:rStyle w:val="a7"/>
          <w:rFonts w:asciiTheme="minorBidi" w:hAnsiTheme="minorBidi"/>
          <w:rtl/>
        </w:rPr>
        <w:footnoteReference w:id="408"/>
      </w:r>
      <w:r w:rsidRPr="00E00D70">
        <w:rPr>
          <w:rFonts w:asciiTheme="minorBidi" w:hAnsiTheme="minorBidi"/>
          <w:rtl/>
        </w:rPr>
        <w:t>.</w:t>
      </w:r>
      <w:r w:rsidRPr="00E00D70">
        <w:rPr>
          <w:rFonts w:asciiTheme="minorBidi" w:hAnsiTheme="minorBidi" w:hint="cs"/>
          <w:rtl/>
        </w:rPr>
        <w:t xml:space="preserve"> </w:t>
      </w:r>
    </w:p>
    <w:p w14:paraId="5ACB00DF" w14:textId="77777777" w:rsidR="002C39F4" w:rsidRPr="003024E5" w:rsidRDefault="002C39F4" w:rsidP="002C39F4">
      <w:pPr>
        <w:pStyle w:val="a8"/>
        <w:numPr>
          <w:ilvl w:val="0"/>
          <w:numId w:val="36"/>
        </w:numPr>
        <w:rPr>
          <w:rFonts w:asciiTheme="minorBidi" w:hAnsiTheme="minorBidi"/>
        </w:rPr>
      </w:pPr>
      <w:r w:rsidRPr="00162BC6">
        <w:rPr>
          <w:rFonts w:asciiTheme="minorBidi" w:hAnsiTheme="minorBidi"/>
          <w:b/>
          <w:bCs/>
          <w:rtl/>
        </w:rPr>
        <w:t>ר"י מאורליינש</w:t>
      </w:r>
      <w:r w:rsidRPr="003024E5">
        <w:rPr>
          <w:rFonts w:asciiTheme="minorBidi" w:hAnsiTheme="minorBidi"/>
          <w:rtl/>
        </w:rPr>
        <w:t xml:space="preserve"> </w:t>
      </w:r>
      <w:r w:rsidRPr="003024E5">
        <w:rPr>
          <w:rFonts w:asciiTheme="minorBidi" w:hAnsiTheme="minorBidi"/>
          <w:sz w:val="16"/>
          <w:szCs w:val="16"/>
          <w:rtl/>
        </w:rPr>
        <w:t>(הובא בתוס' קיב: ד"ה ודגים)</w:t>
      </w:r>
      <w:r w:rsidRPr="00E00D70">
        <w:rPr>
          <w:rFonts w:asciiTheme="minorBidi" w:hAnsiTheme="minorBidi" w:hint="cs"/>
          <w:b/>
          <w:bCs/>
          <w:rtl/>
        </w:rPr>
        <w:t xml:space="preserve"> ו</w:t>
      </w:r>
      <w:r w:rsidRPr="00E00D70">
        <w:rPr>
          <w:rFonts w:asciiTheme="minorBidi" w:hAnsiTheme="minorBidi"/>
          <w:b/>
          <w:bCs/>
          <w:rtl/>
        </w:rPr>
        <w:t>או"ה</w:t>
      </w:r>
      <w:r w:rsidRPr="003024E5">
        <w:rPr>
          <w:rStyle w:val="a7"/>
          <w:rFonts w:asciiTheme="minorBidi" w:hAnsiTheme="minorBidi"/>
          <w:rtl/>
        </w:rPr>
        <w:footnoteReference w:id="409"/>
      </w:r>
      <w:r w:rsidRPr="003024E5">
        <w:rPr>
          <w:rFonts w:asciiTheme="minorBidi" w:hAnsiTheme="minorBidi"/>
          <w:sz w:val="16"/>
          <w:szCs w:val="16"/>
          <w:rtl/>
        </w:rPr>
        <w:t xml:space="preserve"> </w:t>
      </w:r>
      <w:r>
        <w:rPr>
          <w:rFonts w:asciiTheme="minorBidi" w:hAnsiTheme="minorBidi" w:hint="cs"/>
          <w:sz w:val="16"/>
          <w:szCs w:val="16"/>
          <w:rtl/>
        </w:rPr>
        <w:t>(</w:t>
      </w:r>
      <w:r w:rsidRPr="003024E5">
        <w:rPr>
          <w:rFonts w:asciiTheme="minorBidi" w:hAnsiTheme="minorBidi"/>
          <w:sz w:val="16"/>
          <w:szCs w:val="16"/>
          <w:rtl/>
        </w:rPr>
        <w:t>כלל ו דין ט</w:t>
      </w:r>
      <w:r>
        <w:rPr>
          <w:rFonts w:asciiTheme="minorBidi" w:hAnsiTheme="minorBidi" w:hint="cs"/>
          <w:sz w:val="16"/>
          <w:szCs w:val="16"/>
          <w:rtl/>
        </w:rPr>
        <w:t>)</w:t>
      </w:r>
      <w:r w:rsidRPr="003024E5">
        <w:rPr>
          <w:rFonts w:asciiTheme="minorBidi" w:hAnsiTheme="minorBidi"/>
          <w:rtl/>
        </w:rPr>
        <w:t>- מותר, ולא דמי לדגים דהיינו טעמא דאסירי לפי שאין העופות פולטים כלום מדם וציר עד שפלטו הדגים דמן וצירן לגמרי</w:t>
      </w:r>
      <w:r>
        <w:rPr>
          <w:rFonts w:asciiTheme="minorBidi" w:hAnsiTheme="minorBidi" w:hint="cs"/>
          <w:rtl/>
        </w:rPr>
        <w:t>,</w:t>
      </w:r>
      <w:r w:rsidRPr="003024E5">
        <w:rPr>
          <w:rFonts w:asciiTheme="minorBidi" w:hAnsiTheme="minorBidi"/>
          <w:rtl/>
        </w:rPr>
        <w:t xml:space="preserve"> אבל כאן שהבשר הזה בתחלה היה פולט ציר ומתוך כך חלקיו רפים</w:t>
      </w:r>
      <w:r>
        <w:rPr>
          <w:rFonts w:asciiTheme="minorBidi" w:hAnsiTheme="minorBidi" w:hint="cs"/>
          <w:rtl/>
        </w:rPr>
        <w:t>,</w:t>
      </w:r>
      <w:r w:rsidRPr="003024E5">
        <w:rPr>
          <w:rFonts w:asciiTheme="minorBidi" w:hAnsiTheme="minorBidi"/>
          <w:rtl/>
        </w:rPr>
        <w:t xml:space="preserve"> אף כשגמרה פליטת הציר לאלתר נכנס בה בליעת הדם</w:t>
      </w:r>
      <w:r>
        <w:rPr>
          <w:rFonts w:asciiTheme="minorBidi" w:hAnsiTheme="minorBidi" w:hint="cs"/>
          <w:rtl/>
        </w:rPr>
        <w:t>,</w:t>
      </w:r>
      <w:r w:rsidRPr="003024E5">
        <w:rPr>
          <w:rFonts w:asciiTheme="minorBidi" w:hAnsiTheme="minorBidi"/>
          <w:rtl/>
        </w:rPr>
        <w:t xml:space="preserve"> ולא נדבקו חלקיו עדיין ומשום הכי כבולעו כך פולטו ע"י המלח ושרי </w:t>
      </w:r>
      <w:r w:rsidRPr="003024E5">
        <w:rPr>
          <w:rFonts w:asciiTheme="minorBidi" w:hAnsiTheme="minorBidi"/>
          <w:sz w:val="16"/>
          <w:szCs w:val="16"/>
          <w:rtl/>
        </w:rPr>
        <w:t>(ל' הר"ן בשם התוס')</w:t>
      </w:r>
      <w:r w:rsidRPr="003024E5">
        <w:rPr>
          <w:rStyle w:val="a7"/>
          <w:rFonts w:asciiTheme="minorBidi" w:hAnsiTheme="minorBidi"/>
          <w:rtl/>
        </w:rPr>
        <w:footnoteReference w:id="410"/>
      </w:r>
      <w:r w:rsidRPr="003024E5">
        <w:rPr>
          <w:rFonts w:asciiTheme="minorBidi" w:hAnsiTheme="minorBidi"/>
          <w:rtl/>
        </w:rPr>
        <w:t>.</w:t>
      </w:r>
    </w:p>
    <w:p w14:paraId="38ED4FCB" w14:textId="77777777" w:rsidR="002C39F4" w:rsidRPr="003024E5" w:rsidRDefault="002C39F4" w:rsidP="002C39F4">
      <w:pPr>
        <w:rPr>
          <w:rFonts w:asciiTheme="minorBidi" w:hAnsiTheme="minorBidi"/>
          <w:u w:val="single"/>
          <w:rtl/>
        </w:rPr>
      </w:pPr>
      <w:r>
        <w:rPr>
          <w:rFonts w:asciiTheme="minorBidi" w:hAnsiTheme="minorBidi" w:hint="cs"/>
          <w:u w:val="single"/>
          <w:rtl/>
        </w:rPr>
        <w:t xml:space="preserve">האם מותר להניח </w:t>
      </w:r>
      <w:r w:rsidRPr="003024E5">
        <w:rPr>
          <w:rFonts w:asciiTheme="minorBidi" w:hAnsiTheme="minorBidi"/>
          <w:u w:val="single"/>
          <w:rtl/>
        </w:rPr>
        <w:t xml:space="preserve">בשר שלא נמלח כלל אצל בשר מלוח בעוד מלחו עליו: </w:t>
      </w:r>
    </w:p>
    <w:p w14:paraId="031ADDFD" w14:textId="77777777" w:rsidR="002C39F4" w:rsidRPr="003024E5" w:rsidRDefault="002C39F4" w:rsidP="002C39F4">
      <w:pPr>
        <w:pStyle w:val="a8"/>
        <w:numPr>
          <w:ilvl w:val="0"/>
          <w:numId w:val="36"/>
        </w:numPr>
        <w:rPr>
          <w:rFonts w:asciiTheme="minorBidi" w:hAnsiTheme="minorBidi"/>
        </w:rPr>
      </w:pPr>
      <w:r w:rsidRPr="00B9426C">
        <w:rPr>
          <w:rFonts w:asciiTheme="minorBidi" w:hAnsiTheme="minorBidi"/>
          <w:b/>
          <w:bCs/>
          <w:rtl/>
        </w:rPr>
        <w:t xml:space="preserve">רשב"א </w:t>
      </w:r>
      <w:r>
        <w:rPr>
          <w:rFonts w:asciiTheme="minorBidi" w:hAnsiTheme="minorBidi" w:hint="cs"/>
          <w:sz w:val="16"/>
          <w:szCs w:val="16"/>
          <w:rtl/>
        </w:rPr>
        <w:t xml:space="preserve">(שם) </w:t>
      </w:r>
      <w:r w:rsidRPr="00B9426C">
        <w:rPr>
          <w:rFonts w:asciiTheme="minorBidi" w:hAnsiTheme="minorBidi"/>
          <w:b/>
          <w:bCs/>
          <w:rtl/>
        </w:rPr>
        <w:t>ור"ן</w:t>
      </w:r>
      <w:r>
        <w:rPr>
          <w:rFonts w:asciiTheme="minorBidi" w:hAnsiTheme="minorBidi" w:hint="cs"/>
          <w:sz w:val="16"/>
          <w:szCs w:val="16"/>
          <w:rtl/>
        </w:rPr>
        <w:t xml:space="preserve"> (שם)</w:t>
      </w:r>
      <w:r w:rsidRPr="003024E5">
        <w:rPr>
          <w:rFonts w:asciiTheme="minorBidi" w:hAnsiTheme="minorBidi"/>
          <w:rtl/>
        </w:rPr>
        <w:t>- אסור, שבשר זה שלא נמלח בולע ממה שחברו פולט שאין לו דבר שימנענו מלבלוע.</w:t>
      </w:r>
    </w:p>
    <w:p w14:paraId="38C2F213"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האם יש לו</w:t>
      </w:r>
      <w:r w:rsidRPr="003024E5">
        <w:rPr>
          <w:rFonts w:asciiTheme="minorBidi" w:hAnsiTheme="minorBidi"/>
          <w:sz w:val="16"/>
          <w:szCs w:val="16"/>
          <w:u w:val="dotted"/>
          <w:rtl/>
        </w:rPr>
        <w:t xml:space="preserve"> {לבשר שלא נמלח כלל}</w:t>
      </w:r>
      <w:r w:rsidRPr="003024E5">
        <w:rPr>
          <w:rFonts w:asciiTheme="minorBidi" w:hAnsiTheme="minorBidi"/>
          <w:u w:val="dotted"/>
          <w:rtl/>
        </w:rPr>
        <w:t xml:space="preserve"> תקנה ע"י שימלחו אותו:  </w:t>
      </w:r>
    </w:p>
    <w:p w14:paraId="29CDA177" w14:textId="77777777" w:rsidR="002C39F4" w:rsidRPr="003024E5" w:rsidRDefault="002C39F4" w:rsidP="002C39F4">
      <w:pPr>
        <w:pStyle w:val="a8"/>
        <w:numPr>
          <w:ilvl w:val="0"/>
          <w:numId w:val="36"/>
        </w:numPr>
        <w:rPr>
          <w:rFonts w:asciiTheme="minorBidi" w:hAnsiTheme="minorBidi"/>
          <w:rtl/>
        </w:rPr>
      </w:pPr>
      <w:r w:rsidRPr="00B9426C">
        <w:rPr>
          <w:rFonts w:asciiTheme="minorBidi" w:hAnsiTheme="minorBidi"/>
          <w:b/>
          <w:bCs/>
          <w:rtl/>
        </w:rPr>
        <w:t>ר"ן</w:t>
      </w:r>
      <w:r>
        <w:rPr>
          <w:rFonts w:asciiTheme="minorBidi" w:hAnsiTheme="minorBidi" w:hint="cs"/>
          <w:b/>
          <w:bCs/>
          <w:rtl/>
        </w:rPr>
        <w:t xml:space="preserve"> </w:t>
      </w:r>
      <w:r>
        <w:rPr>
          <w:rFonts w:asciiTheme="minorBidi" w:hAnsiTheme="minorBidi" w:hint="cs"/>
          <w:sz w:val="16"/>
          <w:szCs w:val="16"/>
          <w:rtl/>
        </w:rPr>
        <w:t>(שם)</w:t>
      </w:r>
      <w:r w:rsidRPr="003024E5">
        <w:rPr>
          <w:rFonts w:asciiTheme="minorBidi" w:hAnsiTheme="minorBidi"/>
          <w:rtl/>
        </w:rPr>
        <w:t>- אין לו תקנה בכך, לפי שהתפל כיון שאינו טרוד לפלוט בולע הדם שפולט המלוח וה"ל דם הנבלע הבא ממקום אחר שאינו נפלט ע"י המלח לגמרי</w:t>
      </w:r>
      <w:r w:rsidRPr="003024E5">
        <w:rPr>
          <w:rStyle w:val="a7"/>
          <w:rFonts w:asciiTheme="minorBidi" w:hAnsiTheme="minorBidi"/>
          <w:rtl/>
        </w:rPr>
        <w:footnoteReference w:id="411"/>
      </w:r>
      <w:r w:rsidRPr="003024E5">
        <w:rPr>
          <w:rFonts w:asciiTheme="minorBidi" w:hAnsiTheme="minorBidi"/>
          <w:rtl/>
        </w:rPr>
        <w:t>.</w:t>
      </w:r>
    </w:p>
    <w:p w14:paraId="50B8258D" w14:textId="77777777" w:rsidR="002C39F4" w:rsidRPr="003024E5" w:rsidRDefault="002C39F4" w:rsidP="002C39F4">
      <w:pPr>
        <w:pStyle w:val="a8"/>
        <w:numPr>
          <w:ilvl w:val="0"/>
          <w:numId w:val="36"/>
        </w:numPr>
        <w:rPr>
          <w:rFonts w:asciiTheme="minorBidi" w:hAnsiTheme="minorBidi"/>
        </w:rPr>
      </w:pPr>
      <w:r w:rsidRPr="00B9426C">
        <w:rPr>
          <w:rFonts w:asciiTheme="minorBidi" w:hAnsiTheme="minorBidi"/>
          <w:b/>
          <w:bCs/>
          <w:rtl/>
        </w:rPr>
        <w:t>סה"ת</w:t>
      </w:r>
      <w:r w:rsidRPr="003024E5">
        <w:rPr>
          <w:rFonts w:asciiTheme="minorBidi" w:hAnsiTheme="minorBidi"/>
          <w:rtl/>
        </w:rPr>
        <w:t xml:space="preserve"> </w:t>
      </w:r>
      <w:r w:rsidRPr="003024E5">
        <w:rPr>
          <w:rFonts w:asciiTheme="minorBidi" w:hAnsiTheme="minorBidi"/>
          <w:sz w:val="16"/>
          <w:szCs w:val="16"/>
          <w:rtl/>
        </w:rPr>
        <w:t xml:space="preserve">(סי' מט) </w:t>
      </w:r>
      <w:r w:rsidRPr="00B9426C">
        <w:rPr>
          <w:rFonts w:asciiTheme="minorBidi" w:hAnsiTheme="minorBidi"/>
          <w:b/>
          <w:bCs/>
          <w:rtl/>
        </w:rPr>
        <w:t>ה"ר יונה</w:t>
      </w:r>
      <w:r w:rsidRPr="003024E5">
        <w:rPr>
          <w:rFonts w:asciiTheme="minorBidi" w:hAnsiTheme="minorBidi"/>
          <w:rtl/>
        </w:rPr>
        <w:t xml:space="preserve"> </w:t>
      </w:r>
      <w:r w:rsidRPr="003024E5">
        <w:rPr>
          <w:rFonts w:asciiTheme="minorBidi" w:hAnsiTheme="minorBidi"/>
          <w:sz w:val="16"/>
          <w:szCs w:val="16"/>
          <w:rtl/>
        </w:rPr>
        <w:t>(הביאו הר"ן)</w:t>
      </w:r>
      <w:r w:rsidRPr="003024E5">
        <w:rPr>
          <w:rFonts w:asciiTheme="minorBidi" w:hAnsiTheme="minorBidi"/>
          <w:rtl/>
        </w:rPr>
        <w:t xml:space="preserve"> </w:t>
      </w:r>
      <w:r w:rsidRPr="00B9426C">
        <w:rPr>
          <w:rFonts w:asciiTheme="minorBidi" w:hAnsiTheme="minorBidi"/>
          <w:b/>
          <w:bCs/>
          <w:rtl/>
        </w:rPr>
        <w:t>ורשב"א</w:t>
      </w:r>
      <w:r w:rsidRPr="003024E5">
        <w:rPr>
          <w:rFonts w:asciiTheme="minorBidi" w:hAnsiTheme="minorBidi"/>
          <w:sz w:val="16"/>
          <w:szCs w:val="16"/>
          <w:rtl/>
        </w:rPr>
        <w:t xml:space="preserve"> (תוה"</w:t>
      </w:r>
      <w:r>
        <w:rPr>
          <w:rFonts w:asciiTheme="minorBidi" w:hAnsiTheme="minorBidi" w:hint="cs"/>
          <w:sz w:val="16"/>
          <w:szCs w:val="16"/>
          <w:rtl/>
        </w:rPr>
        <w:t xml:space="preserve">ק </w:t>
      </w:r>
      <w:r w:rsidRPr="003024E5">
        <w:rPr>
          <w:rFonts w:asciiTheme="minorBidi" w:hAnsiTheme="minorBidi"/>
          <w:sz w:val="16"/>
          <w:szCs w:val="16"/>
          <w:rtl/>
        </w:rPr>
        <w:t>עב סוע"ב)</w:t>
      </w:r>
      <w:r w:rsidRPr="003024E5">
        <w:rPr>
          <w:rFonts w:asciiTheme="minorBidi" w:hAnsiTheme="minorBidi"/>
          <w:rtl/>
        </w:rPr>
        <w:t>- יש לו תקנה בכך ומותר</w:t>
      </w:r>
      <w:r w:rsidRPr="003024E5">
        <w:rPr>
          <w:rStyle w:val="a7"/>
          <w:rFonts w:asciiTheme="minorBidi" w:hAnsiTheme="minorBidi"/>
          <w:rtl/>
        </w:rPr>
        <w:footnoteReference w:id="412"/>
      </w:r>
      <w:r w:rsidRPr="003024E5">
        <w:rPr>
          <w:rFonts w:asciiTheme="minorBidi" w:hAnsiTheme="minorBidi"/>
          <w:rtl/>
        </w:rPr>
        <w:t>.</w:t>
      </w:r>
      <w:r>
        <w:rPr>
          <w:rFonts w:asciiTheme="minorBidi" w:hAnsiTheme="minorBidi" w:hint="cs"/>
          <w:rtl/>
        </w:rPr>
        <w:t xml:space="preserve"> </w:t>
      </w:r>
      <w:r w:rsidRPr="007E48C9">
        <w:rPr>
          <w:rFonts w:asciiTheme="minorBidi" w:hAnsiTheme="minorBidi" w:hint="cs"/>
          <w:color w:val="00B0F0"/>
          <w:rtl/>
        </w:rPr>
        <w:t>(וכ"פ הרמ"א)</w:t>
      </w:r>
    </w:p>
    <w:p w14:paraId="43856B76"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לדעת המתירים</w:t>
      </w:r>
      <w:r>
        <w:rPr>
          <w:rFonts w:asciiTheme="minorBidi" w:hAnsiTheme="minorBidi" w:hint="cs"/>
          <w:u w:val="dotted"/>
          <w:rtl/>
        </w:rPr>
        <w:t xml:space="preserve"> </w:t>
      </w:r>
      <w:r w:rsidRPr="003024E5">
        <w:rPr>
          <w:rFonts w:asciiTheme="minorBidi" w:hAnsiTheme="minorBidi"/>
          <w:u w:val="dotted"/>
          <w:rtl/>
        </w:rPr>
        <w:t xml:space="preserve">- האם המליחה הנ"ל מועילה גם לבשר שכבר נמלח ויצא מידי דמו </w:t>
      </w:r>
      <w:r w:rsidRPr="003024E5">
        <w:rPr>
          <w:rFonts w:asciiTheme="minorBidi" w:hAnsiTheme="minorBidi"/>
          <w:sz w:val="16"/>
          <w:szCs w:val="16"/>
          <w:u w:val="dotted"/>
          <w:rtl/>
        </w:rPr>
        <w:t>(</w:t>
      </w:r>
      <w:r>
        <w:rPr>
          <w:rFonts w:asciiTheme="minorBidi" w:hAnsiTheme="minorBidi" w:hint="cs"/>
          <w:sz w:val="16"/>
          <w:szCs w:val="16"/>
          <w:u w:val="dotted"/>
          <w:rtl/>
        </w:rPr>
        <w:t>ש</w:t>
      </w:r>
      <w:r w:rsidRPr="003024E5">
        <w:rPr>
          <w:rFonts w:asciiTheme="minorBidi" w:hAnsiTheme="minorBidi"/>
          <w:sz w:val="16"/>
          <w:szCs w:val="16"/>
          <w:u w:val="dotted"/>
          <w:rtl/>
        </w:rPr>
        <w:t xml:space="preserve">הונח ליד בשר מלוח </w:t>
      </w:r>
      <w:r>
        <w:rPr>
          <w:rFonts w:asciiTheme="minorBidi" w:hAnsiTheme="minorBidi" w:hint="cs"/>
          <w:sz w:val="16"/>
          <w:szCs w:val="16"/>
          <w:u w:val="dotted"/>
          <w:rtl/>
        </w:rPr>
        <w:t>ש</w:t>
      </w:r>
      <w:r w:rsidRPr="003024E5">
        <w:rPr>
          <w:rFonts w:asciiTheme="minorBidi" w:hAnsiTheme="minorBidi"/>
          <w:sz w:val="16"/>
          <w:szCs w:val="16"/>
          <w:u w:val="dotted"/>
          <w:rtl/>
        </w:rPr>
        <w:t>מלחו עליו)</w:t>
      </w:r>
      <w:r w:rsidRPr="003024E5">
        <w:rPr>
          <w:rFonts w:asciiTheme="minorBidi" w:hAnsiTheme="minorBidi"/>
          <w:u w:val="dotted"/>
          <w:rtl/>
        </w:rPr>
        <w:t xml:space="preserve">: </w:t>
      </w:r>
    </w:p>
    <w:p w14:paraId="70787484" w14:textId="77777777" w:rsidR="002C39F4" w:rsidRPr="003024E5" w:rsidRDefault="002C39F4" w:rsidP="002C39F4">
      <w:pPr>
        <w:pStyle w:val="a8"/>
        <w:numPr>
          <w:ilvl w:val="0"/>
          <w:numId w:val="36"/>
        </w:numPr>
        <w:rPr>
          <w:rFonts w:asciiTheme="minorBidi" w:hAnsiTheme="minorBidi"/>
        </w:rPr>
      </w:pPr>
      <w:r w:rsidRPr="00B9426C">
        <w:rPr>
          <w:rFonts w:asciiTheme="minorBidi" w:hAnsiTheme="minorBidi"/>
          <w:b/>
          <w:bCs/>
          <w:rtl/>
        </w:rPr>
        <w:t>רשב"א ור"ן</w:t>
      </w:r>
      <w:r w:rsidRPr="003024E5">
        <w:rPr>
          <w:rFonts w:asciiTheme="minorBidi" w:hAnsiTheme="minorBidi"/>
          <w:rtl/>
        </w:rPr>
        <w:t>- אפילו לסברא זו</w:t>
      </w:r>
      <w:r w:rsidRPr="003024E5">
        <w:rPr>
          <w:rFonts w:asciiTheme="minorBidi" w:hAnsiTheme="minorBidi"/>
          <w:sz w:val="16"/>
          <w:szCs w:val="16"/>
          <w:rtl/>
        </w:rPr>
        <w:t xml:space="preserve"> {של ה"ר יונה}</w:t>
      </w:r>
      <w:r w:rsidRPr="003024E5">
        <w:rPr>
          <w:rFonts w:asciiTheme="minorBidi" w:hAnsiTheme="minorBidi"/>
          <w:rtl/>
        </w:rPr>
        <w:t xml:space="preserve"> כל שנמלח ויצא מידי דמו והודח אין מניחין אותו אצל בשר אחר בעוד שמלחו עליו ופולט דם לפי שזה בולע דם פליטת האחר ושוב אין לו תקנה במליחה </w:t>
      </w:r>
      <w:r w:rsidRPr="003024E5">
        <w:rPr>
          <w:rFonts w:asciiTheme="minorBidi" w:hAnsiTheme="minorBidi"/>
          <w:sz w:val="16"/>
          <w:szCs w:val="16"/>
          <w:rtl/>
        </w:rPr>
        <w:t>(ל' הר"ן)</w:t>
      </w:r>
      <w:r w:rsidRPr="003024E5">
        <w:rPr>
          <w:rFonts w:asciiTheme="minorBidi" w:hAnsiTheme="minorBidi"/>
          <w:rtl/>
        </w:rPr>
        <w:t xml:space="preserve">. </w:t>
      </w:r>
    </w:p>
    <w:p w14:paraId="581AE64F" w14:textId="77777777" w:rsidR="002C39F4" w:rsidRPr="003024E5" w:rsidRDefault="002C39F4" w:rsidP="002C39F4">
      <w:pPr>
        <w:pStyle w:val="a8"/>
        <w:numPr>
          <w:ilvl w:val="0"/>
          <w:numId w:val="36"/>
        </w:numPr>
        <w:rPr>
          <w:rFonts w:asciiTheme="minorBidi" w:hAnsiTheme="minorBidi"/>
        </w:rPr>
      </w:pPr>
      <w:r w:rsidRPr="00B9426C">
        <w:rPr>
          <w:rFonts w:asciiTheme="minorBidi" w:hAnsiTheme="minorBidi"/>
          <w:b/>
          <w:bCs/>
          <w:rtl/>
        </w:rPr>
        <w:t>י"א</w:t>
      </w:r>
      <w:r w:rsidRPr="003024E5">
        <w:rPr>
          <w:rFonts w:asciiTheme="minorBidi" w:hAnsiTheme="minorBidi"/>
          <w:rtl/>
        </w:rPr>
        <w:t xml:space="preserve"> </w:t>
      </w:r>
      <w:r w:rsidRPr="003024E5">
        <w:rPr>
          <w:rFonts w:asciiTheme="minorBidi" w:hAnsiTheme="minorBidi"/>
          <w:sz w:val="16"/>
          <w:szCs w:val="16"/>
          <w:rtl/>
        </w:rPr>
        <w:t>(הביאם הרשב"א)</w:t>
      </w:r>
      <w:r w:rsidRPr="003024E5">
        <w:rPr>
          <w:rFonts w:asciiTheme="minorBidi" w:hAnsiTheme="minorBidi"/>
          <w:rtl/>
        </w:rPr>
        <w:t>- גם בזה מותר ע"י מליחה</w:t>
      </w:r>
      <w:r w:rsidRPr="003024E5">
        <w:rPr>
          <w:rStyle w:val="a7"/>
          <w:rFonts w:asciiTheme="minorBidi" w:hAnsiTheme="minorBidi"/>
          <w:rtl/>
        </w:rPr>
        <w:footnoteReference w:id="413"/>
      </w:r>
      <w:r w:rsidRPr="003024E5">
        <w:rPr>
          <w:rFonts w:asciiTheme="minorBidi" w:hAnsiTheme="minorBidi"/>
          <w:rtl/>
        </w:rPr>
        <w:t>.</w:t>
      </w:r>
    </w:p>
    <w:p w14:paraId="1B02565E" w14:textId="77777777" w:rsidR="002C39F4" w:rsidRPr="003024E5" w:rsidRDefault="002C39F4" w:rsidP="002C39F4">
      <w:pPr>
        <w:pStyle w:val="a8"/>
        <w:numPr>
          <w:ilvl w:val="0"/>
          <w:numId w:val="36"/>
        </w:numPr>
        <w:rPr>
          <w:rFonts w:asciiTheme="minorBidi" w:hAnsiTheme="minorBidi"/>
          <w:rtl/>
        </w:rPr>
      </w:pPr>
      <w:r w:rsidRPr="00B9426C">
        <w:rPr>
          <w:rFonts w:asciiTheme="minorBidi" w:hAnsiTheme="minorBidi"/>
          <w:b/>
          <w:bCs/>
          <w:rtl/>
        </w:rPr>
        <w:t>ר"ת</w:t>
      </w:r>
      <w:r w:rsidRPr="003024E5">
        <w:rPr>
          <w:rFonts w:asciiTheme="minorBidi" w:hAnsiTheme="minorBidi"/>
          <w:rtl/>
        </w:rPr>
        <w:t xml:space="preserve"> </w:t>
      </w:r>
      <w:r w:rsidRPr="003024E5">
        <w:rPr>
          <w:rFonts w:asciiTheme="minorBidi" w:hAnsiTheme="minorBidi"/>
          <w:sz w:val="16"/>
          <w:szCs w:val="16"/>
          <w:rtl/>
        </w:rPr>
        <w:t>(הביאו רי"ו [נט"ו כה קלד ע"ד], הביאו הב"י בבדה"ב)</w:t>
      </w:r>
      <w:r w:rsidRPr="003024E5">
        <w:rPr>
          <w:rFonts w:asciiTheme="minorBidi" w:hAnsiTheme="minorBidi"/>
          <w:rtl/>
        </w:rPr>
        <w:t>- מותר אף ללא מליחה דדם משרק שריק.</w:t>
      </w:r>
    </w:p>
    <w:p w14:paraId="43B81CAE" w14:textId="77777777" w:rsidR="002C39F4" w:rsidRPr="003024E5" w:rsidRDefault="002C39F4" w:rsidP="002C39F4">
      <w:pPr>
        <w:rPr>
          <w:rFonts w:asciiTheme="minorBidi" w:hAnsiTheme="minorBidi"/>
          <w:rtl/>
        </w:rPr>
      </w:pPr>
      <w:r w:rsidRPr="003024E5">
        <w:rPr>
          <w:rFonts w:asciiTheme="minorBidi" w:hAnsiTheme="minorBidi"/>
          <w:u w:val="single"/>
          <w:rtl/>
        </w:rPr>
        <w:t xml:space="preserve">חתיכת בשר </w:t>
      </w:r>
      <w:r>
        <w:rPr>
          <w:rFonts w:asciiTheme="minorBidi" w:hAnsiTheme="minorBidi" w:hint="cs"/>
          <w:u w:val="single"/>
          <w:rtl/>
        </w:rPr>
        <w:t xml:space="preserve">שלא הודחה ולא נמלחה </w:t>
      </w:r>
      <w:r w:rsidRPr="003024E5">
        <w:rPr>
          <w:rFonts w:asciiTheme="minorBidi" w:hAnsiTheme="minorBidi"/>
          <w:u w:val="single"/>
          <w:rtl/>
        </w:rPr>
        <w:t xml:space="preserve">שנפלה לציר </w:t>
      </w:r>
      <w:r w:rsidRPr="00A21814">
        <w:rPr>
          <w:rFonts w:asciiTheme="minorBidi" w:hAnsiTheme="minorBidi" w:hint="cs"/>
          <w:sz w:val="16"/>
          <w:szCs w:val="16"/>
          <w:u w:val="single"/>
          <w:rtl/>
        </w:rPr>
        <w:t>(</w:t>
      </w:r>
      <w:r w:rsidRPr="00A21814">
        <w:rPr>
          <w:rFonts w:asciiTheme="minorBidi" w:hAnsiTheme="minorBidi"/>
          <w:sz w:val="16"/>
          <w:szCs w:val="16"/>
          <w:u w:val="single"/>
          <w:rtl/>
        </w:rPr>
        <w:t>או שנפל עליה ציר</w:t>
      </w:r>
      <w:r w:rsidRPr="00A21814">
        <w:rPr>
          <w:rFonts w:asciiTheme="minorBidi" w:hAnsiTheme="minorBidi" w:hint="cs"/>
          <w:sz w:val="16"/>
          <w:szCs w:val="16"/>
          <w:u w:val="single"/>
          <w:rtl/>
        </w:rPr>
        <w:t>)</w:t>
      </w:r>
      <w:r w:rsidRPr="003024E5">
        <w:rPr>
          <w:rFonts w:asciiTheme="minorBidi" w:hAnsiTheme="minorBidi"/>
          <w:u w:val="single"/>
          <w:rtl/>
        </w:rPr>
        <w:t>:</w:t>
      </w:r>
      <w:r w:rsidRPr="003024E5">
        <w:rPr>
          <w:rFonts w:asciiTheme="minorBidi" w:hAnsiTheme="minorBidi"/>
          <w:rtl/>
        </w:rPr>
        <w:t xml:space="preserve">   </w:t>
      </w:r>
      <w:r w:rsidRPr="003024E5">
        <w:rPr>
          <w:rFonts w:asciiTheme="minorBidi" w:hAnsiTheme="minorBidi"/>
          <w:sz w:val="16"/>
          <w:szCs w:val="16"/>
          <w:rtl/>
        </w:rPr>
        <w:t>(דרכ"מ אות יג)</w:t>
      </w:r>
      <w:r w:rsidRPr="003024E5">
        <w:rPr>
          <w:rFonts w:asciiTheme="minorBidi" w:hAnsiTheme="minorBidi"/>
          <w:rtl/>
        </w:rPr>
        <w:t xml:space="preserve"> </w:t>
      </w:r>
    </w:p>
    <w:p w14:paraId="09311276" w14:textId="77777777" w:rsidR="002C39F4" w:rsidRPr="003024E5" w:rsidRDefault="002C39F4" w:rsidP="002C39F4">
      <w:pPr>
        <w:pStyle w:val="a8"/>
        <w:numPr>
          <w:ilvl w:val="0"/>
          <w:numId w:val="36"/>
        </w:numPr>
        <w:rPr>
          <w:rFonts w:asciiTheme="minorBidi" w:hAnsiTheme="minorBidi"/>
        </w:rPr>
      </w:pPr>
      <w:r w:rsidRPr="00B9426C">
        <w:rPr>
          <w:rFonts w:asciiTheme="minorBidi" w:hAnsiTheme="minorBidi"/>
          <w:b/>
          <w:bCs/>
          <w:rtl/>
        </w:rPr>
        <w:t>מרדכי</w:t>
      </w:r>
      <w:r w:rsidRPr="003024E5">
        <w:rPr>
          <w:rFonts w:asciiTheme="minorBidi" w:hAnsiTheme="minorBidi"/>
          <w:rtl/>
        </w:rPr>
        <w:t xml:space="preserve"> </w:t>
      </w:r>
      <w:r w:rsidRPr="003024E5">
        <w:rPr>
          <w:rFonts w:asciiTheme="minorBidi" w:hAnsiTheme="minorBidi"/>
          <w:sz w:val="16"/>
          <w:szCs w:val="16"/>
          <w:rtl/>
        </w:rPr>
        <w:t xml:space="preserve">(סי' תשכד ותשכז) </w:t>
      </w:r>
      <w:r w:rsidRPr="00B9426C">
        <w:rPr>
          <w:rFonts w:asciiTheme="minorBidi" w:hAnsiTheme="minorBidi"/>
          <w:b/>
          <w:bCs/>
          <w:rtl/>
        </w:rPr>
        <w:t>שע"ד</w:t>
      </w:r>
      <w:r w:rsidRPr="003024E5">
        <w:rPr>
          <w:rFonts w:asciiTheme="minorBidi" w:hAnsiTheme="minorBidi"/>
          <w:rtl/>
        </w:rPr>
        <w:t xml:space="preserve"> </w:t>
      </w:r>
      <w:r w:rsidRPr="003024E5">
        <w:rPr>
          <w:rFonts w:asciiTheme="minorBidi" w:hAnsiTheme="minorBidi"/>
          <w:sz w:val="16"/>
          <w:szCs w:val="16"/>
          <w:rtl/>
        </w:rPr>
        <w:t>(סי' ו)</w:t>
      </w:r>
      <w:r w:rsidRPr="003024E5">
        <w:rPr>
          <w:rFonts w:asciiTheme="minorBidi" w:hAnsiTheme="minorBidi"/>
          <w:rtl/>
        </w:rPr>
        <w:t xml:space="preserve"> </w:t>
      </w:r>
      <w:r w:rsidRPr="00B9426C">
        <w:rPr>
          <w:rFonts w:asciiTheme="minorBidi" w:hAnsiTheme="minorBidi"/>
          <w:b/>
          <w:bCs/>
          <w:rtl/>
        </w:rPr>
        <w:t>ו</w:t>
      </w:r>
      <w:r>
        <w:rPr>
          <w:rFonts w:asciiTheme="minorBidi" w:hAnsiTheme="minorBidi"/>
          <w:b/>
          <w:bCs/>
          <w:rtl/>
        </w:rPr>
        <w:t>או"ה</w:t>
      </w:r>
      <w:r w:rsidRPr="003024E5">
        <w:rPr>
          <w:rFonts w:asciiTheme="minorBidi" w:hAnsiTheme="minorBidi"/>
          <w:rtl/>
        </w:rPr>
        <w:t xml:space="preserve"> </w:t>
      </w:r>
      <w:r w:rsidRPr="003024E5">
        <w:rPr>
          <w:rFonts w:asciiTheme="minorBidi" w:hAnsiTheme="minorBidi"/>
          <w:sz w:val="16"/>
          <w:szCs w:val="16"/>
          <w:rtl/>
        </w:rPr>
        <w:t>(כלל ה דין א)</w:t>
      </w:r>
      <w:r w:rsidRPr="003024E5">
        <w:rPr>
          <w:rFonts w:asciiTheme="minorBidi" w:hAnsiTheme="minorBidi"/>
          <w:rtl/>
        </w:rPr>
        <w:t>- חוזר ומדיחו</w:t>
      </w:r>
      <w:r w:rsidRPr="003024E5">
        <w:rPr>
          <w:rStyle w:val="a7"/>
          <w:rFonts w:asciiTheme="minorBidi" w:hAnsiTheme="minorBidi"/>
          <w:rtl/>
        </w:rPr>
        <w:footnoteReference w:id="414"/>
      </w:r>
      <w:r w:rsidRPr="003024E5">
        <w:rPr>
          <w:rFonts w:asciiTheme="minorBidi" w:hAnsiTheme="minorBidi"/>
          <w:rtl/>
        </w:rPr>
        <w:t xml:space="preserve"> מעליו ומולחו ומותר אפילו לקדירה </w:t>
      </w:r>
      <w:r w:rsidRPr="00977409">
        <w:rPr>
          <w:rFonts w:asciiTheme="minorBidi" w:hAnsiTheme="minorBidi"/>
          <w:rtl/>
        </w:rPr>
        <w:t>אע"ג דלא שייך ביה משרק שריק, לפי שחוזר הדם ופולט ממנו ע"י המליחה דאגב דפליט דם דידיה פליט נמי דחבריה</w:t>
      </w:r>
      <w:r w:rsidRPr="003024E5">
        <w:rPr>
          <w:rStyle w:val="a7"/>
          <w:rFonts w:asciiTheme="minorBidi" w:hAnsiTheme="minorBidi"/>
          <w:rtl/>
        </w:rPr>
        <w:footnoteReference w:id="415"/>
      </w:r>
      <w:r w:rsidRPr="003024E5">
        <w:rPr>
          <w:rFonts w:asciiTheme="minorBidi" w:hAnsiTheme="minorBidi"/>
          <w:rtl/>
        </w:rPr>
        <w:t>, אבל אם נמלח כבר אסור</w:t>
      </w:r>
      <w:r w:rsidRPr="003024E5">
        <w:rPr>
          <w:rStyle w:val="a7"/>
          <w:rFonts w:asciiTheme="minorBidi" w:hAnsiTheme="minorBidi"/>
          <w:rtl/>
        </w:rPr>
        <w:footnoteReference w:id="416"/>
      </w:r>
      <w:r w:rsidRPr="003024E5">
        <w:rPr>
          <w:rFonts w:asciiTheme="minorBidi" w:hAnsiTheme="minorBidi"/>
          <w:rtl/>
        </w:rPr>
        <w:t xml:space="preserve">. </w:t>
      </w:r>
      <w:r w:rsidRPr="003024E5">
        <w:rPr>
          <w:rFonts w:asciiTheme="minorBidi" w:hAnsiTheme="minorBidi"/>
          <w:color w:val="00B0F0"/>
          <w:rtl/>
        </w:rPr>
        <w:t>(וכ"פ הרמ"א)</w:t>
      </w:r>
    </w:p>
    <w:p w14:paraId="3A9DE4C7" w14:textId="77777777" w:rsidR="002C39F4" w:rsidRPr="003024E5" w:rsidRDefault="002C39F4" w:rsidP="002C39F4">
      <w:pPr>
        <w:pStyle w:val="a8"/>
        <w:numPr>
          <w:ilvl w:val="0"/>
          <w:numId w:val="36"/>
        </w:numPr>
        <w:rPr>
          <w:rFonts w:asciiTheme="minorBidi" w:hAnsiTheme="minorBidi"/>
          <w:rtl/>
        </w:rPr>
      </w:pPr>
      <w:r w:rsidRPr="00B9426C">
        <w:rPr>
          <w:rFonts w:asciiTheme="minorBidi" w:hAnsiTheme="minorBidi"/>
          <w:b/>
          <w:bCs/>
          <w:rtl/>
        </w:rPr>
        <w:t>מהרא"י</w:t>
      </w:r>
      <w:r w:rsidRPr="003024E5">
        <w:rPr>
          <w:rFonts w:asciiTheme="minorBidi" w:hAnsiTheme="minorBidi"/>
          <w:rtl/>
        </w:rPr>
        <w:t xml:space="preserve"> </w:t>
      </w:r>
      <w:r w:rsidRPr="003024E5">
        <w:rPr>
          <w:rFonts w:asciiTheme="minorBidi" w:hAnsiTheme="minorBidi"/>
          <w:sz w:val="16"/>
          <w:szCs w:val="16"/>
          <w:rtl/>
        </w:rPr>
        <w:t>(בהגשע"ד סק"ו)</w:t>
      </w:r>
      <w:r w:rsidRPr="003024E5">
        <w:rPr>
          <w:rFonts w:asciiTheme="minorBidi" w:hAnsiTheme="minorBidi"/>
          <w:rtl/>
        </w:rPr>
        <w:t>- אסור</w:t>
      </w:r>
      <w:r>
        <w:rPr>
          <w:rFonts w:asciiTheme="minorBidi" w:hAnsiTheme="minorBidi" w:hint="cs"/>
          <w:rtl/>
        </w:rPr>
        <w:t>,</w:t>
      </w:r>
      <w:r w:rsidRPr="003024E5">
        <w:rPr>
          <w:rFonts w:asciiTheme="minorBidi" w:hAnsiTheme="minorBidi"/>
          <w:rtl/>
        </w:rPr>
        <w:t xml:space="preserve"> כיון דמסקינן לעיל שחתיכה שלא הודחה ונמלחה אסור ולא אמרינן ביה כבולעו כך פולטו אפילו לגבי מליחה ולאלתר</w:t>
      </w:r>
      <w:r>
        <w:rPr>
          <w:rFonts w:asciiTheme="minorBidi" w:hAnsiTheme="minorBidi" w:hint="cs"/>
          <w:rtl/>
        </w:rPr>
        <w:t>,</w:t>
      </w:r>
      <w:r w:rsidRPr="003024E5">
        <w:rPr>
          <w:rFonts w:asciiTheme="minorBidi" w:hAnsiTheme="minorBidi"/>
          <w:rtl/>
        </w:rPr>
        <w:t xml:space="preserve"> כל שכן גבי כבוש שהוא כמבושל שהוא חמור מרותח דצלי, ועוד שכאן הוא הפליטה לאחר זמן הבליעה שאסור.</w:t>
      </w:r>
    </w:p>
    <w:p w14:paraId="565E6AB4" w14:textId="77777777" w:rsidR="002C39F4" w:rsidRPr="003024E5" w:rsidRDefault="002C39F4" w:rsidP="002C39F4">
      <w:pPr>
        <w:ind w:left="360"/>
        <w:rPr>
          <w:rFonts w:asciiTheme="minorBidi" w:hAnsiTheme="minorBidi"/>
          <w:u w:val="dotted"/>
          <w:rtl/>
        </w:rPr>
      </w:pPr>
      <w:r w:rsidRPr="003024E5">
        <w:rPr>
          <w:rFonts w:asciiTheme="minorBidi" w:hAnsiTheme="minorBidi"/>
          <w:u w:val="dotted"/>
          <w:rtl/>
        </w:rPr>
        <w:t>איזה ציר נחשב רותח לעניין זה:</w:t>
      </w:r>
      <w:r w:rsidRPr="003024E5">
        <w:rPr>
          <w:rFonts w:asciiTheme="minorBidi" w:hAnsiTheme="minorBidi"/>
          <w:rtl/>
        </w:rPr>
        <w:t xml:space="preserve">  </w:t>
      </w:r>
      <w:r w:rsidRPr="003024E5">
        <w:rPr>
          <w:rFonts w:asciiTheme="minorBidi" w:hAnsiTheme="minorBidi"/>
          <w:sz w:val="16"/>
          <w:szCs w:val="16"/>
          <w:rtl/>
        </w:rPr>
        <w:t>(</w:t>
      </w:r>
      <w:r>
        <w:rPr>
          <w:rFonts w:asciiTheme="minorBidi" w:hAnsiTheme="minorBidi" w:hint="cs"/>
          <w:sz w:val="16"/>
          <w:szCs w:val="16"/>
          <w:rtl/>
        </w:rPr>
        <w:t>ב"י [סי' סט], ו</w:t>
      </w:r>
      <w:r w:rsidRPr="003024E5">
        <w:rPr>
          <w:rFonts w:asciiTheme="minorBidi" w:hAnsiTheme="minorBidi"/>
          <w:sz w:val="16"/>
          <w:szCs w:val="16"/>
          <w:rtl/>
        </w:rPr>
        <w:t xml:space="preserve">דרכ"מ </w:t>
      </w:r>
      <w:r>
        <w:rPr>
          <w:rFonts w:asciiTheme="minorBidi" w:hAnsiTheme="minorBidi" w:hint="cs"/>
          <w:sz w:val="16"/>
          <w:szCs w:val="16"/>
          <w:rtl/>
        </w:rPr>
        <w:t xml:space="preserve">[בסימן זה </w:t>
      </w:r>
      <w:r w:rsidRPr="003024E5">
        <w:rPr>
          <w:rFonts w:asciiTheme="minorBidi" w:hAnsiTheme="minorBidi"/>
          <w:sz w:val="16"/>
          <w:szCs w:val="16"/>
          <w:rtl/>
        </w:rPr>
        <w:t>אות יג</w:t>
      </w:r>
      <w:r>
        <w:rPr>
          <w:rFonts w:asciiTheme="minorBidi" w:hAnsiTheme="minorBidi" w:hint="cs"/>
          <w:sz w:val="16"/>
          <w:szCs w:val="16"/>
          <w:rtl/>
        </w:rPr>
        <w:t>]</w:t>
      </w:r>
      <w:r w:rsidRPr="003024E5">
        <w:rPr>
          <w:rFonts w:asciiTheme="minorBidi" w:hAnsiTheme="minorBidi"/>
          <w:sz w:val="16"/>
          <w:szCs w:val="16"/>
          <w:rtl/>
        </w:rPr>
        <w:t>)</w:t>
      </w:r>
    </w:p>
    <w:p w14:paraId="7F304F02" w14:textId="77777777" w:rsidR="002C39F4" w:rsidRPr="00FE65D4" w:rsidRDefault="002C39F4" w:rsidP="002C39F4">
      <w:pPr>
        <w:pStyle w:val="a8"/>
        <w:numPr>
          <w:ilvl w:val="0"/>
          <w:numId w:val="37"/>
        </w:numPr>
        <w:rPr>
          <w:rFonts w:asciiTheme="minorBidi" w:hAnsiTheme="minorBidi"/>
        </w:rPr>
      </w:pPr>
      <w:r w:rsidRPr="00FE65D4">
        <w:rPr>
          <w:rFonts w:asciiTheme="minorBidi" w:hAnsiTheme="minorBidi"/>
          <w:b/>
          <w:bCs/>
          <w:rtl/>
        </w:rPr>
        <w:t>סה"ת</w:t>
      </w:r>
      <w:r w:rsidRPr="003024E5">
        <w:rPr>
          <w:rFonts w:asciiTheme="minorBidi" w:hAnsiTheme="minorBidi"/>
          <w:sz w:val="16"/>
          <w:szCs w:val="16"/>
          <w:rtl/>
        </w:rPr>
        <w:t xml:space="preserve"> (סי' סב, הביאו המרדכי סי' תשכד)</w:t>
      </w:r>
      <w:r>
        <w:rPr>
          <w:rFonts w:asciiTheme="minorBidi" w:hAnsiTheme="minorBidi" w:hint="cs"/>
          <w:b/>
          <w:bCs/>
          <w:rtl/>
        </w:rPr>
        <w:t xml:space="preserve"> </w:t>
      </w:r>
      <w:r w:rsidRPr="00B9426C">
        <w:rPr>
          <w:rFonts w:asciiTheme="minorBidi" w:hAnsiTheme="minorBidi"/>
          <w:b/>
          <w:bCs/>
          <w:rtl/>
        </w:rPr>
        <w:t>מרדכי</w:t>
      </w:r>
      <w:r w:rsidRPr="003024E5">
        <w:rPr>
          <w:rFonts w:asciiTheme="minorBidi" w:hAnsiTheme="minorBidi"/>
          <w:rtl/>
        </w:rPr>
        <w:t xml:space="preserve"> </w:t>
      </w:r>
      <w:r w:rsidRPr="003024E5">
        <w:rPr>
          <w:rFonts w:asciiTheme="minorBidi" w:hAnsiTheme="minorBidi"/>
          <w:sz w:val="16"/>
          <w:szCs w:val="16"/>
          <w:rtl/>
        </w:rPr>
        <w:t xml:space="preserve">(סי' תשיח) </w:t>
      </w:r>
      <w:r w:rsidRPr="00B9426C">
        <w:rPr>
          <w:rFonts w:asciiTheme="minorBidi" w:hAnsiTheme="minorBidi"/>
          <w:b/>
          <w:bCs/>
          <w:rtl/>
        </w:rPr>
        <w:t>שע"ד</w:t>
      </w:r>
      <w:r w:rsidRPr="003024E5">
        <w:rPr>
          <w:rFonts w:asciiTheme="minorBidi" w:hAnsiTheme="minorBidi"/>
          <w:rtl/>
        </w:rPr>
        <w:t xml:space="preserve"> </w:t>
      </w:r>
      <w:r w:rsidRPr="003024E5">
        <w:rPr>
          <w:rFonts w:asciiTheme="minorBidi" w:hAnsiTheme="minorBidi"/>
          <w:sz w:val="16"/>
          <w:szCs w:val="16"/>
          <w:rtl/>
        </w:rPr>
        <w:t>(סי' כב)</w:t>
      </w:r>
      <w:r w:rsidRPr="00B9426C">
        <w:rPr>
          <w:rFonts w:asciiTheme="minorBidi" w:hAnsiTheme="minorBidi"/>
          <w:b/>
          <w:bCs/>
          <w:sz w:val="16"/>
          <w:szCs w:val="16"/>
          <w:rtl/>
        </w:rPr>
        <w:t xml:space="preserve"> </w:t>
      </w:r>
      <w:r w:rsidRPr="00B9426C">
        <w:rPr>
          <w:rFonts w:asciiTheme="minorBidi" w:hAnsiTheme="minorBidi"/>
          <w:b/>
          <w:bCs/>
          <w:rtl/>
        </w:rPr>
        <w:t>הגה"מ</w:t>
      </w:r>
      <w:r w:rsidRPr="003024E5">
        <w:rPr>
          <w:rFonts w:asciiTheme="minorBidi" w:hAnsiTheme="minorBidi"/>
          <w:rtl/>
        </w:rPr>
        <w:t xml:space="preserve"> </w:t>
      </w:r>
      <w:r w:rsidRPr="003024E5">
        <w:rPr>
          <w:rFonts w:asciiTheme="minorBidi" w:hAnsiTheme="minorBidi"/>
          <w:sz w:val="16"/>
          <w:szCs w:val="16"/>
          <w:rtl/>
        </w:rPr>
        <w:t>(פ"ט ד"ק הי"ח)</w:t>
      </w:r>
      <w:r w:rsidRPr="00FE65D4">
        <w:rPr>
          <w:rFonts w:asciiTheme="minorBidi" w:hAnsiTheme="minorBidi"/>
          <w:b/>
          <w:bCs/>
          <w:rtl/>
        </w:rPr>
        <w:t xml:space="preserve"> ואו"ה</w:t>
      </w:r>
      <w:r w:rsidRPr="003024E5">
        <w:rPr>
          <w:rFonts w:asciiTheme="minorBidi" w:hAnsiTheme="minorBidi"/>
          <w:sz w:val="16"/>
          <w:szCs w:val="16"/>
          <w:rtl/>
        </w:rPr>
        <w:t xml:space="preserve"> (כלל י דין ג, ז)</w:t>
      </w:r>
      <w:r w:rsidRPr="003024E5">
        <w:rPr>
          <w:rFonts w:asciiTheme="minorBidi" w:hAnsiTheme="minorBidi"/>
          <w:rtl/>
        </w:rPr>
        <w:t>- אפילו בשר שלא נמלח רק לצלי שאינו חשוב רותח מ"מ ציר הנוטף ממנו על הכלי חשוב רותח</w:t>
      </w:r>
      <w:r>
        <w:rPr>
          <w:rFonts w:asciiTheme="minorBidi" w:hAnsiTheme="minorBidi" w:hint="cs"/>
          <w:rtl/>
        </w:rPr>
        <w:t>,</w:t>
      </w:r>
      <w:r w:rsidRPr="003024E5">
        <w:rPr>
          <w:rFonts w:asciiTheme="minorBidi" w:hAnsiTheme="minorBidi"/>
          <w:rtl/>
        </w:rPr>
        <w:t xml:space="preserve"> דציר חשוב אינו נאכל מחמת מלחו כי אם ע"י טיבול</w:t>
      </w:r>
      <w:r w:rsidRPr="00FE65D4">
        <w:rPr>
          <w:rFonts w:asciiTheme="minorBidi" w:hAnsiTheme="minorBidi"/>
          <w:rtl/>
        </w:rPr>
        <w:t>.</w:t>
      </w:r>
      <w:r w:rsidRPr="00FE65D4">
        <w:rPr>
          <w:rFonts w:asciiTheme="minorBidi" w:hAnsiTheme="minorBidi"/>
          <w:color w:val="00B0F0"/>
          <w:rtl/>
        </w:rPr>
        <w:t xml:space="preserve"> (וכ"פ הרמ"א</w:t>
      </w:r>
      <w:r w:rsidRPr="00FE65D4">
        <w:rPr>
          <w:rFonts w:asciiTheme="minorBidi" w:hAnsiTheme="minorBidi" w:hint="cs"/>
          <w:color w:val="00B0F0"/>
          <w:sz w:val="16"/>
          <w:szCs w:val="16"/>
          <w:rtl/>
        </w:rPr>
        <w:t xml:space="preserve"> </w:t>
      </w:r>
      <w:r w:rsidRPr="00FE65D4">
        <w:rPr>
          <w:rFonts w:asciiTheme="minorBidi" w:hAnsiTheme="minorBidi" w:hint="cs"/>
          <w:color w:val="000000" w:themeColor="text1"/>
          <w:sz w:val="16"/>
          <w:szCs w:val="16"/>
          <w:rtl/>
        </w:rPr>
        <w:t>[סי' סט סי"ח]</w:t>
      </w:r>
      <w:r w:rsidRPr="00FE65D4">
        <w:rPr>
          <w:rFonts w:asciiTheme="minorBidi" w:hAnsiTheme="minorBidi"/>
          <w:color w:val="00B0F0"/>
          <w:rtl/>
        </w:rPr>
        <w:t>)</w:t>
      </w:r>
      <w:r w:rsidRPr="00FE65D4">
        <w:rPr>
          <w:rFonts w:asciiTheme="minorBidi" w:hAnsiTheme="minorBidi"/>
          <w:rtl/>
        </w:rPr>
        <w:t xml:space="preserve"> (וכ"פ הש"ך</w:t>
      </w:r>
      <w:r w:rsidRPr="00FE65D4">
        <w:rPr>
          <w:rFonts w:asciiTheme="minorBidi" w:hAnsiTheme="minorBidi"/>
          <w:sz w:val="16"/>
          <w:szCs w:val="16"/>
          <w:rtl/>
        </w:rPr>
        <w:t xml:space="preserve"> [</w:t>
      </w:r>
      <w:r w:rsidRPr="00FE65D4">
        <w:rPr>
          <w:rFonts w:asciiTheme="minorBidi" w:hAnsiTheme="minorBidi" w:hint="cs"/>
          <w:sz w:val="16"/>
          <w:szCs w:val="16"/>
          <w:rtl/>
        </w:rPr>
        <w:t xml:space="preserve">שם </w:t>
      </w:r>
      <w:r w:rsidRPr="00FE65D4">
        <w:rPr>
          <w:rFonts w:asciiTheme="minorBidi" w:hAnsiTheme="minorBidi"/>
          <w:sz w:val="16"/>
          <w:szCs w:val="16"/>
          <w:rtl/>
        </w:rPr>
        <w:t>סקע"א]</w:t>
      </w:r>
      <w:r w:rsidRPr="00FE65D4">
        <w:rPr>
          <w:rFonts w:asciiTheme="minorBidi" w:hAnsiTheme="minorBidi"/>
          <w:rtl/>
        </w:rPr>
        <w:t>)</w:t>
      </w:r>
    </w:p>
    <w:p w14:paraId="7B53F4D6"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(בתוה"ב שם)</w:t>
      </w:r>
      <w:r w:rsidRPr="003024E5">
        <w:rPr>
          <w:rFonts w:asciiTheme="minorBidi" w:hAnsiTheme="minorBidi"/>
          <w:rtl/>
        </w:rPr>
        <w:t>- אם נמלח במלח כל כך שפוגם את הבשר מלאכלו עמו הרי זה כרותח, וכשהדם מתקבץ בתוך הכלי הבשר ככבוש בתוכו, וכבוש הרי הוא כמבושל, לפיכך אסור, ועיקר</w:t>
      </w:r>
      <w:r w:rsidRPr="003024E5">
        <w:rPr>
          <w:rStyle w:val="a7"/>
          <w:rFonts w:asciiTheme="minorBidi" w:hAnsiTheme="minorBidi"/>
          <w:rtl/>
        </w:rPr>
        <w:footnoteReference w:id="417"/>
      </w:r>
      <w:r w:rsidRPr="003024E5">
        <w:rPr>
          <w:rFonts w:asciiTheme="minorBidi" w:hAnsiTheme="minorBidi"/>
          <w:rtl/>
        </w:rPr>
        <w:t>. (וכ"פ בב"י</w:t>
      </w:r>
      <w:r>
        <w:rPr>
          <w:rFonts w:asciiTheme="minorBidi" w:hAnsiTheme="minorBidi" w:hint="cs"/>
          <w:rtl/>
        </w:rPr>
        <w:t xml:space="preserve"> </w:t>
      </w:r>
      <w:r>
        <w:rPr>
          <w:rFonts w:asciiTheme="minorBidi" w:hAnsiTheme="minorBidi" w:hint="cs"/>
          <w:sz w:val="16"/>
          <w:szCs w:val="16"/>
          <w:rtl/>
        </w:rPr>
        <w:t>[סי' סט סי"ח]</w:t>
      </w:r>
      <w:r w:rsidRPr="003024E5">
        <w:rPr>
          <w:rStyle w:val="a7"/>
          <w:rFonts w:asciiTheme="minorBidi" w:hAnsiTheme="minorBidi"/>
          <w:rtl/>
        </w:rPr>
        <w:footnoteReference w:id="418"/>
      </w:r>
      <w:r w:rsidRPr="003024E5">
        <w:rPr>
          <w:rFonts w:asciiTheme="minorBidi" w:hAnsiTheme="minorBidi"/>
          <w:rtl/>
        </w:rPr>
        <w:t>)</w:t>
      </w:r>
    </w:p>
    <w:p w14:paraId="5EE4B259" w14:textId="77777777" w:rsidR="002C39F4" w:rsidRPr="003024E5" w:rsidRDefault="002C39F4" w:rsidP="002C39F4">
      <w:pPr>
        <w:pStyle w:val="a8"/>
        <w:numPr>
          <w:ilvl w:val="0"/>
          <w:numId w:val="22"/>
        </w:numPr>
        <w:rPr>
          <w:rFonts w:asciiTheme="minorBidi" w:hAnsiTheme="minorBidi"/>
        </w:rPr>
      </w:pPr>
      <w:r w:rsidRPr="003024E5">
        <w:rPr>
          <w:rFonts w:asciiTheme="minorBidi" w:hAnsiTheme="minorBidi"/>
          <w:rtl/>
        </w:rPr>
        <w:t xml:space="preserve">י"א </w:t>
      </w:r>
      <w:r w:rsidRPr="003024E5">
        <w:rPr>
          <w:rFonts w:asciiTheme="minorBidi" w:hAnsiTheme="minorBidi"/>
          <w:sz w:val="16"/>
          <w:szCs w:val="16"/>
          <w:rtl/>
        </w:rPr>
        <w:t>(הביאם הרשב"א בתוה"ב שם)</w:t>
      </w:r>
      <w:r w:rsidRPr="003024E5">
        <w:rPr>
          <w:rFonts w:asciiTheme="minorBidi" w:hAnsiTheme="minorBidi"/>
          <w:rtl/>
        </w:rPr>
        <w:t xml:space="preserve">- אינו אסור אא"כ נמלח הרבה כבשר שמולחין להצניע ולהוליכו בדרך מרחוק שהוא נמלח עד שאינו נאכל מחמת מלחו אף לכשיודח מן המלח. </w:t>
      </w:r>
    </w:p>
    <w:p w14:paraId="069ADCDF" w14:textId="77777777" w:rsidR="002C39F4" w:rsidRPr="003024E5" w:rsidRDefault="002C39F4" w:rsidP="002C39F4">
      <w:pPr>
        <w:rPr>
          <w:rFonts w:asciiTheme="minorBidi" w:hAnsiTheme="minorBidi"/>
          <w:u w:val="single"/>
          <w:rtl/>
        </w:rPr>
      </w:pPr>
      <w:r w:rsidRPr="003024E5">
        <w:rPr>
          <w:rFonts w:asciiTheme="minorBidi" w:hAnsiTheme="minorBidi"/>
          <w:u w:val="single"/>
          <w:rtl/>
        </w:rPr>
        <w:t>בשר שלא שהה שיעור מליחה ונפל עליו דם בעין:</w:t>
      </w:r>
      <w:r w:rsidRPr="003024E5">
        <w:rPr>
          <w:rFonts w:asciiTheme="minorBidi" w:hAnsiTheme="minorBidi"/>
          <w:rtl/>
        </w:rPr>
        <w:t xml:space="preserve">  </w:t>
      </w:r>
      <w:r w:rsidRPr="003024E5">
        <w:rPr>
          <w:rFonts w:asciiTheme="minorBidi" w:hAnsiTheme="minorBidi"/>
          <w:sz w:val="16"/>
          <w:szCs w:val="16"/>
          <w:rtl/>
        </w:rPr>
        <w:t>(דרכ"מ אות יג)</w:t>
      </w:r>
    </w:p>
    <w:p w14:paraId="7E1816FF" w14:textId="77777777" w:rsidR="002C39F4" w:rsidRPr="003024E5" w:rsidRDefault="002C39F4" w:rsidP="002C39F4">
      <w:pPr>
        <w:pStyle w:val="a8"/>
        <w:numPr>
          <w:ilvl w:val="0"/>
          <w:numId w:val="37"/>
        </w:numPr>
        <w:rPr>
          <w:rFonts w:asciiTheme="minorBidi" w:hAnsiTheme="minorBidi"/>
          <w:rtl/>
        </w:rPr>
      </w:pPr>
      <w:r>
        <w:rPr>
          <w:rFonts w:asciiTheme="minorBidi" w:hAnsiTheme="minorBidi"/>
          <w:b/>
          <w:bCs/>
          <w:rtl/>
        </w:rPr>
        <w:t>או"ה</w:t>
      </w:r>
      <w:r w:rsidRPr="003024E5">
        <w:rPr>
          <w:rFonts w:asciiTheme="minorBidi" w:hAnsiTheme="minorBidi"/>
          <w:rtl/>
        </w:rPr>
        <w:t xml:space="preserve"> </w:t>
      </w:r>
      <w:r w:rsidRPr="003024E5">
        <w:rPr>
          <w:rFonts w:asciiTheme="minorBidi" w:hAnsiTheme="minorBidi"/>
          <w:sz w:val="16"/>
          <w:szCs w:val="16"/>
          <w:rtl/>
        </w:rPr>
        <w:t>(כלל ה ד</w:t>
      </w:r>
      <w:r>
        <w:rPr>
          <w:rFonts w:asciiTheme="minorBidi" w:hAnsiTheme="minorBidi" w:hint="cs"/>
          <w:sz w:val="16"/>
          <w:szCs w:val="16"/>
          <w:rtl/>
        </w:rPr>
        <w:t>"</w:t>
      </w:r>
      <w:r w:rsidRPr="003024E5">
        <w:rPr>
          <w:rFonts w:asciiTheme="minorBidi" w:hAnsiTheme="minorBidi"/>
          <w:sz w:val="16"/>
          <w:szCs w:val="16"/>
          <w:rtl/>
        </w:rPr>
        <w:t>ח)</w:t>
      </w:r>
      <w:r w:rsidRPr="003024E5">
        <w:rPr>
          <w:rFonts w:asciiTheme="minorBidi" w:hAnsiTheme="minorBidi"/>
          <w:rtl/>
        </w:rPr>
        <w:t>- טרפה</w:t>
      </w:r>
      <w:r>
        <w:rPr>
          <w:rFonts w:asciiTheme="minorBidi" w:hAnsiTheme="minorBidi" w:hint="cs"/>
          <w:rtl/>
        </w:rPr>
        <w:t>,</w:t>
      </w:r>
      <w:r w:rsidRPr="003024E5">
        <w:rPr>
          <w:rFonts w:asciiTheme="minorBidi" w:hAnsiTheme="minorBidi"/>
          <w:rtl/>
        </w:rPr>
        <w:t xml:space="preserve"> ולא אמרינן איידי שיפלוט עוד דם דידיה יפלוט נמי דם שבלע דזה לא אמרינן גבי דם בעין רק אצל ציר אמרינן האי סברא.</w:t>
      </w:r>
      <w:r w:rsidRPr="003024E5">
        <w:rPr>
          <w:rFonts w:asciiTheme="minorBidi" w:hAnsiTheme="minorBidi"/>
          <w:color w:val="00B0F0"/>
          <w:rtl/>
        </w:rPr>
        <w:t xml:space="preserve"> (וכ"פ הרמ"א)</w:t>
      </w:r>
    </w:p>
    <w:p w14:paraId="7D37397B" w14:textId="77777777" w:rsidR="002C39F4" w:rsidRPr="003024E5" w:rsidRDefault="002C39F4" w:rsidP="002C39F4">
      <w:pPr>
        <w:rPr>
          <w:rFonts w:asciiTheme="minorBidi" w:hAnsiTheme="minorBidi"/>
          <w:u w:val="single"/>
          <w:rtl/>
        </w:rPr>
      </w:pPr>
      <w:r w:rsidRPr="003024E5">
        <w:rPr>
          <w:rFonts w:asciiTheme="minorBidi" w:hAnsiTheme="minorBidi"/>
          <w:u w:val="single"/>
          <w:rtl/>
        </w:rPr>
        <w:t>כלי</w:t>
      </w:r>
      <w:r w:rsidRPr="00977409">
        <w:rPr>
          <w:rFonts w:asciiTheme="minorBidi" w:hAnsiTheme="minorBidi"/>
          <w:u w:val="single"/>
          <w:rtl/>
        </w:rPr>
        <w:t xml:space="preserve"> </w:t>
      </w:r>
      <w:r w:rsidRPr="003024E5">
        <w:rPr>
          <w:rFonts w:asciiTheme="minorBidi" w:hAnsiTheme="minorBidi"/>
          <w:u w:val="single"/>
          <w:rtl/>
        </w:rPr>
        <w:t>שנטף על</w:t>
      </w:r>
      <w:r>
        <w:rPr>
          <w:rFonts w:asciiTheme="minorBidi" w:hAnsiTheme="minorBidi" w:hint="cs"/>
          <w:u w:val="single"/>
          <w:rtl/>
        </w:rPr>
        <w:t>יו טיפת ציר</w:t>
      </w:r>
      <w:r w:rsidRPr="003024E5">
        <w:rPr>
          <w:rFonts w:asciiTheme="minorBidi" w:hAnsiTheme="minorBidi"/>
          <w:u w:val="single"/>
          <w:rtl/>
        </w:rPr>
        <w:t>:</w:t>
      </w:r>
      <w:r w:rsidRPr="003024E5">
        <w:rPr>
          <w:rFonts w:asciiTheme="minorBidi" w:hAnsiTheme="minorBidi"/>
          <w:rtl/>
        </w:rPr>
        <w:t xml:space="preserve"> </w:t>
      </w:r>
      <w:r w:rsidRPr="003024E5">
        <w:rPr>
          <w:rFonts w:asciiTheme="minorBidi" w:hAnsiTheme="minorBidi"/>
          <w:sz w:val="16"/>
          <w:szCs w:val="16"/>
          <w:rtl/>
        </w:rPr>
        <w:t xml:space="preserve"> (דרכ"מ אות יג)</w:t>
      </w:r>
    </w:p>
    <w:p w14:paraId="4AA525D5" w14:textId="77777777" w:rsidR="002C39F4" w:rsidRPr="003024E5" w:rsidRDefault="002C39F4" w:rsidP="002C39F4">
      <w:pPr>
        <w:pStyle w:val="a8"/>
        <w:numPr>
          <w:ilvl w:val="0"/>
          <w:numId w:val="37"/>
        </w:numPr>
        <w:rPr>
          <w:rFonts w:asciiTheme="minorBidi" w:hAnsiTheme="minorBidi"/>
          <w:rtl/>
        </w:rPr>
      </w:pPr>
      <w:r>
        <w:rPr>
          <w:rFonts w:asciiTheme="minorBidi" w:hAnsiTheme="minorBidi"/>
          <w:b/>
          <w:bCs/>
          <w:rtl/>
        </w:rPr>
        <w:t>או"ה</w:t>
      </w:r>
      <w:r w:rsidRPr="003024E5">
        <w:rPr>
          <w:rFonts w:asciiTheme="minorBidi" w:hAnsiTheme="minorBidi"/>
          <w:rtl/>
        </w:rPr>
        <w:t xml:space="preserve"> </w:t>
      </w:r>
      <w:r w:rsidRPr="003024E5">
        <w:rPr>
          <w:rFonts w:asciiTheme="minorBidi" w:hAnsiTheme="minorBidi"/>
          <w:sz w:val="16"/>
          <w:szCs w:val="16"/>
          <w:rtl/>
        </w:rPr>
        <w:t>(כלל י די</w:t>
      </w:r>
      <w:r>
        <w:rPr>
          <w:rFonts w:asciiTheme="minorBidi" w:hAnsiTheme="minorBidi" w:hint="cs"/>
          <w:sz w:val="16"/>
          <w:szCs w:val="16"/>
          <w:rtl/>
        </w:rPr>
        <w:t>"</w:t>
      </w:r>
      <w:r w:rsidRPr="003024E5">
        <w:rPr>
          <w:rFonts w:asciiTheme="minorBidi" w:hAnsiTheme="minorBidi"/>
          <w:sz w:val="16"/>
          <w:szCs w:val="16"/>
          <w:rtl/>
        </w:rPr>
        <w:t>ב)</w:t>
      </w:r>
      <w:r w:rsidRPr="003024E5">
        <w:rPr>
          <w:rFonts w:asciiTheme="minorBidi" w:hAnsiTheme="minorBidi"/>
          <w:rtl/>
        </w:rPr>
        <w:t>- קולף נגד מקום הטיפה</w:t>
      </w:r>
      <w:r>
        <w:rPr>
          <w:rFonts w:asciiTheme="minorBidi" w:hAnsiTheme="minorBidi" w:hint="cs"/>
          <w:rtl/>
        </w:rPr>
        <w:t>,</w:t>
      </w:r>
      <w:r w:rsidRPr="003024E5">
        <w:rPr>
          <w:rFonts w:asciiTheme="minorBidi" w:hAnsiTheme="minorBidi"/>
          <w:rtl/>
        </w:rPr>
        <w:t xml:space="preserve"> ואין חילוק בין איכא ששים בקערה או לא דאין מבטלין איסור בכלי ולכן בעי קליפה</w:t>
      </w:r>
      <w:r w:rsidRPr="003024E5">
        <w:rPr>
          <w:rStyle w:val="a7"/>
          <w:rFonts w:asciiTheme="minorBidi" w:hAnsiTheme="minorBidi"/>
          <w:rtl/>
        </w:rPr>
        <w:footnoteReference w:id="419"/>
      </w:r>
      <w:r w:rsidRPr="003024E5">
        <w:rPr>
          <w:rFonts w:asciiTheme="minorBidi" w:hAnsiTheme="minorBidi"/>
          <w:rtl/>
        </w:rPr>
        <w:t xml:space="preserve">. </w:t>
      </w:r>
    </w:p>
    <w:p w14:paraId="3CA949DA" w14:textId="77777777" w:rsidR="002C39F4" w:rsidRPr="003024E5" w:rsidRDefault="002C39F4" w:rsidP="002C39F4">
      <w:pPr>
        <w:rPr>
          <w:rFonts w:asciiTheme="minorBidi" w:hAnsiTheme="minorBidi"/>
          <w:u w:val="single"/>
          <w:rtl/>
        </w:rPr>
      </w:pPr>
      <w:r w:rsidRPr="00E91D01">
        <w:rPr>
          <w:rFonts w:asciiTheme="minorBidi" w:hAnsiTheme="minorBidi"/>
          <w:u w:val="single"/>
          <w:rtl/>
        </w:rPr>
        <w:t>נתערבה חתיכה תפילה עם חתיכה שנמלחה בכלי שאינו מנוקב:</w:t>
      </w:r>
      <w:r w:rsidRPr="003024E5">
        <w:rPr>
          <w:rFonts w:asciiTheme="minorBidi" w:hAnsiTheme="minorBidi"/>
          <w:rtl/>
        </w:rPr>
        <w:t xml:space="preserve"> </w:t>
      </w:r>
      <w:r w:rsidRPr="003024E5">
        <w:rPr>
          <w:rFonts w:asciiTheme="minorBidi" w:hAnsiTheme="minorBidi"/>
          <w:sz w:val="16"/>
          <w:szCs w:val="16"/>
          <w:rtl/>
        </w:rPr>
        <w:t xml:space="preserve"> (דרכ"מ אות יג)</w:t>
      </w:r>
    </w:p>
    <w:p w14:paraId="4582F222" w14:textId="77777777" w:rsidR="002C39F4" w:rsidRPr="003024E5" w:rsidRDefault="002C39F4" w:rsidP="002C39F4">
      <w:pPr>
        <w:pStyle w:val="a8"/>
        <w:numPr>
          <w:ilvl w:val="0"/>
          <w:numId w:val="37"/>
        </w:numPr>
        <w:rPr>
          <w:rFonts w:asciiTheme="minorBidi" w:hAnsiTheme="minorBidi"/>
          <w:rtl/>
        </w:rPr>
      </w:pPr>
      <w:r w:rsidRPr="00B9426C">
        <w:rPr>
          <w:rFonts w:asciiTheme="minorBidi" w:hAnsiTheme="minorBidi"/>
          <w:b/>
          <w:bCs/>
          <w:rtl/>
        </w:rPr>
        <w:t>הגשע"ד</w:t>
      </w:r>
      <w:r w:rsidRPr="003024E5">
        <w:rPr>
          <w:rFonts w:asciiTheme="minorBidi" w:hAnsiTheme="minorBidi"/>
          <w:sz w:val="16"/>
          <w:szCs w:val="16"/>
          <w:rtl/>
        </w:rPr>
        <w:t xml:space="preserve"> (סי' יב סק"ד)</w:t>
      </w:r>
      <w:r w:rsidRPr="003024E5">
        <w:rPr>
          <w:rFonts w:asciiTheme="minorBidi" w:hAnsiTheme="minorBidi"/>
          <w:rtl/>
        </w:rPr>
        <w:t>- אם נתערבה חתיכה תפילה</w:t>
      </w:r>
      <w:r>
        <w:rPr>
          <w:rFonts w:asciiTheme="minorBidi" w:hAnsiTheme="minorBidi" w:hint="cs"/>
          <w:sz w:val="16"/>
          <w:szCs w:val="16"/>
          <w:rtl/>
        </w:rPr>
        <w:t xml:space="preserve"> {שנמלחה והודחה, דרכ"מ}</w:t>
      </w:r>
      <w:r>
        <w:rPr>
          <w:rFonts w:asciiTheme="minorBidi" w:hAnsiTheme="minorBidi" w:hint="cs"/>
          <w:rtl/>
        </w:rPr>
        <w:t>,</w:t>
      </w:r>
      <w:r w:rsidRPr="003024E5">
        <w:rPr>
          <w:rFonts w:asciiTheme="minorBidi" w:hAnsiTheme="minorBidi"/>
          <w:rtl/>
        </w:rPr>
        <w:t xml:space="preserve"> עם חתיכה שנמלחה בכלי שאינו מנוקב</w:t>
      </w:r>
      <w:r>
        <w:rPr>
          <w:rFonts w:asciiTheme="minorBidi" w:hAnsiTheme="minorBidi" w:hint="cs"/>
          <w:rtl/>
        </w:rPr>
        <w:t>,</w:t>
      </w:r>
      <w:r w:rsidRPr="003024E5">
        <w:rPr>
          <w:rFonts w:asciiTheme="minorBidi" w:hAnsiTheme="minorBidi"/>
          <w:rtl/>
        </w:rPr>
        <w:t xml:space="preserve"> כולן אסורות אם קבלו טעם מן החתיכה שנמלחה</w:t>
      </w:r>
      <w:r w:rsidRPr="003024E5">
        <w:rPr>
          <w:rStyle w:val="a7"/>
          <w:rFonts w:asciiTheme="minorBidi" w:hAnsiTheme="minorBidi"/>
          <w:rtl/>
        </w:rPr>
        <w:footnoteReference w:id="420"/>
      </w:r>
      <w:r w:rsidRPr="003024E5">
        <w:rPr>
          <w:rFonts w:asciiTheme="minorBidi" w:hAnsiTheme="minorBidi"/>
          <w:rtl/>
        </w:rPr>
        <w:t>.</w:t>
      </w:r>
      <w:r w:rsidRPr="003024E5">
        <w:rPr>
          <w:rFonts w:asciiTheme="minorBidi" w:hAnsiTheme="minorBidi"/>
          <w:color w:val="00B0F0"/>
          <w:rtl/>
        </w:rPr>
        <w:t xml:space="preserve"> (וכ"פ הרמ"א)</w:t>
      </w:r>
    </w:p>
    <w:p w14:paraId="4B8FD632" w14:textId="77777777" w:rsidR="002C39F4" w:rsidRPr="003024E5" w:rsidRDefault="002C39F4" w:rsidP="002C39F4">
      <w:pPr>
        <w:rPr>
          <w:rFonts w:asciiTheme="minorBidi" w:hAnsiTheme="minorBidi"/>
          <w:rtl/>
        </w:rPr>
      </w:pPr>
      <w:r w:rsidRPr="003024E5">
        <w:rPr>
          <w:rFonts w:asciiTheme="minorBidi" w:hAnsiTheme="minorBidi"/>
          <w:u w:val="single"/>
          <w:rtl/>
        </w:rPr>
        <w:t>ציר דגים וציר נבלה או שרצים:</w:t>
      </w:r>
    </w:p>
    <w:p w14:paraId="68191FD1" w14:textId="77777777" w:rsidR="002C39F4" w:rsidRPr="003024E5" w:rsidRDefault="002C39F4" w:rsidP="002C39F4">
      <w:pPr>
        <w:pStyle w:val="a8"/>
        <w:numPr>
          <w:ilvl w:val="0"/>
          <w:numId w:val="36"/>
        </w:numPr>
        <w:rPr>
          <w:rFonts w:asciiTheme="minorBidi" w:hAnsiTheme="minorBidi"/>
        </w:rPr>
      </w:pPr>
      <w:r w:rsidRPr="00B9426C">
        <w:rPr>
          <w:rFonts w:asciiTheme="minorBidi" w:hAnsiTheme="minorBidi"/>
          <w:b/>
          <w:bCs/>
          <w:rtl/>
        </w:rPr>
        <w:t>ב"י</w:t>
      </w:r>
      <w:r w:rsidRPr="003024E5">
        <w:rPr>
          <w:rFonts w:asciiTheme="minorBidi" w:hAnsiTheme="minorBidi"/>
          <w:rtl/>
        </w:rPr>
        <w:t xml:space="preserve">- הא דציר דגים טמאים אסור משמע בפג"ה </w:t>
      </w:r>
      <w:r w:rsidRPr="003024E5">
        <w:rPr>
          <w:rFonts w:asciiTheme="minorBidi" w:hAnsiTheme="minorBidi"/>
          <w:sz w:val="16"/>
          <w:szCs w:val="16"/>
          <w:rtl/>
        </w:rPr>
        <w:t xml:space="preserve">(צט:) </w:t>
      </w:r>
      <w:r w:rsidRPr="003024E5">
        <w:rPr>
          <w:rFonts w:asciiTheme="minorBidi" w:hAnsiTheme="minorBidi"/>
          <w:rtl/>
        </w:rPr>
        <w:t>דאינו אלא מדרבנן, אבל ציר שרצים ונבלה משמע בכמה דוכתי</w:t>
      </w:r>
      <w:r w:rsidRPr="003024E5">
        <w:rPr>
          <w:rFonts w:asciiTheme="minorBidi" w:hAnsiTheme="minorBidi"/>
          <w:sz w:val="16"/>
          <w:szCs w:val="16"/>
          <w:rtl/>
        </w:rPr>
        <w:t xml:space="preserve"> (בכורות ו: חולין קיב: קכ.) </w:t>
      </w:r>
      <w:r w:rsidRPr="003024E5">
        <w:rPr>
          <w:rFonts w:asciiTheme="minorBidi" w:hAnsiTheme="minorBidi"/>
          <w:rtl/>
        </w:rPr>
        <w:t>דהוי דאו</w:t>
      </w:r>
      <w:r>
        <w:rPr>
          <w:rFonts w:asciiTheme="minorBidi" w:hAnsiTheme="minorBidi" w:hint="cs"/>
          <w:rtl/>
        </w:rPr>
        <w:t>',</w:t>
      </w:r>
      <w:r w:rsidRPr="003024E5">
        <w:rPr>
          <w:rFonts w:asciiTheme="minorBidi" w:hAnsiTheme="minorBidi"/>
          <w:rtl/>
        </w:rPr>
        <w:t xml:space="preserve"> ולפיכך כ</w:t>
      </w:r>
      <w:r>
        <w:rPr>
          <w:rFonts w:asciiTheme="minorBidi" w:hAnsiTheme="minorBidi" w:hint="cs"/>
          <w:rtl/>
        </w:rPr>
        <w:t>'</w:t>
      </w:r>
      <w:r w:rsidRPr="003024E5">
        <w:rPr>
          <w:rFonts w:asciiTheme="minorBidi" w:hAnsiTheme="minorBidi"/>
          <w:rtl/>
        </w:rPr>
        <w:t xml:space="preserve"> המרדכי בפ</w:t>
      </w:r>
      <w:r>
        <w:rPr>
          <w:rFonts w:asciiTheme="minorBidi" w:hAnsiTheme="minorBidi" w:hint="cs"/>
          <w:rtl/>
        </w:rPr>
        <w:t>כ"ה</w:t>
      </w:r>
      <w:r w:rsidRPr="003024E5">
        <w:rPr>
          <w:rFonts w:asciiTheme="minorBidi" w:hAnsiTheme="minorBidi"/>
          <w:rtl/>
        </w:rPr>
        <w:t xml:space="preserve"> </w:t>
      </w:r>
      <w:r w:rsidRPr="003024E5">
        <w:rPr>
          <w:rFonts w:asciiTheme="minorBidi" w:hAnsiTheme="minorBidi"/>
          <w:sz w:val="16"/>
          <w:szCs w:val="16"/>
          <w:rtl/>
        </w:rPr>
        <w:t xml:space="preserve">(סי' תשיז) </w:t>
      </w:r>
      <w:r w:rsidRPr="003024E5">
        <w:rPr>
          <w:rFonts w:asciiTheme="minorBidi" w:hAnsiTheme="minorBidi"/>
          <w:rtl/>
        </w:rPr>
        <w:t>דבשר שחוטה ספק אם נמלחה עם נבלה ספק דאו</w:t>
      </w:r>
      <w:r>
        <w:rPr>
          <w:rFonts w:asciiTheme="minorBidi" w:hAnsiTheme="minorBidi" w:hint="cs"/>
          <w:rtl/>
        </w:rPr>
        <w:t>'</w:t>
      </w:r>
      <w:r w:rsidRPr="003024E5">
        <w:rPr>
          <w:rFonts w:asciiTheme="minorBidi" w:hAnsiTheme="minorBidi"/>
          <w:rtl/>
        </w:rPr>
        <w:t xml:space="preserve"> לחומרא</w:t>
      </w:r>
      <w:r w:rsidRPr="003024E5">
        <w:rPr>
          <w:rStyle w:val="a7"/>
          <w:rFonts w:asciiTheme="minorBidi" w:hAnsiTheme="minorBidi"/>
          <w:rtl/>
        </w:rPr>
        <w:footnoteReference w:id="421"/>
      </w:r>
      <w:r>
        <w:rPr>
          <w:rFonts w:asciiTheme="minorBidi" w:hAnsiTheme="minorBidi" w:hint="cs"/>
          <w:rtl/>
        </w:rPr>
        <w:t>,</w:t>
      </w:r>
      <w:r w:rsidRPr="003024E5">
        <w:rPr>
          <w:rFonts w:asciiTheme="minorBidi" w:hAnsiTheme="minorBidi"/>
          <w:rtl/>
        </w:rPr>
        <w:t xml:space="preserve"> אבל דגים ספק אם נמלחו עם טמאים ספיקא דרבנן לקולא</w:t>
      </w:r>
      <w:r>
        <w:rPr>
          <w:rFonts w:asciiTheme="minorBidi" w:hAnsiTheme="minorBidi" w:hint="cs"/>
          <w:rtl/>
        </w:rPr>
        <w:t>.</w:t>
      </w:r>
      <w:r w:rsidRPr="003024E5">
        <w:rPr>
          <w:rFonts w:asciiTheme="minorBidi" w:hAnsiTheme="minorBidi"/>
          <w:rtl/>
        </w:rPr>
        <w:t xml:space="preserve"> וכ</w:t>
      </w:r>
      <w:r>
        <w:rPr>
          <w:rFonts w:asciiTheme="minorBidi" w:hAnsiTheme="minorBidi" w:hint="cs"/>
          <w:rtl/>
        </w:rPr>
        <w:t>'</w:t>
      </w:r>
      <w:r w:rsidRPr="003024E5">
        <w:rPr>
          <w:rFonts w:asciiTheme="minorBidi" w:hAnsiTheme="minorBidi"/>
          <w:rtl/>
        </w:rPr>
        <w:t xml:space="preserve"> הרא"ש בספא</w:t>
      </w:r>
      <w:r>
        <w:rPr>
          <w:rFonts w:asciiTheme="minorBidi" w:hAnsiTheme="minorBidi" w:hint="cs"/>
          <w:rtl/>
        </w:rPr>
        <w:t>"מ</w:t>
      </w:r>
      <w:r w:rsidRPr="003024E5">
        <w:rPr>
          <w:rFonts w:asciiTheme="minorBidi" w:hAnsiTheme="minorBidi"/>
          <w:rtl/>
        </w:rPr>
        <w:t xml:space="preserve"> </w:t>
      </w:r>
      <w:r w:rsidRPr="003024E5">
        <w:rPr>
          <w:rFonts w:asciiTheme="minorBidi" w:hAnsiTheme="minorBidi"/>
          <w:sz w:val="16"/>
          <w:szCs w:val="16"/>
          <w:rtl/>
        </w:rPr>
        <w:t xml:space="preserve">(סי' מב) </w:t>
      </w:r>
      <w:r w:rsidRPr="003024E5">
        <w:rPr>
          <w:rFonts w:asciiTheme="minorBidi" w:hAnsiTheme="minorBidi"/>
          <w:rtl/>
        </w:rPr>
        <w:t>דע</w:t>
      </w:r>
      <w:r>
        <w:rPr>
          <w:rFonts w:asciiTheme="minorBidi" w:hAnsiTheme="minorBidi" w:hint="cs"/>
          <w:rtl/>
        </w:rPr>
        <w:t>"</w:t>
      </w:r>
      <w:r w:rsidRPr="003024E5">
        <w:rPr>
          <w:rFonts w:asciiTheme="minorBidi" w:hAnsiTheme="minorBidi"/>
          <w:rtl/>
        </w:rPr>
        <w:t xml:space="preserve">ז אנו סומכין כשמביאין בקרון אחד או בחבית אחת דגים מלוחים טהורים וטמאים ביחד שמתירים אותם דספיקא דרבנן הוא שמא לא נמלחו בתחלה ביחד ואחר שפלטו כל צירן עירבן יחד </w:t>
      </w:r>
      <w:r w:rsidRPr="00E91D01">
        <w:rPr>
          <w:rFonts w:asciiTheme="minorBidi" w:hAnsiTheme="minorBidi" w:hint="cs"/>
          <w:sz w:val="16"/>
          <w:szCs w:val="16"/>
          <w:rtl/>
        </w:rPr>
        <w:t>(</w:t>
      </w:r>
      <w:r w:rsidRPr="00E91D01">
        <w:rPr>
          <w:rFonts w:asciiTheme="minorBidi" w:hAnsiTheme="minorBidi"/>
          <w:sz w:val="16"/>
          <w:szCs w:val="16"/>
          <w:rtl/>
        </w:rPr>
        <w:t>וכתבו רבינו בסי</w:t>
      </w:r>
      <w:r w:rsidRPr="00E91D01">
        <w:rPr>
          <w:rFonts w:asciiTheme="minorBidi" w:hAnsiTheme="minorBidi" w:hint="cs"/>
          <w:sz w:val="16"/>
          <w:szCs w:val="16"/>
          <w:rtl/>
        </w:rPr>
        <w:t>'</w:t>
      </w:r>
      <w:r w:rsidRPr="00E91D01">
        <w:rPr>
          <w:rFonts w:asciiTheme="minorBidi" w:hAnsiTheme="minorBidi"/>
          <w:sz w:val="16"/>
          <w:szCs w:val="16"/>
          <w:rtl/>
        </w:rPr>
        <w:t xml:space="preserve"> פג </w:t>
      </w:r>
      <w:r w:rsidRPr="00E91D01">
        <w:rPr>
          <w:rFonts w:asciiTheme="minorBidi" w:hAnsiTheme="minorBidi"/>
          <w:sz w:val="14"/>
          <w:szCs w:val="14"/>
          <w:rtl/>
        </w:rPr>
        <w:t>(קל:)</w:t>
      </w:r>
      <w:r>
        <w:rPr>
          <w:rFonts w:asciiTheme="minorBidi" w:hAnsiTheme="minorBidi" w:hint="cs"/>
          <w:sz w:val="16"/>
          <w:szCs w:val="16"/>
          <w:rtl/>
        </w:rPr>
        <w:t>)</w:t>
      </w:r>
      <w:r w:rsidRPr="003024E5">
        <w:rPr>
          <w:rFonts w:asciiTheme="minorBidi" w:hAnsiTheme="minorBidi"/>
          <w:rtl/>
        </w:rPr>
        <w:t xml:space="preserve">. </w:t>
      </w:r>
    </w:p>
    <w:p w14:paraId="26E68518" w14:textId="77777777" w:rsidR="002C39F4" w:rsidRPr="003024E5" w:rsidRDefault="002C39F4" w:rsidP="002C39F4">
      <w:pPr>
        <w:rPr>
          <w:rFonts w:asciiTheme="minorBidi" w:hAnsiTheme="minorBidi"/>
          <w:rtl/>
        </w:rPr>
      </w:pPr>
      <w:r w:rsidRPr="003024E5">
        <w:rPr>
          <w:rFonts w:asciiTheme="minorBidi" w:hAnsiTheme="minorBidi"/>
          <w:u w:val="single"/>
          <w:rtl/>
        </w:rPr>
        <w:t>מליחת קולית</w:t>
      </w:r>
      <w:r w:rsidRPr="003024E5">
        <w:rPr>
          <w:rStyle w:val="a7"/>
          <w:rFonts w:asciiTheme="minorBidi" w:hAnsiTheme="minorBidi"/>
          <w:u w:val="single"/>
          <w:rtl/>
        </w:rPr>
        <w:footnoteReference w:id="422"/>
      </w:r>
      <w:r w:rsidRPr="003024E5">
        <w:rPr>
          <w:rFonts w:asciiTheme="minorBidi" w:hAnsiTheme="minorBidi"/>
          <w:u w:val="single"/>
          <w:rtl/>
        </w:rPr>
        <w:t xml:space="preserve"> עם בשר:</w:t>
      </w:r>
    </w:p>
    <w:p w14:paraId="748CC055" w14:textId="77777777" w:rsidR="002C39F4" w:rsidRPr="003024E5" w:rsidRDefault="002C39F4" w:rsidP="002C39F4">
      <w:pPr>
        <w:pStyle w:val="a8"/>
        <w:numPr>
          <w:ilvl w:val="0"/>
          <w:numId w:val="36"/>
        </w:numPr>
        <w:rPr>
          <w:rFonts w:asciiTheme="minorBidi" w:hAnsiTheme="minorBidi"/>
        </w:rPr>
      </w:pPr>
      <w:r w:rsidRPr="00B9426C">
        <w:rPr>
          <w:rFonts w:asciiTheme="minorBidi" w:hAnsiTheme="minorBidi"/>
          <w:b/>
          <w:bCs/>
          <w:rtl/>
        </w:rPr>
        <w:t>מרדכי</w:t>
      </w:r>
      <w:r w:rsidRPr="003024E5">
        <w:rPr>
          <w:rFonts w:asciiTheme="minorBidi" w:hAnsiTheme="minorBidi"/>
          <w:rtl/>
        </w:rPr>
        <w:t xml:space="preserve"> </w:t>
      </w:r>
      <w:r w:rsidRPr="003024E5">
        <w:rPr>
          <w:rFonts w:asciiTheme="minorBidi" w:hAnsiTheme="minorBidi"/>
          <w:sz w:val="16"/>
          <w:szCs w:val="16"/>
          <w:rtl/>
        </w:rPr>
        <w:t>(סי' תשכג)</w:t>
      </w:r>
      <w:r w:rsidRPr="003024E5">
        <w:rPr>
          <w:rFonts w:asciiTheme="minorBidi" w:hAnsiTheme="minorBidi"/>
          <w:rtl/>
        </w:rPr>
        <w:t>- יש מי שאומר דקולית שיש בו מוח אסור למלוח עם בשר</w:t>
      </w:r>
      <w:r w:rsidRPr="003024E5">
        <w:rPr>
          <w:rStyle w:val="a7"/>
          <w:rFonts w:asciiTheme="minorBidi" w:hAnsiTheme="minorBidi"/>
          <w:rtl/>
        </w:rPr>
        <w:footnoteReference w:id="423"/>
      </w:r>
      <w:r w:rsidRPr="003024E5">
        <w:rPr>
          <w:rFonts w:asciiTheme="minorBidi" w:hAnsiTheme="minorBidi"/>
          <w:rtl/>
        </w:rPr>
        <w:t>.</w:t>
      </w:r>
    </w:p>
    <w:p w14:paraId="56BB7C2E" w14:textId="77777777" w:rsidR="002C39F4" w:rsidRPr="003024E5" w:rsidRDefault="002C39F4" w:rsidP="002C39F4">
      <w:pPr>
        <w:pStyle w:val="a8"/>
        <w:numPr>
          <w:ilvl w:val="0"/>
          <w:numId w:val="36"/>
        </w:numPr>
        <w:rPr>
          <w:rFonts w:asciiTheme="minorBidi" w:hAnsiTheme="minorBidi"/>
          <w:rtl/>
        </w:rPr>
      </w:pPr>
      <w:r w:rsidRPr="00B9426C">
        <w:rPr>
          <w:rFonts w:asciiTheme="minorBidi" w:hAnsiTheme="minorBidi"/>
          <w:b/>
          <w:bCs/>
          <w:rtl/>
        </w:rPr>
        <w:t>רשב"א</w:t>
      </w:r>
      <w:r w:rsidRPr="003024E5">
        <w:rPr>
          <w:rFonts w:asciiTheme="minorBidi" w:hAnsiTheme="minorBidi"/>
          <w:sz w:val="16"/>
          <w:szCs w:val="16"/>
          <w:rtl/>
        </w:rPr>
        <w:t xml:space="preserve"> (תוה"</w:t>
      </w:r>
      <w:r>
        <w:rPr>
          <w:rFonts w:asciiTheme="minorBidi" w:hAnsiTheme="minorBidi" w:hint="cs"/>
          <w:sz w:val="16"/>
          <w:szCs w:val="16"/>
          <w:rtl/>
        </w:rPr>
        <w:t xml:space="preserve">ק </w:t>
      </w:r>
      <w:r w:rsidRPr="003024E5">
        <w:rPr>
          <w:rFonts w:asciiTheme="minorBidi" w:hAnsiTheme="minorBidi"/>
          <w:sz w:val="16"/>
          <w:szCs w:val="16"/>
          <w:rtl/>
        </w:rPr>
        <w:t>ב"ג ש"ג עז.)</w:t>
      </w:r>
      <w:r w:rsidRPr="003024E5">
        <w:rPr>
          <w:rFonts w:asciiTheme="minorBidi" w:hAnsiTheme="minorBidi"/>
          <w:rtl/>
        </w:rPr>
        <w:t>- מוח שבעצמות נכשר ע"י מליחה ואין העצם מעכב.</w:t>
      </w:r>
      <w:r>
        <w:rPr>
          <w:rFonts w:asciiTheme="minorBidi" w:hAnsiTheme="minorBidi" w:hint="cs"/>
          <w:rtl/>
        </w:rPr>
        <w:t xml:space="preserve"> </w:t>
      </w:r>
      <w:r w:rsidRPr="005121F1">
        <w:rPr>
          <w:rFonts w:asciiTheme="minorBidi" w:hAnsiTheme="minorBidi" w:hint="cs"/>
          <w:color w:val="00B0F0"/>
          <w:rtl/>
        </w:rPr>
        <w:t xml:space="preserve">(וכ"פ הרמ"א </w:t>
      </w:r>
      <w:r w:rsidRPr="005121F1">
        <w:rPr>
          <w:rFonts w:asciiTheme="minorBidi" w:hAnsiTheme="minorBidi" w:hint="cs"/>
          <w:sz w:val="16"/>
          <w:szCs w:val="16"/>
          <w:rtl/>
        </w:rPr>
        <w:t xml:space="preserve">[בסי' </w:t>
      </w:r>
      <w:r>
        <w:rPr>
          <w:rFonts w:asciiTheme="minorBidi" w:hAnsiTheme="minorBidi" w:hint="cs"/>
          <w:sz w:val="16"/>
          <w:szCs w:val="16"/>
          <w:rtl/>
        </w:rPr>
        <w:t>עא ס"ג]</w:t>
      </w:r>
      <w:r w:rsidRPr="005121F1">
        <w:rPr>
          <w:rFonts w:asciiTheme="minorBidi" w:hAnsiTheme="minorBidi" w:hint="cs"/>
          <w:color w:val="00B0F0"/>
          <w:rtl/>
        </w:rPr>
        <w:t>)</w:t>
      </w:r>
    </w:p>
    <w:p w14:paraId="7197E1E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AC32C8B" w14:textId="77777777" w:rsidR="002C39F4" w:rsidRPr="003024E5" w:rsidRDefault="002C39F4" w:rsidP="002C39F4">
      <w:pPr>
        <w:rPr>
          <w:rFonts w:asciiTheme="minorBidi" w:hAnsiTheme="minorBidi"/>
          <w:rtl/>
        </w:rPr>
      </w:pPr>
      <w:r w:rsidRPr="003024E5">
        <w:rPr>
          <w:rFonts w:asciiTheme="minorBidi" w:hAnsiTheme="minorBidi"/>
          <w:rtl/>
        </w:rPr>
        <w:t>יש אוסרים ליתן בשר שלא נמלח כלל או שנמלח ופלט כל דמו</w:t>
      </w:r>
      <w:r w:rsidRPr="003024E5">
        <w:rPr>
          <w:rStyle w:val="a7"/>
          <w:rFonts w:asciiTheme="minorBidi" w:hAnsiTheme="minorBidi"/>
          <w:rtl/>
        </w:rPr>
        <w:footnoteReference w:id="424"/>
      </w:r>
      <w:r w:rsidRPr="003024E5">
        <w:rPr>
          <w:rFonts w:asciiTheme="minorBidi" w:hAnsiTheme="minorBidi"/>
          <w:rtl/>
        </w:rPr>
        <w:t xml:space="preserve"> עם בשר שנמלח קודם פליטתו דם, לפי שהבשר שלא נמלח או שנמלח ופלט כל דמו חוזר ובולע ממה שחבירו פולט</w:t>
      </w:r>
      <w:r w:rsidRPr="003024E5">
        <w:rPr>
          <w:rStyle w:val="a7"/>
          <w:rFonts w:asciiTheme="minorBidi" w:hAnsiTheme="minorBidi"/>
          <w:rtl/>
        </w:rPr>
        <w:footnoteReference w:id="425"/>
      </w:r>
      <w:r w:rsidRPr="003024E5">
        <w:rPr>
          <w:rFonts w:asciiTheme="minorBidi" w:hAnsiTheme="minorBidi"/>
          <w:rtl/>
        </w:rPr>
        <w:t>, ויש מתירים ע"י מליחה שימלחנו אחר כך</w:t>
      </w:r>
      <w:r w:rsidRPr="003024E5">
        <w:rPr>
          <w:rStyle w:val="a7"/>
          <w:rFonts w:asciiTheme="minorBidi" w:hAnsiTheme="minorBidi"/>
          <w:rtl/>
        </w:rPr>
        <w:footnoteReference w:id="426"/>
      </w:r>
      <w:r w:rsidRPr="003024E5">
        <w:rPr>
          <w:rFonts w:asciiTheme="minorBidi" w:hAnsiTheme="minorBidi"/>
          <w:rtl/>
        </w:rPr>
        <w:t xml:space="preserve"> כי אז יפליט כל דם שבלע, ויש מתירים בכל זה</w:t>
      </w:r>
      <w:r w:rsidRPr="003024E5">
        <w:rPr>
          <w:rStyle w:val="a7"/>
          <w:rFonts w:asciiTheme="minorBidi" w:hAnsiTheme="minorBidi"/>
          <w:rtl/>
        </w:rPr>
        <w:footnoteReference w:id="427"/>
      </w:r>
      <w:r w:rsidRPr="003024E5">
        <w:rPr>
          <w:rFonts w:asciiTheme="minorBidi" w:hAnsiTheme="minorBidi"/>
          <w:rtl/>
        </w:rPr>
        <w:t>, ולכתחלה יש לחוש לדברי האוסרים</w:t>
      </w:r>
      <w:r w:rsidRPr="003024E5">
        <w:rPr>
          <w:rStyle w:val="a7"/>
          <w:rFonts w:asciiTheme="minorBidi" w:hAnsiTheme="minorBidi"/>
          <w:rtl/>
        </w:rPr>
        <w:footnoteReference w:id="428"/>
      </w:r>
      <w:r w:rsidRPr="003024E5">
        <w:rPr>
          <w:rFonts w:asciiTheme="minorBidi" w:hAnsiTheme="minorBidi"/>
          <w:rtl/>
        </w:rPr>
        <w:t xml:space="preserve">. </w:t>
      </w:r>
      <w:r w:rsidRPr="003024E5">
        <w:rPr>
          <w:rFonts w:asciiTheme="minorBidi" w:hAnsiTheme="minorBidi"/>
          <w:sz w:val="18"/>
          <w:szCs w:val="18"/>
          <w:rtl/>
        </w:rPr>
        <w:t>הגה: ואפילו בדיעבד נוהגין לאסרו אם נפל בשר שכבר פלט כל דמו וצירו</w:t>
      </w:r>
      <w:r w:rsidRPr="003024E5">
        <w:rPr>
          <w:rStyle w:val="a7"/>
          <w:rFonts w:asciiTheme="minorBidi" w:hAnsiTheme="minorBidi"/>
          <w:sz w:val="18"/>
          <w:szCs w:val="18"/>
          <w:rtl/>
        </w:rPr>
        <w:footnoteReference w:id="429"/>
      </w:r>
      <w:r w:rsidRPr="003024E5">
        <w:rPr>
          <w:rFonts w:asciiTheme="minorBidi" w:hAnsiTheme="minorBidi"/>
          <w:sz w:val="18"/>
          <w:szCs w:val="18"/>
          <w:rtl/>
        </w:rPr>
        <w:t xml:space="preserve"> אצל בשר שלא שהה עדיין שיעור מליחה</w:t>
      </w:r>
      <w:r w:rsidRPr="003024E5">
        <w:rPr>
          <w:rStyle w:val="a7"/>
          <w:rFonts w:asciiTheme="minorBidi" w:hAnsiTheme="minorBidi"/>
          <w:sz w:val="18"/>
          <w:szCs w:val="18"/>
          <w:rtl/>
        </w:rPr>
        <w:footnoteReference w:id="430"/>
      </w:r>
      <w:r w:rsidRPr="003024E5">
        <w:rPr>
          <w:rFonts w:asciiTheme="minorBidi" w:hAnsiTheme="minorBidi"/>
          <w:sz w:val="18"/>
          <w:szCs w:val="18"/>
          <w:rtl/>
        </w:rPr>
        <w:t xml:space="preserve"> </w:t>
      </w:r>
      <w:r w:rsidRPr="008E678C">
        <w:rPr>
          <w:rFonts w:asciiTheme="minorBidi" w:hAnsiTheme="minorBidi"/>
          <w:sz w:val="16"/>
          <w:szCs w:val="16"/>
          <w:rtl/>
        </w:rPr>
        <w:t>(מהרא"י)</w:t>
      </w:r>
      <w:r w:rsidRPr="003024E5">
        <w:rPr>
          <w:rFonts w:asciiTheme="minorBidi" w:hAnsiTheme="minorBidi"/>
          <w:sz w:val="18"/>
          <w:szCs w:val="18"/>
          <w:rtl/>
        </w:rPr>
        <w:t>. וי</w:t>
      </w:r>
      <w:r>
        <w:rPr>
          <w:rFonts w:asciiTheme="minorBidi" w:hAnsiTheme="minorBidi" w:hint="cs"/>
          <w:sz w:val="18"/>
          <w:szCs w:val="18"/>
          <w:rtl/>
        </w:rPr>
        <w:t>"א</w:t>
      </w:r>
      <w:r w:rsidRPr="003024E5">
        <w:rPr>
          <w:rFonts w:asciiTheme="minorBidi" w:hAnsiTheme="minorBidi"/>
          <w:sz w:val="18"/>
          <w:szCs w:val="18"/>
          <w:rtl/>
        </w:rPr>
        <w:t xml:space="preserve"> שכל מעת לעת לאחר שנמלח פולט צירו, ואם נגע תוך זמן זה לבשר שנמלח ולא שהה עדיין שיעור מליחה אינו נאסר, וכן נוהגין </w:t>
      </w:r>
      <w:r w:rsidRPr="008E678C">
        <w:rPr>
          <w:rFonts w:asciiTheme="minorBidi" w:hAnsiTheme="minorBidi"/>
          <w:sz w:val="16"/>
          <w:szCs w:val="16"/>
          <w:rtl/>
        </w:rPr>
        <w:t>(שע"ד בשם הגאונים ומהרא"י וסה"ת ומרדכי בשם ר"י)</w:t>
      </w:r>
      <w:r w:rsidRPr="003024E5">
        <w:rPr>
          <w:rFonts w:asciiTheme="minorBidi" w:hAnsiTheme="minorBidi"/>
          <w:sz w:val="18"/>
          <w:szCs w:val="18"/>
          <w:rtl/>
        </w:rPr>
        <w:t xml:space="preserve">, אך במקום שאין הפסד מרובה יש לאסרו לאחר י"ב שעות, וקודם לזה אין להחמיר כלל, </w:t>
      </w:r>
      <w:r>
        <w:rPr>
          <w:rFonts w:asciiTheme="minorBidi" w:hAnsiTheme="minorBidi" w:hint="cs"/>
          <w:sz w:val="18"/>
          <w:szCs w:val="18"/>
          <w:rtl/>
        </w:rPr>
        <w:t>וכ"ש</w:t>
      </w:r>
      <w:r w:rsidRPr="003024E5">
        <w:rPr>
          <w:rFonts w:asciiTheme="minorBidi" w:hAnsiTheme="minorBidi"/>
          <w:sz w:val="18"/>
          <w:szCs w:val="18"/>
          <w:rtl/>
        </w:rPr>
        <w:t xml:space="preserve"> אם לא נמלח כלל, דאפילו אם נפל לציר ממש אין לאסרו דאמרינן ע</w:t>
      </w:r>
      <w:r>
        <w:rPr>
          <w:rFonts w:asciiTheme="minorBidi" w:hAnsiTheme="minorBidi" w:hint="cs"/>
          <w:sz w:val="18"/>
          <w:szCs w:val="18"/>
          <w:rtl/>
        </w:rPr>
        <w:t>"</w:t>
      </w:r>
      <w:r w:rsidRPr="003024E5">
        <w:rPr>
          <w:rFonts w:asciiTheme="minorBidi" w:hAnsiTheme="minorBidi"/>
          <w:sz w:val="18"/>
          <w:szCs w:val="18"/>
          <w:rtl/>
        </w:rPr>
        <w:t>י שיפלוט דם דידיה</w:t>
      </w:r>
      <w:r w:rsidRPr="003024E5">
        <w:rPr>
          <w:rStyle w:val="a7"/>
          <w:rFonts w:asciiTheme="minorBidi" w:hAnsiTheme="minorBidi"/>
          <w:sz w:val="18"/>
          <w:szCs w:val="18"/>
          <w:rtl/>
        </w:rPr>
        <w:footnoteReference w:id="431"/>
      </w:r>
      <w:r w:rsidRPr="003024E5">
        <w:rPr>
          <w:rFonts w:asciiTheme="minorBidi" w:hAnsiTheme="minorBidi"/>
          <w:sz w:val="18"/>
          <w:szCs w:val="18"/>
          <w:rtl/>
        </w:rPr>
        <w:t xml:space="preserve"> יפלוט גם כן מה שבלע ממקום אחר. ואפילו נמלח הבשר ולא שהה עדיין שיעור מליחה ונפל לציר יש להתיר</w:t>
      </w:r>
      <w:r w:rsidRPr="003024E5">
        <w:rPr>
          <w:rStyle w:val="a7"/>
          <w:rFonts w:asciiTheme="minorBidi" w:hAnsiTheme="minorBidi"/>
          <w:sz w:val="18"/>
          <w:szCs w:val="18"/>
          <w:rtl/>
        </w:rPr>
        <w:footnoteReference w:id="432"/>
      </w:r>
      <w:r w:rsidRPr="003024E5">
        <w:rPr>
          <w:rFonts w:asciiTheme="minorBidi" w:hAnsiTheme="minorBidi"/>
          <w:sz w:val="18"/>
          <w:szCs w:val="18"/>
          <w:rtl/>
        </w:rPr>
        <w:t xml:space="preserve"> </w:t>
      </w:r>
      <w:r w:rsidRPr="008E678C">
        <w:rPr>
          <w:rFonts w:asciiTheme="minorBidi" w:hAnsiTheme="minorBidi"/>
          <w:sz w:val="16"/>
          <w:szCs w:val="16"/>
          <w:rtl/>
        </w:rPr>
        <w:t xml:space="preserve">(ארוך) </w:t>
      </w:r>
      <w:r w:rsidRPr="003024E5">
        <w:rPr>
          <w:rFonts w:asciiTheme="minorBidi" w:hAnsiTheme="minorBidi"/>
          <w:sz w:val="18"/>
          <w:szCs w:val="18"/>
          <w:rtl/>
        </w:rPr>
        <w:t>אם לא נכבש בתוכו יום שלם</w:t>
      </w:r>
      <w:r w:rsidRPr="003024E5">
        <w:rPr>
          <w:rStyle w:val="a7"/>
          <w:rFonts w:asciiTheme="minorBidi" w:hAnsiTheme="minorBidi"/>
          <w:sz w:val="18"/>
          <w:szCs w:val="18"/>
          <w:rtl/>
        </w:rPr>
        <w:footnoteReference w:id="433"/>
      </w:r>
      <w:r w:rsidRPr="003024E5">
        <w:rPr>
          <w:rFonts w:asciiTheme="minorBidi" w:hAnsiTheme="minorBidi"/>
          <w:sz w:val="18"/>
          <w:szCs w:val="18"/>
          <w:rtl/>
        </w:rPr>
        <w:t>, אך אם שהה שיעור מליחה ונפל לציר יש אוסרין אותו אע</w:t>
      </w:r>
      <w:r>
        <w:rPr>
          <w:rFonts w:asciiTheme="minorBidi" w:hAnsiTheme="minorBidi" w:hint="cs"/>
          <w:sz w:val="18"/>
          <w:szCs w:val="18"/>
          <w:rtl/>
        </w:rPr>
        <w:t>"</w:t>
      </w:r>
      <w:r w:rsidRPr="003024E5">
        <w:rPr>
          <w:rFonts w:asciiTheme="minorBidi" w:hAnsiTheme="minorBidi"/>
          <w:sz w:val="18"/>
          <w:szCs w:val="18"/>
          <w:rtl/>
        </w:rPr>
        <w:t>פ שלא כלה זמן פליטת צירו עדיין</w:t>
      </w:r>
      <w:r w:rsidRPr="003024E5">
        <w:rPr>
          <w:rStyle w:val="a7"/>
          <w:rFonts w:asciiTheme="minorBidi" w:hAnsiTheme="minorBidi"/>
          <w:sz w:val="18"/>
          <w:szCs w:val="18"/>
          <w:rtl/>
        </w:rPr>
        <w:footnoteReference w:id="434"/>
      </w:r>
      <w:r w:rsidRPr="003024E5">
        <w:rPr>
          <w:rFonts w:asciiTheme="minorBidi" w:hAnsiTheme="minorBidi"/>
          <w:sz w:val="18"/>
          <w:szCs w:val="18"/>
          <w:rtl/>
        </w:rPr>
        <w:t xml:space="preserve"> </w:t>
      </w:r>
      <w:r w:rsidRPr="008E678C">
        <w:rPr>
          <w:rFonts w:asciiTheme="minorBidi" w:hAnsiTheme="minorBidi"/>
          <w:sz w:val="16"/>
          <w:szCs w:val="16"/>
          <w:rtl/>
        </w:rPr>
        <w:t>(רש"ל)</w:t>
      </w:r>
      <w:r w:rsidRPr="003024E5">
        <w:rPr>
          <w:rFonts w:asciiTheme="minorBidi" w:hAnsiTheme="minorBidi"/>
          <w:sz w:val="18"/>
          <w:szCs w:val="18"/>
          <w:rtl/>
        </w:rPr>
        <w:t>, ומ</w:t>
      </w:r>
      <w:r>
        <w:rPr>
          <w:rFonts w:asciiTheme="minorBidi" w:hAnsiTheme="minorBidi" w:hint="cs"/>
          <w:sz w:val="18"/>
          <w:szCs w:val="18"/>
          <w:rtl/>
        </w:rPr>
        <w:t xml:space="preserve">"מ </w:t>
      </w:r>
      <w:r w:rsidRPr="003024E5">
        <w:rPr>
          <w:rFonts w:asciiTheme="minorBidi" w:hAnsiTheme="minorBidi"/>
          <w:sz w:val="18"/>
          <w:szCs w:val="18"/>
          <w:rtl/>
        </w:rPr>
        <w:t>לצורך הפסד גדול יש להתיר גם בזה כל זמן פליטת צירו, דהיינו תוך י"ב שעות</w:t>
      </w:r>
      <w:r w:rsidRPr="003024E5">
        <w:rPr>
          <w:rStyle w:val="a7"/>
          <w:rFonts w:asciiTheme="minorBidi" w:hAnsiTheme="minorBidi"/>
          <w:sz w:val="18"/>
          <w:szCs w:val="18"/>
          <w:rtl/>
        </w:rPr>
        <w:footnoteReference w:id="435"/>
      </w:r>
      <w:r w:rsidRPr="003024E5">
        <w:rPr>
          <w:rFonts w:asciiTheme="minorBidi" w:hAnsiTheme="minorBidi"/>
          <w:sz w:val="18"/>
          <w:szCs w:val="18"/>
          <w:rtl/>
        </w:rPr>
        <w:t>, ע"י שיחזור וידיחנו</w:t>
      </w:r>
      <w:r w:rsidRPr="003024E5">
        <w:rPr>
          <w:rStyle w:val="a7"/>
          <w:rFonts w:asciiTheme="minorBidi" w:hAnsiTheme="minorBidi"/>
          <w:sz w:val="18"/>
          <w:szCs w:val="18"/>
          <w:rtl/>
        </w:rPr>
        <w:footnoteReference w:id="436"/>
      </w:r>
      <w:r w:rsidRPr="003024E5">
        <w:rPr>
          <w:rFonts w:asciiTheme="minorBidi" w:hAnsiTheme="minorBidi"/>
          <w:sz w:val="18"/>
          <w:szCs w:val="18"/>
          <w:rtl/>
        </w:rPr>
        <w:t xml:space="preserve"> </w:t>
      </w:r>
      <w:r w:rsidRPr="008E678C">
        <w:rPr>
          <w:rFonts w:asciiTheme="minorBidi" w:hAnsiTheme="minorBidi"/>
          <w:sz w:val="16"/>
          <w:szCs w:val="16"/>
          <w:rtl/>
        </w:rPr>
        <w:t xml:space="preserve">(הגשע"ד) </w:t>
      </w:r>
      <w:r w:rsidRPr="003024E5">
        <w:rPr>
          <w:rFonts w:asciiTheme="minorBidi" w:hAnsiTheme="minorBidi"/>
          <w:sz w:val="18"/>
          <w:szCs w:val="18"/>
          <w:rtl/>
        </w:rPr>
        <w:t>ויחזור וימלחנו. וכן אם נפל לציר</w:t>
      </w:r>
      <w:r w:rsidRPr="003024E5">
        <w:rPr>
          <w:rStyle w:val="a7"/>
          <w:rFonts w:asciiTheme="minorBidi" w:hAnsiTheme="minorBidi"/>
          <w:sz w:val="18"/>
          <w:szCs w:val="18"/>
          <w:rtl/>
        </w:rPr>
        <w:footnoteReference w:id="437"/>
      </w:r>
      <w:r w:rsidRPr="003024E5">
        <w:rPr>
          <w:rFonts w:asciiTheme="minorBidi" w:hAnsiTheme="minorBidi"/>
          <w:sz w:val="18"/>
          <w:szCs w:val="18"/>
          <w:rtl/>
        </w:rPr>
        <w:t xml:space="preserve"> קודם ששהה שיעור מליחה, ידיחנו ויחזור וימלחנו</w:t>
      </w:r>
      <w:r w:rsidRPr="003024E5">
        <w:rPr>
          <w:rStyle w:val="a7"/>
          <w:rFonts w:asciiTheme="minorBidi" w:hAnsiTheme="minorBidi"/>
          <w:sz w:val="18"/>
          <w:szCs w:val="18"/>
          <w:rtl/>
        </w:rPr>
        <w:footnoteReference w:id="438"/>
      </w:r>
      <w:r w:rsidRPr="003024E5">
        <w:rPr>
          <w:rFonts w:asciiTheme="minorBidi" w:hAnsiTheme="minorBidi"/>
          <w:sz w:val="18"/>
          <w:szCs w:val="18"/>
          <w:rtl/>
        </w:rPr>
        <w:t>. מיהו אם מלחו בלא הדחה לאחר שנפל לציר שרי בדיעבד</w:t>
      </w:r>
      <w:r w:rsidRPr="003024E5">
        <w:rPr>
          <w:rStyle w:val="a7"/>
          <w:rFonts w:asciiTheme="minorBidi" w:hAnsiTheme="minorBidi"/>
          <w:sz w:val="18"/>
          <w:szCs w:val="18"/>
          <w:rtl/>
        </w:rPr>
        <w:footnoteReference w:id="439"/>
      </w:r>
      <w:r w:rsidRPr="003024E5">
        <w:rPr>
          <w:rFonts w:asciiTheme="minorBidi" w:hAnsiTheme="minorBidi"/>
          <w:sz w:val="18"/>
          <w:szCs w:val="18"/>
          <w:rtl/>
        </w:rPr>
        <w:t xml:space="preserve"> </w:t>
      </w:r>
      <w:r w:rsidRPr="00B7053D">
        <w:rPr>
          <w:rFonts w:asciiTheme="minorBidi" w:hAnsiTheme="minorBidi"/>
          <w:sz w:val="16"/>
          <w:szCs w:val="16"/>
          <w:rtl/>
        </w:rPr>
        <w:t>(ארוך)</w:t>
      </w:r>
      <w:r w:rsidRPr="003024E5">
        <w:rPr>
          <w:rFonts w:asciiTheme="minorBidi" w:hAnsiTheme="minorBidi"/>
          <w:sz w:val="18"/>
          <w:szCs w:val="18"/>
          <w:rtl/>
        </w:rPr>
        <w:t>. וכל זה לא מיירי אלא בציר שהוא כרותח, כמבואר לעיל סי</w:t>
      </w:r>
      <w:r>
        <w:rPr>
          <w:rFonts w:asciiTheme="minorBidi" w:hAnsiTheme="minorBidi" w:hint="cs"/>
          <w:sz w:val="18"/>
          <w:szCs w:val="18"/>
          <w:rtl/>
        </w:rPr>
        <w:t>'</w:t>
      </w:r>
      <w:r w:rsidRPr="003024E5">
        <w:rPr>
          <w:rFonts w:asciiTheme="minorBidi" w:hAnsiTheme="minorBidi"/>
          <w:sz w:val="18"/>
          <w:szCs w:val="18"/>
          <w:rtl/>
        </w:rPr>
        <w:t xml:space="preserve"> סט, אבל דם בעין שנפל על בשר שהוא תוך שיעור מליחתו</w:t>
      </w:r>
      <w:r w:rsidRPr="003024E5">
        <w:rPr>
          <w:rStyle w:val="a7"/>
          <w:rFonts w:asciiTheme="minorBidi" w:hAnsiTheme="minorBidi"/>
          <w:sz w:val="18"/>
          <w:szCs w:val="18"/>
          <w:rtl/>
        </w:rPr>
        <w:footnoteReference w:id="440"/>
      </w:r>
      <w:r w:rsidRPr="003024E5">
        <w:rPr>
          <w:rFonts w:asciiTheme="minorBidi" w:hAnsiTheme="minorBidi"/>
          <w:sz w:val="18"/>
          <w:szCs w:val="18"/>
          <w:rtl/>
        </w:rPr>
        <w:t xml:space="preserve"> והוא חשוב כרותח כמבואר לקמן סי</w:t>
      </w:r>
      <w:r>
        <w:rPr>
          <w:rFonts w:asciiTheme="minorBidi" w:hAnsiTheme="minorBidi" w:hint="cs"/>
          <w:sz w:val="18"/>
          <w:szCs w:val="18"/>
          <w:rtl/>
        </w:rPr>
        <w:t>'</w:t>
      </w:r>
      <w:r w:rsidRPr="003024E5">
        <w:rPr>
          <w:rFonts w:asciiTheme="minorBidi" w:hAnsiTheme="minorBidi"/>
          <w:sz w:val="18"/>
          <w:szCs w:val="18"/>
          <w:rtl/>
        </w:rPr>
        <w:t xml:space="preserve"> צא, נאסר הבשר, דלגבי דם בעין לא אמרינן איידי דטריד לפלוט לא בלע, ולא כבולעו כך פולטו </w:t>
      </w:r>
      <w:r w:rsidRPr="00B7053D">
        <w:rPr>
          <w:rFonts w:asciiTheme="minorBidi" w:hAnsiTheme="minorBidi"/>
          <w:sz w:val="16"/>
          <w:szCs w:val="16"/>
          <w:rtl/>
        </w:rPr>
        <w:t>(שם)</w:t>
      </w:r>
      <w:r w:rsidRPr="003024E5">
        <w:rPr>
          <w:rFonts w:asciiTheme="minorBidi" w:hAnsiTheme="minorBidi"/>
          <w:sz w:val="18"/>
          <w:szCs w:val="18"/>
          <w:rtl/>
        </w:rPr>
        <w:t>. והא דאסרינן אותו כשנפל לציר</w:t>
      </w:r>
      <w:r w:rsidRPr="003024E5">
        <w:rPr>
          <w:rStyle w:val="a7"/>
          <w:rFonts w:asciiTheme="minorBidi" w:hAnsiTheme="minorBidi"/>
          <w:sz w:val="18"/>
          <w:szCs w:val="18"/>
          <w:rtl/>
        </w:rPr>
        <w:footnoteReference w:id="441"/>
      </w:r>
      <w:r w:rsidRPr="003024E5">
        <w:rPr>
          <w:rFonts w:asciiTheme="minorBidi" w:hAnsiTheme="minorBidi"/>
          <w:sz w:val="18"/>
          <w:szCs w:val="18"/>
          <w:rtl/>
        </w:rPr>
        <w:t>, היינו דוקא מה שבתוך הציר, אבל מה שלמעלה מן הציר שרי</w:t>
      </w:r>
      <w:r w:rsidRPr="003024E5">
        <w:rPr>
          <w:rStyle w:val="a7"/>
          <w:rFonts w:asciiTheme="minorBidi" w:hAnsiTheme="minorBidi"/>
          <w:sz w:val="18"/>
          <w:szCs w:val="18"/>
          <w:rtl/>
        </w:rPr>
        <w:footnoteReference w:id="442"/>
      </w:r>
      <w:r w:rsidRPr="003024E5">
        <w:rPr>
          <w:rFonts w:asciiTheme="minorBidi" w:hAnsiTheme="minorBidi"/>
          <w:sz w:val="18"/>
          <w:szCs w:val="18"/>
          <w:rtl/>
        </w:rPr>
        <w:t>, מיהו מה שבתוך הציר נאסר מיד</w:t>
      </w:r>
      <w:r w:rsidRPr="003024E5">
        <w:rPr>
          <w:rStyle w:val="a7"/>
          <w:rFonts w:asciiTheme="minorBidi" w:hAnsiTheme="minorBidi"/>
          <w:sz w:val="18"/>
          <w:szCs w:val="18"/>
          <w:rtl/>
        </w:rPr>
        <w:footnoteReference w:id="443"/>
      </w:r>
      <w:r w:rsidRPr="003024E5">
        <w:rPr>
          <w:rFonts w:asciiTheme="minorBidi" w:hAnsiTheme="minorBidi"/>
          <w:sz w:val="18"/>
          <w:szCs w:val="18"/>
          <w:rtl/>
        </w:rPr>
        <w:t xml:space="preserve"> ואין שיעור לדבר</w:t>
      </w:r>
      <w:r w:rsidRPr="003024E5">
        <w:rPr>
          <w:rStyle w:val="a7"/>
          <w:rFonts w:asciiTheme="minorBidi" w:hAnsiTheme="minorBidi"/>
          <w:sz w:val="18"/>
          <w:szCs w:val="18"/>
          <w:rtl/>
        </w:rPr>
        <w:footnoteReference w:id="444"/>
      </w:r>
      <w:r w:rsidRPr="003024E5">
        <w:rPr>
          <w:rFonts w:asciiTheme="minorBidi" w:hAnsiTheme="minorBidi"/>
          <w:sz w:val="18"/>
          <w:szCs w:val="18"/>
          <w:rtl/>
        </w:rPr>
        <w:t>. בשר שנפל לתוך ציר שעל הקרקע, דינה כאילו היתה הציר בכלי</w:t>
      </w:r>
      <w:r w:rsidRPr="003024E5">
        <w:rPr>
          <w:rStyle w:val="a7"/>
          <w:rFonts w:asciiTheme="minorBidi" w:hAnsiTheme="minorBidi"/>
          <w:sz w:val="18"/>
          <w:szCs w:val="18"/>
          <w:rtl/>
        </w:rPr>
        <w:footnoteReference w:id="445"/>
      </w:r>
      <w:r w:rsidRPr="003024E5">
        <w:rPr>
          <w:rFonts w:asciiTheme="minorBidi" w:hAnsiTheme="minorBidi"/>
          <w:sz w:val="18"/>
          <w:szCs w:val="18"/>
          <w:rtl/>
        </w:rPr>
        <w:t xml:space="preserve"> </w:t>
      </w:r>
      <w:r w:rsidRPr="00B7053D">
        <w:rPr>
          <w:rFonts w:asciiTheme="minorBidi" w:hAnsiTheme="minorBidi"/>
          <w:sz w:val="16"/>
          <w:szCs w:val="16"/>
          <w:rtl/>
        </w:rPr>
        <w:t>(ב"י בשם שע"ד ואו"ה)</w:t>
      </w:r>
      <w:r w:rsidRPr="003024E5">
        <w:rPr>
          <w:rFonts w:asciiTheme="minorBidi" w:hAnsiTheme="minorBidi"/>
          <w:sz w:val="18"/>
          <w:szCs w:val="18"/>
          <w:rtl/>
        </w:rPr>
        <w:t>. בשר שנגע בחתיכה שנמלחה בכלי שאינו מנוקב ונאסרה, דינה כאילו נגעה בציר</w:t>
      </w:r>
      <w:r w:rsidRPr="003024E5">
        <w:rPr>
          <w:rStyle w:val="a7"/>
          <w:rFonts w:asciiTheme="minorBidi" w:hAnsiTheme="minorBidi"/>
          <w:sz w:val="18"/>
          <w:szCs w:val="18"/>
          <w:rtl/>
        </w:rPr>
        <w:footnoteReference w:id="446"/>
      </w:r>
      <w:r w:rsidRPr="003024E5">
        <w:rPr>
          <w:rFonts w:asciiTheme="minorBidi" w:hAnsiTheme="minorBidi"/>
          <w:sz w:val="18"/>
          <w:szCs w:val="18"/>
          <w:rtl/>
        </w:rPr>
        <w:t xml:space="preserve"> </w:t>
      </w:r>
      <w:r w:rsidRPr="00B7053D">
        <w:rPr>
          <w:rFonts w:asciiTheme="minorBidi" w:hAnsiTheme="minorBidi"/>
          <w:sz w:val="16"/>
          <w:szCs w:val="16"/>
          <w:rtl/>
        </w:rPr>
        <w:t>(ד"ע)</w:t>
      </w:r>
      <w:r w:rsidRPr="003024E5">
        <w:rPr>
          <w:rFonts w:asciiTheme="minorBidi" w:hAnsiTheme="minorBidi"/>
          <w:sz w:val="18"/>
          <w:szCs w:val="18"/>
          <w:rtl/>
        </w:rPr>
        <w:t>. ספק ציר ספק מים מותר, דציר דרבנן וספיקא להקל</w:t>
      </w:r>
      <w:r w:rsidRPr="003024E5">
        <w:rPr>
          <w:rStyle w:val="a7"/>
          <w:rFonts w:asciiTheme="minorBidi" w:hAnsiTheme="minorBidi"/>
          <w:sz w:val="18"/>
          <w:szCs w:val="18"/>
          <w:rtl/>
        </w:rPr>
        <w:footnoteReference w:id="447"/>
      </w:r>
      <w:r w:rsidRPr="003024E5">
        <w:rPr>
          <w:rFonts w:asciiTheme="minorBidi" w:hAnsiTheme="minorBidi"/>
          <w:sz w:val="18"/>
          <w:szCs w:val="18"/>
          <w:rtl/>
        </w:rPr>
        <w:t xml:space="preserve"> </w:t>
      </w:r>
      <w:r w:rsidRPr="00B7053D">
        <w:rPr>
          <w:rFonts w:asciiTheme="minorBidi" w:hAnsiTheme="minorBidi"/>
          <w:sz w:val="16"/>
          <w:szCs w:val="16"/>
          <w:rtl/>
        </w:rPr>
        <w:t>(מרדכי)</w:t>
      </w:r>
      <w:r w:rsidRPr="003024E5">
        <w:rPr>
          <w:rFonts w:asciiTheme="minorBidi" w:hAnsiTheme="minorBidi"/>
          <w:sz w:val="18"/>
          <w:szCs w:val="18"/>
          <w:rtl/>
        </w:rPr>
        <w:t>. ציר מעורב עם מים, אפילו היו המים מועטים</w:t>
      </w:r>
      <w:r w:rsidRPr="003024E5">
        <w:rPr>
          <w:rStyle w:val="a7"/>
          <w:rFonts w:asciiTheme="minorBidi" w:hAnsiTheme="minorBidi"/>
          <w:sz w:val="18"/>
          <w:szCs w:val="18"/>
          <w:rtl/>
        </w:rPr>
        <w:footnoteReference w:id="448"/>
      </w:r>
      <w:r w:rsidRPr="003024E5">
        <w:rPr>
          <w:rFonts w:asciiTheme="minorBidi" w:hAnsiTheme="minorBidi"/>
          <w:sz w:val="18"/>
          <w:szCs w:val="18"/>
          <w:rtl/>
        </w:rPr>
        <w:t xml:space="preserve">, לא חשיב עוד רותח ואינו אוסר </w:t>
      </w:r>
      <w:r w:rsidRPr="00B7053D">
        <w:rPr>
          <w:rFonts w:asciiTheme="minorBidi" w:hAnsiTheme="minorBidi"/>
          <w:sz w:val="16"/>
          <w:szCs w:val="16"/>
          <w:rtl/>
        </w:rPr>
        <w:t>(ב"י בשם אגור)</w:t>
      </w:r>
      <w:r w:rsidRPr="003024E5">
        <w:rPr>
          <w:rFonts w:asciiTheme="minorBidi" w:hAnsiTheme="minorBidi"/>
          <w:sz w:val="18"/>
          <w:szCs w:val="18"/>
          <w:rtl/>
        </w:rPr>
        <w:t>. דין כבוש עיין לקמן סי</w:t>
      </w:r>
      <w:r>
        <w:rPr>
          <w:rFonts w:asciiTheme="minorBidi" w:hAnsiTheme="minorBidi" w:hint="cs"/>
          <w:sz w:val="18"/>
          <w:szCs w:val="18"/>
          <w:rtl/>
        </w:rPr>
        <w:t>'</w:t>
      </w:r>
      <w:r w:rsidRPr="003024E5">
        <w:rPr>
          <w:rFonts w:asciiTheme="minorBidi" w:hAnsiTheme="minorBidi"/>
          <w:sz w:val="18"/>
          <w:szCs w:val="18"/>
          <w:rtl/>
        </w:rPr>
        <w:t xml:space="preserve"> קה.</w:t>
      </w:r>
    </w:p>
    <w:p w14:paraId="5C90BC9E" w14:textId="77777777" w:rsidR="002C39F4" w:rsidRPr="00A31D6E" w:rsidRDefault="002C39F4" w:rsidP="002C39F4">
      <w:pPr>
        <w:rPr>
          <w:rFonts w:asciiTheme="minorBidi" w:hAnsiTheme="minorBidi"/>
          <w:color w:val="FF0000"/>
          <w:rtl/>
        </w:rPr>
        <w:sectPr w:rsidR="002C39F4" w:rsidRPr="00A31D6E" w:rsidSect="004C5A3C">
          <w:footnotePr>
            <w:numRestart w:val="eachPage"/>
          </w:footnotePr>
          <w:pgSz w:w="11906" w:h="16838"/>
          <w:pgMar w:top="720" w:right="1134" w:bottom="720" w:left="1134" w:header="720" w:footer="0" w:gutter="0"/>
          <w:cols w:space="720"/>
          <w:bidi/>
          <w:rtlGutter/>
          <w:docGrid w:linePitch="360"/>
        </w:sectPr>
      </w:pPr>
      <w:r w:rsidRPr="003024E5">
        <w:rPr>
          <w:rFonts w:asciiTheme="minorBidi" w:hAnsiTheme="minorBidi"/>
          <w:color w:val="FF0000"/>
          <w:rtl/>
        </w:rPr>
        <w:t>צריך לחזור שוב על הש"ך והט"ז שעל הג"ה זו</w:t>
      </w:r>
    </w:p>
    <w:p w14:paraId="37A0D75C"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עא: דין מליחת הראש והטלפים והמוח, ובו ג' סעיפים. </w:t>
      </w:r>
    </w:p>
    <w:p w14:paraId="3072B5B8" w14:textId="77777777" w:rsidR="002C39F4" w:rsidRPr="003024E5" w:rsidRDefault="002C39F4" w:rsidP="002C39F4">
      <w:pPr>
        <w:pStyle w:val="2"/>
        <w:rPr>
          <w:rFonts w:asciiTheme="minorBidi" w:hAnsiTheme="minorBidi"/>
          <w:rtl/>
        </w:rPr>
      </w:pPr>
      <w:r w:rsidRPr="003024E5">
        <w:rPr>
          <w:rFonts w:asciiTheme="minorBidi" w:hAnsiTheme="minorBidi"/>
          <w:rtl/>
        </w:rPr>
        <w:t>סעיף א: מליחת הראש.</w:t>
      </w:r>
    </w:p>
    <w:p w14:paraId="3BB230C1" w14:textId="77777777" w:rsidR="002C39F4" w:rsidRPr="003024E5" w:rsidRDefault="002C39F4" w:rsidP="002C39F4">
      <w:pPr>
        <w:rPr>
          <w:rFonts w:asciiTheme="minorBidi" w:hAnsiTheme="minorBidi"/>
          <w:u w:val="single"/>
          <w:rtl/>
        </w:rPr>
      </w:pPr>
      <w:r w:rsidRPr="003024E5">
        <w:rPr>
          <w:rFonts w:asciiTheme="minorBidi" w:hAnsiTheme="minorBidi"/>
          <w:u w:val="single"/>
          <w:rtl/>
        </w:rPr>
        <w:t>מליחת הראש</w:t>
      </w:r>
      <w:r w:rsidRPr="001244CF">
        <w:rPr>
          <w:rFonts w:asciiTheme="minorBidi" w:hAnsiTheme="minorBidi"/>
          <w:u w:val="single"/>
          <w:rtl/>
        </w:rPr>
        <w:t xml:space="preserve"> </w:t>
      </w:r>
      <w:r>
        <w:rPr>
          <w:rFonts w:asciiTheme="minorBidi" w:hAnsiTheme="minorBidi" w:hint="cs"/>
          <w:u w:val="single"/>
          <w:rtl/>
        </w:rPr>
        <w:t xml:space="preserve">- </w:t>
      </w:r>
      <w:r w:rsidRPr="003024E5">
        <w:rPr>
          <w:rFonts w:asciiTheme="minorBidi" w:hAnsiTheme="minorBidi"/>
          <w:u w:val="single"/>
          <w:rtl/>
        </w:rPr>
        <w:t>כיצד:</w:t>
      </w:r>
      <w:r>
        <w:rPr>
          <w:rFonts w:asciiTheme="minorBidi" w:hAnsiTheme="minorBidi" w:hint="cs"/>
          <w:u w:val="single"/>
          <w:rtl/>
        </w:rPr>
        <w:t xml:space="preserve"> </w:t>
      </w:r>
    </w:p>
    <w:p w14:paraId="3E053EF2" w14:textId="77777777" w:rsidR="002C39F4" w:rsidRPr="00BA1777" w:rsidRDefault="002C39F4" w:rsidP="002C39F4">
      <w:pPr>
        <w:pStyle w:val="a8"/>
        <w:numPr>
          <w:ilvl w:val="0"/>
          <w:numId w:val="38"/>
        </w:numPr>
        <w:rPr>
          <w:rFonts w:asciiTheme="minorBidi" w:hAnsiTheme="minorBidi"/>
        </w:rPr>
      </w:pPr>
      <w:r w:rsidRPr="00BA1777">
        <w:rPr>
          <w:rFonts w:asciiTheme="minorBidi" w:hAnsiTheme="minorBidi"/>
          <w:rtl/>
        </w:rPr>
        <w:t>י"א</w:t>
      </w:r>
      <w:r w:rsidRPr="00BA1777">
        <w:rPr>
          <w:rStyle w:val="a7"/>
          <w:rFonts w:asciiTheme="minorBidi" w:hAnsiTheme="minorBidi"/>
          <w:rtl/>
        </w:rPr>
        <w:footnoteReference w:id="449"/>
      </w:r>
      <w:r w:rsidRPr="00BA1777">
        <w:rPr>
          <w:rFonts w:asciiTheme="minorBidi" w:hAnsiTheme="minorBidi"/>
          <w:rtl/>
        </w:rPr>
        <w:t>- מולחין הראש והרגלים ושוהין כדי מליחה ומדיחין אותן לפני נתינתן על האור להשיר שער והטלפים ואח"כ מולחין כהוגן משום שהמליחה ראשונה היתה כנגד הטלפים והשער ולא נכנס בבשר רק מיעוט</w:t>
      </w:r>
      <w:r w:rsidRPr="00BA1777">
        <w:rPr>
          <w:rStyle w:val="a7"/>
          <w:rFonts w:asciiTheme="minorBidi" w:hAnsiTheme="minorBidi"/>
          <w:rtl/>
        </w:rPr>
        <w:footnoteReference w:id="450"/>
      </w:r>
      <w:r w:rsidRPr="00BA1777">
        <w:rPr>
          <w:rFonts w:asciiTheme="minorBidi" w:hAnsiTheme="minorBidi"/>
          <w:rtl/>
        </w:rPr>
        <w:t xml:space="preserve">. </w:t>
      </w:r>
    </w:p>
    <w:p w14:paraId="6A4C93CB" w14:textId="77777777" w:rsidR="002C39F4" w:rsidRPr="003024E5" w:rsidRDefault="002C39F4" w:rsidP="002C39F4">
      <w:pPr>
        <w:pStyle w:val="a8"/>
        <w:numPr>
          <w:ilvl w:val="0"/>
          <w:numId w:val="38"/>
        </w:numPr>
        <w:rPr>
          <w:rFonts w:asciiTheme="minorBidi" w:hAnsiTheme="minorBidi"/>
          <w:rtl/>
        </w:rPr>
      </w:pPr>
      <w:r w:rsidRPr="00BA1777">
        <w:rPr>
          <w:rFonts w:asciiTheme="minorBidi" w:hAnsiTheme="minorBidi"/>
          <w:rtl/>
        </w:rPr>
        <w:t xml:space="preserve">רשב"א </w:t>
      </w:r>
      <w:r w:rsidRPr="00BA1777">
        <w:rPr>
          <w:rFonts w:asciiTheme="minorBidi" w:hAnsiTheme="minorBidi"/>
          <w:sz w:val="16"/>
          <w:szCs w:val="16"/>
          <w:rtl/>
        </w:rPr>
        <w:t>(תוה"ב קצר וארוך ב"ג ש"ד)</w:t>
      </w:r>
      <w:r w:rsidRPr="00BA1777">
        <w:rPr>
          <w:rFonts w:asciiTheme="minorBidi" w:hAnsiTheme="minorBidi"/>
          <w:rtl/>
        </w:rPr>
        <w:t>- אם רצה חותך את הראש לשנים ומולח יפה את הראש מצד פנים והופכו ומולח על העור, שאין השער מעכב ע"י המלח להפליט דם שבבשר הראש, הרי מוח שבעצמות נכשר ע"י מליחה ואין העצם</w:t>
      </w:r>
      <w:r w:rsidRPr="003024E5">
        <w:rPr>
          <w:rFonts w:asciiTheme="minorBidi" w:hAnsiTheme="minorBidi"/>
          <w:rtl/>
        </w:rPr>
        <w:t xml:space="preserve"> מעכב וקל וחומר הדברים לשער הראש, ולא אמרו במוח שבראש אלא מפני הוורידין של דם שעל קרום של מוח שהוא כאלו דם כנוס שם בעין, אבל דם האברים שהוא קלוש וצלול יוצא הוא ע"י מליחה שעל השער.</w:t>
      </w:r>
      <w:r w:rsidRPr="003024E5">
        <w:rPr>
          <w:rFonts w:asciiTheme="minorBidi" w:hAnsiTheme="minorBidi"/>
          <w:color w:val="E36C0A" w:themeColor="accent6" w:themeShade="BF"/>
          <w:rtl/>
        </w:rPr>
        <w:t xml:space="preserve"> (וכ"פ בשו"ע)</w:t>
      </w:r>
    </w:p>
    <w:p w14:paraId="16CEB05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24F81B3" w14:textId="77777777" w:rsidR="002C39F4" w:rsidRPr="003024E5" w:rsidRDefault="002C39F4" w:rsidP="002C39F4">
      <w:pPr>
        <w:rPr>
          <w:rFonts w:asciiTheme="minorBidi" w:hAnsiTheme="minorBidi"/>
          <w:rtl/>
        </w:rPr>
      </w:pPr>
      <w:r w:rsidRPr="003024E5">
        <w:rPr>
          <w:rFonts w:asciiTheme="minorBidi" w:hAnsiTheme="minorBidi"/>
          <w:rtl/>
        </w:rPr>
        <w:t>הראש, חותכו לשנים</w:t>
      </w:r>
      <w:r w:rsidRPr="003024E5">
        <w:rPr>
          <w:rStyle w:val="a7"/>
          <w:rFonts w:asciiTheme="minorBidi" w:hAnsiTheme="minorBidi"/>
          <w:rtl/>
        </w:rPr>
        <w:footnoteReference w:id="451"/>
      </w:r>
      <w:r w:rsidRPr="003024E5">
        <w:rPr>
          <w:rFonts w:asciiTheme="minorBidi" w:hAnsiTheme="minorBidi"/>
          <w:rtl/>
        </w:rPr>
        <w:t xml:space="preserve"> ומולחו יפה לצד פנים וחוזר ומולח על השיער</w:t>
      </w:r>
      <w:r w:rsidRPr="003024E5">
        <w:rPr>
          <w:rStyle w:val="a7"/>
          <w:rFonts w:asciiTheme="minorBidi" w:hAnsiTheme="minorBidi"/>
          <w:rtl/>
        </w:rPr>
        <w:footnoteReference w:id="452"/>
      </w:r>
      <w:r w:rsidRPr="003024E5">
        <w:rPr>
          <w:rFonts w:asciiTheme="minorBidi" w:hAnsiTheme="minorBidi"/>
          <w:rtl/>
        </w:rPr>
        <w:t>, שאין השיער מעכב על ידי המלח להפליט דם.</w:t>
      </w:r>
    </w:p>
    <w:p w14:paraId="0F2F7B2F" w14:textId="77777777" w:rsidR="002C39F4" w:rsidRPr="003024E5" w:rsidRDefault="002C39F4" w:rsidP="002C39F4">
      <w:pPr>
        <w:rPr>
          <w:rFonts w:asciiTheme="minorBidi" w:hAnsiTheme="minorBidi"/>
          <w:rtl/>
        </w:rPr>
      </w:pPr>
      <w:r w:rsidRPr="003024E5">
        <w:rPr>
          <w:rFonts w:asciiTheme="minorBidi" w:hAnsiTheme="minorBidi"/>
          <w:rtl/>
        </w:rPr>
        <w:t xml:space="preserve"> </w:t>
      </w:r>
    </w:p>
    <w:p w14:paraId="2B9574AB" w14:textId="77777777" w:rsidR="002C39F4" w:rsidRPr="003024E5" w:rsidRDefault="002C39F4" w:rsidP="002C39F4">
      <w:pPr>
        <w:pStyle w:val="2"/>
        <w:rPr>
          <w:rFonts w:asciiTheme="minorBidi" w:hAnsiTheme="minorBidi"/>
          <w:rtl/>
        </w:rPr>
      </w:pPr>
      <w:r w:rsidRPr="003024E5">
        <w:rPr>
          <w:rFonts w:asciiTheme="minorBidi" w:hAnsiTheme="minorBidi"/>
          <w:rtl/>
        </w:rPr>
        <w:t>סעיף ב: מליחת הטלפים.</w:t>
      </w:r>
    </w:p>
    <w:p w14:paraId="1FA99F9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95CF532" w14:textId="77777777" w:rsidR="002C39F4" w:rsidRPr="003024E5" w:rsidRDefault="002C39F4" w:rsidP="002C39F4">
      <w:pPr>
        <w:rPr>
          <w:rFonts w:asciiTheme="minorBidi" w:hAnsiTheme="minorBidi"/>
          <w:rtl/>
        </w:rPr>
      </w:pPr>
      <w:r w:rsidRPr="003024E5">
        <w:rPr>
          <w:rFonts w:asciiTheme="minorBidi" w:hAnsiTheme="minorBidi"/>
          <w:rtl/>
        </w:rPr>
        <w:t>הטלפים</w:t>
      </w:r>
      <w:r w:rsidRPr="003024E5">
        <w:rPr>
          <w:rStyle w:val="a7"/>
          <w:rFonts w:asciiTheme="minorBidi" w:hAnsiTheme="minorBidi"/>
          <w:rtl/>
        </w:rPr>
        <w:footnoteReference w:id="453"/>
      </w:r>
      <w:r w:rsidRPr="003024E5">
        <w:rPr>
          <w:rFonts w:asciiTheme="minorBidi" w:hAnsiTheme="minorBidi"/>
          <w:rtl/>
        </w:rPr>
        <w:t>, מחתך אותם מעט למטה</w:t>
      </w:r>
      <w:r w:rsidRPr="003024E5">
        <w:rPr>
          <w:rStyle w:val="a7"/>
          <w:rFonts w:asciiTheme="minorBidi" w:hAnsiTheme="minorBidi"/>
          <w:rtl/>
        </w:rPr>
        <w:footnoteReference w:id="454"/>
      </w:r>
      <w:r w:rsidRPr="003024E5">
        <w:rPr>
          <w:rFonts w:asciiTheme="minorBidi" w:hAnsiTheme="minorBidi"/>
          <w:rtl/>
        </w:rPr>
        <w:t xml:space="preserve"> ומולח, ויניח מקום החתך למטה</w:t>
      </w:r>
      <w:r w:rsidRPr="003024E5">
        <w:rPr>
          <w:rStyle w:val="a7"/>
          <w:rFonts w:asciiTheme="minorBidi" w:hAnsiTheme="minorBidi"/>
          <w:rtl/>
        </w:rPr>
        <w:footnoteReference w:id="455"/>
      </w:r>
      <w:r w:rsidRPr="003024E5">
        <w:rPr>
          <w:rFonts w:asciiTheme="minorBidi" w:hAnsiTheme="minorBidi"/>
          <w:rtl/>
        </w:rPr>
        <w:t xml:space="preserve"> וימלח גם על השיער</w:t>
      </w:r>
      <w:r w:rsidRPr="003024E5">
        <w:rPr>
          <w:rStyle w:val="a7"/>
          <w:rFonts w:asciiTheme="minorBidi" w:hAnsiTheme="minorBidi"/>
          <w:rtl/>
        </w:rPr>
        <w:footnoteReference w:id="456"/>
      </w:r>
      <w:r w:rsidRPr="003024E5">
        <w:rPr>
          <w:rFonts w:asciiTheme="minorBidi" w:hAnsiTheme="minorBidi"/>
          <w:rtl/>
        </w:rPr>
        <w:t>.</w:t>
      </w:r>
      <w:r w:rsidRPr="003024E5">
        <w:rPr>
          <w:rFonts w:asciiTheme="minorBidi" w:hAnsiTheme="minorBidi"/>
          <w:sz w:val="18"/>
          <w:szCs w:val="18"/>
          <w:rtl/>
        </w:rPr>
        <w:t xml:space="preserve"> [הגה] ועיין לעיל סי</w:t>
      </w:r>
      <w:r>
        <w:rPr>
          <w:rFonts w:asciiTheme="minorBidi" w:hAnsiTheme="minorBidi" w:hint="cs"/>
          <w:sz w:val="18"/>
          <w:szCs w:val="18"/>
          <w:rtl/>
        </w:rPr>
        <w:t>'</w:t>
      </w:r>
      <w:r w:rsidRPr="003024E5">
        <w:rPr>
          <w:rFonts w:asciiTheme="minorBidi" w:hAnsiTheme="minorBidi"/>
          <w:sz w:val="18"/>
          <w:szCs w:val="18"/>
          <w:rtl/>
        </w:rPr>
        <w:t xml:space="preserve"> סח</w:t>
      </w:r>
      <w:r w:rsidRPr="003024E5">
        <w:rPr>
          <w:rStyle w:val="a7"/>
          <w:rFonts w:asciiTheme="minorBidi" w:hAnsiTheme="minorBidi"/>
          <w:sz w:val="18"/>
          <w:szCs w:val="18"/>
          <w:rtl/>
        </w:rPr>
        <w:footnoteReference w:id="457"/>
      </w:r>
      <w:r w:rsidRPr="003024E5">
        <w:rPr>
          <w:rFonts w:asciiTheme="minorBidi" w:hAnsiTheme="minorBidi"/>
          <w:sz w:val="18"/>
          <w:szCs w:val="18"/>
          <w:rtl/>
        </w:rPr>
        <w:t>.</w:t>
      </w:r>
      <w:r w:rsidRPr="003024E5">
        <w:rPr>
          <w:rFonts w:asciiTheme="minorBidi" w:hAnsiTheme="minorBidi"/>
          <w:rtl/>
        </w:rPr>
        <w:t xml:space="preserve"> </w:t>
      </w:r>
    </w:p>
    <w:p w14:paraId="0E374A9F" w14:textId="77777777" w:rsidR="002C39F4" w:rsidRPr="003024E5" w:rsidRDefault="002C39F4" w:rsidP="002C39F4">
      <w:pPr>
        <w:rPr>
          <w:rFonts w:asciiTheme="minorBidi" w:hAnsiTheme="minorBidi"/>
          <w:rtl/>
        </w:rPr>
      </w:pPr>
    </w:p>
    <w:p w14:paraId="7A3665DD" w14:textId="77777777" w:rsidR="002C39F4" w:rsidRPr="003024E5" w:rsidRDefault="002C39F4" w:rsidP="002C39F4">
      <w:pPr>
        <w:pStyle w:val="2"/>
        <w:rPr>
          <w:rFonts w:asciiTheme="minorBidi" w:hAnsiTheme="minorBidi"/>
          <w:rtl/>
        </w:rPr>
      </w:pPr>
      <w:r w:rsidRPr="003024E5">
        <w:rPr>
          <w:rFonts w:asciiTheme="minorBidi" w:hAnsiTheme="minorBidi"/>
          <w:rtl/>
        </w:rPr>
        <w:t>סעיף ג: הכשרת המוח.</w:t>
      </w:r>
    </w:p>
    <w:p w14:paraId="13EEC0A8"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צג ע"ב: </w:t>
      </w:r>
      <w:r w:rsidRPr="00595752">
        <w:rPr>
          <w:rFonts w:asciiTheme="minorBidi" w:hAnsiTheme="minorBidi" w:cs="Arial"/>
          <w:rtl/>
        </w:rPr>
        <w:t>רישא בכיבשא</w:t>
      </w:r>
      <w:r>
        <w:rPr>
          <w:rFonts w:asciiTheme="minorBidi" w:hAnsiTheme="minorBidi" w:hint="cs"/>
          <w:rtl/>
        </w:rPr>
        <w:t xml:space="preserve">; </w:t>
      </w:r>
      <w:r w:rsidRPr="003024E5">
        <w:rPr>
          <w:rFonts w:asciiTheme="minorBidi" w:hAnsiTheme="minorBidi"/>
          <w:rtl/>
        </w:rPr>
        <w:t>אותביה אבית השחיטה</w:t>
      </w:r>
      <w:r>
        <w:rPr>
          <w:rFonts w:asciiTheme="minorBidi" w:hAnsiTheme="minorBidi" w:hint="cs"/>
          <w:rtl/>
        </w:rPr>
        <w:t xml:space="preserve"> </w:t>
      </w:r>
      <w:r w:rsidRPr="003024E5">
        <w:rPr>
          <w:rFonts w:asciiTheme="minorBidi" w:hAnsiTheme="minorBidi"/>
          <w:rtl/>
        </w:rPr>
        <w:t>- דייב דמא ושרי, אצדדין</w:t>
      </w:r>
      <w:r>
        <w:rPr>
          <w:rFonts w:asciiTheme="minorBidi" w:hAnsiTheme="minorBidi" w:hint="cs"/>
          <w:rtl/>
        </w:rPr>
        <w:t xml:space="preserve"> </w:t>
      </w:r>
      <w:r w:rsidRPr="003024E5">
        <w:rPr>
          <w:rFonts w:asciiTheme="minorBidi" w:hAnsiTheme="minorBidi"/>
          <w:rtl/>
        </w:rPr>
        <w:t>- מיקפא קפי ואסור</w:t>
      </w:r>
      <w:r>
        <w:rPr>
          <w:rFonts w:asciiTheme="minorBidi" w:hAnsiTheme="minorBidi" w:hint="cs"/>
          <w:rtl/>
        </w:rPr>
        <w:t>.</w:t>
      </w:r>
      <w:r w:rsidRPr="003024E5">
        <w:rPr>
          <w:rFonts w:asciiTheme="minorBidi" w:hAnsiTheme="minorBidi"/>
          <w:rtl/>
        </w:rPr>
        <w:t xml:space="preserve"> אותביה אנחיריה, דץ ביה מידי</w:t>
      </w:r>
      <w:r>
        <w:rPr>
          <w:rFonts w:asciiTheme="minorBidi" w:hAnsiTheme="minorBidi" w:hint="cs"/>
          <w:rtl/>
        </w:rPr>
        <w:t xml:space="preserve"> </w:t>
      </w:r>
      <w:r w:rsidRPr="003024E5">
        <w:rPr>
          <w:rFonts w:asciiTheme="minorBidi" w:hAnsiTheme="minorBidi"/>
          <w:rtl/>
        </w:rPr>
        <w:t>- שרי, ואי לא אסיר. איכא דאמרי</w:t>
      </w:r>
      <w:r w:rsidRPr="003024E5">
        <w:rPr>
          <w:rStyle w:val="a7"/>
          <w:rFonts w:asciiTheme="minorBidi" w:hAnsiTheme="minorBidi"/>
          <w:rtl/>
        </w:rPr>
        <w:footnoteReference w:id="458"/>
      </w:r>
      <w:r w:rsidRPr="003024E5">
        <w:rPr>
          <w:rFonts w:asciiTheme="minorBidi" w:hAnsiTheme="minorBidi"/>
          <w:rtl/>
        </w:rPr>
        <w:t>: אנחיריה ואבית השחיטה דאיב, אצדדין, אי דץ ביה מידי שרי, ואי לא אסיר.</w:t>
      </w:r>
    </w:p>
    <w:p w14:paraId="496199C3" w14:textId="77777777" w:rsidR="002C39F4" w:rsidRPr="003024E5" w:rsidRDefault="002C39F4" w:rsidP="002C39F4">
      <w:pPr>
        <w:rPr>
          <w:rFonts w:asciiTheme="minorBidi" w:hAnsiTheme="minorBidi"/>
          <w:u w:val="single"/>
          <w:rtl/>
        </w:rPr>
      </w:pPr>
      <w:r w:rsidRPr="003024E5">
        <w:rPr>
          <w:rFonts w:asciiTheme="minorBidi" w:hAnsiTheme="minorBidi"/>
          <w:u w:val="single"/>
          <w:rtl/>
        </w:rPr>
        <w:t>הכשרת מוח לצלי</w:t>
      </w:r>
      <w:r w:rsidRPr="00595752">
        <w:rPr>
          <w:rFonts w:asciiTheme="minorBidi" w:hAnsiTheme="minorBidi"/>
          <w:u w:val="single"/>
          <w:rtl/>
        </w:rPr>
        <w:t xml:space="preserve"> </w:t>
      </w:r>
      <w:r>
        <w:rPr>
          <w:rFonts w:asciiTheme="minorBidi" w:hAnsiTheme="minorBidi" w:hint="cs"/>
          <w:u w:val="single"/>
          <w:rtl/>
        </w:rPr>
        <w:t xml:space="preserve">- </w:t>
      </w:r>
      <w:r w:rsidRPr="003024E5">
        <w:rPr>
          <w:rFonts w:asciiTheme="minorBidi" w:hAnsiTheme="minorBidi"/>
          <w:u w:val="single"/>
          <w:rtl/>
        </w:rPr>
        <w:t>כיצד:</w:t>
      </w:r>
    </w:p>
    <w:p w14:paraId="4054B88A" w14:textId="77777777" w:rsidR="002C39F4" w:rsidRPr="00BA1777" w:rsidRDefault="002C39F4" w:rsidP="002C39F4">
      <w:pPr>
        <w:pStyle w:val="a8"/>
        <w:numPr>
          <w:ilvl w:val="0"/>
          <w:numId w:val="40"/>
        </w:numPr>
        <w:rPr>
          <w:rFonts w:asciiTheme="minorBidi" w:hAnsiTheme="minorBidi"/>
          <w:u w:val="single"/>
        </w:rPr>
      </w:pPr>
      <w:r w:rsidRPr="00BA1777">
        <w:rPr>
          <w:rFonts w:asciiTheme="minorBidi" w:hAnsiTheme="minorBidi"/>
          <w:rtl/>
        </w:rPr>
        <w:t xml:space="preserve">רשב"א </w:t>
      </w:r>
      <w:r w:rsidRPr="00BA1777">
        <w:rPr>
          <w:rFonts w:asciiTheme="minorBidi" w:hAnsiTheme="minorBidi"/>
          <w:sz w:val="16"/>
          <w:szCs w:val="16"/>
          <w:rtl/>
        </w:rPr>
        <w:t>(תוה"</w:t>
      </w:r>
      <w:r w:rsidRPr="00BA1777">
        <w:rPr>
          <w:rFonts w:asciiTheme="minorBidi" w:hAnsiTheme="minorBidi" w:hint="cs"/>
          <w:sz w:val="16"/>
          <w:szCs w:val="16"/>
          <w:rtl/>
        </w:rPr>
        <w:t xml:space="preserve">ק </w:t>
      </w:r>
      <w:r w:rsidRPr="00BA1777">
        <w:rPr>
          <w:rFonts w:asciiTheme="minorBidi" w:hAnsiTheme="minorBidi"/>
          <w:sz w:val="16"/>
          <w:szCs w:val="16"/>
          <w:rtl/>
        </w:rPr>
        <w:t>ב"ג ש"ג)</w:t>
      </w:r>
      <w:r w:rsidRPr="00BA1777">
        <w:rPr>
          <w:rFonts w:asciiTheme="minorBidi" w:hAnsiTheme="minorBidi"/>
          <w:rtl/>
        </w:rPr>
        <w:t>- מניח בית שחיטתו על האש והדם זב דרך בית השחיטה, הניחו על בית נחיריו ונעץ בו שפוד או קנה מותר לפי שגם דרך שם זב הדם, וכן אם ניקב בעצם כנגד הקרום והניחו על הנקב שפיר דמי.</w:t>
      </w:r>
      <w:r w:rsidRPr="00BA1777">
        <w:rPr>
          <w:rFonts w:asciiTheme="minorBidi" w:hAnsiTheme="minorBidi"/>
          <w:u w:val="single"/>
          <w:rtl/>
        </w:rPr>
        <w:t xml:space="preserve"> </w:t>
      </w:r>
    </w:p>
    <w:p w14:paraId="0D3852CA" w14:textId="77777777" w:rsidR="002C39F4" w:rsidRPr="00BA1777" w:rsidRDefault="002C39F4" w:rsidP="002C39F4">
      <w:pPr>
        <w:pStyle w:val="a8"/>
        <w:numPr>
          <w:ilvl w:val="0"/>
          <w:numId w:val="40"/>
        </w:numPr>
        <w:rPr>
          <w:rFonts w:asciiTheme="minorBidi" w:hAnsiTheme="minorBidi"/>
          <w:u w:val="single"/>
          <w:rtl/>
        </w:rPr>
      </w:pPr>
      <w:r w:rsidRPr="00BA1777">
        <w:rPr>
          <w:rFonts w:asciiTheme="minorBidi" w:hAnsiTheme="minorBidi"/>
          <w:rtl/>
        </w:rPr>
        <w:t xml:space="preserve">רא"ש </w:t>
      </w:r>
      <w:r w:rsidRPr="00BA1777">
        <w:rPr>
          <w:rFonts w:asciiTheme="minorBidi" w:hAnsiTheme="minorBidi"/>
          <w:sz w:val="16"/>
          <w:szCs w:val="16"/>
          <w:rtl/>
        </w:rPr>
        <w:t>(כלל כ דכ</w:t>
      </w:r>
      <w:r w:rsidRPr="00BA1777">
        <w:rPr>
          <w:rFonts w:asciiTheme="minorBidi" w:hAnsiTheme="minorBidi" w:hint="cs"/>
          <w:sz w:val="16"/>
          <w:szCs w:val="16"/>
          <w:rtl/>
        </w:rPr>
        <w:t>"</w:t>
      </w:r>
      <w:r w:rsidRPr="00BA1777">
        <w:rPr>
          <w:rFonts w:asciiTheme="minorBidi" w:hAnsiTheme="minorBidi"/>
          <w:sz w:val="16"/>
          <w:szCs w:val="16"/>
          <w:rtl/>
        </w:rPr>
        <w:t>ג)</w:t>
      </w:r>
      <w:r w:rsidRPr="00BA1777">
        <w:rPr>
          <w:rFonts w:asciiTheme="minorBidi" w:hAnsiTheme="minorBidi"/>
          <w:rtl/>
        </w:rPr>
        <w:t>- האידנא רגילין להסיר המוח ולמלחו תחלה קודם צלייה, כי בימיהם היו צולין בתנור ומשלשלין הצלי לתוכו וכשנותן הנחירים למטה זב כל הדם לחוץ דרך הנחירים, אבל בצלייה שלנו שאין התנורים פיהם למעלה איכא למיחש שמא לפעמים לא יהא בית השחיטה או הנחירים למטה</w:t>
      </w:r>
      <w:r w:rsidRPr="00BA1777">
        <w:rPr>
          <w:rStyle w:val="a7"/>
          <w:rFonts w:asciiTheme="minorBidi" w:hAnsiTheme="minorBidi"/>
          <w:rtl/>
        </w:rPr>
        <w:footnoteReference w:id="459"/>
      </w:r>
      <w:r w:rsidRPr="00BA1777">
        <w:rPr>
          <w:rFonts w:asciiTheme="minorBidi" w:hAnsiTheme="minorBidi"/>
          <w:rtl/>
        </w:rPr>
        <w:t>.</w:t>
      </w:r>
    </w:p>
    <w:p w14:paraId="44CCBBE4" w14:textId="77777777" w:rsidR="002C39F4" w:rsidRPr="00BA1777" w:rsidRDefault="002C39F4" w:rsidP="002C39F4">
      <w:pPr>
        <w:rPr>
          <w:rFonts w:asciiTheme="minorBidi" w:hAnsiTheme="minorBidi"/>
          <w:u w:val="single"/>
          <w:rtl/>
        </w:rPr>
      </w:pPr>
      <w:r w:rsidRPr="00BA1777">
        <w:rPr>
          <w:rFonts w:asciiTheme="minorBidi" w:hAnsiTheme="minorBidi"/>
          <w:u w:val="single"/>
          <w:rtl/>
        </w:rPr>
        <w:t xml:space="preserve">הכשרת מוח </w:t>
      </w:r>
      <w:r w:rsidRPr="00BA1777">
        <w:rPr>
          <w:rFonts w:asciiTheme="minorBidi" w:hAnsiTheme="minorBidi" w:hint="cs"/>
          <w:u w:val="single"/>
          <w:rtl/>
        </w:rPr>
        <w:t>לקדרה</w:t>
      </w:r>
      <w:r w:rsidRPr="00BA1777">
        <w:rPr>
          <w:rFonts w:asciiTheme="minorBidi" w:hAnsiTheme="minorBidi"/>
          <w:u w:val="single"/>
          <w:rtl/>
        </w:rPr>
        <w:t xml:space="preserve"> </w:t>
      </w:r>
      <w:r w:rsidRPr="00BA1777">
        <w:rPr>
          <w:rFonts w:asciiTheme="minorBidi" w:hAnsiTheme="minorBidi" w:hint="cs"/>
          <w:u w:val="single"/>
          <w:rtl/>
        </w:rPr>
        <w:t xml:space="preserve">- </w:t>
      </w:r>
      <w:r w:rsidRPr="00BA1777">
        <w:rPr>
          <w:rFonts w:asciiTheme="minorBidi" w:hAnsiTheme="minorBidi"/>
          <w:u w:val="single"/>
          <w:rtl/>
        </w:rPr>
        <w:t>כיצד:</w:t>
      </w:r>
    </w:p>
    <w:p w14:paraId="7D50EF9E" w14:textId="77777777" w:rsidR="002C39F4" w:rsidRPr="00BA1777" w:rsidRDefault="002C39F4" w:rsidP="002C39F4">
      <w:pPr>
        <w:pStyle w:val="a8"/>
        <w:numPr>
          <w:ilvl w:val="0"/>
          <w:numId w:val="39"/>
        </w:numPr>
        <w:rPr>
          <w:rFonts w:asciiTheme="minorBidi" w:hAnsiTheme="minorBidi"/>
        </w:rPr>
      </w:pPr>
      <w:r w:rsidRPr="00BA1777">
        <w:rPr>
          <w:rFonts w:asciiTheme="minorBidi" w:hAnsiTheme="minorBidi"/>
          <w:rtl/>
        </w:rPr>
        <w:t xml:space="preserve">רמב"ם </w:t>
      </w:r>
      <w:r w:rsidRPr="00BA1777">
        <w:rPr>
          <w:rFonts w:asciiTheme="minorBidi" w:hAnsiTheme="minorBidi"/>
          <w:sz w:val="16"/>
          <w:szCs w:val="16"/>
          <w:rtl/>
        </w:rPr>
        <w:t>(פ"ו ה"ז)</w:t>
      </w:r>
      <w:r w:rsidRPr="00BA1777">
        <w:rPr>
          <w:rFonts w:asciiTheme="minorBidi" w:hAnsiTheme="minorBidi"/>
          <w:rtl/>
        </w:rPr>
        <w:t>- מנהג פשוט שאין מבשלין המוח של ראש ולא קולין אותו עד שמהבהבין אותו באור</w:t>
      </w:r>
      <w:r w:rsidRPr="00BA1777">
        <w:rPr>
          <w:rStyle w:val="a7"/>
          <w:rFonts w:asciiTheme="minorBidi" w:hAnsiTheme="minorBidi"/>
          <w:rtl/>
        </w:rPr>
        <w:footnoteReference w:id="460"/>
      </w:r>
      <w:r w:rsidRPr="00BA1777">
        <w:rPr>
          <w:rFonts w:asciiTheme="minorBidi" w:hAnsiTheme="minorBidi"/>
          <w:rtl/>
        </w:rPr>
        <w:t xml:space="preserve">. </w:t>
      </w:r>
    </w:p>
    <w:p w14:paraId="25057FC7" w14:textId="77777777" w:rsidR="002C39F4" w:rsidRPr="00BA1777" w:rsidRDefault="002C39F4" w:rsidP="002C39F4">
      <w:pPr>
        <w:pStyle w:val="a8"/>
        <w:numPr>
          <w:ilvl w:val="0"/>
          <w:numId w:val="39"/>
        </w:numPr>
        <w:rPr>
          <w:rFonts w:asciiTheme="minorBidi" w:hAnsiTheme="minorBidi"/>
        </w:rPr>
      </w:pPr>
      <w:r w:rsidRPr="00BA1777">
        <w:rPr>
          <w:rFonts w:asciiTheme="minorBidi" w:hAnsiTheme="minorBidi"/>
          <w:rtl/>
        </w:rPr>
        <w:t xml:space="preserve">רשב"א </w:t>
      </w:r>
      <w:r w:rsidRPr="00BA1777">
        <w:rPr>
          <w:rFonts w:asciiTheme="minorBidi" w:hAnsiTheme="minorBidi"/>
          <w:sz w:val="16"/>
          <w:szCs w:val="16"/>
          <w:rtl/>
        </w:rPr>
        <w:t>(תוה"</w:t>
      </w:r>
      <w:r w:rsidRPr="00BA1777">
        <w:rPr>
          <w:rFonts w:asciiTheme="minorBidi" w:hAnsiTheme="minorBidi" w:hint="cs"/>
          <w:sz w:val="16"/>
          <w:szCs w:val="16"/>
          <w:rtl/>
        </w:rPr>
        <w:t>ק</w:t>
      </w:r>
      <w:r w:rsidRPr="00BA1777">
        <w:rPr>
          <w:rFonts w:asciiTheme="minorBidi" w:hAnsiTheme="minorBidi"/>
          <w:sz w:val="16"/>
          <w:szCs w:val="16"/>
          <w:rtl/>
        </w:rPr>
        <w:t xml:space="preserve"> ב"ג ש"ג עו:)</w:t>
      </w:r>
      <w:r w:rsidRPr="00BA1777">
        <w:rPr>
          <w:rFonts w:asciiTheme="minorBidi" w:hAnsiTheme="minorBidi"/>
          <w:rtl/>
        </w:rPr>
        <w:t>- קורעו</w:t>
      </w:r>
      <w:r w:rsidRPr="00BA1777">
        <w:rPr>
          <w:rFonts w:asciiTheme="minorBidi" w:hAnsiTheme="minorBidi"/>
          <w:sz w:val="16"/>
          <w:szCs w:val="16"/>
          <w:rtl/>
        </w:rPr>
        <w:t xml:space="preserve"> {היינו את הראש}</w:t>
      </w:r>
      <w:r w:rsidRPr="00BA1777">
        <w:rPr>
          <w:rFonts w:asciiTheme="minorBidi" w:hAnsiTheme="minorBidi"/>
          <w:rtl/>
        </w:rPr>
        <w:t xml:space="preserve"> ומוציא המוח וקורע הקרום</w:t>
      </w:r>
      <w:r w:rsidRPr="00BA1777">
        <w:rPr>
          <w:rStyle w:val="a7"/>
          <w:rFonts w:asciiTheme="minorBidi" w:hAnsiTheme="minorBidi"/>
          <w:rtl/>
        </w:rPr>
        <w:footnoteReference w:id="461"/>
      </w:r>
      <w:r w:rsidRPr="00BA1777">
        <w:rPr>
          <w:rFonts w:asciiTheme="minorBidi" w:hAnsiTheme="minorBidi"/>
          <w:rtl/>
        </w:rPr>
        <w:t xml:space="preserve"> ומולחו. </w:t>
      </w:r>
      <w:r w:rsidRPr="00BA1777">
        <w:rPr>
          <w:rFonts w:asciiTheme="minorBidi" w:hAnsiTheme="minorBidi"/>
          <w:color w:val="E36C0A" w:themeColor="accent6" w:themeShade="BF"/>
          <w:rtl/>
        </w:rPr>
        <w:t>(וכ"פ בשו"ע)</w:t>
      </w:r>
    </w:p>
    <w:p w14:paraId="5F03C70A" w14:textId="77777777" w:rsidR="002C39F4" w:rsidRPr="00BA1777" w:rsidRDefault="002C39F4" w:rsidP="002C39F4">
      <w:pPr>
        <w:pStyle w:val="a8"/>
        <w:numPr>
          <w:ilvl w:val="0"/>
          <w:numId w:val="39"/>
        </w:numPr>
        <w:rPr>
          <w:rFonts w:asciiTheme="minorBidi" w:hAnsiTheme="minorBidi"/>
        </w:rPr>
      </w:pPr>
      <w:r w:rsidRPr="00BA1777">
        <w:rPr>
          <w:rFonts w:asciiTheme="minorBidi" w:hAnsiTheme="minorBidi"/>
          <w:rtl/>
        </w:rPr>
        <w:t xml:space="preserve">בהעי"ט מרדכי </w:t>
      </w:r>
      <w:r w:rsidRPr="00BA1777">
        <w:rPr>
          <w:rFonts w:asciiTheme="minorBidi" w:hAnsiTheme="minorBidi"/>
          <w:sz w:val="16"/>
          <w:szCs w:val="16"/>
          <w:rtl/>
        </w:rPr>
        <w:t xml:space="preserve">(סי' תשג, הביאו הדרכ"מ [אות ה]) </w:t>
      </w:r>
      <w:r w:rsidRPr="00BA1777">
        <w:rPr>
          <w:rFonts w:asciiTheme="minorBidi" w:hAnsiTheme="minorBidi"/>
          <w:rtl/>
        </w:rPr>
        <w:t>ורא"ש</w:t>
      </w:r>
      <w:r w:rsidRPr="00BA1777">
        <w:rPr>
          <w:rFonts w:asciiTheme="minorBidi" w:hAnsiTheme="minorBidi"/>
          <w:sz w:val="16"/>
          <w:szCs w:val="16"/>
          <w:rtl/>
        </w:rPr>
        <w:t xml:space="preserve"> (פג"ה סי' ז)</w:t>
      </w:r>
      <w:r w:rsidRPr="00BA1777">
        <w:rPr>
          <w:rFonts w:asciiTheme="minorBidi" w:hAnsiTheme="minorBidi"/>
          <w:rtl/>
        </w:rPr>
        <w:t>- מותר לבשלו ע"י מליחה עם המוח רק שינקוב העצם כנגד הקרום וינקוב גם הקרום</w:t>
      </w:r>
      <w:r w:rsidRPr="00BA1777">
        <w:rPr>
          <w:rStyle w:val="a7"/>
          <w:rFonts w:asciiTheme="minorBidi" w:hAnsiTheme="minorBidi"/>
          <w:rtl/>
        </w:rPr>
        <w:footnoteReference w:id="462"/>
      </w:r>
      <w:r w:rsidRPr="00BA1777">
        <w:rPr>
          <w:rFonts w:asciiTheme="minorBidi" w:hAnsiTheme="minorBidi"/>
          <w:sz w:val="16"/>
          <w:szCs w:val="16"/>
          <w:rtl/>
        </w:rPr>
        <w:t xml:space="preserve"> (ל' הטור)</w:t>
      </w:r>
      <w:r w:rsidRPr="00BA1777">
        <w:rPr>
          <w:rStyle w:val="a7"/>
          <w:rFonts w:asciiTheme="minorBidi" w:hAnsiTheme="minorBidi"/>
          <w:rtl/>
        </w:rPr>
        <w:footnoteReference w:id="463"/>
      </w:r>
      <w:r w:rsidRPr="00BA1777">
        <w:rPr>
          <w:rFonts w:asciiTheme="minorBidi" w:hAnsiTheme="minorBidi"/>
          <w:rtl/>
        </w:rPr>
        <w:t xml:space="preserve">. </w:t>
      </w:r>
      <w:r w:rsidRPr="00BA1777">
        <w:rPr>
          <w:rFonts w:asciiTheme="minorBidi" w:hAnsiTheme="minorBidi"/>
          <w:color w:val="E36C0A" w:themeColor="accent6" w:themeShade="BF"/>
          <w:rtl/>
        </w:rPr>
        <w:t xml:space="preserve">(וכ"פ בשו"ע) </w:t>
      </w:r>
    </w:p>
    <w:p w14:paraId="2EF7AAFE" w14:textId="77777777" w:rsidR="002C39F4" w:rsidRDefault="002C39F4" w:rsidP="002C39F4">
      <w:pPr>
        <w:pStyle w:val="a8"/>
        <w:numPr>
          <w:ilvl w:val="0"/>
          <w:numId w:val="39"/>
        </w:numPr>
        <w:rPr>
          <w:rFonts w:asciiTheme="minorBidi" w:hAnsiTheme="minorBidi"/>
        </w:rPr>
      </w:pPr>
      <w:r w:rsidRPr="00BA1777">
        <w:rPr>
          <w:rFonts w:asciiTheme="minorBidi" w:hAnsiTheme="minorBidi"/>
          <w:rtl/>
        </w:rPr>
        <w:t xml:space="preserve">או"ה </w:t>
      </w:r>
      <w:r w:rsidRPr="00BA1777">
        <w:rPr>
          <w:rFonts w:asciiTheme="minorBidi" w:hAnsiTheme="minorBidi"/>
          <w:sz w:val="16"/>
          <w:szCs w:val="16"/>
          <w:rtl/>
        </w:rPr>
        <w:t>(כלל ז ד</w:t>
      </w:r>
      <w:r w:rsidRPr="00BA1777">
        <w:rPr>
          <w:rFonts w:asciiTheme="minorBidi" w:hAnsiTheme="minorBidi" w:hint="cs"/>
          <w:sz w:val="16"/>
          <w:szCs w:val="16"/>
          <w:rtl/>
        </w:rPr>
        <w:t>"</w:t>
      </w:r>
      <w:r w:rsidRPr="00BA1777">
        <w:rPr>
          <w:rFonts w:asciiTheme="minorBidi" w:hAnsiTheme="minorBidi"/>
          <w:sz w:val="16"/>
          <w:szCs w:val="16"/>
          <w:rtl/>
        </w:rPr>
        <w:t>ט, הביאו הדרכ"מ [אות ה])</w:t>
      </w:r>
      <w:r w:rsidRPr="00BA1777">
        <w:rPr>
          <w:rFonts w:asciiTheme="minorBidi" w:hAnsiTheme="minorBidi"/>
          <w:rtl/>
        </w:rPr>
        <w:t>- לכתחלה צריך לחתוך הראש וליטול המוח ולמלחו מבפנים ומבחוץ, ובדיעבד אם רק ניקב העצם</w:t>
      </w:r>
      <w:r w:rsidRPr="003024E5">
        <w:rPr>
          <w:rFonts w:asciiTheme="minorBidi" w:hAnsiTheme="minorBidi"/>
          <w:rtl/>
        </w:rPr>
        <w:t xml:space="preserve"> נגד הקרום קודם מליחה כשר</w:t>
      </w:r>
      <w:r w:rsidRPr="00734518">
        <w:rPr>
          <w:rFonts w:asciiTheme="minorBidi" w:hAnsiTheme="minorBidi"/>
          <w:rtl/>
        </w:rPr>
        <w:t xml:space="preserve"> </w:t>
      </w:r>
      <w:r w:rsidRPr="003024E5">
        <w:rPr>
          <w:rFonts w:asciiTheme="minorBidi" w:hAnsiTheme="minorBidi"/>
          <w:rtl/>
        </w:rPr>
        <w:t>אפילו בבישול</w:t>
      </w:r>
      <w:r w:rsidRPr="00734518">
        <w:rPr>
          <w:rStyle w:val="a7"/>
          <w:rFonts w:asciiTheme="minorBidi" w:hAnsiTheme="minorBidi"/>
          <w:rtl/>
        </w:rPr>
        <w:footnoteReference w:id="464"/>
      </w:r>
      <w:r w:rsidRPr="003024E5">
        <w:rPr>
          <w:rFonts w:asciiTheme="minorBidi" w:hAnsiTheme="minorBidi"/>
          <w:rtl/>
        </w:rPr>
        <w:t>, והכי נהיגין.</w:t>
      </w:r>
    </w:p>
    <w:p w14:paraId="6E679C60" w14:textId="77777777" w:rsidR="002C39F4" w:rsidRPr="003024E5" w:rsidRDefault="002C39F4" w:rsidP="002C39F4">
      <w:pPr>
        <w:pStyle w:val="a8"/>
        <w:numPr>
          <w:ilvl w:val="0"/>
          <w:numId w:val="39"/>
        </w:numPr>
        <w:rPr>
          <w:rFonts w:asciiTheme="minorBidi" w:hAnsiTheme="minorBidi"/>
        </w:rPr>
      </w:pPr>
      <w:r w:rsidRPr="006E73F9">
        <w:rPr>
          <w:rFonts w:asciiTheme="minorBidi" w:hAnsiTheme="minorBidi"/>
          <w:rtl/>
        </w:rPr>
        <w:t>בה"ג</w:t>
      </w:r>
      <w:r w:rsidRPr="00BA1777">
        <w:rPr>
          <w:rStyle w:val="a7"/>
          <w:rFonts w:asciiTheme="minorBidi" w:hAnsiTheme="minorBidi"/>
          <w:rtl/>
        </w:rPr>
        <w:footnoteReference w:id="465"/>
      </w:r>
      <w:r>
        <w:rPr>
          <w:rFonts w:asciiTheme="minorBidi" w:hAnsiTheme="minorBidi" w:hint="cs"/>
          <w:rtl/>
        </w:rPr>
        <w:t xml:space="preserve">- </w:t>
      </w:r>
      <w:r w:rsidRPr="006E73F9">
        <w:rPr>
          <w:rFonts w:asciiTheme="minorBidi" w:hAnsiTheme="minorBidi"/>
          <w:rtl/>
        </w:rPr>
        <w:t>אין לאוכלו אלא צלי</w:t>
      </w:r>
      <w:r w:rsidRPr="006E73F9">
        <w:rPr>
          <w:rFonts w:asciiTheme="minorBidi" w:hAnsiTheme="minorBidi" w:hint="cs"/>
          <w:rtl/>
        </w:rPr>
        <w:t>.</w:t>
      </w:r>
    </w:p>
    <w:p w14:paraId="17E7015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42C3B9B" w14:textId="77777777" w:rsidR="002C39F4" w:rsidRPr="003024E5" w:rsidRDefault="002C39F4" w:rsidP="002C39F4">
      <w:pPr>
        <w:rPr>
          <w:rFonts w:asciiTheme="minorBidi" w:hAnsiTheme="minorBidi"/>
          <w:rtl/>
        </w:rPr>
      </w:pPr>
      <w:r w:rsidRPr="003024E5">
        <w:rPr>
          <w:rFonts w:asciiTheme="minorBidi" w:hAnsiTheme="minorBidi"/>
          <w:rtl/>
        </w:rPr>
        <w:t>הקרום שעל המוח יש בו חוטין</w:t>
      </w:r>
      <w:r>
        <w:rPr>
          <w:rFonts w:asciiTheme="minorBidi" w:hAnsiTheme="minorBidi" w:hint="cs"/>
          <w:rtl/>
        </w:rPr>
        <w:t>,</w:t>
      </w:r>
      <w:r w:rsidRPr="003024E5">
        <w:rPr>
          <w:rFonts w:asciiTheme="minorBidi" w:hAnsiTheme="minorBidi"/>
          <w:rtl/>
        </w:rPr>
        <w:t xml:space="preserve"> והמוח עצמו יש בו דם ואינו יוצא מידי דמו במליחת הראש לפי שעצם הראש מקיפו ועומד לפניו ואין מקום לדם לזוב, לפיכך הבא למולחו קורעו ומוציא המוח וקורע הקרום ומולחו</w:t>
      </w:r>
      <w:r w:rsidRPr="003024E5">
        <w:rPr>
          <w:rStyle w:val="a7"/>
          <w:rFonts w:asciiTheme="minorBidi" w:hAnsiTheme="minorBidi"/>
          <w:rtl/>
        </w:rPr>
        <w:footnoteReference w:id="466"/>
      </w:r>
      <w:r w:rsidRPr="003024E5">
        <w:rPr>
          <w:rFonts w:asciiTheme="minorBidi" w:hAnsiTheme="minorBidi"/>
          <w:rtl/>
        </w:rPr>
        <w:t>, ואם רצה למלוח הראש והמוח בתוכו ינקוב העצם כנגד הקרום וינקוב גם הקרום</w:t>
      </w:r>
      <w:r w:rsidRPr="003024E5">
        <w:rPr>
          <w:rStyle w:val="a7"/>
          <w:rFonts w:asciiTheme="minorBidi" w:hAnsiTheme="minorBidi"/>
          <w:rtl/>
        </w:rPr>
        <w:footnoteReference w:id="467"/>
      </w:r>
      <w:r w:rsidRPr="003024E5">
        <w:rPr>
          <w:rFonts w:asciiTheme="minorBidi" w:hAnsiTheme="minorBidi"/>
          <w:rtl/>
        </w:rPr>
        <w:t xml:space="preserve"> וימלח, ויניח הנקב למטה ומותר אפילו לקדירה. </w:t>
      </w:r>
      <w:r w:rsidRPr="003024E5">
        <w:rPr>
          <w:rFonts w:asciiTheme="minorBidi" w:hAnsiTheme="minorBidi"/>
          <w:sz w:val="18"/>
          <w:szCs w:val="18"/>
          <w:rtl/>
        </w:rPr>
        <w:t>הגה: ועיין לעיל סי</w:t>
      </w:r>
      <w:r>
        <w:rPr>
          <w:rFonts w:asciiTheme="minorBidi" w:hAnsiTheme="minorBidi" w:hint="cs"/>
          <w:sz w:val="18"/>
          <w:szCs w:val="18"/>
          <w:rtl/>
        </w:rPr>
        <w:t>'</w:t>
      </w:r>
      <w:r w:rsidRPr="003024E5">
        <w:rPr>
          <w:rFonts w:asciiTheme="minorBidi" w:hAnsiTheme="minorBidi"/>
          <w:sz w:val="18"/>
          <w:szCs w:val="18"/>
          <w:rtl/>
        </w:rPr>
        <w:t xml:space="preserve"> סח כיצד נוהגין לכתחלה</w:t>
      </w:r>
      <w:r w:rsidRPr="003024E5">
        <w:rPr>
          <w:rStyle w:val="a7"/>
          <w:rFonts w:asciiTheme="minorBidi" w:hAnsiTheme="minorBidi"/>
          <w:sz w:val="18"/>
          <w:szCs w:val="18"/>
          <w:rtl/>
        </w:rPr>
        <w:footnoteReference w:id="468"/>
      </w:r>
      <w:r w:rsidRPr="003024E5">
        <w:rPr>
          <w:rFonts w:asciiTheme="minorBidi" w:hAnsiTheme="minorBidi"/>
          <w:sz w:val="18"/>
          <w:szCs w:val="18"/>
          <w:rtl/>
        </w:rPr>
        <w:t xml:space="preserve"> (שע"ד בשם מרדכי ארוך). ואם נמלח הראש שלם בלא נקיבת העצם, הקרום והמוח אסורים</w:t>
      </w:r>
      <w:r w:rsidRPr="003024E5">
        <w:rPr>
          <w:rStyle w:val="a7"/>
          <w:rFonts w:asciiTheme="minorBidi" w:hAnsiTheme="minorBidi"/>
          <w:sz w:val="18"/>
          <w:szCs w:val="18"/>
          <w:rtl/>
        </w:rPr>
        <w:footnoteReference w:id="469"/>
      </w:r>
      <w:r w:rsidRPr="003024E5">
        <w:rPr>
          <w:rFonts w:asciiTheme="minorBidi" w:hAnsiTheme="minorBidi"/>
          <w:sz w:val="18"/>
          <w:szCs w:val="18"/>
          <w:rtl/>
        </w:rPr>
        <w:t xml:space="preserve"> ושאר הראש מותר</w:t>
      </w:r>
      <w:r w:rsidRPr="003024E5">
        <w:rPr>
          <w:rStyle w:val="a7"/>
          <w:rFonts w:asciiTheme="minorBidi" w:hAnsiTheme="minorBidi"/>
          <w:sz w:val="18"/>
          <w:szCs w:val="18"/>
          <w:rtl/>
        </w:rPr>
        <w:footnoteReference w:id="470"/>
      </w:r>
      <w:r w:rsidRPr="003024E5">
        <w:rPr>
          <w:rFonts w:asciiTheme="minorBidi" w:hAnsiTheme="minorBidi"/>
          <w:sz w:val="18"/>
          <w:szCs w:val="18"/>
          <w:rtl/>
        </w:rPr>
        <w:t xml:space="preserve"> וכל שכן שאר בשר שעמו (ארוך כלל י"ז ושע"ד). הקולית ושאר עצמות שיש בהן מוח צריכין מליחה</w:t>
      </w:r>
      <w:r w:rsidRPr="003024E5">
        <w:rPr>
          <w:rStyle w:val="a7"/>
          <w:rFonts w:asciiTheme="minorBidi" w:hAnsiTheme="minorBidi"/>
          <w:sz w:val="18"/>
          <w:szCs w:val="18"/>
          <w:rtl/>
        </w:rPr>
        <w:footnoteReference w:id="471"/>
      </w:r>
      <w:r w:rsidRPr="003024E5">
        <w:rPr>
          <w:rFonts w:asciiTheme="minorBidi" w:hAnsiTheme="minorBidi"/>
          <w:sz w:val="18"/>
          <w:szCs w:val="18"/>
          <w:rtl/>
        </w:rPr>
        <w:t xml:space="preserve"> ומליחת העצם מועיל למוח שבקרבו ואין צריך לנקוב העצם</w:t>
      </w:r>
      <w:r w:rsidRPr="003024E5">
        <w:rPr>
          <w:rStyle w:val="a7"/>
          <w:rFonts w:asciiTheme="minorBidi" w:hAnsiTheme="minorBidi"/>
          <w:sz w:val="18"/>
          <w:szCs w:val="18"/>
          <w:rtl/>
        </w:rPr>
        <w:footnoteReference w:id="472"/>
      </w:r>
      <w:r w:rsidRPr="003024E5">
        <w:rPr>
          <w:rFonts w:asciiTheme="minorBidi" w:hAnsiTheme="minorBidi"/>
          <w:sz w:val="18"/>
          <w:szCs w:val="18"/>
          <w:rtl/>
        </w:rPr>
        <w:t xml:space="preserve"> (טור בשם הרשב"א), מיהו לכתחלה לא ימלחנו עם שאר בשר</w:t>
      </w:r>
      <w:r w:rsidRPr="003024E5">
        <w:rPr>
          <w:rStyle w:val="a7"/>
          <w:rFonts w:asciiTheme="minorBidi" w:hAnsiTheme="minorBidi"/>
          <w:sz w:val="18"/>
          <w:szCs w:val="18"/>
          <w:rtl/>
        </w:rPr>
        <w:footnoteReference w:id="473"/>
      </w:r>
      <w:r w:rsidRPr="003024E5">
        <w:rPr>
          <w:rFonts w:asciiTheme="minorBidi" w:hAnsiTheme="minorBidi"/>
          <w:sz w:val="18"/>
          <w:szCs w:val="18"/>
          <w:rtl/>
        </w:rPr>
        <w:t xml:space="preserve"> רק לבד, ובדיעבד שרי. (ארוך כלל ל"א).</w:t>
      </w:r>
    </w:p>
    <w:p w14:paraId="7FF77595" w14:textId="77777777" w:rsidR="002C39F4" w:rsidRPr="003024E5" w:rsidRDefault="002C39F4" w:rsidP="002C39F4">
      <w:pPr>
        <w:rPr>
          <w:rFonts w:asciiTheme="minorBidi" w:hAnsiTheme="minorBidi"/>
          <w:rtl/>
        </w:rPr>
      </w:pPr>
    </w:p>
    <w:p w14:paraId="5366D1E2" w14:textId="77777777" w:rsidR="002C39F4" w:rsidRPr="003024E5" w:rsidRDefault="002C39F4" w:rsidP="002C39F4">
      <w:pPr>
        <w:rPr>
          <w:rFonts w:asciiTheme="minorBidi" w:hAnsiTheme="minorBidi"/>
          <w:rtl/>
        </w:rPr>
      </w:pPr>
    </w:p>
    <w:p w14:paraId="2A8EB594" w14:textId="77777777" w:rsidR="002C39F4" w:rsidRPr="003024E5" w:rsidRDefault="002C39F4" w:rsidP="002C39F4">
      <w:pPr>
        <w:rPr>
          <w:rFonts w:asciiTheme="minorBidi" w:hAnsiTheme="minorBidi"/>
          <w:rtl/>
        </w:rPr>
      </w:pPr>
    </w:p>
    <w:p w14:paraId="3FD8A683" w14:textId="77777777" w:rsidR="002C39F4" w:rsidRPr="003024E5" w:rsidRDefault="002C39F4" w:rsidP="002C39F4">
      <w:pPr>
        <w:rPr>
          <w:rFonts w:asciiTheme="minorBidi" w:hAnsiTheme="minorBidi"/>
          <w:rtl/>
        </w:rPr>
      </w:pPr>
    </w:p>
    <w:p w14:paraId="7578CED2" w14:textId="77777777" w:rsidR="002C39F4" w:rsidRPr="003024E5" w:rsidRDefault="002C39F4" w:rsidP="002C39F4">
      <w:pPr>
        <w:rPr>
          <w:rFonts w:asciiTheme="minorBidi" w:hAnsiTheme="minorBidi"/>
          <w:rtl/>
        </w:rPr>
      </w:pPr>
    </w:p>
    <w:p w14:paraId="36A34952" w14:textId="77777777" w:rsidR="002C39F4" w:rsidRPr="003024E5" w:rsidRDefault="002C39F4" w:rsidP="002C39F4">
      <w:pPr>
        <w:rPr>
          <w:rFonts w:asciiTheme="minorBidi" w:hAnsiTheme="minorBidi"/>
          <w:rtl/>
        </w:rPr>
      </w:pPr>
    </w:p>
    <w:p w14:paraId="3140B285" w14:textId="77777777" w:rsidR="002C39F4" w:rsidRPr="003024E5" w:rsidRDefault="002C39F4" w:rsidP="002C39F4">
      <w:pPr>
        <w:rPr>
          <w:rFonts w:asciiTheme="minorBidi" w:hAnsiTheme="minorBidi"/>
          <w:rtl/>
        </w:rPr>
      </w:pPr>
    </w:p>
    <w:p w14:paraId="1A0D6917"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720" w:footer="0" w:gutter="0"/>
          <w:cols w:space="720"/>
          <w:bidi/>
          <w:rtlGutter/>
          <w:docGrid w:linePitch="360"/>
        </w:sectPr>
      </w:pPr>
    </w:p>
    <w:p w14:paraId="0F8569DB"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עב: דין מליחת הלב והריאה, ובו ד' סעיפים. </w:t>
      </w:r>
    </w:p>
    <w:p w14:paraId="0C3AA983" w14:textId="77777777" w:rsidR="002C39F4" w:rsidRDefault="002C39F4" w:rsidP="002C39F4">
      <w:pPr>
        <w:pStyle w:val="2"/>
        <w:rPr>
          <w:rFonts w:asciiTheme="minorBidi" w:hAnsiTheme="minorBidi"/>
          <w:rtl/>
        </w:rPr>
      </w:pPr>
      <w:r w:rsidRPr="003024E5">
        <w:rPr>
          <w:rFonts w:asciiTheme="minorBidi" w:hAnsiTheme="minorBidi"/>
          <w:rtl/>
        </w:rPr>
        <w:t>סעיף א: מליחת הלב.</w:t>
      </w:r>
    </w:p>
    <w:p w14:paraId="4185CDD9" w14:textId="77777777" w:rsidR="002C39F4" w:rsidRPr="00491193" w:rsidRDefault="002C39F4" w:rsidP="002C39F4">
      <w:pPr>
        <w:rPr>
          <w:rFonts w:asciiTheme="minorBidi" w:hAnsiTheme="minorBidi"/>
          <w:rtl/>
        </w:rPr>
      </w:pPr>
      <w:r w:rsidRPr="003024E5">
        <w:rPr>
          <w:rFonts w:asciiTheme="minorBidi" w:hAnsiTheme="minorBidi"/>
          <w:b/>
          <w:bCs/>
          <w:rtl/>
        </w:rPr>
        <w:t xml:space="preserve">חולין קט ע"א: </w:t>
      </w:r>
      <w:r w:rsidRPr="003024E5">
        <w:rPr>
          <w:rFonts w:asciiTheme="minorBidi" w:hAnsiTheme="minorBidi"/>
          <w:u w:val="double"/>
          <w:rtl/>
        </w:rPr>
        <w:t>מתני':</w:t>
      </w:r>
      <w:r w:rsidRPr="003024E5">
        <w:rPr>
          <w:rFonts w:asciiTheme="minorBidi" w:hAnsiTheme="minorBidi"/>
          <w:rtl/>
        </w:rPr>
        <w:t xml:space="preserve"> הלב</w:t>
      </w:r>
      <w:r>
        <w:rPr>
          <w:rFonts w:asciiTheme="minorBidi" w:hAnsiTheme="minorBidi" w:hint="cs"/>
          <w:rtl/>
        </w:rPr>
        <w:t xml:space="preserve"> </w:t>
      </w:r>
      <w:r w:rsidRPr="003024E5">
        <w:rPr>
          <w:rFonts w:asciiTheme="minorBidi" w:hAnsiTheme="minorBidi"/>
          <w:rtl/>
        </w:rPr>
        <w:t>- קורעו ומוציא את דמו, לא קרעו</w:t>
      </w:r>
      <w:r>
        <w:rPr>
          <w:rFonts w:asciiTheme="minorBidi" w:hAnsiTheme="minorBidi" w:hint="cs"/>
          <w:rtl/>
        </w:rPr>
        <w:t xml:space="preserve"> </w:t>
      </w:r>
      <w:r w:rsidRPr="003024E5">
        <w:rPr>
          <w:rFonts w:asciiTheme="minorBidi" w:hAnsiTheme="minorBidi"/>
          <w:rtl/>
        </w:rPr>
        <w:t>- אינו עובר עליו</w:t>
      </w:r>
      <w:r w:rsidRPr="003024E5">
        <w:rPr>
          <w:rStyle w:val="a7"/>
          <w:rFonts w:asciiTheme="minorBidi" w:hAnsiTheme="minorBidi"/>
          <w:rtl/>
        </w:rPr>
        <w:footnoteReference w:id="474"/>
      </w:r>
      <w:r w:rsidRPr="003024E5">
        <w:rPr>
          <w:rFonts w:asciiTheme="minorBidi" w:hAnsiTheme="minorBidi"/>
          <w:rtl/>
        </w:rPr>
        <w:t xml:space="preserve">...   </w:t>
      </w:r>
      <w:r w:rsidRPr="003024E5">
        <w:rPr>
          <w:rFonts w:asciiTheme="minorBidi" w:hAnsiTheme="minorBidi"/>
          <w:u w:val="double"/>
          <w:rtl/>
        </w:rPr>
        <w:t>גמ'</w:t>
      </w:r>
      <w:r w:rsidRPr="003024E5">
        <w:rPr>
          <w:rFonts w:asciiTheme="minorBidi" w:hAnsiTheme="minorBidi"/>
          <w:sz w:val="16"/>
          <w:szCs w:val="16"/>
          <w:u w:val="double"/>
          <w:rtl/>
        </w:rPr>
        <w:t>(קט:)</w:t>
      </w:r>
      <w:r w:rsidRPr="003024E5">
        <w:rPr>
          <w:rFonts w:asciiTheme="minorBidi" w:hAnsiTheme="minorBidi"/>
          <w:u w:val="double"/>
          <w:rtl/>
        </w:rPr>
        <w:t>:</w:t>
      </w:r>
      <w:r w:rsidRPr="003024E5">
        <w:rPr>
          <w:rFonts w:asciiTheme="minorBidi" w:hAnsiTheme="minorBidi"/>
          <w:rtl/>
        </w:rPr>
        <w:t xml:space="preserve"> הלב</w:t>
      </w:r>
      <w:r>
        <w:rPr>
          <w:rFonts w:asciiTheme="minorBidi" w:hAnsiTheme="minorBidi" w:hint="cs"/>
          <w:rtl/>
        </w:rPr>
        <w:t xml:space="preserve"> </w:t>
      </w:r>
      <w:r w:rsidRPr="003024E5">
        <w:rPr>
          <w:rFonts w:asciiTheme="minorBidi" w:hAnsiTheme="minorBidi"/>
          <w:rtl/>
        </w:rPr>
        <w:t>- קורעו ומוציא את דמו, לא קרעו</w:t>
      </w:r>
      <w:r>
        <w:rPr>
          <w:rFonts w:asciiTheme="minorBidi" w:hAnsiTheme="minorBidi" w:hint="cs"/>
          <w:rtl/>
        </w:rPr>
        <w:t xml:space="preserve"> </w:t>
      </w:r>
      <w:r w:rsidRPr="003024E5">
        <w:rPr>
          <w:rFonts w:asciiTheme="minorBidi" w:hAnsiTheme="minorBidi"/>
          <w:rtl/>
        </w:rPr>
        <w:t>- קורעו לאחר בשולו ומותר.</w:t>
      </w:r>
    </w:p>
    <w:p w14:paraId="4536CDB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27E645B" w14:textId="77777777" w:rsidR="002C39F4" w:rsidRPr="003024E5" w:rsidRDefault="002C39F4" w:rsidP="002C39F4">
      <w:pPr>
        <w:rPr>
          <w:rFonts w:asciiTheme="minorBidi" w:hAnsiTheme="minorBidi"/>
          <w:rtl/>
        </w:rPr>
      </w:pPr>
      <w:r w:rsidRPr="003024E5">
        <w:rPr>
          <w:rFonts w:asciiTheme="minorBidi" w:hAnsiTheme="minorBidi"/>
          <w:rtl/>
        </w:rPr>
        <w:t>הלב, מתקבץ הדם בתוכו בשעת שחיטה לפיכך צריך לקרעו קודם מליחה ולהוציא דמו ולמלחו אחר כך</w:t>
      </w:r>
      <w:r w:rsidRPr="003024E5">
        <w:rPr>
          <w:rStyle w:val="a7"/>
          <w:rFonts w:asciiTheme="minorBidi" w:hAnsiTheme="minorBidi"/>
          <w:rtl/>
        </w:rPr>
        <w:footnoteReference w:id="475"/>
      </w:r>
      <w:r w:rsidRPr="003024E5">
        <w:rPr>
          <w:rFonts w:asciiTheme="minorBidi" w:hAnsiTheme="minorBidi"/>
          <w:rtl/>
        </w:rPr>
        <w:t xml:space="preserve"> </w:t>
      </w:r>
      <w:r w:rsidRPr="003024E5">
        <w:rPr>
          <w:rFonts w:asciiTheme="minorBidi" w:hAnsiTheme="minorBidi"/>
          <w:sz w:val="18"/>
          <w:szCs w:val="18"/>
          <w:rtl/>
        </w:rPr>
        <w:t>[הגה] ואז מותר אפילו לבשלו</w:t>
      </w:r>
      <w:r w:rsidRPr="003024E5">
        <w:rPr>
          <w:rStyle w:val="a7"/>
          <w:rFonts w:asciiTheme="minorBidi" w:hAnsiTheme="minorBidi"/>
          <w:sz w:val="18"/>
          <w:szCs w:val="18"/>
          <w:rtl/>
        </w:rPr>
        <w:footnoteReference w:id="476"/>
      </w:r>
      <w:r w:rsidRPr="003024E5">
        <w:rPr>
          <w:rFonts w:asciiTheme="minorBidi" w:hAnsiTheme="minorBidi"/>
          <w:sz w:val="18"/>
          <w:szCs w:val="18"/>
          <w:rtl/>
        </w:rPr>
        <w:t xml:space="preserve"> (ארוך כלל ט"ו). ויש מחמירים לבשלו רק צולין אותו</w:t>
      </w:r>
      <w:r w:rsidRPr="003024E5">
        <w:rPr>
          <w:rStyle w:val="a7"/>
          <w:rFonts w:asciiTheme="minorBidi" w:hAnsiTheme="minorBidi"/>
          <w:sz w:val="18"/>
          <w:szCs w:val="18"/>
          <w:rtl/>
        </w:rPr>
        <w:footnoteReference w:id="477"/>
      </w:r>
      <w:r w:rsidRPr="003024E5">
        <w:rPr>
          <w:rFonts w:asciiTheme="minorBidi" w:hAnsiTheme="minorBidi"/>
          <w:sz w:val="18"/>
          <w:szCs w:val="18"/>
          <w:rtl/>
        </w:rPr>
        <w:t xml:space="preserve"> (שע"ד). </w:t>
      </w:r>
      <w:r w:rsidRPr="003024E5">
        <w:rPr>
          <w:rStyle w:val="a7"/>
          <w:rFonts w:asciiTheme="minorBidi" w:hAnsiTheme="minorBidi"/>
          <w:rtl/>
        </w:rPr>
        <w:footnoteReference w:id="478"/>
      </w:r>
      <w:r w:rsidRPr="003024E5">
        <w:rPr>
          <w:rFonts w:asciiTheme="minorBidi" w:hAnsiTheme="minorBidi"/>
          <w:rtl/>
        </w:rPr>
        <w:t xml:space="preserve">[ואחר כך מבשלו]. </w:t>
      </w:r>
      <w:r w:rsidRPr="003024E5">
        <w:rPr>
          <w:rFonts w:asciiTheme="minorBidi" w:hAnsiTheme="minorBidi"/>
          <w:rtl/>
        </w:rPr>
        <w:br/>
      </w:r>
    </w:p>
    <w:p w14:paraId="25DCDB77" w14:textId="77777777" w:rsidR="002C39F4" w:rsidRPr="003024E5" w:rsidRDefault="002C39F4" w:rsidP="002C39F4">
      <w:pPr>
        <w:pStyle w:val="2"/>
        <w:rPr>
          <w:rFonts w:asciiTheme="minorBidi" w:hAnsiTheme="minorBidi"/>
          <w:rtl/>
        </w:rPr>
      </w:pPr>
      <w:r w:rsidRPr="003024E5">
        <w:rPr>
          <w:rFonts w:asciiTheme="minorBidi" w:hAnsiTheme="minorBidi"/>
          <w:rtl/>
        </w:rPr>
        <w:t>סעיף ב: מלח/בישל/צלה את הלב ולא קרעו לפנ"כ.</w:t>
      </w:r>
    </w:p>
    <w:p w14:paraId="24DC26FE"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קט ע"א: </w:t>
      </w:r>
      <w:r w:rsidRPr="003024E5">
        <w:rPr>
          <w:rFonts w:asciiTheme="minorBidi" w:hAnsiTheme="minorBidi"/>
          <w:u w:val="double"/>
          <w:rtl/>
        </w:rPr>
        <w:t>מתני':</w:t>
      </w:r>
      <w:r w:rsidRPr="003024E5">
        <w:rPr>
          <w:rFonts w:asciiTheme="minorBidi" w:hAnsiTheme="minorBidi"/>
          <w:rtl/>
        </w:rPr>
        <w:t xml:space="preserve"> הלב</w:t>
      </w:r>
      <w:r>
        <w:rPr>
          <w:rFonts w:asciiTheme="minorBidi" w:hAnsiTheme="minorBidi" w:hint="cs"/>
          <w:rtl/>
        </w:rPr>
        <w:t xml:space="preserve"> </w:t>
      </w:r>
      <w:r w:rsidRPr="003024E5">
        <w:rPr>
          <w:rFonts w:asciiTheme="minorBidi" w:hAnsiTheme="minorBidi"/>
          <w:rtl/>
        </w:rPr>
        <w:t>- קורעו ומוציא את דמו, לא קרעו</w:t>
      </w:r>
      <w:r>
        <w:rPr>
          <w:rFonts w:asciiTheme="minorBidi" w:hAnsiTheme="minorBidi" w:hint="cs"/>
          <w:rtl/>
        </w:rPr>
        <w:t xml:space="preserve"> </w:t>
      </w:r>
      <w:r w:rsidRPr="003024E5">
        <w:rPr>
          <w:rFonts w:asciiTheme="minorBidi" w:hAnsiTheme="minorBidi"/>
          <w:rtl/>
        </w:rPr>
        <w:t xml:space="preserve">- אינו עובר עליו...   </w:t>
      </w:r>
      <w:r w:rsidRPr="003024E5">
        <w:rPr>
          <w:rFonts w:asciiTheme="minorBidi" w:hAnsiTheme="minorBidi"/>
          <w:u w:val="double"/>
          <w:rtl/>
        </w:rPr>
        <w:t>גמ'</w:t>
      </w:r>
      <w:r w:rsidRPr="003024E5">
        <w:rPr>
          <w:rFonts w:asciiTheme="minorBidi" w:hAnsiTheme="minorBidi"/>
          <w:sz w:val="16"/>
          <w:szCs w:val="16"/>
          <w:u w:val="double"/>
          <w:rtl/>
        </w:rPr>
        <w:t>(קט:)</w:t>
      </w:r>
      <w:r w:rsidRPr="003024E5">
        <w:rPr>
          <w:rFonts w:asciiTheme="minorBidi" w:hAnsiTheme="minorBidi"/>
          <w:u w:val="double"/>
          <w:rtl/>
        </w:rPr>
        <w:t>:</w:t>
      </w:r>
      <w:r w:rsidRPr="003024E5">
        <w:rPr>
          <w:rFonts w:asciiTheme="minorBidi" w:hAnsiTheme="minorBidi"/>
          <w:rtl/>
        </w:rPr>
        <w:t xml:space="preserve"> הלב</w:t>
      </w:r>
      <w:r>
        <w:rPr>
          <w:rFonts w:asciiTheme="minorBidi" w:hAnsiTheme="minorBidi" w:hint="cs"/>
          <w:rtl/>
        </w:rPr>
        <w:t xml:space="preserve"> </w:t>
      </w:r>
      <w:r w:rsidRPr="003024E5">
        <w:rPr>
          <w:rFonts w:asciiTheme="minorBidi" w:hAnsiTheme="minorBidi"/>
          <w:rtl/>
        </w:rPr>
        <w:t>- קורעו ומוציא את דמו, לא קרעו</w:t>
      </w:r>
      <w:r>
        <w:rPr>
          <w:rFonts w:asciiTheme="minorBidi" w:hAnsiTheme="minorBidi" w:hint="cs"/>
          <w:rtl/>
        </w:rPr>
        <w:t xml:space="preserve"> </w:t>
      </w:r>
      <w:r w:rsidRPr="003024E5">
        <w:rPr>
          <w:rFonts w:asciiTheme="minorBidi" w:hAnsiTheme="minorBidi"/>
          <w:rtl/>
        </w:rPr>
        <w:t>- קורעו לאחר בשולו ומותר.</w:t>
      </w:r>
    </w:p>
    <w:p w14:paraId="2CD0B20B" w14:textId="77777777" w:rsidR="002C39F4" w:rsidRPr="003024E5" w:rsidRDefault="002C39F4" w:rsidP="002C39F4">
      <w:pPr>
        <w:rPr>
          <w:rFonts w:asciiTheme="minorBidi" w:hAnsiTheme="minorBidi"/>
          <w:rtl/>
        </w:rPr>
      </w:pPr>
      <w:r w:rsidRPr="003024E5">
        <w:rPr>
          <w:rFonts w:asciiTheme="minorBidi" w:hAnsiTheme="minorBidi"/>
          <w:b/>
          <w:bCs/>
          <w:rtl/>
        </w:rPr>
        <w:t xml:space="preserve">פסחים עד ע"ב: </w:t>
      </w:r>
      <w:r w:rsidRPr="003024E5">
        <w:rPr>
          <w:rFonts w:asciiTheme="minorBidi" w:hAnsiTheme="minorBidi"/>
          <w:rtl/>
        </w:rPr>
        <w:t>הלב קורעו ומוציא את דמו, לא קרעו</w:t>
      </w:r>
      <w:r>
        <w:rPr>
          <w:rFonts w:asciiTheme="minorBidi" w:hAnsiTheme="minorBidi" w:hint="cs"/>
          <w:rtl/>
        </w:rPr>
        <w:t xml:space="preserve"> </w:t>
      </w:r>
      <w:r w:rsidRPr="003024E5">
        <w:rPr>
          <w:rFonts w:asciiTheme="minorBidi" w:hAnsiTheme="minorBidi"/>
          <w:rtl/>
        </w:rPr>
        <w:t>- קורעו לאחר בישולו</w:t>
      </w:r>
      <w:r w:rsidRPr="003024E5">
        <w:rPr>
          <w:rStyle w:val="a7"/>
          <w:rFonts w:asciiTheme="minorBidi" w:hAnsiTheme="minorBidi"/>
          <w:rtl/>
        </w:rPr>
        <w:footnoteReference w:id="479"/>
      </w:r>
      <w:r w:rsidRPr="003024E5">
        <w:rPr>
          <w:rFonts w:asciiTheme="minorBidi" w:hAnsiTheme="minorBidi"/>
          <w:rtl/>
        </w:rPr>
        <w:t xml:space="preserve"> ומותר. מאי טעמא, לאו משום דאמרינן כבולעו כך פולטו? שאני לב דשיע</w:t>
      </w:r>
      <w:r w:rsidRPr="003024E5">
        <w:rPr>
          <w:rStyle w:val="a7"/>
          <w:rFonts w:asciiTheme="minorBidi" w:hAnsiTheme="minorBidi"/>
          <w:rtl/>
        </w:rPr>
        <w:footnoteReference w:id="480"/>
      </w:r>
      <w:r w:rsidRPr="003024E5">
        <w:rPr>
          <w:rFonts w:asciiTheme="minorBidi" w:hAnsiTheme="minorBidi"/>
          <w:rtl/>
        </w:rPr>
        <w:t>.</w:t>
      </w:r>
    </w:p>
    <w:p w14:paraId="5D4B2CAE" w14:textId="77777777" w:rsidR="002C39F4" w:rsidRPr="003024E5" w:rsidRDefault="002C39F4" w:rsidP="002C39F4">
      <w:pPr>
        <w:rPr>
          <w:rFonts w:asciiTheme="minorBidi" w:hAnsiTheme="minorBidi"/>
          <w:rtl/>
        </w:rPr>
      </w:pPr>
      <w:r w:rsidRPr="003024E5">
        <w:rPr>
          <w:rFonts w:asciiTheme="minorBidi" w:hAnsiTheme="minorBidi"/>
          <w:u w:val="single"/>
          <w:rtl/>
        </w:rPr>
        <w:t xml:space="preserve">לב </w:t>
      </w:r>
      <w:r w:rsidRPr="00491193">
        <w:rPr>
          <w:rFonts w:asciiTheme="minorBidi" w:hAnsiTheme="minorBidi"/>
          <w:b/>
          <w:bCs/>
          <w:u w:val="single"/>
          <w:rtl/>
        </w:rPr>
        <w:t>שנמלח</w:t>
      </w:r>
      <w:r w:rsidRPr="003024E5">
        <w:rPr>
          <w:rFonts w:asciiTheme="minorBidi" w:hAnsiTheme="minorBidi"/>
          <w:u w:val="single"/>
          <w:rtl/>
        </w:rPr>
        <w:t xml:space="preserve"> ולא קרעוהו לפני כן:</w:t>
      </w:r>
    </w:p>
    <w:p w14:paraId="27FE0380" w14:textId="77777777" w:rsidR="002C39F4" w:rsidRPr="0024367B" w:rsidRDefault="002C39F4" w:rsidP="002C39F4">
      <w:pPr>
        <w:ind w:left="360"/>
        <w:rPr>
          <w:rFonts w:asciiTheme="minorBidi" w:hAnsiTheme="minorBidi"/>
          <w:u w:val="dotted"/>
          <w:rtl/>
        </w:rPr>
      </w:pPr>
      <w:r w:rsidRPr="0024367B">
        <w:rPr>
          <w:rFonts w:asciiTheme="minorBidi" w:hAnsiTheme="minorBidi"/>
          <w:u w:val="dotted"/>
          <w:rtl/>
        </w:rPr>
        <w:t>מה דין הלב:</w:t>
      </w:r>
      <w:r w:rsidRPr="0024367B">
        <w:rPr>
          <w:rFonts w:asciiTheme="minorBidi" w:hAnsiTheme="minorBidi"/>
          <w:sz w:val="16"/>
          <w:szCs w:val="16"/>
          <w:rtl/>
        </w:rPr>
        <w:t xml:space="preserve">   (ב"י כאן ודרכ"מ אות ח)</w:t>
      </w:r>
    </w:p>
    <w:p w14:paraId="56D91BBE" w14:textId="77777777" w:rsidR="002C39F4" w:rsidRPr="0024367B" w:rsidRDefault="002C39F4" w:rsidP="002C39F4">
      <w:pPr>
        <w:pStyle w:val="a8"/>
        <w:numPr>
          <w:ilvl w:val="0"/>
          <w:numId w:val="41"/>
        </w:numPr>
        <w:rPr>
          <w:rFonts w:asciiTheme="minorBidi" w:hAnsiTheme="minorBidi"/>
        </w:rPr>
      </w:pPr>
      <w:r w:rsidRPr="0024367B">
        <w:rPr>
          <w:rFonts w:asciiTheme="minorBidi" w:hAnsiTheme="minorBidi"/>
          <w:rtl/>
        </w:rPr>
        <w:t>רשב"א</w:t>
      </w:r>
      <w:r w:rsidRPr="0024367B">
        <w:rPr>
          <w:rStyle w:val="a7"/>
          <w:rFonts w:asciiTheme="minorBidi" w:hAnsiTheme="minorBidi"/>
          <w:rtl/>
        </w:rPr>
        <w:footnoteReference w:id="481"/>
      </w:r>
      <w:r w:rsidRPr="0024367B">
        <w:rPr>
          <w:rFonts w:asciiTheme="minorBidi" w:hAnsiTheme="minorBidi"/>
          <w:rtl/>
        </w:rPr>
        <w:t xml:space="preserve"> טור והגשע"ד</w:t>
      </w:r>
      <w:r w:rsidRPr="0024367B">
        <w:rPr>
          <w:rFonts w:asciiTheme="minorBidi" w:hAnsiTheme="minorBidi"/>
          <w:sz w:val="16"/>
          <w:szCs w:val="16"/>
          <w:rtl/>
        </w:rPr>
        <w:t xml:space="preserve"> (סי' כז סק"ב)</w:t>
      </w:r>
      <w:r w:rsidRPr="0024367B">
        <w:rPr>
          <w:rFonts w:asciiTheme="minorBidi" w:hAnsiTheme="minorBidi"/>
          <w:rtl/>
        </w:rPr>
        <w:t>- קורעו אחר מליחתו ומותר אע"פ שנמלח עם הדם שבתוכו דכבולעו כך פולטו</w:t>
      </w:r>
      <w:r w:rsidRPr="0024367B">
        <w:rPr>
          <w:rStyle w:val="a7"/>
          <w:rFonts w:asciiTheme="minorBidi" w:hAnsiTheme="minorBidi"/>
          <w:rtl/>
        </w:rPr>
        <w:footnoteReference w:id="482"/>
      </w:r>
      <w:r w:rsidRPr="0024367B">
        <w:rPr>
          <w:rFonts w:asciiTheme="minorBidi" w:hAnsiTheme="minorBidi"/>
          <w:rtl/>
        </w:rPr>
        <w:t>.</w:t>
      </w:r>
      <w:r w:rsidRPr="0024367B">
        <w:rPr>
          <w:rFonts w:asciiTheme="minorBidi" w:hAnsiTheme="minorBidi"/>
          <w:color w:val="E36C0A" w:themeColor="accent6" w:themeShade="BF"/>
          <w:rtl/>
        </w:rPr>
        <w:t xml:space="preserve"> (וכ"פ בשו"ע)</w:t>
      </w:r>
    </w:p>
    <w:p w14:paraId="620A247C" w14:textId="77777777" w:rsidR="002C39F4" w:rsidRPr="0024367B" w:rsidRDefault="002C39F4" w:rsidP="002C39F4">
      <w:pPr>
        <w:pStyle w:val="a8"/>
        <w:numPr>
          <w:ilvl w:val="0"/>
          <w:numId w:val="41"/>
        </w:numPr>
        <w:rPr>
          <w:rFonts w:asciiTheme="minorBidi" w:hAnsiTheme="minorBidi"/>
        </w:rPr>
      </w:pPr>
      <w:r w:rsidRPr="0024367B">
        <w:rPr>
          <w:rFonts w:asciiTheme="minorBidi" w:hAnsiTheme="minorBidi"/>
          <w:rtl/>
        </w:rPr>
        <w:t xml:space="preserve">או"ה </w:t>
      </w:r>
      <w:r w:rsidRPr="0024367B">
        <w:rPr>
          <w:rFonts w:asciiTheme="minorBidi" w:hAnsiTheme="minorBidi"/>
          <w:sz w:val="16"/>
          <w:szCs w:val="16"/>
          <w:rtl/>
        </w:rPr>
        <w:t>(כלל טו דין א וד)</w:t>
      </w:r>
      <w:r w:rsidRPr="0024367B">
        <w:rPr>
          <w:rFonts w:asciiTheme="minorBidi" w:hAnsiTheme="minorBidi"/>
          <w:rtl/>
        </w:rPr>
        <w:t>- לב שנמלח או נצלה שלם הלב עצמו אסור כולו</w:t>
      </w:r>
      <w:r w:rsidRPr="0024367B">
        <w:rPr>
          <w:rFonts w:asciiTheme="minorBidi" w:hAnsiTheme="minorBidi" w:hint="cs"/>
          <w:rtl/>
        </w:rPr>
        <w:t>,</w:t>
      </w:r>
      <w:r w:rsidRPr="0024367B">
        <w:rPr>
          <w:rFonts w:asciiTheme="minorBidi" w:hAnsiTheme="minorBidi"/>
          <w:rtl/>
        </w:rPr>
        <w:t xml:space="preserve"> דהמליחה והצלייה פרשו הדם שבו ממקום למקום ואין להן כח להפליטו לגמרי דרך בשר הלב הואיל וסגור בכל מקום מידי דהוה אחוטין שבלחי ושביד שאם צלאו כך החוטין אסורין, הכי נמי גבי לב</w:t>
      </w:r>
      <w:r w:rsidRPr="0024367B">
        <w:rPr>
          <w:rStyle w:val="a7"/>
          <w:rFonts w:asciiTheme="minorBidi" w:hAnsiTheme="minorBidi"/>
          <w:rtl/>
        </w:rPr>
        <w:footnoteReference w:id="483"/>
      </w:r>
      <w:r w:rsidRPr="0024367B">
        <w:rPr>
          <w:rFonts w:asciiTheme="minorBidi" w:hAnsiTheme="minorBidi"/>
          <w:rtl/>
        </w:rPr>
        <w:t>, ודוקא שסגור גם למעלה אבל אם פתוח למעלה שרי בדיעבד דזה מיקרי פתוח</w:t>
      </w:r>
      <w:r w:rsidRPr="0024367B">
        <w:rPr>
          <w:rStyle w:val="a7"/>
          <w:rFonts w:asciiTheme="minorBidi" w:hAnsiTheme="minorBidi"/>
          <w:rtl/>
        </w:rPr>
        <w:footnoteReference w:id="484"/>
      </w:r>
      <w:r w:rsidRPr="0024367B">
        <w:rPr>
          <w:rFonts w:asciiTheme="minorBidi" w:hAnsiTheme="minorBidi"/>
          <w:rtl/>
        </w:rPr>
        <w:t>, ומה שנהגו לחתוך ערלת הלב ולפתחו לגמרי ולחתוך גידים שבפנים אינו אלא חומרא בעלמא.</w:t>
      </w:r>
    </w:p>
    <w:p w14:paraId="3A26886E" w14:textId="77777777" w:rsidR="002C39F4" w:rsidRPr="0024367B" w:rsidRDefault="002C39F4" w:rsidP="002C39F4">
      <w:pPr>
        <w:ind w:left="360"/>
        <w:rPr>
          <w:rFonts w:asciiTheme="minorBidi" w:hAnsiTheme="minorBidi"/>
          <w:u w:val="dotted"/>
        </w:rPr>
      </w:pPr>
      <w:r w:rsidRPr="0024367B">
        <w:rPr>
          <w:rFonts w:asciiTheme="minorBidi" w:hAnsiTheme="minorBidi"/>
          <w:u w:val="dotted"/>
          <w:rtl/>
        </w:rPr>
        <w:t>מה דין הבשר</w:t>
      </w:r>
      <w:r w:rsidRPr="0024367B">
        <w:rPr>
          <w:rFonts w:asciiTheme="minorBidi" w:hAnsiTheme="minorBidi"/>
          <w:sz w:val="16"/>
          <w:szCs w:val="16"/>
          <w:u w:val="dotted"/>
          <w:rtl/>
        </w:rPr>
        <w:t xml:space="preserve"> (שנמלח עם הלב)</w:t>
      </w:r>
      <w:r w:rsidRPr="0024367B">
        <w:rPr>
          <w:rFonts w:asciiTheme="minorBidi" w:hAnsiTheme="minorBidi"/>
          <w:u w:val="dotted"/>
          <w:rtl/>
        </w:rPr>
        <w:t>:</w:t>
      </w:r>
      <w:r w:rsidRPr="0024367B">
        <w:rPr>
          <w:rFonts w:asciiTheme="minorBidi" w:hAnsiTheme="minorBidi"/>
          <w:sz w:val="16"/>
          <w:szCs w:val="16"/>
          <w:rtl/>
        </w:rPr>
        <w:t xml:space="preserve">  (ב"י על סע' ג, ודרכ"מ אות ח)</w:t>
      </w:r>
    </w:p>
    <w:p w14:paraId="734CC690" w14:textId="77777777" w:rsidR="002C39F4" w:rsidRPr="0024367B" w:rsidRDefault="002C39F4" w:rsidP="002C39F4">
      <w:pPr>
        <w:pStyle w:val="a8"/>
        <w:numPr>
          <w:ilvl w:val="0"/>
          <w:numId w:val="41"/>
        </w:numPr>
        <w:rPr>
          <w:rFonts w:asciiTheme="minorBidi" w:hAnsiTheme="minorBidi"/>
        </w:rPr>
      </w:pPr>
      <w:r w:rsidRPr="0024367B">
        <w:rPr>
          <w:rFonts w:asciiTheme="minorBidi" w:hAnsiTheme="minorBidi"/>
          <w:rtl/>
        </w:rPr>
        <w:t>הגשע"ד</w:t>
      </w:r>
      <w:r w:rsidRPr="0024367B">
        <w:rPr>
          <w:rFonts w:asciiTheme="minorBidi" w:hAnsiTheme="minorBidi"/>
          <w:sz w:val="16"/>
          <w:szCs w:val="16"/>
          <w:rtl/>
        </w:rPr>
        <w:t xml:space="preserve"> (סי' כז סק"ב)</w:t>
      </w:r>
      <w:r w:rsidRPr="0024367B">
        <w:rPr>
          <w:rFonts w:asciiTheme="minorBidi" w:hAnsiTheme="minorBidi"/>
          <w:rtl/>
        </w:rPr>
        <w:t>- צ"ע אם צריך ששים מן הלב, ומה"ר מתתיה אמר לי בשם ה"ר פרץ טעם המחמירין ואומרים שדם הלב אוסר בשר שאצלו יותר מדם של שאר בשר לפי שדם הלב כנוס בתוכו וכשהוא נוטף על שאר בשר שעמו הוי ליה כדם צלול הנוטף על החתיכה דלא שרינן במליחה</w:t>
      </w:r>
      <w:r w:rsidRPr="0024367B">
        <w:rPr>
          <w:rStyle w:val="a7"/>
          <w:rFonts w:asciiTheme="minorBidi" w:hAnsiTheme="minorBidi"/>
          <w:rtl/>
        </w:rPr>
        <w:footnoteReference w:id="485"/>
      </w:r>
      <w:r w:rsidRPr="0024367B">
        <w:rPr>
          <w:rFonts w:asciiTheme="minorBidi" w:hAnsiTheme="minorBidi" w:hint="cs"/>
          <w:rtl/>
        </w:rPr>
        <w:t>,</w:t>
      </w:r>
      <w:r w:rsidRPr="0024367B">
        <w:rPr>
          <w:rFonts w:asciiTheme="minorBidi" w:hAnsiTheme="minorBidi"/>
          <w:rtl/>
        </w:rPr>
        <w:t xml:space="preserve"> ולא דמי לכבד שנמלח עם בשר דשרינן בדיעבד, דשאני כבד דכוליה דם ואפילו הכי שרייה רחמנא ולהכי לא מחמרינן ביה טפי משאר בשר.</w:t>
      </w:r>
    </w:p>
    <w:p w14:paraId="636A8403" w14:textId="77777777" w:rsidR="002C39F4" w:rsidRPr="0024367B" w:rsidRDefault="002C39F4" w:rsidP="002C39F4">
      <w:pPr>
        <w:pStyle w:val="a8"/>
        <w:numPr>
          <w:ilvl w:val="0"/>
          <w:numId w:val="41"/>
        </w:numPr>
        <w:rPr>
          <w:rFonts w:asciiTheme="minorBidi" w:hAnsiTheme="minorBidi"/>
        </w:rPr>
      </w:pPr>
      <w:r w:rsidRPr="0024367B">
        <w:rPr>
          <w:rFonts w:asciiTheme="minorBidi" w:hAnsiTheme="minorBidi"/>
          <w:rtl/>
        </w:rPr>
        <w:t xml:space="preserve">או"ה </w:t>
      </w:r>
      <w:r w:rsidRPr="0024367B">
        <w:rPr>
          <w:rFonts w:asciiTheme="minorBidi" w:hAnsiTheme="minorBidi"/>
          <w:sz w:val="16"/>
          <w:szCs w:val="16"/>
          <w:rtl/>
        </w:rPr>
        <w:t>(כלל טו דין ב)</w:t>
      </w:r>
      <w:r w:rsidRPr="0024367B">
        <w:rPr>
          <w:rFonts w:asciiTheme="minorBidi" w:hAnsiTheme="minorBidi"/>
          <w:rtl/>
        </w:rPr>
        <w:t>- מותר בין במליחה בין בצלייה מטעם דכבולעו כך פולטו</w:t>
      </w:r>
      <w:r w:rsidRPr="0024367B">
        <w:rPr>
          <w:rStyle w:val="a7"/>
          <w:rFonts w:asciiTheme="minorBidi" w:hAnsiTheme="minorBidi"/>
          <w:rtl/>
        </w:rPr>
        <w:footnoteReference w:id="486"/>
      </w:r>
      <w:r w:rsidRPr="0024367B">
        <w:rPr>
          <w:rFonts w:asciiTheme="minorBidi" w:hAnsiTheme="minorBidi"/>
          <w:rtl/>
        </w:rPr>
        <w:t>, ונהגו לקלוף סביב הלב במקום הדבוק</w:t>
      </w:r>
      <w:r w:rsidRPr="0024367B">
        <w:rPr>
          <w:rStyle w:val="a7"/>
          <w:rFonts w:asciiTheme="minorBidi" w:hAnsiTheme="minorBidi"/>
          <w:rtl/>
        </w:rPr>
        <w:footnoteReference w:id="487"/>
      </w:r>
      <w:r w:rsidRPr="0024367B">
        <w:rPr>
          <w:rFonts w:asciiTheme="minorBidi" w:hAnsiTheme="minorBidi"/>
          <w:rtl/>
        </w:rPr>
        <w:t>.</w:t>
      </w:r>
      <w:r w:rsidRPr="0024367B">
        <w:rPr>
          <w:rFonts w:asciiTheme="minorBidi" w:hAnsiTheme="minorBidi"/>
          <w:color w:val="00B0F0"/>
          <w:rtl/>
        </w:rPr>
        <w:t xml:space="preserve"> (וכ"פ הרמ"א)</w:t>
      </w:r>
    </w:p>
    <w:p w14:paraId="0857511E" w14:textId="77777777" w:rsidR="002C39F4" w:rsidRPr="003024E5" w:rsidRDefault="002C39F4" w:rsidP="002C39F4">
      <w:pPr>
        <w:rPr>
          <w:rFonts w:asciiTheme="minorBidi" w:hAnsiTheme="minorBidi"/>
          <w:rtl/>
        </w:rPr>
      </w:pPr>
      <w:r w:rsidRPr="003024E5">
        <w:rPr>
          <w:rFonts w:asciiTheme="minorBidi" w:hAnsiTheme="minorBidi"/>
          <w:u w:val="single"/>
          <w:rtl/>
        </w:rPr>
        <w:t xml:space="preserve">לב </w:t>
      </w:r>
      <w:r w:rsidRPr="00491193">
        <w:rPr>
          <w:rFonts w:asciiTheme="minorBidi" w:hAnsiTheme="minorBidi"/>
          <w:b/>
          <w:bCs/>
          <w:u w:val="single"/>
          <w:rtl/>
        </w:rPr>
        <w:t>שנתבשל</w:t>
      </w:r>
      <w:r w:rsidRPr="003024E5">
        <w:rPr>
          <w:rFonts w:asciiTheme="minorBidi" w:hAnsiTheme="minorBidi"/>
          <w:u w:val="single"/>
          <w:rtl/>
        </w:rPr>
        <w:t xml:space="preserve"> ולא קרעוהו לפני כן:</w:t>
      </w:r>
    </w:p>
    <w:p w14:paraId="18CFA033" w14:textId="77777777" w:rsidR="002C39F4" w:rsidRPr="003024E5" w:rsidRDefault="002C39F4" w:rsidP="002C39F4">
      <w:pPr>
        <w:ind w:left="360"/>
        <w:rPr>
          <w:rFonts w:asciiTheme="minorBidi" w:hAnsiTheme="minorBidi"/>
          <w:rtl/>
        </w:rPr>
      </w:pPr>
      <w:r w:rsidRPr="003024E5">
        <w:rPr>
          <w:rFonts w:asciiTheme="minorBidi" w:hAnsiTheme="minorBidi"/>
          <w:u w:val="dotted"/>
          <w:rtl/>
        </w:rPr>
        <w:t>מה דין הלב:</w:t>
      </w:r>
    </w:p>
    <w:p w14:paraId="7041961F" w14:textId="77777777" w:rsidR="002C39F4" w:rsidRPr="0024367B" w:rsidRDefault="002C39F4" w:rsidP="002C39F4">
      <w:pPr>
        <w:pStyle w:val="a8"/>
        <w:numPr>
          <w:ilvl w:val="0"/>
          <w:numId w:val="41"/>
        </w:numPr>
        <w:rPr>
          <w:rFonts w:asciiTheme="minorBidi" w:hAnsiTheme="minorBidi"/>
          <w:rtl/>
        </w:rPr>
      </w:pPr>
      <w:r w:rsidRPr="0024367B">
        <w:rPr>
          <w:rFonts w:asciiTheme="minorBidi" w:hAnsiTheme="minorBidi"/>
          <w:rtl/>
        </w:rPr>
        <w:t xml:space="preserve">רש"י רמב"ם </w:t>
      </w:r>
      <w:r w:rsidRPr="0024367B">
        <w:rPr>
          <w:rFonts w:asciiTheme="minorBidi" w:hAnsiTheme="minorBidi"/>
          <w:sz w:val="16"/>
          <w:szCs w:val="16"/>
          <w:rtl/>
        </w:rPr>
        <w:t>(פ"ו ה"ו)</w:t>
      </w:r>
      <w:r w:rsidRPr="0024367B">
        <w:rPr>
          <w:rFonts w:asciiTheme="minorBidi" w:hAnsiTheme="minorBidi"/>
          <w:rtl/>
        </w:rPr>
        <w:t xml:space="preserve"> ורשב"א </w:t>
      </w:r>
      <w:r w:rsidRPr="0024367B">
        <w:rPr>
          <w:rFonts w:asciiTheme="minorBidi" w:hAnsiTheme="minorBidi"/>
          <w:sz w:val="16"/>
          <w:szCs w:val="16"/>
          <w:rtl/>
        </w:rPr>
        <w:t>(קט: ד"ה לימא ובתה"א ב"ג ש"ג פ.)</w:t>
      </w:r>
      <w:r w:rsidRPr="0024367B">
        <w:rPr>
          <w:rFonts w:asciiTheme="minorBidi" w:hAnsiTheme="minorBidi"/>
          <w:rtl/>
        </w:rPr>
        <w:t xml:space="preserve">- קורעו אח"כ ומותר. </w:t>
      </w:r>
    </w:p>
    <w:p w14:paraId="1F291C0C" w14:textId="77777777" w:rsidR="002C39F4" w:rsidRPr="0024367B" w:rsidRDefault="002C39F4" w:rsidP="002C39F4">
      <w:pPr>
        <w:pStyle w:val="a8"/>
        <w:numPr>
          <w:ilvl w:val="0"/>
          <w:numId w:val="41"/>
        </w:numPr>
        <w:rPr>
          <w:rFonts w:asciiTheme="minorBidi" w:hAnsiTheme="minorBidi"/>
          <w:rtl/>
        </w:rPr>
      </w:pPr>
      <w:r w:rsidRPr="0024367B">
        <w:rPr>
          <w:rFonts w:asciiTheme="minorBidi" w:hAnsiTheme="minorBidi"/>
          <w:rtl/>
        </w:rPr>
        <w:t>ר"ת ר"י ראב"ד ורמב"ן</w:t>
      </w:r>
      <w:r w:rsidRPr="0024367B">
        <w:rPr>
          <w:rStyle w:val="a7"/>
          <w:rFonts w:asciiTheme="minorBidi" w:hAnsiTheme="minorBidi"/>
          <w:rtl/>
        </w:rPr>
        <w:footnoteReference w:id="488"/>
      </w:r>
      <w:r w:rsidRPr="0024367B">
        <w:rPr>
          <w:rFonts w:asciiTheme="minorBidi" w:hAnsiTheme="minorBidi"/>
          <w:rtl/>
        </w:rPr>
        <w:t>- לאחר צלייה קורעו ומותר אבל לא לאחר קדרה</w:t>
      </w:r>
      <w:r w:rsidRPr="0024367B">
        <w:rPr>
          <w:rStyle w:val="a7"/>
          <w:rFonts w:asciiTheme="minorBidi" w:hAnsiTheme="minorBidi"/>
          <w:rtl/>
        </w:rPr>
        <w:footnoteReference w:id="489"/>
      </w:r>
      <w:r w:rsidRPr="0024367B">
        <w:rPr>
          <w:rFonts w:asciiTheme="minorBidi" w:hAnsiTheme="minorBidi"/>
          <w:rtl/>
        </w:rPr>
        <w:t xml:space="preserve">. </w:t>
      </w:r>
      <w:r w:rsidRPr="0024367B">
        <w:rPr>
          <w:rFonts w:asciiTheme="minorBidi" w:hAnsiTheme="minorBidi"/>
          <w:color w:val="E36C0A" w:themeColor="accent6" w:themeShade="BF"/>
          <w:rtl/>
        </w:rPr>
        <w:t>(וכ"פ בשו"ע)</w:t>
      </w:r>
    </w:p>
    <w:p w14:paraId="0725CAB6" w14:textId="77777777" w:rsidR="002C39F4" w:rsidRPr="0024367B" w:rsidRDefault="002C39F4" w:rsidP="002C39F4">
      <w:pPr>
        <w:ind w:left="360"/>
        <w:rPr>
          <w:rFonts w:asciiTheme="minorBidi" w:hAnsiTheme="minorBidi"/>
          <w:u w:val="single"/>
          <w:rtl/>
        </w:rPr>
      </w:pPr>
      <w:r w:rsidRPr="0024367B">
        <w:rPr>
          <w:rFonts w:asciiTheme="minorBidi" w:hAnsiTheme="minorBidi"/>
          <w:u w:val="dotted"/>
          <w:rtl/>
        </w:rPr>
        <w:t>מה דין הבשר</w:t>
      </w:r>
      <w:r w:rsidRPr="0024367B">
        <w:rPr>
          <w:rFonts w:asciiTheme="minorBidi" w:hAnsiTheme="minorBidi"/>
          <w:sz w:val="16"/>
          <w:szCs w:val="16"/>
          <w:u w:val="dotted"/>
          <w:rtl/>
        </w:rPr>
        <w:t xml:space="preserve"> (</w:t>
      </w:r>
      <w:r w:rsidRPr="0024367B">
        <w:rPr>
          <w:rFonts w:asciiTheme="minorBidi" w:hAnsiTheme="minorBidi" w:hint="cs"/>
          <w:sz w:val="16"/>
          <w:szCs w:val="16"/>
          <w:u w:val="dotted"/>
          <w:rtl/>
        </w:rPr>
        <w:t>שנתבשל</w:t>
      </w:r>
      <w:r w:rsidRPr="0024367B">
        <w:rPr>
          <w:rFonts w:asciiTheme="minorBidi" w:hAnsiTheme="minorBidi"/>
          <w:sz w:val="16"/>
          <w:szCs w:val="16"/>
          <w:u w:val="dotted"/>
          <w:rtl/>
        </w:rPr>
        <w:t xml:space="preserve"> עם הלב)</w:t>
      </w:r>
      <w:r w:rsidRPr="0024367B">
        <w:rPr>
          <w:rFonts w:asciiTheme="minorBidi" w:hAnsiTheme="minorBidi"/>
          <w:u w:val="dotted"/>
          <w:rtl/>
        </w:rPr>
        <w:t>:</w:t>
      </w:r>
    </w:p>
    <w:p w14:paraId="4FDE4D22" w14:textId="77777777" w:rsidR="002C39F4" w:rsidRPr="0024367B" w:rsidRDefault="002C39F4" w:rsidP="002C39F4">
      <w:pPr>
        <w:pStyle w:val="a8"/>
        <w:numPr>
          <w:ilvl w:val="0"/>
          <w:numId w:val="43"/>
        </w:numPr>
        <w:rPr>
          <w:rFonts w:asciiTheme="minorBidi" w:hAnsiTheme="minorBidi"/>
        </w:rPr>
      </w:pPr>
      <w:r w:rsidRPr="0024367B">
        <w:rPr>
          <w:rFonts w:asciiTheme="minorBidi" w:hAnsiTheme="minorBidi"/>
          <w:rtl/>
        </w:rPr>
        <w:t xml:space="preserve">סמ"ג </w:t>
      </w:r>
      <w:r w:rsidRPr="0024367B">
        <w:rPr>
          <w:rFonts w:asciiTheme="minorBidi" w:hAnsiTheme="minorBidi"/>
          <w:sz w:val="16"/>
          <w:szCs w:val="16"/>
          <w:rtl/>
        </w:rPr>
        <w:t>(לאוין קלז מו ע"ד, הביאו ההגה"מ [ד"ק פ"ו ה"ו])</w:t>
      </w:r>
      <w:r w:rsidRPr="0024367B">
        <w:rPr>
          <w:rFonts w:asciiTheme="minorBidi" w:hAnsiTheme="minorBidi"/>
          <w:rtl/>
        </w:rPr>
        <w:t>- מעשה שנתבשל טלה אחד עם הלב בתוכו שלם והשיב ר"י אם יש ששים במים ובטלה נגד דם הלב נ"ל דמותר אם היה כל שעה הלב מכוסה במים, אך לא נתיר עתה מטעם זה לפי שהיה נראה שרש"י היה משער בכל החתיכה אע"פ שהכל מכוסה במים</w:t>
      </w:r>
      <w:r w:rsidRPr="0024367B">
        <w:rPr>
          <w:rStyle w:val="a7"/>
          <w:rFonts w:asciiTheme="minorBidi" w:hAnsiTheme="minorBidi"/>
          <w:rtl/>
        </w:rPr>
        <w:footnoteReference w:id="490"/>
      </w:r>
      <w:r w:rsidRPr="0024367B">
        <w:rPr>
          <w:rFonts w:asciiTheme="minorBidi" w:hAnsiTheme="minorBidi"/>
          <w:rtl/>
        </w:rPr>
        <w:t>.</w:t>
      </w:r>
    </w:p>
    <w:p w14:paraId="1E41E0DA" w14:textId="77777777" w:rsidR="002C39F4" w:rsidRPr="0024367B" w:rsidRDefault="002C39F4" w:rsidP="002C39F4">
      <w:pPr>
        <w:pStyle w:val="a8"/>
        <w:numPr>
          <w:ilvl w:val="0"/>
          <w:numId w:val="43"/>
        </w:numPr>
        <w:rPr>
          <w:rFonts w:asciiTheme="minorBidi" w:hAnsiTheme="minorBidi"/>
        </w:rPr>
      </w:pPr>
      <w:r w:rsidRPr="0024367B">
        <w:rPr>
          <w:rFonts w:asciiTheme="minorBidi" w:hAnsiTheme="minorBidi"/>
          <w:rtl/>
        </w:rPr>
        <w:t>רש"י</w:t>
      </w:r>
      <w:r w:rsidRPr="0024367B">
        <w:rPr>
          <w:rStyle w:val="a7"/>
          <w:rFonts w:asciiTheme="minorBidi" w:hAnsiTheme="minorBidi"/>
          <w:rtl/>
        </w:rPr>
        <w:footnoteReference w:id="491"/>
      </w:r>
      <w:r w:rsidRPr="0024367B">
        <w:rPr>
          <w:rFonts w:asciiTheme="minorBidi" w:hAnsiTheme="minorBidi"/>
          <w:rtl/>
        </w:rPr>
        <w:t xml:space="preserve">- </w:t>
      </w:r>
      <w:r w:rsidRPr="005A3B2D">
        <w:rPr>
          <w:rFonts w:asciiTheme="minorBidi" w:hAnsiTheme="minorBidi" w:cs="Arial"/>
          <w:rtl/>
        </w:rPr>
        <w:t>הלב בין צלאו בין בשלו בין תלוש בין דבוק זורקו והשאר מותר משום דלב מישע שייע ולא פליט כדאמרינן אם לא קרעו קורעו לאחר בשולו ומותר</w:t>
      </w:r>
      <w:r>
        <w:rPr>
          <w:rFonts w:asciiTheme="minorBidi" w:hAnsiTheme="minorBidi" w:cs="Arial" w:hint="cs"/>
          <w:rtl/>
        </w:rPr>
        <w:t>,</w:t>
      </w:r>
      <w:r w:rsidRPr="005A3B2D">
        <w:rPr>
          <w:rFonts w:asciiTheme="minorBidi" w:hAnsiTheme="minorBidi" w:cs="Arial"/>
          <w:rtl/>
        </w:rPr>
        <w:t xml:space="preserve"> ר' יצחק ב"ר יהודה נ"ע</w:t>
      </w:r>
      <w:r>
        <w:rPr>
          <w:rFonts w:asciiTheme="minorBidi" w:hAnsiTheme="minorBidi" w:cs="Arial" w:hint="cs"/>
          <w:sz w:val="16"/>
          <w:szCs w:val="16"/>
          <w:rtl/>
        </w:rPr>
        <w:t xml:space="preserve"> (ל' רש"י באו"ה שלו)</w:t>
      </w:r>
      <w:r w:rsidRPr="0024367B">
        <w:rPr>
          <w:rStyle w:val="a7"/>
          <w:rFonts w:asciiTheme="minorBidi" w:hAnsiTheme="minorBidi"/>
          <w:rtl/>
        </w:rPr>
        <w:footnoteReference w:id="492"/>
      </w:r>
      <w:r w:rsidRPr="0024367B">
        <w:rPr>
          <w:rFonts w:asciiTheme="minorBidi" w:hAnsiTheme="minorBidi"/>
          <w:rtl/>
        </w:rPr>
        <w:t>.</w:t>
      </w:r>
    </w:p>
    <w:p w14:paraId="605BDA51" w14:textId="77777777" w:rsidR="002C39F4" w:rsidRPr="0024367B" w:rsidRDefault="002C39F4" w:rsidP="002C39F4">
      <w:pPr>
        <w:pStyle w:val="a8"/>
        <w:numPr>
          <w:ilvl w:val="0"/>
          <w:numId w:val="43"/>
        </w:numPr>
        <w:rPr>
          <w:rFonts w:asciiTheme="minorBidi" w:hAnsiTheme="minorBidi"/>
        </w:rPr>
      </w:pPr>
      <w:r w:rsidRPr="0024367B">
        <w:rPr>
          <w:rFonts w:asciiTheme="minorBidi" w:hAnsiTheme="minorBidi"/>
          <w:rtl/>
        </w:rPr>
        <w:t>רשב"א טור ור"ן</w:t>
      </w:r>
      <w:r w:rsidRPr="0024367B">
        <w:rPr>
          <w:rStyle w:val="a7"/>
          <w:rFonts w:asciiTheme="minorBidi" w:hAnsiTheme="minorBidi"/>
          <w:rtl/>
        </w:rPr>
        <w:footnoteReference w:id="493"/>
      </w:r>
      <w:r w:rsidRPr="0024367B">
        <w:rPr>
          <w:rFonts w:asciiTheme="minorBidi" w:hAnsiTheme="minorBidi"/>
          <w:rtl/>
        </w:rPr>
        <w:t xml:space="preserve">- אפי' לסברת המקילים </w:t>
      </w:r>
      <w:r w:rsidRPr="0024367B">
        <w:rPr>
          <w:rFonts w:asciiTheme="minorBidi" w:hAnsiTheme="minorBidi"/>
          <w:sz w:val="14"/>
          <w:szCs w:val="14"/>
          <w:rtl/>
        </w:rPr>
        <w:t>(רש"י ורמב"ם)</w:t>
      </w:r>
      <w:r w:rsidRPr="0024367B">
        <w:rPr>
          <w:rFonts w:asciiTheme="minorBidi" w:hAnsiTheme="minorBidi"/>
          <w:rtl/>
        </w:rPr>
        <w:t xml:space="preserve"> הבשר אסור</w:t>
      </w:r>
      <w:r w:rsidRPr="0024367B">
        <w:rPr>
          <w:rStyle w:val="a7"/>
          <w:rFonts w:asciiTheme="minorBidi" w:hAnsiTheme="minorBidi"/>
          <w:rtl/>
        </w:rPr>
        <w:footnoteReference w:id="494"/>
      </w:r>
      <w:r w:rsidRPr="0024367B">
        <w:rPr>
          <w:rFonts w:asciiTheme="minorBidi" w:hAnsiTheme="minorBidi"/>
          <w:rtl/>
        </w:rPr>
        <w:t xml:space="preserve">, ואם יש ששים כנגדו שרי. </w:t>
      </w:r>
      <w:r w:rsidRPr="0024367B">
        <w:rPr>
          <w:rFonts w:asciiTheme="minorBidi" w:hAnsiTheme="minorBidi"/>
          <w:color w:val="E36C0A" w:themeColor="accent6" w:themeShade="BF"/>
          <w:rtl/>
        </w:rPr>
        <w:t>(וכ"פ בשו"ע)</w:t>
      </w:r>
    </w:p>
    <w:p w14:paraId="3ED34E6F" w14:textId="77777777" w:rsidR="002C39F4" w:rsidRPr="0024367B" w:rsidRDefault="002C39F4" w:rsidP="002C39F4">
      <w:pPr>
        <w:ind w:left="360"/>
        <w:rPr>
          <w:rFonts w:asciiTheme="minorBidi" w:hAnsiTheme="minorBidi"/>
          <w:u w:val="dotted"/>
        </w:rPr>
      </w:pPr>
      <w:r>
        <w:rPr>
          <w:rFonts w:asciiTheme="minorBidi" w:hAnsiTheme="minorBidi" w:hint="cs"/>
          <w:u w:val="dotted"/>
          <w:rtl/>
        </w:rPr>
        <w:t>למתירים את הבשר אם יש ששים כנגד הלב - האם</w:t>
      </w:r>
      <w:r w:rsidRPr="0024367B">
        <w:rPr>
          <w:rFonts w:asciiTheme="minorBidi" w:hAnsiTheme="minorBidi"/>
          <w:u w:val="dotted"/>
          <w:rtl/>
        </w:rPr>
        <w:t xml:space="preserve"> צריך ששים כנגד הלב או די בששים כנגד הדם שבו:</w:t>
      </w:r>
    </w:p>
    <w:p w14:paraId="4B74DF93" w14:textId="77777777" w:rsidR="002C39F4" w:rsidRPr="0024367B" w:rsidRDefault="002C39F4" w:rsidP="002C39F4">
      <w:pPr>
        <w:pStyle w:val="a8"/>
        <w:numPr>
          <w:ilvl w:val="0"/>
          <w:numId w:val="43"/>
        </w:numPr>
        <w:rPr>
          <w:rFonts w:asciiTheme="minorBidi" w:hAnsiTheme="minorBidi"/>
        </w:rPr>
      </w:pPr>
      <w:r w:rsidRPr="0024367B">
        <w:rPr>
          <w:rFonts w:asciiTheme="minorBidi" w:hAnsiTheme="minorBidi"/>
          <w:rtl/>
        </w:rPr>
        <w:t xml:space="preserve">סמ"ג </w:t>
      </w:r>
      <w:r w:rsidRPr="0024367B">
        <w:rPr>
          <w:rFonts w:asciiTheme="minorBidi" w:hAnsiTheme="minorBidi"/>
          <w:sz w:val="16"/>
          <w:szCs w:val="16"/>
          <w:rtl/>
        </w:rPr>
        <w:t>(לאוין קלז מו ע"ד)</w:t>
      </w:r>
      <w:r w:rsidRPr="0024367B">
        <w:rPr>
          <w:rFonts w:asciiTheme="minorBidi" w:hAnsiTheme="minorBidi"/>
          <w:rtl/>
        </w:rPr>
        <w:t xml:space="preserve"> ושע"ד</w:t>
      </w:r>
      <w:r w:rsidRPr="0024367B">
        <w:rPr>
          <w:rFonts w:asciiTheme="minorBidi" w:hAnsiTheme="minorBidi"/>
          <w:sz w:val="18"/>
          <w:szCs w:val="18"/>
          <w:rtl/>
        </w:rPr>
        <w:t xml:space="preserve"> </w:t>
      </w:r>
      <w:r w:rsidRPr="0024367B">
        <w:rPr>
          <w:rFonts w:asciiTheme="minorBidi" w:hAnsiTheme="minorBidi"/>
          <w:sz w:val="16"/>
          <w:szCs w:val="16"/>
          <w:rtl/>
        </w:rPr>
        <w:t>(ר"ס כח)</w:t>
      </w:r>
      <w:r w:rsidRPr="0024367B">
        <w:rPr>
          <w:rFonts w:asciiTheme="minorBidi" w:hAnsiTheme="minorBidi"/>
          <w:rtl/>
        </w:rPr>
        <w:t>- די בששים כנגד הדם שבלב</w:t>
      </w:r>
      <w:r w:rsidRPr="0024367B">
        <w:rPr>
          <w:rStyle w:val="a7"/>
          <w:rFonts w:asciiTheme="minorBidi" w:hAnsiTheme="minorBidi"/>
          <w:rtl/>
        </w:rPr>
        <w:footnoteReference w:id="495"/>
      </w:r>
      <w:r w:rsidRPr="0024367B">
        <w:rPr>
          <w:rFonts w:asciiTheme="minorBidi" w:hAnsiTheme="minorBidi"/>
          <w:rtl/>
        </w:rPr>
        <w:t xml:space="preserve">.  </w:t>
      </w:r>
    </w:p>
    <w:p w14:paraId="5DB1EFC7" w14:textId="77777777" w:rsidR="002C39F4" w:rsidRPr="0024367B" w:rsidRDefault="002C39F4" w:rsidP="002C39F4">
      <w:pPr>
        <w:pStyle w:val="a8"/>
        <w:numPr>
          <w:ilvl w:val="0"/>
          <w:numId w:val="43"/>
        </w:numPr>
        <w:rPr>
          <w:rFonts w:asciiTheme="minorBidi" w:hAnsiTheme="minorBidi"/>
        </w:rPr>
      </w:pPr>
      <w:r w:rsidRPr="0024367B">
        <w:rPr>
          <w:rFonts w:asciiTheme="minorBidi" w:hAnsiTheme="minorBidi"/>
          <w:rtl/>
        </w:rPr>
        <w:t>רשב"א טור ר"ן מהרי"ל ואו"ה</w:t>
      </w:r>
      <w:r w:rsidRPr="0024367B">
        <w:rPr>
          <w:rStyle w:val="a7"/>
          <w:rFonts w:asciiTheme="minorBidi" w:hAnsiTheme="minorBidi"/>
          <w:rtl/>
        </w:rPr>
        <w:footnoteReference w:id="496"/>
      </w:r>
      <w:r w:rsidRPr="0024367B">
        <w:rPr>
          <w:rFonts w:asciiTheme="minorBidi" w:hAnsiTheme="minorBidi"/>
          <w:rtl/>
        </w:rPr>
        <w:t xml:space="preserve">- צריך </w:t>
      </w:r>
      <w:r w:rsidRPr="0024367B">
        <w:rPr>
          <w:rFonts w:asciiTheme="minorBidi" w:hAnsiTheme="minorBidi" w:hint="cs"/>
          <w:rtl/>
        </w:rPr>
        <w:t>ששים</w:t>
      </w:r>
      <w:r w:rsidRPr="0024367B">
        <w:rPr>
          <w:rStyle w:val="a7"/>
          <w:rFonts w:asciiTheme="minorBidi" w:hAnsiTheme="minorBidi"/>
          <w:rtl/>
        </w:rPr>
        <w:footnoteReference w:id="497"/>
      </w:r>
      <w:r w:rsidRPr="0024367B">
        <w:rPr>
          <w:rFonts w:asciiTheme="minorBidi" w:hAnsiTheme="minorBidi"/>
          <w:rtl/>
        </w:rPr>
        <w:t xml:space="preserve"> כנגד הלב</w:t>
      </w:r>
      <w:r w:rsidRPr="0024367B">
        <w:rPr>
          <w:rStyle w:val="a7"/>
          <w:rFonts w:asciiTheme="minorBidi" w:hAnsiTheme="minorBidi"/>
          <w:rtl/>
        </w:rPr>
        <w:footnoteReference w:id="498"/>
      </w:r>
      <w:r w:rsidRPr="0024367B">
        <w:rPr>
          <w:rFonts w:asciiTheme="minorBidi" w:hAnsiTheme="minorBidi"/>
          <w:rtl/>
        </w:rPr>
        <w:t xml:space="preserve"> דלא ידעינן כמה נפק מיניה</w:t>
      </w:r>
      <w:r w:rsidRPr="0024367B">
        <w:rPr>
          <w:rStyle w:val="a7"/>
          <w:rFonts w:asciiTheme="minorBidi" w:hAnsiTheme="minorBidi"/>
          <w:rtl/>
        </w:rPr>
        <w:footnoteReference w:id="499"/>
      </w:r>
      <w:r w:rsidRPr="0024367B">
        <w:rPr>
          <w:rFonts w:asciiTheme="minorBidi" w:hAnsiTheme="minorBidi"/>
          <w:rtl/>
        </w:rPr>
        <w:t xml:space="preserve">. </w:t>
      </w:r>
      <w:r w:rsidRPr="0024367B">
        <w:rPr>
          <w:rFonts w:asciiTheme="minorBidi" w:hAnsiTheme="minorBidi"/>
          <w:color w:val="E36C0A" w:themeColor="accent6" w:themeShade="BF"/>
          <w:rtl/>
        </w:rPr>
        <w:t>(וכ"פ בשו"ע)</w:t>
      </w:r>
    </w:p>
    <w:p w14:paraId="0E489C48" w14:textId="77777777" w:rsidR="002C39F4" w:rsidRPr="0024367B" w:rsidRDefault="002C39F4" w:rsidP="002C39F4">
      <w:pPr>
        <w:ind w:left="360"/>
        <w:rPr>
          <w:rFonts w:asciiTheme="minorBidi" w:hAnsiTheme="minorBidi"/>
          <w:u w:val="dotted"/>
          <w:rtl/>
        </w:rPr>
      </w:pPr>
      <w:r>
        <w:rPr>
          <w:rFonts w:asciiTheme="minorBidi" w:hAnsiTheme="minorBidi" w:hint="cs"/>
          <w:u w:val="dotted"/>
          <w:rtl/>
        </w:rPr>
        <w:t>למצריכים</w:t>
      </w:r>
      <w:r w:rsidRPr="0024367B">
        <w:rPr>
          <w:rFonts w:asciiTheme="minorBidi" w:hAnsiTheme="minorBidi"/>
          <w:u w:val="dotted"/>
          <w:rtl/>
        </w:rPr>
        <w:t xml:space="preserve"> ששים נגד כל הלב</w:t>
      </w:r>
      <w:r w:rsidRPr="0024367B">
        <w:rPr>
          <w:rFonts w:asciiTheme="minorBidi" w:hAnsiTheme="minorBidi" w:hint="cs"/>
          <w:u w:val="dotted"/>
          <w:rtl/>
        </w:rPr>
        <w:t xml:space="preserve"> </w:t>
      </w:r>
      <w:r>
        <w:rPr>
          <w:rFonts w:asciiTheme="minorBidi" w:hAnsiTheme="minorBidi"/>
          <w:u w:val="dotted"/>
          <w:rtl/>
        </w:rPr>
        <w:t>–</w:t>
      </w:r>
      <w:r w:rsidRPr="0024367B">
        <w:rPr>
          <w:rFonts w:asciiTheme="minorBidi" w:hAnsiTheme="minorBidi"/>
          <w:u w:val="dotted"/>
          <w:rtl/>
        </w:rPr>
        <w:t xml:space="preserve"> </w:t>
      </w:r>
      <w:r>
        <w:rPr>
          <w:rFonts w:asciiTheme="minorBidi" w:hAnsiTheme="minorBidi" w:hint="cs"/>
          <w:u w:val="dotted"/>
          <w:rtl/>
        </w:rPr>
        <w:t>האם הדין כן אף שהלב נמלח קודם הבישול</w:t>
      </w:r>
      <w:r w:rsidRPr="0024367B">
        <w:rPr>
          <w:rStyle w:val="a7"/>
          <w:rFonts w:asciiTheme="minorBidi" w:hAnsiTheme="minorBidi"/>
          <w:u w:val="dotted"/>
          <w:rtl/>
        </w:rPr>
        <w:footnoteReference w:id="500"/>
      </w:r>
      <w:r w:rsidRPr="0024367B">
        <w:rPr>
          <w:rFonts w:asciiTheme="minorBidi" w:hAnsiTheme="minorBidi"/>
          <w:u w:val="dotted"/>
          <w:rtl/>
        </w:rPr>
        <w:t>:</w:t>
      </w:r>
    </w:p>
    <w:p w14:paraId="12A03AB8" w14:textId="77777777" w:rsidR="002C39F4" w:rsidRPr="0024367B" w:rsidRDefault="002C39F4" w:rsidP="002C39F4">
      <w:pPr>
        <w:pStyle w:val="a8"/>
        <w:numPr>
          <w:ilvl w:val="0"/>
          <w:numId w:val="44"/>
        </w:numPr>
        <w:rPr>
          <w:rFonts w:asciiTheme="minorBidi" w:hAnsiTheme="minorBidi"/>
        </w:rPr>
      </w:pPr>
      <w:r w:rsidRPr="0024367B">
        <w:rPr>
          <w:rFonts w:asciiTheme="minorBidi" w:hAnsiTheme="minorBidi"/>
          <w:rtl/>
        </w:rPr>
        <w:t xml:space="preserve">(טור </w:t>
      </w:r>
      <w:r w:rsidRPr="0024367B">
        <w:rPr>
          <w:rFonts w:asciiTheme="minorBidi" w:hAnsiTheme="minorBidi"/>
          <w:sz w:val="16"/>
          <w:szCs w:val="16"/>
          <w:rtl/>
        </w:rPr>
        <w:t>להב' רש"ל וט"ז</w:t>
      </w:r>
      <w:r w:rsidRPr="0024367B">
        <w:rPr>
          <w:rFonts w:asciiTheme="minorBidi" w:hAnsiTheme="minorBidi"/>
          <w:rtl/>
        </w:rPr>
        <w:t xml:space="preserve">) (שו"ע </w:t>
      </w:r>
      <w:r w:rsidRPr="0024367B">
        <w:rPr>
          <w:rFonts w:asciiTheme="minorBidi" w:hAnsiTheme="minorBidi"/>
          <w:sz w:val="16"/>
          <w:szCs w:val="16"/>
          <w:rtl/>
        </w:rPr>
        <w:t xml:space="preserve">להב' </w:t>
      </w:r>
      <w:r w:rsidRPr="0024367B">
        <w:rPr>
          <w:rFonts w:asciiTheme="minorBidi" w:hAnsiTheme="minorBidi" w:hint="cs"/>
          <w:sz w:val="16"/>
          <w:szCs w:val="16"/>
          <w:rtl/>
        </w:rPr>
        <w:t>ה</w:t>
      </w:r>
      <w:r w:rsidRPr="0024367B">
        <w:rPr>
          <w:rFonts w:asciiTheme="minorBidi" w:hAnsiTheme="minorBidi"/>
          <w:sz w:val="16"/>
          <w:szCs w:val="16"/>
          <w:rtl/>
        </w:rPr>
        <w:t>ש"ך</w:t>
      </w:r>
      <w:r w:rsidRPr="0024367B">
        <w:rPr>
          <w:rStyle w:val="a7"/>
          <w:rFonts w:asciiTheme="minorBidi" w:hAnsiTheme="minorBidi"/>
          <w:rtl/>
        </w:rPr>
        <w:footnoteReference w:id="501"/>
      </w:r>
      <w:r w:rsidRPr="0024367B">
        <w:rPr>
          <w:rFonts w:asciiTheme="minorBidi" w:hAnsiTheme="minorBidi"/>
          <w:rtl/>
        </w:rPr>
        <w:t>)- מדובר שלא נמלח קודם, אבל אם נמלח די שיהא ששים נגד הדם שבו.</w:t>
      </w:r>
    </w:p>
    <w:p w14:paraId="27F9600A" w14:textId="77777777" w:rsidR="002C39F4" w:rsidRPr="0024367B" w:rsidRDefault="002C39F4" w:rsidP="002C39F4">
      <w:pPr>
        <w:pStyle w:val="a8"/>
        <w:numPr>
          <w:ilvl w:val="0"/>
          <w:numId w:val="44"/>
        </w:numPr>
        <w:rPr>
          <w:rFonts w:asciiTheme="minorBidi" w:hAnsiTheme="minorBidi"/>
        </w:rPr>
      </w:pPr>
      <w:r w:rsidRPr="0024367B">
        <w:rPr>
          <w:rFonts w:asciiTheme="minorBidi" w:hAnsiTheme="minorBidi"/>
          <w:rtl/>
        </w:rPr>
        <w:t>סמ"ק רשב"א (טור</w:t>
      </w:r>
      <w:r w:rsidRPr="0024367B">
        <w:rPr>
          <w:rFonts w:asciiTheme="minorBidi" w:hAnsiTheme="minorBidi"/>
          <w:sz w:val="16"/>
          <w:szCs w:val="16"/>
          <w:rtl/>
        </w:rPr>
        <w:t xml:space="preserve"> להב' ת"ח וש"ך</w:t>
      </w:r>
      <w:r w:rsidRPr="0024367B">
        <w:rPr>
          <w:rFonts w:asciiTheme="minorBidi" w:hAnsiTheme="minorBidi"/>
          <w:rtl/>
        </w:rPr>
        <w:t>) מהרי"ל ומהרא"י</w:t>
      </w:r>
      <w:r w:rsidRPr="0024367B">
        <w:rPr>
          <w:rStyle w:val="a7"/>
          <w:rFonts w:asciiTheme="minorBidi" w:hAnsiTheme="minorBidi"/>
          <w:rtl/>
        </w:rPr>
        <w:footnoteReference w:id="502"/>
      </w:r>
      <w:r w:rsidRPr="0024367B">
        <w:rPr>
          <w:rFonts w:asciiTheme="minorBidi" w:hAnsiTheme="minorBidi"/>
          <w:rtl/>
        </w:rPr>
        <w:t xml:space="preserve">- אפי' נמלח בעינן </w:t>
      </w:r>
      <w:r w:rsidRPr="0024367B">
        <w:rPr>
          <w:rFonts w:asciiTheme="minorBidi" w:hAnsiTheme="minorBidi" w:hint="cs"/>
          <w:rtl/>
        </w:rPr>
        <w:t>ס'</w:t>
      </w:r>
      <w:r w:rsidRPr="0024367B">
        <w:rPr>
          <w:rFonts w:asciiTheme="minorBidi" w:hAnsiTheme="minorBidi"/>
          <w:rtl/>
        </w:rPr>
        <w:t xml:space="preserve"> כנגד כל הלב. (וכ"פ ת"ח וט"ז</w:t>
      </w:r>
      <w:r w:rsidRPr="0024367B">
        <w:rPr>
          <w:rStyle w:val="a7"/>
          <w:rFonts w:asciiTheme="minorBidi" w:hAnsiTheme="minorBidi"/>
          <w:rtl/>
        </w:rPr>
        <w:footnoteReference w:id="503"/>
      </w:r>
      <w:r w:rsidRPr="0024367B">
        <w:rPr>
          <w:rFonts w:asciiTheme="minorBidi" w:hAnsiTheme="minorBidi"/>
          <w:rtl/>
        </w:rPr>
        <w:t>)</w:t>
      </w:r>
    </w:p>
    <w:p w14:paraId="24E62624" w14:textId="77777777" w:rsidR="002C39F4" w:rsidRPr="0024367B" w:rsidRDefault="002C39F4" w:rsidP="002C39F4">
      <w:pPr>
        <w:ind w:left="360"/>
        <w:rPr>
          <w:rFonts w:asciiTheme="minorBidi" w:hAnsiTheme="minorBidi"/>
          <w:u w:val="dotted"/>
        </w:rPr>
      </w:pPr>
      <w:r w:rsidRPr="0024367B">
        <w:rPr>
          <w:rFonts w:asciiTheme="minorBidi" w:hAnsiTheme="minorBidi"/>
          <w:u w:val="dotted"/>
          <w:rtl/>
        </w:rPr>
        <w:t>לדעת האוסרים</w:t>
      </w:r>
      <w:r w:rsidRPr="0024367B">
        <w:rPr>
          <w:rFonts w:asciiTheme="minorBidi" w:hAnsiTheme="minorBidi" w:hint="cs"/>
          <w:u w:val="dotted"/>
          <w:rtl/>
        </w:rPr>
        <w:t xml:space="preserve"> לב שנתבשל בקדרה</w:t>
      </w:r>
      <w:r w:rsidRPr="0024367B">
        <w:rPr>
          <w:rFonts w:asciiTheme="minorBidi" w:hAnsiTheme="minorBidi"/>
          <w:sz w:val="16"/>
          <w:szCs w:val="16"/>
          <w:u w:val="dotted"/>
          <w:rtl/>
        </w:rPr>
        <w:t xml:space="preserve"> (ר"ת ר"י ראב"ד ורמב"ן)</w:t>
      </w:r>
      <w:r w:rsidRPr="0024367B">
        <w:rPr>
          <w:rFonts w:asciiTheme="minorBidi" w:hAnsiTheme="minorBidi" w:hint="cs"/>
          <w:u w:val="dotted"/>
          <w:rtl/>
        </w:rPr>
        <w:t xml:space="preserve"> - </w:t>
      </w:r>
      <w:r w:rsidRPr="0024367B">
        <w:rPr>
          <w:rFonts w:asciiTheme="minorBidi" w:hAnsiTheme="minorBidi"/>
          <w:u w:val="dotted"/>
          <w:rtl/>
        </w:rPr>
        <w:t xml:space="preserve">מה דין </w:t>
      </w:r>
      <w:r w:rsidRPr="0024367B">
        <w:rPr>
          <w:rFonts w:asciiTheme="minorBidi" w:hAnsiTheme="minorBidi" w:hint="cs"/>
          <w:u w:val="dotted"/>
          <w:rtl/>
        </w:rPr>
        <w:t xml:space="preserve">הלב </w:t>
      </w:r>
      <w:r w:rsidRPr="0024367B">
        <w:rPr>
          <w:rFonts w:asciiTheme="minorBidi" w:hAnsiTheme="minorBidi"/>
          <w:u w:val="dotted"/>
          <w:rtl/>
        </w:rPr>
        <w:t>כשיש ששים נגד</w:t>
      </w:r>
      <w:r w:rsidRPr="0024367B">
        <w:rPr>
          <w:rFonts w:asciiTheme="minorBidi" w:hAnsiTheme="minorBidi" w:hint="cs"/>
          <w:u w:val="dotted"/>
          <w:rtl/>
        </w:rPr>
        <w:t>ו</w:t>
      </w:r>
      <w:r w:rsidRPr="0024367B">
        <w:rPr>
          <w:rFonts w:asciiTheme="minorBidi" w:hAnsiTheme="minorBidi"/>
          <w:u w:val="dotted"/>
          <w:rtl/>
        </w:rPr>
        <w:t>:</w:t>
      </w:r>
    </w:p>
    <w:p w14:paraId="2C5209FF" w14:textId="77777777" w:rsidR="002C39F4" w:rsidRPr="0024367B" w:rsidRDefault="002C39F4" w:rsidP="002C39F4">
      <w:pPr>
        <w:pStyle w:val="a8"/>
        <w:numPr>
          <w:ilvl w:val="0"/>
          <w:numId w:val="43"/>
        </w:numPr>
        <w:rPr>
          <w:rFonts w:asciiTheme="minorBidi" w:hAnsiTheme="minorBidi"/>
        </w:rPr>
      </w:pPr>
      <w:r w:rsidRPr="0024367B">
        <w:rPr>
          <w:rFonts w:asciiTheme="minorBidi" w:hAnsiTheme="minorBidi"/>
          <w:rtl/>
        </w:rPr>
        <w:t>ב"י- משמע מדברי המרדכי</w:t>
      </w:r>
      <w:r w:rsidRPr="0024367B">
        <w:rPr>
          <w:rStyle w:val="a7"/>
          <w:rFonts w:asciiTheme="minorBidi" w:hAnsiTheme="minorBidi"/>
          <w:rtl/>
        </w:rPr>
        <w:footnoteReference w:id="504"/>
      </w:r>
      <w:r w:rsidRPr="0024367B">
        <w:rPr>
          <w:rFonts w:asciiTheme="minorBidi" w:hAnsiTheme="minorBidi"/>
          <w:rtl/>
        </w:rPr>
        <w:t xml:space="preserve"> דלדעת האוסרים נמי לב עצמו מותר. </w:t>
      </w:r>
      <w:r w:rsidRPr="00D90367">
        <w:rPr>
          <w:rFonts w:asciiTheme="minorBidi" w:hAnsiTheme="minorBidi" w:hint="cs"/>
          <w:color w:val="E36C0A" w:themeColor="accent6" w:themeShade="BF"/>
          <w:rtl/>
        </w:rPr>
        <w:t>(וכ"פ בשו"ע)</w:t>
      </w:r>
    </w:p>
    <w:p w14:paraId="62564A16" w14:textId="77777777" w:rsidR="002C39F4" w:rsidRPr="0024367B" w:rsidRDefault="002C39F4" w:rsidP="002C39F4">
      <w:pPr>
        <w:pStyle w:val="a8"/>
        <w:numPr>
          <w:ilvl w:val="0"/>
          <w:numId w:val="43"/>
        </w:numPr>
        <w:rPr>
          <w:rFonts w:asciiTheme="minorBidi" w:hAnsiTheme="minorBidi"/>
          <w:rtl/>
        </w:rPr>
      </w:pPr>
      <w:r w:rsidRPr="0024367B">
        <w:rPr>
          <w:rFonts w:asciiTheme="minorBidi" w:hAnsiTheme="minorBidi"/>
          <w:rtl/>
        </w:rPr>
        <w:t>שע"ד הגשע"ד ואו"ה</w:t>
      </w:r>
      <w:r w:rsidRPr="0024367B">
        <w:rPr>
          <w:rStyle w:val="a7"/>
          <w:rFonts w:asciiTheme="minorBidi" w:hAnsiTheme="minorBidi"/>
          <w:rtl/>
        </w:rPr>
        <w:footnoteReference w:id="505"/>
      </w:r>
      <w:r w:rsidRPr="0024367B">
        <w:rPr>
          <w:rFonts w:asciiTheme="minorBidi" w:hAnsiTheme="minorBidi"/>
          <w:rtl/>
        </w:rPr>
        <w:t>- הלב אסור דהוי כנתבשל בדם חללו</w:t>
      </w:r>
      <w:r w:rsidRPr="0024367B">
        <w:rPr>
          <w:rStyle w:val="a7"/>
          <w:rFonts w:asciiTheme="minorBidi" w:hAnsiTheme="minorBidi"/>
          <w:rtl/>
        </w:rPr>
        <w:footnoteReference w:id="506"/>
      </w:r>
      <w:r w:rsidRPr="0024367B">
        <w:rPr>
          <w:rFonts w:asciiTheme="minorBidi" w:hAnsiTheme="minorBidi"/>
          <w:rtl/>
        </w:rPr>
        <w:t>.</w:t>
      </w:r>
      <w:r w:rsidRPr="0024367B">
        <w:rPr>
          <w:rFonts w:asciiTheme="minorBidi" w:hAnsiTheme="minorBidi"/>
          <w:color w:val="00B0F0"/>
          <w:rtl/>
        </w:rPr>
        <w:t xml:space="preserve"> (וכ"פ הרמ"א)</w:t>
      </w:r>
    </w:p>
    <w:p w14:paraId="23650EA7" w14:textId="77777777" w:rsidR="002C39F4" w:rsidRPr="0024367B" w:rsidRDefault="002C39F4" w:rsidP="002C39F4">
      <w:pPr>
        <w:rPr>
          <w:rFonts w:asciiTheme="minorBidi" w:hAnsiTheme="minorBidi"/>
          <w:u w:val="single"/>
          <w:rtl/>
        </w:rPr>
      </w:pPr>
      <w:r w:rsidRPr="0024367B">
        <w:rPr>
          <w:rFonts w:asciiTheme="minorBidi" w:hAnsiTheme="minorBidi"/>
          <w:u w:val="single"/>
          <w:rtl/>
        </w:rPr>
        <w:t>האם לב שיע אף מצ</w:t>
      </w:r>
      <w:r w:rsidRPr="0024367B">
        <w:rPr>
          <w:rFonts w:asciiTheme="minorBidi" w:hAnsiTheme="minorBidi" w:hint="cs"/>
          <w:u w:val="single"/>
          <w:rtl/>
        </w:rPr>
        <w:t>י</w:t>
      </w:r>
      <w:r w:rsidRPr="0024367B">
        <w:rPr>
          <w:rFonts w:asciiTheme="minorBidi" w:hAnsiTheme="minorBidi"/>
          <w:u w:val="single"/>
          <w:rtl/>
        </w:rPr>
        <w:t>ד</w:t>
      </w:r>
      <w:r w:rsidRPr="0024367B">
        <w:rPr>
          <w:rFonts w:asciiTheme="minorBidi" w:hAnsiTheme="minorBidi" w:hint="cs"/>
          <w:u w:val="single"/>
          <w:rtl/>
        </w:rPr>
        <w:t>ו</w:t>
      </w:r>
      <w:r w:rsidRPr="0024367B">
        <w:rPr>
          <w:rFonts w:asciiTheme="minorBidi" w:hAnsiTheme="minorBidi"/>
          <w:u w:val="single"/>
          <w:rtl/>
        </w:rPr>
        <w:t xml:space="preserve"> </w:t>
      </w:r>
      <w:r w:rsidRPr="0024367B">
        <w:rPr>
          <w:rFonts w:asciiTheme="minorBidi" w:hAnsiTheme="minorBidi" w:hint="cs"/>
          <w:u w:val="single"/>
          <w:rtl/>
        </w:rPr>
        <w:t>ה</w:t>
      </w:r>
      <w:r w:rsidRPr="0024367B">
        <w:rPr>
          <w:rFonts w:asciiTheme="minorBidi" w:hAnsiTheme="minorBidi"/>
          <w:u w:val="single"/>
          <w:rtl/>
        </w:rPr>
        <w:t>פני</w:t>
      </w:r>
      <w:r w:rsidRPr="0024367B">
        <w:rPr>
          <w:rFonts w:asciiTheme="minorBidi" w:hAnsiTheme="minorBidi" w:hint="cs"/>
          <w:u w:val="single"/>
          <w:rtl/>
        </w:rPr>
        <w:t>מי</w:t>
      </w:r>
      <w:r w:rsidRPr="0024367B">
        <w:rPr>
          <w:rFonts w:asciiTheme="minorBidi" w:hAnsiTheme="minorBidi"/>
          <w:u w:val="single"/>
          <w:rtl/>
        </w:rPr>
        <w:t xml:space="preserve"> </w:t>
      </w:r>
      <w:r w:rsidRPr="0024367B">
        <w:rPr>
          <w:rFonts w:asciiTheme="minorBidi" w:hAnsiTheme="minorBidi"/>
          <w:sz w:val="16"/>
          <w:szCs w:val="16"/>
          <w:u w:val="single"/>
          <w:rtl/>
        </w:rPr>
        <w:t>(היינו כשהוא חתוך)</w:t>
      </w:r>
      <w:r w:rsidRPr="0024367B">
        <w:rPr>
          <w:rFonts w:asciiTheme="minorBidi" w:hAnsiTheme="minorBidi"/>
          <w:u w:val="single"/>
          <w:rtl/>
        </w:rPr>
        <w:t>:</w:t>
      </w:r>
    </w:p>
    <w:p w14:paraId="76EFDC47" w14:textId="77777777" w:rsidR="002C39F4" w:rsidRPr="0024367B" w:rsidRDefault="002C39F4" w:rsidP="002C39F4">
      <w:pPr>
        <w:pStyle w:val="a8"/>
        <w:numPr>
          <w:ilvl w:val="0"/>
          <w:numId w:val="42"/>
        </w:numPr>
        <w:rPr>
          <w:rFonts w:asciiTheme="minorBidi" w:hAnsiTheme="minorBidi"/>
        </w:rPr>
      </w:pPr>
      <w:r w:rsidRPr="0024367B">
        <w:rPr>
          <w:rFonts w:asciiTheme="minorBidi" w:hAnsiTheme="minorBidi"/>
          <w:rtl/>
        </w:rPr>
        <w:t xml:space="preserve">י"א </w:t>
      </w:r>
      <w:r w:rsidRPr="0024367B">
        <w:rPr>
          <w:rFonts w:asciiTheme="minorBidi" w:hAnsiTheme="minorBidi"/>
          <w:sz w:val="16"/>
          <w:szCs w:val="16"/>
          <w:rtl/>
        </w:rPr>
        <w:t>(הביאם הר"ן [לט. ד"ה תניא])</w:t>
      </w:r>
      <w:r w:rsidRPr="0024367B">
        <w:rPr>
          <w:rFonts w:asciiTheme="minorBidi" w:hAnsiTheme="minorBidi"/>
          <w:rtl/>
        </w:rPr>
        <w:t>- מאי דאמרינן דלב שיע אפילו נחתך קאמרינן דלב שיע ולא בלע לפי שחלקי הלב מקובצים ומחוברים הרבה ולפיכך אינו בולע.</w:t>
      </w:r>
    </w:p>
    <w:p w14:paraId="6AE29829" w14:textId="77777777" w:rsidR="002C39F4" w:rsidRPr="0024367B" w:rsidRDefault="002C39F4" w:rsidP="002C39F4">
      <w:pPr>
        <w:pStyle w:val="a8"/>
        <w:numPr>
          <w:ilvl w:val="0"/>
          <w:numId w:val="42"/>
        </w:numPr>
        <w:rPr>
          <w:rFonts w:asciiTheme="minorBidi" w:hAnsiTheme="minorBidi"/>
          <w:rtl/>
        </w:rPr>
      </w:pPr>
      <w:r w:rsidRPr="0024367B">
        <w:rPr>
          <w:rFonts w:asciiTheme="minorBidi" w:hAnsiTheme="minorBidi"/>
          <w:rtl/>
        </w:rPr>
        <w:t xml:space="preserve">ראבי"ה </w:t>
      </w:r>
      <w:r w:rsidRPr="0024367B">
        <w:rPr>
          <w:rFonts w:asciiTheme="minorBidi" w:hAnsiTheme="minorBidi"/>
          <w:sz w:val="16"/>
          <w:szCs w:val="16"/>
          <w:rtl/>
        </w:rPr>
        <w:t xml:space="preserve">(הביאו בהגהות הרמ"א על המרדכי </w:t>
      </w:r>
      <w:r w:rsidRPr="0024367B">
        <w:rPr>
          <w:rFonts w:asciiTheme="minorBidi" w:hAnsiTheme="minorBidi" w:hint="cs"/>
          <w:sz w:val="14"/>
          <w:szCs w:val="14"/>
          <w:rtl/>
        </w:rPr>
        <w:t>[</w:t>
      </w:r>
      <w:r w:rsidRPr="0024367B">
        <w:rPr>
          <w:rFonts w:asciiTheme="minorBidi" w:hAnsiTheme="minorBidi"/>
          <w:sz w:val="14"/>
          <w:szCs w:val="14"/>
          <w:rtl/>
        </w:rPr>
        <w:t>סי' תרצט הגהה *</w:t>
      </w:r>
      <w:r w:rsidRPr="0024367B">
        <w:rPr>
          <w:rFonts w:asciiTheme="minorBidi" w:hAnsiTheme="minorBidi" w:hint="cs"/>
          <w:sz w:val="14"/>
          <w:szCs w:val="14"/>
          <w:rtl/>
        </w:rPr>
        <w:t>]</w:t>
      </w:r>
      <w:r w:rsidRPr="0024367B">
        <w:rPr>
          <w:rFonts w:asciiTheme="minorBidi" w:hAnsiTheme="minorBidi"/>
          <w:sz w:val="16"/>
          <w:szCs w:val="16"/>
          <w:rtl/>
        </w:rPr>
        <w:t>)</w:t>
      </w:r>
      <w:r w:rsidRPr="0024367B">
        <w:rPr>
          <w:rFonts w:asciiTheme="minorBidi" w:hAnsiTheme="minorBidi"/>
          <w:rtl/>
        </w:rPr>
        <w:t>- הלב שיע לצד חוץ ולכך לא פלט גם אינו בולע מצד חוץ אם היה שם איסור, אבל לצד פנים אינו שיע ובולע.</w:t>
      </w:r>
      <w:r w:rsidRPr="0024367B">
        <w:rPr>
          <w:rFonts w:asciiTheme="minorBidi" w:hAnsiTheme="minorBidi" w:hint="cs"/>
          <w:rtl/>
        </w:rPr>
        <w:t xml:space="preserve"> </w:t>
      </w:r>
    </w:p>
    <w:p w14:paraId="11F44D3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442F53E" w14:textId="77777777" w:rsidR="002C39F4" w:rsidRPr="003024E5" w:rsidRDefault="002C39F4" w:rsidP="002C39F4">
      <w:pPr>
        <w:rPr>
          <w:rFonts w:asciiTheme="minorBidi" w:hAnsiTheme="minorBidi"/>
          <w:rtl/>
        </w:rPr>
      </w:pPr>
      <w:r w:rsidRPr="003024E5">
        <w:rPr>
          <w:rFonts w:asciiTheme="minorBidi" w:hAnsiTheme="minorBidi"/>
          <w:rtl/>
        </w:rPr>
        <w:t>מלחו ולא קרעו, קורעו אחר מליחתו ומותר אף על פי שנמלח עם הדם שבתוכו, דכבולעו כך פולטו</w:t>
      </w:r>
      <w:r w:rsidRPr="003024E5">
        <w:rPr>
          <w:rStyle w:val="a7"/>
          <w:rFonts w:asciiTheme="minorBidi" w:hAnsiTheme="minorBidi"/>
          <w:rtl/>
        </w:rPr>
        <w:footnoteReference w:id="507"/>
      </w:r>
      <w:r w:rsidRPr="003024E5">
        <w:rPr>
          <w:rFonts w:asciiTheme="minorBidi" w:hAnsiTheme="minorBidi"/>
          <w:rtl/>
        </w:rPr>
        <w:t>. והוא הדין אם צלאו ולא קרעו, שקורעו לאחר צלייתו ומותר. אבל אם בשלו בלי קריעה אסור</w:t>
      </w:r>
      <w:r w:rsidRPr="003024E5">
        <w:rPr>
          <w:rStyle w:val="a7"/>
          <w:rFonts w:asciiTheme="minorBidi" w:hAnsiTheme="minorBidi"/>
          <w:rtl/>
        </w:rPr>
        <w:footnoteReference w:id="508"/>
      </w:r>
      <w:r w:rsidRPr="003024E5">
        <w:rPr>
          <w:rFonts w:asciiTheme="minorBidi" w:hAnsiTheme="minorBidi"/>
          <w:rtl/>
        </w:rPr>
        <w:t xml:space="preserve"> עד שיהא </w:t>
      </w:r>
      <w:r>
        <w:rPr>
          <w:rFonts w:asciiTheme="minorBidi" w:hAnsiTheme="minorBidi" w:hint="cs"/>
          <w:rtl/>
        </w:rPr>
        <w:t>ששים</w:t>
      </w:r>
      <w:r w:rsidRPr="003024E5">
        <w:rPr>
          <w:rFonts w:asciiTheme="minorBidi" w:hAnsiTheme="minorBidi"/>
          <w:rtl/>
        </w:rPr>
        <w:t xml:space="preserve"> כנגד הלב, דלא ידעינן כמה נפק מיניה. </w:t>
      </w:r>
      <w:r w:rsidRPr="003024E5">
        <w:rPr>
          <w:rFonts w:asciiTheme="minorBidi" w:hAnsiTheme="minorBidi"/>
          <w:sz w:val="18"/>
          <w:szCs w:val="18"/>
          <w:rtl/>
        </w:rPr>
        <w:t xml:space="preserve">הגה: </w:t>
      </w:r>
      <w:r w:rsidRPr="003024E5">
        <w:rPr>
          <w:rStyle w:val="a7"/>
          <w:rFonts w:asciiTheme="minorBidi" w:hAnsiTheme="minorBidi"/>
          <w:sz w:val="18"/>
          <w:szCs w:val="18"/>
          <w:rtl/>
        </w:rPr>
        <w:footnoteReference w:id="509"/>
      </w:r>
      <w:r w:rsidRPr="003024E5">
        <w:rPr>
          <w:rFonts w:asciiTheme="minorBidi" w:hAnsiTheme="minorBidi"/>
          <w:sz w:val="18"/>
          <w:szCs w:val="18"/>
          <w:rtl/>
        </w:rPr>
        <w:t>ואפילו בדאיכא ס' הלב עצמו אסור</w:t>
      </w:r>
      <w:r w:rsidRPr="003024E5">
        <w:rPr>
          <w:rStyle w:val="a7"/>
          <w:rFonts w:asciiTheme="minorBidi" w:hAnsiTheme="minorBidi"/>
          <w:sz w:val="18"/>
          <w:szCs w:val="18"/>
          <w:rtl/>
        </w:rPr>
        <w:footnoteReference w:id="510"/>
      </w:r>
      <w:r w:rsidRPr="003024E5">
        <w:rPr>
          <w:rFonts w:asciiTheme="minorBidi" w:hAnsiTheme="minorBidi"/>
          <w:sz w:val="18"/>
          <w:szCs w:val="18"/>
          <w:rtl/>
        </w:rPr>
        <w:t xml:space="preserve"> (ארוך שע"ד מהרא"י ורי"ו), ויקלוף מעט סביב הלב</w:t>
      </w:r>
      <w:r w:rsidRPr="003024E5">
        <w:rPr>
          <w:rStyle w:val="a7"/>
          <w:rFonts w:asciiTheme="minorBidi" w:hAnsiTheme="minorBidi"/>
          <w:sz w:val="18"/>
          <w:szCs w:val="18"/>
          <w:rtl/>
        </w:rPr>
        <w:footnoteReference w:id="511"/>
      </w:r>
      <w:r w:rsidRPr="003024E5">
        <w:rPr>
          <w:rFonts w:asciiTheme="minorBidi" w:hAnsiTheme="minorBidi"/>
          <w:sz w:val="18"/>
          <w:szCs w:val="18"/>
          <w:rtl/>
        </w:rPr>
        <w:t>. ויש מחמירין בו אפילו במליחה לאסור שאר בשר שנמלח עמו</w:t>
      </w:r>
      <w:r w:rsidRPr="003024E5">
        <w:rPr>
          <w:rStyle w:val="a7"/>
          <w:rFonts w:asciiTheme="minorBidi" w:hAnsiTheme="minorBidi"/>
          <w:sz w:val="18"/>
          <w:szCs w:val="18"/>
          <w:rtl/>
        </w:rPr>
        <w:footnoteReference w:id="512"/>
      </w:r>
      <w:r w:rsidRPr="003024E5">
        <w:rPr>
          <w:rFonts w:asciiTheme="minorBidi" w:hAnsiTheme="minorBidi"/>
          <w:sz w:val="18"/>
          <w:szCs w:val="18"/>
          <w:rtl/>
        </w:rPr>
        <w:t>, ואומרין דלא אמרינן כבולעו כך פולטו גבי דם הלב הכנוס בתוכו, דהוי דם ממש ולא מקרי דם פליטה</w:t>
      </w:r>
      <w:r w:rsidRPr="003024E5">
        <w:rPr>
          <w:rStyle w:val="a7"/>
          <w:rFonts w:asciiTheme="minorBidi" w:hAnsiTheme="minorBidi"/>
          <w:sz w:val="18"/>
          <w:szCs w:val="18"/>
          <w:rtl/>
        </w:rPr>
        <w:footnoteReference w:id="513"/>
      </w:r>
      <w:r w:rsidRPr="003024E5">
        <w:rPr>
          <w:rFonts w:asciiTheme="minorBidi" w:hAnsiTheme="minorBidi"/>
          <w:sz w:val="18"/>
          <w:szCs w:val="18"/>
          <w:rtl/>
        </w:rPr>
        <w:t xml:space="preserve"> (הגשע"ד בשם ר' מתתיה וכ"מ במרדכי בשם ר"י), והמנהג להקל</w:t>
      </w:r>
      <w:r w:rsidRPr="003024E5">
        <w:rPr>
          <w:rStyle w:val="a7"/>
          <w:rFonts w:asciiTheme="minorBidi" w:hAnsiTheme="minorBidi"/>
          <w:sz w:val="18"/>
          <w:szCs w:val="18"/>
          <w:rtl/>
        </w:rPr>
        <w:footnoteReference w:id="514"/>
      </w:r>
      <w:r w:rsidRPr="003024E5">
        <w:rPr>
          <w:rFonts w:asciiTheme="minorBidi" w:hAnsiTheme="minorBidi"/>
          <w:sz w:val="18"/>
          <w:szCs w:val="18"/>
          <w:rtl/>
        </w:rPr>
        <w:t xml:space="preserve"> וכן עיקר דגם זה מקרי דם פליטה ושייך למימר ביה כבולעו כך פולטו מידי דהוי אדם שבחוטין כמו שנתבאר לעיל סי</w:t>
      </w:r>
      <w:r>
        <w:rPr>
          <w:rFonts w:asciiTheme="minorBidi" w:hAnsiTheme="minorBidi" w:hint="cs"/>
          <w:sz w:val="18"/>
          <w:szCs w:val="18"/>
          <w:rtl/>
        </w:rPr>
        <w:t>'</w:t>
      </w:r>
      <w:r w:rsidRPr="003024E5">
        <w:rPr>
          <w:rFonts w:asciiTheme="minorBidi" w:hAnsiTheme="minorBidi"/>
          <w:sz w:val="18"/>
          <w:szCs w:val="18"/>
          <w:rtl/>
        </w:rPr>
        <w:t xml:space="preserve"> כב (וכ"ד האו"ה ומהר"א כ"ץ). ויש מחמירין לקלוף קצת במקום שהיה הלב דבוק (בארוך ומרדכי שם), וטוב לחוש לדבריהם ולקלוף קצת סביב הלב</w:t>
      </w:r>
      <w:r w:rsidRPr="003024E5">
        <w:rPr>
          <w:rStyle w:val="a7"/>
          <w:rFonts w:asciiTheme="minorBidi" w:hAnsiTheme="minorBidi"/>
          <w:sz w:val="18"/>
          <w:szCs w:val="18"/>
          <w:rtl/>
        </w:rPr>
        <w:footnoteReference w:id="515"/>
      </w:r>
      <w:r w:rsidRPr="003024E5">
        <w:rPr>
          <w:rFonts w:asciiTheme="minorBidi" w:hAnsiTheme="minorBidi"/>
          <w:sz w:val="18"/>
          <w:szCs w:val="18"/>
          <w:rtl/>
        </w:rPr>
        <w:t xml:space="preserve"> ואז הכל מותר</w:t>
      </w:r>
      <w:r>
        <w:rPr>
          <w:rFonts w:asciiTheme="minorBidi" w:hAnsiTheme="minorBidi" w:hint="cs"/>
          <w:sz w:val="18"/>
          <w:szCs w:val="18"/>
          <w:rtl/>
        </w:rPr>
        <w:t>.</w:t>
      </w:r>
      <w:r w:rsidRPr="003024E5">
        <w:rPr>
          <w:rFonts w:asciiTheme="minorBidi" w:hAnsiTheme="minorBidi"/>
          <w:sz w:val="18"/>
          <w:szCs w:val="18"/>
          <w:rtl/>
        </w:rPr>
        <w:t xml:space="preserve"> ואין חלוק בין בשר שעם הלב או הלב עצמו</w:t>
      </w:r>
      <w:r w:rsidRPr="003024E5">
        <w:rPr>
          <w:rStyle w:val="a7"/>
          <w:rFonts w:asciiTheme="minorBidi" w:hAnsiTheme="minorBidi"/>
          <w:sz w:val="18"/>
          <w:szCs w:val="18"/>
          <w:rtl/>
        </w:rPr>
        <w:footnoteReference w:id="516"/>
      </w:r>
      <w:r w:rsidRPr="003024E5">
        <w:rPr>
          <w:rFonts w:asciiTheme="minorBidi" w:hAnsiTheme="minorBidi"/>
          <w:sz w:val="18"/>
          <w:szCs w:val="18"/>
          <w:rtl/>
        </w:rPr>
        <w:t>, ואין חלוק בין אם הלב סגור או פתוח למעלה</w:t>
      </w:r>
      <w:r w:rsidRPr="003024E5">
        <w:rPr>
          <w:rStyle w:val="a7"/>
          <w:rFonts w:asciiTheme="minorBidi" w:hAnsiTheme="minorBidi"/>
          <w:sz w:val="18"/>
          <w:szCs w:val="18"/>
          <w:rtl/>
        </w:rPr>
        <w:footnoteReference w:id="517"/>
      </w:r>
      <w:r w:rsidRPr="003024E5">
        <w:rPr>
          <w:rFonts w:asciiTheme="minorBidi" w:hAnsiTheme="minorBidi"/>
          <w:sz w:val="18"/>
          <w:szCs w:val="18"/>
          <w:rtl/>
        </w:rPr>
        <w:t xml:space="preserve"> (ד"ע ולא כאו"ה). ונוהגין לכתחלה לחתוך ערלת הלב ולחתוך גידין שבפנים (ארוך), ואינו אלא חומרא וזהירות בעלמא</w:t>
      </w:r>
      <w:r w:rsidRPr="003024E5">
        <w:rPr>
          <w:rStyle w:val="a7"/>
          <w:rFonts w:asciiTheme="minorBidi" w:hAnsiTheme="minorBidi"/>
          <w:sz w:val="18"/>
          <w:szCs w:val="18"/>
          <w:rtl/>
        </w:rPr>
        <w:footnoteReference w:id="518"/>
      </w:r>
      <w:r w:rsidRPr="003024E5">
        <w:rPr>
          <w:rFonts w:asciiTheme="minorBidi" w:hAnsiTheme="minorBidi"/>
          <w:sz w:val="18"/>
          <w:szCs w:val="18"/>
          <w:rtl/>
        </w:rPr>
        <w:t>.</w:t>
      </w:r>
      <w:r w:rsidRPr="003024E5">
        <w:rPr>
          <w:rFonts w:asciiTheme="minorBidi" w:hAnsiTheme="minorBidi"/>
          <w:rtl/>
        </w:rPr>
        <w:t xml:space="preserve"> </w:t>
      </w:r>
    </w:p>
    <w:p w14:paraId="77C7498D" w14:textId="77777777" w:rsidR="002C39F4" w:rsidRPr="003024E5" w:rsidRDefault="002C39F4" w:rsidP="002C39F4">
      <w:pPr>
        <w:rPr>
          <w:rFonts w:asciiTheme="minorBidi" w:hAnsiTheme="minorBidi"/>
          <w:rtl/>
        </w:rPr>
      </w:pPr>
    </w:p>
    <w:p w14:paraId="335D93FE" w14:textId="77777777" w:rsidR="002C39F4" w:rsidRPr="003024E5" w:rsidRDefault="002C39F4" w:rsidP="002C39F4">
      <w:pPr>
        <w:pStyle w:val="2"/>
        <w:rPr>
          <w:rFonts w:asciiTheme="minorBidi" w:hAnsiTheme="minorBidi"/>
          <w:rtl/>
        </w:rPr>
      </w:pPr>
      <w:r w:rsidRPr="003024E5">
        <w:rPr>
          <w:rFonts w:asciiTheme="minorBidi" w:hAnsiTheme="minorBidi"/>
          <w:rtl/>
        </w:rPr>
        <w:t>סעיף ג: שיעור העוף כנגד הלב</w:t>
      </w:r>
    </w:p>
    <w:p w14:paraId="28035529" w14:textId="77777777" w:rsidR="002C39F4" w:rsidRPr="003024E5" w:rsidRDefault="002C39F4" w:rsidP="002C39F4">
      <w:pPr>
        <w:rPr>
          <w:rFonts w:asciiTheme="minorBidi" w:hAnsiTheme="minorBidi"/>
          <w:u w:val="single"/>
          <w:rtl/>
        </w:rPr>
      </w:pPr>
      <w:r w:rsidRPr="003024E5">
        <w:rPr>
          <w:rFonts w:asciiTheme="minorBidi" w:hAnsiTheme="minorBidi"/>
          <w:u w:val="single"/>
          <w:rtl/>
        </w:rPr>
        <w:t>כמה יש בעוף כנגד הלב:</w:t>
      </w:r>
    </w:p>
    <w:p w14:paraId="22E6D03A" w14:textId="77777777" w:rsidR="002C39F4" w:rsidRPr="0054103F" w:rsidRDefault="002C39F4" w:rsidP="002C39F4">
      <w:pPr>
        <w:pStyle w:val="a8"/>
        <w:numPr>
          <w:ilvl w:val="0"/>
          <w:numId w:val="45"/>
        </w:numPr>
        <w:rPr>
          <w:rFonts w:asciiTheme="minorBidi" w:hAnsiTheme="minorBidi"/>
        </w:rPr>
      </w:pPr>
      <w:r w:rsidRPr="0054103F">
        <w:rPr>
          <w:rFonts w:asciiTheme="minorBidi" w:hAnsiTheme="minorBidi"/>
          <w:rtl/>
        </w:rPr>
        <w:t>ראבי"ה</w:t>
      </w:r>
      <w:r w:rsidRPr="0054103F">
        <w:rPr>
          <w:rStyle w:val="a7"/>
          <w:rFonts w:asciiTheme="minorBidi" w:hAnsiTheme="minorBidi"/>
          <w:rtl/>
        </w:rPr>
        <w:footnoteReference w:id="519"/>
      </w:r>
      <w:r w:rsidRPr="0054103F">
        <w:rPr>
          <w:rFonts w:asciiTheme="minorBidi" w:hAnsiTheme="minorBidi" w:hint="cs"/>
          <w:rtl/>
        </w:rPr>
        <w:t xml:space="preserve"> ו</w:t>
      </w:r>
      <w:r w:rsidRPr="0054103F">
        <w:rPr>
          <w:rFonts w:asciiTheme="minorBidi" w:hAnsiTheme="minorBidi"/>
          <w:rtl/>
        </w:rPr>
        <w:t xml:space="preserve">רא"ש </w:t>
      </w:r>
      <w:r w:rsidRPr="0054103F">
        <w:rPr>
          <w:rFonts w:asciiTheme="minorBidi" w:hAnsiTheme="minorBidi"/>
          <w:sz w:val="16"/>
          <w:szCs w:val="16"/>
          <w:rtl/>
        </w:rPr>
        <w:t>(כ"כ הטור בשמו)</w:t>
      </w:r>
      <w:r w:rsidRPr="0054103F">
        <w:rPr>
          <w:rFonts w:asciiTheme="minorBidi" w:hAnsiTheme="minorBidi"/>
          <w:rtl/>
        </w:rPr>
        <w:t xml:space="preserve">- מקובל אני שאין עוף שלא יהא בו ששים כנגד לבו. </w:t>
      </w:r>
      <w:r w:rsidRPr="0054103F">
        <w:rPr>
          <w:rFonts w:asciiTheme="minorBidi" w:hAnsiTheme="minorBidi"/>
          <w:color w:val="E36C0A" w:themeColor="accent6" w:themeShade="BF"/>
          <w:rtl/>
        </w:rPr>
        <w:t>(וכ"פ בשו"ע)</w:t>
      </w:r>
    </w:p>
    <w:p w14:paraId="0BCEFBBE" w14:textId="77777777" w:rsidR="002C39F4" w:rsidRPr="0054103F" w:rsidRDefault="002C39F4" w:rsidP="002C39F4">
      <w:pPr>
        <w:ind w:left="360"/>
        <w:rPr>
          <w:rFonts w:asciiTheme="minorBidi" w:hAnsiTheme="minorBidi"/>
          <w:u w:val="dotted"/>
        </w:rPr>
      </w:pPr>
      <w:r w:rsidRPr="0054103F">
        <w:rPr>
          <w:rFonts w:asciiTheme="minorBidi" w:hAnsiTheme="minorBidi"/>
          <w:u w:val="dotted"/>
          <w:rtl/>
        </w:rPr>
        <w:t xml:space="preserve">האם הדין כך דוקא כשהעוף שלם לגמרי: </w:t>
      </w:r>
    </w:p>
    <w:p w14:paraId="1E9C641E" w14:textId="77777777" w:rsidR="002C39F4" w:rsidRPr="0054103F" w:rsidRDefault="002C39F4" w:rsidP="002C39F4">
      <w:pPr>
        <w:pStyle w:val="a8"/>
        <w:numPr>
          <w:ilvl w:val="0"/>
          <w:numId w:val="45"/>
        </w:numPr>
        <w:rPr>
          <w:rFonts w:asciiTheme="minorBidi" w:hAnsiTheme="minorBidi"/>
        </w:rPr>
      </w:pPr>
      <w:r w:rsidRPr="0054103F">
        <w:rPr>
          <w:rFonts w:asciiTheme="minorBidi" w:hAnsiTheme="minorBidi"/>
          <w:rtl/>
        </w:rPr>
        <w:t>מהרי"ל</w:t>
      </w:r>
      <w:r w:rsidRPr="0054103F">
        <w:rPr>
          <w:rFonts w:asciiTheme="minorBidi" w:hAnsiTheme="minorBidi"/>
          <w:sz w:val="16"/>
          <w:szCs w:val="16"/>
          <w:rtl/>
        </w:rPr>
        <w:t xml:space="preserve"> (הל' או"ה אות יח)</w:t>
      </w:r>
      <w:r w:rsidRPr="0054103F">
        <w:rPr>
          <w:rFonts w:asciiTheme="minorBidi" w:hAnsiTheme="minorBidi"/>
          <w:rtl/>
        </w:rPr>
        <w:t>- אין בשום עוף ס' נגד לבו אלא דוקא כשהוא שלם ברגליו והראש עם הצואר</w:t>
      </w:r>
      <w:r w:rsidRPr="0054103F">
        <w:rPr>
          <w:rStyle w:val="a7"/>
          <w:rFonts w:asciiTheme="minorBidi" w:hAnsiTheme="minorBidi"/>
          <w:rtl/>
        </w:rPr>
        <w:footnoteReference w:id="520"/>
      </w:r>
      <w:r w:rsidRPr="0054103F">
        <w:rPr>
          <w:rFonts w:asciiTheme="minorBidi" w:hAnsiTheme="minorBidi"/>
          <w:rtl/>
        </w:rPr>
        <w:t>.</w:t>
      </w:r>
    </w:p>
    <w:p w14:paraId="70B9A04C" w14:textId="77777777" w:rsidR="002C39F4" w:rsidRPr="0054103F" w:rsidRDefault="002C39F4" w:rsidP="002C39F4">
      <w:pPr>
        <w:pStyle w:val="a8"/>
        <w:numPr>
          <w:ilvl w:val="0"/>
          <w:numId w:val="45"/>
        </w:numPr>
        <w:rPr>
          <w:rFonts w:asciiTheme="minorBidi" w:hAnsiTheme="minorBidi"/>
        </w:rPr>
      </w:pPr>
      <w:r w:rsidRPr="0054103F">
        <w:rPr>
          <w:rFonts w:asciiTheme="minorBidi" w:hAnsiTheme="minorBidi"/>
          <w:rtl/>
        </w:rPr>
        <w:t xml:space="preserve">תרוה"ד </w:t>
      </w:r>
      <w:r w:rsidRPr="0054103F">
        <w:rPr>
          <w:rFonts w:asciiTheme="minorBidi" w:hAnsiTheme="minorBidi"/>
          <w:sz w:val="16"/>
          <w:szCs w:val="16"/>
          <w:rtl/>
        </w:rPr>
        <w:t>(ח"ב סי' צא)</w:t>
      </w:r>
      <w:r w:rsidRPr="0054103F">
        <w:rPr>
          <w:rFonts w:asciiTheme="minorBidi" w:hAnsiTheme="minorBidi"/>
          <w:rtl/>
        </w:rPr>
        <w:t>- אשר כתבת שנמצא בדרשות מהר"י מולין על לב עוף שאין לומר שיש בעוף כנגדו ששים אא"כ העוף שלם כולו ראשו ורגליו- כבר שמעתי חילוק זה ולא חשתי להחמיר דמסתמא הגאונים לא שיערו בצמצום כולי האי וגם הבאתי ראיה מההיא דמסירים הראש</w:t>
      </w:r>
      <w:r w:rsidRPr="0054103F">
        <w:rPr>
          <w:rStyle w:val="a7"/>
          <w:rFonts w:asciiTheme="minorBidi" w:hAnsiTheme="minorBidi"/>
          <w:rtl/>
        </w:rPr>
        <w:footnoteReference w:id="521"/>
      </w:r>
      <w:r w:rsidRPr="0054103F">
        <w:rPr>
          <w:rFonts w:asciiTheme="minorBidi" w:hAnsiTheme="minorBidi"/>
          <w:rtl/>
        </w:rPr>
        <w:t>.</w:t>
      </w:r>
      <w:r w:rsidRPr="0054103F">
        <w:rPr>
          <w:rFonts w:asciiTheme="minorBidi" w:hAnsiTheme="minorBidi"/>
          <w:color w:val="00B0F0"/>
          <w:rtl/>
        </w:rPr>
        <w:t xml:space="preserve"> (וכ"פ הרמ"א)</w:t>
      </w:r>
    </w:p>
    <w:p w14:paraId="1C4775CD" w14:textId="77777777" w:rsidR="002C39F4" w:rsidRPr="0054103F" w:rsidRDefault="002C39F4" w:rsidP="002C39F4">
      <w:pPr>
        <w:pStyle w:val="a8"/>
        <w:numPr>
          <w:ilvl w:val="0"/>
          <w:numId w:val="45"/>
        </w:numPr>
        <w:rPr>
          <w:rFonts w:asciiTheme="minorBidi" w:hAnsiTheme="minorBidi"/>
        </w:rPr>
      </w:pPr>
      <w:r w:rsidRPr="0054103F">
        <w:rPr>
          <w:rFonts w:asciiTheme="minorBidi" w:hAnsiTheme="minorBidi"/>
          <w:rtl/>
        </w:rPr>
        <w:t>רש"ל</w:t>
      </w:r>
      <w:r w:rsidRPr="0054103F">
        <w:rPr>
          <w:rFonts w:asciiTheme="minorBidi" w:hAnsiTheme="minorBidi"/>
          <w:sz w:val="16"/>
          <w:szCs w:val="16"/>
          <w:rtl/>
        </w:rPr>
        <w:t xml:space="preserve"> (סי' כז אות ג)</w:t>
      </w:r>
      <w:r w:rsidRPr="0054103F">
        <w:rPr>
          <w:rFonts w:asciiTheme="minorBidi" w:hAnsiTheme="minorBidi"/>
          <w:rtl/>
        </w:rPr>
        <w:t>- אם הופשט האווז ונמלח עם הלב ונתבשל כך לא אמרינן דהוי ס' נגד דם הלב</w:t>
      </w:r>
      <w:r w:rsidRPr="0054103F">
        <w:rPr>
          <w:rFonts w:asciiTheme="minorBidi" w:hAnsiTheme="minorBidi" w:hint="cs"/>
          <w:rtl/>
        </w:rPr>
        <w:t>,</w:t>
      </w:r>
      <w:r w:rsidRPr="0054103F">
        <w:rPr>
          <w:rFonts w:asciiTheme="minorBidi" w:hAnsiTheme="minorBidi"/>
          <w:rtl/>
        </w:rPr>
        <w:t xml:space="preserve"> דאפשר שאין בה ס' אפילו נגד דם הלב</w:t>
      </w:r>
      <w:r w:rsidRPr="0054103F">
        <w:rPr>
          <w:rStyle w:val="a7"/>
          <w:rFonts w:asciiTheme="minorBidi" w:hAnsiTheme="minorBidi"/>
          <w:rtl/>
        </w:rPr>
        <w:footnoteReference w:id="522"/>
      </w:r>
      <w:r w:rsidRPr="0054103F">
        <w:rPr>
          <w:rFonts w:asciiTheme="minorBidi" w:hAnsiTheme="minorBidi"/>
          <w:rtl/>
        </w:rPr>
        <w:t>. (וכ"פ הש"ך</w:t>
      </w:r>
      <w:r w:rsidRPr="0054103F">
        <w:rPr>
          <w:rStyle w:val="a7"/>
          <w:rFonts w:asciiTheme="minorBidi" w:hAnsiTheme="minorBidi"/>
          <w:rtl/>
        </w:rPr>
        <w:footnoteReference w:id="523"/>
      </w:r>
      <w:r w:rsidRPr="0054103F">
        <w:rPr>
          <w:rFonts w:asciiTheme="minorBidi" w:hAnsiTheme="minorBidi"/>
          <w:sz w:val="16"/>
          <w:szCs w:val="16"/>
          <w:rtl/>
        </w:rPr>
        <w:t xml:space="preserve"> [סקי"ט]</w:t>
      </w:r>
      <w:r w:rsidRPr="0054103F">
        <w:rPr>
          <w:rFonts w:asciiTheme="minorBidi" w:hAnsiTheme="minorBidi"/>
          <w:rtl/>
        </w:rPr>
        <w:t>)</w:t>
      </w:r>
    </w:p>
    <w:p w14:paraId="7C7F0C6A" w14:textId="77777777" w:rsidR="002C39F4" w:rsidRPr="0054103F" w:rsidRDefault="002C39F4" w:rsidP="002C39F4">
      <w:pPr>
        <w:rPr>
          <w:rFonts w:asciiTheme="minorBidi" w:hAnsiTheme="minorBidi"/>
          <w:sz w:val="16"/>
          <w:szCs w:val="16"/>
          <w:rtl/>
        </w:rPr>
      </w:pPr>
      <w:r w:rsidRPr="0054103F">
        <w:rPr>
          <w:rFonts w:asciiTheme="minorBidi" w:hAnsiTheme="minorBidi"/>
          <w:u w:val="single"/>
          <w:rtl/>
        </w:rPr>
        <w:t>עוף שמנותח לנתחים והלב דבוק באחד הנתחים ונתבשלו:</w:t>
      </w:r>
      <w:r w:rsidRPr="0054103F">
        <w:rPr>
          <w:rFonts w:asciiTheme="minorBidi" w:hAnsiTheme="minorBidi"/>
          <w:sz w:val="16"/>
          <w:szCs w:val="16"/>
          <w:rtl/>
        </w:rPr>
        <w:t xml:space="preserve">  (ב"י על סע' ב)</w:t>
      </w:r>
    </w:p>
    <w:p w14:paraId="310C41A2" w14:textId="77777777" w:rsidR="002C39F4" w:rsidRPr="0054103F" w:rsidRDefault="002C39F4" w:rsidP="002C39F4">
      <w:pPr>
        <w:pStyle w:val="a8"/>
        <w:numPr>
          <w:ilvl w:val="0"/>
          <w:numId w:val="42"/>
        </w:numPr>
        <w:rPr>
          <w:rFonts w:asciiTheme="minorBidi" w:hAnsiTheme="minorBidi"/>
        </w:rPr>
      </w:pPr>
      <w:r w:rsidRPr="0054103F">
        <w:rPr>
          <w:rFonts w:asciiTheme="minorBidi" w:hAnsiTheme="minorBidi"/>
          <w:rtl/>
        </w:rPr>
        <w:t>סמ"ק</w:t>
      </w:r>
      <w:r w:rsidRPr="0054103F">
        <w:rPr>
          <w:rFonts w:asciiTheme="minorBidi" w:hAnsiTheme="minorBidi"/>
          <w:sz w:val="16"/>
          <w:szCs w:val="16"/>
          <w:rtl/>
        </w:rPr>
        <w:t xml:space="preserve"> (סי' רה ד"ה הלב, כ"כ בשמו ההגה"מ [ד"ק פ"ו ה"ו])</w:t>
      </w:r>
      <w:r w:rsidRPr="0054103F">
        <w:rPr>
          <w:rFonts w:asciiTheme="minorBidi" w:hAnsiTheme="minorBidi"/>
          <w:rtl/>
        </w:rPr>
        <w:t>- אם נתבשל העוף בחתיכות קטנות והלב מחובר באחת מהן יש לחוש שמא תשאר החתיכה לבדה ברוטב ותאסור אחרת, ואחרת אחרת, וכן כשמשימין החתיכה בפשטיד"א ויש שם שומן</w:t>
      </w:r>
      <w:r w:rsidRPr="0054103F">
        <w:rPr>
          <w:rFonts w:asciiTheme="minorBidi" w:hAnsiTheme="minorBidi" w:hint="cs"/>
          <w:rtl/>
        </w:rPr>
        <w:t>,</w:t>
      </w:r>
      <w:r w:rsidRPr="0054103F">
        <w:rPr>
          <w:rFonts w:asciiTheme="minorBidi" w:hAnsiTheme="minorBidi"/>
          <w:rtl/>
        </w:rPr>
        <w:t xml:space="preserve"> שמא נימוח השומן תחילה תחת החתיכה שהלב תלוי בה ו</w:t>
      </w:r>
      <w:r w:rsidRPr="0054103F">
        <w:rPr>
          <w:rFonts w:asciiTheme="minorBidi" w:hAnsiTheme="minorBidi" w:hint="cs"/>
          <w:rtl/>
        </w:rPr>
        <w:t>ְ</w:t>
      </w:r>
      <w:r w:rsidRPr="0054103F">
        <w:rPr>
          <w:rFonts w:asciiTheme="minorBidi" w:hAnsiTheme="minorBidi"/>
          <w:rtl/>
        </w:rPr>
        <w:t>ת</w:t>
      </w:r>
      <w:r w:rsidRPr="0054103F">
        <w:rPr>
          <w:rFonts w:asciiTheme="minorBidi" w:hAnsiTheme="minorBidi" w:hint="cs"/>
          <w:rtl/>
        </w:rPr>
        <w:t>ֵ</w:t>
      </w:r>
      <w:r w:rsidRPr="0054103F">
        <w:rPr>
          <w:rFonts w:asciiTheme="minorBidi" w:hAnsiTheme="minorBidi"/>
          <w:rtl/>
        </w:rPr>
        <w:t>ע</w:t>
      </w:r>
      <w:r w:rsidRPr="0054103F">
        <w:rPr>
          <w:rFonts w:asciiTheme="minorBidi" w:hAnsiTheme="minorBidi" w:hint="cs"/>
          <w:rtl/>
        </w:rPr>
        <w:t>ָ</w:t>
      </w:r>
      <w:r w:rsidRPr="0054103F">
        <w:rPr>
          <w:rFonts w:asciiTheme="minorBidi" w:hAnsiTheme="minorBidi"/>
          <w:rtl/>
        </w:rPr>
        <w:t>שה נבלה, ואח"כ תחת הסמוכה לה ויאסרנה, וכן כולן, והמחמיר תבא עליו ברכה</w:t>
      </w:r>
      <w:r w:rsidRPr="0054103F">
        <w:rPr>
          <w:rStyle w:val="a7"/>
          <w:rFonts w:asciiTheme="minorBidi" w:hAnsiTheme="minorBidi"/>
          <w:rtl/>
        </w:rPr>
        <w:footnoteReference w:id="524"/>
      </w:r>
      <w:r w:rsidRPr="0054103F">
        <w:rPr>
          <w:rFonts w:asciiTheme="minorBidi" w:hAnsiTheme="minorBidi" w:hint="cs"/>
          <w:rtl/>
        </w:rPr>
        <w:t>,</w:t>
      </w:r>
      <w:r w:rsidRPr="0054103F">
        <w:rPr>
          <w:rFonts w:asciiTheme="minorBidi" w:hAnsiTheme="minorBidi"/>
          <w:rtl/>
        </w:rPr>
        <w:t xml:space="preserve"> והמיקל לא הפסיד כלום כי אין לנו להחזיק ריעותא רק שיהא ששים מן הכל, ועוד דאיסור הבלוע בחתיכה אינו הולך מחתיכה לחתיכה כי אם ע"י רוטב לכן אותה חתיכה שהלב בה לבדה אסורה אם אין בה ששים מן הלב והשאר מותרות</w:t>
      </w:r>
      <w:r w:rsidRPr="0054103F">
        <w:rPr>
          <w:rStyle w:val="a7"/>
          <w:rFonts w:asciiTheme="minorBidi" w:hAnsiTheme="minorBidi"/>
          <w:rtl/>
        </w:rPr>
        <w:footnoteReference w:id="525"/>
      </w:r>
      <w:r w:rsidRPr="0054103F">
        <w:rPr>
          <w:rFonts w:asciiTheme="minorBidi" w:hAnsiTheme="minorBidi"/>
          <w:rtl/>
        </w:rPr>
        <w:t>.</w:t>
      </w:r>
    </w:p>
    <w:p w14:paraId="3E3EB8E5" w14:textId="77777777" w:rsidR="002C39F4" w:rsidRPr="0054103F" w:rsidRDefault="002C39F4" w:rsidP="002C39F4">
      <w:pPr>
        <w:rPr>
          <w:rFonts w:asciiTheme="minorBidi" w:hAnsiTheme="minorBidi"/>
          <w:sz w:val="16"/>
          <w:szCs w:val="16"/>
          <w:u w:val="single"/>
          <w:rtl/>
        </w:rPr>
      </w:pPr>
      <w:r w:rsidRPr="0054103F">
        <w:rPr>
          <w:rFonts w:asciiTheme="minorBidi" w:hAnsiTheme="minorBidi"/>
          <w:u w:val="single"/>
          <w:rtl/>
        </w:rPr>
        <w:t>האם המילוי מצטרף לשיעור ששים:</w:t>
      </w:r>
      <w:r w:rsidRPr="0054103F">
        <w:rPr>
          <w:rFonts w:asciiTheme="minorBidi" w:hAnsiTheme="minorBidi"/>
          <w:sz w:val="16"/>
          <w:szCs w:val="16"/>
          <w:rtl/>
        </w:rPr>
        <w:t xml:space="preserve">   (ט"ז סק"י)</w:t>
      </w:r>
    </w:p>
    <w:p w14:paraId="07480941" w14:textId="77777777" w:rsidR="002C39F4" w:rsidRPr="0054103F" w:rsidRDefault="002C39F4" w:rsidP="002C39F4">
      <w:pPr>
        <w:pStyle w:val="a8"/>
        <w:numPr>
          <w:ilvl w:val="0"/>
          <w:numId w:val="42"/>
        </w:numPr>
        <w:rPr>
          <w:rFonts w:asciiTheme="minorBidi" w:hAnsiTheme="minorBidi"/>
          <w:rtl/>
        </w:rPr>
      </w:pPr>
      <w:r w:rsidRPr="0054103F">
        <w:rPr>
          <w:rFonts w:asciiTheme="minorBidi" w:hAnsiTheme="minorBidi"/>
          <w:rtl/>
        </w:rPr>
        <w:t>מהרי"ל</w:t>
      </w:r>
      <w:r w:rsidRPr="0054103F">
        <w:rPr>
          <w:rFonts w:asciiTheme="minorBidi" w:hAnsiTheme="minorBidi"/>
          <w:sz w:val="16"/>
          <w:szCs w:val="16"/>
          <w:rtl/>
        </w:rPr>
        <w:t xml:space="preserve"> (שם)</w:t>
      </w:r>
      <w:r w:rsidRPr="0054103F">
        <w:rPr>
          <w:rFonts w:asciiTheme="minorBidi" w:hAnsiTheme="minorBidi"/>
          <w:rtl/>
        </w:rPr>
        <w:t xml:space="preserve">- לב שלם נמצא בתרנגולת שלמה ונמלח ונתבשל עמה ומלאו התרנגולת ביצים, ואסר מהר"י סג"ל את הכל </w:t>
      </w:r>
      <w:r w:rsidRPr="0054103F">
        <w:rPr>
          <w:rFonts w:asciiTheme="minorBidi" w:hAnsiTheme="minorBidi"/>
          <w:sz w:val="16"/>
          <w:szCs w:val="16"/>
          <w:rtl/>
        </w:rPr>
        <w:t>(משום דאין בשום עוף ס' נגד לבו אלא דוקא כשהוא שלם ברגליו והראש עם הצואר ע"פ המרדכי, וצוה להכשיר הכלים ואם של חרס ישברו)</w:t>
      </w:r>
      <w:r w:rsidRPr="0054103F">
        <w:rPr>
          <w:rFonts w:asciiTheme="minorBidi" w:hAnsiTheme="minorBidi"/>
          <w:rtl/>
        </w:rPr>
        <w:t xml:space="preserve">, והביצים שמלאו בו אינן מצטרפין לס' לבטל דהוי כתבשיל אחר והעוף נעשה כולו חתיכה דאיסורא. </w:t>
      </w:r>
    </w:p>
    <w:p w14:paraId="7197B0D7" w14:textId="77777777" w:rsidR="002C39F4" w:rsidRPr="0054103F" w:rsidRDefault="002C39F4" w:rsidP="002C39F4">
      <w:pPr>
        <w:pStyle w:val="a8"/>
        <w:numPr>
          <w:ilvl w:val="0"/>
          <w:numId w:val="42"/>
        </w:numPr>
        <w:rPr>
          <w:rFonts w:asciiTheme="minorBidi" w:hAnsiTheme="minorBidi"/>
        </w:rPr>
      </w:pPr>
      <w:r w:rsidRPr="0054103F">
        <w:rPr>
          <w:rFonts w:asciiTheme="minorBidi" w:hAnsiTheme="minorBidi"/>
          <w:rtl/>
        </w:rPr>
        <w:t xml:space="preserve">רש"ל </w:t>
      </w:r>
      <w:r w:rsidRPr="0054103F">
        <w:rPr>
          <w:rFonts w:asciiTheme="minorBidi" w:hAnsiTheme="minorBidi"/>
          <w:sz w:val="16"/>
          <w:szCs w:val="16"/>
          <w:rtl/>
        </w:rPr>
        <w:t>(פכ"ה סי' נ)</w:t>
      </w:r>
      <w:r w:rsidRPr="0054103F">
        <w:rPr>
          <w:rFonts w:asciiTheme="minorBidi" w:hAnsiTheme="minorBidi"/>
          <w:rtl/>
        </w:rPr>
        <w:t>- היכא שאין בעוף ס' כנגד הלב אין הביצים מועילים לבטל, ואפי' היה הלב מונח לבדו ואינו מחובר אל החתיכה, כיון שהביצים נקרשים, וכן מצאתי בחידושים, ואם מלאו בשר הוי המילוי כשאר בשר המונח עם הלב בקדרה, ואם המילוי מבשר וביצים ביחד אז</w:t>
      </w:r>
      <w:r w:rsidRPr="0054103F">
        <w:rPr>
          <w:rFonts w:asciiTheme="minorBidi" w:hAnsiTheme="minorBidi" w:hint="cs"/>
          <w:rtl/>
        </w:rPr>
        <w:t>:</w:t>
      </w:r>
      <w:r w:rsidRPr="0054103F">
        <w:rPr>
          <w:rFonts w:asciiTheme="minorBidi" w:hAnsiTheme="minorBidi"/>
          <w:rtl/>
        </w:rPr>
        <w:t xml:space="preserve"> אם לא נמלח הבשר</w:t>
      </w:r>
      <w:r>
        <w:rPr>
          <w:rFonts w:asciiTheme="minorBidi" w:hAnsiTheme="minorBidi" w:hint="cs"/>
          <w:rtl/>
        </w:rPr>
        <w:t xml:space="preserve"> </w:t>
      </w:r>
      <w:r w:rsidRPr="0054103F">
        <w:rPr>
          <w:rFonts w:asciiTheme="minorBidi" w:hAnsiTheme="minorBidi" w:hint="cs"/>
          <w:rtl/>
        </w:rPr>
        <w:t>-</w:t>
      </w:r>
      <w:r w:rsidRPr="0054103F">
        <w:rPr>
          <w:rFonts w:asciiTheme="minorBidi" w:hAnsiTheme="minorBidi"/>
          <w:rtl/>
        </w:rPr>
        <w:t xml:space="preserve"> מועיל לבטל כמו שהיה הכל בשר, ואם נמלח</w:t>
      </w:r>
      <w:r>
        <w:rPr>
          <w:rFonts w:asciiTheme="minorBidi" w:hAnsiTheme="minorBidi" w:hint="cs"/>
          <w:rtl/>
        </w:rPr>
        <w:t xml:space="preserve"> </w:t>
      </w:r>
      <w:r w:rsidRPr="0054103F">
        <w:rPr>
          <w:rFonts w:asciiTheme="minorBidi" w:hAnsiTheme="minorBidi" w:hint="cs"/>
          <w:rtl/>
        </w:rPr>
        <w:t>-</w:t>
      </w:r>
      <w:r w:rsidRPr="0054103F">
        <w:rPr>
          <w:rFonts w:asciiTheme="minorBidi" w:hAnsiTheme="minorBidi"/>
          <w:rtl/>
        </w:rPr>
        <w:t xml:space="preserve"> אז המלח גורם שיקרש והוי כנמלאו כולם ביצים, ומ"ש הכל בו שאם מלאו בבשר או ביצים דיש לחוש שנבלע כל הדם במילוי ואף אם יש בתבשיל הקדירה ס' כנגד הלב אסור המילוי והשאר מותר</w:t>
      </w:r>
      <w:r>
        <w:rPr>
          <w:rFonts w:asciiTheme="minorBidi" w:hAnsiTheme="minorBidi" w:hint="cs"/>
          <w:rtl/>
        </w:rPr>
        <w:t xml:space="preserve"> </w:t>
      </w:r>
      <w:r w:rsidRPr="0054103F">
        <w:rPr>
          <w:rFonts w:asciiTheme="minorBidi" w:hAnsiTheme="minorBidi"/>
          <w:rtl/>
        </w:rPr>
        <w:t>- לא נהירא כלל אלא כמ"ש, וכל שנאסר המילוי צריך שיהיה בגוף העוף ס' נגד המילוי ואם לאו נאסר כל הקדירה עד שיהיה ס' נגד כל העוף, והא דמשמע מדברי מהרי"ל שאין הביצים מועילים לבטל אבל מ"מ אין המילוי נעשה נבילה ולא נאסר היינו שמלאו בין עור לבשר אבל מילאו בתוכו בביצים ידוע שהלב נחבא וכנוס בתוך המילוי והוי כחתיכה שהלב דבוק בה. ובאגודה כתוב דאם מלאוהו בביצים הוי כבישול ואסור אפי' דיעבד</w:t>
      </w:r>
      <w:r>
        <w:rPr>
          <w:rFonts w:asciiTheme="minorBidi" w:hAnsiTheme="minorBidi" w:hint="cs"/>
          <w:rtl/>
        </w:rPr>
        <w:t xml:space="preserve"> </w:t>
      </w:r>
      <w:r w:rsidRPr="0054103F">
        <w:rPr>
          <w:rFonts w:asciiTheme="minorBidi" w:hAnsiTheme="minorBidi"/>
          <w:rtl/>
        </w:rPr>
        <w:t>- לא נתכוין דהוי כבישול ממש אפילו לקולא דהיינו אם יש שם ס' בין הכל דמותר אלא לאיסור קאמר דלא אמרי' מישרק שריק</w:t>
      </w:r>
      <w:r w:rsidRPr="0054103F">
        <w:rPr>
          <w:rStyle w:val="a7"/>
          <w:rFonts w:asciiTheme="minorBidi" w:hAnsiTheme="minorBidi"/>
          <w:rtl/>
        </w:rPr>
        <w:footnoteReference w:id="526"/>
      </w:r>
      <w:r w:rsidRPr="0054103F">
        <w:rPr>
          <w:rFonts w:asciiTheme="minorBidi" w:hAnsiTheme="minorBidi"/>
          <w:rtl/>
        </w:rPr>
        <w:t>.</w:t>
      </w:r>
    </w:p>
    <w:p w14:paraId="63682B1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E498B96" w14:textId="77777777" w:rsidR="002C39F4" w:rsidRPr="003024E5" w:rsidRDefault="002C39F4" w:rsidP="002C39F4">
      <w:pPr>
        <w:rPr>
          <w:rFonts w:asciiTheme="minorBidi" w:hAnsiTheme="minorBidi"/>
          <w:rtl/>
        </w:rPr>
      </w:pPr>
      <w:r w:rsidRPr="003024E5">
        <w:rPr>
          <w:rFonts w:asciiTheme="minorBidi" w:hAnsiTheme="minorBidi"/>
          <w:rtl/>
        </w:rPr>
        <w:t>אין עוף שלא יהא בו ששים כנגד לבו</w:t>
      </w:r>
      <w:r w:rsidRPr="003024E5">
        <w:rPr>
          <w:rStyle w:val="a7"/>
          <w:rFonts w:asciiTheme="minorBidi" w:hAnsiTheme="minorBidi"/>
          <w:rtl/>
        </w:rPr>
        <w:footnoteReference w:id="527"/>
      </w:r>
      <w:r w:rsidRPr="003024E5">
        <w:rPr>
          <w:rFonts w:asciiTheme="minorBidi" w:hAnsiTheme="minorBidi"/>
          <w:rtl/>
        </w:rPr>
        <w:t>, ומותר אפילו הוא דבוק בעוף</w:t>
      </w:r>
      <w:r w:rsidRPr="003024E5">
        <w:rPr>
          <w:rStyle w:val="a7"/>
          <w:rFonts w:asciiTheme="minorBidi" w:hAnsiTheme="minorBidi"/>
          <w:rtl/>
        </w:rPr>
        <w:footnoteReference w:id="528"/>
      </w:r>
      <w:r w:rsidRPr="003024E5">
        <w:rPr>
          <w:rFonts w:asciiTheme="minorBidi" w:hAnsiTheme="minorBidi"/>
          <w:rtl/>
        </w:rPr>
        <w:t xml:space="preserve">. </w:t>
      </w:r>
      <w:r w:rsidRPr="003024E5">
        <w:rPr>
          <w:rFonts w:asciiTheme="minorBidi" w:hAnsiTheme="minorBidi"/>
          <w:sz w:val="18"/>
          <w:szCs w:val="18"/>
          <w:rtl/>
        </w:rPr>
        <w:t>הגה: וכל עוף יש בו ס' אפילו אין בו הראש והרגלים התחתונים</w:t>
      </w:r>
      <w:r w:rsidRPr="003024E5">
        <w:rPr>
          <w:rStyle w:val="a7"/>
          <w:rFonts w:asciiTheme="minorBidi" w:hAnsiTheme="minorBidi"/>
          <w:sz w:val="18"/>
          <w:szCs w:val="18"/>
          <w:rtl/>
        </w:rPr>
        <w:footnoteReference w:id="529"/>
      </w:r>
      <w:r w:rsidRPr="003024E5">
        <w:rPr>
          <w:rFonts w:asciiTheme="minorBidi" w:hAnsiTheme="minorBidi"/>
          <w:sz w:val="18"/>
          <w:szCs w:val="18"/>
          <w:rtl/>
        </w:rPr>
        <w:t xml:space="preserve"> (מהרא"י</w:t>
      </w:r>
      <w:r>
        <w:rPr>
          <w:rFonts w:asciiTheme="minorBidi" w:hAnsiTheme="minorBidi" w:hint="cs"/>
          <w:sz w:val="18"/>
          <w:szCs w:val="18"/>
          <w:rtl/>
        </w:rPr>
        <w:t xml:space="preserve"> </w:t>
      </w:r>
      <w:r w:rsidRPr="003024E5">
        <w:rPr>
          <w:rFonts w:asciiTheme="minorBidi" w:hAnsiTheme="minorBidi"/>
          <w:sz w:val="18"/>
          <w:szCs w:val="18"/>
          <w:rtl/>
        </w:rPr>
        <w:t>ר"י מינץ ו</w:t>
      </w:r>
      <w:r>
        <w:rPr>
          <w:rFonts w:asciiTheme="minorBidi" w:hAnsiTheme="minorBidi" w:hint="cs"/>
          <w:sz w:val="18"/>
          <w:szCs w:val="18"/>
          <w:rtl/>
        </w:rPr>
        <w:t>ב</w:t>
      </w:r>
      <w:r w:rsidRPr="003024E5">
        <w:rPr>
          <w:rFonts w:asciiTheme="minorBidi" w:hAnsiTheme="minorBidi"/>
          <w:sz w:val="18"/>
          <w:szCs w:val="18"/>
          <w:rtl/>
        </w:rPr>
        <w:t>ארוך), כדרך שנוהגים להסירן דהיינו עד הארכובה התחתונה, ולכן אם העוף שלם הכל מותר. ואם אין שלם וליכא בו ס' נגד הלב הדבוק</w:t>
      </w:r>
      <w:r w:rsidRPr="003024E5">
        <w:rPr>
          <w:rStyle w:val="a7"/>
          <w:rFonts w:asciiTheme="minorBidi" w:hAnsiTheme="minorBidi"/>
          <w:sz w:val="18"/>
          <w:szCs w:val="18"/>
          <w:rtl/>
        </w:rPr>
        <w:footnoteReference w:id="530"/>
      </w:r>
      <w:r w:rsidRPr="003024E5">
        <w:rPr>
          <w:rFonts w:asciiTheme="minorBidi" w:hAnsiTheme="minorBidi"/>
          <w:sz w:val="18"/>
          <w:szCs w:val="18"/>
          <w:rtl/>
        </w:rPr>
        <w:t xml:space="preserve"> בעוף, י"א דהחתיכה נעשית נבילה ובעינן ס' בקדירה נגד כל העוף</w:t>
      </w:r>
      <w:r w:rsidRPr="003024E5">
        <w:rPr>
          <w:rStyle w:val="a7"/>
          <w:rFonts w:asciiTheme="minorBidi" w:hAnsiTheme="minorBidi"/>
          <w:sz w:val="18"/>
          <w:szCs w:val="18"/>
          <w:rtl/>
        </w:rPr>
        <w:footnoteReference w:id="531"/>
      </w:r>
      <w:r w:rsidRPr="003024E5">
        <w:rPr>
          <w:rFonts w:asciiTheme="minorBidi" w:hAnsiTheme="minorBidi"/>
          <w:sz w:val="18"/>
          <w:szCs w:val="18"/>
          <w:rtl/>
        </w:rPr>
        <w:t xml:space="preserve"> (טור בשם י"א וכ"ה בפוסקים), וכן נוהגין. ואפילו איכא ס' בקדירה העוף אסור הואיל ואין בו ס' נגד הלב הדבוק בו. ואם אין הלב דבוק בעוף, מצטרף כל הקדירה לבטל הלב בס'. ועיין לקמן סי</w:t>
      </w:r>
      <w:r>
        <w:rPr>
          <w:rFonts w:asciiTheme="minorBidi" w:hAnsiTheme="minorBidi" w:hint="cs"/>
          <w:sz w:val="18"/>
          <w:szCs w:val="18"/>
          <w:rtl/>
        </w:rPr>
        <w:t>'</w:t>
      </w:r>
      <w:r w:rsidRPr="003024E5">
        <w:rPr>
          <w:rFonts w:asciiTheme="minorBidi" w:hAnsiTheme="minorBidi"/>
          <w:sz w:val="18"/>
          <w:szCs w:val="18"/>
          <w:rtl/>
        </w:rPr>
        <w:t xml:space="preserve"> צב בדין חתיכה נעשית נבילה. ואין לך בהמה שהיא ס' נגד לבה</w:t>
      </w:r>
      <w:r w:rsidRPr="003024E5">
        <w:rPr>
          <w:rStyle w:val="a7"/>
          <w:rFonts w:asciiTheme="minorBidi" w:hAnsiTheme="minorBidi"/>
          <w:sz w:val="18"/>
          <w:szCs w:val="18"/>
          <w:rtl/>
        </w:rPr>
        <w:footnoteReference w:id="532"/>
      </w:r>
      <w:r w:rsidRPr="003024E5">
        <w:rPr>
          <w:rFonts w:asciiTheme="minorBidi" w:hAnsiTheme="minorBidi"/>
          <w:sz w:val="18"/>
          <w:szCs w:val="18"/>
          <w:rtl/>
        </w:rPr>
        <w:t>.</w:t>
      </w:r>
      <w:r w:rsidRPr="003024E5">
        <w:rPr>
          <w:rFonts w:asciiTheme="minorBidi" w:hAnsiTheme="minorBidi"/>
          <w:rtl/>
        </w:rPr>
        <w:t xml:space="preserve"> </w:t>
      </w:r>
    </w:p>
    <w:p w14:paraId="567CD3DB" w14:textId="77777777" w:rsidR="002C39F4" w:rsidRPr="003024E5" w:rsidRDefault="002C39F4" w:rsidP="002C39F4">
      <w:pPr>
        <w:rPr>
          <w:rFonts w:asciiTheme="minorBidi" w:hAnsiTheme="minorBidi"/>
          <w:rtl/>
        </w:rPr>
      </w:pPr>
    </w:p>
    <w:p w14:paraId="0DD854A6" w14:textId="77777777" w:rsidR="002C39F4" w:rsidRPr="003024E5" w:rsidRDefault="002C39F4" w:rsidP="002C39F4">
      <w:pPr>
        <w:pStyle w:val="2"/>
        <w:rPr>
          <w:rFonts w:asciiTheme="minorBidi" w:hAnsiTheme="minorBidi"/>
          <w:rtl/>
        </w:rPr>
      </w:pPr>
      <w:r w:rsidRPr="003024E5">
        <w:rPr>
          <w:rFonts w:asciiTheme="minorBidi" w:hAnsiTheme="minorBidi"/>
          <w:rtl/>
        </w:rPr>
        <w:t>סעיף ד: הכשרת ריאה.</w:t>
      </w:r>
    </w:p>
    <w:p w14:paraId="3F3420D9" w14:textId="77777777" w:rsidR="002C39F4" w:rsidRPr="003024E5" w:rsidRDefault="002C39F4" w:rsidP="002C39F4">
      <w:pPr>
        <w:rPr>
          <w:rFonts w:asciiTheme="minorBidi" w:hAnsiTheme="minorBidi"/>
          <w:rtl/>
        </w:rPr>
      </w:pPr>
      <w:r w:rsidRPr="003024E5">
        <w:rPr>
          <w:rFonts w:asciiTheme="minorBidi" w:hAnsiTheme="minorBidi"/>
          <w:u w:val="single"/>
          <w:rtl/>
        </w:rPr>
        <w:t>הכשרת ריאה:</w:t>
      </w:r>
    </w:p>
    <w:p w14:paraId="4DDCF5AE" w14:textId="77777777" w:rsidR="002C39F4" w:rsidRPr="003024E5" w:rsidRDefault="002C39F4" w:rsidP="002C39F4">
      <w:pPr>
        <w:pStyle w:val="a8"/>
        <w:numPr>
          <w:ilvl w:val="0"/>
          <w:numId w:val="46"/>
        </w:numPr>
        <w:rPr>
          <w:rFonts w:asciiTheme="minorBidi" w:hAnsiTheme="minorBidi"/>
          <w:rtl/>
        </w:rPr>
      </w:pPr>
      <w:r w:rsidRPr="00C82053">
        <w:rPr>
          <w:rFonts w:asciiTheme="minorBidi" w:hAnsiTheme="minorBidi"/>
          <w:rtl/>
        </w:rPr>
        <w:t xml:space="preserve">ריב"ש </w:t>
      </w:r>
      <w:r w:rsidRPr="00C82053">
        <w:rPr>
          <w:rFonts w:asciiTheme="minorBidi" w:hAnsiTheme="minorBidi"/>
          <w:sz w:val="16"/>
          <w:szCs w:val="16"/>
          <w:rtl/>
        </w:rPr>
        <w:t>(סי' קסד)</w:t>
      </w:r>
      <w:r w:rsidRPr="00C82053">
        <w:rPr>
          <w:rFonts w:asciiTheme="minorBidi" w:hAnsiTheme="minorBidi"/>
          <w:rtl/>
        </w:rPr>
        <w:t>- הריאה מדינא לא בעיא חיתוכא דדוקא בלב אמרו קורעו ומוציא את דמו ולא בריאה</w:t>
      </w:r>
      <w:r w:rsidRPr="00C82053">
        <w:rPr>
          <w:rFonts w:asciiTheme="minorBidi" w:hAnsiTheme="minorBidi" w:hint="cs"/>
          <w:rtl/>
        </w:rPr>
        <w:t>,</w:t>
      </w:r>
      <w:r w:rsidRPr="00C82053">
        <w:rPr>
          <w:rFonts w:asciiTheme="minorBidi" w:hAnsiTheme="minorBidi"/>
          <w:rtl/>
        </w:rPr>
        <w:t xml:space="preserve"> אבל</w:t>
      </w:r>
      <w:r w:rsidRPr="003024E5">
        <w:rPr>
          <w:rFonts w:asciiTheme="minorBidi" w:hAnsiTheme="minorBidi"/>
          <w:rtl/>
        </w:rPr>
        <w:t xml:space="preserve"> ראיתי שנהגו לקרעה ולפתוח הקנוקנות הגדולים שלה ומנהג יפה הוא.</w:t>
      </w:r>
      <w:r w:rsidRPr="003024E5">
        <w:rPr>
          <w:rFonts w:asciiTheme="minorBidi" w:hAnsiTheme="minorBidi"/>
          <w:color w:val="E36C0A" w:themeColor="accent6" w:themeShade="BF"/>
          <w:rtl/>
        </w:rPr>
        <w:t xml:space="preserve"> (וכ"פ בשו"ע)</w:t>
      </w:r>
    </w:p>
    <w:p w14:paraId="30C9EDA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DAFDB0A" w14:textId="77777777" w:rsidR="002C39F4" w:rsidRPr="003024E5" w:rsidRDefault="002C39F4" w:rsidP="002C39F4">
      <w:pPr>
        <w:rPr>
          <w:rFonts w:asciiTheme="minorBidi" w:hAnsiTheme="minorBidi"/>
          <w:rtl/>
        </w:rPr>
      </w:pPr>
      <w:r w:rsidRPr="003024E5">
        <w:rPr>
          <w:rFonts w:asciiTheme="minorBidi" w:hAnsiTheme="minorBidi"/>
          <w:rtl/>
        </w:rPr>
        <w:t>הריאה אינה צריכה חיתוך</w:t>
      </w:r>
      <w:r>
        <w:rPr>
          <w:rFonts w:asciiTheme="minorBidi" w:hAnsiTheme="minorBidi" w:hint="cs"/>
          <w:rtl/>
        </w:rPr>
        <w:t>,</w:t>
      </w:r>
      <w:r w:rsidRPr="003024E5">
        <w:rPr>
          <w:rFonts w:asciiTheme="minorBidi" w:hAnsiTheme="minorBidi"/>
          <w:rtl/>
        </w:rPr>
        <w:t xml:space="preserve"> אבל נהגו לקרעה ולפתוח הקנוקנות הגדולים שלה, ומנהג יפה הוא</w:t>
      </w:r>
      <w:r w:rsidRPr="003024E5">
        <w:rPr>
          <w:rStyle w:val="a7"/>
          <w:rFonts w:asciiTheme="minorBidi" w:hAnsiTheme="minorBidi"/>
          <w:rtl/>
        </w:rPr>
        <w:footnoteReference w:id="533"/>
      </w:r>
      <w:r w:rsidRPr="003024E5">
        <w:rPr>
          <w:rFonts w:asciiTheme="minorBidi" w:hAnsiTheme="minorBidi"/>
          <w:rtl/>
        </w:rPr>
        <w:t>.</w:t>
      </w:r>
    </w:p>
    <w:p w14:paraId="6E72FCA0" w14:textId="77777777" w:rsidR="002C39F4" w:rsidRPr="003024E5" w:rsidRDefault="002C39F4" w:rsidP="002C39F4">
      <w:pPr>
        <w:rPr>
          <w:rFonts w:asciiTheme="minorBidi" w:hAnsiTheme="minorBidi"/>
          <w:rtl/>
        </w:rPr>
      </w:pPr>
    </w:p>
    <w:p w14:paraId="4C5278D7" w14:textId="77777777" w:rsidR="002C39F4" w:rsidRPr="003024E5" w:rsidRDefault="002C39F4" w:rsidP="002C39F4">
      <w:pPr>
        <w:rPr>
          <w:rFonts w:asciiTheme="minorBidi" w:hAnsiTheme="minorBidi"/>
          <w:rtl/>
        </w:rPr>
      </w:pPr>
    </w:p>
    <w:p w14:paraId="12F2AD8B" w14:textId="77777777" w:rsidR="002C39F4" w:rsidRPr="003024E5" w:rsidRDefault="002C39F4" w:rsidP="002C39F4">
      <w:pPr>
        <w:rPr>
          <w:rFonts w:asciiTheme="minorBidi" w:hAnsiTheme="minorBidi"/>
          <w:rtl/>
        </w:rPr>
      </w:pPr>
    </w:p>
    <w:p w14:paraId="02F87462" w14:textId="77777777" w:rsidR="002C39F4" w:rsidRPr="003024E5" w:rsidRDefault="002C39F4" w:rsidP="002C39F4">
      <w:pPr>
        <w:rPr>
          <w:rFonts w:asciiTheme="minorBidi" w:hAnsiTheme="minorBidi"/>
          <w:rtl/>
        </w:rPr>
      </w:pPr>
    </w:p>
    <w:p w14:paraId="109580A3" w14:textId="77777777" w:rsidR="002C39F4" w:rsidRPr="003024E5" w:rsidRDefault="002C39F4" w:rsidP="002C39F4">
      <w:pPr>
        <w:rPr>
          <w:rFonts w:asciiTheme="minorBidi" w:hAnsiTheme="minorBidi"/>
          <w:rtl/>
        </w:rPr>
      </w:pPr>
    </w:p>
    <w:p w14:paraId="5274A710" w14:textId="77777777" w:rsidR="002C39F4" w:rsidRPr="003024E5" w:rsidRDefault="002C39F4" w:rsidP="002C39F4">
      <w:pPr>
        <w:rPr>
          <w:rFonts w:asciiTheme="minorBidi" w:hAnsiTheme="minorBidi"/>
          <w:rtl/>
        </w:rPr>
      </w:pPr>
    </w:p>
    <w:p w14:paraId="6039E3FB" w14:textId="77777777" w:rsidR="002C39F4" w:rsidRPr="003024E5" w:rsidRDefault="002C39F4" w:rsidP="002C39F4">
      <w:pPr>
        <w:rPr>
          <w:rFonts w:asciiTheme="minorBidi" w:hAnsiTheme="minorBidi"/>
          <w:rtl/>
        </w:rPr>
      </w:pPr>
    </w:p>
    <w:p w14:paraId="27EC05DA"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720" w:footer="0" w:gutter="0"/>
          <w:cols w:space="720"/>
          <w:bidi/>
          <w:rtlGutter/>
          <w:docGrid w:linePitch="360"/>
        </w:sectPr>
      </w:pPr>
    </w:p>
    <w:p w14:paraId="24A944BA"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עג: דין צליית הכבד, ובו ו' סעיפים. </w:t>
      </w:r>
    </w:p>
    <w:p w14:paraId="0CBE66D2" w14:textId="77777777" w:rsidR="002C39F4" w:rsidRPr="003024E5" w:rsidRDefault="002C39F4" w:rsidP="002C39F4">
      <w:pPr>
        <w:pStyle w:val="2"/>
        <w:rPr>
          <w:rFonts w:asciiTheme="minorBidi" w:hAnsiTheme="minorBidi"/>
          <w:rtl/>
        </w:rPr>
      </w:pPr>
      <w:r w:rsidRPr="003024E5">
        <w:rPr>
          <w:rFonts w:asciiTheme="minorBidi" w:hAnsiTheme="minorBidi"/>
          <w:rtl/>
        </w:rPr>
        <w:t>סעיף א: מליחת/צליית/בישול כבד.</w:t>
      </w:r>
    </w:p>
    <w:p w14:paraId="7F7B3232" w14:textId="77777777" w:rsidR="002C39F4" w:rsidRPr="003024E5" w:rsidRDefault="002C39F4" w:rsidP="002C39F4">
      <w:pPr>
        <w:rPr>
          <w:rFonts w:asciiTheme="minorBidi" w:hAnsiTheme="minorBidi"/>
          <w:rtl/>
        </w:rPr>
      </w:pPr>
      <w:r w:rsidRPr="003024E5">
        <w:rPr>
          <w:rFonts w:asciiTheme="minorBidi" w:hAnsiTheme="minorBidi"/>
          <w:b/>
          <w:bCs/>
          <w:rtl/>
        </w:rPr>
        <w:t xml:space="preserve">משנה תמורות פ"י מי"א: </w:t>
      </w:r>
      <w:r w:rsidRPr="003024E5">
        <w:rPr>
          <w:rFonts w:asciiTheme="minorBidi" w:hAnsiTheme="minorBidi"/>
          <w:u w:val="single"/>
          <w:rtl/>
        </w:rPr>
        <w:t xml:space="preserve"> ר' יוחנן בן נורי אומר</w:t>
      </w:r>
      <w:r w:rsidRPr="003024E5">
        <w:rPr>
          <w:rFonts w:asciiTheme="minorBidi" w:hAnsiTheme="minorBidi"/>
          <w:rtl/>
        </w:rPr>
        <w:t>: הכבד אוסרת ואינה נאסרת מפני שהיא פולטת ואינה בולעת.</w:t>
      </w:r>
    </w:p>
    <w:p w14:paraId="344192F0"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 ע"ב: </w:t>
      </w:r>
      <w:r w:rsidRPr="003024E5">
        <w:rPr>
          <w:rFonts w:asciiTheme="minorBidi" w:hAnsiTheme="minorBidi"/>
          <w:u w:val="single"/>
          <w:rtl/>
        </w:rPr>
        <w:t>אמר ליה אביי לרב ספרא</w:t>
      </w:r>
      <w:r w:rsidRPr="003024E5">
        <w:rPr>
          <w:rFonts w:asciiTheme="minorBidi" w:hAnsiTheme="minorBidi"/>
          <w:rtl/>
        </w:rPr>
        <w:t>: כי סלקת להתם בעי מינייהו, כבדא מה אתון ביה</w:t>
      </w:r>
      <w:r w:rsidRPr="003024E5">
        <w:rPr>
          <w:rStyle w:val="a7"/>
          <w:rFonts w:asciiTheme="minorBidi" w:hAnsiTheme="minorBidi"/>
          <w:rtl/>
        </w:rPr>
        <w:footnoteReference w:id="534"/>
      </w:r>
      <w:r w:rsidRPr="003024E5">
        <w:rPr>
          <w:rFonts w:asciiTheme="minorBidi" w:hAnsiTheme="minorBidi"/>
          <w:rtl/>
        </w:rPr>
        <w:t>, כי סליק, אשכחיה לרב זריקא</w:t>
      </w:r>
      <w:r w:rsidRPr="003024E5">
        <w:rPr>
          <w:rStyle w:val="a7"/>
          <w:rFonts w:asciiTheme="minorBidi" w:hAnsiTheme="minorBidi"/>
          <w:rtl/>
        </w:rPr>
        <w:footnoteReference w:id="535"/>
      </w:r>
      <w:r w:rsidRPr="003024E5">
        <w:rPr>
          <w:rFonts w:asciiTheme="minorBidi" w:hAnsiTheme="minorBidi"/>
          <w:rtl/>
        </w:rPr>
        <w:t xml:space="preserve">, </w:t>
      </w:r>
      <w:r w:rsidRPr="003024E5">
        <w:rPr>
          <w:rFonts w:asciiTheme="minorBidi" w:hAnsiTheme="minorBidi"/>
          <w:u w:val="single"/>
          <w:rtl/>
        </w:rPr>
        <w:t>אמר ליה</w:t>
      </w:r>
      <w:r w:rsidRPr="003024E5">
        <w:rPr>
          <w:rStyle w:val="a7"/>
          <w:rFonts w:asciiTheme="minorBidi" w:hAnsiTheme="minorBidi"/>
          <w:u w:val="single"/>
          <w:rtl/>
        </w:rPr>
        <w:footnoteReference w:id="536"/>
      </w:r>
      <w:r w:rsidRPr="003024E5">
        <w:rPr>
          <w:rFonts w:asciiTheme="minorBidi" w:hAnsiTheme="minorBidi"/>
          <w:rtl/>
        </w:rPr>
        <w:t>: אנא שלקי ליה לרבי אמי ואכל</w:t>
      </w:r>
      <w:r w:rsidRPr="003024E5">
        <w:rPr>
          <w:rStyle w:val="a7"/>
          <w:rFonts w:asciiTheme="minorBidi" w:hAnsiTheme="minorBidi"/>
          <w:rtl/>
        </w:rPr>
        <w:footnoteReference w:id="537"/>
      </w:r>
      <w:r w:rsidRPr="003024E5">
        <w:rPr>
          <w:rFonts w:asciiTheme="minorBidi" w:hAnsiTheme="minorBidi"/>
          <w:rtl/>
        </w:rPr>
        <w:t>. כי אתא לגביה</w:t>
      </w:r>
      <w:r w:rsidRPr="003024E5">
        <w:rPr>
          <w:rStyle w:val="a7"/>
          <w:rFonts w:asciiTheme="minorBidi" w:hAnsiTheme="minorBidi"/>
          <w:rtl/>
        </w:rPr>
        <w:footnoteReference w:id="538"/>
      </w:r>
      <w:r w:rsidRPr="003024E5">
        <w:rPr>
          <w:rFonts w:asciiTheme="minorBidi" w:hAnsiTheme="minorBidi"/>
          <w:rtl/>
        </w:rPr>
        <w:t xml:space="preserve">, </w:t>
      </w:r>
      <w:r w:rsidRPr="003024E5">
        <w:rPr>
          <w:rFonts w:asciiTheme="minorBidi" w:hAnsiTheme="minorBidi"/>
          <w:u w:val="single"/>
          <w:rtl/>
        </w:rPr>
        <w:t>אמר ליה</w:t>
      </w:r>
      <w:r w:rsidRPr="003024E5">
        <w:rPr>
          <w:rStyle w:val="a7"/>
          <w:rFonts w:asciiTheme="minorBidi" w:hAnsiTheme="minorBidi"/>
          <w:u w:val="single"/>
          <w:rtl/>
        </w:rPr>
        <w:footnoteReference w:id="539"/>
      </w:r>
      <w:r w:rsidRPr="003024E5">
        <w:rPr>
          <w:rFonts w:asciiTheme="minorBidi" w:hAnsiTheme="minorBidi"/>
          <w:rtl/>
        </w:rPr>
        <w:t>: למיסר נפשה</w:t>
      </w:r>
      <w:r w:rsidRPr="003024E5">
        <w:rPr>
          <w:rStyle w:val="a7"/>
          <w:rFonts w:asciiTheme="minorBidi" w:hAnsiTheme="minorBidi"/>
          <w:rtl/>
        </w:rPr>
        <w:footnoteReference w:id="540"/>
      </w:r>
      <w:r w:rsidRPr="003024E5">
        <w:rPr>
          <w:rFonts w:asciiTheme="minorBidi" w:hAnsiTheme="minorBidi"/>
          <w:rtl/>
        </w:rPr>
        <w:t xml:space="preserve"> לא קא מיבעיא לי</w:t>
      </w:r>
      <w:r w:rsidRPr="003024E5">
        <w:rPr>
          <w:rStyle w:val="a7"/>
          <w:rFonts w:asciiTheme="minorBidi" w:hAnsiTheme="minorBidi"/>
          <w:rtl/>
        </w:rPr>
        <w:footnoteReference w:id="541"/>
      </w:r>
      <w:r w:rsidRPr="003024E5">
        <w:rPr>
          <w:rFonts w:asciiTheme="minorBidi" w:hAnsiTheme="minorBidi"/>
          <w:rtl/>
        </w:rPr>
        <w:t>, כי קמבעיא לי למיסר חבירתה</w:t>
      </w:r>
      <w:r w:rsidRPr="003024E5">
        <w:rPr>
          <w:rStyle w:val="a7"/>
          <w:rFonts w:asciiTheme="minorBidi" w:hAnsiTheme="minorBidi"/>
          <w:rtl/>
        </w:rPr>
        <w:footnoteReference w:id="542"/>
      </w:r>
      <w:r w:rsidRPr="003024E5">
        <w:rPr>
          <w:rFonts w:asciiTheme="minorBidi" w:hAnsiTheme="minorBidi"/>
          <w:rtl/>
        </w:rPr>
        <w:t>, מ"ש למיסר נפשה דלא מיבעיא לך דתנן אינה נאסרת, למיסר חבירתה נמי לא תבעי לך דתנן הכבד אוסרת ואינה נאסרת</w:t>
      </w:r>
      <w:r w:rsidRPr="003024E5">
        <w:rPr>
          <w:rStyle w:val="a7"/>
          <w:rFonts w:asciiTheme="minorBidi" w:hAnsiTheme="minorBidi"/>
          <w:rtl/>
        </w:rPr>
        <w:footnoteReference w:id="543"/>
      </w:r>
      <w:r w:rsidRPr="003024E5">
        <w:rPr>
          <w:rFonts w:asciiTheme="minorBidi" w:hAnsiTheme="minorBidi"/>
          <w:rtl/>
        </w:rPr>
        <w:t xml:space="preserve"> מפני שהיא פולטת ואינה בולעת! </w:t>
      </w:r>
      <w:r w:rsidRPr="003024E5">
        <w:rPr>
          <w:rFonts w:asciiTheme="minorBidi" w:hAnsiTheme="minorBidi"/>
          <w:u w:val="single"/>
          <w:rtl/>
        </w:rPr>
        <w:t>אמר ליה</w:t>
      </w:r>
      <w:r w:rsidRPr="003024E5">
        <w:rPr>
          <w:rFonts w:asciiTheme="minorBidi" w:hAnsiTheme="minorBidi"/>
          <w:rtl/>
        </w:rPr>
        <w:t>: דילמא התם בכבדא דאיסורא</w:t>
      </w:r>
      <w:r w:rsidRPr="003024E5">
        <w:rPr>
          <w:rStyle w:val="a7"/>
          <w:rFonts w:asciiTheme="minorBidi" w:hAnsiTheme="minorBidi"/>
          <w:rtl/>
        </w:rPr>
        <w:footnoteReference w:id="544"/>
      </w:r>
      <w:r w:rsidRPr="003024E5">
        <w:rPr>
          <w:rFonts w:asciiTheme="minorBidi" w:hAnsiTheme="minorBidi"/>
          <w:rtl/>
        </w:rPr>
        <w:t xml:space="preserve"> </w:t>
      </w:r>
      <w:r w:rsidRPr="00FB13F9">
        <w:rPr>
          <w:rFonts w:asciiTheme="minorBidi" w:hAnsiTheme="minorBidi"/>
          <w:sz w:val="12"/>
          <w:szCs w:val="12"/>
          <w:rtl/>
        </w:rPr>
        <w:t>(קיא.)</w:t>
      </w:r>
      <w:r w:rsidRPr="003024E5">
        <w:rPr>
          <w:rFonts w:asciiTheme="minorBidi" w:hAnsiTheme="minorBidi"/>
          <w:rtl/>
        </w:rPr>
        <w:t xml:space="preserve"> ומשום שמנוניתא</w:t>
      </w:r>
      <w:r w:rsidRPr="003024E5">
        <w:rPr>
          <w:rStyle w:val="a7"/>
          <w:rFonts w:asciiTheme="minorBidi" w:hAnsiTheme="minorBidi"/>
          <w:rtl/>
        </w:rPr>
        <w:footnoteReference w:id="545"/>
      </w:r>
      <w:r w:rsidRPr="003024E5">
        <w:rPr>
          <w:rFonts w:asciiTheme="minorBidi" w:hAnsiTheme="minorBidi"/>
          <w:rtl/>
        </w:rPr>
        <w:t xml:space="preserve">, משום דמא מאי? כי הדר סליק אשכחיה לר' זריקא, </w:t>
      </w:r>
      <w:r w:rsidRPr="003024E5">
        <w:rPr>
          <w:rFonts w:asciiTheme="minorBidi" w:hAnsiTheme="minorBidi"/>
          <w:u w:val="single"/>
          <w:rtl/>
        </w:rPr>
        <w:t>אמר ליה</w:t>
      </w:r>
      <w:r w:rsidRPr="003024E5">
        <w:rPr>
          <w:rFonts w:asciiTheme="minorBidi" w:hAnsiTheme="minorBidi"/>
          <w:rtl/>
        </w:rPr>
        <w:t>: האי נמי לא תבעי לך, דאנא וינאי בריה דרבי אמי איקלען לבי יהודה בריה דר' שמעון בן פזי וקריבו לן קניא בקופיה</w:t>
      </w:r>
      <w:r w:rsidRPr="003024E5">
        <w:rPr>
          <w:rStyle w:val="a7"/>
          <w:rFonts w:asciiTheme="minorBidi" w:hAnsiTheme="minorBidi"/>
          <w:rtl/>
        </w:rPr>
        <w:footnoteReference w:id="546"/>
      </w:r>
      <w:r w:rsidRPr="003024E5">
        <w:rPr>
          <w:rFonts w:asciiTheme="minorBidi" w:hAnsiTheme="minorBidi"/>
          <w:rtl/>
        </w:rPr>
        <w:t xml:space="preserve"> ואכלנא. </w:t>
      </w:r>
      <w:r w:rsidRPr="003024E5">
        <w:rPr>
          <w:rFonts w:asciiTheme="minorBidi" w:hAnsiTheme="minorBidi"/>
          <w:u w:val="single"/>
          <w:rtl/>
        </w:rPr>
        <w:t>מתקיף לה רב אשי ואיתימא ר' שמואל מזרוקיניא</w:t>
      </w:r>
      <w:r w:rsidRPr="003024E5">
        <w:rPr>
          <w:rFonts w:asciiTheme="minorBidi" w:hAnsiTheme="minorBidi"/>
          <w:rtl/>
        </w:rPr>
        <w:t>: ודלמא פי קנה חוץ לקדרה הוה</w:t>
      </w:r>
      <w:r w:rsidRPr="003024E5">
        <w:rPr>
          <w:rStyle w:val="a7"/>
          <w:rFonts w:asciiTheme="minorBidi" w:hAnsiTheme="minorBidi"/>
          <w:rtl/>
        </w:rPr>
        <w:footnoteReference w:id="547"/>
      </w:r>
      <w:r w:rsidRPr="003024E5">
        <w:rPr>
          <w:rFonts w:asciiTheme="minorBidi" w:hAnsiTheme="minorBidi"/>
          <w:rtl/>
        </w:rPr>
        <w:t>? אי נמי מיחלט הוה חליט ליה מעיקרא</w:t>
      </w:r>
      <w:r w:rsidRPr="003024E5">
        <w:rPr>
          <w:rStyle w:val="a7"/>
          <w:rFonts w:asciiTheme="minorBidi" w:hAnsiTheme="minorBidi"/>
          <w:rtl/>
        </w:rPr>
        <w:footnoteReference w:id="548"/>
      </w:r>
      <w:r w:rsidRPr="003024E5">
        <w:rPr>
          <w:rFonts w:asciiTheme="minorBidi" w:hAnsiTheme="minorBidi"/>
          <w:rtl/>
        </w:rPr>
        <w:t>? כי הא דרב הונא חלטי ליה בחלא</w:t>
      </w:r>
      <w:r w:rsidRPr="003024E5">
        <w:rPr>
          <w:rStyle w:val="a7"/>
          <w:rFonts w:asciiTheme="minorBidi" w:hAnsiTheme="minorBidi"/>
          <w:rtl/>
        </w:rPr>
        <w:footnoteReference w:id="549"/>
      </w:r>
      <w:r w:rsidRPr="003024E5">
        <w:rPr>
          <w:rFonts w:asciiTheme="minorBidi" w:hAnsiTheme="minorBidi"/>
          <w:rtl/>
        </w:rPr>
        <w:t xml:space="preserve">, ורב נחמן חלטי ליה ברותחין... רב בר שבא איקלע לבי רב נחמן, אייתו ליה כבדא שליקא ולא אכל, </w:t>
      </w:r>
      <w:r w:rsidRPr="003024E5">
        <w:rPr>
          <w:rFonts w:asciiTheme="minorBidi" w:hAnsiTheme="minorBidi"/>
          <w:u w:val="single"/>
          <w:rtl/>
        </w:rPr>
        <w:t>אמרו ליה</w:t>
      </w:r>
      <w:r w:rsidRPr="003024E5">
        <w:rPr>
          <w:rFonts w:asciiTheme="minorBidi" w:hAnsiTheme="minorBidi"/>
          <w:rtl/>
        </w:rPr>
        <w:t>: בר בי רב דלגיו לא אכיל</w:t>
      </w:r>
      <w:r w:rsidRPr="003024E5">
        <w:rPr>
          <w:rStyle w:val="a7"/>
          <w:rFonts w:asciiTheme="minorBidi" w:hAnsiTheme="minorBidi"/>
          <w:rtl/>
        </w:rPr>
        <w:footnoteReference w:id="550"/>
      </w:r>
      <w:r w:rsidRPr="003024E5">
        <w:rPr>
          <w:rFonts w:asciiTheme="minorBidi" w:hAnsiTheme="minorBidi"/>
          <w:rtl/>
        </w:rPr>
        <w:t xml:space="preserve">! ומנו? רב בר שבא, </w:t>
      </w:r>
      <w:r w:rsidRPr="003024E5">
        <w:rPr>
          <w:rFonts w:asciiTheme="minorBidi" w:hAnsiTheme="minorBidi"/>
          <w:u w:val="single"/>
          <w:rtl/>
        </w:rPr>
        <w:t>אמר להו רב נחמן</w:t>
      </w:r>
      <w:r w:rsidRPr="003024E5">
        <w:rPr>
          <w:rFonts w:asciiTheme="minorBidi" w:hAnsiTheme="minorBidi"/>
          <w:rtl/>
        </w:rPr>
        <w:t>: גאמו לשבא</w:t>
      </w:r>
      <w:r w:rsidRPr="003024E5">
        <w:rPr>
          <w:rStyle w:val="a7"/>
          <w:rFonts w:asciiTheme="minorBidi" w:hAnsiTheme="minorBidi"/>
          <w:rtl/>
        </w:rPr>
        <w:footnoteReference w:id="551"/>
      </w:r>
      <w:r w:rsidRPr="003024E5">
        <w:rPr>
          <w:rFonts w:asciiTheme="minorBidi" w:hAnsiTheme="minorBidi"/>
          <w:rtl/>
        </w:rPr>
        <w:t xml:space="preserve">. כתנאי, </w:t>
      </w:r>
      <w:r w:rsidRPr="003024E5">
        <w:rPr>
          <w:rFonts w:asciiTheme="minorBidi" w:hAnsiTheme="minorBidi"/>
          <w:u w:val="single"/>
          <w:rtl/>
        </w:rPr>
        <w:t>ר' אליעזר אומר:</w:t>
      </w:r>
      <w:r w:rsidRPr="003024E5">
        <w:rPr>
          <w:rFonts w:asciiTheme="minorBidi" w:hAnsiTheme="minorBidi"/>
          <w:rtl/>
        </w:rPr>
        <w:t xml:space="preserve"> הכבד אוסרת ואינה נאסרת, מפני שפולטת ואינה בולעת, </w:t>
      </w:r>
      <w:r w:rsidRPr="003024E5">
        <w:rPr>
          <w:rFonts w:asciiTheme="minorBidi" w:hAnsiTheme="minorBidi"/>
          <w:u w:val="single"/>
          <w:rtl/>
        </w:rPr>
        <w:t>ר' ישמעאל בנו של ר' יוחנן בן ברוקה אומר</w:t>
      </w:r>
      <w:r w:rsidRPr="003024E5">
        <w:rPr>
          <w:rFonts w:asciiTheme="minorBidi" w:hAnsiTheme="minorBidi"/>
          <w:rtl/>
        </w:rPr>
        <w:t>: מתובלת</w:t>
      </w:r>
      <w:r w:rsidRPr="003024E5">
        <w:rPr>
          <w:rStyle w:val="a7"/>
          <w:rFonts w:asciiTheme="minorBidi" w:hAnsiTheme="minorBidi"/>
          <w:rtl/>
        </w:rPr>
        <w:footnoteReference w:id="552"/>
      </w:r>
      <w:r w:rsidRPr="003024E5">
        <w:rPr>
          <w:rFonts w:asciiTheme="minorBidi" w:hAnsiTheme="minorBidi"/>
          <w:rtl/>
        </w:rPr>
        <w:t xml:space="preserve"> אוסרת ונאסרת, שלוקה</w:t>
      </w:r>
      <w:r w:rsidRPr="003024E5">
        <w:rPr>
          <w:rStyle w:val="a7"/>
          <w:rFonts w:asciiTheme="minorBidi" w:hAnsiTheme="minorBidi"/>
          <w:rtl/>
        </w:rPr>
        <w:footnoteReference w:id="553"/>
      </w:r>
      <w:r w:rsidRPr="003024E5">
        <w:rPr>
          <w:rFonts w:asciiTheme="minorBidi" w:hAnsiTheme="minorBidi"/>
          <w:rtl/>
        </w:rPr>
        <w:t xml:space="preserve"> אוסרת ונאסרת</w:t>
      </w:r>
      <w:r w:rsidRPr="003024E5">
        <w:rPr>
          <w:rStyle w:val="a7"/>
          <w:rFonts w:asciiTheme="minorBidi" w:hAnsiTheme="minorBidi"/>
          <w:rtl/>
        </w:rPr>
        <w:footnoteReference w:id="554"/>
      </w:r>
      <w:r w:rsidRPr="003024E5">
        <w:rPr>
          <w:rFonts w:asciiTheme="minorBidi" w:hAnsiTheme="minorBidi"/>
          <w:rtl/>
        </w:rPr>
        <w:t>. רבה בר רב הונא אקלע לבי רבה בר רב נחמן... אשכח ההוא כבדא דהוה בה סמפונא דבליעא דמא, אמר להו אמאי עבדיתו הכי</w:t>
      </w:r>
      <w:r w:rsidRPr="003024E5">
        <w:rPr>
          <w:rStyle w:val="a7"/>
          <w:rFonts w:asciiTheme="minorBidi" w:hAnsiTheme="minorBidi"/>
          <w:rtl/>
        </w:rPr>
        <w:footnoteReference w:id="555"/>
      </w:r>
      <w:r w:rsidRPr="003024E5">
        <w:rPr>
          <w:rFonts w:asciiTheme="minorBidi" w:hAnsiTheme="minorBidi"/>
          <w:rtl/>
        </w:rPr>
        <w:t xml:space="preserve">? </w:t>
      </w:r>
      <w:r w:rsidRPr="003024E5">
        <w:rPr>
          <w:rFonts w:asciiTheme="minorBidi" w:hAnsiTheme="minorBidi"/>
          <w:u w:val="single"/>
          <w:rtl/>
        </w:rPr>
        <w:t>אמרו ליה</w:t>
      </w:r>
      <w:r w:rsidRPr="003024E5">
        <w:rPr>
          <w:rFonts w:asciiTheme="minorBidi" w:hAnsiTheme="minorBidi"/>
          <w:rtl/>
        </w:rPr>
        <w:t xml:space="preserve">: אלא היכי נעביד? </w:t>
      </w:r>
      <w:r w:rsidRPr="003024E5">
        <w:rPr>
          <w:rFonts w:asciiTheme="minorBidi" w:hAnsiTheme="minorBidi"/>
          <w:u w:val="single"/>
          <w:rtl/>
        </w:rPr>
        <w:t>אמר להו</w:t>
      </w:r>
      <w:r w:rsidRPr="003024E5">
        <w:rPr>
          <w:rFonts w:asciiTheme="minorBidi" w:hAnsiTheme="minorBidi"/>
          <w:rtl/>
        </w:rPr>
        <w:t>: קרעו שתי וערב וחיתוכא לתחת</w:t>
      </w:r>
      <w:r w:rsidRPr="003024E5">
        <w:rPr>
          <w:rStyle w:val="a7"/>
          <w:rFonts w:asciiTheme="minorBidi" w:hAnsiTheme="minorBidi"/>
          <w:rtl/>
        </w:rPr>
        <w:footnoteReference w:id="556"/>
      </w:r>
      <w:r w:rsidRPr="003024E5">
        <w:rPr>
          <w:rFonts w:asciiTheme="minorBidi" w:hAnsiTheme="minorBidi"/>
          <w:rtl/>
        </w:rPr>
        <w:t xml:space="preserve"> וה"מ</w:t>
      </w:r>
      <w:r w:rsidRPr="003024E5">
        <w:rPr>
          <w:rStyle w:val="a7"/>
          <w:rFonts w:asciiTheme="minorBidi" w:hAnsiTheme="minorBidi"/>
          <w:rtl/>
        </w:rPr>
        <w:footnoteReference w:id="557"/>
      </w:r>
      <w:r w:rsidRPr="003024E5">
        <w:rPr>
          <w:rFonts w:asciiTheme="minorBidi" w:hAnsiTheme="minorBidi"/>
          <w:rtl/>
        </w:rPr>
        <w:t xml:space="preserve"> - כבדא, אבל טחלא - שומנא בעלמא הוא.</w:t>
      </w:r>
    </w:p>
    <w:p w14:paraId="52AED4E2" w14:textId="77777777" w:rsidR="002C39F4" w:rsidRPr="003024E5" w:rsidRDefault="002C39F4" w:rsidP="002C39F4">
      <w:pPr>
        <w:rPr>
          <w:rFonts w:asciiTheme="minorBidi" w:hAnsiTheme="minorBidi"/>
          <w:u w:val="single"/>
          <w:rtl/>
        </w:rPr>
      </w:pPr>
      <w:r w:rsidRPr="003024E5">
        <w:rPr>
          <w:rFonts w:asciiTheme="minorBidi" w:hAnsiTheme="minorBidi"/>
          <w:u w:val="single"/>
          <w:rtl/>
        </w:rPr>
        <w:t>כיצד יש לפרש את סוגיית הגמ':</w:t>
      </w:r>
      <w:r w:rsidRPr="003024E5">
        <w:rPr>
          <w:rFonts w:asciiTheme="minorBidi" w:hAnsiTheme="minorBidi"/>
          <w:rtl/>
        </w:rPr>
        <w:t xml:space="preserve"> </w:t>
      </w:r>
    </w:p>
    <w:p w14:paraId="1829B7D3" w14:textId="77777777" w:rsidR="002C39F4" w:rsidRPr="0054103F" w:rsidRDefault="002C39F4" w:rsidP="002C39F4">
      <w:pPr>
        <w:pStyle w:val="a8"/>
        <w:numPr>
          <w:ilvl w:val="0"/>
          <w:numId w:val="46"/>
        </w:numPr>
        <w:rPr>
          <w:rFonts w:asciiTheme="minorBidi" w:hAnsiTheme="minorBidi"/>
        </w:rPr>
      </w:pPr>
      <w:r w:rsidRPr="0054103F">
        <w:rPr>
          <w:rFonts w:asciiTheme="minorBidi" w:hAnsiTheme="minorBidi"/>
          <w:rtl/>
        </w:rPr>
        <w:t>טור</w:t>
      </w:r>
      <w:r w:rsidRPr="0054103F">
        <w:rPr>
          <w:rFonts w:asciiTheme="minorBidi" w:hAnsiTheme="minorBidi"/>
          <w:sz w:val="16"/>
          <w:szCs w:val="16"/>
          <w:rtl/>
        </w:rPr>
        <w:t xml:space="preserve"> </w:t>
      </w:r>
      <w:r w:rsidRPr="0054103F">
        <w:rPr>
          <w:rFonts w:asciiTheme="minorBidi" w:hAnsiTheme="minorBidi" w:hint="cs"/>
          <w:sz w:val="16"/>
          <w:szCs w:val="16"/>
          <w:rtl/>
        </w:rPr>
        <w:t>(</w:t>
      </w:r>
      <w:r w:rsidRPr="0054103F">
        <w:rPr>
          <w:rFonts w:asciiTheme="minorBidi" w:hAnsiTheme="minorBidi"/>
          <w:sz w:val="16"/>
          <w:szCs w:val="16"/>
          <w:rtl/>
        </w:rPr>
        <w:t>להב' הב"י</w:t>
      </w:r>
      <w:r w:rsidRPr="0054103F">
        <w:rPr>
          <w:rFonts w:asciiTheme="minorBidi" w:hAnsiTheme="minorBidi" w:hint="cs"/>
          <w:sz w:val="16"/>
          <w:szCs w:val="16"/>
          <w:rtl/>
        </w:rPr>
        <w:t>)</w:t>
      </w:r>
      <w:r w:rsidRPr="0054103F">
        <w:rPr>
          <w:rFonts w:asciiTheme="minorBidi" w:hAnsiTheme="minorBidi"/>
          <w:rtl/>
        </w:rPr>
        <w:t>- הכבד יש בו ריבוי דם לפיכך אין לו תקנה לבשלו ע"י מליחה, וכיון דשדרו ממתיבתא דלא בקיאינן בחליטה לא שרינן ליה לבשוליה כלל, ואין לבשלו אפילו בפני עצמו</w:t>
      </w:r>
      <w:r w:rsidRPr="0054103F">
        <w:rPr>
          <w:rStyle w:val="a7"/>
          <w:rFonts w:asciiTheme="minorBidi" w:hAnsiTheme="minorBidi"/>
          <w:rtl/>
        </w:rPr>
        <w:footnoteReference w:id="558"/>
      </w:r>
      <w:r w:rsidRPr="0054103F">
        <w:rPr>
          <w:rFonts w:asciiTheme="minorBidi" w:hAnsiTheme="minorBidi"/>
          <w:rtl/>
        </w:rPr>
        <w:t>, לכן אין לו תקנה אא"כ קרעו שתי וערב והניח חיתוכו למטה וצולהו, ואין להתיר לבשלו ע"י קריעה ומליחה</w:t>
      </w:r>
      <w:r w:rsidRPr="0054103F">
        <w:rPr>
          <w:rStyle w:val="a7"/>
          <w:rFonts w:asciiTheme="minorBidi" w:hAnsiTheme="minorBidi"/>
          <w:rtl/>
        </w:rPr>
        <w:footnoteReference w:id="559"/>
      </w:r>
      <w:r w:rsidRPr="0054103F">
        <w:rPr>
          <w:rFonts w:asciiTheme="minorBidi" w:hAnsiTheme="minorBidi"/>
          <w:rtl/>
        </w:rPr>
        <w:t xml:space="preserve"> ומיהו בדיעבד שרי.</w:t>
      </w:r>
    </w:p>
    <w:p w14:paraId="137DC557" w14:textId="77777777" w:rsidR="002C39F4" w:rsidRPr="0054103F" w:rsidRDefault="002C39F4" w:rsidP="002C39F4">
      <w:pPr>
        <w:pStyle w:val="a8"/>
        <w:numPr>
          <w:ilvl w:val="0"/>
          <w:numId w:val="46"/>
        </w:numPr>
        <w:rPr>
          <w:rFonts w:asciiTheme="minorBidi" w:hAnsiTheme="minorBidi"/>
        </w:rPr>
      </w:pPr>
      <w:r w:rsidRPr="0054103F">
        <w:rPr>
          <w:rFonts w:asciiTheme="minorBidi" w:hAnsiTheme="minorBidi"/>
          <w:rtl/>
        </w:rPr>
        <w:t xml:space="preserve">(רי"ף ורמב"ם </w:t>
      </w:r>
      <w:r w:rsidRPr="0054103F">
        <w:rPr>
          <w:rFonts w:asciiTheme="minorBidi" w:hAnsiTheme="minorBidi"/>
          <w:sz w:val="16"/>
          <w:szCs w:val="16"/>
          <w:rtl/>
        </w:rPr>
        <w:t>להב' הב"י</w:t>
      </w:r>
      <w:r w:rsidRPr="0054103F">
        <w:rPr>
          <w:rFonts w:asciiTheme="minorBidi" w:hAnsiTheme="minorBidi"/>
          <w:rtl/>
        </w:rPr>
        <w:t>)- לחליטה קורעו וחיתוכיה לתחת</w:t>
      </w:r>
      <w:r w:rsidRPr="0054103F">
        <w:rPr>
          <w:rStyle w:val="a7"/>
          <w:rFonts w:asciiTheme="minorBidi" w:hAnsiTheme="minorBidi"/>
          <w:rtl/>
        </w:rPr>
        <w:footnoteReference w:id="560"/>
      </w:r>
      <w:r w:rsidRPr="0054103F">
        <w:rPr>
          <w:rFonts w:asciiTheme="minorBidi" w:hAnsiTheme="minorBidi"/>
          <w:rtl/>
        </w:rPr>
        <w:t>, וסגי בשתי בלא ערב או בערב בלא שתי</w:t>
      </w:r>
      <w:r w:rsidRPr="0054103F">
        <w:rPr>
          <w:rStyle w:val="a7"/>
          <w:rFonts w:asciiTheme="minorBidi" w:hAnsiTheme="minorBidi"/>
          <w:rtl/>
        </w:rPr>
        <w:footnoteReference w:id="561"/>
      </w:r>
      <w:r w:rsidRPr="0054103F">
        <w:rPr>
          <w:rFonts w:asciiTheme="minorBidi" w:hAnsiTheme="minorBidi"/>
          <w:rtl/>
        </w:rPr>
        <w:t>, ו</w:t>
      </w:r>
      <w:r w:rsidRPr="0054103F">
        <w:rPr>
          <w:rFonts w:asciiTheme="minorBidi" w:hAnsiTheme="minorBidi" w:hint="cs"/>
          <w:rtl/>
        </w:rPr>
        <w:t>ה</w:t>
      </w:r>
      <w:r w:rsidRPr="0054103F">
        <w:rPr>
          <w:rFonts w:asciiTheme="minorBidi" w:hAnsiTheme="minorBidi"/>
          <w:rtl/>
        </w:rPr>
        <w:t>חתך</w:t>
      </w:r>
      <w:r w:rsidRPr="0054103F">
        <w:rPr>
          <w:rFonts w:asciiTheme="minorBidi" w:hAnsiTheme="minorBidi" w:hint="cs"/>
          <w:rtl/>
        </w:rPr>
        <w:t xml:space="preserve"> יהיה</w:t>
      </w:r>
      <w:r w:rsidRPr="0054103F">
        <w:rPr>
          <w:rFonts w:asciiTheme="minorBidi" w:hAnsiTheme="minorBidi"/>
          <w:rtl/>
        </w:rPr>
        <w:t xml:space="preserve"> בכל האורך או בכל הרוחב</w:t>
      </w:r>
      <w:r w:rsidRPr="0054103F">
        <w:rPr>
          <w:rStyle w:val="a7"/>
          <w:rFonts w:asciiTheme="minorBidi" w:hAnsiTheme="minorBidi"/>
          <w:rtl/>
        </w:rPr>
        <w:footnoteReference w:id="562"/>
      </w:r>
      <w:r w:rsidRPr="0054103F">
        <w:rPr>
          <w:rFonts w:asciiTheme="minorBidi" w:hAnsiTheme="minorBidi"/>
          <w:rtl/>
        </w:rPr>
        <w:t>, ולקדרה לא מועיל חתיכה ומליחה כלל</w:t>
      </w:r>
      <w:r w:rsidRPr="0054103F">
        <w:rPr>
          <w:rStyle w:val="a7"/>
          <w:rFonts w:asciiTheme="minorBidi" w:hAnsiTheme="minorBidi"/>
          <w:rtl/>
        </w:rPr>
        <w:footnoteReference w:id="563"/>
      </w:r>
      <w:r w:rsidRPr="0054103F">
        <w:rPr>
          <w:rFonts w:asciiTheme="minorBidi" w:hAnsiTheme="minorBidi" w:hint="cs"/>
          <w:rtl/>
        </w:rPr>
        <w:t>,</w:t>
      </w:r>
      <w:r w:rsidRPr="0054103F">
        <w:rPr>
          <w:rFonts w:asciiTheme="minorBidi" w:hAnsiTheme="minorBidi"/>
          <w:rtl/>
        </w:rPr>
        <w:t xml:space="preserve"> ואם בשלו עם בשר אחר אוסר</w:t>
      </w:r>
      <w:r w:rsidRPr="0054103F">
        <w:rPr>
          <w:rStyle w:val="a7"/>
          <w:rFonts w:asciiTheme="minorBidi" w:hAnsiTheme="minorBidi"/>
          <w:rtl/>
        </w:rPr>
        <w:footnoteReference w:id="564"/>
      </w:r>
      <w:r w:rsidRPr="0054103F">
        <w:rPr>
          <w:rFonts w:asciiTheme="minorBidi" w:hAnsiTheme="minorBidi"/>
          <w:rtl/>
        </w:rPr>
        <w:t>, ומכיון דתיקנו הגאונים דלא מהני חליטה אין לו היתר אלא בצלי, ולצלי לא צריך קריעה</w:t>
      </w:r>
      <w:r w:rsidRPr="0054103F">
        <w:rPr>
          <w:rStyle w:val="a7"/>
          <w:rFonts w:asciiTheme="minorBidi" w:hAnsiTheme="minorBidi"/>
          <w:rtl/>
        </w:rPr>
        <w:footnoteReference w:id="565"/>
      </w:r>
      <w:r w:rsidRPr="0054103F">
        <w:rPr>
          <w:rFonts w:asciiTheme="minorBidi" w:hAnsiTheme="minorBidi"/>
          <w:rtl/>
        </w:rPr>
        <w:t xml:space="preserve">.  </w:t>
      </w:r>
    </w:p>
    <w:p w14:paraId="5B084A1C" w14:textId="77777777" w:rsidR="002C39F4" w:rsidRPr="0054103F" w:rsidRDefault="002C39F4" w:rsidP="002C39F4">
      <w:pPr>
        <w:pStyle w:val="a8"/>
        <w:numPr>
          <w:ilvl w:val="0"/>
          <w:numId w:val="46"/>
        </w:numPr>
        <w:rPr>
          <w:rFonts w:asciiTheme="minorBidi" w:hAnsiTheme="minorBidi"/>
          <w:rtl/>
        </w:rPr>
      </w:pPr>
      <w:r w:rsidRPr="0054103F">
        <w:rPr>
          <w:rFonts w:asciiTheme="minorBidi" w:hAnsiTheme="minorBidi"/>
          <w:rtl/>
        </w:rPr>
        <w:t xml:space="preserve">(רי"ף </w:t>
      </w:r>
      <w:r w:rsidRPr="0054103F">
        <w:rPr>
          <w:rFonts w:asciiTheme="minorBidi" w:hAnsiTheme="minorBidi"/>
          <w:sz w:val="14"/>
          <w:szCs w:val="14"/>
          <w:rtl/>
        </w:rPr>
        <w:t>[לט:]</w:t>
      </w:r>
      <w:r w:rsidRPr="0054103F">
        <w:rPr>
          <w:rFonts w:asciiTheme="minorBidi" w:hAnsiTheme="minorBidi"/>
          <w:rtl/>
        </w:rPr>
        <w:t xml:space="preserve"> ורמב"ם </w:t>
      </w:r>
      <w:r w:rsidRPr="0054103F">
        <w:rPr>
          <w:rFonts w:asciiTheme="minorBidi" w:hAnsiTheme="minorBidi"/>
          <w:sz w:val="14"/>
          <w:szCs w:val="14"/>
          <w:rtl/>
        </w:rPr>
        <w:t>[ע"פ פהמ"ש תרומות פ"י מי"א]</w:t>
      </w:r>
      <w:r w:rsidRPr="0054103F">
        <w:rPr>
          <w:rFonts w:asciiTheme="minorBidi" w:hAnsiTheme="minorBidi"/>
          <w:sz w:val="16"/>
          <w:szCs w:val="16"/>
          <w:rtl/>
        </w:rPr>
        <w:t xml:space="preserve"> להב' הר"ן</w:t>
      </w:r>
      <w:r w:rsidRPr="0054103F">
        <w:rPr>
          <w:rFonts w:asciiTheme="minorBidi" w:hAnsiTheme="minorBidi"/>
          <w:rtl/>
        </w:rPr>
        <w:t xml:space="preserve">)- </w:t>
      </w:r>
      <w:r w:rsidRPr="0054103F">
        <w:rPr>
          <w:rStyle w:val="a7"/>
          <w:rFonts w:asciiTheme="minorBidi" w:hAnsiTheme="minorBidi"/>
          <w:rtl/>
        </w:rPr>
        <w:footnoteReference w:id="566"/>
      </w:r>
      <w:r w:rsidRPr="0054103F">
        <w:rPr>
          <w:rFonts w:asciiTheme="minorBidi" w:hAnsiTheme="minorBidi"/>
          <w:rtl/>
        </w:rPr>
        <w:t>אין הכבד מותרת בבישול אפי</w:t>
      </w:r>
      <w:r w:rsidRPr="0054103F">
        <w:rPr>
          <w:rFonts w:asciiTheme="minorBidi" w:hAnsiTheme="minorBidi" w:hint="cs"/>
          <w:rtl/>
        </w:rPr>
        <w:t>'</w:t>
      </w:r>
      <w:r w:rsidRPr="0054103F">
        <w:rPr>
          <w:rFonts w:asciiTheme="minorBidi" w:hAnsiTheme="minorBidi"/>
          <w:rtl/>
        </w:rPr>
        <w:t xml:space="preserve"> בפני עצמה אלא בחליטה, ולדידן דלא בקיאינן בחליטה לית ליה תקנתא אלא בצלי</w:t>
      </w:r>
      <w:r w:rsidRPr="0054103F">
        <w:rPr>
          <w:rStyle w:val="a7"/>
          <w:rFonts w:asciiTheme="minorBidi" w:hAnsiTheme="minorBidi"/>
          <w:rtl/>
        </w:rPr>
        <w:footnoteReference w:id="567"/>
      </w:r>
      <w:r w:rsidRPr="0054103F">
        <w:rPr>
          <w:rFonts w:asciiTheme="minorBidi" w:hAnsiTheme="minorBidi" w:hint="cs"/>
          <w:rtl/>
        </w:rPr>
        <w:t>,</w:t>
      </w:r>
      <w:r w:rsidRPr="0054103F">
        <w:rPr>
          <w:rFonts w:asciiTheme="minorBidi" w:hAnsiTheme="minorBidi"/>
          <w:rtl/>
        </w:rPr>
        <w:t xml:space="preserve"> </w:t>
      </w:r>
      <w:r w:rsidRPr="0054103F">
        <w:rPr>
          <w:rFonts w:asciiTheme="minorBidi" w:hAnsiTheme="minorBidi" w:hint="cs"/>
          <w:rtl/>
        </w:rPr>
        <w:t>ובצלי אין צריך</w:t>
      </w:r>
      <w:r w:rsidRPr="0054103F">
        <w:rPr>
          <w:rFonts w:asciiTheme="minorBidi" w:hAnsiTheme="minorBidi"/>
          <w:rtl/>
        </w:rPr>
        <w:t xml:space="preserve"> קריעה שתי וערב</w:t>
      </w:r>
      <w:r w:rsidRPr="0054103F">
        <w:rPr>
          <w:rStyle w:val="a7"/>
          <w:rFonts w:asciiTheme="minorBidi" w:hAnsiTheme="minorBidi"/>
          <w:rtl/>
        </w:rPr>
        <w:footnoteReference w:id="568"/>
      </w:r>
      <w:r w:rsidRPr="0054103F">
        <w:rPr>
          <w:rFonts w:asciiTheme="minorBidi" w:hAnsiTheme="minorBidi"/>
          <w:rtl/>
        </w:rPr>
        <w:t>.</w:t>
      </w:r>
    </w:p>
    <w:p w14:paraId="680FF427" w14:textId="77777777" w:rsidR="002C39F4" w:rsidRPr="0054103F" w:rsidRDefault="002C39F4" w:rsidP="002C39F4">
      <w:pPr>
        <w:pStyle w:val="a8"/>
        <w:numPr>
          <w:ilvl w:val="0"/>
          <w:numId w:val="46"/>
        </w:numPr>
        <w:rPr>
          <w:rFonts w:asciiTheme="minorBidi" w:hAnsiTheme="minorBidi"/>
        </w:rPr>
      </w:pPr>
      <w:r w:rsidRPr="0054103F">
        <w:rPr>
          <w:rFonts w:asciiTheme="minorBidi" w:hAnsiTheme="minorBidi"/>
          <w:rtl/>
        </w:rPr>
        <w:t xml:space="preserve">ר"ן </w:t>
      </w:r>
      <w:r w:rsidRPr="0054103F">
        <w:rPr>
          <w:rFonts w:asciiTheme="minorBidi" w:hAnsiTheme="minorBidi"/>
          <w:sz w:val="16"/>
          <w:szCs w:val="16"/>
          <w:rtl/>
        </w:rPr>
        <w:t>(לט: ד"ה גרסינן תו)</w:t>
      </w:r>
      <w:r w:rsidRPr="0054103F">
        <w:rPr>
          <w:rFonts w:asciiTheme="minorBidi" w:hAnsiTheme="minorBidi"/>
          <w:rtl/>
        </w:rPr>
        <w:t xml:space="preserve">- מליחה בכבד אינה מעלה ולא מורדת </w:t>
      </w:r>
      <w:r w:rsidRPr="0054103F">
        <w:rPr>
          <w:rFonts w:asciiTheme="minorBidi" w:hAnsiTheme="minorBidi" w:hint="cs"/>
          <w:sz w:val="16"/>
          <w:szCs w:val="16"/>
          <w:rtl/>
        </w:rPr>
        <w:t>(</w:t>
      </w:r>
      <w:r w:rsidRPr="0054103F">
        <w:rPr>
          <w:rFonts w:asciiTheme="minorBidi" w:hAnsiTheme="minorBidi"/>
          <w:sz w:val="16"/>
          <w:szCs w:val="16"/>
          <w:rtl/>
        </w:rPr>
        <w:t>שמתוך שהוא מרובה בדמים אין המליחה מוציאתו מידי דמו</w:t>
      </w:r>
      <w:r w:rsidRPr="0054103F">
        <w:rPr>
          <w:rFonts w:asciiTheme="minorBidi" w:hAnsiTheme="minorBidi" w:hint="cs"/>
          <w:sz w:val="16"/>
          <w:szCs w:val="16"/>
          <w:rtl/>
        </w:rPr>
        <w:t>)</w:t>
      </w:r>
      <w:r w:rsidRPr="0054103F">
        <w:rPr>
          <w:rFonts w:asciiTheme="minorBidi" w:hAnsiTheme="minorBidi"/>
          <w:rtl/>
        </w:rPr>
        <w:t>, ואפילו קרעיה ומלחיה וחיתוכיה לתחת לא שרי לבשלו בקדרה עם בשר</w:t>
      </w:r>
      <w:r w:rsidRPr="0054103F">
        <w:rPr>
          <w:rStyle w:val="a7"/>
          <w:rFonts w:asciiTheme="minorBidi" w:hAnsiTheme="minorBidi"/>
          <w:rtl/>
        </w:rPr>
        <w:footnoteReference w:id="569"/>
      </w:r>
      <w:r w:rsidRPr="0054103F">
        <w:rPr>
          <w:rFonts w:asciiTheme="minorBidi" w:hAnsiTheme="minorBidi"/>
          <w:rtl/>
        </w:rPr>
        <w:t>, אבל בחליטה שרי, אך האידנא לא בקיאינן בחליטה ולא שרי למיכל כבדא שליקא, ולצלי הוא דבעי קריעה שתי וערב</w:t>
      </w:r>
      <w:r w:rsidRPr="0054103F">
        <w:rPr>
          <w:rFonts w:asciiTheme="minorBidi" w:hAnsiTheme="minorBidi" w:hint="cs"/>
          <w:rtl/>
        </w:rPr>
        <w:t>,</w:t>
      </w:r>
      <w:r w:rsidRPr="0054103F">
        <w:rPr>
          <w:rFonts w:asciiTheme="minorBidi" w:hAnsiTheme="minorBidi"/>
          <w:rtl/>
        </w:rPr>
        <w:t xml:space="preserve"> וחיתוכיה לתחת בשעת צלייה, ואם צלאו שלם ולא חתכו מסתברא דכולו מותר חוץ מן הסמפונות דכבולעו כך פולטו</w:t>
      </w:r>
      <w:r w:rsidRPr="0054103F">
        <w:rPr>
          <w:rStyle w:val="a7"/>
          <w:rFonts w:asciiTheme="minorBidi" w:hAnsiTheme="minorBidi"/>
          <w:rtl/>
        </w:rPr>
        <w:footnoteReference w:id="570"/>
      </w:r>
      <w:r w:rsidRPr="0054103F">
        <w:rPr>
          <w:rFonts w:asciiTheme="minorBidi" w:hAnsiTheme="minorBidi"/>
          <w:rtl/>
        </w:rPr>
        <w:t>.</w:t>
      </w:r>
    </w:p>
    <w:p w14:paraId="47167028" w14:textId="77777777" w:rsidR="002C39F4" w:rsidRPr="0054103F" w:rsidRDefault="002C39F4" w:rsidP="002C39F4">
      <w:pPr>
        <w:pStyle w:val="a8"/>
        <w:numPr>
          <w:ilvl w:val="0"/>
          <w:numId w:val="46"/>
        </w:numPr>
        <w:rPr>
          <w:rFonts w:asciiTheme="minorBidi" w:hAnsiTheme="minorBidi"/>
        </w:rPr>
      </w:pPr>
      <w:r w:rsidRPr="0054103F">
        <w:rPr>
          <w:rFonts w:asciiTheme="minorBidi" w:hAnsiTheme="minorBidi"/>
          <w:rtl/>
        </w:rPr>
        <w:t>רוב המפרשים</w:t>
      </w:r>
      <w:r w:rsidRPr="0054103F">
        <w:rPr>
          <w:rFonts w:asciiTheme="minorBidi" w:hAnsiTheme="minorBidi"/>
          <w:sz w:val="16"/>
          <w:szCs w:val="16"/>
          <w:rtl/>
        </w:rPr>
        <w:t xml:space="preserve"> (ע"פ פירוש הראשונים, הביאם הר"ן)</w:t>
      </w:r>
      <w:r w:rsidRPr="0054103F">
        <w:rPr>
          <w:rFonts w:asciiTheme="minorBidi" w:hAnsiTheme="minorBidi"/>
          <w:rtl/>
        </w:rPr>
        <w:t>- הבא לבשלו לכתחלה צריך לחתכו שתי וערב ולמלחו יפה יפה וחיתוכיה לתחת מפני דם סמפונות שבו</w:t>
      </w:r>
      <w:r w:rsidRPr="0054103F">
        <w:rPr>
          <w:rStyle w:val="a7"/>
          <w:rFonts w:asciiTheme="minorBidi" w:hAnsiTheme="minorBidi"/>
          <w:rtl/>
        </w:rPr>
        <w:footnoteReference w:id="571"/>
      </w:r>
      <w:r w:rsidRPr="0054103F">
        <w:rPr>
          <w:rFonts w:asciiTheme="minorBidi" w:hAnsiTheme="minorBidi"/>
          <w:rtl/>
        </w:rPr>
        <w:t>, לא קרעו ולא מלחו כלל ובשלו</w:t>
      </w:r>
      <w:r>
        <w:rPr>
          <w:rFonts w:asciiTheme="minorBidi" w:hAnsiTheme="minorBidi" w:hint="cs"/>
          <w:rtl/>
        </w:rPr>
        <w:t xml:space="preserve"> </w:t>
      </w:r>
      <w:r w:rsidRPr="0054103F">
        <w:rPr>
          <w:rFonts w:asciiTheme="minorBidi" w:hAnsiTheme="minorBidi" w:hint="cs"/>
          <w:rtl/>
        </w:rPr>
        <w:t>-</w:t>
      </w:r>
      <w:r w:rsidRPr="0054103F">
        <w:rPr>
          <w:rFonts w:asciiTheme="minorBidi" w:hAnsiTheme="minorBidi"/>
          <w:rtl/>
        </w:rPr>
        <w:t xml:space="preserve"> הכבד עצמו מותר</w:t>
      </w:r>
      <w:r w:rsidRPr="0054103F">
        <w:rPr>
          <w:rFonts w:asciiTheme="minorBidi" w:hAnsiTheme="minorBidi" w:hint="cs"/>
          <w:rtl/>
        </w:rPr>
        <w:t>,</w:t>
      </w:r>
      <w:r w:rsidRPr="0054103F">
        <w:rPr>
          <w:rFonts w:asciiTheme="minorBidi" w:hAnsiTheme="minorBidi"/>
          <w:rtl/>
        </w:rPr>
        <w:t xml:space="preserve"> דאיידי דטריד למיפלט לא בלע, ואם נתבשל עם הבשר אוסר בנותן טעם, חתכו ומלחו וחיתוכיה לתחת א"נ חלטו בחומץ או ברותחין</w:t>
      </w:r>
      <w:r>
        <w:rPr>
          <w:rFonts w:asciiTheme="minorBidi" w:hAnsiTheme="minorBidi" w:hint="cs"/>
          <w:rtl/>
        </w:rPr>
        <w:t xml:space="preserve"> </w:t>
      </w:r>
      <w:r w:rsidRPr="0054103F">
        <w:rPr>
          <w:rFonts w:asciiTheme="minorBidi" w:hAnsiTheme="minorBidi"/>
          <w:rtl/>
        </w:rPr>
        <w:t xml:space="preserve">- אינו אוסר כלל, אלא דשדרו ממתיבתא דלא בקיאינן בחליטה. ולצלי לא בעי חיתוך כלל.  </w:t>
      </w:r>
    </w:p>
    <w:p w14:paraId="42D98F44" w14:textId="77777777" w:rsidR="002C39F4" w:rsidRPr="001461F0" w:rsidRDefault="002C39F4" w:rsidP="002C39F4">
      <w:pPr>
        <w:pStyle w:val="a8"/>
        <w:numPr>
          <w:ilvl w:val="0"/>
          <w:numId w:val="46"/>
        </w:numPr>
        <w:rPr>
          <w:rFonts w:asciiTheme="minorBidi" w:hAnsiTheme="minorBidi"/>
          <w:rtl/>
        </w:rPr>
      </w:pPr>
      <w:r w:rsidRPr="0054103F">
        <w:rPr>
          <w:rFonts w:asciiTheme="minorBidi" w:hAnsiTheme="minorBidi"/>
          <w:rtl/>
        </w:rPr>
        <w:t xml:space="preserve">רמב"ן </w:t>
      </w:r>
      <w:r w:rsidRPr="0054103F">
        <w:rPr>
          <w:rFonts w:asciiTheme="minorBidi" w:hAnsiTheme="minorBidi"/>
          <w:sz w:val="16"/>
          <w:szCs w:val="16"/>
          <w:rtl/>
        </w:rPr>
        <w:t xml:space="preserve">(קי: ד"ה כבדא, הביאו הר"ן) </w:t>
      </w:r>
      <w:r w:rsidRPr="0054103F">
        <w:rPr>
          <w:rFonts w:asciiTheme="minorBidi" w:hAnsiTheme="minorBidi"/>
          <w:rtl/>
        </w:rPr>
        <w:t xml:space="preserve">ורשב"א </w:t>
      </w:r>
      <w:r w:rsidRPr="0054103F">
        <w:rPr>
          <w:rFonts w:asciiTheme="minorBidi" w:hAnsiTheme="minorBidi"/>
          <w:sz w:val="16"/>
          <w:szCs w:val="16"/>
          <w:rtl/>
        </w:rPr>
        <w:t>(תוה"ק ב"ג ש"ג עד:, ארוך עח:)</w:t>
      </w:r>
      <w:r w:rsidRPr="0054103F">
        <w:rPr>
          <w:rFonts w:asciiTheme="minorBidi" w:hAnsiTheme="minorBidi"/>
          <w:rtl/>
        </w:rPr>
        <w:t>- בקריעה ומליחה וחיתוכיה לתחת שרי לבשלו</w:t>
      </w:r>
      <w:r w:rsidRPr="0054103F">
        <w:rPr>
          <w:rFonts w:asciiTheme="minorBidi" w:hAnsiTheme="minorBidi"/>
          <w:sz w:val="16"/>
          <w:szCs w:val="16"/>
          <w:rtl/>
        </w:rPr>
        <w:t xml:space="preserve"> (כר"ת)</w:t>
      </w:r>
      <w:r w:rsidRPr="0054103F">
        <w:rPr>
          <w:rFonts w:asciiTheme="minorBidi" w:hAnsiTheme="minorBidi"/>
          <w:rtl/>
        </w:rPr>
        <w:t xml:space="preserve"> אלא שלא נהגו כן לחוש לדברי האוסרים</w:t>
      </w:r>
      <w:r w:rsidRPr="0054103F">
        <w:rPr>
          <w:rStyle w:val="a7"/>
          <w:rFonts w:asciiTheme="minorBidi" w:hAnsiTheme="minorBidi"/>
          <w:rtl/>
        </w:rPr>
        <w:footnoteReference w:id="572"/>
      </w:r>
      <w:r w:rsidRPr="0054103F">
        <w:rPr>
          <w:rFonts w:asciiTheme="minorBidi" w:hAnsiTheme="minorBidi"/>
          <w:rtl/>
        </w:rPr>
        <w:t xml:space="preserve">, לכן צריך לחותכו שתי וערב וחיתוכיה לתחת ולצלותו, והיינו דוקא לכתחלה אבל בדיעבד </w:t>
      </w:r>
      <w:r w:rsidRPr="0054103F">
        <w:rPr>
          <w:rFonts w:asciiTheme="minorBidi" w:hAnsiTheme="minorBidi" w:hint="cs"/>
          <w:sz w:val="16"/>
          <w:szCs w:val="16"/>
          <w:rtl/>
        </w:rPr>
        <w:t xml:space="preserve">{אם לא צלאו אלא מלח וחתך כנ"ל} </w:t>
      </w:r>
      <w:r w:rsidRPr="0054103F">
        <w:rPr>
          <w:rFonts w:asciiTheme="minorBidi" w:hAnsiTheme="minorBidi"/>
          <w:rtl/>
        </w:rPr>
        <w:t>מיהא שרי</w:t>
      </w:r>
      <w:r w:rsidRPr="0054103F">
        <w:rPr>
          <w:rStyle w:val="a7"/>
          <w:rFonts w:asciiTheme="minorBidi" w:hAnsiTheme="minorBidi"/>
          <w:rtl/>
        </w:rPr>
        <w:footnoteReference w:id="573"/>
      </w:r>
      <w:r w:rsidRPr="0054103F">
        <w:rPr>
          <w:rFonts w:asciiTheme="minorBidi" w:hAnsiTheme="minorBidi"/>
          <w:rtl/>
        </w:rPr>
        <w:t xml:space="preserve"> בין הוא בין בשר המתבשל עמו</w:t>
      </w:r>
      <w:r w:rsidRPr="0054103F">
        <w:rPr>
          <w:rStyle w:val="a7"/>
          <w:rFonts w:asciiTheme="minorBidi" w:hAnsiTheme="minorBidi"/>
          <w:rtl/>
        </w:rPr>
        <w:footnoteReference w:id="574"/>
      </w:r>
      <w:r w:rsidRPr="0054103F">
        <w:rPr>
          <w:rFonts w:asciiTheme="minorBidi" w:hAnsiTheme="minorBidi"/>
          <w:rtl/>
        </w:rPr>
        <w:t>.</w:t>
      </w:r>
    </w:p>
    <w:p w14:paraId="2F59EA49" w14:textId="77777777" w:rsidR="002C39F4" w:rsidRPr="00395A82" w:rsidRDefault="002C39F4" w:rsidP="002C39F4">
      <w:pPr>
        <w:rPr>
          <w:rFonts w:asciiTheme="minorBidi" w:hAnsiTheme="minorBidi"/>
          <w:u w:val="single"/>
          <w:rtl/>
        </w:rPr>
      </w:pPr>
      <w:r w:rsidRPr="00395A82">
        <w:rPr>
          <w:rFonts w:asciiTheme="minorBidi" w:hAnsiTheme="minorBidi" w:hint="cs"/>
          <w:u w:val="single"/>
          <w:rtl/>
        </w:rPr>
        <w:t xml:space="preserve">הכשרת </w:t>
      </w:r>
      <w:r w:rsidRPr="00395A82">
        <w:rPr>
          <w:rFonts w:asciiTheme="minorBidi" w:hAnsiTheme="minorBidi"/>
          <w:u w:val="single"/>
          <w:rtl/>
        </w:rPr>
        <w:t>כבד</w:t>
      </w:r>
      <w:r w:rsidRPr="00395A82">
        <w:rPr>
          <w:rFonts w:asciiTheme="minorBidi" w:hAnsiTheme="minorBidi" w:hint="cs"/>
          <w:u w:val="single"/>
          <w:rtl/>
        </w:rPr>
        <w:t xml:space="preserve"> </w:t>
      </w:r>
      <w:r w:rsidRPr="009F0761">
        <w:rPr>
          <w:rFonts w:asciiTheme="minorBidi" w:hAnsiTheme="minorBidi" w:hint="cs"/>
          <w:b/>
          <w:bCs/>
          <w:u w:val="single"/>
          <w:rtl/>
        </w:rPr>
        <w:t>לבישול</w:t>
      </w:r>
      <w:r>
        <w:rPr>
          <w:rFonts w:asciiTheme="minorBidi" w:hAnsiTheme="minorBidi" w:hint="cs"/>
          <w:u w:val="single"/>
          <w:rtl/>
        </w:rPr>
        <w:t xml:space="preserve"> - </w:t>
      </w:r>
      <w:r w:rsidRPr="00395A82">
        <w:rPr>
          <w:rFonts w:asciiTheme="minorBidi" w:hAnsiTheme="minorBidi"/>
          <w:u w:val="single"/>
          <w:rtl/>
        </w:rPr>
        <w:t>כיצד:</w:t>
      </w:r>
      <w:r w:rsidRPr="009F0761">
        <w:rPr>
          <w:rFonts w:asciiTheme="minorBidi" w:hAnsiTheme="minorBidi"/>
          <w:sz w:val="16"/>
          <w:szCs w:val="16"/>
          <w:rtl/>
        </w:rPr>
        <w:t xml:space="preserve"> </w:t>
      </w:r>
      <w:r>
        <w:rPr>
          <w:rFonts w:asciiTheme="minorBidi" w:hAnsiTheme="minorBidi" w:hint="cs"/>
          <w:sz w:val="16"/>
          <w:szCs w:val="16"/>
          <w:rtl/>
        </w:rPr>
        <w:t xml:space="preserve">  </w:t>
      </w:r>
    </w:p>
    <w:p w14:paraId="277DD068" w14:textId="77777777" w:rsidR="002C39F4" w:rsidRDefault="002C39F4" w:rsidP="002C39F4">
      <w:pPr>
        <w:ind w:left="360"/>
        <w:rPr>
          <w:rFonts w:asciiTheme="minorBidi" w:hAnsiTheme="minorBidi"/>
          <w:u w:val="dotted"/>
          <w:rtl/>
        </w:rPr>
      </w:pPr>
      <w:r>
        <w:rPr>
          <w:rFonts w:asciiTheme="minorBidi" w:hAnsiTheme="minorBidi" w:hint="cs"/>
          <w:u w:val="dotted"/>
          <w:rtl/>
        </w:rPr>
        <w:t xml:space="preserve">ע"י </w:t>
      </w:r>
      <w:r w:rsidRPr="00395A82">
        <w:rPr>
          <w:rFonts w:asciiTheme="minorBidi" w:hAnsiTheme="minorBidi" w:hint="cs"/>
          <w:u w:val="dotted"/>
          <w:rtl/>
        </w:rPr>
        <w:t>מליחה:</w:t>
      </w:r>
    </w:p>
    <w:p w14:paraId="20B0F01D" w14:textId="77777777" w:rsidR="002C39F4" w:rsidRDefault="002C39F4" w:rsidP="002C39F4">
      <w:pPr>
        <w:pStyle w:val="a8"/>
        <w:numPr>
          <w:ilvl w:val="0"/>
          <w:numId w:val="95"/>
        </w:numPr>
        <w:rPr>
          <w:rFonts w:asciiTheme="minorBidi" w:hAnsiTheme="minorBidi"/>
        </w:rPr>
      </w:pPr>
      <w:r w:rsidRPr="00395A82">
        <w:rPr>
          <w:rFonts w:asciiTheme="minorBidi" w:hAnsiTheme="minorBidi"/>
          <w:rtl/>
        </w:rPr>
        <w:t xml:space="preserve">ר"ן </w:t>
      </w:r>
      <w:r w:rsidRPr="00395A82">
        <w:rPr>
          <w:rFonts w:asciiTheme="minorBidi" w:hAnsiTheme="minorBidi"/>
          <w:sz w:val="16"/>
          <w:szCs w:val="16"/>
          <w:rtl/>
        </w:rPr>
        <w:t>(שם)</w:t>
      </w:r>
      <w:r w:rsidRPr="00395A82">
        <w:rPr>
          <w:rFonts w:asciiTheme="minorBidi" w:hAnsiTheme="minorBidi"/>
          <w:rtl/>
        </w:rPr>
        <w:t xml:space="preserve">- </w:t>
      </w:r>
      <w:r w:rsidRPr="0054103F">
        <w:rPr>
          <w:rFonts w:asciiTheme="minorBidi" w:hAnsiTheme="minorBidi"/>
          <w:rtl/>
        </w:rPr>
        <w:t xml:space="preserve">מליחה בכבד אינה מעלה ולא מורדת </w:t>
      </w:r>
      <w:r w:rsidRPr="0054103F">
        <w:rPr>
          <w:rFonts w:asciiTheme="minorBidi" w:hAnsiTheme="minorBidi" w:hint="cs"/>
          <w:sz w:val="16"/>
          <w:szCs w:val="16"/>
          <w:rtl/>
        </w:rPr>
        <w:t>(</w:t>
      </w:r>
      <w:r w:rsidRPr="0054103F">
        <w:rPr>
          <w:rFonts w:asciiTheme="minorBidi" w:hAnsiTheme="minorBidi"/>
          <w:sz w:val="16"/>
          <w:szCs w:val="16"/>
          <w:rtl/>
        </w:rPr>
        <w:t>שמתוך שהוא מרובה בדמים אין המליחה מוציאתו מידי דמו</w:t>
      </w:r>
      <w:r w:rsidRPr="0054103F">
        <w:rPr>
          <w:rFonts w:asciiTheme="minorBidi" w:hAnsiTheme="minorBidi" w:hint="cs"/>
          <w:sz w:val="16"/>
          <w:szCs w:val="16"/>
          <w:rtl/>
        </w:rPr>
        <w:t>)</w:t>
      </w:r>
      <w:r w:rsidRPr="0054103F">
        <w:rPr>
          <w:rFonts w:asciiTheme="minorBidi" w:hAnsiTheme="minorBidi"/>
          <w:rtl/>
        </w:rPr>
        <w:t>, ואפילו</w:t>
      </w:r>
      <w:r w:rsidRPr="00395A82">
        <w:rPr>
          <w:rFonts w:asciiTheme="minorBidi" w:hAnsiTheme="minorBidi"/>
          <w:rtl/>
        </w:rPr>
        <w:t xml:space="preserve"> קרעיה ומלחיה וחיתוכיה לתחת לא שרי לבשלו בקדרה עם בשר</w:t>
      </w:r>
      <w:r>
        <w:rPr>
          <w:rFonts w:asciiTheme="minorBidi" w:hAnsiTheme="minorBidi" w:hint="cs"/>
          <w:rtl/>
        </w:rPr>
        <w:t xml:space="preserve"> </w:t>
      </w:r>
      <w:r>
        <w:rPr>
          <w:rFonts w:asciiTheme="minorBidi" w:hAnsiTheme="minorBidi" w:hint="cs"/>
          <w:sz w:val="16"/>
          <w:szCs w:val="16"/>
          <w:rtl/>
        </w:rPr>
        <w:t xml:space="preserve">{משמע שאם מבשלו לבדו שרי </w:t>
      </w:r>
      <w:r w:rsidRPr="003709C4">
        <w:rPr>
          <w:rFonts w:asciiTheme="minorBidi" w:hAnsiTheme="minorBidi" w:hint="cs"/>
          <w:sz w:val="16"/>
          <w:szCs w:val="16"/>
          <w:u w:val="single"/>
          <w:rtl/>
        </w:rPr>
        <w:t>לכתחילה</w:t>
      </w:r>
      <w:r>
        <w:rPr>
          <w:rFonts w:asciiTheme="minorBidi" w:hAnsiTheme="minorBidi" w:hint="cs"/>
          <w:sz w:val="16"/>
          <w:szCs w:val="16"/>
          <w:rtl/>
        </w:rPr>
        <w:t>}</w:t>
      </w:r>
      <w:r w:rsidRPr="00395A82">
        <w:rPr>
          <w:rFonts w:asciiTheme="minorBidi" w:hAnsiTheme="minorBidi" w:hint="cs"/>
          <w:rtl/>
        </w:rPr>
        <w:t>.</w:t>
      </w:r>
      <w:r>
        <w:rPr>
          <w:rFonts w:asciiTheme="minorBidi" w:hAnsiTheme="minorBidi" w:hint="cs"/>
          <w:rtl/>
        </w:rPr>
        <w:t xml:space="preserve"> </w:t>
      </w:r>
    </w:p>
    <w:p w14:paraId="3EF84334" w14:textId="77777777" w:rsidR="002C39F4" w:rsidRDefault="002C39F4" w:rsidP="002C39F4">
      <w:pPr>
        <w:pStyle w:val="a8"/>
        <w:numPr>
          <w:ilvl w:val="0"/>
          <w:numId w:val="95"/>
        </w:numPr>
        <w:rPr>
          <w:rFonts w:asciiTheme="minorBidi" w:hAnsiTheme="minorBidi"/>
        </w:rPr>
      </w:pPr>
      <w:r w:rsidRPr="0054103F">
        <w:rPr>
          <w:rFonts w:asciiTheme="minorBidi" w:hAnsiTheme="minorBidi"/>
          <w:rtl/>
        </w:rPr>
        <w:t xml:space="preserve">רי"ף רמב"ם </w:t>
      </w:r>
      <w:r>
        <w:rPr>
          <w:rFonts w:asciiTheme="minorBidi" w:hAnsiTheme="minorBidi" w:hint="cs"/>
          <w:rtl/>
        </w:rPr>
        <w:t>ו</w:t>
      </w:r>
      <w:r w:rsidRPr="0054103F">
        <w:rPr>
          <w:rFonts w:asciiTheme="minorBidi" w:hAnsiTheme="minorBidi"/>
          <w:rtl/>
        </w:rPr>
        <w:t>טור- הכבד יש בו ריבוי דם לפיכך אין לו תקנה לבשלו ע"י מליחה</w:t>
      </w:r>
      <w:r>
        <w:rPr>
          <w:rFonts w:asciiTheme="minorBidi" w:hAnsiTheme="minorBidi" w:hint="cs"/>
          <w:sz w:val="16"/>
          <w:szCs w:val="16"/>
          <w:rtl/>
        </w:rPr>
        <w:t xml:space="preserve"> (ל' הטור)</w:t>
      </w:r>
      <w:r>
        <w:rPr>
          <w:rFonts w:asciiTheme="minorBidi" w:hAnsiTheme="minorBidi" w:hint="cs"/>
          <w:rtl/>
        </w:rPr>
        <w:t>.</w:t>
      </w:r>
      <w:r w:rsidRPr="00395A82">
        <w:rPr>
          <w:rFonts w:asciiTheme="minorBidi" w:hAnsiTheme="minorBidi"/>
          <w:color w:val="E36C0A" w:themeColor="accent6" w:themeShade="BF"/>
          <w:rtl/>
        </w:rPr>
        <w:t xml:space="preserve"> </w:t>
      </w:r>
      <w:r w:rsidRPr="00843347">
        <w:rPr>
          <w:rFonts w:asciiTheme="minorBidi" w:hAnsiTheme="minorBidi"/>
          <w:color w:val="E36C0A" w:themeColor="accent6" w:themeShade="BF"/>
          <w:rtl/>
        </w:rPr>
        <w:t>(וכ</w:t>
      </w:r>
      <w:r w:rsidRPr="00843347">
        <w:rPr>
          <w:rFonts w:asciiTheme="minorBidi" w:hAnsiTheme="minorBidi" w:hint="cs"/>
          <w:color w:val="E36C0A" w:themeColor="accent6" w:themeShade="BF"/>
          <w:rtl/>
        </w:rPr>
        <w:t>"פ</w:t>
      </w:r>
      <w:r w:rsidRPr="00843347">
        <w:rPr>
          <w:rFonts w:asciiTheme="minorBidi" w:hAnsiTheme="minorBidi"/>
          <w:color w:val="E36C0A" w:themeColor="accent6" w:themeShade="BF"/>
          <w:rtl/>
        </w:rPr>
        <w:t xml:space="preserve"> בשו"ע)</w:t>
      </w:r>
    </w:p>
    <w:p w14:paraId="55370458" w14:textId="77777777" w:rsidR="002C39F4" w:rsidRPr="00395A82" w:rsidRDefault="002C39F4" w:rsidP="002C39F4">
      <w:pPr>
        <w:pStyle w:val="a8"/>
        <w:numPr>
          <w:ilvl w:val="0"/>
          <w:numId w:val="95"/>
        </w:numPr>
        <w:rPr>
          <w:rFonts w:asciiTheme="minorBidi" w:hAnsiTheme="minorBidi"/>
        </w:rPr>
      </w:pPr>
      <w:r w:rsidRPr="00395A82">
        <w:rPr>
          <w:rFonts w:asciiTheme="minorBidi" w:hAnsiTheme="minorBidi"/>
          <w:rtl/>
        </w:rPr>
        <w:t>רוב המפרשים</w:t>
      </w:r>
      <w:r w:rsidRPr="00395A82">
        <w:rPr>
          <w:rFonts w:asciiTheme="minorBidi" w:hAnsiTheme="minorBidi"/>
          <w:sz w:val="16"/>
          <w:szCs w:val="16"/>
          <w:rtl/>
        </w:rPr>
        <w:t xml:space="preserve"> (ע"פ פירוש הראשונים, הביאם הר"ן)</w:t>
      </w:r>
      <w:r w:rsidRPr="00395A82">
        <w:rPr>
          <w:rFonts w:asciiTheme="minorBidi" w:hAnsiTheme="minorBidi"/>
          <w:rtl/>
        </w:rPr>
        <w:t>-</w:t>
      </w:r>
      <w:r w:rsidRPr="00395A82">
        <w:rPr>
          <w:rFonts w:asciiTheme="minorBidi" w:hAnsiTheme="minorBidi" w:hint="cs"/>
          <w:rtl/>
        </w:rPr>
        <w:t xml:space="preserve"> </w:t>
      </w:r>
      <w:r w:rsidRPr="00395A82">
        <w:rPr>
          <w:rFonts w:asciiTheme="minorBidi" w:hAnsiTheme="minorBidi"/>
          <w:rtl/>
        </w:rPr>
        <w:t>הבא לבשלו לכתחלה צריך לחתכו שתי וערב ולמלחו יפה יפה וחיתוכיה לתחת</w:t>
      </w:r>
      <w:r w:rsidRPr="00395A82">
        <w:rPr>
          <w:rFonts w:asciiTheme="minorBidi" w:hAnsiTheme="minorBidi" w:hint="cs"/>
          <w:rtl/>
        </w:rPr>
        <w:t>,</w:t>
      </w:r>
      <w:r w:rsidRPr="00395A82">
        <w:rPr>
          <w:rFonts w:asciiTheme="minorBidi" w:hAnsiTheme="minorBidi"/>
          <w:rtl/>
        </w:rPr>
        <w:t xml:space="preserve"> ויכול לבשלו אף עם בשר</w:t>
      </w:r>
      <w:r>
        <w:rPr>
          <w:rFonts w:asciiTheme="minorBidi" w:hAnsiTheme="minorBidi" w:hint="cs"/>
          <w:rtl/>
        </w:rPr>
        <w:t xml:space="preserve">. </w:t>
      </w:r>
    </w:p>
    <w:p w14:paraId="3AAE97BC" w14:textId="77777777" w:rsidR="002C39F4" w:rsidRPr="00395A82" w:rsidRDefault="002C39F4" w:rsidP="002C39F4">
      <w:pPr>
        <w:pStyle w:val="a8"/>
        <w:numPr>
          <w:ilvl w:val="0"/>
          <w:numId w:val="95"/>
        </w:numPr>
        <w:rPr>
          <w:rFonts w:asciiTheme="minorBidi" w:hAnsiTheme="minorBidi"/>
          <w:rtl/>
        </w:rPr>
      </w:pPr>
      <w:r w:rsidRPr="0054103F">
        <w:rPr>
          <w:rFonts w:asciiTheme="minorBidi" w:hAnsiTheme="minorBidi"/>
          <w:rtl/>
        </w:rPr>
        <w:t xml:space="preserve">רמב"ן </w:t>
      </w:r>
      <w:r w:rsidRPr="0054103F">
        <w:rPr>
          <w:rFonts w:asciiTheme="minorBidi" w:hAnsiTheme="minorBidi"/>
          <w:sz w:val="16"/>
          <w:szCs w:val="16"/>
          <w:rtl/>
        </w:rPr>
        <w:t xml:space="preserve">(קי: ד"ה כבדא, הביאו הר"ן) </w:t>
      </w:r>
      <w:r w:rsidRPr="0054103F">
        <w:rPr>
          <w:rFonts w:asciiTheme="minorBidi" w:hAnsiTheme="minorBidi"/>
          <w:rtl/>
        </w:rPr>
        <w:t xml:space="preserve">ורשב"א </w:t>
      </w:r>
      <w:r w:rsidRPr="0054103F">
        <w:rPr>
          <w:rFonts w:asciiTheme="minorBidi" w:hAnsiTheme="minorBidi"/>
          <w:sz w:val="16"/>
          <w:szCs w:val="16"/>
          <w:rtl/>
        </w:rPr>
        <w:t>(תוה"ק ב"ג ש"ג עד:, ארוך עח:)</w:t>
      </w:r>
      <w:r w:rsidRPr="0054103F">
        <w:rPr>
          <w:rFonts w:asciiTheme="minorBidi" w:hAnsiTheme="minorBidi"/>
          <w:rtl/>
        </w:rPr>
        <w:t xml:space="preserve">- בקריעה ומליחה וחיתוכיה לתחת נהגו כן לחוש לדברי האוסרים אבל בדיעבד </w:t>
      </w:r>
      <w:r w:rsidRPr="0054103F">
        <w:rPr>
          <w:rFonts w:asciiTheme="minorBidi" w:hAnsiTheme="minorBidi" w:hint="cs"/>
          <w:sz w:val="16"/>
          <w:szCs w:val="16"/>
          <w:rtl/>
        </w:rPr>
        <w:t xml:space="preserve"> </w:t>
      </w:r>
      <w:r w:rsidRPr="0054103F">
        <w:rPr>
          <w:rFonts w:asciiTheme="minorBidi" w:hAnsiTheme="minorBidi"/>
          <w:rtl/>
        </w:rPr>
        <w:t>מיהא שרי בין הוא בין בשר המתבשל עמו.</w:t>
      </w:r>
    </w:p>
    <w:p w14:paraId="56FFD320" w14:textId="77777777" w:rsidR="002C39F4" w:rsidRPr="00395A82" w:rsidRDefault="002C39F4" w:rsidP="002C39F4">
      <w:pPr>
        <w:ind w:left="360"/>
        <w:rPr>
          <w:rFonts w:asciiTheme="minorBidi" w:hAnsiTheme="minorBidi"/>
          <w:u w:val="dotted"/>
        </w:rPr>
      </w:pPr>
      <w:r>
        <w:rPr>
          <w:rFonts w:asciiTheme="minorBidi" w:hAnsiTheme="minorBidi" w:hint="cs"/>
          <w:u w:val="dotted"/>
          <w:rtl/>
        </w:rPr>
        <w:t>ע"י צלייה:</w:t>
      </w:r>
    </w:p>
    <w:p w14:paraId="2F534592" w14:textId="77777777" w:rsidR="002C39F4" w:rsidRDefault="002C39F4" w:rsidP="002C39F4">
      <w:pPr>
        <w:pStyle w:val="a8"/>
        <w:numPr>
          <w:ilvl w:val="0"/>
          <w:numId w:val="46"/>
        </w:numPr>
        <w:rPr>
          <w:rFonts w:asciiTheme="minorBidi" w:hAnsiTheme="minorBidi"/>
        </w:rPr>
      </w:pPr>
      <w:r w:rsidRPr="0054103F">
        <w:rPr>
          <w:rFonts w:asciiTheme="minorBidi" w:hAnsiTheme="minorBidi"/>
          <w:rtl/>
        </w:rPr>
        <w:t xml:space="preserve">רמב"ן </w:t>
      </w:r>
      <w:r w:rsidRPr="0054103F">
        <w:rPr>
          <w:rFonts w:asciiTheme="minorBidi" w:hAnsiTheme="minorBidi"/>
          <w:sz w:val="16"/>
          <w:szCs w:val="16"/>
          <w:rtl/>
        </w:rPr>
        <w:t xml:space="preserve">(שם) </w:t>
      </w:r>
      <w:r w:rsidRPr="0054103F">
        <w:rPr>
          <w:rFonts w:asciiTheme="minorBidi" w:hAnsiTheme="minorBidi"/>
          <w:rtl/>
        </w:rPr>
        <w:t xml:space="preserve">רשב"א </w:t>
      </w:r>
      <w:r w:rsidRPr="0054103F">
        <w:rPr>
          <w:rFonts w:asciiTheme="minorBidi" w:hAnsiTheme="minorBidi"/>
          <w:sz w:val="16"/>
          <w:szCs w:val="16"/>
          <w:rtl/>
        </w:rPr>
        <w:t>(שם)</w:t>
      </w:r>
      <w:r>
        <w:rPr>
          <w:rFonts w:asciiTheme="minorBidi" w:hAnsiTheme="minorBidi" w:hint="cs"/>
          <w:rtl/>
        </w:rPr>
        <w:t xml:space="preserve"> </w:t>
      </w:r>
      <w:r w:rsidRPr="0054103F">
        <w:rPr>
          <w:rFonts w:asciiTheme="minorBidi" w:hAnsiTheme="minorBidi"/>
          <w:rtl/>
        </w:rPr>
        <w:t>טור</w:t>
      </w:r>
      <w:r w:rsidRPr="001461F0">
        <w:rPr>
          <w:rFonts w:asciiTheme="minorBidi" w:hAnsiTheme="minorBidi"/>
          <w:rtl/>
        </w:rPr>
        <w:t xml:space="preserve"> </w:t>
      </w:r>
      <w:r>
        <w:rPr>
          <w:rFonts w:asciiTheme="minorBidi" w:hAnsiTheme="minorBidi" w:hint="cs"/>
          <w:rtl/>
        </w:rPr>
        <w:t>ו</w:t>
      </w:r>
      <w:r w:rsidRPr="0054103F">
        <w:rPr>
          <w:rFonts w:asciiTheme="minorBidi" w:hAnsiTheme="minorBidi"/>
          <w:rtl/>
        </w:rPr>
        <w:t xml:space="preserve">ר"ן </w:t>
      </w:r>
      <w:r w:rsidRPr="0054103F">
        <w:rPr>
          <w:rFonts w:asciiTheme="minorBidi" w:hAnsiTheme="minorBidi"/>
          <w:sz w:val="16"/>
          <w:szCs w:val="16"/>
          <w:rtl/>
        </w:rPr>
        <w:t>(שם)</w:t>
      </w:r>
      <w:r w:rsidRPr="0054103F">
        <w:rPr>
          <w:rFonts w:asciiTheme="minorBidi" w:hAnsiTheme="minorBidi"/>
          <w:rtl/>
        </w:rPr>
        <w:t xml:space="preserve">- </w:t>
      </w:r>
      <w:r>
        <w:rPr>
          <w:rFonts w:asciiTheme="minorBidi" w:hAnsiTheme="minorBidi" w:hint="cs"/>
          <w:rtl/>
        </w:rPr>
        <w:t>צריך</w:t>
      </w:r>
      <w:r w:rsidRPr="0054103F">
        <w:rPr>
          <w:rFonts w:asciiTheme="minorBidi" w:hAnsiTheme="minorBidi"/>
          <w:rtl/>
        </w:rPr>
        <w:t xml:space="preserve"> </w:t>
      </w:r>
      <w:r>
        <w:rPr>
          <w:rFonts w:asciiTheme="minorBidi" w:hAnsiTheme="minorBidi" w:hint="cs"/>
          <w:rtl/>
        </w:rPr>
        <w:t>ל</w:t>
      </w:r>
      <w:r w:rsidRPr="0054103F">
        <w:rPr>
          <w:rFonts w:asciiTheme="minorBidi" w:hAnsiTheme="minorBidi"/>
          <w:rtl/>
        </w:rPr>
        <w:t>קרעו שתי וערב ו</w:t>
      </w:r>
      <w:r>
        <w:rPr>
          <w:rFonts w:asciiTheme="minorBidi" w:hAnsiTheme="minorBidi" w:hint="cs"/>
          <w:rtl/>
        </w:rPr>
        <w:t>ל</w:t>
      </w:r>
      <w:r w:rsidRPr="0054103F">
        <w:rPr>
          <w:rFonts w:asciiTheme="minorBidi" w:hAnsiTheme="minorBidi"/>
          <w:rtl/>
        </w:rPr>
        <w:t>הניח חיתוכו למטה</w:t>
      </w:r>
      <w:r>
        <w:rPr>
          <w:rStyle w:val="a7"/>
          <w:rFonts w:asciiTheme="minorBidi" w:hAnsiTheme="minorBidi"/>
          <w:rtl/>
        </w:rPr>
        <w:footnoteReference w:id="575"/>
      </w:r>
      <w:r>
        <w:rPr>
          <w:rFonts w:asciiTheme="minorBidi" w:hAnsiTheme="minorBidi" w:hint="cs"/>
          <w:rtl/>
        </w:rPr>
        <w:t>.</w:t>
      </w:r>
      <w:r w:rsidRPr="00395A82">
        <w:rPr>
          <w:rFonts w:asciiTheme="minorBidi" w:hAnsiTheme="minorBidi"/>
          <w:color w:val="E36C0A" w:themeColor="accent6" w:themeShade="BF"/>
          <w:rtl/>
        </w:rPr>
        <w:t xml:space="preserve"> </w:t>
      </w:r>
      <w:r w:rsidRPr="00843347">
        <w:rPr>
          <w:rFonts w:asciiTheme="minorBidi" w:hAnsiTheme="minorBidi"/>
          <w:color w:val="E36C0A" w:themeColor="accent6" w:themeShade="BF"/>
          <w:rtl/>
        </w:rPr>
        <w:t>(וכ</w:t>
      </w:r>
      <w:r w:rsidRPr="00843347">
        <w:rPr>
          <w:rFonts w:asciiTheme="minorBidi" w:hAnsiTheme="minorBidi" w:hint="cs"/>
          <w:color w:val="E36C0A" w:themeColor="accent6" w:themeShade="BF"/>
          <w:rtl/>
        </w:rPr>
        <w:t>"פ</w:t>
      </w:r>
      <w:r w:rsidRPr="00843347">
        <w:rPr>
          <w:rFonts w:asciiTheme="minorBidi" w:hAnsiTheme="minorBidi"/>
          <w:color w:val="E36C0A" w:themeColor="accent6" w:themeShade="BF"/>
          <w:rtl/>
        </w:rPr>
        <w:t xml:space="preserve"> בשו"ע)</w:t>
      </w:r>
      <w:r>
        <w:rPr>
          <w:rFonts w:asciiTheme="minorBidi" w:hAnsiTheme="minorBidi" w:hint="cs"/>
          <w:color w:val="E36C0A" w:themeColor="accent6" w:themeShade="BF"/>
          <w:rtl/>
        </w:rPr>
        <w:t xml:space="preserve"> </w:t>
      </w:r>
    </w:p>
    <w:p w14:paraId="28A0CECD" w14:textId="77777777" w:rsidR="002C39F4" w:rsidRDefault="002C39F4" w:rsidP="002C39F4">
      <w:pPr>
        <w:pStyle w:val="a8"/>
        <w:numPr>
          <w:ilvl w:val="0"/>
          <w:numId w:val="46"/>
        </w:numPr>
        <w:rPr>
          <w:rFonts w:asciiTheme="minorBidi" w:hAnsiTheme="minorBidi"/>
        </w:rPr>
      </w:pPr>
      <w:r w:rsidRPr="0054103F">
        <w:rPr>
          <w:rFonts w:asciiTheme="minorBidi" w:hAnsiTheme="minorBidi"/>
          <w:rtl/>
        </w:rPr>
        <w:t xml:space="preserve">רי"ף רמב"ם </w:t>
      </w:r>
      <w:r w:rsidRPr="0054103F">
        <w:rPr>
          <w:rFonts w:asciiTheme="minorBidi" w:hAnsiTheme="minorBidi"/>
          <w:sz w:val="16"/>
          <w:szCs w:val="16"/>
          <w:rtl/>
        </w:rPr>
        <w:t>(בין להב' הר"ן ובין להב' הב"י)</w:t>
      </w:r>
      <w:r w:rsidRPr="003709C4">
        <w:rPr>
          <w:rFonts w:asciiTheme="minorBidi" w:hAnsiTheme="minorBidi"/>
          <w:rtl/>
        </w:rPr>
        <w:t xml:space="preserve"> </w:t>
      </w:r>
      <w:r>
        <w:rPr>
          <w:rFonts w:asciiTheme="minorBidi" w:hAnsiTheme="minorBidi" w:hint="cs"/>
          <w:rtl/>
        </w:rPr>
        <w:t>ו</w:t>
      </w:r>
      <w:r w:rsidRPr="0054103F">
        <w:rPr>
          <w:rFonts w:asciiTheme="minorBidi" w:hAnsiTheme="minorBidi"/>
          <w:rtl/>
        </w:rPr>
        <w:t>רוב המפרשים</w:t>
      </w:r>
      <w:r w:rsidRPr="0054103F">
        <w:rPr>
          <w:rFonts w:asciiTheme="minorBidi" w:hAnsiTheme="minorBidi"/>
          <w:sz w:val="16"/>
          <w:szCs w:val="16"/>
          <w:rtl/>
        </w:rPr>
        <w:t xml:space="preserve"> (</w:t>
      </w:r>
      <w:r>
        <w:rPr>
          <w:rFonts w:asciiTheme="minorBidi" w:hAnsiTheme="minorBidi" w:hint="cs"/>
          <w:sz w:val="16"/>
          <w:szCs w:val="16"/>
          <w:rtl/>
        </w:rPr>
        <w:t>כ"כ</w:t>
      </w:r>
      <w:r w:rsidRPr="0054103F">
        <w:rPr>
          <w:rFonts w:asciiTheme="minorBidi" w:hAnsiTheme="minorBidi"/>
          <w:sz w:val="16"/>
          <w:szCs w:val="16"/>
          <w:rtl/>
        </w:rPr>
        <w:t xml:space="preserve"> הר"ן</w:t>
      </w:r>
      <w:r>
        <w:rPr>
          <w:rFonts w:asciiTheme="minorBidi" w:hAnsiTheme="minorBidi" w:hint="cs"/>
          <w:sz w:val="16"/>
          <w:szCs w:val="16"/>
          <w:rtl/>
        </w:rPr>
        <w:t xml:space="preserve"> בשמם</w:t>
      </w:r>
      <w:r w:rsidRPr="0054103F">
        <w:rPr>
          <w:rFonts w:asciiTheme="minorBidi" w:hAnsiTheme="minorBidi"/>
          <w:sz w:val="16"/>
          <w:szCs w:val="16"/>
          <w:rtl/>
        </w:rPr>
        <w:t>)</w:t>
      </w:r>
      <w:r w:rsidRPr="0054103F">
        <w:rPr>
          <w:rFonts w:asciiTheme="minorBidi" w:hAnsiTheme="minorBidi"/>
          <w:rtl/>
        </w:rPr>
        <w:t xml:space="preserve">- לא צריך קריעה דנורא מישב שייב.  </w:t>
      </w:r>
    </w:p>
    <w:p w14:paraId="3C2A635E" w14:textId="77777777" w:rsidR="002C39F4" w:rsidRDefault="002C39F4" w:rsidP="002C39F4">
      <w:pPr>
        <w:rPr>
          <w:rFonts w:asciiTheme="minorBidi" w:hAnsiTheme="minorBidi"/>
          <w:u w:val="single"/>
          <w:rtl/>
        </w:rPr>
      </w:pPr>
      <w:r w:rsidRPr="00395A82">
        <w:rPr>
          <w:rFonts w:asciiTheme="minorBidi" w:hAnsiTheme="minorBidi" w:hint="cs"/>
          <w:u w:val="single"/>
          <w:rtl/>
        </w:rPr>
        <w:t xml:space="preserve">בישל </w:t>
      </w:r>
      <w:r>
        <w:rPr>
          <w:rFonts w:asciiTheme="minorBidi" w:hAnsiTheme="minorBidi" w:hint="cs"/>
          <w:u w:val="single"/>
          <w:rtl/>
        </w:rPr>
        <w:t>את ה</w:t>
      </w:r>
      <w:r w:rsidRPr="00395A82">
        <w:rPr>
          <w:rFonts w:asciiTheme="minorBidi" w:hAnsiTheme="minorBidi" w:hint="cs"/>
          <w:u w:val="single"/>
          <w:rtl/>
        </w:rPr>
        <w:t>כבד</w:t>
      </w:r>
      <w:r>
        <w:rPr>
          <w:rFonts w:asciiTheme="minorBidi" w:hAnsiTheme="minorBidi" w:hint="cs"/>
          <w:u w:val="single"/>
          <w:rtl/>
        </w:rPr>
        <w:t xml:space="preserve"> כמו שהוא </w:t>
      </w:r>
      <w:r>
        <w:rPr>
          <w:rFonts w:asciiTheme="minorBidi" w:hAnsiTheme="minorBidi" w:hint="cs"/>
          <w:sz w:val="16"/>
          <w:szCs w:val="16"/>
          <w:u w:val="single"/>
          <w:rtl/>
        </w:rPr>
        <w:t>(</w:t>
      </w:r>
      <w:r w:rsidRPr="009F0761">
        <w:rPr>
          <w:rFonts w:asciiTheme="minorBidi" w:hAnsiTheme="minorBidi" w:hint="cs"/>
          <w:sz w:val="16"/>
          <w:szCs w:val="16"/>
          <w:u w:val="single"/>
          <w:rtl/>
        </w:rPr>
        <w:t>בלא מליחה ובלא קריעה)</w:t>
      </w:r>
      <w:r w:rsidRPr="00395A82">
        <w:rPr>
          <w:rFonts w:asciiTheme="minorBidi" w:hAnsiTheme="minorBidi" w:hint="cs"/>
          <w:u w:val="single"/>
          <w:rtl/>
        </w:rPr>
        <w:t>:</w:t>
      </w:r>
      <w:r w:rsidRPr="003024E5">
        <w:rPr>
          <w:rFonts w:asciiTheme="minorBidi" w:hAnsiTheme="minorBidi"/>
          <w:sz w:val="16"/>
          <w:szCs w:val="16"/>
          <w:rtl/>
        </w:rPr>
        <w:t xml:space="preserve">   </w:t>
      </w:r>
      <w:r>
        <w:rPr>
          <w:rFonts w:asciiTheme="minorBidi" w:hAnsiTheme="minorBidi" w:hint="cs"/>
          <w:sz w:val="16"/>
          <w:szCs w:val="16"/>
          <w:rtl/>
        </w:rPr>
        <w:t xml:space="preserve">  </w:t>
      </w:r>
      <w:r w:rsidRPr="003024E5">
        <w:rPr>
          <w:rFonts w:asciiTheme="minorBidi" w:hAnsiTheme="minorBidi"/>
          <w:sz w:val="16"/>
          <w:szCs w:val="16"/>
          <w:rtl/>
        </w:rPr>
        <w:t xml:space="preserve">(ב"י </w:t>
      </w:r>
      <w:r>
        <w:rPr>
          <w:rFonts w:asciiTheme="minorBidi" w:hAnsiTheme="minorBidi" w:hint="cs"/>
          <w:sz w:val="16"/>
          <w:szCs w:val="16"/>
          <w:rtl/>
        </w:rPr>
        <w:t>כאן וב</w:t>
      </w:r>
      <w:r w:rsidRPr="003024E5">
        <w:rPr>
          <w:rFonts w:asciiTheme="minorBidi" w:hAnsiTheme="minorBidi"/>
          <w:sz w:val="16"/>
          <w:szCs w:val="16"/>
          <w:rtl/>
        </w:rPr>
        <w:t>סע' ב)</w:t>
      </w:r>
    </w:p>
    <w:p w14:paraId="4132DF45" w14:textId="77777777" w:rsidR="002C39F4" w:rsidRPr="009F0761" w:rsidRDefault="002C39F4" w:rsidP="002C39F4">
      <w:pPr>
        <w:pStyle w:val="a8"/>
        <w:numPr>
          <w:ilvl w:val="0"/>
          <w:numId w:val="96"/>
        </w:numPr>
        <w:rPr>
          <w:rFonts w:asciiTheme="minorBidi" w:hAnsiTheme="minorBidi"/>
          <w:u w:val="single"/>
        </w:rPr>
      </w:pPr>
      <w:r w:rsidRPr="009F0761">
        <w:rPr>
          <w:rFonts w:asciiTheme="minorBidi" w:hAnsiTheme="minorBidi"/>
          <w:rtl/>
        </w:rPr>
        <w:t>רוב המפרשים</w:t>
      </w:r>
      <w:r w:rsidRPr="009F0761">
        <w:rPr>
          <w:rFonts w:asciiTheme="minorBidi" w:hAnsiTheme="minorBidi"/>
          <w:sz w:val="16"/>
          <w:szCs w:val="16"/>
          <w:rtl/>
        </w:rPr>
        <w:t xml:space="preserve"> (</w:t>
      </w:r>
      <w:r w:rsidRPr="009F0761">
        <w:rPr>
          <w:rFonts w:asciiTheme="minorBidi" w:hAnsiTheme="minorBidi" w:hint="cs"/>
          <w:sz w:val="16"/>
          <w:szCs w:val="16"/>
          <w:rtl/>
        </w:rPr>
        <w:t>כ"כ</w:t>
      </w:r>
      <w:r w:rsidRPr="009F0761">
        <w:rPr>
          <w:rFonts w:asciiTheme="minorBidi" w:hAnsiTheme="minorBidi"/>
          <w:sz w:val="16"/>
          <w:szCs w:val="16"/>
          <w:rtl/>
        </w:rPr>
        <w:t xml:space="preserve"> הר"ן</w:t>
      </w:r>
      <w:r w:rsidRPr="009F0761">
        <w:rPr>
          <w:rFonts w:asciiTheme="minorBidi" w:hAnsiTheme="minorBidi" w:hint="cs"/>
          <w:sz w:val="16"/>
          <w:szCs w:val="16"/>
          <w:rtl/>
        </w:rPr>
        <w:t xml:space="preserve"> בשמם</w:t>
      </w:r>
      <w:r w:rsidRPr="009F0761">
        <w:rPr>
          <w:rFonts w:asciiTheme="minorBidi" w:hAnsiTheme="minorBidi"/>
          <w:sz w:val="16"/>
          <w:szCs w:val="16"/>
          <w:rtl/>
        </w:rPr>
        <w:t>)</w:t>
      </w:r>
      <w:r w:rsidRPr="009F0761">
        <w:rPr>
          <w:rFonts w:asciiTheme="minorBidi" w:hAnsiTheme="minorBidi"/>
          <w:rtl/>
        </w:rPr>
        <w:t>- לא קרעו ולא מלחו כלל ובשלו</w:t>
      </w:r>
      <w:r w:rsidRPr="009F0761">
        <w:rPr>
          <w:rFonts w:asciiTheme="minorBidi" w:hAnsiTheme="minorBidi" w:hint="cs"/>
          <w:rtl/>
        </w:rPr>
        <w:t xml:space="preserve"> </w:t>
      </w:r>
      <w:r w:rsidRPr="009F0761">
        <w:rPr>
          <w:rFonts w:asciiTheme="minorBidi" w:hAnsiTheme="minorBidi"/>
          <w:rtl/>
        </w:rPr>
        <w:t>- הכבד עצמו מותר, ואם נתבשל עם הבשר אוסר בנותן טעם</w:t>
      </w:r>
      <w:r w:rsidRPr="009F0761">
        <w:rPr>
          <w:rFonts w:asciiTheme="minorBidi" w:hAnsiTheme="minorBidi" w:hint="cs"/>
          <w:rtl/>
        </w:rPr>
        <w:t xml:space="preserve">. טור- </w:t>
      </w:r>
      <w:r w:rsidRPr="009F0761">
        <w:rPr>
          <w:rFonts w:asciiTheme="minorBidi" w:hAnsiTheme="minorBidi"/>
          <w:rtl/>
        </w:rPr>
        <w:t>אין להתיר לבשלו ע"י קריעה ומליחה ומיהו בדיעבד שרי.</w:t>
      </w:r>
      <w:r w:rsidRPr="009F0761">
        <w:rPr>
          <w:rFonts w:asciiTheme="minorBidi" w:hAnsiTheme="minorBidi" w:hint="cs"/>
          <w:rtl/>
        </w:rPr>
        <w:t xml:space="preserve"> </w:t>
      </w:r>
    </w:p>
    <w:p w14:paraId="57AC36E7" w14:textId="77777777" w:rsidR="002C39F4" w:rsidRPr="0054103F" w:rsidRDefault="002C39F4" w:rsidP="002C39F4">
      <w:pPr>
        <w:pStyle w:val="a8"/>
        <w:numPr>
          <w:ilvl w:val="0"/>
          <w:numId w:val="47"/>
        </w:numPr>
        <w:rPr>
          <w:rFonts w:asciiTheme="minorBidi" w:hAnsiTheme="minorBidi"/>
        </w:rPr>
      </w:pPr>
      <w:r>
        <w:rPr>
          <w:rFonts w:asciiTheme="minorBidi" w:hAnsiTheme="minorBidi" w:hint="cs"/>
          <w:rtl/>
        </w:rPr>
        <w:t>(</w:t>
      </w:r>
      <w:r w:rsidRPr="0054103F">
        <w:rPr>
          <w:rFonts w:asciiTheme="minorBidi" w:hAnsiTheme="minorBidi"/>
          <w:rtl/>
        </w:rPr>
        <w:t xml:space="preserve">רי"ף </w:t>
      </w:r>
      <w:r w:rsidRPr="0054103F">
        <w:rPr>
          <w:rFonts w:asciiTheme="minorBidi" w:hAnsiTheme="minorBidi"/>
          <w:sz w:val="16"/>
          <w:szCs w:val="16"/>
          <w:rtl/>
        </w:rPr>
        <w:t>להב' הרא"ש</w:t>
      </w:r>
      <w:r w:rsidRPr="0054103F">
        <w:rPr>
          <w:rStyle w:val="a7"/>
          <w:rFonts w:asciiTheme="minorBidi" w:hAnsiTheme="minorBidi"/>
          <w:rtl/>
        </w:rPr>
        <w:footnoteReference w:id="576"/>
      </w:r>
      <w:r>
        <w:rPr>
          <w:rFonts w:asciiTheme="minorBidi" w:hAnsiTheme="minorBidi" w:hint="cs"/>
          <w:rtl/>
        </w:rPr>
        <w:t>)</w:t>
      </w:r>
      <w:r w:rsidRPr="0054103F">
        <w:rPr>
          <w:rFonts w:asciiTheme="minorBidi" w:hAnsiTheme="minorBidi"/>
          <w:rtl/>
        </w:rPr>
        <w:t xml:space="preserve"> רשב"א </w:t>
      </w:r>
      <w:r>
        <w:rPr>
          <w:rFonts w:asciiTheme="minorBidi" w:hAnsiTheme="minorBidi" w:hint="cs"/>
          <w:rtl/>
        </w:rPr>
        <w:t>ו</w:t>
      </w:r>
      <w:r w:rsidRPr="0054103F">
        <w:rPr>
          <w:rFonts w:asciiTheme="minorBidi" w:hAnsiTheme="minorBidi"/>
          <w:rtl/>
        </w:rPr>
        <w:t>רא"ש</w:t>
      </w:r>
      <w:r w:rsidRPr="0054103F">
        <w:rPr>
          <w:rFonts w:asciiTheme="minorBidi" w:hAnsiTheme="minorBidi"/>
          <w:sz w:val="16"/>
          <w:szCs w:val="16"/>
          <w:rtl/>
        </w:rPr>
        <w:t xml:space="preserve"> (כ"כ הב"י בשמם)</w:t>
      </w:r>
      <w:r w:rsidRPr="0054103F">
        <w:rPr>
          <w:rFonts w:asciiTheme="minorBidi" w:hAnsiTheme="minorBidi"/>
          <w:rtl/>
        </w:rPr>
        <w:t xml:space="preserve">- </w:t>
      </w:r>
      <w:r>
        <w:rPr>
          <w:rFonts w:asciiTheme="minorBidi" w:hAnsiTheme="minorBidi" w:hint="cs"/>
          <w:rtl/>
        </w:rPr>
        <w:t xml:space="preserve">אם בשלו לבדו </w:t>
      </w:r>
      <w:r w:rsidRPr="0054103F">
        <w:rPr>
          <w:rFonts w:asciiTheme="minorBidi" w:hAnsiTheme="minorBidi"/>
          <w:rtl/>
        </w:rPr>
        <w:t>שרי בדיעבד</w:t>
      </w:r>
      <w:r w:rsidRPr="0054103F">
        <w:rPr>
          <w:rStyle w:val="a7"/>
          <w:rFonts w:asciiTheme="minorBidi" w:hAnsiTheme="minorBidi"/>
          <w:rtl/>
        </w:rPr>
        <w:footnoteReference w:id="577"/>
      </w:r>
      <w:r w:rsidRPr="0054103F">
        <w:rPr>
          <w:rFonts w:asciiTheme="minorBidi" w:hAnsiTheme="minorBidi"/>
          <w:rtl/>
        </w:rPr>
        <w:t>.</w:t>
      </w:r>
      <w:r w:rsidRPr="0054103F">
        <w:rPr>
          <w:rFonts w:asciiTheme="minorBidi" w:hAnsiTheme="minorBidi"/>
          <w:color w:val="E36C0A" w:themeColor="accent6" w:themeShade="BF"/>
          <w:rtl/>
        </w:rPr>
        <w:t xml:space="preserve"> (וכ</w:t>
      </w:r>
      <w:r w:rsidRPr="0054103F">
        <w:rPr>
          <w:rFonts w:asciiTheme="minorBidi" w:hAnsiTheme="minorBidi" w:hint="cs"/>
          <w:color w:val="E36C0A" w:themeColor="accent6" w:themeShade="BF"/>
          <w:rtl/>
        </w:rPr>
        <w:t>"ס</w:t>
      </w:r>
      <w:r w:rsidRPr="0054103F">
        <w:rPr>
          <w:rFonts w:asciiTheme="minorBidi" w:hAnsiTheme="minorBidi"/>
          <w:color w:val="E36C0A" w:themeColor="accent6" w:themeShade="BF"/>
          <w:rtl/>
        </w:rPr>
        <w:t xml:space="preserve"> בשו"ע)</w:t>
      </w:r>
    </w:p>
    <w:p w14:paraId="04C317C9" w14:textId="77777777" w:rsidR="002C39F4" w:rsidRDefault="002C39F4" w:rsidP="002C39F4">
      <w:pPr>
        <w:pStyle w:val="a8"/>
        <w:numPr>
          <w:ilvl w:val="0"/>
          <w:numId w:val="52"/>
        </w:numPr>
        <w:rPr>
          <w:rFonts w:asciiTheme="minorBidi" w:hAnsiTheme="minorBidi"/>
        </w:rPr>
      </w:pPr>
      <w:r>
        <w:rPr>
          <w:rFonts w:asciiTheme="minorBidi" w:hAnsiTheme="minorBidi" w:hint="cs"/>
          <w:rtl/>
        </w:rPr>
        <w:t>(</w:t>
      </w:r>
      <w:r w:rsidRPr="0054103F">
        <w:rPr>
          <w:rFonts w:asciiTheme="minorBidi" w:hAnsiTheme="minorBidi"/>
          <w:rtl/>
        </w:rPr>
        <w:t xml:space="preserve">רי"ף </w:t>
      </w:r>
      <w:r w:rsidRPr="0054103F">
        <w:rPr>
          <w:rFonts w:asciiTheme="minorBidi" w:hAnsiTheme="minorBidi"/>
          <w:sz w:val="16"/>
          <w:szCs w:val="16"/>
          <w:rtl/>
        </w:rPr>
        <w:t>להב' הר</w:t>
      </w:r>
      <w:r>
        <w:rPr>
          <w:rFonts w:asciiTheme="minorBidi" w:hAnsiTheme="minorBidi" w:hint="cs"/>
          <w:sz w:val="16"/>
          <w:szCs w:val="16"/>
          <w:rtl/>
        </w:rPr>
        <w:t>"ן</w:t>
      </w:r>
      <w:r>
        <w:rPr>
          <w:rFonts w:asciiTheme="minorBidi" w:hAnsiTheme="minorBidi" w:hint="cs"/>
          <w:rtl/>
        </w:rPr>
        <w:t xml:space="preserve">) </w:t>
      </w:r>
      <w:r w:rsidRPr="0054103F">
        <w:rPr>
          <w:rFonts w:asciiTheme="minorBidi" w:hAnsiTheme="minorBidi"/>
          <w:rtl/>
        </w:rPr>
        <w:t>רמב"ם</w:t>
      </w:r>
      <w:r w:rsidRPr="0054103F">
        <w:rPr>
          <w:rFonts w:asciiTheme="minorBidi" w:hAnsiTheme="minorBidi" w:hint="cs"/>
          <w:sz w:val="16"/>
          <w:szCs w:val="16"/>
          <w:rtl/>
        </w:rPr>
        <w:t xml:space="preserve"> (שם)</w:t>
      </w:r>
      <w:r w:rsidRPr="0054103F">
        <w:rPr>
          <w:rFonts w:asciiTheme="minorBidi" w:hAnsiTheme="minorBidi" w:hint="cs"/>
          <w:rtl/>
        </w:rPr>
        <w:t xml:space="preserve"> ר"פ </w:t>
      </w:r>
      <w:r w:rsidRPr="0054103F">
        <w:rPr>
          <w:rFonts w:asciiTheme="minorBidi" w:hAnsiTheme="minorBidi" w:hint="cs"/>
          <w:sz w:val="16"/>
          <w:szCs w:val="16"/>
          <w:rtl/>
        </w:rPr>
        <w:t xml:space="preserve">(סי' רה אות ג) </w:t>
      </w:r>
      <w:r w:rsidRPr="0054103F">
        <w:rPr>
          <w:rFonts w:asciiTheme="minorBidi" w:hAnsiTheme="minorBidi" w:hint="cs"/>
          <w:rtl/>
        </w:rPr>
        <w:t>ומהרא"י</w:t>
      </w:r>
      <w:r w:rsidRPr="0054103F">
        <w:rPr>
          <w:rFonts w:asciiTheme="minorBidi" w:hAnsiTheme="minorBidi" w:hint="cs"/>
          <w:sz w:val="16"/>
          <w:szCs w:val="16"/>
          <w:rtl/>
        </w:rPr>
        <w:t xml:space="preserve"> (בהגשע"ד סי' כד אות א)</w:t>
      </w:r>
      <w:r w:rsidRPr="0054103F">
        <w:rPr>
          <w:rFonts w:asciiTheme="minorBidi" w:hAnsiTheme="minorBidi"/>
          <w:rtl/>
        </w:rPr>
        <w:t>- אסור</w:t>
      </w:r>
      <w:r>
        <w:rPr>
          <w:rFonts w:asciiTheme="minorBidi" w:hAnsiTheme="minorBidi" w:hint="cs"/>
          <w:rtl/>
        </w:rPr>
        <w:t xml:space="preserve"> אפילו בשלו לבדו</w:t>
      </w:r>
      <w:r w:rsidRPr="0054103F">
        <w:rPr>
          <w:rStyle w:val="a7"/>
          <w:rFonts w:asciiTheme="minorBidi" w:hAnsiTheme="minorBidi"/>
          <w:rtl/>
        </w:rPr>
        <w:footnoteReference w:id="578"/>
      </w:r>
      <w:r w:rsidRPr="0054103F">
        <w:rPr>
          <w:rFonts w:asciiTheme="minorBidi" w:hAnsiTheme="minorBidi"/>
          <w:rtl/>
        </w:rPr>
        <w:t xml:space="preserve">. </w:t>
      </w:r>
      <w:r w:rsidRPr="0054103F">
        <w:rPr>
          <w:rFonts w:asciiTheme="minorBidi" w:hAnsiTheme="minorBidi"/>
          <w:color w:val="00B0F0"/>
          <w:rtl/>
        </w:rPr>
        <w:t>(וכ"פ הרמ"א)</w:t>
      </w:r>
    </w:p>
    <w:p w14:paraId="4B7421A8" w14:textId="77777777" w:rsidR="002C39F4" w:rsidRPr="0054103F" w:rsidRDefault="002C39F4" w:rsidP="002C39F4">
      <w:pPr>
        <w:rPr>
          <w:rFonts w:asciiTheme="minorBidi" w:hAnsiTheme="minorBidi"/>
          <w:sz w:val="16"/>
          <w:szCs w:val="16"/>
          <w:u w:val="single"/>
          <w:rtl/>
        </w:rPr>
      </w:pPr>
      <w:r w:rsidRPr="0054103F">
        <w:rPr>
          <w:rFonts w:asciiTheme="minorBidi" w:hAnsiTheme="minorBidi"/>
          <w:u w:val="single"/>
          <w:rtl/>
        </w:rPr>
        <w:t>הדחת הכבד לאחר צלייה:</w:t>
      </w:r>
      <w:r w:rsidRPr="0054103F">
        <w:rPr>
          <w:rFonts w:asciiTheme="minorBidi" w:hAnsiTheme="minorBidi"/>
          <w:sz w:val="16"/>
          <w:szCs w:val="16"/>
          <w:rtl/>
        </w:rPr>
        <w:t xml:space="preserve">  (ב"י [על סע' ה] ודרכ"מ [אות י])</w:t>
      </w:r>
    </w:p>
    <w:p w14:paraId="413C073E" w14:textId="77777777" w:rsidR="002C39F4" w:rsidRPr="003024E5" w:rsidRDefault="002C39F4" w:rsidP="002C39F4">
      <w:pPr>
        <w:pStyle w:val="a8"/>
        <w:numPr>
          <w:ilvl w:val="0"/>
          <w:numId w:val="52"/>
        </w:numPr>
        <w:rPr>
          <w:rFonts w:asciiTheme="minorBidi" w:hAnsiTheme="minorBidi"/>
        </w:rPr>
      </w:pPr>
      <w:r w:rsidRPr="0054103F">
        <w:rPr>
          <w:rFonts w:asciiTheme="minorBidi" w:hAnsiTheme="minorBidi"/>
          <w:rtl/>
        </w:rPr>
        <w:t>מרדכי בשם ראבי"ה- אם צלו הכבד ולא הדיחו</w:t>
      </w:r>
      <w:r w:rsidRPr="0054103F">
        <w:rPr>
          <w:rStyle w:val="a7"/>
          <w:rFonts w:asciiTheme="minorBidi" w:hAnsiTheme="minorBidi"/>
          <w:rtl/>
        </w:rPr>
        <w:footnoteReference w:id="579"/>
      </w:r>
      <w:r w:rsidRPr="0054103F">
        <w:rPr>
          <w:rFonts w:asciiTheme="minorBidi" w:hAnsiTheme="minorBidi"/>
          <w:rtl/>
        </w:rPr>
        <w:t xml:space="preserve"> ונתנו בקדרה אין לחוש דנורא מישב שייב, ואע"ג דנראה</w:t>
      </w:r>
      <w:r w:rsidRPr="003024E5">
        <w:rPr>
          <w:rFonts w:asciiTheme="minorBidi" w:hAnsiTheme="minorBidi"/>
          <w:rtl/>
        </w:rPr>
        <w:t xml:space="preserve"> לכלוך דם מוחל בעלמא הוא</w:t>
      </w:r>
      <w:r w:rsidRPr="003024E5">
        <w:rPr>
          <w:rStyle w:val="a7"/>
          <w:rFonts w:asciiTheme="minorBidi" w:hAnsiTheme="minorBidi"/>
          <w:rtl/>
        </w:rPr>
        <w:footnoteReference w:id="580"/>
      </w:r>
      <w:r w:rsidRPr="003024E5">
        <w:rPr>
          <w:rFonts w:asciiTheme="minorBidi" w:hAnsiTheme="minorBidi"/>
          <w:rtl/>
        </w:rPr>
        <w:t xml:space="preserve">. </w:t>
      </w:r>
      <w:r w:rsidRPr="003024E5">
        <w:rPr>
          <w:rFonts w:asciiTheme="minorBidi" w:hAnsiTheme="minorBidi"/>
          <w:color w:val="00B0F0"/>
          <w:rtl/>
        </w:rPr>
        <w:t>(וכ"פ הרמ"א)</w:t>
      </w:r>
    </w:p>
    <w:p w14:paraId="36EEADD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D90D70A" w14:textId="77777777" w:rsidR="002C39F4" w:rsidRPr="003024E5" w:rsidRDefault="002C39F4" w:rsidP="002C39F4">
      <w:pPr>
        <w:rPr>
          <w:rFonts w:asciiTheme="minorBidi" w:hAnsiTheme="minorBidi"/>
          <w:rtl/>
        </w:rPr>
      </w:pPr>
      <w:r w:rsidRPr="003024E5">
        <w:rPr>
          <w:rFonts w:asciiTheme="minorBidi" w:hAnsiTheme="minorBidi"/>
          <w:rtl/>
        </w:rPr>
        <w:t>הכבד יש בו ריבוי דם לפיכך לכתחלה אין לו תקנה לבשלו על ידי מליחה</w:t>
      </w:r>
      <w:r w:rsidRPr="003024E5">
        <w:rPr>
          <w:rStyle w:val="a7"/>
          <w:rFonts w:asciiTheme="minorBidi" w:hAnsiTheme="minorBidi"/>
          <w:rtl/>
        </w:rPr>
        <w:footnoteReference w:id="581"/>
      </w:r>
      <w:r w:rsidRPr="003024E5">
        <w:rPr>
          <w:rFonts w:asciiTheme="minorBidi" w:hAnsiTheme="minorBidi"/>
          <w:rtl/>
        </w:rPr>
        <w:t xml:space="preserve"> אלא קורעו שתי וערב ומניח חיתוכו למטה וצולהו </w:t>
      </w:r>
      <w:r w:rsidRPr="003024E5">
        <w:rPr>
          <w:rFonts w:asciiTheme="minorBidi" w:hAnsiTheme="minorBidi"/>
          <w:sz w:val="18"/>
          <w:szCs w:val="18"/>
          <w:rtl/>
        </w:rPr>
        <w:t>[הגה] שיהא ראוי לאכילה</w:t>
      </w:r>
      <w:r w:rsidRPr="003024E5">
        <w:rPr>
          <w:rStyle w:val="a7"/>
          <w:rFonts w:asciiTheme="minorBidi" w:hAnsiTheme="minorBidi"/>
          <w:sz w:val="18"/>
          <w:szCs w:val="18"/>
          <w:rtl/>
        </w:rPr>
        <w:footnoteReference w:id="582"/>
      </w:r>
      <w:r w:rsidRPr="003024E5">
        <w:rPr>
          <w:rFonts w:asciiTheme="minorBidi" w:hAnsiTheme="minorBidi"/>
          <w:sz w:val="18"/>
          <w:szCs w:val="18"/>
          <w:rtl/>
        </w:rPr>
        <w:t xml:space="preserve"> (או"ה כלל טז ד</w:t>
      </w:r>
      <w:r>
        <w:rPr>
          <w:rFonts w:asciiTheme="minorBidi" w:hAnsiTheme="minorBidi" w:hint="cs"/>
          <w:sz w:val="18"/>
          <w:szCs w:val="18"/>
          <w:rtl/>
        </w:rPr>
        <w:t>"</w:t>
      </w:r>
      <w:r w:rsidRPr="003024E5">
        <w:rPr>
          <w:rFonts w:asciiTheme="minorBidi" w:hAnsiTheme="minorBidi"/>
          <w:sz w:val="18"/>
          <w:szCs w:val="18"/>
          <w:rtl/>
        </w:rPr>
        <w:t>ו)</w:t>
      </w:r>
      <w:r w:rsidRPr="003024E5">
        <w:rPr>
          <w:rFonts w:asciiTheme="minorBidi" w:hAnsiTheme="minorBidi"/>
          <w:rtl/>
        </w:rPr>
        <w:t xml:space="preserve">, ואחר כך יכול לבשלו. </w:t>
      </w:r>
      <w:r w:rsidRPr="003024E5">
        <w:rPr>
          <w:rFonts w:asciiTheme="minorBidi" w:hAnsiTheme="minorBidi"/>
          <w:sz w:val="18"/>
          <w:szCs w:val="18"/>
          <w:rtl/>
        </w:rPr>
        <w:t>הגה: ואם מנקבה הרבה פעמים בסכין הוי כקריעת שתי וערב</w:t>
      </w:r>
      <w:r w:rsidRPr="003024E5">
        <w:rPr>
          <w:rStyle w:val="a7"/>
          <w:rFonts w:asciiTheme="minorBidi" w:hAnsiTheme="minorBidi"/>
          <w:sz w:val="18"/>
          <w:szCs w:val="18"/>
          <w:rtl/>
        </w:rPr>
        <w:footnoteReference w:id="583"/>
      </w:r>
      <w:r w:rsidRPr="003024E5">
        <w:rPr>
          <w:rFonts w:asciiTheme="minorBidi" w:hAnsiTheme="minorBidi"/>
          <w:sz w:val="18"/>
          <w:szCs w:val="18"/>
          <w:rtl/>
        </w:rPr>
        <w:t xml:space="preserve"> (ארוך). וכן אם נטל משם המרה וחתיכת בשר מן הכבד</w:t>
      </w:r>
      <w:r w:rsidRPr="003024E5">
        <w:rPr>
          <w:rStyle w:val="a7"/>
          <w:rFonts w:asciiTheme="minorBidi" w:hAnsiTheme="minorBidi"/>
          <w:sz w:val="18"/>
          <w:szCs w:val="18"/>
          <w:rtl/>
        </w:rPr>
        <w:footnoteReference w:id="584"/>
      </w:r>
      <w:r w:rsidRPr="003024E5">
        <w:rPr>
          <w:rFonts w:asciiTheme="minorBidi" w:hAnsiTheme="minorBidi"/>
          <w:sz w:val="18"/>
          <w:szCs w:val="18"/>
          <w:rtl/>
        </w:rPr>
        <w:t>, דאפשר לדם לזוב משם (הגשע"ד). ומ"מ אם לא עשה כן נוטל הסמפונות לאחר צלייה ומבשלה (ארוך). וכל זה בכבד שלימה אבל כשהיא חתוכה אין צריך כלום (רי"ו). וכשבא לבשלה אחר הצלייה ידיחנה תחלה אחר הצלייה קודם הבישול</w:t>
      </w:r>
      <w:r w:rsidRPr="003024E5">
        <w:rPr>
          <w:rStyle w:val="a7"/>
          <w:rFonts w:asciiTheme="minorBidi" w:hAnsiTheme="minorBidi"/>
          <w:sz w:val="18"/>
          <w:szCs w:val="18"/>
          <w:rtl/>
        </w:rPr>
        <w:footnoteReference w:id="585"/>
      </w:r>
      <w:r w:rsidRPr="003024E5">
        <w:rPr>
          <w:rFonts w:asciiTheme="minorBidi" w:hAnsiTheme="minorBidi"/>
          <w:sz w:val="18"/>
          <w:szCs w:val="18"/>
          <w:rtl/>
        </w:rPr>
        <w:t xml:space="preserve"> (דקדוק ב"י ממרדכי ובארוך). מיהו אם לא הדיחה ובשלה כך מותר (ראבי"ה ואו"ה שם), </w:t>
      </w:r>
      <w:r w:rsidRPr="003024E5">
        <w:rPr>
          <w:rFonts w:asciiTheme="minorBidi" w:hAnsiTheme="minorBidi"/>
          <w:rtl/>
        </w:rPr>
        <w:t>ובדיעבד</w:t>
      </w:r>
      <w:r w:rsidRPr="003024E5">
        <w:rPr>
          <w:rStyle w:val="a7"/>
          <w:rFonts w:asciiTheme="minorBidi" w:hAnsiTheme="minorBidi"/>
          <w:rtl/>
        </w:rPr>
        <w:footnoteReference w:id="586"/>
      </w:r>
      <w:r w:rsidRPr="003024E5">
        <w:rPr>
          <w:rFonts w:asciiTheme="minorBidi" w:hAnsiTheme="minorBidi"/>
          <w:rtl/>
        </w:rPr>
        <w:t xml:space="preserve"> מותר אם נתבשל לבדו בקדירה </w:t>
      </w:r>
      <w:r>
        <w:rPr>
          <w:rFonts w:asciiTheme="minorBidi" w:hAnsiTheme="minorBidi" w:hint="cs"/>
          <w:sz w:val="18"/>
          <w:szCs w:val="18"/>
          <w:rtl/>
        </w:rPr>
        <w:t xml:space="preserve">[הגה] </w:t>
      </w:r>
      <w:r w:rsidRPr="003024E5">
        <w:rPr>
          <w:rFonts w:asciiTheme="minorBidi" w:hAnsiTheme="minorBidi"/>
          <w:sz w:val="18"/>
          <w:szCs w:val="18"/>
          <w:rtl/>
        </w:rPr>
        <w:t>בלא צלייה</w:t>
      </w:r>
      <w:r w:rsidRPr="003024E5">
        <w:rPr>
          <w:rStyle w:val="a7"/>
          <w:rFonts w:asciiTheme="minorBidi" w:hAnsiTheme="minorBidi"/>
          <w:sz w:val="18"/>
          <w:szCs w:val="18"/>
          <w:rtl/>
        </w:rPr>
        <w:footnoteReference w:id="587"/>
      </w:r>
      <w:r w:rsidRPr="003024E5">
        <w:rPr>
          <w:rFonts w:asciiTheme="minorBidi" w:hAnsiTheme="minorBidi"/>
          <w:rtl/>
        </w:rPr>
        <w:t>, אבל הקדירה אסורה, שפולטת ואינה בולעת, ויש מי שאוסר</w:t>
      </w:r>
      <w:r w:rsidRPr="003024E5">
        <w:rPr>
          <w:rStyle w:val="a7"/>
          <w:rFonts w:asciiTheme="minorBidi" w:hAnsiTheme="minorBidi"/>
          <w:rtl/>
        </w:rPr>
        <w:footnoteReference w:id="588"/>
      </w:r>
      <w:r w:rsidRPr="003024E5">
        <w:rPr>
          <w:rFonts w:asciiTheme="minorBidi" w:hAnsiTheme="minorBidi"/>
          <w:rtl/>
        </w:rPr>
        <w:t>.</w:t>
      </w:r>
      <w:r w:rsidRPr="003024E5">
        <w:rPr>
          <w:rFonts w:asciiTheme="minorBidi" w:hAnsiTheme="minorBidi"/>
          <w:sz w:val="18"/>
          <w:szCs w:val="18"/>
          <w:rtl/>
        </w:rPr>
        <w:t xml:space="preserve"> הגה: וכן נוהגין לאסור הכל</w:t>
      </w:r>
      <w:r w:rsidRPr="003024E5">
        <w:rPr>
          <w:rStyle w:val="a7"/>
          <w:rFonts w:asciiTheme="minorBidi" w:hAnsiTheme="minorBidi"/>
          <w:sz w:val="18"/>
          <w:szCs w:val="18"/>
          <w:rtl/>
        </w:rPr>
        <w:footnoteReference w:id="589"/>
      </w:r>
      <w:r w:rsidRPr="003024E5">
        <w:rPr>
          <w:rFonts w:asciiTheme="minorBidi" w:hAnsiTheme="minorBidi"/>
          <w:sz w:val="18"/>
          <w:szCs w:val="18"/>
          <w:rtl/>
        </w:rPr>
        <w:t xml:space="preserve"> (הגהת סמ"ק ומהרא"י בהגשע"ד), אפילו נמלחה הכבד קודם בשולה</w:t>
      </w:r>
      <w:r w:rsidRPr="003024E5">
        <w:rPr>
          <w:rStyle w:val="a7"/>
          <w:rFonts w:asciiTheme="minorBidi" w:hAnsiTheme="minorBidi"/>
          <w:sz w:val="18"/>
          <w:szCs w:val="18"/>
          <w:rtl/>
        </w:rPr>
        <w:footnoteReference w:id="590"/>
      </w:r>
      <w:r w:rsidRPr="003024E5">
        <w:rPr>
          <w:rFonts w:asciiTheme="minorBidi" w:hAnsiTheme="minorBidi"/>
          <w:sz w:val="18"/>
          <w:szCs w:val="18"/>
          <w:rtl/>
        </w:rPr>
        <w:t xml:space="preserve"> (דעת רש"י לאפוקי ר"ת).</w:t>
      </w:r>
    </w:p>
    <w:p w14:paraId="3896A015" w14:textId="77777777" w:rsidR="002C39F4" w:rsidRPr="003024E5" w:rsidRDefault="002C39F4" w:rsidP="002C39F4">
      <w:pPr>
        <w:rPr>
          <w:rFonts w:asciiTheme="minorBidi" w:hAnsiTheme="minorBidi"/>
          <w:rtl/>
        </w:rPr>
      </w:pPr>
    </w:p>
    <w:p w14:paraId="05880C71" w14:textId="77777777" w:rsidR="002C39F4" w:rsidRPr="003024E5" w:rsidRDefault="002C39F4" w:rsidP="002C39F4">
      <w:pPr>
        <w:pStyle w:val="2"/>
        <w:rPr>
          <w:rFonts w:asciiTheme="minorBidi" w:hAnsiTheme="minorBidi"/>
          <w:rtl/>
        </w:rPr>
      </w:pPr>
      <w:r w:rsidRPr="003024E5">
        <w:rPr>
          <w:rFonts w:asciiTheme="minorBidi" w:hAnsiTheme="minorBidi"/>
          <w:rtl/>
        </w:rPr>
        <w:t>סעיף ב: חליטת כבד.</w:t>
      </w:r>
    </w:p>
    <w:p w14:paraId="4F51F11D"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 ע"ב: </w:t>
      </w:r>
      <w:r w:rsidRPr="003024E5">
        <w:rPr>
          <w:rFonts w:asciiTheme="minorBidi" w:hAnsiTheme="minorBidi"/>
          <w:rtl/>
        </w:rPr>
        <w:t>רב הונא חלטי ליה בחלא</w:t>
      </w:r>
      <w:r w:rsidRPr="003024E5">
        <w:rPr>
          <w:rStyle w:val="a7"/>
          <w:rFonts w:asciiTheme="minorBidi" w:hAnsiTheme="minorBidi"/>
          <w:rtl/>
        </w:rPr>
        <w:footnoteReference w:id="591"/>
      </w:r>
      <w:r w:rsidRPr="003024E5">
        <w:rPr>
          <w:rFonts w:asciiTheme="minorBidi" w:hAnsiTheme="minorBidi"/>
          <w:rtl/>
        </w:rPr>
        <w:t xml:space="preserve">, ורב נחמן חלטי ליה ברותחין... רב בר שבא איקלע לבי רב נחמן, אייתו ליה כבדא שליקא ולא אכל, </w:t>
      </w:r>
      <w:r w:rsidRPr="003024E5">
        <w:rPr>
          <w:rFonts w:asciiTheme="minorBidi" w:hAnsiTheme="minorBidi"/>
          <w:u w:val="single"/>
          <w:rtl/>
        </w:rPr>
        <w:t>אמרו ליה</w:t>
      </w:r>
      <w:r w:rsidRPr="003024E5">
        <w:rPr>
          <w:rFonts w:asciiTheme="minorBidi" w:hAnsiTheme="minorBidi"/>
          <w:rtl/>
        </w:rPr>
        <w:t xml:space="preserve">: בר בי רב דלגיו לא אכיל! ומנו? רב בר שבא, </w:t>
      </w:r>
      <w:r w:rsidRPr="003024E5">
        <w:rPr>
          <w:rFonts w:asciiTheme="minorBidi" w:hAnsiTheme="minorBidi"/>
          <w:u w:val="single"/>
          <w:rtl/>
        </w:rPr>
        <w:t>אמר להו רב נחמן</w:t>
      </w:r>
      <w:r w:rsidRPr="003024E5">
        <w:rPr>
          <w:rFonts w:asciiTheme="minorBidi" w:hAnsiTheme="minorBidi"/>
          <w:rtl/>
        </w:rPr>
        <w:t xml:space="preserve">: גאמו לשבא. כתנאי, </w:t>
      </w:r>
      <w:r w:rsidRPr="003024E5">
        <w:rPr>
          <w:rFonts w:asciiTheme="minorBidi" w:hAnsiTheme="minorBidi"/>
          <w:u w:val="single"/>
          <w:rtl/>
        </w:rPr>
        <w:t>ר' אליעזר אומר:</w:t>
      </w:r>
      <w:r w:rsidRPr="003024E5">
        <w:rPr>
          <w:rFonts w:asciiTheme="minorBidi" w:hAnsiTheme="minorBidi"/>
          <w:rtl/>
        </w:rPr>
        <w:t xml:space="preserve"> הכבד אוסרת ואינה נאסרת, מפני שפולטת ואינה בולעת, </w:t>
      </w:r>
      <w:r w:rsidRPr="003024E5">
        <w:rPr>
          <w:rFonts w:asciiTheme="minorBidi" w:hAnsiTheme="minorBidi"/>
          <w:u w:val="single"/>
          <w:rtl/>
        </w:rPr>
        <w:t>ר' ישמעאל בנו של ר' יוחנן בן ברוקה אומר</w:t>
      </w:r>
      <w:r w:rsidRPr="003024E5">
        <w:rPr>
          <w:rFonts w:asciiTheme="minorBidi" w:hAnsiTheme="minorBidi"/>
          <w:rtl/>
        </w:rPr>
        <w:t>: מתובלת</w:t>
      </w:r>
      <w:r w:rsidRPr="003024E5">
        <w:rPr>
          <w:rStyle w:val="a7"/>
          <w:rFonts w:asciiTheme="minorBidi" w:hAnsiTheme="minorBidi"/>
          <w:rtl/>
        </w:rPr>
        <w:footnoteReference w:id="592"/>
      </w:r>
      <w:r w:rsidRPr="003024E5">
        <w:rPr>
          <w:rFonts w:asciiTheme="minorBidi" w:hAnsiTheme="minorBidi"/>
          <w:rtl/>
        </w:rPr>
        <w:t xml:space="preserve"> אוסרת ונאסרת, שלוקה</w:t>
      </w:r>
      <w:r w:rsidRPr="003024E5">
        <w:rPr>
          <w:rStyle w:val="a7"/>
          <w:rFonts w:asciiTheme="minorBidi" w:hAnsiTheme="minorBidi"/>
          <w:rtl/>
        </w:rPr>
        <w:footnoteReference w:id="593"/>
      </w:r>
      <w:r w:rsidRPr="003024E5">
        <w:rPr>
          <w:rFonts w:asciiTheme="minorBidi" w:hAnsiTheme="minorBidi"/>
          <w:rtl/>
        </w:rPr>
        <w:t xml:space="preserve"> אוסרת ונאסרת</w:t>
      </w:r>
      <w:r w:rsidRPr="003024E5">
        <w:rPr>
          <w:rStyle w:val="a7"/>
          <w:rFonts w:asciiTheme="minorBidi" w:hAnsiTheme="minorBidi"/>
          <w:rtl/>
        </w:rPr>
        <w:footnoteReference w:id="594"/>
      </w:r>
      <w:r w:rsidRPr="003024E5">
        <w:rPr>
          <w:rFonts w:asciiTheme="minorBidi" w:hAnsiTheme="minorBidi"/>
          <w:rtl/>
        </w:rPr>
        <w:t xml:space="preserve">. רבה בר רב הונא אקלע לבי רבה בר רב נחמן... אשכח ההוא כבדא דהוה בה סמפונא דבליעא דמא, אמר להו אמאי עבדיתו הכי? </w:t>
      </w:r>
      <w:r w:rsidRPr="003024E5">
        <w:rPr>
          <w:rFonts w:asciiTheme="minorBidi" w:hAnsiTheme="minorBidi"/>
          <w:u w:val="single"/>
          <w:rtl/>
        </w:rPr>
        <w:t>אמרו ליה</w:t>
      </w:r>
      <w:r w:rsidRPr="003024E5">
        <w:rPr>
          <w:rFonts w:asciiTheme="minorBidi" w:hAnsiTheme="minorBidi"/>
          <w:rtl/>
        </w:rPr>
        <w:t xml:space="preserve">: אלא היכי נעביד? </w:t>
      </w:r>
      <w:r w:rsidRPr="003024E5">
        <w:rPr>
          <w:rFonts w:asciiTheme="minorBidi" w:hAnsiTheme="minorBidi"/>
          <w:u w:val="single"/>
          <w:rtl/>
        </w:rPr>
        <w:t>אמר להו</w:t>
      </w:r>
      <w:r w:rsidRPr="003024E5">
        <w:rPr>
          <w:rFonts w:asciiTheme="minorBidi" w:hAnsiTheme="minorBidi"/>
          <w:rtl/>
        </w:rPr>
        <w:t xml:space="preserve">: קרעו שתי וערב וחיתוכא לתחת וה"מ - כבדא, אבל טחלא - שומנא בעלמא הוא. </w:t>
      </w:r>
      <w:r w:rsidRPr="004B2133">
        <w:rPr>
          <w:rFonts w:asciiTheme="minorBidi" w:hAnsiTheme="minorBidi" w:hint="cs"/>
          <w:sz w:val="16"/>
          <w:szCs w:val="16"/>
          <w:rtl/>
        </w:rPr>
        <w:t xml:space="preserve">(וכתבו </w:t>
      </w:r>
      <w:r>
        <w:rPr>
          <w:rFonts w:asciiTheme="minorBidi" w:hAnsiTheme="minorBidi" w:hint="cs"/>
          <w:sz w:val="16"/>
          <w:szCs w:val="16"/>
          <w:rtl/>
        </w:rPr>
        <w:t>הפוסקים</w:t>
      </w:r>
      <w:r w:rsidRPr="004B2133">
        <w:rPr>
          <w:rFonts w:asciiTheme="minorBidi" w:hAnsiTheme="minorBidi" w:hint="cs"/>
          <w:sz w:val="16"/>
          <w:szCs w:val="16"/>
          <w:rtl/>
        </w:rPr>
        <w:t xml:space="preserve"> דודאי מדינא </w:t>
      </w:r>
      <w:r>
        <w:rPr>
          <w:rFonts w:asciiTheme="minorBidi" w:hAnsiTheme="minorBidi" w:hint="cs"/>
          <w:sz w:val="16"/>
          <w:szCs w:val="16"/>
          <w:rtl/>
        </w:rPr>
        <w:t xml:space="preserve">כבד </w:t>
      </w:r>
      <w:r w:rsidRPr="004B2133">
        <w:rPr>
          <w:rFonts w:asciiTheme="minorBidi" w:hAnsiTheme="minorBidi" w:hint="cs"/>
          <w:sz w:val="16"/>
          <w:szCs w:val="16"/>
          <w:rtl/>
        </w:rPr>
        <w:t xml:space="preserve">מותר </w:t>
      </w:r>
      <w:r>
        <w:rPr>
          <w:rFonts w:asciiTheme="minorBidi" w:hAnsiTheme="minorBidi" w:hint="cs"/>
          <w:sz w:val="16"/>
          <w:szCs w:val="16"/>
          <w:rtl/>
        </w:rPr>
        <w:t xml:space="preserve">בחליטה. וכ' </w:t>
      </w:r>
      <w:r w:rsidRPr="004B2133">
        <w:rPr>
          <w:rFonts w:asciiTheme="minorBidi" w:hAnsiTheme="minorBidi"/>
          <w:sz w:val="16"/>
          <w:szCs w:val="16"/>
          <w:rtl/>
        </w:rPr>
        <w:t xml:space="preserve">הרשב"א </w:t>
      </w:r>
      <w:r w:rsidRPr="004B2133">
        <w:rPr>
          <w:rFonts w:asciiTheme="minorBidi" w:hAnsiTheme="minorBidi"/>
          <w:sz w:val="14"/>
          <w:szCs w:val="14"/>
          <w:rtl/>
        </w:rPr>
        <w:t xml:space="preserve">(חידו' שם) </w:t>
      </w:r>
      <w:r w:rsidRPr="004B2133">
        <w:rPr>
          <w:rFonts w:asciiTheme="minorBidi" w:hAnsiTheme="minorBidi"/>
          <w:sz w:val="16"/>
          <w:szCs w:val="16"/>
          <w:rtl/>
        </w:rPr>
        <w:t xml:space="preserve">בשם הראב"ד </w:t>
      </w:r>
      <w:r w:rsidRPr="004B2133">
        <w:rPr>
          <w:rFonts w:asciiTheme="minorBidi" w:hAnsiTheme="minorBidi"/>
          <w:sz w:val="14"/>
          <w:szCs w:val="14"/>
          <w:rtl/>
        </w:rPr>
        <w:t>(תמים דעים סי' כ</w:t>
      </w:r>
      <w:r w:rsidRPr="004B2133">
        <w:rPr>
          <w:rFonts w:asciiTheme="minorBidi" w:hAnsiTheme="minorBidi" w:hint="cs"/>
          <w:sz w:val="14"/>
          <w:szCs w:val="14"/>
          <w:rtl/>
        </w:rPr>
        <w:t>,</w:t>
      </w:r>
      <w:r w:rsidRPr="004B2133">
        <w:rPr>
          <w:rFonts w:asciiTheme="minorBidi" w:hAnsiTheme="minorBidi"/>
          <w:sz w:val="14"/>
          <w:szCs w:val="14"/>
          <w:rtl/>
        </w:rPr>
        <w:t xml:space="preserve"> וכ"פ </w:t>
      </w:r>
      <w:r w:rsidRPr="004B2133">
        <w:rPr>
          <w:rFonts w:asciiTheme="minorBidi" w:hAnsiTheme="minorBidi" w:hint="cs"/>
          <w:sz w:val="14"/>
          <w:szCs w:val="14"/>
          <w:rtl/>
        </w:rPr>
        <w:t xml:space="preserve">הרשב"א </w:t>
      </w:r>
      <w:r w:rsidRPr="004B2133">
        <w:rPr>
          <w:rFonts w:asciiTheme="minorBidi" w:hAnsiTheme="minorBidi"/>
          <w:sz w:val="14"/>
          <w:szCs w:val="14"/>
          <w:rtl/>
        </w:rPr>
        <w:t>בתוה"</w:t>
      </w:r>
      <w:r w:rsidRPr="004B2133">
        <w:rPr>
          <w:rFonts w:asciiTheme="minorBidi" w:hAnsiTheme="minorBidi" w:hint="cs"/>
          <w:sz w:val="14"/>
          <w:szCs w:val="14"/>
          <w:rtl/>
        </w:rPr>
        <w:t xml:space="preserve">א </w:t>
      </w:r>
      <w:r w:rsidRPr="004B2133">
        <w:rPr>
          <w:rFonts w:asciiTheme="minorBidi" w:hAnsiTheme="minorBidi"/>
          <w:sz w:val="14"/>
          <w:szCs w:val="14"/>
          <w:rtl/>
        </w:rPr>
        <w:t>שם עז:)</w:t>
      </w:r>
      <w:r w:rsidRPr="004B2133">
        <w:rPr>
          <w:rFonts w:asciiTheme="minorBidi" w:hAnsiTheme="minorBidi" w:hint="cs"/>
          <w:sz w:val="14"/>
          <w:szCs w:val="14"/>
          <w:rtl/>
        </w:rPr>
        <w:t xml:space="preserve"> </w:t>
      </w:r>
      <w:r w:rsidRPr="004B2133">
        <w:rPr>
          <w:rFonts w:asciiTheme="minorBidi" w:hAnsiTheme="minorBidi"/>
          <w:sz w:val="16"/>
          <w:szCs w:val="16"/>
          <w:rtl/>
        </w:rPr>
        <w:t xml:space="preserve">דצריך </w:t>
      </w:r>
      <w:r>
        <w:rPr>
          <w:rFonts w:asciiTheme="minorBidi" w:hAnsiTheme="minorBidi" w:hint="cs"/>
          <w:sz w:val="16"/>
          <w:szCs w:val="16"/>
          <w:rtl/>
        </w:rPr>
        <w:t xml:space="preserve">גם </w:t>
      </w:r>
      <w:r w:rsidRPr="004B2133">
        <w:rPr>
          <w:rFonts w:asciiTheme="minorBidi" w:hAnsiTheme="minorBidi"/>
          <w:sz w:val="16"/>
          <w:szCs w:val="16"/>
          <w:rtl/>
        </w:rPr>
        <w:t>לנקר ולהוציא מזרקי הדם</w:t>
      </w:r>
      <w:r>
        <w:rPr>
          <w:rFonts w:asciiTheme="minorBidi" w:hAnsiTheme="minorBidi" w:hint="cs"/>
          <w:sz w:val="16"/>
          <w:szCs w:val="16"/>
          <w:rtl/>
        </w:rPr>
        <w:t>.</w:t>
      </w:r>
      <w:r w:rsidRPr="004B2133">
        <w:rPr>
          <w:rFonts w:asciiTheme="minorBidi" w:hAnsiTheme="minorBidi"/>
          <w:sz w:val="16"/>
          <w:szCs w:val="16"/>
          <w:rtl/>
        </w:rPr>
        <w:t xml:space="preserve"> </w:t>
      </w:r>
      <w:r>
        <w:rPr>
          <w:rFonts w:asciiTheme="minorBidi" w:hAnsiTheme="minorBidi" w:hint="cs"/>
          <w:sz w:val="16"/>
          <w:szCs w:val="16"/>
          <w:rtl/>
        </w:rPr>
        <w:t>ומ"מ עתה אין לחלוט מ</w:t>
      </w:r>
      <w:r w:rsidRPr="004B2133">
        <w:rPr>
          <w:rFonts w:asciiTheme="minorBidi" w:hAnsiTheme="minorBidi"/>
          <w:sz w:val="16"/>
          <w:szCs w:val="16"/>
          <w:rtl/>
        </w:rPr>
        <w:t>תקנ</w:t>
      </w:r>
      <w:r>
        <w:rPr>
          <w:rFonts w:asciiTheme="minorBidi" w:hAnsiTheme="minorBidi" w:hint="cs"/>
          <w:sz w:val="16"/>
          <w:szCs w:val="16"/>
          <w:rtl/>
        </w:rPr>
        <w:t>ת</w:t>
      </w:r>
      <w:r w:rsidRPr="004B2133">
        <w:rPr>
          <w:rFonts w:asciiTheme="minorBidi" w:hAnsiTheme="minorBidi"/>
          <w:sz w:val="16"/>
          <w:szCs w:val="16"/>
          <w:rtl/>
        </w:rPr>
        <w:t xml:space="preserve"> הגאונים</w:t>
      </w:r>
      <w:r>
        <w:rPr>
          <w:rFonts w:asciiTheme="minorBidi" w:hAnsiTheme="minorBidi" w:hint="cs"/>
          <w:sz w:val="16"/>
          <w:szCs w:val="16"/>
          <w:rtl/>
        </w:rPr>
        <w:t>,</w:t>
      </w:r>
      <w:r w:rsidRPr="004B2133">
        <w:rPr>
          <w:rFonts w:asciiTheme="minorBidi" w:hAnsiTheme="minorBidi"/>
          <w:sz w:val="16"/>
          <w:szCs w:val="16"/>
          <w:rtl/>
        </w:rPr>
        <w:t xml:space="preserve"> </w:t>
      </w:r>
      <w:r>
        <w:rPr>
          <w:rFonts w:asciiTheme="minorBidi" w:hAnsiTheme="minorBidi" w:hint="cs"/>
          <w:sz w:val="16"/>
          <w:szCs w:val="16"/>
          <w:rtl/>
        </w:rPr>
        <w:t xml:space="preserve">והוא </w:t>
      </w:r>
      <w:r w:rsidRPr="004B2133">
        <w:rPr>
          <w:rFonts w:asciiTheme="minorBidi" w:hAnsiTheme="minorBidi" w:hint="cs"/>
          <w:sz w:val="16"/>
          <w:szCs w:val="16"/>
          <w:rtl/>
        </w:rPr>
        <w:t>כיון דאין אנו בקיאין בזה</w:t>
      </w:r>
      <w:r w:rsidRPr="00FB4C55">
        <w:rPr>
          <w:rStyle w:val="a7"/>
          <w:rFonts w:asciiTheme="minorBidi" w:hAnsiTheme="minorBidi"/>
          <w:sz w:val="16"/>
          <w:szCs w:val="16"/>
          <w:rtl/>
        </w:rPr>
        <w:footnoteReference w:id="595"/>
      </w:r>
      <w:r w:rsidRPr="004B2133">
        <w:rPr>
          <w:rFonts w:asciiTheme="minorBidi" w:hAnsiTheme="minorBidi" w:hint="cs"/>
          <w:sz w:val="16"/>
          <w:szCs w:val="16"/>
          <w:rtl/>
        </w:rPr>
        <w:t>. וכ' ה</w:t>
      </w:r>
      <w:r w:rsidRPr="004B2133">
        <w:rPr>
          <w:rFonts w:asciiTheme="minorBidi" w:hAnsiTheme="minorBidi"/>
          <w:sz w:val="16"/>
          <w:szCs w:val="16"/>
          <w:rtl/>
        </w:rPr>
        <w:t xml:space="preserve">רשב"א </w:t>
      </w:r>
      <w:r w:rsidRPr="004B2133">
        <w:rPr>
          <w:rFonts w:asciiTheme="minorBidi" w:hAnsiTheme="minorBidi"/>
          <w:sz w:val="14"/>
          <w:szCs w:val="14"/>
          <w:rtl/>
        </w:rPr>
        <w:t>(בחידו' קיט: ד"ה ומ"ש ר"ת, ותוה"</w:t>
      </w:r>
      <w:r>
        <w:rPr>
          <w:rFonts w:asciiTheme="minorBidi" w:hAnsiTheme="minorBidi" w:hint="cs"/>
          <w:sz w:val="14"/>
          <w:szCs w:val="14"/>
          <w:rtl/>
        </w:rPr>
        <w:t>ק</w:t>
      </w:r>
      <w:r w:rsidRPr="004B2133">
        <w:rPr>
          <w:rFonts w:asciiTheme="minorBidi" w:hAnsiTheme="minorBidi"/>
          <w:sz w:val="14"/>
          <w:szCs w:val="14"/>
          <w:rtl/>
        </w:rPr>
        <w:t xml:space="preserve"> עה., </w:t>
      </w:r>
      <w:r>
        <w:rPr>
          <w:rFonts w:asciiTheme="minorBidi" w:hAnsiTheme="minorBidi" w:hint="cs"/>
          <w:sz w:val="14"/>
          <w:szCs w:val="14"/>
          <w:rtl/>
        </w:rPr>
        <w:t>ותוה"א</w:t>
      </w:r>
      <w:r w:rsidRPr="004B2133">
        <w:rPr>
          <w:rFonts w:asciiTheme="minorBidi" w:hAnsiTheme="minorBidi"/>
          <w:sz w:val="14"/>
          <w:szCs w:val="14"/>
          <w:rtl/>
        </w:rPr>
        <w:t xml:space="preserve"> עח:)</w:t>
      </w:r>
      <w:r w:rsidRPr="004B2133">
        <w:rPr>
          <w:rFonts w:asciiTheme="minorBidi" w:hAnsiTheme="minorBidi" w:hint="cs"/>
          <w:sz w:val="16"/>
          <w:szCs w:val="16"/>
          <w:rtl/>
        </w:rPr>
        <w:t xml:space="preserve"> ד</w:t>
      </w:r>
      <w:r w:rsidRPr="004B2133">
        <w:rPr>
          <w:rFonts w:asciiTheme="minorBidi" w:hAnsiTheme="minorBidi"/>
          <w:sz w:val="16"/>
          <w:szCs w:val="16"/>
          <w:rtl/>
        </w:rPr>
        <w:t>כיון דמדינא שרי לכתחלה כשגזרו בו הגאונים לא גזרו אלא לכתחלה אבל לא בדיעב</w:t>
      </w:r>
      <w:r>
        <w:rPr>
          <w:rFonts w:asciiTheme="minorBidi" w:hAnsiTheme="minorBidi" w:hint="cs"/>
          <w:sz w:val="16"/>
          <w:szCs w:val="16"/>
          <w:rtl/>
        </w:rPr>
        <w:t>ד,</w:t>
      </w:r>
      <w:r w:rsidRPr="004B2133">
        <w:rPr>
          <w:rFonts w:asciiTheme="minorBidi" w:hAnsiTheme="minorBidi" w:hint="cs"/>
          <w:sz w:val="16"/>
          <w:szCs w:val="16"/>
          <w:rtl/>
        </w:rPr>
        <w:t xml:space="preserve"> ולפיכך אם חלט מותר בדיעבד.</w:t>
      </w:r>
      <w:r>
        <w:rPr>
          <w:rFonts w:asciiTheme="minorBidi" w:hAnsiTheme="minorBidi" w:hint="cs"/>
          <w:sz w:val="16"/>
          <w:szCs w:val="16"/>
          <w:rtl/>
        </w:rPr>
        <w:t xml:space="preserve"> </w:t>
      </w:r>
      <w:r w:rsidRPr="004B2133">
        <w:rPr>
          <w:rFonts w:asciiTheme="minorBidi" w:hAnsiTheme="minorBidi" w:hint="cs"/>
          <w:color w:val="E36C0A" w:themeColor="accent6" w:themeShade="BF"/>
          <w:sz w:val="16"/>
          <w:szCs w:val="16"/>
          <w:rtl/>
        </w:rPr>
        <w:t>וכ"פ בשו"ע</w:t>
      </w:r>
      <w:r>
        <w:rPr>
          <w:rFonts w:asciiTheme="minorBidi" w:hAnsiTheme="minorBidi" w:hint="cs"/>
          <w:sz w:val="16"/>
          <w:szCs w:val="16"/>
          <w:rtl/>
        </w:rPr>
        <w:t>)</w:t>
      </w:r>
    </w:p>
    <w:p w14:paraId="159BC9DE" w14:textId="77777777" w:rsidR="002C39F4" w:rsidRPr="003024E5" w:rsidRDefault="002C39F4" w:rsidP="002C39F4">
      <w:pPr>
        <w:rPr>
          <w:rFonts w:asciiTheme="minorBidi" w:hAnsiTheme="minorBidi"/>
          <w:rtl/>
        </w:rPr>
      </w:pPr>
      <w:r w:rsidRPr="003024E5">
        <w:rPr>
          <w:rFonts w:asciiTheme="minorBidi" w:hAnsiTheme="minorBidi"/>
          <w:u w:val="single"/>
          <w:rtl/>
        </w:rPr>
        <w:t>כבד מתובל:</w:t>
      </w:r>
    </w:p>
    <w:p w14:paraId="149C0572" w14:textId="77777777" w:rsidR="002C39F4" w:rsidRPr="003024E5" w:rsidRDefault="002C39F4" w:rsidP="002C39F4">
      <w:pPr>
        <w:pStyle w:val="a8"/>
        <w:numPr>
          <w:ilvl w:val="0"/>
          <w:numId w:val="48"/>
        </w:numPr>
        <w:rPr>
          <w:rFonts w:asciiTheme="minorBidi" w:hAnsiTheme="minorBidi"/>
          <w:rtl/>
        </w:rPr>
      </w:pPr>
      <w:r w:rsidRPr="003024E5">
        <w:rPr>
          <w:rFonts w:asciiTheme="minorBidi" w:hAnsiTheme="minorBidi"/>
          <w:rtl/>
        </w:rPr>
        <w:t xml:space="preserve">ר"ן </w:t>
      </w:r>
      <w:r w:rsidRPr="003024E5">
        <w:rPr>
          <w:rFonts w:asciiTheme="minorBidi" w:hAnsiTheme="minorBidi"/>
          <w:sz w:val="16"/>
          <w:szCs w:val="16"/>
          <w:rtl/>
        </w:rPr>
        <w:t>(לט: ד"ה וגרסי' בגמ')</w:t>
      </w:r>
      <w:r w:rsidRPr="003024E5">
        <w:rPr>
          <w:rFonts w:asciiTheme="minorBidi" w:hAnsiTheme="minorBidi"/>
          <w:rtl/>
        </w:rPr>
        <w:t>- מתובלת נאסרת</w:t>
      </w:r>
      <w:r w:rsidRPr="003024E5">
        <w:rPr>
          <w:rStyle w:val="a7"/>
          <w:rFonts w:asciiTheme="minorBidi" w:hAnsiTheme="minorBidi"/>
          <w:rtl/>
        </w:rPr>
        <w:footnoteReference w:id="596"/>
      </w:r>
      <w:r w:rsidRPr="003024E5">
        <w:rPr>
          <w:rFonts w:asciiTheme="minorBidi" w:hAnsiTheme="minorBidi"/>
          <w:rtl/>
        </w:rPr>
        <w:t>.</w:t>
      </w:r>
    </w:p>
    <w:p w14:paraId="408997F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996D4DC" w14:textId="77777777" w:rsidR="002C39F4" w:rsidRPr="003024E5" w:rsidRDefault="002C39F4" w:rsidP="002C39F4">
      <w:pPr>
        <w:rPr>
          <w:rFonts w:asciiTheme="minorBidi" w:hAnsiTheme="minorBidi"/>
          <w:rtl/>
        </w:rPr>
      </w:pPr>
      <w:r w:rsidRPr="003024E5">
        <w:rPr>
          <w:rFonts w:asciiTheme="minorBidi" w:hAnsiTheme="minorBidi"/>
          <w:rtl/>
        </w:rPr>
        <w:t>אם חלטו בחומץ או ברותחין ונקב והוציא מזרקי הדם שבתוכו, מן הדין מותר לבשלו, אלא שהגאונים אסרו לעשות כן, ובדיעבד מותר</w:t>
      </w:r>
      <w:r w:rsidRPr="003024E5">
        <w:rPr>
          <w:rStyle w:val="a7"/>
          <w:rFonts w:asciiTheme="minorBidi" w:hAnsiTheme="minorBidi"/>
          <w:rtl/>
        </w:rPr>
        <w:footnoteReference w:id="597"/>
      </w:r>
      <w:r w:rsidRPr="003024E5">
        <w:rPr>
          <w:rFonts w:asciiTheme="minorBidi" w:hAnsiTheme="minorBidi"/>
          <w:rtl/>
        </w:rPr>
        <w:t xml:space="preserve">. </w:t>
      </w:r>
    </w:p>
    <w:p w14:paraId="2A70F3BC" w14:textId="77777777" w:rsidR="002C39F4" w:rsidRPr="003024E5" w:rsidRDefault="002C39F4" w:rsidP="002C39F4">
      <w:pPr>
        <w:rPr>
          <w:rFonts w:asciiTheme="minorBidi" w:hAnsiTheme="minorBidi"/>
          <w:rtl/>
        </w:rPr>
      </w:pPr>
    </w:p>
    <w:p w14:paraId="4A4337DB" w14:textId="77777777" w:rsidR="002C39F4" w:rsidRPr="003024E5" w:rsidRDefault="002C39F4" w:rsidP="002C39F4">
      <w:pPr>
        <w:pStyle w:val="2"/>
        <w:rPr>
          <w:rFonts w:asciiTheme="minorBidi" w:hAnsiTheme="minorBidi"/>
          <w:rtl/>
        </w:rPr>
      </w:pPr>
      <w:r w:rsidRPr="003024E5">
        <w:rPr>
          <w:rFonts w:asciiTheme="minorBidi" w:hAnsiTheme="minorBidi"/>
          <w:rtl/>
        </w:rPr>
        <w:t>סעיף ג: הכשרת כבד שנאכל צלי.</w:t>
      </w:r>
    </w:p>
    <w:p w14:paraId="0FC2AE1E"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קיא ע"א: </w:t>
      </w:r>
      <w:r w:rsidRPr="003024E5">
        <w:rPr>
          <w:rFonts w:asciiTheme="minorBidi" w:hAnsiTheme="minorBidi"/>
          <w:rtl/>
        </w:rPr>
        <w:t>רבה בר רב הונא אקלע לבי רבה בר רב נחמן... אשכח ההוא כבדא דהוה בה סמפונא דבליעא דמא, אמר להו אמאי עבדיתו הכי</w:t>
      </w:r>
      <w:r w:rsidRPr="003024E5">
        <w:rPr>
          <w:rStyle w:val="a7"/>
          <w:rFonts w:asciiTheme="minorBidi" w:hAnsiTheme="minorBidi"/>
          <w:rtl/>
        </w:rPr>
        <w:footnoteReference w:id="598"/>
      </w:r>
      <w:r w:rsidRPr="003024E5">
        <w:rPr>
          <w:rFonts w:asciiTheme="minorBidi" w:hAnsiTheme="minorBidi"/>
          <w:rtl/>
        </w:rPr>
        <w:t xml:space="preserve">? </w:t>
      </w:r>
      <w:r w:rsidRPr="003024E5">
        <w:rPr>
          <w:rFonts w:asciiTheme="minorBidi" w:hAnsiTheme="minorBidi"/>
          <w:u w:val="single"/>
          <w:rtl/>
        </w:rPr>
        <w:t>אמרו ליה</w:t>
      </w:r>
      <w:r w:rsidRPr="003024E5">
        <w:rPr>
          <w:rFonts w:asciiTheme="minorBidi" w:hAnsiTheme="minorBidi"/>
          <w:rtl/>
        </w:rPr>
        <w:t xml:space="preserve">: אלא היכי נעביד? </w:t>
      </w:r>
      <w:r w:rsidRPr="003024E5">
        <w:rPr>
          <w:rFonts w:asciiTheme="minorBidi" w:hAnsiTheme="minorBidi"/>
          <w:u w:val="single"/>
          <w:rtl/>
        </w:rPr>
        <w:t>אמר להו</w:t>
      </w:r>
      <w:r w:rsidRPr="003024E5">
        <w:rPr>
          <w:rFonts w:asciiTheme="minorBidi" w:hAnsiTheme="minorBidi"/>
          <w:rtl/>
        </w:rPr>
        <w:t>: קרעו שתי וערב וחיתוכא לתחת</w:t>
      </w:r>
      <w:r>
        <w:rPr>
          <w:rFonts w:asciiTheme="minorBidi" w:hAnsiTheme="minorBidi" w:hint="cs"/>
          <w:rtl/>
        </w:rPr>
        <w:t>.</w:t>
      </w:r>
      <w:r w:rsidRPr="003024E5">
        <w:rPr>
          <w:rFonts w:asciiTheme="minorBidi" w:hAnsiTheme="minorBidi"/>
          <w:rtl/>
        </w:rPr>
        <w:t xml:space="preserve"> וה"מ</w:t>
      </w:r>
      <w:r w:rsidRPr="003024E5">
        <w:rPr>
          <w:rStyle w:val="a7"/>
          <w:rFonts w:asciiTheme="minorBidi" w:hAnsiTheme="minorBidi"/>
          <w:rtl/>
        </w:rPr>
        <w:footnoteReference w:id="599"/>
      </w:r>
      <w:r w:rsidRPr="003024E5">
        <w:rPr>
          <w:rFonts w:asciiTheme="minorBidi" w:hAnsiTheme="minorBidi"/>
          <w:rtl/>
        </w:rPr>
        <w:t>- כבדא, אבל טחלא - שומנא בעלמא הוא.</w:t>
      </w:r>
    </w:p>
    <w:p w14:paraId="3A9E7B68" w14:textId="77777777" w:rsidR="002C39F4" w:rsidRPr="003024E5" w:rsidRDefault="002C39F4" w:rsidP="002C39F4">
      <w:pPr>
        <w:rPr>
          <w:rFonts w:asciiTheme="minorBidi" w:hAnsiTheme="minorBidi"/>
          <w:rtl/>
        </w:rPr>
      </w:pPr>
      <w:r w:rsidRPr="003024E5">
        <w:rPr>
          <w:rFonts w:asciiTheme="minorBidi" w:hAnsiTheme="minorBidi"/>
          <w:u w:val="single"/>
          <w:rtl/>
        </w:rPr>
        <w:t>מתי צריך לקר</w:t>
      </w:r>
      <w:r>
        <w:rPr>
          <w:rFonts w:asciiTheme="minorBidi" w:hAnsiTheme="minorBidi" w:hint="cs"/>
          <w:u w:val="single"/>
          <w:rtl/>
        </w:rPr>
        <w:t>ו</w:t>
      </w:r>
      <w:r w:rsidRPr="003024E5">
        <w:rPr>
          <w:rFonts w:asciiTheme="minorBidi" w:hAnsiTheme="minorBidi"/>
          <w:u w:val="single"/>
          <w:rtl/>
        </w:rPr>
        <w:t>ע</w:t>
      </w:r>
      <w:r>
        <w:rPr>
          <w:rFonts w:asciiTheme="minorBidi" w:hAnsiTheme="minorBidi" w:hint="cs"/>
          <w:u w:val="single"/>
          <w:rtl/>
        </w:rPr>
        <w:t xml:space="preserve"> את הכבד</w:t>
      </w:r>
      <w:r w:rsidRPr="003024E5">
        <w:rPr>
          <w:rFonts w:asciiTheme="minorBidi" w:hAnsiTheme="minorBidi"/>
          <w:u w:val="single"/>
          <w:rtl/>
        </w:rPr>
        <w:t xml:space="preserve"> שתי וערב וחיתוכא לתחת:</w:t>
      </w:r>
    </w:p>
    <w:p w14:paraId="6CF11BB2" w14:textId="77777777" w:rsidR="002C39F4" w:rsidRPr="003024E5" w:rsidRDefault="002C39F4" w:rsidP="002C39F4">
      <w:pPr>
        <w:pStyle w:val="a8"/>
        <w:numPr>
          <w:ilvl w:val="0"/>
          <w:numId w:val="49"/>
        </w:numPr>
        <w:rPr>
          <w:rFonts w:asciiTheme="minorBidi" w:hAnsiTheme="minorBidi"/>
        </w:rPr>
      </w:pPr>
      <w:r w:rsidRPr="003024E5">
        <w:rPr>
          <w:rFonts w:asciiTheme="minorBidi" w:hAnsiTheme="minorBidi"/>
          <w:rtl/>
        </w:rPr>
        <w:t xml:space="preserve">בה"ג </w:t>
      </w:r>
      <w:r w:rsidRPr="001F1B58">
        <w:rPr>
          <w:rFonts w:asciiTheme="minorBidi" w:hAnsiTheme="minorBidi" w:hint="cs"/>
          <w:sz w:val="16"/>
          <w:szCs w:val="16"/>
          <w:rtl/>
        </w:rPr>
        <w:t>(</w:t>
      </w:r>
      <w:r w:rsidRPr="001F1B58">
        <w:rPr>
          <w:rFonts w:asciiTheme="minorBidi" w:hAnsiTheme="minorBidi"/>
          <w:sz w:val="16"/>
          <w:szCs w:val="16"/>
          <w:rtl/>
        </w:rPr>
        <w:t>סי' סה הלכות דם</w:t>
      </w:r>
      <w:r>
        <w:rPr>
          <w:rFonts w:asciiTheme="minorBidi" w:hAnsiTheme="minorBidi" w:hint="cs"/>
          <w:sz w:val="16"/>
          <w:szCs w:val="16"/>
          <w:rtl/>
        </w:rPr>
        <w:t>)</w:t>
      </w:r>
      <w:r w:rsidRPr="001F1B58">
        <w:rPr>
          <w:rFonts w:asciiTheme="minorBidi" w:hAnsiTheme="minorBidi" w:hint="cs"/>
          <w:sz w:val="16"/>
          <w:szCs w:val="16"/>
          <w:rtl/>
        </w:rPr>
        <w:t xml:space="preserve"> </w:t>
      </w:r>
      <w:r w:rsidRPr="003024E5">
        <w:rPr>
          <w:rFonts w:asciiTheme="minorBidi" w:hAnsiTheme="minorBidi"/>
          <w:rtl/>
        </w:rPr>
        <w:t>רש"י</w:t>
      </w:r>
      <w:r w:rsidRPr="003024E5">
        <w:rPr>
          <w:rStyle w:val="a7"/>
          <w:rFonts w:asciiTheme="minorBidi" w:hAnsiTheme="minorBidi"/>
          <w:rtl/>
        </w:rPr>
        <w:footnoteReference w:id="600"/>
      </w:r>
      <w:r w:rsidRPr="001F1B58">
        <w:rPr>
          <w:rFonts w:asciiTheme="minorBidi" w:hAnsiTheme="minorBidi"/>
          <w:rtl/>
        </w:rPr>
        <w:t xml:space="preserve"> </w:t>
      </w:r>
      <w:r>
        <w:rPr>
          <w:rFonts w:asciiTheme="minorBidi" w:hAnsiTheme="minorBidi" w:hint="cs"/>
          <w:rtl/>
        </w:rPr>
        <w:t>ו</w:t>
      </w:r>
      <w:r w:rsidRPr="0054103F">
        <w:rPr>
          <w:rFonts w:asciiTheme="minorBidi" w:hAnsiTheme="minorBidi"/>
          <w:rtl/>
        </w:rPr>
        <w:t xml:space="preserve">ר"ן </w:t>
      </w:r>
      <w:r w:rsidRPr="0054103F">
        <w:rPr>
          <w:rFonts w:asciiTheme="minorBidi" w:hAnsiTheme="minorBidi"/>
          <w:sz w:val="16"/>
          <w:szCs w:val="16"/>
          <w:rtl/>
        </w:rPr>
        <w:t>(לט: ד"ה גרסינן תו)</w:t>
      </w:r>
      <w:r w:rsidRPr="003024E5">
        <w:rPr>
          <w:rFonts w:asciiTheme="minorBidi" w:hAnsiTheme="minorBidi"/>
          <w:rtl/>
        </w:rPr>
        <w:t>- כשרוצה לאוכלו צלי</w:t>
      </w:r>
      <w:r w:rsidRPr="003024E5">
        <w:rPr>
          <w:rStyle w:val="a7"/>
          <w:rFonts w:asciiTheme="minorBidi" w:hAnsiTheme="minorBidi"/>
          <w:rtl/>
        </w:rPr>
        <w:footnoteReference w:id="601"/>
      </w:r>
      <w:r w:rsidRPr="003024E5">
        <w:rPr>
          <w:rFonts w:asciiTheme="minorBidi" w:hAnsiTheme="minorBidi"/>
          <w:rtl/>
        </w:rPr>
        <w:t>, והיכא דלא קרעיה ליקרעיה לאחר בישוליה ומותר</w:t>
      </w:r>
      <w:r w:rsidRPr="003024E5">
        <w:rPr>
          <w:rStyle w:val="a7"/>
          <w:rFonts w:asciiTheme="minorBidi" w:hAnsiTheme="minorBidi"/>
          <w:rtl/>
        </w:rPr>
        <w:footnoteReference w:id="602"/>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78C07079" w14:textId="77777777" w:rsidR="002C39F4" w:rsidRDefault="002C39F4" w:rsidP="002C39F4">
      <w:pPr>
        <w:pStyle w:val="a8"/>
        <w:numPr>
          <w:ilvl w:val="0"/>
          <w:numId w:val="49"/>
        </w:numPr>
        <w:rPr>
          <w:rFonts w:asciiTheme="minorBidi" w:hAnsiTheme="minorBidi"/>
        </w:rPr>
      </w:pPr>
      <w:r w:rsidRPr="003024E5">
        <w:rPr>
          <w:rFonts w:asciiTheme="minorBidi" w:hAnsiTheme="minorBidi"/>
          <w:rtl/>
        </w:rPr>
        <w:t xml:space="preserve">ר"י </w:t>
      </w:r>
      <w:r w:rsidRPr="003024E5">
        <w:rPr>
          <w:rFonts w:asciiTheme="minorBidi" w:hAnsiTheme="minorBidi"/>
          <w:sz w:val="16"/>
          <w:szCs w:val="16"/>
          <w:rtl/>
        </w:rPr>
        <w:t xml:space="preserve">(כ"כ הטור בשמו) </w:t>
      </w:r>
      <w:r w:rsidRPr="003024E5">
        <w:rPr>
          <w:rFonts w:asciiTheme="minorBidi" w:hAnsiTheme="minorBidi"/>
          <w:rtl/>
        </w:rPr>
        <w:t xml:space="preserve">תוס' </w:t>
      </w:r>
      <w:r w:rsidRPr="003024E5">
        <w:rPr>
          <w:rFonts w:asciiTheme="minorBidi" w:hAnsiTheme="minorBidi"/>
          <w:sz w:val="16"/>
          <w:szCs w:val="16"/>
          <w:rtl/>
        </w:rPr>
        <w:t xml:space="preserve">(קיא. ד"ה וחתוכיה) </w:t>
      </w:r>
      <w:r>
        <w:rPr>
          <w:rFonts w:asciiTheme="minorBidi" w:hAnsiTheme="minorBidi" w:hint="cs"/>
          <w:rtl/>
        </w:rPr>
        <w:t>ר"פ</w:t>
      </w:r>
      <w:r w:rsidRPr="003024E5">
        <w:rPr>
          <w:rFonts w:asciiTheme="minorBidi" w:hAnsiTheme="minorBidi"/>
          <w:rtl/>
        </w:rPr>
        <w:t xml:space="preserve"> </w:t>
      </w:r>
      <w:r w:rsidRPr="003024E5">
        <w:rPr>
          <w:rFonts w:asciiTheme="minorBidi" w:hAnsiTheme="minorBidi"/>
          <w:sz w:val="16"/>
          <w:szCs w:val="16"/>
          <w:rtl/>
        </w:rPr>
        <w:t>(בהג</w:t>
      </w:r>
      <w:r>
        <w:rPr>
          <w:rFonts w:asciiTheme="minorBidi" w:hAnsiTheme="minorBidi" w:hint="cs"/>
          <w:sz w:val="16"/>
          <w:szCs w:val="16"/>
          <w:rtl/>
        </w:rPr>
        <w:t xml:space="preserve">' סמ"ק </w:t>
      </w:r>
      <w:r w:rsidRPr="003024E5">
        <w:rPr>
          <w:rFonts w:asciiTheme="minorBidi" w:hAnsiTheme="minorBidi"/>
          <w:sz w:val="16"/>
          <w:szCs w:val="16"/>
          <w:rtl/>
        </w:rPr>
        <w:t>סי' רה אות ג)</w:t>
      </w:r>
      <w:r w:rsidRPr="003024E5">
        <w:rPr>
          <w:rFonts w:asciiTheme="minorBidi" w:hAnsiTheme="minorBidi"/>
          <w:rtl/>
        </w:rPr>
        <w:t xml:space="preserve"> רא"ש </w:t>
      </w:r>
      <w:r w:rsidRPr="003024E5">
        <w:rPr>
          <w:rFonts w:asciiTheme="minorBidi" w:hAnsiTheme="minorBidi"/>
          <w:sz w:val="16"/>
          <w:szCs w:val="16"/>
          <w:rtl/>
        </w:rPr>
        <w:t>(סי' כז)</w:t>
      </w:r>
      <w:r w:rsidRPr="003024E5">
        <w:rPr>
          <w:rFonts w:asciiTheme="minorBidi" w:hAnsiTheme="minorBidi"/>
          <w:rtl/>
        </w:rPr>
        <w:t xml:space="preserve"> וטור</w:t>
      </w:r>
      <w:r w:rsidRPr="003024E5">
        <w:rPr>
          <w:rStyle w:val="a7"/>
          <w:rFonts w:asciiTheme="minorBidi" w:hAnsiTheme="minorBidi"/>
          <w:rtl/>
        </w:rPr>
        <w:footnoteReference w:id="603"/>
      </w:r>
      <w:r w:rsidRPr="003024E5">
        <w:rPr>
          <w:rFonts w:asciiTheme="minorBidi" w:hAnsiTheme="minorBidi"/>
          <w:rtl/>
        </w:rPr>
        <w:t>- כשרוצה לבשלו בקדרה אחר צלייה</w:t>
      </w:r>
      <w:r w:rsidRPr="003024E5">
        <w:rPr>
          <w:rStyle w:val="a7"/>
          <w:rFonts w:asciiTheme="minorBidi" w:hAnsiTheme="minorBidi"/>
          <w:rtl/>
        </w:rPr>
        <w:footnoteReference w:id="604"/>
      </w:r>
      <w:r w:rsidRPr="003024E5">
        <w:rPr>
          <w:rFonts w:asciiTheme="minorBidi" w:hAnsiTheme="minorBidi"/>
          <w:rtl/>
        </w:rPr>
        <w:t xml:space="preserve"> או אחר מליחה לדעת ר"ת, דאי לאכלו צלי למה ליה לחתוכיה ליה</w:t>
      </w:r>
      <w:r w:rsidRPr="003024E5">
        <w:rPr>
          <w:rStyle w:val="a7"/>
          <w:rFonts w:asciiTheme="minorBidi" w:hAnsiTheme="minorBidi"/>
          <w:rtl/>
        </w:rPr>
        <w:footnoteReference w:id="605"/>
      </w:r>
      <w:r w:rsidRPr="003024E5">
        <w:rPr>
          <w:rFonts w:asciiTheme="minorBidi" w:hAnsiTheme="minorBidi"/>
          <w:rtl/>
        </w:rPr>
        <w:t>.</w:t>
      </w:r>
      <w:r w:rsidRPr="003024E5">
        <w:rPr>
          <w:rFonts w:asciiTheme="minorBidi" w:hAnsiTheme="minorBidi"/>
          <w:color w:val="00B0F0"/>
          <w:rtl/>
        </w:rPr>
        <w:t xml:space="preserve"> (וכ"פ הרמ"א)</w:t>
      </w:r>
      <w:r>
        <w:rPr>
          <w:rFonts w:asciiTheme="minorBidi" w:hAnsiTheme="minorBidi" w:hint="cs"/>
          <w:rtl/>
        </w:rPr>
        <w:t xml:space="preserve"> </w:t>
      </w:r>
    </w:p>
    <w:p w14:paraId="09A7D90E" w14:textId="77777777" w:rsidR="002C39F4" w:rsidRPr="003024E5" w:rsidRDefault="002C39F4" w:rsidP="002C39F4">
      <w:pPr>
        <w:pStyle w:val="a8"/>
        <w:numPr>
          <w:ilvl w:val="0"/>
          <w:numId w:val="49"/>
        </w:numPr>
        <w:rPr>
          <w:rFonts w:asciiTheme="minorBidi" w:hAnsiTheme="minorBidi"/>
        </w:rPr>
      </w:pPr>
      <w:r w:rsidRPr="001F1B58">
        <w:rPr>
          <w:rFonts w:asciiTheme="minorBidi" w:hAnsiTheme="minorBidi" w:cs="Arial"/>
          <w:rtl/>
        </w:rPr>
        <w:t xml:space="preserve">רי"ף </w:t>
      </w:r>
      <w:r w:rsidRPr="001F1B58">
        <w:rPr>
          <w:rFonts w:asciiTheme="minorBidi" w:hAnsiTheme="minorBidi" w:cs="Arial"/>
          <w:sz w:val="16"/>
          <w:szCs w:val="16"/>
          <w:rtl/>
        </w:rPr>
        <w:t xml:space="preserve">(לט.) </w:t>
      </w:r>
      <w:r w:rsidRPr="001F1B58">
        <w:rPr>
          <w:rFonts w:asciiTheme="minorBidi" w:hAnsiTheme="minorBidi" w:cs="Arial"/>
          <w:rtl/>
        </w:rPr>
        <w:t xml:space="preserve">ורמב"ם </w:t>
      </w:r>
      <w:r w:rsidRPr="001F1B58">
        <w:rPr>
          <w:rFonts w:asciiTheme="minorBidi" w:hAnsiTheme="minorBidi" w:cs="Arial"/>
          <w:sz w:val="16"/>
          <w:szCs w:val="16"/>
          <w:rtl/>
        </w:rPr>
        <w:t>(פ"ו ה</w:t>
      </w:r>
      <w:r>
        <w:rPr>
          <w:rFonts w:asciiTheme="minorBidi" w:hAnsiTheme="minorBidi" w:cs="Arial" w:hint="cs"/>
          <w:sz w:val="16"/>
          <w:szCs w:val="16"/>
          <w:rtl/>
        </w:rPr>
        <w:t>"</w:t>
      </w:r>
      <w:r w:rsidRPr="001F1B58">
        <w:rPr>
          <w:rFonts w:asciiTheme="minorBidi" w:hAnsiTheme="minorBidi" w:cs="Arial"/>
          <w:sz w:val="16"/>
          <w:szCs w:val="16"/>
          <w:rtl/>
        </w:rPr>
        <w:t>ז-ח)</w:t>
      </w:r>
      <w:r>
        <w:rPr>
          <w:rStyle w:val="a7"/>
          <w:rFonts w:asciiTheme="minorBidi" w:hAnsiTheme="minorBidi"/>
          <w:rtl/>
        </w:rPr>
        <w:footnoteReference w:id="606"/>
      </w:r>
      <w:r w:rsidRPr="0054103F">
        <w:rPr>
          <w:rFonts w:asciiTheme="minorBidi" w:hAnsiTheme="minorBidi"/>
          <w:rtl/>
        </w:rPr>
        <w:t>- לחליטה</w:t>
      </w:r>
      <w:r>
        <w:rPr>
          <w:rFonts w:asciiTheme="minorBidi" w:hAnsiTheme="minorBidi" w:hint="cs"/>
          <w:rtl/>
        </w:rPr>
        <w:t>,</w:t>
      </w:r>
      <w:r w:rsidRPr="0054103F">
        <w:rPr>
          <w:rFonts w:asciiTheme="minorBidi" w:hAnsiTheme="minorBidi"/>
          <w:rtl/>
        </w:rPr>
        <w:t xml:space="preserve"> </w:t>
      </w:r>
      <w:r>
        <w:rPr>
          <w:rFonts w:asciiTheme="minorBidi" w:hAnsiTheme="minorBidi" w:hint="cs"/>
          <w:rtl/>
        </w:rPr>
        <w:t xml:space="preserve">אבל </w:t>
      </w:r>
      <w:r w:rsidRPr="0054103F">
        <w:rPr>
          <w:rFonts w:asciiTheme="minorBidi" w:hAnsiTheme="minorBidi"/>
          <w:rtl/>
        </w:rPr>
        <w:t>לצלי לא צריך קריעה</w:t>
      </w:r>
      <w:r>
        <w:rPr>
          <w:rFonts w:asciiTheme="minorBidi" w:hAnsiTheme="minorBidi" w:hint="cs"/>
          <w:rtl/>
        </w:rPr>
        <w:t xml:space="preserve"> כלל אפילו לא בשביל הדם שבסמפונות.</w:t>
      </w:r>
    </w:p>
    <w:p w14:paraId="073EB4BF"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האם נקיב</w:t>
      </w:r>
      <w:r>
        <w:rPr>
          <w:rFonts w:asciiTheme="minorBidi" w:hAnsiTheme="minorBidi" w:hint="cs"/>
          <w:u w:val="dotted"/>
          <w:rtl/>
        </w:rPr>
        <w:t>ה</w:t>
      </w:r>
      <w:r w:rsidRPr="003024E5">
        <w:rPr>
          <w:rFonts w:asciiTheme="minorBidi" w:hAnsiTheme="minorBidi"/>
          <w:u w:val="dotted"/>
          <w:rtl/>
        </w:rPr>
        <w:t xml:space="preserve"> </w:t>
      </w:r>
      <w:r>
        <w:rPr>
          <w:rFonts w:asciiTheme="minorBidi" w:hAnsiTheme="minorBidi" w:hint="cs"/>
          <w:u w:val="dotted"/>
          <w:rtl/>
        </w:rPr>
        <w:t xml:space="preserve">ע"י </w:t>
      </w:r>
      <w:r w:rsidRPr="003024E5">
        <w:rPr>
          <w:rFonts w:asciiTheme="minorBidi" w:hAnsiTheme="minorBidi"/>
          <w:u w:val="dotted"/>
          <w:rtl/>
        </w:rPr>
        <w:t>סכין</w:t>
      </w:r>
      <w:r>
        <w:rPr>
          <w:rFonts w:asciiTheme="minorBidi" w:hAnsiTheme="minorBidi" w:hint="cs"/>
          <w:u w:val="dotted"/>
          <w:rtl/>
        </w:rPr>
        <w:t xml:space="preserve"> חשיבא כקריעה</w:t>
      </w:r>
      <w:r w:rsidRPr="003024E5">
        <w:rPr>
          <w:rFonts w:asciiTheme="minorBidi" w:hAnsiTheme="minorBidi"/>
          <w:u w:val="dotted"/>
          <w:rtl/>
        </w:rPr>
        <w:t>:</w:t>
      </w:r>
    </w:p>
    <w:p w14:paraId="0BA8C1E1" w14:textId="77777777" w:rsidR="002C39F4" w:rsidRPr="003024E5" w:rsidRDefault="002C39F4" w:rsidP="002C39F4">
      <w:pPr>
        <w:pStyle w:val="a8"/>
        <w:numPr>
          <w:ilvl w:val="0"/>
          <w:numId w:val="49"/>
        </w:numPr>
        <w:rPr>
          <w:rFonts w:asciiTheme="minorBidi" w:hAnsiTheme="minorBidi"/>
        </w:rPr>
      </w:pPr>
      <w:r w:rsidRPr="003024E5">
        <w:rPr>
          <w:rFonts w:asciiTheme="minorBidi" w:hAnsiTheme="minorBidi"/>
          <w:rtl/>
        </w:rPr>
        <w:t xml:space="preserve">בהעי"ט </w:t>
      </w:r>
      <w:r w:rsidRPr="003024E5">
        <w:rPr>
          <w:rFonts w:asciiTheme="minorBidi" w:hAnsiTheme="minorBidi"/>
          <w:sz w:val="16"/>
          <w:szCs w:val="16"/>
          <w:rtl/>
        </w:rPr>
        <w:t>(שער ראשון ריש הל' הכשר הבשר)</w:t>
      </w:r>
      <w:r w:rsidRPr="003024E5">
        <w:rPr>
          <w:rFonts w:asciiTheme="minorBidi" w:hAnsiTheme="minorBidi"/>
          <w:rtl/>
        </w:rPr>
        <w:t>- נוהגים בצרפת לנוקבו בסכין</w:t>
      </w:r>
      <w:r>
        <w:rPr>
          <w:rFonts w:asciiTheme="minorBidi" w:hAnsiTheme="minorBidi" w:hint="cs"/>
          <w:rtl/>
        </w:rPr>
        <w:t>,</w:t>
      </w:r>
      <w:r w:rsidRPr="003024E5">
        <w:rPr>
          <w:rFonts w:asciiTheme="minorBidi" w:hAnsiTheme="minorBidi"/>
          <w:rtl/>
        </w:rPr>
        <w:t xml:space="preserve"> ומנהגינו אין לנו אלא בנקיבת השפוד</w:t>
      </w:r>
      <w:r>
        <w:rPr>
          <w:rFonts w:asciiTheme="minorBidi" w:hAnsiTheme="minorBidi" w:hint="cs"/>
          <w:rtl/>
        </w:rPr>
        <w:t>,</w:t>
      </w:r>
      <w:r w:rsidRPr="003024E5">
        <w:rPr>
          <w:rFonts w:asciiTheme="minorBidi" w:hAnsiTheme="minorBidi"/>
          <w:rtl/>
        </w:rPr>
        <w:t xml:space="preserve"> וכבד העוף בלא שום חיתוך אלא על גבי גחלים</w:t>
      </w:r>
      <w:r>
        <w:rPr>
          <w:rFonts w:asciiTheme="minorBidi" w:hAnsiTheme="minorBidi" w:hint="cs"/>
          <w:rtl/>
        </w:rPr>
        <w:t>,</w:t>
      </w:r>
      <w:r w:rsidRPr="003024E5">
        <w:rPr>
          <w:rFonts w:asciiTheme="minorBidi" w:hAnsiTheme="minorBidi"/>
          <w:rtl/>
        </w:rPr>
        <w:t xml:space="preserve"> ויפה הוא לנוקבו בסכין לחומרא</w:t>
      </w:r>
      <w:r w:rsidRPr="003024E5">
        <w:rPr>
          <w:rStyle w:val="a7"/>
          <w:rFonts w:asciiTheme="minorBidi" w:hAnsiTheme="minorBidi"/>
          <w:rtl/>
        </w:rPr>
        <w:footnoteReference w:id="607"/>
      </w:r>
      <w:r w:rsidRPr="003024E5">
        <w:rPr>
          <w:rFonts w:asciiTheme="minorBidi" w:hAnsiTheme="minorBidi"/>
          <w:rtl/>
        </w:rPr>
        <w:t xml:space="preserve">. </w:t>
      </w:r>
    </w:p>
    <w:p w14:paraId="64229AF2" w14:textId="77777777" w:rsidR="002C39F4" w:rsidRDefault="002C39F4" w:rsidP="002C39F4">
      <w:pPr>
        <w:pStyle w:val="a8"/>
        <w:numPr>
          <w:ilvl w:val="0"/>
          <w:numId w:val="49"/>
        </w:numPr>
        <w:rPr>
          <w:rFonts w:asciiTheme="minorBidi" w:hAnsiTheme="minorBidi"/>
        </w:rPr>
      </w:pPr>
      <w:r w:rsidRPr="003024E5">
        <w:rPr>
          <w:rFonts w:asciiTheme="minorBidi" w:hAnsiTheme="minorBidi"/>
          <w:rtl/>
        </w:rPr>
        <w:t xml:space="preserve">הג"א </w:t>
      </w:r>
      <w:r w:rsidRPr="003024E5">
        <w:rPr>
          <w:rFonts w:asciiTheme="minorBidi" w:hAnsiTheme="minorBidi"/>
          <w:sz w:val="16"/>
          <w:szCs w:val="16"/>
          <w:rtl/>
        </w:rPr>
        <w:t>(סי' כז הגה"ה א)</w:t>
      </w:r>
      <w:r w:rsidRPr="003024E5">
        <w:rPr>
          <w:rFonts w:asciiTheme="minorBidi" w:hAnsiTheme="minorBidi"/>
          <w:rtl/>
        </w:rPr>
        <w:t>- תימה שנהגו העולם שלא לקרעו אלא תוחבין בו ונוקבין נקבים דקים וכתב רבינו יהודה שאין לשנות ממשמעות ההלכה וכן היה נוהג ר"י</w:t>
      </w:r>
      <w:r w:rsidRPr="003024E5">
        <w:rPr>
          <w:rStyle w:val="a7"/>
          <w:rFonts w:asciiTheme="minorBidi" w:hAnsiTheme="minorBidi"/>
          <w:rtl/>
        </w:rPr>
        <w:footnoteReference w:id="608"/>
      </w:r>
      <w:r w:rsidRPr="003024E5">
        <w:rPr>
          <w:rFonts w:asciiTheme="minorBidi" w:hAnsiTheme="minorBidi"/>
          <w:rtl/>
        </w:rPr>
        <w:t xml:space="preserve"> לקרעו שתי וערב.</w:t>
      </w:r>
    </w:p>
    <w:p w14:paraId="1E9F1753" w14:textId="77777777" w:rsidR="002C39F4" w:rsidRPr="00347D4F" w:rsidRDefault="002C39F4" w:rsidP="002C39F4">
      <w:pPr>
        <w:rPr>
          <w:rFonts w:asciiTheme="minorBidi" w:hAnsiTheme="minorBidi"/>
          <w:u w:val="single"/>
          <w:rtl/>
        </w:rPr>
      </w:pPr>
      <w:r w:rsidRPr="00347D4F">
        <w:rPr>
          <w:rFonts w:asciiTheme="minorBidi" w:hAnsiTheme="minorBidi" w:hint="cs"/>
          <w:u w:val="single"/>
          <w:rtl/>
        </w:rPr>
        <w:t>האם צריך לקרוע גם כבד עוף:</w:t>
      </w:r>
    </w:p>
    <w:p w14:paraId="584E83B9" w14:textId="77777777" w:rsidR="002C39F4" w:rsidRPr="00347D4F" w:rsidRDefault="002C39F4" w:rsidP="002C39F4">
      <w:pPr>
        <w:pStyle w:val="a8"/>
        <w:numPr>
          <w:ilvl w:val="0"/>
          <w:numId w:val="93"/>
        </w:numPr>
        <w:rPr>
          <w:rFonts w:asciiTheme="minorBidi" w:hAnsiTheme="minorBidi"/>
        </w:rPr>
      </w:pPr>
      <w:r w:rsidRPr="00347D4F">
        <w:rPr>
          <w:rFonts w:asciiTheme="minorBidi" w:hAnsiTheme="minorBidi"/>
          <w:rtl/>
        </w:rPr>
        <w:t xml:space="preserve">ה"ר יונה </w:t>
      </w:r>
      <w:r w:rsidRPr="00347D4F">
        <w:rPr>
          <w:rFonts w:asciiTheme="minorBidi" w:hAnsiTheme="minorBidi"/>
          <w:sz w:val="16"/>
          <w:szCs w:val="16"/>
          <w:rtl/>
        </w:rPr>
        <w:t>(אגרת התשו</w:t>
      </w:r>
      <w:r w:rsidRPr="00347D4F">
        <w:rPr>
          <w:rFonts w:asciiTheme="minorBidi" w:hAnsiTheme="minorBidi" w:hint="cs"/>
          <w:sz w:val="16"/>
          <w:szCs w:val="16"/>
          <w:rtl/>
        </w:rPr>
        <w:t>'</w:t>
      </w:r>
      <w:r w:rsidRPr="00347D4F">
        <w:rPr>
          <w:rFonts w:asciiTheme="minorBidi" w:hAnsiTheme="minorBidi"/>
          <w:sz w:val="16"/>
          <w:szCs w:val="16"/>
          <w:rtl/>
        </w:rPr>
        <w:t xml:space="preserve"> אות מג)</w:t>
      </w:r>
      <w:r>
        <w:rPr>
          <w:rFonts w:asciiTheme="minorBidi" w:hAnsiTheme="minorBidi" w:hint="cs"/>
          <w:rtl/>
        </w:rPr>
        <w:t>-</w:t>
      </w:r>
      <w:r w:rsidRPr="00347D4F">
        <w:rPr>
          <w:rFonts w:asciiTheme="minorBidi" w:hAnsiTheme="minorBidi"/>
          <w:rtl/>
        </w:rPr>
        <w:t xml:space="preserve"> כבד דעוף נמי בעי קריעה שתי וערב</w:t>
      </w:r>
      <w:r>
        <w:rPr>
          <w:rFonts w:asciiTheme="minorBidi" w:hAnsiTheme="minorBidi" w:hint="cs"/>
          <w:rtl/>
        </w:rPr>
        <w:t>,</w:t>
      </w:r>
      <w:r w:rsidRPr="00347D4F">
        <w:rPr>
          <w:rFonts w:asciiTheme="minorBidi" w:hAnsiTheme="minorBidi"/>
          <w:rtl/>
        </w:rPr>
        <w:t xml:space="preserve"> וכבד דעוף שחלוק לשנים צריך לחתוך כל חלק מהם שתי וערב</w:t>
      </w:r>
      <w:r>
        <w:rPr>
          <w:rStyle w:val="a7"/>
          <w:rFonts w:asciiTheme="minorBidi" w:hAnsiTheme="minorBidi"/>
          <w:rtl/>
        </w:rPr>
        <w:footnoteReference w:id="609"/>
      </w:r>
      <w:r>
        <w:rPr>
          <w:rFonts w:asciiTheme="minorBidi" w:hAnsiTheme="minorBidi" w:hint="cs"/>
          <w:rtl/>
        </w:rPr>
        <w:t>.</w:t>
      </w:r>
      <w:r w:rsidRPr="00347D4F">
        <w:rPr>
          <w:rFonts w:asciiTheme="minorBidi" w:hAnsiTheme="minorBidi"/>
          <w:rtl/>
        </w:rPr>
        <w:t xml:space="preserve"> </w:t>
      </w:r>
      <w:r>
        <w:rPr>
          <w:rFonts w:asciiTheme="minorBidi" w:hAnsiTheme="minorBidi" w:hint="cs"/>
          <w:rtl/>
        </w:rPr>
        <w:t>(וכ"פ רש"ל</w:t>
      </w:r>
      <w:r>
        <w:rPr>
          <w:rStyle w:val="a7"/>
          <w:rFonts w:asciiTheme="minorBidi" w:hAnsiTheme="minorBidi"/>
          <w:rtl/>
        </w:rPr>
        <w:footnoteReference w:id="610"/>
      </w:r>
      <w:r>
        <w:rPr>
          <w:rFonts w:asciiTheme="minorBidi" w:hAnsiTheme="minorBidi" w:hint="cs"/>
          <w:sz w:val="16"/>
          <w:szCs w:val="16"/>
          <w:rtl/>
        </w:rPr>
        <w:t xml:space="preserve"> [יש"ש חולין פ"ח סוף אות נד]</w:t>
      </w:r>
      <w:r>
        <w:rPr>
          <w:rFonts w:asciiTheme="minorBidi" w:hAnsiTheme="minorBidi" w:hint="cs"/>
          <w:rtl/>
        </w:rPr>
        <w:t>)</w:t>
      </w:r>
    </w:p>
    <w:p w14:paraId="57202F5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8C5F6DA" w14:textId="77777777" w:rsidR="002C39F4" w:rsidRPr="003024E5" w:rsidRDefault="002C39F4" w:rsidP="002C39F4">
      <w:pPr>
        <w:rPr>
          <w:rFonts w:asciiTheme="minorBidi" w:hAnsiTheme="minorBidi"/>
          <w:rtl/>
        </w:rPr>
      </w:pPr>
      <w:r w:rsidRPr="003024E5">
        <w:rPr>
          <w:rFonts w:asciiTheme="minorBidi" w:hAnsiTheme="minorBidi"/>
          <w:rtl/>
        </w:rPr>
        <w:t>לצלי צריך חתיכה משום דם שבסמפונות, ואם לא קרעו קודם צלייה יקרענו אחר כך.</w:t>
      </w:r>
      <w:r w:rsidRPr="003024E5">
        <w:rPr>
          <w:rFonts w:asciiTheme="minorBidi" w:hAnsiTheme="minorBidi"/>
          <w:sz w:val="18"/>
          <w:szCs w:val="18"/>
          <w:rtl/>
        </w:rPr>
        <w:t xml:space="preserve"> [הגה] וי"א דאין צריך לצלי שום חתיכה כלל</w:t>
      </w:r>
      <w:r w:rsidRPr="003024E5">
        <w:rPr>
          <w:rStyle w:val="a7"/>
          <w:rFonts w:asciiTheme="minorBidi" w:hAnsiTheme="minorBidi"/>
          <w:sz w:val="18"/>
          <w:szCs w:val="18"/>
          <w:rtl/>
        </w:rPr>
        <w:footnoteReference w:id="611"/>
      </w:r>
      <w:r w:rsidRPr="003024E5">
        <w:rPr>
          <w:rFonts w:asciiTheme="minorBidi" w:hAnsiTheme="minorBidi"/>
          <w:sz w:val="18"/>
          <w:szCs w:val="18"/>
          <w:rtl/>
        </w:rPr>
        <w:t xml:space="preserve"> (טור בשם ר"י סמ"ק ואו"ה ושא</w:t>
      </w:r>
      <w:r>
        <w:rPr>
          <w:rFonts w:asciiTheme="minorBidi" w:hAnsiTheme="minorBidi" w:hint="cs"/>
          <w:sz w:val="18"/>
          <w:szCs w:val="18"/>
          <w:rtl/>
        </w:rPr>
        <w:t>"פ</w:t>
      </w:r>
      <w:r w:rsidRPr="003024E5">
        <w:rPr>
          <w:rFonts w:asciiTheme="minorBidi" w:hAnsiTheme="minorBidi"/>
          <w:sz w:val="18"/>
          <w:szCs w:val="18"/>
          <w:rtl/>
        </w:rPr>
        <w:t>), וכן נוהגין אפילו לכתחלה</w:t>
      </w:r>
      <w:r w:rsidRPr="003024E5">
        <w:rPr>
          <w:rStyle w:val="a7"/>
          <w:rFonts w:asciiTheme="minorBidi" w:hAnsiTheme="minorBidi"/>
          <w:sz w:val="18"/>
          <w:szCs w:val="18"/>
          <w:rtl/>
        </w:rPr>
        <w:footnoteReference w:id="612"/>
      </w:r>
      <w:r w:rsidRPr="003024E5">
        <w:rPr>
          <w:rFonts w:asciiTheme="minorBidi" w:hAnsiTheme="minorBidi"/>
          <w:sz w:val="18"/>
          <w:szCs w:val="18"/>
          <w:rtl/>
        </w:rPr>
        <w:t xml:space="preserve">. </w:t>
      </w:r>
    </w:p>
    <w:p w14:paraId="2D9BCA89" w14:textId="77777777" w:rsidR="002C39F4" w:rsidRPr="003024E5" w:rsidRDefault="002C39F4" w:rsidP="002C39F4">
      <w:pPr>
        <w:rPr>
          <w:rFonts w:asciiTheme="minorBidi" w:hAnsiTheme="minorBidi"/>
          <w:rtl/>
        </w:rPr>
      </w:pPr>
    </w:p>
    <w:p w14:paraId="4CB5AC3B" w14:textId="77777777" w:rsidR="002C39F4" w:rsidRPr="003024E5" w:rsidRDefault="002C39F4" w:rsidP="002C39F4">
      <w:pPr>
        <w:pStyle w:val="2"/>
        <w:rPr>
          <w:rFonts w:asciiTheme="minorBidi" w:hAnsiTheme="minorBidi"/>
          <w:rtl/>
        </w:rPr>
      </w:pPr>
      <w:r w:rsidRPr="003024E5">
        <w:rPr>
          <w:rFonts w:asciiTheme="minorBidi" w:hAnsiTheme="minorBidi"/>
          <w:rtl/>
        </w:rPr>
        <w:t>סעיף ד: צליית כבד בהדי בשרא.</w:t>
      </w:r>
    </w:p>
    <w:p w14:paraId="709D31B1"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קיא ע"א: </w:t>
      </w:r>
      <w:r w:rsidRPr="003024E5">
        <w:rPr>
          <w:rFonts w:asciiTheme="minorBidi" w:hAnsiTheme="minorBidi"/>
          <w:rtl/>
        </w:rPr>
        <w:t>אתמר: כבדא עילוי בשרא</w:t>
      </w:r>
      <w:r w:rsidRPr="003024E5">
        <w:rPr>
          <w:rStyle w:val="a7"/>
          <w:rFonts w:asciiTheme="minorBidi" w:hAnsiTheme="minorBidi"/>
          <w:rtl/>
        </w:rPr>
        <w:footnoteReference w:id="613"/>
      </w:r>
      <w:r w:rsidRPr="003024E5">
        <w:rPr>
          <w:rFonts w:asciiTheme="minorBidi" w:hAnsiTheme="minorBidi"/>
          <w:rtl/>
        </w:rPr>
        <w:t xml:space="preserve"> שרי, דמא משרק שריק</w:t>
      </w:r>
      <w:r w:rsidRPr="003024E5">
        <w:rPr>
          <w:rStyle w:val="a7"/>
          <w:rFonts w:asciiTheme="minorBidi" w:hAnsiTheme="minorBidi"/>
          <w:rtl/>
        </w:rPr>
        <w:footnoteReference w:id="614"/>
      </w:r>
      <w:r w:rsidRPr="003024E5">
        <w:rPr>
          <w:rFonts w:asciiTheme="minorBidi" w:hAnsiTheme="minorBidi"/>
          <w:rtl/>
        </w:rPr>
        <w:t>. כחלא עילוי בשרא אסור, מאי טעמא- חלב סרוכי מסריך</w:t>
      </w:r>
      <w:r w:rsidRPr="003024E5">
        <w:rPr>
          <w:rStyle w:val="a7"/>
          <w:rFonts w:asciiTheme="minorBidi" w:hAnsiTheme="minorBidi"/>
          <w:rtl/>
        </w:rPr>
        <w:footnoteReference w:id="615"/>
      </w:r>
      <w:r w:rsidRPr="003024E5">
        <w:rPr>
          <w:rFonts w:asciiTheme="minorBidi" w:hAnsiTheme="minorBidi"/>
          <w:rtl/>
        </w:rPr>
        <w:t>. רב דימי מנהרדעא מתני אפכא: כחלא עילוי בשרא שרי, מ"ט- חלב שחוטה דרבנן, כבדא עילוי בשרא אסור, דם דאורייתא. דרש מרימר, הלכתא: בין כבדא בין כחלא, תותי בשרא- שרי, עילוי בשרא- דיעבד אין, לכתחלה לא</w:t>
      </w:r>
      <w:r w:rsidRPr="003024E5">
        <w:rPr>
          <w:rStyle w:val="a7"/>
          <w:rFonts w:asciiTheme="minorBidi" w:hAnsiTheme="minorBidi"/>
          <w:rtl/>
        </w:rPr>
        <w:footnoteReference w:id="616"/>
      </w:r>
      <w:r w:rsidRPr="003024E5">
        <w:rPr>
          <w:rFonts w:asciiTheme="minorBidi" w:hAnsiTheme="minorBidi"/>
          <w:rtl/>
        </w:rPr>
        <w:t xml:space="preserve">. </w:t>
      </w:r>
    </w:p>
    <w:p w14:paraId="5988407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B1E2E75" w14:textId="77777777" w:rsidR="002C39F4" w:rsidRPr="003024E5" w:rsidRDefault="002C39F4" w:rsidP="002C39F4">
      <w:pPr>
        <w:rPr>
          <w:rFonts w:asciiTheme="minorBidi" w:hAnsiTheme="minorBidi"/>
          <w:rtl/>
        </w:rPr>
      </w:pPr>
      <w:r w:rsidRPr="003024E5">
        <w:rPr>
          <w:rFonts w:asciiTheme="minorBidi" w:hAnsiTheme="minorBidi"/>
          <w:rtl/>
        </w:rPr>
        <w:t>אם צלאו עם בשר בתנורים שבימי חכמי הגמרא שפיהם למעלה יהיה הכבד למטה ולא למעלה, ובדיעבד</w:t>
      </w:r>
      <w:r w:rsidRPr="003024E5">
        <w:rPr>
          <w:rStyle w:val="a7"/>
          <w:rFonts w:asciiTheme="minorBidi" w:hAnsiTheme="minorBidi"/>
          <w:rtl/>
        </w:rPr>
        <w:footnoteReference w:id="617"/>
      </w:r>
      <w:r w:rsidRPr="003024E5">
        <w:rPr>
          <w:rFonts w:asciiTheme="minorBidi" w:hAnsiTheme="minorBidi"/>
          <w:rtl/>
        </w:rPr>
        <w:t xml:space="preserve"> מותר</w:t>
      </w:r>
      <w:r w:rsidRPr="003024E5">
        <w:rPr>
          <w:rStyle w:val="a7"/>
          <w:rFonts w:asciiTheme="minorBidi" w:hAnsiTheme="minorBidi"/>
          <w:rtl/>
        </w:rPr>
        <w:footnoteReference w:id="618"/>
      </w:r>
      <w:r w:rsidRPr="003024E5">
        <w:rPr>
          <w:rFonts w:asciiTheme="minorBidi" w:hAnsiTheme="minorBidi"/>
          <w:rtl/>
        </w:rPr>
        <w:t>. ובשפודים שצולים אצל האש</w:t>
      </w:r>
      <w:r w:rsidRPr="003024E5">
        <w:rPr>
          <w:rStyle w:val="a7"/>
          <w:rFonts w:asciiTheme="minorBidi" w:hAnsiTheme="minorBidi"/>
          <w:rtl/>
        </w:rPr>
        <w:footnoteReference w:id="619"/>
      </w:r>
      <w:r w:rsidRPr="003024E5">
        <w:rPr>
          <w:rFonts w:asciiTheme="minorBidi" w:hAnsiTheme="minorBidi"/>
          <w:rtl/>
        </w:rPr>
        <w:t xml:space="preserve"> אסור לצלותן עם הבשר לכתחלה אפילו כבד למטה. </w:t>
      </w:r>
      <w:r w:rsidRPr="003024E5">
        <w:rPr>
          <w:rFonts w:asciiTheme="minorBidi" w:hAnsiTheme="minorBidi"/>
          <w:sz w:val="18"/>
          <w:szCs w:val="18"/>
          <w:rtl/>
        </w:rPr>
        <w:t>הגה: מיהו אם נמלחה הכבד</w:t>
      </w:r>
      <w:r w:rsidRPr="003024E5">
        <w:rPr>
          <w:rStyle w:val="a7"/>
          <w:rFonts w:asciiTheme="minorBidi" w:hAnsiTheme="minorBidi"/>
          <w:sz w:val="18"/>
          <w:szCs w:val="18"/>
          <w:rtl/>
        </w:rPr>
        <w:footnoteReference w:id="620"/>
      </w:r>
      <w:r w:rsidRPr="003024E5">
        <w:rPr>
          <w:rFonts w:asciiTheme="minorBidi" w:hAnsiTheme="minorBidi"/>
          <w:sz w:val="18"/>
          <w:szCs w:val="18"/>
          <w:rtl/>
        </w:rPr>
        <w:t xml:space="preserve"> כבר</w:t>
      </w:r>
      <w:r>
        <w:rPr>
          <w:rFonts w:asciiTheme="minorBidi" w:hAnsiTheme="minorBidi" w:hint="cs"/>
          <w:sz w:val="18"/>
          <w:szCs w:val="18"/>
          <w:rtl/>
        </w:rPr>
        <w:t>,</w:t>
      </w:r>
      <w:r w:rsidRPr="003024E5">
        <w:rPr>
          <w:rFonts w:asciiTheme="minorBidi" w:hAnsiTheme="minorBidi"/>
          <w:sz w:val="18"/>
          <w:szCs w:val="18"/>
          <w:rtl/>
        </w:rPr>
        <w:t xml:space="preserve"> מותר לצלותה עם בשר אפילו</w:t>
      </w:r>
      <w:r w:rsidRPr="003024E5">
        <w:rPr>
          <w:rStyle w:val="a7"/>
          <w:rFonts w:asciiTheme="minorBidi" w:hAnsiTheme="minorBidi"/>
          <w:sz w:val="18"/>
          <w:szCs w:val="18"/>
          <w:rtl/>
        </w:rPr>
        <w:footnoteReference w:id="621"/>
      </w:r>
      <w:r w:rsidRPr="003024E5">
        <w:rPr>
          <w:rFonts w:asciiTheme="minorBidi" w:hAnsiTheme="minorBidi"/>
          <w:sz w:val="18"/>
          <w:szCs w:val="18"/>
          <w:rtl/>
        </w:rPr>
        <w:t xml:space="preserve"> על גבי בשרא, דכבר נתמעט דמו והוי כבשר על גבי בשר</w:t>
      </w:r>
      <w:r w:rsidRPr="003024E5">
        <w:rPr>
          <w:rStyle w:val="a7"/>
          <w:rFonts w:asciiTheme="minorBidi" w:hAnsiTheme="minorBidi"/>
          <w:sz w:val="18"/>
          <w:szCs w:val="18"/>
          <w:rtl/>
        </w:rPr>
        <w:footnoteReference w:id="622"/>
      </w:r>
      <w:r w:rsidRPr="003024E5">
        <w:rPr>
          <w:rFonts w:asciiTheme="minorBidi" w:hAnsiTheme="minorBidi"/>
          <w:sz w:val="18"/>
          <w:szCs w:val="18"/>
          <w:rtl/>
        </w:rPr>
        <w:t xml:space="preserve"> (ב"י בשם תוס' והגשע"ד ומרדכי).</w:t>
      </w:r>
      <w:r w:rsidRPr="003024E5">
        <w:rPr>
          <w:rFonts w:asciiTheme="minorBidi" w:hAnsiTheme="minorBidi"/>
          <w:rtl/>
        </w:rPr>
        <w:t xml:space="preserve"> </w:t>
      </w:r>
    </w:p>
    <w:p w14:paraId="2FE929CD" w14:textId="77777777" w:rsidR="002C39F4" w:rsidRPr="003024E5" w:rsidRDefault="002C39F4" w:rsidP="002C39F4">
      <w:pPr>
        <w:rPr>
          <w:rFonts w:asciiTheme="minorBidi" w:hAnsiTheme="minorBidi"/>
          <w:rtl/>
        </w:rPr>
      </w:pPr>
    </w:p>
    <w:p w14:paraId="1EF57B83" w14:textId="77777777" w:rsidR="002C39F4" w:rsidRPr="003024E5" w:rsidRDefault="002C39F4" w:rsidP="002C39F4">
      <w:pPr>
        <w:pStyle w:val="2"/>
        <w:rPr>
          <w:rFonts w:asciiTheme="minorBidi" w:hAnsiTheme="minorBidi"/>
          <w:rtl/>
        </w:rPr>
      </w:pPr>
      <w:r w:rsidRPr="003024E5">
        <w:rPr>
          <w:rFonts w:asciiTheme="minorBidi" w:hAnsiTheme="minorBidi"/>
          <w:rtl/>
        </w:rPr>
        <w:t>סעיף ה: מליחת כבד עם בשר.</w:t>
      </w:r>
    </w:p>
    <w:p w14:paraId="4A90027E" w14:textId="77777777" w:rsidR="002C39F4" w:rsidRPr="003024E5" w:rsidRDefault="002C39F4" w:rsidP="002C39F4">
      <w:pPr>
        <w:rPr>
          <w:rFonts w:asciiTheme="minorBidi" w:hAnsiTheme="minorBidi"/>
          <w:sz w:val="16"/>
          <w:szCs w:val="16"/>
          <w:rtl/>
        </w:rPr>
      </w:pPr>
      <w:r w:rsidRPr="003024E5">
        <w:rPr>
          <w:rFonts w:asciiTheme="minorBidi" w:hAnsiTheme="minorBidi"/>
          <w:u w:val="single"/>
          <w:rtl/>
        </w:rPr>
        <w:t>מליחת כבד עם בשר:</w:t>
      </w:r>
      <w:r w:rsidRPr="003024E5">
        <w:rPr>
          <w:rFonts w:asciiTheme="minorBidi" w:hAnsiTheme="minorBidi"/>
          <w:sz w:val="16"/>
          <w:szCs w:val="16"/>
          <w:rtl/>
        </w:rPr>
        <w:t xml:space="preserve"> </w:t>
      </w:r>
      <w:r>
        <w:rPr>
          <w:rFonts w:asciiTheme="minorBidi" w:hAnsiTheme="minorBidi" w:hint="cs"/>
          <w:sz w:val="16"/>
          <w:szCs w:val="16"/>
          <w:rtl/>
        </w:rPr>
        <w:t xml:space="preserve">  </w:t>
      </w:r>
      <w:r w:rsidRPr="003024E5">
        <w:rPr>
          <w:rFonts w:asciiTheme="minorBidi" w:hAnsiTheme="minorBidi"/>
          <w:sz w:val="16"/>
          <w:szCs w:val="16"/>
          <w:rtl/>
        </w:rPr>
        <w:t>(ב"י, דרכ"מ [אות ז])</w:t>
      </w:r>
    </w:p>
    <w:p w14:paraId="11BC7491" w14:textId="77777777" w:rsidR="002C39F4" w:rsidRPr="003024E5" w:rsidRDefault="002C39F4" w:rsidP="002C39F4">
      <w:pPr>
        <w:pStyle w:val="a8"/>
        <w:numPr>
          <w:ilvl w:val="0"/>
          <w:numId w:val="51"/>
        </w:numPr>
        <w:rPr>
          <w:rFonts w:asciiTheme="minorBidi" w:hAnsiTheme="minorBidi"/>
          <w:rtl/>
        </w:rPr>
      </w:pPr>
      <w:r w:rsidRPr="003024E5">
        <w:rPr>
          <w:rFonts w:asciiTheme="minorBidi" w:hAnsiTheme="minorBidi"/>
          <w:rtl/>
        </w:rPr>
        <w:t xml:space="preserve">רשב"א </w:t>
      </w:r>
      <w:r w:rsidRPr="003024E5">
        <w:rPr>
          <w:rFonts w:asciiTheme="minorBidi" w:hAnsiTheme="minorBidi"/>
          <w:sz w:val="16"/>
          <w:szCs w:val="16"/>
          <w:rtl/>
        </w:rPr>
        <w:t xml:space="preserve">(תוה"א שם עד:) </w:t>
      </w:r>
      <w:r w:rsidRPr="003024E5">
        <w:rPr>
          <w:rFonts w:asciiTheme="minorBidi" w:hAnsiTheme="minorBidi"/>
          <w:rtl/>
        </w:rPr>
        <w:t xml:space="preserve">סמ"ק </w:t>
      </w:r>
      <w:r w:rsidRPr="003024E5">
        <w:rPr>
          <w:rFonts w:asciiTheme="minorBidi" w:hAnsiTheme="minorBidi"/>
          <w:sz w:val="16"/>
          <w:szCs w:val="16"/>
          <w:rtl/>
        </w:rPr>
        <w:t xml:space="preserve">(סי' רה) </w:t>
      </w:r>
      <w:r w:rsidRPr="003024E5">
        <w:rPr>
          <w:rFonts w:asciiTheme="minorBidi" w:hAnsiTheme="minorBidi"/>
          <w:rtl/>
        </w:rPr>
        <w:t>וטור</w:t>
      </w:r>
      <w:r w:rsidRPr="003024E5">
        <w:rPr>
          <w:rStyle w:val="a7"/>
          <w:rFonts w:asciiTheme="minorBidi" w:hAnsiTheme="minorBidi"/>
          <w:rtl/>
        </w:rPr>
        <w:footnoteReference w:id="623"/>
      </w:r>
      <w:r w:rsidRPr="003024E5">
        <w:rPr>
          <w:rFonts w:asciiTheme="minorBidi" w:hAnsiTheme="minorBidi"/>
          <w:rtl/>
        </w:rPr>
        <w:t>- כשם שאסור לצלותו עם בשר בשפוד אא"כ הכבד למטה כך אסור למולחו לכתחילה ע"ג בשר</w:t>
      </w:r>
      <w:r w:rsidRPr="003024E5">
        <w:rPr>
          <w:rStyle w:val="a7"/>
          <w:rFonts w:asciiTheme="minorBidi" w:hAnsiTheme="minorBidi"/>
          <w:rtl/>
        </w:rPr>
        <w:footnoteReference w:id="624"/>
      </w:r>
      <w:r w:rsidRPr="003024E5">
        <w:rPr>
          <w:rFonts w:asciiTheme="minorBidi" w:hAnsiTheme="minorBidi"/>
          <w:rtl/>
        </w:rPr>
        <w:t xml:space="preserve"> אבל תחת הבשר מותר</w:t>
      </w:r>
      <w:r>
        <w:rPr>
          <w:rStyle w:val="a7"/>
          <w:rFonts w:asciiTheme="minorBidi" w:hAnsiTheme="minorBidi"/>
          <w:rtl/>
        </w:rPr>
        <w:footnoteReference w:id="625"/>
      </w:r>
      <w:r w:rsidRPr="003024E5">
        <w:rPr>
          <w:rFonts w:asciiTheme="minorBidi" w:hAnsiTheme="minorBidi"/>
          <w:rtl/>
        </w:rPr>
        <w:t xml:space="preserve">, עבר ומלחו על גבי בשר מותר.  </w:t>
      </w:r>
      <w:r w:rsidRPr="003024E5">
        <w:rPr>
          <w:rFonts w:asciiTheme="minorBidi" w:hAnsiTheme="minorBidi"/>
          <w:color w:val="E36C0A" w:themeColor="accent6" w:themeShade="BF"/>
          <w:rtl/>
        </w:rPr>
        <w:t>(וכ"פ בשו"ע)</w:t>
      </w:r>
    </w:p>
    <w:p w14:paraId="05D09B85" w14:textId="77777777" w:rsidR="002C39F4" w:rsidRPr="003024E5" w:rsidRDefault="002C39F4" w:rsidP="002C39F4">
      <w:pPr>
        <w:pStyle w:val="a8"/>
        <w:numPr>
          <w:ilvl w:val="0"/>
          <w:numId w:val="51"/>
        </w:numPr>
        <w:rPr>
          <w:rFonts w:asciiTheme="minorBidi" w:hAnsiTheme="minorBidi"/>
          <w:rtl/>
        </w:rPr>
      </w:pPr>
      <w:r w:rsidRPr="003024E5">
        <w:rPr>
          <w:rFonts w:asciiTheme="minorBidi" w:hAnsiTheme="minorBidi"/>
          <w:rtl/>
        </w:rPr>
        <w:t xml:space="preserve">י"א </w:t>
      </w:r>
      <w:r w:rsidRPr="003024E5">
        <w:rPr>
          <w:rFonts w:asciiTheme="minorBidi" w:hAnsiTheme="minorBidi"/>
          <w:sz w:val="16"/>
          <w:szCs w:val="16"/>
          <w:rtl/>
        </w:rPr>
        <w:t>(הביאם הה"מ [פ"ו ה"ח ד"ה ומותר])</w:t>
      </w:r>
      <w:r w:rsidRPr="003024E5">
        <w:rPr>
          <w:rFonts w:asciiTheme="minorBidi" w:hAnsiTheme="minorBidi"/>
          <w:rtl/>
        </w:rPr>
        <w:t>- לא מחמרינן בענין זה במליחה כמו בצלי.</w:t>
      </w:r>
      <w:r>
        <w:rPr>
          <w:rFonts w:asciiTheme="minorBidi" w:hAnsiTheme="minorBidi" w:hint="cs"/>
          <w:rtl/>
        </w:rPr>
        <w:t xml:space="preserve"> </w:t>
      </w:r>
    </w:p>
    <w:p w14:paraId="2EEB03AD" w14:textId="77777777" w:rsidR="002C39F4" w:rsidRPr="00454314" w:rsidRDefault="002C39F4" w:rsidP="002C39F4">
      <w:pPr>
        <w:pStyle w:val="a8"/>
        <w:numPr>
          <w:ilvl w:val="0"/>
          <w:numId w:val="51"/>
        </w:numPr>
        <w:rPr>
          <w:rFonts w:asciiTheme="minorBidi" w:hAnsiTheme="minorBidi"/>
        </w:rPr>
      </w:pPr>
      <w:r w:rsidRPr="003024E5">
        <w:rPr>
          <w:rFonts w:asciiTheme="minorBidi" w:hAnsiTheme="minorBidi"/>
          <w:rtl/>
        </w:rPr>
        <w:t xml:space="preserve">ראבי"ה </w:t>
      </w:r>
      <w:r w:rsidRPr="003024E5">
        <w:rPr>
          <w:rFonts w:asciiTheme="minorBidi" w:hAnsiTheme="minorBidi"/>
          <w:sz w:val="16"/>
          <w:szCs w:val="16"/>
          <w:rtl/>
        </w:rPr>
        <w:t>(סי' אלף צב, הביאו המרדכי [סי' תשכג])</w:t>
      </w:r>
      <w:r w:rsidRPr="003024E5">
        <w:rPr>
          <w:rFonts w:asciiTheme="minorBidi" w:hAnsiTheme="minorBidi"/>
          <w:rtl/>
        </w:rPr>
        <w:t>- אסור אפילו בדיעבד כבד שנמלח עם בשר</w:t>
      </w:r>
      <w:r w:rsidRPr="003024E5">
        <w:rPr>
          <w:rStyle w:val="a7"/>
          <w:rFonts w:asciiTheme="minorBidi" w:hAnsiTheme="minorBidi"/>
          <w:rtl/>
        </w:rPr>
        <w:footnoteReference w:id="626"/>
      </w:r>
      <w:r w:rsidRPr="003024E5">
        <w:rPr>
          <w:rFonts w:asciiTheme="minorBidi" w:hAnsiTheme="minorBidi"/>
          <w:rtl/>
        </w:rPr>
        <w:t>.</w:t>
      </w:r>
      <w:r w:rsidRPr="00454314">
        <w:rPr>
          <w:rFonts w:asciiTheme="minorBidi" w:hAnsiTheme="minorBidi"/>
          <w:rtl/>
        </w:rPr>
        <w:t xml:space="preserve"> </w:t>
      </w:r>
    </w:p>
    <w:p w14:paraId="08F8CCD5" w14:textId="77777777" w:rsidR="002C39F4" w:rsidRPr="003024E5" w:rsidRDefault="002C39F4" w:rsidP="002C39F4">
      <w:pPr>
        <w:pStyle w:val="a8"/>
        <w:numPr>
          <w:ilvl w:val="0"/>
          <w:numId w:val="51"/>
        </w:numPr>
        <w:rPr>
          <w:rFonts w:asciiTheme="minorBidi" w:hAnsiTheme="minorBidi"/>
          <w:rtl/>
        </w:rPr>
      </w:pPr>
      <w:r w:rsidRPr="003024E5">
        <w:rPr>
          <w:rFonts w:asciiTheme="minorBidi" w:hAnsiTheme="minorBidi"/>
          <w:rtl/>
        </w:rPr>
        <w:t xml:space="preserve">הגשע"ד </w:t>
      </w:r>
      <w:r w:rsidRPr="003024E5">
        <w:rPr>
          <w:rFonts w:asciiTheme="minorBidi" w:hAnsiTheme="minorBidi"/>
          <w:sz w:val="16"/>
          <w:szCs w:val="16"/>
          <w:rtl/>
        </w:rPr>
        <w:t>(סי' כד סק"א)</w:t>
      </w:r>
      <w:r w:rsidRPr="003024E5">
        <w:rPr>
          <w:rFonts w:asciiTheme="minorBidi" w:hAnsiTheme="minorBidi"/>
          <w:rtl/>
        </w:rPr>
        <w:t>- נהוג שלא למלוח הכבד אפי' לבדה כי אם כאשר היא תחובה בשפוד</w:t>
      </w:r>
      <w:r w:rsidRPr="003024E5">
        <w:rPr>
          <w:rStyle w:val="a7"/>
          <w:rFonts w:asciiTheme="minorBidi" w:hAnsiTheme="minorBidi"/>
          <w:rtl/>
        </w:rPr>
        <w:footnoteReference w:id="627"/>
      </w:r>
      <w:r w:rsidRPr="003024E5">
        <w:rPr>
          <w:rFonts w:asciiTheme="minorBidi" w:hAnsiTheme="minorBidi"/>
          <w:rtl/>
        </w:rPr>
        <w:t>.</w:t>
      </w:r>
      <w:r w:rsidRPr="003024E5">
        <w:rPr>
          <w:rFonts w:asciiTheme="minorBidi" w:hAnsiTheme="minorBidi"/>
          <w:color w:val="00B0F0"/>
          <w:rtl/>
        </w:rPr>
        <w:t xml:space="preserve"> (וכ"פ הרמ"א)</w:t>
      </w:r>
      <w:r w:rsidRPr="003024E5">
        <w:rPr>
          <w:rFonts w:asciiTheme="minorBidi" w:hAnsiTheme="minorBidi"/>
          <w:rtl/>
        </w:rPr>
        <w:t xml:space="preserve"> </w:t>
      </w:r>
    </w:p>
    <w:p w14:paraId="4BD6B7B5" w14:textId="77777777" w:rsidR="002C39F4" w:rsidRPr="003024E5" w:rsidRDefault="002C39F4" w:rsidP="002C39F4">
      <w:pPr>
        <w:rPr>
          <w:rFonts w:asciiTheme="minorBidi" w:hAnsiTheme="minorBidi"/>
          <w:sz w:val="16"/>
          <w:szCs w:val="16"/>
        </w:rPr>
      </w:pPr>
      <w:r w:rsidRPr="003024E5">
        <w:rPr>
          <w:rFonts w:asciiTheme="minorBidi" w:hAnsiTheme="minorBidi"/>
          <w:u w:val="single"/>
          <w:rtl/>
        </w:rPr>
        <w:t>מנהג לצלות את הכבד מיד לאחר מליחתו:</w:t>
      </w:r>
      <w:r w:rsidRPr="003024E5">
        <w:rPr>
          <w:rFonts w:asciiTheme="minorBidi" w:hAnsiTheme="minorBidi"/>
          <w:rtl/>
        </w:rPr>
        <w:t xml:space="preserve">   </w:t>
      </w:r>
      <w:r w:rsidRPr="003024E5">
        <w:rPr>
          <w:rFonts w:asciiTheme="minorBidi" w:hAnsiTheme="minorBidi"/>
          <w:sz w:val="16"/>
          <w:szCs w:val="16"/>
          <w:rtl/>
        </w:rPr>
        <w:t>(אגור סי' אלף רט)</w:t>
      </w:r>
    </w:p>
    <w:p w14:paraId="07527AAA" w14:textId="77777777" w:rsidR="002C39F4" w:rsidRPr="003024E5" w:rsidRDefault="002C39F4" w:rsidP="002C39F4">
      <w:pPr>
        <w:pStyle w:val="a8"/>
        <w:numPr>
          <w:ilvl w:val="0"/>
          <w:numId w:val="55"/>
        </w:numPr>
        <w:rPr>
          <w:rFonts w:asciiTheme="minorBidi" w:hAnsiTheme="minorBidi"/>
        </w:rPr>
      </w:pPr>
      <w:r w:rsidRPr="003024E5">
        <w:rPr>
          <w:rFonts w:asciiTheme="minorBidi" w:hAnsiTheme="minorBidi"/>
          <w:rtl/>
        </w:rPr>
        <w:t xml:space="preserve">אגודה </w:t>
      </w:r>
      <w:r w:rsidRPr="003024E5">
        <w:rPr>
          <w:rFonts w:asciiTheme="minorBidi" w:hAnsiTheme="minorBidi"/>
          <w:sz w:val="16"/>
          <w:szCs w:val="16"/>
          <w:rtl/>
        </w:rPr>
        <w:t>(חולין פ"ח קי:)</w:t>
      </w:r>
      <w:r w:rsidRPr="003024E5">
        <w:rPr>
          <w:rFonts w:asciiTheme="minorBidi" w:hAnsiTheme="minorBidi"/>
          <w:rtl/>
        </w:rPr>
        <w:t>- נהגו לצלותה מיד אחר מליחתה</w:t>
      </w:r>
      <w:r w:rsidRPr="003024E5">
        <w:rPr>
          <w:rStyle w:val="a7"/>
          <w:rFonts w:asciiTheme="minorBidi" w:hAnsiTheme="minorBidi"/>
          <w:rtl/>
        </w:rPr>
        <w:footnoteReference w:id="628"/>
      </w:r>
      <w:r w:rsidRPr="003024E5">
        <w:rPr>
          <w:rFonts w:asciiTheme="minorBidi" w:hAnsiTheme="minorBidi"/>
          <w:rtl/>
        </w:rPr>
        <w:t xml:space="preserve">. </w:t>
      </w:r>
    </w:p>
    <w:p w14:paraId="0238926B"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הטעם למנהג:</w:t>
      </w:r>
    </w:p>
    <w:p w14:paraId="4F55D15C" w14:textId="77777777" w:rsidR="002C39F4" w:rsidRPr="003024E5" w:rsidRDefault="002C39F4" w:rsidP="002C39F4">
      <w:pPr>
        <w:pStyle w:val="a8"/>
        <w:numPr>
          <w:ilvl w:val="0"/>
          <w:numId w:val="55"/>
        </w:numPr>
        <w:rPr>
          <w:rFonts w:asciiTheme="minorBidi" w:hAnsiTheme="minorBidi"/>
        </w:rPr>
      </w:pPr>
      <w:r w:rsidRPr="003024E5">
        <w:rPr>
          <w:rFonts w:asciiTheme="minorBidi" w:hAnsiTheme="minorBidi"/>
          <w:rtl/>
        </w:rPr>
        <w:t xml:space="preserve">אגודה- שמעתי משם מוהר"ר יצחק מדורא דלאו משום איסור נהגו כן, אך טבע כבד כן הוא שנרקב כשמשהין אותו במלח, וטוב להחמיר כי לא דבר ריק הוא שנהגו כן. </w:t>
      </w:r>
    </w:p>
    <w:p w14:paraId="2A4DA2FF" w14:textId="77777777" w:rsidR="002C39F4" w:rsidRPr="003024E5" w:rsidRDefault="002C39F4" w:rsidP="002C39F4">
      <w:pPr>
        <w:pStyle w:val="a8"/>
        <w:numPr>
          <w:ilvl w:val="0"/>
          <w:numId w:val="55"/>
        </w:numPr>
        <w:rPr>
          <w:rFonts w:asciiTheme="minorBidi" w:hAnsiTheme="minorBidi"/>
        </w:rPr>
      </w:pPr>
      <w:r w:rsidRPr="003024E5">
        <w:rPr>
          <w:rFonts w:asciiTheme="minorBidi" w:hAnsiTheme="minorBidi"/>
          <w:rtl/>
        </w:rPr>
        <w:t>מהרי"ל</w:t>
      </w:r>
      <w:r w:rsidRPr="003024E5">
        <w:rPr>
          <w:rFonts w:asciiTheme="minorBidi" w:hAnsiTheme="minorBidi"/>
          <w:sz w:val="16"/>
          <w:szCs w:val="16"/>
          <w:rtl/>
        </w:rPr>
        <w:t xml:space="preserve"> (שו"ת מהרי"ל סי' קכו, הביאו האגור)</w:t>
      </w:r>
      <w:r w:rsidRPr="003024E5">
        <w:rPr>
          <w:rFonts w:asciiTheme="minorBidi" w:hAnsiTheme="minorBidi"/>
          <w:rtl/>
        </w:rPr>
        <w:t>- דהאור חוזר ומבליע הדם שפלט</w:t>
      </w:r>
      <w:r w:rsidRPr="003024E5">
        <w:rPr>
          <w:rStyle w:val="a7"/>
          <w:rFonts w:asciiTheme="minorBidi" w:hAnsiTheme="minorBidi"/>
          <w:rtl/>
        </w:rPr>
        <w:footnoteReference w:id="629"/>
      </w:r>
      <w:r w:rsidRPr="003024E5">
        <w:rPr>
          <w:rFonts w:asciiTheme="minorBidi" w:hAnsiTheme="minorBidi"/>
          <w:rtl/>
        </w:rPr>
        <w:t xml:space="preserve">. </w:t>
      </w:r>
    </w:p>
    <w:p w14:paraId="7F72E2AE" w14:textId="77777777" w:rsidR="002C39F4" w:rsidRPr="003024E5" w:rsidRDefault="002C39F4" w:rsidP="002C39F4">
      <w:pPr>
        <w:pStyle w:val="a8"/>
        <w:numPr>
          <w:ilvl w:val="0"/>
          <w:numId w:val="55"/>
        </w:numPr>
        <w:rPr>
          <w:rFonts w:asciiTheme="minorBidi" w:hAnsiTheme="minorBidi"/>
        </w:rPr>
      </w:pPr>
      <w:r w:rsidRPr="003024E5">
        <w:rPr>
          <w:rFonts w:asciiTheme="minorBidi" w:hAnsiTheme="minorBidi"/>
          <w:rtl/>
        </w:rPr>
        <w:t xml:space="preserve">הג"ה או"ה </w:t>
      </w:r>
      <w:r w:rsidRPr="003024E5">
        <w:rPr>
          <w:rFonts w:asciiTheme="minorBidi" w:hAnsiTheme="minorBidi"/>
          <w:sz w:val="16"/>
          <w:szCs w:val="16"/>
          <w:rtl/>
        </w:rPr>
        <w:t xml:space="preserve">(מובאת בסוף </w:t>
      </w:r>
      <w:r>
        <w:rPr>
          <w:rFonts w:asciiTheme="minorBidi" w:hAnsiTheme="minorBidi"/>
          <w:sz w:val="16"/>
          <w:szCs w:val="16"/>
          <w:rtl/>
        </w:rPr>
        <w:t>או"ה</w:t>
      </w:r>
      <w:r w:rsidRPr="003024E5">
        <w:rPr>
          <w:rFonts w:asciiTheme="minorBidi" w:hAnsiTheme="minorBidi"/>
          <w:sz w:val="16"/>
          <w:szCs w:val="16"/>
          <w:rtl/>
        </w:rPr>
        <w:t>, הביאה הדרכ"מ אות יא)</w:t>
      </w:r>
      <w:r w:rsidRPr="003024E5">
        <w:rPr>
          <w:rFonts w:asciiTheme="minorBidi" w:hAnsiTheme="minorBidi"/>
          <w:rtl/>
        </w:rPr>
        <w:t>- משום היכרא שאינו דומה לשאר בשר שלא יבוא לבשלו עם שאר בשר אחר המליחה.</w:t>
      </w:r>
    </w:p>
    <w:p w14:paraId="756F2970" w14:textId="77777777" w:rsidR="002C39F4" w:rsidRPr="003024E5" w:rsidRDefault="002C39F4" w:rsidP="002C39F4">
      <w:pPr>
        <w:rPr>
          <w:rFonts w:asciiTheme="minorBidi" w:hAnsiTheme="minorBidi"/>
          <w:sz w:val="16"/>
          <w:szCs w:val="16"/>
        </w:rPr>
      </w:pPr>
      <w:r w:rsidRPr="003024E5">
        <w:rPr>
          <w:rFonts w:asciiTheme="minorBidi" w:hAnsiTheme="minorBidi"/>
          <w:u w:val="single"/>
          <w:rtl/>
        </w:rPr>
        <w:t>מנהג שלא למלוח כבד:</w:t>
      </w:r>
      <w:r w:rsidRPr="003024E5">
        <w:rPr>
          <w:rFonts w:asciiTheme="minorBidi" w:hAnsiTheme="minorBidi"/>
          <w:rtl/>
        </w:rPr>
        <w:t xml:space="preserve">   </w:t>
      </w:r>
      <w:r w:rsidRPr="003024E5">
        <w:rPr>
          <w:rFonts w:asciiTheme="minorBidi" w:hAnsiTheme="minorBidi"/>
          <w:sz w:val="16"/>
          <w:szCs w:val="16"/>
          <w:rtl/>
        </w:rPr>
        <w:t>(אגור סי' אלף רי)</w:t>
      </w:r>
    </w:p>
    <w:p w14:paraId="4495B42F" w14:textId="77777777" w:rsidR="002C39F4" w:rsidRPr="003024E5" w:rsidRDefault="002C39F4" w:rsidP="002C39F4">
      <w:pPr>
        <w:pStyle w:val="a8"/>
        <w:numPr>
          <w:ilvl w:val="0"/>
          <w:numId w:val="56"/>
        </w:numPr>
        <w:rPr>
          <w:rFonts w:asciiTheme="minorBidi" w:hAnsiTheme="minorBidi"/>
          <w:b/>
          <w:bCs/>
          <w:color w:val="000000"/>
          <w:u w:val="single"/>
          <w:rtl/>
        </w:rPr>
      </w:pPr>
      <w:r w:rsidRPr="003024E5">
        <w:rPr>
          <w:rFonts w:asciiTheme="minorBidi" w:hAnsiTheme="minorBidi"/>
          <w:rtl/>
        </w:rPr>
        <w:t xml:space="preserve">שע"ד </w:t>
      </w:r>
      <w:r w:rsidRPr="003024E5">
        <w:rPr>
          <w:rFonts w:asciiTheme="minorBidi" w:hAnsiTheme="minorBidi"/>
          <w:sz w:val="16"/>
          <w:szCs w:val="16"/>
          <w:rtl/>
        </w:rPr>
        <w:t>(סו"ס כד, וסו"ס לא)</w:t>
      </w:r>
      <w:r w:rsidRPr="003024E5">
        <w:rPr>
          <w:rFonts w:asciiTheme="minorBidi" w:hAnsiTheme="minorBidi"/>
          <w:rtl/>
        </w:rPr>
        <w:t>- מה שנהגו שאין למלוח כבד קודם צלייה לא מצינו איסור זה בכל התלמוד</w:t>
      </w:r>
      <w:r w:rsidRPr="003024E5">
        <w:rPr>
          <w:rStyle w:val="a7"/>
          <w:rFonts w:asciiTheme="minorBidi" w:hAnsiTheme="minorBidi"/>
          <w:rtl/>
        </w:rPr>
        <w:footnoteReference w:id="630"/>
      </w:r>
      <w:r w:rsidRPr="003024E5">
        <w:rPr>
          <w:rFonts w:asciiTheme="minorBidi" w:hAnsiTheme="minorBidi"/>
          <w:rtl/>
        </w:rPr>
        <w:t>.</w:t>
      </w:r>
    </w:p>
    <w:p w14:paraId="3E2E4AB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0F50794" w14:textId="77777777" w:rsidR="002C39F4" w:rsidRPr="003024E5" w:rsidRDefault="002C39F4" w:rsidP="002C39F4">
      <w:pPr>
        <w:rPr>
          <w:rFonts w:asciiTheme="minorBidi" w:hAnsiTheme="minorBidi"/>
          <w:rtl/>
        </w:rPr>
      </w:pPr>
      <w:r w:rsidRPr="003024E5">
        <w:rPr>
          <w:rFonts w:asciiTheme="minorBidi" w:hAnsiTheme="minorBidi"/>
          <w:rtl/>
        </w:rPr>
        <w:t>לא ימלחנו לכתחלה על גבי הבשר אלא מתחתיו</w:t>
      </w:r>
      <w:r w:rsidRPr="003024E5">
        <w:rPr>
          <w:rStyle w:val="a7"/>
          <w:rFonts w:asciiTheme="minorBidi" w:hAnsiTheme="minorBidi"/>
          <w:rtl/>
        </w:rPr>
        <w:footnoteReference w:id="631"/>
      </w:r>
      <w:r w:rsidRPr="003024E5">
        <w:rPr>
          <w:rFonts w:asciiTheme="minorBidi" w:hAnsiTheme="minorBidi"/>
          <w:rtl/>
        </w:rPr>
        <w:t xml:space="preserve">. </w:t>
      </w:r>
      <w:r w:rsidRPr="003024E5">
        <w:rPr>
          <w:rFonts w:asciiTheme="minorBidi" w:hAnsiTheme="minorBidi"/>
          <w:sz w:val="18"/>
          <w:szCs w:val="18"/>
          <w:rtl/>
        </w:rPr>
        <w:t>הגה: ונהגו שלא למלוח כבד כלל אפילו לבדה</w:t>
      </w:r>
      <w:r w:rsidRPr="003024E5">
        <w:rPr>
          <w:rStyle w:val="a7"/>
          <w:rFonts w:asciiTheme="minorBidi" w:hAnsiTheme="minorBidi"/>
          <w:sz w:val="18"/>
          <w:szCs w:val="18"/>
          <w:rtl/>
        </w:rPr>
        <w:footnoteReference w:id="632"/>
      </w:r>
      <w:r w:rsidRPr="003024E5">
        <w:rPr>
          <w:rFonts w:asciiTheme="minorBidi" w:hAnsiTheme="minorBidi"/>
          <w:sz w:val="18"/>
          <w:szCs w:val="18"/>
          <w:rtl/>
        </w:rPr>
        <w:t xml:space="preserve"> ואין לשנות רק יש למלחה קצת כשהיא תחובה בשפוד או מונחת על האש לצלותה (הגשע"ד ואגור בשם אגודה). ומיהו אם איתא שמלח כבד, בין שמלחה לבד או עם בשר, אפילו על גבי בשרא, הכל מותר (טור ושע"ד וארוך). וי"א שיש לקלוף מעט סביב הכבד אם היא דבוקה בעוף</w:t>
      </w:r>
      <w:r w:rsidRPr="003024E5">
        <w:rPr>
          <w:rStyle w:val="a7"/>
          <w:rFonts w:asciiTheme="minorBidi" w:hAnsiTheme="minorBidi"/>
          <w:sz w:val="18"/>
          <w:szCs w:val="18"/>
          <w:rtl/>
        </w:rPr>
        <w:footnoteReference w:id="633"/>
      </w:r>
      <w:r w:rsidRPr="003024E5">
        <w:rPr>
          <w:rFonts w:asciiTheme="minorBidi" w:hAnsiTheme="minorBidi"/>
          <w:sz w:val="18"/>
          <w:szCs w:val="18"/>
          <w:rtl/>
        </w:rPr>
        <w:t>, ואינו אלא חומרא בעלמא (מרדכי פכ"ה ובארוך). נהגו להדיח כל</w:t>
      </w:r>
      <w:r w:rsidRPr="003024E5">
        <w:rPr>
          <w:rStyle w:val="a7"/>
          <w:rFonts w:asciiTheme="minorBidi" w:hAnsiTheme="minorBidi"/>
          <w:sz w:val="18"/>
          <w:szCs w:val="18"/>
          <w:rtl/>
        </w:rPr>
        <w:footnoteReference w:id="634"/>
      </w:r>
      <w:r w:rsidRPr="003024E5">
        <w:rPr>
          <w:rFonts w:asciiTheme="minorBidi" w:hAnsiTheme="minorBidi"/>
          <w:sz w:val="18"/>
          <w:szCs w:val="18"/>
          <w:rtl/>
        </w:rPr>
        <w:t xml:space="preserve"> כבד אחר צלייתה משום דם הדבוק בה (אגור בשם ר"י מולין), מיהו אם לא הדיחה מותרת</w:t>
      </w:r>
      <w:r w:rsidRPr="003024E5">
        <w:rPr>
          <w:rStyle w:val="a7"/>
          <w:rFonts w:asciiTheme="minorBidi" w:hAnsiTheme="minorBidi"/>
          <w:sz w:val="18"/>
          <w:szCs w:val="18"/>
          <w:rtl/>
        </w:rPr>
        <w:footnoteReference w:id="635"/>
      </w:r>
      <w:r w:rsidRPr="003024E5">
        <w:rPr>
          <w:rFonts w:asciiTheme="minorBidi" w:hAnsiTheme="minorBidi"/>
          <w:sz w:val="18"/>
          <w:szCs w:val="18"/>
          <w:rtl/>
        </w:rPr>
        <w:t>.</w:t>
      </w:r>
      <w:r w:rsidRPr="003024E5">
        <w:rPr>
          <w:rFonts w:asciiTheme="minorBidi" w:hAnsiTheme="minorBidi"/>
          <w:rtl/>
        </w:rPr>
        <w:t xml:space="preserve"> </w:t>
      </w:r>
    </w:p>
    <w:p w14:paraId="23307BFA" w14:textId="77777777" w:rsidR="002C39F4" w:rsidRPr="003024E5" w:rsidRDefault="002C39F4" w:rsidP="002C39F4">
      <w:pPr>
        <w:rPr>
          <w:rFonts w:asciiTheme="minorBidi" w:hAnsiTheme="minorBidi"/>
          <w:rtl/>
        </w:rPr>
      </w:pPr>
    </w:p>
    <w:p w14:paraId="1610FD0A" w14:textId="77777777" w:rsidR="002C39F4" w:rsidRPr="003024E5" w:rsidRDefault="002C39F4" w:rsidP="002C39F4">
      <w:pPr>
        <w:pStyle w:val="2"/>
        <w:rPr>
          <w:rFonts w:asciiTheme="minorBidi" w:hAnsiTheme="minorBidi"/>
          <w:rtl/>
        </w:rPr>
      </w:pPr>
      <w:r w:rsidRPr="003024E5">
        <w:rPr>
          <w:rFonts w:asciiTheme="minorBidi" w:hAnsiTheme="minorBidi"/>
          <w:rtl/>
        </w:rPr>
        <w:t>סעיף ו: כבד שנמצא בעוף.</w:t>
      </w:r>
    </w:p>
    <w:p w14:paraId="24C82C98" w14:textId="77777777" w:rsidR="002C39F4" w:rsidRPr="003024E5" w:rsidRDefault="002C39F4" w:rsidP="002C39F4">
      <w:pPr>
        <w:rPr>
          <w:rFonts w:asciiTheme="minorBidi" w:hAnsiTheme="minorBidi"/>
          <w:u w:val="single"/>
          <w:rtl/>
        </w:rPr>
      </w:pPr>
      <w:r>
        <w:rPr>
          <w:rFonts w:asciiTheme="minorBidi" w:hAnsiTheme="minorBidi" w:hint="cs"/>
          <w:u w:val="single"/>
          <w:rtl/>
        </w:rPr>
        <w:t xml:space="preserve">עוף עם כבד בתוכו - </w:t>
      </w:r>
      <w:r w:rsidRPr="00A4328B">
        <w:rPr>
          <w:rFonts w:asciiTheme="minorBidi" w:hAnsiTheme="minorBidi" w:hint="cs"/>
          <w:b/>
          <w:bCs/>
          <w:u w:val="single"/>
          <w:rtl/>
        </w:rPr>
        <w:t>שנצל</w:t>
      </w:r>
      <w:r>
        <w:rPr>
          <w:rFonts w:asciiTheme="minorBidi" w:hAnsiTheme="minorBidi" w:hint="cs"/>
          <w:b/>
          <w:bCs/>
          <w:u w:val="single"/>
          <w:rtl/>
        </w:rPr>
        <w:t>ה</w:t>
      </w:r>
      <w:r w:rsidRPr="003024E5">
        <w:rPr>
          <w:rFonts w:asciiTheme="minorBidi" w:hAnsiTheme="minorBidi"/>
          <w:u w:val="single"/>
          <w:rtl/>
        </w:rPr>
        <w:t>:</w:t>
      </w:r>
    </w:p>
    <w:p w14:paraId="2E639365" w14:textId="77777777" w:rsidR="002C39F4" w:rsidRPr="003024E5" w:rsidRDefault="002C39F4" w:rsidP="002C39F4">
      <w:pPr>
        <w:pStyle w:val="a8"/>
        <w:numPr>
          <w:ilvl w:val="0"/>
          <w:numId w:val="53"/>
        </w:numPr>
        <w:rPr>
          <w:rFonts w:asciiTheme="minorBidi" w:hAnsiTheme="minorBidi"/>
        </w:rPr>
      </w:pPr>
      <w:r w:rsidRPr="003024E5">
        <w:rPr>
          <w:rFonts w:asciiTheme="minorBidi" w:hAnsiTheme="minorBidi"/>
          <w:rtl/>
        </w:rPr>
        <w:t xml:space="preserve">מרדכי </w:t>
      </w:r>
      <w:r w:rsidRPr="003024E5">
        <w:rPr>
          <w:rFonts w:asciiTheme="minorBidi" w:hAnsiTheme="minorBidi"/>
          <w:sz w:val="16"/>
          <w:szCs w:val="16"/>
          <w:rtl/>
        </w:rPr>
        <w:t xml:space="preserve">(סי' תש) </w:t>
      </w:r>
      <w:r w:rsidRPr="003024E5">
        <w:rPr>
          <w:rFonts w:asciiTheme="minorBidi" w:hAnsiTheme="minorBidi"/>
          <w:rtl/>
        </w:rPr>
        <w:t xml:space="preserve">וטור- דינו כדין הלב בצלי </w:t>
      </w:r>
      <w:r>
        <w:rPr>
          <w:rFonts w:asciiTheme="minorBidi" w:hAnsiTheme="minorBidi" w:hint="cs"/>
          <w:rtl/>
        </w:rPr>
        <w:t>ד</w:t>
      </w:r>
      <w:r w:rsidRPr="003024E5">
        <w:rPr>
          <w:rFonts w:asciiTheme="minorBidi" w:hAnsiTheme="minorBidi"/>
          <w:rtl/>
        </w:rPr>
        <w:t xml:space="preserve">מותר, דכבולעו כך פולטו. </w:t>
      </w:r>
      <w:r w:rsidRPr="003024E5">
        <w:rPr>
          <w:rFonts w:asciiTheme="minorBidi" w:hAnsiTheme="minorBidi"/>
          <w:color w:val="E36C0A" w:themeColor="accent6" w:themeShade="BF"/>
          <w:rtl/>
        </w:rPr>
        <w:t>(וכ"פ בשו"ע)</w:t>
      </w:r>
    </w:p>
    <w:p w14:paraId="3D1A4ACE" w14:textId="77777777" w:rsidR="002C39F4" w:rsidRPr="003024E5" w:rsidRDefault="002C39F4" w:rsidP="002C39F4">
      <w:pPr>
        <w:pStyle w:val="a8"/>
        <w:numPr>
          <w:ilvl w:val="0"/>
          <w:numId w:val="53"/>
        </w:numPr>
        <w:rPr>
          <w:rFonts w:asciiTheme="minorBidi" w:hAnsiTheme="minorBidi"/>
        </w:rPr>
      </w:pPr>
      <w:r w:rsidRPr="003024E5">
        <w:rPr>
          <w:rFonts w:asciiTheme="minorBidi" w:hAnsiTheme="minorBidi"/>
          <w:rtl/>
        </w:rPr>
        <w:t xml:space="preserve">ריב"ן </w:t>
      </w:r>
      <w:r w:rsidRPr="003024E5">
        <w:rPr>
          <w:rFonts w:asciiTheme="minorBidi" w:hAnsiTheme="minorBidi"/>
          <w:sz w:val="16"/>
          <w:szCs w:val="16"/>
          <w:rtl/>
        </w:rPr>
        <w:t>(הביאו המרדכי)</w:t>
      </w:r>
      <w:r w:rsidRPr="003024E5">
        <w:rPr>
          <w:rFonts w:asciiTheme="minorBidi" w:hAnsiTheme="minorBidi"/>
          <w:rtl/>
        </w:rPr>
        <w:t>- יש להחמיר ולקלוף סביב מקום הכבד</w:t>
      </w:r>
      <w:r w:rsidRPr="003024E5">
        <w:rPr>
          <w:rStyle w:val="a7"/>
          <w:rFonts w:asciiTheme="minorBidi" w:hAnsiTheme="minorBidi"/>
          <w:rtl/>
        </w:rPr>
        <w:footnoteReference w:id="636"/>
      </w:r>
      <w:r w:rsidRPr="003024E5">
        <w:rPr>
          <w:rFonts w:asciiTheme="minorBidi" w:hAnsiTheme="minorBidi"/>
          <w:rtl/>
        </w:rPr>
        <w:t xml:space="preserve">. </w:t>
      </w:r>
    </w:p>
    <w:p w14:paraId="34B494C2" w14:textId="77777777" w:rsidR="002C39F4" w:rsidRPr="003024E5" w:rsidRDefault="002C39F4" w:rsidP="002C39F4">
      <w:pPr>
        <w:pStyle w:val="a8"/>
        <w:numPr>
          <w:ilvl w:val="0"/>
          <w:numId w:val="53"/>
        </w:numPr>
        <w:rPr>
          <w:rFonts w:asciiTheme="minorBidi" w:hAnsiTheme="minorBidi"/>
          <w:rtl/>
        </w:rPr>
      </w:pPr>
      <w:r w:rsidRPr="003024E5">
        <w:rPr>
          <w:rFonts w:asciiTheme="minorBidi" w:hAnsiTheme="minorBidi"/>
          <w:rtl/>
        </w:rPr>
        <w:t>רי"ו</w:t>
      </w:r>
      <w:r w:rsidRPr="003024E5">
        <w:rPr>
          <w:rFonts w:asciiTheme="minorBidi" w:hAnsiTheme="minorBidi"/>
          <w:sz w:val="16"/>
          <w:szCs w:val="16"/>
          <w:rtl/>
        </w:rPr>
        <w:t xml:space="preserve"> (נט"ו סוף אות ח, הביאו הב"י בבדה"ב)</w:t>
      </w:r>
      <w:r w:rsidRPr="003024E5">
        <w:rPr>
          <w:rFonts w:asciiTheme="minorBidi" w:hAnsiTheme="minorBidi"/>
          <w:rtl/>
        </w:rPr>
        <w:t>- הכבד אסור והתרנגולת מותרת דיש בה יותר מששים, ויש מי שהתיר הכבד, וראשון עיקר, וכן הסכימו רוב הפוסקים</w:t>
      </w:r>
      <w:r w:rsidRPr="003024E5">
        <w:rPr>
          <w:rStyle w:val="a7"/>
          <w:rFonts w:asciiTheme="minorBidi" w:hAnsiTheme="minorBidi"/>
          <w:rtl/>
        </w:rPr>
        <w:footnoteReference w:id="637"/>
      </w:r>
      <w:r w:rsidRPr="003024E5">
        <w:rPr>
          <w:rFonts w:asciiTheme="minorBidi" w:hAnsiTheme="minorBidi"/>
          <w:rtl/>
        </w:rPr>
        <w:t>.</w:t>
      </w:r>
    </w:p>
    <w:p w14:paraId="0EBB9ABD" w14:textId="77777777" w:rsidR="002C39F4" w:rsidRPr="00A4328B" w:rsidRDefault="002C39F4" w:rsidP="002C39F4">
      <w:pPr>
        <w:rPr>
          <w:rFonts w:asciiTheme="minorBidi" w:hAnsiTheme="minorBidi"/>
          <w:u w:val="single"/>
          <w:rtl/>
        </w:rPr>
      </w:pPr>
      <w:r w:rsidRPr="00A4328B">
        <w:rPr>
          <w:rFonts w:asciiTheme="minorBidi" w:hAnsiTheme="minorBidi" w:hint="cs"/>
          <w:u w:val="single"/>
          <w:rtl/>
        </w:rPr>
        <w:t xml:space="preserve">עוף עם כבד בתוכו - </w:t>
      </w:r>
      <w:r w:rsidRPr="00A4328B">
        <w:rPr>
          <w:rFonts w:asciiTheme="minorBidi" w:hAnsiTheme="minorBidi" w:hint="cs"/>
          <w:b/>
          <w:bCs/>
          <w:u w:val="single"/>
          <w:rtl/>
        </w:rPr>
        <w:t>שנ</w:t>
      </w:r>
      <w:r>
        <w:rPr>
          <w:rFonts w:asciiTheme="minorBidi" w:hAnsiTheme="minorBidi" w:hint="cs"/>
          <w:b/>
          <w:bCs/>
          <w:u w:val="single"/>
          <w:rtl/>
        </w:rPr>
        <w:t>תבש</w:t>
      </w:r>
      <w:r w:rsidRPr="00A4328B">
        <w:rPr>
          <w:rFonts w:asciiTheme="minorBidi" w:hAnsiTheme="minorBidi" w:hint="cs"/>
          <w:b/>
          <w:bCs/>
          <w:u w:val="single"/>
          <w:rtl/>
        </w:rPr>
        <w:t>ל</w:t>
      </w:r>
      <w:r w:rsidRPr="00A4328B">
        <w:rPr>
          <w:rFonts w:asciiTheme="minorBidi" w:hAnsiTheme="minorBidi"/>
          <w:u w:val="single"/>
          <w:rtl/>
        </w:rPr>
        <w:t>:</w:t>
      </w:r>
    </w:p>
    <w:p w14:paraId="4E2C0A58" w14:textId="77777777" w:rsidR="002C39F4" w:rsidRPr="003024E5" w:rsidRDefault="002C39F4" w:rsidP="002C39F4">
      <w:pPr>
        <w:pStyle w:val="a8"/>
        <w:numPr>
          <w:ilvl w:val="0"/>
          <w:numId w:val="54"/>
        </w:numPr>
        <w:rPr>
          <w:rFonts w:asciiTheme="minorBidi" w:hAnsiTheme="minorBidi"/>
          <w:rtl/>
        </w:rPr>
      </w:pPr>
      <w:r w:rsidRPr="003024E5">
        <w:rPr>
          <w:rFonts w:asciiTheme="minorBidi" w:hAnsiTheme="minorBidi"/>
          <w:rtl/>
        </w:rPr>
        <w:t>טור- בקדרה צריך ששים כנגד הכבד</w:t>
      </w:r>
      <w:r w:rsidRPr="003024E5">
        <w:rPr>
          <w:rStyle w:val="a7"/>
          <w:rFonts w:asciiTheme="minorBidi" w:hAnsiTheme="minorBidi"/>
          <w:rtl/>
        </w:rPr>
        <w:footnoteReference w:id="638"/>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0A95A8F7" w14:textId="77777777" w:rsidR="002C39F4" w:rsidRPr="003024E5" w:rsidRDefault="002C39F4" w:rsidP="002C39F4">
      <w:pPr>
        <w:pStyle w:val="a8"/>
        <w:numPr>
          <w:ilvl w:val="0"/>
          <w:numId w:val="54"/>
        </w:numPr>
        <w:rPr>
          <w:rFonts w:asciiTheme="minorBidi" w:hAnsiTheme="minorBidi"/>
          <w:rtl/>
        </w:rPr>
      </w:pPr>
      <w:r w:rsidRPr="003024E5">
        <w:rPr>
          <w:rFonts w:asciiTheme="minorBidi" w:hAnsiTheme="minorBidi"/>
          <w:rtl/>
        </w:rPr>
        <w:t>ראבי"ה</w:t>
      </w:r>
      <w:r w:rsidRPr="003024E5">
        <w:rPr>
          <w:rFonts w:asciiTheme="minorBidi" w:hAnsiTheme="minorBidi"/>
          <w:sz w:val="16"/>
          <w:szCs w:val="16"/>
          <w:rtl/>
        </w:rPr>
        <w:t xml:space="preserve"> (סי' אלף קיא, הביאו המרדכי [שם])</w:t>
      </w:r>
      <w:r w:rsidRPr="003024E5">
        <w:rPr>
          <w:rFonts w:asciiTheme="minorBidi" w:hAnsiTheme="minorBidi"/>
          <w:rtl/>
        </w:rPr>
        <w:t>- אם הכבד דבוק בעוף ונתבשל עמו אוסר הכבד כל העוף אם הכבד שלם, דודאי וברור כשהכבד שלם אין ששים בעוף כנגדו</w:t>
      </w:r>
      <w:r w:rsidRPr="003024E5">
        <w:rPr>
          <w:rStyle w:val="a7"/>
          <w:rFonts w:asciiTheme="minorBidi" w:hAnsiTheme="minorBidi"/>
          <w:rtl/>
        </w:rPr>
        <w:footnoteReference w:id="639"/>
      </w:r>
      <w:r w:rsidRPr="003024E5">
        <w:rPr>
          <w:rFonts w:asciiTheme="minorBidi" w:hAnsiTheme="minorBidi"/>
          <w:rtl/>
        </w:rPr>
        <w:t>, א</w:t>
      </w:r>
      <w:r>
        <w:rPr>
          <w:rFonts w:asciiTheme="minorBidi" w:hAnsiTheme="minorBidi" w:hint="cs"/>
          <w:rtl/>
        </w:rPr>
        <w:t>"</w:t>
      </w:r>
      <w:r w:rsidRPr="003024E5">
        <w:rPr>
          <w:rFonts w:asciiTheme="minorBidi" w:hAnsiTheme="minorBidi"/>
          <w:rtl/>
        </w:rPr>
        <w:t>כ עושה כל העוף חתיכה דאיסורא ואוסר הכל</w:t>
      </w:r>
      <w:r w:rsidRPr="003024E5">
        <w:rPr>
          <w:rStyle w:val="a7"/>
          <w:rFonts w:asciiTheme="minorBidi" w:hAnsiTheme="minorBidi"/>
          <w:rtl/>
        </w:rPr>
        <w:footnoteReference w:id="640"/>
      </w:r>
      <w:r w:rsidRPr="003024E5">
        <w:rPr>
          <w:rFonts w:asciiTheme="minorBidi" w:hAnsiTheme="minorBidi"/>
          <w:rtl/>
        </w:rPr>
        <w:t xml:space="preserve"> אא"כ יש ששים של היתר נגד כל העוף</w:t>
      </w:r>
      <w:r w:rsidRPr="003024E5">
        <w:rPr>
          <w:rStyle w:val="a7"/>
          <w:rFonts w:asciiTheme="minorBidi" w:hAnsiTheme="minorBidi"/>
          <w:rtl/>
        </w:rPr>
        <w:footnoteReference w:id="641"/>
      </w:r>
      <w:r>
        <w:rPr>
          <w:rFonts w:asciiTheme="minorBidi" w:hAnsiTheme="minorBidi" w:hint="cs"/>
          <w:rtl/>
        </w:rPr>
        <w:t>...</w:t>
      </w:r>
      <w:r w:rsidRPr="003024E5">
        <w:rPr>
          <w:rFonts w:asciiTheme="minorBidi" w:hAnsiTheme="minorBidi"/>
          <w:rtl/>
        </w:rPr>
        <w:t xml:space="preserve"> ואם אין הכבד שלם משערין אם יש ששים בעוף לבטלו מותר הכל.</w:t>
      </w:r>
    </w:p>
    <w:p w14:paraId="2A7FBAC9"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כבד שקרעוהו בסכין בעת צלייתו</w:t>
      </w:r>
      <w:r>
        <w:rPr>
          <w:rFonts w:asciiTheme="minorBidi" w:hAnsiTheme="minorBidi" w:hint="cs"/>
          <w:u w:val="dotted"/>
          <w:rtl/>
        </w:rPr>
        <w:t xml:space="preserve"> </w:t>
      </w:r>
      <w:r w:rsidRPr="003024E5">
        <w:rPr>
          <w:rFonts w:asciiTheme="minorBidi" w:hAnsiTheme="minorBidi"/>
          <w:u w:val="dotted"/>
          <w:rtl/>
        </w:rPr>
        <w:t>- מה דין הסכין:</w:t>
      </w:r>
    </w:p>
    <w:p w14:paraId="012D8D8F" w14:textId="77777777" w:rsidR="002C39F4" w:rsidRPr="003024E5" w:rsidRDefault="002C39F4" w:rsidP="002C39F4">
      <w:pPr>
        <w:pStyle w:val="a8"/>
        <w:numPr>
          <w:ilvl w:val="0"/>
          <w:numId w:val="54"/>
        </w:numPr>
        <w:rPr>
          <w:rFonts w:asciiTheme="minorBidi" w:hAnsiTheme="minorBidi"/>
        </w:rPr>
      </w:pPr>
      <w:r w:rsidRPr="003024E5">
        <w:rPr>
          <w:rFonts w:asciiTheme="minorBidi" w:hAnsiTheme="minorBidi"/>
          <w:rtl/>
        </w:rPr>
        <w:t>מרדכי</w:t>
      </w:r>
      <w:r w:rsidRPr="003024E5">
        <w:rPr>
          <w:rFonts w:asciiTheme="minorBidi" w:hAnsiTheme="minorBidi"/>
          <w:sz w:val="16"/>
          <w:szCs w:val="16"/>
          <w:rtl/>
        </w:rPr>
        <w:t xml:space="preserve"> (סי' תשא)</w:t>
      </w:r>
      <w:r w:rsidRPr="003024E5">
        <w:rPr>
          <w:rFonts w:asciiTheme="minorBidi" w:hAnsiTheme="minorBidi"/>
          <w:rtl/>
        </w:rPr>
        <w:t>- אם בעת צלייתו קרעוהו בסכין אע"פ שהוא רותח לא אסרינן לסכין דדם מישרק שריק והוי ליה כדף שמולחין עליו, וקצת ראיה מסוף ע"ז</w:t>
      </w:r>
      <w:r w:rsidRPr="003024E5">
        <w:rPr>
          <w:rFonts w:asciiTheme="minorBidi" w:hAnsiTheme="minorBidi"/>
          <w:sz w:val="16"/>
          <w:szCs w:val="16"/>
          <w:rtl/>
        </w:rPr>
        <w:t xml:space="preserve"> (עה:)</w:t>
      </w:r>
      <w:r w:rsidRPr="003024E5">
        <w:rPr>
          <w:rFonts w:asciiTheme="minorBidi" w:hAnsiTheme="minorBidi"/>
          <w:rtl/>
        </w:rPr>
        <w:t xml:space="preserve"> השפוד והאסכלא של גוים מלבנן באור, ולגבי קדשים תנן מגעילן, וטעמא משום שומן שלהם, משמע אבל שפוד של חולין שצלו בו בשר אין צריך כלום אע"פ שהאור מוציא דמו על השפוד ועל האסכלא, ואין לחלק בזה בין כבד לבשר</w:t>
      </w:r>
      <w:r w:rsidRPr="003024E5">
        <w:rPr>
          <w:rStyle w:val="a7"/>
          <w:rFonts w:asciiTheme="minorBidi" w:hAnsiTheme="minorBidi"/>
          <w:rtl/>
        </w:rPr>
        <w:footnoteReference w:id="642"/>
      </w:r>
      <w:r w:rsidRPr="003024E5">
        <w:rPr>
          <w:rFonts w:asciiTheme="minorBidi" w:hAnsiTheme="minorBidi"/>
          <w:rtl/>
        </w:rPr>
        <w:t xml:space="preserve">. </w:t>
      </w:r>
    </w:p>
    <w:p w14:paraId="4B9C66F0" w14:textId="77777777" w:rsidR="002C39F4" w:rsidRPr="003024E5" w:rsidRDefault="002C39F4" w:rsidP="002C39F4">
      <w:pPr>
        <w:rPr>
          <w:rFonts w:asciiTheme="minorBidi" w:hAnsiTheme="minorBidi"/>
          <w:u w:val="single"/>
          <w:rtl/>
        </w:rPr>
      </w:pPr>
      <w:r w:rsidRPr="003024E5">
        <w:rPr>
          <w:rFonts w:asciiTheme="minorBidi" w:hAnsiTheme="minorBidi"/>
          <w:u w:val="single"/>
          <w:rtl/>
        </w:rPr>
        <w:t>כבד שנמצא במולייתא</w:t>
      </w:r>
      <w:r>
        <w:rPr>
          <w:rFonts w:asciiTheme="minorBidi" w:hAnsiTheme="minorBidi" w:hint="cs"/>
          <w:sz w:val="16"/>
          <w:szCs w:val="16"/>
          <w:u w:val="single"/>
          <w:rtl/>
        </w:rPr>
        <w:t xml:space="preserve"> (פשטיד"א)</w:t>
      </w:r>
      <w:r w:rsidRPr="003024E5">
        <w:rPr>
          <w:rFonts w:asciiTheme="minorBidi" w:hAnsiTheme="minorBidi"/>
          <w:u w:val="single"/>
          <w:rtl/>
        </w:rPr>
        <w:t>:</w:t>
      </w:r>
    </w:p>
    <w:p w14:paraId="4A25E3AC" w14:textId="77777777" w:rsidR="002C39F4" w:rsidRPr="003024E5" w:rsidRDefault="002C39F4" w:rsidP="002C39F4">
      <w:pPr>
        <w:pStyle w:val="a8"/>
        <w:numPr>
          <w:ilvl w:val="0"/>
          <w:numId w:val="55"/>
        </w:numPr>
        <w:rPr>
          <w:rFonts w:asciiTheme="minorBidi" w:hAnsiTheme="minorBidi"/>
        </w:rPr>
      </w:pPr>
      <w:r w:rsidRPr="003024E5">
        <w:rPr>
          <w:rFonts w:asciiTheme="minorBidi" w:hAnsiTheme="minorBidi"/>
          <w:rtl/>
        </w:rPr>
        <w:t>ראבי"ה ורבינו יעבץ</w:t>
      </w:r>
      <w:r w:rsidRPr="003024E5">
        <w:rPr>
          <w:rStyle w:val="a7"/>
          <w:rFonts w:asciiTheme="minorBidi" w:hAnsiTheme="minorBidi"/>
          <w:rtl/>
        </w:rPr>
        <w:footnoteReference w:id="643"/>
      </w:r>
      <w:r w:rsidRPr="003024E5">
        <w:rPr>
          <w:rFonts w:asciiTheme="minorBidi" w:hAnsiTheme="minorBidi"/>
          <w:rtl/>
        </w:rPr>
        <w:t xml:space="preserve">- כל דבר שאין האיסור יכול להתפשט אלא אצלו כגון טפילה וצלי ומליחה לא שייך ששים דדמי ללא ניער וכיסה אלא קליפה בעי כפי אומד שיכול לפעפע במה שאצלו, וכן בשר שלא נמלח אם נתנוהו בטפלה אי ידע מקומו אסור בכדי שיכול לפעפע דלא בקיאין כולי האי בין זיג ללא זיג. </w:t>
      </w:r>
    </w:p>
    <w:p w14:paraId="2A9C24AA" w14:textId="77777777" w:rsidR="002C39F4" w:rsidRPr="003024E5" w:rsidRDefault="002C39F4" w:rsidP="002C39F4">
      <w:pPr>
        <w:pStyle w:val="a8"/>
        <w:numPr>
          <w:ilvl w:val="0"/>
          <w:numId w:val="55"/>
        </w:numPr>
        <w:rPr>
          <w:rFonts w:asciiTheme="minorBidi" w:hAnsiTheme="minorBidi"/>
        </w:rPr>
      </w:pPr>
      <w:r w:rsidRPr="003024E5">
        <w:rPr>
          <w:rFonts w:asciiTheme="minorBidi" w:hAnsiTheme="minorBidi"/>
          <w:rtl/>
        </w:rPr>
        <w:t>רש"י</w:t>
      </w:r>
      <w:r w:rsidRPr="003024E5">
        <w:rPr>
          <w:rFonts w:asciiTheme="minorBidi" w:hAnsiTheme="minorBidi"/>
          <w:sz w:val="16"/>
          <w:szCs w:val="16"/>
          <w:rtl/>
        </w:rPr>
        <w:t xml:space="preserve"> (הפרדס סי' רכד, האורה ח"ב סי' קי, הביאו המרדכי [שם])</w:t>
      </w:r>
      <w:r w:rsidRPr="003024E5">
        <w:rPr>
          <w:rFonts w:asciiTheme="minorBidi" w:hAnsiTheme="minorBidi"/>
          <w:rtl/>
        </w:rPr>
        <w:t xml:space="preserve"> ואגור</w:t>
      </w:r>
      <w:r w:rsidRPr="003024E5">
        <w:rPr>
          <w:rStyle w:val="a7"/>
          <w:rFonts w:asciiTheme="minorBidi" w:hAnsiTheme="minorBidi"/>
          <w:rtl/>
        </w:rPr>
        <w:footnoteReference w:id="644"/>
      </w:r>
      <w:r w:rsidRPr="003024E5">
        <w:rPr>
          <w:rFonts w:asciiTheme="minorBidi" w:hAnsiTheme="minorBidi"/>
          <w:sz w:val="16"/>
          <w:szCs w:val="16"/>
          <w:rtl/>
        </w:rPr>
        <w:t xml:space="preserve"> (סי' אלף תרח)</w:t>
      </w:r>
      <w:r w:rsidRPr="003024E5">
        <w:rPr>
          <w:rFonts w:asciiTheme="minorBidi" w:hAnsiTheme="minorBidi"/>
          <w:rtl/>
        </w:rPr>
        <w:t>- בששים, ואם דבוק בחתיכה צריך שיהא בחתיכה הדבוקה בכבד ששים, ואם לאו הכל אסור, דקימחא דידן חיורתא היא ואמרי' עלה פכ"צ</w:t>
      </w:r>
      <w:r w:rsidRPr="003024E5">
        <w:rPr>
          <w:rFonts w:asciiTheme="minorBidi" w:hAnsiTheme="minorBidi"/>
          <w:sz w:val="16"/>
          <w:szCs w:val="16"/>
          <w:rtl/>
        </w:rPr>
        <w:t xml:space="preserve"> (פסחים עד:) </w:t>
      </w:r>
      <w:r w:rsidRPr="003024E5">
        <w:rPr>
          <w:rFonts w:asciiTheme="minorBidi" w:hAnsiTheme="minorBidi"/>
          <w:rtl/>
        </w:rPr>
        <w:t>שמחזקת דם שבתוכה ואין האור שואב.</w:t>
      </w:r>
      <w:r w:rsidRPr="003024E5">
        <w:rPr>
          <w:rFonts w:asciiTheme="minorBidi" w:hAnsiTheme="minorBidi"/>
          <w:color w:val="00B0F0"/>
          <w:rtl/>
        </w:rPr>
        <w:t xml:space="preserve"> (וכ"פ הרמ"א)</w:t>
      </w:r>
      <w:r>
        <w:rPr>
          <w:rFonts w:asciiTheme="minorBidi" w:hAnsiTheme="minorBidi" w:hint="cs"/>
          <w:rtl/>
        </w:rPr>
        <w:t xml:space="preserve"> </w:t>
      </w:r>
    </w:p>
    <w:p w14:paraId="433745CE" w14:textId="77777777" w:rsidR="002C39F4" w:rsidRPr="003024E5" w:rsidRDefault="002C39F4" w:rsidP="002C39F4">
      <w:pPr>
        <w:pStyle w:val="a8"/>
        <w:numPr>
          <w:ilvl w:val="0"/>
          <w:numId w:val="55"/>
        </w:numPr>
        <w:rPr>
          <w:rFonts w:asciiTheme="minorBidi" w:hAnsiTheme="minorBidi"/>
        </w:rPr>
      </w:pPr>
      <w:r w:rsidRPr="003024E5">
        <w:rPr>
          <w:rFonts w:asciiTheme="minorBidi" w:hAnsiTheme="minorBidi"/>
          <w:rtl/>
        </w:rPr>
        <w:t xml:space="preserve">סה"ת </w:t>
      </w:r>
      <w:r w:rsidRPr="003024E5">
        <w:rPr>
          <w:rFonts w:asciiTheme="minorBidi" w:hAnsiTheme="minorBidi"/>
          <w:sz w:val="16"/>
          <w:szCs w:val="16"/>
          <w:rtl/>
        </w:rPr>
        <w:t>(סי' נו)</w:t>
      </w:r>
      <w:r w:rsidRPr="003024E5">
        <w:rPr>
          <w:rFonts w:asciiTheme="minorBidi" w:hAnsiTheme="minorBidi"/>
          <w:rtl/>
        </w:rPr>
        <w:t>- חתיכה עם כבד דבק בה שנתנוה בפשטי"ד, היינו מולייתא, הכל אסור שהשמנונית מטפטף מעט מעט בעיסה.</w:t>
      </w:r>
    </w:p>
    <w:p w14:paraId="3A7DC495" w14:textId="77777777" w:rsidR="002C39F4" w:rsidRPr="00CF0ADF" w:rsidRDefault="002C39F4" w:rsidP="002C39F4">
      <w:pPr>
        <w:pStyle w:val="a8"/>
        <w:numPr>
          <w:ilvl w:val="0"/>
          <w:numId w:val="55"/>
        </w:numPr>
        <w:rPr>
          <w:rFonts w:asciiTheme="minorBidi" w:hAnsiTheme="minorBidi"/>
          <w:color w:val="000000" w:themeColor="text1"/>
        </w:rPr>
      </w:pPr>
      <w:r w:rsidRPr="00CF0ADF">
        <w:rPr>
          <w:rFonts w:asciiTheme="minorBidi" w:hAnsiTheme="minorBidi"/>
          <w:color w:val="000000" w:themeColor="text1"/>
          <w:rtl/>
        </w:rPr>
        <w:t xml:space="preserve">א"ח </w:t>
      </w:r>
      <w:r w:rsidRPr="00CF0ADF">
        <w:rPr>
          <w:rFonts w:asciiTheme="minorBidi" w:hAnsiTheme="minorBidi"/>
          <w:color w:val="000000" w:themeColor="text1"/>
          <w:sz w:val="16"/>
          <w:szCs w:val="16"/>
          <w:rtl/>
        </w:rPr>
        <w:t>(הל</w:t>
      </w:r>
      <w:r>
        <w:rPr>
          <w:rFonts w:asciiTheme="minorBidi" w:hAnsiTheme="minorBidi" w:hint="cs"/>
          <w:color w:val="000000" w:themeColor="text1"/>
          <w:sz w:val="16"/>
          <w:szCs w:val="16"/>
          <w:rtl/>
        </w:rPr>
        <w:t xml:space="preserve">א"מ </w:t>
      </w:r>
      <w:r w:rsidRPr="00CF0ADF">
        <w:rPr>
          <w:rFonts w:asciiTheme="minorBidi" w:hAnsiTheme="minorBidi"/>
          <w:color w:val="000000" w:themeColor="text1"/>
          <w:sz w:val="16"/>
          <w:szCs w:val="16"/>
          <w:rtl/>
        </w:rPr>
        <w:t>אות צ ד"ה הלב)</w:t>
      </w:r>
      <w:r w:rsidRPr="00CF0ADF">
        <w:rPr>
          <w:rFonts w:asciiTheme="minorBidi" w:hAnsiTheme="minorBidi"/>
          <w:color w:val="000000" w:themeColor="text1"/>
          <w:rtl/>
        </w:rPr>
        <w:t>- אם נתבשל העוף בטפילה שקורים פנאד"ה אחר שאין מרק הרבה שיוליך הדם בכולה ראוי לחוש שמא נבלע הדם במקומו ואסר כל העוף</w:t>
      </w:r>
      <w:r w:rsidRPr="00CF0ADF">
        <w:rPr>
          <w:rStyle w:val="a7"/>
          <w:rFonts w:asciiTheme="minorBidi" w:hAnsiTheme="minorBidi"/>
          <w:color w:val="000000" w:themeColor="text1"/>
          <w:rtl/>
        </w:rPr>
        <w:footnoteReference w:id="645"/>
      </w:r>
      <w:r w:rsidRPr="00CF0ADF">
        <w:rPr>
          <w:rFonts w:asciiTheme="minorBidi" w:hAnsiTheme="minorBidi"/>
          <w:color w:val="000000" w:themeColor="text1"/>
          <w:rtl/>
        </w:rPr>
        <w:t xml:space="preserve">. </w:t>
      </w:r>
    </w:p>
    <w:p w14:paraId="05EB4C51" w14:textId="77777777" w:rsidR="002C39F4" w:rsidRPr="000A1F1E" w:rsidRDefault="002C39F4" w:rsidP="002C39F4">
      <w:pPr>
        <w:rPr>
          <w:rFonts w:asciiTheme="minorBidi" w:hAnsiTheme="minorBidi"/>
          <w:u w:val="single"/>
          <w:rtl/>
        </w:rPr>
      </w:pPr>
      <w:r w:rsidRPr="000A1F1E">
        <w:rPr>
          <w:rFonts w:asciiTheme="minorBidi" w:hAnsiTheme="minorBidi" w:hint="cs"/>
          <w:u w:val="single"/>
          <w:rtl/>
        </w:rPr>
        <w:t xml:space="preserve">עוף </w:t>
      </w:r>
      <w:r w:rsidRPr="000A1F1E">
        <w:rPr>
          <w:rFonts w:asciiTheme="minorBidi" w:hAnsiTheme="minorBidi" w:hint="cs"/>
          <w:b/>
          <w:bCs/>
          <w:u w:val="single"/>
          <w:rtl/>
        </w:rPr>
        <w:t xml:space="preserve">ממולא בביצים </w:t>
      </w:r>
      <w:r w:rsidRPr="000A1F1E">
        <w:rPr>
          <w:rFonts w:asciiTheme="minorBidi" w:hAnsiTheme="minorBidi" w:hint="cs"/>
          <w:u w:val="single"/>
          <w:rtl/>
        </w:rPr>
        <w:t>עם כבד בתוכו - שנצל</w:t>
      </w:r>
      <w:r>
        <w:rPr>
          <w:rFonts w:asciiTheme="minorBidi" w:hAnsiTheme="minorBidi" w:hint="cs"/>
          <w:u w:val="single"/>
          <w:rtl/>
        </w:rPr>
        <w:t>ה</w:t>
      </w:r>
      <w:r w:rsidRPr="000A1F1E">
        <w:rPr>
          <w:rFonts w:asciiTheme="minorBidi" w:hAnsiTheme="minorBidi"/>
          <w:u w:val="single"/>
          <w:rtl/>
        </w:rPr>
        <w:t>:</w:t>
      </w:r>
      <w:r w:rsidRPr="000A1F1E">
        <w:rPr>
          <w:rFonts w:asciiTheme="minorBidi" w:hAnsiTheme="minorBidi" w:hint="cs"/>
          <w:sz w:val="16"/>
          <w:szCs w:val="16"/>
          <w:rtl/>
        </w:rPr>
        <w:t xml:space="preserve">    </w:t>
      </w:r>
      <w:r w:rsidRPr="000A1F1E">
        <w:rPr>
          <w:rFonts w:asciiTheme="minorBidi" w:hAnsiTheme="minorBidi"/>
          <w:sz w:val="16"/>
          <w:szCs w:val="16"/>
          <w:rtl/>
        </w:rPr>
        <w:t>(דרכ"מ אות ט)</w:t>
      </w:r>
    </w:p>
    <w:p w14:paraId="2EDB7E24" w14:textId="77777777" w:rsidR="002C39F4" w:rsidRPr="003024E5" w:rsidRDefault="002C39F4" w:rsidP="002C39F4">
      <w:pPr>
        <w:pStyle w:val="a8"/>
        <w:numPr>
          <w:ilvl w:val="0"/>
          <w:numId w:val="57"/>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 xml:space="preserve">(כלל טז דין ז-ח) </w:t>
      </w:r>
      <w:r w:rsidRPr="003024E5">
        <w:rPr>
          <w:rFonts w:asciiTheme="minorBidi" w:hAnsiTheme="minorBidi"/>
          <w:rtl/>
        </w:rPr>
        <w:t xml:space="preserve">בשם האגודה </w:t>
      </w:r>
      <w:r w:rsidRPr="003024E5">
        <w:rPr>
          <w:rFonts w:asciiTheme="minorBidi" w:hAnsiTheme="minorBidi"/>
          <w:sz w:val="16"/>
          <w:szCs w:val="16"/>
          <w:rtl/>
        </w:rPr>
        <w:t>(פכ"ה סי' קכא, ופכ"צ סי' ס)</w:t>
      </w:r>
      <w:r w:rsidRPr="003024E5">
        <w:rPr>
          <w:rFonts w:asciiTheme="minorBidi" w:hAnsiTheme="minorBidi"/>
          <w:rtl/>
        </w:rPr>
        <w:t xml:space="preserve">- אסור אפילו בדיעבד אם אין בעוף בלא ביצים ששים נגד הכבד דהוי כמבושל, ודוקא בביצים שהם נקרשים מיד, אבל אם מלאוהו בבשר אפילו תפל בהא קיי"ל דמולייתא שרי דכבולעו כך פולטו, ודוקא כבד, אבל לב אין לאסרו בצלייה אפילו נמלא בביצים אם העוף שלם מאחר שיש בכל עוף ששים נגד לבו ולא גרע מאילו נתבשל. </w:t>
      </w:r>
      <w:r w:rsidRPr="003024E5">
        <w:rPr>
          <w:rFonts w:asciiTheme="minorBidi" w:hAnsiTheme="minorBidi"/>
          <w:color w:val="00B0F0"/>
          <w:rtl/>
        </w:rPr>
        <w:t>(וכ"פ הרמ"א)</w:t>
      </w:r>
    </w:p>
    <w:p w14:paraId="35830631" w14:textId="77777777" w:rsidR="002C39F4" w:rsidRPr="003024E5" w:rsidRDefault="002C39F4" w:rsidP="002C39F4">
      <w:pPr>
        <w:pStyle w:val="a8"/>
        <w:numPr>
          <w:ilvl w:val="0"/>
          <w:numId w:val="57"/>
        </w:numPr>
        <w:rPr>
          <w:rFonts w:asciiTheme="minorBidi" w:hAnsiTheme="minorBidi"/>
          <w:rtl/>
        </w:rPr>
      </w:pPr>
      <w:r w:rsidRPr="003024E5">
        <w:rPr>
          <w:rFonts w:asciiTheme="minorBidi" w:hAnsiTheme="minorBidi"/>
          <w:rtl/>
        </w:rPr>
        <w:t xml:space="preserve">רמב"ם </w:t>
      </w:r>
      <w:r w:rsidRPr="003024E5">
        <w:rPr>
          <w:rFonts w:asciiTheme="minorBidi" w:hAnsiTheme="minorBidi"/>
          <w:sz w:val="16"/>
          <w:szCs w:val="16"/>
          <w:rtl/>
        </w:rPr>
        <w:t>(פ"ו הי"ז)</w:t>
      </w:r>
      <w:r w:rsidRPr="003024E5">
        <w:rPr>
          <w:rFonts w:asciiTheme="minorBidi" w:hAnsiTheme="minorBidi"/>
          <w:rtl/>
        </w:rPr>
        <w:t>- עופות שהניחן שלמים ומלא חללן בשר וביצים</w:t>
      </w:r>
      <w:r>
        <w:rPr>
          <w:rFonts w:asciiTheme="minorBidi" w:hAnsiTheme="minorBidi" w:hint="cs"/>
          <w:rtl/>
        </w:rPr>
        <w:t xml:space="preserve">... </w:t>
      </w:r>
      <w:r w:rsidRPr="003024E5">
        <w:rPr>
          <w:rFonts w:asciiTheme="minorBidi" w:hAnsiTheme="minorBidi"/>
          <w:rtl/>
        </w:rPr>
        <w:t xml:space="preserve">אם צלאן הרי אלו מותרות אף על פי שהבשר שבתוכן חי ואפילו פיהן למעלה. </w:t>
      </w:r>
    </w:p>
    <w:p w14:paraId="7E915AD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956F087" w14:textId="77777777" w:rsidR="002C39F4" w:rsidRPr="003024E5" w:rsidRDefault="002C39F4" w:rsidP="002C39F4">
      <w:pPr>
        <w:rPr>
          <w:rFonts w:asciiTheme="minorBidi" w:hAnsiTheme="minorBidi"/>
          <w:rtl/>
        </w:rPr>
      </w:pPr>
      <w:r w:rsidRPr="003024E5">
        <w:rPr>
          <w:rFonts w:asciiTheme="minorBidi" w:hAnsiTheme="minorBidi"/>
          <w:rtl/>
        </w:rPr>
        <w:t>נמצא כבד בעוף צלי, מותר</w:t>
      </w:r>
      <w:r>
        <w:rPr>
          <w:rStyle w:val="a7"/>
          <w:rFonts w:asciiTheme="minorBidi" w:hAnsiTheme="minorBidi"/>
          <w:rtl/>
        </w:rPr>
        <w:footnoteReference w:id="646"/>
      </w:r>
      <w:r w:rsidRPr="003024E5">
        <w:rPr>
          <w:rFonts w:asciiTheme="minorBidi" w:hAnsiTheme="minorBidi"/>
          <w:rtl/>
        </w:rPr>
        <w:t xml:space="preserve">. </w:t>
      </w:r>
      <w:r w:rsidRPr="003024E5">
        <w:rPr>
          <w:rFonts w:asciiTheme="minorBidi" w:hAnsiTheme="minorBidi"/>
          <w:sz w:val="18"/>
          <w:szCs w:val="18"/>
          <w:rtl/>
        </w:rPr>
        <w:t>הגה: וי"א לקלוף מעט סביב הכבד</w:t>
      </w:r>
      <w:r w:rsidRPr="003024E5">
        <w:rPr>
          <w:rStyle w:val="a7"/>
          <w:rFonts w:asciiTheme="minorBidi" w:hAnsiTheme="minorBidi"/>
          <w:sz w:val="18"/>
          <w:szCs w:val="18"/>
          <w:rtl/>
        </w:rPr>
        <w:footnoteReference w:id="647"/>
      </w:r>
      <w:r w:rsidRPr="003024E5">
        <w:rPr>
          <w:rFonts w:asciiTheme="minorBidi" w:hAnsiTheme="minorBidi"/>
          <w:sz w:val="18"/>
          <w:szCs w:val="18"/>
          <w:rtl/>
        </w:rPr>
        <w:t>, ואינו אלא חומרא בעלמא</w:t>
      </w:r>
      <w:r w:rsidRPr="003024E5">
        <w:rPr>
          <w:rStyle w:val="a7"/>
          <w:rFonts w:asciiTheme="minorBidi" w:hAnsiTheme="minorBidi"/>
          <w:sz w:val="18"/>
          <w:szCs w:val="18"/>
          <w:rtl/>
        </w:rPr>
        <w:footnoteReference w:id="648"/>
      </w:r>
      <w:r w:rsidRPr="003024E5">
        <w:rPr>
          <w:rFonts w:asciiTheme="minorBidi" w:hAnsiTheme="minorBidi"/>
          <w:sz w:val="18"/>
          <w:szCs w:val="18"/>
          <w:rtl/>
        </w:rPr>
        <w:t xml:space="preserve"> </w:t>
      </w:r>
      <w:r w:rsidRPr="0001759A">
        <w:rPr>
          <w:rFonts w:asciiTheme="minorBidi" w:hAnsiTheme="minorBidi"/>
          <w:sz w:val="16"/>
          <w:szCs w:val="16"/>
          <w:rtl/>
        </w:rPr>
        <w:t>(מרדכי בשם ריב"ן ושע"ד ואו"ה)</w:t>
      </w:r>
      <w:r w:rsidRPr="003024E5">
        <w:rPr>
          <w:rFonts w:asciiTheme="minorBidi" w:hAnsiTheme="minorBidi"/>
          <w:sz w:val="18"/>
          <w:szCs w:val="18"/>
          <w:rtl/>
        </w:rPr>
        <w:t xml:space="preserve">. </w:t>
      </w:r>
      <w:r w:rsidRPr="003024E5">
        <w:rPr>
          <w:rFonts w:asciiTheme="minorBidi" w:hAnsiTheme="minorBidi"/>
          <w:rtl/>
        </w:rPr>
        <w:t xml:space="preserve">ואם הוא מבושל צריך </w:t>
      </w:r>
      <w:r>
        <w:rPr>
          <w:rFonts w:asciiTheme="minorBidi" w:hAnsiTheme="minorBidi" w:hint="cs"/>
          <w:rtl/>
        </w:rPr>
        <w:t>ששים</w:t>
      </w:r>
      <w:r w:rsidRPr="003024E5">
        <w:rPr>
          <w:rFonts w:asciiTheme="minorBidi" w:hAnsiTheme="minorBidi"/>
          <w:rtl/>
        </w:rPr>
        <w:t xml:space="preserve"> כנגד הכבד</w:t>
      </w:r>
      <w:r w:rsidRPr="003024E5">
        <w:rPr>
          <w:rStyle w:val="a7"/>
          <w:rFonts w:asciiTheme="minorBidi" w:hAnsiTheme="minorBidi"/>
          <w:rtl/>
        </w:rPr>
        <w:footnoteReference w:id="649"/>
      </w:r>
      <w:r w:rsidRPr="003024E5">
        <w:rPr>
          <w:rFonts w:asciiTheme="minorBidi" w:hAnsiTheme="minorBidi"/>
          <w:rtl/>
        </w:rPr>
        <w:t xml:space="preserve">. </w:t>
      </w:r>
      <w:r w:rsidRPr="003024E5">
        <w:rPr>
          <w:rFonts w:asciiTheme="minorBidi" w:hAnsiTheme="minorBidi"/>
          <w:sz w:val="18"/>
          <w:szCs w:val="18"/>
          <w:rtl/>
        </w:rPr>
        <w:t xml:space="preserve">הגה: ואין לך עוף שהוא ס' נגד הכבד כשהיא שלימה </w:t>
      </w:r>
      <w:r w:rsidRPr="004522AF">
        <w:rPr>
          <w:rFonts w:asciiTheme="minorBidi" w:hAnsiTheme="minorBidi"/>
          <w:sz w:val="16"/>
          <w:szCs w:val="16"/>
          <w:rtl/>
        </w:rPr>
        <w:t>(שע"ד מרדכי בשם ראבי"ה מהרא"י וארוך)</w:t>
      </w:r>
      <w:r w:rsidRPr="003024E5">
        <w:rPr>
          <w:rFonts w:asciiTheme="minorBidi" w:hAnsiTheme="minorBidi"/>
          <w:sz w:val="18"/>
          <w:szCs w:val="18"/>
          <w:rtl/>
        </w:rPr>
        <w:t>, ולכן אם הכבד שלימה ודבוקה בעוף נעשה העוף חתיכת נבילה ובעינן ס' משאר דברים שבקדרה נגד כל העוף, וה</w:t>
      </w:r>
      <w:r>
        <w:rPr>
          <w:rFonts w:asciiTheme="minorBidi" w:hAnsiTheme="minorBidi" w:hint="cs"/>
          <w:sz w:val="18"/>
          <w:szCs w:val="18"/>
          <w:rtl/>
        </w:rPr>
        <w:t>"</w:t>
      </w:r>
      <w:r w:rsidRPr="003024E5">
        <w:rPr>
          <w:rFonts w:asciiTheme="minorBidi" w:hAnsiTheme="minorBidi"/>
          <w:sz w:val="18"/>
          <w:szCs w:val="18"/>
          <w:rtl/>
        </w:rPr>
        <w:t xml:space="preserve">ה אם דבוק חתיכת כבד בחתיכת עוף ואין ס' כנגדו </w:t>
      </w:r>
      <w:r w:rsidRPr="004522AF">
        <w:rPr>
          <w:rFonts w:asciiTheme="minorBidi" w:hAnsiTheme="minorBidi"/>
          <w:sz w:val="16"/>
          <w:szCs w:val="16"/>
          <w:rtl/>
        </w:rPr>
        <w:t>(שם)</w:t>
      </w:r>
      <w:r w:rsidRPr="003024E5">
        <w:rPr>
          <w:rFonts w:asciiTheme="minorBidi" w:hAnsiTheme="minorBidi"/>
          <w:sz w:val="18"/>
          <w:szCs w:val="18"/>
          <w:rtl/>
        </w:rPr>
        <w:t>, דהא קיי</w:t>
      </w:r>
      <w:r>
        <w:rPr>
          <w:rFonts w:asciiTheme="minorBidi" w:hAnsiTheme="minorBidi" w:hint="cs"/>
          <w:sz w:val="18"/>
          <w:szCs w:val="18"/>
          <w:rtl/>
        </w:rPr>
        <w:t>"</w:t>
      </w:r>
      <w:r w:rsidRPr="003024E5">
        <w:rPr>
          <w:rFonts w:asciiTheme="minorBidi" w:hAnsiTheme="minorBidi"/>
          <w:sz w:val="18"/>
          <w:szCs w:val="18"/>
          <w:rtl/>
        </w:rPr>
        <w:t>ל בכל האיסורים ח</w:t>
      </w:r>
      <w:r>
        <w:rPr>
          <w:rFonts w:asciiTheme="minorBidi" w:hAnsiTheme="minorBidi" w:hint="cs"/>
          <w:sz w:val="18"/>
          <w:szCs w:val="18"/>
          <w:rtl/>
        </w:rPr>
        <w:t xml:space="preserve">נ"נ </w:t>
      </w:r>
      <w:r w:rsidRPr="003024E5">
        <w:rPr>
          <w:rFonts w:asciiTheme="minorBidi" w:hAnsiTheme="minorBidi"/>
          <w:sz w:val="18"/>
          <w:szCs w:val="18"/>
          <w:rtl/>
        </w:rPr>
        <w:t>כדלקמן סי</w:t>
      </w:r>
      <w:r>
        <w:rPr>
          <w:rFonts w:asciiTheme="minorBidi" w:hAnsiTheme="minorBidi" w:hint="cs"/>
          <w:sz w:val="18"/>
          <w:szCs w:val="18"/>
          <w:rtl/>
        </w:rPr>
        <w:t>'</w:t>
      </w:r>
      <w:r w:rsidRPr="003024E5">
        <w:rPr>
          <w:rFonts w:asciiTheme="minorBidi" w:hAnsiTheme="minorBidi"/>
          <w:sz w:val="18"/>
          <w:szCs w:val="18"/>
          <w:rtl/>
        </w:rPr>
        <w:t xml:space="preserve"> צב. ואם אין הכבד דבוקה מצטרף כל מה שבקדרה לבטל הכבד, ואם יש </w:t>
      </w:r>
      <w:r>
        <w:rPr>
          <w:rFonts w:asciiTheme="minorBidi" w:hAnsiTheme="minorBidi" w:hint="cs"/>
          <w:sz w:val="18"/>
          <w:szCs w:val="18"/>
          <w:rtl/>
        </w:rPr>
        <w:t>ס'</w:t>
      </w:r>
      <w:r w:rsidRPr="003024E5">
        <w:rPr>
          <w:rFonts w:asciiTheme="minorBidi" w:hAnsiTheme="minorBidi"/>
          <w:sz w:val="18"/>
          <w:szCs w:val="18"/>
          <w:rtl/>
        </w:rPr>
        <w:t xml:space="preserve"> בכל הכל מותר, מיהו הכבד עצמה אסורה כמו בלב</w:t>
      </w:r>
      <w:r w:rsidRPr="003024E5">
        <w:rPr>
          <w:rStyle w:val="a7"/>
          <w:rFonts w:asciiTheme="minorBidi" w:hAnsiTheme="minorBidi"/>
          <w:sz w:val="18"/>
          <w:szCs w:val="18"/>
          <w:rtl/>
        </w:rPr>
        <w:footnoteReference w:id="650"/>
      </w:r>
      <w:r w:rsidRPr="003024E5">
        <w:rPr>
          <w:rFonts w:asciiTheme="minorBidi" w:hAnsiTheme="minorBidi"/>
          <w:sz w:val="18"/>
          <w:szCs w:val="18"/>
          <w:rtl/>
        </w:rPr>
        <w:t xml:space="preserve"> </w:t>
      </w:r>
      <w:r w:rsidRPr="004522AF">
        <w:rPr>
          <w:rFonts w:asciiTheme="minorBidi" w:hAnsiTheme="minorBidi"/>
          <w:sz w:val="16"/>
          <w:szCs w:val="16"/>
          <w:rtl/>
        </w:rPr>
        <w:t>(רי"ו)</w:t>
      </w:r>
      <w:r w:rsidRPr="003024E5">
        <w:rPr>
          <w:rFonts w:asciiTheme="minorBidi" w:hAnsiTheme="minorBidi"/>
          <w:sz w:val="18"/>
          <w:szCs w:val="18"/>
          <w:rtl/>
        </w:rPr>
        <w:t>, כמו שנתבאר לעיל סי</w:t>
      </w:r>
      <w:r>
        <w:rPr>
          <w:rFonts w:asciiTheme="minorBidi" w:hAnsiTheme="minorBidi" w:hint="cs"/>
          <w:sz w:val="18"/>
          <w:szCs w:val="18"/>
          <w:rtl/>
        </w:rPr>
        <w:t>'</w:t>
      </w:r>
      <w:r w:rsidRPr="003024E5">
        <w:rPr>
          <w:rFonts w:asciiTheme="minorBidi" w:hAnsiTheme="minorBidi"/>
          <w:sz w:val="18"/>
          <w:szCs w:val="18"/>
          <w:rtl/>
        </w:rPr>
        <w:t xml:space="preserve"> עב. עוף שמלאוהו בביצים ונמצא בו לב</w:t>
      </w:r>
      <w:r w:rsidRPr="003024E5">
        <w:rPr>
          <w:rStyle w:val="a7"/>
          <w:rFonts w:asciiTheme="minorBidi" w:hAnsiTheme="minorBidi"/>
          <w:sz w:val="18"/>
          <w:szCs w:val="18"/>
          <w:rtl/>
        </w:rPr>
        <w:footnoteReference w:id="651"/>
      </w:r>
      <w:r w:rsidRPr="003024E5">
        <w:rPr>
          <w:rFonts w:asciiTheme="minorBidi" w:hAnsiTheme="minorBidi"/>
          <w:sz w:val="18"/>
          <w:szCs w:val="18"/>
          <w:rtl/>
        </w:rPr>
        <w:t xml:space="preserve"> או כבד דינו כמבושל ובעינן ס' מן העוף בלא המילוי</w:t>
      </w:r>
      <w:r w:rsidRPr="003024E5">
        <w:rPr>
          <w:rStyle w:val="a7"/>
          <w:rFonts w:asciiTheme="minorBidi" w:hAnsiTheme="minorBidi"/>
          <w:sz w:val="18"/>
          <w:szCs w:val="18"/>
          <w:rtl/>
        </w:rPr>
        <w:footnoteReference w:id="652"/>
      </w:r>
      <w:r w:rsidRPr="003024E5">
        <w:rPr>
          <w:rFonts w:asciiTheme="minorBidi" w:hAnsiTheme="minorBidi"/>
          <w:sz w:val="18"/>
          <w:szCs w:val="18"/>
          <w:rtl/>
        </w:rPr>
        <w:t xml:space="preserve"> ואם לאו הכל אסור, ואם מלאוהו בבשר ואין שם ביצים הנקרשים ומעכבים הדם דינו כצלי</w:t>
      </w:r>
      <w:r w:rsidRPr="003024E5">
        <w:rPr>
          <w:rStyle w:val="a7"/>
          <w:rFonts w:asciiTheme="minorBidi" w:hAnsiTheme="minorBidi"/>
          <w:sz w:val="18"/>
          <w:szCs w:val="18"/>
          <w:rtl/>
        </w:rPr>
        <w:footnoteReference w:id="653"/>
      </w:r>
      <w:r w:rsidRPr="003024E5">
        <w:rPr>
          <w:rFonts w:asciiTheme="minorBidi" w:hAnsiTheme="minorBidi"/>
          <w:sz w:val="18"/>
          <w:szCs w:val="18"/>
          <w:rtl/>
        </w:rPr>
        <w:t xml:space="preserve"> </w:t>
      </w:r>
      <w:r w:rsidRPr="004522AF">
        <w:rPr>
          <w:rFonts w:asciiTheme="minorBidi" w:hAnsiTheme="minorBidi"/>
          <w:sz w:val="16"/>
          <w:szCs w:val="16"/>
          <w:rtl/>
        </w:rPr>
        <w:t>(ארוך בשם אגודה וב"ז סי' שיז)</w:t>
      </w:r>
      <w:r w:rsidRPr="003024E5">
        <w:rPr>
          <w:rFonts w:asciiTheme="minorBidi" w:hAnsiTheme="minorBidi"/>
          <w:sz w:val="18"/>
          <w:szCs w:val="18"/>
          <w:rtl/>
        </w:rPr>
        <w:t>.</w:t>
      </w:r>
    </w:p>
    <w:p w14:paraId="07563FCA" w14:textId="77777777" w:rsidR="002C39F4" w:rsidRPr="003024E5" w:rsidRDefault="002C39F4" w:rsidP="002C39F4">
      <w:pPr>
        <w:rPr>
          <w:rFonts w:asciiTheme="minorBidi" w:hAnsiTheme="minorBidi"/>
          <w:rtl/>
        </w:rPr>
      </w:pPr>
    </w:p>
    <w:p w14:paraId="12D9EC92" w14:textId="77777777" w:rsidR="002C39F4" w:rsidRPr="003024E5" w:rsidRDefault="002C39F4" w:rsidP="002C39F4">
      <w:pPr>
        <w:rPr>
          <w:rFonts w:asciiTheme="minorBidi" w:hAnsiTheme="minorBidi"/>
          <w:rtl/>
        </w:rPr>
      </w:pPr>
    </w:p>
    <w:p w14:paraId="4D555BC1" w14:textId="77777777" w:rsidR="002C39F4" w:rsidRPr="003024E5" w:rsidRDefault="002C39F4" w:rsidP="002C39F4">
      <w:pPr>
        <w:rPr>
          <w:rFonts w:asciiTheme="minorBidi" w:hAnsiTheme="minorBidi"/>
          <w:rtl/>
        </w:rPr>
      </w:pPr>
    </w:p>
    <w:p w14:paraId="5EADD639" w14:textId="77777777" w:rsidR="002C39F4" w:rsidRPr="003024E5" w:rsidRDefault="002C39F4" w:rsidP="002C39F4">
      <w:pPr>
        <w:rPr>
          <w:rFonts w:asciiTheme="minorBidi" w:hAnsiTheme="minorBidi"/>
          <w:rtl/>
        </w:rPr>
      </w:pPr>
    </w:p>
    <w:p w14:paraId="4E00441D" w14:textId="77777777" w:rsidR="002C39F4" w:rsidRPr="003024E5" w:rsidRDefault="002C39F4" w:rsidP="002C39F4">
      <w:pPr>
        <w:rPr>
          <w:rFonts w:asciiTheme="minorBidi" w:hAnsiTheme="minorBidi"/>
          <w:rtl/>
        </w:rPr>
      </w:pPr>
    </w:p>
    <w:p w14:paraId="7B41EC97" w14:textId="77777777" w:rsidR="002C39F4" w:rsidRPr="003024E5" w:rsidRDefault="002C39F4" w:rsidP="002C39F4">
      <w:pPr>
        <w:rPr>
          <w:rFonts w:asciiTheme="minorBidi" w:hAnsiTheme="minorBidi"/>
          <w:rtl/>
        </w:rPr>
      </w:pPr>
    </w:p>
    <w:p w14:paraId="2B1E57D0"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720" w:footer="0" w:gutter="0"/>
          <w:cols w:space="720"/>
          <w:bidi/>
          <w:rtlGutter/>
          <w:docGrid w:linePitch="360"/>
        </w:sectPr>
      </w:pPr>
    </w:p>
    <w:p w14:paraId="461BA340"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עד: הטחול דינו כשאר בשר, ובו סעיף אחד. </w:t>
      </w:r>
    </w:p>
    <w:p w14:paraId="2D529C2D" w14:textId="77777777" w:rsidR="002C39F4" w:rsidRPr="003024E5" w:rsidRDefault="002C39F4" w:rsidP="002C39F4">
      <w:pPr>
        <w:pStyle w:val="2"/>
        <w:rPr>
          <w:rFonts w:asciiTheme="minorBidi" w:hAnsiTheme="minorBidi"/>
          <w:rtl/>
        </w:rPr>
      </w:pPr>
      <w:r w:rsidRPr="003024E5">
        <w:rPr>
          <w:rFonts w:asciiTheme="minorBidi" w:hAnsiTheme="minorBidi"/>
          <w:rtl/>
        </w:rPr>
        <w:t>סעיף א</w:t>
      </w:r>
    </w:p>
    <w:p w14:paraId="553E4097" w14:textId="77777777" w:rsidR="002C39F4" w:rsidRDefault="002C39F4" w:rsidP="002C39F4">
      <w:pPr>
        <w:rPr>
          <w:rFonts w:asciiTheme="minorBidi" w:hAnsiTheme="minorBidi"/>
          <w:rtl/>
        </w:rPr>
      </w:pPr>
      <w:r w:rsidRPr="003024E5">
        <w:rPr>
          <w:rFonts w:asciiTheme="minorBidi" w:hAnsiTheme="minorBidi"/>
          <w:b/>
          <w:bCs/>
          <w:rtl/>
        </w:rPr>
        <w:t xml:space="preserve">חולין קיא ע"א: </w:t>
      </w:r>
      <w:r w:rsidRPr="003024E5">
        <w:rPr>
          <w:rFonts w:asciiTheme="minorBidi" w:hAnsiTheme="minorBidi"/>
          <w:rtl/>
        </w:rPr>
        <w:t>רבה בר רב הונא אקלע לבי רבה בר רב נחמן... אשכח ההוא כבדא דהוה בה סמפונא דבליעא דמא, אמר להו אמאי עבדיתו הכי</w:t>
      </w:r>
      <w:r w:rsidRPr="003024E5">
        <w:rPr>
          <w:rStyle w:val="a7"/>
          <w:rFonts w:asciiTheme="minorBidi" w:hAnsiTheme="minorBidi"/>
          <w:rtl/>
        </w:rPr>
        <w:footnoteReference w:id="654"/>
      </w:r>
      <w:r w:rsidRPr="003024E5">
        <w:rPr>
          <w:rFonts w:asciiTheme="minorBidi" w:hAnsiTheme="minorBidi"/>
          <w:rtl/>
        </w:rPr>
        <w:t xml:space="preserve">? </w:t>
      </w:r>
      <w:r w:rsidRPr="003024E5">
        <w:rPr>
          <w:rFonts w:asciiTheme="minorBidi" w:hAnsiTheme="minorBidi"/>
          <w:u w:val="single"/>
          <w:rtl/>
        </w:rPr>
        <w:t>אמרו ליה</w:t>
      </w:r>
      <w:r w:rsidRPr="003024E5">
        <w:rPr>
          <w:rFonts w:asciiTheme="minorBidi" w:hAnsiTheme="minorBidi"/>
          <w:rtl/>
        </w:rPr>
        <w:t xml:space="preserve">: אלא היכי נעביד? </w:t>
      </w:r>
      <w:r w:rsidRPr="003024E5">
        <w:rPr>
          <w:rFonts w:asciiTheme="minorBidi" w:hAnsiTheme="minorBidi"/>
          <w:u w:val="single"/>
          <w:rtl/>
        </w:rPr>
        <w:t>אמר להו</w:t>
      </w:r>
      <w:r w:rsidRPr="003024E5">
        <w:rPr>
          <w:rFonts w:asciiTheme="minorBidi" w:hAnsiTheme="minorBidi"/>
          <w:rtl/>
        </w:rPr>
        <w:t>: קרעו שתי וערב וחיתוכא לתחת, וה"מ</w:t>
      </w:r>
      <w:r w:rsidRPr="003024E5">
        <w:rPr>
          <w:rStyle w:val="a7"/>
          <w:rFonts w:asciiTheme="minorBidi" w:hAnsiTheme="minorBidi"/>
          <w:rtl/>
        </w:rPr>
        <w:footnoteReference w:id="655"/>
      </w:r>
      <w:r w:rsidRPr="003024E5">
        <w:rPr>
          <w:rFonts w:asciiTheme="minorBidi" w:hAnsiTheme="minorBidi"/>
          <w:rtl/>
        </w:rPr>
        <w:t>- כבדא, אבל טחלא - שומנא בעלמא הוא. כי הא דשמואל עבדי ליה תבשילא דטחלי ביומא דעביד מלתא</w:t>
      </w:r>
      <w:r w:rsidRPr="003024E5">
        <w:rPr>
          <w:rStyle w:val="a7"/>
          <w:rFonts w:asciiTheme="minorBidi" w:hAnsiTheme="minorBidi"/>
          <w:rtl/>
        </w:rPr>
        <w:footnoteReference w:id="656"/>
      </w:r>
      <w:r w:rsidRPr="003024E5">
        <w:rPr>
          <w:rFonts w:asciiTheme="minorBidi" w:hAnsiTheme="minorBidi"/>
          <w:rtl/>
        </w:rPr>
        <w:t>.</w:t>
      </w:r>
    </w:p>
    <w:p w14:paraId="5040BD51" w14:textId="77777777" w:rsidR="002C39F4" w:rsidRPr="003024E5" w:rsidRDefault="002C39F4" w:rsidP="002C39F4">
      <w:pPr>
        <w:rPr>
          <w:rFonts w:asciiTheme="minorBidi" w:hAnsiTheme="minorBidi"/>
          <w:rtl/>
        </w:rPr>
      </w:pPr>
      <w:r w:rsidRPr="00C76A63">
        <w:rPr>
          <w:rFonts w:asciiTheme="minorBidi" w:hAnsiTheme="minorBidi" w:cs="Arial" w:hint="cs"/>
          <w:b/>
          <w:bCs/>
          <w:rtl/>
        </w:rPr>
        <w:t xml:space="preserve">כריתות כא ע"ב: </w:t>
      </w:r>
      <w:r w:rsidRPr="00C76A63">
        <w:rPr>
          <w:rFonts w:asciiTheme="minorBidi" w:hAnsiTheme="minorBidi" w:cs="Arial"/>
          <w:rtl/>
        </w:rPr>
        <w:t>מיתיבי: דם הטחול, דם הלב, דם הכליות, דם אברים - הרי אלו בלא תעשה</w:t>
      </w:r>
      <w:r>
        <w:rPr>
          <w:rFonts w:asciiTheme="minorBidi" w:hAnsiTheme="minorBidi" w:cs="Arial" w:hint="cs"/>
          <w:rtl/>
        </w:rPr>
        <w:t xml:space="preserve">. </w:t>
      </w:r>
    </w:p>
    <w:p w14:paraId="5EABABCF" w14:textId="77777777" w:rsidR="002C39F4" w:rsidRPr="003024E5" w:rsidRDefault="002C39F4" w:rsidP="002C39F4">
      <w:pPr>
        <w:rPr>
          <w:rFonts w:asciiTheme="minorBidi" w:hAnsiTheme="minorBidi"/>
          <w:rtl/>
        </w:rPr>
      </w:pPr>
      <w:r w:rsidRPr="003024E5">
        <w:rPr>
          <w:rFonts w:asciiTheme="minorBidi" w:hAnsiTheme="minorBidi"/>
          <w:u w:val="single"/>
          <w:rtl/>
        </w:rPr>
        <w:t>דין טחול:</w:t>
      </w:r>
    </w:p>
    <w:p w14:paraId="7AEB06CD" w14:textId="77777777" w:rsidR="002C39F4" w:rsidRPr="003024E5" w:rsidRDefault="002C39F4" w:rsidP="002C39F4">
      <w:pPr>
        <w:pStyle w:val="a8"/>
        <w:numPr>
          <w:ilvl w:val="0"/>
          <w:numId w:val="59"/>
        </w:numPr>
        <w:rPr>
          <w:rFonts w:asciiTheme="minorBidi" w:hAnsiTheme="minorBidi"/>
          <w:rtl/>
        </w:rPr>
      </w:pPr>
      <w:r w:rsidRPr="003024E5">
        <w:rPr>
          <w:rFonts w:asciiTheme="minorBidi" w:hAnsiTheme="minorBidi"/>
          <w:rtl/>
        </w:rPr>
        <w:t>טור- הטחול אע"פ שיש בו מראה אדמומית ונראה כרבוי דם דינו כשאר בשר לכל דבר וא"צ אלא מליחה בין לצלי</w:t>
      </w:r>
      <w:r w:rsidRPr="003024E5">
        <w:rPr>
          <w:rStyle w:val="a7"/>
          <w:rFonts w:asciiTheme="minorBidi" w:hAnsiTheme="minorBidi"/>
          <w:rtl/>
        </w:rPr>
        <w:footnoteReference w:id="657"/>
      </w:r>
      <w:r w:rsidRPr="003024E5">
        <w:rPr>
          <w:rFonts w:asciiTheme="minorBidi" w:hAnsiTheme="minorBidi"/>
          <w:rtl/>
        </w:rPr>
        <w:t xml:space="preserve"> בין לקדרה</w:t>
      </w:r>
      <w:r w:rsidRPr="003024E5">
        <w:rPr>
          <w:rStyle w:val="a7"/>
          <w:rFonts w:asciiTheme="minorBidi" w:hAnsiTheme="minorBidi"/>
          <w:rtl/>
        </w:rPr>
        <w:footnoteReference w:id="658"/>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2570E82D" w14:textId="77777777" w:rsidR="002C39F4" w:rsidRPr="003024E5" w:rsidRDefault="002C39F4" w:rsidP="002C39F4">
      <w:pPr>
        <w:pStyle w:val="a8"/>
        <w:numPr>
          <w:ilvl w:val="0"/>
          <w:numId w:val="59"/>
        </w:numPr>
        <w:rPr>
          <w:rFonts w:asciiTheme="minorBidi" w:hAnsiTheme="minorBidi"/>
        </w:rPr>
      </w:pPr>
      <w:r w:rsidRPr="003024E5">
        <w:rPr>
          <w:rFonts w:asciiTheme="minorBidi" w:hAnsiTheme="minorBidi"/>
          <w:rtl/>
        </w:rPr>
        <w:t xml:space="preserve">הגמ"ר </w:t>
      </w:r>
      <w:r w:rsidRPr="003024E5">
        <w:rPr>
          <w:rFonts w:asciiTheme="minorBidi" w:hAnsiTheme="minorBidi"/>
          <w:sz w:val="16"/>
          <w:szCs w:val="16"/>
          <w:rtl/>
        </w:rPr>
        <w:t>(סי' תשנא)</w:t>
      </w:r>
      <w:r w:rsidRPr="003024E5">
        <w:rPr>
          <w:rFonts w:asciiTheme="minorBidi" w:hAnsiTheme="minorBidi"/>
          <w:rtl/>
        </w:rPr>
        <w:t>- הא דמותר לבשל טחול היינו בלא בשר.</w:t>
      </w:r>
    </w:p>
    <w:p w14:paraId="7787CA01" w14:textId="77777777" w:rsidR="002C39F4" w:rsidRPr="003024E5" w:rsidRDefault="002C39F4" w:rsidP="002C39F4">
      <w:pPr>
        <w:rPr>
          <w:rFonts w:asciiTheme="minorBidi" w:hAnsiTheme="minorBidi"/>
          <w:u w:val="single"/>
          <w:rtl/>
        </w:rPr>
      </w:pPr>
      <w:r w:rsidRPr="003024E5">
        <w:rPr>
          <w:rFonts w:asciiTheme="minorBidi" w:hAnsiTheme="minorBidi"/>
          <w:u w:val="single"/>
          <w:rtl/>
        </w:rPr>
        <w:t>טחול שנצלה ללא ניקור:</w:t>
      </w:r>
    </w:p>
    <w:p w14:paraId="2F5D8964" w14:textId="77777777" w:rsidR="002C39F4" w:rsidRPr="003024E5" w:rsidRDefault="002C39F4" w:rsidP="002C39F4">
      <w:pPr>
        <w:pStyle w:val="a8"/>
        <w:numPr>
          <w:ilvl w:val="0"/>
          <w:numId w:val="60"/>
        </w:numPr>
        <w:rPr>
          <w:rFonts w:asciiTheme="minorBidi" w:hAnsiTheme="minorBidi"/>
          <w:rtl/>
        </w:rPr>
      </w:pPr>
      <w:r w:rsidRPr="003024E5">
        <w:rPr>
          <w:rFonts w:asciiTheme="minorBidi" w:hAnsiTheme="minorBidi"/>
          <w:rtl/>
        </w:rPr>
        <w:t xml:space="preserve">הגשע"ד </w:t>
      </w:r>
      <w:r w:rsidRPr="003024E5">
        <w:rPr>
          <w:rFonts w:asciiTheme="minorBidi" w:hAnsiTheme="minorBidi"/>
          <w:sz w:val="16"/>
          <w:szCs w:val="16"/>
          <w:rtl/>
        </w:rPr>
        <w:t>(סי' לא אות א)</w:t>
      </w:r>
      <w:r w:rsidRPr="003024E5">
        <w:rPr>
          <w:rFonts w:asciiTheme="minorBidi" w:hAnsiTheme="minorBidi"/>
          <w:rtl/>
        </w:rPr>
        <w:t xml:space="preserve"> בשם ראבי"ה- מעשה היה בטחול שנצלה בלא ניקור והתיר ה"ר משולם וחבריו דבטל חלב הטחול בטחול עצמה ובחלב הכשר שבו</w:t>
      </w:r>
      <w:r>
        <w:rPr>
          <w:rFonts w:asciiTheme="minorBidi" w:hAnsiTheme="minorBidi" w:hint="cs"/>
          <w:rtl/>
        </w:rPr>
        <w:t>,</w:t>
      </w:r>
      <w:r w:rsidRPr="003024E5">
        <w:rPr>
          <w:rFonts w:asciiTheme="minorBidi" w:hAnsiTheme="minorBidi"/>
          <w:rtl/>
        </w:rPr>
        <w:t xml:space="preserve"> דשיערוהו דהטחול והחלב הכשר שבו הוה ס' נגד חלב האיסור</w:t>
      </w:r>
      <w:r w:rsidRPr="003024E5">
        <w:rPr>
          <w:rStyle w:val="a7"/>
          <w:rFonts w:asciiTheme="minorBidi" w:hAnsiTheme="minorBidi"/>
          <w:rtl/>
        </w:rPr>
        <w:footnoteReference w:id="659"/>
      </w:r>
      <w:r w:rsidRPr="003024E5">
        <w:rPr>
          <w:rFonts w:asciiTheme="minorBidi" w:hAnsiTheme="minorBidi"/>
          <w:rtl/>
        </w:rPr>
        <w:t>.</w:t>
      </w:r>
    </w:p>
    <w:p w14:paraId="326C9313" w14:textId="77777777" w:rsidR="002C39F4" w:rsidRPr="003024E5" w:rsidRDefault="002C39F4" w:rsidP="002C39F4">
      <w:pPr>
        <w:rPr>
          <w:rFonts w:asciiTheme="minorBidi" w:hAnsiTheme="minorBidi"/>
          <w:u w:val="single"/>
          <w:rtl/>
        </w:rPr>
      </w:pPr>
      <w:r w:rsidRPr="003024E5">
        <w:rPr>
          <w:rFonts w:asciiTheme="minorBidi" w:hAnsiTheme="minorBidi"/>
          <w:u w:val="single"/>
          <w:rtl/>
        </w:rPr>
        <w:t>בישול כליות בקדרה:</w:t>
      </w:r>
    </w:p>
    <w:p w14:paraId="0A532044" w14:textId="77777777" w:rsidR="002C39F4" w:rsidRPr="003024E5" w:rsidRDefault="002C39F4" w:rsidP="002C39F4">
      <w:pPr>
        <w:pStyle w:val="a8"/>
        <w:numPr>
          <w:ilvl w:val="0"/>
          <w:numId w:val="58"/>
        </w:numPr>
        <w:rPr>
          <w:rFonts w:asciiTheme="minorBidi" w:hAnsiTheme="minorBidi"/>
        </w:rPr>
      </w:pPr>
      <w:r w:rsidRPr="003024E5">
        <w:rPr>
          <w:rFonts w:asciiTheme="minorBidi" w:hAnsiTheme="minorBidi"/>
          <w:rtl/>
        </w:rPr>
        <w:t>אגור</w:t>
      </w:r>
      <w:r w:rsidRPr="003024E5">
        <w:rPr>
          <w:rFonts w:asciiTheme="minorBidi" w:hAnsiTheme="minorBidi"/>
          <w:sz w:val="16"/>
          <w:szCs w:val="16"/>
          <w:rtl/>
        </w:rPr>
        <w:t xml:space="preserve"> (סי' אלף רמה)</w:t>
      </w:r>
      <w:r w:rsidRPr="003024E5">
        <w:rPr>
          <w:rFonts w:asciiTheme="minorBidi" w:hAnsiTheme="minorBidi"/>
          <w:rtl/>
        </w:rPr>
        <w:t xml:space="preserve"> בשם הרוקח- הכליות אסור לבשלם בקדרה משום </w:t>
      </w:r>
      <w:r w:rsidRPr="003024E5">
        <w:rPr>
          <w:rFonts w:asciiTheme="minorBidi" w:hAnsiTheme="minorBidi"/>
          <w:sz w:val="16"/>
          <w:szCs w:val="16"/>
          <w:rtl/>
        </w:rPr>
        <w:t>(משלי א ז)</w:t>
      </w:r>
      <w:r w:rsidRPr="003024E5">
        <w:rPr>
          <w:rFonts w:asciiTheme="minorBidi" w:hAnsiTheme="minorBidi"/>
          <w:rtl/>
        </w:rPr>
        <w:t xml:space="preserve"> אל תטוש תורת אמך. </w:t>
      </w:r>
    </w:p>
    <w:p w14:paraId="32097472" w14:textId="77777777" w:rsidR="002C39F4" w:rsidRPr="003024E5" w:rsidRDefault="002C39F4" w:rsidP="002C39F4">
      <w:pPr>
        <w:pStyle w:val="a8"/>
        <w:numPr>
          <w:ilvl w:val="0"/>
          <w:numId w:val="58"/>
        </w:numPr>
        <w:rPr>
          <w:rFonts w:asciiTheme="minorBidi" w:hAnsiTheme="minorBidi"/>
          <w:rtl/>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א דין יט וכא, הביאו הדרכ"מ אות ב)</w:t>
      </w:r>
      <w:r w:rsidRPr="003024E5">
        <w:rPr>
          <w:rFonts w:asciiTheme="minorBidi" w:hAnsiTheme="minorBidi"/>
          <w:rtl/>
        </w:rPr>
        <w:t>- נוהגין כרוקח דאין מבשלים כוליא משום רוב דם שבה</w:t>
      </w:r>
      <w:r>
        <w:rPr>
          <w:rFonts w:asciiTheme="minorBidi" w:hAnsiTheme="minorBidi" w:hint="cs"/>
          <w:rtl/>
        </w:rPr>
        <w:t>,</w:t>
      </w:r>
      <w:r w:rsidRPr="003024E5">
        <w:rPr>
          <w:rFonts w:asciiTheme="minorBidi" w:hAnsiTheme="minorBidi"/>
          <w:rtl/>
        </w:rPr>
        <w:t xml:space="preserve"> וכן ביצי זכר</w:t>
      </w:r>
      <w:r>
        <w:rPr>
          <w:rFonts w:asciiTheme="minorBidi" w:hAnsiTheme="minorBidi" w:hint="cs"/>
          <w:rtl/>
        </w:rPr>
        <w:t>,</w:t>
      </w:r>
      <w:r w:rsidRPr="003024E5">
        <w:rPr>
          <w:rFonts w:asciiTheme="minorBidi" w:hAnsiTheme="minorBidi"/>
          <w:rtl/>
        </w:rPr>
        <w:t xml:space="preserve"> מיהו בדיעבד שרי.</w:t>
      </w:r>
      <w:r>
        <w:rPr>
          <w:rFonts w:asciiTheme="minorBidi" w:hAnsiTheme="minorBidi" w:hint="cs"/>
          <w:rtl/>
        </w:rPr>
        <w:t xml:space="preserve"> </w:t>
      </w:r>
      <w:r w:rsidRPr="002A5F75">
        <w:rPr>
          <w:rFonts w:asciiTheme="minorBidi" w:hAnsiTheme="minorBidi" w:hint="cs"/>
          <w:color w:val="00B0F0"/>
          <w:rtl/>
        </w:rPr>
        <w:t>(וכ"פ הרמ"א)</w:t>
      </w:r>
    </w:p>
    <w:p w14:paraId="2FC5058B" w14:textId="77777777" w:rsidR="002C39F4" w:rsidRPr="003024E5" w:rsidRDefault="002C39F4" w:rsidP="002C39F4">
      <w:pPr>
        <w:pStyle w:val="a8"/>
        <w:numPr>
          <w:ilvl w:val="1"/>
          <w:numId w:val="58"/>
        </w:numPr>
        <w:rPr>
          <w:rFonts w:asciiTheme="minorBidi" w:hAnsiTheme="minorBidi"/>
        </w:rPr>
      </w:pPr>
      <w:r w:rsidRPr="003024E5">
        <w:rPr>
          <w:rFonts w:asciiTheme="minorBidi" w:hAnsiTheme="minorBidi"/>
          <w:rtl/>
        </w:rPr>
        <w:t>ב"י- אנו נהגנו היתר לבשלם ולא שמענו פוצה פה.</w:t>
      </w:r>
    </w:p>
    <w:p w14:paraId="34726DF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4F0F5EB" w14:textId="77777777" w:rsidR="002C39F4" w:rsidRDefault="002C39F4" w:rsidP="002C39F4">
      <w:pPr>
        <w:rPr>
          <w:rFonts w:asciiTheme="minorBidi" w:hAnsiTheme="minorBidi"/>
          <w:rtl/>
        </w:rPr>
        <w:sectPr w:rsidR="002C39F4" w:rsidSect="004C5A3C">
          <w:footnotePr>
            <w:numRestart w:val="eachPage"/>
          </w:footnotePr>
          <w:pgSz w:w="11906" w:h="16838"/>
          <w:pgMar w:top="720" w:right="1134" w:bottom="720" w:left="1134" w:header="720" w:footer="0" w:gutter="0"/>
          <w:cols w:space="720"/>
          <w:bidi/>
          <w:rtlGutter/>
          <w:docGrid w:linePitch="360"/>
        </w:sectPr>
      </w:pPr>
      <w:r w:rsidRPr="003024E5">
        <w:rPr>
          <w:rFonts w:asciiTheme="minorBidi" w:hAnsiTheme="minorBidi"/>
          <w:rtl/>
        </w:rPr>
        <w:t>הטחול, אף על פי שיש בו מראה אדמומית ונראה כרבוי דם דינו כשאר בשר</w:t>
      </w:r>
      <w:r w:rsidRPr="003024E5">
        <w:rPr>
          <w:rStyle w:val="a7"/>
          <w:rFonts w:asciiTheme="minorBidi" w:hAnsiTheme="minorBidi"/>
          <w:rtl/>
        </w:rPr>
        <w:footnoteReference w:id="660"/>
      </w:r>
      <w:r w:rsidRPr="003024E5">
        <w:rPr>
          <w:rFonts w:asciiTheme="minorBidi" w:hAnsiTheme="minorBidi"/>
          <w:rtl/>
        </w:rPr>
        <w:t xml:space="preserve"> [וצריך מליחה</w:t>
      </w:r>
      <w:r>
        <w:rPr>
          <w:rFonts w:asciiTheme="minorBidi" w:hAnsiTheme="minorBidi" w:hint="cs"/>
          <w:rtl/>
        </w:rPr>
        <w:t>]</w:t>
      </w:r>
      <w:r w:rsidRPr="003024E5">
        <w:rPr>
          <w:rFonts w:asciiTheme="minorBidi" w:hAnsiTheme="minorBidi"/>
          <w:rtl/>
        </w:rPr>
        <w:t xml:space="preserve">. </w:t>
      </w:r>
      <w:r w:rsidRPr="003024E5">
        <w:rPr>
          <w:rFonts w:asciiTheme="minorBidi" w:hAnsiTheme="minorBidi"/>
          <w:sz w:val="18"/>
          <w:szCs w:val="18"/>
          <w:rtl/>
        </w:rPr>
        <w:t>הגה: י"א שנהגו שלא לבשל הכליות</w:t>
      </w:r>
      <w:r w:rsidRPr="003024E5">
        <w:rPr>
          <w:rStyle w:val="a7"/>
          <w:rFonts w:asciiTheme="minorBidi" w:hAnsiTheme="minorBidi"/>
          <w:sz w:val="18"/>
          <w:szCs w:val="18"/>
          <w:rtl/>
        </w:rPr>
        <w:footnoteReference w:id="661"/>
      </w:r>
      <w:r w:rsidRPr="003024E5">
        <w:rPr>
          <w:rFonts w:asciiTheme="minorBidi" w:hAnsiTheme="minorBidi"/>
          <w:sz w:val="18"/>
          <w:szCs w:val="18"/>
          <w:rtl/>
        </w:rPr>
        <w:t xml:space="preserve"> (אגור ואו"ה בשם רוקח) או ביצי זכר</w:t>
      </w:r>
      <w:r w:rsidRPr="003024E5">
        <w:rPr>
          <w:rStyle w:val="a7"/>
          <w:rFonts w:asciiTheme="minorBidi" w:hAnsiTheme="minorBidi"/>
          <w:sz w:val="18"/>
          <w:szCs w:val="18"/>
          <w:rtl/>
        </w:rPr>
        <w:footnoteReference w:id="662"/>
      </w:r>
      <w:r w:rsidRPr="003024E5">
        <w:rPr>
          <w:rFonts w:asciiTheme="minorBidi" w:hAnsiTheme="minorBidi"/>
          <w:sz w:val="18"/>
          <w:szCs w:val="18"/>
          <w:rtl/>
        </w:rPr>
        <w:t xml:space="preserve"> אפילו לאחר שניקר אותן משום דאית בהו רוב דם, ובדיעבד אין לחוש (או"ה), ומותר למלוח כל אלו עם שאר בשר אף על פי שיש בהם רוב דם</w:t>
      </w:r>
      <w:r w:rsidRPr="003024E5">
        <w:rPr>
          <w:rStyle w:val="a7"/>
          <w:rFonts w:asciiTheme="minorBidi" w:hAnsiTheme="minorBidi"/>
          <w:sz w:val="18"/>
          <w:szCs w:val="18"/>
          <w:rtl/>
        </w:rPr>
        <w:footnoteReference w:id="663"/>
      </w:r>
      <w:r w:rsidRPr="003024E5">
        <w:rPr>
          <w:rFonts w:asciiTheme="minorBidi" w:hAnsiTheme="minorBidi"/>
          <w:sz w:val="18"/>
          <w:szCs w:val="18"/>
          <w:rtl/>
        </w:rPr>
        <w:t>, ובלבד שיסירו הקרומים והחלב מהם</w:t>
      </w:r>
      <w:r w:rsidRPr="003024E5">
        <w:rPr>
          <w:rStyle w:val="a7"/>
          <w:rFonts w:asciiTheme="minorBidi" w:hAnsiTheme="minorBidi"/>
          <w:sz w:val="18"/>
          <w:szCs w:val="18"/>
          <w:rtl/>
        </w:rPr>
        <w:footnoteReference w:id="664"/>
      </w:r>
      <w:r>
        <w:rPr>
          <w:rFonts w:asciiTheme="minorBidi" w:hAnsiTheme="minorBidi" w:hint="cs"/>
          <w:sz w:val="18"/>
          <w:szCs w:val="18"/>
          <w:rtl/>
        </w:rPr>
        <w:t xml:space="preserve"> (או"ה כלל א די"ט)</w:t>
      </w:r>
      <w:r w:rsidRPr="003024E5">
        <w:rPr>
          <w:rFonts w:asciiTheme="minorBidi" w:hAnsiTheme="minorBidi"/>
          <w:sz w:val="18"/>
          <w:szCs w:val="18"/>
          <w:rtl/>
        </w:rPr>
        <w:t>.</w:t>
      </w:r>
    </w:p>
    <w:p w14:paraId="4B170EC3"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עה: דין מליחת המעיים, ובו ג' סעיפים. </w:t>
      </w:r>
    </w:p>
    <w:p w14:paraId="4E9E393D" w14:textId="77777777" w:rsidR="002C39F4" w:rsidRPr="003024E5" w:rsidRDefault="002C39F4" w:rsidP="002C39F4">
      <w:pPr>
        <w:pStyle w:val="2"/>
        <w:rPr>
          <w:rFonts w:asciiTheme="minorBidi" w:hAnsiTheme="minorBidi"/>
          <w:rtl/>
        </w:rPr>
      </w:pPr>
      <w:r w:rsidRPr="003024E5">
        <w:rPr>
          <w:rFonts w:asciiTheme="minorBidi" w:hAnsiTheme="minorBidi"/>
          <w:rtl/>
        </w:rPr>
        <w:t>סעיף א: בני מעיים ושומן שעליהם.</w:t>
      </w:r>
    </w:p>
    <w:p w14:paraId="2706B04E"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ע"א: </w:t>
      </w:r>
      <w:r w:rsidRPr="003024E5">
        <w:rPr>
          <w:rFonts w:asciiTheme="minorBidi" w:hAnsiTheme="minorBidi"/>
          <w:u w:val="single"/>
          <w:rtl/>
        </w:rPr>
        <w:t>אמר רב משרשיא:</w:t>
      </w:r>
      <w:r w:rsidRPr="003024E5">
        <w:rPr>
          <w:rFonts w:asciiTheme="minorBidi" w:hAnsiTheme="minorBidi"/>
          <w:rtl/>
        </w:rPr>
        <w:t xml:space="preserve"> אין מחזיקין דם</w:t>
      </w:r>
      <w:r w:rsidRPr="003024E5">
        <w:rPr>
          <w:rStyle w:val="a7"/>
          <w:rFonts w:asciiTheme="minorBidi" w:hAnsiTheme="minorBidi"/>
          <w:rtl/>
        </w:rPr>
        <w:footnoteReference w:id="665"/>
      </w:r>
      <w:r w:rsidRPr="003024E5">
        <w:rPr>
          <w:rFonts w:asciiTheme="minorBidi" w:hAnsiTheme="minorBidi"/>
          <w:rtl/>
        </w:rPr>
        <w:t xml:space="preserve"> בבני מעיים, תרגמא - אכרכשא</w:t>
      </w:r>
      <w:r w:rsidRPr="003024E5">
        <w:rPr>
          <w:rStyle w:val="a7"/>
          <w:rFonts w:asciiTheme="minorBidi" w:hAnsiTheme="minorBidi"/>
          <w:rtl/>
        </w:rPr>
        <w:footnoteReference w:id="666"/>
      </w:r>
      <w:r w:rsidRPr="003024E5">
        <w:rPr>
          <w:rFonts w:asciiTheme="minorBidi" w:hAnsiTheme="minorBidi"/>
          <w:rtl/>
        </w:rPr>
        <w:t xml:space="preserve"> ומעייא</w:t>
      </w:r>
      <w:r w:rsidRPr="003024E5">
        <w:rPr>
          <w:rStyle w:val="a7"/>
          <w:rFonts w:asciiTheme="minorBidi" w:hAnsiTheme="minorBidi"/>
          <w:rtl/>
        </w:rPr>
        <w:footnoteReference w:id="667"/>
      </w:r>
      <w:r w:rsidRPr="003024E5">
        <w:rPr>
          <w:rFonts w:asciiTheme="minorBidi" w:hAnsiTheme="minorBidi"/>
          <w:rtl/>
        </w:rPr>
        <w:t xml:space="preserve"> והדרא דכנתא</w:t>
      </w:r>
      <w:r w:rsidRPr="003024E5">
        <w:rPr>
          <w:rStyle w:val="a7"/>
          <w:rFonts w:asciiTheme="minorBidi" w:hAnsiTheme="minorBidi"/>
          <w:rtl/>
        </w:rPr>
        <w:footnoteReference w:id="668"/>
      </w:r>
      <w:r w:rsidRPr="003024E5">
        <w:rPr>
          <w:rFonts w:asciiTheme="minorBidi" w:hAnsiTheme="minorBidi"/>
          <w:rtl/>
        </w:rPr>
        <w:t>.</w:t>
      </w:r>
    </w:p>
    <w:p w14:paraId="46A65D54" w14:textId="77777777" w:rsidR="002C39F4" w:rsidRPr="003024E5" w:rsidRDefault="002C39F4" w:rsidP="002C39F4">
      <w:pPr>
        <w:rPr>
          <w:rFonts w:asciiTheme="minorBidi" w:hAnsiTheme="minorBidi"/>
          <w:rtl/>
        </w:rPr>
      </w:pPr>
      <w:r>
        <w:rPr>
          <w:rFonts w:asciiTheme="minorBidi" w:hAnsiTheme="minorBidi" w:hint="cs"/>
          <w:u w:val="single"/>
          <w:rtl/>
        </w:rPr>
        <w:t xml:space="preserve">הכשרת </w:t>
      </w:r>
      <w:r w:rsidRPr="003024E5">
        <w:rPr>
          <w:rFonts w:asciiTheme="minorBidi" w:hAnsiTheme="minorBidi"/>
          <w:u w:val="single"/>
          <w:rtl/>
        </w:rPr>
        <w:t>בני מעיים:</w:t>
      </w:r>
    </w:p>
    <w:p w14:paraId="775733CF" w14:textId="77777777" w:rsidR="002C39F4" w:rsidRPr="003024E5" w:rsidRDefault="002C39F4" w:rsidP="002C39F4">
      <w:pPr>
        <w:pStyle w:val="a8"/>
        <w:numPr>
          <w:ilvl w:val="0"/>
          <w:numId w:val="62"/>
        </w:numPr>
        <w:rPr>
          <w:rFonts w:asciiTheme="minorBidi" w:hAnsiTheme="minorBidi"/>
        </w:rPr>
      </w:pPr>
      <w:r w:rsidRPr="003024E5">
        <w:rPr>
          <w:rFonts w:asciiTheme="minorBidi" w:hAnsiTheme="minorBidi"/>
          <w:rtl/>
        </w:rPr>
        <w:t>טור- אין מחזיקין דם בבני מעיים כגון בכרס ובקיבה ובדקין הסובבין סביב הכנתא ובחלחולת לפיכך אם בשלם בקדרה בלא מליחה מותר.</w:t>
      </w:r>
      <w:r w:rsidRPr="003024E5">
        <w:rPr>
          <w:rFonts w:asciiTheme="minorBidi" w:hAnsiTheme="minorBidi"/>
          <w:color w:val="E36C0A" w:themeColor="accent6" w:themeShade="BF"/>
          <w:rtl/>
        </w:rPr>
        <w:t xml:space="preserve"> (וכ"פ בשו"ע)</w:t>
      </w:r>
      <w:r w:rsidRPr="003024E5">
        <w:rPr>
          <w:rFonts w:asciiTheme="minorBidi" w:hAnsiTheme="minorBidi"/>
          <w:rtl/>
        </w:rPr>
        <w:t xml:space="preserve"> </w:t>
      </w:r>
    </w:p>
    <w:p w14:paraId="676B734C" w14:textId="77777777" w:rsidR="002C39F4" w:rsidRDefault="002C39F4" w:rsidP="002C39F4">
      <w:pPr>
        <w:pStyle w:val="a8"/>
        <w:numPr>
          <w:ilvl w:val="0"/>
          <w:numId w:val="62"/>
        </w:numPr>
        <w:rPr>
          <w:rFonts w:asciiTheme="minorBidi" w:hAnsiTheme="minorBidi"/>
        </w:rPr>
      </w:pPr>
      <w:r w:rsidRPr="003024E5">
        <w:rPr>
          <w:rFonts w:asciiTheme="minorBidi" w:hAnsiTheme="minorBidi"/>
          <w:rtl/>
        </w:rPr>
        <w:t xml:space="preserve">סה"ת </w:t>
      </w:r>
      <w:r w:rsidRPr="003024E5">
        <w:rPr>
          <w:rFonts w:asciiTheme="minorBidi" w:hAnsiTheme="minorBidi"/>
          <w:sz w:val="16"/>
          <w:szCs w:val="16"/>
          <w:rtl/>
        </w:rPr>
        <w:t xml:space="preserve">(סי' </w:t>
      </w:r>
      <w:r>
        <w:rPr>
          <w:rFonts w:asciiTheme="minorBidi" w:hAnsiTheme="minorBidi" w:hint="cs"/>
          <w:sz w:val="16"/>
          <w:szCs w:val="16"/>
          <w:rtl/>
        </w:rPr>
        <w:t>סד-</w:t>
      </w:r>
      <w:r w:rsidRPr="003024E5">
        <w:rPr>
          <w:rFonts w:asciiTheme="minorBidi" w:hAnsiTheme="minorBidi"/>
          <w:sz w:val="16"/>
          <w:szCs w:val="16"/>
          <w:rtl/>
        </w:rPr>
        <w:t xml:space="preserve">סה) </w:t>
      </w:r>
      <w:r w:rsidRPr="003024E5">
        <w:rPr>
          <w:rFonts w:asciiTheme="minorBidi" w:hAnsiTheme="minorBidi"/>
          <w:rtl/>
        </w:rPr>
        <w:t xml:space="preserve">ראבי"ה </w:t>
      </w:r>
      <w:r w:rsidRPr="003024E5">
        <w:rPr>
          <w:rFonts w:asciiTheme="minorBidi" w:hAnsiTheme="minorBidi"/>
          <w:sz w:val="16"/>
          <w:szCs w:val="16"/>
          <w:rtl/>
        </w:rPr>
        <w:t xml:space="preserve">(סי' אלף קכא) </w:t>
      </w:r>
      <w:r w:rsidRPr="003024E5">
        <w:rPr>
          <w:rFonts w:asciiTheme="minorBidi" w:hAnsiTheme="minorBidi"/>
          <w:rtl/>
        </w:rPr>
        <w:t xml:space="preserve">ומרדכי </w:t>
      </w:r>
      <w:r w:rsidRPr="003024E5">
        <w:rPr>
          <w:rFonts w:asciiTheme="minorBidi" w:hAnsiTheme="minorBidi"/>
          <w:sz w:val="16"/>
          <w:szCs w:val="16"/>
          <w:rtl/>
        </w:rPr>
        <w:t>(שם)</w:t>
      </w:r>
      <w:r w:rsidRPr="003024E5">
        <w:rPr>
          <w:rFonts w:asciiTheme="minorBidi" w:hAnsiTheme="minorBidi"/>
          <w:rtl/>
        </w:rPr>
        <w:t xml:space="preserve">- </w:t>
      </w:r>
      <w:r w:rsidRPr="00EB42D0">
        <w:rPr>
          <w:rFonts w:asciiTheme="minorBidi" w:hAnsiTheme="minorBidi" w:cs="Arial"/>
          <w:rtl/>
        </w:rPr>
        <w:t>אם מלחן בקערה אין בכך כלום</w:t>
      </w:r>
      <w:r>
        <w:rPr>
          <w:rFonts w:asciiTheme="minorBidi" w:hAnsiTheme="minorBidi" w:cs="Arial" w:hint="cs"/>
          <w:rtl/>
        </w:rPr>
        <w:t>...</w:t>
      </w:r>
      <w:r w:rsidRPr="00EB42D0">
        <w:rPr>
          <w:rFonts w:asciiTheme="minorBidi" w:hAnsiTheme="minorBidi" w:cs="Arial"/>
          <w:rtl/>
        </w:rPr>
        <w:t xml:space="preserve"> שהרי אין בהם דם</w:t>
      </w:r>
      <w:r>
        <w:rPr>
          <w:rFonts w:asciiTheme="minorBidi" w:hAnsiTheme="minorBidi" w:cs="Arial" w:hint="cs"/>
          <w:rtl/>
        </w:rPr>
        <w:t>,</w:t>
      </w:r>
      <w:r w:rsidRPr="00EB42D0">
        <w:rPr>
          <w:rFonts w:asciiTheme="minorBidi" w:hAnsiTheme="minorBidi" w:cs="Arial"/>
          <w:rtl/>
        </w:rPr>
        <w:t xml:space="preserve"> וכן אם נתנן בקדירה רותחת בלא מליחה</w:t>
      </w:r>
      <w:r>
        <w:rPr>
          <w:rFonts w:asciiTheme="minorBidi" w:hAnsiTheme="minorBidi" w:cs="Arial" w:hint="cs"/>
          <w:rtl/>
        </w:rPr>
        <w:t>...</w:t>
      </w:r>
      <w:r w:rsidRPr="00EB42D0">
        <w:rPr>
          <w:rFonts w:asciiTheme="minorBidi" w:hAnsiTheme="minorBidi" w:cs="Arial"/>
          <w:rtl/>
        </w:rPr>
        <w:t xml:space="preserve"> אמנם אין טוב למלחם בקערה ולא לתתם בקדירה קודם מליחה</w:t>
      </w:r>
      <w:r>
        <w:rPr>
          <w:rStyle w:val="a7"/>
          <w:rFonts w:asciiTheme="minorBidi" w:hAnsiTheme="minorBidi" w:cs="Arial"/>
          <w:rtl/>
        </w:rPr>
        <w:footnoteReference w:id="669"/>
      </w:r>
      <w:r w:rsidRPr="00EB42D0">
        <w:rPr>
          <w:rFonts w:asciiTheme="minorBidi" w:hAnsiTheme="minorBidi" w:cs="Arial"/>
          <w:rtl/>
        </w:rPr>
        <w:t xml:space="preserve"> לפי שאינו יודע כמה אורך הטבחיא וגם הקיבה אינו יודע ארכה וגם שאינו יודע לנקותם ולהוציא כל השומן מעל הדקין שלא ישאר קצת משומן והרי יש דם בשומן כדפי</w:t>
      </w:r>
      <w:r>
        <w:rPr>
          <w:rFonts w:asciiTheme="minorBidi" w:hAnsiTheme="minorBidi" w:cs="Arial" w:hint="cs"/>
          <w:rtl/>
        </w:rPr>
        <w:t>רשתי</w:t>
      </w:r>
      <w:r>
        <w:rPr>
          <w:rFonts w:asciiTheme="minorBidi" w:hAnsiTheme="minorBidi" w:cs="Arial" w:hint="cs"/>
          <w:sz w:val="16"/>
          <w:szCs w:val="16"/>
          <w:rtl/>
        </w:rPr>
        <w:t xml:space="preserve"> (ל' סה"ת)</w:t>
      </w:r>
      <w:r>
        <w:rPr>
          <w:rFonts w:asciiTheme="minorBidi" w:hAnsiTheme="minorBidi" w:cs="Arial" w:hint="cs"/>
          <w:rtl/>
        </w:rPr>
        <w:t>.</w:t>
      </w:r>
    </w:p>
    <w:p w14:paraId="2033286B" w14:textId="77777777" w:rsidR="002C39F4" w:rsidRPr="003024E5" w:rsidRDefault="002C39F4" w:rsidP="002C39F4">
      <w:pPr>
        <w:pStyle w:val="a8"/>
        <w:numPr>
          <w:ilvl w:val="0"/>
          <w:numId w:val="62"/>
        </w:numPr>
        <w:rPr>
          <w:rFonts w:asciiTheme="minorBidi" w:hAnsiTheme="minorBidi"/>
          <w:rtl/>
        </w:rPr>
      </w:pPr>
      <w:r>
        <w:rPr>
          <w:rFonts w:asciiTheme="minorBidi" w:hAnsiTheme="minorBidi"/>
          <w:rtl/>
        </w:rPr>
        <w:t>או"ה</w:t>
      </w:r>
      <w:r w:rsidRPr="003024E5">
        <w:rPr>
          <w:rFonts w:asciiTheme="minorBidi" w:hAnsiTheme="minorBidi"/>
          <w:sz w:val="16"/>
          <w:szCs w:val="16"/>
          <w:rtl/>
        </w:rPr>
        <w:t xml:space="preserve"> (כלל ד ד</w:t>
      </w:r>
      <w:r>
        <w:rPr>
          <w:rFonts w:asciiTheme="minorBidi" w:hAnsiTheme="minorBidi" w:hint="cs"/>
          <w:sz w:val="16"/>
          <w:szCs w:val="16"/>
          <w:rtl/>
        </w:rPr>
        <w:t>"</w:t>
      </w:r>
      <w:r w:rsidRPr="003024E5">
        <w:rPr>
          <w:rFonts w:asciiTheme="minorBidi" w:hAnsiTheme="minorBidi"/>
          <w:sz w:val="16"/>
          <w:szCs w:val="16"/>
          <w:rtl/>
        </w:rPr>
        <w:t xml:space="preserve">ט, הביאו הדרכ"מ </w:t>
      </w:r>
      <w:r w:rsidRPr="003024E5">
        <w:rPr>
          <w:rFonts w:asciiTheme="minorBidi" w:hAnsiTheme="minorBidi"/>
          <w:sz w:val="14"/>
          <w:szCs w:val="14"/>
          <w:rtl/>
        </w:rPr>
        <w:t>[אות</w:t>
      </w:r>
      <w:r w:rsidRPr="003024E5">
        <w:rPr>
          <w:rFonts w:asciiTheme="minorBidi" w:hAnsiTheme="minorBidi"/>
          <w:sz w:val="8"/>
          <w:szCs w:val="8"/>
          <w:rtl/>
        </w:rPr>
        <w:t xml:space="preserve"> </w:t>
      </w:r>
      <w:r w:rsidRPr="003024E5">
        <w:rPr>
          <w:rFonts w:asciiTheme="minorBidi" w:hAnsiTheme="minorBidi"/>
          <w:sz w:val="14"/>
          <w:szCs w:val="14"/>
          <w:rtl/>
        </w:rPr>
        <w:t>א**]</w:t>
      </w:r>
      <w:r w:rsidRPr="003024E5">
        <w:rPr>
          <w:rFonts w:asciiTheme="minorBidi" w:hAnsiTheme="minorBidi"/>
          <w:sz w:val="16"/>
          <w:szCs w:val="16"/>
          <w:rtl/>
        </w:rPr>
        <w:t>)</w:t>
      </w:r>
      <w:r w:rsidRPr="003024E5">
        <w:rPr>
          <w:rFonts w:asciiTheme="minorBidi" w:hAnsiTheme="minorBidi"/>
          <w:rtl/>
        </w:rPr>
        <w:t>- אפילו הדחה קמייתא בעי בני מעיים לכתחילה</w:t>
      </w:r>
      <w:r>
        <w:rPr>
          <w:rFonts w:asciiTheme="minorBidi" w:hAnsiTheme="minorBidi" w:hint="cs"/>
          <w:rtl/>
        </w:rPr>
        <w:t>,</w:t>
      </w:r>
      <w:r w:rsidRPr="003024E5">
        <w:rPr>
          <w:rFonts w:asciiTheme="minorBidi" w:hAnsiTheme="minorBidi"/>
          <w:rtl/>
        </w:rPr>
        <w:t xml:space="preserve"> אבל בדיעבד אין מחזיקין בהם דם ומותרין בלא מליחה כלל</w:t>
      </w:r>
      <w:r>
        <w:rPr>
          <w:rFonts w:asciiTheme="minorBidi" w:hAnsiTheme="minorBidi" w:hint="cs"/>
          <w:rtl/>
        </w:rPr>
        <w:t>.</w:t>
      </w:r>
    </w:p>
    <w:p w14:paraId="65A2435F" w14:textId="77777777" w:rsidR="002C39F4" w:rsidRPr="003024E5" w:rsidRDefault="002C39F4" w:rsidP="002C39F4">
      <w:pPr>
        <w:ind w:left="360"/>
        <w:rPr>
          <w:rFonts w:asciiTheme="minorBidi" w:hAnsiTheme="minorBidi"/>
          <w:u w:val="dotted"/>
          <w:rtl/>
        </w:rPr>
      </w:pPr>
      <w:r w:rsidRPr="003024E5">
        <w:rPr>
          <w:rFonts w:asciiTheme="minorBidi" w:hAnsiTheme="minorBidi"/>
          <w:u w:val="dotted"/>
          <w:rtl/>
        </w:rPr>
        <w:t xml:space="preserve">ומה דין השומן של בני מעיים: </w:t>
      </w:r>
    </w:p>
    <w:p w14:paraId="1CFF7DB0" w14:textId="77777777" w:rsidR="002C39F4" w:rsidRDefault="002C39F4" w:rsidP="002C39F4">
      <w:pPr>
        <w:pStyle w:val="a8"/>
        <w:numPr>
          <w:ilvl w:val="0"/>
          <w:numId w:val="63"/>
        </w:numPr>
        <w:rPr>
          <w:rFonts w:asciiTheme="minorBidi" w:hAnsiTheme="minorBidi"/>
        </w:rPr>
      </w:pPr>
      <w:r w:rsidRPr="003024E5">
        <w:rPr>
          <w:rFonts w:asciiTheme="minorBidi" w:hAnsiTheme="minorBidi"/>
          <w:rtl/>
        </w:rPr>
        <w:t xml:space="preserve">שבה"ל </w:t>
      </w:r>
      <w:r w:rsidRPr="003024E5">
        <w:rPr>
          <w:rFonts w:asciiTheme="minorBidi" w:hAnsiTheme="minorBidi"/>
          <w:sz w:val="16"/>
          <w:szCs w:val="16"/>
          <w:rtl/>
        </w:rPr>
        <w:t>(ח"ב סי' יז ד"ה דין קרביים)</w:t>
      </w:r>
      <w:r w:rsidRPr="003024E5">
        <w:rPr>
          <w:rFonts w:asciiTheme="minorBidi" w:hAnsiTheme="minorBidi"/>
          <w:rtl/>
        </w:rPr>
        <w:t>- הוא הדין לשומן שבתוך המעים שאין מחזיקין בו דם.</w:t>
      </w:r>
    </w:p>
    <w:p w14:paraId="10858B2D" w14:textId="77777777" w:rsidR="002C39F4" w:rsidRPr="003024E5" w:rsidRDefault="002C39F4" w:rsidP="002C39F4">
      <w:pPr>
        <w:pStyle w:val="a8"/>
        <w:numPr>
          <w:ilvl w:val="0"/>
          <w:numId w:val="63"/>
        </w:numPr>
        <w:rPr>
          <w:rFonts w:asciiTheme="minorBidi" w:hAnsiTheme="minorBidi"/>
        </w:rPr>
      </w:pPr>
      <w:r>
        <w:rPr>
          <w:rFonts w:asciiTheme="minorBidi" w:hAnsiTheme="minorBidi" w:hint="cs"/>
          <w:rtl/>
        </w:rPr>
        <w:t xml:space="preserve">סה"ת </w:t>
      </w:r>
      <w:r w:rsidRPr="003024E5">
        <w:rPr>
          <w:rFonts w:asciiTheme="minorBidi" w:hAnsiTheme="minorBidi"/>
          <w:rtl/>
        </w:rPr>
        <w:t>רשב"א ורא"ש</w:t>
      </w:r>
      <w:r w:rsidRPr="003024E5">
        <w:rPr>
          <w:rStyle w:val="a7"/>
          <w:rFonts w:asciiTheme="minorBidi" w:hAnsiTheme="minorBidi"/>
          <w:rtl/>
        </w:rPr>
        <w:footnoteReference w:id="670"/>
      </w:r>
      <w:r w:rsidRPr="003024E5">
        <w:rPr>
          <w:rFonts w:asciiTheme="minorBidi" w:hAnsiTheme="minorBidi"/>
          <w:rtl/>
        </w:rPr>
        <w:t>- אע"ג דאין מחזיקין דם בבני מעים מ"מ בשומן הדבוק בהם יש דם דאית ביה שורייקי ולכך נהגו למלחם</w:t>
      </w:r>
      <w:r w:rsidRPr="003024E5">
        <w:rPr>
          <w:rStyle w:val="a7"/>
          <w:rFonts w:asciiTheme="minorBidi" w:hAnsiTheme="minorBidi"/>
          <w:rtl/>
        </w:rPr>
        <w:footnoteReference w:id="671"/>
      </w:r>
      <w:r w:rsidRPr="003024E5">
        <w:rPr>
          <w:rFonts w:asciiTheme="minorBidi" w:hAnsiTheme="minorBidi"/>
          <w:sz w:val="16"/>
          <w:szCs w:val="16"/>
          <w:rtl/>
        </w:rPr>
        <w:t xml:space="preserve"> (ל' הרא"ש)</w:t>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6E3906B3" w14:textId="77777777" w:rsidR="002C39F4" w:rsidRPr="003024E5" w:rsidRDefault="002C39F4" w:rsidP="002C39F4">
      <w:pPr>
        <w:rPr>
          <w:rFonts w:asciiTheme="minorBidi" w:hAnsiTheme="minorBidi"/>
          <w:rtl/>
        </w:rPr>
      </w:pPr>
      <w:r w:rsidRPr="003024E5">
        <w:rPr>
          <w:rFonts w:asciiTheme="minorBidi" w:hAnsiTheme="minorBidi"/>
          <w:u w:val="single"/>
          <w:rtl/>
        </w:rPr>
        <w:t>האם כרס היא בכלל בני מעיים:</w:t>
      </w:r>
    </w:p>
    <w:p w14:paraId="1CC2FA90" w14:textId="77777777" w:rsidR="002C39F4" w:rsidRPr="007D55D0" w:rsidRDefault="002C39F4" w:rsidP="002C39F4">
      <w:pPr>
        <w:pStyle w:val="a8"/>
        <w:numPr>
          <w:ilvl w:val="0"/>
          <w:numId w:val="61"/>
        </w:numPr>
        <w:rPr>
          <w:rFonts w:asciiTheme="minorBidi" w:hAnsiTheme="minorBidi"/>
          <w:rtl/>
        </w:rPr>
      </w:pPr>
      <w:r w:rsidRPr="003024E5">
        <w:rPr>
          <w:rFonts w:asciiTheme="minorBidi" w:hAnsiTheme="minorBidi"/>
          <w:rtl/>
        </w:rPr>
        <w:t xml:space="preserve">ר"ת </w:t>
      </w:r>
      <w:r w:rsidRPr="003024E5">
        <w:rPr>
          <w:rFonts w:asciiTheme="minorBidi" w:hAnsiTheme="minorBidi"/>
          <w:sz w:val="16"/>
          <w:szCs w:val="16"/>
          <w:rtl/>
        </w:rPr>
        <w:t>(כ"כ הר"ן בשמו)</w:t>
      </w:r>
      <w:r>
        <w:rPr>
          <w:rFonts w:asciiTheme="minorBidi" w:hAnsiTheme="minorBidi" w:hint="cs"/>
          <w:rtl/>
        </w:rPr>
        <w:t xml:space="preserve"> ראב"ן </w:t>
      </w:r>
      <w:r>
        <w:rPr>
          <w:rFonts w:asciiTheme="minorBidi" w:hAnsiTheme="minorBidi" w:hint="cs"/>
          <w:sz w:val="16"/>
          <w:szCs w:val="16"/>
          <w:rtl/>
        </w:rPr>
        <w:t>(כ"כ בשמו סה"ת ומרדכי)</w:t>
      </w:r>
      <w:r>
        <w:rPr>
          <w:rFonts w:asciiTheme="minorBidi" w:hAnsiTheme="minorBidi" w:hint="cs"/>
          <w:rtl/>
        </w:rPr>
        <w:t xml:space="preserve"> </w:t>
      </w:r>
      <w:r w:rsidRPr="003024E5">
        <w:rPr>
          <w:rFonts w:asciiTheme="minorBidi" w:hAnsiTheme="minorBidi"/>
          <w:rtl/>
        </w:rPr>
        <w:t xml:space="preserve">סה"ת ראבי"ה </w:t>
      </w:r>
      <w:r w:rsidRPr="003024E5">
        <w:rPr>
          <w:rFonts w:asciiTheme="minorBidi" w:hAnsiTheme="minorBidi"/>
          <w:sz w:val="16"/>
          <w:szCs w:val="16"/>
          <w:rtl/>
        </w:rPr>
        <w:t>(כ"כ בשמם המרדכי)</w:t>
      </w:r>
      <w:r w:rsidRPr="003024E5">
        <w:rPr>
          <w:rFonts w:asciiTheme="minorBidi" w:hAnsiTheme="minorBidi"/>
          <w:rtl/>
        </w:rPr>
        <w:t xml:space="preserve"> ומרדכי</w:t>
      </w:r>
      <w:r w:rsidRPr="003024E5">
        <w:rPr>
          <w:rFonts w:asciiTheme="minorBidi" w:hAnsiTheme="minorBidi"/>
          <w:sz w:val="16"/>
          <w:szCs w:val="16"/>
          <w:rtl/>
        </w:rPr>
        <w:t xml:space="preserve"> (שם)</w:t>
      </w:r>
      <w:r w:rsidRPr="003024E5">
        <w:rPr>
          <w:rFonts w:asciiTheme="minorBidi" w:hAnsiTheme="minorBidi"/>
          <w:rtl/>
        </w:rPr>
        <w:t>- לא הוציא רב משרשיא מחזקת דם כי אם מעים</w:t>
      </w:r>
      <w:r>
        <w:rPr>
          <w:rFonts w:asciiTheme="minorBidi" w:hAnsiTheme="minorBidi" w:hint="cs"/>
          <w:rtl/>
        </w:rPr>
        <w:t xml:space="preserve">... </w:t>
      </w:r>
      <w:r w:rsidRPr="003024E5">
        <w:rPr>
          <w:rFonts w:asciiTheme="minorBidi" w:hAnsiTheme="minorBidi"/>
          <w:rtl/>
        </w:rPr>
        <w:t>אבל הכרס לא הוציא</w:t>
      </w:r>
      <w:r>
        <w:rPr>
          <w:rStyle w:val="a7"/>
          <w:rFonts w:asciiTheme="minorBidi" w:hAnsiTheme="minorBidi"/>
          <w:rtl/>
        </w:rPr>
        <w:footnoteReference w:id="672"/>
      </w:r>
      <w:r>
        <w:rPr>
          <w:rFonts w:asciiTheme="minorBidi" w:hAnsiTheme="minorBidi" w:hint="cs"/>
          <w:sz w:val="16"/>
          <w:szCs w:val="16"/>
          <w:rtl/>
        </w:rPr>
        <w:t xml:space="preserve"> (מרדכי)</w:t>
      </w:r>
      <w:r w:rsidRPr="003024E5">
        <w:rPr>
          <w:rFonts w:asciiTheme="minorBidi" w:hAnsiTheme="minorBidi"/>
          <w:rtl/>
        </w:rPr>
        <w:t>.</w:t>
      </w:r>
      <w:r w:rsidRPr="007D55D0">
        <w:rPr>
          <w:rFonts w:asciiTheme="minorBidi" w:hAnsiTheme="minorBidi"/>
          <w:rtl/>
        </w:rPr>
        <w:t xml:space="preserve"> </w:t>
      </w:r>
      <w:r>
        <w:rPr>
          <w:rFonts w:asciiTheme="minorBidi" w:hAnsiTheme="minorBidi" w:hint="cs"/>
          <w:rtl/>
        </w:rPr>
        <w:t xml:space="preserve">ועוד </w:t>
      </w:r>
      <w:r w:rsidRPr="003024E5">
        <w:rPr>
          <w:rFonts w:asciiTheme="minorBidi" w:hAnsiTheme="minorBidi"/>
          <w:rtl/>
        </w:rPr>
        <w:t xml:space="preserve">שהרי אמרו </w:t>
      </w:r>
      <w:r w:rsidRPr="003024E5">
        <w:rPr>
          <w:rFonts w:asciiTheme="minorBidi" w:hAnsiTheme="minorBidi"/>
          <w:sz w:val="16"/>
          <w:szCs w:val="16"/>
          <w:rtl/>
        </w:rPr>
        <w:t xml:space="preserve">(נא.) </w:t>
      </w:r>
      <w:r w:rsidRPr="003024E5">
        <w:rPr>
          <w:rFonts w:asciiTheme="minorBidi" w:hAnsiTheme="minorBidi"/>
          <w:rtl/>
        </w:rPr>
        <w:t>במחט שנמצא בעובי בית הכוסות שאם אין עליה קורט דם בידוע שהוא לאחר שחיטה</w:t>
      </w:r>
      <w:r>
        <w:rPr>
          <w:rFonts w:asciiTheme="minorBidi" w:hAnsiTheme="minorBidi" w:hint="cs"/>
          <w:sz w:val="16"/>
          <w:szCs w:val="16"/>
          <w:rtl/>
        </w:rPr>
        <w:t xml:space="preserve"> (ר"ת)</w:t>
      </w:r>
      <w:r>
        <w:rPr>
          <w:rFonts w:asciiTheme="minorBidi" w:hAnsiTheme="minorBidi" w:hint="cs"/>
          <w:rtl/>
        </w:rPr>
        <w:t>.</w:t>
      </w:r>
      <w:r w:rsidRPr="007D55D0">
        <w:rPr>
          <w:rFonts w:asciiTheme="minorBidi" w:hAnsiTheme="minorBidi"/>
          <w:color w:val="00B0F0"/>
          <w:rtl/>
        </w:rPr>
        <w:t xml:space="preserve"> (וכ"פ הרמ"א)</w:t>
      </w:r>
      <w:r w:rsidRPr="007D55D0">
        <w:rPr>
          <w:rFonts w:asciiTheme="minorBidi" w:hAnsiTheme="minorBidi"/>
          <w:rtl/>
        </w:rPr>
        <w:t xml:space="preserve"> (וכ"פ רש"ל ב"ח וש"ך)</w:t>
      </w:r>
    </w:p>
    <w:p w14:paraId="7F1331C3" w14:textId="77777777" w:rsidR="002C39F4" w:rsidRPr="003024E5" w:rsidRDefault="002C39F4" w:rsidP="002C39F4">
      <w:pPr>
        <w:pStyle w:val="a8"/>
        <w:numPr>
          <w:ilvl w:val="0"/>
          <w:numId w:val="61"/>
        </w:numPr>
        <w:rPr>
          <w:rFonts w:asciiTheme="minorBidi" w:hAnsiTheme="minorBidi"/>
        </w:rPr>
      </w:pPr>
      <w:r w:rsidRPr="003024E5">
        <w:rPr>
          <w:rFonts w:asciiTheme="minorBidi" w:hAnsiTheme="minorBidi"/>
          <w:rtl/>
        </w:rPr>
        <w:t xml:space="preserve">רש"י </w:t>
      </w:r>
      <w:r w:rsidRPr="003024E5">
        <w:rPr>
          <w:rFonts w:asciiTheme="minorBidi" w:hAnsiTheme="minorBidi"/>
          <w:sz w:val="16"/>
          <w:szCs w:val="16"/>
          <w:rtl/>
        </w:rPr>
        <w:t xml:space="preserve">(ד"ה ומעיא) </w:t>
      </w:r>
      <w:r w:rsidRPr="003024E5">
        <w:rPr>
          <w:rFonts w:asciiTheme="minorBidi" w:hAnsiTheme="minorBidi"/>
          <w:rtl/>
        </w:rPr>
        <w:t xml:space="preserve">רא"ש </w:t>
      </w:r>
      <w:r w:rsidRPr="003024E5">
        <w:rPr>
          <w:rFonts w:asciiTheme="minorBidi" w:hAnsiTheme="minorBidi"/>
          <w:sz w:val="16"/>
          <w:szCs w:val="16"/>
          <w:rtl/>
        </w:rPr>
        <w:t>(פ"ח סי' מח)</w:t>
      </w:r>
      <w:r w:rsidRPr="003024E5">
        <w:rPr>
          <w:rFonts w:asciiTheme="minorBidi" w:hAnsiTheme="minorBidi"/>
          <w:rtl/>
        </w:rPr>
        <w:t xml:space="preserve"> ור"ן </w:t>
      </w:r>
      <w:r w:rsidRPr="003024E5">
        <w:rPr>
          <w:rFonts w:asciiTheme="minorBidi" w:hAnsiTheme="minorBidi"/>
          <w:sz w:val="16"/>
          <w:szCs w:val="16"/>
          <w:rtl/>
        </w:rPr>
        <w:t>(מב: ד"ה ודקדק)</w:t>
      </w:r>
      <w:r w:rsidRPr="003024E5">
        <w:rPr>
          <w:rFonts w:asciiTheme="minorBidi" w:hAnsiTheme="minorBidi"/>
          <w:rtl/>
        </w:rPr>
        <w:t>- בכלל בני מעיים היא</w:t>
      </w:r>
      <w:r w:rsidRPr="003024E5">
        <w:rPr>
          <w:rStyle w:val="a7"/>
          <w:rFonts w:asciiTheme="minorBidi" w:hAnsiTheme="minorBidi"/>
          <w:rtl/>
        </w:rPr>
        <w:footnoteReference w:id="673"/>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1E6902AC" w14:textId="77777777" w:rsidR="002C39F4" w:rsidRPr="003024E5" w:rsidRDefault="002C39F4" w:rsidP="002C39F4">
      <w:pPr>
        <w:rPr>
          <w:rFonts w:asciiTheme="minorBidi" w:hAnsiTheme="minorBidi"/>
          <w:u w:val="single"/>
          <w:rtl/>
        </w:rPr>
      </w:pPr>
      <w:r w:rsidRPr="003024E5">
        <w:rPr>
          <w:rFonts w:asciiTheme="minorBidi" w:hAnsiTheme="minorBidi"/>
          <w:u w:val="single"/>
          <w:rtl/>
        </w:rPr>
        <w:t>בני מעיים שנמלחו בקערה שאינה מנוקבת:</w:t>
      </w:r>
    </w:p>
    <w:p w14:paraId="3D984BA3" w14:textId="77777777" w:rsidR="002C39F4" w:rsidRPr="003024E5" w:rsidRDefault="002C39F4" w:rsidP="002C39F4">
      <w:pPr>
        <w:pStyle w:val="a8"/>
        <w:numPr>
          <w:ilvl w:val="0"/>
          <w:numId w:val="61"/>
        </w:numPr>
        <w:rPr>
          <w:rFonts w:asciiTheme="minorBidi" w:hAnsiTheme="minorBidi"/>
        </w:rPr>
      </w:pPr>
      <w:r w:rsidRPr="003024E5">
        <w:rPr>
          <w:rFonts w:asciiTheme="minorBidi" w:hAnsiTheme="minorBidi"/>
          <w:rtl/>
        </w:rPr>
        <w:t xml:space="preserve">סה"ת </w:t>
      </w:r>
      <w:r w:rsidRPr="003024E5">
        <w:rPr>
          <w:rFonts w:asciiTheme="minorBidi" w:hAnsiTheme="minorBidi"/>
          <w:sz w:val="16"/>
          <w:szCs w:val="16"/>
          <w:rtl/>
        </w:rPr>
        <w:t>(</w:t>
      </w:r>
      <w:r>
        <w:rPr>
          <w:rFonts w:asciiTheme="minorBidi" w:hAnsiTheme="minorBidi" w:hint="cs"/>
          <w:sz w:val="16"/>
          <w:szCs w:val="16"/>
          <w:rtl/>
        </w:rPr>
        <w:t>שם</w:t>
      </w:r>
      <w:r w:rsidRPr="003024E5">
        <w:rPr>
          <w:rFonts w:asciiTheme="minorBidi" w:hAnsiTheme="minorBidi"/>
          <w:sz w:val="16"/>
          <w:szCs w:val="16"/>
          <w:rtl/>
        </w:rPr>
        <w:t xml:space="preserve">) </w:t>
      </w:r>
      <w:r>
        <w:rPr>
          <w:rFonts w:asciiTheme="minorBidi" w:hAnsiTheme="minorBidi" w:hint="cs"/>
          <w:rtl/>
        </w:rPr>
        <w:t>ו</w:t>
      </w:r>
      <w:r w:rsidRPr="003024E5">
        <w:rPr>
          <w:rFonts w:asciiTheme="minorBidi" w:hAnsiTheme="minorBidi"/>
          <w:rtl/>
        </w:rPr>
        <w:t>מרדכי</w:t>
      </w:r>
      <w:r w:rsidRPr="003024E5">
        <w:rPr>
          <w:rFonts w:asciiTheme="minorBidi" w:hAnsiTheme="minorBidi"/>
          <w:sz w:val="16"/>
          <w:szCs w:val="16"/>
          <w:rtl/>
        </w:rPr>
        <w:t xml:space="preserve"> (</w:t>
      </w:r>
      <w:r>
        <w:rPr>
          <w:rFonts w:asciiTheme="minorBidi" w:hAnsiTheme="minorBidi" w:hint="cs"/>
          <w:sz w:val="16"/>
          <w:szCs w:val="16"/>
          <w:rtl/>
        </w:rPr>
        <w:t>שם</w:t>
      </w:r>
      <w:r w:rsidRPr="003024E5">
        <w:rPr>
          <w:rFonts w:asciiTheme="minorBidi" w:hAnsiTheme="minorBidi"/>
          <w:sz w:val="16"/>
          <w:szCs w:val="16"/>
          <w:rtl/>
        </w:rPr>
        <w:t>)</w:t>
      </w:r>
      <w:r w:rsidRPr="003024E5">
        <w:rPr>
          <w:rFonts w:asciiTheme="minorBidi" w:hAnsiTheme="minorBidi"/>
          <w:rtl/>
        </w:rPr>
        <w:t xml:space="preserve">- </w:t>
      </w:r>
      <w:r w:rsidRPr="00EB42D0">
        <w:rPr>
          <w:rFonts w:asciiTheme="minorBidi" w:hAnsiTheme="minorBidi" w:cs="Arial"/>
          <w:rtl/>
        </w:rPr>
        <w:t>אם מלחן בקערה</w:t>
      </w:r>
      <w:r>
        <w:rPr>
          <w:rFonts w:asciiTheme="minorBidi" w:hAnsiTheme="minorBidi" w:cs="Arial" w:hint="cs"/>
          <w:sz w:val="16"/>
          <w:szCs w:val="16"/>
          <w:rtl/>
        </w:rPr>
        <w:t xml:space="preserve"> {שאינה מנוקבת, מרדכי}</w:t>
      </w:r>
      <w:r w:rsidRPr="00EB42D0">
        <w:rPr>
          <w:rFonts w:asciiTheme="minorBidi" w:hAnsiTheme="minorBidi" w:cs="Arial"/>
          <w:rtl/>
        </w:rPr>
        <w:t xml:space="preserve"> אין בכך כלום</w:t>
      </w:r>
      <w:r>
        <w:rPr>
          <w:rFonts w:asciiTheme="minorBidi" w:hAnsiTheme="minorBidi" w:cs="Arial" w:hint="cs"/>
          <w:rtl/>
        </w:rPr>
        <w:t>...</w:t>
      </w:r>
      <w:r w:rsidRPr="00EB42D0">
        <w:rPr>
          <w:rFonts w:asciiTheme="minorBidi" w:hAnsiTheme="minorBidi" w:cs="Arial"/>
          <w:rtl/>
        </w:rPr>
        <w:t xml:space="preserve"> שהרי אין בהם דם</w:t>
      </w:r>
      <w:r w:rsidRPr="003024E5">
        <w:rPr>
          <w:rStyle w:val="a7"/>
          <w:rFonts w:asciiTheme="minorBidi" w:hAnsiTheme="minorBidi"/>
          <w:rtl/>
        </w:rPr>
        <w:footnoteReference w:id="674"/>
      </w:r>
      <w:r>
        <w:rPr>
          <w:rFonts w:asciiTheme="minorBidi" w:hAnsiTheme="minorBidi" w:cs="Arial" w:hint="cs"/>
          <w:rtl/>
        </w:rPr>
        <w:t>,</w:t>
      </w:r>
      <w:r w:rsidRPr="00311C61">
        <w:rPr>
          <w:rFonts w:asciiTheme="minorBidi" w:hAnsiTheme="minorBidi" w:cs="Arial"/>
          <w:rtl/>
        </w:rPr>
        <w:t xml:space="preserve"> </w:t>
      </w:r>
      <w:r w:rsidRPr="00EB42D0">
        <w:rPr>
          <w:rFonts w:asciiTheme="minorBidi" w:hAnsiTheme="minorBidi" w:cs="Arial"/>
          <w:rtl/>
        </w:rPr>
        <w:t>אמנם אין טוב למלחם בקערה</w:t>
      </w:r>
      <w:r>
        <w:rPr>
          <w:rFonts w:asciiTheme="minorBidi" w:hAnsiTheme="minorBidi" w:cs="Arial" w:hint="cs"/>
          <w:rtl/>
        </w:rPr>
        <w:t>...</w:t>
      </w:r>
      <w:r w:rsidRPr="00EB42D0">
        <w:rPr>
          <w:rFonts w:asciiTheme="minorBidi" w:hAnsiTheme="minorBidi" w:cs="Arial"/>
          <w:rtl/>
        </w:rPr>
        <w:t xml:space="preserve"> לפי שאינו יודע כמה אורך הטבחיא וגם הקיבה אינו יודע ארכה וגם שאינו יודע לנקותם ולהוציא כל השומן מעל הדקין שלא ישאר קצת משומן והרי יש דם בשומן כדפי</w:t>
      </w:r>
      <w:r>
        <w:rPr>
          <w:rFonts w:asciiTheme="minorBidi" w:hAnsiTheme="minorBidi" w:cs="Arial" w:hint="cs"/>
          <w:rtl/>
        </w:rPr>
        <w:t>רשתי</w:t>
      </w:r>
      <w:r>
        <w:rPr>
          <w:rFonts w:asciiTheme="minorBidi" w:hAnsiTheme="minorBidi" w:cs="Arial" w:hint="cs"/>
          <w:sz w:val="16"/>
          <w:szCs w:val="16"/>
          <w:rtl/>
        </w:rPr>
        <w:t xml:space="preserve"> (ל' סה"ת)</w:t>
      </w:r>
      <w:r w:rsidRPr="003024E5">
        <w:rPr>
          <w:rFonts w:asciiTheme="minorBidi" w:hAnsiTheme="minorBidi"/>
          <w:rtl/>
        </w:rPr>
        <w:t>.</w:t>
      </w:r>
      <w:r w:rsidRPr="003024E5">
        <w:rPr>
          <w:rFonts w:asciiTheme="minorBidi" w:hAnsiTheme="minorBidi"/>
          <w:color w:val="00B0F0"/>
          <w:rtl/>
        </w:rPr>
        <w:t xml:space="preserve"> (וכ"פ הרמ"א)</w:t>
      </w:r>
      <w:r>
        <w:rPr>
          <w:rFonts w:asciiTheme="minorBidi" w:hAnsiTheme="minorBidi" w:hint="cs"/>
          <w:rtl/>
        </w:rPr>
        <w:t xml:space="preserve"> </w:t>
      </w:r>
    </w:p>
    <w:p w14:paraId="169A8D2D" w14:textId="77777777" w:rsidR="002C39F4" w:rsidRPr="003024E5" w:rsidRDefault="002C39F4" w:rsidP="002C39F4">
      <w:pPr>
        <w:pStyle w:val="a8"/>
        <w:numPr>
          <w:ilvl w:val="0"/>
          <w:numId w:val="61"/>
        </w:numPr>
        <w:rPr>
          <w:rFonts w:asciiTheme="minorBidi" w:hAnsiTheme="minorBidi"/>
          <w:rtl/>
        </w:rPr>
      </w:pPr>
      <w:r w:rsidRPr="003024E5">
        <w:rPr>
          <w:rFonts w:asciiTheme="minorBidi" w:hAnsiTheme="minorBidi"/>
          <w:rtl/>
        </w:rPr>
        <w:t xml:space="preserve">או"ז </w:t>
      </w:r>
      <w:r w:rsidRPr="003024E5">
        <w:rPr>
          <w:rFonts w:asciiTheme="minorBidi" w:hAnsiTheme="minorBidi"/>
          <w:sz w:val="16"/>
          <w:szCs w:val="16"/>
          <w:rtl/>
        </w:rPr>
        <w:t>(הביאו ה</w:t>
      </w:r>
      <w:r>
        <w:rPr>
          <w:rFonts w:asciiTheme="minorBidi" w:hAnsiTheme="minorBidi"/>
          <w:sz w:val="16"/>
          <w:szCs w:val="16"/>
          <w:rtl/>
        </w:rPr>
        <w:t>הג"א</w:t>
      </w:r>
      <w:r w:rsidRPr="003024E5">
        <w:rPr>
          <w:rFonts w:asciiTheme="minorBidi" w:hAnsiTheme="minorBidi"/>
          <w:sz w:val="16"/>
          <w:szCs w:val="16"/>
          <w:rtl/>
        </w:rPr>
        <w:t xml:space="preserve"> [סי' מח])</w:t>
      </w:r>
      <w:r w:rsidRPr="003024E5">
        <w:rPr>
          <w:rFonts w:asciiTheme="minorBidi" w:hAnsiTheme="minorBidi"/>
          <w:rtl/>
        </w:rPr>
        <w:t>- אין למולחם בכלי שאינו מנוקב משום שומן הדבוק בהן והמחמיר תע"ב והצלחה.</w:t>
      </w:r>
    </w:p>
    <w:p w14:paraId="4226AC79" w14:textId="77777777" w:rsidR="002C39F4" w:rsidRPr="003024E5" w:rsidRDefault="002C39F4" w:rsidP="002C39F4">
      <w:pPr>
        <w:rPr>
          <w:rFonts w:asciiTheme="minorBidi" w:hAnsiTheme="minorBidi"/>
          <w:u w:val="single"/>
          <w:rtl/>
        </w:rPr>
      </w:pPr>
      <w:r w:rsidRPr="003024E5">
        <w:rPr>
          <w:rFonts w:asciiTheme="minorBidi" w:hAnsiTheme="minorBidi"/>
          <w:u w:val="single"/>
          <w:rtl/>
        </w:rPr>
        <w:t>שומן אווז שנמלח ולא הודח והושם בקדרה:</w:t>
      </w:r>
      <w:r w:rsidRPr="003024E5">
        <w:rPr>
          <w:rFonts w:asciiTheme="minorBidi" w:hAnsiTheme="minorBidi"/>
          <w:sz w:val="16"/>
          <w:szCs w:val="16"/>
          <w:rtl/>
        </w:rPr>
        <w:t xml:space="preserve">   (דרכ"מ אות א)</w:t>
      </w:r>
    </w:p>
    <w:p w14:paraId="60B36F7A" w14:textId="77777777" w:rsidR="002C39F4" w:rsidRPr="003024E5" w:rsidRDefault="002C39F4" w:rsidP="002C39F4">
      <w:pPr>
        <w:pStyle w:val="a8"/>
        <w:numPr>
          <w:ilvl w:val="0"/>
          <w:numId w:val="65"/>
        </w:numPr>
        <w:rPr>
          <w:rFonts w:asciiTheme="minorBidi" w:hAnsiTheme="minorBidi"/>
          <w:rtl/>
        </w:rPr>
      </w:pPr>
      <w:r w:rsidRPr="003024E5">
        <w:rPr>
          <w:rFonts w:asciiTheme="minorBidi" w:hAnsiTheme="minorBidi"/>
          <w:rtl/>
        </w:rPr>
        <w:t xml:space="preserve">מרדכי </w:t>
      </w:r>
      <w:r w:rsidRPr="003024E5">
        <w:rPr>
          <w:rFonts w:asciiTheme="minorBidi" w:hAnsiTheme="minorBidi"/>
          <w:sz w:val="16"/>
          <w:szCs w:val="16"/>
          <w:rtl/>
        </w:rPr>
        <w:t>(סי' תשכו)</w:t>
      </w:r>
      <w:r w:rsidRPr="003024E5">
        <w:rPr>
          <w:rFonts w:asciiTheme="minorBidi" w:hAnsiTheme="minorBidi"/>
          <w:rtl/>
        </w:rPr>
        <w:t xml:space="preserve">- אסור, דבשומן יש דם וצריך הדחה אחרונה. </w:t>
      </w:r>
      <w:r w:rsidRPr="003024E5">
        <w:rPr>
          <w:rFonts w:asciiTheme="minorBidi" w:hAnsiTheme="minorBidi"/>
          <w:color w:val="00B0F0"/>
          <w:rtl/>
        </w:rPr>
        <w:t>(וכ"פ הרמ"א)</w:t>
      </w:r>
    </w:p>
    <w:p w14:paraId="5EC88D23" w14:textId="77777777" w:rsidR="002C39F4" w:rsidRPr="003024E5" w:rsidRDefault="002C39F4" w:rsidP="002C39F4">
      <w:pPr>
        <w:rPr>
          <w:rFonts w:asciiTheme="minorBidi" w:hAnsiTheme="minorBidi"/>
          <w:rtl/>
        </w:rPr>
      </w:pPr>
      <w:r w:rsidRPr="003024E5">
        <w:rPr>
          <w:rFonts w:asciiTheme="minorBidi" w:hAnsiTheme="minorBidi"/>
          <w:u w:val="single"/>
          <w:rtl/>
        </w:rPr>
        <w:t>מליחת החלחולת:</w:t>
      </w:r>
    </w:p>
    <w:p w14:paraId="4EDB4E2E" w14:textId="77777777" w:rsidR="002C39F4" w:rsidRPr="003024E5" w:rsidRDefault="002C39F4" w:rsidP="002C39F4">
      <w:pPr>
        <w:pStyle w:val="a8"/>
        <w:numPr>
          <w:ilvl w:val="0"/>
          <w:numId w:val="64"/>
        </w:numPr>
        <w:rPr>
          <w:rFonts w:asciiTheme="minorBidi" w:hAnsiTheme="minorBidi"/>
          <w:rtl/>
        </w:rPr>
      </w:pPr>
      <w:r w:rsidRPr="003024E5">
        <w:rPr>
          <w:rFonts w:asciiTheme="minorBidi" w:hAnsiTheme="minorBidi"/>
          <w:rtl/>
        </w:rPr>
        <w:t xml:space="preserve">רשב"א </w:t>
      </w:r>
      <w:r w:rsidRPr="003024E5">
        <w:rPr>
          <w:rFonts w:asciiTheme="minorBidi" w:hAnsiTheme="minorBidi"/>
          <w:sz w:val="16"/>
          <w:szCs w:val="16"/>
          <w:rtl/>
        </w:rPr>
        <w:t>(תוה"ק ב"ג ש"ג, וארוך עה:)</w:t>
      </w:r>
      <w:r w:rsidRPr="003024E5">
        <w:rPr>
          <w:rFonts w:asciiTheme="minorBidi" w:hAnsiTheme="minorBidi"/>
          <w:rtl/>
        </w:rPr>
        <w:t xml:space="preserve"> וטור- כשמולחין החלחולת אין מולחים אותה בצד הפנימי מעבר המאכל אלא בצד החיצון ששם שומן דבוק שמחזיקין שם דם</w:t>
      </w:r>
      <w:r w:rsidRPr="003024E5">
        <w:rPr>
          <w:rStyle w:val="a7"/>
          <w:rFonts w:asciiTheme="minorBidi" w:hAnsiTheme="minorBidi"/>
          <w:rtl/>
        </w:rPr>
        <w:footnoteReference w:id="675"/>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4E532C14" w14:textId="77777777" w:rsidR="002C39F4" w:rsidRPr="003024E5" w:rsidRDefault="002C39F4" w:rsidP="002C39F4">
      <w:pPr>
        <w:rPr>
          <w:rFonts w:asciiTheme="minorBidi" w:hAnsiTheme="minorBidi"/>
          <w:rtl/>
        </w:rPr>
      </w:pPr>
      <w:r w:rsidRPr="003024E5">
        <w:rPr>
          <w:rFonts w:asciiTheme="minorBidi" w:hAnsiTheme="minorBidi"/>
          <w:u w:val="single"/>
          <w:rtl/>
        </w:rPr>
        <w:t>בני מעיים דאסמיקו:</w:t>
      </w:r>
    </w:p>
    <w:p w14:paraId="67CECE49" w14:textId="77777777" w:rsidR="002C39F4" w:rsidRDefault="002C39F4" w:rsidP="002C39F4">
      <w:pPr>
        <w:pStyle w:val="a8"/>
        <w:numPr>
          <w:ilvl w:val="0"/>
          <w:numId w:val="64"/>
        </w:numPr>
        <w:rPr>
          <w:rFonts w:asciiTheme="minorBidi" w:hAnsiTheme="minorBidi"/>
        </w:rPr>
      </w:pPr>
      <w:r w:rsidRPr="003024E5">
        <w:rPr>
          <w:rFonts w:asciiTheme="minorBidi" w:hAnsiTheme="minorBidi"/>
          <w:rtl/>
        </w:rPr>
        <w:t xml:space="preserve">ר"ן </w:t>
      </w:r>
      <w:r w:rsidRPr="003024E5">
        <w:rPr>
          <w:rFonts w:asciiTheme="minorBidi" w:hAnsiTheme="minorBidi"/>
          <w:sz w:val="16"/>
          <w:szCs w:val="16"/>
          <w:rtl/>
        </w:rPr>
        <w:t>(שם)</w:t>
      </w:r>
      <w:r w:rsidRPr="003024E5">
        <w:rPr>
          <w:rFonts w:asciiTheme="minorBidi" w:hAnsiTheme="minorBidi"/>
          <w:rtl/>
        </w:rPr>
        <w:t xml:space="preserve">- דקדק הרמב"ן ז"ל </w:t>
      </w:r>
      <w:r w:rsidRPr="003024E5">
        <w:rPr>
          <w:rFonts w:asciiTheme="minorBidi" w:hAnsiTheme="minorBidi"/>
          <w:sz w:val="16"/>
          <w:szCs w:val="16"/>
          <w:rtl/>
        </w:rPr>
        <w:t xml:space="preserve">(קיג. ד"ה אין) </w:t>
      </w:r>
      <w:r w:rsidRPr="003024E5">
        <w:rPr>
          <w:rFonts w:asciiTheme="minorBidi" w:hAnsiTheme="minorBidi"/>
          <w:rtl/>
        </w:rPr>
        <w:t>מדאמרינן אין מחזיקין דם בבני מעים דדוקא מסתמא הוא דלא מחזקינן הא אסמיק חיישינן ובעי מליחה.</w:t>
      </w:r>
      <w:r w:rsidRPr="003024E5">
        <w:rPr>
          <w:rFonts w:asciiTheme="minorBidi" w:hAnsiTheme="minorBidi"/>
          <w:color w:val="E36C0A" w:themeColor="accent6" w:themeShade="BF"/>
          <w:rtl/>
        </w:rPr>
        <w:t xml:space="preserve"> (וכ"פ בשו"ע)</w:t>
      </w:r>
    </w:p>
    <w:p w14:paraId="03CCAA4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DAC2A05" w14:textId="77777777" w:rsidR="002C39F4" w:rsidRPr="003024E5" w:rsidRDefault="002C39F4" w:rsidP="002C39F4">
      <w:pPr>
        <w:rPr>
          <w:rFonts w:asciiTheme="minorBidi" w:hAnsiTheme="minorBidi"/>
          <w:rtl/>
        </w:rPr>
      </w:pPr>
      <w:r w:rsidRPr="003024E5">
        <w:rPr>
          <w:rFonts w:asciiTheme="minorBidi" w:hAnsiTheme="minorBidi"/>
          <w:rtl/>
        </w:rPr>
        <w:t>אין מחזיקין דם בבני מעיים כגון בכרס</w:t>
      </w:r>
      <w:r w:rsidRPr="003024E5">
        <w:rPr>
          <w:rStyle w:val="a7"/>
          <w:rFonts w:asciiTheme="minorBidi" w:hAnsiTheme="minorBidi"/>
          <w:rtl/>
        </w:rPr>
        <w:footnoteReference w:id="676"/>
      </w:r>
      <w:r w:rsidRPr="003024E5">
        <w:rPr>
          <w:rFonts w:asciiTheme="minorBidi" w:hAnsiTheme="minorBidi"/>
          <w:rtl/>
        </w:rPr>
        <w:t xml:space="preserve"> ובקיבה ובדקין</w:t>
      </w:r>
      <w:r w:rsidRPr="003024E5">
        <w:rPr>
          <w:rStyle w:val="a7"/>
          <w:rFonts w:asciiTheme="minorBidi" w:hAnsiTheme="minorBidi"/>
          <w:rtl/>
        </w:rPr>
        <w:footnoteReference w:id="677"/>
      </w:r>
      <w:r w:rsidRPr="003024E5">
        <w:rPr>
          <w:rFonts w:asciiTheme="minorBidi" w:hAnsiTheme="minorBidi"/>
          <w:rtl/>
        </w:rPr>
        <w:t xml:space="preserve"> ובחלחולת בלא שומן שעליהם, לפיכך אם בשלם בקדרה בלא מליחה מותר, אלא אם כן אסמיק</w:t>
      </w:r>
      <w:r w:rsidRPr="003024E5">
        <w:rPr>
          <w:rStyle w:val="a7"/>
          <w:rFonts w:asciiTheme="minorBidi" w:hAnsiTheme="minorBidi"/>
          <w:rtl/>
        </w:rPr>
        <w:footnoteReference w:id="678"/>
      </w:r>
      <w:r w:rsidRPr="003024E5">
        <w:rPr>
          <w:rFonts w:asciiTheme="minorBidi" w:hAnsiTheme="minorBidi"/>
          <w:rtl/>
        </w:rPr>
        <w:t xml:space="preserve">. </w:t>
      </w:r>
      <w:r w:rsidRPr="003024E5">
        <w:rPr>
          <w:rFonts w:asciiTheme="minorBidi" w:hAnsiTheme="minorBidi"/>
          <w:sz w:val="18"/>
          <w:szCs w:val="18"/>
          <w:rtl/>
        </w:rPr>
        <w:t>הגה: וכ"ש אם נמלחו בכלי שאינו מנוקב דמותרים</w:t>
      </w:r>
      <w:r w:rsidRPr="003024E5">
        <w:rPr>
          <w:rStyle w:val="a7"/>
          <w:rFonts w:asciiTheme="minorBidi" w:hAnsiTheme="minorBidi"/>
          <w:sz w:val="18"/>
          <w:szCs w:val="18"/>
          <w:rtl/>
        </w:rPr>
        <w:footnoteReference w:id="679"/>
      </w:r>
      <w:r w:rsidRPr="003024E5">
        <w:rPr>
          <w:rFonts w:asciiTheme="minorBidi" w:hAnsiTheme="minorBidi"/>
          <w:sz w:val="18"/>
          <w:szCs w:val="18"/>
          <w:rtl/>
        </w:rPr>
        <w:t xml:space="preserve"> (מרדכי). מיהו לכתחלה צריכים מליחה בכלי מנוקב והדחה תחלה כשאר בשר</w:t>
      </w:r>
      <w:r w:rsidRPr="003024E5">
        <w:rPr>
          <w:rStyle w:val="a7"/>
          <w:rFonts w:asciiTheme="minorBidi" w:hAnsiTheme="minorBidi"/>
          <w:sz w:val="18"/>
          <w:szCs w:val="18"/>
          <w:rtl/>
        </w:rPr>
        <w:footnoteReference w:id="680"/>
      </w:r>
      <w:r w:rsidRPr="003024E5">
        <w:rPr>
          <w:rFonts w:asciiTheme="minorBidi" w:hAnsiTheme="minorBidi"/>
          <w:sz w:val="18"/>
          <w:szCs w:val="18"/>
          <w:rtl/>
        </w:rPr>
        <w:t xml:space="preserve"> (מרדכי וארוך). ויש חולקים בכרס ואומרים דמחזיקין בה דם ואפילו בדיעבד אסור בכרס ובית הכוסות כשאר בשר (מרדכי ר"ן בשם ר"ת ואו"ה).</w:t>
      </w:r>
      <w:r w:rsidRPr="003024E5">
        <w:rPr>
          <w:rFonts w:asciiTheme="minorBidi" w:hAnsiTheme="minorBidi"/>
          <w:rtl/>
        </w:rPr>
        <w:t xml:space="preserve"> אבל שומן שעליהם דינו כשאר בשר, לפיכך כשמולחים החלחולת ושאר מעיים אין מולחין אותם בצד פנימי מעבר המאכל אלא בצד החיצון ששם השומן דבוק</w:t>
      </w:r>
      <w:r w:rsidRPr="003024E5">
        <w:rPr>
          <w:rStyle w:val="a7"/>
          <w:rFonts w:asciiTheme="minorBidi" w:hAnsiTheme="minorBidi"/>
          <w:rtl/>
        </w:rPr>
        <w:footnoteReference w:id="681"/>
      </w:r>
      <w:r w:rsidRPr="003024E5">
        <w:rPr>
          <w:rFonts w:asciiTheme="minorBidi" w:hAnsiTheme="minorBidi"/>
          <w:rtl/>
        </w:rPr>
        <w:t>.</w:t>
      </w:r>
      <w:r w:rsidRPr="003024E5">
        <w:rPr>
          <w:rFonts w:asciiTheme="minorBidi" w:hAnsiTheme="minorBidi"/>
          <w:sz w:val="18"/>
          <w:szCs w:val="18"/>
          <w:rtl/>
        </w:rPr>
        <w:t xml:space="preserve"> הגה: ואם מלח החלחולת מצד פנים ולא מצד חוץ הוי כאילו לא נמלחה כלל, ואם נתבשלה כך, טריפה</w:t>
      </w:r>
      <w:r w:rsidRPr="003024E5">
        <w:rPr>
          <w:rStyle w:val="a7"/>
          <w:rFonts w:asciiTheme="minorBidi" w:hAnsiTheme="minorBidi"/>
          <w:sz w:val="18"/>
          <w:szCs w:val="18"/>
          <w:rtl/>
        </w:rPr>
        <w:footnoteReference w:id="682"/>
      </w:r>
      <w:r w:rsidRPr="003024E5">
        <w:rPr>
          <w:rFonts w:asciiTheme="minorBidi" w:hAnsiTheme="minorBidi"/>
          <w:sz w:val="18"/>
          <w:szCs w:val="18"/>
          <w:rtl/>
        </w:rPr>
        <w:t xml:space="preserve"> אם יש עליה שומן מבחוץ</w:t>
      </w:r>
      <w:r w:rsidRPr="003024E5">
        <w:rPr>
          <w:rStyle w:val="a7"/>
          <w:rFonts w:asciiTheme="minorBidi" w:hAnsiTheme="minorBidi"/>
          <w:sz w:val="18"/>
          <w:szCs w:val="18"/>
          <w:rtl/>
        </w:rPr>
        <w:footnoteReference w:id="683"/>
      </w:r>
      <w:r w:rsidRPr="003024E5">
        <w:rPr>
          <w:rFonts w:asciiTheme="minorBidi" w:hAnsiTheme="minorBidi"/>
          <w:sz w:val="18"/>
          <w:szCs w:val="18"/>
          <w:rtl/>
        </w:rPr>
        <w:t>. ואם לא נתבשלה עדיין, יחזור וימלחנה</w:t>
      </w:r>
      <w:r w:rsidRPr="003024E5">
        <w:rPr>
          <w:rStyle w:val="a7"/>
          <w:rFonts w:asciiTheme="minorBidi" w:hAnsiTheme="minorBidi"/>
          <w:sz w:val="18"/>
          <w:szCs w:val="18"/>
          <w:rtl/>
        </w:rPr>
        <w:footnoteReference w:id="684"/>
      </w:r>
      <w:r w:rsidRPr="003024E5">
        <w:rPr>
          <w:rFonts w:asciiTheme="minorBidi" w:hAnsiTheme="minorBidi"/>
          <w:sz w:val="18"/>
          <w:szCs w:val="18"/>
          <w:rtl/>
        </w:rPr>
        <w:t xml:space="preserve"> מבחוץ ומותרת</w:t>
      </w:r>
      <w:r w:rsidRPr="003024E5">
        <w:rPr>
          <w:rStyle w:val="a7"/>
          <w:rFonts w:asciiTheme="minorBidi" w:hAnsiTheme="minorBidi"/>
          <w:sz w:val="18"/>
          <w:szCs w:val="18"/>
          <w:rtl/>
        </w:rPr>
        <w:footnoteReference w:id="685"/>
      </w:r>
      <w:r w:rsidRPr="003024E5">
        <w:rPr>
          <w:rFonts w:asciiTheme="minorBidi" w:hAnsiTheme="minorBidi"/>
          <w:sz w:val="18"/>
          <w:szCs w:val="18"/>
          <w:rtl/>
        </w:rPr>
        <w:t xml:space="preserve"> (ארוך בשם הרשב"א). ביצים הנמצאים בעופות לאחר שחיטה, אם לא נגמר החלבון שלהם רק החלמון לבד צריכים מליחה כשאר בשר</w:t>
      </w:r>
      <w:r>
        <w:rPr>
          <w:rStyle w:val="a7"/>
          <w:rFonts w:asciiTheme="minorBidi" w:hAnsiTheme="minorBidi"/>
          <w:sz w:val="18"/>
          <w:szCs w:val="18"/>
          <w:rtl/>
        </w:rPr>
        <w:footnoteReference w:id="686"/>
      </w:r>
      <w:r w:rsidRPr="003024E5">
        <w:rPr>
          <w:rFonts w:asciiTheme="minorBidi" w:hAnsiTheme="minorBidi"/>
          <w:sz w:val="18"/>
          <w:szCs w:val="18"/>
          <w:rtl/>
        </w:rPr>
        <w:t xml:space="preserve"> ומותר למלחן עם בשר</w:t>
      </w:r>
      <w:r w:rsidRPr="003024E5">
        <w:rPr>
          <w:rStyle w:val="a7"/>
          <w:rFonts w:asciiTheme="minorBidi" w:hAnsiTheme="minorBidi"/>
          <w:sz w:val="18"/>
          <w:szCs w:val="18"/>
          <w:rtl/>
        </w:rPr>
        <w:footnoteReference w:id="687"/>
      </w:r>
      <w:r w:rsidRPr="003024E5">
        <w:rPr>
          <w:rFonts w:asciiTheme="minorBidi" w:hAnsiTheme="minorBidi"/>
          <w:sz w:val="18"/>
          <w:szCs w:val="18"/>
          <w:rtl/>
        </w:rPr>
        <w:t xml:space="preserve"> (ב"י סי' פז). ואם נגמר אף החלבון, אפי' הקליפה הקשה עליו כמו שהיא נמכרת בשוק, נוהגין למלחה</w:t>
      </w:r>
      <w:r>
        <w:rPr>
          <w:rStyle w:val="a7"/>
          <w:rFonts w:asciiTheme="minorBidi" w:hAnsiTheme="minorBidi"/>
          <w:sz w:val="18"/>
          <w:szCs w:val="18"/>
          <w:rtl/>
        </w:rPr>
        <w:footnoteReference w:id="688"/>
      </w:r>
      <w:r>
        <w:rPr>
          <w:rFonts w:asciiTheme="minorBidi" w:hAnsiTheme="minorBidi" w:hint="cs"/>
          <w:sz w:val="18"/>
          <w:szCs w:val="18"/>
          <w:rtl/>
        </w:rPr>
        <w:t>,</w:t>
      </w:r>
      <w:r w:rsidRPr="003024E5">
        <w:rPr>
          <w:rFonts w:asciiTheme="minorBidi" w:hAnsiTheme="minorBidi"/>
          <w:sz w:val="18"/>
          <w:szCs w:val="18"/>
          <w:rtl/>
        </w:rPr>
        <w:t xml:space="preserve"> אך יזהר שלא למלחה עם בשר (מהרא"י בהגשע"ד), מיהו בדיעבד אין לחוש</w:t>
      </w:r>
      <w:r>
        <w:rPr>
          <w:rFonts w:asciiTheme="minorBidi" w:hAnsiTheme="minorBidi" w:hint="cs"/>
          <w:sz w:val="18"/>
          <w:szCs w:val="18"/>
          <w:rtl/>
        </w:rPr>
        <w:t>.</w:t>
      </w:r>
      <w:r w:rsidRPr="003024E5">
        <w:rPr>
          <w:rFonts w:asciiTheme="minorBidi" w:hAnsiTheme="minorBidi"/>
          <w:sz w:val="18"/>
          <w:szCs w:val="18"/>
          <w:rtl/>
        </w:rPr>
        <w:t xml:space="preserve"> וכל שומן אפילו של עופות דינו כשאר בשר לענין מליחה והדחה (מרדכי).</w:t>
      </w:r>
      <w:r w:rsidRPr="003024E5">
        <w:rPr>
          <w:rFonts w:asciiTheme="minorBidi" w:hAnsiTheme="minorBidi"/>
          <w:rtl/>
        </w:rPr>
        <w:t xml:space="preserve"> </w:t>
      </w:r>
    </w:p>
    <w:p w14:paraId="30D4FAAD" w14:textId="77777777" w:rsidR="002C39F4" w:rsidRPr="003024E5" w:rsidRDefault="002C39F4" w:rsidP="002C39F4">
      <w:pPr>
        <w:rPr>
          <w:rFonts w:asciiTheme="minorBidi" w:hAnsiTheme="minorBidi"/>
          <w:rtl/>
        </w:rPr>
      </w:pPr>
    </w:p>
    <w:p w14:paraId="75A19829" w14:textId="77777777" w:rsidR="002C39F4" w:rsidRPr="003024E5" w:rsidRDefault="002C39F4" w:rsidP="002C39F4">
      <w:pPr>
        <w:pStyle w:val="2"/>
        <w:rPr>
          <w:rFonts w:asciiTheme="minorBidi" w:hAnsiTheme="minorBidi"/>
          <w:rtl/>
        </w:rPr>
      </w:pPr>
      <w:r w:rsidRPr="003024E5">
        <w:rPr>
          <w:rFonts w:asciiTheme="minorBidi" w:hAnsiTheme="minorBidi"/>
          <w:rtl/>
        </w:rPr>
        <w:t>סעיף ב: מליחת בני מעיים עם בשר.</w:t>
      </w:r>
    </w:p>
    <w:p w14:paraId="53574A84" w14:textId="77777777" w:rsidR="002C39F4" w:rsidRPr="003024E5" w:rsidRDefault="002C39F4" w:rsidP="002C39F4">
      <w:pPr>
        <w:rPr>
          <w:rFonts w:asciiTheme="minorBidi" w:hAnsiTheme="minorBidi"/>
          <w:sz w:val="16"/>
          <w:szCs w:val="16"/>
          <w:u w:val="single"/>
          <w:rtl/>
        </w:rPr>
      </w:pPr>
      <w:r w:rsidRPr="003024E5">
        <w:rPr>
          <w:rFonts w:asciiTheme="minorBidi" w:hAnsiTheme="minorBidi"/>
          <w:u w:val="single"/>
          <w:rtl/>
        </w:rPr>
        <w:t>מליחת בני מעיים ביחד עם בשר:</w:t>
      </w:r>
      <w:r w:rsidRPr="003024E5">
        <w:rPr>
          <w:rFonts w:asciiTheme="minorBidi" w:hAnsiTheme="minorBidi"/>
          <w:sz w:val="16"/>
          <w:szCs w:val="16"/>
          <w:rtl/>
        </w:rPr>
        <w:t xml:space="preserve">  (ב"י ודרכ"מ [אות ב])</w:t>
      </w:r>
    </w:p>
    <w:p w14:paraId="56D279E7" w14:textId="77777777" w:rsidR="002C39F4" w:rsidRPr="004F6953" w:rsidRDefault="002C39F4" w:rsidP="002C39F4">
      <w:pPr>
        <w:pStyle w:val="a8"/>
        <w:numPr>
          <w:ilvl w:val="0"/>
          <w:numId w:val="64"/>
        </w:numPr>
        <w:rPr>
          <w:rFonts w:asciiTheme="minorBidi" w:hAnsiTheme="minorBidi"/>
        </w:rPr>
      </w:pPr>
      <w:r w:rsidRPr="009419B8">
        <w:rPr>
          <w:rFonts w:asciiTheme="minorBidi" w:hAnsiTheme="minorBidi" w:cs="Arial"/>
          <w:rtl/>
        </w:rPr>
        <w:t>רבינו יואל הלוי</w:t>
      </w:r>
      <w:r w:rsidRPr="004F6953">
        <w:rPr>
          <w:rFonts w:asciiTheme="minorBidi" w:hAnsiTheme="minorBidi" w:cs="Arial"/>
          <w:sz w:val="16"/>
          <w:szCs w:val="16"/>
          <w:rtl/>
        </w:rPr>
        <w:t xml:space="preserve"> </w:t>
      </w:r>
      <w:r w:rsidRPr="004F6953">
        <w:rPr>
          <w:rFonts w:asciiTheme="minorBidi" w:hAnsiTheme="minorBidi" w:cs="Arial" w:hint="cs"/>
          <w:sz w:val="16"/>
          <w:szCs w:val="16"/>
          <w:rtl/>
        </w:rPr>
        <w:t>(</w:t>
      </w:r>
      <w:r w:rsidRPr="004F6953">
        <w:rPr>
          <w:rFonts w:asciiTheme="minorBidi" w:hAnsiTheme="minorBidi" w:cs="Arial"/>
          <w:sz w:val="16"/>
          <w:szCs w:val="16"/>
          <w:rtl/>
        </w:rPr>
        <w:t>א"ה סי' קצב</w:t>
      </w:r>
      <w:r>
        <w:rPr>
          <w:rFonts w:asciiTheme="minorBidi" w:hAnsiTheme="minorBidi" w:cs="Arial" w:hint="cs"/>
          <w:sz w:val="16"/>
          <w:szCs w:val="16"/>
          <w:rtl/>
        </w:rPr>
        <w:t>, כ"כ המרדכי [סי' תשכג] בשמו</w:t>
      </w:r>
      <w:r w:rsidRPr="004F6953">
        <w:rPr>
          <w:rFonts w:asciiTheme="minorBidi" w:hAnsiTheme="minorBidi" w:cs="Arial" w:hint="cs"/>
          <w:sz w:val="16"/>
          <w:szCs w:val="16"/>
          <w:rtl/>
        </w:rPr>
        <w:t>)</w:t>
      </w:r>
      <w:r w:rsidRPr="00EB42D0">
        <w:rPr>
          <w:rFonts w:asciiTheme="minorBidi" w:hAnsiTheme="minorBidi" w:cs="Arial"/>
          <w:rtl/>
        </w:rPr>
        <w:t xml:space="preserve"> </w:t>
      </w:r>
      <w:r>
        <w:rPr>
          <w:rFonts w:asciiTheme="minorBidi" w:hAnsiTheme="minorBidi" w:cs="Arial" w:hint="cs"/>
          <w:rtl/>
        </w:rPr>
        <w:t>ו</w:t>
      </w:r>
      <w:r w:rsidRPr="009419B8">
        <w:rPr>
          <w:rFonts w:asciiTheme="minorBidi" w:hAnsiTheme="minorBidi" w:cs="Arial"/>
          <w:rtl/>
        </w:rPr>
        <w:t>רבינו שמואל</w:t>
      </w:r>
      <w:r>
        <w:rPr>
          <w:rFonts w:asciiTheme="minorBidi" w:hAnsiTheme="minorBidi" w:cs="Arial" w:hint="cs"/>
          <w:sz w:val="16"/>
          <w:szCs w:val="16"/>
          <w:rtl/>
        </w:rPr>
        <w:t xml:space="preserve"> (כ"כ המרדכי בשמו)</w:t>
      </w:r>
      <w:r>
        <w:rPr>
          <w:rFonts w:asciiTheme="minorBidi" w:hAnsiTheme="minorBidi" w:cs="Arial" w:hint="cs"/>
          <w:rtl/>
        </w:rPr>
        <w:t xml:space="preserve">- </w:t>
      </w:r>
      <w:r w:rsidRPr="00EC5EB4">
        <w:rPr>
          <w:rFonts w:asciiTheme="minorBidi" w:hAnsiTheme="minorBidi" w:cs="Arial"/>
          <w:rtl/>
        </w:rPr>
        <w:t>אס</w:t>
      </w:r>
      <w:r>
        <w:rPr>
          <w:rFonts w:asciiTheme="minorBidi" w:hAnsiTheme="minorBidi" w:cs="Arial" w:hint="cs"/>
          <w:rtl/>
        </w:rPr>
        <w:t>ו</w:t>
      </w:r>
      <w:r w:rsidRPr="00EC5EB4">
        <w:rPr>
          <w:rFonts w:asciiTheme="minorBidi" w:hAnsiTheme="minorBidi" w:cs="Arial"/>
          <w:rtl/>
        </w:rPr>
        <w:t>ר</w:t>
      </w:r>
      <w:r>
        <w:rPr>
          <w:rFonts w:asciiTheme="minorBidi" w:hAnsiTheme="minorBidi" w:cs="Arial" w:hint="cs"/>
          <w:rtl/>
        </w:rPr>
        <w:t>,</w:t>
      </w:r>
      <w:r w:rsidRPr="00EC5EB4">
        <w:rPr>
          <w:rFonts w:asciiTheme="minorBidi" w:hAnsiTheme="minorBidi" w:cs="Arial"/>
          <w:rtl/>
        </w:rPr>
        <w:t xml:space="preserve"> ואם עבר ומלח אסורין</w:t>
      </w:r>
      <w:r>
        <w:rPr>
          <w:rFonts w:asciiTheme="minorBidi" w:hAnsiTheme="minorBidi" w:cs="Arial" w:hint="cs"/>
          <w:rtl/>
        </w:rPr>
        <w:t>,</w:t>
      </w:r>
      <w:r w:rsidRPr="00EC5EB4">
        <w:rPr>
          <w:rFonts w:asciiTheme="minorBidi" w:hAnsiTheme="minorBidi" w:cs="Arial"/>
          <w:rtl/>
        </w:rPr>
        <w:t xml:space="preserve"> דכיון דאין מחזיקין בהם דם ואינן פולטין כשפולט הבשר בולעין הן וכדרך שאמרו בעופות ודגים שמלחן </w:t>
      </w:r>
      <w:r>
        <w:rPr>
          <w:rFonts w:asciiTheme="minorBidi" w:hAnsiTheme="minorBidi" w:cs="Arial" w:hint="cs"/>
          <w:rtl/>
        </w:rPr>
        <w:t>ז</w:t>
      </w:r>
      <w:r w:rsidRPr="00EC5EB4">
        <w:rPr>
          <w:rFonts w:asciiTheme="minorBidi" w:hAnsiTheme="minorBidi" w:cs="Arial"/>
          <w:rtl/>
        </w:rPr>
        <w:t>ע</w:t>
      </w:r>
      <w:r>
        <w:rPr>
          <w:rFonts w:asciiTheme="minorBidi" w:hAnsiTheme="minorBidi" w:cs="Arial" w:hint="cs"/>
          <w:rtl/>
        </w:rPr>
        <w:t>"</w:t>
      </w:r>
      <w:r w:rsidRPr="00EC5EB4">
        <w:rPr>
          <w:rFonts w:asciiTheme="minorBidi" w:hAnsiTheme="minorBidi" w:cs="Arial"/>
          <w:rtl/>
        </w:rPr>
        <w:t>ז.</w:t>
      </w:r>
    </w:p>
    <w:p w14:paraId="639B657D" w14:textId="77777777" w:rsidR="002C39F4" w:rsidRPr="003024E5" w:rsidRDefault="002C39F4" w:rsidP="002C39F4">
      <w:pPr>
        <w:pStyle w:val="a8"/>
        <w:numPr>
          <w:ilvl w:val="0"/>
          <w:numId w:val="64"/>
        </w:numPr>
        <w:rPr>
          <w:rFonts w:asciiTheme="minorBidi" w:hAnsiTheme="minorBidi"/>
        </w:rPr>
      </w:pPr>
      <w:r w:rsidRPr="003024E5">
        <w:rPr>
          <w:rFonts w:asciiTheme="minorBidi" w:hAnsiTheme="minorBidi"/>
          <w:rtl/>
        </w:rPr>
        <w:t>רבנו שמואל</w:t>
      </w:r>
      <w:r w:rsidRPr="003024E5">
        <w:rPr>
          <w:rStyle w:val="a7"/>
          <w:rFonts w:asciiTheme="minorBidi" w:hAnsiTheme="minorBidi"/>
          <w:rtl/>
        </w:rPr>
        <w:footnoteReference w:id="689"/>
      </w:r>
      <w:r w:rsidRPr="003024E5">
        <w:rPr>
          <w:rFonts w:asciiTheme="minorBidi" w:hAnsiTheme="minorBidi"/>
          <w:sz w:val="16"/>
          <w:szCs w:val="16"/>
          <w:rtl/>
        </w:rPr>
        <w:t xml:space="preserve"> </w:t>
      </w:r>
      <w:r w:rsidRPr="003024E5">
        <w:rPr>
          <w:rFonts w:asciiTheme="minorBidi" w:hAnsiTheme="minorBidi"/>
          <w:rtl/>
        </w:rPr>
        <w:t>ור"י בר"י בשם ר"י ב"ש</w:t>
      </w:r>
      <w:r w:rsidRPr="003024E5">
        <w:rPr>
          <w:rStyle w:val="a7"/>
          <w:rFonts w:asciiTheme="minorBidi" w:hAnsiTheme="minorBidi"/>
          <w:rtl/>
        </w:rPr>
        <w:footnoteReference w:id="690"/>
      </w:r>
      <w:r w:rsidRPr="003024E5">
        <w:rPr>
          <w:rFonts w:asciiTheme="minorBidi" w:hAnsiTheme="minorBidi"/>
          <w:rtl/>
        </w:rPr>
        <w:t>- טבחייא וקיבה ובני מעים העגולים אין למולחם עם שאר בשר דכיון שלא הורגלו בדם אינם רגילים לפלוט ומה שבלעו לא יפלוטו ע"י מליחה ומ"מ נהגו למולחם לבד</w:t>
      </w:r>
      <w:r w:rsidRPr="003024E5">
        <w:rPr>
          <w:rStyle w:val="a7"/>
          <w:rFonts w:asciiTheme="minorBidi" w:hAnsiTheme="minorBidi"/>
          <w:rtl/>
        </w:rPr>
        <w:footnoteReference w:id="691"/>
      </w:r>
      <w:r w:rsidRPr="003024E5">
        <w:rPr>
          <w:rFonts w:asciiTheme="minorBidi" w:hAnsiTheme="minorBidi"/>
          <w:rtl/>
        </w:rPr>
        <w:t xml:space="preserve">. </w:t>
      </w:r>
    </w:p>
    <w:p w14:paraId="5B914CB1" w14:textId="77777777" w:rsidR="002C39F4" w:rsidRPr="003024E5" w:rsidRDefault="002C39F4" w:rsidP="002C39F4">
      <w:pPr>
        <w:pStyle w:val="a8"/>
        <w:numPr>
          <w:ilvl w:val="0"/>
          <w:numId w:val="64"/>
        </w:numPr>
        <w:rPr>
          <w:rFonts w:asciiTheme="minorBidi" w:hAnsiTheme="minorBidi"/>
          <w:rtl/>
        </w:rPr>
      </w:pPr>
      <w:r w:rsidRPr="003024E5">
        <w:rPr>
          <w:rFonts w:asciiTheme="minorBidi" w:hAnsiTheme="minorBidi"/>
          <w:rtl/>
        </w:rPr>
        <w:t>ר"י תוס' סה"ת מרדכי רשב"א רא"ש ור"ן</w:t>
      </w:r>
      <w:r w:rsidRPr="003024E5">
        <w:rPr>
          <w:rStyle w:val="a7"/>
          <w:rFonts w:asciiTheme="minorBidi" w:hAnsiTheme="minorBidi"/>
          <w:rtl/>
        </w:rPr>
        <w:footnoteReference w:id="692"/>
      </w:r>
      <w:r w:rsidRPr="003024E5">
        <w:rPr>
          <w:rFonts w:asciiTheme="minorBidi" w:hAnsiTheme="minorBidi"/>
          <w:rtl/>
        </w:rPr>
        <w:t xml:space="preserve">- </w:t>
      </w:r>
      <w:r w:rsidRPr="00EC5EB4">
        <w:rPr>
          <w:rFonts w:asciiTheme="minorBidi" w:hAnsiTheme="minorBidi" w:cs="Arial"/>
          <w:rtl/>
        </w:rPr>
        <w:t>מותרין הן</w:t>
      </w:r>
      <w:r>
        <w:rPr>
          <w:rStyle w:val="a7"/>
          <w:rFonts w:asciiTheme="minorBidi" w:hAnsiTheme="minorBidi" w:cs="Arial"/>
          <w:rtl/>
        </w:rPr>
        <w:footnoteReference w:id="693"/>
      </w:r>
      <w:r>
        <w:rPr>
          <w:rFonts w:asciiTheme="minorBidi" w:hAnsiTheme="minorBidi" w:cs="Arial" w:hint="cs"/>
          <w:rtl/>
        </w:rPr>
        <w:t>..</w:t>
      </w:r>
      <w:r w:rsidRPr="00EC5EB4">
        <w:rPr>
          <w:rFonts w:asciiTheme="minorBidi" w:hAnsiTheme="minorBidi" w:cs="Arial"/>
          <w:rtl/>
        </w:rPr>
        <w:t>. ומעשים בכל יום ומולחין אותם עם בשר ואין נמנעין ומנהגן של ישראל תורה היא</w:t>
      </w:r>
      <w:r>
        <w:rPr>
          <w:rFonts w:asciiTheme="minorBidi" w:hAnsiTheme="minorBidi" w:cs="Arial" w:hint="cs"/>
          <w:sz w:val="16"/>
          <w:szCs w:val="16"/>
          <w:rtl/>
        </w:rPr>
        <w:t xml:space="preserve"> (ל' הרשב"א)</w:t>
      </w:r>
      <w:r w:rsidRPr="00EC5EB4">
        <w:rPr>
          <w:rFonts w:asciiTheme="minorBidi" w:hAnsiTheme="minorBidi" w:cs="Arial"/>
          <w:rtl/>
        </w:rPr>
        <w:t>.</w:t>
      </w:r>
      <w:r w:rsidRPr="003024E5">
        <w:rPr>
          <w:rFonts w:asciiTheme="minorBidi" w:hAnsiTheme="minorBidi"/>
          <w:color w:val="E36C0A" w:themeColor="accent6" w:themeShade="BF"/>
          <w:rtl/>
        </w:rPr>
        <w:t xml:space="preserve"> (וכ"פ בשו"ע)</w:t>
      </w:r>
      <w:r>
        <w:rPr>
          <w:rFonts w:asciiTheme="minorBidi" w:hAnsiTheme="minorBidi" w:hint="cs"/>
          <w:rtl/>
        </w:rPr>
        <w:t xml:space="preserve"> (וכ"פ רש"ל</w:t>
      </w:r>
      <w:r w:rsidRPr="00F61627">
        <w:rPr>
          <w:rFonts w:asciiTheme="minorBidi" w:hAnsiTheme="minorBidi" w:hint="cs"/>
          <w:rtl/>
        </w:rPr>
        <w:t xml:space="preserve"> </w:t>
      </w:r>
      <w:r w:rsidRPr="00976E60">
        <w:rPr>
          <w:rFonts w:asciiTheme="minorBidi" w:hAnsiTheme="minorBidi" w:hint="cs"/>
          <w:sz w:val="16"/>
          <w:szCs w:val="16"/>
          <w:rtl/>
        </w:rPr>
        <w:t>[פכ"ה סי' צה, הביאו הט"ז סק"ז]</w:t>
      </w:r>
      <w:r>
        <w:rPr>
          <w:rFonts w:asciiTheme="minorBidi" w:hAnsiTheme="minorBidi" w:hint="cs"/>
          <w:rtl/>
        </w:rPr>
        <w:t>)</w:t>
      </w:r>
    </w:p>
    <w:p w14:paraId="70380BCC" w14:textId="77777777" w:rsidR="002C39F4" w:rsidRPr="00976E60" w:rsidRDefault="002C39F4" w:rsidP="002C39F4">
      <w:pPr>
        <w:pStyle w:val="a8"/>
        <w:numPr>
          <w:ilvl w:val="0"/>
          <w:numId w:val="64"/>
        </w:numPr>
        <w:rPr>
          <w:rFonts w:asciiTheme="minorBidi" w:hAnsiTheme="minorBidi"/>
        </w:rPr>
      </w:pPr>
      <w:r>
        <w:rPr>
          <w:rFonts w:asciiTheme="minorBidi" w:hAnsiTheme="minorBidi"/>
          <w:rtl/>
        </w:rPr>
        <w:t>או"ה</w:t>
      </w:r>
      <w:r w:rsidRPr="003024E5">
        <w:rPr>
          <w:rFonts w:asciiTheme="minorBidi" w:hAnsiTheme="minorBidi"/>
          <w:sz w:val="14"/>
          <w:szCs w:val="14"/>
          <w:rtl/>
        </w:rPr>
        <w:t xml:space="preserve"> </w:t>
      </w:r>
      <w:r w:rsidRPr="003024E5">
        <w:rPr>
          <w:rFonts w:asciiTheme="minorBidi" w:hAnsiTheme="minorBidi"/>
          <w:sz w:val="16"/>
          <w:szCs w:val="16"/>
          <w:rtl/>
        </w:rPr>
        <w:t>(כלל א דין יב)</w:t>
      </w:r>
      <w:r w:rsidRPr="003024E5">
        <w:rPr>
          <w:rFonts w:asciiTheme="minorBidi" w:hAnsiTheme="minorBidi"/>
          <w:rtl/>
        </w:rPr>
        <w:t>- אין למלחן לכתחלה עם בשר, אמנם בדיע' מותר</w:t>
      </w:r>
      <w:r w:rsidRPr="003024E5">
        <w:rPr>
          <w:rStyle w:val="a7"/>
          <w:rFonts w:asciiTheme="minorBidi" w:hAnsiTheme="minorBidi"/>
          <w:rtl/>
        </w:rPr>
        <w:footnoteReference w:id="694"/>
      </w:r>
      <w:r w:rsidRPr="003024E5">
        <w:rPr>
          <w:rFonts w:asciiTheme="minorBidi" w:hAnsiTheme="minorBidi"/>
          <w:rtl/>
        </w:rPr>
        <w:t xml:space="preserve">. </w:t>
      </w:r>
      <w:r w:rsidRPr="003024E5">
        <w:rPr>
          <w:rFonts w:asciiTheme="minorBidi" w:hAnsiTheme="minorBidi"/>
          <w:color w:val="00B0F0"/>
          <w:rtl/>
        </w:rPr>
        <w:t>(וכ"פ הרמ"א)</w:t>
      </w:r>
    </w:p>
    <w:p w14:paraId="312987B9" w14:textId="77777777" w:rsidR="002C39F4" w:rsidRPr="003B5753" w:rsidRDefault="002C39F4" w:rsidP="002C39F4">
      <w:pPr>
        <w:rPr>
          <w:rFonts w:asciiTheme="minorBidi" w:hAnsiTheme="minorBidi"/>
          <w:sz w:val="14"/>
          <w:szCs w:val="14"/>
        </w:rPr>
      </w:pPr>
      <w:r w:rsidRPr="003B5753">
        <w:rPr>
          <w:rFonts w:asciiTheme="minorBidi" w:hAnsiTheme="minorBidi" w:hint="cs"/>
          <w:u w:val="single"/>
          <w:rtl/>
        </w:rPr>
        <w:t>מליחת כבד עם בני מעיים:</w:t>
      </w:r>
      <w:r>
        <w:rPr>
          <w:rFonts w:asciiTheme="minorBidi" w:hAnsiTheme="minorBidi" w:hint="cs"/>
          <w:sz w:val="14"/>
          <w:szCs w:val="14"/>
          <w:rtl/>
        </w:rPr>
        <w:t xml:space="preserve">  </w:t>
      </w:r>
      <w:r w:rsidRPr="003B5753">
        <w:rPr>
          <w:rFonts w:asciiTheme="minorBidi" w:hAnsiTheme="minorBidi" w:hint="cs"/>
          <w:sz w:val="16"/>
          <w:szCs w:val="16"/>
          <w:rtl/>
        </w:rPr>
        <w:t xml:space="preserve">(פת"ש </w:t>
      </w:r>
      <w:r>
        <w:rPr>
          <w:rFonts w:asciiTheme="minorBidi" w:hAnsiTheme="minorBidi" w:hint="cs"/>
          <w:sz w:val="16"/>
          <w:szCs w:val="16"/>
          <w:rtl/>
        </w:rPr>
        <w:t xml:space="preserve">סי' עג </w:t>
      </w:r>
      <w:r w:rsidRPr="003B5753">
        <w:rPr>
          <w:rFonts w:asciiTheme="minorBidi" w:hAnsiTheme="minorBidi" w:hint="cs"/>
          <w:sz w:val="16"/>
          <w:szCs w:val="16"/>
          <w:rtl/>
        </w:rPr>
        <w:t>סק"ה)</w:t>
      </w:r>
    </w:p>
    <w:p w14:paraId="21488C5D" w14:textId="77777777" w:rsidR="002C39F4" w:rsidRPr="003024E5" w:rsidRDefault="002C39F4" w:rsidP="002C39F4">
      <w:pPr>
        <w:pStyle w:val="a8"/>
        <w:numPr>
          <w:ilvl w:val="0"/>
          <w:numId w:val="64"/>
        </w:numPr>
        <w:rPr>
          <w:rFonts w:asciiTheme="minorBidi" w:hAnsiTheme="minorBidi"/>
          <w:rtl/>
        </w:rPr>
      </w:pPr>
      <w:r w:rsidRPr="003B5753">
        <w:rPr>
          <w:rFonts w:asciiTheme="minorBidi" w:hAnsiTheme="minorBidi" w:cs="Arial"/>
          <w:rtl/>
        </w:rPr>
        <w:t xml:space="preserve">רדב"ז </w:t>
      </w:r>
      <w:r w:rsidRPr="003B5753">
        <w:rPr>
          <w:rFonts w:asciiTheme="minorBidi" w:hAnsiTheme="minorBidi" w:cs="Arial" w:hint="cs"/>
          <w:sz w:val="16"/>
          <w:szCs w:val="16"/>
          <w:rtl/>
        </w:rPr>
        <w:t>(</w:t>
      </w:r>
      <w:r w:rsidRPr="003B5753">
        <w:rPr>
          <w:rFonts w:asciiTheme="minorBidi" w:hAnsiTheme="minorBidi" w:cs="Arial"/>
          <w:sz w:val="16"/>
          <w:szCs w:val="16"/>
          <w:rtl/>
        </w:rPr>
        <w:t>ח"ב סי</w:t>
      </w:r>
      <w:r w:rsidRPr="003B5753">
        <w:rPr>
          <w:rFonts w:asciiTheme="minorBidi" w:hAnsiTheme="minorBidi" w:cs="Arial" w:hint="cs"/>
          <w:sz w:val="16"/>
          <w:szCs w:val="16"/>
          <w:rtl/>
        </w:rPr>
        <w:t xml:space="preserve">' </w:t>
      </w:r>
      <w:r w:rsidRPr="003B5753">
        <w:rPr>
          <w:rFonts w:asciiTheme="minorBidi" w:hAnsiTheme="minorBidi" w:cs="Arial"/>
          <w:sz w:val="16"/>
          <w:szCs w:val="16"/>
          <w:rtl/>
        </w:rPr>
        <w:t>תרפט)</w:t>
      </w:r>
      <w:r>
        <w:rPr>
          <w:rFonts w:asciiTheme="minorBidi" w:hAnsiTheme="minorBidi" w:cs="Arial" w:hint="cs"/>
          <w:rtl/>
        </w:rPr>
        <w:t>-</w:t>
      </w:r>
      <w:r w:rsidRPr="003B5753">
        <w:rPr>
          <w:rFonts w:asciiTheme="minorBidi" w:hAnsiTheme="minorBidi" w:cs="Arial"/>
          <w:rtl/>
        </w:rPr>
        <w:t xml:space="preserve"> כבד שנמלח עם בני מעים דאיכא תרתי לריעותא חדא דכבד מרובה בדמים ותו דאין מחזיקין דם בבני מעיים יש לחוש ולאסור הבני מעיים</w:t>
      </w:r>
      <w:r>
        <w:rPr>
          <w:rFonts w:asciiTheme="minorBidi" w:hAnsiTheme="minorBidi" w:cs="Arial" w:hint="cs"/>
          <w:rtl/>
        </w:rPr>
        <w:t>.</w:t>
      </w:r>
    </w:p>
    <w:p w14:paraId="773DA28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291E21A" w14:textId="77777777" w:rsidR="002C39F4" w:rsidRPr="003024E5" w:rsidRDefault="002C39F4" w:rsidP="002C39F4">
      <w:pPr>
        <w:rPr>
          <w:rFonts w:asciiTheme="minorBidi" w:hAnsiTheme="minorBidi"/>
          <w:rtl/>
        </w:rPr>
      </w:pPr>
      <w:r w:rsidRPr="003024E5">
        <w:rPr>
          <w:rFonts w:asciiTheme="minorBidi" w:hAnsiTheme="minorBidi"/>
          <w:rtl/>
        </w:rPr>
        <w:t>בני מעיים בלא שומן שעליהם, אף על פי שאין מחזיקים בהם דם, מותר למלחם עם בשר</w:t>
      </w:r>
      <w:r w:rsidRPr="003024E5">
        <w:rPr>
          <w:rStyle w:val="a7"/>
          <w:rFonts w:asciiTheme="minorBidi" w:hAnsiTheme="minorBidi"/>
          <w:rtl/>
        </w:rPr>
        <w:footnoteReference w:id="695"/>
      </w:r>
      <w:r w:rsidRPr="003024E5">
        <w:rPr>
          <w:rFonts w:asciiTheme="minorBidi" w:hAnsiTheme="minorBidi"/>
          <w:rtl/>
        </w:rPr>
        <w:t xml:space="preserve">. </w:t>
      </w:r>
      <w:r w:rsidRPr="003024E5">
        <w:rPr>
          <w:rFonts w:asciiTheme="minorBidi" w:hAnsiTheme="minorBidi"/>
          <w:sz w:val="18"/>
          <w:szCs w:val="18"/>
          <w:rtl/>
        </w:rPr>
        <w:t>הגה: ויש אוסרים למלחם עם בשר (טור בשם י"א), והכי נוהגין לכתחלה, ובדיעבד מותר (או"ה).</w:t>
      </w:r>
      <w:r w:rsidRPr="003024E5">
        <w:rPr>
          <w:rFonts w:asciiTheme="minorBidi" w:hAnsiTheme="minorBidi"/>
          <w:rtl/>
        </w:rPr>
        <w:t xml:space="preserve"> </w:t>
      </w:r>
    </w:p>
    <w:p w14:paraId="019BC210" w14:textId="77777777" w:rsidR="002C39F4" w:rsidRDefault="002C39F4" w:rsidP="002C39F4">
      <w:pPr>
        <w:rPr>
          <w:rFonts w:asciiTheme="minorBidi" w:hAnsiTheme="minorBidi" w:cs="Arial"/>
          <w:rtl/>
        </w:rPr>
      </w:pPr>
      <w:r w:rsidRPr="00D10695">
        <w:rPr>
          <w:rFonts w:asciiTheme="minorBidi" w:hAnsiTheme="minorBidi" w:hint="cs"/>
          <w:u w:val="single"/>
          <w:rtl/>
        </w:rPr>
        <w:t>עוף שנמלח עם הזפק שבו ונתבשל:</w:t>
      </w:r>
      <w:r>
        <w:rPr>
          <w:rFonts w:asciiTheme="minorBidi" w:hAnsiTheme="minorBidi" w:cs="Arial" w:hint="cs"/>
          <w:rtl/>
        </w:rPr>
        <w:t xml:space="preserve">   </w:t>
      </w:r>
      <w:r w:rsidRPr="00D10695">
        <w:rPr>
          <w:rFonts w:asciiTheme="minorBidi" w:hAnsiTheme="minorBidi" w:cs="Arial"/>
          <w:sz w:val="16"/>
          <w:szCs w:val="16"/>
          <w:rtl/>
        </w:rPr>
        <w:t>(</w:t>
      </w:r>
      <w:r w:rsidRPr="00D10695">
        <w:rPr>
          <w:rFonts w:asciiTheme="minorBidi" w:hAnsiTheme="minorBidi" w:cs="Arial" w:hint="cs"/>
          <w:sz w:val="16"/>
          <w:szCs w:val="16"/>
          <w:rtl/>
        </w:rPr>
        <w:t>פת"ש סק"</w:t>
      </w:r>
      <w:r w:rsidRPr="00D10695">
        <w:rPr>
          <w:rFonts w:asciiTheme="minorBidi" w:hAnsiTheme="minorBidi" w:cs="Arial"/>
          <w:sz w:val="16"/>
          <w:szCs w:val="16"/>
          <w:rtl/>
        </w:rPr>
        <w:t>ד)</w:t>
      </w:r>
      <w:r w:rsidRPr="00D10695">
        <w:rPr>
          <w:rFonts w:asciiTheme="minorBidi" w:hAnsiTheme="minorBidi" w:cs="Arial"/>
          <w:rtl/>
        </w:rPr>
        <w:t xml:space="preserve"> </w:t>
      </w:r>
    </w:p>
    <w:p w14:paraId="4F707F48" w14:textId="77777777" w:rsidR="002C39F4" w:rsidRPr="00D10695" w:rsidRDefault="002C39F4" w:rsidP="002C39F4">
      <w:pPr>
        <w:pStyle w:val="a8"/>
        <w:numPr>
          <w:ilvl w:val="0"/>
          <w:numId w:val="97"/>
        </w:numPr>
        <w:rPr>
          <w:rFonts w:asciiTheme="minorBidi" w:hAnsiTheme="minorBidi"/>
          <w:u w:val="single"/>
        </w:rPr>
      </w:pPr>
      <w:r w:rsidRPr="00D10695">
        <w:rPr>
          <w:rFonts w:asciiTheme="minorBidi" w:hAnsiTheme="minorBidi" w:cs="Arial"/>
          <w:rtl/>
        </w:rPr>
        <w:t xml:space="preserve">מנחת יעקב </w:t>
      </w:r>
      <w:r w:rsidRPr="00D10695">
        <w:rPr>
          <w:rFonts w:asciiTheme="minorBidi" w:hAnsiTheme="minorBidi" w:cs="Arial" w:hint="cs"/>
          <w:sz w:val="16"/>
          <w:szCs w:val="16"/>
          <w:rtl/>
        </w:rPr>
        <w:t>(</w:t>
      </w:r>
      <w:r w:rsidRPr="00D10695">
        <w:rPr>
          <w:rFonts w:asciiTheme="minorBidi" w:hAnsiTheme="minorBidi" w:cs="Arial"/>
          <w:sz w:val="16"/>
          <w:szCs w:val="16"/>
          <w:rtl/>
        </w:rPr>
        <w:t>כלל טו סק</w:t>
      </w:r>
      <w:r w:rsidRPr="00D10695">
        <w:rPr>
          <w:rFonts w:asciiTheme="minorBidi" w:hAnsiTheme="minorBidi" w:cs="Arial" w:hint="cs"/>
          <w:sz w:val="16"/>
          <w:szCs w:val="16"/>
          <w:rtl/>
        </w:rPr>
        <w:t>"</w:t>
      </w:r>
      <w:r w:rsidRPr="00D10695">
        <w:rPr>
          <w:rFonts w:asciiTheme="minorBidi" w:hAnsiTheme="minorBidi" w:cs="Arial"/>
          <w:sz w:val="16"/>
          <w:szCs w:val="16"/>
          <w:rtl/>
        </w:rPr>
        <w:t>ט</w:t>
      </w:r>
      <w:r w:rsidRPr="00D10695">
        <w:rPr>
          <w:rFonts w:asciiTheme="minorBidi" w:hAnsiTheme="minorBidi" w:cs="Arial" w:hint="cs"/>
          <w:sz w:val="16"/>
          <w:szCs w:val="16"/>
          <w:rtl/>
        </w:rPr>
        <w:t>)</w:t>
      </w:r>
      <w:r w:rsidRPr="00D10695">
        <w:rPr>
          <w:rFonts w:asciiTheme="minorBidi" w:hAnsiTheme="minorBidi" w:cs="Arial"/>
          <w:sz w:val="16"/>
          <w:szCs w:val="16"/>
          <w:rtl/>
        </w:rPr>
        <w:t xml:space="preserve"> </w:t>
      </w:r>
      <w:r w:rsidRPr="00D10695">
        <w:rPr>
          <w:rFonts w:asciiTheme="minorBidi" w:hAnsiTheme="minorBidi" w:cs="Arial"/>
          <w:rtl/>
        </w:rPr>
        <w:t>בשם מהר"ש</w:t>
      </w:r>
      <w:r>
        <w:rPr>
          <w:rFonts w:asciiTheme="minorBidi" w:hAnsiTheme="minorBidi" w:cs="Arial" w:hint="cs"/>
          <w:rtl/>
        </w:rPr>
        <w:t>-</w:t>
      </w:r>
      <w:r w:rsidRPr="00D10695">
        <w:rPr>
          <w:rFonts w:asciiTheme="minorBidi" w:hAnsiTheme="minorBidi" w:cs="Arial"/>
          <w:rtl/>
        </w:rPr>
        <w:t xml:space="preserve"> עוף שנמלח עם זפק ונתבשל</w:t>
      </w:r>
      <w:r>
        <w:rPr>
          <w:rFonts w:asciiTheme="minorBidi" w:hAnsiTheme="minorBidi" w:cs="Arial" w:hint="cs"/>
          <w:rtl/>
        </w:rPr>
        <w:t xml:space="preserve"> הוי </w:t>
      </w:r>
      <w:r w:rsidRPr="00D10695">
        <w:rPr>
          <w:rFonts w:asciiTheme="minorBidi" w:hAnsiTheme="minorBidi" w:cs="Arial"/>
          <w:rtl/>
        </w:rPr>
        <w:t>טריפה עד שיהיה ס' נגד המאכל שבזפק</w:t>
      </w:r>
      <w:r>
        <w:rPr>
          <w:rFonts w:asciiTheme="minorBidi" w:hAnsiTheme="minorBidi" w:cs="Arial" w:hint="cs"/>
          <w:rtl/>
        </w:rPr>
        <w:t>,</w:t>
      </w:r>
      <w:r w:rsidRPr="00D10695">
        <w:rPr>
          <w:rFonts w:asciiTheme="minorBidi" w:hAnsiTheme="minorBidi" w:cs="Arial"/>
          <w:rtl/>
        </w:rPr>
        <w:t xml:space="preserve"> מטעם דהמאכל בלע דם במליחה ואין לו לפלוט דם של עצמו ולא פלט דם שבלע</w:t>
      </w:r>
      <w:r>
        <w:rPr>
          <w:rFonts w:asciiTheme="minorBidi" w:hAnsiTheme="minorBidi" w:cs="Arial" w:hint="cs"/>
          <w:rtl/>
        </w:rPr>
        <w:t>.</w:t>
      </w:r>
      <w:r w:rsidRPr="00D10695">
        <w:rPr>
          <w:rFonts w:asciiTheme="minorBidi" w:hAnsiTheme="minorBidi" w:cs="Arial"/>
          <w:rtl/>
        </w:rPr>
        <w:t xml:space="preserve"> </w:t>
      </w:r>
    </w:p>
    <w:p w14:paraId="29CFD216" w14:textId="77777777" w:rsidR="002C39F4" w:rsidRDefault="002C39F4" w:rsidP="002C39F4">
      <w:pPr>
        <w:pStyle w:val="a8"/>
        <w:numPr>
          <w:ilvl w:val="0"/>
          <w:numId w:val="97"/>
        </w:numPr>
        <w:rPr>
          <w:rFonts w:asciiTheme="minorBidi" w:hAnsiTheme="minorBidi"/>
          <w:u w:val="single"/>
        </w:rPr>
      </w:pPr>
      <w:r w:rsidRPr="00D10695">
        <w:rPr>
          <w:rFonts w:asciiTheme="minorBidi" w:hAnsiTheme="minorBidi" w:cs="Arial"/>
          <w:rtl/>
        </w:rPr>
        <w:t>כנסת יחזקאל</w:t>
      </w:r>
      <w:r w:rsidRPr="00D10695">
        <w:rPr>
          <w:rFonts w:asciiTheme="minorBidi" w:hAnsiTheme="minorBidi" w:cs="Arial"/>
          <w:sz w:val="16"/>
          <w:szCs w:val="16"/>
          <w:rtl/>
        </w:rPr>
        <w:t xml:space="preserve"> </w:t>
      </w:r>
      <w:r w:rsidRPr="00D10695">
        <w:rPr>
          <w:rFonts w:asciiTheme="minorBidi" w:hAnsiTheme="minorBidi" w:cs="Arial" w:hint="cs"/>
          <w:sz w:val="16"/>
          <w:szCs w:val="16"/>
          <w:rtl/>
        </w:rPr>
        <w:t>(</w:t>
      </w:r>
      <w:r w:rsidRPr="00D10695">
        <w:rPr>
          <w:rFonts w:asciiTheme="minorBidi" w:hAnsiTheme="minorBidi" w:cs="Arial"/>
          <w:sz w:val="16"/>
          <w:szCs w:val="16"/>
          <w:rtl/>
        </w:rPr>
        <w:t>סי' כח</w:t>
      </w:r>
      <w:r w:rsidRPr="00D10695">
        <w:rPr>
          <w:rFonts w:asciiTheme="minorBidi" w:hAnsiTheme="minorBidi" w:cs="Arial" w:hint="cs"/>
          <w:sz w:val="16"/>
          <w:szCs w:val="16"/>
          <w:rtl/>
        </w:rPr>
        <w:t>)</w:t>
      </w:r>
      <w:r>
        <w:rPr>
          <w:rFonts w:asciiTheme="minorBidi" w:hAnsiTheme="minorBidi" w:cs="Arial" w:hint="cs"/>
          <w:rtl/>
        </w:rPr>
        <w:t>-</w:t>
      </w:r>
      <w:r w:rsidRPr="00D10695">
        <w:rPr>
          <w:rFonts w:asciiTheme="minorBidi" w:hAnsiTheme="minorBidi" w:cs="Arial"/>
          <w:rtl/>
        </w:rPr>
        <w:t xml:space="preserve"> שרי</w:t>
      </w:r>
      <w:r>
        <w:rPr>
          <w:rFonts w:asciiTheme="minorBidi" w:hAnsiTheme="minorBidi" w:cs="Arial" w:hint="cs"/>
          <w:rtl/>
        </w:rPr>
        <w:t xml:space="preserve">, </w:t>
      </w:r>
      <w:r w:rsidRPr="00D10695">
        <w:rPr>
          <w:rFonts w:asciiTheme="minorBidi" w:hAnsiTheme="minorBidi" w:cs="Arial"/>
          <w:rtl/>
        </w:rPr>
        <w:t>דאמרינן קרמא מפסיק וכמו בכוליא שצלאו בחלבו</w:t>
      </w:r>
      <w:r>
        <w:rPr>
          <w:rStyle w:val="a7"/>
          <w:rFonts w:asciiTheme="minorBidi" w:hAnsiTheme="minorBidi" w:cs="Arial"/>
          <w:rtl/>
        </w:rPr>
        <w:footnoteReference w:id="696"/>
      </w:r>
      <w:r>
        <w:rPr>
          <w:rFonts w:asciiTheme="minorBidi" w:hAnsiTheme="minorBidi" w:cs="Arial" w:hint="cs"/>
          <w:rtl/>
        </w:rPr>
        <w:t>.</w:t>
      </w:r>
      <w:r w:rsidRPr="00D10695">
        <w:rPr>
          <w:rFonts w:asciiTheme="minorBidi" w:hAnsiTheme="minorBidi" w:cs="Arial"/>
          <w:rtl/>
        </w:rPr>
        <w:t xml:space="preserve"> </w:t>
      </w:r>
    </w:p>
    <w:p w14:paraId="24BB6EA2" w14:textId="77777777" w:rsidR="002C39F4" w:rsidRPr="00D10695" w:rsidRDefault="002C39F4" w:rsidP="002C39F4">
      <w:pPr>
        <w:rPr>
          <w:rFonts w:asciiTheme="minorBidi" w:hAnsiTheme="minorBidi"/>
          <w:u w:val="single"/>
          <w:rtl/>
        </w:rPr>
      </w:pPr>
    </w:p>
    <w:p w14:paraId="4590121F" w14:textId="77777777" w:rsidR="002C39F4" w:rsidRPr="003024E5" w:rsidRDefault="002C39F4" w:rsidP="002C39F4">
      <w:pPr>
        <w:pStyle w:val="2"/>
        <w:rPr>
          <w:rFonts w:asciiTheme="minorBidi" w:hAnsiTheme="minorBidi"/>
          <w:rtl/>
        </w:rPr>
      </w:pPr>
      <w:r w:rsidRPr="003024E5">
        <w:rPr>
          <w:rFonts w:asciiTheme="minorBidi" w:hAnsiTheme="minorBidi"/>
          <w:rtl/>
        </w:rPr>
        <w:t>סעיף ג: כנתא.</w:t>
      </w:r>
    </w:p>
    <w:p w14:paraId="4313FDDD"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ע"א: </w:t>
      </w:r>
      <w:r w:rsidRPr="003024E5">
        <w:rPr>
          <w:rFonts w:asciiTheme="minorBidi" w:hAnsiTheme="minorBidi"/>
          <w:u w:val="single"/>
          <w:rtl/>
        </w:rPr>
        <w:t>אמר רב משרשיא:</w:t>
      </w:r>
      <w:r w:rsidRPr="003024E5">
        <w:rPr>
          <w:rFonts w:asciiTheme="minorBidi" w:hAnsiTheme="minorBidi"/>
          <w:rtl/>
        </w:rPr>
        <w:t xml:space="preserve"> אין מחזיקין דם</w:t>
      </w:r>
      <w:r w:rsidRPr="003024E5">
        <w:rPr>
          <w:rStyle w:val="a7"/>
          <w:rFonts w:asciiTheme="minorBidi" w:hAnsiTheme="minorBidi"/>
          <w:rtl/>
        </w:rPr>
        <w:footnoteReference w:id="697"/>
      </w:r>
      <w:r w:rsidRPr="003024E5">
        <w:rPr>
          <w:rFonts w:asciiTheme="minorBidi" w:hAnsiTheme="minorBidi"/>
          <w:rtl/>
        </w:rPr>
        <w:t xml:space="preserve"> בבני מעיים, תרגמא - אכרכשא ומעייא והדרא דכנתא</w:t>
      </w:r>
      <w:r w:rsidRPr="003024E5">
        <w:rPr>
          <w:rStyle w:val="a7"/>
          <w:rFonts w:asciiTheme="minorBidi" w:hAnsiTheme="minorBidi"/>
          <w:rtl/>
        </w:rPr>
        <w:footnoteReference w:id="698"/>
      </w:r>
      <w:r w:rsidRPr="003024E5">
        <w:rPr>
          <w:rFonts w:asciiTheme="minorBidi" w:hAnsiTheme="minorBidi"/>
          <w:rtl/>
        </w:rPr>
        <w:t>.</w:t>
      </w:r>
    </w:p>
    <w:p w14:paraId="70FECF83" w14:textId="77777777" w:rsidR="002C39F4" w:rsidRPr="003024E5" w:rsidRDefault="002C39F4" w:rsidP="002C39F4">
      <w:pPr>
        <w:rPr>
          <w:rFonts w:asciiTheme="minorBidi" w:hAnsiTheme="minorBidi"/>
          <w:rtl/>
        </w:rPr>
      </w:pPr>
      <w:r>
        <w:rPr>
          <w:rFonts w:asciiTheme="minorBidi" w:hAnsiTheme="minorBidi" w:hint="cs"/>
          <w:u w:val="single"/>
          <w:rtl/>
        </w:rPr>
        <w:t>ה</w:t>
      </w:r>
      <w:r w:rsidRPr="003024E5">
        <w:rPr>
          <w:rFonts w:asciiTheme="minorBidi" w:hAnsiTheme="minorBidi"/>
          <w:u w:val="single"/>
          <w:rtl/>
        </w:rPr>
        <w:t>כשר</w:t>
      </w:r>
      <w:r>
        <w:rPr>
          <w:rFonts w:asciiTheme="minorBidi" w:hAnsiTheme="minorBidi" w:hint="cs"/>
          <w:u w:val="single"/>
          <w:rtl/>
        </w:rPr>
        <w:t>ת</w:t>
      </w:r>
      <w:r w:rsidRPr="003024E5">
        <w:rPr>
          <w:rFonts w:asciiTheme="minorBidi" w:hAnsiTheme="minorBidi"/>
          <w:u w:val="single"/>
          <w:rtl/>
        </w:rPr>
        <w:t xml:space="preserve"> הכנתא:</w:t>
      </w:r>
    </w:p>
    <w:p w14:paraId="7A6BD8AF" w14:textId="77777777" w:rsidR="002C39F4" w:rsidRPr="003024E5" w:rsidRDefault="002C39F4" w:rsidP="002C39F4">
      <w:pPr>
        <w:pStyle w:val="a8"/>
        <w:numPr>
          <w:ilvl w:val="0"/>
          <w:numId w:val="66"/>
        </w:numPr>
        <w:rPr>
          <w:rFonts w:asciiTheme="minorBidi" w:hAnsiTheme="minorBidi"/>
        </w:rPr>
      </w:pPr>
      <w:r w:rsidRPr="003024E5">
        <w:rPr>
          <w:rFonts w:asciiTheme="minorBidi" w:hAnsiTheme="minorBidi"/>
          <w:rtl/>
        </w:rPr>
        <w:t>רב האי גאון</w:t>
      </w:r>
      <w:r w:rsidRPr="003024E5">
        <w:rPr>
          <w:rStyle w:val="a7"/>
          <w:rFonts w:asciiTheme="minorBidi" w:hAnsiTheme="minorBidi"/>
          <w:rtl/>
        </w:rPr>
        <w:footnoteReference w:id="699"/>
      </w:r>
      <w:r w:rsidRPr="003024E5">
        <w:rPr>
          <w:rFonts w:asciiTheme="minorBidi" w:hAnsiTheme="minorBidi"/>
          <w:rtl/>
        </w:rPr>
        <w:t xml:space="preserve"> </w:t>
      </w:r>
      <w:r w:rsidRPr="003024E5">
        <w:rPr>
          <w:rFonts w:asciiTheme="minorBidi" w:hAnsiTheme="minorBidi"/>
          <w:sz w:val="16"/>
          <w:szCs w:val="16"/>
          <w:rtl/>
        </w:rPr>
        <w:t>(הביאו הסמ"ג [לאוין קלז מח ע"ג])</w:t>
      </w:r>
      <w:r w:rsidRPr="003024E5">
        <w:rPr>
          <w:rFonts w:asciiTheme="minorBidi" w:hAnsiTheme="minorBidi"/>
          <w:rtl/>
        </w:rPr>
        <w:t>- שומן הכנתא יש בו ורידים קטנים מדם ואע"פ שחתכה ומלחה אסורה עד שיוציא הורידין הקטנים</w:t>
      </w:r>
      <w:r w:rsidRPr="003024E5">
        <w:rPr>
          <w:rStyle w:val="a7"/>
          <w:rFonts w:asciiTheme="minorBidi" w:hAnsiTheme="minorBidi"/>
          <w:rtl/>
        </w:rPr>
        <w:footnoteReference w:id="700"/>
      </w:r>
      <w:r w:rsidRPr="003024E5">
        <w:rPr>
          <w:rFonts w:asciiTheme="minorBidi" w:hAnsiTheme="minorBidi"/>
          <w:rtl/>
        </w:rPr>
        <w:t xml:space="preserve">. </w:t>
      </w:r>
      <w:r>
        <w:rPr>
          <w:rFonts w:asciiTheme="minorBidi" w:hAnsiTheme="minorBidi" w:hint="cs"/>
          <w:rtl/>
        </w:rPr>
        <w:t xml:space="preserve">  </w:t>
      </w:r>
    </w:p>
    <w:p w14:paraId="1664BAC5" w14:textId="77777777" w:rsidR="002C39F4" w:rsidRPr="003024E5" w:rsidRDefault="002C39F4" w:rsidP="002C39F4">
      <w:pPr>
        <w:pStyle w:val="a8"/>
        <w:numPr>
          <w:ilvl w:val="0"/>
          <w:numId w:val="66"/>
        </w:numPr>
        <w:rPr>
          <w:rFonts w:asciiTheme="minorBidi" w:hAnsiTheme="minorBidi"/>
        </w:rPr>
      </w:pPr>
      <w:r w:rsidRPr="003024E5">
        <w:rPr>
          <w:rFonts w:asciiTheme="minorBidi" w:hAnsiTheme="minorBidi"/>
          <w:rtl/>
        </w:rPr>
        <w:t xml:space="preserve">בה"ג </w:t>
      </w:r>
      <w:r w:rsidRPr="003024E5">
        <w:rPr>
          <w:rFonts w:asciiTheme="minorBidi" w:hAnsiTheme="minorBidi"/>
          <w:sz w:val="16"/>
          <w:szCs w:val="16"/>
          <w:rtl/>
        </w:rPr>
        <w:t xml:space="preserve">(סי' סה הל' דם) </w:t>
      </w:r>
      <w:r w:rsidRPr="003024E5">
        <w:rPr>
          <w:rFonts w:asciiTheme="minorBidi" w:hAnsiTheme="minorBidi"/>
          <w:rtl/>
        </w:rPr>
        <w:t xml:space="preserve">מרדכי </w:t>
      </w:r>
      <w:r w:rsidRPr="003024E5">
        <w:rPr>
          <w:rFonts w:asciiTheme="minorBidi" w:hAnsiTheme="minorBidi"/>
          <w:sz w:val="16"/>
          <w:szCs w:val="16"/>
          <w:rtl/>
        </w:rPr>
        <w:t xml:space="preserve">(סי' תשכג) </w:t>
      </w:r>
      <w:r w:rsidRPr="003024E5">
        <w:rPr>
          <w:rFonts w:asciiTheme="minorBidi" w:hAnsiTheme="minorBidi"/>
          <w:rtl/>
        </w:rPr>
        <w:t xml:space="preserve">הגה"מ </w:t>
      </w:r>
      <w:r w:rsidRPr="003024E5">
        <w:rPr>
          <w:rFonts w:asciiTheme="minorBidi" w:hAnsiTheme="minorBidi"/>
          <w:sz w:val="16"/>
          <w:szCs w:val="16"/>
          <w:rtl/>
        </w:rPr>
        <w:t xml:space="preserve">(פ"ו ד"ק הי"ח) </w:t>
      </w:r>
      <w:r w:rsidRPr="003024E5">
        <w:rPr>
          <w:rFonts w:asciiTheme="minorBidi" w:hAnsiTheme="minorBidi"/>
          <w:rtl/>
        </w:rPr>
        <w:t xml:space="preserve">ור"ן </w:t>
      </w:r>
      <w:r w:rsidRPr="003024E5">
        <w:rPr>
          <w:rFonts w:asciiTheme="minorBidi" w:hAnsiTheme="minorBidi"/>
          <w:sz w:val="16"/>
          <w:szCs w:val="16"/>
          <w:rtl/>
        </w:rPr>
        <w:t>(מב: ד"ה ודקדק)</w:t>
      </w:r>
      <w:r w:rsidRPr="003024E5">
        <w:rPr>
          <w:rFonts w:asciiTheme="minorBidi" w:hAnsiTheme="minorBidi"/>
          <w:rtl/>
        </w:rPr>
        <w:t>- כנתא גופא דשריא במליחה היינו לדין הגמרא אבל בדברי הגאונים נמצא שגזרו עליה ואסרוה אלא לצלי</w:t>
      </w:r>
      <w:r w:rsidRPr="003024E5">
        <w:rPr>
          <w:rFonts w:asciiTheme="minorBidi" w:hAnsiTheme="minorBidi"/>
          <w:sz w:val="16"/>
          <w:szCs w:val="16"/>
          <w:rtl/>
        </w:rPr>
        <w:t xml:space="preserve"> (ל' הר"ן)</w:t>
      </w:r>
      <w:r w:rsidRPr="003024E5">
        <w:rPr>
          <w:rFonts w:asciiTheme="minorBidi" w:hAnsiTheme="minorBidi"/>
          <w:rtl/>
        </w:rPr>
        <w:t xml:space="preserve">. </w:t>
      </w:r>
    </w:p>
    <w:p w14:paraId="315DE186" w14:textId="77777777" w:rsidR="002C39F4" w:rsidRPr="003024E5" w:rsidRDefault="002C39F4" w:rsidP="002C39F4">
      <w:pPr>
        <w:pStyle w:val="a8"/>
        <w:numPr>
          <w:ilvl w:val="0"/>
          <w:numId w:val="66"/>
        </w:numPr>
        <w:rPr>
          <w:rFonts w:asciiTheme="minorBidi" w:hAnsiTheme="minorBidi"/>
          <w:rtl/>
        </w:rPr>
      </w:pPr>
      <w:r w:rsidRPr="003024E5">
        <w:rPr>
          <w:rFonts w:asciiTheme="minorBidi" w:hAnsiTheme="minorBidi"/>
          <w:rtl/>
        </w:rPr>
        <w:t>רשב"א</w:t>
      </w:r>
      <w:r w:rsidRPr="003024E5">
        <w:rPr>
          <w:rStyle w:val="a7"/>
          <w:rFonts w:asciiTheme="minorBidi" w:hAnsiTheme="minorBidi"/>
          <w:rtl/>
        </w:rPr>
        <w:footnoteReference w:id="701"/>
      </w:r>
      <w:r w:rsidRPr="003024E5">
        <w:rPr>
          <w:rFonts w:asciiTheme="minorBidi" w:hAnsiTheme="minorBidi"/>
          <w:rtl/>
        </w:rPr>
        <w:t>- יש גדולים שאסרוה לקדרה אפי' בחתיכה ומליחה לפי שמלאה חוטים קטנים מלאים דם, ועכשיו נוהגים היתר, ואותן חוטי דם כשאדם בקי בהם מותחן ונפשלין היטב עד שלא ישאר אחד מהן.</w:t>
      </w:r>
      <w:r w:rsidRPr="003024E5">
        <w:rPr>
          <w:rFonts w:asciiTheme="minorBidi" w:hAnsiTheme="minorBidi"/>
          <w:color w:val="E36C0A" w:themeColor="accent6" w:themeShade="BF"/>
          <w:rtl/>
        </w:rPr>
        <w:t xml:space="preserve"> (וכ"פ בשו"ע)</w:t>
      </w:r>
    </w:p>
    <w:p w14:paraId="79A18FD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6192EB6" w14:textId="77777777" w:rsidR="002C39F4" w:rsidRPr="003024E5" w:rsidRDefault="002C39F4" w:rsidP="002C39F4">
      <w:pPr>
        <w:rPr>
          <w:rFonts w:asciiTheme="minorBidi" w:hAnsiTheme="minorBidi"/>
          <w:rtl/>
        </w:rPr>
      </w:pPr>
      <w:r w:rsidRPr="003024E5">
        <w:rPr>
          <w:rFonts w:asciiTheme="minorBidi" w:hAnsiTheme="minorBidi"/>
          <w:rtl/>
        </w:rPr>
        <w:t>שומן הכנתא שעל הדקים, מלאה חוטים דקים מלאים דם ולפיכך יש אוסרים אותה לקדירה אפילו על ידי חתיכה ומליחה, ועכשיו נוהגין היתר, ואותם חוטין של דם כשאדם בקי בהם מותחן ונפשלים היטב עד שלא ישאר אחד מהם.</w:t>
      </w:r>
    </w:p>
    <w:p w14:paraId="4F21C7B8" w14:textId="77777777" w:rsidR="002C39F4" w:rsidRPr="003024E5" w:rsidRDefault="002C39F4" w:rsidP="002C39F4">
      <w:pPr>
        <w:rPr>
          <w:rFonts w:asciiTheme="minorBidi" w:hAnsiTheme="minorBidi"/>
          <w:rtl/>
        </w:rPr>
      </w:pPr>
    </w:p>
    <w:p w14:paraId="5DF7C23F" w14:textId="77777777" w:rsidR="002C39F4" w:rsidRPr="003024E5" w:rsidRDefault="002C39F4" w:rsidP="002C39F4">
      <w:pPr>
        <w:rPr>
          <w:rFonts w:asciiTheme="minorBidi" w:hAnsiTheme="minorBidi"/>
          <w:rtl/>
        </w:rPr>
      </w:pPr>
    </w:p>
    <w:p w14:paraId="04E3D404" w14:textId="77777777" w:rsidR="002C39F4" w:rsidRPr="003024E5" w:rsidRDefault="002C39F4" w:rsidP="002C39F4">
      <w:pPr>
        <w:rPr>
          <w:rFonts w:asciiTheme="minorBidi" w:hAnsiTheme="minorBidi"/>
          <w:rtl/>
        </w:rPr>
      </w:pPr>
    </w:p>
    <w:p w14:paraId="33494ADC" w14:textId="77777777" w:rsidR="002C39F4" w:rsidRPr="003024E5" w:rsidRDefault="002C39F4" w:rsidP="002C39F4">
      <w:pPr>
        <w:rPr>
          <w:rFonts w:asciiTheme="minorBidi" w:hAnsiTheme="minorBidi"/>
          <w:rtl/>
        </w:rPr>
      </w:pPr>
    </w:p>
    <w:p w14:paraId="1DC9B69C" w14:textId="77777777" w:rsidR="002C39F4" w:rsidRPr="003024E5" w:rsidRDefault="002C39F4" w:rsidP="002C39F4">
      <w:pPr>
        <w:rPr>
          <w:rFonts w:asciiTheme="minorBidi" w:hAnsiTheme="minorBidi"/>
          <w:rtl/>
        </w:rPr>
      </w:pPr>
    </w:p>
    <w:p w14:paraId="5E6F4C99"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720" w:footer="0" w:gutter="0"/>
          <w:cols w:space="720"/>
          <w:bidi/>
          <w:rtlGutter/>
          <w:docGrid w:linePitch="360"/>
        </w:sectPr>
      </w:pPr>
    </w:p>
    <w:p w14:paraId="6EDA5FD2"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עו: דין בשר לצלי, ובו ו' סעיפים. </w:t>
      </w:r>
    </w:p>
    <w:p w14:paraId="4A9AFE1D" w14:textId="77777777" w:rsidR="002C39F4" w:rsidRPr="003024E5" w:rsidRDefault="002C39F4" w:rsidP="002C39F4">
      <w:pPr>
        <w:pStyle w:val="2"/>
        <w:rPr>
          <w:rFonts w:asciiTheme="minorBidi" w:hAnsiTheme="minorBidi"/>
          <w:rtl/>
        </w:rPr>
      </w:pPr>
      <w:r w:rsidRPr="003024E5">
        <w:rPr>
          <w:rFonts w:asciiTheme="minorBidi" w:hAnsiTheme="minorBidi"/>
          <w:rtl/>
        </w:rPr>
        <w:t>סעיף א: מליחת בשר שמיועד לצלייה.</w:t>
      </w:r>
    </w:p>
    <w:p w14:paraId="37137E12" w14:textId="77777777" w:rsidR="002C39F4" w:rsidRPr="003024E5" w:rsidRDefault="002C39F4" w:rsidP="002C39F4">
      <w:pPr>
        <w:rPr>
          <w:rFonts w:asciiTheme="minorBidi" w:hAnsiTheme="minorBidi"/>
          <w:u w:val="single"/>
          <w:rtl/>
        </w:rPr>
      </w:pPr>
      <w:r w:rsidRPr="003024E5">
        <w:rPr>
          <w:rFonts w:asciiTheme="minorBidi" w:hAnsiTheme="minorBidi"/>
          <w:u w:val="single"/>
          <w:rtl/>
        </w:rPr>
        <w:t>מליחת בשר שמיועד לצלייה:</w:t>
      </w:r>
    </w:p>
    <w:p w14:paraId="01D842B9" w14:textId="77777777" w:rsidR="002C39F4" w:rsidRPr="003024E5" w:rsidRDefault="002C39F4" w:rsidP="002C39F4">
      <w:pPr>
        <w:pStyle w:val="a8"/>
        <w:numPr>
          <w:ilvl w:val="0"/>
          <w:numId w:val="67"/>
        </w:numPr>
        <w:rPr>
          <w:rFonts w:asciiTheme="minorBidi" w:hAnsiTheme="minorBidi"/>
        </w:rPr>
      </w:pPr>
      <w:r w:rsidRPr="003024E5">
        <w:rPr>
          <w:rFonts w:asciiTheme="minorBidi" w:hAnsiTheme="minorBidi"/>
          <w:rtl/>
        </w:rPr>
        <w:t xml:space="preserve">תוס' </w:t>
      </w:r>
      <w:r w:rsidRPr="003024E5">
        <w:rPr>
          <w:rFonts w:asciiTheme="minorBidi" w:hAnsiTheme="minorBidi"/>
          <w:sz w:val="16"/>
          <w:szCs w:val="16"/>
          <w:rtl/>
        </w:rPr>
        <w:t>(ד"ה ונסבין)</w:t>
      </w:r>
      <w:r w:rsidRPr="003024E5">
        <w:rPr>
          <w:rFonts w:asciiTheme="minorBidi" w:hAnsiTheme="minorBidi"/>
          <w:rtl/>
        </w:rPr>
        <w:t xml:space="preserve"> רשב"א </w:t>
      </w:r>
      <w:r w:rsidRPr="003024E5">
        <w:rPr>
          <w:rFonts w:asciiTheme="minorBidi" w:hAnsiTheme="minorBidi"/>
          <w:sz w:val="16"/>
          <w:szCs w:val="16"/>
          <w:rtl/>
        </w:rPr>
        <w:t>(תוהא</w:t>
      </w:r>
      <w:r>
        <w:rPr>
          <w:rFonts w:asciiTheme="minorBidi" w:hAnsiTheme="minorBidi" w:hint="cs"/>
          <w:sz w:val="16"/>
          <w:szCs w:val="16"/>
          <w:rtl/>
        </w:rPr>
        <w:t xml:space="preserve">ו"ק </w:t>
      </w:r>
      <w:r w:rsidRPr="003024E5">
        <w:rPr>
          <w:rFonts w:asciiTheme="minorBidi" w:hAnsiTheme="minorBidi"/>
          <w:sz w:val="16"/>
          <w:szCs w:val="16"/>
          <w:rtl/>
        </w:rPr>
        <w:t xml:space="preserve">ב"ג ש"ג ע:) </w:t>
      </w:r>
      <w:r w:rsidRPr="003024E5">
        <w:rPr>
          <w:rFonts w:asciiTheme="minorBidi" w:hAnsiTheme="minorBidi"/>
          <w:rtl/>
        </w:rPr>
        <w:t xml:space="preserve">רא"ש </w:t>
      </w:r>
      <w:r w:rsidRPr="003024E5">
        <w:rPr>
          <w:rFonts w:asciiTheme="minorBidi" w:hAnsiTheme="minorBidi"/>
          <w:sz w:val="16"/>
          <w:szCs w:val="16"/>
          <w:rtl/>
        </w:rPr>
        <w:t xml:space="preserve">(סי' יט) </w:t>
      </w:r>
      <w:r w:rsidRPr="003024E5">
        <w:rPr>
          <w:rFonts w:asciiTheme="minorBidi" w:hAnsiTheme="minorBidi"/>
          <w:rtl/>
        </w:rPr>
        <w:t xml:space="preserve">ור"ן </w:t>
      </w:r>
      <w:r w:rsidRPr="003024E5">
        <w:rPr>
          <w:rFonts w:asciiTheme="minorBidi" w:hAnsiTheme="minorBidi"/>
          <w:sz w:val="16"/>
          <w:szCs w:val="16"/>
          <w:rtl/>
        </w:rPr>
        <w:t>(ד. ד"ה השוחט)</w:t>
      </w:r>
      <w:r w:rsidRPr="003024E5">
        <w:rPr>
          <w:rFonts w:asciiTheme="minorBidi" w:hAnsiTheme="minorBidi"/>
          <w:rtl/>
        </w:rPr>
        <w:t>- הצלי אינו צריך מליחה</w:t>
      </w:r>
      <w:r>
        <w:rPr>
          <w:rStyle w:val="a7"/>
          <w:rFonts w:asciiTheme="minorBidi" w:hAnsiTheme="minorBidi"/>
          <w:rtl/>
        </w:rPr>
        <w:footnoteReference w:id="702"/>
      </w:r>
      <w:r w:rsidRPr="003024E5">
        <w:rPr>
          <w:rFonts w:asciiTheme="minorBidi" w:hAnsiTheme="minorBidi"/>
          <w:rtl/>
        </w:rPr>
        <w:t xml:space="preserve"> לפי שהאור שואב הדם</w:t>
      </w:r>
      <w:r w:rsidRPr="003024E5">
        <w:rPr>
          <w:rStyle w:val="a7"/>
          <w:rFonts w:asciiTheme="minorBidi" w:hAnsiTheme="minorBidi"/>
          <w:rtl/>
        </w:rPr>
        <w:footnoteReference w:id="703"/>
      </w:r>
      <w:r w:rsidRPr="003024E5">
        <w:rPr>
          <w:rFonts w:asciiTheme="minorBidi" w:hAnsiTheme="minorBidi"/>
          <w:rtl/>
        </w:rPr>
        <w:t>, ואם ישאר בו שום דבר ממנו הוי דם האיברים שלא פירש</w:t>
      </w:r>
      <w:r w:rsidRPr="003024E5">
        <w:rPr>
          <w:rStyle w:val="a7"/>
          <w:rFonts w:asciiTheme="minorBidi" w:hAnsiTheme="minorBidi"/>
          <w:rtl/>
        </w:rPr>
        <w:footnoteReference w:id="704"/>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60845FF0" w14:textId="77777777" w:rsidR="002C39F4" w:rsidRPr="003024E5" w:rsidRDefault="002C39F4" w:rsidP="002C39F4">
      <w:pPr>
        <w:pStyle w:val="a8"/>
        <w:numPr>
          <w:ilvl w:val="0"/>
          <w:numId w:val="67"/>
        </w:numPr>
        <w:rPr>
          <w:rFonts w:asciiTheme="minorBidi" w:hAnsiTheme="minorBidi"/>
        </w:rPr>
      </w:pPr>
      <w:r w:rsidRPr="003024E5">
        <w:rPr>
          <w:rFonts w:asciiTheme="minorBidi" w:hAnsiTheme="minorBidi"/>
          <w:rtl/>
        </w:rPr>
        <w:t xml:space="preserve">רש"י </w:t>
      </w:r>
      <w:r w:rsidRPr="003024E5">
        <w:rPr>
          <w:rFonts w:asciiTheme="minorBidi" w:hAnsiTheme="minorBidi"/>
          <w:sz w:val="16"/>
          <w:szCs w:val="16"/>
          <w:rtl/>
        </w:rPr>
        <w:t>(חולין צג: ד"ה תלייה, ופסחים עד. ד"ה שריא)</w:t>
      </w:r>
      <w:r w:rsidRPr="003024E5">
        <w:rPr>
          <w:rFonts w:asciiTheme="minorBidi" w:hAnsiTheme="minorBidi"/>
          <w:rtl/>
        </w:rPr>
        <w:t>- מולחו דבר מועט</w:t>
      </w:r>
      <w:r w:rsidRPr="003024E5">
        <w:rPr>
          <w:rStyle w:val="a7"/>
          <w:rFonts w:asciiTheme="minorBidi" w:hAnsiTheme="minorBidi"/>
          <w:rtl/>
        </w:rPr>
        <w:footnoteReference w:id="705"/>
      </w:r>
      <w:r w:rsidRPr="003024E5">
        <w:rPr>
          <w:rFonts w:asciiTheme="minorBidi" w:hAnsiTheme="minorBidi"/>
          <w:rtl/>
        </w:rPr>
        <w:t>.</w:t>
      </w:r>
    </w:p>
    <w:p w14:paraId="516164E3" w14:textId="77777777" w:rsidR="002C39F4" w:rsidRPr="003024E5" w:rsidRDefault="002C39F4" w:rsidP="002C39F4">
      <w:pPr>
        <w:pStyle w:val="a8"/>
        <w:numPr>
          <w:ilvl w:val="0"/>
          <w:numId w:val="67"/>
        </w:numPr>
        <w:rPr>
          <w:rFonts w:asciiTheme="minorBidi" w:hAnsiTheme="minorBidi"/>
        </w:rPr>
      </w:pPr>
      <w:r w:rsidRPr="003024E5">
        <w:rPr>
          <w:rFonts w:asciiTheme="minorBidi" w:hAnsiTheme="minorBidi"/>
          <w:rtl/>
        </w:rPr>
        <w:t xml:space="preserve">ריצב"א </w:t>
      </w:r>
      <w:r w:rsidRPr="003024E5">
        <w:rPr>
          <w:rFonts w:asciiTheme="minorBidi" w:hAnsiTheme="minorBidi"/>
          <w:sz w:val="16"/>
          <w:szCs w:val="16"/>
          <w:rtl/>
        </w:rPr>
        <w:t>(כ"כ הסמ"ג בשמו, הביאו האגור [סי' אלף קפט])</w:t>
      </w:r>
      <w:r w:rsidRPr="003024E5">
        <w:rPr>
          <w:rFonts w:asciiTheme="minorBidi" w:hAnsiTheme="minorBidi"/>
          <w:rtl/>
        </w:rPr>
        <w:t>- צלי צריך מליחה.</w:t>
      </w:r>
    </w:p>
    <w:p w14:paraId="20683C1F" w14:textId="77777777" w:rsidR="002C39F4" w:rsidRPr="001A2FD5" w:rsidRDefault="002C39F4" w:rsidP="002C39F4">
      <w:pPr>
        <w:pStyle w:val="a8"/>
        <w:numPr>
          <w:ilvl w:val="0"/>
          <w:numId w:val="67"/>
        </w:numPr>
        <w:rPr>
          <w:rFonts w:asciiTheme="minorBidi" w:hAnsiTheme="minorBidi"/>
        </w:rPr>
      </w:pPr>
      <w:r w:rsidRPr="003024E5">
        <w:rPr>
          <w:rFonts w:asciiTheme="minorBidi" w:hAnsiTheme="minorBidi"/>
          <w:rtl/>
        </w:rPr>
        <w:t xml:space="preserve">רמב"ם </w:t>
      </w:r>
      <w:r w:rsidRPr="003024E5">
        <w:rPr>
          <w:rFonts w:asciiTheme="minorBidi" w:hAnsiTheme="minorBidi"/>
          <w:sz w:val="16"/>
          <w:szCs w:val="16"/>
          <w:rtl/>
        </w:rPr>
        <w:t>(פ"ו הי"ב)</w:t>
      </w:r>
      <w:r w:rsidRPr="003024E5">
        <w:rPr>
          <w:rFonts w:asciiTheme="minorBidi" w:hAnsiTheme="minorBidi"/>
          <w:rtl/>
        </w:rPr>
        <w:t>- כל הדברים האלו לבשר שצריך לבשלו אבל לצלי מולח וצולה מיד</w:t>
      </w:r>
      <w:r w:rsidRPr="003024E5">
        <w:rPr>
          <w:rStyle w:val="a7"/>
          <w:rFonts w:asciiTheme="minorBidi" w:hAnsiTheme="minorBidi"/>
          <w:rtl/>
        </w:rPr>
        <w:footnoteReference w:id="706"/>
      </w:r>
      <w:r w:rsidRPr="003024E5">
        <w:rPr>
          <w:rFonts w:asciiTheme="minorBidi" w:hAnsiTheme="minorBidi"/>
          <w:rtl/>
        </w:rPr>
        <w:t xml:space="preserve">. </w:t>
      </w:r>
    </w:p>
    <w:p w14:paraId="59D73B11" w14:textId="77777777" w:rsidR="002C39F4" w:rsidRPr="003024E5" w:rsidRDefault="002C39F4" w:rsidP="002C39F4">
      <w:pPr>
        <w:rPr>
          <w:rFonts w:asciiTheme="minorBidi" w:hAnsiTheme="minorBidi"/>
          <w:u w:val="single"/>
        </w:rPr>
      </w:pPr>
      <w:r w:rsidRPr="003024E5">
        <w:rPr>
          <w:rFonts w:asciiTheme="minorBidi" w:hAnsiTheme="minorBidi"/>
          <w:u w:val="single"/>
          <w:rtl/>
        </w:rPr>
        <w:t>מליחת בשר שמיועד לכבישה:</w:t>
      </w:r>
    </w:p>
    <w:p w14:paraId="3101D1CB" w14:textId="77777777" w:rsidR="002C39F4" w:rsidRPr="003024E5" w:rsidRDefault="002C39F4" w:rsidP="002C39F4">
      <w:pPr>
        <w:pStyle w:val="a8"/>
        <w:numPr>
          <w:ilvl w:val="0"/>
          <w:numId w:val="67"/>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 xml:space="preserve">(שם) </w:t>
      </w:r>
      <w:r w:rsidRPr="003024E5">
        <w:rPr>
          <w:rFonts w:asciiTheme="minorBidi" w:hAnsiTheme="minorBidi"/>
          <w:rtl/>
        </w:rPr>
        <w:t xml:space="preserve">וטור- כבוש בעי מליחה כמבושל. </w:t>
      </w:r>
    </w:p>
    <w:p w14:paraId="2DDA31B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6B0F7B8" w14:textId="77777777" w:rsidR="002C39F4" w:rsidRPr="003024E5" w:rsidRDefault="002C39F4" w:rsidP="002C39F4">
      <w:pPr>
        <w:rPr>
          <w:rFonts w:asciiTheme="minorBidi" w:hAnsiTheme="minorBidi"/>
          <w:rtl/>
        </w:rPr>
      </w:pPr>
      <w:r w:rsidRPr="003024E5">
        <w:rPr>
          <w:rFonts w:asciiTheme="minorBidi" w:hAnsiTheme="minorBidi"/>
          <w:rtl/>
        </w:rPr>
        <w:t>הצלי אין צריך מליחה לפי שהאש שואב הדם שבו מעצמו</w:t>
      </w:r>
      <w:r w:rsidRPr="003024E5">
        <w:rPr>
          <w:rStyle w:val="a7"/>
          <w:rFonts w:asciiTheme="minorBidi" w:hAnsiTheme="minorBidi"/>
          <w:rtl/>
        </w:rPr>
        <w:footnoteReference w:id="707"/>
      </w:r>
      <w:r w:rsidRPr="003024E5">
        <w:rPr>
          <w:rFonts w:asciiTheme="minorBidi" w:hAnsiTheme="minorBidi"/>
          <w:rtl/>
        </w:rPr>
        <w:t>, אבל אם דם אחר</w:t>
      </w:r>
      <w:r w:rsidRPr="003024E5">
        <w:rPr>
          <w:rStyle w:val="a7"/>
          <w:rFonts w:asciiTheme="minorBidi" w:hAnsiTheme="minorBidi"/>
          <w:rtl/>
        </w:rPr>
        <w:footnoteReference w:id="708"/>
      </w:r>
      <w:r w:rsidRPr="003024E5">
        <w:rPr>
          <w:rFonts w:asciiTheme="minorBidi" w:hAnsiTheme="minorBidi"/>
          <w:rtl/>
        </w:rPr>
        <w:t xml:space="preserve"> נטף על הצלי</w:t>
      </w:r>
      <w:r w:rsidRPr="003024E5">
        <w:rPr>
          <w:rStyle w:val="a7"/>
          <w:rFonts w:asciiTheme="minorBidi" w:hAnsiTheme="minorBidi"/>
          <w:rtl/>
        </w:rPr>
        <w:footnoteReference w:id="709"/>
      </w:r>
      <w:r w:rsidRPr="003024E5">
        <w:rPr>
          <w:rFonts w:asciiTheme="minorBidi" w:hAnsiTheme="minorBidi"/>
          <w:rtl/>
        </w:rPr>
        <w:t xml:space="preserve"> אפילו אותו דם הוא צונן</w:t>
      </w:r>
      <w:r w:rsidRPr="003024E5">
        <w:rPr>
          <w:rStyle w:val="a7"/>
          <w:rFonts w:asciiTheme="minorBidi" w:hAnsiTheme="minorBidi"/>
          <w:rtl/>
        </w:rPr>
        <w:footnoteReference w:id="710"/>
      </w:r>
      <w:r w:rsidRPr="003024E5">
        <w:rPr>
          <w:rFonts w:asciiTheme="minorBidi" w:hAnsiTheme="minorBidi"/>
          <w:rtl/>
        </w:rPr>
        <w:t xml:space="preserve"> לא אמרינן שהאש שואבו, ואוסר ממנו כדי נטילה</w:t>
      </w:r>
      <w:r w:rsidRPr="003024E5">
        <w:rPr>
          <w:rStyle w:val="a7"/>
          <w:rFonts w:asciiTheme="minorBidi" w:hAnsiTheme="minorBidi"/>
          <w:rtl/>
        </w:rPr>
        <w:footnoteReference w:id="711"/>
      </w:r>
      <w:r w:rsidRPr="003024E5">
        <w:rPr>
          <w:rFonts w:asciiTheme="minorBidi" w:hAnsiTheme="minorBidi"/>
          <w:rtl/>
        </w:rPr>
        <w:t xml:space="preserve">. </w:t>
      </w:r>
    </w:p>
    <w:p w14:paraId="6E1C0BF5" w14:textId="77777777" w:rsidR="002C39F4" w:rsidRPr="003024E5" w:rsidRDefault="002C39F4" w:rsidP="002C39F4">
      <w:pPr>
        <w:rPr>
          <w:rFonts w:asciiTheme="minorBidi" w:hAnsiTheme="minorBidi"/>
          <w:rtl/>
        </w:rPr>
      </w:pPr>
    </w:p>
    <w:p w14:paraId="4503A619" w14:textId="77777777" w:rsidR="002C39F4" w:rsidRPr="003024E5" w:rsidRDefault="002C39F4" w:rsidP="002C39F4">
      <w:pPr>
        <w:pStyle w:val="2"/>
        <w:rPr>
          <w:rFonts w:asciiTheme="minorBidi" w:hAnsiTheme="minorBidi"/>
          <w:rtl/>
        </w:rPr>
      </w:pPr>
      <w:r w:rsidRPr="003024E5">
        <w:rPr>
          <w:rFonts w:asciiTheme="minorBidi" w:hAnsiTheme="minorBidi"/>
          <w:rtl/>
        </w:rPr>
        <w:t>סעיף ב: הדחת בשר שמיועד לצלייה.</w:t>
      </w:r>
    </w:p>
    <w:p w14:paraId="3807DCBB" w14:textId="77777777" w:rsidR="002C39F4" w:rsidRPr="003024E5" w:rsidRDefault="002C39F4" w:rsidP="002C39F4">
      <w:pPr>
        <w:rPr>
          <w:rFonts w:asciiTheme="minorBidi" w:hAnsiTheme="minorBidi"/>
          <w:sz w:val="16"/>
          <w:szCs w:val="16"/>
        </w:rPr>
      </w:pPr>
      <w:r w:rsidRPr="003024E5">
        <w:rPr>
          <w:rFonts w:asciiTheme="minorBidi" w:hAnsiTheme="minorBidi"/>
          <w:u w:val="single"/>
          <w:rtl/>
        </w:rPr>
        <w:t>בשר שרוצה לצלותו</w:t>
      </w:r>
      <w:r>
        <w:rPr>
          <w:rFonts w:asciiTheme="minorBidi" w:hAnsiTheme="minorBidi" w:hint="cs"/>
          <w:u w:val="single"/>
          <w:rtl/>
        </w:rPr>
        <w:t xml:space="preserve"> </w:t>
      </w:r>
      <w:r w:rsidRPr="003024E5">
        <w:rPr>
          <w:rFonts w:asciiTheme="minorBidi" w:hAnsiTheme="minorBidi"/>
          <w:u w:val="single"/>
          <w:rtl/>
        </w:rPr>
        <w:t>- האם צריך להדיחו לפנ"כ:</w:t>
      </w:r>
      <w:r w:rsidRPr="003024E5">
        <w:rPr>
          <w:rFonts w:asciiTheme="minorBidi" w:hAnsiTheme="minorBidi"/>
          <w:sz w:val="16"/>
          <w:szCs w:val="16"/>
          <w:rtl/>
        </w:rPr>
        <w:t xml:space="preserve">  (ב"י ודרכ"מ אות א)</w:t>
      </w:r>
    </w:p>
    <w:p w14:paraId="20ABCEFF" w14:textId="77777777" w:rsidR="002C39F4" w:rsidRPr="003024E5" w:rsidRDefault="002C39F4" w:rsidP="002C39F4">
      <w:pPr>
        <w:pStyle w:val="a8"/>
        <w:numPr>
          <w:ilvl w:val="0"/>
          <w:numId w:val="67"/>
        </w:numPr>
        <w:rPr>
          <w:rFonts w:asciiTheme="minorBidi" w:hAnsiTheme="minorBidi"/>
        </w:rPr>
      </w:pPr>
      <w:r w:rsidRPr="003024E5">
        <w:rPr>
          <w:rFonts w:asciiTheme="minorBidi" w:hAnsiTheme="minorBidi"/>
          <w:rtl/>
        </w:rPr>
        <w:t xml:space="preserve">רא"ש </w:t>
      </w:r>
      <w:r w:rsidRPr="003024E5">
        <w:rPr>
          <w:rFonts w:asciiTheme="minorBidi" w:hAnsiTheme="minorBidi"/>
          <w:sz w:val="16"/>
          <w:szCs w:val="16"/>
          <w:rtl/>
        </w:rPr>
        <w:t>(סי' יט)</w:t>
      </w:r>
      <w:r w:rsidRPr="003024E5">
        <w:rPr>
          <w:rFonts w:asciiTheme="minorBidi" w:hAnsiTheme="minorBidi"/>
          <w:rtl/>
        </w:rPr>
        <w:t>- לא בעי הדחה, מיהו צריך שפשוף לפי שאין לקצבים סכין מיוחד לחלבים</w:t>
      </w:r>
      <w:r w:rsidRPr="003024E5">
        <w:rPr>
          <w:rStyle w:val="a7"/>
          <w:rFonts w:asciiTheme="minorBidi" w:hAnsiTheme="minorBidi"/>
          <w:rtl/>
        </w:rPr>
        <w:footnoteReference w:id="712"/>
      </w:r>
      <w:r w:rsidRPr="003024E5">
        <w:rPr>
          <w:rFonts w:asciiTheme="minorBidi" w:hAnsiTheme="minorBidi"/>
          <w:rtl/>
        </w:rPr>
        <w:t xml:space="preserve">. </w:t>
      </w:r>
    </w:p>
    <w:p w14:paraId="7A30D70A" w14:textId="77777777" w:rsidR="002C39F4" w:rsidRPr="003024E5" w:rsidRDefault="002C39F4" w:rsidP="002C39F4">
      <w:pPr>
        <w:pStyle w:val="a8"/>
        <w:numPr>
          <w:ilvl w:val="0"/>
          <w:numId w:val="67"/>
        </w:numPr>
        <w:rPr>
          <w:rFonts w:asciiTheme="minorBidi" w:hAnsiTheme="minorBidi"/>
        </w:rPr>
      </w:pPr>
      <w:r w:rsidRPr="003024E5">
        <w:rPr>
          <w:rFonts w:asciiTheme="minorBidi" w:hAnsiTheme="minorBidi"/>
          <w:rtl/>
        </w:rPr>
        <w:t xml:space="preserve">רמב"ן </w:t>
      </w:r>
      <w:r w:rsidRPr="003024E5">
        <w:rPr>
          <w:rFonts w:asciiTheme="minorBidi" w:hAnsiTheme="minorBidi"/>
          <w:sz w:val="16"/>
          <w:szCs w:val="16"/>
          <w:rtl/>
        </w:rPr>
        <w:t>(הביאו הר"ן [ב. ד"ה איתמר])</w:t>
      </w:r>
      <w:r w:rsidRPr="003024E5">
        <w:rPr>
          <w:rFonts w:asciiTheme="minorBidi" w:hAnsiTheme="minorBidi"/>
          <w:rtl/>
        </w:rPr>
        <w:t>- צריך הדחה</w:t>
      </w:r>
      <w:r>
        <w:rPr>
          <w:rFonts w:asciiTheme="minorBidi" w:hAnsiTheme="minorBidi" w:hint="cs"/>
          <w:rtl/>
        </w:rPr>
        <w:t>,</w:t>
      </w:r>
      <w:r w:rsidRPr="003024E5">
        <w:rPr>
          <w:rFonts w:asciiTheme="minorBidi" w:hAnsiTheme="minorBidi"/>
          <w:rtl/>
        </w:rPr>
        <w:t xml:space="preserve"> לפי שהדם שעל פניו אינו הולך ע"י האש אלא אדרבה הוא נקרש ונתייבש ונשאר על הבשר.</w:t>
      </w:r>
    </w:p>
    <w:p w14:paraId="3EB682A2" w14:textId="77777777" w:rsidR="002C39F4" w:rsidRPr="003024E5" w:rsidRDefault="002C39F4" w:rsidP="002C39F4">
      <w:pPr>
        <w:pStyle w:val="a8"/>
        <w:numPr>
          <w:ilvl w:val="0"/>
          <w:numId w:val="67"/>
        </w:numPr>
        <w:rPr>
          <w:rFonts w:asciiTheme="minorBidi" w:hAnsiTheme="minorBidi"/>
          <w:rtl/>
        </w:rPr>
      </w:pPr>
      <w:r w:rsidRPr="003024E5">
        <w:rPr>
          <w:rFonts w:asciiTheme="minorBidi" w:hAnsiTheme="minorBidi"/>
          <w:rtl/>
        </w:rPr>
        <w:t>מהרא"י</w:t>
      </w:r>
      <w:r w:rsidRPr="003024E5">
        <w:rPr>
          <w:rFonts w:asciiTheme="minorBidi" w:hAnsiTheme="minorBidi"/>
          <w:sz w:val="16"/>
          <w:szCs w:val="16"/>
          <w:rtl/>
        </w:rPr>
        <w:t xml:space="preserve"> (בהגשע"ד סי' ט סק"ג ד"ה בשר לצלי)</w:t>
      </w:r>
      <w:r w:rsidRPr="003024E5">
        <w:rPr>
          <w:rFonts w:asciiTheme="minorBidi" w:hAnsiTheme="minorBidi"/>
          <w:rtl/>
        </w:rPr>
        <w:t>- לכתחלה נוהגין להדיחו בתחילה, אפילו עופות דליכא חששא דנתקנח בהו דם, ויראה הטעם משום דנהיגין מליחה קצת לצלי כרש"י והואיל ומולחין בעינן הדחה מפני הדם בעין שעליו שלא יבלענו המלח</w:t>
      </w:r>
      <w:r w:rsidRPr="003024E5">
        <w:rPr>
          <w:rStyle w:val="a7"/>
          <w:rFonts w:asciiTheme="minorBidi" w:hAnsiTheme="minorBidi"/>
          <w:rtl/>
        </w:rPr>
        <w:footnoteReference w:id="713"/>
      </w:r>
      <w:r w:rsidRPr="003024E5">
        <w:rPr>
          <w:rFonts w:asciiTheme="minorBidi" w:hAnsiTheme="minorBidi"/>
          <w:rtl/>
        </w:rPr>
        <w:t>.</w:t>
      </w:r>
      <w:r>
        <w:rPr>
          <w:rFonts w:asciiTheme="minorBidi" w:hAnsiTheme="minorBidi" w:hint="cs"/>
          <w:rtl/>
        </w:rPr>
        <w:t xml:space="preserve"> </w:t>
      </w:r>
      <w:r w:rsidRPr="008626CA">
        <w:rPr>
          <w:rFonts w:asciiTheme="minorBidi" w:hAnsiTheme="minorBidi" w:hint="cs"/>
          <w:color w:val="00B0F0"/>
          <w:rtl/>
        </w:rPr>
        <w:t>(וכ"פ הרמ"א)</w:t>
      </w:r>
    </w:p>
    <w:p w14:paraId="7ABE5F2F" w14:textId="77777777" w:rsidR="002C39F4" w:rsidRDefault="002C39F4" w:rsidP="002C39F4">
      <w:pPr>
        <w:pStyle w:val="a8"/>
        <w:numPr>
          <w:ilvl w:val="0"/>
          <w:numId w:val="67"/>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(תוה"ב או</w:t>
      </w:r>
      <w:r>
        <w:rPr>
          <w:rFonts w:asciiTheme="minorBidi" w:hAnsiTheme="minorBidi" w:hint="cs"/>
          <w:sz w:val="16"/>
          <w:szCs w:val="16"/>
          <w:rtl/>
        </w:rPr>
        <w:t>"</w:t>
      </w:r>
      <w:r w:rsidRPr="003024E5">
        <w:rPr>
          <w:rFonts w:asciiTheme="minorBidi" w:hAnsiTheme="minorBidi"/>
          <w:sz w:val="16"/>
          <w:szCs w:val="16"/>
          <w:rtl/>
        </w:rPr>
        <w:t>ק ב"ג ש"ג ע:)</w:t>
      </w:r>
      <w:r w:rsidRPr="003024E5">
        <w:rPr>
          <w:rFonts w:asciiTheme="minorBidi" w:hAnsiTheme="minorBidi"/>
          <w:rtl/>
        </w:rPr>
        <w:t>- הרוצה למלוח צלי ולאוכלו בלא הדחה עושה ואין לחוש לדם שעל המלח שהאש שואב ומונע המלח מלבלוע הדם, בד"א, במולחו וצולהו מיד, אבל אם שהה במלחו המלח בולע ונאסר</w:t>
      </w:r>
      <w:r w:rsidRPr="003024E5">
        <w:rPr>
          <w:rStyle w:val="a7"/>
          <w:rFonts w:asciiTheme="minorBidi" w:hAnsiTheme="minorBidi"/>
          <w:rtl/>
        </w:rPr>
        <w:footnoteReference w:id="714"/>
      </w:r>
      <w:r w:rsidRPr="003024E5">
        <w:rPr>
          <w:rFonts w:asciiTheme="minorBidi" w:hAnsiTheme="minorBidi"/>
          <w:rtl/>
        </w:rPr>
        <w:t>, ולפיכך מדיחו יפה קודם צלייה</w:t>
      </w:r>
      <w:r w:rsidRPr="003024E5">
        <w:rPr>
          <w:rStyle w:val="a7"/>
          <w:rFonts w:asciiTheme="minorBidi" w:hAnsiTheme="minorBidi"/>
          <w:rtl/>
        </w:rPr>
        <w:footnoteReference w:id="715"/>
      </w:r>
      <w:r w:rsidRPr="003024E5">
        <w:rPr>
          <w:rFonts w:asciiTheme="minorBidi" w:hAnsiTheme="minorBidi"/>
          <w:rtl/>
        </w:rPr>
        <w:t>.</w:t>
      </w:r>
    </w:p>
    <w:p w14:paraId="74568236" w14:textId="77777777" w:rsidR="002C39F4" w:rsidRPr="003024E5" w:rsidRDefault="002C39F4" w:rsidP="002C39F4">
      <w:pPr>
        <w:pStyle w:val="a8"/>
        <w:numPr>
          <w:ilvl w:val="0"/>
          <w:numId w:val="67"/>
        </w:numPr>
        <w:rPr>
          <w:rFonts w:asciiTheme="minorBidi" w:hAnsiTheme="minorBidi"/>
        </w:rPr>
      </w:pPr>
      <w:r w:rsidRPr="005C6730">
        <w:rPr>
          <w:rFonts w:asciiTheme="minorBidi" w:hAnsiTheme="minorBidi"/>
          <w:rtl/>
        </w:rPr>
        <w:t xml:space="preserve">הה"מ </w:t>
      </w:r>
      <w:r w:rsidRPr="008D3327">
        <w:rPr>
          <w:rFonts w:asciiTheme="minorBidi" w:hAnsiTheme="minorBidi"/>
          <w:sz w:val="16"/>
          <w:szCs w:val="16"/>
          <w:rtl/>
        </w:rPr>
        <w:t>(פ"ו מאכ"א הי"ב)</w:t>
      </w:r>
      <w:r>
        <w:rPr>
          <w:rFonts w:asciiTheme="minorBidi" w:hAnsiTheme="minorBidi" w:hint="cs"/>
          <w:rtl/>
        </w:rPr>
        <w:t>-</w:t>
      </w:r>
      <w:r w:rsidRPr="005C6730">
        <w:rPr>
          <w:rFonts w:asciiTheme="minorBidi" w:hAnsiTheme="minorBidi"/>
          <w:rtl/>
        </w:rPr>
        <w:t xml:space="preserve"> הכל יוצא ע"י האור</w:t>
      </w:r>
      <w:r>
        <w:rPr>
          <w:rFonts w:asciiTheme="minorBidi" w:hAnsiTheme="minorBidi" w:hint="cs"/>
          <w:rtl/>
        </w:rPr>
        <w:t>,</w:t>
      </w:r>
      <w:r w:rsidRPr="00611507">
        <w:rPr>
          <w:rFonts w:asciiTheme="minorBidi" w:hAnsiTheme="minorBidi"/>
          <w:rtl/>
        </w:rPr>
        <w:t xml:space="preserve"> </w:t>
      </w:r>
      <w:r w:rsidRPr="005C6730">
        <w:rPr>
          <w:rFonts w:asciiTheme="minorBidi" w:hAnsiTheme="minorBidi"/>
          <w:rtl/>
        </w:rPr>
        <w:t>אפילו אם בלע המלח מן הדם</w:t>
      </w:r>
      <w:r>
        <w:rPr>
          <w:rFonts w:asciiTheme="minorBidi" w:hAnsiTheme="minorBidi" w:hint="cs"/>
          <w:rtl/>
        </w:rPr>
        <w:t>.</w:t>
      </w:r>
      <w:r w:rsidRPr="00611507">
        <w:rPr>
          <w:rFonts w:asciiTheme="minorBidi" w:hAnsiTheme="minorBidi"/>
          <w:color w:val="E36C0A" w:themeColor="accent6" w:themeShade="BF"/>
          <w:rtl/>
        </w:rPr>
        <w:t xml:space="preserve"> </w:t>
      </w:r>
      <w:r w:rsidRPr="003024E5">
        <w:rPr>
          <w:rFonts w:asciiTheme="minorBidi" w:hAnsiTheme="minorBidi"/>
          <w:color w:val="E36C0A" w:themeColor="accent6" w:themeShade="BF"/>
          <w:rtl/>
        </w:rPr>
        <w:t>(וכ"</w:t>
      </w:r>
      <w:r>
        <w:rPr>
          <w:rFonts w:asciiTheme="minorBidi" w:hAnsiTheme="minorBidi" w:hint="cs"/>
          <w:color w:val="E36C0A" w:themeColor="accent6" w:themeShade="BF"/>
          <w:rtl/>
        </w:rPr>
        <w:t>ס</w:t>
      </w:r>
      <w:r w:rsidRPr="003024E5">
        <w:rPr>
          <w:rFonts w:asciiTheme="minorBidi" w:hAnsiTheme="minorBidi"/>
          <w:color w:val="E36C0A" w:themeColor="accent6" w:themeShade="BF"/>
          <w:rtl/>
        </w:rPr>
        <w:t xml:space="preserve"> בשו"ע)</w:t>
      </w:r>
    </w:p>
    <w:p w14:paraId="35CE4070" w14:textId="77777777" w:rsidR="002C39F4" w:rsidRPr="003024E5" w:rsidRDefault="002C39F4" w:rsidP="002C39F4">
      <w:pPr>
        <w:ind w:left="360"/>
        <w:rPr>
          <w:rFonts w:asciiTheme="minorBidi" w:hAnsiTheme="minorBidi"/>
          <w:sz w:val="16"/>
          <w:szCs w:val="16"/>
        </w:rPr>
      </w:pPr>
      <w:r w:rsidRPr="003024E5">
        <w:rPr>
          <w:rFonts w:asciiTheme="minorBidi" w:hAnsiTheme="minorBidi"/>
          <w:u w:val="dotted"/>
          <w:rtl/>
        </w:rPr>
        <w:t>האם בשר זה צריך הדחה לאחר צלייתו:</w:t>
      </w:r>
      <w:r w:rsidRPr="003024E5">
        <w:rPr>
          <w:rFonts w:asciiTheme="minorBidi" w:hAnsiTheme="minorBidi"/>
          <w:sz w:val="16"/>
          <w:szCs w:val="16"/>
          <w:rtl/>
        </w:rPr>
        <w:t xml:space="preserve">  (ב"י ודרכ"מ אות ג)</w:t>
      </w:r>
    </w:p>
    <w:p w14:paraId="448AD50A" w14:textId="77777777" w:rsidR="002C39F4" w:rsidRPr="003024E5" w:rsidRDefault="002C39F4" w:rsidP="002C39F4">
      <w:pPr>
        <w:pStyle w:val="a8"/>
        <w:numPr>
          <w:ilvl w:val="0"/>
          <w:numId w:val="67"/>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 xml:space="preserve">(שם) </w:t>
      </w:r>
      <w:r w:rsidRPr="003024E5">
        <w:rPr>
          <w:rFonts w:asciiTheme="minorBidi" w:hAnsiTheme="minorBidi"/>
          <w:rtl/>
        </w:rPr>
        <w:t xml:space="preserve">ור"ן </w:t>
      </w:r>
      <w:r w:rsidRPr="003024E5">
        <w:rPr>
          <w:rFonts w:asciiTheme="minorBidi" w:hAnsiTheme="minorBidi"/>
          <w:sz w:val="16"/>
          <w:szCs w:val="16"/>
          <w:rtl/>
        </w:rPr>
        <w:t>(פג"ה, כ"כ הדרכ"מ [אות ג] בשמו)</w:t>
      </w:r>
      <w:r w:rsidRPr="003024E5">
        <w:rPr>
          <w:rFonts w:asciiTheme="minorBidi" w:hAnsiTheme="minorBidi"/>
          <w:rtl/>
        </w:rPr>
        <w:t>- אין צריך אחר הצלייה הדחה דהאש שואב הדם מעליו.</w:t>
      </w:r>
    </w:p>
    <w:p w14:paraId="1D1BBDFF" w14:textId="77777777" w:rsidR="002C39F4" w:rsidRPr="003024E5" w:rsidRDefault="002C39F4" w:rsidP="002C39F4">
      <w:pPr>
        <w:pStyle w:val="a8"/>
        <w:numPr>
          <w:ilvl w:val="0"/>
          <w:numId w:val="67"/>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ח דין ט)</w:t>
      </w:r>
      <w:r w:rsidRPr="003024E5">
        <w:rPr>
          <w:rFonts w:asciiTheme="minorBidi" w:hAnsiTheme="minorBidi"/>
          <w:rtl/>
        </w:rPr>
        <w:t xml:space="preserve">- אין צריך הדחה רק שהעולם נוהגין להדיחו אם רוצה לבשלו אח"כ. </w:t>
      </w:r>
    </w:p>
    <w:p w14:paraId="4C549F8D" w14:textId="77777777" w:rsidR="002C39F4" w:rsidRPr="003024E5" w:rsidRDefault="002C39F4" w:rsidP="002C39F4">
      <w:pPr>
        <w:pStyle w:val="a8"/>
        <w:numPr>
          <w:ilvl w:val="0"/>
          <w:numId w:val="67"/>
        </w:numPr>
        <w:rPr>
          <w:rFonts w:asciiTheme="minorBidi" w:hAnsiTheme="minorBidi"/>
        </w:rPr>
      </w:pPr>
      <w:r w:rsidRPr="003024E5">
        <w:rPr>
          <w:rFonts w:asciiTheme="minorBidi" w:hAnsiTheme="minorBidi"/>
          <w:rtl/>
        </w:rPr>
        <w:t xml:space="preserve">שע"ד </w:t>
      </w:r>
      <w:r w:rsidRPr="003024E5">
        <w:rPr>
          <w:rFonts w:asciiTheme="minorBidi" w:hAnsiTheme="minorBidi"/>
          <w:sz w:val="16"/>
          <w:szCs w:val="16"/>
          <w:rtl/>
        </w:rPr>
        <w:t xml:space="preserve">(סי' ט) </w:t>
      </w:r>
      <w:r w:rsidRPr="003024E5">
        <w:rPr>
          <w:rFonts w:asciiTheme="minorBidi" w:hAnsiTheme="minorBidi"/>
          <w:rtl/>
        </w:rPr>
        <w:t xml:space="preserve">אגור </w:t>
      </w:r>
      <w:r w:rsidRPr="003024E5">
        <w:rPr>
          <w:rFonts w:asciiTheme="minorBidi" w:hAnsiTheme="minorBidi"/>
          <w:sz w:val="16"/>
          <w:szCs w:val="16"/>
          <w:rtl/>
        </w:rPr>
        <w:t>(סי' אלף קפט, ועי' בסי' אלף קצו)</w:t>
      </w:r>
      <w:r w:rsidRPr="003024E5">
        <w:rPr>
          <w:rFonts w:asciiTheme="minorBidi" w:hAnsiTheme="minorBidi"/>
          <w:rtl/>
        </w:rPr>
        <w:t xml:space="preserve"> </w:t>
      </w:r>
      <w:r>
        <w:rPr>
          <w:rFonts w:asciiTheme="minorBidi" w:hAnsiTheme="minorBidi" w:hint="cs"/>
          <w:rtl/>
        </w:rPr>
        <w:t>ו</w:t>
      </w:r>
      <w:r w:rsidRPr="003024E5">
        <w:rPr>
          <w:rFonts w:asciiTheme="minorBidi" w:hAnsiTheme="minorBidi"/>
          <w:rtl/>
        </w:rPr>
        <w:t>מהרא"י</w:t>
      </w:r>
      <w:r w:rsidRPr="003024E5">
        <w:rPr>
          <w:rFonts w:asciiTheme="minorBidi" w:hAnsiTheme="minorBidi"/>
          <w:sz w:val="16"/>
          <w:szCs w:val="16"/>
          <w:rtl/>
        </w:rPr>
        <w:t xml:space="preserve"> (ל"ו שערים ש"ב ד"ז)</w:t>
      </w:r>
      <w:r w:rsidRPr="003024E5">
        <w:rPr>
          <w:rFonts w:asciiTheme="minorBidi" w:hAnsiTheme="minorBidi"/>
          <w:rtl/>
        </w:rPr>
        <w:t>- צריך להדיחו מן הדם שנדבק מבחוץ</w:t>
      </w:r>
      <w:r w:rsidRPr="003024E5">
        <w:rPr>
          <w:rStyle w:val="a7"/>
          <w:rFonts w:asciiTheme="minorBidi" w:hAnsiTheme="minorBidi"/>
          <w:rtl/>
        </w:rPr>
        <w:footnoteReference w:id="716"/>
      </w:r>
      <w:r w:rsidRPr="003024E5">
        <w:rPr>
          <w:rFonts w:asciiTheme="minorBidi" w:hAnsiTheme="minorBidi"/>
          <w:rtl/>
        </w:rPr>
        <w:t>.</w:t>
      </w:r>
    </w:p>
    <w:p w14:paraId="6579BBBD" w14:textId="77777777" w:rsidR="002C39F4" w:rsidRPr="003024E5" w:rsidRDefault="002C39F4" w:rsidP="002C39F4">
      <w:pPr>
        <w:pStyle w:val="a8"/>
        <w:numPr>
          <w:ilvl w:val="0"/>
          <w:numId w:val="67"/>
        </w:numPr>
        <w:rPr>
          <w:rFonts w:asciiTheme="minorBidi" w:hAnsiTheme="minorBidi"/>
        </w:rPr>
      </w:pPr>
      <w:r w:rsidRPr="003024E5">
        <w:rPr>
          <w:rFonts w:asciiTheme="minorBidi" w:hAnsiTheme="minorBidi"/>
          <w:rtl/>
        </w:rPr>
        <w:t>אגודה</w:t>
      </w:r>
      <w:r w:rsidRPr="003024E5">
        <w:rPr>
          <w:rFonts w:asciiTheme="minorBidi" w:hAnsiTheme="minorBidi"/>
          <w:sz w:val="16"/>
          <w:szCs w:val="16"/>
          <w:rtl/>
        </w:rPr>
        <w:t xml:space="preserve"> (פסחים סי' ס, וכ' שכך שמע בשם הגדולים)</w:t>
      </w:r>
      <w:r w:rsidRPr="003024E5">
        <w:rPr>
          <w:rFonts w:asciiTheme="minorBidi" w:hAnsiTheme="minorBidi"/>
          <w:rtl/>
        </w:rPr>
        <w:t>- בשר שלא שהה כדי מליחה</w:t>
      </w:r>
      <w:r w:rsidRPr="003024E5">
        <w:rPr>
          <w:rFonts w:asciiTheme="minorBidi" w:hAnsiTheme="minorBidi"/>
          <w:sz w:val="16"/>
          <w:szCs w:val="16"/>
          <w:rtl/>
        </w:rPr>
        <w:t xml:space="preserve"> {נ"ל דה"ה אם לא נמלח כלל}</w:t>
      </w:r>
      <w:r w:rsidRPr="003024E5">
        <w:rPr>
          <w:rFonts w:asciiTheme="minorBidi" w:hAnsiTheme="minorBidi"/>
          <w:rtl/>
        </w:rPr>
        <w:t xml:space="preserve"> וצלו אותו, צריך להדיחו ג' פעמים מן הדם הנסרך ונדבק בו, וסברא הוא כיון דמליחה וצלייה שוין.</w:t>
      </w:r>
      <w:r>
        <w:rPr>
          <w:rFonts w:asciiTheme="minorBidi" w:hAnsiTheme="minorBidi" w:hint="cs"/>
          <w:rtl/>
        </w:rPr>
        <w:t xml:space="preserve"> </w:t>
      </w:r>
    </w:p>
    <w:p w14:paraId="0A24217F" w14:textId="77777777" w:rsidR="002C39F4" w:rsidRPr="003024E5" w:rsidRDefault="002C39F4" w:rsidP="002C39F4">
      <w:pPr>
        <w:rPr>
          <w:rFonts w:asciiTheme="minorBidi" w:hAnsiTheme="minorBidi"/>
          <w:sz w:val="16"/>
          <w:szCs w:val="16"/>
          <w:rtl/>
        </w:rPr>
      </w:pPr>
      <w:r w:rsidRPr="003024E5">
        <w:rPr>
          <w:rFonts w:asciiTheme="minorBidi" w:hAnsiTheme="minorBidi"/>
          <w:u w:val="single"/>
          <w:rtl/>
        </w:rPr>
        <w:t>צליית תרנגולת או אווז ללא מליחה:</w:t>
      </w:r>
      <w:r w:rsidRPr="003024E5">
        <w:rPr>
          <w:rFonts w:asciiTheme="minorBidi" w:hAnsiTheme="minorBidi"/>
          <w:sz w:val="16"/>
          <w:szCs w:val="16"/>
          <w:rtl/>
        </w:rPr>
        <w:t xml:space="preserve">  (ב"י ודרכ"מ [אות ה])</w:t>
      </w:r>
    </w:p>
    <w:p w14:paraId="2725C4D4" w14:textId="77777777" w:rsidR="002C39F4" w:rsidRPr="003024E5" w:rsidRDefault="002C39F4" w:rsidP="002C39F4">
      <w:pPr>
        <w:pStyle w:val="a8"/>
        <w:numPr>
          <w:ilvl w:val="0"/>
          <w:numId w:val="70"/>
        </w:numPr>
        <w:rPr>
          <w:rFonts w:asciiTheme="minorBidi" w:hAnsiTheme="minorBidi"/>
        </w:rPr>
      </w:pPr>
      <w:r w:rsidRPr="003024E5">
        <w:rPr>
          <w:rFonts w:asciiTheme="minorBidi" w:hAnsiTheme="minorBidi"/>
          <w:rtl/>
        </w:rPr>
        <w:t>סמ"ג</w:t>
      </w:r>
      <w:r w:rsidRPr="003024E5">
        <w:rPr>
          <w:rFonts w:asciiTheme="minorBidi" w:hAnsiTheme="minorBidi"/>
          <w:sz w:val="16"/>
          <w:szCs w:val="16"/>
          <w:rtl/>
        </w:rPr>
        <w:t xml:space="preserve"> (לאוין קלז מז ע"ד)</w:t>
      </w:r>
      <w:r w:rsidRPr="003024E5">
        <w:rPr>
          <w:rFonts w:asciiTheme="minorBidi" w:hAnsiTheme="minorBidi"/>
          <w:rtl/>
        </w:rPr>
        <w:t>- הא דצלי אינו צריך מליחה מפני שדם האברים מותר כל זמן שלא פירש ואותו שפירש נופל לארץ</w:t>
      </w:r>
      <w:r>
        <w:rPr>
          <w:rFonts w:asciiTheme="minorBidi" w:hAnsiTheme="minorBidi" w:hint="cs"/>
          <w:rtl/>
        </w:rPr>
        <w:t>,</w:t>
      </w:r>
      <w:r w:rsidRPr="003024E5">
        <w:rPr>
          <w:rFonts w:asciiTheme="minorBidi" w:hAnsiTheme="minorBidi"/>
          <w:rtl/>
        </w:rPr>
        <w:t xml:space="preserve"> ואין ענין טעם זה בתרנגולת או אווז שהם חלולים ופורש הדם מלמעלה למטה בתוך החלל והרי הוא כפורש מחתיכה לחתיכה, ופעמים שהאווז או התרנגולת נצלית יפה מצד אחד ופלטו כל דם אותו צד ואין נצלית יפה מצד אחר ולא פלטו כל דם שלו, וכמו כן אינו פולט כל דם שבא לו מלמעלה, לפ"ז נכון למי שהוא רוצה לצלות עוף שלם שימלחנו מבחוץ ומבפנים וישהה כשיעור מליחה ואח"כ ידיחנו ויצלה אותו</w:t>
      </w:r>
      <w:r w:rsidRPr="003024E5">
        <w:rPr>
          <w:rStyle w:val="a7"/>
          <w:rFonts w:asciiTheme="minorBidi" w:hAnsiTheme="minorBidi"/>
          <w:rtl/>
        </w:rPr>
        <w:footnoteReference w:id="717"/>
      </w:r>
      <w:r w:rsidRPr="003024E5">
        <w:rPr>
          <w:rFonts w:asciiTheme="minorBidi" w:hAnsiTheme="minorBidi"/>
          <w:rtl/>
        </w:rPr>
        <w:t>.</w:t>
      </w:r>
    </w:p>
    <w:p w14:paraId="6EFCBBA0" w14:textId="77777777" w:rsidR="002C39F4" w:rsidRPr="003024E5" w:rsidRDefault="002C39F4" w:rsidP="002C39F4">
      <w:pPr>
        <w:pStyle w:val="a8"/>
        <w:numPr>
          <w:ilvl w:val="0"/>
          <w:numId w:val="69"/>
        </w:numPr>
        <w:rPr>
          <w:rFonts w:asciiTheme="minorBidi" w:hAnsiTheme="minorBidi"/>
        </w:rPr>
      </w:pPr>
      <w:r w:rsidRPr="003024E5">
        <w:rPr>
          <w:rFonts w:asciiTheme="minorBidi" w:hAnsiTheme="minorBidi"/>
          <w:rtl/>
        </w:rPr>
        <w:t>מרדכי</w:t>
      </w:r>
      <w:r w:rsidRPr="003024E5">
        <w:rPr>
          <w:rFonts w:asciiTheme="minorBidi" w:hAnsiTheme="minorBidi"/>
          <w:sz w:val="16"/>
          <w:szCs w:val="16"/>
          <w:rtl/>
        </w:rPr>
        <w:t xml:space="preserve"> (סי' תשכח)</w:t>
      </w:r>
      <w:r w:rsidRPr="003024E5">
        <w:rPr>
          <w:rFonts w:asciiTheme="minorBidi" w:hAnsiTheme="minorBidi"/>
          <w:rtl/>
        </w:rPr>
        <w:t xml:space="preserve"> בשם מהר"ם- מותר, ושכחתי אם אמר לי </w:t>
      </w:r>
      <w:r w:rsidRPr="003024E5">
        <w:rPr>
          <w:rFonts w:asciiTheme="minorBidi" w:hAnsiTheme="minorBidi"/>
          <w:sz w:val="16"/>
          <w:szCs w:val="16"/>
          <w:rtl/>
        </w:rPr>
        <w:t xml:space="preserve">{מהר"ם} </w:t>
      </w:r>
      <w:r w:rsidRPr="003024E5">
        <w:rPr>
          <w:rFonts w:asciiTheme="minorBidi" w:hAnsiTheme="minorBidi"/>
          <w:rtl/>
        </w:rPr>
        <w:t>הטעם, ונ"ל דהא הכא</w:t>
      </w:r>
      <w:r w:rsidRPr="003024E5">
        <w:rPr>
          <w:rFonts w:asciiTheme="minorBidi" w:hAnsiTheme="minorBidi"/>
          <w:sz w:val="16"/>
          <w:szCs w:val="16"/>
          <w:rtl/>
        </w:rPr>
        <w:t xml:space="preserve"> (קיג.) </w:t>
      </w:r>
      <w:r w:rsidRPr="003024E5">
        <w:rPr>
          <w:rFonts w:asciiTheme="minorBidi" w:hAnsiTheme="minorBidi"/>
          <w:rtl/>
        </w:rPr>
        <w:t>מסקינן לא שנא ושרי למלוח שתי חתיכות יחד משום דע"י מליחה פולט הכל בין דם עצמו בין דם הנבלע בו ממקום אחר וכל שכן ע"י צלייה דנפלט הכל אע"פ שפירש מדופן לדופן</w:t>
      </w:r>
      <w:r w:rsidRPr="003024E5">
        <w:rPr>
          <w:rStyle w:val="a7"/>
          <w:rFonts w:asciiTheme="minorBidi" w:hAnsiTheme="minorBidi"/>
          <w:rtl/>
        </w:rPr>
        <w:footnoteReference w:id="718"/>
      </w:r>
      <w:r w:rsidRPr="003024E5">
        <w:rPr>
          <w:rFonts w:asciiTheme="minorBidi" w:hAnsiTheme="minorBidi"/>
          <w:rtl/>
        </w:rPr>
        <w:t>. (וכ"פ בב"י</w:t>
      </w:r>
      <w:r w:rsidRPr="003024E5">
        <w:rPr>
          <w:rStyle w:val="a7"/>
          <w:rFonts w:asciiTheme="minorBidi" w:hAnsiTheme="minorBidi"/>
          <w:rtl/>
        </w:rPr>
        <w:footnoteReference w:id="719"/>
      </w:r>
      <w:r w:rsidRPr="003024E5">
        <w:rPr>
          <w:rFonts w:asciiTheme="minorBidi" w:hAnsiTheme="minorBidi"/>
          <w:rtl/>
        </w:rPr>
        <w:t>)</w:t>
      </w:r>
      <w:r w:rsidRPr="003024E5">
        <w:rPr>
          <w:rFonts w:asciiTheme="minorBidi" w:hAnsiTheme="minorBidi"/>
          <w:color w:val="00B0F0"/>
          <w:rtl/>
        </w:rPr>
        <w:t xml:space="preserve"> (וכ"פ הרמ"א)</w:t>
      </w:r>
    </w:p>
    <w:p w14:paraId="70B6D552" w14:textId="77777777" w:rsidR="002C39F4" w:rsidRPr="003024E5" w:rsidRDefault="002C39F4" w:rsidP="002C39F4">
      <w:pPr>
        <w:pStyle w:val="a8"/>
        <w:numPr>
          <w:ilvl w:val="0"/>
          <w:numId w:val="69"/>
        </w:numPr>
        <w:rPr>
          <w:rFonts w:asciiTheme="minorBidi" w:hAnsiTheme="minorBidi"/>
        </w:rPr>
      </w:pPr>
      <w:r w:rsidRPr="003024E5">
        <w:rPr>
          <w:rFonts w:asciiTheme="minorBidi" w:hAnsiTheme="minorBidi"/>
          <w:rtl/>
        </w:rPr>
        <w:t>מהר"י טרושין</w:t>
      </w:r>
      <w:r w:rsidRPr="003024E5">
        <w:rPr>
          <w:rStyle w:val="a7"/>
          <w:rFonts w:asciiTheme="minorBidi" w:hAnsiTheme="minorBidi"/>
          <w:rtl/>
        </w:rPr>
        <w:footnoteReference w:id="720"/>
      </w:r>
      <w:r w:rsidRPr="003024E5">
        <w:rPr>
          <w:rFonts w:asciiTheme="minorBidi" w:hAnsiTheme="minorBidi"/>
          <w:rtl/>
        </w:rPr>
        <w:t xml:space="preserve"> מהרא"י </w:t>
      </w:r>
      <w:r w:rsidRPr="003024E5">
        <w:rPr>
          <w:rFonts w:asciiTheme="minorBidi" w:hAnsiTheme="minorBidi"/>
          <w:sz w:val="16"/>
          <w:szCs w:val="16"/>
          <w:rtl/>
        </w:rPr>
        <w:t>(בהגשע"ד סי' ט סק"ד)</w:t>
      </w:r>
      <w:r w:rsidRPr="003024E5">
        <w:rPr>
          <w:rFonts w:asciiTheme="minorBidi" w:hAnsiTheme="minorBidi"/>
          <w:rtl/>
        </w:rPr>
        <w:t>- נוהגין אף לכתחלה לצלותו בלא מליחת קדרה.</w:t>
      </w:r>
    </w:p>
    <w:p w14:paraId="31228FB8" w14:textId="77777777" w:rsidR="002C39F4" w:rsidRPr="003024E5" w:rsidRDefault="002C39F4" w:rsidP="002C39F4">
      <w:pPr>
        <w:pStyle w:val="a8"/>
        <w:numPr>
          <w:ilvl w:val="0"/>
          <w:numId w:val="69"/>
        </w:numPr>
        <w:rPr>
          <w:rFonts w:asciiTheme="minorBidi" w:hAnsiTheme="minorBidi"/>
          <w:rtl/>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ח דין ה)</w:t>
      </w:r>
      <w:r w:rsidRPr="003024E5">
        <w:rPr>
          <w:rFonts w:asciiTheme="minorBidi" w:hAnsiTheme="minorBidi"/>
          <w:rtl/>
        </w:rPr>
        <w:t xml:space="preserve">- לכתחלה טוב ליזהר אמנם בדיעבד שרי. </w:t>
      </w:r>
    </w:p>
    <w:p w14:paraId="15F05319" w14:textId="77777777" w:rsidR="002C39F4" w:rsidRPr="003024E5" w:rsidRDefault="002C39F4" w:rsidP="002C39F4">
      <w:pPr>
        <w:rPr>
          <w:rFonts w:asciiTheme="minorBidi" w:hAnsiTheme="minorBidi"/>
          <w:u w:val="single"/>
        </w:rPr>
      </w:pPr>
      <w:r w:rsidRPr="003024E5">
        <w:rPr>
          <w:rFonts w:asciiTheme="minorBidi" w:hAnsiTheme="minorBidi"/>
          <w:u w:val="single"/>
          <w:rtl/>
        </w:rPr>
        <w:t>עופות שרגילים לטגנן/לבשלן קודם גמר צלייתן:</w:t>
      </w:r>
    </w:p>
    <w:p w14:paraId="3FB0A3F9" w14:textId="77777777" w:rsidR="002C39F4" w:rsidRPr="003024E5" w:rsidRDefault="002C39F4" w:rsidP="002C39F4">
      <w:pPr>
        <w:pStyle w:val="a8"/>
        <w:numPr>
          <w:ilvl w:val="0"/>
          <w:numId w:val="67"/>
        </w:numPr>
        <w:rPr>
          <w:rFonts w:asciiTheme="minorBidi" w:hAnsiTheme="minorBidi"/>
        </w:rPr>
      </w:pPr>
      <w:r w:rsidRPr="003024E5">
        <w:rPr>
          <w:rFonts w:asciiTheme="minorBidi" w:hAnsiTheme="minorBidi"/>
          <w:rtl/>
        </w:rPr>
        <w:t>ר"פ</w:t>
      </w:r>
      <w:r w:rsidRPr="003024E5">
        <w:rPr>
          <w:rFonts w:asciiTheme="minorBidi" w:hAnsiTheme="minorBidi"/>
          <w:sz w:val="16"/>
          <w:szCs w:val="16"/>
          <w:rtl/>
        </w:rPr>
        <w:t xml:space="preserve"> (בהגהות סמ"ק סי' רה אות ה, הביאו הגמ"ר </w:t>
      </w:r>
      <w:r w:rsidRPr="003024E5">
        <w:rPr>
          <w:rFonts w:asciiTheme="minorBidi" w:hAnsiTheme="minorBidi"/>
          <w:sz w:val="14"/>
          <w:szCs w:val="14"/>
          <w:rtl/>
        </w:rPr>
        <w:t>[חולין סי' תשנט]</w:t>
      </w:r>
      <w:r w:rsidRPr="003024E5">
        <w:rPr>
          <w:rFonts w:asciiTheme="minorBidi" w:hAnsiTheme="minorBidi"/>
          <w:sz w:val="16"/>
          <w:szCs w:val="16"/>
          <w:rtl/>
        </w:rPr>
        <w:t>)</w:t>
      </w:r>
      <w:r w:rsidRPr="003024E5">
        <w:rPr>
          <w:rFonts w:asciiTheme="minorBidi" w:hAnsiTheme="minorBidi"/>
          <w:rtl/>
        </w:rPr>
        <w:t>- אותם עופות שאין מקבלין מהם שומן</w:t>
      </w:r>
      <w:r w:rsidRPr="003024E5">
        <w:rPr>
          <w:rStyle w:val="a7"/>
          <w:rFonts w:asciiTheme="minorBidi" w:hAnsiTheme="minorBidi"/>
          <w:rtl/>
        </w:rPr>
        <w:footnoteReference w:id="721"/>
      </w:r>
      <w:r w:rsidRPr="003024E5">
        <w:rPr>
          <w:rFonts w:asciiTheme="minorBidi" w:hAnsiTheme="minorBidi"/>
          <w:rtl/>
        </w:rPr>
        <w:t xml:space="preserve"> אין צריך למלחם כשיעור לקדרה, ומיהו אם רוצים אח"כ לעשות מהם ציב"א בלע"ז צריך למלחם כמו לקדרה דלפעמים אין צולין אותם כי אם מעט ואח"כ מבשלין אותם והדם פורש וחוזר ונבלע</w:t>
      </w:r>
      <w:r w:rsidRPr="003024E5">
        <w:rPr>
          <w:rStyle w:val="a7"/>
          <w:rFonts w:asciiTheme="minorBidi" w:hAnsiTheme="minorBidi"/>
          <w:rtl/>
        </w:rPr>
        <w:footnoteReference w:id="722"/>
      </w:r>
      <w:r w:rsidRPr="003024E5">
        <w:rPr>
          <w:rFonts w:asciiTheme="minorBidi" w:hAnsiTheme="minorBidi"/>
          <w:rtl/>
        </w:rPr>
        <w:t>.</w:t>
      </w:r>
    </w:p>
    <w:p w14:paraId="768F62A4" w14:textId="77777777" w:rsidR="002C39F4" w:rsidRPr="003024E5" w:rsidRDefault="002C39F4" w:rsidP="002C39F4">
      <w:pPr>
        <w:pStyle w:val="a8"/>
        <w:numPr>
          <w:ilvl w:val="0"/>
          <w:numId w:val="67"/>
        </w:numPr>
        <w:rPr>
          <w:rFonts w:asciiTheme="minorBidi" w:hAnsiTheme="minorBidi"/>
        </w:rPr>
      </w:pPr>
      <w:r w:rsidRPr="003024E5">
        <w:rPr>
          <w:rFonts w:asciiTheme="minorBidi" w:hAnsiTheme="minorBidi"/>
          <w:rtl/>
        </w:rPr>
        <w:t xml:space="preserve">הג"א </w:t>
      </w:r>
      <w:r w:rsidRPr="003024E5">
        <w:rPr>
          <w:rFonts w:asciiTheme="minorBidi" w:hAnsiTheme="minorBidi"/>
          <w:sz w:val="16"/>
          <w:szCs w:val="16"/>
          <w:rtl/>
        </w:rPr>
        <w:t xml:space="preserve">(פ"ק דביצה סי' טז) </w:t>
      </w:r>
      <w:r w:rsidRPr="003024E5">
        <w:rPr>
          <w:rFonts w:asciiTheme="minorBidi" w:hAnsiTheme="minorBidi"/>
          <w:rtl/>
        </w:rPr>
        <w:t>בשם התוס'- אם רצה אדם לטגן יונים צלוים במחבת צריך להשהות בצלייה עד שיצא הדם כשיעור מליחה שאל</w:t>
      </w:r>
      <w:r>
        <w:rPr>
          <w:rFonts w:asciiTheme="minorBidi" w:hAnsiTheme="minorBidi" w:hint="cs"/>
          <w:rtl/>
        </w:rPr>
        <w:t>"</w:t>
      </w:r>
      <w:r w:rsidRPr="003024E5">
        <w:rPr>
          <w:rFonts w:asciiTheme="minorBidi" w:hAnsiTheme="minorBidi"/>
          <w:rtl/>
        </w:rPr>
        <w:t>כ יחזור הדם מן המחבת ויכנס בחתיכות.</w:t>
      </w:r>
    </w:p>
    <w:p w14:paraId="75C82FF3" w14:textId="77777777" w:rsidR="002C39F4" w:rsidRDefault="002C39F4" w:rsidP="002C39F4">
      <w:pPr>
        <w:pStyle w:val="a8"/>
        <w:numPr>
          <w:ilvl w:val="0"/>
          <w:numId w:val="67"/>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ח דין י)</w:t>
      </w:r>
      <w:r w:rsidRPr="003024E5">
        <w:rPr>
          <w:rFonts w:asciiTheme="minorBidi" w:hAnsiTheme="minorBidi"/>
          <w:rtl/>
        </w:rPr>
        <w:t>- כל צלי יצלה לכתח</w:t>
      </w:r>
      <w:r>
        <w:rPr>
          <w:rFonts w:asciiTheme="minorBidi" w:hAnsiTheme="minorBidi" w:hint="cs"/>
          <w:rtl/>
        </w:rPr>
        <w:t>י</w:t>
      </w:r>
      <w:r w:rsidRPr="003024E5">
        <w:rPr>
          <w:rFonts w:asciiTheme="minorBidi" w:hAnsiTheme="minorBidi"/>
          <w:rtl/>
        </w:rPr>
        <w:t>לה כחצי צלייתו כדי שיזוב דמו ואז מותר לבשלו</w:t>
      </w:r>
      <w:r w:rsidRPr="003024E5">
        <w:rPr>
          <w:rStyle w:val="a7"/>
          <w:rFonts w:asciiTheme="minorBidi" w:hAnsiTheme="minorBidi"/>
          <w:rtl/>
        </w:rPr>
        <w:footnoteReference w:id="723"/>
      </w:r>
      <w:r w:rsidRPr="003024E5">
        <w:rPr>
          <w:rFonts w:asciiTheme="minorBidi" w:hAnsiTheme="minorBidi"/>
          <w:rtl/>
        </w:rPr>
        <w:t>.</w:t>
      </w:r>
      <w:r w:rsidRPr="003024E5">
        <w:rPr>
          <w:rFonts w:asciiTheme="minorBidi" w:hAnsiTheme="minorBidi"/>
          <w:color w:val="00B0F0"/>
          <w:rtl/>
        </w:rPr>
        <w:t xml:space="preserve"> (וכ"פ הרמ"א)</w:t>
      </w:r>
    </w:p>
    <w:p w14:paraId="1BE47F95" w14:textId="77777777" w:rsidR="002C39F4" w:rsidRPr="005040E9" w:rsidRDefault="002C39F4" w:rsidP="002C39F4">
      <w:pPr>
        <w:rPr>
          <w:rFonts w:asciiTheme="minorBidi" w:hAnsiTheme="minorBidi"/>
          <w:sz w:val="14"/>
          <w:szCs w:val="14"/>
        </w:rPr>
      </w:pPr>
      <w:r>
        <w:rPr>
          <w:rFonts w:asciiTheme="minorBidi" w:hAnsiTheme="minorBidi" w:cs="Arial" w:hint="cs"/>
          <w:b/>
          <w:bCs/>
          <w:rtl/>
        </w:rPr>
        <w:t xml:space="preserve">חולין לג ע"א: </w:t>
      </w:r>
      <w:r w:rsidRPr="005C42E3">
        <w:rPr>
          <w:rFonts w:asciiTheme="minorBidi" w:hAnsiTheme="minorBidi" w:cs="Arial"/>
          <w:rtl/>
        </w:rPr>
        <w:t>תניא</w:t>
      </w:r>
      <w:r>
        <w:rPr>
          <w:rFonts w:asciiTheme="minorBidi" w:hAnsiTheme="minorBidi" w:cs="Arial" w:hint="cs"/>
          <w:rtl/>
        </w:rPr>
        <w:t>...</w:t>
      </w:r>
      <w:r w:rsidRPr="005C42E3">
        <w:rPr>
          <w:rFonts w:asciiTheme="minorBidi" w:hAnsiTheme="minorBidi" w:cs="Arial"/>
          <w:rtl/>
        </w:rPr>
        <w:t xml:space="preserve"> הרוצה לאכול מבהמה קודם שתצא נפשה, חותך כזית בשר מבית השחיטה ומולחו יפה יפה ומדיחו יפה יפה, וממתין לה עד שתצא נפשה ואוכלו, אחד עובד כוכבים ואחד ישראל מותרין בו.</w:t>
      </w:r>
      <w:r w:rsidRPr="00B00283">
        <w:rPr>
          <w:rtl/>
        </w:rPr>
        <w:t xml:space="preserve"> </w:t>
      </w:r>
      <w:r w:rsidRPr="00B00283">
        <w:rPr>
          <w:rFonts w:asciiTheme="minorBidi" w:hAnsiTheme="minorBidi" w:cs="Arial" w:hint="cs"/>
          <w:sz w:val="16"/>
          <w:szCs w:val="16"/>
          <w:rtl/>
        </w:rPr>
        <w:t>(</w:t>
      </w:r>
      <w:r w:rsidRPr="00B00283">
        <w:rPr>
          <w:rFonts w:asciiTheme="minorBidi" w:hAnsiTheme="minorBidi" w:cs="Arial"/>
          <w:sz w:val="16"/>
          <w:szCs w:val="16"/>
          <w:rtl/>
        </w:rPr>
        <w:t>ומקשו הכא האי כזית בשר למאי קא בעי ליה אי לקדרה דבעי מליחה מאי ממתין לה עד שתצא נפשה דקאמר הא ודאי בשיעור מליחה ובישול כבר יצאה נשמתה ואי לאומצא ולצלי מאי מולחו יפה יפה דקאמר והא לא בעו מליחה וכמו שפירשתי למעלה</w:t>
      </w:r>
      <w:r>
        <w:rPr>
          <w:rFonts w:asciiTheme="minorBidi" w:hAnsiTheme="minorBidi" w:cs="Arial" w:hint="cs"/>
          <w:sz w:val="16"/>
          <w:szCs w:val="16"/>
          <w:rtl/>
        </w:rPr>
        <w:t>,</w:t>
      </w:r>
      <w:r w:rsidRPr="00B00283">
        <w:rPr>
          <w:rFonts w:asciiTheme="minorBidi" w:hAnsiTheme="minorBidi" w:cs="Arial"/>
          <w:sz w:val="16"/>
          <w:szCs w:val="16"/>
          <w:rtl/>
        </w:rPr>
        <w:t xml:space="preserve"> י"ל לעולם לאומצא</w:t>
      </w:r>
      <w:r>
        <w:rPr>
          <w:rFonts w:asciiTheme="minorBidi" w:hAnsiTheme="minorBidi" w:cs="Arial" w:hint="cs"/>
          <w:sz w:val="16"/>
          <w:szCs w:val="16"/>
          <w:rtl/>
        </w:rPr>
        <w:t>,</w:t>
      </w:r>
      <w:r w:rsidRPr="00B00283">
        <w:rPr>
          <w:rFonts w:asciiTheme="minorBidi" w:hAnsiTheme="minorBidi" w:cs="Arial"/>
          <w:sz w:val="16"/>
          <w:szCs w:val="16"/>
          <w:rtl/>
        </w:rPr>
        <w:t xml:space="preserve"> א</w:t>
      </w:r>
      <w:r>
        <w:rPr>
          <w:rFonts w:asciiTheme="minorBidi" w:hAnsiTheme="minorBidi" w:cs="Arial" w:hint="cs"/>
          <w:sz w:val="16"/>
          <w:szCs w:val="16"/>
          <w:rtl/>
        </w:rPr>
        <w:t>"נ</w:t>
      </w:r>
      <w:r w:rsidRPr="00B00283">
        <w:rPr>
          <w:rFonts w:asciiTheme="minorBidi" w:hAnsiTheme="minorBidi" w:cs="Arial"/>
          <w:sz w:val="16"/>
          <w:szCs w:val="16"/>
          <w:rtl/>
        </w:rPr>
        <w:t xml:space="preserve"> לצלי ואע</w:t>
      </w:r>
      <w:r>
        <w:rPr>
          <w:rFonts w:asciiTheme="minorBidi" w:hAnsiTheme="minorBidi" w:cs="Arial" w:hint="cs"/>
          <w:sz w:val="16"/>
          <w:szCs w:val="16"/>
          <w:rtl/>
        </w:rPr>
        <w:t>"</w:t>
      </w:r>
      <w:r w:rsidRPr="00B00283">
        <w:rPr>
          <w:rFonts w:asciiTheme="minorBidi" w:hAnsiTheme="minorBidi" w:cs="Arial"/>
          <w:sz w:val="16"/>
          <w:szCs w:val="16"/>
          <w:rtl/>
        </w:rPr>
        <w:t>ג דבעלמא לא בעו מליחה הכא בעו כיון דמבית שחיטתה קא חתיך ועד שלא תצא נפשה שהדם נעקר ממקומו ומתמצה דרך שם</w:t>
      </w:r>
      <w:r w:rsidRPr="005040E9">
        <w:rPr>
          <w:rStyle w:val="a7"/>
          <w:rFonts w:asciiTheme="minorBidi" w:hAnsiTheme="minorBidi"/>
          <w:sz w:val="16"/>
          <w:szCs w:val="16"/>
          <w:rtl/>
        </w:rPr>
        <w:footnoteReference w:id="724"/>
      </w:r>
      <w:r>
        <w:rPr>
          <w:rFonts w:asciiTheme="minorBidi" w:hAnsiTheme="minorBidi" w:cs="Arial" w:hint="cs"/>
          <w:sz w:val="16"/>
          <w:szCs w:val="16"/>
          <w:rtl/>
        </w:rPr>
        <w:t xml:space="preserve">, ר"ן </w:t>
      </w:r>
      <w:r w:rsidRPr="005040E9">
        <w:rPr>
          <w:rFonts w:asciiTheme="minorBidi" w:hAnsiTheme="minorBidi" w:cs="Arial" w:hint="cs"/>
          <w:sz w:val="12"/>
          <w:szCs w:val="12"/>
          <w:rtl/>
        </w:rPr>
        <w:t>[ז: מדפה"ר, הביא הדרכ"מ (אות ה) חלק מדבריו]</w:t>
      </w:r>
      <w:r>
        <w:rPr>
          <w:rFonts w:asciiTheme="minorBidi" w:hAnsiTheme="minorBidi" w:cs="Arial" w:hint="cs"/>
          <w:sz w:val="16"/>
          <w:szCs w:val="16"/>
          <w:rtl/>
        </w:rPr>
        <w:t xml:space="preserve">. וכ"כ הרשב"א </w:t>
      </w:r>
      <w:r w:rsidRPr="005040E9">
        <w:rPr>
          <w:rFonts w:asciiTheme="minorBidi" w:hAnsiTheme="minorBidi" w:cs="Arial" w:hint="cs"/>
          <w:sz w:val="12"/>
          <w:szCs w:val="12"/>
          <w:rtl/>
        </w:rPr>
        <w:t>[בחידו' לג. ד"ה ומולחן]</w:t>
      </w:r>
      <w:r>
        <w:rPr>
          <w:rFonts w:asciiTheme="minorBidi" w:hAnsiTheme="minorBidi" w:cs="Arial" w:hint="cs"/>
          <w:sz w:val="16"/>
          <w:szCs w:val="16"/>
          <w:rtl/>
        </w:rPr>
        <w:t>. וכ"פ בת"ח</w:t>
      </w:r>
      <w:r>
        <w:rPr>
          <w:rFonts w:asciiTheme="minorBidi" w:hAnsiTheme="minorBidi" w:cs="Arial" w:hint="cs"/>
          <w:sz w:val="14"/>
          <w:szCs w:val="14"/>
          <w:rtl/>
        </w:rPr>
        <w:t xml:space="preserve"> </w:t>
      </w:r>
      <w:r w:rsidRPr="005040E9">
        <w:rPr>
          <w:rFonts w:asciiTheme="minorBidi" w:hAnsiTheme="minorBidi" w:cs="Arial" w:hint="cs"/>
          <w:sz w:val="12"/>
          <w:szCs w:val="12"/>
          <w:rtl/>
        </w:rPr>
        <w:t>[כלל ט ד"ח]</w:t>
      </w:r>
      <w:r>
        <w:rPr>
          <w:rFonts w:asciiTheme="minorBidi" w:hAnsiTheme="minorBidi" w:cs="Arial" w:hint="cs"/>
          <w:sz w:val="16"/>
          <w:szCs w:val="16"/>
          <w:rtl/>
        </w:rPr>
        <w:t>)</w:t>
      </w:r>
    </w:p>
    <w:p w14:paraId="27FF25D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25A5643" w14:textId="77777777" w:rsidR="002C39F4" w:rsidRPr="003024E5" w:rsidRDefault="002C39F4" w:rsidP="002C39F4">
      <w:pPr>
        <w:rPr>
          <w:rFonts w:asciiTheme="minorBidi" w:hAnsiTheme="minorBidi"/>
          <w:rtl/>
        </w:rPr>
      </w:pPr>
      <w:r w:rsidRPr="003024E5">
        <w:rPr>
          <w:rFonts w:asciiTheme="minorBidi" w:hAnsiTheme="minorBidi"/>
          <w:rtl/>
        </w:rPr>
        <w:t>רצה למלוח צלי ולאכלו בלא הדחה, עושה, ואין לחוש לדם שעל המלח, ויש מי שאומר דהני מילי כשמולחו וצולהו מיד, אבל אם שהה במלחו</w:t>
      </w:r>
      <w:r w:rsidRPr="003024E5">
        <w:rPr>
          <w:rStyle w:val="a7"/>
          <w:rFonts w:asciiTheme="minorBidi" w:hAnsiTheme="minorBidi"/>
          <w:rtl/>
        </w:rPr>
        <w:footnoteReference w:id="725"/>
      </w:r>
      <w:r w:rsidRPr="003024E5">
        <w:rPr>
          <w:rFonts w:asciiTheme="minorBidi" w:hAnsiTheme="minorBidi"/>
          <w:rtl/>
        </w:rPr>
        <w:t>, המלח בולע ונאסר</w:t>
      </w:r>
      <w:r w:rsidRPr="003024E5">
        <w:rPr>
          <w:rStyle w:val="a7"/>
          <w:rFonts w:asciiTheme="minorBidi" w:hAnsiTheme="minorBidi"/>
          <w:rtl/>
        </w:rPr>
        <w:footnoteReference w:id="726"/>
      </w:r>
      <w:r w:rsidRPr="003024E5">
        <w:rPr>
          <w:rFonts w:asciiTheme="minorBidi" w:hAnsiTheme="minorBidi"/>
          <w:rtl/>
        </w:rPr>
        <w:t xml:space="preserve">, לפיכך מדיחו יפה קודם צלייה. </w:t>
      </w:r>
      <w:r w:rsidRPr="003024E5">
        <w:rPr>
          <w:rFonts w:asciiTheme="minorBidi" w:hAnsiTheme="minorBidi"/>
          <w:sz w:val="18"/>
          <w:szCs w:val="18"/>
          <w:rtl/>
        </w:rPr>
        <w:t>הגה: וי"א דצלי בעי הדחה תחלה</w:t>
      </w:r>
      <w:r w:rsidRPr="003024E5">
        <w:rPr>
          <w:rStyle w:val="a7"/>
          <w:rFonts w:asciiTheme="minorBidi" w:hAnsiTheme="minorBidi"/>
          <w:sz w:val="18"/>
          <w:szCs w:val="18"/>
          <w:rtl/>
        </w:rPr>
        <w:footnoteReference w:id="727"/>
      </w:r>
      <w:r w:rsidRPr="003024E5">
        <w:rPr>
          <w:rFonts w:asciiTheme="minorBidi" w:hAnsiTheme="minorBidi"/>
          <w:sz w:val="18"/>
          <w:szCs w:val="18"/>
          <w:rtl/>
        </w:rPr>
        <w:t xml:space="preserve"> (רמב"ן), וי"א דצריך גם כן קצת מליחה תחלה (רש"י), והמנהג להדיח תחלה וגם למלחו קצת כאשר נתחב בשפוד וצולהו מיד קודם שיתמלא המלח דם (הגשע"ד), מיהו אם לא הדיחו ולא מלחו כלל, או מלחו בלא הדחה תחלה, ונצלה כך מותר</w:t>
      </w:r>
      <w:r w:rsidRPr="003024E5">
        <w:rPr>
          <w:rStyle w:val="a7"/>
          <w:rFonts w:asciiTheme="minorBidi" w:hAnsiTheme="minorBidi"/>
          <w:sz w:val="18"/>
          <w:szCs w:val="18"/>
          <w:rtl/>
        </w:rPr>
        <w:footnoteReference w:id="728"/>
      </w:r>
      <w:r w:rsidRPr="003024E5">
        <w:rPr>
          <w:rFonts w:asciiTheme="minorBidi" w:hAnsiTheme="minorBidi"/>
          <w:sz w:val="18"/>
          <w:szCs w:val="18"/>
          <w:rtl/>
        </w:rPr>
        <w:t>, ובלבד שלא שהה כך במליחתו בלא הדחה שיעור מליחתו</w:t>
      </w:r>
      <w:r w:rsidRPr="003024E5">
        <w:rPr>
          <w:rStyle w:val="a7"/>
          <w:rFonts w:asciiTheme="minorBidi" w:hAnsiTheme="minorBidi"/>
          <w:sz w:val="18"/>
          <w:szCs w:val="18"/>
          <w:rtl/>
        </w:rPr>
        <w:footnoteReference w:id="729"/>
      </w:r>
      <w:r w:rsidRPr="003024E5">
        <w:rPr>
          <w:rFonts w:asciiTheme="minorBidi" w:hAnsiTheme="minorBidi"/>
          <w:sz w:val="18"/>
          <w:szCs w:val="18"/>
          <w:rtl/>
        </w:rPr>
        <w:t>, אבל אם שהה כל כך קודם שצלאו אסור (כ"מ בארוך). ואין חילוק בכל זה בין אווזות ושאר עופות החלולים</w:t>
      </w:r>
      <w:r w:rsidRPr="003024E5">
        <w:rPr>
          <w:rStyle w:val="a7"/>
          <w:rFonts w:asciiTheme="minorBidi" w:hAnsiTheme="minorBidi"/>
          <w:sz w:val="18"/>
          <w:szCs w:val="18"/>
          <w:rtl/>
        </w:rPr>
        <w:footnoteReference w:id="730"/>
      </w:r>
      <w:r w:rsidRPr="003024E5">
        <w:rPr>
          <w:rFonts w:asciiTheme="minorBidi" w:hAnsiTheme="minorBidi"/>
          <w:sz w:val="18"/>
          <w:szCs w:val="18"/>
          <w:rtl/>
        </w:rPr>
        <w:t xml:space="preserve"> (מרדכי והגשע"ד וב"י), ובלבד שלא יהיו מלואים בביצים או בשאר בשר</w:t>
      </w:r>
      <w:r w:rsidRPr="003024E5">
        <w:rPr>
          <w:rStyle w:val="a7"/>
          <w:rFonts w:asciiTheme="minorBidi" w:hAnsiTheme="minorBidi"/>
          <w:sz w:val="18"/>
          <w:szCs w:val="18"/>
          <w:rtl/>
        </w:rPr>
        <w:footnoteReference w:id="731"/>
      </w:r>
      <w:r w:rsidRPr="003024E5">
        <w:rPr>
          <w:rFonts w:asciiTheme="minorBidi" w:hAnsiTheme="minorBidi"/>
          <w:sz w:val="18"/>
          <w:szCs w:val="18"/>
          <w:rtl/>
        </w:rPr>
        <w:t>, אבל אם הם מלואים, דינם כבישול וצריכים מליחה תחלה כמו לקדרה (הגשע"ד). ונהגו להחמיר כשצולין בשר בלא מליחה</w:t>
      </w:r>
      <w:r w:rsidRPr="003024E5">
        <w:rPr>
          <w:rStyle w:val="a7"/>
          <w:rFonts w:asciiTheme="minorBidi" w:hAnsiTheme="minorBidi"/>
          <w:sz w:val="18"/>
          <w:szCs w:val="18"/>
          <w:rtl/>
        </w:rPr>
        <w:footnoteReference w:id="732"/>
      </w:r>
      <w:r w:rsidRPr="003024E5">
        <w:rPr>
          <w:rFonts w:asciiTheme="minorBidi" w:hAnsiTheme="minorBidi"/>
          <w:sz w:val="18"/>
          <w:szCs w:val="18"/>
          <w:rtl/>
        </w:rPr>
        <w:t xml:space="preserve"> שלא להפך השפוד תמיד כדי שיזוב הדם ובדיעבד אין לחוש (ארוך כלל ט). ואין חלוק בכל זה בין אם רוצה לאכלו כך צלי או רוצה לבשלו אחר כך, רק שיצלנו תחלה כדי שיהא ראוי לאכילה</w:t>
      </w:r>
      <w:r w:rsidRPr="003024E5">
        <w:rPr>
          <w:rStyle w:val="a7"/>
          <w:rFonts w:asciiTheme="minorBidi" w:hAnsiTheme="minorBidi"/>
          <w:sz w:val="18"/>
          <w:szCs w:val="18"/>
          <w:rtl/>
        </w:rPr>
        <w:footnoteReference w:id="733"/>
      </w:r>
      <w:r w:rsidRPr="003024E5">
        <w:rPr>
          <w:rFonts w:asciiTheme="minorBidi" w:hAnsiTheme="minorBidi"/>
          <w:sz w:val="18"/>
          <w:szCs w:val="18"/>
          <w:rtl/>
        </w:rPr>
        <w:t>, דהיינו כחצי צלייתו</w:t>
      </w:r>
      <w:r w:rsidRPr="003024E5">
        <w:rPr>
          <w:rStyle w:val="a7"/>
          <w:rFonts w:asciiTheme="minorBidi" w:hAnsiTheme="minorBidi"/>
          <w:sz w:val="18"/>
          <w:szCs w:val="18"/>
          <w:rtl/>
        </w:rPr>
        <w:footnoteReference w:id="734"/>
      </w:r>
      <w:r w:rsidRPr="003024E5">
        <w:rPr>
          <w:rFonts w:asciiTheme="minorBidi" w:hAnsiTheme="minorBidi"/>
          <w:sz w:val="18"/>
          <w:szCs w:val="18"/>
          <w:rtl/>
        </w:rPr>
        <w:t xml:space="preserve"> (שם). י"א דכל צלי צריך הדחה אחר צלייתו משום דם הדבוק בו</w:t>
      </w:r>
      <w:r w:rsidRPr="003024E5">
        <w:rPr>
          <w:rStyle w:val="a7"/>
          <w:rFonts w:asciiTheme="minorBidi" w:hAnsiTheme="minorBidi"/>
          <w:sz w:val="18"/>
          <w:szCs w:val="18"/>
          <w:rtl/>
        </w:rPr>
        <w:footnoteReference w:id="735"/>
      </w:r>
      <w:r w:rsidRPr="003024E5">
        <w:rPr>
          <w:rFonts w:asciiTheme="minorBidi" w:hAnsiTheme="minorBidi"/>
          <w:sz w:val="18"/>
          <w:szCs w:val="18"/>
          <w:rtl/>
        </w:rPr>
        <w:t xml:space="preserve"> (אגודה ואגור), וכן נוהגין לכתחלה. מיהו אם לא הדיחו, ואפילו בשלו כך, מותר (ע"ל סי' עג). ואפילו נמלח תחלה קודם צלייתו ולא הודח אחר המליחה אפילו הכי מותר ולא חיישינן לדם ומלח שעליו דנורא משאב שאיב (או"ה).</w:t>
      </w:r>
      <w:r w:rsidRPr="003024E5">
        <w:rPr>
          <w:rFonts w:asciiTheme="minorBidi" w:hAnsiTheme="minorBidi"/>
          <w:rtl/>
        </w:rPr>
        <w:t xml:space="preserve"> </w:t>
      </w:r>
    </w:p>
    <w:p w14:paraId="5EABF692" w14:textId="77777777" w:rsidR="002C39F4" w:rsidRPr="003024E5" w:rsidRDefault="002C39F4" w:rsidP="002C39F4">
      <w:pPr>
        <w:rPr>
          <w:rFonts w:asciiTheme="minorBidi" w:hAnsiTheme="minorBidi"/>
          <w:rtl/>
        </w:rPr>
      </w:pPr>
    </w:p>
    <w:p w14:paraId="061F1BA8" w14:textId="77777777" w:rsidR="002C39F4" w:rsidRPr="003024E5" w:rsidRDefault="002C39F4" w:rsidP="002C39F4">
      <w:pPr>
        <w:pStyle w:val="2"/>
        <w:rPr>
          <w:rFonts w:asciiTheme="minorBidi" w:hAnsiTheme="minorBidi"/>
          <w:rtl/>
        </w:rPr>
      </w:pPr>
      <w:r w:rsidRPr="003024E5">
        <w:rPr>
          <w:rFonts w:asciiTheme="minorBidi" w:hAnsiTheme="minorBidi"/>
          <w:rtl/>
        </w:rPr>
        <w:t>סעיף ג: לא ניקב ורידי העוף בשעת שחיטה.</w:t>
      </w:r>
    </w:p>
    <w:p w14:paraId="7274B3A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21BF8CA" w14:textId="77777777" w:rsidR="002C39F4" w:rsidRPr="003024E5" w:rsidRDefault="002C39F4" w:rsidP="002C39F4">
      <w:pPr>
        <w:rPr>
          <w:rFonts w:asciiTheme="minorBidi" w:hAnsiTheme="minorBidi"/>
          <w:rtl/>
        </w:rPr>
      </w:pPr>
      <w:r w:rsidRPr="003024E5">
        <w:rPr>
          <w:rStyle w:val="a7"/>
          <w:rFonts w:asciiTheme="minorBidi" w:hAnsiTheme="minorBidi"/>
          <w:rtl/>
        </w:rPr>
        <w:footnoteReference w:id="736"/>
      </w:r>
      <w:r w:rsidRPr="003024E5">
        <w:rPr>
          <w:rFonts w:asciiTheme="minorBidi" w:hAnsiTheme="minorBidi"/>
          <w:rtl/>
        </w:rPr>
        <w:t>לא נקב הורידים [בעוף] בשעת שחיטה אסור לאכלו ואפילו צלי עד שיחתוך אבר אבר ויצלה, רצה לאכול ממנו בשר חי אסור עד שיחתוך וימלח</w:t>
      </w:r>
      <w:r w:rsidRPr="003024E5">
        <w:rPr>
          <w:rStyle w:val="a7"/>
          <w:rFonts w:asciiTheme="minorBidi" w:hAnsiTheme="minorBidi"/>
          <w:rtl/>
        </w:rPr>
        <w:footnoteReference w:id="737"/>
      </w:r>
      <w:r w:rsidRPr="003024E5">
        <w:rPr>
          <w:rFonts w:asciiTheme="minorBidi" w:hAnsiTheme="minorBidi"/>
          <w:rtl/>
        </w:rPr>
        <w:t>, ואם נקר הבשר מחוטי דם אוכל אפילו בלא מליחה חי או צלי</w:t>
      </w:r>
      <w:r w:rsidRPr="003024E5">
        <w:rPr>
          <w:rStyle w:val="a7"/>
          <w:rFonts w:asciiTheme="minorBidi" w:hAnsiTheme="minorBidi"/>
          <w:rtl/>
        </w:rPr>
        <w:footnoteReference w:id="738"/>
      </w:r>
      <w:r w:rsidRPr="003024E5">
        <w:rPr>
          <w:rFonts w:asciiTheme="minorBidi" w:hAnsiTheme="minorBidi"/>
          <w:rtl/>
        </w:rPr>
        <w:t xml:space="preserve"> ואפילו כולו כאחד</w:t>
      </w:r>
      <w:r w:rsidRPr="003024E5">
        <w:rPr>
          <w:rStyle w:val="a7"/>
          <w:rFonts w:asciiTheme="minorBidi" w:hAnsiTheme="minorBidi"/>
          <w:rtl/>
        </w:rPr>
        <w:footnoteReference w:id="739"/>
      </w:r>
      <w:r w:rsidRPr="003024E5">
        <w:rPr>
          <w:rFonts w:asciiTheme="minorBidi" w:hAnsiTheme="minorBidi"/>
          <w:rtl/>
        </w:rPr>
        <w:t>, ויש שהחמירו</w:t>
      </w:r>
      <w:r w:rsidRPr="003024E5">
        <w:rPr>
          <w:rStyle w:val="a7"/>
          <w:rFonts w:asciiTheme="minorBidi" w:hAnsiTheme="minorBidi"/>
          <w:rtl/>
        </w:rPr>
        <w:footnoteReference w:id="740"/>
      </w:r>
      <w:r w:rsidRPr="003024E5">
        <w:rPr>
          <w:rFonts w:asciiTheme="minorBidi" w:hAnsiTheme="minorBidi"/>
          <w:rtl/>
        </w:rPr>
        <w:t xml:space="preserve"> שלא לאכלו כולו כאחד אפילו בצלי אלא לאחר חתיכת הורידין</w:t>
      </w:r>
      <w:r w:rsidRPr="003024E5">
        <w:rPr>
          <w:rStyle w:val="a7"/>
          <w:rFonts w:asciiTheme="minorBidi" w:hAnsiTheme="minorBidi"/>
          <w:rtl/>
        </w:rPr>
        <w:footnoteReference w:id="741"/>
      </w:r>
      <w:r w:rsidRPr="003024E5">
        <w:rPr>
          <w:rFonts w:asciiTheme="minorBidi" w:hAnsiTheme="minorBidi"/>
          <w:rtl/>
        </w:rPr>
        <w:t xml:space="preserve"> (ורוב שני הסימנים</w:t>
      </w:r>
      <w:r w:rsidRPr="003024E5">
        <w:rPr>
          <w:rStyle w:val="a7"/>
          <w:rFonts w:asciiTheme="minorBidi" w:hAnsiTheme="minorBidi"/>
          <w:rtl/>
        </w:rPr>
        <w:footnoteReference w:id="742"/>
      </w:r>
      <w:r w:rsidRPr="003024E5">
        <w:rPr>
          <w:rFonts w:asciiTheme="minorBidi" w:hAnsiTheme="minorBidi"/>
          <w:rtl/>
        </w:rPr>
        <w:t xml:space="preserve">). </w:t>
      </w:r>
    </w:p>
    <w:p w14:paraId="06241402" w14:textId="77777777" w:rsidR="002C39F4" w:rsidRPr="003024E5" w:rsidRDefault="002C39F4" w:rsidP="002C39F4">
      <w:pPr>
        <w:rPr>
          <w:rFonts w:asciiTheme="minorBidi" w:hAnsiTheme="minorBidi"/>
          <w:rtl/>
        </w:rPr>
      </w:pPr>
    </w:p>
    <w:p w14:paraId="3120542A" w14:textId="77777777" w:rsidR="002C39F4" w:rsidRPr="003024E5" w:rsidRDefault="002C39F4" w:rsidP="002C39F4">
      <w:pPr>
        <w:pStyle w:val="2"/>
        <w:rPr>
          <w:rFonts w:asciiTheme="minorBidi" w:hAnsiTheme="minorBidi"/>
          <w:rtl/>
        </w:rPr>
      </w:pPr>
      <w:r w:rsidRPr="003024E5">
        <w:rPr>
          <w:rFonts w:asciiTheme="minorBidi" w:hAnsiTheme="minorBidi"/>
          <w:rtl/>
        </w:rPr>
        <w:t>סעיף ד: שפוד וסכין ששימשו לבשר שנצלה ללא מליחה.</w:t>
      </w:r>
    </w:p>
    <w:p w14:paraId="4049AC03" w14:textId="77777777" w:rsidR="002C39F4" w:rsidRPr="003024E5" w:rsidRDefault="002C39F4" w:rsidP="002C39F4">
      <w:pPr>
        <w:rPr>
          <w:rFonts w:asciiTheme="minorBidi" w:hAnsiTheme="minorBidi"/>
          <w:sz w:val="16"/>
          <w:szCs w:val="16"/>
          <w:u w:val="single"/>
          <w:rtl/>
        </w:rPr>
      </w:pPr>
      <w:r w:rsidRPr="003024E5">
        <w:rPr>
          <w:rFonts w:asciiTheme="minorBidi" w:hAnsiTheme="minorBidi"/>
          <w:u w:val="single"/>
          <w:rtl/>
        </w:rPr>
        <w:t>שפוד שצולין בו בשר שלא נמלח:</w:t>
      </w:r>
      <w:r w:rsidRPr="003024E5">
        <w:rPr>
          <w:rFonts w:asciiTheme="minorBidi" w:hAnsiTheme="minorBidi"/>
          <w:sz w:val="16"/>
          <w:szCs w:val="16"/>
          <w:rtl/>
        </w:rPr>
        <w:t xml:space="preserve">  (ב"י ודרכ"מ אות ו)</w:t>
      </w:r>
    </w:p>
    <w:p w14:paraId="6558B4BC" w14:textId="77777777" w:rsidR="002C39F4" w:rsidRPr="003024E5" w:rsidRDefault="002C39F4" w:rsidP="002C39F4">
      <w:pPr>
        <w:pStyle w:val="a8"/>
        <w:numPr>
          <w:ilvl w:val="0"/>
          <w:numId w:val="71"/>
        </w:numPr>
        <w:rPr>
          <w:rFonts w:asciiTheme="minorBidi" w:hAnsiTheme="minorBidi"/>
        </w:rPr>
      </w:pPr>
      <w:r>
        <w:rPr>
          <w:rFonts w:asciiTheme="minorBidi" w:hAnsiTheme="minorBidi" w:hint="cs"/>
          <w:rtl/>
        </w:rPr>
        <w:t xml:space="preserve">ר"ת </w:t>
      </w:r>
      <w:r>
        <w:rPr>
          <w:rFonts w:asciiTheme="minorBidi" w:hAnsiTheme="minorBidi" w:hint="cs"/>
          <w:sz w:val="16"/>
          <w:szCs w:val="16"/>
          <w:rtl/>
        </w:rPr>
        <w:t xml:space="preserve">(כ"כ בשמו האו"ה [כלל לו ד"ט]) </w:t>
      </w:r>
      <w:r w:rsidRPr="003024E5">
        <w:rPr>
          <w:rFonts w:asciiTheme="minorBidi" w:hAnsiTheme="minorBidi"/>
          <w:rtl/>
        </w:rPr>
        <w:t xml:space="preserve">מרדכי </w:t>
      </w:r>
      <w:r w:rsidRPr="003024E5">
        <w:rPr>
          <w:rFonts w:asciiTheme="minorBidi" w:hAnsiTheme="minorBidi"/>
          <w:sz w:val="16"/>
          <w:szCs w:val="16"/>
          <w:rtl/>
        </w:rPr>
        <w:t>(סי' תשא)</w:t>
      </w:r>
      <w:r w:rsidRPr="003024E5">
        <w:rPr>
          <w:rFonts w:asciiTheme="minorBidi" w:hAnsiTheme="minorBidi"/>
          <w:rtl/>
        </w:rPr>
        <w:t xml:space="preserve"> רא"ש</w:t>
      </w:r>
      <w:r w:rsidRPr="003024E5">
        <w:rPr>
          <w:rFonts w:asciiTheme="minorBidi" w:hAnsiTheme="minorBidi"/>
          <w:sz w:val="16"/>
          <w:szCs w:val="16"/>
          <w:rtl/>
        </w:rPr>
        <w:t xml:space="preserve"> (פכ</w:t>
      </w:r>
      <w:r>
        <w:rPr>
          <w:rFonts w:asciiTheme="minorBidi" w:hAnsiTheme="minorBidi" w:hint="cs"/>
          <w:sz w:val="16"/>
          <w:szCs w:val="16"/>
          <w:rtl/>
        </w:rPr>
        <w:t>"</w:t>
      </w:r>
      <w:r w:rsidRPr="003024E5">
        <w:rPr>
          <w:rFonts w:asciiTheme="minorBidi" w:hAnsiTheme="minorBidi"/>
          <w:sz w:val="16"/>
          <w:szCs w:val="16"/>
          <w:rtl/>
        </w:rPr>
        <w:t>ה סי' לו)</w:t>
      </w:r>
      <w:r w:rsidRPr="003024E5">
        <w:rPr>
          <w:rFonts w:asciiTheme="minorBidi" w:hAnsiTheme="minorBidi"/>
          <w:rtl/>
        </w:rPr>
        <w:t xml:space="preserve"> ור"ן </w:t>
      </w:r>
      <w:r w:rsidRPr="003024E5">
        <w:rPr>
          <w:rFonts w:asciiTheme="minorBidi" w:hAnsiTheme="minorBidi"/>
          <w:sz w:val="16"/>
          <w:szCs w:val="16"/>
          <w:rtl/>
        </w:rPr>
        <w:t>(מא: ד"ה ומיהו)</w:t>
      </w:r>
      <w:r w:rsidRPr="003024E5">
        <w:rPr>
          <w:rFonts w:asciiTheme="minorBidi" w:hAnsiTheme="minorBidi"/>
          <w:rtl/>
        </w:rPr>
        <w:t>- השפוד אינו נאסר</w:t>
      </w:r>
      <w:r w:rsidRPr="003024E5">
        <w:rPr>
          <w:rStyle w:val="a7"/>
          <w:rFonts w:asciiTheme="minorBidi" w:hAnsiTheme="minorBidi"/>
          <w:rtl/>
        </w:rPr>
        <w:footnoteReference w:id="743"/>
      </w:r>
      <w:r w:rsidRPr="003024E5">
        <w:rPr>
          <w:rFonts w:asciiTheme="minorBidi" w:hAnsiTheme="minorBidi"/>
          <w:rtl/>
        </w:rPr>
        <w:t xml:space="preserve">, דדם משרק שריק </w:t>
      </w:r>
      <w:r w:rsidRPr="003024E5">
        <w:rPr>
          <w:rFonts w:asciiTheme="minorBidi" w:hAnsiTheme="minorBidi"/>
          <w:sz w:val="16"/>
          <w:szCs w:val="16"/>
          <w:rtl/>
        </w:rPr>
        <w:t>(מרדכי)</w:t>
      </w:r>
      <w:r w:rsidRPr="003024E5">
        <w:rPr>
          <w:rFonts w:asciiTheme="minorBidi" w:hAnsiTheme="minorBidi"/>
          <w:rtl/>
        </w:rPr>
        <w:t>, ועוד דנורא מישב שייב כל הדם ואין מניחו ליבלע בשפוד</w:t>
      </w:r>
      <w:r w:rsidRPr="003024E5">
        <w:rPr>
          <w:rFonts w:asciiTheme="minorBidi" w:hAnsiTheme="minorBidi"/>
          <w:sz w:val="16"/>
          <w:szCs w:val="16"/>
          <w:rtl/>
        </w:rPr>
        <w:t xml:space="preserve"> (רא"ש)</w:t>
      </w:r>
      <w:r w:rsidRPr="003024E5">
        <w:rPr>
          <w:rFonts w:asciiTheme="minorBidi" w:hAnsiTheme="minorBidi"/>
          <w:rtl/>
        </w:rPr>
        <w:t>, ועוד דבשפוד נמי אמרינן כבולעו כך פולטו ואין להחמיר בזה כ"כ דדם מבושל אינו עובר עליו</w:t>
      </w:r>
      <w:r w:rsidRPr="003024E5">
        <w:rPr>
          <w:rFonts w:asciiTheme="minorBidi" w:hAnsiTheme="minorBidi"/>
          <w:sz w:val="16"/>
          <w:szCs w:val="16"/>
          <w:rtl/>
        </w:rPr>
        <w:t xml:space="preserve"> (ר"ן)</w:t>
      </w:r>
      <w:r w:rsidRPr="003024E5">
        <w:rPr>
          <w:rFonts w:asciiTheme="minorBidi" w:hAnsiTheme="minorBidi"/>
          <w:rtl/>
        </w:rPr>
        <w:t xml:space="preserve">. </w:t>
      </w:r>
      <w:r w:rsidRPr="00D93BFF">
        <w:rPr>
          <w:rFonts w:asciiTheme="minorBidi" w:hAnsiTheme="minorBidi" w:hint="cs"/>
          <w:color w:val="E36C0A" w:themeColor="accent6" w:themeShade="BF"/>
          <w:rtl/>
        </w:rPr>
        <w:t>(וכ"פ בשו"ע)</w:t>
      </w:r>
    </w:p>
    <w:p w14:paraId="171A76F4" w14:textId="77777777" w:rsidR="002C39F4" w:rsidRPr="003024E5" w:rsidRDefault="002C39F4" w:rsidP="002C39F4">
      <w:pPr>
        <w:pStyle w:val="a8"/>
        <w:numPr>
          <w:ilvl w:val="0"/>
          <w:numId w:val="71"/>
        </w:numPr>
        <w:rPr>
          <w:rFonts w:asciiTheme="minorBidi" w:hAnsiTheme="minorBidi"/>
        </w:rPr>
      </w:pPr>
      <w:r>
        <w:rPr>
          <w:rFonts w:asciiTheme="minorBidi" w:hAnsiTheme="minorBidi" w:hint="cs"/>
          <w:rtl/>
        </w:rPr>
        <w:t>שע"ד</w:t>
      </w:r>
      <w:r w:rsidRPr="003024E5">
        <w:rPr>
          <w:rStyle w:val="a7"/>
          <w:rFonts w:asciiTheme="minorBidi" w:hAnsiTheme="minorBidi"/>
          <w:rtl/>
        </w:rPr>
        <w:footnoteReference w:id="744"/>
      </w:r>
      <w:r>
        <w:rPr>
          <w:rFonts w:asciiTheme="minorBidi" w:hAnsiTheme="minorBidi" w:hint="cs"/>
          <w:rtl/>
        </w:rPr>
        <w:t xml:space="preserve"> </w:t>
      </w:r>
      <w:r w:rsidRPr="003024E5">
        <w:rPr>
          <w:rFonts w:asciiTheme="minorBidi" w:hAnsiTheme="minorBidi"/>
          <w:rtl/>
        </w:rPr>
        <w:t>מהרא"י ואו"ה</w:t>
      </w:r>
      <w:r w:rsidRPr="003024E5">
        <w:rPr>
          <w:rStyle w:val="a7"/>
          <w:rFonts w:asciiTheme="minorBidi" w:hAnsiTheme="minorBidi"/>
          <w:rtl/>
        </w:rPr>
        <w:footnoteReference w:id="745"/>
      </w:r>
      <w:r w:rsidRPr="003024E5">
        <w:rPr>
          <w:rFonts w:asciiTheme="minorBidi" w:hAnsiTheme="minorBidi"/>
          <w:rtl/>
        </w:rPr>
        <w:t>- לא נהיגי להתיר לכתחלה, ובדיעבד שרי בין בשר בין כבד שנצלה בו.</w:t>
      </w:r>
      <w:r w:rsidRPr="00D93BFF">
        <w:rPr>
          <w:rFonts w:asciiTheme="minorBidi" w:hAnsiTheme="minorBidi"/>
          <w:color w:val="00B0F0"/>
          <w:rtl/>
        </w:rPr>
        <w:t xml:space="preserve"> </w:t>
      </w:r>
      <w:r w:rsidRPr="003024E5">
        <w:rPr>
          <w:rFonts w:asciiTheme="minorBidi" w:hAnsiTheme="minorBidi"/>
          <w:color w:val="00B0F0"/>
          <w:rtl/>
        </w:rPr>
        <w:t>(וכ"פ הרמ"א)</w:t>
      </w:r>
    </w:p>
    <w:p w14:paraId="6D521C45" w14:textId="77777777" w:rsidR="002C39F4" w:rsidRPr="00D93BFF" w:rsidRDefault="002C39F4" w:rsidP="002C39F4">
      <w:pPr>
        <w:pStyle w:val="a8"/>
        <w:numPr>
          <w:ilvl w:val="0"/>
          <w:numId w:val="71"/>
        </w:numPr>
        <w:rPr>
          <w:rFonts w:asciiTheme="minorBidi" w:hAnsiTheme="minorBidi"/>
        </w:rPr>
      </w:pPr>
      <w:r w:rsidRPr="003024E5">
        <w:rPr>
          <w:rFonts w:asciiTheme="minorBidi" w:hAnsiTheme="minorBidi"/>
          <w:rtl/>
        </w:rPr>
        <w:t>ראב"ד רמב"ן ה"ר יונה רא"ה ורשב"א</w:t>
      </w:r>
      <w:r w:rsidRPr="003024E5">
        <w:rPr>
          <w:rStyle w:val="a7"/>
          <w:rFonts w:asciiTheme="minorBidi" w:hAnsiTheme="minorBidi"/>
          <w:rtl/>
        </w:rPr>
        <w:footnoteReference w:id="746"/>
      </w:r>
      <w:r w:rsidRPr="003024E5">
        <w:rPr>
          <w:rFonts w:asciiTheme="minorBidi" w:hAnsiTheme="minorBidi"/>
          <w:rtl/>
        </w:rPr>
        <w:t>- השפוד בולע מהדם ונאסר, ואסור להשהות הצלי על השפוד לאחר שהוסר מן האש שמא יחזור הבשר החם ויבלע ממנו, אבל מותר לצלות בו ולהשהות בו כ"ז שהבשר זב, שכל זמן שהוא זב ופולט אינו בולע מהדם שבשפוד, ולפיכך אסור לנער הקדרה בשפוד וכן אסור להפך בו בשר שבמחבת שהשפוד בלוע מן הדם וכשמשים אותו בקדרה או במחבת פולט הדם בתוכו.</w:t>
      </w:r>
      <w:r w:rsidRPr="00D93BFF">
        <w:rPr>
          <w:rFonts w:asciiTheme="minorBidi" w:hAnsiTheme="minorBidi"/>
          <w:rtl/>
        </w:rPr>
        <w:t xml:space="preserve"> </w:t>
      </w:r>
    </w:p>
    <w:p w14:paraId="021374A9"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 xml:space="preserve">ומה דין </w:t>
      </w:r>
      <w:r>
        <w:rPr>
          <w:rFonts w:asciiTheme="minorBidi" w:hAnsiTheme="minorBidi" w:hint="cs"/>
          <w:u w:val="dotted"/>
          <w:rtl/>
        </w:rPr>
        <w:t>ה</w:t>
      </w:r>
      <w:r w:rsidRPr="003024E5">
        <w:rPr>
          <w:rFonts w:asciiTheme="minorBidi" w:hAnsiTheme="minorBidi"/>
          <w:u w:val="dotted"/>
          <w:rtl/>
        </w:rPr>
        <w:t>סכין שחותך עמו בשר זה בעודו חם:</w:t>
      </w:r>
    </w:p>
    <w:p w14:paraId="3F6F38F5" w14:textId="77777777" w:rsidR="002C39F4" w:rsidRPr="003024E5" w:rsidRDefault="002C39F4" w:rsidP="002C39F4">
      <w:pPr>
        <w:pStyle w:val="a8"/>
        <w:numPr>
          <w:ilvl w:val="0"/>
          <w:numId w:val="71"/>
        </w:numPr>
        <w:rPr>
          <w:rFonts w:asciiTheme="minorBidi" w:hAnsiTheme="minorBidi"/>
        </w:rPr>
      </w:pPr>
      <w:r>
        <w:rPr>
          <w:rFonts w:asciiTheme="minorBidi" w:hAnsiTheme="minorBidi" w:hint="cs"/>
          <w:rtl/>
        </w:rPr>
        <w:t xml:space="preserve">ר"ת </w:t>
      </w:r>
      <w:r>
        <w:rPr>
          <w:rFonts w:asciiTheme="minorBidi" w:hAnsiTheme="minorBidi" w:hint="cs"/>
          <w:sz w:val="16"/>
          <w:szCs w:val="16"/>
          <w:rtl/>
        </w:rPr>
        <w:t xml:space="preserve">(כ"כ בשמו האו"ה [שם]) </w:t>
      </w:r>
      <w:r w:rsidRPr="003024E5">
        <w:rPr>
          <w:rFonts w:asciiTheme="minorBidi" w:hAnsiTheme="minorBidi"/>
          <w:rtl/>
        </w:rPr>
        <w:t xml:space="preserve">מרדכי </w:t>
      </w:r>
      <w:r w:rsidRPr="003024E5">
        <w:rPr>
          <w:rFonts w:asciiTheme="minorBidi" w:hAnsiTheme="minorBidi"/>
          <w:sz w:val="16"/>
          <w:szCs w:val="16"/>
          <w:rtl/>
        </w:rPr>
        <w:t>(</w:t>
      </w:r>
      <w:r>
        <w:rPr>
          <w:rFonts w:asciiTheme="minorBidi" w:hAnsiTheme="minorBidi" w:hint="cs"/>
          <w:sz w:val="16"/>
          <w:szCs w:val="16"/>
          <w:rtl/>
        </w:rPr>
        <w:t>שם</w:t>
      </w:r>
      <w:r w:rsidRPr="003024E5">
        <w:rPr>
          <w:rFonts w:asciiTheme="minorBidi" w:hAnsiTheme="minorBidi"/>
          <w:sz w:val="16"/>
          <w:szCs w:val="16"/>
          <w:rtl/>
        </w:rPr>
        <w:t>)</w:t>
      </w:r>
      <w:r w:rsidRPr="003024E5">
        <w:rPr>
          <w:rFonts w:asciiTheme="minorBidi" w:hAnsiTheme="minorBidi"/>
          <w:rtl/>
        </w:rPr>
        <w:t xml:space="preserve"> רא"ש </w:t>
      </w:r>
      <w:r w:rsidRPr="003024E5">
        <w:rPr>
          <w:rFonts w:asciiTheme="minorBidi" w:hAnsiTheme="minorBidi"/>
          <w:sz w:val="16"/>
          <w:szCs w:val="16"/>
          <w:rtl/>
        </w:rPr>
        <w:t>(להב' הטור)</w:t>
      </w:r>
      <w:r w:rsidRPr="003024E5">
        <w:rPr>
          <w:rFonts w:asciiTheme="minorBidi" w:hAnsiTheme="minorBidi"/>
          <w:rtl/>
        </w:rPr>
        <w:t xml:space="preserve"> ומהרא"י </w:t>
      </w:r>
      <w:r w:rsidRPr="003024E5">
        <w:rPr>
          <w:rFonts w:asciiTheme="minorBidi" w:hAnsiTheme="minorBidi"/>
          <w:sz w:val="16"/>
          <w:szCs w:val="16"/>
          <w:rtl/>
        </w:rPr>
        <w:t xml:space="preserve">(בהגשע"ד </w:t>
      </w:r>
      <w:r>
        <w:rPr>
          <w:rFonts w:asciiTheme="minorBidi" w:hAnsiTheme="minorBidi" w:hint="cs"/>
          <w:sz w:val="16"/>
          <w:szCs w:val="16"/>
          <w:rtl/>
        </w:rPr>
        <w:t>שם</w:t>
      </w:r>
      <w:r w:rsidRPr="003024E5">
        <w:rPr>
          <w:rFonts w:asciiTheme="minorBidi" w:hAnsiTheme="minorBidi"/>
          <w:sz w:val="16"/>
          <w:szCs w:val="16"/>
          <w:rtl/>
        </w:rPr>
        <w:t>)</w:t>
      </w:r>
      <w:r w:rsidRPr="003024E5">
        <w:rPr>
          <w:rFonts w:asciiTheme="minorBidi" w:hAnsiTheme="minorBidi"/>
          <w:rtl/>
        </w:rPr>
        <w:t>- הסכין נמי מותר</w:t>
      </w:r>
      <w:r w:rsidRPr="003024E5">
        <w:rPr>
          <w:rStyle w:val="a7"/>
          <w:rFonts w:asciiTheme="minorBidi" w:hAnsiTheme="minorBidi"/>
          <w:rtl/>
        </w:rPr>
        <w:footnoteReference w:id="747"/>
      </w:r>
      <w:r w:rsidRPr="003024E5">
        <w:rPr>
          <w:rFonts w:asciiTheme="minorBidi" w:hAnsiTheme="minorBidi"/>
          <w:rtl/>
        </w:rPr>
        <w:t xml:space="preserve">. </w:t>
      </w:r>
      <w:r w:rsidRPr="00D93BFF">
        <w:rPr>
          <w:rFonts w:asciiTheme="minorBidi" w:hAnsiTheme="minorBidi" w:hint="cs"/>
          <w:color w:val="E36C0A" w:themeColor="accent6" w:themeShade="BF"/>
          <w:rtl/>
        </w:rPr>
        <w:t>(וכ"פ בשו"ע)</w:t>
      </w:r>
    </w:p>
    <w:p w14:paraId="28E8E660" w14:textId="77777777" w:rsidR="002C39F4" w:rsidRPr="003024E5" w:rsidRDefault="002C39F4" w:rsidP="002C39F4">
      <w:pPr>
        <w:pStyle w:val="a8"/>
        <w:numPr>
          <w:ilvl w:val="0"/>
          <w:numId w:val="71"/>
        </w:numPr>
        <w:rPr>
          <w:rFonts w:asciiTheme="minorBidi" w:hAnsiTheme="minorBidi"/>
        </w:rPr>
      </w:pPr>
      <w:r w:rsidRPr="003024E5">
        <w:rPr>
          <w:rFonts w:asciiTheme="minorBidi" w:hAnsiTheme="minorBidi"/>
          <w:rtl/>
        </w:rPr>
        <w:t>שע"ד ו</w:t>
      </w:r>
      <w:r>
        <w:rPr>
          <w:rFonts w:asciiTheme="minorBidi" w:hAnsiTheme="minorBidi"/>
          <w:rtl/>
        </w:rPr>
        <w:t>או"ה</w:t>
      </w:r>
      <w:r w:rsidRPr="003024E5">
        <w:rPr>
          <w:rStyle w:val="a7"/>
          <w:rFonts w:asciiTheme="minorBidi" w:hAnsiTheme="minorBidi"/>
          <w:rtl/>
        </w:rPr>
        <w:footnoteReference w:id="748"/>
      </w:r>
      <w:r w:rsidRPr="003024E5">
        <w:rPr>
          <w:rFonts w:asciiTheme="minorBidi" w:hAnsiTheme="minorBidi"/>
          <w:rtl/>
        </w:rPr>
        <w:t xml:space="preserve">- הסכין אסור, אמנם </w:t>
      </w:r>
      <w:r>
        <w:rPr>
          <w:rFonts w:asciiTheme="minorBidi" w:hAnsiTheme="minorBidi" w:hint="cs"/>
          <w:rtl/>
        </w:rPr>
        <w:t>בדיעבד מותר</w:t>
      </w:r>
      <w:r w:rsidRPr="003024E5">
        <w:rPr>
          <w:rFonts w:asciiTheme="minorBidi" w:hAnsiTheme="minorBidi"/>
          <w:rtl/>
        </w:rPr>
        <w:t>.</w:t>
      </w:r>
      <w:r w:rsidRPr="003024E5">
        <w:rPr>
          <w:rFonts w:asciiTheme="minorBidi" w:hAnsiTheme="minorBidi"/>
          <w:color w:val="00B0F0"/>
          <w:rtl/>
        </w:rPr>
        <w:t xml:space="preserve"> (וכ"פ הרמ"א)</w:t>
      </w:r>
      <w:r w:rsidRPr="003024E5">
        <w:rPr>
          <w:rFonts w:asciiTheme="minorBidi" w:hAnsiTheme="minorBidi"/>
          <w:rtl/>
        </w:rPr>
        <w:t>(וכ"פ רש"ל)</w:t>
      </w:r>
    </w:p>
    <w:p w14:paraId="09DAB36A" w14:textId="77777777" w:rsidR="002C39F4" w:rsidRPr="003024E5" w:rsidRDefault="002C39F4" w:rsidP="002C39F4">
      <w:pPr>
        <w:pStyle w:val="a8"/>
        <w:numPr>
          <w:ilvl w:val="0"/>
          <w:numId w:val="71"/>
        </w:numPr>
        <w:rPr>
          <w:rFonts w:asciiTheme="minorBidi" w:hAnsiTheme="minorBidi"/>
        </w:rPr>
      </w:pPr>
      <w:r w:rsidRPr="003024E5">
        <w:rPr>
          <w:rFonts w:asciiTheme="minorBidi" w:hAnsiTheme="minorBidi"/>
          <w:rtl/>
        </w:rPr>
        <w:t>ר"י שירליאו"ן</w:t>
      </w:r>
      <w:r w:rsidRPr="003024E5">
        <w:rPr>
          <w:rFonts w:asciiTheme="minorBidi" w:hAnsiTheme="minorBidi"/>
          <w:sz w:val="16"/>
          <w:szCs w:val="16"/>
          <w:rtl/>
        </w:rPr>
        <w:t xml:space="preserve"> (כ"כ בשמו ה</w:t>
      </w:r>
      <w:r>
        <w:rPr>
          <w:rFonts w:asciiTheme="minorBidi" w:hAnsiTheme="minorBidi"/>
          <w:sz w:val="16"/>
          <w:szCs w:val="16"/>
          <w:rtl/>
        </w:rPr>
        <w:t>הג"א</w:t>
      </w:r>
      <w:r w:rsidRPr="003024E5">
        <w:rPr>
          <w:rFonts w:asciiTheme="minorBidi" w:hAnsiTheme="minorBidi"/>
          <w:sz w:val="16"/>
          <w:szCs w:val="16"/>
          <w:rtl/>
        </w:rPr>
        <w:t xml:space="preserve"> פכ"ה סי' לו)</w:t>
      </w:r>
      <w:r w:rsidRPr="003024E5">
        <w:rPr>
          <w:rFonts w:asciiTheme="minorBidi" w:hAnsiTheme="minorBidi"/>
          <w:rtl/>
        </w:rPr>
        <w:t xml:space="preserve">- אם היד סולדת בו בסכין אסור ותימה שכל העולם נוהגין היתר. </w:t>
      </w:r>
    </w:p>
    <w:p w14:paraId="2621A860" w14:textId="77777777" w:rsidR="002C39F4" w:rsidRPr="003024E5" w:rsidRDefault="002C39F4" w:rsidP="002C39F4">
      <w:pPr>
        <w:pStyle w:val="a8"/>
        <w:numPr>
          <w:ilvl w:val="0"/>
          <w:numId w:val="71"/>
        </w:numPr>
        <w:rPr>
          <w:rFonts w:asciiTheme="minorBidi" w:hAnsiTheme="minorBidi"/>
        </w:rPr>
      </w:pPr>
      <w:r w:rsidRPr="003024E5">
        <w:rPr>
          <w:rFonts w:asciiTheme="minorBidi" w:hAnsiTheme="minorBidi"/>
          <w:rtl/>
        </w:rPr>
        <w:t xml:space="preserve">סמ"ג </w:t>
      </w:r>
      <w:r w:rsidRPr="003024E5">
        <w:rPr>
          <w:rFonts w:asciiTheme="minorBidi" w:hAnsiTheme="minorBidi"/>
          <w:sz w:val="16"/>
          <w:szCs w:val="16"/>
          <w:rtl/>
        </w:rPr>
        <w:t>(לאוין קלז מח ע"ג)</w:t>
      </w:r>
      <w:r w:rsidRPr="003024E5">
        <w:rPr>
          <w:rFonts w:asciiTheme="minorBidi" w:hAnsiTheme="minorBidi"/>
          <w:rtl/>
        </w:rPr>
        <w:t xml:space="preserve">- נכון להזהר שפעמים שחותכין בסכין את הבשר או את הכבד בשעת צלייה לנסות אם הוא צלוי הרבה ופעמים שמקום החתך מלא דם לפי שעדיין לא נגמר מלצלות ופעמים שהוא עושה שם גומא והיא מליאה דם רותח ואוסרת הסכין כי שם אין יכול להיות שריק </w:t>
      </w:r>
      <w:r w:rsidRPr="003024E5">
        <w:rPr>
          <w:rFonts w:asciiTheme="minorBidi" w:hAnsiTheme="minorBidi"/>
          <w:sz w:val="16"/>
          <w:szCs w:val="16"/>
          <w:rtl/>
        </w:rPr>
        <w:t>(ע"פ סה"ת סי' סט ע"ש)</w:t>
      </w:r>
      <w:r w:rsidRPr="003024E5">
        <w:rPr>
          <w:rFonts w:asciiTheme="minorBidi" w:hAnsiTheme="minorBidi"/>
          <w:rtl/>
        </w:rPr>
        <w:t xml:space="preserve">, ואפילו בלא גומא ראוי לאסור הסכין מחמת הדם שהוא חם כמו בסכין ששחט בה </w:t>
      </w:r>
      <w:r w:rsidRPr="003024E5">
        <w:rPr>
          <w:rFonts w:asciiTheme="minorBidi" w:hAnsiTheme="minorBidi"/>
          <w:sz w:val="16"/>
          <w:szCs w:val="16"/>
          <w:rtl/>
        </w:rPr>
        <w:t>(חולין קיא:)</w:t>
      </w:r>
      <w:r w:rsidRPr="003024E5">
        <w:rPr>
          <w:rFonts w:asciiTheme="minorBidi" w:hAnsiTheme="minorBidi"/>
          <w:rtl/>
        </w:rPr>
        <w:t>, וצריך להתיישב בדבר וכ"כ מורי</w:t>
      </w:r>
      <w:r w:rsidRPr="003024E5">
        <w:rPr>
          <w:rStyle w:val="a7"/>
          <w:rFonts w:asciiTheme="minorBidi" w:hAnsiTheme="minorBidi"/>
          <w:rtl/>
        </w:rPr>
        <w:footnoteReference w:id="749"/>
      </w:r>
      <w:r w:rsidRPr="003024E5">
        <w:rPr>
          <w:rFonts w:asciiTheme="minorBidi" w:hAnsiTheme="minorBidi"/>
          <w:rtl/>
        </w:rPr>
        <w:t>.</w:t>
      </w:r>
    </w:p>
    <w:p w14:paraId="74452D8F"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 xml:space="preserve">ומה דין סכין </w:t>
      </w:r>
      <w:r>
        <w:rPr>
          <w:rFonts w:asciiTheme="minorBidi" w:hAnsiTheme="minorBidi" w:hint="cs"/>
          <w:u w:val="dotted"/>
          <w:rtl/>
        </w:rPr>
        <w:t xml:space="preserve">שחותך עמו </w:t>
      </w:r>
      <w:r w:rsidRPr="003024E5">
        <w:rPr>
          <w:rFonts w:asciiTheme="minorBidi" w:hAnsiTheme="minorBidi"/>
          <w:u w:val="dotted"/>
          <w:rtl/>
        </w:rPr>
        <w:t>בשר שנמלח בעוד מלחו עליו:</w:t>
      </w:r>
    </w:p>
    <w:p w14:paraId="1CF1BA1E" w14:textId="77777777" w:rsidR="002C39F4" w:rsidRPr="003024E5" w:rsidRDefault="002C39F4" w:rsidP="002C39F4">
      <w:pPr>
        <w:pStyle w:val="a8"/>
        <w:numPr>
          <w:ilvl w:val="0"/>
          <w:numId w:val="71"/>
        </w:numPr>
        <w:rPr>
          <w:rFonts w:asciiTheme="minorBidi" w:hAnsiTheme="minorBidi"/>
          <w:rtl/>
        </w:rPr>
      </w:pPr>
      <w:r w:rsidRPr="003024E5">
        <w:rPr>
          <w:rFonts w:asciiTheme="minorBidi" w:hAnsiTheme="minorBidi"/>
          <w:rtl/>
        </w:rPr>
        <w:t>תרוה"ד</w:t>
      </w:r>
      <w:r w:rsidRPr="003024E5">
        <w:rPr>
          <w:rFonts w:asciiTheme="minorBidi" w:hAnsiTheme="minorBidi"/>
          <w:sz w:val="16"/>
          <w:szCs w:val="16"/>
          <w:rtl/>
        </w:rPr>
        <w:t xml:space="preserve"> (סי' קסב)</w:t>
      </w:r>
      <w:r w:rsidRPr="003024E5">
        <w:rPr>
          <w:rFonts w:asciiTheme="minorBidi" w:hAnsiTheme="minorBidi"/>
          <w:rtl/>
        </w:rPr>
        <w:t xml:space="preserve">- אפילו לדברי סמ"ג דאסר הני מילי בצלי אבל במליח אע"ג דמליח כרותח שרי לחתכו בסכין. </w:t>
      </w:r>
    </w:p>
    <w:p w14:paraId="007DCB6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4F19C63" w14:textId="77777777" w:rsidR="002C39F4" w:rsidRPr="003024E5" w:rsidRDefault="002C39F4" w:rsidP="002C39F4">
      <w:pPr>
        <w:rPr>
          <w:rFonts w:asciiTheme="minorBidi" w:hAnsiTheme="minorBidi"/>
          <w:rtl/>
        </w:rPr>
      </w:pPr>
      <w:r w:rsidRPr="003024E5">
        <w:rPr>
          <w:rFonts w:asciiTheme="minorBidi" w:hAnsiTheme="minorBidi"/>
          <w:rtl/>
        </w:rPr>
        <w:t>יש מי שאוסר לחתוך בסכין צלי שאצל האש שלא נמלח כל זמן שאינו נצלה כל צרכו מפני דם שנבלע בסכין, ויש מי שאוסר השפוד</w:t>
      </w:r>
      <w:r w:rsidRPr="003024E5">
        <w:rPr>
          <w:rStyle w:val="a7"/>
          <w:rFonts w:asciiTheme="minorBidi" w:hAnsiTheme="minorBidi"/>
          <w:rtl/>
        </w:rPr>
        <w:footnoteReference w:id="750"/>
      </w:r>
      <w:r w:rsidRPr="003024E5">
        <w:rPr>
          <w:rFonts w:asciiTheme="minorBidi" w:hAnsiTheme="minorBidi"/>
          <w:rtl/>
        </w:rPr>
        <w:t xml:space="preserve"> שצלו בו בשר בלא מליחה, ויש מי שהורה שאסור להשהות הצלי על השפוד לאחר שהוסר מן האש לאחר שפסק הבשר מלזוב</w:t>
      </w:r>
      <w:r w:rsidRPr="003024E5">
        <w:rPr>
          <w:rStyle w:val="a7"/>
          <w:rFonts w:asciiTheme="minorBidi" w:hAnsiTheme="minorBidi"/>
          <w:rtl/>
        </w:rPr>
        <w:footnoteReference w:id="751"/>
      </w:r>
      <w:r w:rsidRPr="003024E5">
        <w:rPr>
          <w:rFonts w:asciiTheme="minorBidi" w:hAnsiTheme="minorBidi"/>
          <w:rtl/>
        </w:rPr>
        <w:t xml:space="preserve"> שמא יחזור הבשר החם ויבלע ממנו, ויש מתירין בכל זה, וכן המנהג להתיר. </w:t>
      </w:r>
      <w:r w:rsidRPr="003024E5">
        <w:rPr>
          <w:rFonts w:asciiTheme="minorBidi" w:hAnsiTheme="minorBidi"/>
          <w:sz w:val="18"/>
          <w:szCs w:val="18"/>
          <w:rtl/>
        </w:rPr>
        <w:t xml:space="preserve">[הגה] ואנו נזהרין לכתחלה ומתירין בדיעבד (מהרא"י והגשע"ד ואו"ה כלל ל"ז). </w:t>
      </w:r>
    </w:p>
    <w:p w14:paraId="74097DF8" w14:textId="77777777" w:rsidR="002C39F4" w:rsidRPr="003024E5" w:rsidRDefault="002C39F4" w:rsidP="002C39F4">
      <w:pPr>
        <w:rPr>
          <w:rFonts w:asciiTheme="minorBidi" w:hAnsiTheme="minorBidi"/>
          <w:rtl/>
        </w:rPr>
      </w:pPr>
    </w:p>
    <w:p w14:paraId="2B329027" w14:textId="77777777" w:rsidR="002C39F4" w:rsidRPr="003024E5" w:rsidRDefault="002C39F4" w:rsidP="002C39F4">
      <w:pPr>
        <w:pStyle w:val="2"/>
        <w:rPr>
          <w:rFonts w:asciiTheme="minorBidi" w:hAnsiTheme="minorBidi"/>
          <w:rtl/>
        </w:rPr>
      </w:pPr>
      <w:r w:rsidRPr="003024E5">
        <w:rPr>
          <w:rFonts w:asciiTheme="minorBidi" w:hAnsiTheme="minorBidi"/>
          <w:rtl/>
        </w:rPr>
        <w:t>סעיף ה: מוהל הזב מן הצלי.</w:t>
      </w:r>
    </w:p>
    <w:p w14:paraId="4DD0E1CA"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קיב ע"א: </w:t>
      </w:r>
      <w:r w:rsidRPr="003024E5">
        <w:rPr>
          <w:rFonts w:asciiTheme="minorBidi" w:hAnsiTheme="minorBidi"/>
          <w:u w:val="single"/>
          <w:rtl/>
        </w:rPr>
        <w:t>אמר רב נחמן אמר שמואל:</w:t>
      </w:r>
      <w:r w:rsidRPr="003024E5">
        <w:rPr>
          <w:rFonts w:asciiTheme="minorBidi" w:hAnsiTheme="minorBidi"/>
          <w:rtl/>
        </w:rPr>
        <w:t xml:space="preserve"> ככר שחתך עליה בשר</w:t>
      </w:r>
      <w:r w:rsidRPr="003024E5">
        <w:rPr>
          <w:rStyle w:val="a7"/>
          <w:rFonts w:asciiTheme="minorBidi" w:hAnsiTheme="minorBidi"/>
          <w:rtl/>
        </w:rPr>
        <w:footnoteReference w:id="752"/>
      </w:r>
      <w:r w:rsidRPr="003024E5">
        <w:rPr>
          <w:rFonts w:asciiTheme="minorBidi" w:hAnsiTheme="minorBidi"/>
          <w:rtl/>
        </w:rPr>
        <w:t xml:space="preserve"> אסור לאכלה</w:t>
      </w:r>
      <w:r w:rsidRPr="003024E5">
        <w:rPr>
          <w:rStyle w:val="a7"/>
          <w:rFonts w:asciiTheme="minorBidi" w:hAnsiTheme="minorBidi"/>
          <w:rtl/>
        </w:rPr>
        <w:footnoteReference w:id="753"/>
      </w:r>
      <w:r w:rsidRPr="003024E5">
        <w:rPr>
          <w:rFonts w:asciiTheme="minorBidi" w:hAnsiTheme="minorBidi"/>
          <w:rtl/>
        </w:rPr>
        <w:t>, והני מילי דאסמיק</w:t>
      </w:r>
      <w:r w:rsidRPr="003024E5">
        <w:rPr>
          <w:rStyle w:val="a7"/>
          <w:rFonts w:asciiTheme="minorBidi" w:hAnsiTheme="minorBidi"/>
          <w:rtl/>
        </w:rPr>
        <w:footnoteReference w:id="754"/>
      </w:r>
      <w:r w:rsidRPr="003024E5">
        <w:rPr>
          <w:rFonts w:asciiTheme="minorBidi" w:hAnsiTheme="minorBidi"/>
          <w:rtl/>
        </w:rPr>
        <w:t>, והני מילי דאבריה</w:t>
      </w:r>
      <w:r w:rsidRPr="003024E5">
        <w:rPr>
          <w:rStyle w:val="a7"/>
          <w:rFonts w:asciiTheme="minorBidi" w:hAnsiTheme="minorBidi"/>
          <w:rtl/>
        </w:rPr>
        <w:footnoteReference w:id="755"/>
      </w:r>
      <w:r w:rsidRPr="003024E5">
        <w:rPr>
          <w:rFonts w:asciiTheme="minorBidi" w:hAnsiTheme="minorBidi"/>
          <w:rtl/>
        </w:rPr>
        <w:t>, והני מילי דאסמכיה</w:t>
      </w:r>
      <w:r w:rsidRPr="003024E5">
        <w:rPr>
          <w:rStyle w:val="a7"/>
          <w:rFonts w:asciiTheme="minorBidi" w:hAnsiTheme="minorBidi"/>
          <w:rtl/>
        </w:rPr>
        <w:footnoteReference w:id="756"/>
      </w:r>
      <w:r w:rsidRPr="003024E5">
        <w:rPr>
          <w:rFonts w:asciiTheme="minorBidi" w:hAnsiTheme="minorBidi"/>
          <w:rtl/>
        </w:rPr>
        <w:t xml:space="preserve"> אבל קלישתא לית לן בה. שמואל שדי ליה לכלביה</w:t>
      </w:r>
      <w:r w:rsidRPr="003024E5">
        <w:rPr>
          <w:rStyle w:val="a7"/>
          <w:rFonts w:asciiTheme="minorBidi" w:hAnsiTheme="minorBidi"/>
          <w:rtl/>
        </w:rPr>
        <w:footnoteReference w:id="757"/>
      </w:r>
      <w:r>
        <w:rPr>
          <w:rFonts w:asciiTheme="minorBidi" w:hAnsiTheme="minorBidi" w:hint="cs"/>
          <w:rtl/>
        </w:rPr>
        <w:t>.</w:t>
      </w:r>
      <w:r w:rsidRPr="003024E5">
        <w:rPr>
          <w:rFonts w:asciiTheme="minorBidi" w:hAnsiTheme="minorBidi"/>
          <w:rtl/>
        </w:rPr>
        <w:t xml:space="preserve"> רב הונא יהיב ליה לשמעיה</w:t>
      </w:r>
      <w:r>
        <w:rPr>
          <w:rFonts w:asciiTheme="minorBidi" w:hAnsiTheme="minorBidi" w:hint="cs"/>
          <w:rtl/>
        </w:rPr>
        <w:t>.</w:t>
      </w:r>
      <w:r w:rsidRPr="003024E5">
        <w:rPr>
          <w:rFonts w:asciiTheme="minorBidi" w:hAnsiTheme="minorBidi"/>
          <w:rtl/>
        </w:rPr>
        <w:t xml:space="preserve"> מה נפשך</w:t>
      </w:r>
      <w:r w:rsidRPr="003024E5">
        <w:rPr>
          <w:rStyle w:val="a7"/>
          <w:rFonts w:asciiTheme="minorBidi" w:hAnsiTheme="minorBidi"/>
          <w:rtl/>
        </w:rPr>
        <w:footnoteReference w:id="758"/>
      </w:r>
      <w:r w:rsidRPr="003024E5">
        <w:rPr>
          <w:rFonts w:asciiTheme="minorBidi" w:hAnsiTheme="minorBidi"/>
          <w:rtl/>
        </w:rPr>
        <w:t>, אי שרי - לכולי עלמא שרי, אי אסור - לכולי עלמא אסור! שאני רב הונא דאנינא דעתיה</w:t>
      </w:r>
      <w:r w:rsidRPr="003024E5">
        <w:rPr>
          <w:rStyle w:val="a7"/>
          <w:rFonts w:asciiTheme="minorBidi" w:hAnsiTheme="minorBidi"/>
          <w:rtl/>
        </w:rPr>
        <w:footnoteReference w:id="759"/>
      </w:r>
      <w:r w:rsidRPr="003024E5">
        <w:rPr>
          <w:rFonts w:asciiTheme="minorBidi" w:hAnsiTheme="minorBidi"/>
          <w:rtl/>
        </w:rPr>
        <w:t>, רבא אכיל ליה וקרי ליה חמר בשר</w:t>
      </w:r>
      <w:r w:rsidRPr="003024E5">
        <w:rPr>
          <w:rStyle w:val="a7"/>
          <w:rFonts w:asciiTheme="minorBidi" w:hAnsiTheme="minorBidi"/>
          <w:rtl/>
        </w:rPr>
        <w:footnoteReference w:id="760"/>
      </w:r>
      <w:r w:rsidRPr="003024E5">
        <w:rPr>
          <w:rFonts w:asciiTheme="minorBidi" w:hAnsiTheme="minorBidi"/>
          <w:rtl/>
        </w:rPr>
        <w:t xml:space="preserve">. </w:t>
      </w:r>
      <w:r w:rsidRPr="003024E5">
        <w:rPr>
          <w:rFonts w:asciiTheme="minorBidi" w:hAnsiTheme="minorBidi"/>
          <w:sz w:val="16"/>
          <w:szCs w:val="16"/>
          <w:rtl/>
        </w:rPr>
        <w:t xml:space="preserve">(ופסקו הפוסקים כוותייהו, ומשמע דבכל הני גווני דאסר שמואל דהיינו דאסמיק ודאבריה ודאסמכיה שרו רב הונא ורבא דאל"כ מאי בינייהו, וכ"כ הרשב"א בהדיא בתוה"ב </w:t>
      </w:r>
      <w:r w:rsidRPr="003024E5">
        <w:rPr>
          <w:rFonts w:asciiTheme="minorBidi" w:hAnsiTheme="minorBidi"/>
          <w:sz w:val="12"/>
          <w:szCs w:val="12"/>
          <w:rtl/>
        </w:rPr>
        <w:t>[קצר ב"ג ש"ג עט:, ארוך פא.]</w:t>
      </w:r>
      <w:r w:rsidRPr="003024E5">
        <w:rPr>
          <w:rFonts w:asciiTheme="minorBidi" w:hAnsiTheme="minorBidi"/>
          <w:sz w:val="16"/>
          <w:szCs w:val="16"/>
          <w:rtl/>
        </w:rPr>
        <w:t>, ב"י)</w:t>
      </w:r>
      <w:r w:rsidRPr="003024E5">
        <w:rPr>
          <w:rFonts w:asciiTheme="minorBidi" w:hAnsiTheme="minorBidi"/>
          <w:rtl/>
        </w:rPr>
        <w:t xml:space="preserve"> </w:t>
      </w:r>
    </w:p>
    <w:p w14:paraId="6172D002" w14:textId="77777777" w:rsidR="002C39F4" w:rsidRPr="003024E5" w:rsidRDefault="002C39F4" w:rsidP="002C39F4">
      <w:pPr>
        <w:rPr>
          <w:rFonts w:asciiTheme="minorBidi" w:hAnsiTheme="minorBidi"/>
          <w:rtl/>
        </w:rPr>
      </w:pPr>
      <w:r>
        <w:rPr>
          <w:rFonts w:asciiTheme="minorBidi" w:hAnsiTheme="minorBidi" w:hint="cs"/>
          <w:u w:val="single"/>
          <w:rtl/>
        </w:rPr>
        <w:t>כמה הצלי צריך להיות מבושל</w:t>
      </w:r>
      <w:r w:rsidRPr="003024E5">
        <w:rPr>
          <w:rFonts w:asciiTheme="minorBidi" w:hAnsiTheme="minorBidi"/>
          <w:u w:val="single"/>
          <w:rtl/>
        </w:rPr>
        <w:t xml:space="preserve"> כדי להתיר את הככר:</w:t>
      </w:r>
    </w:p>
    <w:p w14:paraId="0CA2BD76" w14:textId="77777777" w:rsidR="002C39F4" w:rsidRPr="003024E5" w:rsidRDefault="002C39F4" w:rsidP="002C39F4">
      <w:pPr>
        <w:pStyle w:val="a8"/>
        <w:numPr>
          <w:ilvl w:val="0"/>
          <w:numId w:val="71"/>
        </w:numPr>
        <w:rPr>
          <w:rFonts w:asciiTheme="minorBidi" w:hAnsiTheme="minorBidi"/>
          <w:rtl/>
        </w:rPr>
      </w:pPr>
      <w:r>
        <w:rPr>
          <w:rFonts w:asciiTheme="minorBidi" w:hAnsiTheme="minorBidi" w:hint="cs"/>
          <w:rtl/>
        </w:rPr>
        <w:t xml:space="preserve">י"א </w:t>
      </w:r>
      <w:r w:rsidRPr="007643BD">
        <w:rPr>
          <w:rFonts w:asciiTheme="minorBidi" w:hAnsiTheme="minorBidi" w:hint="cs"/>
          <w:sz w:val="16"/>
          <w:szCs w:val="16"/>
          <w:rtl/>
        </w:rPr>
        <w:t>(הביאו</w:t>
      </w:r>
      <w:r w:rsidRPr="007643BD">
        <w:rPr>
          <w:rFonts w:asciiTheme="minorBidi" w:hAnsiTheme="minorBidi"/>
          <w:sz w:val="16"/>
          <w:szCs w:val="16"/>
          <w:rtl/>
        </w:rPr>
        <w:t xml:space="preserve"> הה"מ </w:t>
      </w:r>
      <w:r w:rsidRPr="007643BD">
        <w:rPr>
          <w:rFonts w:asciiTheme="minorBidi" w:hAnsiTheme="minorBidi" w:hint="cs"/>
          <w:sz w:val="16"/>
          <w:szCs w:val="16"/>
          <w:rtl/>
        </w:rPr>
        <w:t>[</w:t>
      </w:r>
      <w:r w:rsidRPr="007643BD">
        <w:rPr>
          <w:rFonts w:asciiTheme="minorBidi" w:hAnsiTheme="minorBidi"/>
          <w:sz w:val="16"/>
          <w:szCs w:val="16"/>
          <w:rtl/>
        </w:rPr>
        <w:t>פ"ו הט"ז</w:t>
      </w:r>
      <w:r w:rsidRPr="007643BD">
        <w:rPr>
          <w:rFonts w:asciiTheme="minorBidi" w:hAnsiTheme="minorBidi" w:hint="cs"/>
          <w:sz w:val="16"/>
          <w:szCs w:val="16"/>
          <w:rtl/>
        </w:rPr>
        <w:t>]</w:t>
      </w:r>
      <w:r w:rsidRPr="007643BD">
        <w:rPr>
          <w:rFonts w:asciiTheme="minorBidi" w:hAnsiTheme="minorBidi"/>
          <w:sz w:val="16"/>
          <w:szCs w:val="16"/>
          <w:rtl/>
        </w:rPr>
        <w:t>)</w:t>
      </w:r>
      <w:r w:rsidRPr="007643BD">
        <w:rPr>
          <w:rFonts w:asciiTheme="minorBidi" w:hAnsiTheme="minorBidi" w:hint="cs"/>
          <w:sz w:val="16"/>
          <w:szCs w:val="16"/>
          <w:rtl/>
        </w:rPr>
        <w:t xml:space="preserve"> </w:t>
      </w:r>
      <w:r>
        <w:rPr>
          <w:rFonts w:asciiTheme="minorBidi" w:hAnsiTheme="minorBidi" w:hint="cs"/>
          <w:rtl/>
        </w:rPr>
        <w:t>ו</w:t>
      </w:r>
      <w:r w:rsidRPr="003024E5">
        <w:rPr>
          <w:rFonts w:asciiTheme="minorBidi" w:hAnsiTheme="minorBidi"/>
          <w:rtl/>
        </w:rPr>
        <w:t xml:space="preserve">ר"ן </w:t>
      </w:r>
      <w:r w:rsidRPr="003024E5">
        <w:rPr>
          <w:rFonts w:asciiTheme="minorBidi" w:hAnsiTheme="minorBidi"/>
          <w:sz w:val="16"/>
          <w:szCs w:val="16"/>
          <w:rtl/>
        </w:rPr>
        <w:t>(מא: ד"ה ככר)</w:t>
      </w:r>
      <w:r w:rsidRPr="003024E5">
        <w:rPr>
          <w:rFonts w:asciiTheme="minorBidi" w:hAnsiTheme="minorBidi"/>
          <w:rtl/>
        </w:rPr>
        <w:t xml:space="preserve">- הא דשרי דוקא כשנתבשל הבשר כמאכל בן דרוסאי. </w:t>
      </w:r>
    </w:p>
    <w:p w14:paraId="5A4B1E73" w14:textId="77777777" w:rsidR="002C39F4" w:rsidRDefault="002C39F4" w:rsidP="002C39F4">
      <w:pPr>
        <w:pStyle w:val="a8"/>
        <w:numPr>
          <w:ilvl w:val="0"/>
          <w:numId w:val="71"/>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(חידו' קיב. ד"ה אמר רב נחמן, הביאו הה"מ פ"ו הט"ז)</w:t>
      </w:r>
      <w:r w:rsidRPr="003024E5">
        <w:rPr>
          <w:rFonts w:asciiTheme="minorBidi" w:hAnsiTheme="minorBidi"/>
          <w:rtl/>
        </w:rPr>
        <w:t>- כי מטא לצלי הראויה לאכילה לרוב בני אדם.</w:t>
      </w:r>
      <w:r w:rsidRPr="003024E5">
        <w:rPr>
          <w:rFonts w:asciiTheme="minorBidi" w:hAnsiTheme="minorBidi"/>
          <w:color w:val="E36C0A" w:themeColor="accent6" w:themeShade="BF"/>
          <w:rtl/>
        </w:rPr>
        <w:t xml:space="preserve"> (וכ"פ בשו"ע)</w:t>
      </w:r>
    </w:p>
    <w:p w14:paraId="0EDBFFAA" w14:textId="77777777" w:rsidR="002C39F4" w:rsidRPr="003024E5" w:rsidRDefault="002C39F4" w:rsidP="002C39F4">
      <w:pPr>
        <w:pStyle w:val="a8"/>
        <w:numPr>
          <w:ilvl w:val="0"/>
          <w:numId w:val="71"/>
        </w:numPr>
        <w:rPr>
          <w:rFonts w:asciiTheme="minorBidi" w:hAnsiTheme="minorBidi"/>
        </w:rPr>
      </w:pPr>
      <w:r w:rsidRPr="002E5A6F">
        <w:rPr>
          <w:rFonts w:asciiTheme="minorBidi" w:hAnsiTheme="minorBidi" w:cs="Arial"/>
          <w:rtl/>
        </w:rPr>
        <w:t xml:space="preserve">טור </w:t>
      </w:r>
      <w:r>
        <w:rPr>
          <w:rFonts w:asciiTheme="minorBidi" w:hAnsiTheme="minorBidi" w:cs="Arial" w:hint="cs"/>
          <w:sz w:val="16"/>
          <w:szCs w:val="16"/>
          <w:rtl/>
        </w:rPr>
        <w:t>(להב' הדרכ"מ [אות ז])</w:t>
      </w:r>
      <w:r>
        <w:rPr>
          <w:rFonts w:asciiTheme="minorBidi" w:hAnsiTheme="minorBidi" w:cs="Arial" w:hint="cs"/>
          <w:rtl/>
        </w:rPr>
        <w:t xml:space="preserve">- </w:t>
      </w:r>
      <w:r w:rsidRPr="002E5A6F">
        <w:rPr>
          <w:rFonts w:asciiTheme="minorBidi" w:hAnsiTheme="minorBidi" w:cs="Arial"/>
          <w:rtl/>
        </w:rPr>
        <w:t>כדי חצי צלייתו</w:t>
      </w:r>
      <w:r>
        <w:rPr>
          <w:rFonts w:asciiTheme="minorBidi" w:hAnsiTheme="minorBidi" w:cs="Arial" w:hint="cs"/>
          <w:rtl/>
        </w:rPr>
        <w:t>.</w:t>
      </w:r>
      <w:r w:rsidRPr="002E5A6F">
        <w:rPr>
          <w:rFonts w:asciiTheme="minorBidi" w:hAnsiTheme="minorBidi"/>
          <w:color w:val="00B0F0"/>
          <w:rtl/>
        </w:rPr>
        <w:t xml:space="preserve"> </w:t>
      </w:r>
      <w:r w:rsidRPr="003024E5">
        <w:rPr>
          <w:rFonts w:asciiTheme="minorBidi" w:hAnsiTheme="minorBidi"/>
          <w:color w:val="00B0F0"/>
          <w:rtl/>
        </w:rPr>
        <w:t>(וכ"פ הרמ"א)</w:t>
      </w:r>
    </w:p>
    <w:p w14:paraId="28EBE717"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 xml:space="preserve">האם הדין כך דוקא בככר או שה"ה בכל עניין: </w:t>
      </w:r>
    </w:p>
    <w:p w14:paraId="7D0D1805" w14:textId="77777777" w:rsidR="002C39F4" w:rsidRPr="003024E5" w:rsidRDefault="002C39F4" w:rsidP="002C39F4">
      <w:pPr>
        <w:pStyle w:val="a8"/>
        <w:numPr>
          <w:ilvl w:val="0"/>
          <w:numId w:val="71"/>
        </w:numPr>
        <w:rPr>
          <w:rFonts w:asciiTheme="minorBidi" w:hAnsiTheme="minorBidi"/>
          <w:rtl/>
        </w:rPr>
      </w:pPr>
      <w:r w:rsidRPr="003024E5">
        <w:rPr>
          <w:rFonts w:asciiTheme="minorBidi" w:hAnsiTheme="minorBidi"/>
          <w:rtl/>
        </w:rPr>
        <w:t xml:space="preserve">רשב"א </w:t>
      </w:r>
      <w:r w:rsidRPr="003024E5">
        <w:rPr>
          <w:rFonts w:asciiTheme="minorBidi" w:hAnsiTheme="minorBidi"/>
          <w:sz w:val="16"/>
          <w:szCs w:val="16"/>
          <w:rtl/>
        </w:rPr>
        <w:t>(שם)</w:t>
      </w:r>
      <w:r w:rsidRPr="003024E5">
        <w:rPr>
          <w:rFonts w:asciiTheme="minorBidi" w:hAnsiTheme="minorBidi"/>
          <w:rtl/>
        </w:rPr>
        <w:t>- נראה מדברי הראב"ד דדוקא שעל הככר הוא שהתירו רבא ורב הונא</w:t>
      </w:r>
      <w:r>
        <w:rPr>
          <w:rFonts w:asciiTheme="minorBidi" w:hAnsiTheme="minorBidi" w:hint="cs"/>
          <w:rtl/>
        </w:rPr>
        <w:t>,</w:t>
      </w:r>
      <w:r w:rsidRPr="003024E5">
        <w:rPr>
          <w:rFonts w:asciiTheme="minorBidi" w:hAnsiTheme="minorBidi"/>
          <w:rtl/>
        </w:rPr>
        <w:t xml:space="preserve"> ומשום דנבלע בככר</w:t>
      </w:r>
      <w:r>
        <w:rPr>
          <w:rFonts w:asciiTheme="minorBidi" w:hAnsiTheme="minorBidi" w:hint="cs"/>
          <w:rtl/>
        </w:rPr>
        <w:t>,</w:t>
      </w:r>
      <w:r w:rsidRPr="003024E5">
        <w:rPr>
          <w:rFonts w:asciiTheme="minorBidi" w:hAnsiTheme="minorBidi"/>
          <w:rtl/>
        </w:rPr>
        <w:t xml:space="preserve"> אבל אי פריש למנא כהללו שחותכין את הצלי על כלי עץ דאסור אפילו לרבא משום מראית העין, ולא משמע הכי, דהא שמואל גופיה לא אסר ליה אלא בדאסמיק ואבריה סומקא לבראי וסמיכתא ובכי הא הוא דשרי רבא דאלמא טעמיה דרבא לאו משום דנבלע בתוך הככר הוא אלא משום דדם כזה אין לו מראה חזק ואין אדם טועה בכך אלא חמר בשר הוא דקרו ליה, ואפילו חתיך ליה בכלי והוא בעין משמע נמי דשרי דשומן בשר הוא וחמר בשר קרו ליה.</w:t>
      </w:r>
      <w:r w:rsidRPr="003024E5">
        <w:rPr>
          <w:rFonts w:asciiTheme="minorBidi" w:hAnsiTheme="minorBidi"/>
          <w:color w:val="00B0F0"/>
          <w:rtl/>
        </w:rPr>
        <w:t xml:space="preserve"> (וכ"פ הרמ"א)</w:t>
      </w:r>
    </w:p>
    <w:p w14:paraId="7A5F80A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CD6BAC4" w14:textId="77777777" w:rsidR="002C39F4" w:rsidRPr="003024E5" w:rsidRDefault="002C39F4" w:rsidP="002C39F4">
      <w:pPr>
        <w:rPr>
          <w:rFonts w:asciiTheme="minorBidi" w:hAnsiTheme="minorBidi"/>
          <w:rtl/>
        </w:rPr>
      </w:pPr>
      <w:r w:rsidRPr="003024E5">
        <w:rPr>
          <w:rFonts w:asciiTheme="minorBidi" w:hAnsiTheme="minorBidi"/>
          <w:rtl/>
        </w:rPr>
        <w:t>צלי שלא נמלח וחתכו על גבי ככר, אף על פי שיש בככר מראה אודם</w:t>
      </w:r>
      <w:r w:rsidRPr="003024E5">
        <w:rPr>
          <w:rStyle w:val="a7"/>
          <w:rFonts w:asciiTheme="minorBidi" w:hAnsiTheme="minorBidi"/>
          <w:rtl/>
        </w:rPr>
        <w:footnoteReference w:id="761"/>
      </w:r>
      <w:r w:rsidRPr="003024E5">
        <w:rPr>
          <w:rFonts w:asciiTheme="minorBidi" w:hAnsiTheme="minorBidi"/>
          <w:rtl/>
        </w:rPr>
        <w:t>, מותר אם נצלה עד כדי שהוא ראוי לאכילה לרוב בני אדם</w:t>
      </w:r>
      <w:r w:rsidRPr="003024E5">
        <w:rPr>
          <w:rStyle w:val="a7"/>
          <w:rFonts w:asciiTheme="minorBidi" w:hAnsiTheme="minorBidi"/>
          <w:rtl/>
        </w:rPr>
        <w:footnoteReference w:id="762"/>
      </w:r>
      <w:r w:rsidRPr="003024E5">
        <w:rPr>
          <w:rFonts w:asciiTheme="minorBidi" w:hAnsiTheme="minorBidi"/>
          <w:rtl/>
        </w:rPr>
        <w:t xml:space="preserve">. </w:t>
      </w:r>
      <w:r w:rsidRPr="003024E5">
        <w:rPr>
          <w:rFonts w:asciiTheme="minorBidi" w:hAnsiTheme="minorBidi"/>
          <w:sz w:val="18"/>
          <w:szCs w:val="18"/>
          <w:rtl/>
        </w:rPr>
        <w:t>[הגה] דהיינו חצי צלייתו</w:t>
      </w:r>
      <w:r>
        <w:rPr>
          <w:rFonts w:asciiTheme="minorBidi" w:hAnsiTheme="minorBidi" w:hint="cs"/>
          <w:sz w:val="18"/>
          <w:szCs w:val="18"/>
          <w:rtl/>
        </w:rPr>
        <w:t xml:space="preserve"> (ד"ע בהב' הטור).</w:t>
      </w:r>
      <w:r w:rsidRPr="003024E5">
        <w:rPr>
          <w:rFonts w:asciiTheme="minorBidi" w:hAnsiTheme="minorBidi"/>
          <w:sz w:val="18"/>
          <w:szCs w:val="18"/>
          <w:rtl/>
        </w:rPr>
        <w:t xml:space="preserve"> וה"ה שהמוהל בלא ככר נמי שרי (ב"י בשם הרשב"א).</w:t>
      </w:r>
    </w:p>
    <w:p w14:paraId="14C7CB0C" w14:textId="77777777" w:rsidR="002C39F4" w:rsidRPr="003024E5" w:rsidRDefault="002C39F4" w:rsidP="002C39F4">
      <w:pPr>
        <w:rPr>
          <w:rFonts w:asciiTheme="minorBidi" w:hAnsiTheme="minorBidi"/>
          <w:rtl/>
        </w:rPr>
      </w:pPr>
      <w:r w:rsidRPr="003024E5">
        <w:rPr>
          <w:rFonts w:asciiTheme="minorBidi" w:hAnsiTheme="minorBidi"/>
          <w:rtl/>
        </w:rPr>
        <w:t xml:space="preserve"> </w:t>
      </w:r>
    </w:p>
    <w:p w14:paraId="4FC536AB" w14:textId="77777777" w:rsidR="002C39F4" w:rsidRPr="003024E5" w:rsidRDefault="002C39F4" w:rsidP="002C39F4">
      <w:pPr>
        <w:pStyle w:val="2"/>
        <w:rPr>
          <w:rFonts w:asciiTheme="minorBidi" w:hAnsiTheme="minorBidi"/>
          <w:rtl/>
        </w:rPr>
      </w:pPr>
      <w:r w:rsidRPr="003024E5">
        <w:rPr>
          <w:rFonts w:asciiTheme="minorBidi" w:hAnsiTheme="minorBidi"/>
          <w:rtl/>
        </w:rPr>
        <w:t xml:space="preserve">סעיף ו: בי דוגי </w:t>
      </w:r>
      <w:r w:rsidRPr="003024E5">
        <w:rPr>
          <w:rFonts w:asciiTheme="minorBidi" w:hAnsiTheme="minorBidi"/>
          <w:sz w:val="18"/>
          <w:szCs w:val="18"/>
          <w:rtl/>
        </w:rPr>
        <w:t>(כלי שנותנים תחת בשר כדי לקבל שומנו)</w:t>
      </w:r>
      <w:r w:rsidRPr="003024E5">
        <w:rPr>
          <w:rFonts w:asciiTheme="minorBidi" w:hAnsiTheme="minorBidi"/>
          <w:rtl/>
        </w:rPr>
        <w:t>.</w:t>
      </w:r>
    </w:p>
    <w:p w14:paraId="5BCF1782" w14:textId="77777777" w:rsidR="002C39F4" w:rsidRPr="003024E5" w:rsidRDefault="002C39F4" w:rsidP="002C39F4">
      <w:pPr>
        <w:rPr>
          <w:rFonts w:asciiTheme="minorBidi" w:hAnsiTheme="minorBidi"/>
          <w:u w:val="single"/>
        </w:rPr>
      </w:pPr>
      <w:r w:rsidRPr="003024E5">
        <w:rPr>
          <w:rFonts w:asciiTheme="minorBidi" w:hAnsiTheme="minorBidi"/>
          <w:u w:val="single"/>
          <w:rtl/>
        </w:rPr>
        <w:t>הרוצה ליתן כלי תחת בשר שנצלה בלא שמלחוהו קודם לכן:</w:t>
      </w:r>
    </w:p>
    <w:p w14:paraId="32C5CAD1" w14:textId="77777777" w:rsidR="002C39F4" w:rsidRPr="003024E5" w:rsidRDefault="002C39F4" w:rsidP="002C39F4">
      <w:pPr>
        <w:pStyle w:val="a8"/>
        <w:numPr>
          <w:ilvl w:val="0"/>
          <w:numId w:val="71"/>
        </w:numPr>
        <w:rPr>
          <w:rFonts w:asciiTheme="minorBidi" w:hAnsiTheme="minorBidi"/>
          <w:rtl/>
        </w:rPr>
      </w:pPr>
      <w:r w:rsidRPr="003024E5">
        <w:rPr>
          <w:rFonts w:asciiTheme="minorBidi" w:hAnsiTheme="minorBidi"/>
          <w:rtl/>
        </w:rPr>
        <w:t xml:space="preserve">רשב"א </w:t>
      </w:r>
      <w:r w:rsidRPr="003024E5">
        <w:rPr>
          <w:rFonts w:asciiTheme="minorBidi" w:hAnsiTheme="minorBidi"/>
          <w:sz w:val="16"/>
          <w:szCs w:val="16"/>
          <w:rtl/>
        </w:rPr>
        <w:t>(תוה"ב קצר שם עח:)</w:t>
      </w:r>
      <w:r w:rsidRPr="003024E5">
        <w:rPr>
          <w:rFonts w:asciiTheme="minorBidi" w:hAnsiTheme="minorBidi"/>
          <w:rtl/>
        </w:rPr>
        <w:t xml:space="preserve"> וטור- בשר שצולין אותו עד שלא נמלח אין נותנין כלי תחתיו לקבל שמנונית עד שיגיע לכדי שיהא ראוי לאכילה</w:t>
      </w:r>
      <w:r w:rsidRPr="003024E5">
        <w:rPr>
          <w:rStyle w:val="a7"/>
          <w:rFonts w:asciiTheme="minorBidi" w:hAnsiTheme="minorBidi"/>
          <w:rtl/>
        </w:rPr>
        <w:footnoteReference w:id="763"/>
      </w:r>
      <w:r w:rsidRPr="003024E5">
        <w:rPr>
          <w:rFonts w:asciiTheme="minorBidi" w:hAnsiTheme="minorBidi"/>
          <w:rtl/>
        </w:rPr>
        <w:t xml:space="preserve"> בצלייה זו</w:t>
      </w:r>
      <w:r w:rsidRPr="003024E5">
        <w:rPr>
          <w:rFonts w:asciiTheme="minorBidi" w:hAnsiTheme="minorBidi"/>
          <w:sz w:val="16"/>
          <w:szCs w:val="16"/>
          <w:rtl/>
        </w:rPr>
        <w:t xml:space="preserve"> (ל' הרשב"א)</w:t>
      </w:r>
      <w:r w:rsidRPr="003024E5">
        <w:rPr>
          <w:rStyle w:val="a7"/>
          <w:rFonts w:asciiTheme="minorBidi" w:hAnsiTheme="minorBidi"/>
          <w:rtl/>
        </w:rPr>
        <w:footnoteReference w:id="764"/>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69027FAD" w14:textId="77777777" w:rsidR="002C39F4" w:rsidRPr="003024E5" w:rsidRDefault="002C39F4" w:rsidP="002C39F4">
      <w:pPr>
        <w:rPr>
          <w:rFonts w:asciiTheme="minorBidi" w:hAnsiTheme="minorBidi"/>
          <w:sz w:val="16"/>
          <w:szCs w:val="16"/>
          <w:rtl/>
        </w:rPr>
      </w:pPr>
      <w:r w:rsidRPr="003024E5">
        <w:rPr>
          <w:rFonts w:asciiTheme="minorBidi" w:hAnsiTheme="minorBidi"/>
          <w:b/>
          <w:bCs/>
          <w:rtl/>
        </w:rPr>
        <w:t xml:space="preserve">חולין קיב ע"א: </w:t>
      </w:r>
      <w:r w:rsidRPr="003024E5">
        <w:rPr>
          <w:rFonts w:asciiTheme="minorBidi" w:hAnsiTheme="minorBidi"/>
          <w:u w:val="single"/>
          <w:rtl/>
        </w:rPr>
        <w:t>אמר רב נחמן אמר שמואל</w:t>
      </w:r>
      <w:r w:rsidRPr="003024E5">
        <w:rPr>
          <w:rFonts w:asciiTheme="minorBidi" w:hAnsiTheme="minorBidi"/>
          <w:rtl/>
        </w:rPr>
        <w:t>: אין מניחין כלי תחת בשר עד שיכלה</w:t>
      </w:r>
      <w:r w:rsidRPr="003024E5">
        <w:rPr>
          <w:rStyle w:val="a7"/>
          <w:rFonts w:asciiTheme="minorBidi" w:hAnsiTheme="minorBidi"/>
          <w:rtl/>
        </w:rPr>
        <w:footnoteReference w:id="765"/>
      </w:r>
      <w:r w:rsidRPr="003024E5">
        <w:rPr>
          <w:rFonts w:asciiTheme="minorBidi" w:hAnsiTheme="minorBidi"/>
          <w:rtl/>
        </w:rPr>
        <w:t xml:space="preserve"> כל מראה אדמומית שבו. מנא ידעינן? </w:t>
      </w:r>
      <w:r w:rsidRPr="003024E5">
        <w:rPr>
          <w:rFonts w:asciiTheme="minorBidi" w:hAnsiTheme="minorBidi"/>
          <w:u w:val="single"/>
          <w:rtl/>
        </w:rPr>
        <w:t>מר זוטרא משמיה דרב פפא אמר:</w:t>
      </w:r>
      <w:r w:rsidRPr="003024E5">
        <w:rPr>
          <w:rFonts w:asciiTheme="minorBidi" w:hAnsiTheme="minorBidi"/>
          <w:rtl/>
        </w:rPr>
        <w:t xml:space="preserve"> משתעלה </w:t>
      </w:r>
      <w:r w:rsidRPr="003D7C35">
        <w:rPr>
          <w:rFonts w:asciiTheme="minorBidi" w:hAnsiTheme="minorBidi"/>
          <w:rtl/>
        </w:rPr>
        <w:t>תימרתו</w:t>
      </w:r>
      <w:r w:rsidRPr="003D7C35">
        <w:rPr>
          <w:rStyle w:val="a7"/>
          <w:rFonts w:asciiTheme="minorBidi" w:hAnsiTheme="minorBidi"/>
          <w:rtl/>
        </w:rPr>
        <w:footnoteReference w:id="766"/>
      </w:r>
      <w:r w:rsidRPr="003D7C35">
        <w:rPr>
          <w:rFonts w:asciiTheme="minorBidi" w:hAnsiTheme="minorBidi"/>
          <w:rtl/>
        </w:rPr>
        <w:t>, מתקיף לה רב אשי: ודלמא</w:t>
      </w:r>
      <w:r w:rsidRPr="003024E5">
        <w:rPr>
          <w:rFonts w:asciiTheme="minorBidi" w:hAnsiTheme="minorBidi"/>
          <w:rtl/>
        </w:rPr>
        <w:t>, תתאה מטא</w:t>
      </w:r>
      <w:r w:rsidRPr="003024E5">
        <w:rPr>
          <w:rStyle w:val="a7"/>
          <w:rFonts w:asciiTheme="minorBidi" w:hAnsiTheme="minorBidi"/>
          <w:rtl/>
        </w:rPr>
        <w:footnoteReference w:id="767"/>
      </w:r>
      <w:r w:rsidRPr="003024E5">
        <w:rPr>
          <w:rFonts w:asciiTheme="minorBidi" w:hAnsiTheme="minorBidi"/>
          <w:rtl/>
        </w:rPr>
        <w:t xml:space="preserve"> עילאה לא מטא? </w:t>
      </w:r>
      <w:r w:rsidRPr="003024E5">
        <w:rPr>
          <w:rFonts w:asciiTheme="minorBidi" w:hAnsiTheme="minorBidi"/>
          <w:u w:val="single"/>
          <w:rtl/>
        </w:rPr>
        <w:t>אלא אמר רב אשי</w:t>
      </w:r>
      <w:r w:rsidRPr="003024E5">
        <w:rPr>
          <w:rFonts w:asciiTheme="minorBidi" w:hAnsiTheme="minorBidi"/>
          <w:rtl/>
        </w:rPr>
        <w:t>: לית ליה תקנתא אלא - משדא ביה תרתי גללי מלחא</w:t>
      </w:r>
      <w:r w:rsidRPr="003024E5">
        <w:rPr>
          <w:rStyle w:val="a7"/>
          <w:rFonts w:asciiTheme="minorBidi" w:hAnsiTheme="minorBidi"/>
          <w:rtl/>
        </w:rPr>
        <w:footnoteReference w:id="768"/>
      </w:r>
      <w:r w:rsidRPr="003024E5">
        <w:rPr>
          <w:rFonts w:asciiTheme="minorBidi" w:hAnsiTheme="minorBidi"/>
          <w:rtl/>
        </w:rPr>
        <w:t xml:space="preserve"> ומשפייה</w:t>
      </w:r>
      <w:r w:rsidRPr="003024E5">
        <w:rPr>
          <w:rStyle w:val="a7"/>
          <w:rFonts w:asciiTheme="minorBidi" w:hAnsiTheme="minorBidi"/>
          <w:rtl/>
        </w:rPr>
        <w:footnoteReference w:id="769"/>
      </w:r>
      <w:r w:rsidRPr="003024E5">
        <w:rPr>
          <w:rFonts w:asciiTheme="minorBidi" w:hAnsiTheme="minorBidi"/>
          <w:rtl/>
        </w:rPr>
        <w:t>.</w:t>
      </w:r>
    </w:p>
    <w:p w14:paraId="1FE90231" w14:textId="77777777" w:rsidR="002C39F4" w:rsidRPr="003024E5" w:rsidRDefault="002C39F4" w:rsidP="002C39F4">
      <w:pPr>
        <w:rPr>
          <w:rFonts w:asciiTheme="minorBidi" w:hAnsiTheme="minorBidi"/>
          <w:u w:val="single"/>
        </w:rPr>
      </w:pPr>
      <w:r>
        <w:rPr>
          <w:rFonts w:asciiTheme="minorBidi" w:hAnsiTheme="minorBidi" w:hint="cs"/>
          <w:u w:val="single"/>
          <w:rtl/>
        </w:rPr>
        <w:t xml:space="preserve">האם </w:t>
      </w:r>
      <w:r w:rsidRPr="003024E5">
        <w:rPr>
          <w:rFonts w:asciiTheme="minorBidi" w:hAnsiTheme="minorBidi"/>
          <w:u w:val="single"/>
          <w:rtl/>
        </w:rPr>
        <w:t>רב אשי בא להוסיף או לחלוק על דברי שמואל:</w:t>
      </w:r>
    </w:p>
    <w:p w14:paraId="4905CC52" w14:textId="77777777" w:rsidR="002C39F4" w:rsidRPr="003024E5" w:rsidRDefault="002C39F4" w:rsidP="002C39F4">
      <w:pPr>
        <w:pStyle w:val="a8"/>
        <w:numPr>
          <w:ilvl w:val="0"/>
          <w:numId w:val="71"/>
        </w:numPr>
        <w:rPr>
          <w:rFonts w:asciiTheme="minorBidi" w:hAnsiTheme="minorBidi"/>
        </w:rPr>
      </w:pPr>
      <w:r w:rsidRPr="003024E5">
        <w:rPr>
          <w:rFonts w:asciiTheme="minorBidi" w:hAnsiTheme="minorBidi"/>
          <w:rtl/>
        </w:rPr>
        <w:t xml:space="preserve">רי"ף </w:t>
      </w:r>
      <w:r w:rsidRPr="005213AA">
        <w:rPr>
          <w:rFonts w:asciiTheme="minorBidi" w:hAnsiTheme="minorBidi" w:hint="cs"/>
          <w:sz w:val="16"/>
          <w:szCs w:val="16"/>
          <w:rtl/>
        </w:rPr>
        <w:t>(</w:t>
      </w:r>
      <w:r w:rsidRPr="005213AA">
        <w:rPr>
          <w:rFonts w:asciiTheme="minorBidi" w:hAnsiTheme="minorBidi"/>
          <w:sz w:val="16"/>
          <w:szCs w:val="16"/>
          <w:rtl/>
        </w:rPr>
        <w:t>מא:</w:t>
      </w:r>
      <w:r w:rsidRPr="005213AA">
        <w:rPr>
          <w:rFonts w:asciiTheme="minorBidi" w:hAnsiTheme="minorBidi" w:hint="cs"/>
          <w:sz w:val="16"/>
          <w:szCs w:val="16"/>
          <w:rtl/>
        </w:rPr>
        <w:t>)</w:t>
      </w:r>
      <w:r w:rsidRPr="003024E5">
        <w:rPr>
          <w:rFonts w:asciiTheme="minorBidi" w:hAnsiTheme="minorBidi"/>
          <w:sz w:val="16"/>
          <w:szCs w:val="16"/>
          <w:rtl/>
        </w:rPr>
        <w:t xml:space="preserve"> </w:t>
      </w:r>
      <w:r w:rsidRPr="003024E5">
        <w:rPr>
          <w:rFonts w:asciiTheme="minorBidi" w:hAnsiTheme="minorBidi"/>
          <w:rtl/>
        </w:rPr>
        <w:t>רמב"ם</w:t>
      </w:r>
      <w:r w:rsidRPr="003024E5">
        <w:rPr>
          <w:rStyle w:val="a7"/>
          <w:rFonts w:asciiTheme="minorBidi" w:hAnsiTheme="minorBidi"/>
          <w:rtl/>
        </w:rPr>
        <w:footnoteReference w:id="770"/>
      </w:r>
      <w:r w:rsidRPr="003024E5">
        <w:rPr>
          <w:rFonts w:asciiTheme="minorBidi" w:hAnsiTheme="minorBidi"/>
          <w:rtl/>
        </w:rPr>
        <w:t xml:space="preserve"> </w:t>
      </w:r>
      <w:r w:rsidRPr="005213AA">
        <w:rPr>
          <w:rFonts w:asciiTheme="minorBidi" w:hAnsiTheme="minorBidi" w:hint="cs"/>
          <w:sz w:val="16"/>
          <w:szCs w:val="16"/>
          <w:rtl/>
        </w:rPr>
        <w:t>(</w:t>
      </w:r>
      <w:r w:rsidRPr="005213AA">
        <w:rPr>
          <w:rFonts w:asciiTheme="minorBidi" w:hAnsiTheme="minorBidi"/>
          <w:sz w:val="16"/>
          <w:szCs w:val="16"/>
          <w:rtl/>
        </w:rPr>
        <w:t>פ"ו הט"ו</w:t>
      </w:r>
      <w:r w:rsidRPr="005213AA">
        <w:rPr>
          <w:rFonts w:asciiTheme="minorBidi" w:hAnsiTheme="minorBidi" w:hint="cs"/>
          <w:sz w:val="16"/>
          <w:szCs w:val="16"/>
          <w:rtl/>
        </w:rPr>
        <w:t>)</w:t>
      </w:r>
      <w:r w:rsidRPr="003024E5">
        <w:rPr>
          <w:rFonts w:asciiTheme="minorBidi" w:hAnsiTheme="minorBidi"/>
          <w:sz w:val="16"/>
          <w:szCs w:val="16"/>
          <w:rtl/>
        </w:rPr>
        <w:t xml:space="preserve"> </w:t>
      </w:r>
      <w:r>
        <w:rPr>
          <w:rFonts w:asciiTheme="minorBidi" w:hAnsiTheme="minorBidi" w:hint="cs"/>
          <w:rtl/>
        </w:rPr>
        <w:t>(</w:t>
      </w:r>
      <w:r w:rsidRPr="003024E5">
        <w:rPr>
          <w:rFonts w:asciiTheme="minorBidi" w:hAnsiTheme="minorBidi"/>
          <w:rtl/>
        </w:rPr>
        <w:t>ורא"ש</w:t>
      </w:r>
      <w:r w:rsidRPr="003024E5">
        <w:rPr>
          <w:rFonts w:asciiTheme="minorBidi" w:hAnsiTheme="minorBidi"/>
          <w:sz w:val="16"/>
          <w:szCs w:val="16"/>
          <w:rtl/>
        </w:rPr>
        <w:t xml:space="preserve"> להב' הב"י</w:t>
      </w:r>
      <w:r w:rsidRPr="003024E5">
        <w:rPr>
          <w:rStyle w:val="a7"/>
          <w:rFonts w:asciiTheme="minorBidi" w:hAnsiTheme="minorBidi"/>
          <w:rtl/>
        </w:rPr>
        <w:footnoteReference w:id="771"/>
      </w:r>
      <w:r w:rsidRPr="003024E5">
        <w:rPr>
          <w:rFonts w:asciiTheme="minorBidi" w:hAnsiTheme="minorBidi"/>
          <w:rtl/>
        </w:rPr>
        <w:t>)- רב אשי לא קפיד בין תעלה תמרתו ללא תעלה, דאי לא מנח תרי גללי מילחא אפי' אחר שתעלה תמרתו אסור, ואי מנח תרי גללי מילחא אפילו קודם שתעלה תמרתו שרי.</w:t>
      </w:r>
    </w:p>
    <w:p w14:paraId="7E7C3A4E" w14:textId="77777777" w:rsidR="002C39F4" w:rsidRPr="003024E5" w:rsidRDefault="002C39F4" w:rsidP="002C39F4">
      <w:pPr>
        <w:pStyle w:val="a8"/>
        <w:numPr>
          <w:ilvl w:val="0"/>
          <w:numId w:val="71"/>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(שם ובתוה"א ב"ג ש"ג פא.)</w:t>
      </w:r>
      <w:r w:rsidRPr="003024E5">
        <w:rPr>
          <w:rFonts w:asciiTheme="minorBidi" w:hAnsiTheme="minorBidi"/>
          <w:rtl/>
        </w:rPr>
        <w:t xml:space="preserve"> (ורא"ש </w:t>
      </w:r>
      <w:r w:rsidRPr="003024E5">
        <w:rPr>
          <w:rFonts w:asciiTheme="minorBidi" w:hAnsiTheme="minorBidi"/>
          <w:sz w:val="16"/>
          <w:szCs w:val="16"/>
          <w:rtl/>
        </w:rPr>
        <w:t>להב' הטור</w:t>
      </w:r>
      <w:r w:rsidRPr="003024E5">
        <w:rPr>
          <w:rStyle w:val="a7"/>
          <w:rFonts w:asciiTheme="minorBidi" w:hAnsiTheme="minorBidi"/>
          <w:rtl/>
        </w:rPr>
        <w:footnoteReference w:id="772"/>
      </w:r>
      <w:r w:rsidRPr="003024E5">
        <w:rPr>
          <w:rFonts w:asciiTheme="minorBidi" w:hAnsiTheme="minorBidi"/>
          <w:rtl/>
        </w:rPr>
        <w:t>)- אפילו רב אשי נמי דאמר דאית ליה תקנתא בגללי מילחא תרתי בעי</w:t>
      </w:r>
      <w:r>
        <w:rPr>
          <w:rFonts w:asciiTheme="minorBidi" w:hAnsiTheme="minorBidi" w:hint="cs"/>
          <w:rtl/>
        </w:rPr>
        <w:t>-</w:t>
      </w:r>
      <w:r w:rsidRPr="003024E5">
        <w:rPr>
          <w:rFonts w:asciiTheme="minorBidi" w:hAnsiTheme="minorBidi"/>
          <w:rtl/>
        </w:rPr>
        <w:t xml:space="preserve"> משתעלה תמרתו ואח"כ למיהב ביה גללי מילחא, אבל לשוויי בי דוגי מקמי דתכלה אדמימות דהיינו משיעלה תמרתו- לא, דאז איכא דם, ומיהו אפ"ה לכתחלה לא שרינן בלא גללי דמילחא דכל היכא דאיכא לתקוני ולמיפק מידי ספק מתקנינן ומפקינן</w:t>
      </w:r>
      <w:r w:rsidRPr="003024E5">
        <w:rPr>
          <w:rFonts w:asciiTheme="minorBidi" w:hAnsiTheme="minorBidi"/>
          <w:sz w:val="16"/>
          <w:szCs w:val="16"/>
          <w:rtl/>
        </w:rPr>
        <w:t xml:space="preserve"> (ל' הרשב"א)</w:t>
      </w:r>
      <w:r w:rsidRPr="003024E5">
        <w:rPr>
          <w:rFonts w:asciiTheme="minorBidi" w:hAnsiTheme="minorBidi"/>
          <w:rtl/>
        </w:rPr>
        <w:t xml:space="preserve">. </w:t>
      </w:r>
    </w:p>
    <w:p w14:paraId="7ED5BE57"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למסקנה</w:t>
      </w:r>
      <w:r>
        <w:rPr>
          <w:rFonts w:asciiTheme="minorBidi" w:hAnsiTheme="minorBidi" w:hint="cs"/>
          <w:u w:val="dotted"/>
          <w:rtl/>
        </w:rPr>
        <w:t xml:space="preserve"> </w:t>
      </w:r>
      <w:r w:rsidRPr="003024E5">
        <w:rPr>
          <w:rFonts w:asciiTheme="minorBidi" w:hAnsiTheme="minorBidi"/>
          <w:u w:val="dotted"/>
          <w:rtl/>
        </w:rPr>
        <w:t>- האם יש תקנה ליתן כלי תחת בשר</w:t>
      </w:r>
      <w:r w:rsidRPr="003024E5">
        <w:rPr>
          <w:rFonts w:asciiTheme="minorBidi" w:hAnsiTheme="minorBidi"/>
          <w:sz w:val="16"/>
          <w:szCs w:val="16"/>
          <w:u w:val="dotted"/>
          <w:rtl/>
        </w:rPr>
        <w:t xml:space="preserve"> (שלא נמלח)</w:t>
      </w:r>
      <w:r w:rsidRPr="003024E5">
        <w:rPr>
          <w:rFonts w:asciiTheme="minorBidi" w:hAnsiTheme="minorBidi"/>
          <w:u w:val="dotted"/>
          <w:rtl/>
        </w:rPr>
        <w:t xml:space="preserve"> קודם שמגיע הצלי לשיעור צלייה הראוי לאכילה:</w:t>
      </w:r>
    </w:p>
    <w:p w14:paraId="68F4011F" w14:textId="77777777" w:rsidR="002C39F4" w:rsidRPr="003024E5" w:rsidRDefault="002C39F4" w:rsidP="002C39F4">
      <w:pPr>
        <w:pStyle w:val="a8"/>
        <w:numPr>
          <w:ilvl w:val="0"/>
          <w:numId w:val="71"/>
        </w:numPr>
        <w:rPr>
          <w:rFonts w:asciiTheme="minorBidi" w:hAnsiTheme="minorBidi"/>
        </w:rPr>
      </w:pPr>
      <w:r w:rsidRPr="003024E5">
        <w:rPr>
          <w:rFonts w:asciiTheme="minorBidi" w:hAnsiTheme="minorBidi"/>
          <w:rtl/>
        </w:rPr>
        <w:t xml:space="preserve">(רש"י </w:t>
      </w:r>
      <w:r w:rsidRPr="003024E5">
        <w:rPr>
          <w:rFonts w:asciiTheme="minorBidi" w:hAnsiTheme="minorBidi"/>
          <w:sz w:val="16"/>
          <w:szCs w:val="16"/>
          <w:rtl/>
        </w:rPr>
        <w:t>לגי' הטור</w:t>
      </w:r>
      <w:r w:rsidRPr="003024E5">
        <w:rPr>
          <w:rStyle w:val="a7"/>
          <w:rFonts w:asciiTheme="minorBidi" w:hAnsiTheme="minorBidi"/>
          <w:rtl/>
        </w:rPr>
        <w:footnoteReference w:id="773"/>
      </w:r>
      <w:r w:rsidRPr="003024E5">
        <w:rPr>
          <w:rFonts w:asciiTheme="minorBidi" w:hAnsiTheme="minorBidi"/>
          <w:rtl/>
        </w:rPr>
        <w:t>) תוס' סה"ת סמ"ג רשב"א רא"ש טור ור"ן</w:t>
      </w:r>
      <w:r w:rsidRPr="003024E5">
        <w:rPr>
          <w:rStyle w:val="a7"/>
          <w:rFonts w:asciiTheme="minorBidi" w:hAnsiTheme="minorBidi"/>
          <w:rtl/>
        </w:rPr>
        <w:footnoteReference w:id="774"/>
      </w:r>
      <w:r w:rsidRPr="003024E5">
        <w:rPr>
          <w:rFonts w:asciiTheme="minorBidi" w:hAnsiTheme="minorBidi"/>
          <w:rtl/>
        </w:rPr>
        <w:t xml:space="preserve">- כתבו הגאונים שלא התירו </w:t>
      </w:r>
      <w:r w:rsidRPr="003024E5">
        <w:rPr>
          <w:rFonts w:asciiTheme="minorBidi" w:hAnsiTheme="minorBidi"/>
          <w:sz w:val="16"/>
          <w:szCs w:val="16"/>
          <w:rtl/>
        </w:rPr>
        <w:t xml:space="preserve">{חכמי הגמ'} </w:t>
      </w:r>
      <w:r w:rsidRPr="003024E5">
        <w:rPr>
          <w:rFonts w:asciiTheme="minorBidi" w:hAnsiTheme="minorBidi"/>
          <w:rtl/>
        </w:rPr>
        <w:t>ע"י נתינת מלח אלא בב' או ג' גרגרין אבל אם המלח הרבה אסור לפי שפוסק כח הדם ועושהו כמים ומתערב עם השומן, ומכיון שאין אנו בקיאין בדבר שלא להרבות או למעט אין ליתן כלי תחת הצלי עד שימלחנו וישהה כשיעור מליחה</w:t>
      </w:r>
      <w:r>
        <w:rPr>
          <w:rStyle w:val="a7"/>
          <w:rFonts w:asciiTheme="minorBidi" w:hAnsiTheme="minorBidi"/>
          <w:rtl/>
        </w:rPr>
        <w:footnoteReference w:id="775"/>
      </w:r>
      <w:r w:rsidRPr="003024E5">
        <w:rPr>
          <w:rFonts w:asciiTheme="minorBidi" w:hAnsiTheme="minorBidi"/>
          <w:rtl/>
        </w:rPr>
        <w:t xml:space="preserve"> </w:t>
      </w:r>
      <w:r w:rsidRPr="003024E5">
        <w:rPr>
          <w:rFonts w:asciiTheme="minorBidi" w:hAnsiTheme="minorBidi"/>
          <w:sz w:val="16"/>
          <w:szCs w:val="16"/>
          <w:rtl/>
        </w:rPr>
        <w:t xml:space="preserve">(ל' הטור) </w:t>
      </w:r>
      <w:r w:rsidRPr="003024E5">
        <w:rPr>
          <w:rFonts w:asciiTheme="minorBidi" w:hAnsiTheme="minorBidi"/>
          <w:rtl/>
        </w:rPr>
        <w:t xml:space="preserve">והודח יפה כדין בשר הנכשר לקדרה </w:t>
      </w:r>
      <w:r w:rsidRPr="003024E5">
        <w:rPr>
          <w:rFonts w:asciiTheme="minorBidi" w:hAnsiTheme="minorBidi"/>
          <w:sz w:val="16"/>
          <w:szCs w:val="16"/>
          <w:rtl/>
        </w:rPr>
        <w:t>(ל' הרשב"א</w:t>
      </w:r>
      <w:r w:rsidRPr="003024E5">
        <w:rPr>
          <w:rStyle w:val="a7"/>
          <w:rFonts w:asciiTheme="minorBidi" w:hAnsiTheme="minorBidi"/>
          <w:sz w:val="16"/>
          <w:szCs w:val="16"/>
          <w:rtl/>
        </w:rPr>
        <w:footnoteReference w:id="776"/>
      </w:r>
      <w:r w:rsidRPr="003024E5">
        <w:rPr>
          <w:rFonts w:asciiTheme="minorBidi" w:hAnsiTheme="minorBidi"/>
          <w:sz w:val="16"/>
          <w:szCs w:val="16"/>
          <w:rtl/>
        </w:rPr>
        <w:t>)</w:t>
      </w:r>
      <w:r w:rsidRPr="003024E5">
        <w:rPr>
          <w:rStyle w:val="a7"/>
          <w:rFonts w:asciiTheme="minorBidi" w:hAnsiTheme="minorBidi"/>
          <w:rtl/>
        </w:rPr>
        <w:footnoteReference w:id="777"/>
      </w:r>
      <w:r w:rsidRPr="003024E5">
        <w:rPr>
          <w:rFonts w:asciiTheme="minorBidi" w:hAnsiTheme="minorBidi"/>
          <w:rtl/>
        </w:rPr>
        <w:t xml:space="preserve">. </w:t>
      </w:r>
    </w:p>
    <w:p w14:paraId="73DBE34B" w14:textId="77777777" w:rsidR="002C39F4" w:rsidRPr="003024E5" w:rsidRDefault="002C39F4" w:rsidP="002C39F4">
      <w:pPr>
        <w:ind w:left="360"/>
        <w:rPr>
          <w:rFonts w:asciiTheme="minorBidi" w:hAnsiTheme="minorBidi"/>
          <w:rtl/>
        </w:rPr>
      </w:pPr>
      <w:r w:rsidRPr="003024E5">
        <w:rPr>
          <w:rFonts w:asciiTheme="minorBidi" w:hAnsiTheme="minorBidi"/>
          <w:u w:val="dotted"/>
          <w:rtl/>
        </w:rPr>
        <w:t xml:space="preserve">בשר </w:t>
      </w:r>
      <w:r>
        <w:rPr>
          <w:rFonts w:asciiTheme="minorBidi" w:hAnsiTheme="minorBidi" w:hint="cs"/>
          <w:u w:val="dotted"/>
          <w:rtl/>
        </w:rPr>
        <w:t>שהוכשר כדין</w:t>
      </w:r>
      <w:r w:rsidRPr="003024E5">
        <w:rPr>
          <w:rFonts w:asciiTheme="minorBidi" w:hAnsiTheme="minorBidi"/>
          <w:u w:val="dotted"/>
          <w:rtl/>
        </w:rPr>
        <w:t xml:space="preserve"> לקדרה</w:t>
      </w:r>
      <w:r>
        <w:rPr>
          <w:rFonts w:asciiTheme="minorBidi" w:hAnsiTheme="minorBidi" w:hint="cs"/>
          <w:u w:val="dotted"/>
          <w:rtl/>
        </w:rPr>
        <w:t xml:space="preserve"> </w:t>
      </w:r>
      <w:r w:rsidRPr="003024E5">
        <w:rPr>
          <w:rFonts w:asciiTheme="minorBidi" w:hAnsiTheme="minorBidi"/>
          <w:u w:val="dotted"/>
          <w:rtl/>
        </w:rPr>
        <w:t xml:space="preserve">- האם </w:t>
      </w:r>
      <w:r>
        <w:rPr>
          <w:rFonts w:asciiTheme="minorBidi" w:hAnsiTheme="minorBidi" w:hint="cs"/>
          <w:u w:val="dotted"/>
          <w:rtl/>
        </w:rPr>
        <w:t>מותר</w:t>
      </w:r>
      <w:r w:rsidRPr="003024E5">
        <w:rPr>
          <w:rFonts w:asciiTheme="minorBidi" w:hAnsiTheme="minorBidi"/>
          <w:u w:val="dotted"/>
          <w:rtl/>
        </w:rPr>
        <w:t xml:space="preserve"> ליתן תחתיו כלי מיד</w:t>
      </w:r>
      <w:r>
        <w:rPr>
          <w:rFonts w:asciiTheme="minorBidi" w:hAnsiTheme="minorBidi" w:hint="cs"/>
          <w:u w:val="dotted"/>
          <w:rtl/>
        </w:rPr>
        <w:t xml:space="preserve"> בתחילת צלייתו</w:t>
      </w:r>
      <w:r w:rsidRPr="003024E5">
        <w:rPr>
          <w:rFonts w:asciiTheme="minorBidi" w:hAnsiTheme="minorBidi"/>
          <w:u w:val="dotted"/>
          <w:rtl/>
        </w:rPr>
        <w:t>:</w:t>
      </w:r>
    </w:p>
    <w:p w14:paraId="55AB96B3" w14:textId="77777777" w:rsidR="002C39F4" w:rsidRPr="003B33BC" w:rsidRDefault="002C39F4" w:rsidP="002C39F4">
      <w:pPr>
        <w:pStyle w:val="a8"/>
        <w:numPr>
          <w:ilvl w:val="0"/>
          <w:numId w:val="71"/>
        </w:numPr>
        <w:rPr>
          <w:rFonts w:asciiTheme="minorBidi" w:hAnsiTheme="minorBidi"/>
          <w:color w:val="000000" w:themeColor="text1"/>
          <w:u w:val="dotted"/>
        </w:rPr>
      </w:pPr>
      <w:r w:rsidRPr="003B33BC">
        <w:rPr>
          <w:rFonts w:asciiTheme="minorBidi" w:hAnsiTheme="minorBidi"/>
          <w:color w:val="000000" w:themeColor="text1"/>
          <w:rtl/>
        </w:rPr>
        <w:t xml:space="preserve">רמב"ם </w:t>
      </w:r>
      <w:r w:rsidRPr="003B33BC">
        <w:rPr>
          <w:rFonts w:asciiTheme="minorBidi" w:hAnsiTheme="minorBidi"/>
          <w:color w:val="000000" w:themeColor="text1"/>
          <w:sz w:val="16"/>
          <w:szCs w:val="16"/>
          <w:rtl/>
        </w:rPr>
        <w:t>(להב' הה"מ [פ"ו הט"ו])</w:t>
      </w:r>
      <w:r w:rsidRPr="003B33BC">
        <w:rPr>
          <w:rFonts w:asciiTheme="minorBidi" w:hAnsiTheme="minorBidi"/>
          <w:color w:val="000000" w:themeColor="text1"/>
          <w:rtl/>
        </w:rPr>
        <w:t>- אסור עד שתכלה כל מראה אדמומית שבו</w:t>
      </w:r>
      <w:r w:rsidRPr="003B33BC">
        <w:rPr>
          <w:rStyle w:val="a7"/>
          <w:rFonts w:asciiTheme="minorBidi" w:hAnsiTheme="minorBidi"/>
          <w:color w:val="000000" w:themeColor="text1"/>
          <w:rtl/>
        </w:rPr>
        <w:footnoteReference w:id="778"/>
      </w:r>
      <w:r w:rsidRPr="003B33BC">
        <w:rPr>
          <w:rFonts w:asciiTheme="minorBidi" w:hAnsiTheme="minorBidi"/>
          <w:color w:val="000000" w:themeColor="text1"/>
          <w:rtl/>
        </w:rPr>
        <w:t xml:space="preserve">. </w:t>
      </w:r>
    </w:p>
    <w:p w14:paraId="32C144F1" w14:textId="77777777" w:rsidR="002C39F4" w:rsidRPr="003024E5" w:rsidRDefault="002C39F4" w:rsidP="002C39F4">
      <w:pPr>
        <w:pStyle w:val="a8"/>
        <w:numPr>
          <w:ilvl w:val="0"/>
          <w:numId w:val="71"/>
        </w:numPr>
        <w:rPr>
          <w:rFonts w:asciiTheme="minorBidi" w:hAnsiTheme="minorBidi"/>
          <w:u w:val="dotted"/>
          <w:rtl/>
        </w:rPr>
      </w:pPr>
      <w:r w:rsidRPr="003024E5">
        <w:rPr>
          <w:rFonts w:asciiTheme="minorBidi" w:hAnsiTheme="minorBidi"/>
          <w:rtl/>
        </w:rPr>
        <w:t xml:space="preserve">רשב"א </w:t>
      </w:r>
      <w:r w:rsidRPr="003024E5">
        <w:rPr>
          <w:rFonts w:asciiTheme="minorBidi" w:hAnsiTheme="minorBidi"/>
          <w:sz w:val="16"/>
          <w:szCs w:val="16"/>
          <w:rtl/>
        </w:rPr>
        <w:t>(כ"כ הה"מ בשמו)</w:t>
      </w:r>
      <w:r w:rsidRPr="003024E5">
        <w:rPr>
          <w:rFonts w:asciiTheme="minorBidi" w:hAnsiTheme="minorBidi"/>
          <w:rtl/>
        </w:rPr>
        <w:t xml:space="preserve">- מותר לתת תחתיו כלי מיד ואין צריך שום דבר. </w:t>
      </w:r>
      <w:r>
        <w:rPr>
          <w:rFonts w:asciiTheme="minorBidi" w:hAnsiTheme="minorBidi" w:hint="cs"/>
          <w:u w:val="dotted"/>
          <w:rtl/>
        </w:rPr>
        <w:t xml:space="preserve"> </w:t>
      </w:r>
    </w:p>
    <w:p w14:paraId="3B7EAB51" w14:textId="77777777" w:rsidR="002C39F4" w:rsidRPr="003024E5" w:rsidRDefault="002C39F4" w:rsidP="002C39F4">
      <w:pPr>
        <w:rPr>
          <w:rFonts w:asciiTheme="minorBidi" w:hAnsiTheme="minorBidi"/>
          <w:u w:val="single"/>
          <w:rtl/>
        </w:rPr>
      </w:pPr>
      <w:r>
        <w:rPr>
          <w:rFonts w:asciiTheme="minorBidi" w:hAnsiTheme="minorBidi" w:hint="cs"/>
          <w:u w:val="single"/>
          <w:rtl/>
        </w:rPr>
        <w:t>ה</w:t>
      </w:r>
      <w:r w:rsidRPr="003024E5">
        <w:rPr>
          <w:rFonts w:asciiTheme="minorBidi" w:hAnsiTheme="minorBidi"/>
          <w:u w:val="single"/>
          <w:rtl/>
        </w:rPr>
        <w:t xml:space="preserve">אם הכלי </w:t>
      </w:r>
      <w:r>
        <w:rPr>
          <w:rFonts w:asciiTheme="minorBidi" w:hAnsiTheme="minorBidi" w:hint="cs"/>
          <w:sz w:val="16"/>
          <w:szCs w:val="16"/>
          <w:u w:val="single"/>
          <w:rtl/>
        </w:rPr>
        <w:t>(</w:t>
      </w:r>
      <w:r w:rsidRPr="003B33BC">
        <w:rPr>
          <w:rFonts w:asciiTheme="minorBidi" w:hAnsiTheme="minorBidi"/>
          <w:sz w:val="16"/>
          <w:szCs w:val="16"/>
          <w:u w:val="single"/>
          <w:rtl/>
        </w:rPr>
        <w:t>שנותנים תחת הבשר</w:t>
      </w:r>
      <w:r w:rsidRPr="003B33BC">
        <w:rPr>
          <w:rFonts w:asciiTheme="minorBidi" w:hAnsiTheme="minorBidi" w:hint="cs"/>
          <w:sz w:val="16"/>
          <w:szCs w:val="16"/>
          <w:u w:val="single"/>
          <w:rtl/>
        </w:rPr>
        <w:t>)</w:t>
      </w:r>
      <w:r>
        <w:rPr>
          <w:rFonts w:asciiTheme="minorBidi" w:hAnsiTheme="minorBidi" w:hint="cs"/>
          <w:u w:val="single"/>
          <w:rtl/>
        </w:rPr>
        <w:t xml:space="preserve"> </w:t>
      </w:r>
      <w:r w:rsidRPr="003024E5">
        <w:rPr>
          <w:rFonts w:asciiTheme="minorBidi" w:hAnsiTheme="minorBidi"/>
          <w:u w:val="single"/>
          <w:rtl/>
        </w:rPr>
        <w:t>נאסר מהדם הנופל בו:</w:t>
      </w:r>
    </w:p>
    <w:p w14:paraId="057F0D22" w14:textId="77777777" w:rsidR="002C39F4" w:rsidRPr="003024E5" w:rsidRDefault="002C39F4" w:rsidP="002C39F4">
      <w:pPr>
        <w:pStyle w:val="a8"/>
        <w:numPr>
          <w:ilvl w:val="0"/>
          <w:numId w:val="71"/>
        </w:numPr>
        <w:rPr>
          <w:rFonts w:asciiTheme="minorBidi" w:hAnsiTheme="minorBidi"/>
        </w:rPr>
      </w:pPr>
      <w:r w:rsidRPr="003024E5">
        <w:rPr>
          <w:rFonts w:asciiTheme="minorBidi" w:hAnsiTheme="minorBidi"/>
          <w:rtl/>
        </w:rPr>
        <w:t xml:space="preserve">ר"ן </w:t>
      </w:r>
      <w:r w:rsidRPr="003024E5">
        <w:rPr>
          <w:rFonts w:asciiTheme="minorBidi" w:hAnsiTheme="minorBidi"/>
          <w:sz w:val="16"/>
          <w:szCs w:val="16"/>
          <w:rtl/>
        </w:rPr>
        <w:t>(מ. ד"ה ואי איכא)</w:t>
      </w:r>
      <w:r w:rsidRPr="003024E5">
        <w:rPr>
          <w:rFonts w:asciiTheme="minorBidi" w:hAnsiTheme="minorBidi"/>
          <w:rtl/>
        </w:rPr>
        <w:t xml:space="preserve">- </w:t>
      </w:r>
      <w:r w:rsidRPr="003024E5">
        <w:rPr>
          <w:rStyle w:val="a7"/>
          <w:rFonts w:asciiTheme="minorBidi" w:hAnsiTheme="minorBidi"/>
          <w:rtl/>
        </w:rPr>
        <w:footnoteReference w:id="779"/>
      </w:r>
      <w:r w:rsidRPr="003024E5">
        <w:rPr>
          <w:rFonts w:asciiTheme="minorBidi" w:hAnsiTheme="minorBidi"/>
          <w:rtl/>
        </w:rPr>
        <w:t>הכלי מותר, משום שמניחים את הכלי מתחת הבשר רק לאחר שנצלה כמאכל בן דרוסאי וכלה דמו ועתה אינו אלא מוחל, ומ"מ המוחל האדום היוצא ממנו אסור משום מראית העין, ואם שם הכלי קודם שנצלה הבשר כמאב"ד</w:t>
      </w:r>
      <w:r>
        <w:rPr>
          <w:rFonts w:asciiTheme="minorBidi" w:hAnsiTheme="minorBidi" w:hint="cs"/>
          <w:rtl/>
        </w:rPr>
        <w:t xml:space="preserve"> </w:t>
      </w:r>
      <w:r w:rsidRPr="003024E5">
        <w:rPr>
          <w:rFonts w:asciiTheme="minorBidi" w:hAnsiTheme="minorBidi"/>
          <w:rtl/>
        </w:rPr>
        <w:t xml:space="preserve">- הכלי נאסר. </w:t>
      </w:r>
    </w:p>
    <w:p w14:paraId="7627887F" w14:textId="77777777" w:rsidR="002C39F4" w:rsidRPr="003024E5" w:rsidRDefault="002C39F4" w:rsidP="002C39F4">
      <w:pPr>
        <w:pStyle w:val="a8"/>
        <w:numPr>
          <w:ilvl w:val="0"/>
          <w:numId w:val="71"/>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 xml:space="preserve">(קיב. ד"ה אמר רב נחמן, וכ"כ רי"ו </w:t>
      </w:r>
      <w:r w:rsidRPr="003024E5">
        <w:rPr>
          <w:rFonts w:asciiTheme="minorBidi" w:hAnsiTheme="minorBidi"/>
          <w:sz w:val="14"/>
          <w:szCs w:val="14"/>
          <w:rtl/>
        </w:rPr>
        <w:t>[נט"ו אות כה קלד ע"ג]</w:t>
      </w:r>
      <w:r w:rsidRPr="003024E5">
        <w:rPr>
          <w:rFonts w:asciiTheme="minorBidi" w:hAnsiTheme="minorBidi"/>
          <w:sz w:val="16"/>
          <w:szCs w:val="16"/>
          <w:rtl/>
        </w:rPr>
        <w:t xml:space="preserve"> בשמו)</w:t>
      </w:r>
      <w:r w:rsidRPr="003024E5">
        <w:rPr>
          <w:rFonts w:asciiTheme="minorBidi" w:hAnsiTheme="minorBidi"/>
          <w:rtl/>
        </w:rPr>
        <w:t xml:space="preserve">- נראה דלא מיתסר, משום דדם שבשלו מדרבנן הוא דאסיר וכיון דספיקא הוא אי מטא אי לא מטא ספיקו להקל. </w:t>
      </w:r>
    </w:p>
    <w:p w14:paraId="65AC6459" w14:textId="77777777" w:rsidR="002C39F4" w:rsidRPr="003024E5" w:rsidRDefault="002C39F4" w:rsidP="002C39F4">
      <w:pPr>
        <w:pStyle w:val="a8"/>
        <w:numPr>
          <w:ilvl w:val="0"/>
          <w:numId w:val="71"/>
        </w:numPr>
        <w:rPr>
          <w:rFonts w:asciiTheme="minorBidi" w:hAnsiTheme="minorBidi"/>
        </w:rPr>
      </w:pPr>
      <w:r w:rsidRPr="003024E5">
        <w:rPr>
          <w:rFonts w:asciiTheme="minorBidi" w:hAnsiTheme="minorBidi"/>
          <w:rtl/>
        </w:rPr>
        <w:t xml:space="preserve">רא"ש </w:t>
      </w:r>
      <w:r w:rsidRPr="003024E5">
        <w:rPr>
          <w:rFonts w:asciiTheme="minorBidi" w:hAnsiTheme="minorBidi"/>
          <w:sz w:val="16"/>
          <w:szCs w:val="16"/>
          <w:rtl/>
        </w:rPr>
        <w:t>(סי' לו)</w:t>
      </w:r>
      <w:r w:rsidRPr="003024E5">
        <w:rPr>
          <w:rFonts w:asciiTheme="minorBidi" w:hAnsiTheme="minorBidi"/>
          <w:rtl/>
        </w:rPr>
        <w:t>- נראה דבי דוגי אסור, כיון שהדם מונח עליו ונבלע בו</w:t>
      </w:r>
      <w:r w:rsidRPr="003024E5">
        <w:rPr>
          <w:rStyle w:val="a7"/>
          <w:rFonts w:asciiTheme="minorBidi" w:hAnsiTheme="minorBidi"/>
          <w:rtl/>
        </w:rPr>
        <w:footnoteReference w:id="780"/>
      </w:r>
      <w:r w:rsidRPr="003024E5">
        <w:rPr>
          <w:rFonts w:asciiTheme="minorBidi" w:hAnsiTheme="minorBidi"/>
          <w:rtl/>
        </w:rPr>
        <w:t xml:space="preserve">. </w:t>
      </w:r>
    </w:p>
    <w:p w14:paraId="2192A00C" w14:textId="77777777" w:rsidR="002C39F4" w:rsidRPr="003024E5" w:rsidRDefault="002C39F4" w:rsidP="002C39F4">
      <w:pPr>
        <w:rPr>
          <w:rFonts w:asciiTheme="minorBidi" w:hAnsiTheme="minorBidi"/>
          <w:sz w:val="16"/>
          <w:szCs w:val="16"/>
          <w:rtl/>
        </w:rPr>
      </w:pPr>
      <w:r w:rsidRPr="003024E5">
        <w:rPr>
          <w:rFonts w:asciiTheme="minorBidi" w:hAnsiTheme="minorBidi"/>
          <w:b/>
          <w:bCs/>
          <w:rtl/>
        </w:rPr>
        <w:t>חולין קיא ע"א:</w:t>
      </w:r>
      <w:r w:rsidRPr="003024E5">
        <w:rPr>
          <w:rFonts w:asciiTheme="minorBidi" w:hAnsiTheme="minorBidi"/>
          <w:rtl/>
        </w:rPr>
        <w:t xml:space="preserve"> דרש מרימר, הלכתא: בין כבדא בין כחלא, תותי בשרא שרי, עילוי בשרא דיעבד אין לכתחלה לא... </w:t>
      </w:r>
      <w:r w:rsidRPr="003024E5">
        <w:rPr>
          <w:rFonts w:asciiTheme="minorBidi" w:hAnsiTheme="minorBidi"/>
          <w:sz w:val="16"/>
          <w:szCs w:val="16"/>
          <w:u w:val="double"/>
          <w:rtl/>
        </w:rPr>
        <w:t>(קיא:)</w:t>
      </w:r>
      <w:r w:rsidRPr="003024E5">
        <w:rPr>
          <w:rFonts w:asciiTheme="minorBidi" w:hAnsiTheme="minorBidi"/>
          <w:rtl/>
        </w:rPr>
        <w:t xml:space="preserve"> ואי איכא בי דוגי בשרא עילוי כבדא נמי אסיר</w:t>
      </w:r>
      <w:r w:rsidRPr="003024E5">
        <w:rPr>
          <w:rStyle w:val="a7"/>
          <w:rFonts w:asciiTheme="minorBidi" w:hAnsiTheme="minorBidi"/>
          <w:rtl/>
        </w:rPr>
        <w:footnoteReference w:id="781"/>
      </w:r>
      <w:r w:rsidRPr="003024E5">
        <w:rPr>
          <w:rFonts w:asciiTheme="minorBidi" w:hAnsiTheme="minorBidi"/>
          <w:rtl/>
        </w:rPr>
        <w:t>, ומ"ש מדמא דבשרא</w:t>
      </w:r>
      <w:r w:rsidRPr="003024E5">
        <w:rPr>
          <w:rStyle w:val="a7"/>
          <w:rFonts w:asciiTheme="minorBidi" w:hAnsiTheme="minorBidi"/>
          <w:rtl/>
        </w:rPr>
        <w:footnoteReference w:id="782"/>
      </w:r>
      <w:r w:rsidRPr="003024E5">
        <w:rPr>
          <w:rFonts w:asciiTheme="minorBidi" w:hAnsiTheme="minorBidi"/>
          <w:rtl/>
        </w:rPr>
        <w:t>? דמא דבשרא שכן</w:t>
      </w:r>
      <w:r w:rsidRPr="003024E5">
        <w:rPr>
          <w:rStyle w:val="a7"/>
          <w:rFonts w:asciiTheme="minorBidi" w:hAnsiTheme="minorBidi"/>
          <w:rtl/>
        </w:rPr>
        <w:footnoteReference w:id="783"/>
      </w:r>
      <w:r w:rsidRPr="003024E5">
        <w:rPr>
          <w:rFonts w:asciiTheme="minorBidi" w:hAnsiTheme="minorBidi"/>
          <w:rtl/>
        </w:rPr>
        <w:t>, דמא דכבדא קפי</w:t>
      </w:r>
      <w:r w:rsidRPr="003024E5">
        <w:rPr>
          <w:rStyle w:val="a7"/>
          <w:rFonts w:asciiTheme="minorBidi" w:hAnsiTheme="minorBidi"/>
          <w:rtl/>
        </w:rPr>
        <w:footnoteReference w:id="784"/>
      </w:r>
      <w:r w:rsidRPr="003024E5">
        <w:rPr>
          <w:rFonts w:asciiTheme="minorBidi" w:hAnsiTheme="minorBidi"/>
          <w:rtl/>
        </w:rPr>
        <w:t>.</w:t>
      </w:r>
      <w:r w:rsidRPr="003024E5">
        <w:rPr>
          <w:rFonts w:asciiTheme="minorBidi" w:hAnsiTheme="minorBidi"/>
          <w:sz w:val="16"/>
          <w:szCs w:val="16"/>
          <w:rtl/>
        </w:rPr>
        <w:t xml:space="preserve"> (וכ' הב"י- הרמב"ם השמיט דין זה</w:t>
      </w:r>
      <w:r w:rsidRPr="003024E5">
        <w:rPr>
          <w:rFonts w:asciiTheme="minorBidi" w:hAnsiTheme="minorBidi"/>
          <w:sz w:val="10"/>
          <w:szCs w:val="10"/>
          <w:rtl/>
        </w:rPr>
        <w:t xml:space="preserve"> </w:t>
      </w:r>
      <w:r w:rsidRPr="003024E5">
        <w:rPr>
          <w:rFonts w:asciiTheme="minorBidi" w:hAnsiTheme="minorBidi"/>
          <w:sz w:val="12"/>
          <w:szCs w:val="12"/>
          <w:rtl/>
        </w:rPr>
        <w:t>{שבשר מותר וכבד אסור}</w:t>
      </w:r>
      <w:r w:rsidRPr="003024E5">
        <w:rPr>
          <w:rFonts w:asciiTheme="minorBidi" w:hAnsiTheme="minorBidi"/>
          <w:sz w:val="16"/>
          <w:szCs w:val="16"/>
          <w:rtl/>
        </w:rPr>
        <w:t xml:space="preserve"> ולא ידעתי למה דהא ליכא מאן דפליג ביה)</w:t>
      </w:r>
    </w:p>
    <w:p w14:paraId="1112AD8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498AEC0" w14:textId="77777777" w:rsidR="002C39F4" w:rsidRPr="003024E5" w:rsidRDefault="002C39F4" w:rsidP="002C39F4">
      <w:pPr>
        <w:rPr>
          <w:rFonts w:asciiTheme="minorBidi" w:hAnsiTheme="minorBidi"/>
          <w:rtl/>
        </w:rPr>
      </w:pPr>
      <w:r w:rsidRPr="003024E5">
        <w:rPr>
          <w:rFonts w:asciiTheme="minorBidi" w:hAnsiTheme="minorBidi"/>
          <w:rtl/>
        </w:rPr>
        <w:t>בשר שצולין בלא מליחה אין נותנין כלי תחתיו לקבל שמנונית הנוטף ממנו עד שיצלה עד שיהא ראוי לאכילה על ידי צליה זו</w:t>
      </w:r>
      <w:r w:rsidRPr="003024E5">
        <w:rPr>
          <w:rStyle w:val="a7"/>
          <w:rFonts w:asciiTheme="minorBidi" w:hAnsiTheme="minorBidi"/>
          <w:rtl/>
        </w:rPr>
        <w:footnoteReference w:id="785"/>
      </w:r>
      <w:r w:rsidRPr="003024E5">
        <w:rPr>
          <w:rFonts w:asciiTheme="minorBidi" w:hAnsiTheme="minorBidi"/>
          <w:rtl/>
        </w:rPr>
        <w:t>.</w:t>
      </w:r>
    </w:p>
    <w:p w14:paraId="4074BBE4"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720" w:footer="0" w:gutter="0"/>
          <w:cols w:space="720"/>
          <w:bidi/>
          <w:rtlGutter/>
          <w:docGrid w:linePitch="360"/>
        </w:sectPr>
      </w:pPr>
    </w:p>
    <w:p w14:paraId="5958DFE3"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עז: עופות שנמלאו בשר שלא נמלח, ובו סעיף אחד. </w:t>
      </w:r>
    </w:p>
    <w:p w14:paraId="4191DAEF" w14:textId="77777777" w:rsidR="002C39F4" w:rsidRPr="003024E5" w:rsidRDefault="002C39F4" w:rsidP="002C39F4">
      <w:pPr>
        <w:pStyle w:val="2"/>
        <w:rPr>
          <w:rFonts w:asciiTheme="minorBidi" w:hAnsiTheme="minorBidi"/>
          <w:rtl/>
        </w:rPr>
      </w:pPr>
      <w:r w:rsidRPr="003024E5">
        <w:rPr>
          <w:rFonts w:asciiTheme="minorBidi" w:hAnsiTheme="minorBidi"/>
          <w:rtl/>
        </w:rPr>
        <w:t>סעיף א</w:t>
      </w:r>
    </w:p>
    <w:p w14:paraId="1388EA01" w14:textId="77777777" w:rsidR="002C39F4" w:rsidRPr="003024E5" w:rsidRDefault="002C39F4" w:rsidP="002C39F4">
      <w:pPr>
        <w:rPr>
          <w:rFonts w:asciiTheme="minorBidi" w:hAnsiTheme="minorBidi"/>
          <w:rtl/>
        </w:rPr>
      </w:pPr>
      <w:r w:rsidRPr="003024E5">
        <w:rPr>
          <w:rFonts w:asciiTheme="minorBidi" w:hAnsiTheme="minorBidi"/>
          <w:b/>
          <w:bCs/>
          <w:rtl/>
        </w:rPr>
        <w:t xml:space="preserve">פסחים עד ע"א: </w:t>
      </w:r>
      <w:r w:rsidRPr="003024E5">
        <w:rPr>
          <w:rFonts w:asciiTheme="minorBidi" w:hAnsiTheme="minorBidi"/>
          <w:u w:val="single"/>
          <w:rtl/>
        </w:rPr>
        <w:t>אמר רבה</w:t>
      </w:r>
      <w:r w:rsidRPr="003024E5">
        <w:rPr>
          <w:rFonts w:asciiTheme="minorBidi" w:hAnsiTheme="minorBidi"/>
          <w:rtl/>
        </w:rPr>
        <w:t>: האי מולייתא</w:t>
      </w:r>
      <w:r w:rsidRPr="003024E5">
        <w:rPr>
          <w:rStyle w:val="a7"/>
          <w:rFonts w:asciiTheme="minorBidi" w:hAnsiTheme="minorBidi"/>
          <w:rtl/>
        </w:rPr>
        <w:footnoteReference w:id="786"/>
      </w:r>
      <w:r w:rsidRPr="003024E5">
        <w:rPr>
          <w:rFonts w:asciiTheme="minorBidi" w:hAnsiTheme="minorBidi"/>
          <w:rtl/>
        </w:rPr>
        <w:t xml:space="preserve"> שריא. </w:t>
      </w:r>
      <w:r w:rsidRPr="003024E5">
        <w:rPr>
          <w:rFonts w:asciiTheme="minorBidi" w:hAnsiTheme="minorBidi"/>
          <w:u w:val="single"/>
          <w:rtl/>
        </w:rPr>
        <w:t>אמר ליה אביי</w:t>
      </w:r>
      <w:r w:rsidRPr="003024E5">
        <w:rPr>
          <w:rFonts w:asciiTheme="minorBidi" w:hAnsiTheme="minorBidi"/>
          <w:rtl/>
        </w:rPr>
        <w:t>: והא קא בלע דמא</w:t>
      </w:r>
      <w:r w:rsidRPr="003024E5">
        <w:rPr>
          <w:rStyle w:val="a7"/>
          <w:rFonts w:asciiTheme="minorBidi" w:hAnsiTheme="minorBidi"/>
          <w:rtl/>
        </w:rPr>
        <w:footnoteReference w:id="787"/>
      </w:r>
      <w:r w:rsidRPr="003024E5">
        <w:rPr>
          <w:rFonts w:asciiTheme="minorBidi" w:hAnsiTheme="minorBidi"/>
          <w:rtl/>
        </w:rPr>
        <w:t xml:space="preserve">! </w:t>
      </w:r>
      <w:r w:rsidRPr="003024E5">
        <w:rPr>
          <w:rFonts w:asciiTheme="minorBidi" w:hAnsiTheme="minorBidi"/>
          <w:u w:val="single"/>
          <w:rtl/>
        </w:rPr>
        <w:t>אמר ליה</w:t>
      </w:r>
      <w:r w:rsidRPr="003024E5">
        <w:rPr>
          <w:rFonts w:asciiTheme="minorBidi" w:hAnsiTheme="minorBidi"/>
          <w:rtl/>
        </w:rPr>
        <w:t>: כבולעה כך פולטה</w:t>
      </w:r>
      <w:r w:rsidRPr="003024E5">
        <w:rPr>
          <w:rStyle w:val="a7"/>
          <w:rFonts w:asciiTheme="minorBidi" w:hAnsiTheme="minorBidi"/>
          <w:rtl/>
        </w:rPr>
        <w:footnoteReference w:id="788"/>
      </w:r>
      <w:r w:rsidRPr="003024E5">
        <w:rPr>
          <w:rFonts w:asciiTheme="minorBidi" w:hAnsiTheme="minorBidi"/>
          <w:rtl/>
        </w:rPr>
        <w:t xml:space="preserve">... </w:t>
      </w:r>
      <w:r w:rsidRPr="00EF2BF4">
        <w:rPr>
          <w:rFonts w:asciiTheme="minorBidi" w:hAnsiTheme="minorBidi"/>
          <w:sz w:val="16"/>
          <w:szCs w:val="16"/>
          <w:rtl/>
        </w:rPr>
        <w:t>(עד:)</w:t>
      </w:r>
      <w:r w:rsidRPr="003024E5">
        <w:rPr>
          <w:rFonts w:asciiTheme="minorBidi" w:hAnsiTheme="minorBidi"/>
          <w:rtl/>
        </w:rPr>
        <w:t xml:space="preserve"> והילכתא מולייתא שרי אפילו פומא לעיל</w:t>
      </w:r>
      <w:r w:rsidRPr="003024E5">
        <w:rPr>
          <w:rStyle w:val="a7"/>
          <w:rFonts w:asciiTheme="minorBidi" w:hAnsiTheme="minorBidi"/>
          <w:rtl/>
        </w:rPr>
        <w:footnoteReference w:id="789"/>
      </w:r>
      <w:r w:rsidRPr="003024E5">
        <w:rPr>
          <w:rFonts w:asciiTheme="minorBidi" w:hAnsiTheme="minorBidi"/>
          <w:rtl/>
        </w:rPr>
        <w:t>.</w:t>
      </w:r>
    </w:p>
    <w:p w14:paraId="0685E06A" w14:textId="77777777" w:rsidR="002C39F4" w:rsidRPr="003024E5" w:rsidRDefault="002C39F4" w:rsidP="002C39F4">
      <w:pPr>
        <w:rPr>
          <w:rFonts w:asciiTheme="minorBidi" w:hAnsiTheme="minorBidi"/>
          <w:u w:val="single"/>
          <w:rtl/>
        </w:rPr>
      </w:pPr>
      <w:r w:rsidRPr="003024E5">
        <w:rPr>
          <w:rFonts w:asciiTheme="minorBidi" w:hAnsiTheme="minorBidi"/>
          <w:u w:val="single"/>
          <w:rtl/>
        </w:rPr>
        <w:t xml:space="preserve">דין מולייתא </w:t>
      </w:r>
      <w:r w:rsidRPr="00B94667">
        <w:rPr>
          <w:rFonts w:asciiTheme="minorBidi" w:hAnsiTheme="minorBidi"/>
          <w:b/>
          <w:bCs/>
          <w:u w:val="single"/>
          <w:rtl/>
        </w:rPr>
        <w:t>בצלי</w:t>
      </w:r>
      <w:r w:rsidRPr="003024E5">
        <w:rPr>
          <w:rFonts w:asciiTheme="minorBidi" w:hAnsiTheme="minorBidi"/>
          <w:u w:val="single"/>
          <w:rtl/>
        </w:rPr>
        <w:t>:</w:t>
      </w:r>
      <w:r w:rsidRPr="003024E5">
        <w:rPr>
          <w:rFonts w:asciiTheme="minorBidi" w:hAnsiTheme="minorBidi"/>
          <w:sz w:val="16"/>
          <w:szCs w:val="16"/>
          <w:rtl/>
        </w:rPr>
        <w:t xml:space="preserve">  (ב"י ודרכ"מ [אות ב])</w:t>
      </w:r>
    </w:p>
    <w:p w14:paraId="58FEF0E3" w14:textId="77777777" w:rsidR="002C39F4" w:rsidRPr="003024E5" w:rsidRDefault="002C39F4" w:rsidP="002C39F4">
      <w:pPr>
        <w:pStyle w:val="a8"/>
        <w:numPr>
          <w:ilvl w:val="0"/>
          <w:numId w:val="72"/>
        </w:numPr>
        <w:rPr>
          <w:rFonts w:asciiTheme="minorBidi" w:hAnsiTheme="minorBidi"/>
        </w:rPr>
      </w:pPr>
      <w:r w:rsidRPr="003024E5">
        <w:rPr>
          <w:rFonts w:asciiTheme="minorBidi" w:hAnsiTheme="minorBidi"/>
          <w:rtl/>
        </w:rPr>
        <w:t>ראב"ד רמב"ם ורא"ש</w:t>
      </w:r>
      <w:r w:rsidRPr="003024E5">
        <w:rPr>
          <w:rStyle w:val="a7"/>
          <w:rFonts w:asciiTheme="minorBidi" w:hAnsiTheme="minorBidi"/>
          <w:rtl/>
        </w:rPr>
        <w:footnoteReference w:id="790"/>
      </w:r>
      <w:r w:rsidRPr="003024E5">
        <w:rPr>
          <w:rFonts w:asciiTheme="minorBidi" w:hAnsiTheme="minorBidi"/>
          <w:rtl/>
        </w:rPr>
        <w:t>- אם צלאן הרי אלו מותרות אע"פ שהבשר שבתוכן חי ואפי' פיהן למעלה.</w:t>
      </w:r>
      <w:r w:rsidRPr="003024E5">
        <w:rPr>
          <w:rFonts w:asciiTheme="minorBidi" w:hAnsiTheme="minorBidi"/>
          <w:color w:val="E36C0A" w:themeColor="accent6" w:themeShade="BF"/>
          <w:rtl/>
        </w:rPr>
        <w:t>(וכ"פ בשו"ע)</w:t>
      </w:r>
    </w:p>
    <w:p w14:paraId="476C1F03" w14:textId="77777777" w:rsidR="002C39F4" w:rsidRPr="00F638DE" w:rsidRDefault="002C39F4" w:rsidP="002C39F4">
      <w:pPr>
        <w:pStyle w:val="a8"/>
        <w:numPr>
          <w:ilvl w:val="0"/>
          <w:numId w:val="72"/>
        </w:numPr>
        <w:rPr>
          <w:rFonts w:asciiTheme="minorBidi" w:hAnsiTheme="minorBidi"/>
        </w:rPr>
      </w:pPr>
      <w:r w:rsidRPr="003024E5">
        <w:rPr>
          <w:rFonts w:asciiTheme="minorBidi" w:hAnsiTheme="minorBidi"/>
          <w:rtl/>
        </w:rPr>
        <w:t xml:space="preserve">רש"י </w:t>
      </w:r>
      <w:r w:rsidRPr="003024E5">
        <w:rPr>
          <w:rFonts w:asciiTheme="minorBidi" w:hAnsiTheme="minorBidi"/>
          <w:sz w:val="16"/>
          <w:szCs w:val="16"/>
          <w:rtl/>
        </w:rPr>
        <w:t xml:space="preserve">(ד"ה שריא) </w:t>
      </w:r>
      <w:r w:rsidRPr="003024E5">
        <w:rPr>
          <w:rFonts w:asciiTheme="minorBidi" w:hAnsiTheme="minorBidi"/>
          <w:rtl/>
        </w:rPr>
        <w:t xml:space="preserve">או"ז </w:t>
      </w:r>
      <w:r w:rsidRPr="003024E5">
        <w:rPr>
          <w:rFonts w:asciiTheme="minorBidi" w:hAnsiTheme="minorBidi"/>
          <w:sz w:val="16"/>
          <w:szCs w:val="16"/>
          <w:rtl/>
        </w:rPr>
        <w:t xml:space="preserve">(ח"א סי' תסד, הביאו ההג"א [פ"ח סי' כה ד"ה טלה]) </w:t>
      </w:r>
      <w:r w:rsidRPr="003024E5">
        <w:rPr>
          <w:rFonts w:asciiTheme="minorBidi" w:hAnsiTheme="minorBidi"/>
          <w:rtl/>
        </w:rPr>
        <w:t xml:space="preserve">ומרדכי </w:t>
      </w:r>
      <w:r w:rsidRPr="003024E5">
        <w:rPr>
          <w:rFonts w:asciiTheme="minorBidi" w:hAnsiTheme="minorBidi"/>
          <w:sz w:val="16"/>
          <w:szCs w:val="16"/>
          <w:rtl/>
        </w:rPr>
        <w:t>(סי' תרצב)</w:t>
      </w:r>
      <w:r w:rsidRPr="003024E5">
        <w:rPr>
          <w:rFonts w:asciiTheme="minorBidi" w:hAnsiTheme="minorBidi"/>
          <w:rtl/>
        </w:rPr>
        <w:t>- בעי מליחה מועטת לצלי, לפיכך אין להתיר מולייתא עד שיהיו שניהם מלוחים במקצת דלא עדיף משאר צלי</w:t>
      </w:r>
      <w:r w:rsidRPr="003024E5">
        <w:rPr>
          <w:rFonts w:asciiTheme="minorBidi" w:hAnsiTheme="minorBidi"/>
          <w:sz w:val="16"/>
          <w:szCs w:val="16"/>
          <w:rtl/>
        </w:rPr>
        <w:t xml:space="preserve"> (ל' המרדכי)</w:t>
      </w:r>
      <w:r w:rsidRPr="003024E5">
        <w:rPr>
          <w:rStyle w:val="a7"/>
          <w:rFonts w:asciiTheme="minorBidi" w:hAnsiTheme="minorBidi"/>
          <w:rtl/>
        </w:rPr>
        <w:footnoteReference w:id="791"/>
      </w:r>
      <w:r w:rsidRPr="003024E5">
        <w:rPr>
          <w:rFonts w:asciiTheme="minorBidi" w:hAnsiTheme="minorBidi"/>
          <w:rtl/>
        </w:rPr>
        <w:t xml:space="preserve">.  </w:t>
      </w:r>
    </w:p>
    <w:tbl>
      <w:tblPr>
        <w:tblStyle w:val="af3"/>
        <w:bidiVisual/>
        <w:tblW w:w="10063" w:type="dxa"/>
        <w:tblInd w:w="-5" w:type="dxa"/>
        <w:tblLayout w:type="fixed"/>
        <w:tblLook w:val="04A0" w:firstRow="1" w:lastRow="0" w:firstColumn="1" w:lastColumn="0" w:noHBand="0" w:noVBand="1"/>
      </w:tblPr>
      <w:tblGrid>
        <w:gridCol w:w="1560"/>
        <w:gridCol w:w="1417"/>
        <w:gridCol w:w="1134"/>
        <w:gridCol w:w="1134"/>
        <w:gridCol w:w="1276"/>
        <w:gridCol w:w="1134"/>
        <w:gridCol w:w="1134"/>
        <w:gridCol w:w="1274"/>
      </w:tblGrid>
      <w:tr w:rsidR="002C39F4" w:rsidRPr="003024E5" w14:paraId="71C39BBB" w14:textId="77777777" w:rsidTr="004C5A3C">
        <w:tc>
          <w:tcPr>
            <w:tcW w:w="10063" w:type="dxa"/>
            <w:gridSpan w:val="8"/>
            <w:tcBorders>
              <w:top w:val="nil"/>
              <w:left w:val="nil"/>
              <w:right w:val="nil"/>
            </w:tcBorders>
          </w:tcPr>
          <w:p w14:paraId="19EE9B2C" w14:textId="77777777" w:rsidR="002C39F4" w:rsidRPr="003024E5" w:rsidRDefault="002C39F4" w:rsidP="004C5A3C">
            <w:pPr>
              <w:jc w:val="center"/>
              <w:rPr>
                <w:rFonts w:asciiTheme="minorBidi" w:hAnsiTheme="minorBidi"/>
                <w:sz w:val="18"/>
                <w:szCs w:val="18"/>
                <w:u w:val="single"/>
                <w:rtl/>
              </w:rPr>
            </w:pPr>
            <w:r w:rsidRPr="003024E5">
              <w:rPr>
                <w:rFonts w:asciiTheme="minorBidi" w:hAnsiTheme="minorBidi"/>
                <w:b/>
                <w:bCs/>
                <w:u w:val="single"/>
                <w:rtl/>
              </w:rPr>
              <w:t>דין מולייתא בצלי</w:t>
            </w:r>
            <w:r>
              <w:rPr>
                <w:rFonts w:asciiTheme="minorBidi" w:hAnsiTheme="minorBidi" w:hint="cs"/>
                <w:b/>
                <w:bCs/>
                <w:u w:val="single"/>
                <w:rtl/>
              </w:rPr>
              <w:t xml:space="preserve"> </w:t>
            </w:r>
            <w:r>
              <w:rPr>
                <w:rFonts w:asciiTheme="minorBidi" w:hAnsiTheme="minorBidi"/>
                <w:b/>
                <w:bCs/>
                <w:u w:val="single"/>
                <w:rtl/>
              </w:rPr>
              <w:t>–</w:t>
            </w:r>
            <w:r>
              <w:rPr>
                <w:rFonts w:asciiTheme="minorBidi" w:hAnsiTheme="minorBidi" w:hint="cs"/>
                <w:b/>
                <w:bCs/>
                <w:u w:val="single"/>
                <w:rtl/>
              </w:rPr>
              <w:t xml:space="preserve"> במצבים שונים</w:t>
            </w:r>
            <w:r w:rsidRPr="003024E5">
              <w:rPr>
                <w:rFonts w:asciiTheme="minorBidi" w:hAnsiTheme="minorBidi"/>
                <w:b/>
                <w:bCs/>
                <w:u w:val="single"/>
                <w:rtl/>
              </w:rPr>
              <w:t>:</w:t>
            </w:r>
          </w:p>
        </w:tc>
      </w:tr>
      <w:tr w:rsidR="002C39F4" w:rsidRPr="003024E5" w14:paraId="189C5834" w14:textId="77777777" w:rsidTr="004C5A3C">
        <w:tc>
          <w:tcPr>
            <w:tcW w:w="1560" w:type="dxa"/>
          </w:tcPr>
          <w:p w14:paraId="783A5056" w14:textId="77777777" w:rsidR="002C39F4" w:rsidRPr="003024E5" w:rsidRDefault="002C39F4" w:rsidP="004C5A3C">
            <w:pPr>
              <w:rPr>
                <w:rFonts w:asciiTheme="minorBidi" w:hAnsiTheme="minorBidi"/>
                <w:b/>
                <w:bCs/>
                <w:rtl/>
              </w:rPr>
            </w:pPr>
          </w:p>
        </w:tc>
        <w:tc>
          <w:tcPr>
            <w:tcW w:w="1417" w:type="dxa"/>
          </w:tcPr>
          <w:p w14:paraId="7028F9BC" w14:textId="77777777" w:rsidR="002C39F4" w:rsidRPr="003024E5" w:rsidRDefault="002C39F4" w:rsidP="004C5A3C">
            <w:pPr>
              <w:rPr>
                <w:rFonts w:asciiTheme="minorBidi" w:hAnsiTheme="minorBidi"/>
                <w:sz w:val="18"/>
                <w:szCs w:val="18"/>
                <w:rtl/>
              </w:rPr>
            </w:pPr>
            <w:r w:rsidRPr="00874624">
              <w:rPr>
                <w:rFonts w:asciiTheme="minorBidi" w:hAnsiTheme="minorBidi"/>
                <w:sz w:val="18"/>
                <w:szCs w:val="18"/>
                <w:u w:val="single"/>
                <w:rtl/>
              </w:rPr>
              <w:t>חיצון</w:t>
            </w:r>
            <w:r w:rsidRPr="003024E5">
              <w:rPr>
                <w:rFonts w:asciiTheme="minorBidi" w:hAnsiTheme="minorBidi"/>
                <w:sz w:val="18"/>
                <w:szCs w:val="18"/>
                <w:rtl/>
              </w:rPr>
              <w:t xml:space="preserve"> </w:t>
            </w:r>
            <w:r w:rsidRPr="00874624">
              <w:rPr>
                <w:rFonts w:asciiTheme="minorBidi" w:hAnsiTheme="minorBidi"/>
                <w:sz w:val="18"/>
                <w:szCs w:val="18"/>
                <w:u w:val="single"/>
                <w:rtl/>
              </w:rPr>
              <w:t>ופנימי</w:t>
            </w:r>
            <w:r w:rsidRPr="003024E5">
              <w:rPr>
                <w:rFonts w:asciiTheme="minorBidi" w:hAnsiTheme="minorBidi"/>
                <w:sz w:val="18"/>
                <w:szCs w:val="18"/>
                <w:rtl/>
              </w:rPr>
              <w:t xml:space="preserve"> </w:t>
            </w:r>
            <w:r>
              <w:rPr>
                <w:rFonts w:asciiTheme="minorBidi" w:hAnsiTheme="minorBidi" w:hint="cs"/>
                <w:sz w:val="18"/>
                <w:szCs w:val="18"/>
                <w:rtl/>
              </w:rPr>
              <w:t xml:space="preserve">שווים </w:t>
            </w:r>
            <w:r w:rsidRPr="00B94667">
              <w:rPr>
                <w:rFonts w:asciiTheme="minorBidi" w:hAnsiTheme="minorBidi" w:hint="cs"/>
                <w:sz w:val="16"/>
                <w:szCs w:val="16"/>
                <w:rtl/>
              </w:rPr>
              <w:t>(</w:t>
            </w:r>
            <w:r>
              <w:rPr>
                <w:rFonts w:asciiTheme="minorBidi" w:hAnsiTheme="minorBidi" w:hint="cs"/>
                <w:sz w:val="16"/>
                <w:szCs w:val="16"/>
                <w:rtl/>
              </w:rPr>
              <w:t xml:space="preserve">היינו- </w:t>
            </w:r>
            <w:r w:rsidRPr="00B94667">
              <w:rPr>
                <w:rFonts w:asciiTheme="minorBidi" w:hAnsiTheme="minorBidi"/>
                <w:sz w:val="16"/>
                <w:szCs w:val="16"/>
                <w:rtl/>
              </w:rPr>
              <w:t>נמלחו/נמלחו ולא שהו/לא נמלחו</w:t>
            </w:r>
            <w:r>
              <w:rPr>
                <w:rFonts w:asciiTheme="minorBidi" w:hAnsiTheme="minorBidi" w:hint="cs"/>
                <w:sz w:val="16"/>
                <w:szCs w:val="16"/>
                <w:rtl/>
              </w:rPr>
              <w:t>)</w:t>
            </w:r>
          </w:p>
        </w:tc>
        <w:tc>
          <w:tcPr>
            <w:tcW w:w="1134" w:type="dxa"/>
          </w:tcPr>
          <w:p w14:paraId="6F01A34B" w14:textId="77777777" w:rsidR="002C39F4" w:rsidRDefault="002C39F4" w:rsidP="004C5A3C">
            <w:pPr>
              <w:rPr>
                <w:rFonts w:asciiTheme="minorBidi" w:hAnsiTheme="minorBidi"/>
                <w:sz w:val="18"/>
                <w:szCs w:val="18"/>
                <w:rtl/>
              </w:rPr>
            </w:pPr>
            <w:r w:rsidRPr="00874624">
              <w:rPr>
                <w:rFonts w:asciiTheme="minorBidi" w:hAnsiTheme="minorBidi"/>
                <w:sz w:val="18"/>
                <w:szCs w:val="18"/>
                <w:u w:val="single"/>
                <w:rtl/>
              </w:rPr>
              <w:t>חיצון</w:t>
            </w:r>
            <w:r>
              <w:rPr>
                <w:rFonts w:asciiTheme="minorBidi" w:hAnsiTheme="minorBidi" w:hint="cs"/>
                <w:sz w:val="18"/>
                <w:szCs w:val="18"/>
                <w:rtl/>
              </w:rPr>
              <w:t>:</w:t>
            </w:r>
            <w:r w:rsidRPr="003024E5">
              <w:rPr>
                <w:rFonts w:asciiTheme="minorBidi" w:hAnsiTheme="minorBidi"/>
                <w:sz w:val="18"/>
                <w:szCs w:val="18"/>
                <w:rtl/>
              </w:rPr>
              <w:t xml:space="preserve"> נמלח </w:t>
            </w:r>
          </w:p>
          <w:p w14:paraId="2CE27A25" w14:textId="77777777" w:rsidR="002C39F4" w:rsidRPr="003024E5" w:rsidRDefault="002C39F4" w:rsidP="004C5A3C">
            <w:pPr>
              <w:rPr>
                <w:rFonts w:asciiTheme="minorBidi" w:hAnsiTheme="minorBidi"/>
                <w:sz w:val="18"/>
                <w:szCs w:val="18"/>
                <w:rtl/>
              </w:rPr>
            </w:pPr>
            <w:r w:rsidRPr="00874624">
              <w:rPr>
                <w:rFonts w:asciiTheme="minorBidi" w:hAnsiTheme="minorBidi"/>
                <w:sz w:val="18"/>
                <w:szCs w:val="18"/>
                <w:u w:val="single"/>
                <w:rtl/>
              </w:rPr>
              <w:t>פנימי</w:t>
            </w:r>
            <w:r>
              <w:rPr>
                <w:rFonts w:asciiTheme="minorBidi" w:hAnsiTheme="minorBidi" w:hint="cs"/>
                <w:sz w:val="18"/>
                <w:szCs w:val="18"/>
                <w:rtl/>
              </w:rPr>
              <w:t>:</w:t>
            </w:r>
            <w:r w:rsidRPr="003024E5">
              <w:rPr>
                <w:rFonts w:asciiTheme="minorBidi" w:hAnsiTheme="minorBidi"/>
                <w:sz w:val="18"/>
                <w:szCs w:val="18"/>
                <w:rtl/>
              </w:rPr>
              <w:t xml:space="preserve"> לא נמלח</w:t>
            </w:r>
            <w:r w:rsidRPr="003024E5">
              <w:rPr>
                <w:rStyle w:val="a7"/>
                <w:rFonts w:asciiTheme="minorBidi" w:hAnsiTheme="minorBidi"/>
                <w:sz w:val="18"/>
                <w:szCs w:val="18"/>
                <w:rtl/>
              </w:rPr>
              <w:footnoteReference w:id="792"/>
            </w:r>
          </w:p>
        </w:tc>
        <w:tc>
          <w:tcPr>
            <w:tcW w:w="1134" w:type="dxa"/>
          </w:tcPr>
          <w:p w14:paraId="0774A7B3" w14:textId="77777777" w:rsidR="002C39F4" w:rsidRDefault="002C39F4" w:rsidP="004C5A3C">
            <w:pPr>
              <w:rPr>
                <w:rFonts w:asciiTheme="minorBidi" w:hAnsiTheme="minorBidi"/>
                <w:sz w:val="18"/>
                <w:szCs w:val="18"/>
                <w:rtl/>
              </w:rPr>
            </w:pPr>
            <w:r w:rsidRPr="00874624">
              <w:rPr>
                <w:rFonts w:asciiTheme="minorBidi" w:hAnsiTheme="minorBidi"/>
                <w:sz w:val="18"/>
                <w:szCs w:val="18"/>
                <w:u w:val="single"/>
                <w:rtl/>
              </w:rPr>
              <w:t>חיצון</w:t>
            </w:r>
            <w:r>
              <w:rPr>
                <w:rFonts w:asciiTheme="minorBidi" w:hAnsiTheme="minorBidi" w:hint="cs"/>
                <w:sz w:val="18"/>
                <w:szCs w:val="18"/>
                <w:rtl/>
              </w:rPr>
              <w:t>:</w:t>
            </w:r>
            <w:r w:rsidRPr="003024E5">
              <w:rPr>
                <w:rFonts w:asciiTheme="minorBidi" w:hAnsiTheme="minorBidi"/>
                <w:sz w:val="18"/>
                <w:szCs w:val="18"/>
                <w:rtl/>
              </w:rPr>
              <w:t xml:space="preserve"> נמלח </w:t>
            </w:r>
          </w:p>
          <w:p w14:paraId="215231BB" w14:textId="77777777" w:rsidR="002C39F4" w:rsidRPr="003024E5" w:rsidRDefault="002C39F4" w:rsidP="004C5A3C">
            <w:pPr>
              <w:rPr>
                <w:rFonts w:asciiTheme="minorBidi" w:hAnsiTheme="minorBidi"/>
                <w:sz w:val="18"/>
                <w:szCs w:val="18"/>
                <w:rtl/>
              </w:rPr>
            </w:pPr>
            <w:r w:rsidRPr="00874624">
              <w:rPr>
                <w:rFonts w:asciiTheme="minorBidi" w:hAnsiTheme="minorBidi"/>
                <w:sz w:val="18"/>
                <w:szCs w:val="18"/>
                <w:u w:val="single"/>
                <w:rtl/>
              </w:rPr>
              <w:t>פנימי</w:t>
            </w:r>
            <w:r>
              <w:rPr>
                <w:rFonts w:asciiTheme="minorBidi" w:hAnsiTheme="minorBidi" w:hint="cs"/>
                <w:sz w:val="18"/>
                <w:szCs w:val="18"/>
                <w:rtl/>
              </w:rPr>
              <w:t>:</w:t>
            </w:r>
            <w:r w:rsidRPr="003024E5">
              <w:rPr>
                <w:rFonts w:asciiTheme="minorBidi" w:hAnsiTheme="minorBidi"/>
                <w:sz w:val="18"/>
                <w:szCs w:val="18"/>
                <w:rtl/>
              </w:rPr>
              <w:t xml:space="preserve"> נמלח ולא שהה</w:t>
            </w:r>
          </w:p>
        </w:tc>
        <w:tc>
          <w:tcPr>
            <w:tcW w:w="1276" w:type="dxa"/>
          </w:tcPr>
          <w:p w14:paraId="694A9325" w14:textId="77777777" w:rsidR="002C39F4" w:rsidRPr="003024E5" w:rsidRDefault="002C39F4" w:rsidP="004C5A3C">
            <w:pPr>
              <w:rPr>
                <w:rFonts w:asciiTheme="minorBidi" w:hAnsiTheme="minorBidi"/>
                <w:sz w:val="18"/>
                <w:szCs w:val="18"/>
                <w:rtl/>
              </w:rPr>
            </w:pPr>
            <w:r w:rsidRPr="00874624">
              <w:rPr>
                <w:rFonts w:asciiTheme="minorBidi" w:hAnsiTheme="minorBidi"/>
                <w:sz w:val="18"/>
                <w:szCs w:val="18"/>
                <w:u w:val="single"/>
                <w:rtl/>
              </w:rPr>
              <w:t>חיצון</w:t>
            </w:r>
            <w:r>
              <w:rPr>
                <w:rFonts w:asciiTheme="minorBidi" w:hAnsiTheme="minorBidi" w:hint="cs"/>
                <w:sz w:val="18"/>
                <w:szCs w:val="18"/>
                <w:rtl/>
              </w:rPr>
              <w:t>:</w:t>
            </w:r>
            <w:r w:rsidRPr="003024E5">
              <w:rPr>
                <w:rFonts w:asciiTheme="minorBidi" w:hAnsiTheme="minorBidi"/>
                <w:sz w:val="18"/>
                <w:szCs w:val="18"/>
                <w:rtl/>
              </w:rPr>
              <w:t xml:space="preserve"> נמלח ולא שהה </w:t>
            </w:r>
            <w:r w:rsidRPr="00874624">
              <w:rPr>
                <w:rFonts w:asciiTheme="minorBidi" w:hAnsiTheme="minorBidi"/>
                <w:sz w:val="18"/>
                <w:szCs w:val="18"/>
                <w:u w:val="single"/>
                <w:rtl/>
              </w:rPr>
              <w:t>פנימי</w:t>
            </w:r>
            <w:r>
              <w:rPr>
                <w:rFonts w:asciiTheme="minorBidi" w:hAnsiTheme="minorBidi" w:hint="cs"/>
                <w:sz w:val="18"/>
                <w:szCs w:val="18"/>
                <w:rtl/>
              </w:rPr>
              <w:t>:</w:t>
            </w:r>
            <w:r w:rsidRPr="003024E5">
              <w:rPr>
                <w:rFonts w:asciiTheme="minorBidi" w:hAnsiTheme="minorBidi"/>
                <w:sz w:val="18"/>
                <w:szCs w:val="18"/>
                <w:rtl/>
              </w:rPr>
              <w:t xml:space="preserve"> לא נמלח</w:t>
            </w:r>
          </w:p>
        </w:tc>
        <w:tc>
          <w:tcPr>
            <w:tcW w:w="1134" w:type="dxa"/>
          </w:tcPr>
          <w:p w14:paraId="6CFBE5D4" w14:textId="77777777" w:rsidR="002C39F4" w:rsidRPr="003024E5" w:rsidRDefault="002C39F4" w:rsidP="004C5A3C">
            <w:pPr>
              <w:rPr>
                <w:rFonts w:asciiTheme="minorBidi" w:hAnsiTheme="minorBidi"/>
                <w:sz w:val="18"/>
                <w:szCs w:val="18"/>
                <w:rtl/>
              </w:rPr>
            </w:pPr>
            <w:r w:rsidRPr="00874624">
              <w:rPr>
                <w:rFonts w:asciiTheme="minorBidi" w:hAnsiTheme="minorBidi"/>
                <w:sz w:val="18"/>
                <w:szCs w:val="18"/>
                <w:u w:val="single"/>
                <w:rtl/>
              </w:rPr>
              <w:t>פנימי</w:t>
            </w:r>
            <w:r>
              <w:rPr>
                <w:rFonts w:asciiTheme="minorBidi" w:hAnsiTheme="minorBidi" w:hint="cs"/>
                <w:sz w:val="18"/>
                <w:szCs w:val="18"/>
                <w:rtl/>
              </w:rPr>
              <w:t>:</w:t>
            </w:r>
            <w:r w:rsidRPr="003024E5">
              <w:rPr>
                <w:rFonts w:asciiTheme="minorBidi" w:hAnsiTheme="minorBidi"/>
                <w:sz w:val="18"/>
                <w:szCs w:val="18"/>
                <w:rtl/>
              </w:rPr>
              <w:t xml:space="preserve"> נמלח </w:t>
            </w:r>
            <w:r w:rsidRPr="00874624">
              <w:rPr>
                <w:rFonts w:asciiTheme="minorBidi" w:hAnsiTheme="minorBidi"/>
                <w:sz w:val="18"/>
                <w:szCs w:val="18"/>
                <w:u w:val="single"/>
                <w:rtl/>
              </w:rPr>
              <w:t>חיצון</w:t>
            </w:r>
            <w:r>
              <w:rPr>
                <w:rFonts w:asciiTheme="minorBidi" w:hAnsiTheme="minorBidi" w:hint="cs"/>
                <w:sz w:val="18"/>
                <w:szCs w:val="18"/>
                <w:rtl/>
              </w:rPr>
              <w:t>:</w:t>
            </w:r>
            <w:r w:rsidRPr="003024E5">
              <w:rPr>
                <w:rFonts w:asciiTheme="minorBidi" w:hAnsiTheme="minorBidi"/>
                <w:sz w:val="18"/>
                <w:szCs w:val="18"/>
                <w:rtl/>
              </w:rPr>
              <w:t xml:space="preserve"> לא נמלח</w:t>
            </w:r>
          </w:p>
        </w:tc>
        <w:tc>
          <w:tcPr>
            <w:tcW w:w="1134" w:type="dxa"/>
          </w:tcPr>
          <w:p w14:paraId="16ACEBBB" w14:textId="77777777" w:rsidR="002C39F4" w:rsidRPr="003024E5" w:rsidRDefault="002C39F4" w:rsidP="004C5A3C">
            <w:pPr>
              <w:rPr>
                <w:rFonts w:asciiTheme="minorBidi" w:hAnsiTheme="minorBidi"/>
                <w:sz w:val="18"/>
                <w:szCs w:val="18"/>
                <w:rtl/>
              </w:rPr>
            </w:pPr>
            <w:r w:rsidRPr="00874624">
              <w:rPr>
                <w:rFonts w:asciiTheme="minorBidi" w:hAnsiTheme="minorBidi"/>
                <w:sz w:val="18"/>
                <w:szCs w:val="18"/>
                <w:u w:val="single"/>
                <w:rtl/>
              </w:rPr>
              <w:t>פנימי</w:t>
            </w:r>
            <w:r>
              <w:rPr>
                <w:rFonts w:asciiTheme="minorBidi" w:hAnsiTheme="minorBidi" w:hint="cs"/>
                <w:sz w:val="18"/>
                <w:szCs w:val="18"/>
                <w:rtl/>
              </w:rPr>
              <w:t>:</w:t>
            </w:r>
            <w:r w:rsidRPr="003024E5">
              <w:rPr>
                <w:rFonts w:asciiTheme="minorBidi" w:hAnsiTheme="minorBidi"/>
                <w:sz w:val="18"/>
                <w:szCs w:val="18"/>
                <w:rtl/>
              </w:rPr>
              <w:t xml:space="preserve"> נמלח </w:t>
            </w:r>
            <w:r w:rsidRPr="00874624">
              <w:rPr>
                <w:rFonts w:asciiTheme="minorBidi" w:hAnsiTheme="minorBidi"/>
                <w:sz w:val="18"/>
                <w:szCs w:val="18"/>
                <w:u w:val="single"/>
                <w:rtl/>
              </w:rPr>
              <w:t>חיצון</w:t>
            </w:r>
            <w:r>
              <w:rPr>
                <w:rFonts w:asciiTheme="minorBidi" w:hAnsiTheme="minorBidi" w:hint="cs"/>
                <w:sz w:val="18"/>
                <w:szCs w:val="18"/>
                <w:rtl/>
              </w:rPr>
              <w:t>:</w:t>
            </w:r>
            <w:r w:rsidRPr="003024E5">
              <w:rPr>
                <w:rFonts w:asciiTheme="minorBidi" w:hAnsiTheme="minorBidi"/>
                <w:sz w:val="18"/>
                <w:szCs w:val="18"/>
                <w:rtl/>
              </w:rPr>
              <w:t xml:space="preserve"> נמלח ולא שהה</w:t>
            </w:r>
          </w:p>
        </w:tc>
        <w:tc>
          <w:tcPr>
            <w:tcW w:w="1274" w:type="dxa"/>
          </w:tcPr>
          <w:p w14:paraId="02DC2633" w14:textId="77777777" w:rsidR="002C39F4" w:rsidRDefault="002C39F4" w:rsidP="004C5A3C">
            <w:pPr>
              <w:rPr>
                <w:rFonts w:asciiTheme="minorBidi" w:hAnsiTheme="minorBidi"/>
                <w:sz w:val="18"/>
                <w:szCs w:val="18"/>
                <w:rtl/>
              </w:rPr>
            </w:pPr>
            <w:r w:rsidRPr="00874624">
              <w:rPr>
                <w:rFonts w:asciiTheme="minorBidi" w:hAnsiTheme="minorBidi"/>
                <w:sz w:val="18"/>
                <w:szCs w:val="18"/>
                <w:u w:val="single"/>
                <w:rtl/>
              </w:rPr>
              <w:t>פנימי</w:t>
            </w:r>
            <w:r>
              <w:rPr>
                <w:rFonts w:asciiTheme="minorBidi" w:hAnsiTheme="minorBidi" w:hint="cs"/>
                <w:sz w:val="18"/>
                <w:szCs w:val="18"/>
                <w:rtl/>
              </w:rPr>
              <w:t>:</w:t>
            </w:r>
            <w:r w:rsidRPr="003024E5">
              <w:rPr>
                <w:rFonts w:asciiTheme="minorBidi" w:hAnsiTheme="minorBidi"/>
                <w:sz w:val="18"/>
                <w:szCs w:val="18"/>
                <w:rtl/>
              </w:rPr>
              <w:t xml:space="preserve"> נמלח ולא שהה </w:t>
            </w:r>
          </w:p>
          <w:p w14:paraId="52B22E05" w14:textId="77777777" w:rsidR="002C39F4" w:rsidRPr="003024E5" w:rsidRDefault="002C39F4" w:rsidP="004C5A3C">
            <w:pPr>
              <w:rPr>
                <w:rFonts w:asciiTheme="minorBidi" w:hAnsiTheme="minorBidi"/>
                <w:sz w:val="18"/>
                <w:szCs w:val="18"/>
                <w:rtl/>
              </w:rPr>
            </w:pPr>
            <w:r w:rsidRPr="00874624">
              <w:rPr>
                <w:rFonts w:asciiTheme="minorBidi" w:hAnsiTheme="minorBidi"/>
                <w:sz w:val="18"/>
                <w:szCs w:val="18"/>
                <w:u w:val="single"/>
                <w:rtl/>
              </w:rPr>
              <w:t>חיצון</w:t>
            </w:r>
            <w:r>
              <w:rPr>
                <w:rFonts w:asciiTheme="minorBidi" w:hAnsiTheme="minorBidi" w:hint="cs"/>
                <w:sz w:val="18"/>
                <w:szCs w:val="18"/>
                <w:rtl/>
              </w:rPr>
              <w:t>:</w:t>
            </w:r>
            <w:r w:rsidRPr="003024E5">
              <w:rPr>
                <w:rFonts w:asciiTheme="minorBidi" w:hAnsiTheme="minorBidi"/>
                <w:sz w:val="18"/>
                <w:szCs w:val="18"/>
                <w:rtl/>
              </w:rPr>
              <w:t xml:space="preserve"> לא נמלח</w:t>
            </w:r>
          </w:p>
        </w:tc>
      </w:tr>
      <w:tr w:rsidR="002C39F4" w:rsidRPr="003024E5" w14:paraId="754B8634" w14:textId="77777777" w:rsidTr="004C5A3C">
        <w:tc>
          <w:tcPr>
            <w:tcW w:w="1560" w:type="dxa"/>
          </w:tcPr>
          <w:p w14:paraId="40F079F7" w14:textId="77777777" w:rsidR="002C39F4" w:rsidRPr="003024E5" w:rsidRDefault="002C39F4" w:rsidP="004C5A3C">
            <w:pPr>
              <w:rPr>
                <w:rFonts w:asciiTheme="minorBidi" w:hAnsiTheme="minorBidi"/>
                <w:rtl/>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ט דין א)</w:t>
            </w:r>
            <w:r w:rsidRPr="003024E5">
              <w:rPr>
                <w:rFonts w:asciiTheme="minorBidi" w:hAnsiTheme="minorBidi"/>
                <w:color w:val="00B0F0"/>
                <w:sz w:val="16"/>
                <w:szCs w:val="16"/>
                <w:rtl/>
              </w:rPr>
              <w:t xml:space="preserve"> </w:t>
            </w:r>
            <w:r w:rsidRPr="003024E5">
              <w:rPr>
                <w:rFonts w:asciiTheme="minorBidi" w:hAnsiTheme="minorBidi"/>
                <w:color w:val="00B0F0"/>
                <w:rtl/>
              </w:rPr>
              <w:t xml:space="preserve">ורמ"א </w:t>
            </w:r>
          </w:p>
        </w:tc>
        <w:tc>
          <w:tcPr>
            <w:tcW w:w="1417" w:type="dxa"/>
            <w:vMerge w:val="restart"/>
          </w:tcPr>
          <w:p w14:paraId="6483BF9C" w14:textId="77777777" w:rsidR="002C39F4" w:rsidRPr="003024E5" w:rsidRDefault="002C39F4" w:rsidP="004C5A3C">
            <w:pPr>
              <w:jc w:val="center"/>
              <w:rPr>
                <w:rFonts w:asciiTheme="minorBidi" w:hAnsiTheme="minorBidi"/>
                <w:rtl/>
              </w:rPr>
            </w:pPr>
          </w:p>
          <w:p w14:paraId="2D5ABD6F" w14:textId="77777777" w:rsidR="002C39F4" w:rsidRPr="003024E5" w:rsidRDefault="002C39F4" w:rsidP="004C5A3C">
            <w:pPr>
              <w:jc w:val="center"/>
              <w:rPr>
                <w:rFonts w:asciiTheme="minorBidi" w:hAnsiTheme="minorBidi"/>
                <w:rtl/>
              </w:rPr>
            </w:pPr>
          </w:p>
          <w:p w14:paraId="0D22052C" w14:textId="77777777" w:rsidR="002C39F4" w:rsidRPr="003024E5" w:rsidRDefault="002C39F4" w:rsidP="004C5A3C">
            <w:pPr>
              <w:jc w:val="center"/>
              <w:rPr>
                <w:rFonts w:asciiTheme="minorBidi" w:hAnsiTheme="minorBidi"/>
                <w:rtl/>
              </w:rPr>
            </w:pPr>
          </w:p>
          <w:p w14:paraId="6D2D2526" w14:textId="77777777" w:rsidR="002C39F4" w:rsidRPr="003024E5" w:rsidRDefault="002C39F4" w:rsidP="004C5A3C">
            <w:pPr>
              <w:jc w:val="center"/>
              <w:rPr>
                <w:rFonts w:asciiTheme="minorBidi" w:hAnsiTheme="minorBidi"/>
                <w:rtl/>
              </w:rPr>
            </w:pPr>
            <w:r w:rsidRPr="003024E5">
              <w:rPr>
                <w:rFonts w:asciiTheme="minorBidi" w:hAnsiTheme="minorBidi"/>
                <w:rtl/>
              </w:rPr>
              <w:t>שרי</w:t>
            </w:r>
          </w:p>
          <w:p w14:paraId="77F71D89" w14:textId="77777777" w:rsidR="002C39F4" w:rsidRPr="003024E5" w:rsidRDefault="002C39F4" w:rsidP="004C5A3C">
            <w:pPr>
              <w:jc w:val="center"/>
              <w:rPr>
                <w:rFonts w:asciiTheme="minorBidi" w:hAnsiTheme="minorBidi"/>
                <w:rtl/>
              </w:rPr>
            </w:pPr>
          </w:p>
          <w:p w14:paraId="5E34FEFD" w14:textId="77777777" w:rsidR="002C39F4" w:rsidRPr="003024E5" w:rsidRDefault="002C39F4" w:rsidP="004C5A3C">
            <w:pPr>
              <w:jc w:val="center"/>
              <w:rPr>
                <w:rFonts w:asciiTheme="minorBidi" w:hAnsiTheme="minorBidi"/>
                <w:rtl/>
              </w:rPr>
            </w:pPr>
          </w:p>
          <w:p w14:paraId="3227113E" w14:textId="77777777" w:rsidR="002C39F4" w:rsidRPr="003024E5" w:rsidRDefault="002C39F4" w:rsidP="004C5A3C">
            <w:pPr>
              <w:jc w:val="center"/>
              <w:rPr>
                <w:rFonts w:asciiTheme="minorBidi" w:hAnsiTheme="minorBidi"/>
                <w:rtl/>
              </w:rPr>
            </w:pPr>
          </w:p>
        </w:tc>
        <w:tc>
          <w:tcPr>
            <w:tcW w:w="1134" w:type="dxa"/>
          </w:tcPr>
          <w:p w14:paraId="1FCD4F7E" w14:textId="77777777" w:rsidR="002C39F4" w:rsidRPr="003024E5" w:rsidRDefault="002C39F4" w:rsidP="004C5A3C">
            <w:pPr>
              <w:jc w:val="center"/>
              <w:rPr>
                <w:rFonts w:asciiTheme="minorBidi" w:hAnsiTheme="minorBidi"/>
                <w:rtl/>
              </w:rPr>
            </w:pPr>
            <w:r w:rsidRPr="003024E5">
              <w:rPr>
                <w:rFonts w:asciiTheme="minorBidi" w:hAnsiTheme="minorBidi"/>
                <w:rtl/>
              </w:rPr>
              <w:t>מותר בדיעבד</w:t>
            </w:r>
          </w:p>
        </w:tc>
        <w:tc>
          <w:tcPr>
            <w:tcW w:w="1134" w:type="dxa"/>
          </w:tcPr>
          <w:p w14:paraId="226F51B1" w14:textId="77777777" w:rsidR="002C39F4" w:rsidRPr="003024E5" w:rsidRDefault="002C39F4" w:rsidP="004C5A3C">
            <w:pPr>
              <w:jc w:val="center"/>
              <w:rPr>
                <w:rFonts w:asciiTheme="minorBidi" w:hAnsiTheme="minorBidi"/>
                <w:rtl/>
              </w:rPr>
            </w:pPr>
          </w:p>
        </w:tc>
        <w:tc>
          <w:tcPr>
            <w:tcW w:w="1276" w:type="dxa"/>
          </w:tcPr>
          <w:p w14:paraId="239DC0A1" w14:textId="77777777" w:rsidR="002C39F4" w:rsidRPr="003024E5" w:rsidRDefault="002C39F4" w:rsidP="004C5A3C">
            <w:pPr>
              <w:jc w:val="center"/>
              <w:rPr>
                <w:rFonts w:asciiTheme="minorBidi" w:hAnsiTheme="minorBidi"/>
                <w:rtl/>
              </w:rPr>
            </w:pPr>
          </w:p>
        </w:tc>
        <w:tc>
          <w:tcPr>
            <w:tcW w:w="1134" w:type="dxa"/>
          </w:tcPr>
          <w:p w14:paraId="75F3A558" w14:textId="77777777" w:rsidR="002C39F4" w:rsidRPr="003024E5" w:rsidRDefault="002C39F4" w:rsidP="004C5A3C">
            <w:pPr>
              <w:jc w:val="center"/>
              <w:rPr>
                <w:rFonts w:asciiTheme="minorBidi" w:hAnsiTheme="minorBidi"/>
                <w:rtl/>
              </w:rPr>
            </w:pPr>
            <w:r w:rsidRPr="003024E5">
              <w:rPr>
                <w:rFonts w:asciiTheme="minorBidi" w:hAnsiTheme="minorBidi"/>
                <w:rtl/>
              </w:rPr>
              <w:t>מותר בדיעבד</w:t>
            </w:r>
            <w:r w:rsidRPr="003024E5">
              <w:rPr>
                <w:rStyle w:val="a7"/>
                <w:rFonts w:asciiTheme="minorBidi" w:hAnsiTheme="minorBidi"/>
                <w:rtl/>
              </w:rPr>
              <w:footnoteReference w:id="793"/>
            </w:r>
          </w:p>
        </w:tc>
        <w:tc>
          <w:tcPr>
            <w:tcW w:w="1134" w:type="dxa"/>
          </w:tcPr>
          <w:p w14:paraId="1F1B1E67" w14:textId="77777777" w:rsidR="002C39F4" w:rsidRPr="003024E5" w:rsidRDefault="002C39F4" w:rsidP="004C5A3C">
            <w:pPr>
              <w:jc w:val="center"/>
              <w:rPr>
                <w:rFonts w:asciiTheme="minorBidi" w:hAnsiTheme="minorBidi"/>
                <w:rtl/>
              </w:rPr>
            </w:pPr>
          </w:p>
        </w:tc>
        <w:tc>
          <w:tcPr>
            <w:tcW w:w="1274" w:type="dxa"/>
          </w:tcPr>
          <w:p w14:paraId="6E6A0B97" w14:textId="77777777" w:rsidR="002C39F4" w:rsidRPr="003024E5" w:rsidRDefault="002C39F4" w:rsidP="004C5A3C">
            <w:pPr>
              <w:jc w:val="center"/>
              <w:rPr>
                <w:rFonts w:asciiTheme="minorBidi" w:hAnsiTheme="minorBidi"/>
                <w:rtl/>
              </w:rPr>
            </w:pPr>
          </w:p>
        </w:tc>
      </w:tr>
      <w:tr w:rsidR="002C39F4" w:rsidRPr="003024E5" w14:paraId="41A10CA8" w14:textId="77777777" w:rsidTr="004C5A3C">
        <w:tc>
          <w:tcPr>
            <w:tcW w:w="1560" w:type="dxa"/>
          </w:tcPr>
          <w:p w14:paraId="6D687DE3" w14:textId="77777777" w:rsidR="002C39F4" w:rsidRPr="003024E5" w:rsidRDefault="002C39F4" w:rsidP="004C5A3C">
            <w:pPr>
              <w:rPr>
                <w:rFonts w:asciiTheme="minorBidi" w:hAnsiTheme="minorBidi"/>
                <w:rtl/>
              </w:rPr>
            </w:pPr>
            <w:r w:rsidRPr="003024E5">
              <w:rPr>
                <w:rFonts w:asciiTheme="minorBidi" w:hAnsiTheme="minorBidi"/>
                <w:rtl/>
              </w:rPr>
              <w:t xml:space="preserve">רש"ל </w:t>
            </w:r>
            <w:r w:rsidRPr="003024E5">
              <w:rPr>
                <w:rFonts w:asciiTheme="minorBidi" w:hAnsiTheme="minorBidi"/>
                <w:sz w:val="16"/>
                <w:szCs w:val="16"/>
                <w:rtl/>
              </w:rPr>
              <w:t>(יש"ש סי' כט)</w:t>
            </w:r>
            <w:r w:rsidRPr="003024E5">
              <w:rPr>
                <w:rFonts w:asciiTheme="minorBidi" w:hAnsiTheme="minorBidi"/>
                <w:rtl/>
              </w:rPr>
              <w:t xml:space="preserve"> וש"ך</w:t>
            </w:r>
            <w:r w:rsidRPr="003024E5">
              <w:rPr>
                <w:rStyle w:val="a7"/>
                <w:rFonts w:asciiTheme="minorBidi" w:hAnsiTheme="minorBidi"/>
                <w:rtl/>
              </w:rPr>
              <w:footnoteReference w:id="794"/>
            </w:r>
            <w:r w:rsidRPr="003024E5">
              <w:rPr>
                <w:rFonts w:asciiTheme="minorBidi" w:hAnsiTheme="minorBidi"/>
                <w:rtl/>
              </w:rPr>
              <w:t xml:space="preserve"> </w:t>
            </w:r>
            <w:r w:rsidRPr="003024E5">
              <w:rPr>
                <w:rFonts w:asciiTheme="minorBidi" w:hAnsiTheme="minorBidi"/>
                <w:sz w:val="16"/>
                <w:szCs w:val="16"/>
                <w:rtl/>
              </w:rPr>
              <w:t xml:space="preserve">(סק"ב) </w:t>
            </w:r>
          </w:p>
        </w:tc>
        <w:tc>
          <w:tcPr>
            <w:tcW w:w="1417" w:type="dxa"/>
            <w:vMerge/>
          </w:tcPr>
          <w:p w14:paraId="5CB25730" w14:textId="77777777" w:rsidR="002C39F4" w:rsidRPr="003024E5" w:rsidRDefault="002C39F4" w:rsidP="004C5A3C">
            <w:pPr>
              <w:jc w:val="center"/>
              <w:rPr>
                <w:rFonts w:asciiTheme="minorBidi" w:hAnsiTheme="minorBidi"/>
                <w:rtl/>
              </w:rPr>
            </w:pPr>
          </w:p>
        </w:tc>
        <w:tc>
          <w:tcPr>
            <w:tcW w:w="1134" w:type="dxa"/>
          </w:tcPr>
          <w:p w14:paraId="40C7B1AA" w14:textId="77777777" w:rsidR="002C39F4" w:rsidRPr="003024E5" w:rsidRDefault="002C39F4" w:rsidP="004C5A3C">
            <w:pPr>
              <w:jc w:val="center"/>
              <w:rPr>
                <w:rFonts w:asciiTheme="minorBidi" w:hAnsiTheme="minorBidi"/>
                <w:rtl/>
              </w:rPr>
            </w:pPr>
            <w:r w:rsidRPr="003024E5">
              <w:rPr>
                <w:rFonts w:asciiTheme="minorBidi" w:hAnsiTheme="minorBidi"/>
                <w:rtl/>
              </w:rPr>
              <w:t>שרי</w:t>
            </w:r>
          </w:p>
        </w:tc>
        <w:tc>
          <w:tcPr>
            <w:tcW w:w="1134" w:type="dxa"/>
          </w:tcPr>
          <w:p w14:paraId="47F7AFCF" w14:textId="77777777" w:rsidR="002C39F4" w:rsidRPr="003024E5" w:rsidRDefault="002C39F4" w:rsidP="004C5A3C">
            <w:pPr>
              <w:jc w:val="center"/>
              <w:rPr>
                <w:rFonts w:asciiTheme="minorBidi" w:hAnsiTheme="minorBidi"/>
                <w:rtl/>
              </w:rPr>
            </w:pPr>
            <w:r w:rsidRPr="003024E5">
              <w:rPr>
                <w:rFonts w:asciiTheme="minorBidi" w:hAnsiTheme="minorBidi"/>
                <w:rtl/>
              </w:rPr>
              <w:t>נאסר החיצון</w:t>
            </w:r>
          </w:p>
        </w:tc>
        <w:tc>
          <w:tcPr>
            <w:tcW w:w="1276" w:type="dxa"/>
          </w:tcPr>
          <w:p w14:paraId="04206501" w14:textId="77777777" w:rsidR="002C39F4" w:rsidRPr="003024E5" w:rsidRDefault="002C39F4" w:rsidP="004C5A3C">
            <w:pPr>
              <w:jc w:val="center"/>
              <w:rPr>
                <w:rFonts w:asciiTheme="minorBidi" w:hAnsiTheme="minorBidi"/>
                <w:rtl/>
              </w:rPr>
            </w:pPr>
            <w:r w:rsidRPr="003024E5">
              <w:rPr>
                <w:rFonts w:asciiTheme="minorBidi" w:hAnsiTheme="minorBidi"/>
                <w:rtl/>
              </w:rPr>
              <w:t>נאסר הפנימי</w:t>
            </w:r>
            <w:r w:rsidRPr="003024E5">
              <w:rPr>
                <w:rStyle w:val="a7"/>
                <w:rFonts w:asciiTheme="minorBidi" w:hAnsiTheme="minorBidi"/>
                <w:rtl/>
              </w:rPr>
              <w:footnoteReference w:id="795"/>
            </w:r>
          </w:p>
        </w:tc>
        <w:tc>
          <w:tcPr>
            <w:tcW w:w="1134" w:type="dxa"/>
          </w:tcPr>
          <w:p w14:paraId="69CF91CE" w14:textId="77777777" w:rsidR="002C39F4" w:rsidRPr="003024E5" w:rsidRDefault="002C39F4" w:rsidP="004C5A3C">
            <w:pPr>
              <w:jc w:val="center"/>
              <w:rPr>
                <w:rFonts w:asciiTheme="minorBidi" w:hAnsiTheme="minorBidi"/>
                <w:rtl/>
              </w:rPr>
            </w:pPr>
            <w:r w:rsidRPr="003024E5">
              <w:rPr>
                <w:rFonts w:asciiTheme="minorBidi" w:hAnsiTheme="minorBidi"/>
                <w:rtl/>
              </w:rPr>
              <w:t>נאסר הפנימי</w:t>
            </w:r>
            <w:r w:rsidRPr="003024E5">
              <w:rPr>
                <w:rStyle w:val="a7"/>
                <w:rFonts w:asciiTheme="minorBidi" w:hAnsiTheme="minorBidi"/>
                <w:rtl/>
              </w:rPr>
              <w:footnoteReference w:id="796"/>
            </w:r>
          </w:p>
        </w:tc>
        <w:tc>
          <w:tcPr>
            <w:tcW w:w="1134" w:type="dxa"/>
          </w:tcPr>
          <w:p w14:paraId="5B197FC0" w14:textId="77777777" w:rsidR="002C39F4" w:rsidRPr="003024E5" w:rsidRDefault="002C39F4" w:rsidP="004C5A3C">
            <w:pPr>
              <w:jc w:val="center"/>
              <w:rPr>
                <w:rFonts w:asciiTheme="minorBidi" w:hAnsiTheme="minorBidi"/>
                <w:rtl/>
              </w:rPr>
            </w:pPr>
            <w:r w:rsidRPr="003024E5">
              <w:rPr>
                <w:rFonts w:asciiTheme="minorBidi" w:hAnsiTheme="minorBidi"/>
                <w:rtl/>
              </w:rPr>
              <w:t>נאסר הפנימי</w:t>
            </w:r>
            <w:r w:rsidRPr="003024E5">
              <w:rPr>
                <w:rStyle w:val="a7"/>
                <w:rFonts w:asciiTheme="minorBidi" w:hAnsiTheme="minorBidi"/>
                <w:rtl/>
              </w:rPr>
              <w:footnoteReference w:id="797"/>
            </w:r>
          </w:p>
        </w:tc>
        <w:tc>
          <w:tcPr>
            <w:tcW w:w="1274" w:type="dxa"/>
          </w:tcPr>
          <w:p w14:paraId="7C46C283" w14:textId="77777777" w:rsidR="002C39F4" w:rsidRPr="003024E5" w:rsidRDefault="002C39F4" w:rsidP="004C5A3C">
            <w:pPr>
              <w:jc w:val="center"/>
              <w:rPr>
                <w:rFonts w:asciiTheme="minorBidi" w:hAnsiTheme="minorBidi"/>
                <w:rtl/>
              </w:rPr>
            </w:pPr>
            <w:r w:rsidRPr="003024E5">
              <w:rPr>
                <w:rFonts w:asciiTheme="minorBidi" w:hAnsiTheme="minorBidi"/>
                <w:rtl/>
              </w:rPr>
              <w:t>שרי</w:t>
            </w:r>
          </w:p>
        </w:tc>
      </w:tr>
      <w:tr w:rsidR="002C39F4" w:rsidRPr="003024E5" w14:paraId="34963F78" w14:textId="77777777" w:rsidTr="004C5A3C">
        <w:tc>
          <w:tcPr>
            <w:tcW w:w="1560" w:type="dxa"/>
          </w:tcPr>
          <w:p w14:paraId="5A6F669E" w14:textId="77777777" w:rsidR="002C39F4" w:rsidRPr="003024E5" w:rsidRDefault="002C39F4" w:rsidP="004C5A3C">
            <w:pPr>
              <w:rPr>
                <w:rFonts w:asciiTheme="minorBidi" w:hAnsiTheme="minorBidi"/>
                <w:rtl/>
              </w:rPr>
            </w:pPr>
            <w:r w:rsidRPr="003024E5">
              <w:rPr>
                <w:rFonts w:asciiTheme="minorBidi" w:hAnsiTheme="minorBidi"/>
                <w:rtl/>
              </w:rPr>
              <w:t>(תוס'</w:t>
            </w:r>
            <w:r w:rsidRPr="003024E5">
              <w:rPr>
                <w:rStyle w:val="a7"/>
                <w:rFonts w:asciiTheme="minorBidi" w:hAnsiTheme="minorBidi"/>
                <w:rtl/>
              </w:rPr>
              <w:footnoteReference w:id="798"/>
            </w:r>
            <w:r w:rsidRPr="003024E5">
              <w:rPr>
                <w:rFonts w:asciiTheme="minorBidi" w:hAnsiTheme="minorBidi"/>
                <w:rtl/>
              </w:rPr>
              <w:t xml:space="preserve"> </w:t>
            </w:r>
            <w:r w:rsidRPr="003024E5">
              <w:rPr>
                <w:rFonts w:asciiTheme="minorBidi" w:hAnsiTheme="minorBidi"/>
                <w:sz w:val="16"/>
                <w:szCs w:val="16"/>
                <w:rtl/>
              </w:rPr>
              <w:t>להב' הב"י</w:t>
            </w:r>
            <w:r w:rsidRPr="003024E5">
              <w:rPr>
                <w:rFonts w:asciiTheme="minorBidi" w:hAnsiTheme="minorBidi"/>
                <w:rtl/>
              </w:rPr>
              <w:t>) רא"ש</w:t>
            </w:r>
            <w:r w:rsidRPr="003024E5">
              <w:rPr>
                <w:rFonts w:asciiTheme="minorBidi" w:hAnsiTheme="minorBidi"/>
                <w:color w:val="E36C0A" w:themeColor="accent6" w:themeShade="BF"/>
                <w:rtl/>
              </w:rPr>
              <w:t xml:space="preserve"> ושו"ע</w:t>
            </w:r>
          </w:p>
        </w:tc>
        <w:tc>
          <w:tcPr>
            <w:tcW w:w="1417" w:type="dxa"/>
            <w:vMerge/>
          </w:tcPr>
          <w:p w14:paraId="7EC09037" w14:textId="77777777" w:rsidR="002C39F4" w:rsidRPr="003024E5" w:rsidRDefault="002C39F4" w:rsidP="004C5A3C">
            <w:pPr>
              <w:jc w:val="center"/>
              <w:rPr>
                <w:rFonts w:asciiTheme="minorBidi" w:hAnsiTheme="minorBidi"/>
                <w:rtl/>
              </w:rPr>
            </w:pPr>
          </w:p>
        </w:tc>
        <w:tc>
          <w:tcPr>
            <w:tcW w:w="1134" w:type="dxa"/>
          </w:tcPr>
          <w:p w14:paraId="3C697F7F" w14:textId="77777777" w:rsidR="002C39F4" w:rsidRPr="003024E5" w:rsidRDefault="002C39F4" w:rsidP="004C5A3C">
            <w:pPr>
              <w:jc w:val="center"/>
              <w:rPr>
                <w:rFonts w:asciiTheme="minorBidi" w:hAnsiTheme="minorBidi"/>
                <w:rtl/>
              </w:rPr>
            </w:pPr>
            <w:r w:rsidRPr="003024E5">
              <w:rPr>
                <w:rFonts w:asciiTheme="minorBidi" w:hAnsiTheme="minorBidi"/>
                <w:rtl/>
              </w:rPr>
              <w:t>שרי</w:t>
            </w:r>
            <w:r w:rsidRPr="003024E5">
              <w:rPr>
                <w:rStyle w:val="a7"/>
                <w:rFonts w:asciiTheme="minorBidi" w:hAnsiTheme="minorBidi"/>
                <w:rtl/>
              </w:rPr>
              <w:footnoteReference w:id="799"/>
            </w:r>
          </w:p>
        </w:tc>
        <w:tc>
          <w:tcPr>
            <w:tcW w:w="1134" w:type="dxa"/>
          </w:tcPr>
          <w:p w14:paraId="364D0C2B" w14:textId="77777777" w:rsidR="002C39F4" w:rsidRPr="003024E5" w:rsidRDefault="002C39F4" w:rsidP="004C5A3C">
            <w:pPr>
              <w:jc w:val="center"/>
              <w:rPr>
                <w:rFonts w:asciiTheme="minorBidi" w:hAnsiTheme="minorBidi"/>
                <w:rtl/>
              </w:rPr>
            </w:pPr>
          </w:p>
        </w:tc>
        <w:tc>
          <w:tcPr>
            <w:tcW w:w="1276" w:type="dxa"/>
          </w:tcPr>
          <w:p w14:paraId="44D8B014" w14:textId="77777777" w:rsidR="002C39F4" w:rsidRPr="003024E5" w:rsidRDefault="002C39F4" w:rsidP="004C5A3C">
            <w:pPr>
              <w:jc w:val="center"/>
              <w:rPr>
                <w:rFonts w:asciiTheme="minorBidi" w:hAnsiTheme="minorBidi"/>
                <w:rtl/>
              </w:rPr>
            </w:pPr>
          </w:p>
        </w:tc>
        <w:tc>
          <w:tcPr>
            <w:tcW w:w="1134" w:type="dxa"/>
          </w:tcPr>
          <w:p w14:paraId="47E7BCAB" w14:textId="77777777" w:rsidR="002C39F4" w:rsidRPr="003024E5" w:rsidRDefault="002C39F4" w:rsidP="004C5A3C">
            <w:pPr>
              <w:jc w:val="center"/>
              <w:rPr>
                <w:rFonts w:asciiTheme="minorBidi" w:hAnsiTheme="minorBidi"/>
                <w:rtl/>
              </w:rPr>
            </w:pPr>
          </w:p>
        </w:tc>
        <w:tc>
          <w:tcPr>
            <w:tcW w:w="1134" w:type="dxa"/>
          </w:tcPr>
          <w:p w14:paraId="203DB7F3" w14:textId="77777777" w:rsidR="002C39F4" w:rsidRPr="003024E5" w:rsidRDefault="002C39F4" w:rsidP="004C5A3C">
            <w:pPr>
              <w:jc w:val="center"/>
              <w:rPr>
                <w:rFonts w:asciiTheme="minorBidi" w:hAnsiTheme="minorBidi"/>
                <w:rtl/>
              </w:rPr>
            </w:pPr>
          </w:p>
        </w:tc>
        <w:tc>
          <w:tcPr>
            <w:tcW w:w="1274" w:type="dxa"/>
          </w:tcPr>
          <w:p w14:paraId="7AC6B838" w14:textId="77777777" w:rsidR="002C39F4" w:rsidRPr="003024E5" w:rsidRDefault="002C39F4" w:rsidP="004C5A3C">
            <w:pPr>
              <w:jc w:val="center"/>
              <w:rPr>
                <w:rFonts w:asciiTheme="minorBidi" w:hAnsiTheme="minorBidi"/>
                <w:rtl/>
              </w:rPr>
            </w:pPr>
          </w:p>
        </w:tc>
      </w:tr>
      <w:tr w:rsidR="002C39F4" w:rsidRPr="003024E5" w14:paraId="76BD0FC0" w14:textId="77777777" w:rsidTr="004C5A3C">
        <w:tc>
          <w:tcPr>
            <w:tcW w:w="1560" w:type="dxa"/>
          </w:tcPr>
          <w:p w14:paraId="030DB3A4" w14:textId="77777777" w:rsidR="002C39F4" w:rsidRPr="003024E5" w:rsidRDefault="002C39F4" w:rsidP="004C5A3C">
            <w:pPr>
              <w:rPr>
                <w:rFonts w:asciiTheme="minorBidi" w:hAnsiTheme="minorBidi"/>
                <w:rtl/>
              </w:rPr>
            </w:pPr>
            <w:r w:rsidRPr="003024E5">
              <w:rPr>
                <w:rFonts w:asciiTheme="minorBidi" w:hAnsiTheme="minorBidi"/>
                <w:rtl/>
              </w:rPr>
              <w:t xml:space="preserve">(תוס' </w:t>
            </w:r>
            <w:r w:rsidRPr="003024E5">
              <w:rPr>
                <w:rFonts w:asciiTheme="minorBidi" w:hAnsiTheme="minorBidi"/>
                <w:sz w:val="16"/>
                <w:szCs w:val="16"/>
                <w:rtl/>
              </w:rPr>
              <w:t>להב' ההגה"מ</w:t>
            </w:r>
            <w:r w:rsidRPr="003024E5">
              <w:rPr>
                <w:rStyle w:val="a7"/>
                <w:rFonts w:asciiTheme="minorBidi" w:hAnsiTheme="minorBidi"/>
                <w:rtl/>
              </w:rPr>
              <w:footnoteReference w:id="800"/>
            </w:r>
            <w:r w:rsidRPr="003024E5">
              <w:rPr>
                <w:rFonts w:asciiTheme="minorBidi" w:hAnsiTheme="minorBidi"/>
                <w:rtl/>
              </w:rPr>
              <w:t xml:space="preserve">) </w:t>
            </w:r>
          </w:p>
        </w:tc>
        <w:tc>
          <w:tcPr>
            <w:tcW w:w="1417" w:type="dxa"/>
            <w:vMerge/>
          </w:tcPr>
          <w:p w14:paraId="3FB15446" w14:textId="77777777" w:rsidR="002C39F4" w:rsidRPr="003024E5" w:rsidRDefault="002C39F4" w:rsidP="004C5A3C">
            <w:pPr>
              <w:jc w:val="center"/>
              <w:rPr>
                <w:rFonts w:asciiTheme="minorBidi" w:hAnsiTheme="minorBidi"/>
                <w:rtl/>
              </w:rPr>
            </w:pPr>
          </w:p>
        </w:tc>
        <w:tc>
          <w:tcPr>
            <w:tcW w:w="1134" w:type="dxa"/>
          </w:tcPr>
          <w:p w14:paraId="10FAD607" w14:textId="77777777" w:rsidR="002C39F4" w:rsidRPr="003024E5" w:rsidRDefault="002C39F4" w:rsidP="004C5A3C">
            <w:pPr>
              <w:jc w:val="center"/>
              <w:rPr>
                <w:rFonts w:asciiTheme="minorBidi" w:hAnsiTheme="minorBidi"/>
                <w:rtl/>
              </w:rPr>
            </w:pPr>
            <w:r w:rsidRPr="003024E5">
              <w:rPr>
                <w:rFonts w:asciiTheme="minorBidi" w:hAnsiTheme="minorBidi"/>
                <w:rtl/>
              </w:rPr>
              <w:t>נאסר הפנימי</w:t>
            </w:r>
          </w:p>
        </w:tc>
        <w:tc>
          <w:tcPr>
            <w:tcW w:w="1134" w:type="dxa"/>
          </w:tcPr>
          <w:p w14:paraId="01F197CC" w14:textId="77777777" w:rsidR="002C39F4" w:rsidRPr="003024E5" w:rsidRDefault="002C39F4" w:rsidP="004C5A3C">
            <w:pPr>
              <w:jc w:val="center"/>
              <w:rPr>
                <w:rFonts w:asciiTheme="minorBidi" w:hAnsiTheme="minorBidi"/>
                <w:rtl/>
              </w:rPr>
            </w:pPr>
          </w:p>
        </w:tc>
        <w:tc>
          <w:tcPr>
            <w:tcW w:w="1276" w:type="dxa"/>
          </w:tcPr>
          <w:p w14:paraId="2C592B00" w14:textId="77777777" w:rsidR="002C39F4" w:rsidRPr="003024E5" w:rsidRDefault="002C39F4" w:rsidP="004C5A3C">
            <w:pPr>
              <w:jc w:val="center"/>
              <w:rPr>
                <w:rFonts w:asciiTheme="minorBidi" w:hAnsiTheme="minorBidi"/>
                <w:rtl/>
              </w:rPr>
            </w:pPr>
            <w:r w:rsidRPr="003024E5">
              <w:rPr>
                <w:rFonts w:asciiTheme="minorBidi" w:hAnsiTheme="minorBidi"/>
                <w:rtl/>
              </w:rPr>
              <w:t xml:space="preserve"> </w:t>
            </w:r>
          </w:p>
        </w:tc>
        <w:tc>
          <w:tcPr>
            <w:tcW w:w="1134" w:type="dxa"/>
          </w:tcPr>
          <w:p w14:paraId="73D37A30" w14:textId="77777777" w:rsidR="002C39F4" w:rsidRPr="003024E5" w:rsidRDefault="002C39F4" w:rsidP="004C5A3C">
            <w:pPr>
              <w:jc w:val="center"/>
              <w:rPr>
                <w:rFonts w:asciiTheme="minorBidi" w:hAnsiTheme="minorBidi"/>
                <w:rtl/>
              </w:rPr>
            </w:pPr>
          </w:p>
        </w:tc>
        <w:tc>
          <w:tcPr>
            <w:tcW w:w="1134" w:type="dxa"/>
          </w:tcPr>
          <w:p w14:paraId="13037675" w14:textId="77777777" w:rsidR="002C39F4" w:rsidRPr="003024E5" w:rsidRDefault="002C39F4" w:rsidP="004C5A3C">
            <w:pPr>
              <w:jc w:val="center"/>
              <w:rPr>
                <w:rFonts w:asciiTheme="minorBidi" w:hAnsiTheme="minorBidi"/>
                <w:rtl/>
              </w:rPr>
            </w:pPr>
          </w:p>
        </w:tc>
        <w:tc>
          <w:tcPr>
            <w:tcW w:w="1274" w:type="dxa"/>
          </w:tcPr>
          <w:p w14:paraId="06E41317" w14:textId="77777777" w:rsidR="002C39F4" w:rsidRPr="003024E5" w:rsidRDefault="002C39F4" w:rsidP="004C5A3C">
            <w:pPr>
              <w:jc w:val="center"/>
              <w:rPr>
                <w:rFonts w:asciiTheme="minorBidi" w:hAnsiTheme="minorBidi"/>
                <w:rtl/>
              </w:rPr>
            </w:pPr>
          </w:p>
        </w:tc>
      </w:tr>
    </w:tbl>
    <w:p w14:paraId="4E123402" w14:textId="77777777" w:rsidR="002C39F4" w:rsidRPr="003024E5" w:rsidRDefault="002C39F4" w:rsidP="002C39F4">
      <w:pPr>
        <w:rPr>
          <w:rFonts w:asciiTheme="minorBidi" w:hAnsiTheme="minorBidi"/>
        </w:rPr>
      </w:pPr>
    </w:p>
    <w:p w14:paraId="2B6202ED" w14:textId="77777777" w:rsidR="002C39F4" w:rsidRPr="003024E5" w:rsidRDefault="002C39F4" w:rsidP="002C39F4">
      <w:pPr>
        <w:rPr>
          <w:rFonts w:asciiTheme="minorBidi" w:hAnsiTheme="minorBidi"/>
          <w:u w:val="single"/>
        </w:rPr>
      </w:pPr>
      <w:r w:rsidRPr="003024E5">
        <w:rPr>
          <w:rFonts w:asciiTheme="minorBidi" w:hAnsiTheme="minorBidi"/>
          <w:u w:val="single"/>
          <w:rtl/>
        </w:rPr>
        <w:t>איזה מילוי התירו במולייתא:</w:t>
      </w:r>
      <w:r w:rsidRPr="003024E5">
        <w:rPr>
          <w:rFonts w:asciiTheme="minorBidi" w:hAnsiTheme="minorBidi"/>
          <w:sz w:val="16"/>
          <w:szCs w:val="16"/>
          <w:rtl/>
        </w:rPr>
        <w:t xml:space="preserve">  (ב"י ודרכ"מ [אות ב])</w:t>
      </w:r>
    </w:p>
    <w:p w14:paraId="6A16FB89" w14:textId="77777777" w:rsidR="002C39F4" w:rsidRPr="003024E5" w:rsidRDefault="002C39F4" w:rsidP="002C39F4">
      <w:pPr>
        <w:pStyle w:val="a8"/>
        <w:numPr>
          <w:ilvl w:val="0"/>
          <w:numId w:val="72"/>
        </w:numPr>
        <w:rPr>
          <w:rFonts w:asciiTheme="minorBidi" w:hAnsiTheme="minorBidi"/>
        </w:rPr>
      </w:pPr>
      <w:r w:rsidRPr="003024E5">
        <w:rPr>
          <w:rFonts w:asciiTheme="minorBidi" w:hAnsiTheme="minorBidi"/>
          <w:rtl/>
        </w:rPr>
        <w:t xml:space="preserve">רא"ש </w:t>
      </w:r>
      <w:r w:rsidRPr="003024E5">
        <w:rPr>
          <w:rFonts w:asciiTheme="minorBidi" w:hAnsiTheme="minorBidi"/>
          <w:sz w:val="16"/>
          <w:szCs w:val="16"/>
          <w:rtl/>
        </w:rPr>
        <w:t>(סי' יג)</w:t>
      </w:r>
      <w:r w:rsidRPr="003024E5">
        <w:rPr>
          <w:rFonts w:asciiTheme="minorBidi" w:hAnsiTheme="minorBidi"/>
          <w:rtl/>
        </w:rPr>
        <w:t>- עוף או גדי ממולא בשר דק כתוש.</w:t>
      </w:r>
    </w:p>
    <w:p w14:paraId="0EBCB4E1" w14:textId="77777777" w:rsidR="002C39F4" w:rsidRPr="003024E5" w:rsidRDefault="002C39F4" w:rsidP="002C39F4">
      <w:pPr>
        <w:pStyle w:val="a8"/>
        <w:numPr>
          <w:ilvl w:val="0"/>
          <w:numId w:val="72"/>
        </w:numPr>
        <w:rPr>
          <w:rFonts w:asciiTheme="minorBidi" w:hAnsiTheme="minorBidi"/>
        </w:rPr>
      </w:pPr>
      <w:r w:rsidRPr="003024E5">
        <w:rPr>
          <w:rFonts w:asciiTheme="minorBidi" w:hAnsiTheme="minorBidi"/>
          <w:rtl/>
        </w:rPr>
        <w:t xml:space="preserve">רמב"ם </w:t>
      </w:r>
      <w:r w:rsidRPr="003024E5">
        <w:rPr>
          <w:rFonts w:asciiTheme="minorBidi" w:hAnsiTheme="minorBidi"/>
          <w:sz w:val="16"/>
          <w:szCs w:val="16"/>
          <w:rtl/>
        </w:rPr>
        <w:t xml:space="preserve">(פ"ו הי"ז) </w:t>
      </w:r>
      <w:r w:rsidRPr="003024E5">
        <w:rPr>
          <w:rFonts w:asciiTheme="minorBidi" w:hAnsiTheme="minorBidi"/>
          <w:rtl/>
        </w:rPr>
        <w:t xml:space="preserve">וסמ"ג </w:t>
      </w:r>
      <w:r w:rsidRPr="003024E5">
        <w:rPr>
          <w:rFonts w:asciiTheme="minorBidi" w:hAnsiTheme="minorBidi"/>
          <w:sz w:val="16"/>
          <w:szCs w:val="16"/>
          <w:rtl/>
        </w:rPr>
        <w:t>(לאוין קלז מח ע"ג)</w:t>
      </w:r>
      <w:r w:rsidRPr="003024E5">
        <w:rPr>
          <w:rFonts w:asciiTheme="minorBidi" w:hAnsiTheme="minorBidi"/>
          <w:rtl/>
        </w:rPr>
        <w:t>- עופות שהניחן שלמים ומלא חללן בשר וביצים.</w:t>
      </w:r>
    </w:p>
    <w:p w14:paraId="7873C3BF" w14:textId="77777777" w:rsidR="002C39F4" w:rsidRPr="003024E5" w:rsidRDefault="002C39F4" w:rsidP="002C39F4">
      <w:pPr>
        <w:pStyle w:val="a8"/>
        <w:numPr>
          <w:ilvl w:val="0"/>
          <w:numId w:val="72"/>
        </w:numPr>
        <w:rPr>
          <w:rFonts w:asciiTheme="minorBidi" w:hAnsiTheme="minorBidi"/>
        </w:rPr>
      </w:pPr>
      <w:r w:rsidRPr="003024E5">
        <w:rPr>
          <w:rFonts w:asciiTheme="minorBidi" w:hAnsiTheme="minorBidi"/>
          <w:rtl/>
        </w:rPr>
        <w:t>אגודה ב"ז ו</w:t>
      </w:r>
      <w:r>
        <w:rPr>
          <w:rFonts w:asciiTheme="minorBidi" w:hAnsiTheme="minorBidi"/>
          <w:rtl/>
        </w:rPr>
        <w:t>או"ה</w:t>
      </w:r>
      <w:r w:rsidRPr="003024E5">
        <w:rPr>
          <w:rStyle w:val="a7"/>
          <w:rFonts w:asciiTheme="minorBidi" w:hAnsiTheme="minorBidi"/>
          <w:rtl/>
        </w:rPr>
        <w:footnoteReference w:id="801"/>
      </w:r>
      <w:r w:rsidRPr="003024E5">
        <w:rPr>
          <w:rFonts w:asciiTheme="minorBidi" w:hAnsiTheme="minorBidi"/>
          <w:rtl/>
        </w:rPr>
        <w:t>- דוקא במילוי בשר או עשבים או כה"ג אבל אם מלאוהו בביצים ובתערובת הוי כבישול</w:t>
      </w:r>
      <w:r w:rsidRPr="003024E5">
        <w:rPr>
          <w:rStyle w:val="a7"/>
          <w:rFonts w:asciiTheme="minorBidi" w:hAnsiTheme="minorBidi"/>
          <w:rtl/>
        </w:rPr>
        <w:footnoteReference w:id="802"/>
      </w:r>
      <w:r w:rsidRPr="003024E5">
        <w:rPr>
          <w:rFonts w:asciiTheme="minorBidi" w:hAnsiTheme="minorBidi"/>
          <w:rtl/>
        </w:rPr>
        <w:t>.</w:t>
      </w:r>
      <w:r w:rsidRPr="003024E5">
        <w:rPr>
          <w:rFonts w:asciiTheme="minorBidi" w:hAnsiTheme="minorBidi"/>
          <w:color w:val="00B0F0"/>
          <w:rtl/>
        </w:rPr>
        <w:t xml:space="preserve"> (וכ"פ הרמ"א)</w:t>
      </w:r>
    </w:p>
    <w:p w14:paraId="0C297671" w14:textId="77777777" w:rsidR="002C39F4" w:rsidRPr="003024E5" w:rsidRDefault="002C39F4" w:rsidP="002C39F4">
      <w:pPr>
        <w:rPr>
          <w:rFonts w:asciiTheme="minorBidi" w:hAnsiTheme="minorBidi"/>
          <w:u w:val="single"/>
          <w:rtl/>
        </w:rPr>
      </w:pPr>
      <w:r w:rsidRPr="003024E5">
        <w:rPr>
          <w:rFonts w:asciiTheme="minorBidi" w:hAnsiTheme="minorBidi"/>
          <w:u w:val="single"/>
          <w:rtl/>
        </w:rPr>
        <w:t xml:space="preserve">דין מולייתא </w:t>
      </w:r>
      <w:r w:rsidRPr="00B94667">
        <w:rPr>
          <w:rFonts w:asciiTheme="minorBidi" w:hAnsiTheme="minorBidi"/>
          <w:b/>
          <w:bCs/>
          <w:u w:val="single"/>
          <w:rtl/>
        </w:rPr>
        <w:t>בקדרה</w:t>
      </w:r>
      <w:r w:rsidRPr="003024E5">
        <w:rPr>
          <w:rStyle w:val="a7"/>
          <w:rFonts w:asciiTheme="minorBidi" w:hAnsiTheme="minorBidi"/>
          <w:u w:val="single"/>
          <w:rtl/>
        </w:rPr>
        <w:footnoteReference w:id="803"/>
      </w:r>
      <w:r w:rsidRPr="003024E5">
        <w:rPr>
          <w:rFonts w:asciiTheme="minorBidi" w:hAnsiTheme="minorBidi"/>
          <w:u w:val="single"/>
          <w:rtl/>
        </w:rPr>
        <w:t>:</w:t>
      </w:r>
    </w:p>
    <w:p w14:paraId="2DB190DD" w14:textId="77777777" w:rsidR="002C39F4" w:rsidRPr="003024E5" w:rsidRDefault="002C39F4" w:rsidP="002C39F4">
      <w:pPr>
        <w:pStyle w:val="a8"/>
        <w:numPr>
          <w:ilvl w:val="0"/>
          <w:numId w:val="72"/>
        </w:numPr>
        <w:rPr>
          <w:rFonts w:asciiTheme="minorBidi" w:hAnsiTheme="minorBidi"/>
        </w:rPr>
      </w:pPr>
      <w:r w:rsidRPr="003024E5">
        <w:rPr>
          <w:rFonts w:asciiTheme="minorBidi" w:hAnsiTheme="minorBidi"/>
          <w:rtl/>
        </w:rPr>
        <w:t>רמב"ם</w:t>
      </w:r>
      <w:r w:rsidRPr="003024E5">
        <w:rPr>
          <w:rFonts w:asciiTheme="minorBidi" w:hAnsiTheme="minorBidi"/>
          <w:sz w:val="16"/>
          <w:szCs w:val="16"/>
          <w:rtl/>
        </w:rPr>
        <w:t xml:space="preserve"> (פ"ו הי"ז)</w:t>
      </w:r>
      <w:r w:rsidRPr="003024E5">
        <w:rPr>
          <w:rFonts w:asciiTheme="minorBidi" w:hAnsiTheme="minorBidi"/>
          <w:rtl/>
        </w:rPr>
        <w:t xml:space="preserve">- עופות שהניחן שלמים ומלא חללן בשר וביצים ובשלן אסורות שהרי דם יוצא לתוכן ואף על פי שמלחן יפה יפה, ואפילו היה הבשר שבתוכן שלוק או צלוי... </w:t>
      </w:r>
      <w:r w:rsidRPr="003024E5">
        <w:rPr>
          <w:rFonts w:asciiTheme="minorBidi" w:hAnsiTheme="minorBidi"/>
          <w:sz w:val="16"/>
          <w:szCs w:val="16"/>
          <w:rtl/>
        </w:rPr>
        <w:t>(הל' יח)</w:t>
      </w:r>
      <w:r w:rsidRPr="003024E5">
        <w:rPr>
          <w:rFonts w:asciiTheme="minorBidi" w:hAnsiTheme="minorBidi"/>
          <w:rtl/>
        </w:rPr>
        <w:t xml:space="preserve"> בני מעיים שמלאן על דרך זו בבשר צלוי או שלוק או שמלאן בביצים ושלקן או קלאן הרי אלו מותרין שאין מחזיקין דם בבני מעים, וכן הורו הגאונים</w:t>
      </w:r>
      <w:r w:rsidRPr="003024E5">
        <w:rPr>
          <w:rStyle w:val="a7"/>
          <w:rFonts w:asciiTheme="minorBidi" w:hAnsiTheme="minorBidi"/>
          <w:rtl/>
        </w:rPr>
        <w:footnoteReference w:id="804"/>
      </w:r>
      <w:r w:rsidRPr="003024E5">
        <w:rPr>
          <w:rFonts w:asciiTheme="minorBidi" w:hAnsiTheme="minorBidi"/>
          <w:rtl/>
        </w:rPr>
        <w:t>.</w:t>
      </w:r>
    </w:p>
    <w:p w14:paraId="100F3086" w14:textId="77777777" w:rsidR="002C39F4" w:rsidRPr="003024E5" w:rsidRDefault="002C39F4" w:rsidP="002C39F4">
      <w:pPr>
        <w:pStyle w:val="a8"/>
        <w:numPr>
          <w:ilvl w:val="0"/>
          <w:numId w:val="72"/>
        </w:numPr>
        <w:rPr>
          <w:rFonts w:asciiTheme="minorBidi" w:hAnsiTheme="minorBidi"/>
          <w:rtl/>
        </w:rPr>
      </w:pPr>
      <w:r w:rsidRPr="003024E5">
        <w:rPr>
          <w:rFonts w:asciiTheme="minorBidi" w:hAnsiTheme="minorBidi"/>
          <w:rtl/>
        </w:rPr>
        <w:t>ראב"ד</w:t>
      </w:r>
      <w:r w:rsidRPr="003024E5">
        <w:rPr>
          <w:rFonts w:asciiTheme="minorBidi" w:hAnsiTheme="minorBidi"/>
          <w:sz w:val="16"/>
          <w:szCs w:val="16"/>
          <w:rtl/>
        </w:rPr>
        <w:t xml:space="preserve"> (בהשגות פ"ו הי"ז) </w:t>
      </w:r>
      <w:r w:rsidRPr="003024E5">
        <w:rPr>
          <w:rFonts w:asciiTheme="minorBidi" w:hAnsiTheme="minorBidi"/>
          <w:rtl/>
        </w:rPr>
        <w:t xml:space="preserve">רשב"א </w:t>
      </w:r>
      <w:r w:rsidRPr="003024E5">
        <w:rPr>
          <w:rFonts w:asciiTheme="minorBidi" w:hAnsiTheme="minorBidi"/>
          <w:sz w:val="16"/>
          <w:szCs w:val="16"/>
          <w:rtl/>
        </w:rPr>
        <w:t>(תוה"ב הקצר ב"ג ש"ג עח.)</w:t>
      </w:r>
      <w:r w:rsidRPr="003024E5">
        <w:rPr>
          <w:rFonts w:asciiTheme="minorBidi" w:hAnsiTheme="minorBidi"/>
          <w:rtl/>
        </w:rPr>
        <w:t xml:space="preserve"> רא"ש </w:t>
      </w:r>
      <w:r w:rsidRPr="003024E5">
        <w:rPr>
          <w:rFonts w:asciiTheme="minorBidi" w:hAnsiTheme="minorBidi"/>
          <w:sz w:val="16"/>
          <w:szCs w:val="16"/>
          <w:rtl/>
        </w:rPr>
        <w:t xml:space="preserve">(סי' יג) </w:t>
      </w:r>
      <w:r w:rsidRPr="003024E5">
        <w:rPr>
          <w:rFonts w:asciiTheme="minorBidi" w:hAnsiTheme="minorBidi"/>
          <w:rtl/>
        </w:rPr>
        <w:t>וטור- אסור עד שימלח חיצון לבדו ופנימי לבדו, אבל אם לאחר שמלאו, מלח לחיצון, אינו מפליט לדם שבפנימי</w:t>
      </w:r>
      <w:r w:rsidRPr="003024E5">
        <w:rPr>
          <w:rStyle w:val="a7"/>
          <w:rFonts w:asciiTheme="minorBidi" w:hAnsiTheme="minorBidi"/>
          <w:rtl/>
        </w:rPr>
        <w:footnoteReference w:id="805"/>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31C54E09" w14:textId="77777777" w:rsidR="002C39F4" w:rsidRPr="003024E5" w:rsidRDefault="002C39F4" w:rsidP="002C39F4">
      <w:pPr>
        <w:rPr>
          <w:rFonts w:asciiTheme="minorBidi" w:hAnsiTheme="minorBidi"/>
          <w:u w:val="single"/>
        </w:rPr>
      </w:pPr>
      <w:r w:rsidRPr="003024E5">
        <w:rPr>
          <w:rFonts w:asciiTheme="minorBidi" w:hAnsiTheme="minorBidi"/>
          <w:u w:val="single"/>
          <w:rtl/>
        </w:rPr>
        <w:t>צליית בשר שנמלח עם בשר שלא נמלח בשיפוד:</w:t>
      </w:r>
      <w:r w:rsidRPr="003024E5">
        <w:rPr>
          <w:rFonts w:asciiTheme="minorBidi" w:hAnsiTheme="minorBidi"/>
          <w:sz w:val="16"/>
          <w:szCs w:val="16"/>
          <w:rtl/>
        </w:rPr>
        <w:t xml:space="preserve">  (דרכ"מ [אות ב])</w:t>
      </w:r>
    </w:p>
    <w:p w14:paraId="794F8270" w14:textId="77777777" w:rsidR="002C39F4" w:rsidRPr="003024E5" w:rsidRDefault="002C39F4" w:rsidP="002C39F4">
      <w:pPr>
        <w:pStyle w:val="a8"/>
        <w:numPr>
          <w:ilvl w:val="0"/>
          <w:numId w:val="72"/>
        </w:numPr>
        <w:rPr>
          <w:rFonts w:asciiTheme="minorBidi" w:hAnsiTheme="minorBidi"/>
        </w:rPr>
      </w:pPr>
      <w:r w:rsidRPr="003024E5">
        <w:rPr>
          <w:rFonts w:asciiTheme="minorBidi" w:hAnsiTheme="minorBidi"/>
          <w:rtl/>
        </w:rPr>
        <w:t xml:space="preserve">ב"ז </w:t>
      </w:r>
      <w:r w:rsidRPr="003024E5">
        <w:rPr>
          <w:rFonts w:asciiTheme="minorBidi" w:hAnsiTheme="minorBidi"/>
          <w:sz w:val="16"/>
          <w:szCs w:val="16"/>
          <w:rtl/>
        </w:rPr>
        <w:t xml:space="preserve">(סי' שלו) </w:t>
      </w:r>
      <w:r w:rsidRPr="003024E5">
        <w:rPr>
          <w:rFonts w:asciiTheme="minorBidi" w:hAnsiTheme="minorBidi"/>
          <w:rtl/>
        </w:rPr>
        <w:t>ו</w:t>
      </w: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ט דין ט)</w:t>
      </w:r>
      <w:r w:rsidRPr="003024E5">
        <w:rPr>
          <w:rFonts w:asciiTheme="minorBidi" w:hAnsiTheme="minorBidi"/>
          <w:rtl/>
        </w:rPr>
        <w:t>- לכתחילה אסור ובדיעבד מותר דכבולעו כך פולטו</w:t>
      </w:r>
      <w:r w:rsidRPr="003024E5">
        <w:rPr>
          <w:rStyle w:val="a7"/>
          <w:rFonts w:asciiTheme="minorBidi" w:hAnsiTheme="minorBidi"/>
          <w:rtl/>
        </w:rPr>
        <w:footnoteReference w:id="806"/>
      </w:r>
      <w:r w:rsidRPr="003024E5">
        <w:rPr>
          <w:rFonts w:asciiTheme="minorBidi" w:hAnsiTheme="minorBidi"/>
          <w:rtl/>
        </w:rPr>
        <w:t>.</w:t>
      </w:r>
      <w:r w:rsidRPr="003024E5">
        <w:rPr>
          <w:rFonts w:asciiTheme="minorBidi" w:hAnsiTheme="minorBidi"/>
          <w:color w:val="00B0F0"/>
          <w:rtl/>
        </w:rPr>
        <w:t xml:space="preserve"> (וכ"פ הרמ"א)</w:t>
      </w:r>
    </w:p>
    <w:p w14:paraId="7A4BF45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EEA0FAA" w14:textId="77777777" w:rsidR="002C39F4" w:rsidRDefault="002C39F4" w:rsidP="002C39F4">
      <w:pPr>
        <w:rPr>
          <w:rFonts w:asciiTheme="minorBidi" w:hAnsiTheme="minorBidi"/>
          <w:rtl/>
        </w:rPr>
        <w:sectPr w:rsidR="002C39F4" w:rsidSect="004C5A3C">
          <w:footnotePr>
            <w:numRestart w:val="eachPage"/>
          </w:footnotePr>
          <w:pgSz w:w="11906" w:h="16838"/>
          <w:pgMar w:top="720" w:right="1134" w:bottom="720" w:left="1134" w:header="720" w:footer="0" w:gutter="0"/>
          <w:cols w:space="720"/>
          <w:bidi/>
          <w:rtlGutter/>
          <w:docGrid w:linePitch="360"/>
        </w:sectPr>
      </w:pPr>
      <w:r w:rsidRPr="003024E5">
        <w:rPr>
          <w:rFonts w:asciiTheme="minorBidi" w:hAnsiTheme="minorBidi"/>
          <w:rtl/>
        </w:rPr>
        <w:t>עופות או גדיים שממלאים אותם בשר שלא נמלח, אם לצלי, מותר אפילו פיהם למעלה, ואפילו אם נמלח החיצון</w:t>
      </w:r>
      <w:r w:rsidRPr="003024E5">
        <w:rPr>
          <w:rStyle w:val="a7"/>
          <w:rFonts w:asciiTheme="minorBidi" w:hAnsiTheme="minorBidi"/>
          <w:rtl/>
        </w:rPr>
        <w:footnoteReference w:id="807"/>
      </w:r>
      <w:r w:rsidRPr="003024E5">
        <w:rPr>
          <w:rFonts w:asciiTheme="minorBidi" w:hAnsiTheme="minorBidi"/>
          <w:rtl/>
        </w:rPr>
        <w:t>, דכמו שבולע דם המילואים כך פולטו</w:t>
      </w:r>
      <w:r w:rsidRPr="003024E5">
        <w:rPr>
          <w:rStyle w:val="a7"/>
          <w:rFonts w:asciiTheme="minorBidi" w:hAnsiTheme="minorBidi"/>
          <w:rtl/>
        </w:rPr>
        <w:footnoteReference w:id="808"/>
      </w:r>
      <w:r w:rsidRPr="003024E5">
        <w:rPr>
          <w:rFonts w:asciiTheme="minorBidi" w:hAnsiTheme="minorBidi"/>
          <w:rtl/>
        </w:rPr>
        <w:t xml:space="preserve">. </w:t>
      </w:r>
      <w:r w:rsidRPr="003024E5">
        <w:rPr>
          <w:rFonts w:asciiTheme="minorBidi" w:hAnsiTheme="minorBidi"/>
          <w:sz w:val="18"/>
          <w:szCs w:val="18"/>
          <w:rtl/>
        </w:rPr>
        <w:t xml:space="preserve">הגה: וכ"ש אם נמלח הפנימי ולא החיצון דשרי (ארוך כלל ט), דנורא משאב שאיב הדם מן החיצון ואינו נבלע בפנימי (ד"ע). </w:t>
      </w:r>
      <w:r w:rsidRPr="003024E5">
        <w:rPr>
          <w:rFonts w:asciiTheme="minorBidi" w:hAnsiTheme="minorBidi"/>
          <w:rtl/>
        </w:rPr>
        <w:t>ולקדרה אסור עד שימלח חיצון לבדו ופנימי לבדו</w:t>
      </w:r>
      <w:r w:rsidRPr="003024E5">
        <w:rPr>
          <w:rStyle w:val="a7"/>
          <w:rFonts w:asciiTheme="minorBidi" w:hAnsiTheme="minorBidi"/>
          <w:rtl/>
        </w:rPr>
        <w:footnoteReference w:id="809"/>
      </w:r>
      <w:r w:rsidRPr="003024E5">
        <w:rPr>
          <w:rFonts w:asciiTheme="minorBidi" w:hAnsiTheme="minorBidi"/>
          <w:rtl/>
        </w:rPr>
        <w:t>, אבל אם לאחר שמילאו מלח החיצון אינו מפליט דם שבפנימי</w:t>
      </w:r>
      <w:r w:rsidRPr="003024E5">
        <w:rPr>
          <w:rStyle w:val="a7"/>
          <w:rFonts w:asciiTheme="minorBidi" w:hAnsiTheme="minorBidi"/>
          <w:rtl/>
        </w:rPr>
        <w:footnoteReference w:id="810"/>
      </w:r>
      <w:r w:rsidRPr="003024E5">
        <w:rPr>
          <w:rFonts w:asciiTheme="minorBidi" w:hAnsiTheme="minorBidi"/>
          <w:rtl/>
        </w:rPr>
        <w:t xml:space="preserve">. </w:t>
      </w:r>
      <w:r w:rsidRPr="003024E5">
        <w:rPr>
          <w:rFonts w:asciiTheme="minorBidi" w:hAnsiTheme="minorBidi"/>
          <w:sz w:val="18"/>
          <w:szCs w:val="18"/>
          <w:rtl/>
        </w:rPr>
        <w:t>הגה: וכל זה בדיעבד, אבל לכתחלה אין לעשות שום מולייתא רק אם נמלחו שניהם (אגור מרדכי ורש"י). וכל זה מיירי שאין במולייתא זו רק בשר או עשבים, אבל אם יש שם בצים הנקרשים, דינו כאלו נתבשל בקדירה</w:t>
      </w:r>
      <w:r w:rsidRPr="003024E5">
        <w:rPr>
          <w:rStyle w:val="a7"/>
          <w:rFonts w:asciiTheme="minorBidi" w:hAnsiTheme="minorBidi"/>
          <w:sz w:val="18"/>
          <w:szCs w:val="18"/>
          <w:rtl/>
        </w:rPr>
        <w:footnoteReference w:id="811"/>
      </w:r>
      <w:r w:rsidRPr="003024E5">
        <w:rPr>
          <w:rFonts w:asciiTheme="minorBidi" w:hAnsiTheme="minorBidi"/>
          <w:sz w:val="18"/>
          <w:szCs w:val="18"/>
          <w:rtl/>
        </w:rPr>
        <w:t xml:space="preserve"> (הגשע"ד בשם מהרי"ט ארוך וב"ז), ואפילו בדיעבד יש לאסרו אם לא נמלחו שניהם</w:t>
      </w:r>
      <w:r w:rsidRPr="003024E5">
        <w:rPr>
          <w:rStyle w:val="a7"/>
          <w:rFonts w:asciiTheme="minorBidi" w:hAnsiTheme="minorBidi"/>
          <w:sz w:val="18"/>
          <w:szCs w:val="18"/>
          <w:rtl/>
        </w:rPr>
        <w:footnoteReference w:id="812"/>
      </w:r>
      <w:r w:rsidRPr="003024E5">
        <w:rPr>
          <w:rFonts w:asciiTheme="minorBidi" w:hAnsiTheme="minorBidi"/>
          <w:sz w:val="18"/>
          <w:szCs w:val="18"/>
          <w:rtl/>
        </w:rPr>
        <w:t>. בשר שלא נמלח ולא הודח שנצלה עם בשר שנמלח והודח, מותר בדיעבד (שם). אבל לכתחלה אסור לצלות בשר שנמלח עם הבשר שלא נמלח, ואפי' הודח.</w:t>
      </w:r>
    </w:p>
    <w:p w14:paraId="0467C70D"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עח: דין שלא לדבק בצק בבשר שלא נמלח, ובו סעיף אחד. </w:t>
      </w:r>
    </w:p>
    <w:p w14:paraId="1C4BEC7B" w14:textId="77777777" w:rsidR="002C39F4" w:rsidRPr="003024E5" w:rsidRDefault="002C39F4" w:rsidP="002C39F4">
      <w:pPr>
        <w:pStyle w:val="2"/>
        <w:rPr>
          <w:rFonts w:asciiTheme="minorBidi" w:hAnsiTheme="minorBidi"/>
          <w:rtl/>
        </w:rPr>
      </w:pPr>
      <w:r w:rsidRPr="003024E5">
        <w:rPr>
          <w:rFonts w:asciiTheme="minorBidi" w:hAnsiTheme="minorBidi"/>
          <w:rtl/>
        </w:rPr>
        <w:t>סעיף א</w:t>
      </w:r>
    </w:p>
    <w:p w14:paraId="27BBEB59" w14:textId="77777777" w:rsidR="002C39F4" w:rsidRPr="003024E5" w:rsidRDefault="002C39F4" w:rsidP="002C39F4">
      <w:pPr>
        <w:rPr>
          <w:rFonts w:asciiTheme="minorBidi" w:hAnsiTheme="minorBidi"/>
          <w:rtl/>
        </w:rPr>
      </w:pPr>
      <w:r w:rsidRPr="003024E5">
        <w:rPr>
          <w:rFonts w:asciiTheme="minorBidi" w:hAnsiTheme="minorBidi"/>
          <w:b/>
          <w:bCs/>
          <w:rtl/>
        </w:rPr>
        <w:t xml:space="preserve">פסחים עד ע"ב: </w:t>
      </w:r>
      <w:r w:rsidRPr="003024E5">
        <w:rPr>
          <w:rFonts w:asciiTheme="minorBidi" w:hAnsiTheme="minorBidi"/>
          <w:rtl/>
        </w:rPr>
        <w:t>והא רבין סבא טפליה ההיא בר גוזלא לרב, ואמר ליה: אי מעלי טפליה - הב לי ואיכול! ההיא בסמידא</w:t>
      </w:r>
      <w:r w:rsidRPr="003024E5">
        <w:rPr>
          <w:rStyle w:val="a7"/>
          <w:rFonts w:asciiTheme="minorBidi" w:hAnsiTheme="minorBidi"/>
          <w:rtl/>
        </w:rPr>
        <w:footnoteReference w:id="813"/>
      </w:r>
      <w:r w:rsidRPr="003024E5">
        <w:rPr>
          <w:rFonts w:asciiTheme="minorBidi" w:hAnsiTheme="minorBidi"/>
          <w:rtl/>
        </w:rPr>
        <w:t xml:space="preserve"> דמפריר. והא רבא איקלע לבי ריש גלותא וטפלו ליה בר אווזא, אמר: אי לא דחזיתיה דזיג</w:t>
      </w:r>
      <w:r w:rsidRPr="003024E5">
        <w:rPr>
          <w:rStyle w:val="a7"/>
          <w:rFonts w:asciiTheme="minorBidi" w:hAnsiTheme="minorBidi"/>
          <w:rtl/>
        </w:rPr>
        <w:footnoteReference w:id="814"/>
      </w:r>
      <w:r w:rsidRPr="003024E5">
        <w:rPr>
          <w:rFonts w:asciiTheme="minorBidi" w:hAnsiTheme="minorBidi"/>
          <w:rtl/>
        </w:rPr>
        <w:t xml:space="preserve"> כזוזא חיורא לא אכלי מיניה. ואי סלקא דעתך כבולעו כך פולטו מאי איריא כי זיג? אפילו כי לא זיג נמי! התם בחיורתא</w:t>
      </w:r>
      <w:r w:rsidRPr="003024E5">
        <w:rPr>
          <w:rStyle w:val="a7"/>
          <w:rFonts w:asciiTheme="minorBidi" w:hAnsiTheme="minorBidi"/>
          <w:rtl/>
        </w:rPr>
        <w:footnoteReference w:id="815"/>
      </w:r>
      <w:r w:rsidRPr="003024E5">
        <w:rPr>
          <w:rFonts w:asciiTheme="minorBidi" w:hAnsiTheme="minorBidi"/>
          <w:rtl/>
        </w:rPr>
        <w:t>, דשריר. והילכתא: דסמידא, בין אסמיק</w:t>
      </w:r>
      <w:r w:rsidRPr="003024E5">
        <w:rPr>
          <w:rStyle w:val="a7"/>
          <w:rFonts w:asciiTheme="minorBidi" w:hAnsiTheme="minorBidi"/>
          <w:rtl/>
        </w:rPr>
        <w:footnoteReference w:id="816"/>
      </w:r>
      <w:r w:rsidRPr="003024E5">
        <w:rPr>
          <w:rFonts w:asciiTheme="minorBidi" w:hAnsiTheme="minorBidi"/>
          <w:rtl/>
        </w:rPr>
        <w:t xml:space="preserve"> בין לא אסמיק</w:t>
      </w:r>
      <w:r>
        <w:rPr>
          <w:rFonts w:asciiTheme="minorBidi" w:hAnsiTheme="minorBidi" w:hint="cs"/>
          <w:rtl/>
        </w:rPr>
        <w:t xml:space="preserve"> </w:t>
      </w:r>
      <w:r w:rsidRPr="003024E5">
        <w:rPr>
          <w:rFonts w:asciiTheme="minorBidi" w:hAnsiTheme="minorBidi"/>
          <w:rtl/>
        </w:rPr>
        <w:t>- שריא. דחיורתא, אי זיג כזוזא חיורא</w:t>
      </w:r>
      <w:r>
        <w:rPr>
          <w:rFonts w:asciiTheme="minorBidi" w:hAnsiTheme="minorBidi" w:hint="cs"/>
          <w:rtl/>
        </w:rPr>
        <w:t xml:space="preserve"> </w:t>
      </w:r>
      <w:r w:rsidRPr="003024E5">
        <w:rPr>
          <w:rFonts w:asciiTheme="minorBidi" w:hAnsiTheme="minorBidi"/>
          <w:rtl/>
        </w:rPr>
        <w:t>- שריא, אי לא</w:t>
      </w:r>
      <w:r>
        <w:rPr>
          <w:rFonts w:asciiTheme="minorBidi" w:hAnsiTheme="minorBidi" w:hint="cs"/>
          <w:rtl/>
        </w:rPr>
        <w:t xml:space="preserve"> </w:t>
      </w:r>
      <w:r w:rsidRPr="003024E5">
        <w:rPr>
          <w:rFonts w:asciiTheme="minorBidi" w:hAnsiTheme="minorBidi"/>
          <w:rtl/>
        </w:rPr>
        <w:t>- אסיר. דשאר קמחים, אסמיק</w:t>
      </w:r>
      <w:r>
        <w:rPr>
          <w:rFonts w:asciiTheme="minorBidi" w:hAnsiTheme="minorBidi" w:hint="cs"/>
          <w:rtl/>
        </w:rPr>
        <w:t xml:space="preserve"> </w:t>
      </w:r>
      <w:r w:rsidRPr="003024E5">
        <w:rPr>
          <w:rFonts w:asciiTheme="minorBidi" w:hAnsiTheme="minorBidi"/>
          <w:rtl/>
        </w:rPr>
        <w:t>- אסור, לא אסמיק</w:t>
      </w:r>
      <w:r>
        <w:rPr>
          <w:rFonts w:asciiTheme="minorBidi" w:hAnsiTheme="minorBidi" w:hint="cs"/>
          <w:rtl/>
        </w:rPr>
        <w:t xml:space="preserve"> </w:t>
      </w:r>
      <w:r w:rsidRPr="003024E5">
        <w:rPr>
          <w:rFonts w:asciiTheme="minorBidi" w:hAnsiTheme="minorBidi"/>
          <w:rtl/>
        </w:rPr>
        <w:t>- שרי.</w:t>
      </w:r>
      <w:r>
        <w:rPr>
          <w:rFonts w:asciiTheme="minorBidi" w:hAnsiTheme="minorBidi" w:hint="cs"/>
          <w:rtl/>
        </w:rPr>
        <w:t xml:space="preserve"> </w:t>
      </w:r>
    </w:p>
    <w:p w14:paraId="6F4085CD" w14:textId="77777777" w:rsidR="002C39F4" w:rsidRPr="003024E5" w:rsidRDefault="002C39F4" w:rsidP="002C39F4">
      <w:pPr>
        <w:rPr>
          <w:rFonts w:asciiTheme="minorBidi" w:hAnsiTheme="minorBidi"/>
          <w:rtl/>
        </w:rPr>
      </w:pPr>
      <w:r w:rsidRPr="003024E5">
        <w:rPr>
          <w:rFonts w:asciiTheme="minorBidi" w:hAnsiTheme="minorBidi"/>
          <w:u w:val="single"/>
          <w:rtl/>
        </w:rPr>
        <w:t>צליית בשר ש</w:t>
      </w:r>
      <w:r>
        <w:rPr>
          <w:rFonts w:asciiTheme="minorBidi" w:hAnsiTheme="minorBidi" w:hint="cs"/>
          <w:u w:val="single"/>
          <w:rtl/>
        </w:rPr>
        <w:t>טפל</w:t>
      </w:r>
      <w:r w:rsidRPr="003024E5">
        <w:rPr>
          <w:rFonts w:asciiTheme="minorBidi" w:hAnsiTheme="minorBidi"/>
          <w:u w:val="single"/>
          <w:rtl/>
        </w:rPr>
        <w:t>ו בו בצק:</w:t>
      </w:r>
      <w:r w:rsidRPr="003024E5">
        <w:rPr>
          <w:rFonts w:asciiTheme="minorBidi" w:hAnsiTheme="minorBidi"/>
          <w:rtl/>
        </w:rPr>
        <w:t xml:space="preserve"> </w:t>
      </w:r>
    </w:p>
    <w:p w14:paraId="195A0CD3" w14:textId="77777777" w:rsidR="002C39F4" w:rsidRPr="003024E5" w:rsidRDefault="002C39F4" w:rsidP="002C39F4">
      <w:pPr>
        <w:pStyle w:val="a8"/>
        <w:numPr>
          <w:ilvl w:val="0"/>
          <w:numId w:val="72"/>
        </w:numPr>
        <w:rPr>
          <w:rFonts w:asciiTheme="minorBidi" w:hAnsiTheme="minorBidi"/>
        </w:rPr>
      </w:pPr>
      <w:r w:rsidRPr="003024E5">
        <w:rPr>
          <w:rFonts w:asciiTheme="minorBidi" w:hAnsiTheme="minorBidi"/>
          <w:rtl/>
        </w:rPr>
        <w:t xml:space="preserve">רמב"ם </w:t>
      </w:r>
      <w:r w:rsidRPr="003024E5">
        <w:rPr>
          <w:rFonts w:asciiTheme="minorBidi" w:hAnsiTheme="minorBidi"/>
          <w:sz w:val="16"/>
          <w:szCs w:val="16"/>
          <w:rtl/>
        </w:rPr>
        <w:t>(פ"ו הי"ט)</w:t>
      </w:r>
      <w:r w:rsidRPr="003024E5">
        <w:rPr>
          <w:rFonts w:asciiTheme="minorBidi" w:hAnsiTheme="minorBidi"/>
          <w:rtl/>
        </w:rPr>
        <w:t xml:space="preserve"> רשב"א </w:t>
      </w:r>
      <w:r w:rsidRPr="003024E5">
        <w:rPr>
          <w:rFonts w:asciiTheme="minorBidi" w:hAnsiTheme="minorBidi"/>
          <w:sz w:val="16"/>
          <w:szCs w:val="16"/>
          <w:rtl/>
        </w:rPr>
        <w:t xml:space="preserve">(תוה"א ב"ג ש"ג פ.) </w:t>
      </w:r>
      <w:r w:rsidRPr="003024E5">
        <w:rPr>
          <w:rFonts w:asciiTheme="minorBidi" w:hAnsiTheme="minorBidi"/>
          <w:rtl/>
        </w:rPr>
        <w:t>וטור- אם טפל בבצק של סמידא מותר אע"פ שמאדים, שבצק של סמידא מתפרר וכבולעו כך פולטו ואין אדמומית זה אלא מראה דם</w:t>
      </w:r>
      <w:r w:rsidRPr="003024E5">
        <w:rPr>
          <w:rStyle w:val="a7"/>
          <w:rFonts w:asciiTheme="minorBidi" w:hAnsiTheme="minorBidi"/>
          <w:rtl/>
        </w:rPr>
        <w:footnoteReference w:id="817"/>
      </w:r>
      <w:r w:rsidRPr="003024E5">
        <w:rPr>
          <w:rFonts w:asciiTheme="minorBidi" w:hAnsiTheme="minorBidi"/>
          <w:rtl/>
        </w:rPr>
        <w:t>, ואם הבצק מקמח של חטים מנופה ודק אפי' אין מראה האודם ניכר אלא שאינו זך ככסף אסור</w:t>
      </w:r>
      <w:r>
        <w:rPr>
          <w:rFonts w:asciiTheme="minorBidi" w:hAnsiTheme="minorBidi" w:hint="cs"/>
          <w:rtl/>
        </w:rPr>
        <w:t>,</w:t>
      </w:r>
      <w:r w:rsidRPr="003024E5">
        <w:rPr>
          <w:rFonts w:asciiTheme="minorBidi" w:hAnsiTheme="minorBidi"/>
          <w:rtl/>
        </w:rPr>
        <w:t xml:space="preserve"> לפי שנדבק בו הרבה ובולע ואינו פולט, היה הבצק משאר קמחים אם האדים אסור ואם לאו מותר</w:t>
      </w:r>
      <w:r w:rsidRPr="003024E5">
        <w:rPr>
          <w:rStyle w:val="a7"/>
          <w:rFonts w:asciiTheme="minorBidi" w:hAnsiTheme="minorBidi"/>
          <w:rtl/>
        </w:rPr>
        <w:footnoteReference w:id="818"/>
      </w:r>
      <w:r>
        <w:rPr>
          <w:rFonts w:asciiTheme="minorBidi" w:hAnsiTheme="minorBidi" w:hint="cs"/>
          <w:sz w:val="16"/>
          <w:szCs w:val="16"/>
          <w:rtl/>
        </w:rPr>
        <w:t xml:space="preserve"> </w:t>
      </w:r>
      <w:r w:rsidRPr="003024E5">
        <w:rPr>
          <w:rFonts w:asciiTheme="minorBidi" w:hAnsiTheme="minorBidi"/>
          <w:sz w:val="16"/>
          <w:szCs w:val="16"/>
          <w:rtl/>
        </w:rPr>
        <w:t>(ע"פ ל' הטור)</w:t>
      </w:r>
      <w:r w:rsidRPr="003024E5">
        <w:rPr>
          <w:rFonts w:asciiTheme="minorBidi" w:hAnsiTheme="minorBidi"/>
          <w:rtl/>
        </w:rPr>
        <w:t xml:space="preserve">. </w:t>
      </w:r>
    </w:p>
    <w:p w14:paraId="2EAABE2A" w14:textId="77777777" w:rsidR="002C39F4" w:rsidRPr="003024E5" w:rsidRDefault="002C39F4" w:rsidP="002C39F4">
      <w:pPr>
        <w:pStyle w:val="a8"/>
        <w:numPr>
          <w:ilvl w:val="0"/>
          <w:numId w:val="72"/>
        </w:numPr>
        <w:rPr>
          <w:rFonts w:asciiTheme="minorBidi" w:hAnsiTheme="minorBidi"/>
        </w:rPr>
      </w:pPr>
      <w:r w:rsidRPr="003024E5">
        <w:rPr>
          <w:rFonts w:asciiTheme="minorBidi" w:hAnsiTheme="minorBidi"/>
          <w:rtl/>
        </w:rPr>
        <w:t xml:space="preserve">שבה"ל </w:t>
      </w:r>
      <w:r w:rsidRPr="003024E5">
        <w:rPr>
          <w:rFonts w:asciiTheme="minorBidi" w:hAnsiTheme="minorBidi"/>
          <w:sz w:val="16"/>
          <w:szCs w:val="16"/>
          <w:rtl/>
        </w:rPr>
        <w:t>(ח"ב סי' יב ד"ה ושאר קמחין)</w:t>
      </w:r>
      <w:r w:rsidRPr="003024E5">
        <w:rPr>
          <w:rFonts w:asciiTheme="minorBidi" w:hAnsiTheme="minorBidi"/>
          <w:rtl/>
        </w:rPr>
        <w:t xml:space="preserve"> ו</w:t>
      </w:r>
      <w:r>
        <w:rPr>
          <w:rFonts w:asciiTheme="minorBidi" w:hAnsiTheme="minorBidi"/>
          <w:rtl/>
        </w:rPr>
        <w:t>או"ה</w:t>
      </w:r>
      <w:r w:rsidRPr="003024E5">
        <w:rPr>
          <w:rFonts w:asciiTheme="minorBidi" w:hAnsiTheme="minorBidi"/>
          <w:sz w:val="16"/>
          <w:szCs w:val="16"/>
          <w:rtl/>
        </w:rPr>
        <w:t xml:space="preserve"> (כלל ט ד"ב)</w:t>
      </w:r>
      <w:r w:rsidRPr="003024E5">
        <w:rPr>
          <w:rFonts w:asciiTheme="minorBidi" w:hAnsiTheme="minorBidi"/>
          <w:rtl/>
        </w:rPr>
        <w:t>- אנן דלא קים לן השתא במיני קמחים הי סמידא והי חיורתא ושאר קמחי הילכך אי לא מלח לבישרא שיעור מליחה לקדרה אסור</w:t>
      </w:r>
      <w:r w:rsidRPr="003024E5">
        <w:rPr>
          <w:rStyle w:val="a7"/>
          <w:rFonts w:asciiTheme="minorBidi" w:hAnsiTheme="minorBidi"/>
          <w:rtl/>
        </w:rPr>
        <w:footnoteReference w:id="819"/>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674E1DFB" w14:textId="77777777" w:rsidR="002C39F4" w:rsidRPr="003024E5" w:rsidRDefault="002C39F4" w:rsidP="002C39F4">
      <w:pPr>
        <w:ind w:left="360"/>
        <w:rPr>
          <w:rFonts w:asciiTheme="minorBidi" w:hAnsiTheme="minorBidi"/>
          <w:u w:val="dotted"/>
          <w:rtl/>
        </w:rPr>
      </w:pPr>
      <w:r w:rsidRPr="003024E5">
        <w:rPr>
          <w:rFonts w:asciiTheme="minorBidi" w:hAnsiTheme="minorBidi"/>
          <w:u w:val="dotted"/>
          <w:rtl/>
        </w:rPr>
        <w:t>ומה הדין אם הבשר כבר נמלח והודח כדין:</w:t>
      </w:r>
    </w:p>
    <w:p w14:paraId="3AE12663" w14:textId="77777777" w:rsidR="002C39F4" w:rsidRPr="003024E5" w:rsidRDefault="002C39F4" w:rsidP="002C39F4">
      <w:pPr>
        <w:pStyle w:val="a8"/>
        <w:numPr>
          <w:ilvl w:val="0"/>
          <w:numId w:val="72"/>
        </w:numPr>
        <w:rPr>
          <w:rFonts w:asciiTheme="minorBidi" w:hAnsiTheme="minorBidi"/>
        </w:rPr>
      </w:pPr>
      <w:r w:rsidRPr="003024E5">
        <w:rPr>
          <w:rFonts w:asciiTheme="minorBidi" w:hAnsiTheme="minorBidi"/>
          <w:rtl/>
        </w:rPr>
        <w:t xml:space="preserve">הה"מ- לשיטת הרמב"ם </w:t>
      </w:r>
      <w:r w:rsidRPr="003024E5">
        <w:rPr>
          <w:rFonts w:asciiTheme="minorBidi" w:hAnsiTheme="minorBidi"/>
          <w:sz w:val="16"/>
          <w:szCs w:val="16"/>
          <w:rtl/>
        </w:rPr>
        <w:t xml:space="preserve">(פ"ו הל' יז-יח) </w:t>
      </w:r>
      <w:r w:rsidRPr="003024E5">
        <w:rPr>
          <w:rFonts w:asciiTheme="minorBidi" w:hAnsiTheme="minorBidi"/>
          <w:rtl/>
        </w:rPr>
        <w:t xml:space="preserve">והגאונים במולייתא דינים אלו </w:t>
      </w:r>
      <w:r w:rsidRPr="003024E5">
        <w:rPr>
          <w:rFonts w:asciiTheme="minorBidi" w:hAnsiTheme="minorBidi"/>
          <w:sz w:val="16"/>
          <w:szCs w:val="16"/>
          <w:rtl/>
        </w:rPr>
        <w:t xml:space="preserve">(דלעיל) </w:t>
      </w:r>
      <w:r w:rsidRPr="003024E5">
        <w:rPr>
          <w:rFonts w:asciiTheme="minorBidi" w:hAnsiTheme="minorBidi"/>
          <w:rtl/>
        </w:rPr>
        <w:t>שייכים אע"פ שהעופות מלוחים ומוכשרים לקדרה</w:t>
      </w:r>
      <w:r w:rsidRPr="003024E5">
        <w:rPr>
          <w:rStyle w:val="a7"/>
          <w:rFonts w:asciiTheme="minorBidi" w:hAnsiTheme="minorBidi"/>
          <w:rtl/>
        </w:rPr>
        <w:footnoteReference w:id="820"/>
      </w:r>
      <w:r w:rsidRPr="003024E5">
        <w:rPr>
          <w:rFonts w:asciiTheme="minorBidi" w:hAnsiTheme="minorBidi"/>
          <w:rtl/>
        </w:rPr>
        <w:t xml:space="preserve">. </w:t>
      </w:r>
    </w:p>
    <w:p w14:paraId="6A8A75A2" w14:textId="77777777" w:rsidR="002C39F4" w:rsidRPr="003024E5" w:rsidRDefault="002C39F4" w:rsidP="002C39F4">
      <w:pPr>
        <w:pStyle w:val="a8"/>
        <w:numPr>
          <w:ilvl w:val="0"/>
          <w:numId w:val="72"/>
        </w:numPr>
        <w:rPr>
          <w:rFonts w:asciiTheme="minorBidi" w:hAnsiTheme="minorBidi"/>
          <w:rtl/>
        </w:rPr>
      </w:pPr>
      <w:r w:rsidRPr="003024E5">
        <w:rPr>
          <w:rFonts w:asciiTheme="minorBidi" w:hAnsiTheme="minorBidi"/>
          <w:rtl/>
        </w:rPr>
        <w:t>שבה"ל וטור</w:t>
      </w:r>
      <w:r w:rsidRPr="003024E5">
        <w:rPr>
          <w:rFonts w:asciiTheme="minorBidi" w:hAnsiTheme="minorBidi"/>
          <w:sz w:val="16"/>
          <w:szCs w:val="16"/>
          <w:rtl/>
        </w:rPr>
        <w:t xml:space="preserve"> (כן הבין הב"י מדבריו)</w:t>
      </w:r>
      <w:r w:rsidRPr="003024E5">
        <w:rPr>
          <w:rFonts w:asciiTheme="minorBidi" w:hAnsiTheme="minorBidi"/>
          <w:rtl/>
        </w:rPr>
        <w:t>- בכל גוונא שרי</w:t>
      </w:r>
      <w:r w:rsidRPr="003024E5">
        <w:rPr>
          <w:rStyle w:val="a7"/>
          <w:rFonts w:asciiTheme="minorBidi" w:hAnsiTheme="minorBidi"/>
          <w:rtl/>
        </w:rPr>
        <w:footnoteReference w:id="821"/>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5CCFC79A" w14:textId="77777777" w:rsidR="002C39F4" w:rsidRPr="003024E5" w:rsidRDefault="002C39F4" w:rsidP="002C39F4">
      <w:pPr>
        <w:rPr>
          <w:rFonts w:asciiTheme="minorBidi" w:hAnsiTheme="minorBidi"/>
          <w:u w:val="single"/>
          <w:rtl/>
        </w:rPr>
      </w:pPr>
      <w:r w:rsidRPr="003024E5">
        <w:rPr>
          <w:rFonts w:asciiTheme="minorBidi" w:hAnsiTheme="minorBidi"/>
          <w:u w:val="single"/>
          <w:rtl/>
        </w:rPr>
        <w:t>מהי טפיל</w:t>
      </w:r>
      <w:r>
        <w:rPr>
          <w:rFonts w:asciiTheme="minorBidi" w:hAnsiTheme="minorBidi" w:hint="cs"/>
          <w:u w:val="single"/>
          <w:rtl/>
        </w:rPr>
        <w:t>ה</w:t>
      </w:r>
      <w:r w:rsidRPr="003024E5">
        <w:rPr>
          <w:rFonts w:asciiTheme="minorBidi" w:hAnsiTheme="minorBidi"/>
          <w:u w:val="single"/>
          <w:rtl/>
        </w:rPr>
        <w:t xml:space="preserve"> זו</w:t>
      </w:r>
      <w:r>
        <w:rPr>
          <w:rFonts w:asciiTheme="minorBidi" w:hAnsiTheme="minorBidi" w:hint="cs"/>
          <w:u w:val="single"/>
          <w:rtl/>
        </w:rPr>
        <w:t xml:space="preserve"> שטופלים בה את הבשר</w:t>
      </w:r>
      <w:r w:rsidRPr="003024E5">
        <w:rPr>
          <w:rFonts w:asciiTheme="minorBidi" w:hAnsiTheme="minorBidi"/>
          <w:u w:val="single"/>
          <w:rtl/>
        </w:rPr>
        <w:t>:</w:t>
      </w:r>
    </w:p>
    <w:p w14:paraId="2A295389" w14:textId="77777777" w:rsidR="002C39F4" w:rsidRPr="003024E5" w:rsidRDefault="002C39F4" w:rsidP="002C39F4">
      <w:pPr>
        <w:pStyle w:val="a8"/>
        <w:numPr>
          <w:ilvl w:val="0"/>
          <w:numId w:val="73"/>
        </w:numPr>
        <w:rPr>
          <w:rFonts w:asciiTheme="minorBidi" w:hAnsiTheme="minorBidi"/>
        </w:rPr>
      </w:pPr>
      <w:r w:rsidRPr="003024E5">
        <w:rPr>
          <w:rFonts w:asciiTheme="minorBidi" w:hAnsiTheme="minorBidi"/>
          <w:rtl/>
        </w:rPr>
        <w:t>רש"י- עיסה שקורין פשטיד"א</w:t>
      </w:r>
      <w:r w:rsidRPr="003024E5">
        <w:rPr>
          <w:rStyle w:val="a7"/>
          <w:rFonts w:asciiTheme="minorBidi" w:hAnsiTheme="minorBidi"/>
          <w:rtl/>
        </w:rPr>
        <w:footnoteReference w:id="822"/>
      </w:r>
      <w:r w:rsidRPr="003024E5">
        <w:rPr>
          <w:rFonts w:asciiTheme="minorBidi" w:hAnsiTheme="minorBidi"/>
          <w:rtl/>
        </w:rPr>
        <w:t xml:space="preserve">. </w:t>
      </w:r>
    </w:p>
    <w:p w14:paraId="0E767A86" w14:textId="77777777" w:rsidR="002C39F4" w:rsidRPr="003024E5" w:rsidRDefault="002C39F4" w:rsidP="002C39F4">
      <w:pPr>
        <w:pStyle w:val="a8"/>
        <w:numPr>
          <w:ilvl w:val="0"/>
          <w:numId w:val="73"/>
        </w:numPr>
        <w:rPr>
          <w:rFonts w:asciiTheme="minorBidi" w:hAnsiTheme="minorBidi"/>
        </w:rPr>
      </w:pPr>
      <w:r w:rsidRPr="003024E5">
        <w:rPr>
          <w:rFonts w:asciiTheme="minorBidi" w:hAnsiTheme="minorBidi"/>
          <w:rtl/>
        </w:rPr>
        <w:t>ר"ת וריב"א</w:t>
      </w:r>
      <w:r w:rsidRPr="003024E5">
        <w:rPr>
          <w:rFonts w:asciiTheme="minorBidi" w:hAnsiTheme="minorBidi"/>
          <w:sz w:val="16"/>
          <w:szCs w:val="16"/>
          <w:rtl/>
        </w:rPr>
        <w:t xml:space="preserve"> (הביאם התוס' [ד"ה טפלו ליה])</w:t>
      </w:r>
      <w:r w:rsidRPr="003024E5">
        <w:rPr>
          <w:rFonts w:asciiTheme="minorBidi" w:hAnsiTheme="minorBidi"/>
          <w:rtl/>
        </w:rPr>
        <w:t xml:space="preserve">- </w:t>
      </w:r>
      <w:r w:rsidRPr="003024E5">
        <w:rPr>
          <w:rStyle w:val="a7"/>
          <w:rFonts w:asciiTheme="minorBidi" w:hAnsiTheme="minorBidi"/>
          <w:rtl/>
        </w:rPr>
        <w:footnoteReference w:id="823"/>
      </w:r>
      <w:r w:rsidRPr="003024E5">
        <w:rPr>
          <w:rFonts w:asciiTheme="minorBidi" w:hAnsiTheme="minorBidi"/>
          <w:rtl/>
        </w:rPr>
        <w:t>עיסה שבלילתה רכה</w:t>
      </w:r>
      <w:r w:rsidRPr="003024E5">
        <w:rPr>
          <w:rStyle w:val="a7"/>
          <w:rFonts w:asciiTheme="minorBidi" w:hAnsiTheme="minorBidi"/>
          <w:rtl/>
        </w:rPr>
        <w:footnoteReference w:id="824"/>
      </w:r>
      <w:r w:rsidRPr="003024E5">
        <w:rPr>
          <w:rFonts w:asciiTheme="minorBidi" w:hAnsiTheme="minorBidi"/>
          <w:rtl/>
        </w:rPr>
        <w:t>.</w:t>
      </w:r>
    </w:p>
    <w:p w14:paraId="724732A7" w14:textId="77777777" w:rsidR="002C39F4" w:rsidRPr="003024E5" w:rsidRDefault="002C39F4" w:rsidP="002C39F4">
      <w:pPr>
        <w:rPr>
          <w:rFonts w:asciiTheme="minorBidi" w:hAnsiTheme="minorBidi"/>
          <w:u w:val="single"/>
          <w:rtl/>
        </w:rPr>
      </w:pPr>
      <w:r w:rsidRPr="003024E5">
        <w:rPr>
          <w:rFonts w:asciiTheme="minorBidi" w:hAnsiTheme="minorBidi"/>
          <w:u w:val="single"/>
          <w:rtl/>
        </w:rPr>
        <w:t>צליית בשר שלא נמלח שטחו פניו שומן או ביצים וכדו':</w:t>
      </w:r>
      <w:r w:rsidRPr="003024E5">
        <w:rPr>
          <w:rFonts w:asciiTheme="minorBidi" w:hAnsiTheme="minorBidi"/>
          <w:rtl/>
        </w:rPr>
        <w:t xml:space="preserve">   </w:t>
      </w:r>
      <w:r w:rsidRPr="003024E5">
        <w:rPr>
          <w:rFonts w:asciiTheme="minorBidi" w:hAnsiTheme="minorBidi"/>
          <w:sz w:val="16"/>
          <w:szCs w:val="16"/>
          <w:rtl/>
        </w:rPr>
        <w:t xml:space="preserve">(דרכ"מ אות ב) </w:t>
      </w:r>
      <w:r w:rsidRPr="003024E5">
        <w:rPr>
          <w:rFonts w:asciiTheme="minorBidi" w:hAnsiTheme="minorBidi"/>
          <w:rtl/>
        </w:rPr>
        <w:t xml:space="preserve"> </w:t>
      </w:r>
    </w:p>
    <w:p w14:paraId="306F37EA" w14:textId="77777777" w:rsidR="002C39F4" w:rsidRPr="003024E5" w:rsidRDefault="002C39F4" w:rsidP="002C39F4">
      <w:pPr>
        <w:pStyle w:val="a8"/>
        <w:numPr>
          <w:ilvl w:val="0"/>
          <w:numId w:val="73"/>
        </w:numPr>
        <w:rPr>
          <w:rFonts w:asciiTheme="minorBidi" w:hAnsiTheme="minorBidi"/>
          <w:rtl/>
        </w:rPr>
      </w:pPr>
      <w:r>
        <w:rPr>
          <w:rFonts w:asciiTheme="minorBidi" w:hAnsiTheme="minorBidi"/>
          <w:rtl/>
        </w:rPr>
        <w:t>או"ה</w:t>
      </w:r>
      <w:r w:rsidRPr="003024E5">
        <w:rPr>
          <w:rFonts w:asciiTheme="minorBidi" w:hAnsiTheme="minorBidi"/>
          <w:sz w:val="16"/>
          <w:szCs w:val="16"/>
          <w:rtl/>
        </w:rPr>
        <w:t xml:space="preserve"> (כלל ט ד"ב)</w:t>
      </w:r>
      <w:r w:rsidRPr="003024E5">
        <w:rPr>
          <w:rFonts w:asciiTheme="minorBidi" w:hAnsiTheme="minorBidi"/>
          <w:rtl/>
        </w:rPr>
        <w:t xml:space="preserve">- </w:t>
      </w:r>
      <w:r w:rsidRPr="00E0035B">
        <w:rPr>
          <w:rFonts w:asciiTheme="minorBidi" w:hAnsiTheme="minorBidi" w:cs="Arial"/>
          <w:rtl/>
        </w:rPr>
        <w:t xml:space="preserve">יש ליזהר שלא לטוח בבצק שום בשר לצלי שלא </w:t>
      </w:r>
      <w:r>
        <w:rPr>
          <w:rFonts w:asciiTheme="minorBidi" w:hAnsiTheme="minorBidi" w:cs="Arial" w:hint="cs"/>
          <w:rtl/>
        </w:rPr>
        <w:t xml:space="preserve">נמלח... </w:t>
      </w:r>
      <w:r w:rsidRPr="00E0035B">
        <w:rPr>
          <w:rFonts w:asciiTheme="minorBidi" w:hAnsiTheme="minorBidi" w:cs="Arial"/>
          <w:rtl/>
        </w:rPr>
        <w:t>אבל אם רק משחו בשומן אווזות או ביצים</w:t>
      </w:r>
      <w:r>
        <w:rPr>
          <w:rStyle w:val="a7"/>
          <w:rFonts w:asciiTheme="minorBidi" w:hAnsiTheme="minorBidi" w:cs="Arial"/>
          <w:rtl/>
        </w:rPr>
        <w:footnoteReference w:id="825"/>
      </w:r>
      <w:r w:rsidRPr="00E0035B">
        <w:rPr>
          <w:rFonts w:asciiTheme="minorBidi" w:hAnsiTheme="minorBidi" w:cs="Arial"/>
          <w:rtl/>
        </w:rPr>
        <w:t xml:space="preserve"> מתובלות וכה"ג אפי' קודם שנצלה כמאכל ב"ד מותר בדיעבד</w:t>
      </w:r>
      <w:r w:rsidRPr="003024E5">
        <w:rPr>
          <w:rFonts w:asciiTheme="minorBidi" w:hAnsiTheme="minorBidi"/>
          <w:rtl/>
        </w:rPr>
        <w:t>.</w:t>
      </w:r>
      <w:r w:rsidRPr="003024E5">
        <w:rPr>
          <w:rFonts w:asciiTheme="minorBidi" w:hAnsiTheme="minorBidi"/>
          <w:color w:val="00B0F0"/>
          <w:rtl/>
        </w:rPr>
        <w:t xml:space="preserve"> (וכ"פ הרמ"א)</w:t>
      </w:r>
    </w:p>
    <w:p w14:paraId="35C0E09A" w14:textId="77777777" w:rsidR="002C39F4" w:rsidRPr="003024E5" w:rsidRDefault="002C39F4" w:rsidP="002C39F4">
      <w:pPr>
        <w:rPr>
          <w:rFonts w:asciiTheme="minorBidi" w:hAnsiTheme="minorBidi"/>
          <w:sz w:val="16"/>
          <w:szCs w:val="16"/>
          <w:u w:val="single"/>
          <w:rtl/>
        </w:rPr>
      </w:pPr>
      <w:r w:rsidRPr="003024E5">
        <w:rPr>
          <w:rFonts w:asciiTheme="minorBidi" w:hAnsiTheme="minorBidi"/>
          <w:u w:val="single"/>
          <w:rtl/>
        </w:rPr>
        <w:t xml:space="preserve">בשר שנמצא בתוך פשטידה </w:t>
      </w:r>
      <w:r w:rsidRPr="003024E5">
        <w:rPr>
          <w:rFonts w:asciiTheme="minorBidi" w:hAnsiTheme="minorBidi"/>
          <w:sz w:val="16"/>
          <w:szCs w:val="16"/>
          <w:u w:val="single"/>
          <w:rtl/>
        </w:rPr>
        <w:t>(פשטידה ממש ולא עוף עטוף כדלעיל)</w:t>
      </w:r>
      <w:r>
        <w:rPr>
          <w:rFonts w:asciiTheme="minorBidi" w:hAnsiTheme="minorBidi" w:hint="cs"/>
          <w:u w:val="single"/>
          <w:rtl/>
        </w:rPr>
        <w:t xml:space="preserve"> </w:t>
      </w:r>
      <w:r w:rsidRPr="003024E5">
        <w:rPr>
          <w:rFonts w:asciiTheme="minorBidi" w:hAnsiTheme="minorBidi"/>
          <w:u w:val="single"/>
          <w:rtl/>
        </w:rPr>
        <w:t>- מה נאסר:</w:t>
      </w:r>
      <w:r w:rsidRPr="003024E5">
        <w:rPr>
          <w:rFonts w:asciiTheme="minorBidi" w:hAnsiTheme="minorBidi"/>
          <w:sz w:val="16"/>
          <w:szCs w:val="16"/>
          <w:rtl/>
        </w:rPr>
        <w:t xml:space="preserve">   (ב"י ודרכ"מ [אות א])</w:t>
      </w:r>
    </w:p>
    <w:p w14:paraId="4375508F" w14:textId="77777777" w:rsidR="002C39F4" w:rsidRPr="003024E5" w:rsidRDefault="002C39F4" w:rsidP="002C39F4">
      <w:pPr>
        <w:pStyle w:val="a8"/>
        <w:numPr>
          <w:ilvl w:val="0"/>
          <w:numId w:val="73"/>
        </w:numPr>
        <w:rPr>
          <w:rFonts w:asciiTheme="minorBidi" w:hAnsiTheme="minorBidi"/>
        </w:rPr>
      </w:pPr>
      <w:r w:rsidRPr="003024E5">
        <w:rPr>
          <w:rFonts w:asciiTheme="minorBidi" w:hAnsiTheme="minorBidi"/>
          <w:rtl/>
        </w:rPr>
        <w:t xml:space="preserve">גאונים ורמב"ם </w:t>
      </w:r>
      <w:r w:rsidRPr="003024E5">
        <w:rPr>
          <w:rFonts w:asciiTheme="minorBidi" w:hAnsiTheme="minorBidi"/>
          <w:sz w:val="16"/>
          <w:szCs w:val="16"/>
          <w:rtl/>
        </w:rPr>
        <w:t>(להב' הב"י)</w:t>
      </w:r>
      <w:r w:rsidRPr="003024E5">
        <w:rPr>
          <w:rFonts w:asciiTheme="minorBidi" w:hAnsiTheme="minorBidi"/>
          <w:rtl/>
        </w:rPr>
        <w:t xml:space="preserve">- העוף נאסר אע"פ שהוא מלוח ומוכשר לקדרה. </w:t>
      </w:r>
    </w:p>
    <w:p w14:paraId="06A044E9" w14:textId="77777777" w:rsidR="002C39F4" w:rsidRPr="003024E5" w:rsidRDefault="002C39F4" w:rsidP="002C39F4">
      <w:pPr>
        <w:pStyle w:val="a8"/>
        <w:numPr>
          <w:ilvl w:val="0"/>
          <w:numId w:val="73"/>
        </w:numPr>
        <w:rPr>
          <w:rFonts w:asciiTheme="minorBidi" w:hAnsiTheme="minorBidi"/>
        </w:rPr>
      </w:pPr>
      <w:r w:rsidRPr="003024E5">
        <w:rPr>
          <w:rFonts w:asciiTheme="minorBidi" w:hAnsiTheme="minorBidi"/>
          <w:rtl/>
        </w:rPr>
        <w:t>כל הפוסקים</w:t>
      </w:r>
      <w:r w:rsidRPr="003024E5">
        <w:rPr>
          <w:rFonts w:asciiTheme="minorBidi" w:hAnsiTheme="minorBidi"/>
          <w:sz w:val="16"/>
          <w:szCs w:val="16"/>
          <w:rtl/>
        </w:rPr>
        <w:t xml:space="preserve"> (להב' הב"י)</w:t>
      </w:r>
      <w:r w:rsidRPr="003024E5">
        <w:rPr>
          <w:rFonts w:asciiTheme="minorBidi" w:hAnsiTheme="minorBidi"/>
          <w:rtl/>
        </w:rPr>
        <w:t>- אם העוף לא נמלח אסור כדין בשר שנתבשל בלא מליחה, ואפילו יש ששים כנגדו, דלא מהני ששים אלא בדבר שיש בו רוטב</w:t>
      </w:r>
      <w:r w:rsidRPr="003024E5">
        <w:rPr>
          <w:rStyle w:val="a7"/>
          <w:rFonts w:asciiTheme="minorBidi" w:hAnsiTheme="minorBidi"/>
          <w:rtl/>
        </w:rPr>
        <w:footnoteReference w:id="826"/>
      </w:r>
      <w:r w:rsidRPr="003024E5">
        <w:rPr>
          <w:rFonts w:asciiTheme="minorBidi" w:hAnsiTheme="minorBidi"/>
          <w:rtl/>
        </w:rPr>
        <w:t>.</w:t>
      </w:r>
    </w:p>
    <w:p w14:paraId="4D8052A5" w14:textId="77777777" w:rsidR="002C39F4" w:rsidRPr="003024E5" w:rsidRDefault="002C39F4" w:rsidP="002C39F4">
      <w:pPr>
        <w:pStyle w:val="a8"/>
        <w:numPr>
          <w:ilvl w:val="0"/>
          <w:numId w:val="73"/>
        </w:numPr>
        <w:rPr>
          <w:rFonts w:asciiTheme="minorBidi" w:hAnsiTheme="minorBidi"/>
          <w:rtl/>
        </w:rPr>
      </w:pPr>
      <w:r>
        <w:rPr>
          <w:rFonts w:asciiTheme="minorBidi" w:hAnsiTheme="minorBidi"/>
          <w:rtl/>
        </w:rPr>
        <w:t>או"ה</w:t>
      </w:r>
      <w:r w:rsidRPr="003024E5">
        <w:rPr>
          <w:rFonts w:asciiTheme="minorBidi" w:hAnsiTheme="minorBidi"/>
          <w:rtl/>
        </w:rPr>
        <w:t xml:space="preserve"> ומהרא"י</w:t>
      </w:r>
      <w:r w:rsidRPr="003024E5">
        <w:rPr>
          <w:rStyle w:val="a7"/>
          <w:rFonts w:asciiTheme="minorBidi" w:hAnsiTheme="minorBidi"/>
          <w:rtl/>
        </w:rPr>
        <w:footnoteReference w:id="827"/>
      </w:r>
      <w:r w:rsidRPr="003024E5">
        <w:rPr>
          <w:rFonts w:asciiTheme="minorBidi" w:hAnsiTheme="minorBidi"/>
          <w:rtl/>
        </w:rPr>
        <w:t>- אם נמצא לב או כבד בפשטיד"א משערינן בששים וזורק אותה חתיכה והשאר מותר</w:t>
      </w:r>
      <w:r w:rsidRPr="003024E5">
        <w:rPr>
          <w:rFonts w:asciiTheme="minorBidi" w:hAnsiTheme="minorBidi"/>
          <w:sz w:val="16"/>
          <w:szCs w:val="16"/>
          <w:rtl/>
        </w:rPr>
        <w:t xml:space="preserve"> (מהרא"י)</w:t>
      </w:r>
      <w:r w:rsidRPr="003024E5">
        <w:rPr>
          <w:rStyle w:val="a7"/>
          <w:rFonts w:asciiTheme="minorBidi" w:hAnsiTheme="minorBidi"/>
          <w:rtl/>
        </w:rPr>
        <w:footnoteReference w:id="828"/>
      </w:r>
      <w:r w:rsidRPr="003024E5">
        <w:rPr>
          <w:rFonts w:asciiTheme="minorBidi" w:hAnsiTheme="minorBidi"/>
          <w:rtl/>
        </w:rPr>
        <w:t>, דפשטיד"א יש לו כל דין קדרה בין לקולא</w:t>
      </w:r>
      <w:r w:rsidRPr="003024E5">
        <w:rPr>
          <w:rStyle w:val="a7"/>
          <w:rFonts w:asciiTheme="minorBidi" w:hAnsiTheme="minorBidi"/>
          <w:rtl/>
        </w:rPr>
        <w:footnoteReference w:id="829"/>
      </w:r>
      <w:r w:rsidRPr="003024E5">
        <w:rPr>
          <w:rFonts w:asciiTheme="minorBidi" w:hAnsiTheme="minorBidi"/>
          <w:rtl/>
        </w:rPr>
        <w:t xml:space="preserve"> בין לחומרא</w:t>
      </w:r>
      <w:r w:rsidRPr="003024E5">
        <w:rPr>
          <w:rFonts w:asciiTheme="minorBidi" w:hAnsiTheme="minorBidi"/>
          <w:sz w:val="16"/>
          <w:szCs w:val="16"/>
          <w:rtl/>
        </w:rPr>
        <w:t xml:space="preserve"> (או"ה)</w:t>
      </w:r>
      <w:r w:rsidRPr="003024E5">
        <w:rPr>
          <w:rFonts w:asciiTheme="minorBidi" w:hAnsiTheme="minorBidi"/>
          <w:rtl/>
        </w:rPr>
        <w:t>.</w:t>
      </w:r>
      <w:r w:rsidRPr="003024E5">
        <w:rPr>
          <w:rFonts w:asciiTheme="minorBidi" w:hAnsiTheme="minorBidi"/>
          <w:color w:val="00B0F0"/>
          <w:rtl/>
        </w:rPr>
        <w:t xml:space="preserve"> (וכ"פ הרמ"א)</w:t>
      </w:r>
    </w:p>
    <w:p w14:paraId="4EEF600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043CF73" w14:textId="77777777" w:rsidR="002C39F4" w:rsidRPr="003024E5" w:rsidRDefault="002C39F4" w:rsidP="002C39F4">
      <w:pPr>
        <w:rPr>
          <w:rFonts w:asciiTheme="minorBidi" w:hAnsiTheme="minorBidi"/>
          <w:rtl/>
        </w:rPr>
      </w:pPr>
      <w:r w:rsidRPr="003024E5">
        <w:rPr>
          <w:rFonts w:asciiTheme="minorBidi" w:hAnsiTheme="minorBidi"/>
          <w:rtl/>
        </w:rPr>
        <w:t>הטופל</w:t>
      </w:r>
      <w:r w:rsidRPr="003024E5">
        <w:rPr>
          <w:rStyle w:val="a7"/>
          <w:rFonts w:asciiTheme="minorBidi" w:hAnsiTheme="minorBidi"/>
          <w:rtl/>
        </w:rPr>
        <w:footnoteReference w:id="830"/>
      </w:r>
      <w:r w:rsidRPr="003024E5">
        <w:rPr>
          <w:rFonts w:asciiTheme="minorBidi" w:hAnsiTheme="minorBidi"/>
          <w:rtl/>
        </w:rPr>
        <w:t xml:space="preserve"> בצק בעוף שלא נמלח, אף על גב דבגמרא מפליג בין סמידא לשאר קימחי ובין אסמיק ללא אסמיק, אנן השתא לא בקיאין במלתא, ובכל גוונא יש לאסור, אבל אם נמלח ושהה כדי מליחה ואחר כך הודח מותר בכל גוונא. </w:t>
      </w:r>
      <w:r w:rsidRPr="003024E5">
        <w:rPr>
          <w:rFonts w:asciiTheme="minorBidi" w:hAnsiTheme="minorBidi"/>
          <w:sz w:val="18"/>
          <w:szCs w:val="18"/>
          <w:rtl/>
        </w:rPr>
        <w:t>הגה: ודוקא לטפל בבצק אסור, אבל מותר</w:t>
      </w:r>
      <w:r>
        <w:rPr>
          <w:rStyle w:val="a7"/>
          <w:rFonts w:asciiTheme="minorBidi" w:hAnsiTheme="minorBidi"/>
          <w:sz w:val="18"/>
          <w:szCs w:val="18"/>
          <w:rtl/>
        </w:rPr>
        <w:footnoteReference w:id="831"/>
      </w:r>
      <w:r>
        <w:rPr>
          <w:rFonts w:asciiTheme="minorBidi" w:hAnsiTheme="minorBidi" w:hint="cs"/>
          <w:sz w:val="18"/>
          <w:szCs w:val="18"/>
          <w:rtl/>
        </w:rPr>
        <w:t xml:space="preserve"> </w:t>
      </w:r>
      <w:r w:rsidRPr="003024E5">
        <w:rPr>
          <w:rFonts w:asciiTheme="minorBidi" w:hAnsiTheme="minorBidi"/>
          <w:sz w:val="18"/>
          <w:szCs w:val="18"/>
          <w:rtl/>
        </w:rPr>
        <w:t>למשוח בש</w:t>
      </w:r>
      <w:r>
        <w:rPr>
          <w:rFonts w:asciiTheme="minorBidi" w:hAnsiTheme="minorBidi" w:hint="cs"/>
          <w:sz w:val="18"/>
          <w:szCs w:val="18"/>
          <w:rtl/>
        </w:rPr>
        <w:t>ו</w:t>
      </w:r>
      <w:r w:rsidRPr="003024E5">
        <w:rPr>
          <w:rFonts w:asciiTheme="minorBidi" w:hAnsiTheme="minorBidi"/>
          <w:sz w:val="18"/>
          <w:szCs w:val="18"/>
          <w:rtl/>
        </w:rPr>
        <w:t>מן או בציר</w:t>
      </w:r>
      <w:r w:rsidRPr="003024E5">
        <w:rPr>
          <w:rStyle w:val="a7"/>
          <w:rFonts w:asciiTheme="minorBidi" w:hAnsiTheme="minorBidi"/>
          <w:sz w:val="18"/>
          <w:szCs w:val="18"/>
          <w:rtl/>
        </w:rPr>
        <w:footnoteReference w:id="832"/>
      </w:r>
      <w:r w:rsidRPr="003024E5">
        <w:rPr>
          <w:rFonts w:asciiTheme="minorBidi" w:hAnsiTheme="minorBidi"/>
          <w:sz w:val="18"/>
          <w:szCs w:val="18"/>
          <w:rtl/>
        </w:rPr>
        <w:t xml:space="preserve"> בשר שלא נמלח, דאין זה מעכב הפליטה (ארוך כלל ט'). ופשטיד"א יש לו כל דין בישול בקדירה בין לקולא בין לחומרא</w:t>
      </w:r>
      <w:r w:rsidRPr="003024E5">
        <w:rPr>
          <w:rStyle w:val="a7"/>
          <w:rFonts w:asciiTheme="minorBidi" w:hAnsiTheme="minorBidi"/>
          <w:sz w:val="18"/>
          <w:szCs w:val="18"/>
          <w:rtl/>
        </w:rPr>
        <w:footnoteReference w:id="833"/>
      </w:r>
      <w:r w:rsidRPr="003024E5">
        <w:rPr>
          <w:rFonts w:asciiTheme="minorBidi" w:hAnsiTheme="minorBidi"/>
          <w:sz w:val="18"/>
          <w:szCs w:val="18"/>
          <w:rtl/>
        </w:rPr>
        <w:t xml:space="preserve"> (מרדכי בשם רש"י ומהרא"י וארוך כלל ט"ו).</w:t>
      </w:r>
    </w:p>
    <w:p w14:paraId="547A3FA0" w14:textId="77777777" w:rsidR="002C39F4" w:rsidRPr="003024E5" w:rsidRDefault="002C39F4" w:rsidP="002C39F4">
      <w:pPr>
        <w:rPr>
          <w:rFonts w:asciiTheme="minorBidi" w:hAnsiTheme="minorBidi"/>
          <w:rtl/>
        </w:rPr>
      </w:pPr>
    </w:p>
    <w:p w14:paraId="70E7B696" w14:textId="77777777" w:rsidR="002C39F4" w:rsidRDefault="002C39F4" w:rsidP="002C39F4">
      <w:pPr>
        <w:rPr>
          <w:rFonts w:asciiTheme="minorBidi" w:hAnsiTheme="minorBidi"/>
          <w:rtl/>
        </w:rPr>
      </w:pPr>
    </w:p>
    <w:p w14:paraId="0454940E" w14:textId="77777777" w:rsidR="002C39F4" w:rsidRDefault="002C39F4" w:rsidP="002C39F4">
      <w:pPr>
        <w:rPr>
          <w:rFonts w:asciiTheme="minorBidi" w:hAnsiTheme="minorBidi"/>
          <w:rtl/>
        </w:rPr>
      </w:pPr>
    </w:p>
    <w:p w14:paraId="3BC07E6E" w14:textId="77777777" w:rsidR="002C39F4" w:rsidRDefault="002C39F4" w:rsidP="002C39F4">
      <w:pPr>
        <w:rPr>
          <w:rFonts w:asciiTheme="minorBidi" w:hAnsiTheme="minorBidi"/>
          <w:rtl/>
        </w:rPr>
      </w:pPr>
    </w:p>
    <w:p w14:paraId="62BF1548" w14:textId="77777777" w:rsidR="002C39F4" w:rsidRPr="003024E5" w:rsidRDefault="002C39F4" w:rsidP="002C39F4">
      <w:pPr>
        <w:rPr>
          <w:rFonts w:asciiTheme="minorBidi" w:hAnsiTheme="minorBidi"/>
          <w:rtl/>
        </w:rPr>
      </w:pPr>
    </w:p>
    <w:p w14:paraId="57A04465" w14:textId="77777777" w:rsidR="002C39F4" w:rsidRPr="003024E5" w:rsidRDefault="002C39F4" w:rsidP="002C39F4">
      <w:pPr>
        <w:rPr>
          <w:rFonts w:asciiTheme="minorBidi" w:hAnsiTheme="minorBidi"/>
          <w:rtl/>
        </w:rPr>
      </w:pPr>
    </w:p>
    <w:p w14:paraId="3A6CBD58" w14:textId="77777777" w:rsidR="002C39F4" w:rsidRPr="003024E5" w:rsidRDefault="002C39F4" w:rsidP="002C39F4">
      <w:pPr>
        <w:rPr>
          <w:rFonts w:asciiTheme="minorBidi" w:hAnsiTheme="minorBidi"/>
          <w:rtl/>
        </w:rPr>
      </w:pPr>
    </w:p>
    <w:p w14:paraId="78A8ACF6" w14:textId="77777777" w:rsidR="002C39F4" w:rsidRDefault="002C39F4" w:rsidP="002C39F4">
      <w:pPr>
        <w:rPr>
          <w:rFonts w:asciiTheme="minorBidi" w:hAnsiTheme="minorBidi"/>
          <w:b/>
          <w:bCs/>
          <w:sz w:val="36"/>
          <w:szCs w:val="36"/>
          <w:u w:val="single"/>
          <w:rtl/>
        </w:rPr>
        <w:sectPr w:rsidR="002C39F4" w:rsidSect="004C5A3C">
          <w:footnotePr>
            <w:numRestart w:val="eachPage"/>
          </w:footnotePr>
          <w:pgSz w:w="11906" w:h="16838"/>
          <w:pgMar w:top="720" w:right="1134" w:bottom="720" w:left="1134" w:header="720" w:footer="0" w:gutter="0"/>
          <w:cols w:space="720"/>
          <w:bidi/>
          <w:rtlGutter/>
          <w:docGrid w:linePitch="360"/>
        </w:sectPr>
      </w:pPr>
    </w:p>
    <w:p w14:paraId="7A004AF5" w14:textId="77777777" w:rsidR="002C39F4" w:rsidRPr="002F16D2" w:rsidRDefault="002C39F4" w:rsidP="002C39F4">
      <w:pPr>
        <w:rPr>
          <w:rFonts w:asciiTheme="minorBidi" w:hAnsiTheme="minorBidi"/>
          <w:b/>
          <w:bCs/>
          <w:sz w:val="36"/>
          <w:szCs w:val="36"/>
          <w:u w:val="single"/>
          <w:rtl/>
        </w:rPr>
      </w:pPr>
      <w:r>
        <w:rPr>
          <w:rFonts w:asciiTheme="minorBidi" w:hAnsiTheme="minorBidi" w:hint="cs"/>
          <w:b/>
          <w:bCs/>
          <w:sz w:val="36"/>
          <w:szCs w:val="36"/>
          <w:u w:val="single"/>
          <w:rtl/>
        </w:rPr>
        <w:t>תולעים</w:t>
      </w:r>
      <w:r w:rsidRPr="00FD506B">
        <w:rPr>
          <w:rFonts w:asciiTheme="minorBidi" w:hAnsiTheme="minorBidi"/>
          <w:b/>
          <w:bCs/>
          <w:sz w:val="36"/>
          <w:szCs w:val="36"/>
          <w:u w:val="single"/>
          <w:rtl/>
        </w:rPr>
        <w:t>:</w:t>
      </w:r>
    </w:p>
    <w:p w14:paraId="784880ED"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פד: דין שרצים הנמצאים במים בפירות בקמח ובגבינה, ובו י"ז סעיפים. </w:t>
      </w:r>
    </w:p>
    <w:p w14:paraId="108701E8" w14:textId="77777777" w:rsidR="002C39F4" w:rsidRPr="003024E5" w:rsidRDefault="002C39F4" w:rsidP="002C39F4">
      <w:pPr>
        <w:pStyle w:val="2"/>
        <w:rPr>
          <w:rFonts w:asciiTheme="minorBidi" w:hAnsiTheme="minorBidi"/>
          <w:rtl/>
        </w:rPr>
      </w:pPr>
      <w:r w:rsidRPr="003024E5">
        <w:rPr>
          <w:rFonts w:asciiTheme="minorBidi" w:hAnsiTheme="minorBidi"/>
          <w:rtl/>
        </w:rPr>
        <w:t>סעיף א: שרצים הגדלים במים שבכלים בורות שיחין ומערות.</w:t>
      </w:r>
    </w:p>
    <w:p w14:paraId="2660D3DC" w14:textId="77777777" w:rsidR="002C39F4" w:rsidRPr="003024E5" w:rsidRDefault="002C39F4" w:rsidP="002C39F4">
      <w:pPr>
        <w:rPr>
          <w:rFonts w:asciiTheme="minorBidi" w:hAnsiTheme="minorBidi"/>
          <w:rtl/>
        </w:rPr>
      </w:pPr>
      <w:r w:rsidRPr="003024E5">
        <w:rPr>
          <w:rFonts w:asciiTheme="minorBidi" w:hAnsiTheme="minorBidi"/>
          <w:b/>
          <w:bCs/>
          <w:rtl/>
        </w:rPr>
        <w:t>ויקרא פרק יא: (ט)</w:t>
      </w:r>
      <w:r w:rsidRPr="003024E5">
        <w:rPr>
          <w:rFonts w:asciiTheme="minorBidi" w:hAnsiTheme="minorBidi"/>
          <w:rtl/>
        </w:rPr>
        <w:t xml:space="preserve"> אֶת־זֶה֙ תֹּֽאכְל֔וּ מִכֹּ֖ל אֲשֶׁ֣ר בַּמָּ֑יִם כֹּ֣ל אֲשֶׁר־לוֹ֩ סְנַפִּ֨יר וְקַשְׂקֶ֜שֶׂת בַּמַּ֗יִם בַּיַּמִּ֛ים וּבַנְּחָלִ֖ים אֹתָ֥ם תֹּאכֵֽלוּ: </w:t>
      </w:r>
      <w:r w:rsidRPr="003024E5">
        <w:rPr>
          <w:rFonts w:asciiTheme="minorBidi" w:hAnsiTheme="minorBidi"/>
          <w:b/>
          <w:bCs/>
          <w:rtl/>
        </w:rPr>
        <w:t>(י)</w:t>
      </w:r>
      <w:r w:rsidRPr="003024E5">
        <w:rPr>
          <w:rFonts w:asciiTheme="minorBidi" w:hAnsiTheme="minorBidi"/>
          <w:rtl/>
        </w:rPr>
        <w:t xml:space="preserve"> וְכֹל֩ אֲשֶׁ֨ר אֵֽין־ל֜וֹ סְנַפִּ֣יר וְקַשְׂקֶ֗שֶׂת בַּיַּמִּים֙ וּבַנְּחָלִ֔ים מִכֹּל֙ שֶׁ֣רֶץ הַמַּ֔יִם וּמִכֹּ֛ל נֶ֥פֶשׁ הַחַיָּ֖ה אֲשֶׁ֣ר בַּמָּ֑יִם שֶׁ֥קֶץ הֵ֖ם לָכֶֽם:</w:t>
      </w:r>
    </w:p>
    <w:p w14:paraId="6BAC69B3"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סו ע"ב: </w:t>
      </w:r>
      <w:r w:rsidRPr="003024E5">
        <w:rPr>
          <w:rFonts w:asciiTheme="minorBidi" w:hAnsiTheme="minorBidi"/>
          <w:rtl/>
        </w:rPr>
        <w:t xml:space="preserve">היכן התיר בכלים דכתיב את זה תאכלו מכל אשר במים וגו', בימים ובנחלים הוא דכי אית ליה </w:t>
      </w:r>
      <w:r>
        <w:rPr>
          <w:rFonts w:asciiTheme="minorBidi" w:hAnsiTheme="minorBidi"/>
          <w:rtl/>
        </w:rPr>
        <w:t>–</w:t>
      </w:r>
      <w:r>
        <w:rPr>
          <w:rFonts w:asciiTheme="minorBidi" w:hAnsiTheme="minorBidi" w:hint="cs"/>
          <w:rtl/>
        </w:rPr>
        <w:t xml:space="preserve"> </w:t>
      </w:r>
      <w:r w:rsidRPr="003024E5">
        <w:rPr>
          <w:rFonts w:asciiTheme="minorBidi" w:hAnsiTheme="minorBidi"/>
          <w:rtl/>
        </w:rPr>
        <w:t>אכול</w:t>
      </w:r>
      <w:r>
        <w:rPr>
          <w:rFonts w:asciiTheme="minorBidi" w:hAnsiTheme="minorBidi" w:hint="cs"/>
          <w:rtl/>
        </w:rPr>
        <w:t>,</w:t>
      </w:r>
      <w:r w:rsidRPr="003024E5">
        <w:rPr>
          <w:rFonts w:asciiTheme="minorBidi" w:hAnsiTheme="minorBidi"/>
          <w:rtl/>
        </w:rPr>
        <w:t xml:space="preserve"> דלית ליה </w:t>
      </w:r>
      <w:r>
        <w:rPr>
          <w:rFonts w:asciiTheme="minorBidi" w:hAnsiTheme="minorBidi" w:hint="cs"/>
          <w:rtl/>
        </w:rPr>
        <w:t xml:space="preserve">- </w:t>
      </w:r>
      <w:r w:rsidRPr="003024E5">
        <w:rPr>
          <w:rFonts w:asciiTheme="minorBidi" w:hAnsiTheme="minorBidi"/>
          <w:rtl/>
        </w:rPr>
        <w:t>לא תיכול, הא בכלים</w:t>
      </w:r>
      <w:r>
        <w:rPr>
          <w:rFonts w:asciiTheme="minorBidi" w:hAnsiTheme="minorBidi" w:hint="cs"/>
          <w:rtl/>
        </w:rPr>
        <w:t>,</w:t>
      </w:r>
      <w:r w:rsidRPr="003024E5">
        <w:rPr>
          <w:rFonts w:asciiTheme="minorBidi" w:hAnsiTheme="minorBidi"/>
          <w:rtl/>
        </w:rPr>
        <w:t xml:space="preserve"> אף על גב דלית ליה</w:t>
      </w:r>
      <w:r>
        <w:rPr>
          <w:rFonts w:asciiTheme="minorBidi" w:hAnsiTheme="minorBidi" w:hint="cs"/>
          <w:rtl/>
        </w:rPr>
        <w:t xml:space="preserve"> -</w:t>
      </w:r>
      <w:r w:rsidRPr="003024E5">
        <w:rPr>
          <w:rFonts w:asciiTheme="minorBidi" w:hAnsiTheme="minorBidi"/>
          <w:rtl/>
        </w:rPr>
        <w:t xml:space="preserve"> אכול... </w:t>
      </w:r>
      <w:r w:rsidRPr="004A517F">
        <w:rPr>
          <w:rFonts w:asciiTheme="minorBidi" w:hAnsiTheme="minorBidi"/>
          <w:sz w:val="14"/>
          <w:szCs w:val="14"/>
          <w:rtl/>
        </w:rPr>
        <w:t>(סז.)</w:t>
      </w:r>
      <w:r w:rsidRPr="003024E5">
        <w:rPr>
          <w:rFonts w:asciiTheme="minorBidi" w:hAnsiTheme="minorBidi"/>
          <w:rtl/>
        </w:rPr>
        <w:t xml:space="preserve"> במים - כלל, בימים ובנחלים - פרט, במים - חזר וכלל, כלל ופרט וכלל אי אתה דן אלא כעין הפרט, מה הפרט מפורש - מים נובעים, אף כל - מים נובעים, מאי רבי - חריצין</w:t>
      </w:r>
      <w:r w:rsidRPr="003024E5">
        <w:rPr>
          <w:rStyle w:val="a7"/>
          <w:rFonts w:asciiTheme="minorBidi" w:hAnsiTheme="minorBidi"/>
          <w:rtl/>
        </w:rPr>
        <w:footnoteReference w:id="834"/>
      </w:r>
      <w:r w:rsidRPr="003024E5">
        <w:rPr>
          <w:rFonts w:asciiTheme="minorBidi" w:hAnsiTheme="minorBidi"/>
          <w:rtl/>
        </w:rPr>
        <w:t xml:space="preserve"> ונעיצין</w:t>
      </w:r>
      <w:r w:rsidRPr="003024E5">
        <w:rPr>
          <w:rStyle w:val="a7"/>
          <w:rFonts w:asciiTheme="minorBidi" w:hAnsiTheme="minorBidi"/>
          <w:rtl/>
        </w:rPr>
        <w:footnoteReference w:id="835"/>
      </w:r>
      <w:r w:rsidRPr="003024E5">
        <w:rPr>
          <w:rFonts w:asciiTheme="minorBidi" w:hAnsiTheme="minorBidi"/>
          <w:rtl/>
        </w:rPr>
        <w:t xml:space="preserve"> לאיסורא, ומאי מיעט - בורות שיחין ומערות להתירא... </w:t>
      </w:r>
      <w:r w:rsidRPr="003024E5">
        <w:rPr>
          <w:rFonts w:asciiTheme="minorBidi" w:hAnsiTheme="minorBidi"/>
          <w:u w:val="single"/>
          <w:rtl/>
        </w:rPr>
        <w:t>דבי רבי ישמעאל תנא</w:t>
      </w:r>
      <w:r w:rsidRPr="003024E5">
        <w:rPr>
          <w:rFonts w:asciiTheme="minorBidi" w:hAnsiTheme="minorBidi"/>
          <w:rtl/>
        </w:rPr>
        <w:t xml:space="preserve">: במים במים שתי פעמים, אין זה כלל ופרט, אלא ריבה ומיעט; במים - ריבה, בימים ובנחלים - מיעט, במים - חזר וריבה; ריבה ומיעט וריבה - ריבה הכל, מאי רבי - חריצין ונעיצין לאיסורא, ומאי מיעט - בורות שיחין ומערות להתירא... ואיפוך אנא! כדתני מתתיה, </w:t>
      </w:r>
      <w:r w:rsidRPr="003024E5">
        <w:rPr>
          <w:rFonts w:asciiTheme="minorBidi" w:hAnsiTheme="minorBidi"/>
          <w:u w:val="single"/>
          <w:rtl/>
        </w:rPr>
        <w:t>דתני מתתיה בר יהודה</w:t>
      </w:r>
      <w:r w:rsidRPr="003024E5">
        <w:rPr>
          <w:rFonts w:asciiTheme="minorBidi" w:hAnsiTheme="minorBidi"/>
          <w:rtl/>
        </w:rPr>
        <w:t>: מאי ראית לרבות בורות שיחין ומערות להתירא, ולהוציא חריצין ונעיצין לאיסורא? מרבה אני בורות שיחין ומערות - שהן עצורים ככלים, ומוציא אני חריצין ונעיצין שאין עצורין ככלים.</w:t>
      </w:r>
    </w:p>
    <w:p w14:paraId="505FDC81" w14:textId="77777777" w:rsidR="002C39F4" w:rsidRPr="003024E5" w:rsidRDefault="002C39F4" w:rsidP="002C39F4">
      <w:pPr>
        <w:rPr>
          <w:rFonts w:asciiTheme="minorBidi" w:hAnsiTheme="minorBidi"/>
          <w:u w:val="single"/>
          <w:rtl/>
        </w:rPr>
      </w:pPr>
      <w:r>
        <w:rPr>
          <w:rFonts w:asciiTheme="minorBidi" w:hAnsiTheme="minorBidi" w:hint="cs"/>
          <w:u w:val="single"/>
          <w:rtl/>
        </w:rPr>
        <w:t>במאי פליגי ת"ק ותנא דבי רבי ישמעאל</w:t>
      </w:r>
      <w:r w:rsidRPr="003024E5">
        <w:rPr>
          <w:rFonts w:asciiTheme="minorBidi" w:hAnsiTheme="minorBidi"/>
          <w:u w:val="single"/>
          <w:rtl/>
        </w:rPr>
        <w:t xml:space="preserve"> גבי חריצין ונעיצין:</w:t>
      </w:r>
    </w:p>
    <w:p w14:paraId="089B3109" w14:textId="77777777" w:rsidR="002C39F4" w:rsidRPr="003024E5" w:rsidRDefault="002C39F4" w:rsidP="002C39F4">
      <w:pPr>
        <w:pStyle w:val="a8"/>
        <w:numPr>
          <w:ilvl w:val="0"/>
          <w:numId w:val="74"/>
        </w:numPr>
        <w:rPr>
          <w:rFonts w:asciiTheme="minorBidi" w:hAnsiTheme="minorBidi"/>
          <w:rtl/>
        </w:rPr>
      </w:pPr>
      <w:r w:rsidRPr="003024E5">
        <w:rPr>
          <w:rFonts w:asciiTheme="minorBidi" w:hAnsiTheme="minorBidi"/>
          <w:rtl/>
        </w:rPr>
        <w:t xml:space="preserve">רש"י </w:t>
      </w:r>
      <w:r w:rsidRPr="003024E5">
        <w:rPr>
          <w:rFonts w:asciiTheme="minorBidi" w:hAnsiTheme="minorBidi"/>
          <w:sz w:val="16"/>
          <w:szCs w:val="16"/>
          <w:rtl/>
        </w:rPr>
        <w:t>(ד"ה במים במים ב' פעמים, להב' הב"י)</w:t>
      </w:r>
      <w:r w:rsidRPr="003024E5">
        <w:rPr>
          <w:rFonts w:asciiTheme="minorBidi" w:hAnsiTheme="minorBidi"/>
          <w:rtl/>
        </w:rPr>
        <w:t xml:space="preserve">- ליכא פלוגתא בין ת"ק ובין תנא דבי רבי ישמעאל דלדברי הכל חריצין ונעיצין דאסרינן היינו דוקא בנובעין, אבל בשאינם נובעים שרו דלא דמו לימים ונחלים. </w:t>
      </w:r>
    </w:p>
    <w:p w14:paraId="44B4D686" w14:textId="77777777" w:rsidR="002C39F4" w:rsidRDefault="002C39F4" w:rsidP="002C39F4">
      <w:pPr>
        <w:pStyle w:val="a8"/>
        <w:numPr>
          <w:ilvl w:val="0"/>
          <w:numId w:val="74"/>
        </w:numPr>
        <w:rPr>
          <w:rFonts w:asciiTheme="minorBidi" w:hAnsiTheme="minorBidi"/>
        </w:rPr>
      </w:pPr>
      <w:r w:rsidRPr="003024E5">
        <w:rPr>
          <w:rFonts w:asciiTheme="minorBidi" w:hAnsiTheme="minorBidi"/>
          <w:rtl/>
        </w:rPr>
        <w:t xml:space="preserve">תוס' </w:t>
      </w:r>
      <w:r w:rsidRPr="003024E5">
        <w:rPr>
          <w:rFonts w:asciiTheme="minorBidi" w:hAnsiTheme="minorBidi"/>
          <w:sz w:val="16"/>
          <w:szCs w:val="16"/>
          <w:rtl/>
        </w:rPr>
        <w:t>(ד"ה במים)</w:t>
      </w:r>
      <w:r w:rsidRPr="003024E5">
        <w:rPr>
          <w:rFonts w:asciiTheme="minorBidi" w:hAnsiTheme="minorBidi"/>
          <w:rtl/>
        </w:rPr>
        <w:t xml:space="preserve">- </w:t>
      </w:r>
      <w:r w:rsidRPr="003024E5">
        <w:rPr>
          <w:rStyle w:val="a7"/>
          <w:rFonts w:asciiTheme="minorBidi" w:hAnsiTheme="minorBidi"/>
          <w:rtl/>
        </w:rPr>
        <w:footnoteReference w:id="836"/>
      </w:r>
      <w:r w:rsidRPr="003024E5">
        <w:rPr>
          <w:rFonts w:asciiTheme="minorBidi" w:hAnsiTheme="minorBidi"/>
          <w:rtl/>
        </w:rPr>
        <w:t xml:space="preserve">הנך חריצין ונעיצין דהכא איירי באין נובעין, ולהכי פריך- כיון דאין נובעין מה לי בורות שיחין ומערות מה לי חריצין ונעיצין, ומשני- דחריצין ונעיצין אע"ג דאין נובעים דמו טפי לימים ונחלים שאינם עצורים ככלים, והשתא למאן דדריש בריבה ומיעט </w:t>
      </w:r>
      <w:r w:rsidRPr="003024E5">
        <w:rPr>
          <w:rFonts w:asciiTheme="minorBidi" w:hAnsiTheme="minorBidi"/>
          <w:sz w:val="16"/>
          <w:szCs w:val="16"/>
          <w:rtl/>
        </w:rPr>
        <w:t>{דבי ר"י תנא}</w:t>
      </w:r>
      <w:r w:rsidRPr="003024E5">
        <w:rPr>
          <w:rFonts w:asciiTheme="minorBidi" w:hAnsiTheme="minorBidi"/>
          <w:rtl/>
        </w:rPr>
        <w:t xml:space="preserve"> מרבה חריצין ונעיצין שאינם נובעים לאיסורא, והתירא דתאכלו מוקי לה בבורות שיחין ומערות, אבל למאן דדריש כללי ופרטי </w:t>
      </w:r>
      <w:r w:rsidRPr="003024E5">
        <w:rPr>
          <w:rFonts w:asciiTheme="minorBidi" w:hAnsiTheme="minorBidi"/>
          <w:sz w:val="16"/>
          <w:szCs w:val="16"/>
          <w:rtl/>
        </w:rPr>
        <w:t xml:space="preserve">{ת"ק} </w:t>
      </w:r>
      <w:r w:rsidRPr="003024E5">
        <w:rPr>
          <w:rFonts w:asciiTheme="minorBidi" w:hAnsiTheme="minorBidi"/>
          <w:rtl/>
        </w:rPr>
        <w:t>מרבה מתאכלו להתירא אפילו חריצין ונעיצין שאין עצורים ככלים כיון שאינם נובעים.</w:t>
      </w:r>
    </w:p>
    <w:p w14:paraId="6896AB9E" w14:textId="77777777" w:rsidR="002C39F4" w:rsidRPr="004A517F" w:rsidRDefault="002C39F4" w:rsidP="002C39F4">
      <w:pPr>
        <w:rPr>
          <w:rFonts w:asciiTheme="minorBidi" w:hAnsiTheme="minorBidi"/>
          <w:u w:val="dotted"/>
        </w:rPr>
      </w:pPr>
      <w:r>
        <w:rPr>
          <w:rFonts w:asciiTheme="minorBidi" w:hAnsiTheme="minorBidi" w:hint="cs"/>
          <w:u w:val="dotted"/>
          <w:rtl/>
        </w:rPr>
        <w:t>כיצד נפסק:</w:t>
      </w:r>
    </w:p>
    <w:p w14:paraId="7742BD89" w14:textId="77777777" w:rsidR="002C39F4" w:rsidRPr="003024E5" w:rsidRDefault="002C39F4" w:rsidP="002C39F4">
      <w:pPr>
        <w:pStyle w:val="a8"/>
        <w:numPr>
          <w:ilvl w:val="0"/>
          <w:numId w:val="74"/>
        </w:numPr>
        <w:rPr>
          <w:rFonts w:asciiTheme="minorBidi" w:hAnsiTheme="minorBidi"/>
          <w:rtl/>
        </w:rPr>
      </w:pPr>
      <w:r w:rsidRPr="003024E5">
        <w:rPr>
          <w:rFonts w:asciiTheme="minorBidi" w:hAnsiTheme="minorBidi"/>
          <w:rtl/>
        </w:rPr>
        <w:t xml:space="preserve">רא"ש </w:t>
      </w:r>
      <w:r w:rsidRPr="003024E5">
        <w:rPr>
          <w:rFonts w:asciiTheme="minorBidi" w:hAnsiTheme="minorBidi"/>
          <w:sz w:val="16"/>
          <w:szCs w:val="16"/>
          <w:rtl/>
        </w:rPr>
        <w:t>(פא"ט סי' מח)</w:t>
      </w:r>
      <w:r w:rsidRPr="003024E5">
        <w:rPr>
          <w:rFonts w:asciiTheme="minorBidi" w:hAnsiTheme="minorBidi"/>
          <w:rtl/>
        </w:rPr>
        <w:t xml:space="preserve">- גם לפירוש התוס' הלכה כתנא דבי רב </w:t>
      </w:r>
      <w:r w:rsidRPr="003024E5">
        <w:rPr>
          <w:rFonts w:asciiTheme="minorBidi" w:hAnsiTheme="minorBidi"/>
          <w:sz w:val="16"/>
          <w:szCs w:val="16"/>
          <w:rtl/>
        </w:rPr>
        <w:t>{היינו ת"ק</w:t>
      </w:r>
      <w:r w:rsidRPr="003024E5">
        <w:rPr>
          <w:rFonts w:asciiTheme="minorBidi" w:hAnsiTheme="minorBidi"/>
          <w:sz w:val="14"/>
          <w:szCs w:val="14"/>
          <w:rtl/>
        </w:rPr>
        <w:t xml:space="preserve"> [עיין רש"י סו</w:t>
      </w:r>
      <w:r>
        <w:rPr>
          <w:rFonts w:asciiTheme="minorBidi" w:hAnsiTheme="minorBidi" w:hint="cs"/>
          <w:sz w:val="14"/>
          <w:szCs w:val="14"/>
          <w:rtl/>
        </w:rPr>
        <w:t>.</w:t>
      </w:r>
      <w:r w:rsidRPr="003024E5">
        <w:rPr>
          <w:rFonts w:asciiTheme="minorBidi" w:hAnsiTheme="minorBidi"/>
          <w:sz w:val="14"/>
          <w:szCs w:val="14"/>
          <w:rtl/>
        </w:rPr>
        <w:t xml:space="preserve"> ד"ה תנא דבי רב]</w:t>
      </w:r>
      <w:r w:rsidRPr="003024E5">
        <w:rPr>
          <w:rFonts w:asciiTheme="minorBidi" w:hAnsiTheme="minorBidi"/>
          <w:sz w:val="16"/>
          <w:szCs w:val="16"/>
          <w:rtl/>
        </w:rPr>
        <w:t>}</w:t>
      </w:r>
      <w:r w:rsidRPr="003024E5">
        <w:rPr>
          <w:rFonts w:asciiTheme="minorBidi" w:hAnsiTheme="minorBidi"/>
          <w:rtl/>
        </w:rPr>
        <w:t xml:space="preserve"> כי היתה שגורה בפי הכל והיא עיקר כנגד תנא דבי רבי ישמעאל.</w:t>
      </w:r>
      <w:r w:rsidRPr="003024E5">
        <w:rPr>
          <w:rFonts w:asciiTheme="minorBidi" w:hAnsiTheme="minorBidi"/>
          <w:color w:val="E36C0A" w:themeColor="accent6" w:themeShade="BF"/>
          <w:rtl/>
        </w:rPr>
        <w:t xml:space="preserve"> (וכ"פ בשו"ע</w:t>
      </w:r>
      <w:r w:rsidRPr="003024E5">
        <w:rPr>
          <w:rFonts w:asciiTheme="minorBidi" w:hAnsiTheme="minorBidi"/>
          <w:color w:val="E36C0A" w:themeColor="accent6" w:themeShade="BF"/>
          <w:sz w:val="16"/>
          <w:szCs w:val="16"/>
          <w:rtl/>
        </w:rPr>
        <w:t xml:space="preserve"> </w:t>
      </w:r>
      <w:r w:rsidRPr="003024E5">
        <w:rPr>
          <w:rFonts w:asciiTheme="minorBidi" w:hAnsiTheme="minorBidi"/>
          <w:sz w:val="16"/>
          <w:szCs w:val="16"/>
          <w:rtl/>
        </w:rPr>
        <w:t>[סע' א-ב]</w:t>
      </w:r>
      <w:r w:rsidRPr="003024E5">
        <w:rPr>
          <w:rFonts w:asciiTheme="minorBidi" w:hAnsiTheme="minorBidi"/>
          <w:color w:val="E36C0A" w:themeColor="accent6" w:themeShade="BF"/>
          <w:rtl/>
        </w:rPr>
        <w:t>)</w:t>
      </w:r>
      <w:r w:rsidRPr="003024E5">
        <w:rPr>
          <w:rFonts w:asciiTheme="minorBidi" w:hAnsiTheme="minorBidi"/>
          <w:rtl/>
        </w:rPr>
        <w:t xml:space="preserve"> </w:t>
      </w:r>
    </w:p>
    <w:p w14:paraId="566E3B9C" w14:textId="77777777" w:rsidR="002C39F4" w:rsidRPr="003024E5" w:rsidRDefault="002C39F4" w:rsidP="002C39F4">
      <w:pPr>
        <w:pStyle w:val="a8"/>
        <w:numPr>
          <w:ilvl w:val="0"/>
          <w:numId w:val="74"/>
        </w:numPr>
        <w:rPr>
          <w:rFonts w:asciiTheme="minorBidi" w:hAnsiTheme="minorBidi"/>
          <w:rtl/>
        </w:rPr>
      </w:pPr>
      <w:r w:rsidRPr="003024E5">
        <w:rPr>
          <w:rFonts w:asciiTheme="minorBidi" w:hAnsiTheme="minorBidi"/>
          <w:rtl/>
        </w:rPr>
        <w:t xml:space="preserve">רמב"ם </w:t>
      </w:r>
      <w:r w:rsidRPr="003024E5">
        <w:rPr>
          <w:rFonts w:asciiTheme="minorBidi" w:hAnsiTheme="minorBidi"/>
          <w:sz w:val="16"/>
          <w:szCs w:val="16"/>
          <w:rtl/>
        </w:rPr>
        <w:t>(מאכ"א פ"ב הי"ח)</w:t>
      </w:r>
      <w:r w:rsidRPr="003024E5">
        <w:rPr>
          <w:rFonts w:asciiTheme="minorBidi" w:hAnsiTheme="minorBidi"/>
          <w:rtl/>
        </w:rPr>
        <w:t xml:space="preserve"> ורשב"א </w:t>
      </w:r>
      <w:r w:rsidRPr="003024E5">
        <w:rPr>
          <w:rFonts w:asciiTheme="minorBidi" w:hAnsiTheme="minorBidi"/>
          <w:sz w:val="16"/>
          <w:szCs w:val="16"/>
          <w:rtl/>
        </w:rPr>
        <w:t>(ארוך שם סו:, קצר סז., הביאו הה"מ)</w:t>
      </w:r>
      <w:r w:rsidRPr="003024E5">
        <w:rPr>
          <w:rFonts w:asciiTheme="minorBidi" w:hAnsiTheme="minorBidi"/>
          <w:rtl/>
        </w:rPr>
        <w:t>- שרץ המים הנברא בבורות שיחין ומערות הואיל ואינם מים נובעים והרי הם עצורים הרי הם כמים שבכלים ומותר ושוחה ושותה ואינו נמנע ואף על פי שבולע בשעת שתיה מאותם השרצים הדקים</w:t>
      </w:r>
      <w:r w:rsidRPr="003024E5">
        <w:rPr>
          <w:rFonts w:asciiTheme="minorBidi" w:hAnsiTheme="minorBidi"/>
          <w:sz w:val="16"/>
          <w:szCs w:val="16"/>
          <w:rtl/>
        </w:rPr>
        <w:t xml:space="preserve"> (ל' הרמב"ם)</w:t>
      </w:r>
      <w:r w:rsidRPr="003024E5">
        <w:rPr>
          <w:rStyle w:val="a7"/>
          <w:rFonts w:asciiTheme="minorBidi" w:hAnsiTheme="minorBidi"/>
          <w:rtl/>
        </w:rPr>
        <w:footnoteReference w:id="837"/>
      </w:r>
      <w:r w:rsidRPr="003024E5">
        <w:rPr>
          <w:rFonts w:asciiTheme="minorBidi" w:hAnsiTheme="minorBidi"/>
          <w:rtl/>
        </w:rPr>
        <w:t>.</w:t>
      </w:r>
    </w:p>
    <w:p w14:paraId="5DF1BFD7"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סז ע"א: </w:t>
      </w:r>
      <w:r w:rsidRPr="003024E5">
        <w:rPr>
          <w:rFonts w:asciiTheme="minorBidi" w:hAnsiTheme="minorBidi"/>
          <w:u w:val="single"/>
          <w:rtl/>
        </w:rPr>
        <w:t>אמר רב הונא</w:t>
      </w:r>
      <w:r w:rsidRPr="003024E5">
        <w:rPr>
          <w:rFonts w:asciiTheme="minorBidi" w:hAnsiTheme="minorBidi"/>
          <w:rtl/>
        </w:rPr>
        <w:t>: לא לשפי</w:t>
      </w:r>
      <w:r w:rsidRPr="003024E5">
        <w:rPr>
          <w:rStyle w:val="a7"/>
          <w:rFonts w:asciiTheme="minorBidi" w:hAnsiTheme="minorBidi"/>
          <w:rtl/>
        </w:rPr>
        <w:footnoteReference w:id="838"/>
      </w:r>
      <w:r w:rsidRPr="003024E5">
        <w:rPr>
          <w:rFonts w:asciiTheme="minorBidi" w:hAnsiTheme="minorBidi"/>
          <w:rtl/>
        </w:rPr>
        <w:t xml:space="preserve"> אינש שיכרא</w:t>
      </w:r>
      <w:r w:rsidRPr="003024E5">
        <w:rPr>
          <w:rStyle w:val="a7"/>
          <w:rFonts w:asciiTheme="minorBidi" w:hAnsiTheme="minorBidi"/>
          <w:rtl/>
        </w:rPr>
        <w:footnoteReference w:id="839"/>
      </w:r>
      <w:r w:rsidRPr="003024E5">
        <w:rPr>
          <w:rFonts w:asciiTheme="minorBidi" w:hAnsiTheme="minorBidi"/>
          <w:rtl/>
        </w:rPr>
        <w:t xml:space="preserve"> בצבייתא</w:t>
      </w:r>
      <w:r w:rsidRPr="003024E5">
        <w:rPr>
          <w:rStyle w:val="a7"/>
          <w:rFonts w:asciiTheme="minorBidi" w:hAnsiTheme="minorBidi"/>
          <w:rtl/>
        </w:rPr>
        <w:footnoteReference w:id="840"/>
      </w:r>
      <w:r w:rsidRPr="003024E5">
        <w:rPr>
          <w:rFonts w:asciiTheme="minorBidi" w:hAnsiTheme="minorBidi"/>
          <w:rtl/>
        </w:rPr>
        <w:t xml:space="preserve"> באורתא</w:t>
      </w:r>
      <w:r w:rsidRPr="003024E5">
        <w:rPr>
          <w:rStyle w:val="a7"/>
          <w:rFonts w:asciiTheme="minorBidi" w:hAnsiTheme="minorBidi"/>
          <w:rtl/>
        </w:rPr>
        <w:footnoteReference w:id="841"/>
      </w:r>
      <w:r w:rsidRPr="003024E5">
        <w:rPr>
          <w:rFonts w:asciiTheme="minorBidi" w:hAnsiTheme="minorBidi"/>
          <w:rtl/>
        </w:rPr>
        <w:t>, דילמא פריש לעיל מצבייתא והדר נפיל לכסא, והוי עובר משום שרץ השורץ על הארץ</w:t>
      </w:r>
      <w:r w:rsidRPr="003024E5">
        <w:rPr>
          <w:rStyle w:val="a7"/>
          <w:rFonts w:asciiTheme="minorBidi" w:hAnsiTheme="minorBidi"/>
          <w:rtl/>
        </w:rPr>
        <w:footnoteReference w:id="842"/>
      </w:r>
      <w:r w:rsidRPr="003024E5">
        <w:rPr>
          <w:rFonts w:asciiTheme="minorBidi" w:hAnsiTheme="minorBidi"/>
          <w:rtl/>
        </w:rPr>
        <w:t>. אי הכי, במנא נמי, דלמא פריש לדפנא דמנא והדר נפיל למנא! התם היינו רביתיה</w:t>
      </w:r>
      <w:r w:rsidRPr="003024E5">
        <w:rPr>
          <w:rStyle w:val="a7"/>
          <w:rFonts w:asciiTheme="minorBidi" w:hAnsiTheme="minorBidi"/>
          <w:rtl/>
        </w:rPr>
        <w:footnoteReference w:id="843"/>
      </w:r>
      <w:r w:rsidRPr="003024E5">
        <w:rPr>
          <w:rFonts w:asciiTheme="minorBidi" w:hAnsiTheme="minorBidi"/>
          <w:rtl/>
        </w:rPr>
        <w:t>, ומנא תימרא - דתניא: מנין לרבות בורות שיחין ומערות ששוחה ושותה מהן ואינו נמנע</w:t>
      </w:r>
      <w:r w:rsidRPr="003024E5">
        <w:rPr>
          <w:rStyle w:val="a7"/>
          <w:rFonts w:asciiTheme="minorBidi" w:hAnsiTheme="minorBidi"/>
          <w:rtl/>
        </w:rPr>
        <w:footnoteReference w:id="844"/>
      </w:r>
      <w:r w:rsidRPr="003024E5">
        <w:rPr>
          <w:rFonts w:asciiTheme="minorBidi" w:hAnsiTheme="minorBidi"/>
          <w:rtl/>
        </w:rPr>
        <w:t xml:space="preserve"> - ת"ל: תאכלו מכל אשר במים, וליחוש דלמא פריש לדפנא והדר נפיל - אלא היינו רביתיה, ה"נ: היינו רביתיה. </w:t>
      </w:r>
    </w:p>
    <w:p w14:paraId="1E5971BA" w14:textId="77777777" w:rsidR="002C39F4" w:rsidRPr="003024E5" w:rsidRDefault="002C39F4" w:rsidP="002C39F4">
      <w:pPr>
        <w:rPr>
          <w:rFonts w:asciiTheme="minorBidi" w:hAnsiTheme="minorBidi"/>
          <w:rtl/>
        </w:rPr>
      </w:pPr>
      <w:r w:rsidRPr="003024E5">
        <w:rPr>
          <w:rFonts w:asciiTheme="minorBidi" w:hAnsiTheme="minorBidi"/>
          <w:u w:val="single"/>
          <w:rtl/>
        </w:rPr>
        <w:t>שתי</w:t>
      </w:r>
      <w:r>
        <w:rPr>
          <w:rFonts w:asciiTheme="minorBidi" w:hAnsiTheme="minorBidi" w:hint="cs"/>
          <w:u w:val="single"/>
          <w:rtl/>
        </w:rPr>
        <w:t>ית</w:t>
      </w:r>
      <w:r w:rsidRPr="003024E5">
        <w:rPr>
          <w:rFonts w:asciiTheme="minorBidi" w:hAnsiTheme="minorBidi"/>
          <w:u w:val="single"/>
          <w:rtl/>
        </w:rPr>
        <w:t xml:space="preserve"> מים מבורות שיחין ומערות ע"י כלי:</w:t>
      </w:r>
      <w:r w:rsidRPr="003024E5">
        <w:rPr>
          <w:rFonts w:asciiTheme="minorBidi" w:hAnsiTheme="minorBidi"/>
          <w:rtl/>
        </w:rPr>
        <w:t xml:space="preserve"> </w:t>
      </w:r>
      <w:r>
        <w:rPr>
          <w:rFonts w:asciiTheme="minorBidi" w:hAnsiTheme="minorBidi" w:hint="cs"/>
          <w:sz w:val="16"/>
          <w:szCs w:val="16"/>
          <w:rtl/>
        </w:rPr>
        <w:t xml:space="preserve">  (ב"י ו</w:t>
      </w:r>
      <w:r w:rsidRPr="00D77939">
        <w:rPr>
          <w:rFonts w:asciiTheme="minorBidi" w:hAnsiTheme="minorBidi"/>
          <w:sz w:val="16"/>
          <w:szCs w:val="16"/>
          <w:rtl/>
        </w:rPr>
        <w:t>דרכ"מ</w:t>
      </w:r>
      <w:r w:rsidRPr="00A041E7">
        <w:rPr>
          <w:rFonts w:asciiTheme="minorBidi" w:hAnsiTheme="minorBidi"/>
          <w:sz w:val="14"/>
          <w:szCs w:val="14"/>
          <w:rtl/>
        </w:rPr>
        <w:t xml:space="preserve"> </w:t>
      </w:r>
      <w:r w:rsidRPr="00A041E7">
        <w:rPr>
          <w:rFonts w:asciiTheme="minorBidi" w:hAnsiTheme="minorBidi" w:hint="cs"/>
          <w:sz w:val="14"/>
          <w:szCs w:val="14"/>
          <w:rtl/>
        </w:rPr>
        <w:t>[</w:t>
      </w:r>
      <w:r w:rsidRPr="00A041E7">
        <w:rPr>
          <w:rFonts w:asciiTheme="minorBidi" w:hAnsiTheme="minorBidi"/>
          <w:sz w:val="14"/>
          <w:szCs w:val="14"/>
          <w:rtl/>
        </w:rPr>
        <w:t>אות א</w:t>
      </w:r>
      <w:r w:rsidRPr="00A041E7">
        <w:rPr>
          <w:rFonts w:asciiTheme="minorBidi" w:hAnsiTheme="minorBidi" w:hint="cs"/>
          <w:sz w:val="14"/>
          <w:szCs w:val="14"/>
          <w:rtl/>
        </w:rPr>
        <w:t>]</w:t>
      </w:r>
      <w:r w:rsidRPr="00D77939">
        <w:rPr>
          <w:rFonts w:asciiTheme="minorBidi" w:hAnsiTheme="minorBidi"/>
          <w:sz w:val="16"/>
          <w:szCs w:val="16"/>
          <w:rtl/>
        </w:rPr>
        <w:t>)</w:t>
      </w:r>
    </w:p>
    <w:p w14:paraId="686C9F25" w14:textId="77777777" w:rsidR="002C39F4" w:rsidRPr="003024E5" w:rsidRDefault="002C39F4" w:rsidP="002C39F4">
      <w:pPr>
        <w:pStyle w:val="a8"/>
        <w:numPr>
          <w:ilvl w:val="0"/>
          <w:numId w:val="75"/>
        </w:numPr>
        <w:rPr>
          <w:rFonts w:asciiTheme="minorBidi" w:hAnsiTheme="minorBidi"/>
          <w:rtl/>
        </w:rPr>
      </w:pPr>
      <w:r w:rsidRPr="003024E5">
        <w:rPr>
          <w:rFonts w:asciiTheme="minorBidi" w:hAnsiTheme="minorBidi"/>
          <w:rtl/>
        </w:rPr>
        <w:t>רא"ש</w:t>
      </w:r>
      <w:r w:rsidRPr="003024E5">
        <w:rPr>
          <w:rFonts w:asciiTheme="minorBidi" w:hAnsiTheme="minorBidi"/>
          <w:sz w:val="16"/>
          <w:szCs w:val="16"/>
          <w:rtl/>
        </w:rPr>
        <w:t xml:space="preserve"> (סי' סח)</w:t>
      </w:r>
      <w:r w:rsidRPr="00D77939">
        <w:rPr>
          <w:rFonts w:asciiTheme="minorBidi" w:hAnsiTheme="minorBidi"/>
          <w:rtl/>
        </w:rPr>
        <w:t xml:space="preserve"> </w:t>
      </w:r>
      <w:r>
        <w:rPr>
          <w:rFonts w:asciiTheme="minorBidi" w:hAnsiTheme="minorBidi" w:hint="cs"/>
          <w:rtl/>
        </w:rPr>
        <w:t>ו</w:t>
      </w:r>
      <w:r w:rsidRPr="005C6730">
        <w:rPr>
          <w:rFonts w:asciiTheme="minorBidi" w:hAnsiTheme="minorBidi"/>
          <w:rtl/>
        </w:rPr>
        <w:t xml:space="preserve">או"ה </w:t>
      </w:r>
      <w:r w:rsidRPr="00D77939">
        <w:rPr>
          <w:rFonts w:asciiTheme="minorBidi" w:hAnsiTheme="minorBidi"/>
          <w:sz w:val="16"/>
          <w:szCs w:val="16"/>
          <w:rtl/>
        </w:rPr>
        <w:t>(כלל מא ד</w:t>
      </w:r>
      <w:r w:rsidRPr="00D77939">
        <w:rPr>
          <w:rFonts w:asciiTheme="minorBidi" w:hAnsiTheme="minorBidi" w:hint="cs"/>
          <w:sz w:val="16"/>
          <w:szCs w:val="16"/>
          <w:rtl/>
        </w:rPr>
        <w:t>"ז</w:t>
      </w:r>
      <w:r>
        <w:rPr>
          <w:rFonts w:asciiTheme="minorBidi" w:hAnsiTheme="minorBidi" w:hint="cs"/>
          <w:sz w:val="16"/>
          <w:szCs w:val="16"/>
          <w:rtl/>
        </w:rPr>
        <w:t>)</w:t>
      </w:r>
      <w:r w:rsidRPr="003024E5">
        <w:rPr>
          <w:rFonts w:asciiTheme="minorBidi" w:hAnsiTheme="minorBidi"/>
          <w:rtl/>
        </w:rPr>
        <w:t>- בורות שיחין ומערות שוחה ושותה מהם ואינו נמנע כלומר ואינו נמנע ואע"פ שיזדמנו לו תולעים לתוך פיו אינו חושש, י"א דוקא שוחה ושותה אבל בכלי אסור דילמא פירש בדופני מנא, וי"ל דאורחא דמילתא קתני וה"ה בכלי נמי מותר ולא חיישינן דילמא פריש אדופני מנא כל כמה דלא חזיניה דפריש, ולקמן בשמעתין משמע דכל היכא דאי פריש אסור חיישינן דילמא פריש</w:t>
      </w:r>
      <w:r>
        <w:rPr>
          <w:rFonts w:asciiTheme="minorBidi" w:hAnsiTheme="minorBidi" w:hint="cs"/>
          <w:sz w:val="16"/>
          <w:szCs w:val="16"/>
          <w:rtl/>
        </w:rPr>
        <w:t xml:space="preserve"> (ל' הרא"ש)</w:t>
      </w:r>
      <w:r w:rsidRPr="003024E5">
        <w:rPr>
          <w:rFonts w:asciiTheme="minorBidi" w:hAnsiTheme="minorBidi"/>
          <w:rtl/>
        </w:rPr>
        <w:t>.</w:t>
      </w:r>
      <w:r w:rsidRPr="003024E5">
        <w:rPr>
          <w:rFonts w:asciiTheme="minorBidi" w:hAnsiTheme="minorBidi"/>
          <w:color w:val="00B0F0"/>
          <w:rtl/>
        </w:rPr>
        <w:t xml:space="preserve"> (וכ"פ הרמ"א)</w:t>
      </w:r>
    </w:p>
    <w:p w14:paraId="2A223F96" w14:textId="77777777" w:rsidR="002C39F4" w:rsidRPr="003024E5" w:rsidRDefault="002C39F4" w:rsidP="002C39F4">
      <w:pPr>
        <w:rPr>
          <w:rFonts w:asciiTheme="minorBidi" w:hAnsiTheme="minorBidi"/>
          <w:rtl/>
        </w:rPr>
      </w:pPr>
      <w:r w:rsidRPr="003024E5">
        <w:rPr>
          <w:rFonts w:asciiTheme="minorBidi" w:hAnsiTheme="minorBidi"/>
          <w:u w:val="single"/>
          <w:rtl/>
        </w:rPr>
        <w:t>מתי אמרינן היינו רביתיה:</w:t>
      </w:r>
    </w:p>
    <w:p w14:paraId="7EEE1B9B" w14:textId="77777777" w:rsidR="002C39F4" w:rsidRPr="003024E5" w:rsidRDefault="002C39F4" w:rsidP="002C39F4">
      <w:pPr>
        <w:pStyle w:val="a8"/>
        <w:numPr>
          <w:ilvl w:val="0"/>
          <w:numId w:val="76"/>
        </w:numPr>
        <w:rPr>
          <w:rFonts w:asciiTheme="minorBidi" w:hAnsiTheme="minorBidi"/>
          <w:rtl/>
        </w:rPr>
      </w:pPr>
      <w:r w:rsidRPr="003024E5">
        <w:rPr>
          <w:rFonts w:asciiTheme="minorBidi" w:hAnsiTheme="minorBidi"/>
          <w:rtl/>
        </w:rPr>
        <w:t>רשב"א</w:t>
      </w:r>
      <w:r>
        <w:rPr>
          <w:rFonts w:asciiTheme="minorBidi" w:hAnsiTheme="minorBidi" w:hint="cs"/>
          <w:sz w:val="16"/>
          <w:szCs w:val="16"/>
          <w:rtl/>
        </w:rPr>
        <w:t xml:space="preserve"> (לקמן)</w:t>
      </w:r>
      <w:r w:rsidRPr="003024E5">
        <w:rPr>
          <w:rFonts w:asciiTheme="minorBidi" w:hAnsiTheme="minorBidi"/>
          <w:rtl/>
        </w:rPr>
        <w:t>- אע"ג דאיבעיא לן בפירשה לגג גרעינתה וסלקא בתיקו לאו היינו רביתיה אלא בעוד שהוא מהלך בתוך החור שנתגדל שם אבל כשיצא מחורו שבגרעינה ועלה לגג הגרעינה ה"ז כיוצא מתוך הבור ושורץ חוץ לבור</w:t>
      </w:r>
      <w:r w:rsidRPr="003024E5">
        <w:rPr>
          <w:rFonts w:asciiTheme="minorBidi" w:hAnsiTheme="minorBidi"/>
          <w:sz w:val="16"/>
          <w:szCs w:val="16"/>
          <w:rtl/>
        </w:rPr>
        <w:t xml:space="preserve"> (חידו' שם ד"ה ואף על גב)</w:t>
      </w:r>
      <w:r w:rsidRPr="003024E5">
        <w:rPr>
          <w:rFonts w:asciiTheme="minorBidi" w:hAnsiTheme="minorBidi"/>
          <w:rtl/>
        </w:rPr>
        <w:t>, דלא אמרינן היינו רביתיה אלא בפירש לדופני הכלי או הבור מבפנים דוקא</w:t>
      </w:r>
      <w:r w:rsidRPr="003024E5">
        <w:rPr>
          <w:rStyle w:val="a7"/>
          <w:rFonts w:asciiTheme="minorBidi" w:hAnsiTheme="minorBidi"/>
          <w:rtl/>
        </w:rPr>
        <w:footnoteReference w:id="845"/>
      </w:r>
      <w:r>
        <w:rPr>
          <w:rFonts w:asciiTheme="minorBidi" w:hAnsiTheme="minorBidi" w:hint="cs"/>
          <w:rtl/>
        </w:rPr>
        <w:t>,</w:t>
      </w:r>
      <w:r w:rsidRPr="003024E5">
        <w:rPr>
          <w:rFonts w:asciiTheme="minorBidi" w:hAnsiTheme="minorBidi"/>
          <w:rtl/>
        </w:rPr>
        <w:t xml:space="preserve"> אבל אם פירשו לאחורי הכלי או על שפת הבור מבחוץ אסורים </w:t>
      </w:r>
      <w:r w:rsidRPr="003024E5">
        <w:rPr>
          <w:rFonts w:asciiTheme="minorBidi" w:hAnsiTheme="minorBidi"/>
          <w:sz w:val="16"/>
          <w:szCs w:val="16"/>
          <w:rtl/>
        </w:rPr>
        <w:t>(תוה"</w:t>
      </w:r>
      <w:r>
        <w:rPr>
          <w:rFonts w:asciiTheme="minorBidi" w:hAnsiTheme="minorBidi" w:hint="cs"/>
          <w:sz w:val="16"/>
          <w:szCs w:val="16"/>
          <w:rtl/>
        </w:rPr>
        <w:t>ק</w:t>
      </w:r>
      <w:r w:rsidRPr="003024E5">
        <w:rPr>
          <w:rFonts w:asciiTheme="minorBidi" w:hAnsiTheme="minorBidi"/>
          <w:sz w:val="16"/>
          <w:szCs w:val="16"/>
          <w:rtl/>
        </w:rPr>
        <w:t xml:space="preserve"> שם)</w:t>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0FA5F96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D5DB410" w14:textId="77777777" w:rsidR="002C39F4" w:rsidRPr="003024E5" w:rsidRDefault="002C39F4" w:rsidP="002C39F4">
      <w:pPr>
        <w:rPr>
          <w:rFonts w:asciiTheme="minorBidi" w:hAnsiTheme="minorBidi"/>
          <w:rtl/>
        </w:rPr>
      </w:pPr>
      <w:r w:rsidRPr="003024E5">
        <w:rPr>
          <w:rFonts w:asciiTheme="minorBidi" w:hAnsiTheme="minorBidi"/>
          <w:rtl/>
        </w:rPr>
        <w:t>שרצים הגדלים במים</w:t>
      </w:r>
      <w:r w:rsidRPr="003024E5">
        <w:rPr>
          <w:rStyle w:val="a7"/>
          <w:rFonts w:asciiTheme="minorBidi" w:hAnsiTheme="minorBidi"/>
          <w:rtl/>
        </w:rPr>
        <w:footnoteReference w:id="846"/>
      </w:r>
      <w:r w:rsidRPr="003024E5">
        <w:rPr>
          <w:rFonts w:asciiTheme="minorBidi" w:hAnsiTheme="minorBidi"/>
          <w:rtl/>
        </w:rPr>
        <w:t xml:space="preserve"> שבכלים</w:t>
      </w:r>
      <w:r>
        <w:rPr>
          <w:rFonts w:asciiTheme="minorBidi" w:hAnsiTheme="minorBidi" w:hint="cs"/>
          <w:rtl/>
        </w:rPr>
        <w:t>,</w:t>
      </w:r>
      <w:r w:rsidRPr="003024E5">
        <w:rPr>
          <w:rFonts w:asciiTheme="minorBidi" w:hAnsiTheme="minorBidi"/>
          <w:rtl/>
        </w:rPr>
        <w:t xml:space="preserve"> ושבבורות שיחין ומערות</w:t>
      </w:r>
      <w:r w:rsidRPr="003024E5">
        <w:rPr>
          <w:rStyle w:val="a7"/>
          <w:rFonts w:asciiTheme="minorBidi" w:hAnsiTheme="minorBidi"/>
          <w:rtl/>
        </w:rPr>
        <w:footnoteReference w:id="847"/>
      </w:r>
      <w:r w:rsidRPr="003024E5">
        <w:rPr>
          <w:rFonts w:asciiTheme="minorBidi" w:hAnsiTheme="minorBidi"/>
          <w:rtl/>
        </w:rPr>
        <w:t xml:space="preserve"> שאינם נובעים</w:t>
      </w:r>
      <w:r>
        <w:rPr>
          <w:rFonts w:asciiTheme="minorBidi" w:hAnsiTheme="minorBidi" w:hint="cs"/>
          <w:rtl/>
        </w:rPr>
        <w:t>,</w:t>
      </w:r>
      <w:r w:rsidRPr="003024E5">
        <w:rPr>
          <w:rFonts w:asciiTheme="minorBidi" w:hAnsiTheme="minorBidi"/>
          <w:rtl/>
        </w:rPr>
        <w:t xml:space="preserve"> מותרים אף על פי שאין להם סנפיר וקשקשת, לפיכך שוחה ושותה מהם ואינו חושש לשרצים שבהם אם יזדמנו לתוך פיו</w:t>
      </w:r>
      <w:r w:rsidRPr="003024E5">
        <w:rPr>
          <w:rStyle w:val="a7"/>
          <w:rFonts w:asciiTheme="minorBidi" w:hAnsiTheme="minorBidi"/>
          <w:rtl/>
        </w:rPr>
        <w:footnoteReference w:id="848"/>
      </w:r>
      <w:r w:rsidRPr="003024E5">
        <w:rPr>
          <w:rFonts w:asciiTheme="minorBidi" w:hAnsiTheme="minorBidi"/>
          <w:rtl/>
        </w:rPr>
        <w:t>.</w:t>
      </w:r>
      <w:r w:rsidRPr="003024E5">
        <w:rPr>
          <w:rFonts w:asciiTheme="minorBidi" w:hAnsiTheme="minorBidi"/>
          <w:sz w:val="18"/>
          <w:szCs w:val="18"/>
          <w:rtl/>
        </w:rPr>
        <w:t xml:space="preserve"> [הגה] אבל אסור לשאוב בכלי</w:t>
      </w:r>
      <w:r w:rsidRPr="003024E5">
        <w:rPr>
          <w:rStyle w:val="a7"/>
          <w:rFonts w:asciiTheme="minorBidi" w:hAnsiTheme="minorBidi"/>
          <w:sz w:val="18"/>
          <w:szCs w:val="18"/>
          <w:rtl/>
        </w:rPr>
        <w:footnoteReference w:id="849"/>
      </w:r>
      <w:r w:rsidRPr="003024E5">
        <w:rPr>
          <w:rFonts w:asciiTheme="minorBidi" w:hAnsiTheme="minorBidi"/>
          <w:sz w:val="18"/>
          <w:szCs w:val="18"/>
          <w:rtl/>
        </w:rPr>
        <w:t xml:space="preserve"> ולשתות מהם</w:t>
      </w:r>
      <w:r w:rsidRPr="003024E5">
        <w:rPr>
          <w:rStyle w:val="a7"/>
          <w:rFonts w:asciiTheme="minorBidi" w:hAnsiTheme="minorBidi"/>
          <w:sz w:val="18"/>
          <w:szCs w:val="18"/>
          <w:rtl/>
        </w:rPr>
        <w:footnoteReference w:id="850"/>
      </w:r>
      <w:r w:rsidRPr="003024E5">
        <w:rPr>
          <w:rFonts w:asciiTheme="minorBidi" w:hAnsiTheme="minorBidi"/>
          <w:sz w:val="18"/>
          <w:szCs w:val="18"/>
          <w:rtl/>
        </w:rPr>
        <w:t xml:space="preserve"> (רא"ש וארוך וכל בו).</w:t>
      </w:r>
      <w:r w:rsidRPr="003024E5">
        <w:rPr>
          <w:rFonts w:asciiTheme="minorBidi" w:hAnsiTheme="minorBidi"/>
          <w:rtl/>
        </w:rPr>
        <w:t xml:space="preserve"> ואם פירשו ממקום רביתן, כגון לאחורי הבור או על שפת הכלי</w:t>
      </w:r>
      <w:r w:rsidRPr="003024E5">
        <w:rPr>
          <w:rStyle w:val="a7"/>
          <w:rFonts w:asciiTheme="minorBidi" w:hAnsiTheme="minorBidi"/>
          <w:rtl/>
        </w:rPr>
        <w:footnoteReference w:id="851"/>
      </w:r>
      <w:r w:rsidRPr="003024E5">
        <w:rPr>
          <w:rFonts w:asciiTheme="minorBidi" w:hAnsiTheme="minorBidi"/>
          <w:rtl/>
        </w:rPr>
        <w:t xml:space="preserve"> מבחוץ, אף על פי שחזרו אסורים, ומסתמא אין לחוש שמא פירשו</w:t>
      </w:r>
      <w:r>
        <w:rPr>
          <w:rFonts w:asciiTheme="minorBidi" w:hAnsiTheme="minorBidi" w:hint="cs"/>
          <w:rtl/>
        </w:rPr>
        <w:t>.</w:t>
      </w:r>
      <w:r w:rsidRPr="003024E5">
        <w:rPr>
          <w:rFonts w:asciiTheme="minorBidi" w:hAnsiTheme="minorBidi"/>
          <w:rtl/>
        </w:rPr>
        <w:t xml:space="preserve"> אבל אם לא פירשו אלא על דופן הכלי מבפנים</w:t>
      </w:r>
      <w:r w:rsidRPr="003024E5">
        <w:rPr>
          <w:rStyle w:val="a7"/>
          <w:rFonts w:asciiTheme="minorBidi" w:hAnsiTheme="minorBidi"/>
          <w:rtl/>
        </w:rPr>
        <w:footnoteReference w:id="852"/>
      </w:r>
      <w:r w:rsidRPr="003024E5">
        <w:rPr>
          <w:rFonts w:asciiTheme="minorBidi" w:hAnsiTheme="minorBidi"/>
          <w:rtl/>
        </w:rPr>
        <w:t xml:space="preserve"> מותרים. </w:t>
      </w:r>
    </w:p>
    <w:p w14:paraId="3ED1CD3D" w14:textId="77777777" w:rsidR="002C39F4" w:rsidRPr="003024E5" w:rsidRDefault="002C39F4" w:rsidP="002C39F4">
      <w:pPr>
        <w:rPr>
          <w:rFonts w:asciiTheme="minorBidi" w:hAnsiTheme="minorBidi"/>
          <w:rtl/>
        </w:rPr>
      </w:pPr>
    </w:p>
    <w:p w14:paraId="11BB67B8" w14:textId="77777777" w:rsidR="002C39F4" w:rsidRPr="003024E5" w:rsidRDefault="002C39F4" w:rsidP="002C39F4">
      <w:pPr>
        <w:pStyle w:val="2"/>
        <w:rPr>
          <w:rFonts w:asciiTheme="minorBidi" w:hAnsiTheme="minorBidi"/>
          <w:rtl/>
        </w:rPr>
      </w:pPr>
      <w:r w:rsidRPr="003024E5">
        <w:rPr>
          <w:rFonts w:asciiTheme="minorBidi" w:hAnsiTheme="minorBidi"/>
          <w:rtl/>
        </w:rPr>
        <w:t>סעיף ב: הגדלים במים שבחריצים ונעיצים.</w:t>
      </w:r>
    </w:p>
    <w:p w14:paraId="5D86A70E" w14:textId="77777777" w:rsidR="002C39F4" w:rsidRPr="003024E5" w:rsidRDefault="002C39F4" w:rsidP="002C39F4">
      <w:pPr>
        <w:rPr>
          <w:rFonts w:asciiTheme="minorBidi" w:hAnsiTheme="minorBidi"/>
          <w:rtl/>
        </w:rPr>
      </w:pPr>
      <w:r w:rsidRPr="003024E5">
        <w:rPr>
          <w:rFonts w:asciiTheme="minorBidi" w:hAnsiTheme="minorBidi"/>
          <w:rtl/>
        </w:rPr>
        <w:t>עי' במקורות לעיל סע' א.</w:t>
      </w:r>
    </w:p>
    <w:p w14:paraId="11C39A2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7FEA53D" w14:textId="77777777" w:rsidR="002C39F4" w:rsidRPr="003024E5" w:rsidRDefault="002C39F4" w:rsidP="002C39F4">
      <w:pPr>
        <w:rPr>
          <w:rFonts w:asciiTheme="minorBidi" w:hAnsiTheme="minorBidi"/>
          <w:rtl/>
        </w:rPr>
      </w:pPr>
      <w:r w:rsidRPr="003024E5">
        <w:rPr>
          <w:rFonts w:asciiTheme="minorBidi" w:hAnsiTheme="minorBidi"/>
          <w:rtl/>
        </w:rPr>
        <w:t>הגדלים במים שבחריצים ונעיצים שהם מושכים ואינם נובעים יש אוסרים</w:t>
      </w:r>
      <w:r w:rsidRPr="003024E5">
        <w:rPr>
          <w:rStyle w:val="a7"/>
          <w:rFonts w:asciiTheme="minorBidi" w:hAnsiTheme="minorBidi"/>
          <w:rtl/>
        </w:rPr>
        <w:footnoteReference w:id="853"/>
      </w:r>
      <w:r w:rsidRPr="003024E5">
        <w:rPr>
          <w:rFonts w:asciiTheme="minorBidi" w:hAnsiTheme="minorBidi"/>
          <w:rtl/>
        </w:rPr>
        <w:t xml:space="preserve"> ויש מתירים. </w:t>
      </w:r>
    </w:p>
    <w:p w14:paraId="1F15D66D" w14:textId="77777777" w:rsidR="002C39F4" w:rsidRPr="003024E5" w:rsidRDefault="002C39F4" w:rsidP="002C39F4">
      <w:pPr>
        <w:rPr>
          <w:rFonts w:asciiTheme="minorBidi" w:hAnsiTheme="minorBidi"/>
          <w:rtl/>
        </w:rPr>
      </w:pPr>
    </w:p>
    <w:p w14:paraId="23CFCF18" w14:textId="77777777" w:rsidR="002C39F4" w:rsidRPr="003024E5" w:rsidRDefault="002C39F4" w:rsidP="002C39F4">
      <w:pPr>
        <w:pStyle w:val="2"/>
        <w:rPr>
          <w:rFonts w:asciiTheme="minorBidi" w:hAnsiTheme="minorBidi"/>
          <w:rtl/>
        </w:rPr>
      </w:pPr>
      <w:r w:rsidRPr="003024E5">
        <w:rPr>
          <w:rFonts w:asciiTheme="minorBidi" w:hAnsiTheme="minorBidi"/>
          <w:rtl/>
        </w:rPr>
        <w:t>סעיף ג: המסנן משקה והיו בו תולעים.</w:t>
      </w:r>
    </w:p>
    <w:p w14:paraId="764887BC"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סז ע"א: </w:t>
      </w:r>
      <w:r w:rsidRPr="003024E5">
        <w:rPr>
          <w:rFonts w:asciiTheme="minorBidi" w:hAnsiTheme="minorBidi"/>
          <w:u w:val="single"/>
          <w:rtl/>
        </w:rPr>
        <w:t>אמר רב הונא</w:t>
      </w:r>
      <w:r w:rsidRPr="003024E5">
        <w:rPr>
          <w:rFonts w:asciiTheme="minorBidi" w:hAnsiTheme="minorBidi"/>
          <w:rtl/>
        </w:rPr>
        <w:t>: לא לשפי</w:t>
      </w:r>
      <w:r w:rsidRPr="003024E5">
        <w:rPr>
          <w:rStyle w:val="a7"/>
          <w:rFonts w:asciiTheme="minorBidi" w:hAnsiTheme="minorBidi"/>
          <w:rtl/>
        </w:rPr>
        <w:footnoteReference w:id="854"/>
      </w:r>
      <w:r w:rsidRPr="003024E5">
        <w:rPr>
          <w:rFonts w:asciiTheme="minorBidi" w:hAnsiTheme="minorBidi"/>
          <w:rtl/>
        </w:rPr>
        <w:t xml:space="preserve"> אינש שיכרא</w:t>
      </w:r>
      <w:r w:rsidRPr="003024E5">
        <w:rPr>
          <w:rStyle w:val="a7"/>
          <w:rFonts w:asciiTheme="minorBidi" w:hAnsiTheme="minorBidi"/>
          <w:rtl/>
        </w:rPr>
        <w:footnoteReference w:id="855"/>
      </w:r>
      <w:r w:rsidRPr="003024E5">
        <w:rPr>
          <w:rFonts w:asciiTheme="minorBidi" w:hAnsiTheme="minorBidi"/>
          <w:rtl/>
        </w:rPr>
        <w:t xml:space="preserve"> בצבייתא</w:t>
      </w:r>
      <w:r w:rsidRPr="003024E5">
        <w:rPr>
          <w:rStyle w:val="a7"/>
          <w:rFonts w:asciiTheme="minorBidi" w:hAnsiTheme="minorBidi"/>
          <w:rtl/>
        </w:rPr>
        <w:footnoteReference w:id="856"/>
      </w:r>
      <w:r w:rsidRPr="003024E5">
        <w:rPr>
          <w:rFonts w:asciiTheme="minorBidi" w:hAnsiTheme="minorBidi"/>
          <w:rtl/>
        </w:rPr>
        <w:t xml:space="preserve"> באורתא</w:t>
      </w:r>
      <w:r w:rsidRPr="003024E5">
        <w:rPr>
          <w:rStyle w:val="a7"/>
          <w:rFonts w:asciiTheme="minorBidi" w:hAnsiTheme="minorBidi"/>
          <w:rtl/>
        </w:rPr>
        <w:footnoteReference w:id="857"/>
      </w:r>
      <w:r w:rsidRPr="003024E5">
        <w:rPr>
          <w:rFonts w:asciiTheme="minorBidi" w:hAnsiTheme="minorBidi"/>
          <w:rtl/>
        </w:rPr>
        <w:t>, דילמא פריש לעיל מצבייתא והדר נפיל לכסא, והוי עובר משום שרץ השורץ על הארץ</w:t>
      </w:r>
      <w:r w:rsidRPr="003024E5">
        <w:rPr>
          <w:rStyle w:val="a7"/>
          <w:rFonts w:asciiTheme="minorBidi" w:hAnsiTheme="minorBidi"/>
          <w:rtl/>
        </w:rPr>
        <w:footnoteReference w:id="858"/>
      </w:r>
      <w:r w:rsidRPr="003024E5">
        <w:rPr>
          <w:rFonts w:asciiTheme="minorBidi" w:hAnsiTheme="minorBidi"/>
          <w:rtl/>
        </w:rPr>
        <w:t>. אי הכי, במנא נמי, דלמא פריש לדפנא דמנא והדר נפיל למנא! התם היינו רביתיה</w:t>
      </w:r>
      <w:r w:rsidRPr="003024E5">
        <w:rPr>
          <w:rStyle w:val="a7"/>
          <w:rFonts w:asciiTheme="minorBidi" w:hAnsiTheme="minorBidi"/>
          <w:rtl/>
        </w:rPr>
        <w:footnoteReference w:id="859"/>
      </w:r>
      <w:r w:rsidRPr="003024E5">
        <w:rPr>
          <w:rFonts w:asciiTheme="minorBidi" w:hAnsiTheme="minorBidi"/>
          <w:rtl/>
        </w:rPr>
        <w:t>, ומנא תימרא - דתניא: מנין לרבות בורות שיחין ומערות ששוחה ושותה מהן ואינו נמנע</w:t>
      </w:r>
      <w:r w:rsidRPr="003024E5">
        <w:rPr>
          <w:rStyle w:val="a7"/>
          <w:rFonts w:asciiTheme="minorBidi" w:hAnsiTheme="minorBidi"/>
          <w:rtl/>
        </w:rPr>
        <w:footnoteReference w:id="860"/>
      </w:r>
      <w:r w:rsidRPr="003024E5">
        <w:rPr>
          <w:rFonts w:asciiTheme="minorBidi" w:hAnsiTheme="minorBidi"/>
          <w:rtl/>
        </w:rPr>
        <w:t xml:space="preserve"> - ת"ל: תאכלו מכל אשר במים, וליחוש דלמא פריש לדפנא והדר נפיל - אלא היינו רביתיה, ה"נ: היינו רביתיה. </w:t>
      </w:r>
      <w:r w:rsidRPr="003024E5">
        <w:rPr>
          <w:rFonts w:asciiTheme="minorBidi" w:hAnsiTheme="minorBidi"/>
          <w:u w:val="single"/>
          <w:rtl/>
        </w:rPr>
        <w:t>אמר ליה רב חסדא לרב הונא</w:t>
      </w:r>
      <w:r w:rsidRPr="003024E5">
        <w:rPr>
          <w:rFonts w:asciiTheme="minorBidi" w:hAnsiTheme="minorBidi"/>
          <w:rtl/>
        </w:rPr>
        <w:t>, תניא דמסייע לך: כל השרץ השורץ על הארץ - לרבות יבחושין</w:t>
      </w:r>
      <w:r w:rsidRPr="003024E5">
        <w:rPr>
          <w:rStyle w:val="a7"/>
          <w:rFonts w:asciiTheme="minorBidi" w:hAnsiTheme="minorBidi"/>
          <w:rtl/>
        </w:rPr>
        <w:footnoteReference w:id="861"/>
      </w:r>
      <w:r w:rsidRPr="003024E5">
        <w:rPr>
          <w:rFonts w:asciiTheme="minorBidi" w:hAnsiTheme="minorBidi"/>
          <w:rtl/>
        </w:rPr>
        <w:t xml:space="preserve"> שסיננן; טעמא - דסיננן, הא לא סיננן - שרי. </w:t>
      </w:r>
      <w:r w:rsidRPr="003024E5">
        <w:rPr>
          <w:rFonts w:asciiTheme="minorBidi" w:hAnsiTheme="minorBidi"/>
          <w:sz w:val="16"/>
          <w:szCs w:val="16"/>
          <w:rtl/>
        </w:rPr>
        <w:t>(וכ' הב"י- ונראה דדוקא במסנן על הקסמים או על הקשין הוא דאסר, וכדמפרש טעמא דאיכא למיחש שמא יפרוש ואח"כ יפול, אבל מסנן בבגד דליכא למיחש להכי, שהרי מה שפירש בבגד משליכין אותו לחוץ וא"א לו לחזור וליפול למשקה</w:t>
      </w:r>
      <w:r>
        <w:rPr>
          <w:rFonts w:asciiTheme="minorBidi" w:hAnsiTheme="minorBidi" w:hint="cs"/>
          <w:sz w:val="16"/>
          <w:szCs w:val="16"/>
          <w:rtl/>
        </w:rPr>
        <w:t xml:space="preserve"> -</w:t>
      </w:r>
      <w:r w:rsidRPr="003024E5">
        <w:rPr>
          <w:rFonts w:asciiTheme="minorBidi" w:hAnsiTheme="minorBidi"/>
          <w:sz w:val="16"/>
          <w:szCs w:val="16"/>
          <w:rtl/>
        </w:rPr>
        <w:t xml:space="preserve"> באורתא נמי שפי ליה ושפיר דמי</w:t>
      </w:r>
      <w:r>
        <w:rPr>
          <w:rStyle w:val="a7"/>
          <w:rFonts w:asciiTheme="minorBidi" w:hAnsiTheme="minorBidi"/>
          <w:sz w:val="16"/>
          <w:szCs w:val="16"/>
          <w:rtl/>
        </w:rPr>
        <w:footnoteReference w:id="862"/>
      </w:r>
      <w:r>
        <w:rPr>
          <w:rFonts w:asciiTheme="minorBidi" w:hAnsiTheme="minorBidi" w:hint="cs"/>
          <w:sz w:val="16"/>
          <w:szCs w:val="16"/>
          <w:rtl/>
        </w:rPr>
        <w:t>.</w:t>
      </w:r>
      <w:r w:rsidRPr="003024E5">
        <w:rPr>
          <w:rFonts w:asciiTheme="minorBidi" w:hAnsiTheme="minorBidi"/>
          <w:color w:val="00B0F0"/>
          <w:sz w:val="16"/>
          <w:szCs w:val="16"/>
          <w:rtl/>
        </w:rPr>
        <w:t xml:space="preserve"> </w:t>
      </w:r>
      <w:r w:rsidRPr="00130014">
        <w:rPr>
          <w:rFonts w:asciiTheme="minorBidi" w:hAnsiTheme="minorBidi"/>
          <w:color w:val="00B0F0"/>
          <w:sz w:val="16"/>
          <w:szCs w:val="16"/>
          <w:rtl/>
        </w:rPr>
        <w:t>וכ"פ הרמ"א</w:t>
      </w:r>
      <w:r w:rsidRPr="003024E5">
        <w:rPr>
          <w:rFonts w:asciiTheme="minorBidi" w:hAnsiTheme="minorBidi"/>
          <w:sz w:val="16"/>
          <w:szCs w:val="16"/>
          <w:rtl/>
        </w:rPr>
        <w:t>)</w:t>
      </w:r>
    </w:p>
    <w:p w14:paraId="578C2417" w14:textId="77777777" w:rsidR="002C39F4" w:rsidRPr="003024E5" w:rsidRDefault="002C39F4" w:rsidP="002C39F4">
      <w:pPr>
        <w:rPr>
          <w:rFonts w:asciiTheme="minorBidi" w:hAnsiTheme="minorBidi"/>
          <w:u w:val="single"/>
          <w:rtl/>
        </w:rPr>
      </w:pPr>
      <w:r w:rsidRPr="003024E5">
        <w:rPr>
          <w:rFonts w:asciiTheme="minorBidi" w:hAnsiTheme="minorBidi"/>
          <w:u w:val="single"/>
          <w:rtl/>
        </w:rPr>
        <w:t>יבחושין שביין:</w:t>
      </w:r>
    </w:p>
    <w:p w14:paraId="36517CAB" w14:textId="77777777" w:rsidR="002C39F4" w:rsidRPr="003024E5" w:rsidRDefault="002C39F4" w:rsidP="002C39F4">
      <w:pPr>
        <w:pStyle w:val="a8"/>
        <w:numPr>
          <w:ilvl w:val="0"/>
          <w:numId w:val="75"/>
        </w:numPr>
        <w:rPr>
          <w:rFonts w:asciiTheme="minorBidi" w:hAnsiTheme="minorBidi"/>
          <w:rtl/>
        </w:rPr>
      </w:pPr>
      <w:r w:rsidRPr="003024E5">
        <w:rPr>
          <w:rFonts w:asciiTheme="minorBidi" w:hAnsiTheme="minorBidi"/>
          <w:rtl/>
        </w:rPr>
        <w:t>רמב"ם</w:t>
      </w:r>
      <w:r w:rsidRPr="003024E5">
        <w:rPr>
          <w:rFonts w:asciiTheme="minorBidi" w:hAnsiTheme="minorBidi"/>
          <w:sz w:val="16"/>
          <w:szCs w:val="16"/>
          <w:rtl/>
        </w:rPr>
        <w:t xml:space="preserve"> (פ"ב ה"כ)</w:t>
      </w:r>
      <w:r w:rsidRPr="003024E5">
        <w:rPr>
          <w:rFonts w:asciiTheme="minorBidi" w:hAnsiTheme="minorBidi"/>
          <w:rtl/>
        </w:rPr>
        <w:t>- המסנן את היין או את החומץ או את השכר ואכל את היבחושין או את היתושין והתולעת שסינן לוקה משום שרץ המים או משום שרץ העוף ושרץ המים</w:t>
      </w:r>
      <w:r w:rsidRPr="003024E5">
        <w:rPr>
          <w:rStyle w:val="a7"/>
          <w:rFonts w:asciiTheme="minorBidi" w:hAnsiTheme="minorBidi"/>
          <w:rtl/>
        </w:rPr>
        <w:footnoteReference w:id="863"/>
      </w:r>
      <w:r w:rsidRPr="003024E5">
        <w:rPr>
          <w:rFonts w:asciiTheme="minorBidi" w:hAnsiTheme="minorBidi"/>
          <w:rtl/>
        </w:rPr>
        <w:t>.</w:t>
      </w:r>
    </w:p>
    <w:p w14:paraId="6F287EB1" w14:textId="77777777" w:rsidR="002C39F4" w:rsidRPr="003024E5" w:rsidRDefault="002C39F4" w:rsidP="002C39F4">
      <w:pPr>
        <w:rPr>
          <w:rFonts w:asciiTheme="minorBidi" w:hAnsiTheme="minorBidi"/>
          <w:rtl/>
        </w:rPr>
      </w:pPr>
      <w:r w:rsidRPr="003024E5">
        <w:rPr>
          <w:rFonts w:asciiTheme="minorBidi" w:hAnsiTheme="minorBidi"/>
          <w:u w:val="single"/>
          <w:rtl/>
        </w:rPr>
        <w:t>עירוי משקה מכלי לכלי אחר:</w:t>
      </w:r>
    </w:p>
    <w:p w14:paraId="7F912C95" w14:textId="77777777" w:rsidR="002C39F4" w:rsidRPr="003024E5" w:rsidRDefault="002C39F4" w:rsidP="002C39F4">
      <w:pPr>
        <w:pStyle w:val="a8"/>
        <w:numPr>
          <w:ilvl w:val="0"/>
          <w:numId w:val="75"/>
        </w:numPr>
        <w:rPr>
          <w:rFonts w:asciiTheme="minorBidi" w:hAnsiTheme="minorBidi"/>
        </w:rPr>
      </w:pPr>
      <w:r w:rsidRPr="003024E5">
        <w:rPr>
          <w:rFonts w:asciiTheme="minorBidi" w:hAnsiTheme="minorBidi"/>
          <w:rtl/>
        </w:rPr>
        <w:t>ב"י- היכא שעירה המשקה שבו השרצים מכלי לכלי אחר נראה דכלי שני דין כלי ראשון יש לו</w:t>
      </w:r>
      <w:r w:rsidRPr="003024E5">
        <w:rPr>
          <w:rStyle w:val="a7"/>
          <w:rFonts w:asciiTheme="minorBidi" w:hAnsiTheme="minorBidi"/>
          <w:rtl/>
        </w:rPr>
        <w:footnoteReference w:id="864"/>
      </w:r>
      <w:r w:rsidRPr="003024E5">
        <w:rPr>
          <w:rFonts w:asciiTheme="minorBidi" w:hAnsiTheme="minorBidi"/>
          <w:rtl/>
        </w:rPr>
        <w:t>.</w:t>
      </w:r>
      <w:r w:rsidRPr="003024E5">
        <w:rPr>
          <w:rFonts w:asciiTheme="minorBidi" w:hAnsiTheme="minorBidi"/>
          <w:color w:val="00B0F0"/>
          <w:rtl/>
        </w:rPr>
        <w:t>(וכ"פ הרמ"א)</w:t>
      </w:r>
    </w:p>
    <w:p w14:paraId="7F6839B3" w14:textId="77777777" w:rsidR="002C39F4" w:rsidRPr="003024E5" w:rsidRDefault="002C39F4" w:rsidP="002C39F4">
      <w:pPr>
        <w:rPr>
          <w:rFonts w:asciiTheme="minorBidi" w:hAnsiTheme="minorBidi"/>
          <w:u w:val="single"/>
        </w:rPr>
      </w:pPr>
      <w:r w:rsidRPr="003024E5">
        <w:rPr>
          <w:rFonts w:asciiTheme="minorBidi" w:hAnsiTheme="minorBidi"/>
          <w:u w:val="single"/>
          <w:rtl/>
        </w:rPr>
        <w:t>סיכת תינוקות בשומן חזיר:</w:t>
      </w:r>
      <w:r w:rsidRPr="003024E5">
        <w:rPr>
          <w:rFonts w:asciiTheme="minorBidi" w:hAnsiTheme="minorBidi"/>
          <w:sz w:val="16"/>
          <w:szCs w:val="16"/>
          <w:rtl/>
        </w:rPr>
        <w:t xml:space="preserve">   (בדה"ב)</w:t>
      </w:r>
    </w:p>
    <w:p w14:paraId="5C7A85AE" w14:textId="77777777" w:rsidR="002C39F4" w:rsidRPr="003024E5" w:rsidRDefault="002C39F4" w:rsidP="002C39F4">
      <w:pPr>
        <w:pStyle w:val="a8"/>
        <w:numPr>
          <w:ilvl w:val="0"/>
          <w:numId w:val="75"/>
        </w:numPr>
        <w:rPr>
          <w:rFonts w:asciiTheme="minorBidi" w:hAnsiTheme="minorBidi"/>
          <w:b/>
          <w:bCs/>
          <w:color w:val="000000"/>
          <w:u w:val="single"/>
          <w:rtl/>
        </w:rPr>
      </w:pPr>
      <w:r w:rsidRPr="003024E5">
        <w:rPr>
          <w:rFonts w:asciiTheme="minorBidi" w:hAnsiTheme="minorBidi"/>
          <w:rtl/>
        </w:rPr>
        <w:t xml:space="preserve">רי"ו </w:t>
      </w:r>
      <w:r w:rsidRPr="003024E5">
        <w:rPr>
          <w:rFonts w:asciiTheme="minorBidi" w:hAnsiTheme="minorBidi"/>
          <w:sz w:val="16"/>
          <w:szCs w:val="16"/>
          <w:rtl/>
        </w:rPr>
        <w:t>(נט"ו אות כ"ז)</w:t>
      </w:r>
      <w:r w:rsidRPr="003024E5">
        <w:rPr>
          <w:rFonts w:asciiTheme="minorBidi" w:hAnsiTheme="minorBidi"/>
          <w:rtl/>
        </w:rPr>
        <w:t>- לסוך התינוקות בשומן חזיר כ' הר"ר ברוך</w:t>
      </w:r>
      <w:r w:rsidRPr="003024E5">
        <w:rPr>
          <w:rFonts w:asciiTheme="minorBidi" w:hAnsiTheme="minorBidi"/>
          <w:sz w:val="16"/>
          <w:szCs w:val="16"/>
          <w:rtl/>
        </w:rPr>
        <w:t xml:space="preserve"> (בתוס' פסחים)</w:t>
      </w:r>
      <w:r w:rsidRPr="003024E5">
        <w:rPr>
          <w:rFonts w:asciiTheme="minorBidi" w:hAnsiTheme="minorBidi"/>
          <w:rtl/>
        </w:rPr>
        <w:t xml:space="preserve"> שאם היא סיכה של תענוג אסור, ולפירוש ר"ת </w:t>
      </w:r>
      <w:r w:rsidRPr="003024E5">
        <w:rPr>
          <w:rFonts w:asciiTheme="minorBidi" w:hAnsiTheme="minorBidi"/>
          <w:sz w:val="16"/>
          <w:szCs w:val="16"/>
          <w:rtl/>
        </w:rPr>
        <w:t xml:space="preserve">(תוס' נדה לב. ד"ה וכשמן) </w:t>
      </w:r>
      <w:r w:rsidRPr="003024E5">
        <w:rPr>
          <w:rFonts w:asciiTheme="minorBidi" w:hAnsiTheme="minorBidi"/>
          <w:rtl/>
        </w:rPr>
        <w:t>מותר שלא אמרינן סיכה בכלל שתיה אלא בשמן שהוא נבלע יותר בגוף.</w:t>
      </w:r>
    </w:p>
    <w:p w14:paraId="63675593"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E4AE1CA" w14:textId="77777777" w:rsidR="002C39F4" w:rsidRPr="003024E5" w:rsidRDefault="002C39F4" w:rsidP="002C39F4">
      <w:pPr>
        <w:rPr>
          <w:rFonts w:asciiTheme="minorBidi" w:hAnsiTheme="minorBidi"/>
          <w:rtl/>
        </w:rPr>
      </w:pPr>
      <w:r w:rsidRPr="003024E5">
        <w:rPr>
          <w:rFonts w:asciiTheme="minorBidi" w:hAnsiTheme="minorBidi"/>
          <w:rtl/>
        </w:rPr>
        <w:t>המסנן מים או שאר משקים והיו בו תולעים או יבחושין או יתושים אף על פי שחזרו לתוכו אסורים, שכבר פירשו, לפיכך משקה שדרך ליגדל בו תולעים וכיוצא בהן אין לסננו בקסמים וקשים בלילה שמא יחזרו ויפלו לתוך הכלי ויבא לשתותן</w:t>
      </w:r>
      <w:r w:rsidRPr="003024E5">
        <w:rPr>
          <w:rStyle w:val="a7"/>
          <w:rFonts w:asciiTheme="minorBidi" w:hAnsiTheme="minorBidi"/>
          <w:rtl/>
        </w:rPr>
        <w:footnoteReference w:id="865"/>
      </w:r>
      <w:r w:rsidRPr="003024E5">
        <w:rPr>
          <w:rFonts w:asciiTheme="minorBidi" w:hAnsiTheme="minorBidi"/>
          <w:rtl/>
        </w:rPr>
        <w:t xml:space="preserve">. </w:t>
      </w:r>
      <w:r w:rsidRPr="003024E5">
        <w:rPr>
          <w:rFonts w:asciiTheme="minorBidi" w:hAnsiTheme="minorBidi"/>
          <w:sz w:val="18"/>
          <w:szCs w:val="18"/>
          <w:rtl/>
        </w:rPr>
        <w:t>הגה: אבל מותר לסננן דרך בגד או מסננת, שהרי לא יוכלו ליפול דרך שם אל תוך המשקה, וכן מותר לערות המשקים מכלי אל כלי</w:t>
      </w:r>
      <w:r w:rsidRPr="003024E5">
        <w:rPr>
          <w:rStyle w:val="a7"/>
          <w:rFonts w:asciiTheme="minorBidi" w:hAnsiTheme="minorBidi"/>
          <w:sz w:val="18"/>
          <w:szCs w:val="18"/>
          <w:rtl/>
        </w:rPr>
        <w:footnoteReference w:id="866"/>
      </w:r>
      <w:r w:rsidRPr="003024E5">
        <w:rPr>
          <w:rFonts w:asciiTheme="minorBidi" w:hAnsiTheme="minorBidi"/>
          <w:sz w:val="18"/>
          <w:szCs w:val="18"/>
          <w:rtl/>
        </w:rPr>
        <w:t>, הואיל והם תמיד עם המשקה היינו רביתייהו (ב"י).</w:t>
      </w:r>
      <w:r w:rsidRPr="003024E5">
        <w:rPr>
          <w:rFonts w:asciiTheme="minorBidi" w:hAnsiTheme="minorBidi"/>
          <w:rtl/>
        </w:rPr>
        <w:t xml:space="preserve"> </w:t>
      </w:r>
    </w:p>
    <w:p w14:paraId="69C4BFBF" w14:textId="77777777" w:rsidR="002C39F4" w:rsidRPr="003024E5" w:rsidRDefault="002C39F4" w:rsidP="002C39F4">
      <w:pPr>
        <w:rPr>
          <w:rFonts w:asciiTheme="minorBidi" w:hAnsiTheme="minorBidi"/>
          <w:rtl/>
        </w:rPr>
      </w:pPr>
    </w:p>
    <w:p w14:paraId="3BFCF986" w14:textId="77777777" w:rsidR="002C39F4" w:rsidRPr="003024E5" w:rsidRDefault="002C39F4" w:rsidP="002C39F4">
      <w:pPr>
        <w:pStyle w:val="2"/>
        <w:rPr>
          <w:rFonts w:asciiTheme="minorBidi" w:hAnsiTheme="minorBidi"/>
          <w:rtl/>
        </w:rPr>
      </w:pPr>
      <w:r w:rsidRPr="003024E5">
        <w:rPr>
          <w:rFonts w:asciiTheme="minorBidi" w:hAnsiTheme="minorBidi"/>
          <w:rtl/>
        </w:rPr>
        <w:t>סעיף ד: תולעים הגדלים בפירות בתלוש.</w:t>
      </w:r>
    </w:p>
    <w:p w14:paraId="72FD5C2C" w14:textId="77777777" w:rsidR="002C39F4" w:rsidRPr="003024E5" w:rsidRDefault="002C39F4" w:rsidP="002C39F4">
      <w:pPr>
        <w:rPr>
          <w:rFonts w:asciiTheme="minorBidi" w:hAnsiTheme="minorBidi"/>
          <w:rtl/>
        </w:rPr>
      </w:pPr>
      <w:r w:rsidRPr="003024E5">
        <w:rPr>
          <w:rFonts w:asciiTheme="minorBidi" w:hAnsiTheme="minorBidi"/>
          <w:b/>
          <w:bCs/>
          <w:rtl/>
        </w:rPr>
        <w:t>חולין סז ע"ב:</w:t>
      </w:r>
      <w:r w:rsidRPr="003024E5">
        <w:rPr>
          <w:rFonts w:asciiTheme="minorBidi" w:hAnsiTheme="minorBidi"/>
          <w:rtl/>
        </w:rPr>
        <w:t xml:space="preserve"> </w:t>
      </w:r>
      <w:r w:rsidRPr="003024E5">
        <w:rPr>
          <w:rFonts w:asciiTheme="minorBidi" w:hAnsiTheme="minorBidi"/>
          <w:u w:val="single"/>
          <w:rtl/>
        </w:rPr>
        <w:t>אמר שמואל</w:t>
      </w:r>
      <w:r w:rsidRPr="003024E5">
        <w:rPr>
          <w:rFonts w:asciiTheme="minorBidi" w:hAnsiTheme="minorBidi"/>
          <w:rtl/>
        </w:rPr>
        <w:t>: קישות</w:t>
      </w:r>
      <w:r w:rsidRPr="003024E5">
        <w:rPr>
          <w:rStyle w:val="a7"/>
          <w:rFonts w:asciiTheme="minorBidi" w:hAnsiTheme="minorBidi"/>
          <w:rtl/>
        </w:rPr>
        <w:footnoteReference w:id="867"/>
      </w:r>
      <w:r w:rsidRPr="003024E5">
        <w:rPr>
          <w:rFonts w:asciiTheme="minorBidi" w:hAnsiTheme="minorBidi"/>
          <w:rtl/>
        </w:rPr>
        <w:t xml:space="preserve"> שהתליעה בְּאִבֵּיהָ</w:t>
      </w:r>
      <w:r w:rsidRPr="003024E5">
        <w:rPr>
          <w:rStyle w:val="a7"/>
          <w:rFonts w:asciiTheme="minorBidi" w:hAnsiTheme="minorBidi"/>
          <w:rtl/>
        </w:rPr>
        <w:footnoteReference w:id="868"/>
      </w:r>
      <w:r w:rsidRPr="003024E5">
        <w:rPr>
          <w:rFonts w:asciiTheme="minorBidi" w:hAnsiTheme="minorBidi"/>
          <w:rtl/>
        </w:rPr>
        <w:t xml:space="preserve"> - אסורה משום השרץ השורץ על הארץ. לימא מסייע ליה, דתני חדא: על הארץ - להוציא את הזיזין</w:t>
      </w:r>
      <w:r w:rsidRPr="003024E5">
        <w:rPr>
          <w:rStyle w:val="a7"/>
          <w:rFonts w:asciiTheme="minorBidi" w:hAnsiTheme="minorBidi"/>
          <w:rtl/>
        </w:rPr>
        <w:footnoteReference w:id="869"/>
      </w:r>
      <w:r w:rsidRPr="003024E5">
        <w:rPr>
          <w:rFonts w:asciiTheme="minorBidi" w:hAnsiTheme="minorBidi"/>
          <w:rtl/>
        </w:rPr>
        <w:t xml:space="preserve"> שבעדשים</w:t>
      </w:r>
      <w:r w:rsidRPr="003024E5">
        <w:rPr>
          <w:rStyle w:val="a7"/>
          <w:rFonts w:asciiTheme="minorBidi" w:hAnsiTheme="minorBidi"/>
          <w:rtl/>
        </w:rPr>
        <w:footnoteReference w:id="870"/>
      </w:r>
      <w:r w:rsidRPr="003024E5">
        <w:rPr>
          <w:rFonts w:asciiTheme="minorBidi" w:hAnsiTheme="minorBidi"/>
          <w:rtl/>
        </w:rPr>
        <w:t>, ואת היתושים שבכליסים</w:t>
      </w:r>
      <w:r w:rsidRPr="003024E5">
        <w:rPr>
          <w:rStyle w:val="a7"/>
          <w:rFonts w:asciiTheme="minorBidi" w:hAnsiTheme="minorBidi"/>
          <w:rtl/>
        </w:rPr>
        <w:footnoteReference w:id="871"/>
      </w:r>
      <w:r w:rsidRPr="003024E5">
        <w:rPr>
          <w:rFonts w:asciiTheme="minorBidi" w:hAnsiTheme="minorBidi"/>
          <w:rtl/>
        </w:rPr>
        <w:t>, ותולעת שבתמרים ושבגרוגרות. ותניא אידך: כל השרץ השורץ על הארץ - לרבות</w:t>
      </w:r>
      <w:r w:rsidRPr="003024E5">
        <w:rPr>
          <w:rStyle w:val="a7"/>
          <w:rFonts w:asciiTheme="minorBidi" w:hAnsiTheme="minorBidi"/>
          <w:rtl/>
        </w:rPr>
        <w:footnoteReference w:id="872"/>
      </w:r>
      <w:r w:rsidRPr="003024E5">
        <w:rPr>
          <w:rFonts w:asciiTheme="minorBidi" w:hAnsiTheme="minorBidi"/>
          <w:rtl/>
        </w:rPr>
        <w:t xml:space="preserve"> תולעת שבעיקרי זיתים ושבעיקרי גפנים. מאי לאו, אידי ואידי בפירא</w:t>
      </w:r>
      <w:r w:rsidRPr="003024E5">
        <w:rPr>
          <w:rStyle w:val="a7"/>
          <w:rFonts w:asciiTheme="minorBidi" w:hAnsiTheme="minorBidi"/>
          <w:rtl/>
        </w:rPr>
        <w:footnoteReference w:id="873"/>
      </w:r>
      <w:r w:rsidRPr="003024E5">
        <w:rPr>
          <w:rFonts w:asciiTheme="minorBidi" w:hAnsiTheme="minorBidi"/>
          <w:rtl/>
        </w:rPr>
        <w:t>, והא - בְּאִבֵּיהָ</w:t>
      </w:r>
      <w:r w:rsidRPr="003024E5">
        <w:rPr>
          <w:rStyle w:val="a7"/>
          <w:rFonts w:asciiTheme="minorBidi" w:hAnsiTheme="minorBidi"/>
          <w:rtl/>
        </w:rPr>
        <w:footnoteReference w:id="874"/>
      </w:r>
      <w:r w:rsidRPr="003024E5">
        <w:rPr>
          <w:rFonts w:asciiTheme="minorBidi" w:hAnsiTheme="minorBidi"/>
          <w:rtl/>
        </w:rPr>
        <w:t>, והא - שלא בְּאִבֵּיהָ? לא, אידי ואידי בְּאִבֵּיהָ</w:t>
      </w:r>
      <w:r w:rsidRPr="003024E5">
        <w:rPr>
          <w:rStyle w:val="a7"/>
          <w:rFonts w:asciiTheme="minorBidi" w:hAnsiTheme="minorBidi"/>
          <w:rtl/>
        </w:rPr>
        <w:footnoteReference w:id="875"/>
      </w:r>
      <w:r w:rsidRPr="003024E5">
        <w:rPr>
          <w:rFonts w:asciiTheme="minorBidi" w:hAnsiTheme="minorBidi"/>
          <w:rtl/>
        </w:rPr>
        <w:t>, ולא קשיא: הא - בפירא, הא - באילנא גופא, דיקא נמי, דקתני תולעת שבעיקרי זיתים ושבעיקרי גפנים</w:t>
      </w:r>
      <w:r>
        <w:rPr>
          <w:rFonts w:asciiTheme="minorBidi" w:hAnsiTheme="minorBidi" w:hint="cs"/>
          <w:rtl/>
        </w:rPr>
        <w:t>,</w:t>
      </w:r>
      <w:r w:rsidRPr="003024E5">
        <w:rPr>
          <w:rFonts w:asciiTheme="minorBidi" w:hAnsiTheme="minorBidi"/>
          <w:rtl/>
        </w:rPr>
        <w:t xml:space="preserve"> ש"מ. </w:t>
      </w:r>
      <w:r w:rsidRPr="003024E5">
        <w:rPr>
          <w:rFonts w:asciiTheme="minorBidi" w:hAnsiTheme="minorBidi"/>
          <w:u w:val="single"/>
          <w:rtl/>
        </w:rPr>
        <w:t>בעי רב יוסף</w:t>
      </w:r>
      <w:r w:rsidRPr="003024E5">
        <w:rPr>
          <w:rFonts w:asciiTheme="minorBidi" w:hAnsiTheme="minorBidi"/>
          <w:rtl/>
        </w:rPr>
        <w:t>: פרשה ומתה</w:t>
      </w:r>
      <w:r w:rsidRPr="003024E5">
        <w:rPr>
          <w:rStyle w:val="a7"/>
          <w:rFonts w:asciiTheme="minorBidi" w:hAnsiTheme="minorBidi"/>
          <w:rtl/>
        </w:rPr>
        <w:footnoteReference w:id="876"/>
      </w:r>
      <w:r w:rsidRPr="003024E5">
        <w:rPr>
          <w:rFonts w:asciiTheme="minorBidi" w:hAnsiTheme="minorBidi"/>
          <w:rtl/>
        </w:rPr>
        <w:t xml:space="preserve"> מהו</w:t>
      </w:r>
      <w:r w:rsidRPr="003024E5">
        <w:rPr>
          <w:rStyle w:val="a7"/>
          <w:rFonts w:asciiTheme="minorBidi" w:hAnsiTheme="minorBidi"/>
          <w:rtl/>
        </w:rPr>
        <w:footnoteReference w:id="877"/>
      </w:r>
      <w:r w:rsidRPr="003024E5">
        <w:rPr>
          <w:rFonts w:asciiTheme="minorBidi" w:hAnsiTheme="minorBidi"/>
          <w:rtl/>
        </w:rPr>
        <w:t>? מקצתה מהו</w:t>
      </w:r>
      <w:r w:rsidRPr="003024E5">
        <w:rPr>
          <w:rStyle w:val="a7"/>
          <w:rFonts w:asciiTheme="minorBidi" w:hAnsiTheme="minorBidi"/>
          <w:rtl/>
        </w:rPr>
        <w:footnoteReference w:id="878"/>
      </w:r>
      <w:r w:rsidRPr="003024E5">
        <w:rPr>
          <w:rFonts w:asciiTheme="minorBidi" w:hAnsiTheme="minorBidi"/>
          <w:rtl/>
        </w:rPr>
        <w:t>? לאויר העולם</w:t>
      </w:r>
      <w:r w:rsidRPr="003024E5">
        <w:rPr>
          <w:rStyle w:val="a7"/>
          <w:rFonts w:asciiTheme="minorBidi" w:hAnsiTheme="minorBidi"/>
          <w:rtl/>
        </w:rPr>
        <w:footnoteReference w:id="879"/>
      </w:r>
      <w:r w:rsidRPr="003024E5">
        <w:rPr>
          <w:rFonts w:asciiTheme="minorBidi" w:hAnsiTheme="minorBidi"/>
          <w:rtl/>
        </w:rPr>
        <w:t xml:space="preserve"> מהו? תיקו. </w:t>
      </w:r>
      <w:r w:rsidRPr="003024E5">
        <w:rPr>
          <w:rFonts w:asciiTheme="minorBidi" w:hAnsiTheme="minorBidi"/>
          <w:u w:val="single"/>
          <w:rtl/>
        </w:rPr>
        <w:t>בעי רב אשי</w:t>
      </w:r>
      <w:r w:rsidRPr="003024E5">
        <w:rPr>
          <w:rFonts w:asciiTheme="minorBidi" w:hAnsiTheme="minorBidi"/>
          <w:rtl/>
        </w:rPr>
        <w:t>: לגג תמרה מהו</w:t>
      </w:r>
      <w:r w:rsidRPr="003024E5">
        <w:rPr>
          <w:rStyle w:val="a7"/>
          <w:rFonts w:asciiTheme="minorBidi" w:hAnsiTheme="minorBidi"/>
          <w:rtl/>
        </w:rPr>
        <w:footnoteReference w:id="880"/>
      </w:r>
      <w:r w:rsidRPr="003024E5">
        <w:rPr>
          <w:rFonts w:asciiTheme="minorBidi" w:hAnsiTheme="minorBidi"/>
          <w:rtl/>
        </w:rPr>
        <w:t>? לגג גרעינתה מהו</w:t>
      </w:r>
      <w:r w:rsidRPr="003024E5">
        <w:rPr>
          <w:rStyle w:val="a7"/>
          <w:rFonts w:asciiTheme="minorBidi" w:hAnsiTheme="minorBidi"/>
          <w:rtl/>
        </w:rPr>
        <w:footnoteReference w:id="881"/>
      </w:r>
      <w:r w:rsidRPr="003024E5">
        <w:rPr>
          <w:rFonts w:asciiTheme="minorBidi" w:hAnsiTheme="minorBidi"/>
          <w:rtl/>
        </w:rPr>
        <w:t>? מתמרה לתמרה מהו</w:t>
      </w:r>
      <w:r w:rsidRPr="003024E5">
        <w:rPr>
          <w:rStyle w:val="a7"/>
          <w:rFonts w:asciiTheme="minorBidi" w:hAnsiTheme="minorBidi"/>
          <w:rtl/>
        </w:rPr>
        <w:footnoteReference w:id="882"/>
      </w:r>
      <w:r w:rsidRPr="003024E5">
        <w:rPr>
          <w:rFonts w:asciiTheme="minorBidi" w:hAnsiTheme="minorBidi"/>
          <w:rtl/>
        </w:rPr>
        <w:t xml:space="preserve">? תיקו. </w:t>
      </w:r>
      <w:r w:rsidRPr="003024E5">
        <w:rPr>
          <w:rFonts w:asciiTheme="minorBidi" w:hAnsiTheme="minorBidi"/>
          <w:sz w:val="16"/>
          <w:szCs w:val="16"/>
          <w:rtl/>
        </w:rPr>
        <w:t>(וכל הני דסלקו בתיקו פשיטא דאזלינן בהו לחומרא דהא איסורא דאורייתא נינהו, וכ"פ הפוסקים לאיסורא, ב"י)</w:t>
      </w:r>
    </w:p>
    <w:p w14:paraId="7CC603A9" w14:textId="77777777" w:rsidR="002C39F4" w:rsidRPr="003024E5" w:rsidRDefault="002C39F4" w:rsidP="002C39F4">
      <w:pPr>
        <w:rPr>
          <w:rFonts w:asciiTheme="minorBidi" w:hAnsiTheme="minorBidi"/>
          <w:u w:val="single"/>
          <w:rtl/>
        </w:rPr>
      </w:pPr>
      <w:r w:rsidRPr="003024E5">
        <w:rPr>
          <w:rFonts w:asciiTheme="minorBidi" w:hAnsiTheme="minorBidi"/>
          <w:u w:val="single"/>
          <w:rtl/>
        </w:rPr>
        <w:t>תולעת שפירשה מתה:</w:t>
      </w:r>
    </w:p>
    <w:p w14:paraId="53875804" w14:textId="77777777" w:rsidR="002C39F4" w:rsidRPr="003024E5" w:rsidRDefault="002C39F4" w:rsidP="002C39F4">
      <w:pPr>
        <w:pStyle w:val="a8"/>
        <w:numPr>
          <w:ilvl w:val="0"/>
          <w:numId w:val="75"/>
        </w:numPr>
        <w:rPr>
          <w:rFonts w:asciiTheme="minorBidi" w:hAnsiTheme="minorBidi"/>
          <w:rtl/>
        </w:rPr>
      </w:pPr>
      <w:r w:rsidRPr="003024E5">
        <w:rPr>
          <w:rFonts w:asciiTheme="minorBidi" w:hAnsiTheme="minorBidi"/>
          <w:rtl/>
        </w:rPr>
        <w:t xml:space="preserve">רא"ש </w:t>
      </w:r>
      <w:r w:rsidRPr="003024E5">
        <w:rPr>
          <w:rFonts w:asciiTheme="minorBidi" w:hAnsiTheme="minorBidi"/>
          <w:sz w:val="16"/>
          <w:szCs w:val="16"/>
          <w:rtl/>
        </w:rPr>
        <w:t>(סו"ס סח)</w:t>
      </w:r>
      <w:r w:rsidRPr="003024E5">
        <w:rPr>
          <w:rFonts w:asciiTheme="minorBidi" w:hAnsiTheme="minorBidi"/>
          <w:rtl/>
        </w:rPr>
        <w:t>- יש גורסים "פירש מת", כגון שמת בתוך הפרי, ולא מסתבר להסתפק בזה</w:t>
      </w:r>
      <w:r>
        <w:rPr>
          <w:rStyle w:val="a7"/>
          <w:rFonts w:asciiTheme="minorBidi" w:hAnsiTheme="minorBidi"/>
          <w:rtl/>
        </w:rPr>
        <w:footnoteReference w:id="883"/>
      </w:r>
      <w:r w:rsidRPr="003024E5">
        <w:rPr>
          <w:rFonts w:asciiTheme="minorBidi" w:hAnsiTheme="minorBidi"/>
          <w:rtl/>
        </w:rPr>
        <w:t>.</w:t>
      </w:r>
      <w:r>
        <w:rPr>
          <w:rFonts w:asciiTheme="minorBidi" w:hAnsiTheme="minorBidi" w:hint="cs"/>
          <w:color w:val="E36C0A" w:themeColor="accent6" w:themeShade="BF"/>
          <w:rtl/>
        </w:rPr>
        <w:t xml:space="preserve"> </w:t>
      </w:r>
      <w:r w:rsidRPr="008D398F">
        <w:rPr>
          <w:rFonts w:asciiTheme="minorBidi" w:hAnsiTheme="minorBidi" w:hint="cs"/>
          <w:color w:val="E36C0A" w:themeColor="accent6" w:themeShade="BF"/>
          <w:rtl/>
        </w:rPr>
        <w:t>(וכ"ס בשו"ע</w:t>
      </w:r>
      <w:r w:rsidRPr="00F4163F">
        <w:rPr>
          <w:rStyle w:val="a7"/>
          <w:rFonts w:asciiTheme="minorBidi" w:hAnsiTheme="minorBidi"/>
          <w:color w:val="000000" w:themeColor="text1"/>
          <w:rtl/>
        </w:rPr>
        <w:footnoteReference w:id="884"/>
      </w:r>
      <w:r w:rsidRPr="008D398F">
        <w:rPr>
          <w:rFonts w:asciiTheme="minorBidi" w:hAnsiTheme="minorBidi" w:hint="cs"/>
          <w:color w:val="E36C0A" w:themeColor="accent6" w:themeShade="BF"/>
          <w:rtl/>
        </w:rPr>
        <w:t>)</w:t>
      </w:r>
      <w:r w:rsidRPr="003024E5">
        <w:rPr>
          <w:rFonts w:asciiTheme="minorBidi" w:hAnsiTheme="minorBidi"/>
          <w:rtl/>
        </w:rPr>
        <w:t xml:space="preserve"> </w:t>
      </w:r>
    </w:p>
    <w:p w14:paraId="0A486168" w14:textId="77777777" w:rsidR="002C39F4" w:rsidRPr="003024E5" w:rsidRDefault="002C39F4" w:rsidP="002C39F4">
      <w:pPr>
        <w:pStyle w:val="a8"/>
        <w:numPr>
          <w:ilvl w:val="0"/>
          <w:numId w:val="75"/>
        </w:numPr>
        <w:rPr>
          <w:rFonts w:asciiTheme="minorBidi" w:hAnsiTheme="minorBidi"/>
        </w:rPr>
      </w:pPr>
      <w:r w:rsidRPr="003024E5">
        <w:rPr>
          <w:rFonts w:asciiTheme="minorBidi" w:hAnsiTheme="minorBidi"/>
          <w:rtl/>
        </w:rPr>
        <w:t>ר"ח רי"ף רמב"ם ורשב"א</w:t>
      </w:r>
      <w:r w:rsidRPr="003024E5">
        <w:rPr>
          <w:rStyle w:val="a7"/>
          <w:rFonts w:asciiTheme="minorBidi" w:hAnsiTheme="minorBidi"/>
          <w:rtl/>
        </w:rPr>
        <w:footnoteReference w:id="885"/>
      </w:r>
      <w:r w:rsidRPr="003024E5">
        <w:rPr>
          <w:rFonts w:asciiTheme="minorBidi" w:hAnsiTheme="minorBidi"/>
          <w:rtl/>
        </w:rPr>
        <w:t xml:space="preserve">- פירש מת אסור משום שעלה בגמ' בתיקו </w:t>
      </w:r>
      <w:r w:rsidRPr="003024E5">
        <w:rPr>
          <w:rFonts w:asciiTheme="minorBidi" w:hAnsiTheme="minorBidi"/>
          <w:sz w:val="16"/>
          <w:szCs w:val="16"/>
          <w:rtl/>
        </w:rPr>
        <w:t>{לפי גירסתם שגורסים "פירש מת"}</w:t>
      </w:r>
      <w:r w:rsidRPr="003024E5">
        <w:rPr>
          <w:rFonts w:asciiTheme="minorBidi" w:hAnsiTheme="minorBidi"/>
          <w:rtl/>
        </w:rPr>
        <w:t xml:space="preserve">. </w:t>
      </w:r>
    </w:p>
    <w:p w14:paraId="15CD7EFE" w14:textId="77777777" w:rsidR="002C39F4" w:rsidRPr="003024E5" w:rsidRDefault="002C39F4" w:rsidP="002C39F4">
      <w:pPr>
        <w:rPr>
          <w:rFonts w:asciiTheme="minorBidi" w:hAnsiTheme="minorBidi"/>
          <w:sz w:val="16"/>
          <w:szCs w:val="16"/>
        </w:rPr>
      </w:pPr>
      <w:r w:rsidRPr="003024E5">
        <w:rPr>
          <w:rFonts w:asciiTheme="minorBidi" w:hAnsiTheme="minorBidi"/>
          <w:u w:val="single"/>
          <w:rtl/>
        </w:rPr>
        <w:t>תולעים הנמצאים בעדשים ובפולין והרתיחן עד שמתו התולעים:</w:t>
      </w:r>
      <w:r w:rsidRPr="003024E5">
        <w:rPr>
          <w:rFonts w:asciiTheme="minorBidi" w:hAnsiTheme="minorBidi"/>
          <w:rtl/>
        </w:rPr>
        <w:t xml:space="preserve"> </w:t>
      </w:r>
      <w:r w:rsidRPr="003024E5">
        <w:rPr>
          <w:rFonts w:asciiTheme="minorBidi" w:hAnsiTheme="minorBidi"/>
          <w:sz w:val="16"/>
          <w:szCs w:val="16"/>
          <w:rtl/>
        </w:rPr>
        <w:t xml:space="preserve"> (בדה"ב)</w:t>
      </w:r>
    </w:p>
    <w:p w14:paraId="078D9032" w14:textId="77777777" w:rsidR="002C39F4" w:rsidRPr="003024E5" w:rsidRDefault="002C39F4" w:rsidP="002C39F4">
      <w:pPr>
        <w:pStyle w:val="a8"/>
        <w:numPr>
          <w:ilvl w:val="0"/>
          <w:numId w:val="75"/>
        </w:numPr>
        <w:rPr>
          <w:rFonts w:asciiTheme="minorBidi" w:hAnsiTheme="minorBidi"/>
          <w:rtl/>
        </w:rPr>
      </w:pPr>
      <w:r w:rsidRPr="003024E5">
        <w:rPr>
          <w:rFonts w:asciiTheme="minorBidi" w:hAnsiTheme="minorBidi"/>
          <w:rtl/>
        </w:rPr>
        <w:t xml:space="preserve">רי"ו </w:t>
      </w:r>
      <w:r w:rsidRPr="003024E5">
        <w:rPr>
          <w:rFonts w:asciiTheme="minorBidi" w:hAnsiTheme="minorBidi"/>
          <w:sz w:val="16"/>
          <w:szCs w:val="16"/>
          <w:rtl/>
        </w:rPr>
        <w:t>(נט"ו אות כז)</w:t>
      </w:r>
      <w:r w:rsidRPr="003024E5">
        <w:rPr>
          <w:rFonts w:asciiTheme="minorBidi" w:hAnsiTheme="minorBidi"/>
          <w:rtl/>
        </w:rPr>
        <w:t>- לגירסת ההלכות תולעים הנמצאים בעדשים ובפולין והרתיחן עד שמתו התולעים שבתוכן, וכשבשלם בקדרה מצא מהתולעים בקדרה שיצאו אסורים, ולגי' רש"י מותרים, ולזה הסכימו גדולי המורים.</w:t>
      </w:r>
    </w:p>
    <w:p w14:paraId="5CE1914C" w14:textId="77777777" w:rsidR="002C39F4" w:rsidRPr="003024E5" w:rsidRDefault="002C39F4" w:rsidP="002C39F4">
      <w:pPr>
        <w:rPr>
          <w:rFonts w:asciiTheme="minorBidi" w:hAnsiTheme="minorBidi"/>
          <w:sz w:val="16"/>
          <w:szCs w:val="16"/>
        </w:rPr>
      </w:pPr>
      <w:r w:rsidRPr="003024E5">
        <w:rPr>
          <w:rFonts w:asciiTheme="minorBidi" w:hAnsiTheme="minorBidi"/>
          <w:u w:val="single"/>
          <w:rtl/>
        </w:rPr>
        <w:t>תולעת שנמצאה בפרי וחורו נקוב:</w:t>
      </w:r>
      <w:r w:rsidRPr="003024E5">
        <w:rPr>
          <w:rFonts w:asciiTheme="minorBidi" w:hAnsiTheme="minorBidi"/>
          <w:sz w:val="16"/>
          <w:szCs w:val="16"/>
          <w:rtl/>
        </w:rPr>
        <w:t xml:space="preserve">  (ב"י ודרכ"מ [אות ג])</w:t>
      </w:r>
    </w:p>
    <w:p w14:paraId="54900738" w14:textId="77777777" w:rsidR="002C39F4" w:rsidRPr="003024E5" w:rsidRDefault="002C39F4" w:rsidP="002C39F4">
      <w:pPr>
        <w:pStyle w:val="a8"/>
        <w:numPr>
          <w:ilvl w:val="0"/>
          <w:numId w:val="75"/>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(תוה"</w:t>
      </w:r>
      <w:r>
        <w:rPr>
          <w:rFonts w:asciiTheme="minorBidi" w:hAnsiTheme="minorBidi" w:hint="cs"/>
          <w:sz w:val="16"/>
          <w:szCs w:val="16"/>
          <w:rtl/>
        </w:rPr>
        <w:t>ק ב"ג ש"ג פג.</w:t>
      </w:r>
      <w:r w:rsidRPr="003024E5">
        <w:rPr>
          <w:rFonts w:asciiTheme="minorBidi" w:hAnsiTheme="minorBidi"/>
          <w:sz w:val="16"/>
          <w:szCs w:val="16"/>
          <w:rtl/>
        </w:rPr>
        <w:t>)</w:t>
      </w:r>
      <w:r w:rsidRPr="003024E5">
        <w:rPr>
          <w:rFonts w:asciiTheme="minorBidi" w:hAnsiTheme="minorBidi"/>
          <w:rtl/>
        </w:rPr>
        <w:t xml:space="preserve">- </w:t>
      </w:r>
      <w:r w:rsidRPr="001959BA">
        <w:rPr>
          <w:rFonts w:asciiTheme="minorBidi" w:hAnsiTheme="minorBidi" w:cs="Arial"/>
          <w:rtl/>
        </w:rPr>
        <w:t>נמצא בתוך הפרי אע</w:t>
      </w:r>
      <w:r>
        <w:rPr>
          <w:rFonts w:asciiTheme="minorBidi" w:hAnsiTheme="minorBidi" w:cs="Arial" w:hint="cs"/>
          <w:rtl/>
        </w:rPr>
        <w:t>"</w:t>
      </w:r>
      <w:r w:rsidRPr="001959BA">
        <w:rPr>
          <w:rFonts w:asciiTheme="minorBidi" w:hAnsiTheme="minorBidi" w:cs="Arial"/>
          <w:rtl/>
        </w:rPr>
        <w:t>פ שחורו נקוב לחוץ אין חוששין שמא יצא וחזר לחורו</w:t>
      </w:r>
      <w:r>
        <w:rPr>
          <w:rFonts w:asciiTheme="minorBidi" w:hAnsiTheme="minorBidi" w:cs="Arial" w:hint="cs"/>
          <w:rtl/>
        </w:rPr>
        <w:t>,</w:t>
      </w:r>
      <w:r w:rsidRPr="001959BA">
        <w:rPr>
          <w:rFonts w:asciiTheme="minorBidi" w:hAnsiTheme="minorBidi" w:cs="Arial"/>
          <w:rtl/>
        </w:rPr>
        <w:t xml:space="preserve"> שכל שיוצא מחורו אין חוששין שחזר לחורו</w:t>
      </w:r>
      <w:r w:rsidRPr="003024E5">
        <w:rPr>
          <w:rStyle w:val="a7"/>
          <w:rFonts w:asciiTheme="minorBidi" w:hAnsiTheme="minorBidi"/>
          <w:rtl/>
        </w:rPr>
        <w:footnoteReference w:id="886"/>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3471DDCA" w14:textId="77777777" w:rsidR="002C39F4" w:rsidRPr="003024E5" w:rsidRDefault="002C39F4" w:rsidP="002C39F4">
      <w:pPr>
        <w:pStyle w:val="a8"/>
        <w:numPr>
          <w:ilvl w:val="0"/>
          <w:numId w:val="75"/>
        </w:numPr>
        <w:rPr>
          <w:rFonts w:asciiTheme="minorBidi" w:hAnsiTheme="minorBidi"/>
          <w:rtl/>
        </w:rPr>
      </w:pPr>
      <w:r w:rsidRPr="003024E5">
        <w:rPr>
          <w:rFonts w:asciiTheme="minorBidi" w:hAnsiTheme="minorBidi"/>
          <w:rtl/>
        </w:rPr>
        <w:t xml:space="preserve">מרדכי </w:t>
      </w:r>
      <w:r w:rsidRPr="003024E5">
        <w:rPr>
          <w:rFonts w:asciiTheme="minorBidi" w:hAnsiTheme="minorBidi"/>
          <w:sz w:val="16"/>
          <w:szCs w:val="16"/>
          <w:rtl/>
        </w:rPr>
        <w:t xml:space="preserve">(סי' תרמג) </w:t>
      </w:r>
      <w:r w:rsidRPr="003024E5">
        <w:rPr>
          <w:rFonts w:asciiTheme="minorBidi" w:hAnsiTheme="minorBidi"/>
          <w:rtl/>
        </w:rPr>
        <w:t>ושע"ד</w:t>
      </w:r>
      <w:r w:rsidRPr="003024E5">
        <w:rPr>
          <w:rFonts w:asciiTheme="minorBidi" w:hAnsiTheme="minorBidi"/>
          <w:sz w:val="16"/>
          <w:szCs w:val="16"/>
          <w:rtl/>
        </w:rPr>
        <w:t xml:space="preserve"> (סו"ס מו)</w:t>
      </w:r>
      <w:r w:rsidRPr="003024E5">
        <w:rPr>
          <w:rFonts w:asciiTheme="minorBidi" w:hAnsiTheme="minorBidi"/>
          <w:rtl/>
        </w:rPr>
        <w:t>- אם חורו נקוב לחוץ אסור, חיישינן שמא פירש</w:t>
      </w:r>
      <w:r w:rsidRPr="003024E5">
        <w:rPr>
          <w:rStyle w:val="a7"/>
          <w:rFonts w:asciiTheme="minorBidi" w:hAnsiTheme="minorBidi"/>
          <w:rtl/>
        </w:rPr>
        <w:footnoteReference w:id="887"/>
      </w:r>
      <w:r w:rsidRPr="003024E5">
        <w:rPr>
          <w:rFonts w:asciiTheme="minorBidi" w:hAnsiTheme="minorBidi"/>
          <w:rtl/>
        </w:rPr>
        <w:t>.</w:t>
      </w:r>
      <w:r w:rsidRPr="003024E5">
        <w:rPr>
          <w:rFonts w:asciiTheme="minorBidi" w:hAnsiTheme="minorBidi"/>
          <w:color w:val="00B0F0"/>
          <w:rtl/>
        </w:rPr>
        <w:t xml:space="preserve"> (וכ"פ הרמ"א)</w:t>
      </w:r>
    </w:p>
    <w:p w14:paraId="0F565E2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F67F5B4" w14:textId="77777777" w:rsidR="002C39F4" w:rsidRPr="003024E5" w:rsidRDefault="002C39F4" w:rsidP="002C39F4">
      <w:pPr>
        <w:rPr>
          <w:rFonts w:asciiTheme="minorBidi" w:hAnsiTheme="minorBidi"/>
          <w:rtl/>
        </w:rPr>
      </w:pPr>
      <w:r w:rsidRPr="003024E5">
        <w:rPr>
          <w:rFonts w:asciiTheme="minorBidi" w:hAnsiTheme="minorBidi"/>
          <w:rtl/>
        </w:rPr>
        <w:t>תולעים הגדלים בפירות בתלוש מותרים, שלא אסרה תורה אלא שרץ השורץ על הארץ, במה דברים אמורים שלא פירשו מן הפרי, אבל פירשו מן הפרי, אפילו לא הגיע לארץ אלא שמת באויר קודם שהגיע לארץ, ואפילו לא פירש כולו מהפרי אלא מקצתו, או שלא פירש אלא על גבי הפרי או על הגרעין שבתוכו, או שפירש מפרי לפרי, אסור. ויש אוסרים אפילו מת בתוך הפרי ופירש אח"כ</w:t>
      </w:r>
      <w:r w:rsidRPr="003024E5">
        <w:rPr>
          <w:rStyle w:val="a7"/>
          <w:rFonts w:asciiTheme="minorBidi" w:hAnsiTheme="minorBidi"/>
          <w:rtl/>
        </w:rPr>
        <w:footnoteReference w:id="888"/>
      </w:r>
      <w:r w:rsidRPr="003024E5">
        <w:rPr>
          <w:rFonts w:asciiTheme="minorBidi" w:hAnsiTheme="minorBidi"/>
          <w:rtl/>
        </w:rPr>
        <w:t>. כל זמן שימצא בתוך הפרי אפילו חורו נקוב לחוץ לא חיישינן שמא פירש וחזר</w:t>
      </w:r>
      <w:r w:rsidRPr="003024E5">
        <w:rPr>
          <w:rStyle w:val="a7"/>
          <w:rFonts w:asciiTheme="minorBidi" w:hAnsiTheme="minorBidi"/>
          <w:rtl/>
        </w:rPr>
        <w:footnoteReference w:id="889"/>
      </w:r>
      <w:r w:rsidRPr="003024E5">
        <w:rPr>
          <w:rFonts w:asciiTheme="minorBidi" w:hAnsiTheme="minorBidi"/>
          <w:rtl/>
        </w:rPr>
        <w:t>.</w:t>
      </w:r>
      <w:r w:rsidRPr="003024E5">
        <w:rPr>
          <w:rFonts w:asciiTheme="minorBidi" w:hAnsiTheme="minorBidi"/>
          <w:sz w:val="18"/>
          <w:szCs w:val="18"/>
          <w:rtl/>
        </w:rPr>
        <w:t xml:space="preserve"> [הגה] ויש אוסרים אם חורו נקוב לחוץ</w:t>
      </w:r>
      <w:r w:rsidRPr="003024E5">
        <w:rPr>
          <w:rStyle w:val="a7"/>
          <w:rFonts w:asciiTheme="minorBidi" w:hAnsiTheme="minorBidi"/>
          <w:sz w:val="18"/>
          <w:szCs w:val="18"/>
          <w:rtl/>
        </w:rPr>
        <w:footnoteReference w:id="890"/>
      </w:r>
      <w:r w:rsidRPr="003024E5">
        <w:rPr>
          <w:rFonts w:asciiTheme="minorBidi" w:hAnsiTheme="minorBidi"/>
          <w:sz w:val="18"/>
          <w:szCs w:val="18"/>
          <w:rtl/>
        </w:rPr>
        <w:t xml:space="preserve"> </w:t>
      </w:r>
      <w:r w:rsidRPr="003024E5">
        <w:rPr>
          <w:rFonts w:asciiTheme="minorBidi" w:hAnsiTheme="minorBidi"/>
          <w:sz w:val="16"/>
          <w:szCs w:val="16"/>
          <w:rtl/>
        </w:rPr>
        <w:t>(מרדכי ושע"ד בשם ראב"ן וראבי"ה בשם ר' יואל הובא בתרוה"ד)</w:t>
      </w:r>
      <w:r w:rsidRPr="003024E5">
        <w:rPr>
          <w:rFonts w:asciiTheme="minorBidi" w:hAnsiTheme="minorBidi"/>
          <w:sz w:val="18"/>
          <w:szCs w:val="18"/>
          <w:rtl/>
        </w:rPr>
        <w:t xml:space="preserve">, והכי נהוג </w:t>
      </w:r>
      <w:r w:rsidRPr="003024E5">
        <w:rPr>
          <w:rFonts w:asciiTheme="minorBidi" w:hAnsiTheme="minorBidi"/>
          <w:sz w:val="16"/>
          <w:szCs w:val="16"/>
          <w:rtl/>
        </w:rPr>
        <w:t>(תרוה"ד שם ובהגשע"ד)</w:t>
      </w:r>
      <w:r w:rsidRPr="003024E5">
        <w:rPr>
          <w:rFonts w:asciiTheme="minorBidi" w:hAnsiTheme="minorBidi"/>
          <w:sz w:val="18"/>
          <w:szCs w:val="18"/>
          <w:rtl/>
        </w:rPr>
        <w:t>.</w:t>
      </w:r>
      <w:r w:rsidRPr="003024E5">
        <w:rPr>
          <w:rFonts w:asciiTheme="minorBidi" w:hAnsiTheme="minorBidi"/>
          <w:rtl/>
        </w:rPr>
        <w:t xml:space="preserve"> </w:t>
      </w:r>
    </w:p>
    <w:p w14:paraId="524A0947" w14:textId="77777777" w:rsidR="002C39F4" w:rsidRPr="003024E5" w:rsidRDefault="002C39F4" w:rsidP="002C39F4">
      <w:pPr>
        <w:rPr>
          <w:rFonts w:asciiTheme="minorBidi" w:hAnsiTheme="minorBidi"/>
          <w:rtl/>
        </w:rPr>
      </w:pPr>
    </w:p>
    <w:p w14:paraId="7D52D19D" w14:textId="77777777" w:rsidR="002C39F4" w:rsidRPr="003024E5" w:rsidRDefault="002C39F4" w:rsidP="002C39F4">
      <w:pPr>
        <w:pStyle w:val="2"/>
        <w:rPr>
          <w:rFonts w:asciiTheme="minorBidi" w:hAnsiTheme="minorBidi"/>
          <w:rtl/>
        </w:rPr>
      </w:pPr>
      <w:r w:rsidRPr="003024E5">
        <w:rPr>
          <w:rFonts w:asciiTheme="minorBidi" w:hAnsiTheme="minorBidi"/>
          <w:rtl/>
        </w:rPr>
        <w:t>סעיף ה: תולעים שבקמח.</w:t>
      </w:r>
    </w:p>
    <w:p w14:paraId="6D4078A8" w14:textId="77777777" w:rsidR="002C39F4" w:rsidRPr="003024E5" w:rsidRDefault="002C39F4" w:rsidP="002C39F4">
      <w:pPr>
        <w:rPr>
          <w:rFonts w:asciiTheme="minorBidi" w:hAnsiTheme="minorBidi"/>
          <w:u w:val="single"/>
          <w:rtl/>
        </w:rPr>
      </w:pPr>
      <w:r w:rsidRPr="003024E5">
        <w:rPr>
          <w:rFonts w:asciiTheme="minorBidi" w:hAnsiTheme="minorBidi"/>
          <w:u w:val="single"/>
          <w:rtl/>
        </w:rPr>
        <w:t>תולעים שבקמח:</w:t>
      </w:r>
    </w:p>
    <w:p w14:paraId="5D61B25A" w14:textId="77777777" w:rsidR="002C39F4" w:rsidRPr="003024E5" w:rsidRDefault="002C39F4" w:rsidP="002C39F4">
      <w:pPr>
        <w:pStyle w:val="a8"/>
        <w:numPr>
          <w:ilvl w:val="0"/>
          <w:numId w:val="77"/>
        </w:numPr>
        <w:rPr>
          <w:rFonts w:asciiTheme="minorBidi" w:hAnsiTheme="minorBidi"/>
        </w:rPr>
      </w:pPr>
      <w:r w:rsidRPr="003024E5">
        <w:rPr>
          <w:rFonts w:asciiTheme="minorBidi" w:hAnsiTheme="minorBidi"/>
          <w:rtl/>
        </w:rPr>
        <w:t>מהר"ח</w:t>
      </w:r>
      <w:r>
        <w:rPr>
          <w:rFonts w:asciiTheme="minorBidi" w:hAnsiTheme="minorBidi" w:hint="cs"/>
          <w:rtl/>
        </w:rPr>
        <w:t xml:space="preserve"> </w:t>
      </w:r>
      <w:r w:rsidRPr="003024E5">
        <w:rPr>
          <w:rFonts w:asciiTheme="minorBidi" w:hAnsiTheme="minorBidi"/>
          <w:rtl/>
        </w:rPr>
        <w:t>או"ז רא"ש והגשע"ד</w:t>
      </w:r>
      <w:r w:rsidRPr="003024E5">
        <w:rPr>
          <w:rStyle w:val="a7"/>
          <w:rFonts w:asciiTheme="minorBidi" w:hAnsiTheme="minorBidi"/>
          <w:rtl/>
        </w:rPr>
        <w:footnoteReference w:id="891"/>
      </w:r>
      <w:r w:rsidRPr="003024E5">
        <w:rPr>
          <w:rFonts w:asciiTheme="minorBidi" w:hAnsiTheme="minorBidi"/>
          <w:rtl/>
        </w:rPr>
        <w:t>- תולעים הנמצאים במלח ובקמח אסורים מאן יימר דלא פרשי ושרצי על הארץ וחוזרים</w:t>
      </w:r>
      <w:r w:rsidRPr="003024E5">
        <w:rPr>
          <w:rStyle w:val="a7"/>
          <w:rFonts w:asciiTheme="minorBidi" w:hAnsiTheme="minorBidi"/>
          <w:rtl/>
        </w:rPr>
        <w:footnoteReference w:id="892"/>
      </w:r>
      <w:r w:rsidRPr="003024E5">
        <w:rPr>
          <w:rFonts w:asciiTheme="minorBidi" w:hAnsiTheme="minorBidi"/>
          <w:rtl/>
        </w:rPr>
        <w:t>.</w:t>
      </w:r>
      <w:r w:rsidRPr="003024E5">
        <w:rPr>
          <w:rFonts w:asciiTheme="minorBidi" w:hAnsiTheme="minorBidi"/>
          <w:color w:val="E36C0A" w:themeColor="accent6" w:themeShade="BF"/>
          <w:rtl/>
        </w:rPr>
        <w:t xml:space="preserve"> (וכ"פ בשו"ע</w:t>
      </w:r>
      <w:r w:rsidRPr="003024E5">
        <w:rPr>
          <w:rStyle w:val="a7"/>
          <w:rFonts w:asciiTheme="minorBidi" w:hAnsiTheme="minorBidi"/>
          <w:rtl/>
        </w:rPr>
        <w:footnoteReference w:id="893"/>
      </w:r>
      <w:r w:rsidRPr="003024E5">
        <w:rPr>
          <w:rFonts w:asciiTheme="minorBidi" w:hAnsiTheme="minorBidi"/>
          <w:color w:val="E36C0A" w:themeColor="accent6" w:themeShade="BF"/>
          <w:rtl/>
        </w:rPr>
        <w:t>)</w:t>
      </w:r>
      <w:r>
        <w:rPr>
          <w:rFonts w:asciiTheme="minorBidi" w:hAnsiTheme="minorBidi" w:hint="cs"/>
          <w:rtl/>
        </w:rPr>
        <w:t xml:space="preserve"> </w:t>
      </w:r>
    </w:p>
    <w:p w14:paraId="08040123" w14:textId="77777777" w:rsidR="002C39F4" w:rsidRPr="00FC602B" w:rsidRDefault="002C39F4" w:rsidP="002C39F4">
      <w:pPr>
        <w:pStyle w:val="a8"/>
        <w:numPr>
          <w:ilvl w:val="0"/>
          <w:numId w:val="77"/>
        </w:numPr>
        <w:rPr>
          <w:rFonts w:asciiTheme="minorBidi" w:hAnsiTheme="minorBidi"/>
          <w:rtl/>
        </w:rPr>
      </w:pPr>
      <w:r w:rsidRPr="003024E5">
        <w:rPr>
          <w:rFonts w:asciiTheme="minorBidi" w:hAnsiTheme="minorBidi"/>
          <w:rtl/>
        </w:rPr>
        <w:t xml:space="preserve">רוקח </w:t>
      </w:r>
      <w:r w:rsidRPr="003024E5">
        <w:rPr>
          <w:rFonts w:asciiTheme="minorBidi" w:hAnsiTheme="minorBidi"/>
          <w:sz w:val="16"/>
          <w:szCs w:val="16"/>
          <w:rtl/>
        </w:rPr>
        <w:t>(הל' או"ה סי' תסא)</w:t>
      </w:r>
      <w:r w:rsidRPr="003024E5">
        <w:rPr>
          <w:rFonts w:asciiTheme="minorBidi" w:hAnsiTheme="minorBidi"/>
          <w:rtl/>
        </w:rPr>
        <w:t xml:space="preserve"> ושע"ד </w:t>
      </w:r>
      <w:r w:rsidRPr="003024E5">
        <w:rPr>
          <w:rFonts w:asciiTheme="minorBidi" w:hAnsiTheme="minorBidi"/>
          <w:sz w:val="16"/>
          <w:szCs w:val="16"/>
          <w:rtl/>
        </w:rPr>
        <w:t>(סי' נד)</w:t>
      </w:r>
      <w:r w:rsidRPr="003024E5">
        <w:rPr>
          <w:rFonts w:asciiTheme="minorBidi" w:hAnsiTheme="minorBidi"/>
          <w:rtl/>
        </w:rPr>
        <w:t>- תולעים הנמצאים שגדלו מן הקמח מותרין אבל אם שרצו בנפה אסורין</w:t>
      </w:r>
      <w:r w:rsidRPr="003024E5">
        <w:rPr>
          <w:rStyle w:val="a7"/>
          <w:rFonts w:asciiTheme="minorBidi" w:hAnsiTheme="minorBidi"/>
          <w:rtl/>
        </w:rPr>
        <w:footnoteReference w:id="894"/>
      </w:r>
      <w:r w:rsidRPr="003024E5">
        <w:rPr>
          <w:rFonts w:asciiTheme="minorBidi" w:hAnsiTheme="minorBidi"/>
          <w:rtl/>
        </w:rPr>
        <w:t>.</w:t>
      </w:r>
    </w:p>
    <w:p w14:paraId="1CAC586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AC86C91" w14:textId="77777777" w:rsidR="002C39F4" w:rsidRPr="003024E5" w:rsidRDefault="002C39F4" w:rsidP="002C39F4">
      <w:pPr>
        <w:rPr>
          <w:rFonts w:asciiTheme="minorBidi" w:hAnsiTheme="minorBidi"/>
          <w:rtl/>
        </w:rPr>
      </w:pPr>
      <w:r w:rsidRPr="003024E5">
        <w:rPr>
          <w:rFonts w:asciiTheme="minorBidi" w:hAnsiTheme="minorBidi"/>
          <w:rtl/>
        </w:rPr>
        <w:t>תולעים הנמצאים בקמח</w:t>
      </w:r>
      <w:r w:rsidRPr="003024E5">
        <w:rPr>
          <w:rStyle w:val="a7"/>
          <w:rFonts w:asciiTheme="minorBidi" w:hAnsiTheme="minorBidi"/>
          <w:rtl/>
        </w:rPr>
        <w:footnoteReference w:id="895"/>
      </w:r>
      <w:r w:rsidRPr="003024E5">
        <w:rPr>
          <w:rFonts w:asciiTheme="minorBidi" w:hAnsiTheme="minorBidi"/>
          <w:rtl/>
        </w:rPr>
        <w:t xml:space="preserve"> וכיוצא בו אסורים, שמא פירשו ושרצו על הארץ</w:t>
      </w:r>
      <w:r w:rsidRPr="003024E5">
        <w:rPr>
          <w:rStyle w:val="a7"/>
          <w:rFonts w:asciiTheme="minorBidi" w:hAnsiTheme="minorBidi"/>
          <w:rtl/>
        </w:rPr>
        <w:footnoteReference w:id="896"/>
      </w:r>
      <w:r w:rsidRPr="003024E5">
        <w:rPr>
          <w:rFonts w:asciiTheme="minorBidi" w:hAnsiTheme="minorBidi"/>
          <w:rtl/>
        </w:rPr>
        <w:t xml:space="preserve"> וחזרו </w:t>
      </w:r>
      <w:r w:rsidRPr="003024E5">
        <w:rPr>
          <w:rFonts w:asciiTheme="minorBidi" w:hAnsiTheme="minorBidi"/>
          <w:sz w:val="16"/>
          <w:szCs w:val="16"/>
          <w:rtl/>
        </w:rPr>
        <w:t>(רא"ש כלל כ סי' ג)</w:t>
      </w:r>
      <w:r w:rsidRPr="003024E5">
        <w:rPr>
          <w:rFonts w:asciiTheme="minorBidi" w:hAnsiTheme="minorBidi"/>
          <w:rtl/>
        </w:rPr>
        <w:t xml:space="preserve">. </w:t>
      </w:r>
      <w:r w:rsidRPr="003024E5">
        <w:rPr>
          <w:rFonts w:asciiTheme="minorBidi" w:hAnsiTheme="minorBidi"/>
          <w:sz w:val="18"/>
          <w:szCs w:val="18"/>
          <w:rtl/>
        </w:rPr>
        <w:t xml:space="preserve">הגה: והוא הדין במלח או שאר דברים שאינו משקה </w:t>
      </w:r>
      <w:r w:rsidRPr="003024E5">
        <w:rPr>
          <w:rFonts w:asciiTheme="minorBidi" w:hAnsiTheme="minorBidi"/>
          <w:sz w:val="16"/>
          <w:szCs w:val="16"/>
          <w:rtl/>
        </w:rPr>
        <w:t>(רא"ש והגשע"ד בשם מהר"ח)</w:t>
      </w:r>
      <w:r w:rsidRPr="003024E5">
        <w:rPr>
          <w:rFonts w:asciiTheme="minorBidi" w:hAnsiTheme="minorBidi"/>
          <w:sz w:val="18"/>
          <w:szCs w:val="18"/>
          <w:rtl/>
        </w:rPr>
        <w:t>, ואסור למכרו לגוי</w:t>
      </w:r>
      <w:r w:rsidRPr="003024E5">
        <w:rPr>
          <w:rStyle w:val="a7"/>
          <w:rFonts w:asciiTheme="minorBidi" w:hAnsiTheme="minorBidi"/>
          <w:sz w:val="18"/>
          <w:szCs w:val="18"/>
          <w:rtl/>
        </w:rPr>
        <w:footnoteReference w:id="897"/>
      </w:r>
      <w:r w:rsidRPr="003024E5">
        <w:rPr>
          <w:rFonts w:asciiTheme="minorBidi" w:hAnsiTheme="minorBidi"/>
          <w:sz w:val="18"/>
          <w:szCs w:val="18"/>
          <w:rtl/>
        </w:rPr>
        <w:t xml:space="preserve"> שמא יחזור וימכרנו</w:t>
      </w:r>
      <w:r w:rsidRPr="003024E5">
        <w:rPr>
          <w:rStyle w:val="a7"/>
          <w:rFonts w:asciiTheme="minorBidi" w:hAnsiTheme="minorBidi"/>
          <w:sz w:val="18"/>
          <w:szCs w:val="18"/>
          <w:rtl/>
        </w:rPr>
        <w:footnoteReference w:id="898"/>
      </w:r>
      <w:r w:rsidRPr="003024E5">
        <w:rPr>
          <w:rFonts w:asciiTheme="minorBidi" w:hAnsiTheme="minorBidi"/>
          <w:sz w:val="18"/>
          <w:szCs w:val="18"/>
          <w:rtl/>
        </w:rPr>
        <w:t xml:space="preserve"> לישראל</w:t>
      </w:r>
      <w:r w:rsidRPr="003024E5">
        <w:rPr>
          <w:rStyle w:val="a7"/>
          <w:rFonts w:asciiTheme="minorBidi" w:hAnsiTheme="minorBidi"/>
          <w:sz w:val="18"/>
          <w:szCs w:val="18"/>
          <w:rtl/>
        </w:rPr>
        <w:footnoteReference w:id="899"/>
      </w:r>
      <w:r w:rsidRPr="003024E5">
        <w:rPr>
          <w:rFonts w:asciiTheme="minorBidi" w:hAnsiTheme="minorBidi"/>
          <w:sz w:val="18"/>
          <w:szCs w:val="18"/>
          <w:rtl/>
        </w:rPr>
        <w:t xml:space="preserve"> </w:t>
      </w:r>
      <w:r w:rsidRPr="003024E5">
        <w:rPr>
          <w:rFonts w:asciiTheme="minorBidi" w:hAnsiTheme="minorBidi"/>
          <w:sz w:val="16"/>
          <w:szCs w:val="16"/>
          <w:rtl/>
        </w:rPr>
        <w:t xml:space="preserve">(הגשע"ד, ומהרי"ב </w:t>
      </w:r>
      <w:r>
        <w:rPr>
          <w:rFonts w:asciiTheme="minorBidi" w:hAnsiTheme="minorBidi" w:hint="cs"/>
          <w:sz w:val="16"/>
          <w:szCs w:val="16"/>
          <w:rtl/>
        </w:rPr>
        <w:t xml:space="preserve">קיבל כן </w:t>
      </w:r>
      <w:r w:rsidRPr="003024E5">
        <w:rPr>
          <w:rFonts w:asciiTheme="minorBidi" w:hAnsiTheme="minorBidi"/>
          <w:sz w:val="16"/>
          <w:szCs w:val="16"/>
          <w:rtl/>
        </w:rPr>
        <w:t>ממהרי"ש)</w:t>
      </w:r>
      <w:r w:rsidRPr="003024E5">
        <w:rPr>
          <w:rFonts w:asciiTheme="minorBidi" w:hAnsiTheme="minorBidi"/>
          <w:sz w:val="18"/>
          <w:szCs w:val="18"/>
          <w:rtl/>
        </w:rPr>
        <w:t>.</w:t>
      </w:r>
      <w:r w:rsidRPr="003024E5">
        <w:rPr>
          <w:rFonts w:asciiTheme="minorBidi" w:hAnsiTheme="minorBidi"/>
          <w:rtl/>
        </w:rPr>
        <w:t xml:space="preserve"> </w:t>
      </w:r>
    </w:p>
    <w:p w14:paraId="15F9C7E7" w14:textId="77777777" w:rsidR="002C39F4" w:rsidRPr="003024E5" w:rsidRDefault="002C39F4" w:rsidP="002C39F4">
      <w:pPr>
        <w:rPr>
          <w:rFonts w:asciiTheme="minorBidi" w:hAnsiTheme="minorBidi"/>
          <w:rtl/>
        </w:rPr>
      </w:pPr>
      <w:r w:rsidRPr="003024E5">
        <w:rPr>
          <w:rFonts w:asciiTheme="minorBidi" w:hAnsiTheme="minorBidi"/>
          <w:u w:val="single"/>
          <w:rtl/>
        </w:rPr>
        <w:t>האם מותר למכור קמח שהתליע וכדו' לגוי מעט מעט</w:t>
      </w:r>
      <w:r w:rsidRPr="003024E5">
        <w:rPr>
          <w:rStyle w:val="a7"/>
          <w:rFonts w:asciiTheme="minorBidi" w:hAnsiTheme="minorBidi"/>
          <w:u w:val="single"/>
          <w:rtl/>
        </w:rPr>
        <w:footnoteReference w:id="900"/>
      </w:r>
      <w:r w:rsidRPr="003024E5">
        <w:rPr>
          <w:rFonts w:asciiTheme="minorBidi" w:hAnsiTheme="minorBidi"/>
          <w:u w:val="single"/>
          <w:rtl/>
        </w:rPr>
        <w:t>:</w:t>
      </w:r>
    </w:p>
    <w:p w14:paraId="2A769880" w14:textId="77777777" w:rsidR="002C39F4" w:rsidRPr="003024E5" w:rsidRDefault="002C39F4" w:rsidP="002C39F4">
      <w:pPr>
        <w:pStyle w:val="a8"/>
        <w:numPr>
          <w:ilvl w:val="0"/>
          <w:numId w:val="80"/>
        </w:numPr>
        <w:rPr>
          <w:rFonts w:asciiTheme="minorBidi" w:hAnsiTheme="minorBidi"/>
        </w:rPr>
      </w:pPr>
      <w:r w:rsidRPr="003024E5">
        <w:rPr>
          <w:rFonts w:asciiTheme="minorBidi" w:hAnsiTheme="minorBidi"/>
          <w:rtl/>
        </w:rPr>
        <w:t>ט"ז</w:t>
      </w:r>
      <w:r w:rsidRPr="003024E5">
        <w:rPr>
          <w:rFonts w:asciiTheme="minorBidi" w:hAnsiTheme="minorBidi"/>
          <w:sz w:val="16"/>
          <w:szCs w:val="16"/>
          <w:rtl/>
        </w:rPr>
        <w:t xml:space="preserve"> (סק"ט)</w:t>
      </w:r>
      <w:r w:rsidRPr="003024E5">
        <w:rPr>
          <w:rFonts w:asciiTheme="minorBidi" w:hAnsiTheme="minorBidi"/>
          <w:rtl/>
        </w:rPr>
        <w:t xml:space="preserve"> וש"ך </w:t>
      </w:r>
      <w:r w:rsidRPr="003024E5">
        <w:rPr>
          <w:rFonts w:asciiTheme="minorBidi" w:hAnsiTheme="minorBidi"/>
          <w:sz w:val="16"/>
          <w:szCs w:val="16"/>
          <w:rtl/>
        </w:rPr>
        <w:t>(סקי"ז)</w:t>
      </w:r>
      <w:r w:rsidRPr="003024E5">
        <w:rPr>
          <w:rFonts w:asciiTheme="minorBidi" w:hAnsiTheme="minorBidi"/>
          <w:rtl/>
        </w:rPr>
        <w:t>- מותר למכרו מעט מעט בענין שלא ימכרנו הגוי אח"כ לישראל</w:t>
      </w:r>
      <w:r w:rsidRPr="003024E5">
        <w:rPr>
          <w:rFonts w:asciiTheme="minorBidi" w:hAnsiTheme="minorBidi"/>
          <w:sz w:val="16"/>
          <w:szCs w:val="16"/>
          <w:rtl/>
        </w:rPr>
        <w:t xml:space="preserve"> (ל' הש"ך)</w:t>
      </w:r>
      <w:r w:rsidRPr="003024E5">
        <w:rPr>
          <w:rFonts w:asciiTheme="minorBidi" w:hAnsiTheme="minorBidi"/>
          <w:rtl/>
        </w:rPr>
        <w:t>.</w:t>
      </w:r>
    </w:p>
    <w:p w14:paraId="22C52717" w14:textId="77777777" w:rsidR="002C39F4" w:rsidRPr="003024E5" w:rsidRDefault="002C39F4" w:rsidP="002C39F4">
      <w:pPr>
        <w:pStyle w:val="a8"/>
        <w:numPr>
          <w:ilvl w:val="0"/>
          <w:numId w:val="80"/>
        </w:numPr>
        <w:rPr>
          <w:rFonts w:asciiTheme="minorBidi" w:hAnsiTheme="minorBidi"/>
          <w:rtl/>
        </w:rPr>
      </w:pPr>
      <w:r w:rsidRPr="003024E5">
        <w:rPr>
          <w:rFonts w:asciiTheme="minorBidi" w:hAnsiTheme="minorBidi"/>
          <w:rtl/>
        </w:rPr>
        <w:t xml:space="preserve">פר"ח </w:t>
      </w:r>
      <w:r w:rsidRPr="003024E5">
        <w:rPr>
          <w:rFonts w:asciiTheme="minorBidi" w:hAnsiTheme="minorBidi"/>
          <w:sz w:val="16"/>
          <w:szCs w:val="16"/>
          <w:rtl/>
        </w:rPr>
        <w:t>(סקי"ח)</w:t>
      </w:r>
      <w:r>
        <w:rPr>
          <w:rFonts w:asciiTheme="minorBidi" w:hAnsiTheme="minorBidi" w:hint="cs"/>
          <w:rtl/>
        </w:rPr>
        <w:t xml:space="preserve"> ופנמ"א </w:t>
      </w:r>
      <w:r>
        <w:rPr>
          <w:rFonts w:asciiTheme="minorBidi" w:hAnsiTheme="minorBidi" w:hint="cs"/>
          <w:sz w:val="16"/>
          <w:szCs w:val="16"/>
          <w:rtl/>
        </w:rPr>
        <w:t>(ח"ג סי' לה)</w:t>
      </w:r>
      <w:r w:rsidRPr="003024E5">
        <w:rPr>
          <w:rFonts w:asciiTheme="minorBidi" w:hAnsiTheme="minorBidi"/>
          <w:rtl/>
        </w:rPr>
        <w:t>- אסור</w:t>
      </w:r>
      <w:r w:rsidRPr="003024E5">
        <w:rPr>
          <w:rStyle w:val="a7"/>
          <w:rFonts w:asciiTheme="minorBidi" w:hAnsiTheme="minorBidi"/>
          <w:rtl/>
        </w:rPr>
        <w:footnoteReference w:id="901"/>
      </w:r>
      <w:r w:rsidRPr="003024E5">
        <w:rPr>
          <w:rFonts w:asciiTheme="minorBidi" w:hAnsiTheme="minorBidi"/>
          <w:rtl/>
        </w:rPr>
        <w:t>, כיון דאף במעט מלח יש לחוש אולי יתננו בפת או בדברים אחרים שמותר ליקח מהם</w:t>
      </w:r>
      <w:r w:rsidRPr="003024E5">
        <w:rPr>
          <w:rStyle w:val="a7"/>
          <w:rFonts w:asciiTheme="minorBidi" w:hAnsiTheme="minorBidi"/>
          <w:rtl/>
        </w:rPr>
        <w:footnoteReference w:id="902"/>
      </w:r>
      <w:r w:rsidRPr="003024E5">
        <w:rPr>
          <w:rFonts w:asciiTheme="minorBidi" w:hAnsiTheme="minorBidi"/>
          <w:rtl/>
        </w:rPr>
        <w:t>, ומ"מ יוכל לעשותו פת ולפתתו לשנים ואח"כ ימכרנו לעכו"ם</w:t>
      </w:r>
      <w:r w:rsidRPr="003024E5">
        <w:rPr>
          <w:rFonts w:asciiTheme="minorBidi" w:hAnsiTheme="minorBidi"/>
          <w:sz w:val="16"/>
          <w:szCs w:val="16"/>
          <w:rtl/>
        </w:rPr>
        <w:t xml:space="preserve"> (וכמש"כ המחבר לקמן בסי' קיב)</w:t>
      </w:r>
      <w:r w:rsidRPr="003024E5">
        <w:rPr>
          <w:rFonts w:asciiTheme="minorBidi" w:hAnsiTheme="minorBidi"/>
          <w:rtl/>
        </w:rPr>
        <w:t>.</w:t>
      </w:r>
    </w:p>
    <w:p w14:paraId="007966DD" w14:textId="77777777" w:rsidR="002C39F4" w:rsidRPr="003024E5" w:rsidRDefault="002C39F4" w:rsidP="002C39F4">
      <w:pPr>
        <w:rPr>
          <w:rFonts w:asciiTheme="minorBidi" w:hAnsiTheme="minorBidi"/>
          <w:u w:val="single"/>
          <w:rtl/>
        </w:rPr>
      </w:pPr>
      <w:r w:rsidRPr="003024E5">
        <w:rPr>
          <w:rFonts w:asciiTheme="minorBidi" w:hAnsiTheme="minorBidi"/>
          <w:u w:val="single"/>
          <w:rtl/>
        </w:rPr>
        <w:t>האם מותר להאכיל בקמח זה את עבדו ושפחתו הגויים:</w:t>
      </w:r>
    </w:p>
    <w:p w14:paraId="4C6BE707" w14:textId="77777777" w:rsidR="002C39F4" w:rsidRPr="003024E5" w:rsidRDefault="002C39F4" w:rsidP="002C39F4">
      <w:pPr>
        <w:pStyle w:val="a8"/>
        <w:numPr>
          <w:ilvl w:val="0"/>
          <w:numId w:val="78"/>
        </w:numPr>
        <w:rPr>
          <w:rFonts w:asciiTheme="minorBidi" w:hAnsiTheme="minorBidi"/>
          <w:rtl/>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 xml:space="preserve">(כלל מא ד"ו) </w:t>
      </w:r>
      <w:r w:rsidRPr="003024E5">
        <w:rPr>
          <w:rFonts w:asciiTheme="minorBidi" w:hAnsiTheme="minorBidi"/>
          <w:rtl/>
        </w:rPr>
        <w:t xml:space="preserve">רש"ל </w:t>
      </w:r>
      <w:r w:rsidRPr="003024E5">
        <w:rPr>
          <w:rFonts w:asciiTheme="minorBidi" w:hAnsiTheme="minorBidi"/>
          <w:sz w:val="16"/>
          <w:szCs w:val="16"/>
          <w:rtl/>
        </w:rPr>
        <w:t>(יש"ש פ"ג סי' קכה, הביאו הט"ז)</w:t>
      </w:r>
      <w:r w:rsidRPr="003024E5">
        <w:rPr>
          <w:rFonts w:asciiTheme="minorBidi" w:hAnsiTheme="minorBidi"/>
          <w:rtl/>
        </w:rPr>
        <w:t xml:space="preserve"> וש"ך </w:t>
      </w:r>
      <w:r w:rsidRPr="003024E5">
        <w:rPr>
          <w:rFonts w:asciiTheme="minorBidi" w:hAnsiTheme="minorBidi"/>
          <w:sz w:val="16"/>
          <w:szCs w:val="16"/>
          <w:rtl/>
        </w:rPr>
        <w:t>(סקי"ז)</w:t>
      </w:r>
      <w:r w:rsidRPr="003024E5">
        <w:rPr>
          <w:rFonts w:asciiTheme="minorBidi" w:hAnsiTheme="minorBidi"/>
          <w:rtl/>
        </w:rPr>
        <w:t>- שרי להאכיל לעבדו ושפחתו</w:t>
      </w:r>
      <w:r w:rsidRPr="003024E5">
        <w:rPr>
          <w:rStyle w:val="a7"/>
          <w:rFonts w:asciiTheme="minorBidi" w:hAnsiTheme="minorBidi"/>
          <w:rtl/>
        </w:rPr>
        <w:footnoteReference w:id="903"/>
      </w:r>
      <w:r w:rsidRPr="003024E5">
        <w:rPr>
          <w:rFonts w:asciiTheme="minorBidi" w:hAnsiTheme="minorBidi"/>
          <w:rtl/>
        </w:rPr>
        <w:t xml:space="preserve">. </w:t>
      </w:r>
    </w:p>
    <w:p w14:paraId="628AE0F7" w14:textId="77777777" w:rsidR="002C39F4" w:rsidRPr="003024E5" w:rsidRDefault="002C39F4" w:rsidP="002C39F4">
      <w:pPr>
        <w:pStyle w:val="a8"/>
        <w:numPr>
          <w:ilvl w:val="0"/>
          <w:numId w:val="78"/>
        </w:numPr>
        <w:rPr>
          <w:rFonts w:asciiTheme="minorBidi" w:hAnsiTheme="minorBidi"/>
        </w:rPr>
      </w:pPr>
      <w:r w:rsidRPr="003024E5">
        <w:rPr>
          <w:rFonts w:asciiTheme="minorBidi" w:hAnsiTheme="minorBidi"/>
          <w:rtl/>
        </w:rPr>
        <w:t xml:space="preserve">ט"ז </w:t>
      </w:r>
      <w:r w:rsidRPr="003024E5">
        <w:rPr>
          <w:rFonts w:asciiTheme="minorBidi" w:hAnsiTheme="minorBidi"/>
          <w:sz w:val="16"/>
          <w:szCs w:val="16"/>
          <w:rtl/>
        </w:rPr>
        <w:t>(סק"ז)</w:t>
      </w:r>
      <w:r w:rsidRPr="003024E5">
        <w:rPr>
          <w:rFonts w:asciiTheme="minorBidi" w:hAnsiTheme="minorBidi"/>
          <w:rtl/>
        </w:rPr>
        <w:t>- אין לחלק בזה בין זמן מרובה למועט דגם במועט יש לחוש לתקלה, ואע"ג דבסי' פ"ו נתבאר דבזמן מועט לא חיישינן לתקלה שאני התם דהבעלים בדילי מדבר זה ואין להם עסק בו ולא חיישינן למכשול, משא"כ כאן שיעשה ממנו פת ושמא יתערב פת זה עם שאר פת כיון שהוא נאכל בתוך ביתו א"א ליזהר שלא יתערב עם פת אחר.</w:t>
      </w:r>
    </w:p>
    <w:p w14:paraId="04E55ED7" w14:textId="77777777" w:rsidR="002C39F4" w:rsidRPr="003024E5" w:rsidRDefault="002C39F4" w:rsidP="002C39F4">
      <w:pPr>
        <w:rPr>
          <w:rFonts w:asciiTheme="minorBidi" w:hAnsiTheme="minorBidi"/>
          <w:u w:val="single"/>
        </w:rPr>
      </w:pPr>
      <w:r w:rsidRPr="003024E5">
        <w:rPr>
          <w:rFonts w:asciiTheme="minorBidi" w:hAnsiTheme="minorBidi"/>
          <w:u w:val="single"/>
          <w:rtl/>
        </w:rPr>
        <w:t>עשיית יי"ש מקמח מתולע:</w:t>
      </w:r>
    </w:p>
    <w:p w14:paraId="6E74224A" w14:textId="77777777" w:rsidR="002C39F4" w:rsidRDefault="002C39F4" w:rsidP="002C39F4">
      <w:pPr>
        <w:pStyle w:val="a8"/>
        <w:numPr>
          <w:ilvl w:val="0"/>
          <w:numId w:val="79"/>
        </w:numPr>
        <w:rPr>
          <w:rFonts w:asciiTheme="minorBidi" w:hAnsiTheme="minorBidi"/>
        </w:rPr>
      </w:pPr>
      <w:r w:rsidRPr="003024E5">
        <w:rPr>
          <w:rFonts w:asciiTheme="minorBidi" w:hAnsiTheme="minorBidi"/>
          <w:rtl/>
        </w:rPr>
        <w:t>ט"ז</w:t>
      </w:r>
      <w:r w:rsidRPr="003024E5">
        <w:rPr>
          <w:rFonts w:asciiTheme="minorBidi" w:hAnsiTheme="minorBidi"/>
          <w:sz w:val="16"/>
          <w:szCs w:val="16"/>
          <w:rtl/>
        </w:rPr>
        <w:t xml:space="preserve"> (סק"ט)</w:t>
      </w:r>
      <w:r w:rsidRPr="003024E5">
        <w:rPr>
          <w:rFonts w:asciiTheme="minorBidi" w:hAnsiTheme="minorBidi"/>
          <w:rtl/>
        </w:rPr>
        <w:t>- נשאלתי בקמח שהתליע ורוצה לעשות ממנו יין שרף, דהיינו שמוציאין זיעה ממנו ואותה זיעה נעשה יין שרף, דכאן לא הוה רק טעם לחוד לא שום ממשות, והשבתי דאין כאן משום אין מבטלין איסור כו' דהא לא נתכוין רק להוציא זיעה מן הקמח, וכמ"ש לעיל סימן זה בשם תרוה"ד, אכן אסרתי מטעם אחר דהא חזינן דאפילו לעכו"ם אסור רק קבא קבא מטעם שמא ימכרנו לישראל ה"נ אם יהיה לישראל שום היתר יבוא לאכלו כשהוא בעין.</w:t>
      </w:r>
    </w:p>
    <w:p w14:paraId="785455F5" w14:textId="77777777" w:rsidR="002C39F4" w:rsidRPr="003024E5" w:rsidRDefault="002C39F4" w:rsidP="002C39F4">
      <w:pPr>
        <w:pStyle w:val="a8"/>
        <w:numPr>
          <w:ilvl w:val="0"/>
          <w:numId w:val="79"/>
        </w:numPr>
        <w:rPr>
          <w:rFonts w:asciiTheme="minorBidi" w:hAnsiTheme="minorBidi"/>
          <w:rtl/>
        </w:rPr>
      </w:pPr>
      <w:r w:rsidRPr="005E1C9A">
        <w:rPr>
          <w:rFonts w:asciiTheme="minorBidi" w:hAnsiTheme="minorBidi" w:cs="Arial"/>
          <w:rtl/>
        </w:rPr>
        <w:t xml:space="preserve">פר"ח </w:t>
      </w:r>
      <w:r w:rsidRPr="005E1C9A">
        <w:rPr>
          <w:rFonts w:asciiTheme="minorBidi" w:hAnsiTheme="minorBidi" w:cs="Arial" w:hint="cs"/>
          <w:sz w:val="16"/>
          <w:szCs w:val="16"/>
          <w:rtl/>
        </w:rPr>
        <w:t xml:space="preserve">(סקי"ח) </w:t>
      </w:r>
      <w:r>
        <w:rPr>
          <w:rFonts w:asciiTheme="minorBidi" w:hAnsiTheme="minorBidi" w:cs="Arial" w:hint="cs"/>
          <w:rtl/>
        </w:rPr>
        <w:t xml:space="preserve">צ"צ </w:t>
      </w:r>
      <w:r w:rsidRPr="005E1C9A">
        <w:rPr>
          <w:rFonts w:asciiTheme="minorBidi" w:hAnsiTheme="minorBidi" w:cs="Arial" w:hint="cs"/>
          <w:sz w:val="16"/>
          <w:szCs w:val="16"/>
          <w:rtl/>
        </w:rPr>
        <w:t xml:space="preserve">(סי' נא) </w:t>
      </w:r>
      <w:r>
        <w:rPr>
          <w:rFonts w:asciiTheme="minorBidi" w:hAnsiTheme="minorBidi" w:cs="Arial" w:hint="cs"/>
          <w:rtl/>
        </w:rPr>
        <w:t xml:space="preserve">ופנמ"א </w:t>
      </w:r>
      <w:r w:rsidRPr="005E1C9A">
        <w:rPr>
          <w:rFonts w:asciiTheme="minorBidi" w:hAnsiTheme="minorBidi" w:cs="Arial" w:hint="cs"/>
          <w:sz w:val="16"/>
          <w:szCs w:val="16"/>
          <w:rtl/>
        </w:rPr>
        <w:t>(ח"ג סי' לה)</w:t>
      </w:r>
      <w:r>
        <w:rPr>
          <w:rFonts w:asciiTheme="minorBidi" w:hAnsiTheme="minorBidi" w:cs="Arial" w:hint="cs"/>
          <w:rtl/>
        </w:rPr>
        <w:t>- מותר</w:t>
      </w:r>
      <w:r w:rsidRPr="005E1C9A">
        <w:rPr>
          <w:rFonts w:asciiTheme="minorBidi" w:hAnsiTheme="minorBidi" w:cs="Arial"/>
          <w:rtl/>
        </w:rPr>
        <w:t xml:space="preserve"> לעשות</w:t>
      </w:r>
      <w:r>
        <w:rPr>
          <w:rFonts w:asciiTheme="minorBidi" w:hAnsiTheme="minorBidi" w:cs="Arial" w:hint="cs"/>
          <w:rtl/>
        </w:rPr>
        <w:t xml:space="preserve"> ממנו</w:t>
      </w:r>
      <w:r w:rsidRPr="005E1C9A">
        <w:rPr>
          <w:rFonts w:asciiTheme="minorBidi" w:hAnsiTheme="minorBidi" w:cs="Arial"/>
          <w:rtl/>
        </w:rPr>
        <w:t xml:space="preserve"> יי"ש</w:t>
      </w:r>
      <w:r>
        <w:rPr>
          <w:rStyle w:val="a7"/>
          <w:rFonts w:asciiTheme="minorBidi" w:hAnsiTheme="minorBidi" w:cs="Arial"/>
          <w:rtl/>
        </w:rPr>
        <w:footnoteReference w:id="904"/>
      </w:r>
      <w:r>
        <w:rPr>
          <w:rFonts w:asciiTheme="minorBidi" w:hAnsiTheme="minorBidi" w:cs="Arial" w:hint="cs"/>
          <w:rtl/>
        </w:rPr>
        <w:t>.</w:t>
      </w:r>
      <w:r w:rsidRPr="005E1C9A">
        <w:rPr>
          <w:rFonts w:asciiTheme="minorBidi" w:hAnsiTheme="minorBidi" w:cs="Arial"/>
          <w:rtl/>
        </w:rPr>
        <w:t xml:space="preserve"> </w:t>
      </w:r>
    </w:p>
    <w:p w14:paraId="5672998E" w14:textId="77777777" w:rsidR="002C39F4" w:rsidRPr="003024E5" w:rsidRDefault="002C39F4" w:rsidP="002C39F4">
      <w:pPr>
        <w:rPr>
          <w:rFonts w:asciiTheme="minorBidi" w:hAnsiTheme="minorBidi"/>
          <w:rtl/>
        </w:rPr>
      </w:pPr>
    </w:p>
    <w:p w14:paraId="0579B8AD" w14:textId="77777777" w:rsidR="002C39F4" w:rsidRPr="003024E5" w:rsidRDefault="002C39F4" w:rsidP="002C39F4">
      <w:pPr>
        <w:pStyle w:val="2"/>
        <w:rPr>
          <w:rFonts w:asciiTheme="minorBidi" w:hAnsiTheme="minorBidi"/>
          <w:rtl/>
        </w:rPr>
      </w:pPr>
      <w:r w:rsidRPr="003024E5">
        <w:rPr>
          <w:rFonts w:asciiTheme="minorBidi" w:hAnsiTheme="minorBidi"/>
          <w:rtl/>
        </w:rPr>
        <w:t xml:space="preserve">סעיף ו: תולעים הגדלים בפירות במחובר. </w:t>
      </w:r>
    </w:p>
    <w:p w14:paraId="29AE8164" w14:textId="77777777" w:rsidR="002C39F4" w:rsidRPr="003024E5" w:rsidRDefault="002C39F4" w:rsidP="002C39F4">
      <w:pPr>
        <w:rPr>
          <w:rFonts w:asciiTheme="minorBidi" w:hAnsiTheme="minorBidi"/>
          <w:rtl/>
        </w:rPr>
      </w:pPr>
      <w:r w:rsidRPr="003024E5">
        <w:rPr>
          <w:rFonts w:asciiTheme="minorBidi" w:hAnsiTheme="minorBidi"/>
          <w:b/>
          <w:bCs/>
          <w:rtl/>
        </w:rPr>
        <w:t>חולין סז ע"ב:</w:t>
      </w:r>
      <w:r w:rsidRPr="003024E5">
        <w:rPr>
          <w:rFonts w:asciiTheme="minorBidi" w:hAnsiTheme="minorBidi"/>
          <w:rtl/>
        </w:rPr>
        <w:t xml:space="preserve"> </w:t>
      </w:r>
      <w:r w:rsidRPr="003024E5">
        <w:rPr>
          <w:rFonts w:asciiTheme="minorBidi" w:hAnsiTheme="minorBidi"/>
          <w:u w:val="single"/>
          <w:rtl/>
        </w:rPr>
        <w:t>אמר שמואל</w:t>
      </w:r>
      <w:r w:rsidRPr="003024E5">
        <w:rPr>
          <w:rFonts w:asciiTheme="minorBidi" w:hAnsiTheme="minorBidi"/>
          <w:rtl/>
        </w:rPr>
        <w:t>: קישות</w:t>
      </w:r>
      <w:r w:rsidRPr="003024E5">
        <w:rPr>
          <w:rStyle w:val="a7"/>
          <w:rFonts w:asciiTheme="minorBidi" w:hAnsiTheme="minorBidi"/>
          <w:rtl/>
        </w:rPr>
        <w:footnoteReference w:id="905"/>
      </w:r>
      <w:r w:rsidRPr="003024E5">
        <w:rPr>
          <w:rFonts w:asciiTheme="minorBidi" w:hAnsiTheme="minorBidi"/>
          <w:rtl/>
        </w:rPr>
        <w:t xml:space="preserve"> שהתליעה בְּאִבֵּיהָ</w:t>
      </w:r>
      <w:r w:rsidRPr="003024E5">
        <w:rPr>
          <w:rStyle w:val="a7"/>
          <w:rFonts w:asciiTheme="minorBidi" w:hAnsiTheme="minorBidi"/>
          <w:rtl/>
        </w:rPr>
        <w:footnoteReference w:id="906"/>
      </w:r>
      <w:r w:rsidRPr="003024E5">
        <w:rPr>
          <w:rFonts w:asciiTheme="minorBidi" w:hAnsiTheme="minorBidi"/>
          <w:rtl/>
        </w:rPr>
        <w:t xml:space="preserve"> - אסורה משום השרץ השורץ על הארץ. לימא מסייע ליה, דתני חדא: על הארץ - להוציא את הזיזין</w:t>
      </w:r>
      <w:r w:rsidRPr="003024E5">
        <w:rPr>
          <w:rStyle w:val="a7"/>
          <w:rFonts w:asciiTheme="minorBidi" w:hAnsiTheme="minorBidi"/>
          <w:rtl/>
        </w:rPr>
        <w:footnoteReference w:id="907"/>
      </w:r>
      <w:r w:rsidRPr="003024E5">
        <w:rPr>
          <w:rFonts w:asciiTheme="minorBidi" w:hAnsiTheme="minorBidi"/>
          <w:rtl/>
        </w:rPr>
        <w:t xml:space="preserve"> שבעדשים</w:t>
      </w:r>
      <w:r w:rsidRPr="003024E5">
        <w:rPr>
          <w:rStyle w:val="a7"/>
          <w:rFonts w:asciiTheme="minorBidi" w:hAnsiTheme="minorBidi"/>
          <w:rtl/>
        </w:rPr>
        <w:footnoteReference w:id="908"/>
      </w:r>
      <w:r w:rsidRPr="003024E5">
        <w:rPr>
          <w:rFonts w:asciiTheme="minorBidi" w:hAnsiTheme="minorBidi"/>
          <w:rtl/>
        </w:rPr>
        <w:t>, ואת היתושים שבכליסים</w:t>
      </w:r>
      <w:r w:rsidRPr="003024E5">
        <w:rPr>
          <w:rStyle w:val="a7"/>
          <w:rFonts w:asciiTheme="minorBidi" w:hAnsiTheme="minorBidi"/>
          <w:rtl/>
        </w:rPr>
        <w:footnoteReference w:id="909"/>
      </w:r>
      <w:r w:rsidRPr="003024E5">
        <w:rPr>
          <w:rFonts w:asciiTheme="minorBidi" w:hAnsiTheme="minorBidi"/>
          <w:rtl/>
        </w:rPr>
        <w:t>, ותולעת שבתמרים ושבגרוגרות. ותניא אידך: כל השרץ השורץ על הארץ - לרבות</w:t>
      </w:r>
      <w:r w:rsidRPr="003024E5">
        <w:rPr>
          <w:rStyle w:val="a7"/>
          <w:rFonts w:asciiTheme="minorBidi" w:hAnsiTheme="minorBidi"/>
          <w:rtl/>
        </w:rPr>
        <w:footnoteReference w:id="910"/>
      </w:r>
      <w:r w:rsidRPr="003024E5">
        <w:rPr>
          <w:rFonts w:asciiTheme="minorBidi" w:hAnsiTheme="minorBidi"/>
          <w:rtl/>
        </w:rPr>
        <w:t xml:space="preserve"> תולעת שבעיקרי זיתים ושבעיקרי גפנים. מאי לאו, אידי ואידי בפירא</w:t>
      </w:r>
      <w:r w:rsidRPr="003024E5">
        <w:rPr>
          <w:rStyle w:val="a7"/>
          <w:rFonts w:asciiTheme="minorBidi" w:hAnsiTheme="minorBidi"/>
          <w:rtl/>
        </w:rPr>
        <w:footnoteReference w:id="911"/>
      </w:r>
      <w:r w:rsidRPr="003024E5">
        <w:rPr>
          <w:rFonts w:asciiTheme="minorBidi" w:hAnsiTheme="minorBidi"/>
          <w:rtl/>
        </w:rPr>
        <w:t>, והא - בְּאִבֵּיהָ</w:t>
      </w:r>
      <w:r w:rsidRPr="003024E5">
        <w:rPr>
          <w:rStyle w:val="a7"/>
          <w:rFonts w:asciiTheme="minorBidi" w:hAnsiTheme="minorBidi"/>
          <w:rtl/>
        </w:rPr>
        <w:footnoteReference w:id="912"/>
      </w:r>
      <w:r w:rsidRPr="003024E5">
        <w:rPr>
          <w:rFonts w:asciiTheme="minorBidi" w:hAnsiTheme="minorBidi"/>
          <w:rtl/>
        </w:rPr>
        <w:t>, והא - שלא בְּאִבֵּיהָ? לא, אידי ואידי בְּאִבֵּיהָ</w:t>
      </w:r>
      <w:r w:rsidRPr="003024E5">
        <w:rPr>
          <w:rStyle w:val="a7"/>
          <w:rFonts w:asciiTheme="minorBidi" w:hAnsiTheme="minorBidi"/>
          <w:rtl/>
        </w:rPr>
        <w:footnoteReference w:id="913"/>
      </w:r>
      <w:r w:rsidRPr="003024E5">
        <w:rPr>
          <w:rFonts w:asciiTheme="minorBidi" w:hAnsiTheme="minorBidi"/>
          <w:rtl/>
        </w:rPr>
        <w:t>, ולא קשיא: הא - בפירא, הא - באילנא גופא, דיקא נמי, דקתני תולעת שבעיקרי זיתים ושבעיקרי גפנים - ש"מ.</w:t>
      </w:r>
    </w:p>
    <w:p w14:paraId="26A6AA2D" w14:textId="77777777" w:rsidR="002C39F4" w:rsidRPr="003024E5" w:rsidRDefault="002C39F4" w:rsidP="002C39F4">
      <w:pPr>
        <w:rPr>
          <w:rFonts w:asciiTheme="minorBidi" w:hAnsiTheme="minorBidi"/>
          <w:rtl/>
        </w:rPr>
      </w:pPr>
      <w:r w:rsidRPr="003024E5">
        <w:rPr>
          <w:rFonts w:asciiTheme="minorBidi" w:hAnsiTheme="minorBidi"/>
          <w:u w:val="single"/>
          <w:rtl/>
        </w:rPr>
        <w:t>כיצד נפסק גבי קישות שהתליעה בְּאִבֵּיהָ</w:t>
      </w:r>
      <w:r>
        <w:rPr>
          <w:rFonts w:asciiTheme="minorBidi" w:hAnsiTheme="minorBidi" w:hint="cs"/>
          <w:sz w:val="16"/>
          <w:szCs w:val="16"/>
          <w:u w:val="single"/>
          <w:rtl/>
        </w:rPr>
        <w:t xml:space="preserve"> (האם נפסק כשמאול שכל שהתליע במחובר אסור)</w:t>
      </w:r>
      <w:r w:rsidRPr="003024E5">
        <w:rPr>
          <w:rFonts w:asciiTheme="minorBidi" w:hAnsiTheme="minorBidi"/>
          <w:u w:val="single"/>
          <w:rtl/>
        </w:rPr>
        <w:t>:</w:t>
      </w:r>
    </w:p>
    <w:p w14:paraId="62DB59CF" w14:textId="77777777" w:rsidR="002C39F4" w:rsidRPr="003024E5" w:rsidRDefault="002C39F4" w:rsidP="002C39F4">
      <w:pPr>
        <w:pStyle w:val="a8"/>
        <w:numPr>
          <w:ilvl w:val="0"/>
          <w:numId w:val="79"/>
        </w:numPr>
        <w:rPr>
          <w:rFonts w:asciiTheme="minorBidi" w:hAnsiTheme="minorBidi"/>
        </w:rPr>
      </w:pPr>
      <w:r w:rsidRPr="003024E5">
        <w:rPr>
          <w:rFonts w:asciiTheme="minorBidi" w:hAnsiTheme="minorBidi"/>
          <w:rtl/>
        </w:rPr>
        <w:t>רש"י יעב"ץ</w:t>
      </w:r>
      <w:r w:rsidRPr="003024E5">
        <w:rPr>
          <w:rStyle w:val="a7"/>
          <w:rFonts w:asciiTheme="minorBidi" w:hAnsiTheme="minorBidi"/>
          <w:rtl/>
        </w:rPr>
        <w:footnoteReference w:id="914"/>
      </w:r>
      <w:r w:rsidRPr="003024E5">
        <w:rPr>
          <w:rFonts w:asciiTheme="minorBidi" w:hAnsiTheme="minorBidi"/>
          <w:rtl/>
        </w:rPr>
        <w:t xml:space="preserve"> ריב"א ור"ת</w:t>
      </w:r>
      <w:r w:rsidRPr="003024E5">
        <w:rPr>
          <w:rStyle w:val="a7"/>
          <w:rFonts w:asciiTheme="minorBidi" w:hAnsiTheme="minorBidi"/>
          <w:rtl/>
        </w:rPr>
        <w:footnoteReference w:id="915"/>
      </w:r>
      <w:r w:rsidRPr="003024E5">
        <w:rPr>
          <w:rFonts w:asciiTheme="minorBidi" w:hAnsiTheme="minorBidi"/>
          <w:rtl/>
        </w:rPr>
        <w:t>- אין הלכה כשמואל, דברייתא לא משמע כוותיה</w:t>
      </w:r>
      <w:r w:rsidRPr="003024E5">
        <w:rPr>
          <w:rStyle w:val="a7"/>
          <w:rFonts w:asciiTheme="minorBidi" w:hAnsiTheme="minorBidi"/>
          <w:rtl/>
        </w:rPr>
        <w:footnoteReference w:id="916"/>
      </w:r>
      <w:r>
        <w:rPr>
          <w:rFonts w:asciiTheme="minorBidi" w:hAnsiTheme="minorBidi" w:hint="cs"/>
          <w:sz w:val="16"/>
          <w:szCs w:val="16"/>
          <w:rtl/>
        </w:rPr>
        <w:t xml:space="preserve">{הילכך אפילו התליעה </w:t>
      </w:r>
      <w:r w:rsidRPr="004619D0">
        <w:rPr>
          <w:rFonts w:asciiTheme="minorBidi" w:hAnsiTheme="minorBidi"/>
          <w:sz w:val="16"/>
          <w:szCs w:val="16"/>
          <w:rtl/>
        </w:rPr>
        <w:t>בְּאִבֵּיהָ</w:t>
      </w:r>
      <w:r w:rsidRPr="004619D0">
        <w:rPr>
          <w:rFonts w:asciiTheme="minorBidi" w:hAnsiTheme="minorBidi" w:hint="cs"/>
          <w:sz w:val="16"/>
          <w:szCs w:val="16"/>
          <w:rtl/>
        </w:rPr>
        <w:t xml:space="preserve"> </w:t>
      </w:r>
      <w:r>
        <w:rPr>
          <w:rFonts w:asciiTheme="minorBidi" w:hAnsiTheme="minorBidi" w:hint="cs"/>
          <w:sz w:val="16"/>
          <w:szCs w:val="16"/>
          <w:rtl/>
        </w:rPr>
        <w:t>שרי}</w:t>
      </w:r>
      <w:r w:rsidRPr="003024E5">
        <w:rPr>
          <w:rFonts w:asciiTheme="minorBidi" w:hAnsiTheme="minorBidi"/>
          <w:rtl/>
        </w:rPr>
        <w:t xml:space="preserve">. </w:t>
      </w:r>
    </w:p>
    <w:p w14:paraId="141155C2" w14:textId="77777777" w:rsidR="002C39F4" w:rsidRPr="00183007" w:rsidRDefault="002C39F4" w:rsidP="002C39F4">
      <w:pPr>
        <w:pStyle w:val="a8"/>
        <w:numPr>
          <w:ilvl w:val="0"/>
          <w:numId w:val="79"/>
        </w:numPr>
        <w:rPr>
          <w:rFonts w:asciiTheme="minorBidi" w:hAnsiTheme="minorBidi"/>
          <w:rtl/>
        </w:rPr>
      </w:pPr>
      <w:r w:rsidRPr="003024E5">
        <w:rPr>
          <w:rFonts w:asciiTheme="minorBidi" w:hAnsiTheme="minorBidi"/>
          <w:rtl/>
        </w:rPr>
        <w:t>בה"ג שאילתות רי"ף רמב"ם סה"ת סמ"ג רמב"ן רשב"א טור ור"ן</w:t>
      </w:r>
      <w:r w:rsidRPr="003024E5">
        <w:rPr>
          <w:rStyle w:val="a7"/>
          <w:rFonts w:asciiTheme="minorBidi" w:hAnsiTheme="minorBidi"/>
          <w:rtl/>
        </w:rPr>
        <w:footnoteReference w:id="917"/>
      </w:r>
      <w:r w:rsidRPr="003024E5">
        <w:rPr>
          <w:rFonts w:asciiTheme="minorBidi" w:hAnsiTheme="minorBidi"/>
          <w:rtl/>
        </w:rPr>
        <w:t>- כשמואל</w:t>
      </w:r>
      <w:r w:rsidRPr="003024E5">
        <w:rPr>
          <w:rStyle w:val="a7"/>
          <w:rFonts w:asciiTheme="minorBidi" w:hAnsiTheme="minorBidi"/>
          <w:rtl/>
        </w:rPr>
        <w:footnoteReference w:id="918"/>
      </w:r>
      <w:r w:rsidRPr="003024E5">
        <w:rPr>
          <w:rFonts w:asciiTheme="minorBidi" w:hAnsiTheme="minorBidi"/>
          <w:rtl/>
        </w:rPr>
        <w:t xml:space="preserve">, דא"ר פפא לעיל בפירקין </w:t>
      </w:r>
      <w:r w:rsidRPr="003024E5">
        <w:rPr>
          <w:rFonts w:asciiTheme="minorBidi" w:hAnsiTheme="minorBidi"/>
          <w:sz w:val="16"/>
          <w:szCs w:val="16"/>
          <w:rtl/>
        </w:rPr>
        <w:t xml:space="preserve">(נח.) </w:t>
      </w:r>
      <w:r w:rsidRPr="003024E5">
        <w:rPr>
          <w:rFonts w:asciiTheme="minorBidi" w:hAnsiTheme="minorBidi"/>
          <w:rtl/>
        </w:rPr>
        <w:t>שמע מינה מדרב הונא הא דאמר שמואל קישות שהתליעה באביה אסור בתר תריסר ירחי שתא שרי</w:t>
      </w:r>
      <w:r>
        <w:rPr>
          <w:rFonts w:asciiTheme="minorBidi" w:hAnsiTheme="minorBidi" w:hint="cs"/>
          <w:rtl/>
        </w:rPr>
        <w:t>,</w:t>
      </w:r>
      <w:r w:rsidRPr="003024E5">
        <w:rPr>
          <w:rFonts w:asciiTheme="minorBidi" w:hAnsiTheme="minorBidi"/>
          <w:rtl/>
        </w:rPr>
        <w:t xml:space="preserve"> ואע"ג דתלמודא מדקדק דלא כשמואל היינו לפום ריהטא, ומיהו לשמואל יש ל</w:t>
      </w:r>
      <w:r>
        <w:rPr>
          <w:rFonts w:asciiTheme="minorBidi" w:hAnsiTheme="minorBidi" w:hint="cs"/>
          <w:rtl/>
        </w:rPr>
        <w:t>י</w:t>
      </w:r>
      <w:r w:rsidRPr="003024E5">
        <w:rPr>
          <w:rFonts w:asciiTheme="minorBidi" w:hAnsiTheme="minorBidi"/>
          <w:rtl/>
        </w:rPr>
        <w:t>ישבו ולפרש דתולעים שבעיקרי הזיתים היינו בזיתים בעודם מחוברים לקרקע</w:t>
      </w:r>
      <w:r>
        <w:rPr>
          <w:rStyle w:val="a7"/>
          <w:rFonts w:asciiTheme="minorBidi" w:hAnsiTheme="minorBidi"/>
          <w:rtl/>
        </w:rPr>
        <w:footnoteReference w:id="919"/>
      </w:r>
      <w:r w:rsidRPr="003024E5">
        <w:rPr>
          <w:rFonts w:asciiTheme="minorBidi" w:hAnsiTheme="minorBidi"/>
          <w:sz w:val="16"/>
          <w:szCs w:val="16"/>
          <w:rtl/>
        </w:rPr>
        <w:t xml:space="preserve"> (ל' התוס' והרא"ש)</w:t>
      </w:r>
      <w:r w:rsidRPr="003024E5">
        <w:rPr>
          <w:rFonts w:asciiTheme="minorBidi" w:hAnsiTheme="minorBidi"/>
          <w:rtl/>
        </w:rPr>
        <w:t xml:space="preserve">. </w:t>
      </w:r>
      <w:r w:rsidRPr="003024E5">
        <w:rPr>
          <w:rFonts w:asciiTheme="minorBidi" w:hAnsiTheme="minorBidi"/>
          <w:color w:val="E36C0A" w:themeColor="accent6" w:themeShade="BF"/>
          <w:rtl/>
        </w:rPr>
        <w:t>(וכ"פ בשו"ע)</w:t>
      </w:r>
      <w:r>
        <w:rPr>
          <w:rFonts w:asciiTheme="minorBidi" w:hAnsiTheme="minorBidi" w:hint="cs"/>
          <w:rtl/>
        </w:rPr>
        <w:t xml:space="preserve"> </w:t>
      </w:r>
    </w:p>
    <w:p w14:paraId="7813BB1B" w14:textId="77777777" w:rsidR="002C39F4" w:rsidRPr="003024E5" w:rsidRDefault="002C39F4" w:rsidP="002C39F4">
      <w:pPr>
        <w:ind w:left="360"/>
        <w:rPr>
          <w:rFonts w:asciiTheme="minorBidi" w:hAnsiTheme="minorBidi"/>
          <w:u w:val="dotted"/>
          <w:rtl/>
        </w:rPr>
      </w:pPr>
      <w:r>
        <w:rPr>
          <w:rFonts w:asciiTheme="minorBidi" w:hAnsiTheme="minorBidi" w:hint="cs"/>
          <w:u w:val="dotted"/>
          <w:rtl/>
        </w:rPr>
        <w:t xml:space="preserve">לאוסרים - </w:t>
      </w:r>
      <w:r w:rsidRPr="003024E5">
        <w:rPr>
          <w:rFonts w:asciiTheme="minorBidi" w:hAnsiTheme="minorBidi"/>
          <w:u w:val="dotted"/>
          <w:rtl/>
        </w:rPr>
        <w:t>מה הדין אם ה</w:t>
      </w:r>
      <w:r>
        <w:rPr>
          <w:rFonts w:asciiTheme="minorBidi" w:hAnsiTheme="minorBidi" w:hint="cs"/>
          <w:u w:val="dotted"/>
          <w:rtl/>
        </w:rPr>
        <w:t xml:space="preserve">פרי התליע במחובר </w:t>
      </w:r>
      <w:r w:rsidRPr="003024E5">
        <w:rPr>
          <w:rFonts w:asciiTheme="minorBidi" w:hAnsiTheme="minorBidi"/>
          <w:u w:val="dotted"/>
          <w:rtl/>
        </w:rPr>
        <w:t xml:space="preserve">אך </w:t>
      </w:r>
      <w:r>
        <w:rPr>
          <w:rFonts w:asciiTheme="minorBidi" w:hAnsiTheme="minorBidi" w:hint="cs"/>
          <w:u w:val="dotted"/>
          <w:rtl/>
        </w:rPr>
        <w:t xml:space="preserve">התולעת </w:t>
      </w:r>
      <w:r w:rsidRPr="003024E5">
        <w:rPr>
          <w:rFonts w:asciiTheme="minorBidi" w:hAnsiTheme="minorBidi"/>
          <w:u w:val="dotted"/>
          <w:rtl/>
        </w:rPr>
        <w:t>לא ריחשה:</w:t>
      </w:r>
    </w:p>
    <w:p w14:paraId="27FDED87" w14:textId="77777777" w:rsidR="002C39F4" w:rsidRPr="003024E5" w:rsidRDefault="002C39F4" w:rsidP="002C39F4">
      <w:pPr>
        <w:pStyle w:val="a8"/>
        <w:numPr>
          <w:ilvl w:val="0"/>
          <w:numId w:val="79"/>
        </w:numPr>
        <w:rPr>
          <w:rFonts w:asciiTheme="minorBidi" w:hAnsiTheme="minorBidi"/>
          <w:rtl/>
        </w:rPr>
      </w:pPr>
      <w:r w:rsidRPr="003024E5">
        <w:rPr>
          <w:rFonts w:asciiTheme="minorBidi" w:hAnsiTheme="minorBidi"/>
          <w:rtl/>
        </w:rPr>
        <w:t>תוס' רש"י</w:t>
      </w:r>
      <w:r w:rsidRPr="003024E5">
        <w:rPr>
          <w:rStyle w:val="a7"/>
          <w:rFonts w:asciiTheme="minorBidi" w:hAnsiTheme="minorBidi"/>
          <w:rtl/>
        </w:rPr>
        <w:footnoteReference w:id="920"/>
      </w:r>
      <w:r w:rsidRPr="003024E5">
        <w:rPr>
          <w:rFonts w:asciiTheme="minorBidi" w:hAnsiTheme="minorBidi"/>
          <w:rtl/>
        </w:rPr>
        <w:t xml:space="preserve"> </w:t>
      </w:r>
      <w:r>
        <w:rPr>
          <w:rFonts w:asciiTheme="minorBidi" w:hAnsiTheme="minorBidi" w:hint="cs"/>
          <w:rtl/>
        </w:rPr>
        <w:t>מה</w:t>
      </w:r>
      <w:r w:rsidRPr="003024E5">
        <w:rPr>
          <w:rFonts w:asciiTheme="minorBidi" w:hAnsiTheme="minorBidi"/>
          <w:rtl/>
        </w:rPr>
        <w:t>ר"</w:t>
      </w:r>
      <w:r>
        <w:rPr>
          <w:rFonts w:asciiTheme="minorBidi" w:hAnsiTheme="minorBidi" w:hint="cs"/>
          <w:rtl/>
        </w:rPr>
        <w:t>ם</w:t>
      </w:r>
      <w:r w:rsidRPr="003024E5">
        <w:rPr>
          <w:rFonts w:asciiTheme="minorBidi" w:hAnsiTheme="minorBidi"/>
          <w:rtl/>
        </w:rPr>
        <w:t xml:space="preserve"> ורא"ש</w:t>
      </w:r>
      <w:r w:rsidRPr="003024E5">
        <w:rPr>
          <w:rStyle w:val="a7"/>
          <w:rFonts w:asciiTheme="minorBidi" w:hAnsiTheme="minorBidi"/>
          <w:rtl/>
        </w:rPr>
        <w:footnoteReference w:id="921"/>
      </w:r>
      <w:r w:rsidRPr="003024E5">
        <w:rPr>
          <w:rFonts w:asciiTheme="minorBidi" w:hAnsiTheme="minorBidi"/>
          <w:rtl/>
        </w:rPr>
        <w:t>- גם לשמואל אין לאסור תולעים הנמצאים בפולין ובחמצי תחת הקליפה והקליפה משחרת עליהם מבחוץ וכשמסירין הקליפה מוצאים היבחושין תחתיהם</w:t>
      </w:r>
      <w:r>
        <w:rPr>
          <w:rFonts w:asciiTheme="minorBidi" w:hAnsiTheme="minorBidi" w:hint="cs"/>
          <w:rtl/>
        </w:rPr>
        <w:t>,</w:t>
      </w:r>
      <w:r w:rsidRPr="003024E5">
        <w:rPr>
          <w:rFonts w:asciiTheme="minorBidi" w:hAnsiTheme="minorBidi"/>
          <w:rtl/>
        </w:rPr>
        <w:t xml:space="preserve"> לפי שהן מונחות במקום צר ולא קרינן ביה השורץ על הארץ כל זמן שלא ריחש, אבל אותן שבשרביטין או בתוך הפרי אסורין לפי שרוחשין בתוכו</w:t>
      </w:r>
      <w:r w:rsidRPr="003024E5">
        <w:rPr>
          <w:rStyle w:val="a7"/>
          <w:rFonts w:asciiTheme="minorBidi" w:hAnsiTheme="minorBidi"/>
          <w:rtl/>
        </w:rPr>
        <w:footnoteReference w:id="922"/>
      </w:r>
      <w:r w:rsidRPr="003024E5">
        <w:rPr>
          <w:rFonts w:asciiTheme="minorBidi" w:hAnsiTheme="minorBidi"/>
          <w:sz w:val="16"/>
          <w:szCs w:val="16"/>
          <w:rtl/>
        </w:rPr>
        <w:t>(ל' הרא"ש)</w:t>
      </w:r>
      <w:r w:rsidRPr="003024E5">
        <w:rPr>
          <w:rFonts w:asciiTheme="minorBidi" w:hAnsiTheme="minorBidi"/>
          <w:rtl/>
        </w:rPr>
        <w:t>.</w:t>
      </w:r>
      <w:r w:rsidRPr="003024E5">
        <w:rPr>
          <w:rFonts w:asciiTheme="minorBidi" w:hAnsiTheme="minorBidi"/>
          <w:color w:val="E36C0A" w:themeColor="accent6" w:themeShade="BF"/>
          <w:rtl/>
        </w:rPr>
        <w:t xml:space="preserve"> (וכ"פ בשו"ע)</w:t>
      </w:r>
      <w:r w:rsidRPr="003024E5">
        <w:rPr>
          <w:rFonts w:asciiTheme="minorBidi" w:hAnsiTheme="minorBidi"/>
          <w:rtl/>
        </w:rPr>
        <w:t xml:space="preserve"> (וכ"פ רש"ל)</w:t>
      </w:r>
    </w:p>
    <w:p w14:paraId="538E0B1D" w14:textId="77777777" w:rsidR="002C39F4" w:rsidRPr="003024E5" w:rsidRDefault="002C39F4" w:rsidP="002C39F4">
      <w:pPr>
        <w:pStyle w:val="a8"/>
        <w:numPr>
          <w:ilvl w:val="0"/>
          <w:numId w:val="79"/>
        </w:numPr>
        <w:rPr>
          <w:rFonts w:asciiTheme="minorBidi" w:hAnsiTheme="minorBidi"/>
          <w:rtl/>
        </w:rPr>
      </w:pPr>
      <w:r w:rsidRPr="003024E5">
        <w:rPr>
          <w:rFonts w:asciiTheme="minorBidi" w:hAnsiTheme="minorBidi"/>
          <w:rtl/>
        </w:rPr>
        <w:t>רבינו יחיאל (רמב"ם</w:t>
      </w:r>
      <w:r w:rsidRPr="003024E5">
        <w:rPr>
          <w:rFonts w:asciiTheme="minorBidi" w:hAnsiTheme="minorBidi"/>
          <w:sz w:val="16"/>
          <w:szCs w:val="16"/>
          <w:rtl/>
        </w:rPr>
        <w:t xml:space="preserve"> להב' הה"מ</w:t>
      </w:r>
      <w:r w:rsidRPr="003024E5">
        <w:rPr>
          <w:rStyle w:val="a7"/>
          <w:rFonts w:asciiTheme="minorBidi" w:hAnsiTheme="minorBidi"/>
          <w:rtl/>
        </w:rPr>
        <w:footnoteReference w:id="923"/>
      </w:r>
      <w:r w:rsidRPr="003024E5">
        <w:rPr>
          <w:rFonts w:asciiTheme="minorBidi" w:hAnsiTheme="minorBidi"/>
          <w:rtl/>
        </w:rPr>
        <w:t>) רמב"ן רשב"א ר"ן ו</w:t>
      </w:r>
      <w:r>
        <w:rPr>
          <w:rFonts w:asciiTheme="minorBidi" w:hAnsiTheme="minorBidi"/>
          <w:rtl/>
        </w:rPr>
        <w:t>או"ה</w:t>
      </w:r>
      <w:r w:rsidRPr="003024E5">
        <w:rPr>
          <w:rStyle w:val="a7"/>
          <w:rFonts w:asciiTheme="minorBidi" w:hAnsiTheme="minorBidi"/>
          <w:rtl/>
        </w:rPr>
        <w:footnoteReference w:id="924"/>
      </w:r>
      <w:r w:rsidRPr="003024E5">
        <w:rPr>
          <w:rFonts w:asciiTheme="minorBidi" w:hAnsiTheme="minorBidi"/>
          <w:rtl/>
        </w:rPr>
        <w:t>- אפילו החור שתולע בתוכו קטן ואינו מחזיקו אלא כדי התולע אסור</w:t>
      </w:r>
      <w:r w:rsidRPr="003024E5">
        <w:rPr>
          <w:rStyle w:val="a7"/>
          <w:rFonts w:asciiTheme="minorBidi" w:hAnsiTheme="minorBidi"/>
          <w:rtl/>
        </w:rPr>
        <w:footnoteReference w:id="925"/>
      </w:r>
      <w:r w:rsidRPr="003024E5">
        <w:rPr>
          <w:rFonts w:asciiTheme="minorBidi" w:hAnsiTheme="minorBidi"/>
          <w:rtl/>
        </w:rPr>
        <w:t xml:space="preserve">. </w:t>
      </w:r>
    </w:p>
    <w:p w14:paraId="0B4D44C9" w14:textId="77777777" w:rsidR="002C39F4" w:rsidRPr="003024E5" w:rsidRDefault="002C39F4" w:rsidP="002C39F4">
      <w:pPr>
        <w:rPr>
          <w:rFonts w:asciiTheme="minorBidi" w:hAnsiTheme="minorBidi"/>
          <w:rtl/>
        </w:rPr>
      </w:pPr>
      <w:r w:rsidRPr="003024E5">
        <w:rPr>
          <w:rFonts w:asciiTheme="minorBidi" w:hAnsiTheme="minorBidi"/>
          <w:u w:val="single"/>
          <w:rtl/>
        </w:rPr>
        <w:t>תולעים הגדלים בכמיהין ופטריות:</w:t>
      </w:r>
      <w:r w:rsidRPr="003024E5">
        <w:rPr>
          <w:rFonts w:asciiTheme="minorBidi" w:hAnsiTheme="minorBidi"/>
          <w:rtl/>
        </w:rPr>
        <w:t xml:space="preserve"> </w:t>
      </w:r>
      <w:r w:rsidRPr="003024E5">
        <w:rPr>
          <w:rFonts w:asciiTheme="minorBidi" w:hAnsiTheme="minorBidi"/>
          <w:sz w:val="16"/>
          <w:szCs w:val="16"/>
          <w:rtl/>
        </w:rPr>
        <w:t xml:space="preserve"> (דרכ"מ אות ד) </w:t>
      </w:r>
    </w:p>
    <w:p w14:paraId="2E54800E" w14:textId="77777777" w:rsidR="002C39F4" w:rsidRPr="00383916" w:rsidRDefault="002C39F4" w:rsidP="002C39F4">
      <w:pPr>
        <w:pStyle w:val="a8"/>
        <w:numPr>
          <w:ilvl w:val="0"/>
          <w:numId w:val="81"/>
        </w:numPr>
        <w:rPr>
          <w:rFonts w:asciiTheme="minorBidi" w:hAnsiTheme="minorBidi"/>
          <w:rtl/>
        </w:rPr>
      </w:pPr>
      <w:r w:rsidRPr="003024E5">
        <w:rPr>
          <w:rFonts w:asciiTheme="minorBidi" w:hAnsiTheme="minorBidi"/>
          <w:rtl/>
        </w:rPr>
        <w:t>הג</w:t>
      </w:r>
      <w:r>
        <w:rPr>
          <w:rFonts w:asciiTheme="minorBidi" w:hAnsiTheme="minorBidi" w:hint="cs"/>
          <w:rtl/>
        </w:rPr>
        <w:t>הות</w:t>
      </w:r>
      <w:r w:rsidRPr="003024E5">
        <w:rPr>
          <w:rFonts w:asciiTheme="minorBidi" w:hAnsiTheme="minorBidi"/>
          <w:rtl/>
        </w:rPr>
        <w:t xml:space="preserve"> </w:t>
      </w: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(בהג"ה על שער מא אות יא)</w:t>
      </w:r>
      <w:r w:rsidRPr="003024E5">
        <w:rPr>
          <w:rFonts w:asciiTheme="minorBidi" w:hAnsiTheme="minorBidi"/>
          <w:rtl/>
        </w:rPr>
        <w:t>- אם התולעים הגדלים בתוך הכמיהים ופטריות, כגון הנמצאים בתוך הנקבות שלהן ולא נקבו לחוץ, הוי דינם כאותם שגדלין בבשר וגבינה מחמת סרחון</w:t>
      </w:r>
      <w:r>
        <w:rPr>
          <w:rFonts w:asciiTheme="minorBidi" w:hAnsiTheme="minorBidi" w:hint="cs"/>
          <w:rtl/>
        </w:rPr>
        <w:t>,</w:t>
      </w:r>
      <w:r w:rsidRPr="003024E5">
        <w:rPr>
          <w:rFonts w:asciiTheme="minorBidi" w:hAnsiTheme="minorBidi"/>
          <w:rtl/>
        </w:rPr>
        <w:t xml:space="preserve"> אע"פ שבאין לתוכו כשהן מחובר בודאי, דהא לא חשיב אותם בגמ' גדולי קרקע אלא מהאויר מתגדלים, ואין נקנין בכסף מעשר, ואין מברכין עליהם בורא פרי האדמה, ועוד מדמיקל רש"י ומהר"ם והרא"ש אפי' בדבר דמחובר הוי ריחוק הרבה, והיינו שאין להחמיר בהן בספק אם נמצאים בהן נקבין שרגילין להיות בהן אבל אם נקבו לחוץ ודאי אסור דיש לחוש דמעלמא אתי</w:t>
      </w:r>
      <w:r>
        <w:rPr>
          <w:rStyle w:val="a7"/>
          <w:rFonts w:asciiTheme="minorBidi" w:hAnsiTheme="minorBidi"/>
          <w:rtl/>
        </w:rPr>
        <w:footnoteReference w:id="926"/>
      </w:r>
      <w:r w:rsidRPr="003024E5">
        <w:rPr>
          <w:rFonts w:asciiTheme="minorBidi" w:hAnsiTheme="minorBidi"/>
          <w:rtl/>
        </w:rPr>
        <w:t xml:space="preserve">. </w:t>
      </w:r>
    </w:p>
    <w:p w14:paraId="7AC152ED" w14:textId="77777777" w:rsidR="002C39F4" w:rsidRPr="003024E5" w:rsidRDefault="002C39F4" w:rsidP="002C39F4">
      <w:pPr>
        <w:rPr>
          <w:rFonts w:asciiTheme="minorBidi" w:hAnsiTheme="minorBidi"/>
          <w:rtl/>
        </w:rPr>
      </w:pPr>
      <w:r w:rsidRPr="003024E5">
        <w:rPr>
          <w:rFonts w:asciiTheme="minorBidi" w:hAnsiTheme="minorBidi"/>
          <w:u w:val="single"/>
          <w:rtl/>
        </w:rPr>
        <w:t>נקודות שחורות שע"ג פולין וכדו':</w:t>
      </w:r>
    </w:p>
    <w:p w14:paraId="659756FD" w14:textId="77777777" w:rsidR="002C39F4" w:rsidRPr="003024E5" w:rsidRDefault="002C39F4" w:rsidP="002C39F4">
      <w:pPr>
        <w:pStyle w:val="a8"/>
        <w:numPr>
          <w:ilvl w:val="0"/>
          <w:numId w:val="83"/>
        </w:numPr>
        <w:rPr>
          <w:rFonts w:asciiTheme="minorBidi" w:hAnsiTheme="minorBidi"/>
          <w:rtl/>
        </w:rPr>
      </w:pPr>
      <w:r w:rsidRPr="003024E5">
        <w:rPr>
          <w:rFonts w:asciiTheme="minorBidi" w:hAnsiTheme="minorBidi"/>
          <w:rtl/>
        </w:rPr>
        <w:t xml:space="preserve">רשב"א </w:t>
      </w:r>
      <w:r w:rsidRPr="003024E5">
        <w:rPr>
          <w:rFonts w:asciiTheme="minorBidi" w:hAnsiTheme="minorBidi"/>
          <w:sz w:val="16"/>
          <w:szCs w:val="16"/>
          <w:rtl/>
        </w:rPr>
        <w:t>(ח"א סי' ערה ותתכא)</w:t>
      </w:r>
      <w:r w:rsidRPr="003024E5">
        <w:rPr>
          <w:rFonts w:asciiTheme="minorBidi" w:hAnsiTheme="minorBidi"/>
          <w:rtl/>
        </w:rPr>
        <w:t>- מה שאמרת בפולין החדשים שסמוך לגמרן מצוי בהם במקום הרחש מקום שחור וניכר ראשו של רחש וגופו אינו ניכר אלא שמהפול עצמו משונה קצת אם אסור רחש זה אם לאו. תשובה, רחש זה מיד נודע מקומו שמקומו משחיר וכולו נברא והוא קטן מאד מאד וכמה פעמים ניסינו ונוטלים אותו ממקומו ומניחין אותו על צפורן האצבע והוא רוחש והולך ולפיכך אנו מורגלים שבכל מקום שמשחיר בפולין נוטלין קצת בעומק וזו היא בדיקתו והכשרו.</w:t>
      </w:r>
      <w:r w:rsidRPr="003024E5">
        <w:rPr>
          <w:rFonts w:asciiTheme="minorBidi" w:hAnsiTheme="minorBidi"/>
          <w:color w:val="00B0F0"/>
          <w:rtl/>
        </w:rPr>
        <w:t xml:space="preserve"> (וכ"פ הרמ"א)</w:t>
      </w:r>
    </w:p>
    <w:p w14:paraId="79F122B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2CDBB85" w14:textId="77777777" w:rsidR="002C39F4" w:rsidRPr="003024E5" w:rsidRDefault="002C39F4" w:rsidP="002C39F4">
      <w:pPr>
        <w:rPr>
          <w:rFonts w:asciiTheme="minorBidi" w:hAnsiTheme="minorBidi"/>
          <w:rtl/>
        </w:rPr>
      </w:pPr>
      <w:r w:rsidRPr="003024E5">
        <w:rPr>
          <w:rFonts w:asciiTheme="minorBidi" w:hAnsiTheme="minorBidi"/>
          <w:rtl/>
        </w:rPr>
        <w:t>תולעים הגדלים בפירות בעודם במחובר חשוב כשורץ על הארץ ואסור אף על פי שלא פירש, והוא שריחש, אבל תולעים הנמצאים בפולין ואפונים תחת הקליפה והקליפה משחרת עליהם מבחוץ וכשמסירים הקליפה מוצאים היבחושים תחתיה מותרים</w:t>
      </w:r>
      <w:r>
        <w:rPr>
          <w:rFonts w:asciiTheme="minorBidi" w:hAnsiTheme="minorBidi" w:hint="cs"/>
          <w:rtl/>
        </w:rPr>
        <w:t>,</w:t>
      </w:r>
      <w:r w:rsidRPr="003024E5">
        <w:rPr>
          <w:rFonts w:asciiTheme="minorBidi" w:hAnsiTheme="minorBidi"/>
          <w:rtl/>
        </w:rPr>
        <w:t xml:space="preserve"> לפי שהם מונחים במקום צר ולא קרינן ביה השורץ על הארץ כל זמן שלא ריחשו</w:t>
      </w:r>
      <w:r w:rsidRPr="003024E5">
        <w:rPr>
          <w:rStyle w:val="a7"/>
          <w:rFonts w:asciiTheme="minorBidi" w:hAnsiTheme="minorBidi"/>
          <w:rtl/>
        </w:rPr>
        <w:footnoteReference w:id="927"/>
      </w:r>
      <w:r w:rsidRPr="003024E5">
        <w:rPr>
          <w:rFonts w:asciiTheme="minorBidi" w:hAnsiTheme="minorBidi"/>
          <w:rtl/>
        </w:rPr>
        <w:t xml:space="preserve">, אבל הנמצאים בשרביטים אסורים, שיש להם מקום לרחוש. </w:t>
      </w:r>
      <w:r w:rsidRPr="003024E5">
        <w:rPr>
          <w:rFonts w:asciiTheme="minorBidi" w:hAnsiTheme="minorBidi"/>
          <w:sz w:val="18"/>
          <w:szCs w:val="18"/>
          <w:rtl/>
        </w:rPr>
        <w:t>הגה: תולעים הגדלים בכמיהים ופטריות דינן כמו בשאר פירות ולא אמרינן דלא חשיב מחובר לקרקע הואיל ואין מברכין עליהם בורא פרי האדמה (ד"ע), ופעמים נמצא בפרי כמין נקודה שחורה והוא מקום שמתחיל התולעת להתרקם וצריך ליטלו משם בעומק דאסור כמו התולעת עצמו</w:t>
      </w:r>
      <w:r w:rsidRPr="003024E5">
        <w:rPr>
          <w:rStyle w:val="a7"/>
          <w:rFonts w:asciiTheme="minorBidi" w:hAnsiTheme="minorBidi"/>
          <w:sz w:val="18"/>
          <w:szCs w:val="18"/>
          <w:rtl/>
        </w:rPr>
        <w:footnoteReference w:id="928"/>
      </w:r>
      <w:r w:rsidRPr="003024E5">
        <w:rPr>
          <w:rFonts w:asciiTheme="minorBidi" w:hAnsiTheme="minorBidi"/>
          <w:sz w:val="18"/>
          <w:szCs w:val="18"/>
          <w:rtl/>
        </w:rPr>
        <w:t xml:space="preserve"> (רשב"א סי' ערה).</w:t>
      </w:r>
      <w:r w:rsidRPr="003024E5">
        <w:rPr>
          <w:rFonts w:asciiTheme="minorBidi" w:hAnsiTheme="minorBidi"/>
          <w:rtl/>
        </w:rPr>
        <w:t xml:space="preserve"> </w:t>
      </w:r>
    </w:p>
    <w:p w14:paraId="199FACAB" w14:textId="77777777" w:rsidR="002C39F4" w:rsidRPr="003024E5" w:rsidRDefault="002C39F4" w:rsidP="002C39F4">
      <w:pPr>
        <w:rPr>
          <w:rFonts w:asciiTheme="minorBidi" w:hAnsiTheme="minorBidi"/>
          <w:rtl/>
        </w:rPr>
      </w:pPr>
    </w:p>
    <w:p w14:paraId="1DAFDD50" w14:textId="77777777" w:rsidR="002C39F4" w:rsidRPr="003024E5" w:rsidRDefault="002C39F4" w:rsidP="002C39F4">
      <w:pPr>
        <w:pStyle w:val="2"/>
        <w:rPr>
          <w:rFonts w:asciiTheme="minorBidi" w:hAnsiTheme="minorBidi"/>
          <w:rtl/>
        </w:rPr>
      </w:pPr>
      <w:r w:rsidRPr="003024E5">
        <w:rPr>
          <w:rFonts w:asciiTheme="minorBidi" w:hAnsiTheme="minorBidi"/>
          <w:rtl/>
        </w:rPr>
        <w:t>סעיף ז: פרי שהתליע ואין ידוע אם בתלוש או במחובר.</w:t>
      </w:r>
    </w:p>
    <w:p w14:paraId="7EC9FA95"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נח ע"א: </w:t>
      </w:r>
      <w:r w:rsidRPr="003024E5">
        <w:rPr>
          <w:rFonts w:asciiTheme="minorBidi" w:hAnsiTheme="minorBidi"/>
          <w:u w:val="single"/>
          <w:rtl/>
        </w:rPr>
        <w:t>אמר רב הונא:</w:t>
      </w:r>
      <w:r w:rsidRPr="003024E5">
        <w:rPr>
          <w:rFonts w:asciiTheme="minorBidi" w:hAnsiTheme="minorBidi"/>
          <w:rtl/>
        </w:rPr>
        <w:t xml:space="preserve"> כל בריה שאין בו עצם - אינו מתקיים י"ב חדש. </w:t>
      </w:r>
      <w:r w:rsidRPr="003024E5">
        <w:rPr>
          <w:rFonts w:asciiTheme="minorBidi" w:hAnsiTheme="minorBidi"/>
          <w:u w:val="single"/>
          <w:rtl/>
        </w:rPr>
        <w:t>אמר רב פפא</w:t>
      </w:r>
      <w:r w:rsidRPr="003024E5">
        <w:rPr>
          <w:rFonts w:asciiTheme="minorBidi" w:hAnsiTheme="minorBidi"/>
          <w:rtl/>
        </w:rPr>
        <w:t>: שמע מינה מדרב הונא, הא דאמר שמואל קישות שהתליע באיביה אסורה, הני תמרי דכדא</w:t>
      </w:r>
      <w:r w:rsidRPr="003024E5">
        <w:rPr>
          <w:rStyle w:val="a7"/>
          <w:rFonts w:asciiTheme="minorBidi" w:hAnsiTheme="minorBidi"/>
          <w:rtl/>
        </w:rPr>
        <w:footnoteReference w:id="929"/>
      </w:r>
      <w:r w:rsidRPr="003024E5">
        <w:rPr>
          <w:rFonts w:asciiTheme="minorBidi" w:hAnsiTheme="minorBidi"/>
          <w:rtl/>
        </w:rPr>
        <w:t xml:space="preserve"> לבתר תריסר ירחי שתא שריין</w:t>
      </w:r>
      <w:r w:rsidRPr="003024E5">
        <w:rPr>
          <w:rStyle w:val="a7"/>
          <w:rFonts w:asciiTheme="minorBidi" w:hAnsiTheme="minorBidi"/>
          <w:rtl/>
        </w:rPr>
        <w:footnoteReference w:id="930"/>
      </w:r>
      <w:r w:rsidRPr="003024E5">
        <w:rPr>
          <w:rFonts w:asciiTheme="minorBidi" w:hAnsiTheme="minorBidi"/>
          <w:rtl/>
        </w:rPr>
        <w:t>.</w:t>
      </w:r>
    </w:p>
    <w:p w14:paraId="259F32F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77426B1" w14:textId="77777777" w:rsidR="002C39F4" w:rsidRPr="003024E5" w:rsidRDefault="002C39F4" w:rsidP="002C39F4">
      <w:pPr>
        <w:rPr>
          <w:rFonts w:asciiTheme="minorBidi" w:hAnsiTheme="minorBidi"/>
          <w:rtl/>
        </w:rPr>
      </w:pPr>
      <w:r w:rsidRPr="003024E5">
        <w:rPr>
          <w:rFonts w:asciiTheme="minorBidi" w:hAnsiTheme="minorBidi"/>
          <w:rtl/>
        </w:rPr>
        <w:t>פרי שהתליע ואין ידוע אם במחובר אם בתלוש אסור</w:t>
      </w:r>
      <w:r w:rsidRPr="003024E5">
        <w:rPr>
          <w:rStyle w:val="a7"/>
          <w:rFonts w:asciiTheme="minorBidi" w:hAnsiTheme="minorBidi"/>
          <w:rtl/>
        </w:rPr>
        <w:footnoteReference w:id="931"/>
      </w:r>
      <w:r w:rsidRPr="003024E5">
        <w:rPr>
          <w:rFonts w:asciiTheme="minorBidi" w:hAnsiTheme="minorBidi"/>
          <w:rtl/>
        </w:rPr>
        <w:t xml:space="preserve">. </w:t>
      </w:r>
    </w:p>
    <w:p w14:paraId="6DFD4E22" w14:textId="77777777" w:rsidR="002C39F4" w:rsidRPr="003024E5" w:rsidRDefault="002C39F4" w:rsidP="002C39F4">
      <w:pPr>
        <w:rPr>
          <w:rFonts w:asciiTheme="minorBidi" w:hAnsiTheme="minorBidi"/>
          <w:rtl/>
        </w:rPr>
      </w:pPr>
    </w:p>
    <w:p w14:paraId="29AB5588" w14:textId="77777777" w:rsidR="002C39F4" w:rsidRPr="003024E5" w:rsidRDefault="002C39F4" w:rsidP="002C39F4">
      <w:pPr>
        <w:pStyle w:val="2"/>
        <w:rPr>
          <w:rFonts w:asciiTheme="minorBidi" w:hAnsiTheme="minorBidi"/>
          <w:rtl/>
        </w:rPr>
      </w:pPr>
      <w:r w:rsidRPr="003024E5">
        <w:rPr>
          <w:rFonts w:asciiTheme="minorBidi" w:hAnsiTheme="minorBidi"/>
          <w:rtl/>
        </w:rPr>
        <w:t>סעיף ח: פירות שדרכם להתליע במחובר.</w:t>
      </w:r>
    </w:p>
    <w:p w14:paraId="2CFCFA87"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נח ע"א: </w:t>
      </w:r>
      <w:r w:rsidRPr="003024E5">
        <w:rPr>
          <w:rFonts w:asciiTheme="minorBidi" w:hAnsiTheme="minorBidi"/>
          <w:u w:val="single"/>
          <w:rtl/>
        </w:rPr>
        <w:t>אמר רב הונא:</w:t>
      </w:r>
      <w:r w:rsidRPr="003024E5">
        <w:rPr>
          <w:rFonts w:asciiTheme="minorBidi" w:hAnsiTheme="minorBidi"/>
          <w:rtl/>
        </w:rPr>
        <w:t xml:space="preserve"> כל בריה שאין בו עצם - אינו מתקיים י"ב חדש. </w:t>
      </w:r>
      <w:r w:rsidRPr="003024E5">
        <w:rPr>
          <w:rFonts w:asciiTheme="minorBidi" w:hAnsiTheme="minorBidi"/>
          <w:u w:val="single"/>
          <w:rtl/>
        </w:rPr>
        <w:t>אמר רב פפא</w:t>
      </w:r>
      <w:r w:rsidRPr="003024E5">
        <w:rPr>
          <w:rFonts w:asciiTheme="minorBidi" w:hAnsiTheme="minorBidi"/>
          <w:rtl/>
        </w:rPr>
        <w:t>: שמע מינה מדרב הונא, הא דאמר שמואל קישות שהתליע באיביה אסורה, הני תמרי דכדא לבתר תריסר ירחי שתא שריין</w:t>
      </w:r>
      <w:r w:rsidRPr="003024E5">
        <w:rPr>
          <w:rStyle w:val="a7"/>
          <w:rFonts w:asciiTheme="minorBidi" w:hAnsiTheme="minorBidi"/>
          <w:rtl/>
        </w:rPr>
        <w:footnoteReference w:id="932"/>
      </w:r>
      <w:r w:rsidRPr="003024E5">
        <w:rPr>
          <w:rFonts w:asciiTheme="minorBidi" w:hAnsiTheme="minorBidi"/>
          <w:rtl/>
        </w:rPr>
        <w:t xml:space="preserve">. </w:t>
      </w:r>
      <w:r w:rsidRPr="003024E5">
        <w:rPr>
          <w:rFonts w:asciiTheme="minorBidi" w:hAnsiTheme="minorBidi"/>
          <w:sz w:val="16"/>
          <w:szCs w:val="16"/>
          <w:rtl/>
        </w:rPr>
        <w:t xml:space="preserve">(ופירש רש"י הני תמרי דכדא- שהתליעו ואין ידוע אם במחובר אם בתלוש. וכ' עליו הר"ן </w:t>
      </w:r>
      <w:r w:rsidRPr="003024E5">
        <w:rPr>
          <w:rFonts w:asciiTheme="minorBidi" w:hAnsiTheme="minorBidi"/>
          <w:sz w:val="14"/>
          <w:szCs w:val="14"/>
          <w:rtl/>
        </w:rPr>
        <w:t xml:space="preserve">(שם ד"ה הני) </w:t>
      </w:r>
      <w:r w:rsidRPr="003024E5">
        <w:rPr>
          <w:rFonts w:asciiTheme="minorBidi" w:hAnsiTheme="minorBidi"/>
          <w:sz w:val="16"/>
          <w:szCs w:val="16"/>
          <w:rtl/>
        </w:rPr>
        <w:t xml:space="preserve">מה שכתב תמרי דכדא שהתליעו לא נהירא, דאי בשהתליעו ודאי עסקינן מאי שנא תמרי דנקט ולא נקט פירי סתמא, אלא משמע דמשום הכי נקט תמרי לפי שהתלעה מצויה בהם, ולומר דכיון דהדבר מצוי אע"פ שהוא מיעוט למיעוט המצוי חששו. וכ"כ רמב"ם </w:t>
      </w:r>
      <w:r w:rsidRPr="003024E5">
        <w:rPr>
          <w:rFonts w:asciiTheme="minorBidi" w:hAnsiTheme="minorBidi"/>
          <w:sz w:val="14"/>
          <w:szCs w:val="14"/>
          <w:rtl/>
        </w:rPr>
        <w:t xml:space="preserve">(פ"ב הט"ו) </w:t>
      </w:r>
      <w:r w:rsidRPr="003024E5">
        <w:rPr>
          <w:rFonts w:asciiTheme="minorBidi" w:hAnsiTheme="minorBidi"/>
          <w:sz w:val="16"/>
          <w:szCs w:val="16"/>
          <w:rtl/>
        </w:rPr>
        <w:t xml:space="preserve">רשב"א </w:t>
      </w:r>
      <w:r w:rsidRPr="003024E5">
        <w:rPr>
          <w:rFonts w:asciiTheme="minorBidi" w:hAnsiTheme="minorBidi"/>
          <w:sz w:val="14"/>
          <w:szCs w:val="14"/>
          <w:rtl/>
        </w:rPr>
        <w:t xml:space="preserve">(תוה"א ב"ג ש"ג פד., קצר שם פב:) </w:t>
      </w:r>
      <w:r w:rsidRPr="003024E5">
        <w:rPr>
          <w:rFonts w:asciiTheme="minorBidi" w:hAnsiTheme="minorBidi"/>
          <w:sz w:val="16"/>
          <w:szCs w:val="16"/>
          <w:rtl/>
        </w:rPr>
        <w:t xml:space="preserve">ורא"ש </w:t>
      </w:r>
      <w:r w:rsidRPr="003024E5">
        <w:rPr>
          <w:rFonts w:asciiTheme="minorBidi" w:hAnsiTheme="minorBidi"/>
          <w:sz w:val="14"/>
          <w:szCs w:val="14"/>
          <w:rtl/>
        </w:rPr>
        <w:t>(סי' נג)</w:t>
      </w:r>
      <w:r w:rsidRPr="003024E5">
        <w:rPr>
          <w:rFonts w:asciiTheme="minorBidi" w:hAnsiTheme="minorBidi"/>
          <w:sz w:val="16"/>
          <w:szCs w:val="16"/>
          <w:rtl/>
        </w:rPr>
        <w:t>)</w:t>
      </w:r>
      <w:r w:rsidRPr="003024E5">
        <w:rPr>
          <w:rFonts w:asciiTheme="minorBidi" w:hAnsiTheme="minorBidi"/>
          <w:rtl/>
        </w:rPr>
        <w:t xml:space="preserve"> </w:t>
      </w:r>
    </w:p>
    <w:p w14:paraId="0023E8C2" w14:textId="77777777" w:rsidR="002C39F4" w:rsidRPr="003024E5" w:rsidRDefault="002C39F4" w:rsidP="002C39F4">
      <w:pPr>
        <w:rPr>
          <w:rFonts w:asciiTheme="minorBidi" w:hAnsiTheme="minorBidi"/>
          <w:sz w:val="16"/>
          <w:szCs w:val="16"/>
          <w:rtl/>
        </w:rPr>
      </w:pPr>
      <w:r w:rsidRPr="003024E5">
        <w:rPr>
          <w:rFonts w:asciiTheme="minorBidi" w:hAnsiTheme="minorBidi"/>
          <w:u w:val="single"/>
          <w:rtl/>
        </w:rPr>
        <w:t>הכשרת פולין לאכילה:</w:t>
      </w:r>
      <w:r w:rsidRPr="003024E5">
        <w:rPr>
          <w:rFonts w:asciiTheme="minorBidi" w:hAnsiTheme="minorBidi"/>
          <w:sz w:val="16"/>
          <w:szCs w:val="16"/>
          <w:rtl/>
        </w:rPr>
        <w:t xml:space="preserve">  (ב"י, ושע"ד [סי' מו]) </w:t>
      </w:r>
    </w:p>
    <w:p w14:paraId="7CA51A89" w14:textId="77777777" w:rsidR="002C39F4" w:rsidRPr="003024E5" w:rsidRDefault="002C39F4" w:rsidP="002C39F4">
      <w:pPr>
        <w:ind w:left="360"/>
        <w:rPr>
          <w:rFonts w:asciiTheme="minorBidi" w:hAnsiTheme="minorBidi"/>
          <w:sz w:val="16"/>
          <w:szCs w:val="16"/>
          <w:u w:val="dotted"/>
          <w:rtl/>
        </w:rPr>
      </w:pPr>
      <w:r w:rsidRPr="003024E5">
        <w:rPr>
          <w:rFonts w:asciiTheme="minorBidi" w:hAnsiTheme="minorBidi"/>
          <w:u w:val="dotted"/>
          <w:rtl/>
        </w:rPr>
        <w:t>בתוך י"ב חודש משנתלשו:</w:t>
      </w:r>
      <w:r w:rsidRPr="003024E5">
        <w:rPr>
          <w:rFonts w:asciiTheme="minorBidi" w:hAnsiTheme="minorBidi"/>
          <w:sz w:val="16"/>
          <w:szCs w:val="16"/>
          <w:u w:val="dotted"/>
          <w:rtl/>
        </w:rPr>
        <w:t xml:space="preserve">  </w:t>
      </w:r>
    </w:p>
    <w:p w14:paraId="64F80596" w14:textId="77777777" w:rsidR="002C39F4" w:rsidRPr="003024E5" w:rsidRDefault="002C39F4" w:rsidP="002C39F4">
      <w:pPr>
        <w:pStyle w:val="a8"/>
        <w:numPr>
          <w:ilvl w:val="0"/>
          <w:numId w:val="82"/>
        </w:numPr>
        <w:rPr>
          <w:rFonts w:asciiTheme="minorBidi" w:hAnsiTheme="minorBidi"/>
        </w:rPr>
      </w:pPr>
      <w:r w:rsidRPr="003024E5">
        <w:rPr>
          <w:rFonts w:asciiTheme="minorBidi" w:hAnsiTheme="minorBidi"/>
          <w:rtl/>
        </w:rPr>
        <w:t xml:space="preserve">סה"ת </w:t>
      </w:r>
      <w:r w:rsidRPr="003024E5">
        <w:rPr>
          <w:rFonts w:asciiTheme="minorBidi" w:hAnsiTheme="minorBidi"/>
          <w:sz w:val="16"/>
          <w:szCs w:val="16"/>
          <w:rtl/>
        </w:rPr>
        <w:t>(סי' לד, העתיקו דבריו סמ"ג [לאוין קלב] מרדכי [סי' תרמד] והגשע"ד [סי' מו סק"ד])</w:t>
      </w:r>
      <w:r w:rsidRPr="003024E5">
        <w:rPr>
          <w:rFonts w:asciiTheme="minorBidi" w:hAnsiTheme="minorBidi"/>
          <w:rtl/>
        </w:rPr>
        <w:t>- פולין ופייש שהן בלא שרביט ולאחר שבשלן מוצא הרבה זיזין שהם כמו זבובים קטנים בקערה כולן מותרין משום שאותן זבובים קטנים אין רגילות ליגדל בגוף הפולין עד לאחר שנתלשו מן הארץ, א"כ מותרים, וכי תימא שמא יצאו חוץ לפולין בעודן חיים ונאסרו משום שרץ השורץ על הארץ</w:t>
      </w:r>
      <w:r>
        <w:rPr>
          <w:rFonts w:asciiTheme="minorBidi" w:hAnsiTheme="minorBidi" w:hint="cs"/>
          <w:rtl/>
        </w:rPr>
        <w:t>,</w:t>
      </w:r>
      <w:r w:rsidRPr="003024E5">
        <w:rPr>
          <w:rFonts w:asciiTheme="minorBidi" w:hAnsiTheme="minorBidi"/>
          <w:rtl/>
        </w:rPr>
        <w:t xml:space="preserve"> אין לחוש על זה</w:t>
      </w:r>
      <w:r>
        <w:rPr>
          <w:rFonts w:asciiTheme="minorBidi" w:hAnsiTheme="minorBidi" w:hint="cs"/>
          <w:rtl/>
        </w:rPr>
        <w:t>,</w:t>
      </w:r>
      <w:r w:rsidRPr="003024E5">
        <w:rPr>
          <w:rFonts w:asciiTheme="minorBidi" w:hAnsiTheme="minorBidi"/>
          <w:rtl/>
        </w:rPr>
        <w:t xml:space="preserve"> דאם איתא דיצאו בעודן חיים אין חוזרין עוד לתוך הקטנית</w:t>
      </w:r>
      <w:r>
        <w:rPr>
          <w:rFonts w:asciiTheme="minorBidi" w:hAnsiTheme="minorBidi" w:hint="cs"/>
          <w:rtl/>
        </w:rPr>
        <w:t>,</w:t>
      </w:r>
      <w:r w:rsidRPr="003024E5">
        <w:rPr>
          <w:rFonts w:asciiTheme="minorBidi" w:hAnsiTheme="minorBidi"/>
          <w:rtl/>
        </w:rPr>
        <w:t xml:space="preserve"> א</w:t>
      </w:r>
      <w:r>
        <w:rPr>
          <w:rFonts w:asciiTheme="minorBidi" w:hAnsiTheme="minorBidi" w:hint="cs"/>
          <w:rtl/>
        </w:rPr>
        <w:t>"</w:t>
      </w:r>
      <w:r w:rsidRPr="003024E5">
        <w:rPr>
          <w:rFonts w:asciiTheme="minorBidi" w:hAnsiTheme="minorBidi"/>
          <w:rtl/>
        </w:rPr>
        <w:t>כ אותם שעכשיו מבושלים והנם בקערה חוץ לפולין מותרין</w:t>
      </w:r>
      <w:r w:rsidRPr="003024E5">
        <w:rPr>
          <w:rStyle w:val="a7"/>
          <w:rFonts w:asciiTheme="minorBidi" w:hAnsiTheme="minorBidi"/>
          <w:rtl/>
        </w:rPr>
        <w:footnoteReference w:id="933"/>
      </w:r>
      <w:r w:rsidRPr="003024E5">
        <w:rPr>
          <w:rFonts w:asciiTheme="minorBidi" w:hAnsiTheme="minorBidi"/>
          <w:rtl/>
        </w:rPr>
        <w:t xml:space="preserve"> כיון דלא יצאו מחיים לחוץ</w:t>
      </w:r>
      <w:r w:rsidRPr="003024E5">
        <w:rPr>
          <w:rStyle w:val="a7"/>
          <w:rFonts w:asciiTheme="minorBidi" w:hAnsiTheme="minorBidi"/>
          <w:rtl/>
        </w:rPr>
        <w:footnoteReference w:id="934"/>
      </w:r>
      <w:r w:rsidRPr="003024E5">
        <w:rPr>
          <w:rFonts w:asciiTheme="minorBidi" w:hAnsiTheme="minorBidi"/>
          <w:rtl/>
        </w:rPr>
        <w:t xml:space="preserve">, ויש מחמירים ונותנין הפולין לבשל במים רותחין שימותו הזבובים מיד בתוך הפולין קודם שיפרשו לחוץ בתוך מים צוננין פן יצאו לחוץ חיים בתוך המים ונאסרו שם ומתים מחמת רתיחת המים ואוכלן בקערה. </w:t>
      </w:r>
    </w:p>
    <w:p w14:paraId="19FB3179" w14:textId="77777777" w:rsidR="002C39F4" w:rsidRPr="003024E5" w:rsidRDefault="002C39F4" w:rsidP="002C39F4">
      <w:pPr>
        <w:pStyle w:val="a8"/>
        <w:numPr>
          <w:ilvl w:val="0"/>
          <w:numId w:val="82"/>
        </w:numPr>
        <w:rPr>
          <w:rFonts w:asciiTheme="minorBidi" w:hAnsiTheme="minorBidi"/>
          <w:rtl/>
        </w:rPr>
      </w:pPr>
      <w:r w:rsidRPr="003024E5">
        <w:rPr>
          <w:rFonts w:asciiTheme="minorBidi" w:hAnsiTheme="minorBidi"/>
          <w:rtl/>
        </w:rPr>
        <w:t>רמב"ם רשב"א רא"ש ור"ן</w:t>
      </w:r>
      <w:r w:rsidRPr="003024E5">
        <w:rPr>
          <w:rStyle w:val="a7"/>
          <w:rFonts w:asciiTheme="minorBidi" w:hAnsiTheme="minorBidi"/>
          <w:rtl/>
        </w:rPr>
        <w:footnoteReference w:id="935"/>
      </w:r>
      <w:r w:rsidRPr="003024E5">
        <w:rPr>
          <w:rFonts w:asciiTheme="minorBidi" w:hAnsiTheme="minorBidi"/>
          <w:rtl/>
        </w:rPr>
        <w:t>- כל מיני פירות שדרכן להתליע כשהן מחוברין</w:t>
      </w:r>
      <w:r w:rsidRPr="003024E5">
        <w:rPr>
          <w:rStyle w:val="a7"/>
          <w:rFonts w:asciiTheme="minorBidi" w:hAnsiTheme="minorBidi"/>
          <w:rtl/>
        </w:rPr>
        <w:footnoteReference w:id="936"/>
      </w:r>
      <w:r w:rsidRPr="003024E5">
        <w:rPr>
          <w:rFonts w:asciiTheme="minorBidi" w:hAnsiTheme="minorBidi"/>
          <w:rtl/>
        </w:rPr>
        <w:t xml:space="preserve"> לא יאכל תוך י"ב חודש עד שיבדוק הפרי מתוכו שמא יש בו תולעת</w:t>
      </w:r>
      <w:r w:rsidRPr="003024E5">
        <w:rPr>
          <w:rFonts w:asciiTheme="minorBidi" w:hAnsiTheme="minorBidi"/>
          <w:sz w:val="16"/>
          <w:szCs w:val="16"/>
          <w:rtl/>
        </w:rPr>
        <w:t xml:space="preserve"> (ע"פ ל' הרמב"ם)</w:t>
      </w:r>
      <w:r w:rsidRPr="003024E5">
        <w:rPr>
          <w:rFonts w:asciiTheme="minorBidi" w:hAnsiTheme="minorBidi"/>
          <w:rtl/>
        </w:rPr>
        <w:t xml:space="preserve">. </w:t>
      </w:r>
      <w:r w:rsidRPr="003024E5">
        <w:rPr>
          <w:rFonts w:asciiTheme="minorBidi" w:hAnsiTheme="minorBidi"/>
          <w:color w:val="E36C0A" w:themeColor="accent6" w:themeShade="BF"/>
          <w:rtl/>
        </w:rPr>
        <w:t>(וכ"פ בשו"ע)</w:t>
      </w:r>
      <w:r>
        <w:rPr>
          <w:rFonts w:asciiTheme="minorBidi" w:hAnsiTheme="minorBidi" w:hint="cs"/>
          <w:rtl/>
        </w:rPr>
        <w:t xml:space="preserve"> </w:t>
      </w:r>
    </w:p>
    <w:p w14:paraId="54A5AA99" w14:textId="77777777" w:rsidR="002C39F4" w:rsidRPr="003024E5" w:rsidRDefault="002C39F4" w:rsidP="002C39F4">
      <w:pPr>
        <w:pStyle w:val="a8"/>
        <w:numPr>
          <w:ilvl w:val="0"/>
          <w:numId w:val="82"/>
        </w:numPr>
        <w:rPr>
          <w:rFonts w:asciiTheme="minorBidi" w:hAnsiTheme="minorBidi"/>
        </w:rPr>
      </w:pPr>
      <w:r w:rsidRPr="003024E5">
        <w:rPr>
          <w:rFonts w:asciiTheme="minorBidi" w:hAnsiTheme="minorBidi"/>
          <w:rtl/>
        </w:rPr>
        <w:t xml:space="preserve">ראב"ן </w:t>
      </w:r>
      <w:r w:rsidRPr="003024E5">
        <w:rPr>
          <w:rFonts w:asciiTheme="minorBidi" w:hAnsiTheme="minorBidi"/>
          <w:sz w:val="16"/>
          <w:szCs w:val="16"/>
          <w:rtl/>
        </w:rPr>
        <w:t>(הביאו שע"ד [סי' מו])</w:t>
      </w:r>
      <w:r w:rsidRPr="003024E5">
        <w:rPr>
          <w:rFonts w:asciiTheme="minorBidi" w:hAnsiTheme="minorBidi"/>
          <w:rtl/>
        </w:rPr>
        <w:t>- פירות שהתליעו בין בתלוש בין במחובר וכן עדשין וכן פולין אסור לאוכלן עם התולעים אלא זורק התולעים ואוכל הפירות, דכיון דמבעיא לן פירשה לאויר העולם מהו ועלתה בתיקו, א"כ כולהו אסירי דתיקו דאורייתא לחומרא ואית לן למימר פירשו וחזרו</w:t>
      </w:r>
      <w:r w:rsidRPr="003024E5">
        <w:rPr>
          <w:rStyle w:val="a7"/>
          <w:rFonts w:asciiTheme="minorBidi" w:hAnsiTheme="minorBidi"/>
          <w:rtl/>
        </w:rPr>
        <w:footnoteReference w:id="937"/>
      </w:r>
      <w:r w:rsidRPr="003024E5">
        <w:rPr>
          <w:rFonts w:asciiTheme="minorBidi" w:hAnsiTheme="minorBidi"/>
          <w:rtl/>
        </w:rPr>
        <w:t xml:space="preserve">. </w:t>
      </w:r>
    </w:p>
    <w:p w14:paraId="728E9FE6"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לאחר י"ב חודש משנתלשו:</w:t>
      </w:r>
    </w:p>
    <w:p w14:paraId="64991F1B" w14:textId="77777777" w:rsidR="002C39F4" w:rsidRPr="003024E5" w:rsidRDefault="002C39F4" w:rsidP="002C39F4">
      <w:pPr>
        <w:pStyle w:val="a8"/>
        <w:numPr>
          <w:ilvl w:val="0"/>
          <w:numId w:val="82"/>
        </w:numPr>
        <w:rPr>
          <w:rFonts w:asciiTheme="minorBidi" w:hAnsiTheme="minorBidi"/>
          <w:rtl/>
        </w:rPr>
      </w:pPr>
      <w:r w:rsidRPr="003024E5">
        <w:rPr>
          <w:rFonts w:asciiTheme="minorBidi" w:hAnsiTheme="minorBidi"/>
          <w:rtl/>
        </w:rPr>
        <w:t>רמב"ם</w:t>
      </w:r>
      <w:r w:rsidRPr="003024E5">
        <w:rPr>
          <w:rFonts w:asciiTheme="minorBidi" w:hAnsiTheme="minorBidi"/>
          <w:sz w:val="16"/>
          <w:szCs w:val="16"/>
          <w:rtl/>
        </w:rPr>
        <w:t xml:space="preserve"> (שם)</w:t>
      </w:r>
      <w:r w:rsidRPr="003024E5">
        <w:rPr>
          <w:rFonts w:asciiTheme="minorBidi" w:hAnsiTheme="minorBidi"/>
          <w:rtl/>
        </w:rPr>
        <w:t>- אם שהה הפרי אחר שנעקר י"ב חודש אוכל בלא בדיקה</w:t>
      </w:r>
      <w:r w:rsidRPr="003024E5">
        <w:rPr>
          <w:rStyle w:val="a7"/>
          <w:rFonts w:asciiTheme="minorBidi" w:hAnsiTheme="minorBidi"/>
          <w:rtl/>
        </w:rPr>
        <w:footnoteReference w:id="938"/>
      </w:r>
      <w:r w:rsidRPr="003024E5">
        <w:rPr>
          <w:rFonts w:asciiTheme="minorBidi" w:hAnsiTheme="minorBidi"/>
          <w:rtl/>
        </w:rPr>
        <w:t xml:space="preserve"> שאין תולעת שבו מתקיימת י"ב חודש.</w:t>
      </w:r>
      <w:r w:rsidRPr="004D14BD">
        <w:rPr>
          <w:rFonts w:asciiTheme="minorBidi" w:hAnsiTheme="minorBidi"/>
          <w:color w:val="E36C0A" w:themeColor="accent6" w:themeShade="BF"/>
          <w:rtl/>
        </w:rPr>
        <w:t xml:space="preserve"> </w:t>
      </w:r>
      <w:r w:rsidRPr="003024E5">
        <w:rPr>
          <w:rFonts w:asciiTheme="minorBidi" w:hAnsiTheme="minorBidi"/>
          <w:color w:val="E36C0A" w:themeColor="accent6" w:themeShade="BF"/>
          <w:rtl/>
        </w:rPr>
        <w:t>(וכ"פ בשו"ע)</w:t>
      </w:r>
      <w:r>
        <w:rPr>
          <w:rFonts w:asciiTheme="minorBidi" w:hAnsiTheme="minorBidi" w:hint="cs"/>
          <w:color w:val="E36C0A" w:themeColor="accent6" w:themeShade="BF"/>
          <w:rtl/>
        </w:rPr>
        <w:t xml:space="preserve"> </w:t>
      </w:r>
    </w:p>
    <w:p w14:paraId="614B4605" w14:textId="77777777" w:rsidR="002C39F4" w:rsidRPr="003024E5" w:rsidRDefault="002C39F4" w:rsidP="002C39F4">
      <w:pPr>
        <w:pStyle w:val="a8"/>
        <w:numPr>
          <w:ilvl w:val="0"/>
          <w:numId w:val="82"/>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(תוה"ב קצר ב"ג ש"ג פג.)</w:t>
      </w:r>
      <w:r w:rsidRPr="003024E5">
        <w:rPr>
          <w:rFonts w:asciiTheme="minorBidi" w:hAnsiTheme="minorBidi"/>
          <w:rtl/>
        </w:rPr>
        <w:t xml:space="preserve"> רא"ש</w:t>
      </w:r>
      <w:r w:rsidRPr="003024E5">
        <w:rPr>
          <w:rFonts w:asciiTheme="minorBidi" w:hAnsiTheme="minorBidi"/>
          <w:sz w:val="16"/>
          <w:szCs w:val="16"/>
          <w:rtl/>
        </w:rPr>
        <w:t xml:space="preserve"> (סי' נג)</w:t>
      </w:r>
      <w:r w:rsidRPr="003024E5">
        <w:rPr>
          <w:rFonts w:asciiTheme="minorBidi" w:hAnsiTheme="minorBidi"/>
          <w:rtl/>
        </w:rPr>
        <w:t xml:space="preserve"> ור"ן</w:t>
      </w:r>
      <w:r w:rsidRPr="003024E5">
        <w:rPr>
          <w:rFonts w:asciiTheme="minorBidi" w:hAnsiTheme="minorBidi"/>
          <w:sz w:val="16"/>
          <w:szCs w:val="16"/>
          <w:rtl/>
        </w:rPr>
        <w:t xml:space="preserve"> (יט: דיבור ראשון)</w:t>
      </w:r>
      <w:r w:rsidRPr="003024E5">
        <w:rPr>
          <w:rFonts w:asciiTheme="minorBidi" w:hAnsiTheme="minorBidi"/>
          <w:rtl/>
        </w:rPr>
        <w:t xml:space="preserve">- </w:t>
      </w:r>
      <w:r w:rsidRPr="003024E5">
        <w:rPr>
          <w:rStyle w:val="a7"/>
          <w:rFonts w:asciiTheme="minorBidi" w:hAnsiTheme="minorBidi"/>
          <w:rtl/>
        </w:rPr>
        <w:footnoteReference w:id="939"/>
      </w:r>
      <w:r w:rsidRPr="003024E5">
        <w:rPr>
          <w:rFonts w:asciiTheme="minorBidi" w:hAnsiTheme="minorBidi"/>
          <w:rtl/>
        </w:rPr>
        <w:t>הבא לבשלן בלא בדיקה כיצד הוא עושה</w:t>
      </w:r>
      <w:r>
        <w:rPr>
          <w:rFonts w:asciiTheme="minorBidi" w:hAnsiTheme="minorBidi" w:hint="cs"/>
          <w:rtl/>
        </w:rPr>
        <w:t xml:space="preserve"> </w:t>
      </w:r>
      <w:r w:rsidRPr="003024E5">
        <w:rPr>
          <w:rFonts w:asciiTheme="minorBidi" w:hAnsiTheme="minorBidi"/>
          <w:rtl/>
        </w:rPr>
        <w:t>- שורה אותן במים צוננין כדי שיכנסו המים בחורין ויוציאו הרחש שבתוכן ויפרוש כל העתיד לפרוש, ואח"כ ישים בקדרה אחר רתיחת המים כדי שימותו הנשארים בחורין, ואם נמצאו קצת בתוך הקדרה משליך ואוכל השאר, שאין בהם כ"כ שיאסרו בפליטתן את תערובתן</w:t>
      </w:r>
      <w:r>
        <w:rPr>
          <w:rFonts w:asciiTheme="minorBidi" w:hAnsiTheme="minorBidi" w:hint="cs"/>
          <w:rtl/>
        </w:rPr>
        <w:t>,</w:t>
      </w:r>
      <w:r w:rsidRPr="005A1CD1">
        <w:rPr>
          <w:rFonts w:asciiTheme="minorBidi" w:hAnsiTheme="minorBidi"/>
          <w:rtl/>
        </w:rPr>
        <w:t xml:space="preserve"> ויראה לי שאסור לעשות כן תוך י"ב חודש מפני הרחש הקטן המצוי בעודן במחובר והרי אפשר לו להתקיים כן כל י"ב חודש</w:t>
      </w:r>
      <w:r w:rsidRPr="003024E5">
        <w:rPr>
          <w:rStyle w:val="a7"/>
          <w:rFonts w:asciiTheme="minorBidi" w:hAnsiTheme="minorBidi"/>
          <w:rtl/>
        </w:rPr>
        <w:footnoteReference w:id="940"/>
      </w:r>
      <w:r w:rsidRPr="003024E5">
        <w:rPr>
          <w:rFonts w:asciiTheme="minorBidi" w:hAnsiTheme="minorBidi"/>
          <w:sz w:val="16"/>
          <w:szCs w:val="16"/>
          <w:rtl/>
        </w:rPr>
        <w:t xml:space="preserve"> (ל' הרשב"א)</w:t>
      </w:r>
      <w:r w:rsidRPr="003024E5">
        <w:rPr>
          <w:rFonts w:asciiTheme="minorBidi" w:hAnsiTheme="minorBidi"/>
          <w:rtl/>
        </w:rPr>
        <w:t xml:space="preserve">. </w:t>
      </w:r>
      <w:r w:rsidRPr="003024E5">
        <w:rPr>
          <w:rFonts w:asciiTheme="minorBidi" w:hAnsiTheme="minorBidi"/>
          <w:color w:val="E36C0A" w:themeColor="accent6" w:themeShade="BF"/>
          <w:rtl/>
        </w:rPr>
        <w:t>(וכ"פ בשו"ע)</w:t>
      </w:r>
      <w:r>
        <w:rPr>
          <w:rFonts w:asciiTheme="minorBidi" w:hAnsiTheme="minorBidi" w:hint="cs"/>
          <w:rtl/>
        </w:rPr>
        <w:t xml:space="preserve">  </w:t>
      </w:r>
    </w:p>
    <w:p w14:paraId="1FCA0748" w14:textId="77777777" w:rsidR="002C39F4" w:rsidRPr="003024E5" w:rsidRDefault="002C39F4" w:rsidP="002C39F4">
      <w:pPr>
        <w:rPr>
          <w:rFonts w:asciiTheme="minorBidi" w:hAnsiTheme="minorBidi"/>
          <w:rtl/>
        </w:rPr>
      </w:pPr>
      <w:r w:rsidRPr="003024E5">
        <w:rPr>
          <w:rFonts w:asciiTheme="minorBidi" w:hAnsiTheme="minorBidi"/>
          <w:u w:val="single"/>
          <w:rtl/>
        </w:rPr>
        <w:t>בדיקת מדגם:</w:t>
      </w:r>
    </w:p>
    <w:p w14:paraId="24862A5A" w14:textId="77777777" w:rsidR="002C39F4" w:rsidRPr="003024E5" w:rsidRDefault="002C39F4" w:rsidP="002C39F4">
      <w:pPr>
        <w:pStyle w:val="a8"/>
        <w:numPr>
          <w:ilvl w:val="0"/>
          <w:numId w:val="83"/>
        </w:numPr>
        <w:rPr>
          <w:rFonts w:asciiTheme="minorBidi" w:hAnsiTheme="minorBidi"/>
          <w:rtl/>
        </w:rPr>
      </w:pPr>
      <w:r w:rsidRPr="003024E5">
        <w:rPr>
          <w:rFonts w:asciiTheme="minorBidi" w:hAnsiTheme="minorBidi"/>
          <w:rtl/>
        </w:rPr>
        <w:t xml:space="preserve">רשב"א </w:t>
      </w:r>
      <w:r w:rsidRPr="003024E5">
        <w:rPr>
          <w:rFonts w:asciiTheme="minorBidi" w:hAnsiTheme="minorBidi"/>
          <w:sz w:val="16"/>
          <w:szCs w:val="16"/>
          <w:rtl/>
        </w:rPr>
        <w:t>(ח"א סי' רע"ד)</w:t>
      </w:r>
      <w:r w:rsidRPr="003024E5">
        <w:rPr>
          <w:rFonts w:asciiTheme="minorBidi" w:hAnsiTheme="minorBidi"/>
          <w:rtl/>
        </w:rPr>
        <w:t>- עדשים ופולין וזיתים בלי ספק הרחש מצוי בהם במחובר ולפיכך א</w:t>
      </w:r>
      <w:r>
        <w:rPr>
          <w:rFonts w:asciiTheme="minorBidi" w:hAnsiTheme="minorBidi" w:hint="cs"/>
          <w:rtl/>
        </w:rPr>
        <w:t>ע"פ</w:t>
      </w:r>
      <w:r w:rsidRPr="003024E5">
        <w:rPr>
          <w:rFonts w:asciiTheme="minorBidi" w:hAnsiTheme="minorBidi"/>
          <w:rtl/>
        </w:rPr>
        <w:t xml:space="preserve"> שבדק קצתן אין בדיקת הקצת מטהרת חברותיה כי באמת אין הרחש מצוי ברוב ומ</w:t>
      </w:r>
      <w:r>
        <w:rPr>
          <w:rFonts w:asciiTheme="minorBidi" w:hAnsiTheme="minorBidi" w:hint="cs"/>
          <w:rtl/>
        </w:rPr>
        <w:t>"מ</w:t>
      </w:r>
      <w:r w:rsidRPr="003024E5">
        <w:rPr>
          <w:rFonts w:asciiTheme="minorBidi" w:hAnsiTheme="minorBidi"/>
          <w:rtl/>
        </w:rPr>
        <w:t xml:space="preserve"> הוי מיעוט המצוי וכל שמצוי אין סומכין על בדיקת הקצת ולא אפילו על בדיקת הרוב</w:t>
      </w:r>
      <w:r>
        <w:rPr>
          <w:rFonts w:asciiTheme="minorBidi" w:hAnsiTheme="minorBidi" w:hint="cs"/>
          <w:rtl/>
        </w:rPr>
        <w:t>,</w:t>
      </w:r>
      <w:r w:rsidRPr="003024E5">
        <w:rPr>
          <w:rFonts w:asciiTheme="minorBidi" w:hAnsiTheme="minorBidi"/>
          <w:rtl/>
        </w:rPr>
        <w:t xml:space="preserve"> והמשל בזה בדיקת הריאה שהוא מיעוט המצוי ואין סומכין המקצת על בדיקת המקצת ואפילו על הרוב.</w:t>
      </w:r>
      <w:r w:rsidRPr="003024E5">
        <w:rPr>
          <w:rFonts w:asciiTheme="minorBidi" w:hAnsiTheme="minorBidi"/>
          <w:color w:val="00B0F0"/>
          <w:rtl/>
        </w:rPr>
        <w:t xml:space="preserve"> (וכ"פ הרמ"א)</w:t>
      </w:r>
    </w:p>
    <w:p w14:paraId="4A13865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A1510DE" w14:textId="77777777" w:rsidR="002C39F4" w:rsidRPr="003024E5" w:rsidRDefault="002C39F4" w:rsidP="002C39F4">
      <w:pPr>
        <w:rPr>
          <w:rFonts w:asciiTheme="minorBidi" w:hAnsiTheme="minorBidi"/>
          <w:rtl/>
        </w:rPr>
      </w:pPr>
      <w:r w:rsidRPr="003024E5">
        <w:rPr>
          <w:rFonts w:asciiTheme="minorBidi" w:hAnsiTheme="minorBidi"/>
          <w:rtl/>
        </w:rPr>
        <w:t>כל מיני פירות שדרכן להתליע כשהם מחוברים</w:t>
      </w:r>
      <w:r w:rsidRPr="003024E5">
        <w:rPr>
          <w:rStyle w:val="a7"/>
          <w:rFonts w:asciiTheme="minorBidi" w:hAnsiTheme="minorBidi"/>
          <w:rtl/>
        </w:rPr>
        <w:footnoteReference w:id="941"/>
      </w:r>
      <w:r w:rsidRPr="003024E5">
        <w:rPr>
          <w:rFonts w:asciiTheme="minorBidi" w:hAnsiTheme="minorBidi"/>
          <w:rtl/>
        </w:rPr>
        <w:t xml:space="preserve"> לא יאכל עד שיבדוק הפרי מתוכו שמא יש בו תולעת</w:t>
      </w:r>
      <w:r w:rsidRPr="003024E5">
        <w:rPr>
          <w:rStyle w:val="a7"/>
          <w:rFonts w:asciiTheme="minorBidi" w:hAnsiTheme="minorBidi"/>
          <w:rtl/>
        </w:rPr>
        <w:footnoteReference w:id="942"/>
      </w:r>
      <w:r w:rsidRPr="003024E5">
        <w:rPr>
          <w:rFonts w:asciiTheme="minorBidi" w:hAnsiTheme="minorBidi"/>
          <w:rtl/>
        </w:rPr>
        <w:t>, ואם שהה הפרי אחר שנעקר שנים עשר חדש, אוכל בלא בדיקה, שכל בריה שאין בה עצם אינו מתקיים שנים עשר חדש, ומכל מקום צריך לבדקן להשליך התולעים</w:t>
      </w:r>
      <w:r w:rsidRPr="003024E5">
        <w:rPr>
          <w:rStyle w:val="a7"/>
          <w:rFonts w:asciiTheme="minorBidi" w:hAnsiTheme="minorBidi"/>
          <w:rtl/>
        </w:rPr>
        <w:footnoteReference w:id="943"/>
      </w:r>
      <w:r w:rsidRPr="003024E5">
        <w:rPr>
          <w:rFonts w:asciiTheme="minorBidi" w:hAnsiTheme="minorBidi"/>
          <w:rtl/>
        </w:rPr>
        <w:t xml:space="preserve"> הנמצאים ביניהם בחוץ</w:t>
      </w:r>
      <w:r w:rsidRPr="003024E5">
        <w:rPr>
          <w:rStyle w:val="a7"/>
          <w:rFonts w:asciiTheme="minorBidi" w:hAnsiTheme="minorBidi"/>
          <w:rtl/>
        </w:rPr>
        <w:footnoteReference w:id="944"/>
      </w:r>
      <w:r w:rsidRPr="003024E5">
        <w:rPr>
          <w:rFonts w:asciiTheme="minorBidi" w:hAnsiTheme="minorBidi"/>
          <w:rtl/>
        </w:rPr>
        <w:t xml:space="preserve"> או על גבי הפרי</w:t>
      </w:r>
      <w:r w:rsidRPr="003024E5">
        <w:rPr>
          <w:rStyle w:val="a7"/>
          <w:rFonts w:asciiTheme="minorBidi" w:hAnsiTheme="minorBidi"/>
          <w:rtl/>
        </w:rPr>
        <w:footnoteReference w:id="945"/>
      </w:r>
      <w:r w:rsidRPr="003024E5">
        <w:rPr>
          <w:rFonts w:asciiTheme="minorBidi" w:hAnsiTheme="minorBidi"/>
          <w:rtl/>
        </w:rPr>
        <w:t>, ואף לאחר שישליך הנמצאים בחוץ יש לחוש שמא כשיתנם במים בתוך הקדירה יצאו לחוץ וירחשו במים או בדופני הקדרה או על גבי הפרי</w:t>
      </w:r>
      <w:r w:rsidRPr="003024E5">
        <w:rPr>
          <w:rStyle w:val="a7"/>
          <w:rFonts w:asciiTheme="minorBidi" w:hAnsiTheme="minorBidi"/>
          <w:rtl/>
        </w:rPr>
        <w:footnoteReference w:id="946"/>
      </w:r>
      <w:r w:rsidRPr="003024E5">
        <w:rPr>
          <w:rFonts w:asciiTheme="minorBidi" w:hAnsiTheme="minorBidi"/>
          <w:rtl/>
        </w:rPr>
        <w:t>, הלכך הבא לבשל לאחר שנים עשר חדש פירות</w:t>
      </w:r>
      <w:r w:rsidRPr="003024E5">
        <w:rPr>
          <w:rStyle w:val="a7"/>
          <w:rFonts w:asciiTheme="minorBidi" w:hAnsiTheme="minorBidi"/>
          <w:rtl/>
        </w:rPr>
        <w:footnoteReference w:id="947"/>
      </w:r>
      <w:r w:rsidRPr="003024E5">
        <w:rPr>
          <w:rFonts w:asciiTheme="minorBidi" w:hAnsiTheme="minorBidi"/>
          <w:rtl/>
        </w:rPr>
        <w:t xml:space="preserve"> שהתליעו יתנם לתוך מים צוננים המתולעים והמנוקבים יעלו למעלה</w:t>
      </w:r>
      <w:r w:rsidRPr="003024E5">
        <w:rPr>
          <w:rStyle w:val="a7"/>
          <w:rFonts w:asciiTheme="minorBidi" w:hAnsiTheme="minorBidi"/>
          <w:rtl/>
        </w:rPr>
        <w:footnoteReference w:id="948"/>
      </w:r>
      <w:r w:rsidRPr="003024E5">
        <w:rPr>
          <w:rFonts w:asciiTheme="minorBidi" w:hAnsiTheme="minorBidi"/>
          <w:rtl/>
        </w:rPr>
        <w:t xml:space="preserve"> ואחר כך יתנם בקדירה מים רותחים שאם נשאר בו תולעת ימות מיד</w:t>
      </w:r>
      <w:r w:rsidRPr="003024E5">
        <w:rPr>
          <w:rStyle w:val="a7"/>
          <w:rFonts w:asciiTheme="minorBidi" w:hAnsiTheme="minorBidi"/>
          <w:rtl/>
        </w:rPr>
        <w:footnoteReference w:id="949"/>
      </w:r>
      <w:r w:rsidRPr="003024E5">
        <w:rPr>
          <w:rFonts w:asciiTheme="minorBidi" w:hAnsiTheme="minorBidi"/>
          <w:rtl/>
        </w:rPr>
        <w:t xml:space="preserve">. </w:t>
      </w:r>
      <w:r w:rsidRPr="003024E5">
        <w:rPr>
          <w:rFonts w:asciiTheme="minorBidi" w:hAnsiTheme="minorBidi"/>
          <w:sz w:val="18"/>
          <w:szCs w:val="18"/>
          <w:rtl/>
        </w:rPr>
        <w:t xml:space="preserve">[הגה] ולא מהני בהם אם בדק הרוב אלא צריך לבדוק כולם דהוי מיעוט דשכיח </w:t>
      </w:r>
      <w:r w:rsidRPr="003024E5">
        <w:rPr>
          <w:rFonts w:asciiTheme="minorBidi" w:hAnsiTheme="minorBidi"/>
          <w:sz w:val="16"/>
          <w:szCs w:val="16"/>
          <w:rtl/>
        </w:rPr>
        <w:t>(רשב"א)</w:t>
      </w:r>
      <w:r w:rsidRPr="003024E5">
        <w:rPr>
          <w:rFonts w:asciiTheme="minorBidi" w:hAnsiTheme="minorBidi"/>
          <w:sz w:val="18"/>
          <w:szCs w:val="18"/>
          <w:rtl/>
        </w:rPr>
        <w:t>.</w:t>
      </w:r>
      <w:r w:rsidRPr="003024E5">
        <w:rPr>
          <w:rFonts w:asciiTheme="minorBidi" w:hAnsiTheme="minorBidi"/>
          <w:rtl/>
        </w:rPr>
        <w:t xml:space="preserve"> </w:t>
      </w:r>
    </w:p>
    <w:p w14:paraId="4534F202" w14:textId="77777777" w:rsidR="002C39F4" w:rsidRDefault="002C39F4" w:rsidP="002C39F4">
      <w:pPr>
        <w:rPr>
          <w:rFonts w:asciiTheme="minorBidi" w:hAnsiTheme="minorBidi" w:cs="Arial"/>
          <w:rtl/>
        </w:rPr>
      </w:pPr>
      <w:r w:rsidRPr="005E1C9A">
        <w:rPr>
          <w:rFonts w:asciiTheme="minorBidi" w:hAnsiTheme="minorBidi" w:cs="Arial" w:hint="cs"/>
          <w:u w:val="single"/>
          <w:rtl/>
        </w:rPr>
        <w:t>מכירת פירות יבשים של שנה שעברה:</w:t>
      </w:r>
      <w:r>
        <w:rPr>
          <w:rFonts w:asciiTheme="minorBidi" w:hAnsiTheme="minorBidi" w:cs="Arial" w:hint="cs"/>
          <w:rtl/>
        </w:rPr>
        <w:t xml:space="preserve"> </w:t>
      </w:r>
      <w:r w:rsidRPr="005E1C9A">
        <w:rPr>
          <w:rFonts w:asciiTheme="minorBidi" w:hAnsiTheme="minorBidi" w:cs="Arial"/>
          <w:sz w:val="16"/>
          <w:szCs w:val="16"/>
          <w:rtl/>
        </w:rPr>
        <w:t>(</w:t>
      </w:r>
      <w:r w:rsidRPr="005E1C9A">
        <w:rPr>
          <w:rFonts w:asciiTheme="minorBidi" w:hAnsiTheme="minorBidi" w:cs="Arial" w:hint="cs"/>
          <w:sz w:val="16"/>
          <w:szCs w:val="16"/>
          <w:rtl/>
        </w:rPr>
        <w:t>פת"ש סק"</w:t>
      </w:r>
      <w:r w:rsidRPr="005E1C9A">
        <w:rPr>
          <w:rFonts w:asciiTheme="minorBidi" w:hAnsiTheme="minorBidi" w:cs="Arial"/>
          <w:sz w:val="16"/>
          <w:szCs w:val="16"/>
          <w:rtl/>
        </w:rPr>
        <w:t>ה)</w:t>
      </w:r>
      <w:r w:rsidRPr="005E1C9A">
        <w:rPr>
          <w:rFonts w:asciiTheme="minorBidi" w:hAnsiTheme="minorBidi" w:cs="Arial"/>
          <w:rtl/>
        </w:rPr>
        <w:t xml:space="preserve"> </w:t>
      </w:r>
    </w:p>
    <w:p w14:paraId="1B351D02" w14:textId="77777777" w:rsidR="002C39F4" w:rsidRDefault="002C39F4" w:rsidP="002C39F4">
      <w:pPr>
        <w:pStyle w:val="a8"/>
        <w:numPr>
          <w:ilvl w:val="0"/>
          <w:numId w:val="83"/>
        </w:numPr>
        <w:rPr>
          <w:rFonts w:asciiTheme="minorBidi" w:hAnsiTheme="minorBidi"/>
        </w:rPr>
      </w:pPr>
      <w:r w:rsidRPr="005E1C9A">
        <w:rPr>
          <w:rFonts w:asciiTheme="minorBidi" w:hAnsiTheme="minorBidi" w:cs="Arial"/>
          <w:rtl/>
        </w:rPr>
        <w:t>ח</w:t>
      </w:r>
      <w:r>
        <w:rPr>
          <w:rFonts w:asciiTheme="minorBidi" w:hAnsiTheme="minorBidi" w:cs="Arial" w:hint="cs"/>
          <w:rtl/>
        </w:rPr>
        <w:t>ת</w:t>
      </w:r>
      <w:r w:rsidRPr="005E1C9A">
        <w:rPr>
          <w:rFonts w:asciiTheme="minorBidi" w:hAnsiTheme="minorBidi" w:cs="Arial"/>
          <w:rtl/>
        </w:rPr>
        <w:t xml:space="preserve">"ס </w:t>
      </w:r>
      <w:r w:rsidRPr="005E1C9A">
        <w:rPr>
          <w:rFonts w:asciiTheme="minorBidi" w:hAnsiTheme="minorBidi" w:cs="Arial" w:hint="cs"/>
          <w:sz w:val="16"/>
          <w:szCs w:val="16"/>
          <w:rtl/>
        </w:rPr>
        <w:t>(</w:t>
      </w:r>
      <w:r w:rsidRPr="005E1C9A">
        <w:rPr>
          <w:rFonts w:asciiTheme="minorBidi" w:hAnsiTheme="minorBidi" w:cs="Arial"/>
          <w:sz w:val="16"/>
          <w:szCs w:val="16"/>
          <w:rtl/>
        </w:rPr>
        <w:t>סי' עז)</w:t>
      </w:r>
      <w:r w:rsidRPr="005E1C9A">
        <w:rPr>
          <w:rFonts w:asciiTheme="minorBidi" w:hAnsiTheme="minorBidi" w:cs="Arial" w:hint="cs"/>
          <w:rtl/>
        </w:rPr>
        <w:t xml:space="preserve">- </w:t>
      </w:r>
      <w:r w:rsidRPr="005E1C9A">
        <w:rPr>
          <w:rFonts w:asciiTheme="minorBidi" w:hAnsiTheme="minorBidi" w:cs="Arial"/>
          <w:rtl/>
        </w:rPr>
        <w:t>רב אחד החמיר ע</w:t>
      </w:r>
      <w:r>
        <w:rPr>
          <w:rFonts w:asciiTheme="minorBidi" w:hAnsiTheme="minorBidi" w:cs="Arial" w:hint="cs"/>
          <w:rtl/>
        </w:rPr>
        <w:t xml:space="preserve">ל </w:t>
      </w:r>
      <w:r w:rsidRPr="005E1C9A">
        <w:rPr>
          <w:rFonts w:asciiTheme="minorBidi" w:hAnsiTheme="minorBidi" w:cs="Arial"/>
          <w:rtl/>
        </w:rPr>
        <w:t>ע</w:t>
      </w:r>
      <w:r>
        <w:rPr>
          <w:rFonts w:asciiTheme="minorBidi" w:hAnsiTheme="minorBidi" w:cs="Arial" w:hint="cs"/>
          <w:rtl/>
        </w:rPr>
        <w:t>צמו</w:t>
      </w:r>
      <w:r w:rsidRPr="005E1C9A">
        <w:rPr>
          <w:rFonts w:asciiTheme="minorBidi" w:hAnsiTheme="minorBidi" w:cs="Arial"/>
          <w:rtl/>
        </w:rPr>
        <w:t xml:space="preserve"> שלא למכור בחנות שלו פירות יבשים של אשתקד בימות החורף מאחר שבימי הקיץ מסיון ואילך הוחזקו בגידול מילווע"ן וכל בריה שאין לה עצם אינו חי ששה חדשים אבל מתקיים יב"ח </w:t>
      </w:r>
      <w:r w:rsidRPr="005E1C9A">
        <w:rPr>
          <w:rFonts w:asciiTheme="minorBidi" w:hAnsiTheme="minorBidi" w:cs="Arial" w:hint="cs"/>
          <w:sz w:val="16"/>
          <w:szCs w:val="16"/>
          <w:rtl/>
        </w:rPr>
        <w:t>(</w:t>
      </w:r>
      <w:r w:rsidRPr="005E1C9A">
        <w:rPr>
          <w:rFonts w:asciiTheme="minorBidi" w:hAnsiTheme="minorBidi" w:cs="Arial"/>
          <w:sz w:val="16"/>
          <w:szCs w:val="16"/>
          <w:rtl/>
        </w:rPr>
        <w:t>כמ"ש הפר"ח סקכ"ג</w:t>
      </w:r>
      <w:r>
        <w:rPr>
          <w:rFonts w:asciiTheme="minorBidi" w:hAnsiTheme="minorBidi" w:cs="Arial" w:hint="cs"/>
          <w:sz w:val="16"/>
          <w:szCs w:val="16"/>
          <w:rtl/>
        </w:rPr>
        <w:t>)</w:t>
      </w:r>
      <w:r w:rsidRPr="005E1C9A">
        <w:rPr>
          <w:rFonts w:asciiTheme="minorBidi" w:hAnsiTheme="minorBidi" w:cs="Arial"/>
          <w:rtl/>
        </w:rPr>
        <w:t xml:space="preserve">. וא"כ אותן מילווען שנתהוו בסיון מתים בחשוון ועדיין אסורים עד סיון הבא עד שעבר להם יב"ח ואין להם בדיקה כיון שמתו ואינם רוחשים עוד. </w:t>
      </w:r>
      <w:r>
        <w:rPr>
          <w:rFonts w:asciiTheme="minorBidi" w:hAnsiTheme="minorBidi" w:cs="Arial" w:hint="cs"/>
          <w:rtl/>
        </w:rPr>
        <w:t>והשבתי</w:t>
      </w:r>
      <w:r w:rsidRPr="005E1C9A">
        <w:rPr>
          <w:rFonts w:asciiTheme="minorBidi" w:hAnsiTheme="minorBidi" w:cs="Arial"/>
          <w:rtl/>
        </w:rPr>
        <w:t xml:space="preserve"> לו דמעיקר הדין א"צ להחמיר בזה כי הרמב"ם </w:t>
      </w:r>
      <w:r w:rsidRPr="00D33C85">
        <w:rPr>
          <w:rFonts w:asciiTheme="minorBidi" w:hAnsiTheme="minorBidi" w:cs="Arial" w:hint="cs"/>
          <w:sz w:val="16"/>
          <w:szCs w:val="16"/>
          <w:rtl/>
        </w:rPr>
        <w:t>(</w:t>
      </w:r>
      <w:r w:rsidRPr="00D33C85">
        <w:rPr>
          <w:rFonts w:asciiTheme="minorBidi" w:hAnsiTheme="minorBidi" w:cs="Arial"/>
          <w:sz w:val="16"/>
          <w:szCs w:val="16"/>
          <w:rtl/>
        </w:rPr>
        <w:t>פ"ב ממ"א הט"ו</w:t>
      </w:r>
      <w:r>
        <w:rPr>
          <w:rFonts w:asciiTheme="minorBidi" w:hAnsiTheme="minorBidi" w:cs="Arial" w:hint="cs"/>
          <w:sz w:val="16"/>
          <w:szCs w:val="16"/>
          <w:rtl/>
        </w:rPr>
        <w:t>)</w:t>
      </w:r>
      <w:r w:rsidRPr="005E1C9A">
        <w:rPr>
          <w:rFonts w:asciiTheme="minorBidi" w:hAnsiTheme="minorBidi" w:cs="Arial"/>
          <w:rtl/>
        </w:rPr>
        <w:t xml:space="preserve"> כשדיבר מתולעים בתלוש שפירשו ומחובר אפי' לא פירשו לא הוצרך בדיקה אלא באותן המתליעים במחובר אבל אותן המתליעים בתלוש לא הזכיר בדיקה אפילו לכתחלה</w:t>
      </w:r>
      <w:r>
        <w:rPr>
          <w:rFonts w:asciiTheme="minorBidi" w:hAnsiTheme="minorBidi" w:cs="Arial" w:hint="cs"/>
          <w:rtl/>
        </w:rPr>
        <w:t>,</w:t>
      </w:r>
      <w:r w:rsidRPr="005E1C9A">
        <w:rPr>
          <w:rFonts w:asciiTheme="minorBidi" w:hAnsiTheme="minorBidi" w:cs="Arial"/>
          <w:rtl/>
        </w:rPr>
        <w:t xml:space="preserve"> ואפילו להמחמירין בזה היינו בדאפשר למיבדק אסור לאכול בלא בדיקה כיון דאפשר לעמוד עליו אבל היכא דא"א לעמוד עליו כמו נ"ד שכבר מת הרחש אחר ששה חדשים וא"א לבודקן אין לאסור הפרי</w:t>
      </w:r>
      <w:r>
        <w:rPr>
          <w:rFonts w:asciiTheme="minorBidi" w:hAnsiTheme="minorBidi" w:cs="Arial" w:hint="cs"/>
          <w:rtl/>
        </w:rPr>
        <w:t>,</w:t>
      </w:r>
      <w:r w:rsidRPr="005E1C9A">
        <w:rPr>
          <w:rFonts w:asciiTheme="minorBidi" w:hAnsiTheme="minorBidi" w:cs="Arial"/>
          <w:rtl/>
        </w:rPr>
        <w:t xml:space="preserve"> אך ירחצו היטב לתקן מה דאפשר שאם יש עליו תולעים ומילווע"ן מתים יסורו אע</w:t>
      </w:r>
      <w:r>
        <w:rPr>
          <w:rFonts w:asciiTheme="minorBidi" w:hAnsiTheme="minorBidi" w:cs="Arial" w:hint="cs"/>
          <w:rtl/>
        </w:rPr>
        <w:t>"</w:t>
      </w:r>
      <w:r w:rsidRPr="005E1C9A">
        <w:rPr>
          <w:rFonts w:asciiTheme="minorBidi" w:hAnsiTheme="minorBidi" w:cs="Arial"/>
          <w:rtl/>
        </w:rPr>
        <w:t>פ שאין זה תיקון גמור דא"כ אפי' במילווע"ן חיים נמי טורח בדיקה זו למה ירחצו במים א</w:t>
      </w:r>
      <w:r>
        <w:rPr>
          <w:rFonts w:asciiTheme="minorBidi" w:hAnsiTheme="minorBidi" w:cs="Arial" w:hint="cs"/>
          <w:rtl/>
        </w:rPr>
        <w:t xml:space="preserve">לא </w:t>
      </w:r>
      <w:r w:rsidRPr="005E1C9A">
        <w:rPr>
          <w:rFonts w:asciiTheme="minorBidi" w:hAnsiTheme="minorBidi" w:cs="Arial"/>
          <w:rtl/>
        </w:rPr>
        <w:t>ע</w:t>
      </w:r>
      <w:r>
        <w:rPr>
          <w:rFonts w:asciiTheme="minorBidi" w:hAnsiTheme="minorBidi" w:cs="Arial" w:hint="cs"/>
          <w:rtl/>
        </w:rPr>
        <w:t xml:space="preserve">ל </w:t>
      </w:r>
      <w:r w:rsidRPr="005E1C9A">
        <w:rPr>
          <w:rFonts w:asciiTheme="minorBidi" w:hAnsiTheme="minorBidi" w:cs="Arial"/>
          <w:rtl/>
        </w:rPr>
        <w:t>כ</w:t>
      </w:r>
      <w:r>
        <w:rPr>
          <w:rFonts w:asciiTheme="minorBidi" w:hAnsiTheme="minorBidi" w:cs="Arial" w:hint="cs"/>
          <w:rtl/>
        </w:rPr>
        <w:t>רחך</w:t>
      </w:r>
      <w:r w:rsidRPr="005E1C9A">
        <w:rPr>
          <w:rFonts w:asciiTheme="minorBidi" w:hAnsiTheme="minorBidi" w:cs="Arial"/>
          <w:rtl/>
        </w:rPr>
        <w:t xml:space="preserve"> אין זה תיקון בטוח מ"מ הכא אחר ו' חדשים דא"א בבדיקה מחויב לעשות האפשרי</w:t>
      </w:r>
      <w:r>
        <w:rPr>
          <w:rFonts w:asciiTheme="minorBidi" w:hAnsiTheme="minorBidi" w:cs="Arial" w:hint="cs"/>
          <w:rtl/>
        </w:rPr>
        <w:t>,</w:t>
      </w:r>
      <w:r w:rsidRPr="005E1C9A">
        <w:rPr>
          <w:rFonts w:asciiTheme="minorBidi" w:hAnsiTheme="minorBidi" w:cs="Arial"/>
          <w:rtl/>
        </w:rPr>
        <w:t xml:space="preserve"> אבל אין לאסור לרבים</w:t>
      </w:r>
      <w:r>
        <w:rPr>
          <w:rFonts w:asciiTheme="minorBidi" w:hAnsiTheme="minorBidi" w:cs="Arial" w:hint="cs"/>
          <w:rtl/>
        </w:rPr>
        <w:t>,</w:t>
      </w:r>
      <w:r w:rsidRPr="005E1C9A">
        <w:rPr>
          <w:rFonts w:asciiTheme="minorBidi" w:hAnsiTheme="minorBidi" w:cs="Arial"/>
          <w:rtl/>
        </w:rPr>
        <w:t xml:space="preserve"> מ"מ הא וודאי הפרוש והחסיד לא יאכלו שום דבר הצריך בדיקה לעולם</w:t>
      </w:r>
      <w:r>
        <w:rPr>
          <w:rFonts w:asciiTheme="minorBidi" w:hAnsiTheme="minorBidi" w:cs="Arial" w:hint="cs"/>
          <w:rtl/>
        </w:rPr>
        <w:t>,</w:t>
      </w:r>
      <w:r w:rsidRPr="005E1C9A">
        <w:rPr>
          <w:rFonts w:asciiTheme="minorBidi" w:hAnsiTheme="minorBidi" w:cs="Arial"/>
          <w:rtl/>
        </w:rPr>
        <w:t xml:space="preserve"> ושאר עמא דארעא האוכלים בבדיקה עכ"פ מה טוב אם ימשכו ידיהם באופן שאלתנו</w:t>
      </w:r>
      <w:r>
        <w:rPr>
          <w:rFonts w:asciiTheme="minorBidi" w:hAnsiTheme="minorBidi" w:cs="Arial" w:hint="cs"/>
          <w:rtl/>
        </w:rPr>
        <w:t>,</w:t>
      </w:r>
      <w:r w:rsidRPr="005E1C9A">
        <w:rPr>
          <w:rFonts w:asciiTheme="minorBidi" w:hAnsiTheme="minorBidi" w:cs="Arial"/>
          <w:rtl/>
        </w:rPr>
        <w:t xml:space="preserve"> דהיינו מימי כסליו ואילך לא יאכלו יבשים משל אשתקד שכבר מת הרחש שמימי סיון</w:t>
      </w:r>
      <w:r>
        <w:rPr>
          <w:rFonts w:asciiTheme="minorBidi" w:hAnsiTheme="minorBidi" w:cs="Arial" w:hint="cs"/>
          <w:rtl/>
        </w:rPr>
        <w:t>,</w:t>
      </w:r>
      <w:r w:rsidRPr="005E1C9A">
        <w:rPr>
          <w:rFonts w:asciiTheme="minorBidi" w:hAnsiTheme="minorBidi" w:cs="Arial"/>
          <w:rtl/>
        </w:rPr>
        <w:t xml:space="preserve"> אבל לאסור לרבים מה שכבר נהגו להתיר אין לנו</w:t>
      </w:r>
      <w:r>
        <w:rPr>
          <w:rFonts w:asciiTheme="minorBidi" w:hAnsiTheme="minorBidi" w:cs="Arial" w:hint="cs"/>
          <w:rtl/>
        </w:rPr>
        <w:t>.</w:t>
      </w:r>
      <w:r w:rsidRPr="005E1C9A">
        <w:rPr>
          <w:rFonts w:asciiTheme="minorBidi" w:hAnsiTheme="minorBidi" w:cs="Arial"/>
          <w:rtl/>
        </w:rPr>
        <w:t xml:space="preserve"> </w:t>
      </w:r>
    </w:p>
    <w:p w14:paraId="5FA686E1" w14:textId="77777777" w:rsidR="002C39F4" w:rsidRPr="00D33C85" w:rsidRDefault="002C39F4" w:rsidP="002C39F4">
      <w:pPr>
        <w:rPr>
          <w:rFonts w:asciiTheme="minorBidi" w:hAnsiTheme="minorBidi"/>
          <w:rtl/>
        </w:rPr>
      </w:pPr>
    </w:p>
    <w:p w14:paraId="12914593" w14:textId="77777777" w:rsidR="002C39F4" w:rsidRPr="003024E5" w:rsidRDefault="002C39F4" w:rsidP="002C39F4">
      <w:pPr>
        <w:pStyle w:val="2"/>
        <w:rPr>
          <w:rFonts w:asciiTheme="minorBidi" w:hAnsiTheme="minorBidi"/>
          <w:rtl/>
        </w:rPr>
      </w:pPr>
      <w:r w:rsidRPr="003024E5">
        <w:rPr>
          <w:rFonts w:asciiTheme="minorBidi" w:hAnsiTheme="minorBidi"/>
          <w:rtl/>
        </w:rPr>
        <w:t>סעיף ט: עבר ובישל תוך י"ב חודש.</w:t>
      </w:r>
    </w:p>
    <w:p w14:paraId="6A26D817" w14:textId="77777777" w:rsidR="002C39F4" w:rsidRPr="003024E5" w:rsidRDefault="002C39F4" w:rsidP="002C39F4">
      <w:pPr>
        <w:rPr>
          <w:rFonts w:asciiTheme="minorBidi" w:hAnsiTheme="minorBidi"/>
          <w:u w:val="single"/>
          <w:rtl/>
        </w:rPr>
      </w:pPr>
      <w:r w:rsidRPr="003024E5">
        <w:rPr>
          <w:rFonts w:asciiTheme="minorBidi" w:hAnsiTheme="minorBidi"/>
          <w:u w:val="single"/>
          <w:rtl/>
        </w:rPr>
        <w:t>עבר ובישל  תוך י"ב חדש בלא בדיקה</w:t>
      </w:r>
      <w:r>
        <w:rPr>
          <w:rFonts w:asciiTheme="minorBidi" w:hAnsiTheme="minorBidi" w:hint="cs"/>
          <w:u w:val="single"/>
          <w:rtl/>
        </w:rPr>
        <w:t xml:space="preserve"> </w:t>
      </w:r>
      <w:r w:rsidRPr="006C0D39">
        <w:rPr>
          <w:rFonts w:asciiTheme="minorBidi" w:hAnsiTheme="minorBidi"/>
          <w:u w:val="single"/>
          <w:rtl/>
        </w:rPr>
        <w:t xml:space="preserve">פירות </w:t>
      </w:r>
      <w:r w:rsidRPr="006C0D39">
        <w:rPr>
          <w:rFonts w:asciiTheme="minorBidi" w:hAnsiTheme="minorBidi" w:hint="cs"/>
          <w:b/>
          <w:bCs/>
          <w:u w:val="single"/>
          <w:rtl/>
        </w:rPr>
        <w:t>שאינם מוחזקים</w:t>
      </w:r>
      <w:r>
        <w:rPr>
          <w:rStyle w:val="a7"/>
          <w:rFonts w:asciiTheme="minorBidi" w:hAnsiTheme="minorBidi"/>
          <w:u w:val="single"/>
          <w:rtl/>
        </w:rPr>
        <w:footnoteReference w:id="950"/>
      </w:r>
      <w:r w:rsidRPr="006C0D39">
        <w:rPr>
          <w:rFonts w:asciiTheme="minorBidi" w:hAnsiTheme="minorBidi" w:hint="cs"/>
          <w:u w:val="single"/>
          <w:rtl/>
        </w:rPr>
        <w:t xml:space="preserve"> בתולעים</w:t>
      </w:r>
      <w:r>
        <w:rPr>
          <w:rFonts w:asciiTheme="minorBidi" w:hAnsiTheme="minorBidi" w:hint="cs"/>
          <w:u w:val="single"/>
          <w:rtl/>
        </w:rPr>
        <w:t xml:space="preserve"> ודרכם להתליע</w:t>
      </w:r>
      <w:r w:rsidRPr="006C0D39">
        <w:rPr>
          <w:rFonts w:asciiTheme="minorBidi" w:hAnsiTheme="minorBidi"/>
          <w:u w:val="single"/>
          <w:rtl/>
        </w:rPr>
        <w:t xml:space="preserve"> במחובר</w:t>
      </w:r>
      <w:r w:rsidRPr="003024E5">
        <w:rPr>
          <w:rFonts w:asciiTheme="minorBidi" w:hAnsiTheme="minorBidi"/>
          <w:u w:val="single"/>
          <w:rtl/>
        </w:rPr>
        <w:t xml:space="preserve">: </w:t>
      </w:r>
    </w:p>
    <w:p w14:paraId="6F3CD354" w14:textId="77777777" w:rsidR="002C39F4" w:rsidRDefault="002C39F4" w:rsidP="002C39F4">
      <w:pPr>
        <w:pStyle w:val="a8"/>
        <w:numPr>
          <w:ilvl w:val="0"/>
          <w:numId w:val="83"/>
        </w:numPr>
        <w:rPr>
          <w:rFonts w:asciiTheme="minorBidi" w:hAnsiTheme="minorBidi"/>
        </w:rPr>
      </w:pPr>
      <w:r w:rsidRPr="003024E5">
        <w:rPr>
          <w:rFonts w:asciiTheme="minorBidi" w:hAnsiTheme="minorBidi"/>
          <w:rtl/>
        </w:rPr>
        <w:t>רשב"א</w:t>
      </w:r>
      <w:r w:rsidRPr="003024E5">
        <w:rPr>
          <w:rFonts w:asciiTheme="minorBidi" w:hAnsiTheme="minorBidi"/>
          <w:sz w:val="16"/>
          <w:szCs w:val="16"/>
          <w:rtl/>
        </w:rPr>
        <w:t xml:space="preserve"> (תוה"ק ב"ג ש"ג פג.)</w:t>
      </w:r>
      <w:r w:rsidRPr="003024E5">
        <w:rPr>
          <w:rFonts w:asciiTheme="minorBidi" w:hAnsiTheme="minorBidi"/>
          <w:rtl/>
        </w:rPr>
        <w:t>- אם יכול לבדוק בודק ואם לאו מותר</w:t>
      </w:r>
      <w:r w:rsidRPr="003024E5">
        <w:rPr>
          <w:rStyle w:val="a7"/>
          <w:rFonts w:asciiTheme="minorBidi" w:hAnsiTheme="minorBidi"/>
          <w:rtl/>
        </w:rPr>
        <w:footnoteReference w:id="951"/>
      </w:r>
      <w:r>
        <w:rPr>
          <w:rFonts w:asciiTheme="minorBidi" w:hAnsiTheme="minorBidi" w:hint="cs"/>
          <w:sz w:val="16"/>
          <w:szCs w:val="16"/>
          <w:rtl/>
        </w:rPr>
        <w:t>(ל' הרשב"א)</w:t>
      </w:r>
      <w:r>
        <w:rPr>
          <w:rFonts w:asciiTheme="minorBidi" w:hAnsiTheme="minorBidi" w:hint="cs"/>
          <w:rtl/>
        </w:rPr>
        <w:t>,</w:t>
      </w:r>
      <w:r w:rsidRPr="005446F3">
        <w:rPr>
          <w:rFonts w:asciiTheme="minorBidi" w:hAnsiTheme="minorBidi"/>
          <w:rtl/>
        </w:rPr>
        <w:t xml:space="preserve"> </w:t>
      </w:r>
      <w:r>
        <w:rPr>
          <w:rFonts w:asciiTheme="minorBidi" w:hAnsiTheme="minorBidi" w:hint="cs"/>
          <w:rtl/>
        </w:rPr>
        <w:t>ו</w:t>
      </w:r>
      <w:r w:rsidRPr="005446F3">
        <w:rPr>
          <w:rFonts w:asciiTheme="minorBidi" w:hAnsiTheme="minorBidi"/>
          <w:rtl/>
        </w:rPr>
        <w:t>אם נמצא קצת בקדירה משליכו ואוכל השאר שאין בהם כ"כ שיאסור פליטתן בתערובתן</w:t>
      </w:r>
      <w:r>
        <w:rPr>
          <w:rStyle w:val="a7"/>
          <w:rFonts w:asciiTheme="minorBidi" w:hAnsiTheme="minorBidi" w:hint="cs"/>
          <w:rtl/>
        </w:rPr>
        <w:t xml:space="preserve"> </w:t>
      </w:r>
      <w:r>
        <w:rPr>
          <w:rFonts w:asciiTheme="minorBidi" w:hAnsiTheme="minorBidi" w:hint="cs"/>
          <w:sz w:val="16"/>
          <w:szCs w:val="16"/>
          <w:rtl/>
        </w:rPr>
        <w:t>(ל' הטור בשם הרשב"א</w:t>
      </w:r>
      <w:r w:rsidRPr="000F579D">
        <w:rPr>
          <w:rStyle w:val="a7"/>
          <w:rFonts w:asciiTheme="minorBidi" w:hAnsiTheme="minorBidi"/>
          <w:sz w:val="16"/>
          <w:szCs w:val="16"/>
          <w:rtl/>
        </w:rPr>
        <w:footnoteReference w:id="952"/>
      </w:r>
      <w:r>
        <w:rPr>
          <w:rFonts w:asciiTheme="minorBidi" w:hAnsiTheme="minorBidi" w:hint="cs"/>
          <w:sz w:val="16"/>
          <w:szCs w:val="16"/>
          <w:rtl/>
        </w:rPr>
        <w:t>)</w:t>
      </w:r>
      <w:r w:rsidRPr="005446F3">
        <w:rPr>
          <w:rFonts w:asciiTheme="minorBidi" w:hAnsiTheme="minorBidi"/>
          <w:rtl/>
        </w:rPr>
        <w:t>.</w:t>
      </w:r>
      <w:r>
        <w:rPr>
          <w:rFonts w:asciiTheme="minorBidi" w:hAnsiTheme="minorBidi" w:hint="cs"/>
          <w:rtl/>
        </w:rPr>
        <w:t xml:space="preserve"> </w:t>
      </w:r>
      <w:r w:rsidRPr="000F579D">
        <w:rPr>
          <w:rFonts w:asciiTheme="minorBidi" w:hAnsiTheme="minorBidi" w:hint="cs"/>
          <w:color w:val="E36C0A" w:themeColor="accent6" w:themeShade="BF"/>
          <w:rtl/>
        </w:rPr>
        <w:t>(וכ"ס בשו"ע)</w:t>
      </w:r>
    </w:p>
    <w:p w14:paraId="0B8429B7" w14:textId="77777777" w:rsidR="002C39F4" w:rsidRPr="00D74480" w:rsidRDefault="002C39F4" w:rsidP="002C39F4">
      <w:pPr>
        <w:ind w:left="360"/>
        <w:rPr>
          <w:rFonts w:asciiTheme="minorBidi" w:hAnsiTheme="minorBidi"/>
          <w:u w:val="dotted"/>
        </w:rPr>
      </w:pPr>
      <w:r w:rsidRPr="00D74480">
        <w:rPr>
          <w:rFonts w:asciiTheme="minorBidi" w:hAnsiTheme="minorBidi" w:hint="cs"/>
          <w:u w:val="dotted"/>
          <w:rtl/>
        </w:rPr>
        <w:t xml:space="preserve">ומה הדין אם </w:t>
      </w:r>
      <w:r>
        <w:rPr>
          <w:rFonts w:asciiTheme="minorBidi" w:hAnsiTheme="minorBidi" w:hint="cs"/>
          <w:u w:val="dotted"/>
          <w:rtl/>
        </w:rPr>
        <w:t xml:space="preserve">התבשיל </w:t>
      </w:r>
      <w:r w:rsidRPr="00D74480">
        <w:rPr>
          <w:rFonts w:asciiTheme="minorBidi" w:hAnsiTheme="minorBidi" w:hint="cs"/>
          <w:u w:val="dotted"/>
          <w:rtl/>
        </w:rPr>
        <w:t>הוחזק בתולעים:</w:t>
      </w:r>
    </w:p>
    <w:p w14:paraId="6841100B" w14:textId="77777777" w:rsidR="002C39F4" w:rsidRPr="00C5745C" w:rsidRDefault="002C39F4" w:rsidP="002C39F4">
      <w:pPr>
        <w:pStyle w:val="a8"/>
        <w:numPr>
          <w:ilvl w:val="0"/>
          <w:numId w:val="83"/>
        </w:numPr>
        <w:rPr>
          <w:rFonts w:asciiTheme="minorBidi" w:hAnsiTheme="minorBidi"/>
        </w:rPr>
      </w:pPr>
      <w:r w:rsidRPr="003024E5">
        <w:rPr>
          <w:rFonts w:asciiTheme="minorBidi" w:hAnsiTheme="minorBidi"/>
          <w:rtl/>
        </w:rPr>
        <w:t>ראב"ד רשב"א</w:t>
      </w:r>
      <w:r>
        <w:rPr>
          <w:rFonts w:asciiTheme="minorBidi" w:hAnsiTheme="minorBidi" w:hint="cs"/>
          <w:rtl/>
        </w:rPr>
        <w:t xml:space="preserve"> </w:t>
      </w:r>
      <w:r>
        <w:rPr>
          <w:rFonts w:asciiTheme="minorBidi" w:hAnsiTheme="minorBidi" w:hint="cs"/>
          <w:sz w:val="16"/>
          <w:szCs w:val="16"/>
          <w:rtl/>
        </w:rPr>
        <w:t>(ח"א סי' קיג)</w:t>
      </w:r>
      <w:r>
        <w:rPr>
          <w:rFonts w:asciiTheme="minorBidi" w:hAnsiTheme="minorBidi" w:hint="cs"/>
          <w:rtl/>
        </w:rPr>
        <w:t xml:space="preserve"> </w:t>
      </w:r>
      <w:r w:rsidRPr="003024E5">
        <w:rPr>
          <w:rFonts w:asciiTheme="minorBidi" w:hAnsiTheme="minorBidi"/>
          <w:rtl/>
        </w:rPr>
        <w:t>ור"ן</w:t>
      </w:r>
      <w:r w:rsidRPr="003024E5">
        <w:rPr>
          <w:rStyle w:val="a7"/>
          <w:rFonts w:asciiTheme="minorBidi" w:hAnsiTheme="minorBidi"/>
          <w:rtl/>
        </w:rPr>
        <w:footnoteReference w:id="953"/>
      </w:r>
      <w:r w:rsidRPr="003024E5">
        <w:rPr>
          <w:rFonts w:asciiTheme="minorBidi" w:hAnsiTheme="minorBidi"/>
          <w:rtl/>
        </w:rPr>
        <w:t xml:space="preserve">- </w:t>
      </w:r>
      <w:r w:rsidRPr="003024E5">
        <w:rPr>
          <w:rStyle w:val="a7"/>
          <w:rFonts w:asciiTheme="minorBidi" w:hAnsiTheme="minorBidi"/>
          <w:rtl/>
        </w:rPr>
        <w:footnoteReference w:id="954"/>
      </w:r>
      <w:r>
        <w:rPr>
          <w:rFonts w:asciiTheme="minorBidi" w:hAnsiTheme="minorBidi" w:hint="cs"/>
          <w:rtl/>
        </w:rPr>
        <w:t>כל הנ"ל הוא "</w:t>
      </w:r>
      <w:r w:rsidRPr="003024E5">
        <w:rPr>
          <w:rFonts w:asciiTheme="minorBidi" w:hAnsiTheme="minorBidi"/>
          <w:rtl/>
        </w:rPr>
        <w:t>דוקא שלא נמצאו אלא אחד או שנים, אבל שלשה וארבעה הכל אסור, ולא סגי ליה בזריקתן, דכיון שנמצאו שם כ"כ הוחזק תבשיל זה שיש שם יותר</w:t>
      </w:r>
      <w:r w:rsidRPr="003024E5">
        <w:rPr>
          <w:rStyle w:val="a7"/>
          <w:rFonts w:asciiTheme="minorBidi" w:hAnsiTheme="minorBidi"/>
          <w:rtl/>
        </w:rPr>
        <w:footnoteReference w:id="955"/>
      </w:r>
      <w:r>
        <w:rPr>
          <w:rFonts w:asciiTheme="minorBidi" w:hAnsiTheme="minorBidi" w:hint="cs"/>
          <w:rtl/>
        </w:rPr>
        <w:t>"</w:t>
      </w:r>
      <w:r>
        <w:rPr>
          <w:rFonts w:asciiTheme="minorBidi" w:hAnsiTheme="minorBidi" w:hint="cs"/>
          <w:sz w:val="16"/>
          <w:szCs w:val="16"/>
          <w:rtl/>
        </w:rPr>
        <w:t xml:space="preserve"> (ל' הר"ן בשם הראב"ד)</w:t>
      </w:r>
      <w:r w:rsidRPr="003024E5">
        <w:rPr>
          <w:rFonts w:asciiTheme="minorBidi" w:hAnsiTheme="minorBidi"/>
          <w:rtl/>
        </w:rPr>
        <w:t>.</w:t>
      </w:r>
      <w:r>
        <w:rPr>
          <w:rFonts w:asciiTheme="minorBidi" w:hAnsiTheme="minorBidi" w:hint="cs"/>
          <w:rtl/>
        </w:rPr>
        <w:t xml:space="preserve"> </w:t>
      </w:r>
      <w:r w:rsidRPr="00226501">
        <w:rPr>
          <w:rFonts w:asciiTheme="minorBidi" w:hAnsiTheme="minorBidi" w:cs="Arial"/>
          <w:rtl/>
        </w:rPr>
        <w:t>וכל שהוחזק צריך בדיקה לצאת מאותה חזקה</w:t>
      </w:r>
      <w:r>
        <w:rPr>
          <w:rFonts w:asciiTheme="minorBidi" w:hAnsiTheme="minorBidi" w:cs="Arial" w:hint="cs"/>
          <w:sz w:val="16"/>
          <w:szCs w:val="16"/>
          <w:rtl/>
        </w:rPr>
        <w:t xml:space="preserve"> (ל' הרשב"א)</w:t>
      </w:r>
      <w:r w:rsidRPr="00226501">
        <w:rPr>
          <w:rFonts w:asciiTheme="minorBidi" w:hAnsiTheme="minorBidi" w:cs="Arial" w:hint="cs"/>
          <w:rtl/>
        </w:rPr>
        <w:t>, ואם לא בדק, או שא"א לבדקן</w:t>
      </w:r>
      <w:r w:rsidRPr="00226501">
        <w:rPr>
          <w:rFonts w:asciiTheme="minorBidi" w:hAnsiTheme="minorBidi" w:cs="Arial" w:hint="cs"/>
          <w:sz w:val="16"/>
          <w:szCs w:val="16"/>
          <w:rtl/>
        </w:rPr>
        <w:t xml:space="preserve"> {כגון ירקות כפי שיתבאר לקמן}</w:t>
      </w:r>
      <w:r w:rsidRPr="00226501">
        <w:rPr>
          <w:rFonts w:asciiTheme="minorBidi" w:hAnsiTheme="minorBidi" w:cs="Arial" w:hint="cs"/>
          <w:rtl/>
        </w:rPr>
        <w:t>- אסור</w:t>
      </w:r>
      <w:r>
        <w:rPr>
          <w:rFonts w:asciiTheme="minorBidi" w:hAnsiTheme="minorBidi" w:cs="Arial" w:hint="cs"/>
          <w:rtl/>
        </w:rPr>
        <w:t xml:space="preserve"> </w:t>
      </w:r>
      <w:r>
        <w:rPr>
          <w:rFonts w:asciiTheme="minorBidi" w:hAnsiTheme="minorBidi" w:cs="Arial" w:hint="cs"/>
          <w:sz w:val="16"/>
          <w:szCs w:val="16"/>
          <w:rtl/>
        </w:rPr>
        <w:t>(ע"פ הרשב"א)</w:t>
      </w:r>
      <w:r>
        <w:rPr>
          <w:rStyle w:val="a7"/>
          <w:rFonts w:asciiTheme="minorBidi" w:hAnsiTheme="minorBidi"/>
          <w:rtl/>
        </w:rPr>
        <w:footnoteReference w:id="956"/>
      </w:r>
      <w:r w:rsidRPr="00226501">
        <w:rPr>
          <w:rFonts w:asciiTheme="minorBidi" w:hAnsiTheme="minorBidi" w:cs="Arial" w:hint="cs"/>
          <w:rtl/>
        </w:rPr>
        <w:t>.</w:t>
      </w:r>
    </w:p>
    <w:p w14:paraId="2311698A" w14:textId="77777777" w:rsidR="002C39F4" w:rsidRPr="00C5745C" w:rsidRDefault="002C39F4" w:rsidP="002C39F4">
      <w:pPr>
        <w:ind w:left="360"/>
        <w:rPr>
          <w:rFonts w:asciiTheme="minorBidi" w:hAnsiTheme="minorBidi"/>
          <w:sz w:val="16"/>
          <w:szCs w:val="16"/>
          <w:u w:val="dotted"/>
        </w:rPr>
      </w:pPr>
      <w:r w:rsidRPr="00C5745C">
        <w:rPr>
          <w:rFonts w:asciiTheme="minorBidi" w:hAnsiTheme="minorBidi" w:hint="cs"/>
          <w:u w:val="dotted"/>
          <w:rtl/>
        </w:rPr>
        <w:t xml:space="preserve">האם אפשר לסנן את התבשיל </w:t>
      </w:r>
      <w:r w:rsidRPr="00C5745C">
        <w:rPr>
          <w:rFonts w:asciiTheme="minorBidi" w:hAnsiTheme="minorBidi" w:hint="cs"/>
          <w:sz w:val="16"/>
          <w:szCs w:val="16"/>
          <w:u w:val="dotted"/>
          <w:rtl/>
        </w:rPr>
        <w:t>(שהוחזק בתולעים)</w:t>
      </w:r>
      <w:r w:rsidRPr="00C5745C">
        <w:rPr>
          <w:rFonts w:asciiTheme="minorBidi" w:hAnsiTheme="minorBidi" w:hint="cs"/>
          <w:u w:val="dotted"/>
          <w:rtl/>
        </w:rPr>
        <w:t>:</w:t>
      </w:r>
      <w:r w:rsidRPr="00C5745C">
        <w:rPr>
          <w:rFonts w:asciiTheme="minorBidi" w:hAnsiTheme="minorBidi" w:hint="cs"/>
          <w:sz w:val="16"/>
          <w:szCs w:val="16"/>
          <w:u w:val="dotted"/>
          <w:rtl/>
        </w:rPr>
        <w:t xml:space="preserve"> </w:t>
      </w:r>
    </w:p>
    <w:p w14:paraId="6E0A8A0E" w14:textId="77777777" w:rsidR="002C39F4" w:rsidRPr="00226501" w:rsidRDefault="002C39F4" w:rsidP="002C39F4">
      <w:pPr>
        <w:pStyle w:val="a8"/>
        <w:numPr>
          <w:ilvl w:val="0"/>
          <w:numId w:val="83"/>
        </w:numPr>
        <w:rPr>
          <w:rFonts w:asciiTheme="minorBidi" w:hAnsiTheme="minorBidi"/>
        </w:rPr>
      </w:pPr>
      <w:r>
        <w:rPr>
          <w:rFonts w:asciiTheme="minorBidi" w:hAnsiTheme="minorBidi" w:cs="Arial" w:hint="cs"/>
          <w:rtl/>
        </w:rPr>
        <w:t xml:space="preserve">רשב"א </w:t>
      </w:r>
      <w:r>
        <w:rPr>
          <w:rFonts w:asciiTheme="minorBidi" w:hAnsiTheme="minorBidi" w:hint="cs"/>
          <w:sz w:val="16"/>
          <w:szCs w:val="16"/>
          <w:rtl/>
        </w:rPr>
        <w:t>(ח"א סי' קיג)</w:t>
      </w:r>
      <w:r>
        <w:rPr>
          <w:rFonts w:asciiTheme="minorBidi" w:hAnsiTheme="minorBidi" w:cs="Arial" w:hint="cs"/>
          <w:rtl/>
        </w:rPr>
        <w:t xml:space="preserve">- </w:t>
      </w:r>
      <w:r w:rsidRPr="00226501">
        <w:rPr>
          <w:rFonts w:asciiTheme="minorBidi" w:hAnsiTheme="minorBidi" w:cs="Arial"/>
          <w:rtl/>
        </w:rPr>
        <w:t>מי השלקות מותרין לפי שאפשר לסננן</w:t>
      </w:r>
      <w:r w:rsidRPr="00226501">
        <w:rPr>
          <w:rFonts w:asciiTheme="minorBidi" w:hAnsiTheme="minorBidi" w:cs="Arial" w:hint="cs"/>
          <w:rtl/>
        </w:rPr>
        <w:t>,</w:t>
      </w:r>
      <w:r w:rsidRPr="00226501">
        <w:rPr>
          <w:rFonts w:asciiTheme="minorBidi" w:hAnsiTheme="minorBidi" w:cs="Arial"/>
          <w:rtl/>
        </w:rPr>
        <w:t xml:space="preserve"> וכן כל כיוצא בזה שאין בריה אוסרת אלא בזמן שהיא שלימה אבל המרוסקת בטלה</w:t>
      </w:r>
      <w:r w:rsidRPr="00226501">
        <w:rPr>
          <w:rFonts w:asciiTheme="minorBidi" w:hAnsiTheme="minorBidi" w:cs="Arial" w:hint="cs"/>
          <w:rtl/>
        </w:rPr>
        <w:t>,</w:t>
      </w:r>
      <w:r w:rsidRPr="00226501">
        <w:rPr>
          <w:rFonts w:asciiTheme="minorBidi" w:hAnsiTheme="minorBidi" w:cs="Arial"/>
          <w:rtl/>
        </w:rPr>
        <w:t xml:space="preserve"> והשלמה המסננת קולטתה ואינה יוצאה. וכן אם בשלה בהן בשר אפשר לרחוץ אותו ולבדוק</w:t>
      </w:r>
      <w:r w:rsidRPr="00226501">
        <w:rPr>
          <w:rFonts w:asciiTheme="minorBidi" w:hAnsiTheme="minorBidi" w:cs="Arial" w:hint="cs"/>
          <w:sz w:val="16"/>
          <w:szCs w:val="16"/>
          <w:rtl/>
        </w:rPr>
        <w:t xml:space="preserve"> (ע"פ ל' הרשב"א)</w:t>
      </w:r>
      <w:r w:rsidRPr="00226501">
        <w:rPr>
          <w:rFonts w:asciiTheme="minorBidi" w:hAnsiTheme="minorBidi" w:cs="Arial"/>
          <w:rtl/>
        </w:rPr>
        <w:t>.</w:t>
      </w:r>
      <w:r w:rsidRPr="00226501">
        <w:rPr>
          <w:rFonts w:asciiTheme="minorBidi" w:hAnsiTheme="minorBidi" w:hint="cs"/>
          <w:rtl/>
        </w:rPr>
        <w:t xml:space="preserve"> </w:t>
      </w:r>
      <w:r w:rsidRPr="00226501">
        <w:rPr>
          <w:rFonts w:asciiTheme="minorBidi" w:hAnsiTheme="minorBidi" w:hint="cs"/>
          <w:color w:val="E36C0A" w:themeColor="accent6" w:themeShade="BF"/>
          <w:rtl/>
        </w:rPr>
        <w:t xml:space="preserve">(וכ"פ בשו"ע </w:t>
      </w:r>
      <w:r w:rsidRPr="00226501">
        <w:rPr>
          <w:rFonts w:asciiTheme="minorBidi" w:hAnsiTheme="minorBidi" w:hint="cs"/>
          <w:sz w:val="16"/>
          <w:szCs w:val="16"/>
          <w:rtl/>
        </w:rPr>
        <w:t>[סע' י]</w:t>
      </w:r>
      <w:r w:rsidRPr="00226501">
        <w:rPr>
          <w:rFonts w:asciiTheme="minorBidi" w:hAnsiTheme="minorBidi" w:hint="cs"/>
          <w:color w:val="E36C0A" w:themeColor="accent6" w:themeShade="BF"/>
          <w:rtl/>
        </w:rPr>
        <w:t>)</w:t>
      </w:r>
      <w:r w:rsidRPr="00226501">
        <w:rPr>
          <w:rFonts w:asciiTheme="minorBidi" w:hAnsiTheme="minorBidi" w:hint="cs"/>
          <w:color w:val="00B0F0"/>
          <w:rtl/>
        </w:rPr>
        <w:t xml:space="preserve"> </w:t>
      </w:r>
      <w:r w:rsidRPr="00226501">
        <w:rPr>
          <w:rFonts w:asciiTheme="minorBidi" w:hAnsiTheme="minorBidi"/>
          <w:color w:val="00B0F0"/>
          <w:rtl/>
        </w:rPr>
        <w:t>(וכ"פ הרמ"א</w:t>
      </w:r>
      <w:r w:rsidRPr="00226501">
        <w:rPr>
          <w:rFonts w:asciiTheme="minorBidi" w:hAnsiTheme="minorBidi" w:hint="cs"/>
          <w:color w:val="00B0F0"/>
          <w:rtl/>
        </w:rPr>
        <w:t>)</w:t>
      </w:r>
    </w:p>
    <w:p w14:paraId="255F1A66" w14:textId="77777777" w:rsidR="002C39F4" w:rsidRPr="003024E5" w:rsidRDefault="002C39F4" w:rsidP="002C39F4">
      <w:pPr>
        <w:rPr>
          <w:rFonts w:asciiTheme="minorBidi" w:hAnsiTheme="minorBidi"/>
          <w:rtl/>
        </w:rPr>
      </w:pPr>
      <w:r w:rsidRPr="003024E5">
        <w:rPr>
          <w:rFonts w:asciiTheme="minorBidi" w:hAnsiTheme="minorBidi"/>
          <w:u w:val="single"/>
          <w:rtl/>
        </w:rPr>
        <w:t>תולעת שנמצאה בפרי מבושל:</w:t>
      </w:r>
      <w:r w:rsidRPr="003024E5">
        <w:rPr>
          <w:rFonts w:asciiTheme="minorBidi" w:hAnsiTheme="minorBidi"/>
          <w:rtl/>
        </w:rPr>
        <w:t xml:space="preserve">  </w:t>
      </w:r>
      <w:r w:rsidRPr="003024E5">
        <w:rPr>
          <w:rFonts w:asciiTheme="minorBidi" w:hAnsiTheme="minorBidi"/>
          <w:sz w:val="16"/>
          <w:szCs w:val="16"/>
          <w:rtl/>
        </w:rPr>
        <w:t>(ב"י על סע' יג)</w:t>
      </w:r>
      <w:r w:rsidRPr="003024E5">
        <w:rPr>
          <w:rFonts w:asciiTheme="minorBidi" w:hAnsiTheme="minorBidi"/>
          <w:rtl/>
        </w:rPr>
        <w:t xml:space="preserve"> </w:t>
      </w:r>
    </w:p>
    <w:p w14:paraId="4C847054" w14:textId="77777777" w:rsidR="002C39F4" w:rsidRPr="003024E5" w:rsidRDefault="002C39F4" w:rsidP="002C39F4">
      <w:pPr>
        <w:pStyle w:val="a8"/>
        <w:numPr>
          <w:ilvl w:val="0"/>
          <w:numId w:val="84"/>
        </w:numPr>
        <w:rPr>
          <w:rFonts w:asciiTheme="minorBidi" w:hAnsiTheme="minorBidi"/>
        </w:rPr>
      </w:pPr>
      <w:r w:rsidRPr="003024E5">
        <w:rPr>
          <w:rFonts w:asciiTheme="minorBidi" w:hAnsiTheme="minorBidi"/>
          <w:rtl/>
        </w:rPr>
        <w:t xml:space="preserve">רא"ש </w:t>
      </w:r>
      <w:r w:rsidRPr="003024E5">
        <w:rPr>
          <w:rFonts w:asciiTheme="minorBidi" w:hAnsiTheme="minorBidi"/>
          <w:sz w:val="16"/>
          <w:szCs w:val="16"/>
          <w:rtl/>
        </w:rPr>
        <w:t>(כלל כ ד</w:t>
      </w:r>
      <w:r>
        <w:rPr>
          <w:rFonts w:asciiTheme="minorBidi" w:hAnsiTheme="minorBidi" w:hint="cs"/>
          <w:sz w:val="16"/>
          <w:szCs w:val="16"/>
          <w:rtl/>
        </w:rPr>
        <w:t>"</w:t>
      </w:r>
      <w:r w:rsidRPr="003024E5">
        <w:rPr>
          <w:rFonts w:asciiTheme="minorBidi" w:hAnsiTheme="minorBidi"/>
          <w:sz w:val="16"/>
          <w:szCs w:val="16"/>
          <w:rtl/>
        </w:rPr>
        <w:t>ג)</w:t>
      </w:r>
      <w:r w:rsidRPr="003024E5">
        <w:rPr>
          <w:rFonts w:asciiTheme="minorBidi" w:hAnsiTheme="minorBidi"/>
          <w:rtl/>
        </w:rPr>
        <w:t>- תולע הנמצא בפרי מבושל אני מתיר האחרים כי טעם התולע בטל בס', ואף בפרי יש ס' לבטל תולע שבו שכך שיער ר"מ ז"ל שאין לך פרי שלא יהיה בו יותר מס' כנגד התולע שבו</w:t>
      </w:r>
      <w:r w:rsidRPr="003024E5">
        <w:rPr>
          <w:rStyle w:val="a7"/>
          <w:rFonts w:asciiTheme="minorBidi" w:hAnsiTheme="minorBidi"/>
          <w:rtl/>
        </w:rPr>
        <w:footnoteReference w:id="957"/>
      </w:r>
      <w:r w:rsidRPr="003024E5">
        <w:rPr>
          <w:rFonts w:asciiTheme="minorBidi" w:hAnsiTheme="minorBidi"/>
          <w:rtl/>
        </w:rPr>
        <w:t xml:space="preserve">. </w:t>
      </w:r>
      <w:r w:rsidRPr="003024E5">
        <w:rPr>
          <w:rFonts w:asciiTheme="minorBidi" w:hAnsiTheme="minorBidi"/>
          <w:color w:val="00B0F0"/>
          <w:rtl/>
        </w:rPr>
        <w:t>(וכ"פ הרמ"א</w:t>
      </w:r>
      <w:r w:rsidRPr="003024E5">
        <w:rPr>
          <w:rStyle w:val="a7"/>
          <w:rFonts w:asciiTheme="minorBidi" w:hAnsiTheme="minorBidi"/>
          <w:rtl/>
        </w:rPr>
        <w:footnoteReference w:id="958"/>
      </w:r>
      <w:r w:rsidRPr="003024E5">
        <w:rPr>
          <w:rFonts w:asciiTheme="minorBidi" w:hAnsiTheme="minorBidi"/>
          <w:color w:val="00B0F0"/>
          <w:rtl/>
        </w:rPr>
        <w:t>)</w:t>
      </w:r>
    </w:p>
    <w:p w14:paraId="0FD625FA" w14:textId="77777777" w:rsidR="002C39F4" w:rsidRPr="003024E5" w:rsidRDefault="002C39F4" w:rsidP="002C39F4">
      <w:pPr>
        <w:pStyle w:val="a8"/>
        <w:numPr>
          <w:ilvl w:val="0"/>
          <w:numId w:val="84"/>
        </w:numPr>
        <w:rPr>
          <w:rFonts w:asciiTheme="minorBidi" w:hAnsiTheme="minorBidi"/>
        </w:rPr>
      </w:pPr>
      <w:bookmarkStart w:id="1" w:name="_Hlk517889588"/>
      <w:r w:rsidRPr="003024E5">
        <w:rPr>
          <w:rFonts w:asciiTheme="minorBidi" w:hAnsiTheme="minorBidi"/>
          <w:rtl/>
        </w:rPr>
        <w:t xml:space="preserve">ראבי"ה </w:t>
      </w:r>
      <w:r w:rsidRPr="003024E5">
        <w:rPr>
          <w:rFonts w:asciiTheme="minorBidi" w:hAnsiTheme="minorBidi"/>
          <w:sz w:val="16"/>
          <w:szCs w:val="16"/>
          <w:rtl/>
        </w:rPr>
        <w:t>(סי' תתקמב</w:t>
      </w:r>
      <w:bookmarkEnd w:id="1"/>
      <w:r w:rsidRPr="003024E5">
        <w:rPr>
          <w:rFonts w:asciiTheme="minorBidi" w:hAnsiTheme="minorBidi"/>
          <w:sz w:val="16"/>
          <w:szCs w:val="16"/>
          <w:rtl/>
        </w:rPr>
        <w:t>, הביאוהו המרדכי</w:t>
      </w:r>
      <w:r w:rsidRPr="003024E5">
        <w:rPr>
          <w:rFonts w:asciiTheme="minorBidi" w:hAnsiTheme="minorBidi"/>
          <w:sz w:val="14"/>
          <w:szCs w:val="14"/>
          <w:rtl/>
        </w:rPr>
        <w:t xml:space="preserve"> [סי'</w:t>
      </w:r>
      <w:r>
        <w:rPr>
          <w:rFonts w:asciiTheme="minorBidi" w:hAnsiTheme="minorBidi" w:hint="cs"/>
          <w:sz w:val="14"/>
          <w:szCs w:val="14"/>
          <w:rtl/>
        </w:rPr>
        <w:t xml:space="preserve"> </w:t>
      </w:r>
      <w:r w:rsidRPr="003024E5">
        <w:rPr>
          <w:rFonts w:asciiTheme="minorBidi" w:hAnsiTheme="minorBidi"/>
          <w:sz w:val="14"/>
          <w:szCs w:val="14"/>
          <w:rtl/>
        </w:rPr>
        <w:t>תרמד]</w:t>
      </w:r>
      <w:r w:rsidRPr="003024E5">
        <w:rPr>
          <w:rFonts w:asciiTheme="minorBidi" w:hAnsiTheme="minorBidi"/>
          <w:sz w:val="16"/>
          <w:szCs w:val="16"/>
          <w:rtl/>
        </w:rPr>
        <w:t xml:space="preserve"> והאגודה</w:t>
      </w:r>
      <w:r w:rsidRPr="003024E5">
        <w:rPr>
          <w:rFonts w:asciiTheme="minorBidi" w:hAnsiTheme="minorBidi"/>
          <w:sz w:val="14"/>
          <w:szCs w:val="14"/>
          <w:rtl/>
        </w:rPr>
        <w:t xml:space="preserve"> [סי' ע]</w:t>
      </w:r>
      <w:r w:rsidRPr="003024E5">
        <w:rPr>
          <w:rFonts w:asciiTheme="minorBidi" w:hAnsiTheme="minorBidi"/>
          <w:sz w:val="16"/>
          <w:szCs w:val="16"/>
          <w:rtl/>
        </w:rPr>
        <w:t>)</w:t>
      </w:r>
      <w:r w:rsidRPr="003024E5">
        <w:rPr>
          <w:rFonts w:asciiTheme="minorBidi" w:hAnsiTheme="minorBidi"/>
          <w:rtl/>
        </w:rPr>
        <w:t xml:space="preserve"> שע"ד ותרוה"ד </w:t>
      </w:r>
      <w:r w:rsidRPr="003024E5">
        <w:rPr>
          <w:rFonts w:asciiTheme="minorBidi" w:hAnsiTheme="minorBidi"/>
          <w:sz w:val="16"/>
          <w:szCs w:val="16"/>
          <w:rtl/>
        </w:rPr>
        <w:t>(סי' קעב)</w:t>
      </w:r>
      <w:r w:rsidRPr="003024E5">
        <w:rPr>
          <w:rFonts w:asciiTheme="minorBidi" w:hAnsiTheme="minorBidi"/>
          <w:rtl/>
        </w:rPr>
        <w:t>- אם נתבשלו פירות הרבה ביחד ונמצא באחת או בשתים ושלשה תולעים, למר בניקב לחוץ ולמר אפילו בלא ניקב לחוץ, נ"ל דצריך לראות הפרי שנמצא בו, אם הפרי גדול שיש בו ס' כתולעת הנמצא בו בטל טעם השרץ וזורק התולעת ואוכל אפילו הפרי הנמצא בו התולעת, ויקלוף מעט מבפנים, וכ"ש השאר</w:t>
      </w:r>
      <w:r>
        <w:rPr>
          <w:rFonts w:asciiTheme="minorBidi" w:hAnsiTheme="minorBidi" w:hint="cs"/>
          <w:rtl/>
        </w:rPr>
        <w:t>,</w:t>
      </w:r>
      <w:r w:rsidRPr="003024E5">
        <w:rPr>
          <w:rFonts w:asciiTheme="minorBidi" w:hAnsiTheme="minorBidi"/>
          <w:rtl/>
        </w:rPr>
        <w:t xml:space="preserve"> ואם הפרי או הקטנית קטן שאין בו ס' כתולעת הנמצא בו נעשה כולו חתיכת איסור וצריך ס' במים כנגד כל הפרי</w:t>
      </w:r>
      <w:r>
        <w:rPr>
          <w:rStyle w:val="a7"/>
          <w:rFonts w:asciiTheme="minorBidi" w:hAnsiTheme="minorBidi"/>
          <w:rtl/>
        </w:rPr>
        <w:footnoteReference w:id="959"/>
      </w:r>
      <w:r>
        <w:rPr>
          <w:rFonts w:asciiTheme="minorBidi" w:hAnsiTheme="minorBidi" w:hint="cs"/>
          <w:rtl/>
        </w:rPr>
        <w:t xml:space="preserve"> </w:t>
      </w:r>
      <w:r w:rsidRPr="003024E5">
        <w:rPr>
          <w:rFonts w:asciiTheme="minorBidi" w:hAnsiTheme="minorBidi"/>
          <w:sz w:val="16"/>
          <w:szCs w:val="16"/>
          <w:rtl/>
        </w:rPr>
        <w:t>(ל' ראבי"ה)</w:t>
      </w:r>
      <w:r w:rsidRPr="003024E5">
        <w:rPr>
          <w:rFonts w:asciiTheme="minorBidi" w:hAnsiTheme="minorBidi"/>
          <w:rtl/>
        </w:rPr>
        <w:t>. (וכ"פ רש"ל</w:t>
      </w:r>
      <w:r w:rsidRPr="003024E5">
        <w:rPr>
          <w:rStyle w:val="a7"/>
          <w:rFonts w:asciiTheme="minorBidi" w:hAnsiTheme="minorBidi"/>
          <w:rtl/>
        </w:rPr>
        <w:footnoteReference w:id="960"/>
      </w:r>
      <w:r w:rsidRPr="003024E5">
        <w:rPr>
          <w:rFonts w:asciiTheme="minorBidi" w:hAnsiTheme="minorBidi"/>
          <w:sz w:val="16"/>
          <w:szCs w:val="16"/>
          <w:rtl/>
        </w:rPr>
        <w:t xml:space="preserve"> [סי' מו אות ו]</w:t>
      </w:r>
      <w:r w:rsidRPr="003024E5">
        <w:rPr>
          <w:rFonts w:asciiTheme="minorBidi" w:hAnsiTheme="minorBidi"/>
          <w:rtl/>
        </w:rPr>
        <w:t xml:space="preserve"> וש"ך</w:t>
      </w:r>
      <w:r w:rsidRPr="003024E5">
        <w:rPr>
          <w:rStyle w:val="a7"/>
          <w:rFonts w:asciiTheme="minorBidi" w:hAnsiTheme="minorBidi"/>
          <w:rtl/>
        </w:rPr>
        <w:footnoteReference w:id="961"/>
      </w:r>
      <w:r w:rsidRPr="003024E5">
        <w:rPr>
          <w:rFonts w:asciiTheme="minorBidi" w:hAnsiTheme="minorBidi"/>
          <w:rtl/>
        </w:rPr>
        <w:t>)</w:t>
      </w:r>
    </w:p>
    <w:p w14:paraId="257BAB0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45D2920" w14:textId="77777777" w:rsidR="002C39F4" w:rsidRPr="003024E5" w:rsidRDefault="002C39F4" w:rsidP="002C39F4">
      <w:pPr>
        <w:rPr>
          <w:rFonts w:asciiTheme="minorBidi" w:hAnsiTheme="minorBidi"/>
          <w:rtl/>
        </w:rPr>
      </w:pPr>
      <w:r w:rsidRPr="003024E5">
        <w:rPr>
          <w:rFonts w:asciiTheme="minorBidi" w:hAnsiTheme="minorBidi"/>
          <w:rtl/>
        </w:rPr>
        <w:t>עבר ובישל תוך שנים עשר חדש בלא בדיקה</w:t>
      </w:r>
      <w:r w:rsidRPr="003024E5">
        <w:rPr>
          <w:rStyle w:val="a7"/>
          <w:rFonts w:asciiTheme="minorBidi" w:hAnsiTheme="minorBidi"/>
          <w:rtl/>
        </w:rPr>
        <w:footnoteReference w:id="962"/>
      </w:r>
      <w:r w:rsidRPr="003024E5">
        <w:rPr>
          <w:rFonts w:asciiTheme="minorBidi" w:hAnsiTheme="minorBidi"/>
          <w:rtl/>
        </w:rPr>
        <w:t>, אם יכול לבדוק בודק, ואם לאו מותר</w:t>
      </w:r>
      <w:r>
        <w:rPr>
          <w:rStyle w:val="a7"/>
          <w:rFonts w:asciiTheme="minorBidi" w:hAnsiTheme="minorBidi"/>
          <w:rtl/>
        </w:rPr>
        <w:footnoteReference w:id="963"/>
      </w:r>
      <w:r w:rsidRPr="003024E5">
        <w:rPr>
          <w:rFonts w:asciiTheme="minorBidi" w:hAnsiTheme="minorBidi"/>
          <w:rtl/>
        </w:rPr>
        <w:t xml:space="preserve">, ואם נמצאו קצת בקדירה משליכם ואוכל השאר. </w:t>
      </w:r>
      <w:r w:rsidRPr="003024E5">
        <w:rPr>
          <w:rFonts w:asciiTheme="minorBidi" w:hAnsiTheme="minorBidi"/>
          <w:sz w:val="18"/>
          <w:szCs w:val="18"/>
          <w:rtl/>
        </w:rPr>
        <w:t xml:space="preserve">[הגה] כי אין לך פרי שאין בו ס' נגד טעם התולעת שבתוכו </w:t>
      </w:r>
      <w:r w:rsidRPr="003024E5">
        <w:rPr>
          <w:rFonts w:asciiTheme="minorBidi" w:hAnsiTheme="minorBidi"/>
          <w:sz w:val="16"/>
          <w:szCs w:val="16"/>
          <w:rtl/>
        </w:rPr>
        <w:t>(תשו' הרא"ש בשם מהר"ם)</w:t>
      </w:r>
      <w:r w:rsidRPr="003024E5">
        <w:rPr>
          <w:rFonts w:asciiTheme="minorBidi" w:hAnsiTheme="minorBidi"/>
          <w:sz w:val="18"/>
          <w:szCs w:val="18"/>
          <w:rtl/>
        </w:rPr>
        <w:t xml:space="preserve">. </w:t>
      </w:r>
      <w:r w:rsidRPr="003024E5">
        <w:rPr>
          <w:rFonts w:asciiTheme="minorBidi" w:hAnsiTheme="minorBidi"/>
          <w:rtl/>
        </w:rPr>
        <w:t>ויש מי שאומר דהני מילי שלא נמצאו אלא אחד או שנים אבל שלושה או ארבעה</w:t>
      </w:r>
      <w:r w:rsidRPr="003024E5">
        <w:rPr>
          <w:rStyle w:val="a7"/>
          <w:rFonts w:asciiTheme="minorBidi" w:hAnsiTheme="minorBidi"/>
          <w:rtl/>
        </w:rPr>
        <w:footnoteReference w:id="964"/>
      </w:r>
      <w:r w:rsidRPr="003024E5">
        <w:rPr>
          <w:rFonts w:asciiTheme="minorBidi" w:hAnsiTheme="minorBidi"/>
          <w:rtl/>
        </w:rPr>
        <w:t xml:space="preserve"> הכל אסור</w:t>
      </w:r>
      <w:r w:rsidRPr="003024E5">
        <w:rPr>
          <w:rStyle w:val="a7"/>
          <w:rFonts w:asciiTheme="minorBidi" w:hAnsiTheme="minorBidi"/>
          <w:rtl/>
        </w:rPr>
        <w:footnoteReference w:id="965"/>
      </w:r>
      <w:r w:rsidRPr="003024E5">
        <w:rPr>
          <w:rFonts w:asciiTheme="minorBidi" w:hAnsiTheme="minorBidi"/>
          <w:rtl/>
        </w:rPr>
        <w:t xml:space="preserve">. </w:t>
      </w:r>
      <w:r w:rsidRPr="003024E5">
        <w:rPr>
          <w:rFonts w:asciiTheme="minorBidi" w:hAnsiTheme="minorBidi"/>
          <w:sz w:val="18"/>
          <w:szCs w:val="18"/>
          <w:rtl/>
        </w:rPr>
        <w:t>הגה: ודוקא מאכל דא"א לסננו ולהסיר מהם התולעים ומאחר שהוחזק בתולעים כולו אסור</w:t>
      </w:r>
      <w:r w:rsidRPr="003024E5">
        <w:rPr>
          <w:rStyle w:val="a7"/>
          <w:rFonts w:asciiTheme="minorBidi" w:hAnsiTheme="minorBidi"/>
          <w:sz w:val="18"/>
          <w:szCs w:val="18"/>
          <w:rtl/>
        </w:rPr>
        <w:footnoteReference w:id="966"/>
      </w:r>
      <w:r w:rsidRPr="003024E5">
        <w:rPr>
          <w:rFonts w:asciiTheme="minorBidi" w:hAnsiTheme="minorBidi"/>
          <w:sz w:val="18"/>
          <w:szCs w:val="18"/>
          <w:rtl/>
        </w:rPr>
        <w:t xml:space="preserve"> אבל אם אפשר לסננו מעביר משם התולעים הנמצאים שם והשאר מותר</w:t>
      </w:r>
      <w:r w:rsidRPr="003024E5">
        <w:rPr>
          <w:rStyle w:val="a7"/>
          <w:rFonts w:asciiTheme="minorBidi" w:hAnsiTheme="minorBidi"/>
          <w:sz w:val="16"/>
          <w:szCs w:val="16"/>
          <w:rtl/>
        </w:rPr>
        <w:footnoteReference w:id="967"/>
      </w:r>
      <w:r w:rsidRPr="003024E5">
        <w:rPr>
          <w:rFonts w:asciiTheme="minorBidi" w:hAnsiTheme="minorBidi"/>
          <w:sz w:val="16"/>
          <w:szCs w:val="16"/>
          <w:rtl/>
        </w:rPr>
        <w:t xml:space="preserve"> (רשב"א סי' קיג)</w:t>
      </w:r>
      <w:r w:rsidRPr="003024E5">
        <w:rPr>
          <w:rFonts w:asciiTheme="minorBidi" w:hAnsiTheme="minorBidi"/>
          <w:sz w:val="18"/>
          <w:szCs w:val="18"/>
          <w:rtl/>
        </w:rPr>
        <w:t xml:space="preserve"> ועיין לקמן ס"ס ק.</w:t>
      </w:r>
      <w:r w:rsidRPr="003024E5">
        <w:rPr>
          <w:rFonts w:asciiTheme="minorBidi" w:hAnsiTheme="minorBidi"/>
          <w:rtl/>
        </w:rPr>
        <w:t xml:space="preserve"> </w:t>
      </w:r>
    </w:p>
    <w:p w14:paraId="54FF7496" w14:textId="77777777" w:rsidR="002C39F4" w:rsidRPr="003024E5" w:rsidRDefault="002C39F4" w:rsidP="002C39F4">
      <w:pPr>
        <w:rPr>
          <w:rFonts w:asciiTheme="minorBidi" w:hAnsiTheme="minorBidi"/>
          <w:u w:val="single"/>
          <w:rtl/>
        </w:rPr>
      </w:pPr>
      <w:r w:rsidRPr="003024E5">
        <w:rPr>
          <w:rFonts w:asciiTheme="minorBidi" w:hAnsiTheme="minorBidi"/>
          <w:u w:val="single"/>
          <w:rtl/>
        </w:rPr>
        <w:t>מעשה בתולעים שנמצאו בקמח:</w:t>
      </w:r>
    </w:p>
    <w:p w14:paraId="67286EAA" w14:textId="77777777" w:rsidR="002C39F4" w:rsidRPr="003024E5" w:rsidRDefault="002C39F4" w:rsidP="002C39F4">
      <w:pPr>
        <w:pStyle w:val="a8"/>
        <w:numPr>
          <w:ilvl w:val="0"/>
          <w:numId w:val="85"/>
        </w:numPr>
        <w:rPr>
          <w:rFonts w:asciiTheme="minorBidi" w:hAnsiTheme="minorBidi"/>
          <w:rtl/>
        </w:rPr>
      </w:pPr>
      <w:r w:rsidRPr="003024E5">
        <w:rPr>
          <w:rFonts w:asciiTheme="minorBidi" w:hAnsiTheme="minorBidi"/>
          <w:rtl/>
        </w:rPr>
        <w:t xml:space="preserve">ט"ז </w:t>
      </w:r>
      <w:r w:rsidRPr="003024E5">
        <w:rPr>
          <w:rFonts w:asciiTheme="minorBidi" w:hAnsiTheme="minorBidi"/>
          <w:sz w:val="16"/>
          <w:szCs w:val="16"/>
          <w:rtl/>
        </w:rPr>
        <w:t>(סקי"ז)</w:t>
      </w:r>
      <w:r w:rsidRPr="003024E5">
        <w:rPr>
          <w:rFonts w:asciiTheme="minorBidi" w:hAnsiTheme="minorBidi"/>
          <w:rtl/>
        </w:rPr>
        <w:t>- מעשה בחג השבועות שעשו הנשים כמעט של כל העיר לחמים ופלאדי"ן עם ראזינק"ש ואשה אחת בדקה רוזינ"י שלה ונמצאו בה מילבי"ן וכולן קנו ממקום אחד והלכו ומצאו גם אצל המוכר כו', נראה בעיני שאותן שלקחו קודם שנודע שיש שם מילבי"ן מותרין, דזה דומה למ"ש ב"י בשם הרשב"א בדין עבר ובישל תוך י"ב חודש בדברים שדרכן להתליע דיש כאן ב' ספיקות ספק היה שם רחש ספק לא היה ואת"ל היה שמא נימוח ונתבטלה, וה"נ יש ב' ספיקות האחד שמא באותו פעם שלקחו הם לא היו עדיין מילבי"ן עד שעה קטנה שאחר זה ואת"ל היו שמא נמוחו בתנור מחמת חום האש, ואין לומר שזהו נגד הסברא לומר שבשעה קטנה יתהוו המילבי"ן ונמצא שאין כאן אלא ספק אחד דנימוח זה אינו דהא גם שם בההיא דרשב"א כיון שדרכן להתליע הוה כודאי התליע שספק הרגיל לאו שמיה ספק, כמ"ש בת"ה סימן קע"א לענין חיטין מתולעים, ואפ"ה חשבו רשב"א לספק ספיקא, אבל אותן שלקחו אח"כ יש לאסור כל הלחמים והפלאדי"ן דאין כאן אלא ספק אחד שמא נימוח ובהדיא כתב הר"ן בסוף פא"ט דמשום הך חד ספיקא לא שרי הרשב"א, וזה ודאי אין סברא לחלק בין מילבי"ן לשאר תולעים לענין לומר שהם נימוחים יותר, כנלע"ד להחמיר בפרט באיסור של תורה דודאי פירשו המילבי"ן מן הרוזינ"י בשעת עריכה ולישה ושמא יאכל גוף האיסור</w:t>
      </w:r>
      <w:r w:rsidRPr="003024E5">
        <w:rPr>
          <w:rStyle w:val="a7"/>
          <w:rFonts w:asciiTheme="minorBidi" w:hAnsiTheme="minorBidi"/>
          <w:rtl/>
        </w:rPr>
        <w:footnoteReference w:id="968"/>
      </w:r>
      <w:r w:rsidRPr="003024E5">
        <w:rPr>
          <w:rFonts w:asciiTheme="minorBidi" w:hAnsiTheme="minorBidi"/>
          <w:rtl/>
        </w:rPr>
        <w:t>.</w:t>
      </w:r>
    </w:p>
    <w:p w14:paraId="152A573D" w14:textId="77777777" w:rsidR="002C39F4" w:rsidRPr="003024E5" w:rsidRDefault="002C39F4" w:rsidP="002C39F4">
      <w:pPr>
        <w:rPr>
          <w:rFonts w:asciiTheme="minorBidi" w:hAnsiTheme="minorBidi"/>
          <w:rtl/>
        </w:rPr>
      </w:pPr>
    </w:p>
    <w:p w14:paraId="14616CB8" w14:textId="77777777" w:rsidR="002C39F4" w:rsidRDefault="002C39F4" w:rsidP="002C39F4">
      <w:pPr>
        <w:pStyle w:val="2"/>
        <w:rPr>
          <w:rFonts w:asciiTheme="minorBidi" w:hAnsiTheme="minorBidi"/>
          <w:rtl/>
        </w:rPr>
      </w:pPr>
      <w:r w:rsidRPr="003024E5">
        <w:rPr>
          <w:rFonts w:asciiTheme="minorBidi" w:hAnsiTheme="minorBidi"/>
          <w:rtl/>
        </w:rPr>
        <w:t>סעיף י: ירקות מבושלים ש</w:t>
      </w:r>
      <w:r>
        <w:rPr>
          <w:rFonts w:asciiTheme="minorBidi" w:hAnsiTheme="minorBidi" w:hint="cs"/>
          <w:rtl/>
        </w:rPr>
        <w:t>הוחזקו</w:t>
      </w:r>
      <w:r w:rsidRPr="003024E5">
        <w:rPr>
          <w:rFonts w:asciiTheme="minorBidi" w:hAnsiTheme="minorBidi"/>
          <w:rtl/>
        </w:rPr>
        <w:t xml:space="preserve"> בתולעים.</w:t>
      </w:r>
    </w:p>
    <w:p w14:paraId="7894931A" w14:textId="77777777" w:rsidR="002C39F4" w:rsidRPr="002D5BFE" w:rsidRDefault="002C39F4" w:rsidP="002C39F4">
      <w:pPr>
        <w:rPr>
          <w:sz w:val="16"/>
          <w:szCs w:val="16"/>
          <w:u w:val="single"/>
          <w:rtl/>
        </w:rPr>
      </w:pPr>
      <w:r w:rsidRPr="002F0769">
        <w:rPr>
          <w:rFonts w:cs="Arial"/>
          <w:u w:val="single"/>
          <w:rtl/>
        </w:rPr>
        <w:t>אשה שבדקה ירקות ומצאה בהן תולעים ואחר ששלק</w:t>
      </w:r>
      <w:r w:rsidRPr="002F0769">
        <w:rPr>
          <w:rFonts w:cs="Arial" w:hint="cs"/>
          <w:u w:val="single"/>
          <w:rtl/>
        </w:rPr>
        <w:t>ת</w:t>
      </w:r>
      <w:r w:rsidRPr="002F0769">
        <w:rPr>
          <w:rFonts w:cs="Arial"/>
          <w:u w:val="single"/>
          <w:rtl/>
        </w:rPr>
        <w:t xml:space="preserve">ן מצאה </w:t>
      </w:r>
      <w:r w:rsidRPr="002F0769">
        <w:rPr>
          <w:rFonts w:cs="Arial" w:hint="cs"/>
          <w:u w:val="single"/>
          <w:rtl/>
        </w:rPr>
        <w:t xml:space="preserve">בהן </w:t>
      </w:r>
      <w:r w:rsidRPr="002F0769">
        <w:rPr>
          <w:rFonts w:cs="Arial"/>
          <w:u w:val="single"/>
          <w:rtl/>
        </w:rPr>
        <w:t>עוד שלושה תולעים</w:t>
      </w:r>
      <w:r>
        <w:rPr>
          <w:rFonts w:cs="Arial" w:hint="cs"/>
          <w:sz w:val="16"/>
          <w:szCs w:val="16"/>
          <w:u w:val="single"/>
          <w:rtl/>
        </w:rPr>
        <w:t xml:space="preserve"> (ועתה הן מוחזקות בתולעים)</w:t>
      </w:r>
      <w:r w:rsidRPr="002F0769">
        <w:rPr>
          <w:rFonts w:cs="Arial" w:hint="cs"/>
          <w:u w:val="single"/>
          <w:rtl/>
        </w:rPr>
        <w:t>:</w:t>
      </w:r>
      <w:r w:rsidRPr="002D5BFE">
        <w:rPr>
          <w:rFonts w:cs="Arial" w:hint="cs"/>
          <w:sz w:val="16"/>
          <w:szCs w:val="16"/>
          <w:rtl/>
        </w:rPr>
        <w:t xml:space="preserve">  </w:t>
      </w:r>
    </w:p>
    <w:p w14:paraId="76DC387D" w14:textId="77777777" w:rsidR="002C39F4" w:rsidRPr="002F0769" w:rsidRDefault="002C39F4" w:rsidP="002C39F4">
      <w:pPr>
        <w:pStyle w:val="a8"/>
        <w:numPr>
          <w:ilvl w:val="0"/>
          <w:numId w:val="85"/>
        </w:numPr>
        <w:rPr>
          <w:rtl/>
        </w:rPr>
      </w:pPr>
      <w:r w:rsidRPr="002F0769">
        <w:rPr>
          <w:rFonts w:cs="Arial" w:hint="cs"/>
          <w:rtl/>
        </w:rPr>
        <w:t xml:space="preserve">רשב"א </w:t>
      </w:r>
      <w:r w:rsidRPr="002F0769">
        <w:rPr>
          <w:rFonts w:cs="Arial" w:hint="cs"/>
          <w:sz w:val="16"/>
          <w:szCs w:val="16"/>
          <w:rtl/>
        </w:rPr>
        <w:t>(ח"א סי' קיג)</w:t>
      </w:r>
      <w:r w:rsidRPr="002F0769">
        <w:rPr>
          <w:rFonts w:cs="Arial" w:hint="cs"/>
          <w:rtl/>
        </w:rPr>
        <w:t xml:space="preserve">- </w:t>
      </w:r>
      <w:r w:rsidRPr="002F0769">
        <w:rPr>
          <w:rFonts w:cs="Arial"/>
          <w:rtl/>
        </w:rPr>
        <w:t>שאלת באשה שבדקה ירקות ומצאה בהן תולעים. ואחר ששלקן מצאה עוד בהן שלושה תולעים. ויש מי שמתיר את הכל בבדיקה כיון שהשאר בטל בששים. וראיתי מן הגדולים שהורו לאיסור משום דבתרי זימני הויא חזקה. ומכח השליקה נשתנית צורתן לצורת הירקות ושמא יש ואינן ניכרין ובריה אינה בטלה</w:t>
      </w:r>
      <w:r w:rsidRPr="002F0769">
        <w:rPr>
          <w:rFonts w:cs="Arial" w:hint="cs"/>
          <w:rtl/>
        </w:rPr>
        <w:t xml:space="preserve">. </w:t>
      </w:r>
      <w:r w:rsidRPr="002F0769">
        <w:rPr>
          <w:rFonts w:cs="Arial"/>
          <w:rtl/>
        </w:rPr>
        <w:t>תשובה</w:t>
      </w:r>
      <w:r>
        <w:rPr>
          <w:rFonts w:cs="Arial" w:hint="cs"/>
          <w:rtl/>
        </w:rPr>
        <w:t xml:space="preserve"> </w:t>
      </w:r>
      <w:r w:rsidRPr="002F0769">
        <w:rPr>
          <w:rFonts w:cs="Arial" w:hint="cs"/>
          <w:rtl/>
        </w:rPr>
        <w:t>-</w:t>
      </w:r>
      <w:r w:rsidRPr="002F0769">
        <w:rPr>
          <w:rFonts w:cs="Arial"/>
          <w:rtl/>
        </w:rPr>
        <w:t xml:space="preserve"> רואה אני בזה לאיסור וכך אנו מורים בכל יום. ולא מן הטעם שאמרת שאין אני רואה בזה ענין תרי זימני. שאילו בדקה ומצאה תולעת אחת וחזרה ובדקה ומצאה אחרת לא הוחזקה זו בכך לומר שוב אין לו בדיקה יותר ממה שתבדוק ותמצא שתים בבת אחת. שאם אתה אומר כן כל שבודקת קודם ששלק' ומצאה וחזרה ובדקה ומצאה אחרת הכל אסור שכבר הוחזקו ואסרת כל הירקות שבעולם. אלא עיקר הענין שכל שנמצאו תולעים מרובין בקדרה בין בפעם אחת בין בהרבה פעמים צריכין בדיקה יפה. שהרי הוחזקו הירקות האלו בתולעים וכל שהוחזק צריך בדיקה לצאת מאותה חזקה. וכשהן חיין יש להן בדיקה יפה. אבל במבושלין ומבולבלין אי אפשר לבדקן. ולפיכך אסורין שצריכין הן בדיקה ואין להם. אבל מי השלקות מותרין לפי שאפשר לסננן. וכן כל כיוצא בזה שאין בריה אוסרת אלא בזמן שהיא שלימה אבל המרוסקת בטלה. והשלמה המסננת קולטתה ואינה יוצאה. וכן אם בשלה בהן בשר אפשר לרחוץ אותו ולבדוק.</w:t>
      </w:r>
      <w:r>
        <w:rPr>
          <w:rFonts w:hint="cs"/>
          <w:rtl/>
        </w:rPr>
        <w:t xml:space="preserve"> </w:t>
      </w:r>
      <w:r w:rsidRPr="005574A8">
        <w:rPr>
          <w:rFonts w:hint="cs"/>
          <w:color w:val="E36C0A" w:themeColor="accent6" w:themeShade="BF"/>
          <w:rtl/>
        </w:rPr>
        <w:t>(וכ"פ בשו"ע)</w:t>
      </w:r>
    </w:p>
    <w:p w14:paraId="797010E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B45C470" w14:textId="77777777" w:rsidR="002C39F4" w:rsidRPr="003024E5" w:rsidRDefault="002C39F4" w:rsidP="002C39F4">
      <w:pPr>
        <w:rPr>
          <w:rFonts w:asciiTheme="minorBidi" w:hAnsiTheme="minorBidi"/>
          <w:rtl/>
        </w:rPr>
      </w:pPr>
      <w:r w:rsidRPr="003024E5">
        <w:rPr>
          <w:rFonts w:asciiTheme="minorBidi" w:hAnsiTheme="minorBidi"/>
          <w:rtl/>
        </w:rPr>
        <w:t>ירקות</w:t>
      </w:r>
      <w:bookmarkStart w:id="2" w:name="_Hlk514832471"/>
      <w:r>
        <w:rPr>
          <w:rStyle w:val="a7"/>
          <w:rFonts w:asciiTheme="minorBidi" w:hAnsiTheme="minorBidi"/>
          <w:rtl/>
        </w:rPr>
        <w:footnoteReference w:id="969"/>
      </w:r>
      <w:bookmarkEnd w:id="2"/>
      <w:r w:rsidRPr="003024E5">
        <w:rPr>
          <w:rFonts w:asciiTheme="minorBidi" w:hAnsiTheme="minorBidi"/>
          <w:rtl/>
        </w:rPr>
        <w:t xml:space="preserve"> מבושלים שנמצאו בהם תולעים, הרוטב מותר על ידי סינון, אבל ירקות עצמם, אם מצא בהם ש</w:t>
      </w:r>
      <w:r>
        <w:rPr>
          <w:rFonts w:asciiTheme="minorBidi" w:hAnsiTheme="minorBidi" w:hint="cs"/>
          <w:rtl/>
        </w:rPr>
        <w:t>לש</w:t>
      </w:r>
      <w:r w:rsidRPr="003024E5">
        <w:rPr>
          <w:rStyle w:val="a7"/>
          <w:rFonts w:asciiTheme="minorBidi" w:hAnsiTheme="minorBidi"/>
          <w:rtl/>
        </w:rPr>
        <w:footnoteReference w:id="970"/>
      </w:r>
      <w:r w:rsidRPr="003024E5">
        <w:rPr>
          <w:rFonts w:asciiTheme="minorBidi" w:hAnsiTheme="minorBidi"/>
          <w:rtl/>
        </w:rPr>
        <w:t xml:space="preserve"> פעמים, יש לחוש שמא יש ואינם ניכרות</w:t>
      </w:r>
      <w:r w:rsidRPr="003024E5">
        <w:rPr>
          <w:rStyle w:val="a7"/>
          <w:rFonts w:asciiTheme="minorBidi" w:hAnsiTheme="minorBidi"/>
          <w:rtl/>
        </w:rPr>
        <w:footnoteReference w:id="971"/>
      </w:r>
      <w:r w:rsidRPr="003024E5">
        <w:rPr>
          <w:rFonts w:asciiTheme="minorBidi" w:hAnsiTheme="minorBidi"/>
          <w:rtl/>
        </w:rPr>
        <w:t>.</w:t>
      </w:r>
    </w:p>
    <w:p w14:paraId="1E8DD807" w14:textId="77777777" w:rsidR="002C39F4" w:rsidRPr="003024E5" w:rsidRDefault="002C39F4" w:rsidP="002C39F4">
      <w:pPr>
        <w:rPr>
          <w:rFonts w:asciiTheme="minorBidi" w:hAnsiTheme="minorBidi"/>
          <w:rtl/>
        </w:rPr>
      </w:pPr>
    </w:p>
    <w:p w14:paraId="42A54821" w14:textId="77777777" w:rsidR="002C39F4" w:rsidRPr="003024E5" w:rsidRDefault="002C39F4" w:rsidP="002C39F4">
      <w:pPr>
        <w:pStyle w:val="2"/>
        <w:rPr>
          <w:rFonts w:asciiTheme="minorBidi" w:hAnsiTheme="minorBidi"/>
          <w:rtl/>
        </w:rPr>
      </w:pPr>
      <w:r w:rsidRPr="003024E5">
        <w:rPr>
          <w:rFonts w:asciiTheme="minorBidi" w:hAnsiTheme="minorBidi"/>
          <w:rtl/>
        </w:rPr>
        <w:t>סעיף יא: אשה שנמצא אחר בדיקתה שרץ הנראה לעיניים.</w:t>
      </w:r>
    </w:p>
    <w:p w14:paraId="59CCEDAF" w14:textId="77777777" w:rsidR="002C39F4" w:rsidRPr="003024E5" w:rsidRDefault="002C39F4" w:rsidP="002C39F4">
      <w:pPr>
        <w:rPr>
          <w:rFonts w:asciiTheme="minorBidi" w:hAnsiTheme="minorBidi"/>
          <w:rtl/>
        </w:rPr>
      </w:pPr>
      <w:r>
        <w:rPr>
          <w:rFonts w:asciiTheme="minorBidi" w:hAnsiTheme="minorBidi" w:hint="cs"/>
          <w:b/>
          <w:bCs/>
          <w:rtl/>
        </w:rPr>
        <w:t xml:space="preserve">חולין צג ע"ב: </w:t>
      </w:r>
      <w:r w:rsidRPr="003024E5">
        <w:rPr>
          <w:rFonts w:asciiTheme="minorBidi" w:hAnsiTheme="minorBidi"/>
          <w:rtl/>
        </w:rPr>
        <w:t>איתמר, טבח שנמצא חלב אחריו</w:t>
      </w:r>
      <w:r w:rsidRPr="003024E5">
        <w:rPr>
          <w:rStyle w:val="a7"/>
          <w:rFonts w:asciiTheme="minorBidi" w:hAnsiTheme="minorBidi"/>
          <w:rtl/>
        </w:rPr>
        <w:footnoteReference w:id="972"/>
      </w:r>
      <w:r w:rsidRPr="003024E5">
        <w:rPr>
          <w:rFonts w:asciiTheme="minorBidi" w:hAnsiTheme="minorBidi"/>
          <w:rtl/>
        </w:rPr>
        <w:t xml:space="preserve">; </w:t>
      </w:r>
      <w:r w:rsidRPr="003024E5">
        <w:rPr>
          <w:rFonts w:asciiTheme="minorBidi" w:hAnsiTheme="minorBidi"/>
          <w:u w:val="single"/>
          <w:rtl/>
        </w:rPr>
        <w:t>רב יהודה אמר</w:t>
      </w:r>
      <w:r w:rsidRPr="003024E5">
        <w:rPr>
          <w:rFonts w:asciiTheme="minorBidi" w:hAnsiTheme="minorBidi"/>
          <w:rtl/>
        </w:rPr>
        <w:t xml:space="preserve">: בכשעורה, </w:t>
      </w:r>
      <w:r w:rsidRPr="003024E5">
        <w:rPr>
          <w:rFonts w:asciiTheme="minorBidi" w:hAnsiTheme="minorBidi"/>
          <w:u w:val="single"/>
          <w:rtl/>
        </w:rPr>
        <w:t>רבי יוחנן אמר</w:t>
      </w:r>
      <w:r w:rsidRPr="003024E5">
        <w:rPr>
          <w:rFonts w:asciiTheme="minorBidi" w:hAnsiTheme="minorBidi"/>
          <w:rtl/>
        </w:rPr>
        <w:t xml:space="preserve">: בכזית. </w:t>
      </w:r>
      <w:r w:rsidRPr="003024E5">
        <w:rPr>
          <w:rFonts w:asciiTheme="minorBidi" w:hAnsiTheme="minorBidi"/>
          <w:u w:val="single"/>
          <w:rtl/>
        </w:rPr>
        <w:t>אמר רב פפא</w:t>
      </w:r>
      <w:r w:rsidRPr="003024E5">
        <w:rPr>
          <w:rFonts w:asciiTheme="minorBidi" w:hAnsiTheme="minorBidi"/>
          <w:rtl/>
        </w:rPr>
        <w:t>: ולא פליגי, כאן - להלקותו</w:t>
      </w:r>
      <w:r w:rsidRPr="003024E5">
        <w:rPr>
          <w:rStyle w:val="a7"/>
          <w:rFonts w:asciiTheme="minorBidi" w:hAnsiTheme="minorBidi"/>
          <w:rtl/>
        </w:rPr>
        <w:footnoteReference w:id="973"/>
      </w:r>
      <w:r w:rsidRPr="003024E5">
        <w:rPr>
          <w:rFonts w:asciiTheme="minorBidi" w:hAnsiTheme="minorBidi"/>
          <w:rtl/>
        </w:rPr>
        <w:t>, כאן - לעברו</w:t>
      </w:r>
      <w:r w:rsidRPr="003024E5">
        <w:rPr>
          <w:rStyle w:val="a7"/>
          <w:rFonts w:asciiTheme="minorBidi" w:hAnsiTheme="minorBidi"/>
          <w:rtl/>
        </w:rPr>
        <w:footnoteReference w:id="974"/>
      </w:r>
      <w:r w:rsidRPr="003024E5">
        <w:rPr>
          <w:rFonts w:asciiTheme="minorBidi" w:hAnsiTheme="minorBidi"/>
          <w:rtl/>
        </w:rPr>
        <w:t xml:space="preserve">, </w:t>
      </w:r>
      <w:r w:rsidRPr="003024E5">
        <w:rPr>
          <w:rFonts w:asciiTheme="minorBidi" w:hAnsiTheme="minorBidi"/>
          <w:u w:val="single"/>
          <w:rtl/>
        </w:rPr>
        <w:t>אמר מר זוטרא</w:t>
      </w:r>
      <w:r w:rsidRPr="003024E5">
        <w:rPr>
          <w:rFonts w:asciiTheme="minorBidi" w:hAnsiTheme="minorBidi"/>
          <w:rtl/>
        </w:rPr>
        <w:t xml:space="preserve">: כשעורה - במקום אחד, כזית - אפילו בב' ובג' מקומות. והלכתא: להלקותו - בכזית, לעברו בכשעורה. </w:t>
      </w:r>
      <w:r w:rsidRPr="003024E5">
        <w:rPr>
          <w:rFonts w:asciiTheme="minorBidi" w:hAnsiTheme="minorBidi"/>
          <w:sz w:val="16"/>
          <w:szCs w:val="16"/>
          <w:rtl/>
        </w:rPr>
        <w:t xml:space="preserve"> (וכ' הא"ח (הל</w:t>
      </w:r>
      <w:r>
        <w:rPr>
          <w:rFonts w:asciiTheme="minorBidi" w:hAnsiTheme="minorBidi" w:hint="cs"/>
          <w:sz w:val="16"/>
          <w:szCs w:val="16"/>
          <w:rtl/>
        </w:rPr>
        <w:t xml:space="preserve">א"מ </w:t>
      </w:r>
      <w:r w:rsidRPr="003024E5">
        <w:rPr>
          <w:rFonts w:asciiTheme="minorBidi" w:hAnsiTheme="minorBidi"/>
          <w:sz w:val="16"/>
          <w:szCs w:val="16"/>
          <w:rtl/>
        </w:rPr>
        <w:t xml:space="preserve">סי' מא) דכן אשה שנמצא אחר בדיקתה שרץ אסור לאכול וכו'. </w:t>
      </w:r>
      <w:r w:rsidRPr="003024E5">
        <w:rPr>
          <w:rFonts w:asciiTheme="minorBidi" w:hAnsiTheme="minorBidi"/>
          <w:color w:val="E36C0A" w:themeColor="accent6" w:themeShade="BF"/>
          <w:sz w:val="16"/>
          <w:szCs w:val="16"/>
          <w:rtl/>
        </w:rPr>
        <w:t>וכ"פ בשו"ע</w:t>
      </w:r>
      <w:r w:rsidRPr="003024E5">
        <w:rPr>
          <w:rFonts w:asciiTheme="minorBidi" w:hAnsiTheme="minorBidi"/>
          <w:sz w:val="16"/>
          <w:szCs w:val="16"/>
          <w:rtl/>
        </w:rPr>
        <w:t>)</w:t>
      </w:r>
      <w:r w:rsidRPr="003024E5">
        <w:rPr>
          <w:rFonts w:asciiTheme="minorBidi" w:hAnsiTheme="minorBidi"/>
          <w:rtl/>
        </w:rPr>
        <w:t xml:space="preserve"> </w:t>
      </w:r>
    </w:p>
    <w:p w14:paraId="25C7284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461974A" w14:textId="77777777" w:rsidR="002C39F4" w:rsidRPr="003024E5" w:rsidRDefault="002C39F4" w:rsidP="002C39F4">
      <w:pPr>
        <w:rPr>
          <w:rFonts w:asciiTheme="minorBidi" w:hAnsiTheme="minorBidi"/>
          <w:rtl/>
        </w:rPr>
      </w:pPr>
      <w:r w:rsidRPr="003024E5">
        <w:rPr>
          <w:rFonts w:asciiTheme="minorBidi" w:hAnsiTheme="minorBidi"/>
          <w:rtl/>
        </w:rPr>
        <w:t>אשה שנמצא אחר בדיקתה שרץ הנראה לעינים כגון חומט אסור לאכול מבדיקתה</w:t>
      </w:r>
      <w:r w:rsidRPr="003024E5">
        <w:rPr>
          <w:rStyle w:val="a7"/>
          <w:rFonts w:asciiTheme="minorBidi" w:hAnsiTheme="minorBidi"/>
          <w:rtl/>
        </w:rPr>
        <w:footnoteReference w:id="975"/>
      </w:r>
      <w:r w:rsidRPr="003024E5">
        <w:rPr>
          <w:rFonts w:asciiTheme="minorBidi" w:hAnsiTheme="minorBidi"/>
          <w:rtl/>
        </w:rPr>
        <w:t xml:space="preserve">, אבל אם לא נמצאו אלא תולעים המתליעים בתוך העלים שאינם נראים אלא לאחר שליקתן, מותר לאכול מבדיקתה. </w:t>
      </w:r>
    </w:p>
    <w:p w14:paraId="0EF5EE1E" w14:textId="77777777" w:rsidR="002C39F4" w:rsidRPr="003024E5" w:rsidRDefault="002C39F4" w:rsidP="002C39F4">
      <w:pPr>
        <w:rPr>
          <w:rFonts w:asciiTheme="minorBidi" w:hAnsiTheme="minorBidi"/>
          <w:rtl/>
        </w:rPr>
      </w:pPr>
    </w:p>
    <w:p w14:paraId="0BBCAE86" w14:textId="77777777" w:rsidR="002C39F4" w:rsidRDefault="002C39F4" w:rsidP="002C39F4">
      <w:pPr>
        <w:pStyle w:val="2"/>
        <w:rPr>
          <w:rFonts w:asciiTheme="minorBidi" w:hAnsiTheme="minorBidi"/>
          <w:rtl/>
        </w:rPr>
      </w:pPr>
      <w:r w:rsidRPr="003024E5">
        <w:rPr>
          <w:rFonts w:asciiTheme="minorBidi" w:hAnsiTheme="minorBidi"/>
          <w:rtl/>
        </w:rPr>
        <w:t>סעיף יב: מרקחת שנפלו לתוכו נמלים.</w:t>
      </w:r>
    </w:p>
    <w:p w14:paraId="607FF1F1" w14:textId="77777777" w:rsidR="002C39F4" w:rsidRPr="00F56724" w:rsidRDefault="002C39F4" w:rsidP="002C39F4">
      <w:pPr>
        <w:rPr>
          <w:u w:val="single"/>
          <w:rtl/>
        </w:rPr>
      </w:pPr>
      <w:r w:rsidRPr="00F56724">
        <w:rPr>
          <w:rFonts w:hint="cs"/>
          <w:u w:val="single"/>
          <w:rtl/>
        </w:rPr>
        <w:t>מרקחת שנפלו לתוכו נמלים ועברו עליהם י"ב חודש:</w:t>
      </w:r>
    </w:p>
    <w:p w14:paraId="27718B49" w14:textId="77777777" w:rsidR="002C39F4" w:rsidRDefault="002C39F4" w:rsidP="002C39F4">
      <w:pPr>
        <w:pStyle w:val="a8"/>
        <w:numPr>
          <w:ilvl w:val="0"/>
          <w:numId w:val="85"/>
        </w:numPr>
        <w:rPr>
          <w:rtl/>
        </w:rPr>
      </w:pPr>
      <w:r>
        <w:rPr>
          <w:rFonts w:hint="cs"/>
          <w:rtl/>
        </w:rPr>
        <w:t xml:space="preserve">רשב"א </w:t>
      </w:r>
      <w:r w:rsidRPr="00F56724">
        <w:rPr>
          <w:rFonts w:hint="cs"/>
          <w:sz w:val="16"/>
          <w:szCs w:val="16"/>
          <w:rtl/>
        </w:rPr>
        <w:t>(ח"א סי' פ)</w:t>
      </w:r>
      <w:r>
        <w:rPr>
          <w:rFonts w:hint="cs"/>
          <w:rtl/>
        </w:rPr>
        <w:t xml:space="preserve">- </w:t>
      </w:r>
      <w:r w:rsidRPr="00F56724">
        <w:rPr>
          <w:rFonts w:cs="Arial"/>
          <w:rtl/>
        </w:rPr>
        <w:t>מרקחת שנפלו לתוכו נמלים ואי אפשר לברור אותם ועברו עליהם שנים עשר חודש אני חוכך לפי שהדבש דרכו להעמיד ולקיים הדברים השלמים הנטמנים בתוכו</w:t>
      </w:r>
      <w:r>
        <w:rPr>
          <w:rFonts w:hint="cs"/>
          <w:rtl/>
        </w:rPr>
        <w:t xml:space="preserve">. </w:t>
      </w:r>
      <w:r w:rsidRPr="00443DBA">
        <w:rPr>
          <w:rFonts w:hint="cs"/>
          <w:color w:val="E36C0A" w:themeColor="accent6" w:themeShade="BF"/>
          <w:rtl/>
        </w:rPr>
        <w:t>(וכ"פ בשו"ע)</w:t>
      </w:r>
    </w:p>
    <w:p w14:paraId="49F9361A" w14:textId="77777777" w:rsidR="002C39F4" w:rsidRPr="00F56724" w:rsidRDefault="002C39F4" w:rsidP="002C39F4">
      <w:pPr>
        <w:pStyle w:val="a8"/>
        <w:numPr>
          <w:ilvl w:val="0"/>
          <w:numId w:val="85"/>
        </w:numPr>
        <w:rPr>
          <w:rtl/>
        </w:rPr>
      </w:pPr>
      <w:r>
        <w:rPr>
          <w:rFonts w:hint="cs"/>
          <w:rtl/>
        </w:rPr>
        <w:t xml:space="preserve">רדב"ז </w:t>
      </w:r>
      <w:r w:rsidRPr="00F56724">
        <w:rPr>
          <w:rFonts w:hint="cs"/>
          <w:sz w:val="16"/>
          <w:szCs w:val="16"/>
          <w:rtl/>
        </w:rPr>
        <w:t>(ח"ב סי' תרצו</w:t>
      </w:r>
      <w:r>
        <w:rPr>
          <w:rFonts w:hint="cs"/>
          <w:sz w:val="16"/>
          <w:szCs w:val="16"/>
          <w:rtl/>
        </w:rPr>
        <w:t>, הביאו הפת"ש [סק"ט]</w:t>
      </w:r>
      <w:r w:rsidRPr="00F56724">
        <w:rPr>
          <w:rFonts w:hint="cs"/>
          <w:sz w:val="16"/>
          <w:szCs w:val="16"/>
          <w:rtl/>
        </w:rPr>
        <w:t>)</w:t>
      </w:r>
      <w:r>
        <w:rPr>
          <w:rFonts w:hint="cs"/>
          <w:rtl/>
        </w:rPr>
        <w:t xml:space="preserve">- </w:t>
      </w:r>
      <w:r w:rsidRPr="00F56724">
        <w:rPr>
          <w:rFonts w:cs="Arial"/>
          <w:rtl/>
        </w:rPr>
        <w:t>איני רואה כאן חשש איסור לפי שמה שאמרו רז"ל דברים שאין להם עצם אינם מתקיימת י"ב חדש לא חי ולא מת כמו שכתב הרב מדלא אמרו אינה חיה י"ב חדש אין פירושו שאינה מתקיימת ואין לה שוב שום מציאות אחר י"ב חודש אלא פירושו אינה מתקיימת להקרא בריה לא חי ולא מת אלא חוזרת להיות עפר אע</w:t>
      </w:r>
      <w:r>
        <w:rPr>
          <w:rFonts w:cs="Arial" w:hint="cs"/>
          <w:rtl/>
        </w:rPr>
        <w:t>"</w:t>
      </w:r>
      <w:r w:rsidRPr="00F56724">
        <w:rPr>
          <w:rFonts w:cs="Arial"/>
          <w:rtl/>
        </w:rPr>
        <w:t>פ שיש לה קצת מציאות</w:t>
      </w:r>
      <w:r>
        <w:rPr>
          <w:rFonts w:cs="Arial" w:hint="cs"/>
          <w:rtl/>
        </w:rPr>
        <w:t>,</w:t>
      </w:r>
      <w:r w:rsidRPr="00F56724">
        <w:rPr>
          <w:rFonts w:cs="Arial"/>
          <w:rtl/>
        </w:rPr>
        <w:t xml:space="preserve"> שהרי הדברים נראין לעין שכל מיני קטניות הנולדים בהם תולעים אחר י"ב חדש אתה רואה בנקב רושם התולעת ומה שנמצא בתוך הנקב הוא משונה</w:t>
      </w:r>
      <w:r>
        <w:rPr>
          <w:rFonts w:cs="Arial" w:hint="cs"/>
          <w:rtl/>
        </w:rPr>
        <w:t>,</w:t>
      </w:r>
      <w:r w:rsidRPr="00F56724">
        <w:rPr>
          <w:rFonts w:cs="Arial"/>
          <w:rtl/>
        </w:rPr>
        <w:t xml:space="preserve"> אלא מאי אית למימר אע</w:t>
      </w:r>
      <w:r>
        <w:rPr>
          <w:rFonts w:cs="Arial" w:hint="cs"/>
          <w:rtl/>
        </w:rPr>
        <w:t>"</w:t>
      </w:r>
      <w:r w:rsidRPr="00F56724">
        <w:rPr>
          <w:rFonts w:cs="Arial"/>
          <w:rtl/>
        </w:rPr>
        <w:t xml:space="preserve">פ שרשומו ניכר עפרא בעלמא הוא. הילכך בנ"ד נמי הדבש מעמיד הדבר הנטמן בתוכו בצורתו כמו שהיה בתחלה או קרוב לו אבל אחר אשר עברו עליו י"ב חדש מתהפך הדבר ההוא לדבש לפי שהיא נבלעת בתוכו </w:t>
      </w:r>
      <w:r>
        <w:rPr>
          <w:rFonts w:cs="Arial" w:hint="cs"/>
          <w:rtl/>
        </w:rPr>
        <w:t>אע"</w:t>
      </w:r>
      <w:r w:rsidRPr="00F56724">
        <w:rPr>
          <w:rFonts w:cs="Arial"/>
          <w:rtl/>
        </w:rPr>
        <w:t>פ שתבנית הדבר ההוא עומד כמו שהיה</w:t>
      </w:r>
      <w:r>
        <w:rPr>
          <w:rFonts w:cs="Arial" w:hint="cs"/>
          <w:rtl/>
        </w:rPr>
        <w:t>,</w:t>
      </w:r>
      <w:r w:rsidRPr="00F56724">
        <w:rPr>
          <w:rFonts w:cs="Arial"/>
          <w:rtl/>
        </w:rPr>
        <w:t xml:space="preserve"> תדע שהרי המוסק דם חיה הוא ומותר ליתנו במרקחות</w:t>
      </w:r>
      <w:r>
        <w:rPr>
          <w:rFonts w:cs="Arial" w:hint="cs"/>
          <w:rtl/>
        </w:rPr>
        <w:t>,</w:t>
      </w:r>
      <w:r w:rsidRPr="00F56724">
        <w:rPr>
          <w:rFonts w:cs="Arial"/>
          <w:rtl/>
        </w:rPr>
        <w:t xml:space="preserve"> וכן המומיא בשר אדם הוא ומותר ליתנו בתרופות א</w:t>
      </w:r>
      <w:r>
        <w:rPr>
          <w:rFonts w:cs="Arial" w:hint="cs"/>
          <w:rtl/>
        </w:rPr>
        <w:t>ע"</w:t>
      </w:r>
      <w:r w:rsidRPr="00F56724">
        <w:rPr>
          <w:rFonts w:cs="Arial"/>
          <w:rtl/>
        </w:rPr>
        <w:t>פ שאין שם סכנה לפי שמרוב הזמן חזר להיות עפר. הילכך בנ"ד כל בריה שאין לה עצם שעבר עליה י"ב חדש כל מקום שתפול אין לחוש דעפרא בעלמא הוא ומדת חסידות הוא לברור אותם או להעבירם במסננת אם אפשר.</w:t>
      </w:r>
      <w:r>
        <w:rPr>
          <w:rFonts w:hint="cs"/>
          <w:rtl/>
        </w:rPr>
        <w:t xml:space="preserve"> </w:t>
      </w:r>
    </w:p>
    <w:p w14:paraId="789D615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8ABC435" w14:textId="77777777" w:rsidR="002C39F4" w:rsidRDefault="002C39F4" w:rsidP="002C39F4">
      <w:pPr>
        <w:rPr>
          <w:rFonts w:asciiTheme="minorBidi" w:hAnsiTheme="minorBidi"/>
          <w:rtl/>
        </w:rPr>
      </w:pPr>
      <w:r w:rsidRPr="003024E5">
        <w:rPr>
          <w:rFonts w:asciiTheme="minorBidi" w:hAnsiTheme="minorBidi"/>
          <w:rtl/>
        </w:rPr>
        <w:t xml:space="preserve">מרקחת שנפלו לתוכו נמלים ועברו עליהם שנים עשר חדש, יש להסתפק בהם, מפני שהדבש דרכו </w:t>
      </w:r>
      <w:r w:rsidRPr="003024E5">
        <w:rPr>
          <w:rStyle w:val="a7"/>
          <w:rFonts w:asciiTheme="minorBidi" w:hAnsiTheme="minorBidi"/>
          <w:rtl/>
        </w:rPr>
        <w:footnoteReference w:id="976"/>
      </w:r>
      <w:r w:rsidRPr="003024E5">
        <w:rPr>
          <w:rFonts w:asciiTheme="minorBidi" w:hAnsiTheme="minorBidi"/>
          <w:rtl/>
        </w:rPr>
        <w:t>להעמיד הדברים הנטמנים בתוכו</w:t>
      </w:r>
      <w:r w:rsidRPr="003024E5">
        <w:rPr>
          <w:rStyle w:val="a7"/>
          <w:rFonts w:asciiTheme="minorBidi" w:hAnsiTheme="minorBidi"/>
          <w:rtl/>
        </w:rPr>
        <w:footnoteReference w:id="977"/>
      </w:r>
      <w:r w:rsidRPr="003024E5">
        <w:rPr>
          <w:rFonts w:asciiTheme="minorBidi" w:hAnsiTheme="minorBidi"/>
          <w:rtl/>
        </w:rPr>
        <w:t xml:space="preserve">. </w:t>
      </w:r>
      <w:r w:rsidRPr="003024E5">
        <w:rPr>
          <w:rFonts w:asciiTheme="minorBidi" w:hAnsiTheme="minorBidi"/>
          <w:sz w:val="16"/>
          <w:szCs w:val="16"/>
          <w:rtl/>
        </w:rPr>
        <w:t>{רשב"א [ח"א סי' פ]}</w:t>
      </w:r>
    </w:p>
    <w:p w14:paraId="0093064A" w14:textId="77777777" w:rsidR="002C39F4" w:rsidRDefault="002C39F4" w:rsidP="002C39F4">
      <w:pPr>
        <w:rPr>
          <w:rFonts w:asciiTheme="minorBidi" w:hAnsiTheme="minorBidi"/>
          <w:rtl/>
        </w:rPr>
      </w:pPr>
    </w:p>
    <w:p w14:paraId="236500FA" w14:textId="77777777" w:rsidR="002C39F4" w:rsidRPr="003024E5" w:rsidRDefault="002C39F4" w:rsidP="002C39F4">
      <w:pPr>
        <w:pStyle w:val="2"/>
        <w:rPr>
          <w:rFonts w:asciiTheme="minorBidi" w:hAnsiTheme="minorBidi"/>
          <w:rtl/>
        </w:rPr>
      </w:pPr>
      <w:r w:rsidRPr="003024E5">
        <w:rPr>
          <w:rFonts w:asciiTheme="minorBidi" w:hAnsiTheme="minorBidi"/>
          <w:rtl/>
        </w:rPr>
        <w:t>סעיף יג: דבש שנפלו לתוכו נמלים.</w:t>
      </w:r>
    </w:p>
    <w:p w14:paraId="74E3443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DBD1609" w14:textId="77777777" w:rsidR="002C39F4" w:rsidRPr="00057331" w:rsidRDefault="002C39F4" w:rsidP="002C39F4">
      <w:pPr>
        <w:rPr>
          <w:rFonts w:asciiTheme="minorBidi" w:hAnsiTheme="minorBidi"/>
          <w:rtl/>
        </w:rPr>
      </w:pPr>
      <w:r w:rsidRPr="00057331">
        <w:rPr>
          <w:rFonts w:asciiTheme="minorBidi" w:hAnsiTheme="minorBidi"/>
          <w:rtl/>
        </w:rPr>
        <w:t>דבש שנפלו בו נמלים יחממנו עד שיהיה ניתך ויסננו</w:t>
      </w:r>
      <w:r w:rsidRPr="00057331">
        <w:rPr>
          <w:rStyle w:val="a7"/>
          <w:rFonts w:asciiTheme="minorBidi" w:hAnsiTheme="minorBidi"/>
          <w:rtl/>
        </w:rPr>
        <w:footnoteReference w:id="978"/>
      </w:r>
      <w:r w:rsidRPr="00057331">
        <w:rPr>
          <w:rFonts w:asciiTheme="minorBidi" w:hAnsiTheme="minorBidi"/>
          <w:rtl/>
        </w:rPr>
        <w:t xml:space="preserve">. </w:t>
      </w:r>
      <w:r w:rsidRPr="00057331">
        <w:rPr>
          <w:rFonts w:asciiTheme="minorBidi" w:hAnsiTheme="minorBidi"/>
          <w:sz w:val="16"/>
          <w:szCs w:val="16"/>
          <w:rtl/>
        </w:rPr>
        <w:t xml:space="preserve">{א"ח </w:t>
      </w:r>
      <w:r w:rsidRPr="00057331">
        <w:rPr>
          <w:rFonts w:asciiTheme="minorBidi" w:hAnsiTheme="minorBidi"/>
          <w:sz w:val="14"/>
          <w:szCs w:val="14"/>
          <w:rtl/>
        </w:rPr>
        <w:t>[הל</w:t>
      </w:r>
      <w:r w:rsidRPr="00057331">
        <w:rPr>
          <w:rFonts w:asciiTheme="minorBidi" w:hAnsiTheme="minorBidi" w:hint="cs"/>
          <w:sz w:val="14"/>
          <w:szCs w:val="14"/>
          <w:rtl/>
        </w:rPr>
        <w:t xml:space="preserve">א"מ </w:t>
      </w:r>
      <w:r w:rsidRPr="00057331">
        <w:rPr>
          <w:rFonts w:asciiTheme="minorBidi" w:hAnsiTheme="minorBidi"/>
          <w:sz w:val="14"/>
          <w:szCs w:val="14"/>
          <w:rtl/>
        </w:rPr>
        <w:t>סי' מב]</w:t>
      </w:r>
      <w:r w:rsidRPr="00057331">
        <w:rPr>
          <w:rFonts w:asciiTheme="minorBidi" w:hAnsiTheme="minorBidi"/>
          <w:sz w:val="16"/>
          <w:szCs w:val="16"/>
          <w:rtl/>
        </w:rPr>
        <w:t>}</w:t>
      </w:r>
    </w:p>
    <w:p w14:paraId="6A0338E6" w14:textId="77777777" w:rsidR="002C39F4" w:rsidRPr="003024E5" w:rsidRDefault="002C39F4" w:rsidP="002C39F4">
      <w:pPr>
        <w:rPr>
          <w:rFonts w:asciiTheme="minorBidi" w:hAnsiTheme="minorBidi"/>
          <w:rtl/>
        </w:rPr>
      </w:pPr>
    </w:p>
    <w:p w14:paraId="18AAC366" w14:textId="77777777" w:rsidR="002C39F4" w:rsidRDefault="002C39F4" w:rsidP="002C39F4">
      <w:pPr>
        <w:pStyle w:val="2"/>
        <w:rPr>
          <w:rFonts w:asciiTheme="minorBidi" w:hAnsiTheme="minorBidi"/>
          <w:rtl/>
        </w:rPr>
      </w:pPr>
      <w:r w:rsidRPr="003024E5">
        <w:rPr>
          <w:rFonts w:asciiTheme="minorBidi" w:hAnsiTheme="minorBidi"/>
          <w:rtl/>
        </w:rPr>
        <w:t xml:space="preserve">סעיף יד: </w:t>
      </w:r>
      <w:r>
        <w:rPr>
          <w:rFonts w:asciiTheme="minorBidi" w:hAnsiTheme="minorBidi" w:hint="cs"/>
          <w:rtl/>
        </w:rPr>
        <w:t xml:space="preserve">טחינת </w:t>
      </w:r>
      <w:r w:rsidRPr="003024E5">
        <w:rPr>
          <w:rFonts w:asciiTheme="minorBidi" w:hAnsiTheme="minorBidi"/>
          <w:rtl/>
        </w:rPr>
        <w:t xml:space="preserve">חיטים </w:t>
      </w:r>
      <w:r>
        <w:rPr>
          <w:rFonts w:asciiTheme="minorBidi" w:hAnsiTheme="minorBidi" w:hint="cs"/>
          <w:rtl/>
        </w:rPr>
        <w:t>שהתליעו</w:t>
      </w:r>
      <w:r w:rsidRPr="003024E5">
        <w:rPr>
          <w:rFonts w:asciiTheme="minorBidi" w:hAnsiTheme="minorBidi"/>
          <w:rtl/>
        </w:rPr>
        <w:t>.</w:t>
      </w:r>
    </w:p>
    <w:p w14:paraId="6A16CC7C" w14:textId="77777777" w:rsidR="002C39F4" w:rsidRPr="00057331" w:rsidRDefault="002C39F4" w:rsidP="002C39F4">
      <w:pPr>
        <w:rPr>
          <w:rFonts w:cs="Arial"/>
          <w:u w:val="single"/>
          <w:rtl/>
        </w:rPr>
      </w:pPr>
      <w:r>
        <w:rPr>
          <w:rFonts w:cs="Arial" w:hint="cs"/>
          <w:u w:val="single"/>
          <w:rtl/>
        </w:rPr>
        <w:t xml:space="preserve">האם מותר לטחון </w:t>
      </w:r>
      <w:r w:rsidRPr="00057331">
        <w:rPr>
          <w:rFonts w:cs="Arial"/>
          <w:u w:val="single"/>
          <w:rtl/>
        </w:rPr>
        <w:t>חיטים שהתליעו</w:t>
      </w:r>
      <w:r w:rsidRPr="00057331">
        <w:rPr>
          <w:rFonts w:cs="Arial" w:hint="cs"/>
          <w:u w:val="single"/>
          <w:rtl/>
        </w:rPr>
        <w:t>:</w:t>
      </w:r>
      <w:r w:rsidRPr="00057331">
        <w:rPr>
          <w:rFonts w:cs="Arial"/>
          <w:u w:val="single"/>
          <w:rtl/>
        </w:rPr>
        <w:t xml:space="preserve"> </w:t>
      </w:r>
    </w:p>
    <w:p w14:paraId="07AFA63D" w14:textId="77777777" w:rsidR="002C39F4" w:rsidRDefault="002C39F4" w:rsidP="002C39F4">
      <w:pPr>
        <w:pStyle w:val="a8"/>
        <w:numPr>
          <w:ilvl w:val="0"/>
          <w:numId w:val="85"/>
        </w:numPr>
      </w:pPr>
      <w:r w:rsidRPr="00057331">
        <w:rPr>
          <w:rFonts w:cs="Arial" w:hint="cs"/>
          <w:rtl/>
        </w:rPr>
        <w:t xml:space="preserve">תרוה"ד </w:t>
      </w:r>
      <w:r w:rsidRPr="00057331">
        <w:rPr>
          <w:rFonts w:cs="Arial" w:hint="cs"/>
          <w:sz w:val="16"/>
          <w:szCs w:val="16"/>
          <w:rtl/>
        </w:rPr>
        <w:t>(סי' קעא)</w:t>
      </w:r>
      <w:r w:rsidRPr="00057331">
        <w:rPr>
          <w:rFonts w:cs="Arial" w:hint="cs"/>
          <w:rtl/>
        </w:rPr>
        <w:t xml:space="preserve">- </w:t>
      </w:r>
      <w:r w:rsidRPr="00057331">
        <w:rPr>
          <w:rFonts w:cs="Arial"/>
          <w:rtl/>
        </w:rPr>
        <w:t>שאלה</w:t>
      </w:r>
      <w:r>
        <w:rPr>
          <w:rFonts w:cs="Arial" w:hint="cs"/>
          <w:rtl/>
        </w:rPr>
        <w:t>,</w:t>
      </w:r>
      <w:r w:rsidRPr="00057331">
        <w:rPr>
          <w:rFonts w:cs="Arial"/>
          <w:rtl/>
        </w:rPr>
        <w:t xml:space="preserve"> חיטים שהתליעו ושטחום לפני השמש ורחשו מהם הרבה תולעים</w:t>
      </w:r>
      <w:r>
        <w:rPr>
          <w:rFonts w:cs="Arial" w:hint="cs"/>
          <w:rtl/>
        </w:rPr>
        <w:t>,</w:t>
      </w:r>
      <w:r w:rsidRPr="00057331">
        <w:rPr>
          <w:rFonts w:cs="Arial"/>
          <w:rtl/>
        </w:rPr>
        <w:t xml:space="preserve"> ואח"כ חתכו מהן הרבה חיטים לשנים שהיו שלמים מבחוץ ומצאו תולעים בהרבה מהן. יש תקנה לאותו כרי של חיטים לטוחנן כדי לאכול ממנו הפת או לאו?</w:t>
      </w:r>
      <w:r w:rsidRPr="00057331">
        <w:rPr>
          <w:rFonts w:cs="Arial" w:hint="cs"/>
          <w:rtl/>
        </w:rPr>
        <w:t xml:space="preserve"> </w:t>
      </w:r>
      <w:r w:rsidRPr="00057331">
        <w:rPr>
          <w:rFonts w:cs="Arial"/>
          <w:rtl/>
        </w:rPr>
        <w:t>תשובה</w:t>
      </w:r>
      <w:r w:rsidRPr="00057331">
        <w:rPr>
          <w:rFonts w:cs="Arial" w:hint="cs"/>
          <w:rtl/>
        </w:rPr>
        <w:t>.</w:t>
      </w:r>
      <w:r w:rsidRPr="00057331">
        <w:rPr>
          <w:rFonts w:cs="Arial"/>
          <w:rtl/>
        </w:rPr>
        <w:t xml:space="preserve"> יראה דאין לנו תקנה מבוררת, אבל יש תקנה לסמוך עליה בשעת הדחק, כגון שבררו את כל הכרי יפה מכל החיטים הנקובים מחמת התולעים, דבהנהו איכא למיחש שמא עדיין איכא התולעים בהן שפירשו כבר לאויר העולם וחזרו, דהכי כתב ראב"ן וכן ראבי"ה בשם רבינו יואל, דחיישינן הכי בפירות וכן בקטניות פולין ועדשים, מסתמא ה"ה בחיטים דמ"ש. ואע</w:t>
      </w:r>
      <w:r>
        <w:rPr>
          <w:rFonts w:cs="Arial" w:hint="cs"/>
          <w:rtl/>
        </w:rPr>
        <w:t>"</w:t>
      </w:r>
      <w:r w:rsidRPr="00057331">
        <w:rPr>
          <w:rFonts w:cs="Arial"/>
          <w:rtl/>
        </w:rPr>
        <w:t>ג דאיכא כמה גאונים דכתבו להתיר ולא חיישו בהכי, מ"מ בשל תורה הלך אחר המחמיר. וכ"ת המחמירים נמי לא כתבו דחיישינן אלא היכא דנמצאו תולעים בפנינו, אבל לחוש כולי האי שמא יש מתולעים, ועוד חשש שמא אותם התולעים כבר פירשו מהן וחזרו, נימא דלא חיישינן כ"כ? י"ל הואיל ואיכא ריעותא לפנינו, שהרי רחשו הרבה תולעים מהן על פני השמש וגם אח"כ מצאו בהן תולעים הך חששא דאין בהן מתולעים כמאן דליתא הוא, ולא מיקרי חששא אלא כמו ספק הרגיל דמוציא מידי ודאי. ואדרבה היה נראה להחמיר דאפי' על ידי ברירה לא נתיר, דקשה הדבר מאוד לברור כרי גדול בדקדוק. אלא שמעתי דמקילים בדבר ותולים ההיתר בחד מרבוותא שהתיר בכה"ג, מטעם שאין דרך כלל שיטחנו התולעים כי כאשר שופכים החיטים בתוך האפרכסת כל תולעים שיש נקב לפניהם שיכולים לצאת רוחשים ובורחים לחוץ דרך דופני האפרכסת מפני קול ונדנוד הריחים. וכן אומרים כל הנכרים הטוחנים שאפי' אם יפלו זבובים או יתושים על אבן הריחים אינם טוחנים כלל אלא ממנו רוחשים חיין. ונראין דאף את"ל דאין דבר זה ברור, מ"מ אין להחמיר שאף אם יטחנו התולעים בטלים בששים בתוך הקמח, ואין זה מבטל איסור לכתחילה כיון דספק הוא אם יתערב שום איסור כלל, וגם אינו מכוין לבטל</w:t>
      </w:r>
      <w:r w:rsidRPr="003024E5">
        <w:rPr>
          <w:rStyle w:val="a7"/>
          <w:rFonts w:asciiTheme="minorBidi" w:hAnsiTheme="minorBidi"/>
          <w:rtl/>
        </w:rPr>
        <w:footnoteReference w:id="979"/>
      </w:r>
      <w:r w:rsidRPr="00057331">
        <w:rPr>
          <w:rFonts w:cs="Arial"/>
          <w:rtl/>
        </w:rPr>
        <w:t>, וכה"ג כתב א"ח בהלכות פסח</w:t>
      </w:r>
      <w:r>
        <w:rPr>
          <w:rFonts w:cs="Arial" w:hint="cs"/>
          <w:rtl/>
        </w:rPr>
        <w:t>..</w:t>
      </w:r>
      <w:r w:rsidRPr="00057331">
        <w:rPr>
          <w:rFonts w:cs="Arial"/>
          <w:rtl/>
        </w:rPr>
        <w:t>. אפס נראה שצריך לרקד הקמח לאור היום כדי לראות יפה אם נפלו בקמח תולעים שמתו מהבל ואבק הקמח בריחים.</w:t>
      </w:r>
      <w:r>
        <w:rPr>
          <w:rFonts w:cs="Arial" w:hint="cs"/>
          <w:rtl/>
        </w:rPr>
        <w:t xml:space="preserve"> </w:t>
      </w:r>
      <w:r w:rsidRPr="00057331">
        <w:rPr>
          <w:rFonts w:cs="Arial" w:hint="cs"/>
          <w:color w:val="E36C0A" w:themeColor="accent6" w:themeShade="BF"/>
          <w:rtl/>
        </w:rPr>
        <w:t>(וכ"פ בשו"ע)</w:t>
      </w:r>
    </w:p>
    <w:p w14:paraId="788928EE" w14:textId="77777777" w:rsidR="002C39F4" w:rsidRPr="00057331" w:rsidRDefault="002C39F4" w:rsidP="002C39F4">
      <w:pPr>
        <w:pStyle w:val="a8"/>
        <w:numPr>
          <w:ilvl w:val="0"/>
          <w:numId w:val="85"/>
        </w:numPr>
        <w:rPr>
          <w:rtl/>
        </w:rPr>
      </w:pPr>
      <w:r w:rsidRPr="005C6730">
        <w:rPr>
          <w:rFonts w:asciiTheme="minorBidi" w:hAnsiTheme="minorBidi"/>
          <w:rtl/>
        </w:rPr>
        <w:t xml:space="preserve">הגשע"ד </w:t>
      </w:r>
      <w:r w:rsidRPr="005C6730">
        <w:rPr>
          <w:rFonts w:asciiTheme="minorBidi" w:hAnsiTheme="minorBidi"/>
          <w:sz w:val="16"/>
          <w:szCs w:val="16"/>
          <w:rtl/>
        </w:rPr>
        <w:t>(</w:t>
      </w:r>
      <w:r>
        <w:rPr>
          <w:rFonts w:asciiTheme="minorBidi" w:hAnsiTheme="minorBidi" w:hint="cs"/>
          <w:sz w:val="16"/>
          <w:szCs w:val="16"/>
          <w:rtl/>
        </w:rPr>
        <w:t>ה</w:t>
      </w:r>
      <w:r w:rsidRPr="005C6730">
        <w:rPr>
          <w:rFonts w:asciiTheme="minorBidi" w:hAnsiTheme="minorBidi"/>
          <w:sz w:val="16"/>
          <w:szCs w:val="16"/>
          <w:rtl/>
        </w:rPr>
        <w:t>ביאו ב"י)</w:t>
      </w:r>
      <w:r w:rsidRPr="005C6730">
        <w:rPr>
          <w:rFonts w:asciiTheme="minorBidi" w:hAnsiTheme="minorBidi"/>
          <w:rtl/>
        </w:rPr>
        <w:t xml:space="preserve">- שמעתי שאבא מרי עשה מעשה כן שהתליעו חטים וצוה להוליכם לנהר דונאי ולהשליכן בו ולא רצה להתיר למכרם לעכו"ם פן יאפה פת וימכרנו לישראל, תשובת הר' חיים כהן </w:t>
      </w:r>
      <w:r w:rsidRPr="005C6730">
        <w:rPr>
          <w:rFonts w:asciiTheme="minorBidi" w:hAnsiTheme="minorBidi"/>
          <w:sz w:val="16"/>
          <w:szCs w:val="16"/>
          <w:rtl/>
        </w:rPr>
        <w:t>{לפנינו מהר"ח או"ז}</w:t>
      </w:r>
      <w:r w:rsidRPr="003024E5">
        <w:rPr>
          <w:rStyle w:val="a7"/>
          <w:rFonts w:asciiTheme="minorBidi" w:hAnsiTheme="minorBidi"/>
          <w:rtl/>
        </w:rPr>
        <w:footnoteReference w:id="980"/>
      </w:r>
      <w:r>
        <w:rPr>
          <w:rFonts w:hint="cs"/>
          <w:rtl/>
        </w:rPr>
        <w:t>.</w:t>
      </w:r>
    </w:p>
    <w:p w14:paraId="40F42A3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203A431" w14:textId="77777777" w:rsidR="002C39F4" w:rsidRPr="003024E5" w:rsidRDefault="002C39F4" w:rsidP="002C39F4">
      <w:pPr>
        <w:rPr>
          <w:rFonts w:asciiTheme="minorBidi" w:hAnsiTheme="minorBidi"/>
          <w:rtl/>
        </w:rPr>
      </w:pPr>
      <w:r w:rsidRPr="003024E5">
        <w:rPr>
          <w:rFonts w:asciiTheme="minorBidi" w:hAnsiTheme="minorBidi"/>
          <w:rtl/>
        </w:rPr>
        <w:t>חיטים מתולעים מותר לטחנן והוא שירקד הקמח לאור היום.</w:t>
      </w:r>
      <w:r w:rsidRPr="003024E5">
        <w:rPr>
          <w:rFonts w:asciiTheme="minorBidi" w:hAnsiTheme="minorBidi"/>
          <w:sz w:val="18"/>
          <w:szCs w:val="18"/>
          <w:rtl/>
        </w:rPr>
        <w:t xml:space="preserve"> [הגה] וכל תולעת שיראה שם יזרקנו והשאר מותר</w:t>
      </w:r>
      <w:r w:rsidRPr="003024E5">
        <w:rPr>
          <w:rStyle w:val="a7"/>
          <w:rFonts w:asciiTheme="minorBidi" w:hAnsiTheme="minorBidi"/>
          <w:sz w:val="18"/>
          <w:szCs w:val="18"/>
          <w:rtl/>
        </w:rPr>
        <w:footnoteReference w:id="981"/>
      </w:r>
      <w:r w:rsidRPr="003024E5">
        <w:rPr>
          <w:rFonts w:asciiTheme="minorBidi" w:hAnsiTheme="minorBidi"/>
          <w:sz w:val="18"/>
          <w:szCs w:val="18"/>
          <w:rtl/>
        </w:rPr>
        <w:t xml:space="preserve"> </w:t>
      </w:r>
      <w:r w:rsidRPr="003024E5">
        <w:rPr>
          <w:rFonts w:asciiTheme="minorBidi" w:hAnsiTheme="minorBidi"/>
          <w:sz w:val="14"/>
          <w:szCs w:val="14"/>
          <w:rtl/>
        </w:rPr>
        <w:t>(תרוה"ד סי' קעא)</w:t>
      </w:r>
      <w:r w:rsidRPr="003024E5">
        <w:rPr>
          <w:rFonts w:asciiTheme="minorBidi" w:hAnsiTheme="minorBidi"/>
          <w:rtl/>
        </w:rPr>
        <w:t xml:space="preserve">. </w:t>
      </w:r>
    </w:p>
    <w:p w14:paraId="10BED873" w14:textId="77777777" w:rsidR="002C39F4" w:rsidRPr="003024E5" w:rsidRDefault="002C39F4" w:rsidP="002C39F4">
      <w:pPr>
        <w:rPr>
          <w:rFonts w:asciiTheme="minorBidi" w:hAnsiTheme="minorBidi"/>
          <w:rtl/>
        </w:rPr>
      </w:pPr>
    </w:p>
    <w:p w14:paraId="048275F1" w14:textId="77777777" w:rsidR="002C39F4" w:rsidRPr="003024E5" w:rsidRDefault="002C39F4" w:rsidP="002C39F4">
      <w:pPr>
        <w:pStyle w:val="2"/>
        <w:rPr>
          <w:rFonts w:asciiTheme="minorBidi" w:hAnsiTheme="minorBidi"/>
          <w:rtl/>
        </w:rPr>
      </w:pPr>
      <w:r w:rsidRPr="003024E5">
        <w:rPr>
          <w:rFonts w:asciiTheme="minorBidi" w:hAnsiTheme="minorBidi"/>
          <w:rtl/>
        </w:rPr>
        <w:t>סעיף טו: עופות הגדלים באילן ותלויים בו בחרטומיהן.</w:t>
      </w:r>
    </w:p>
    <w:p w14:paraId="1BF360F1" w14:textId="77777777" w:rsidR="002C39F4" w:rsidRPr="003024E5" w:rsidRDefault="002C39F4" w:rsidP="002C39F4">
      <w:pPr>
        <w:rPr>
          <w:rFonts w:asciiTheme="minorBidi" w:hAnsiTheme="minorBidi"/>
          <w:u w:val="single"/>
          <w:rtl/>
        </w:rPr>
      </w:pPr>
      <w:r w:rsidRPr="003024E5">
        <w:rPr>
          <w:rFonts w:asciiTheme="minorBidi" w:hAnsiTheme="minorBidi"/>
          <w:u w:val="single"/>
          <w:rtl/>
        </w:rPr>
        <w:t>עופות הגדלים באילן:</w:t>
      </w:r>
    </w:p>
    <w:p w14:paraId="62DAAE7A" w14:textId="77777777" w:rsidR="002C39F4" w:rsidRPr="003024E5" w:rsidRDefault="002C39F4" w:rsidP="002C39F4">
      <w:pPr>
        <w:pStyle w:val="a8"/>
        <w:numPr>
          <w:ilvl w:val="0"/>
          <w:numId w:val="85"/>
        </w:numPr>
        <w:rPr>
          <w:rFonts w:asciiTheme="minorBidi" w:hAnsiTheme="minorBidi"/>
          <w:rtl/>
        </w:rPr>
      </w:pPr>
      <w:r w:rsidRPr="003024E5">
        <w:rPr>
          <w:rFonts w:asciiTheme="minorBidi" w:hAnsiTheme="minorBidi"/>
          <w:rtl/>
        </w:rPr>
        <w:t xml:space="preserve">סמ"ק </w:t>
      </w:r>
      <w:r w:rsidRPr="003024E5">
        <w:rPr>
          <w:rFonts w:asciiTheme="minorBidi" w:hAnsiTheme="minorBidi"/>
          <w:sz w:val="16"/>
          <w:szCs w:val="16"/>
          <w:rtl/>
        </w:rPr>
        <w:t xml:space="preserve">(סי' רי) </w:t>
      </w:r>
      <w:r w:rsidRPr="003024E5">
        <w:rPr>
          <w:rFonts w:asciiTheme="minorBidi" w:hAnsiTheme="minorBidi"/>
          <w:rtl/>
        </w:rPr>
        <w:t>טור ו</w:t>
      </w: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נו דין יט)</w:t>
      </w:r>
      <w:r w:rsidRPr="003024E5">
        <w:rPr>
          <w:rFonts w:asciiTheme="minorBidi" w:hAnsiTheme="minorBidi"/>
          <w:rtl/>
        </w:rPr>
        <w:t xml:space="preserve">- אותם עופות שגדלים מן האילנות ודבוקים באילן בחרטום שלהם ר"י היה אוסרם משום שרץ העוף, וכן מורי רבינו יחיאל היה אוסרם </w:t>
      </w:r>
      <w:r w:rsidRPr="003024E5">
        <w:rPr>
          <w:rFonts w:asciiTheme="minorBidi" w:hAnsiTheme="minorBidi"/>
          <w:sz w:val="16"/>
          <w:szCs w:val="16"/>
          <w:rtl/>
        </w:rPr>
        <w:t>(ל' הסמ"ק)</w:t>
      </w:r>
      <w:r w:rsidRPr="003024E5">
        <w:rPr>
          <w:rFonts w:asciiTheme="minorBidi" w:hAnsiTheme="minorBidi"/>
          <w:rtl/>
        </w:rPr>
        <w:t xml:space="preserve">. </w:t>
      </w:r>
      <w:r w:rsidRPr="003024E5">
        <w:rPr>
          <w:rFonts w:asciiTheme="minorBidi" w:hAnsiTheme="minorBidi"/>
          <w:color w:val="E36C0A" w:themeColor="accent6" w:themeShade="BF"/>
          <w:rtl/>
        </w:rPr>
        <w:t>(וכ"פ בשו"ע</w:t>
      </w:r>
      <w:r w:rsidRPr="003024E5">
        <w:rPr>
          <w:rStyle w:val="a7"/>
          <w:rFonts w:asciiTheme="minorBidi" w:hAnsiTheme="minorBidi"/>
          <w:rtl/>
        </w:rPr>
        <w:footnoteReference w:id="982"/>
      </w:r>
      <w:r w:rsidRPr="003024E5">
        <w:rPr>
          <w:rFonts w:asciiTheme="minorBidi" w:hAnsiTheme="minorBidi"/>
          <w:color w:val="E36C0A" w:themeColor="accent6" w:themeShade="BF"/>
          <w:rtl/>
        </w:rPr>
        <w:t>)</w:t>
      </w:r>
    </w:p>
    <w:p w14:paraId="7A646F9C" w14:textId="77777777" w:rsidR="002C39F4" w:rsidRPr="003024E5" w:rsidRDefault="002C39F4" w:rsidP="002C39F4">
      <w:pPr>
        <w:pStyle w:val="a8"/>
        <w:numPr>
          <w:ilvl w:val="0"/>
          <w:numId w:val="85"/>
        </w:numPr>
        <w:rPr>
          <w:rFonts w:asciiTheme="minorBidi" w:hAnsiTheme="minorBidi"/>
          <w:rtl/>
        </w:rPr>
      </w:pPr>
      <w:r w:rsidRPr="003024E5">
        <w:rPr>
          <w:rFonts w:asciiTheme="minorBidi" w:hAnsiTheme="minorBidi"/>
          <w:rtl/>
        </w:rPr>
        <w:t xml:space="preserve">מרדכי </w:t>
      </w:r>
      <w:r w:rsidRPr="003024E5">
        <w:rPr>
          <w:rFonts w:asciiTheme="minorBidi" w:hAnsiTheme="minorBidi"/>
          <w:sz w:val="16"/>
          <w:szCs w:val="16"/>
          <w:rtl/>
        </w:rPr>
        <w:t>(סי' תשלה)</w:t>
      </w:r>
      <w:r w:rsidRPr="003024E5">
        <w:rPr>
          <w:rFonts w:asciiTheme="minorBidi" w:hAnsiTheme="minorBidi"/>
          <w:rtl/>
        </w:rPr>
        <w:t>- י"א שאין טעונים שחיטה לפי שאין פרין ורבין והוי כעץ בעלמא</w:t>
      </w:r>
      <w:r>
        <w:rPr>
          <w:rFonts w:asciiTheme="minorBidi" w:hAnsiTheme="minorBidi" w:hint="cs"/>
          <w:rtl/>
        </w:rPr>
        <w:t>.</w:t>
      </w:r>
      <w:r w:rsidRPr="003024E5">
        <w:rPr>
          <w:rFonts w:asciiTheme="minorBidi" w:hAnsiTheme="minorBidi"/>
          <w:rtl/>
        </w:rPr>
        <w:t xml:space="preserve"> ואמר רבינו יהודה ששמע מאביו שר"ת הצריכן שחיטה, וכן אמר לי רבינו יהודה הלכה למעשה שיש לשוחטן, והביא ראיה מפרק העור והרוטב עכבר שחציו אדמה וחציו בשר הנוגע בבשר טמא ובאדמה טהור</w:t>
      </w:r>
      <w:r>
        <w:rPr>
          <w:rFonts w:asciiTheme="minorBidi" w:hAnsiTheme="minorBidi" w:hint="cs"/>
          <w:rtl/>
        </w:rPr>
        <w:t>,</w:t>
      </w:r>
      <w:r w:rsidRPr="003024E5">
        <w:rPr>
          <w:rFonts w:asciiTheme="minorBidi" w:hAnsiTheme="minorBidi"/>
          <w:rtl/>
        </w:rPr>
        <w:t xml:space="preserve"> ובגמ' תניא מתוך שנאמר עכבר שומע אני עכבר שבים כו' עד אביא עכבר שחציו בשר וחציו אדמה שאין פרה ורבה ת"ל בשרץ, פירוש לרבות אע"פ שאינו פרה ורבה, הרי לך דאע"ג שאינו פרה ורבה הרי הוא ככל שאר שרצים ומטמאים, ה"נ אלו עופות אע"פ שאינן פרים ורבים אפ"ה הוה בכלל שאר עופות שפרין ורבין וטעונין שחיטה. (וכ"פ רש"ל</w:t>
      </w:r>
      <w:r w:rsidRPr="003024E5">
        <w:rPr>
          <w:rFonts w:asciiTheme="minorBidi" w:hAnsiTheme="minorBidi"/>
          <w:sz w:val="16"/>
          <w:szCs w:val="16"/>
          <w:rtl/>
        </w:rPr>
        <w:t xml:space="preserve"> [פהעו"ה סי' ט]</w:t>
      </w:r>
      <w:r w:rsidRPr="003024E5">
        <w:rPr>
          <w:rFonts w:asciiTheme="minorBidi" w:hAnsiTheme="minorBidi"/>
          <w:rtl/>
        </w:rPr>
        <w:t>)</w:t>
      </w:r>
    </w:p>
    <w:p w14:paraId="7A1AA61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B6281EA" w14:textId="77777777" w:rsidR="002C39F4" w:rsidRPr="003024E5" w:rsidRDefault="002C39F4" w:rsidP="002C39F4">
      <w:pPr>
        <w:rPr>
          <w:rFonts w:asciiTheme="minorBidi" w:hAnsiTheme="minorBidi"/>
          <w:rtl/>
        </w:rPr>
      </w:pPr>
      <w:r w:rsidRPr="003024E5">
        <w:rPr>
          <w:rFonts w:asciiTheme="minorBidi" w:hAnsiTheme="minorBidi"/>
          <w:rtl/>
        </w:rPr>
        <w:t xml:space="preserve">מיני עופות הגדלים באילן ותלויים באילן בחרטומיהן, אסורים משום שרץ השורץ על הארץ </w:t>
      </w:r>
      <w:r w:rsidRPr="003024E5">
        <w:rPr>
          <w:rFonts w:asciiTheme="minorBidi" w:hAnsiTheme="minorBidi"/>
          <w:sz w:val="14"/>
          <w:szCs w:val="14"/>
          <w:rtl/>
        </w:rPr>
        <w:t>(ויקרא יא, מא, מג)</w:t>
      </w:r>
      <w:r w:rsidRPr="003024E5">
        <w:rPr>
          <w:rFonts w:asciiTheme="minorBidi" w:hAnsiTheme="minorBidi"/>
          <w:rtl/>
        </w:rPr>
        <w:t xml:space="preserve">. </w:t>
      </w:r>
    </w:p>
    <w:p w14:paraId="3D1EEBD0" w14:textId="77777777" w:rsidR="002C39F4" w:rsidRPr="003024E5" w:rsidRDefault="002C39F4" w:rsidP="002C39F4">
      <w:pPr>
        <w:rPr>
          <w:rFonts w:asciiTheme="minorBidi" w:hAnsiTheme="minorBidi"/>
          <w:rtl/>
        </w:rPr>
      </w:pPr>
    </w:p>
    <w:p w14:paraId="66496380" w14:textId="77777777" w:rsidR="002C39F4" w:rsidRPr="003024E5" w:rsidRDefault="002C39F4" w:rsidP="002C39F4">
      <w:pPr>
        <w:pStyle w:val="2"/>
        <w:rPr>
          <w:rFonts w:asciiTheme="minorBidi" w:hAnsiTheme="minorBidi"/>
          <w:rtl/>
        </w:rPr>
      </w:pPr>
      <w:r w:rsidRPr="003024E5">
        <w:rPr>
          <w:rFonts w:asciiTheme="minorBidi" w:hAnsiTheme="minorBidi"/>
          <w:rtl/>
        </w:rPr>
        <w:t>סעיף טז: תולעים בבהמה ובדגים.</w:t>
      </w:r>
    </w:p>
    <w:p w14:paraId="287B16A5"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סז ע"ב: </w:t>
      </w:r>
      <w:r w:rsidRPr="003024E5">
        <w:rPr>
          <w:rFonts w:asciiTheme="minorBidi" w:hAnsiTheme="minorBidi"/>
          <w:u w:val="single"/>
          <w:rtl/>
        </w:rPr>
        <w:t>אמר רב ששת בריה דרב אידי</w:t>
      </w:r>
      <w:r w:rsidRPr="003024E5">
        <w:rPr>
          <w:rFonts w:asciiTheme="minorBidi" w:hAnsiTheme="minorBidi"/>
          <w:rtl/>
        </w:rPr>
        <w:t>: קוקיאני</w:t>
      </w:r>
      <w:r w:rsidRPr="003024E5">
        <w:rPr>
          <w:rStyle w:val="a7"/>
          <w:rFonts w:asciiTheme="minorBidi" w:hAnsiTheme="minorBidi"/>
          <w:rtl/>
        </w:rPr>
        <w:footnoteReference w:id="983"/>
      </w:r>
      <w:r w:rsidRPr="003024E5">
        <w:rPr>
          <w:rFonts w:asciiTheme="minorBidi" w:hAnsiTheme="minorBidi"/>
          <w:rtl/>
        </w:rPr>
        <w:t xml:space="preserve"> אסירי, מאי טעמא - מעלמא אתו</w:t>
      </w:r>
      <w:r w:rsidRPr="003024E5">
        <w:rPr>
          <w:rStyle w:val="a7"/>
          <w:rFonts w:asciiTheme="minorBidi" w:hAnsiTheme="minorBidi"/>
          <w:rtl/>
        </w:rPr>
        <w:footnoteReference w:id="984"/>
      </w:r>
      <w:r w:rsidRPr="003024E5">
        <w:rPr>
          <w:rFonts w:asciiTheme="minorBidi" w:hAnsiTheme="minorBidi"/>
          <w:rtl/>
        </w:rPr>
        <w:t xml:space="preserve">. </w:t>
      </w:r>
      <w:r w:rsidRPr="003024E5">
        <w:rPr>
          <w:rFonts w:asciiTheme="minorBidi" w:hAnsiTheme="minorBidi"/>
          <w:u w:val="single"/>
          <w:rtl/>
        </w:rPr>
        <w:t>מתקיף לה רב אשי</w:t>
      </w:r>
      <w:r w:rsidRPr="003024E5">
        <w:rPr>
          <w:rFonts w:asciiTheme="minorBidi" w:hAnsiTheme="minorBidi"/>
          <w:rtl/>
        </w:rPr>
        <w:t xml:space="preserve">: אי מעלמא אתו לישתכחו דרך בית הריעי! </w:t>
      </w:r>
      <w:r w:rsidRPr="003024E5">
        <w:rPr>
          <w:rFonts w:asciiTheme="minorBidi" w:hAnsiTheme="minorBidi"/>
          <w:u w:val="double"/>
          <w:rtl/>
        </w:rPr>
        <w:t>איכא דאמרי</w:t>
      </w:r>
      <w:r w:rsidRPr="003024E5">
        <w:rPr>
          <w:rFonts w:asciiTheme="minorBidi" w:hAnsiTheme="minorBidi"/>
          <w:rtl/>
        </w:rPr>
        <w:t xml:space="preserve">, </w:t>
      </w:r>
      <w:r w:rsidRPr="003024E5">
        <w:rPr>
          <w:rFonts w:asciiTheme="minorBidi" w:hAnsiTheme="minorBidi"/>
          <w:u w:val="single"/>
          <w:rtl/>
        </w:rPr>
        <w:t>אמר רב שישא בריה דרב אידי</w:t>
      </w:r>
      <w:r w:rsidRPr="003024E5">
        <w:rPr>
          <w:rFonts w:asciiTheme="minorBidi" w:hAnsiTheme="minorBidi"/>
          <w:rtl/>
        </w:rPr>
        <w:t>: קוקיאני שרו, מאי טעמא - מיניה גבלי</w:t>
      </w:r>
      <w:r w:rsidRPr="003024E5">
        <w:rPr>
          <w:rStyle w:val="a7"/>
          <w:rFonts w:asciiTheme="minorBidi" w:hAnsiTheme="minorBidi"/>
          <w:rtl/>
        </w:rPr>
        <w:footnoteReference w:id="985"/>
      </w:r>
      <w:r w:rsidRPr="003024E5">
        <w:rPr>
          <w:rFonts w:asciiTheme="minorBidi" w:hAnsiTheme="minorBidi"/>
          <w:rtl/>
        </w:rPr>
        <w:t xml:space="preserve">. </w:t>
      </w:r>
      <w:r w:rsidRPr="003024E5">
        <w:rPr>
          <w:rFonts w:asciiTheme="minorBidi" w:hAnsiTheme="minorBidi"/>
          <w:u w:val="single"/>
          <w:rtl/>
        </w:rPr>
        <w:t>אמר רב אשי</w:t>
      </w:r>
      <w:r w:rsidRPr="003024E5">
        <w:rPr>
          <w:rFonts w:asciiTheme="minorBidi" w:hAnsiTheme="minorBidi"/>
          <w:rtl/>
        </w:rPr>
        <w:t>: פשיטא, דאי מעלמא קא אתו - לישתכחו דרך בית הריעי! והלכתא: קוקיאני אסירי, מ"ט - מינם ניים ועיילי ליה באוסייה תולעים</w:t>
      </w:r>
      <w:r w:rsidRPr="003024E5">
        <w:rPr>
          <w:rStyle w:val="a7"/>
          <w:rFonts w:asciiTheme="minorBidi" w:hAnsiTheme="minorBidi"/>
          <w:rtl/>
        </w:rPr>
        <w:footnoteReference w:id="986"/>
      </w:r>
      <w:r w:rsidRPr="003024E5">
        <w:rPr>
          <w:rFonts w:asciiTheme="minorBidi" w:hAnsiTheme="minorBidi"/>
          <w:rtl/>
        </w:rPr>
        <w:t>. דרני</w:t>
      </w:r>
      <w:r w:rsidRPr="003024E5">
        <w:rPr>
          <w:rStyle w:val="a7"/>
          <w:rFonts w:asciiTheme="minorBidi" w:hAnsiTheme="minorBidi"/>
          <w:rtl/>
        </w:rPr>
        <w:footnoteReference w:id="987"/>
      </w:r>
      <w:r w:rsidRPr="003024E5">
        <w:rPr>
          <w:rFonts w:asciiTheme="minorBidi" w:hAnsiTheme="minorBidi"/>
          <w:rtl/>
        </w:rPr>
        <w:t xml:space="preserve"> דבשרא - אסירי, דכוורי - שריין</w:t>
      </w:r>
      <w:r w:rsidRPr="003024E5">
        <w:rPr>
          <w:rStyle w:val="a7"/>
          <w:rFonts w:asciiTheme="minorBidi" w:hAnsiTheme="minorBidi"/>
          <w:rtl/>
        </w:rPr>
        <w:footnoteReference w:id="988"/>
      </w:r>
      <w:r w:rsidRPr="003024E5">
        <w:rPr>
          <w:rFonts w:asciiTheme="minorBidi" w:hAnsiTheme="minorBidi"/>
          <w:rtl/>
        </w:rPr>
        <w:t xml:space="preserve">... </w:t>
      </w:r>
      <w:r w:rsidRPr="003024E5">
        <w:rPr>
          <w:rFonts w:asciiTheme="minorBidi" w:hAnsiTheme="minorBidi"/>
          <w:u w:val="single"/>
          <w:rtl/>
        </w:rPr>
        <w:t>א"ל רב משרשיא בריה דרב אחא לרבינא</w:t>
      </w:r>
      <w:r w:rsidRPr="003024E5">
        <w:rPr>
          <w:rFonts w:asciiTheme="minorBidi" w:hAnsiTheme="minorBidi"/>
          <w:rtl/>
        </w:rPr>
        <w:t>: מאי שנא מהא דתניא ואת נבלתם תשקצו</w:t>
      </w:r>
      <w:r>
        <w:rPr>
          <w:rFonts w:asciiTheme="minorBidi" w:hAnsiTheme="minorBidi" w:hint="cs"/>
          <w:rtl/>
        </w:rPr>
        <w:t xml:space="preserve"> </w:t>
      </w:r>
      <w:r w:rsidRPr="003024E5">
        <w:rPr>
          <w:rFonts w:asciiTheme="minorBidi" w:hAnsiTheme="minorBidi"/>
          <w:rtl/>
        </w:rPr>
        <w:t xml:space="preserve">- לרבות את הדרנים שבבהמה? </w:t>
      </w:r>
      <w:r w:rsidRPr="003024E5">
        <w:rPr>
          <w:rFonts w:asciiTheme="minorBidi" w:hAnsiTheme="minorBidi"/>
          <w:u w:val="single"/>
          <w:rtl/>
        </w:rPr>
        <w:t>א"ל</w:t>
      </w:r>
      <w:r w:rsidRPr="003024E5">
        <w:rPr>
          <w:rFonts w:asciiTheme="minorBidi" w:hAnsiTheme="minorBidi"/>
          <w:rtl/>
        </w:rPr>
        <w:t>: הכי השתא, בהמה - בשחיטה הוא דמשתריא</w:t>
      </w:r>
      <w:r w:rsidRPr="003024E5">
        <w:rPr>
          <w:rStyle w:val="a7"/>
          <w:rFonts w:asciiTheme="minorBidi" w:hAnsiTheme="minorBidi"/>
          <w:rtl/>
        </w:rPr>
        <w:footnoteReference w:id="989"/>
      </w:r>
      <w:r w:rsidRPr="003024E5">
        <w:rPr>
          <w:rFonts w:asciiTheme="minorBidi" w:hAnsiTheme="minorBidi"/>
          <w:rtl/>
        </w:rPr>
        <w:t>, והני מדלא קא מהניא להו שחיטה - באיסורייהו קיימן, אבל דגים - באסיפה בעלמא מישתרי, והני כי קא גבלן - בהיתרא קא גבלן.</w:t>
      </w:r>
      <w:r w:rsidRPr="003024E5">
        <w:rPr>
          <w:rFonts w:asciiTheme="minorBidi" w:hAnsiTheme="minorBidi"/>
          <w:sz w:val="16"/>
          <w:szCs w:val="16"/>
          <w:rtl/>
        </w:rPr>
        <w:t xml:space="preserve"> (והסכימו כל הפוסקים שתולעים הגדלים בבהמה מחיים אסירי, בין גדלו במעיה בין גדלו בין עור לבשר. והסכימו לאסור גם התולעים שגדלים במעי הדג</w:t>
      </w:r>
      <w:r w:rsidRPr="003024E5">
        <w:rPr>
          <w:rStyle w:val="a7"/>
          <w:rFonts w:asciiTheme="minorBidi" w:hAnsiTheme="minorBidi"/>
          <w:sz w:val="16"/>
          <w:szCs w:val="16"/>
          <w:rtl/>
        </w:rPr>
        <w:footnoteReference w:id="990"/>
      </w:r>
      <w:r w:rsidRPr="003024E5">
        <w:rPr>
          <w:rFonts w:asciiTheme="minorBidi" w:hAnsiTheme="minorBidi"/>
          <w:sz w:val="16"/>
          <w:szCs w:val="16"/>
          <w:rtl/>
        </w:rPr>
        <w:t>. אך דין התולעים הגדלים בדג בין עור לבשר ובתוך הבשר, וכן התולעים הגדלים בבבהמה לאחר מיתה</w:t>
      </w:r>
      <w:r w:rsidRPr="003024E5">
        <w:rPr>
          <w:rStyle w:val="a7"/>
          <w:rFonts w:asciiTheme="minorBidi" w:hAnsiTheme="minorBidi"/>
          <w:sz w:val="16"/>
          <w:szCs w:val="16"/>
          <w:rtl/>
        </w:rPr>
        <w:footnoteReference w:id="991"/>
      </w:r>
      <w:r w:rsidRPr="003024E5">
        <w:rPr>
          <w:rFonts w:asciiTheme="minorBidi" w:hAnsiTheme="minorBidi"/>
          <w:sz w:val="16"/>
          <w:szCs w:val="16"/>
          <w:rtl/>
        </w:rPr>
        <w:t xml:space="preserve"> יתבאר בסמוך)</w:t>
      </w:r>
    </w:p>
    <w:p w14:paraId="1520760F" w14:textId="77777777" w:rsidR="002C39F4" w:rsidRPr="003024E5" w:rsidRDefault="002C39F4" w:rsidP="002C39F4">
      <w:pPr>
        <w:rPr>
          <w:rFonts w:asciiTheme="minorBidi" w:hAnsiTheme="minorBidi"/>
          <w:u w:val="single"/>
          <w:rtl/>
        </w:rPr>
      </w:pPr>
      <w:r w:rsidRPr="003024E5">
        <w:rPr>
          <w:rFonts w:asciiTheme="minorBidi" w:hAnsiTheme="minorBidi"/>
          <w:u w:val="single"/>
          <w:rtl/>
        </w:rPr>
        <w:t xml:space="preserve">תולעים הגדלים </w:t>
      </w:r>
      <w:r>
        <w:rPr>
          <w:rFonts w:asciiTheme="minorBidi" w:hAnsiTheme="minorBidi" w:hint="cs"/>
          <w:u w:val="single"/>
          <w:rtl/>
        </w:rPr>
        <w:t xml:space="preserve">בדג בתוך הבשר או </w:t>
      </w:r>
      <w:r w:rsidRPr="003024E5">
        <w:rPr>
          <w:rFonts w:asciiTheme="minorBidi" w:hAnsiTheme="minorBidi"/>
          <w:u w:val="single"/>
          <w:rtl/>
        </w:rPr>
        <w:t>בין עור לבשר:</w:t>
      </w:r>
    </w:p>
    <w:p w14:paraId="195DE72E" w14:textId="77777777" w:rsidR="002C39F4" w:rsidRPr="003024E5" w:rsidRDefault="002C39F4" w:rsidP="002C39F4">
      <w:pPr>
        <w:pStyle w:val="a8"/>
        <w:numPr>
          <w:ilvl w:val="0"/>
          <w:numId w:val="86"/>
        </w:numPr>
        <w:rPr>
          <w:rFonts w:asciiTheme="minorBidi" w:hAnsiTheme="minorBidi"/>
        </w:rPr>
      </w:pPr>
      <w:r w:rsidRPr="003024E5">
        <w:rPr>
          <w:rFonts w:asciiTheme="minorBidi" w:hAnsiTheme="minorBidi"/>
          <w:rtl/>
        </w:rPr>
        <w:t xml:space="preserve">רמב"ם </w:t>
      </w:r>
      <w:r w:rsidRPr="003024E5">
        <w:rPr>
          <w:rFonts w:asciiTheme="minorBidi" w:hAnsiTheme="minorBidi"/>
          <w:sz w:val="16"/>
          <w:szCs w:val="16"/>
          <w:rtl/>
        </w:rPr>
        <w:t>(פ"ב הי"ז)</w:t>
      </w:r>
      <w:r w:rsidRPr="003024E5">
        <w:rPr>
          <w:rFonts w:asciiTheme="minorBidi" w:hAnsiTheme="minorBidi"/>
          <w:rtl/>
        </w:rPr>
        <w:t>- תולעת הנמצאת במעי הדגים, ובמוח שבראש הבהמה והנמצאת בבשר, אסורה, אבל דג מליח שהתליע הרי תולעת שבו מותרת שהן כפירות שהתליעו אחר שנעקרו מן הארץ שמותר לאכלן כאחת בתולעת שבתוכן</w:t>
      </w:r>
      <w:r w:rsidRPr="003024E5">
        <w:rPr>
          <w:rStyle w:val="a7"/>
          <w:rFonts w:asciiTheme="minorBidi" w:hAnsiTheme="minorBidi"/>
          <w:rtl/>
        </w:rPr>
        <w:footnoteReference w:id="992"/>
      </w:r>
      <w:r w:rsidRPr="003024E5">
        <w:rPr>
          <w:rFonts w:asciiTheme="minorBidi" w:hAnsiTheme="minorBidi"/>
          <w:rtl/>
        </w:rPr>
        <w:t>.</w:t>
      </w:r>
    </w:p>
    <w:p w14:paraId="427A9F5C" w14:textId="77777777" w:rsidR="002C39F4" w:rsidRPr="003024E5" w:rsidRDefault="002C39F4" w:rsidP="002C39F4">
      <w:pPr>
        <w:pStyle w:val="a8"/>
        <w:numPr>
          <w:ilvl w:val="0"/>
          <w:numId w:val="86"/>
        </w:numPr>
        <w:rPr>
          <w:rFonts w:asciiTheme="minorBidi" w:hAnsiTheme="minorBidi"/>
          <w:rtl/>
        </w:rPr>
      </w:pPr>
      <w:r w:rsidRPr="003024E5">
        <w:rPr>
          <w:rFonts w:asciiTheme="minorBidi" w:hAnsiTheme="minorBidi"/>
          <w:rtl/>
        </w:rPr>
        <w:t>כל הפוסקים- כל תולעים הנמצאים בדגים בין עור לבשר או בתוך הבשר מותרין</w:t>
      </w:r>
      <w:r>
        <w:rPr>
          <w:rFonts w:asciiTheme="minorBidi" w:hAnsiTheme="minorBidi" w:hint="cs"/>
          <w:rtl/>
        </w:rPr>
        <w:t xml:space="preserve"> אפי' מחיים</w:t>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7540697B" w14:textId="77777777" w:rsidR="002C39F4" w:rsidRPr="003024E5" w:rsidRDefault="002C39F4" w:rsidP="002C39F4">
      <w:pPr>
        <w:rPr>
          <w:rFonts w:asciiTheme="minorBidi" w:hAnsiTheme="minorBidi"/>
          <w:u w:val="single"/>
          <w:rtl/>
        </w:rPr>
      </w:pPr>
      <w:r w:rsidRPr="003024E5">
        <w:rPr>
          <w:rFonts w:asciiTheme="minorBidi" w:hAnsiTheme="minorBidi"/>
          <w:u w:val="single"/>
          <w:rtl/>
        </w:rPr>
        <w:t>תולעים הגדלים בגבינה/בדגים/בבשר</w:t>
      </w:r>
      <w:r w:rsidRPr="003024E5">
        <w:rPr>
          <w:rFonts w:asciiTheme="minorBidi" w:hAnsiTheme="minorBidi"/>
          <w:sz w:val="16"/>
          <w:szCs w:val="16"/>
          <w:u w:val="single"/>
          <w:rtl/>
        </w:rPr>
        <w:t xml:space="preserve"> (</w:t>
      </w:r>
      <w:r>
        <w:rPr>
          <w:rFonts w:asciiTheme="minorBidi" w:hAnsiTheme="minorBidi" w:hint="cs"/>
          <w:sz w:val="16"/>
          <w:szCs w:val="16"/>
          <w:u w:val="single"/>
          <w:rtl/>
        </w:rPr>
        <w:t>ל</w:t>
      </w:r>
      <w:r w:rsidRPr="003024E5">
        <w:rPr>
          <w:rFonts w:asciiTheme="minorBidi" w:hAnsiTheme="minorBidi"/>
          <w:sz w:val="16"/>
          <w:szCs w:val="16"/>
          <w:u w:val="single"/>
          <w:rtl/>
        </w:rPr>
        <w:t>אחר שחיטה)</w:t>
      </w:r>
      <w:r w:rsidRPr="003024E5">
        <w:rPr>
          <w:rFonts w:asciiTheme="minorBidi" w:hAnsiTheme="minorBidi"/>
          <w:u w:val="single"/>
          <w:rtl/>
        </w:rPr>
        <w:t>:</w:t>
      </w:r>
    </w:p>
    <w:p w14:paraId="431B8473" w14:textId="77777777" w:rsidR="002C39F4" w:rsidRPr="003024E5" w:rsidRDefault="002C39F4" w:rsidP="002C39F4">
      <w:pPr>
        <w:pStyle w:val="a8"/>
        <w:numPr>
          <w:ilvl w:val="0"/>
          <w:numId w:val="87"/>
        </w:numPr>
        <w:rPr>
          <w:rFonts w:asciiTheme="minorBidi" w:hAnsiTheme="minorBidi"/>
          <w:rtl/>
        </w:rPr>
      </w:pPr>
      <w:r w:rsidRPr="003024E5">
        <w:rPr>
          <w:rFonts w:asciiTheme="minorBidi" w:hAnsiTheme="minorBidi"/>
          <w:rtl/>
        </w:rPr>
        <w:t>סה"ת סמ"ג ורא"ש</w:t>
      </w:r>
      <w:r w:rsidRPr="003024E5">
        <w:rPr>
          <w:rStyle w:val="a7"/>
          <w:rFonts w:asciiTheme="minorBidi" w:hAnsiTheme="minorBidi"/>
          <w:rtl/>
        </w:rPr>
        <w:footnoteReference w:id="993"/>
      </w:r>
      <w:r w:rsidRPr="003024E5">
        <w:rPr>
          <w:rFonts w:asciiTheme="minorBidi" w:hAnsiTheme="minorBidi"/>
          <w:rtl/>
        </w:rPr>
        <w:t>- מותרין כל זמן שלא פירשו</w:t>
      </w:r>
      <w:r>
        <w:rPr>
          <w:rStyle w:val="a7"/>
          <w:rFonts w:asciiTheme="minorBidi" w:hAnsiTheme="minorBidi"/>
          <w:rtl/>
        </w:rPr>
        <w:footnoteReference w:id="994"/>
      </w:r>
      <w:r w:rsidRPr="003024E5">
        <w:rPr>
          <w:rFonts w:asciiTheme="minorBidi" w:hAnsiTheme="minorBidi"/>
          <w:rtl/>
        </w:rPr>
        <w:t>, ותולעים מתים הנמצאים בקערה שנפלו מן הבשר אין לאסור</w:t>
      </w:r>
      <w:r w:rsidRPr="003024E5">
        <w:rPr>
          <w:rStyle w:val="a7"/>
          <w:rFonts w:asciiTheme="minorBidi" w:hAnsiTheme="minorBidi"/>
          <w:rtl/>
        </w:rPr>
        <w:footnoteReference w:id="995"/>
      </w:r>
      <w:r w:rsidRPr="003024E5">
        <w:rPr>
          <w:rFonts w:asciiTheme="minorBidi" w:hAnsiTheme="minorBidi"/>
          <w:rtl/>
        </w:rPr>
        <w:t xml:space="preserve">. </w:t>
      </w:r>
      <w:r w:rsidRPr="003024E5">
        <w:rPr>
          <w:rFonts w:asciiTheme="minorBidi" w:hAnsiTheme="minorBidi"/>
          <w:color w:val="E36C0A" w:themeColor="accent6" w:themeShade="BF"/>
          <w:rtl/>
        </w:rPr>
        <w:t>(וכ"</w:t>
      </w:r>
      <w:r>
        <w:rPr>
          <w:rFonts w:asciiTheme="minorBidi" w:hAnsiTheme="minorBidi" w:hint="cs"/>
          <w:color w:val="E36C0A" w:themeColor="accent6" w:themeShade="BF"/>
          <w:rtl/>
        </w:rPr>
        <w:t>ס</w:t>
      </w:r>
      <w:r w:rsidRPr="003024E5">
        <w:rPr>
          <w:rFonts w:asciiTheme="minorBidi" w:hAnsiTheme="minorBidi"/>
          <w:color w:val="E36C0A" w:themeColor="accent6" w:themeShade="BF"/>
          <w:rtl/>
        </w:rPr>
        <w:t xml:space="preserve"> בשו"ע)</w:t>
      </w:r>
    </w:p>
    <w:p w14:paraId="11B517DB" w14:textId="77777777" w:rsidR="002C39F4" w:rsidRPr="003024E5" w:rsidRDefault="002C39F4" w:rsidP="002C39F4">
      <w:pPr>
        <w:pStyle w:val="a8"/>
        <w:numPr>
          <w:ilvl w:val="0"/>
          <w:numId w:val="87"/>
        </w:numPr>
        <w:rPr>
          <w:rFonts w:asciiTheme="minorBidi" w:hAnsiTheme="minorBidi"/>
          <w:rtl/>
        </w:rPr>
      </w:pPr>
      <w:r w:rsidRPr="003024E5">
        <w:rPr>
          <w:rFonts w:asciiTheme="minorBidi" w:hAnsiTheme="minorBidi"/>
          <w:rtl/>
        </w:rPr>
        <w:t>רשב"ט</w:t>
      </w:r>
      <w:r w:rsidRPr="003024E5">
        <w:rPr>
          <w:rStyle w:val="a7"/>
          <w:rFonts w:asciiTheme="minorBidi" w:hAnsiTheme="minorBidi"/>
          <w:rtl/>
        </w:rPr>
        <w:footnoteReference w:id="996"/>
      </w:r>
      <w:r w:rsidRPr="003024E5">
        <w:rPr>
          <w:rFonts w:asciiTheme="minorBidi" w:hAnsiTheme="minorBidi"/>
          <w:rtl/>
        </w:rPr>
        <w:t>- מותר אפי' אם פירשו לגג הדג/בשר/גבינה דהיינו רביתייהו</w:t>
      </w:r>
      <w:r w:rsidRPr="003024E5">
        <w:rPr>
          <w:rStyle w:val="a7"/>
          <w:rFonts w:asciiTheme="minorBidi" w:hAnsiTheme="minorBidi"/>
          <w:rtl/>
        </w:rPr>
        <w:footnoteReference w:id="997"/>
      </w:r>
      <w:r w:rsidRPr="003024E5">
        <w:rPr>
          <w:rFonts w:asciiTheme="minorBidi" w:hAnsiTheme="minorBidi"/>
          <w:rtl/>
        </w:rPr>
        <w:t>, אבל אם פירשו לגמרי ודאי אסורים</w:t>
      </w:r>
      <w:r w:rsidRPr="003024E5">
        <w:rPr>
          <w:rStyle w:val="a7"/>
          <w:rFonts w:asciiTheme="minorBidi" w:hAnsiTheme="minorBidi"/>
          <w:rtl/>
        </w:rPr>
        <w:footnoteReference w:id="998"/>
      </w:r>
      <w:r w:rsidRPr="003024E5">
        <w:rPr>
          <w:rFonts w:asciiTheme="minorBidi" w:hAnsiTheme="minorBidi"/>
          <w:rtl/>
        </w:rPr>
        <w:t>.</w:t>
      </w:r>
      <w:r>
        <w:rPr>
          <w:rFonts w:asciiTheme="minorBidi" w:hAnsiTheme="minorBidi" w:hint="cs"/>
          <w:rtl/>
        </w:rPr>
        <w:t xml:space="preserve"> </w:t>
      </w:r>
      <w:r w:rsidRPr="00836015">
        <w:rPr>
          <w:rFonts w:asciiTheme="minorBidi" w:hAnsiTheme="minorBidi" w:hint="cs"/>
          <w:color w:val="00B0F0"/>
          <w:rtl/>
        </w:rPr>
        <w:t>(וכ"פ הרמ"א)</w:t>
      </w:r>
    </w:p>
    <w:p w14:paraId="6B60EB7F" w14:textId="77777777" w:rsidR="002C39F4" w:rsidRDefault="002C39F4" w:rsidP="002C39F4">
      <w:pPr>
        <w:pStyle w:val="a8"/>
        <w:numPr>
          <w:ilvl w:val="0"/>
          <w:numId w:val="87"/>
        </w:numPr>
        <w:rPr>
          <w:rFonts w:asciiTheme="minorBidi" w:hAnsiTheme="minorBidi"/>
        </w:rPr>
      </w:pPr>
      <w:r w:rsidRPr="003024E5">
        <w:rPr>
          <w:rFonts w:asciiTheme="minorBidi" w:hAnsiTheme="minorBidi"/>
          <w:rtl/>
        </w:rPr>
        <w:t>ראבי"ה</w:t>
      </w:r>
      <w:r>
        <w:rPr>
          <w:rFonts w:asciiTheme="minorBidi" w:hAnsiTheme="minorBidi" w:hint="cs"/>
          <w:rtl/>
        </w:rPr>
        <w:t xml:space="preserve"> </w:t>
      </w:r>
      <w:r w:rsidRPr="000708B5">
        <w:rPr>
          <w:rFonts w:asciiTheme="minorBidi" w:hAnsiTheme="minorBidi"/>
          <w:sz w:val="16"/>
          <w:szCs w:val="16"/>
          <w:rtl/>
        </w:rPr>
        <w:t>(סי' אלף צג, הביאוהו האו"ז המרדכי וההג"א)</w:t>
      </w:r>
      <w:r w:rsidRPr="003024E5">
        <w:rPr>
          <w:rFonts w:asciiTheme="minorBidi" w:hAnsiTheme="minorBidi"/>
          <w:rtl/>
        </w:rPr>
        <w:t>- קבלתי מאבא מארי</w:t>
      </w:r>
      <w:r w:rsidRPr="003024E5">
        <w:rPr>
          <w:rFonts w:asciiTheme="minorBidi" w:hAnsiTheme="minorBidi"/>
          <w:sz w:val="16"/>
          <w:szCs w:val="16"/>
          <w:rtl/>
        </w:rPr>
        <w:t xml:space="preserve"> {רבינו יואל} </w:t>
      </w:r>
      <w:r w:rsidRPr="003024E5">
        <w:rPr>
          <w:rFonts w:asciiTheme="minorBidi" w:hAnsiTheme="minorBidi"/>
          <w:rtl/>
        </w:rPr>
        <w:t>דתולעים הנמצאים בדגים ובגבינה מותרים, וכן בבשר בהמה</w:t>
      </w:r>
      <w:r w:rsidRPr="003024E5">
        <w:rPr>
          <w:rStyle w:val="a7"/>
          <w:rFonts w:asciiTheme="minorBidi" w:hAnsiTheme="minorBidi"/>
          <w:rtl/>
        </w:rPr>
        <w:footnoteReference w:id="999"/>
      </w:r>
      <w:r w:rsidRPr="003024E5">
        <w:rPr>
          <w:rFonts w:asciiTheme="minorBidi" w:hAnsiTheme="minorBidi"/>
          <w:rtl/>
        </w:rPr>
        <w:t>, ואפילו פירשו לגמרי</w:t>
      </w:r>
      <w:r w:rsidRPr="003024E5">
        <w:rPr>
          <w:rStyle w:val="a7"/>
          <w:rFonts w:asciiTheme="minorBidi" w:hAnsiTheme="minorBidi"/>
          <w:rtl/>
        </w:rPr>
        <w:footnoteReference w:id="1000"/>
      </w:r>
      <w:r w:rsidRPr="003024E5">
        <w:rPr>
          <w:rFonts w:asciiTheme="minorBidi" w:hAnsiTheme="minorBidi"/>
          <w:rtl/>
        </w:rPr>
        <w:t>.</w:t>
      </w:r>
    </w:p>
    <w:p w14:paraId="00375729" w14:textId="77777777" w:rsidR="002C39F4" w:rsidRPr="00327044" w:rsidRDefault="002C39F4" w:rsidP="002C39F4">
      <w:pPr>
        <w:pStyle w:val="a8"/>
        <w:numPr>
          <w:ilvl w:val="0"/>
          <w:numId w:val="87"/>
        </w:numPr>
        <w:rPr>
          <w:rFonts w:asciiTheme="minorBidi" w:hAnsiTheme="minorBidi"/>
        </w:rPr>
      </w:pPr>
      <w:r w:rsidRPr="003024E5">
        <w:rPr>
          <w:rFonts w:asciiTheme="minorBidi" w:hAnsiTheme="minorBidi"/>
          <w:rtl/>
        </w:rPr>
        <w:t xml:space="preserve">רמב"ם </w:t>
      </w:r>
      <w:r w:rsidRPr="003024E5">
        <w:rPr>
          <w:rFonts w:asciiTheme="minorBidi" w:hAnsiTheme="minorBidi"/>
          <w:sz w:val="16"/>
          <w:szCs w:val="16"/>
          <w:rtl/>
        </w:rPr>
        <w:t>(פ"ב הי"ז)</w:t>
      </w:r>
      <w:r w:rsidRPr="003024E5">
        <w:rPr>
          <w:rFonts w:asciiTheme="minorBidi" w:hAnsiTheme="minorBidi"/>
          <w:rtl/>
        </w:rPr>
        <w:t>- תולעת הנמצאת במעי הדגים, ובמוח שבראש הבהמה והנמצאת בבשר, אסורה, אבל דג מליח שהתליע הרי תולעת שבו מותרת שהן כפירות שהתליעו אחר שנעקרו מן הארץ שמותר לאכלן כאחת בתולעת שבתוכן</w:t>
      </w:r>
      <w:r w:rsidRPr="003024E5">
        <w:rPr>
          <w:rStyle w:val="a7"/>
          <w:rFonts w:asciiTheme="minorBidi" w:hAnsiTheme="minorBidi"/>
          <w:rtl/>
        </w:rPr>
        <w:footnoteReference w:id="1001"/>
      </w:r>
      <w:r w:rsidRPr="003024E5">
        <w:rPr>
          <w:rFonts w:asciiTheme="minorBidi" w:hAnsiTheme="minorBidi"/>
          <w:rtl/>
        </w:rPr>
        <w:t>.</w:t>
      </w:r>
    </w:p>
    <w:p w14:paraId="66176249" w14:textId="77777777" w:rsidR="002C39F4" w:rsidRPr="00B506B2" w:rsidRDefault="002C39F4" w:rsidP="002C39F4">
      <w:pPr>
        <w:pStyle w:val="a8"/>
        <w:numPr>
          <w:ilvl w:val="0"/>
          <w:numId w:val="86"/>
        </w:numPr>
        <w:rPr>
          <w:rFonts w:asciiTheme="minorBidi" w:hAnsiTheme="minorBidi"/>
          <w:rtl/>
        </w:rPr>
      </w:pPr>
      <w:r w:rsidRPr="003024E5">
        <w:rPr>
          <w:rFonts w:asciiTheme="minorBidi" w:hAnsiTheme="minorBidi"/>
          <w:rtl/>
        </w:rPr>
        <w:t>ראב"ן</w:t>
      </w:r>
      <w:r w:rsidRPr="003024E5">
        <w:rPr>
          <w:rStyle w:val="a7"/>
          <w:rFonts w:asciiTheme="minorBidi" w:hAnsiTheme="minorBidi"/>
          <w:rtl/>
        </w:rPr>
        <w:footnoteReference w:id="1002"/>
      </w:r>
      <w:r w:rsidRPr="003024E5">
        <w:rPr>
          <w:rFonts w:asciiTheme="minorBidi" w:hAnsiTheme="minorBidi"/>
          <w:rtl/>
        </w:rPr>
        <w:t>- תולעים שבגבינה אסורים.</w:t>
      </w:r>
    </w:p>
    <w:p w14:paraId="2A2272A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69604C8" w14:textId="77777777" w:rsidR="002C39F4" w:rsidRPr="003024E5" w:rsidRDefault="002C39F4" w:rsidP="002C39F4">
      <w:pPr>
        <w:rPr>
          <w:rFonts w:asciiTheme="minorBidi" w:hAnsiTheme="minorBidi"/>
          <w:rtl/>
        </w:rPr>
      </w:pPr>
      <w:r w:rsidRPr="003024E5">
        <w:rPr>
          <w:rFonts w:asciiTheme="minorBidi" w:hAnsiTheme="minorBidi"/>
          <w:rtl/>
        </w:rPr>
        <w:t xml:space="preserve">כל תולעים הנמצאים בבהמה בין שהם בין עור לבשר בין שהם במעיה אסורים, והנמצאים בדגים, במעיהם אסורים, בין עור לבשר או בתוך הבשר מותרים. </w:t>
      </w:r>
      <w:r w:rsidRPr="003024E5">
        <w:rPr>
          <w:rFonts w:asciiTheme="minorBidi" w:hAnsiTheme="minorBidi"/>
          <w:sz w:val="18"/>
          <w:szCs w:val="18"/>
          <w:rtl/>
        </w:rPr>
        <w:t>[הגה] ואפילו פירשו קצת וחזרו מותרין</w:t>
      </w:r>
      <w:r w:rsidRPr="003024E5">
        <w:rPr>
          <w:rStyle w:val="a7"/>
          <w:rFonts w:asciiTheme="minorBidi" w:hAnsiTheme="minorBidi"/>
          <w:sz w:val="18"/>
          <w:szCs w:val="18"/>
          <w:rtl/>
        </w:rPr>
        <w:footnoteReference w:id="1003"/>
      </w:r>
      <w:r w:rsidRPr="003024E5">
        <w:rPr>
          <w:rFonts w:asciiTheme="minorBidi" w:hAnsiTheme="minorBidi"/>
          <w:sz w:val="18"/>
          <w:szCs w:val="18"/>
          <w:rtl/>
        </w:rPr>
        <w:t>, כי כן רביתייהו לפרוש קצת ולחזור (הגשע"ד).</w:t>
      </w:r>
      <w:r w:rsidRPr="003024E5">
        <w:rPr>
          <w:rFonts w:asciiTheme="minorBidi" w:hAnsiTheme="minorBidi"/>
          <w:rtl/>
        </w:rPr>
        <w:t xml:space="preserve"> והא דאסרינן דוקא דמחיים, אבל הגדילים בבשר אחר שחיטה או בדגים וגבינה מותרים כל זמן שלא פירשו, הלכך תולעים הנמצאים בקערה שנפלו מן הבשר מותרים לדעת המתירים</w:t>
      </w:r>
      <w:r w:rsidRPr="003024E5">
        <w:rPr>
          <w:rStyle w:val="a7"/>
          <w:rFonts w:asciiTheme="minorBidi" w:hAnsiTheme="minorBidi"/>
          <w:rtl/>
        </w:rPr>
        <w:footnoteReference w:id="1004"/>
      </w:r>
      <w:r w:rsidRPr="003024E5">
        <w:rPr>
          <w:rFonts w:asciiTheme="minorBidi" w:hAnsiTheme="minorBidi"/>
          <w:rtl/>
        </w:rPr>
        <w:t xml:space="preserve"> והוא שפירש מת, ולא חיישינן שמא פירשו מחיים חוץ לחתיכה, דמסתמא אותם שפירשו מחיים נפלו כשהדיחו הבשר, ויש מי שאוסר התולעים המתהוים לאחר שחיטה מכל דבר הטעון שחיטה. </w:t>
      </w:r>
      <w:r w:rsidRPr="003024E5">
        <w:rPr>
          <w:rFonts w:asciiTheme="minorBidi" w:hAnsiTheme="minorBidi"/>
          <w:sz w:val="18"/>
          <w:szCs w:val="18"/>
          <w:rtl/>
        </w:rPr>
        <w:t>הגה: ונהגו להקל כסברא הראשונה (ע"פ מרדכי). עוד נוהגים בתולעים של גבינה לאכלן אע</w:t>
      </w:r>
      <w:r>
        <w:rPr>
          <w:rFonts w:asciiTheme="minorBidi" w:hAnsiTheme="minorBidi" w:hint="cs"/>
          <w:sz w:val="18"/>
          <w:szCs w:val="18"/>
          <w:rtl/>
        </w:rPr>
        <w:t>"</w:t>
      </w:r>
      <w:r w:rsidRPr="003024E5">
        <w:rPr>
          <w:rFonts w:asciiTheme="minorBidi" w:hAnsiTheme="minorBidi"/>
          <w:sz w:val="18"/>
          <w:szCs w:val="18"/>
          <w:rtl/>
        </w:rPr>
        <w:t>פ שקופצין הנה והנה על הגבינה</w:t>
      </w:r>
      <w:r w:rsidRPr="003024E5">
        <w:rPr>
          <w:rStyle w:val="a7"/>
          <w:rFonts w:asciiTheme="minorBidi" w:hAnsiTheme="minorBidi"/>
          <w:sz w:val="18"/>
          <w:szCs w:val="18"/>
          <w:rtl/>
        </w:rPr>
        <w:footnoteReference w:id="1005"/>
      </w:r>
      <w:r w:rsidRPr="003024E5">
        <w:rPr>
          <w:rFonts w:asciiTheme="minorBidi" w:hAnsiTheme="minorBidi"/>
          <w:sz w:val="18"/>
          <w:szCs w:val="18"/>
          <w:rtl/>
        </w:rPr>
        <w:t>, אבל אם פירשו לגמרי אוסרים אותן</w:t>
      </w:r>
      <w:r>
        <w:rPr>
          <w:rStyle w:val="a7"/>
          <w:rFonts w:asciiTheme="minorBidi" w:hAnsiTheme="minorBidi"/>
          <w:sz w:val="18"/>
          <w:szCs w:val="18"/>
          <w:rtl/>
        </w:rPr>
        <w:footnoteReference w:id="1006"/>
      </w:r>
      <w:r w:rsidRPr="003024E5">
        <w:rPr>
          <w:rFonts w:asciiTheme="minorBidi" w:hAnsiTheme="minorBidi"/>
          <w:sz w:val="18"/>
          <w:szCs w:val="18"/>
          <w:rtl/>
        </w:rPr>
        <w:t>. מיהו אם נתערבו בשאר מאכל ולא יכולין להסירן משם אין אוסרין המאכל</w:t>
      </w:r>
      <w:r w:rsidRPr="003024E5">
        <w:rPr>
          <w:rStyle w:val="a7"/>
          <w:rFonts w:asciiTheme="minorBidi" w:hAnsiTheme="minorBidi"/>
          <w:sz w:val="18"/>
          <w:szCs w:val="18"/>
          <w:rtl/>
        </w:rPr>
        <w:footnoteReference w:id="1007"/>
      </w:r>
      <w:r w:rsidRPr="003024E5">
        <w:rPr>
          <w:rFonts w:asciiTheme="minorBidi" w:hAnsiTheme="minorBidi"/>
          <w:sz w:val="18"/>
          <w:szCs w:val="18"/>
          <w:rtl/>
        </w:rPr>
        <w:t>, כי יש מתירין אותם בכל ענין (או"ה שם), וטוב להחמיר במקום שאין הפסד מרובה</w:t>
      </w:r>
      <w:r w:rsidRPr="003024E5">
        <w:rPr>
          <w:rStyle w:val="a7"/>
          <w:rFonts w:asciiTheme="minorBidi" w:hAnsiTheme="minorBidi"/>
          <w:sz w:val="18"/>
          <w:szCs w:val="18"/>
          <w:rtl/>
        </w:rPr>
        <w:footnoteReference w:id="1008"/>
      </w:r>
      <w:r w:rsidRPr="003024E5">
        <w:rPr>
          <w:rFonts w:asciiTheme="minorBidi" w:hAnsiTheme="minorBidi"/>
          <w:sz w:val="18"/>
          <w:szCs w:val="18"/>
          <w:rtl/>
        </w:rPr>
        <w:t xml:space="preserve"> (עד"מ).</w:t>
      </w:r>
      <w:r w:rsidRPr="003024E5">
        <w:rPr>
          <w:rFonts w:asciiTheme="minorBidi" w:hAnsiTheme="minorBidi"/>
          <w:rtl/>
        </w:rPr>
        <w:t xml:space="preserve"> </w:t>
      </w:r>
    </w:p>
    <w:p w14:paraId="44422D65" w14:textId="77777777" w:rsidR="002C39F4" w:rsidRPr="003024E5" w:rsidRDefault="002C39F4" w:rsidP="002C39F4">
      <w:pPr>
        <w:rPr>
          <w:rFonts w:asciiTheme="minorBidi" w:hAnsiTheme="minorBidi"/>
          <w:rtl/>
        </w:rPr>
      </w:pPr>
    </w:p>
    <w:p w14:paraId="39D45322" w14:textId="77777777" w:rsidR="002C39F4" w:rsidRPr="003024E5" w:rsidRDefault="002C39F4" w:rsidP="002C39F4">
      <w:pPr>
        <w:pStyle w:val="2"/>
        <w:rPr>
          <w:rFonts w:asciiTheme="minorBidi" w:hAnsiTheme="minorBidi"/>
          <w:rtl/>
        </w:rPr>
      </w:pPr>
      <w:r w:rsidRPr="003024E5">
        <w:rPr>
          <w:rFonts w:asciiTheme="minorBidi" w:hAnsiTheme="minorBidi"/>
          <w:rtl/>
        </w:rPr>
        <w:t>סעיף יז: שרץ שרוף.</w:t>
      </w:r>
    </w:p>
    <w:p w14:paraId="2186183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05BE028" w14:textId="77777777" w:rsidR="002C39F4" w:rsidRPr="003024E5" w:rsidRDefault="002C39F4" w:rsidP="002C39F4">
      <w:pPr>
        <w:rPr>
          <w:rFonts w:asciiTheme="minorBidi" w:hAnsiTheme="minorBidi"/>
          <w:rtl/>
        </w:rPr>
      </w:pPr>
      <w:r w:rsidRPr="003024E5">
        <w:rPr>
          <w:rFonts w:asciiTheme="minorBidi" w:hAnsiTheme="minorBidi"/>
          <w:rtl/>
        </w:rPr>
        <w:t>שרץ שרוף מותר לאכלו משום רפואה</w:t>
      </w:r>
      <w:r w:rsidRPr="003024E5">
        <w:rPr>
          <w:rStyle w:val="a7"/>
          <w:rFonts w:asciiTheme="minorBidi" w:hAnsiTheme="minorBidi"/>
          <w:rtl/>
        </w:rPr>
        <w:footnoteReference w:id="1009"/>
      </w:r>
      <w:r w:rsidRPr="003024E5">
        <w:rPr>
          <w:rFonts w:asciiTheme="minorBidi" w:hAnsiTheme="minorBidi"/>
          <w:rtl/>
        </w:rPr>
        <w:t>, דעפרא בעלמא הוא</w:t>
      </w:r>
      <w:r w:rsidRPr="003024E5">
        <w:rPr>
          <w:rStyle w:val="a7"/>
          <w:rFonts w:asciiTheme="minorBidi" w:hAnsiTheme="minorBidi"/>
          <w:rtl/>
        </w:rPr>
        <w:footnoteReference w:id="1010"/>
      </w:r>
      <w:r w:rsidRPr="003024E5">
        <w:rPr>
          <w:rFonts w:asciiTheme="minorBidi" w:hAnsiTheme="minorBidi"/>
          <w:rtl/>
        </w:rPr>
        <w:t>.</w:t>
      </w:r>
      <w:r w:rsidRPr="003024E5">
        <w:rPr>
          <w:rFonts w:asciiTheme="minorBidi" w:hAnsiTheme="minorBidi"/>
          <w:sz w:val="16"/>
          <w:szCs w:val="16"/>
          <w:rtl/>
        </w:rPr>
        <w:t xml:space="preserve">  {א"ח </w:t>
      </w:r>
      <w:r w:rsidRPr="003024E5">
        <w:rPr>
          <w:rFonts w:asciiTheme="minorBidi" w:hAnsiTheme="minorBidi"/>
          <w:sz w:val="14"/>
          <w:szCs w:val="14"/>
          <w:rtl/>
        </w:rPr>
        <w:t>[הל</w:t>
      </w:r>
      <w:r>
        <w:rPr>
          <w:rFonts w:asciiTheme="minorBidi" w:hAnsiTheme="minorBidi" w:hint="cs"/>
          <w:sz w:val="14"/>
          <w:szCs w:val="14"/>
          <w:rtl/>
        </w:rPr>
        <w:t xml:space="preserve">א"מ </w:t>
      </w:r>
      <w:r w:rsidRPr="003024E5">
        <w:rPr>
          <w:rFonts w:asciiTheme="minorBidi" w:hAnsiTheme="minorBidi"/>
          <w:sz w:val="14"/>
          <w:szCs w:val="14"/>
          <w:rtl/>
        </w:rPr>
        <w:t>סי' לט ד"ה והאוכל]</w:t>
      </w:r>
      <w:r w:rsidRPr="003024E5">
        <w:rPr>
          <w:rFonts w:asciiTheme="minorBidi" w:hAnsiTheme="minorBidi"/>
          <w:sz w:val="16"/>
          <w:szCs w:val="16"/>
          <w:rtl/>
        </w:rPr>
        <w:t>}</w:t>
      </w:r>
    </w:p>
    <w:p w14:paraId="4FB320C4" w14:textId="77777777" w:rsidR="002C39F4" w:rsidRDefault="002C39F4" w:rsidP="002C39F4">
      <w:pPr>
        <w:rPr>
          <w:rtl/>
        </w:rPr>
      </w:pPr>
    </w:p>
    <w:p w14:paraId="25FCEEEC" w14:textId="77777777" w:rsidR="002C39F4" w:rsidRDefault="002C39F4" w:rsidP="002C39F4"/>
    <w:p w14:paraId="7366A6E7" w14:textId="77777777" w:rsidR="002C39F4" w:rsidRDefault="002C39F4" w:rsidP="002C39F4">
      <w:pPr>
        <w:rPr>
          <w:b/>
          <w:bCs/>
          <w:sz w:val="36"/>
          <w:szCs w:val="36"/>
          <w:u w:val="single"/>
          <w:rtl/>
        </w:rPr>
        <w:sectPr w:rsidR="002C39F4" w:rsidSect="004C5A3C">
          <w:footerReference w:type="default" r:id="rId11"/>
          <w:footnotePr>
            <w:numRestart w:val="eachPage"/>
          </w:footnotePr>
          <w:pgSz w:w="11906" w:h="16838"/>
          <w:pgMar w:top="720" w:right="1134" w:bottom="720" w:left="1134" w:header="0" w:footer="0" w:gutter="0"/>
          <w:cols w:space="720"/>
          <w:bidi/>
          <w:rtlGutter/>
          <w:docGrid w:linePitch="360"/>
        </w:sectPr>
      </w:pPr>
    </w:p>
    <w:p w14:paraId="441DDD96" w14:textId="77777777" w:rsidR="002C39F4" w:rsidRPr="00680C72" w:rsidRDefault="002C39F4" w:rsidP="002C39F4">
      <w:pPr>
        <w:rPr>
          <w:b/>
          <w:bCs/>
          <w:sz w:val="36"/>
          <w:szCs w:val="36"/>
          <w:u w:val="single"/>
          <w:rtl/>
        </w:rPr>
      </w:pPr>
      <w:r>
        <w:rPr>
          <w:rFonts w:hint="cs"/>
          <w:b/>
          <w:bCs/>
          <w:sz w:val="36"/>
          <w:szCs w:val="36"/>
          <w:u w:val="single"/>
          <w:rtl/>
        </w:rPr>
        <w:t>הלכות בשר וחלב:</w:t>
      </w:r>
    </w:p>
    <w:p w14:paraId="48CA8C19"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פז: דין באיזו בשר נוהג דין בשר בחלב, והיאך נקרא בשול, ובו י"א סעיפים. </w:t>
      </w:r>
    </w:p>
    <w:p w14:paraId="1D6D754C" w14:textId="77777777" w:rsidR="002C39F4" w:rsidRPr="003024E5" w:rsidRDefault="002C39F4" w:rsidP="002C39F4">
      <w:pPr>
        <w:pStyle w:val="2"/>
        <w:rPr>
          <w:rFonts w:asciiTheme="minorBidi" w:hAnsiTheme="minorBidi"/>
          <w:rtl/>
        </w:rPr>
      </w:pPr>
      <w:r w:rsidRPr="003024E5">
        <w:rPr>
          <w:rFonts w:asciiTheme="minorBidi" w:hAnsiTheme="minorBidi"/>
          <w:rtl/>
        </w:rPr>
        <w:t>סעיף א: איסור בשר בחלב.</w:t>
      </w:r>
    </w:p>
    <w:p w14:paraId="0B39B2C3" w14:textId="77777777" w:rsidR="002C39F4" w:rsidRDefault="002C39F4" w:rsidP="002C39F4">
      <w:pPr>
        <w:rPr>
          <w:rFonts w:asciiTheme="minorBidi" w:hAnsiTheme="minorBidi"/>
          <w:rtl/>
        </w:rPr>
      </w:pPr>
      <w:r w:rsidRPr="003024E5">
        <w:rPr>
          <w:rFonts w:asciiTheme="minorBidi" w:hAnsiTheme="minorBidi"/>
          <w:b/>
          <w:bCs/>
          <w:rtl/>
        </w:rPr>
        <w:t>שמות פרק כג פסוק יט:</w:t>
      </w:r>
      <w:r w:rsidRPr="003024E5">
        <w:rPr>
          <w:rFonts w:asciiTheme="minorBidi" w:hAnsiTheme="minorBidi"/>
          <w:rtl/>
        </w:rPr>
        <w:t xml:space="preserve"> רֵאשִׁ֗ית בִּכּוּרֵי֙ אַדְמָ֣תְךָ֔ תָּבִ֕יא בֵּ֖ית יְקֹוָ֣ק אֱלֹהֶ֑יךָ לֹֽא־תְבַשֵּׁ֥ל גְּדִ֖י בַּחֲלֵ֥ב אִמּֽוֹ:  </w:t>
      </w:r>
    </w:p>
    <w:p w14:paraId="3F8BA7A0" w14:textId="77777777" w:rsidR="002C39F4" w:rsidRPr="003024E5" w:rsidRDefault="002C39F4" w:rsidP="002C39F4">
      <w:pPr>
        <w:rPr>
          <w:rFonts w:asciiTheme="minorBidi" w:hAnsiTheme="minorBidi"/>
          <w:rtl/>
        </w:rPr>
      </w:pPr>
      <w:r>
        <w:rPr>
          <w:rFonts w:asciiTheme="minorBidi" w:hAnsiTheme="minorBidi" w:hint="cs"/>
          <w:b/>
          <w:bCs/>
          <w:rtl/>
        </w:rPr>
        <w:t xml:space="preserve">שמות </w:t>
      </w:r>
      <w:r w:rsidRPr="003024E5">
        <w:rPr>
          <w:rFonts w:asciiTheme="minorBidi" w:hAnsiTheme="minorBidi"/>
          <w:b/>
          <w:bCs/>
          <w:rtl/>
        </w:rPr>
        <w:t>פרק לד פסוק כו:</w:t>
      </w:r>
      <w:r w:rsidRPr="003024E5">
        <w:rPr>
          <w:rFonts w:asciiTheme="minorBidi" w:hAnsiTheme="minorBidi"/>
          <w:rtl/>
        </w:rPr>
        <w:t xml:space="preserve"> רֵאשִׁ֗ית בִּכּוּרֵי֙ אַדְמָ֣תְךָ֔ תָּבִ֕יא בֵּ֖ית יְקֹוָ֣ק אֱלֹהֶ֑יךָ לֹֽא־תְבַשֵּׁ֥ל גְּדִ֖י בַּחֲלֵ֥ב אִמּֽוֹ:</w:t>
      </w:r>
      <w:r>
        <w:rPr>
          <w:rFonts w:asciiTheme="minorBidi" w:hAnsiTheme="minorBidi" w:hint="cs"/>
          <w:rtl/>
        </w:rPr>
        <w:t xml:space="preserve"> </w:t>
      </w:r>
    </w:p>
    <w:p w14:paraId="6BAA7539" w14:textId="77777777" w:rsidR="002C39F4" w:rsidRPr="003024E5" w:rsidRDefault="002C39F4" w:rsidP="002C39F4">
      <w:pPr>
        <w:rPr>
          <w:rFonts w:asciiTheme="minorBidi" w:hAnsiTheme="minorBidi"/>
          <w:rtl/>
        </w:rPr>
      </w:pPr>
      <w:r w:rsidRPr="003024E5">
        <w:rPr>
          <w:rFonts w:asciiTheme="minorBidi" w:hAnsiTheme="minorBidi"/>
          <w:b/>
          <w:bCs/>
          <w:rtl/>
        </w:rPr>
        <w:t>דברים פרק יד פסוק כא:</w:t>
      </w:r>
      <w:r w:rsidRPr="003024E5">
        <w:rPr>
          <w:rFonts w:asciiTheme="minorBidi" w:hAnsiTheme="minorBidi"/>
          <w:rtl/>
        </w:rPr>
        <w:t xml:space="preserve"> לֹ֣א תֹאכְל֣וּ כָל־נְ֠בֵלָה לַגֵּ֨ר אֲשֶׁר־בִּשְׁעָרֶ֜יךָ תִּתְּנֶ֣נָּה וַאֲכָלָ֗הּ א֤וֹ מָכֹר֙ לְנָכְרִ֔י כִּ֣י עַ֤ם קָדוֹשׁ֙ אַתָּ֔ה לַיקֹוָ֖ק אֱלֹהֶ֑יךָ לֹֽא־תְבַשֵּׁ֥ל גְּדִ֖י בַּחֲלֵ֥ב אִמּֽוֹ:</w:t>
      </w:r>
    </w:p>
    <w:p w14:paraId="055FEC38"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קטו ע"ב: </w:t>
      </w:r>
      <w:r w:rsidRPr="003024E5">
        <w:rPr>
          <w:rFonts w:asciiTheme="minorBidi" w:hAnsiTheme="minorBidi"/>
          <w:u w:val="single"/>
          <w:rtl/>
        </w:rPr>
        <w:t>דבי רבי ישמעאל תנא</w:t>
      </w:r>
      <w:r w:rsidRPr="003024E5">
        <w:rPr>
          <w:rFonts w:asciiTheme="minorBidi" w:hAnsiTheme="minorBidi"/>
          <w:rtl/>
        </w:rPr>
        <w:t>: לא תבשל גדי בחלב אמו ג' פעמים, אחד - לאיסור אכילה, ואחד - לאיסור הנאה, ואחד - לאיסור בשול.</w:t>
      </w:r>
      <w:r>
        <w:rPr>
          <w:rFonts w:asciiTheme="minorBidi" w:hAnsiTheme="minorBidi" w:hint="cs"/>
          <w:rtl/>
        </w:rPr>
        <w:t xml:space="preserve"> </w:t>
      </w:r>
    </w:p>
    <w:p w14:paraId="4BF5D205" w14:textId="77777777" w:rsidR="002C39F4" w:rsidRPr="003024E5" w:rsidRDefault="002C39F4" w:rsidP="002C39F4">
      <w:pPr>
        <w:rPr>
          <w:rFonts w:asciiTheme="minorBidi" w:hAnsiTheme="minorBidi"/>
          <w:u w:val="single"/>
        </w:rPr>
      </w:pPr>
      <w:r w:rsidRPr="003024E5">
        <w:rPr>
          <w:rFonts w:asciiTheme="minorBidi" w:hAnsiTheme="minorBidi"/>
          <w:u w:val="single"/>
          <w:rtl/>
        </w:rPr>
        <w:t>האם בשר בחלב שאסרו חכמים אסור בהנאה:</w:t>
      </w:r>
    </w:p>
    <w:p w14:paraId="3086F411" w14:textId="77777777" w:rsidR="002C39F4" w:rsidRPr="003024E5" w:rsidRDefault="002C39F4" w:rsidP="0032102C">
      <w:pPr>
        <w:pStyle w:val="a8"/>
        <w:numPr>
          <w:ilvl w:val="0"/>
          <w:numId w:val="147"/>
        </w:numPr>
        <w:rPr>
          <w:rFonts w:asciiTheme="minorBidi" w:hAnsiTheme="minorBidi"/>
          <w:rtl/>
        </w:rPr>
      </w:pPr>
      <w:r>
        <w:rPr>
          <w:rFonts w:asciiTheme="minorBidi" w:hAnsiTheme="minorBidi"/>
          <w:rtl/>
        </w:rPr>
        <w:t>הג"א</w:t>
      </w:r>
      <w:r w:rsidRPr="003024E5">
        <w:rPr>
          <w:rFonts w:asciiTheme="minorBidi" w:hAnsiTheme="minorBidi"/>
          <w:rtl/>
        </w:rPr>
        <w:t xml:space="preserve"> </w:t>
      </w:r>
      <w:r>
        <w:rPr>
          <w:rFonts w:asciiTheme="minorBidi" w:hAnsiTheme="minorBidi" w:hint="cs"/>
          <w:rtl/>
        </w:rPr>
        <w:t xml:space="preserve">בשם או"ז </w:t>
      </w:r>
      <w:r w:rsidRPr="003024E5">
        <w:rPr>
          <w:rFonts w:asciiTheme="minorBidi" w:hAnsiTheme="minorBidi"/>
          <w:rtl/>
        </w:rPr>
        <w:t>מרדכי</w:t>
      </w:r>
      <w:r w:rsidRPr="00F540EE">
        <w:rPr>
          <w:rFonts w:cs="Arial"/>
          <w:rtl/>
        </w:rPr>
        <w:t xml:space="preserve"> </w:t>
      </w:r>
      <w:r>
        <w:rPr>
          <w:rFonts w:cs="Arial" w:hint="cs"/>
          <w:rtl/>
        </w:rPr>
        <w:t>ו</w:t>
      </w:r>
      <w:r w:rsidRPr="003B72FA">
        <w:rPr>
          <w:rFonts w:cs="Arial"/>
          <w:rtl/>
        </w:rPr>
        <w:t>אגור</w:t>
      </w:r>
      <w:r w:rsidRPr="003024E5">
        <w:rPr>
          <w:rStyle w:val="a7"/>
          <w:rFonts w:asciiTheme="minorBidi" w:hAnsiTheme="minorBidi"/>
          <w:rtl/>
        </w:rPr>
        <w:footnoteReference w:id="1011"/>
      </w:r>
      <w:r w:rsidRPr="003024E5">
        <w:rPr>
          <w:rFonts w:asciiTheme="minorBidi" w:hAnsiTheme="minorBidi"/>
          <w:rtl/>
        </w:rPr>
        <w:t xml:space="preserve">- </w:t>
      </w:r>
      <w:r w:rsidRPr="00F540EE">
        <w:rPr>
          <w:rFonts w:asciiTheme="minorBidi" w:hAnsiTheme="minorBidi" w:cs="Arial"/>
          <w:rtl/>
        </w:rPr>
        <w:t>יש להסתפק בשר בחלב שאסרו חכמים כגון ששהה בצונן יותר מיום אחד או ע"י מליחה אסרוהו בהנאה או לאו והמתיר בהנאה אין מוחין בידו כל כמה דלא אשכחן ראיה לאיסור</w:t>
      </w:r>
      <w:r>
        <w:rPr>
          <w:rFonts w:asciiTheme="minorBidi" w:hAnsiTheme="minorBidi" w:cs="Arial" w:hint="cs"/>
          <w:sz w:val="16"/>
          <w:szCs w:val="16"/>
          <w:rtl/>
        </w:rPr>
        <w:t xml:space="preserve"> (ל' הג"א)</w:t>
      </w:r>
      <w:r w:rsidRPr="003024E5">
        <w:rPr>
          <w:rFonts w:asciiTheme="minorBidi" w:hAnsiTheme="minorBidi"/>
          <w:rtl/>
        </w:rPr>
        <w:t>.</w:t>
      </w:r>
    </w:p>
    <w:p w14:paraId="444DF961" w14:textId="77777777" w:rsidR="002C39F4" w:rsidRPr="003024E5" w:rsidRDefault="002C39F4" w:rsidP="002C39F4">
      <w:pPr>
        <w:rPr>
          <w:rFonts w:asciiTheme="minorBidi" w:hAnsiTheme="minorBidi"/>
          <w:u w:val="single"/>
          <w:rtl/>
        </w:rPr>
      </w:pPr>
      <w:r w:rsidRPr="003024E5">
        <w:rPr>
          <w:rFonts w:asciiTheme="minorBidi" w:hAnsiTheme="minorBidi"/>
          <w:u w:val="single"/>
          <w:rtl/>
        </w:rPr>
        <w:t>הנאה מבשר עוף שנתבשל עם חלב:</w:t>
      </w:r>
      <w:r w:rsidRPr="003024E5">
        <w:rPr>
          <w:rFonts w:asciiTheme="minorBidi" w:hAnsiTheme="minorBidi"/>
          <w:sz w:val="16"/>
          <w:szCs w:val="16"/>
          <w:rtl/>
        </w:rPr>
        <w:t xml:space="preserve">   (דרכ"מ [אות א])</w:t>
      </w:r>
    </w:p>
    <w:p w14:paraId="7E64E9D5" w14:textId="77777777" w:rsidR="002C39F4" w:rsidRPr="003024E5" w:rsidRDefault="002C39F4" w:rsidP="002C39F4">
      <w:pPr>
        <w:pStyle w:val="a8"/>
        <w:numPr>
          <w:ilvl w:val="0"/>
          <w:numId w:val="86"/>
        </w:numPr>
        <w:rPr>
          <w:rFonts w:asciiTheme="minorBidi" w:hAnsiTheme="minorBidi"/>
          <w:rtl/>
        </w:rPr>
      </w:pPr>
      <w:r w:rsidRPr="003024E5">
        <w:rPr>
          <w:rFonts w:asciiTheme="minorBidi" w:hAnsiTheme="minorBidi"/>
          <w:rtl/>
        </w:rPr>
        <w:t xml:space="preserve">י"א </w:t>
      </w:r>
      <w:r w:rsidRPr="003024E5">
        <w:rPr>
          <w:rFonts w:asciiTheme="minorBidi" w:hAnsiTheme="minorBidi"/>
          <w:sz w:val="16"/>
          <w:szCs w:val="16"/>
          <w:rtl/>
        </w:rPr>
        <w:t>(הביאם הה"מ [מאכ"א פ"ט ה"ד])</w:t>
      </w:r>
      <w:r w:rsidRPr="003024E5">
        <w:rPr>
          <w:rFonts w:asciiTheme="minorBidi" w:hAnsiTheme="minorBidi"/>
          <w:rtl/>
        </w:rPr>
        <w:t xml:space="preserve">- בשר עוף בחלב אסורין בהנאה אע"ג שהוא דרבנן. </w:t>
      </w:r>
    </w:p>
    <w:p w14:paraId="006B8A4B" w14:textId="77777777" w:rsidR="002C39F4" w:rsidRPr="003024E5" w:rsidRDefault="002C39F4" w:rsidP="002C39F4">
      <w:pPr>
        <w:pStyle w:val="a8"/>
        <w:numPr>
          <w:ilvl w:val="0"/>
          <w:numId w:val="86"/>
        </w:numPr>
        <w:rPr>
          <w:rFonts w:asciiTheme="minorBidi" w:hAnsiTheme="minorBidi"/>
          <w:rtl/>
        </w:rPr>
      </w:pPr>
      <w:r w:rsidRPr="003024E5">
        <w:rPr>
          <w:rFonts w:asciiTheme="minorBidi" w:hAnsiTheme="minorBidi"/>
          <w:rtl/>
        </w:rPr>
        <w:t xml:space="preserve">טור </w:t>
      </w:r>
      <w:r w:rsidRPr="003024E5">
        <w:rPr>
          <w:rFonts w:asciiTheme="minorBidi" w:hAnsiTheme="minorBidi"/>
          <w:sz w:val="16"/>
          <w:szCs w:val="16"/>
          <w:rtl/>
        </w:rPr>
        <w:t xml:space="preserve">(עמ' קלח.) </w:t>
      </w:r>
      <w:r w:rsidRPr="003024E5">
        <w:rPr>
          <w:rFonts w:asciiTheme="minorBidi" w:hAnsiTheme="minorBidi"/>
          <w:rtl/>
        </w:rPr>
        <w:t xml:space="preserve">ואו"ה </w:t>
      </w:r>
      <w:r w:rsidRPr="003024E5">
        <w:rPr>
          <w:rFonts w:asciiTheme="minorBidi" w:hAnsiTheme="minorBidi"/>
          <w:sz w:val="16"/>
          <w:szCs w:val="16"/>
          <w:rtl/>
        </w:rPr>
        <w:t>(כלל ל ד</w:t>
      </w:r>
      <w:r>
        <w:rPr>
          <w:rFonts w:asciiTheme="minorBidi" w:hAnsiTheme="minorBidi" w:hint="cs"/>
          <w:sz w:val="16"/>
          <w:szCs w:val="16"/>
          <w:rtl/>
        </w:rPr>
        <w:t>"</w:t>
      </w:r>
      <w:r w:rsidRPr="003024E5">
        <w:rPr>
          <w:rFonts w:asciiTheme="minorBidi" w:hAnsiTheme="minorBidi"/>
          <w:sz w:val="16"/>
          <w:szCs w:val="16"/>
          <w:rtl/>
        </w:rPr>
        <w:t>ה)</w:t>
      </w:r>
      <w:r w:rsidRPr="003024E5">
        <w:rPr>
          <w:rFonts w:asciiTheme="minorBidi" w:hAnsiTheme="minorBidi"/>
          <w:rtl/>
        </w:rPr>
        <w:t>- שרי, שכל דבר שהוא מדרבנן מותר בהנאה.</w:t>
      </w:r>
      <w:r>
        <w:rPr>
          <w:rFonts w:asciiTheme="minorBidi" w:hAnsiTheme="minorBidi" w:hint="cs"/>
          <w:rtl/>
        </w:rPr>
        <w:t xml:space="preserve"> </w:t>
      </w:r>
      <w:r w:rsidRPr="00017783">
        <w:rPr>
          <w:rFonts w:asciiTheme="minorBidi" w:hAnsiTheme="minorBidi" w:hint="cs"/>
          <w:color w:val="E36C0A" w:themeColor="accent6" w:themeShade="BF"/>
          <w:rtl/>
        </w:rPr>
        <w:t>(וכ"פ בשו"ע</w:t>
      </w:r>
      <w:r w:rsidRPr="00017783">
        <w:rPr>
          <w:rFonts w:asciiTheme="minorBidi" w:hAnsiTheme="minorBidi" w:hint="cs"/>
          <w:color w:val="E36C0A" w:themeColor="accent6" w:themeShade="BF"/>
          <w:sz w:val="16"/>
          <w:szCs w:val="16"/>
          <w:rtl/>
        </w:rPr>
        <w:t xml:space="preserve"> </w:t>
      </w:r>
      <w:r>
        <w:rPr>
          <w:rFonts w:asciiTheme="minorBidi" w:hAnsiTheme="minorBidi" w:hint="cs"/>
          <w:sz w:val="16"/>
          <w:szCs w:val="16"/>
          <w:rtl/>
        </w:rPr>
        <w:t>[סע' ג]</w:t>
      </w:r>
      <w:r w:rsidRPr="00017783">
        <w:rPr>
          <w:rFonts w:asciiTheme="minorBidi" w:hAnsiTheme="minorBidi" w:hint="cs"/>
          <w:color w:val="E36C0A" w:themeColor="accent6" w:themeShade="BF"/>
          <w:rtl/>
        </w:rPr>
        <w:t>)</w:t>
      </w:r>
      <w:r w:rsidRPr="003024E5">
        <w:rPr>
          <w:rFonts w:asciiTheme="minorBidi" w:hAnsiTheme="minorBidi"/>
          <w:rtl/>
        </w:rPr>
        <w:t xml:space="preserve"> </w:t>
      </w:r>
      <w:r w:rsidRPr="00017783">
        <w:rPr>
          <w:rFonts w:asciiTheme="minorBidi" w:hAnsiTheme="minorBidi" w:hint="cs"/>
          <w:color w:val="00B0F0"/>
          <w:rtl/>
        </w:rPr>
        <w:t>(וכ"פ הרמ"א)</w:t>
      </w:r>
    </w:p>
    <w:p w14:paraId="38A500B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D1A33EB" w14:textId="77777777" w:rsidR="002C39F4" w:rsidRPr="003024E5" w:rsidRDefault="002C39F4" w:rsidP="002C39F4">
      <w:pPr>
        <w:rPr>
          <w:rFonts w:asciiTheme="minorBidi" w:hAnsiTheme="minorBidi"/>
          <w:rtl/>
        </w:rPr>
      </w:pPr>
      <w:r w:rsidRPr="003024E5">
        <w:rPr>
          <w:rFonts w:asciiTheme="minorBidi" w:hAnsiTheme="minorBidi"/>
          <w:rtl/>
        </w:rPr>
        <w:t>כתוב בתורה לא תבשל גדי בחלב אמו שלשה פעמים, אחד לאיסור בישול ואחד לאיסור אכילה</w:t>
      </w:r>
      <w:r>
        <w:rPr>
          <w:rStyle w:val="a7"/>
          <w:rFonts w:asciiTheme="minorBidi" w:hAnsiTheme="minorBidi"/>
          <w:rtl/>
        </w:rPr>
        <w:footnoteReference w:id="1012"/>
      </w:r>
      <w:r w:rsidRPr="003024E5">
        <w:rPr>
          <w:rFonts w:asciiTheme="minorBidi" w:hAnsiTheme="minorBidi"/>
          <w:rtl/>
        </w:rPr>
        <w:t xml:space="preserve"> ואחד לאיסור הנאה, והוציא אכילה בלשון בישול לומר שאינו אסור מן התורה אלא דרך בישול</w:t>
      </w:r>
      <w:r w:rsidRPr="003024E5">
        <w:rPr>
          <w:rStyle w:val="a7"/>
          <w:rFonts w:asciiTheme="minorBidi" w:hAnsiTheme="minorBidi"/>
          <w:rtl/>
        </w:rPr>
        <w:footnoteReference w:id="1013"/>
      </w:r>
      <w:r w:rsidRPr="003024E5">
        <w:rPr>
          <w:rFonts w:asciiTheme="minorBidi" w:hAnsiTheme="minorBidi"/>
          <w:rtl/>
        </w:rPr>
        <w:t>, אבל מדרבנן אסור בכל ענין</w:t>
      </w:r>
      <w:r w:rsidRPr="003024E5">
        <w:rPr>
          <w:rStyle w:val="a7"/>
          <w:rFonts w:asciiTheme="minorBidi" w:hAnsiTheme="minorBidi"/>
          <w:rtl/>
        </w:rPr>
        <w:footnoteReference w:id="1014"/>
      </w:r>
      <w:r w:rsidRPr="003024E5">
        <w:rPr>
          <w:rFonts w:asciiTheme="minorBidi" w:hAnsiTheme="minorBidi"/>
          <w:rtl/>
        </w:rPr>
        <w:t xml:space="preserve">. </w:t>
      </w:r>
      <w:r w:rsidRPr="003024E5">
        <w:rPr>
          <w:rFonts w:asciiTheme="minorBidi" w:hAnsiTheme="minorBidi"/>
          <w:sz w:val="18"/>
          <w:szCs w:val="18"/>
          <w:rtl/>
        </w:rPr>
        <w:t>[הגה] כל בשר בחלב שאינו אסור מן התורה מותר בהנאה</w:t>
      </w:r>
      <w:r w:rsidRPr="003024E5">
        <w:rPr>
          <w:rStyle w:val="a7"/>
          <w:rFonts w:asciiTheme="minorBidi" w:hAnsiTheme="minorBidi"/>
          <w:sz w:val="18"/>
          <w:szCs w:val="18"/>
          <w:rtl/>
        </w:rPr>
        <w:footnoteReference w:id="1015"/>
      </w:r>
      <w:r w:rsidRPr="003024E5">
        <w:rPr>
          <w:rFonts w:asciiTheme="minorBidi" w:hAnsiTheme="minorBidi"/>
          <w:sz w:val="18"/>
          <w:szCs w:val="18"/>
          <w:rtl/>
        </w:rPr>
        <w:t xml:space="preserve"> (טור וארוך). </w:t>
      </w:r>
    </w:p>
    <w:p w14:paraId="61469AD5" w14:textId="77777777" w:rsidR="002C39F4" w:rsidRPr="00037FEB" w:rsidRDefault="002C39F4" w:rsidP="002C39F4">
      <w:pPr>
        <w:rPr>
          <w:rFonts w:asciiTheme="minorBidi" w:hAnsiTheme="minorBidi"/>
          <w:sz w:val="16"/>
          <w:szCs w:val="16"/>
          <w:rtl/>
        </w:rPr>
      </w:pPr>
      <w:r w:rsidRPr="00037FEB">
        <w:rPr>
          <w:rFonts w:asciiTheme="minorBidi" w:hAnsiTheme="minorBidi" w:hint="cs"/>
          <w:u w:val="single"/>
          <w:rtl/>
        </w:rPr>
        <w:t>האם טיגון בכלל בישול:</w:t>
      </w:r>
      <w:r>
        <w:rPr>
          <w:rFonts w:asciiTheme="minorBidi" w:hAnsiTheme="minorBidi" w:hint="cs"/>
          <w:sz w:val="16"/>
          <w:szCs w:val="16"/>
          <w:rtl/>
        </w:rPr>
        <w:t xml:space="preserve">  (פת"ש סק"ג)</w:t>
      </w:r>
    </w:p>
    <w:p w14:paraId="6CAEBCC3" w14:textId="77777777" w:rsidR="002C39F4" w:rsidRPr="00037FEB" w:rsidRDefault="002C39F4" w:rsidP="0032102C">
      <w:pPr>
        <w:pStyle w:val="a8"/>
        <w:numPr>
          <w:ilvl w:val="0"/>
          <w:numId w:val="172"/>
        </w:numPr>
        <w:rPr>
          <w:rFonts w:asciiTheme="minorBidi" w:hAnsiTheme="minorBidi"/>
        </w:rPr>
      </w:pPr>
      <w:r w:rsidRPr="00037FEB">
        <w:rPr>
          <w:rFonts w:asciiTheme="minorBidi" w:hAnsiTheme="minorBidi" w:cs="Arial"/>
          <w:rtl/>
        </w:rPr>
        <w:t>פר"ח</w:t>
      </w:r>
      <w:r>
        <w:rPr>
          <w:rFonts w:asciiTheme="minorBidi" w:hAnsiTheme="minorBidi" w:cs="Arial" w:hint="cs"/>
          <w:rtl/>
        </w:rPr>
        <w:t xml:space="preserve">- </w:t>
      </w:r>
      <w:r w:rsidRPr="00037FEB">
        <w:rPr>
          <w:rFonts w:asciiTheme="minorBidi" w:hAnsiTheme="minorBidi" w:cs="Arial"/>
          <w:rtl/>
        </w:rPr>
        <w:t>גם טיגון בכלל בישול</w:t>
      </w:r>
      <w:r>
        <w:rPr>
          <w:rFonts w:asciiTheme="minorBidi" w:hAnsiTheme="minorBidi" w:cs="Arial" w:hint="cs"/>
          <w:rtl/>
        </w:rPr>
        <w:t>.</w:t>
      </w:r>
      <w:r w:rsidRPr="00037FEB">
        <w:rPr>
          <w:rFonts w:asciiTheme="minorBidi" w:hAnsiTheme="minorBidi" w:cs="Arial"/>
          <w:rtl/>
        </w:rPr>
        <w:t xml:space="preserve"> </w:t>
      </w:r>
    </w:p>
    <w:p w14:paraId="068C6773" w14:textId="77777777" w:rsidR="002C39F4" w:rsidRPr="00037FEB" w:rsidRDefault="002C39F4" w:rsidP="0032102C">
      <w:pPr>
        <w:pStyle w:val="a8"/>
        <w:numPr>
          <w:ilvl w:val="0"/>
          <w:numId w:val="172"/>
        </w:numPr>
        <w:rPr>
          <w:rFonts w:asciiTheme="minorBidi" w:hAnsiTheme="minorBidi"/>
        </w:rPr>
      </w:pPr>
      <w:r w:rsidRPr="00037FEB">
        <w:rPr>
          <w:rFonts w:asciiTheme="minorBidi" w:hAnsiTheme="minorBidi" w:cs="Arial"/>
          <w:rtl/>
        </w:rPr>
        <w:t xml:space="preserve">מ"י </w:t>
      </w:r>
      <w:r w:rsidRPr="00037FEB">
        <w:rPr>
          <w:rFonts w:asciiTheme="minorBidi" w:hAnsiTheme="minorBidi" w:cs="Arial" w:hint="cs"/>
          <w:sz w:val="16"/>
          <w:szCs w:val="16"/>
          <w:rtl/>
        </w:rPr>
        <w:t>(</w:t>
      </w:r>
      <w:r w:rsidRPr="00037FEB">
        <w:rPr>
          <w:rFonts w:asciiTheme="minorBidi" w:hAnsiTheme="minorBidi" w:cs="Arial"/>
          <w:sz w:val="16"/>
          <w:szCs w:val="16"/>
          <w:rtl/>
        </w:rPr>
        <w:t>בסל"מ כלל פה</w:t>
      </w:r>
      <w:r w:rsidRPr="00037FEB">
        <w:rPr>
          <w:rFonts w:asciiTheme="minorBidi" w:hAnsiTheme="minorBidi" w:cs="Arial" w:hint="cs"/>
          <w:sz w:val="16"/>
          <w:szCs w:val="16"/>
          <w:rtl/>
        </w:rPr>
        <w:t>)</w:t>
      </w:r>
      <w:r w:rsidRPr="00037FEB">
        <w:rPr>
          <w:rFonts w:asciiTheme="minorBidi" w:hAnsiTheme="minorBidi" w:cs="Arial"/>
          <w:sz w:val="16"/>
          <w:szCs w:val="16"/>
          <w:rtl/>
        </w:rPr>
        <w:t xml:space="preserve"> </w:t>
      </w:r>
      <w:r w:rsidRPr="00037FEB">
        <w:rPr>
          <w:rFonts w:asciiTheme="minorBidi" w:hAnsiTheme="minorBidi" w:cs="Arial"/>
          <w:rtl/>
        </w:rPr>
        <w:t xml:space="preserve">ומהר"ם שיף </w:t>
      </w:r>
      <w:r w:rsidRPr="00037FEB">
        <w:rPr>
          <w:rFonts w:asciiTheme="minorBidi" w:hAnsiTheme="minorBidi" w:cs="Arial" w:hint="cs"/>
          <w:sz w:val="16"/>
          <w:szCs w:val="16"/>
          <w:rtl/>
        </w:rPr>
        <w:t>(</w:t>
      </w:r>
      <w:r w:rsidRPr="00037FEB">
        <w:rPr>
          <w:rFonts w:asciiTheme="minorBidi" w:hAnsiTheme="minorBidi" w:cs="Arial"/>
          <w:sz w:val="16"/>
          <w:szCs w:val="16"/>
          <w:rtl/>
        </w:rPr>
        <w:t>בסוף הספר על חולין</w:t>
      </w:r>
      <w:r w:rsidRPr="00037FEB">
        <w:rPr>
          <w:rFonts w:asciiTheme="minorBidi" w:hAnsiTheme="minorBidi" w:cs="Arial" w:hint="cs"/>
          <w:sz w:val="16"/>
          <w:szCs w:val="16"/>
          <w:rtl/>
        </w:rPr>
        <w:t>)</w:t>
      </w:r>
      <w:r>
        <w:rPr>
          <w:rFonts w:asciiTheme="minorBidi" w:hAnsiTheme="minorBidi" w:cs="Arial" w:hint="cs"/>
          <w:rtl/>
        </w:rPr>
        <w:t>-</w:t>
      </w:r>
      <w:r w:rsidRPr="00037FEB">
        <w:rPr>
          <w:rFonts w:asciiTheme="minorBidi" w:hAnsiTheme="minorBidi" w:cs="Arial"/>
          <w:rtl/>
        </w:rPr>
        <w:t xml:space="preserve"> טיגון לא הוי בכלל בישול ואינו אסור בהנאה. </w:t>
      </w:r>
    </w:p>
    <w:p w14:paraId="53695BC0" w14:textId="77777777" w:rsidR="002C39F4" w:rsidRPr="00037FEB" w:rsidRDefault="002C39F4" w:rsidP="0032102C">
      <w:pPr>
        <w:pStyle w:val="a8"/>
        <w:numPr>
          <w:ilvl w:val="0"/>
          <w:numId w:val="172"/>
        </w:numPr>
        <w:rPr>
          <w:rFonts w:asciiTheme="minorBidi" w:hAnsiTheme="minorBidi"/>
        </w:rPr>
      </w:pPr>
      <w:r w:rsidRPr="00037FEB">
        <w:rPr>
          <w:rFonts w:asciiTheme="minorBidi" w:hAnsiTheme="minorBidi" w:cs="Arial"/>
          <w:rtl/>
        </w:rPr>
        <w:t>פמ"ג</w:t>
      </w:r>
      <w:r>
        <w:rPr>
          <w:rFonts w:asciiTheme="minorBidi" w:hAnsiTheme="minorBidi" w:cs="Arial" w:hint="cs"/>
          <w:rtl/>
        </w:rPr>
        <w:t>-</w:t>
      </w:r>
      <w:r w:rsidRPr="00037FEB">
        <w:rPr>
          <w:rFonts w:asciiTheme="minorBidi" w:hAnsiTheme="minorBidi" w:cs="Arial"/>
          <w:rtl/>
        </w:rPr>
        <w:t xml:space="preserve"> בהפ"מ יש להקל. </w:t>
      </w:r>
    </w:p>
    <w:p w14:paraId="0BF1BEB4" w14:textId="77777777" w:rsidR="002C39F4" w:rsidRPr="00037FEB" w:rsidRDefault="002C39F4" w:rsidP="002C39F4">
      <w:pPr>
        <w:rPr>
          <w:rFonts w:asciiTheme="minorBidi" w:hAnsiTheme="minorBidi" w:cs="Arial"/>
          <w:u w:val="single"/>
          <w:rtl/>
        </w:rPr>
      </w:pPr>
      <w:r w:rsidRPr="00037FEB">
        <w:rPr>
          <w:rFonts w:asciiTheme="minorBidi" w:hAnsiTheme="minorBidi" w:cs="Arial" w:hint="cs"/>
          <w:u w:val="single"/>
          <w:rtl/>
        </w:rPr>
        <w:t xml:space="preserve">האם </w:t>
      </w:r>
      <w:r w:rsidRPr="00037FEB">
        <w:rPr>
          <w:rFonts w:asciiTheme="minorBidi" w:hAnsiTheme="minorBidi" w:cs="Arial"/>
          <w:u w:val="single"/>
          <w:rtl/>
        </w:rPr>
        <w:t>חם בחם בלא רוטב</w:t>
      </w:r>
      <w:r w:rsidRPr="00037FEB">
        <w:rPr>
          <w:rFonts w:asciiTheme="minorBidi" w:hAnsiTheme="minorBidi" w:cs="Arial" w:hint="cs"/>
          <w:u w:val="single"/>
          <w:rtl/>
        </w:rPr>
        <w:t xml:space="preserve"> בכלל בישול:</w:t>
      </w:r>
      <w:r>
        <w:rPr>
          <w:rFonts w:asciiTheme="minorBidi" w:hAnsiTheme="minorBidi" w:hint="cs"/>
          <w:sz w:val="16"/>
          <w:szCs w:val="16"/>
          <w:rtl/>
        </w:rPr>
        <w:t xml:space="preserve"> (פת"ש סק"ג)</w:t>
      </w:r>
    </w:p>
    <w:p w14:paraId="542DACB9" w14:textId="77777777" w:rsidR="002C39F4" w:rsidRDefault="002C39F4" w:rsidP="0032102C">
      <w:pPr>
        <w:pStyle w:val="a8"/>
        <w:numPr>
          <w:ilvl w:val="0"/>
          <w:numId w:val="173"/>
        </w:numPr>
        <w:rPr>
          <w:rFonts w:asciiTheme="minorBidi" w:hAnsiTheme="minorBidi"/>
        </w:rPr>
      </w:pPr>
      <w:r w:rsidRPr="00037FEB">
        <w:rPr>
          <w:rFonts w:asciiTheme="minorBidi" w:hAnsiTheme="minorBidi" w:cs="Arial"/>
          <w:rtl/>
        </w:rPr>
        <w:t>פמ"ג</w:t>
      </w:r>
      <w:r w:rsidRPr="00037FEB">
        <w:rPr>
          <w:rFonts w:asciiTheme="minorBidi" w:hAnsiTheme="minorBidi" w:cs="Arial"/>
          <w:sz w:val="16"/>
          <w:szCs w:val="16"/>
          <w:rtl/>
        </w:rPr>
        <w:t xml:space="preserve"> </w:t>
      </w:r>
      <w:r w:rsidRPr="00037FEB">
        <w:rPr>
          <w:rFonts w:asciiTheme="minorBidi" w:hAnsiTheme="minorBidi" w:cs="Arial" w:hint="cs"/>
          <w:sz w:val="16"/>
          <w:szCs w:val="16"/>
          <w:rtl/>
        </w:rPr>
        <w:t>(</w:t>
      </w:r>
      <w:r w:rsidRPr="00037FEB">
        <w:rPr>
          <w:rFonts w:asciiTheme="minorBidi" w:hAnsiTheme="minorBidi" w:cs="Arial"/>
          <w:sz w:val="16"/>
          <w:szCs w:val="16"/>
          <w:rtl/>
        </w:rPr>
        <w:t>בפתיחה</w:t>
      </w:r>
      <w:r w:rsidRPr="00037FEB">
        <w:rPr>
          <w:rFonts w:asciiTheme="minorBidi" w:hAnsiTheme="minorBidi" w:cs="Arial" w:hint="cs"/>
          <w:sz w:val="16"/>
          <w:szCs w:val="16"/>
          <w:rtl/>
        </w:rPr>
        <w:t>)</w:t>
      </w:r>
      <w:r w:rsidRPr="00037FEB">
        <w:rPr>
          <w:rFonts w:asciiTheme="minorBidi" w:hAnsiTheme="minorBidi" w:cs="Arial"/>
          <w:rtl/>
        </w:rPr>
        <w:t xml:space="preserve"> בשם רש"ל</w:t>
      </w:r>
      <w:r>
        <w:rPr>
          <w:rFonts w:asciiTheme="minorBidi" w:hAnsiTheme="minorBidi" w:cs="Arial" w:hint="cs"/>
          <w:rtl/>
        </w:rPr>
        <w:t xml:space="preserve">- </w:t>
      </w:r>
      <w:r w:rsidRPr="00037FEB">
        <w:rPr>
          <w:rFonts w:asciiTheme="minorBidi" w:hAnsiTheme="minorBidi" w:cs="Arial"/>
          <w:rtl/>
        </w:rPr>
        <w:t>לא הוי דרך בישול ומותר בהנאה</w:t>
      </w:r>
      <w:r>
        <w:rPr>
          <w:rStyle w:val="a7"/>
          <w:rFonts w:asciiTheme="minorBidi" w:hAnsiTheme="minorBidi" w:cs="Arial"/>
          <w:rtl/>
        </w:rPr>
        <w:footnoteReference w:id="1016"/>
      </w:r>
      <w:r w:rsidRPr="00037FEB">
        <w:rPr>
          <w:rFonts w:asciiTheme="minorBidi" w:hAnsiTheme="minorBidi" w:cs="Arial"/>
          <w:rtl/>
        </w:rPr>
        <w:t>.</w:t>
      </w:r>
    </w:p>
    <w:p w14:paraId="77480AEC" w14:textId="77777777" w:rsidR="002C39F4" w:rsidRPr="00037FEB" w:rsidRDefault="002C39F4" w:rsidP="002C39F4">
      <w:pPr>
        <w:rPr>
          <w:rFonts w:asciiTheme="minorBidi" w:hAnsiTheme="minorBidi"/>
          <w:sz w:val="16"/>
          <w:szCs w:val="16"/>
        </w:rPr>
      </w:pPr>
      <w:r w:rsidRPr="00037FEB">
        <w:rPr>
          <w:rFonts w:asciiTheme="minorBidi" w:hAnsiTheme="minorBidi" w:hint="cs"/>
          <w:u w:val="single"/>
          <w:rtl/>
        </w:rPr>
        <w:t>הדלקת נרות מחמאה שנתבשלה בקדרה של בשר</w:t>
      </w:r>
      <w:r>
        <w:rPr>
          <w:rFonts w:asciiTheme="minorBidi" w:hAnsiTheme="minorBidi" w:hint="cs"/>
          <w:u w:val="single"/>
          <w:rtl/>
        </w:rPr>
        <w:t xml:space="preserve"> בת יומא</w:t>
      </w:r>
      <w:r w:rsidRPr="00037FEB">
        <w:rPr>
          <w:rFonts w:asciiTheme="minorBidi" w:hAnsiTheme="minorBidi" w:hint="cs"/>
          <w:u w:val="single"/>
          <w:rtl/>
        </w:rPr>
        <w:t>:</w:t>
      </w:r>
      <w:r>
        <w:rPr>
          <w:rFonts w:asciiTheme="minorBidi" w:hAnsiTheme="minorBidi" w:hint="cs"/>
          <w:sz w:val="16"/>
          <w:szCs w:val="16"/>
          <w:rtl/>
        </w:rPr>
        <w:t xml:space="preserve">   (פת"ש סק"ד)</w:t>
      </w:r>
    </w:p>
    <w:p w14:paraId="21D7F825" w14:textId="77777777" w:rsidR="002C39F4" w:rsidRDefault="002C39F4" w:rsidP="0032102C">
      <w:pPr>
        <w:pStyle w:val="a8"/>
        <w:numPr>
          <w:ilvl w:val="0"/>
          <w:numId w:val="173"/>
        </w:numPr>
        <w:rPr>
          <w:rFonts w:asciiTheme="minorBidi" w:hAnsiTheme="minorBidi"/>
        </w:rPr>
      </w:pPr>
      <w:r w:rsidRPr="00037FEB">
        <w:rPr>
          <w:rFonts w:asciiTheme="minorBidi" w:hAnsiTheme="minorBidi" w:cs="Arial"/>
          <w:rtl/>
        </w:rPr>
        <w:t>שער אפרים</w:t>
      </w:r>
      <w:r w:rsidRPr="00037FEB">
        <w:rPr>
          <w:rFonts w:asciiTheme="minorBidi" w:hAnsiTheme="minorBidi" w:cs="Arial"/>
          <w:sz w:val="16"/>
          <w:szCs w:val="16"/>
          <w:rtl/>
        </w:rPr>
        <w:t xml:space="preserve"> </w:t>
      </w:r>
      <w:r w:rsidRPr="00037FEB">
        <w:rPr>
          <w:rFonts w:asciiTheme="minorBidi" w:hAnsiTheme="minorBidi" w:cs="Arial" w:hint="cs"/>
          <w:sz w:val="16"/>
          <w:szCs w:val="16"/>
          <w:rtl/>
        </w:rPr>
        <w:t>(</w:t>
      </w:r>
      <w:r w:rsidRPr="00037FEB">
        <w:rPr>
          <w:rFonts w:asciiTheme="minorBidi" w:hAnsiTheme="minorBidi" w:cs="Arial"/>
          <w:sz w:val="16"/>
          <w:szCs w:val="16"/>
          <w:rtl/>
        </w:rPr>
        <w:t>סי' לח</w:t>
      </w:r>
      <w:r w:rsidRPr="00037FEB">
        <w:rPr>
          <w:rFonts w:asciiTheme="minorBidi" w:hAnsiTheme="minorBidi" w:cs="Arial" w:hint="cs"/>
          <w:sz w:val="16"/>
          <w:szCs w:val="16"/>
          <w:rtl/>
        </w:rPr>
        <w:t>)</w:t>
      </w:r>
      <w:r>
        <w:rPr>
          <w:rFonts w:asciiTheme="minorBidi" w:hAnsiTheme="minorBidi" w:cs="Arial" w:hint="cs"/>
          <w:rtl/>
        </w:rPr>
        <w:t>-</w:t>
      </w:r>
      <w:r w:rsidRPr="00037FEB">
        <w:rPr>
          <w:rFonts w:asciiTheme="minorBidi" w:hAnsiTheme="minorBidi" w:cs="Arial"/>
          <w:rtl/>
        </w:rPr>
        <w:t xml:space="preserve"> חמאה שנתבשלה בקדרה של בשר ב"י אסור להדליק בה להאיר הבית מטעם שאסור בהנאה</w:t>
      </w:r>
      <w:r>
        <w:rPr>
          <w:rFonts w:asciiTheme="minorBidi" w:hAnsiTheme="minorBidi" w:cs="Arial" w:hint="cs"/>
          <w:rtl/>
        </w:rPr>
        <w:t>,</w:t>
      </w:r>
      <w:r w:rsidRPr="00037FEB">
        <w:rPr>
          <w:rFonts w:asciiTheme="minorBidi" w:hAnsiTheme="minorBidi" w:cs="Arial"/>
          <w:rtl/>
        </w:rPr>
        <w:t xml:space="preserve"> וגם להדליק בה נ"ח אף דמצות לאו ליהנות ניתנו מ"מ אסור כיון דבנ"ח בעי שיעור</w:t>
      </w:r>
      <w:r>
        <w:rPr>
          <w:rFonts w:asciiTheme="minorBidi" w:hAnsiTheme="minorBidi" w:cs="Arial" w:hint="cs"/>
          <w:rtl/>
        </w:rPr>
        <w:t>,</w:t>
      </w:r>
      <w:r w:rsidRPr="00037FEB">
        <w:rPr>
          <w:rFonts w:asciiTheme="minorBidi" w:hAnsiTheme="minorBidi" w:cs="Arial"/>
          <w:rtl/>
        </w:rPr>
        <w:t xml:space="preserve"> ובב"ח כיון שאסור בהנאה כתותי מכתת שיעורא</w:t>
      </w:r>
      <w:r>
        <w:rPr>
          <w:rStyle w:val="a7"/>
          <w:rFonts w:asciiTheme="minorBidi" w:hAnsiTheme="minorBidi" w:cs="Arial"/>
          <w:rtl/>
        </w:rPr>
        <w:footnoteReference w:id="1017"/>
      </w:r>
      <w:r>
        <w:rPr>
          <w:rFonts w:asciiTheme="minorBidi" w:hAnsiTheme="minorBidi" w:cs="Arial" w:hint="cs"/>
          <w:rtl/>
        </w:rPr>
        <w:t>.</w:t>
      </w:r>
      <w:r w:rsidRPr="00037FEB">
        <w:rPr>
          <w:rFonts w:asciiTheme="minorBidi" w:hAnsiTheme="minorBidi" w:cs="Arial"/>
          <w:rtl/>
        </w:rPr>
        <w:t xml:space="preserve"> </w:t>
      </w:r>
    </w:p>
    <w:p w14:paraId="75577962" w14:textId="77777777" w:rsidR="002C39F4" w:rsidRPr="00037FEB" w:rsidRDefault="002C39F4" w:rsidP="002C39F4">
      <w:pPr>
        <w:rPr>
          <w:rFonts w:asciiTheme="minorBidi" w:hAnsiTheme="minorBidi"/>
        </w:rPr>
      </w:pPr>
    </w:p>
    <w:p w14:paraId="37D88B8E" w14:textId="77777777" w:rsidR="002C39F4" w:rsidRPr="003024E5" w:rsidRDefault="002C39F4" w:rsidP="002C39F4">
      <w:pPr>
        <w:pStyle w:val="2"/>
        <w:rPr>
          <w:rFonts w:asciiTheme="minorBidi" w:hAnsiTheme="minorBidi"/>
          <w:rtl/>
        </w:rPr>
      </w:pPr>
      <w:r w:rsidRPr="003024E5">
        <w:rPr>
          <w:rFonts w:asciiTheme="minorBidi" w:hAnsiTheme="minorBidi"/>
          <w:rtl/>
        </w:rPr>
        <w:t>סעיף ב: גדי וחלב אם לאו דוקא.</w:t>
      </w:r>
    </w:p>
    <w:p w14:paraId="096E903E"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ע"א: </w:t>
      </w:r>
      <w:r w:rsidRPr="003024E5">
        <w:rPr>
          <w:rFonts w:asciiTheme="minorBidi" w:hAnsiTheme="minorBidi"/>
          <w:rtl/>
        </w:rPr>
        <w:t>מנא הני מילי</w:t>
      </w:r>
      <w:r w:rsidRPr="003024E5">
        <w:rPr>
          <w:rStyle w:val="a7"/>
          <w:rFonts w:asciiTheme="minorBidi" w:hAnsiTheme="minorBidi"/>
          <w:rtl/>
        </w:rPr>
        <w:footnoteReference w:id="1018"/>
      </w:r>
      <w:r w:rsidRPr="003024E5">
        <w:rPr>
          <w:rFonts w:asciiTheme="minorBidi" w:hAnsiTheme="minorBidi"/>
          <w:rtl/>
        </w:rPr>
        <w:t xml:space="preserve">? </w:t>
      </w:r>
      <w:r w:rsidRPr="003024E5">
        <w:rPr>
          <w:rFonts w:asciiTheme="minorBidi" w:hAnsiTheme="minorBidi"/>
          <w:u w:val="single"/>
          <w:rtl/>
        </w:rPr>
        <w:t>א"ר אלעזר</w:t>
      </w:r>
      <w:r w:rsidRPr="003024E5">
        <w:rPr>
          <w:rFonts w:asciiTheme="minorBidi" w:hAnsiTheme="minorBidi"/>
          <w:rtl/>
        </w:rPr>
        <w:t xml:space="preserve">, אמר קרא: וישלח יהודה את גדי העזים </w:t>
      </w:r>
      <w:r w:rsidRPr="00017783">
        <w:rPr>
          <w:rFonts w:asciiTheme="minorBidi" w:hAnsiTheme="minorBidi"/>
          <w:sz w:val="14"/>
          <w:szCs w:val="14"/>
          <w:rtl/>
        </w:rPr>
        <w:t>(קיג:)</w:t>
      </w:r>
      <w:r w:rsidRPr="003024E5">
        <w:rPr>
          <w:rFonts w:asciiTheme="minorBidi" w:hAnsiTheme="minorBidi"/>
          <w:rtl/>
        </w:rPr>
        <w:t xml:space="preserve"> כאן</w:t>
      </w:r>
      <w:r w:rsidRPr="003024E5">
        <w:rPr>
          <w:rStyle w:val="a7"/>
          <w:rFonts w:asciiTheme="minorBidi" w:hAnsiTheme="minorBidi"/>
          <w:rtl/>
        </w:rPr>
        <w:footnoteReference w:id="1019"/>
      </w:r>
      <w:r w:rsidRPr="003024E5">
        <w:rPr>
          <w:rFonts w:asciiTheme="minorBidi" w:hAnsiTheme="minorBidi"/>
          <w:rtl/>
        </w:rPr>
        <w:t xml:space="preserve"> גדי עזים, הא</w:t>
      </w:r>
      <w:r w:rsidRPr="003024E5">
        <w:rPr>
          <w:rStyle w:val="a7"/>
          <w:rFonts w:asciiTheme="minorBidi" w:hAnsiTheme="minorBidi"/>
          <w:rtl/>
        </w:rPr>
        <w:footnoteReference w:id="1020"/>
      </w:r>
      <w:r w:rsidRPr="003024E5">
        <w:rPr>
          <w:rFonts w:asciiTheme="minorBidi" w:hAnsiTheme="minorBidi"/>
          <w:rtl/>
        </w:rPr>
        <w:t xml:space="preserve"> כל מקום שנאמר גדי סתם אפילו פרה ורחל במשמע. ולילף מיניה</w:t>
      </w:r>
      <w:r w:rsidRPr="003024E5">
        <w:rPr>
          <w:rStyle w:val="a7"/>
          <w:rFonts w:asciiTheme="minorBidi" w:hAnsiTheme="minorBidi"/>
          <w:rtl/>
        </w:rPr>
        <w:footnoteReference w:id="1021"/>
      </w:r>
      <w:r w:rsidRPr="003024E5">
        <w:rPr>
          <w:rFonts w:asciiTheme="minorBidi" w:hAnsiTheme="minorBidi"/>
          <w:rtl/>
        </w:rPr>
        <w:t>! כתיב קרא אחרינא: ואת עורות גדיי העזים, כאן גדיי העזים, הא כל מקום שנאמר גדי סתם אפילו פרה ורחל במשמע. ולילף מיניה! הוו להו שני כתובין הבאין כאחד וכל שני כתובים הבאים כאחד אין מלמדין. הניחא למ"ד אין מלמדין, אלא למ"ד מלמדין, מאי איכא למימר? תרי מיעוטי</w:t>
      </w:r>
      <w:r w:rsidRPr="003024E5">
        <w:rPr>
          <w:rStyle w:val="a7"/>
          <w:rFonts w:asciiTheme="minorBidi" w:hAnsiTheme="minorBidi"/>
          <w:rtl/>
        </w:rPr>
        <w:footnoteReference w:id="1022"/>
      </w:r>
      <w:r w:rsidRPr="003024E5">
        <w:rPr>
          <w:rFonts w:asciiTheme="minorBidi" w:hAnsiTheme="minorBidi"/>
          <w:rtl/>
        </w:rPr>
        <w:t xml:space="preserve"> כתיבי עזים העזים... </w:t>
      </w:r>
      <w:r w:rsidRPr="003024E5">
        <w:rPr>
          <w:rFonts w:asciiTheme="minorBidi" w:hAnsiTheme="minorBidi"/>
          <w:u w:val="single"/>
          <w:rtl/>
        </w:rPr>
        <w:t>בעא מיניה רב אחדבוי בר אמי מרב</w:t>
      </w:r>
      <w:r w:rsidRPr="003024E5">
        <w:rPr>
          <w:rFonts w:asciiTheme="minorBidi" w:hAnsiTheme="minorBidi"/>
          <w:rtl/>
        </w:rPr>
        <w:t>: המבשל בחלב גדי שלא הניקה, מהו? א"ל: מדאיצטריכא לשמואל למימר בחלב אמו ולא בחלב זכר, זכר הוא דלא אתי לכלל אם, אבל האי כיון דבא לכלל אם</w:t>
      </w:r>
      <w:r>
        <w:rPr>
          <w:rFonts w:asciiTheme="minorBidi" w:hAnsiTheme="minorBidi" w:hint="cs"/>
          <w:rtl/>
        </w:rPr>
        <w:t xml:space="preserve"> </w:t>
      </w:r>
      <w:r w:rsidRPr="003024E5">
        <w:rPr>
          <w:rFonts w:asciiTheme="minorBidi" w:hAnsiTheme="minorBidi"/>
          <w:rtl/>
        </w:rPr>
        <w:t xml:space="preserve">- אסור...  </w:t>
      </w:r>
      <w:r w:rsidRPr="00017783">
        <w:rPr>
          <w:rFonts w:asciiTheme="minorBidi" w:hAnsiTheme="minorBidi"/>
          <w:sz w:val="14"/>
          <w:szCs w:val="14"/>
          <w:rtl/>
        </w:rPr>
        <w:t>(קיד.)</w:t>
      </w:r>
      <w:r w:rsidRPr="003024E5">
        <w:rPr>
          <w:rFonts w:asciiTheme="minorBidi" w:hAnsiTheme="minorBidi"/>
          <w:rtl/>
        </w:rPr>
        <w:t xml:space="preserve"> תנו רבנן: בחלב אמו</w:t>
      </w:r>
      <w:r>
        <w:rPr>
          <w:rFonts w:asciiTheme="minorBidi" w:hAnsiTheme="minorBidi" w:hint="cs"/>
          <w:rtl/>
        </w:rPr>
        <w:t xml:space="preserve"> </w:t>
      </w:r>
      <w:r w:rsidRPr="003024E5">
        <w:rPr>
          <w:rFonts w:asciiTheme="minorBidi" w:hAnsiTheme="minorBidi"/>
          <w:rtl/>
        </w:rPr>
        <w:t>- אין לי אלא בחלב אמו, בחלב פרה ורחל מנין? אמרת קל וחומר, ומה אמו שלא נאסרה עמו בהרבעה נאסרה עמו בבשולו, פרה ורחל שנאסרו עמו בהרבעה</w:t>
      </w:r>
      <w:r>
        <w:rPr>
          <w:rFonts w:asciiTheme="minorBidi" w:hAnsiTheme="minorBidi" w:hint="cs"/>
          <w:rtl/>
        </w:rPr>
        <w:t xml:space="preserve"> </w:t>
      </w:r>
      <w:r w:rsidRPr="003024E5">
        <w:rPr>
          <w:rFonts w:asciiTheme="minorBidi" w:hAnsiTheme="minorBidi"/>
          <w:rtl/>
        </w:rPr>
        <w:t xml:space="preserve">- אינו דין שנאסרו עמו בבשולו! תלמוד לומר: בחלב אמו. </w:t>
      </w:r>
    </w:p>
    <w:p w14:paraId="71A0633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10AA313" w14:textId="77777777" w:rsidR="002C39F4" w:rsidRPr="003024E5" w:rsidRDefault="002C39F4" w:rsidP="002C39F4">
      <w:pPr>
        <w:rPr>
          <w:rFonts w:asciiTheme="minorBidi" w:hAnsiTheme="minorBidi"/>
          <w:rtl/>
        </w:rPr>
      </w:pPr>
      <w:r w:rsidRPr="003024E5">
        <w:rPr>
          <w:rFonts w:asciiTheme="minorBidi" w:hAnsiTheme="minorBidi"/>
          <w:rtl/>
        </w:rPr>
        <w:t xml:space="preserve">גדי לאו דוקא, דהוא הדין שור שה ועז, ולא שנא בחלב אם ולא שנא בחלב אחרת אלא שדבר הכתוב בהווה. </w:t>
      </w:r>
    </w:p>
    <w:p w14:paraId="001EDA03" w14:textId="77777777" w:rsidR="002C39F4" w:rsidRPr="003024E5" w:rsidRDefault="002C39F4" w:rsidP="002C39F4">
      <w:pPr>
        <w:rPr>
          <w:rFonts w:asciiTheme="minorBidi" w:hAnsiTheme="minorBidi"/>
          <w:rtl/>
        </w:rPr>
      </w:pPr>
    </w:p>
    <w:p w14:paraId="3A9E4ADB" w14:textId="77777777" w:rsidR="002C39F4" w:rsidRPr="003024E5" w:rsidRDefault="002C39F4" w:rsidP="002C39F4">
      <w:pPr>
        <w:pStyle w:val="2"/>
        <w:rPr>
          <w:rFonts w:asciiTheme="minorBidi" w:hAnsiTheme="minorBidi"/>
          <w:rtl/>
        </w:rPr>
      </w:pPr>
      <w:r w:rsidRPr="003024E5">
        <w:rPr>
          <w:rFonts w:asciiTheme="minorBidi" w:hAnsiTheme="minorBidi"/>
          <w:rtl/>
        </w:rPr>
        <w:t>סעיף ג: בישול בשר בחלב המותר.</w:t>
      </w:r>
    </w:p>
    <w:p w14:paraId="65AA7C04"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ע"א: </w:t>
      </w:r>
      <w:r w:rsidRPr="003024E5">
        <w:rPr>
          <w:rFonts w:asciiTheme="minorBidi" w:hAnsiTheme="minorBidi"/>
          <w:u w:val="double"/>
          <w:rtl/>
        </w:rPr>
        <w:t>מתני'</w:t>
      </w:r>
      <w:r w:rsidRPr="003024E5">
        <w:rPr>
          <w:rFonts w:asciiTheme="minorBidi" w:hAnsiTheme="minorBidi"/>
          <w:rtl/>
        </w:rPr>
        <w:t xml:space="preserve">: בשר בהמה טהורה בחלב בהמה טהורה - אסור לבשל ואסור בהנאה, בשר בהמה טהורה בחלב בהמה טמאה, בשר בהמה טמאה בחלב בהמה טהורה - מותר לבשל ומותר בהנאה. </w:t>
      </w:r>
      <w:r w:rsidRPr="003024E5">
        <w:rPr>
          <w:rFonts w:asciiTheme="minorBidi" w:hAnsiTheme="minorBidi"/>
          <w:u w:val="single"/>
          <w:rtl/>
        </w:rPr>
        <w:t>ר"ע אומר</w:t>
      </w:r>
      <w:r w:rsidRPr="003024E5">
        <w:rPr>
          <w:rFonts w:asciiTheme="minorBidi" w:hAnsiTheme="minorBidi"/>
          <w:rtl/>
        </w:rPr>
        <w:t xml:space="preserve">: חיה ועוף אינם מן התורה, שנאמר לא תבשל גדי בחלב אמו ג' פעמים, פרט לחיה ולעוף ובהמה טמאה. </w:t>
      </w:r>
      <w:r w:rsidRPr="003024E5">
        <w:rPr>
          <w:rFonts w:asciiTheme="minorBidi" w:hAnsiTheme="minorBidi"/>
          <w:u w:val="single"/>
          <w:rtl/>
        </w:rPr>
        <w:t>רבי יוסי הגלילי אומר</w:t>
      </w:r>
      <w:r w:rsidRPr="003024E5">
        <w:rPr>
          <w:rFonts w:asciiTheme="minorBidi" w:hAnsiTheme="minorBidi"/>
          <w:rtl/>
        </w:rPr>
        <w:t xml:space="preserve">: נאמר לא תאכלו כל נבלה, ונאמר לא תבשל גדי בחלב אמו, את שאסור משום נבלה - אסור לבשל בחלב, עוף שאסור משום נבלה, יכול יהא אסור לבשל בחלב - ת"ל: בחלב אמו - יצא עוף שאין לו חלב אם. </w:t>
      </w:r>
      <w:r w:rsidRPr="003024E5">
        <w:rPr>
          <w:rFonts w:asciiTheme="minorBidi" w:hAnsiTheme="minorBidi"/>
          <w:sz w:val="16"/>
          <w:szCs w:val="16"/>
          <w:rtl/>
        </w:rPr>
        <w:t>(ופסק הטור כר"ע דאמר חיה ועוף אינם מן התורה</w:t>
      </w:r>
      <w:r w:rsidRPr="003024E5">
        <w:rPr>
          <w:rFonts w:asciiTheme="minorBidi" w:hAnsiTheme="minorBidi"/>
          <w:sz w:val="14"/>
          <w:szCs w:val="14"/>
          <w:rtl/>
        </w:rPr>
        <w:t xml:space="preserve"> </w:t>
      </w:r>
      <w:r w:rsidRPr="003024E5">
        <w:rPr>
          <w:rFonts w:asciiTheme="minorBidi" w:hAnsiTheme="minorBidi"/>
          <w:sz w:val="12"/>
          <w:szCs w:val="12"/>
          <w:rtl/>
        </w:rPr>
        <w:t xml:space="preserve">{לאפוקי ר' יוסי דסבר בשר חיה </w:t>
      </w:r>
      <w:r w:rsidRPr="003F7402">
        <w:rPr>
          <w:rFonts w:asciiTheme="minorBidi" w:hAnsiTheme="minorBidi"/>
          <w:b/>
          <w:bCs/>
          <w:sz w:val="12"/>
          <w:szCs w:val="12"/>
          <w:rtl/>
        </w:rPr>
        <w:t>מן התורה</w:t>
      </w:r>
      <w:r w:rsidRPr="003024E5">
        <w:rPr>
          <w:rFonts w:asciiTheme="minorBidi" w:hAnsiTheme="minorBidi"/>
          <w:sz w:val="12"/>
          <w:szCs w:val="12"/>
          <w:rtl/>
        </w:rPr>
        <w:t>}</w:t>
      </w:r>
      <w:r w:rsidRPr="003024E5">
        <w:rPr>
          <w:rFonts w:asciiTheme="minorBidi" w:hAnsiTheme="minorBidi"/>
          <w:sz w:val="16"/>
          <w:szCs w:val="16"/>
          <w:rtl/>
        </w:rPr>
        <w:t xml:space="preserve">. וכ"כ הרא"ש </w:t>
      </w:r>
      <w:r w:rsidRPr="003024E5">
        <w:rPr>
          <w:rFonts w:asciiTheme="minorBidi" w:hAnsiTheme="minorBidi"/>
          <w:sz w:val="14"/>
          <w:szCs w:val="14"/>
          <w:rtl/>
        </w:rPr>
        <w:t xml:space="preserve">(פ"ח סי' נא) </w:t>
      </w:r>
      <w:r w:rsidRPr="003024E5">
        <w:rPr>
          <w:rFonts w:asciiTheme="minorBidi" w:hAnsiTheme="minorBidi"/>
          <w:sz w:val="16"/>
          <w:szCs w:val="16"/>
          <w:rtl/>
        </w:rPr>
        <w:t>שהוא דעת הרי"ף</w:t>
      </w:r>
      <w:r w:rsidRPr="003024E5">
        <w:rPr>
          <w:rFonts w:asciiTheme="minorBidi" w:hAnsiTheme="minorBidi"/>
          <w:sz w:val="14"/>
          <w:szCs w:val="14"/>
          <w:rtl/>
        </w:rPr>
        <w:t xml:space="preserve"> (מב:) </w:t>
      </w:r>
      <w:r w:rsidRPr="003024E5">
        <w:rPr>
          <w:rFonts w:asciiTheme="minorBidi" w:hAnsiTheme="minorBidi"/>
          <w:sz w:val="16"/>
          <w:szCs w:val="16"/>
          <w:rtl/>
        </w:rPr>
        <w:t xml:space="preserve">וכ"פ הרמב"ם </w:t>
      </w:r>
      <w:r w:rsidRPr="003024E5">
        <w:rPr>
          <w:rFonts w:asciiTheme="minorBidi" w:hAnsiTheme="minorBidi"/>
          <w:sz w:val="14"/>
          <w:szCs w:val="14"/>
          <w:rtl/>
        </w:rPr>
        <w:t xml:space="preserve">(פ"ט ה"ד) </w:t>
      </w:r>
      <w:r w:rsidRPr="003024E5">
        <w:rPr>
          <w:rFonts w:asciiTheme="minorBidi" w:hAnsiTheme="minorBidi"/>
          <w:sz w:val="16"/>
          <w:szCs w:val="16"/>
          <w:rtl/>
        </w:rPr>
        <w:t>והרשב"א</w:t>
      </w:r>
      <w:r w:rsidRPr="003024E5">
        <w:rPr>
          <w:rStyle w:val="a7"/>
          <w:rFonts w:asciiTheme="minorBidi" w:hAnsiTheme="minorBidi"/>
          <w:sz w:val="16"/>
          <w:szCs w:val="16"/>
          <w:rtl/>
        </w:rPr>
        <w:footnoteReference w:id="1023"/>
      </w:r>
      <w:r w:rsidRPr="003024E5">
        <w:rPr>
          <w:rFonts w:asciiTheme="minorBidi" w:hAnsiTheme="minorBidi"/>
          <w:sz w:val="16"/>
          <w:szCs w:val="16"/>
          <w:rtl/>
        </w:rPr>
        <w:t xml:space="preserve"> </w:t>
      </w:r>
      <w:r w:rsidRPr="003024E5">
        <w:rPr>
          <w:rFonts w:asciiTheme="minorBidi" w:hAnsiTheme="minorBidi"/>
          <w:sz w:val="14"/>
          <w:szCs w:val="14"/>
          <w:rtl/>
        </w:rPr>
        <w:t>(תוה</w:t>
      </w:r>
      <w:r>
        <w:rPr>
          <w:rFonts w:asciiTheme="minorBidi" w:hAnsiTheme="minorBidi" w:hint="cs"/>
          <w:sz w:val="14"/>
          <w:szCs w:val="14"/>
          <w:rtl/>
        </w:rPr>
        <w:t>קו"א</w:t>
      </w:r>
      <w:r w:rsidRPr="003024E5">
        <w:rPr>
          <w:rFonts w:asciiTheme="minorBidi" w:hAnsiTheme="minorBidi"/>
          <w:sz w:val="14"/>
          <w:szCs w:val="14"/>
          <w:rtl/>
        </w:rPr>
        <w:t xml:space="preserve"> ב"ג ש"ד פד ע"ג)</w:t>
      </w:r>
      <w:r w:rsidRPr="003024E5">
        <w:rPr>
          <w:rFonts w:asciiTheme="minorBidi" w:hAnsiTheme="minorBidi"/>
          <w:sz w:val="16"/>
          <w:szCs w:val="16"/>
          <w:rtl/>
        </w:rPr>
        <w:t>,</w:t>
      </w:r>
      <w:r w:rsidRPr="003024E5">
        <w:rPr>
          <w:rFonts w:asciiTheme="minorBidi" w:hAnsiTheme="minorBidi"/>
          <w:sz w:val="14"/>
          <w:szCs w:val="14"/>
          <w:rtl/>
        </w:rPr>
        <w:t xml:space="preserve"> </w:t>
      </w:r>
      <w:r w:rsidRPr="003024E5">
        <w:rPr>
          <w:rFonts w:asciiTheme="minorBidi" w:hAnsiTheme="minorBidi"/>
          <w:sz w:val="16"/>
          <w:szCs w:val="16"/>
          <w:rtl/>
        </w:rPr>
        <w:t xml:space="preserve">ואמרינן בגמ' </w:t>
      </w:r>
      <w:r w:rsidRPr="003024E5">
        <w:rPr>
          <w:rFonts w:asciiTheme="minorBidi" w:hAnsiTheme="minorBidi"/>
          <w:sz w:val="14"/>
          <w:szCs w:val="14"/>
          <w:rtl/>
        </w:rPr>
        <w:t xml:space="preserve">(שם קטז. וקד.) </w:t>
      </w:r>
      <w:r w:rsidRPr="003024E5">
        <w:rPr>
          <w:rFonts w:asciiTheme="minorBidi" w:hAnsiTheme="minorBidi"/>
          <w:sz w:val="16"/>
          <w:szCs w:val="16"/>
          <w:rtl/>
        </w:rPr>
        <w:t>דלכו"ע היינו דוקא מדאו' אבל מדרבנן אסירי. וכ' הרמב"ם בפרק הנזכר (שם) שלא אסרום חכמים אלא באכילה אבל לא בבישול והנייה</w:t>
      </w:r>
      <w:r w:rsidRPr="003024E5">
        <w:rPr>
          <w:rStyle w:val="a7"/>
          <w:rFonts w:asciiTheme="minorBidi" w:hAnsiTheme="minorBidi"/>
          <w:sz w:val="16"/>
          <w:szCs w:val="16"/>
          <w:rtl/>
        </w:rPr>
        <w:footnoteReference w:id="1024"/>
      </w:r>
      <w:r w:rsidRPr="003024E5">
        <w:rPr>
          <w:rFonts w:asciiTheme="minorBidi" w:hAnsiTheme="minorBidi"/>
          <w:sz w:val="16"/>
          <w:szCs w:val="16"/>
          <w:rtl/>
        </w:rPr>
        <w:t>)</w:t>
      </w:r>
    </w:p>
    <w:p w14:paraId="5864801D"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קג ע"ב: </w:t>
      </w:r>
      <w:r w:rsidRPr="003024E5">
        <w:rPr>
          <w:rFonts w:asciiTheme="minorBidi" w:hAnsiTheme="minorBidi"/>
          <w:u w:val="double"/>
          <w:rtl/>
        </w:rPr>
        <w:t>מתני'</w:t>
      </w:r>
      <w:r w:rsidRPr="003024E5">
        <w:rPr>
          <w:rFonts w:asciiTheme="minorBidi" w:hAnsiTheme="minorBidi"/>
          <w:rtl/>
        </w:rPr>
        <w:t>: כל הבשר אסור לבשל בחלב</w:t>
      </w:r>
      <w:r w:rsidRPr="003024E5">
        <w:rPr>
          <w:rStyle w:val="a7"/>
          <w:rFonts w:asciiTheme="minorBidi" w:hAnsiTheme="minorBidi"/>
          <w:rtl/>
        </w:rPr>
        <w:footnoteReference w:id="1025"/>
      </w:r>
      <w:r w:rsidRPr="003024E5">
        <w:rPr>
          <w:rFonts w:asciiTheme="minorBidi" w:hAnsiTheme="minorBidi"/>
          <w:rtl/>
        </w:rPr>
        <w:t xml:space="preserve"> - חוץ מבשר דגים וחגבים. ואסור להעלות עם הגבינה על השלחן - חוץ מבשר דגים וחגבים. </w:t>
      </w:r>
      <w:r w:rsidRPr="003024E5">
        <w:rPr>
          <w:rFonts w:asciiTheme="minorBidi" w:hAnsiTheme="minorBidi"/>
          <w:sz w:val="16"/>
          <w:szCs w:val="16"/>
          <w:rtl/>
        </w:rPr>
        <w:t>(וכ' הר"ן (לז.) דכיון דלבשלן שרי משמע דלאכלן בחלב נמי שרי דאיסור בשר בחלב בלשון בישול אפקיה רחמנא. וכ"כ הרמב"ם (פ"ט ה"ה) והרשב"א (תוה"א ב"ג ש"ד פה:) דלאכלן בחלב נמי שרי. ומ"מ אין לאכול דגים בחלב מפני הסכנה כמו שנתבאר בספר או"ח סי' קעג</w:t>
      </w:r>
      <w:r w:rsidRPr="003024E5">
        <w:rPr>
          <w:rStyle w:val="a7"/>
          <w:rFonts w:asciiTheme="minorBidi" w:hAnsiTheme="minorBidi"/>
          <w:sz w:val="16"/>
          <w:szCs w:val="16"/>
          <w:rtl/>
        </w:rPr>
        <w:footnoteReference w:id="1026"/>
      </w:r>
      <w:r>
        <w:rPr>
          <w:rFonts w:asciiTheme="minorBidi" w:hAnsiTheme="minorBidi" w:hint="cs"/>
          <w:sz w:val="16"/>
          <w:szCs w:val="16"/>
          <w:rtl/>
        </w:rPr>
        <w:t>, ב"י</w:t>
      </w:r>
      <w:r w:rsidRPr="003024E5">
        <w:rPr>
          <w:rFonts w:asciiTheme="minorBidi" w:hAnsiTheme="minorBidi"/>
          <w:sz w:val="16"/>
          <w:szCs w:val="16"/>
          <w:rtl/>
        </w:rPr>
        <w:t>)</w:t>
      </w:r>
    </w:p>
    <w:p w14:paraId="2293D07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BB26A8F" w14:textId="77777777" w:rsidR="002C39F4" w:rsidRPr="003024E5" w:rsidRDefault="002C39F4" w:rsidP="002C39F4">
      <w:pPr>
        <w:rPr>
          <w:rFonts w:asciiTheme="minorBidi" w:hAnsiTheme="minorBidi"/>
          <w:rtl/>
        </w:rPr>
      </w:pPr>
      <w:r w:rsidRPr="003024E5">
        <w:rPr>
          <w:rFonts w:asciiTheme="minorBidi" w:hAnsiTheme="minorBidi"/>
          <w:rtl/>
        </w:rPr>
        <w:t>אינו נוהג אלא בבשר בהמה טהורה בחלב בהמה טהורה, אבל בשר טהורה בחלב טמאה או בשר טמאה בחלב טהורה מותרים בבישול ובהנאה, ובשר חיה ועוף אפילו בחלב טהורה מותר בבישול ובהנאה</w:t>
      </w:r>
      <w:r>
        <w:rPr>
          <w:rStyle w:val="a7"/>
          <w:rFonts w:asciiTheme="minorBidi" w:hAnsiTheme="minorBidi"/>
          <w:rtl/>
        </w:rPr>
        <w:footnoteReference w:id="1027"/>
      </w:r>
      <w:r w:rsidRPr="003024E5">
        <w:rPr>
          <w:rFonts w:asciiTheme="minorBidi" w:hAnsiTheme="minorBidi"/>
          <w:rtl/>
        </w:rPr>
        <w:t xml:space="preserve">, ואף באכילה אינו אסור אלא מדרבנן, אבל דגים וחגבים אין בהם איסור אפילו מדרבנן. </w:t>
      </w:r>
      <w:r w:rsidRPr="003024E5">
        <w:rPr>
          <w:rFonts w:asciiTheme="minorBidi" w:hAnsiTheme="minorBidi"/>
          <w:sz w:val="18"/>
          <w:szCs w:val="18"/>
          <w:rtl/>
        </w:rPr>
        <w:t>הגה: ונהגו לעשות חלב משקדים ומניחים בה בשר עוף הואיל ואינו רק מדרבנן</w:t>
      </w:r>
      <w:r w:rsidRPr="003024E5">
        <w:rPr>
          <w:rStyle w:val="a7"/>
          <w:rFonts w:asciiTheme="minorBidi" w:hAnsiTheme="minorBidi"/>
          <w:sz w:val="18"/>
          <w:szCs w:val="18"/>
          <w:rtl/>
        </w:rPr>
        <w:footnoteReference w:id="1028"/>
      </w:r>
      <w:r w:rsidRPr="003024E5">
        <w:rPr>
          <w:rFonts w:asciiTheme="minorBidi" w:hAnsiTheme="minorBidi"/>
          <w:sz w:val="18"/>
          <w:szCs w:val="18"/>
          <w:rtl/>
        </w:rPr>
        <w:t>, אבל בשר בהמה יש להניח אצל החלב שקדים משום מראית העין כמו שנתבאר לעיל סי</w:t>
      </w:r>
      <w:r>
        <w:rPr>
          <w:rFonts w:asciiTheme="minorBidi" w:hAnsiTheme="minorBidi" w:hint="cs"/>
          <w:sz w:val="18"/>
          <w:szCs w:val="18"/>
          <w:rtl/>
        </w:rPr>
        <w:t>'</w:t>
      </w:r>
      <w:r w:rsidRPr="003024E5">
        <w:rPr>
          <w:rFonts w:asciiTheme="minorBidi" w:hAnsiTheme="minorBidi"/>
          <w:sz w:val="18"/>
          <w:szCs w:val="18"/>
          <w:rtl/>
        </w:rPr>
        <w:t xml:space="preserve"> סו לענין דם.</w:t>
      </w:r>
      <w:r w:rsidRPr="003024E5">
        <w:rPr>
          <w:rFonts w:asciiTheme="minorBidi" w:hAnsiTheme="minorBidi"/>
          <w:rtl/>
        </w:rPr>
        <w:t xml:space="preserve"> </w:t>
      </w:r>
    </w:p>
    <w:p w14:paraId="26AEC24C" w14:textId="77777777" w:rsidR="002C39F4" w:rsidRDefault="002C39F4" w:rsidP="002C39F4">
      <w:pPr>
        <w:rPr>
          <w:rFonts w:asciiTheme="minorBidi" w:hAnsiTheme="minorBidi" w:cs="Arial"/>
          <w:rtl/>
        </w:rPr>
      </w:pPr>
      <w:r w:rsidRPr="00DA03A0">
        <w:rPr>
          <w:rFonts w:asciiTheme="minorBidi" w:hAnsiTheme="minorBidi" w:cs="Arial" w:hint="cs"/>
          <w:u w:val="single"/>
          <w:rtl/>
        </w:rPr>
        <w:t>כבד שטיגנוהו בחמאה:</w:t>
      </w:r>
      <w:r>
        <w:rPr>
          <w:rFonts w:asciiTheme="minorBidi" w:hAnsiTheme="minorBidi" w:cs="Arial" w:hint="cs"/>
          <w:rtl/>
        </w:rPr>
        <w:t xml:space="preserve"> </w:t>
      </w:r>
      <w:r w:rsidRPr="00DA03A0">
        <w:rPr>
          <w:rFonts w:asciiTheme="minorBidi" w:hAnsiTheme="minorBidi" w:cs="Arial"/>
          <w:sz w:val="16"/>
          <w:szCs w:val="16"/>
          <w:rtl/>
        </w:rPr>
        <w:t>(</w:t>
      </w:r>
      <w:r w:rsidRPr="00DA03A0">
        <w:rPr>
          <w:rFonts w:asciiTheme="minorBidi" w:hAnsiTheme="minorBidi" w:cs="Arial" w:hint="cs"/>
          <w:sz w:val="16"/>
          <w:szCs w:val="16"/>
          <w:rtl/>
        </w:rPr>
        <w:t>פת"ש סק"</w:t>
      </w:r>
      <w:r w:rsidRPr="00DA03A0">
        <w:rPr>
          <w:rFonts w:asciiTheme="minorBidi" w:hAnsiTheme="minorBidi" w:cs="Arial"/>
          <w:sz w:val="16"/>
          <w:szCs w:val="16"/>
          <w:rtl/>
        </w:rPr>
        <w:t>ה)</w:t>
      </w:r>
      <w:r w:rsidRPr="00DA03A0">
        <w:rPr>
          <w:rFonts w:asciiTheme="minorBidi" w:hAnsiTheme="minorBidi" w:cs="Arial"/>
          <w:rtl/>
        </w:rPr>
        <w:t xml:space="preserve"> </w:t>
      </w:r>
    </w:p>
    <w:p w14:paraId="1960A8FD" w14:textId="77777777" w:rsidR="002C39F4" w:rsidRPr="00DA03A0" w:rsidRDefault="002C39F4" w:rsidP="0032102C">
      <w:pPr>
        <w:pStyle w:val="a8"/>
        <w:numPr>
          <w:ilvl w:val="0"/>
          <w:numId w:val="173"/>
        </w:numPr>
        <w:rPr>
          <w:rFonts w:asciiTheme="minorBidi" w:hAnsiTheme="minorBidi"/>
          <w:rtl/>
        </w:rPr>
      </w:pPr>
      <w:r w:rsidRPr="00DA03A0">
        <w:rPr>
          <w:rFonts w:asciiTheme="minorBidi" w:hAnsiTheme="minorBidi" w:cs="Arial"/>
          <w:rtl/>
        </w:rPr>
        <w:t xml:space="preserve">מהר"מ שיף </w:t>
      </w:r>
      <w:r w:rsidRPr="00DA03A0">
        <w:rPr>
          <w:rFonts w:asciiTheme="minorBidi" w:hAnsiTheme="minorBidi" w:cs="Arial" w:hint="cs"/>
          <w:sz w:val="16"/>
          <w:szCs w:val="16"/>
          <w:rtl/>
        </w:rPr>
        <w:t>(</w:t>
      </w:r>
      <w:r w:rsidRPr="00DA03A0">
        <w:rPr>
          <w:rFonts w:asciiTheme="minorBidi" w:hAnsiTheme="minorBidi" w:cs="Arial"/>
          <w:sz w:val="16"/>
          <w:szCs w:val="16"/>
          <w:rtl/>
        </w:rPr>
        <w:t>סוף חולין</w:t>
      </w:r>
      <w:r w:rsidRPr="00DA03A0">
        <w:rPr>
          <w:rFonts w:asciiTheme="minorBidi" w:hAnsiTheme="minorBidi" w:cs="Arial" w:hint="cs"/>
          <w:sz w:val="16"/>
          <w:szCs w:val="16"/>
          <w:rtl/>
        </w:rPr>
        <w:t>)</w:t>
      </w:r>
      <w:r>
        <w:rPr>
          <w:rFonts w:asciiTheme="minorBidi" w:hAnsiTheme="minorBidi" w:cs="Arial" w:hint="cs"/>
          <w:rtl/>
        </w:rPr>
        <w:t>-</w:t>
      </w:r>
      <w:r w:rsidRPr="00DA03A0">
        <w:rPr>
          <w:rFonts w:asciiTheme="minorBidi" w:hAnsiTheme="minorBidi" w:cs="Arial"/>
          <w:rtl/>
        </w:rPr>
        <w:t xml:space="preserve"> כבד שרצו לטגנו בשומן וטיגנו בחמאה </w:t>
      </w:r>
      <w:r>
        <w:rPr>
          <w:rFonts w:asciiTheme="minorBidi" w:hAnsiTheme="minorBidi" w:cs="Arial" w:hint="cs"/>
          <w:rtl/>
        </w:rPr>
        <w:t>יש</w:t>
      </w:r>
      <w:r w:rsidRPr="00DA03A0">
        <w:rPr>
          <w:rFonts w:asciiTheme="minorBidi" w:hAnsiTheme="minorBidi" w:cs="Arial"/>
          <w:rtl/>
        </w:rPr>
        <w:t xml:space="preserve"> להקל דכבד הוי דם וגדי אסרה תורה ולא דם</w:t>
      </w:r>
      <w:r>
        <w:rPr>
          <w:rStyle w:val="a7"/>
          <w:rFonts w:asciiTheme="minorBidi" w:hAnsiTheme="minorBidi" w:cs="Arial"/>
          <w:rtl/>
        </w:rPr>
        <w:footnoteReference w:id="1029"/>
      </w:r>
      <w:r>
        <w:rPr>
          <w:rFonts w:asciiTheme="minorBidi" w:hAnsiTheme="minorBidi" w:cs="Arial" w:hint="cs"/>
          <w:rtl/>
        </w:rPr>
        <w:t>.</w:t>
      </w:r>
    </w:p>
    <w:p w14:paraId="2C3FC169" w14:textId="77777777" w:rsidR="002C39F4" w:rsidRPr="00B60796" w:rsidRDefault="002C39F4" w:rsidP="002C39F4">
      <w:pPr>
        <w:rPr>
          <w:rFonts w:asciiTheme="minorBidi" w:hAnsiTheme="minorBidi" w:cs="Arial"/>
          <w:rtl/>
        </w:rPr>
      </w:pPr>
      <w:r>
        <w:rPr>
          <w:rFonts w:asciiTheme="minorBidi" w:hAnsiTheme="minorBidi" w:cs="Arial" w:hint="cs"/>
          <w:u w:val="single"/>
          <w:rtl/>
        </w:rPr>
        <w:t>בישול בשר לגוי בקדרת חלב שאינה בת יומא</w:t>
      </w:r>
      <w:r w:rsidRPr="00B60796">
        <w:rPr>
          <w:rFonts w:asciiTheme="minorBidi" w:hAnsiTheme="minorBidi" w:cs="Arial" w:hint="cs"/>
          <w:u w:val="single"/>
          <w:rtl/>
        </w:rPr>
        <w:t>:</w:t>
      </w:r>
      <w:r w:rsidRPr="00B60796">
        <w:rPr>
          <w:rFonts w:asciiTheme="minorBidi" w:hAnsiTheme="minorBidi" w:cs="Arial" w:hint="cs"/>
          <w:rtl/>
        </w:rPr>
        <w:t xml:space="preserve"> </w:t>
      </w:r>
      <w:r w:rsidRPr="00B60796">
        <w:rPr>
          <w:rFonts w:asciiTheme="minorBidi" w:hAnsiTheme="minorBidi" w:cs="Arial"/>
          <w:sz w:val="16"/>
          <w:szCs w:val="16"/>
          <w:rtl/>
        </w:rPr>
        <w:t>(</w:t>
      </w:r>
      <w:r w:rsidRPr="00B60796">
        <w:rPr>
          <w:rFonts w:asciiTheme="minorBidi" w:hAnsiTheme="minorBidi" w:cs="Arial" w:hint="cs"/>
          <w:sz w:val="16"/>
          <w:szCs w:val="16"/>
          <w:rtl/>
        </w:rPr>
        <w:t>פת"ש סק"</w:t>
      </w:r>
      <w:r>
        <w:rPr>
          <w:rFonts w:asciiTheme="minorBidi" w:hAnsiTheme="minorBidi" w:cs="Arial" w:hint="cs"/>
          <w:sz w:val="16"/>
          <w:szCs w:val="16"/>
          <w:rtl/>
        </w:rPr>
        <w:t>ח</w:t>
      </w:r>
      <w:r w:rsidRPr="00B60796">
        <w:rPr>
          <w:rFonts w:asciiTheme="minorBidi" w:hAnsiTheme="minorBidi" w:cs="Arial"/>
          <w:sz w:val="16"/>
          <w:szCs w:val="16"/>
          <w:rtl/>
        </w:rPr>
        <w:t>)</w:t>
      </w:r>
      <w:r w:rsidRPr="00B60796">
        <w:rPr>
          <w:rFonts w:asciiTheme="minorBidi" w:hAnsiTheme="minorBidi" w:cs="Arial"/>
          <w:rtl/>
        </w:rPr>
        <w:t xml:space="preserve"> </w:t>
      </w:r>
    </w:p>
    <w:p w14:paraId="24EBA845" w14:textId="77777777" w:rsidR="002C39F4" w:rsidRPr="00B60796" w:rsidRDefault="002C39F4" w:rsidP="0032102C">
      <w:pPr>
        <w:pStyle w:val="a8"/>
        <w:numPr>
          <w:ilvl w:val="0"/>
          <w:numId w:val="173"/>
        </w:numPr>
        <w:rPr>
          <w:rFonts w:asciiTheme="minorBidi" w:hAnsiTheme="minorBidi"/>
        </w:rPr>
      </w:pPr>
      <w:r w:rsidRPr="00B60796">
        <w:rPr>
          <w:rFonts w:asciiTheme="minorBidi" w:hAnsiTheme="minorBidi" w:cs="Arial"/>
          <w:rtl/>
        </w:rPr>
        <w:t>חמודי דניאל</w:t>
      </w:r>
      <w:r w:rsidRPr="00B60796">
        <w:rPr>
          <w:rFonts w:asciiTheme="minorBidi" w:hAnsiTheme="minorBidi" w:cs="Arial"/>
          <w:sz w:val="16"/>
          <w:szCs w:val="16"/>
          <w:rtl/>
        </w:rPr>
        <w:t xml:space="preserve"> </w:t>
      </w:r>
      <w:r w:rsidRPr="00B60796">
        <w:rPr>
          <w:rFonts w:asciiTheme="minorBidi" w:hAnsiTheme="minorBidi" w:cs="Arial" w:hint="cs"/>
          <w:sz w:val="16"/>
          <w:szCs w:val="16"/>
          <w:rtl/>
        </w:rPr>
        <w:t>(</w:t>
      </w:r>
      <w:r w:rsidRPr="00B60796">
        <w:rPr>
          <w:rFonts w:asciiTheme="minorBidi" w:hAnsiTheme="minorBidi" w:cs="Arial"/>
          <w:sz w:val="16"/>
          <w:szCs w:val="16"/>
          <w:rtl/>
        </w:rPr>
        <w:t>סי' יח</w:t>
      </w:r>
      <w:r w:rsidRPr="00B60796">
        <w:rPr>
          <w:rFonts w:asciiTheme="minorBidi" w:hAnsiTheme="minorBidi" w:cs="Arial" w:hint="cs"/>
          <w:sz w:val="16"/>
          <w:szCs w:val="16"/>
          <w:rtl/>
        </w:rPr>
        <w:t>)</w:t>
      </w:r>
      <w:r w:rsidRPr="00B60796">
        <w:rPr>
          <w:rFonts w:asciiTheme="minorBidi" w:hAnsiTheme="minorBidi" w:cs="Arial" w:hint="cs"/>
          <w:rtl/>
        </w:rPr>
        <w:t>-</w:t>
      </w:r>
      <w:r w:rsidRPr="00B60796">
        <w:rPr>
          <w:rFonts w:asciiTheme="minorBidi" w:hAnsiTheme="minorBidi" w:cs="Arial"/>
          <w:rtl/>
        </w:rPr>
        <w:t xml:space="preserve"> מותר לבשל בשר ל</w:t>
      </w:r>
      <w:r>
        <w:rPr>
          <w:rFonts w:asciiTheme="minorBidi" w:hAnsiTheme="minorBidi" w:cs="Arial" w:hint="cs"/>
          <w:rtl/>
        </w:rPr>
        <w:t>גוי</w:t>
      </w:r>
      <w:r w:rsidRPr="00B60796">
        <w:rPr>
          <w:rFonts w:asciiTheme="minorBidi" w:hAnsiTheme="minorBidi" w:cs="Arial"/>
          <w:rtl/>
        </w:rPr>
        <w:t xml:space="preserve"> בקדרה של חלב אינו ב"י דכל שאינו אסור רק מדרבנן לא גזרו בבישול והנאה</w:t>
      </w:r>
      <w:r>
        <w:rPr>
          <w:rFonts w:asciiTheme="minorBidi" w:hAnsiTheme="minorBidi" w:cs="Arial" w:hint="cs"/>
          <w:rtl/>
        </w:rPr>
        <w:t>,</w:t>
      </w:r>
      <w:r w:rsidRPr="00B60796">
        <w:rPr>
          <w:rFonts w:asciiTheme="minorBidi" w:hAnsiTheme="minorBidi" w:cs="Arial"/>
          <w:rtl/>
        </w:rPr>
        <w:t xml:space="preserve"> וכאן ליכא מראית עין דמי יודע אם הוא קדירה של בשר או של חלב</w:t>
      </w:r>
      <w:r>
        <w:rPr>
          <w:rFonts w:asciiTheme="minorBidi" w:hAnsiTheme="minorBidi" w:cs="Arial" w:hint="cs"/>
          <w:rtl/>
        </w:rPr>
        <w:t>,</w:t>
      </w:r>
      <w:r w:rsidRPr="00B60796">
        <w:rPr>
          <w:rFonts w:asciiTheme="minorBidi" w:hAnsiTheme="minorBidi" w:cs="Arial"/>
          <w:rtl/>
        </w:rPr>
        <w:t xml:space="preserve"> מ"מ יש להחמיר מדכתב רמ"א סעיף ו' דאסור לחתות וכו'</w:t>
      </w:r>
      <w:r>
        <w:rPr>
          <w:rFonts w:asciiTheme="minorBidi" w:hAnsiTheme="minorBidi" w:cs="Arial" w:hint="cs"/>
          <w:rtl/>
        </w:rPr>
        <w:t>,</w:t>
      </w:r>
      <w:r w:rsidRPr="00B60796">
        <w:rPr>
          <w:rFonts w:asciiTheme="minorBidi" w:hAnsiTheme="minorBidi" w:cs="Arial"/>
          <w:rtl/>
        </w:rPr>
        <w:t xml:space="preserve"> ואפשר משום דמתחלה היה חלב גמור החמירו בו קצת</w:t>
      </w:r>
      <w:r>
        <w:rPr>
          <w:rFonts w:asciiTheme="minorBidi" w:hAnsiTheme="minorBidi" w:cs="Arial" w:hint="cs"/>
          <w:rtl/>
        </w:rPr>
        <w:t>.</w:t>
      </w:r>
    </w:p>
    <w:p w14:paraId="7FA331B5" w14:textId="77777777" w:rsidR="002C39F4" w:rsidRPr="00B60796" w:rsidRDefault="002C39F4" w:rsidP="002C39F4">
      <w:pPr>
        <w:rPr>
          <w:rFonts w:asciiTheme="minorBidi" w:hAnsiTheme="minorBidi"/>
          <w:rtl/>
        </w:rPr>
      </w:pPr>
    </w:p>
    <w:p w14:paraId="32B6FA5F" w14:textId="77777777" w:rsidR="002C39F4" w:rsidRPr="003024E5" w:rsidRDefault="002C39F4" w:rsidP="002C39F4">
      <w:pPr>
        <w:pStyle w:val="2"/>
        <w:rPr>
          <w:rFonts w:asciiTheme="minorBidi" w:hAnsiTheme="minorBidi"/>
          <w:rtl/>
        </w:rPr>
      </w:pPr>
      <w:r w:rsidRPr="003024E5">
        <w:rPr>
          <w:rFonts w:asciiTheme="minorBidi" w:hAnsiTheme="minorBidi"/>
          <w:rtl/>
        </w:rPr>
        <w:t>סעיף ד: בישול בשר בחלב אשה.</w:t>
      </w:r>
    </w:p>
    <w:p w14:paraId="30AFCDA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3724468" w14:textId="77777777" w:rsidR="002C39F4" w:rsidRPr="003024E5" w:rsidRDefault="002C39F4" w:rsidP="002C39F4">
      <w:pPr>
        <w:rPr>
          <w:rFonts w:asciiTheme="minorBidi" w:hAnsiTheme="minorBidi"/>
          <w:rtl/>
        </w:rPr>
      </w:pPr>
      <w:r w:rsidRPr="003024E5">
        <w:rPr>
          <w:rFonts w:asciiTheme="minorBidi" w:hAnsiTheme="minorBidi"/>
          <w:rtl/>
        </w:rPr>
        <w:t>אסור לבשל בחלב אשה מפני מראית העין, ואם נפל לתוך התבשיל בטל ואין צריך שיעור</w:t>
      </w:r>
      <w:r w:rsidRPr="003024E5">
        <w:rPr>
          <w:rStyle w:val="a7"/>
          <w:rFonts w:asciiTheme="minorBidi" w:hAnsiTheme="minorBidi"/>
          <w:rtl/>
        </w:rPr>
        <w:footnoteReference w:id="1030"/>
      </w:r>
      <w:r w:rsidRPr="003024E5">
        <w:rPr>
          <w:rFonts w:asciiTheme="minorBidi" w:hAnsiTheme="minorBidi"/>
          <w:rtl/>
        </w:rPr>
        <w:t xml:space="preserve">. </w:t>
      </w:r>
      <w:r w:rsidRPr="003024E5">
        <w:rPr>
          <w:rFonts w:asciiTheme="minorBidi" w:hAnsiTheme="minorBidi"/>
          <w:sz w:val="18"/>
          <w:szCs w:val="18"/>
          <w:rtl/>
        </w:rPr>
        <w:t>הגה: ונראה לפי זה דכל שכן דאסור לבשל לכתחלה בחלב טמאה או בשר טמא בחלב טהור</w:t>
      </w:r>
      <w:r w:rsidRPr="003024E5">
        <w:rPr>
          <w:rStyle w:val="a7"/>
          <w:rFonts w:asciiTheme="minorBidi" w:hAnsiTheme="minorBidi"/>
          <w:sz w:val="18"/>
          <w:szCs w:val="18"/>
          <w:rtl/>
        </w:rPr>
        <w:footnoteReference w:id="1031"/>
      </w:r>
      <w:r w:rsidRPr="003024E5">
        <w:rPr>
          <w:rFonts w:asciiTheme="minorBidi" w:hAnsiTheme="minorBidi"/>
          <w:sz w:val="18"/>
          <w:szCs w:val="18"/>
          <w:rtl/>
        </w:rPr>
        <w:t>, ודוקא בשר בהמה אבל בעוף דרבנן אין לחוש</w:t>
      </w:r>
      <w:r w:rsidRPr="003024E5">
        <w:rPr>
          <w:rStyle w:val="a7"/>
          <w:rFonts w:asciiTheme="minorBidi" w:hAnsiTheme="minorBidi"/>
          <w:sz w:val="18"/>
          <w:szCs w:val="18"/>
          <w:rtl/>
        </w:rPr>
        <w:footnoteReference w:id="1032"/>
      </w:r>
      <w:r w:rsidRPr="003024E5">
        <w:rPr>
          <w:rFonts w:asciiTheme="minorBidi" w:hAnsiTheme="minorBidi"/>
          <w:sz w:val="18"/>
          <w:szCs w:val="18"/>
          <w:rtl/>
        </w:rPr>
        <w:t>.</w:t>
      </w:r>
      <w:r w:rsidRPr="003024E5">
        <w:rPr>
          <w:rFonts w:asciiTheme="minorBidi" w:hAnsiTheme="minorBidi"/>
          <w:rtl/>
        </w:rPr>
        <w:t xml:space="preserve"> </w:t>
      </w:r>
    </w:p>
    <w:p w14:paraId="31B72C77" w14:textId="77777777" w:rsidR="002C39F4" w:rsidRPr="003024E5" w:rsidRDefault="002C39F4" w:rsidP="002C39F4">
      <w:pPr>
        <w:rPr>
          <w:rFonts w:asciiTheme="minorBidi" w:hAnsiTheme="minorBidi"/>
          <w:rtl/>
        </w:rPr>
      </w:pPr>
    </w:p>
    <w:p w14:paraId="5B318D2C" w14:textId="77777777" w:rsidR="002C39F4" w:rsidRPr="003024E5" w:rsidRDefault="002C39F4" w:rsidP="002C39F4">
      <w:pPr>
        <w:pStyle w:val="2"/>
        <w:rPr>
          <w:rFonts w:asciiTheme="minorBidi" w:hAnsiTheme="minorBidi"/>
          <w:rtl/>
        </w:rPr>
      </w:pPr>
      <w:r w:rsidRPr="003024E5">
        <w:rPr>
          <w:rFonts w:asciiTheme="minorBidi" w:hAnsiTheme="minorBidi"/>
          <w:rtl/>
        </w:rPr>
        <w:t>סעיף ה: בישול ביצים הנמצאים בעופות בחלב.</w:t>
      </w:r>
    </w:p>
    <w:p w14:paraId="1701B6D1" w14:textId="77777777" w:rsidR="002C39F4" w:rsidRPr="003024E5" w:rsidRDefault="002C39F4" w:rsidP="002C39F4">
      <w:pPr>
        <w:rPr>
          <w:rFonts w:asciiTheme="minorBidi" w:hAnsiTheme="minorBidi"/>
          <w:rtl/>
        </w:rPr>
      </w:pPr>
      <w:r w:rsidRPr="003024E5">
        <w:rPr>
          <w:rFonts w:asciiTheme="minorBidi" w:hAnsiTheme="minorBidi"/>
          <w:b/>
          <w:bCs/>
          <w:rtl/>
        </w:rPr>
        <w:t xml:space="preserve">ביצה ז ע"א: </w:t>
      </w:r>
      <w:r w:rsidRPr="003024E5">
        <w:rPr>
          <w:rFonts w:asciiTheme="minorBidi" w:hAnsiTheme="minorBidi"/>
          <w:rtl/>
        </w:rPr>
        <w:t xml:space="preserve">השוחט את התרנגולת ומצא בה ביצים גמורות - מותרות לאכלן בחלב. </w:t>
      </w:r>
      <w:r w:rsidRPr="003024E5">
        <w:rPr>
          <w:rFonts w:asciiTheme="minorBidi" w:hAnsiTheme="minorBidi"/>
          <w:u w:val="single"/>
          <w:rtl/>
        </w:rPr>
        <w:t>רבי יעקב אומר</w:t>
      </w:r>
      <w:r w:rsidRPr="003024E5">
        <w:rPr>
          <w:rFonts w:asciiTheme="minorBidi" w:hAnsiTheme="minorBidi"/>
          <w:rtl/>
        </w:rPr>
        <w:t>: אם היו מעורות</w:t>
      </w:r>
      <w:r w:rsidRPr="003024E5">
        <w:rPr>
          <w:rStyle w:val="a7"/>
          <w:rFonts w:asciiTheme="minorBidi" w:hAnsiTheme="minorBidi"/>
          <w:rtl/>
        </w:rPr>
        <w:footnoteReference w:id="1033"/>
      </w:r>
      <w:r w:rsidRPr="003024E5">
        <w:rPr>
          <w:rFonts w:asciiTheme="minorBidi" w:hAnsiTheme="minorBidi"/>
          <w:rtl/>
        </w:rPr>
        <w:t xml:space="preserve"> בגידין - אסורות. </w:t>
      </w:r>
      <w:r w:rsidRPr="003024E5">
        <w:rPr>
          <w:rFonts w:asciiTheme="minorBidi" w:hAnsiTheme="minorBidi"/>
          <w:sz w:val="16"/>
          <w:szCs w:val="16"/>
          <w:rtl/>
        </w:rPr>
        <w:t xml:space="preserve">(ומשמע מדברי הפוסקים דהלכה כת"ק, וכ"כ הה"מ </w:t>
      </w:r>
      <w:r w:rsidRPr="003024E5">
        <w:rPr>
          <w:rFonts w:asciiTheme="minorBidi" w:hAnsiTheme="minorBidi"/>
          <w:sz w:val="14"/>
          <w:szCs w:val="14"/>
          <w:rtl/>
        </w:rPr>
        <w:t>[</w:t>
      </w:r>
      <w:r>
        <w:rPr>
          <w:rFonts w:asciiTheme="minorBidi" w:hAnsiTheme="minorBidi" w:hint="cs"/>
          <w:sz w:val="14"/>
          <w:szCs w:val="14"/>
          <w:rtl/>
        </w:rPr>
        <w:t>הלמ"א</w:t>
      </w:r>
      <w:r w:rsidRPr="003024E5">
        <w:rPr>
          <w:rFonts w:asciiTheme="minorBidi" w:hAnsiTheme="minorBidi"/>
          <w:sz w:val="14"/>
          <w:szCs w:val="14"/>
          <w:rtl/>
        </w:rPr>
        <w:t xml:space="preserve"> פ"ט ה"ה]</w:t>
      </w:r>
      <w:r w:rsidRPr="003024E5">
        <w:rPr>
          <w:rFonts w:asciiTheme="minorBidi" w:hAnsiTheme="minorBidi"/>
          <w:sz w:val="16"/>
          <w:szCs w:val="16"/>
          <w:rtl/>
        </w:rPr>
        <w:t>, ב"י</w:t>
      </w:r>
      <w:r w:rsidRPr="003024E5">
        <w:rPr>
          <w:rStyle w:val="a7"/>
          <w:rFonts w:asciiTheme="minorBidi" w:hAnsiTheme="minorBidi"/>
          <w:sz w:val="16"/>
          <w:szCs w:val="16"/>
          <w:rtl/>
        </w:rPr>
        <w:footnoteReference w:id="1034"/>
      </w:r>
      <w:r w:rsidRPr="003024E5">
        <w:rPr>
          <w:rFonts w:asciiTheme="minorBidi" w:hAnsiTheme="minorBidi"/>
          <w:sz w:val="16"/>
          <w:szCs w:val="16"/>
          <w:rtl/>
        </w:rPr>
        <w:t>)</w:t>
      </w:r>
    </w:p>
    <w:p w14:paraId="37CF1DA2" w14:textId="77777777" w:rsidR="002C39F4" w:rsidRPr="003024E5" w:rsidRDefault="002C39F4" w:rsidP="002C39F4">
      <w:pPr>
        <w:rPr>
          <w:rFonts w:asciiTheme="minorBidi" w:hAnsiTheme="minorBidi"/>
          <w:u w:val="single"/>
          <w:rtl/>
        </w:rPr>
      </w:pPr>
      <w:r w:rsidRPr="003024E5">
        <w:rPr>
          <w:rFonts w:asciiTheme="minorBidi" w:hAnsiTheme="minorBidi"/>
          <w:u w:val="single"/>
          <w:rtl/>
        </w:rPr>
        <w:t>איזו היא ביצה גמורה:</w:t>
      </w:r>
    </w:p>
    <w:p w14:paraId="1FB0A20D" w14:textId="77777777" w:rsidR="002C39F4" w:rsidRPr="003024E5" w:rsidRDefault="002C39F4" w:rsidP="0032102C">
      <w:pPr>
        <w:pStyle w:val="a8"/>
        <w:numPr>
          <w:ilvl w:val="0"/>
          <w:numId w:val="142"/>
        </w:numPr>
        <w:rPr>
          <w:rFonts w:asciiTheme="minorBidi" w:hAnsiTheme="minorBidi"/>
        </w:rPr>
      </w:pPr>
      <w:r w:rsidRPr="003024E5">
        <w:rPr>
          <w:rFonts w:asciiTheme="minorBidi" w:hAnsiTheme="minorBidi"/>
          <w:rtl/>
        </w:rPr>
        <w:t>רש"י רא"ש ורי"ו</w:t>
      </w:r>
      <w:r w:rsidRPr="003024E5">
        <w:rPr>
          <w:rStyle w:val="a7"/>
          <w:rFonts w:asciiTheme="minorBidi" w:hAnsiTheme="minorBidi"/>
          <w:rtl/>
        </w:rPr>
        <w:footnoteReference w:id="1035"/>
      </w:r>
      <w:r w:rsidRPr="003024E5">
        <w:rPr>
          <w:rFonts w:asciiTheme="minorBidi" w:hAnsiTheme="minorBidi"/>
          <w:rtl/>
        </w:rPr>
        <w:t>- אפילו בלא קליפה לבנה אלא שהחלמון לבדו גמור, ואע"פ שמעורה עדיין בגידין שריא</w:t>
      </w:r>
      <w:r w:rsidRPr="003024E5">
        <w:rPr>
          <w:rStyle w:val="a7"/>
          <w:rFonts w:asciiTheme="minorBidi" w:hAnsiTheme="minorBidi"/>
          <w:rtl/>
        </w:rPr>
        <w:footnoteReference w:id="1036"/>
      </w:r>
      <w:r w:rsidRPr="003024E5">
        <w:rPr>
          <w:rFonts w:asciiTheme="minorBidi" w:hAnsiTheme="minorBidi"/>
          <w:rtl/>
        </w:rPr>
        <w:t xml:space="preserve">.   </w:t>
      </w:r>
    </w:p>
    <w:p w14:paraId="56458A2A" w14:textId="77777777" w:rsidR="002C39F4" w:rsidRPr="004107EE" w:rsidRDefault="002C39F4" w:rsidP="0032102C">
      <w:pPr>
        <w:pStyle w:val="a8"/>
        <w:numPr>
          <w:ilvl w:val="0"/>
          <w:numId w:val="142"/>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(תוה"</w:t>
      </w:r>
      <w:r>
        <w:rPr>
          <w:rFonts w:asciiTheme="minorBidi" w:hAnsiTheme="minorBidi" w:hint="cs"/>
          <w:sz w:val="16"/>
          <w:szCs w:val="16"/>
          <w:rtl/>
        </w:rPr>
        <w:t>ק</w:t>
      </w:r>
      <w:r w:rsidRPr="003024E5">
        <w:rPr>
          <w:rFonts w:asciiTheme="minorBidi" w:hAnsiTheme="minorBidi"/>
          <w:sz w:val="16"/>
          <w:szCs w:val="16"/>
          <w:rtl/>
        </w:rPr>
        <w:t xml:space="preserve"> ב"ג ש"ג) </w:t>
      </w:r>
      <w:r w:rsidRPr="003024E5">
        <w:rPr>
          <w:rFonts w:asciiTheme="minorBidi" w:hAnsiTheme="minorBidi"/>
          <w:rtl/>
        </w:rPr>
        <w:t xml:space="preserve">ור"ן </w:t>
      </w:r>
      <w:r w:rsidRPr="003024E5">
        <w:rPr>
          <w:rFonts w:asciiTheme="minorBidi" w:hAnsiTheme="minorBidi"/>
          <w:sz w:val="16"/>
          <w:szCs w:val="16"/>
          <w:rtl/>
        </w:rPr>
        <w:t>(ג: ד"ה תניא השוחט)</w:t>
      </w:r>
      <w:r>
        <w:rPr>
          <w:rStyle w:val="a7"/>
          <w:rFonts w:asciiTheme="minorBidi" w:hAnsiTheme="minorBidi"/>
          <w:rtl/>
        </w:rPr>
        <w:footnoteReference w:id="1037"/>
      </w:r>
      <w:r w:rsidRPr="003024E5">
        <w:rPr>
          <w:rFonts w:asciiTheme="minorBidi" w:hAnsiTheme="minorBidi"/>
          <w:rtl/>
        </w:rPr>
        <w:t>- כל שיש לה חלבון וחלמון ואע"פ שמעורות בגידין, דמכאן ואילך יצאו מתורת בשר, ואע"פ שעדין מעורות בגידין מותרות לאכלן בחלב ואינ</w:t>
      </w:r>
      <w:r>
        <w:rPr>
          <w:rFonts w:asciiTheme="minorBidi" w:hAnsiTheme="minorBidi" w:hint="cs"/>
          <w:rtl/>
        </w:rPr>
        <w:t>ן</w:t>
      </w:r>
      <w:r w:rsidRPr="003024E5">
        <w:rPr>
          <w:rFonts w:asciiTheme="minorBidi" w:hAnsiTheme="minorBidi"/>
          <w:rtl/>
        </w:rPr>
        <w:t xml:space="preserve"> צריכות מליחה</w:t>
      </w:r>
      <w:r>
        <w:rPr>
          <w:rFonts w:asciiTheme="minorBidi" w:hAnsiTheme="minorBidi" w:hint="cs"/>
          <w:rtl/>
        </w:rPr>
        <w:t>,</w:t>
      </w:r>
      <w:r w:rsidRPr="003024E5">
        <w:rPr>
          <w:rFonts w:asciiTheme="minorBidi" w:hAnsiTheme="minorBidi"/>
          <w:rtl/>
        </w:rPr>
        <w:t xml:space="preserve"> הא כל שאין להן חלבון</w:t>
      </w:r>
      <w:r w:rsidRPr="003024E5">
        <w:rPr>
          <w:rStyle w:val="a7"/>
          <w:rFonts w:asciiTheme="minorBidi" w:hAnsiTheme="minorBidi"/>
          <w:rtl/>
        </w:rPr>
        <w:footnoteReference w:id="1038"/>
      </w:r>
      <w:r w:rsidRPr="003024E5">
        <w:rPr>
          <w:rFonts w:asciiTheme="minorBidi" w:hAnsiTheme="minorBidi"/>
          <w:rtl/>
        </w:rPr>
        <w:t xml:space="preserve"> בשר נינהו ואסור לאכלן בחלב וטעונין מליחה כבשר</w:t>
      </w:r>
      <w:r>
        <w:rPr>
          <w:rFonts w:asciiTheme="minorBidi" w:hAnsiTheme="minorBidi" w:hint="cs"/>
          <w:sz w:val="16"/>
          <w:szCs w:val="16"/>
          <w:rtl/>
        </w:rPr>
        <w:t xml:space="preserve"> (ל' הרשב"א)</w:t>
      </w:r>
      <w:r w:rsidRPr="003024E5">
        <w:rPr>
          <w:rStyle w:val="a7"/>
          <w:rFonts w:asciiTheme="minorBidi" w:hAnsiTheme="minorBidi"/>
          <w:rtl/>
        </w:rPr>
        <w:footnoteReference w:id="1039"/>
      </w:r>
      <w:r w:rsidRPr="003024E5">
        <w:rPr>
          <w:rFonts w:asciiTheme="minorBidi" w:hAnsiTheme="minorBidi"/>
          <w:rtl/>
        </w:rPr>
        <w:t xml:space="preserve">. </w:t>
      </w:r>
      <w:r w:rsidRPr="003024E5">
        <w:rPr>
          <w:rFonts w:asciiTheme="minorBidi" w:hAnsiTheme="minorBidi"/>
          <w:color w:val="E36C0A" w:themeColor="accent6" w:themeShade="BF"/>
          <w:rtl/>
        </w:rPr>
        <w:t>(וכ"פ בשו"ע)</w:t>
      </w:r>
      <w:r w:rsidRPr="004107EE">
        <w:rPr>
          <w:rFonts w:asciiTheme="minorBidi" w:hAnsiTheme="minorBidi" w:hint="cs"/>
          <w:rtl/>
        </w:rPr>
        <w:t xml:space="preserve"> </w:t>
      </w:r>
    </w:p>
    <w:p w14:paraId="44D24500" w14:textId="77777777" w:rsidR="002C39F4" w:rsidRPr="003024E5" w:rsidRDefault="002C39F4" w:rsidP="0032102C">
      <w:pPr>
        <w:pStyle w:val="a8"/>
        <w:numPr>
          <w:ilvl w:val="0"/>
          <w:numId w:val="142"/>
        </w:numPr>
        <w:rPr>
          <w:rFonts w:asciiTheme="minorBidi" w:hAnsiTheme="minorBidi"/>
        </w:rPr>
      </w:pPr>
      <w:r w:rsidRPr="003024E5">
        <w:rPr>
          <w:rFonts w:asciiTheme="minorBidi" w:hAnsiTheme="minorBidi"/>
          <w:rtl/>
        </w:rPr>
        <w:t>י"א</w:t>
      </w:r>
      <w:r w:rsidRPr="003024E5">
        <w:rPr>
          <w:rFonts w:asciiTheme="minorBidi" w:hAnsiTheme="minorBidi"/>
          <w:sz w:val="16"/>
          <w:szCs w:val="16"/>
          <w:rtl/>
        </w:rPr>
        <w:t xml:space="preserve"> (הביאם הא"ח [הל</w:t>
      </w:r>
      <w:r>
        <w:rPr>
          <w:rFonts w:asciiTheme="minorBidi" w:hAnsiTheme="minorBidi" w:hint="cs"/>
          <w:sz w:val="16"/>
          <w:szCs w:val="16"/>
          <w:rtl/>
        </w:rPr>
        <w:t xml:space="preserve">א"מ </w:t>
      </w:r>
      <w:r w:rsidRPr="003024E5">
        <w:rPr>
          <w:rFonts w:asciiTheme="minorBidi" w:hAnsiTheme="minorBidi"/>
          <w:sz w:val="16"/>
          <w:szCs w:val="16"/>
          <w:rtl/>
        </w:rPr>
        <w:t>סי' עב])</w:t>
      </w:r>
      <w:r w:rsidRPr="003024E5">
        <w:rPr>
          <w:rFonts w:asciiTheme="minorBidi" w:hAnsiTheme="minorBidi"/>
          <w:rtl/>
        </w:rPr>
        <w:t>- שיש להם אותה קליפה דקה ולבנה אלא שעדיין היא רכה.</w:t>
      </w:r>
    </w:p>
    <w:p w14:paraId="51ADDF60" w14:textId="77777777" w:rsidR="002C39F4" w:rsidRPr="00801E7B" w:rsidRDefault="002C39F4" w:rsidP="0032102C">
      <w:pPr>
        <w:pStyle w:val="a8"/>
        <w:numPr>
          <w:ilvl w:val="0"/>
          <w:numId w:val="142"/>
        </w:numPr>
        <w:rPr>
          <w:rFonts w:asciiTheme="minorBidi" w:hAnsiTheme="minorBidi"/>
          <w:rtl/>
        </w:rPr>
      </w:pPr>
      <w:r w:rsidRPr="003024E5">
        <w:rPr>
          <w:rFonts w:asciiTheme="minorBidi" w:hAnsiTheme="minorBidi"/>
          <w:rtl/>
        </w:rPr>
        <w:t>רשב"ם מרדכי ושע"ד</w:t>
      </w:r>
      <w:r w:rsidRPr="003024E5">
        <w:rPr>
          <w:rStyle w:val="a7"/>
          <w:rFonts w:asciiTheme="minorBidi" w:hAnsiTheme="minorBidi"/>
          <w:rtl/>
        </w:rPr>
        <w:footnoteReference w:id="1040"/>
      </w:r>
      <w:r w:rsidRPr="003024E5">
        <w:rPr>
          <w:rFonts w:asciiTheme="minorBidi" w:hAnsiTheme="minorBidi"/>
          <w:rtl/>
        </w:rPr>
        <w:t>- דוקא כשנמצאו גמורות ובקליפה אזי מותרין לאכלן בחלב</w:t>
      </w:r>
      <w:r>
        <w:rPr>
          <w:rFonts w:asciiTheme="minorBidi" w:hAnsiTheme="minorBidi" w:hint="cs"/>
          <w:rtl/>
        </w:rPr>
        <w:t>,</w:t>
      </w:r>
      <w:r w:rsidRPr="003024E5">
        <w:rPr>
          <w:rFonts w:asciiTheme="minorBidi" w:hAnsiTheme="minorBidi"/>
          <w:rtl/>
        </w:rPr>
        <w:t xml:space="preserve"> וגם א"צ מליחה כי אין להם דין בשר</w:t>
      </w:r>
      <w:r>
        <w:rPr>
          <w:rFonts w:asciiTheme="minorBidi" w:hAnsiTheme="minorBidi" w:hint="cs"/>
          <w:rtl/>
        </w:rPr>
        <w:t>,</w:t>
      </w:r>
      <w:r w:rsidRPr="003024E5">
        <w:rPr>
          <w:rFonts w:asciiTheme="minorBidi" w:hAnsiTheme="minorBidi"/>
          <w:rtl/>
        </w:rPr>
        <w:t xml:space="preserve"> אבל אם אין להם קליפה אסורין לאכלן בחלב וגם צריכין מליחה כי יש להם דין בשר</w:t>
      </w:r>
      <w:r w:rsidRPr="003024E5">
        <w:rPr>
          <w:rStyle w:val="a7"/>
          <w:rFonts w:asciiTheme="minorBidi" w:hAnsiTheme="minorBidi"/>
          <w:rtl/>
        </w:rPr>
        <w:footnoteReference w:id="1041"/>
      </w:r>
      <w:r w:rsidRPr="003024E5">
        <w:rPr>
          <w:rFonts w:asciiTheme="minorBidi" w:hAnsiTheme="minorBidi"/>
          <w:rtl/>
        </w:rPr>
        <w:t>. (וכ"פ הש"ך</w:t>
      </w:r>
      <w:r w:rsidRPr="003024E5">
        <w:rPr>
          <w:rStyle w:val="a7"/>
          <w:rFonts w:asciiTheme="minorBidi" w:hAnsiTheme="minorBidi"/>
          <w:rtl/>
        </w:rPr>
        <w:footnoteReference w:id="1042"/>
      </w:r>
      <w:r w:rsidRPr="003024E5">
        <w:rPr>
          <w:rFonts w:asciiTheme="minorBidi" w:hAnsiTheme="minorBidi"/>
          <w:rtl/>
        </w:rPr>
        <w:t>)</w:t>
      </w:r>
    </w:p>
    <w:p w14:paraId="165F3F91" w14:textId="77777777" w:rsidR="002C39F4" w:rsidRPr="003024E5" w:rsidRDefault="002C39F4" w:rsidP="002C39F4">
      <w:pPr>
        <w:ind w:left="360"/>
        <w:rPr>
          <w:rFonts w:asciiTheme="minorBidi" w:hAnsiTheme="minorBidi"/>
          <w:u w:val="dotted"/>
        </w:rPr>
      </w:pPr>
      <w:r w:rsidRPr="003024E5">
        <w:rPr>
          <w:rFonts w:asciiTheme="minorBidi" w:hAnsiTheme="minorBidi"/>
          <w:u w:val="dotted"/>
          <w:rtl/>
        </w:rPr>
        <w:t xml:space="preserve">האם דין ביצים לא גמורות שווה לבשר לעניין אכילת גבינה או חלב לאחר אכילתן: </w:t>
      </w:r>
      <w:r w:rsidRPr="003024E5">
        <w:rPr>
          <w:rFonts w:asciiTheme="minorBidi" w:hAnsiTheme="minorBidi"/>
          <w:rtl/>
        </w:rPr>
        <w:t xml:space="preserve"> </w:t>
      </w:r>
    </w:p>
    <w:p w14:paraId="5F166169" w14:textId="77777777" w:rsidR="002C39F4" w:rsidRPr="003024E5" w:rsidRDefault="002C39F4" w:rsidP="0032102C">
      <w:pPr>
        <w:pStyle w:val="a8"/>
        <w:numPr>
          <w:ilvl w:val="0"/>
          <w:numId w:val="142"/>
        </w:numPr>
        <w:rPr>
          <w:rFonts w:asciiTheme="minorBidi" w:hAnsiTheme="minorBidi"/>
          <w:rtl/>
        </w:rPr>
      </w:pPr>
      <w:r w:rsidRPr="003024E5">
        <w:rPr>
          <w:rFonts w:asciiTheme="minorBidi" w:hAnsiTheme="minorBidi"/>
          <w:rtl/>
        </w:rPr>
        <w:t xml:space="preserve">א"ח </w:t>
      </w:r>
      <w:r w:rsidRPr="003024E5">
        <w:rPr>
          <w:rFonts w:asciiTheme="minorBidi" w:hAnsiTheme="minorBidi"/>
          <w:sz w:val="16"/>
          <w:szCs w:val="16"/>
          <w:rtl/>
        </w:rPr>
        <w:t>(שם)</w:t>
      </w:r>
      <w:r w:rsidRPr="003024E5">
        <w:rPr>
          <w:rFonts w:asciiTheme="minorBidi" w:hAnsiTheme="minorBidi"/>
          <w:rtl/>
        </w:rPr>
        <w:t xml:space="preserve"> בשם הר' דוד הכהן- דוקא מעורבין בחלב הוא דאסירי אבל אם אכלן בפני עצמן מותר לאכול אחריהם גבינה או חלב בלא קינוח פה ובלא נטילה.</w:t>
      </w:r>
      <w:r w:rsidRPr="003024E5">
        <w:rPr>
          <w:rFonts w:asciiTheme="minorBidi" w:hAnsiTheme="minorBidi"/>
          <w:color w:val="E36C0A" w:themeColor="accent6" w:themeShade="BF"/>
          <w:rtl/>
        </w:rPr>
        <w:t xml:space="preserve"> (וכ"פ בשו"ע)</w:t>
      </w:r>
    </w:p>
    <w:p w14:paraId="78A3DAC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10CD1C5" w14:textId="77777777" w:rsidR="002C39F4" w:rsidRPr="003024E5" w:rsidRDefault="002C39F4" w:rsidP="002C39F4">
      <w:pPr>
        <w:rPr>
          <w:rFonts w:asciiTheme="minorBidi" w:hAnsiTheme="minorBidi"/>
          <w:rtl/>
        </w:rPr>
      </w:pPr>
      <w:r w:rsidRPr="003024E5">
        <w:rPr>
          <w:rFonts w:asciiTheme="minorBidi" w:hAnsiTheme="minorBidi"/>
          <w:rtl/>
        </w:rPr>
        <w:t>ביצים הנמצאים בעופות, אם הם גמורות דהיינו שיש להם חלבון וחלמון אף על פי שהיא מעורה בגידים</w:t>
      </w:r>
      <w:r w:rsidRPr="003024E5">
        <w:rPr>
          <w:rStyle w:val="a7"/>
          <w:rFonts w:asciiTheme="minorBidi" w:hAnsiTheme="minorBidi"/>
          <w:rtl/>
        </w:rPr>
        <w:footnoteReference w:id="1043"/>
      </w:r>
      <w:r w:rsidRPr="003024E5">
        <w:rPr>
          <w:rFonts w:asciiTheme="minorBidi" w:hAnsiTheme="minorBidi"/>
          <w:rtl/>
        </w:rPr>
        <w:t xml:space="preserve"> הרי זו גמורה ומותר לאכלה בחלב, אבל אם אין לה אלא חלמון אסור לבשלם בחלב</w:t>
      </w:r>
      <w:r w:rsidRPr="003024E5">
        <w:rPr>
          <w:rStyle w:val="a7"/>
          <w:rFonts w:asciiTheme="minorBidi" w:hAnsiTheme="minorBidi"/>
          <w:rtl/>
        </w:rPr>
        <w:footnoteReference w:id="1044"/>
      </w:r>
      <w:r w:rsidRPr="003024E5">
        <w:rPr>
          <w:rFonts w:asciiTheme="minorBidi" w:hAnsiTheme="minorBidi"/>
          <w:rtl/>
        </w:rPr>
        <w:t>, אבל אם אכלם בפני עצמן</w:t>
      </w:r>
      <w:r w:rsidRPr="003024E5">
        <w:rPr>
          <w:rStyle w:val="a7"/>
          <w:rFonts w:asciiTheme="minorBidi" w:hAnsiTheme="minorBidi"/>
          <w:rtl/>
        </w:rPr>
        <w:footnoteReference w:id="1045"/>
      </w:r>
      <w:r w:rsidRPr="003024E5">
        <w:rPr>
          <w:rFonts w:asciiTheme="minorBidi" w:hAnsiTheme="minorBidi"/>
          <w:rtl/>
        </w:rPr>
        <w:t xml:space="preserve"> מותר לאכול אחריהם גבינה או חלב. </w:t>
      </w:r>
    </w:p>
    <w:p w14:paraId="23D84584" w14:textId="77777777" w:rsidR="002C39F4" w:rsidRPr="003024E5" w:rsidRDefault="002C39F4" w:rsidP="002C39F4">
      <w:pPr>
        <w:rPr>
          <w:rFonts w:asciiTheme="minorBidi" w:hAnsiTheme="minorBidi"/>
          <w:rtl/>
        </w:rPr>
      </w:pPr>
    </w:p>
    <w:p w14:paraId="3AEF8F5A" w14:textId="77777777" w:rsidR="002C39F4" w:rsidRPr="003024E5" w:rsidRDefault="002C39F4" w:rsidP="002C39F4">
      <w:pPr>
        <w:pStyle w:val="2"/>
        <w:rPr>
          <w:rFonts w:asciiTheme="minorBidi" w:hAnsiTheme="minorBidi"/>
          <w:rtl/>
        </w:rPr>
      </w:pPr>
      <w:r w:rsidRPr="003024E5">
        <w:rPr>
          <w:rFonts w:asciiTheme="minorBidi" w:hAnsiTheme="minorBidi"/>
          <w:rtl/>
        </w:rPr>
        <w:t>סעיף ו: המבשל שלא כדרך בישול, המבשל בחלב</w:t>
      </w:r>
      <w:r>
        <w:rPr>
          <w:rFonts w:asciiTheme="minorBidi" w:hAnsiTheme="minorBidi" w:hint="cs"/>
          <w:rtl/>
        </w:rPr>
        <w:t xml:space="preserve"> שאינו של בהמה</w:t>
      </w:r>
      <w:r w:rsidRPr="003024E5">
        <w:rPr>
          <w:rFonts w:asciiTheme="minorBidi" w:hAnsiTheme="minorBidi"/>
          <w:rtl/>
        </w:rPr>
        <w:t>, והמבשל דם</w:t>
      </w:r>
      <w:r>
        <w:rPr>
          <w:rFonts w:asciiTheme="minorBidi" w:hAnsiTheme="minorBidi" w:hint="cs"/>
          <w:rtl/>
        </w:rPr>
        <w:t xml:space="preserve"> בחלב</w:t>
      </w:r>
      <w:r w:rsidRPr="003024E5">
        <w:rPr>
          <w:rFonts w:asciiTheme="minorBidi" w:hAnsiTheme="minorBidi"/>
          <w:rtl/>
        </w:rPr>
        <w:t>.</w:t>
      </w:r>
    </w:p>
    <w:p w14:paraId="135B4498"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ע"ב: </w:t>
      </w:r>
      <w:r w:rsidRPr="003024E5">
        <w:rPr>
          <w:rFonts w:asciiTheme="minorBidi" w:hAnsiTheme="minorBidi"/>
          <w:u w:val="single"/>
          <w:rtl/>
        </w:rPr>
        <w:t>אמר שמואל</w:t>
      </w:r>
      <w:r w:rsidRPr="003024E5">
        <w:rPr>
          <w:rFonts w:asciiTheme="minorBidi" w:hAnsiTheme="minorBidi"/>
          <w:rtl/>
        </w:rPr>
        <w:t>... בחלב אמו</w:t>
      </w:r>
      <w:r>
        <w:rPr>
          <w:rFonts w:asciiTheme="minorBidi" w:hAnsiTheme="minorBidi" w:hint="cs"/>
          <w:rtl/>
        </w:rPr>
        <w:t xml:space="preserve"> </w:t>
      </w:r>
      <w:r w:rsidRPr="003024E5">
        <w:rPr>
          <w:rFonts w:asciiTheme="minorBidi" w:hAnsiTheme="minorBidi"/>
          <w:rtl/>
        </w:rPr>
        <w:t>- ולא בחלב זכר, בחלב אמו</w:t>
      </w:r>
      <w:r>
        <w:rPr>
          <w:rFonts w:asciiTheme="minorBidi" w:hAnsiTheme="minorBidi" w:hint="cs"/>
          <w:rtl/>
        </w:rPr>
        <w:t xml:space="preserve"> </w:t>
      </w:r>
      <w:r w:rsidRPr="003024E5">
        <w:rPr>
          <w:rFonts w:asciiTheme="minorBidi" w:hAnsiTheme="minorBidi"/>
          <w:rtl/>
        </w:rPr>
        <w:t>- ולא בחלב שחוטה, בחלב אמו</w:t>
      </w:r>
      <w:r>
        <w:rPr>
          <w:rFonts w:asciiTheme="minorBidi" w:hAnsiTheme="minorBidi" w:hint="cs"/>
          <w:rtl/>
        </w:rPr>
        <w:t xml:space="preserve"> </w:t>
      </w:r>
      <w:r w:rsidRPr="003024E5">
        <w:rPr>
          <w:rFonts w:asciiTheme="minorBidi" w:hAnsiTheme="minorBidi"/>
          <w:rtl/>
        </w:rPr>
        <w:t xml:space="preserve">- ולא בחלב טמאה.... </w:t>
      </w:r>
      <w:r w:rsidRPr="004107EE">
        <w:rPr>
          <w:rFonts w:asciiTheme="minorBidi" w:hAnsiTheme="minorBidi"/>
          <w:sz w:val="16"/>
          <w:szCs w:val="16"/>
          <w:rtl/>
        </w:rPr>
        <w:t>(קיד.)</w:t>
      </w:r>
      <w:r w:rsidRPr="003024E5">
        <w:rPr>
          <w:rFonts w:asciiTheme="minorBidi" w:hAnsiTheme="minorBidi"/>
          <w:rtl/>
        </w:rPr>
        <w:t xml:space="preserve"> המבשל במי חלב</w:t>
      </w:r>
      <w:r>
        <w:rPr>
          <w:rFonts w:asciiTheme="minorBidi" w:hAnsiTheme="minorBidi" w:hint="cs"/>
          <w:rtl/>
        </w:rPr>
        <w:t xml:space="preserve"> </w:t>
      </w:r>
      <w:r w:rsidRPr="003024E5">
        <w:rPr>
          <w:rFonts w:asciiTheme="minorBidi" w:hAnsiTheme="minorBidi"/>
          <w:rtl/>
        </w:rPr>
        <w:t>- פטור, דם שבשלו בחלב</w:t>
      </w:r>
      <w:r>
        <w:rPr>
          <w:rFonts w:asciiTheme="minorBidi" w:hAnsiTheme="minorBidi" w:hint="cs"/>
          <w:rtl/>
        </w:rPr>
        <w:t xml:space="preserve"> </w:t>
      </w:r>
      <w:r w:rsidRPr="003024E5">
        <w:rPr>
          <w:rFonts w:asciiTheme="minorBidi" w:hAnsiTheme="minorBidi"/>
          <w:rtl/>
        </w:rPr>
        <w:t xml:space="preserve">- פטור. </w:t>
      </w:r>
    </w:p>
    <w:p w14:paraId="2F6326FA" w14:textId="77777777" w:rsidR="002C39F4" w:rsidRPr="003024E5" w:rsidRDefault="002C39F4" w:rsidP="002C39F4">
      <w:pPr>
        <w:rPr>
          <w:rFonts w:asciiTheme="minorBidi" w:hAnsiTheme="minorBidi"/>
          <w:rtl/>
        </w:rPr>
      </w:pPr>
      <w:r w:rsidRPr="003024E5">
        <w:rPr>
          <w:rFonts w:asciiTheme="minorBidi" w:hAnsiTheme="minorBidi"/>
          <w:b/>
          <w:bCs/>
          <w:rtl/>
        </w:rPr>
        <w:t>ירושלמי נדרים פ"ו ה"א:</w:t>
      </w:r>
      <w:r w:rsidRPr="003024E5">
        <w:rPr>
          <w:rFonts w:asciiTheme="minorBidi" w:hAnsiTheme="minorBidi"/>
          <w:rtl/>
        </w:rPr>
        <w:t xml:space="preserve"> הנודר מן המבושל מהו שיהא מותר מן המעושן, מהו שיהא מותר במטוגן, מהו שיהא מותר בתבשיל שנתבשל בה מי טבריה. </w:t>
      </w:r>
      <w:r w:rsidRPr="003024E5">
        <w:rPr>
          <w:rFonts w:asciiTheme="minorBidi" w:hAnsiTheme="minorBidi"/>
          <w:sz w:val="16"/>
          <w:szCs w:val="16"/>
          <w:rtl/>
        </w:rPr>
        <w:t>(וכ' הה"מ (פ"ט ה"ו) דמתוך שלא איפשיטא ספיקא דאו'</w:t>
      </w:r>
      <w:r w:rsidRPr="003024E5">
        <w:rPr>
          <w:rFonts w:asciiTheme="minorBidi" w:hAnsiTheme="minorBidi"/>
          <w:sz w:val="14"/>
          <w:szCs w:val="14"/>
          <w:rtl/>
        </w:rPr>
        <w:t xml:space="preserve"> {לעניין בישול בשר בחלב}</w:t>
      </w:r>
      <w:r w:rsidRPr="003024E5">
        <w:rPr>
          <w:rFonts w:asciiTheme="minorBidi" w:hAnsiTheme="minorBidi"/>
          <w:sz w:val="16"/>
          <w:szCs w:val="16"/>
          <w:rtl/>
        </w:rPr>
        <w:t xml:space="preserve"> ולחומרא, ולגבי שבת (מ:) המבשל בחמי טבריה פטור)</w:t>
      </w:r>
      <w:r w:rsidRPr="003024E5">
        <w:rPr>
          <w:rFonts w:asciiTheme="minorBidi" w:hAnsiTheme="minorBidi"/>
          <w:rtl/>
        </w:rPr>
        <w:t xml:space="preserve"> </w:t>
      </w:r>
    </w:p>
    <w:p w14:paraId="09DB21A9" w14:textId="77777777" w:rsidR="002C39F4" w:rsidRPr="003024E5" w:rsidRDefault="002C39F4" w:rsidP="002C39F4">
      <w:pPr>
        <w:rPr>
          <w:rFonts w:asciiTheme="minorBidi" w:hAnsiTheme="minorBidi"/>
          <w:rtl/>
        </w:rPr>
      </w:pPr>
      <w:r w:rsidRPr="003024E5">
        <w:rPr>
          <w:rFonts w:asciiTheme="minorBidi" w:hAnsiTheme="minorBidi"/>
          <w:u w:val="single"/>
          <w:rtl/>
        </w:rPr>
        <w:t>השקיית בהמה במים שמעורבים בהם בשר וחלב:</w:t>
      </w:r>
      <w:r w:rsidRPr="003024E5">
        <w:rPr>
          <w:rFonts w:asciiTheme="minorBidi" w:hAnsiTheme="minorBidi"/>
          <w:sz w:val="16"/>
          <w:szCs w:val="16"/>
          <w:rtl/>
        </w:rPr>
        <w:t xml:space="preserve">   (דרכ"מ [אות א])</w:t>
      </w:r>
    </w:p>
    <w:p w14:paraId="36A705E5" w14:textId="77777777" w:rsidR="002C39F4" w:rsidRPr="003024E5" w:rsidRDefault="002C39F4" w:rsidP="002C39F4">
      <w:pPr>
        <w:pStyle w:val="a8"/>
        <w:numPr>
          <w:ilvl w:val="0"/>
          <w:numId w:val="86"/>
        </w:numPr>
        <w:rPr>
          <w:rFonts w:asciiTheme="minorBidi" w:hAnsiTheme="minorBidi"/>
        </w:rPr>
      </w:pPr>
      <w:r w:rsidRPr="003024E5">
        <w:rPr>
          <w:rFonts w:asciiTheme="minorBidi" w:hAnsiTheme="minorBidi"/>
          <w:rtl/>
        </w:rPr>
        <w:t xml:space="preserve">מהרי"ו </w:t>
      </w:r>
      <w:r w:rsidRPr="003024E5">
        <w:rPr>
          <w:rFonts w:asciiTheme="minorBidi" w:hAnsiTheme="minorBidi"/>
          <w:sz w:val="16"/>
          <w:szCs w:val="16"/>
          <w:rtl/>
        </w:rPr>
        <w:t>(דינין והלכות סי' כא)</w:t>
      </w:r>
      <w:r w:rsidRPr="003024E5">
        <w:rPr>
          <w:rFonts w:asciiTheme="minorBidi" w:hAnsiTheme="minorBidi"/>
          <w:rtl/>
        </w:rPr>
        <w:t>- אין מערבין מים שהודחו בו קערות של בשר עם מים שהודחו בו קערות של חלב וליתן אותם לפני בהמתו דהוי בשר בחלב ואסור בהנאה.</w:t>
      </w:r>
    </w:p>
    <w:p w14:paraId="4099F031" w14:textId="77777777" w:rsidR="002C39F4" w:rsidRPr="003024E5" w:rsidRDefault="002C39F4" w:rsidP="002C39F4">
      <w:pPr>
        <w:pStyle w:val="a8"/>
        <w:numPr>
          <w:ilvl w:val="0"/>
          <w:numId w:val="86"/>
        </w:numPr>
        <w:rPr>
          <w:rFonts w:asciiTheme="minorBidi" w:hAnsiTheme="minorBidi"/>
          <w:rtl/>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ל דין ו)</w:t>
      </w:r>
      <w:r w:rsidRPr="003024E5">
        <w:rPr>
          <w:rFonts w:asciiTheme="minorBidi" w:hAnsiTheme="minorBidi"/>
          <w:rtl/>
        </w:rPr>
        <w:t>- אין להקפיד כולי האי אמנם המחמיר תבא עליו ברכה.</w:t>
      </w:r>
    </w:p>
    <w:p w14:paraId="6CA06502" w14:textId="77777777" w:rsidR="002C39F4" w:rsidRPr="003024E5" w:rsidRDefault="002C39F4" w:rsidP="002C39F4">
      <w:pPr>
        <w:rPr>
          <w:rFonts w:asciiTheme="minorBidi" w:hAnsiTheme="minorBidi"/>
          <w:rtl/>
        </w:rPr>
      </w:pPr>
      <w:r w:rsidRPr="003024E5">
        <w:rPr>
          <w:rFonts w:asciiTheme="minorBidi" w:hAnsiTheme="minorBidi"/>
          <w:u w:val="single"/>
          <w:rtl/>
        </w:rPr>
        <w:t>קדרות שמחממין בהן מים בתנור של בית החורף:</w:t>
      </w:r>
      <w:r w:rsidRPr="003024E5">
        <w:rPr>
          <w:rFonts w:asciiTheme="minorBidi" w:hAnsiTheme="minorBidi"/>
          <w:sz w:val="16"/>
          <w:szCs w:val="16"/>
          <w:rtl/>
        </w:rPr>
        <w:t xml:space="preserve">   (דרכ"מ [אות א])</w:t>
      </w:r>
    </w:p>
    <w:p w14:paraId="604FFC6E" w14:textId="77777777" w:rsidR="002C39F4" w:rsidRPr="003024E5" w:rsidRDefault="002C39F4" w:rsidP="0032102C">
      <w:pPr>
        <w:pStyle w:val="a8"/>
        <w:numPr>
          <w:ilvl w:val="0"/>
          <w:numId w:val="142"/>
        </w:numPr>
        <w:rPr>
          <w:rFonts w:asciiTheme="minorBidi" w:hAnsiTheme="minorBidi"/>
          <w:rtl/>
        </w:rPr>
      </w:pPr>
      <w:r w:rsidRPr="003024E5">
        <w:rPr>
          <w:rFonts w:asciiTheme="minorBidi" w:hAnsiTheme="minorBidi"/>
          <w:rtl/>
        </w:rPr>
        <w:t xml:space="preserve">מהרי"ו </w:t>
      </w:r>
      <w:r w:rsidRPr="003024E5">
        <w:rPr>
          <w:rFonts w:asciiTheme="minorBidi" w:hAnsiTheme="minorBidi"/>
          <w:sz w:val="16"/>
          <w:szCs w:val="16"/>
          <w:rtl/>
        </w:rPr>
        <w:t>(שם סי' כד)</w:t>
      </w:r>
      <w:r w:rsidRPr="003024E5">
        <w:rPr>
          <w:rFonts w:asciiTheme="minorBidi" w:hAnsiTheme="minorBidi"/>
          <w:rtl/>
        </w:rPr>
        <w:t>- הקדרות שהן עשויין בתוך התנורים של בית החורף ומחממין בו מים אין להסתפק מאותן מים לא לבשר ולא לחלב משום דלפעמים משימין קדרות עם בשר לתוך התנור ומתיז ממנו על אותן קדרות או צולין בו בשר ולפעמים משימין לשם קדרות של חלב ומתיז עליו</w:t>
      </w:r>
      <w:r w:rsidRPr="003024E5">
        <w:rPr>
          <w:rStyle w:val="a7"/>
          <w:rFonts w:asciiTheme="minorBidi" w:hAnsiTheme="minorBidi"/>
          <w:rtl/>
        </w:rPr>
        <w:footnoteReference w:id="1046"/>
      </w:r>
      <w:r w:rsidRPr="003024E5">
        <w:rPr>
          <w:rFonts w:asciiTheme="minorBidi" w:hAnsiTheme="minorBidi"/>
          <w:rtl/>
        </w:rPr>
        <w:t>.</w:t>
      </w:r>
    </w:p>
    <w:p w14:paraId="7793E7CB" w14:textId="77777777" w:rsidR="002C39F4" w:rsidRPr="003024E5" w:rsidRDefault="002C39F4" w:rsidP="002C39F4">
      <w:pPr>
        <w:rPr>
          <w:rFonts w:asciiTheme="minorBidi" w:hAnsiTheme="minorBidi"/>
          <w:rtl/>
        </w:rPr>
      </w:pPr>
      <w:r w:rsidRPr="003024E5">
        <w:rPr>
          <w:rFonts w:asciiTheme="minorBidi" w:hAnsiTheme="minorBidi"/>
          <w:u w:val="single"/>
          <w:rtl/>
        </w:rPr>
        <w:t>מים שחופפים בהם שיש בהם אפר מהכירה:</w:t>
      </w:r>
      <w:r w:rsidRPr="003024E5">
        <w:rPr>
          <w:rFonts w:asciiTheme="minorBidi" w:hAnsiTheme="minorBidi"/>
          <w:sz w:val="16"/>
          <w:szCs w:val="16"/>
          <w:rtl/>
        </w:rPr>
        <w:t xml:space="preserve">   (דרכ"מ [אות א])</w:t>
      </w:r>
    </w:p>
    <w:p w14:paraId="00303CCD" w14:textId="77777777" w:rsidR="002C39F4" w:rsidRPr="003024E5" w:rsidRDefault="002C39F4" w:rsidP="0032102C">
      <w:pPr>
        <w:pStyle w:val="a8"/>
        <w:numPr>
          <w:ilvl w:val="0"/>
          <w:numId w:val="142"/>
        </w:numPr>
        <w:rPr>
          <w:rFonts w:asciiTheme="minorBidi" w:hAnsiTheme="minorBidi"/>
          <w:rtl/>
        </w:rPr>
      </w:pPr>
      <w:r w:rsidRPr="003024E5">
        <w:rPr>
          <w:rFonts w:asciiTheme="minorBidi" w:hAnsiTheme="minorBidi"/>
          <w:rtl/>
        </w:rPr>
        <w:t>מהרי"ל</w:t>
      </w:r>
      <w:r w:rsidRPr="003024E5">
        <w:rPr>
          <w:rFonts w:asciiTheme="minorBidi" w:hAnsiTheme="minorBidi"/>
          <w:sz w:val="16"/>
          <w:szCs w:val="16"/>
          <w:rtl/>
        </w:rPr>
        <w:t xml:space="preserve"> (מנהגים הל' או"ה עב א)</w:t>
      </w:r>
      <w:r w:rsidRPr="003024E5">
        <w:rPr>
          <w:rFonts w:asciiTheme="minorBidi" w:hAnsiTheme="minorBidi"/>
          <w:rtl/>
        </w:rPr>
        <w:t xml:space="preserve">- מים שחופפין בו הראש אסור לתקנן בכלי כשר משום דהקיטמא </w:t>
      </w:r>
      <w:r w:rsidRPr="003024E5">
        <w:rPr>
          <w:rFonts w:asciiTheme="minorBidi" w:hAnsiTheme="minorBidi"/>
          <w:sz w:val="16"/>
          <w:szCs w:val="16"/>
          <w:rtl/>
        </w:rPr>
        <w:t xml:space="preserve">{אפר} </w:t>
      </w:r>
      <w:r w:rsidRPr="003024E5">
        <w:rPr>
          <w:rFonts w:asciiTheme="minorBidi" w:hAnsiTheme="minorBidi"/>
          <w:rtl/>
        </w:rPr>
        <w:t>שעושין בו המים רובן נוטלין מן הכירה אצל האש ונתבשלו שם קדרות חלב וקדרות בשר נמצא בשר וחלב מעורבין בה, ופעם אחת רצו לבשל בסיר של נחושת שעושין בו אלו המים וצוה מהרי"ל להגעילו.</w:t>
      </w:r>
    </w:p>
    <w:p w14:paraId="5599473C" w14:textId="77777777" w:rsidR="002C39F4" w:rsidRPr="003024E5" w:rsidRDefault="002C39F4" w:rsidP="002C39F4">
      <w:pPr>
        <w:rPr>
          <w:rFonts w:asciiTheme="minorBidi" w:hAnsiTheme="minorBidi"/>
          <w:rtl/>
        </w:rPr>
      </w:pPr>
      <w:r w:rsidRPr="003024E5">
        <w:rPr>
          <w:rFonts w:asciiTheme="minorBidi" w:hAnsiTheme="minorBidi"/>
          <w:u w:val="single"/>
          <w:rtl/>
        </w:rPr>
        <w:t>גוי המבשל בשר לעצמו בבית ישראל:</w:t>
      </w:r>
      <w:r w:rsidRPr="003024E5">
        <w:rPr>
          <w:rFonts w:asciiTheme="minorBidi" w:hAnsiTheme="minorBidi"/>
          <w:sz w:val="16"/>
          <w:szCs w:val="16"/>
          <w:rtl/>
        </w:rPr>
        <w:t xml:space="preserve">   (דרכ"מ [אות א])</w:t>
      </w:r>
    </w:p>
    <w:p w14:paraId="744E9C91" w14:textId="77777777" w:rsidR="002C39F4" w:rsidRPr="003024E5" w:rsidRDefault="002C39F4" w:rsidP="0032102C">
      <w:pPr>
        <w:pStyle w:val="a8"/>
        <w:numPr>
          <w:ilvl w:val="0"/>
          <w:numId w:val="142"/>
        </w:numPr>
        <w:rPr>
          <w:rFonts w:asciiTheme="minorBidi" w:hAnsiTheme="minorBidi"/>
          <w:rtl/>
        </w:rPr>
      </w:pPr>
      <w:r w:rsidRPr="003024E5">
        <w:rPr>
          <w:rFonts w:asciiTheme="minorBidi" w:hAnsiTheme="minorBidi"/>
          <w:rtl/>
        </w:rPr>
        <w:t xml:space="preserve">רבינו ברוך </w:t>
      </w:r>
      <w:r w:rsidRPr="003024E5">
        <w:rPr>
          <w:rFonts w:asciiTheme="minorBidi" w:hAnsiTheme="minorBidi"/>
          <w:sz w:val="16"/>
          <w:szCs w:val="16"/>
          <w:rtl/>
        </w:rPr>
        <w:t>(הביאו הגמ"ר [פ"ג דע"ז, שלט"ג שם אות ט])</w:t>
      </w:r>
      <w:r w:rsidRPr="003024E5">
        <w:rPr>
          <w:rFonts w:asciiTheme="minorBidi" w:hAnsiTheme="minorBidi"/>
          <w:rtl/>
        </w:rPr>
        <w:t>- אסור לבשל בשר אסור בבית ישראל בקדרה של גוי, שמא יחתה הישראל בגחלים תחתיה ושמא בישל בה הגוי בשר בחלב או בשר וחלב לבדו ובחיתוי עובר על לא תבשל, והיה מצריך לשפחה היושבת ברשות ישראל שתי קדרות אחת של חלב ואחת של בשר.</w:t>
      </w:r>
    </w:p>
    <w:p w14:paraId="06D951C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A21FBF4" w14:textId="77777777" w:rsidR="002C39F4" w:rsidRPr="003024E5" w:rsidRDefault="002C39F4" w:rsidP="002C39F4">
      <w:pPr>
        <w:rPr>
          <w:rFonts w:asciiTheme="minorBidi" w:hAnsiTheme="minorBidi"/>
          <w:rtl/>
        </w:rPr>
      </w:pPr>
      <w:r w:rsidRPr="003024E5">
        <w:rPr>
          <w:rFonts w:asciiTheme="minorBidi" w:hAnsiTheme="minorBidi"/>
          <w:rtl/>
        </w:rPr>
        <w:t>המעושן והמבושל בחמי טבריה אין לוקין עליו</w:t>
      </w:r>
      <w:r w:rsidRPr="003024E5">
        <w:rPr>
          <w:rStyle w:val="a7"/>
          <w:rFonts w:asciiTheme="minorBidi" w:hAnsiTheme="minorBidi"/>
          <w:rtl/>
        </w:rPr>
        <w:footnoteReference w:id="1047"/>
      </w:r>
      <w:r w:rsidRPr="003024E5">
        <w:rPr>
          <w:rFonts w:asciiTheme="minorBidi" w:hAnsiTheme="minorBidi"/>
          <w:rtl/>
        </w:rPr>
        <w:t>, וכן המבשל בשר במי חלב או בחלב מתה</w:t>
      </w:r>
      <w:r w:rsidRPr="003024E5">
        <w:rPr>
          <w:rStyle w:val="a7"/>
          <w:rFonts w:asciiTheme="minorBidi" w:hAnsiTheme="minorBidi"/>
          <w:rtl/>
        </w:rPr>
        <w:footnoteReference w:id="1048"/>
      </w:r>
      <w:r w:rsidRPr="003024E5">
        <w:rPr>
          <w:rFonts w:asciiTheme="minorBidi" w:hAnsiTheme="minorBidi"/>
          <w:rtl/>
        </w:rPr>
        <w:t xml:space="preserve"> או בחלב זכר או שבישל דם בחלב פטור, ואין לוקין על אכילתו משום בשר בחלב</w:t>
      </w:r>
      <w:r w:rsidRPr="003024E5">
        <w:rPr>
          <w:rStyle w:val="a7"/>
          <w:rFonts w:asciiTheme="minorBidi" w:hAnsiTheme="minorBidi"/>
          <w:rtl/>
        </w:rPr>
        <w:footnoteReference w:id="1049"/>
      </w:r>
      <w:r w:rsidRPr="003024E5">
        <w:rPr>
          <w:rFonts w:asciiTheme="minorBidi" w:hAnsiTheme="minorBidi"/>
          <w:rtl/>
        </w:rPr>
        <w:t xml:space="preserve">. </w:t>
      </w:r>
      <w:r w:rsidRPr="003024E5">
        <w:rPr>
          <w:rFonts w:asciiTheme="minorBidi" w:hAnsiTheme="minorBidi"/>
          <w:sz w:val="18"/>
          <w:szCs w:val="18"/>
          <w:rtl/>
        </w:rPr>
        <w:t>הגה: וחלב זכר לא מקרי חלב כלל</w:t>
      </w:r>
      <w:r w:rsidRPr="003024E5">
        <w:rPr>
          <w:rStyle w:val="a7"/>
          <w:rFonts w:asciiTheme="minorBidi" w:hAnsiTheme="minorBidi"/>
          <w:sz w:val="18"/>
          <w:szCs w:val="18"/>
          <w:rtl/>
        </w:rPr>
        <w:footnoteReference w:id="1050"/>
      </w:r>
      <w:r w:rsidRPr="003024E5">
        <w:rPr>
          <w:rFonts w:asciiTheme="minorBidi" w:hAnsiTheme="minorBidi"/>
          <w:sz w:val="18"/>
          <w:szCs w:val="18"/>
          <w:rtl/>
        </w:rPr>
        <w:t>, ואם נפל לתוך קדירה של בשר אינו אוסר, אבל חלב מתה ומי חלב</w:t>
      </w:r>
      <w:r w:rsidRPr="003024E5">
        <w:rPr>
          <w:rStyle w:val="a7"/>
          <w:rFonts w:asciiTheme="minorBidi" w:hAnsiTheme="minorBidi"/>
          <w:sz w:val="18"/>
          <w:szCs w:val="18"/>
          <w:rtl/>
        </w:rPr>
        <w:footnoteReference w:id="1051"/>
      </w:r>
      <w:r w:rsidRPr="003024E5">
        <w:rPr>
          <w:rFonts w:asciiTheme="minorBidi" w:hAnsiTheme="minorBidi"/>
          <w:sz w:val="18"/>
          <w:szCs w:val="18"/>
          <w:rtl/>
        </w:rPr>
        <w:t xml:space="preserve"> אוסרים המאכל כמו חלב עצמה</w:t>
      </w:r>
      <w:r w:rsidRPr="003024E5">
        <w:rPr>
          <w:rStyle w:val="a7"/>
          <w:rFonts w:asciiTheme="minorBidi" w:hAnsiTheme="minorBidi"/>
          <w:sz w:val="18"/>
          <w:szCs w:val="18"/>
          <w:rtl/>
        </w:rPr>
        <w:footnoteReference w:id="1052"/>
      </w:r>
      <w:r w:rsidRPr="003024E5">
        <w:rPr>
          <w:rFonts w:asciiTheme="minorBidi" w:hAnsiTheme="minorBidi"/>
          <w:sz w:val="18"/>
          <w:szCs w:val="18"/>
          <w:rtl/>
        </w:rPr>
        <w:t>, ואפילו בבישול יש לאסור לכתחלה (כ"מ בארוך כלל לא). יש אומרים דאסור לחתות האש תחת קדירה של גוי לפי שהם מבשלים בהם פעמים חלב פעמים בשר והמחתה תחת קדירה שלהם בא לידי בישול בשר בחלב</w:t>
      </w:r>
      <w:r w:rsidRPr="003024E5">
        <w:rPr>
          <w:rStyle w:val="a7"/>
          <w:rFonts w:asciiTheme="minorBidi" w:hAnsiTheme="minorBidi"/>
          <w:sz w:val="18"/>
          <w:szCs w:val="18"/>
          <w:rtl/>
        </w:rPr>
        <w:footnoteReference w:id="1053"/>
      </w:r>
      <w:r w:rsidRPr="003024E5">
        <w:rPr>
          <w:rFonts w:asciiTheme="minorBidi" w:hAnsiTheme="minorBidi"/>
          <w:sz w:val="18"/>
          <w:szCs w:val="18"/>
          <w:rtl/>
        </w:rPr>
        <w:t xml:space="preserve"> (הגמ"ר). עוד כתבו דאין לערב מים שהדיחו בהם כלי בשר עם מים שהדיחו בהם כלי חלב וליתן לפני בהמה דאסורים בהנאה</w:t>
      </w:r>
      <w:r w:rsidRPr="003024E5">
        <w:rPr>
          <w:rStyle w:val="a7"/>
          <w:rFonts w:asciiTheme="minorBidi" w:hAnsiTheme="minorBidi"/>
          <w:sz w:val="18"/>
          <w:szCs w:val="18"/>
          <w:rtl/>
        </w:rPr>
        <w:footnoteReference w:id="1054"/>
      </w:r>
      <w:r w:rsidRPr="003024E5">
        <w:rPr>
          <w:rFonts w:asciiTheme="minorBidi" w:hAnsiTheme="minorBidi"/>
          <w:sz w:val="18"/>
          <w:szCs w:val="18"/>
          <w:rtl/>
        </w:rPr>
        <w:t xml:space="preserve"> (מהרי"ו). עוד כתבו דהכלי שעושין בו מים לחפיפת הראש אין לשמש בו</w:t>
      </w:r>
      <w:r w:rsidRPr="003024E5">
        <w:rPr>
          <w:rStyle w:val="a7"/>
          <w:rFonts w:asciiTheme="minorBidi" w:hAnsiTheme="minorBidi"/>
          <w:sz w:val="18"/>
          <w:szCs w:val="18"/>
          <w:rtl/>
        </w:rPr>
        <w:footnoteReference w:id="1055"/>
      </w:r>
      <w:r w:rsidRPr="003024E5">
        <w:rPr>
          <w:rFonts w:asciiTheme="minorBidi" w:hAnsiTheme="minorBidi"/>
          <w:sz w:val="18"/>
          <w:szCs w:val="18"/>
          <w:rtl/>
        </w:rPr>
        <w:t>, דעושין אותה מאפר שעל הכירה ורגילות הוא להתערב שם בשר וחלב (מהרי"ל). ולכן יש לאסור גם כן להשתמש מן הקדירות של התנורים שבבית החורף משום דנתזים עליהם לפעמים בשר וחלב מן הקדרות שמבשלים בתנורים (מהרי"ו), ובדיעבד אין לחוש בכל זה, ואף לכתחלה אין בזה אלא חומרות בעלמא</w:t>
      </w:r>
      <w:r w:rsidRPr="003024E5">
        <w:rPr>
          <w:rStyle w:val="a7"/>
          <w:rFonts w:asciiTheme="minorBidi" w:hAnsiTheme="minorBidi"/>
          <w:sz w:val="18"/>
          <w:szCs w:val="18"/>
          <w:rtl/>
        </w:rPr>
        <w:footnoteReference w:id="1056"/>
      </w:r>
      <w:r w:rsidRPr="003024E5">
        <w:rPr>
          <w:rFonts w:asciiTheme="minorBidi" w:hAnsiTheme="minorBidi"/>
          <w:sz w:val="18"/>
          <w:szCs w:val="18"/>
          <w:rtl/>
        </w:rPr>
        <w:t xml:space="preserve"> והמיקל לא הפסיד.</w:t>
      </w:r>
      <w:r w:rsidRPr="003024E5">
        <w:rPr>
          <w:rFonts w:asciiTheme="minorBidi" w:hAnsiTheme="minorBidi"/>
          <w:rtl/>
        </w:rPr>
        <w:t xml:space="preserve"> </w:t>
      </w:r>
    </w:p>
    <w:p w14:paraId="64CBAB3C" w14:textId="77777777" w:rsidR="002C39F4" w:rsidRPr="003024E5" w:rsidRDefault="002C39F4" w:rsidP="002C39F4">
      <w:pPr>
        <w:rPr>
          <w:rFonts w:asciiTheme="minorBidi" w:hAnsiTheme="minorBidi"/>
          <w:rtl/>
        </w:rPr>
      </w:pPr>
    </w:p>
    <w:p w14:paraId="747516B4" w14:textId="77777777" w:rsidR="002C39F4" w:rsidRPr="003024E5" w:rsidRDefault="002C39F4" w:rsidP="002C39F4">
      <w:pPr>
        <w:pStyle w:val="2"/>
        <w:rPr>
          <w:rFonts w:asciiTheme="minorBidi" w:hAnsiTheme="minorBidi"/>
          <w:rtl/>
        </w:rPr>
      </w:pPr>
      <w:r w:rsidRPr="003024E5">
        <w:rPr>
          <w:rFonts w:asciiTheme="minorBidi" w:hAnsiTheme="minorBidi"/>
          <w:rtl/>
        </w:rPr>
        <w:t xml:space="preserve">סעיף ז: המבשל בחלב חלקים מסויימים שאינם בשר ממש. </w:t>
      </w:r>
    </w:p>
    <w:p w14:paraId="4AF4E589"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קיג ע"ב: </w:t>
      </w:r>
      <w:r w:rsidRPr="003024E5">
        <w:rPr>
          <w:rFonts w:asciiTheme="minorBidi" w:hAnsiTheme="minorBidi"/>
          <w:u w:val="single"/>
          <w:rtl/>
        </w:rPr>
        <w:t>אמר שמואל</w:t>
      </w:r>
      <w:r w:rsidRPr="003024E5">
        <w:rPr>
          <w:rFonts w:asciiTheme="minorBidi" w:hAnsiTheme="minorBidi"/>
          <w:rtl/>
        </w:rPr>
        <w:t>... גדי</w:t>
      </w:r>
      <w:r>
        <w:rPr>
          <w:rFonts w:asciiTheme="minorBidi" w:hAnsiTheme="minorBidi" w:hint="cs"/>
          <w:rtl/>
        </w:rPr>
        <w:t xml:space="preserve"> </w:t>
      </w:r>
      <w:r w:rsidRPr="003024E5">
        <w:rPr>
          <w:rFonts w:asciiTheme="minorBidi" w:hAnsiTheme="minorBidi"/>
          <w:rtl/>
        </w:rPr>
        <w:t>- לרבות את השליל... גדי</w:t>
      </w:r>
      <w:r>
        <w:rPr>
          <w:rFonts w:asciiTheme="minorBidi" w:hAnsiTheme="minorBidi" w:hint="cs"/>
          <w:rtl/>
        </w:rPr>
        <w:t xml:space="preserve"> </w:t>
      </w:r>
      <w:r w:rsidRPr="003024E5">
        <w:rPr>
          <w:rFonts w:asciiTheme="minorBidi" w:hAnsiTheme="minorBidi"/>
          <w:rtl/>
        </w:rPr>
        <w:t xml:space="preserve">- להוציא את השליא... </w:t>
      </w:r>
      <w:r w:rsidRPr="00A22C20">
        <w:rPr>
          <w:rFonts w:asciiTheme="minorBidi" w:hAnsiTheme="minorBidi"/>
          <w:sz w:val="14"/>
          <w:szCs w:val="14"/>
          <w:rtl/>
        </w:rPr>
        <w:t>(קיד.)</w:t>
      </w:r>
      <w:r w:rsidRPr="00A22C20">
        <w:rPr>
          <w:rFonts w:asciiTheme="minorBidi" w:hAnsiTheme="minorBidi"/>
          <w:rtl/>
        </w:rPr>
        <w:t xml:space="preserve"> </w:t>
      </w:r>
      <w:r w:rsidRPr="003024E5">
        <w:rPr>
          <w:rFonts w:asciiTheme="minorBidi" w:hAnsiTheme="minorBidi"/>
          <w:rtl/>
        </w:rPr>
        <w:t>העצמות והגידים והקרנים והטלפים</w:t>
      </w:r>
      <w:r w:rsidRPr="003024E5">
        <w:rPr>
          <w:rStyle w:val="a7"/>
          <w:rFonts w:asciiTheme="minorBidi" w:hAnsiTheme="minorBidi"/>
          <w:rtl/>
        </w:rPr>
        <w:footnoteReference w:id="1057"/>
      </w:r>
      <w:r w:rsidRPr="003024E5">
        <w:rPr>
          <w:rFonts w:asciiTheme="minorBidi" w:hAnsiTheme="minorBidi"/>
          <w:rtl/>
        </w:rPr>
        <w:t xml:space="preserve"> שבשלן בחלב</w:t>
      </w:r>
      <w:r>
        <w:rPr>
          <w:rFonts w:asciiTheme="minorBidi" w:hAnsiTheme="minorBidi" w:hint="cs"/>
          <w:rtl/>
        </w:rPr>
        <w:t xml:space="preserve"> </w:t>
      </w:r>
      <w:r w:rsidRPr="003024E5">
        <w:rPr>
          <w:rFonts w:asciiTheme="minorBidi" w:hAnsiTheme="minorBidi"/>
          <w:rtl/>
        </w:rPr>
        <w:t>- פטור.</w:t>
      </w:r>
    </w:p>
    <w:p w14:paraId="3016933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D1A3B4F" w14:textId="77777777" w:rsidR="002C39F4" w:rsidRPr="003024E5" w:rsidRDefault="002C39F4" w:rsidP="002C39F4">
      <w:pPr>
        <w:rPr>
          <w:rFonts w:asciiTheme="minorBidi" w:hAnsiTheme="minorBidi"/>
          <w:rtl/>
        </w:rPr>
      </w:pPr>
      <w:r w:rsidRPr="003024E5">
        <w:rPr>
          <w:rFonts w:asciiTheme="minorBidi" w:hAnsiTheme="minorBidi"/>
          <w:rtl/>
        </w:rPr>
        <w:t>המבשל שליל בחלב חייב, וכן האוכלו, אבל המבשל שליא או עור וגידים ועצמות ועיקרי קרנים וטלפים הרכים פטור, וכן האוכלם פטור</w:t>
      </w:r>
      <w:r w:rsidRPr="003024E5">
        <w:rPr>
          <w:rStyle w:val="a7"/>
          <w:rFonts w:asciiTheme="minorBidi" w:hAnsiTheme="minorBidi"/>
          <w:rtl/>
        </w:rPr>
        <w:footnoteReference w:id="1058"/>
      </w:r>
      <w:r w:rsidRPr="003024E5">
        <w:rPr>
          <w:rFonts w:asciiTheme="minorBidi" w:hAnsiTheme="minorBidi"/>
          <w:rtl/>
        </w:rPr>
        <w:t>.</w:t>
      </w:r>
    </w:p>
    <w:p w14:paraId="2262247C" w14:textId="77777777" w:rsidR="002C39F4" w:rsidRDefault="002C39F4" w:rsidP="002C39F4">
      <w:pPr>
        <w:rPr>
          <w:rFonts w:asciiTheme="minorBidi" w:hAnsiTheme="minorBidi" w:cs="Arial"/>
          <w:rtl/>
        </w:rPr>
      </w:pPr>
      <w:r w:rsidRPr="001541A9">
        <w:rPr>
          <w:rFonts w:asciiTheme="minorBidi" w:hAnsiTheme="minorBidi" w:cs="Arial"/>
          <w:u w:val="single"/>
          <w:rtl/>
        </w:rPr>
        <w:t>תבשיל של חלב שנמצא בתוכו עצם חלול</w:t>
      </w:r>
      <w:r w:rsidRPr="001541A9">
        <w:rPr>
          <w:rFonts w:asciiTheme="minorBidi" w:hAnsiTheme="minorBidi" w:cs="Arial" w:hint="cs"/>
          <w:u w:val="single"/>
          <w:rtl/>
        </w:rPr>
        <w:t>:</w:t>
      </w:r>
      <w:r w:rsidRPr="00B60796">
        <w:rPr>
          <w:rFonts w:asciiTheme="minorBidi" w:hAnsiTheme="minorBidi" w:cs="Arial"/>
          <w:rtl/>
        </w:rPr>
        <w:t xml:space="preserve"> </w:t>
      </w:r>
      <w:r w:rsidRPr="001541A9">
        <w:rPr>
          <w:rFonts w:asciiTheme="minorBidi" w:hAnsiTheme="minorBidi" w:cs="Arial"/>
          <w:sz w:val="16"/>
          <w:szCs w:val="16"/>
          <w:rtl/>
        </w:rPr>
        <w:t>(</w:t>
      </w:r>
      <w:r w:rsidRPr="001541A9">
        <w:rPr>
          <w:rFonts w:asciiTheme="minorBidi" w:hAnsiTheme="minorBidi" w:cs="Arial" w:hint="cs"/>
          <w:sz w:val="16"/>
          <w:szCs w:val="16"/>
          <w:rtl/>
        </w:rPr>
        <w:t>פת"ש סק</w:t>
      </w:r>
      <w:r w:rsidRPr="001541A9">
        <w:rPr>
          <w:rFonts w:asciiTheme="minorBidi" w:hAnsiTheme="minorBidi" w:cs="Arial"/>
          <w:sz w:val="16"/>
          <w:szCs w:val="16"/>
          <w:rtl/>
        </w:rPr>
        <w:t>ט</w:t>
      </w:r>
      <w:r w:rsidRPr="001541A9">
        <w:rPr>
          <w:rFonts w:asciiTheme="minorBidi" w:hAnsiTheme="minorBidi" w:cs="Arial" w:hint="cs"/>
          <w:sz w:val="16"/>
          <w:szCs w:val="16"/>
          <w:rtl/>
        </w:rPr>
        <w:t>"</w:t>
      </w:r>
      <w:r w:rsidRPr="001541A9">
        <w:rPr>
          <w:rFonts w:asciiTheme="minorBidi" w:hAnsiTheme="minorBidi" w:cs="Arial"/>
          <w:sz w:val="16"/>
          <w:szCs w:val="16"/>
          <w:rtl/>
        </w:rPr>
        <w:t>ו)</w:t>
      </w:r>
      <w:r w:rsidRPr="00B60796">
        <w:rPr>
          <w:rFonts w:asciiTheme="minorBidi" w:hAnsiTheme="minorBidi" w:cs="Arial"/>
          <w:rtl/>
        </w:rPr>
        <w:t xml:space="preserve"> </w:t>
      </w:r>
    </w:p>
    <w:p w14:paraId="2A1E7A59" w14:textId="77777777" w:rsidR="002C39F4" w:rsidRPr="001541A9" w:rsidRDefault="002C39F4" w:rsidP="0032102C">
      <w:pPr>
        <w:pStyle w:val="a8"/>
        <w:numPr>
          <w:ilvl w:val="0"/>
          <w:numId w:val="142"/>
        </w:numPr>
        <w:rPr>
          <w:rFonts w:asciiTheme="minorBidi" w:hAnsiTheme="minorBidi"/>
        </w:rPr>
      </w:pPr>
      <w:r w:rsidRPr="001541A9">
        <w:rPr>
          <w:rFonts w:asciiTheme="minorBidi" w:hAnsiTheme="minorBidi" w:cs="Arial"/>
          <w:rtl/>
        </w:rPr>
        <w:t xml:space="preserve">מנחת יעקב </w:t>
      </w:r>
      <w:r w:rsidRPr="001541A9">
        <w:rPr>
          <w:rFonts w:asciiTheme="minorBidi" w:hAnsiTheme="minorBidi" w:cs="Arial" w:hint="cs"/>
          <w:sz w:val="16"/>
          <w:szCs w:val="16"/>
          <w:rtl/>
        </w:rPr>
        <w:t>(</w:t>
      </w:r>
      <w:r w:rsidRPr="001541A9">
        <w:rPr>
          <w:rFonts w:asciiTheme="minorBidi" w:hAnsiTheme="minorBidi" w:cs="Arial"/>
          <w:sz w:val="16"/>
          <w:szCs w:val="16"/>
          <w:rtl/>
        </w:rPr>
        <w:t>סי</w:t>
      </w:r>
      <w:r w:rsidRPr="001541A9">
        <w:rPr>
          <w:rFonts w:asciiTheme="minorBidi" w:hAnsiTheme="minorBidi" w:cs="Arial" w:hint="cs"/>
          <w:sz w:val="16"/>
          <w:szCs w:val="16"/>
          <w:rtl/>
        </w:rPr>
        <w:t>'</w:t>
      </w:r>
      <w:r w:rsidRPr="001541A9">
        <w:rPr>
          <w:rFonts w:asciiTheme="minorBidi" w:hAnsiTheme="minorBidi" w:cs="Arial"/>
          <w:sz w:val="16"/>
          <w:szCs w:val="16"/>
          <w:rtl/>
        </w:rPr>
        <w:t xml:space="preserve"> טז</w:t>
      </w:r>
      <w:r w:rsidRPr="001541A9">
        <w:rPr>
          <w:rFonts w:asciiTheme="minorBidi" w:hAnsiTheme="minorBidi" w:cs="Arial" w:hint="cs"/>
          <w:sz w:val="16"/>
          <w:szCs w:val="16"/>
          <w:rtl/>
        </w:rPr>
        <w:t>)</w:t>
      </w:r>
      <w:r w:rsidRPr="001541A9">
        <w:rPr>
          <w:rFonts w:asciiTheme="minorBidi" w:hAnsiTheme="minorBidi" w:cs="Arial" w:hint="cs"/>
          <w:rtl/>
        </w:rPr>
        <w:t xml:space="preserve">- </w:t>
      </w:r>
      <w:r w:rsidRPr="001541A9">
        <w:rPr>
          <w:rFonts w:asciiTheme="minorBidi" w:hAnsiTheme="minorBidi" w:cs="Arial"/>
          <w:rtl/>
        </w:rPr>
        <w:t>תבשיל של חלב שנמצא בתוכו עצם חלול ויש להסתפק דלמא היה בתוכו מוח ונמס תוך התבשיל וליכא ס' בתבשיל נגד אותו החלול שבעצם אסור דספק איסור דאורייתא לחומרא</w:t>
      </w:r>
      <w:r>
        <w:rPr>
          <w:rFonts w:asciiTheme="minorBidi" w:hAnsiTheme="minorBidi" w:cs="Arial" w:hint="cs"/>
          <w:rtl/>
        </w:rPr>
        <w:t>.</w:t>
      </w:r>
      <w:r w:rsidRPr="001541A9">
        <w:rPr>
          <w:rFonts w:asciiTheme="minorBidi" w:hAnsiTheme="minorBidi" w:cs="Arial"/>
          <w:rtl/>
        </w:rPr>
        <w:t xml:space="preserve"> </w:t>
      </w:r>
    </w:p>
    <w:p w14:paraId="6E485EE1" w14:textId="77777777" w:rsidR="002C39F4" w:rsidRPr="001541A9" w:rsidRDefault="002C39F4" w:rsidP="0032102C">
      <w:pPr>
        <w:pStyle w:val="a8"/>
        <w:numPr>
          <w:ilvl w:val="0"/>
          <w:numId w:val="142"/>
        </w:numPr>
        <w:rPr>
          <w:rFonts w:asciiTheme="minorBidi" w:hAnsiTheme="minorBidi"/>
        </w:rPr>
      </w:pPr>
      <w:r w:rsidRPr="001541A9">
        <w:rPr>
          <w:rFonts w:asciiTheme="minorBidi" w:hAnsiTheme="minorBidi" w:cs="Arial"/>
          <w:rtl/>
        </w:rPr>
        <w:t>ב</w:t>
      </w:r>
      <w:r>
        <w:rPr>
          <w:rFonts w:asciiTheme="minorBidi" w:hAnsiTheme="minorBidi" w:cs="Arial" w:hint="cs"/>
          <w:rtl/>
        </w:rPr>
        <w:t xml:space="preserve">ית לחם יהודה </w:t>
      </w:r>
      <w:r w:rsidRPr="001541A9">
        <w:rPr>
          <w:rFonts w:asciiTheme="minorBidi" w:hAnsiTheme="minorBidi" w:cs="Arial" w:hint="cs"/>
          <w:sz w:val="16"/>
          <w:szCs w:val="16"/>
          <w:rtl/>
        </w:rPr>
        <w:t>(</w:t>
      </w:r>
      <w:r w:rsidRPr="001541A9">
        <w:rPr>
          <w:rFonts w:asciiTheme="minorBidi" w:hAnsiTheme="minorBidi" w:cs="Arial"/>
          <w:sz w:val="16"/>
          <w:szCs w:val="16"/>
          <w:rtl/>
        </w:rPr>
        <w:t>סי</w:t>
      </w:r>
      <w:r w:rsidRPr="001541A9">
        <w:rPr>
          <w:rFonts w:asciiTheme="minorBidi" w:hAnsiTheme="minorBidi" w:cs="Arial" w:hint="cs"/>
          <w:sz w:val="16"/>
          <w:szCs w:val="16"/>
          <w:rtl/>
        </w:rPr>
        <w:t>'</w:t>
      </w:r>
      <w:r w:rsidRPr="001541A9">
        <w:rPr>
          <w:rFonts w:asciiTheme="minorBidi" w:hAnsiTheme="minorBidi" w:cs="Arial"/>
          <w:sz w:val="16"/>
          <w:szCs w:val="16"/>
          <w:rtl/>
        </w:rPr>
        <w:t xml:space="preserve"> צט</w:t>
      </w:r>
      <w:r w:rsidRPr="001541A9">
        <w:rPr>
          <w:rFonts w:asciiTheme="minorBidi" w:hAnsiTheme="minorBidi" w:cs="Arial" w:hint="cs"/>
          <w:sz w:val="16"/>
          <w:szCs w:val="16"/>
          <w:rtl/>
        </w:rPr>
        <w:t>)</w:t>
      </w:r>
      <w:r>
        <w:rPr>
          <w:rFonts w:asciiTheme="minorBidi" w:hAnsiTheme="minorBidi" w:cs="Arial" w:hint="cs"/>
          <w:rtl/>
        </w:rPr>
        <w:t>-</w:t>
      </w:r>
      <w:r w:rsidRPr="001541A9">
        <w:rPr>
          <w:rFonts w:asciiTheme="minorBidi" w:hAnsiTheme="minorBidi" w:cs="Arial"/>
          <w:rtl/>
        </w:rPr>
        <w:t xml:space="preserve"> </w:t>
      </w:r>
      <w:r>
        <w:rPr>
          <w:rFonts w:asciiTheme="minorBidi" w:hAnsiTheme="minorBidi" w:cs="Arial" w:hint="cs"/>
          <w:rtl/>
        </w:rPr>
        <w:t>מותר</w:t>
      </w:r>
      <w:r w:rsidRPr="001541A9">
        <w:rPr>
          <w:rFonts w:asciiTheme="minorBidi" w:hAnsiTheme="minorBidi" w:cs="Arial"/>
          <w:rtl/>
        </w:rPr>
        <w:t xml:space="preserve"> דלא מחזקינן איסורא לומר שהיה בתוכו מוח</w:t>
      </w:r>
      <w:r>
        <w:rPr>
          <w:rStyle w:val="a7"/>
          <w:rFonts w:asciiTheme="minorBidi" w:hAnsiTheme="minorBidi" w:cs="Arial"/>
          <w:rtl/>
        </w:rPr>
        <w:footnoteReference w:id="1059"/>
      </w:r>
      <w:r>
        <w:rPr>
          <w:rFonts w:asciiTheme="minorBidi" w:hAnsiTheme="minorBidi" w:cs="Arial" w:hint="cs"/>
          <w:rtl/>
        </w:rPr>
        <w:t>.</w:t>
      </w:r>
      <w:r w:rsidRPr="001541A9">
        <w:rPr>
          <w:rFonts w:asciiTheme="minorBidi" w:hAnsiTheme="minorBidi" w:cs="Arial"/>
          <w:rtl/>
        </w:rPr>
        <w:t xml:space="preserve"> </w:t>
      </w:r>
    </w:p>
    <w:p w14:paraId="696CC091" w14:textId="77777777" w:rsidR="002C39F4" w:rsidRPr="001541A9" w:rsidRDefault="002C39F4" w:rsidP="002C39F4">
      <w:pPr>
        <w:rPr>
          <w:rFonts w:asciiTheme="minorBidi" w:hAnsiTheme="minorBidi"/>
          <w:rtl/>
        </w:rPr>
      </w:pPr>
    </w:p>
    <w:p w14:paraId="0C246AFF" w14:textId="77777777" w:rsidR="002C39F4" w:rsidRPr="003024E5" w:rsidRDefault="002C39F4" w:rsidP="002C39F4">
      <w:pPr>
        <w:pStyle w:val="2"/>
        <w:rPr>
          <w:rFonts w:asciiTheme="minorBidi" w:hAnsiTheme="minorBidi"/>
          <w:rtl/>
        </w:rPr>
      </w:pPr>
      <w:r w:rsidRPr="003024E5">
        <w:rPr>
          <w:rFonts w:asciiTheme="minorBidi" w:hAnsiTheme="minorBidi"/>
          <w:rtl/>
        </w:rPr>
        <w:t>סעיף ח: נסיובי דחלבא.</w:t>
      </w:r>
    </w:p>
    <w:p w14:paraId="6C2976D3"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קיד ע"א: </w:t>
      </w:r>
      <w:r w:rsidRPr="003024E5">
        <w:rPr>
          <w:rFonts w:asciiTheme="minorBidi" w:hAnsiTheme="minorBidi"/>
          <w:rtl/>
        </w:rPr>
        <w:t>המבשל במי חלב</w:t>
      </w:r>
      <w:r>
        <w:rPr>
          <w:rFonts w:asciiTheme="minorBidi" w:hAnsiTheme="minorBidi" w:hint="cs"/>
          <w:rtl/>
        </w:rPr>
        <w:t xml:space="preserve"> </w:t>
      </w:r>
      <w:r w:rsidRPr="003024E5">
        <w:rPr>
          <w:rFonts w:asciiTheme="minorBidi" w:hAnsiTheme="minorBidi"/>
          <w:rtl/>
        </w:rPr>
        <w:t xml:space="preserve">- פטור. </w:t>
      </w:r>
    </w:p>
    <w:p w14:paraId="0DC073B7" w14:textId="77777777" w:rsidR="002C39F4" w:rsidRPr="003024E5" w:rsidRDefault="002C39F4" w:rsidP="002C39F4">
      <w:pPr>
        <w:rPr>
          <w:rFonts w:asciiTheme="minorBidi" w:hAnsiTheme="minorBidi"/>
          <w:rtl/>
        </w:rPr>
      </w:pPr>
      <w:r w:rsidRPr="003024E5">
        <w:rPr>
          <w:rFonts w:asciiTheme="minorBidi" w:hAnsiTheme="minorBidi"/>
          <w:u w:val="single"/>
          <w:rtl/>
        </w:rPr>
        <w:t>בישול בשר במי חלב:</w:t>
      </w:r>
    </w:p>
    <w:p w14:paraId="2B23FF16" w14:textId="77777777" w:rsidR="002C39F4" w:rsidRPr="003024E5" w:rsidRDefault="002C39F4" w:rsidP="0032102C">
      <w:pPr>
        <w:pStyle w:val="a8"/>
        <w:numPr>
          <w:ilvl w:val="0"/>
          <w:numId w:val="142"/>
        </w:numPr>
        <w:rPr>
          <w:rFonts w:asciiTheme="minorBidi" w:hAnsiTheme="minorBidi"/>
          <w:rtl/>
        </w:rPr>
      </w:pPr>
      <w:r w:rsidRPr="003024E5">
        <w:rPr>
          <w:rFonts w:asciiTheme="minorBidi" w:hAnsiTheme="minorBidi"/>
          <w:rtl/>
        </w:rPr>
        <w:t xml:space="preserve">תוס' </w:t>
      </w:r>
      <w:r w:rsidRPr="003024E5">
        <w:rPr>
          <w:rFonts w:asciiTheme="minorBidi" w:hAnsiTheme="minorBidi"/>
          <w:sz w:val="16"/>
          <w:szCs w:val="16"/>
          <w:rtl/>
        </w:rPr>
        <w:t>(ד"ה המבשל)</w:t>
      </w:r>
      <w:r w:rsidRPr="003024E5">
        <w:rPr>
          <w:rFonts w:asciiTheme="minorBidi" w:hAnsiTheme="minorBidi"/>
          <w:rtl/>
        </w:rPr>
        <w:t xml:space="preserve">- איסורא מיהא איכא דהא כותח מנסיובי דחלבא עבדי ליה כדאמר בריש אלו עוברין </w:t>
      </w:r>
      <w:r w:rsidRPr="003024E5">
        <w:rPr>
          <w:rFonts w:asciiTheme="minorBidi" w:hAnsiTheme="minorBidi"/>
          <w:sz w:val="16"/>
          <w:szCs w:val="16"/>
          <w:rtl/>
        </w:rPr>
        <w:t xml:space="preserve">(פסחים מב.) </w:t>
      </w:r>
      <w:r w:rsidRPr="003024E5">
        <w:rPr>
          <w:rFonts w:asciiTheme="minorBidi" w:hAnsiTheme="minorBidi"/>
          <w:rtl/>
        </w:rPr>
        <w:t xml:space="preserve">ואמרינן לעיל </w:t>
      </w:r>
      <w:r w:rsidRPr="003024E5">
        <w:rPr>
          <w:rFonts w:asciiTheme="minorBidi" w:hAnsiTheme="minorBidi"/>
          <w:sz w:val="16"/>
          <w:szCs w:val="16"/>
          <w:rtl/>
        </w:rPr>
        <w:t xml:space="preserve">(חולין קיא:) </w:t>
      </w:r>
      <w:r w:rsidRPr="003024E5">
        <w:rPr>
          <w:rFonts w:asciiTheme="minorBidi" w:hAnsiTheme="minorBidi"/>
          <w:rtl/>
        </w:rPr>
        <w:t xml:space="preserve">דאסור לאכול בשר בכותח. </w:t>
      </w:r>
      <w:r>
        <w:rPr>
          <w:rFonts w:asciiTheme="minorBidi" w:hAnsiTheme="minorBidi" w:hint="cs"/>
          <w:rtl/>
        </w:rPr>
        <w:t>(וכ"פ הפר"ח</w:t>
      </w:r>
      <w:r>
        <w:rPr>
          <w:rFonts w:asciiTheme="minorBidi" w:hAnsiTheme="minorBidi" w:hint="cs"/>
          <w:sz w:val="16"/>
          <w:szCs w:val="16"/>
          <w:rtl/>
        </w:rPr>
        <w:t xml:space="preserve"> [סקכ"א]</w:t>
      </w:r>
      <w:r>
        <w:rPr>
          <w:rFonts w:asciiTheme="minorBidi" w:hAnsiTheme="minorBidi" w:hint="cs"/>
          <w:rtl/>
        </w:rPr>
        <w:t>)</w:t>
      </w:r>
    </w:p>
    <w:p w14:paraId="1EFDAD09" w14:textId="77777777" w:rsidR="002C39F4" w:rsidRPr="003024E5" w:rsidRDefault="002C39F4" w:rsidP="0032102C">
      <w:pPr>
        <w:pStyle w:val="a8"/>
        <w:numPr>
          <w:ilvl w:val="0"/>
          <w:numId w:val="142"/>
        </w:numPr>
        <w:rPr>
          <w:rFonts w:asciiTheme="minorBidi" w:hAnsiTheme="minorBidi"/>
          <w:rtl/>
        </w:rPr>
      </w:pPr>
      <w:r w:rsidRPr="003024E5">
        <w:rPr>
          <w:rFonts w:asciiTheme="minorBidi" w:hAnsiTheme="minorBidi"/>
          <w:rtl/>
        </w:rPr>
        <w:t xml:space="preserve">רא"ש </w:t>
      </w:r>
      <w:r w:rsidRPr="003024E5">
        <w:rPr>
          <w:rFonts w:asciiTheme="minorBidi" w:hAnsiTheme="minorBidi"/>
          <w:sz w:val="16"/>
          <w:szCs w:val="16"/>
          <w:rtl/>
        </w:rPr>
        <w:t>(פ"ח סי' נא)</w:t>
      </w:r>
      <w:r w:rsidRPr="003024E5">
        <w:rPr>
          <w:rFonts w:asciiTheme="minorBidi" w:hAnsiTheme="minorBidi"/>
          <w:rtl/>
        </w:rPr>
        <w:t xml:space="preserve">- </w:t>
      </w:r>
      <w:r w:rsidRPr="003024E5">
        <w:rPr>
          <w:rStyle w:val="a7"/>
          <w:rFonts w:asciiTheme="minorBidi" w:hAnsiTheme="minorBidi"/>
          <w:rtl/>
        </w:rPr>
        <w:footnoteReference w:id="1060"/>
      </w:r>
      <w:r w:rsidRPr="003024E5">
        <w:rPr>
          <w:rFonts w:asciiTheme="minorBidi" w:hAnsiTheme="minorBidi"/>
          <w:rtl/>
        </w:rPr>
        <w:t>אני אומר דנסיובי דחלבא אסור מדאו', ומי חלב דפטור היינו שהוציאו ממנו כל האוכל, דאחר שעשו הגבינה מבשלין החלב והאוכל צף למעלה ולא נשאר בו אלא מים בעלמא והוא הנקרא מי חלב</w:t>
      </w:r>
      <w:r w:rsidRPr="003024E5">
        <w:rPr>
          <w:rStyle w:val="a7"/>
          <w:rFonts w:asciiTheme="minorBidi" w:hAnsiTheme="minorBidi"/>
          <w:rtl/>
        </w:rPr>
        <w:footnoteReference w:id="1061"/>
      </w:r>
      <w:r w:rsidRPr="003024E5">
        <w:rPr>
          <w:rFonts w:asciiTheme="minorBidi" w:hAnsiTheme="minorBidi"/>
          <w:rtl/>
        </w:rPr>
        <w:t>.</w:t>
      </w:r>
      <w:r>
        <w:rPr>
          <w:rFonts w:asciiTheme="minorBidi" w:hAnsiTheme="minorBidi" w:hint="cs"/>
          <w:rtl/>
        </w:rPr>
        <w:t xml:space="preserve"> </w:t>
      </w:r>
      <w:r w:rsidRPr="00F256FF">
        <w:rPr>
          <w:rFonts w:asciiTheme="minorBidi" w:hAnsiTheme="minorBidi" w:hint="cs"/>
          <w:color w:val="E36C0A" w:themeColor="accent6" w:themeShade="BF"/>
          <w:rtl/>
        </w:rPr>
        <w:t>(וכ"</w:t>
      </w:r>
      <w:r>
        <w:rPr>
          <w:rFonts w:asciiTheme="minorBidi" w:hAnsiTheme="minorBidi" w:hint="cs"/>
          <w:color w:val="E36C0A" w:themeColor="accent6" w:themeShade="BF"/>
          <w:rtl/>
        </w:rPr>
        <w:t>פ</w:t>
      </w:r>
      <w:r w:rsidRPr="00F256FF">
        <w:rPr>
          <w:rFonts w:asciiTheme="minorBidi" w:hAnsiTheme="minorBidi" w:hint="cs"/>
          <w:color w:val="E36C0A" w:themeColor="accent6" w:themeShade="BF"/>
          <w:rtl/>
        </w:rPr>
        <w:t xml:space="preserve"> בשו"ע)</w:t>
      </w:r>
    </w:p>
    <w:p w14:paraId="04E3F50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83C07AD" w14:textId="77777777" w:rsidR="002C39F4" w:rsidRPr="003024E5" w:rsidRDefault="002C39F4" w:rsidP="002C39F4">
      <w:pPr>
        <w:rPr>
          <w:rFonts w:asciiTheme="minorBidi" w:hAnsiTheme="minorBidi"/>
          <w:rtl/>
        </w:rPr>
      </w:pPr>
      <w:r w:rsidRPr="003024E5">
        <w:rPr>
          <w:rFonts w:asciiTheme="minorBidi" w:hAnsiTheme="minorBidi"/>
          <w:rtl/>
        </w:rPr>
        <w:t xml:space="preserve">יש מי שאומר דנסיובי דחלבא </w:t>
      </w:r>
      <w:r w:rsidRPr="003024E5">
        <w:rPr>
          <w:rFonts w:asciiTheme="minorBidi" w:hAnsiTheme="minorBidi"/>
          <w:sz w:val="14"/>
          <w:szCs w:val="14"/>
          <w:rtl/>
        </w:rPr>
        <w:t>(פי' חלב המתמצה מקפאון הגבינה)</w:t>
      </w:r>
      <w:r w:rsidRPr="003024E5">
        <w:rPr>
          <w:rFonts w:asciiTheme="minorBidi" w:hAnsiTheme="minorBidi"/>
          <w:rtl/>
        </w:rPr>
        <w:t xml:space="preserve"> אינם בכלל מי חלב ואסור מן התורה, אלא מי חלב היינו אחר שעושים הגבינות מבשלים הנסיובי והאוכל צף מלמעלה ולא נשאר בו אלא מים בעלמא, זהו הנקרא מי חלב. </w:t>
      </w:r>
    </w:p>
    <w:p w14:paraId="71FF5488" w14:textId="77777777" w:rsidR="002C39F4" w:rsidRPr="003024E5" w:rsidRDefault="002C39F4" w:rsidP="002C39F4">
      <w:pPr>
        <w:rPr>
          <w:rFonts w:asciiTheme="minorBidi" w:hAnsiTheme="minorBidi"/>
          <w:rtl/>
        </w:rPr>
      </w:pPr>
    </w:p>
    <w:p w14:paraId="6B5AD9B1" w14:textId="77777777" w:rsidR="002C39F4" w:rsidRPr="003024E5" w:rsidRDefault="002C39F4" w:rsidP="002C39F4">
      <w:pPr>
        <w:pStyle w:val="2"/>
        <w:rPr>
          <w:rFonts w:asciiTheme="minorBidi" w:hAnsiTheme="minorBidi"/>
          <w:rtl/>
        </w:rPr>
      </w:pPr>
      <w:r w:rsidRPr="003024E5">
        <w:rPr>
          <w:rFonts w:asciiTheme="minorBidi" w:hAnsiTheme="minorBidi"/>
          <w:rtl/>
        </w:rPr>
        <w:t>סעיף ט: חלב הנמצא בקיבה.</w:t>
      </w:r>
    </w:p>
    <w:p w14:paraId="175E57E9"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קט ע"ב: </w:t>
      </w:r>
      <w:r w:rsidRPr="003024E5">
        <w:rPr>
          <w:rFonts w:asciiTheme="minorBidi" w:hAnsiTheme="minorBidi"/>
          <w:rtl/>
        </w:rPr>
        <w:t>תניא כלישנא קמא דרב: כחל שבשלו בחלבו - מותר, קבה שבשלה בחלבה - אסור, ומה הפרש בין זה לזה - זה כנוס במעיו</w:t>
      </w:r>
      <w:r>
        <w:rPr>
          <w:rStyle w:val="a7"/>
          <w:rFonts w:asciiTheme="minorBidi" w:hAnsiTheme="minorBidi"/>
          <w:rtl/>
        </w:rPr>
        <w:footnoteReference w:id="1062"/>
      </w:r>
      <w:r w:rsidRPr="003024E5">
        <w:rPr>
          <w:rFonts w:asciiTheme="minorBidi" w:hAnsiTheme="minorBidi"/>
          <w:rtl/>
        </w:rPr>
        <w:t>, וזה אין כנוס במעיו.</w:t>
      </w:r>
    </w:p>
    <w:p w14:paraId="195F3BD2"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קטז ע"ב: </w:t>
      </w:r>
      <w:r w:rsidRPr="003024E5">
        <w:rPr>
          <w:rFonts w:asciiTheme="minorBidi" w:hAnsiTheme="minorBidi"/>
          <w:rtl/>
        </w:rPr>
        <w:t>הלכתא אין מעמידין בעור קבת נבלה</w:t>
      </w:r>
      <w:r>
        <w:rPr>
          <w:rFonts w:asciiTheme="minorBidi" w:hAnsiTheme="minorBidi" w:hint="cs"/>
          <w:rtl/>
        </w:rPr>
        <w:t>,</w:t>
      </w:r>
      <w:r w:rsidRPr="003024E5">
        <w:rPr>
          <w:rFonts w:asciiTheme="minorBidi" w:hAnsiTheme="minorBidi"/>
          <w:rtl/>
        </w:rPr>
        <w:t xml:space="preserve"> אבל מעמידין בקבת</w:t>
      </w:r>
      <w:r>
        <w:rPr>
          <w:rStyle w:val="a7"/>
          <w:rFonts w:asciiTheme="minorBidi" w:hAnsiTheme="minorBidi"/>
          <w:rtl/>
        </w:rPr>
        <w:footnoteReference w:id="1063"/>
      </w:r>
      <w:r w:rsidRPr="003024E5">
        <w:rPr>
          <w:rFonts w:asciiTheme="minorBidi" w:hAnsiTheme="minorBidi"/>
          <w:rtl/>
        </w:rPr>
        <w:t xml:space="preserve"> נבלה ובקבת שחיטת עובד כוכבים</w:t>
      </w:r>
      <w:r>
        <w:rPr>
          <w:rFonts w:asciiTheme="minorBidi" w:hAnsiTheme="minorBidi" w:hint="cs"/>
          <w:rtl/>
        </w:rPr>
        <w:t xml:space="preserve"> </w:t>
      </w:r>
      <w:r w:rsidRPr="003024E5">
        <w:rPr>
          <w:rFonts w:asciiTheme="minorBidi" w:hAnsiTheme="minorBidi"/>
          <w:rtl/>
        </w:rPr>
        <w:t>(ובקבת כשרה שינקה מן הטרפה וכ"ש בקבת טרפה שינקה מן הכשרה, מ"ט- חלב המכונס בה פירשא בעלמא הוא)</w:t>
      </w:r>
      <w:r w:rsidRPr="003024E5">
        <w:rPr>
          <w:rStyle w:val="a7"/>
          <w:rFonts w:asciiTheme="minorBidi" w:hAnsiTheme="minorBidi"/>
          <w:rtl/>
        </w:rPr>
        <w:footnoteReference w:id="1064"/>
      </w:r>
      <w:r w:rsidRPr="003024E5">
        <w:rPr>
          <w:rFonts w:asciiTheme="minorBidi" w:hAnsiTheme="minorBidi"/>
          <w:rtl/>
        </w:rPr>
        <w:t xml:space="preserve">. </w:t>
      </w:r>
    </w:p>
    <w:p w14:paraId="7586A746" w14:textId="77777777" w:rsidR="002C39F4" w:rsidRPr="003024E5" w:rsidRDefault="002C39F4" w:rsidP="002C39F4">
      <w:pPr>
        <w:rPr>
          <w:rFonts w:asciiTheme="minorBidi" w:hAnsiTheme="minorBidi"/>
          <w:u w:val="single"/>
          <w:rtl/>
        </w:rPr>
      </w:pPr>
      <w:r w:rsidRPr="003024E5">
        <w:rPr>
          <w:rFonts w:asciiTheme="minorBidi" w:hAnsiTheme="minorBidi"/>
          <w:u w:val="single"/>
          <w:rtl/>
        </w:rPr>
        <w:t>חלב הנמצא בקיבת הבהמה:</w:t>
      </w:r>
    </w:p>
    <w:p w14:paraId="49CC2D47" w14:textId="77777777" w:rsidR="002C39F4" w:rsidRPr="003024E5" w:rsidRDefault="002C39F4" w:rsidP="0032102C">
      <w:pPr>
        <w:pStyle w:val="a8"/>
        <w:numPr>
          <w:ilvl w:val="0"/>
          <w:numId w:val="145"/>
        </w:numPr>
        <w:rPr>
          <w:rFonts w:asciiTheme="minorBidi" w:hAnsiTheme="minorBidi"/>
        </w:rPr>
      </w:pPr>
      <w:r w:rsidRPr="003024E5">
        <w:rPr>
          <w:rFonts w:asciiTheme="minorBidi" w:hAnsiTheme="minorBidi"/>
          <w:rtl/>
        </w:rPr>
        <w:t xml:space="preserve">רי"ף </w:t>
      </w:r>
      <w:r w:rsidRPr="003024E5">
        <w:rPr>
          <w:rFonts w:asciiTheme="minorBidi" w:hAnsiTheme="minorBidi"/>
          <w:sz w:val="16"/>
          <w:szCs w:val="16"/>
          <w:rtl/>
        </w:rPr>
        <w:t xml:space="preserve">(מג.) </w:t>
      </w:r>
      <w:r w:rsidRPr="003024E5">
        <w:rPr>
          <w:rFonts w:asciiTheme="minorBidi" w:hAnsiTheme="minorBidi"/>
          <w:rtl/>
        </w:rPr>
        <w:t xml:space="preserve">רמב"ם </w:t>
      </w:r>
      <w:r w:rsidRPr="003024E5">
        <w:rPr>
          <w:rFonts w:asciiTheme="minorBidi" w:hAnsiTheme="minorBidi"/>
          <w:sz w:val="16"/>
          <w:szCs w:val="16"/>
          <w:rtl/>
        </w:rPr>
        <w:t xml:space="preserve">(פ"ט הט"ו) </w:t>
      </w:r>
      <w:r w:rsidRPr="003024E5">
        <w:rPr>
          <w:rFonts w:asciiTheme="minorBidi" w:hAnsiTheme="minorBidi"/>
          <w:rtl/>
        </w:rPr>
        <w:t>ורשב"א</w:t>
      </w:r>
      <w:r w:rsidRPr="003024E5">
        <w:rPr>
          <w:rStyle w:val="a7"/>
          <w:rFonts w:asciiTheme="minorBidi" w:hAnsiTheme="minorBidi"/>
          <w:rtl/>
        </w:rPr>
        <w:footnoteReference w:id="1065"/>
      </w:r>
      <w:r w:rsidRPr="003024E5">
        <w:rPr>
          <w:rFonts w:asciiTheme="minorBidi" w:hAnsiTheme="minorBidi"/>
          <w:rtl/>
        </w:rPr>
        <w:t>- קיבה שבשלה בחלב שבה מותרת שאינו חלב אלא הרי הוא כטנופת שהרי ישתנה במעים</w:t>
      </w:r>
      <w:r w:rsidRPr="003024E5">
        <w:rPr>
          <w:rFonts w:asciiTheme="minorBidi" w:hAnsiTheme="minorBidi"/>
          <w:sz w:val="16"/>
          <w:szCs w:val="16"/>
          <w:rtl/>
        </w:rPr>
        <w:t xml:space="preserve"> (ל' הרמב"ם)</w:t>
      </w:r>
      <w:r w:rsidRPr="003024E5">
        <w:rPr>
          <w:rStyle w:val="a7"/>
          <w:rFonts w:asciiTheme="minorBidi" w:hAnsiTheme="minorBidi"/>
          <w:rtl/>
        </w:rPr>
        <w:footnoteReference w:id="1066"/>
      </w:r>
      <w:r w:rsidRPr="003024E5">
        <w:rPr>
          <w:rFonts w:asciiTheme="minorBidi" w:hAnsiTheme="minorBidi"/>
          <w:rtl/>
        </w:rPr>
        <w:t xml:space="preserve">. </w:t>
      </w:r>
      <w:r w:rsidRPr="003024E5">
        <w:rPr>
          <w:rFonts w:asciiTheme="minorBidi" w:hAnsiTheme="minorBidi"/>
          <w:color w:val="E36C0A" w:themeColor="accent6" w:themeShade="BF"/>
          <w:rtl/>
        </w:rPr>
        <w:t>(וכ"פ בשו"ע</w:t>
      </w:r>
      <w:r w:rsidRPr="003024E5">
        <w:rPr>
          <w:rStyle w:val="a7"/>
          <w:rFonts w:asciiTheme="minorBidi" w:hAnsiTheme="minorBidi"/>
          <w:rtl/>
        </w:rPr>
        <w:footnoteReference w:id="1067"/>
      </w:r>
      <w:r w:rsidRPr="003024E5">
        <w:rPr>
          <w:rFonts w:asciiTheme="minorBidi" w:hAnsiTheme="minorBidi"/>
          <w:color w:val="E36C0A" w:themeColor="accent6" w:themeShade="BF"/>
          <w:rtl/>
        </w:rPr>
        <w:t>)</w:t>
      </w:r>
    </w:p>
    <w:p w14:paraId="38F1D895" w14:textId="77777777" w:rsidR="002C39F4" w:rsidRPr="003024E5" w:rsidRDefault="002C39F4" w:rsidP="0032102C">
      <w:pPr>
        <w:pStyle w:val="a8"/>
        <w:numPr>
          <w:ilvl w:val="0"/>
          <w:numId w:val="145"/>
        </w:numPr>
        <w:rPr>
          <w:rFonts w:asciiTheme="minorBidi" w:hAnsiTheme="minorBidi"/>
        </w:rPr>
      </w:pPr>
      <w:r w:rsidRPr="003024E5">
        <w:rPr>
          <w:rFonts w:asciiTheme="minorBidi" w:hAnsiTheme="minorBidi"/>
          <w:rtl/>
        </w:rPr>
        <w:t xml:space="preserve">ר"ת </w:t>
      </w:r>
      <w:r w:rsidRPr="003024E5">
        <w:rPr>
          <w:rFonts w:asciiTheme="minorBidi" w:hAnsiTheme="minorBidi"/>
          <w:sz w:val="16"/>
          <w:szCs w:val="16"/>
          <w:rtl/>
        </w:rPr>
        <w:t>(תוס' ד"ה הכי גרסינן)</w:t>
      </w:r>
      <w:r w:rsidRPr="003024E5">
        <w:rPr>
          <w:rFonts w:asciiTheme="minorBidi" w:hAnsiTheme="minorBidi"/>
          <w:rtl/>
        </w:rPr>
        <w:t xml:space="preserve"> (ורא"ש </w:t>
      </w:r>
      <w:r w:rsidRPr="003024E5">
        <w:rPr>
          <w:rFonts w:asciiTheme="minorBidi" w:hAnsiTheme="minorBidi"/>
          <w:sz w:val="16"/>
          <w:szCs w:val="16"/>
          <w:rtl/>
        </w:rPr>
        <w:t>להב' הטור</w:t>
      </w:r>
      <w:r w:rsidRPr="003024E5">
        <w:rPr>
          <w:rFonts w:asciiTheme="minorBidi" w:hAnsiTheme="minorBidi"/>
          <w:rtl/>
        </w:rPr>
        <w:t>)- כל שהוא צלול עדיין שם חלב עליו</w:t>
      </w:r>
      <w:r w:rsidRPr="003024E5">
        <w:rPr>
          <w:rStyle w:val="a7"/>
          <w:rFonts w:asciiTheme="minorBidi" w:hAnsiTheme="minorBidi"/>
          <w:rtl/>
        </w:rPr>
        <w:footnoteReference w:id="1068"/>
      </w:r>
      <w:r w:rsidRPr="003024E5">
        <w:rPr>
          <w:rFonts w:asciiTheme="minorBidi" w:hAnsiTheme="minorBidi"/>
          <w:rtl/>
        </w:rPr>
        <w:t>, ואם נקרש יצא מתורת חלב והוי פירשא בעלמא</w:t>
      </w:r>
      <w:r w:rsidRPr="003024E5">
        <w:rPr>
          <w:rStyle w:val="a7"/>
          <w:rFonts w:asciiTheme="minorBidi" w:hAnsiTheme="minorBidi"/>
          <w:rtl/>
        </w:rPr>
        <w:footnoteReference w:id="1069"/>
      </w:r>
      <w:r w:rsidRPr="003024E5">
        <w:rPr>
          <w:rFonts w:asciiTheme="minorBidi" w:hAnsiTheme="minorBidi"/>
          <w:rtl/>
        </w:rPr>
        <w:t>.</w:t>
      </w:r>
      <w:r w:rsidRPr="003024E5">
        <w:rPr>
          <w:rFonts w:asciiTheme="minorBidi" w:hAnsiTheme="minorBidi"/>
          <w:color w:val="00B0F0"/>
          <w:rtl/>
        </w:rPr>
        <w:t xml:space="preserve"> (וכ"פ הרמ"א)</w:t>
      </w:r>
      <w:r>
        <w:rPr>
          <w:rFonts w:asciiTheme="minorBidi" w:hAnsiTheme="minorBidi" w:hint="cs"/>
          <w:rtl/>
        </w:rPr>
        <w:t xml:space="preserve"> </w:t>
      </w:r>
    </w:p>
    <w:p w14:paraId="310E932A" w14:textId="77777777" w:rsidR="002C39F4" w:rsidRPr="003024E5" w:rsidRDefault="002C39F4" w:rsidP="0032102C">
      <w:pPr>
        <w:pStyle w:val="a8"/>
        <w:numPr>
          <w:ilvl w:val="0"/>
          <w:numId w:val="145"/>
        </w:numPr>
        <w:rPr>
          <w:rFonts w:asciiTheme="minorBidi" w:hAnsiTheme="minorBidi"/>
        </w:rPr>
      </w:pPr>
      <w:r w:rsidRPr="003024E5">
        <w:rPr>
          <w:rFonts w:asciiTheme="minorBidi" w:hAnsiTheme="minorBidi"/>
          <w:rtl/>
        </w:rPr>
        <w:t xml:space="preserve">רש"י (רא"ש </w:t>
      </w:r>
      <w:r w:rsidRPr="003024E5">
        <w:rPr>
          <w:rFonts w:asciiTheme="minorBidi" w:hAnsiTheme="minorBidi"/>
          <w:sz w:val="16"/>
          <w:szCs w:val="16"/>
          <w:rtl/>
        </w:rPr>
        <w:t>להב' הב"י</w:t>
      </w:r>
      <w:r w:rsidRPr="003024E5">
        <w:rPr>
          <w:rStyle w:val="a7"/>
          <w:rFonts w:asciiTheme="minorBidi" w:hAnsiTheme="minorBidi"/>
          <w:rtl/>
        </w:rPr>
        <w:footnoteReference w:id="1070"/>
      </w:r>
      <w:r w:rsidRPr="003024E5">
        <w:rPr>
          <w:rFonts w:asciiTheme="minorBidi" w:hAnsiTheme="minorBidi"/>
          <w:rtl/>
        </w:rPr>
        <w:t>) ר"ן ו</w:t>
      </w:r>
      <w:r>
        <w:rPr>
          <w:rFonts w:asciiTheme="minorBidi" w:hAnsiTheme="minorBidi"/>
          <w:rtl/>
        </w:rPr>
        <w:t>או"ה</w:t>
      </w:r>
      <w:r w:rsidRPr="003024E5">
        <w:rPr>
          <w:rStyle w:val="a7"/>
          <w:rFonts w:asciiTheme="minorBidi" w:hAnsiTheme="minorBidi"/>
          <w:rtl/>
        </w:rPr>
        <w:footnoteReference w:id="1071"/>
      </w:r>
      <w:r w:rsidRPr="003024E5">
        <w:rPr>
          <w:rFonts w:asciiTheme="minorBidi" w:hAnsiTheme="minorBidi"/>
          <w:rtl/>
        </w:rPr>
        <w:t>- מקרי חלב, לכן אסור לבשל בו בשר</w:t>
      </w:r>
      <w:r w:rsidRPr="003024E5">
        <w:rPr>
          <w:rStyle w:val="a7"/>
          <w:rFonts w:asciiTheme="minorBidi" w:hAnsiTheme="minorBidi"/>
          <w:rtl/>
        </w:rPr>
        <w:footnoteReference w:id="1072"/>
      </w:r>
      <w:r w:rsidRPr="003024E5">
        <w:rPr>
          <w:rFonts w:asciiTheme="minorBidi" w:hAnsiTheme="minorBidi"/>
          <w:rtl/>
        </w:rPr>
        <w:t>. (וכ"פ רש"ל)</w:t>
      </w:r>
    </w:p>
    <w:p w14:paraId="17306D3B" w14:textId="77777777" w:rsidR="002C39F4" w:rsidRPr="00DE5425" w:rsidRDefault="002C39F4" w:rsidP="0032102C">
      <w:pPr>
        <w:pStyle w:val="a8"/>
        <w:numPr>
          <w:ilvl w:val="0"/>
          <w:numId w:val="145"/>
        </w:numPr>
        <w:rPr>
          <w:rFonts w:asciiTheme="minorBidi" w:hAnsiTheme="minorBidi"/>
        </w:rPr>
      </w:pPr>
      <w:r w:rsidRPr="003024E5">
        <w:rPr>
          <w:rFonts w:asciiTheme="minorBidi" w:hAnsiTheme="minorBidi"/>
          <w:rtl/>
        </w:rPr>
        <w:t xml:space="preserve">רבינו שמחה </w:t>
      </w:r>
      <w:r w:rsidRPr="003024E5">
        <w:rPr>
          <w:rFonts w:asciiTheme="minorBidi" w:hAnsiTheme="minorBidi"/>
          <w:sz w:val="16"/>
          <w:szCs w:val="16"/>
          <w:rtl/>
        </w:rPr>
        <w:t>(כ"כ בשמו האו"ז [ע"ז סי' קפז] ו</w:t>
      </w:r>
      <w:r>
        <w:rPr>
          <w:rFonts w:asciiTheme="minorBidi" w:hAnsiTheme="minorBidi"/>
          <w:sz w:val="16"/>
          <w:szCs w:val="16"/>
          <w:rtl/>
        </w:rPr>
        <w:t>הג"א</w:t>
      </w:r>
      <w:r w:rsidRPr="003024E5">
        <w:rPr>
          <w:rFonts w:asciiTheme="minorBidi" w:hAnsiTheme="minorBidi"/>
          <w:sz w:val="16"/>
          <w:szCs w:val="16"/>
          <w:rtl/>
        </w:rPr>
        <w:t xml:space="preserve"> [ע"ז פ"ב סי' כו])</w:t>
      </w:r>
      <w:r w:rsidRPr="003024E5">
        <w:rPr>
          <w:rFonts w:asciiTheme="minorBidi" w:hAnsiTheme="minorBidi"/>
          <w:rtl/>
        </w:rPr>
        <w:t>-</w:t>
      </w:r>
      <w:r>
        <w:rPr>
          <w:rFonts w:asciiTheme="minorBidi" w:hAnsiTheme="minorBidi" w:hint="cs"/>
          <w:rtl/>
        </w:rPr>
        <w:t xml:space="preserve"> </w:t>
      </w:r>
      <w:r w:rsidRPr="00DE5425">
        <w:rPr>
          <w:rFonts w:asciiTheme="minorBidi" w:hAnsiTheme="minorBidi" w:cs="Arial"/>
          <w:rtl/>
        </w:rPr>
        <w:t>בני מעיים שמצאו בהם חלב נהגו בהם איסור לכתחי</w:t>
      </w:r>
      <w:r>
        <w:rPr>
          <w:rFonts w:asciiTheme="minorBidi" w:hAnsiTheme="minorBidi" w:cs="Arial" w:hint="cs"/>
          <w:rtl/>
        </w:rPr>
        <w:t>לה</w:t>
      </w:r>
      <w:r w:rsidRPr="00DE5425">
        <w:rPr>
          <w:rFonts w:asciiTheme="minorBidi" w:hAnsiTheme="minorBidi" w:cs="Arial"/>
          <w:rtl/>
        </w:rPr>
        <w:t xml:space="preserve"> אפי</w:t>
      </w:r>
      <w:r>
        <w:rPr>
          <w:rFonts w:asciiTheme="minorBidi" w:hAnsiTheme="minorBidi" w:cs="Arial" w:hint="cs"/>
          <w:rtl/>
        </w:rPr>
        <w:t>לו</w:t>
      </w:r>
      <w:r w:rsidRPr="00DE5425">
        <w:rPr>
          <w:rFonts w:asciiTheme="minorBidi" w:hAnsiTheme="minorBidi" w:cs="Arial"/>
          <w:rtl/>
        </w:rPr>
        <w:t xml:space="preserve"> לא נמלחו עם החלב מפני שהוא חמוץ שהרי מעמידין בו</w:t>
      </w:r>
      <w:r w:rsidRPr="003024E5">
        <w:rPr>
          <w:rStyle w:val="a7"/>
          <w:rFonts w:asciiTheme="minorBidi" w:hAnsiTheme="minorBidi"/>
          <w:rtl/>
        </w:rPr>
        <w:footnoteReference w:id="1073"/>
      </w:r>
      <w:r w:rsidRPr="00DE5425">
        <w:rPr>
          <w:rFonts w:asciiTheme="minorBidi" w:hAnsiTheme="minorBidi" w:hint="cs"/>
          <w:sz w:val="16"/>
          <w:szCs w:val="16"/>
          <w:rtl/>
        </w:rPr>
        <w:t xml:space="preserve"> (ל' האו"ז</w:t>
      </w:r>
      <w:r>
        <w:rPr>
          <w:rStyle w:val="a7"/>
          <w:rFonts w:asciiTheme="minorBidi" w:hAnsiTheme="minorBidi"/>
          <w:sz w:val="16"/>
          <w:szCs w:val="16"/>
          <w:rtl/>
        </w:rPr>
        <w:footnoteReference w:id="1074"/>
      </w:r>
      <w:r w:rsidRPr="00DE5425">
        <w:rPr>
          <w:rFonts w:asciiTheme="minorBidi" w:hAnsiTheme="minorBidi" w:hint="cs"/>
          <w:sz w:val="16"/>
          <w:szCs w:val="16"/>
          <w:rtl/>
        </w:rPr>
        <w:t>)</w:t>
      </w:r>
      <w:r w:rsidRPr="00DE5425">
        <w:rPr>
          <w:rFonts w:asciiTheme="minorBidi" w:hAnsiTheme="minorBidi" w:hint="cs"/>
          <w:rtl/>
        </w:rPr>
        <w:t>.</w:t>
      </w:r>
    </w:p>
    <w:p w14:paraId="37DB2209" w14:textId="77777777" w:rsidR="002C39F4" w:rsidRPr="003024E5" w:rsidRDefault="002C39F4" w:rsidP="002C39F4">
      <w:pPr>
        <w:ind w:left="360"/>
        <w:rPr>
          <w:rFonts w:asciiTheme="minorBidi" w:hAnsiTheme="minorBidi"/>
          <w:u w:val="dotted"/>
          <w:rtl/>
        </w:rPr>
      </w:pPr>
      <w:r w:rsidRPr="003024E5">
        <w:rPr>
          <w:rFonts w:asciiTheme="minorBidi" w:hAnsiTheme="minorBidi"/>
          <w:u w:val="dotted"/>
          <w:rtl/>
        </w:rPr>
        <w:t>לדעת המתירים</w:t>
      </w:r>
      <w:r>
        <w:rPr>
          <w:rFonts w:asciiTheme="minorBidi" w:hAnsiTheme="minorBidi" w:hint="cs"/>
          <w:u w:val="dotted"/>
          <w:rtl/>
        </w:rPr>
        <w:t xml:space="preserve"> </w:t>
      </w:r>
      <w:r w:rsidRPr="003024E5">
        <w:rPr>
          <w:rFonts w:asciiTheme="minorBidi" w:hAnsiTheme="minorBidi"/>
          <w:u w:val="dotted"/>
          <w:rtl/>
        </w:rPr>
        <w:t xml:space="preserve">- מה הדין אם </w:t>
      </w:r>
      <w:r>
        <w:rPr>
          <w:rFonts w:asciiTheme="minorBidi" w:hAnsiTheme="minorBidi" w:hint="cs"/>
          <w:u w:val="dotted"/>
          <w:rtl/>
        </w:rPr>
        <w:t>ה</w:t>
      </w:r>
      <w:r w:rsidRPr="003024E5">
        <w:rPr>
          <w:rFonts w:asciiTheme="minorBidi" w:hAnsiTheme="minorBidi"/>
          <w:u w:val="dotted"/>
          <w:rtl/>
        </w:rPr>
        <w:t>קיב</w:t>
      </w:r>
      <w:r>
        <w:rPr>
          <w:rFonts w:asciiTheme="minorBidi" w:hAnsiTheme="minorBidi" w:hint="cs"/>
          <w:u w:val="dotted"/>
          <w:rtl/>
        </w:rPr>
        <w:t>ה נכבשה/נמלחה</w:t>
      </w:r>
      <w:r w:rsidRPr="003024E5">
        <w:rPr>
          <w:rFonts w:asciiTheme="minorBidi" w:hAnsiTheme="minorBidi"/>
          <w:u w:val="dotted"/>
          <w:rtl/>
        </w:rPr>
        <w:t xml:space="preserve"> בחלבה</w:t>
      </w:r>
      <w:r w:rsidRPr="003024E5">
        <w:rPr>
          <w:rFonts w:asciiTheme="minorBidi" w:hAnsiTheme="minorBidi"/>
          <w:sz w:val="16"/>
          <w:szCs w:val="16"/>
          <w:u w:val="dotted"/>
          <w:rtl/>
        </w:rPr>
        <w:t xml:space="preserve"> (ונפ"מ האם מותר להעמיד ע"י הקיבה</w:t>
      </w:r>
      <w:r>
        <w:rPr>
          <w:rFonts w:asciiTheme="minorBidi" w:hAnsiTheme="minorBidi" w:hint="cs"/>
          <w:sz w:val="16"/>
          <w:szCs w:val="16"/>
          <w:u w:val="dotted"/>
          <w:rtl/>
        </w:rPr>
        <w:t>/</w:t>
      </w:r>
      <w:r w:rsidRPr="003024E5">
        <w:rPr>
          <w:rFonts w:asciiTheme="minorBidi" w:hAnsiTheme="minorBidi"/>
          <w:sz w:val="16"/>
          <w:szCs w:val="16"/>
          <w:u w:val="dotted"/>
          <w:rtl/>
        </w:rPr>
        <w:t>החלב)</w:t>
      </w:r>
      <w:r w:rsidRPr="003024E5">
        <w:rPr>
          <w:rFonts w:asciiTheme="minorBidi" w:hAnsiTheme="minorBidi"/>
          <w:u w:val="dotted"/>
          <w:rtl/>
        </w:rPr>
        <w:t>:</w:t>
      </w:r>
    </w:p>
    <w:p w14:paraId="6CB5968C" w14:textId="77777777" w:rsidR="002C39F4" w:rsidRPr="003024E5" w:rsidRDefault="002C39F4" w:rsidP="0032102C">
      <w:pPr>
        <w:pStyle w:val="a8"/>
        <w:numPr>
          <w:ilvl w:val="0"/>
          <w:numId w:val="145"/>
        </w:numPr>
        <w:rPr>
          <w:rFonts w:asciiTheme="minorBidi" w:hAnsiTheme="minorBidi"/>
        </w:rPr>
      </w:pPr>
      <w:r w:rsidRPr="003024E5">
        <w:rPr>
          <w:rFonts w:asciiTheme="minorBidi" w:hAnsiTheme="minorBidi"/>
          <w:rtl/>
        </w:rPr>
        <w:t xml:space="preserve">(רי"ף ורמב"ם </w:t>
      </w:r>
      <w:r w:rsidRPr="003024E5">
        <w:rPr>
          <w:rFonts w:asciiTheme="minorBidi" w:hAnsiTheme="minorBidi"/>
          <w:sz w:val="16"/>
          <w:szCs w:val="16"/>
          <w:rtl/>
        </w:rPr>
        <w:t>להב' הטור</w:t>
      </w:r>
      <w:r w:rsidRPr="003024E5">
        <w:rPr>
          <w:rStyle w:val="a7"/>
          <w:rFonts w:asciiTheme="minorBidi" w:hAnsiTheme="minorBidi"/>
          <w:rtl/>
        </w:rPr>
        <w:footnoteReference w:id="1075"/>
      </w:r>
      <w:r w:rsidRPr="003024E5">
        <w:rPr>
          <w:rFonts w:asciiTheme="minorBidi" w:hAnsiTheme="minorBidi"/>
          <w:rtl/>
        </w:rPr>
        <w:t>)- אפילו נמלחה קיבה בחלבה או עמד בה כמה ימים מותר להעמיד בה דכיון דאינה חלב אלא פירשא לית לן בה בין בצלול בין בקרוש.</w:t>
      </w:r>
    </w:p>
    <w:p w14:paraId="0D5D6C8D" w14:textId="77777777" w:rsidR="002C39F4" w:rsidRPr="003024E5" w:rsidRDefault="002C39F4" w:rsidP="0032102C">
      <w:pPr>
        <w:pStyle w:val="a8"/>
        <w:numPr>
          <w:ilvl w:val="0"/>
          <w:numId w:val="145"/>
        </w:numPr>
        <w:rPr>
          <w:rFonts w:asciiTheme="minorBidi" w:hAnsiTheme="minorBidi"/>
        </w:rPr>
      </w:pPr>
      <w:r w:rsidRPr="003024E5">
        <w:rPr>
          <w:rFonts w:asciiTheme="minorBidi" w:hAnsiTheme="minorBidi"/>
          <w:rtl/>
        </w:rPr>
        <w:t xml:space="preserve">(רי"ף ורמב"ם </w:t>
      </w:r>
      <w:r w:rsidRPr="003024E5">
        <w:rPr>
          <w:rFonts w:asciiTheme="minorBidi" w:hAnsiTheme="minorBidi"/>
          <w:sz w:val="16"/>
          <w:szCs w:val="16"/>
          <w:rtl/>
        </w:rPr>
        <w:t>להב' רי"ו</w:t>
      </w:r>
      <w:r w:rsidRPr="003024E5">
        <w:rPr>
          <w:rFonts w:asciiTheme="minorBidi" w:hAnsiTheme="minorBidi"/>
          <w:rtl/>
        </w:rPr>
        <w:t>)- אם נמלח הקיבה בתוך העור אסור להעמיד בה גבינה שאע"פ שהוא פרש בעלמא מ"מ כבר לקחה טעם הבשר וכשמעמיד בה הוה ליה בשר בחלב</w:t>
      </w:r>
      <w:r w:rsidRPr="003024E5">
        <w:rPr>
          <w:rStyle w:val="a7"/>
          <w:rFonts w:asciiTheme="minorBidi" w:hAnsiTheme="minorBidi"/>
          <w:rtl/>
        </w:rPr>
        <w:footnoteReference w:id="1076"/>
      </w:r>
      <w:r w:rsidRPr="003024E5">
        <w:rPr>
          <w:rFonts w:asciiTheme="minorBidi" w:hAnsiTheme="minorBidi"/>
          <w:rtl/>
        </w:rPr>
        <w:t xml:space="preserve">. </w:t>
      </w:r>
    </w:p>
    <w:p w14:paraId="541A2215" w14:textId="77777777" w:rsidR="002C39F4" w:rsidRPr="003024E5" w:rsidRDefault="002C39F4" w:rsidP="0032102C">
      <w:pPr>
        <w:pStyle w:val="a8"/>
        <w:numPr>
          <w:ilvl w:val="0"/>
          <w:numId w:val="145"/>
        </w:numPr>
        <w:rPr>
          <w:rFonts w:asciiTheme="minorBidi" w:hAnsiTheme="minorBidi"/>
        </w:rPr>
      </w:pPr>
      <w:r>
        <w:rPr>
          <w:rFonts w:asciiTheme="minorBidi" w:hAnsiTheme="minorBidi" w:hint="cs"/>
          <w:rtl/>
        </w:rPr>
        <w:t>(</w:t>
      </w:r>
      <w:r w:rsidRPr="003024E5">
        <w:rPr>
          <w:rFonts w:asciiTheme="minorBidi" w:hAnsiTheme="minorBidi"/>
          <w:rtl/>
        </w:rPr>
        <w:t xml:space="preserve">ר"ת ורא"ש </w:t>
      </w:r>
      <w:r w:rsidRPr="003024E5">
        <w:rPr>
          <w:rFonts w:asciiTheme="minorBidi" w:hAnsiTheme="minorBidi"/>
          <w:sz w:val="16"/>
          <w:szCs w:val="16"/>
          <w:rtl/>
        </w:rPr>
        <w:t>להב' הטור</w:t>
      </w:r>
      <w:r w:rsidRPr="003024E5">
        <w:rPr>
          <w:rFonts w:asciiTheme="minorBidi" w:hAnsiTheme="minorBidi"/>
          <w:rtl/>
        </w:rPr>
        <w:t>)- אם מלח הקיבה בחלבה נאסר דמליח כרותח</w:t>
      </w:r>
      <w:r w:rsidRPr="003024E5">
        <w:rPr>
          <w:rStyle w:val="a7"/>
          <w:rFonts w:asciiTheme="minorBidi" w:hAnsiTheme="minorBidi"/>
          <w:rtl/>
        </w:rPr>
        <w:footnoteReference w:id="1077"/>
      </w:r>
      <w:r w:rsidRPr="003024E5">
        <w:rPr>
          <w:rFonts w:asciiTheme="minorBidi" w:hAnsiTheme="minorBidi"/>
          <w:rtl/>
        </w:rPr>
        <w:t>, וכן אם עמד בה יום א' דכבוש כמבושל, ואם העמיד בה גבינות אם יש בהן בנותן טעם אסורות</w:t>
      </w:r>
      <w:r w:rsidRPr="003024E5">
        <w:rPr>
          <w:rStyle w:val="a7"/>
          <w:rFonts w:asciiTheme="minorBidi" w:hAnsiTheme="minorBidi"/>
          <w:rtl/>
        </w:rPr>
        <w:footnoteReference w:id="1078"/>
      </w:r>
      <w:r w:rsidRPr="003024E5">
        <w:rPr>
          <w:rFonts w:asciiTheme="minorBidi" w:hAnsiTheme="minorBidi"/>
          <w:rtl/>
        </w:rPr>
        <w:t>, אבל בקרוש הכל שרי.</w:t>
      </w:r>
      <w:r w:rsidRPr="003024E5">
        <w:rPr>
          <w:rFonts w:asciiTheme="minorBidi" w:hAnsiTheme="minorBidi"/>
          <w:color w:val="00B0F0"/>
          <w:rtl/>
        </w:rPr>
        <w:t xml:space="preserve"> (וכ"פ הרמ"א</w:t>
      </w:r>
      <w:r w:rsidRPr="003024E5">
        <w:rPr>
          <w:rFonts w:asciiTheme="minorBidi" w:hAnsiTheme="minorBidi"/>
          <w:sz w:val="16"/>
          <w:szCs w:val="16"/>
          <w:rtl/>
        </w:rPr>
        <w:t xml:space="preserve"> [סע' י]</w:t>
      </w:r>
      <w:r w:rsidRPr="003024E5">
        <w:rPr>
          <w:rFonts w:asciiTheme="minorBidi" w:hAnsiTheme="minorBidi"/>
          <w:color w:val="00B0F0"/>
          <w:rtl/>
        </w:rPr>
        <w:t>)</w:t>
      </w:r>
    </w:p>
    <w:p w14:paraId="099A56B3" w14:textId="77777777" w:rsidR="002C39F4" w:rsidRPr="003024E5" w:rsidRDefault="002C39F4" w:rsidP="0032102C">
      <w:pPr>
        <w:pStyle w:val="a8"/>
        <w:numPr>
          <w:ilvl w:val="1"/>
          <w:numId w:val="145"/>
        </w:numPr>
        <w:rPr>
          <w:rFonts w:asciiTheme="minorBidi" w:hAnsiTheme="minorBidi"/>
        </w:rPr>
      </w:pPr>
      <w:r w:rsidRPr="003024E5">
        <w:rPr>
          <w:rFonts w:asciiTheme="minorBidi" w:hAnsiTheme="minorBidi"/>
          <w:rtl/>
        </w:rPr>
        <w:t>ב"י- לענין הלכה נראה דאפילו לדידן דנקטינן כהרי"ף והרמב"ם יש להחמיר שלא להעמיד בחלב הקיבה שנמלח בקיבתה או שעמד בו יום אחד, ומיהו היכא שהעמיד כבר בדיעבד נראה שיש לסמוך על דברי המתירין.</w:t>
      </w:r>
    </w:p>
    <w:p w14:paraId="00FCC70E" w14:textId="77777777" w:rsidR="002C39F4" w:rsidRPr="003024E5" w:rsidRDefault="002C39F4" w:rsidP="002C39F4">
      <w:pPr>
        <w:rPr>
          <w:rFonts w:asciiTheme="minorBidi" w:hAnsiTheme="minorBidi"/>
          <w:u w:val="single"/>
          <w:rtl/>
        </w:rPr>
      </w:pPr>
      <w:r>
        <w:rPr>
          <w:rFonts w:asciiTheme="minorBidi" w:hAnsiTheme="minorBidi" w:hint="cs"/>
          <w:u w:val="single"/>
          <w:rtl/>
        </w:rPr>
        <w:t xml:space="preserve">מליחת </w:t>
      </w:r>
      <w:r w:rsidRPr="003024E5">
        <w:rPr>
          <w:rFonts w:asciiTheme="minorBidi" w:hAnsiTheme="minorBidi"/>
          <w:u w:val="single"/>
          <w:rtl/>
        </w:rPr>
        <w:t xml:space="preserve">קיבה </w:t>
      </w:r>
      <w:r>
        <w:rPr>
          <w:rFonts w:asciiTheme="minorBidi" w:hAnsiTheme="minorBidi" w:hint="cs"/>
          <w:u w:val="single"/>
          <w:rtl/>
        </w:rPr>
        <w:t xml:space="preserve">עם בשר לאחר </w:t>
      </w:r>
      <w:r w:rsidRPr="003024E5">
        <w:rPr>
          <w:rFonts w:asciiTheme="minorBidi" w:hAnsiTheme="minorBidi"/>
          <w:u w:val="single"/>
          <w:rtl/>
        </w:rPr>
        <w:t xml:space="preserve">שהוציאו ממנה </w:t>
      </w:r>
      <w:r>
        <w:rPr>
          <w:rFonts w:asciiTheme="minorBidi" w:hAnsiTheme="minorBidi" w:hint="cs"/>
          <w:u w:val="single"/>
          <w:rtl/>
        </w:rPr>
        <w:t>את ה</w:t>
      </w:r>
      <w:r w:rsidRPr="003024E5">
        <w:rPr>
          <w:rFonts w:asciiTheme="minorBidi" w:hAnsiTheme="minorBidi"/>
          <w:u w:val="single"/>
          <w:rtl/>
        </w:rPr>
        <w:t>חלב</w:t>
      </w:r>
      <w:r>
        <w:rPr>
          <w:rFonts w:asciiTheme="minorBidi" w:hAnsiTheme="minorBidi" w:hint="cs"/>
          <w:u w:val="single"/>
          <w:rtl/>
        </w:rPr>
        <w:t xml:space="preserve"> שהיה בה</w:t>
      </w:r>
      <w:r w:rsidRPr="003024E5">
        <w:rPr>
          <w:rFonts w:asciiTheme="minorBidi" w:hAnsiTheme="minorBidi"/>
          <w:u w:val="single"/>
          <w:rtl/>
        </w:rPr>
        <w:t>:</w:t>
      </w:r>
      <w:r w:rsidRPr="003024E5">
        <w:rPr>
          <w:rFonts w:asciiTheme="minorBidi" w:hAnsiTheme="minorBidi"/>
          <w:sz w:val="16"/>
          <w:szCs w:val="16"/>
          <w:rtl/>
        </w:rPr>
        <w:t xml:space="preserve">  (דרכ"מ אות ט)</w:t>
      </w:r>
    </w:p>
    <w:p w14:paraId="7C6D1622" w14:textId="77777777" w:rsidR="002C39F4" w:rsidRPr="003024E5" w:rsidRDefault="002C39F4" w:rsidP="0032102C">
      <w:pPr>
        <w:pStyle w:val="a8"/>
        <w:numPr>
          <w:ilvl w:val="0"/>
          <w:numId w:val="145"/>
        </w:numPr>
        <w:rPr>
          <w:rFonts w:asciiTheme="minorBidi" w:hAnsiTheme="minorBidi"/>
          <w:rtl/>
        </w:rPr>
      </w:pPr>
      <w:r w:rsidRPr="003024E5">
        <w:rPr>
          <w:rFonts w:asciiTheme="minorBidi" w:hAnsiTheme="minorBidi"/>
          <w:rtl/>
        </w:rPr>
        <w:t>מהר"י טרושין</w:t>
      </w:r>
      <w:r w:rsidRPr="003024E5">
        <w:rPr>
          <w:rFonts w:asciiTheme="minorBidi" w:hAnsiTheme="minorBidi"/>
          <w:sz w:val="16"/>
          <w:szCs w:val="16"/>
          <w:rtl/>
        </w:rPr>
        <w:t xml:space="preserve"> (הביאו ה</w:t>
      </w:r>
      <w:r>
        <w:rPr>
          <w:rFonts w:asciiTheme="minorBidi" w:hAnsiTheme="minorBidi"/>
          <w:sz w:val="16"/>
          <w:szCs w:val="16"/>
          <w:rtl/>
        </w:rPr>
        <w:t>או"ה</w:t>
      </w:r>
      <w:r w:rsidRPr="003024E5">
        <w:rPr>
          <w:rFonts w:asciiTheme="minorBidi" w:hAnsiTheme="minorBidi"/>
          <w:sz w:val="16"/>
          <w:szCs w:val="16"/>
          <w:rtl/>
        </w:rPr>
        <w:t xml:space="preserve"> [כלל יח דין טז])</w:t>
      </w:r>
      <w:r w:rsidRPr="003024E5">
        <w:rPr>
          <w:rFonts w:asciiTheme="minorBidi" w:hAnsiTheme="minorBidi"/>
          <w:rtl/>
        </w:rPr>
        <w:t>- לאחר שהוציאו החלב מן הקיבה מותר למלוח אח"כ לכתחלה עם הבשר ואין לו דין כחל רק דין שאר בשר לאחר שהודח מחלבו.</w:t>
      </w:r>
    </w:p>
    <w:p w14:paraId="7FF7237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7178CA1" w14:textId="77777777" w:rsidR="002C39F4" w:rsidRPr="003024E5" w:rsidRDefault="002C39F4" w:rsidP="002C39F4">
      <w:pPr>
        <w:rPr>
          <w:rFonts w:asciiTheme="minorBidi" w:hAnsiTheme="minorBidi"/>
          <w:rtl/>
        </w:rPr>
      </w:pPr>
      <w:r w:rsidRPr="003024E5">
        <w:rPr>
          <w:rFonts w:asciiTheme="minorBidi" w:hAnsiTheme="minorBidi"/>
          <w:rtl/>
        </w:rPr>
        <w:t xml:space="preserve">חלב הנמצא בקיבה אינו חלב ומותר לבשל בו בשר אפילו בצלול שבה, ויש מי שאוסר. </w:t>
      </w:r>
      <w:r w:rsidRPr="003024E5">
        <w:rPr>
          <w:rFonts w:asciiTheme="minorBidi" w:hAnsiTheme="minorBidi"/>
          <w:sz w:val="18"/>
          <w:szCs w:val="18"/>
          <w:rtl/>
        </w:rPr>
        <w:t>[הגה] וכן נוהגין</w:t>
      </w:r>
      <w:r w:rsidRPr="003024E5">
        <w:rPr>
          <w:rStyle w:val="a7"/>
          <w:rFonts w:asciiTheme="minorBidi" w:hAnsiTheme="minorBidi"/>
          <w:sz w:val="18"/>
          <w:szCs w:val="18"/>
          <w:rtl/>
        </w:rPr>
        <w:footnoteReference w:id="1079"/>
      </w:r>
      <w:r w:rsidRPr="003024E5">
        <w:rPr>
          <w:rFonts w:asciiTheme="minorBidi" w:hAnsiTheme="minorBidi"/>
          <w:sz w:val="18"/>
          <w:szCs w:val="18"/>
          <w:rtl/>
        </w:rPr>
        <w:t>.</w:t>
      </w:r>
      <w:r w:rsidRPr="003024E5">
        <w:rPr>
          <w:rFonts w:asciiTheme="minorBidi" w:hAnsiTheme="minorBidi"/>
          <w:rtl/>
        </w:rPr>
        <w:t xml:space="preserve"> </w:t>
      </w:r>
    </w:p>
    <w:p w14:paraId="6D7AC996" w14:textId="77777777" w:rsidR="002C39F4" w:rsidRPr="003024E5" w:rsidRDefault="002C39F4" w:rsidP="002C39F4">
      <w:pPr>
        <w:rPr>
          <w:rFonts w:asciiTheme="minorBidi" w:hAnsiTheme="minorBidi"/>
          <w:rtl/>
        </w:rPr>
      </w:pPr>
    </w:p>
    <w:p w14:paraId="1A947C2D" w14:textId="77777777" w:rsidR="002C39F4" w:rsidRPr="003024E5" w:rsidRDefault="002C39F4" w:rsidP="002C39F4">
      <w:pPr>
        <w:pStyle w:val="2"/>
        <w:rPr>
          <w:rFonts w:asciiTheme="minorBidi" w:hAnsiTheme="minorBidi"/>
          <w:rtl/>
        </w:rPr>
      </w:pPr>
      <w:r w:rsidRPr="003024E5">
        <w:rPr>
          <w:rFonts w:asciiTheme="minorBidi" w:hAnsiTheme="minorBidi"/>
          <w:rtl/>
        </w:rPr>
        <w:t>סעיף י: חלב הנמצא בקיבה ונמלח/נכבש עם הקיבה</w:t>
      </w:r>
      <w:r>
        <w:rPr>
          <w:rFonts w:asciiTheme="minorBidi" w:hAnsiTheme="minorBidi" w:hint="cs"/>
          <w:rtl/>
        </w:rPr>
        <w:t>.</w:t>
      </w:r>
    </w:p>
    <w:p w14:paraId="4D6C876A" w14:textId="77777777" w:rsidR="002C39F4" w:rsidRPr="003024E5" w:rsidRDefault="002C39F4" w:rsidP="002C39F4">
      <w:pPr>
        <w:rPr>
          <w:rFonts w:asciiTheme="minorBidi" w:hAnsiTheme="minorBidi"/>
          <w:rtl/>
        </w:rPr>
      </w:pPr>
      <w:r w:rsidRPr="003024E5">
        <w:rPr>
          <w:rFonts w:asciiTheme="minorBidi" w:hAnsiTheme="minorBidi"/>
          <w:rtl/>
        </w:rPr>
        <w:t>עי' במקורות בסע' הקודם.</w:t>
      </w:r>
    </w:p>
    <w:p w14:paraId="5793C8C5" w14:textId="77777777" w:rsidR="002C39F4" w:rsidRPr="003024E5" w:rsidRDefault="002C39F4" w:rsidP="002C39F4">
      <w:pPr>
        <w:rPr>
          <w:rFonts w:asciiTheme="minorBidi" w:hAnsiTheme="minorBidi"/>
          <w:sz w:val="16"/>
          <w:szCs w:val="16"/>
        </w:rPr>
      </w:pPr>
      <w:r w:rsidRPr="003024E5">
        <w:rPr>
          <w:rFonts w:asciiTheme="minorBidi" w:hAnsiTheme="minorBidi"/>
          <w:u w:val="single"/>
          <w:rtl/>
        </w:rPr>
        <w:t>עור קיבה שמולחין ומייבשין אותו וממלאין אותו חלב:</w:t>
      </w:r>
      <w:r w:rsidRPr="003024E5">
        <w:rPr>
          <w:rFonts w:asciiTheme="minorBidi" w:hAnsiTheme="minorBidi"/>
          <w:sz w:val="16"/>
          <w:szCs w:val="16"/>
          <w:rtl/>
        </w:rPr>
        <w:t xml:space="preserve">  (ב"י)</w:t>
      </w:r>
    </w:p>
    <w:p w14:paraId="5B8A108C" w14:textId="77777777" w:rsidR="002C39F4" w:rsidRPr="003024E5" w:rsidRDefault="002C39F4" w:rsidP="0032102C">
      <w:pPr>
        <w:pStyle w:val="a8"/>
        <w:numPr>
          <w:ilvl w:val="0"/>
          <w:numId w:val="145"/>
        </w:numPr>
        <w:rPr>
          <w:rFonts w:asciiTheme="minorBidi" w:hAnsiTheme="minorBidi"/>
        </w:rPr>
      </w:pPr>
      <w:r w:rsidRPr="003024E5">
        <w:rPr>
          <w:rFonts w:asciiTheme="minorBidi" w:hAnsiTheme="minorBidi"/>
          <w:rtl/>
        </w:rPr>
        <w:t xml:space="preserve">שבה"ל </w:t>
      </w:r>
      <w:r w:rsidRPr="003024E5">
        <w:rPr>
          <w:rFonts w:asciiTheme="minorBidi" w:hAnsiTheme="minorBidi"/>
          <w:sz w:val="16"/>
          <w:szCs w:val="16"/>
          <w:rtl/>
        </w:rPr>
        <w:t>(ח"ב סי' לד)</w:t>
      </w:r>
      <w:r w:rsidRPr="003024E5">
        <w:rPr>
          <w:rFonts w:asciiTheme="minorBidi" w:hAnsiTheme="minorBidi"/>
          <w:rtl/>
        </w:rPr>
        <w:t>- מותר, דכיון שנתייבש העור הוי כעץ בעלמא ואין בו שום לחלוחית בשר.</w:t>
      </w:r>
      <w:r w:rsidRPr="003024E5">
        <w:rPr>
          <w:rFonts w:asciiTheme="minorBidi" w:hAnsiTheme="minorBidi"/>
          <w:color w:val="00B0F0"/>
          <w:rtl/>
        </w:rPr>
        <w:t xml:space="preserve"> (וכ"פ הרמ"א)</w:t>
      </w:r>
    </w:p>
    <w:p w14:paraId="5AA9A2AD" w14:textId="77777777" w:rsidR="002C39F4" w:rsidRPr="003024E5" w:rsidRDefault="002C39F4" w:rsidP="002C39F4">
      <w:pPr>
        <w:rPr>
          <w:rFonts w:asciiTheme="minorBidi" w:hAnsiTheme="minorBidi"/>
          <w:u w:val="single"/>
        </w:rPr>
      </w:pPr>
      <w:r>
        <w:rPr>
          <w:rFonts w:asciiTheme="minorBidi" w:hAnsiTheme="minorBidi" w:hint="cs"/>
          <w:u w:val="single"/>
          <w:rtl/>
        </w:rPr>
        <w:t xml:space="preserve">לסוברים שחלב צלול אינו פירשא </w:t>
      </w:r>
      <w:r w:rsidRPr="006E2532">
        <w:rPr>
          <w:rFonts w:asciiTheme="minorBidi" w:hAnsiTheme="minorBidi" w:hint="cs"/>
          <w:sz w:val="16"/>
          <w:szCs w:val="16"/>
          <w:u w:val="single"/>
          <w:rtl/>
        </w:rPr>
        <w:t>(כ</w:t>
      </w:r>
      <w:r>
        <w:rPr>
          <w:rFonts w:asciiTheme="minorBidi" w:hAnsiTheme="minorBidi" w:hint="cs"/>
          <w:sz w:val="16"/>
          <w:szCs w:val="16"/>
          <w:u w:val="single"/>
          <w:rtl/>
        </w:rPr>
        <w:t xml:space="preserve">דברי </w:t>
      </w:r>
      <w:r w:rsidRPr="006E2532">
        <w:rPr>
          <w:rFonts w:asciiTheme="minorBidi" w:hAnsiTheme="minorBidi" w:hint="cs"/>
          <w:sz w:val="16"/>
          <w:szCs w:val="16"/>
          <w:u w:val="single"/>
          <w:rtl/>
        </w:rPr>
        <w:t>ר"ת</w:t>
      </w:r>
      <w:r>
        <w:rPr>
          <w:rFonts w:asciiTheme="minorBidi" w:hAnsiTheme="minorBidi" w:hint="cs"/>
          <w:sz w:val="16"/>
          <w:szCs w:val="16"/>
          <w:u w:val="single"/>
          <w:rtl/>
        </w:rPr>
        <w:t>)</w:t>
      </w:r>
      <w:r>
        <w:rPr>
          <w:rFonts w:asciiTheme="minorBidi" w:hAnsiTheme="minorBidi" w:hint="cs"/>
          <w:u w:val="single"/>
          <w:rtl/>
        </w:rPr>
        <w:t xml:space="preserve"> </w:t>
      </w:r>
      <w:r>
        <w:rPr>
          <w:rFonts w:asciiTheme="minorBidi" w:hAnsiTheme="minorBidi"/>
          <w:u w:val="single"/>
          <w:rtl/>
        </w:rPr>
        <w:t>–</w:t>
      </w:r>
      <w:r>
        <w:rPr>
          <w:rFonts w:asciiTheme="minorBidi" w:hAnsiTheme="minorBidi" w:hint="cs"/>
          <w:u w:val="single"/>
          <w:rtl/>
        </w:rPr>
        <w:t xml:space="preserve"> מה דין </w:t>
      </w:r>
      <w:r w:rsidRPr="003024E5">
        <w:rPr>
          <w:rFonts w:asciiTheme="minorBidi" w:hAnsiTheme="minorBidi"/>
          <w:u w:val="single"/>
          <w:rtl/>
        </w:rPr>
        <w:t xml:space="preserve">חלב צלול שנמצא בקיבה </w:t>
      </w:r>
      <w:r>
        <w:rPr>
          <w:rFonts w:asciiTheme="minorBidi" w:hAnsiTheme="minorBidi" w:hint="cs"/>
          <w:u w:val="single"/>
          <w:rtl/>
        </w:rPr>
        <w:t xml:space="preserve">ונקפא </w:t>
      </w:r>
      <w:r w:rsidRPr="003024E5">
        <w:rPr>
          <w:rFonts w:asciiTheme="minorBidi" w:hAnsiTheme="minorBidi"/>
          <w:u w:val="single"/>
          <w:rtl/>
        </w:rPr>
        <w:t>לאחמ"כ:</w:t>
      </w:r>
      <w:r w:rsidRPr="003024E5">
        <w:rPr>
          <w:rFonts w:asciiTheme="minorBidi" w:hAnsiTheme="minorBidi"/>
          <w:sz w:val="16"/>
          <w:szCs w:val="16"/>
          <w:rtl/>
        </w:rPr>
        <w:t xml:space="preserve">  (ב"י)</w:t>
      </w:r>
    </w:p>
    <w:p w14:paraId="38D29C31" w14:textId="77777777" w:rsidR="002C39F4" w:rsidRPr="003024E5" w:rsidRDefault="002C39F4" w:rsidP="0032102C">
      <w:pPr>
        <w:pStyle w:val="a8"/>
        <w:numPr>
          <w:ilvl w:val="0"/>
          <w:numId w:val="145"/>
        </w:numPr>
        <w:rPr>
          <w:rFonts w:asciiTheme="minorBidi" w:hAnsiTheme="minorBidi"/>
          <w:rtl/>
        </w:rPr>
      </w:pPr>
      <w:r w:rsidRPr="003024E5">
        <w:rPr>
          <w:rFonts w:asciiTheme="minorBidi" w:hAnsiTheme="minorBidi"/>
          <w:rtl/>
        </w:rPr>
        <w:t xml:space="preserve">יש מי שאומר </w:t>
      </w:r>
      <w:r w:rsidRPr="003024E5">
        <w:rPr>
          <w:rFonts w:asciiTheme="minorBidi" w:hAnsiTheme="minorBidi"/>
          <w:sz w:val="16"/>
          <w:szCs w:val="16"/>
          <w:rtl/>
        </w:rPr>
        <w:t>(הביאו מרדכי [חולין סי' תשלג])</w:t>
      </w:r>
      <w:r w:rsidRPr="003024E5">
        <w:rPr>
          <w:rFonts w:asciiTheme="minorBidi" w:hAnsiTheme="minorBidi"/>
          <w:rtl/>
        </w:rPr>
        <w:t>- חמאה וחלב הצלול כשחזר ונקפא נעשה פירשא</w:t>
      </w:r>
      <w:r w:rsidRPr="003024E5">
        <w:rPr>
          <w:rStyle w:val="a7"/>
          <w:rFonts w:asciiTheme="minorBidi" w:hAnsiTheme="minorBidi"/>
          <w:rtl/>
        </w:rPr>
        <w:footnoteReference w:id="1080"/>
      </w:r>
      <w:r w:rsidRPr="003024E5">
        <w:rPr>
          <w:rFonts w:asciiTheme="minorBidi" w:hAnsiTheme="minorBidi"/>
          <w:rtl/>
        </w:rPr>
        <w:t>.</w:t>
      </w:r>
    </w:p>
    <w:p w14:paraId="02BED95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EA5D59E" w14:textId="77777777" w:rsidR="002C39F4" w:rsidRPr="003024E5" w:rsidRDefault="002C39F4" w:rsidP="002C39F4">
      <w:pPr>
        <w:rPr>
          <w:rFonts w:asciiTheme="minorBidi" w:hAnsiTheme="minorBidi"/>
          <w:rtl/>
        </w:rPr>
      </w:pPr>
      <w:r w:rsidRPr="003024E5">
        <w:rPr>
          <w:rFonts w:asciiTheme="minorBidi" w:hAnsiTheme="minorBidi"/>
          <w:rtl/>
        </w:rPr>
        <w:t>חלב הנמצא בקיבה</w:t>
      </w:r>
      <w:r w:rsidRPr="003024E5">
        <w:rPr>
          <w:rFonts w:asciiTheme="minorBidi" w:hAnsiTheme="minorBidi"/>
          <w:sz w:val="18"/>
          <w:szCs w:val="18"/>
          <w:rtl/>
        </w:rPr>
        <w:t xml:space="preserve"> [הגה] לכתחלה אין להניחו בקיבה עד שיצטנן החלב בתוך הקיבה </w:t>
      </w:r>
      <w:r w:rsidRPr="003024E5">
        <w:rPr>
          <w:rFonts w:asciiTheme="minorBidi" w:hAnsiTheme="minorBidi"/>
          <w:sz w:val="16"/>
          <w:szCs w:val="16"/>
          <w:rtl/>
        </w:rPr>
        <w:t>(ארוך בשם ר' שמחה)</w:t>
      </w:r>
      <w:r w:rsidRPr="003024E5">
        <w:rPr>
          <w:rFonts w:asciiTheme="minorBidi" w:hAnsiTheme="minorBidi"/>
          <w:sz w:val="18"/>
          <w:szCs w:val="18"/>
          <w:rtl/>
        </w:rPr>
        <w:t xml:space="preserve">, אבל בדיעבד אין לחוש עד, </w:t>
      </w:r>
      <w:r w:rsidRPr="003024E5">
        <w:rPr>
          <w:rFonts w:asciiTheme="minorBidi" w:hAnsiTheme="minorBidi"/>
          <w:rtl/>
        </w:rPr>
        <w:t>שנמלח בקיבתה</w:t>
      </w:r>
      <w:r w:rsidRPr="003024E5">
        <w:rPr>
          <w:rStyle w:val="a7"/>
          <w:rFonts w:asciiTheme="minorBidi" w:hAnsiTheme="minorBidi"/>
          <w:rtl/>
        </w:rPr>
        <w:footnoteReference w:id="1081"/>
      </w:r>
      <w:r w:rsidRPr="003024E5">
        <w:rPr>
          <w:rFonts w:asciiTheme="minorBidi" w:hAnsiTheme="minorBidi"/>
          <w:rtl/>
        </w:rPr>
        <w:t xml:space="preserve"> או שעמד בו יום אחד</w:t>
      </w:r>
      <w:r w:rsidRPr="003024E5">
        <w:rPr>
          <w:rStyle w:val="a7"/>
          <w:rFonts w:asciiTheme="minorBidi" w:hAnsiTheme="minorBidi"/>
          <w:rtl/>
        </w:rPr>
        <w:footnoteReference w:id="1082"/>
      </w:r>
      <w:r w:rsidRPr="003024E5">
        <w:rPr>
          <w:rFonts w:asciiTheme="minorBidi" w:hAnsiTheme="minorBidi"/>
          <w:rtl/>
        </w:rPr>
        <w:t xml:space="preserve"> </w:t>
      </w:r>
      <w:r w:rsidRPr="003024E5">
        <w:rPr>
          <w:rFonts w:asciiTheme="minorBidi" w:hAnsiTheme="minorBidi"/>
          <w:sz w:val="18"/>
          <w:szCs w:val="18"/>
          <w:rtl/>
        </w:rPr>
        <w:t xml:space="preserve">[הגה] ואז, </w:t>
      </w:r>
      <w:r w:rsidRPr="003024E5">
        <w:rPr>
          <w:rFonts w:asciiTheme="minorBidi" w:hAnsiTheme="minorBidi"/>
          <w:rtl/>
        </w:rPr>
        <w:t>אסור להעמיד</w:t>
      </w:r>
      <w:r w:rsidRPr="003024E5">
        <w:rPr>
          <w:rStyle w:val="a7"/>
          <w:rFonts w:asciiTheme="minorBidi" w:hAnsiTheme="minorBidi"/>
          <w:rtl/>
        </w:rPr>
        <w:footnoteReference w:id="1083"/>
      </w:r>
      <w:r w:rsidRPr="003024E5">
        <w:rPr>
          <w:rFonts w:asciiTheme="minorBidi" w:hAnsiTheme="minorBidi"/>
          <w:rtl/>
        </w:rPr>
        <w:t xml:space="preserve"> בו</w:t>
      </w:r>
      <w:r w:rsidRPr="003024E5">
        <w:rPr>
          <w:rStyle w:val="a7"/>
          <w:rFonts w:asciiTheme="minorBidi" w:hAnsiTheme="minorBidi"/>
          <w:rtl/>
        </w:rPr>
        <w:footnoteReference w:id="1084"/>
      </w:r>
      <w:r w:rsidRPr="003024E5">
        <w:rPr>
          <w:rFonts w:asciiTheme="minorBidi" w:hAnsiTheme="minorBidi"/>
          <w:rtl/>
        </w:rPr>
        <w:t xml:space="preserve">. </w:t>
      </w:r>
      <w:r w:rsidRPr="003024E5">
        <w:rPr>
          <w:rFonts w:asciiTheme="minorBidi" w:hAnsiTheme="minorBidi"/>
          <w:sz w:val="18"/>
          <w:szCs w:val="18"/>
          <w:rtl/>
        </w:rPr>
        <w:t>הגה: ואם העמיד בו, אם הוא הצלול אוסר כל הגבינות עד שיהא ס' בחלב שהעמיד נגד הקיבה האסורה</w:t>
      </w:r>
      <w:r w:rsidRPr="003024E5">
        <w:rPr>
          <w:rStyle w:val="a7"/>
          <w:rFonts w:asciiTheme="minorBidi" w:hAnsiTheme="minorBidi"/>
          <w:sz w:val="18"/>
          <w:szCs w:val="18"/>
          <w:rtl/>
        </w:rPr>
        <w:footnoteReference w:id="1085"/>
      </w:r>
      <w:r w:rsidRPr="003024E5">
        <w:rPr>
          <w:rFonts w:asciiTheme="minorBidi" w:hAnsiTheme="minorBidi"/>
          <w:sz w:val="18"/>
          <w:szCs w:val="18"/>
          <w:rtl/>
        </w:rPr>
        <w:t>, ואם היה ס' בחלב הכל מותר, ואם היה הקיבה קרושה אינה אוסרת כלום אפילו לא היה ס' בחלב נגד הקיבה</w:t>
      </w:r>
      <w:r w:rsidRPr="003024E5">
        <w:rPr>
          <w:rStyle w:val="a7"/>
          <w:rFonts w:asciiTheme="minorBidi" w:hAnsiTheme="minorBidi"/>
          <w:sz w:val="18"/>
          <w:szCs w:val="18"/>
          <w:rtl/>
        </w:rPr>
        <w:footnoteReference w:id="1086"/>
      </w:r>
      <w:r w:rsidRPr="003024E5">
        <w:rPr>
          <w:rFonts w:asciiTheme="minorBidi" w:hAnsiTheme="minorBidi"/>
          <w:sz w:val="18"/>
          <w:szCs w:val="18"/>
          <w:rtl/>
        </w:rPr>
        <w:t xml:space="preserve"> (לדעת ר"ת). ואם היה הקיבה צלול מתחלה ונקרש יש לו דין צלול (ב"י בשם רשב"א ובשם הפוסקים), ויש מקילין בזה (שע"ד בב"י בשם המרדכי), ובמקום הפסד יש להקל</w:t>
      </w:r>
      <w:r w:rsidRPr="003024E5">
        <w:rPr>
          <w:rStyle w:val="a7"/>
          <w:rFonts w:asciiTheme="minorBidi" w:hAnsiTheme="minorBidi"/>
          <w:sz w:val="18"/>
          <w:szCs w:val="18"/>
          <w:rtl/>
        </w:rPr>
        <w:footnoteReference w:id="1087"/>
      </w:r>
      <w:r w:rsidRPr="003024E5">
        <w:rPr>
          <w:rFonts w:asciiTheme="minorBidi" w:hAnsiTheme="minorBidi"/>
          <w:sz w:val="18"/>
          <w:szCs w:val="18"/>
          <w:rtl/>
        </w:rPr>
        <w:t>. עור הקיבה, לפעמים מולחים אותו ומייבשין אותו ונעשה כעץ וממלאים אותו חלב מותר דמאחר שנתייבש הוי כעץ בעלמא</w:t>
      </w:r>
      <w:r>
        <w:rPr>
          <w:rStyle w:val="a7"/>
          <w:rFonts w:asciiTheme="minorBidi" w:hAnsiTheme="minorBidi"/>
          <w:sz w:val="18"/>
          <w:szCs w:val="18"/>
          <w:rtl/>
        </w:rPr>
        <w:footnoteReference w:id="1088"/>
      </w:r>
      <w:r w:rsidRPr="003024E5">
        <w:rPr>
          <w:rFonts w:asciiTheme="minorBidi" w:hAnsiTheme="minorBidi"/>
          <w:sz w:val="18"/>
          <w:szCs w:val="18"/>
          <w:rtl/>
        </w:rPr>
        <w:t xml:space="preserve"> ואין בו לחלוחית בשר</w:t>
      </w:r>
      <w:r w:rsidRPr="003024E5">
        <w:rPr>
          <w:rStyle w:val="a7"/>
          <w:rFonts w:asciiTheme="minorBidi" w:hAnsiTheme="minorBidi"/>
          <w:sz w:val="18"/>
          <w:szCs w:val="18"/>
          <w:rtl/>
        </w:rPr>
        <w:footnoteReference w:id="1089"/>
      </w:r>
      <w:r w:rsidRPr="003024E5">
        <w:rPr>
          <w:rFonts w:asciiTheme="minorBidi" w:hAnsiTheme="minorBidi"/>
          <w:sz w:val="18"/>
          <w:szCs w:val="18"/>
          <w:rtl/>
        </w:rPr>
        <w:t xml:space="preserve"> (ב"י בשם שבה"ל).</w:t>
      </w:r>
    </w:p>
    <w:p w14:paraId="6B0112DF" w14:textId="77777777" w:rsidR="002C39F4" w:rsidRPr="003024E5" w:rsidRDefault="002C39F4" w:rsidP="002C39F4">
      <w:pPr>
        <w:rPr>
          <w:rFonts w:asciiTheme="minorBidi" w:hAnsiTheme="minorBidi"/>
          <w:rtl/>
        </w:rPr>
      </w:pPr>
      <w:r w:rsidRPr="003024E5">
        <w:rPr>
          <w:rFonts w:asciiTheme="minorBidi" w:hAnsiTheme="minorBidi"/>
          <w:rtl/>
        </w:rPr>
        <w:t xml:space="preserve"> </w:t>
      </w:r>
    </w:p>
    <w:p w14:paraId="233DEB53" w14:textId="77777777" w:rsidR="002C39F4" w:rsidRPr="003024E5" w:rsidRDefault="002C39F4" w:rsidP="002C39F4">
      <w:pPr>
        <w:pStyle w:val="2"/>
        <w:rPr>
          <w:rFonts w:asciiTheme="minorBidi" w:hAnsiTheme="minorBidi"/>
          <w:rtl/>
        </w:rPr>
      </w:pPr>
      <w:r w:rsidRPr="003024E5">
        <w:rPr>
          <w:rFonts w:asciiTheme="minorBidi" w:hAnsiTheme="minorBidi"/>
          <w:rtl/>
        </w:rPr>
        <w:t>סעיף יא: העמדת גבינה בעור קיבת כשרה.</w:t>
      </w:r>
    </w:p>
    <w:p w14:paraId="1979A1CD" w14:textId="77777777" w:rsidR="002C39F4" w:rsidRDefault="002C39F4" w:rsidP="002C39F4">
      <w:pPr>
        <w:rPr>
          <w:rFonts w:asciiTheme="minorBidi" w:hAnsiTheme="minorBidi"/>
          <w:rtl/>
        </w:rPr>
      </w:pPr>
      <w:r w:rsidRPr="003024E5">
        <w:rPr>
          <w:rFonts w:asciiTheme="minorBidi" w:hAnsiTheme="minorBidi"/>
          <w:b/>
          <w:bCs/>
          <w:rtl/>
        </w:rPr>
        <w:t xml:space="preserve">חולין קטז ע"א: </w:t>
      </w:r>
      <w:r w:rsidRPr="003024E5">
        <w:rPr>
          <w:rFonts w:asciiTheme="minorBidi" w:hAnsiTheme="minorBidi"/>
          <w:u w:val="double"/>
          <w:rtl/>
        </w:rPr>
        <w:t>מתני'</w:t>
      </w:r>
      <w:r w:rsidRPr="003024E5">
        <w:rPr>
          <w:rFonts w:asciiTheme="minorBidi" w:hAnsiTheme="minorBidi"/>
          <w:rtl/>
        </w:rPr>
        <w:t>:... המעמיד בעור של קבה כשרה</w:t>
      </w:r>
      <w:r>
        <w:rPr>
          <w:rFonts w:asciiTheme="minorBidi" w:hAnsiTheme="minorBidi" w:hint="cs"/>
          <w:rtl/>
        </w:rPr>
        <w:t xml:space="preserve"> </w:t>
      </w:r>
      <w:r w:rsidRPr="003024E5">
        <w:rPr>
          <w:rFonts w:asciiTheme="minorBidi" w:hAnsiTheme="minorBidi"/>
          <w:rtl/>
        </w:rPr>
        <w:t>- אם יש בנותן טעם הרי זו אסורה.</w:t>
      </w:r>
    </w:p>
    <w:p w14:paraId="6A40F65C"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קטז ע"ב: </w:t>
      </w:r>
      <w:r w:rsidRPr="003024E5">
        <w:rPr>
          <w:rFonts w:asciiTheme="minorBidi" w:hAnsiTheme="minorBidi"/>
          <w:rtl/>
        </w:rPr>
        <w:t>הלכתא אין מעמידין בעור קבת נבלה</w:t>
      </w:r>
      <w:r>
        <w:rPr>
          <w:rFonts w:asciiTheme="minorBidi" w:hAnsiTheme="minorBidi" w:hint="cs"/>
          <w:rtl/>
        </w:rPr>
        <w:t>,</w:t>
      </w:r>
      <w:r w:rsidRPr="003024E5">
        <w:rPr>
          <w:rFonts w:asciiTheme="minorBidi" w:hAnsiTheme="minorBidi"/>
          <w:rtl/>
        </w:rPr>
        <w:t xml:space="preserve"> אבל מעמידין בקבת</w:t>
      </w:r>
      <w:r>
        <w:rPr>
          <w:rStyle w:val="a7"/>
          <w:rFonts w:asciiTheme="minorBidi" w:hAnsiTheme="minorBidi"/>
          <w:rtl/>
        </w:rPr>
        <w:footnoteReference w:id="1090"/>
      </w:r>
      <w:r w:rsidRPr="003024E5">
        <w:rPr>
          <w:rFonts w:asciiTheme="minorBidi" w:hAnsiTheme="minorBidi"/>
          <w:rtl/>
        </w:rPr>
        <w:t xml:space="preserve"> נבלה</w:t>
      </w:r>
      <w:r>
        <w:rPr>
          <w:rFonts w:asciiTheme="minorBidi" w:hAnsiTheme="minorBidi" w:hint="cs"/>
          <w:rtl/>
        </w:rPr>
        <w:t>...</w:t>
      </w:r>
    </w:p>
    <w:p w14:paraId="59380CCC" w14:textId="77777777" w:rsidR="002C39F4" w:rsidRPr="003024E5" w:rsidRDefault="002C39F4" w:rsidP="002C39F4">
      <w:pPr>
        <w:rPr>
          <w:rFonts w:asciiTheme="minorBidi" w:hAnsiTheme="minorBidi"/>
          <w:u w:val="single"/>
          <w:rtl/>
        </w:rPr>
      </w:pPr>
      <w:r w:rsidRPr="003024E5">
        <w:rPr>
          <w:rFonts w:asciiTheme="minorBidi" w:hAnsiTheme="minorBidi"/>
          <w:u w:val="single"/>
          <w:rtl/>
        </w:rPr>
        <w:t xml:space="preserve">העמדת גבינה </w:t>
      </w:r>
      <w:r w:rsidRPr="00F260A9">
        <w:rPr>
          <w:rFonts w:asciiTheme="minorBidi" w:hAnsiTheme="minorBidi"/>
          <w:b/>
          <w:bCs/>
          <w:u w:val="single"/>
          <w:rtl/>
        </w:rPr>
        <w:t>בעור</w:t>
      </w:r>
      <w:r w:rsidRPr="003024E5">
        <w:rPr>
          <w:rFonts w:asciiTheme="minorBidi" w:hAnsiTheme="minorBidi"/>
          <w:u w:val="single"/>
          <w:rtl/>
        </w:rPr>
        <w:t xml:space="preserve"> </w:t>
      </w:r>
      <w:r>
        <w:rPr>
          <w:rFonts w:asciiTheme="minorBidi" w:hAnsiTheme="minorBidi" w:hint="cs"/>
          <w:u w:val="single"/>
          <w:rtl/>
        </w:rPr>
        <w:t>ה</w:t>
      </w:r>
      <w:r w:rsidRPr="003024E5">
        <w:rPr>
          <w:rFonts w:asciiTheme="minorBidi" w:hAnsiTheme="minorBidi"/>
          <w:u w:val="single"/>
          <w:rtl/>
        </w:rPr>
        <w:t>קיבה:</w:t>
      </w:r>
    </w:p>
    <w:p w14:paraId="564FE518" w14:textId="77777777" w:rsidR="002C39F4" w:rsidRPr="003024E5" w:rsidRDefault="002C39F4" w:rsidP="0032102C">
      <w:pPr>
        <w:pStyle w:val="a8"/>
        <w:numPr>
          <w:ilvl w:val="0"/>
          <w:numId w:val="145"/>
        </w:numPr>
        <w:rPr>
          <w:rFonts w:asciiTheme="minorBidi" w:hAnsiTheme="minorBidi"/>
        </w:rPr>
      </w:pPr>
      <w:r w:rsidRPr="003024E5">
        <w:rPr>
          <w:rFonts w:asciiTheme="minorBidi" w:hAnsiTheme="minorBidi"/>
          <w:rtl/>
        </w:rPr>
        <w:t>ר"י מיגא"ש</w:t>
      </w:r>
      <w:r w:rsidRPr="003024E5">
        <w:rPr>
          <w:rStyle w:val="a7"/>
          <w:rFonts w:asciiTheme="minorBidi" w:hAnsiTheme="minorBidi"/>
          <w:rtl/>
        </w:rPr>
        <w:footnoteReference w:id="1091"/>
      </w:r>
      <w:r w:rsidRPr="003024E5">
        <w:rPr>
          <w:rFonts w:asciiTheme="minorBidi" w:hAnsiTheme="minorBidi"/>
          <w:rtl/>
        </w:rPr>
        <w:t xml:space="preserve"> רמב"ם </w:t>
      </w:r>
      <w:r w:rsidRPr="003024E5">
        <w:rPr>
          <w:rFonts w:asciiTheme="minorBidi" w:hAnsiTheme="minorBidi"/>
          <w:sz w:val="16"/>
          <w:szCs w:val="16"/>
          <w:rtl/>
        </w:rPr>
        <w:t xml:space="preserve">(פ"ט הט"ז) </w:t>
      </w:r>
      <w:r w:rsidRPr="003024E5">
        <w:rPr>
          <w:rFonts w:asciiTheme="minorBidi" w:hAnsiTheme="minorBidi"/>
          <w:rtl/>
        </w:rPr>
        <w:t xml:space="preserve">ורשב"א </w:t>
      </w:r>
      <w:r w:rsidRPr="003024E5">
        <w:rPr>
          <w:rFonts w:asciiTheme="minorBidi" w:hAnsiTheme="minorBidi"/>
          <w:sz w:val="16"/>
          <w:szCs w:val="16"/>
          <w:rtl/>
        </w:rPr>
        <w:t>(בחידו' שם)</w:t>
      </w:r>
      <w:r w:rsidRPr="003024E5">
        <w:rPr>
          <w:rFonts w:asciiTheme="minorBidi" w:hAnsiTheme="minorBidi"/>
          <w:rtl/>
        </w:rPr>
        <w:t>- אסור להעמיד הגבינה בעור הקיבה של שחוטה, ואם העמיד טועם את הגבינה</w:t>
      </w:r>
      <w:r>
        <w:rPr>
          <w:rFonts w:asciiTheme="minorBidi" w:hAnsiTheme="minorBidi" w:hint="cs"/>
          <w:rtl/>
        </w:rPr>
        <w:t>,</w:t>
      </w:r>
      <w:r w:rsidRPr="003024E5">
        <w:rPr>
          <w:rFonts w:asciiTheme="minorBidi" w:hAnsiTheme="minorBidi"/>
          <w:rtl/>
        </w:rPr>
        <w:t xml:space="preserve"> אם יש בה טעם בשר אסורה ואם לאו מותרת</w:t>
      </w:r>
      <w:r>
        <w:rPr>
          <w:rFonts w:asciiTheme="minorBidi" w:hAnsiTheme="minorBidi" w:hint="cs"/>
          <w:rtl/>
        </w:rPr>
        <w:t>,</w:t>
      </w:r>
      <w:r w:rsidRPr="003024E5">
        <w:rPr>
          <w:rFonts w:asciiTheme="minorBidi" w:hAnsiTheme="minorBidi"/>
          <w:rtl/>
        </w:rPr>
        <w:t xml:space="preserve"> מפני שהמעמיד</w:t>
      </w:r>
      <w:r>
        <w:rPr>
          <w:rFonts w:asciiTheme="minorBidi" w:hAnsiTheme="minorBidi" w:hint="cs"/>
          <w:rtl/>
        </w:rPr>
        <w:t xml:space="preserve"> -</w:t>
      </w:r>
      <w:r w:rsidRPr="003024E5">
        <w:rPr>
          <w:rFonts w:asciiTheme="minorBidi" w:hAnsiTheme="minorBidi"/>
          <w:rtl/>
        </w:rPr>
        <w:t xml:space="preserve"> דבר המותר הוא</w:t>
      </w:r>
      <w:r>
        <w:rPr>
          <w:rFonts w:asciiTheme="minorBidi" w:hAnsiTheme="minorBidi" w:hint="cs"/>
          <w:rtl/>
        </w:rPr>
        <w:t>,</w:t>
      </w:r>
      <w:r w:rsidRPr="003024E5">
        <w:rPr>
          <w:rFonts w:asciiTheme="minorBidi" w:hAnsiTheme="minorBidi"/>
          <w:rtl/>
        </w:rPr>
        <w:t xml:space="preserve"> שקיבת שחוטה היא</w:t>
      </w:r>
      <w:r>
        <w:rPr>
          <w:rFonts w:asciiTheme="minorBidi" w:hAnsiTheme="minorBidi" w:hint="cs"/>
          <w:rtl/>
        </w:rPr>
        <w:t>,</w:t>
      </w:r>
      <w:r w:rsidRPr="003024E5">
        <w:rPr>
          <w:rFonts w:asciiTheme="minorBidi" w:hAnsiTheme="minorBidi"/>
          <w:rtl/>
        </w:rPr>
        <w:t xml:space="preserve"> ואין כאן אלא איסור בשר בחלב ששעורו בנותן טעם</w:t>
      </w:r>
      <w:r w:rsidRPr="003024E5">
        <w:rPr>
          <w:rStyle w:val="a7"/>
          <w:rFonts w:asciiTheme="minorBidi" w:hAnsiTheme="minorBidi"/>
          <w:rtl/>
        </w:rPr>
        <w:footnoteReference w:id="1092"/>
      </w:r>
      <w:r w:rsidRPr="003024E5">
        <w:rPr>
          <w:rFonts w:asciiTheme="minorBidi" w:hAnsiTheme="minorBidi"/>
          <w:rtl/>
        </w:rPr>
        <w:t>, אבל המעמיד בעור קיבת נבילה וטרפה ובהמה טמאה</w:t>
      </w:r>
      <w:r>
        <w:rPr>
          <w:rFonts w:asciiTheme="minorBidi" w:hAnsiTheme="minorBidi" w:hint="cs"/>
          <w:rtl/>
        </w:rPr>
        <w:t>,</w:t>
      </w:r>
      <w:r w:rsidRPr="003024E5">
        <w:rPr>
          <w:rFonts w:asciiTheme="minorBidi" w:hAnsiTheme="minorBidi"/>
          <w:rtl/>
        </w:rPr>
        <w:t xml:space="preserve"> הואיל והמעמיד דבר האסור בפני עצמו </w:t>
      </w:r>
      <w:r>
        <w:rPr>
          <w:rFonts w:asciiTheme="minorBidi" w:hAnsiTheme="minorBidi" w:hint="cs"/>
          <w:rtl/>
        </w:rPr>
        <w:t xml:space="preserve">- </w:t>
      </w:r>
      <w:r w:rsidRPr="003024E5">
        <w:rPr>
          <w:rFonts w:asciiTheme="minorBidi" w:hAnsiTheme="minorBidi"/>
          <w:rtl/>
        </w:rPr>
        <w:t>נאסרה הגבינה משום נבלה לא משום בשר בחלב, ומפני חשש זה אסרו גבינת הגוים כמו שביארנו</w:t>
      </w:r>
      <w:r w:rsidRPr="003024E5">
        <w:rPr>
          <w:rFonts w:asciiTheme="minorBidi" w:hAnsiTheme="minorBidi"/>
          <w:sz w:val="16"/>
          <w:szCs w:val="16"/>
          <w:rtl/>
        </w:rPr>
        <w:t xml:space="preserve"> (ל' הרמב"ם)</w:t>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5214B4A4" w14:textId="77777777" w:rsidR="002C39F4" w:rsidRDefault="002C39F4" w:rsidP="0032102C">
      <w:pPr>
        <w:pStyle w:val="a8"/>
        <w:numPr>
          <w:ilvl w:val="0"/>
          <w:numId w:val="145"/>
        </w:numPr>
        <w:rPr>
          <w:rFonts w:asciiTheme="minorBidi" w:hAnsiTheme="minorBidi"/>
        </w:rPr>
      </w:pPr>
      <w:r w:rsidRPr="003024E5">
        <w:rPr>
          <w:rFonts w:asciiTheme="minorBidi" w:hAnsiTheme="minorBidi"/>
          <w:rtl/>
        </w:rPr>
        <w:t xml:space="preserve">ר"ת </w:t>
      </w:r>
      <w:r w:rsidRPr="003024E5">
        <w:rPr>
          <w:rFonts w:asciiTheme="minorBidi" w:hAnsiTheme="minorBidi"/>
          <w:sz w:val="16"/>
          <w:szCs w:val="16"/>
          <w:rtl/>
        </w:rPr>
        <w:t>(</w:t>
      </w:r>
      <w:r>
        <w:rPr>
          <w:rFonts w:asciiTheme="minorBidi" w:hAnsiTheme="minorBidi" w:hint="cs"/>
          <w:sz w:val="16"/>
          <w:szCs w:val="16"/>
          <w:rtl/>
        </w:rPr>
        <w:t xml:space="preserve">ספר הישר </w:t>
      </w:r>
      <w:r w:rsidRPr="003024E5">
        <w:rPr>
          <w:rFonts w:asciiTheme="minorBidi" w:hAnsiTheme="minorBidi"/>
          <w:sz w:val="16"/>
          <w:szCs w:val="16"/>
          <w:rtl/>
        </w:rPr>
        <w:t>חידו</w:t>
      </w:r>
      <w:r>
        <w:rPr>
          <w:rFonts w:asciiTheme="minorBidi" w:hAnsiTheme="minorBidi" w:hint="cs"/>
          <w:sz w:val="16"/>
          <w:szCs w:val="16"/>
          <w:rtl/>
        </w:rPr>
        <w:t>שים</w:t>
      </w:r>
      <w:r w:rsidRPr="003024E5">
        <w:rPr>
          <w:rFonts w:asciiTheme="minorBidi" w:hAnsiTheme="minorBidi"/>
          <w:sz w:val="16"/>
          <w:szCs w:val="16"/>
          <w:rtl/>
        </w:rPr>
        <w:t xml:space="preserve"> סי' תעד)</w:t>
      </w:r>
      <w:r>
        <w:rPr>
          <w:rFonts w:asciiTheme="minorBidi" w:hAnsiTheme="minorBidi" w:cs="Arial" w:hint="cs"/>
          <w:rtl/>
        </w:rPr>
        <w:t xml:space="preserve">- </w:t>
      </w:r>
      <w:r w:rsidRPr="00283396">
        <w:rPr>
          <w:rFonts w:asciiTheme="minorBidi" w:hAnsiTheme="minorBidi" w:cs="Arial"/>
          <w:rtl/>
        </w:rPr>
        <w:t>מדקתני אם יש בו בנותן טעם דהיינו לפחות מששים נ"ל דהעמדה אינה אסורה.</w:t>
      </w:r>
    </w:p>
    <w:p w14:paraId="7F62D922" w14:textId="77777777" w:rsidR="002C39F4" w:rsidRPr="003024E5" w:rsidRDefault="002C39F4" w:rsidP="0032102C">
      <w:pPr>
        <w:pStyle w:val="a8"/>
        <w:numPr>
          <w:ilvl w:val="0"/>
          <w:numId w:val="145"/>
        </w:numPr>
        <w:rPr>
          <w:rFonts w:asciiTheme="minorBidi" w:hAnsiTheme="minorBidi"/>
          <w:rtl/>
        </w:rPr>
      </w:pPr>
      <w:r w:rsidRPr="003024E5">
        <w:rPr>
          <w:rFonts w:asciiTheme="minorBidi" w:hAnsiTheme="minorBidi"/>
          <w:rtl/>
        </w:rPr>
        <w:t xml:space="preserve">מרדכי </w:t>
      </w:r>
      <w:r w:rsidRPr="003024E5">
        <w:rPr>
          <w:rFonts w:asciiTheme="minorBidi" w:hAnsiTheme="minorBidi"/>
          <w:sz w:val="16"/>
          <w:szCs w:val="16"/>
          <w:rtl/>
        </w:rPr>
        <w:t>(סי' תשלג)</w:t>
      </w:r>
      <w:r w:rsidRPr="003024E5">
        <w:rPr>
          <w:rFonts w:asciiTheme="minorBidi" w:hAnsiTheme="minorBidi"/>
          <w:rtl/>
        </w:rPr>
        <w:t xml:space="preserve">- </w:t>
      </w:r>
      <w:r>
        <w:rPr>
          <w:rStyle w:val="a7"/>
          <w:rFonts w:asciiTheme="minorBidi" w:hAnsiTheme="minorBidi"/>
          <w:rtl/>
        </w:rPr>
        <w:footnoteReference w:id="1093"/>
      </w:r>
      <w:r w:rsidRPr="003024E5">
        <w:rPr>
          <w:rFonts w:asciiTheme="minorBidi" w:hAnsiTheme="minorBidi"/>
          <w:rtl/>
        </w:rPr>
        <w:t xml:space="preserve">אפי' יש בחלב יותר מס' באיסור כיון שהאיסור מעמיד היינו נותן טעם. </w:t>
      </w:r>
    </w:p>
    <w:p w14:paraId="0E30DA3A" w14:textId="77777777" w:rsidR="002C39F4" w:rsidRPr="003024E5" w:rsidRDefault="002C39F4" w:rsidP="002C39F4">
      <w:pPr>
        <w:rPr>
          <w:rFonts w:asciiTheme="minorBidi" w:hAnsiTheme="minorBidi"/>
          <w:u w:val="single"/>
          <w:rtl/>
        </w:rPr>
      </w:pPr>
      <w:r>
        <w:rPr>
          <w:rFonts w:asciiTheme="minorBidi" w:hAnsiTheme="minorBidi" w:hint="cs"/>
          <w:u w:val="single"/>
          <w:rtl/>
        </w:rPr>
        <w:t xml:space="preserve">חלב </w:t>
      </w:r>
      <w:r w:rsidRPr="003024E5">
        <w:rPr>
          <w:rFonts w:asciiTheme="minorBidi" w:hAnsiTheme="minorBidi"/>
          <w:u w:val="single"/>
          <w:rtl/>
        </w:rPr>
        <w:t>קיבה שהעמידו ב</w:t>
      </w:r>
      <w:r>
        <w:rPr>
          <w:rFonts w:asciiTheme="minorBidi" w:hAnsiTheme="minorBidi" w:hint="cs"/>
          <w:u w:val="single"/>
          <w:rtl/>
        </w:rPr>
        <w:t>ו</w:t>
      </w:r>
      <w:r w:rsidRPr="003024E5">
        <w:rPr>
          <w:rFonts w:asciiTheme="minorBidi" w:hAnsiTheme="minorBidi"/>
          <w:u w:val="single"/>
          <w:rtl/>
        </w:rPr>
        <w:t xml:space="preserve"> חלב הרבה ועשו ב</w:t>
      </w:r>
      <w:r>
        <w:rPr>
          <w:rFonts w:asciiTheme="minorBidi" w:hAnsiTheme="minorBidi" w:hint="cs"/>
          <w:u w:val="single"/>
          <w:rtl/>
        </w:rPr>
        <w:t>ו</w:t>
      </w:r>
      <w:r w:rsidRPr="003024E5">
        <w:rPr>
          <w:rFonts w:asciiTheme="minorBidi" w:hAnsiTheme="minorBidi"/>
          <w:u w:val="single"/>
          <w:rtl/>
        </w:rPr>
        <w:t xml:space="preserve"> גבינות ונמצא לאחר זמן בתוך השק ש</w:t>
      </w:r>
      <w:r>
        <w:rPr>
          <w:rFonts w:asciiTheme="minorBidi" w:hAnsiTheme="minorBidi" w:hint="cs"/>
          <w:u w:val="single"/>
          <w:rtl/>
        </w:rPr>
        <w:t xml:space="preserve">חלב </w:t>
      </w:r>
      <w:r w:rsidRPr="003024E5">
        <w:rPr>
          <w:rFonts w:asciiTheme="minorBidi" w:hAnsiTheme="minorBidi"/>
          <w:u w:val="single"/>
          <w:rtl/>
        </w:rPr>
        <w:t>הקיבה נתו</w:t>
      </w:r>
      <w:r>
        <w:rPr>
          <w:rFonts w:asciiTheme="minorBidi" w:hAnsiTheme="minorBidi" w:hint="cs"/>
          <w:u w:val="single"/>
          <w:rtl/>
        </w:rPr>
        <w:t>ן</w:t>
      </w:r>
      <w:r w:rsidRPr="003024E5">
        <w:rPr>
          <w:rFonts w:asciiTheme="minorBidi" w:hAnsiTheme="minorBidi"/>
          <w:u w:val="single"/>
          <w:rtl/>
        </w:rPr>
        <w:t xml:space="preserve"> בו מעט מן הדקין:</w:t>
      </w:r>
    </w:p>
    <w:p w14:paraId="033093B4" w14:textId="77777777" w:rsidR="002C39F4" w:rsidRPr="003024E5" w:rsidRDefault="002C39F4" w:rsidP="0032102C">
      <w:pPr>
        <w:pStyle w:val="a8"/>
        <w:numPr>
          <w:ilvl w:val="0"/>
          <w:numId w:val="147"/>
        </w:numPr>
        <w:rPr>
          <w:rFonts w:asciiTheme="minorBidi" w:hAnsiTheme="minorBidi"/>
        </w:rPr>
      </w:pPr>
      <w:r w:rsidRPr="003024E5">
        <w:rPr>
          <w:rFonts w:asciiTheme="minorBidi" w:hAnsiTheme="minorBidi"/>
          <w:rtl/>
        </w:rPr>
        <w:t xml:space="preserve">מרדכי </w:t>
      </w:r>
      <w:r w:rsidRPr="003024E5">
        <w:rPr>
          <w:rFonts w:asciiTheme="minorBidi" w:hAnsiTheme="minorBidi"/>
          <w:sz w:val="16"/>
          <w:szCs w:val="16"/>
          <w:rtl/>
        </w:rPr>
        <w:t>(סי' תשלג)</w:t>
      </w:r>
      <w:r w:rsidRPr="003024E5">
        <w:rPr>
          <w:rFonts w:asciiTheme="minorBidi" w:hAnsiTheme="minorBidi"/>
          <w:rtl/>
        </w:rPr>
        <w:t xml:space="preserve"> בשם רבינו ברוך</w:t>
      </w:r>
      <w:r w:rsidRPr="003024E5">
        <w:rPr>
          <w:rStyle w:val="a7"/>
          <w:rFonts w:asciiTheme="minorBidi" w:hAnsiTheme="minorBidi"/>
          <w:rtl/>
        </w:rPr>
        <w:footnoteReference w:id="1094"/>
      </w:r>
      <w:r w:rsidRPr="003024E5">
        <w:rPr>
          <w:rFonts w:asciiTheme="minorBidi" w:hAnsiTheme="minorBidi"/>
          <w:rtl/>
        </w:rPr>
        <w:t>- מותר, דבסתמא לא העמיד כל החלב שבקדירה מקיבה שכולה אסורה</w:t>
      </w:r>
      <w:r>
        <w:rPr>
          <w:rFonts w:asciiTheme="minorBidi" w:hAnsiTheme="minorBidi" w:hint="cs"/>
          <w:rtl/>
        </w:rPr>
        <w:t>,</w:t>
      </w:r>
      <w:r w:rsidRPr="003024E5">
        <w:rPr>
          <w:rFonts w:asciiTheme="minorBidi" w:hAnsiTheme="minorBidi"/>
          <w:rtl/>
        </w:rPr>
        <w:t xml:space="preserve"> דהיינו הצלול</w:t>
      </w:r>
      <w:r>
        <w:rPr>
          <w:rFonts w:asciiTheme="minorBidi" w:hAnsiTheme="minorBidi" w:hint="cs"/>
          <w:rtl/>
        </w:rPr>
        <w:t>,</w:t>
      </w:r>
      <w:r w:rsidRPr="003024E5">
        <w:rPr>
          <w:rFonts w:asciiTheme="minorBidi" w:hAnsiTheme="minorBidi"/>
          <w:rtl/>
        </w:rPr>
        <w:t xml:space="preserve"> אלא מן הקרוש</w:t>
      </w:r>
      <w:r>
        <w:rPr>
          <w:rFonts w:asciiTheme="minorBidi" w:hAnsiTheme="minorBidi" w:hint="cs"/>
          <w:rtl/>
        </w:rPr>
        <w:t>,</w:t>
      </w:r>
      <w:r w:rsidRPr="003024E5">
        <w:rPr>
          <w:rFonts w:asciiTheme="minorBidi" w:hAnsiTheme="minorBidi"/>
          <w:rtl/>
        </w:rPr>
        <w:t xml:space="preserve"> ואין רגילות שיתנו קיבות בקדירה להעמיד החלב שלא יהיה מעט מקיבה הקרושה וגם פעמים יותר מן הקרוש דה"ל זה וזה גורם דמותר</w:t>
      </w:r>
      <w:r>
        <w:rPr>
          <w:rStyle w:val="a7"/>
          <w:rFonts w:asciiTheme="minorBidi" w:hAnsiTheme="minorBidi"/>
          <w:rtl/>
        </w:rPr>
        <w:footnoteReference w:id="1095"/>
      </w:r>
      <w:r w:rsidRPr="003024E5">
        <w:rPr>
          <w:rFonts w:asciiTheme="minorBidi" w:hAnsiTheme="minorBidi"/>
          <w:rtl/>
        </w:rPr>
        <w:t>.</w:t>
      </w:r>
      <w:r w:rsidRPr="003024E5">
        <w:rPr>
          <w:rFonts w:asciiTheme="minorBidi" w:hAnsiTheme="minorBidi"/>
          <w:color w:val="00B0F0"/>
          <w:rtl/>
        </w:rPr>
        <w:t xml:space="preserve"> (וכ"פ הרמ"א)</w:t>
      </w:r>
    </w:p>
    <w:p w14:paraId="799F0F71" w14:textId="77777777" w:rsidR="002C39F4" w:rsidRPr="003024E5" w:rsidRDefault="002C39F4" w:rsidP="002C39F4">
      <w:pPr>
        <w:rPr>
          <w:rFonts w:asciiTheme="minorBidi" w:hAnsiTheme="minorBidi"/>
          <w:u w:val="single"/>
        </w:rPr>
      </w:pPr>
      <w:r w:rsidRPr="003024E5">
        <w:rPr>
          <w:rFonts w:asciiTheme="minorBidi" w:hAnsiTheme="minorBidi"/>
          <w:u w:val="single"/>
          <w:rtl/>
        </w:rPr>
        <w:t>האם גבינה חשיבא חתיכה הראויה להתכבד:</w:t>
      </w:r>
    </w:p>
    <w:p w14:paraId="662064F3" w14:textId="77777777" w:rsidR="002C39F4" w:rsidRPr="003024E5" w:rsidRDefault="002C39F4" w:rsidP="0032102C">
      <w:pPr>
        <w:pStyle w:val="a8"/>
        <w:numPr>
          <w:ilvl w:val="0"/>
          <w:numId w:val="147"/>
        </w:numPr>
        <w:rPr>
          <w:rFonts w:asciiTheme="minorBidi" w:hAnsiTheme="minorBidi"/>
        </w:rPr>
      </w:pPr>
      <w:r w:rsidRPr="003024E5">
        <w:rPr>
          <w:rFonts w:asciiTheme="minorBidi" w:hAnsiTheme="minorBidi"/>
          <w:rtl/>
        </w:rPr>
        <w:t xml:space="preserve">מרדכי </w:t>
      </w:r>
      <w:r w:rsidRPr="003024E5">
        <w:rPr>
          <w:rFonts w:asciiTheme="minorBidi" w:hAnsiTheme="minorBidi"/>
          <w:sz w:val="16"/>
          <w:szCs w:val="16"/>
          <w:rtl/>
        </w:rPr>
        <w:t xml:space="preserve">(שם) </w:t>
      </w:r>
      <w:r w:rsidRPr="003024E5">
        <w:rPr>
          <w:rFonts w:asciiTheme="minorBidi" w:hAnsiTheme="minorBidi"/>
          <w:rtl/>
        </w:rPr>
        <w:t xml:space="preserve">בשם רבינו שמשון ב"ר אברהם- מי יודע אם אין גבינות חשובות כחתיכה הראויה להתכבד ואם ידוע שיש אחת שנעשית מקיבה האסורה אוסרת כל האחרים. </w:t>
      </w:r>
    </w:p>
    <w:p w14:paraId="03CDBBA3" w14:textId="77777777" w:rsidR="002C39F4" w:rsidRPr="003024E5" w:rsidRDefault="002C39F4" w:rsidP="002C39F4">
      <w:pPr>
        <w:rPr>
          <w:rFonts w:asciiTheme="minorBidi" w:hAnsiTheme="minorBidi"/>
          <w:u w:val="single"/>
        </w:rPr>
      </w:pPr>
      <w:r w:rsidRPr="003024E5">
        <w:rPr>
          <w:rFonts w:asciiTheme="minorBidi" w:hAnsiTheme="minorBidi"/>
          <w:u w:val="single"/>
          <w:rtl/>
        </w:rPr>
        <w:t>האם בשר בחלב שאסרו חכמים אסור בהנאה:</w:t>
      </w:r>
    </w:p>
    <w:p w14:paraId="06A40B46" w14:textId="77777777" w:rsidR="002C39F4" w:rsidRPr="003024E5" w:rsidRDefault="002C39F4" w:rsidP="0032102C">
      <w:pPr>
        <w:pStyle w:val="a8"/>
        <w:numPr>
          <w:ilvl w:val="0"/>
          <w:numId w:val="147"/>
        </w:numPr>
        <w:rPr>
          <w:rFonts w:asciiTheme="minorBidi" w:hAnsiTheme="minorBidi"/>
          <w:rtl/>
        </w:rPr>
      </w:pPr>
      <w:r>
        <w:rPr>
          <w:rFonts w:asciiTheme="minorBidi" w:hAnsiTheme="minorBidi"/>
          <w:rtl/>
        </w:rPr>
        <w:t>הג"א</w:t>
      </w:r>
      <w:r w:rsidRPr="003024E5">
        <w:rPr>
          <w:rFonts w:asciiTheme="minorBidi" w:hAnsiTheme="minorBidi"/>
          <w:rtl/>
        </w:rPr>
        <w:t xml:space="preserve"> </w:t>
      </w:r>
      <w:r>
        <w:rPr>
          <w:rFonts w:asciiTheme="minorBidi" w:hAnsiTheme="minorBidi" w:hint="cs"/>
          <w:rtl/>
        </w:rPr>
        <w:t xml:space="preserve">בשם או"ז </w:t>
      </w:r>
      <w:r w:rsidRPr="003024E5">
        <w:rPr>
          <w:rFonts w:asciiTheme="minorBidi" w:hAnsiTheme="minorBidi"/>
          <w:rtl/>
        </w:rPr>
        <w:t>מרדכי</w:t>
      </w:r>
      <w:r w:rsidRPr="00F540EE">
        <w:rPr>
          <w:rFonts w:cs="Arial"/>
          <w:rtl/>
        </w:rPr>
        <w:t xml:space="preserve"> </w:t>
      </w:r>
      <w:r>
        <w:rPr>
          <w:rFonts w:cs="Arial" w:hint="cs"/>
          <w:rtl/>
        </w:rPr>
        <w:t>ו</w:t>
      </w:r>
      <w:r w:rsidRPr="003B72FA">
        <w:rPr>
          <w:rFonts w:cs="Arial"/>
          <w:rtl/>
        </w:rPr>
        <w:t>אגור</w:t>
      </w:r>
      <w:r w:rsidRPr="003024E5">
        <w:rPr>
          <w:rStyle w:val="a7"/>
          <w:rFonts w:asciiTheme="minorBidi" w:hAnsiTheme="minorBidi"/>
          <w:rtl/>
        </w:rPr>
        <w:footnoteReference w:id="1096"/>
      </w:r>
      <w:r w:rsidRPr="003024E5">
        <w:rPr>
          <w:rFonts w:asciiTheme="minorBidi" w:hAnsiTheme="minorBidi"/>
          <w:rtl/>
        </w:rPr>
        <w:t xml:space="preserve">- </w:t>
      </w:r>
      <w:r w:rsidRPr="00F540EE">
        <w:rPr>
          <w:rFonts w:asciiTheme="minorBidi" w:hAnsiTheme="minorBidi" w:cs="Arial"/>
          <w:rtl/>
        </w:rPr>
        <w:t>יש להסתפק בשר בחלב שאסרו חכמים כגון ששהה בצונן יותר מיום אחד או ע"י מליחה אסרוהו בהנאה או לאו והמתיר בהנאה אין מוחין בידו כל כמה דלא אשכחן ראיה לאיסור</w:t>
      </w:r>
      <w:r>
        <w:rPr>
          <w:rFonts w:asciiTheme="minorBidi" w:hAnsiTheme="minorBidi" w:cs="Arial" w:hint="cs"/>
          <w:sz w:val="16"/>
          <w:szCs w:val="16"/>
          <w:rtl/>
        </w:rPr>
        <w:t xml:space="preserve"> (ל' הג"א)</w:t>
      </w:r>
      <w:r w:rsidRPr="003024E5">
        <w:rPr>
          <w:rFonts w:asciiTheme="minorBidi" w:hAnsiTheme="minorBidi"/>
          <w:rtl/>
        </w:rPr>
        <w:t>.</w:t>
      </w:r>
    </w:p>
    <w:p w14:paraId="5E51329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C0F244C" w14:textId="77777777" w:rsidR="002C39F4" w:rsidRPr="003024E5" w:rsidRDefault="002C39F4" w:rsidP="002C39F4">
      <w:pPr>
        <w:rPr>
          <w:rFonts w:asciiTheme="minorBidi" w:hAnsiTheme="minorBidi"/>
          <w:rtl/>
        </w:rPr>
      </w:pPr>
      <w:r w:rsidRPr="003024E5">
        <w:rPr>
          <w:rFonts w:asciiTheme="minorBidi" w:hAnsiTheme="minorBidi"/>
          <w:rtl/>
        </w:rPr>
        <w:t>אם העמיד גבינה בעור קיבת כשרה, יש בה טעם בשר</w:t>
      </w:r>
      <w:r w:rsidRPr="003024E5">
        <w:rPr>
          <w:rStyle w:val="a7"/>
          <w:rFonts w:asciiTheme="minorBidi" w:hAnsiTheme="minorBidi"/>
          <w:rtl/>
        </w:rPr>
        <w:footnoteReference w:id="1097"/>
      </w:r>
      <w:r w:rsidRPr="003024E5">
        <w:rPr>
          <w:rFonts w:asciiTheme="minorBidi" w:hAnsiTheme="minorBidi"/>
          <w:rtl/>
        </w:rPr>
        <w:t xml:space="preserve"> אסורה, ואם לאו מותרת, אבל המעמיד בעור קיבת נבלה וטריפה ובהמה טמאה אוסר בכל שהוא</w:t>
      </w:r>
      <w:r w:rsidRPr="003024E5">
        <w:rPr>
          <w:rStyle w:val="a7"/>
          <w:rFonts w:asciiTheme="minorBidi" w:hAnsiTheme="minorBidi"/>
          <w:rtl/>
        </w:rPr>
        <w:footnoteReference w:id="1098"/>
      </w:r>
      <w:r w:rsidRPr="003024E5">
        <w:rPr>
          <w:rFonts w:asciiTheme="minorBidi" w:hAnsiTheme="minorBidi"/>
          <w:rtl/>
        </w:rPr>
        <w:t xml:space="preserve">. </w:t>
      </w:r>
      <w:r w:rsidRPr="003024E5">
        <w:rPr>
          <w:rFonts w:asciiTheme="minorBidi" w:hAnsiTheme="minorBidi"/>
          <w:sz w:val="18"/>
          <w:szCs w:val="18"/>
          <w:rtl/>
        </w:rPr>
        <w:t xml:space="preserve">הגה: משום דדבר האסור בעצמו ומעמיד אפילו באלף לא בטיל </w:t>
      </w:r>
      <w:r w:rsidRPr="003024E5">
        <w:rPr>
          <w:rFonts w:asciiTheme="minorBidi" w:hAnsiTheme="minorBidi"/>
          <w:sz w:val="16"/>
          <w:szCs w:val="16"/>
          <w:rtl/>
        </w:rPr>
        <w:t>(ב"י בד' הרשב"א והר"ן)</w:t>
      </w:r>
      <w:r w:rsidRPr="003024E5">
        <w:rPr>
          <w:rFonts w:asciiTheme="minorBidi" w:hAnsiTheme="minorBidi"/>
          <w:sz w:val="18"/>
          <w:szCs w:val="18"/>
          <w:rtl/>
        </w:rPr>
        <w:t>. ודוקא שלא היה שם מעמיד אחר רק האסור, אבל אם היה שם ג"כ מעמיד היתר הוי זה וזה גורם ומותר אם איכא ס' נגד האסור</w:t>
      </w:r>
      <w:r w:rsidRPr="003024E5">
        <w:rPr>
          <w:rStyle w:val="a7"/>
          <w:rFonts w:asciiTheme="minorBidi" w:hAnsiTheme="minorBidi"/>
          <w:sz w:val="18"/>
          <w:szCs w:val="18"/>
          <w:rtl/>
        </w:rPr>
        <w:footnoteReference w:id="1099"/>
      </w:r>
      <w:r w:rsidRPr="003024E5">
        <w:rPr>
          <w:rFonts w:asciiTheme="minorBidi" w:hAnsiTheme="minorBidi"/>
          <w:sz w:val="18"/>
          <w:szCs w:val="18"/>
          <w:rtl/>
        </w:rPr>
        <w:t xml:space="preserve"> </w:t>
      </w:r>
      <w:r w:rsidRPr="003024E5">
        <w:rPr>
          <w:rFonts w:asciiTheme="minorBidi" w:hAnsiTheme="minorBidi"/>
          <w:sz w:val="16"/>
          <w:szCs w:val="16"/>
          <w:rtl/>
        </w:rPr>
        <w:t>(ממשמעות המרדכי)</w:t>
      </w:r>
      <w:r w:rsidRPr="003024E5">
        <w:rPr>
          <w:rFonts w:asciiTheme="minorBidi" w:hAnsiTheme="minorBidi"/>
          <w:sz w:val="18"/>
          <w:szCs w:val="18"/>
          <w:rtl/>
        </w:rPr>
        <w:t>.</w:t>
      </w:r>
    </w:p>
    <w:p w14:paraId="1BF05619" w14:textId="77777777" w:rsidR="002C39F4" w:rsidRPr="003024E5" w:rsidRDefault="002C39F4" w:rsidP="002C39F4">
      <w:pPr>
        <w:rPr>
          <w:rFonts w:asciiTheme="minorBidi" w:hAnsiTheme="minorBidi"/>
          <w:rtl/>
        </w:rPr>
      </w:pPr>
    </w:p>
    <w:p w14:paraId="6E23B281" w14:textId="77777777" w:rsidR="002C39F4" w:rsidRPr="003024E5" w:rsidRDefault="002C39F4" w:rsidP="002C39F4">
      <w:pPr>
        <w:rPr>
          <w:rFonts w:asciiTheme="minorBidi" w:hAnsiTheme="minorBidi"/>
          <w:rtl/>
        </w:rPr>
      </w:pPr>
    </w:p>
    <w:p w14:paraId="6A83EC42" w14:textId="77777777" w:rsidR="002C39F4" w:rsidRPr="003024E5" w:rsidRDefault="002C39F4" w:rsidP="002C39F4">
      <w:pPr>
        <w:rPr>
          <w:rFonts w:asciiTheme="minorBidi" w:hAnsiTheme="minorBidi"/>
          <w:rtl/>
        </w:rPr>
      </w:pPr>
    </w:p>
    <w:p w14:paraId="620B814F" w14:textId="77777777" w:rsidR="002C39F4" w:rsidRPr="003024E5" w:rsidRDefault="002C39F4" w:rsidP="002C39F4">
      <w:pPr>
        <w:rPr>
          <w:rFonts w:asciiTheme="minorBidi" w:hAnsiTheme="minorBidi"/>
          <w:rtl/>
        </w:rPr>
      </w:pPr>
    </w:p>
    <w:p w14:paraId="6E6C8BAA" w14:textId="77777777" w:rsidR="002C39F4" w:rsidRPr="003024E5" w:rsidRDefault="002C39F4" w:rsidP="002C39F4">
      <w:pPr>
        <w:rPr>
          <w:rFonts w:asciiTheme="minorBidi" w:hAnsiTheme="minorBidi"/>
          <w:rtl/>
        </w:rPr>
      </w:pPr>
    </w:p>
    <w:p w14:paraId="5536DC09"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34A43909"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פח: שלא להעלות בשר על השלחן כשאוכלין גבינה, ובו ב' סעיפים. </w:t>
      </w:r>
    </w:p>
    <w:p w14:paraId="1B2CDA19" w14:textId="77777777" w:rsidR="002C39F4" w:rsidRPr="003024E5" w:rsidRDefault="002C39F4" w:rsidP="002C39F4">
      <w:pPr>
        <w:pStyle w:val="2"/>
        <w:rPr>
          <w:rFonts w:asciiTheme="minorBidi" w:hAnsiTheme="minorBidi"/>
          <w:rtl/>
        </w:rPr>
      </w:pPr>
      <w:r w:rsidRPr="003024E5">
        <w:rPr>
          <w:rFonts w:asciiTheme="minorBidi" w:hAnsiTheme="minorBidi"/>
          <w:rtl/>
        </w:rPr>
        <w:t>סעיף א: הנחת בשר וגבינה על שלחן אחד.</w:t>
      </w:r>
    </w:p>
    <w:p w14:paraId="22B7C408"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קג ע"ב: </w:t>
      </w:r>
      <w:r w:rsidRPr="003024E5">
        <w:rPr>
          <w:rFonts w:asciiTheme="minorBidi" w:hAnsiTheme="minorBidi"/>
          <w:u w:val="double"/>
          <w:rtl/>
        </w:rPr>
        <w:t>מתני':</w:t>
      </w:r>
      <w:r w:rsidRPr="003024E5">
        <w:rPr>
          <w:rFonts w:asciiTheme="minorBidi" w:hAnsiTheme="minorBidi"/>
          <w:rtl/>
        </w:rPr>
        <w:t xml:space="preserve"> כל הבשר אסור לבשל בחלב</w:t>
      </w:r>
      <w:r>
        <w:rPr>
          <w:rFonts w:asciiTheme="minorBidi" w:hAnsiTheme="minorBidi" w:hint="cs"/>
          <w:rtl/>
        </w:rPr>
        <w:t xml:space="preserve"> </w:t>
      </w:r>
      <w:r w:rsidRPr="003024E5">
        <w:rPr>
          <w:rFonts w:asciiTheme="minorBidi" w:hAnsiTheme="minorBidi"/>
          <w:rtl/>
        </w:rPr>
        <w:t>- חוץ מבשר דגים וחגבים. ואסור להעלות עם הגבינה על השלחן</w:t>
      </w:r>
      <w:r>
        <w:rPr>
          <w:rFonts w:asciiTheme="minorBidi" w:hAnsiTheme="minorBidi" w:hint="cs"/>
          <w:rtl/>
        </w:rPr>
        <w:t xml:space="preserve"> </w:t>
      </w:r>
      <w:r w:rsidRPr="003024E5">
        <w:rPr>
          <w:rFonts w:asciiTheme="minorBidi" w:hAnsiTheme="minorBidi"/>
          <w:rtl/>
        </w:rPr>
        <w:t xml:space="preserve">- חוץ מבשר דגים וחגבים. </w:t>
      </w:r>
    </w:p>
    <w:p w14:paraId="7EE81D4D"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קד ע"ב: </w:t>
      </w:r>
      <w:r w:rsidRPr="003024E5">
        <w:rPr>
          <w:rFonts w:asciiTheme="minorBidi" w:hAnsiTheme="minorBidi"/>
          <w:u w:val="double"/>
          <w:rtl/>
        </w:rPr>
        <w:t>מתני':</w:t>
      </w:r>
      <w:r w:rsidRPr="003024E5">
        <w:rPr>
          <w:rFonts w:asciiTheme="minorBidi" w:hAnsiTheme="minorBidi"/>
          <w:rtl/>
        </w:rPr>
        <w:t xml:space="preserve"> העוף עולה עם הגבינה על השולחן ואינו נאכל</w:t>
      </w:r>
      <w:r>
        <w:rPr>
          <w:rFonts w:asciiTheme="minorBidi" w:hAnsiTheme="minorBidi" w:hint="cs"/>
          <w:rtl/>
        </w:rPr>
        <w:t xml:space="preserve"> </w:t>
      </w:r>
      <w:r w:rsidRPr="003024E5">
        <w:rPr>
          <w:rFonts w:asciiTheme="minorBidi" w:hAnsiTheme="minorBidi"/>
          <w:rtl/>
        </w:rPr>
        <w:t xml:space="preserve">- </w:t>
      </w:r>
      <w:r w:rsidRPr="003024E5">
        <w:rPr>
          <w:rFonts w:asciiTheme="minorBidi" w:hAnsiTheme="minorBidi"/>
          <w:u w:val="single"/>
          <w:rtl/>
        </w:rPr>
        <w:t>דברי ב"ש</w:t>
      </w:r>
      <w:r w:rsidRPr="003024E5">
        <w:rPr>
          <w:rFonts w:asciiTheme="minorBidi" w:hAnsiTheme="minorBidi"/>
          <w:rtl/>
        </w:rPr>
        <w:t xml:space="preserve">, </w:t>
      </w:r>
      <w:r w:rsidRPr="003024E5">
        <w:rPr>
          <w:rFonts w:asciiTheme="minorBidi" w:hAnsiTheme="minorBidi"/>
          <w:u w:val="single"/>
          <w:rtl/>
        </w:rPr>
        <w:t>וב"ה אומרים</w:t>
      </w:r>
      <w:r w:rsidRPr="003024E5">
        <w:rPr>
          <w:rFonts w:asciiTheme="minorBidi" w:hAnsiTheme="minorBidi"/>
          <w:rtl/>
        </w:rPr>
        <w:t xml:space="preserve">: לא עולה ולא נאכל, </w:t>
      </w:r>
      <w:r w:rsidRPr="003024E5">
        <w:rPr>
          <w:rFonts w:asciiTheme="minorBidi" w:hAnsiTheme="minorBidi"/>
          <w:u w:val="single"/>
          <w:rtl/>
        </w:rPr>
        <w:t>א"ר יוסי</w:t>
      </w:r>
      <w:r w:rsidRPr="003024E5">
        <w:rPr>
          <w:rFonts w:asciiTheme="minorBidi" w:hAnsiTheme="minorBidi"/>
          <w:rtl/>
        </w:rPr>
        <w:t>: זו מקולי ב"ש ומחומרי ב"ה. באיזה שולחן אמרו - בשולחן שאוכל עליו, אבל בשולחן שסודר עליו את התבשיל - נותן זה בצד זה ואינו חושש.</w:t>
      </w:r>
    </w:p>
    <w:p w14:paraId="29B90E3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B63BFA1" w14:textId="77777777" w:rsidR="002C39F4" w:rsidRPr="003024E5" w:rsidRDefault="002C39F4" w:rsidP="002C39F4">
      <w:pPr>
        <w:rPr>
          <w:rFonts w:asciiTheme="minorBidi" w:hAnsiTheme="minorBidi"/>
          <w:rtl/>
        </w:rPr>
      </w:pPr>
      <w:r w:rsidRPr="003024E5">
        <w:rPr>
          <w:rFonts w:asciiTheme="minorBidi" w:hAnsiTheme="minorBidi"/>
          <w:rtl/>
        </w:rPr>
        <w:t>אפילו בשר חיה ועוף אסור להעלותו על שלחן שאוכל עליו גבינה שלא יבא לאכלם יחד</w:t>
      </w:r>
      <w:r w:rsidRPr="003024E5">
        <w:rPr>
          <w:rStyle w:val="a7"/>
          <w:rFonts w:asciiTheme="minorBidi" w:hAnsiTheme="minorBidi"/>
          <w:rtl/>
        </w:rPr>
        <w:footnoteReference w:id="1100"/>
      </w:r>
      <w:r w:rsidRPr="003024E5">
        <w:rPr>
          <w:rFonts w:asciiTheme="minorBidi" w:hAnsiTheme="minorBidi"/>
          <w:rtl/>
        </w:rPr>
        <w:t xml:space="preserve">, אבל בשלחן שסודר עליו התבשיל מותר ליתן זה בצד זה. </w:t>
      </w:r>
    </w:p>
    <w:p w14:paraId="7CBB674A" w14:textId="77777777" w:rsidR="002C39F4" w:rsidRPr="003024E5" w:rsidRDefault="002C39F4" w:rsidP="002C39F4">
      <w:pPr>
        <w:rPr>
          <w:rFonts w:asciiTheme="minorBidi" w:hAnsiTheme="minorBidi"/>
          <w:u w:val="single"/>
          <w:rtl/>
        </w:rPr>
      </w:pPr>
      <w:r w:rsidRPr="003024E5">
        <w:rPr>
          <w:rFonts w:asciiTheme="minorBidi" w:hAnsiTheme="minorBidi"/>
          <w:u w:val="single"/>
          <w:rtl/>
        </w:rPr>
        <w:t>אכילת מאכל כשר על שלחן שגוי אוכל דבר איסור:</w:t>
      </w:r>
    </w:p>
    <w:p w14:paraId="3C767FFD" w14:textId="77777777" w:rsidR="002C39F4" w:rsidRPr="003024E5" w:rsidRDefault="002C39F4" w:rsidP="0032102C">
      <w:pPr>
        <w:pStyle w:val="a8"/>
        <w:numPr>
          <w:ilvl w:val="0"/>
          <w:numId w:val="147"/>
        </w:numPr>
        <w:rPr>
          <w:rFonts w:asciiTheme="minorBidi" w:hAnsiTheme="minorBidi"/>
          <w:rtl/>
        </w:rPr>
      </w:pPr>
      <w:r w:rsidRPr="003024E5">
        <w:rPr>
          <w:rFonts w:asciiTheme="minorBidi" w:hAnsiTheme="minorBidi"/>
          <w:rtl/>
        </w:rPr>
        <w:t xml:space="preserve">ש"ך </w:t>
      </w:r>
      <w:r w:rsidRPr="003024E5">
        <w:rPr>
          <w:rFonts w:asciiTheme="minorBidi" w:hAnsiTheme="minorBidi"/>
          <w:sz w:val="16"/>
          <w:szCs w:val="16"/>
          <w:rtl/>
        </w:rPr>
        <w:t>(סק"ב)</w:t>
      </w:r>
      <w:r w:rsidRPr="003024E5">
        <w:rPr>
          <w:rFonts w:asciiTheme="minorBidi" w:hAnsiTheme="minorBidi"/>
          <w:rtl/>
        </w:rPr>
        <w:t>- דוקא בשר אסור להעלות על השלחן שאוכל חלב או איפכא משום דלא בדילי אינשי מיניה מפני שכל אחד היתר בפני עצמו אבל מותר להעלות בשר נבילה על השלחן שאוכל עליו בשר כשירה</w:t>
      </w:r>
      <w:r w:rsidRPr="003024E5">
        <w:rPr>
          <w:rStyle w:val="a7"/>
          <w:rFonts w:asciiTheme="minorBidi" w:hAnsiTheme="minorBidi"/>
          <w:rtl/>
        </w:rPr>
        <w:footnoteReference w:id="1101"/>
      </w:r>
      <w:r w:rsidRPr="003024E5">
        <w:rPr>
          <w:rFonts w:asciiTheme="minorBidi" w:hAnsiTheme="minorBidi"/>
          <w:rtl/>
        </w:rPr>
        <w:t>, והא דגוי הבא עם חמצו לבית ישראל אסור להעלותו עמו על השלחן</w:t>
      </w:r>
      <w:r w:rsidRPr="003024E5">
        <w:rPr>
          <w:rStyle w:val="a7"/>
          <w:rFonts w:asciiTheme="minorBidi" w:hAnsiTheme="minorBidi"/>
          <w:rtl/>
        </w:rPr>
        <w:footnoteReference w:id="1102"/>
      </w:r>
      <w:r w:rsidRPr="003024E5">
        <w:rPr>
          <w:rFonts w:asciiTheme="minorBidi" w:hAnsiTheme="minorBidi"/>
          <w:rtl/>
        </w:rPr>
        <w:t xml:space="preserve"> הוא משום דחומרא דחמץ שאני דכיון דחמץ במשהו רחוק הוא שלא יתערב פירור א' משל גוי בשל ישראל</w:t>
      </w:r>
      <w:r w:rsidRPr="003024E5">
        <w:rPr>
          <w:rStyle w:val="a7"/>
          <w:rFonts w:asciiTheme="minorBidi" w:hAnsiTheme="minorBidi"/>
          <w:rtl/>
        </w:rPr>
        <w:footnoteReference w:id="1103"/>
      </w:r>
      <w:r w:rsidRPr="003024E5">
        <w:rPr>
          <w:rFonts w:asciiTheme="minorBidi" w:hAnsiTheme="minorBidi"/>
          <w:rtl/>
        </w:rPr>
        <w:t>, אך אסור להעלות לחם של איסור על השלחן כדרך שאסור בבשר וחלב.</w:t>
      </w:r>
    </w:p>
    <w:p w14:paraId="2918DB5D" w14:textId="77777777" w:rsidR="002C39F4" w:rsidRPr="003024E5" w:rsidRDefault="002C39F4" w:rsidP="002C39F4">
      <w:pPr>
        <w:rPr>
          <w:rFonts w:asciiTheme="minorBidi" w:hAnsiTheme="minorBidi"/>
          <w:rtl/>
        </w:rPr>
      </w:pPr>
    </w:p>
    <w:p w14:paraId="39A43915" w14:textId="77777777" w:rsidR="002C39F4" w:rsidRPr="003024E5" w:rsidRDefault="002C39F4" w:rsidP="002C39F4">
      <w:pPr>
        <w:pStyle w:val="2"/>
        <w:rPr>
          <w:rFonts w:asciiTheme="minorBidi" w:hAnsiTheme="minorBidi"/>
          <w:rtl/>
        </w:rPr>
      </w:pPr>
      <w:r w:rsidRPr="003024E5">
        <w:rPr>
          <w:rFonts w:asciiTheme="minorBidi" w:hAnsiTheme="minorBidi"/>
          <w:rtl/>
        </w:rPr>
        <w:t>סעיף ב: שני בני אדם אוכלים על שלחן אחד זה בשר וזה גבינה.</w:t>
      </w:r>
    </w:p>
    <w:p w14:paraId="6C2E9A3E" w14:textId="77777777" w:rsidR="002C39F4" w:rsidRPr="003024E5" w:rsidRDefault="002C39F4" w:rsidP="002C39F4">
      <w:pPr>
        <w:rPr>
          <w:rFonts w:asciiTheme="minorBidi" w:hAnsiTheme="minorBidi"/>
          <w:sz w:val="16"/>
          <w:szCs w:val="16"/>
          <w:rtl/>
        </w:rPr>
      </w:pPr>
      <w:r w:rsidRPr="003024E5">
        <w:rPr>
          <w:rFonts w:asciiTheme="minorBidi" w:hAnsiTheme="minorBidi"/>
          <w:b/>
          <w:bCs/>
          <w:rtl/>
        </w:rPr>
        <w:t xml:space="preserve">חולין קז ע"ב: </w:t>
      </w:r>
      <w:r w:rsidRPr="003024E5">
        <w:rPr>
          <w:rFonts w:asciiTheme="minorBidi" w:hAnsiTheme="minorBidi"/>
          <w:u w:val="double"/>
          <w:rtl/>
        </w:rPr>
        <w:t>מתני':</w:t>
      </w:r>
      <w:r w:rsidRPr="003024E5">
        <w:rPr>
          <w:rFonts w:asciiTheme="minorBidi" w:hAnsiTheme="minorBidi"/>
          <w:rtl/>
        </w:rPr>
        <w:t xml:space="preserve"> </w:t>
      </w:r>
      <w:r w:rsidRPr="003024E5">
        <w:rPr>
          <w:rFonts w:asciiTheme="minorBidi" w:hAnsiTheme="minorBidi"/>
          <w:u w:val="single"/>
          <w:rtl/>
        </w:rPr>
        <w:t>רבן שמעון בן גמליאל אומר</w:t>
      </w:r>
      <w:r w:rsidRPr="003024E5">
        <w:rPr>
          <w:rFonts w:asciiTheme="minorBidi" w:hAnsiTheme="minorBidi"/>
          <w:rtl/>
        </w:rPr>
        <w:t>: שני אכסנאין</w:t>
      </w:r>
      <w:r w:rsidRPr="003024E5">
        <w:rPr>
          <w:rStyle w:val="a7"/>
          <w:rFonts w:asciiTheme="minorBidi" w:hAnsiTheme="minorBidi"/>
          <w:rtl/>
        </w:rPr>
        <w:footnoteReference w:id="1104"/>
      </w:r>
      <w:r w:rsidRPr="003024E5">
        <w:rPr>
          <w:rFonts w:asciiTheme="minorBidi" w:hAnsiTheme="minorBidi"/>
          <w:rtl/>
        </w:rPr>
        <w:t xml:space="preserve"> אוכלין על שלחן אחד זה בשר וזה גבינה ואין חוששין.     </w:t>
      </w:r>
      <w:r w:rsidRPr="003024E5">
        <w:rPr>
          <w:rFonts w:asciiTheme="minorBidi" w:hAnsiTheme="minorBidi"/>
          <w:u w:val="double"/>
          <w:rtl/>
        </w:rPr>
        <w:t>גמ':</w:t>
      </w:r>
      <w:r w:rsidRPr="003024E5">
        <w:rPr>
          <w:rFonts w:asciiTheme="minorBidi" w:hAnsiTheme="minorBidi"/>
          <w:rtl/>
        </w:rPr>
        <w:t xml:space="preserve"> רשבג"א שני אכסנאין אוכלין על שולחן וכו'. </w:t>
      </w:r>
      <w:r w:rsidRPr="003024E5">
        <w:rPr>
          <w:rFonts w:asciiTheme="minorBidi" w:hAnsiTheme="minorBidi"/>
          <w:u w:val="single"/>
          <w:rtl/>
        </w:rPr>
        <w:t>אמר רב חנן בר אמי אמר שמואל</w:t>
      </w:r>
      <w:r w:rsidRPr="003024E5">
        <w:rPr>
          <w:rFonts w:asciiTheme="minorBidi" w:hAnsiTheme="minorBidi"/>
          <w:rtl/>
        </w:rPr>
        <w:t>: לא שנו אלא שאין מכירין זה את זה, אבל מכירין זה את זה</w:t>
      </w:r>
      <w:r>
        <w:rPr>
          <w:rFonts w:asciiTheme="minorBidi" w:hAnsiTheme="minorBidi" w:hint="cs"/>
          <w:rtl/>
        </w:rPr>
        <w:t xml:space="preserve"> </w:t>
      </w:r>
      <w:r w:rsidRPr="003024E5">
        <w:rPr>
          <w:rFonts w:asciiTheme="minorBidi" w:hAnsiTheme="minorBidi"/>
          <w:rtl/>
        </w:rPr>
        <w:t xml:space="preserve">- אסור. תניא נמי הכי, </w:t>
      </w:r>
      <w:r w:rsidRPr="003024E5">
        <w:rPr>
          <w:rFonts w:asciiTheme="minorBidi" w:hAnsiTheme="minorBidi"/>
          <w:u w:val="single"/>
          <w:rtl/>
        </w:rPr>
        <w:t>רבן שמעון בן גמליאל אומר</w:t>
      </w:r>
      <w:r w:rsidRPr="003024E5">
        <w:rPr>
          <w:rFonts w:asciiTheme="minorBidi" w:hAnsiTheme="minorBidi"/>
          <w:rtl/>
        </w:rPr>
        <w:t>: ב' אכסנאים שנתארחו לפונדק אחד, זה בא מן הצפון וזה בא מן הדרום, זה בא בחתיכתו, וזה בא בגבינתו - אוכלין על שלחן אחד זה בשר וזה גבינה ואין חוששין, ולא אסרו אלא בתפיסה אחת. תפיסה אחת סלקא דעתך? אלא: כעין תפיסה אחת</w:t>
      </w:r>
      <w:r w:rsidRPr="003024E5">
        <w:rPr>
          <w:rStyle w:val="a7"/>
          <w:rFonts w:asciiTheme="minorBidi" w:hAnsiTheme="minorBidi"/>
          <w:rtl/>
        </w:rPr>
        <w:footnoteReference w:id="1105"/>
      </w:r>
      <w:r w:rsidRPr="003024E5">
        <w:rPr>
          <w:rFonts w:asciiTheme="minorBidi" w:hAnsiTheme="minorBidi"/>
          <w:rtl/>
        </w:rPr>
        <w:t xml:space="preserve">. </w:t>
      </w:r>
      <w:r w:rsidRPr="003024E5">
        <w:rPr>
          <w:rFonts w:asciiTheme="minorBidi" w:hAnsiTheme="minorBidi"/>
          <w:u w:val="single"/>
          <w:rtl/>
        </w:rPr>
        <w:t>א"ל רב יימר בר שלמיא לאביי</w:t>
      </w:r>
      <w:r w:rsidRPr="003024E5">
        <w:rPr>
          <w:rFonts w:asciiTheme="minorBidi" w:hAnsiTheme="minorBidi"/>
          <w:rtl/>
        </w:rPr>
        <w:t>: שני אחין ומקפידין זה על זה מהו</w:t>
      </w:r>
      <w:r w:rsidRPr="003024E5">
        <w:rPr>
          <w:rStyle w:val="a7"/>
          <w:rFonts w:asciiTheme="minorBidi" w:hAnsiTheme="minorBidi"/>
          <w:rtl/>
        </w:rPr>
        <w:footnoteReference w:id="1106"/>
      </w:r>
      <w:r w:rsidRPr="003024E5">
        <w:rPr>
          <w:rFonts w:asciiTheme="minorBidi" w:hAnsiTheme="minorBidi"/>
          <w:rtl/>
        </w:rPr>
        <w:t xml:space="preserve">? </w:t>
      </w:r>
      <w:r w:rsidRPr="003024E5">
        <w:rPr>
          <w:rFonts w:asciiTheme="minorBidi" w:hAnsiTheme="minorBidi"/>
          <w:u w:val="single"/>
          <w:rtl/>
        </w:rPr>
        <w:t>אמר ליה</w:t>
      </w:r>
      <w:r w:rsidRPr="003024E5">
        <w:rPr>
          <w:rFonts w:asciiTheme="minorBidi" w:hAnsiTheme="minorBidi"/>
          <w:rtl/>
        </w:rPr>
        <w:t>: יאמרו כל הסריקין אסורין וסריקי בייתוס מותרין</w:t>
      </w:r>
      <w:r w:rsidRPr="003024E5">
        <w:rPr>
          <w:rStyle w:val="a7"/>
          <w:rFonts w:asciiTheme="minorBidi" w:hAnsiTheme="minorBidi"/>
          <w:rtl/>
        </w:rPr>
        <w:footnoteReference w:id="1107"/>
      </w:r>
      <w:r w:rsidRPr="003024E5">
        <w:rPr>
          <w:rFonts w:asciiTheme="minorBidi" w:hAnsiTheme="minorBidi"/>
          <w:rtl/>
        </w:rPr>
        <w:t xml:space="preserve">. </w:t>
      </w:r>
      <w:r w:rsidRPr="003024E5">
        <w:rPr>
          <w:rFonts w:asciiTheme="minorBidi" w:hAnsiTheme="minorBidi"/>
          <w:sz w:val="16"/>
          <w:szCs w:val="16"/>
          <w:rtl/>
        </w:rPr>
        <w:t>(וכ' הב"י (באו"ח סי' קעג)- ומשמע לי דאחים לאו דוקא אלא ה"ה לאכסנאים המכירים זה את זה, וכן נראה שהוא דעת רבינו</w:t>
      </w:r>
      <w:r w:rsidRPr="00B9478E">
        <w:rPr>
          <w:rStyle w:val="a7"/>
          <w:rFonts w:asciiTheme="minorBidi" w:hAnsiTheme="minorBidi"/>
          <w:sz w:val="16"/>
          <w:szCs w:val="16"/>
          <w:rtl/>
        </w:rPr>
        <w:footnoteReference w:id="1108"/>
      </w:r>
      <w:r w:rsidRPr="003024E5">
        <w:rPr>
          <w:rFonts w:asciiTheme="minorBidi" w:hAnsiTheme="minorBidi"/>
          <w:sz w:val="16"/>
          <w:szCs w:val="16"/>
          <w:rtl/>
        </w:rPr>
        <w:t xml:space="preserve"> שכ' בטור יו"ד סי' פח 'והא שאסור להעלותו על השלחן דוקא בשני בני אדם המכירים זה את זה ואז אסור אפילו אם מקפידים זה על זה'</w:t>
      </w:r>
      <w:r>
        <w:rPr>
          <w:rFonts w:asciiTheme="minorBidi" w:hAnsiTheme="minorBidi" w:hint="cs"/>
          <w:sz w:val="16"/>
          <w:szCs w:val="16"/>
          <w:rtl/>
        </w:rPr>
        <w:t>. עכ"ל הב"י</w:t>
      </w:r>
      <w:r w:rsidRPr="003024E5">
        <w:rPr>
          <w:rFonts w:asciiTheme="minorBidi" w:hAnsiTheme="minorBidi"/>
          <w:sz w:val="16"/>
          <w:szCs w:val="16"/>
          <w:rtl/>
        </w:rPr>
        <w:t>)</w:t>
      </w:r>
    </w:p>
    <w:p w14:paraId="52E01E87" w14:textId="77777777" w:rsidR="002C39F4" w:rsidRPr="003024E5" w:rsidRDefault="002C39F4" w:rsidP="002C39F4">
      <w:pPr>
        <w:rPr>
          <w:rFonts w:asciiTheme="minorBidi" w:hAnsiTheme="minorBidi"/>
          <w:rtl/>
        </w:rPr>
      </w:pPr>
      <w:r w:rsidRPr="003024E5">
        <w:rPr>
          <w:rFonts w:asciiTheme="minorBidi" w:hAnsiTheme="minorBidi"/>
          <w:u w:val="single"/>
          <w:rtl/>
        </w:rPr>
        <w:t>איזה היכר צריך ליתן בניהם כדי שיוכלו לאכול על שלחן אחד:</w:t>
      </w:r>
    </w:p>
    <w:p w14:paraId="7B00115B" w14:textId="77777777" w:rsidR="002C39F4" w:rsidRPr="00B9478E" w:rsidRDefault="002C39F4" w:rsidP="0032102C">
      <w:pPr>
        <w:pStyle w:val="a8"/>
        <w:numPr>
          <w:ilvl w:val="0"/>
          <w:numId w:val="147"/>
        </w:numPr>
        <w:rPr>
          <w:rFonts w:asciiTheme="minorBidi" w:hAnsiTheme="minorBidi"/>
        </w:rPr>
      </w:pPr>
      <w:r>
        <w:rPr>
          <w:rFonts w:asciiTheme="minorBidi" w:hAnsiTheme="minorBidi" w:cs="Arial" w:hint="cs"/>
          <w:rtl/>
        </w:rPr>
        <w:t>רשב"א</w:t>
      </w:r>
      <w:r w:rsidRPr="00B9478E">
        <w:rPr>
          <w:rFonts w:asciiTheme="minorBidi" w:hAnsiTheme="minorBidi" w:cs="Arial" w:hint="cs"/>
          <w:sz w:val="16"/>
          <w:szCs w:val="16"/>
          <w:rtl/>
        </w:rPr>
        <w:t xml:space="preserve"> (תוה"א ב"ג ש"ד פה:) </w:t>
      </w:r>
      <w:r>
        <w:rPr>
          <w:rFonts w:asciiTheme="minorBidi" w:hAnsiTheme="minorBidi" w:cs="Arial" w:hint="cs"/>
          <w:rtl/>
        </w:rPr>
        <w:t xml:space="preserve">וטור- </w:t>
      </w:r>
      <w:r w:rsidRPr="00312D9A">
        <w:rPr>
          <w:rFonts w:asciiTheme="minorBidi" w:hAnsiTheme="minorBidi" w:cs="Arial"/>
          <w:rtl/>
        </w:rPr>
        <w:t>כגון שכל אחד אוכל על מפה שלו</w:t>
      </w:r>
      <w:r>
        <w:rPr>
          <w:rFonts w:asciiTheme="minorBidi" w:hAnsiTheme="minorBidi" w:cs="Arial" w:hint="cs"/>
          <w:rtl/>
        </w:rPr>
        <w:t>,</w:t>
      </w:r>
      <w:r w:rsidRPr="00312D9A">
        <w:rPr>
          <w:rFonts w:asciiTheme="minorBidi" w:hAnsiTheme="minorBidi" w:cs="Arial"/>
          <w:rtl/>
        </w:rPr>
        <w:t xml:space="preserve"> או אפילו אוכלין על מפה אחת ונותנין ביניהן פת להיכרא מותר</w:t>
      </w:r>
      <w:r>
        <w:rPr>
          <w:rFonts w:asciiTheme="minorBidi" w:hAnsiTheme="minorBidi" w:hint="cs"/>
          <w:sz w:val="16"/>
          <w:szCs w:val="16"/>
          <w:rtl/>
        </w:rPr>
        <w:t xml:space="preserve"> (ל' הטור)</w:t>
      </w:r>
      <w:r>
        <w:rPr>
          <w:rFonts w:asciiTheme="minorBidi" w:hAnsiTheme="minorBidi" w:hint="cs"/>
          <w:rtl/>
        </w:rPr>
        <w:t xml:space="preserve">, וכן שאר </w:t>
      </w:r>
      <w:r w:rsidRPr="00B9478E">
        <w:rPr>
          <w:rFonts w:asciiTheme="minorBidi" w:hAnsiTheme="minorBidi" w:cs="Arial"/>
          <w:rtl/>
        </w:rPr>
        <w:t>היכר דבר של הוכח מותר</w:t>
      </w:r>
      <w:r>
        <w:rPr>
          <w:rFonts w:asciiTheme="minorBidi" w:hAnsiTheme="minorBidi" w:cs="Arial" w:hint="cs"/>
          <w:sz w:val="16"/>
          <w:szCs w:val="16"/>
          <w:rtl/>
        </w:rPr>
        <w:t xml:space="preserve"> (ל' הרשב"א)</w:t>
      </w:r>
      <w:r>
        <w:rPr>
          <w:rFonts w:asciiTheme="minorBidi" w:hAnsiTheme="minorBidi" w:hint="cs"/>
          <w:rtl/>
        </w:rPr>
        <w:t>.</w:t>
      </w:r>
      <w:r w:rsidRPr="00B9478E">
        <w:rPr>
          <w:rFonts w:asciiTheme="minorBidi" w:hAnsiTheme="minorBidi" w:hint="cs"/>
          <w:color w:val="E36C0A" w:themeColor="accent6" w:themeShade="BF"/>
          <w:rtl/>
        </w:rPr>
        <w:t xml:space="preserve"> </w:t>
      </w:r>
      <w:r>
        <w:rPr>
          <w:rFonts w:asciiTheme="minorBidi" w:hAnsiTheme="minorBidi" w:hint="cs"/>
          <w:color w:val="E36C0A" w:themeColor="accent6" w:themeShade="BF"/>
          <w:rtl/>
        </w:rPr>
        <w:t>(</w:t>
      </w:r>
      <w:r w:rsidRPr="00B9478E">
        <w:rPr>
          <w:rFonts w:asciiTheme="minorBidi" w:hAnsiTheme="minorBidi" w:hint="cs"/>
          <w:color w:val="E36C0A" w:themeColor="accent6" w:themeShade="BF"/>
          <w:rtl/>
        </w:rPr>
        <w:t>וכ"פ בשו"ע)</w:t>
      </w:r>
      <w:r>
        <w:rPr>
          <w:rFonts w:asciiTheme="minorBidi" w:hAnsiTheme="minorBidi" w:hint="cs"/>
          <w:rtl/>
        </w:rPr>
        <w:t xml:space="preserve"> </w:t>
      </w:r>
    </w:p>
    <w:p w14:paraId="4CA6DAFA" w14:textId="77777777" w:rsidR="002C39F4" w:rsidRPr="003024E5" w:rsidRDefault="002C39F4" w:rsidP="0032102C">
      <w:pPr>
        <w:pStyle w:val="a8"/>
        <w:numPr>
          <w:ilvl w:val="0"/>
          <w:numId w:val="147"/>
        </w:numPr>
        <w:rPr>
          <w:rFonts w:asciiTheme="minorBidi" w:hAnsiTheme="minorBidi"/>
        </w:rPr>
      </w:pPr>
      <w:r w:rsidRPr="003024E5">
        <w:rPr>
          <w:rFonts w:asciiTheme="minorBidi" w:hAnsiTheme="minorBidi"/>
          <w:rtl/>
        </w:rPr>
        <w:t xml:space="preserve">הג"א </w:t>
      </w:r>
      <w:r w:rsidRPr="003024E5">
        <w:rPr>
          <w:rFonts w:asciiTheme="minorBidi" w:hAnsiTheme="minorBidi"/>
          <w:sz w:val="16"/>
          <w:szCs w:val="16"/>
          <w:rtl/>
        </w:rPr>
        <w:t>(פכ"ה סי' כ)</w:t>
      </w:r>
      <w:r w:rsidRPr="003024E5">
        <w:rPr>
          <w:rFonts w:asciiTheme="minorBidi" w:hAnsiTheme="minorBidi"/>
          <w:rtl/>
        </w:rPr>
        <w:t>- אפשר לשים לחם בתנאי שאינם אוכלים ממנו, כגון שיש להם לחם אחר</w:t>
      </w:r>
      <w:r w:rsidRPr="003024E5">
        <w:rPr>
          <w:rStyle w:val="a7"/>
          <w:rFonts w:asciiTheme="minorBidi" w:hAnsiTheme="minorBidi"/>
          <w:rtl/>
        </w:rPr>
        <w:footnoteReference w:id="1109"/>
      </w:r>
      <w:r w:rsidRPr="003024E5">
        <w:rPr>
          <w:rFonts w:asciiTheme="minorBidi" w:hAnsiTheme="minorBidi"/>
          <w:rtl/>
        </w:rPr>
        <w:t>.</w:t>
      </w:r>
      <w:r w:rsidRPr="003024E5">
        <w:rPr>
          <w:rFonts w:asciiTheme="minorBidi" w:hAnsiTheme="minorBidi"/>
          <w:color w:val="00B0F0"/>
          <w:rtl/>
        </w:rPr>
        <w:t xml:space="preserve"> (וכ"פ הרמ"א)</w:t>
      </w:r>
    </w:p>
    <w:p w14:paraId="382B79AB" w14:textId="77777777" w:rsidR="002C39F4" w:rsidRDefault="002C39F4" w:rsidP="0032102C">
      <w:pPr>
        <w:pStyle w:val="a8"/>
        <w:numPr>
          <w:ilvl w:val="0"/>
          <w:numId w:val="147"/>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מ דין יג)</w:t>
      </w:r>
      <w:r w:rsidRPr="003024E5">
        <w:rPr>
          <w:rFonts w:asciiTheme="minorBidi" w:hAnsiTheme="minorBidi"/>
          <w:rtl/>
        </w:rPr>
        <w:t>- צריך שיהא ההיכר דבר שאין אוכלין אותו וקצת גבוה כגון מנורה וקנקן</w:t>
      </w:r>
      <w:r w:rsidRPr="003024E5">
        <w:rPr>
          <w:rStyle w:val="a7"/>
          <w:rFonts w:asciiTheme="minorBidi" w:hAnsiTheme="minorBidi"/>
          <w:rtl/>
        </w:rPr>
        <w:footnoteReference w:id="1110"/>
      </w:r>
      <w:r w:rsidRPr="003024E5">
        <w:rPr>
          <w:rFonts w:asciiTheme="minorBidi" w:hAnsiTheme="minorBidi"/>
          <w:rtl/>
        </w:rPr>
        <w:t xml:space="preserve">. </w:t>
      </w:r>
    </w:p>
    <w:p w14:paraId="76E76E9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78A45B0" w14:textId="77777777" w:rsidR="002C39F4" w:rsidRPr="003024E5" w:rsidRDefault="002C39F4" w:rsidP="002C39F4">
      <w:pPr>
        <w:rPr>
          <w:rFonts w:asciiTheme="minorBidi" w:hAnsiTheme="minorBidi"/>
          <w:rtl/>
        </w:rPr>
      </w:pPr>
      <w:r w:rsidRPr="003024E5">
        <w:rPr>
          <w:rFonts w:asciiTheme="minorBidi" w:hAnsiTheme="minorBidi"/>
          <w:rtl/>
        </w:rPr>
        <w:t>הא דאסור להעלותו על השלחן דווקא בשני בני אדם המכירים זה את זה</w:t>
      </w:r>
      <w:r w:rsidRPr="003024E5">
        <w:rPr>
          <w:rStyle w:val="a7"/>
          <w:rFonts w:asciiTheme="minorBidi" w:hAnsiTheme="minorBidi"/>
          <w:rtl/>
        </w:rPr>
        <w:footnoteReference w:id="1111"/>
      </w:r>
      <w:r w:rsidRPr="003024E5">
        <w:rPr>
          <w:rFonts w:asciiTheme="minorBidi" w:hAnsiTheme="minorBidi"/>
          <w:rtl/>
        </w:rPr>
        <w:t xml:space="preserve"> אפילו הם מקפידים זה על זה, אבל אכסנאים שאין מכירין זה את זה מותר, ואפילו המכירים אם עשו שום היכר כגון שכל אחד אוכל על מפה שלו או אפילו אוכלים על מפה אחת ונותנים ביניהם פת להיכר מותר. </w:t>
      </w:r>
      <w:r w:rsidRPr="003024E5">
        <w:rPr>
          <w:rFonts w:asciiTheme="minorBidi" w:hAnsiTheme="minorBidi"/>
          <w:sz w:val="18"/>
          <w:szCs w:val="18"/>
          <w:rtl/>
        </w:rPr>
        <w:t xml:space="preserve">הגה: ודוקא שאין אוכלין מן הפת המונח ביניהם להיכר אבל אם אוכלין ממנו לא הוי היכר דבלאו הכי הפת שאוכלין ממנו מונח על השלחן </w:t>
      </w:r>
      <w:r w:rsidRPr="003024E5">
        <w:rPr>
          <w:rFonts w:asciiTheme="minorBidi" w:hAnsiTheme="minorBidi"/>
          <w:sz w:val="16"/>
          <w:szCs w:val="16"/>
          <w:rtl/>
        </w:rPr>
        <w:t>(הג"א)</w:t>
      </w:r>
      <w:r w:rsidRPr="003024E5">
        <w:rPr>
          <w:rFonts w:asciiTheme="minorBidi" w:hAnsiTheme="minorBidi"/>
          <w:sz w:val="18"/>
          <w:szCs w:val="18"/>
          <w:rtl/>
        </w:rPr>
        <w:t>. אבל אם נתנו ביניהם כלי ששותין ממנו ובלאו הכי אין דרכו להיות על השלחן הוי היכר אע"פ ששותין מן הכלי</w:t>
      </w:r>
      <w:r w:rsidRPr="003024E5">
        <w:rPr>
          <w:rStyle w:val="a7"/>
          <w:rFonts w:asciiTheme="minorBidi" w:hAnsiTheme="minorBidi"/>
          <w:sz w:val="18"/>
          <w:szCs w:val="18"/>
          <w:rtl/>
        </w:rPr>
        <w:footnoteReference w:id="1112"/>
      </w:r>
      <w:r w:rsidRPr="003024E5">
        <w:rPr>
          <w:rFonts w:asciiTheme="minorBidi" w:hAnsiTheme="minorBidi"/>
          <w:sz w:val="18"/>
          <w:szCs w:val="18"/>
          <w:rtl/>
        </w:rPr>
        <w:t xml:space="preserve"> </w:t>
      </w:r>
      <w:r w:rsidRPr="003024E5">
        <w:rPr>
          <w:rFonts w:asciiTheme="minorBidi" w:hAnsiTheme="minorBidi"/>
          <w:sz w:val="16"/>
          <w:szCs w:val="16"/>
          <w:rtl/>
        </w:rPr>
        <w:t>(ב"י באו"ח סי' קעג)</w:t>
      </w:r>
      <w:r w:rsidRPr="003024E5">
        <w:rPr>
          <w:rFonts w:asciiTheme="minorBidi" w:hAnsiTheme="minorBidi"/>
          <w:sz w:val="18"/>
          <w:szCs w:val="18"/>
          <w:rtl/>
        </w:rPr>
        <w:t>. וכל שכן אם נתנו שם מנורה</w:t>
      </w:r>
      <w:r w:rsidRPr="003024E5">
        <w:rPr>
          <w:rStyle w:val="a7"/>
          <w:rFonts w:asciiTheme="minorBidi" w:hAnsiTheme="minorBidi"/>
          <w:sz w:val="18"/>
          <w:szCs w:val="18"/>
          <w:rtl/>
        </w:rPr>
        <w:footnoteReference w:id="1113"/>
      </w:r>
      <w:r w:rsidRPr="003024E5">
        <w:rPr>
          <w:rFonts w:asciiTheme="minorBidi" w:hAnsiTheme="minorBidi"/>
          <w:sz w:val="18"/>
          <w:szCs w:val="18"/>
          <w:rtl/>
        </w:rPr>
        <w:t xml:space="preserve"> או שאר דברים שעל השלחן דהוי היכר</w:t>
      </w:r>
      <w:r w:rsidRPr="000947D9">
        <w:rPr>
          <w:rFonts w:asciiTheme="minorBidi" w:hAnsiTheme="minorBidi"/>
          <w:sz w:val="16"/>
          <w:szCs w:val="16"/>
          <w:rtl/>
        </w:rPr>
        <w:t xml:space="preserve"> </w:t>
      </w:r>
      <w:r>
        <w:rPr>
          <w:rFonts w:asciiTheme="minorBidi" w:hAnsiTheme="minorBidi" w:hint="cs"/>
          <w:sz w:val="16"/>
          <w:szCs w:val="16"/>
          <w:rtl/>
        </w:rPr>
        <w:t>(</w:t>
      </w:r>
      <w:r w:rsidRPr="003024E5">
        <w:rPr>
          <w:rFonts w:asciiTheme="minorBidi" w:hAnsiTheme="minorBidi"/>
          <w:sz w:val="16"/>
          <w:szCs w:val="16"/>
          <w:rtl/>
        </w:rPr>
        <w:t>או"ה)</w:t>
      </w:r>
      <w:r w:rsidRPr="003024E5">
        <w:rPr>
          <w:rFonts w:asciiTheme="minorBidi" w:hAnsiTheme="minorBidi"/>
          <w:sz w:val="18"/>
          <w:szCs w:val="18"/>
          <w:rtl/>
        </w:rPr>
        <w:t>, ויהיו זהירים שלא לשתות מכלי אחד משום שהמאכל נדבק בכלי</w:t>
      </w:r>
      <w:r w:rsidRPr="003024E5">
        <w:rPr>
          <w:rStyle w:val="a7"/>
          <w:rFonts w:asciiTheme="minorBidi" w:hAnsiTheme="minorBidi"/>
          <w:sz w:val="18"/>
          <w:szCs w:val="18"/>
          <w:rtl/>
        </w:rPr>
        <w:footnoteReference w:id="1114"/>
      </w:r>
      <w:r w:rsidRPr="003024E5">
        <w:rPr>
          <w:rFonts w:asciiTheme="minorBidi" w:hAnsiTheme="minorBidi"/>
          <w:sz w:val="18"/>
          <w:szCs w:val="18"/>
          <w:rtl/>
        </w:rPr>
        <w:t xml:space="preserve"> </w:t>
      </w:r>
      <w:r w:rsidRPr="003024E5">
        <w:rPr>
          <w:rFonts w:asciiTheme="minorBidi" w:hAnsiTheme="minorBidi"/>
          <w:sz w:val="16"/>
          <w:szCs w:val="16"/>
          <w:rtl/>
        </w:rPr>
        <w:t>(הג"א ואו"ה)</w:t>
      </w:r>
      <w:r w:rsidRPr="003024E5">
        <w:rPr>
          <w:rFonts w:asciiTheme="minorBidi" w:hAnsiTheme="minorBidi"/>
          <w:sz w:val="18"/>
          <w:szCs w:val="18"/>
          <w:rtl/>
        </w:rPr>
        <w:t>, וכל שכן שלא יאכלו מפת אחת, וכן נוהגין ליחד כלי של מלח לכל אחד בפני עצמו כי לפעמים טובלים במלח ונשארו שיורי מאכל במלח.</w:t>
      </w:r>
    </w:p>
    <w:p w14:paraId="7EA038A4" w14:textId="77777777" w:rsidR="002C39F4" w:rsidRDefault="002C39F4" w:rsidP="002C39F4">
      <w:pPr>
        <w:rPr>
          <w:rFonts w:asciiTheme="minorBidi" w:hAnsiTheme="minorBidi" w:cs="Arial"/>
          <w:rtl/>
        </w:rPr>
      </w:pPr>
      <w:r w:rsidRPr="00833AE7">
        <w:rPr>
          <w:rFonts w:asciiTheme="minorBidi" w:hAnsiTheme="minorBidi" w:hint="cs"/>
          <w:u w:val="single"/>
          <w:rtl/>
        </w:rPr>
        <w:t>מקרים שלא צריך היכר:</w:t>
      </w:r>
      <w:r>
        <w:rPr>
          <w:rFonts w:asciiTheme="minorBidi" w:hAnsiTheme="minorBidi" w:cs="Arial" w:hint="cs"/>
          <w:rtl/>
        </w:rPr>
        <w:t xml:space="preserve">  </w:t>
      </w:r>
      <w:r w:rsidRPr="00833AE7">
        <w:rPr>
          <w:rFonts w:asciiTheme="minorBidi" w:hAnsiTheme="minorBidi" w:cs="Arial"/>
          <w:sz w:val="16"/>
          <w:szCs w:val="16"/>
          <w:rtl/>
        </w:rPr>
        <w:t>(</w:t>
      </w:r>
      <w:r w:rsidRPr="00833AE7">
        <w:rPr>
          <w:rFonts w:asciiTheme="minorBidi" w:hAnsiTheme="minorBidi" w:cs="Arial" w:hint="cs"/>
          <w:sz w:val="16"/>
          <w:szCs w:val="16"/>
          <w:rtl/>
        </w:rPr>
        <w:t>פת"ש סק"</w:t>
      </w:r>
      <w:r w:rsidRPr="00833AE7">
        <w:rPr>
          <w:rFonts w:asciiTheme="minorBidi" w:hAnsiTheme="minorBidi" w:cs="Arial"/>
          <w:sz w:val="16"/>
          <w:szCs w:val="16"/>
          <w:rtl/>
        </w:rPr>
        <w:t>ג)</w:t>
      </w:r>
      <w:r w:rsidRPr="00833AE7">
        <w:rPr>
          <w:rFonts w:asciiTheme="minorBidi" w:hAnsiTheme="minorBidi" w:cs="Arial"/>
          <w:rtl/>
        </w:rPr>
        <w:t xml:space="preserve"> </w:t>
      </w:r>
    </w:p>
    <w:p w14:paraId="63A9E543" w14:textId="77777777" w:rsidR="002C39F4" w:rsidRPr="00632A9A" w:rsidRDefault="002C39F4" w:rsidP="0032102C">
      <w:pPr>
        <w:pStyle w:val="a8"/>
        <w:numPr>
          <w:ilvl w:val="0"/>
          <w:numId w:val="174"/>
        </w:numPr>
        <w:rPr>
          <w:rFonts w:asciiTheme="minorBidi" w:hAnsiTheme="minorBidi" w:cs="Arial"/>
          <w:rtl/>
        </w:rPr>
      </w:pPr>
      <w:r>
        <w:rPr>
          <w:rFonts w:asciiTheme="minorBidi" w:hAnsiTheme="minorBidi" w:cs="Arial" w:hint="cs"/>
          <w:rtl/>
        </w:rPr>
        <w:t xml:space="preserve">פמ"ג- </w:t>
      </w:r>
      <w:r w:rsidRPr="00632A9A">
        <w:rPr>
          <w:rFonts w:asciiTheme="minorBidi" w:hAnsiTheme="minorBidi" w:cs="Arial"/>
          <w:rtl/>
        </w:rPr>
        <w:t>אם נדרו הנאה זה זה מותרים לאכול בשר וגבינה ששונאים זה את זה</w:t>
      </w:r>
      <w:r>
        <w:rPr>
          <w:rStyle w:val="a7"/>
          <w:rFonts w:asciiTheme="minorBidi" w:hAnsiTheme="minorBidi" w:cs="Arial"/>
          <w:rtl/>
        </w:rPr>
        <w:footnoteReference w:id="1115"/>
      </w:r>
      <w:r>
        <w:rPr>
          <w:rFonts w:asciiTheme="minorBidi" w:hAnsiTheme="minorBidi" w:cs="Arial" w:hint="cs"/>
          <w:rtl/>
        </w:rPr>
        <w:t>.</w:t>
      </w:r>
    </w:p>
    <w:p w14:paraId="07CD1495" w14:textId="77777777" w:rsidR="002C39F4" w:rsidRPr="00632A9A" w:rsidRDefault="002C39F4" w:rsidP="0032102C">
      <w:pPr>
        <w:pStyle w:val="a8"/>
        <w:numPr>
          <w:ilvl w:val="0"/>
          <w:numId w:val="174"/>
        </w:numPr>
        <w:rPr>
          <w:rFonts w:asciiTheme="minorBidi" w:hAnsiTheme="minorBidi"/>
          <w:u w:val="single"/>
          <w:rtl/>
        </w:rPr>
      </w:pPr>
      <w:r w:rsidRPr="00632A9A">
        <w:rPr>
          <w:rFonts w:asciiTheme="minorBidi" w:hAnsiTheme="minorBidi" w:cs="Arial"/>
          <w:rtl/>
        </w:rPr>
        <w:t>ב"ח בשם רש"ל</w:t>
      </w:r>
      <w:r w:rsidRPr="00632A9A">
        <w:rPr>
          <w:rFonts w:asciiTheme="minorBidi" w:hAnsiTheme="minorBidi" w:cs="Arial" w:hint="cs"/>
          <w:rtl/>
        </w:rPr>
        <w:t xml:space="preserve">- </w:t>
      </w:r>
      <w:r w:rsidRPr="00632A9A">
        <w:rPr>
          <w:rFonts w:asciiTheme="minorBidi" w:hAnsiTheme="minorBidi" w:cs="Arial"/>
          <w:rtl/>
        </w:rPr>
        <w:t>ביושבים רחוקים זה מזה בכדי שאין יכול האחד לפשוט ידו ולאכול ממה שאוכל חבירו שרי לד"ה בלא הכירא</w:t>
      </w:r>
      <w:r w:rsidRPr="00632A9A">
        <w:rPr>
          <w:rFonts w:asciiTheme="minorBidi" w:hAnsiTheme="minorBidi" w:cs="Arial" w:hint="cs"/>
          <w:rtl/>
        </w:rPr>
        <w:t>.</w:t>
      </w:r>
    </w:p>
    <w:p w14:paraId="619B586A" w14:textId="77777777" w:rsidR="002C39F4" w:rsidRPr="00833AE7" w:rsidRDefault="002C39F4" w:rsidP="002C39F4">
      <w:pPr>
        <w:rPr>
          <w:rFonts w:asciiTheme="minorBidi" w:hAnsiTheme="minorBidi"/>
          <w:u w:val="single"/>
          <w:rtl/>
        </w:rPr>
      </w:pPr>
      <w:r w:rsidRPr="00833AE7">
        <w:rPr>
          <w:rFonts w:asciiTheme="minorBidi" w:hAnsiTheme="minorBidi" w:hint="cs"/>
          <w:u w:val="single"/>
          <w:rtl/>
        </w:rPr>
        <w:t>מקרים שצריך היכר:</w:t>
      </w:r>
      <w:r w:rsidRPr="00833AE7">
        <w:rPr>
          <w:rFonts w:asciiTheme="minorBidi" w:hAnsiTheme="minorBidi" w:cs="Arial"/>
          <w:sz w:val="16"/>
          <w:szCs w:val="16"/>
          <w:rtl/>
        </w:rPr>
        <w:t xml:space="preserve"> </w:t>
      </w:r>
      <w:r>
        <w:rPr>
          <w:rFonts w:asciiTheme="minorBidi" w:hAnsiTheme="minorBidi" w:cs="Arial" w:hint="cs"/>
          <w:sz w:val="16"/>
          <w:szCs w:val="16"/>
          <w:rtl/>
        </w:rPr>
        <w:t xml:space="preserve">  </w:t>
      </w:r>
      <w:r w:rsidRPr="00833AE7">
        <w:rPr>
          <w:rFonts w:asciiTheme="minorBidi" w:hAnsiTheme="minorBidi" w:cs="Arial"/>
          <w:sz w:val="16"/>
          <w:szCs w:val="16"/>
          <w:rtl/>
        </w:rPr>
        <w:t>(</w:t>
      </w:r>
      <w:r w:rsidRPr="00833AE7">
        <w:rPr>
          <w:rFonts w:asciiTheme="minorBidi" w:hAnsiTheme="minorBidi" w:cs="Arial" w:hint="cs"/>
          <w:sz w:val="16"/>
          <w:szCs w:val="16"/>
          <w:rtl/>
        </w:rPr>
        <w:t>פת"ש סק"</w:t>
      </w:r>
      <w:r>
        <w:rPr>
          <w:rFonts w:asciiTheme="minorBidi" w:hAnsiTheme="minorBidi" w:cs="Arial" w:hint="cs"/>
          <w:sz w:val="16"/>
          <w:szCs w:val="16"/>
          <w:rtl/>
        </w:rPr>
        <w:t>ב</w:t>
      </w:r>
      <w:r w:rsidRPr="00833AE7">
        <w:rPr>
          <w:rFonts w:asciiTheme="minorBidi" w:hAnsiTheme="minorBidi" w:cs="Arial"/>
          <w:sz w:val="16"/>
          <w:szCs w:val="16"/>
          <w:rtl/>
        </w:rPr>
        <w:t>)</w:t>
      </w:r>
    </w:p>
    <w:p w14:paraId="1F9BD4DE" w14:textId="77777777" w:rsidR="002C39F4" w:rsidRPr="00632A9A" w:rsidRDefault="002C39F4" w:rsidP="0032102C">
      <w:pPr>
        <w:pStyle w:val="a8"/>
        <w:numPr>
          <w:ilvl w:val="0"/>
          <w:numId w:val="175"/>
        </w:numPr>
        <w:rPr>
          <w:rFonts w:asciiTheme="minorBidi" w:hAnsiTheme="minorBidi"/>
          <w:rtl/>
        </w:rPr>
      </w:pPr>
      <w:r>
        <w:rPr>
          <w:rFonts w:asciiTheme="minorBidi" w:hAnsiTheme="minorBidi" w:cs="Arial" w:hint="cs"/>
          <w:rtl/>
        </w:rPr>
        <w:t xml:space="preserve">פת"ש- </w:t>
      </w:r>
      <w:r w:rsidRPr="00632A9A">
        <w:rPr>
          <w:rFonts w:asciiTheme="minorBidi" w:hAnsiTheme="minorBidi" w:cs="Arial"/>
          <w:rtl/>
        </w:rPr>
        <w:t>המודר הנאה מדבר</w:t>
      </w:r>
      <w:r>
        <w:rPr>
          <w:rFonts w:asciiTheme="minorBidi" w:hAnsiTheme="minorBidi" w:cs="Arial" w:hint="cs"/>
          <w:rtl/>
        </w:rPr>
        <w:t>,</w:t>
      </w:r>
      <w:r w:rsidRPr="00632A9A">
        <w:rPr>
          <w:rFonts w:asciiTheme="minorBidi" w:hAnsiTheme="minorBidi" w:cs="Arial"/>
          <w:rtl/>
        </w:rPr>
        <w:t xml:space="preserve"> או אוסר אכילה עליו</w:t>
      </w:r>
      <w:r>
        <w:rPr>
          <w:rFonts w:asciiTheme="minorBidi" w:hAnsiTheme="minorBidi" w:cs="Arial" w:hint="cs"/>
          <w:rtl/>
        </w:rPr>
        <w:t xml:space="preserve"> -</w:t>
      </w:r>
      <w:r w:rsidRPr="00632A9A">
        <w:rPr>
          <w:rFonts w:asciiTheme="minorBidi" w:hAnsiTheme="minorBidi" w:cs="Arial"/>
          <w:rtl/>
        </w:rPr>
        <w:t xml:space="preserve"> אסור להעלות על השולחן</w:t>
      </w:r>
      <w:r>
        <w:rPr>
          <w:rFonts w:asciiTheme="minorBidi" w:hAnsiTheme="minorBidi" w:cs="Arial" w:hint="cs"/>
          <w:rtl/>
        </w:rPr>
        <w:t>,</w:t>
      </w:r>
      <w:r w:rsidRPr="00632A9A">
        <w:rPr>
          <w:rFonts w:asciiTheme="minorBidi" w:hAnsiTheme="minorBidi" w:cs="Arial"/>
          <w:rtl/>
        </w:rPr>
        <w:t xml:space="preserve"> כן משמע בש"</w:t>
      </w:r>
      <w:r>
        <w:rPr>
          <w:rFonts w:asciiTheme="minorBidi" w:hAnsiTheme="minorBidi" w:cs="Arial" w:hint="cs"/>
          <w:rtl/>
        </w:rPr>
        <w:t>ך.</w:t>
      </w:r>
    </w:p>
    <w:p w14:paraId="384213E1" w14:textId="77777777" w:rsidR="002C39F4" w:rsidRPr="003024E5" w:rsidRDefault="002C39F4" w:rsidP="002C39F4">
      <w:pPr>
        <w:rPr>
          <w:rFonts w:asciiTheme="minorBidi" w:hAnsiTheme="minorBidi"/>
          <w:rtl/>
        </w:rPr>
      </w:pPr>
    </w:p>
    <w:p w14:paraId="5A01604D"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01D84158"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פט: שלא לאכול גבינה אחר בשר, ובו ד' סעיפים. </w:t>
      </w:r>
    </w:p>
    <w:p w14:paraId="604F7880" w14:textId="77777777" w:rsidR="002C39F4" w:rsidRPr="003024E5" w:rsidRDefault="002C39F4" w:rsidP="002C39F4">
      <w:pPr>
        <w:pStyle w:val="2"/>
        <w:rPr>
          <w:rFonts w:asciiTheme="minorBidi" w:hAnsiTheme="minorBidi"/>
          <w:rtl/>
        </w:rPr>
      </w:pPr>
      <w:r w:rsidRPr="003024E5">
        <w:rPr>
          <w:rFonts w:asciiTheme="minorBidi" w:hAnsiTheme="minorBidi"/>
          <w:rtl/>
        </w:rPr>
        <w:t>סעיף א: אכילת גבינה לאחר בשר.</w:t>
      </w:r>
    </w:p>
    <w:p w14:paraId="63CEB4CC" w14:textId="77777777" w:rsidR="002C39F4" w:rsidRDefault="002C39F4" w:rsidP="002C39F4">
      <w:pPr>
        <w:rPr>
          <w:rFonts w:asciiTheme="minorBidi" w:hAnsiTheme="minorBidi"/>
          <w:rtl/>
        </w:rPr>
      </w:pPr>
      <w:r w:rsidRPr="003024E5">
        <w:rPr>
          <w:rFonts w:asciiTheme="minorBidi" w:hAnsiTheme="minorBidi"/>
          <w:b/>
          <w:bCs/>
          <w:rtl/>
        </w:rPr>
        <w:t xml:space="preserve">חולין קה ע"א: </w:t>
      </w:r>
      <w:r w:rsidRPr="003024E5">
        <w:rPr>
          <w:rFonts w:asciiTheme="minorBidi" w:hAnsiTheme="minorBidi"/>
          <w:u w:val="single"/>
          <w:rtl/>
        </w:rPr>
        <w:t>בעא מיניה רב אסי מרבי יוחנן</w:t>
      </w:r>
      <w:r w:rsidRPr="003024E5">
        <w:rPr>
          <w:rFonts w:asciiTheme="minorBidi" w:hAnsiTheme="minorBidi"/>
          <w:rtl/>
        </w:rPr>
        <w:t>: כמה ישהה בין בשר לגבינה</w:t>
      </w:r>
      <w:r w:rsidRPr="003024E5">
        <w:rPr>
          <w:rStyle w:val="a7"/>
          <w:rFonts w:asciiTheme="minorBidi" w:hAnsiTheme="minorBidi"/>
          <w:rtl/>
        </w:rPr>
        <w:footnoteReference w:id="1116"/>
      </w:r>
      <w:r w:rsidRPr="003024E5">
        <w:rPr>
          <w:rFonts w:asciiTheme="minorBidi" w:hAnsiTheme="minorBidi"/>
          <w:rtl/>
        </w:rPr>
        <w:t xml:space="preserve">? </w:t>
      </w:r>
      <w:r w:rsidRPr="003024E5">
        <w:rPr>
          <w:rFonts w:asciiTheme="minorBidi" w:hAnsiTheme="minorBidi"/>
          <w:u w:val="single"/>
          <w:rtl/>
        </w:rPr>
        <w:t>א"ל</w:t>
      </w:r>
      <w:r w:rsidRPr="003024E5">
        <w:rPr>
          <w:rFonts w:asciiTheme="minorBidi" w:hAnsiTheme="minorBidi"/>
          <w:rtl/>
        </w:rPr>
        <w:t>: ולא כלום; איני, והא אמר רב חסדא: אכל בשר - אסור לאכול גבינה</w:t>
      </w:r>
      <w:r w:rsidRPr="003024E5">
        <w:rPr>
          <w:rStyle w:val="a7"/>
          <w:rFonts w:asciiTheme="minorBidi" w:hAnsiTheme="minorBidi"/>
          <w:rtl/>
        </w:rPr>
        <w:footnoteReference w:id="1117"/>
      </w:r>
      <w:r w:rsidRPr="003024E5">
        <w:rPr>
          <w:rFonts w:asciiTheme="minorBidi" w:hAnsiTheme="minorBidi"/>
          <w:rtl/>
        </w:rPr>
        <w:t xml:space="preserve">, גבינה - מותר לאכול בשר! אלא, כמה ישהה בין גבינה לבשר? </w:t>
      </w:r>
      <w:r w:rsidRPr="003024E5">
        <w:rPr>
          <w:rFonts w:asciiTheme="minorBidi" w:hAnsiTheme="minorBidi"/>
          <w:u w:val="single"/>
          <w:rtl/>
        </w:rPr>
        <w:t>א"ל</w:t>
      </w:r>
      <w:r w:rsidRPr="003024E5">
        <w:rPr>
          <w:rFonts w:asciiTheme="minorBidi" w:hAnsiTheme="minorBidi"/>
          <w:rtl/>
        </w:rPr>
        <w:t xml:space="preserve">: ולא כלום. גופא, </w:t>
      </w:r>
      <w:r w:rsidRPr="003024E5">
        <w:rPr>
          <w:rFonts w:asciiTheme="minorBidi" w:hAnsiTheme="minorBidi"/>
          <w:u w:val="single"/>
          <w:rtl/>
        </w:rPr>
        <w:t>אמר רב חסדא</w:t>
      </w:r>
      <w:r w:rsidRPr="003024E5">
        <w:rPr>
          <w:rFonts w:asciiTheme="minorBidi" w:hAnsiTheme="minorBidi"/>
          <w:rtl/>
        </w:rPr>
        <w:t xml:space="preserve">: אכל בשר - אסור לאכול גבינה, גבינה - מותר לאכול בשר. </w:t>
      </w:r>
      <w:r w:rsidRPr="003024E5">
        <w:rPr>
          <w:rFonts w:asciiTheme="minorBidi" w:hAnsiTheme="minorBidi"/>
          <w:u w:val="single"/>
          <w:rtl/>
        </w:rPr>
        <w:t>אמר ליה רב אחא בר יוסף לרב חסדא</w:t>
      </w:r>
      <w:r w:rsidRPr="003024E5">
        <w:rPr>
          <w:rFonts w:asciiTheme="minorBidi" w:hAnsiTheme="minorBidi"/>
          <w:rtl/>
        </w:rPr>
        <w:t>: בשר שבין השינים</w:t>
      </w:r>
      <w:r w:rsidRPr="003024E5">
        <w:rPr>
          <w:rStyle w:val="a7"/>
          <w:rFonts w:asciiTheme="minorBidi" w:hAnsiTheme="minorBidi"/>
          <w:rtl/>
        </w:rPr>
        <w:footnoteReference w:id="1118"/>
      </w:r>
      <w:r w:rsidRPr="003024E5">
        <w:rPr>
          <w:rFonts w:asciiTheme="minorBidi" w:hAnsiTheme="minorBidi"/>
          <w:rtl/>
        </w:rPr>
        <w:t xml:space="preserve"> מהו? קרי עליה: הבשר עודנו בין שיניהם</w:t>
      </w:r>
      <w:r w:rsidRPr="003024E5">
        <w:rPr>
          <w:rStyle w:val="a7"/>
          <w:rFonts w:asciiTheme="minorBidi" w:hAnsiTheme="minorBidi"/>
          <w:rtl/>
        </w:rPr>
        <w:footnoteReference w:id="1119"/>
      </w:r>
      <w:r w:rsidRPr="003024E5">
        <w:rPr>
          <w:rFonts w:asciiTheme="minorBidi" w:hAnsiTheme="minorBidi"/>
          <w:rtl/>
        </w:rPr>
        <w:t xml:space="preserve">. </w:t>
      </w:r>
      <w:r w:rsidRPr="003024E5">
        <w:rPr>
          <w:rFonts w:asciiTheme="minorBidi" w:hAnsiTheme="minorBidi"/>
          <w:u w:val="single"/>
          <w:rtl/>
        </w:rPr>
        <w:t>אמר מר עוקבא</w:t>
      </w:r>
      <w:r w:rsidRPr="003024E5">
        <w:rPr>
          <w:rFonts w:asciiTheme="minorBidi" w:hAnsiTheme="minorBidi"/>
          <w:rtl/>
        </w:rPr>
        <w:t>: אנא, להא מלתא, חלא בר חמרא לגבי אבא, דאילו אבא - כי הוה אכיל בשרא האידנא לא הוה אכל גבינה עד למחר עד השתא</w:t>
      </w:r>
      <w:r w:rsidRPr="003024E5">
        <w:rPr>
          <w:rStyle w:val="a7"/>
          <w:rFonts w:asciiTheme="minorBidi" w:hAnsiTheme="minorBidi"/>
          <w:rtl/>
        </w:rPr>
        <w:footnoteReference w:id="1120"/>
      </w:r>
      <w:r w:rsidRPr="003024E5">
        <w:rPr>
          <w:rFonts w:asciiTheme="minorBidi" w:hAnsiTheme="minorBidi"/>
          <w:rtl/>
        </w:rPr>
        <w:t xml:space="preserve">, ואילו אנא - בהא סעודתא הוא דלא אכילנא, לסעודתא אחריתא - אכילנא. </w:t>
      </w:r>
    </w:p>
    <w:p w14:paraId="0BFACEFA" w14:textId="77777777" w:rsidR="002C39F4" w:rsidRPr="003024E5" w:rsidRDefault="002C39F4" w:rsidP="002C39F4">
      <w:pPr>
        <w:rPr>
          <w:rFonts w:asciiTheme="minorBidi" w:hAnsiTheme="minorBidi"/>
          <w:u w:val="single"/>
          <w:rtl/>
        </w:rPr>
      </w:pPr>
      <w:r w:rsidRPr="003024E5">
        <w:rPr>
          <w:rFonts w:asciiTheme="minorBidi" w:hAnsiTheme="minorBidi"/>
          <w:u w:val="single"/>
          <w:rtl/>
        </w:rPr>
        <w:t>אכילת גבינה לאחר בשר:</w:t>
      </w:r>
      <w:r w:rsidRPr="003024E5">
        <w:rPr>
          <w:rFonts w:asciiTheme="minorBidi" w:hAnsiTheme="minorBidi"/>
          <w:sz w:val="16"/>
          <w:szCs w:val="16"/>
          <w:rtl/>
        </w:rPr>
        <w:t xml:space="preserve">   (ב"י [או"ח סי' קעג], ודרכ"מ [יו"ד סי' פט אות ה])</w:t>
      </w:r>
    </w:p>
    <w:p w14:paraId="2FE310A2" w14:textId="77777777" w:rsidR="002C39F4" w:rsidRPr="003024E5" w:rsidRDefault="002C39F4" w:rsidP="0032102C">
      <w:pPr>
        <w:pStyle w:val="a8"/>
        <w:numPr>
          <w:ilvl w:val="0"/>
          <w:numId w:val="150"/>
        </w:numPr>
        <w:rPr>
          <w:rFonts w:asciiTheme="minorBidi" w:hAnsiTheme="minorBidi"/>
          <w:rtl/>
        </w:rPr>
      </w:pPr>
      <w:r w:rsidRPr="003024E5">
        <w:rPr>
          <w:rFonts w:asciiTheme="minorBidi" w:hAnsiTheme="minorBidi"/>
          <w:rtl/>
        </w:rPr>
        <w:t>ר"ת ובה"ג</w:t>
      </w:r>
      <w:r w:rsidRPr="003024E5">
        <w:rPr>
          <w:rStyle w:val="a7"/>
          <w:rFonts w:asciiTheme="minorBidi" w:hAnsiTheme="minorBidi"/>
          <w:rtl/>
        </w:rPr>
        <w:footnoteReference w:id="1121"/>
      </w:r>
      <w:r w:rsidRPr="003024E5">
        <w:rPr>
          <w:rFonts w:asciiTheme="minorBidi" w:hAnsiTheme="minorBidi"/>
          <w:rtl/>
        </w:rPr>
        <w:t xml:space="preserve"> </w:t>
      </w:r>
      <w:r w:rsidRPr="003024E5">
        <w:rPr>
          <w:rFonts w:asciiTheme="minorBidi" w:hAnsiTheme="minorBidi"/>
          <w:sz w:val="16"/>
          <w:szCs w:val="16"/>
          <w:rtl/>
        </w:rPr>
        <w:t>(ברכות פ"ו ט ע"ג)</w:t>
      </w:r>
      <w:r w:rsidRPr="003024E5">
        <w:rPr>
          <w:rFonts w:asciiTheme="minorBidi" w:hAnsiTheme="minorBidi"/>
          <w:rtl/>
        </w:rPr>
        <w:t>- האוכל בשר מותר לאכול אחריו גבינה מיד</w:t>
      </w:r>
      <w:r w:rsidRPr="003024E5">
        <w:rPr>
          <w:rFonts w:asciiTheme="minorBidi" w:hAnsiTheme="minorBidi"/>
          <w:sz w:val="16"/>
          <w:szCs w:val="16"/>
          <w:rtl/>
        </w:rPr>
        <w:t xml:space="preserve"> {באותה סעודה</w:t>
      </w:r>
      <w:r w:rsidRPr="003024E5">
        <w:rPr>
          <w:rStyle w:val="a7"/>
          <w:rFonts w:asciiTheme="minorBidi" w:hAnsiTheme="minorBidi"/>
          <w:sz w:val="16"/>
          <w:szCs w:val="16"/>
          <w:rtl/>
        </w:rPr>
        <w:footnoteReference w:id="1122"/>
      </w:r>
      <w:r w:rsidRPr="003024E5">
        <w:rPr>
          <w:rFonts w:asciiTheme="minorBidi" w:hAnsiTheme="minorBidi"/>
          <w:sz w:val="16"/>
          <w:szCs w:val="16"/>
          <w:rtl/>
        </w:rPr>
        <w:t>}</w:t>
      </w:r>
      <w:r w:rsidRPr="003024E5">
        <w:rPr>
          <w:rFonts w:asciiTheme="minorBidi" w:hAnsiTheme="minorBidi"/>
          <w:rtl/>
        </w:rPr>
        <w:t xml:space="preserve"> ע"י קינוח ונטילה</w:t>
      </w:r>
      <w:r w:rsidRPr="003024E5">
        <w:rPr>
          <w:rStyle w:val="a7"/>
          <w:rFonts w:asciiTheme="minorBidi" w:hAnsiTheme="minorBidi"/>
          <w:rtl/>
        </w:rPr>
        <w:footnoteReference w:id="1123"/>
      </w:r>
      <w:r w:rsidRPr="003024E5">
        <w:rPr>
          <w:rFonts w:asciiTheme="minorBidi" w:hAnsiTheme="minorBidi"/>
          <w:rtl/>
        </w:rPr>
        <w:t>.</w:t>
      </w:r>
    </w:p>
    <w:p w14:paraId="3501D917" w14:textId="77777777" w:rsidR="002C39F4" w:rsidRPr="003024E5" w:rsidRDefault="002C39F4" w:rsidP="0032102C">
      <w:pPr>
        <w:pStyle w:val="a8"/>
        <w:numPr>
          <w:ilvl w:val="0"/>
          <w:numId w:val="150"/>
        </w:numPr>
        <w:rPr>
          <w:rFonts w:asciiTheme="minorBidi" w:hAnsiTheme="minorBidi"/>
        </w:rPr>
      </w:pPr>
      <w:r w:rsidRPr="003024E5">
        <w:rPr>
          <w:rFonts w:asciiTheme="minorBidi" w:hAnsiTheme="minorBidi"/>
          <w:rtl/>
        </w:rPr>
        <w:t xml:space="preserve">תוס' </w:t>
      </w:r>
      <w:r w:rsidRPr="003024E5">
        <w:rPr>
          <w:rFonts w:asciiTheme="minorBidi" w:hAnsiTheme="minorBidi"/>
          <w:sz w:val="16"/>
          <w:szCs w:val="16"/>
          <w:rtl/>
        </w:rPr>
        <w:t>(חולין קה. ד"ה לסעודתא)</w:t>
      </w:r>
      <w:r w:rsidRPr="003024E5">
        <w:rPr>
          <w:rFonts w:asciiTheme="minorBidi" w:hAnsiTheme="minorBidi"/>
          <w:rtl/>
        </w:rPr>
        <w:t xml:space="preserve"> וראבי"ה</w:t>
      </w:r>
      <w:r w:rsidRPr="003024E5">
        <w:rPr>
          <w:rFonts w:asciiTheme="minorBidi" w:hAnsiTheme="minorBidi"/>
          <w:sz w:val="16"/>
          <w:szCs w:val="16"/>
          <w:rtl/>
        </w:rPr>
        <w:t xml:space="preserve"> (סי' אלף קח)</w:t>
      </w:r>
      <w:r w:rsidRPr="003024E5">
        <w:rPr>
          <w:rFonts w:asciiTheme="minorBidi" w:hAnsiTheme="minorBidi"/>
          <w:rtl/>
        </w:rPr>
        <w:t>- לאו בסעודתא שרגילין לעשות אחת שחרית ואחת ערבית אלא אפילו לאלתר אם סילק השולחן ובירך מותר דלא פלוג רבנן</w:t>
      </w:r>
      <w:r w:rsidRPr="003024E5">
        <w:rPr>
          <w:rStyle w:val="a7"/>
          <w:rFonts w:asciiTheme="minorBidi" w:hAnsiTheme="minorBidi"/>
          <w:rtl/>
        </w:rPr>
        <w:footnoteReference w:id="1124"/>
      </w:r>
      <w:r w:rsidRPr="003024E5">
        <w:rPr>
          <w:rFonts w:asciiTheme="minorBidi" w:hAnsiTheme="minorBidi"/>
          <w:sz w:val="16"/>
          <w:szCs w:val="16"/>
          <w:rtl/>
        </w:rPr>
        <w:t xml:space="preserve"> (ל' התוס')</w:t>
      </w:r>
      <w:r w:rsidRPr="001F627E">
        <w:rPr>
          <w:rStyle w:val="a7"/>
          <w:rFonts w:asciiTheme="minorBidi" w:hAnsiTheme="minorBidi"/>
          <w:rtl/>
        </w:rPr>
        <w:t xml:space="preserve"> </w:t>
      </w:r>
      <w:r w:rsidRPr="003024E5">
        <w:rPr>
          <w:rStyle w:val="a7"/>
          <w:rFonts w:asciiTheme="minorBidi" w:hAnsiTheme="minorBidi"/>
          <w:rtl/>
        </w:rPr>
        <w:footnoteReference w:id="1125"/>
      </w:r>
      <w:r w:rsidRPr="003024E5">
        <w:rPr>
          <w:rFonts w:asciiTheme="minorBidi" w:hAnsiTheme="minorBidi"/>
          <w:rtl/>
        </w:rPr>
        <w:t xml:space="preserve">. </w:t>
      </w:r>
      <w:r>
        <w:rPr>
          <w:rFonts w:asciiTheme="minorBidi" w:hAnsiTheme="minorBidi" w:hint="cs"/>
          <w:rtl/>
        </w:rPr>
        <w:t xml:space="preserve"> </w:t>
      </w:r>
    </w:p>
    <w:p w14:paraId="22F210B6" w14:textId="77777777" w:rsidR="002C39F4" w:rsidRPr="001F627E" w:rsidRDefault="002C39F4" w:rsidP="0032102C">
      <w:pPr>
        <w:pStyle w:val="a8"/>
        <w:numPr>
          <w:ilvl w:val="0"/>
          <w:numId w:val="150"/>
        </w:numPr>
        <w:rPr>
          <w:rFonts w:asciiTheme="minorBidi" w:hAnsiTheme="minorBidi"/>
          <w:rtl/>
        </w:rPr>
      </w:pPr>
      <w:r w:rsidRPr="003024E5">
        <w:rPr>
          <w:rFonts w:asciiTheme="minorBidi" w:hAnsiTheme="minorBidi"/>
          <w:rtl/>
        </w:rPr>
        <w:t>ר"ח רי"ף בהעי"ט רמב"ם ורשב"א</w:t>
      </w:r>
      <w:r w:rsidRPr="003024E5">
        <w:rPr>
          <w:rStyle w:val="a7"/>
          <w:rFonts w:asciiTheme="minorBidi" w:hAnsiTheme="minorBidi"/>
          <w:rtl/>
        </w:rPr>
        <w:footnoteReference w:id="1126"/>
      </w:r>
      <w:r w:rsidRPr="003024E5">
        <w:rPr>
          <w:rFonts w:asciiTheme="minorBidi" w:hAnsiTheme="minorBidi"/>
          <w:rtl/>
        </w:rPr>
        <w:t>- מי שאכל בשר בתחלה בין בשר בהמה בין בשר עוף</w:t>
      </w:r>
      <w:r w:rsidRPr="003024E5">
        <w:rPr>
          <w:rStyle w:val="a7"/>
          <w:rFonts w:asciiTheme="minorBidi" w:hAnsiTheme="minorBidi"/>
          <w:rtl/>
        </w:rPr>
        <w:footnoteReference w:id="1127"/>
      </w:r>
      <w:r w:rsidRPr="003024E5">
        <w:rPr>
          <w:rFonts w:asciiTheme="minorBidi" w:hAnsiTheme="minorBidi"/>
          <w:rtl/>
        </w:rPr>
        <w:t xml:space="preserve"> לא יאכל אחריו חלב עד שיהיה ביניהן כדי שיעור סעודה אחרת</w:t>
      </w:r>
      <w:r w:rsidRPr="003024E5">
        <w:rPr>
          <w:rStyle w:val="a7"/>
          <w:rFonts w:asciiTheme="minorBidi" w:hAnsiTheme="minorBidi"/>
          <w:rtl/>
        </w:rPr>
        <w:footnoteReference w:id="1128"/>
      </w:r>
      <w:r w:rsidRPr="003024E5">
        <w:rPr>
          <w:rFonts w:asciiTheme="minorBidi" w:hAnsiTheme="minorBidi"/>
          <w:rtl/>
        </w:rPr>
        <w:t xml:space="preserve"> והוא כמו שש שעות מפני הבשר של בין השינים שאינו סר בקינוח</w:t>
      </w:r>
      <w:r w:rsidRPr="003024E5">
        <w:rPr>
          <w:rFonts w:asciiTheme="minorBidi" w:hAnsiTheme="minorBidi"/>
          <w:sz w:val="16"/>
          <w:szCs w:val="16"/>
          <w:rtl/>
        </w:rPr>
        <w:t xml:space="preserve"> (ל' הרמב"ם)</w:t>
      </w:r>
      <w:r w:rsidRPr="003024E5">
        <w:rPr>
          <w:rStyle w:val="a7"/>
          <w:rFonts w:asciiTheme="minorBidi" w:hAnsiTheme="minorBidi"/>
          <w:rtl/>
        </w:rPr>
        <w:footnoteReference w:id="1129"/>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3B77E94A" w14:textId="77777777" w:rsidR="002C39F4" w:rsidRPr="004715FA" w:rsidRDefault="002C39F4" w:rsidP="002C39F4">
      <w:pPr>
        <w:rPr>
          <w:rFonts w:asciiTheme="minorBidi" w:hAnsiTheme="minorBidi"/>
          <w:rtl/>
        </w:rPr>
      </w:pPr>
      <w:r w:rsidRPr="004715FA">
        <w:rPr>
          <w:rFonts w:asciiTheme="minorBidi" w:hAnsiTheme="minorBidi"/>
          <w:b/>
          <w:bCs/>
          <w:rtl/>
        </w:rPr>
        <w:t>חולין קד ע"ב:</w:t>
      </w:r>
      <w:r w:rsidRPr="004715FA">
        <w:rPr>
          <w:rFonts w:asciiTheme="minorBidi" w:hAnsiTheme="minorBidi"/>
          <w:rtl/>
        </w:rPr>
        <w:t xml:space="preserve"> תאני אגרא חמוה דרבי אבא עוף וגבינה נאכלין באפיקורן</w:t>
      </w:r>
      <w:r w:rsidRPr="003024E5">
        <w:rPr>
          <w:rStyle w:val="a7"/>
          <w:rFonts w:asciiTheme="minorBidi" w:hAnsiTheme="minorBidi"/>
          <w:rtl/>
        </w:rPr>
        <w:footnoteReference w:id="1130"/>
      </w:r>
      <w:r w:rsidRPr="004715FA">
        <w:rPr>
          <w:rFonts w:asciiTheme="minorBidi" w:hAnsiTheme="minorBidi"/>
          <w:rtl/>
        </w:rPr>
        <w:t>, עוף וגבינה</w:t>
      </w:r>
      <w:r w:rsidRPr="004715FA">
        <w:rPr>
          <w:rFonts w:asciiTheme="minorBidi" w:hAnsiTheme="minorBidi" w:hint="cs"/>
          <w:rtl/>
        </w:rPr>
        <w:t xml:space="preserve"> </w:t>
      </w:r>
      <w:r w:rsidRPr="004715FA">
        <w:rPr>
          <w:rFonts w:asciiTheme="minorBidi" w:hAnsiTheme="minorBidi"/>
          <w:rtl/>
        </w:rPr>
        <w:t>- אין, בשר וגבינה</w:t>
      </w:r>
      <w:r w:rsidRPr="004715FA">
        <w:rPr>
          <w:rFonts w:asciiTheme="minorBidi" w:hAnsiTheme="minorBidi" w:hint="cs"/>
          <w:rtl/>
        </w:rPr>
        <w:t xml:space="preserve"> </w:t>
      </w:r>
      <w:r w:rsidRPr="004715FA">
        <w:rPr>
          <w:rFonts w:asciiTheme="minorBidi" w:hAnsiTheme="minorBidi"/>
          <w:rtl/>
        </w:rPr>
        <w:t>- לא!</w:t>
      </w:r>
      <w:r w:rsidRPr="003024E5">
        <w:rPr>
          <w:rStyle w:val="a7"/>
          <w:rFonts w:asciiTheme="minorBidi" w:hAnsiTheme="minorBidi"/>
          <w:rtl/>
        </w:rPr>
        <w:footnoteReference w:id="1131"/>
      </w:r>
    </w:p>
    <w:p w14:paraId="023D8731" w14:textId="77777777" w:rsidR="002C39F4" w:rsidRPr="004715FA" w:rsidRDefault="002C39F4" w:rsidP="002C39F4">
      <w:pPr>
        <w:rPr>
          <w:rFonts w:asciiTheme="minorBidi" w:hAnsiTheme="minorBidi"/>
          <w:u w:val="single"/>
        </w:rPr>
      </w:pPr>
      <w:r w:rsidRPr="004715FA">
        <w:rPr>
          <w:rFonts w:asciiTheme="minorBidi" w:hAnsiTheme="minorBidi" w:hint="cs"/>
          <w:u w:val="single"/>
          <w:rtl/>
        </w:rPr>
        <w:t xml:space="preserve">אכילת גבינה לאחר </w:t>
      </w:r>
      <w:r w:rsidR="004C5A3C">
        <w:rPr>
          <w:rFonts w:asciiTheme="minorBidi" w:hAnsiTheme="minorBidi" w:hint="cs"/>
          <w:u w:val="single"/>
          <w:rtl/>
        </w:rPr>
        <w:t xml:space="preserve">בשר </w:t>
      </w:r>
      <w:r w:rsidRPr="004715FA">
        <w:rPr>
          <w:rFonts w:asciiTheme="minorBidi" w:hAnsiTheme="minorBidi" w:hint="cs"/>
          <w:u w:val="single"/>
          <w:rtl/>
        </w:rPr>
        <w:t>עוף</w:t>
      </w:r>
      <w:r>
        <w:rPr>
          <w:rFonts w:asciiTheme="minorBidi" w:hAnsiTheme="minorBidi" w:hint="cs"/>
          <w:u w:val="single"/>
          <w:rtl/>
        </w:rPr>
        <w:t xml:space="preserve"> או חיה</w:t>
      </w:r>
      <w:r w:rsidRPr="004715FA">
        <w:rPr>
          <w:rFonts w:asciiTheme="minorBidi" w:hAnsiTheme="minorBidi" w:hint="cs"/>
          <w:u w:val="single"/>
          <w:rtl/>
        </w:rPr>
        <w:t>:</w:t>
      </w:r>
    </w:p>
    <w:p w14:paraId="0D7804F9" w14:textId="77777777" w:rsidR="002C39F4" w:rsidRDefault="002C39F4" w:rsidP="0032102C">
      <w:pPr>
        <w:pStyle w:val="a8"/>
        <w:numPr>
          <w:ilvl w:val="0"/>
          <w:numId w:val="150"/>
        </w:numPr>
        <w:rPr>
          <w:rFonts w:asciiTheme="minorBidi" w:hAnsiTheme="minorBidi"/>
        </w:rPr>
      </w:pPr>
      <w:r>
        <w:rPr>
          <w:rFonts w:asciiTheme="minorBidi" w:hAnsiTheme="minorBidi" w:hint="cs"/>
          <w:rtl/>
        </w:rPr>
        <w:t>כל הפוסקים- אין חילוק בין בשר בהמה לבשר עוף וחיה לעניין שהייה בין הסעודות.</w:t>
      </w:r>
    </w:p>
    <w:p w14:paraId="50637157" w14:textId="77777777" w:rsidR="002C39F4" w:rsidRPr="003024E5" w:rsidRDefault="002C39F4" w:rsidP="0032102C">
      <w:pPr>
        <w:pStyle w:val="a8"/>
        <w:numPr>
          <w:ilvl w:val="0"/>
          <w:numId w:val="150"/>
        </w:numPr>
        <w:rPr>
          <w:rFonts w:asciiTheme="minorBidi" w:hAnsiTheme="minorBidi"/>
          <w:rtl/>
        </w:rPr>
      </w:pPr>
      <w:r w:rsidRPr="00C233C9">
        <w:rPr>
          <w:rFonts w:asciiTheme="minorBidi" w:hAnsiTheme="minorBidi"/>
          <w:rtl/>
        </w:rPr>
        <w:t xml:space="preserve">רמב"ן </w:t>
      </w:r>
      <w:r w:rsidRPr="00C233C9">
        <w:rPr>
          <w:rFonts w:asciiTheme="minorBidi" w:hAnsiTheme="minorBidi"/>
          <w:sz w:val="16"/>
          <w:szCs w:val="16"/>
          <w:rtl/>
        </w:rPr>
        <w:t>(</w:t>
      </w:r>
      <w:r>
        <w:rPr>
          <w:rFonts w:asciiTheme="minorBidi" w:hAnsiTheme="minorBidi" w:hint="cs"/>
          <w:sz w:val="16"/>
          <w:szCs w:val="16"/>
          <w:rtl/>
        </w:rPr>
        <w:t>בחידו' [קד:], הביאוהו</w:t>
      </w:r>
      <w:r w:rsidRPr="00C233C9">
        <w:rPr>
          <w:rFonts w:asciiTheme="minorBidi" w:hAnsiTheme="minorBidi"/>
          <w:sz w:val="16"/>
          <w:szCs w:val="16"/>
          <w:rtl/>
        </w:rPr>
        <w:t xml:space="preserve"> הרשב"א </w:t>
      </w:r>
      <w:r>
        <w:rPr>
          <w:rFonts w:asciiTheme="minorBidi" w:hAnsiTheme="minorBidi" w:hint="cs"/>
          <w:sz w:val="16"/>
          <w:szCs w:val="16"/>
          <w:rtl/>
        </w:rPr>
        <w:t>[</w:t>
      </w:r>
      <w:r w:rsidRPr="00C233C9">
        <w:rPr>
          <w:rFonts w:asciiTheme="minorBidi" w:hAnsiTheme="minorBidi"/>
          <w:sz w:val="16"/>
          <w:szCs w:val="16"/>
          <w:rtl/>
        </w:rPr>
        <w:t>תוה"א ב"ג ש"ד פז.</w:t>
      </w:r>
      <w:r>
        <w:rPr>
          <w:rFonts w:asciiTheme="minorBidi" w:hAnsiTheme="minorBidi" w:hint="cs"/>
          <w:sz w:val="16"/>
          <w:szCs w:val="16"/>
          <w:rtl/>
        </w:rPr>
        <w:t>]</w:t>
      </w:r>
      <w:r w:rsidRPr="00C233C9">
        <w:rPr>
          <w:rFonts w:asciiTheme="minorBidi" w:hAnsiTheme="minorBidi"/>
          <w:sz w:val="16"/>
          <w:szCs w:val="16"/>
          <w:rtl/>
        </w:rPr>
        <w:t xml:space="preserve"> והר"ן </w:t>
      </w:r>
      <w:r>
        <w:rPr>
          <w:rFonts w:asciiTheme="minorBidi" w:hAnsiTheme="minorBidi" w:hint="cs"/>
          <w:sz w:val="16"/>
          <w:szCs w:val="16"/>
          <w:rtl/>
        </w:rPr>
        <w:t>[</w:t>
      </w:r>
      <w:r w:rsidRPr="00C233C9">
        <w:rPr>
          <w:rFonts w:asciiTheme="minorBidi" w:hAnsiTheme="minorBidi"/>
          <w:sz w:val="16"/>
          <w:szCs w:val="16"/>
          <w:rtl/>
        </w:rPr>
        <w:t>לז. ד"ה עוף</w:t>
      </w:r>
      <w:r>
        <w:rPr>
          <w:rFonts w:asciiTheme="minorBidi" w:hAnsiTheme="minorBidi" w:hint="cs"/>
          <w:sz w:val="16"/>
          <w:szCs w:val="16"/>
          <w:rtl/>
        </w:rPr>
        <w:t>]</w:t>
      </w:r>
      <w:r w:rsidRPr="00C233C9">
        <w:rPr>
          <w:rFonts w:asciiTheme="minorBidi" w:hAnsiTheme="minorBidi"/>
          <w:sz w:val="16"/>
          <w:szCs w:val="16"/>
          <w:rtl/>
        </w:rPr>
        <w:t>)</w:t>
      </w:r>
      <w:r>
        <w:rPr>
          <w:rFonts w:asciiTheme="minorBidi" w:hAnsiTheme="minorBidi" w:hint="cs"/>
          <w:rtl/>
        </w:rPr>
        <w:t>- מותר לאכול גבינה לאחר שאכל עוף או חיה</w:t>
      </w:r>
      <w:r>
        <w:rPr>
          <w:rStyle w:val="a7"/>
          <w:rFonts w:asciiTheme="minorBidi" w:hAnsiTheme="minorBidi"/>
          <w:rtl/>
        </w:rPr>
        <w:footnoteReference w:id="1132"/>
      </w:r>
      <w:r w:rsidRPr="00C233C9">
        <w:rPr>
          <w:rFonts w:asciiTheme="minorBidi" w:hAnsiTheme="minorBidi"/>
          <w:rtl/>
        </w:rPr>
        <w:t>.</w:t>
      </w:r>
    </w:p>
    <w:p w14:paraId="11FFFFE2" w14:textId="77777777" w:rsidR="002C39F4" w:rsidRPr="003024E5" w:rsidRDefault="002C39F4" w:rsidP="002C39F4">
      <w:pPr>
        <w:rPr>
          <w:rFonts w:asciiTheme="minorBidi" w:hAnsiTheme="minorBidi"/>
          <w:u w:val="single"/>
          <w:rtl/>
        </w:rPr>
      </w:pPr>
      <w:r w:rsidRPr="003024E5">
        <w:rPr>
          <w:rFonts w:asciiTheme="minorBidi" w:hAnsiTheme="minorBidi"/>
          <w:u w:val="single"/>
          <w:rtl/>
        </w:rPr>
        <w:t>עבר הזמן שצריך לשהות בין אכילת בשר לאכילת גבינה אבל עדיין נשאר בשר בין שיניו:</w:t>
      </w:r>
      <w:r w:rsidRPr="003024E5">
        <w:rPr>
          <w:rFonts w:asciiTheme="minorBidi" w:hAnsiTheme="minorBidi"/>
          <w:sz w:val="16"/>
          <w:szCs w:val="16"/>
          <w:rtl/>
        </w:rPr>
        <w:t xml:space="preserve">   (ב"י או"ח סי' קעג)</w:t>
      </w:r>
    </w:p>
    <w:p w14:paraId="25083C72" w14:textId="77777777" w:rsidR="002C39F4" w:rsidRPr="003024E5" w:rsidRDefault="002C39F4" w:rsidP="0032102C">
      <w:pPr>
        <w:pStyle w:val="a8"/>
        <w:numPr>
          <w:ilvl w:val="0"/>
          <w:numId w:val="151"/>
        </w:numPr>
        <w:rPr>
          <w:rFonts w:asciiTheme="minorBidi" w:hAnsiTheme="minorBidi"/>
          <w:rtl/>
        </w:rPr>
      </w:pPr>
      <w:r w:rsidRPr="003024E5">
        <w:rPr>
          <w:rFonts w:asciiTheme="minorBidi" w:hAnsiTheme="minorBidi"/>
          <w:rtl/>
        </w:rPr>
        <w:t>בהעי"ט רשב"א רי"ו</w:t>
      </w:r>
      <w:r w:rsidRPr="009122D9">
        <w:rPr>
          <w:rFonts w:asciiTheme="minorBidi" w:hAnsiTheme="minorBidi"/>
          <w:rtl/>
        </w:rPr>
        <w:t xml:space="preserve"> </w:t>
      </w:r>
      <w:r>
        <w:rPr>
          <w:rFonts w:asciiTheme="minorBidi" w:hAnsiTheme="minorBidi" w:hint="cs"/>
          <w:rtl/>
        </w:rPr>
        <w:t>ו</w:t>
      </w:r>
      <w:r>
        <w:rPr>
          <w:rFonts w:asciiTheme="minorBidi" w:hAnsiTheme="minorBidi"/>
          <w:rtl/>
        </w:rPr>
        <w:t>או"ה</w:t>
      </w:r>
      <w:r w:rsidRPr="003024E5">
        <w:rPr>
          <w:rStyle w:val="a7"/>
          <w:rFonts w:asciiTheme="minorBidi" w:hAnsiTheme="minorBidi"/>
          <w:rtl/>
        </w:rPr>
        <w:footnoteReference w:id="1133"/>
      </w:r>
      <w:r w:rsidRPr="003024E5">
        <w:rPr>
          <w:rFonts w:asciiTheme="minorBidi" w:hAnsiTheme="minorBidi"/>
          <w:rtl/>
        </w:rPr>
        <w:t>- אפילו שהה צריך להוציאו</w:t>
      </w:r>
      <w:r>
        <w:rPr>
          <w:rStyle w:val="a7"/>
          <w:rFonts w:asciiTheme="minorBidi" w:hAnsiTheme="minorBidi"/>
          <w:rtl/>
        </w:rPr>
        <w:footnoteReference w:id="1134"/>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4803B5DC" w14:textId="77777777" w:rsidR="002C39F4" w:rsidRPr="003024E5" w:rsidRDefault="002C39F4" w:rsidP="0032102C">
      <w:pPr>
        <w:pStyle w:val="a8"/>
        <w:numPr>
          <w:ilvl w:val="0"/>
          <w:numId w:val="151"/>
        </w:numPr>
        <w:rPr>
          <w:rFonts w:asciiTheme="minorBidi" w:hAnsiTheme="minorBidi"/>
        </w:rPr>
      </w:pPr>
      <w:r w:rsidRPr="003024E5">
        <w:rPr>
          <w:rFonts w:asciiTheme="minorBidi" w:hAnsiTheme="minorBidi"/>
          <w:rtl/>
        </w:rPr>
        <w:t>רמב"ם</w:t>
      </w:r>
      <w:r w:rsidRPr="003024E5">
        <w:rPr>
          <w:rFonts w:asciiTheme="minorBidi" w:hAnsiTheme="minorBidi"/>
          <w:sz w:val="16"/>
          <w:szCs w:val="16"/>
          <w:rtl/>
        </w:rPr>
        <w:t xml:space="preserve"> (להב' הטור)</w:t>
      </w:r>
      <w:r w:rsidRPr="003024E5">
        <w:rPr>
          <w:rFonts w:asciiTheme="minorBidi" w:hAnsiTheme="minorBidi"/>
          <w:rtl/>
        </w:rPr>
        <w:t>- לאחר ששהה כשיעור מותר אפילו נשאר בשר בין השינים</w:t>
      </w:r>
      <w:r w:rsidRPr="003024E5">
        <w:rPr>
          <w:rStyle w:val="a7"/>
          <w:rFonts w:asciiTheme="minorBidi" w:hAnsiTheme="minorBidi"/>
          <w:rtl/>
        </w:rPr>
        <w:footnoteReference w:id="1135"/>
      </w:r>
      <w:r w:rsidRPr="003024E5">
        <w:rPr>
          <w:rFonts w:asciiTheme="minorBidi" w:hAnsiTheme="minorBidi"/>
          <w:rtl/>
        </w:rPr>
        <w:t>.</w:t>
      </w:r>
    </w:p>
    <w:p w14:paraId="51648799" w14:textId="77777777" w:rsidR="002C39F4" w:rsidRPr="003024E5" w:rsidRDefault="002C39F4" w:rsidP="002C39F4">
      <w:pPr>
        <w:rPr>
          <w:rFonts w:asciiTheme="minorBidi" w:hAnsiTheme="minorBidi"/>
          <w:u w:val="single"/>
        </w:rPr>
      </w:pPr>
      <w:r>
        <w:rPr>
          <w:rFonts w:asciiTheme="minorBidi" w:hAnsiTheme="minorBidi" w:hint="cs"/>
          <w:u w:val="single"/>
          <w:rtl/>
        </w:rPr>
        <w:t>שהייה אחר</w:t>
      </w:r>
      <w:r w:rsidRPr="003024E5">
        <w:rPr>
          <w:rFonts w:asciiTheme="minorBidi" w:hAnsiTheme="minorBidi"/>
          <w:u w:val="single"/>
          <w:rtl/>
        </w:rPr>
        <w:t xml:space="preserve"> לע</w:t>
      </w:r>
      <w:r>
        <w:rPr>
          <w:rFonts w:asciiTheme="minorBidi" w:hAnsiTheme="minorBidi" w:hint="cs"/>
          <w:u w:val="single"/>
          <w:rtl/>
        </w:rPr>
        <w:t>י</w:t>
      </w:r>
      <w:r w:rsidRPr="003024E5">
        <w:rPr>
          <w:rFonts w:asciiTheme="minorBidi" w:hAnsiTheme="minorBidi"/>
          <w:u w:val="single"/>
          <w:rtl/>
        </w:rPr>
        <w:t>ס</w:t>
      </w:r>
      <w:r>
        <w:rPr>
          <w:rFonts w:asciiTheme="minorBidi" w:hAnsiTheme="minorBidi" w:hint="cs"/>
          <w:u w:val="single"/>
          <w:rtl/>
        </w:rPr>
        <w:t>ת</w:t>
      </w:r>
      <w:r w:rsidRPr="003024E5">
        <w:rPr>
          <w:rFonts w:asciiTheme="minorBidi" w:hAnsiTheme="minorBidi"/>
          <w:u w:val="single"/>
          <w:rtl/>
        </w:rPr>
        <w:t xml:space="preserve"> </w:t>
      </w:r>
      <w:r>
        <w:rPr>
          <w:rFonts w:asciiTheme="minorBidi" w:hAnsiTheme="minorBidi" w:hint="cs"/>
          <w:u w:val="single"/>
          <w:rtl/>
        </w:rPr>
        <w:t xml:space="preserve">בשר </w:t>
      </w:r>
      <w:r w:rsidRPr="003024E5">
        <w:rPr>
          <w:rFonts w:asciiTheme="minorBidi" w:hAnsiTheme="minorBidi"/>
          <w:u w:val="single"/>
          <w:rtl/>
        </w:rPr>
        <w:t>לתינוק:</w:t>
      </w:r>
      <w:r w:rsidRPr="003024E5">
        <w:rPr>
          <w:rFonts w:asciiTheme="minorBidi" w:hAnsiTheme="minorBidi"/>
          <w:sz w:val="16"/>
          <w:szCs w:val="16"/>
          <w:rtl/>
        </w:rPr>
        <w:t xml:space="preserve">   (ב"י או"ח סי' קעג)</w:t>
      </w:r>
    </w:p>
    <w:p w14:paraId="18B2C7C9" w14:textId="77777777" w:rsidR="002C39F4" w:rsidRDefault="002C39F4" w:rsidP="0032102C">
      <w:pPr>
        <w:pStyle w:val="a8"/>
        <w:numPr>
          <w:ilvl w:val="0"/>
          <w:numId w:val="151"/>
        </w:numPr>
        <w:rPr>
          <w:rFonts w:asciiTheme="minorBidi" w:hAnsiTheme="minorBidi"/>
        </w:rPr>
      </w:pPr>
      <w:r w:rsidRPr="003024E5">
        <w:rPr>
          <w:rFonts w:asciiTheme="minorBidi" w:hAnsiTheme="minorBidi"/>
          <w:rtl/>
        </w:rPr>
        <w:t xml:space="preserve">טור </w:t>
      </w:r>
      <w:r w:rsidRPr="003024E5">
        <w:rPr>
          <w:rFonts w:asciiTheme="minorBidi" w:hAnsiTheme="minorBidi"/>
          <w:sz w:val="16"/>
          <w:szCs w:val="16"/>
          <w:rtl/>
        </w:rPr>
        <w:t>(יו"ד סי' פט)</w:t>
      </w:r>
      <w:r>
        <w:rPr>
          <w:rFonts w:asciiTheme="minorBidi" w:hAnsiTheme="minorBidi" w:hint="cs"/>
          <w:rtl/>
        </w:rPr>
        <w:t xml:space="preserve"> והגשע"ד</w:t>
      </w:r>
      <w:r>
        <w:rPr>
          <w:rFonts w:asciiTheme="minorBidi" w:hAnsiTheme="minorBidi" w:hint="cs"/>
          <w:sz w:val="16"/>
          <w:szCs w:val="16"/>
          <w:rtl/>
        </w:rPr>
        <w:t xml:space="preserve"> (סי' עו סק"א)</w:t>
      </w:r>
      <w:r w:rsidRPr="003024E5">
        <w:rPr>
          <w:rFonts w:asciiTheme="minorBidi" w:hAnsiTheme="minorBidi"/>
          <w:rtl/>
        </w:rPr>
        <w:t>- לפי הטעם הראשון</w:t>
      </w:r>
      <w:r w:rsidRPr="003024E5">
        <w:rPr>
          <w:rFonts w:asciiTheme="minorBidi" w:hAnsiTheme="minorBidi"/>
          <w:sz w:val="16"/>
          <w:szCs w:val="16"/>
          <w:rtl/>
        </w:rPr>
        <w:t xml:space="preserve"> {טעמו של רש"י}</w:t>
      </w:r>
      <w:r w:rsidRPr="003024E5">
        <w:rPr>
          <w:rFonts w:asciiTheme="minorBidi" w:hAnsiTheme="minorBidi"/>
          <w:rtl/>
        </w:rPr>
        <w:t xml:space="preserve"> אין צריך להמתין דכיון שלא אכלו אינו מוציא טעם, ולפי טעמו של הרמב"ם צריך להמתין, וטוב לאחוז כחומרי שני הטעמים</w:t>
      </w:r>
      <w:r>
        <w:rPr>
          <w:rFonts w:asciiTheme="minorBidi" w:hAnsiTheme="minorBidi" w:hint="cs"/>
          <w:sz w:val="16"/>
          <w:szCs w:val="16"/>
          <w:rtl/>
        </w:rPr>
        <w:t xml:space="preserve"> (ל' הטור)</w:t>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1DA71D4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F1AC333" w14:textId="77777777" w:rsidR="002C39F4" w:rsidRPr="003024E5" w:rsidRDefault="002C39F4" w:rsidP="002C39F4">
      <w:pPr>
        <w:rPr>
          <w:rFonts w:asciiTheme="minorBidi" w:hAnsiTheme="minorBidi"/>
          <w:rtl/>
        </w:rPr>
      </w:pPr>
      <w:r w:rsidRPr="003024E5">
        <w:rPr>
          <w:rFonts w:asciiTheme="minorBidi" w:hAnsiTheme="minorBidi"/>
          <w:rtl/>
        </w:rPr>
        <w:t>אכל בשר אפילו של חיה ועוף לא יאכל גבינה אחריו עד שישהה שש שעות, ואפילו אם שהה כשיעור אם יש בשר בין השינים צריך להסירו, והלועס לתינוק צריך להמתין</w:t>
      </w:r>
      <w:r>
        <w:rPr>
          <w:rStyle w:val="a7"/>
          <w:rFonts w:asciiTheme="minorBidi" w:hAnsiTheme="minorBidi"/>
          <w:rtl/>
        </w:rPr>
        <w:footnoteReference w:id="1136"/>
      </w:r>
      <w:r w:rsidRPr="003024E5">
        <w:rPr>
          <w:rFonts w:asciiTheme="minorBidi" w:hAnsiTheme="minorBidi"/>
          <w:rtl/>
        </w:rPr>
        <w:t xml:space="preserve">. </w:t>
      </w:r>
      <w:r w:rsidRPr="003024E5">
        <w:rPr>
          <w:rFonts w:asciiTheme="minorBidi" w:hAnsiTheme="minorBidi"/>
          <w:sz w:val="18"/>
          <w:szCs w:val="18"/>
          <w:rtl/>
        </w:rPr>
        <w:t>הגה: ואם מצא אח</w:t>
      </w:r>
      <w:r>
        <w:rPr>
          <w:rFonts w:asciiTheme="minorBidi" w:hAnsiTheme="minorBidi" w:hint="cs"/>
          <w:sz w:val="18"/>
          <w:szCs w:val="18"/>
          <w:rtl/>
        </w:rPr>
        <w:t>"</w:t>
      </w:r>
      <w:r w:rsidRPr="003024E5">
        <w:rPr>
          <w:rFonts w:asciiTheme="minorBidi" w:hAnsiTheme="minorBidi"/>
          <w:sz w:val="18"/>
          <w:szCs w:val="18"/>
          <w:rtl/>
        </w:rPr>
        <w:t>כ בשר שבין השינים ומסירו צריך להדיח</w:t>
      </w:r>
      <w:r w:rsidRPr="003024E5">
        <w:rPr>
          <w:rStyle w:val="a7"/>
          <w:rFonts w:asciiTheme="minorBidi" w:hAnsiTheme="minorBidi"/>
          <w:sz w:val="18"/>
          <w:szCs w:val="18"/>
          <w:rtl/>
        </w:rPr>
        <w:footnoteReference w:id="1137"/>
      </w:r>
      <w:r w:rsidRPr="003024E5">
        <w:rPr>
          <w:rFonts w:asciiTheme="minorBidi" w:hAnsiTheme="minorBidi"/>
          <w:sz w:val="18"/>
          <w:szCs w:val="18"/>
          <w:rtl/>
        </w:rPr>
        <w:t xml:space="preserve"> פיו קודם שיאכל גבינה </w:t>
      </w:r>
      <w:r w:rsidRPr="00F31EF5">
        <w:rPr>
          <w:rFonts w:asciiTheme="minorBidi" w:hAnsiTheme="minorBidi"/>
          <w:sz w:val="16"/>
          <w:szCs w:val="16"/>
          <w:rtl/>
        </w:rPr>
        <w:t>(ר"ן)</w:t>
      </w:r>
      <w:r>
        <w:rPr>
          <w:rFonts w:asciiTheme="minorBidi" w:hAnsiTheme="minorBidi" w:hint="cs"/>
          <w:sz w:val="18"/>
          <w:szCs w:val="18"/>
          <w:rtl/>
        </w:rPr>
        <w:t>.</w:t>
      </w:r>
      <w:r w:rsidRPr="003024E5">
        <w:rPr>
          <w:rFonts w:asciiTheme="minorBidi" w:hAnsiTheme="minorBidi"/>
          <w:sz w:val="18"/>
          <w:szCs w:val="18"/>
          <w:rtl/>
        </w:rPr>
        <w:t xml:space="preserve"> ויש אומרים דאין צריכין להמתין שש שעות רק מיד אם סלק ובירך ברכת המזון</w:t>
      </w:r>
      <w:r w:rsidRPr="003024E5">
        <w:rPr>
          <w:rStyle w:val="a7"/>
          <w:rFonts w:asciiTheme="minorBidi" w:hAnsiTheme="minorBidi"/>
          <w:sz w:val="18"/>
          <w:szCs w:val="18"/>
          <w:rtl/>
        </w:rPr>
        <w:footnoteReference w:id="1138"/>
      </w:r>
      <w:r w:rsidRPr="003024E5">
        <w:rPr>
          <w:rFonts w:asciiTheme="minorBidi" w:hAnsiTheme="minorBidi"/>
          <w:sz w:val="18"/>
          <w:szCs w:val="18"/>
          <w:rtl/>
        </w:rPr>
        <w:t xml:space="preserve"> מותר ע</w:t>
      </w:r>
      <w:r>
        <w:rPr>
          <w:rFonts w:asciiTheme="minorBidi" w:hAnsiTheme="minorBidi" w:hint="cs"/>
          <w:sz w:val="18"/>
          <w:szCs w:val="18"/>
          <w:rtl/>
        </w:rPr>
        <w:t>"</w:t>
      </w:r>
      <w:r w:rsidRPr="003024E5">
        <w:rPr>
          <w:rFonts w:asciiTheme="minorBidi" w:hAnsiTheme="minorBidi"/>
          <w:sz w:val="18"/>
          <w:szCs w:val="18"/>
          <w:rtl/>
        </w:rPr>
        <w:t>י קנוח והדחה</w:t>
      </w:r>
      <w:r w:rsidRPr="003024E5">
        <w:rPr>
          <w:rStyle w:val="a7"/>
          <w:rFonts w:asciiTheme="minorBidi" w:hAnsiTheme="minorBidi"/>
          <w:sz w:val="18"/>
          <w:szCs w:val="18"/>
          <w:rtl/>
        </w:rPr>
        <w:footnoteReference w:id="1139"/>
      </w:r>
      <w:r w:rsidRPr="003024E5">
        <w:rPr>
          <w:rFonts w:asciiTheme="minorBidi" w:hAnsiTheme="minorBidi"/>
          <w:sz w:val="18"/>
          <w:szCs w:val="18"/>
          <w:rtl/>
        </w:rPr>
        <w:t xml:space="preserve"> </w:t>
      </w:r>
      <w:r w:rsidRPr="00F31EF5">
        <w:rPr>
          <w:rFonts w:asciiTheme="minorBidi" w:hAnsiTheme="minorBidi"/>
          <w:sz w:val="16"/>
          <w:szCs w:val="16"/>
          <w:rtl/>
        </w:rPr>
        <w:t xml:space="preserve">(תוס' </w:t>
      </w:r>
      <w:r>
        <w:rPr>
          <w:rFonts w:asciiTheme="minorBidi" w:hAnsiTheme="minorBidi" w:hint="cs"/>
          <w:sz w:val="16"/>
          <w:szCs w:val="16"/>
          <w:rtl/>
        </w:rPr>
        <w:t xml:space="preserve">ראבי"ה </w:t>
      </w:r>
      <w:r w:rsidRPr="00F31EF5">
        <w:rPr>
          <w:rFonts w:asciiTheme="minorBidi" w:hAnsiTheme="minorBidi"/>
          <w:sz w:val="16"/>
          <w:szCs w:val="16"/>
          <w:rtl/>
        </w:rPr>
        <w:t xml:space="preserve">מרדכי הג"א </w:t>
      </w:r>
      <w:r>
        <w:rPr>
          <w:rFonts w:asciiTheme="minorBidi" w:hAnsiTheme="minorBidi" w:hint="cs"/>
          <w:sz w:val="16"/>
          <w:szCs w:val="16"/>
          <w:rtl/>
        </w:rPr>
        <w:t>ו</w:t>
      </w:r>
      <w:r w:rsidRPr="00F31EF5">
        <w:rPr>
          <w:rFonts w:asciiTheme="minorBidi" w:hAnsiTheme="minorBidi"/>
          <w:sz w:val="16"/>
          <w:szCs w:val="16"/>
          <w:rtl/>
        </w:rPr>
        <w:t>הגה"מ)</w:t>
      </w:r>
      <w:r>
        <w:rPr>
          <w:rFonts w:asciiTheme="minorBidi" w:hAnsiTheme="minorBidi" w:hint="cs"/>
          <w:sz w:val="18"/>
          <w:szCs w:val="18"/>
          <w:rtl/>
        </w:rPr>
        <w:t>.</w:t>
      </w:r>
      <w:r w:rsidRPr="003024E5">
        <w:rPr>
          <w:rFonts w:asciiTheme="minorBidi" w:hAnsiTheme="minorBidi"/>
          <w:sz w:val="18"/>
          <w:szCs w:val="18"/>
          <w:rtl/>
        </w:rPr>
        <w:t xml:space="preserve"> והמנהג הפשוט במדינות אלו להמתין אחר אכילת הבשר שעה אחת ואוכלין אח</w:t>
      </w:r>
      <w:r>
        <w:rPr>
          <w:rFonts w:asciiTheme="minorBidi" w:hAnsiTheme="minorBidi" w:hint="cs"/>
          <w:sz w:val="18"/>
          <w:szCs w:val="18"/>
          <w:rtl/>
        </w:rPr>
        <w:t>"</w:t>
      </w:r>
      <w:r w:rsidRPr="003024E5">
        <w:rPr>
          <w:rFonts w:asciiTheme="minorBidi" w:hAnsiTheme="minorBidi"/>
          <w:sz w:val="18"/>
          <w:szCs w:val="18"/>
          <w:rtl/>
        </w:rPr>
        <w:t>כ גבינה, מיהו צריכים לברך ג</w:t>
      </w:r>
      <w:r>
        <w:rPr>
          <w:rFonts w:asciiTheme="minorBidi" w:hAnsiTheme="minorBidi" w:hint="cs"/>
          <w:sz w:val="18"/>
          <w:szCs w:val="18"/>
          <w:rtl/>
        </w:rPr>
        <w:t>"</w:t>
      </w:r>
      <w:r w:rsidRPr="003024E5">
        <w:rPr>
          <w:rFonts w:asciiTheme="minorBidi" w:hAnsiTheme="minorBidi"/>
          <w:sz w:val="18"/>
          <w:szCs w:val="18"/>
          <w:rtl/>
        </w:rPr>
        <w:t>כ ברהמ</w:t>
      </w:r>
      <w:r>
        <w:rPr>
          <w:rFonts w:asciiTheme="minorBidi" w:hAnsiTheme="minorBidi" w:hint="cs"/>
          <w:sz w:val="18"/>
          <w:szCs w:val="18"/>
          <w:rtl/>
        </w:rPr>
        <w:t>"</w:t>
      </w:r>
      <w:r w:rsidRPr="003024E5">
        <w:rPr>
          <w:rFonts w:asciiTheme="minorBidi" w:hAnsiTheme="minorBidi"/>
          <w:sz w:val="18"/>
          <w:szCs w:val="18"/>
          <w:rtl/>
        </w:rPr>
        <w:t xml:space="preserve">ז אחר הבשר </w:t>
      </w:r>
      <w:r w:rsidRPr="00F31EF5">
        <w:rPr>
          <w:rFonts w:asciiTheme="minorBidi" w:hAnsiTheme="minorBidi"/>
          <w:sz w:val="16"/>
          <w:szCs w:val="16"/>
          <w:rtl/>
        </w:rPr>
        <w:t>(הגשע"ד</w:t>
      </w:r>
      <w:r>
        <w:rPr>
          <w:rFonts w:asciiTheme="minorBidi" w:hAnsiTheme="minorBidi" w:hint="cs"/>
          <w:sz w:val="16"/>
          <w:szCs w:val="16"/>
          <w:rtl/>
        </w:rPr>
        <w:t xml:space="preserve"> ו</w:t>
      </w:r>
      <w:r w:rsidRPr="00F31EF5">
        <w:rPr>
          <w:rFonts w:asciiTheme="minorBidi" w:hAnsiTheme="minorBidi"/>
          <w:sz w:val="16"/>
          <w:szCs w:val="16"/>
          <w:rtl/>
        </w:rPr>
        <w:t>ארוך)</w:t>
      </w:r>
      <w:r w:rsidRPr="003024E5">
        <w:rPr>
          <w:rFonts w:asciiTheme="minorBidi" w:hAnsiTheme="minorBidi"/>
          <w:sz w:val="18"/>
          <w:szCs w:val="18"/>
          <w:rtl/>
        </w:rPr>
        <w:t>, דאז הוי כסעודה אחרת דמותר לאכול לדברי המקילין, אבל בלא ברהמ</w:t>
      </w:r>
      <w:r>
        <w:rPr>
          <w:rFonts w:asciiTheme="minorBidi" w:hAnsiTheme="minorBidi" w:hint="cs"/>
          <w:sz w:val="18"/>
          <w:szCs w:val="18"/>
          <w:rtl/>
        </w:rPr>
        <w:t>"</w:t>
      </w:r>
      <w:r w:rsidRPr="003024E5">
        <w:rPr>
          <w:rFonts w:asciiTheme="minorBidi" w:hAnsiTheme="minorBidi"/>
          <w:sz w:val="18"/>
          <w:szCs w:val="18"/>
          <w:rtl/>
        </w:rPr>
        <w:t>ז לא מהני המתנת שעה, ואין חילוק אם המתין השעה קודם ברהמ</w:t>
      </w:r>
      <w:r>
        <w:rPr>
          <w:rFonts w:asciiTheme="minorBidi" w:hAnsiTheme="minorBidi" w:hint="cs"/>
          <w:sz w:val="18"/>
          <w:szCs w:val="18"/>
          <w:rtl/>
        </w:rPr>
        <w:t>"</w:t>
      </w:r>
      <w:r w:rsidRPr="003024E5">
        <w:rPr>
          <w:rFonts w:asciiTheme="minorBidi" w:hAnsiTheme="minorBidi"/>
          <w:sz w:val="18"/>
          <w:szCs w:val="18"/>
          <w:rtl/>
        </w:rPr>
        <w:t>ז או אח</w:t>
      </w:r>
      <w:r>
        <w:rPr>
          <w:rFonts w:asciiTheme="minorBidi" w:hAnsiTheme="minorBidi" w:hint="cs"/>
          <w:sz w:val="18"/>
          <w:szCs w:val="18"/>
          <w:rtl/>
        </w:rPr>
        <w:t>"</w:t>
      </w:r>
      <w:r w:rsidRPr="003024E5">
        <w:rPr>
          <w:rFonts w:asciiTheme="minorBidi" w:hAnsiTheme="minorBidi"/>
          <w:sz w:val="18"/>
          <w:szCs w:val="18"/>
          <w:rtl/>
        </w:rPr>
        <w:t xml:space="preserve">כ </w:t>
      </w:r>
      <w:r w:rsidRPr="00F31EF5">
        <w:rPr>
          <w:rFonts w:asciiTheme="minorBidi" w:hAnsiTheme="minorBidi"/>
          <w:sz w:val="16"/>
          <w:szCs w:val="16"/>
          <w:rtl/>
        </w:rPr>
        <w:t>(ד"ע ממהרא"י)</w:t>
      </w:r>
      <w:r w:rsidRPr="003024E5">
        <w:rPr>
          <w:rFonts w:asciiTheme="minorBidi" w:hAnsiTheme="minorBidi"/>
          <w:sz w:val="18"/>
          <w:szCs w:val="18"/>
          <w:rtl/>
        </w:rPr>
        <w:t>, ואם מצא בשר בין שיניו אחר השעה צריך לנקרו ולהסירו</w:t>
      </w:r>
      <w:r w:rsidRPr="003024E5">
        <w:rPr>
          <w:rStyle w:val="a7"/>
          <w:rFonts w:asciiTheme="minorBidi" w:hAnsiTheme="minorBidi"/>
          <w:sz w:val="18"/>
          <w:szCs w:val="18"/>
          <w:rtl/>
        </w:rPr>
        <w:footnoteReference w:id="1140"/>
      </w:r>
      <w:r w:rsidRPr="003024E5">
        <w:rPr>
          <w:rFonts w:asciiTheme="minorBidi" w:hAnsiTheme="minorBidi"/>
          <w:sz w:val="18"/>
          <w:szCs w:val="18"/>
          <w:rtl/>
        </w:rPr>
        <w:t xml:space="preserve"> </w:t>
      </w:r>
      <w:r w:rsidRPr="00F31EF5">
        <w:rPr>
          <w:rFonts w:asciiTheme="minorBidi" w:hAnsiTheme="minorBidi"/>
          <w:sz w:val="16"/>
          <w:szCs w:val="16"/>
          <w:rtl/>
        </w:rPr>
        <w:t>(ד"ע ממשמעות הר"ן)</w:t>
      </w:r>
      <w:r w:rsidRPr="003024E5">
        <w:rPr>
          <w:rFonts w:asciiTheme="minorBidi" w:hAnsiTheme="minorBidi"/>
          <w:sz w:val="18"/>
          <w:szCs w:val="18"/>
          <w:rtl/>
        </w:rPr>
        <w:t>, וי</w:t>
      </w:r>
      <w:r>
        <w:rPr>
          <w:rFonts w:asciiTheme="minorBidi" w:hAnsiTheme="minorBidi" w:hint="cs"/>
          <w:sz w:val="18"/>
          <w:szCs w:val="18"/>
          <w:rtl/>
        </w:rPr>
        <w:t>"א</w:t>
      </w:r>
      <w:r w:rsidRPr="003024E5">
        <w:rPr>
          <w:rFonts w:asciiTheme="minorBidi" w:hAnsiTheme="minorBidi"/>
          <w:sz w:val="18"/>
          <w:szCs w:val="18"/>
          <w:rtl/>
        </w:rPr>
        <w:t xml:space="preserve"> דאין לברך ברהמ</w:t>
      </w:r>
      <w:r>
        <w:rPr>
          <w:rFonts w:asciiTheme="minorBidi" w:hAnsiTheme="minorBidi" w:hint="cs"/>
          <w:sz w:val="18"/>
          <w:szCs w:val="18"/>
          <w:rtl/>
        </w:rPr>
        <w:t>"</w:t>
      </w:r>
      <w:r w:rsidRPr="003024E5">
        <w:rPr>
          <w:rFonts w:asciiTheme="minorBidi" w:hAnsiTheme="minorBidi"/>
          <w:sz w:val="18"/>
          <w:szCs w:val="18"/>
          <w:rtl/>
        </w:rPr>
        <w:t xml:space="preserve">ז על מנת לאכול גבינה </w:t>
      </w:r>
      <w:r w:rsidRPr="00F31EF5">
        <w:rPr>
          <w:rFonts w:asciiTheme="minorBidi" w:hAnsiTheme="minorBidi"/>
          <w:sz w:val="16"/>
          <w:szCs w:val="16"/>
          <w:rtl/>
        </w:rPr>
        <w:t>(ארוך בשם מהר"ח)</w:t>
      </w:r>
      <w:r w:rsidRPr="003024E5">
        <w:rPr>
          <w:rFonts w:asciiTheme="minorBidi" w:hAnsiTheme="minorBidi"/>
          <w:sz w:val="18"/>
          <w:szCs w:val="18"/>
          <w:rtl/>
        </w:rPr>
        <w:t>, אבל אין נזהרין בזה</w:t>
      </w:r>
      <w:r w:rsidRPr="003024E5">
        <w:rPr>
          <w:rStyle w:val="a7"/>
          <w:rFonts w:asciiTheme="minorBidi" w:hAnsiTheme="minorBidi"/>
          <w:sz w:val="18"/>
          <w:szCs w:val="18"/>
          <w:rtl/>
        </w:rPr>
        <w:footnoteReference w:id="1141"/>
      </w:r>
      <w:r w:rsidRPr="003024E5">
        <w:rPr>
          <w:rFonts w:asciiTheme="minorBidi" w:hAnsiTheme="minorBidi"/>
          <w:sz w:val="18"/>
          <w:szCs w:val="18"/>
          <w:rtl/>
        </w:rPr>
        <w:t>, ויש מדקדקים להמתין שש שעות אחר אכילת בשר לגבינה, וכן נכון לעשות</w:t>
      </w:r>
      <w:r w:rsidRPr="003024E5">
        <w:rPr>
          <w:rStyle w:val="a7"/>
          <w:rFonts w:asciiTheme="minorBidi" w:hAnsiTheme="minorBidi"/>
          <w:sz w:val="18"/>
          <w:szCs w:val="18"/>
          <w:rtl/>
        </w:rPr>
        <w:footnoteReference w:id="1142"/>
      </w:r>
      <w:r w:rsidRPr="003024E5">
        <w:rPr>
          <w:rFonts w:asciiTheme="minorBidi" w:hAnsiTheme="minorBidi"/>
          <w:sz w:val="18"/>
          <w:szCs w:val="18"/>
          <w:rtl/>
        </w:rPr>
        <w:t>.</w:t>
      </w:r>
    </w:p>
    <w:p w14:paraId="30BF3AEB" w14:textId="77777777" w:rsidR="002C39F4" w:rsidRPr="00EA5230" w:rsidRDefault="002C39F4" w:rsidP="002C39F4">
      <w:pPr>
        <w:rPr>
          <w:rFonts w:asciiTheme="minorBidi" w:hAnsiTheme="minorBidi" w:cs="Arial"/>
          <w:sz w:val="16"/>
          <w:szCs w:val="16"/>
          <w:u w:val="single"/>
          <w:rtl/>
        </w:rPr>
      </w:pPr>
      <w:r w:rsidRPr="00EA5230">
        <w:rPr>
          <w:rFonts w:asciiTheme="minorBidi" w:hAnsiTheme="minorBidi" w:cs="Arial" w:hint="cs"/>
          <w:u w:val="single"/>
          <w:rtl/>
        </w:rPr>
        <w:t>חולה שצריך לשתות חלב:</w:t>
      </w:r>
      <w:r w:rsidRPr="00EA5230">
        <w:rPr>
          <w:rFonts w:asciiTheme="minorBidi" w:hAnsiTheme="minorBidi" w:cs="Arial" w:hint="cs"/>
          <w:sz w:val="16"/>
          <w:szCs w:val="16"/>
          <w:rtl/>
        </w:rPr>
        <w:t xml:space="preserve">   (</w:t>
      </w:r>
      <w:r>
        <w:rPr>
          <w:rFonts w:asciiTheme="minorBidi" w:hAnsiTheme="minorBidi" w:cs="Arial" w:hint="cs"/>
          <w:sz w:val="16"/>
          <w:szCs w:val="16"/>
          <w:rtl/>
        </w:rPr>
        <w:t>פת"ש סק"ב)</w:t>
      </w:r>
    </w:p>
    <w:p w14:paraId="33441679" w14:textId="77777777" w:rsidR="002C39F4" w:rsidRDefault="002C39F4" w:rsidP="0032102C">
      <w:pPr>
        <w:pStyle w:val="a8"/>
        <w:numPr>
          <w:ilvl w:val="0"/>
          <w:numId w:val="151"/>
        </w:numPr>
        <w:rPr>
          <w:rFonts w:asciiTheme="minorBidi" w:hAnsiTheme="minorBidi"/>
        </w:rPr>
      </w:pPr>
      <w:r w:rsidRPr="00EA5230">
        <w:rPr>
          <w:rFonts w:asciiTheme="minorBidi" w:hAnsiTheme="minorBidi" w:cs="Arial"/>
          <w:rtl/>
        </w:rPr>
        <w:t>ח</w:t>
      </w:r>
      <w:r w:rsidRPr="00EA5230">
        <w:rPr>
          <w:rFonts w:asciiTheme="minorBidi" w:hAnsiTheme="minorBidi" w:cs="Arial" w:hint="cs"/>
          <w:rtl/>
        </w:rPr>
        <w:t>ת</w:t>
      </w:r>
      <w:r w:rsidRPr="00EA5230">
        <w:rPr>
          <w:rFonts w:asciiTheme="minorBidi" w:hAnsiTheme="minorBidi" w:cs="Arial"/>
          <w:rtl/>
        </w:rPr>
        <w:t xml:space="preserve">"ס </w:t>
      </w:r>
      <w:r w:rsidRPr="00EA5230">
        <w:rPr>
          <w:rFonts w:asciiTheme="minorBidi" w:hAnsiTheme="minorBidi" w:cs="Arial" w:hint="cs"/>
          <w:sz w:val="16"/>
          <w:szCs w:val="16"/>
          <w:rtl/>
        </w:rPr>
        <w:t>(</w:t>
      </w:r>
      <w:r w:rsidRPr="00EA5230">
        <w:rPr>
          <w:rFonts w:asciiTheme="minorBidi" w:hAnsiTheme="minorBidi" w:cs="Arial"/>
          <w:sz w:val="16"/>
          <w:szCs w:val="16"/>
          <w:rtl/>
        </w:rPr>
        <w:t>סי</w:t>
      </w:r>
      <w:r w:rsidRPr="00EA5230">
        <w:rPr>
          <w:rFonts w:asciiTheme="minorBidi" w:hAnsiTheme="minorBidi" w:cs="Arial" w:hint="cs"/>
          <w:sz w:val="16"/>
          <w:szCs w:val="16"/>
          <w:rtl/>
        </w:rPr>
        <w:t>'</w:t>
      </w:r>
      <w:r w:rsidRPr="00EA5230">
        <w:rPr>
          <w:rFonts w:asciiTheme="minorBidi" w:hAnsiTheme="minorBidi" w:cs="Arial"/>
          <w:sz w:val="16"/>
          <w:szCs w:val="16"/>
          <w:rtl/>
        </w:rPr>
        <w:t xml:space="preserve"> עג)</w:t>
      </w:r>
      <w:r w:rsidRPr="00EA5230">
        <w:rPr>
          <w:rFonts w:asciiTheme="minorBidi" w:hAnsiTheme="minorBidi" w:cs="Arial" w:hint="cs"/>
          <w:rtl/>
        </w:rPr>
        <w:t>-</w:t>
      </w:r>
      <w:r w:rsidRPr="00EA5230">
        <w:rPr>
          <w:rFonts w:asciiTheme="minorBidi" w:hAnsiTheme="minorBidi" w:cs="Arial"/>
          <w:rtl/>
        </w:rPr>
        <w:t xml:space="preserve"> חולה השותה מימי חלב לרפואתו אפילו הוא רק חולה קצת א"צ להמתין אחר אכילת בשר יותר משעה ואחר שכבר בירך ברהמ"ז ישתה וירוח לו</w:t>
      </w:r>
      <w:r>
        <w:rPr>
          <w:rFonts w:asciiTheme="minorBidi" w:hAnsiTheme="minorBidi" w:cs="Arial" w:hint="cs"/>
          <w:rtl/>
        </w:rPr>
        <w:t>.</w:t>
      </w:r>
    </w:p>
    <w:p w14:paraId="561EF646" w14:textId="77777777" w:rsidR="002C39F4" w:rsidRPr="00EA5230" w:rsidRDefault="002C39F4" w:rsidP="002C39F4">
      <w:pPr>
        <w:rPr>
          <w:rFonts w:asciiTheme="minorBidi" w:hAnsiTheme="minorBidi"/>
          <w:rtl/>
        </w:rPr>
      </w:pPr>
    </w:p>
    <w:p w14:paraId="7CDABEDB" w14:textId="77777777" w:rsidR="002C39F4" w:rsidRPr="003024E5" w:rsidRDefault="002C39F4" w:rsidP="002C39F4">
      <w:pPr>
        <w:pStyle w:val="2"/>
        <w:rPr>
          <w:rFonts w:asciiTheme="minorBidi" w:hAnsiTheme="minorBidi"/>
          <w:rtl/>
        </w:rPr>
      </w:pPr>
      <w:r w:rsidRPr="003024E5">
        <w:rPr>
          <w:rFonts w:asciiTheme="minorBidi" w:hAnsiTheme="minorBidi"/>
          <w:rtl/>
        </w:rPr>
        <w:t>סעיף ב: אכילת בשר לאחר גבינה.</w:t>
      </w:r>
    </w:p>
    <w:p w14:paraId="6ED8D92F" w14:textId="77777777" w:rsidR="002C39F4" w:rsidRPr="003024E5" w:rsidRDefault="002C39F4" w:rsidP="002C39F4">
      <w:pPr>
        <w:rPr>
          <w:rFonts w:asciiTheme="minorBidi" w:hAnsiTheme="minorBidi"/>
          <w:rtl/>
        </w:rPr>
      </w:pPr>
      <w:r w:rsidRPr="003024E5">
        <w:rPr>
          <w:rFonts w:asciiTheme="minorBidi" w:hAnsiTheme="minorBidi"/>
          <w:b/>
          <w:bCs/>
          <w:rtl/>
        </w:rPr>
        <w:t>חולין קד ע"ב:</w:t>
      </w:r>
      <w:r w:rsidRPr="003024E5">
        <w:rPr>
          <w:rFonts w:asciiTheme="minorBidi" w:hAnsiTheme="minorBidi"/>
          <w:rtl/>
        </w:rPr>
        <w:t xml:space="preserve"> רב יצחק בריה דרב משרשיא איקלע לבי רב אשי, אייתו ליה גבינה - אכל, אייתו ליה בשרא </w:t>
      </w:r>
      <w:r>
        <w:rPr>
          <w:rFonts w:asciiTheme="minorBidi" w:hAnsiTheme="minorBidi" w:hint="cs"/>
          <w:rtl/>
        </w:rPr>
        <w:t xml:space="preserve">- </w:t>
      </w:r>
      <w:r w:rsidRPr="003024E5">
        <w:rPr>
          <w:rFonts w:asciiTheme="minorBidi" w:hAnsiTheme="minorBidi"/>
          <w:rtl/>
        </w:rPr>
        <w:t>אכל, ולא משא ידיה</w:t>
      </w:r>
      <w:r>
        <w:rPr>
          <w:rFonts w:asciiTheme="minorBidi" w:hAnsiTheme="minorBidi" w:hint="cs"/>
          <w:rtl/>
        </w:rPr>
        <w:t>.</w:t>
      </w:r>
      <w:r w:rsidRPr="003024E5">
        <w:rPr>
          <w:rFonts w:asciiTheme="minorBidi" w:hAnsiTheme="minorBidi"/>
          <w:rtl/>
        </w:rPr>
        <w:t xml:space="preserve"> אמרי ליה: והא תאני אגרא חמוה דרבי אבא עוף וגבינה נאכלין באפיקורן</w:t>
      </w:r>
      <w:r w:rsidRPr="003024E5">
        <w:rPr>
          <w:rStyle w:val="a7"/>
          <w:rFonts w:asciiTheme="minorBidi" w:hAnsiTheme="minorBidi"/>
          <w:rtl/>
        </w:rPr>
        <w:footnoteReference w:id="1143"/>
      </w:r>
      <w:r w:rsidRPr="003024E5">
        <w:rPr>
          <w:rFonts w:asciiTheme="minorBidi" w:hAnsiTheme="minorBidi"/>
          <w:rtl/>
        </w:rPr>
        <w:t>, עוף וגבינה</w:t>
      </w:r>
      <w:r>
        <w:rPr>
          <w:rFonts w:asciiTheme="minorBidi" w:hAnsiTheme="minorBidi" w:hint="cs"/>
          <w:rtl/>
        </w:rPr>
        <w:t xml:space="preserve"> </w:t>
      </w:r>
      <w:r w:rsidRPr="003024E5">
        <w:rPr>
          <w:rFonts w:asciiTheme="minorBidi" w:hAnsiTheme="minorBidi"/>
          <w:rtl/>
        </w:rPr>
        <w:t>- אין, בשר וגבינה</w:t>
      </w:r>
      <w:r>
        <w:rPr>
          <w:rFonts w:asciiTheme="minorBidi" w:hAnsiTheme="minorBidi" w:hint="cs"/>
          <w:rtl/>
        </w:rPr>
        <w:t xml:space="preserve"> </w:t>
      </w:r>
      <w:r w:rsidRPr="003024E5">
        <w:rPr>
          <w:rFonts w:asciiTheme="minorBidi" w:hAnsiTheme="minorBidi"/>
          <w:rtl/>
        </w:rPr>
        <w:t>- לא!</w:t>
      </w:r>
      <w:r w:rsidRPr="00833AE2">
        <w:rPr>
          <w:rStyle w:val="a7"/>
          <w:rFonts w:asciiTheme="minorBidi" w:hAnsiTheme="minorBidi"/>
          <w:rtl/>
        </w:rPr>
        <w:t xml:space="preserve"> </w:t>
      </w:r>
      <w:r w:rsidRPr="003024E5">
        <w:rPr>
          <w:rFonts w:asciiTheme="minorBidi" w:hAnsiTheme="minorBidi"/>
          <w:rtl/>
        </w:rPr>
        <w:t>אמר להו: הני מילי בליליא, אבל ביממא</w:t>
      </w:r>
      <w:r>
        <w:rPr>
          <w:rFonts w:asciiTheme="minorBidi" w:hAnsiTheme="minorBidi" w:hint="cs"/>
          <w:rtl/>
        </w:rPr>
        <w:t xml:space="preserve"> </w:t>
      </w:r>
      <w:r w:rsidRPr="003024E5">
        <w:rPr>
          <w:rFonts w:asciiTheme="minorBidi" w:hAnsiTheme="minorBidi"/>
          <w:rtl/>
        </w:rPr>
        <w:t xml:space="preserve">- הא חזינא. תניא, </w:t>
      </w:r>
      <w:r w:rsidRPr="003024E5">
        <w:rPr>
          <w:rFonts w:asciiTheme="minorBidi" w:hAnsiTheme="minorBidi"/>
          <w:u w:val="single"/>
          <w:rtl/>
        </w:rPr>
        <w:t>בית שמאי אומרים</w:t>
      </w:r>
      <w:r w:rsidRPr="003024E5">
        <w:rPr>
          <w:rFonts w:asciiTheme="minorBidi" w:hAnsiTheme="minorBidi"/>
          <w:rtl/>
        </w:rPr>
        <w:t xml:space="preserve">: מקנח, </w:t>
      </w:r>
      <w:r w:rsidRPr="003024E5">
        <w:rPr>
          <w:rFonts w:asciiTheme="minorBidi" w:hAnsiTheme="minorBidi"/>
          <w:u w:val="single"/>
          <w:rtl/>
        </w:rPr>
        <w:t>ובית הלל אומרים</w:t>
      </w:r>
      <w:r w:rsidRPr="003024E5">
        <w:rPr>
          <w:rFonts w:asciiTheme="minorBidi" w:hAnsiTheme="minorBidi"/>
          <w:rtl/>
        </w:rPr>
        <w:t xml:space="preserve">: מדיח. מאי מקנח ומאי מדיח?... </w:t>
      </w:r>
      <w:r w:rsidRPr="007D6602">
        <w:rPr>
          <w:rFonts w:asciiTheme="minorBidi" w:hAnsiTheme="minorBidi"/>
          <w:sz w:val="14"/>
          <w:szCs w:val="14"/>
          <w:rtl/>
        </w:rPr>
        <w:t>(קה.)</w:t>
      </w:r>
      <w:r w:rsidRPr="003024E5">
        <w:rPr>
          <w:rFonts w:asciiTheme="minorBidi" w:hAnsiTheme="minorBidi"/>
          <w:sz w:val="14"/>
          <w:szCs w:val="14"/>
          <w:rtl/>
        </w:rPr>
        <w:t xml:space="preserve"> </w:t>
      </w:r>
      <w:r w:rsidRPr="003024E5">
        <w:rPr>
          <w:rFonts w:asciiTheme="minorBidi" w:hAnsiTheme="minorBidi"/>
          <w:rtl/>
        </w:rPr>
        <w:t xml:space="preserve">אלא </w:t>
      </w:r>
      <w:r w:rsidRPr="003024E5">
        <w:rPr>
          <w:rFonts w:asciiTheme="minorBidi" w:hAnsiTheme="minorBidi"/>
          <w:u w:val="single"/>
          <w:rtl/>
        </w:rPr>
        <w:t>בית שמאי אומרים</w:t>
      </w:r>
      <w:r w:rsidRPr="003024E5">
        <w:rPr>
          <w:rFonts w:asciiTheme="minorBidi" w:hAnsiTheme="minorBidi"/>
          <w:rtl/>
        </w:rPr>
        <w:t xml:space="preserve">: מקנח והוא הדין למדיח, </w:t>
      </w:r>
      <w:r w:rsidRPr="003024E5">
        <w:rPr>
          <w:rFonts w:asciiTheme="minorBidi" w:hAnsiTheme="minorBidi"/>
          <w:u w:val="single"/>
          <w:rtl/>
        </w:rPr>
        <w:t>וב"ה אומרים</w:t>
      </w:r>
      <w:r w:rsidRPr="003024E5">
        <w:rPr>
          <w:rFonts w:asciiTheme="minorBidi" w:hAnsiTheme="minorBidi"/>
          <w:rtl/>
        </w:rPr>
        <w:t>: מדיח והוא הדין למקנח</w:t>
      </w:r>
      <w:r w:rsidRPr="003024E5">
        <w:rPr>
          <w:rStyle w:val="a7"/>
          <w:rFonts w:asciiTheme="minorBidi" w:hAnsiTheme="minorBidi"/>
          <w:rtl/>
        </w:rPr>
        <w:footnoteReference w:id="1144"/>
      </w:r>
      <w:r w:rsidRPr="003024E5">
        <w:rPr>
          <w:rFonts w:asciiTheme="minorBidi" w:hAnsiTheme="minorBidi"/>
          <w:rtl/>
        </w:rPr>
        <w:t>, מר אמר חדא ומר אמר חדא ולא פליגי. גופא,</w:t>
      </w:r>
      <w:r w:rsidRPr="007D6602">
        <w:rPr>
          <w:rFonts w:asciiTheme="minorBidi" w:hAnsiTheme="minorBidi"/>
          <w:rtl/>
        </w:rPr>
        <w:t xml:space="preserve"> </w:t>
      </w:r>
      <w:r w:rsidRPr="003024E5">
        <w:rPr>
          <w:rFonts w:asciiTheme="minorBidi" w:hAnsiTheme="minorBidi"/>
          <w:u w:val="single"/>
          <w:rtl/>
        </w:rPr>
        <w:t>אמר רבי זירא</w:t>
      </w:r>
      <w:r w:rsidRPr="003024E5">
        <w:rPr>
          <w:rFonts w:asciiTheme="minorBidi" w:hAnsiTheme="minorBidi"/>
          <w:rtl/>
        </w:rPr>
        <w:t>: אין קינוח הפה אלא בפת, והני מילי- בדחיטי, אבל בדשערי- לא</w:t>
      </w:r>
      <w:r w:rsidRPr="003024E5">
        <w:rPr>
          <w:rStyle w:val="a7"/>
          <w:rFonts w:asciiTheme="minorBidi" w:hAnsiTheme="minorBidi"/>
          <w:rtl/>
        </w:rPr>
        <w:footnoteReference w:id="1145"/>
      </w:r>
      <w:r w:rsidRPr="003024E5">
        <w:rPr>
          <w:rFonts w:asciiTheme="minorBidi" w:hAnsiTheme="minorBidi"/>
          <w:rtl/>
        </w:rPr>
        <w:t>, ודחיטי נמי לא אמרן אלא בקרירא, אבל בחמימא- משטר שטרי</w:t>
      </w:r>
      <w:r w:rsidRPr="003024E5">
        <w:rPr>
          <w:rStyle w:val="a7"/>
          <w:rFonts w:asciiTheme="minorBidi" w:hAnsiTheme="minorBidi"/>
          <w:rtl/>
        </w:rPr>
        <w:footnoteReference w:id="1146"/>
      </w:r>
      <w:r w:rsidRPr="003024E5">
        <w:rPr>
          <w:rFonts w:asciiTheme="minorBidi" w:hAnsiTheme="minorBidi"/>
          <w:rtl/>
        </w:rPr>
        <w:t>, והני מילי ברכיכא אבל באקושא</w:t>
      </w:r>
      <w:r w:rsidRPr="003024E5">
        <w:rPr>
          <w:rStyle w:val="a7"/>
          <w:rFonts w:asciiTheme="minorBidi" w:hAnsiTheme="minorBidi"/>
          <w:rtl/>
        </w:rPr>
        <w:footnoteReference w:id="1147"/>
      </w:r>
      <w:r w:rsidRPr="003024E5">
        <w:rPr>
          <w:rFonts w:asciiTheme="minorBidi" w:hAnsiTheme="minorBidi"/>
          <w:rtl/>
        </w:rPr>
        <w:t xml:space="preserve"> לא. והלכתא: בכל מילי הוי קינוח לבר מקמחא תמרי וירקא</w:t>
      </w:r>
      <w:r w:rsidRPr="003024E5">
        <w:rPr>
          <w:rStyle w:val="a7"/>
          <w:rFonts w:asciiTheme="minorBidi" w:hAnsiTheme="minorBidi"/>
          <w:rtl/>
        </w:rPr>
        <w:footnoteReference w:id="1148"/>
      </w:r>
      <w:r w:rsidRPr="003024E5">
        <w:rPr>
          <w:rFonts w:asciiTheme="minorBidi" w:hAnsiTheme="minorBidi"/>
          <w:rtl/>
        </w:rPr>
        <w:t xml:space="preserve">. </w:t>
      </w:r>
      <w:r w:rsidRPr="003024E5">
        <w:rPr>
          <w:rFonts w:asciiTheme="minorBidi" w:hAnsiTheme="minorBidi"/>
          <w:u w:val="single"/>
          <w:rtl/>
        </w:rPr>
        <w:t>בעא מיניה רב אסי מרבי יוחנן</w:t>
      </w:r>
      <w:r w:rsidRPr="003024E5">
        <w:rPr>
          <w:rFonts w:asciiTheme="minorBidi" w:hAnsiTheme="minorBidi"/>
          <w:rtl/>
        </w:rPr>
        <w:t xml:space="preserve">: כמה ישהה בין בשר לגבינה? </w:t>
      </w:r>
      <w:r w:rsidRPr="003024E5">
        <w:rPr>
          <w:rFonts w:asciiTheme="minorBidi" w:hAnsiTheme="minorBidi"/>
          <w:u w:val="single"/>
          <w:rtl/>
        </w:rPr>
        <w:t>א"ל</w:t>
      </w:r>
      <w:r w:rsidRPr="003024E5">
        <w:rPr>
          <w:rFonts w:asciiTheme="minorBidi" w:hAnsiTheme="minorBidi"/>
          <w:rtl/>
        </w:rPr>
        <w:t xml:space="preserve">: ולא כלום; איני, והא אמר רב חסדא: אכל בשר - אסור לאכול גבינה, גבינה - מותר לאכול בשר! אלא, כמה ישהה בין גבינה לבשר? </w:t>
      </w:r>
      <w:r w:rsidRPr="003024E5">
        <w:rPr>
          <w:rFonts w:asciiTheme="minorBidi" w:hAnsiTheme="minorBidi"/>
          <w:u w:val="single"/>
          <w:rtl/>
        </w:rPr>
        <w:t>א"ל</w:t>
      </w:r>
      <w:r w:rsidRPr="003024E5">
        <w:rPr>
          <w:rFonts w:asciiTheme="minorBidi" w:hAnsiTheme="minorBidi"/>
          <w:rtl/>
        </w:rPr>
        <w:t>: ולא כלום.</w:t>
      </w:r>
    </w:p>
    <w:p w14:paraId="1010C335" w14:textId="77777777" w:rsidR="002C39F4" w:rsidRPr="003024E5" w:rsidRDefault="002C39F4" w:rsidP="002C39F4">
      <w:pPr>
        <w:rPr>
          <w:rFonts w:asciiTheme="minorBidi" w:hAnsiTheme="minorBidi"/>
          <w:rtl/>
        </w:rPr>
      </w:pPr>
      <w:r w:rsidRPr="003024E5">
        <w:rPr>
          <w:rFonts w:asciiTheme="minorBidi" w:hAnsiTheme="minorBidi"/>
          <w:b/>
          <w:bCs/>
          <w:rtl/>
        </w:rPr>
        <w:t>זוהר משפטים קכה ע"א:</w:t>
      </w:r>
      <w:r w:rsidRPr="003024E5">
        <w:rPr>
          <w:rFonts w:asciiTheme="minorBidi" w:hAnsiTheme="minorBidi"/>
          <w:rtl/>
        </w:rPr>
        <w:t xml:space="preserve"> </w:t>
      </w:r>
      <w:r w:rsidRPr="006B6C36">
        <w:rPr>
          <w:rFonts w:asciiTheme="minorBidi" w:hAnsiTheme="minorBidi" w:cs="Arial"/>
          <w:rtl/>
        </w:rPr>
        <w:t>בגיני כך לא ייכול בשרא בחלבא כל זרעא קדישא</w:t>
      </w:r>
      <w:r>
        <w:rPr>
          <w:rFonts w:asciiTheme="minorBidi" w:hAnsiTheme="minorBidi" w:cs="Arial" w:hint="cs"/>
          <w:rtl/>
        </w:rPr>
        <w:t xml:space="preserve">... </w:t>
      </w:r>
      <w:r>
        <w:rPr>
          <w:rFonts w:asciiTheme="minorBidi" w:hAnsiTheme="minorBidi" w:hint="cs"/>
          <w:rtl/>
        </w:rPr>
        <w:t xml:space="preserve">תו </w:t>
      </w:r>
      <w:r w:rsidRPr="003024E5">
        <w:rPr>
          <w:rFonts w:asciiTheme="minorBidi" w:hAnsiTheme="minorBidi"/>
          <w:rtl/>
        </w:rPr>
        <w:t>אשכחן דכל מאן דאכיל האי מיכלא כחדא</w:t>
      </w:r>
      <w:r>
        <w:rPr>
          <w:rFonts w:asciiTheme="minorBidi" w:hAnsiTheme="minorBidi" w:hint="cs"/>
          <w:rtl/>
        </w:rPr>
        <w:t>,</w:t>
      </w:r>
      <w:r w:rsidRPr="003024E5">
        <w:rPr>
          <w:rFonts w:asciiTheme="minorBidi" w:hAnsiTheme="minorBidi"/>
          <w:rtl/>
        </w:rPr>
        <w:t xml:space="preserve"> או בשעתא חדא</w:t>
      </w:r>
      <w:r>
        <w:rPr>
          <w:rStyle w:val="a7"/>
          <w:rFonts w:asciiTheme="minorBidi" w:hAnsiTheme="minorBidi"/>
          <w:rtl/>
        </w:rPr>
        <w:footnoteReference w:id="1149"/>
      </w:r>
      <w:r>
        <w:rPr>
          <w:rFonts w:asciiTheme="minorBidi" w:hAnsiTheme="minorBidi" w:hint="cs"/>
          <w:rtl/>
        </w:rPr>
        <w:t>,</w:t>
      </w:r>
      <w:r w:rsidRPr="003024E5">
        <w:rPr>
          <w:rFonts w:asciiTheme="minorBidi" w:hAnsiTheme="minorBidi"/>
          <w:rtl/>
        </w:rPr>
        <w:t xml:space="preserve"> או בסעודתא חדא</w:t>
      </w:r>
      <w:r>
        <w:rPr>
          <w:rStyle w:val="a7"/>
          <w:rFonts w:asciiTheme="minorBidi" w:hAnsiTheme="minorBidi"/>
          <w:rtl/>
        </w:rPr>
        <w:footnoteReference w:id="1150"/>
      </w:r>
      <w:r>
        <w:rPr>
          <w:rFonts w:asciiTheme="minorBidi" w:hAnsiTheme="minorBidi" w:hint="cs"/>
          <w:rtl/>
        </w:rPr>
        <w:t>,</w:t>
      </w:r>
      <w:r w:rsidRPr="003024E5">
        <w:rPr>
          <w:rFonts w:asciiTheme="minorBidi" w:hAnsiTheme="minorBidi"/>
          <w:rtl/>
        </w:rPr>
        <w:t xml:space="preserve"> ארבעין יומין אתחזיא גדיא מקלסא בקלפוי לגבי אינון דלעילא וסייעתא מסאבא מתקרבין בהדיה וגרים לאתערא דינין בעלמא דינין דלא קדישין ואי אוליד בר באינון יומין אוזפין ליה נשמתא מסטרא אחרא דלא איהי קדישא. </w:t>
      </w:r>
    </w:p>
    <w:p w14:paraId="6E1D87B7" w14:textId="77777777" w:rsidR="002C39F4" w:rsidRPr="003024E5" w:rsidRDefault="002C39F4" w:rsidP="002C39F4">
      <w:pPr>
        <w:rPr>
          <w:rFonts w:asciiTheme="minorBidi" w:hAnsiTheme="minorBidi"/>
          <w:u w:val="single"/>
          <w:rtl/>
        </w:rPr>
      </w:pPr>
      <w:r w:rsidRPr="003024E5">
        <w:rPr>
          <w:rFonts w:asciiTheme="minorBidi" w:hAnsiTheme="minorBidi"/>
          <w:u w:val="single"/>
          <w:rtl/>
        </w:rPr>
        <w:t>אכילת בשר לאחר גבינה:</w:t>
      </w:r>
      <w:r w:rsidRPr="003024E5">
        <w:rPr>
          <w:rFonts w:asciiTheme="minorBidi" w:hAnsiTheme="minorBidi"/>
          <w:sz w:val="16"/>
          <w:szCs w:val="16"/>
          <w:rtl/>
        </w:rPr>
        <w:t xml:space="preserve">   (ב"י [או"ח סי' קעג], ודרכ"מ [יו"ד סי' פט אות ב])</w:t>
      </w:r>
    </w:p>
    <w:p w14:paraId="7DEC71E9" w14:textId="77777777" w:rsidR="002C39F4" w:rsidRDefault="002C39F4" w:rsidP="0032102C">
      <w:pPr>
        <w:pStyle w:val="a8"/>
        <w:numPr>
          <w:ilvl w:val="0"/>
          <w:numId w:val="151"/>
        </w:numPr>
        <w:rPr>
          <w:rFonts w:asciiTheme="minorBidi" w:hAnsiTheme="minorBidi"/>
        </w:rPr>
      </w:pPr>
      <w:r>
        <w:rPr>
          <w:rFonts w:asciiTheme="minorBidi" w:hAnsiTheme="minorBidi" w:hint="cs"/>
          <w:rtl/>
        </w:rPr>
        <w:t>רוב</w:t>
      </w:r>
      <w:r w:rsidRPr="003024E5">
        <w:rPr>
          <w:rFonts w:asciiTheme="minorBidi" w:hAnsiTheme="minorBidi"/>
          <w:rtl/>
        </w:rPr>
        <w:t xml:space="preserve"> הפוסקים- מותר מיד</w:t>
      </w:r>
      <w:r w:rsidRPr="003024E5">
        <w:rPr>
          <w:rStyle w:val="a7"/>
          <w:rFonts w:asciiTheme="minorBidi" w:hAnsiTheme="minorBidi"/>
          <w:rtl/>
        </w:rPr>
        <w:footnoteReference w:id="1151"/>
      </w:r>
      <w:r w:rsidRPr="003024E5">
        <w:rPr>
          <w:rFonts w:asciiTheme="minorBidi" w:hAnsiTheme="minorBidi"/>
          <w:rtl/>
        </w:rPr>
        <w:t xml:space="preserve"> </w:t>
      </w:r>
      <w:r w:rsidRPr="003024E5">
        <w:rPr>
          <w:rFonts w:asciiTheme="minorBidi" w:hAnsiTheme="minorBidi"/>
          <w:sz w:val="16"/>
          <w:szCs w:val="16"/>
          <w:rtl/>
        </w:rPr>
        <w:t>(רק צריך לנקות פיו/ידיו כמו שיתבאר בסמוך)</w:t>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72DAF05A" w14:textId="77777777" w:rsidR="002C39F4" w:rsidRDefault="002C39F4" w:rsidP="0032102C">
      <w:pPr>
        <w:pStyle w:val="a8"/>
        <w:numPr>
          <w:ilvl w:val="0"/>
          <w:numId w:val="151"/>
        </w:numPr>
        <w:rPr>
          <w:rFonts w:asciiTheme="minorBidi" w:hAnsiTheme="minorBidi"/>
        </w:rPr>
      </w:pPr>
      <w:r>
        <w:rPr>
          <w:rFonts w:asciiTheme="minorBidi" w:hAnsiTheme="minorBidi" w:cs="Arial" w:hint="cs"/>
          <w:rtl/>
        </w:rPr>
        <w:t>צרור המור</w:t>
      </w:r>
      <w:r>
        <w:rPr>
          <w:rStyle w:val="a7"/>
          <w:rFonts w:asciiTheme="minorBidi" w:hAnsiTheme="minorBidi" w:cs="Arial"/>
          <w:rtl/>
        </w:rPr>
        <w:footnoteReference w:id="1152"/>
      </w:r>
      <w:r w:rsidRPr="00BD7F9A">
        <w:rPr>
          <w:rFonts w:asciiTheme="minorBidi" w:hAnsiTheme="minorBidi" w:cs="Arial" w:hint="cs"/>
          <w:sz w:val="16"/>
          <w:szCs w:val="16"/>
          <w:rtl/>
        </w:rPr>
        <w:t xml:space="preserve"> (פרשת משפטים ד"ה ואמר ששת)</w:t>
      </w:r>
      <w:r>
        <w:rPr>
          <w:rFonts w:asciiTheme="minorBidi" w:hAnsiTheme="minorBidi" w:cs="Arial" w:hint="cs"/>
          <w:rtl/>
        </w:rPr>
        <w:t xml:space="preserve">- </w:t>
      </w:r>
      <w:r w:rsidRPr="00BD7F9A">
        <w:rPr>
          <w:rFonts w:asciiTheme="minorBidi" w:hAnsiTheme="minorBidi" w:cs="Arial"/>
          <w:rtl/>
        </w:rPr>
        <w:t>כבר כתב רשב"י ז"ל כי כמו שאסור חלב אחר בשר כך אסור לאכול בשר אחר חל</w:t>
      </w:r>
      <w:r>
        <w:rPr>
          <w:rFonts w:asciiTheme="minorBidi" w:hAnsiTheme="minorBidi" w:cs="Arial" w:hint="cs"/>
          <w:rtl/>
        </w:rPr>
        <w:t>ב</w:t>
      </w:r>
      <w:r>
        <w:rPr>
          <w:rStyle w:val="a7"/>
          <w:rFonts w:asciiTheme="minorBidi" w:hAnsiTheme="minorBidi" w:cs="Arial"/>
          <w:rtl/>
        </w:rPr>
        <w:footnoteReference w:id="1153"/>
      </w:r>
      <w:r>
        <w:rPr>
          <w:rFonts w:asciiTheme="minorBidi" w:hAnsiTheme="minorBidi" w:cs="Arial" w:hint="cs"/>
          <w:rtl/>
        </w:rPr>
        <w:t>,</w:t>
      </w:r>
      <w:r w:rsidRPr="00BD7F9A">
        <w:rPr>
          <w:rFonts w:asciiTheme="minorBidi" w:hAnsiTheme="minorBidi" w:cs="Arial"/>
          <w:rtl/>
        </w:rPr>
        <w:t xml:space="preserve"> ודינם שוה לענין השיעור</w:t>
      </w:r>
      <w:r>
        <w:rPr>
          <w:rFonts w:asciiTheme="minorBidi" w:hAnsiTheme="minorBidi" w:cs="Arial" w:hint="cs"/>
          <w:rtl/>
        </w:rPr>
        <w:t>,</w:t>
      </w:r>
      <w:r w:rsidRPr="00BD7F9A">
        <w:rPr>
          <w:rFonts w:asciiTheme="minorBidi" w:hAnsiTheme="minorBidi" w:cs="Arial"/>
          <w:rtl/>
        </w:rPr>
        <w:t xml:space="preserve"> שהוא עד שיתעכל המזון שבמיעיו</w:t>
      </w:r>
      <w:r>
        <w:rPr>
          <w:rFonts w:asciiTheme="minorBidi" w:hAnsiTheme="minorBidi" w:cs="Arial" w:hint="cs"/>
          <w:rtl/>
        </w:rPr>
        <w:t>,</w:t>
      </w:r>
      <w:r w:rsidRPr="00BD7F9A">
        <w:rPr>
          <w:rFonts w:asciiTheme="minorBidi" w:hAnsiTheme="minorBidi" w:cs="Arial"/>
          <w:rtl/>
        </w:rPr>
        <w:t xml:space="preserve"> שהם כמו שש שעות שהוא זמן מסעודה לסעודה</w:t>
      </w:r>
      <w:r>
        <w:rPr>
          <w:rStyle w:val="a7"/>
          <w:rFonts w:asciiTheme="minorBidi" w:hAnsiTheme="minorBidi" w:cs="Arial"/>
          <w:rtl/>
        </w:rPr>
        <w:footnoteReference w:id="1154"/>
      </w:r>
      <w:r w:rsidRPr="00BD7F9A">
        <w:rPr>
          <w:rFonts w:asciiTheme="minorBidi" w:hAnsiTheme="minorBidi" w:cs="Arial"/>
          <w:rtl/>
        </w:rPr>
        <w:t>.</w:t>
      </w:r>
    </w:p>
    <w:p w14:paraId="54439E83" w14:textId="77777777" w:rsidR="002C39F4" w:rsidRPr="003024E5" w:rsidRDefault="002C39F4" w:rsidP="0032102C">
      <w:pPr>
        <w:pStyle w:val="a8"/>
        <w:numPr>
          <w:ilvl w:val="0"/>
          <w:numId w:val="151"/>
        </w:numPr>
        <w:rPr>
          <w:rFonts w:asciiTheme="minorBidi" w:hAnsiTheme="minorBidi"/>
        </w:rPr>
      </w:pPr>
      <w:r w:rsidRPr="003024E5">
        <w:rPr>
          <w:rFonts w:asciiTheme="minorBidi" w:hAnsiTheme="minorBidi"/>
          <w:rtl/>
        </w:rPr>
        <w:t xml:space="preserve">מהר"ם </w:t>
      </w:r>
      <w:r w:rsidRPr="003024E5">
        <w:rPr>
          <w:rFonts w:asciiTheme="minorBidi" w:hAnsiTheme="minorBidi"/>
          <w:sz w:val="16"/>
          <w:szCs w:val="16"/>
          <w:rtl/>
        </w:rPr>
        <w:t>(ד"פ סי' תרטו, הביאו</w:t>
      </w:r>
      <w:r>
        <w:rPr>
          <w:rFonts w:asciiTheme="minorBidi" w:hAnsiTheme="minorBidi" w:hint="cs"/>
          <w:sz w:val="16"/>
          <w:szCs w:val="16"/>
          <w:rtl/>
        </w:rPr>
        <w:t>הו</w:t>
      </w:r>
      <w:r w:rsidRPr="003024E5">
        <w:rPr>
          <w:rFonts w:asciiTheme="minorBidi" w:hAnsiTheme="minorBidi"/>
          <w:sz w:val="16"/>
          <w:szCs w:val="16"/>
          <w:rtl/>
        </w:rPr>
        <w:t xml:space="preserve"> המרדכי </w:t>
      </w:r>
      <w:r w:rsidRPr="003024E5">
        <w:rPr>
          <w:rFonts w:asciiTheme="minorBidi" w:hAnsiTheme="minorBidi"/>
          <w:sz w:val="14"/>
          <w:szCs w:val="14"/>
          <w:rtl/>
        </w:rPr>
        <w:t>[חולין סי' תרפז]</w:t>
      </w:r>
      <w:r>
        <w:rPr>
          <w:rFonts w:asciiTheme="minorBidi" w:hAnsiTheme="minorBidi" w:hint="cs"/>
          <w:sz w:val="16"/>
          <w:szCs w:val="16"/>
          <w:rtl/>
        </w:rPr>
        <w:t xml:space="preserve"> והג"א </w:t>
      </w:r>
      <w:r w:rsidRPr="0074067E">
        <w:rPr>
          <w:rFonts w:asciiTheme="minorBidi" w:hAnsiTheme="minorBidi" w:hint="cs"/>
          <w:sz w:val="14"/>
          <w:szCs w:val="14"/>
          <w:rtl/>
        </w:rPr>
        <w:t>[חולין פ"ח סי' ה]</w:t>
      </w:r>
      <w:r w:rsidRPr="003024E5">
        <w:rPr>
          <w:rFonts w:asciiTheme="minorBidi" w:hAnsiTheme="minorBidi"/>
          <w:sz w:val="16"/>
          <w:szCs w:val="16"/>
          <w:rtl/>
        </w:rPr>
        <w:t>)</w:t>
      </w:r>
      <w:r w:rsidRPr="003024E5">
        <w:rPr>
          <w:rFonts w:asciiTheme="minorBidi" w:hAnsiTheme="minorBidi"/>
          <w:rtl/>
        </w:rPr>
        <w:t xml:space="preserve">- </w:t>
      </w:r>
      <w:r w:rsidRPr="006B6C36">
        <w:rPr>
          <w:rFonts w:asciiTheme="minorBidi" w:hAnsiTheme="minorBidi" w:cs="Arial"/>
          <w:rtl/>
        </w:rPr>
        <w:t>ששאל אדוני ששמעת דאני נוהג שלא לאכול בשר בהמה וחיה אחר גבינה ומיקל בבשר עוף בימי חורפי הייתי מתלוצץ בבני אדם שהיו עושי' כן ואדרבא שרא לי מורי היה נראה בעיני כמו מינות</w:t>
      </w:r>
      <w:r>
        <w:rPr>
          <w:rFonts w:asciiTheme="minorBidi" w:hAnsiTheme="minorBidi" w:cs="Arial" w:hint="cs"/>
          <w:rtl/>
        </w:rPr>
        <w:t>,</w:t>
      </w:r>
      <w:r w:rsidRPr="006B6C36">
        <w:rPr>
          <w:rFonts w:asciiTheme="minorBidi" w:hAnsiTheme="minorBidi" w:cs="Arial"/>
          <w:rtl/>
        </w:rPr>
        <w:t xml:space="preserve"> עד שפעם אחת מסעודה לסעודה מצאתי גבינה בין שיני גזרתי להחמיר על עצמי בבשר אחר גבינה כמו גבינה אחר בשר</w:t>
      </w:r>
      <w:r>
        <w:rPr>
          <w:rFonts w:asciiTheme="minorBidi" w:hAnsiTheme="minorBidi" w:cs="Arial" w:hint="cs"/>
          <w:rtl/>
        </w:rPr>
        <w:t>,</w:t>
      </w:r>
      <w:r w:rsidRPr="006B6C36">
        <w:rPr>
          <w:rFonts w:asciiTheme="minorBidi" w:hAnsiTheme="minorBidi" w:cs="Arial"/>
          <w:rtl/>
        </w:rPr>
        <w:t xml:space="preserve"> ואין בדבר זה כחולק על התלמוד ולא כמוסיף שהוא גורע בפ</w:t>
      </w:r>
      <w:r>
        <w:rPr>
          <w:rFonts w:asciiTheme="minorBidi" w:hAnsiTheme="minorBidi" w:cs="Arial" w:hint="cs"/>
          <w:rtl/>
        </w:rPr>
        <w:t>כ"ה</w:t>
      </w:r>
      <w:r w:rsidRPr="006B6C36">
        <w:rPr>
          <w:rFonts w:asciiTheme="minorBidi" w:hAnsiTheme="minorBidi" w:cs="Arial"/>
          <w:rtl/>
        </w:rPr>
        <w:t xml:space="preserve"> </w:t>
      </w:r>
      <w:r w:rsidRPr="0074067E">
        <w:rPr>
          <w:rFonts w:asciiTheme="minorBidi" w:hAnsiTheme="minorBidi" w:cs="Arial"/>
          <w:sz w:val="16"/>
          <w:szCs w:val="16"/>
          <w:rtl/>
        </w:rPr>
        <w:t>(קה</w:t>
      </w:r>
      <w:r w:rsidRPr="0074067E">
        <w:rPr>
          <w:rFonts w:asciiTheme="minorBidi" w:hAnsiTheme="minorBidi" w:cs="Arial" w:hint="cs"/>
          <w:sz w:val="16"/>
          <w:szCs w:val="16"/>
          <w:rtl/>
        </w:rPr>
        <w:t>.</w:t>
      </w:r>
      <w:r w:rsidRPr="0074067E">
        <w:rPr>
          <w:rFonts w:asciiTheme="minorBidi" w:hAnsiTheme="minorBidi" w:cs="Arial"/>
          <w:sz w:val="16"/>
          <w:szCs w:val="16"/>
          <w:rtl/>
        </w:rPr>
        <w:t xml:space="preserve">) </w:t>
      </w:r>
      <w:r w:rsidRPr="006B6C36">
        <w:rPr>
          <w:rFonts w:asciiTheme="minorBidi" w:hAnsiTheme="minorBidi" w:cs="Arial"/>
          <w:rtl/>
        </w:rPr>
        <w:t>אנא להא מלתא כחלא בר חמרא דאלו אבא כדהוי אכל בישרא האידנא לא הוי אכיל גבינתא עד למחר כו'</w:t>
      </w:r>
      <w:r>
        <w:rPr>
          <w:rFonts w:asciiTheme="minorBidi" w:hAnsiTheme="minorBidi" w:cs="Arial" w:hint="cs"/>
          <w:rtl/>
        </w:rPr>
        <w:t>,</w:t>
      </w:r>
      <w:r w:rsidRPr="006B6C36">
        <w:rPr>
          <w:rFonts w:asciiTheme="minorBidi" w:hAnsiTheme="minorBidi" w:cs="Arial"/>
          <w:rtl/>
        </w:rPr>
        <w:t xml:space="preserve"> דכל חד מצי לאחמורי אנפשי' לעשות משמרת</w:t>
      </w:r>
      <w:r>
        <w:rPr>
          <w:rFonts w:asciiTheme="minorBidi" w:hAnsiTheme="minorBidi" w:cs="Arial" w:hint="cs"/>
          <w:rtl/>
        </w:rPr>
        <w:t>,</w:t>
      </w:r>
      <w:r w:rsidRPr="006B6C36">
        <w:rPr>
          <w:rFonts w:asciiTheme="minorBidi" w:hAnsiTheme="minorBidi" w:cs="Arial"/>
          <w:rtl/>
        </w:rPr>
        <w:t xml:space="preserve"> ובבשר עוף אני מיקל כיון דבשר עוף וגבינה נאכלי' באפקורן </w:t>
      </w:r>
      <w:r w:rsidRPr="0074067E">
        <w:rPr>
          <w:rFonts w:asciiTheme="minorBidi" w:hAnsiTheme="minorBidi" w:cs="Arial"/>
          <w:sz w:val="16"/>
          <w:szCs w:val="16"/>
          <w:rtl/>
        </w:rPr>
        <w:t>(</w:t>
      </w:r>
      <w:r w:rsidRPr="0074067E">
        <w:rPr>
          <w:rFonts w:asciiTheme="minorBidi" w:hAnsiTheme="minorBidi" w:cs="Arial" w:hint="cs"/>
          <w:sz w:val="16"/>
          <w:szCs w:val="16"/>
          <w:rtl/>
        </w:rPr>
        <w:t>קד:</w:t>
      </w:r>
      <w:r w:rsidRPr="0074067E">
        <w:rPr>
          <w:rFonts w:asciiTheme="minorBidi" w:hAnsiTheme="minorBidi" w:cs="Arial"/>
          <w:sz w:val="16"/>
          <w:szCs w:val="16"/>
          <w:rtl/>
        </w:rPr>
        <w:t>)</w:t>
      </w:r>
      <w:r w:rsidRPr="003024E5">
        <w:rPr>
          <w:rStyle w:val="a7"/>
          <w:rFonts w:asciiTheme="minorBidi" w:hAnsiTheme="minorBidi"/>
          <w:rtl/>
        </w:rPr>
        <w:footnoteReference w:id="1155"/>
      </w:r>
      <w:r w:rsidRPr="003024E5">
        <w:rPr>
          <w:rFonts w:asciiTheme="minorBidi" w:hAnsiTheme="minorBidi"/>
          <w:rtl/>
        </w:rPr>
        <w:t>.</w:t>
      </w:r>
    </w:p>
    <w:p w14:paraId="4124DE22" w14:textId="77777777" w:rsidR="002C39F4" w:rsidRPr="003024E5" w:rsidRDefault="002C39F4" w:rsidP="0032102C">
      <w:pPr>
        <w:pStyle w:val="a8"/>
        <w:numPr>
          <w:ilvl w:val="0"/>
          <w:numId w:val="151"/>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מ ד"ח וד"י)</w:t>
      </w:r>
      <w:r w:rsidRPr="003024E5">
        <w:rPr>
          <w:rFonts w:asciiTheme="minorBidi" w:hAnsiTheme="minorBidi"/>
          <w:rtl/>
        </w:rPr>
        <w:t>- אכל גבינה רך קודם שעברו עליו ששה חדשים או שאר מיני חלב מותר לאכול בשר מיד באותה סעודה ע"י קינוח והדחה לידיו ולפיו, אבל אם אוכל גבינה ישנה לאחר שעברו עליו ששה חדשים</w:t>
      </w:r>
      <w:r>
        <w:rPr>
          <w:rFonts w:asciiTheme="minorBidi" w:hAnsiTheme="minorBidi" w:hint="cs"/>
          <w:rtl/>
        </w:rPr>
        <w:t>,</w:t>
      </w:r>
      <w:r w:rsidRPr="003024E5">
        <w:rPr>
          <w:rFonts w:asciiTheme="minorBidi" w:hAnsiTheme="minorBidi"/>
          <w:rtl/>
        </w:rPr>
        <w:t xml:space="preserve"> או גבינה המתולעת</w:t>
      </w:r>
      <w:r>
        <w:rPr>
          <w:rFonts w:asciiTheme="minorBidi" w:hAnsiTheme="minorBidi" w:hint="cs"/>
          <w:rtl/>
        </w:rPr>
        <w:t>,</w:t>
      </w:r>
      <w:r w:rsidRPr="003024E5">
        <w:rPr>
          <w:rFonts w:asciiTheme="minorBidi" w:hAnsiTheme="minorBidi"/>
          <w:rtl/>
        </w:rPr>
        <w:t xml:space="preserve"> אע"פ שאין איסור בדבר מ"מ מידת חסידות שלא לאכול אחריו בשר באותה סעודה כתשובת מהר"ם.</w:t>
      </w:r>
    </w:p>
    <w:p w14:paraId="3E6A9053" w14:textId="77777777" w:rsidR="002C39F4" w:rsidRPr="003024E5" w:rsidRDefault="002C39F4" w:rsidP="002C39F4">
      <w:pPr>
        <w:ind w:left="360"/>
        <w:rPr>
          <w:rFonts w:asciiTheme="minorBidi" w:hAnsiTheme="minorBidi"/>
          <w:u w:val="dotted"/>
          <w:rtl/>
        </w:rPr>
      </w:pPr>
      <w:r w:rsidRPr="003024E5">
        <w:rPr>
          <w:rFonts w:asciiTheme="minorBidi" w:hAnsiTheme="minorBidi"/>
          <w:u w:val="dotted"/>
          <w:rtl/>
        </w:rPr>
        <w:t>מה צריך לעשות כדי לאכול בשר מיד לאחר גבינה:</w:t>
      </w:r>
    </w:p>
    <w:p w14:paraId="192F8F0E" w14:textId="77777777" w:rsidR="002C39F4" w:rsidRPr="003024E5" w:rsidRDefault="002C39F4" w:rsidP="0032102C">
      <w:pPr>
        <w:pStyle w:val="a8"/>
        <w:numPr>
          <w:ilvl w:val="0"/>
          <w:numId w:val="151"/>
        </w:numPr>
        <w:rPr>
          <w:rFonts w:asciiTheme="minorBidi" w:hAnsiTheme="minorBidi"/>
        </w:rPr>
      </w:pPr>
      <w:r w:rsidRPr="003024E5">
        <w:rPr>
          <w:rFonts w:asciiTheme="minorBidi" w:hAnsiTheme="minorBidi"/>
          <w:rtl/>
        </w:rPr>
        <w:t>ר"ת ובה"ג</w:t>
      </w:r>
      <w:r w:rsidRPr="003024E5">
        <w:rPr>
          <w:rStyle w:val="a7"/>
          <w:rFonts w:asciiTheme="minorBidi" w:hAnsiTheme="minorBidi"/>
          <w:rtl/>
        </w:rPr>
        <w:footnoteReference w:id="1156"/>
      </w:r>
      <w:r w:rsidRPr="003024E5">
        <w:rPr>
          <w:rFonts w:asciiTheme="minorBidi" w:hAnsiTheme="minorBidi"/>
          <w:rtl/>
        </w:rPr>
        <w:t xml:space="preserve"> </w:t>
      </w:r>
      <w:r w:rsidRPr="003024E5">
        <w:rPr>
          <w:rFonts w:asciiTheme="minorBidi" w:hAnsiTheme="minorBidi"/>
          <w:sz w:val="16"/>
          <w:szCs w:val="16"/>
          <w:rtl/>
        </w:rPr>
        <w:t>(ברכות פ"ו ט ע"ג)</w:t>
      </w:r>
      <w:r w:rsidRPr="003024E5">
        <w:rPr>
          <w:rFonts w:asciiTheme="minorBidi" w:hAnsiTheme="minorBidi"/>
          <w:rtl/>
        </w:rPr>
        <w:t xml:space="preserve">- האוכל גבינה מותר לאכול בשר מיד אף בלא קינוח ונטילה. </w:t>
      </w:r>
    </w:p>
    <w:p w14:paraId="508FC9D3" w14:textId="77777777" w:rsidR="002C39F4" w:rsidRPr="005F71C4" w:rsidRDefault="002C39F4" w:rsidP="0032102C">
      <w:pPr>
        <w:pStyle w:val="a8"/>
        <w:numPr>
          <w:ilvl w:val="0"/>
          <w:numId w:val="151"/>
        </w:numPr>
        <w:rPr>
          <w:rFonts w:asciiTheme="minorBidi" w:hAnsiTheme="minorBidi"/>
          <w:rtl/>
        </w:rPr>
      </w:pPr>
      <w:r w:rsidRPr="003024E5">
        <w:rPr>
          <w:rFonts w:asciiTheme="minorBidi" w:hAnsiTheme="minorBidi"/>
          <w:rtl/>
        </w:rPr>
        <w:t xml:space="preserve">רשב"א </w:t>
      </w:r>
      <w:r w:rsidRPr="003024E5">
        <w:rPr>
          <w:rFonts w:asciiTheme="minorBidi" w:hAnsiTheme="minorBidi"/>
          <w:sz w:val="16"/>
          <w:szCs w:val="16"/>
          <w:rtl/>
        </w:rPr>
        <w:t>(תוה"א ב"ג ש"ד)</w:t>
      </w:r>
      <w:r w:rsidRPr="003024E5">
        <w:rPr>
          <w:rFonts w:asciiTheme="minorBidi" w:hAnsiTheme="minorBidi"/>
          <w:rtl/>
        </w:rPr>
        <w:t xml:space="preserve">- צריך לקנח או להדיח פיו, ואם לילה הוא רוחץ ידיו, ואם ביום הוא אינו צריך לרחוץ ידיו. </w:t>
      </w:r>
    </w:p>
    <w:p w14:paraId="373E9744" w14:textId="77777777" w:rsidR="002C39F4" w:rsidRPr="003024E5" w:rsidRDefault="002C39F4" w:rsidP="0032102C">
      <w:pPr>
        <w:pStyle w:val="a8"/>
        <w:numPr>
          <w:ilvl w:val="0"/>
          <w:numId w:val="151"/>
        </w:numPr>
        <w:rPr>
          <w:rFonts w:asciiTheme="minorBidi" w:hAnsiTheme="minorBidi"/>
        </w:rPr>
      </w:pPr>
      <w:r w:rsidRPr="003024E5">
        <w:rPr>
          <w:rFonts w:asciiTheme="minorBidi" w:hAnsiTheme="minorBidi"/>
          <w:rtl/>
        </w:rPr>
        <w:t>טור- לקנח ולהדיח פיו</w:t>
      </w:r>
      <w:r w:rsidRPr="003024E5">
        <w:rPr>
          <w:rStyle w:val="a7"/>
          <w:rFonts w:asciiTheme="minorBidi" w:hAnsiTheme="minorBidi"/>
          <w:rtl/>
        </w:rPr>
        <w:footnoteReference w:id="1157"/>
      </w:r>
      <w:r w:rsidRPr="003024E5">
        <w:rPr>
          <w:rFonts w:asciiTheme="minorBidi" w:hAnsiTheme="minorBidi"/>
          <w:rtl/>
        </w:rPr>
        <w:t>, וא"צ לרחוץ ידיו, ואם הוא לילה שאינו יכול לעיין היטב צריך לרחצם</w:t>
      </w:r>
      <w:r>
        <w:rPr>
          <w:rStyle w:val="a7"/>
          <w:rFonts w:asciiTheme="minorBidi" w:hAnsiTheme="minorBidi"/>
          <w:rtl/>
        </w:rPr>
        <w:footnoteReference w:id="1158"/>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773DEFF4" w14:textId="77777777" w:rsidR="002C39F4" w:rsidRPr="003024E5" w:rsidRDefault="002C39F4" w:rsidP="0032102C">
      <w:pPr>
        <w:pStyle w:val="a8"/>
        <w:numPr>
          <w:ilvl w:val="0"/>
          <w:numId w:val="151"/>
        </w:numPr>
        <w:rPr>
          <w:rFonts w:asciiTheme="minorBidi" w:hAnsiTheme="minorBidi"/>
        </w:rPr>
      </w:pPr>
      <w:r w:rsidRPr="003024E5">
        <w:rPr>
          <w:rFonts w:asciiTheme="minorBidi" w:hAnsiTheme="minorBidi"/>
          <w:rtl/>
        </w:rPr>
        <w:t>רמב"ם</w:t>
      </w:r>
      <w:r w:rsidRPr="003024E5">
        <w:rPr>
          <w:rFonts w:asciiTheme="minorBidi" w:hAnsiTheme="minorBidi"/>
          <w:sz w:val="16"/>
          <w:szCs w:val="16"/>
          <w:rtl/>
        </w:rPr>
        <w:t xml:space="preserve"> (פ"ט הכ"ו-כ"ז)</w:t>
      </w:r>
      <w:r w:rsidRPr="003024E5">
        <w:rPr>
          <w:rFonts w:asciiTheme="minorBidi" w:hAnsiTheme="minorBidi"/>
          <w:rtl/>
        </w:rPr>
        <w:t>- צריך שידיח ידיו ויקנח פיו בין הגבינה ובין הבשר</w:t>
      </w:r>
      <w:r w:rsidRPr="003024E5">
        <w:rPr>
          <w:rStyle w:val="a7"/>
          <w:rFonts w:asciiTheme="minorBidi" w:hAnsiTheme="minorBidi"/>
          <w:rtl/>
        </w:rPr>
        <w:footnoteReference w:id="1159"/>
      </w:r>
      <w:r w:rsidRPr="003024E5">
        <w:rPr>
          <w:rFonts w:asciiTheme="minorBidi" w:hAnsiTheme="minorBidi"/>
          <w:rtl/>
        </w:rPr>
        <w:t>, ובמה מקנח פיו בפת או בפירות שלועסן ובולען או פולטן, ובכל מקנחין את הפה חוץ מתמרים או קמח או ירקות שאין אלו מקנחין יפה.</w:t>
      </w:r>
    </w:p>
    <w:p w14:paraId="1E2B6532" w14:textId="77777777" w:rsidR="002C39F4" w:rsidRPr="003024E5" w:rsidRDefault="002C39F4" w:rsidP="0032102C">
      <w:pPr>
        <w:pStyle w:val="a8"/>
        <w:numPr>
          <w:ilvl w:val="0"/>
          <w:numId w:val="151"/>
        </w:numPr>
        <w:rPr>
          <w:rFonts w:asciiTheme="minorBidi" w:hAnsiTheme="minorBidi"/>
          <w:rtl/>
        </w:rPr>
      </w:pPr>
      <w:r>
        <w:rPr>
          <w:rFonts w:asciiTheme="minorBidi" w:hAnsiTheme="minorBidi" w:hint="cs"/>
          <w:rtl/>
        </w:rPr>
        <w:t xml:space="preserve">ר"פ </w:t>
      </w:r>
      <w:r w:rsidRPr="00C233C9">
        <w:rPr>
          <w:rFonts w:asciiTheme="minorBidi" w:hAnsiTheme="minorBidi"/>
          <w:sz w:val="16"/>
          <w:szCs w:val="16"/>
          <w:rtl/>
        </w:rPr>
        <w:t>(סי' ריג אות ז</w:t>
      </w:r>
      <w:r>
        <w:rPr>
          <w:rFonts w:asciiTheme="minorBidi" w:hAnsiTheme="minorBidi" w:hint="cs"/>
          <w:sz w:val="16"/>
          <w:szCs w:val="16"/>
          <w:rtl/>
        </w:rPr>
        <w:t>, הביאוהו</w:t>
      </w:r>
      <w:r w:rsidRPr="00C233C9">
        <w:rPr>
          <w:rFonts w:asciiTheme="minorBidi" w:hAnsiTheme="minorBidi"/>
          <w:sz w:val="16"/>
          <w:szCs w:val="16"/>
          <w:rtl/>
        </w:rPr>
        <w:t xml:space="preserve"> </w:t>
      </w:r>
      <w:r w:rsidRPr="003024E5">
        <w:rPr>
          <w:rFonts w:asciiTheme="minorBidi" w:hAnsiTheme="minorBidi"/>
          <w:sz w:val="16"/>
          <w:szCs w:val="16"/>
          <w:rtl/>
        </w:rPr>
        <w:t xml:space="preserve">הטור </w:t>
      </w:r>
      <w:r>
        <w:rPr>
          <w:rFonts w:asciiTheme="minorBidi" w:hAnsiTheme="minorBidi" w:hint="cs"/>
          <w:sz w:val="16"/>
          <w:szCs w:val="16"/>
          <w:rtl/>
        </w:rPr>
        <w:t>[</w:t>
      </w:r>
      <w:r w:rsidRPr="003024E5">
        <w:rPr>
          <w:rFonts w:asciiTheme="minorBidi" w:hAnsiTheme="minorBidi"/>
          <w:sz w:val="16"/>
          <w:szCs w:val="16"/>
          <w:rtl/>
        </w:rPr>
        <w:t>ביו"ד</w:t>
      </w:r>
      <w:r>
        <w:rPr>
          <w:rFonts w:asciiTheme="minorBidi" w:hAnsiTheme="minorBidi" w:hint="cs"/>
          <w:sz w:val="16"/>
          <w:szCs w:val="16"/>
          <w:rtl/>
        </w:rPr>
        <w:t>]</w:t>
      </w:r>
      <w:r w:rsidRPr="00C233C9">
        <w:rPr>
          <w:rFonts w:asciiTheme="minorBidi" w:hAnsiTheme="minorBidi"/>
          <w:sz w:val="16"/>
          <w:szCs w:val="16"/>
          <w:rtl/>
        </w:rPr>
        <w:t xml:space="preserve"> </w:t>
      </w:r>
      <w:r>
        <w:rPr>
          <w:rFonts w:asciiTheme="minorBidi" w:hAnsiTheme="minorBidi" w:hint="cs"/>
          <w:sz w:val="16"/>
          <w:szCs w:val="16"/>
          <w:rtl/>
        </w:rPr>
        <w:t>ו</w:t>
      </w:r>
      <w:r w:rsidRPr="00C233C9">
        <w:rPr>
          <w:rFonts w:asciiTheme="minorBidi" w:hAnsiTheme="minorBidi"/>
          <w:sz w:val="16"/>
          <w:szCs w:val="16"/>
          <w:rtl/>
        </w:rPr>
        <w:t xml:space="preserve">ההגה"מ </w:t>
      </w:r>
      <w:r>
        <w:rPr>
          <w:rFonts w:asciiTheme="minorBidi" w:hAnsiTheme="minorBidi" w:hint="cs"/>
          <w:sz w:val="16"/>
          <w:szCs w:val="16"/>
          <w:rtl/>
        </w:rPr>
        <w:t>[</w:t>
      </w:r>
      <w:r w:rsidRPr="00C233C9">
        <w:rPr>
          <w:rFonts w:asciiTheme="minorBidi" w:hAnsiTheme="minorBidi"/>
          <w:sz w:val="16"/>
          <w:szCs w:val="16"/>
          <w:rtl/>
        </w:rPr>
        <w:t>פ"ט הכ"ו</w:t>
      </w:r>
      <w:r>
        <w:rPr>
          <w:rFonts w:asciiTheme="minorBidi" w:hAnsiTheme="minorBidi" w:hint="cs"/>
          <w:sz w:val="16"/>
          <w:szCs w:val="16"/>
          <w:rtl/>
        </w:rPr>
        <w:t>]</w:t>
      </w:r>
      <w:r w:rsidRPr="003024E5">
        <w:rPr>
          <w:rFonts w:asciiTheme="minorBidi" w:hAnsiTheme="minorBidi"/>
          <w:sz w:val="16"/>
          <w:szCs w:val="16"/>
          <w:rtl/>
        </w:rPr>
        <w:t>)</w:t>
      </w:r>
      <w:r w:rsidRPr="003024E5">
        <w:rPr>
          <w:rFonts w:asciiTheme="minorBidi" w:hAnsiTheme="minorBidi"/>
          <w:rtl/>
        </w:rPr>
        <w:t xml:space="preserve">- </w:t>
      </w:r>
      <w:r w:rsidRPr="008F717C">
        <w:rPr>
          <w:rFonts w:asciiTheme="minorBidi" w:hAnsiTheme="minorBidi" w:cs="Arial"/>
          <w:rtl/>
        </w:rPr>
        <w:t xml:space="preserve">נכון להחמיר </w:t>
      </w:r>
      <w:r>
        <w:rPr>
          <w:rFonts w:asciiTheme="minorBidi" w:hAnsiTheme="minorBidi" w:cs="Arial" w:hint="cs"/>
          <w:rtl/>
        </w:rPr>
        <w:t xml:space="preserve">ליטול הידיים </w:t>
      </w:r>
      <w:r w:rsidRPr="008F717C">
        <w:rPr>
          <w:rFonts w:asciiTheme="minorBidi" w:hAnsiTheme="minorBidi" w:cs="Arial"/>
          <w:rtl/>
        </w:rPr>
        <w:t>אפילו ביממ</w:t>
      </w:r>
      <w:r>
        <w:rPr>
          <w:rFonts w:asciiTheme="minorBidi" w:hAnsiTheme="minorBidi" w:cs="Arial" w:hint="cs"/>
          <w:rtl/>
        </w:rPr>
        <w:t>א</w:t>
      </w:r>
      <w:r w:rsidRPr="008F717C">
        <w:rPr>
          <w:rFonts w:asciiTheme="minorBidi" w:hAnsiTheme="minorBidi" w:cs="Arial"/>
          <w:rtl/>
        </w:rPr>
        <w:t xml:space="preserve"> לפי שפעמים שהגבינה שמינה ונדבק הלחלוחית על ידו אע</w:t>
      </w:r>
      <w:r>
        <w:rPr>
          <w:rFonts w:asciiTheme="minorBidi" w:hAnsiTheme="minorBidi" w:cs="Arial" w:hint="cs"/>
          <w:rtl/>
        </w:rPr>
        <w:t>"</w:t>
      </w:r>
      <w:r w:rsidRPr="008F717C">
        <w:rPr>
          <w:rFonts w:asciiTheme="minorBidi" w:hAnsiTheme="minorBidi" w:cs="Arial"/>
          <w:rtl/>
        </w:rPr>
        <w:t>פ שאינו נראה</w:t>
      </w:r>
      <w:r>
        <w:rPr>
          <w:rStyle w:val="a7"/>
          <w:rFonts w:asciiTheme="minorBidi" w:hAnsiTheme="minorBidi"/>
          <w:rtl/>
        </w:rPr>
        <w:footnoteReference w:id="1160"/>
      </w:r>
      <w:r>
        <w:rPr>
          <w:rFonts w:asciiTheme="minorBidi" w:hAnsiTheme="minorBidi" w:hint="cs"/>
          <w:rtl/>
        </w:rPr>
        <w:t>.</w:t>
      </w:r>
    </w:p>
    <w:p w14:paraId="01D5E4E4" w14:textId="77777777" w:rsidR="002C39F4" w:rsidRPr="003024E5" w:rsidRDefault="002C39F4" w:rsidP="002C39F4">
      <w:pPr>
        <w:ind w:left="360"/>
        <w:rPr>
          <w:rFonts w:asciiTheme="minorBidi" w:hAnsiTheme="minorBidi"/>
          <w:u w:val="single"/>
          <w:rtl/>
        </w:rPr>
      </w:pPr>
      <w:r w:rsidRPr="003024E5">
        <w:rPr>
          <w:rFonts w:asciiTheme="minorBidi" w:hAnsiTheme="minorBidi"/>
          <w:u w:val="dotted"/>
          <w:rtl/>
        </w:rPr>
        <w:t>קינוח והדחה</w:t>
      </w:r>
      <w:r>
        <w:rPr>
          <w:rFonts w:asciiTheme="minorBidi" w:hAnsiTheme="minorBidi" w:hint="cs"/>
          <w:u w:val="dotted"/>
          <w:rtl/>
        </w:rPr>
        <w:t xml:space="preserve"> </w:t>
      </w:r>
      <w:r w:rsidRPr="003024E5">
        <w:rPr>
          <w:rFonts w:asciiTheme="minorBidi" w:hAnsiTheme="minorBidi"/>
          <w:u w:val="dotted"/>
          <w:rtl/>
        </w:rPr>
        <w:t>- מה קודם:</w:t>
      </w:r>
      <w:r w:rsidRPr="003024E5">
        <w:rPr>
          <w:rFonts w:asciiTheme="minorBidi" w:hAnsiTheme="minorBidi"/>
          <w:sz w:val="16"/>
          <w:szCs w:val="16"/>
          <w:rtl/>
        </w:rPr>
        <w:t xml:space="preserve">  (ב"י או"ח סי' קעג)</w:t>
      </w:r>
    </w:p>
    <w:p w14:paraId="05BABB60" w14:textId="77777777" w:rsidR="002C39F4" w:rsidRPr="003024E5" w:rsidRDefault="002C39F4" w:rsidP="0032102C">
      <w:pPr>
        <w:pStyle w:val="a8"/>
        <w:numPr>
          <w:ilvl w:val="0"/>
          <w:numId w:val="152"/>
        </w:numPr>
        <w:rPr>
          <w:rFonts w:asciiTheme="minorBidi" w:hAnsiTheme="minorBidi"/>
          <w:rtl/>
        </w:rPr>
      </w:pPr>
      <w:r w:rsidRPr="003024E5">
        <w:rPr>
          <w:rFonts w:asciiTheme="minorBidi" w:hAnsiTheme="minorBidi"/>
          <w:rtl/>
        </w:rPr>
        <w:t>מהר"ם</w:t>
      </w:r>
      <w:r>
        <w:rPr>
          <w:rFonts w:asciiTheme="minorBidi" w:hAnsiTheme="minorBidi" w:hint="cs"/>
          <w:sz w:val="16"/>
          <w:szCs w:val="16"/>
          <w:rtl/>
        </w:rPr>
        <w:t xml:space="preserve"> </w:t>
      </w:r>
      <w:r w:rsidRPr="008F717C">
        <w:rPr>
          <w:rFonts w:asciiTheme="minorBidi" w:hAnsiTheme="minorBidi" w:hint="cs"/>
          <w:sz w:val="16"/>
          <w:szCs w:val="16"/>
          <w:rtl/>
        </w:rPr>
        <w:t>(</w:t>
      </w:r>
      <w:r w:rsidRPr="008F717C">
        <w:rPr>
          <w:rFonts w:asciiTheme="minorBidi" w:hAnsiTheme="minorBidi"/>
          <w:sz w:val="16"/>
          <w:szCs w:val="16"/>
          <w:rtl/>
        </w:rPr>
        <w:t xml:space="preserve">סי' תקלא, </w:t>
      </w:r>
      <w:r>
        <w:rPr>
          <w:rFonts w:asciiTheme="minorBidi" w:hAnsiTheme="minorBidi" w:hint="cs"/>
          <w:sz w:val="16"/>
          <w:szCs w:val="16"/>
          <w:rtl/>
        </w:rPr>
        <w:t>הביאו</w:t>
      </w:r>
      <w:r w:rsidRPr="008F717C">
        <w:rPr>
          <w:rFonts w:asciiTheme="minorBidi" w:hAnsiTheme="minorBidi"/>
          <w:sz w:val="16"/>
          <w:szCs w:val="16"/>
          <w:rtl/>
        </w:rPr>
        <w:t xml:space="preserve"> ההגה"מ </w:t>
      </w:r>
      <w:r w:rsidRPr="008F717C">
        <w:rPr>
          <w:rFonts w:asciiTheme="minorBidi" w:hAnsiTheme="minorBidi" w:hint="cs"/>
          <w:sz w:val="14"/>
          <w:szCs w:val="14"/>
          <w:rtl/>
        </w:rPr>
        <w:t>[</w:t>
      </w:r>
      <w:r w:rsidRPr="008F717C">
        <w:rPr>
          <w:rFonts w:asciiTheme="minorBidi" w:hAnsiTheme="minorBidi"/>
          <w:sz w:val="14"/>
          <w:szCs w:val="14"/>
          <w:rtl/>
        </w:rPr>
        <w:t>פ"ט הכ"ו אות ב</w:t>
      </w:r>
      <w:r w:rsidRPr="008F717C">
        <w:rPr>
          <w:rFonts w:asciiTheme="minorBidi" w:hAnsiTheme="minorBidi" w:hint="cs"/>
          <w:sz w:val="14"/>
          <w:szCs w:val="14"/>
          <w:rtl/>
        </w:rPr>
        <w:t>]</w:t>
      </w:r>
      <w:r w:rsidRPr="008F717C">
        <w:rPr>
          <w:rFonts w:asciiTheme="minorBidi" w:hAnsiTheme="minorBidi"/>
          <w:sz w:val="16"/>
          <w:szCs w:val="16"/>
          <w:rtl/>
        </w:rPr>
        <w:t>)</w:t>
      </w:r>
      <w:r w:rsidRPr="003024E5">
        <w:rPr>
          <w:rFonts w:asciiTheme="minorBidi" w:hAnsiTheme="minorBidi"/>
          <w:rtl/>
        </w:rPr>
        <w:t xml:space="preserve">- אין צריך לדקדק בקינוח פה והדחה אלא איזה מהם שירצה יקדים. </w:t>
      </w:r>
    </w:p>
    <w:p w14:paraId="67B2FC5C" w14:textId="77777777" w:rsidR="002C39F4" w:rsidRPr="003024E5" w:rsidRDefault="002C39F4" w:rsidP="0032102C">
      <w:pPr>
        <w:pStyle w:val="a8"/>
        <w:numPr>
          <w:ilvl w:val="0"/>
          <w:numId w:val="152"/>
        </w:numPr>
        <w:rPr>
          <w:rFonts w:asciiTheme="minorBidi" w:hAnsiTheme="minorBidi"/>
        </w:rPr>
      </w:pPr>
      <w:r w:rsidRPr="003024E5">
        <w:rPr>
          <w:rFonts w:asciiTheme="minorBidi" w:hAnsiTheme="minorBidi"/>
          <w:rtl/>
        </w:rPr>
        <w:t>טור</w:t>
      </w:r>
      <w:r w:rsidRPr="003024E5">
        <w:rPr>
          <w:rFonts w:asciiTheme="minorBidi" w:hAnsiTheme="minorBidi"/>
          <w:sz w:val="16"/>
          <w:szCs w:val="16"/>
          <w:rtl/>
        </w:rPr>
        <w:t xml:space="preserve"> (או"ח סי' קעג, וכ"כ ביו"ד סי' פט)</w:t>
      </w:r>
      <w:r w:rsidRPr="003024E5">
        <w:rPr>
          <w:rFonts w:asciiTheme="minorBidi" w:hAnsiTheme="minorBidi"/>
          <w:rtl/>
        </w:rPr>
        <w:t>- אחר הקינוח ידיח פיו במים או ביין</w:t>
      </w:r>
      <w:r w:rsidRPr="003024E5">
        <w:rPr>
          <w:rStyle w:val="a7"/>
          <w:rFonts w:asciiTheme="minorBidi" w:hAnsiTheme="minorBidi"/>
          <w:rtl/>
        </w:rPr>
        <w:footnoteReference w:id="1161"/>
      </w:r>
      <w:r w:rsidRPr="003024E5">
        <w:rPr>
          <w:rFonts w:asciiTheme="minorBidi" w:hAnsiTheme="minorBidi"/>
          <w:rtl/>
        </w:rPr>
        <w:t xml:space="preserve">. </w:t>
      </w:r>
      <w:r w:rsidRPr="003024E5">
        <w:rPr>
          <w:rFonts w:asciiTheme="minorBidi" w:hAnsiTheme="minorBidi"/>
          <w:color w:val="E36C0A" w:themeColor="accent6" w:themeShade="BF"/>
          <w:rtl/>
        </w:rPr>
        <w:t>(וכ"כ בשו"ע</w:t>
      </w:r>
      <w:r w:rsidRPr="003024E5">
        <w:rPr>
          <w:rStyle w:val="a7"/>
          <w:rFonts w:asciiTheme="minorBidi" w:hAnsiTheme="minorBidi"/>
          <w:rtl/>
        </w:rPr>
        <w:footnoteReference w:id="1162"/>
      </w:r>
      <w:r w:rsidRPr="003024E5">
        <w:rPr>
          <w:rFonts w:asciiTheme="minorBidi" w:hAnsiTheme="minorBidi"/>
          <w:color w:val="E36C0A" w:themeColor="accent6" w:themeShade="BF"/>
          <w:rtl/>
        </w:rPr>
        <w:t>)</w:t>
      </w:r>
    </w:p>
    <w:p w14:paraId="588845E1" w14:textId="77777777" w:rsidR="002C39F4" w:rsidRPr="003024E5" w:rsidRDefault="002C39F4" w:rsidP="0032102C">
      <w:pPr>
        <w:pStyle w:val="a8"/>
        <w:numPr>
          <w:ilvl w:val="0"/>
          <w:numId w:val="152"/>
        </w:numPr>
        <w:rPr>
          <w:rFonts w:asciiTheme="minorBidi" w:hAnsiTheme="minorBidi"/>
          <w:rtl/>
        </w:rPr>
      </w:pPr>
      <w:r w:rsidRPr="003024E5">
        <w:rPr>
          <w:rFonts w:asciiTheme="minorBidi" w:hAnsiTheme="minorBidi"/>
          <w:rtl/>
        </w:rPr>
        <w:t>הגה"מ</w:t>
      </w:r>
      <w:r w:rsidRPr="007C6022">
        <w:rPr>
          <w:sz w:val="16"/>
          <w:szCs w:val="16"/>
          <w:rtl/>
        </w:rPr>
        <w:t xml:space="preserve"> </w:t>
      </w:r>
      <w:r w:rsidRPr="007C6022">
        <w:rPr>
          <w:rFonts w:asciiTheme="minorBidi" w:hAnsiTheme="minorBidi" w:cs="Arial"/>
          <w:sz w:val="16"/>
          <w:szCs w:val="16"/>
          <w:rtl/>
        </w:rPr>
        <w:t>(מאכ"א פ"ט הכ"ו אות ב)</w:t>
      </w:r>
      <w:r w:rsidRPr="003024E5">
        <w:rPr>
          <w:rFonts w:asciiTheme="minorBidi" w:hAnsiTheme="minorBidi"/>
          <w:rtl/>
        </w:rPr>
        <w:t>- מנהגו של ריב"א היה שלאחר שאכל גבינה היה עושה הדחה לידיו ולפיו והיה מכניס אצבעו לתוך פיו ובודק יפה כדי שלא יהא שום דבר בפיו ואח"כ עושה קינוח הפה, ורבינו יהודה כתב שר"י היה שורה פתו במים או ביין ואוכל כי בענין זה יעלה בשביל שניהם בשביל קינוח והדחת פיו</w:t>
      </w:r>
      <w:r w:rsidRPr="003024E5">
        <w:rPr>
          <w:rStyle w:val="a7"/>
          <w:rFonts w:asciiTheme="minorBidi" w:hAnsiTheme="minorBidi"/>
          <w:rtl/>
        </w:rPr>
        <w:footnoteReference w:id="1163"/>
      </w:r>
      <w:r w:rsidRPr="003024E5">
        <w:rPr>
          <w:rFonts w:asciiTheme="minorBidi" w:hAnsiTheme="minorBidi"/>
          <w:rtl/>
        </w:rPr>
        <w:t xml:space="preserve">, או הוא אוכל דבר שמקנחין בו ושותה יין או מים. </w:t>
      </w:r>
    </w:p>
    <w:p w14:paraId="7EEDABF1" w14:textId="77777777" w:rsidR="002C39F4" w:rsidRPr="003024E5" w:rsidRDefault="002C39F4" w:rsidP="002C39F4">
      <w:pPr>
        <w:ind w:left="360"/>
        <w:rPr>
          <w:rFonts w:asciiTheme="minorBidi" w:hAnsiTheme="minorBidi"/>
          <w:u w:val="single"/>
          <w:rtl/>
        </w:rPr>
      </w:pPr>
      <w:r w:rsidRPr="003024E5">
        <w:rPr>
          <w:rFonts w:asciiTheme="minorBidi" w:hAnsiTheme="minorBidi"/>
          <w:u w:val="dotted"/>
          <w:rtl/>
        </w:rPr>
        <w:t xml:space="preserve">קינוח והדחה </w:t>
      </w:r>
      <w:r w:rsidR="00B11C4F">
        <w:rPr>
          <w:rFonts w:asciiTheme="minorBidi" w:hAnsiTheme="minorBidi" w:hint="cs"/>
          <w:u w:val="dotted"/>
          <w:rtl/>
        </w:rPr>
        <w:t xml:space="preserve">לאחר שאכל בשר </w:t>
      </w:r>
      <w:r w:rsidRPr="003024E5">
        <w:rPr>
          <w:rFonts w:asciiTheme="minorBidi" w:hAnsiTheme="minorBidi"/>
          <w:u w:val="dotted"/>
          <w:rtl/>
        </w:rPr>
        <w:t>חיה ועוף:</w:t>
      </w:r>
      <w:r w:rsidRPr="003024E5">
        <w:rPr>
          <w:rFonts w:asciiTheme="minorBidi" w:hAnsiTheme="minorBidi"/>
          <w:sz w:val="16"/>
          <w:szCs w:val="16"/>
          <w:rtl/>
        </w:rPr>
        <w:t xml:space="preserve">  (ב"י או"ח סי' קעג)</w:t>
      </w:r>
    </w:p>
    <w:p w14:paraId="7EEA2945" w14:textId="77777777" w:rsidR="002C39F4" w:rsidRPr="003024E5" w:rsidRDefault="002C39F4" w:rsidP="0032102C">
      <w:pPr>
        <w:pStyle w:val="a8"/>
        <w:numPr>
          <w:ilvl w:val="0"/>
          <w:numId w:val="153"/>
        </w:numPr>
        <w:rPr>
          <w:rFonts w:asciiTheme="minorBidi" w:hAnsiTheme="minorBidi"/>
          <w:rtl/>
        </w:rPr>
      </w:pPr>
      <w:r w:rsidRPr="003024E5">
        <w:rPr>
          <w:rFonts w:asciiTheme="minorBidi" w:hAnsiTheme="minorBidi"/>
          <w:rtl/>
        </w:rPr>
        <w:t>רמב"ם</w:t>
      </w:r>
      <w:r w:rsidRPr="003024E5">
        <w:rPr>
          <w:rFonts w:asciiTheme="minorBidi" w:hAnsiTheme="minorBidi"/>
          <w:sz w:val="16"/>
          <w:szCs w:val="16"/>
          <w:rtl/>
        </w:rPr>
        <w:t xml:space="preserve"> (פ"ט כ"ז)</w:t>
      </w:r>
      <w:r w:rsidRPr="003024E5">
        <w:rPr>
          <w:rFonts w:asciiTheme="minorBidi" w:hAnsiTheme="minorBidi"/>
          <w:rtl/>
        </w:rPr>
        <w:t xml:space="preserve">- בד"א </w:t>
      </w:r>
      <w:r w:rsidRPr="003024E5">
        <w:rPr>
          <w:rFonts w:asciiTheme="minorBidi" w:hAnsiTheme="minorBidi"/>
          <w:sz w:val="14"/>
          <w:szCs w:val="14"/>
          <w:rtl/>
        </w:rPr>
        <w:t>{שצריך לקנח ולהדיח}</w:t>
      </w:r>
      <w:r w:rsidRPr="003024E5">
        <w:rPr>
          <w:rFonts w:asciiTheme="minorBidi" w:hAnsiTheme="minorBidi"/>
          <w:rtl/>
        </w:rPr>
        <w:t xml:space="preserve"> בבשר בהמה או חיה, אבל אם אכל בשר עוף אחר שאכל הגבינה או החלב אינו צריך לא קנוח הפה ולא נטילת ידים</w:t>
      </w:r>
      <w:r w:rsidRPr="003024E5">
        <w:rPr>
          <w:rStyle w:val="a7"/>
          <w:rFonts w:asciiTheme="minorBidi" w:hAnsiTheme="minorBidi"/>
          <w:rtl/>
        </w:rPr>
        <w:footnoteReference w:id="1164"/>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783E2B7B" w14:textId="77777777" w:rsidR="002C39F4" w:rsidRPr="003024E5" w:rsidRDefault="002C39F4" w:rsidP="0032102C">
      <w:pPr>
        <w:pStyle w:val="a8"/>
        <w:numPr>
          <w:ilvl w:val="0"/>
          <w:numId w:val="153"/>
        </w:numPr>
        <w:rPr>
          <w:rFonts w:asciiTheme="minorBidi" w:hAnsiTheme="minorBidi"/>
          <w:rtl/>
        </w:rPr>
      </w:pPr>
      <w:r w:rsidRPr="003024E5">
        <w:rPr>
          <w:rFonts w:asciiTheme="minorBidi" w:hAnsiTheme="minorBidi"/>
          <w:rtl/>
        </w:rPr>
        <w:t xml:space="preserve">רי"ף </w:t>
      </w:r>
      <w:r w:rsidRPr="003024E5">
        <w:rPr>
          <w:rFonts w:asciiTheme="minorBidi" w:hAnsiTheme="minorBidi"/>
          <w:sz w:val="16"/>
          <w:szCs w:val="16"/>
          <w:rtl/>
        </w:rPr>
        <w:t xml:space="preserve">(להב' הרא"ש) </w:t>
      </w:r>
      <w:r w:rsidRPr="003024E5">
        <w:rPr>
          <w:rFonts w:asciiTheme="minorBidi" w:hAnsiTheme="minorBidi"/>
          <w:rtl/>
        </w:rPr>
        <w:t>רשב"א ור"ן</w:t>
      </w:r>
      <w:r w:rsidRPr="003024E5">
        <w:rPr>
          <w:rStyle w:val="a7"/>
          <w:rFonts w:asciiTheme="minorBidi" w:hAnsiTheme="minorBidi"/>
          <w:rtl/>
        </w:rPr>
        <w:footnoteReference w:id="1165"/>
      </w:r>
      <w:r w:rsidRPr="003024E5">
        <w:rPr>
          <w:rFonts w:asciiTheme="minorBidi" w:hAnsiTheme="minorBidi"/>
          <w:rtl/>
        </w:rPr>
        <w:t>- הא דתני אגרא עוף וגבינה נאכלין באפיקורן הוא הדין לחיה וגבינה, כיון דקי"ל חיה ועוף אינם מן התורה</w:t>
      </w:r>
      <w:r w:rsidRPr="003024E5">
        <w:rPr>
          <w:rFonts w:asciiTheme="minorBidi" w:hAnsiTheme="minorBidi"/>
          <w:sz w:val="16"/>
          <w:szCs w:val="16"/>
          <w:rtl/>
        </w:rPr>
        <w:t xml:space="preserve"> (ר"ן)</w:t>
      </w:r>
      <w:r w:rsidRPr="003024E5">
        <w:rPr>
          <w:rFonts w:asciiTheme="minorBidi" w:hAnsiTheme="minorBidi"/>
          <w:rtl/>
        </w:rPr>
        <w:t>, ולא נקט חיה משום דשכיח טפי</w:t>
      </w:r>
      <w:r w:rsidRPr="003024E5">
        <w:rPr>
          <w:rFonts w:asciiTheme="minorBidi" w:hAnsiTheme="minorBidi"/>
          <w:sz w:val="16"/>
          <w:szCs w:val="16"/>
          <w:rtl/>
        </w:rPr>
        <w:t xml:space="preserve"> (רא"ש בהב' הרי"ף)</w:t>
      </w:r>
      <w:r w:rsidRPr="003024E5">
        <w:rPr>
          <w:rFonts w:asciiTheme="minorBidi" w:hAnsiTheme="minorBidi"/>
          <w:rtl/>
        </w:rPr>
        <w:t xml:space="preserve">.   </w:t>
      </w:r>
    </w:p>
    <w:p w14:paraId="041711C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412087E" w14:textId="77777777" w:rsidR="002C39F4" w:rsidRPr="003024E5" w:rsidRDefault="002C39F4" w:rsidP="002C39F4">
      <w:pPr>
        <w:rPr>
          <w:rFonts w:asciiTheme="minorBidi" w:hAnsiTheme="minorBidi"/>
          <w:sz w:val="18"/>
          <w:szCs w:val="18"/>
          <w:rtl/>
        </w:rPr>
      </w:pPr>
      <w:r w:rsidRPr="003024E5">
        <w:rPr>
          <w:rFonts w:asciiTheme="minorBidi" w:hAnsiTheme="minorBidi"/>
          <w:rtl/>
        </w:rPr>
        <w:t>אכל גבינה מותר לאכול אחריו בשר מיד ובלבד שיעיין ידיו</w:t>
      </w:r>
      <w:r w:rsidRPr="003024E5">
        <w:rPr>
          <w:rStyle w:val="a7"/>
          <w:rFonts w:asciiTheme="minorBidi" w:hAnsiTheme="minorBidi"/>
          <w:rtl/>
        </w:rPr>
        <w:footnoteReference w:id="1166"/>
      </w:r>
      <w:r w:rsidRPr="003024E5">
        <w:rPr>
          <w:rFonts w:asciiTheme="minorBidi" w:hAnsiTheme="minorBidi"/>
          <w:rtl/>
        </w:rPr>
        <w:t xml:space="preserve"> שלא יהא שום דבר מהגבינה נדבק בהם, ואם היה בלילה שאינו יכול לעיין אותם היטב צריך לרחצם</w:t>
      </w:r>
      <w:r w:rsidRPr="003024E5">
        <w:rPr>
          <w:rStyle w:val="a7"/>
          <w:rFonts w:asciiTheme="minorBidi" w:hAnsiTheme="minorBidi"/>
          <w:rtl/>
        </w:rPr>
        <w:footnoteReference w:id="1167"/>
      </w:r>
      <w:r w:rsidRPr="003024E5">
        <w:rPr>
          <w:rFonts w:asciiTheme="minorBidi" w:hAnsiTheme="minorBidi"/>
          <w:rtl/>
        </w:rPr>
        <w:t>, וצריך לקנח פיו ולהדיחו, והקינוח הוא שילעוס פת ויקנח בו פיו יפה וכן בכל דבר שירצה, חוץ מקימחא ותמרי וירקא</w:t>
      </w:r>
      <w:r>
        <w:rPr>
          <w:rStyle w:val="a7"/>
          <w:rFonts w:asciiTheme="minorBidi" w:hAnsiTheme="minorBidi"/>
          <w:rtl/>
        </w:rPr>
        <w:footnoteReference w:id="1168"/>
      </w:r>
      <w:r w:rsidRPr="003024E5">
        <w:rPr>
          <w:rFonts w:asciiTheme="minorBidi" w:hAnsiTheme="minorBidi"/>
          <w:rtl/>
        </w:rPr>
        <w:t xml:space="preserve"> לפי שהם נדבקים בחניכים </w:t>
      </w:r>
      <w:r w:rsidRPr="003024E5">
        <w:rPr>
          <w:rFonts w:asciiTheme="minorBidi" w:hAnsiTheme="minorBidi"/>
          <w:sz w:val="14"/>
          <w:szCs w:val="14"/>
          <w:rtl/>
        </w:rPr>
        <w:t xml:space="preserve">(פי' מקום למעלה מבית הבליעה קרוב לשינים) </w:t>
      </w:r>
      <w:r w:rsidRPr="003024E5">
        <w:rPr>
          <w:rFonts w:asciiTheme="minorBidi" w:hAnsiTheme="minorBidi"/>
          <w:rtl/>
        </w:rPr>
        <w:t xml:space="preserve">ואין מקנחים יפה, ואחר כך ידיח פיו במים או ביין, במה דברים אמורים בבשר בהמה וחיה, אבל אם בא לאכול בשר עוף אחר גבינה אינו צריך לא קינוח ולא נטילה. </w:t>
      </w:r>
      <w:r w:rsidRPr="003024E5">
        <w:rPr>
          <w:rFonts w:asciiTheme="minorBidi" w:hAnsiTheme="minorBidi"/>
          <w:sz w:val="18"/>
          <w:szCs w:val="18"/>
          <w:rtl/>
        </w:rPr>
        <w:t xml:space="preserve">הגה: ויש מחמירין אפילו בבשר אחר גבינה </w:t>
      </w:r>
      <w:r w:rsidRPr="005B425F">
        <w:rPr>
          <w:rFonts w:asciiTheme="minorBidi" w:hAnsiTheme="minorBidi"/>
          <w:sz w:val="16"/>
          <w:szCs w:val="16"/>
          <w:rtl/>
        </w:rPr>
        <w:t>(מהר"ם וב"י באו"ח)</w:t>
      </w:r>
      <w:r w:rsidRPr="003024E5">
        <w:rPr>
          <w:rFonts w:asciiTheme="minorBidi" w:hAnsiTheme="minorBidi"/>
          <w:sz w:val="18"/>
          <w:szCs w:val="18"/>
          <w:rtl/>
        </w:rPr>
        <w:t>, וכן נוהגין שכל שהגבינה קשה אין אוכלין אחריה אפילו בשר עוף כמו בגבינה אחר בשר</w:t>
      </w:r>
      <w:r w:rsidRPr="003024E5">
        <w:rPr>
          <w:rStyle w:val="a7"/>
          <w:rFonts w:asciiTheme="minorBidi" w:hAnsiTheme="minorBidi"/>
          <w:sz w:val="18"/>
          <w:szCs w:val="18"/>
          <w:rtl/>
        </w:rPr>
        <w:footnoteReference w:id="1169"/>
      </w:r>
      <w:r w:rsidRPr="003024E5">
        <w:rPr>
          <w:rFonts w:asciiTheme="minorBidi" w:hAnsiTheme="minorBidi"/>
          <w:sz w:val="18"/>
          <w:szCs w:val="18"/>
          <w:rtl/>
        </w:rPr>
        <w:t xml:space="preserve"> </w:t>
      </w:r>
      <w:r w:rsidRPr="005B425F">
        <w:rPr>
          <w:rFonts w:asciiTheme="minorBidi" w:hAnsiTheme="minorBidi"/>
          <w:sz w:val="16"/>
          <w:szCs w:val="16"/>
          <w:rtl/>
        </w:rPr>
        <w:t>(</w:t>
      </w:r>
      <w:r>
        <w:rPr>
          <w:rFonts w:asciiTheme="minorBidi" w:hAnsiTheme="minorBidi" w:hint="cs"/>
          <w:sz w:val="16"/>
          <w:szCs w:val="16"/>
          <w:rtl/>
        </w:rPr>
        <w:t>או"ה</w:t>
      </w:r>
      <w:r w:rsidRPr="005B425F">
        <w:rPr>
          <w:rFonts w:asciiTheme="minorBidi" w:hAnsiTheme="minorBidi"/>
          <w:sz w:val="16"/>
          <w:szCs w:val="16"/>
          <w:rtl/>
        </w:rPr>
        <w:t>)</w:t>
      </w:r>
      <w:r w:rsidRPr="003024E5">
        <w:rPr>
          <w:rFonts w:asciiTheme="minorBidi" w:hAnsiTheme="minorBidi"/>
          <w:sz w:val="18"/>
          <w:szCs w:val="18"/>
          <w:rtl/>
        </w:rPr>
        <w:t>, ויש מקילין, ואין למחות, רק שיעשו קנוח והדחה ונטילת ידים, מיהו טוב להחמיר</w:t>
      </w:r>
      <w:r w:rsidRPr="003024E5">
        <w:rPr>
          <w:rStyle w:val="a7"/>
          <w:rFonts w:asciiTheme="minorBidi" w:hAnsiTheme="minorBidi"/>
          <w:sz w:val="18"/>
          <w:szCs w:val="18"/>
          <w:rtl/>
        </w:rPr>
        <w:footnoteReference w:id="1170"/>
      </w:r>
      <w:r w:rsidRPr="003024E5">
        <w:rPr>
          <w:rFonts w:asciiTheme="minorBidi" w:hAnsiTheme="minorBidi"/>
          <w:sz w:val="18"/>
          <w:szCs w:val="18"/>
          <w:rtl/>
        </w:rPr>
        <w:t>.</w:t>
      </w:r>
      <w:r>
        <w:rPr>
          <w:rFonts w:asciiTheme="minorBidi" w:hAnsiTheme="minorBidi" w:hint="cs"/>
          <w:sz w:val="18"/>
          <w:szCs w:val="18"/>
          <w:rtl/>
        </w:rPr>
        <w:t xml:space="preserve"> </w:t>
      </w:r>
    </w:p>
    <w:p w14:paraId="42DC6D4A" w14:textId="77777777" w:rsidR="002C39F4" w:rsidRPr="003024E5" w:rsidRDefault="002C39F4" w:rsidP="002C39F4">
      <w:pPr>
        <w:rPr>
          <w:rFonts w:asciiTheme="minorBidi" w:hAnsiTheme="minorBidi"/>
          <w:rtl/>
        </w:rPr>
      </w:pPr>
      <w:r w:rsidRPr="003024E5">
        <w:rPr>
          <w:rFonts w:asciiTheme="minorBidi" w:hAnsiTheme="minorBidi"/>
          <w:rtl/>
        </w:rPr>
        <w:t xml:space="preserve"> </w:t>
      </w:r>
    </w:p>
    <w:p w14:paraId="1D598D78" w14:textId="77777777" w:rsidR="002C39F4" w:rsidRPr="003024E5" w:rsidRDefault="002C39F4" w:rsidP="002C39F4">
      <w:pPr>
        <w:pStyle w:val="2"/>
        <w:rPr>
          <w:rFonts w:asciiTheme="minorBidi" w:hAnsiTheme="minorBidi"/>
          <w:rtl/>
        </w:rPr>
      </w:pPr>
      <w:r w:rsidRPr="003024E5">
        <w:rPr>
          <w:rFonts w:asciiTheme="minorBidi" w:hAnsiTheme="minorBidi"/>
          <w:rtl/>
        </w:rPr>
        <w:t xml:space="preserve">סעיף ג: אכילת גבינה לאחר תבשיל של בשר </w:t>
      </w:r>
      <w:r w:rsidRPr="003024E5">
        <w:rPr>
          <w:rFonts w:asciiTheme="minorBidi" w:hAnsiTheme="minorBidi"/>
          <w:sz w:val="18"/>
          <w:szCs w:val="18"/>
          <w:rtl/>
        </w:rPr>
        <w:t>(ולהפך)</w:t>
      </w:r>
      <w:r w:rsidRPr="003024E5">
        <w:rPr>
          <w:rFonts w:asciiTheme="minorBidi" w:hAnsiTheme="minorBidi"/>
          <w:rtl/>
        </w:rPr>
        <w:t>.</w:t>
      </w:r>
    </w:p>
    <w:p w14:paraId="0F95096A"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קה ע"ב: </w:t>
      </w:r>
      <w:r w:rsidRPr="003024E5">
        <w:rPr>
          <w:rFonts w:asciiTheme="minorBidi" w:hAnsiTheme="minorBidi"/>
          <w:rtl/>
        </w:rPr>
        <w:t xml:space="preserve">אמצעיים רשות, </w:t>
      </w:r>
      <w:r w:rsidRPr="003024E5">
        <w:rPr>
          <w:rFonts w:asciiTheme="minorBidi" w:hAnsiTheme="minorBidi"/>
          <w:u w:val="single"/>
          <w:rtl/>
        </w:rPr>
        <w:t>אמר רב נחמן</w:t>
      </w:r>
      <w:r w:rsidRPr="003024E5">
        <w:rPr>
          <w:rFonts w:asciiTheme="minorBidi" w:hAnsiTheme="minorBidi"/>
          <w:rtl/>
        </w:rPr>
        <w:t xml:space="preserve">: לא שנו אלא בין תבשיל לתבשיל, אבל בין תבשיל לגבינה - חובה. </w:t>
      </w:r>
    </w:p>
    <w:p w14:paraId="6396F2A9" w14:textId="77777777" w:rsidR="002C39F4" w:rsidRPr="003024E5" w:rsidRDefault="002C39F4" w:rsidP="002C39F4">
      <w:pPr>
        <w:rPr>
          <w:rFonts w:asciiTheme="minorBidi" w:hAnsiTheme="minorBidi"/>
          <w:rtl/>
        </w:rPr>
      </w:pPr>
      <w:r w:rsidRPr="003024E5">
        <w:rPr>
          <w:rFonts w:asciiTheme="minorBidi" w:hAnsiTheme="minorBidi"/>
          <w:u w:val="single"/>
          <w:rtl/>
        </w:rPr>
        <w:t>מה פירוש דברי רב נחמן:</w:t>
      </w:r>
      <w:r w:rsidRPr="003024E5">
        <w:rPr>
          <w:rFonts w:asciiTheme="minorBidi" w:hAnsiTheme="minorBidi"/>
          <w:sz w:val="16"/>
          <w:szCs w:val="16"/>
          <w:rtl/>
        </w:rPr>
        <w:t xml:space="preserve">   (ב"י או"ח סי' קעג)</w:t>
      </w:r>
    </w:p>
    <w:p w14:paraId="30E81E5A" w14:textId="77777777" w:rsidR="002C39F4" w:rsidRPr="003024E5" w:rsidRDefault="002C39F4" w:rsidP="0032102C">
      <w:pPr>
        <w:pStyle w:val="a8"/>
        <w:numPr>
          <w:ilvl w:val="0"/>
          <w:numId w:val="148"/>
        </w:numPr>
        <w:rPr>
          <w:rFonts w:asciiTheme="minorBidi" w:hAnsiTheme="minorBidi"/>
          <w:rtl/>
        </w:rPr>
      </w:pPr>
      <w:r w:rsidRPr="003024E5">
        <w:rPr>
          <w:rFonts w:asciiTheme="minorBidi" w:hAnsiTheme="minorBidi"/>
          <w:rtl/>
        </w:rPr>
        <w:t>רבנו שמואל</w:t>
      </w:r>
      <w:r w:rsidRPr="003024E5">
        <w:rPr>
          <w:rStyle w:val="a7"/>
          <w:rFonts w:asciiTheme="minorBidi" w:hAnsiTheme="minorBidi"/>
          <w:rtl/>
        </w:rPr>
        <w:footnoteReference w:id="1171"/>
      </w:r>
      <w:r w:rsidRPr="003024E5">
        <w:rPr>
          <w:rFonts w:asciiTheme="minorBidi" w:hAnsiTheme="minorBidi"/>
          <w:rtl/>
        </w:rPr>
        <w:t>- בין תבשיל לתבשיל</w:t>
      </w:r>
      <w:r>
        <w:rPr>
          <w:rFonts w:asciiTheme="minorBidi" w:hAnsiTheme="minorBidi" w:hint="cs"/>
          <w:rtl/>
        </w:rPr>
        <w:t xml:space="preserve">, </w:t>
      </w:r>
      <w:r w:rsidRPr="003024E5">
        <w:rPr>
          <w:rFonts w:asciiTheme="minorBidi" w:hAnsiTheme="minorBidi"/>
          <w:rtl/>
        </w:rPr>
        <w:t xml:space="preserve">שניהם של בשר או שניהם של גבינה, אבל בין תבשיל של בשר לגבינה </w:t>
      </w:r>
      <w:r w:rsidRPr="002664D9">
        <w:rPr>
          <w:rFonts w:asciiTheme="minorBidi" w:hAnsiTheme="minorBidi"/>
          <w:b/>
          <w:bCs/>
          <w:rtl/>
        </w:rPr>
        <w:t>שלפניו</w:t>
      </w:r>
      <w:r w:rsidRPr="003024E5">
        <w:rPr>
          <w:rFonts w:asciiTheme="minorBidi" w:hAnsiTheme="minorBidi"/>
          <w:rtl/>
        </w:rPr>
        <w:t xml:space="preserve"> חובה, אבל בין תבשיל של בשר לגבינה שלאחריו לא קאמר דאפילו בנטילה אסור עד סעודה אחרת.</w:t>
      </w:r>
    </w:p>
    <w:p w14:paraId="53E13E2F" w14:textId="77777777" w:rsidR="002C39F4" w:rsidRPr="003024E5" w:rsidRDefault="002C39F4" w:rsidP="0032102C">
      <w:pPr>
        <w:pStyle w:val="a8"/>
        <w:numPr>
          <w:ilvl w:val="0"/>
          <w:numId w:val="148"/>
        </w:numPr>
        <w:rPr>
          <w:rFonts w:asciiTheme="minorBidi" w:hAnsiTheme="minorBidi"/>
          <w:rtl/>
        </w:rPr>
      </w:pPr>
      <w:r w:rsidRPr="003024E5">
        <w:rPr>
          <w:rFonts w:asciiTheme="minorBidi" w:hAnsiTheme="minorBidi"/>
          <w:rtl/>
        </w:rPr>
        <w:t xml:space="preserve">ר"ת </w:t>
      </w:r>
      <w:r w:rsidRPr="003024E5">
        <w:rPr>
          <w:rFonts w:asciiTheme="minorBidi" w:hAnsiTheme="minorBidi"/>
          <w:sz w:val="16"/>
          <w:szCs w:val="16"/>
          <w:rtl/>
        </w:rPr>
        <w:t>(הביאוהו התוס'</w:t>
      </w:r>
      <w:r w:rsidRPr="003024E5">
        <w:rPr>
          <w:rFonts w:asciiTheme="minorBidi" w:hAnsiTheme="minorBidi"/>
          <w:sz w:val="14"/>
          <w:szCs w:val="14"/>
          <w:rtl/>
        </w:rPr>
        <w:t xml:space="preserve"> [שם] </w:t>
      </w:r>
      <w:r w:rsidRPr="003024E5">
        <w:rPr>
          <w:rFonts w:asciiTheme="minorBidi" w:hAnsiTheme="minorBidi"/>
          <w:sz w:val="16"/>
          <w:szCs w:val="16"/>
          <w:rtl/>
        </w:rPr>
        <w:t>והרא"ש</w:t>
      </w:r>
      <w:r w:rsidRPr="003024E5">
        <w:rPr>
          <w:rFonts w:asciiTheme="minorBidi" w:hAnsiTheme="minorBidi"/>
          <w:sz w:val="14"/>
          <w:szCs w:val="14"/>
          <w:rtl/>
        </w:rPr>
        <w:t xml:space="preserve"> [שם]</w:t>
      </w:r>
      <w:r w:rsidRPr="003024E5">
        <w:rPr>
          <w:rFonts w:asciiTheme="minorBidi" w:hAnsiTheme="minorBidi"/>
          <w:sz w:val="16"/>
          <w:szCs w:val="16"/>
          <w:rtl/>
        </w:rPr>
        <w:t>)</w:t>
      </w:r>
      <w:r w:rsidRPr="003024E5">
        <w:rPr>
          <w:rFonts w:asciiTheme="minorBidi" w:hAnsiTheme="minorBidi"/>
          <w:rtl/>
        </w:rPr>
        <w:t xml:space="preserve">- </w:t>
      </w:r>
      <w:r w:rsidRPr="003024E5">
        <w:rPr>
          <w:rStyle w:val="a7"/>
          <w:rFonts w:asciiTheme="minorBidi" w:hAnsiTheme="minorBidi"/>
          <w:rtl/>
        </w:rPr>
        <w:footnoteReference w:id="1172"/>
      </w:r>
      <w:r w:rsidRPr="003024E5">
        <w:rPr>
          <w:rFonts w:asciiTheme="minorBidi" w:hAnsiTheme="minorBidi"/>
          <w:rtl/>
        </w:rPr>
        <w:t xml:space="preserve">בין תבשיל לתבשיל היינו בין תבשיל של בשר לתבשיל של גבינה </w:t>
      </w:r>
      <w:r w:rsidRPr="003024E5">
        <w:rPr>
          <w:rFonts w:asciiTheme="minorBidi" w:hAnsiTheme="minorBidi"/>
          <w:sz w:val="16"/>
          <w:szCs w:val="16"/>
          <w:rtl/>
        </w:rPr>
        <w:t>(דכיון שאין הבשר והגבינה בעין וליכא אלא טעם לא החמירו שיהא חובה ליטול בנתיים)</w:t>
      </w:r>
      <w:r w:rsidRPr="003024E5">
        <w:rPr>
          <w:rFonts w:asciiTheme="minorBidi" w:hAnsiTheme="minorBidi"/>
          <w:rtl/>
        </w:rPr>
        <w:t xml:space="preserve"> אבל בין תבשיל של בשר לגבינה</w:t>
      </w:r>
      <w:r w:rsidRPr="003024E5">
        <w:rPr>
          <w:rFonts w:asciiTheme="minorBidi" w:hAnsiTheme="minorBidi"/>
          <w:sz w:val="16"/>
          <w:szCs w:val="16"/>
          <w:rtl/>
        </w:rPr>
        <w:t xml:space="preserve"> (שהגבינה בעין)</w:t>
      </w:r>
      <w:r w:rsidRPr="003024E5">
        <w:rPr>
          <w:rFonts w:asciiTheme="minorBidi" w:hAnsiTheme="minorBidi"/>
          <w:rtl/>
        </w:rPr>
        <w:t xml:space="preserve"> חובה</w:t>
      </w:r>
      <w:r w:rsidRPr="003024E5">
        <w:rPr>
          <w:rStyle w:val="a7"/>
          <w:rFonts w:asciiTheme="minorBidi" w:hAnsiTheme="minorBidi"/>
          <w:rtl/>
        </w:rPr>
        <w:footnoteReference w:id="1173"/>
      </w:r>
      <w:r w:rsidRPr="003024E5">
        <w:rPr>
          <w:rFonts w:asciiTheme="minorBidi" w:hAnsiTheme="minorBidi"/>
          <w:rtl/>
        </w:rPr>
        <w:t xml:space="preserve">. </w:t>
      </w:r>
    </w:p>
    <w:p w14:paraId="031B629A" w14:textId="77777777" w:rsidR="002C39F4" w:rsidRPr="003024E5" w:rsidRDefault="002C39F4" w:rsidP="002C39F4">
      <w:pPr>
        <w:rPr>
          <w:rFonts w:asciiTheme="minorBidi" w:hAnsiTheme="minorBidi"/>
          <w:u w:val="single"/>
        </w:rPr>
      </w:pPr>
      <w:r w:rsidRPr="003024E5">
        <w:rPr>
          <w:rFonts w:asciiTheme="minorBidi" w:hAnsiTheme="minorBidi"/>
          <w:u w:val="single"/>
          <w:rtl/>
        </w:rPr>
        <w:t xml:space="preserve">אכילת גבינה אחר </w:t>
      </w:r>
      <w:r w:rsidRPr="001A0279">
        <w:rPr>
          <w:rFonts w:asciiTheme="minorBidi" w:hAnsiTheme="minorBidi"/>
          <w:b/>
          <w:bCs/>
          <w:u w:val="single"/>
          <w:rtl/>
        </w:rPr>
        <w:t>תבשיל</w:t>
      </w:r>
      <w:r w:rsidRPr="003024E5">
        <w:rPr>
          <w:rFonts w:asciiTheme="minorBidi" w:hAnsiTheme="minorBidi"/>
          <w:u w:val="single"/>
          <w:rtl/>
        </w:rPr>
        <w:t xml:space="preserve"> של בשר:</w:t>
      </w:r>
      <w:r w:rsidRPr="003024E5">
        <w:rPr>
          <w:rFonts w:asciiTheme="minorBidi" w:hAnsiTheme="minorBidi"/>
          <w:sz w:val="16"/>
          <w:szCs w:val="16"/>
          <w:rtl/>
        </w:rPr>
        <w:t xml:space="preserve">   (ב"י [או"ח סי' קעג] ודרכ"מ [כאן סק"ו])</w:t>
      </w:r>
    </w:p>
    <w:p w14:paraId="4CA25309" w14:textId="77777777" w:rsidR="002C39F4" w:rsidRPr="003024E5" w:rsidRDefault="002C39F4" w:rsidP="0032102C">
      <w:pPr>
        <w:pStyle w:val="a8"/>
        <w:numPr>
          <w:ilvl w:val="0"/>
          <w:numId w:val="149"/>
        </w:numPr>
        <w:rPr>
          <w:rFonts w:asciiTheme="minorBidi" w:hAnsiTheme="minorBidi"/>
        </w:rPr>
      </w:pPr>
      <w:r w:rsidRPr="003024E5">
        <w:rPr>
          <w:rFonts w:asciiTheme="minorBidi" w:hAnsiTheme="minorBidi"/>
          <w:rtl/>
        </w:rPr>
        <w:t>ה"ר יונה וטור</w:t>
      </w:r>
      <w:r w:rsidRPr="003024E5">
        <w:rPr>
          <w:rStyle w:val="a7"/>
          <w:rFonts w:asciiTheme="minorBidi" w:hAnsiTheme="minorBidi"/>
          <w:rtl/>
        </w:rPr>
        <w:footnoteReference w:id="1174"/>
      </w:r>
      <w:r w:rsidRPr="003024E5">
        <w:rPr>
          <w:rFonts w:asciiTheme="minorBidi" w:hAnsiTheme="minorBidi"/>
          <w:rtl/>
        </w:rPr>
        <w:t>- אחר מרק של בשר ודאי מותר לאכול גבינה בקינוח והדחה</w:t>
      </w:r>
      <w:r w:rsidRPr="003024E5">
        <w:rPr>
          <w:rStyle w:val="a7"/>
          <w:rFonts w:asciiTheme="minorBidi" w:hAnsiTheme="minorBidi"/>
          <w:rtl/>
        </w:rPr>
        <w:footnoteReference w:id="1175"/>
      </w:r>
      <w:r w:rsidRPr="003024E5">
        <w:rPr>
          <w:rFonts w:asciiTheme="minorBidi" w:hAnsiTheme="minorBidi"/>
          <w:rtl/>
        </w:rPr>
        <w:t>, שלא הצריכו שהייה אלא כשאוכל בשר מפני הבשר שבין השינים אבל במרק דליתא להאי חששא ודאי מותר</w:t>
      </w:r>
      <w:r w:rsidRPr="003024E5">
        <w:rPr>
          <w:rFonts w:asciiTheme="minorBidi" w:hAnsiTheme="minorBidi"/>
          <w:sz w:val="16"/>
          <w:szCs w:val="16"/>
          <w:rtl/>
        </w:rPr>
        <w:t xml:space="preserve"> (ל' רבינו יונה)</w:t>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0A5856BE" w14:textId="77777777" w:rsidR="002C39F4" w:rsidRPr="003024E5" w:rsidRDefault="002C39F4" w:rsidP="0032102C">
      <w:pPr>
        <w:pStyle w:val="a8"/>
        <w:numPr>
          <w:ilvl w:val="0"/>
          <w:numId w:val="149"/>
        </w:numPr>
        <w:rPr>
          <w:rFonts w:asciiTheme="minorBidi" w:hAnsiTheme="minorBidi"/>
        </w:rPr>
      </w:pPr>
      <w:r w:rsidRPr="003024E5">
        <w:rPr>
          <w:rFonts w:asciiTheme="minorBidi" w:hAnsiTheme="minorBidi"/>
          <w:rtl/>
        </w:rPr>
        <w:t xml:space="preserve">רי"ו </w:t>
      </w:r>
      <w:r w:rsidRPr="003024E5">
        <w:rPr>
          <w:rFonts w:asciiTheme="minorBidi" w:hAnsiTheme="minorBidi"/>
          <w:sz w:val="16"/>
          <w:szCs w:val="16"/>
          <w:rtl/>
        </w:rPr>
        <w:t>(נט"ו אות כח)</w:t>
      </w:r>
      <w:r w:rsidRPr="003024E5">
        <w:rPr>
          <w:rFonts w:asciiTheme="minorBidi" w:hAnsiTheme="minorBidi"/>
          <w:rtl/>
        </w:rPr>
        <w:t>- ראיתי לרבותי נוהגים כן דוקא מרק בשר שהוא צלול</w:t>
      </w:r>
      <w:r>
        <w:rPr>
          <w:rFonts w:asciiTheme="minorBidi" w:hAnsiTheme="minorBidi" w:hint="cs"/>
          <w:rtl/>
        </w:rPr>
        <w:t>,</w:t>
      </w:r>
      <w:r w:rsidRPr="003024E5">
        <w:rPr>
          <w:rFonts w:asciiTheme="minorBidi" w:hAnsiTheme="minorBidi"/>
          <w:rtl/>
        </w:rPr>
        <w:t xml:space="preserve"> אבל עב כגון עם ירקות וכיוצא בו אסור לאכול אחריו גבינה עד סעודה אחרת שמא יש במרק בשר ואינו נראה. </w:t>
      </w:r>
    </w:p>
    <w:p w14:paraId="7A0472AA" w14:textId="77777777" w:rsidR="002C39F4" w:rsidRDefault="002C39F4" w:rsidP="0032102C">
      <w:pPr>
        <w:pStyle w:val="a8"/>
        <w:numPr>
          <w:ilvl w:val="1"/>
          <w:numId w:val="149"/>
        </w:numPr>
        <w:rPr>
          <w:rFonts w:asciiTheme="minorBidi" w:hAnsiTheme="minorBidi"/>
          <w:color w:val="FF0000"/>
        </w:rPr>
      </w:pPr>
      <w:r w:rsidRPr="003024E5">
        <w:rPr>
          <w:rFonts w:asciiTheme="minorBidi" w:hAnsiTheme="minorBidi"/>
          <w:rtl/>
        </w:rPr>
        <w:t>ב"י- נהגו העולם שלא לאכול גבינה אחר תבשיל של בשר כלל ואין לפרוץ גדר</w:t>
      </w:r>
      <w:r w:rsidRPr="003024E5">
        <w:rPr>
          <w:rStyle w:val="a7"/>
          <w:rFonts w:asciiTheme="minorBidi" w:hAnsiTheme="minorBidi"/>
          <w:rtl/>
        </w:rPr>
        <w:footnoteReference w:id="1176"/>
      </w:r>
      <w:r w:rsidRPr="003024E5">
        <w:rPr>
          <w:rFonts w:asciiTheme="minorBidi" w:hAnsiTheme="minorBidi"/>
          <w:rtl/>
        </w:rPr>
        <w:t xml:space="preserve">, מיהו אם אין בשר בתבשיל אע"פ שנתבשל בקדרה שמבשלין בה בשר לא נהגו להחמיר ומותר לאכול אחריו גבינה. </w:t>
      </w:r>
      <w:r w:rsidRPr="003024E5">
        <w:rPr>
          <w:rFonts w:asciiTheme="minorBidi" w:hAnsiTheme="minorBidi"/>
          <w:color w:val="00B0F0"/>
          <w:rtl/>
        </w:rPr>
        <w:t>(וכ"פ הרמ"א)</w:t>
      </w:r>
    </w:p>
    <w:p w14:paraId="17AFD414" w14:textId="77777777" w:rsidR="002C39F4" w:rsidRPr="001E3280" w:rsidRDefault="002C39F4" w:rsidP="002C39F4">
      <w:pPr>
        <w:rPr>
          <w:rFonts w:asciiTheme="minorBidi" w:hAnsiTheme="minorBidi"/>
          <w:color w:val="FF0000"/>
          <w:rtl/>
        </w:rPr>
      </w:pPr>
      <w:r w:rsidRPr="001E3280">
        <w:rPr>
          <w:rFonts w:asciiTheme="minorBidi" w:hAnsiTheme="minorBidi"/>
          <w:u w:val="single"/>
          <w:rtl/>
        </w:rPr>
        <w:t xml:space="preserve">אכילת גבינה אחר </w:t>
      </w:r>
      <w:r>
        <w:rPr>
          <w:rFonts w:asciiTheme="minorBidi" w:hAnsiTheme="minorBidi" w:hint="cs"/>
          <w:b/>
          <w:bCs/>
          <w:u w:val="single"/>
          <w:rtl/>
        </w:rPr>
        <w:t>שומן</w:t>
      </w:r>
      <w:r w:rsidRPr="001E3280">
        <w:rPr>
          <w:rFonts w:asciiTheme="minorBidi" w:hAnsiTheme="minorBidi"/>
          <w:u w:val="single"/>
          <w:rtl/>
        </w:rPr>
        <w:t xml:space="preserve"> של בשר:</w:t>
      </w:r>
      <w:r w:rsidRPr="001E3280">
        <w:rPr>
          <w:rFonts w:asciiTheme="minorBidi" w:hAnsiTheme="minorBidi"/>
          <w:sz w:val="16"/>
          <w:szCs w:val="16"/>
          <w:rtl/>
        </w:rPr>
        <w:t xml:space="preserve">   (ב"י [או"ח סי' קעג] ודרכ"מ [כאן סק"ו])</w:t>
      </w:r>
    </w:p>
    <w:p w14:paraId="4F67C188" w14:textId="77777777" w:rsidR="002C39F4" w:rsidRDefault="002C39F4" w:rsidP="0032102C">
      <w:pPr>
        <w:pStyle w:val="a8"/>
        <w:numPr>
          <w:ilvl w:val="0"/>
          <w:numId w:val="155"/>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(ח"א סי' שז)</w:t>
      </w:r>
      <w:r w:rsidRPr="003024E5">
        <w:rPr>
          <w:rFonts w:asciiTheme="minorBidi" w:hAnsiTheme="minorBidi"/>
          <w:rtl/>
        </w:rPr>
        <w:t xml:space="preserve"> </w:t>
      </w:r>
      <w:r>
        <w:rPr>
          <w:rFonts w:asciiTheme="minorBidi" w:hAnsiTheme="minorBidi" w:cs="Arial" w:hint="cs"/>
          <w:rtl/>
        </w:rPr>
        <w:t>מרדכי</w:t>
      </w:r>
      <w:r w:rsidRPr="003024E5">
        <w:rPr>
          <w:rStyle w:val="a7"/>
          <w:rFonts w:asciiTheme="minorBidi" w:hAnsiTheme="minorBidi"/>
          <w:rtl/>
        </w:rPr>
        <w:footnoteReference w:id="1177"/>
      </w:r>
      <w:r w:rsidRPr="00073B31">
        <w:rPr>
          <w:rFonts w:asciiTheme="minorBidi" w:hAnsiTheme="minorBidi" w:cs="Arial" w:hint="cs"/>
          <w:sz w:val="16"/>
          <w:szCs w:val="16"/>
          <w:rtl/>
        </w:rPr>
        <w:t xml:space="preserve"> (חולין סי' תרפז)</w:t>
      </w:r>
      <w:r>
        <w:rPr>
          <w:rFonts w:asciiTheme="minorBidi" w:hAnsiTheme="minorBidi" w:cs="Arial" w:hint="cs"/>
          <w:rtl/>
        </w:rPr>
        <w:t xml:space="preserve"> בשם הגה"מ</w:t>
      </w:r>
      <w:r>
        <w:rPr>
          <w:rFonts w:asciiTheme="minorBidi" w:hAnsiTheme="minorBidi" w:hint="cs"/>
          <w:rtl/>
        </w:rPr>
        <w:t>-</w:t>
      </w:r>
      <w:r w:rsidRPr="003024E5">
        <w:rPr>
          <w:rFonts w:asciiTheme="minorBidi" w:hAnsiTheme="minorBidi"/>
          <w:rtl/>
        </w:rPr>
        <w:t xml:space="preserve"> שומן בשר כבשר עצמו</w:t>
      </w:r>
      <w:r>
        <w:rPr>
          <w:rStyle w:val="a7"/>
          <w:rFonts w:asciiTheme="minorBidi" w:hAnsiTheme="minorBidi"/>
          <w:rtl/>
        </w:rPr>
        <w:footnoteReference w:id="1178"/>
      </w:r>
      <w:r w:rsidRPr="003024E5">
        <w:rPr>
          <w:rFonts w:asciiTheme="minorBidi" w:hAnsiTheme="minorBidi"/>
          <w:rtl/>
        </w:rPr>
        <w:t>.</w:t>
      </w:r>
      <w:r w:rsidRPr="003024E5">
        <w:rPr>
          <w:rFonts w:asciiTheme="minorBidi" w:hAnsiTheme="minorBidi"/>
          <w:color w:val="00B0F0"/>
          <w:rtl/>
        </w:rPr>
        <w:t xml:space="preserve"> (וכ"פ הרמ"א)</w:t>
      </w:r>
      <w:r w:rsidRPr="001E3280">
        <w:rPr>
          <w:rFonts w:asciiTheme="minorBidi" w:hAnsiTheme="minorBidi"/>
          <w:rtl/>
        </w:rPr>
        <w:t xml:space="preserve"> </w:t>
      </w:r>
    </w:p>
    <w:p w14:paraId="5A785612" w14:textId="77777777" w:rsidR="002C39F4" w:rsidRPr="00BA2951" w:rsidRDefault="002C39F4" w:rsidP="0032102C">
      <w:pPr>
        <w:pStyle w:val="a8"/>
        <w:numPr>
          <w:ilvl w:val="0"/>
          <w:numId w:val="155"/>
        </w:numPr>
        <w:rPr>
          <w:rFonts w:asciiTheme="minorBidi" w:hAnsiTheme="minorBidi"/>
          <w:rtl/>
        </w:rPr>
      </w:pPr>
      <w:r>
        <w:rPr>
          <w:rFonts w:asciiTheme="minorBidi" w:hAnsiTheme="minorBidi" w:hint="cs"/>
          <w:rtl/>
        </w:rPr>
        <w:t>ר"פ</w:t>
      </w:r>
      <w:r w:rsidRPr="003024E5">
        <w:rPr>
          <w:rStyle w:val="a7"/>
          <w:rFonts w:asciiTheme="minorBidi" w:hAnsiTheme="minorBidi"/>
          <w:rtl/>
        </w:rPr>
        <w:footnoteReference w:id="1179"/>
      </w:r>
      <w:r w:rsidRPr="003024E5">
        <w:rPr>
          <w:rFonts w:asciiTheme="minorBidi" w:hAnsiTheme="minorBidi"/>
          <w:rtl/>
        </w:rPr>
        <w:t xml:space="preserve"> </w:t>
      </w:r>
      <w:r w:rsidRPr="003024E5">
        <w:rPr>
          <w:rFonts w:asciiTheme="minorBidi" w:hAnsiTheme="minorBidi"/>
          <w:sz w:val="16"/>
          <w:szCs w:val="16"/>
          <w:rtl/>
        </w:rPr>
        <w:t>(</w:t>
      </w:r>
      <w:r>
        <w:rPr>
          <w:rFonts w:asciiTheme="minorBidi" w:hAnsiTheme="minorBidi" w:hint="cs"/>
          <w:sz w:val="16"/>
          <w:szCs w:val="16"/>
          <w:rtl/>
        </w:rPr>
        <w:t>הגה' סמ"ק סי' ריג אות ט</w:t>
      </w:r>
      <w:r w:rsidRPr="003024E5">
        <w:rPr>
          <w:rFonts w:asciiTheme="minorBidi" w:hAnsiTheme="minorBidi"/>
          <w:sz w:val="16"/>
          <w:szCs w:val="16"/>
          <w:rtl/>
        </w:rPr>
        <w:t>)</w:t>
      </w:r>
      <w:r w:rsidRPr="003024E5">
        <w:rPr>
          <w:rFonts w:asciiTheme="minorBidi" w:hAnsiTheme="minorBidi"/>
          <w:rtl/>
        </w:rPr>
        <w:t xml:space="preserve">- </w:t>
      </w:r>
      <w:r>
        <w:rPr>
          <w:rFonts w:asciiTheme="minorBidi" w:hAnsiTheme="minorBidi" w:hint="cs"/>
          <w:rtl/>
        </w:rPr>
        <w:t>הא דצריך לשהות בין אכילת בשרת לאכילת חלב הוא "</w:t>
      </w:r>
      <w:r w:rsidRPr="00E22D30">
        <w:rPr>
          <w:rFonts w:asciiTheme="minorBidi" w:hAnsiTheme="minorBidi" w:cs="Arial"/>
          <w:rtl/>
        </w:rPr>
        <w:t>דוקא כשהוא אוכל בשר בעין</w:t>
      </w:r>
      <w:r>
        <w:rPr>
          <w:rFonts w:asciiTheme="minorBidi" w:hAnsiTheme="minorBidi" w:cs="Arial" w:hint="cs"/>
          <w:rtl/>
        </w:rPr>
        <w:t>,</w:t>
      </w:r>
      <w:r w:rsidRPr="00E22D30">
        <w:rPr>
          <w:rFonts w:asciiTheme="minorBidi" w:hAnsiTheme="minorBidi" w:cs="Arial"/>
          <w:rtl/>
        </w:rPr>
        <w:t xml:space="preserve"> אבל אם אכל תבשיל של בשר</w:t>
      </w:r>
      <w:r>
        <w:rPr>
          <w:rFonts w:asciiTheme="minorBidi" w:hAnsiTheme="minorBidi" w:cs="Arial" w:hint="cs"/>
          <w:rtl/>
        </w:rPr>
        <w:t>,</w:t>
      </w:r>
      <w:r w:rsidRPr="00E22D30">
        <w:rPr>
          <w:rFonts w:asciiTheme="minorBidi" w:hAnsiTheme="minorBidi" w:cs="Arial"/>
          <w:rtl/>
        </w:rPr>
        <w:t xml:space="preserve"> כגון בצים מטוגנים בשומן או של ינקוק"ה</w:t>
      </w:r>
      <w:r>
        <w:rPr>
          <w:rFonts w:asciiTheme="minorBidi" w:hAnsiTheme="minorBidi" w:cs="Arial" w:hint="cs"/>
          <w:rtl/>
        </w:rPr>
        <w:t>,</w:t>
      </w:r>
      <w:r w:rsidRPr="00E22D30">
        <w:rPr>
          <w:rFonts w:asciiTheme="minorBidi" w:hAnsiTheme="minorBidi" w:cs="Arial"/>
          <w:rtl/>
        </w:rPr>
        <w:t xml:space="preserve"> מותר לאכול גבינה אחריו ע"י קנוח והדחה לכל הפירושים</w:t>
      </w:r>
      <w:r>
        <w:rPr>
          <w:rFonts w:asciiTheme="minorBidi" w:hAnsiTheme="minorBidi" w:cs="Arial" w:hint="cs"/>
          <w:rtl/>
        </w:rPr>
        <w:t>,</w:t>
      </w:r>
      <w:r w:rsidRPr="00E22D30">
        <w:rPr>
          <w:rFonts w:asciiTheme="minorBidi" w:hAnsiTheme="minorBidi" w:cs="Arial"/>
          <w:rtl/>
        </w:rPr>
        <w:t xml:space="preserve"> כדפירשו בתוס</w:t>
      </w:r>
      <w:r>
        <w:rPr>
          <w:rFonts w:asciiTheme="minorBidi" w:hAnsiTheme="minorBidi" w:cs="Arial" w:hint="cs"/>
          <w:rtl/>
        </w:rPr>
        <w:t>'</w:t>
      </w:r>
      <w:r w:rsidRPr="00E22D30">
        <w:rPr>
          <w:rFonts w:asciiTheme="minorBidi" w:hAnsiTheme="minorBidi" w:cs="Arial"/>
          <w:rtl/>
        </w:rPr>
        <w:t xml:space="preserve"> גבי ההיא דקאמר אבל בין תבשיל לגבינ</w:t>
      </w:r>
      <w:r>
        <w:rPr>
          <w:rFonts w:asciiTheme="minorBidi" w:hAnsiTheme="minorBidi" w:cs="Arial" w:hint="cs"/>
          <w:rtl/>
        </w:rPr>
        <w:t>ה</w:t>
      </w:r>
      <w:r w:rsidRPr="00E22D30">
        <w:rPr>
          <w:rFonts w:asciiTheme="minorBidi" w:hAnsiTheme="minorBidi" w:cs="Arial"/>
          <w:rtl/>
        </w:rPr>
        <w:t xml:space="preserve"> חובה</w:t>
      </w:r>
      <w:r>
        <w:rPr>
          <w:rFonts w:asciiTheme="minorBidi" w:hAnsiTheme="minorBidi" w:cs="Arial" w:hint="cs"/>
          <w:rtl/>
        </w:rPr>
        <w:t>"</w:t>
      </w:r>
      <w:r w:rsidRPr="003024E5">
        <w:rPr>
          <w:rStyle w:val="a7"/>
          <w:rFonts w:asciiTheme="minorBidi" w:hAnsiTheme="minorBidi"/>
          <w:rtl/>
        </w:rPr>
        <w:footnoteReference w:id="1180"/>
      </w:r>
      <w:r w:rsidRPr="003024E5">
        <w:rPr>
          <w:rFonts w:asciiTheme="minorBidi" w:hAnsiTheme="minorBidi"/>
          <w:rtl/>
        </w:rPr>
        <w:t>.</w:t>
      </w:r>
      <w:r>
        <w:rPr>
          <w:rFonts w:asciiTheme="minorBidi" w:hAnsiTheme="minorBidi" w:hint="cs"/>
          <w:rtl/>
        </w:rPr>
        <w:t xml:space="preserve"> </w:t>
      </w:r>
    </w:p>
    <w:p w14:paraId="558ADE4F" w14:textId="77777777" w:rsidR="002C39F4" w:rsidRPr="003024E5" w:rsidRDefault="002C39F4" w:rsidP="002C39F4">
      <w:pPr>
        <w:rPr>
          <w:rFonts w:asciiTheme="minorBidi" w:hAnsiTheme="minorBidi"/>
          <w:u w:val="single"/>
        </w:rPr>
      </w:pPr>
      <w:r w:rsidRPr="003024E5">
        <w:rPr>
          <w:rFonts w:asciiTheme="minorBidi" w:hAnsiTheme="minorBidi"/>
          <w:u w:val="single"/>
          <w:rtl/>
        </w:rPr>
        <w:t>אכילת תבשיל של גבינה אחר תבשיל של בשר</w:t>
      </w:r>
      <w:r w:rsidRPr="003024E5">
        <w:rPr>
          <w:rFonts w:asciiTheme="minorBidi" w:hAnsiTheme="minorBidi"/>
          <w:sz w:val="16"/>
          <w:szCs w:val="16"/>
          <w:u w:val="single"/>
          <w:rtl/>
        </w:rPr>
        <w:t xml:space="preserve"> (ולהפך)</w:t>
      </w:r>
      <w:r w:rsidRPr="003024E5">
        <w:rPr>
          <w:rFonts w:asciiTheme="minorBidi" w:hAnsiTheme="minorBidi"/>
          <w:u w:val="single"/>
          <w:rtl/>
        </w:rPr>
        <w:t>:</w:t>
      </w:r>
      <w:r w:rsidRPr="003024E5">
        <w:rPr>
          <w:rFonts w:asciiTheme="minorBidi" w:hAnsiTheme="minorBidi"/>
          <w:sz w:val="16"/>
          <w:szCs w:val="16"/>
          <w:rtl/>
        </w:rPr>
        <w:t xml:space="preserve">   (טור [כאן] ב"י [או"ח סי' קעג] ודרכ"מ [כאן סק"ז])</w:t>
      </w:r>
    </w:p>
    <w:p w14:paraId="4B7F5A82" w14:textId="77777777" w:rsidR="002C39F4" w:rsidRPr="003024E5" w:rsidRDefault="002C39F4" w:rsidP="0032102C">
      <w:pPr>
        <w:pStyle w:val="a8"/>
        <w:numPr>
          <w:ilvl w:val="0"/>
          <w:numId w:val="156"/>
        </w:numPr>
        <w:rPr>
          <w:rFonts w:asciiTheme="minorBidi" w:hAnsiTheme="minorBidi"/>
        </w:rPr>
      </w:pPr>
      <w:r w:rsidRPr="003024E5">
        <w:rPr>
          <w:rFonts w:asciiTheme="minorBidi" w:hAnsiTheme="minorBidi"/>
          <w:rtl/>
        </w:rPr>
        <w:t xml:space="preserve">טור- אם אוכל תבשיל של בשר מותר לאכול אחריו תבשיל של גבינה, ואפילו הנטילה ביניהם אינה אלא רשות. </w:t>
      </w:r>
      <w:r w:rsidRPr="003024E5">
        <w:rPr>
          <w:rFonts w:asciiTheme="minorBidi" w:hAnsiTheme="minorBidi"/>
          <w:color w:val="E36C0A" w:themeColor="accent6" w:themeShade="BF"/>
          <w:rtl/>
        </w:rPr>
        <w:t>(וכ"פ בשו"ע)</w:t>
      </w:r>
    </w:p>
    <w:p w14:paraId="6FC016F3" w14:textId="77777777" w:rsidR="002C39F4" w:rsidRDefault="002C39F4" w:rsidP="0032102C">
      <w:pPr>
        <w:pStyle w:val="a8"/>
        <w:numPr>
          <w:ilvl w:val="0"/>
          <w:numId w:val="156"/>
        </w:numPr>
        <w:rPr>
          <w:rFonts w:asciiTheme="minorBidi" w:hAnsiTheme="minorBidi"/>
        </w:rPr>
      </w:pPr>
      <w:r w:rsidRPr="003024E5">
        <w:rPr>
          <w:rFonts w:asciiTheme="minorBidi" w:hAnsiTheme="minorBidi"/>
          <w:rtl/>
        </w:rPr>
        <w:t>או"ז</w:t>
      </w:r>
      <w:r w:rsidRPr="003024E5">
        <w:rPr>
          <w:rStyle w:val="a7"/>
          <w:rFonts w:asciiTheme="minorBidi" w:hAnsiTheme="minorBidi"/>
          <w:rtl/>
        </w:rPr>
        <w:footnoteReference w:id="1181"/>
      </w:r>
      <w:r w:rsidRPr="003024E5">
        <w:rPr>
          <w:rFonts w:asciiTheme="minorBidi" w:hAnsiTheme="minorBidi"/>
          <w:rtl/>
        </w:rPr>
        <w:t xml:space="preserve"> בשם רשב"ם- אם אכל תבשיל של גבינה ורוצה לאכול תבשיל של בשר צריך נטילה אפילו ביום, מפני שהתבשיל נדבק בידים יותר מגבינה עצמו</w:t>
      </w:r>
      <w:r w:rsidRPr="003024E5">
        <w:rPr>
          <w:rStyle w:val="a7"/>
          <w:rFonts w:asciiTheme="minorBidi" w:hAnsiTheme="minorBidi"/>
          <w:rtl/>
        </w:rPr>
        <w:footnoteReference w:id="1182"/>
      </w:r>
      <w:r w:rsidRPr="003024E5">
        <w:rPr>
          <w:rFonts w:asciiTheme="minorBidi" w:hAnsiTheme="minorBidi"/>
          <w:rtl/>
        </w:rPr>
        <w:t xml:space="preserve">. </w:t>
      </w:r>
      <w:r w:rsidRPr="00CC0177">
        <w:rPr>
          <w:rFonts w:asciiTheme="minorBidi" w:hAnsiTheme="minorBidi" w:hint="cs"/>
          <w:color w:val="00B0F0"/>
          <w:rtl/>
        </w:rPr>
        <w:t>(וכ"פ הרמ"א</w:t>
      </w:r>
      <w:r w:rsidR="00B11C4F">
        <w:rPr>
          <w:rFonts w:asciiTheme="minorBidi" w:hAnsiTheme="minorBidi" w:hint="cs"/>
          <w:color w:val="000000" w:themeColor="text1"/>
          <w:sz w:val="16"/>
          <w:szCs w:val="16"/>
          <w:rtl/>
        </w:rPr>
        <w:t xml:space="preserve"> [לגבי </w:t>
      </w:r>
      <w:r w:rsidR="002955C7">
        <w:rPr>
          <w:rFonts w:asciiTheme="minorBidi" w:hAnsiTheme="minorBidi" w:hint="cs"/>
          <w:color w:val="000000" w:themeColor="text1"/>
          <w:sz w:val="16"/>
          <w:szCs w:val="16"/>
          <w:rtl/>
        </w:rPr>
        <w:t>אכילת בשר לאחר תבשיל גבינה]</w:t>
      </w:r>
      <w:r w:rsidRPr="00CC0177">
        <w:rPr>
          <w:rFonts w:asciiTheme="minorBidi" w:hAnsiTheme="minorBidi" w:hint="cs"/>
          <w:color w:val="00B0F0"/>
          <w:rtl/>
        </w:rPr>
        <w:t xml:space="preserve">) </w:t>
      </w:r>
      <w:r w:rsidRPr="003024E5">
        <w:rPr>
          <w:rFonts w:asciiTheme="minorBidi" w:hAnsiTheme="minorBidi"/>
          <w:rtl/>
        </w:rPr>
        <w:t>(וכ"</w:t>
      </w:r>
      <w:r>
        <w:rPr>
          <w:rFonts w:asciiTheme="minorBidi" w:hAnsiTheme="minorBidi" w:hint="cs"/>
          <w:rtl/>
        </w:rPr>
        <w:t>פ ה</w:t>
      </w:r>
      <w:r w:rsidRPr="003024E5">
        <w:rPr>
          <w:rFonts w:asciiTheme="minorBidi" w:hAnsiTheme="minorBidi"/>
          <w:rtl/>
        </w:rPr>
        <w:t>ש"ך</w:t>
      </w:r>
      <w:r w:rsidRPr="003024E5">
        <w:rPr>
          <w:rFonts w:asciiTheme="minorBidi" w:hAnsiTheme="minorBidi"/>
          <w:sz w:val="16"/>
          <w:szCs w:val="16"/>
          <w:rtl/>
        </w:rPr>
        <w:t xml:space="preserve"> [סק"כ]</w:t>
      </w:r>
      <w:r w:rsidRPr="003024E5">
        <w:rPr>
          <w:rFonts w:asciiTheme="minorBidi" w:hAnsiTheme="minorBidi"/>
          <w:rtl/>
        </w:rPr>
        <w:t>)</w:t>
      </w:r>
    </w:p>
    <w:p w14:paraId="373D4D6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5D05731" w14:textId="77777777" w:rsidR="002C39F4" w:rsidRPr="003024E5" w:rsidRDefault="002C39F4" w:rsidP="002C39F4">
      <w:pPr>
        <w:rPr>
          <w:rFonts w:asciiTheme="minorBidi" w:hAnsiTheme="minorBidi"/>
          <w:rtl/>
        </w:rPr>
      </w:pPr>
      <w:r w:rsidRPr="003024E5">
        <w:rPr>
          <w:rFonts w:asciiTheme="minorBidi" w:hAnsiTheme="minorBidi"/>
          <w:rtl/>
        </w:rPr>
        <w:t>אכל תבשיל של בשר מותר לאכול אחריו תבשיל של גבינה, והנטילה ביניהם אינה אלא רשות.</w:t>
      </w:r>
      <w:r w:rsidRPr="003024E5">
        <w:rPr>
          <w:rFonts w:asciiTheme="minorBidi" w:hAnsiTheme="minorBidi"/>
          <w:sz w:val="18"/>
          <w:szCs w:val="18"/>
          <w:rtl/>
        </w:rPr>
        <w:t xml:space="preserve"> [הגה] ויש מצריכים נטילה (</w:t>
      </w:r>
      <w:r>
        <w:rPr>
          <w:rFonts w:asciiTheme="minorBidi" w:hAnsiTheme="minorBidi" w:hint="cs"/>
          <w:sz w:val="18"/>
          <w:szCs w:val="18"/>
          <w:rtl/>
        </w:rPr>
        <w:t xml:space="preserve">או"ז בשם רשב"ם וכ"כ </w:t>
      </w:r>
      <w:r w:rsidRPr="003024E5">
        <w:rPr>
          <w:rFonts w:asciiTheme="minorBidi" w:hAnsiTheme="minorBidi"/>
          <w:sz w:val="18"/>
          <w:szCs w:val="18"/>
          <w:rtl/>
        </w:rPr>
        <w:t>שערים והגשע"ד).</w:t>
      </w:r>
      <w:r w:rsidRPr="003024E5">
        <w:rPr>
          <w:rFonts w:asciiTheme="minorBidi" w:hAnsiTheme="minorBidi"/>
          <w:rtl/>
        </w:rPr>
        <w:t xml:space="preserve"> אבל אם בא לאכול הגבינה עצמה אחר תבשיל של בשר, או הבשר עצמו אחר תבשיל של גבינה, חובה ליטול ידיו. </w:t>
      </w:r>
      <w:r w:rsidRPr="003024E5">
        <w:rPr>
          <w:rFonts w:asciiTheme="minorBidi" w:hAnsiTheme="minorBidi"/>
          <w:sz w:val="18"/>
          <w:szCs w:val="18"/>
          <w:rtl/>
        </w:rPr>
        <w:t>הגה: ושומן של בשר דינו כבשר עצמו</w:t>
      </w:r>
      <w:r w:rsidRPr="003024E5">
        <w:rPr>
          <w:rStyle w:val="a7"/>
          <w:rFonts w:asciiTheme="minorBidi" w:hAnsiTheme="minorBidi"/>
          <w:sz w:val="18"/>
          <w:szCs w:val="18"/>
          <w:rtl/>
        </w:rPr>
        <w:footnoteReference w:id="1183"/>
      </w:r>
      <w:r w:rsidRPr="003024E5">
        <w:rPr>
          <w:rFonts w:asciiTheme="minorBidi" w:hAnsiTheme="minorBidi"/>
          <w:sz w:val="18"/>
          <w:szCs w:val="18"/>
          <w:rtl/>
        </w:rPr>
        <w:t xml:space="preserve"> (רשב"א מרדכי והגשע"ד), ונהגו עכשיו להחמיר שלא לאכול גבינה אחר תבשיל בשר כמו אחר בשר עצמו ואין לשנות ולפרוץ גדר (ב"י), מיהו אם אין בשר בתבשיל רק שנתבשל בקדירה של בשר מותר לאכול אחריו גבינה</w:t>
      </w:r>
      <w:r w:rsidRPr="003024E5">
        <w:rPr>
          <w:rStyle w:val="a7"/>
          <w:rFonts w:asciiTheme="minorBidi" w:hAnsiTheme="minorBidi"/>
          <w:sz w:val="18"/>
          <w:szCs w:val="18"/>
          <w:rtl/>
        </w:rPr>
        <w:footnoteReference w:id="1184"/>
      </w:r>
      <w:r w:rsidRPr="003024E5">
        <w:rPr>
          <w:rFonts w:asciiTheme="minorBidi" w:hAnsiTheme="minorBidi"/>
          <w:sz w:val="18"/>
          <w:szCs w:val="18"/>
          <w:rtl/>
        </w:rPr>
        <w:t xml:space="preserve"> (שם), ואין בו מנהג להחמיר, וכן נוהגין לאכול בשר אחר תבשיל שיש בו גבינה או חלב, מיהו יש ליטול ידיו ביניהם</w:t>
      </w:r>
      <w:r w:rsidRPr="003024E5">
        <w:rPr>
          <w:rStyle w:val="a7"/>
          <w:rFonts w:asciiTheme="minorBidi" w:hAnsiTheme="minorBidi"/>
          <w:sz w:val="18"/>
          <w:szCs w:val="18"/>
          <w:rtl/>
        </w:rPr>
        <w:footnoteReference w:id="1185"/>
      </w:r>
      <w:r w:rsidRPr="003024E5">
        <w:rPr>
          <w:rFonts w:asciiTheme="minorBidi" w:hAnsiTheme="minorBidi"/>
          <w:sz w:val="18"/>
          <w:szCs w:val="18"/>
          <w:rtl/>
        </w:rPr>
        <w:t>, ואפילו לא יאכל בשר ממש רק תבשיל של בשר אחר תבשיל של גבינה אם נגע בהן בידיו (בשערים והגשע"ד), שמש המשמש בסעודה ונוגע באוכלין אינו צריך נטילה, דלא הצריכו נטילה רק לאוכלים</w:t>
      </w:r>
      <w:r w:rsidRPr="003024E5">
        <w:rPr>
          <w:rStyle w:val="a7"/>
          <w:rFonts w:asciiTheme="minorBidi" w:hAnsiTheme="minorBidi"/>
          <w:sz w:val="18"/>
          <w:szCs w:val="18"/>
          <w:rtl/>
        </w:rPr>
        <w:footnoteReference w:id="1186"/>
      </w:r>
      <w:r w:rsidRPr="003024E5">
        <w:rPr>
          <w:rFonts w:asciiTheme="minorBidi" w:hAnsiTheme="minorBidi"/>
          <w:sz w:val="18"/>
          <w:szCs w:val="18"/>
          <w:rtl/>
        </w:rPr>
        <w:t xml:space="preserve"> (ב"י בשם רש"י</w:t>
      </w:r>
      <w:r>
        <w:rPr>
          <w:rFonts w:asciiTheme="minorBidi" w:hAnsiTheme="minorBidi" w:hint="cs"/>
          <w:sz w:val="18"/>
          <w:szCs w:val="18"/>
          <w:rtl/>
        </w:rPr>
        <w:t xml:space="preserve"> קז: ד"ה דטריד</w:t>
      </w:r>
      <w:r w:rsidRPr="003024E5">
        <w:rPr>
          <w:rFonts w:asciiTheme="minorBidi" w:hAnsiTheme="minorBidi"/>
          <w:sz w:val="18"/>
          <w:szCs w:val="18"/>
          <w:rtl/>
        </w:rPr>
        <w:t>).</w:t>
      </w:r>
    </w:p>
    <w:p w14:paraId="64ADD1A8" w14:textId="77777777" w:rsidR="002C39F4" w:rsidRPr="003024E5" w:rsidRDefault="002C39F4" w:rsidP="002C39F4">
      <w:pPr>
        <w:rPr>
          <w:rFonts w:asciiTheme="minorBidi" w:hAnsiTheme="minorBidi"/>
          <w:rtl/>
        </w:rPr>
      </w:pPr>
      <w:r w:rsidRPr="003024E5">
        <w:rPr>
          <w:rFonts w:asciiTheme="minorBidi" w:hAnsiTheme="minorBidi"/>
          <w:rtl/>
        </w:rPr>
        <w:t xml:space="preserve"> </w:t>
      </w:r>
    </w:p>
    <w:p w14:paraId="7B511895" w14:textId="77777777" w:rsidR="002C39F4" w:rsidRPr="003024E5" w:rsidRDefault="002C39F4" w:rsidP="002C39F4">
      <w:pPr>
        <w:pStyle w:val="2"/>
        <w:rPr>
          <w:rFonts w:asciiTheme="minorBidi" w:hAnsiTheme="minorBidi"/>
          <w:rtl/>
        </w:rPr>
      </w:pPr>
      <w:r w:rsidRPr="003024E5">
        <w:rPr>
          <w:rFonts w:asciiTheme="minorBidi" w:hAnsiTheme="minorBidi"/>
          <w:rtl/>
        </w:rPr>
        <w:t>סעיף ד: פעולות זהירות שיש לנקוט בין אכילת גבינה לאכילת בשר.</w:t>
      </w:r>
    </w:p>
    <w:p w14:paraId="71290450" w14:textId="77777777" w:rsidR="002C39F4" w:rsidRPr="003024E5" w:rsidRDefault="002C39F4" w:rsidP="002C39F4">
      <w:pPr>
        <w:rPr>
          <w:rFonts w:asciiTheme="minorBidi" w:hAnsiTheme="minorBidi"/>
          <w:rtl/>
        </w:rPr>
      </w:pPr>
      <w:r w:rsidRPr="003024E5">
        <w:rPr>
          <w:rFonts w:asciiTheme="minorBidi" w:hAnsiTheme="minorBidi"/>
          <w:b/>
          <w:bCs/>
          <w:rtl/>
        </w:rPr>
        <w:t>ירושלמי פסחים פ"ו ה"ד:</w:t>
      </w:r>
      <w:r w:rsidRPr="003024E5">
        <w:rPr>
          <w:rFonts w:asciiTheme="minorBidi" w:hAnsiTheme="minorBidi"/>
          <w:rtl/>
        </w:rPr>
        <w:t xml:space="preserve"> </w:t>
      </w:r>
      <w:r w:rsidRPr="003024E5">
        <w:rPr>
          <w:rStyle w:val="a7"/>
          <w:rFonts w:asciiTheme="minorBidi" w:hAnsiTheme="minorBidi"/>
          <w:rtl/>
        </w:rPr>
        <w:footnoteReference w:id="1187"/>
      </w:r>
      <w:r w:rsidRPr="003024E5">
        <w:rPr>
          <w:rFonts w:asciiTheme="minorBidi" w:hAnsiTheme="minorBidi"/>
          <w:rtl/>
        </w:rPr>
        <w:t>הדין דאכיל חוביץ ובעי למיכל קופר מבער פתיתין.</w:t>
      </w:r>
      <w:r w:rsidRPr="003024E5">
        <w:rPr>
          <w:rFonts w:asciiTheme="minorBidi" w:hAnsiTheme="minorBidi"/>
          <w:sz w:val="16"/>
          <w:szCs w:val="16"/>
          <w:rtl/>
        </w:rPr>
        <w:t xml:space="preserve"> (פירוש מי שאכל גבינה ורוצה לאכול בשר צריך לבער מעל השלחן שיורי פת שאכל עם הגבינה, טור [סי' צא]. </w:t>
      </w:r>
      <w:r w:rsidRPr="003024E5">
        <w:rPr>
          <w:rFonts w:asciiTheme="minorBidi" w:hAnsiTheme="minorBidi"/>
          <w:color w:val="E36C0A" w:themeColor="accent6" w:themeShade="BF"/>
          <w:sz w:val="16"/>
          <w:szCs w:val="16"/>
          <w:rtl/>
        </w:rPr>
        <w:t>(וכ"פ בשו"ע)</w:t>
      </w:r>
      <w:r w:rsidRPr="003024E5">
        <w:rPr>
          <w:rFonts w:asciiTheme="minorBidi" w:hAnsiTheme="minorBidi"/>
          <w:sz w:val="16"/>
          <w:szCs w:val="16"/>
          <w:rtl/>
        </w:rPr>
        <w:t>. וכ"כ האו"ז</w:t>
      </w:r>
      <w:r w:rsidRPr="003024E5">
        <w:rPr>
          <w:rFonts w:asciiTheme="minorBidi" w:hAnsiTheme="minorBidi"/>
          <w:sz w:val="10"/>
          <w:szCs w:val="10"/>
          <w:rtl/>
        </w:rPr>
        <w:t xml:space="preserve"> </w:t>
      </w:r>
      <w:r w:rsidRPr="003024E5">
        <w:rPr>
          <w:rFonts w:asciiTheme="minorBidi" w:hAnsiTheme="minorBidi"/>
          <w:sz w:val="12"/>
          <w:szCs w:val="12"/>
          <w:rtl/>
        </w:rPr>
        <w:t>(ח"א סי' תס, וכ"כ בשמו ההג"א [פכ"ה סי' ז])</w:t>
      </w:r>
      <w:r w:rsidRPr="003024E5">
        <w:rPr>
          <w:rFonts w:asciiTheme="minorBidi" w:hAnsiTheme="minorBidi"/>
          <w:sz w:val="16"/>
          <w:szCs w:val="16"/>
          <w:rtl/>
        </w:rPr>
        <w:t xml:space="preserve"> וז"ל- מצוה מן המובחר היכא שאכל גבינה ורוצה לאכול בשר צריך להעביר מעל השלחן הלחם וכל המאכל שעלו עם הגבינה על השלחן ואח"כ יביא בשר ויאכל)</w:t>
      </w:r>
    </w:p>
    <w:p w14:paraId="4D975863" w14:textId="77777777" w:rsidR="002C39F4" w:rsidRPr="003024E5" w:rsidRDefault="002C39F4" w:rsidP="002C39F4">
      <w:pPr>
        <w:rPr>
          <w:rFonts w:asciiTheme="minorBidi" w:hAnsiTheme="minorBidi"/>
          <w:u w:val="single"/>
          <w:rtl/>
        </w:rPr>
      </w:pPr>
      <w:r w:rsidRPr="003024E5">
        <w:rPr>
          <w:rFonts w:asciiTheme="minorBidi" w:hAnsiTheme="minorBidi"/>
          <w:u w:val="single"/>
          <w:rtl/>
        </w:rPr>
        <w:t xml:space="preserve">אכילת גבינה על מפה שאכלו עליה בשר, וחיתוך לחם/גבינה עם סכין שחתך בו בשר: </w:t>
      </w:r>
    </w:p>
    <w:p w14:paraId="4226BA63" w14:textId="77777777" w:rsidR="002C39F4" w:rsidRDefault="002C39F4" w:rsidP="0032102C">
      <w:pPr>
        <w:pStyle w:val="a8"/>
        <w:numPr>
          <w:ilvl w:val="0"/>
          <w:numId w:val="162"/>
        </w:numPr>
        <w:rPr>
          <w:rFonts w:asciiTheme="minorBidi" w:hAnsiTheme="minorBidi"/>
        </w:rPr>
      </w:pPr>
      <w:r w:rsidRPr="003024E5">
        <w:rPr>
          <w:rFonts w:asciiTheme="minorBidi" w:hAnsiTheme="minorBidi"/>
          <w:rtl/>
        </w:rPr>
        <w:t>רשב"א</w:t>
      </w:r>
      <w:r w:rsidRPr="003024E5">
        <w:rPr>
          <w:rStyle w:val="a7"/>
          <w:rFonts w:asciiTheme="minorBidi" w:hAnsiTheme="minorBidi"/>
          <w:rtl/>
        </w:rPr>
        <w:footnoteReference w:id="1188"/>
      </w:r>
      <w:r w:rsidRPr="003024E5">
        <w:rPr>
          <w:rFonts w:asciiTheme="minorBidi" w:hAnsiTheme="minorBidi"/>
          <w:rtl/>
        </w:rPr>
        <w:t>- אסור לאכול גבינה על מפה שאכלו בה בשר</w:t>
      </w:r>
      <w:r w:rsidRPr="003024E5">
        <w:rPr>
          <w:rStyle w:val="a7"/>
          <w:rFonts w:asciiTheme="minorBidi" w:hAnsiTheme="minorBidi"/>
          <w:rtl/>
        </w:rPr>
        <w:footnoteReference w:id="1189"/>
      </w:r>
      <w:r w:rsidRPr="003024E5">
        <w:rPr>
          <w:rFonts w:asciiTheme="minorBidi" w:hAnsiTheme="minorBidi"/>
          <w:rtl/>
        </w:rPr>
        <w:t>, וכל שכן שאסור לחתוך גבינה ואפילו צוננת בסכין שרגילין לחתוך בשר, ולא עוד אלא אפי' הפת שאוכלים עם הגבינה אסור לחתוך בסכין שחותכין בה בשר</w:t>
      </w:r>
      <w:r w:rsidRPr="003024E5">
        <w:rPr>
          <w:rStyle w:val="a7"/>
          <w:rFonts w:asciiTheme="minorBidi" w:hAnsiTheme="minorBidi"/>
          <w:rtl/>
        </w:rPr>
        <w:footnoteReference w:id="1190"/>
      </w:r>
      <w:r w:rsidRPr="003024E5">
        <w:rPr>
          <w:rFonts w:asciiTheme="minorBidi" w:hAnsiTheme="minorBidi"/>
          <w:rtl/>
        </w:rPr>
        <w:t>.</w:t>
      </w:r>
      <w:r w:rsidRPr="003024E5">
        <w:rPr>
          <w:rFonts w:asciiTheme="minorBidi" w:hAnsiTheme="minorBidi"/>
          <w:color w:val="E36C0A" w:themeColor="accent6" w:themeShade="BF"/>
          <w:rtl/>
        </w:rPr>
        <w:t xml:space="preserve"> (וכ"פ בשו"ע)</w:t>
      </w:r>
      <w:r w:rsidRPr="003024E5">
        <w:rPr>
          <w:rFonts w:asciiTheme="minorBidi" w:hAnsiTheme="minorBidi"/>
          <w:rtl/>
        </w:rPr>
        <w:t xml:space="preserve"> </w:t>
      </w:r>
    </w:p>
    <w:p w14:paraId="62C93B6F" w14:textId="77777777" w:rsidR="002C39F4" w:rsidRPr="00CD3B0F" w:rsidRDefault="002C39F4" w:rsidP="002C39F4">
      <w:pPr>
        <w:ind w:left="360"/>
        <w:rPr>
          <w:rFonts w:asciiTheme="minorBidi" w:hAnsiTheme="minorBidi"/>
          <w:u w:val="dotted"/>
        </w:rPr>
      </w:pPr>
      <w:r w:rsidRPr="00CD3B0F">
        <w:rPr>
          <w:rFonts w:asciiTheme="minorBidi" w:hAnsiTheme="minorBidi" w:hint="cs"/>
          <w:u w:val="dotted"/>
          <w:rtl/>
        </w:rPr>
        <w:t>ומה הדין אם מקנח את הסכין:</w:t>
      </w:r>
    </w:p>
    <w:p w14:paraId="5CF9F880" w14:textId="77777777" w:rsidR="002C39F4" w:rsidRPr="00BA2951" w:rsidRDefault="002C39F4" w:rsidP="0032102C">
      <w:pPr>
        <w:pStyle w:val="a8"/>
        <w:numPr>
          <w:ilvl w:val="0"/>
          <w:numId w:val="162"/>
        </w:numPr>
        <w:rPr>
          <w:rFonts w:asciiTheme="minorBidi" w:hAnsiTheme="minorBidi"/>
        </w:rPr>
      </w:pPr>
      <w:r w:rsidRPr="003024E5">
        <w:rPr>
          <w:rFonts w:asciiTheme="minorBidi" w:hAnsiTheme="minorBidi"/>
          <w:rtl/>
        </w:rPr>
        <w:t xml:space="preserve">א"ח </w:t>
      </w:r>
      <w:r w:rsidRPr="003024E5">
        <w:rPr>
          <w:rFonts w:asciiTheme="minorBidi" w:hAnsiTheme="minorBidi"/>
          <w:sz w:val="16"/>
          <w:szCs w:val="16"/>
          <w:rtl/>
        </w:rPr>
        <w:t>([הלא</w:t>
      </w:r>
      <w:r>
        <w:rPr>
          <w:rFonts w:asciiTheme="minorBidi" w:hAnsiTheme="minorBidi" w:hint="cs"/>
          <w:sz w:val="16"/>
          <w:szCs w:val="16"/>
          <w:rtl/>
        </w:rPr>
        <w:t>"</w:t>
      </w:r>
      <w:r w:rsidRPr="003024E5">
        <w:rPr>
          <w:rFonts w:asciiTheme="minorBidi" w:hAnsiTheme="minorBidi"/>
          <w:sz w:val="16"/>
          <w:szCs w:val="16"/>
          <w:rtl/>
        </w:rPr>
        <w:t>מ סי' סא] וכ"כ בכלבו [סי' קו])</w:t>
      </w:r>
      <w:r w:rsidRPr="003024E5">
        <w:rPr>
          <w:rFonts w:asciiTheme="minorBidi" w:hAnsiTheme="minorBidi"/>
          <w:rtl/>
        </w:rPr>
        <w:t xml:space="preserve">- </w:t>
      </w:r>
      <w:r w:rsidRPr="003024E5">
        <w:rPr>
          <w:rStyle w:val="a7"/>
          <w:rFonts w:asciiTheme="minorBidi" w:hAnsiTheme="minorBidi"/>
          <w:rtl/>
        </w:rPr>
        <w:footnoteReference w:id="1191"/>
      </w:r>
      <w:r w:rsidRPr="003024E5">
        <w:rPr>
          <w:rFonts w:asciiTheme="minorBidi" w:hAnsiTheme="minorBidi"/>
          <w:rtl/>
        </w:rPr>
        <w:t>רבינו שמשון היה מתיר בסכין של בשר לחתוך בו לחם ולאכול עם גבינה משום דהוי נ"ט בר נ"ט, אבל לחתוך בה גבינה ודאי אסור אם לא נעצה בקרקע עשר פעמים או שפשפה באבן רך או בפחם</w:t>
      </w:r>
      <w:r w:rsidRPr="003024E5">
        <w:rPr>
          <w:rStyle w:val="a7"/>
          <w:rFonts w:asciiTheme="minorBidi" w:hAnsiTheme="minorBidi"/>
          <w:rtl/>
        </w:rPr>
        <w:footnoteReference w:id="1192"/>
      </w:r>
      <w:r w:rsidRPr="003024E5">
        <w:rPr>
          <w:rFonts w:asciiTheme="minorBidi" w:hAnsiTheme="minorBidi"/>
          <w:rtl/>
        </w:rPr>
        <w:t>, ומיהו בלא קינוח אפילו לחם אסור מפני שמנונית שעליו, ומעשה בא לפני ה"ר שמשון שחתכה שפחתו בסכין של בשר גבינה של גוים שהוחמה אצל האש ואמר הרב שהסכין כשר ואין צריך אלא הדחה כדין צונן דהאי נמי כצונן דמי כיון דאין יד סולדת בו</w:t>
      </w:r>
      <w:r w:rsidRPr="003024E5">
        <w:rPr>
          <w:rStyle w:val="a7"/>
          <w:rFonts w:asciiTheme="minorBidi" w:hAnsiTheme="minorBidi"/>
          <w:rtl/>
        </w:rPr>
        <w:footnoteReference w:id="1193"/>
      </w:r>
      <w:r w:rsidRPr="00BA2951">
        <w:rPr>
          <w:rFonts w:asciiTheme="minorBidi" w:hAnsiTheme="minorBidi"/>
          <w:rtl/>
        </w:rPr>
        <w:t>.</w:t>
      </w:r>
    </w:p>
    <w:p w14:paraId="7CBF24E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BF7D363" w14:textId="77777777" w:rsidR="002C39F4" w:rsidRPr="003024E5" w:rsidRDefault="002C39F4" w:rsidP="002C39F4">
      <w:pPr>
        <w:rPr>
          <w:rFonts w:asciiTheme="minorBidi" w:hAnsiTheme="minorBidi"/>
          <w:rtl/>
        </w:rPr>
      </w:pPr>
      <w:r w:rsidRPr="003024E5">
        <w:rPr>
          <w:rFonts w:asciiTheme="minorBidi" w:hAnsiTheme="minorBidi"/>
          <w:rtl/>
        </w:rPr>
        <w:t>מי שאכל גבינה ורוצה לאכול בשר צריך לבער מעל השלחן שיורי פת שאכלו עם הגבינה, ואסור לאכול גבינה על מפה שאכלו בה בשר</w:t>
      </w:r>
      <w:r>
        <w:rPr>
          <w:rStyle w:val="a7"/>
          <w:rFonts w:asciiTheme="minorBidi" w:hAnsiTheme="minorBidi"/>
          <w:rtl/>
        </w:rPr>
        <w:footnoteReference w:id="1194"/>
      </w:r>
      <w:r w:rsidRPr="003024E5">
        <w:rPr>
          <w:rFonts w:asciiTheme="minorBidi" w:hAnsiTheme="minorBidi"/>
          <w:sz w:val="18"/>
          <w:szCs w:val="18"/>
          <w:rtl/>
        </w:rPr>
        <w:t xml:space="preserve"> [הגה] וכן להיפך אסור (כ"מ בארוך)</w:t>
      </w:r>
      <w:r w:rsidRPr="003024E5">
        <w:rPr>
          <w:rFonts w:asciiTheme="minorBidi" w:hAnsiTheme="minorBidi"/>
          <w:rtl/>
        </w:rPr>
        <w:t xml:space="preserve">. וכל שכן שאסור לחתוך גבינה אפילו צוננת בסכין שרגילין לחתוך בשר, ולא עוד אלא אפילו הפת שאוכלים עם הגבינה אסור לחתוך בסכין שחותכין בו בשר. </w:t>
      </w:r>
      <w:r w:rsidRPr="003024E5">
        <w:rPr>
          <w:rFonts w:asciiTheme="minorBidi" w:hAnsiTheme="minorBidi"/>
          <w:sz w:val="18"/>
          <w:szCs w:val="18"/>
          <w:rtl/>
        </w:rPr>
        <w:t>הגה: וכן להיפך נמי אסור, מיהו על ידי נעיצה בקרקע קשה שרי</w:t>
      </w:r>
      <w:r w:rsidRPr="003024E5">
        <w:rPr>
          <w:rStyle w:val="a7"/>
          <w:rFonts w:asciiTheme="minorBidi" w:hAnsiTheme="minorBidi"/>
          <w:sz w:val="18"/>
          <w:szCs w:val="18"/>
          <w:rtl/>
        </w:rPr>
        <w:footnoteReference w:id="1195"/>
      </w:r>
      <w:r w:rsidRPr="003024E5">
        <w:rPr>
          <w:rFonts w:asciiTheme="minorBidi" w:hAnsiTheme="minorBidi"/>
          <w:sz w:val="18"/>
          <w:szCs w:val="18"/>
          <w:rtl/>
        </w:rPr>
        <w:t xml:space="preserve"> (ב"י בשם א"ח וכל בו). אבל כבר נהגו כל ישראל להיות להם שני סכינים ולרשום אחד מהם שיהא לו היכר, ונהגו לרשום של חלב, ואין לשנות מנהג של ישראל</w:t>
      </w:r>
      <w:r w:rsidRPr="003024E5">
        <w:rPr>
          <w:rStyle w:val="a7"/>
          <w:rFonts w:asciiTheme="minorBidi" w:hAnsiTheme="minorBidi"/>
          <w:sz w:val="18"/>
          <w:szCs w:val="18"/>
          <w:rtl/>
        </w:rPr>
        <w:footnoteReference w:id="1196"/>
      </w:r>
      <w:r w:rsidRPr="003024E5">
        <w:rPr>
          <w:rFonts w:asciiTheme="minorBidi" w:hAnsiTheme="minorBidi"/>
          <w:sz w:val="18"/>
          <w:szCs w:val="18"/>
          <w:rtl/>
        </w:rPr>
        <w:t>.</w:t>
      </w:r>
    </w:p>
    <w:p w14:paraId="7D756796" w14:textId="77777777" w:rsidR="002C39F4" w:rsidRPr="003024E5" w:rsidRDefault="002C39F4" w:rsidP="002C39F4">
      <w:pPr>
        <w:rPr>
          <w:rFonts w:asciiTheme="minorBidi" w:hAnsiTheme="minorBidi"/>
          <w:rtl/>
        </w:rPr>
      </w:pPr>
    </w:p>
    <w:p w14:paraId="1C13D18B" w14:textId="77777777" w:rsidR="002C39F4" w:rsidRPr="003024E5" w:rsidRDefault="002C39F4" w:rsidP="002C39F4">
      <w:pPr>
        <w:rPr>
          <w:rFonts w:asciiTheme="minorBidi" w:hAnsiTheme="minorBidi"/>
          <w:rtl/>
        </w:rPr>
      </w:pPr>
    </w:p>
    <w:p w14:paraId="3F5A7246" w14:textId="77777777" w:rsidR="002C39F4" w:rsidRPr="003024E5" w:rsidRDefault="002C39F4" w:rsidP="002C39F4">
      <w:pPr>
        <w:rPr>
          <w:rFonts w:asciiTheme="minorBidi" w:hAnsiTheme="minorBidi"/>
          <w:rtl/>
        </w:rPr>
      </w:pPr>
    </w:p>
    <w:p w14:paraId="0BDECACA" w14:textId="77777777" w:rsidR="002C39F4" w:rsidRPr="003024E5" w:rsidRDefault="002C39F4" w:rsidP="002C39F4">
      <w:pPr>
        <w:rPr>
          <w:rFonts w:asciiTheme="minorBidi" w:hAnsiTheme="minorBidi"/>
          <w:rtl/>
        </w:rPr>
      </w:pPr>
    </w:p>
    <w:p w14:paraId="7D16554F" w14:textId="77777777" w:rsidR="002C39F4" w:rsidRPr="003024E5" w:rsidRDefault="002C39F4" w:rsidP="002C39F4">
      <w:pPr>
        <w:rPr>
          <w:rFonts w:asciiTheme="minorBidi" w:hAnsiTheme="minorBidi"/>
          <w:rtl/>
        </w:rPr>
      </w:pPr>
    </w:p>
    <w:p w14:paraId="5CD3C52A"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433FB3B3"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צ: דיני כחל, ובו ד' סעיפים. </w:t>
      </w:r>
    </w:p>
    <w:p w14:paraId="7DDDB2E4" w14:textId="77777777" w:rsidR="002C39F4" w:rsidRPr="003024E5" w:rsidRDefault="002C39F4" w:rsidP="002C39F4">
      <w:pPr>
        <w:pStyle w:val="2"/>
        <w:rPr>
          <w:rFonts w:asciiTheme="minorBidi" w:hAnsiTheme="minorBidi"/>
          <w:rtl/>
        </w:rPr>
      </w:pPr>
      <w:r w:rsidRPr="003024E5">
        <w:rPr>
          <w:rFonts w:asciiTheme="minorBidi" w:hAnsiTheme="minorBidi"/>
          <w:rtl/>
        </w:rPr>
        <w:t>סעיף א: כחל בבישול וצלייה - לדינא.</w:t>
      </w:r>
    </w:p>
    <w:p w14:paraId="3D24BF01" w14:textId="77777777" w:rsidR="002C39F4" w:rsidRPr="003024E5" w:rsidRDefault="002C39F4" w:rsidP="002C39F4">
      <w:pPr>
        <w:rPr>
          <w:rFonts w:asciiTheme="minorBidi" w:hAnsiTheme="minorBidi"/>
        </w:rPr>
      </w:pPr>
      <w:r w:rsidRPr="003024E5">
        <w:rPr>
          <w:rFonts w:asciiTheme="minorBidi" w:hAnsiTheme="minorBidi"/>
          <w:b/>
          <w:bCs/>
          <w:rtl/>
        </w:rPr>
        <w:t xml:space="preserve">חולין קט ע"א: </w:t>
      </w:r>
      <w:r w:rsidRPr="003024E5">
        <w:rPr>
          <w:rFonts w:asciiTheme="minorBidi" w:hAnsiTheme="minorBidi"/>
          <w:u w:val="double"/>
          <w:rtl/>
        </w:rPr>
        <w:t>מתני'</w:t>
      </w:r>
      <w:r w:rsidRPr="003024E5">
        <w:rPr>
          <w:rFonts w:asciiTheme="minorBidi" w:hAnsiTheme="minorBidi"/>
          <w:rtl/>
        </w:rPr>
        <w:t>: הכחל</w:t>
      </w:r>
      <w:r>
        <w:rPr>
          <w:rFonts w:asciiTheme="minorBidi" w:hAnsiTheme="minorBidi" w:hint="cs"/>
          <w:rtl/>
        </w:rPr>
        <w:t xml:space="preserve"> </w:t>
      </w:r>
      <w:r w:rsidRPr="003024E5">
        <w:rPr>
          <w:rFonts w:asciiTheme="minorBidi" w:hAnsiTheme="minorBidi"/>
          <w:rtl/>
        </w:rPr>
        <w:t>- קורעו ומוציא את חלבו, לא קרעו</w:t>
      </w:r>
      <w:r>
        <w:rPr>
          <w:rFonts w:asciiTheme="minorBidi" w:hAnsiTheme="minorBidi" w:hint="cs"/>
          <w:rtl/>
        </w:rPr>
        <w:t xml:space="preserve"> </w:t>
      </w:r>
      <w:r w:rsidRPr="003024E5">
        <w:rPr>
          <w:rFonts w:asciiTheme="minorBidi" w:hAnsiTheme="minorBidi"/>
          <w:rtl/>
        </w:rPr>
        <w:t>- אינו עובר עליו.</w:t>
      </w:r>
      <w:r>
        <w:rPr>
          <w:rFonts w:asciiTheme="minorBidi" w:hAnsiTheme="minorBidi" w:hint="cs"/>
          <w:rtl/>
        </w:rPr>
        <w:t xml:space="preserve"> </w:t>
      </w:r>
      <w:r w:rsidRPr="003024E5">
        <w:rPr>
          <w:rFonts w:asciiTheme="minorBidi" w:hAnsiTheme="minorBidi"/>
          <w:rtl/>
        </w:rPr>
        <w:t xml:space="preserve">  </w:t>
      </w:r>
      <w:r w:rsidRPr="003024E5">
        <w:rPr>
          <w:rFonts w:asciiTheme="minorBidi" w:hAnsiTheme="minorBidi"/>
          <w:u w:val="double"/>
          <w:rtl/>
        </w:rPr>
        <w:t>גמ'</w:t>
      </w:r>
      <w:r w:rsidRPr="003024E5">
        <w:rPr>
          <w:rFonts w:asciiTheme="minorBidi" w:hAnsiTheme="minorBidi"/>
          <w:sz w:val="14"/>
          <w:szCs w:val="14"/>
          <w:u w:val="double"/>
          <w:rtl/>
        </w:rPr>
        <w:t>(קט:)</w:t>
      </w:r>
      <w:r w:rsidRPr="003024E5">
        <w:rPr>
          <w:rFonts w:asciiTheme="minorBidi" w:hAnsiTheme="minorBidi"/>
          <w:u w:val="double"/>
          <w:rtl/>
        </w:rPr>
        <w:t>:</w:t>
      </w:r>
      <w:r w:rsidRPr="003024E5">
        <w:rPr>
          <w:rFonts w:asciiTheme="minorBidi" w:hAnsiTheme="minorBidi"/>
          <w:rtl/>
        </w:rPr>
        <w:t xml:space="preserve"> </w:t>
      </w:r>
      <w:r w:rsidRPr="003024E5">
        <w:rPr>
          <w:rFonts w:asciiTheme="minorBidi" w:hAnsiTheme="minorBidi"/>
          <w:u w:val="single"/>
          <w:rtl/>
        </w:rPr>
        <w:t>אמר רבי זירא אמר רב</w:t>
      </w:r>
      <w:r w:rsidRPr="003024E5">
        <w:rPr>
          <w:rFonts w:asciiTheme="minorBidi" w:hAnsiTheme="minorBidi"/>
          <w:rtl/>
        </w:rPr>
        <w:t xml:space="preserve">: אינו עובר עליו </w:t>
      </w:r>
      <w:r>
        <w:rPr>
          <w:rFonts w:asciiTheme="minorBidi" w:hAnsiTheme="minorBidi" w:hint="cs"/>
          <w:rtl/>
        </w:rPr>
        <w:t xml:space="preserve">- </w:t>
      </w:r>
      <w:r w:rsidRPr="003024E5">
        <w:rPr>
          <w:rFonts w:asciiTheme="minorBidi" w:hAnsiTheme="minorBidi"/>
          <w:rtl/>
        </w:rPr>
        <w:t xml:space="preserve">ומותר.... </w:t>
      </w:r>
      <w:r w:rsidRPr="003024E5">
        <w:rPr>
          <w:rFonts w:asciiTheme="minorBidi" w:hAnsiTheme="minorBidi"/>
          <w:u w:val="dotted"/>
          <w:rtl/>
        </w:rPr>
        <w:t>ואיכא דאמרי</w:t>
      </w:r>
      <w:r w:rsidRPr="003024E5">
        <w:rPr>
          <w:rFonts w:asciiTheme="minorBidi" w:hAnsiTheme="minorBidi"/>
          <w:rtl/>
        </w:rPr>
        <w:t xml:space="preserve">, </w:t>
      </w:r>
      <w:r w:rsidRPr="003024E5">
        <w:rPr>
          <w:rFonts w:asciiTheme="minorBidi" w:hAnsiTheme="minorBidi"/>
          <w:u w:val="single"/>
          <w:rtl/>
        </w:rPr>
        <w:t>א"ר זירא אמר רב</w:t>
      </w:r>
      <w:r w:rsidRPr="003024E5">
        <w:rPr>
          <w:rFonts w:asciiTheme="minorBidi" w:hAnsiTheme="minorBidi"/>
          <w:rtl/>
        </w:rPr>
        <w:t>: אינו עובר עליו</w:t>
      </w:r>
      <w:r>
        <w:rPr>
          <w:rFonts w:asciiTheme="minorBidi" w:hAnsiTheme="minorBidi" w:hint="cs"/>
          <w:rtl/>
        </w:rPr>
        <w:t xml:space="preserve"> </w:t>
      </w:r>
      <w:r w:rsidRPr="003024E5">
        <w:rPr>
          <w:rFonts w:asciiTheme="minorBidi" w:hAnsiTheme="minorBidi"/>
          <w:rtl/>
        </w:rPr>
        <w:t>- ואסור.... תניא כלישנא קמא דרב: כחל שבשלו בחלבו</w:t>
      </w:r>
      <w:r>
        <w:rPr>
          <w:rFonts w:asciiTheme="minorBidi" w:hAnsiTheme="minorBidi" w:hint="cs"/>
          <w:rtl/>
        </w:rPr>
        <w:t xml:space="preserve"> </w:t>
      </w:r>
      <w:r w:rsidRPr="003024E5">
        <w:rPr>
          <w:rFonts w:asciiTheme="minorBidi" w:hAnsiTheme="minorBidi"/>
          <w:rtl/>
        </w:rPr>
        <w:t>- מותר, קבה שבשלה בחלבה</w:t>
      </w:r>
      <w:r>
        <w:rPr>
          <w:rFonts w:asciiTheme="minorBidi" w:hAnsiTheme="minorBidi" w:hint="cs"/>
          <w:rtl/>
        </w:rPr>
        <w:t xml:space="preserve"> </w:t>
      </w:r>
      <w:r w:rsidRPr="003024E5">
        <w:rPr>
          <w:rFonts w:asciiTheme="minorBidi" w:hAnsiTheme="minorBidi"/>
          <w:rtl/>
        </w:rPr>
        <w:t>- אסור, ומה הפרש בין זה לזה</w:t>
      </w:r>
      <w:r>
        <w:rPr>
          <w:rFonts w:asciiTheme="minorBidi" w:hAnsiTheme="minorBidi" w:hint="cs"/>
          <w:rtl/>
        </w:rPr>
        <w:t xml:space="preserve"> </w:t>
      </w:r>
      <w:r w:rsidRPr="003024E5">
        <w:rPr>
          <w:rFonts w:asciiTheme="minorBidi" w:hAnsiTheme="minorBidi"/>
          <w:rtl/>
        </w:rPr>
        <w:t>- זה כנוס במעיו</w:t>
      </w:r>
      <w:r w:rsidRPr="003024E5">
        <w:rPr>
          <w:rStyle w:val="a7"/>
          <w:rFonts w:asciiTheme="minorBidi" w:hAnsiTheme="minorBidi"/>
          <w:rtl/>
        </w:rPr>
        <w:footnoteReference w:id="1197"/>
      </w:r>
      <w:r w:rsidRPr="003024E5">
        <w:rPr>
          <w:rFonts w:asciiTheme="minorBidi" w:hAnsiTheme="minorBidi"/>
          <w:rtl/>
        </w:rPr>
        <w:t xml:space="preserve">, וזה אין כנוס במעיו. כיצד קורעו? </w:t>
      </w:r>
      <w:r w:rsidRPr="003024E5">
        <w:rPr>
          <w:rFonts w:asciiTheme="minorBidi" w:hAnsiTheme="minorBidi"/>
          <w:u w:val="single"/>
          <w:rtl/>
        </w:rPr>
        <w:t>אמר רב יהודה</w:t>
      </w:r>
      <w:r w:rsidRPr="003024E5">
        <w:rPr>
          <w:rFonts w:asciiTheme="minorBidi" w:hAnsiTheme="minorBidi"/>
          <w:rtl/>
        </w:rPr>
        <w:t>: קורעו שתי וערב וטחו בכותל</w:t>
      </w:r>
      <w:r w:rsidRPr="003024E5">
        <w:rPr>
          <w:rStyle w:val="a7"/>
          <w:rFonts w:asciiTheme="minorBidi" w:hAnsiTheme="minorBidi"/>
          <w:rtl/>
        </w:rPr>
        <w:footnoteReference w:id="1198"/>
      </w:r>
      <w:r w:rsidRPr="003024E5">
        <w:rPr>
          <w:rFonts w:asciiTheme="minorBidi" w:hAnsiTheme="minorBidi"/>
          <w:rtl/>
        </w:rPr>
        <w:t xml:space="preserve">. </w:t>
      </w:r>
      <w:r w:rsidRPr="003024E5">
        <w:rPr>
          <w:rFonts w:asciiTheme="minorBidi" w:hAnsiTheme="minorBidi"/>
          <w:u w:val="single"/>
          <w:rtl/>
        </w:rPr>
        <w:t>א"ל ר' אלעזר לשמעיה</w:t>
      </w:r>
      <w:r w:rsidRPr="003024E5">
        <w:rPr>
          <w:rFonts w:asciiTheme="minorBidi" w:hAnsiTheme="minorBidi"/>
          <w:rtl/>
        </w:rPr>
        <w:t>: קרע לי ואנא איכול; מאי קמ"ל? מתניתין היא! הא קמ"ל דלא בעינן שתי וערב וטחו בכותל</w:t>
      </w:r>
      <w:r w:rsidRPr="003024E5">
        <w:rPr>
          <w:rStyle w:val="a7"/>
          <w:rFonts w:asciiTheme="minorBidi" w:hAnsiTheme="minorBidi"/>
          <w:rtl/>
        </w:rPr>
        <w:footnoteReference w:id="1199"/>
      </w:r>
      <w:r w:rsidRPr="003024E5">
        <w:rPr>
          <w:rFonts w:asciiTheme="minorBidi" w:hAnsiTheme="minorBidi"/>
          <w:rtl/>
        </w:rPr>
        <w:t xml:space="preserve">. </w:t>
      </w:r>
      <w:r w:rsidRPr="003024E5">
        <w:rPr>
          <w:rFonts w:asciiTheme="minorBidi" w:hAnsiTheme="minorBidi"/>
          <w:u w:val="single"/>
          <w:rtl/>
        </w:rPr>
        <w:t>אמרה ליה ילתא לרב נחמן</w:t>
      </w:r>
      <w:r w:rsidRPr="003024E5">
        <w:rPr>
          <w:rFonts w:asciiTheme="minorBidi" w:hAnsiTheme="minorBidi"/>
          <w:rtl/>
        </w:rPr>
        <w:t xml:space="preserve">: מכדי, כל דאסר לן רחמנא שרא לן כוותיה... בעינן למיכל בשרא בחלבא! </w:t>
      </w:r>
      <w:r w:rsidRPr="003024E5">
        <w:rPr>
          <w:rFonts w:asciiTheme="minorBidi" w:hAnsiTheme="minorBidi"/>
          <w:u w:val="single"/>
          <w:rtl/>
        </w:rPr>
        <w:t>אמר להו רב נחמן לטבחי</w:t>
      </w:r>
      <w:r w:rsidRPr="003024E5">
        <w:rPr>
          <w:rFonts w:asciiTheme="minorBidi" w:hAnsiTheme="minorBidi"/>
          <w:rtl/>
        </w:rPr>
        <w:t>: זויקו לה כחלי. והאנן תנן קורעו? ההוא לקדרה</w:t>
      </w:r>
      <w:r>
        <w:rPr>
          <w:rFonts w:asciiTheme="minorBidi" w:hAnsiTheme="minorBidi" w:hint="cs"/>
          <w:rtl/>
        </w:rPr>
        <w:t>.</w:t>
      </w:r>
      <w:r w:rsidRPr="003024E5">
        <w:rPr>
          <w:rFonts w:asciiTheme="minorBidi" w:hAnsiTheme="minorBidi"/>
          <w:rtl/>
        </w:rPr>
        <w:t xml:space="preserve"> והא קתני שבשלו</w:t>
      </w:r>
      <w:r>
        <w:rPr>
          <w:rFonts w:asciiTheme="minorBidi" w:hAnsiTheme="minorBidi" w:hint="cs"/>
          <w:rtl/>
        </w:rPr>
        <w:t>,</w:t>
      </w:r>
      <w:r w:rsidRPr="003024E5">
        <w:rPr>
          <w:rFonts w:asciiTheme="minorBidi" w:hAnsiTheme="minorBidi"/>
          <w:rtl/>
        </w:rPr>
        <w:t xml:space="preserve"> דיעבד</w:t>
      </w:r>
      <w:r w:rsidRPr="003024E5">
        <w:rPr>
          <w:rStyle w:val="a7"/>
          <w:rFonts w:asciiTheme="minorBidi" w:hAnsiTheme="minorBidi"/>
          <w:rtl/>
        </w:rPr>
        <w:footnoteReference w:id="1200"/>
      </w:r>
      <w:r w:rsidRPr="003024E5">
        <w:rPr>
          <w:rFonts w:asciiTheme="minorBidi" w:hAnsiTheme="minorBidi"/>
          <w:rtl/>
        </w:rPr>
        <w:t xml:space="preserve"> אין, לכתחלה לא! ה"ה דאפי' לכתחלה, ואיידי דקא בעי למיתנא סיפא קבה </w:t>
      </w:r>
      <w:r w:rsidRPr="00687FFB">
        <w:rPr>
          <w:rFonts w:asciiTheme="minorBidi" w:hAnsiTheme="minorBidi"/>
          <w:sz w:val="14"/>
          <w:szCs w:val="14"/>
          <w:rtl/>
        </w:rPr>
        <w:t>(קי.)</w:t>
      </w:r>
      <w:r w:rsidRPr="00687FFB">
        <w:rPr>
          <w:rFonts w:asciiTheme="minorBidi" w:hAnsiTheme="minorBidi"/>
          <w:rtl/>
        </w:rPr>
        <w:t xml:space="preserve"> </w:t>
      </w:r>
      <w:r w:rsidRPr="003024E5">
        <w:rPr>
          <w:rFonts w:asciiTheme="minorBidi" w:hAnsiTheme="minorBidi"/>
          <w:rtl/>
        </w:rPr>
        <w:t>שבשלה בחלבה</w:t>
      </w:r>
      <w:r>
        <w:rPr>
          <w:rFonts w:asciiTheme="minorBidi" w:hAnsiTheme="minorBidi" w:hint="cs"/>
          <w:rtl/>
        </w:rPr>
        <w:t xml:space="preserve"> </w:t>
      </w:r>
      <w:r w:rsidRPr="003024E5">
        <w:rPr>
          <w:rFonts w:asciiTheme="minorBidi" w:hAnsiTheme="minorBidi"/>
          <w:rtl/>
        </w:rPr>
        <w:t xml:space="preserve">- אסורה דאפילו דיעבד נמי לא, תנא נמי רישא שבשלה. </w:t>
      </w:r>
    </w:p>
    <w:tbl>
      <w:tblPr>
        <w:tblStyle w:val="af3"/>
        <w:bidiVisual/>
        <w:tblW w:w="9750" w:type="dxa"/>
        <w:tblInd w:w="107" w:type="dxa"/>
        <w:tblLayout w:type="fixed"/>
        <w:tblLook w:val="04A0" w:firstRow="1" w:lastRow="0" w:firstColumn="1" w:lastColumn="0" w:noHBand="0" w:noVBand="1"/>
      </w:tblPr>
      <w:tblGrid>
        <w:gridCol w:w="857"/>
        <w:gridCol w:w="1552"/>
        <w:gridCol w:w="3409"/>
        <w:gridCol w:w="2246"/>
        <w:gridCol w:w="1686"/>
      </w:tblGrid>
      <w:tr w:rsidR="002C39F4" w:rsidRPr="003024E5" w14:paraId="3989EE28" w14:textId="77777777" w:rsidTr="004C5A3C">
        <w:tc>
          <w:tcPr>
            <w:tcW w:w="2409" w:type="dxa"/>
            <w:gridSpan w:val="2"/>
            <w:shd w:val="clear" w:color="auto" w:fill="D9D9D9" w:themeFill="background1" w:themeFillShade="D9"/>
          </w:tcPr>
          <w:p w14:paraId="45C04BAD" w14:textId="77777777" w:rsidR="002C39F4" w:rsidRPr="005A5AD6" w:rsidRDefault="002C39F4" w:rsidP="004C5A3C">
            <w:pPr>
              <w:rPr>
                <w:rFonts w:asciiTheme="minorBidi" w:hAnsiTheme="minorBidi"/>
                <w:sz w:val="18"/>
                <w:szCs w:val="18"/>
                <w:rtl/>
              </w:rPr>
            </w:pPr>
            <w:r>
              <w:rPr>
                <w:rFonts w:asciiTheme="minorBidi" w:hAnsiTheme="minorBidi" w:hint="cs"/>
                <w:sz w:val="18"/>
                <w:szCs w:val="18"/>
                <w:rtl/>
              </w:rPr>
              <w:t>סיכום דין כחל:</w:t>
            </w:r>
          </w:p>
        </w:tc>
        <w:tc>
          <w:tcPr>
            <w:tcW w:w="3409" w:type="dxa"/>
            <w:shd w:val="clear" w:color="auto" w:fill="D9D9D9" w:themeFill="background1" w:themeFillShade="D9"/>
          </w:tcPr>
          <w:p w14:paraId="7D23FC2B" w14:textId="77777777" w:rsidR="002C39F4" w:rsidRPr="003024E5" w:rsidRDefault="002C39F4" w:rsidP="004C5A3C">
            <w:pPr>
              <w:jc w:val="center"/>
              <w:rPr>
                <w:rFonts w:asciiTheme="minorBidi" w:hAnsiTheme="minorBidi"/>
                <w:b/>
                <w:bCs/>
                <w:rtl/>
              </w:rPr>
            </w:pPr>
            <w:r w:rsidRPr="003024E5">
              <w:rPr>
                <w:rFonts w:asciiTheme="minorBidi" w:hAnsiTheme="minorBidi"/>
                <w:b/>
                <w:bCs/>
                <w:rtl/>
              </w:rPr>
              <w:t>רש"י</w:t>
            </w:r>
          </w:p>
        </w:tc>
        <w:tc>
          <w:tcPr>
            <w:tcW w:w="2246" w:type="dxa"/>
            <w:shd w:val="clear" w:color="auto" w:fill="D9D9D9" w:themeFill="background1" w:themeFillShade="D9"/>
          </w:tcPr>
          <w:p w14:paraId="688DF308" w14:textId="77777777" w:rsidR="002C39F4" w:rsidRPr="003024E5" w:rsidRDefault="002C39F4" w:rsidP="004C5A3C">
            <w:pPr>
              <w:jc w:val="center"/>
              <w:rPr>
                <w:rFonts w:asciiTheme="minorBidi" w:hAnsiTheme="minorBidi"/>
                <w:b/>
                <w:bCs/>
                <w:rtl/>
              </w:rPr>
            </w:pPr>
            <w:r w:rsidRPr="003024E5">
              <w:rPr>
                <w:rFonts w:asciiTheme="minorBidi" w:hAnsiTheme="minorBidi"/>
                <w:b/>
                <w:bCs/>
                <w:rtl/>
              </w:rPr>
              <w:t>ר"ת</w:t>
            </w:r>
            <w:r w:rsidRPr="003024E5">
              <w:rPr>
                <w:rStyle w:val="a7"/>
                <w:rFonts w:asciiTheme="minorBidi" w:hAnsiTheme="minorBidi"/>
                <w:b/>
                <w:bCs/>
                <w:rtl/>
              </w:rPr>
              <w:footnoteReference w:id="1201"/>
            </w:r>
          </w:p>
        </w:tc>
        <w:tc>
          <w:tcPr>
            <w:tcW w:w="1686" w:type="dxa"/>
            <w:shd w:val="clear" w:color="auto" w:fill="D9D9D9" w:themeFill="background1" w:themeFillShade="D9"/>
          </w:tcPr>
          <w:p w14:paraId="28B16C06" w14:textId="77777777" w:rsidR="002C39F4" w:rsidRPr="003024E5" w:rsidRDefault="002C39F4" w:rsidP="004C5A3C">
            <w:pPr>
              <w:jc w:val="center"/>
              <w:rPr>
                <w:rFonts w:asciiTheme="minorBidi" w:hAnsiTheme="minorBidi"/>
                <w:b/>
                <w:bCs/>
                <w:rtl/>
              </w:rPr>
            </w:pPr>
            <w:r w:rsidRPr="003024E5">
              <w:rPr>
                <w:rFonts w:asciiTheme="minorBidi" w:hAnsiTheme="minorBidi"/>
                <w:b/>
                <w:bCs/>
                <w:rtl/>
              </w:rPr>
              <w:t>רי"ף</w:t>
            </w:r>
          </w:p>
        </w:tc>
      </w:tr>
      <w:tr w:rsidR="002C39F4" w:rsidRPr="003024E5" w14:paraId="525115C0" w14:textId="77777777" w:rsidTr="004C5A3C">
        <w:tc>
          <w:tcPr>
            <w:tcW w:w="857" w:type="dxa"/>
            <w:vMerge w:val="restart"/>
            <w:shd w:val="clear" w:color="auto" w:fill="D9D9D9" w:themeFill="background1" w:themeFillShade="D9"/>
          </w:tcPr>
          <w:p w14:paraId="7B825569" w14:textId="77777777" w:rsidR="002C39F4" w:rsidRPr="003024E5" w:rsidRDefault="002C39F4" w:rsidP="004C5A3C">
            <w:pPr>
              <w:rPr>
                <w:rFonts w:asciiTheme="minorBidi" w:hAnsiTheme="minorBidi"/>
                <w:b/>
                <w:bCs/>
                <w:sz w:val="18"/>
                <w:szCs w:val="18"/>
                <w:rtl/>
              </w:rPr>
            </w:pPr>
          </w:p>
          <w:p w14:paraId="52139807" w14:textId="77777777" w:rsidR="002C39F4" w:rsidRPr="003024E5" w:rsidRDefault="002C39F4" w:rsidP="004C5A3C">
            <w:pPr>
              <w:rPr>
                <w:rFonts w:asciiTheme="minorBidi" w:hAnsiTheme="minorBidi"/>
                <w:b/>
                <w:bCs/>
                <w:sz w:val="18"/>
                <w:szCs w:val="18"/>
                <w:rtl/>
              </w:rPr>
            </w:pPr>
          </w:p>
          <w:p w14:paraId="54BC1A2F" w14:textId="77777777" w:rsidR="002C39F4" w:rsidRPr="003024E5" w:rsidRDefault="002C39F4" w:rsidP="004C5A3C">
            <w:pPr>
              <w:rPr>
                <w:rFonts w:asciiTheme="minorBidi" w:hAnsiTheme="minorBidi"/>
                <w:b/>
                <w:bCs/>
                <w:sz w:val="18"/>
                <w:szCs w:val="18"/>
                <w:rtl/>
              </w:rPr>
            </w:pPr>
          </w:p>
          <w:p w14:paraId="4F456E84" w14:textId="77777777" w:rsidR="002C39F4" w:rsidRPr="003024E5" w:rsidRDefault="002C39F4" w:rsidP="004C5A3C">
            <w:pPr>
              <w:jc w:val="center"/>
              <w:rPr>
                <w:rFonts w:asciiTheme="minorBidi" w:hAnsiTheme="minorBidi"/>
                <w:b/>
                <w:bCs/>
                <w:sz w:val="18"/>
                <w:szCs w:val="18"/>
                <w:rtl/>
              </w:rPr>
            </w:pPr>
            <w:r>
              <w:rPr>
                <w:rFonts w:asciiTheme="minorBidi" w:hAnsiTheme="minorBidi" w:hint="cs"/>
                <w:b/>
                <w:bCs/>
                <w:sz w:val="18"/>
                <w:szCs w:val="18"/>
                <w:rtl/>
              </w:rPr>
              <w:t>בישלו ב</w:t>
            </w:r>
            <w:r w:rsidRPr="003024E5">
              <w:rPr>
                <w:rFonts w:asciiTheme="minorBidi" w:hAnsiTheme="minorBidi"/>
                <w:b/>
                <w:bCs/>
                <w:sz w:val="18"/>
                <w:szCs w:val="18"/>
                <w:rtl/>
              </w:rPr>
              <w:t>קדרה</w:t>
            </w:r>
          </w:p>
        </w:tc>
        <w:tc>
          <w:tcPr>
            <w:tcW w:w="1552" w:type="dxa"/>
            <w:shd w:val="clear" w:color="auto" w:fill="D9D9D9" w:themeFill="background1" w:themeFillShade="D9"/>
          </w:tcPr>
          <w:p w14:paraId="35AD97F1" w14:textId="77777777" w:rsidR="002C39F4" w:rsidRPr="003024E5" w:rsidRDefault="002C39F4" w:rsidP="004C5A3C">
            <w:pPr>
              <w:jc w:val="center"/>
              <w:rPr>
                <w:rFonts w:asciiTheme="minorBidi" w:hAnsiTheme="minorBidi"/>
                <w:b/>
                <w:bCs/>
                <w:sz w:val="18"/>
                <w:szCs w:val="18"/>
                <w:rtl/>
              </w:rPr>
            </w:pPr>
            <w:r>
              <w:rPr>
                <w:rFonts w:asciiTheme="minorBidi" w:hAnsiTheme="minorBidi" w:hint="cs"/>
                <w:b/>
                <w:bCs/>
                <w:sz w:val="18"/>
                <w:szCs w:val="18"/>
                <w:rtl/>
              </w:rPr>
              <w:t>בלא קריעה,</w:t>
            </w:r>
          </w:p>
          <w:p w14:paraId="5FAAD828" w14:textId="77777777" w:rsidR="002C39F4" w:rsidRPr="003024E5" w:rsidRDefault="002C39F4" w:rsidP="004C5A3C">
            <w:pPr>
              <w:jc w:val="center"/>
              <w:rPr>
                <w:rFonts w:asciiTheme="minorBidi" w:hAnsiTheme="minorBidi"/>
                <w:b/>
                <w:bCs/>
                <w:sz w:val="18"/>
                <w:szCs w:val="18"/>
                <w:rtl/>
              </w:rPr>
            </w:pPr>
            <w:r w:rsidRPr="003024E5">
              <w:rPr>
                <w:rFonts w:asciiTheme="minorBidi" w:hAnsiTheme="minorBidi"/>
                <w:b/>
                <w:bCs/>
                <w:sz w:val="18"/>
                <w:szCs w:val="18"/>
                <w:rtl/>
              </w:rPr>
              <w:t>לבד</w:t>
            </w:r>
          </w:p>
        </w:tc>
        <w:tc>
          <w:tcPr>
            <w:tcW w:w="3409" w:type="dxa"/>
          </w:tcPr>
          <w:p w14:paraId="38336E0B" w14:textId="77777777" w:rsidR="002C39F4" w:rsidRPr="003024E5" w:rsidRDefault="002C39F4" w:rsidP="004C5A3C">
            <w:pPr>
              <w:rPr>
                <w:rFonts w:asciiTheme="minorBidi" w:hAnsiTheme="minorBidi"/>
                <w:rtl/>
              </w:rPr>
            </w:pPr>
            <w:r w:rsidRPr="003024E5">
              <w:rPr>
                <w:rFonts w:asciiTheme="minorBidi" w:hAnsiTheme="minorBidi"/>
                <w:rtl/>
              </w:rPr>
              <w:t>אסור</w:t>
            </w:r>
            <w:r w:rsidRPr="003024E5">
              <w:rPr>
                <w:rStyle w:val="a7"/>
                <w:rFonts w:asciiTheme="minorBidi" w:hAnsiTheme="minorBidi"/>
                <w:rtl/>
              </w:rPr>
              <w:footnoteReference w:id="1202"/>
            </w:r>
            <w:r w:rsidRPr="003024E5">
              <w:rPr>
                <w:rFonts w:asciiTheme="minorBidi" w:hAnsiTheme="minorBidi"/>
                <w:rtl/>
              </w:rPr>
              <w:t xml:space="preserve"> </w:t>
            </w:r>
            <w:r w:rsidRPr="003024E5">
              <w:rPr>
                <w:rFonts w:asciiTheme="minorBidi" w:hAnsiTheme="minorBidi"/>
                <w:sz w:val="16"/>
                <w:szCs w:val="16"/>
                <w:rtl/>
              </w:rPr>
              <w:t>(אפי' קרעו אבל לא טחו</w:t>
            </w:r>
            <w:r w:rsidRPr="003024E5">
              <w:rPr>
                <w:rStyle w:val="a7"/>
                <w:rFonts w:asciiTheme="minorBidi" w:hAnsiTheme="minorBidi"/>
                <w:sz w:val="16"/>
                <w:szCs w:val="16"/>
                <w:rtl/>
              </w:rPr>
              <w:footnoteReference w:id="1203"/>
            </w:r>
            <w:r w:rsidRPr="003024E5">
              <w:rPr>
                <w:rFonts w:asciiTheme="minorBidi" w:hAnsiTheme="minorBidi"/>
                <w:sz w:val="16"/>
                <w:szCs w:val="16"/>
                <w:rtl/>
              </w:rPr>
              <w:t>)</w:t>
            </w:r>
            <w:r w:rsidRPr="003024E5">
              <w:rPr>
                <w:rFonts w:asciiTheme="minorBidi" w:hAnsiTheme="minorBidi"/>
                <w:rtl/>
              </w:rPr>
              <w:t>, ואם יש ס' מותר בדיעבד</w:t>
            </w:r>
            <w:r w:rsidRPr="003024E5">
              <w:rPr>
                <w:rStyle w:val="a7"/>
                <w:rFonts w:asciiTheme="minorBidi" w:hAnsiTheme="minorBidi"/>
                <w:rtl/>
              </w:rPr>
              <w:footnoteReference w:id="1204"/>
            </w:r>
            <w:r w:rsidRPr="003024E5">
              <w:rPr>
                <w:rFonts w:asciiTheme="minorBidi" w:hAnsiTheme="minorBidi"/>
                <w:rtl/>
              </w:rPr>
              <w:t>.</w:t>
            </w:r>
          </w:p>
        </w:tc>
        <w:tc>
          <w:tcPr>
            <w:tcW w:w="2246" w:type="dxa"/>
          </w:tcPr>
          <w:p w14:paraId="28116AF9" w14:textId="77777777" w:rsidR="002C39F4" w:rsidRPr="003024E5" w:rsidRDefault="002C39F4" w:rsidP="004C5A3C">
            <w:pPr>
              <w:rPr>
                <w:rFonts w:asciiTheme="minorBidi" w:hAnsiTheme="minorBidi"/>
                <w:rtl/>
              </w:rPr>
            </w:pPr>
            <w:r w:rsidRPr="003024E5">
              <w:rPr>
                <w:rFonts w:asciiTheme="minorBidi" w:hAnsiTheme="minorBidi"/>
                <w:rtl/>
              </w:rPr>
              <w:t xml:space="preserve">מותר בדיעבד </w:t>
            </w:r>
            <w:r w:rsidRPr="003024E5">
              <w:rPr>
                <w:rFonts w:asciiTheme="minorBidi" w:hAnsiTheme="minorBidi"/>
                <w:sz w:val="16"/>
                <w:szCs w:val="16"/>
                <w:rtl/>
              </w:rPr>
              <w:t>(ואם קרעו קצת</w:t>
            </w:r>
            <w:r w:rsidRPr="003024E5">
              <w:rPr>
                <w:rStyle w:val="a7"/>
                <w:rFonts w:asciiTheme="minorBidi" w:hAnsiTheme="minorBidi"/>
                <w:sz w:val="16"/>
                <w:szCs w:val="16"/>
                <w:rtl/>
              </w:rPr>
              <w:footnoteReference w:id="1205"/>
            </w:r>
            <w:r w:rsidRPr="003024E5">
              <w:rPr>
                <w:rFonts w:asciiTheme="minorBidi" w:hAnsiTheme="minorBidi"/>
                <w:sz w:val="16"/>
                <w:szCs w:val="16"/>
                <w:rtl/>
              </w:rPr>
              <w:t xml:space="preserve"> </w:t>
            </w:r>
            <w:r w:rsidRPr="003024E5">
              <w:rPr>
                <w:rFonts w:asciiTheme="minorBidi" w:hAnsiTheme="minorBidi"/>
                <w:sz w:val="12"/>
                <w:szCs w:val="12"/>
                <w:rtl/>
              </w:rPr>
              <w:t xml:space="preserve">{לא כהלכתו} </w:t>
            </w:r>
            <w:r w:rsidRPr="003024E5">
              <w:rPr>
                <w:rFonts w:asciiTheme="minorBidi" w:hAnsiTheme="minorBidi"/>
                <w:sz w:val="16"/>
                <w:szCs w:val="16"/>
                <w:rtl/>
              </w:rPr>
              <w:t>מותר לכתח'</w:t>
            </w:r>
            <w:r w:rsidRPr="003024E5">
              <w:rPr>
                <w:rStyle w:val="a7"/>
                <w:rFonts w:asciiTheme="minorBidi" w:hAnsiTheme="minorBidi"/>
                <w:sz w:val="16"/>
                <w:szCs w:val="16"/>
                <w:rtl/>
              </w:rPr>
              <w:footnoteReference w:id="1206"/>
            </w:r>
            <w:r w:rsidRPr="003024E5">
              <w:rPr>
                <w:rFonts w:asciiTheme="minorBidi" w:hAnsiTheme="minorBidi"/>
                <w:sz w:val="16"/>
                <w:szCs w:val="16"/>
                <w:rtl/>
              </w:rPr>
              <w:t>)</w:t>
            </w:r>
          </w:p>
        </w:tc>
        <w:tc>
          <w:tcPr>
            <w:tcW w:w="1686" w:type="dxa"/>
          </w:tcPr>
          <w:p w14:paraId="3F41972B" w14:textId="77777777" w:rsidR="002C39F4" w:rsidRPr="003024E5" w:rsidRDefault="002C39F4" w:rsidP="004C5A3C">
            <w:pPr>
              <w:rPr>
                <w:rFonts w:asciiTheme="minorBidi" w:hAnsiTheme="minorBidi"/>
                <w:rtl/>
              </w:rPr>
            </w:pPr>
            <w:r w:rsidRPr="003024E5">
              <w:rPr>
                <w:rFonts w:asciiTheme="minorBidi" w:hAnsiTheme="minorBidi"/>
                <w:rtl/>
              </w:rPr>
              <w:t xml:space="preserve">מותר בדיעבד </w:t>
            </w:r>
            <w:r w:rsidRPr="003024E5">
              <w:rPr>
                <w:rFonts w:asciiTheme="minorBidi" w:hAnsiTheme="minorBidi"/>
                <w:color w:val="E36C0A" w:themeColor="accent6" w:themeShade="BF"/>
                <w:sz w:val="18"/>
                <w:szCs w:val="18"/>
                <w:rtl/>
              </w:rPr>
              <w:t>(וכ"פ בשו"ע)</w:t>
            </w:r>
          </w:p>
        </w:tc>
      </w:tr>
      <w:tr w:rsidR="002C39F4" w:rsidRPr="003024E5" w14:paraId="4EB293BF" w14:textId="77777777" w:rsidTr="004C5A3C">
        <w:tc>
          <w:tcPr>
            <w:tcW w:w="857" w:type="dxa"/>
            <w:vMerge/>
            <w:shd w:val="clear" w:color="auto" w:fill="D9D9D9" w:themeFill="background1" w:themeFillShade="D9"/>
          </w:tcPr>
          <w:p w14:paraId="0BBC4B62" w14:textId="77777777" w:rsidR="002C39F4" w:rsidRPr="003024E5" w:rsidRDefault="002C39F4" w:rsidP="004C5A3C">
            <w:pPr>
              <w:rPr>
                <w:rFonts w:asciiTheme="minorBidi" w:hAnsiTheme="minorBidi"/>
                <w:b/>
                <w:bCs/>
                <w:sz w:val="18"/>
                <w:szCs w:val="18"/>
                <w:rtl/>
              </w:rPr>
            </w:pPr>
          </w:p>
        </w:tc>
        <w:tc>
          <w:tcPr>
            <w:tcW w:w="1552" w:type="dxa"/>
            <w:shd w:val="clear" w:color="auto" w:fill="D9D9D9" w:themeFill="background1" w:themeFillShade="D9"/>
          </w:tcPr>
          <w:p w14:paraId="51A49FE7" w14:textId="77777777" w:rsidR="002C39F4" w:rsidRPr="003024E5" w:rsidRDefault="002C39F4" w:rsidP="004C5A3C">
            <w:pPr>
              <w:jc w:val="center"/>
              <w:rPr>
                <w:rFonts w:asciiTheme="minorBidi" w:hAnsiTheme="minorBidi"/>
                <w:b/>
                <w:bCs/>
                <w:sz w:val="18"/>
                <w:szCs w:val="18"/>
                <w:rtl/>
              </w:rPr>
            </w:pPr>
            <w:r>
              <w:rPr>
                <w:rFonts w:asciiTheme="minorBidi" w:hAnsiTheme="minorBidi" w:hint="cs"/>
                <w:b/>
                <w:bCs/>
                <w:sz w:val="18"/>
                <w:szCs w:val="18"/>
                <w:rtl/>
              </w:rPr>
              <w:t xml:space="preserve">בלא קריעה, </w:t>
            </w:r>
            <w:r w:rsidRPr="003024E5">
              <w:rPr>
                <w:rFonts w:asciiTheme="minorBidi" w:hAnsiTheme="minorBidi"/>
                <w:b/>
                <w:bCs/>
                <w:sz w:val="18"/>
                <w:szCs w:val="18"/>
                <w:rtl/>
              </w:rPr>
              <w:t>עם בשר</w:t>
            </w:r>
          </w:p>
        </w:tc>
        <w:tc>
          <w:tcPr>
            <w:tcW w:w="7341" w:type="dxa"/>
            <w:gridSpan w:val="3"/>
          </w:tcPr>
          <w:p w14:paraId="33974EB0" w14:textId="77777777" w:rsidR="002C39F4" w:rsidRPr="003024E5" w:rsidRDefault="002C39F4" w:rsidP="004C5A3C">
            <w:pPr>
              <w:rPr>
                <w:rFonts w:asciiTheme="minorBidi" w:hAnsiTheme="minorBidi"/>
                <w:rtl/>
              </w:rPr>
            </w:pPr>
            <w:r w:rsidRPr="003024E5">
              <w:rPr>
                <w:rFonts w:asciiTheme="minorBidi" w:hAnsiTheme="minorBidi"/>
                <w:rtl/>
              </w:rPr>
              <w:t>אסור</w:t>
            </w:r>
            <w:r w:rsidRPr="003024E5">
              <w:rPr>
                <w:rStyle w:val="a7"/>
                <w:rFonts w:asciiTheme="minorBidi" w:hAnsiTheme="minorBidi"/>
                <w:rtl/>
              </w:rPr>
              <w:footnoteReference w:id="1207"/>
            </w:r>
            <w:r w:rsidRPr="003024E5">
              <w:rPr>
                <w:rFonts w:asciiTheme="minorBidi" w:hAnsiTheme="minorBidi"/>
                <w:rtl/>
              </w:rPr>
              <w:t>, ואם יש ס'</w:t>
            </w:r>
            <w:r>
              <w:rPr>
                <w:rFonts w:asciiTheme="minorBidi" w:hAnsiTheme="minorBidi" w:hint="cs"/>
                <w:rtl/>
              </w:rPr>
              <w:t>-</w:t>
            </w:r>
            <w:r w:rsidRPr="003024E5">
              <w:rPr>
                <w:rFonts w:asciiTheme="minorBidi" w:hAnsiTheme="minorBidi"/>
                <w:rtl/>
              </w:rPr>
              <w:t xml:space="preserve"> כחל אסור ובשר מותר.</w:t>
            </w:r>
            <w:r w:rsidRPr="003024E5">
              <w:rPr>
                <w:rFonts w:asciiTheme="minorBidi" w:hAnsiTheme="minorBidi"/>
                <w:color w:val="E36C0A" w:themeColor="accent6" w:themeShade="BF"/>
                <w:rtl/>
              </w:rPr>
              <w:t xml:space="preserve"> </w:t>
            </w:r>
            <w:r w:rsidRPr="003024E5">
              <w:rPr>
                <w:rFonts w:asciiTheme="minorBidi" w:hAnsiTheme="minorBidi"/>
                <w:color w:val="E36C0A" w:themeColor="accent6" w:themeShade="BF"/>
                <w:sz w:val="18"/>
                <w:szCs w:val="18"/>
                <w:rtl/>
              </w:rPr>
              <w:t>(וכ"פ בשו"ע)</w:t>
            </w:r>
            <w:r>
              <w:rPr>
                <w:rFonts w:asciiTheme="minorBidi" w:hAnsiTheme="minorBidi" w:hint="cs"/>
                <w:rtl/>
              </w:rPr>
              <w:t xml:space="preserve"> </w:t>
            </w:r>
          </w:p>
        </w:tc>
      </w:tr>
      <w:tr w:rsidR="002C39F4" w:rsidRPr="003024E5" w14:paraId="38FF7EDC" w14:textId="77777777" w:rsidTr="004C5A3C">
        <w:tc>
          <w:tcPr>
            <w:tcW w:w="857" w:type="dxa"/>
            <w:vMerge/>
            <w:shd w:val="clear" w:color="auto" w:fill="D9D9D9" w:themeFill="background1" w:themeFillShade="D9"/>
          </w:tcPr>
          <w:p w14:paraId="33DAF01D" w14:textId="77777777" w:rsidR="002C39F4" w:rsidRPr="003024E5" w:rsidRDefault="002C39F4" w:rsidP="004C5A3C">
            <w:pPr>
              <w:rPr>
                <w:rFonts w:asciiTheme="minorBidi" w:hAnsiTheme="minorBidi"/>
                <w:b/>
                <w:bCs/>
                <w:sz w:val="18"/>
                <w:szCs w:val="18"/>
                <w:rtl/>
              </w:rPr>
            </w:pPr>
          </w:p>
        </w:tc>
        <w:tc>
          <w:tcPr>
            <w:tcW w:w="1552" w:type="dxa"/>
            <w:shd w:val="clear" w:color="auto" w:fill="D9D9D9" w:themeFill="background1" w:themeFillShade="D9"/>
          </w:tcPr>
          <w:p w14:paraId="713A4753" w14:textId="77777777" w:rsidR="002C39F4" w:rsidRDefault="002C39F4" w:rsidP="004C5A3C">
            <w:pPr>
              <w:jc w:val="center"/>
              <w:rPr>
                <w:rFonts w:asciiTheme="minorBidi" w:hAnsiTheme="minorBidi"/>
                <w:b/>
                <w:bCs/>
                <w:sz w:val="18"/>
                <w:szCs w:val="18"/>
                <w:rtl/>
              </w:rPr>
            </w:pPr>
          </w:p>
          <w:p w14:paraId="63CF1D3B" w14:textId="77777777" w:rsidR="002C39F4" w:rsidRPr="003024E5" w:rsidRDefault="002C39F4" w:rsidP="004C5A3C">
            <w:pPr>
              <w:jc w:val="center"/>
              <w:rPr>
                <w:rFonts w:asciiTheme="minorBidi" w:hAnsiTheme="minorBidi"/>
                <w:b/>
                <w:bCs/>
                <w:sz w:val="18"/>
                <w:szCs w:val="18"/>
                <w:rtl/>
              </w:rPr>
            </w:pPr>
            <w:r>
              <w:rPr>
                <w:rFonts w:asciiTheme="minorBidi" w:hAnsiTheme="minorBidi" w:hint="cs"/>
                <w:b/>
                <w:bCs/>
                <w:sz w:val="18"/>
                <w:szCs w:val="18"/>
                <w:rtl/>
              </w:rPr>
              <w:t xml:space="preserve">אחרי שקרעו </w:t>
            </w:r>
            <w:r w:rsidRPr="003024E5">
              <w:rPr>
                <w:rFonts w:asciiTheme="minorBidi" w:hAnsiTheme="minorBidi"/>
                <w:b/>
                <w:bCs/>
                <w:sz w:val="18"/>
                <w:szCs w:val="18"/>
                <w:rtl/>
              </w:rPr>
              <w:t>שתי וערב וטחו בכותל</w:t>
            </w:r>
          </w:p>
        </w:tc>
        <w:tc>
          <w:tcPr>
            <w:tcW w:w="3409" w:type="dxa"/>
          </w:tcPr>
          <w:p w14:paraId="1BA157CC" w14:textId="77777777" w:rsidR="002C39F4" w:rsidRDefault="002C39F4" w:rsidP="004C5A3C">
            <w:pPr>
              <w:rPr>
                <w:rFonts w:asciiTheme="minorBidi" w:hAnsiTheme="minorBidi"/>
                <w:rtl/>
              </w:rPr>
            </w:pPr>
            <w:r w:rsidRPr="003024E5">
              <w:rPr>
                <w:rFonts w:asciiTheme="minorBidi" w:hAnsiTheme="minorBidi"/>
                <w:u w:val="double"/>
                <w:rtl/>
              </w:rPr>
              <w:t>להב' תוס'</w:t>
            </w:r>
            <w:r w:rsidRPr="003024E5">
              <w:rPr>
                <w:rStyle w:val="a7"/>
                <w:rFonts w:asciiTheme="minorBidi" w:hAnsiTheme="minorBidi"/>
                <w:u w:val="double"/>
                <w:rtl/>
              </w:rPr>
              <w:footnoteReference w:id="1208"/>
            </w:r>
            <w:r w:rsidRPr="003024E5">
              <w:rPr>
                <w:rFonts w:asciiTheme="minorBidi" w:hAnsiTheme="minorBidi"/>
                <w:rtl/>
              </w:rPr>
              <w:t>- מבשלו אפי' עם בשר.</w:t>
            </w:r>
          </w:p>
          <w:p w14:paraId="17B1EE26" w14:textId="77777777" w:rsidR="002C39F4" w:rsidRPr="003024E5" w:rsidRDefault="002C39F4" w:rsidP="004C5A3C">
            <w:pPr>
              <w:rPr>
                <w:rFonts w:asciiTheme="minorBidi" w:hAnsiTheme="minorBidi"/>
                <w:rtl/>
              </w:rPr>
            </w:pPr>
            <w:r w:rsidRPr="003024E5">
              <w:rPr>
                <w:rFonts w:asciiTheme="minorBidi" w:hAnsiTheme="minorBidi"/>
                <w:u w:val="double"/>
                <w:rtl/>
              </w:rPr>
              <w:t>להב' סה"ת</w:t>
            </w:r>
            <w:r w:rsidRPr="003024E5">
              <w:rPr>
                <w:rStyle w:val="a7"/>
                <w:rFonts w:asciiTheme="minorBidi" w:hAnsiTheme="minorBidi"/>
                <w:u w:val="double"/>
                <w:rtl/>
              </w:rPr>
              <w:footnoteReference w:id="1209"/>
            </w:r>
            <w:r w:rsidRPr="003024E5">
              <w:rPr>
                <w:rFonts w:asciiTheme="minorBidi" w:hAnsiTheme="minorBidi"/>
                <w:rtl/>
              </w:rPr>
              <w:t>- מבשלו לבדו, ואם בשלו עם בשר מותר בדיעבד</w:t>
            </w:r>
            <w:r w:rsidRPr="003024E5">
              <w:rPr>
                <w:rStyle w:val="a7"/>
                <w:rFonts w:asciiTheme="minorBidi" w:hAnsiTheme="minorBidi"/>
                <w:rtl/>
              </w:rPr>
              <w:footnoteReference w:id="1210"/>
            </w:r>
            <w:r w:rsidRPr="003024E5">
              <w:rPr>
                <w:rFonts w:asciiTheme="minorBidi" w:hAnsiTheme="minorBidi"/>
                <w:rtl/>
              </w:rPr>
              <w:t>.</w:t>
            </w:r>
          </w:p>
        </w:tc>
        <w:tc>
          <w:tcPr>
            <w:tcW w:w="3932" w:type="dxa"/>
            <w:gridSpan w:val="2"/>
          </w:tcPr>
          <w:p w14:paraId="2009F4C2" w14:textId="77777777" w:rsidR="002C39F4" w:rsidRPr="003024E5" w:rsidRDefault="002C39F4" w:rsidP="004C5A3C">
            <w:pPr>
              <w:rPr>
                <w:rFonts w:asciiTheme="minorBidi" w:hAnsiTheme="minorBidi"/>
                <w:rtl/>
              </w:rPr>
            </w:pPr>
            <w:r w:rsidRPr="003024E5">
              <w:rPr>
                <w:rFonts w:asciiTheme="minorBidi" w:hAnsiTheme="minorBidi"/>
                <w:rtl/>
              </w:rPr>
              <w:t>מבשלו אפי' עם בשר</w:t>
            </w:r>
            <w:r w:rsidRPr="003024E5">
              <w:rPr>
                <w:rStyle w:val="a7"/>
                <w:rFonts w:asciiTheme="minorBidi" w:hAnsiTheme="minorBidi"/>
                <w:rtl/>
              </w:rPr>
              <w:footnoteReference w:id="1211"/>
            </w:r>
            <w:r w:rsidRPr="003024E5">
              <w:rPr>
                <w:rFonts w:asciiTheme="minorBidi" w:hAnsiTheme="minorBidi"/>
                <w:rtl/>
              </w:rPr>
              <w:t>.</w:t>
            </w:r>
            <w:r>
              <w:rPr>
                <w:rFonts w:asciiTheme="minorBidi" w:hAnsiTheme="minorBidi" w:hint="cs"/>
                <w:rtl/>
              </w:rPr>
              <w:t xml:space="preserve"> </w:t>
            </w:r>
            <w:r w:rsidRPr="003024E5">
              <w:rPr>
                <w:rFonts w:asciiTheme="minorBidi" w:hAnsiTheme="minorBidi"/>
                <w:color w:val="E36C0A" w:themeColor="accent6" w:themeShade="BF"/>
                <w:sz w:val="18"/>
                <w:szCs w:val="18"/>
                <w:rtl/>
              </w:rPr>
              <w:t>(וכ"פ בשו"ע)</w:t>
            </w:r>
          </w:p>
        </w:tc>
      </w:tr>
      <w:tr w:rsidR="002C39F4" w:rsidRPr="003024E5" w14:paraId="34AB9FF8" w14:textId="77777777" w:rsidTr="004C5A3C">
        <w:tc>
          <w:tcPr>
            <w:tcW w:w="857" w:type="dxa"/>
            <w:vMerge w:val="restart"/>
            <w:shd w:val="clear" w:color="auto" w:fill="D9D9D9" w:themeFill="background1" w:themeFillShade="D9"/>
          </w:tcPr>
          <w:p w14:paraId="3CB2833B" w14:textId="77777777" w:rsidR="002C39F4" w:rsidRPr="003024E5" w:rsidRDefault="002C39F4" w:rsidP="004C5A3C">
            <w:pPr>
              <w:rPr>
                <w:rFonts w:asciiTheme="minorBidi" w:hAnsiTheme="minorBidi"/>
                <w:b/>
                <w:bCs/>
                <w:sz w:val="18"/>
                <w:szCs w:val="18"/>
                <w:rtl/>
              </w:rPr>
            </w:pPr>
          </w:p>
          <w:p w14:paraId="276148F3" w14:textId="77777777" w:rsidR="002C39F4" w:rsidRPr="003024E5" w:rsidRDefault="002C39F4" w:rsidP="004C5A3C">
            <w:pPr>
              <w:jc w:val="center"/>
              <w:rPr>
                <w:rFonts w:asciiTheme="minorBidi" w:hAnsiTheme="minorBidi"/>
                <w:b/>
                <w:bCs/>
                <w:sz w:val="18"/>
                <w:szCs w:val="18"/>
                <w:rtl/>
              </w:rPr>
            </w:pPr>
            <w:r w:rsidRPr="003024E5">
              <w:rPr>
                <w:rFonts w:asciiTheme="minorBidi" w:hAnsiTheme="minorBidi"/>
                <w:b/>
                <w:bCs/>
                <w:sz w:val="18"/>
                <w:szCs w:val="18"/>
                <w:rtl/>
              </w:rPr>
              <w:t>צל</w:t>
            </w:r>
            <w:r>
              <w:rPr>
                <w:rFonts w:asciiTheme="minorBidi" w:hAnsiTheme="minorBidi" w:hint="cs"/>
                <w:b/>
                <w:bCs/>
                <w:sz w:val="18"/>
                <w:szCs w:val="18"/>
                <w:rtl/>
              </w:rPr>
              <w:t>או</w:t>
            </w:r>
          </w:p>
        </w:tc>
        <w:tc>
          <w:tcPr>
            <w:tcW w:w="1552" w:type="dxa"/>
            <w:shd w:val="clear" w:color="auto" w:fill="D9D9D9" w:themeFill="background1" w:themeFillShade="D9"/>
          </w:tcPr>
          <w:p w14:paraId="5A3855F0" w14:textId="77777777" w:rsidR="002C39F4" w:rsidRPr="003024E5" w:rsidRDefault="002C39F4" w:rsidP="004C5A3C">
            <w:pPr>
              <w:jc w:val="center"/>
              <w:rPr>
                <w:rFonts w:asciiTheme="minorBidi" w:hAnsiTheme="minorBidi"/>
                <w:b/>
                <w:bCs/>
                <w:sz w:val="18"/>
                <w:szCs w:val="18"/>
                <w:rtl/>
              </w:rPr>
            </w:pPr>
            <w:r>
              <w:rPr>
                <w:rFonts w:asciiTheme="minorBidi" w:hAnsiTheme="minorBidi" w:hint="cs"/>
                <w:b/>
                <w:bCs/>
                <w:sz w:val="18"/>
                <w:szCs w:val="18"/>
                <w:rtl/>
              </w:rPr>
              <w:t>ו</w:t>
            </w:r>
            <w:r w:rsidRPr="003024E5">
              <w:rPr>
                <w:rFonts w:asciiTheme="minorBidi" w:hAnsiTheme="minorBidi"/>
                <w:b/>
                <w:bCs/>
                <w:sz w:val="18"/>
                <w:szCs w:val="18"/>
                <w:rtl/>
              </w:rPr>
              <w:t>לא קרעו</w:t>
            </w:r>
          </w:p>
        </w:tc>
        <w:tc>
          <w:tcPr>
            <w:tcW w:w="3409" w:type="dxa"/>
          </w:tcPr>
          <w:p w14:paraId="3E45B2DA" w14:textId="77777777" w:rsidR="002C39F4" w:rsidRPr="003024E5" w:rsidRDefault="002C39F4" w:rsidP="004C5A3C">
            <w:pPr>
              <w:rPr>
                <w:rFonts w:asciiTheme="minorBidi" w:hAnsiTheme="minorBidi"/>
                <w:rtl/>
              </w:rPr>
            </w:pPr>
            <w:r w:rsidRPr="003024E5">
              <w:rPr>
                <w:rFonts w:asciiTheme="minorBidi" w:hAnsiTheme="minorBidi"/>
                <w:rtl/>
              </w:rPr>
              <w:t>מותר בדיעבד</w:t>
            </w:r>
            <w:r w:rsidRPr="003024E5">
              <w:rPr>
                <w:rFonts w:asciiTheme="minorBidi" w:hAnsiTheme="minorBidi"/>
                <w:color w:val="E36C0A" w:themeColor="accent6" w:themeShade="BF"/>
                <w:sz w:val="18"/>
                <w:szCs w:val="18"/>
                <w:rtl/>
              </w:rPr>
              <w:t xml:space="preserve">  </w:t>
            </w:r>
          </w:p>
        </w:tc>
        <w:tc>
          <w:tcPr>
            <w:tcW w:w="2246" w:type="dxa"/>
          </w:tcPr>
          <w:p w14:paraId="12EB26CC" w14:textId="77777777" w:rsidR="002C39F4" w:rsidRPr="003024E5" w:rsidRDefault="002C39F4" w:rsidP="004C5A3C">
            <w:pPr>
              <w:rPr>
                <w:rFonts w:asciiTheme="minorBidi" w:hAnsiTheme="minorBidi"/>
                <w:rtl/>
              </w:rPr>
            </w:pPr>
            <w:r w:rsidRPr="003024E5">
              <w:rPr>
                <w:rFonts w:asciiTheme="minorBidi" w:hAnsiTheme="minorBidi"/>
                <w:rtl/>
              </w:rPr>
              <w:t>מותר בדיעבד</w:t>
            </w:r>
            <w:r w:rsidRPr="003024E5">
              <w:rPr>
                <w:rStyle w:val="a7"/>
                <w:rFonts w:asciiTheme="minorBidi" w:hAnsiTheme="minorBidi"/>
                <w:rtl/>
              </w:rPr>
              <w:footnoteReference w:id="1212"/>
            </w:r>
            <w:r w:rsidRPr="003024E5">
              <w:rPr>
                <w:rFonts w:asciiTheme="minorBidi" w:hAnsiTheme="minorBidi"/>
                <w:sz w:val="16"/>
                <w:szCs w:val="16"/>
                <w:rtl/>
              </w:rPr>
              <w:t xml:space="preserve"> (ואם קרעו קצת </w:t>
            </w:r>
            <w:r w:rsidRPr="003024E5">
              <w:rPr>
                <w:rFonts w:asciiTheme="minorBidi" w:hAnsiTheme="minorBidi"/>
                <w:sz w:val="14"/>
                <w:szCs w:val="14"/>
                <w:rtl/>
              </w:rPr>
              <w:t xml:space="preserve">{לא כהלכתו} </w:t>
            </w:r>
            <w:r w:rsidRPr="003024E5">
              <w:rPr>
                <w:rFonts w:asciiTheme="minorBidi" w:hAnsiTheme="minorBidi"/>
                <w:sz w:val="16"/>
                <w:szCs w:val="16"/>
                <w:rtl/>
              </w:rPr>
              <w:t>מותר לכתח')</w:t>
            </w:r>
          </w:p>
        </w:tc>
        <w:tc>
          <w:tcPr>
            <w:tcW w:w="1686" w:type="dxa"/>
          </w:tcPr>
          <w:p w14:paraId="623C0C2A" w14:textId="77777777" w:rsidR="002C39F4" w:rsidRPr="003024E5" w:rsidRDefault="002C39F4" w:rsidP="004C5A3C">
            <w:pPr>
              <w:rPr>
                <w:rFonts w:asciiTheme="minorBidi" w:hAnsiTheme="minorBidi"/>
                <w:rtl/>
              </w:rPr>
            </w:pPr>
            <w:r w:rsidRPr="003024E5">
              <w:rPr>
                <w:rFonts w:asciiTheme="minorBidi" w:hAnsiTheme="minorBidi"/>
                <w:rtl/>
              </w:rPr>
              <w:t>מותר לכתחילה</w:t>
            </w:r>
            <w:r w:rsidRPr="003024E5">
              <w:rPr>
                <w:rStyle w:val="a7"/>
                <w:rFonts w:asciiTheme="minorBidi" w:hAnsiTheme="minorBidi"/>
                <w:rtl/>
              </w:rPr>
              <w:footnoteReference w:id="1213"/>
            </w:r>
            <w:r w:rsidRPr="003024E5">
              <w:rPr>
                <w:rFonts w:asciiTheme="minorBidi" w:hAnsiTheme="minorBidi"/>
                <w:rtl/>
              </w:rPr>
              <w:t xml:space="preserve"> </w:t>
            </w:r>
          </w:p>
        </w:tc>
      </w:tr>
      <w:tr w:rsidR="002C39F4" w:rsidRPr="003024E5" w14:paraId="53C45F22" w14:textId="77777777" w:rsidTr="004C5A3C">
        <w:trPr>
          <w:trHeight w:val="422"/>
        </w:trPr>
        <w:tc>
          <w:tcPr>
            <w:tcW w:w="857" w:type="dxa"/>
            <w:vMerge/>
          </w:tcPr>
          <w:p w14:paraId="3724B879" w14:textId="77777777" w:rsidR="002C39F4" w:rsidRPr="003024E5" w:rsidRDefault="002C39F4" w:rsidP="004C5A3C">
            <w:pPr>
              <w:rPr>
                <w:rFonts w:asciiTheme="minorBidi" w:hAnsiTheme="minorBidi"/>
                <w:b/>
                <w:bCs/>
                <w:sz w:val="18"/>
                <w:szCs w:val="18"/>
                <w:rtl/>
              </w:rPr>
            </w:pPr>
          </w:p>
        </w:tc>
        <w:tc>
          <w:tcPr>
            <w:tcW w:w="1552" w:type="dxa"/>
            <w:shd w:val="clear" w:color="auto" w:fill="D9D9D9" w:themeFill="background1" w:themeFillShade="D9"/>
          </w:tcPr>
          <w:p w14:paraId="16C5C975" w14:textId="77777777" w:rsidR="002C39F4" w:rsidRPr="003024E5" w:rsidRDefault="002C39F4" w:rsidP="004C5A3C">
            <w:pPr>
              <w:jc w:val="center"/>
              <w:rPr>
                <w:rFonts w:asciiTheme="minorBidi" w:hAnsiTheme="minorBidi"/>
                <w:b/>
                <w:bCs/>
                <w:sz w:val="18"/>
                <w:szCs w:val="18"/>
                <w:rtl/>
              </w:rPr>
            </w:pPr>
            <w:r>
              <w:rPr>
                <w:rFonts w:asciiTheme="minorBidi" w:hAnsiTheme="minorBidi" w:hint="cs"/>
                <w:b/>
                <w:bCs/>
                <w:sz w:val="18"/>
                <w:szCs w:val="18"/>
                <w:rtl/>
              </w:rPr>
              <w:t>ו</w:t>
            </w:r>
            <w:r w:rsidRPr="003024E5">
              <w:rPr>
                <w:rFonts w:asciiTheme="minorBidi" w:hAnsiTheme="minorBidi"/>
                <w:b/>
                <w:bCs/>
                <w:sz w:val="18"/>
                <w:szCs w:val="18"/>
                <w:rtl/>
              </w:rPr>
              <w:t>קרעו שתי וערב</w:t>
            </w:r>
          </w:p>
        </w:tc>
        <w:tc>
          <w:tcPr>
            <w:tcW w:w="7341" w:type="dxa"/>
            <w:gridSpan w:val="3"/>
          </w:tcPr>
          <w:p w14:paraId="3CCE5CA1" w14:textId="77777777" w:rsidR="002C39F4" w:rsidRPr="003024E5" w:rsidRDefault="002C39F4" w:rsidP="004C5A3C">
            <w:pPr>
              <w:tabs>
                <w:tab w:val="left" w:pos="2601"/>
              </w:tabs>
              <w:rPr>
                <w:rFonts w:asciiTheme="minorBidi" w:hAnsiTheme="minorBidi"/>
                <w:rtl/>
              </w:rPr>
            </w:pPr>
            <w:r w:rsidRPr="003024E5">
              <w:rPr>
                <w:rFonts w:asciiTheme="minorBidi" w:hAnsiTheme="minorBidi"/>
                <w:rtl/>
              </w:rPr>
              <w:t>מותר לכתחילה</w:t>
            </w:r>
            <w:r w:rsidRPr="003024E5">
              <w:rPr>
                <w:rStyle w:val="a7"/>
                <w:rFonts w:asciiTheme="minorBidi" w:hAnsiTheme="minorBidi"/>
                <w:rtl/>
              </w:rPr>
              <w:footnoteReference w:id="1214"/>
            </w:r>
            <w:r w:rsidRPr="003024E5">
              <w:rPr>
                <w:rFonts w:asciiTheme="minorBidi" w:hAnsiTheme="minorBidi"/>
                <w:rtl/>
              </w:rPr>
              <w:t xml:space="preserve"> </w:t>
            </w:r>
            <w:r w:rsidRPr="003024E5">
              <w:rPr>
                <w:rFonts w:asciiTheme="minorBidi" w:hAnsiTheme="minorBidi"/>
                <w:color w:val="E36C0A" w:themeColor="accent6" w:themeShade="BF"/>
                <w:sz w:val="18"/>
                <w:szCs w:val="18"/>
                <w:rtl/>
              </w:rPr>
              <w:t>(וכ"פ בשו"ע</w:t>
            </w:r>
            <w:r>
              <w:rPr>
                <w:rFonts w:asciiTheme="minorBidi" w:hAnsiTheme="minorBidi" w:hint="cs"/>
                <w:color w:val="E36C0A" w:themeColor="accent6" w:themeShade="BF"/>
                <w:sz w:val="18"/>
                <w:szCs w:val="18"/>
                <w:rtl/>
              </w:rPr>
              <w:t>)</w:t>
            </w:r>
          </w:p>
        </w:tc>
      </w:tr>
    </w:tbl>
    <w:p w14:paraId="2F82829B"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צז ע"ב: </w:t>
      </w:r>
      <w:r w:rsidRPr="003024E5">
        <w:rPr>
          <w:rFonts w:asciiTheme="minorBidi" w:hAnsiTheme="minorBidi"/>
          <w:u w:val="single"/>
          <w:rtl/>
        </w:rPr>
        <w:t>אמר רב נחמן</w:t>
      </w:r>
      <w:r w:rsidRPr="003024E5">
        <w:rPr>
          <w:rFonts w:asciiTheme="minorBidi" w:hAnsiTheme="minorBidi"/>
          <w:rtl/>
        </w:rPr>
        <w:t>... כחל בששים</w:t>
      </w:r>
      <w:r>
        <w:rPr>
          <w:rFonts w:asciiTheme="minorBidi" w:hAnsiTheme="minorBidi" w:hint="cs"/>
          <w:rtl/>
        </w:rPr>
        <w:t>,</w:t>
      </w:r>
      <w:r w:rsidRPr="003024E5">
        <w:rPr>
          <w:rFonts w:asciiTheme="minorBidi" w:hAnsiTheme="minorBidi"/>
          <w:rtl/>
        </w:rPr>
        <w:t xml:space="preserve"> וכחל מן המנין... </w:t>
      </w:r>
      <w:r w:rsidRPr="003024E5">
        <w:rPr>
          <w:rFonts w:asciiTheme="minorBidi" w:hAnsiTheme="minorBidi"/>
          <w:u w:val="single"/>
          <w:rtl/>
        </w:rPr>
        <w:t>אמר רבי יצחק בריה דרב משרשיא</w:t>
      </w:r>
      <w:r w:rsidRPr="003024E5">
        <w:rPr>
          <w:rFonts w:asciiTheme="minorBidi" w:hAnsiTheme="minorBidi"/>
          <w:rtl/>
        </w:rPr>
        <w:t>: וכחל עצמו אסור, ואי נפל לקדרה אחרת</w:t>
      </w:r>
      <w:r>
        <w:rPr>
          <w:rFonts w:asciiTheme="minorBidi" w:hAnsiTheme="minorBidi" w:hint="cs"/>
          <w:rtl/>
        </w:rPr>
        <w:t xml:space="preserve"> </w:t>
      </w:r>
      <w:r w:rsidRPr="003024E5">
        <w:rPr>
          <w:rFonts w:asciiTheme="minorBidi" w:hAnsiTheme="minorBidi"/>
          <w:rtl/>
        </w:rPr>
        <w:t>- אוסר</w:t>
      </w:r>
      <w:r w:rsidRPr="003024E5">
        <w:rPr>
          <w:rStyle w:val="a7"/>
          <w:rFonts w:asciiTheme="minorBidi" w:hAnsiTheme="minorBidi"/>
          <w:rtl/>
        </w:rPr>
        <w:footnoteReference w:id="1215"/>
      </w:r>
      <w:r w:rsidRPr="003024E5">
        <w:rPr>
          <w:rFonts w:asciiTheme="minorBidi" w:hAnsiTheme="minorBidi"/>
          <w:rtl/>
        </w:rPr>
        <w:t xml:space="preserve">. </w:t>
      </w:r>
      <w:r w:rsidRPr="003024E5">
        <w:rPr>
          <w:rFonts w:asciiTheme="minorBidi" w:hAnsiTheme="minorBidi"/>
          <w:u w:val="single"/>
          <w:rtl/>
        </w:rPr>
        <w:t>אמר רב אשי</w:t>
      </w:r>
      <w:r w:rsidRPr="003024E5">
        <w:rPr>
          <w:rFonts w:asciiTheme="minorBidi" w:hAnsiTheme="minorBidi"/>
          <w:rtl/>
        </w:rPr>
        <w:t>, כי הוינן בי רב כהנא איבעיא לן, כי משערינן</w:t>
      </w:r>
      <w:r>
        <w:rPr>
          <w:rFonts w:asciiTheme="minorBidi" w:hAnsiTheme="minorBidi" w:hint="cs"/>
          <w:rtl/>
        </w:rPr>
        <w:t xml:space="preserve"> </w:t>
      </w:r>
      <w:r w:rsidRPr="003024E5">
        <w:rPr>
          <w:rFonts w:asciiTheme="minorBidi" w:hAnsiTheme="minorBidi"/>
          <w:rtl/>
        </w:rPr>
        <w:t>- בדידיה משערינן</w:t>
      </w:r>
      <w:r w:rsidRPr="003024E5">
        <w:rPr>
          <w:rStyle w:val="a7"/>
          <w:rFonts w:asciiTheme="minorBidi" w:hAnsiTheme="minorBidi"/>
          <w:rtl/>
        </w:rPr>
        <w:footnoteReference w:id="1216"/>
      </w:r>
      <w:r w:rsidRPr="003024E5">
        <w:rPr>
          <w:rFonts w:asciiTheme="minorBidi" w:hAnsiTheme="minorBidi"/>
          <w:rtl/>
        </w:rPr>
        <w:t>, או במאי דנפק מיניה</w:t>
      </w:r>
      <w:r w:rsidRPr="003024E5">
        <w:rPr>
          <w:rStyle w:val="a7"/>
          <w:rFonts w:asciiTheme="minorBidi" w:hAnsiTheme="minorBidi"/>
          <w:rtl/>
        </w:rPr>
        <w:footnoteReference w:id="1217"/>
      </w:r>
      <w:r w:rsidRPr="003024E5">
        <w:rPr>
          <w:rFonts w:asciiTheme="minorBidi" w:hAnsiTheme="minorBidi"/>
          <w:rtl/>
        </w:rPr>
        <w:t xml:space="preserve"> משערינן? פשיטא דבדידיה משערינן, דאי במה דנפק מיניה מנא ידעינן? אלא מעתה</w:t>
      </w:r>
      <w:r w:rsidRPr="003024E5">
        <w:rPr>
          <w:rStyle w:val="a7"/>
          <w:rFonts w:asciiTheme="minorBidi" w:hAnsiTheme="minorBidi"/>
          <w:rtl/>
        </w:rPr>
        <w:footnoteReference w:id="1218"/>
      </w:r>
      <w:r w:rsidRPr="003024E5">
        <w:rPr>
          <w:rFonts w:asciiTheme="minorBidi" w:hAnsiTheme="minorBidi"/>
          <w:rtl/>
        </w:rPr>
        <w:t xml:space="preserve"> נפל לקדרה אחרת לא יאסר! כיון דאמר רב יצחק בריה דרב משרשיא: וכחל עצמו אסור, שויוה רבנן כחתיכה דנבלה</w:t>
      </w:r>
      <w:r w:rsidRPr="003024E5">
        <w:rPr>
          <w:rStyle w:val="a7"/>
          <w:rFonts w:asciiTheme="minorBidi" w:hAnsiTheme="minorBidi"/>
          <w:rtl/>
        </w:rPr>
        <w:footnoteReference w:id="1219"/>
      </w:r>
      <w:r w:rsidRPr="003024E5">
        <w:rPr>
          <w:rFonts w:asciiTheme="minorBidi" w:hAnsiTheme="minorBidi"/>
          <w:rtl/>
        </w:rPr>
        <w:t xml:space="preserve">. </w:t>
      </w:r>
    </w:p>
    <w:p w14:paraId="3CD93353" w14:textId="77777777" w:rsidR="002C39F4" w:rsidRPr="003024E5" w:rsidRDefault="002C39F4" w:rsidP="002C39F4">
      <w:pPr>
        <w:rPr>
          <w:rFonts w:asciiTheme="minorBidi" w:hAnsiTheme="minorBidi"/>
          <w:u w:val="single"/>
        </w:rPr>
      </w:pPr>
      <w:r w:rsidRPr="003024E5">
        <w:rPr>
          <w:rFonts w:asciiTheme="minorBidi" w:hAnsiTheme="minorBidi"/>
          <w:u w:val="single"/>
          <w:rtl/>
        </w:rPr>
        <w:t>כחל</w:t>
      </w:r>
      <w:r>
        <w:rPr>
          <w:rFonts w:asciiTheme="minorBidi" w:hAnsiTheme="minorBidi" w:hint="cs"/>
          <w:u w:val="single"/>
          <w:rtl/>
        </w:rPr>
        <w:t xml:space="preserve"> </w:t>
      </w:r>
      <w:r>
        <w:rPr>
          <w:rFonts w:asciiTheme="minorBidi" w:hAnsiTheme="minorBidi" w:hint="cs"/>
          <w:sz w:val="16"/>
          <w:szCs w:val="16"/>
          <w:u w:val="single"/>
          <w:rtl/>
        </w:rPr>
        <w:t xml:space="preserve">(שלא קרעו ולא טחו) </w:t>
      </w:r>
      <w:r>
        <w:rPr>
          <w:rFonts w:asciiTheme="minorBidi" w:hAnsiTheme="minorBidi" w:hint="cs"/>
          <w:u w:val="single"/>
          <w:rtl/>
        </w:rPr>
        <w:t>שבישלו בקדרה של בשר</w:t>
      </w:r>
      <w:r w:rsidRPr="003024E5">
        <w:rPr>
          <w:rFonts w:asciiTheme="minorBidi" w:hAnsiTheme="minorBidi"/>
          <w:u w:val="single"/>
          <w:rtl/>
        </w:rPr>
        <w:t>:</w:t>
      </w:r>
    </w:p>
    <w:p w14:paraId="7392C7C6" w14:textId="77777777" w:rsidR="002C39F4" w:rsidRPr="003024E5" w:rsidRDefault="002C39F4" w:rsidP="0032102C">
      <w:pPr>
        <w:pStyle w:val="a8"/>
        <w:numPr>
          <w:ilvl w:val="0"/>
          <w:numId w:val="159"/>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(תוה"</w:t>
      </w:r>
      <w:r>
        <w:rPr>
          <w:rFonts w:asciiTheme="minorBidi" w:hAnsiTheme="minorBidi" w:hint="cs"/>
          <w:sz w:val="16"/>
          <w:szCs w:val="16"/>
          <w:rtl/>
        </w:rPr>
        <w:t xml:space="preserve">ק </w:t>
      </w:r>
      <w:r w:rsidRPr="003024E5">
        <w:rPr>
          <w:rFonts w:asciiTheme="minorBidi" w:hAnsiTheme="minorBidi"/>
          <w:sz w:val="16"/>
          <w:szCs w:val="16"/>
          <w:rtl/>
        </w:rPr>
        <w:t>ב"ד ש"א יא:)</w:t>
      </w:r>
      <w:r w:rsidRPr="003024E5">
        <w:rPr>
          <w:rFonts w:asciiTheme="minorBidi" w:hAnsiTheme="minorBidi"/>
          <w:rtl/>
        </w:rPr>
        <w:t>- הכחל אסור לבשלו בקדרה עם הבשר עד שקורעו שתי וערב וטחו בכותל</w:t>
      </w:r>
      <w:r>
        <w:rPr>
          <w:rFonts w:asciiTheme="minorBidi" w:hAnsiTheme="minorBidi" w:hint="cs"/>
          <w:rtl/>
        </w:rPr>
        <w:t>,</w:t>
      </w:r>
      <w:r w:rsidRPr="003024E5">
        <w:rPr>
          <w:rFonts w:asciiTheme="minorBidi" w:hAnsiTheme="minorBidi"/>
          <w:rtl/>
        </w:rPr>
        <w:t xml:space="preserve"> עבר ובשלו משערין אותו בחמשים ותשעה והוא </w:t>
      </w:r>
      <w:r w:rsidRPr="003024E5">
        <w:rPr>
          <w:rFonts w:asciiTheme="minorBidi" w:hAnsiTheme="minorBidi"/>
          <w:sz w:val="16"/>
          <w:szCs w:val="16"/>
          <w:rtl/>
        </w:rPr>
        <w:t>(ל' הרשב"א)</w:t>
      </w:r>
      <w:r w:rsidRPr="003024E5">
        <w:rPr>
          <w:rStyle w:val="a7"/>
          <w:rFonts w:asciiTheme="minorBidi" w:hAnsiTheme="minorBidi"/>
          <w:rtl/>
        </w:rPr>
        <w:footnoteReference w:id="1220"/>
      </w:r>
      <w:r w:rsidRPr="003024E5">
        <w:rPr>
          <w:rFonts w:asciiTheme="minorBidi" w:hAnsiTheme="minorBidi"/>
          <w:rtl/>
        </w:rPr>
        <w:t>.</w:t>
      </w:r>
      <w:r w:rsidRPr="003024E5">
        <w:rPr>
          <w:rFonts w:asciiTheme="minorBidi" w:hAnsiTheme="minorBidi"/>
          <w:color w:val="E36C0A" w:themeColor="accent6" w:themeShade="BF"/>
          <w:sz w:val="18"/>
          <w:szCs w:val="18"/>
          <w:rtl/>
        </w:rPr>
        <w:t xml:space="preserve"> </w:t>
      </w:r>
      <w:r w:rsidRPr="003024E5">
        <w:rPr>
          <w:rFonts w:asciiTheme="minorBidi" w:hAnsiTheme="minorBidi"/>
          <w:color w:val="E36C0A" w:themeColor="accent6" w:themeShade="BF"/>
          <w:rtl/>
        </w:rPr>
        <w:t>(וכ"פ בשו"ע)</w:t>
      </w:r>
    </w:p>
    <w:p w14:paraId="6106E1DA" w14:textId="77777777" w:rsidR="002C39F4" w:rsidRPr="003024E5" w:rsidRDefault="002C39F4" w:rsidP="002C39F4">
      <w:pPr>
        <w:ind w:left="360"/>
        <w:rPr>
          <w:rFonts w:asciiTheme="minorBidi" w:hAnsiTheme="minorBidi"/>
          <w:u w:val="dotted"/>
          <w:rtl/>
        </w:rPr>
      </w:pPr>
      <w:r>
        <w:rPr>
          <w:rFonts w:asciiTheme="minorBidi" w:hAnsiTheme="minorBidi" w:hint="cs"/>
          <w:u w:val="dotted"/>
          <w:rtl/>
        </w:rPr>
        <w:t>ומה הדין</w:t>
      </w:r>
      <w:r w:rsidRPr="007F40AE">
        <w:rPr>
          <w:rFonts w:asciiTheme="minorBidi" w:hAnsiTheme="minorBidi" w:hint="cs"/>
          <w:u w:val="dotted"/>
          <w:rtl/>
        </w:rPr>
        <w:t xml:space="preserve"> </w:t>
      </w:r>
      <w:r>
        <w:rPr>
          <w:rFonts w:asciiTheme="minorBidi" w:hAnsiTheme="minorBidi" w:hint="cs"/>
          <w:u w:val="dotted"/>
          <w:rtl/>
        </w:rPr>
        <w:t>בכחל ש</w:t>
      </w:r>
      <w:r w:rsidRPr="003024E5">
        <w:rPr>
          <w:rFonts w:asciiTheme="minorBidi" w:hAnsiTheme="minorBidi"/>
          <w:u w:val="dotted"/>
          <w:rtl/>
        </w:rPr>
        <w:t>נתבשל ביורה של חלב:</w:t>
      </w:r>
    </w:p>
    <w:p w14:paraId="601349D3" w14:textId="77777777" w:rsidR="002C39F4" w:rsidRPr="003024E5" w:rsidRDefault="002C39F4" w:rsidP="0032102C">
      <w:pPr>
        <w:pStyle w:val="a8"/>
        <w:numPr>
          <w:ilvl w:val="0"/>
          <w:numId w:val="159"/>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(שם)</w:t>
      </w:r>
      <w:r w:rsidRPr="003024E5">
        <w:rPr>
          <w:rFonts w:asciiTheme="minorBidi" w:hAnsiTheme="minorBidi"/>
          <w:rtl/>
        </w:rPr>
        <w:t xml:space="preserve"> - בד"א </w:t>
      </w:r>
      <w:r w:rsidRPr="003024E5">
        <w:rPr>
          <w:rFonts w:asciiTheme="minorBidi" w:hAnsiTheme="minorBidi"/>
          <w:sz w:val="16"/>
          <w:szCs w:val="16"/>
          <w:rtl/>
        </w:rPr>
        <w:t xml:space="preserve">{שמשערין אותו בחמשים ותשעה והוא} </w:t>
      </w:r>
      <w:r w:rsidRPr="003024E5">
        <w:rPr>
          <w:rFonts w:asciiTheme="minorBidi" w:hAnsiTheme="minorBidi"/>
          <w:rtl/>
        </w:rPr>
        <w:t>בשנתבשל עם הבשר אבל אם נתבשל ביורה של חלב צריך ששים</w:t>
      </w:r>
      <w:r>
        <w:rPr>
          <w:rFonts w:asciiTheme="minorBidi" w:hAnsiTheme="minorBidi" w:hint="cs"/>
          <w:rtl/>
        </w:rPr>
        <w:t>,</w:t>
      </w:r>
      <w:r w:rsidRPr="003024E5">
        <w:rPr>
          <w:rFonts w:asciiTheme="minorBidi" w:hAnsiTheme="minorBidi"/>
          <w:rtl/>
        </w:rPr>
        <w:t xml:space="preserve"> והוא </w:t>
      </w:r>
      <w:r>
        <w:rPr>
          <w:rFonts w:asciiTheme="minorBidi" w:hAnsiTheme="minorBidi" w:hint="cs"/>
          <w:sz w:val="16"/>
          <w:szCs w:val="16"/>
          <w:rtl/>
        </w:rPr>
        <w:t xml:space="preserve">{מכיון} </w:t>
      </w:r>
      <w:r w:rsidRPr="003024E5">
        <w:rPr>
          <w:rFonts w:asciiTheme="minorBidi" w:hAnsiTheme="minorBidi"/>
          <w:rtl/>
        </w:rPr>
        <w:t>שאין החלב שבו ניכר ונודע עד שנקל ונשער אותו לבטל את הבשר</w:t>
      </w:r>
      <w:r w:rsidRPr="003024E5">
        <w:rPr>
          <w:rStyle w:val="a7"/>
          <w:rFonts w:asciiTheme="minorBidi" w:hAnsiTheme="minorBidi"/>
          <w:rtl/>
        </w:rPr>
        <w:footnoteReference w:id="1221"/>
      </w:r>
      <w:r w:rsidRPr="003024E5">
        <w:rPr>
          <w:rFonts w:asciiTheme="minorBidi" w:hAnsiTheme="minorBidi"/>
          <w:sz w:val="16"/>
          <w:szCs w:val="16"/>
          <w:rtl/>
        </w:rPr>
        <w:t>(ל' הרשב"א)</w:t>
      </w:r>
      <w:r w:rsidRPr="003024E5">
        <w:rPr>
          <w:rFonts w:asciiTheme="minorBidi" w:hAnsiTheme="minorBidi"/>
          <w:rtl/>
        </w:rPr>
        <w:t>.</w:t>
      </w:r>
    </w:p>
    <w:p w14:paraId="5F04177D" w14:textId="77777777" w:rsidR="002C39F4" w:rsidRPr="007F40AE" w:rsidRDefault="002C39F4" w:rsidP="002C39F4">
      <w:pPr>
        <w:rPr>
          <w:rFonts w:asciiTheme="minorBidi" w:hAnsiTheme="minorBidi"/>
          <w:u w:val="single"/>
        </w:rPr>
      </w:pPr>
      <w:r w:rsidRPr="007F40AE">
        <w:rPr>
          <w:rFonts w:asciiTheme="minorBidi" w:hAnsiTheme="minorBidi"/>
          <w:u w:val="single"/>
          <w:rtl/>
        </w:rPr>
        <w:t>כחל</w:t>
      </w:r>
      <w:r w:rsidRPr="007F40AE">
        <w:rPr>
          <w:rFonts w:asciiTheme="minorBidi" w:hAnsiTheme="minorBidi" w:hint="cs"/>
          <w:u w:val="single"/>
          <w:rtl/>
        </w:rPr>
        <w:t xml:space="preserve"> </w:t>
      </w:r>
      <w:r w:rsidRPr="007F40AE">
        <w:rPr>
          <w:rFonts w:asciiTheme="minorBidi" w:hAnsiTheme="minorBidi" w:hint="cs"/>
          <w:sz w:val="16"/>
          <w:szCs w:val="16"/>
          <w:u w:val="single"/>
          <w:rtl/>
        </w:rPr>
        <w:t xml:space="preserve">(שלא קרעו ולא טחו) </w:t>
      </w:r>
      <w:r w:rsidRPr="007F40AE">
        <w:rPr>
          <w:rFonts w:asciiTheme="minorBidi" w:hAnsiTheme="minorBidi" w:hint="cs"/>
          <w:u w:val="single"/>
          <w:rtl/>
        </w:rPr>
        <w:t>שבישלו בקדרה של בשר</w:t>
      </w:r>
      <w:r>
        <w:rPr>
          <w:rFonts w:asciiTheme="minorBidi" w:hAnsiTheme="minorBidi" w:hint="cs"/>
          <w:u w:val="single"/>
          <w:rtl/>
        </w:rPr>
        <w:t xml:space="preserve"> - </w:t>
      </w:r>
      <w:r w:rsidRPr="007F40AE">
        <w:rPr>
          <w:rFonts w:asciiTheme="minorBidi" w:hAnsiTheme="minorBidi"/>
          <w:u w:val="single"/>
          <w:rtl/>
        </w:rPr>
        <w:t>ולאחמ"כ נפל לקדרה אחרת:</w:t>
      </w:r>
    </w:p>
    <w:p w14:paraId="3B060F92" w14:textId="77777777" w:rsidR="002C39F4" w:rsidRPr="00073DE6" w:rsidRDefault="002C39F4" w:rsidP="0032102C">
      <w:pPr>
        <w:pStyle w:val="a8"/>
        <w:numPr>
          <w:ilvl w:val="0"/>
          <w:numId w:val="159"/>
        </w:numPr>
        <w:rPr>
          <w:rFonts w:asciiTheme="minorBidi" w:hAnsiTheme="minorBidi"/>
          <w:rtl/>
        </w:rPr>
      </w:pPr>
      <w:r w:rsidRPr="003024E5">
        <w:rPr>
          <w:rFonts w:asciiTheme="minorBidi" w:hAnsiTheme="minorBidi"/>
          <w:rtl/>
        </w:rPr>
        <w:t xml:space="preserve">רשב"א </w:t>
      </w:r>
      <w:r w:rsidRPr="003024E5">
        <w:rPr>
          <w:rFonts w:asciiTheme="minorBidi" w:hAnsiTheme="minorBidi"/>
          <w:sz w:val="16"/>
          <w:szCs w:val="16"/>
          <w:rtl/>
        </w:rPr>
        <w:t>(שם)</w:t>
      </w:r>
      <w:r w:rsidRPr="003024E5">
        <w:rPr>
          <w:rFonts w:asciiTheme="minorBidi" w:hAnsiTheme="minorBidi"/>
          <w:rtl/>
        </w:rPr>
        <w:t xml:space="preserve">- נתבשל עם הבשר אע"פ שיש בקדרה </w:t>
      </w:r>
      <w:r>
        <w:rPr>
          <w:rFonts w:asciiTheme="minorBidi" w:hAnsiTheme="minorBidi" w:hint="cs"/>
          <w:rtl/>
        </w:rPr>
        <w:t>ס'</w:t>
      </w:r>
      <w:r w:rsidRPr="003024E5">
        <w:rPr>
          <w:rFonts w:asciiTheme="minorBidi" w:hAnsiTheme="minorBidi"/>
          <w:rtl/>
        </w:rPr>
        <w:t xml:space="preserve"> אין אומרים שנפלט כל חלבו ונכשר אלא אפילו אם חזר ונפל לקדרה אחרת אסור כבראשונה</w:t>
      </w:r>
      <w:r w:rsidRPr="003024E5">
        <w:rPr>
          <w:rStyle w:val="a7"/>
          <w:rFonts w:asciiTheme="minorBidi" w:hAnsiTheme="minorBidi"/>
          <w:rtl/>
        </w:rPr>
        <w:footnoteReference w:id="1222"/>
      </w:r>
      <w:r>
        <w:rPr>
          <w:rFonts w:asciiTheme="minorBidi" w:hAnsiTheme="minorBidi" w:hint="cs"/>
          <w:rtl/>
        </w:rPr>
        <w:t>.</w:t>
      </w:r>
      <w:r w:rsidRPr="003024E5">
        <w:rPr>
          <w:rFonts w:asciiTheme="minorBidi" w:hAnsiTheme="minorBidi"/>
          <w:rtl/>
        </w:rPr>
        <w:t xml:space="preserve"> </w:t>
      </w:r>
      <w:r>
        <w:rPr>
          <w:rFonts w:asciiTheme="minorBidi" w:hAnsiTheme="minorBidi" w:hint="cs"/>
          <w:rtl/>
        </w:rPr>
        <w:t>ויראה לי ש</w:t>
      </w:r>
      <w:r w:rsidRPr="00073DE6">
        <w:rPr>
          <w:rFonts w:asciiTheme="minorBidi" w:hAnsiTheme="minorBidi"/>
          <w:rtl/>
        </w:rPr>
        <w:t xml:space="preserve">אם נפל בראשונה בפחות מתשעה וחמשים הכחל עצמו חזר כחתיכת נבלה כדרך שביארנו בבשר בחלב, ולפיכך אם נפל לקדרה אחרת צריך </w:t>
      </w:r>
      <w:r>
        <w:rPr>
          <w:rFonts w:asciiTheme="minorBidi" w:hAnsiTheme="minorBidi" w:hint="cs"/>
          <w:rtl/>
        </w:rPr>
        <w:t>ס'</w:t>
      </w:r>
      <w:r w:rsidRPr="00073DE6">
        <w:rPr>
          <w:rFonts w:asciiTheme="minorBidi" w:hAnsiTheme="minorBidi"/>
          <w:rtl/>
        </w:rPr>
        <w:t xml:space="preserve"> והוא. </w:t>
      </w:r>
      <w:r w:rsidRPr="00073DE6">
        <w:rPr>
          <w:rFonts w:asciiTheme="minorBidi" w:hAnsiTheme="minorBidi"/>
          <w:color w:val="00B0F0"/>
          <w:rtl/>
        </w:rPr>
        <w:t>(וכ"פ הרמ"א)</w:t>
      </w:r>
    </w:p>
    <w:p w14:paraId="729022DC" w14:textId="77777777" w:rsidR="002C39F4" w:rsidRPr="003024E5" w:rsidRDefault="002C39F4" w:rsidP="0032102C">
      <w:pPr>
        <w:pStyle w:val="a8"/>
        <w:numPr>
          <w:ilvl w:val="0"/>
          <w:numId w:val="159"/>
        </w:numPr>
        <w:rPr>
          <w:rFonts w:asciiTheme="minorBidi" w:hAnsiTheme="minorBidi"/>
        </w:rPr>
      </w:pPr>
      <w:r w:rsidRPr="003024E5">
        <w:rPr>
          <w:rFonts w:asciiTheme="minorBidi" w:hAnsiTheme="minorBidi"/>
          <w:rtl/>
        </w:rPr>
        <w:t xml:space="preserve">רמב"ם </w:t>
      </w:r>
      <w:r w:rsidRPr="003024E5">
        <w:rPr>
          <w:rFonts w:asciiTheme="minorBidi" w:hAnsiTheme="minorBidi"/>
          <w:sz w:val="16"/>
          <w:szCs w:val="16"/>
          <w:rtl/>
        </w:rPr>
        <w:t>(פ"ט הי"ב-י"ג)</w:t>
      </w:r>
      <w:r w:rsidRPr="003024E5">
        <w:rPr>
          <w:rFonts w:asciiTheme="minorBidi" w:hAnsiTheme="minorBidi"/>
          <w:rtl/>
        </w:rPr>
        <w:t xml:space="preserve">- אם בשלו עם בשר אחר משערין אותו </w:t>
      </w:r>
      <w:r>
        <w:rPr>
          <w:rFonts w:asciiTheme="minorBidi" w:hAnsiTheme="minorBidi" w:hint="cs"/>
          <w:rtl/>
        </w:rPr>
        <w:t>בששים</w:t>
      </w:r>
      <w:r w:rsidRPr="003024E5">
        <w:rPr>
          <w:rFonts w:asciiTheme="minorBidi" w:hAnsiTheme="minorBidi"/>
          <w:rtl/>
        </w:rPr>
        <w:t xml:space="preserve"> וכחל מן המנין</w:t>
      </w:r>
      <w:r>
        <w:rPr>
          <w:rFonts w:asciiTheme="minorBidi" w:hAnsiTheme="minorBidi" w:hint="cs"/>
          <w:rtl/>
        </w:rPr>
        <w:t>,</w:t>
      </w:r>
      <w:r w:rsidRPr="003024E5">
        <w:rPr>
          <w:rFonts w:asciiTheme="minorBidi" w:hAnsiTheme="minorBidi"/>
          <w:rtl/>
        </w:rPr>
        <w:t xml:space="preserve"> כיצד</w:t>
      </w:r>
      <w:r>
        <w:rPr>
          <w:rFonts w:asciiTheme="minorBidi" w:hAnsiTheme="minorBidi" w:hint="cs"/>
          <w:rtl/>
        </w:rPr>
        <w:t>,</w:t>
      </w:r>
      <w:r w:rsidRPr="003024E5">
        <w:rPr>
          <w:rFonts w:asciiTheme="minorBidi" w:hAnsiTheme="minorBidi"/>
          <w:rtl/>
        </w:rPr>
        <w:t xml:space="preserve"> אם היה הכל עם הכחל כמו </w:t>
      </w:r>
      <w:r>
        <w:rPr>
          <w:rFonts w:asciiTheme="minorBidi" w:hAnsiTheme="minorBidi" w:hint="cs"/>
          <w:rtl/>
        </w:rPr>
        <w:t>ששים</w:t>
      </w:r>
      <w:r w:rsidRPr="003024E5">
        <w:rPr>
          <w:rFonts w:asciiTheme="minorBidi" w:hAnsiTheme="minorBidi"/>
          <w:rtl/>
        </w:rPr>
        <w:t xml:space="preserve"> בכח</w:t>
      </w:r>
      <w:r>
        <w:rPr>
          <w:rFonts w:asciiTheme="minorBidi" w:hAnsiTheme="minorBidi" w:hint="cs"/>
          <w:rtl/>
        </w:rPr>
        <w:t>ל</w:t>
      </w:r>
      <w:r w:rsidRPr="003024E5">
        <w:rPr>
          <w:rFonts w:asciiTheme="minorBidi" w:hAnsiTheme="minorBidi"/>
          <w:rtl/>
        </w:rPr>
        <w:t xml:space="preserve"> הכחל אסור והשאר מותר ואם היה בפחות </w:t>
      </w:r>
      <w:r>
        <w:rPr>
          <w:rFonts w:asciiTheme="minorBidi" w:hAnsiTheme="minorBidi" w:hint="cs"/>
          <w:rtl/>
        </w:rPr>
        <w:t>מששים</w:t>
      </w:r>
      <w:r w:rsidRPr="003024E5">
        <w:rPr>
          <w:rFonts w:asciiTheme="minorBidi" w:hAnsiTheme="minorBidi"/>
          <w:rtl/>
        </w:rPr>
        <w:t xml:space="preserve"> הכל אסור</w:t>
      </w:r>
      <w:r>
        <w:rPr>
          <w:rFonts w:asciiTheme="minorBidi" w:hAnsiTheme="minorBidi" w:hint="cs"/>
          <w:rtl/>
        </w:rPr>
        <w:t>,</w:t>
      </w:r>
      <w:r w:rsidRPr="003024E5">
        <w:rPr>
          <w:rFonts w:asciiTheme="minorBidi" w:hAnsiTheme="minorBidi"/>
          <w:rtl/>
        </w:rPr>
        <w:t xml:space="preserve"> ובין כך ובין כך אם נפל לקדרה אחרת אוסר אותה ומשערין בו </w:t>
      </w:r>
      <w:r>
        <w:rPr>
          <w:rFonts w:asciiTheme="minorBidi" w:hAnsiTheme="minorBidi" w:hint="cs"/>
          <w:rtl/>
        </w:rPr>
        <w:t>בששים</w:t>
      </w:r>
      <w:r w:rsidRPr="003024E5">
        <w:rPr>
          <w:rFonts w:asciiTheme="minorBidi" w:hAnsiTheme="minorBidi"/>
          <w:rtl/>
        </w:rPr>
        <w:t xml:space="preserve"> כבראשונה</w:t>
      </w:r>
      <w:r>
        <w:rPr>
          <w:rFonts w:asciiTheme="minorBidi" w:hAnsiTheme="minorBidi" w:hint="cs"/>
          <w:rtl/>
        </w:rPr>
        <w:t>,</w:t>
      </w:r>
      <w:r w:rsidRPr="003024E5">
        <w:rPr>
          <w:rFonts w:asciiTheme="minorBidi" w:hAnsiTheme="minorBidi"/>
          <w:rtl/>
        </w:rPr>
        <w:t xml:space="preserve"> שהכחל עצמו שנתבשל נעשה כחתיכה האסורה</w:t>
      </w:r>
      <w:r w:rsidRPr="003024E5">
        <w:rPr>
          <w:rStyle w:val="a7"/>
          <w:rFonts w:asciiTheme="minorBidi" w:hAnsiTheme="minorBidi"/>
          <w:rtl/>
        </w:rPr>
        <w:footnoteReference w:id="1223"/>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1E96556C" w14:textId="77777777" w:rsidR="002C39F4" w:rsidRPr="007F40AE" w:rsidRDefault="002C39F4" w:rsidP="002C39F4">
      <w:pPr>
        <w:rPr>
          <w:rFonts w:asciiTheme="minorBidi" w:hAnsiTheme="minorBidi"/>
          <w:u w:val="single"/>
          <w:rtl/>
        </w:rPr>
      </w:pPr>
      <w:r w:rsidRPr="007F40AE">
        <w:rPr>
          <w:rFonts w:asciiTheme="minorBidi" w:hAnsiTheme="minorBidi"/>
          <w:u w:val="single"/>
          <w:rtl/>
        </w:rPr>
        <w:t>מתי משערים את גודלו של הכחל</w:t>
      </w:r>
      <w:r>
        <w:rPr>
          <w:rFonts w:asciiTheme="minorBidi" w:hAnsiTheme="minorBidi" w:hint="cs"/>
          <w:u w:val="single"/>
          <w:rtl/>
        </w:rPr>
        <w:t xml:space="preserve"> -</w:t>
      </w:r>
      <w:r w:rsidRPr="007F40AE">
        <w:rPr>
          <w:rFonts w:asciiTheme="minorBidi" w:hAnsiTheme="minorBidi"/>
          <w:u w:val="single"/>
          <w:rtl/>
        </w:rPr>
        <w:t xml:space="preserve"> בעת נפילתו לקדרה או לאחר שיצא ממנה: </w:t>
      </w:r>
    </w:p>
    <w:p w14:paraId="0857E1AF" w14:textId="77777777" w:rsidR="002C39F4" w:rsidRPr="003024E5" w:rsidRDefault="002C39F4" w:rsidP="0032102C">
      <w:pPr>
        <w:pStyle w:val="a8"/>
        <w:numPr>
          <w:ilvl w:val="0"/>
          <w:numId w:val="159"/>
        </w:numPr>
        <w:rPr>
          <w:rFonts w:asciiTheme="minorBidi" w:hAnsiTheme="minorBidi"/>
          <w:rtl/>
        </w:rPr>
      </w:pPr>
      <w:r w:rsidRPr="003024E5">
        <w:rPr>
          <w:rFonts w:asciiTheme="minorBidi" w:hAnsiTheme="minorBidi"/>
          <w:rtl/>
        </w:rPr>
        <w:t xml:space="preserve">רמב"ם </w:t>
      </w:r>
      <w:r w:rsidRPr="003024E5">
        <w:rPr>
          <w:rFonts w:asciiTheme="minorBidi" w:hAnsiTheme="minorBidi"/>
          <w:sz w:val="16"/>
          <w:szCs w:val="16"/>
          <w:rtl/>
        </w:rPr>
        <w:t>(פ"ט הי"ג)</w:t>
      </w:r>
      <w:r w:rsidRPr="003024E5">
        <w:rPr>
          <w:rFonts w:asciiTheme="minorBidi" w:hAnsiTheme="minorBidi"/>
          <w:rtl/>
        </w:rPr>
        <w:t>- אין משערין בו אלא כמות שנפלט שהוא בעת שנתבשל לא כמות שהיה בשעה שנפל</w:t>
      </w:r>
      <w:r w:rsidRPr="003024E5">
        <w:rPr>
          <w:rStyle w:val="a7"/>
          <w:rFonts w:asciiTheme="minorBidi" w:hAnsiTheme="minorBidi"/>
          <w:rtl/>
        </w:rPr>
        <w:footnoteReference w:id="1224"/>
      </w:r>
      <w:r w:rsidRPr="003024E5">
        <w:rPr>
          <w:rFonts w:asciiTheme="minorBidi" w:hAnsiTheme="minorBidi"/>
          <w:rtl/>
        </w:rPr>
        <w:t xml:space="preserve">. </w:t>
      </w:r>
      <w:r w:rsidRPr="003024E5">
        <w:rPr>
          <w:rFonts w:asciiTheme="minorBidi" w:hAnsiTheme="minorBidi"/>
          <w:color w:val="E36C0A" w:themeColor="accent6" w:themeShade="BF"/>
          <w:rtl/>
        </w:rPr>
        <w:t>(וכ"פ בשו"ע)</w:t>
      </w:r>
    </w:p>
    <w:p w14:paraId="2E79BB0F" w14:textId="77777777" w:rsidR="002C39F4" w:rsidRPr="003024E5" w:rsidRDefault="002C39F4" w:rsidP="002C39F4">
      <w:pPr>
        <w:rPr>
          <w:rFonts w:asciiTheme="minorBidi" w:hAnsiTheme="minorBidi"/>
          <w:rtl/>
        </w:rPr>
      </w:pPr>
      <w:r w:rsidRPr="003024E5">
        <w:rPr>
          <w:rFonts w:asciiTheme="minorBidi" w:hAnsiTheme="minorBidi"/>
          <w:b/>
          <w:bCs/>
          <w:rtl/>
        </w:rPr>
        <w:t>חולין קי ע"א:</w:t>
      </w:r>
      <w:r w:rsidRPr="003024E5">
        <w:rPr>
          <w:rFonts w:asciiTheme="minorBidi" w:hAnsiTheme="minorBidi"/>
          <w:rtl/>
        </w:rPr>
        <w:t xml:space="preserve"> כי סליק רבי אלעזר אשכחיה לזעירי, אמר ליה: איכא תנא</w:t>
      </w:r>
      <w:r w:rsidRPr="003024E5">
        <w:rPr>
          <w:rStyle w:val="a7"/>
          <w:rFonts w:asciiTheme="minorBidi" w:hAnsiTheme="minorBidi"/>
          <w:rtl/>
        </w:rPr>
        <w:footnoteReference w:id="1225"/>
      </w:r>
      <w:r w:rsidRPr="003024E5">
        <w:rPr>
          <w:rFonts w:asciiTheme="minorBidi" w:hAnsiTheme="minorBidi"/>
          <w:rtl/>
        </w:rPr>
        <w:t xml:space="preserve"> דאתנייה לרב כחל</w:t>
      </w:r>
      <w:r w:rsidRPr="003024E5">
        <w:rPr>
          <w:rStyle w:val="a7"/>
          <w:rFonts w:asciiTheme="minorBidi" w:hAnsiTheme="minorBidi"/>
          <w:rtl/>
        </w:rPr>
        <w:footnoteReference w:id="1226"/>
      </w:r>
      <w:r w:rsidRPr="003024E5">
        <w:rPr>
          <w:rFonts w:asciiTheme="minorBidi" w:hAnsiTheme="minorBidi"/>
          <w:rtl/>
        </w:rPr>
        <w:t>? אחוייה</w:t>
      </w:r>
      <w:r w:rsidRPr="003024E5">
        <w:rPr>
          <w:rStyle w:val="a7"/>
          <w:rFonts w:asciiTheme="minorBidi" w:hAnsiTheme="minorBidi"/>
          <w:rtl/>
        </w:rPr>
        <w:footnoteReference w:id="1227"/>
      </w:r>
      <w:r w:rsidRPr="003024E5">
        <w:rPr>
          <w:rFonts w:asciiTheme="minorBidi" w:hAnsiTheme="minorBidi"/>
          <w:rtl/>
        </w:rPr>
        <w:t xml:space="preserve"> לרב יצחק</w:t>
      </w:r>
      <w:r w:rsidRPr="003024E5">
        <w:rPr>
          <w:rStyle w:val="a7"/>
          <w:rFonts w:asciiTheme="minorBidi" w:hAnsiTheme="minorBidi"/>
          <w:rtl/>
        </w:rPr>
        <w:footnoteReference w:id="1228"/>
      </w:r>
      <w:r w:rsidRPr="003024E5">
        <w:rPr>
          <w:rFonts w:asciiTheme="minorBidi" w:hAnsiTheme="minorBidi"/>
          <w:rtl/>
        </w:rPr>
        <w:t xml:space="preserve"> בר אבדימי, אמר ליה: אני לא שניתי לו כחל כל עיקר</w:t>
      </w:r>
      <w:r w:rsidRPr="003024E5">
        <w:rPr>
          <w:rStyle w:val="a7"/>
          <w:rFonts w:asciiTheme="minorBidi" w:hAnsiTheme="minorBidi"/>
          <w:rtl/>
        </w:rPr>
        <w:footnoteReference w:id="1229"/>
      </w:r>
      <w:r w:rsidRPr="003024E5">
        <w:rPr>
          <w:rFonts w:asciiTheme="minorBidi" w:hAnsiTheme="minorBidi"/>
          <w:rtl/>
        </w:rPr>
        <w:t>, ורב</w:t>
      </w:r>
      <w:r w:rsidRPr="003024E5">
        <w:rPr>
          <w:rStyle w:val="a7"/>
          <w:rFonts w:asciiTheme="minorBidi" w:hAnsiTheme="minorBidi"/>
          <w:rtl/>
        </w:rPr>
        <w:footnoteReference w:id="1230"/>
      </w:r>
      <w:r w:rsidRPr="003024E5">
        <w:rPr>
          <w:rFonts w:asciiTheme="minorBidi" w:hAnsiTheme="minorBidi"/>
          <w:rtl/>
        </w:rPr>
        <w:t xml:space="preserve"> - בקעה מצא</w:t>
      </w:r>
      <w:r w:rsidRPr="003024E5">
        <w:rPr>
          <w:rStyle w:val="a7"/>
          <w:rFonts w:asciiTheme="minorBidi" w:hAnsiTheme="minorBidi"/>
          <w:rtl/>
        </w:rPr>
        <w:footnoteReference w:id="1231"/>
      </w:r>
      <w:r w:rsidRPr="003024E5">
        <w:rPr>
          <w:rFonts w:asciiTheme="minorBidi" w:hAnsiTheme="minorBidi"/>
          <w:rtl/>
        </w:rPr>
        <w:t xml:space="preserve"> וגדר בה גדר</w:t>
      </w:r>
      <w:r>
        <w:rPr>
          <w:rFonts w:asciiTheme="minorBidi" w:hAnsiTheme="minorBidi" w:hint="cs"/>
          <w:rtl/>
        </w:rPr>
        <w:t>,</w:t>
      </w:r>
      <w:r w:rsidRPr="003024E5">
        <w:rPr>
          <w:rFonts w:asciiTheme="minorBidi" w:hAnsiTheme="minorBidi"/>
          <w:rtl/>
        </w:rPr>
        <w:t xml:space="preserve"> דרב איקלע לטטלפוש, שמעה לההיא איתתא דקאמרה לחבירתה: ריבעא</w:t>
      </w:r>
      <w:r w:rsidRPr="003024E5">
        <w:rPr>
          <w:rStyle w:val="a7"/>
          <w:rFonts w:asciiTheme="minorBidi" w:hAnsiTheme="minorBidi"/>
          <w:rtl/>
        </w:rPr>
        <w:footnoteReference w:id="1232"/>
      </w:r>
      <w:r w:rsidRPr="003024E5">
        <w:rPr>
          <w:rFonts w:asciiTheme="minorBidi" w:hAnsiTheme="minorBidi"/>
          <w:rtl/>
        </w:rPr>
        <w:t xml:space="preserve"> דבשרא כמה חלבא בעי לבשולי? אמר: לא גמירי דבשר בחלב - אסור, איעכב וקאסר להו כחלי</w:t>
      </w:r>
      <w:r>
        <w:rPr>
          <w:rFonts w:asciiTheme="minorBidi" w:hAnsiTheme="minorBidi" w:hint="cs"/>
          <w:rtl/>
        </w:rPr>
        <w:t>,</w:t>
      </w:r>
      <w:r w:rsidRPr="003024E5">
        <w:rPr>
          <w:rFonts w:asciiTheme="minorBidi" w:hAnsiTheme="minorBidi"/>
          <w:rtl/>
        </w:rPr>
        <w:t xml:space="preserve"> רב כהנא מתני הכי</w:t>
      </w:r>
      <w:r w:rsidRPr="003024E5">
        <w:rPr>
          <w:rStyle w:val="a7"/>
          <w:rFonts w:asciiTheme="minorBidi" w:hAnsiTheme="minorBidi"/>
          <w:rtl/>
        </w:rPr>
        <w:footnoteReference w:id="1233"/>
      </w:r>
      <w:r w:rsidRPr="003024E5">
        <w:rPr>
          <w:rFonts w:asciiTheme="minorBidi" w:hAnsiTheme="minorBidi"/>
          <w:rtl/>
        </w:rPr>
        <w:t>. רבי יוסי בר אבא מתני: אנא כחל של מניקה</w:t>
      </w:r>
      <w:r w:rsidRPr="003024E5">
        <w:rPr>
          <w:rStyle w:val="a7"/>
          <w:rFonts w:asciiTheme="minorBidi" w:hAnsiTheme="minorBidi"/>
          <w:rtl/>
        </w:rPr>
        <w:footnoteReference w:id="1234"/>
      </w:r>
      <w:r w:rsidRPr="003024E5">
        <w:rPr>
          <w:rFonts w:asciiTheme="minorBidi" w:hAnsiTheme="minorBidi"/>
          <w:rtl/>
        </w:rPr>
        <w:t xml:space="preserve"> שניתי לו, ומפלפולו של רב חייא</w:t>
      </w:r>
      <w:r w:rsidRPr="003024E5">
        <w:rPr>
          <w:rStyle w:val="a7"/>
          <w:rFonts w:asciiTheme="minorBidi" w:hAnsiTheme="minorBidi"/>
          <w:rtl/>
        </w:rPr>
        <w:footnoteReference w:id="1235"/>
      </w:r>
      <w:r w:rsidRPr="003024E5">
        <w:rPr>
          <w:rFonts w:asciiTheme="minorBidi" w:hAnsiTheme="minorBidi"/>
          <w:rtl/>
        </w:rPr>
        <w:t xml:space="preserve"> שנה ליה כחל סתם. רבין ורב יצחק בר יוסף איקלעו לבי רב פפי, אייתו לקמייהו תבשילא דכחל, רב יצחק בר יוסף - אכל, רבין - לא אכל; אמר אביי: רבין תכלא</w:t>
      </w:r>
      <w:r w:rsidRPr="003024E5">
        <w:rPr>
          <w:rStyle w:val="a7"/>
          <w:rFonts w:asciiTheme="minorBidi" w:hAnsiTheme="minorBidi"/>
          <w:rtl/>
        </w:rPr>
        <w:footnoteReference w:id="1236"/>
      </w:r>
      <w:r w:rsidRPr="003024E5">
        <w:rPr>
          <w:rFonts w:asciiTheme="minorBidi" w:hAnsiTheme="minorBidi"/>
          <w:rtl/>
        </w:rPr>
        <w:t xml:space="preserve"> אמאי לא אכל? מכדי, דביתהו דרב פפי - ברתיה דר' יצחק נפחא הואי, ור"י נפחא מריה דעובדא הוה</w:t>
      </w:r>
      <w:r w:rsidRPr="003024E5">
        <w:rPr>
          <w:rStyle w:val="a7"/>
          <w:rFonts w:asciiTheme="minorBidi" w:hAnsiTheme="minorBidi"/>
          <w:rtl/>
        </w:rPr>
        <w:footnoteReference w:id="1237"/>
      </w:r>
      <w:r w:rsidRPr="003024E5">
        <w:rPr>
          <w:rFonts w:asciiTheme="minorBidi" w:hAnsiTheme="minorBidi"/>
          <w:rtl/>
        </w:rPr>
        <w:t>, אי לאו דשמיע לה מבי נשא לא הוה עבדא!</w:t>
      </w:r>
      <w:r w:rsidRPr="00CE3A76">
        <w:rPr>
          <w:rtl/>
        </w:rPr>
        <w:t xml:space="preserve"> </w:t>
      </w:r>
      <w:r w:rsidRPr="00CE3A76">
        <w:rPr>
          <w:rFonts w:asciiTheme="minorBidi" w:hAnsiTheme="minorBidi" w:cs="Arial"/>
          <w:rtl/>
        </w:rPr>
        <w:t>בסורא לא אכלי כחלי</w:t>
      </w:r>
      <w:r>
        <w:rPr>
          <w:rStyle w:val="a7"/>
          <w:rFonts w:asciiTheme="minorBidi" w:hAnsiTheme="minorBidi" w:cs="Arial"/>
          <w:rtl/>
        </w:rPr>
        <w:footnoteReference w:id="1238"/>
      </w:r>
      <w:r w:rsidRPr="00CE3A76">
        <w:rPr>
          <w:rFonts w:asciiTheme="minorBidi" w:hAnsiTheme="minorBidi" w:cs="Arial"/>
          <w:rtl/>
        </w:rPr>
        <w:t>, בפומבדיתא אכלי כחלי; רמי בר תמרי, דהוא רמי בר דיקולי מפומבדיתא, איקלע לסורא במעלי יומא דכפורי, אפקינהו כולי עלמא לכחלינהו שדינהו, אזל איהו - נקטינהו אכלינהו, אייתוה לקמיה דרב חסדא, אמר ליה: אמאי תעביד הכי? אמר ליה: מאתרא דרב יהודה אנא, דאכיל.</w:t>
      </w:r>
      <w:r w:rsidRPr="003024E5">
        <w:rPr>
          <w:rFonts w:asciiTheme="minorBidi" w:hAnsiTheme="minorBidi"/>
          <w:rtl/>
        </w:rPr>
        <w:t xml:space="preserve"> </w:t>
      </w:r>
      <w:r w:rsidRPr="003024E5">
        <w:rPr>
          <w:rFonts w:asciiTheme="minorBidi" w:hAnsiTheme="minorBidi"/>
          <w:sz w:val="16"/>
          <w:szCs w:val="16"/>
          <w:rtl/>
        </w:rPr>
        <w:t xml:space="preserve">(רב היה אוסר לאכול כחל אף בצלי ובקריעה, לפיכך היה מחזר </w:t>
      </w:r>
      <w:r w:rsidRPr="003024E5">
        <w:rPr>
          <w:rFonts w:asciiTheme="minorBidi" w:hAnsiTheme="minorBidi"/>
          <w:sz w:val="10"/>
          <w:szCs w:val="10"/>
          <w:rtl/>
        </w:rPr>
        <w:t xml:space="preserve">{רבי אלעזר} </w:t>
      </w:r>
      <w:r w:rsidRPr="003024E5">
        <w:rPr>
          <w:rFonts w:asciiTheme="minorBidi" w:hAnsiTheme="minorBidi"/>
          <w:sz w:val="16"/>
          <w:szCs w:val="16"/>
          <w:rtl/>
        </w:rPr>
        <w:t>לידע ממי קבל חומרא זו, ואמר ליה רב יצחק בר אבדימי דחומרא בעלמא היא שהיה מחמיר דבקעה מצא וגדר בה גדר, ורבה בר יוסף מתני כחל של מניקה שנה לו לאסרו אפילו בקריעה ומתניתין בשאינה מניקה, ואנן דאכלינן כחל בקריעה ואפילו מניקה סמכינן אלישנא קמא</w:t>
      </w:r>
      <w:r>
        <w:rPr>
          <w:rFonts w:asciiTheme="minorBidi" w:hAnsiTheme="minorBidi" w:hint="cs"/>
          <w:sz w:val="16"/>
          <w:szCs w:val="16"/>
          <w:rtl/>
        </w:rPr>
        <w:t>-</w:t>
      </w:r>
      <w:r w:rsidRPr="003024E5">
        <w:rPr>
          <w:rFonts w:asciiTheme="minorBidi" w:hAnsiTheme="minorBidi"/>
          <w:sz w:val="16"/>
          <w:szCs w:val="16"/>
          <w:rtl/>
        </w:rPr>
        <w:t xml:space="preserve"> דרב בקעה מצא וגדר בה גדר</w:t>
      </w:r>
      <w:r>
        <w:rPr>
          <w:rFonts w:asciiTheme="minorBidi" w:hAnsiTheme="minorBidi" w:hint="cs"/>
          <w:sz w:val="16"/>
          <w:szCs w:val="16"/>
          <w:rtl/>
        </w:rPr>
        <w:t>,</w:t>
      </w:r>
      <w:r w:rsidRPr="003024E5">
        <w:rPr>
          <w:rFonts w:asciiTheme="minorBidi" w:hAnsiTheme="minorBidi"/>
          <w:sz w:val="16"/>
          <w:szCs w:val="16"/>
          <w:rtl/>
        </w:rPr>
        <w:t xml:space="preserve"> ואין חילוק בין מניקה לשאינה מניקה, וגם מעובדא דרבין ורב יצחק בר יוסף דאייתי קמייהו תבשילא דכחלי רב יצחק אכל רבין לא אכל ומסתמא מניקה היה מדלא אכל רבין, ורב יצחק עיקר דמסייע ליה אביי, וגם מעובדא דרמי בר דיקולי דנקטינהו לכולהו כחלי ואכלינהו, תוס' (ד"ה דאתנייה) ורא"ש (סי' כה). וכ"כ הרשב"א (תוה"א ב"ג ש"ד פח:) בשם הרז"ה (המאור חולין לח:)</w:t>
      </w:r>
      <w:r w:rsidRPr="003024E5">
        <w:rPr>
          <w:rStyle w:val="a7"/>
          <w:rFonts w:asciiTheme="minorBidi" w:hAnsiTheme="minorBidi"/>
          <w:sz w:val="16"/>
          <w:szCs w:val="16"/>
          <w:rtl/>
        </w:rPr>
        <w:footnoteReference w:id="1239"/>
      </w:r>
      <w:r w:rsidRPr="003024E5">
        <w:rPr>
          <w:rFonts w:asciiTheme="minorBidi" w:hAnsiTheme="minorBidi"/>
          <w:sz w:val="16"/>
          <w:szCs w:val="16"/>
          <w:rtl/>
        </w:rPr>
        <w:t>)</w:t>
      </w:r>
      <w:r w:rsidRPr="003024E5">
        <w:rPr>
          <w:rFonts w:asciiTheme="minorBidi" w:hAnsiTheme="minorBidi"/>
          <w:rtl/>
        </w:rPr>
        <w:t xml:space="preserve">  </w:t>
      </w:r>
    </w:p>
    <w:p w14:paraId="0F0A090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 xml:space="preserve">שו"ע: </w:t>
      </w:r>
    </w:p>
    <w:p w14:paraId="0F098F44" w14:textId="77777777" w:rsidR="002C39F4" w:rsidRPr="003024E5" w:rsidRDefault="002C39F4" w:rsidP="002C39F4">
      <w:pPr>
        <w:rPr>
          <w:rFonts w:asciiTheme="minorBidi" w:hAnsiTheme="minorBidi"/>
          <w:rtl/>
        </w:rPr>
      </w:pPr>
      <w:r w:rsidRPr="003024E5">
        <w:rPr>
          <w:rStyle w:val="a7"/>
          <w:rFonts w:asciiTheme="minorBidi" w:hAnsiTheme="minorBidi"/>
          <w:rtl/>
        </w:rPr>
        <w:footnoteReference w:id="1240"/>
      </w:r>
      <w:r w:rsidRPr="003024E5">
        <w:rPr>
          <w:rFonts w:asciiTheme="minorBidi" w:hAnsiTheme="minorBidi"/>
          <w:rtl/>
        </w:rPr>
        <w:t xml:space="preserve">הכחל </w:t>
      </w:r>
      <w:r w:rsidRPr="003024E5">
        <w:rPr>
          <w:rFonts w:asciiTheme="minorBidi" w:hAnsiTheme="minorBidi"/>
          <w:sz w:val="14"/>
          <w:szCs w:val="14"/>
          <w:rtl/>
        </w:rPr>
        <w:t>(</w:t>
      </w:r>
      <w:r w:rsidRPr="00E5392E">
        <w:rPr>
          <w:rFonts w:asciiTheme="minorBidi" w:hAnsiTheme="minorBidi"/>
          <w:sz w:val="16"/>
          <w:szCs w:val="16"/>
          <w:rtl/>
        </w:rPr>
        <w:t>פי' הדד של הבהמה</w:t>
      </w:r>
      <w:r w:rsidRPr="003024E5">
        <w:rPr>
          <w:rFonts w:asciiTheme="minorBidi" w:hAnsiTheme="minorBidi"/>
          <w:sz w:val="14"/>
          <w:szCs w:val="14"/>
          <w:rtl/>
        </w:rPr>
        <w:t>)</w:t>
      </w:r>
      <w:r w:rsidRPr="003024E5">
        <w:rPr>
          <w:rFonts w:asciiTheme="minorBidi" w:hAnsiTheme="minorBidi"/>
          <w:rtl/>
        </w:rPr>
        <w:t xml:space="preserve"> אסור מדברי סופרים שאין בשר שנתבשל בחלב שחוטה אסור מן התורה, לפיכך אם קרעו ומירק החלב שבו מותר לצלותו ולאכלו</w:t>
      </w:r>
      <w:r w:rsidRPr="003024E5">
        <w:rPr>
          <w:rStyle w:val="a7"/>
          <w:rFonts w:asciiTheme="minorBidi" w:hAnsiTheme="minorBidi"/>
          <w:rtl/>
        </w:rPr>
        <w:footnoteReference w:id="1241"/>
      </w:r>
      <w:r w:rsidRPr="003024E5">
        <w:rPr>
          <w:rFonts w:asciiTheme="minorBidi" w:hAnsiTheme="minorBidi"/>
          <w:rtl/>
        </w:rPr>
        <w:t>, ואם קרעו שתי וערב וטחו בכותל עד שלא נשארה בו לחלוחית חלב מותר לבשלו עם הבשר, וכחל שלא קרעו בין של קטנה שלא הניקה בין של גדולה אסור לבשלו</w:t>
      </w:r>
      <w:r w:rsidRPr="003024E5">
        <w:rPr>
          <w:rStyle w:val="a7"/>
          <w:rFonts w:asciiTheme="minorBidi" w:hAnsiTheme="minorBidi"/>
          <w:rtl/>
        </w:rPr>
        <w:footnoteReference w:id="1242"/>
      </w:r>
      <w:r w:rsidRPr="003024E5">
        <w:rPr>
          <w:rFonts w:asciiTheme="minorBidi" w:hAnsiTheme="minorBidi"/>
          <w:rtl/>
        </w:rPr>
        <w:t>, ואם עבר ובשלו בפני עצמו</w:t>
      </w:r>
      <w:r w:rsidRPr="003024E5">
        <w:rPr>
          <w:rStyle w:val="a7"/>
          <w:rFonts w:asciiTheme="minorBidi" w:hAnsiTheme="minorBidi"/>
          <w:rtl/>
        </w:rPr>
        <w:footnoteReference w:id="1243"/>
      </w:r>
      <w:r w:rsidRPr="003024E5">
        <w:rPr>
          <w:rFonts w:asciiTheme="minorBidi" w:hAnsiTheme="minorBidi"/>
          <w:rtl/>
        </w:rPr>
        <w:t xml:space="preserve"> </w:t>
      </w:r>
      <w:r w:rsidRPr="003024E5">
        <w:rPr>
          <w:rFonts w:asciiTheme="minorBidi" w:hAnsiTheme="minorBidi"/>
          <w:sz w:val="18"/>
          <w:szCs w:val="18"/>
          <w:rtl/>
        </w:rPr>
        <w:t>[הגה] וכ"ש אם צלאו</w:t>
      </w:r>
      <w:r w:rsidRPr="003024E5">
        <w:rPr>
          <w:rFonts w:asciiTheme="minorBidi" w:hAnsiTheme="minorBidi"/>
          <w:rtl/>
        </w:rPr>
        <w:t>, מותר לאכלו</w:t>
      </w:r>
      <w:r w:rsidRPr="003024E5">
        <w:rPr>
          <w:rStyle w:val="a7"/>
          <w:rFonts w:asciiTheme="minorBidi" w:hAnsiTheme="minorBidi"/>
          <w:rtl/>
        </w:rPr>
        <w:footnoteReference w:id="1244"/>
      </w:r>
      <w:r w:rsidRPr="003024E5">
        <w:rPr>
          <w:rFonts w:asciiTheme="minorBidi" w:hAnsiTheme="minorBidi"/>
          <w:rtl/>
        </w:rPr>
        <w:t>, ואם בשלו עם בשר אחר משערין אותו בששים</w:t>
      </w:r>
      <w:r w:rsidRPr="003024E5">
        <w:rPr>
          <w:rStyle w:val="a7"/>
          <w:rFonts w:asciiTheme="minorBidi" w:hAnsiTheme="minorBidi"/>
          <w:rtl/>
        </w:rPr>
        <w:footnoteReference w:id="1245"/>
      </w:r>
      <w:r w:rsidRPr="003024E5">
        <w:rPr>
          <w:rFonts w:asciiTheme="minorBidi" w:hAnsiTheme="minorBidi"/>
          <w:rtl/>
        </w:rPr>
        <w:t xml:space="preserve"> וכחל מן המנין, כיצד, אם היה הכל עם הכחל כמו ששים בכחל, הכחל אסור והשאר מותר, ואם היה בפחות מששים הכל אסור, בין כך ובין כך אם נפל לקדירה אחרת אוסר אותה</w:t>
      </w:r>
      <w:r w:rsidRPr="003024E5">
        <w:rPr>
          <w:rStyle w:val="a7"/>
          <w:rFonts w:asciiTheme="minorBidi" w:hAnsiTheme="minorBidi"/>
          <w:rtl/>
        </w:rPr>
        <w:footnoteReference w:id="1246"/>
      </w:r>
      <w:r w:rsidRPr="003024E5">
        <w:rPr>
          <w:rFonts w:asciiTheme="minorBidi" w:hAnsiTheme="minorBidi"/>
          <w:rtl/>
        </w:rPr>
        <w:t xml:space="preserve"> ומשערין בו בששים כבראשונה, שהכחל עצמו שנתבשל נעשה כחתיכה האסורה</w:t>
      </w:r>
      <w:r>
        <w:rPr>
          <w:rFonts w:asciiTheme="minorBidi" w:hAnsiTheme="minorBidi" w:hint="cs"/>
          <w:rtl/>
        </w:rPr>
        <w:t>.</w:t>
      </w:r>
      <w:r w:rsidRPr="003024E5">
        <w:rPr>
          <w:rFonts w:asciiTheme="minorBidi" w:hAnsiTheme="minorBidi"/>
          <w:rtl/>
        </w:rPr>
        <w:t xml:space="preserve"> ואין משערין בו אלא כמות שהוא בעת שנתבשל, לא כמות שהיה בשעה שנפל. </w:t>
      </w:r>
      <w:r w:rsidRPr="003024E5">
        <w:rPr>
          <w:rFonts w:asciiTheme="minorBidi" w:hAnsiTheme="minorBidi"/>
          <w:sz w:val="18"/>
          <w:szCs w:val="18"/>
          <w:rtl/>
        </w:rPr>
        <w:t>הגה: ויש אומרים דאם נפל תחלה לקדירה שאין בה ס'</w:t>
      </w:r>
      <w:r w:rsidRPr="003024E5">
        <w:rPr>
          <w:rStyle w:val="a7"/>
          <w:rFonts w:asciiTheme="minorBidi" w:hAnsiTheme="minorBidi"/>
          <w:sz w:val="18"/>
          <w:szCs w:val="18"/>
          <w:rtl/>
        </w:rPr>
        <w:footnoteReference w:id="1247"/>
      </w:r>
      <w:r w:rsidRPr="003024E5">
        <w:rPr>
          <w:rFonts w:asciiTheme="minorBidi" w:hAnsiTheme="minorBidi"/>
          <w:sz w:val="18"/>
          <w:szCs w:val="18"/>
          <w:rtl/>
        </w:rPr>
        <w:t xml:space="preserve"> ונאסר הכחל, אם נפלה אחר כך לקדירה אחרת אין הכחל מצטרף לס' </w:t>
      </w:r>
      <w:r w:rsidRPr="003024E5">
        <w:rPr>
          <w:rFonts w:asciiTheme="minorBidi" w:hAnsiTheme="minorBidi"/>
          <w:sz w:val="16"/>
          <w:szCs w:val="16"/>
          <w:rtl/>
        </w:rPr>
        <w:t>(טור בשם הרשב"א וד"ע לר"ן דלא כב"י לר"ן)</w:t>
      </w:r>
      <w:r w:rsidRPr="003024E5">
        <w:rPr>
          <w:rFonts w:asciiTheme="minorBidi" w:hAnsiTheme="minorBidi"/>
          <w:sz w:val="18"/>
          <w:szCs w:val="18"/>
          <w:rtl/>
        </w:rPr>
        <w:t>, וכן עיקר.</w:t>
      </w:r>
      <w:r w:rsidRPr="003024E5">
        <w:rPr>
          <w:rFonts w:asciiTheme="minorBidi" w:hAnsiTheme="minorBidi"/>
          <w:rtl/>
        </w:rPr>
        <w:t xml:space="preserve"> </w:t>
      </w:r>
    </w:p>
    <w:p w14:paraId="7CC9D3E1" w14:textId="77777777" w:rsidR="002C39F4" w:rsidRPr="003024E5" w:rsidRDefault="002C39F4" w:rsidP="002C39F4">
      <w:pPr>
        <w:rPr>
          <w:rFonts w:asciiTheme="minorBidi" w:hAnsiTheme="minorBidi"/>
          <w:rtl/>
        </w:rPr>
      </w:pPr>
    </w:p>
    <w:p w14:paraId="65D25712" w14:textId="77777777" w:rsidR="002C39F4" w:rsidRPr="003024E5" w:rsidRDefault="002C39F4" w:rsidP="002C39F4">
      <w:pPr>
        <w:pStyle w:val="2"/>
        <w:rPr>
          <w:rFonts w:asciiTheme="minorBidi" w:hAnsiTheme="minorBidi"/>
          <w:rtl/>
        </w:rPr>
      </w:pPr>
      <w:r w:rsidRPr="003024E5">
        <w:rPr>
          <w:rFonts w:asciiTheme="minorBidi" w:hAnsiTheme="minorBidi"/>
          <w:rtl/>
        </w:rPr>
        <w:t>סעיף ב: כחל בבישול וצלייה - למנהג.</w:t>
      </w:r>
    </w:p>
    <w:p w14:paraId="516342F3" w14:textId="77777777" w:rsidR="002C39F4" w:rsidRPr="003024E5" w:rsidRDefault="002C39F4" w:rsidP="002C39F4">
      <w:pPr>
        <w:rPr>
          <w:rFonts w:asciiTheme="minorBidi" w:hAnsiTheme="minorBidi"/>
          <w:sz w:val="16"/>
          <w:szCs w:val="16"/>
          <w:rtl/>
        </w:rPr>
      </w:pPr>
      <w:r w:rsidRPr="003024E5">
        <w:rPr>
          <w:rFonts w:asciiTheme="minorBidi" w:hAnsiTheme="minorBidi"/>
          <w:u w:val="single"/>
          <w:rtl/>
        </w:rPr>
        <w:t>מנהג העולם בבישול וצליית כחל:</w:t>
      </w:r>
      <w:r w:rsidRPr="003024E5">
        <w:rPr>
          <w:rFonts w:asciiTheme="minorBidi" w:hAnsiTheme="minorBidi"/>
          <w:sz w:val="16"/>
          <w:szCs w:val="16"/>
          <w:rtl/>
        </w:rPr>
        <w:t xml:space="preserve">  (ב"י [כאן ובסע' א], ודרכ"מ [אות ז])</w:t>
      </w:r>
    </w:p>
    <w:p w14:paraId="680C5651" w14:textId="77777777" w:rsidR="002C39F4" w:rsidRPr="003024E5" w:rsidRDefault="002C39F4" w:rsidP="0032102C">
      <w:pPr>
        <w:pStyle w:val="a8"/>
        <w:numPr>
          <w:ilvl w:val="0"/>
          <w:numId w:val="157"/>
        </w:numPr>
        <w:rPr>
          <w:rFonts w:asciiTheme="minorBidi" w:hAnsiTheme="minorBidi"/>
        </w:rPr>
      </w:pPr>
      <w:r w:rsidRPr="003024E5">
        <w:rPr>
          <w:rFonts w:asciiTheme="minorBidi" w:hAnsiTheme="minorBidi"/>
          <w:rtl/>
        </w:rPr>
        <w:t xml:space="preserve">ר"פ </w:t>
      </w:r>
      <w:r w:rsidRPr="003024E5">
        <w:rPr>
          <w:rFonts w:asciiTheme="minorBidi" w:hAnsiTheme="minorBidi"/>
          <w:sz w:val="16"/>
          <w:szCs w:val="16"/>
          <w:rtl/>
        </w:rPr>
        <w:t>(בהגה</w:t>
      </w:r>
      <w:r>
        <w:rPr>
          <w:rFonts w:asciiTheme="minorBidi" w:hAnsiTheme="minorBidi" w:hint="cs"/>
          <w:sz w:val="16"/>
          <w:szCs w:val="16"/>
          <w:rtl/>
        </w:rPr>
        <w:t>'</w:t>
      </w:r>
      <w:r w:rsidRPr="003024E5">
        <w:rPr>
          <w:rFonts w:asciiTheme="minorBidi" w:hAnsiTheme="minorBidi"/>
          <w:sz w:val="16"/>
          <w:szCs w:val="16"/>
          <w:rtl/>
        </w:rPr>
        <w:t xml:space="preserve"> סמ"ק סי' ריג אות יב, הביאו ההגה"מ </w:t>
      </w:r>
      <w:r w:rsidRPr="00B2584E">
        <w:rPr>
          <w:rFonts w:asciiTheme="minorBidi" w:hAnsiTheme="minorBidi"/>
          <w:sz w:val="14"/>
          <w:szCs w:val="14"/>
          <w:rtl/>
        </w:rPr>
        <w:t>[פ"ט דפ"ק הי"ב]</w:t>
      </w:r>
      <w:r w:rsidRPr="003024E5">
        <w:rPr>
          <w:rFonts w:asciiTheme="minorBidi" w:hAnsiTheme="minorBidi"/>
          <w:sz w:val="16"/>
          <w:szCs w:val="16"/>
          <w:rtl/>
        </w:rPr>
        <w:t>)</w:t>
      </w:r>
      <w:r w:rsidRPr="003024E5">
        <w:rPr>
          <w:rFonts w:asciiTheme="minorBidi" w:hAnsiTheme="minorBidi"/>
          <w:rtl/>
        </w:rPr>
        <w:t>- הנה העולם נהגו שלא לבשל הכחל עם הבשר כלל אפילו בקריעת שתי וערב וטיחה בכותל, וצ"ע על המנהג דלכאורה מותר הוא לכל הפירושים, ומיהו כמדומה לי ששמעתי ממורי ה"ר יחיאל שיש לסמוך מנהג העולם לפירוש רש"י שפירש דלקדרה שהזכיר התלמוד גבי כחל בקריעה שתי וערב וטחו בכותל היינו לקדרה בלא בשר, והילכך לפי זה לא מצינו שום היתר עם בשר בשום ענין, וגם היה אומר מהאי טעמא נהגו שלא לבשלו בקדרה כלל אפילו בלא בשר לפי שסופו לבשל בשר בקדרה והוי כמו כחל עם בשר, והיה אומר כי כבר היו נוהגים להיות להם קדרה מיוחדת לכחל לבדו</w:t>
      </w:r>
      <w:r w:rsidRPr="003024E5">
        <w:rPr>
          <w:rStyle w:val="a7"/>
          <w:rFonts w:asciiTheme="minorBidi" w:hAnsiTheme="minorBidi"/>
          <w:rtl/>
        </w:rPr>
        <w:footnoteReference w:id="1248"/>
      </w:r>
      <w:r w:rsidRPr="003024E5">
        <w:rPr>
          <w:rFonts w:asciiTheme="minorBidi" w:hAnsiTheme="minorBidi"/>
          <w:rtl/>
        </w:rPr>
        <w:t>, ומיהו אין לסמוך עכשיו על זה שאין רגילין בכחל כ"כ עתה הילכך איכא למיחש דילמא אתי למיטעי לבשל אח"כ בשר באותה קדרה, ומיהו פשט היתרו לחתכו בסכין של בשר אפילו בשהכחל רותח כיון שקרעו שתי וערב וטחו בכותל וחותכין באותו סכין בשר אח"כ</w:t>
      </w:r>
      <w:r>
        <w:rPr>
          <w:rStyle w:val="a7"/>
          <w:rFonts w:asciiTheme="minorBidi" w:hAnsiTheme="minorBidi"/>
          <w:rtl/>
        </w:rPr>
        <w:footnoteReference w:id="1249"/>
      </w:r>
      <w:r w:rsidRPr="003024E5">
        <w:rPr>
          <w:rFonts w:asciiTheme="minorBidi" w:hAnsiTheme="minorBidi"/>
          <w:rtl/>
        </w:rPr>
        <w:t xml:space="preserve">. </w:t>
      </w:r>
    </w:p>
    <w:p w14:paraId="3C584CCC" w14:textId="77777777" w:rsidR="002C39F4" w:rsidRPr="003024E5" w:rsidRDefault="002C39F4" w:rsidP="0032102C">
      <w:pPr>
        <w:pStyle w:val="a8"/>
        <w:numPr>
          <w:ilvl w:val="0"/>
          <w:numId w:val="157"/>
        </w:numPr>
        <w:rPr>
          <w:rFonts w:asciiTheme="minorBidi" w:hAnsiTheme="minorBidi"/>
        </w:rPr>
      </w:pPr>
      <w:r w:rsidRPr="003024E5">
        <w:rPr>
          <w:rFonts w:asciiTheme="minorBidi" w:hAnsiTheme="minorBidi"/>
          <w:rtl/>
        </w:rPr>
        <w:t>טור- כבר נהגו שלא לבשל כלל עם הבשר אפי' בקריעת שתי וערב וטיחה בכותל</w:t>
      </w:r>
      <w:r>
        <w:rPr>
          <w:rFonts w:asciiTheme="minorBidi" w:hAnsiTheme="minorBidi" w:hint="cs"/>
          <w:rtl/>
        </w:rPr>
        <w:t>,</w:t>
      </w:r>
      <w:r w:rsidRPr="003024E5">
        <w:rPr>
          <w:rFonts w:asciiTheme="minorBidi" w:hAnsiTheme="minorBidi"/>
          <w:rtl/>
        </w:rPr>
        <w:t xml:space="preserve"> ואפי' אם מבשלו בקדרה לבדו מצריך קריעה וטיחה ושתהיה הקדרה מיוחד לכך.</w:t>
      </w:r>
    </w:p>
    <w:p w14:paraId="2287131D" w14:textId="77777777" w:rsidR="002C39F4" w:rsidRPr="003024E5" w:rsidRDefault="002C39F4" w:rsidP="0032102C">
      <w:pPr>
        <w:pStyle w:val="a8"/>
        <w:numPr>
          <w:ilvl w:val="0"/>
          <w:numId w:val="157"/>
        </w:numPr>
        <w:rPr>
          <w:rFonts w:asciiTheme="minorBidi" w:hAnsiTheme="minorBidi"/>
        </w:rPr>
      </w:pPr>
      <w:r w:rsidRPr="003024E5">
        <w:rPr>
          <w:rFonts w:asciiTheme="minorBidi" w:hAnsiTheme="minorBidi"/>
          <w:rtl/>
        </w:rPr>
        <w:t xml:space="preserve">שע"ד </w:t>
      </w:r>
      <w:r w:rsidRPr="003024E5">
        <w:rPr>
          <w:rFonts w:asciiTheme="minorBidi" w:hAnsiTheme="minorBidi"/>
          <w:sz w:val="16"/>
          <w:szCs w:val="16"/>
          <w:rtl/>
        </w:rPr>
        <w:t>(סו"ס כט)</w:t>
      </w:r>
      <w:r w:rsidRPr="003024E5">
        <w:rPr>
          <w:rFonts w:asciiTheme="minorBidi" w:hAnsiTheme="minorBidi"/>
          <w:rtl/>
        </w:rPr>
        <w:t>- בתשובות הגאונים כ</w:t>
      </w:r>
      <w:r>
        <w:rPr>
          <w:rFonts w:asciiTheme="minorBidi" w:hAnsiTheme="minorBidi" w:hint="cs"/>
          <w:rtl/>
        </w:rPr>
        <w:t>תוב</w:t>
      </w:r>
      <w:r w:rsidRPr="003024E5">
        <w:rPr>
          <w:rFonts w:asciiTheme="minorBidi" w:hAnsiTheme="minorBidi"/>
          <w:rtl/>
        </w:rPr>
        <w:t xml:space="preserve"> דנהיגי בישראל שלא לבשל כחל כלל</w:t>
      </w:r>
      <w:r w:rsidRPr="003024E5">
        <w:rPr>
          <w:rStyle w:val="a7"/>
          <w:rFonts w:asciiTheme="minorBidi" w:hAnsiTheme="minorBidi"/>
          <w:rtl/>
        </w:rPr>
        <w:footnoteReference w:id="1250"/>
      </w:r>
      <w:r w:rsidRPr="003024E5">
        <w:rPr>
          <w:rFonts w:asciiTheme="minorBidi" w:hAnsiTheme="minorBidi"/>
          <w:rtl/>
        </w:rPr>
        <w:t xml:space="preserve"> אלא צולין לה</w:t>
      </w:r>
      <w:r w:rsidRPr="003024E5">
        <w:rPr>
          <w:rStyle w:val="a7"/>
          <w:rFonts w:asciiTheme="minorBidi" w:hAnsiTheme="minorBidi"/>
          <w:rtl/>
        </w:rPr>
        <w:footnoteReference w:id="1251"/>
      </w:r>
      <w:r w:rsidRPr="003024E5">
        <w:rPr>
          <w:rFonts w:asciiTheme="minorBidi" w:hAnsiTheme="minorBidi"/>
          <w:rtl/>
        </w:rPr>
        <w:t xml:space="preserve">. </w:t>
      </w:r>
    </w:p>
    <w:p w14:paraId="32F513AE" w14:textId="77777777" w:rsidR="002C39F4" w:rsidRPr="003024E5" w:rsidRDefault="002C39F4" w:rsidP="0032102C">
      <w:pPr>
        <w:pStyle w:val="a8"/>
        <w:numPr>
          <w:ilvl w:val="0"/>
          <w:numId w:val="157"/>
        </w:numPr>
        <w:rPr>
          <w:rFonts w:asciiTheme="minorBidi" w:hAnsiTheme="minorBidi"/>
        </w:rPr>
      </w:pPr>
      <w:r w:rsidRPr="003024E5">
        <w:rPr>
          <w:rFonts w:asciiTheme="minorBidi" w:hAnsiTheme="minorBidi"/>
          <w:rtl/>
        </w:rPr>
        <w:t xml:space="preserve">ר"ן </w:t>
      </w:r>
      <w:r w:rsidRPr="003024E5">
        <w:rPr>
          <w:rFonts w:asciiTheme="minorBidi" w:hAnsiTheme="minorBidi"/>
          <w:sz w:val="16"/>
          <w:szCs w:val="16"/>
          <w:rtl/>
        </w:rPr>
        <w:t>(לט. סוף דיבור ראשון)</w:t>
      </w:r>
      <w:r w:rsidRPr="003024E5">
        <w:rPr>
          <w:rFonts w:asciiTheme="minorBidi" w:hAnsiTheme="minorBidi"/>
          <w:rtl/>
        </w:rPr>
        <w:t>- לדברי כולם מותר לכתחילה לבשלו עם בשר אא"כ היא גזרת האחרונים שמא לא יקרענו יפה יפה כמו שגזרו בכבד כפי דעת המפרשים</w:t>
      </w:r>
      <w:r w:rsidRPr="003024E5">
        <w:rPr>
          <w:rStyle w:val="a7"/>
          <w:rFonts w:asciiTheme="minorBidi" w:hAnsiTheme="minorBidi"/>
          <w:rtl/>
        </w:rPr>
        <w:footnoteReference w:id="1252"/>
      </w:r>
      <w:r w:rsidRPr="003024E5">
        <w:rPr>
          <w:rFonts w:asciiTheme="minorBidi" w:hAnsiTheme="minorBidi"/>
          <w:rtl/>
        </w:rPr>
        <w:t xml:space="preserve">. </w:t>
      </w:r>
    </w:p>
    <w:p w14:paraId="7F00D35F" w14:textId="77777777" w:rsidR="002C39F4" w:rsidRPr="003024E5" w:rsidRDefault="002C39F4" w:rsidP="0032102C">
      <w:pPr>
        <w:pStyle w:val="a8"/>
        <w:numPr>
          <w:ilvl w:val="0"/>
          <w:numId w:val="157"/>
        </w:numPr>
        <w:rPr>
          <w:rFonts w:asciiTheme="minorBidi" w:hAnsiTheme="minorBidi"/>
        </w:rPr>
      </w:pPr>
      <w:r w:rsidRPr="003024E5">
        <w:rPr>
          <w:rFonts w:asciiTheme="minorBidi" w:hAnsiTheme="minorBidi"/>
          <w:rtl/>
        </w:rPr>
        <w:t xml:space="preserve">רי"ו </w:t>
      </w:r>
      <w:r w:rsidRPr="003024E5">
        <w:rPr>
          <w:rFonts w:asciiTheme="minorBidi" w:hAnsiTheme="minorBidi"/>
          <w:sz w:val="16"/>
          <w:szCs w:val="16"/>
          <w:rtl/>
        </w:rPr>
        <w:t>(נט"ו אות יא קכו סוע"ד)</w:t>
      </w:r>
      <w:r w:rsidRPr="003024E5">
        <w:rPr>
          <w:rFonts w:asciiTheme="minorBidi" w:hAnsiTheme="minorBidi"/>
          <w:rtl/>
        </w:rPr>
        <w:t>- לפי שראיתי בכמה מקומות נוהגים בו איסור לבשלו עם בשר אפילו בקריעת שתי וערב וטיחה בכותל, וגם מן התלמידים טועים שסבורים שהוא אסור, מנהג בטעות הוא ואין להם על מה שיסמוכו כי כל הפוסקים כתבו שמותר לכתחלה לבשלו עם בשר בקדרה כיון שקרעו שתי וערב וטחו בכותל, ומ"מ ראוי להחמיר ולבשלו לבדו לכתחלה וקורעו שתי וערב וטחו, ולצלי קריעה קצת</w:t>
      </w:r>
      <w:r w:rsidRPr="003024E5">
        <w:rPr>
          <w:rStyle w:val="a7"/>
          <w:rFonts w:asciiTheme="minorBidi" w:hAnsiTheme="minorBidi"/>
          <w:rtl/>
        </w:rPr>
        <w:footnoteReference w:id="1253"/>
      </w:r>
      <w:r w:rsidRPr="003024E5">
        <w:rPr>
          <w:rFonts w:asciiTheme="minorBidi" w:hAnsiTheme="minorBidi"/>
          <w:rtl/>
        </w:rPr>
        <w:t xml:space="preserve">. </w:t>
      </w:r>
    </w:p>
    <w:p w14:paraId="5DB9E98F" w14:textId="77777777" w:rsidR="002C39F4" w:rsidRPr="003024E5" w:rsidRDefault="002C39F4" w:rsidP="0032102C">
      <w:pPr>
        <w:pStyle w:val="a8"/>
        <w:numPr>
          <w:ilvl w:val="1"/>
          <w:numId w:val="157"/>
        </w:numPr>
        <w:rPr>
          <w:rFonts w:asciiTheme="minorBidi" w:hAnsiTheme="minorBidi"/>
        </w:rPr>
      </w:pPr>
      <w:r w:rsidRPr="003024E5">
        <w:rPr>
          <w:rFonts w:asciiTheme="minorBidi" w:hAnsiTheme="minorBidi"/>
          <w:rtl/>
        </w:rPr>
        <w:t xml:space="preserve">ב"י- ולפי דברי סה"ת והמרדכי והגהות והסכמת רבינו </w:t>
      </w:r>
      <w:r w:rsidRPr="003024E5">
        <w:rPr>
          <w:rFonts w:asciiTheme="minorBidi" w:hAnsiTheme="minorBidi"/>
          <w:sz w:val="16"/>
          <w:szCs w:val="16"/>
          <w:rtl/>
        </w:rPr>
        <w:t>{שהובאו בסע' א}</w:t>
      </w:r>
      <w:r w:rsidRPr="003024E5">
        <w:rPr>
          <w:rFonts w:asciiTheme="minorBidi" w:hAnsiTheme="minorBidi"/>
          <w:rtl/>
        </w:rPr>
        <w:t xml:space="preserve"> זכינו לדין שאין אותו מנהג 'מנהג טעות ואין בו על מה שיסמוך' כדברי רי"ו, וגם לא גזרת אחרונים כדברי הר"ן, אלא דין גמור הוא לפי פירוש רש"י ז"ל בגמ', ואע"פ שיש חולקים על פירוש רש"י, וגם דברי רש"י עצמו יש מפרשים להקל, נהגו העולם כדברי רש"י וכדעת המפרשים דבריו להחמיר, והמנהג הפשוט שלא לבשלו עם בשר כלל, ולבשלו בלא בשר בטיגון או בפשטיד"א מצריכים קריעה שתי וערב וטיחה בכותל, ולצלי קריעה שתי וערב</w:t>
      </w:r>
      <w:r w:rsidRPr="003024E5">
        <w:rPr>
          <w:rStyle w:val="a7"/>
          <w:rFonts w:asciiTheme="minorBidi" w:hAnsiTheme="minorBidi"/>
          <w:rtl/>
        </w:rPr>
        <w:footnoteReference w:id="1254"/>
      </w:r>
      <w:r w:rsidRPr="003024E5">
        <w:rPr>
          <w:rFonts w:asciiTheme="minorBidi" w:hAnsiTheme="minorBidi"/>
          <w:rtl/>
        </w:rPr>
        <w:t>.</w:t>
      </w:r>
      <w:r w:rsidRPr="003024E5">
        <w:rPr>
          <w:rFonts w:asciiTheme="minorBidi" w:hAnsiTheme="minorBidi"/>
          <w:color w:val="E36C0A" w:themeColor="accent6" w:themeShade="BF"/>
          <w:rtl/>
        </w:rPr>
        <w:t xml:space="preserve"> (וכ"פ בשו"ע)</w:t>
      </w:r>
    </w:p>
    <w:p w14:paraId="4041EB24" w14:textId="77777777" w:rsidR="002C39F4" w:rsidRPr="003024E5" w:rsidRDefault="002C39F4" w:rsidP="002C39F4">
      <w:pPr>
        <w:rPr>
          <w:rFonts w:asciiTheme="minorBidi" w:hAnsiTheme="minorBidi"/>
          <w:sz w:val="16"/>
          <w:szCs w:val="16"/>
        </w:rPr>
      </w:pPr>
      <w:r w:rsidRPr="003024E5">
        <w:rPr>
          <w:rFonts w:asciiTheme="minorBidi" w:hAnsiTheme="minorBidi"/>
          <w:u w:val="single"/>
          <w:rtl/>
        </w:rPr>
        <w:t>פעולות שמועילות במקום טיחה בכותל:</w:t>
      </w:r>
      <w:r w:rsidRPr="003024E5">
        <w:rPr>
          <w:rFonts w:asciiTheme="minorBidi" w:hAnsiTheme="minorBidi"/>
          <w:sz w:val="16"/>
          <w:szCs w:val="16"/>
          <w:rtl/>
        </w:rPr>
        <w:t xml:space="preserve">  (ב"י, ודרכ"מ [אות א])</w:t>
      </w:r>
    </w:p>
    <w:p w14:paraId="3BE695E7" w14:textId="77777777" w:rsidR="002C39F4" w:rsidRPr="003024E5" w:rsidRDefault="002C39F4" w:rsidP="0032102C">
      <w:pPr>
        <w:pStyle w:val="a8"/>
        <w:numPr>
          <w:ilvl w:val="0"/>
          <w:numId w:val="157"/>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(תוה"ק ב"ג ש"ד פז., הביאן הב"י והת"ח)</w:t>
      </w:r>
      <w:r w:rsidRPr="003024E5">
        <w:rPr>
          <w:rFonts w:asciiTheme="minorBidi" w:hAnsiTheme="minorBidi"/>
          <w:rtl/>
        </w:rPr>
        <w:t>- אם נתנו תחת המכבש הוי כטחו בכותל.</w:t>
      </w:r>
    </w:p>
    <w:p w14:paraId="18117FE2" w14:textId="77777777" w:rsidR="002C39F4" w:rsidRPr="003024E5" w:rsidRDefault="002C39F4" w:rsidP="0032102C">
      <w:pPr>
        <w:pStyle w:val="a8"/>
        <w:numPr>
          <w:ilvl w:val="0"/>
          <w:numId w:val="162"/>
        </w:numPr>
        <w:rPr>
          <w:rFonts w:asciiTheme="minorBidi" w:hAnsiTheme="minorBidi"/>
          <w:rtl/>
        </w:rPr>
      </w:pPr>
      <w:r w:rsidRPr="003024E5">
        <w:rPr>
          <w:rFonts w:asciiTheme="minorBidi" w:hAnsiTheme="minorBidi"/>
          <w:rtl/>
        </w:rPr>
        <w:t>תרוה"ד</w:t>
      </w:r>
      <w:r w:rsidRPr="003024E5">
        <w:rPr>
          <w:rStyle w:val="a7"/>
          <w:rFonts w:asciiTheme="minorBidi" w:hAnsiTheme="minorBidi"/>
          <w:rtl/>
        </w:rPr>
        <w:footnoteReference w:id="1255"/>
      </w:r>
      <w:r w:rsidRPr="003024E5">
        <w:rPr>
          <w:rFonts w:asciiTheme="minorBidi" w:hAnsiTheme="minorBidi"/>
          <w:rtl/>
        </w:rPr>
        <w:t>- נראה כי מה שנוהגין לחתכו שתי וערב כמה חתיכות על פני כולו עדיף מכובש בכותל דבהכי כל הגומות שהחלב כנוס בהן נפתחות ונחתכות.</w:t>
      </w:r>
      <w:r w:rsidRPr="003024E5">
        <w:rPr>
          <w:rFonts w:asciiTheme="minorBidi" w:hAnsiTheme="minorBidi"/>
          <w:color w:val="00B0F0"/>
          <w:rtl/>
        </w:rPr>
        <w:t xml:space="preserve"> (וכ"פ הרמ"א)</w:t>
      </w:r>
    </w:p>
    <w:p w14:paraId="7263C71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8D9637E" w14:textId="77777777" w:rsidR="002C39F4" w:rsidRPr="003024E5" w:rsidRDefault="002C39F4" w:rsidP="002C39F4">
      <w:pPr>
        <w:rPr>
          <w:rFonts w:asciiTheme="minorBidi" w:hAnsiTheme="minorBidi"/>
          <w:rtl/>
        </w:rPr>
      </w:pPr>
      <w:r w:rsidRPr="003024E5">
        <w:rPr>
          <w:rStyle w:val="a7"/>
          <w:rFonts w:asciiTheme="minorBidi" w:hAnsiTheme="minorBidi"/>
          <w:rtl/>
        </w:rPr>
        <w:footnoteReference w:id="1256"/>
      </w:r>
      <w:r w:rsidRPr="003024E5">
        <w:rPr>
          <w:rFonts w:asciiTheme="minorBidi" w:hAnsiTheme="minorBidi"/>
          <w:rtl/>
        </w:rPr>
        <w:t>נהגו שלא לבשלו עם בשר כלל, ולבשלו בלא בשר בטיגון או בפשטיד"א</w:t>
      </w:r>
      <w:r w:rsidRPr="003024E5">
        <w:rPr>
          <w:rStyle w:val="a7"/>
          <w:rFonts w:asciiTheme="minorBidi" w:hAnsiTheme="minorBidi"/>
          <w:rtl/>
        </w:rPr>
        <w:footnoteReference w:id="1257"/>
      </w:r>
      <w:r w:rsidRPr="003024E5">
        <w:rPr>
          <w:rFonts w:asciiTheme="minorBidi" w:hAnsiTheme="minorBidi"/>
          <w:rtl/>
        </w:rPr>
        <w:t xml:space="preserve"> מצריכין קריעה שתי וערב וטיחה בכותל, ולצלי קריעה שתי וערב. </w:t>
      </w:r>
      <w:r w:rsidRPr="003024E5">
        <w:rPr>
          <w:rFonts w:asciiTheme="minorBidi" w:hAnsiTheme="minorBidi"/>
          <w:sz w:val="18"/>
          <w:szCs w:val="18"/>
          <w:rtl/>
        </w:rPr>
        <w:t xml:space="preserve">הגה: ואם עבר ובשלו, אם קרעו שתי וערב וטחו בכותל יש להתיר בדיעבד </w:t>
      </w:r>
      <w:r w:rsidRPr="003024E5">
        <w:rPr>
          <w:rFonts w:asciiTheme="minorBidi" w:hAnsiTheme="minorBidi"/>
          <w:sz w:val="16"/>
          <w:szCs w:val="16"/>
          <w:rtl/>
        </w:rPr>
        <w:t>(סה"ת מרדכי הגה"מ טור וע"פ, עת"ח)</w:t>
      </w:r>
      <w:r w:rsidRPr="003024E5">
        <w:rPr>
          <w:rFonts w:asciiTheme="minorBidi" w:hAnsiTheme="minorBidi"/>
          <w:sz w:val="18"/>
          <w:szCs w:val="18"/>
          <w:rtl/>
        </w:rPr>
        <w:t xml:space="preserve"> במקום הפסד מרובה</w:t>
      </w:r>
      <w:r w:rsidRPr="003024E5">
        <w:rPr>
          <w:rStyle w:val="a7"/>
          <w:rFonts w:asciiTheme="minorBidi" w:hAnsiTheme="minorBidi"/>
          <w:sz w:val="18"/>
          <w:szCs w:val="18"/>
          <w:rtl/>
        </w:rPr>
        <w:footnoteReference w:id="1258"/>
      </w:r>
      <w:r w:rsidRPr="003024E5">
        <w:rPr>
          <w:rFonts w:asciiTheme="minorBidi" w:hAnsiTheme="minorBidi"/>
          <w:sz w:val="14"/>
          <w:szCs w:val="14"/>
          <w:rtl/>
        </w:rPr>
        <w:t xml:space="preserve"> </w:t>
      </w:r>
      <w:r w:rsidRPr="003024E5">
        <w:rPr>
          <w:rFonts w:asciiTheme="minorBidi" w:hAnsiTheme="minorBidi"/>
          <w:sz w:val="16"/>
          <w:szCs w:val="16"/>
          <w:rtl/>
        </w:rPr>
        <w:t>(ד"ע)</w:t>
      </w:r>
      <w:r w:rsidRPr="003024E5">
        <w:rPr>
          <w:rFonts w:asciiTheme="minorBidi" w:hAnsiTheme="minorBidi"/>
          <w:sz w:val="18"/>
          <w:szCs w:val="18"/>
          <w:rtl/>
        </w:rPr>
        <w:t>, אבל בלאו הכי אין להתיר</w:t>
      </w:r>
      <w:r w:rsidRPr="003024E5">
        <w:rPr>
          <w:rStyle w:val="a7"/>
          <w:rFonts w:asciiTheme="minorBidi" w:hAnsiTheme="minorBidi"/>
          <w:sz w:val="18"/>
          <w:szCs w:val="18"/>
          <w:rtl/>
        </w:rPr>
        <w:footnoteReference w:id="1259"/>
      </w:r>
      <w:r w:rsidRPr="003024E5">
        <w:rPr>
          <w:rFonts w:asciiTheme="minorBidi" w:hAnsiTheme="minorBidi"/>
          <w:sz w:val="18"/>
          <w:szCs w:val="18"/>
          <w:rtl/>
        </w:rPr>
        <w:t>. ומה שנהגו לקורעו ולחתכו כמה פעמים שתי וערב על פני כולה עדיף ומהני יותר מטיחה בכותל (תרוה"ד סי' קפב). ולצלי נוהגין לכתחלה לקורעו שתי וערב וטיחה בכותל (ארוך כלל יח), מיהו אם עבר וצלאו אפילו בלא קריעה שרי אם נצלה לחוד בלא בשר עמו (הגה"מ שע"ד טור וע"פ), ואם נצלה עם בשר עמו, אם נקרע שתי וערב וטחו בכותל שניהם מותרים</w:t>
      </w:r>
      <w:r w:rsidRPr="003024E5">
        <w:rPr>
          <w:rStyle w:val="a7"/>
          <w:rFonts w:asciiTheme="minorBidi" w:hAnsiTheme="minorBidi"/>
          <w:sz w:val="18"/>
          <w:szCs w:val="18"/>
          <w:rtl/>
        </w:rPr>
        <w:footnoteReference w:id="1260"/>
      </w:r>
      <w:r w:rsidRPr="003024E5">
        <w:rPr>
          <w:rFonts w:asciiTheme="minorBidi" w:hAnsiTheme="minorBidi"/>
          <w:sz w:val="18"/>
          <w:szCs w:val="18"/>
          <w:rtl/>
        </w:rPr>
        <w:t>, ואם לאו העליון מותר והתחתון אסור</w:t>
      </w:r>
      <w:r w:rsidRPr="003024E5">
        <w:rPr>
          <w:rStyle w:val="a7"/>
          <w:rFonts w:asciiTheme="minorBidi" w:hAnsiTheme="minorBidi"/>
          <w:sz w:val="18"/>
          <w:szCs w:val="18"/>
          <w:rtl/>
        </w:rPr>
        <w:footnoteReference w:id="1261"/>
      </w:r>
      <w:r w:rsidRPr="003024E5">
        <w:rPr>
          <w:rFonts w:asciiTheme="minorBidi" w:hAnsiTheme="minorBidi"/>
          <w:sz w:val="18"/>
          <w:szCs w:val="18"/>
          <w:rtl/>
        </w:rPr>
        <w:t xml:space="preserve"> (ב"י בשם תוס' והרא"ש ומרדכי וארוך), ואין לאסור שניהם שמא נתהפך השפוד דבדיעבד לא מחזקינן איסורא (או"ה), אבל לכתחלה אין לצלותו עם בשר כלל</w:t>
      </w:r>
      <w:r w:rsidRPr="003024E5">
        <w:rPr>
          <w:rStyle w:val="a7"/>
          <w:rFonts w:asciiTheme="minorBidi" w:hAnsiTheme="minorBidi"/>
          <w:sz w:val="18"/>
          <w:szCs w:val="18"/>
          <w:rtl/>
        </w:rPr>
        <w:footnoteReference w:id="1262"/>
      </w:r>
      <w:r w:rsidRPr="003024E5">
        <w:rPr>
          <w:rFonts w:asciiTheme="minorBidi" w:hAnsiTheme="minorBidi"/>
          <w:sz w:val="18"/>
          <w:szCs w:val="18"/>
          <w:rtl/>
        </w:rPr>
        <w:t>. ולקדירה בלא בשר נוהגין בו איסור לכתחלה</w:t>
      </w:r>
      <w:r w:rsidRPr="003024E5">
        <w:rPr>
          <w:rStyle w:val="a7"/>
          <w:rFonts w:asciiTheme="minorBidi" w:hAnsiTheme="minorBidi"/>
          <w:sz w:val="18"/>
          <w:szCs w:val="18"/>
          <w:rtl/>
        </w:rPr>
        <w:footnoteReference w:id="1263"/>
      </w:r>
      <w:r w:rsidRPr="003024E5">
        <w:rPr>
          <w:rFonts w:asciiTheme="minorBidi" w:hAnsiTheme="minorBidi"/>
          <w:sz w:val="18"/>
          <w:szCs w:val="18"/>
          <w:rtl/>
        </w:rPr>
        <w:t xml:space="preserve"> (רש"י והפוסקים), וה"ה לטגן אפילו בלא בשר (ב"י</w:t>
      </w:r>
      <w:r w:rsidRPr="003024E5">
        <w:rPr>
          <w:rStyle w:val="a7"/>
          <w:rFonts w:asciiTheme="minorBidi" w:hAnsiTheme="minorBidi"/>
          <w:sz w:val="18"/>
          <w:szCs w:val="18"/>
          <w:rtl/>
        </w:rPr>
        <w:footnoteReference w:id="1264"/>
      </w:r>
      <w:r w:rsidRPr="003024E5">
        <w:rPr>
          <w:rFonts w:asciiTheme="minorBidi" w:hAnsiTheme="minorBidi"/>
          <w:sz w:val="18"/>
          <w:szCs w:val="18"/>
          <w:rtl/>
        </w:rPr>
        <w:t>), ואפילו נתייבש הכחל (או"ה). ואם עבר ובשלו בקדירה לבדו בדיעבד מותר</w:t>
      </w:r>
      <w:r w:rsidRPr="003024E5">
        <w:rPr>
          <w:rStyle w:val="a7"/>
          <w:rFonts w:asciiTheme="minorBidi" w:hAnsiTheme="minorBidi"/>
          <w:sz w:val="18"/>
          <w:szCs w:val="18"/>
          <w:rtl/>
        </w:rPr>
        <w:footnoteReference w:id="1265"/>
      </w:r>
      <w:r w:rsidRPr="003024E5">
        <w:rPr>
          <w:rFonts w:asciiTheme="minorBidi" w:hAnsiTheme="minorBidi"/>
          <w:sz w:val="18"/>
          <w:szCs w:val="18"/>
          <w:rtl/>
        </w:rPr>
        <w:t xml:space="preserve"> אם נקרע שתי וערב וטחו בכותל</w:t>
      </w:r>
      <w:r w:rsidRPr="003024E5">
        <w:rPr>
          <w:rStyle w:val="a7"/>
          <w:rFonts w:asciiTheme="minorBidi" w:hAnsiTheme="minorBidi"/>
          <w:sz w:val="18"/>
          <w:szCs w:val="18"/>
          <w:rtl/>
        </w:rPr>
        <w:footnoteReference w:id="1266"/>
      </w:r>
      <w:r w:rsidRPr="003024E5">
        <w:rPr>
          <w:rFonts w:asciiTheme="minorBidi" w:hAnsiTheme="minorBidi"/>
          <w:sz w:val="18"/>
          <w:szCs w:val="18"/>
          <w:rtl/>
        </w:rPr>
        <w:t xml:space="preserve"> (רש"י וראב"ן ושע"ד ומרדכי וע"פ). מיהו אם נתייבש, דהיינו לאחר שלשים יום</w:t>
      </w:r>
      <w:r w:rsidRPr="003024E5">
        <w:rPr>
          <w:rStyle w:val="a7"/>
          <w:rFonts w:asciiTheme="minorBidi" w:hAnsiTheme="minorBidi"/>
          <w:sz w:val="18"/>
          <w:szCs w:val="18"/>
          <w:rtl/>
        </w:rPr>
        <w:footnoteReference w:id="1267"/>
      </w:r>
      <w:r w:rsidRPr="003024E5">
        <w:rPr>
          <w:rFonts w:asciiTheme="minorBidi" w:hAnsiTheme="minorBidi"/>
          <w:sz w:val="18"/>
          <w:szCs w:val="18"/>
          <w:rtl/>
        </w:rPr>
        <w:t>, אם עבר ובשלו אפילו עם בשר מותר בדיעבד</w:t>
      </w:r>
      <w:r w:rsidRPr="003024E5">
        <w:rPr>
          <w:rStyle w:val="a7"/>
          <w:rFonts w:asciiTheme="minorBidi" w:hAnsiTheme="minorBidi"/>
          <w:sz w:val="18"/>
          <w:szCs w:val="18"/>
          <w:rtl/>
        </w:rPr>
        <w:footnoteReference w:id="1268"/>
      </w:r>
      <w:r w:rsidRPr="003024E5">
        <w:rPr>
          <w:rFonts w:asciiTheme="minorBidi" w:hAnsiTheme="minorBidi"/>
          <w:sz w:val="18"/>
          <w:szCs w:val="18"/>
          <w:rtl/>
        </w:rPr>
        <w:t xml:space="preserve"> (שע"ד והגשע"ד והר' יחיאל). ולעשות פשטיד</w:t>
      </w:r>
      <w:r>
        <w:rPr>
          <w:rFonts w:asciiTheme="minorBidi" w:hAnsiTheme="minorBidi" w:hint="cs"/>
          <w:sz w:val="18"/>
          <w:szCs w:val="18"/>
          <w:rtl/>
        </w:rPr>
        <w:t>"</w:t>
      </w:r>
      <w:r w:rsidRPr="003024E5">
        <w:rPr>
          <w:rFonts w:asciiTheme="minorBidi" w:hAnsiTheme="minorBidi"/>
          <w:sz w:val="18"/>
          <w:szCs w:val="18"/>
          <w:rtl/>
        </w:rPr>
        <w:t>א מן הכחל בלא בשר נהגו בו היתר אם אין אופין הפשטיד"א במחבת</w:t>
      </w:r>
      <w:r w:rsidRPr="003024E5">
        <w:rPr>
          <w:rStyle w:val="a7"/>
          <w:rFonts w:asciiTheme="minorBidi" w:hAnsiTheme="minorBidi"/>
          <w:sz w:val="18"/>
          <w:szCs w:val="18"/>
          <w:rtl/>
        </w:rPr>
        <w:footnoteReference w:id="1269"/>
      </w:r>
      <w:r w:rsidRPr="003024E5">
        <w:rPr>
          <w:rFonts w:asciiTheme="minorBidi" w:hAnsiTheme="minorBidi"/>
          <w:sz w:val="18"/>
          <w:szCs w:val="18"/>
          <w:rtl/>
        </w:rPr>
        <w:t>, אבל במחבת דינו כמו בשול בקדירה (מהרא"י בהג"ה וארוך כלל י"ח). ויש פרושים המחמירים בכל פשטיד"א אם לא נתייבש הכחל תחלה. יש מחמירין שלא לאפות פשטיד"א כחל עם של בשר בתנור קטן, רק יש להניח אחד בפי התנור (תרוה"ד סי' קפב), וטוב ליזהר לכתחלה כי אינו אלא חומרא בעלמא (ב"י וארוך).</w:t>
      </w:r>
      <w:r w:rsidRPr="003024E5">
        <w:rPr>
          <w:rFonts w:asciiTheme="minorBidi" w:hAnsiTheme="minorBidi"/>
          <w:rtl/>
        </w:rPr>
        <w:t xml:space="preserve"> </w:t>
      </w:r>
    </w:p>
    <w:p w14:paraId="46CAC425" w14:textId="77777777" w:rsidR="002C39F4" w:rsidRPr="003024E5" w:rsidRDefault="002C39F4" w:rsidP="002C39F4">
      <w:pPr>
        <w:rPr>
          <w:rFonts w:asciiTheme="minorBidi" w:hAnsiTheme="minorBidi"/>
          <w:rtl/>
        </w:rPr>
      </w:pPr>
    </w:p>
    <w:p w14:paraId="6BD3A484" w14:textId="77777777" w:rsidR="002C39F4" w:rsidRPr="003024E5" w:rsidRDefault="002C39F4" w:rsidP="002C39F4">
      <w:pPr>
        <w:pStyle w:val="2"/>
        <w:rPr>
          <w:rFonts w:asciiTheme="minorBidi" w:hAnsiTheme="minorBidi"/>
          <w:rtl/>
        </w:rPr>
      </w:pPr>
      <w:r w:rsidRPr="003024E5">
        <w:rPr>
          <w:rFonts w:asciiTheme="minorBidi" w:hAnsiTheme="minorBidi"/>
          <w:rtl/>
        </w:rPr>
        <w:t xml:space="preserve">סעיף ג: חתיכת כחל בסכין שחתך בה בשר </w:t>
      </w:r>
      <w:r w:rsidRPr="003024E5">
        <w:rPr>
          <w:rFonts w:asciiTheme="minorBidi" w:hAnsiTheme="minorBidi"/>
          <w:sz w:val="18"/>
          <w:szCs w:val="18"/>
          <w:rtl/>
        </w:rPr>
        <w:t>(וכן להיפך)</w:t>
      </w:r>
      <w:r w:rsidRPr="003024E5">
        <w:rPr>
          <w:rFonts w:asciiTheme="minorBidi" w:hAnsiTheme="minorBidi"/>
          <w:rtl/>
        </w:rPr>
        <w:t>, ונתינת</w:t>
      </w:r>
      <w:r>
        <w:rPr>
          <w:rFonts w:asciiTheme="minorBidi" w:hAnsiTheme="minorBidi" w:hint="cs"/>
          <w:rtl/>
        </w:rPr>
        <w:t xml:space="preserve"> כחל</w:t>
      </w:r>
      <w:r w:rsidRPr="003024E5">
        <w:rPr>
          <w:rFonts w:asciiTheme="minorBidi" w:hAnsiTheme="minorBidi"/>
          <w:rtl/>
        </w:rPr>
        <w:t xml:space="preserve"> בכלי של בשר.</w:t>
      </w:r>
    </w:p>
    <w:p w14:paraId="315B5D6E" w14:textId="77777777" w:rsidR="002C39F4" w:rsidRPr="003024E5" w:rsidRDefault="002C39F4" w:rsidP="002C39F4">
      <w:pPr>
        <w:rPr>
          <w:rFonts w:asciiTheme="minorBidi" w:hAnsiTheme="minorBidi"/>
          <w:rtl/>
        </w:rPr>
      </w:pPr>
      <w:r w:rsidRPr="003024E5">
        <w:rPr>
          <w:rFonts w:asciiTheme="minorBidi" w:hAnsiTheme="minorBidi"/>
          <w:b/>
          <w:bCs/>
          <w:rtl/>
        </w:rPr>
        <w:t xml:space="preserve">חולין קיא ע"א: </w:t>
      </w:r>
      <w:r w:rsidRPr="003024E5">
        <w:rPr>
          <w:rFonts w:asciiTheme="minorBidi" w:hAnsiTheme="minorBidi"/>
          <w:u w:val="single"/>
          <w:rtl/>
        </w:rPr>
        <w:t>דרש מרימר</w:t>
      </w:r>
      <w:r w:rsidRPr="003024E5">
        <w:rPr>
          <w:rFonts w:asciiTheme="minorBidi" w:hAnsiTheme="minorBidi"/>
          <w:rtl/>
        </w:rPr>
        <w:t>: הלכתא בין כבדא בין כחלא, תותי בשרא</w:t>
      </w:r>
      <w:r>
        <w:rPr>
          <w:rFonts w:asciiTheme="minorBidi" w:hAnsiTheme="minorBidi" w:hint="cs"/>
          <w:rtl/>
        </w:rPr>
        <w:t xml:space="preserve"> </w:t>
      </w:r>
      <w:r w:rsidRPr="003024E5">
        <w:rPr>
          <w:rFonts w:asciiTheme="minorBidi" w:hAnsiTheme="minorBidi"/>
          <w:rtl/>
        </w:rPr>
        <w:t>- שרי</w:t>
      </w:r>
      <w:r>
        <w:rPr>
          <w:rStyle w:val="a7"/>
          <w:rFonts w:asciiTheme="minorBidi" w:hAnsiTheme="minorBidi"/>
          <w:rtl/>
        </w:rPr>
        <w:footnoteReference w:id="1270"/>
      </w:r>
      <w:r w:rsidRPr="003024E5">
        <w:rPr>
          <w:rFonts w:asciiTheme="minorBidi" w:hAnsiTheme="minorBidi"/>
          <w:rtl/>
        </w:rPr>
        <w:t>, עילוי בשרא</w:t>
      </w:r>
      <w:r>
        <w:rPr>
          <w:rFonts w:asciiTheme="minorBidi" w:hAnsiTheme="minorBidi" w:hint="cs"/>
          <w:rtl/>
        </w:rPr>
        <w:t xml:space="preserve"> </w:t>
      </w:r>
      <w:r w:rsidRPr="003024E5">
        <w:rPr>
          <w:rFonts w:asciiTheme="minorBidi" w:hAnsiTheme="minorBidi"/>
          <w:rtl/>
        </w:rPr>
        <w:t xml:space="preserve">- דיעבד אין, לכתחלה לא. </w:t>
      </w:r>
    </w:p>
    <w:p w14:paraId="191C1A02" w14:textId="77777777" w:rsidR="002C39F4" w:rsidRPr="003024E5" w:rsidRDefault="002C39F4" w:rsidP="002C39F4">
      <w:pPr>
        <w:rPr>
          <w:rFonts w:asciiTheme="minorBidi" w:hAnsiTheme="minorBidi"/>
          <w:sz w:val="16"/>
          <w:szCs w:val="16"/>
          <w:rtl/>
        </w:rPr>
      </w:pPr>
      <w:r w:rsidRPr="003024E5">
        <w:rPr>
          <w:rFonts w:asciiTheme="minorBidi" w:hAnsiTheme="minorBidi"/>
          <w:u w:val="single"/>
          <w:rtl/>
        </w:rPr>
        <w:t xml:space="preserve">צליית "כחלא תותי בשרא שרי עילוי בשרא דיעבד אין לכתחלה לא"- באיזה כחל מדובר </w:t>
      </w:r>
      <w:r w:rsidRPr="003024E5">
        <w:rPr>
          <w:rFonts w:asciiTheme="minorBidi" w:hAnsiTheme="minorBidi"/>
          <w:sz w:val="16"/>
          <w:szCs w:val="16"/>
          <w:u w:val="single"/>
          <w:rtl/>
        </w:rPr>
        <w:t>(שקרעו או לא)</w:t>
      </w:r>
      <w:r w:rsidRPr="003024E5">
        <w:rPr>
          <w:rFonts w:asciiTheme="minorBidi" w:hAnsiTheme="minorBidi"/>
          <w:u w:val="single"/>
          <w:rtl/>
        </w:rPr>
        <w:t>:</w:t>
      </w:r>
      <w:r w:rsidRPr="003024E5">
        <w:rPr>
          <w:rFonts w:asciiTheme="minorBidi" w:hAnsiTheme="minorBidi"/>
          <w:sz w:val="16"/>
          <w:szCs w:val="16"/>
          <w:rtl/>
        </w:rPr>
        <w:t xml:space="preserve">  (ב"י ודרכ"מ [אות י])</w:t>
      </w:r>
    </w:p>
    <w:p w14:paraId="661E786B" w14:textId="77777777" w:rsidR="002C39F4" w:rsidRPr="003024E5" w:rsidRDefault="002C39F4" w:rsidP="0032102C">
      <w:pPr>
        <w:pStyle w:val="a8"/>
        <w:numPr>
          <w:ilvl w:val="0"/>
          <w:numId w:val="162"/>
        </w:numPr>
        <w:rPr>
          <w:rFonts w:asciiTheme="minorBidi" w:hAnsiTheme="minorBidi"/>
          <w:rtl/>
        </w:rPr>
      </w:pPr>
      <w:r w:rsidRPr="003024E5">
        <w:rPr>
          <w:rFonts w:asciiTheme="minorBidi" w:hAnsiTheme="minorBidi"/>
          <w:rtl/>
        </w:rPr>
        <w:t xml:space="preserve">תוס' </w:t>
      </w:r>
      <w:r w:rsidRPr="003024E5">
        <w:rPr>
          <w:rFonts w:asciiTheme="minorBidi" w:hAnsiTheme="minorBidi"/>
          <w:sz w:val="16"/>
          <w:szCs w:val="16"/>
          <w:rtl/>
        </w:rPr>
        <w:t xml:space="preserve">(קיא. ד"ה תותי בשרא) </w:t>
      </w:r>
      <w:r w:rsidRPr="003024E5">
        <w:rPr>
          <w:rFonts w:asciiTheme="minorBidi" w:hAnsiTheme="minorBidi"/>
          <w:rtl/>
        </w:rPr>
        <w:t xml:space="preserve">ורא"ש </w:t>
      </w:r>
      <w:r w:rsidRPr="003024E5">
        <w:rPr>
          <w:rFonts w:asciiTheme="minorBidi" w:hAnsiTheme="minorBidi"/>
          <w:sz w:val="16"/>
          <w:szCs w:val="16"/>
          <w:rtl/>
        </w:rPr>
        <w:t>(סו"ס כז)</w:t>
      </w:r>
      <w:r w:rsidRPr="003024E5">
        <w:rPr>
          <w:rFonts w:asciiTheme="minorBidi" w:hAnsiTheme="minorBidi"/>
          <w:rtl/>
        </w:rPr>
        <w:t xml:space="preserve">- </w:t>
      </w:r>
      <w:r w:rsidRPr="003024E5">
        <w:rPr>
          <w:rStyle w:val="a7"/>
          <w:rFonts w:asciiTheme="minorBidi" w:hAnsiTheme="minorBidi"/>
          <w:rtl/>
        </w:rPr>
        <w:footnoteReference w:id="1271"/>
      </w:r>
      <w:r w:rsidRPr="003024E5">
        <w:rPr>
          <w:rFonts w:asciiTheme="minorBidi" w:hAnsiTheme="minorBidi"/>
          <w:rtl/>
        </w:rPr>
        <w:t xml:space="preserve">מיירי בכחל שקרעו ואעפ"כ </w:t>
      </w:r>
      <w:r>
        <w:rPr>
          <w:rFonts w:asciiTheme="minorBidi" w:hAnsiTheme="minorBidi" w:hint="cs"/>
          <w:rtl/>
        </w:rPr>
        <w:t>אסור עילוי בשרא משום ד</w:t>
      </w:r>
      <w:r w:rsidRPr="003024E5">
        <w:rPr>
          <w:rFonts w:asciiTheme="minorBidi" w:hAnsiTheme="minorBidi"/>
          <w:rtl/>
        </w:rPr>
        <w:t>הכא גרע טפי דאע"פ שקרעו עדיין נוטף החלב מן הכחל על הבשר וניכר שהוא בעין</w:t>
      </w:r>
      <w:r>
        <w:rPr>
          <w:rStyle w:val="a7"/>
          <w:rFonts w:asciiTheme="minorBidi" w:hAnsiTheme="minorBidi"/>
          <w:rtl/>
        </w:rPr>
        <w:footnoteReference w:id="1272"/>
      </w:r>
      <w:r w:rsidRPr="003024E5">
        <w:rPr>
          <w:rFonts w:asciiTheme="minorBidi" w:hAnsiTheme="minorBidi"/>
          <w:rtl/>
        </w:rPr>
        <w:t>.</w:t>
      </w:r>
      <w:r>
        <w:rPr>
          <w:rFonts w:asciiTheme="minorBidi" w:hAnsiTheme="minorBidi" w:hint="cs"/>
          <w:rtl/>
        </w:rPr>
        <w:t xml:space="preserve"> </w:t>
      </w:r>
      <w:r w:rsidRPr="0099281F">
        <w:rPr>
          <w:rFonts w:asciiTheme="minorBidi" w:hAnsiTheme="minorBidi" w:hint="cs"/>
          <w:color w:val="00B0F0"/>
          <w:rtl/>
        </w:rPr>
        <w:t>(וכ"פ הרמ"א</w:t>
      </w:r>
      <w:r>
        <w:rPr>
          <w:rFonts w:asciiTheme="minorBidi" w:hAnsiTheme="minorBidi" w:hint="cs"/>
          <w:color w:val="00B0F0"/>
          <w:sz w:val="16"/>
          <w:szCs w:val="16"/>
          <w:rtl/>
        </w:rPr>
        <w:t xml:space="preserve"> </w:t>
      </w:r>
      <w:r>
        <w:rPr>
          <w:rFonts w:asciiTheme="minorBidi" w:hAnsiTheme="minorBidi" w:hint="cs"/>
          <w:color w:val="000000" w:themeColor="text1"/>
          <w:sz w:val="16"/>
          <w:szCs w:val="16"/>
          <w:rtl/>
        </w:rPr>
        <w:t>[סע' ב]</w:t>
      </w:r>
      <w:r w:rsidRPr="0099281F">
        <w:rPr>
          <w:rFonts w:asciiTheme="minorBidi" w:hAnsiTheme="minorBidi" w:hint="cs"/>
          <w:color w:val="00B0F0"/>
          <w:rtl/>
        </w:rPr>
        <w:t>)</w:t>
      </w:r>
    </w:p>
    <w:p w14:paraId="39FE9BD4" w14:textId="77777777" w:rsidR="002C39F4" w:rsidRDefault="002C39F4" w:rsidP="0032102C">
      <w:pPr>
        <w:pStyle w:val="a8"/>
        <w:numPr>
          <w:ilvl w:val="0"/>
          <w:numId w:val="162"/>
        </w:numPr>
        <w:rPr>
          <w:rFonts w:asciiTheme="minorBidi" w:hAnsiTheme="minorBidi"/>
        </w:rPr>
      </w:pPr>
      <w:r w:rsidRPr="003024E5">
        <w:rPr>
          <w:rFonts w:asciiTheme="minorBidi" w:hAnsiTheme="minorBidi"/>
          <w:rtl/>
        </w:rPr>
        <w:t xml:space="preserve">רשב"א </w:t>
      </w:r>
      <w:r w:rsidRPr="003024E5">
        <w:rPr>
          <w:rFonts w:asciiTheme="minorBidi" w:hAnsiTheme="minorBidi"/>
          <w:sz w:val="16"/>
          <w:szCs w:val="16"/>
          <w:rtl/>
        </w:rPr>
        <w:t>(חידו' קט: ד"ה והכחל)</w:t>
      </w:r>
      <w:r>
        <w:rPr>
          <w:rFonts w:asciiTheme="minorBidi" w:hAnsiTheme="minorBidi" w:hint="cs"/>
          <w:rtl/>
        </w:rPr>
        <w:t xml:space="preserve"> ור"ן</w:t>
      </w:r>
      <w:r>
        <w:rPr>
          <w:rFonts w:asciiTheme="minorBidi" w:hAnsiTheme="minorBidi" w:hint="cs"/>
          <w:sz w:val="16"/>
          <w:szCs w:val="16"/>
          <w:rtl/>
        </w:rPr>
        <w:t xml:space="preserve"> </w:t>
      </w:r>
      <w:r w:rsidRPr="007354E7">
        <w:rPr>
          <w:rFonts w:asciiTheme="minorBidi" w:hAnsiTheme="minorBidi"/>
          <w:sz w:val="16"/>
          <w:szCs w:val="16"/>
          <w:rtl/>
        </w:rPr>
        <w:t>(מ. ד"ה דרש מרימר)</w:t>
      </w:r>
      <w:r w:rsidRPr="003024E5">
        <w:rPr>
          <w:rFonts w:asciiTheme="minorBidi" w:hAnsiTheme="minorBidi"/>
          <w:rtl/>
        </w:rPr>
        <w:t>- בלא קרעו מיירי שאילו קרעו כהלכתו עילוי בישרא נמי שרי.</w:t>
      </w:r>
    </w:p>
    <w:p w14:paraId="77ACF0A0" w14:textId="77777777" w:rsidR="002C39F4" w:rsidRPr="003024E5" w:rsidRDefault="002C39F4" w:rsidP="0032102C">
      <w:pPr>
        <w:pStyle w:val="a8"/>
        <w:numPr>
          <w:ilvl w:val="1"/>
          <w:numId w:val="162"/>
        </w:numPr>
        <w:rPr>
          <w:rFonts w:asciiTheme="minorBidi" w:hAnsiTheme="minorBidi"/>
          <w:rtl/>
        </w:rPr>
      </w:pPr>
      <w:r>
        <w:rPr>
          <w:rFonts w:cs="Arial" w:hint="cs"/>
          <w:rtl/>
        </w:rPr>
        <w:t xml:space="preserve">ב"י- </w:t>
      </w:r>
      <w:r w:rsidRPr="00491C13">
        <w:rPr>
          <w:rFonts w:cs="Arial"/>
          <w:rtl/>
        </w:rPr>
        <w:t xml:space="preserve">רש"י </w:t>
      </w:r>
      <w:r w:rsidRPr="00D244ED">
        <w:rPr>
          <w:rFonts w:cs="Arial"/>
          <w:sz w:val="14"/>
          <w:szCs w:val="14"/>
          <w:rtl/>
        </w:rPr>
        <w:t>(</w:t>
      </w:r>
      <w:r>
        <w:rPr>
          <w:rFonts w:cs="Arial" w:hint="cs"/>
          <w:sz w:val="14"/>
          <w:szCs w:val="14"/>
          <w:rtl/>
        </w:rPr>
        <w:t xml:space="preserve">קיא. </w:t>
      </w:r>
      <w:r w:rsidRPr="00D244ED">
        <w:rPr>
          <w:rFonts w:cs="Arial"/>
          <w:sz w:val="14"/>
          <w:szCs w:val="14"/>
          <w:rtl/>
        </w:rPr>
        <w:t>ד"ה הלכתא)</w:t>
      </w:r>
      <w:r w:rsidRPr="00491C13">
        <w:rPr>
          <w:rFonts w:cs="Arial"/>
          <w:sz w:val="16"/>
          <w:szCs w:val="16"/>
          <w:rtl/>
        </w:rPr>
        <w:t xml:space="preserve"> </w:t>
      </w:r>
      <w:r>
        <w:rPr>
          <w:rFonts w:cs="Arial" w:hint="cs"/>
          <w:rtl/>
        </w:rPr>
        <w:t>כ' ד</w:t>
      </w:r>
      <w:r>
        <w:rPr>
          <w:rFonts w:cs="Arial"/>
          <w:rtl/>
        </w:rPr>
        <w:t>לדידן אסור לגמרי לכתח</w:t>
      </w:r>
      <w:r>
        <w:rPr>
          <w:rFonts w:cs="Arial" w:hint="cs"/>
          <w:rtl/>
        </w:rPr>
        <w:t>לה</w:t>
      </w:r>
      <w:r w:rsidRPr="00491C13">
        <w:rPr>
          <w:rFonts w:cs="Arial"/>
          <w:rtl/>
        </w:rPr>
        <w:t xml:space="preserve"> לפי ששפודים שלנו אינם תלויים אלא שוכבים ופעמים שמרים זנב השפוד ונמצא התחתון עליון ופעמים שמשפילו ונמצא שחבירו עליון הילכך בין שהכבד לצד הראש בין שהוא לצד הזנב אסור</w:t>
      </w:r>
      <w:r w:rsidRPr="00491C13">
        <w:rPr>
          <w:rFonts w:cs="Arial" w:hint="cs"/>
          <w:rtl/>
        </w:rPr>
        <w:t>,</w:t>
      </w:r>
      <w:r>
        <w:rPr>
          <w:rFonts w:cs="Arial"/>
          <w:rtl/>
        </w:rPr>
        <w:t xml:space="preserve"> וכתבוהו הרא"ש </w:t>
      </w:r>
      <w:r w:rsidRPr="00491C13">
        <w:rPr>
          <w:rFonts w:cs="Arial"/>
          <w:rtl/>
        </w:rPr>
        <w:t>הרשב"א והר"</w:t>
      </w:r>
      <w:r>
        <w:rPr>
          <w:rFonts w:cs="Arial" w:hint="cs"/>
          <w:rtl/>
        </w:rPr>
        <w:t>ן</w:t>
      </w:r>
      <w:r>
        <w:rPr>
          <w:rStyle w:val="a7"/>
          <w:rFonts w:cs="Arial"/>
          <w:rtl/>
        </w:rPr>
        <w:footnoteReference w:id="1273"/>
      </w:r>
      <w:r w:rsidRPr="00491C13">
        <w:rPr>
          <w:rFonts w:cs="Arial" w:hint="cs"/>
          <w:rtl/>
        </w:rPr>
        <w:t>.</w:t>
      </w:r>
    </w:p>
    <w:p w14:paraId="40981772" w14:textId="77777777" w:rsidR="002C39F4" w:rsidRPr="003024E5" w:rsidRDefault="002C39F4" w:rsidP="002C39F4">
      <w:pPr>
        <w:rPr>
          <w:rFonts w:asciiTheme="minorBidi" w:hAnsiTheme="minorBidi"/>
          <w:u w:val="single"/>
          <w:rtl/>
        </w:rPr>
      </w:pPr>
      <w:r>
        <w:rPr>
          <w:rFonts w:asciiTheme="minorBidi" w:hAnsiTheme="minorBidi" w:hint="cs"/>
          <w:u w:val="single"/>
          <w:rtl/>
        </w:rPr>
        <w:t>דין כחל לאחר צלייתו:</w:t>
      </w:r>
    </w:p>
    <w:p w14:paraId="25C84ADB" w14:textId="77777777" w:rsidR="002C39F4" w:rsidRDefault="002C39F4" w:rsidP="0032102C">
      <w:pPr>
        <w:pStyle w:val="a8"/>
        <w:numPr>
          <w:ilvl w:val="0"/>
          <w:numId w:val="162"/>
        </w:numPr>
        <w:rPr>
          <w:rFonts w:asciiTheme="minorBidi" w:hAnsiTheme="minorBidi"/>
        </w:rPr>
      </w:pPr>
      <w:r w:rsidRPr="003024E5">
        <w:rPr>
          <w:rFonts w:asciiTheme="minorBidi" w:hAnsiTheme="minorBidi"/>
          <w:rtl/>
        </w:rPr>
        <w:t xml:space="preserve">תוס' </w:t>
      </w:r>
      <w:r w:rsidRPr="003024E5">
        <w:rPr>
          <w:rFonts w:asciiTheme="minorBidi" w:hAnsiTheme="minorBidi"/>
          <w:sz w:val="16"/>
          <w:szCs w:val="16"/>
          <w:rtl/>
        </w:rPr>
        <w:t>(ד"ה תותי בשרא)</w:t>
      </w:r>
      <w:r>
        <w:rPr>
          <w:rFonts w:asciiTheme="minorBidi" w:hAnsiTheme="minorBidi" w:hint="cs"/>
          <w:rtl/>
        </w:rPr>
        <w:t xml:space="preserve"> </w:t>
      </w:r>
      <w:r w:rsidRPr="003024E5">
        <w:rPr>
          <w:rFonts w:asciiTheme="minorBidi" w:hAnsiTheme="minorBidi"/>
          <w:rtl/>
        </w:rPr>
        <w:t xml:space="preserve">רא"ש </w:t>
      </w:r>
      <w:r w:rsidRPr="003024E5">
        <w:rPr>
          <w:rFonts w:asciiTheme="minorBidi" w:hAnsiTheme="minorBidi"/>
          <w:sz w:val="16"/>
          <w:szCs w:val="16"/>
          <w:rtl/>
        </w:rPr>
        <w:t>(סו"ס כז)</w:t>
      </w:r>
      <w:r>
        <w:rPr>
          <w:rFonts w:asciiTheme="minorBidi" w:hAnsiTheme="minorBidi" w:hint="cs"/>
          <w:rtl/>
        </w:rPr>
        <w:t xml:space="preserve"> </w:t>
      </w:r>
      <w:r>
        <w:rPr>
          <w:rFonts w:hint="cs"/>
          <w:rtl/>
        </w:rPr>
        <w:t>ר"ן</w:t>
      </w:r>
      <w:r w:rsidRPr="00C61DD5">
        <w:rPr>
          <w:rStyle w:val="a7"/>
          <w:rFonts w:asciiTheme="minorBidi" w:hAnsiTheme="minorBidi"/>
          <w:rtl/>
        </w:rPr>
        <w:footnoteReference w:id="1274"/>
      </w:r>
      <w:r w:rsidRPr="003024E5">
        <w:rPr>
          <w:rFonts w:asciiTheme="minorBidi" w:hAnsiTheme="minorBidi"/>
          <w:rtl/>
        </w:rPr>
        <w:t xml:space="preserve"> </w:t>
      </w:r>
      <w:r w:rsidRPr="007354E7">
        <w:rPr>
          <w:rFonts w:asciiTheme="minorBidi" w:hAnsiTheme="minorBidi"/>
          <w:sz w:val="16"/>
          <w:szCs w:val="16"/>
          <w:rtl/>
        </w:rPr>
        <w:t>(</w:t>
      </w:r>
      <w:r>
        <w:rPr>
          <w:rFonts w:asciiTheme="minorBidi" w:hAnsiTheme="minorBidi" w:hint="cs"/>
          <w:sz w:val="16"/>
          <w:szCs w:val="16"/>
          <w:rtl/>
        </w:rPr>
        <w:t>שם</w:t>
      </w:r>
      <w:r w:rsidRPr="007354E7">
        <w:rPr>
          <w:rFonts w:asciiTheme="minorBidi" w:hAnsiTheme="minorBidi"/>
          <w:sz w:val="16"/>
          <w:szCs w:val="16"/>
          <w:rtl/>
        </w:rPr>
        <w:t>)</w:t>
      </w:r>
      <w:r w:rsidRPr="000C6A05">
        <w:rPr>
          <w:rFonts w:asciiTheme="minorBidi" w:hAnsiTheme="minorBidi"/>
          <w:rtl/>
        </w:rPr>
        <w:t xml:space="preserve"> </w:t>
      </w:r>
      <w:r>
        <w:rPr>
          <w:rFonts w:asciiTheme="minorBidi" w:hAnsiTheme="minorBidi"/>
          <w:rtl/>
        </w:rPr>
        <w:t>ו</w:t>
      </w:r>
      <w:r>
        <w:rPr>
          <w:rFonts w:asciiTheme="minorBidi" w:hAnsiTheme="minorBidi" w:hint="cs"/>
          <w:rtl/>
        </w:rPr>
        <w:t>או</w:t>
      </w:r>
      <w:r>
        <w:rPr>
          <w:rFonts w:asciiTheme="minorBidi" w:hAnsiTheme="minorBidi"/>
          <w:rtl/>
        </w:rPr>
        <w:t>"</w:t>
      </w:r>
      <w:r>
        <w:rPr>
          <w:rFonts w:asciiTheme="minorBidi" w:hAnsiTheme="minorBidi" w:hint="cs"/>
          <w:rtl/>
        </w:rPr>
        <w:t>ה</w:t>
      </w:r>
      <w:r>
        <w:rPr>
          <w:rFonts w:asciiTheme="minorBidi" w:hAnsiTheme="minorBidi"/>
          <w:rtl/>
        </w:rPr>
        <w:t xml:space="preserve"> </w:t>
      </w:r>
      <w:r w:rsidRPr="000C6A05">
        <w:rPr>
          <w:rFonts w:asciiTheme="minorBidi" w:hAnsiTheme="minorBidi" w:hint="cs"/>
          <w:sz w:val="16"/>
          <w:szCs w:val="16"/>
          <w:rtl/>
        </w:rPr>
        <w:t>(</w:t>
      </w:r>
      <w:r w:rsidRPr="000C6A05">
        <w:rPr>
          <w:rFonts w:asciiTheme="minorBidi" w:hAnsiTheme="minorBidi"/>
          <w:sz w:val="16"/>
          <w:szCs w:val="16"/>
          <w:rtl/>
        </w:rPr>
        <w:t xml:space="preserve">כלל יח </w:t>
      </w:r>
      <w:r>
        <w:rPr>
          <w:rFonts w:asciiTheme="minorBidi" w:hAnsiTheme="minorBidi"/>
          <w:sz w:val="16"/>
          <w:szCs w:val="16"/>
          <w:rtl/>
        </w:rPr>
        <w:t>ד</w:t>
      </w:r>
      <w:r w:rsidRPr="000C6A05">
        <w:rPr>
          <w:rFonts w:asciiTheme="minorBidi" w:hAnsiTheme="minorBidi"/>
          <w:sz w:val="16"/>
          <w:szCs w:val="16"/>
          <w:rtl/>
        </w:rPr>
        <w:t>י</w:t>
      </w:r>
      <w:r>
        <w:rPr>
          <w:rFonts w:asciiTheme="minorBidi" w:hAnsiTheme="minorBidi" w:hint="cs"/>
          <w:sz w:val="16"/>
          <w:szCs w:val="16"/>
          <w:rtl/>
        </w:rPr>
        <w:t>"</w:t>
      </w:r>
      <w:r w:rsidRPr="000C6A05">
        <w:rPr>
          <w:rFonts w:asciiTheme="minorBidi" w:hAnsiTheme="minorBidi"/>
          <w:sz w:val="16"/>
          <w:szCs w:val="16"/>
          <w:rtl/>
        </w:rPr>
        <w:t>ב-יג)</w:t>
      </w:r>
      <w:r>
        <w:rPr>
          <w:rFonts w:asciiTheme="minorBidi" w:hAnsiTheme="minorBidi" w:hint="cs"/>
          <w:rtl/>
        </w:rPr>
        <w:t xml:space="preserve">- </w:t>
      </w:r>
      <w:r w:rsidRPr="00F2794C">
        <w:rPr>
          <w:rFonts w:asciiTheme="minorBidi" w:hAnsiTheme="minorBidi" w:cs="Arial"/>
          <w:rtl/>
        </w:rPr>
        <w:t>יש ללמוד מכאן היתר פשוט ד</w:t>
      </w:r>
      <w:r w:rsidRPr="003024E5">
        <w:rPr>
          <w:rFonts w:asciiTheme="minorBidi" w:hAnsiTheme="minorBidi"/>
          <w:rtl/>
        </w:rPr>
        <w:t>היכא שקרעו שתי וערב</w:t>
      </w:r>
      <w:r>
        <w:rPr>
          <w:rStyle w:val="a7"/>
          <w:rFonts w:asciiTheme="minorBidi" w:hAnsiTheme="minorBidi"/>
          <w:rtl/>
        </w:rPr>
        <w:footnoteReference w:id="1275"/>
      </w:r>
      <w:r>
        <w:rPr>
          <w:rFonts w:asciiTheme="minorBidi" w:hAnsiTheme="minorBidi"/>
          <w:rtl/>
        </w:rPr>
        <w:t xml:space="preserve"> וטחו בכותל </w:t>
      </w:r>
      <w:r w:rsidRPr="003024E5">
        <w:rPr>
          <w:rFonts w:asciiTheme="minorBidi" w:hAnsiTheme="minorBidi"/>
          <w:rtl/>
        </w:rPr>
        <w:t>מותר לכתחלה</w:t>
      </w:r>
      <w:r w:rsidRPr="003024E5">
        <w:rPr>
          <w:rStyle w:val="a7"/>
          <w:rFonts w:asciiTheme="minorBidi" w:hAnsiTheme="minorBidi"/>
          <w:rtl/>
        </w:rPr>
        <w:footnoteReference w:id="1276"/>
      </w:r>
      <w:r w:rsidRPr="003024E5">
        <w:rPr>
          <w:rFonts w:asciiTheme="minorBidi" w:hAnsiTheme="minorBidi"/>
          <w:rtl/>
        </w:rPr>
        <w:t xml:space="preserve"> לחתכו בסכין של בשר</w:t>
      </w:r>
      <w:r>
        <w:rPr>
          <w:rFonts w:asciiTheme="minorBidi" w:hAnsiTheme="minorBidi" w:hint="cs"/>
          <w:rtl/>
        </w:rPr>
        <w:t>,</w:t>
      </w:r>
      <w:r w:rsidRPr="00F2794C">
        <w:rPr>
          <w:rtl/>
        </w:rPr>
        <w:t xml:space="preserve"> </w:t>
      </w:r>
      <w:r w:rsidRPr="00F2794C">
        <w:rPr>
          <w:rFonts w:asciiTheme="minorBidi" w:hAnsiTheme="minorBidi" w:cs="Arial"/>
          <w:rtl/>
        </w:rPr>
        <w:t>דאפילו בשפוד אחד שרי לכתחלה</w:t>
      </w:r>
      <w:r>
        <w:rPr>
          <w:rFonts w:asciiTheme="minorBidi" w:hAnsiTheme="minorBidi" w:cs="Arial" w:hint="cs"/>
          <w:sz w:val="16"/>
          <w:szCs w:val="16"/>
          <w:rtl/>
        </w:rPr>
        <w:t xml:space="preserve"> (ל' הרא"ש)</w:t>
      </w:r>
      <w:r>
        <w:rPr>
          <w:rFonts w:asciiTheme="minorBidi" w:hAnsiTheme="minorBidi" w:hint="cs"/>
          <w:rtl/>
        </w:rPr>
        <w:t xml:space="preserve">, ואפילו </w:t>
      </w:r>
      <w:r w:rsidRPr="00C61DD5">
        <w:rPr>
          <w:rFonts w:asciiTheme="minorBidi" w:hAnsiTheme="minorBidi"/>
          <w:rtl/>
        </w:rPr>
        <w:t>בלא קינוח והדחה</w:t>
      </w:r>
      <w:r>
        <w:rPr>
          <w:rFonts w:asciiTheme="minorBidi" w:hAnsiTheme="minorBidi" w:hint="cs"/>
          <w:rtl/>
        </w:rPr>
        <w:t>,</w:t>
      </w:r>
      <w:r w:rsidRPr="00435455">
        <w:rPr>
          <w:rFonts w:asciiTheme="minorBidi" w:hAnsiTheme="minorBidi" w:hint="cs"/>
          <w:rtl/>
        </w:rPr>
        <w:t xml:space="preserve"> </w:t>
      </w:r>
      <w:r>
        <w:rPr>
          <w:rFonts w:asciiTheme="minorBidi" w:hAnsiTheme="minorBidi" w:hint="cs"/>
          <w:rtl/>
        </w:rPr>
        <w:t xml:space="preserve">וכן מותר </w:t>
      </w:r>
      <w:r w:rsidRPr="00C61DD5">
        <w:rPr>
          <w:rFonts w:asciiTheme="minorBidi" w:hAnsiTheme="minorBidi"/>
          <w:rtl/>
        </w:rPr>
        <w:t>להניחו לאחר צלייתו אצל שאר בשר חם</w:t>
      </w:r>
      <w:r>
        <w:rPr>
          <w:rFonts w:asciiTheme="minorBidi" w:hAnsiTheme="minorBidi" w:hint="cs"/>
          <w:rtl/>
        </w:rPr>
        <w:t>,</w:t>
      </w:r>
      <w:r w:rsidRPr="00C61DD5">
        <w:rPr>
          <w:rFonts w:asciiTheme="minorBidi" w:hAnsiTheme="minorBidi"/>
          <w:rtl/>
        </w:rPr>
        <w:t xml:space="preserve"> דלאחר צלייתו יש לו כל דין שאר בשר בין לקולא בין לחומרא</w:t>
      </w:r>
      <w:r>
        <w:rPr>
          <w:rFonts w:asciiTheme="minorBidi" w:hAnsiTheme="minorBidi" w:hint="cs"/>
          <w:sz w:val="16"/>
          <w:szCs w:val="16"/>
          <w:rtl/>
        </w:rPr>
        <w:t xml:space="preserve"> (ל' או"ה)</w:t>
      </w:r>
      <w:r>
        <w:rPr>
          <w:rStyle w:val="a7"/>
          <w:rFonts w:asciiTheme="minorBidi" w:hAnsiTheme="minorBidi"/>
          <w:rtl/>
        </w:rPr>
        <w:footnoteReference w:id="1277"/>
      </w:r>
      <w:r>
        <w:rPr>
          <w:rFonts w:asciiTheme="minorBidi" w:hAnsiTheme="minorBidi" w:hint="cs"/>
          <w:rtl/>
        </w:rPr>
        <w:t>.</w:t>
      </w:r>
      <w:r w:rsidRPr="0099281F">
        <w:rPr>
          <w:rFonts w:asciiTheme="minorBidi" w:hAnsiTheme="minorBidi" w:hint="cs"/>
          <w:color w:val="00B0F0"/>
          <w:rtl/>
        </w:rPr>
        <w:t xml:space="preserve"> (וכ"פ הרמ"א)</w:t>
      </w:r>
    </w:p>
    <w:p w14:paraId="0FEC7041" w14:textId="77777777" w:rsidR="002C39F4" w:rsidRPr="003024E5" w:rsidRDefault="002C39F4" w:rsidP="0032102C">
      <w:pPr>
        <w:pStyle w:val="a8"/>
        <w:numPr>
          <w:ilvl w:val="0"/>
          <w:numId w:val="162"/>
        </w:numPr>
        <w:rPr>
          <w:rFonts w:asciiTheme="minorBidi" w:hAnsiTheme="minorBidi"/>
          <w:rtl/>
        </w:rPr>
      </w:pPr>
      <w:r w:rsidRPr="003024E5">
        <w:rPr>
          <w:rFonts w:asciiTheme="minorBidi" w:hAnsiTheme="minorBidi"/>
          <w:rtl/>
        </w:rPr>
        <w:t xml:space="preserve">רשב"א </w:t>
      </w:r>
      <w:r w:rsidRPr="003024E5">
        <w:rPr>
          <w:rFonts w:asciiTheme="minorBidi" w:hAnsiTheme="minorBidi"/>
          <w:sz w:val="16"/>
          <w:szCs w:val="16"/>
          <w:rtl/>
        </w:rPr>
        <w:t>(</w:t>
      </w:r>
      <w:r>
        <w:rPr>
          <w:rFonts w:asciiTheme="minorBidi" w:hAnsiTheme="minorBidi" w:hint="cs"/>
          <w:sz w:val="16"/>
          <w:szCs w:val="16"/>
          <w:rtl/>
        </w:rPr>
        <w:t>שם וב</w:t>
      </w:r>
      <w:r w:rsidRPr="003024E5">
        <w:rPr>
          <w:rFonts w:asciiTheme="minorBidi" w:hAnsiTheme="minorBidi"/>
          <w:sz w:val="16"/>
          <w:szCs w:val="16"/>
          <w:rtl/>
        </w:rPr>
        <w:t>תוה"ק ב"ג ש"ד פז:)</w:t>
      </w:r>
      <w:r w:rsidRPr="003024E5">
        <w:rPr>
          <w:rFonts w:asciiTheme="minorBidi" w:hAnsiTheme="minorBidi"/>
          <w:rtl/>
        </w:rPr>
        <w:t>- מכאן אתה למד שמותר לכתחלה לחתכו חם בסכין שחתכו בה בשר</w:t>
      </w:r>
      <w:r>
        <w:rPr>
          <w:rStyle w:val="a7"/>
          <w:rFonts w:asciiTheme="minorBidi" w:hAnsiTheme="minorBidi"/>
          <w:rtl/>
        </w:rPr>
        <w:footnoteReference w:id="1278"/>
      </w:r>
      <w:r>
        <w:rPr>
          <w:rFonts w:asciiTheme="minorBidi" w:hAnsiTheme="minorBidi" w:hint="cs"/>
          <w:rtl/>
        </w:rPr>
        <w:t>,</w:t>
      </w:r>
      <w:r w:rsidRPr="003024E5">
        <w:rPr>
          <w:rFonts w:asciiTheme="minorBidi" w:hAnsiTheme="minorBidi"/>
          <w:rtl/>
        </w:rPr>
        <w:t xml:space="preserve"> וכן מותר לחתוך בשר בסכין שחתכו בה כחל</w:t>
      </w:r>
      <w:r>
        <w:rPr>
          <w:rFonts w:asciiTheme="minorBidi" w:hAnsiTheme="minorBidi" w:hint="cs"/>
          <w:rtl/>
        </w:rPr>
        <w:t>,</w:t>
      </w:r>
      <w:r w:rsidRPr="003024E5">
        <w:rPr>
          <w:rFonts w:asciiTheme="minorBidi" w:hAnsiTheme="minorBidi"/>
          <w:rtl/>
        </w:rPr>
        <w:t xml:space="preserve"> וכן הדין לאכול זה בכלי שאכלו בו זה</w:t>
      </w:r>
      <w:r>
        <w:rPr>
          <w:rFonts w:asciiTheme="minorBidi" w:hAnsiTheme="minorBidi" w:hint="cs"/>
          <w:rtl/>
        </w:rPr>
        <w:t>,</w:t>
      </w:r>
      <w:r w:rsidRPr="003024E5">
        <w:rPr>
          <w:rFonts w:asciiTheme="minorBidi" w:hAnsiTheme="minorBidi"/>
          <w:rtl/>
        </w:rPr>
        <w:t xml:space="preserve"> שהרי התירו לצלותן יחד בשפוד אחד</w:t>
      </w:r>
      <w:r>
        <w:rPr>
          <w:rFonts w:asciiTheme="minorBidi" w:hAnsiTheme="minorBidi" w:hint="cs"/>
          <w:rtl/>
        </w:rPr>
        <w:t xml:space="preserve">, </w:t>
      </w:r>
      <w:r w:rsidRPr="003024E5">
        <w:rPr>
          <w:rFonts w:asciiTheme="minorBidi" w:hAnsiTheme="minorBidi"/>
          <w:rtl/>
        </w:rPr>
        <w:t>וכן מותר ליתן לכת</w:t>
      </w:r>
      <w:r>
        <w:rPr>
          <w:rFonts w:asciiTheme="minorBidi" w:hAnsiTheme="minorBidi" w:hint="cs"/>
          <w:rtl/>
        </w:rPr>
        <w:t>ח'</w:t>
      </w:r>
      <w:r w:rsidRPr="003024E5">
        <w:rPr>
          <w:rFonts w:asciiTheme="minorBidi" w:hAnsiTheme="minorBidi"/>
          <w:rtl/>
        </w:rPr>
        <w:t xml:space="preserve"> כחל רותח צלי בקדרה שבשלו</w:t>
      </w:r>
      <w:r>
        <w:rPr>
          <w:rFonts w:asciiTheme="minorBidi" w:hAnsiTheme="minorBidi"/>
          <w:rtl/>
        </w:rPr>
        <w:t xml:space="preserve"> בה בשר ואפילו יש בה בשר</w:t>
      </w:r>
      <w:r>
        <w:rPr>
          <w:rStyle w:val="a7"/>
          <w:rFonts w:asciiTheme="minorBidi" w:hAnsiTheme="minorBidi"/>
          <w:rtl/>
        </w:rPr>
        <w:footnoteReference w:id="1279"/>
      </w:r>
      <w:r>
        <w:rPr>
          <w:rFonts w:asciiTheme="minorBidi" w:hAnsiTheme="minorBidi" w:hint="cs"/>
          <w:rtl/>
        </w:rPr>
        <w:t xml:space="preserve">. </w:t>
      </w:r>
    </w:p>
    <w:p w14:paraId="7C9B2608" w14:textId="77777777" w:rsidR="002C39F4" w:rsidRPr="00782864" w:rsidRDefault="002C39F4" w:rsidP="002C39F4">
      <w:pPr>
        <w:rPr>
          <w:rFonts w:asciiTheme="minorBidi" w:hAnsiTheme="minorBidi"/>
          <w:u w:val="single"/>
        </w:rPr>
      </w:pPr>
      <w:r>
        <w:rPr>
          <w:rFonts w:asciiTheme="minorBidi" w:hAnsiTheme="minorBidi" w:hint="cs"/>
          <w:u w:val="single"/>
          <w:rtl/>
        </w:rPr>
        <w:t>צליי</w:t>
      </w:r>
      <w:r w:rsidRPr="00782864">
        <w:rPr>
          <w:rFonts w:asciiTheme="minorBidi" w:hAnsiTheme="minorBidi" w:hint="cs"/>
          <w:u w:val="single"/>
          <w:rtl/>
        </w:rPr>
        <w:t>ת בשר בשפוד שצלו בו כחל:</w:t>
      </w:r>
      <w:r w:rsidRPr="00D244ED">
        <w:rPr>
          <w:rFonts w:asciiTheme="minorBidi" w:hAnsiTheme="minorBidi"/>
          <w:rtl/>
        </w:rPr>
        <w:t xml:space="preserve"> </w:t>
      </w:r>
      <w:r>
        <w:rPr>
          <w:rFonts w:asciiTheme="minorBidi" w:hAnsiTheme="minorBidi" w:hint="cs"/>
          <w:sz w:val="16"/>
          <w:szCs w:val="16"/>
          <w:rtl/>
        </w:rPr>
        <w:t xml:space="preserve"> </w:t>
      </w:r>
      <w:r w:rsidRPr="00D244ED">
        <w:rPr>
          <w:rFonts w:asciiTheme="minorBidi" w:hAnsiTheme="minorBidi"/>
          <w:sz w:val="16"/>
          <w:szCs w:val="16"/>
          <w:rtl/>
        </w:rPr>
        <w:t>(</w:t>
      </w:r>
      <w:r w:rsidRPr="00D244ED">
        <w:rPr>
          <w:rFonts w:asciiTheme="minorBidi" w:hAnsiTheme="minorBidi" w:hint="cs"/>
          <w:sz w:val="16"/>
          <w:szCs w:val="16"/>
          <w:rtl/>
        </w:rPr>
        <w:t xml:space="preserve">ב"י ודרכ"מ [אות </w:t>
      </w:r>
      <w:r w:rsidRPr="00D244ED">
        <w:rPr>
          <w:rFonts w:asciiTheme="minorBidi" w:hAnsiTheme="minorBidi"/>
          <w:sz w:val="16"/>
          <w:szCs w:val="16"/>
          <w:rtl/>
        </w:rPr>
        <w:t>יא</w:t>
      </w:r>
      <w:r>
        <w:rPr>
          <w:rFonts w:asciiTheme="minorBidi" w:hAnsiTheme="minorBidi" w:hint="cs"/>
          <w:sz w:val="16"/>
          <w:szCs w:val="16"/>
          <w:rtl/>
        </w:rPr>
        <w:t>-יב</w:t>
      </w:r>
      <w:r w:rsidRPr="00D244ED">
        <w:rPr>
          <w:rFonts w:asciiTheme="minorBidi" w:hAnsiTheme="minorBidi" w:hint="cs"/>
          <w:sz w:val="16"/>
          <w:szCs w:val="16"/>
          <w:rtl/>
        </w:rPr>
        <w:t>]</w:t>
      </w:r>
      <w:r w:rsidRPr="00D244ED">
        <w:rPr>
          <w:rFonts w:asciiTheme="minorBidi" w:hAnsiTheme="minorBidi"/>
          <w:sz w:val="16"/>
          <w:szCs w:val="16"/>
          <w:rtl/>
        </w:rPr>
        <w:t>)</w:t>
      </w:r>
    </w:p>
    <w:p w14:paraId="670EF87D" w14:textId="77777777" w:rsidR="002C39F4" w:rsidRPr="000C6A05" w:rsidRDefault="002C39F4" w:rsidP="0032102C">
      <w:pPr>
        <w:pStyle w:val="a8"/>
        <w:numPr>
          <w:ilvl w:val="0"/>
          <w:numId w:val="162"/>
        </w:numPr>
        <w:rPr>
          <w:rFonts w:asciiTheme="minorBidi" w:hAnsiTheme="minorBidi"/>
        </w:rPr>
      </w:pPr>
      <w:r>
        <w:rPr>
          <w:rFonts w:asciiTheme="minorBidi" w:hAnsiTheme="minorBidi" w:hint="cs"/>
          <w:rtl/>
        </w:rPr>
        <w:t xml:space="preserve">רשב"א ור"ן- </w:t>
      </w:r>
      <w:r w:rsidRPr="003024E5">
        <w:rPr>
          <w:rFonts w:asciiTheme="minorBidi" w:hAnsiTheme="minorBidi"/>
          <w:rtl/>
        </w:rPr>
        <w:t>מותר לצלות</w:t>
      </w:r>
      <w:r>
        <w:rPr>
          <w:rFonts w:asciiTheme="minorBidi" w:hAnsiTheme="minorBidi"/>
          <w:rtl/>
        </w:rPr>
        <w:t xml:space="preserve"> לכתח</w:t>
      </w:r>
      <w:r>
        <w:rPr>
          <w:rFonts w:asciiTheme="minorBidi" w:hAnsiTheme="minorBidi" w:hint="cs"/>
          <w:rtl/>
        </w:rPr>
        <w:t>ילה</w:t>
      </w:r>
      <w:r>
        <w:rPr>
          <w:rFonts w:asciiTheme="minorBidi" w:hAnsiTheme="minorBidi"/>
          <w:rtl/>
        </w:rPr>
        <w:t xml:space="preserve"> בשפוד א</w:t>
      </w:r>
      <w:r>
        <w:rPr>
          <w:rFonts w:asciiTheme="minorBidi" w:hAnsiTheme="minorBidi" w:hint="cs"/>
          <w:rtl/>
        </w:rPr>
        <w:t>חד</w:t>
      </w:r>
      <w:r w:rsidRPr="003024E5">
        <w:rPr>
          <w:rFonts w:asciiTheme="minorBidi" w:hAnsiTheme="minorBidi"/>
          <w:rtl/>
        </w:rPr>
        <w:t xml:space="preserve"> פעמים בשר פעמים כחל</w:t>
      </w:r>
      <w:r>
        <w:rPr>
          <w:rFonts w:asciiTheme="minorBidi" w:hAnsiTheme="minorBidi" w:hint="cs"/>
          <w:rtl/>
        </w:rPr>
        <w:t>, אפי' לא קרעו כלל</w:t>
      </w:r>
      <w:r>
        <w:rPr>
          <w:rStyle w:val="a7"/>
          <w:rFonts w:asciiTheme="minorBidi" w:hAnsiTheme="minorBidi"/>
          <w:rtl/>
        </w:rPr>
        <w:footnoteReference w:id="1280"/>
      </w:r>
      <w:r>
        <w:rPr>
          <w:rFonts w:asciiTheme="minorBidi" w:hAnsiTheme="minorBidi" w:hint="cs"/>
          <w:rtl/>
        </w:rPr>
        <w:t>.</w:t>
      </w:r>
      <w:r w:rsidRPr="000C6A05">
        <w:rPr>
          <w:rFonts w:asciiTheme="minorBidi" w:hAnsiTheme="minorBidi"/>
          <w:rtl/>
        </w:rPr>
        <w:t xml:space="preserve"> </w:t>
      </w:r>
    </w:p>
    <w:p w14:paraId="445FCFB7" w14:textId="77777777" w:rsidR="002C39F4" w:rsidRDefault="002C39F4" w:rsidP="0032102C">
      <w:pPr>
        <w:pStyle w:val="a8"/>
        <w:numPr>
          <w:ilvl w:val="0"/>
          <w:numId w:val="162"/>
        </w:numPr>
        <w:rPr>
          <w:rFonts w:asciiTheme="minorBidi" w:hAnsiTheme="minorBidi"/>
        </w:rPr>
      </w:pPr>
      <w:r>
        <w:rPr>
          <w:rFonts w:asciiTheme="minorBidi" w:hAnsiTheme="minorBidi" w:cs="Arial"/>
          <w:rtl/>
        </w:rPr>
        <w:t>ראבי"ה</w:t>
      </w:r>
      <w:r>
        <w:rPr>
          <w:rFonts w:asciiTheme="minorBidi" w:hAnsiTheme="minorBidi" w:cs="Arial" w:hint="cs"/>
          <w:rtl/>
        </w:rPr>
        <w:t xml:space="preserve"> </w:t>
      </w:r>
      <w:r w:rsidRPr="00435455">
        <w:rPr>
          <w:rFonts w:asciiTheme="minorBidi" w:hAnsiTheme="minorBidi" w:cs="Arial" w:hint="cs"/>
          <w:sz w:val="16"/>
          <w:szCs w:val="16"/>
          <w:rtl/>
        </w:rPr>
        <w:t xml:space="preserve">(הביאו המרדכי </w:t>
      </w:r>
      <w:r w:rsidRPr="00435455">
        <w:rPr>
          <w:rFonts w:asciiTheme="minorBidi" w:hAnsiTheme="minorBidi"/>
          <w:sz w:val="16"/>
          <w:szCs w:val="16"/>
          <w:rtl/>
        </w:rPr>
        <w:t>סי' תשא)</w:t>
      </w:r>
      <w:r>
        <w:rPr>
          <w:rFonts w:asciiTheme="minorBidi" w:hAnsiTheme="minorBidi" w:cs="Arial" w:hint="cs"/>
          <w:rtl/>
        </w:rPr>
        <w:t xml:space="preserve">- </w:t>
      </w:r>
      <w:r w:rsidRPr="00D244ED">
        <w:rPr>
          <w:rFonts w:asciiTheme="minorBidi" w:hAnsiTheme="minorBidi" w:cs="Arial"/>
          <w:rtl/>
        </w:rPr>
        <w:t>שפוד שצלו בו כחל דמיסרך סריך אסור לכתחלה לצלות בו בשר</w:t>
      </w:r>
      <w:r>
        <w:rPr>
          <w:rFonts w:asciiTheme="minorBidi" w:hAnsiTheme="minorBidi" w:hint="cs"/>
          <w:rtl/>
        </w:rPr>
        <w:t xml:space="preserve">. </w:t>
      </w:r>
    </w:p>
    <w:p w14:paraId="2AB0866F" w14:textId="77777777" w:rsidR="002C39F4" w:rsidRDefault="002C39F4" w:rsidP="002C39F4">
      <w:pPr>
        <w:rPr>
          <w:rFonts w:asciiTheme="minorBidi" w:hAnsiTheme="minorBidi"/>
          <w:rtl/>
        </w:rPr>
      </w:pPr>
      <w:r w:rsidRPr="00435455">
        <w:rPr>
          <w:rFonts w:asciiTheme="minorBidi" w:hAnsiTheme="minorBidi" w:hint="cs"/>
          <w:u w:val="single"/>
          <w:rtl/>
        </w:rPr>
        <w:t>כחל שנכבש בחלבו:</w:t>
      </w:r>
    </w:p>
    <w:p w14:paraId="512219D4" w14:textId="77777777" w:rsidR="002C39F4" w:rsidRPr="00435455" w:rsidRDefault="002C39F4" w:rsidP="0032102C">
      <w:pPr>
        <w:pStyle w:val="a8"/>
        <w:numPr>
          <w:ilvl w:val="0"/>
          <w:numId w:val="163"/>
        </w:numPr>
        <w:rPr>
          <w:rFonts w:asciiTheme="minorBidi" w:hAnsiTheme="minorBidi"/>
          <w:rtl/>
        </w:rPr>
      </w:pPr>
      <w:r>
        <w:rPr>
          <w:rFonts w:asciiTheme="minorBidi" w:hAnsiTheme="minorBidi" w:hint="cs"/>
          <w:rtl/>
        </w:rPr>
        <w:t>או</w:t>
      </w:r>
      <w:r>
        <w:rPr>
          <w:rFonts w:asciiTheme="minorBidi" w:hAnsiTheme="minorBidi"/>
          <w:rtl/>
        </w:rPr>
        <w:t>"</w:t>
      </w:r>
      <w:r>
        <w:rPr>
          <w:rFonts w:asciiTheme="minorBidi" w:hAnsiTheme="minorBidi" w:hint="cs"/>
          <w:rtl/>
        </w:rPr>
        <w:t>ה</w:t>
      </w:r>
      <w:r w:rsidRPr="00435455">
        <w:rPr>
          <w:rFonts w:asciiTheme="minorBidi" w:hAnsiTheme="minorBidi"/>
          <w:rtl/>
        </w:rPr>
        <w:t xml:space="preserve"> </w:t>
      </w:r>
      <w:r w:rsidRPr="00435455">
        <w:rPr>
          <w:rFonts w:asciiTheme="minorBidi" w:hAnsiTheme="minorBidi" w:hint="cs"/>
          <w:sz w:val="16"/>
          <w:szCs w:val="16"/>
          <w:rtl/>
        </w:rPr>
        <w:t>(</w:t>
      </w:r>
      <w:r w:rsidRPr="00435455">
        <w:rPr>
          <w:rFonts w:asciiTheme="minorBidi" w:hAnsiTheme="minorBidi"/>
          <w:sz w:val="16"/>
          <w:szCs w:val="16"/>
          <w:rtl/>
        </w:rPr>
        <w:t xml:space="preserve">כלל יח דין </w:t>
      </w:r>
      <w:r w:rsidRPr="00435455">
        <w:rPr>
          <w:rFonts w:asciiTheme="minorBidi" w:hAnsiTheme="minorBidi" w:hint="cs"/>
          <w:sz w:val="16"/>
          <w:szCs w:val="16"/>
          <w:rtl/>
        </w:rPr>
        <w:t>טו</w:t>
      </w:r>
      <w:r w:rsidRPr="00435455">
        <w:rPr>
          <w:rFonts w:asciiTheme="minorBidi" w:hAnsiTheme="minorBidi"/>
          <w:sz w:val="16"/>
          <w:szCs w:val="16"/>
          <w:rtl/>
        </w:rPr>
        <w:t>)</w:t>
      </w:r>
      <w:r w:rsidRPr="00435455">
        <w:rPr>
          <w:rFonts w:asciiTheme="minorBidi" w:hAnsiTheme="minorBidi" w:hint="cs"/>
          <w:rtl/>
        </w:rPr>
        <w:t xml:space="preserve">- </w:t>
      </w:r>
      <w:r w:rsidRPr="00435455">
        <w:rPr>
          <w:rFonts w:asciiTheme="minorBidi" w:hAnsiTheme="minorBidi"/>
          <w:rtl/>
        </w:rPr>
        <w:t>הואיל וחלב שחוטה דרבנן לא גזרו ביה למימר כבוש כמבושל ומותר להניח הכחל שלם יום או</w:t>
      </w:r>
      <w:r>
        <w:rPr>
          <w:rFonts w:asciiTheme="minorBidi" w:hAnsiTheme="minorBidi"/>
          <w:rtl/>
        </w:rPr>
        <w:t xml:space="preserve"> יומים לאחר שחיטת הבהמה א</w:t>
      </w:r>
      <w:r>
        <w:rPr>
          <w:rFonts w:asciiTheme="minorBidi" w:hAnsiTheme="minorBidi" w:hint="cs"/>
          <w:rtl/>
        </w:rPr>
        <w:t>ע"פ</w:t>
      </w:r>
      <w:r w:rsidRPr="00435455">
        <w:rPr>
          <w:rFonts w:asciiTheme="minorBidi" w:hAnsiTheme="minorBidi"/>
          <w:rtl/>
        </w:rPr>
        <w:t xml:space="preserve"> שחלב </w:t>
      </w:r>
      <w:r>
        <w:rPr>
          <w:rFonts w:asciiTheme="minorBidi" w:hAnsiTheme="minorBidi"/>
          <w:rtl/>
        </w:rPr>
        <w:t>שבתוכו בעין וצלול</w:t>
      </w:r>
      <w:r>
        <w:rPr>
          <w:rFonts w:asciiTheme="minorBidi" w:hAnsiTheme="minorBidi" w:hint="cs"/>
          <w:rtl/>
        </w:rPr>
        <w:t xml:space="preserve">, </w:t>
      </w:r>
      <w:r w:rsidRPr="00435455">
        <w:rPr>
          <w:rFonts w:asciiTheme="minorBidi" w:hAnsiTheme="minorBidi"/>
          <w:rtl/>
        </w:rPr>
        <w:t>מיהו אם שהה הכחל בחלב שפירש לאחר מיתה פשיטא דאסו</w:t>
      </w:r>
      <w:r>
        <w:rPr>
          <w:rFonts w:asciiTheme="minorBidi" w:hAnsiTheme="minorBidi"/>
          <w:rtl/>
        </w:rPr>
        <w:t>ר</w:t>
      </w:r>
      <w:r w:rsidRPr="00435455">
        <w:rPr>
          <w:rFonts w:asciiTheme="minorBidi" w:hAnsiTheme="minorBidi"/>
          <w:rtl/>
        </w:rPr>
        <w:t xml:space="preserve">. </w:t>
      </w:r>
      <w:r w:rsidRPr="0099281F">
        <w:rPr>
          <w:rFonts w:asciiTheme="minorBidi" w:hAnsiTheme="minorBidi" w:hint="cs"/>
          <w:color w:val="00B0F0"/>
          <w:rtl/>
        </w:rPr>
        <w:t>(וכ"פ הרמ"א)</w:t>
      </w:r>
    </w:p>
    <w:p w14:paraId="2445BB20" w14:textId="77777777" w:rsidR="002C39F4" w:rsidRPr="00E72FCB" w:rsidRDefault="002C39F4" w:rsidP="002C39F4">
      <w:pPr>
        <w:rPr>
          <w:rFonts w:asciiTheme="minorBidi" w:hAnsiTheme="minorBidi"/>
          <w:u w:val="single"/>
        </w:rPr>
      </w:pPr>
      <w:r w:rsidRPr="00E72FCB">
        <w:rPr>
          <w:rFonts w:asciiTheme="minorBidi" w:hAnsiTheme="minorBidi"/>
          <w:u w:val="single"/>
          <w:rtl/>
        </w:rPr>
        <w:t>צלאו או מלחו ומצא בו אח"כ גומות מלאות חלב:</w:t>
      </w:r>
    </w:p>
    <w:p w14:paraId="22287DB0" w14:textId="77777777" w:rsidR="002C39F4" w:rsidRPr="003024E5" w:rsidRDefault="002C39F4" w:rsidP="0032102C">
      <w:pPr>
        <w:pStyle w:val="a8"/>
        <w:numPr>
          <w:ilvl w:val="0"/>
          <w:numId w:val="162"/>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יח ד"א)</w:t>
      </w:r>
      <w:r w:rsidRPr="003024E5">
        <w:rPr>
          <w:rFonts w:asciiTheme="minorBidi" w:hAnsiTheme="minorBidi"/>
          <w:rtl/>
        </w:rPr>
        <w:t>- אם צלאו או מלחו לאחר קריעה אפילו נמצאו גומות מלאות חלב אין לחוש מאחר שקרעוהו תחילה.</w:t>
      </w:r>
      <w:r w:rsidRPr="0099281F">
        <w:rPr>
          <w:rFonts w:asciiTheme="minorBidi" w:hAnsiTheme="minorBidi" w:hint="cs"/>
          <w:color w:val="00B0F0"/>
          <w:rtl/>
        </w:rPr>
        <w:t xml:space="preserve"> (וכ"פ הרמ"א)</w:t>
      </w:r>
    </w:p>
    <w:p w14:paraId="066A923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1783A8C" w14:textId="77777777" w:rsidR="002C39F4" w:rsidRPr="003024E5" w:rsidRDefault="002C39F4" w:rsidP="002C39F4">
      <w:pPr>
        <w:rPr>
          <w:rFonts w:asciiTheme="minorBidi" w:hAnsiTheme="minorBidi"/>
          <w:rtl/>
        </w:rPr>
      </w:pPr>
      <w:r w:rsidRPr="003024E5">
        <w:rPr>
          <w:rFonts w:asciiTheme="minorBidi" w:hAnsiTheme="minorBidi"/>
          <w:rtl/>
        </w:rPr>
        <w:t>מותר לחתוך כחל רותח בסכין שחתכו בו בשר</w:t>
      </w:r>
      <w:r>
        <w:rPr>
          <w:rStyle w:val="a7"/>
          <w:rFonts w:asciiTheme="minorBidi" w:hAnsiTheme="minorBidi"/>
          <w:rtl/>
        </w:rPr>
        <w:footnoteReference w:id="1281"/>
      </w:r>
      <w:r w:rsidRPr="003024E5">
        <w:rPr>
          <w:rFonts w:asciiTheme="minorBidi" w:hAnsiTheme="minorBidi"/>
          <w:rtl/>
        </w:rPr>
        <w:t xml:space="preserve"> </w:t>
      </w:r>
      <w:r w:rsidRPr="003024E5">
        <w:rPr>
          <w:rFonts w:asciiTheme="minorBidi" w:hAnsiTheme="minorBidi"/>
          <w:sz w:val="18"/>
          <w:szCs w:val="18"/>
          <w:rtl/>
        </w:rPr>
        <w:t>[הגה] וכל שכן</w:t>
      </w:r>
      <w:r>
        <w:rPr>
          <w:rStyle w:val="a7"/>
          <w:rFonts w:asciiTheme="minorBidi" w:hAnsiTheme="minorBidi"/>
          <w:sz w:val="18"/>
          <w:szCs w:val="18"/>
          <w:rtl/>
        </w:rPr>
        <w:footnoteReference w:id="1282"/>
      </w:r>
      <w:r w:rsidRPr="003024E5">
        <w:rPr>
          <w:rFonts w:asciiTheme="minorBidi" w:hAnsiTheme="minorBidi"/>
          <w:sz w:val="18"/>
          <w:szCs w:val="18"/>
          <w:rtl/>
        </w:rPr>
        <w:t xml:space="preserve"> כחל חי אע</w:t>
      </w:r>
      <w:r>
        <w:rPr>
          <w:rFonts w:asciiTheme="minorBidi" w:hAnsiTheme="minorBidi" w:hint="cs"/>
          <w:sz w:val="18"/>
          <w:szCs w:val="18"/>
          <w:rtl/>
        </w:rPr>
        <w:t>"</w:t>
      </w:r>
      <w:r w:rsidRPr="003024E5">
        <w:rPr>
          <w:rFonts w:asciiTheme="minorBidi" w:hAnsiTheme="minorBidi"/>
          <w:sz w:val="18"/>
          <w:szCs w:val="18"/>
          <w:rtl/>
        </w:rPr>
        <w:t>פ שהוא מלא חלב (תא"ו ני"א),</w:t>
      </w:r>
      <w:r w:rsidRPr="003024E5">
        <w:rPr>
          <w:rFonts w:asciiTheme="minorBidi" w:hAnsiTheme="minorBidi"/>
          <w:rtl/>
        </w:rPr>
        <w:t xml:space="preserve"> וכן מותר לחתוך בשר בסכין שחתכו בו כחל, וכן הדין לאכול זה בכלי שאכלו בו זה. </w:t>
      </w:r>
      <w:r w:rsidRPr="003024E5">
        <w:rPr>
          <w:rFonts w:asciiTheme="minorBidi" w:hAnsiTheme="minorBidi"/>
          <w:sz w:val="18"/>
          <w:szCs w:val="18"/>
          <w:rtl/>
        </w:rPr>
        <w:t>הגה: וה"ה לצלות זה בשפוד שצלו בו זה</w:t>
      </w:r>
      <w:r>
        <w:rPr>
          <w:rStyle w:val="a7"/>
          <w:rFonts w:asciiTheme="minorBidi" w:hAnsiTheme="minorBidi"/>
          <w:sz w:val="18"/>
          <w:szCs w:val="18"/>
          <w:rtl/>
        </w:rPr>
        <w:footnoteReference w:id="1283"/>
      </w:r>
      <w:r w:rsidRPr="003024E5">
        <w:rPr>
          <w:rFonts w:asciiTheme="minorBidi" w:hAnsiTheme="minorBidi"/>
          <w:sz w:val="18"/>
          <w:szCs w:val="18"/>
          <w:rtl/>
        </w:rPr>
        <w:t>, והוא הדין דמותר להניחו בקערה עם בשר צלי אפילו שניהם חמים, דלאחר צליית הכחל דינו כשאר בשר לכל דבר (ב"י בשם הרשב"א והארוך). ודוקא שנצלה כדינו, דהיינו שקרעוהו תחלה שתי וערב וטיחה בכותל</w:t>
      </w:r>
      <w:r>
        <w:rPr>
          <w:rStyle w:val="a7"/>
          <w:rFonts w:asciiTheme="minorBidi" w:hAnsiTheme="minorBidi"/>
          <w:sz w:val="18"/>
          <w:szCs w:val="18"/>
          <w:rtl/>
        </w:rPr>
        <w:footnoteReference w:id="1284"/>
      </w:r>
      <w:r w:rsidRPr="003024E5">
        <w:rPr>
          <w:rFonts w:asciiTheme="minorBidi" w:hAnsiTheme="minorBidi"/>
          <w:sz w:val="18"/>
          <w:szCs w:val="18"/>
          <w:rtl/>
        </w:rPr>
        <w:t>, אבל אם עבר וצלאו בלא קריעה או קריעה מועטת כל דברים אלו לכתחלה אסורים</w:t>
      </w:r>
      <w:r>
        <w:rPr>
          <w:rFonts w:asciiTheme="minorBidi" w:hAnsiTheme="minorBidi" w:hint="cs"/>
          <w:sz w:val="18"/>
          <w:szCs w:val="18"/>
          <w:rtl/>
        </w:rPr>
        <w:t>,</w:t>
      </w:r>
      <w:r w:rsidRPr="003024E5">
        <w:rPr>
          <w:rFonts w:asciiTheme="minorBidi" w:hAnsiTheme="minorBidi"/>
          <w:sz w:val="18"/>
          <w:szCs w:val="18"/>
          <w:rtl/>
        </w:rPr>
        <w:t xml:space="preserve"> ובדיעבד הכל מותר</w:t>
      </w:r>
      <w:r>
        <w:rPr>
          <w:rStyle w:val="a7"/>
          <w:rFonts w:asciiTheme="minorBidi" w:hAnsiTheme="minorBidi"/>
          <w:sz w:val="18"/>
          <w:szCs w:val="18"/>
          <w:rtl/>
        </w:rPr>
        <w:footnoteReference w:id="1285"/>
      </w:r>
      <w:r>
        <w:rPr>
          <w:rFonts w:asciiTheme="minorBidi" w:hAnsiTheme="minorBidi" w:hint="cs"/>
          <w:sz w:val="18"/>
          <w:szCs w:val="18"/>
          <w:rtl/>
        </w:rPr>
        <w:t xml:space="preserve"> </w:t>
      </w:r>
      <w:r w:rsidRPr="003024E5">
        <w:rPr>
          <w:rFonts w:asciiTheme="minorBidi" w:hAnsiTheme="minorBidi"/>
          <w:sz w:val="18"/>
          <w:szCs w:val="18"/>
          <w:rtl/>
        </w:rPr>
        <w:t>(טור וב"י). ואם קרעוהו כדינו וצלאו אע</w:t>
      </w:r>
      <w:r>
        <w:rPr>
          <w:rFonts w:asciiTheme="minorBidi" w:hAnsiTheme="minorBidi" w:hint="cs"/>
          <w:sz w:val="18"/>
          <w:szCs w:val="18"/>
          <w:rtl/>
        </w:rPr>
        <w:t>"</w:t>
      </w:r>
      <w:r w:rsidRPr="003024E5">
        <w:rPr>
          <w:rFonts w:asciiTheme="minorBidi" w:hAnsiTheme="minorBidi"/>
          <w:sz w:val="18"/>
          <w:szCs w:val="18"/>
          <w:rtl/>
        </w:rPr>
        <w:t>פ שמצא אח</w:t>
      </w:r>
      <w:r>
        <w:rPr>
          <w:rFonts w:asciiTheme="minorBidi" w:hAnsiTheme="minorBidi" w:hint="cs"/>
          <w:sz w:val="18"/>
          <w:szCs w:val="18"/>
          <w:rtl/>
        </w:rPr>
        <w:t>"</w:t>
      </w:r>
      <w:r w:rsidRPr="003024E5">
        <w:rPr>
          <w:rFonts w:asciiTheme="minorBidi" w:hAnsiTheme="minorBidi"/>
          <w:sz w:val="18"/>
          <w:szCs w:val="18"/>
          <w:rtl/>
        </w:rPr>
        <w:t>כ גומות מלאות חלב אין לחוש</w:t>
      </w:r>
      <w:r>
        <w:rPr>
          <w:rStyle w:val="a7"/>
          <w:rFonts w:asciiTheme="minorBidi" w:hAnsiTheme="minorBidi"/>
          <w:sz w:val="18"/>
          <w:szCs w:val="18"/>
          <w:rtl/>
        </w:rPr>
        <w:footnoteReference w:id="1286"/>
      </w:r>
      <w:r w:rsidRPr="003024E5">
        <w:rPr>
          <w:rFonts w:asciiTheme="minorBidi" w:hAnsiTheme="minorBidi"/>
          <w:sz w:val="18"/>
          <w:szCs w:val="18"/>
          <w:rtl/>
        </w:rPr>
        <w:t xml:space="preserve"> (ארוך כ</w:t>
      </w:r>
      <w:r>
        <w:rPr>
          <w:rFonts w:asciiTheme="minorBidi" w:hAnsiTheme="minorBidi" w:hint="cs"/>
          <w:sz w:val="18"/>
          <w:szCs w:val="18"/>
          <w:rtl/>
        </w:rPr>
        <w:t>לל</w:t>
      </w:r>
      <w:r w:rsidRPr="003024E5">
        <w:rPr>
          <w:rFonts w:asciiTheme="minorBidi" w:hAnsiTheme="minorBidi"/>
          <w:sz w:val="18"/>
          <w:szCs w:val="18"/>
          <w:rtl/>
        </w:rPr>
        <w:t xml:space="preserve"> יח). וכן אם הניחו כך שלם קודם צלייתו עם חלבו יום שלם מותר, ולא אמרינן כבוש כמבושל ב</w:t>
      </w:r>
      <w:r>
        <w:rPr>
          <w:rFonts w:asciiTheme="minorBidi" w:hAnsiTheme="minorBidi" w:hint="cs"/>
          <w:sz w:val="18"/>
          <w:szCs w:val="18"/>
          <w:rtl/>
        </w:rPr>
        <w:t>כ</w:t>
      </w:r>
      <w:r w:rsidRPr="003024E5">
        <w:rPr>
          <w:rFonts w:asciiTheme="minorBidi" w:hAnsiTheme="minorBidi"/>
          <w:sz w:val="18"/>
          <w:szCs w:val="18"/>
          <w:rtl/>
        </w:rPr>
        <w:t>ה</w:t>
      </w:r>
      <w:r>
        <w:rPr>
          <w:rFonts w:asciiTheme="minorBidi" w:hAnsiTheme="minorBidi" w:hint="cs"/>
          <w:sz w:val="18"/>
          <w:szCs w:val="18"/>
          <w:rtl/>
        </w:rPr>
        <w:t>"</w:t>
      </w:r>
      <w:r w:rsidRPr="003024E5">
        <w:rPr>
          <w:rFonts w:asciiTheme="minorBidi" w:hAnsiTheme="minorBidi"/>
          <w:sz w:val="18"/>
          <w:szCs w:val="18"/>
          <w:rtl/>
        </w:rPr>
        <w:t>ג</w:t>
      </w:r>
      <w:r>
        <w:rPr>
          <w:rStyle w:val="a7"/>
          <w:rFonts w:asciiTheme="minorBidi" w:hAnsiTheme="minorBidi"/>
          <w:sz w:val="18"/>
          <w:szCs w:val="18"/>
          <w:rtl/>
        </w:rPr>
        <w:footnoteReference w:id="1287"/>
      </w:r>
      <w:r w:rsidRPr="003024E5">
        <w:rPr>
          <w:rFonts w:asciiTheme="minorBidi" w:hAnsiTheme="minorBidi"/>
          <w:sz w:val="18"/>
          <w:szCs w:val="18"/>
          <w:rtl/>
        </w:rPr>
        <w:t xml:space="preserve"> (שם).</w:t>
      </w:r>
      <w:r w:rsidRPr="003024E5">
        <w:rPr>
          <w:rFonts w:asciiTheme="minorBidi" w:hAnsiTheme="minorBidi"/>
          <w:rtl/>
        </w:rPr>
        <w:t xml:space="preserve"> </w:t>
      </w:r>
    </w:p>
    <w:p w14:paraId="3C6ADC49" w14:textId="77777777" w:rsidR="002C39F4" w:rsidRPr="003024E5" w:rsidRDefault="002C39F4" w:rsidP="002C39F4">
      <w:pPr>
        <w:rPr>
          <w:rFonts w:asciiTheme="minorBidi" w:hAnsiTheme="minorBidi"/>
          <w:rtl/>
        </w:rPr>
      </w:pPr>
    </w:p>
    <w:p w14:paraId="6A91A4AC" w14:textId="77777777" w:rsidR="002C39F4" w:rsidRDefault="002C39F4" w:rsidP="002C39F4">
      <w:pPr>
        <w:pStyle w:val="2"/>
        <w:rPr>
          <w:rFonts w:asciiTheme="minorBidi" w:hAnsiTheme="minorBidi"/>
          <w:rtl/>
        </w:rPr>
      </w:pPr>
      <w:r w:rsidRPr="003024E5">
        <w:rPr>
          <w:rFonts w:asciiTheme="minorBidi" w:hAnsiTheme="minorBidi"/>
          <w:rtl/>
        </w:rPr>
        <w:t xml:space="preserve">סעיף ד: צלייה </w:t>
      </w:r>
      <w:r w:rsidRPr="003024E5">
        <w:rPr>
          <w:rFonts w:asciiTheme="minorBidi" w:hAnsiTheme="minorBidi"/>
          <w:sz w:val="18"/>
          <w:szCs w:val="18"/>
          <w:rtl/>
        </w:rPr>
        <w:t>(ומליחה)</w:t>
      </w:r>
      <w:r w:rsidRPr="003024E5">
        <w:rPr>
          <w:rFonts w:asciiTheme="minorBidi" w:hAnsiTheme="minorBidi"/>
          <w:rtl/>
        </w:rPr>
        <w:t xml:space="preserve"> של כחל עם בשר.</w:t>
      </w:r>
    </w:p>
    <w:p w14:paraId="7067579D" w14:textId="77777777" w:rsidR="002C39F4" w:rsidRPr="00E72FCB" w:rsidRDefault="002C39F4" w:rsidP="002C39F4">
      <w:pPr>
        <w:rPr>
          <w:rFonts w:asciiTheme="minorBidi" w:hAnsiTheme="minorBidi"/>
          <w:u w:val="single"/>
        </w:rPr>
      </w:pPr>
      <w:r>
        <w:rPr>
          <w:rFonts w:asciiTheme="minorBidi" w:hAnsiTheme="minorBidi" w:hint="cs"/>
          <w:u w:val="single"/>
          <w:rtl/>
        </w:rPr>
        <w:t>צליית</w:t>
      </w:r>
      <w:r w:rsidRPr="00E72FCB">
        <w:rPr>
          <w:rFonts w:asciiTheme="minorBidi" w:hAnsiTheme="minorBidi" w:hint="cs"/>
          <w:u w:val="single"/>
          <w:rtl/>
        </w:rPr>
        <w:t xml:space="preserve"> כחל עם בשר</w:t>
      </w:r>
      <w:r w:rsidRPr="00E72FCB">
        <w:rPr>
          <w:rFonts w:asciiTheme="minorBidi" w:hAnsiTheme="minorBidi"/>
          <w:u w:val="single"/>
          <w:rtl/>
        </w:rPr>
        <w:t>:</w:t>
      </w:r>
    </w:p>
    <w:p w14:paraId="479908E9" w14:textId="77777777" w:rsidR="002C39F4" w:rsidRPr="0099281F" w:rsidRDefault="002C39F4" w:rsidP="0032102C">
      <w:pPr>
        <w:pStyle w:val="a8"/>
        <w:numPr>
          <w:ilvl w:val="0"/>
          <w:numId w:val="162"/>
        </w:numPr>
        <w:rPr>
          <w:rtl/>
        </w:rPr>
      </w:pPr>
      <w:r>
        <w:rPr>
          <w:rFonts w:hint="cs"/>
          <w:rtl/>
        </w:rPr>
        <w:t>עיין בתחילת הסע' הקודם שם נתבאר.</w:t>
      </w:r>
    </w:p>
    <w:p w14:paraId="54F7BB9E" w14:textId="77777777" w:rsidR="002C39F4" w:rsidRPr="00E72FCB" w:rsidRDefault="002C39F4" w:rsidP="002C39F4">
      <w:pPr>
        <w:rPr>
          <w:rFonts w:asciiTheme="minorBidi" w:hAnsiTheme="minorBidi"/>
          <w:u w:val="single"/>
        </w:rPr>
      </w:pPr>
      <w:r w:rsidRPr="00E72FCB">
        <w:rPr>
          <w:rFonts w:asciiTheme="minorBidi" w:hAnsiTheme="minorBidi"/>
          <w:u w:val="single"/>
          <w:rtl/>
        </w:rPr>
        <w:t>מליח</w:t>
      </w:r>
      <w:r w:rsidRPr="00E72FCB">
        <w:rPr>
          <w:rFonts w:asciiTheme="minorBidi" w:hAnsiTheme="minorBidi" w:hint="cs"/>
          <w:u w:val="single"/>
          <w:rtl/>
        </w:rPr>
        <w:t>ת כחל עם בשר</w:t>
      </w:r>
      <w:r w:rsidRPr="00E72FCB">
        <w:rPr>
          <w:rFonts w:asciiTheme="minorBidi" w:hAnsiTheme="minorBidi"/>
          <w:u w:val="single"/>
          <w:rtl/>
        </w:rPr>
        <w:t>:</w:t>
      </w:r>
    </w:p>
    <w:p w14:paraId="3EE58898" w14:textId="77777777" w:rsidR="002C39F4" w:rsidRPr="003024E5" w:rsidRDefault="002C39F4" w:rsidP="0032102C">
      <w:pPr>
        <w:pStyle w:val="a8"/>
        <w:numPr>
          <w:ilvl w:val="0"/>
          <w:numId w:val="162"/>
        </w:numPr>
        <w:rPr>
          <w:rFonts w:asciiTheme="minorBidi" w:hAnsiTheme="minorBidi"/>
          <w:rtl/>
        </w:rPr>
      </w:pPr>
      <w:r>
        <w:rPr>
          <w:rFonts w:asciiTheme="minorBidi" w:hAnsiTheme="minorBidi" w:hint="cs"/>
          <w:rtl/>
        </w:rPr>
        <w:t>מרדכי</w:t>
      </w:r>
      <w:r>
        <w:rPr>
          <w:rStyle w:val="a7"/>
          <w:rFonts w:asciiTheme="minorBidi" w:hAnsiTheme="minorBidi"/>
          <w:rtl/>
        </w:rPr>
        <w:footnoteReference w:id="1288"/>
      </w:r>
      <w:r>
        <w:rPr>
          <w:rFonts w:asciiTheme="minorBidi" w:hAnsiTheme="minorBidi" w:hint="cs"/>
          <w:rtl/>
        </w:rPr>
        <w:t xml:space="preserve"> </w:t>
      </w:r>
      <w:r w:rsidRPr="00D244ED">
        <w:rPr>
          <w:rFonts w:asciiTheme="minorBidi" w:hAnsiTheme="minorBidi" w:hint="cs"/>
          <w:sz w:val="16"/>
          <w:szCs w:val="16"/>
          <w:rtl/>
        </w:rPr>
        <w:t>(סי' תשא)</w:t>
      </w:r>
      <w:r>
        <w:rPr>
          <w:rFonts w:asciiTheme="minorBidi" w:hAnsiTheme="minorBidi" w:hint="cs"/>
          <w:rtl/>
        </w:rPr>
        <w:t xml:space="preserve"> ו</w:t>
      </w:r>
      <w:r w:rsidRPr="003024E5">
        <w:rPr>
          <w:rFonts w:asciiTheme="minorBidi" w:hAnsiTheme="minorBidi"/>
          <w:rtl/>
        </w:rPr>
        <w:t xml:space="preserve">רשב"א </w:t>
      </w:r>
      <w:r w:rsidRPr="003024E5">
        <w:rPr>
          <w:rFonts w:asciiTheme="minorBidi" w:hAnsiTheme="minorBidi"/>
          <w:sz w:val="16"/>
          <w:szCs w:val="16"/>
          <w:rtl/>
        </w:rPr>
        <w:t>(תוה"ק ב"ג ש"ד פז:)</w:t>
      </w:r>
      <w:r w:rsidRPr="003024E5">
        <w:rPr>
          <w:rFonts w:asciiTheme="minorBidi" w:hAnsiTheme="minorBidi"/>
          <w:rtl/>
        </w:rPr>
        <w:t>- הוא הדין כשמולחו עם הבשר לכתחילה צריך שיהא כחל למטה והבשר למעלה</w:t>
      </w:r>
      <w:r>
        <w:rPr>
          <w:rStyle w:val="a7"/>
          <w:rFonts w:asciiTheme="minorBidi" w:hAnsiTheme="minorBidi"/>
          <w:rtl/>
        </w:rPr>
        <w:footnoteReference w:id="1289"/>
      </w:r>
      <w:r>
        <w:rPr>
          <w:rFonts w:asciiTheme="minorBidi" w:hAnsiTheme="minorBidi" w:hint="cs"/>
          <w:rtl/>
        </w:rPr>
        <w:t xml:space="preserve">, </w:t>
      </w:r>
      <w:r w:rsidRPr="003024E5">
        <w:rPr>
          <w:rFonts w:asciiTheme="minorBidi" w:hAnsiTheme="minorBidi"/>
          <w:rtl/>
        </w:rPr>
        <w:t>עבר ומלח כחל על הבשר מותר</w:t>
      </w:r>
      <w:r>
        <w:rPr>
          <w:rFonts w:asciiTheme="minorBidi" w:hAnsiTheme="minorBidi" w:hint="cs"/>
          <w:sz w:val="16"/>
          <w:szCs w:val="16"/>
          <w:rtl/>
        </w:rPr>
        <w:t xml:space="preserve"> (ל' הרשב"א)</w:t>
      </w:r>
      <w:r w:rsidRPr="003024E5">
        <w:rPr>
          <w:rFonts w:asciiTheme="minorBidi" w:hAnsiTheme="minorBidi"/>
          <w:rtl/>
        </w:rPr>
        <w:t xml:space="preserve">. </w:t>
      </w:r>
      <w:r w:rsidRPr="003024E5">
        <w:rPr>
          <w:rFonts w:asciiTheme="minorBidi" w:hAnsiTheme="minorBidi"/>
          <w:color w:val="E36C0A" w:themeColor="accent6" w:themeShade="BF"/>
          <w:rtl/>
        </w:rPr>
        <w:t>(וכ</w:t>
      </w:r>
      <w:r>
        <w:rPr>
          <w:rFonts w:asciiTheme="minorBidi" w:hAnsiTheme="minorBidi" w:hint="cs"/>
          <w:color w:val="E36C0A" w:themeColor="accent6" w:themeShade="BF"/>
          <w:rtl/>
        </w:rPr>
        <w:t>"ס</w:t>
      </w:r>
      <w:r w:rsidRPr="003024E5">
        <w:rPr>
          <w:rFonts w:asciiTheme="minorBidi" w:hAnsiTheme="minorBidi"/>
          <w:color w:val="E36C0A" w:themeColor="accent6" w:themeShade="BF"/>
          <w:rtl/>
        </w:rPr>
        <w:t xml:space="preserve"> בשו"ע)</w:t>
      </w:r>
    </w:p>
    <w:p w14:paraId="06B61427" w14:textId="77777777" w:rsidR="002C39F4" w:rsidRPr="00111F9D" w:rsidRDefault="002C39F4" w:rsidP="0032102C">
      <w:pPr>
        <w:pStyle w:val="a8"/>
        <w:numPr>
          <w:ilvl w:val="0"/>
          <w:numId w:val="160"/>
        </w:numPr>
        <w:rPr>
          <w:rFonts w:asciiTheme="minorBidi" w:hAnsiTheme="minorBidi"/>
        </w:rPr>
      </w:pPr>
      <w:r w:rsidRPr="003024E5">
        <w:rPr>
          <w:rFonts w:asciiTheme="minorBidi" w:hAnsiTheme="minorBidi"/>
          <w:rtl/>
        </w:rPr>
        <w:t xml:space="preserve">רא"ש </w:t>
      </w:r>
      <w:r w:rsidRPr="003024E5">
        <w:rPr>
          <w:rFonts w:asciiTheme="minorBidi" w:hAnsiTheme="minorBidi"/>
          <w:sz w:val="16"/>
          <w:szCs w:val="16"/>
          <w:rtl/>
        </w:rPr>
        <w:t>(סו"ס כז)</w:t>
      </w:r>
      <w:r w:rsidRPr="003024E5">
        <w:rPr>
          <w:rFonts w:asciiTheme="minorBidi" w:hAnsiTheme="minorBidi"/>
          <w:rtl/>
        </w:rPr>
        <w:t>- מותר לכתחלה למולחו עם הבשר בכל ענין, שהמלח אינו מפליט החלב שבו</w:t>
      </w:r>
      <w:r>
        <w:rPr>
          <w:rStyle w:val="a7"/>
          <w:rFonts w:asciiTheme="minorBidi" w:hAnsiTheme="minorBidi"/>
          <w:rtl/>
        </w:rPr>
        <w:footnoteReference w:id="1290"/>
      </w:r>
      <w:r w:rsidRPr="003024E5">
        <w:rPr>
          <w:rFonts w:asciiTheme="minorBidi" w:hAnsiTheme="minorBidi"/>
          <w:rtl/>
        </w:rPr>
        <w:t xml:space="preserve">, וגם אין </w:t>
      </w:r>
      <w:r w:rsidRPr="003024E5">
        <w:rPr>
          <w:rFonts w:asciiTheme="minorBidi" w:hAnsiTheme="minorBidi"/>
          <w:sz w:val="16"/>
          <w:szCs w:val="16"/>
          <w:rtl/>
        </w:rPr>
        <w:t xml:space="preserve">{החלב} </w:t>
      </w:r>
      <w:r w:rsidRPr="003024E5">
        <w:rPr>
          <w:rFonts w:asciiTheme="minorBidi" w:hAnsiTheme="minorBidi"/>
          <w:rtl/>
        </w:rPr>
        <w:t>נבלע בדופני הכחל אלא כנוס במעיו</w:t>
      </w:r>
      <w:r w:rsidRPr="003024E5">
        <w:rPr>
          <w:rStyle w:val="a7"/>
          <w:rFonts w:asciiTheme="minorBidi" w:hAnsiTheme="minorBidi"/>
          <w:rtl/>
        </w:rPr>
        <w:footnoteReference w:id="1291"/>
      </w:r>
      <w:r w:rsidRPr="003024E5">
        <w:rPr>
          <w:rFonts w:asciiTheme="minorBidi" w:hAnsiTheme="minorBidi"/>
          <w:rtl/>
        </w:rPr>
        <w:t>.</w:t>
      </w:r>
    </w:p>
    <w:p w14:paraId="122FC2FC" w14:textId="77777777" w:rsidR="002C39F4" w:rsidRPr="003024E5" w:rsidRDefault="002C39F4" w:rsidP="0032102C">
      <w:pPr>
        <w:pStyle w:val="a8"/>
        <w:numPr>
          <w:ilvl w:val="0"/>
          <w:numId w:val="160"/>
        </w:numPr>
        <w:rPr>
          <w:rFonts w:asciiTheme="minorBidi" w:hAnsiTheme="minorBidi"/>
        </w:rPr>
      </w:pP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יח ד"ב)</w:t>
      </w:r>
      <w:r w:rsidRPr="003024E5">
        <w:rPr>
          <w:rFonts w:asciiTheme="minorBidi" w:hAnsiTheme="minorBidi"/>
          <w:rtl/>
        </w:rPr>
        <w:t>- מליחה היא כצלייה, ואם לא נקרע כלל ומלחוהו עם בשר או בלא בשר אסור בדיעבד כמו בצלי, ואם נקרע קצת בדיעבד שרי, ולכתחלה בעינן שתי וערב וטחו בכותל</w:t>
      </w:r>
      <w:r>
        <w:rPr>
          <w:rFonts w:asciiTheme="minorBidi" w:hAnsiTheme="minorBidi" w:hint="cs"/>
          <w:rtl/>
        </w:rPr>
        <w:t>,</w:t>
      </w:r>
      <w:r w:rsidRPr="003024E5">
        <w:rPr>
          <w:rFonts w:asciiTheme="minorBidi" w:hAnsiTheme="minorBidi"/>
          <w:rtl/>
        </w:rPr>
        <w:t xml:space="preserve"> ואם מלחו עם בשר הבשר שתחתיו אסור והבשר שעליו מותר בדיעבד</w:t>
      </w:r>
      <w:r>
        <w:rPr>
          <w:rFonts w:asciiTheme="minorBidi" w:hAnsiTheme="minorBidi" w:hint="cs"/>
          <w:rtl/>
        </w:rPr>
        <w:t>,</w:t>
      </w:r>
      <w:r w:rsidRPr="003024E5">
        <w:rPr>
          <w:rFonts w:asciiTheme="minorBidi" w:hAnsiTheme="minorBidi"/>
          <w:rtl/>
        </w:rPr>
        <w:t xml:space="preserve"> ולכתחלה אין למלחו עם בשר כלל</w:t>
      </w:r>
      <w:r w:rsidRPr="003024E5">
        <w:rPr>
          <w:rStyle w:val="a7"/>
          <w:rFonts w:asciiTheme="minorBidi" w:hAnsiTheme="minorBidi"/>
          <w:rtl/>
        </w:rPr>
        <w:footnoteReference w:id="1292"/>
      </w:r>
      <w:r w:rsidRPr="003024E5">
        <w:rPr>
          <w:rFonts w:asciiTheme="minorBidi" w:hAnsiTheme="minorBidi"/>
          <w:rtl/>
        </w:rPr>
        <w:t>.</w:t>
      </w:r>
    </w:p>
    <w:p w14:paraId="4D57F478" w14:textId="77777777" w:rsidR="002C39F4" w:rsidRPr="003024E5" w:rsidRDefault="002C39F4" w:rsidP="002C39F4">
      <w:pPr>
        <w:rPr>
          <w:rFonts w:asciiTheme="minorBidi" w:hAnsiTheme="minorBidi"/>
          <w:rtl/>
        </w:rPr>
      </w:pPr>
      <w:r w:rsidRPr="003024E5">
        <w:rPr>
          <w:rFonts w:asciiTheme="minorBidi" w:hAnsiTheme="minorBidi"/>
          <w:u w:val="single"/>
          <w:rtl/>
        </w:rPr>
        <w:t>כחל ובשר שנמלחו יחד בכלי מנוקב:</w:t>
      </w:r>
    </w:p>
    <w:p w14:paraId="424A7EE7" w14:textId="77777777" w:rsidR="002C39F4" w:rsidRPr="00E72FCB" w:rsidRDefault="002C39F4" w:rsidP="0032102C">
      <w:pPr>
        <w:pStyle w:val="a8"/>
        <w:numPr>
          <w:ilvl w:val="0"/>
          <w:numId w:val="161"/>
        </w:numPr>
        <w:rPr>
          <w:rFonts w:asciiTheme="minorBidi" w:hAnsiTheme="minorBidi"/>
          <w:rtl/>
        </w:rPr>
      </w:pPr>
      <w:r w:rsidRPr="003024E5">
        <w:rPr>
          <w:rFonts w:asciiTheme="minorBidi" w:hAnsiTheme="minorBidi"/>
          <w:rtl/>
        </w:rPr>
        <w:t>הגמ"ר</w:t>
      </w:r>
      <w:r w:rsidRPr="003024E5">
        <w:rPr>
          <w:rFonts w:asciiTheme="minorBidi" w:hAnsiTheme="minorBidi"/>
          <w:sz w:val="16"/>
          <w:szCs w:val="16"/>
          <w:rtl/>
        </w:rPr>
        <w:t xml:space="preserve"> (סי' תשמה)</w:t>
      </w:r>
      <w:r w:rsidRPr="003024E5">
        <w:rPr>
          <w:rFonts w:asciiTheme="minorBidi" w:hAnsiTheme="minorBidi"/>
          <w:rtl/>
        </w:rPr>
        <w:t>- מעשה בכחל ובשר שנמלחו יחד בכלי מנוקב ולאח"כ שמוהו בכלי שאינו מנוקב והתיר מהר"ם שניהם</w:t>
      </w:r>
      <w:r w:rsidRPr="003024E5">
        <w:rPr>
          <w:rStyle w:val="a7"/>
          <w:rFonts w:asciiTheme="minorBidi" w:hAnsiTheme="minorBidi"/>
          <w:rtl/>
        </w:rPr>
        <w:footnoteReference w:id="1293"/>
      </w:r>
      <w:r w:rsidRPr="003024E5">
        <w:rPr>
          <w:rFonts w:asciiTheme="minorBidi" w:hAnsiTheme="minorBidi"/>
          <w:rtl/>
        </w:rPr>
        <w:t>.</w:t>
      </w:r>
    </w:p>
    <w:p w14:paraId="3EF33F8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4DA0A0C" w14:textId="77777777" w:rsidR="002C39F4" w:rsidRPr="003024E5" w:rsidRDefault="002C39F4" w:rsidP="002C39F4">
      <w:pPr>
        <w:rPr>
          <w:rFonts w:asciiTheme="minorBidi" w:hAnsiTheme="minorBidi"/>
          <w:rtl/>
        </w:rPr>
      </w:pPr>
      <w:r w:rsidRPr="003024E5">
        <w:rPr>
          <w:rFonts w:asciiTheme="minorBidi" w:hAnsiTheme="minorBidi"/>
          <w:rtl/>
        </w:rPr>
        <w:t>לצלות כחל או למולחו עם הבשר, דינו כדין צליית או מליחת כבד עם בשר</w:t>
      </w:r>
      <w:r>
        <w:rPr>
          <w:rStyle w:val="a7"/>
          <w:rFonts w:asciiTheme="minorBidi" w:hAnsiTheme="minorBidi"/>
          <w:rtl/>
        </w:rPr>
        <w:footnoteReference w:id="1294"/>
      </w:r>
      <w:r w:rsidRPr="003024E5">
        <w:rPr>
          <w:rFonts w:asciiTheme="minorBidi" w:hAnsiTheme="minorBidi"/>
          <w:rtl/>
        </w:rPr>
        <w:t xml:space="preserve">, ויש מי שמתיר למלוח כחל על הבשר. </w:t>
      </w:r>
      <w:r w:rsidRPr="003024E5">
        <w:rPr>
          <w:rFonts w:asciiTheme="minorBidi" w:hAnsiTheme="minorBidi"/>
          <w:sz w:val="18"/>
          <w:szCs w:val="18"/>
          <w:rtl/>
        </w:rPr>
        <w:t>הגה: ואין למולחו עם בשר</w:t>
      </w:r>
      <w:r>
        <w:rPr>
          <w:rFonts w:asciiTheme="minorBidi" w:hAnsiTheme="minorBidi" w:hint="cs"/>
          <w:sz w:val="18"/>
          <w:szCs w:val="18"/>
          <w:rtl/>
        </w:rPr>
        <w:t xml:space="preserve"> </w:t>
      </w:r>
      <w:r w:rsidRPr="003024E5">
        <w:rPr>
          <w:rFonts w:asciiTheme="minorBidi" w:hAnsiTheme="minorBidi"/>
          <w:sz w:val="18"/>
          <w:szCs w:val="18"/>
          <w:rtl/>
        </w:rPr>
        <w:t>(ארוך כלל יח), אבל בדיעבד בכל ענין מותר</w:t>
      </w:r>
      <w:r>
        <w:rPr>
          <w:rFonts w:asciiTheme="minorBidi" w:hAnsiTheme="minorBidi" w:hint="cs"/>
          <w:sz w:val="18"/>
          <w:szCs w:val="18"/>
          <w:rtl/>
        </w:rPr>
        <w:t xml:space="preserve"> (ד"ע</w:t>
      </w:r>
      <w:r w:rsidRPr="003024E5">
        <w:rPr>
          <w:rFonts w:asciiTheme="minorBidi" w:hAnsiTheme="minorBidi"/>
          <w:sz w:val="18"/>
          <w:szCs w:val="18"/>
          <w:rtl/>
        </w:rPr>
        <w:t>). עור הקיבה לאחר שהוסר חלבו מתוכו והודח יש לו דין שאר בשר ומותר למלחו</w:t>
      </w:r>
      <w:r>
        <w:rPr>
          <w:rStyle w:val="a7"/>
          <w:rFonts w:asciiTheme="minorBidi" w:hAnsiTheme="minorBidi"/>
          <w:sz w:val="18"/>
          <w:szCs w:val="18"/>
          <w:rtl/>
        </w:rPr>
        <w:footnoteReference w:id="1295"/>
      </w:r>
      <w:r w:rsidRPr="003024E5">
        <w:rPr>
          <w:rFonts w:asciiTheme="minorBidi" w:hAnsiTheme="minorBidi"/>
          <w:sz w:val="18"/>
          <w:szCs w:val="18"/>
          <w:rtl/>
        </w:rPr>
        <w:t xml:space="preserve"> עם שאר בשר ואין לו דין כחל כלל</w:t>
      </w:r>
      <w:r>
        <w:rPr>
          <w:rStyle w:val="a7"/>
          <w:rFonts w:asciiTheme="minorBidi" w:hAnsiTheme="minorBidi"/>
          <w:sz w:val="18"/>
          <w:szCs w:val="18"/>
          <w:rtl/>
        </w:rPr>
        <w:footnoteReference w:id="1296"/>
      </w:r>
      <w:r w:rsidRPr="003024E5">
        <w:rPr>
          <w:rFonts w:asciiTheme="minorBidi" w:hAnsiTheme="minorBidi"/>
          <w:sz w:val="18"/>
          <w:szCs w:val="18"/>
          <w:rtl/>
        </w:rPr>
        <w:t xml:space="preserve"> (שם).</w:t>
      </w:r>
    </w:p>
    <w:p w14:paraId="0BC03193" w14:textId="77777777" w:rsidR="002C39F4" w:rsidRPr="003024E5" w:rsidRDefault="002C39F4" w:rsidP="002C39F4">
      <w:pPr>
        <w:rPr>
          <w:rFonts w:asciiTheme="minorBidi" w:hAnsiTheme="minorBidi"/>
          <w:rtl/>
        </w:rPr>
      </w:pPr>
    </w:p>
    <w:p w14:paraId="673A8541" w14:textId="77777777" w:rsidR="002C39F4" w:rsidRPr="003024E5" w:rsidRDefault="002C39F4" w:rsidP="002C39F4">
      <w:pPr>
        <w:rPr>
          <w:rFonts w:asciiTheme="minorBidi" w:hAnsiTheme="minorBidi"/>
          <w:rtl/>
        </w:rPr>
      </w:pPr>
    </w:p>
    <w:p w14:paraId="4B16F8F0" w14:textId="77777777" w:rsidR="002C39F4" w:rsidRPr="003024E5" w:rsidRDefault="002C39F4" w:rsidP="002C39F4">
      <w:pPr>
        <w:rPr>
          <w:rFonts w:asciiTheme="minorBidi" w:hAnsiTheme="minorBidi"/>
          <w:rtl/>
        </w:rPr>
      </w:pPr>
    </w:p>
    <w:p w14:paraId="4B58DF5C" w14:textId="77777777" w:rsidR="002C39F4" w:rsidRPr="003024E5" w:rsidRDefault="002C39F4" w:rsidP="002C39F4">
      <w:pPr>
        <w:rPr>
          <w:rFonts w:asciiTheme="minorBidi" w:hAnsiTheme="minorBidi"/>
          <w:rtl/>
        </w:rPr>
      </w:pPr>
    </w:p>
    <w:p w14:paraId="2B7DB3E6" w14:textId="77777777" w:rsidR="002C39F4" w:rsidRPr="003024E5" w:rsidRDefault="002C39F4" w:rsidP="002C39F4">
      <w:pPr>
        <w:rPr>
          <w:rFonts w:asciiTheme="minorBidi" w:hAnsiTheme="minorBidi"/>
          <w:rtl/>
        </w:rPr>
      </w:pPr>
    </w:p>
    <w:p w14:paraId="106B527A"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0047D696"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צא: דין בשר וחלב שנתערבו, ובו ח' סעיפים. </w:t>
      </w:r>
    </w:p>
    <w:p w14:paraId="5EFFD7D0"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בשר וגבינה צוננים שנגעו זה בזה.</w:t>
      </w:r>
    </w:p>
    <w:p w14:paraId="18071D8F" w14:textId="77777777" w:rsidR="002C39F4" w:rsidRPr="00BC5E97" w:rsidRDefault="002C39F4" w:rsidP="002C39F4">
      <w:pPr>
        <w:rPr>
          <w:rtl/>
        </w:rPr>
      </w:pPr>
      <w:r>
        <w:rPr>
          <w:rFonts w:cs="Arial" w:hint="cs"/>
          <w:b/>
          <w:bCs/>
          <w:rtl/>
        </w:rPr>
        <w:t xml:space="preserve">חולין קז ע"ב: </w:t>
      </w:r>
      <w:r w:rsidRPr="00BC5E97">
        <w:rPr>
          <w:rFonts w:cs="Arial"/>
          <w:u w:val="double"/>
          <w:rtl/>
        </w:rPr>
        <w:t>מתני'</w:t>
      </w:r>
      <w:r w:rsidRPr="00BC5E97">
        <w:rPr>
          <w:rFonts w:cs="Arial" w:hint="cs"/>
          <w:u w:val="double"/>
          <w:rtl/>
        </w:rPr>
        <w:t>:</w:t>
      </w:r>
      <w:r>
        <w:rPr>
          <w:rFonts w:cs="Arial"/>
          <w:rtl/>
        </w:rPr>
        <w:t xml:space="preserve"> צורר אדם בשר וגבינה במטפחת אחת ובלבד שלא יהו נוגעין זה בזה.</w:t>
      </w:r>
      <w:r>
        <w:rPr>
          <w:rFonts w:cs="Arial" w:hint="cs"/>
          <w:rtl/>
        </w:rPr>
        <w:t xml:space="preserve">...   </w:t>
      </w:r>
      <w:r w:rsidRPr="00BC5E97">
        <w:rPr>
          <w:rFonts w:cs="Arial"/>
          <w:u w:val="double"/>
          <w:rtl/>
        </w:rPr>
        <w:t>גמ'</w:t>
      </w:r>
      <w:r w:rsidRPr="00BC5E97">
        <w:rPr>
          <w:rFonts w:cs="Arial" w:hint="cs"/>
          <w:u w:val="double"/>
          <w:rtl/>
        </w:rPr>
        <w:t>:</w:t>
      </w:r>
      <w:r>
        <w:rPr>
          <w:rFonts w:cs="Arial"/>
          <w:rtl/>
        </w:rPr>
        <w:t xml:space="preserve"> וכי נוגע זה בזה מאי הוי? צונן בצונן הוא! </w:t>
      </w:r>
      <w:r w:rsidRPr="00BC5E97">
        <w:rPr>
          <w:rFonts w:cs="Arial"/>
          <w:u w:val="single"/>
          <w:rtl/>
        </w:rPr>
        <w:t>אמר אביי:</w:t>
      </w:r>
      <w:r>
        <w:rPr>
          <w:rFonts w:cs="Arial"/>
          <w:rtl/>
        </w:rPr>
        <w:t xml:space="preserve"> נהי דקליפה לא בעי, הדחה מי לא בעי</w:t>
      </w:r>
      <w:r>
        <w:rPr>
          <w:rFonts w:cs="Arial" w:hint="cs"/>
          <w:rtl/>
        </w:rPr>
        <w:t>?</w:t>
      </w:r>
      <w:r>
        <w:rPr>
          <w:rFonts w:cs="Arial"/>
          <w:rtl/>
        </w:rPr>
        <w:t>!</w:t>
      </w:r>
    </w:p>
    <w:p w14:paraId="6405B463"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9E63812" w14:textId="77777777" w:rsidR="002C39F4" w:rsidRDefault="002C39F4" w:rsidP="002C39F4">
      <w:pPr>
        <w:rPr>
          <w:rFonts w:asciiTheme="minorBidi" w:hAnsiTheme="minorBidi"/>
          <w:rtl/>
        </w:rPr>
      </w:pPr>
      <w:r>
        <w:rPr>
          <w:rFonts w:asciiTheme="minorBidi" w:hAnsiTheme="minorBidi"/>
          <w:rtl/>
        </w:rPr>
        <w:t>בשר וגבינה שנגעו זה בזה מותרים אלא שצריך להדיח מקום נגיעתן</w:t>
      </w:r>
      <w:r>
        <w:rPr>
          <w:rStyle w:val="a7"/>
          <w:rFonts w:asciiTheme="minorBidi" w:hAnsiTheme="minorBidi"/>
          <w:rtl/>
        </w:rPr>
        <w:footnoteReference w:id="1297"/>
      </w:r>
      <w:r>
        <w:rPr>
          <w:rFonts w:asciiTheme="minorBidi" w:hAnsiTheme="minorBidi" w:hint="cs"/>
          <w:rtl/>
        </w:rPr>
        <w:t>,</w:t>
      </w:r>
      <w:r w:rsidRPr="003024E5">
        <w:rPr>
          <w:rFonts w:asciiTheme="minorBidi" w:hAnsiTheme="minorBidi"/>
          <w:rtl/>
        </w:rPr>
        <w:t xml:space="preserve"> ומותר לצור אותם במטפחת </w:t>
      </w:r>
      <w:r>
        <w:rPr>
          <w:rFonts w:asciiTheme="minorBidi" w:hAnsiTheme="minorBidi"/>
          <w:rtl/>
        </w:rPr>
        <w:t>אחת</w:t>
      </w:r>
      <w:r w:rsidRPr="003024E5">
        <w:rPr>
          <w:rFonts w:asciiTheme="minorBidi" w:hAnsiTheme="minorBidi"/>
          <w:rtl/>
        </w:rPr>
        <w:t xml:space="preserve"> ולא חיישינן שמא יגעו זה בזה. </w:t>
      </w:r>
    </w:p>
    <w:p w14:paraId="2001D8EB" w14:textId="77777777" w:rsidR="002C39F4" w:rsidRPr="003024E5" w:rsidRDefault="002C39F4" w:rsidP="002C39F4">
      <w:pPr>
        <w:rPr>
          <w:rFonts w:asciiTheme="minorBidi" w:hAnsiTheme="minorBidi"/>
          <w:rtl/>
        </w:rPr>
      </w:pPr>
    </w:p>
    <w:p w14:paraId="01EB62B3"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בשר בקערת איסור.</w:t>
      </w:r>
    </w:p>
    <w:p w14:paraId="3E3630C3" w14:textId="77777777" w:rsidR="002C39F4" w:rsidRPr="00BC5E97" w:rsidRDefault="002C39F4" w:rsidP="002C39F4">
      <w:pPr>
        <w:rPr>
          <w:rtl/>
        </w:rPr>
      </w:pPr>
      <w:r>
        <w:rPr>
          <w:rFonts w:cs="Arial" w:hint="cs"/>
          <w:b/>
          <w:bCs/>
          <w:rtl/>
        </w:rPr>
        <w:t xml:space="preserve">חולין קז ע"ב: </w:t>
      </w:r>
      <w:r w:rsidRPr="00BC5E97">
        <w:rPr>
          <w:rFonts w:cs="Arial"/>
          <w:u w:val="double"/>
          <w:rtl/>
        </w:rPr>
        <w:t>מתני'</w:t>
      </w:r>
      <w:r w:rsidRPr="00BC5E97">
        <w:rPr>
          <w:rFonts w:cs="Arial" w:hint="cs"/>
          <w:u w:val="double"/>
          <w:rtl/>
        </w:rPr>
        <w:t>:</w:t>
      </w:r>
      <w:r>
        <w:rPr>
          <w:rFonts w:cs="Arial"/>
          <w:rtl/>
        </w:rPr>
        <w:t xml:space="preserve"> צורר אדם בשר וגבינה במטפחת אחת ובלבד שלא יהו נוגעין זה בזה.</w:t>
      </w:r>
      <w:r>
        <w:rPr>
          <w:rFonts w:cs="Arial" w:hint="cs"/>
          <w:rtl/>
        </w:rPr>
        <w:t xml:space="preserve">...   </w:t>
      </w:r>
      <w:r w:rsidRPr="00BC5E97">
        <w:rPr>
          <w:rFonts w:cs="Arial"/>
          <w:u w:val="double"/>
          <w:rtl/>
        </w:rPr>
        <w:t>גמ'</w:t>
      </w:r>
      <w:r w:rsidRPr="00BC5E97">
        <w:rPr>
          <w:rFonts w:cs="Arial" w:hint="cs"/>
          <w:u w:val="double"/>
          <w:rtl/>
        </w:rPr>
        <w:t>:</w:t>
      </w:r>
      <w:r>
        <w:rPr>
          <w:rFonts w:cs="Arial"/>
          <w:rtl/>
        </w:rPr>
        <w:t xml:space="preserve"> וכי נוגע זה בזה מאי הוי? צונן בצונן הוא! </w:t>
      </w:r>
      <w:r w:rsidRPr="00BC5E97">
        <w:rPr>
          <w:rFonts w:cs="Arial"/>
          <w:u w:val="single"/>
          <w:rtl/>
        </w:rPr>
        <w:t>אמר אביי:</w:t>
      </w:r>
      <w:r>
        <w:rPr>
          <w:rFonts w:cs="Arial"/>
          <w:rtl/>
        </w:rPr>
        <w:t xml:space="preserve"> נהי דקליפה לא בעי, הדחה מי לא בעי</w:t>
      </w:r>
      <w:r>
        <w:rPr>
          <w:rFonts w:cs="Arial" w:hint="cs"/>
          <w:rtl/>
        </w:rPr>
        <w:t>?</w:t>
      </w:r>
      <w:r>
        <w:rPr>
          <w:rFonts w:cs="Arial"/>
          <w:rtl/>
        </w:rPr>
        <w:t>!</w:t>
      </w:r>
      <w:r>
        <w:rPr>
          <w:rFonts w:hint="cs"/>
          <w:rtl/>
        </w:rPr>
        <w:t xml:space="preserve"> </w:t>
      </w:r>
    </w:p>
    <w:p w14:paraId="3FF98A79" w14:textId="77777777" w:rsidR="002C39F4" w:rsidRPr="00AB1208" w:rsidRDefault="002C39F4" w:rsidP="002C39F4">
      <w:pPr>
        <w:rPr>
          <w:rFonts w:cs="Arial"/>
          <w:u w:val="single"/>
          <w:rtl/>
        </w:rPr>
      </w:pPr>
      <w:r>
        <w:rPr>
          <w:rFonts w:cs="Arial" w:hint="cs"/>
          <w:u w:val="single"/>
          <w:rtl/>
        </w:rPr>
        <w:t>נתינת</w:t>
      </w:r>
      <w:r w:rsidRPr="00AB1208">
        <w:rPr>
          <w:rFonts w:cs="Arial" w:hint="cs"/>
          <w:u w:val="single"/>
          <w:rtl/>
        </w:rPr>
        <w:t xml:space="preserve"> בשר בקערת איסור:</w:t>
      </w:r>
    </w:p>
    <w:p w14:paraId="6342286F" w14:textId="77777777" w:rsidR="002C39F4" w:rsidRPr="00AB1208" w:rsidRDefault="002C39F4" w:rsidP="0032102C">
      <w:pPr>
        <w:pStyle w:val="a8"/>
        <w:numPr>
          <w:ilvl w:val="0"/>
          <w:numId w:val="161"/>
        </w:numPr>
        <w:rPr>
          <w:rFonts w:cs="Arial"/>
          <w:rtl/>
        </w:rPr>
      </w:pPr>
      <w:r w:rsidRPr="00AB1208">
        <w:rPr>
          <w:rFonts w:cs="Arial" w:hint="cs"/>
          <w:rtl/>
        </w:rPr>
        <w:t>בהעי"ט</w:t>
      </w:r>
      <w:r w:rsidRPr="00AB1208">
        <w:rPr>
          <w:rFonts w:cs="Arial"/>
          <w:rtl/>
        </w:rPr>
        <w:t xml:space="preserve"> ראב"ד ו</w:t>
      </w:r>
      <w:r w:rsidRPr="00AB1208">
        <w:rPr>
          <w:rFonts w:cs="Arial" w:hint="cs"/>
          <w:rtl/>
        </w:rPr>
        <w:t>רשב"א</w:t>
      </w:r>
      <w:r>
        <w:rPr>
          <w:rStyle w:val="a7"/>
          <w:rFonts w:cs="Arial"/>
          <w:rtl/>
        </w:rPr>
        <w:footnoteReference w:id="1298"/>
      </w:r>
      <w:r w:rsidRPr="00AB1208">
        <w:rPr>
          <w:rFonts w:cs="Arial" w:hint="cs"/>
          <w:rtl/>
        </w:rPr>
        <w:t>-</w:t>
      </w:r>
      <w:r w:rsidRPr="00AB1208">
        <w:rPr>
          <w:rFonts w:cs="Arial"/>
          <w:rtl/>
        </w:rPr>
        <w:t xml:space="preserve"> שמע מינה כל מידי דבעי הדחה</w:t>
      </w:r>
      <w:r>
        <w:rPr>
          <w:rFonts w:cs="Arial" w:hint="cs"/>
          <w:rtl/>
        </w:rPr>
        <w:t>,</w:t>
      </w:r>
      <w:r w:rsidRPr="00AB1208">
        <w:rPr>
          <w:rFonts w:cs="Arial"/>
          <w:rtl/>
        </w:rPr>
        <w:t xml:space="preserve"> כגון בשר היתר צונן בקערה של איסור צונן</w:t>
      </w:r>
      <w:r>
        <w:rPr>
          <w:rFonts w:cs="Arial" w:hint="cs"/>
          <w:rtl/>
        </w:rPr>
        <w:t>,</w:t>
      </w:r>
      <w:r w:rsidRPr="00AB1208">
        <w:rPr>
          <w:rFonts w:cs="Arial"/>
          <w:rtl/>
        </w:rPr>
        <w:t xml:space="preserve"> אסור לכתחלה</w:t>
      </w:r>
      <w:r>
        <w:rPr>
          <w:rFonts w:cs="Arial" w:hint="cs"/>
          <w:rtl/>
        </w:rPr>
        <w:t>,</w:t>
      </w:r>
      <w:r w:rsidRPr="00AB1208">
        <w:rPr>
          <w:rFonts w:cs="Arial"/>
          <w:rtl/>
        </w:rPr>
        <w:t xml:space="preserve"> דילמא אכיל בלא הדחה</w:t>
      </w:r>
      <w:r w:rsidRPr="00AB1208">
        <w:rPr>
          <w:rFonts w:cs="Arial" w:hint="cs"/>
          <w:rtl/>
        </w:rPr>
        <w:t>,</w:t>
      </w:r>
      <w:r w:rsidRPr="00AB1208">
        <w:rPr>
          <w:rFonts w:cs="Arial"/>
          <w:rtl/>
        </w:rPr>
        <w:t xml:space="preserve"> ודוקא בשר מבושל דלאו אורחיה בהדחה אבל מידי דאורחיה בהדחה כגון בשר חי וכיוצא בו שרי לכתחלה</w:t>
      </w:r>
      <w:r>
        <w:rPr>
          <w:rStyle w:val="a7"/>
          <w:rFonts w:cs="Arial"/>
          <w:rtl/>
        </w:rPr>
        <w:footnoteReference w:id="1299"/>
      </w:r>
      <w:r w:rsidRPr="00AB1208">
        <w:rPr>
          <w:rFonts w:cs="Arial" w:hint="cs"/>
          <w:sz w:val="16"/>
          <w:szCs w:val="16"/>
          <w:rtl/>
        </w:rPr>
        <w:t xml:space="preserve"> (ל' בהעי"ט)</w:t>
      </w:r>
      <w:r>
        <w:rPr>
          <w:rStyle w:val="a7"/>
          <w:rFonts w:cs="Arial"/>
          <w:rtl/>
        </w:rPr>
        <w:footnoteReference w:id="1300"/>
      </w:r>
      <w:r>
        <w:rPr>
          <w:rFonts w:cs="Arial" w:hint="cs"/>
          <w:rtl/>
        </w:rPr>
        <w:t>.</w:t>
      </w:r>
      <w:r w:rsidRPr="00483D66">
        <w:rPr>
          <w:rFonts w:cs="Arial" w:hint="cs"/>
          <w:color w:val="E36C0A" w:themeColor="accent6" w:themeShade="BF"/>
          <w:rtl/>
        </w:rPr>
        <w:t xml:space="preserve"> (וכ"פ בשו"ע)</w:t>
      </w:r>
    </w:p>
    <w:p w14:paraId="7C161A6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7004A84" w14:textId="77777777" w:rsidR="002C39F4" w:rsidRDefault="002C39F4" w:rsidP="002C39F4">
      <w:pPr>
        <w:rPr>
          <w:rFonts w:asciiTheme="minorBidi" w:hAnsiTheme="minorBidi"/>
          <w:rtl/>
        </w:rPr>
      </w:pPr>
      <w:r>
        <w:rPr>
          <w:rFonts w:asciiTheme="minorBidi" w:hAnsiTheme="minorBidi"/>
          <w:rtl/>
        </w:rPr>
        <w:t>כל מידי דבעי הדחה</w:t>
      </w:r>
      <w:r>
        <w:rPr>
          <w:rFonts w:asciiTheme="minorBidi" w:hAnsiTheme="minorBidi" w:hint="cs"/>
          <w:rtl/>
        </w:rPr>
        <w:t>,</w:t>
      </w:r>
      <w:r w:rsidRPr="003024E5">
        <w:rPr>
          <w:rFonts w:asciiTheme="minorBidi" w:hAnsiTheme="minorBidi"/>
          <w:rtl/>
        </w:rPr>
        <w:t xml:space="preserve"> כגון להניח בש</w:t>
      </w:r>
      <w:r>
        <w:rPr>
          <w:rFonts w:asciiTheme="minorBidi" w:hAnsiTheme="minorBidi"/>
          <w:rtl/>
        </w:rPr>
        <w:t>ר היתר צונן בקערה של איסור צונן</w:t>
      </w:r>
      <w:r>
        <w:rPr>
          <w:rFonts w:asciiTheme="minorBidi" w:hAnsiTheme="minorBidi" w:hint="cs"/>
          <w:rtl/>
        </w:rPr>
        <w:t>,</w:t>
      </w:r>
      <w:r>
        <w:rPr>
          <w:rFonts w:asciiTheme="minorBidi" w:hAnsiTheme="minorBidi"/>
          <w:rtl/>
        </w:rPr>
        <w:t xml:space="preserve"> אסור לכתחלה דילמא אכיל בלא הדחה</w:t>
      </w:r>
      <w:r>
        <w:rPr>
          <w:rStyle w:val="a7"/>
          <w:rFonts w:asciiTheme="minorBidi" w:hAnsiTheme="minorBidi"/>
          <w:rtl/>
        </w:rPr>
        <w:footnoteReference w:id="1301"/>
      </w:r>
      <w:r>
        <w:rPr>
          <w:rFonts w:asciiTheme="minorBidi" w:hAnsiTheme="minorBidi" w:hint="cs"/>
          <w:rtl/>
        </w:rPr>
        <w:t>,</w:t>
      </w:r>
      <w:r>
        <w:rPr>
          <w:rFonts w:asciiTheme="minorBidi" w:hAnsiTheme="minorBidi"/>
          <w:rtl/>
        </w:rPr>
        <w:t xml:space="preserve"> ודוקא מבושל דלאו אורחיה בהדחה, אבל מידי דאורחיה בהדחה</w:t>
      </w:r>
      <w:r>
        <w:rPr>
          <w:rFonts w:asciiTheme="minorBidi" w:hAnsiTheme="minorBidi" w:hint="cs"/>
          <w:rtl/>
        </w:rPr>
        <w:t>,</w:t>
      </w:r>
      <w:r>
        <w:rPr>
          <w:rFonts w:asciiTheme="minorBidi" w:hAnsiTheme="minorBidi"/>
          <w:rtl/>
        </w:rPr>
        <w:t xml:space="preserve"> כגון בשר חי וכיוצא בו</w:t>
      </w:r>
      <w:r>
        <w:rPr>
          <w:rFonts w:asciiTheme="minorBidi" w:hAnsiTheme="minorBidi" w:hint="cs"/>
          <w:rtl/>
        </w:rPr>
        <w:t>,</w:t>
      </w:r>
      <w:r w:rsidRPr="003024E5">
        <w:rPr>
          <w:rFonts w:asciiTheme="minorBidi" w:hAnsiTheme="minorBidi"/>
          <w:rtl/>
        </w:rPr>
        <w:t xml:space="preserve"> שרי לכתחלה.</w:t>
      </w:r>
      <w:r w:rsidRPr="0047666A">
        <w:rPr>
          <w:rFonts w:asciiTheme="minorBidi" w:hAnsiTheme="minorBidi"/>
          <w:sz w:val="18"/>
          <w:szCs w:val="18"/>
          <w:rtl/>
        </w:rPr>
        <w:t xml:space="preserve"> הגה: ודוקא דבר שיש בו לחלוחית קצת, אבל דבר יבש ממש, אם לא בלע הכלי רק בצונן, מותר להני</w:t>
      </w:r>
      <w:r>
        <w:rPr>
          <w:rFonts w:asciiTheme="minorBidi" w:hAnsiTheme="minorBidi"/>
          <w:sz w:val="18"/>
          <w:szCs w:val="18"/>
          <w:rtl/>
        </w:rPr>
        <w:t>ח בו דבר יבש בלא הדחה כלל</w:t>
      </w:r>
      <w:r>
        <w:rPr>
          <w:rStyle w:val="a7"/>
          <w:rFonts w:asciiTheme="minorBidi" w:hAnsiTheme="minorBidi"/>
          <w:sz w:val="18"/>
          <w:szCs w:val="18"/>
          <w:rtl/>
        </w:rPr>
        <w:footnoteReference w:id="1302"/>
      </w:r>
      <w:r>
        <w:rPr>
          <w:rFonts w:asciiTheme="minorBidi" w:hAnsiTheme="minorBidi"/>
          <w:sz w:val="18"/>
          <w:szCs w:val="18"/>
          <w:rtl/>
        </w:rPr>
        <w:t xml:space="preserve"> (ד"ע)</w:t>
      </w:r>
      <w:r>
        <w:rPr>
          <w:rFonts w:asciiTheme="minorBidi" w:hAnsiTheme="minorBidi" w:hint="cs"/>
          <w:sz w:val="18"/>
          <w:szCs w:val="18"/>
          <w:rtl/>
        </w:rPr>
        <w:t>,</w:t>
      </w:r>
      <w:r>
        <w:rPr>
          <w:rFonts w:asciiTheme="minorBidi" w:hAnsiTheme="minorBidi"/>
          <w:sz w:val="18"/>
          <w:szCs w:val="18"/>
          <w:rtl/>
        </w:rPr>
        <w:t xml:space="preserve"> וע"ל סי</w:t>
      </w:r>
      <w:r>
        <w:rPr>
          <w:rFonts w:asciiTheme="minorBidi" w:hAnsiTheme="minorBidi" w:hint="cs"/>
          <w:sz w:val="18"/>
          <w:szCs w:val="18"/>
          <w:rtl/>
        </w:rPr>
        <w:t>'</w:t>
      </w:r>
      <w:r>
        <w:rPr>
          <w:rFonts w:asciiTheme="minorBidi" w:hAnsiTheme="minorBidi"/>
          <w:sz w:val="18"/>
          <w:szCs w:val="18"/>
          <w:rtl/>
        </w:rPr>
        <w:t xml:space="preserve"> קכ</w:t>
      </w:r>
      <w:r>
        <w:rPr>
          <w:rFonts w:asciiTheme="minorBidi" w:hAnsiTheme="minorBidi" w:hint="cs"/>
          <w:sz w:val="18"/>
          <w:szCs w:val="18"/>
          <w:rtl/>
        </w:rPr>
        <w:t>א</w:t>
      </w:r>
      <w:r w:rsidRPr="0047666A">
        <w:rPr>
          <w:rFonts w:asciiTheme="minorBidi" w:hAnsiTheme="minorBidi"/>
          <w:sz w:val="18"/>
          <w:szCs w:val="18"/>
          <w:rtl/>
        </w:rPr>
        <w:t>.</w:t>
      </w:r>
      <w:r w:rsidRPr="003024E5">
        <w:rPr>
          <w:rFonts w:asciiTheme="minorBidi" w:hAnsiTheme="minorBidi"/>
          <w:rtl/>
        </w:rPr>
        <w:t xml:space="preserve"> </w:t>
      </w:r>
    </w:p>
    <w:p w14:paraId="6137AD73" w14:textId="77777777" w:rsidR="002C39F4" w:rsidRPr="003024E5" w:rsidRDefault="002C39F4" w:rsidP="002C39F4">
      <w:pPr>
        <w:rPr>
          <w:rFonts w:asciiTheme="minorBidi" w:hAnsiTheme="minorBidi"/>
          <w:rtl/>
        </w:rPr>
      </w:pPr>
    </w:p>
    <w:p w14:paraId="30060C97"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בשר/גבינה שנגעו בלחם.</w:t>
      </w:r>
    </w:p>
    <w:p w14:paraId="731DC156" w14:textId="77777777" w:rsidR="002C39F4" w:rsidRPr="0047666A" w:rsidRDefault="002C39F4" w:rsidP="002C39F4">
      <w:pPr>
        <w:rPr>
          <w:rtl/>
        </w:rPr>
      </w:pPr>
      <w:r>
        <w:rPr>
          <w:rFonts w:cs="Arial" w:hint="cs"/>
          <w:rtl/>
        </w:rPr>
        <w:t>נתבאר בסוף סימן פט.</w:t>
      </w:r>
    </w:p>
    <w:p w14:paraId="578F013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42DA5DF" w14:textId="77777777" w:rsidR="002C39F4" w:rsidRDefault="002C39F4" w:rsidP="002C39F4">
      <w:pPr>
        <w:rPr>
          <w:rFonts w:asciiTheme="minorBidi" w:hAnsiTheme="minorBidi"/>
          <w:rtl/>
        </w:rPr>
      </w:pPr>
      <w:r w:rsidRPr="003024E5">
        <w:rPr>
          <w:rFonts w:asciiTheme="minorBidi" w:hAnsiTheme="minorBidi"/>
          <w:rtl/>
        </w:rPr>
        <w:t>צריך ליזהר ש</w:t>
      </w:r>
      <w:r>
        <w:rPr>
          <w:rFonts w:asciiTheme="minorBidi" w:hAnsiTheme="minorBidi"/>
          <w:rtl/>
        </w:rPr>
        <w:t>לא יגע בשר בלחם, שאם יגע בו בשר אסור לאוכלו עם גבינה</w:t>
      </w:r>
      <w:r>
        <w:rPr>
          <w:rStyle w:val="a7"/>
          <w:rFonts w:asciiTheme="minorBidi" w:hAnsiTheme="minorBidi"/>
          <w:rtl/>
        </w:rPr>
        <w:footnoteReference w:id="1303"/>
      </w:r>
      <w:r>
        <w:rPr>
          <w:rFonts w:asciiTheme="minorBidi" w:hAnsiTheme="minorBidi" w:hint="cs"/>
          <w:rtl/>
        </w:rPr>
        <w:t>,</w:t>
      </w:r>
      <w:r w:rsidRPr="003024E5">
        <w:rPr>
          <w:rFonts w:asciiTheme="minorBidi" w:hAnsiTheme="minorBidi"/>
          <w:rtl/>
        </w:rPr>
        <w:t xml:space="preserve"> וכן יז</w:t>
      </w:r>
      <w:r>
        <w:rPr>
          <w:rFonts w:asciiTheme="minorBidi" w:hAnsiTheme="minorBidi"/>
          <w:rtl/>
        </w:rPr>
        <w:t>הר שלא יגע בו גבינה, שאם יגע בו</w:t>
      </w:r>
      <w:r w:rsidRPr="003024E5">
        <w:rPr>
          <w:rFonts w:asciiTheme="minorBidi" w:hAnsiTheme="minorBidi"/>
          <w:rtl/>
        </w:rPr>
        <w:t xml:space="preserve"> אסור לאכלו עם בשר. </w:t>
      </w:r>
    </w:p>
    <w:p w14:paraId="0641132A" w14:textId="77777777" w:rsidR="002C39F4" w:rsidRPr="003024E5" w:rsidRDefault="002C39F4" w:rsidP="002C39F4">
      <w:pPr>
        <w:rPr>
          <w:rFonts w:asciiTheme="minorBidi" w:hAnsiTheme="minorBidi"/>
          <w:rtl/>
        </w:rPr>
      </w:pPr>
    </w:p>
    <w:p w14:paraId="0988D9C0" w14:textId="77777777" w:rsidR="002C39F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בשר וחלב רותחים שנתערבו יחד.</w:t>
      </w:r>
    </w:p>
    <w:p w14:paraId="621643A9" w14:textId="77777777" w:rsidR="002C39F4" w:rsidRDefault="002C39F4" w:rsidP="002C39F4">
      <w:pPr>
        <w:rPr>
          <w:rFonts w:cs="Arial"/>
          <w:rtl/>
        </w:rPr>
      </w:pPr>
      <w:r>
        <w:rPr>
          <w:rFonts w:cs="Arial" w:hint="cs"/>
          <w:b/>
          <w:bCs/>
          <w:rtl/>
        </w:rPr>
        <w:t xml:space="preserve">פסחים עה ע"ב: </w:t>
      </w:r>
      <w:r>
        <w:rPr>
          <w:rFonts w:cs="Arial"/>
          <w:rtl/>
        </w:rPr>
        <w:t>איתמר: חם לתוך חם</w:t>
      </w:r>
      <w:r>
        <w:rPr>
          <w:rFonts w:cs="Arial" w:hint="cs"/>
          <w:rtl/>
        </w:rPr>
        <w:t xml:space="preserve"> </w:t>
      </w:r>
      <w:r w:rsidRPr="007C3926">
        <w:rPr>
          <w:rFonts w:cs="Arial"/>
          <w:rtl/>
        </w:rPr>
        <w:t>- דברי הכל</w:t>
      </w:r>
      <w:r w:rsidRPr="00672E27">
        <w:rPr>
          <w:rFonts w:cs="Arial" w:hint="cs"/>
          <w:sz w:val="14"/>
          <w:szCs w:val="14"/>
          <w:rtl/>
        </w:rPr>
        <w:t xml:space="preserve"> (עו.)</w:t>
      </w:r>
      <w:r>
        <w:rPr>
          <w:rFonts w:cs="Arial"/>
          <w:rtl/>
        </w:rPr>
        <w:t xml:space="preserve"> אסור. צונן לתוך צונן</w:t>
      </w:r>
      <w:r>
        <w:rPr>
          <w:rFonts w:cs="Arial" w:hint="cs"/>
          <w:rtl/>
        </w:rPr>
        <w:t xml:space="preserve"> </w:t>
      </w:r>
      <w:r w:rsidRPr="007C3926">
        <w:rPr>
          <w:rFonts w:cs="Arial"/>
          <w:rtl/>
        </w:rPr>
        <w:t>- דברי הכל מו</w:t>
      </w:r>
      <w:r>
        <w:rPr>
          <w:rFonts w:cs="Arial"/>
          <w:rtl/>
        </w:rPr>
        <w:t>תר. חם לתוך צונן, וצונן לתוך חם</w:t>
      </w:r>
      <w:r>
        <w:rPr>
          <w:rFonts w:cs="Arial" w:hint="cs"/>
          <w:rtl/>
        </w:rPr>
        <w:t>,</w:t>
      </w:r>
      <w:r w:rsidRPr="007C3926">
        <w:rPr>
          <w:rFonts w:cs="Arial"/>
          <w:rtl/>
        </w:rPr>
        <w:t xml:space="preserve"> </w:t>
      </w:r>
      <w:r w:rsidRPr="006D7551">
        <w:rPr>
          <w:rFonts w:cs="Arial"/>
          <w:u w:val="single"/>
          <w:rtl/>
        </w:rPr>
        <w:t>רב אמר</w:t>
      </w:r>
      <w:r w:rsidRPr="007C3926">
        <w:rPr>
          <w:rFonts w:cs="Arial"/>
          <w:rtl/>
        </w:rPr>
        <w:t>: ע</w:t>
      </w:r>
      <w:r>
        <w:rPr>
          <w:rFonts w:cs="Arial"/>
          <w:rtl/>
        </w:rPr>
        <w:t xml:space="preserve">ילאה גבר, </w:t>
      </w:r>
      <w:r w:rsidRPr="006D7551">
        <w:rPr>
          <w:rFonts w:cs="Arial"/>
          <w:u w:val="single"/>
          <w:rtl/>
        </w:rPr>
        <w:t>ושמואל אמר</w:t>
      </w:r>
      <w:r>
        <w:rPr>
          <w:rFonts w:cs="Arial"/>
          <w:rtl/>
        </w:rPr>
        <w:t>: תתאה גבר.</w:t>
      </w:r>
      <w:r>
        <w:rPr>
          <w:rFonts w:cs="Arial" w:hint="cs"/>
          <w:rtl/>
        </w:rPr>
        <w:t xml:space="preserve">.. </w:t>
      </w:r>
      <w:r>
        <w:rPr>
          <w:rFonts w:cs="Arial"/>
          <w:rtl/>
        </w:rPr>
        <w:t>תניא כוותיה דשמואל: חם לתוך חם</w:t>
      </w:r>
      <w:r>
        <w:rPr>
          <w:rFonts w:cs="Arial" w:hint="cs"/>
          <w:rtl/>
        </w:rPr>
        <w:t xml:space="preserve"> </w:t>
      </w:r>
      <w:r>
        <w:rPr>
          <w:rFonts w:cs="Arial"/>
          <w:rtl/>
        </w:rPr>
        <w:t>- אסור, וכן צונן שנתן לתוך חם</w:t>
      </w:r>
      <w:r>
        <w:rPr>
          <w:rFonts w:cs="Arial" w:hint="cs"/>
          <w:rtl/>
        </w:rPr>
        <w:t xml:space="preserve"> </w:t>
      </w:r>
      <w:r w:rsidRPr="007C3926">
        <w:rPr>
          <w:rFonts w:cs="Arial"/>
          <w:rtl/>
        </w:rPr>
        <w:t>- אסו</w:t>
      </w:r>
      <w:r>
        <w:rPr>
          <w:rFonts w:cs="Arial"/>
          <w:rtl/>
        </w:rPr>
        <w:t>ר. חם לתוך צונן וצונן לתוך צונן</w:t>
      </w:r>
      <w:r>
        <w:rPr>
          <w:rFonts w:cs="Arial" w:hint="cs"/>
          <w:rtl/>
        </w:rPr>
        <w:t xml:space="preserve"> </w:t>
      </w:r>
      <w:r w:rsidRPr="007C3926">
        <w:rPr>
          <w:rFonts w:cs="Arial"/>
          <w:rtl/>
        </w:rPr>
        <w:t xml:space="preserve">- מדיח. </w:t>
      </w:r>
      <w:r>
        <w:rPr>
          <w:rFonts w:cs="Arial"/>
          <w:rtl/>
        </w:rPr>
        <w:t>חם לתוך צונן מדיח</w:t>
      </w:r>
      <w:r>
        <w:rPr>
          <w:rFonts w:cs="Arial" w:hint="cs"/>
          <w:rtl/>
        </w:rPr>
        <w:t>?</w:t>
      </w:r>
      <w:r>
        <w:rPr>
          <w:rFonts w:cs="Arial"/>
          <w:rtl/>
        </w:rPr>
        <w:t xml:space="preserve"> כיון דחם הוא</w:t>
      </w:r>
      <w:r w:rsidRPr="007C3926">
        <w:rPr>
          <w:rFonts w:cs="Arial"/>
          <w:rtl/>
        </w:rPr>
        <w:t xml:space="preserve"> א</w:t>
      </w:r>
      <w:r>
        <w:rPr>
          <w:rFonts w:cs="Arial"/>
          <w:rtl/>
        </w:rPr>
        <w:t>דמיקר ליה</w:t>
      </w:r>
      <w:r>
        <w:rPr>
          <w:rStyle w:val="a7"/>
          <w:rFonts w:cs="Arial"/>
          <w:rtl/>
        </w:rPr>
        <w:footnoteReference w:id="1304"/>
      </w:r>
      <w:r>
        <w:rPr>
          <w:rFonts w:cs="Arial"/>
          <w:rtl/>
        </w:rPr>
        <w:t xml:space="preserve"> אי אפשר דלא בלע פורתא</w:t>
      </w:r>
      <w:r w:rsidRPr="007C3926">
        <w:rPr>
          <w:rFonts w:cs="Arial"/>
          <w:rtl/>
        </w:rPr>
        <w:t xml:space="preserve"> קליפה מיה</w:t>
      </w:r>
      <w:r>
        <w:rPr>
          <w:rFonts w:cs="Arial"/>
          <w:rtl/>
        </w:rPr>
        <w:t>א ניבעי! אלא אימא: חם לתוך צונן</w:t>
      </w:r>
      <w:r>
        <w:rPr>
          <w:rFonts w:cs="Arial" w:hint="cs"/>
          <w:rtl/>
        </w:rPr>
        <w:t xml:space="preserve"> </w:t>
      </w:r>
      <w:r>
        <w:rPr>
          <w:rFonts w:cs="Arial"/>
          <w:rtl/>
        </w:rPr>
        <w:t>- קולף, צונן לתוך צונן</w:t>
      </w:r>
      <w:r>
        <w:rPr>
          <w:rFonts w:cs="Arial" w:hint="cs"/>
          <w:rtl/>
        </w:rPr>
        <w:t xml:space="preserve"> </w:t>
      </w:r>
      <w:r w:rsidRPr="007C3926">
        <w:rPr>
          <w:rFonts w:cs="Arial"/>
          <w:rtl/>
        </w:rPr>
        <w:t xml:space="preserve">- מדיח. תניא אידך: בשר רותח שנפל לתוך </w:t>
      </w:r>
      <w:r>
        <w:rPr>
          <w:rFonts w:cs="Arial"/>
          <w:rtl/>
        </w:rPr>
        <w:t>חלב רותח, וכן צונן שנפל לתוך חם</w:t>
      </w:r>
      <w:r>
        <w:rPr>
          <w:rFonts w:cs="Arial" w:hint="cs"/>
          <w:rtl/>
        </w:rPr>
        <w:t xml:space="preserve"> </w:t>
      </w:r>
      <w:r w:rsidRPr="007C3926">
        <w:rPr>
          <w:rFonts w:cs="Arial"/>
          <w:rtl/>
        </w:rPr>
        <w:t>- אסור</w:t>
      </w:r>
      <w:r>
        <w:rPr>
          <w:rFonts w:cs="Arial"/>
          <w:rtl/>
        </w:rPr>
        <w:t>. חם לתוך צונן, וצונן לתוך צונן</w:t>
      </w:r>
      <w:r>
        <w:rPr>
          <w:rFonts w:cs="Arial" w:hint="cs"/>
          <w:rtl/>
        </w:rPr>
        <w:t xml:space="preserve"> </w:t>
      </w:r>
      <w:r>
        <w:rPr>
          <w:rFonts w:cs="Arial"/>
          <w:rtl/>
        </w:rPr>
        <w:t>- מדיח</w:t>
      </w:r>
      <w:r>
        <w:rPr>
          <w:rFonts w:cs="Arial" w:hint="cs"/>
          <w:rtl/>
        </w:rPr>
        <w:t>,</w:t>
      </w:r>
      <w:r w:rsidRPr="007C3926">
        <w:rPr>
          <w:rFonts w:cs="Arial"/>
          <w:rtl/>
        </w:rPr>
        <w:t xml:space="preserve"> </w:t>
      </w:r>
      <w:r>
        <w:rPr>
          <w:rFonts w:cs="Arial"/>
          <w:rtl/>
        </w:rPr>
        <w:t>חם לתוך צונן מדיח? כיון דחם הוא</w:t>
      </w:r>
      <w:r w:rsidRPr="007C3926">
        <w:rPr>
          <w:rFonts w:cs="Arial"/>
          <w:rtl/>
        </w:rPr>
        <w:t xml:space="preserve"> א</w:t>
      </w:r>
      <w:r>
        <w:rPr>
          <w:rFonts w:cs="Arial"/>
          <w:rtl/>
        </w:rPr>
        <w:t>דמיקר ליה אי אפשר דלא בלע פורתא</w:t>
      </w:r>
      <w:r w:rsidRPr="007C3926">
        <w:rPr>
          <w:rFonts w:cs="Arial"/>
          <w:rtl/>
        </w:rPr>
        <w:t xml:space="preserve"> קליפה מיהא ניבעי! אלא אימא: חם ל</w:t>
      </w:r>
      <w:r>
        <w:rPr>
          <w:rFonts w:cs="Arial"/>
          <w:rtl/>
        </w:rPr>
        <w:t>תוך צונן</w:t>
      </w:r>
      <w:r>
        <w:rPr>
          <w:rFonts w:cs="Arial" w:hint="cs"/>
          <w:rtl/>
        </w:rPr>
        <w:t xml:space="preserve"> </w:t>
      </w:r>
      <w:r>
        <w:rPr>
          <w:rFonts w:cs="Arial"/>
          <w:rtl/>
        </w:rPr>
        <w:t>- קולף, צונן לתוך צונן</w:t>
      </w:r>
      <w:r>
        <w:rPr>
          <w:rFonts w:cs="Arial" w:hint="cs"/>
          <w:rtl/>
        </w:rPr>
        <w:t xml:space="preserve"> </w:t>
      </w:r>
      <w:r w:rsidRPr="007C3926">
        <w:rPr>
          <w:rFonts w:cs="Arial"/>
          <w:rtl/>
        </w:rPr>
        <w:t xml:space="preserve">- מדיח. </w:t>
      </w:r>
      <w:r w:rsidRPr="006D7551">
        <w:rPr>
          <w:rFonts w:cs="Arial" w:hint="cs"/>
          <w:sz w:val="16"/>
          <w:szCs w:val="16"/>
          <w:rtl/>
        </w:rPr>
        <w:t>(</w:t>
      </w:r>
      <w:r w:rsidRPr="006D7551">
        <w:rPr>
          <w:rFonts w:cs="Arial"/>
          <w:sz w:val="16"/>
          <w:szCs w:val="16"/>
          <w:rtl/>
        </w:rPr>
        <w:t>ואע</w:t>
      </w:r>
      <w:r w:rsidRPr="006D7551">
        <w:rPr>
          <w:rFonts w:cs="Arial" w:hint="cs"/>
          <w:sz w:val="16"/>
          <w:szCs w:val="16"/>
          <w:rtl/>
        </w:rPr>
        <w:t>"</w:t>
      </w:r>
      <w:r w:rsidRPr="006D7551">
        <w:rPr>
          <w:rFonts w:cs="Arial"/>
          <w:sz w:val="16"/>
          <w:szCs w:val="16"/>
          <w:rtl/>
        </w:rPr>
        <w:t>פ דהלכתא כרב באיסורי בהא הלכתא כשמואל דהא תניא תרתי מתניתא כוותיה</w:t>
      </w:r>
      <w:r>
        <w:rPr>
          <w:rFonts w:cs="Arial" w:hint="cs"/>
          <w:sz w:val="16"/>
          <w:szCs w:val="16"/>
          <w:rtl/>
        </w:rPr>
        <w:t xml:space="preserve">, רש"י </w:t>
      </w:r>
      <w:r>
        <w:rPr>
          <w:rFonts w:cs="Arial" w:hint="cs"/>
          <w:sz w:val="14"/>
          <w:szCs w:val="14"/>
          <w:rtl/>
        </w:rPr>
        <w:t>(ד"ה ושמואל אמר)</w:t>
      </w:r>
      <w:r>
        <w:rPr>
          <w:rFonts w:cs="Arial" w:hint="cs"/>
          <w:sz w:val="16"/>
          <w:szCs w:val="16"/>
          <w:rtl/>
        </w:rPr>
        <w:t>.</w:t>
      </w:r>
      <w:r>
        <w:rPr>
          <w:rFonts w:cs="Arial"/>
          <w:sz w:val="16"/>
          <w:szCs w:val="16"/>
          <w:rtl/>
        </w:rPr>
        <w:t xml:space="preserve"> וכ</w:t>
      </w:r>
      <w:r>
        <w:rPr>
          <w:rFonts w:cs="Arial" w:hint="cs"/>
          <w:sz w:val="16"/>
          <w:szCs w:val="16"/>
          <w:rtl/>
        </w:rPr>
        <w:t>"פ</w:t>
      </w:r>
      <w:r w:rsidRPr="006D7551">
        <w:rPr>
          <w:rFonts w:cs="Arial"/>
          <w:sz w:val="16"/>
          <w:szCs w:val="16"/>
          <w:rtl/>
        </w:rPr>
        <w:t xml:space="preserve"> כל הפוסקים</w:t>
      </w:r>
      <w:r>
        <w:rPr>
          <w:rFonts w:cs="Arial" w:hint="cs"/>
          <w:sz w:val="16"/>
          <w:szCs w:val="16"/>
          <w:rtl/>
        </w:rPr>
        <w:t>. וכ' הר"ן</w:t>
      </w:r>
      <w:r>
        <w:rPr>
          <w:rFonts w:hint="cs"/>
          <w:rtl/>
        </w:rPr>
        <w:t xml:space="preserve"> </w:t>
      </w:r>
      <w:r w:rsidRPr="001E5FF6">
        <w:rPr>
          <w:rFonts w:cs="Arial"/>
          <w:sz w:val="14"/>
          <w:szCs w:val="14"/>
          <w:rtl/>
        </w:rPr>
        <w:t>(מא: ד"ה גרסינן)</w:t>
      </w:r>
      <w:r>
        <w:rPr>
          <w:rFonts w:cs="Arial" w:hint="cs"/>
          <w:sz w:val="16"/>
          <w:szCs w:val="16"/>
          <w:rtl/>
        </w:rPr>
        <w:t xml:space="preserve"> ד</w:t>
      </w:r>
      <w:r w:rsidRPr="001E5FF6">
        <w:rPr>
          <w:rFonts w:cs="Arial"/>
          <w:sz w:val="16"/>
          <w:szCs w:val="16"/>
          <w:rtl/>
        </w:rPr>
        <w:t>פלוגתייהו דרב ושמואל בשנטלו מן האור אלא שעדיין הוא חם שאילו האחד מהם על האור כולהו מודו דכחם בתוך חם דמי</w:t>
      </w:r>
      <w:r>
        <w:rPr>
          <w:rFonts w:cs="Arial" w:hint="cs"/>
          <w:sz w:val="16"/>
          <w:szCs w:val="16"/>
          <w:rtl/>
        </w:rPr>
        <w:t>)</w:t>
      </w:r>
      <w:r>
        <w:rPr>
          <w:rFonts w:cs="Arial"/>
          <w:rtl/>
        </w:rPr>
        <w:t xml:space="preserve"> </w:t>
      </w:r>
      <w:r>
        <w:rPr>
          <w:rFonts w:cs="Arial" w:hint="cs"/>
          <w:rtl/>
        </w:rPr>
        <w:t xml:space="preserve"> </w:t>
      </w:r>
    </w:p>
    <w:p w14:paraId="0B2E8AFB" w14:textId="77777777" w:rsidR="002C39F4" w:rsidRPr="00A54690" w:rsidRDefault="002C39F4" w:rsidP="002C39F4">
      <w:pPr>
        <w:rPr>
          <w:rFonts w:cs="Arial"/>
          <w:sz w:val="16"/>
          <w:szCs w:val="16"/>
          <w:u w:val="single"/>
          <w:rtl/>
        </w:rPr>
      </w:pPr>
      <w:r w:rsidRPr="00E905AC">
        <w:rPr>
          <w:rFonts w:cs="Arial" w:hint="cs"/>
          <w:u w:val="single"/>
          <w:rtl/>
        </w:rPr>
        <w:t>בשר חם שנפל לתוך חלב צונן</w:t>
      </w:r>
      <w:r>
        <w:rPr>
          <w:rFonts w:cs="Arial" w:hint="cs"/>
          <w:u w:val="single"/>
          <w:rtl/>
        </w:rPr>
        <w:t xml:space="preserve"> </w:t>
      </w:r>
      <w:r w:rsidRPr="00E905AC">
        <w:rPr>
          <w:rFonts w:cs="Arial" w:hint="cs"/>
          <w:u w:val="single"/>
          <w:rtl/>
        </w:rPr>
        <w:t xml:space="preserve">- מה דין </w:t>
      </w:r>
      <w:r>
        <w:rPr>
          <w:rFonts w:cs="Arial" w:hint="cs"/>
          <w:u w:val="single"/>
          <w:rtl/>
        </w:rPr>
        <w:t>החלב</w:t>
      </w:r>
      <w:r w:rsidRPr="00E905AC">
        <w:rPr>
          <w:rFonts w:cs="Arial" w:hint="cs"/>
          <w:u w:val="single"/>
          <w:rtl/>
        </w:rPr>
        <w:t>:</w:t>
      </w:r>
      <w:r w:rsidRPr="00A54690">
        <w:rPr>
          <w:rFonts w:cs="Arial" w:hint="cs"/>
          <w:rtl/>
        </w:rPr>
        <w:t xml:space="preserve"> </w:t>
      </w:r>
      <w:r w:rsidRPr="00A54690">
        <w:rPr>
          <w:rFonts w:cs="Arial"/>
          <w:rtl/>
        </w:rPr>
        <w:t xml:space="preserve"> </w:t>
      </w:r>
      <w:r w:rsidRPr="00A54690">
        <w:rPr>
          <w:rFonts w:cs="Arial" w:hint="cs"/>
          <w:sz w:val="16"/>
          <w:szCs w:val="16"/>
          <w:rtl/>
        </w:rPr>
        <w:t>(</w:t>
      </w:r>
      <w:r>
        <w:rPr>
          <w:rFonts w:cs="Arial" w:hint="cs"/>
          <w:sz w:val="16"/>
          <w:szCs w:val="16"/>
          <w:rtl/>
        </w:rPr>
        <w:t>ב"י ודרכ"מ [אות ג])</w:t>
      </w:r>
    </w:p>
    <w:p w14:paraId="139677D5" w14:textId="77777777" w:rsidR="002C39F4" w:rsidRPr="00E905AC" w:rsidRDefault="002C39F4" w:rsidP="0032102C">
      <w:pPr>
        <w:pStyle w:val="a8"/>
        <w:numPr>
          <w:ilvl w:val="0"/>
          <w:numId w:val="161"/>
        </w:numPr>
        <w:rPr>
          <w:rFonts w:cs="Arial"/>
          <w:rtl/>
        </w:rPr>
      </w:pPr>
      <w:r>
        <w:rPr>
          <w:rFonts w:cs="Arial" w:hint="cs"/>
          <w:rtl/>
        </w:rPr>
        <w:t xml:space="preserve">ר"י </w:t>
      </w:r>
      <w:r>
        <w:rPr>
          <w:rFonts w:cs="Arial" w:hint="cs"/>
          <w:sz w:val="16"/>
          <w:szCs w:val="16"/>
          <w:rtl/>
        </w:rPr>
        <w:t>(כ"כ הטור בשמו)</w:t>
      </w:r>
      <w:r>
        <w:rPr>
          <w:rFonts w:cs="Arial" w:hint="cs"/>
          <w:rtl/>
        </w:rPr>
        <w:t xml:space="preserve"> </w:t>
      </w:r>
      <w:r w:rsidRPr="00E905AC">
        <w:rPr>
          <w:rFonts w:cs="Arial"/>
          <w:rtl/>
        </w:rPr>
        <w:t>ר</w:t>
      </w:r>
      <w:r w:rsidRPr="00E905AC">
        <w:rPr>
          <w:rFonts w:cs="Arial" w:hint="cs"/>
          <w:rtl/>
        </w:rPr>
        <w:t>"ת</w:t>
      </w:r>
      <w:r w:rsidRPr="00E905AC">
        <w:rPr>
          <w:rFonts w:cs="Arial"/>
          <w:rtl/>
        </w:rPr>
        <w:t xml:space="preserve"> </w:t>
      </w:r>
      <w:r w:rsidRPr="00E905AC">
        <w:rPr>
          <w:rFonts w:cs="Arial" w:hint="cs"/>
          <w:sz w:val="16"/>
          <w:szCs w:val="16"/>
          <w:rtl/>
        </w:rPr>
        <w:t xml:space="preserve">(כ"כ בשמו התוס' </w:t>
      </w:r>
      <w:r w:rsidRPr="00A54690">
        <w:rPr>
          <w:rFonts w:cs="Arial" w:hint="cs"/>
          <w:sz w:val="14"/>
          <w:szCs w:val="14"/>
          <w:rtl/>
        </w:rPr>
        <w:t>[ד"ה תניא אידך]</w:t>
      </w:r>
      <w:r w:rsidRPr="00E905AC">
        <w:rPr>
          <w:rFonts w:cs="Arial" w:hint="cs"/>
          <w:sz w:val="16"/>
          <w:szCs w:val="16"/>
          <w:rtl/>
        </w:rPr>
        <w:t>)</w:t>
      </w:r>
      <w:r>
        <w:rPr>
          <w:rFonts w:cs="Arial" w:hint="cs"/>
          <w:rtl/>
        </w:rPr>
        <w:t xml:space="preserve"> ורמב"ם </w:t>
      </w:r>
      <w:r w:rsidRPr="006F210A">
        <w:rPr>
          <w:rFonts w:cs="Arial" w:hint="cs"/>
          <w:sz w:val="16"/>
          <w:szCs w:val="16"/>
          <w:rtl/>
        </w:rPr>
        <w:t>(</w:t>
      </w:r>
      <w:r w:rsidRPr="00A54690">
        <w:rPr>
          <w:rFonts w:cs="Arial" w:hint="cs"/>
          <w:sz w:val="14"/>
          <w:szCs w:val="14"/>
          <w:rtl/>
        </w:rPr>
        <w:t>[</w:t>
      </w:r>
      <w:r w:rsidRPr="00A54690">
        <w:rPr>
          <w:rFonts w:cs="Arial"/>
          <w:sz w:val="14"/>
          <w:szCs w:val="14"/>
          <w:rtl/>
        </w:rPr>
        <w:t>פ"ט הי"ז</w:t>
      </w:r>
      <w:r w:rsidRPr="00A54690">
        <w:rPr>
          <w:rFonts w:cs="Arial" w:hint="cs"/>
          <w:sz w:val="14"/>
          <w:szCs w:val="14"/>
          <w:rtl/>
        </w:rPr>
        <w:t xml:space="preserve">] </w:t>
      </w:r>
      <w:r>
        <w:rPr>
          <w:rFonts w:cs="Arial" w:hint="cs"/>
          <w:sz w:val="16"/>
          <w:szCs w:val="16"/>
          <w:rtl/>
        </w:rPr>
        <w:t>כ"כ הטור בשמו</w:t>
      </w:r>
      <w:r w:rsidRPr="006F210A">
        <w:rPr>
          <w:rFonts w:cs="Arial"/>
          <w:sz w:val="16"/>
          <w:szCs w:val="16"/>
          <w:rtl/>
        </w:rPr>
        <w:t>)</w:t>
      </w:r>
      <w:r w:rsidRPr="00E905AC">
        <w:rPr>
          <w:rFonts w:cs="Arial" w:hint="cs"/>
          <w:rtl/>
        </w:rPr>
        <w:t xml:space="preserve">- </w:t>
      </w:r>
      <w:r>
        <w:rPr>
          <w:rFonts w:cs="Arial" w:hint="cs"/>
          <w:rtl/>
        </w:rPr>
        <w:t>ה</w:t>
      </w:r>
      <w:r w:rsidRPr="00E905AC">
        <w:rPr>
          <w:rFonts w:cs="Arial"/>
          <w:rtl/>
        </w:rPr>
        <w:t>חלב שרי</w:t>
      </w:r>
      <w:r>
        <w:rPr>
          <w:rStyle w:val="a7"/>
          <w:rFonts w:cs="Arial"/>
          <w:rtl/>
        </w:rPr>
        <w:footnoteReference w:id="1305"/>
      </w:r>
      <w:r>
        <w:rPr>
          <w:rFonts w:cs="Arial" w:hint="cs"/>
          <w:rtl/>
        </w:rPr>
        <w:t xml:space="preserve">. </w:t>
      </w:r>
      <w:r w:rsidRPr="008F29E7">
        <w:rPr>
          <w:rFonts w:cs="Arial" w:hint="cs"/>
          <w:color w:val="E36C0A" w:themeColor="accent6" w:themeShade="BF"/>
          <w:rtl/>
        </w:rPr>
        <w:t>(וכ"פ בשו"ע)</w:t>
      </w:r>
    </w:p>
    <w:p w14:paraId="0E7FE625" w14:textId="77777777" w:rsidR="002C39F4" w:rsidRPr="00A54690" w:rsidRDefault="002C39F4" w:rsidP="0032102C">
      <w:pPr>
        <w:pStyle w:val="a8"/>
        <w:numPr>
          <w:ilvl w:val="0"/>
          <w:numId w:val="164"/>
        </w:numPr>
        <w:rPr>
          <w:rFonts w:cs="Arial"/>
          <w:rtl/>
        </w:rPr>
      </w:pPr>
      <w:r w:rsidRPr="00E905AC">
        <w:rPr>
          <w:rFonts w:cs="Arial"/>
          <w:rtl/>
        </w:rPr>
        <w:t>ריב"א</w:t>
      </w:r>
      <w:r w:rsidRPr="00A54690">
        <w:rPr>
          <w:rFonts w:cs="Arial" w:hint="cs"/>
          <w:rtl/>
        </w:rPr>
        <w:t xml:space="preserve"> </w:t>
      </w:r>
      <w:r>
        <w:rPr>
          <w:rFonts w:cs="Arial" w:hint="cs"/>
          <w:rtl/>
        </w:rPr>
        <w:t>ומהרא"י</w:t>
      </w:r>
      <w:r>
        <w:rPr>
          <w:rStyle w:val="a7"/>
          <w:rFonts w:cs="Arial"/>
          <w:rtl/>
        </w:rPr>
        <w:footnoteReference w:id="1306"/>
      </w:r>
      <w:r w:rsidRPr="00E905AC">
        <w:rPr>
          <w:rFonts w:cs="Arial" w:hint="cs"/>
          <w:rtl/>
        </w:rPr>
        <w:t xml:space="preserve">- </w:t>
      </w:r>
      <w:r w:rsidRPr="00E905AC">
        <w:rPr>
          <w:rFonts w:cs="Arial"/>
          <w:rtl/>
        </w:rPr>
        <w:t>צריך ששים כדי קליפה</w:t>
      </w:r>
      <w:r>
        <w:rPr>
          <w:rStyle w:val="a7"/>
          <w:rFonts w:cs="Arial"/>
          <w:rtl/>
        </w:rPr>
        <w:footnoteReference w:id="1307"/>
      </w:r>
      <w:r w:rsidRPr="00E905AC">
        <w:rPr>
          <w:rFonts w:cs="Arial" w:hint="cs"/>
          <w:rtl/>
        </w:rPr>
        <w:t>.</w:t>
      </w:r>
      <w:r w:rsidRPr="0072699E">
        <w:rPr>
          <w:rFonts w:cs="Arial"/>
          <w:rtl/>
        </w:rPr>
        <w:t xml:space="preserve"> </w:t>
      </w:r>
      <w:r>
        <w:rPr>
          <w:rFonts w:cs="Arial" w:hint="cs"/>
          <w:rtl/>
        </w:rPr>
        <w:t xml:space="preserve">(וכ"פ </w:t>
      </w:r>
      <w:r w:rsidRPr="00476A17">
        <w:rPr>
          <w:rFonts w:cs="Arial"/>
          <w:rtl/>
        </w:rPr>
        <w:t>רש"ל</w:t>
      </w:r>
      <w:r>
        <w:rPr>
          <w:rStyle w:val="a7"/>
          <w:rFonts w:asciiTheme="minorBidi" w:hAnsiTheme="minorBidi"/>
          <w:rtl/>
        </w:rPr>
        <w:footnoteReference w:id="1308"/>
      </w:r>
      <w:r w:rsidRPr="00476A17">
        <w:rPr>
          <w:rFonts w:cs="Arial"/>
          <w:rtl/>
        </w:rPr>
        <w:t xml:space="preserve"> </w:t>
      </w:r>
      <w:r w:rsidRPr="00E97B75">
        <w:rPr>
          <w:rFonts w:cs="Arial" w:hint="cs"/>
          <w:sz w:val="16"/>
          <w:szCs w:val="16"/>
          <w:rtl/>
        </w:rPr>
        <w:t>[</w:t>
      </w:r>
      <w:r w:rsidRPr="00E97B75">
        <w:rPr>
          <w:rFonts w:cs="Arial"/>
          <w:sz w:val="16"/>
          <w:szCs w:val="16"/>
          <w:rtl/>
        </w:rPr>
        <w:t>פכ"ה סי' עה</w:t>
      </w:r>
      <w:r>
        <w:rPr>
          <w:rFonts w:cs="Arial" w:hint="cs"/>
          <w:sz w:val="16"/>
          <w:szCs w:val="16"/>
          <w:rtl/>
        </w:rPr>
        <w:t>]</w:t>
      </w:r>
      <w:r>
        <w:rPr>
          <w:rFonts w:cs="Arial" w:hint="cs"/>
          <w:rtl/>
        </w:rPr>
        <w:t xml:space="preserve"> וט"ז </w:t>
      </w:r>
      <w:r>
        <w:rPr>
          <w:rFonts w:cs="Arial" w:hint="cs"/>
          <w:sz w:val="16"/>
          <w:szCs w:val="16"/>
          <w:rtl/>
        </w:rPr>
        <w:t>[סק"ז]</w:t>
      </w:r>
      <w:r>
        <w:rPr>
          <w:rFonts w:cs="Arial" w:hint="cs"/>
          <w:rtl/>
        </w:rPr>
        <w:t>)</w:t>
      </w:r>
    </w:p>
    <w:p w14:paraId="5BACE305" w14:textId="77777777" w:rsidR="002C39F4" w:rsidRPr="006F210A" w:rsidRDefault="002C39F4" w:rsidP="002C39F4">
      <w:pPr>
        <w:rPr>
          <w:rFonts w:cs="Arial"/>
          <w:u w:val="single"/>
          <w:rtl/>
        </w:rPr>
      </w:pPr>
      <w:r w:rsidRPr="006F210A">
        <w:rPr>
          <w:rFonts w:cs="Arial" w:hint="cs"/>
          <w:u w:val="single"/>
          <w:rtl/>
        </w:rPr>
        <w:t>צונן שנפל לתוך חם:</w:t>
      </w:r>
    </w:p>
    <w:p w14:paraId="128E1EE5" w14:textId="77777777" w:rsidR="002C39F4" w:rsidRPr="006F210A" w:rsidRDefault="002C39F4" w:rsidP="0032102C">
      <w:pPr>
        <w:pStyle w:val="a8"/>
        <w:numPr>
          <w:ilvl w:val="0"/>
          <w:numId w:val="164"/>
        </w:numPr>
        <w:rPr>
          <w:rFonts w:cs="Arial"/>
          <w:rtl/>
        </w:rPr>
      </w:pPr>
      <w:r w:rsidRPr="006F210A">
        <w:rPr>
          <w:rFonts w:cs="Arial"/>
          <w:rtl/>
        </w:rPr>
        <w:t xml:space="preserve">רא"ה </w:t>
      </w:r>
      <w:r w:rsidRPr="006F210A">
        <w:rPr>
          <w:rFonts w:cs="Arial"/>
          <w:sz w:val="16"/>
          <w:szCs w:val="16"/>
          <w:rtl/>
        </w:rPr>
        <w:t>(ב"ד ש"א כא. ד"ה ודין)</w:t>
      </w:r>
      <w:r w:rsidRPr="006F210A">
        <w:rPr>
          <w:rFonts w:cs="Arial" w:hint="cs"/>
          <w:rtl/>
        </w:rPr>
        <w:t xml:space="preserve">- </w:t>
      </w:r>
      <w:r w:rsidRPr="006F210A">
        <w:rPr>
          <w:rFonts w:cs="Arial"/>
          <w:rtl/>
        </w:rPr>
        <w:t>כי אמרינן צונן לתוך חם אסור ואמרינן נמי דבשר צונן שנפל לתוך חלב רותח אסור היינו דבעי נטילת מקום</w:t>
      </w:r>
      <w:r>
        <w:rPr>
          <w:rStyle w:val="a7"/>
          <w:rFonts w:cs="Arial"/>
          <w:rtl/>
        </w:rPr>
        <w:footnoteReference w:id="1309"/>
      </w:r>
      <w:r w:rsidRPr="006F210A">
        <w:rPr>
          <w:rFonts w:cs="Arial" w:hint="cs"/>
          <w:rtl/>
        </w:rPr>
        <w:t>.</w:t>
      </w:r>
      <w:r w:rsidRPr="006F210A">
        <w:rPr>
          <w:rFonts w:cs="Arial"/>
          <w:rtl/>
        </w:rPr>
        <w:t xml:space="preserve"> </w:t>
      </w:r>
    </w:p>
    <w:p w14:paraId="7143F621" w14:textId="77777777" w:rsidR="002C39F4" w:rsidRDefault="002C39F4" w:rsidP="0032102C">
      <w:pPr>
        <w:pStyle w:val="a8"/>
        <w:numPr>
          <w:ilvl w:val="0"/>
          <w:numId w:val="164"/>
        </w:numPr>
        <w:rPr>
          <w:rFonts w:cs="Arial"/>
        </w:rPr>
      </w:pPr>
      <w:r w:rsidRPr="006F210A">
        <w:rPr>
          <w:rFonts w:cs="Arial"/>
          <w:rtl/>
        </w:rPr>
        <w:t xml:space="preserve">רמב"ם </w:t>
      </w:r>
      <w:r w:rsidRPr="006F210A">
        <w:rPr>
          <w:rFonts w:cs="Arial" w:hint="cs"/>
          <w:sz w:val="16"/>
          <w:szCs w:val="16"/>
          <w:rtl/>
        </w:rPr>
        <w:t>(</w:t>
      </w:r>
      <w:r w:rsidRPr="006F210A">
        <w:rPr>
          <w:rFonts w:cs="Arial"/>
          <w:sz w:val="16"/>
          <w:szCs w:val="16"/>
          <w:rtl/>
        </w:rPr>
        <w:t>פ"ט הי"ז)</w:t>
      </w:r>
      <w:r w:rsidRPr="006F210A">
        <w:rPr>
          <w:rFonts w:cs="Arial" w:hint="cs"/>
          <w:sz w:val="16"/>
          <w:szCs w:val="16"/>
          <w:rtl/>
        </w:rPr>
        <w:t xml:space="preserve"> </w:t>
      </w:r>
      <w:r w:rsidRPr="006F210A">
        <w:rPr>
          <w:rFonts w:cs="Arial"/>
          <w:rtl/>
        </w:rPr>
        <w:t>רשב"א</w:t>
      </w:r>
      <w:r w:rsidRPr="006F210A">
        <w:rPr>
          <w:rFonts w:cs="Arial" w:hint="cs"/>
          <w:rtl/>
        </w:rPr>
        <w:t xml:space="preserve"> </w:t>
      </w:r>
      <w:r w:rsidRPr="006F210A">
        <w:rPr>
          <w:rFonts w:cs="Arial" w:hint="cs"/>
          <w:sz w:val="16"/>
          <w:szCs w:val="16"/>
          <w:rtl/>
        </w:rPr>
        <w:t>(תוה"ק</w:t>
      </w:r>
      <w:r w:rsidRPr="006F210A">
        <w:rPr>
          <w:rFonts w:cs="Arial"/>
          <w:sz w:val="16"/>
          <w:szCs w:val="16"/>
          <w:rtl/>
        </w:rPr>
        <w:t xml:space="preserve"> שם ה:) </w:t>
      </w:r>
      <w:r w:rsidRPr="006F210A">
        <w:rPr>
          <w:rFonts w:cs="Arial" w:hint="cs"/>
          <w:rtl/>
        </w:rPr>
        <w:t>ור"ן</w:t>
      </w:r>
      <w:r>
        <w:rPr>
          <w:rFonts w:cs="Arial" w:hint="cs"/>
          <w:rtl/>
        </w:rPr>
        <w:t xml:space="preserve"> </w:t>
      </w:r>
      <w:r w:rsidRPr="001E5FF6">
        <w:rPr>
          <w:rFonts w:cs="Arial"/>
          <w:sz w:val="16"/>
          <w:szCs w:val="16"/>
          <w:rtl/>
        </w:rPr>
        <w:t>(מא: ד"ה גרסינן)</w:t>
      </w:r>
      <w:r w:rsidRPr="006F210A">
        <w:rPr>
          <w:rFonts w:cs="Arial" w:hint="cs"/>
          <w:rtl/>
        </w:rPr>
        <w:t>- הכל</w:t>
      </w:r>
      <w:r w:rsidRPr="006F210A">
        <w:rPr>
          <w:rFonts w:cs="Arial"/>
          <w:rtl/>
        </w:rPr>
        <w:t xml:space="preserve"> אסור</w:t>
      </w:r>
      <w:r w:rsidRPr="006F210A">
        <w:rPr>
          <w:rFonts w:cs="Arial" w:hint="cs"/>
          <w:rtl/>
        </w:rPr>
        <w:t>.</w:t>
      </w:r>
      <w:r w:rsidRPr="006F210A">
        <w:rPr>
          <w:rFonts w:cs="Arial"/>
          <w:rtl/>
        </w:rPr>
        <w:t xml:space="preserve"> </w:t>
      </w:r>
      <w:r w:rsidRPr="008F29E7">
        <w:rPr>
          <w:rFonts w:cs="Arial" w:hint="cs"/>
          <w:color w:val="E36C0A" w:themeColor="accent6" w:themeShade="BF"/>
          <w:rtl/>
        </w:rPr>
        <w:t>(וכ"פ בשו"ע)</w:t>
      </w:r>
    </w:p>
    <w:p w14:paraId="57464001" w14:textId="77777777" w:rsidR="002C39F4" w:rsidRPr="001E5FF6" w:rsidRDefault="002C39F4" w:rsidP="002C39F4">
      <w:pPr>
        <w:rPr>
          <w:rFonts w:cs="Arial"/>
          <w:u w:val="single"/>
        </w:rPr>
      </w:pPr>
      <w:r w:rsidRPr="001E5FF6">
        <w:rPr>
          <w:rFonts w:cs="Arial" w:hint="cs"/>
          <w:u w:val="single"/>
          <w:rtl/>
        </w:rPr>
        <w:t>חלב שנשפך מדופני הכלי על בשר צונן שמתחתיו:</w:t>
      </w:r>
    </w:p>
    <w:p w14:paraId="3D12557C" w14:textId="77777777" w:rsidR="002C39F4" w:rsidRPr="006F210A" w:rsidRDefault="002C39F4" w:rsidP="0032102C">
      <w:pPr>
        <w:pStyle w:val="a8"/>
        <w:numPr>
          <w:ilvl w:val="0"/>
          <w:numId w:val="164"/>
        </w:numPr>
        <w:rPr>
          <w:rFonts w:cs="Arial"/>
          <w:rtl/>
        </w:rPr>
      </w:pPr>
      <w:r>
        <w:rPr>
          <w:rFonts w:cs="Arial" w:hint="cs"/>
          <w:rtl/>
        </w:rPr>
        <w:t>תרוה"ד</w:t>
      </w:r>
      <w:r w:rsidRPr="001E5FF6">
        <w:rPr>
          <w:rFonts w:cs="Arial"/>
          <w:sz w:val="16"/>
          <w:szCs w:val="16"/>
          <w:rtl/>
        </w:rPr>
        <w:t xml:space="preserve"> </w:t>
      </w:r>
      <w:r w:rsidRPr="001E5FF6">
        <w:rPr>
          <w:rFonts w:cs="Arial" w:hint="cs"/>
          <w:sz w:val="16"/>
          <w:szCs w:val="16"/>
          <w:rtl/>
        </w:rPr>
        <w:t>(</w:t>
      </w:r>
      <w:r w:rsidRPr="001E5FF6">
        <w:rPr>
          <w:rFonts w:cs="Arial"/>
          <w:sz w:val="16"/>
          <w:szCs w:val="16"/>
          <w:rtl/>
        </w:rPr>
        <w:t>סי</w:t>
      </w:r>
      <w:r w:rsidRPr="001E5FF6">
        <w:rPr>
          <w:rFonts w:cs="Arial" w:hint="cs"/>
          <w:sz w:val="16"/>
          <w:szCs w:val="16"/>
          <w:rtl/>
        </w:rPr>
        <w:t>'</w:t>
      </w:r>
      <w:r w:rsidRPr="001E5FF6">
        <w:rPr>
          <w:rFonts w:cs="Arial"/>
          <w:sz w:val="16"/>
          <w:szCs w:val="16"/>
          <w:rtl/>
        </w:rPr>
        <w:t xml:space="preserve"> קפא</w:t>
      </w:r>
      <w:r w:rsidRPr="001E5FF6">
        <w:rPr>
          <w:rFonts w:cs="Arial" w:hint="cs"/>
          <w:sz w:val="16"/>
          <w:szCs w:val="16"/>
          <w:rtl/>
        </w:rPr>
        <w:t>)</w:t>
      </w:r>
      <w:r>
        <w:rPr>
          <w:rFonts w:cs="Arial" w:hint="cs"/>
          <w:rtl/>
        </w:rPr>
        <w:t>-</w:t>
      </w:r>
      <w:r w:rsidRPr="006F210A">
        <w:rPr>
          <w:rFonts w:cs="Arial"/>
          <w:rtl/>
        </w:rPr>
        <w:t xml:space="preserve"> קדרה מלאה חלב רותח שפותה אצל האש על הכירה ומחמת הרתיחה יצא החלב למעלה מאוגני הכלי והיה נזחל ונמשך בקילוח בלי הפסק דרך דפני הקדרה </w:t>
      </w:r>
      <w:r w:rsidRPr="00CE4688">
        <w:rPr>
          <w:rFonts w:cs="Arial"/>
          <w:b/>
          <w:bCs/>
          <w:rtl/>
        </w:rPr>
        <w:t>ע</w:t>
      </w:r>
      <w:r>
        <w:rPr>
          <w:rFonts w:cs="Arial" w:hint="cs"/>
          <w:b/>
          <w:bCs/>
          <w:rtl/>
        </w:rPr>
        <w:t>"</w:t>
      </w:r>
      <w:r w:rsidRPr="00CE4688">
        <w:rPr>
          <w:rFonts w:cs="Arial"/>
          <w:b/>
          <w:bCs/>
          <w:rtl/>
        </w:rPr>
        <w:t>ג</w:t>
      </w:r>
      <w:r w:rsidRPr="006F210A">
        <w:rPr>
          <w:rFonts w:cs="Arial"/>
          <w:rtl/>
        </w:rPr>
        <w:t xml:space="preserve"> </w:t>
      </w:r>
      <w:r w:rsidRPr="00E144A0">
        <w:rPr>
          <w:rFonts w:cs="Arial"/>
          <w:b/>
          <w:bCs/>
          <w:rtl/>
        </w:rPr>
        <w:t>הכירה</w:t>
      </w:r>
      <w:r w:rsidRPr="006F210A">
        <w:rPr>
          <w:rFonts w:cs="Arial"/>
          <w:rtl/>
        </w:rPr>
        <w:t xml:space="preserve"> עד שהגיע אצל בשר שהיה ג"כ ע</w:t>
      </w:r>
      <w:r>
        <w:rPr>
          <w:rFonts w:cs="Arial" w:hint="cs"/>
          <w:rtl/>
        </w:rPr>
        <w:t>"</w:t>
      </w:r>
      <w:r w:rsidRPr="006F210A">
        <w:rPr>
          <w:rFonts w:cs="Arial"/>
          <w:rtl/>
        </w:rPr>
        <w:t>ג הכירה יראה דאם היד סולד</w:t>
      </w:r>
      <w:r>
        <w:rPr>
          <w:rFonts w:cs="Arial" w:hint="cs"/>
          <w:rtl/>
        </w:rPr>
        <w:t>'</w:t>
      </w:r>
      <w:r w:rsidRPr="006F210A">
        <w:rPr>
          <w:rFonts w:cs="Arial"/>
          <w:rtl/>
        </w:rPr>
        <w:t xml:space="preserve"> בחלב במקום שנגע בבשר חשי</w:t>
      </w:r>
      <w:r>
        <w:rPr>
          <w:rFonts w:cs="Arial" w:hint="cs"/>
          <w:rtl/>
        </w:rPr>
        <w:t>ב</w:t>
      </w:r>
      <w:r w:rsidRPr="006F210A">
        <w:rPr>
          <w:rFonts w:cs="Arial"/>
          <w:rtl/>
        </w:rPr>
        <w:t xml:space="preserve"> כה</w:t>
      </w:r>
      <w:r>
        <w:rPr>
          <w:rFonts w:cs="Arial" w:hint="cs"/>
          <w:rtl/>
        </w:rPr>
        <w:t>"</w:t>
      </w:r>
      <w:r w:rsidRPr="006F210A">
        <w:rPr>
          <w:rFonts w:cs="Arial"/>
          <w:rtl/>
        </w:rPr>
        <w:t xml:space="preserve">ג </w:t>
      </w:r>
      <w:r>
        <w:rPr>
          <w:rFonts w:cs="Arial"/>
          <w:rtl/>
        </w:rPr>
        <w:t>עירוי מכלי ראשון ונאסר הבשר</w:t>
      </w:r>
      <w:r>
        <w:rPr>
          <w:rStyle w:val="a7"/>
          <w:rFonts w:cs="Arial"/>
          <w:rtl/>
        </w:rPr>
        <w:footnoteReference w:id="1310"/>
      </w:r>
      <w:r>
        <w:rPr>
          <w:rFonts w:cs="Arial" w:hint="cs"/>
          <w:rtl/>
        </w:rPr>
        <w:t xml:space="preserve">. </w:t>
      </w:r>
    </w:p>
    <w:p w14:paraId="036637D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378D2A8" w14:textId="77777777" w:rsidR="002C39F4" w:rsidRDefault="002C39F4" w:rsidP="002C39F4">
      <w:pPr>
        <w:rPr>
          <w:rFonts w:asciiTheme="minorBidi" w:hAnsiTheme="minorBidi"/>
          <w:rtl/>
        </w:rPr>
      </w:pPr>
      <w:r w:rsidRPr="003024E5">
        <w:rPr>
          <w:rFonts w:asciiTheme="minorBidi" w:hAnsiTheme="minorBidi"/>
          <w:rtl/>
        </w:rPr>
        <w:t>בשר וחלב רותחין שנתערבו יחד, ואפילו בשר צונן לתוך חלב רותח או ח</w:t>
      </w:r>
      <w:r>
        <w:rPr>
          <w:rFonts w:asciiTheme="minorBidi" w:hAnsiTheme="minorBidi"/>
          <w:rtl/>
        </w:rPr>
        <w:t>לב צונן לתוך בשר רותח, הכל אסור</w:t>
      </w:r>
      <w:r>
        <w:rPr>
          <w:rStyle w:val="a7"/>
          <w:rFonts w:asciiTheme="minorBidi" w:hAnsiTheme="minorBidi"/>
          <w:rtl/>
        </w:rPr>
        <w:footnoteReference w:id="1311"/>
      </w:r>
      <w:r>
        <w:rPr>
          <w:rFonts w:asciiTheme="minorBidi" w:hAnsiTheme="minorBidi"/>
          <w:rtl/>
        </w:rPr>
        <w:t xml:space="preserve"> משום דתתאה גבר</w:t>
      </w:r>
      <w:r>
        <w:rPr>
          <w:rStyle w:val="a7"/>
          <w:rFonts w:asciiTheme="minorBidi" w:hAnsiTheme="minorBidi"/>
          <w:rtl/>
        </w:rPr>
        <w:footnoteReference w:id="1312"/>
      </w:r>
      <w:r>
        <w:rPr>
          <w:rFonts w:asciiTheme="minorBidi" w:hAnsiTheme="minorBidi" w:hint="cs"/>
          <w:rtl/>
        </w:rPr>
        <w:t>,</w:t>
      </w:r>
      <w:r w:rsidRPr="003024E5">
        <w:rPr>
          <w:rFonts w:asciiTheme="minorBidi" w:hAnsiTheme="minorBidi"/>
          <w:rtl/>
        </w:rPr>
        <w:t xml:space="preserve"> אבל חלב רותח שנפל על בשר צונן, או בשר רות</w:t>
      </w:r>
      <w:r>
        <w:rPr>
          <w:rFonts w:asciiTheme="minorBidi" w:hAnsiTheme="minorBidi"/>
          <w:rtl/>
        </w:rPr>
        <w:t>ח שנפל לתוך חלב צונן, קולף הבשר</w:t>
      </w:r>
      <w:r>
        <w:rPr>
          <w:rStyle w:val="a7"/>
          <w:rFonts w:asciiTheme="minorBidi" w:hAnsiTheme="minorBidi"/>
          <w:rtl/>
        </w:rPr>
        <w:footnoteReference w:id="1313"/>
      </w:r>
      <w:r>
        <w:rPr>
          <w:rFonts w:asciiTheme="minorBidi" w:hAnsiTheme="minorBidi"/>
          <w:rtl/>
        </w:rPr>
        <w:t xml:space="preserve"> ושאר הבשר מותר.</w:t>
      </w:r>
      <w:r w:rsidRPr="0047666A">
        <w:rPr>
          <w:rFonts w:asciiTheme="minorBidi" w:hAnsiTheme="minorBidi"/>
          <w:sz w:val="18"/>
          <w:szCs w:val="18"/>
          <w:rtl/>
        </w:rPr>
        <w:t xml:space="preserve"> </w:t>
      </w:r>
      <w:r w:rsidRPr="0047666A">
        <w:rPr>
          <w:rFonts w:asciiTheme="minorBidi" w:hAnsiTheme="minorBidi" w:hint="cs"/>
          <w:sz w:val="18"/>
          <w:szCs w:val="18"/>
          <w:rtl/>
        </w:rPr>
        <w:t xml:space="preserve">[הגה] </w:t>
      </w:r>
      <w:r w:rsidRPr="0047666A">
        <w:rPr>
          <w:rFonts w:asciiTheme="minorBidi" w:hAnsiTheme="minorBidi"/>
          <w:sz w:val="18"/>
          <w:szCs w:val="18"/>
          <w:rtl/>
        </w:rPr>
        <w:t>ובמקום שהבשר צריך קליפה, אם לא קלפוהו ובשלו כך מותר בדיעבד</w:t>
      </w:r>
      <w:r>
        <w:rPr>
          <w:rStyle w:val="a7"/>
          <w:rFonts w:asciiTheme="minorBidi" w:hAnsiTheme="minorBidi"/>
          <w:sz w:val="18"/>
          <w:szCs w:val="18"/>
          <w:rtl/>
        </w:rPr>
        <w:footnoteReference w:id="1314"/>
      </w:r>
      <w:r w:rsidRPr="0047666A">
        <w:rPr>
          <w:rFonts w:asciiTheme="minorBidi" w:hAnsiTheme="minorBidi"/>
          <w:sz w:val="18"/>
          <w:szCs w:val="18"/>
          <w:rtl/>
        </w:rPr>
        <w:t xml:space="preserve"> </w:t>
      </w:r>
      <w:r w:rsidRPr="008F29E7">
        <w:rPr>
          <w:rFonts w:asciiTheme="minorBidi" w:hAnsiTheme="minorBidi"/>
          <w:sz w:val="16"/>
          <w:szCs w:val="16"/>
          <w:rtl/>
        </w:rPr>
        <w:t>(ארוך כלל כ"ט)</w:t>
      </w:r>
      <w:r w:rsidRPr="003024E5">
        <w:rPr>
          <w:rFonts w:asciiTheme="minorBidi" w:hAnsiTheme="minorBidi"/>
          <w:rtl/>
        </w:rPr>
        <w:t xml:space="preserve">. והחלב מותר כולו </w:t>
      </w:r>
      <w:r>
        <w:rPr>
          <w:rFonts w:asciiTheme="minorBidi" w:hAnsiTheme="minorBidi"/>
          <w:sz w:val="16"/>
          <w:szCs w:val="16"/>
          <w:rtl/>
        </w:rPr>
        <w:t xml:space="preserve">(רמב"ם ר"ח </w:t>
      </w:r>
      <w:r w:rsidRPr="0047666A">
        <w:rPr>
          <w:rFonts w:asciiTheme="minorBidi" w:hAnsiTheme="minorBidi"/>
          <w:sz w:val="16"/>
          <w:szCs w:val="16"/>
          <w:rtl/>
        </w:rPr>
        <w:t>ר"י וע"פ)</w:t>
      </w:r>
      <w:r>
        <w:rPr>
          <w:rFonts w:asciiTheme="minorBidi" w:hAnsiTheme="minorBidi" w:hint="cs"/>
          <w:rtl/>
        </w:rPr>
        <w:t>,</w:t>
      </w:r>
      <w:r w:rsidRPr="003024E5">
        <w:rPr>
          <w:rFonts w:asciiTheme="minorBidi" w:hAnsiTheme="minorBidi"/>
          <w:rtl/>
        </w:rPr>
        <w:t xml:space="preserve"> ואם נפ</w:t>
      </w:r>
      <w:r>
        <w:rPr>
          <w:rFonts w:asciiTheme="minorBidi" w:hAnsiTheme="minorBidi"/>
          <w:rtl/>
        </w:rPr>
        <w:t>לו זה לתוך זה צוננין, מדיח הבשר</w:t>
      </w:r>
      <w:r w:rsidRPr="003024E5">
        <w:rPr>
          <w:rFonts w:asciiTheme="minorBidi" w:hAnsiTheme="minorBidi"/>
          <w:rtl/>
        </w:rPr>
        <w:t xml:space="preserve"> ומותר</w:t>
      </w:r>
      <w:r>
        <w:rPr>
          <w:rStyle w:val="a7"/>
          <w:rFonts w:asciiTheme="minorBidi" w:hAnsiTheme="minorBidi"/>
          <w:rtl/>
        </w:rPr>
        <w:footnoteReference w:id="1315"/>
      </w:r>
      <w:r w:rsidRPr="003024E5">
        <w:rPr>
          <w:rFonts w:asciiTheme="minorBidi" w:hAnsiTheme="minorBidi"/>
          <w:rtl/>
        </w:rPr>
        <w:t xml:space="preserve">. </w:t>
      </w:r>
      <w:r>
        <w:rPr>
          <w:rFonts w:asciiTheme="minorBidi" w:hAnsiTheme="minorBidi" w:hint="cs"/>
          <w:rtl/>
        </w:rPr>
        <w:t xml:space="preserve"> </w:t>
      </w:r>
    </w:p>
    <w:p w14:paraId="4D361633" w14:textId="77777777" w:rsidR="002C39F4" w:rsidRPr="003024E5" w:rsidRDefault="002C39F4" w:rsidP="002C39F4">
      <w:pPr>
        <w:rPr>
          <w:rFonts w:asciiTheme="minorBidi" w:hAnsiTheme="minorBidi"/>
          <w:rtl/>
        </w:rPr>
      </w:pPr>
    </w:p>
    <w:p w14:paraId="2EFE91F2"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xml:space="preserve">: מליח כרותח </w:t>
      </w:r>
      <w:r w:rsidRPr="00156F35">
        <w:rPr>
          <w:rFonts w:asciiTheme="minorBidi" w:hAnsiTheme="minorBidi" w:hint="cs"/>
          <w:sz w:val="18"/>
          <w:szCs w:val="18"/>
          <w:rtl/>
        </w:rPr>
        <w:t>(לעניין מגע בין בשר לחלב</w:t>
      </w:r>
      <w:r>
        <w:rPr>
          <w:rFonts w:asciiTheme="minorBidi" w:hAnsiTheme="minorBidi" w:hint="cs"/>
          <w:sz w:val="18"/>
          <w:szCs w:val="18"/>
          <w:rtl/>
        </w:rPr>
        <w:t>)</w:t>
      </w:r>
      <w:r>
        <w:rPr>
          <w:rFonts w:asciiTheme="minorBidi" w:hAnsiTheme="minorBidi" w:hint="cs"/>
          <w:rtl/>
        </w:rPr>
        <w:t xml:space="preserve"> - בחתיכה כחושה.</w:t>
      </w:r>
    </w:p>
    <w:p w14:paraId="7731CE92" w14:textId="77777777" w:rsidR="002C39F4" w:rsidRPr="00492ADD" w:rsidRDefault="002C39F4" w:rsidP="002C39F4">
      <w:pPr>
        <w:rPr>
          <w:rFonts w:asciiTheme="minorBidi" w:hAnsiTheme="minorBidi"/>
          <w:rtl/>
        </w:rPr>
      </w:pPr>
      <w:r w:rsidRPr="003024E5">
        <w:rPr>
          <w:rFonts w:asciiTheme="minorBidi" w:hAnsiTheme="minorBidi"/>
          <w:b/>
          <w:bCs/>
          <w:rtl/>
        </w:rPr>
        <w:t xml:space="preserve">חולין קיב ע"ב: </w:t>
      </w:r>
      <w:r w:rsidRPr="003024E5">
        <w:rPr>
          <w:rFonts w:asciiTheme="minorBidi" w:hAnsiTheme="minorBidi"/>
          <w:rtl/>
        </w:rPr>
        <w:t>רב מרי בר רחל אימלח ליה בשר שחוטה בהדי בשר טרפה</w:t>
      </w:r>
      <w:r w:rsidRPr="003024E5">
        <w:rPr>
          <w:rStyle w:val="a7"/>
          <w:rFonts w:asciiTheme="minorBidi" w:hAnsiTheme="minorBidi"/>
          <w:rtl/>
        </w:rPr>
        <w:footnoteReference w:id="1316"/>
      </w:r>
      <w:r w:rsidRPr="003024E5">
        <w:rPr>
          <w:rFonts w:asciiTheme="minorBidi" w:hAnsiTheme="minorBidi"/>
          <w:rtl/>
        </w:rPr>
        <w:t>, אתא לקמיה דרבא, אמר ליה: הטמאים</w:t>
      </w:r>
      <w:r w:rsidRPr="003024E5">
        <w:rPr>
          <w:rStyle w:val="a7"/>
          <w:rFonts w:asciiTheme="minorBidi" w:hAnsiTheme="minorBidi"/>
          <w:rtl/>
        </w:rPr>
        <w:footnoteReference w:id="1317"/>
      </w:r>
      <w:r w:rsidRPr="003024E5">
        <w:rPr>
          <w:rFonts w:asciiTheme="minorBidi" w:hAnsiTheme="minorBidi"/>
          <w:rtl/>
        </w:rPr>
        <w:t>- לאסור צירן ורוטבן וקיפה</w:t>
      </w:r>
      <w:r w:rsidRPr="003024E5">
        <w:rPr>
          <w:rStyle w:val="a7"/>
          <w:rFonts w:asciiTheme="minorBidi" w:hAnsiTheme="minorBidi"/>
          <w:rtl/>
        </w:rPr>
        <w:footnoteReference w:id="1318"/>
      </w:r>
      <w:r w:rsidRPr="003024E5">
        <w:rPr>
          <w:rFonts w:asciiTheme="minorBidi" w:hAnsiTheme="minorBidi"/>
          <w:rtl/>
        </w:rPr>
        <w:t xml:space="preserve"> שלהן...  </w:t>
      </w:r>
      <w:r w:rsidRPr="00E144A0">
        <w:rPr>
          <w:rFonts w:asciiTheme="minorBidi" w:hAnsiTheme="minorBidi"/>
          <w:sz w:val="14"/>
          <w:szCs w:val="14"/>
          <w:rtl/>
        </w:rPr>
        <w:t>(קיג.)</w:t>
      </w:r>
      <w:r w:rsidRPr="003024E5">
        <w:rPr>
          <w:rFonts w:asciiTheme="minorBidi" w:hAnsiTheme="minorBidi"/>
          <w:rtl/>
        </w:rPr>
        <w:t xml:space="preserve"> מיתיבי: דג טהור שמלחו עם דג טמא מותר, מאי לאו שהיו שניהן מלוחין</w:t>
      </w:r>
      <w:r w:rsidRPr="003024E5">
        <w:rPr>
          <w:rStyle w:val="a7"/>
          <w:rFonts w:asciiTheme="minorBidi" w:hAnsiTheme="minorBidi"/>
          <w:rtl/>
        </w:rPr>
        <w:footnoteReference w:id="1319"/>
      </w:r>
      <w:r w:rsidRPr="003024E5">
        <w:rPr>
          <w:rFonts w:asciiTheme="minorBidi" w:hAnsiTheme="minorBidi"/>
          <w:rtl/>
        </w:rPr>
        <w:t>? לא, כגון שהיה טהור מליח וטמא תפל</w:t>
      </w:r>
      <w:r w:rsidRPr="003024E5">
        <w:rPr>
          <w:rStyle w:val="a7"/>
          <w:rFonts w:asciiTheme="minorBidi" w:hAnsiTheme="minorBidi"/>
          <w:rtl/>
        </w:rPr>
        <w:footnoteReference w:id="1320"/>
      </w:r>
      <w:r w:rsidRPr="003024E5">
        <w:rPr>
          <w:rFonts w:asciiTheme="minorBidi" w:hAnsiTheme="minorBidi"/>
          <w:rtl/>
        </w:rPr>
        <w:t>, והא מדקתני סיפא היה טהור מליח וטמא תפל מותר מכלל דרישא בששניהם מלוחין עסקינן! פרושי קא מפרש, טהור שמלחו עם דג טמא מותר, כיצד, שהיה טהור מליח וטמא תפל</w:t>
      </w:r>
      <w:r w:rsidRPr="003024E5">
        <w:rPr>
          <w:rStyle w:val="a7"/>
          <w:rFonts w:asciiTheme="minorBidi" w:hAnsiTheme="minorBidi"/>
          <w:rtl/>
        </w:rPr>
        <w:footnoteReference w:id="1321"/>
      </w:r>
      <w:r w:rsidRPr="003024E5">
        <w:rPr>
          <w:rFonts w:asciiTheme="minorBidi" w:hAnsiTheme="minorBidi"/>
          <w:rtl/>
        </w:rPr>
        <w:t>.</w:t>
      </w:r>
    </w:p>
    <w:p w14:paraId="4CCEB930" w14:textId="77777777" w:rsidR="002C39F4" w:rsidRPr="00AD3606" w:rsidRDefault="002C39F4" w:rsidP="002C39F4">
      <w:pPr>
        <w:rPr>
          <w:rFonts w:asciiTheme="minorBidi" w:hAnsiTheme="minorBidi"/>
          <w:sz w:val="16"/>
          <w:szCs w:val="16"/>
          <w:rtl/>
        </w:rPr>
      </w:pPr>
      <w:r w:rsidRPr="003024E5">
        <w:rPr>
          <w:rFonts w:asciiTheme="minorBidi" w:hAnsiTheme="minorBidi"/>
          <w:u w:val="single"/>
          <w:rtl/>
        </w:rPr>
        <w:t xml:space="preserve">דג טמא </w:t>
      </w:r>
      <w:r>
        <w:rPr>
          <w:rFonts w:asciiTheme="minorBidi" w:hAnsiTheme="minorBidi" w:hint="cs"/>
          <w:u w:val="single"/>
          <w:rtl/>
        </w:rPr>
        <w:t xml:space="preserve">ודג </w:t>
      </w:r>
      <w:r w:rsidRPr="003024E5">
        <w:rPr>
          <w:rFonts w:asciiTheme="minorBidi" w:hAnsiTheme="minorBidi"/>
          <w:u w:val="single"/>
          <w:rtl/>
        </w:rPr>
        <w:t>טהור</w:t>
      </w:r>
      <w:r>
        <w:rPr>
          <w:rFonts w:asciiTheme="minorBidi" w:hAnsiTheme="minorBidi" w:hint="cs"/>
          <w:u w:val="single"/>
          <w:rtl/>
        </w:rPr>
        <w:t xml:space="preserve"> שנמלחו יחד ושניהם </w:t>
      </w:r>
      <w:r w:rsidRPr="00D345B2">
        <w:rPr>
          <w:rFonts w:asciiTheme="minorBidi" w:hAnsiTheme="minorBidi" w:hint="cs"/>
          <w:b/>
          <w:bCs/>
          <w:u w:val="single"/>
          <w:rtl/>
        </w:rPr>
        <w:t>כחושים</w:t>
      </w:r>
      <w:r w:rsidRPr="003024E5">
        <w:rPr>
          <w:rStyle w:val="a7"/>
          <w:rFonts w:asciiTheme="minorBidi" w:hAnsiTheme="minorBidi"/>
          <w:u w:val="single"/>
          <w:rtl/>
        </w:rPr>
        <w:footnoteReference w:id="1322"/>
      </w:r>
      <w:r>
        <w:rPr>
          <w:rFonts w:asciiTheme="minorBidi" w:hAnsiTheme="minorBidi" w:hint="cs"/>
          <w:sz w:val="16"/>
          <w:szCs w:val="16"/>
          <w:u w:val="single"/>
          <w:rtl/>
        </w:rPr>
        <w:t>(וה"ה לבשר מליח שנגע בגבינה)</w:t>
      </w:r>
      <w:r>
        <w:rPr>
          <w:rFonts w:asciiTheme="minorBidi" w:hAnsiTheme="minorBidi" w:hint="cs"/>
          <w:u w:val="single"/>
          <w:rtl/>
        </w:rPr>
        <w:t xml:space="preserve"> </w:t>
      </w:r>
      <w:r w:rsidRPr="003024E5">
        <w:rPr>
          <w:rFonts w:asciiTheme="minorBidi" w:hAnsiTheme="minorBidi"/>
          <w:u w:val="single"/>
          <w:rtl/>
        </w:rPr>
        <w:t>-</w:t>
      </w:r>
      <w:r>
        <w:rPr>
          <w:rFonts w:asciiTheme="minorBidi" w:hAnsiTheme="minorBidi"/>
          <w:u w:val="single"/>
          <w:rtl/>
        </w:rPr>
        <w:t xml:space="preserve"> כמה נאסר:</w:t>
      </w:r>
      <w:r>
        <w:rPr>
          <w:rFonts w:asciiTheme="minorBidi" w:hAnsiTheme="minorBidi" w:hint="cs"/>
          <w:sz w:val="16"/>
          <w:szCs w:val="16"/>
          <w:rtl/>
        </w:rPr>
        <w:t xml:space="preserve">  (הועתק מסימן ע סע' ג)</w:t>
      </w:r>
    </w:p>
    <w:p w14:paraId="31A353E9" w14:textId="77777777" w:rsidR="002C39F4" w:rsidRPr="003024E5" w:rsidRDefault="002C39F4" w:rsidP="002C39F4">
      <w:pPr>
        <w:pStyle w:val="a8"/>
        <w:numPr>
          <w:ilvl w:val="0"/>
          <w:numId w:val="34"/>
        </w:numPr>
        <w:rPr>
          <w:rFonts w:asciiTheme="minorBidi" w:hAnsiTheme="minorBidi"/>
          <w:rtl/>
        </w:rPr>
      </w:pPr>
      <w:r w:rsidRPr="003024E5">
        <w:rPr>
          <w:rFonts w:asciiTheme="minorBidi" w:hAnsiTheme="minorBidi"/>
          <w:rtl/>
        </w:rPr>
        <w:t>תוס'</w:t>
      </w:r>
      <w:r w:rsidRPr="003024E5">
        <w:rPr>
          <w:rFonts w:asciiTheme="minorBidi" w:hAnsiTheme="minorBidi"/>
          <w:sz w:val="16"/>
          <w:szCs w:val="16"/>
          <w:rtl/>
        </w:rPr>
        <w:t xml:space="preserve"> </w:t>
      </w:r>
      <w:r w:rsidRPr="003024E5">
        <w:rPr>
          <w:rFonts w:asciiTheme="minorBidi" w:hAnsiTheme="minorBidi"/>
          <w:rtl/>
        </w:rPr>
        <w:t>רשב"א רא"ש טור</w:t>
      </w:r>
      <w:r>
        <w:rPr>
          <w:rFonts w:asciiTheme="minorBidi" w:hAnsiTheme="minorBidi" w:hint="cs"/>
          <w:rtl/>
        </w:rPr>
        <w:t xml:space="preserve"> ור"ן</w:t>
      </w:r>
      <w:r w:rsidRPr="003024E5">
        <w:rPr>
          <w:rStyle w:val="a7"/>
          <w:rFonts w:asciiTheme="minorBidi" w:hAnsiTheme="minorBidi"/>
          <w:rtl/>
        </w:rPr>
        <w:footnoteReference w:id="1323"/>
      </w:r>
      <w:r w:rsidRPr="003024E5">
        <w:rPr>
          <w:rFonts w:asciiTheme="minorBidi" w:hAnsiTheme="minorBidi"/>
          <w:rtl/>
        </w:rPr>
        <w:t>- כדי קליפה</w:t>
      </w:r>
      <w:r w:rsidRPr="003024E5">
        <w:rPr>
          <w:rStyle w:val="a7"/>
          <w:rFonts w:asciiTheme="minorBidi" w:hAnsiTheme="minorBidi"/>
          <w:rtl/>
        </w:rPr>
        <w:footnoteReference w:id="1324"/>
      </w:r>
      <w:r w:rsidRPr="003024E5">
        <w:rPr>
          <w:rFonts w:asciiTheme="minorBidi" w:hAnsiTheme="minorBidi"/>
          <w:rtl/>
        </w:rPr>
        <w:t>.</w:t>
      </w:r>
      <w:r w:rsidRPr="00576C15">
        <w:rPr>
          <w:rFonts w:asciiTheme="minorBidi" w:hAnsiTheme="minorBidi"/>
          <w:color w:val="E36C0A" w:themeColor="accent6" w:themeShade="BF"/>
          <w:rtl/>
        </w:rPr>
        <w:t xml:space="preserve"> </w:t>
      </w:r>
      <w:r w:rsidRPr="00576C15">
        <w:rPr>
          <w:rFonts w:asciiTheme="minorBidi" w:hAnsiTheme="minorBidi" w:hint="cs"/>
          <w:color w:val="E36C0A" w:themeColor="accent6" w:themeShade="BF"/>
          <w:rtl/>
        </w:rPr>
        <w:t>(וכ"פ בשו"ע</w:t>
      </w:r>
      <w:r>
        <w:rPr>
          <w:rFonts w:asciiTheme="minorBidi" w:hAnsiTheme="minorBidi" w:hint="cs"/>
          <w:sz w:val="16"/>
          <w:szCs w:val="16"/>
          <w:rtl/>
        </w:rPr>
        <w:t xml:space="preserve"> [כאן]</w:t>
      </w:r>
      <w:r w:rsidRPr="00576C15">
        <w:rPr>
          <w:rFonts w:asciiTheme="minorBidi" w:hAnsiTheme="minorBidi" w:hint="cs"/>
          <w:color w:val="E36C0A" w:themeColor="accent6" w:themeShade="BF"/>
          <w:rtl/>
        </w:rPr>
        <w:t>)</w:t>
      </w:r>
    </w:p>
    <w:p w14:paraId="61D6D394" w14:textId="77777777" w:rsidR="002C39F4" w:rsidRPr="003024E5" w:rsidRDefault="002C39F4" w:rsidP="002C39F4">
      <w:pPr>
        <w:pStyle w:val="a8"/>
        <w:numPr>
          <w:ilvl w:val="0"/>
          <w:numId w:val="34"/>
        </w:numPr>
        <w:rPr>
          <w:rFonts w:asciiTheme="minorBidi" w:hAnsiTheme="minorBidi"/>
        </w:rPr>
      </w:pPr>
      <w:r w:rsidRPr="003024E5">
        <w:rPr>
          <w:rFonts w:asciiTheme="minorBidi" w:hAnsiTheme="minorBidi"/>
          <w:rtl/>
        </w:rPr>
        <w:t xml:space="preserve">הרא"ה </w:t>
      </w:r>
      <w:r w:rsidRPr="003024E5">
        <w:rPr>
          <w:rFonts w:asciiTheme="minorBidi" w:hAnsiTheme="minorBidi"/>
          <w:sz w:val="16"/>
          <w:szCs w:val="16"/>
          <w:rtl/>
        </w:rPr>
        <w:t>(בדה"ב ב"ג ש"ג עה. ד"ה ומיהו)</w:t>
      </w:r>
      <w:r w:rsidRPr="003024E5">
        <w:rPr>
          <w:rFonts w:asciiTheme="minorBidi" w:hAnsiTheme="minorBidi"/>
          <w:rtl/>
        </w:rPr>
        <w:t xml:space="preserve">- </w:t>
      </w:r>
      <w:r>
        <w:rPr>
          <w:rFonts w:asciiTheme="minorBidi" w:hAnsiTheme="minorBidi" w:hint="cs"/>
          <w:rtl/>
        </w:rPr>
        <w:t>בעי</w:t>
      </w:r>
      <w:r w:rsidRPr="003024E5">
        <w:rPr>
          <w:rFonts w:asciiTheme="minorBidi" w:hAnsiTheme="minorBidi"/>
          <w:rtl/>
        </w:rPr>
        <w:t xml:space="preserve"> נטיל</w:t>
      </w:r>
      <w:r>
        <w:rPr>
          <w:rFonts w:asciiTheme="minorBidi" w:hAnsiTheme="minorBidi" w:hint="cs"/>
          <w:rtl/>
        </w:rPr>
        <w:t>ת מקום</w:t>
      </w:r>
      <w:r w:rsidRPr="003024E5">
        <w:rPr>
          <w:rStyle w:val="a7"/>
          <w:rFonts w:asciiTheme="minorBidi" w:hAnsiTheme="minorBidi"/>
          <w:rtl/>
        </w:rPr>
        <w:footnoteReference w:id="1325"/>
      </w:r>
      <w:r w:rsidRPr="003024E5">
        <w:rPr>
          <w:rFonts w:asciiTheme="minorBidi" w:hAnsiTheme="minorBidi"/>
          <w:rtl/>
        </w:rPr>
        <w:t>.</w:t>
      </w:r>
    </w:p>
    <w:p w14:paraId="097FCEFA" w14:textId="77777777" w:rsidR="002C39F4" w:rsidRDefault="002C39F4" w:rsidP="002C39F4">
      <w:pPr>
        <w:pStyle w:val="a8"/>
        <w:numPr>
          <w:ilvl w:val="0"/>
          <w:numId w:val="34"/>
        </w:numPr>
        <w:rPr>
          <w:rFonts w:asciiTheme="minorBidi" w:hAnsiTheme="minorBidi"/>
        </w:rPr>
      </w:pPr>
      <w:r w:rsidRPr="003024E5">
        <w:rPr>
          <w:rFonts w:asciiTheme="minorBidi" w:hAnsiTheme="minorBidi"/>
          <w:rtl/>
        </w:rPr>
        <w:t>רמב"ם</w:t>
      </w:r>
      <w:r w:rsidRPr="003024E5">
        <w:rPr>
          <w:rStyle w:val="a7"/>
          <w:rFonts w:asciiTheme="minorBidi" w:hAnsiTheme="minorBidi"/>
          <w:rtl/>
        </w:rPr>
        <w:footnoteReference w:id="1326"/>
      </w:r>
      <w:r w:rsidRPr="00155314">
        <w:rPr>
          <w:rFonts w:asciiTheme="minorBidi" w:hAnsiTheme="minorBidi"/>
          <w:sz w:val="16"/>
          <w:szCs w:val="16"/>
          <w:rtl/>
        </w:rPr>
        <w:t xml:space="preserve"> </w:t>
      </w:r>
      <w:r>
        <w:rPr>
          <w:rFonts w:asciiTheme="minorBidi" w:hAnsiTheme="minorBidi" w:hint="cs"/>
          <w:sz w:val="16"/>
          <w:szCs w:val="16"/>
          <w:rtl/>
        </w:rPr>
        <w:t>(</w:t>
      </w:r>
      <w:r w:rsidRPr="00155314">
        <w:rPr>
          <w:rFonts w:asciiTheme="minorBidi" w:hAnsiTheme="minorBidi"/>
          <w:sz w:val="16"/>
          <w:szCs w:val="16"/>
          <w:rtl/>
        </w:rPr>
        <w:t>פט"ו הל"ד</w:t>
      </w:r>
      <w:r>
        <w:rPr>
          <w:rFonts w:asciiTheme="minorBidi" w:hAnsiTheme="minorBidi" w:hint="cs"/>
          <w:sz w:val="16"/>
          <w:szCs w:val="16"/>
          <w:rtl/>
        </w:rPr>
        <w:t>)</w:t>
      </w:r>
      <w:r w:rsidRPr="00155314">
        <w:rPr>
          <w:rFonts w:asciiTheme="minorBidi" w:hAnsiTheme="minorBidi"/>
          <w:rtl/>
        </w:rPr>
        <w:t xml:space="preserve"> </w:t>
      </w:r>
      <w:r>
        <w:rPr>
          <w:rFonts w:asciiTheme="minorBidi" w:hAnsiTheme="minorBidi" w:hint="cs"/>
          <w:rtl/>
        </w:rPr>
        <w:t>ו</w:t>
      </w:r>
      <w:r w:rsidRPr="003024E5">
        <w:rPr>
          <w:rFonts w:asciiTheme="minorBidi" w:hAnsiTheme="minorBidi"/>
          <w:rtl/>
        </w:rPr>
        <w:t>רמב"ן</w:t>
      </w:r>
      <w:r w:rsidRPr="003024E5">
        <w:rPr>
          <w:rFonts w:asciiTheme="minorBidi" w:hAnsiTheme="minorBidi"/>
          <w:sz w:val="16"/>
          <w:szCs w:val="16"/>
          <w:rtl/>
        </w:rPr>
        <w:t xml:space="preserve"> (מהדו' רייכמן חולין קיב: ד"ה ורבינו שלמה)</w:t>
      </w:r>
      <w:r w:rsidRPr="003024E5">
        <w:rPr>
          <w:rFonts w:asciiTheme="minorBidi" w:hAnsiTheme="minorBidi"/>
          <w:rtl/>
        </w:rPr>
        <w:t xml:space="preserve">- </w:t>
      </w:r>
      <w:r>
        <w:rPr>
          <w:rFonts w:asciiTheme="minorBidi" w:hAnsiTheme="minorBidi" w:hint="cs"/>
          <w:rtl/>
        </w:rPr>
        <w:t xml:space="preserve">הכל אסור, </w:t>
      </w:r>
      <w:r w:rsidRPr="003024E5">
        <w:rPr>
          <w:rFonts w:asciiTheme="minorBidi" w:hAnsiTheme="minorBidi"/>
          <w:rtl/>
        </w:rPr>
        <w:t xml:space="preserve">דהכא כוליה חיים מרוב טיפות מלוחות שהן חמות בעצמן. </w:t>
      </w:r>
      <w:r>
        <w:rPr>
          <w:rFonts w:asciiTheme="minorBidi" w:hAnsiTheme="minorBidi" w:hint="cs"/>
          <w:rtl/>
        </w:rPr>
        <w:t xml:space="preserve"> </w:t>
      </w:r>
    </w:p>
    <w:p w14:paraId="07340A1E" w14:textId="77777777" w:rsidR="002C39F4" w:rsidRPr="00513D77" w:rsidRDefault="002C39F4" w:rsidP="002C39F4">
      <w:pPr>
        <w:ind w:left="360"/>
        <w:rPr>
          <w:rFonts w:cs="Arial"/>
          <w:u w:val="dotted"/>
          <w:rtl/>
        </w:rPr>
      </w:pPr>
      <w:r w:rsidRPr="00513D77">
        <w:rPr>
          <w:rFonts w:cs="Arial" w:hint="cs"/>
          <w:u w:val="dotted"/>
          <w:rtl/>
        </w:rPr>
        <w:t xml:space="preserve">ומה הדין בחתיכה </w:t>
      </w:r>
      <w:r w:rsidRPr="00D345B2">
        <w:rPr>
          <w:rFonts w:cs="Arial" w:hint="cs"/>
          <w:b/>
          <w:bCs/>
          <w:u w:val="dotted"/>
          <w:rtl/>
        </w:rPr>
        <w:t>שמנה</w:t>
      </w:r>
      <w:r w:rsidRPr="00513D77">
        <w:rPr>
          <w:rFonts w:cs="Arial" w:hint="cs"/>
          <w:u w:val="dotted"/>
          <w:rtl/>
        </w:rPr>
        <w:t>:</w:t>
      </w:r>
    </w:p>
    <w:p w14:paraId="7274C456" w14:textId="77777777" w:rsidR="002C39F4" w:rsidRPr="00513D77" w:rsidRDefault="002C39F4" w:rsidP="0032102C">
      <w:pPr>
        <w:pStyle w:val="a8"/>
        <w:numPr>
          <w:ilvl w:val="0"/>
          <w:numId w:val="165"/>
        </w:numPr>
        <w:rPr>
          <w:rFonts w:asciiTheme="minorBidi" w:hAnsiTheme="minorBidi"/>
          <w:rtl/>
        </w:rPr>
      </w:pPr>
      <w:r>
        <w:rPr>
          <w:rFonts w:cs="Arial" w:hint="cs"/>
          <w:rtl/>
        </w:rPr>
        <w:t xml:space="preserve">טור וב"י- הדין דלעיל הוא </w:t>
      </w:r>
      <w:r w:rsidRPr="00513D77">
        <w:rPr>
          <w:rFonts w:cs="Arial"/>
          <w:rtl/>
        </w:rPr>
        <w:t>בשאין הבשר שמן</w:t>
      </w:r>
      <w:r>
        <w:rPr>
          <w:rFonts w:cs="Arial" w:hint="cs"/>
          <w:rtl/>
        </w:rPr>
        <w:t>,</w:t>
      </w:r>
      <w:r w:rsidRPr="00513D77">
        <w:rPr>
          <w:rFonts w:cs="Arial"/>
          <w:rtl/>
        </w:rPr>
        <w:t xml:space="preserve"> שאם הוא שמן כל חתיכת הגבינה אסורה וכן כל חתיכת הבשר</w:t>
      </w:r>
      <w:r>
        <w:rPr>
          <w:rFonts w:cs="Arial" w:hint="cs"/>
          <w:rtl/>
        </w:rPr>
        <w:t>,</w:t>
      </w:r>
      <w:r w:rsidRPr="00513D77">
        <w:rPr>
          <w:rFonts w:cs="Arial"/>
          <w:rtl/>
        </w:rPr>
        <w:t xml:space="preserve"> שע</w:t>
      </w:r>
      <w:r>
        <w:rPr>
          <w:rFonts w:cs="Arial" w:hint="cs"/>
          <w:rtl/>
        </w:rPr>
        <w:t>"י</w:t>
      </w:r>
      <w:r w:rsidRPr="00513D77">
        <w:rPr>
          <w:rFonts w:cs="Arial"/>
          <w:rtl/>
        </w:rPr>
        <w:t xml:space="preserve"> השומן הוא מפעפע בכולה</w:t>
      </w:r>
      <w:r>
        <w:rPr>
          <w:rStyle w:val="a7"/>
          <w:rFonts w:cs="Arial"/>
          <w:rtl/>
        </w:rPr>
        <w:footnoteReference w:id="1327"/>
      </w:r>
      <w:r>
        <w:rPr>
          <w:rFonts w:cs="Arial" w:hint="cs"/>
          <w:rtl/>
        </w:rPr>
        <w:t xml:space="preserve">. </w:t>
      </w:r>
      <w:r w:rsidRPr="00576C15">
        <w:rPr>
          <w:rFonts w:asciiTheme="minorBidi" w:hAnsiTheme="minorBidi" w:hint="cs"/>
          <w:color w:val="E36C0A" w:themeColor="accent6" w:themeShade="BF"/>
          <w:rtl/>
        </w:rPr>
        <w:t>(וכ"פ בשו"ע</w:t>
      </w:r>
      <w:r>
        <w:rPr>
          <w:rFonts w:asciiTheme="minorBidi" w:hAnsiTheme="minorBidi" w:hint="cs"/>
          <w:sz w:val="16"/>
          <w:szCs w:val="16"/>
          <w:rtl/>
        </w:rPr>
        <w:t xml:space="preserve"> [בסע' הבא]</w:t>
      </w:r>
      <w:r w:rsidRPr="00576C15">
        <w:rPr>
          <w:rFonts w:asciiTheme="minorBidi" w:hAnsiTheme="minorBidi" w:hint="cs"/>
          <w:color w:val="E36C0A" w:themeColor="accent6" w:themeShade="BF"/>
          <w:rtl/>
        </w:rPr>
        <w:t>)</w:t>
      </w:r>
    </w:p>
    <w:p w14:paraId="049D143A" w14:textId="77777777" w:rsidR="002C39F4" w:rsidRPr="00492ADD" w:rsidRDefault="002C39F4" w:rsidP="002C39F4">
      <w:pPr>
        <w:rPr>
          <w:rFonts w:cs="Arial"/>
          <w:u w:val="single"/>
          <w:rtl/>
        </w:rPr>
      </w:pPr>
      <w:r w:rsidRPr="00492ADD">
        <w:rPr>
          <w:rFonts w:cs="Arial" w:hint="cs"/>
          <w:u w:val="single"/>
          <w:rtl/>
        </w:rPr>
        <w:t xml:space="preserve">האם יש הבדל </w:t>
      </w:r>
      <w:r>
        <w:rPr>
          <w:rFonts w:cs="Arial" w:hint="cs"/>
          <w:u w:val="single"/>
          <w:rtl/>
        </w:rPr>
        <w:t xml:space="preserve">בחתיכה </w:t>
      </w:r>
      <w:r w:rsidRPr="00535E46">
        <w:rPr>
          <w:rFonts w:cs="Arial" w:hint="cs"/>
          <w:b/>
          <w:bCs/>
          <w:u w:val="single"/>
          <w:rtl/>
        </w:rPr>
        <w:t>כחושה</w:t>
      </w:r>
      <w:r>
        <w:rPr>
          <w:rFonts w:cs="Arial" w:hint="cs"/>
          <w:u w:val="single"/>
          <w:rtl/>
        </w:rPr>
        <w:t xml:space="preserve"> </w:t>
      </w:r>
      <w:r w:rsidRPr="00492ADD">
        <w:rPr>
          <w:rFonts w:cs="Arial" w:hint="cs"/>
          <w:u w:val="single"/>
          <w:rtl/>
        </w:rPr>
        <w:t>בין כשהמליח מעל ה</w:t>
      </w:r>
      <w:r>
        <w:rPr>
          <w:rFonts w:cs="Arial" w:hint="cs"/>
          <w:u w:val="single"/>
          <w:rtl/>
        </w:rPr>
        <w:t>ת</w:t>
      </w:r>
      <w:r w:rsidRPr="00492ADD">
        <w:rPr>
          <w:rFonts w:cs="Arial" w:hint="cs"/>
          <w:u w:val="single"/>
          <w:rtl/>
        </w:rPr>
        <w:t>פל או תחתיו:</w:t>
      </w:r>
    </w:p>
    <w:p w14:paraId="191DA7A6" w14:textId="77777777" w:rsidR="002C39F4" w:rsidRPr="00A70112" w:rsidRDefault="002C39F4" w:rsidP="0032102C">
      <w:pPr>
        <w:pStyle w:val="a8"/>
        <w:numPr>
          <w:ilvl w:val="0"/>
          <w:numId w:val="166"/>
        </w:numPr>
        <w:rPr>
          <w:rFonts w:cs="Arial"/>
          <w:rtl/>
        </w:rPr>
      </w:pPr>
      <w:r w:rsidRPr="00C233C9">
        <w:rPr>
          <w:rFonts w:asciiTheme="minorBidi" w:hAnsiTheme="minorBidi"/>
          <w:rtl/>
        </w:rPr>
        <w:t xml:space="preserve">תוס' </w:t>
      </w:r>
      <w:r w:rsidRPr="00C233C9">
        <w:rPr>
          <w:rFonts w:asciiTheme="minorBidi" w:hAnsiTheme="minorBidi"/>
          <w:sz w:val="16"/>
          <w:szCs w:val="16"/>
          <w:rtl/>
        </w:rPr>
        <w:t xml:space="preserve">(ד"ה טהור) </w:t>
      </w:r>
      <w:r>
        <w:rPr>
          <w:rFonts w:asciiTheme="minorBidi" w:hAnsiTheme="minorBidi"/>
          <w:rtl/>
        </w:rPr>
        <w:t>ו</w:t>
      </w:r>
      <w:r w:rsidRPr="00C233C9">
        <w:rPr>
          <w:rFonts w:asciiTheme="minorBidi" w:hAnsiTheme="minorBidi"/>
          <w:rtl/>
        </w:rPr>
        <w:t xml:space="preserve">רא"ש </w:t>
      </w:r>
      <w:r w:rsidRPr="00C233C9">
        <w:rPr>
          <w:rFonts w:asciiTheme="minorBidi" w:hAnsiTheme="minorBidi"/>
          <w:sz w:val="16"/>
          <w:szCs w:val="16"/>
          <w:rtl/>
        </w:rPr>
        <w:t>(סי' מא)</w:t>
      </w:r>
      <w:r w:rsidRPr="00A70112">
        <w:rPr>
          <w:rFonts w:cs="Arial" w:hint="cs"/>
          <w:rtl/>
        </w:rPr>
        <w:t>-</w:t>
      </w:r>
      <w:r w:rsidRPr="00A70112">
        <w:rPr>
          <w:rFonts w:cs="Arial"/>
          <w:rtl/>
        </w:rPr>
        <w:t xml:space="preserve"> אינו תלוי בין אם הוא עליון או תחתון אלא בין עליון או תחתון המליח מבליע בתפל ואינו בולע ממנו</w:t>
      </w:r>
      <w:r>
        <w:rPr>
          <w:rStyle w:val="a7"/>
          <w:rFonts w:cs="Arial"/>
          <w:rtl/>
        </w:rPr>
        <w:footnoteReference w:id="1328"/>
      </w:r>
      <w:r w:rsidRPr="00A70112">
        <w:rPr>
          <w:rFonts w:cs="Arial"/>
          <w:rtl/>
        </w:rPr>
        <w:t>.</w:t>
      </w:r>
      <w:r w:rsidRPr="00A70112">
        <w:rPr>
          <w:rFonts w:cs="Arial" w:hint="cs"/>
          <w:rtl/>
        </w:rPr>
        <w:t xml:space="preserve"> </w:t>
      </w:r>
      <w:r w:rsidRPr="00576C15">
        <w:rPr>
          <w:rFonts w:asciiTheme="minorBidi" w:hAnsiTheme="minorBidi" w:hint="cs"/>
          <w:color w:val="E36C0A" w:themeColor="accent6" w:themeShade="BF"/>
          <w:rtl/>
        </w:rPr>
        <w:t>(וכ"פ בשו"ע)</w:t>
      </w:r>
    </w:p>
    <w:p w14:paraId="21B55616" w14:textId="77777777" w:rsidR="002C39F4" w:rsidRPr="003024E5" w:rsidRDefault="002C39F4" w:rsidP="002C39F4">
      <w:pPr>
        <w:rPr>
          <w:rFonts w:asciiTheme="minorBidi" w:hAnsiTheme="minorBidi"/>
          <w:u w:val="single"/>
          <w:rtl/>
        </w:rPr>
      </w:pPr>
      <w:r w:rsidRPr="003024E5">
        <w:rPr>
          <w:rFonts w:asciiTheme="minorBidi" w:hAnsiTheme="minorBidi"/>
          <w:u w:val="single"/>
          <w:rtl/>
        </w:rPr>
        <w:t>"טהור מליח וטמא תפל מותר"- והרי כשהטהור מונח על הטמא</w:t>
      </w:r>
      <w:r w:rsidRPr="003024E5">
        <w:rPr>
          <w:rFonts w:asciiTheme="minorBidi" w:hAnsiTheme="minorBidi"/>
          <w:sz w:val="16"/>
          <w:szCs w:val="16"/>
          <w:u w:val="single"/>
          <w:rtl/>
        </w:rPr>
        <w:t xml:space="preserve"> (או תחתיו/בצדו)</w:t>
      </w:r>
      <w:r w:rsidRPr="003024E5">
        <w:rPr>
          <w:rFonts w:asciiTheme="minorBidi" w:hAnsiTheme="minorBidi"/>
          <w:u w:val="single"/>
          <w:rtl/>
        </w:rPr>
        <w:t xml:space="preserve"> נמלח גם הטמא ממלח שעל הטהור:</w:t>
      </w:r>
      <w:r w:rsidRPr="00576C15">
        <w:rPr>
          <w:rStyle w:val="a7"/>
          <w:rFonts w:asciiTheme="minorBidi" w:hAnsiTheme="minorBidi"/>
          <w:rtl/>
        </w:rPr>
        <w:footnoteReference w:id="1329"/>
      </w:r>
    </w:p>
    <w:p w14:paraId="44B4481C" w14:textId="77777777" w:rsidR="002C39F4" w:rsidRPr="003024E5" w:rsidRDefault="002C39F4" w:rsidP="002C39F4">
      <w:pPr>
        <w:pStyle w:val="a8"/>
        <w:numPr>
          <w:ilvl w:val="0"/>
          <w:numId w:val="35"/>
        </w:numPr>
        <w:rPr>
          <w:rFonts w:asciiTheme="minorBidi" w:hAnsiTheme="minorBidi"/>
          <w:rtl/>
        </w:rPr>
      </w:pPr>
      <w:r w:rsidRPr="003024E5">
        <w:rPr>
          <w:rFonts w:asciiTheme="minorBidi" w:hAnsiTheme="minorBidi"/>
          <w:rtl/>
        </w:rPr>
        <w:t>רא"ש</w:t>
      </w:r>
      <w:r w:rsidRPr="003024E5">
        <w:rPr>
          <w:rFonts w:asciiTheme="minorBidi" w:hAnsiTheme="minorBidi"/>
          <w:sz w:val="16"/>
          <w:szCs w:val="16"/>
          <w:rtl/>
        </w:rPr>
        <w:t xml:space="preserve"> (סי' מב)</w:t>
      </w:r>
      <w:r w:rsidRPr="003024E5">
        <w:rPr>
          <w:rFonts w:asciiTheme="minorBidi" w:hAnsiTheme="minorBidi"/>
          <w:rtl/>
        </w:rPr>
        <w:t xml:space="preserve">- י"ל שנמלח מכל צדדין רק לא במקום שהוא דבוק לטמא, א"נ אחר שנמלח הטהור נגע לטמא ובמה שהוא נוגע בטמא אינו נחשב כרותח להיות פולט דהבשר אינו יוצא מידי דמו עד שימלחנו יפה יפה. </w:t>
      </w:r>
    </w:p>
    <w:p w14:paraId="533F23E7" w14:textId="77777777" w:rsidR="002C39F4" w:rsidRPr="003024E5" w:rsidRDefault="002C39F4" w:rsidP="002C39F4">
      <w:pPr>
        <w:pStyle w:val="a8"/>
        <w:numPr>
          <w:ilvl w:val="0"/>
          <w:numId w:val="35"/>
        </w:numPr>
        <w:rPr>
          <w:rFonts w:asciiTheme="minorBidi" w:hAnsiTheme="minorBidi"/>
          <w:rtl/>
        </w:rPr>
      </w:pPr>
      <w:r w:rsidRPr="003024E5">
        <w:rPr>
          <w:rFonts w:asciiTheme="minorBidi" w:hAnsiTheme="minorBidi"/>
          <w:rtl/>
        </w:rPr>
        <w:t xml:space="preserve">רשב"א </w:t>
      </w:r>
      <w:r w:rsidRPr="003024E5">
        <w:rPr>
          <w:rFonts w:asciiTheme="minorBidi" w:hAnsiTheme="minorBidi"/>
          <w:sz w:val="16"/>
          <w:szCs w:val="16"/>
          <w:rtl/>
        </w:rPr>
        <w:t>(תוה"ק ב"ד ש"א)</w:t>
      </w:r>
      <w:r w:rsidRPr="003024E5">
        <w:rPr>
          <w:rFonts w:asciiTheme="minorBidi" w:hAnsiTheme="minorBidi"/>
          <w:rtl/>
        </w:rPr>
        <w:t xml:space="preserve"> הג"א </w:t>
      </w:r>
      <w:r w:rsidRPr="003024E5">
        <w:rPr>
          <w:rFonts w:asciiTheme="minorBidi" w:hAnsiTheme="minorBidi"/>
          <w:sz w:val="16"/>
          <w:szCs w:val="16"/>
          <w:rtl/>
        </w:rPr>
        <w:t xml:space="preserve">(סי' מב) </w:t>
      </w:r>
      <w:r w:rsidRPr="003024E5">
        <w:rPr>
          <w:rFonts w:asciiTheme="minorBidi" w:hAnsiTheme="minorBidi"/>
          <w:rtl/>
        </w:rPr>
        <w:t>וטור- הדג הטהור מותר "לפי שאין חום המלח גדול שיפליט החתיכה שלא נמלחה אע"פ שהחתיכה המלוחה נוגעת בה, אלא החתיכה המלוחה מבלעת את החתיכה התפלה מה שהיא פולטת, ואינה מפליטה ציר של עצמה אלא מעט, ואותו המועט אין בו כח להבלע בחתיכה המלוחה מפני שהחתיכה המלוחה פולטת וכל שהיא פולטת הרבה אינה בולעת אותו המועט"</w:t>
      </w:r>
      <w:r w:rsidRPr="003024E5">
        <w:rPr>
          <w:rFonts w:asciiTheme="minorBidi" w:hAnsiTheme="minorBidi"/>
          <w:sz w:val="16"/>
          <w:szCs w:val="16"/>
          <w:rtl/>
        </w:rPr>
        <w:t>(ל' הרשב"א)</w:t>
      </w:r>
      <w:r w:rsidRPr="003024E5">
        <w:rPr>
          <w:rStyle w:val="a7"/>
          <w:rFonts w:asciiTheme="minorBidi" w:hAnsiTheme="minorBidi"/>
          <w:rtl/>
        </w:rPr>
        <w:footnoteReference w:id="1330"/>
      </w:r>
      <w:r w:rsidRPr="003024E5">
        <w:rPr>
          <w:rFonts w:asciiTheme="minorBidi" w:hAnsiTheme="minorBidi"/>
          <w:rtl/>
        </w:rPr>
        <w:t xml:space="preserve">. </w:t>
      </w:r>
      <w:r w:rsidRPr="003024E5">
        <w:rPr>
          <w:rFonts w:asciiTheme="minorBidi" w:hAnsiTheme="minorBidi"/>
          <w:color w:val="E36C0A" w:themeColor="accent6" w:themeShade="BF"/>
          <w:rtl/>
        </w:rPr>
        <w:t>(וכ"ס בשו"ע)</w:t>
      </w:r>
      <w:r w:rsidRPr="003024E5">
        <w:rPr>
          <w:rFonts w:asciiTheme="minorBidi" w:hAnsiTheme="minorBidi"/>
          <w:rtl/>
        </w:rPr>
        <w:t xml:space="preserve"> </w:t>
      </w:r>
    </w:p>
    <w:p w14:paraId="38512491" w14:textId="77777777" w:rsidR="002C39F4" w:rsidRPr="00513D77" w:rsidRDefault="002C39F4" w:rsidP="002C39F4">
      <w:pPr>
        <w:pStyle w:val="a8"/>
        <w:numPr>
          <w:ilvl w:val="0"/>
          <w:numId w:val="35"/>
        </w:numPr>
        <w:rPr>
          <w:rFonts w:asciiTheme="minorBidi" w:hAnsiTheme="minorBidi"/>
          <w:rtl/>
        </w:rPr>
      </w:pPr>
      <w:r w:rsidRPr="003024E5">
        <w:rPr>
          <w:rFonts w:asciiTheme="minorBidi" w:hAnsiTheme="minorBidi"/>
          <w:rtl/>
        </w:rPr>
        <w:t>סה"ת</w:t>
      </w:r>
      <w:r w:rsidRPr="003024E5">
        <w:rPr>
          <w:rFonts w:asciiTheme="minorBidi" w:hAnsiTheme="minorBidi"/>
          <w:sz w:val="16"/>
          <w:szCs w:val="16"/>
          <w:rtl/>
        </w:rPr>
        <w:t xml:space="preserve"> </w:t>
      </w:r>
      <w:r w:rsidRPr="003024E5">
        <w:rPr>
          <w:rFonts w:asciiTheme="minorBidi" w:hAnsiTheme="minorBidi"/>
          <w:rtl/>
        </w:rPr>
        <w:t>ור"ן</w:t>
      </w:r>
      <w:r w:rsidRPr="003024E5">
        <w:rPr>
          <w:rStyle w:val="a7"/>
          <w:rFonts w:asciiTheme="minorBidi" w:hAnsiTheme="minorBidi"/>
          <w:rtl/>
        </w:rPr>
        <w:footnoteReference w:id="1331"/>
      </w:r>
      <w:r w:rsidRPr="003024E5">
        <w:rPr>
          <w:rFonts w:asciiTheme="minorBidi" w:hAnsiTheme="minorBidi"/>
          <w:rtl/>
        </w:rPr>
        <w:t>- לאו בנוגעים זה בזה עסקינן אלא שעומדים בסמוך בכדי שפליטה של זה נוגעת בזה</w:t>
      </w:r>
      <w:r w:rsidRPr="003024E5">
        <w:rPr>
          <w:rStyle w:val="a7"/>
          <w:rFonts w:asciiTheme="minorBidi" w:hAnsiTheme="minorBidi"/>
          <w:rtl/>
        </w:rPr>
        <w:footnoteReference w:id="1332"/>
      </w:r>
      <w:r w:rsidRPr="003024E5">
        <w:rPr>
          <w:rFonts w:asciiTheme="minorBidi" w:hAnsiTheme="minorBidi"/>
          <w:rtl/>
        </w:rPr>
        <w:t xml:space="preserve">. </w:t>
      </w:r>
    </w:p>
    <w:p w14:paraId="1BF4ABBD" w14:textId="77777777" w:rsidR="002C39F4" w:rsidRPr="00492ADD" w:rsidRDefault="002C39F4" w:rsidP="002C39F4">
      <w:pPr>
        <w:rPr>
          <w:rFonts w:cs="Arial"/>
          <w:u w:val="single"/>
        </w:rPr>
      </w:pPr>
      <w:r w:rsidRPr="00492ADD">
        <w:rPr>
          <w:rFonts w:cs="Arial"/>
          <w:u w:val="single"/>
          <w:rtl/>
        </w:rPr>
        <w:t xml:space="preserve">בשר </w:t>
      </w:r>
      <w:r>
        <w:rPr>
          <w:rFonts w:cs="Arial" w:hint="cs"/>
          <w:u w:val="single"/>
          <w:rtl/>
        </w:rPr>
        <w:t xml:space="preserve">מליח </w:t>
      </w:r>
      <w:r w:rsidRPr="00492ADD">
        <w:rPr>
          <w:rFonts w:cs="Arial"/>
          <w:u w:val="single"/>
          <w:rtl/>
        </w:rPr>
        <w:t xml:space="preserve">וגבינה </w:t>
      </w:r>
      <w:r>
        <w:rPr>
          <w:rFonts w:cs="Arial" w:hint="cs"/>
          <w:u w:val="single"/>
          <w:rtl/>
        </w:rPr>
        <w:t xml:space="preserve">תפילה </w:t>
      </w:r>
      <w:r>
        <w:rPr>
          <w:rFonts w:cs="Arial"/>
          <w:u w:val="single"/>
          <w:rtl/>
        </w:rPr>
        <w:t>–</w:t>
      </w:r>
      <w:r>
        <w:rPr>
          <w:rFonts w:cs="Arial" w:hint="cs"/>
          <w:u w:val="single"/>
          <w:rtl/>
        </w:rPr>
        <w:t xml:space="preserve"> ונגעו זה בזה:</w:t>
      </w:r>
    </w:p>
    <w:p w14:paraId="146D3C11" w14:textId="77777777" w:rsidR="002C39F4" w:rsidRPr="00492ADD" w:rsidRDefault="002C39F4" w:rsidP="002C39F4">
      <w:pPr>
        <w:pStyle w:val="a8"/>
        <w:numPr>
          <w:ilvl w:val="0"/>
          <w:numId w:val="35"/>
        </w:numPr>
      </w:pPr>
      <w:r>
        <w:rPr>
          <w:rFonts w:cs="Arial" w:hint="cs"/>
          <w:rtl/>
        </w:rPr>
        <w:t>טור-</w:t>
      </w:r>
      <w:r>
        <w:rPr>
          <w:rFonts w:hint="cs"/>
          <w:rtl/>
        </w:rPr>
        <w:t xml:space="preserve"> </w:t>
      </w:r>
      <w:r w:rsidRPr="00492ADD">
        <w:rPr>
          <w:rFonts w:cs="Arial"/>
          <w:rtl/>
        </w:rPr>
        <w:t>הבשר שרי בהדחה והגב</w:t>
      </w:r>
      <w:r>
        <w:rPr>
          <w:rFonts w:cs="Arial"/>
          <w:rtl/>
        </w:rPr>
        <w:t>ינה צריכה קליפה</w:t>
      </w:r>
      <w:r>
        <w:rPr>
          <w:rFonts w:cs="Arial" w:hint="cs"/>
          <w:rtl/>
        </w:rPr>
        <w:t>,</w:t>
      </w:r>
      <w:r>
        <w:rPr>
          <w:rFonts w:cs="Arial"/>
          <w:rtl/>
        </w:rPr>
        <w:t xml:space="preserve"> ואם איפכא איפכא</w:t>
      </w:r>
      <w:r>
        <w:rPr>
          <w:rStyle w:val="a7"/>
          <w:rFonts w:cs="Arial"/>
          <w:rtl/>
        </w:rPr>
        <w:footnoteReference w:id="1333"/>
      </w:r>
      <w:r>
        <w:rPr>
          <w:rFonts w:cs="Arial" w:hint="cs"/>
          <w:rtl/>
        </w:rPr>
        <w:t>.</w:t>
      </w:r>
      <w:r w:rsidRPr="003A3377">
        <w:rPr>
          <w:rFonts w:cs="Arial"/>
          <w:rtl/>
        </w:rPr>
        <w:t xml:space="preserve"> </w:t>
      </w:r>
      <w:r w:rsidRPr="00156F35">
        <w:rPr>
          <w:rFonts w:hint="cs"/>
          <w:color w:val="E36C0A" w:themeColor="accent6" w:themeShade="BF"/>
          <w:rtl/>
        </w:rPr>
        <w:t>(וכ"פ בשו"ע)</w:t>
      </w:r>
    </w:p>
    <w:p w14:paraId="3DA619D0" w14:textId="77777777" w:rsidR="002C39F4" w:rsidRPr="00492ADD" w:rsidRDefault="002C39F4" w:rsidP="002C39F4">
      <w:pPr>
        <w:rPr>
          <w:rFonts w:cs="Arial"/>
          <w:u w:val="single"/>
          <w:rtl/>
        </w:rPr>
      </w:pPr>
      <w:r>
        <w:rPr>
          <w:rFonts w:cs="Arial"/>
          <w:u w:val="single"/>
          <w:rtl/>
        </w:rPr>
        <w:t xml:space="preserve">בשר וגבינה </w:t>
      </w:r>
      <w:r w:rsidRPr="00492ADD">
        <w:rPr>
          <w:rFonts w:cs="Arial"/>
          <w:u w:val="single"/>
          <w:rtl/>
        </w:rPr>
        <w:t xml:space="preserve">מלוחים </w:t>
      </w:r>
      <w:r w:rsidRPr="0002069C">
        <w:rPr>
          <w:rFonts w:cs="Arial"/>
          <w:u w:val="single"/>
          <w:rtl/>
        </w:rPr>
        <w:t>לחין</w:t>
      </w:r>
      <w:r w:rsidRPr="00492ADD">
        <w:rPr>
          <w:rFonts w:cs="Arial"/>
          <w:u w:val="single"/>
          <w:rtl/>
        </w:rPr>
        <w:t xml:space="preserve"> שנגעו זה בזה</w:t>
      </w:r>
      <w:r w:rsidRPr="00492ADD">
        <w:rPr>
          <w:rFonts w:cs="Arial" w:hint="cs"/>
          <w:u w:val="single"/>
          <w:rtl/>
        </w:rPr>
        <w:t>:</w:t>
      </w:r>
    </w:p>
    <w:p w14:paraId="28391EE6" w14:textId="77777777" w:rsidR="002C39F4" w:rsidRPr="00492ADD" w:rsidRDefault="002C39F4" w:rsidP="002C39F4">
      <w:pPr>
        <w:pStyle w:val="a8"/>
        <w:numPr>
          <w:ilvl w:val="0"/>
          <w:numId w:val="35"/>
        </w:numPr>
      </w:pPr>
      <w:r w:rsidRPr="00492ADD">
        <w:rPr>
          <w:rFonts w:cs="Arial" w:hint="cs"/>
          <w:rtl/>
        </w:rPr>
        <w:t xml:space="preserve">טור- </w:t>
      </w:r>
      <w:r w:rsidRPr="00492ADD">
        <w:rPr>
          <w:rFonts w:cs="Arial"/>
          <w:rtl/>
        </w:rPr>
        <w:t>צריך לקלוף שניהם מקום נגיעתן</w:t>
      </w:r>
      <w:r>
        <w:rPr>
          <w:rStyle w:val="a7"/>
          <w:rFonts w:cs="Arial"/>
          <w:rtl/>
        </w:rPr>
        <w:footnoteReference w:id="1334"/>
      </w:r>
      <w:r w:rsidRPr="00492ADD">
        <w:rPr>
          <w:rFonts w:cs="Arial"/>
          <w:rtl/>
        </w:rPr>
        <w:t xml:space="preserve">. </w:t>
      </w:r>
      <w:r w:rsidRPr="00492ADD">
        <w:rPr>
          <w:rFonts w:asciiTheme="minorBidi" w:hAnsiTheme="minorBidi" w:hint="cs"/>
          <w:color w:val="E36C0A" w:themeColor="accent6" w:themeShade="BF"/>
          <w:rtl/>
        </w:rPr>
        <w:t>(וכ"פ בשו"ע)</w:t>
      </w:r>
    </w:p>
    <w:p w14:paraId="32632B55" w14:textId="77777777" w:rsidR="002C39F4" w:rsidRPr="000F2759" w:rsidRDefault="002C39F4" w:rsidP="002C39F4">
      <w:pPr>
        <w:rPr>
          <w:rFonts w:cs="Arial"/>
          <w:u w:val="single"/>
          <w:rtl/>
        </w:rPr>
      </w:pPr>
      <w:r>
        <w:rPr>
          <w:rFonts w:cs="Arial" w:hint="cs"/>
          <w:u w:val="single"/>
          <w:rtl/>
        </w:rPr>
        <w:t xml:space="preserve">בשר וגבינה מלוחים </w:t>
      </w:r>
      <w:r w:rsidRPr="00535E46">
        <w:rPr>
          <w:rFonts w:cs="Arial" w:hint="cs"/>
          <w:b/>
          <w:bCs/>
          <w:u w:val="single"/>
          <w:rtl/>
        </w:rPr>
        <w:t>יבשים</w:t>
      </w:r>
      <w:r>
        <w:rPr>
          <w:rFonts w:cs="Arial" w:hint="cs"/>
          <w:u w:val="single"/>
          <w:rtl/>
        </w:rPr>
        <w:t xml:space="preserve"> שנגעו זה בזה:</w:t>
      </w:r>
    </w:p>
    <w:p w14:paraId="21822430" w14:textId="77777777" w:rsidR="002C39F4" w:rsidRDefault="002C39F4" w:rsidP="002C39F4">
      <w:pPr>
        <w:pStyle w:val="a8"/>
        <w:numPr>
          <w:ilvl w:val="0"/>
          <w:numId w:val="35"/>
        </w:numPr>
      </w:pPr>
      <w:r w:rsidRPr="000F2759">
        <w:rPr>
          <w:rFonts w:cs="Arial" w:hint="cs"/>
          <w:rtl/>
        </w:rPr>
        <w:t>סה"ת</w:t>
      </w:r>
      <w:r w:rsidRPr="00F074E9">
        <w:rPr>
          <w:rFonts w:cs="Arial" w:hint="cs"/>
          <w:rtl/>
        </w:rPr>
        <w:t xml:space="preserve"> </w:t>
      </w:r>
      <w:r>
        <w:rPr>
          <w:rFonts w:cs="Arial" w:hint="cs"/>
          <w:rtl/>
        </w:rPr>
        <w:t>הגה"מ</w:t>
      </w:r>
      <w:r w:rsidRPr="000F2759">
        <w:rPr>
          <w:rFonts w:cs="Arial"/>
          <w:rtl/>
        </w:rPr>
        <w:t xml:space="preserve"> מרדכי</w:t>
      </w:r>
      <w:r>
        <w:rPr>
          <w:rFonts w:cs="Arial" w:hint="cs"/>
          <w:rtl/>
        </w:rPr>
        <w:t xml:space="preserve"> שע"ד וטור</w:t>
      </w:r>
      <w:r>
        <w:rPr>
          <w:rStyle w:val="a7"/>
          <w:rFonts w:cs="Arial"/>
          <w:rtl/>
        </w:rPr>
        <w:footnoteReference w:id="1335"/>
      </w:r>
      <w:r w:rsidRPr="000F2759">
        <w:rPr>
          <w:rFonts w:cs="Arial" w:hint="cs"/>
          <w:rtl/>
        </w:rPr>
        <w:t xml:space="preserve">- </w:t>
      </w:r>
      <w:r w:rsidRPr="000F2759">
        <w:rPr>
          <w:rFonts w:cs="Arial"/>
          <w:rtl/>
        </w:rPr>
        <w:t>הבשר שנמלח או גבינה שנתייבשו שאינם כלל לחים מבחוץ אפי</w:t>
      </w:r>
      <w:r>
        <w:rPr>
          <w:rFonts w:cs="Arial" w:hint="cs"/>
          <w:rtl/>
        </w:rPr>
        <w:t>לו</w:t>
      </w:r>
      <w:r w:rsidRPr="000F2759">
        <w:rPr>
          <w:rFonts w:cs="Arial"/>
          <w:rtl/>
        </w:rPr>
        <w:t xml:space="preserve"> נוגעים זה לזה אינם אסורים</w:t>
      </w:r>
      <w:r>
        <w:rPr>
          <w:rFonts w:cs="Arial" w:hint="cs"/>
          <w:rtl/>
        </w:rPr>
        <w:t>,</w:t>
      </w:r>
      <w:r w:rsidRPr="000F2759">
        <w:rPr>
          <w:rFonts w:cs="Arial"/>
          <w:rtl/>
        </w:rPr>
        <w:t xml:space="preserve"> וכן אם הודחו ונרחצו שעתה הם לחים אין אוסר זא</w:t>
      </w:r>
      <w:r>
        <w:rPr>
          <w:rFonts w:cs="Arial" w:hint="cs"/>
          <w:rtl/>
        </w:rPr>
        <w:t>"</w:t>
      </w:r>
      <w:r w:rsidRPr="000F2759">
        <w:rPr>
          <w:rFonts w:cs="Arial"/>
          <w:rtl/>
        </w:rPr>
        <w:t>ז כי כשהם לחים מחמת מלח קרוי רותח המפליט לחלוחיתו ואדרבה</w:t>
      </w:r>
      <w:r>
        <w:rPr>
          <w:rFonts w:cs="Arial"/>
          <w:rtl/>
        </w:rPr>
        <w:t xml:space="preserve"> ההדחה מסירה הלחלוחית והמלח</w:t>
      </w:r>
      <w:r>
        <w:rPr>
          <w:rFonts w:cs="Arial" w:hint="cs"/>
          <w:sz w:val="16"/>
          <w:szCs w:val="16"/>
          <w:rtl/>
        </w:rPr>
        <w:t xml:space="preserve"> (ל' סה"ת)</w:t>
      </w:r>
      <w:r w:rsidRPr="000F2759">
        <w:rPr>
          <w:rFonts w:cs="Arial"/>
          <w:rtl/>
        </w:rPr>
        <w:t xml:space="preserve">. </w:t>
      </w:r>
      <w:r w:rsidRPr="00156F35">
        <w:rPr>
          <w:rFonts w:hint="cs"/>
          <w:color w:val="E36C0A" w:themeColor="accent6" w:themeShade="BF"/>
          <w:rtl/>
        </w:rPr>
        <w:t>(וכ"פ בשו"ע)</w:t>
      </w:r>
      <w:r>
        <w:rPr>
          <w:rFonts w:hint="cs"/>
          <w:color w:val="00B0F0"/>
          <w:rtl/>
        </w:rPr>
        <w:t xml:space="preserve"> </w:t>
      </w:r>
      <w:r w:rsidRPr="00DD3DD8">
        <w:rPr>
          <w:rFonts w:hint="cs"/>
          <w:color w:val="00B0F0"/>
          <w:rtl/>
        </w:rPr>
        <w:t>(וכ"פ הרמ"א)</w:t>
      </w:r>
    </w:p>
    <w:p w14:paraId="18B303C8" w14:textId="77777777" w:rsidR="002C39F4" w:rsidRPr="003922A2" w:rsidRDefault="002C39F4" w:rsidP="002C39F4">
      <w:pPr>
        <w:ind w:left="360"/>
        <w:rPr>
          <w:u w:val="dotted"/>
        </w:rPr>
      </w:pPr>
      <w:r>
        <w:rPr>
          <w:rFonts w:hint="cs"/>
          <w:u w:val="dotted"/>
          <w:rtl/>
        </w:rPr>
        <w:t xml:space="preserve">ומה הדין אם </w:t>
      </w:r>
      <w:r w:rsidRPr="003922A2">
        <w:rPr>
          <w:rFonts w:hint="cs"/>
          <w:u w:val="dotted"/>
          <w:rtl/>
        </w:rPr>
        <w:t>האחד יבש והשני לח:</w:t>
      </w:r>
    </w:p>
    <w:p w14:paraId="26A4C7EE" w14:textId="77777777" w:rsidR="002C39F4" w:rsidRDefault="002C39F4" w:rsidP="002C39F4">
      <w:pPr>
        <w:pStyle w:val="a8"/>
        <w:numPr>
          <w:ilvl w:val="0"/>
          <w:numId w:val="35"/>
        </w:numPr>
      </w:pPr>
      <w:r>
        <w:rPr>
          <w:rFonts w:cs="Arial" w:hint="cs"/>
          <w:rtl/>
        </w:rPr>
        <w:t>הגשע"ד</w:t>
      </w:r>
      <w:r>
        <w:rPr>
          <w:rFonts w:cs="Arial"/>
          <w:rtl/>
        </w:rPr>
        <w:t xml:space="preserve"> </w:t>
      </w:r>
      <w:r w:rsidRPr="00F074E9">
        <w:rPr>
          <w:rFonts w:cs="Arial"/>
          <w:sz w:val="16"/>
          <w:szCs w:val="16"/>
          <w:rtl/>
        </w:rPr>
        <w:t>(</w:t>
      </w:r>
      <w:r w:rsidRPr="00F074E9">
        <w:rPr>
          <w:rFonts w:cs="Arial" w:hint="cs"/>
          <w:sz w:val="16"/>
          <w:szCs w:val="16"/>
          <w:rtl/>
        </w:rPr>
        <w:t>ס"</w:t>
      </w:r>
      <w:r w:rsidRPr="00F074E9">
        <w:rPr>
          <w:rFonts w:cs="Arial"/>
          <w:sz w:val="16"/>
          <w:szCs w:val="16"/>
          <w:rtl/>
        </w:rPr>
        <w:t>ס</w:t>
      </w:r>
      <w:r w:rsidRPr="00F074E9">
        <w:rPr>
          <w:rFonts w:cs="Arial" w:hint="cs"/>
          <w:sz w:val="16"/>
          <w:szCs w:val="16"/>
          <w:rtl/>
        </w:rPr>
        <w:t xml:space="preserve"> </w:t>
      </w:r>
      <w:r>
        <w:rPr>
          <w:rFonts w:cs="Arial"/>
          <w:sz w:val="16"/>
          <w:szCs w:val="16"/>
          <w:rtl/>
        </w:rPr>
        <w:t xml:space="preserve">כב אות </w:t>
      </w:r>
      <w:r>
        <w:rPr>
          <w:rFonts w:cs="Arial" w:hint="cs"/>
          <w:sz w:val="16"/>
          <w:szCs w:val="16"/>
          <w:rtl/>
        </w:rPr>
        <w:t>יב</w:t>
      </w:r>
      <w:r w:rsidRPr="00F074E9">
        <w:rPr>
          <w:rFonts w:cs="Arial"/>
          <w:sz w:val="16"/>
          <w:szCs w:val="16"/>
          <w:rtl/>
        </w:rPr>
        <w:t xml:space="preserve">) </w:t>
      </w:r>
      <w:r>
        <w:rPr>
          <w:rFonts w:cs="Arial" w:hint="cs"/>
          <w:rtl/>
        </w:rPr>
        <w:t xml:space="preserve">בשם </w:t>
      </w:r>
      <w:r w:rsidRPr="000F2759">
        <w:rPr>
          <w:rFonts w:cs="Arial"/>
          <w:rtl/>
        </w:rPr>
        <w:t>הר"י</w:t>
      </w:r>
      <w:r>
        <w:rPr>
          <w:rFonts w:cs="Arial" w:hint="cs"/>
          <w:rtl/>
        </w:rPr>
        <w:t>-</w:t>
      </w:r>
      <w:r w:rsidRPr="000F2759">
        <w:rPr>
          <w:rFonts w:cs="Arial"/>
          <w:rtl/>
        </w:rPr>
        <w:t xml:space="preserve"> אם האחד לח והאחד יבש ונגעו זה בזה או אם הציר נוטף על גבי גב</w:t>
      </w:r>
      <w:r>
        <w:rPr>
          <w:rFonts w:cs="Arial"/>
          <w:rtl/>
        </w:rPr>
        <w:t>ינה יבשה</w:t>
      </w:r>
      <w:r>
        <w:rPr>
          <w:rFonts w:cs="Arial" w:hint="cs"/>
          <w:rtl/>
        </w:rPr>
        <w:t>-</w:t>
      </w:r>
      <w:r>
        <w:rPr>
          <w:rFonts w:cs="Arial"/>
          <w:rtl/>
        </w:rPr>
        <w:t xml:space="preserve"> אין לחוש</w:t>
      </w:r>
      <w:r>
        <w:rPr>
          <w:rStyle w:val="a7"/>
          <w:rFonts w:cs="Arial"/>
          <w:rtl/>
        </w:rPr>
        <w:footnoteReference w:id="1336"/>
      </w:r>
      <w:r>
        <w:rPr>
          <w:rFonts w:cs="Arial" w:hint="cs"/>
          <w:rtl/>
        </w:rPr>
        <w:t>.</w:t>
      </w:r>
      <w:r w:rsidRPr="003A3377">
        <w:rPr>
          <w:rFonts w:cs="Arial"/>
          <w:rtl/>
        </w:rPr>
        <w:t xml:space="preserve"> </w:t>
      </w:r>
      <w:r w:rsidRPr="00DD3DD8">
        <w:rPr>
          <w:rFonts w:hint="cs"/>
          <w:color w:val="00B0F0"/>
          <w:rtl/>
        </w:rPr>
        <w:t>(וכ"פ הרמ"א)</w:t>
      </w:r>
    </w:p>
    <w:p w14:paraId="1A96B8C0" w14:textId="77777777" w:rsidR="002C39F4" w:rsidRPr="003A3377" w:rsidRDefault="002C39F4" w:rsidP="002C39F4">
      <w:pPr>
        <w:rPr>
          <w:rFonts w:cs="Arial"/>
          <w:rtl/>
        </w:rPr>
      </w:pPr>
      <w:r>
        <w:rPr>
          <w:rFonts w:cs="Arial" w:hint="cs"/>
          <w:b/>
          <w:bCs/>
          <w:rtl/>
        </w:rPr>
        <w:t xml:space="preserve">פסחים עו ע"א: </w:t>
      </w:r>
      <w:r w:rsidRPr="003A3377">
        <w:rPr>
          <w:rFonts w:cs="Arial"/>
          <w:u w:val="single"/>
          <w:rtl/>
        </w:rPr>
        <w:t>אמר מר</w:t>
      </w:r>
      <w:r w:rsidRPr="003A3377">
        <w:rPr>
          <w:rFonts w:cs="Arial"/>
          <w:rtl/>
        </w:rPr>
        <w:t xml:space="preserve">: צונן לתוך צונן מדיח. </w:t>
      </w:r>
      <w:r w:rsidRPr="003A3377">
        <w:rPr>
          <w:rFonts w:cs="Arial"/>
          <w:u w:val="single"/>
          <w:rtl/>
        </w:rPr>
        <w:t>אמר רב הונא</w:t>
      </w:r>
      <w:r w:rsidRPr="003A3377">
        <w:rPr>
          <w:rFonts w:cs="Arial"/>
          <w:rtl/>
        </w:rPr>
        <w:t xml:space="preserve">: לא שנו אלא שלא מלחו, אבל מלחו - אסור. דאמר שמואל: מליח הרי הוא כרותח, כבוש הרי הוא כמבושל. </w:t>
      </w:r>
      <w:r w:rsidRPr="003A3377">
        <w:rPr>
          <w:rFonts w:cs="Arial"/>
          <w:u w:val="single"/>
          <w:rtl/>
        </w:rPr>
        <w:t>אמר רבא</w:t>
      </w:r>
      <w:r w:rsidRPr="003A3377">
        <w:rPr>
          <w:rFonts w:cs="Arial"/>
          <w:rtl/>
        </w:rPr>
        <w:t>: הא דאמר שמואל מליח ה</w:t>
      </w:r>
      <w:r>
        <w:rPr>
          <w:rFonts w:cs="Arial"/>
          <w:rtl/>
        </w:rPr>
        <w:t>רי הוא כרותח</w:t>
      </w:r>
      <w:r w:rsidRPr="003A3377">
        <w:rPr>
          <w:rFonts w:cs="Arial"/>
          <w:rtl/>
        </w:rPr>
        <w:t xml:space="preserve"> - לא אמרן אלא שלא נאכל מחמת מלחו, אבל נאכל מחמת מלחו - לא. </w:t>
      </w:r>
      <w:r w:rsidRPr="003A3377">
        <w:rPr>
          <w:rFonts w:cs="Arial" w:hint="cs"/>
          <w:sz w:val="16"/>
          <w:szCs w:val="16"/>
          <w:rtl/>
        </w:rPr>
        <w:t>(</w:t>
      </w:r>
      <w:r w:rsidRPr="003A3377">
        <w:rPr>
          <w:rFonts w:cs="Arial"/>
          <w:sz w:val="16"/>
          <w:szCs w:val="16"/>
          <w:rtl/>
        </w:rPr>
        <w:t>ומשמע דמליח שהוא נאכל מחמת מלחו אין צריך אל</w:t>
      </w:r>
      <w:r>
        <w:rPr>
          <w:rFonts w:cs="Arial"/>
          <w:sz w:val="16"/>
          <w:szCs w:val="16"/>
          <w:rtl/>
        </w:rPr>
        <w:t>א הדחה בעלמא</w:t>
      </w:r>
      <w:r>
        <w:rPr>
          <w:rFonts w:cs="Arial" w:hint="cs"/>
          <w:sz w:val="16"/>
          <w:szCs w:val="16"/>
          <w:rtl/>
        </w:rPr>
        <w:t>,</w:t>
      </w:r>
      <w:r>
        <w:rPr>
          <w:rFonts w:cs="Arial"/>
          <w:sz w:val="16"/>
          <w:szCs w:val="16"/>
          <w:rtl/>
        </w:rPr>
        <w:t xml:space="preserve"> כצונן בצונן</w:t>
      </w:r>
      <w:r>
        <w:rPr>
          <w:rFonts w:cs="Arial" w:hint="cs"/>
          <w:sz w:val="16"/>
          <w:szCs w:val="16"/>
          <w:rtl/>
        </w:rPr>
        <w:t>,</w:t>
      </w:r>
      <w:r>
        <w:rPr>
          <w:rFonts w:cs="Arial"/>
          <w:sz w:val="16"/>
          <w:szCs w:val="16"/>
          <w:rtl/>
        </w:rPr>
        <w:t xml:space="preserve"> וכ</w:t>
      </w:r>
      <w:r>
        <w:rPr>
          <w:rFonts w:cs="Arial" w:hint="cs"/>
          <w:sz w:val="16"/>
          <w:szCs w:val="16"/>
          <w:rtl/>
        </w:rPr>
        <w:t>"</w:t>
      </w:r>
      <w:r>
        <w:rPr>
          <w:rFonts w:cs="Arial"/>
          <w:sz w:val="16"/>
          <w:szCs w:val="16"/>
          <w:rtl/>
        </w:rPr>
        <w:t>כ הרשב"א</w:t>
      </w:r>
      <w:r w:rsidRPr="003A3377">
        <w:rPr>
          <w:rFonts w:cs="Arial"/>
          <w:sz w:val="16"/>
          <w:szCs w:val="16"/>
          <w:rtl/>
        </w:rPr>
        <w:t xml:space="preserve"> </w:t>
      </w:r>
      <w:r w:rsidRPr="003A3377">
        <w:rPr>
          <w:rFonts w:cs="Arial"/>
          <w:sz w:val="14"/>
          <w:szCs w:val="14"/>
          <w:rtl/>
        </w:rPr>
        <w:t>(תוה"א ובקצר ב"ד ש"א ג.)</w:t>
      </w:r>
      <w:r>
        <w:rPr>
          <w:rFonts w:cs="Arial" w:hint="cs"/>
          <w:sz w:val="16"/>
          <w:szCs w:val="16"/>
          <w:rtl/>
        </w:rPr>
        <w:t>, ב"י)</w:t>
      </w:r>
    </w:p>
    <w:p w14:paraId="233A5593" w14:textId="77777777" w:rsidR="002C39F4" w:rsidRDefault="002C39F4" w:rsidP="002C39F4">
      <w:pPr>
        <w:rPr>
          <w:rFonts w:cs="Arial"/>
          <w:u w:val="single"/>
          <w:rtl/>
        </w:rPr>
      </w:pPr>
      <w:r w:rsidRPr="003A3377">
        <w:rPr>
          <w:rFonts w:cs="Arial" w:hint="cs"/>
          <w:u w:val="single"/>
          <w:rtl/>
        </w:rPr>
        <w:t>"שאינו נאכל מחמת מלחו"</w:t>
      </w:r>
      <w:r>
        <w:rPr>
          <w:rFonts w:cs="Arial" w:hint="cs"/>
          <w:u w:val="single"/>
          <w:rtl/>
        </w:rPr>
        <w:t xml:space="preserve">: </w:t>
      </w:r>
    </w:p>
    <w:p w14:paraId="0FF1A83F" w14:textId="77777777" w:rsidR="002C39F4" w:rsidRPr="003922A2" w:rsidRDefault="002C39F4" w:rsidP="002C39F4">
      <w:pPr>
        <w:ind w:left="360"/>
        <w:rPr>
          <w:rFonts w:cs="Arial"/>
          <w:u w:val="dotted"/>
          <w:rtl/>
        </w:rPr>
      </w:pPr>
      <w:r w:rsidRPr="003922A2">
        <w:rPr>
          <w:rFonts w:cs="Arial" w:hint="cs"/>
          <w:u w:val="dotted"/>
          <w:rtl/>
        </w:rPr>
        <w:t>שיעור</w:t>
      </w:r>
      <w:r>
        <w:rPr>
          <w:rFonts w:cs="Arial" w:hint="cs"/>
          <w:u w:val="dotted"/>
          <w:rtl/>
        </w:rPr>
        <w:t xml:space="preserve"> המליחה</w:t>
      </w:r>
      <w:r w:rsidRPr="003922A2">
        <w:rPr>
          <w:rFonts w:cs="Arial" w:hint="cs"/>
          <w:u w:val="dotted"/>
          <w:rtl/>
        </w:rPr>
        <w:t>:</w:t>
      </w:r>
    </w:p>
    <w:p w14:paraId="44D02312" w14:textId="77777777" w:rsidR="002C39F4" w:rsidRDefault="002C39F4" w:rsidP="002C39F4">
      <w:pPr>
        <w:pStyle w:val="a8"/>
        <w:numPr>
          <w:ilvl w:val="0"/>
          <w:numId w:val="35"/>
        </w:numPr>
        <w:rPr>
          <w:rtl/>
        </w:rPr>
      </w:pPr>
      <w:r w:rsidRPr="003A3377">
        <w:rPr>
          <w:rFonts w:cs="Arial"/>
          <w:rtl/>
        </w:rPr>
        <w:t>רש"י</w:t>
      </w:r>
      <w:r>
        <w:rPr>
          <w:rStyle w:val="a7"/>
          <w:rFonts w:cs="Arial"/>
          <w:rtl/>
        </w:rPr>
        <w:footnoteReference w:id="1337"/>
      </w:r>
      <w:r>
        <w:rPr>
          <w:rFonts w:cs="Arial" w:hint="cs"/>
          <w:sz w:val="16"/>
          <w:szCs w:val="16"/>
          <w:rtl/>
        </w:rPr>
        <w:t xml:space="preserve"> (חולין קיב.)</w:t>
      </w:r>
      <w:r w:rsidRPr="009A6BBC">
        <w:rPr>
          <w:rFonts w:cs="Arial"/>
          <w:rtl/>
        </w:rPr>
        <w:t xml:space="preserve"> </w:t>
      </w:r>
      <w:r>
        <w:rPr>
          <w:rFonts w:cs="Arial" w:hint="cs"/>
          <w:rtl/>
        </w:rPr>
        <w:t>ו</w:t>
      </w:r>
      <w:r w:rsidRPr="003A3377">
        <w:rPr>
          <w:rFonts w:cs="Arial"/>
          <w:rtl/>
        </w:rPr>
        <w:t>ה"ר יעקב ישראל</w:t>
      </w:r>
      <w:r>
        <w:rPr>
          <w:rStyle w:val="a7"/>
          <w:rFonts w:cs="Arial"/>
          <w:rtl/>
        </w:rPr>
        <w:footnoteReference w:id="1338"/>
      </w:r>
      <w:r>
        <w:rPr>
          <w:rFonts w:cs="Arial" w:hint="cs"/>
          <w:rtl/>
        </w:rPr>
        <w:t>-</w:t>
      </w:r>
      <w:r w:rsidRPr="003A3377">
        <w:rPr>
          <w:rFonts w:cs="Arial"/>
          <w:rtl/>
        </w:rPr>
        <w:t xml:space="preserve"> </w:t>
      </w:r>
      <w:r>
        <w:rPr>
          <w:rFonts w:cs="Arial" w:hint="cs"/>
          <w:rtl/>
        </w:rPr>
        <w:t>ש</w:t>
      </w:r>
      <w:r w:rsidRPr="003A3377">
        <w:rPr>
          <w:rFonts w:cs="Arial"/>
          <w:rtl/>
        </w:rPr>
        <w:t>אינו נוח ליאכל מרוב מלח שבו עד</w:t>
      </w:r>
      <w:r>
        <w:rPr>
          <w:rFonts w:cs="Arial"/>
          <w:rtl/>
        </w:rPr>
        <w:t xml:space="preserve"> ששורין ומדיחין אותו במים כעין </w:t>
      </w:r>
      <w:r w:rsidRPr="003A3377">
        <w:rPr>
          <w:rFonts w:cs="Arial"/>
          <w:rtl/>
        </w:rPr>
        <w:t>מלי</w:t>
      </w:r>
      <w:r>
        <w:rPr>
          <w:rFonts w:cs="Arial"/>
          <w:rtl/>
        </w:rPr>
        <w:t>חת</w:t>
      </w:r>
      <w:r w:rsidRPr="003A3377">
        <w:rPr>
          <w:rFonts w:cs="Arial"/>
          <w:rtl/>
        </w:rPr>
        <w:t xml:space="preserve"> בשר להצניע</w:t>
      </w:r>
      <w:r>
        <w:rPr>
          <w:rFonts w:cs="Arial" w:hint="cs"/>
          <w:sz w:val="16"/>
          <w:szCs w:val="16"/>
          <w:rtl/>
        </w:rPr>
        <w:t xml:space="preserve"> (ל' רש"י)</w:t>
      </w:r>
      <w:r>
        <w:rPr>
          <w:rFonts w:cs="Arial" w:hint="cs"/>
          <w:rtl/>
        </w:rPr>
        <w:t xml:space="preserve"> או לדרך</w:t>
      </w:r>
      <w:r>
        <w:rPr>
          <w:rFonts w:cs="Arial" w:hint="cs"/>
          <w:sz w:val="16"/>
          <w:szCs w:val="16"/>
          <w:rtl/>
        </w:rPr>
        <w:t xml:space="preserve"> (ר' יעקב ישראל)</w:t>
      </w:r>
      <w:r>
        <w:rPr>
          <w:rFonts w:cs="Arial" w:hint="cs"/>
          <w:rtl/>
        </w:rPr>
        <w:t>.</w:t>
      </w:r>
    </w:p>
    <w:p w14:paraId="7FDE4D7D" w14:textId="77777777" w:rsidR="002C39F4" w:rsidRPr="002A0384" w:rsidRDefault="002C39F4" w:rsidP="002C39F4">
      <w:pPr>
        <w:pStyle w:val="a8"/>
        <w:numPr>
          <w:ilvl w:val="0"/>
          <w:numId w:val="35"/>
        </w:numPr>
      </w:pPr>
      <w:r>
        <w:rPr>
          <w:rFonts w:cs="Arial" w:hint="cs"/>
          <w:rtl/>
        </w:rPr>
        <w:t xml:space="preserve">ר"ת </w:t>
      </w:r>
      <w:r>
        <w:rPr>
          <w:rFonts w:cs="Arial"/>
          <w:rtl/>
        </w:rPr>
        <w:t>רשב"א</w:t>
      </w:r>
      <w:r>
        <w:rPr>
          <w:rFonts w:cs="Arial" w:hint="cs"/>
          <w:rtl/>
        </w:rPr>
        <w:t xml:space="preserve"> רי"ו </w:t>
      </w:r>
      <w:r>
        <w:rPr>
          <w:rFonts w:cs="Arial"/>
          <w:rtl/>
        </w:rPr>
        <w:t>ו</w:t>
      </w:r>
      <w:r w:rsidRPr="003A3377">
        <w:rPr>
          <w:rFonts w:cs="Arial"/>
          <w:rtl/>
        </w:rPr>
        <w:t>ר"ן</w:t>
      </w:r>
      <w:r>
        <w:rPr>
          <w:rStyle w:val="a7"/>
          <w:rFonts w:cs="Arial"/>
          <w:rtl/>
        </w:rPr>
        <w:footnoteReference w:id="1339"/>
      </w:r>
      <w:r>
        <w:rPr>
          <w:rFonts w:cs="Arial" w:hint="cs"/>
          <w:rtl/>
        </w:rPr>
        <w:t xml:space="preserve">- </w:t>
      </w:r>
      <w:r w:rsidRPr="003A3377">
        <w:rPr>
          <w:rFonts w:cs="Arial"/>
          <w:rtl/>
        </w:rPr>
        <w:t>כל מלח שמולחין לקדרה מי</w:t>
      </w:r>
      <w:r>
        <w:rPr>
          <w:rFonts w:cs="Arial"/>
          <w:rtl/>
        </w:rPr>
        <w:t>קרי אינו נאכל מחמת מלחו</w:t>
      </w:r>
      <w:r>
        <w:rPr>
          <w:rStyle w:val="a7"/>
          <w:rFonts w:cs="Arial"/>
          <w:rtl/>
        </w:rPr>
        <w:footnoteReference w:id="1340"/>
      </w:r>
      <w:r>
        <w:rPr>
          <w:rFonts w:cs="Arial"/>
          <w:rtl/>
        </w:rPr>
        <w:t>.</w:t>
      </w:r>
      <w:r w:rsidRPr="00156F35">
        <w:rPr>
          <w:rFonts w:cs="Arial"/>
          <w:color w:val="E36C0A" w:themeColor="accent6" w:themeShade="BF"/>
          <w:rtl/>
        </w:rPr>
        <w:t xml:space="preserve"> </w:t>
      </w:r>
      <w:r w:rsidRPr="00156F35">
        <w:rPr>
          <w:rFonts w:hint="cs"/>
          <w:color w:val="E36C0A" w:themeColor="accent6" w:themeShade="BF"/>
          <w:rtl/>
        </w:rPr>
        <w:t>(וכ"פ בשו"ע)</w:t>
      </w:r>
    </w:p>
    <w:p w14:paraId="0E4FC074" w14:textId="77777777" w:rsidR="002C39F4" w:rsidRPr="003922A2" w:rsidRDefault="002C39F4" w:rsidP="002C39F4">
      <w:pPr>
        <w:ind w:left="360"/>
        <w:rPr>
          <w:u w:val="dotted"/>
        </w:rPr>
      </w:pPr>
      <w:r>
        <w:rPr>
          <w:rFonts w:hint="cs"/>
          <w:u w:val="dotted"/>
          <w:rtl/>
        </w:rPr>
        <w:t>היקף המליחה</w:t>
      </w:r>
      <w:r w:rsidRPr="003922A2">
        <w:rPr>
          <w:rFonts w:hint="cs"/>
          <w:u w:val="dotted"/>
          <w:rtl/>
        </w:rPr>
        <w:t>:</w:t>
      </w:r>
    </w:p>
    <w:p w14:paraId="2496E85A" w14:textId="77777777" w:rsidR="002C39F4" w:rsidRPr="0047666A" w:rsidRDefault="002C39F4" w:rsidP="002C39F4">
      <w:pPr>
        <w:pStyle w:val="a8"/>
        <w:numPr>
          <w:ilvl w:val="0"/>
          <w:numId w:val="35"/>
        </w:numPr>
        <w:rPr>
          <w:rtl/>
        </w:rPr>
      </w:pPr>
      <w:r>
        <w:rPr>
          <w:rFonts w:cs="Arial" w:hint="cs"/>
          <w:rtl/>
        </w:rPr>
        <w:t xml:space="preserve">תוס' </w:t>
      </w:r>
      <w:r>
        <w:rPr>
          <w:rFonts w:cs="Arial" w:hint="cs"/>
          <w:sz w:val="16"/>
          <w:szCs w:val="16"/>
          <w:rtl/>
        </w:rPr>
        <w:t xml:space="preserve">(הביאוהו הרשב"א שם ור"פ שם) </w:t>
      </w:r>
      <w:r>
        <w:rPr>
          <w:rFonts w:cs="Arial" w:hint="cs"/>
          <w:rtl/>
        </w:rPr>
        <w:t xml:space="preserve">ור"פ </w:t>
      </w:r>
      <w:r w:rsidRPr="003922A2">
        <w:rPr>
          <w:rFonts w:cs="Arial" w:hint="cs"/>
          <w:sz w:val="16"/>
          <w:szCs w:val="16"/>
          <w:rtl/>
        </w:rPr>
        <w:t xml:space="preserve">(בהגה' </w:t>
      </w:r>
      <w:r w:rsidRPr="003922A2">
        <w:rPr>
          <w:rFonts w:cs="Arial"/>
          <w:sz w:val="16"/>
          <w:szCs w:val="16"/>
          <w:rtl/>
        </w:rPr>
        <w:t>סמ"</w:t>
      </w:r>
      <w:r w:rsidRPr="003922A2">
        <w:rPr>
          <w:rFonts w:cs="Arial" w:hint="cs"/>
          <w:sz w:val="16"/>
          <w:szCs w:val="16"/>
          <w:rtl/>
        </w:rPr>
        <w:t xml:space="preserve">ק </w:t>
      </w:r>
      <w:r w:rsidRPr="003922A2">
        <w:rPr>
          <w:rFonts w:cs="Arial"/>
          <w:sz w:val="16"/>
          <w:szCs w:val="16"/>
          <w:rtl/>
        </w:rPr>
        <w:t>סי</w:t>
      </w:r>
      <w:r w:rsidRPr="003922A2">
        <w:rPr>
          <w:rFonts w:cs="Arial" w:hint="cs"/>
          <w:sz w:val="16"/>
          <w:szCs w:val="16"/>
          <w:rtl/>
        </w:rPr>
        <w:t>'</w:t>
      </w:r>
      <w:r w:rsidRPr="003922A2">
        <w:rPr>
          <w:rFonts w:cs="Arial"/>
          <w:sz w:val="16"/>
          <w:szCs w:val="16"/>
          <w:rtl/>
        </w:rPr>
        <w:t xml:space="preserve"> רה אות י)</w:t>
      </w:r>
      <w:r>
        <w:rPr>
          <w:rFonts w:cs="Arial" w:hint="cs"/>
          <w:rtl/>
        </w:rPr>
        <w:t xml:space="preserve">- </w:t>
      </w:r>
      <w:r w:rsidRPr="009E4E13">
        <w:rPr>
          <w:rFonts w:cs="Arial"/>
          <w:rtl/>
        </w:rPr>
        <w:t>אין שם מליח עליו להיות כרותח עד שימלחנו משני צדדים שהוא דין מליחה לקדרה ואז הוא דוקא חשוב כרותח</w:t>
      </w:r>
      <w:r>
        <w:rPr>
          <w:rFonts w:cs="Arial" w:hint="cs"/>
          <w:rtl/>
        </w:rPr>
        <w:t>.</w:t>
      </w:r>
    </w:p>
    <w:p w14:paraId="4C5C7FBD" w14:textId="77777777" w:rsidR="002C39F4" w:rsidRPr="009E4E13" w:rsidRDefault="002C39F4" w:rsidP="002C39F4">
      <w:pPr>
        <w:pStyle w:val="a8"/>
        <w:numPr>
          <w:ilvl w:val="0"/>
          <w:numId w:val="35"/>
        </w:numPr>
      </w:pPr>
      <w:r>
        <w:rPr>
          <w:rFonts w:cs="Arial"/>
          <w:rtl/>
        </w:rPr>
        <w:t xml:space="preserve">רשב"א </w:t>
      </w:r>
      <w:r w:rsidRPr="003922A2">
        <w:rPr>
          <w:rFonts w:cs="Arial"/>
          <w:sz w:val="16"/>
          <w:szCs w:val="16"/>
          <w:rtl/>
        </w:rPr>
        <w:t>(ח"א סי</w:t>
      </w:r>
      <w:r w:rsidRPr="003922A2">
        <w:rPr>
          <w:rFonts w:cs="Arial" w:hint="cs"/>
          <w:sz w:val="16"/>
          <w:szCs w:val="16"/>
          <w:rtl/>
        </w:rPr>
        <w:t>'</w:t>
      </w:r>
      <w:r w:rsidRPr="003922A2">
        <w:rPr>
          <w:rFonts w:cs="Arial"/>
          <w:sz w:val="16"/>
          <w:szCs w:val="16"/>
          <w:rtl/>
        </w:rPr>
        <w:t xml:space="preserve"> רסה)</w:t>
      </w:r>
      <w:r>
        <w:rPr>
          <w:rFonts w:cs="Arial" w:hint="cs"/>
          <w:rtl/>
        </w:rPr>
        <w:t>-</w:t>
      </w:r>
      <w:r w:rsidRPr="003A3377">
        <w:rPr>
          <w:rFonts w:cs="Arial"/>
          <w:rtl/>
        </w:rPr>
        <w:t xml:space="preserve"> </w:t>
      </w:r>
      <w:r>
        <w:rPr>
          <w:rStyle w:val="a7"/>
          <w:rFonts w:cs="Arial"/>
          <w:rtl/>
        </w:rPr>
        <w:footnoteReference w:id="1341"/>
      </w:r>
      <w:r>
        <w:rPr>
          <w:rFonts w:cs="Arial"/>
          <w:rtl/>
        </w:rPr>
        <w:t>בנמלח מצד אחד נמי סגי</w:t>
      </w:r>
      <w:r>
        <w:rPr>
          <w:rFonts w:cs="Arial" w:hint="cs"/>
          <w:rtl/>
        </w:rPr>
        <w:t>.</w:t>
      </w:r>
      <w:r w:rsidRPr="003A3377">
        <w:rPr>
          <w:rFonts w:cs="Arial"/>
          <w:rtl/>
        </w:rPr>
        <w:t xml:space="preserve"> </w:t>
      </w:r>
      <w:r w:rsidRPr="00DD3DD8">
        <w:rPr>
          <w:rFonts w:hint="cs"/>
          <w:color w:val="00B0F0"/>
          <w:rtl/>
        </w:rPr>
        <w:t>(וכ"פ הרמ"א)</w:t>
      </w:r>
    </w:p>
    <w:p w14:paraId="139D5499" w14:textId="77777777" w:rsidR="002C39F4" w:rsidRPr="002A0384" w:rsidRDefault="002C39F4" w:rsidP="002C39F4">
      <w:pPr>
        <w:ind w:left="360"/>
        <w:rPr>
          <w:u w:val="dotted"/>
        </w:rPr>
      </w:pPr>
      <w:r>
        <w:rPr>
          <w:rFonts w:hint="cs"/>
          <w:u w:val="dotted"/>
          <w:rtl/>
        </w:rPr>
        <w:t>זמן השהייה במלח</w:t>
      </w:r>
      <w:r w:rsidRPr="002A0384">
        <w:rPr>
          <w:rFonts w:hint="cs"/>
          <w:u w:val="dotted"/>
          <w:rtl/>
        </w:rPr>
        <w:t>:</w:t>
      </w:r>
    </w:p>
    <w:p w14:paraId="15C32A61" w14:textId="77777777" w:rsidR="002C39F4" w:rsidRPr="002A0384" w:rsidRDefault="002C39F4" w:rsidP="002C39F4">
      <w:pPr>
        <w:pStyle w:val="a8"/>
        <w:numPr>
          <w:ilvl w:val="0"/>
          <w:numId w:val="35"/>
        </w:numPr>
      </w:pPr>
      <w:r>
        <w:rPr>
          <w:rFonts w:cs="Arial"/>
          <w:rtl/>
        </w:rPr>
        <w:t>הרב אלברצלונ</w:t>
      </w:r>
      <w:r w:rsidRPr="003A3377">
        <w:rPr>
          <w:rFonts w:cs="Arial"/>
          <w:rtl/>
        </w:rPr>
        <w:t>י</w:t>
      </w:r>
      <w:r>
        <w:rPr>
          <w:rFonts w:cs="Arial" w:hint="cs"/>
          <w:rtl/>
        </w:rPr>
        <w:t xml:space="preserve"> </w:t>
      </w:r>
      <w:r>
        <w:rPr>
          <w:rFonts w:cs="Arial"/>
          <w:rtl/>
        </w:rPr>
        <w:t>ראב"ן</w:t>
      </w:r>
      <w:r>
        <w:rPr>
          <w:rFonts w:cs="Arial" w:hint="cs"/>
          <w:rtl/>
        </w:rPr>
        <w:t xml:space="preserve"> ור"ן</w:t>
      </w:r>
      <w:r>
        <w:rPr>
          <w:rStyle w:val="a7"/>
          <w:rFonts w:cs="Arial"/>
          <w:rtl/>
        </w:rPr>
        <w:footnoteReference w:id="1342"/>
      </w:r>
      <w:r>
        <w:rPr>
          <w:rFonts w:cs="Arial" w:hint="cs"/>
          <w:rtl/>
        </w:rPr>
        <w:t xml:space="preserve">- </w:t>
      </w:r>
      <w:r w:rsidRPr="003A3377">
        <w:rPr>
          <w:rFonts w:cs="Arial"/>
          <w:rtl/>
        </w:rPr>
        <w:t>כל ששהה במלחו שיעור שהייה לקדרה הוי רותח ומקמי הכי לא</w:t>
      </w:r>
      <w:r>
        <w:rPr>
          <w:rStyle w:val="a7"/>
          <w:rFonts w:cs="Arial"/>
          <w:rtl/>
        </w:rPr>
        <w:footnoteReference w:id="1343"/>
      </w:r>
      <w:r>
        <w:rPr>
          <w:rFonts w:cs="Arial" w:hint="cs"/>
          <w:rtl/>
        </w:rPr>
        <w:t>.</w:t>
      </w:r>
      <w:r w:rsidRPr="003A3377">
        <w:rPr>
          <w:rFonts w:cs="Arial"/>
          <w:rtl/>
        </w:rPr>
        <w:t xml:space="preserve"> </w:t>
      </w:r>
      <w:r w:rsidRPr="00156F35">
        <w:rPr>
          <w:rFonts w:hint="cs"/>
          <w:color w:val="E36C0A" w:themeColor="accent6" w:themeShade="BF"/>
          <w:rtl/>
        </w:rPr>
        <w:t>(וכ"פ בשו"ע)</w:t>
      </w:r>
      <w:r>
        <w:rPr>
          <w:rFonts w:hint="cs"/>
          <w:color w:val="E36C0A" w:themeColor="accent6" w:themeShade="BF"/>
          <w:rtl/>
        </w:rPr>
        <w:t xml:space="preserve"> </w:t>
      </w:r>
    </w:p>
    <w:p w14:paraId="7B3D98F0" w14:textId="77777777" w:rsidR="002C39F4" w:rsidRPr="00DD3DD8" w:rsidRDefault="002C39F4" w:rsidP="002C39F4">
      <w:pPr>
        <w:pStyle w:val="a8"/>
        <w:numPr>
          <w:ilvl w:val="0"/>
          <w:numId w:val="35"/>
        </w:numPr>
      </w:pPr>
      <w:r w:rsidRPr="00DD3DD8">
        <w:rPr>
          <w:rFonts w:hint="cs"/>
          <w:rtl/>
        </w:rPr>
        <w:t xml:space="preserve">תוס' </w:t>
      </w:r>
      <w:r>
        <w:rPr>
          <w:rFonts w:hint="cs"/>
          <w:sz w:val="16"/>
          <w:szCs w:val="16"/>
          <w:rtl/>
        </w:rPr>
        <w:t xml:space="preserve">(קיב: ד"ה דגים) </w:t>
      </w:r>
      <w:r w:rsidRPr="00DD3DD8">
        <w:rPr>
          <w:rFonts w:hint="cs"/>
          <w:rtl/>
        </w:rPr>
        <w:t>ורא"ש</w:t>
      </w:r>
      <w:r>
        <w:rPr>
          <w:rFonts w:hint="cs"/>
          <w:rtl/>
        </w:rPr>
        <w:t xml:space="preserve"> </w:t>
      </w:r>
      <w:r>
        <w:rPr>
          <w:rFonts w:hint="cs"/>
          <w:sz w:val="16"/>
          <w:szCs w:val="16"/>
          <w:rtl/>
        </w:rPr>
        <w:t>(פ"ח סי' לח)</w:t>
      </w:r>
      <w:r w:rsidRPr="00DD3DD8">
        <w:rPr>
          <w:rFonts w:hint="cs"/>
          <w:rtl/>
        </w:rPr>
        <w:t xml:space="preserve">- </w:t>
      </w:r>
      <w:r w:rsidRPr="00DD3DD8">
        <w:rPr>
          <w:rFonts w:asciiTheme="minorBidi" w:hAnsiTheme="minorBidi"/>
          <w:rtl/>
        </w:rPr>
        <w:t>לאחר ששהה במלחו שעור מליחה לא מקרי אח"כ רותח</w:t>
      </w:r>
      <w:r>
        <w:rPr>
          <w:rFonts w:asciiTheme="minorBidi" w:hAnsiTheme="minorBidi" w:hint="cs"/>
          <w:rtl/>
        </w:rPr>
        <w:t>.</w:t>
      </w:r>
    </w:p>
    <w:p w14:paraId="052116E4" w14:textId="77777777" w:rsidR="002C39F4" w:rsidRPr="002A0384" w:rsidRDefault="002C39F4" w:rsidP="002C39F4">
      <w:pPr>
        <w:pStyle w:val="a8"/>
        <w:numPr>
          <w:ilvl w:val="0"/>
          <w:numId w:val="35"/>
        </w:numPr>
      </w:pPr>
      <w:r>
        <w:rPr>
          <w:rFonts w:cs="Arial" w:hint="cs"/>
          <w:rtl/>
        </w:rPr>
        <w:t xml:space="preserve">תרוה"ד </w:t>
      </w:r>
      <w:r w:rsidRPr="009E4E13">
        <w:rPr>
          <w:rFonts w:cs="Arial" w:hint="cs"/>
          <w:sz w:val="16"/>
          <w:szCs w:val="16"/>
          <w:rtl/>
        </w:rPr>
        <w:t>(</w:t>
      </w:r>
      <w:r w:rsidRPr="009E4E13">
        <w:rPr>
          <w:rFonts w:cs="Arial"/>
          <w:sz w:val="16"/>
          <w:szCs w:val="16"/>
          <w:rtl/>
        </w:rPr>
        <w:t>סי</w:t>
      </w:r>
      <w:r w:rsidRPr="009E4E13">
        <w:rPr>
          <w:rFonts w:cs="Arial" w:hint="cs"/>
          <w:sz w:val="16"/>
          <w:szCs w:val="16"/>
          <w:rtl/>
        </w:rPr>
        <w:t>'</w:t>
      </w:r>
      <w:r w:rsidRPr="009E4E13">
        <w:rPr>
          <w:rFonts w:cs="Arial"/>
          <w:sz w:val="16"/>
          <w:szCs w:val="16"/>
          <w:rtl/>
        </w:rPr>
        <w:t xml:space="preserve"> קנט</w:t>
      </w:r>
      <w:r w:rsidRPr="009E4E13">
        <w:rPr>
          <w:rFonts w:cs="Arial" w:hint="cs"/>
          <w:sz w:val="16"/>
          <w:szCs w:val="16"/>
          <w:rtl/>
        </w:rPr>
        <w:t>)</w:t>
      </w:r>
      <w:r>
        <w:rPr>
          <w:rFonts w:cs="Arial" w:hint="cs"/>
          <w:rtl/>
        </w:rPr>
        <w:t xml:space="preserve">- </w:t>
      </w:r>
      <w:r w:rsidRPr="00AD3606">
        <w:rPr>
          <w:rFonts w:cs="Arial"/>
          <w:rtl/>
        </w:rPr>
        <w:t>כל זמ</w:t>
      </w:r>
      <w:r>
        <w:rPr>
          <w:rFonts w:cs="Arial"/>
          <w:rtl/>
        </w:rPr>
        <w:t>ן שהמלוח לח מחמת מליחתו אע</w:t>
      </w:r>
      <w:r>
        <w:rPr>
          <w:rFonts w:cs="Arial" w:hint="cs"/>
          <w:rtl/>
        </w:rPr>
        <w:t>"</w:t>
      </w:r>
      <w:r>
        <w:rPr>
          <w:rFonts w:cs="Arial"/>
          <w:rtl/>
        </w:rPr>
        <w:t>פ שהוא זמן רב שנמלח אפ</w:t>
      </w:r>
      <w:r>
        <w:rPr>
          <w:rFonts w:cs="Arial" w:hint="cs"/>
          <w:rtl/>
        </w:rPr>
        <w:t>"</w:t>
      </w:r>
      <w:r>
        <w:rPr>
          <w:rFonts w:cs="Arial"/>
          <w:rtl/>
        </w:rPr>
        <w:t>ה</w:t>
      </w:r>
      <w:r w:rsidRPr="00AD3606">
        <w:rPr>
          <w:rFonts w:cs="Arial"/>
          <w:rtl/>
        </w:rPr>
        <w:t xml:space="preserve"> חשוב רותח</w:t>
      </w:r>
      <w:r>
        <w:rPr>
          <w:rFonts w:cs="Arial" w:hint="cs"/>
          <w:rtl/>
        </w:rPr>
        <w:t>,</w:t>
      </w:r>
      <w:r w:rsidRPr="00AD3606">
        <w:rPr>
          <w:rFonts w:cs="Arial"/>
          <w:rtl/>
        </w:rPr>
        <w:t xml:space="preserve"> אמנם לצורך גדול כגון לצורך מצוה ואיכא הפסד יש לסמוך אדברי המקילין לאחר זמן פליטתו</w:t>
      </w:r>
      <w:r>
        <w:rPr>
          <w:rFonts w:cs="Arial" w:hint="cs"/>
          <w:rtl/>
        </w:rPr>
        <w:t>.</w:t>
      </w:r>
      <w:r w:rsidRPr="00DD3DD8">
        <w:rPr>
          <w:rFonts w:cs="Arial"/>
          <w:color w:val="00B0F0"/>
          <w:rtl/>
        </w:rPr>
        <w:t xml:space="preserve"> </w:t>
      </w:r>
      <w:r w:rsidRPr="00DD3DD8">
        <w:rPr>
          <w:rFonts w:hint="cs"/>
          <w:color w:val="00B0F0"/>
          <w:rtl/>
        </w:rPr>
        <w:t>(וכ"פ הרמ"א</w:t>
      </w:r>
      <w:r>
        <w:rPr>
          <w:rStyle w:val="a7"/>
          <w:rFonts w:cs="Arial"/>
          <w:rtl/>
        </w:rPr>
        <w:footnoteReference w:id="1344"/>
      </w:r>
      <w:r w:rsidRPr="00DD3DD8">
        <w:rPr>
          <w:rFonts w:hint="cs"/>
          <w:color w:val="00B0F0"/>
          <w:rtl/>
        </w:rPr>
        <w:t>)</w:t>
      </w:r>
    </w:p>
    <w:p w14:paraId="6177EB4A" w14:textId="77777777" w:rsidR="002C39F4" w:rsidRPr="009E4E13" w:rsidRDefault="002C39F4" w:rsidP="002C39F4">
      <w:pPr>
        <w:rPr>
          <w:sz w:val="16"/>
          <w:szCs w:val="16"/>
        </w:rPr>
      </w:pPr>
      <w:r w:rsidRPr="00112C72">
        <w:rPr>
          <w:rFonts w:hint="cs"/>
          <w:u w:val="single"/>
          <w:rtl/>
        </w:rPr>
        <w:t>בשר שנמלח כמליחת צלי</w:t>
      </w:r>
      <w:r>
        <w:rPr>
          <w:rFonts w:hint="cs"/>
          <w:u w:val="single"/>
          <w:rtl/>
        </w:rPr>
        <w:t xml:space="preserve"> </w:t>
      </w:r>
      <w:r w:rsidRPr="00112C72">
        <w:rPr>
          <w:rFonts w:hint="cs"/>
          <w:u w:val="single"/>
          <w:rtl/>
        </w:rPr>
        <w:t>- האם מיקרי מליח:</w:t>
      </w:r>
      <w:r>
        <w:rPr>
          <w:rFonts w:hint="cs"/>
          <w:sz w:val="16"/>
          <w:szCs w:val="16"/>
          <w:rtl/>
        </w:rPr>
        <w:t xml:space="preserve">  (ב"י ודרכ"מ [אות ו])</w:t>
      </w:r>
    </w:p>
    <w:p w14:paraId="508A5424" w14:textId="77777777" w:rsidR="002C39F4" w:rsidRPr="00112C72" w:rsidRDefault="002C39F4" w:rsidP="002C39F4">
      <w:pPr>
        <w:pStyle w:val="a8"/>
        <w:numPr>
          <w:ilvl w:val="0"/>
          <w:numId w:val="35"/>
        </w:numPr>
      </w:pPr>
      <w:r>
        <w:rPr>
          <w:rFonts w:cs="Arial"/>
          <w:rtl/>
        </w:rPr>
        <w:t xml:space="preserve">רשב"א </w:t>
      </w:r>
      <w:r w:rsidRPr="00112C72">
        <w:rPr>
          <w:rFonts w:cs="Arial" w:hint="cs"/>
          <w:sz w:val="16"/>
          <w:szCs w:val="16"/>
          <w:rtl/>
        </w:rPr>
        <w:t>(תוה"א</w:t>
      </w:r>
      <w:r>
        <w:rPr>
          <w:rFonts w:cs="Arial"/>
          <w:sz w:val="16"/>
          <w:szCs w:val="16"/>
          <w:rtl/>
        </w:rPr>
        <w:t xml:space="preserve"> ב"ד ש"א</w:t>
      </w:r>
      <w:r w:rsidRPr="00112C72">
        <w:rPr>
          <w:rFonts w:cs="Arial"/>
          <w:sz w:val="16"/>
          <w:szCs w:val="16"/>
          <w:rtl/>
        </w:rPr>
        <w:t>)</w:t>
      </w:r>
      <w:r>
        <w:rPr>
          <w:rFonts w:cs="Arial" w:hint="cs"/>
          <w:rtl/>
        </w:rPr>
        <w:t>-</w:t>
      </w:r>
      <w:r>
        <w:rPr>
          <w:rFonts w:cs="Arial"/>
          <w:rtl/>
        </w:rPr>
        <w:t xml:space="preserve"> </w:t>
      </w:r>
      <w:r w:rsidRPr="003A3377">
        <w:rPr>
          <w:rFonts w:cs="Arial"/>
          <w:rtl/>
        </w:rPr>
        <w:t>ודאי מליח דצלי לא קרינן ליה אינו נאכל מחמת מלחו שהרי הוא נאכל עם המלח שבו</w:t>
      </w:r>
      <w:r>
        <w:rPr>
          <w:rStyle w:val="a7"/>
          <w:rFonts w:cs="Arial"/>
          <w:rtl/>
        </w:rPr>
        <w:footnoteReference w:id="1345"/>
      </w:r>
      <w:r>
        <w:rPr>
          <w:rFonts w:cs="Arial" w:hint="cs"/>
          <w:rtl/>
        </w:rPr>
        <w:t>.</w:t>
      </w:r>
      <w:r w:rsidRPr="003A3377">
        <w:rPr>
          <w:rFonts w:cs="Arial"/>
          <w:rtl/>
        </w:rPr>
        <w:t xml:space="preserve"> </w:t>
      </w:r>
    </w:p>
    <w:p w14:paraId="65CAD63F" w14:textId="77777777" w:rsidR="002C39F4" w:rsidRPr="009E4E13" w:rsidRDefault="002C39F4" w:rsidP="002C39F4">
      <w:pPr>
        <w:pStyle w:val="a8"/>
        <w:numPr>
          <w:ilvl w:val="0"/>
          <w:numId w:val="35"/>
        </w:numPr>
      </w:pPr>
      <w:r w:rsidRPr="00F667F2">
        <w:rPr>
          <w:rFonts w:asciiTheme="minorBidi" w:hAnsiTheme="minorBidi"/>
          <w:rtl/>
        </w:rPr>
        <w:t>סה"ת</w:t>
      </w:r>
      <w:r>
        <w:rPr>
          <w:rFonts w:cs="Arial" w:hint="cs"/>
          <w:rtl/>
        </w:rPr>
        <w:t xml:space="preserve"> ר"פ</w:t>
      </w:r>
      <w:r>
        <w:rPr>
          <w:rFonts w:cs="Arial"/>
          <w:rtl/>
        </w:rPr>
        <w:t xml:space="preserve"> ומרדכי</w:t>
      </w:r>
      <w:r>
        <w:rPr>
          <w:rStyle w:val="a7"/>
          <w:rFonts w:cs="Arial"/>
          <w:rtl/>
        </w:rPr>
        <w:footnoteReference w:id="1346"/>
      </w:r>
      <w:r>
        <w:rPr>
          <w:rFonts w:cs="Arial" w:hint="cs"/>
          <w:rtl/>
        </w:rPr>
        <w:t xml:space="preserve">- </w:t>
      </w:r>
      <w:r w:rsidRPr="003A3377">
        <w:rPr>
          <w:rFonts w:cs="Arial"/>
          <w:rtl/>
        </w:rPr>
        <w:t>מליחה מועטת דלצלי לא הוי הבשר כרותח ע"י כן אבל הציר הנוטף ממנו הוי כרותח דהציר</w:t>
      </w:r>
      <w:r>
        <w:rPr>
          <w:rFonts w:cs="Arial"/>
          <w:rtl/>
        </w:rPr>
        <w:t xml:space="preserve"> מיהא אינו נאכל מחמת מלח</w:t>
      </w:r>
      <w:r>
        <w:rPr>
          <w:rFonts w:cs="Arial" w:hint="cs"/>
          <w:rtl/>
        </w:rPr>
        <w:t>ו</w:t>
      </w:r>
      <w:r>
        <w:rPr>
          <w:rFonts w:cs="Arial" w:hint="cs"/>
          <w:sz w:val="16"/>
          <w:szCs w:val="16"/>
          <w:rtl/>
        </w:rPr>
        <w:t xml:space="preserve"> (ל' ר"פ)</w:t>
      </w:r>
      <w:r>
        <w:rPr>
          <w:rFonts w:cs="Arial" w:hint="cs"/>
          <w:rtl/>
        </w:rPr>
        <w:t>.</w:t>
      </w:r>
      <w:r w:rsidRPr="00855FC5">
        <w:rPr>
          <w:rFonts w:hint="cs"/>
          <w:color w:val="00B0F0"/>
          <w:rtl/>
        </w:rPr>
        <w:t xml:space="preserve"> </w:t>
      </w:r>
      <w:r w:rsidRPr="00DD3DD8">
        <w:rPr>
          <w:rFonts w:hint="cs"/>
          <w:color w:val="00B0F0"/>
          <w:rtl/>
        </w:rPr>
        <w:t>(וכ"פ הרמ"א)</w:t>
      </w:r>
      <w:r>
        <w:rPr>
          <w:rFonts w:hint="cs"/>
          <w:rtl/>
        </w:rPr>
        <w:t xml:space="preserve"> </w:t>
      </w:r>
    </w:p>
    <w:p w14:paraId="318A21AE" w14:textId="77777777" w:rsidR="002C39F4" w:rsidRDefault="002C39F4" w:rsidP="002C39F4">
      <w:pPr>
        <w:pStyle w:val="a8"/>
        <w:numPr>
          <w:ilvl w:val="0"/>
          <w:numId w:val="35"/>
        </w:numPr>
      </w:pPr>
      <w:r>
        <w:rPr>
          <w:rFonts w:cs="Arial" w:hint="cs"/>
          <w:rtl/>
        </w:rPr>
        <w:t>או</w:t>
      </w:r>
      <w:r>
        <w:rPr>
          <w:rFonts w:cs="Arial"/>
          <w:rtl/>
        </w:rPr>
        <w:t>"</w:t>
      </w:r>
      <w:r>
        <w:rPr>
          <w:rFonts w:cs="Arial" w:hint="cs"/>
          <w:rtl/>
        </w:rPr>
        <w:t>ה</w:t>
      </w:r>
      <w:r w:rsidRPr="009E4E13">
        <w:rPr>
          <w:rFonts w:cs="Arial"/>
          <w:sz w:val="16"/>
          <w:szCs w:val="16"/>
          <w:rtl/>
        </w:rPr>
        <w:t xml:space="preserve"> </w:t>
      </w:r>
      <w:r w:rsidRPr="009E4E13">
        <w:rPr>
          <w:rFonts w:cs="Arial" w:hint="cs"/>
          <w:sz w:val="16"/>
          <w:szCs w:val="16"/>
          <w:rtl/>
        </w:rPr>
        <w:t>(</w:t>
      </w:r>
      <w:r w:rsidRPr="009E4E13">
        <w:rPr>
          <w:rFonts w:cs="Arial"/>
          <w:sz w:val="16"/>
          <w:szCs w:val="16"/>
          <w:rtl/>
        </w:rPr>
        <w:t xml:space="preserve">כלל י </w:t>
      </w:r>
      <w:r>
        <w:rPr>
          <w:rFonts w:cs="Arial" w:hint="cs"/>
          <w:sz w:val="16"/>
          <w:szCs w:val="16"/>
          <w:rtl/>
        </w:rPr>
        <w:t>ד"</w:t>
      </w:r>
      <w:r w:rsidRPr="009E4E13">
        <w:rPr>
          <w:rFonts w:cs="Arial"/>
          <w:sz w:val="16"/>
          <w:szCs w:val="16"/>
          <w:rtl/>
        </w:rPr>
        <w:t>ז</w:t>
      </w:r>
      <w:r w:rsidRPr="009E4E13">
        <w:rPr>
          <w:rFonts w:cs="Arial" w:hint="cs"/>
          <w:sz w:val="16"/>
          <w:szCs w:val="16"/>
          <w:rtl/>
        </w:rPr>
        <w:t>)</w:t>
      </w:r>
      <w:r>
        <w:rPr>
          <w:rFonts w:cs="Arial" w:hint="cs"/>
          <w:rtl/>
        </w:rPr>
        <w:t xml:space="preserve">- </w:t>
      </w:r>
      <w:r w:rsidRPr="00AD3606">
        <w:rPr>
          <w:rFonts w:cs="Arial"/>
          <w:rtl/>
        </w:rPr>
        <w:t>יש להחמיר ולאסרו עתה שאין אנו בקי</w:t>
      </w:r>
      <w:r>
        <w:rPr>
          <w:rFonts w:cs="Arial"/>
          <w:rtl/>
        </w:rPr>
        <w:t>אים להבחין בין מליחה למליחה</w:t>
      </w:r>
      <w:r>
        <w:rPr>
          <w:rFonts w:cs="Arial" w:hint="cs"/>
          <w:rtl/>
        </w:rPr>
        <w:t>.</w:t>
      </w:r>
      <w:r w:rsidRPr="00AD3606">
        <w:rPr>
          <w:rFonts w:cs="Arial"/>
          <w:rtl/>
        </w:rPr>
        <w:t xml:space="preserve"> </w:t>
      </w:r>
    </w:p>
    <w:p w14:paraId="1B3ACE2E" w14:textId="77777777" w:rsidR="002C39F4" w:rsidRPr="004610A5" w:rsidRDefault="002C39F4" w:rsidP="002C39F4">
      <w:pPr>
        <w:rPr>
          <w:sz w:val="16"/>
          <w:szCs w:val="16"/>
          <w:rtl/>
        </w:rPr>
      </w:pPr>
      <w:r>
        <w:rPr>
          <w:u w:val="single"/>
          <w:rtl/>
        </w:rPr>
        <w:t xml:space="preserve">בשר </w:t>
      </w:r>
      <w:r>
        <w:rPr>
          <w:rFonts w:hint="cs"/>
          <w:u w:val="single"/>
          <w:rtl/>
        </w:rPr>
        <w:t>מלוח</w:t>
      </w:r>
      <w:r w:rsidRPr="004610A5">
        <w:rPr>
          <w:u w:val="single"/>
          <w:rtl/>
        </w:rPr>
        <w:t xml:space="preserve"> </w:t>
      </w:r>
      <w:r w:rsidRPr="00831A39">
        <w:rPr>
          <w:u w:val="single"/>
          <w:rtl/>
        </w:rPr>
        <w:t>שנפל עליו ח</w:t>
      </w:r>
      <w:r w:rsidRPr="00831A39">
        <w:rPr>
          <w:rFonts w:hint="cs"/>
          <w:u w:val="single"/>
          <w:rtl/>
        </w:rPr>
        <w:t>ֵ</w:t>
      </w:r>
      <w:r w:rsidRPr="00831A39">
        <w:rPr>
          <w:u w:val="single"/>
          <w:rtl/>
        </w:rPr>
        <w:t>ל</w:t>
      </w:r>
      <w:r w:rsidRPr="00831A39">
        <w:rPr>
          <w:rFonts w:hint="cs"/>
          <w:u w:val="single"/>
          <w:rtl/>
        </w:rPr>
        <w:t>ֶ</w:t>
      </w:r>
      <w:r w:rsidRPr="00831A39">
        <w:rPr>
          <w:u w:val="single"/>
          <w:rtl/>
        </w:rPr>
        <w:t>ב</w:t>
      </w:r>
      <w:r w:rsidRPr="00831A39">
        <w:rPr>
          <w:rFonts w:hint="cs"/>
          <w:u w:val="single"/>
          <w:rtl/>
        </w:rPr>
        <w:t xml:space="preserve"> צלול</w:t>
      </w:r>
      <w:r w:rsidRPr="004610A5">
        <w:rPr>
          <w:rFonts w:hint="cs"/>
          <w:u w:val="single"/>
          <w:rtl/>
        </w:rPr>
        <w:t>:</w:t>
      </w:r>
      <w:r>
        <w:rPr>
          <w:rtl/>
        </w:rPr>
        <w:t xml:space="preserve"> </w:t>
      </w:r>
      <w:r w:rsidRPr="004610A5">
        <w:rPr>
          <w:rFonts w:hint="cs"/>
          <w:sz w:val="16"/>
          <w:szCs w:val="16"/>
          <w:rtl/>
        </w:rPr>
        <w:t>(דרכ"מ [אות ה])</w:t>
      </w:r>
    </w:p>
    <w:p w14:paraId="3A047681" w14:textId="77777777" w:rsidR="002C39F4" w:rsidRDefault="002C39F4" w:rsidP="002C39F4">
      <w:pPr>
        <w:pStyle w:val="a8"/>
        <w:numPr>
          <w:ilvl w:val="0"/>
          <w:numId w:val="35"/>
        </w:numPr>
      </w:pPr>
      <w:r>
        <w:rPr>
          <w:rtl/>
        </w:rPr>
        <w:t>מרדכ</w:t>
      </w:r>
      <w:r>
        <w:rPr>
          <w:rFonts w:hint="cs"/>
          <w:rtl/>
        </w:rPr>
        <w:t>י</w:t>
      </w:r>
      <w:r w:rsidRPr="004610A5">
        <w:rPr>
          <w:rFonts w:hint="cs"/>
          <w:rtl/>
        </w:rPr>
        <w:t xml:space="preserve"> </w:t>
      </w:r>
      <w:r>
        <w:rPr>
          <w:rFonts w:hint="cs"/>
          <w:rtl/>
        </w:rPr>
        <w:t xml:space="preserve">הגה"מ </w:t>
      </w:r>
      <w:r>
        <w:rPr>
          <w:rtl/>
        </w:rPr>
        <w:t>ושע</w:t>
      </w:r>
      <w:r>
        <w:rPr>
          <w:rFonts w:hint="cs"/>
          <w:rtl/>
        </w:rPr>
        <w:t>"</w:t>
      </w:r>
      <w:r>
        <w:rPr>
          <w:rtl/>
        </w:rPr>
        <w:t>ד</w:t>
      </w:r>
      <w:r>
        <w:rPr>
          <w:rStyle w:val="a7"/>
          <w:rtl/>
        </w:rPr>
        <w:footnoteReference w:id="1347"/>
      </w:r>
      <w:r>
        <w:rPr>
          <w:rFonts w:hint="cs"/>
          <w:rtl/>
        </w:rPr>
        <w:t>-</w:t>
      </w:r>
      <w:r>
        <w:rPr>
          <w:rtl/>
        </w:rPr>
        <w:t xml:space="preserve"> בשר חי או צלי שנפל עליו ח</w:t>
      </w:r>
      <w:r>
        <w:rPr>
          <w:rFonts w:hint="cs"/>
          <w:rtl/>
        </w:rPr>
        <w:t>ֵ</w:t>
      </w:r>
      <w:r>
        <w:rPr>
          <w:rtl/>
        </w:rPr>
        <w:t>ל</w:t>
      </w:r>
      <w:r>
        <w:rPr>
          <w:rFonts w:hint="cs"/>
          <w:rtl/>
        </w:rPr>
        <w:t>ֶ</w:t>
      </w:r>
      <w:r>
        <w:rPr>
          <w:rtl/>
        </w:rPr>
        <w:t>ב</w:t>
      </w:r>
      <w:r>
        <w:rPr>
          <w:rFonts w:hint="cs"/>
          <w:rtl/>
        </w:rPr>
        <w:t>,</w:t>
      </w:r>
      <w:r>
        <w:rPr>
          <w:rtl/>
        </w:rPr>
        <w:t xml:space="preserve"> בין יש מלח בשניהם או בבשר לבדו הכל אסור עד </w:t>
      </w:r>
      <w:r>
        <w:rPr>
          <w:rFonts w:hint="cs"/>
          <w:rtl/>
        </w:rPr>
        <w:t>ס',</w:t>
      </w:r>
      <w:r>
        <w:rPr>
          <w:rtl/>
        </w:rPr>
        <w:t xml:space="preserve"> כיון שהאיסור</w:t>
      </w:r>
      <w:r>
        <w:rPr>
          <w:rFonts w:hint="cs"/>
          <w:rtl/>
        </w:rPr>
        <w:t xml:space="preserve"> </w:t>
      </w:r>
      <w:r>
        <w:rPr>
          <w:rtl/>
        </w:rPr>
        <w:t>הוא צלול</w:t>
      </w:r>
      <w:r>
        <w:rPr>
          <w:rFonts w:hint="cs"/>
          <w:rtl/>
        </w:rPr>
        <w:t>,</w:t>
      </w:r>
      <w:r>
        <w:rPr>
          <w:rtl/>
        </w:rPr>
        <w:t xml:space="preserve"> רק שיהא</w:t>
      </w:r>
      <w:r>
        <w:rPr>
          <w:rFonts w:hint="cs"/>
          <w:rtl/>
        </w:rPr>
        <w:t xml:space="preserve"> </w:t>
      </w:r>
      <w:r>
        <w:rPr>
          <w:rtl/>
        </w:rPr>
        <w:t>מלוח כראוי שיחשב כרותח מחמת אותו מלח</w:t>
      </w:r>
      <w:r>
        <w:rPr>
          <w:rStyle w:val="a7"/>
          <w:rtl/>
        </w:rPr>
        <w:footnoteReference w:id="1348"/>
      </w:r>
      <w:r>
        <w:rPr>
          <w:rFonts w:hint="cs"/>
          <w:rtl/>
        </w:rPr>
        <w:t>.</w:t>
      </w:r>
      <w:r w:rsidRPr="003A3377">
        <w:rPr>
          <w:rFonts w:cs="Arial"/>
          <w:rtl/>
        </w:rPr>
        <w:t xml:space="preserve"> </w:t>
      </w:r>
      <w:r w:rsidRPr="00DD3DD8">
        <w:rPr>
          <w:rFonts w:hint="cs"/>
          <w:color w:val="00B0F0"/>
          <w:rtl/>
        </w:rPr>
        <w:t>(וכ"פ הרמ"א)</w:t>
      </w:r>
    </w:p>
    <w:p w14:paraId="58430AC1" w14:textId="77777777" w:rsidR="002C39F4" w:rsidRPr="004D41B9" w:rsidRDefault="002C39F4" w:rsidP="002C39F4">
      <w:pPr>
        <w:rPr>
          <w:sz w:val="16"/>
          <w:szCs w:val="16"/>
        </w:rPr>
      </w:pPr>
      <w:r w:rsidRPr="004610A5">
        <w:rPr>
          <w:u w:val="single"/>
          <w:rtl/>
        </w:rPr>
        <w:t xml:space="preserve">בשר </w:t>
      </w:r>
      <w:r>
        <w:rPr>
          <w:rFonts w:hint="cs"/>
          <w:u w:val="single"/>
          <w:rtl/>
        </w:rPr>
        <w:t>מלוח שמונח על תיבה שיש בתוכה גבינות ונמצא עליהם לכלוכית</w:t>
      </w:r>
      <w:r w:rsidRPr="004610A5">
        <w:rPr>
          <w:rFonts w:hint="cs"/>
          <w:u w:val="single"/>
          <w:rtl/>
        </w:rPr>
        <w:t>:</w:t>
      </w:r>
      <w:r>
        <w:rPr>
          <w:rtl/>
        </w:rPr>
        <w:t xml:space="preserve"> </w:t>
      </w:r>
      <w:r w:rsidRPr="004610A5">
        <w:rPr>
          <w:rFonts w:hint="cs"/>
          <w:sz w:val="16"/>
          <w:szCs w:val="16"/>
          <w:rtl/>
        </w:rPr>
        <w:t>(דרכ"מ [אות ה])</w:t>
      </w:r>
    </w:p>
    <w:p w14:paraId="1F006A6D" w14:textId="77777777" w:rsidR="002C39F4" w:rsidRDefault="002C39F4" w:rsidP="002C39F4">
      <w:pPr>
        <w:pStyle w:val="a8"/>
        <w:numPr>
          <w:ilvl w:val="0"/>
          <w:numId w:val="35"/>
        </w:numPr>
        <w:rPr>
          <w:rtl/>
        </w:rPr>
      </w:pPr>
      <w:r>
        <w:rPr>
          <w:rFonts w:hint="cs"/>
          <w:rtl/>
        </w:rPr>
        <w:t>או</w:t>
      </w:r>
      <w:r>
        <w:rPr>
          <w:rtl/>
        </w:rPr>
        <w:t>"</w:t>
      </w:r>
      <w:r>
        <w:rPr>
          <w:rFonts w:hint="cs"/>
          <w:rtl/>
        </w:rPr>
        <w:t>ה</w:t>
      </w:r>
      <w:r w:rsidRPr="004610A5">
        <w:rPr>
          <w:rtl/>
        </w:rPr>
        <w:t xml:space="preserve"> </w:t>
      </w:r>
      <w:r w:rsidRPr="004D41B9">
        <w:rPr>
          <w:sz w:val="16"/>
          <w:szCs w:val="16"/>
          <w:rtl/>
        </w:rPr>
        <w:t>(כלל יב די</w:t>
      </w:r>
      <w:r>
        <w:rPr>
          <w:rFonts w:hint="cs"/>
          <w:sz w:val="16"/>
          <w:szCs w:val="16"/>
          <w:rtl/>
        </w:rPr>
        <w:t>"</w:t>
      </w:r>
      <w:r w:rsidRPr="004D41B9">
        <w:rPr>
          <w:sz w:val="16"/>
          <w:szCs w:val="16"/>
          <w:rtl/>
        </w:rPr>
        <w:t>ג)</w:t>
      </w:r>
      <w:r>
        <w:rPr>
          <w:rFonts w:hint="cs"/>
          <w:rtl/>
        </w:rPr>
        <w:t>-</w:t>
      </w:r>
      <w:r w:rsidRPr="004610A5">
        <w:rPr>
          <w:rtl/>
        </w:rPr>
        <w:t xml:space="preserve"> בשר המונח על התיבה והוא מלוח</w:t>
      </w:r>
      <w:r>
        <w:rPr>
          <w:rFonts w:hint="cs"/>
          <w:rtl/>
        </w:rPr>
        <w:t>,</w:t>
      </w:r>
      <w:r w:rsidRPr="004610A5">
        <w:rPr>
          <w:rtl/>
        </w:rPr>
        <w:t xml:space="preserve"> ובתוכו היו גבינות ויש לחלוחית עליהן</w:t>
      </w:r>
      <w:r>
        <w:rPr>
          <w:rFonts w:hint="cs"/>
          <w:rtl/>
        </w:rPr>
        <w:t>,</w:t>
      </w:r>
      <w:r w:rsidRPr="004610A5">
        <w:rPr>
          <w:rtl/>
        </w:rPr>
        <w:t xml:space="preserve"> אפילו הכי לא מחזקינן איסורא אלא </w:t>
      </w:r>
      <w:r>
        <w:rPr>
          <w:rtl/>
        </w:rPr>
        <w:t>אמרינן דהלחלוחית מן הגבינות</w:t>
      </w:r>
      <w:r>
        <w:rPr>
          <w:rFonts w:hint="cs"/>
          <w:rtl/>
        </w:rPr>
        <w:t>.</w:t>
      </w:r>
    </w:p>
    <w:p w14:paraId="6DFFA90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404F5D9" w14:textId="77777777" w:rsidR="002C39F4" w:rsidRDefault="002C39F4" w:rsidP="002C39F4">
      <w:pPr>
        <w:rPr>
          <w:rFonts w:asciiTheme="minorBidi" w:hAnsiTheme="minorBidi"/>
          <w:rtl/>
        </w:rPr>
      </w:pPr>
      <w:r>
        <w:rPr>
          <w:rFonts w:asciiTheme="minorBidi" w:hAnsiTheme="minorBidi"/>
          <w:rtl/>
        </w:rPr>
        <w:t>מליח שאינו יכול ליאכל מחמת מלחו</w:t>
      </w:r>
      <w:r>
        <w:rPr>
          <w:rFonts w:asciiTheme="minorBidi" w:hAnsiTheme="minorBidi" w:hint="cs"/>
          <w:rtl/>
        </w:rPr>
        <w:t>,</w:t>
      </w:r>
      <w:r w:rsidRPr="003024E5">
        <w:rPr>
          <w:rFonts w:asciiTheme="minorBidi" w:hAnsiTheme="minorBidi"/>
          <w:rtl/>
        </w:rPr>
        <w:t xml:space="preserve"> </w:t>
      </w:r>
      <w:r>
        <w:rPr>
          <w:rFonts w:asciiTheme="minorBidi" w:hAnsiTheme="minorBidi"/>
          <w:rtl/>
        </w:rPr>
        <w:t>דהיינו כעין מליח שמולחים לקדירה</w:t>
      </w:r>
      <w:r>
        <w:rPr>
          <w:rFonts w:asciiTheme="minorBidi" w:hAnsiTheme="minorBidi" w:hint="cs"/>
          <w:rtl/>
        </w:rPr>
        <w:t>,</w:t>
      </w:r>
      <w:r>
        <w:rPr>
          <w:rFonts w:asciiTheme="minorBidi" w:hAnsiTheme="minorBidi"/>
          <w:rtl/>
        </w:rPr>
        <w:t xml:space="preserve"> ושהה כדי מליחה לקדירה</w:t>
      </w:r>
      <w:r>
        <w:rPr>
          <w:rStyle w:val="a7"/>
          <w:rFonts w:asciiTheme="minorBidi" w:hAnsiTheme="minorBidi"/>
          <w:rtl/>
        </w:rPr>
        <w:footnoteReference w:id="1349"/>
      </w:r>
      <w:r>
        <w:rPr>
          <w:rFonts w:asciiTheme="minorBidi" w:hAnsiTheme="minorBidi" w:hint="cs"/>
          <w:rtl/>
        </w:rPr>
        <w:t>,</w:t>
      </w:r>
      <w:r w:rsidRPr="003024E5">
        <w:rPr>
          <w:rFonts w:asciiTheme="minorBidi" w:hAnsiTheme="minorBidi"/>
          <w:rtl/>
        </w:rPr>
        <w:t xml:space="preserve"> כל זמן שלא הדיחו מיקרי אינו נאכל מחמת מלחו. </w:t>
      </w:r>
      <w:r w:rsidRPr="0047666A">
        <w:rPr>
          <w:rFonts w:asciiTheme="minorBidi" w:hAnsiTheme="minorBidi"/>
          <w:sz w:val="18"/>
          <w:szCs w:val="18"/>
          <w:rtl/>
        </w:rPr>
        <w:t>הגה: וי"א דלאחר ששהה במלחו שעור</w:t>
      </w:r>
      <w:r>
        <w:rPr>
          <w:rFonts w:asciiTheme="minorBidi" w:hAnsiTheme="minorBidi"/>
          <w:sz w:val="18"/>
          <w:szCs w:val="18"/>
          <w:rtl/>
        </w:rPr>
        <w:t xml:space="preserve"> מליחה לא מקרי אח"כ רותח </w:t>
      </w:r>
      <w:r w:rsidRPr="00DD3DD8">
        <w:rPr>
          <w:rFonts w:asciiTheme="minorBidi" w:hAnsiTheme="minorBidi"/>
          <w:sz w:val="16"/>
          <w:szCs w:val="16"/>
          <w:rtl/>
        </w:rPr>
        <w:t>(תוס</w:t>
      </w:r>
      <w:r w:rsidRPr="00DD3DD8">
        <w:rPr>
          <w:rFonts w:asciiTheme="minorBidi" w:hAnsiTheme="minorBidi" w:hint="cs"/>
          <w:sz w:val="16"/>
          <w:szCs w:val="16"/>
          <w:rtl/>
        </w:rPr>
        <w:t>'</w:t>
      </w:r>
      <w:r w:rsidRPr="00DD3DD8">
        <w:rPr>
          <w:rFonts w:asciiTheme="minorBidi" w:hAnsiTheme="minorBidi"/>
          <w:sz w:val="16"/>
          <w:szCs w:val="16"/>
          <w:rtl/>
        </w:rPr>
        <w:t xml:space="preserve"> ורא"ש וסמ"ג לחד שינוייא)</w:t>
      </w:r>
      <w:r w:rsidRPr="0047666A">
        <w:rPr>
          <w:rFonts w:asciiTheme="minorBidi" w:hAnsiTheme="minorBidi"/>
          <w:sz w:val="18"/>
          <w:szCs w:val="18"/>
          <w:rtl/>
        </w:rPr>
        <w:t>. ולצורך גדול, כגון בהפסד מרובה והוא לצו</w:t>
      </w:r>
      <w:r>
        <w:rPr>
          <w:rFonts w:asciiTheme="minorBidi" w:hAnsiTheme="minorBidi"/>
          <w:sz w:val="18"/>
          <w:szCs w:val="18"/>
          <w:rtl/>
        </w:rPr>
        <w:t>רך סעודת מצוה יש לסמוך אמקילין</w:t>
      </w:r>
      <w:r>
        <w:rPr>
          <w:rFonts w:asciiTheme="minorBidi" w:hAnsiTheme="minorBidi" w:hint="cs"/>
          <w:sz w:val="18"/>
          <w:szCs w:val="18"/>
          <w:rtl/>
        </w:rPr>
        <w:t>,</w:t>
      </w:r>
      <w:r w:rsidRPr="0047666A">
        <w:rPr>
          <w:rFonts w:asciiTheme="minorBidi" w:hAnsiTheme="minorBidi"/>
          <w:sz w:val="18"/>
          <w:szCs w:val="18"/>
          <w:rtl/>
        </w:rPr>
        <w:t xml:space="preserve"> אבל </w:t>
      </w:r>
      <w:r>
        <w:rPr>
          <w:rFonts w:asciiTheme="minorBidi" w:hAnsiTheme="minorBidi"/>
          <w:sz w:val="18"/>
          <w:szCs w:val="18"/>
          <w:rtl/>
        </w:rPr>
        <w:t xml:space="preserve">בלאו הכי אין להקל כלל </w:t>
      </w:r>
      <w:r w:rsidRPr="00DD3DD8">
        <w:rPr>
          <w:rFonts w:asciiTheme="minorBidi" w:hAnsiTheme="minorBidi"/>
          <w:sz w:val="16"/>
          <w:szCs w:val="16"/>
          <w:rtl/>
        </w:rPr>
        <w:t>(ת</w:t>
      </w:r>
      <w:r w:rsidRPr="00DD3DD8">
        <w:rPr>
          <w:rFonts w:asciiTheme="minorBidi" w:hAnsiTheme="minorBidi" w:hint="cs"/>
          <w:sz w:val="16"/>
          <w:szCs w:val="16"/>
          <w:rtl/>
        </w:rPr>
        <w:t>רוה"ד</w:t>
      </w:r>
      <w:r w:rsidRPr="00DD3DD8">
        <w:rPr>
          <w:rFonts w:asciiTheme="minorBidi" w:hAnsiTheme="minorBidi"/>
          <w:sz w:val="16"/>
          <w:szCs w:val="16"/>
          <w:rtl/>
        </w:rPr>
        <w:t>)</w:t>
      </w:r>
      <w:r w:rsidRPr="0047666A">
        <w:rPr>
          <w:rFonts w:asciiTheme="minorBidi" w:hAnsiTheme="minorBidi"/>
          <w:sz w:val="18"/>
          <w:szCs w:val="18"/>
          <w:rtl/>
        </w:rPr>
        <w:t xml:space="preserve">. אפילו </w:t>
      </w:r>
      <w:r>
        <w:rPr>
          <w:rFonts w:asciiTheme="minorBidi" w:hAnsiTheme="minorBidi"/>
          <w:sz w:val="18"/>
          <w:szCs w:val="18"/>
          <w:rtl/>
        </w:rPr>
        <w:t>לא נמלח הבשר משני צדדין</w:t>
      </w:r>
      <w:r w:rsidRPr="0047666A">
        <w:rPr>
          <w:rFonts w:asciiTheme="minorBidi" w:hAnsiTheme="minorBidi"/>
          <w:sz w:val="18"/>
          <w:szCs w:val="18"/>
          <w:rtl/>
        </w:rPr>
        <w:t xml:space="preserve"> רק מצד אחד, כל שנמלח מליחה שאינו נאכל מחמ</w:t>
      </w:r>
      <w:r>
        <w:rPr>
          <w:rFonts w:asciiTheme="minorBidi" w:hAnsiTheme="minorBidi"/>
          <w:sz w:val="18"/>
          <w:szCs w:val="18"/>
          <w:rtl/>
        </w:rPr>
        <w:t xml:space="preserve">ת מלחו מחשב רותח </w:t>
      </w:r>
      <w:r w:rsidRPr="00DD3DD8">
        <w:rPr>
          <w:rFonts w:asciiTheme="minorBidi" w:hAnsiTheme="minorBidi"/>
          <w:sz w:val="16"/>
          <w:szCs w:val="16"/>
          <w:rtl/>
        </w:rPr>
        <w:t>(ב"י בשם הרשב"א)</w:t>
      </w:r>
      <w:r>
        <w:rPr>
          <w:rFonts w:asciiTheme="minorBidi" w:hAnsiTheme="minorBidi"/>
          <w:sz w:val="18"/>
          <w:szCs w:val="18"/>
          <w:rtl/>
        </w:rPr>
        <w:t>. אבל כל שלא נמלח כל כך מחשב צונן אפילו נמלח משני צדדין</w:t>
      </w:r>
      <w:r>
        <w:rPr>
          <w:rFonts w:asciiTheme="minorBidi" w:hAnsiTheme="minorBidi" w:hint="cs"/>
          <w:sz w:val="18"/>
          <w:szCs w:val="18"/>
          <w:rtl/>
        </w:rPr>
        <w:t>,</w:t>
      </w:r>
      <w:r>
        <w:rPr>
          <w:rFonts w:asciiTheme="minorBidi" w:hAnsiTheme="minorBidi"/>
          <w:sz w:val="18"/>
          <w:szCs w:val="18"/>
          <w:rtl/>
        </w:rPr>
        <w:t xml:space="preserve"> וי"א דאנן אין בקיאין בדבר</w:t>
      </w:r>
      <w:r w:rsidRPr="0047666A">
        <w:rPr>
          <w:rFonts w:asciiTheme="minorBidi" w:hAnsiTheme="minorBidi"/>
          <w:sz w:val="18"/>
          <w:szCs w:val="18"/>
          <w:rtl/>
        </w:rPr>
        <w:t xml:space="preserve"> ויש לנו לחשב אפי</w:t>
      </w:r>
      <w:r>
        <w:rPr>
          <w:rFonts w:asciiTheme="minorBidi" w:hAnsiTheme="minorBidi"/>
          <w:sz w:val="18"/>
          <w:szCs w:val="18"/>
          <w:rtl/>
        </w:rPr>
        <w:t xml:space="preserve">לו מליחת צלי כרותח </w:t>
      </w:r>
      <w:r w:rsidRPr="00DD3DD8">
        <w:rPr>
          <w:rFonts w:asciiTheme="minorBidi" w:hAnsiTheme="minorBidi"/>
          <w:sz w:val="16"/>
          <w:szCs w:val="16"/>
          <w:rtl/>
        </w:rPr>
        <w:t>(ארוך)</w:t>
      </w:r>
      <w:r>
        <w:rPr>
          <w:rFonts w:asciiTheme="minorBidi" w:hAnsiTheme="minorBidi" w:hint="cs"/>
          <w:sz w:val="18"/>
          <w:szCs w:val="18"/>
          <w:rtl/>
        </w:rPr>
        <w:t>,</w:t>
      </w:r>
      <w:r w:rsidRPr="0047666A">
        <w:rPr>
          <w:rFonts w:asciiTheme="minorBidi" w:hAnsiTheme="minorBidi"/>
          <w:sz w:val="18"/>
          <w:szCs w:val="18"/>
          <w:rtl/>
        </w:rPr>
        <w:t xml:space="preserve"> וטוב להחמיר במקום שאין הפסד מרובה.</w:t>
      </w:r>
      <w:r w:rsidRPr="003024E5">
        <w:rPr>
          <w:rFonts w:asciiTheme="minorBidi" w:hAnsiTheme="minorBidi"/>
          <w:rtl/>
        </w:rPr>
        <w:t xml:space="preserve"> ומליח כעין מליח </w:t>
      </w:r>
      <w:r>
        <w:rPr>
          <w:rFonts w:asciiTheme="minorBidi" w:hAnsiTheme="minorBidi"/>
          <w:rtl/>
        </w:rPr>
        <w:t>דבעי לה לארחא, אפילו לאחר שהדיח</w:t>
      </w:r>
      <w:r w:rsidRPr="003024E5">
        <w:rPr>
          <w:rFonts w:asciiTheme="minorBidi" w:hAnsiTheme="minorBidi"/>
          <w:rtl/>
        </w:rPr>
        <w:t xml:space="preserve"> הוי אינו נאכל מחמת מלחו, ו</w:t>
      </w:r>
      <w:r>
        <w:rPr>
          <w:rFonts w:asciiTheme="minorBidi" w:hAnsiTheme="minorBidi"/>
          <w:rtl/>
        </w:rPr>
        <w:t>כל זמן שלא שראו במים דינו כרותח לאסור כדי קליפה</w:t>
      </w:r>
      <w:r>
        <w:rPr>
          <w:rFonts w:asciiTheme="minorBidi" w:hAnsiTheme="minorBidi" w:hint="cs"/>
          <w:rtl/>
        </w:rPr>
        <w:t>,</w:t>
      </w:r>
      <w:r w:rsidRPr="003024E5">
        <w:rPr>
          <w:rFonts w:asciiTheme="minorBidi" w:hAnsiTheme="minorBidi"/>
          <w:rtl/>
        </w:rPr>
        <w:t xml:space="preserve"> ואין חילוק בין מליח עליון ות</w:t>
      </w:r>
      <w:r>
        <w:rPr>
          <w:rFonts w:asciiTheme="minorBidi" w:hAnsiTheme="minorBidi"/>
          <w:rtl/>
        </w:rPr>
        <w:t>פל תחתון למליח תחתון ותפל עליון</w:t>
      </w:r>
      <w:r>
        <w:rPr>
          <w:rStyle w:val="a7"/>
          <w:rFonts w:asciiTheme="minorBidi" w:hAnsiTheme="minorBidi"/>
          <w:rtl/>
        </w:rPr>
        <w:footnoteReference w:id="1350"/>
      </w:r>
      <w:r w:rsidRPr="003024E5">
        <w:rPr>
          <w:rFonts w:asciiTheme="minorBidi" w:hAnsiTheme="minorBidi"/>
          <w:rtl/>
        </w:rPr>
        <w:t xml:space="preserve"> לעולם המ</w:t>
      </w:r>
      <w:r>
        <w:rPr>
          <w:rFonts w:asciiTheme="minorBidi" w:hAnsiTheme="minorBidi"/>
          <w:rtl/>
        </w:rPr>
        <w:t>ליח מבליע בתפל ואינו בולע ממנו.</w:t>
      </w:r>
      <w:r w:rsidRPr="003024E5">
        <w:rPr>
          <w:rFonts w:asciiTheme="minorBidi" w:hAnsiTheme="minorBidi"/>
          <w:rtl/>
        </w:rPr>
        <w:t xml:space="preserve"> הלכך </w:t>
      </w:r>
      <w:r>
        <w:rPr>
          <w:rFonts w:asciiTheme="minorBidi" w:hAnsiTheme="minorBidi"/>
          <w:rtl/>
        </w:rPr>
        <w:t>בשר וגבינה המלוחים שנגעו זה בזה צריך לקלוף שניהם מקום נגיעתם</w:t>
      </w:r>
      <w:r>
        <w:rPr>
          <w:rStyle w:val="a7"/>
          <w:rFonts w:asciiTheme="minorBidi" w:hAnsiTheme="minorBidi"/>
          <w:rtl/>
        </w:rPr>
        <w:footnoteReference w:id="1351"/>
      </w:r>
      <w:r>
        <w:rPr>
          <w:rFonts w:asciiTheme="minorBidi" w:hAnsiTheme="minorBidi" w:hint="cs"/>
          <w:rtl/>
        </w:rPr>
        <w:t>,</w:t>
      </w:r>
      <w:r w:rsidRPr="003024E5">
        <w:rPr>
          <w:rFonts w:asciiTheme="minorBidi" w:hAnsiTheme="minorBidi"/>
          <w:rtl/>
        </w:rPr>
        <w:t xml:space="preserve"> ואם אחד מהם מלוח והשני תפל, המלוח מותר בהדחה והתפל צריך קליפה. </w:t>
      </w:r>
      <w:r w:rsidRPr="00CA6449">
        <w:rPr>
          <w:rFonts w:asciiTheme="minorBidi" w:hAnsiTheme="minorBidi"/>
          <w:sz w:val="18"/>
          <w:szCs w:val="18"/>
          <w:rtl/>
        </w:rPr>
        <w:t xml:space="preserve">הגה: וי"א דבכל מליחה אנו משערין בס' </w:t>
      </w:r>
      <w:r w:rsidRPr="00DD3DD8">
        <w:rPr>
          <w:rFonts w:asciiTheme="minorBidi" w:hAnsiTheme="minorBidi"/>
          <w:sz w:val="16"/>
          <w:szCs w:val="16"/>
          <w:rtl/>
        </w:rPr>
        <w:t>(רוב המורים קמאי ובתראי)</w:t>
      </w:r>
      <w:r w:rsidRPr="00CA6449">
        <w:rPr>
          <w:rFonts w:asciiTheme="minorBidi" w:hAnsiTheme="minorBidi"/>
          <w:sz w:val="18"/>
          <w:szCs w:val="18"/>
          <w:rtl/>
        </w:rPr>
        <w:t>. ועי</w:t>
      </w:r>
      <w:r>
        <w:rPr>
          <w:rFonts w:asciiTheme="minorBidi" w:hAnsiTheme="minorBidi" w:hint="cs"/>
          <w:sz w:val="18"/>
          <w:szCs w:val="18"/>
          <w:rtl/>
        </w:rPr>
        <w:t>'</w:t>
      </w:r>
      <w:r w:rsidRPr="00CA6449">
        <w:rPr>
          <w:rFonts w:asciiTheme="minorBidi" w:hAnsiTheme="minorBidi"/>
          <w:sz w:val="18"/>
          <w:szCs w:val="18"/>
          <w:rtl/>
        </w:rPr>
        <w:t xml:space="preserve"> לקמן סי</w:t>
      </w:r>
      <w:r>
        <w:rPr>
          <w:rFonts w:asciiTheme="minorBidi" w:hAnsiTheme="minorBidi" w:hint="cs"/>
          <w:sz w:val="18"/>
          <w:szCs w:val="18"/>
          <w:rtl/>
        </w:rPr>
        <w:t>'</w:t>
      </w:r>
      <w:r w:rsidRPr="00CA6449">
        <w:rPr>
          <w:rFonts w:asciiTheme="minorBidi" w:hAnsiTheme="minorBidi"/>
          <w:sz w:val="18"/>
          <w:szCs w:val="18"/>
          <w:rtl/>
        </w:rPr>
        <w:t xml:space="preserve"> קה כיצד נוהגין. והא דטהור מלוח </w:t>
      </w:r>
      <w:r>
        <w:rPr>
          <w:rFonts w:asciiTheme="minorBidi" w:hAnsiTheme="minorBidi"/>
          <w:sz w:val="18"/>
          <w:szCs w:val="18"/>
          <w:rtl/>
        </w:rPr>
        <w:t>וטמא תפל שרי</w:t>
      </w:r>
      <w:r w:rsidRPr="00CA6449">
        <w:rPr>
          <w:rFonts w:asciiTheme="minorBidi" w:hAnsiTheme="minorBidi"/>
          <w:sz w:val="18"/>
          <w:szCs w:val="18"/>
          <w:rtl/>
        </w:rPr>
        <w:t xml:space="preserve"> היינו שהטמא יבש, א</w:t>
      </w:r>
      <w:r>
        <w:rPr>
          <w:rFonts w:asciiTheme="minorBidi" w:hAnsiTheme="minorBidi"/>
          <w:sz w:val="18"/>
          <w:szCs w:val="18"/>
          <w:rtl/>
        </w:rPr>
        <w:t>בל אם הוא דבר צלול</w:t>
      </w:r>
      <w:r>
        <w:rPr>
          <w:rFonts w:asciiTheme="minorBidi" w:hAnsiTheme="minorBidi" w:hint="cs"/>
          <w:sz w:val="18"/>
          <w:szCs w:val="18"/>
          <w:rtl/>
        </w:rPr>
        <w:t>,</w:t>
      </w:r>
      <w:r>
        <w:rPr>
          <w:rFonts w:asciiTheme="minorBidi" w:hAnsiTheme="minorBidi"/>
          <w:sz w:val="18"/>
          <w:szCs w:val="18"/>
          <w:rtl/>
        </w:rPr>
        <w:t xml:space="preserve"> נאסר הטהור</w:t>
      </w:r>
      <w:r>
        <w:rPr>
          <w:rStyle w:val="a7"/>
          <w:rFonts w:asciiTheme="minorBidi" w:hAnsiTheme="minorBidi"/>
          <w:sz w:val="18"/>
          <w:szCs w:val="18"/>
          <w:rtl/>
        </w:rPr>
        <w:footnoteReference w:id="1352"/>
      </w:r>
      <w:r>
        <w:rPr>
          <w:rFonts w:asciiTheme="minorBidi" w:hAnsiTheme="minorBidi"/>
          <w:sz w:val="18"/>
          <w:szCs w:val="18"/>
          <w:rtl/>
        </w:rPr>
        <w:t xml:space="preserve"> מאחר שאינו נאכל מחמת מלחו</w:t>
      </w:r>
      <w:r w:rsidRPr="00CA6449">
        <w:rPr>
          <w:rFonts w:asciiTheme="minorBidi" w:hAnsiTheme="minorBidi"/>
          <w:sz w:val="18"/>
          <w:szCs w:val="18"/>
          <w:rtl/>
        </w:rPr>
        <w:t xml:space="preserve"> בולע</w:t>
      </w:r>
      <w:r>
        <w:rPr>
          <w:rFonts w:asciiTheme="minorBidi" w:hAnsiTheme="minorBidi"/>
          <w:sz w:val="18"/>
          <w:szCs w:val="18"/>
          <w:rtl/>
        </w:rPr>
        <w:t xml:space="preserve"> </w:t>
      </w:r>
      <w:r>
        <w:rPr>
          <w:rFonts w:asciiTheme="minorBidi" w:hAnsiTheme="minorBidi" w:hint="cs"/>
          <w:sz w:val="18"/>
          <w:szCs w:val="18"/>
          <w:rtl/>
        </w:rPr>
        <w:t>מ</w:t>
      </w:r>
      <w:r>
        <w:rPr>
          <w:rFonts w:asciiTheme="minorBidi" w:hAnsiTheme="minorBidi"/>
          <w:sz w:val="18"/>
          <w:szCs w:val="18"/>
          <w:rtl/>
        </w:rPr>
        <w:t>האיסור שאצלו ושניהם אסורים</w:t>
      </w:r>
      <w:r>
        <w:rPr>
          <w:rStyle w:val="a7"/>
          <w:rFonts w:asciiTheme="minorBidi" w:hAnsiTheme="minorBidi"/>
          <w:sz w:val="18"/>
          <w:szCs w:val="18"/>
          <w:rtl/>
        </w:rPr>
        <w:footnoteReference w:id="1353"/>
      </w:r>
      <w:r>
        <w:rPr>
          <w:rFonts w:asciiTheme="minorBidi" w:hAnsiTheme="minorBidi"/>
          <w:sz w:val="18"/>
          <w:szCs w:val="18"/>
          <w:rtl/>
        </w:rPr>
        <w:t xml:space="preserve"> </w:t>
      </w:r>
      <w:r w:rsidRPr="00DD3DD8">
        <w:rPr>
          <w:rFonts w:asciiTheme="minorBidi" w:hAnsiTheme="minorBidi"/>
          <w:sz w:val="16"/>
          <w:szCs w:val="16"/>
          <w:rtl/>
        </w:rPr>
        <w:t>(מרדכי הג</w:t>
      </w:r>
      <w:r w:rsidRPr="00DD3DD8">
        <w:rPr>
          <w:rFonts w:asciiTheme="minorBidi" w:hAnsiTheme="minorBidi" w:hint="cs"/>
          <w:sz w:val="16"/>
          <w:szCs w:val="16"/>
          <w:rtl/>
        </w:rPr>
        <w:t xml:space="preserve">ה"מ </w:t>
      </w:r>
      <w:r w:rsidRPr="00DD3DD8">
        <w:rPr>
          <w:rFonts w:asciiTheme="minorBidi" w:hAnsiTheme="minorBidi"/>
          <w:sz w:val="16"/>
          <w:szCs w:val="16"/>
          <w:rtl/>
        </w:rPr>
        <w:t>ש</w:t>
      </w:r>
      <w:r w:rsidRPr="00DD3DD8">
        <w:rPr>
          <w:rFonts w:asciiTheme="minorBidi" w:hAnsiTheme="minorBidi" w:hint="cs"/>
          <w:sz w:val="16"/>
          <w:szCs w:val="16"/>
          <w:rtl/>
        </w:rPr>
        <w:t>ע</w:t>
      </w:r>
      <w:r w:rsidRPr="00DD3DD8">
        <w:rPr>
          <w:rFonts w:asciiTheme="minorBidi" w:hAnsiTheme="minorBidi"/>
          <w:sz w:val="16"/>
          <w:szCs w:val="16"/>
          <w:rtl/>
        </w:rPr>
        <w:t>"ד סמ"ג והג</w:t>
      </w:r>
      <w:r w:rsidRPr="00DD3DD8">
        <w:rPr>
          <w:rFonts w:asciiTheme="minorBidi" w:hAnsiTheme="minorBidi" w:hint="cs"/>
          <w:sz w:val="16"/>
          <w:szCs w:val="16"/>
          <w:rtl/>
        </w:rPr>
        <w:t>מ"ר)</w:t>
      </w:r>
      <w:r w:rsidRPr="00CA6449">
        <w:rPr>
          <w:rFonts w:asciiTheme="minorBidi" w:hAnsiTheme="minorBidi"/>
          <w:sz w:val="18"/>
          <w:szCs w:val="18"/>
          <w:rtl/>
        </w:rPr>
        <w:t>. ודוקא שהטה</w:t>
      </w:r>
      <w:r>
        <w:rPr>
          <w:rFonts w:asciiTheme="minorBidi" w:hAnsiTheme="minorBidi"/>
          <w:sz w:val="18"/>
          <w:szCs w:val="18"/>
          <w:rtl/>
        </w:rPr>
        <w:t>ור לח קצת, אבל אם הוא יבש לגמרי</w:t>
      </w:r>
      <w:r w:rsidRPr="00CA6449">
        <w:rPr>
          <w:rFonts w:asciiTheme="minorBidi" w:hAnsiTheme="minorBidi"/>
          <w:sz w:val="18"/>
          <w:szCs w:val="18"/>
          <w:rtl/>
        </w:rPr>
        <w:t xml:space="preserve"> אינו בולע מדבר לח שאצלו</w:t>
      </w:r>
      <w:r>
        <w:rPr>
          <w:rStyle w:val="a7"/>
          <w:rFonts w:asciiTheme="minorBidi" w:hAnsiTheme="minorBidi"/>
          <w:sz w:val="18"/>
          <w:szCs w:val="18"/>
          <w:rtl/>
        </w:rPr>
        <w:footnoteReference w:id="1354"/>
      </w:r>
      <w:r w:rsidRPr="00CA6449">
        <w:rPr>
          <w:rFonts w:asciiTheme="minorBidi" w:hAnsiTheme="minorBidi"/>
          <w:sz w:val="18"/>
          <w:szCs w:val="18"/>
          <w:rtl/>
        </w:rPr>
        <w:t>.</w:t>
      </w:r>
      <w:r>
        <w:rPr>
          <w:rFonts w:asciiTheme="minorBidi" w:hAnsiTheme="minorBidi"/>
          <w:rtl/>
        </w:rPr>
        <w:t xml:space="preserve"> ואם הם יבשים</w:t>
      </w:r>
      <w:r w:rsidRPr="003024E5">
        <w:rPr>
          <w:rFonts w:asciiTheme="minorBidi" w:hAnsiTheme="minorBidi"/>
          <w:rtl/>
        </w:rPr>
        <w:t xml:space="preserve"> אפיל</w:t>
      </w:r>
      <w:r>
        <w:rPr>
          <w:rFonts w:asciiTheme="minorBidi" w:hAnsiTheme="minorBidi"/>
          <w:rtl/>
        </w:rPr>
        <w:t>ו הם מלוחים או לחים ולא מחמת מליחה</w:t>
      </w:r>
      <w:r w:rsidRPr="003024E5">
        <w:rPr>
          <w:rFonts w:asciiTheme="minorBidi" w:hAnsiTheme="minorBidi"/>
          <w:rtl/>
        </w:rPr>
        <w:t xml:space="preserve"> סגי בהדחה. </w:t>
      </w:r>
      <w:r>
        <w:rPr>
          <w:rFonts w:asciiTheme="minorBidi" w:hAnsiTheme="minorBidi"/>
          <w:sz w:val="18"/>
          <w:szCs w:val="18"/>
          <w:rtl/>
        </w:rPr>
        <w:t xml:space="preserve">הגה: כל ציר מבשר שנמלח אפילו לא נמלח רק לצלי חשוב רותח </w:t>
      </w:r>
      <w:r w:rsidRPr="00DD3DD8">
        <w:rPr>
          <w:rFonts w:asciiTheme="minorBidi" w:hAnsiTheme="minorBidi"/>
          <w:sz w:val="16"/>
          <w:szCs w:val="16"/>
          <w:rtl/>
        </w:rPr>
        <w:t>(</w:t>
      </w:r>
      <w:r>
        <w:rPr>
          <w:rFonts w:asciiTheme="minorBidi" w:hAnsiTheme="minorBidi" w:hint="cs"/>
          <w:sz w:val="16"/>
          <w:szCs w:val="16"/>
          <w:rtl/>
        </w:rPr>
        <w:t>סה"ת ר"פ ומרדכי</w:t>
      </w:r>
      <w:r w:rsidRPr="00DD3DD8">
        <w:rPr>
          <w:rFonts w:asciiTheme="minorBidi" w:hAnsiTheme="minorBidi"/>
          <w:sz w:val="16"/>
          <w:szCs w:val="16"/>
          <w:rtl/>
        </w:rPr>
        <w:t>)</w:t>
      </w:r>
      <w:r w:rsidRPr="00CA6449">
        <w:rPr>
          <w:rFonts w:asciiTheme="minorBidi" w:hAnsiTheme="minorBidi"/>
          <w:sz w:val="18"/>
          <w:szCs w:val="18"/>
          <w:rtl/>
        </w:rPr>
        <w:t>. ולכן אם נפלה ציר ע</w:t>
      </w:r>
      <w:r>
        <w:rPr>
          <w:rFonts w:asciiTheme="minorBidi" w:hAnsiTheme="minorBidi"/>
          <w:sz w:val="18"/>
          <w:szCs w:val="18"/>
          <w:rtl/>
        </w:rPr>
        <w:t xml:space="preserve">ל הגבינה או על כלי אוסר </w:t>
      </w:r>
      <w:r w:rsidRPr="00DD3DD8">
        <w:rPr>
          <w:rFonts w:asciiTheme="minorBidi" w:hAnsiTheme="minorBidi"/>
          <w:sz w:val="16"/>
          <w:szCs w:val="16"/>
          <w:rtl/>
        </w:rPr>
        <w:t>(ארוך)</w:t>
      </w:r>
      <w:r>
        <w:rPr>
          <w:rFonts w:asciiTheme="minorBidi" w:hAnsiTheme="minorBidi" w:hint="cs"/>
          <w:sz w:val="18"/>
          <w:szCs w:val="18"/>
          <w:rtl/>
        </w:rPr>
        <w:t>,</w:t>
      </w:r>
      <w:r>
        <w:rPr>
          <w:rFonts w:asciiTheme="minorBidi" w:hAnsiTheme="minorBidi"/>
          <w:sz w:val="18"/>
          <w:szCs w:val="18"/>
          <w:rtl/>
        </w:rPr>
        <w:t xml:space="preserve"> אפילו במקום שאין הבשר אוסר</w:t>
      </w:r>
      <w:r w:rsidRPr="00CA6449">
        <w:rPr>
          <w:rFonts w:asciiTheme="minorBidi" w:hAnsiTheme="minorBidi"/>
          <w:sz w:val="18"/>
          <w:szCs w:val="18"/>
          <w:rtl/>
        </w:rPr>
        <w:t xml:space="preserve"> דלא נחשב רותח, מכל מקום הציר חשוב אינו נא</w:t>
      </w:r>
      <w:r>
        <w:rPr>
          <w:rFonts w:asciiTheme="minorBidi" w:hAnsiTheme="minorBidi"/>
          <w:sz w:val="18"/>
          <w:szCs w:val="18"/>
          <w:rtl/>
        </w:rPr>
        <w:t>כל מחמת מלחו. וציר של בשר שאוסר</w:t>
      </w:r>
      <w:r w:rsidRPr="00CA6449">
        <w:rPr>
          <w:rFonts w:asciiTheme="minorBidi" w:hAnsiTheme="minorBidi"/>
          <w:sz w:val="18"/>
          <w:szCs w:val="18"/>
          <w:rtl/>
        </w:rPr>
        <w:t xml:space="preserve"> שנפל על הכ</w:t>
      </w:r>
      <w:r>
        <w:rPr>
          <w:rFonts w:asciiTheme="minorBidi" w:hAnsiTheme="minorBidi"/>
          <w:sz w:val="18"/>
          <w:szCs w:val="18"/>
          <w:rtl/>
        </w:rPr>
        <w:t>לי צריך הגעלה. ואם הוא כלי חרס</w:t>
      </w:r>
      <w:r w:rsidRPr="00CA6449">
        <w:rPr>
          <w:rFonts w:asciiTheme="minorBidi" w:hAnsiTheme="minorBidi"/>
          <w:sz w:val="18"/>
          <w:szCs w:val="18"/>
          <w:rtl/>
        </w:rPr>
        <w:t xml:space="preserve"> צריך שבירה</w:t>
      </w:r>
      <w:r w:rsidRPr="00DD3DD8">
        <w:rPr>
          <w:rFonts w:asciiTheme="minorBidi" w:hAnsiTheme="minorBidi"/>
          <w:sz w:val="16"/>
          <w:szCs w:val="16"/>
          <w:rtl/>
        </w:rPr>
        <w:t xml:space="preserve"> (ש</w:t>
      </w:r>
      <w:r w:rsidRPr="00DD3DD8">
        <w:rPr>
          <w:rFonts w:asciiTheme="minorBidi" w:hAnsiTheme="minorBidi" w:hint="cs"/>
          <w:sz w:val="16"/>
          <w:szCs w:val="16"/>
          <w:rtl/>
        </w:rPr>
        <w:t>ע</w:t>
      </w:r>
      <w:r>
        <w:rPr>
          <w:rFonts w:asciiTheme="minorBidi" w:hAnsiTheme="minorBidi"/>
          <w:sz w:val="16"/>
          <w:szCs w:val="16"/>
          <w:rtl/>
        </w:rPr>
        <w:t>"ד</w:t>
      </w:r>
      <w:r w:rsidRPr="00DD3DD8">
        <w:rPr>
          <w:rFonts w:asciiTheme="minorBidi" w:hAnsiTheme="minorBidi"/>
          <w:sz w:val="16"/>
          <w:szCs w:val="16"/>
          <w:rtl/>
        </w:rPr>
        <w:t xml:space="preserve"> ואו"ה)</w:t>
      </w:r>
      <w:r>
        <w:rPr>
          <w:rFonts w:asciiTheme="minorBidi" w:hAnsiTheme="minorBidi"/>
          <w:sz w:val="18"/>
          <w:szCs w:val="18"/>
          <w:rtl/>
        </w:rPr>
        <w:t>. ואם לא נפל רק על מקום אחד</w:t>
      </w:r>
      <w:r>
        <w:rPr>
          <w:rStyle w:val="a7"/>
          <w:rFonts w:asciiTheme="minorBidi" w:hAnsiTheme="minorBidi"/>
          <w:sz w:val="18"/>
          <w:szCs w:val="18"/>
          <w:rtl/>
        </w:rPr>
        <w:footnoteReference w:id="1355"/>
      </w:r>
      <w:r>
        <w:rPr>
          <w:rFonts w:asciiTheme="minorBidi" w:hAnsiTheme="minorBidi"/>
          <w:sz w:val="18"/>
          <w:szCs w:val="18"/>
          <w:rtl/>
        </w:rPr>
        <w:t xml:space="preserve"> בכלי עץ וכיוצא בו קולף מקומו</w:t>
      </w:r>
      <w:r w:rsidRPr="00CA6449">
        <w:rPr>
          <w:rFonts w:asciiTheme="minorBidi" w:hAnsiTheme="minorBidi"/>
          <w:sz w:val="18"/>
          <w:szCs w:val="18"/>
          <w:rtl/>
        </w:rPr>
        <w:t xml:space="preserve"> ודיו </w:t>
      </w:r>
      <w:r>
        <w:rPr>
          <w:rFonts w:asciiTheme="minorBidi" w:hAnsiTheme="minorBidi"/>
          <w:sz w:val="16"/>
          <w:szCs w:val="16"/>
          <w:rtl/>
        </w:rPr>
        <w:t>(או"ה</w:t>
      </w:r>
      <w:r>
        <w:rPr>
          <w:rFonts w:asciiTheme="minorBidi" w:hAnsiTheme="minorBidi" w:hint="cs"/>
          <w:sz w:val="16"/>
          <w:szCs w:val="16"/>
          <w:rtl/>
        </w:rPr>
        <w:t>,</w:t>
      </w:r>
      <w:r>
        <w:rPr>
          <w:rFonts w:asciiTheme="minorBidi" w:hAnsiTheme="minorBidi"/>
          <w:sz w:val="16"/>
          <w:szCs w:val="16"/>
          <w:rtl/>
        </w:rPr>
        <w:t xml:space="preserve"> וע</w:t>
      </w:r>
      <w:r>
        <w:rPr>
          <w:rFonts w:asciiTheme="minorBidi" w:hAnsiTheme="minorBidi" w:hint="cs"/>
          <w:sz w:val="16"/>
          <w:szCs w:val="16"/>
          <w:rtl/>
        </w:rPr>
        <w:t xml:space="preserve">י' </w:t>
      </w:r>
      <w:r w:rsidRPr="00DD3DD8">
        <w:rPr>
          <w:rFonts w:asciiTheme="minorBidi" w:hAnsiTheme="minorBidi"/>
          <w:sz w:val="16"/>
          <w:szCs w:val="16"/>
          <w:rtl/>
        </w:rPr>
        <w:t>ל</w:t>
      </w:r>
      <w:r>
        <w:rPr>
          <w:rFonts w:asciiTheme="minorBidi" w:hAnsiTheme="minorBidi" w:hint="cs"/>
          <w:sz w:val="16"/>
          <w:szCs w:val="16"/>
          <w:rtl/>
        </w:rPr>
        <w:t>קמן</w:t>
      </w:r>
      <w:r w:rsidRPr="00DD3DD8">
        <w:rPr>
          <w:rFonts w:asciiTheme="minorBidi" w:hAnsiTheme="minorBidi"/>
          <w:sz w:val="16"/>
          <w:szCs w:val="16"/>
          <w:rtl/>
        </w:rPr>
        <w:t xml:space="preserve"> </w:t>
      </w:r>
      <w:r>
        <w:rPr>
          <w:rFonts w:asciiTheme="minorBidi" w:hAnsiTheme="minorBidi" w:hint="cs"/>
          <w:sz w:val="16"/>
          <w:szCs w:val="16"/>
          <w:rtl/>
        </w:rPr>
        <w:t xml:space="preserve">סי' צח </w:t>
      </w:r>
      <w:r w:rsidRPr="00DD3DD8">
        <w:rPr>
          <w:rFonts w:asciiTheme="minorBidi" w:hAnsiTheme="minorBidi"/>
          <w:sz w:val="16"/>
          <w:szCs w:val="16"/>
          <w:rtl/>
        </w:rPr>
        <w:t>ס"ד ההג"ה א)</w:t>
      </w:r>
      <w:r w:rsidRPr="00CA6449">
        <w:rPr>
          <w:rFonts w:asciiTheme="minorBidi" w:hAnsiTheme="minorBidi"/>
          <w:sz w:val="18"/>
          <w:szCs w:val="18"/>
          <w:rtl/>
        </w:rPr>
        <w:t>.</w:t>
      </w:r>
    </w:p>
    <w:p w14:paraId="4D583A35" w14:textId="77777777" w:rsidR="002C39F4" w:rsidRPr="003024E5" w:rsidRDefault="002C39F4" w:rsidP="002C39F4">
      <w:pPr>
        <w:rPr>
          <w:rFonts w:asciiTheme="minorBidi" w:hAnsiTheme="minorBidi"/>
          <w:rtl/>
        </w:rPr>
      </w:pPr>
    </w:p>
    <w:p w14:paraId="4CBDDBD2"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xml:space="preserve">: מליח כרותח </w:t>
      </w:r>
      <w:r w:rsidRPr="00156F35">
        <w:rPr>
          <w:rFonts w:asciiTheme="minorBidi" w:hAnsiTheme="minorBidi" w:hint="cs"/>
          <w:sz w:val="18"/>
          <w:szCs w:val="18"/>
          <w:rtl/>
        </w:rPr>
        <w:t>(לעניין מגע בין בשר לחלב</w:t>
      </w:r>
      <w:r>
        <w:rPr>
          <w:rFonts w:asciiTheme="minorBidi" w:hAnsiTheme="minorBidi" w:hint="cs"/>
          <w:sz w:val="18"/>
          <w:szCs w:val="18"/>
          <w:rtl/>
        </w:rPr>
        <w:t>)</w:t>
      </w:r>
      <w:r>
        <w:rPr>
          <w:rFonts w:asciiTheme="minorBidi" w:hAnsiTheme="minorBidi" w:hint="cs"/>
          <w:rtl/>
        </w:rPr>
        <w:t xml:space="preserve"> - בחתיכה שמנה.</w:t>
      </w:r>
    </w:p>
    <w:p w14:paraId="2AA6D597" w14:textId="77777777" w:rsidR="002C39F4" w:rsidRPr="00CA6449" w:rsidRDefault="002C39F4" w:rsidP="002C39F4">
      <w:pPr>
        <w:rPr>
          <w:rtl/>
        </w:rPr>
      </w:pPr>
      <w:r>
        <w:rPr>
          <w:rFonts w:hint="cs"/>
          <w:rtl/>
        </w:rPr>
        <w:t>עיין במקורות בסע' הקודם.</w:t>
      </w:r>
    </w:p>
    <w:p w14:paraId="5D5CD493"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D53F99F" w14:textId="77777777" w:rsidR="002C39F4" w:rsidRDefault="002C39F4" w:rsidP="002C39F4">
      <w:pPr>
        <w:rPr>
          <w:rFonts w:asciiTheme="minorBidi" w:hAnsiTheme="minorBidi"/>
          <w:rtl/>
        </w:rPr>
      </w:pPr>
      <w:r w:rsidRPr="003024E5">
        <w:rPr>
          <w:rFonts w:asciiTheme="minorBidi" w:hAnsiTheme="minorBidi"/>
          <w:rtl/>
        </w:rPr>
        <w:t>היכא אמרינן דאינו אסור אלא כדי קליפה, כשאין שום אחת מהחתיכות ש</w:t>
      </w:r>
      <w:r>
        <w:rPr>
          <w:rFonts w:asciiTheme="minorBidi" w:hAnsiTheme="minorBidi"/>
          <w:rtl/>
        </w:rPr>
        <w:t>מינה, שאם היתה שמינה כולה אסורה</w:t>
      </w:r>
      <w:r>
        <w:rPr>
          <w:rStyle w:val="a7"/>
          <w:rFonts w:asciiTheme="minorBidi" w:hAnsiTheme="minorBidi"/>
          <w:rtl/>
        </w:rPr>
        <w:footnoteReference w:id="1356"/>
      </w:r>
      <w:r>
        <w:rPr>
          <w:rFonts w:asciiTheme="minorBidi" w:hAnsiTheme="minorBidi" w:hint="cs"/>
          <w:rtl/>
        </w:rPr>
        <w:t>,</w:t>
      </w:r>
      <w:r>
        <w:rPr>
          <w:rFonts w:asciiTheme="minorBidi" w:hAnsiTheme="minorBidi"/>
          <w:rtl/>
        </w:rPr>
        <w:t xml:space="preserve"> וכן חברתה אסורה כולה מפני שהשומן מפעפע</w:t>
      </w:r>
      <w:r>
        <w:rPr>
          <w:rFonts w:asciiTheme="minorBidi" w:hAnsiTheme="minorBidi" w:hint="cs"/>
          <w:rtl/>
        </w:rPr>
        <w:t>.</w:t>
      </w:r>
      <w:r>
        <w:rPr>
          <w:rFonts w:asciiTheme="minorBidi" w:hAnsiTheme="minorBidi"/>
          <w:rtl/>
        </w:rPr>
        <w:t xml:space="preserve"> </w:t>
      </w:r>
      <w:r>
        <w:rPr>
          <w:rFonts w:asciiTheme="minorBidi" w:hAnsiTheme="minorBidi" w:hint="cs"/>
          <w:sz w:val="18"/>
          <w:szCs w:val="18"/>
          <w:rtl/>
        </w:rPr>
        <w:t xml:space="preserve">[הגה] </w:t>
      </w:r>
      <w:r w:rsidRPr="00CA6449">
        <w:rPr>
          <w:rFonts w:asciiTheme="minorBidi" w:hAnsiTheme="minorBidi"/>
          <w:sz w:val="18"/>
          <w:szCs w:val="18"/>
          <w:rtl/>
        </w:rPr>
        <w:t>ועיין לקמן סי</w:t>
      </w:r>
      <w:r>
        <w:rPr>
          <w:rFonts w:asciiTheme="minorBidi" w:hAnsiTheme="minorBidi" w:hint="cs"/>
          <w:sz w:val="18"/>
          <w:szCs w:val="18"/>
          <w:rtl/>
        </w:rPr>
        <w:t>'</w:t>
      </w:r>
      <w:r w:rsidRPr="00CA6449">
        <w:rPr>
          <w:rFonts w:asciiTheme="minorBidi" w:hAnsiTheme="minorBidi"/>
          <w:sz w:val="18"/>
          <w:szCs w:val="18"/>
          <w:rtl/>
        </w:rPr>
        <w:t xml:space="preserve"> קה</w:t>
      </w:r>
      <w:r>
        <w:rPr>
          <w:rStyle w:val="a7"/>
          <w:rFonts w:asciiTheme="minorBidi" w:hAnsiTheme="minorBidi"/>
          <w:sz w:val="18"/>
          <w:szCs w:val="18"/>
          <w:rtl/>
        </w:rPr>
        <w:footnoteReference w:id="1357"/>
      </w:r>
      <w:r w:rsidRPr="003024E5">
        <w:rPr>
          <w:rFonts w:asciiTheme="minorBidi" w:hAnsiTheme="minorBidi"/>
          <w:rtl/>
        </w:rPr>
        <w:t xml:space="preserve">. </w:t>
      </w:r>
    </w:p>
    <w:p w14:paraId="299C2A05" w14:textId="77777777" w:rsidR="002C39F4" w:rsidRPr="003024E5" w:rsidRDefault="002C39F4" w:rsidP="002C39F4">
      <w:pPr>
        <w:rPr>
          <w:rFonts w:asciiTheme="minorBidi" w:hAnsiTheme="minorBidi"/>
          <w:rtl/>
        </w:rPr>
      </w:pPr>
    </w:p>
    <w:p w14:paraId="6704D2D0"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צלי רותח שנפל למליח שנאכל מחמת מלחו.</w:t>
      </w:r>
    </w:p>
    <w:p w14:paraId="3F185CF7" w14:textId="77777777" w:rsidR="002C39F4" w:rsidRDefault="002C39F4" w:rsidP="002C39F4">
      <w:pPr>
        <w:rPr>
          <w:rFonts w:cs="Arial"/>
          <w:rtl/>
        </w:rPr>
      </w:pPr>
      <w:r>
        <w:rPr>
          <w:rFonts w:cs="Arial" w:hint="cs"/>
          <w:b/>
          <w:bCs/>
          <w:rtl/>
        </w:rPr>
        <w:t>חולין קיב ע"א</w:t>
      </w:r>
      <w:r>
        <w:rPr>
          <w:rFonts w:cs="Arial" w:hint="cs"/>
          <w:b/>
          <w:bCs/>
          <w:sz w:val="14"/>
          <w:szCs w:val="14"/>
          <w:rtl/>
        </w:rPr>
        <w:t xml:space="preserve"> (וכן איתא בפסחים עו ע"א)</w:t>
      </w:r>
      <w:r>
        <w:rPr>
          <w:rFonts w:cs="Arial" w:hint="cs"/>
          <w:b/>
          <w:bCs/>
          <w:rtl/>
        </w:rPr>
        <w:t>:</w:t>
      </w:r>
      <w:r>
        <w:rPr>
          <w:rFonts w:cs="Arial" w:hint="cs"/>
          <w:rtl/>
        </w:rPr>
        <w:t xml:space="preserve"> </w:t>
      </w:r>
      <w:r w:rsidRPr="00C977FA">
        <w:rPr>
          <w:rFonts w:cs="Arial"/>
          <w:rtl/>
        </w:rPr>
        <w:t>ההוא בר גוזלא דנפל לכדא דכמכא</w:t>
      </w:r>
      <w:r>
        <w:rPr>
          <w:rStyle w:val="a7"/>
          <w:rFonts w:cs="Arial"/>
          <w:rtl/>
        </w:rPr>
        <w:footnoteReference w:id="1358"/>
      </w:r>
      <w:r w:rsidRPr="00C977FA">
        <w:rPr>
          <w:rFonts w:cs="Arial"/>
          <w:rtl/>
        </w:rPr>
        <w:t>, שר</w:t>
      </w:r>
      <w:r>
        <w:rPr>
          <w:rFonts w:cs="Arial"/>
          <w:rtl/>
        </w:rPr>
        <w:t>ייה רב חיננא</w:t>
      </w:r>
      <w:r>
        <w:rPr>
          <w:rStyle w:val="a7"/>
          <w:rFonts w:cs="Arial"/>
          <w:rtl/>
        </w:rPr>
        <w:footnoteReference w:id="1359"/>
      </w:r>
      <w:r>
        <w:rPr>
          <w:rFonts w:cs="Arial"/>
          <w:rtl/>
        </w:rPr>
        <w:t xml:space="preserve"> בריה דרבא מפשרוניא</w:t>
      </w:r>
      <w:r>
        <w:rPr>
          <w:rFonts w:cs="Arial" w:hint="cs"/>
          <w:rtl/>
        </w:rPr>
        <w:t>.</w:t>
      </w:r>
      <w:r w:rsidRPr="00C977FA">
        <w:rPr>
          <w:rFonts w:cs="Arial"/>
          <w:rtl/>
        </w:rPr>
        <w:t xml:space="preserve"> </w:t>
      </w:r>
      <w:r w:rsidRPr="00C977FA">
        <w:rPr>
          <w:rFonts w:cs="Arial"/>
          <w:u w:val="single"/>
          <w:rtl/>
        </w:rPr>
        <w:t>אמר רבא</w:t>
      </w:r>
      <w:r w:rsidRPr="00C977FA">
        <w:rPr>
          <w:rFonts w:cs="Arial"/>
          <w:rtl/>
        </w:rPr>
        <w:t>: מאן חכים למישרי כי האי ג</w:t>
      </w:r>
      <w:r>
        <w:rPr>
          <w:rFonts w:cs="Arial"/>
          <w:rtl/>
        </w:rPr>
        <w:t>וונא</w:t>
      </w:r>
      <w:r>
        <w:rPr>
          <w:rFonts w:cs="Arial" w:hint="cs"/>
          <w:rtl/>
        </w:rPr>
        <w:t xml:space="preserve"> -</w:t>
      </w:r>
      <w:r w:rsidRPr="00C977FA">
        <w:rPr>
          <w:rFonts w:cs="Arial"/>
          <w:rtl/>
        </w:rPr>
        <w:t xml:space="preserve"> אי לאו רב חיננא בריה דרבא מפשרוניא! קסבר: כי אמר שמוא</w:t>
      </w:r>
      <w:r>
        <w:rPr>
          <w:rFonts w:cs="Arial"/>
          <w:rtl/>
        </w:rPr>
        <w:t>ל מליח הרי הוא כרותח הני מילי</w:t>
      </w:r>
      <w:r w:rsidRPr="00C977FA">
        <w:rPr>
          <w:rFonts w:cs="Arial"/>
          <w:rtl/>
        </w:rPr>
        <w:t xml:space="preserve"> היכא דאינו</w:t>
      </w:r>
      <w:r>
        <w:rPr>
          <w:rFonts w:cs="Arial"/>
          <w:rtl/>
        </w:rPr>
        <w:t xml:space="preserve"> נאכל מחמת מלחו, אבל האי כותחא הרי נאכל מחמת מלחו, והני מילי חי, אבל צלי בעי קליפה, ואי אית ביה פילי כוליה אסור, ואי מתבל בתבלין</w:t>
      </w:r>
      <w:r w:rsidRPr="00C977FA">
        <w:rPr>
          <w:rFonts w:cs="Arial"/>
          <w:rtl/>
        </w:rPr>
        <w:t xml:space="preserve"> כוליה אסור.</w:t>
      </w:r>
    </w:p>
    <w:p w14:paraId="24B33CAF" w14:textId="77777777" w:rsidR="002C39F4" w:rsidRDefault="002C39F4" w:rsidP="002C39F4">
      <w:pPr>
        <w:rPr>
          <w:rFonts w:cs="Arial"/>
          <w:u w:val="single"/>
          <w:rtl/>
        </w:rPr>
      </w:pPr>
      <w:r w:rsidRPr="00661008">
        <w:rPr>
          <w:rFonts w:cs="Arial" w:hint="cs"/>
          <w:u w:val="single"/>
          <w:rtl/>
        </w:rPr>
        <w:t xml:space="preserve">בר גוזלא </w:t>
      </w:r>
      <w:r>
        <w:rPr>
          <w:rFonts w:cs="Arial" w:hint="cs"/>
          <w:u w:val="single"/>
          <w:rtl/>
        </w:rPr>
        <w:t>שנפל לכותח:</w:t>
      </w:r>
    </w:p>
    <w:p w14:paraId="0B2BCDF5" w14:textId="77777777" w:rsidR="002C39F4" w:rsidRPr="00E97BBF" w:rsidRDefault="002C39F4" w:rsidP="002C39F4">
      <w:pPr>
        <w:ind w:left="360"/>
        <w:rPr>
          <w:rFonts w:cs="Arial"/>
          <w:u w:val="dotted"/>
        </w:rPr>
      </w:pPr>
      <w:r w:rsidRPr="00E97BBF">
        <w:rPr>
          <w:rFonts w:cs="Arial" w:hint="cs"/>
          <w:u w:val="dotted"/>
          <w:rtl/>
        </w:rPr>
        <w:t>"אי אית ביה פילי כוליה אסור"</w:t>
      </w:r>
      <w:r>
        <w:rPr>
          <w:rFonts w:cs="Arial" w:hint="cs"/>
          <w:u w:val="dotted"/>
          <w:rtl/>
        </w:rPr>
        <w:t xml:space="preserve"> </w:t>
      </w:r>
      <w:r>
        <w:rPr>
          <w:rFonts w:cs="Arial"/>
          <w:u w:val="dotted"/>
          <w:rtl/>
        </w:rPr>
        <w:t>–</w:t>
      </w:r>
      <w:r>
        <w:rPr>
          <w:rFonts w:cs="Arial" w:hint="cs"/>
          <w:u w:val="dotted"/>
          <w:rtl/>
        </w:rPr>
        <w:t xml:space="preserve"> במה מדובר</w:t>
      </w:r>
      <w:r w:rsidRPr="00E97BBF">
        <w:rPr>
          <w:rFonts w:cs="Arial" w:hint="cs"/>
          <w:u w:val="dotted"/>
          <w:rtl/>
        </w:rPr>
        <w:t>:</w:t>
      </w:r>
    </w:p>
    <w:p w14:paraId="2A88F550" w14:textId="77777777" w:rsidR="002C39F4" w:rsidRDefault="002C39F4" w:rsidP="0032102C">
      <w:pPr>
        <w:pStyle w:val="a8"/>
        <w:numPr>
          <w:ilvl w:val="0"/>
          <w:numId w:val="167"/>
        </w:numPr>
        <w:rPr>
          <w:rFonts w:cs="Arial"/>
        </w:rPr>
      </w:pPr>
      <w:r w:rsidRPr="00632A5F">
        <w:rPr>
          <w:rFonts w:cs="Arial"/>
          <w:rtl/>
        </w:rPr>
        <w:t>רש"י</w:t>
      </w:r>
      <w:r>
        <w:rPr>
          <w:rFonts w:cs="Arial" w:hint="cs"/>
          <w:rtl/>
        </w:rPr>
        <w:t xml:space="preserve"> רשב"א </w:t>
      </w:r>
      <w:r w:rsidRPr="00D36BC7">
        <w:rPr>
          <w:rFonts w:cs="Arial"/>
          <w:rtl/>
        </w:rPr>
        <w:t>ר"ן</w:t>
      </w:r>
      <w:r w:rsidRPr="00F810F4">
        <w:rPr>
          <w:rFonts w:cs="Arial" w:hint="cs"/>
          <w:rtl/>
        </w:rPr>
        <w:t xml:space="preserve"> </w:t>
      </w:r>
      <w:r>
        <w:rPr>
          <w:rFonts w:cs="Arial" w:hint="cs"/>
          <w:rtl/>
        </w:rPr>
        <w:t>והגשע"ד</w:t>
      </w:r>
      <w:r>
        <w:rPr>
          <w:rStyle w:val="a7"/>
          <w:rFonts w:cs="Arial"/>
          <w:rtl/>
        </w:rPr>
        <w:footnoteReference w:id="1360"/>
      </w:r>
      <w:r>
        <w:rPr>
          <w:rFonts w:cs="Arial" w:hint="cs"/>
          <w:rtl/>
        </w:rPr>
        <w:t xml:space="preserve">- </w:t>
      </w:r>
      <w:r>
        <w:rPr>
          <w:rFonts w:cs="Arial"/>
          <w:rtl/>
        </w:rPr>
        <w:t>בצלי רותח</w:t>
      </w:r>
      <w:r>
        <w:rPr>
          <w:rFonts w:cs="Arial" w:hint="cs"/>
          <w:rtl/>
        </w:rPr>
        <w:t>,</w:t>
      </w:r>
      <w:r>
        <w:rPr>
          <w:rFonts w:cs="Arial"/>
          <w:rtl/>
        </w:rPr>
        <w:t xml:space="preserve"> דאגב פילי</w:t>
      </w:r>
      <w:r w:rsidRPr="00D36BC7">
        <w:rPr>
          <w:rFonts w:cs="Arial"/>
          <w:rtl/>
        </w:rPr>
        <w:t xml:space="preserve"> בלע</w:t>
      </w:r>
      <w:r>
        <w:rPr>
          <w:rStyle w:val="a7"/>
          <w:rFonts w:cs="Arial"/>
          <w:rtl/>
        </w:rPr>
        <w:footnoteReference w:id="1361"/>
      </w:r>
      <w:r>
        <w:rPr>
          <w:rFonts w:cs="Arial" w:hint="cs"/>
          <w:rtl/>
        </w:rPr>
        <w:t>.</w:t>
      </w:r>
      <w:r w:rsidRPr="00156F35">
        <w:rPr>
          <w:rFonts w:cs="Arial"/>
          <w:color w:val="E36C0A" w:themeColor="accent6" w:themeShade="BF"/>
          <w:rtl/>
        </w:rPr>
        <w:t xml:space="preserve"> </w:t>
      </w:r>
      <w:r w:rsidRPr="00156F35">
        <w:rPr>
          <w:rFonts w:hint="cs"/>
          <w:color w:val="E36C0A" w:themeColor="accent6" w:themeShade="BF"/>
          <w:rtl/>
        </w:rPr>
        <w:t>(וכ"פ בשו"ע)</w:t>
      </w:r>
      <w:r>
        <w:rPr>
          <w:rFonts w:cs="Arial" w:hint="cs"/>
          <w:rtl/>
        </w:rPr>
        <w:t xml:space="preserve"> </w:t>
      </w:r>
    </w:p>
    <w:p w14:paraId="6337D893" w14:textId="77777777" w:rsidR="002C39F4" w:rsidRDefault="002C39F4" w:rsidP="0032102C">
      <w:pPr>
        <w:pStyle w:val="a8"/>
        <w:numPr>
          <w:ilvl w:val="0"/>
          <w:numId w:val="167"/>
        </w:numPr>
        <w:rPr>
          <w:rFonts w:cs="Arial"/>
        </w:rPr>
      </w:pPr>
      <w:r w:rsidRPr="00E97BBF">
        <w:rPr>
          <w:rFonts w:cs="Arial"/>
          <w:rtl/>
        </w:rPr>
        <w:t>א</w:t>
      </w:r>
      <w:r>
        <w:rPr>
          <w:rFonts w:cs="Arial" w:hint="cs"/>
          <w:rtl/>
        </w:rPr>
        <w:t>ו</w:t>
      </w:r>
      <w:r>
        <w:rPr>
          <w:rFonts w:cs="Arial"/>
          <w:rtl/>
        </w:rPr>
        <w:t>"ז</w:t>
      </w:r>
      <w:r>
        <w:rPr>
          <w:rFonts w:cs="Arial" w:hint="cs"/>
          <w:rtl/>
        </w:rPr>
        <w:t xml:space="preserve"> </w:t>
      </w:r>
      <w:r>
        <w:rPr>
          <w:rFonts w:cs="Arial"/>
          <w:rtl/>
        </w:rPr>
        <w:t xml:space="preserve">סמ"ק </w:t>
      </w:r>
      <w:r>
        <w:rPr>
          <w:rFonts w:cs="Arial" w:hint="cs"/>
          <w:rtl/>
        </w:rPr>
        <w:t>ו</w:t>
      </w:r>
      <w:r>
        <w:rPr>
          <w:rFonts w:cs="Arial"/>
          <w:rtl/>
        </w:rPr>
        <w:t>ר"</w:t>
      </w:r>
      <w:r>
        <w:rPr>
          <w:rFonts w:cs="Arial" w:hint="cs"/>
          <w:rtl/>
        </w:rPr>
        <w:t>פ</w:t>
      </w:r>
      <w:r>
        <w:rPr>
          <w:rStyle w:val="a7"/>
          <w:rFonts w:cs="Arial"/>
          <w:rtl/>
        </w:rPr>
        <w:footnoteReference w:id="1362"/>
      </w:r>
      <w:r>
        <w:rPr>
          <w:rFonts w:cs="Arial" w:hint="cs"/>
          <w:rtl/>
        </w:rPr>
        <w:t>- ב</w:t>
      </w:r>
      <w:r w:rsidRPr="00E97BBF">
        <w:rPr>
          <w:rFonts w:cs="Arial"/>
          <w:rtl/>
        </w:rPr>
        <w:t>צלי צונן</w:t>
      </w:r>
      <w:r>
        <w:rPr>
          <w:rFonts w:cs="Arial" w:hint="cs"/>
          <w:rtl/>
        </w:rPr>
        <w:t>,</w:t>
      </w:r>
      <w:r w:rsidRPr="00E97BBF">
        <w:rPr>
          <w:rFonts w:cs="Arial"/>
          <w:rtl/>
        </w:rPr>
        <w:t xml:space="preserve"> אבל בחי</w:t>
      </w:r>
      <w:r>
        <w:rPr>
          <w:rFonts w:cs="Arial" w:hint="cs"/>
          <w:rtl/>
        </w:rPr>
        <w:t xml:space="preserve"> לא נאסר אלא כדי קליפה.</w:t>
      </w:r>
      <w:r w:rsidRPr="00E97BBF">
        <w:rPr>
          <w:rFonts w:cs="Arial"/>
          <w:rtl/>
        </w:rPr>
        <w:t xml:space="preserve"> </w:t>
      </w:r>
      <w:r w:rsidRPr="00661008">
        <w:rPr>
          <w:rFonts w:cs="Arial"/>
          <w:rtl/>
        </w:rPr>
        <w:t xml:space="preserve"> </w:t>
      </w:r>
      <w:r>
        <w:rPr>
          <w:rFonts w:cs="Arial" w:hint="cs"/>
          <w:rtl/>
        </w:rPr>
        <w:t xml:space="preserve">  </w:t>
      </w:r>
    </w:p>
    <w:p w14:paraId="707C696C" w14:textId="77777777" w:rsidR="002C39F4" w:rsidRDefault="002C39F4" w:rsidP="0032102C">
      <w:pPr>
        <w:pStyle w:val="a8"/>
        <w:numPr>
          <w:ilvl w:val="0"/>
          <w:numId w:val="167"/>
        </w:numPr>
        <w:rPr>
          <w:rFonts w:cs="Arial"/>
        </w:rPr>
      </w:pPr>
      <w:r w:rsidRPr="00661008">
        <w:rPr>
          <w:rFonts w:cs="Arial"/>
          <w:rtl/>
        </w:rPr>
        <w:t>ס</w:t>
      </w:r>
      <w:r w:rsidRPr="00661008">
        <w:rPr>
          <w:rFonts w:cs="Arial" w:hint="cs"/>
          <w:rtl/>
        </w:rPr>
        <w:t>ה"ת</w:t>
      </w:r>
      <w:r w:rsidRPr="00661008">
        <w:rPr>
          <w:rFonts w:cs="Arial"/>
          <w:rtl/>
        </w:rPr>
        <w:t xml:space="preserve"> </w:t>
      </w:r>
      <w:r w:rsidRPr="00661008">
        <w:rPr>
          <w:rFonts w:cs="Arial"/>
          <w:sz w:val="16"/>
          <w:szCs w:val="16"/>
          <w:rtl/>
        </w:rPr>
        <w:t>(סי' סג</w:t>
      </w:r>
      <w:r w:rsidRPr="00661008">
        <w:rPr>
          <w:rFonts w:cs="Arial" w:hint="cs"/>
          <w:sz w:val="16"/>
          <w:szCs w:val="16"/>
          <w:rtl/>
        </w:rPr>
        <w:t>, הביאו הרא"ש</w:t>
      </w:r>
      <w:r w:rsidRPr="00661008">
        <w:rPr>
          <w:rFonts w:cs="Arial"/>
          <w:sz w:val="16"/>
          <w:szCs w:val="16"/>
          <w:rtl/>
        </w:rPr>
        <w:t>)</w:t>
      </w:r>
      <w:r>
        <w:rPr>
          <w:rFonts w:cs="Arial" w:hint="cs"/>
          <w:rtl/>
        </w:rPr>
        <w:t xml:space="preserve"> רא"ש </w:t>
      </w:r>
      <w:r>
        <w:rPr>
          <w:rFonts w:cs="Arial" w:hint="cs"/>
          <w:sz w:val="16"/>
          <w:szCs w:val="16"/>
          <w:rtl/>
        </w:rPr>
        <w:t>(להב' הטור</w:t>
      </w:r>
      <w:r>
        <w:rPr>
          <w:rStyle w:val="a7"/>
          <w:rFonts w:cs="Arial"/>
          <w:rtl/>
        </w:rPr>
        <w:footnoteReference w:id="1363"/>
      </w:r>
      <w:r>
        <w:rPr>
          <w:rFonts w:cs="Arial" w:hint="cs"/>
          <w:sz w:val="16"/>
          <w:szCs w:val="16"/>
          <w:rtl/>
        </w:rPr>
        <w:t>)</w:t>
      </w:r>
      <w:r>
        <w:rPr>
          <w:rFonts w:cs="Arial" w:hint="cs"/>
          <w:rtl/>
        </w:rPr>
        <w:t xml:space="preserve"> שע"ד</w:t>
      </w:r>
      <w:r>
        <w:rPr>
          <w:rFonts w:cs="Arial" w:hint="cs"/>
          <w:sz w:val="16"/>
          <w:szCs w:val="16"/>
          <w:rtl/>
        </w:rPr>
        <w:t xml:space="preserve"> (סי' כב) </w:t>
      </w:r>
      <w:r>
        <w:rPr>
          <w:rFonts w:cs="Arial" w:hint="cs"/>
          <w:rtl/>
        </w:rPr>
        <w:t>וטור- בחי.</w:t>
      </w:r>
    </w:p>
    <w:p w14:paraId="6FE55542" w14:textId="77777777" w:rsidR="002C39F4" w:rsidRPr="0018637E" w:rsidRDefault="002C39F4" w:rsidP="002C39F4">
      <w:pPr>
        <w:ind w:left="360"/>
        <w:rPr>
          <w:rFonts w:cs="Arial"/>
          <w:u w:val="single"/>
        </w:rPr>
      </w:pPr>
      <w:r w:rsidRPr="00E97BBF">
        <w:rPr>
          <w:rFonts w:cs="Arial" w:hint="cs"/>
          <w:u w:val="dotted"/>
          <w:rtl/>
        </w:rPr>
        <w:t>"</w:t>
      </w:r>
      <w:r w:rsidRPr="00E97BBF">
        <w:rPr>
          <w:rFonts w:cs="Arial"/>
          <w:u w:val="dotted"/>
          <w:rtl/>
        </w:rPr>
        <w:t>אי מתבל בתבלין</w:t>
      </w:r>
      <w:r w:rsidRPr="00E97BBF">
        <w:rPr>
          <w:rFonts w:cs="Arial" w:hint="cs"/>
          <w:sz w:val="16"/>
          <w:szCs w:val="16"/>
          <w:u w:val="dotted"/>
          <w:rtl/>
        </w:rPr>
        <w:t xml:space="preserve"> </w:t>
      </w:r>
      <w:r w:rsidRPr="00E97BBF">
        <w:rPr>
          <w:rFonts w:cs="Arial" w:hint="cs"/>
          <w:sz w:val="14"/>
          <w:szCs w:val="14"/>
          <w:u w:val="dotted"/>
          <w:rtl/>
        </w:rPr>
        <w:t>{</w:t>
      </w:r>
      <w:r w:rsidRPr="00E97BBF">
        <w:rPr>
          <w:rFonts w:cs="Arial"/>
          <w:sz w:val="14"/>
          <w:szCs w:val="14"/>
          <w:u w:val="dotted"/>
          <w:rtl/>
        </w:rPr>
        <w:t>אע</w:t>
      </w:r>
      <w:r w:rsidRPr="00E97BBF">
        <w:rPr>
          <w:rFonts w:cs="Arial" w:hint="cs"/>
          <w:sz w:val="14"/>
          <w:szCs w:val="14"/>
          <w:u w:val="dotted"/>
          <w:rtl/>
        </w:rPr>
        <w:t>"</w:t>
      </w:r>
      <w:r w:rsidRPr="00E97BBF">
        <w:rPr>
          <w:rFonts w:cs="Arial"/>
          <w:sz w:val="14"/>
          <w:szCs w:val="14"/>
          <w:u w:val="dotted"/>
          <w:rtl/>
        </w:rPr>
        <w:t>ג דלית ליה פילי</w:t>
      </w:r>
      <w:r w:rsidRPr="00E97BBF">
        <w:rPr>
          <w:rFonts w:cs="Arial" w:hint="cs"/>
          <w:sz w:val="14"/>
          <w:szCs w:val="14"/>
          <w:u w:val="dotted"/>
          <w:rtl/>
        </w:rPr>
        <w:t>}</w:t>
      </w:r>
      <w:r w:rsidRPr="00E97BBF">
        <w:rPr>
          <w:rFonts w:cs="Arial"/>
          <w:u w:val="dotted"/>
          <w:rtl/>
        </w:rPr>
        <w:t xml:space="preserve"> כוליה אסור</w:t>
      </w:r>
      <w:r w:rsidRPr="00E97BBF">
        <w:rPr>
          <w:rFonts w:cs="Arial" w:hint="cs"/>
          <w:u w:val="dotted"/>
          <w:rtl/>
        </w:rPr>
        <w:t>"</w:t>
      </w:r>
      <w:r>
        <w:rPr>
          <w:rFonts w:cs="Arial" w:hint="cs"/>
          <w:u w:val="dotted"/>
          <w:rtl/>
        </w:rPr>
        <w:t xml:space="preserve"> </w:t>
      </w:r>
      <w:r>
        <w:rPr>
          <w:rFonts w:cs="Arial"/>
          <w:u w:val="dotted"/>
          <w:rtl/>
        </w:rPr>
        <w:t>–</w:t>
      </w:r>
      <w:r>
        <w:rPr>
          <w:rFonts w:cs="Arial" w:hint="cs"/>
          <w:u w:val="dotted"/>
          <w:rtl/>
        </w:rPr>
        <w:t xml:space="preserve"> במה מדובר</w:t>
      </w:r>
      <w:r w:rsidRPr="00E97BBF">
        <w:rPr>
          <w:rFonts w:cs="Arial" w:hint="cs"/>
          <w:u w:val="dotted"/>
          <w:rtl/>
        </w:rPr>
        <w:t>:</w:t>
      </w:r>
      <w:r w:rsidRPr="00F810F4">
        <w:rPr>
          <w:rFonts w:cs="Arial"/>
          <w:sz w:val="16"/>
          <w:szCs w:val="16"/>
          <w:rtl/>
        </w:rPr>
        <w:t xml:space="preserve"> </w:t>
      </w:r>
      <w:r>
        <w:rPr>
          <w:rFonts w:cs="Arial" w:hint="cs"/>
          <w:sz w:val="16"/>
          <w:szCs w:val="16"/>
          <w:rtl/>
        </w:rPr>
        <w:t xml:space="preserve">  </w:t>
      </w:r>
      <w:r w:rsidRPr="00F810F4">
        <w:rPr>
          <w:rFonts w:cs="Arial"/>
          <w:sz w:val="16"/>
          <w:szCs w:val="16"/>
          <w:rtl/>
        </w:rPr>
        <w:t>(</w:t>
      </w:r>
      <w:r w:rsidRPr="00F810F4">
        <w:rPr>
          <w:rFonts w:cs="Arial" w:hint="cs"/>
          <w:sz w:val="16"/>
          <w:szCs w:val="16"/>
          <w:rtl/>
        </w:rPr>
        <w:t xml:space="preserve">ב"י ודרכ"מ [אות </w:t>
      </w:r>
      <w:r w:rsidRPr="00F810F4">
        <w:rPr>
          <w:rFonts w:cs="Arial"/>
          <w:sz w:val="16"/>
          <w:szCs w:val="16"/>
          <w:rtl/>
        </w:rPr>
        <w:t>ז</w:t>
      </w:r>
      <w:r w:rsidRPr="00F810F4">
        <w:rPr>
          <w:rFonts w:cs="Arial" w:hint="cs"/>
          <w:sz w:val="16"/>
          <w:szCs w:val="16"/>
          <w:rtl/>
        </w:rPr>
        <w:t>]</w:t>
      </w:r>
      <w:r w:rsidRPr="00F810F4">
        <w:rPr>
          <w:rFonts w:cs="Arial"/>
          <w:sz w:val="16"/>
          <w:szCs w:val="16"/>
          <w:rtl/>
        </w:rPr>
        <w:t>)</w:t>
      </w:r>
    </w:p>
    <w:p w14:paraId="4C04BD16" w14:textId="77777777" w:rsidR="002C39F4" w:rsidRDefault="002C39F4" w:rsidP="0032102C">
      <w:pPr>
        <w:pStyle w:val="a8"/>
        <w:numPr>
          <w:ilvl w:val="0"/>
          <w:numId w:val="167"/>
        </w:numPr>
        <w:rPr>
          <w:rFonts w:cs="Arial"/>
        </w:rPr>
      </w:pPr>
      <w:r w:rsidRPr="00632A5F">
        <w:rPr>
          <w:rFonts w:cs="Arial"/>
          <w:rtl/>
        </w:rPr>
        <w:t>רש"י</w:t>
      </w:r>
      <w:r>
        <w:rPr>
          <w:rFonts w:cs="Arial" w:hint="cs"/>
          <w:rtl/>
        </w:rPr>
        <w:t xml:space="preserve"> רשב"א </w:t>
      </w:r>
      <w:r w:rsidRPr="00632A5F">
        <w:rPr>
          <w:rFonts w:cs="Arial"/>
          <w:rtl/>
        </w:rPr>
        <w:t>ר"ן</w:t>
      </w:r>
      <w:r>
        <w:rPr>
          <w:rStyle w:val="a7"/>
          <w:rFonts w:cs="Arial"/>
          <w:rtl/>
        </w:rPr>
        <w:footnoteReference w:id="1364"/>
      </w:r>
      <w:r w:rsidRPr="00632A5F">
        <w:rPr>
          <w:rFonts w:cs="Arial" w:hint="cs"/>
          <w:rtl/>
        </w:rPr>
        <w:t>-</w:t>
      </w:r>
      <w:r>
        <w:rPr>
          <w:rFonts w:cs="Arial" w:hint="cs"/>
          <w:rtl/>
        </w:rPr>
        <w:t xml:space="preserve"> בצלי </w:t>
      </w:r>
      <w:r w:rsidRPr="00632A5F">
        <w:rPr>
          <w:rFonts w:cs="Arial"/>
          <w:rtl/>
        </w:rPr>
        <w:t xml:space="preserve">רותח </w:t>
      </w:r>
      <w:r>
        <w:rPr>
          <w:rFonts w:cs="Arial" w:hint="cs"/>
          <w:sz w:val="16"/>
          <w:szCs w:val="16"/>
          <w:rtl/>
        </w:rPr>
        <w:t xml:space="preserve">(ואסור </w:t>
      </w:r>
      <w:r w:rsidRPr="00D80107">
        <w:rPr>
          <w:rFonts w:cs="Arial"/>
          <w:sz w:val="16"/>
          <w:szCs w:val="16"/>
          <w:rtl/>
        </w:rPr>
        <w:t>לפי שהתבלין מושכים את הכמכא ומבליעים אותו בכולו</w:t>
      </w:r>
      <w:r>
        <w:rPr>
          <w:rFonts w:cs="Arial" w:hint="cs"/>
          <w:sz w:val="16"/>
          <w:szCs w:val="16"/>
          <w:rtl/>
        </w:rPr>
        <w:t>)</w:t>
      </w:r>
      <w:r>
        <w:rPr>
          <w:rFonts w:cs="Arial" w:hint="cs"/>
          <w:rtl/>
        </w:rPr>
        <w:t>.</w:t>
      </w:r>
      <w:r w:rsidRPr="00156F35">
        <w:rPr>
          <w:rFonts w:cs="Arial"/>
          <w:color w:val="E36C0A" w:themeColor="accent6" w:themeShade="BF"/>
          <w:rtl/>
        </w:rPr>
        <w:t xml:space="preserve"> </w:t>
      </w:r>
      <w:r w:rsidRPr="00156F35">
        <w:rPr>
          <w:rFonts w:hint="cs"/>
          <w:color w:val="E36C0A" w:themeColor="accent6" w:themeShade="BF"/>
          <w:rtl/>
        </w:rPr>
        <w:t>(וכ"פ בשו"ע)</w:t>
      </w:r>
      <w:r>
        <w:rPr>
          <w:rFonts w:cs="Arial" w:hint="cs"/>
          <w:rtl/>
        </w:rPr>
        <w:t xml:space="preserve">  </w:t>
      </w:r>
    </w:p>
    <w:p w14:paraId="6CD6D56C" w14:textId="77777777" w:rsidR="002C39F4" w:rsidRDefault="002C39F4" w:rsidP="0032102C">
      <w:pPr>
        <w:pStyle w:val="a8"/>
        <w:numPr>
          <w:ilvl w:val="0"/>
          <w:numId w:val="167"/>
        </w:numPr>
        <w:rPr>
          <w:rFonts w:cs="Arial"/>
        </w:rPr>
      </w:pPr>
      <w:r w:rsidRPr="00E97BBF">
        <w:rPr>
          <w:rFonts w:cs="Arial"/>
          <w:rtl/>
        </w:rPr>
        <w:t>א</w:t>
      </w:r>
      <w:r>
        <w:rPr>
          <w:rFonts w:cs="Arial" w:hint="cs"/>
          <w:rtl/>
        </w:rPr>
        <w:t>ו</w:t>
      </w:r>
      <w:r>
        <w:rPr>
          <w:rFonts w:cs="Arial"/>
          <w:rtl/>
        </w:rPr>
        <w:t>"ז</w:t>
      </w:r>
      <w:r>
        <w:rPr>
          <w:rFonts w:cs="Arial" w:hint="cs"/>
          <w:rtl/>
        </w:rPr>
        <w:t xml:space="preserve"> </w:t>
      </w:r>
      <w:r>
        <w:rPr>
          <w:rFonts w:cs="Arial"/>
          <w:rtl/>
        </w:rPr>
        <w:t xml:space="preserve">סמ"ק </w:t>
      </w:r>
      <w:r>
        <w:rPr>
          <w:rFonts w:cs="Arial" w:hint="cs"/>
          <w:rtl/>
        </w:rPr>
        <w:t>ו</w:t>
      </w:r>
      <w:r>
        <w:rPr>
          <w:rFonts w:cs="Arial"/>
          <w:rtl/>
        </w:rPr>
        <w:t>ר"</w:t>
      </w:r>
      <w:r>
        <w:rPr>
          <w:rFonts w:cs="Arial" w:hint="cs"/>
          <w:rtl/>
        </w:rPr>
        <w:t>פ</w:t>
      </w:r>
      <w:r>
        <w:rPr>
          <w:rStyle w:val="a7"/>
          <w:rFonts w:cs="Arial"/>
          <w:rtl/>
        </w:rPr>
        <w:footnoteReference w:id="1365"/>
      </w:r>
      <w:r>
        <w:rPr>
          <w:rFonts w:cs="Arial" w:hint="cs"/>
          <w:rtl/>
        </w:rPr>
        <w:t>- ב</w:t>
      </w:r>
      <w:r w:rsidRPr="00E97BBF">
        <w:rPr>
          <w:rFonts w:cs="Arial"/>
          <w:rtl/>
        </w:rPr>
        <w:t>צלי צונן</w:t>
      </w:r>
      <w:r>
        <w:rPr>
          <w:rFonts w:cs="Arial" w:hint="cs"/>
          <w:rtl/>
        </w:rPr>
        <w:t>,</w:t>
      </w:r>
      <w:r w:rsidRPr="00E97BBF">
        <w:rPr>
          <w:rFonts w:cs="Arial"/>
          <w:rtl/>
        </w:rPr>
        <w:t xml:space="preserve"> אבל בחי</w:t>
      </w:r>
      <w:r>
        <w:rPr>
          <w:rFonts w:cs="Arial" w:hint="cs"/>
          <w:rtl/>
        </w:rPr>
        <w:t xml:space="preserve"> לא נאסר אלא כדי קליפה.</w:t>
      </w:r>
      <w:r w:rsidRPr="00E97BBF">
        <w:rPr>
          <w:rFonts w:cs="Arial"/>
          <w:rtl/>
        </w:rPr>
        <w:t xml:space="preserve"> </w:t>
      </w:r>
      <w:r w:rsidRPr="00661008">
        <w:rPr>
          <w:rFonts w:cs="Arial"/>
          <w:rtl/>
        </w:rPr>
        <w:t xml:space="preserve"> </w:t>
      </w:r>
      <w:r>
        <w:rPr>
          <w:rFonts w:cs="Arial" w:hint="cs"/>
          <w:rtl/>
        </w:rPr>
        <w:t xml:space="preserve">  </w:t>
      </w:r>
    </w:p>
    <w:p w14:paraId="08C687AC" w14:textId="77777777" w:rsidR="002C39F4" w:rsidRDefault="002C39F4" w:rsidP="0032102C">
      <w:pPr>
        <w:pStyle w:val="a8"/>
        <w:numPr>
          <w:ilvl w:val="0"/>
          <w:numId w:val="167"/>
        </w:numPr>
        <w:rPr>
          <w:rFonts w:cs="Arial"/>
        </w:rPr>
      </w:pPr>
      <w:r>
        <w:rPr>
          <w:rFonts w:cs="Arial" w:hint="cs"/>
          <w:rtl/>
        </w:rPr>
        <w:t xml:space="preserve">טור- בחי. </w:t>
      </w:r>
    </w:p>
    <w:p w14:paraId="434F99A4" w14:textId="77777777" w:rsidR="002C39F4" w:rsidRPr="00E97BBF" w:rsidRDefault="002C39F4" w:rsidP="002C39F4">
      <w:pPr>
        <w:ind w:left="360"/>
        <w:rPr>
          <w:rFonts w:cs="Arial"/>
          <w:u w:val="dotted"/>
          <w:rtl/>
        </w:rPr>
      </w:pPr>
      <w:r>
        <w:rPr>
          <w:rFonts w:cs="Arial" w:hint="cs"/>
          <w:u w:val="dotted"/>
          <w:rtl/>
        </w:rPr>
        <w:t xml:space="preserve">לרש"י וסיעתו - </w:t>
      </w:r>
      <w:r w:rsidRPr="00E97BBF">
        <w:rPr>
          <w:rFonts w:cs="Arial" w:hint="cs"/>
          <w:u w:val="dotted"/>
          <w:rtl/>
        </w:rPr>
        <w:t xml:space="preserve">מה </w:t>
      </w:r>
      <w:r>
        <w:rPr>
          <w:rFonts w:cs="Arial" w:hint="cs"/>
          <w:u w:val="dotted"/>
          <w:rtl/>
        </w:rPr>
        <w:t>ה</w:t>
      </w:r>
      <w:r w:rsidRPr="00E97BBF">
        <w:rPr>
          <w:rFonts w:cs="Arial" w:hint="cs"/>
          <w:u w:val="dotted"/>
          <w:rtl/>
        </w:rPr>
        <w:t xml:space="preserve">דין אם </w:t>
      </w:r>
      <w:r>
        <w:rPr>
          <w:rFonts w:cs="Arial" w:hint="cs"/>
          <w:u w:val="dotted"/>
          <w:rtl/>
        </w:rPr>
        <w:t>ה</w:t>
      </w:r>
      <w:r w:rsidRPr="00E97BBF">
        <w:rPr>
          <w:rFonts w:cs="Arial" w:hint="cs"/>
          <w:u w:val="dotted"/>
          <w:rtl/>
        </w:rPr>
        <w:t>צלי צונן:</w:t>
      </w:r>
    </w:p>
    <w:p w14:paraId="5FC5FF58" w14:textId="77777777" w:rsidR="002C39F4" w:rsidRPr="00661008" w:rsidRDefault="002C39F4" w:rsidP="002C39F4">
      <w:pPr>
        <w:pStyle w:val="a8"/>
        <w:numPr>
          <w:ilvl w:val="0"/>
          <w:numId w:val="35"/>
        </w:numPr>
        <w:rPr>
          <w:rFonts w:cs="Arial"/>
          <w:rtl/>
        </w:rPr>
      </w:pPr>
      <w:r w:rsidRPr="00661008">
        <w:rPr>
          <w:rFonts w:cs="Arial"/>
          <w:rtl/>
        </w:rPr>
        <w:t>רא"ש</w:t>
      </w:r>
      <w:r w:rsidRPr="001B702C">
        <w:rPr>
          <w:rFonts w:cs="Arial"/>
          <w:rtl/>
        </w:rPr>
        <w:t xml:space="preserve"> </w:t>
      </w:r>
      <w:r>
        <w:rPr>
          <w:rFonts w:cs="Arial"/>
          <w:rtl/>
        </w:rPr>
        <w:t>הגה</w:t>
      </w:r>
      <w:r>
        <w:rPr>
          <w:rFonts w:cs="Arial" w:hint="cs"/>
          <w:rtl/>
        </w:rPr>
        <w:t>"</w:t>
      </w:r>
      <w:r>
        <w:rPr>
          <w:rFonts w:cs="Arial"/>
          <w:rtl/>
        </w:rPr>
        <w:t>מ</w:t>
      </w:r>
      <w:r>
        <w:rPr>
          <w:rFonts w:cs="Arial" w:hint="cs"/>
          <w:rtl/>
        </w:rPr>
        <w:t xml:space="preserve"> ושע"ד</w:t>
      </w:r>
      <w:r>
        <w:rPr>
          <w:rStyle w:val="a7"/>
          <w:rFonts w:cs="Arial"/>
          <w:rtl/>
        </w:rPr>
        <w:footnoteReference w:id="1366"/>
      </w:r>
      <w:r w:rsidRPr="00661008">
        <w:rPr>
          <w:rFonts w:cs="Arial" w:hint="cs"/>
          <w:rtl/>
        </w:rPr>
        <w:t xml:space="preserve">- </w:t>
      </w:r>
      <w:r w:rsidRPr="00661008">
        <w:rPr>
          <w:rFonts w:cs="Arial"/>
          <w:rtl/>
        </w:rPr>
        <w:t xml:space="preserve">אפילו צונן </w:t>
      </w:r>
      <w:r>
        <w:rPr>
          <w:rFonts w:cs="Arial" w:hint="cs"/>
          <w:rtl/>
        </w:rPr>
        <w:t xml:space="preserve">בעי קליפה, </w:t>
      </w:r>
      <w:r w:rsidRPr="00661008">
        <w:rPr>
          <w:rFonts w:cs="Arial"/>
          <w:rtl/>
        </w:rPr>
        <w:t xml:space="preserve">דע"י צלייה רכיך הוא ובולע. </w:t>
      </w:r>
      <w:r>
        <w:rPr>
          <w:rFonts w:cs="Arial" w:hint="cs"/>
          <w:rtl/>
        </w:rPr>
        <w:t xml:space="preserve"> </w:t>
      </w:r>
    </w:p>
    <w:p w14:paraId="49E1B9D8" w14:textId="77777777" w:rsidR="002C39F4" w:rsidRPr="001B3724" w:rsidRDefault="002C39F4" w:rsidP="002C39F4">
      <w:pPr>
        <w:pStyle w:val="a8"/>
        <w:numPr>
          <w:ilvl w:val="0"/>
          <w:numId w:val="35"/>
        </w:numPr>
        <w:rPr>
          <w:rFonts w:cs="Arial"/>
        </w:rPr>
      </w:pPr>
      <w:r w:rsidRPr="00632A5F">
        <w:rPr>
          <w:rFonts w:cs="Arial"/>
          <w:rtl/>
        </w:rPr>
        <w:t>ראב</w:t>
      </w:r>
      <w:r>
        <w:rPr>
          <w:rFonts w:cs="Arial"/>
          <w:rtl/>
        </w:rPr>
        <w:t>"ד</w:t>
      </w:r>
      <w:r>
        <w:rPr>
          <w:rFonts w:cs="Arial" w:hint="cs"/>
          <w:rtl/>
        </w:rPr>
        <w:t xml:space="preserve"> רשב"א ו</w:t>
      </w:r>
      <w:r w:rsidRPr="001B3724">
        <w:rPr>
          <w:rFonts w:cs="Arial"/>
          <w:rtl/>
        </w:rPr>
        <w:t>ר"ן</w:t>
      </w:r>
      <w:r>
        <w:rPr>
          <w:rStyle w:val="a7"/>
          <w:rFonts w:cs="Arial"/>
          <w:rtl/>
        </w:rPr>
        <w:footnoteReference w:id="1367"/>
      </w:r>
      <w:r w:rsidRPr="001B3724">
        <w:rPr>
          <w:rFonts w:cs="Arial" w:hint="cs"/>
          <w:rtl/>
        </w:rPr>
        <w:t>-</w:t>
      </w:r>
      <w:r w:rsidRPr="001B3724">
        <w:rPr>
          <w:rFonts w:cs="Arial"/>
          <w:rtl/>
        </w:rPr>
        <w:t xml:space="preserve"> הרי הוא כשאר צונן דעלמא דסגי ליה בהדחה</w:t>
      </w:r>
      <w:r>
        <w:rPr>
          <w:rStyle w:val="a7"/>
          <w:rFonts w:cs="Arial"/>
          <w:rtl/>
        </w:rPr>
        <w:footnoteReference w:id="1368"/>
      </w:r>
      <w:r w:rsidRPr="001B3724">
        <w:rPr>
          <w:rFonts w:cs="Arial" w:hint="cs"/>
          <w:rtl/>
        </w:rPr>
        <w:t>.</w:t>
      </w:r>
      <w:r w:rsidRPr="00156F35">
        <w:rPr>
          <w:rFonts w:cs="Arial"/>
          <w:color w:val="E36C0A" w:themeColor="accent6" w:themeShade="BF"/>
          <w:rtl/>
        </w:rPr>
        <w:t xml:space="preserve"> </w:t>
      </w:r>
      <w:r w:rsidRPr="00156F35">
        <w:rPr>
          <w:rFonts w:hint="cs"/>
          <w:color w:val="E36C0A" w:themeColor="accent6" w:themeShade="BF"/>
          <w:rtl/>
        </w:rPr>
        <w:t>(וכ"פ בשו"ע)</w:t>
      </w:r>
    </w:p>
    <w:p w14:paraId="73A37C5E" w14:textId="77777777" w:rsidR="002C39F4" w:rsidRPr="00F810F4" w:rsidRDefault="002C39F4" w:rsidP="002C39F4">
      <w:pPr>
        <w:rPr>
          <w:rFonts w:cs="Arial"/>
          <w:u w:val="single"/>
        </w:rPr>
      </w:pPr>
      <w:r>
        <w:rPr>
          <w:rFonts w:cs="Arial" w:hint="cs"/>
          <w:u w:val="single"/>
          <w:rtl/>
        </w:rPr>
        <w:t xml:space="preserve">האם אפיה או </w:t>
      </w:r>
      <w:r w:rsidRPr="00F810F4">
        <w:rPr>
          <w:rFonts w:cs="Arial" w:hint="cs"/>
          <w:u w:val="single"/>
          <w:rtl/>
        </w:rPr>
        <w:t>ב</w:t>
      </w:r>
      <w:r>
        <w:rPr>
          <w:rFonts w:cs="Arial" w:hint="cs"/>
          <w:u w:val="single"/>
          <w:rtl/>
        </w:rPr>
        <w:t>י</w:t>
      </w:r>
      <w:r w:rsidRPr="00F810F4">
        <w:rPr>
          <w:rFonts w:cs="Arial" w:hint="cs"/>
          <w:u w:val="single"/>
          <w:rtl/>
        </w:rPr>
        <w:t>ש</w:t>
      </w:r>
      <w:r>
        <w:rPr>
          <w:rFonts w:cs="Arial" w:hint="cs"/>
          <w:u w:val="single"/>
          <w:rtl/>
        </w:rPr>
        <w:t>ו</w:t>
      </w:r>
      <w:r w:rsidRPr="00F810F4">
        <w:rPr>
          <w:rFonts w:cs="Arial" w:hint="cs"/>
          <w:u w:val="single"/>
          <w:rtl/>
        </w:rPr>
        <w:t>ל</w:t>
      </w:r>
      <w:r>
        <w:rPr>
          <w:rFonts w:cs="Arial" w:hint="cs"/>
          <w:u w:val="single"/>
          <w:rtl/>
        </w:rPr>
        <w:t xml:space="preserve"> הוי לעניין זה כצלייה</w:t>
      </w:r>
      <w:r w:rsidRPr="00F810F4">
        <w:rPr>
          <w:rFonts w:cs="Arial" w:hint="cs"/>
          <w:u w:val="single"/>
          <w:rtl/>
        </w:rPr>
        <w:t>:</w:t>
      </w:r>
      <w:r w:rsidRPr="00F810F4">
        <w:rPr>
          <w:rFonts w:cs="Arial"/>
          <w:sz w:val="16"/>
          <w:szCs w:val="16"/>
          <w:rtl/>
        </w:rPr>
        <w:t xml:space="preserve"> </w:t>
      </w:r>
      <w:r>
        <w:rPr>
          <w:rFonts w:cs="Arial" w:hint="cs"/>
          <w:sz w:val="16"/>
          <w:szCs w:val="16"/>
          <w:rtl/>
        </w:rPr>
        <w:t xml:space="preserve">   </w:t>
      </w:r>
      <w:r w:rsidRPr="00F810F4">
        <w:rPr>
          <w:rFonts w:cs="Arial"/>
          <w:sz w:val="16"/>
          <w:szCs w:val="16"/>
          <w:rtl/>
        </w:rPr>
        <w:t>(</w:t>
      </w:r>
      <w:r w:rsidRPr="00F810F4">
        <w:rPr>
          <w:rFonts w:cs="Arial" w:hint="cs"/>
          <w:sz w:val="16"/>
          <w:szCs w:val="16"/>
          <w:rtl/>
        </w:rPr>
        <w:t xml:space="preserve">ב"י ודרכ"מ [אות </w:t>
      </w:r>
      <w:r w:rsidRPr="00F810F4">
        <w:rPr>
          <w:rFonts w:cs="Arial"/>
          <w:sz w:val="16"/>
          <w:szCs w:val="16"/>
          <w:rtl/>
        </w:rPr>
        <w:t>ז</w:t>
      </w:r>
      <w:r w:rsidRPr="00F810F4">
        <w:rPr>
          <w:rFonts w:cs="Arial" w:hint="cs"/>
          <w:sz w:val="16"/>
          <w:szCs w:val="16"/>
          <w:rtl/>
        </w:rPr>
        <w:t>]</w:t>
      </w:r>
      <w:r w:rsidRPr="00F810F4">
        <w:rPr>
          <w:rFonts w:cs="Arial"/>
          <w:sz w:val="16"/>
          <w:szCs w:val="16"/>
          <w:rtl/>
        </w:rPr>
        <w:t>)</w:t>
      </w:r>
    </w:p>
    <w:p w14:paraId="61E70760" w14:textId="77777777" w:rsidR="002C39F4" w:rsidRPr="001B702C" w:rsidRDefault="002C39F4" w:rsidP="0032102C">
      <w:pPr>
        <w:pStyle w:val="a8"/>
        <w:numPr>
          <w:ilvl w:val="0"/>
          <w:numId w:val="167"/>
        </w:numPr>
        <w:rPr>
          <w:rFonts w:cs="Arial"/>
          <w:rtl/>
        </w:rPr>
      </w:pPr>
      <w:r>
        <w:rPr>
          <w:rFonts w:cs="Arial"/>
          <w:rtl/>
        </w:rPr>
        <w:t>מהרא"י</w:t>
      </w:r>
      <w:r>
        <w:rPr>
          <w:rFonts w:cs="Arial" w:hint="cs"/>
          <w:rtl/>
        </w:rPr>
        <w:t xml:space="preserve"> </w:t>
      </w:r>
      <w:r w:rsidRPr="001B702C">
        <w:rPr>
          <w:rFonts w:cs="Arial"/>
          <w:sz w:val="14"/>
          <w:szCs w:val="14"/>
          <w:rtl/>
        </w:rPr>
        <w:t>(ב</w:t>
      </w:r>
      <w:r w:rsidRPr="001B702C">
        <w:rPr>
          <w:rFonts w:cs="Arial" w:hint="cs"/>
          <w:sz w:val="14"/>
          <w:szCs w:val="14"/>
          <w:rtl/>
        </w:rPr>
        <w:t xml:space="preserve">הגשע"ד </w:t>
      </w:r>
      <w:r w:rsidRPr="001B702C">
        <w:rPr>
          <w:rFonts w:cs="Arial"/>
          <w:sz w:val="14"/>
          <w:szCs w:val="14"/>
          <w:rtl/>
        </w:rPr>
        <w:t>סי' כב סק</w:t>
      </w:r>
      <w:r w:rsidRPr="001B702C">
        <w:rPr>
          <w:rFonts w:cs="Arial" w:hint="cs"/>
          <w:sz w:val="14"/>
          <w:szCs w:val="14"/>
          <w:rtl/>
        </w:rPr>
        <w:t>"</w:t>
      </w:r>
      <w:r>
        <w:rPr>
          <w:rFonts w:cs="Arial" w:hint="cs"/>
          <w:sz w:val="14"/>
          <w:szCs w:val="14"/>
          <w:rtl/>
        </w:rPr>
        <w:t>ט</w:t>
      </w:r>
      <w:r w:rsidRPr="001B702C">
        <w:rPr>
          <w:rFonts w:cs="Arial"/>
          <w:sz w:val="14"/>
          <w:szCs w:val="14"/>
          <w:rtl/>
        </w:rPr>
        <w:t>)</w:t>
      </w:r>
      <w:r>
        <w:rPr>
          <w:rFonts w:cs="Arial" w:hint="cs"/>
          <w:rtl/>
        </w:rPr>
        <w:t xml:space="preserve">- </w:t>
      </w:r>
      <w:r>
        <w:rPr>
          <w:rFonts w:cs="Arial"/>
          <w:rtl/>
        </w:rPr>
        <w:t>ה</w:t>
      </w:r>
      <w:r>
        <w:rPr>
          <w:rFonts w:cs="Arial" w:hint="cs"/>
          <w:rtl/>
        </w:rPr>
        <w:t>וא הדין</w:t>
      </w:r>
      <w:r>
        <w:rPr>
          <w:rFonts w:cs="Arial"/>
          <w:rtl/>
        </w:rPr>
        <w:t xml:space="preserve"> אפוי ומבושל</w:t>
      </w:r>
      <w:r>
        <w:rPr>
          <w:rFonts w:cs="Arial" w:hint="cs"/>
          <w:rtl/>
        </w:rPr>
        <w:t>,</w:t>
      </w:r>
      <w:r w:rsidRPr="00D80107">
        <w:rPr>
          <w:rFonts w:cs="Arial"/>
          <w:rtl/>
        </w:rPr>
        <w:t xml:space="preserve"> דאשיר"י </w:t>
      </w:r>
      <w:r w:rsidRPr="00D80107">
        <w:rPr>
          <w:rFonts w:cs="Arial"/>
          <w:sz w:val="16"/>
          <w:szCs w:val="16"/>
          <w:rtl/>
        </w:rPr>
        <w:t xml:space="preserve">(פ"ח סי' לג) </w:t>
      </w:r>
      <w:r w:rsidRPr="00D80107">
        <w:rPr>
          <w:rFonts w:cs="Arial"/>
          <w:rtl/>
        </w:rPr>
        <w:t>פי' הטעם משום דצלי רך הוא לבלוע ועינינו רואות שהבישול והאפייה נמי מרככין המאכל</w:t>
      </w:r>
      <w:r>
        <w:rPr>
          <w:rFonts w:cs="Arial" w:hint="cs"/>
          <w:rtl/>
        </w:rPr>
        <w:t xml:space="preserve">. </w:t>
      </w:r>
      <w:r w:rsidRPr="00DD3DD8">
        <w:rPr>
          <w:rFonts w:hint="cs"/>
          <w:color w:val="00B0F0"/>
          <w:rtl/>
        </w:rPr>
        <w:t>(וכ"פ הרמ"א)</w:t>
      </w:r>
      <w:r>
        <w:rPr>
          <w:rFonts w:hint="cs"/>
          <w:color w:val="00B0F0"/>
          <w:rtl/>
        </w:rPr>
        <w:t xml:space="preserve"> </w:t>
      </w:r>
    </w:p>
    <w:p w14:paraId="7712D6F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8CEEEC6" w14:textId="77777777" w:rsidR="002C39F4" w:rsidRDefault="002C39F4" w:rsidP="002C39F4">
      <w:pPr>
        <w:rPr>
          <w:rFonts w:asciiTheme="minorBidi" w:hAnsiTheme="minorBidi"/>
          <w:rtl/>
        </w:rPr>
      </w:pPr>
      <w:r w:rsidRPr="003024E5">
        <w:rPr>
          <w:rFonts w:asciiTheme="minorBidi" w:hAnsiTheme="minorBidi"/>
          <w:rtl/>
        </w:rPr>
        <w:t>הא דמפלגינן בין נאכל</w:t>
      </w:r>
      <w:r>
        <w:rPr>
          <w:rFonts w:asciiTheme="minorBidi" w:hAnsiTheme="minorBidi"/>
          <w:rtl/>
        </w:rPr>
        <w:t xml:space="preserve"> מחמת מלחו לאינו נאכל מחמת מלחו הני מילי בבשר חי</w:t>
      </w:r>
      <w:r w:rsidRPr="003024E5">
        <w:rPr>
          <w:rFonts w:asciiTheme="minorBidi" w:hAnsiTheme="minorBidi"/>
          <w:rtl/>
        </w:rPr>
        <w:t xml:space="preserve"> אבל צלי רותח ש</w:t>
      </w:r>
      <w:r>
        <w:rPr>
          <w:rFonts w:asciiTheme="minorBidi" w:hAnsiTheme="minorBidi"/>
          <w:rtl/>
        </w:rPr>
        <w:t>נפל למליח</w:t>
      </w:r>
      <w:r w:rsidRPr="003024E5">
        <w:rPr>
          <w:rFonts w:asciiTheme="minorBidi" w:hAnsiTheme="minorBidi"/>
          <w:rtl/>
        </w:rPr>
        <w:t xml:space="preserve"> אפילו נאכל מחמת מ</w:t>
      </w:r>
      <w:r>
        <w:rPr>
          <w:rFonts w:asciiTheme="minorBidi" w:hAnsiTheme="minorBidi"/>
          <w:rtl/>
        </w:rPr>
        <w:t>לחו</w:t>
      </w:r>
      <w:r>
        <w:rPr>
          <w:rStyle w:val="a7"/>
          <w:rFonts w:asciiTheme="minorBidi" w:hAnsiTheme="minorBidi"/>
          <w:rtl/>
        </w:rPr>
        <w:footnoteReference w:id="1369"/>
      </w:r>
      <w:r>
        <w:rPr>
          <w:rFonts w:asciiTheme="minorBidi" w:hAnsiTheme="minorBidi"/>
          <w:rtl/>
        </w:rPr>
        <w:t xml:space="preserve"> בעי קליפה</w:t>
      </w:r>
      <w:r>
        <w:rPr>
          <w:rFonts w:asciiTheme="minorBidi" w:hAnsiTheme="minorBidi" w:hint="cs"/>
          <w:rtl/>
        </w:rPr>
        <w:t>,</w:t>
      </w:r>
      <w:r>
        <w:rPr>
          <w:rFonts w:asciiTheme="minorBidi" w:hAnsiTheme="minorBidi"/>
          <w:rtl/>
        </w:rPr>
        <w:t xml:space="preserve"> ואם יש בו בקעים</w:t>
      </w:r>
      <w:r w:rsidRPr="003024E5">
        <w:rPr>
          <w:rFonts w:asciiTheme="minorBidi" w:hAnsiTheme="minorBidi"/>
          <w:rtl/>
        </w:rPr>
        <w:t xml:space="preserve"> או שהוא מתו</w:t>
      </w:r>
      <w:r>
        <w:rPr>
          <w:rFonts w:asciiTheme="minorBidi" w:hAnsiTheme="minorBidi"/>
          <w:rtl/>
        </w:rPr>
        <w:t>בל בתבלין והוא צלי רותח</w:t>
      </w:r>
      <w:r w:rsidRPr="003024E5">
        <w:rPr>
          <w:rFonts w:asciiTheme="minorBidi" w:hAnsiTheme="minorBidi"/>
          <w:rtl/>
        </w:rPr>
        <w:t xml:space="preserve"> כולו אסור. </w:t>
      </w:r>
      <w:r w:rsidRPr="00CA6449">
        <w:rPr>
          <w:rFonts w:asciiTheme="minorBidi" w:hAnsiTheme="minorBidi"/>
          <w:sz w:val="18"/>
          <w:szCs w:val="18"/>
          <w:rtl/>
        </w:rPr>
        <w:t>הגה:</w:t>
      </w:r>
      <w:r>
        <w:rPr>
          <w:rFonts w:asciiTheme="minorBidi" w:hAnsiTheme="minorBidi"/>
          <w:sz w:val="18"/>
          <w:szCs w:val="18"/>
          <w:rtl/>
        </w:rPr>
        <w:t xml:space="preserve"> וה"ה אפוי ומבושל</w:t>
      </w:r>
      <w:r>
        <w:rPr>
          <w:rStyle w:val="a7"/>
          <w:rFonts w:asciiTheme="minorBidi" w:hAnsiTheme="minorBidi"/>
          <w:sz w:val="18"/>
          <w:szCs w:val="18"/>
          <w:rtl/>
        </w:rPr>
        <w:footnoteReference w:id="1370"/>
      </w:r>
      <w:r>
        <w:rPr>
          <w:rFonts w:asciiTheme="minorBidi" w:hAnsiTheme="minorBidi"/>
          <w:sz w:val="18"/>
          <w:szCs w:val="18"/>
          <w:rtl/>
        </w:rPr>
        <w:t xml:space="preserve"> </w:t>
      </w:r>
      <w:r w:rsidRPr="00CA6449">
        <w:rPr>
          <w:rFonts w:asciiTheme="minorBidi" w:hAnsiTheme="minorBidi"/>
          <w:sz w:val="14"/>
          <w:szCs w:val="14"/>
          <w:rtl/>
        </w:rPr>
        <w:t>(מהרא"י בהגש</w:t>
      </w:r>
      <w:r w:rsidRPr="00CA6449">
        <w:rPr>
          <w:rFonts w:asciiTheme="minorBidi" w:hAnsiTheme="minorBidi" w:hint="cs"/>
          <w:sz w:val="14"/>
          <w:szCs w:val="14"/>
          <w:rtl/>
        </w:rPr>
        <w:t>ע</w:t>
      </w:r>
      <w:r w:rsidRPr="00CA6449">
        <w:rPr>
          <w:rFonts w:asciiTheme="minorBidi" w:hAnsiTheme="minorBidi"/>
          <w:sz w:val="14"/>
          <w:szCs w:val="14"/>
          <w:rtl/>
        </w:rPr>
        <w:t>"ד הג</w:t>
      </w:r>
      <w:r w:rsidRPr="00CA6449">
        <w:rPr>
          <w:rFonts w:asciiTheme="minorBidi" w:hAnsiTheme="minorBidi" w:hint="cs"/>
          <w:sz w:val="14"/>
          <w:szCs w:val="14"/>
          <w:rtl/>
        </w:rPr>
        <w:t>מ"ר</w:t>
      </w:r>
      <w:r w:rsidRPr="00CA6449">
        <w:rPr>
          <w:rFonts w:asciiTheme="minorBidi" w:hAnsiTheme="minorBidi"/>
          <w:sz w:val="14"/>
          <w:szCs w:val="14"/>
          <w:rtl/>
        </w:rPr>
        <w:t xml:space="preserve"> סמ"ק ורש"ל)</w:t>
      </w:r>
      <w:r>
        <w:rPr>
          <w:rFonts w:asciiTheme="minorBidi" w:hAnsiTheme="minorBidi"/>
          <w:sz w:val="18"/>
          <w:szCs w:val="18"/>
          <w:rtl/>
        </w:rPr>
        <w:t>. וי"א דאפילו הם צוננים דינא הכי</w:t>
      </w:r>
      <w:r>
        <w:rPr>
          <w:rStyle w:val="a7"/>
          <w:rFonts w:asciiTheme="minorBidi" w:hAnsiTheme="minorBidi"/>
          <w:sz w:val="18"/>
          <w:szCs w:val="18"/>
          <w:rtl/>
        </w:rPr>
        <w:footnoteReference w:id="1371"/>
      </w:r>
      <w:r>
        <w:rPr>
          <w:rFonts w:asciiTheme="minorBidi" w:hAnsiTheme="minorBidi"/>
          <w:sz w:val="18"/>
          <w:szCs w:val="18"/>
          <w:rtl/>
        </w:rPr>
        <w:t xml:space="preserve"> </w:t>
      </w:r>
      <w:r w:rsidRPr="00CA6449">
        <w:rPr>
          <w:rFonts w:asciiTheme="minorBidi" w:hAnsiTheme="minorBidi"/>
          <w:sz w:val="14"/>
          <w:szCs w:val="14"/>
          <w:rtl/>
        </w:rPr>
        <w:t xml:space="preserve">(ב"י לדעת הרא"ש </w:t>
      </w:r>
      <w:r w:rsidRPr="00CA6449">
        <w:rPr>
          <w:rFonts w:asciiTheme="minorBidi" w:hAnsiTheme="minorBidi" w:hint="cs"/>
          <w:sz w:val="14"/>
          <w:szCs w:val="14"/>
          <w:rtl/>
        </w:rPr>
        <w:t>ובתרוה"ד</w:t>
      </w:r>
      <w:r w:rsidRPr="00CA6449">
        <w:rPr>
          <w:rFonts w:asciiTheme="minorBidi" w:hAnsiTheme="minorBidi"/>
          <w:sz w:val="14"/>
          <w:szCs w:val="14"/>
          <w:rtl/>
        </w:rPr>
        <w:t xml:space="preserve"> וטור)</w:t>
      </w:r>
      <w:r w:rsidRPr="00CA6449">
        <w:rPr>
          <w:rFonts w:asciiTheme="minorBidi" w:hAnsiTheme="minorBidi"/>
          <w:sz w:val="18"/>
          <w:szCs w:val="18"/>
          <w:rtl/>
        </w:rPr>
        <w:t>, וכן יש לנהוג אם אין הפסד מרובה</w:t>
      </w:r>
      <w:r>
        <w:rPr>
          <w:rStyle w:val="a7"/>
          <w:rFonts w:asciiTheme="minorBidi" w:hAnsiTheme="minorBidi"/>
          <w:sz w:val="18"/>
          <w:szCs w:val="18"/>
          <w:rtl/>
        </w:rPr>
        <w:footnoteReference w:id="1372"/>
      </w:r>
      <w:r w:rsidRPr="00CA6449">
        <w:rPr>
          <w:rFonts w:asciiTheme="minorBidi" w:hAnsiTheme="minorBidi"/>
          <w:sz w:val="18"/>
          <w:szCs w:val="18"/>
          <w:rtl/>
        </w:rPr>
        <w:t>.</w:t>
      </w:r>
    </w:p>
    <w:p w14:paraId="25AAD868" w14:textId="77777777" w:rsidR="002C39F4" w:rsidRPr="003024E5" w:rsidRDefault="002C39F4" w:rsidP="002C39F4">
      <w:pPr>
        <w:rPr>
          <w:rFonts w:asciiTheme="minorBidi" w:hAnsiTheme="minorBidi"/>
          <w:rtl/>
        </w:rPr>
      </w:pPr>
    </w:p>
    <w:p w14:paraId="263CC348" w14:textId="77777777" w:rsidR="002C39F4" w:rsidRDefault="002C39F4" w:rsidP="002C39F4">
      <w:pPr>
        <w:pStyle w:val="2"/>
        <w:rPr>
          <w:rFonts w:asciiTheme="minorBidi" w:hAnsiTheme="minorBidi"/>
          <w:rtl/>
        </w:rPr>
      </w:pPr>
      <w:r w:rsidRPr="003024E5">
        <w:rPr>
          <w:rFonts w:asciiTheme="minorBidi" w:hAnsiTheme="minorBidi"/>
          <w:rtl/>
        </w:rPr>
        <w:t>סעיף ח</w:t>
      </w:r>
      <w:r>
        <w:rPr>
          <w:rFonts w:asciiTheme="minorBidi" w:hAnsiTheme="minorBidi" w:hint="cs"/>
          <w:rtl/>
        </w:rPr>
        <w:t>: איסור הנאה מבשר וחלב שנאסרו ע"י כבישה/מליחה.</w:t>
      </w:r>
    </w:p>
    <w:p w14:paraId="041C6F29" w14:textId="77777777" w:rsidR="002C39F4" w:rsidRPr="003024E5" w:rsidRDefault="002C39F4" w:rsidP="002C39F4">
      <w:pPr>
        <w:rPr>
          <w:rFonts w:asciiTheme="minorBidi" w:hAnsiTheme="minorBidi"/>
          <w:u w:val="single"/>
        </w:rPr>
      </w:pPr>
      <w:r w:rsidRPr="003024E5">
        <w:rPr>
          <w:rFonts w:asciiTheme="minorBidi" w:hAnsiTheme="minorBidi"/>
          <w:u w:val="single"/>
          <w:rtl/>
        </w:rPr>
        <w:t>האם בשר בחלב שאסרו חכמים אסור בהנאה:</w:t>
      </w:r>
    </w:p>
    <w:p w14:paraId="51E12EBE" w14:textId="77777777" w:rsidR="002C39F4" w:rsidRPr="003024E5" w:rsidRDefault="002C39F4" w:rsidP="0032102C">
      <w:pPr>
        <w:pStyle w:val="a8"/>
        <w:numPr>
          <w:ilvl w:val="0"/>
          <w:numId w:val="147"/>
        </w:numPr>
        <w:rPr>
          <w:rFonts w:asciiTheme="minorBidi" w:hAnsiTheme="minorBidi"/>
          <w:rtl/>
        </w:rPr>
      </w:pPr>
      <w:r>
        <w:rPr>
          <w:rFonts w:asciiTheme="minorBidi" w:hAnsiTheme="minorBidi"/>
          <w:rtl/>
        </w:rPr>
        <w:t>הג"א</w:t>
      </w:r>
      <w:r w:rsidRPr="003024E5">
        <w:rPr>
          <w:rFonts w:asciiTheme="minorBidi" w:hAnsiTheme="minorBidi"/>
          <w:rtl/>
        </w:rPr>
        <w:t xml:space="preserve"> </w:t>
      </w:r>
      <w:r>
        <w:rPr>
          <w:rFonts w:asciiTheme="minorBidi" w:hAnsiTheme="minorBidi" w:hint="cs"/>
          <w:rtl/>
        </w:rPr>
        <w:t xml:space="preserve">בשם או"ז </w:t>
      </w:r>
      <w:r w:rsidRPr="003024E5">
        <w:rPr>
          <w:rFonts w:asciiTheme="minorBidi" w:hAnsiTheme="minorBidi"/>
          <w:rtl/>
        </w:rPr>
        <w:t>מרדכי</w:t>
      </w:r>
      <w:r w:rsidRPr="00F540EE">
        <w:rPr>
          <w:rFonts w:cs="Arial"/>
          <w:rtl/>
        </w:rPr>
        <w:t xml:space="preserve"> </w:t>
      </w:r>
      <w:r>
        <w:rPr>
          <w:rFonts w:cs="Arial" w:hint="cs"/>
          <w:rtl/>
        </w:rPr>
        <w:t>ו</w:t>
      </w:r>
      <w:r w:rsidRPr="003B72FA">
        <w:rPr>
          <w:rFonts w:cs="Arial"/>
          <w:rtl/>
        </w:rPr>
        <w:t>אגור</w:t>
      </w:r>
      <w:r w:rsidRPr="003024E5">
        <w:rPr>
          <w:rStyle w:val="a7"/>
          <w:rFonts w:asciiTheme="minorBidi" w:hAnsiTheme="minorBidi"/>
          <w:rtl/>
        </w:rPr>
        <w:footnoteReference w:id="1373"/>
      </w:r>
      <w:r w:rsidRPr="003024E5">
        <w:rPr>
          <w:rFonts w:asciiTheme="minorBidi" w:hAnsiTheme="minorBidi"/>
          <w:rtl/>
        </w:rPr>
        <w:t xml:space="preserve">- </w:t>
      </w:r>
      <w:r w:rsidRPr="00F540EE">
        <w:rPr>
          <w:rFonts w:asciiTheme="minorBidi" w:hAnsiTheme="minorBidi" w:cs="Arial"/>
          <w:rtl/>
        </w:rPr>
        <w:t>יש להסתפק בשר בחלב שאסרו חכמים כגון ששהה בצונן יותר מיום אחד או ע"י מליחה אסרוהו בהנאה או לאו והמתיר בהנאה אין מוחין בידו כל כמה דלא אשכחן ראיה לאיסור</w:t>
      </w:r>
      <w:r>
        <w:rPr>
          <w:rStyle w:val="a7"/>
          <w:rFonts w:cs="Arial"/>
          <w:rtl/>
        </w:rPr>
        <w:footnoteReference w:id="1374"/>
      </w:r>
      <w:r>
        <w:rPr>
          <w:rFonts w:asciiTheme="minorBidi" w:hAnsiTheme="minorBidi" w:cs="Arial" w:hint="cs"/>
          <w:sz w:val="16"/>
          <w:szCs w:val="16"/>
          <w:rtl/>
        </w:rPr>
        <w:t xml:space="preserve"> (ל' הג"א)</w:t>
      </w:r>
      <w:r w:rsidRPr="003024E5">
        <w:rPr>
          <w:rFonts w:asciiTheme="minorBidi" w:hAnsiTheme="minorBidi"/>
          <w:rtl/>
        </w:rPr>
        <w:t>.</w:t>
      </w:r>
    </w:p>
    <w:p w14:paraId="46CB075D" w14:textId="77777777" w:rsidR="002C39F4" w:rsidRPr="003B72FA" w:rsidRDefault="002C39F4" w:rsidP="002C39F4">
      <w:pPr>
        <w:rPr>
          <w:rFonts w:cs="Arial"/>
          <w:u w:val="single"/>
          <w:rtl/>
        </w:rPr>
      </w:pPr>
      <w:r w:rsidRPr="003B72FA">
        <w:rPr>
          <w:rFonts w:cs="Arial"/>
          <w:u w:val="single"/>
          <w:rtl/>
        </w:rPr>
        <w:t>בשר שנפל בחלב צונן</w:t>
      </w:r>
      <w:r w:rsidRPr="003B72FA">
        <w:rPr>
          <w:rFonts w:cs="Arial" w:hint="cs"/>
          <w:u w:val="single"/>
          <w:rtl/>
        </w:rPr>
        <w:t>:</w:t>
      </w:r>
      <w:r>
        <w:rPr>
          <w:rFonts w:cs="Arial" w:hint="cs"/>
          <w:sz w:val="16"/>
          <w:szCs w:val="16"/>
          <w:rtl/>
        </w:rPr>
        <w:t xml:space="preserve">   </w:t>
      </w:r>
      <w:r w:rsidRPr="003B72FA">
        <w:rPr>
          <w:rFonts w:cs="Arial" w:hint="cs"/>
          <w:sz w:val="16"/>
          <w:szCs w:val="16"/>
          <w:rtl/>
        </w:rPr>
        <w:t xml:space="preserve">(או"ז </w:t>
      </w:r>
      <w:r w:rsidRPr="003B72FA">
        <w:rPr>
          <w:rFonts w:cs="Arial" w:hint="cs"/>
          <w:sz w:val="14"/>
          <w:szCs w:val="14"/>
          <w:rtl/>
        </w:rPr>
        <w:t>[</w:t>
      </w:r>
      <w:r w:rsidRPr="003B72FA">
        <w:rPr>
          <w:rFonts w:cs="Arial"/>
          <w:sz w:val="14"/>
          <w:szCs w:val="14"/>
          <w:rtl/>
        </w:rPr>
        <w:t>ע"ז סי' רפה</w:t>
      </w:r>
      <w:r w:rsidRPr="003B72FA">
        <w:rPr>
          <w:rFonts w:cs="Arial" w:hint="cs"/>
          <w:sz w:val="14"/>
          <w:szCs w:val="14"/>
          <w:rtl/>
        </w:rPr>
        <w:t xml:space="preserve">] </w:t>
      </w:r>
      <w:r>
        <w:rPr>
          <w:rFonts w:cs="Arial" w:hint="cs"/>
          <w:sz w:val="16"/>
          <w:szCs w:val="16"/>
          <w:rtl/>
        </w:rPr>
        <w:t>ו</w:t>
      </w:r>
      <w:r w:rsidRPr="003B72FA">
        <w:rPr>
          <w:rFonts w:cs="Arial" w:hint="cs"/>
          <w:sz w:val="16"/>
          <w:szCs w:val="16"/>
          <w:rtl/>
        </w:rPr>
        <w:t>הגשע"ד</w:t>
      </w:r>
      <w:r w:rsidRPr="003B72FA">
        <w:rPr>
          <w:rFonts w:cs="Arial"/>
          <w:sz w:val="16"/>
          <w:szCs w:val="16"/>
          <w:rtl/>
        </w:rPr>
        <w:t xml:space="preserve"> </w:t>
      </w:r>
      <w:r w:rsidRPr="003B72FA">
        <w:rPr>
          <w:rFonts w:cs="Arial" w:hint="cs"/>
          <w:sz w:val="14"/>
          <w:szCs w:val="14"/>
          <w:rtl/>
        </w:rPr>
        <w:t>[</w:t>
      </w:r>
      <w:r w:rsidRPr="003B72FA">
        <w:rPr>
          <w:rFonts w:cs="Arial"/>
          <w:sz w:val="14"/>
          <w:szCs w:val="14"/>
          <w:rtl/>
        </w:rPr>
        <w:t>סי' פה סקי</w:t>
      </w:r>
      <w:r w:rsidRPr="003B72FA">
        <w:rPr>
          <w:rFonts w:cs="Arial" w:hint="cs"/>
          <w:sz w:val="14"/>
          <w:szCs w:val="14"/>
          <w:rtl/>
        </w:rPr>
        <w:t>"</w:t>
      </w:r>
      <w:r w:rsidRPr="003B72FA">
        <w:rPr>
          <w:rFonts w:cs="Arial"/>
          <w:sz w:val="14"/>
          <w:szCs w:val="14"/>
          <w:rtl/>
        </w:rPr>
        <w:t>ד, וסי' כב סק</w:t>
      </w:r>
      <w:r w:rsidRPr="003B72FA">
        <w:rPr>
          <w:rFonts w:cs="Arial" w:hint="cs"/>
          <w:sz w:val="14"/>
          <w:szCs w:val="14"/>
          <w:rtl/>
        </w:rPr>
        <w:t>"</w:t>
      </w:r>
      <w:r w:rsidRPr="003B72FA">
        <w:rPr>
          <w:rFonts w:cs="Arial"/>
          <w:sz w:val="14"/>
          <w:szCs w:val="14"/>
          <w:rtl/>
        </w:rPr>
        <w:t>ב</w:t>
      </w:r>
      <w:r w:rsidRPr="003B72FA">
        <w:rPr>
          <w:rFonts w:cs="Arial" w:hint="cs"/>
          <w:sz w:val="14"/>
          <w:szCs w:val="14"/>
          <w:rtl/>
        </w:rPr>
        <w:t>]</w:t>
      </w:r>
      <w:r w:rsidRPr="003B72FA">
        <w:rPr>
          <w:rFonts w:cs="Arial" w:hint="cs"/>
          <w:sz w:val="16"/>
          <w:szCs w:val="16"/>
          <w:rtl/>
        </w:rPr>
        <w:t>)</w:t>
      </w:r>
    </w:p>
    <w:p w14:paraId="75E65A8A" w14:textId="77777777" w:rsidR="002C39F4" w:rsidRPr="003B72FA" w:rsidRDefault="002C39F4" w:rsidP="0032102C">
      <w:pPr>
        <w:pStyle w:val="a8"/>
        <w:numPr>
          <w:ilvl w:val="0"/>
          <w:numId w:val="167"/>
        </w:numPr>
      </w:pPr>
      <w:r w:rsidRPr="003B72FA">
        <w:rPr>
          <w:rFonts w:cs="Arial"/>
          <w:rtl/>
        </w:rPr>
        <w:t>ר</w:t>
      </w:r>
      <w:r w:rsidRPr="003B72FA">
        <w:rPr>
          <w:rFonts w:cs="Arial" w:hint="cs"/>
          <w:rtl/>
        </w:rPr>
        <w:t>"</w:t>
      </w:r>
      <w:r w:rsidRPr="003B72FA">
        <w:rPr>
          <w:rFonts w:cs="Arial"/>
          <w:rtl/>
        </w:rPr>
        <w:t>ת</w:t>
      </w:r>
      <w:r>
        <w:rPr>
          <w:rFonts w:cs="Arial" w:hint="cs"/>
          <w:rtl/>
        </w:rPr>
        <w:t xml:space="preserve">- </w:t>
      </w:r>
      <w:r w:rsidRPr="003B72FA">
        <w:rPr>
          <w:rFonts w:cs="Arial"/>
          <w:rtl/>
        </w:rPr>
        <w:t>אם שהה יותר מיום אחד הוא אסור מדרבנן מטעם כבוש</w:t>
      </w:r>
      <w:r>
        <w:rPr>
          <w:rStyle w:val="a7"/>
          <w:rFonts w:cs="Arial"/>
          <w:rtl/>
        </w:rPr>
        <w:footnoteReference w:id="1375"/>
      </w:r>
      <w:r>
        <w:rPr>
          <w:rFonts w:cs="Arial" w:hint="cs"/>
          <w:rtl/>
        </w:rPr>
        <w:t>.</w:t>
      </w:r>
      <w:r w:rsidRPr="003B72FA">
        <w:rPr>
          <w:rFonts w:cs="Arial"/>
          <w:rtl/>
        </w:rPr>
        <w:t xml:space="preserve"> </w:t>
      </w:r>
    </w:p>
    <w:p w14:paraId="212C6595" w14:textId="77777777" w:rsidR="002C39F4" w:rsidRPr="00CA6449" w:rsidRDefault="002C39F4" w:rsidP="0032102C">
      <w:pPr>
        <w:pStyle w:val="a8"/>
        <w:numPr>
          <w:ilvl w:val="0"/>
          <w:numId w:val="167"/>
        </w:numPr>
        <w:rPr>
          <w:rtl/>
        </w:rPr>
      </w:pPr>
      <w:r w:rsidRPr="003B72FA">
        <w:rPr>
          <w:rFonts w:cs="Arial"/>
          <w:rtl/>
        </w:rPr>
        <w:t>ריב"א</w:t>
      </w:r>
      <w:r>
        <w:rPr>
          <w:rFonts w:cs="Arial" w:hint="cs"/>
          <w:rtl/>
        </w:rPr>
        <w:t>-</w:t>
      </w:r>
      <w:r>
        <w:rPr>
          <w:rFonts w:cs="Arial"/>
          <w:rtl/>
        </w:rPr>
        <w:t xml:space="preserve"> א</w:t>
      </w:r>
      <w:r w:rsidRPr="003B72FA">
        <w:rPr>
          <w:rFonts w:cs="Arial"/>
          <w:rtl/>
        </w:rPr>
        <w:t>ס</w:t>
      </w:r>
      <w:r>
        <w:rPr>
          <w:rFonts w:cs="Arial" w:hint="cs"/>
          <w:rtl/>
        </w:rPr>
        <w:t>ו</w:t>
      </w:r>
      <w:r w:rsidRPr="003B72FA">
        <w:rPr>
          <w:rFonts w:cs="Arial"/>
          <w:rtl/>
        </w:rPr>
        <w:t>ר אפילו ביום אחד</w:t>
      </w:r>
      <w:r>
        <w:rPr>
          <w:rFonts w:cs="Arial" w:hint="cs"/>
          <w:rtl/>
        </w:rPr>
        <w:t>,</w:t>
      </w:r>
      <w:r w:rsidRPr="003B72FA">
        <w:rPr>
          <w:rFonts w:cs="Arial"/>
          <w:rtl/>
        </w:rPr>
        <w:t xml:space="preserve"> וכן כל איסור צונן בצונן ביום אחד אסור</w:t>
      </w:r>
      <w:r w:rsidRPr="003B72FA">
        <w:rPr>
          <w:rFonts w:cs="Arial" w:hint="cs"/>
          <w:rtl/>
        </w:rPr>
        <w:t>.</w:t>
      </w:r>
      <w:r>
        <w:rPr>
          <w:rFonts w:hint="cs"/>
          <w:color w:val="FF0000"/>
          <w:sz w:val="16"/>
          <w:szCs w:val="16"/>
          <w:rtl/>
        </w:rPr>
        <w:t xml:space="preserve"> </w:t>
      </w:r>
      <w:r w:rsidRPr="008B7BDE">
        <w:rPr>
          <w:rFonts w:hint="cs"/>
          <w:color w:val="FF0000"/>
          <w:sz w:val="14"/>
          <w:szCs w:val="14"/>
          <w:rtl/>
        </w:rPr>
        <w:t>{האו"ז חילק בין דעותיהם, וצל"ע מה החילוק במציאות}</w:t>
      </w:r>
    </w:p>
    <w:p w14:paraId="3F41CBF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A39829D" w14:textId="77777777" w:rsidR="002C39F4" w:rsidRDefault="002C39F4" w:rsidP="002C39F4">
      <w:pPr>
        <w:rPr>
          <w:rFonts w:asciiTheme="minorBidi" w:hAnsiTheme="minorBidi"/>
          <w:rtl/>
        </w:rPr>
      </w:pPr>
      <w:r>
        <w:rPr>
          <w:rFonts w:asciiTheme="minorBidi" w:hAnsiTheme="minorBidi"/>
          <w:rtl/>
        </w:rPr>
        <w:t>אין בשר בחלב נאסר ע</w:t>
      </w:r>
      <w:r>
        <w:rPr>
          <w:rFonts w:asciiTheme="minorBidi" w:hAnsiTheme="minorBidi" w:hint="cs"/>
          <w:rtl/>
        </w:rPr>
        <w:t>ל יד</w:t>
      </w:r>
      <w:r>
        <w:rPr>
          <w:rFonts w:asciiTheme="minorBidi" w:hAnsiTheme="minorBidi"/>
          <w:rtl/>
        </w:rPr>
        <w:t>י מליחה או ע</w:t>
      </w:r>
      <w:r>
        <w:rPr>
          <w:rFonts w:asciiTheme="minorBidi" w:hAnsiTheme="minorBidi" w:hint="cs"/>
          <w:rtl/>
        </w:rPr>
        <w:t>ל יד</w:t>
      </w:r>
      <w:r>
        <w:rPr>
          <w:rFonts w:asciiTheme="minorBidi" w:hAnsiTheme="minorBidi"/>
          <w:rtl/>
        </w:rPr>
        <w:t>י כבוש אלא באכילה</w:t>
      </w:r>
      <w:r w:rsidRPr="003024E5">
        <w:rPr>
          <w:rFonts w:asciiTheme="minorBidi" w:hAnsiTheme="minorBidi"/>
          <w:rtl/>
        </w:rPr>
        <w:t xml:space="preserve"> אבל לא בהנאה.</w:t>
      </w:r>
    </w:p>
    <w:p w14:paraId="6B54A55D" w14:textId="77777777" w:rsidR="002C39F4" w:rsidRPr="00112443" w:rsidRDefault="002C39F4" w:rsidP="002C39F4">
      <w:pPr>
        <w:rPr>
          <w:rFonts w:asciiTheme="minorBidi" w:hAnsiTheme="minorBidi"/>
          <w:u w:val="single"/>
          <w:rtl/>
        </w:rPr>
      </w:pPr>
      <w:r w:rsidRPr="00112443">
        <w:rPr>
          <w:rFonts w:asciiTheme="minorBidi" w:hAnsiTheme="minorBidi" w:hint="cs"/>
          <w:u w:val="single"/>
          <w:rtl/>
        </w:rPr>
        <w:t xml:space="preserve">ספק </w:t>
      </w:r>
      <w:r>
        <w:rPr>
          <w:rFonts w:asciiTheme="minorBidi" w:hAnsiTheme="minorBidi" w:hint="cs"/>
          <w:u w:val="single"/>
          <w:rtl/>
        </w:rPr>
        <w:t>מלוח</w:t>
      </w:r>
      <w:r w:rsidRPr="00112443">
        <w:rPr>
          <w:rFonts w:asciiTheme="minorBidi" w:hAnsiTheme="minorBidi" w:hint="cs"/>
          <w:u w:val="single"/>
          <w:rtl/>
        </w:rPr>
        <w:t xml:space="preserve"> בבשר וחלב:</w:t>
      </w:r>
    </w:p>
    <w:p w14:paraId="2958C2F1" w14:textId="77777777" w:rsidR="002C39F4" w:rsidRPr="00112443" w:rsidRDefault="002C39F4" w:rsidP="0032102C">
      <w:pPr>
        <w:pStyle w:val="a8"/>
        <w:numPr>
          <w:ilvl w:val="0"/>
          <w:numId w:val="168"/>
        </w:numPr>
        <w:rPr>
          <w:rFonts w:asciiTheme="minorBidi" w:hAnsiTheme="minorBidi"/>
          <w:rtl/>
        </w:rPr>
      </w:pPr>
      <w:r>
        <w:rPr>
          <w:rFonts w:asciiTheme="minorBidi" w:hAnsiTheme="minorBidi" w:hint="cs"/>
          <w:rtl/>
        </w:rPr>
        <w:t xml:space="preserve">בית הילל </w:t>
      </w:r>
      <w:r w:rsidRPr="00112443">
        <w:rPr>
          <w:rFonts w:asciiTheme="minorBidi" w:hAnsiTheme="minorBidi" w:hint="cs"/>
          <w:sz w:val="16"/>
          <w:szCs w:val="16"/>
          <w:rtl/>
        </w:rPr>
        <w:t xml:space="preserve">(סק"ו) </w:t>
      </w:r>
      <w:r>
        <w:rPr>
          <w:rFonts w:asciiTheme="minorBidi" w:hAnsiTheme="minorBidi" w:hint="cs"/>
          <w:rtl/>
        </w:rPr>
        <w:t xml:space="preserve">ובאה"ט </w:t>
      </w:r>
      <w:r w:rsidRPr="00112443">
        <w:rPr>
          <w:rFonts w:asciiTheme="minorBidi" w:hAnsiTheme="minorBidi" w:hint="cs"/>
          <w:sz w:val="16"/>
          <w:szCs w:val="16"/>
          <w:rtl/>
        </w:rPr>
        <w:t>(סקכ"ב)</w:t>
      </w:r>
      <w:r>
        <w:rPr>
          <w:rFonts w:asciiTheme="minorBidi" w:hAnsiTheme="minorBidi" w:hint="cs"/>
          <w:rtl/>
        </w:rPr>
        <w:t xml:space="preserve">- אם הוא ספק מלוח בשר בחלב מותר באכילה משום דאמרינן בספק כבוש סי' קה סע' א בהג"ה ספק כבוש אזלינן לקולא בשר בחלב, משום דמן התורה אינו אסור רק בבישול, א"כ גם כאן גבי מליחה הדין כן. </w:t>
      </w:r>
    </w:p>
    <w:p w14:paraId="4D3B6F97" w14:textId="77777777" w:rsidR="002C39F4" w:rsidRPr="003024E5" w:rsidRDefault="002C39F4" w:rsidP="002C39F4">
      <w:pPr>
        <w:rPr>
          <w:rFonts w:asciiTheme="minorBidi" w:hAnsiTheme="minorBidi"/>
          <w:rtl/>
        </w:rPr>
      </w:pPr>
    </w:p>
    <w:p w14:paraId="7C34DE1A" w14:textId="77777777" w:rsidR="002C39F4" w:rsidRPr="003024E5" w:rsidRDefault="002C39F4" w:rsidP="002C39F4">
      <w:pPr>
        <w:rPr>
          <w:rFonts w:asciiTheme="minorBidi" w:hAnsiTheme="minorBidi"/>
          <w:rtl/>
        </w:rPr>
      </w:pPr>
    </w:p>
    <w:p w14:paraId="13397B04" w14:textId="77777777" w:rsidR="002C39F4" w:rsidRPr="003024E5" w:rsidRDefault="002C39F4" w:rsidP="002C39F4">
      <w:pPr>
        <w:rPr>
          <w:rFonts w:asciiTheme="minorBidi" w:hAnsiTheme="minorBidi"/>
          <w:rtl/>
        </w:rPr>
      </w:pPr>
    </w:p>
    <w:p w14:paraId="1F310DC4" w14:textId="77777777" w:rsidR="002C39F4" w:rsidRDefault="002C39F4" w:rsidP="002C39F4">
      <w:pPr>
        <w:rPr>
          <w:rFonts w:asciiTheme="minorBidi" w:hAnsiTheme="minorBidi"/>
          <w:rtl/>
        </w:rPr>
      </w:pPr>
    </w:p>
    <w:p w14:paraId="37E9CC5B" w14:textId="77777777" w:rsidR="002C39F4" w:rsidRPr="003024E5" w:rsidRDefault="002C39F4" w:rsidP="002C39F4">
      <w:pPr>
        <w:rPr>
          <w:rFonts w:asciiTheme="minorBidi" w:hAnsiTheme="minorBidi"/>
          <w:rtl/>
        </w:rPr>
      </w:pPr>
    </w:p>
    <w:p w14:paraId="1F5182B9" w14:textId="77777777" w:rsidR="002C39F4" w:rsidRPr="003024E5" w:rsidRDefault="002C39F4" w:rsidP="002C39F4">
      <w:pPr>
        <w:rPr>
          <w:rFonts w:asciiTheme="minorBidi" w:hAnsiTheme="minorBidi"/>
          <w:rtl/>
        </w:rPr>
      </w:pPr>
    </w:p>
    <w:p w14:paraId="1510A783"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3AF6F7D3"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צב: דינין אם נפל חלב לקדירה של בשר, ובו ט' סעיפים. </w:t>
      </w:r>
    </w:p>
    <w:p w14:paraId="2F8E2C13"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חתיכת בשר שנפלה ליורה של חלב.</w:t>
      </w:r>
    </w:p>
    <w:p w14:paraId="7C3DA73F" w14:textId="77777777" w:rsidR="002C39F4" w:rsidRDefault="002C39F4" w:rsidP="002C39F4">
      <w:pPr>
        <w:rPr>
          <w:rFonts w:cs="Arial"/>
          <w:rtl/>
        </w:rPr>
      </w:pPr>
      <w:r>
        <w:rPr>
          <w:rFonts w:cs="Arial" w:hint="cs"/>
          <w:b/>
          <w:bCs/>
          <w:rtl/>
        </w:rPr>
        <w:t xml:space="preserve">חולין קח ע"א: </w:t>
      </w:r>
      <w:r w:rsidRPr="007650A1">
        <w:rPr>
          <w:rFonts w:cs="Arial"/>
          <w:rtl/>
        </w:rPr>
        <w:t xml:space="preserve">והאיתמר, כזית בשר שנפל לתוך יורה של חלב, </w:t>
      </w:r>
      <w:r w:rsidRPr="007650A1">
        <w:rPr>
          <w:rFonts w:cs="Arial"/>
          <w:u w:val="single"/>
          <w:rtl/>
        </w:rPr>
        <w:t>אמר רב</w:t>
      </w:r>
      <w:r w:rsidRPr="007650A1">
        <w:rPr>
          <w:rFonts w:cs="Arial"/>
          <w:rtl/>
        </w:rPr>
        <w:t>: בשר אסור וחלב מותר</w:t>
      </w:r>
      <w:r>
        <w:rPr>
          <w:rFonts w:cs="Arial"/>
          <w:rtl/>
        </w:rPr>
        <w:t>, ואי סלקא דעתך אפשר לסוחטו</w:t>
      </w:r>
      <w:r w:rsidRPr="007650A1">
        <w:rPr>
          <w:rFonts w:cs="Arial"/>
          <w:rtl/>
        </w:rPr>
        <w:t xml:space="preserve"> אסור</w:t>
      </w:r>
      <w:r>
        <w:rPr>
          <w:rFonts w:cs="Arial" w:hint="cs"/>
          <w:rtl/>
        </w:rPr>
        <w:t>,</w:t>
      </w:r>
      <w:r w:rsidRPr="007650A1">
        <w:rPr>
          <w:rFonts w:cs="Arial"/>
          <w:rtl/>
        </w:rPr>
        <w:t xml:space="preserve"> חלב אמאי מותר</w:t>
      </w:r>
      <w:r>
        <w:rPr>
          <w:rStyle w:val="a7"/>
          <w:rFonts w:cs="Arial"/>
          <w:rtl/>
        </w:rPr>
        <w:footnoteReference w:id="1376"/>
      </w:r>
      <w:r w:rsidRPr="007650A1">
        <w:rPr>
          <w:rFonts w:cs="Arial"/>
          <w:rtl/>
        </w:rPr>
        <w:t>? חלב נבלה הוא</w:t>
      </w:r>
      <w:r>
        <w:rPr>
          <w:rStyle w:val="a7"/>
          <w:rFonts w:cs="Arial"/>
          <w:rtl/>
        </w:rPr>
        <w:footnoteReference w:id="1377"/>
      </w:r>
      <w:r w:rsidRPr="007650A1">
        <w:rPr>
          <w:rFonts w:cs="Arial"/>
          <w:rtl/>
        </w:rPr>
        <w:t>!</w:t>
      </w:r>
      <w:r>
        <w:rPr>
          <w:rFonts w:cs="Arial" w:hint="cs"/>
          <w:rtl/>
        </w:rPr>
        <w:t xml:space="preserve">... </w:t>
      </w:r>
      <w:r>
        <w:rPr>
          <w:rFonts w:cs="Arial"/>
          <w:rtl/>
        </w:rPr>
        <w:t>אלא לעולם קסבר רב חלב נמי אסור, והכא במאי עסקינן</w:t>
      </w:r>
      <w:r>
        <w:rPr>
          <w:rStyle w:val="a7"/>
          <w:rFonts w:cs="Arial"/>
          <w:rtl/>
        </w:rPr>
        <w:footnoteReference w:id="1378"/>
      </w:r>
      <w:r w:rsidRPr="007650A1">
        <w:rPr>
          <w:rFonts w:cs="Arial"/>
          <w:rtl/>
        </w:rPr>
        <w:t>- כג</w:t>
      </w:r>
      <w:r>
        <w:rPr>
          <w:rFonts w:cs="Arial"/>
          <w:rtl/>
        </w:rPr>
        <w:t>ון שנפל לתוך יורה רותחת, דמבלע בלע, מפלט לא פלט</w:t>
      </w:r>
      <w:r>
        <w:rPr>
          <w:rFonts w:cs="Arial" w:hint="cs"/>
          <w:rtl/>
        </w:rPr>
        <w:t>.</w:t>
      </w:r>
      <w:r w:rsidRPr="007650A1">
        <w:rPr>
          <w:rFonts w:cs="Arial"/>
          <w:rtl/>
        </w:rPr>
        <w:t xml:space="preserve"> סוף סוף כי נייח הדר פליט! כשקדם וסילקו</w:t>
      </w:r>
      <w:r>
        <w:rPr>
          <w:rStyle w:val="a7"/>
          <w:rFonts w:cs="Arial"/>
          <w:rtl/>
        </w:rPr>
        <w:footnoteReference w:id="1379"/>
      </w:r>
      <w:r w:rsidRPr="007650A1">
        <w:rPr>
          <w:rFonts w:cs="Arial"/>
          <w:rtl/>
        </w:rPr>
        <w:t>.</w:t>
      </w:r>
      <w:r>
        <w:rPr>
          <w:rFonts w:cs="Arial" w:hint="cs"/>
          <w:rtl/>
        </w:rPr>
        <w:t xml:space="preserve"> </w:t>
      </w:r>
    </w:p>
    <w:p w14:paraId="64460DA0" w14:textId="77777777" w:rsidR="002C39F4" w:rsidRPr="00D838A2" w:rsidRDefault="002C39F4" w:rsidP="002C39F4">
      <w:pPr>
        <w:rPr>
          <w:rFonts w:cs="Arial"/>
          <w:u w:val="single"/>
          <w:rtl/>
        </w:rPr>
      </w:pPr>
      <w:r w:rsidRPr="00D838A2">
        <w:rPr>
          <w:rFonts w:cs="Arial"/>
          <w:u w:val="single"/>
          <w:rtl/>
        </w:rPr>
        <w:t xml:space="preserve">כזית בשר שנפל לתוך יורה של חלב רותחת </w:t>
      </w:r>
      <w:r w:rsidRPr="00D838A2">
        <w:rPr>
          <w:rFonts w:cs="Arial" w:hint="cs"/>
          <w:u w:val="single"/>
          <w:rtl/>
        </w:rPr>
        <w:t>ו</w:t>
      </w:r>
      <w:r w:rsidRPr="00D838A2">
        <w:rPr>
          <w:rFonts w:cs="Arial"/>
          <w:u w:val="single"/>
          <w:rtl/>
        </w:rPr>
        <w:t xml:space="preserve">אין בחלב </w:t>
      </w:r>
      <w:r>
        <w:rPr>
          <w:rFonts w:cs="Arial" w:hint="cs"/>
          <w:u w:val="single"/>
          <w:rtl/>
        </w:rPr>
        <w:t>ששים</w:t>
      </w:r>
      <w:r w:rsidRPr="00D838A2">
        <w:rPr>
          <w:rFonts w:cs="Arial"/>
          <w:u w:val="single"/>
          <w:rtl/>
        </w:rPr>
        <w:t xml:space="preserve"> לבטל הבשר</w:t>
      </w:r>
      <w:r w:rsidRPr="00D838A2">
        <w:rPr>
          <w:rFonts w:cs="Arial" w:hint="cs"/>
          <w:u w:val="single"/>
          <w:rtl/>
        </w:rPr>
        <w:t>:</w:t>
      </w:r>
    </w:p>
    <w:p w14:paraId="6E85A922" w14:textId="77777777" w:rsidR="002C39F4" w:rsidRDefault="002C39F4" w:rsidP="002C39F4">
      <w:pPr>
        <w:pStyle w:val="a8"/>
        <w:numPr>
          <w:ilvl w:val="0"/>
          <w:numId w:val="98"/>
        </w:numPr>
        <w:rPr>
          <w:rFonts w:cs="Arial"/>
        </w:rPr>
      </w:pPr>
      <w:r w:rsidRPr="00D838A2">
        <w:rPr>
          <w:rFonts w:cs="Arial"/>
          <w:rtl/>
        </w:rPr>
        <w:t>רש"י</w:t>
      </w:r>
      <w:r w:rsidRPr="00D838A2">
        <w:rPr>
          <w:rFonts w:cs="Arial" w:hint="cs"/>
          <w:rtl/>
        </w:rPr>
        <w:t xml:space="preserve"> </w:t>
      </w:r>
      <w:r w:rsidRPr="00D838A2">
        <w:rPr>
          <w:rFonts w:cs="Arial" w:hint="cs"/>
          <w:sz w:val="16"/>
          <w:szCs w:val="16"/>
          <w:rtl/>
        </w:rPr>
        <w:t>(</w:t>
      </w:r>
      <w:r>
        <w:rPr>
          <w:rFonts w:cs="Arial" w:hint="cs"/>
          <w:sz w:val="16"/>
          <w:szCs w:val="16"/>
          <w:rtl/>
        </w:rPr>
        <w:t>כ"כ</w:t>
      </w:r>
      <w:r w:rsidRPr="00D838A2">
        <w:rPr>
          <w:rFonts w:cs="Arial" w:hint="cs"/>
          <w:sz w:val="16"/>
          <w:szCs w:val="16"/>
          <w:rtl/>
        </w:rPr>
        <w:t xml:space="preserve"> הטור</w:t>
      </w:r>
      <w:r>
        <w:rPr>
          <w:rFonts w:cs="Arial" w:hint="cs"/>
          <w:sz w:val="16"/>
          <w:szCs w:val="16"/>
          <w:rtl/>
        </w:rPr>
        <w:t xml:space="preserve"> בשמו</w:t>
      </w:r>
      <w:r w:rsidRPr="00D838A2">
        <w:rPr>
          <w:rFonts w:cs="Arial" w:hint="cs"/>
          <w:sz w:val="16"/>
          <w:szCs w:val="16"/>
          <w:rtl/>
        </w:rPr>
        <w:t>)</w:t>
      </w:r>
      <w:r w:rsidRPr="00D838A2">
        <w:rPr>
          <w:rFonts w:cs="Arial" w:hint="cs"/>
          <w:rtl/>
        </w:rPr>
        <w:t xml:space="preserve">- </w:t>
      </w:r>
      <w:r w:rsidRPr="0076157A">
        <w:rPr>
          <w:rFonts w:cs="Arial"/>
          <w:rtl/>
        </w:rPr>
        <w:t>גם החלב אסור</w:t>
      </w:r>
      <w:r>
        <w:rPr>
          <w:rFonts w:cs="Arial" w:hint="cs"/>
          <w:rtl/>
        </w:rPr>
        <w:t>, אפילו קדם וסילקו</w:t>
      </w:r>
      <w:r w:rsidRPr="0076157A">
        <w:rPr>
          <w:rFonts w:cs="Arial"/>
          <w:rtl/>
        </w:rPr>
        <w:t xml:space="preserve"> דמין במינו במשהו</w:t>
      </w:r>
      <w:r>
        <w:rPr>
          <w:rStyle w:val="a7"/>
          <w:rFonts w:cs="Arial"/>
          <w:rtl/>
        </w:rPr>
        <w:footnoteReference w:id="1380"/>
      </w:r>
      <w:r w:rsidRPr="00D838A2">
        <w:rPr>
          <w:rFonts w:cs="Arial" w:hint="cs"/>
          <w:rtl/>
        </w:rPr>
        <w:t>.</w:t>
      </w:r>
    </w:p>
    <w:p w14:paraId="18B680C7" w14:textId="77777777" w:rsidR="002C39F4" w:rsidRDefault="002C39F4" w:rsidP="002C39F4">
      <w:pPr>
        <w:pStyle w:val="a8"/>
        <w:numPr>
          <w:ilvl w:val="0"/>
          <w:numId w:val="98"/>
        </w:numPr>
        <w:rPr>
          <w:rFonts w:cs="Arial"/>
        </w:rPr>
      </w:pPr>
      <w:r>
        <w:rPr>
          <w:rFonts w:cs="Arial" w:hint="cs"/>
          <w:rtl/>
        </w:rPr>
        <w:t>ר"ת</w:t>
      </w:r>
      <w:r w:rsidRPr="00DB10AA">
        <w:rPr>
          <w:rFonts w:cs="Arial" w:hint="cs"/>
          <w:sz w:val="16"/>
          <w:szCs w:val="16"/>
          <w:rtl/>
        </w:rPr>
        <w:t xml:space="preserve"> (צז. תוס' ד"ה אמר)</w:t>
      </w:r>
      <w:r>
        <w:rPr>
          <w:rFonts w:cs="Arial" w:hint="cs"/>
          <w:rtl/>
        </w:rPr>
        <w:t xml:space="preserve">- בין קדם וסילק ובין לא גם החלב אסור כיון דאין ששים. </w:t>
      </w:r>
    </w:p>
    <w:p w14:paraId="2C771CD9" w14:textId="77777777" w:rsidR="002C39F4" w:rsidRDefault="002C39F4" w:rsidP="002C39F4">
      <w:pPr>
        <w:pStyle w:val="a8"/>
        <w:numPr>
          <w:ilvl w:val="0"/>
          <w:numId w:val="98"/>
        </w:numPr>
        <w:rPr>
          <w:rFonts w:cs="Arial"/>
        </w:rPr>
      </w:pPr>
      <w:r>
        <w:rPr>
          <w:rFonts w:cs="Arial"/>
          <w:rtl/>
        </w:rPr>
        <w:t>רמב"ם</w:t>
      </w:r>
      <w:r>
        <w:rPr>
          <w:rStyle w:val="a7"/>
          <w:rFonts w:cs="Arial"/>
          <w:rtl/>
        </w:rPr>
        <w:footnoteReference w:id="1381"/>
      </w:r>
      <w:r>
        <w:rPr>
          <w:rFonts w:cs="Arial"/>
          <w:rtl/>
        </w:rPr>
        <w:t xml:space="preserve"> </w:t>
      </w:r>
      <w:r w:rsidRPr="00272BB6">
        <w:rPr>
          <w:rFonts w:cs="Arial" w:hint="cs"/>
          <w:sz w:val="16"/>
          <w:szCs w:val="16"/>
          <w:rtl/>
        </w:rPr>
        <w:t>(</w:t>
      </w:r>
      <w:r w:rsidRPr="00272BB6">
        <w:rPr>
          <w:rFonts w:cs="Arial"/>
          <w:sz w:val="16"/>
          <w:szCs w:val="16"/>
          <w:rtl/>
        </w:rPr>
        <w:t xml:space="preserve">פ"ט ה"ח) </w:t>
      </w:r>
      <w:r>
        <w:rPr>
          <w:rFonts w:cs="Arial" w:hint="cs"/>
          <w:rtl/>
        </w:rPr>
        <w:t>ו</w:t>
      </w:r>
      <w:r>
        <w:rPr>
          <w:rFonts w:cs="Arial"/>
          <w:rtl/>
        </w:rPr>
        <w:t>רשב"א</w:t>
      </w:r>
      <w:r>
        <w:rPr>
          <w:rFonts w:cs="Arial" w:hint="cs"/>
          <w:rtl/>
        </w:rPr>
        <w:t xml:space="preserve"> </w:t>
      </w:r>
      <w:r w:rsidRPr="00272BB6">
        <w:rPr>
          <w:rFonts w:cs="Arial" w:hint="cs"/>
          <w:sz w:val="16"/>
          <w:szCs w:val="16"/>
          <w:rtl/>
        </w:rPr>
        <w:t xml:space="preserve">(תוה"א </w:t>
      </w:r>
      <w:r w:rsidRPr="00272BB6">
        <w:rPr>
          <w:rFonts w:cs="Arial"/>
          <w:sz w:val="16"/>
          <w:szCs w:val="16"/>
          <w:rtl/>
        </w:rPr>
        <w:t>ב"ד ש"א)</w:t>
      </w:r>
      <w:r>
        <w:rPr>
          <w:rFonts w:cs="Arial" w:hint="cs"/>
          <w:rtl/>
        </w:rPr>
        <w:t>-</w:t>
      </w:r>
      <w:r w:rsidRPr="00272BB6">
        <w:rPr>
          <w:rFonts w:cs="Arial"/>
          <w:rtl/>
        </w:rPr>
        <w:t xml:space="preserve"> </w:t>
      </w:r>
      <w:r>
        <w:rPr>
          <w:rFonts w:cs="Arial" w:hint="cs"/>
          <w:rtl/>
        </w:rPr>
        <w:t>אם קדם וסילק החתיכה</w:t>
      </w:r>
      <w:r>
        <w:rPr>
          <w:rStyle w:val="a7"/>
          <w:rFonts w:cs="Arial"/>
          <w:rtl/>
        </w:rPr>
        <w:footnoteReference w:id="1382"/>
      </w:r>
      <w:r>
        <w:rPr>
          <w:rFonts w:cs="Arial" w:hint="cs"/>
          <w:rtl/>
        </w:rPr>
        <w:t xml:space="preserve"> </w:t>
      </w:r>
      <w:r>
        <w:rPr>
          <w:rFonts w:cs="Arial"/>
          <w:rtl/>
        </w:rPr>
        <w:t>החלב מותר אלא שצריך להטעימו לגוי לראות אם יש בו טעם בשר</w:t>
      </w:r>
      <w:r>
        <w:rPr>
          <w:rStyle w:val="a7"/>
          <w:rFonts w:cs="Arial"/>
          <w:rtl/>
        </w:rPr>
        <w:footnoteReference w:id="1383"/>
      </w:r>
      <w:r>
        <w:rPr>
          <w:rFonts w:cs="Arial" w:hint="cs"/>
          <w:rtl/>
        </w:rPr>
        <w:t>, ואם לא קדם וסילק צריך ששים.</w:t>
      </w:r>
    </w:p>
    <w:p w14:paraId="709A8067" w14:textId="77777777" w:rsidR="002C39F4" w:rsidRPr="001E703D" w:rsidRDefault="002C39F4" w:rsidP="002C39F4">
      <w:pPr>
        <w:pStyle w:val="a8"/>
        <w:numPr>
          <w:ilvl w:val="0"/>
          <w:numId w:val="98"/>
        </w:numPr>
        <w:rPr>
          <w:rFonts w:cs="Arial"/>
          <w:rtl/>
        </w:rPr>
      </w:pPr>
      <w:r w:rsidRPr="001E703D">
        <w:rPr>
          <w:rFonts w:cs="Arial"/>
          <w:rtl/>
        </w:rPr>
        <w:t>ר</w:t>
      </w:r>
      <w:r w:rsidRPr="001E703D">
        <w:rPr>
          <w:rFonts w:cs="Arial" w:hint="cs"/>
          <w:rtl/>
        </w:rPr>
        <w:t>י"ו</w:t>
      </w:r>
      <w:r w:rsidRPr="001E703D">
        <w:rPr>
          <w:rFonts w:cs="Arial"/>
          <w:rtl/>
        </w:rPr>
        <w:t xml:space="preserve"> </w:t>
      </w:r>
      <w:r w:rsidRPr="001E703D">
        <w:rPr>
          <w:rFonts w:cs="Arial"/>
          <w:sz w:val="16"/>
          <w:szCs w:val="16"/>
          <w:rtl/>
        </w:rPr>
        <w:t xml:space="preserve">(נט"ו אות כח קלז </w:t>
      </w:r>
      <w:r w:rsidRPr="001E703D">
        <w:rPr>
          <w:rFonts w:cs="Arial" w:hint="cs"/>
          <w:sz w:val="16"/>
          <w:szCs w:val="16"/>
          <w:rtl/>
        </w:rPr>
        <w:t>סו</w:t>
      </w:r>
      <w:r w:rsidRPr="001E703D">
        <w:rPr>
          <w:rFonts w:cs="Arial"/>
          <w:sz w:val="16"/>
          <w:szCs w:val="16"/>
          <w:rtl/>
        </w:rPr>
        <w:t>ע"ג</w:t>
      </w:r>
      <w:r>
        <w:rPr>
          <w:rFonts w:cs="Arial" w:hint="cs"/>
          <w:sz w:val="16"/>
          <w:szCs w:val="16"/>
          <w:rtl/>
        </w:rPr>
        <w:t>, הביאו ב"י בבדה"ב בסע' ב</w:t>
      </w:r>
      <w:r w:rsidRPr="001E703D">
        <w:rPr>
          <w:rFonts w:cs="Arial"/>
          <w:sz w:val="16"/>
          <w:szCs w:val="16"/>
          <w:rtl/>
        </w:rPr>
        <w:t>)</w:t>
      </w:r>
      <w:r w:rsidRPr="001E703D">
        <w:rPr>
          <w:rFonts w:cs="Arial" w:hint="cs"/>
          <w:rtl/>
        </w:rPr>
        <w:t xml:space="preserve">- </w:t>
      </w:r>
      <w:r w:rsidRPr="001E703D">
        <w:rPr>
          <w:rFonts w:cs="Arial"/>
          <w:rtl/>
        </w:rPr>
        <w:t>כזית בשר שנפל לתוך יורה רותחת של חלב בשר אסור וחלב מותר אם י</w:t>
      </w:r>
      <w:r>
        <w:rPr>
          <w:rFonts w:cs="Arial"/>
          <w:rtl/>
        </w:rPr>
        <w:t>ש בחלב ששים לבטל הנפלט מהבשר אע</w:t>
      </w:r>
      <w:r>
        <w:rPr>
          <w:rFonts w:cs="Arial" w:hint="cs"/>
          <w:rtl/>
        </w:rPr>
        <w:t>"</w:t>
      </w:r>
      <w:r>
        <w:rPr>
          <w:rFonts w:cs="Arial"/>
          <w:rtl/>
        </w:rPr>
        <w:t>פ</w:t>
      </w:r>
      <w:r w:rsidRPr="001E703D">
        <w:rPr>
          <w:rFonts w:cs="Arial"/>
          <w:rtl/>
        </w:rPr>
        <w:t xml:space="preserve"> שאין בו לבטל כל הכזית</w:t>
      </w:r>
      <w:r>
        <w:rPr>
          <w:rStyle w:val="a7"/>
          <w:rFonts w:cs="Arial"/>
          <w:rtl/>
        </w:rPr>
        <w:footnoteReference w:id="1384"/>
      </w:r>
      <w:r w:rsidRPr="001E703D">
        <w:rPr>
          <w:rFonts w:cs="Arial" w:hint="cs"/>
          <w:rtl/>
        </w:rPr>
        <w:t>.</w:t>
      </w:r>
      <w:r w:rsidRPr="001E703D">
        <w:rPr>
          <w:rFonts w:cs="Arial"/>
          <w:rtl/>
        </w:rPr>
        <w:t xml:space="preserve"> </w:t>
      </w:r>
    </w:p>
    <w:p w14:paraId="723CEBDF" w14:textId="77777777" w:rsidR="002C39F4" w:rsidRPr="00D838A2" w:rsidRDefault="002C39F4" w:rsidP="002C39F4">
      <w:pPr>
        <w:ind w:left="360"/>
        <w:rPr>
          <w:rFonts w:cs="Arial"/>
          <w:u w:val="dotted"/>
          <w:rtl/>
        </w:rPr>
      </w:pPr>
      <w:r w:rsidRPr="00D838A2">
        <w:rPr>
          <w:rFonts w:cs="Arial" w:hint="cs"/>
          <w:u w:val="dotted"/>
          <w:rtl/>
        </w:rPr>
        <w:t xml:space="preserve">ומה הדין אם </w:t>
      </w:r>
      <w:r w:rsidRPr="00D838A2">
        <w:rPr>
          <w:rFonts w:cs="Arial"/>
          <w:u w:val="dotted"/>
          <w:rtl/>
        </w:rPr>
        <w:t xml:space="preserve">יש בו </w:t>
      </w:r>
      <w:r w:rsidRPr="00D838A2">
        <w:rPr>
          <w:rFonts w:cs="Arial" w:hint="cs"/>
          <w:u w:val="dotted"/>
          <w:rtl/>
        </w:rPr>
        <w:t>ששים</w:t>
      </w:r>
      <w:r w:rsidRPr="00D838A2">
        <w:rPr>
          <w:rFonts w:cs="Arial"/>
          <w:u w:val="dotted"/>
          <w:rtl/>
        </w:rPr>
        <w:t xml:space="preserve"> </w:t>
      </w:r>
      <w:r w:rsidRPr="00D838A2">
        <w:rPr>
          <w:rFonts w:cs="Arial" w:hint="cs"/>
          <w:u w:val="dotted"/>
          <w:rtl/>
        </w:rPr>
        <w:t xml:space="preserve">אבל </w:t>
      </w:r>
      <w:r w:rsidRPr="00D838A2">
        <w:rPr>
          <w:rFonts w:cs="Arial"/>
          <w:u w:val="dotted"/>
          <w:rtl/>
        </w:rPr>
        <w:t>לא ק</w:t>
      </w:r>
      <w:r>
        <w:rPr>
          <w:rFonts w:cs="Arial"/>
          <w:u w:val="dotted"/>
          <w:rtl/>
        </w:rPr>
        <w:t>דם וסלקו</w:t>
      </w:r>
      <w:r w:rsidRPr="00D838A2">
        <w:rPr>
          <w:rFonts w:cs="Arial" w:hint="cs"/>
          <w:u w:val="dotted"/>
          <w:rtl/>
        </w:rPr>
        <w:t>:</w:t>
      </w:r>
    </w:p>
    <w:p w14:paraId="2631BEFA" w14:textId="77777777" w:rsidR="002C39F4" w:rsidRPr="00D838A2" w:rsidRDefault="002C39F4" w:rsidP="002C39F4">
      <w:pPr>
        <w:pStyle w:val="a8"/>
        <w:numPr>
          <w:ilvl w:val="0"/>
          <w:numId w:val="98"/>
        </w:numPr>
        <w:rPr>
          <w:rFonts w:cs="Arial"/>
          <w:rtl/>
        </w:rPr>
      </w:pPr>
      <w:r w:rsidRPr="00D838A2">
        <w:rPr>
          <w:rFonts w:cs="Arial"/>
          <w:rtl/>
        </w:rPr>
        <w:t>רש"י</w:t>
      </w:r>
      <w:r w:rsidRPr="00D838A2">
        <w:rPr>
          <w:rFonts w:cs="Arial" w:hint="cs"/>
          <w:rtl/>
        </w:rPr>
        <w:t xml:space="preserve"> </w:t>
      </w:r>
      <w:r w:rsidRPr="00D838A2">
        <w:rPr>
          <w:rFonts w:cs="Arial" w:hint="cs"/>
          <w:sz w:val="16"/>
          <w:szCs w:val="16"/>
          <w:rtl/>
        </w:rPr>
        <w:t>(להב' הטור)</w:t>
      </w:r>
      <w:r w:rsidRPr="00D838A2">
        <w:rPr>
          <w:rFonts w:cs="Arial" w:hint="cs"/>
          <w:rtl/>
        </w:rPr>
        <w:t xml:space="preserve">- </w:t>
      </w:r>
      <w:r w:rsidRPr="00D838A2">
        <w:rPr>
          <w:rFonts w:cs="Arial"/>
          <w:rtl/>
        </w:rPr>
        <w:t xml:space="preserve">גם </w:t>
      </w:r>
      <w:r>
        <w:rPr>
          <w:rFonts w:cs="Arial" w:hint="cs"/>
          <w:rtl/>
        </w:rPr>
        <w:t xml:space="preserve">כאן </w:t>
      </w:r>
      <w:r w:rsidRPr="00D838A2">
        <w:rPr>
          <w:rFonts w:cs="Arial"/>
          <w:rtl/>
        </w:rPr>
        <w:t>החלב אסור דמין במינו במשהו</w:t>
      </w:r>
      <w:r w:rsidRPr="00D838A2">
        <w:rPr>
          <w:rFonts w:cs="Arial" w:hint="cs"/>
          <w:rtl/>
        </w:rPr>
        <w:t>.</w:t>
      </w:r>
      <w:r>
        <w:rPr>
          <w:rFonts w:cs="Arial" w:hint="cs"/>
          <w:rtl/>
        </w:rPr>
        <w:t xml:space="preserve">   </w:t>
      </w:r>
    </w:p>
    <w:p w14:paraId="5D784520" w14:textId="77777777" w:rsidR="002C39F4" w:rsidRDefault="002C39F4" w:rsidP="002C39F4">
      <w:pPr>
        <w:pStyle w:val="a8"/>
        <w:numPr>
          <w:ilvl w:val="0"/>
          <w:numId w:val="98"/>
        </w:numPr>
        <w:rPr>
          <w:rFonts w:cs="Arial"/>
        </w:rPr>
      </w:pPr>
      <w:r w:rsidRPr="00D838A2">
        <w:rPr>
          <w:rFonts w:cs="Arial"/>
          <w:rtl/>
        </w:rPr>
        <w:t xml:space="preserve">ר"ת </w:t>
      </w:r>
      <w:r w:rsidRPr="00D838A2">
        <w:rPr>
          <w:rFonts w:cs="Arial" w:hint="cs"/>
          <w:sz w:val="16"/>
          <w:szCs w:val="16"/>
          <w:rtl/>
        </w:rPr>
        <w:t>(להב' הטור)</w:t>
      </w:r>
      <w:r>
        <w:rPr>
          <w:rFonts w:cs="Arial" w:hint="cs"/>
          <w:rtl/>
        </w:rPr>
        <w:t xml:space="preserve"> </w:t>
      </w:r>
      <w:r>
        <w:rPr>
          <w:rFonts w:cs="Arial"/>
          <w:rtl/>
        </w:rPr>
        <w:t xml:space="preserve">רמב"ם </w:t>
      </w:r>
      <w:r w:rsidRPr="00272BB6">
        <w:rPr>
          <w:rFonts w:cs="Arial" w:hint="cs"/>
          <w:sz w:val="16"/>
          <w:szCs w:val="16"/>
          <w:rtl/>
        </w:rPr>
        <w:t>(</w:t>
      </w:r>
      <w:r w:rsidRPr="00272BB6">
        <w:rPr>
          <w:rFonts w:cs="Arial"/>
          <w:sz w:val="16"/>
          <w:szCs w:val="16"/>
          <w:rtl/>
        </w:rPr>
        <w:t>פ"ט ה"ח)</w:t>
      </w:r>
      <w:r w:rsidRPr="00D838A2">
        <w:rPr>
          <w:rFonts w:cs="Arial" w:hint="cs"/>
          <w:rtl/>
        </w:rPr>
        <w:t xml:space="preserve"> </w:t>
      </w:r>
      <w:r>
        <w:rPr>
          <w:rFonts w:cs="Arial" w:hint="cs"/>
          <w:rtl/>
        </w:rPr>
        <w:t>ורשב"א</w:t>
      </w:r>
      <w:r>
        <w:rPr>
          <w:rFonts w:cs="Arial" w:hint="cs"/>
          <w:sz w:val="16"/>
          <w:szCs w:val="16"/>
          <w:rtl/>
        </w:rPr>
        <w:t xml:space="preserve"> (תוה"א ב"ד ש"א ז:)</w:t>
      </w:r>
      <w:r>
        <w:rPr>
          <w:rFonts w:cs="Arial" w:hint="cs"/>
          <w:rtl/>
        </w:rPr>
        <w:t>-</w:t>
      </w:r>
      <w:r w:rsidRPr="00D838A2">
        <w:rPr>
          <w:rFonts w:cs="Arial"/>
          <w:rtl/>
        </w:rPr>
        <w:t xml:space="preserve"> כיון שיש בו </w:t>
      </w:r>
      <w:r>
        <w:rPr>
          <w:rFonts w:cs="Arial" w:hint="cs"/>
          <w:rtl/>
        </w:rPr>
        <w:t>ששים</w:t>
      </w:r>
      <w:r w:rsidRPr="00D838A2">
        <w:rPr>
          <w:rFonts w:cs="Arial"/>
          <w:rtl/>
        </w:rPr>
        <w:t xml:space="preserve"> מותר</w:t>
      </w:r>
      <w:r>
        <w:rPr>
          <w:rFonts w:cs="Arial" w:hint="cs"/>
          <w:rtl/>
        </w:rPr>
        <w:t xml:space="preserve">, </w:t>
      </w:r>
      <w:r>
        <w:rPr>
          <w:rFonts w:cs="Arial"/>
          <w:rtl/>
        </w:rPr>
        <w:t xml:space="preserve">דמין במינו </w:t>
      </w:r>
      <w:r>
        <w:rPr>
          <w:rFonts w:cs="Arial" w:hint="cs"/>
          <w:rtl/>
        </w:rPr>
        <w:t>בששים</w:t>
      </w:r>
      <w:r>
        <w:rPr>
          <w:rStyle w:val="a7"/>
          <w:rFonts w:cs="Arial"/>
          <w:rtl/>
        </w:rPr>
        <w:footnoteReference w:id="1385"/>
      </w:r>
      <w:r>
        <w:rPr>
          <w:rFonts w:cs="Arial" w:hint="cs"/>
          <w:rtl/>
        </w:rPr>
        <w:t>.</w:t>
      </w:r>
    </w:p>
    <w:p w14:paraId="6A00C15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A059227" w14:textId="77777777" w:rsidR="002C39F4" w:rsidRDefault="002C39F4" w:rsidP="002C39F4">
      <w:pPr>
        <w:rPr>
          <w:rFonts w:asciiTheme="minorBidi" w:hAnsiTheme="minorBidi"/>
          <w:rtl/>
        </w:rPr>
      </w:pPr>
      <w:r w:rsidRPr="003024E5">
        <w:rPr>
          <w:rFonts w:asciiTheme="minorBidi" w:hAnsiTheme="minorBidi"/>
          <w:rtl/>
        </w:rPr>
        <w:t xml:space="preserve">כזית בשר שנפל לתוך יורה של </w:t>
      </w:r>
      <w:r>
        <w:rPr>
          <w:rFonts w:asciiTheme="minorBidi" w:hAnsiTheme="minorBidi"/>
          <w:rtl/>
        </w:rPr>
        <w:t>חלב רותח, טועם ה</w:t>
      </w:r>
      <w:r>
        <w:rPr>
          <w:rFonts w:asciiTheme="minorBidi" w:hAnsiTheme="minorBidi" w:hint="cs"/>
          <w:rtl/>
        </w:rPr>
        <w:t>גוי</w:t>
      </w:r>
      <w:r w:rsidRPr="003024E5">
        <w:rPr>
          <w:rFonts w:asciiTheme="minorBidi" w:hAnsiTheme="minorBidi"/>
          <w:rtl/>
        </w:rPr>
        <w:t xml:space="preserve"> הקדירה</w:t>
      </w:r>
      <w:r>
        <w:rPr>
          <w:rStyle w:val="a7"/>
          <w:rFonts w:asciiTheme="minorBidi" w:hAnsiTheme="minorBidi"/>
          <w:rtl/>
        </w:rPr>
        <w:footnoteReference w:id="1386"/>
      </w:r>
      <w:r w:rsidRPr="003024E5">
        <w:rPr>
          <w:rFonts w:asciiTheme="minorBidi" w:hAnsiTheme="minorBidi"/>
          <w:rtl/>
        </w:rPr>
        <w:t>, אם אמר שיש בה טעם בשר, אסורה. ואם לאו, מותרת, אפילו בפחות מששים, ואותה חתיכה אסורה. במה דברים אמורים, כשקדם והוציא החתיכה קודם שתפלוט חלב שבלעה</w:t>
      </w:r>
      <w:r>
        <w:rPr>
          <w:rStyle w:val="a7"/>
          <w:rFonts w:asciiTheme="minorBidi" w:hAnsiTheme="minorBidi"/>
          <w:rtl/>
        </w:rPr>
        <w:footnoteReference w:id="1387"/>
      </w:r>
      <w:r w:rsidRPr="003024E5">
        <w:rPr>
          <w:rFonts w:asciiTheme="minorBidi" w:hAnsiTheme="minorBidi"/>
          <w:rtl/>
        </w:rPr>
        <w:t>, דהיינו קודם שתנוח היורה מרתיחתה, אבל אם לא הספיק לסלקו עד שיוכל לפלוט ה</w:t>
      </w:r>
      <w:r>
        <w:rPr>
          <w:rFonts w:asciiTheme="minorBidi" w:hAnsiTheme="minorBidi"/>
          <w:rtl/>
        </w:rPr>
        <w:t xml:space="preserve">חלב שבלעה, אף על פי שטעמו </w:t>
      </w:r>
      <w:r>
        <w:rPr>
          <w:rFonts w:asciiTheme="minorBidi" w:hAnsiTheme="minorBidi" w:hint="cs"/>
          <w:rtl/>
        </w:rPr>
        <w:t>גוי</w:t>
      </w:r>
      <w:r>
        <w:rPr>
          <w:rFonts w:asciiTheme="minorBidi" w:hAnsiTheme="minorBidi"/>
          <w:rtl/>
        </w:rPr>
        <w:t xml:space="preserve"> ואין בו טעם כלל אסור</w:t>
      </w:r>
      <w:r>
        <w:rPr>
          <w:rStyle w:val="a7"/>
          <w:rFonts w:asciiTheme="minorBidi" w:hAnsiTheme="minorBidi"/>
          <w:rtl/>
        </w:rPr>
        <w:footnoteReference w:id="1388"/>
      </w:r>
      <w:r>
        <w:rPr>
          <w:rFonts w:asciiTheme="minorBidi" w:hAnsiTheme="minorBidi"/>
          <w:rtl/>
        </w:rPr>
        <w:t>, א</w:t>
      </w:r>
      <w:r>
        <w:rPr>
          <w:rFonts w:asciiTheme="minorBidi" w:hAnsiTheme="minorBidi" w:hint="cs"/>
          <w:rtl/>
        </w:rPr>
        <w:t xml:space="preserve">לא אם </w:t>
      </w:r>
      <w:r w:rsidRPr="003024E5">
        <w:rPr>
          <w:rFonts w:asciiTheme="minorBidi" w:hAnsiTheme="minorBidi"/>
          <w:rtl/>
        </w:rPr>
        <w:t>כ</w:t>
      </w:r>
      <w:r>
        <w:rPr>
          <w:rFonts w:asciiTheme="minorBidi" w:hAnsiTheme="minorBidi" w:hint="cs"/>
          <w:rtl/>
        </w:rPr>
        <w:t>ן</w:t>
      </w:r>
      <w:r>
        <w:rPr>
          <w:rFonts w:asciiTheme="minorBidi" w:hAnsiTheme="minorBidi"/>
          <w:rtl/>
        </w:rPr>
        <w:t xml:space="preserve"> יש בו </w:t>
      </w:r>
      <w:r>
        <w:rPr>
          <w:rFonts w:asciiTheme="minorBidi" w:hAnsiTheme="minorBidi" w:hint="cs"/>
          <w:rtl/>
        </w:rPr>
        <w:t>ששים</w:t>
      </w:r>
      <w:r w:rsidRPr="003024E5">
        <w:rPr>
          <w:rFonts w:asciiTheme="minorBidi" w:hAnsiTheme="minorBidi"/>
          <w:rtl/>
        </w:rPr>
        <w:t xml:space="preserve">. </w:t>
      </w:r>
      <w:r w:rsidRPr="00A74A2C">
        <w:rPr>
          <w:rFonts w:asciiTheme="minorBidi" w:hAnsiTheme="minorBidi"/>
          <w:sz w:val="18"/>
          <w:szCs w:val="18"/>
          <w:rtl/>
        </w:rPr>
        <w:t>הגה: וע"ל סי</w:t>
      </w:r>
      <w:r>
        <w:rPr>
          <w:rFonts w:asciiTheme="minorBidi" w:hAnsiTheme="minorBidi" w:hint="cs"/>
          <w:sz w:val="18"/>
          <w:szCs w:val="18"/>
          <w:rtl/>
        </w:rPr>
        <w:t>'</w:t>
      </w:r>
      <w:r w:rsidRPr="00A74A2C">
        <w:rPr>
          <w:rFonts w:asciiTheme="minorBidi" w:hAnsiTheme="minorBidi"/>
          <w:sz w:val="18"/>
          <w:szCs w:val="18"/>
          <w:rtl/>
        </w:rPr>
        <w:t xml:space="preserve"> צח דאין אנו נוהגין לסמוך אטעימת </w:t>
      </w:r>
      <w:r>
        <w:rPr>
          <w:rFonts w:asciiTheme="minorBidi" w:hAnsiTheme="minorBidi" w:hint="cs"/>
          <w:sz w:val="18"/>
          <w:szCs w:val="18"/>
          <w:rtl/>
        </w:rPr>
        <w:t>גוי</w:t>
      </w:r>
      <w:r w:rsidRPr="00A74A2C">
        <w:rPr>
          <w:rFonts w:asciiTheme="minorBidi" w:hAnsiTheme="minorBidi"/>
          <w:sz w:val="18"/>
          <w:szCs w:val="18"/>
          <w:rtl/>
        </w:rPr>
        <w:t>, ובעינן ס' בכל ענין.</w:t>
      </w:r>
      <w:r w:rsidRPr="003024E5">
        <w:rPr>
          <w:rFonts w:asciiTheme="minorBidi" w:hAnsiTheme="minorBidi"/>
          <w:rtl/>
        </w:rPr>
        <w:t xml:space="preserve"> </w:t>
      </w:r>
    </w:p>
    <w:p w14:paraId="02C4A575" w14:textId="77777777" w:rsidR="002C39F4" w:rsidRPr="003024E5" w:rsidRDefault="002C39F4" w:rsidP="002C39F4">
      <w:pPr>
        <w:rPr>
          <w:rFonts w:asciiTheme="minorBidi" w:hAnsiTheme="minorBidi"/>
          <w:rtl/>
        </w:rPr>
      </w:pPr>
    </w:p>
    <w:p w14:paraId="4D0C3153" w14:textId="77777777" w:rsidR="002C39F4" w:rsidRPr="006B74EA"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נפל חלב לתוך קדרה של בשר.</w:t>
      </w:r>
    </w:p>
    <w:p w14:paraId="67CD235B" w14:textId="77777777" w:rsidR="002C39F4" w:rsidRDefault="002C39F4" w:rsidP="002C39F4">
      <w:pPr>
        <w:rPr>
          <w:rFonts w:cs="Arial"/>
          <w:rtl/>
        </w:rPr>
      </w:pPr>
      <w:r>
        <w:rPr>
          <w:rFonts w:cs="Arial" w:hint="cs"/>
          <w:b/>
          <w:bCs/>
          <w:rtl/>
        </w:rPr>
        <w:t xml:space="preserve">חולין קח ע"א: </w:t>
      </w:r>
      <w:r w:rsidRPr="00351F5B">
        <w:rPr>
          <w:rFonts w:cs="Arial"/>
          <w:u w:val="double"/>
          <w:rtl/>
        </w:rPr>
        <w:t>מתני'</w:t>
      </w:r>
      <w:r w:rsidRPr="00351F5B">
        <w:rPr>
          <w:rFonts w:cs="Arial" w:hint="cs"/>
          <w:u w:val="double"/>
          <w:rtl/>
        </w:rPr>
        <w:t>:</w:t>
      </w:r>
      <w:r w:rsidRPr="00351F5B">
        <w:rPr>
          <w:rFonts w:cs="Arial"/>
          <w:rtl/>
        </w:rPr>
        <w:t xml:space="preserve"> טיפת חלב שנפלה על החתיכה</w:t>
      </w:r>
      <w:r>
        <w:rPr>
          <w:rStyle w:val="a7"/>
          <w:rFonts w:cs="Arial"/>
          <w:rtl/>
        </w:rPr>
        <w:footnoteReference w:id="1389"/>
      </w:r>
      <w:r w:rsidRPr="00351F5B">
        <w:rPr>
          <w:rFonts w:cs="Arial"/>
          <w:rtl/>
        </w:rPr>
        <w:t xml:space="preserve">, אם יש </w:t>
      </w:r>
      <w:r>
        <w:rPr>
          <w:rFonts w:cs="Arial"/>
          <w:rtl/>
        </w:rPr>
        <w:t>בה בנותן טעם באותה חתיכה</w:t>
      </w:r>
      <w:r>
        <w:rPr>
          <w:rStyle w:val="a7"/>
          <w:rFonts w:cs="Arial"/>
          <w:rtl/>
        </w:rPr>
        <w:footnoteReference w:id="1390"/>
      </w:r>
      <w:r>
        <w:rPr>
          <w:rFonts w:cs="Arial" w:hint="cs"/>
          <w:rtl/>
        </w:rPr>
        <w:t xml:space="preserve"> -</w:t>
      </w:r>
      <w:r>
        <w:rPr>
          <w:rFonts w:cs="Arial"/>
          <w:rtl/>
        </w:rPr>
        <w:t xml:space="preserve"> אסור</w:t>
      </w:r>
      <w:r>
        <w:rPr>
          <w:rFonts w:cs="Arial" w:hint="cs"/>
          <w:rtl/>
        </w:rPr>
        <w:t>,</w:t>
      </w:r>
      <w:r w:rsidRPr="00351F5B">
        <w:rPr>
          <w:rFonts w:cs="Arial"/>
          <w:rtl/>
        </w:rPr>
        <w:t xml:space="preserve"> ניער את הקדרה</w:t>
      </w:r>
      <w:r>
        <w:rPr>
          <w:rStyle w:val="a7"/>
          <w:rFonts w:cs="Arial"/>
          <w:rtl/>
        </w:rPr>
        <w:footnoteReference w:id="1391"/>
      </w:r>
      <w:r>
        <w:rPr>
          <w:rFonts w:cs="Arial"/>
          <w:rtl/>
        </w:rPr>
        <w:t>, אם יש בה בנותן טעם באותה קדרה</w:t>
      </w:r>
      <w:r>
        <w:rPr>
          <w:rStyle w:val="a7"/>
          <w:rFonts w:cs="Arial"/>
          <w:rtl/>
        </w:rPr>
        <w:footnoteReference w:id="1392"/>
      </w:r>
      <w:r>
        <w:rPr>
          <w:rFonts w:cs="Arial" w:hint="cs"/>
          <w:rtl/>
        </w:rPr>
        <w:t xml:space="preserve"> </w:t>
      </w:r>
      <w:r>
        <w:rPr>
          <w:rFonts w:cs="Arial"/>
          <w:rtl/>
        </w:rPr>
        <w:t>- אסור</w:t>
      </w:r>
      <w:r>
        <w:rPr>
          <w:rFonts w:cs="Arial" w:hint="cs"/>
          <w:rtl/>
        </w:rPr>
        <w:t xml:space="preserve">.     </w:t>
      </w:r>
      <w:r w:rsidRPr="006B74EA">
        <w:rPr>
          <w:rFonts w:cs="Arial" w:hint="cs"/>
          <w:u w:val="double"/>
          <w:rtl/>
        </w:rPr>
        <w:t>גמ'</w:t>
      </w:r>
      <w:r w:rsidRPr="006B74EA">
        <w:rPr>
          <w:rFonts w:cs="Arial" w:hint="cs"/>
          <w:sz w:val="14"/>
          <w:szCs w:val="14"/>
          <w:u w:val="double"/>
          <w:rtl/>
        </w:rPr>
        <w:t>(קח:)</w:t>
      </w:r>
      <w:r w:rsidRPr="006B74EA">
        <w:rPr>
          <w:rFonts w:cs="Arial" w:hint="cs"/>
          <w:u w:val="double"/>
          <w:rtl/>
        </w:rPr>
        <w:t>:</w:t>
      </w:r>
      <w:r w:rsidRPr="006B74EA">
        <w:rPr>
          <w:rtl/>
        </w:rPr>
        <w:t xml:space="preserve"> </w:t>
      </w:r>
      <w:r w:rsidRPr="006B74EA">
        <w:rPr>
          <w:rFonts w:cs="Arial"/>
          <w:rtl/>
        </w:rPr>
        <w:t>תניא: טפת חלב שנפלה ע</w:t>
      </w:r>
      <w:r>
        <w:rPr>
          <w:rFonts w:cs="Arial"/>
          <w:rtl/>
        </w:rPr>
        <w:t>ל החתיכה, כיון שנתנה טעם בחתיכה</w:t>
      </w:r>
      <w:r>
        <w:rPr>
          <w:rFonts w:cs="Arial" w:hint="cs"/>
          <w:rtl/>
        </w:rPr>
        <w:t xml:space="preserve"> </w:t>
      </w:r>
      <w:r w:rsidRPr="006B74EA">
        <w:rPr>
          <w:rFonts w:cs="Arial"/>
          <w:rtl/>
        </w:rPr>
        <w:t xml:space="preserve">- החתיכה עצמה נעשת נבלה, ואוסרת כל החתיכות כולן מפני שהן מינה - </w:t>
      </w:r>
      <w:r w:rsidRPr="006B74EA">
        <w:rPr>
          <w:rFonts w:cs="Arial"/>
          <w:u w:val="single"/>
          <w:rtl/>
        </w:rPr>
        <w:t>דברי ר' יהודה</w:t>
      </w:r>
      <w:r w:rsidRPr="006B74EA">
        <w:rPr>
          <w:rFonts w:cs="Arial"/>
          <w:rtl/>
        </w:rPr>
        <w:t xml:space="preserve">, </w:t>
      </w:r>
      <w:r w:rsidRPr="006B74EA">
        <w:rPr>
          <w:rFonts w:cs="Arial"/>
          <w:u w:val="single"/>
          <w:rtl/>
        </w:rPr>
        <w:t>וחכ"א</w:t>
      </w:r>
      <w:r w:rsidRPr="006B74EA">
        <w:rPr>
          <w:rFonts w:cs="Arial"/>
          <w:rtl/>
        </w:rPr>
        <w:t xml:space="preserve">: עד שתתן טעם ברוטב ובקיפה ובחתיכות, </w:t>
      </w:r>
      <w:r w:rsidRPr="006B74EA">
        <w:rPr>
          <w:rFonts w:cs="Arial"/>
          <w:u w:val="single"/>
          <w:rtl/>
        </w:rPr>
        <w:t>אמר רבי</w:t>
      </w:r>
      <w:r>
        <w:rPr>
          <w:rFonts w:cs="Arial"/>
          <w:rtl/>
        </w:rPr>
        <w:t>: נראין דברי ר' יהודה</w:t>
      </w:r>
      <w:r>
        <w:rPr>
          <w:rFonts w:cs="Arial" w:hint="cs"/>
          <w:rtl/>
        </w:rPr>
        <w:t xml:space="preserve"> </w:t>
      </w:r>
      <w:r w:rsidRPr="006B74EA">
        <w:rPr>
          <w:rFonts w:cs="Arial"/>
          <w:rtl/>
        </w:rPr>
        <w:t xml:space="preserve">- </w:t>
      </w:r>
      <w:r>
        <w:rPr>
          <w:rFonts w:cs="Arial"/>
          <w:rtl/>
        </w:rPr>
        <w:t>בשלא ניער</w:t>
      </w:r>
      <w:r>
        <w:rPr>
          <w:rStyle w:val="a7"/>
          <w:rFonts w:cs="Arial"/>
          <w:rtl/>
        </w:rPr>
        <w:footnoteReference w:id="1393"/>
      </w:r>
      <w:r>
        <w:rPr>
          <w:rFonts w:cs="Arial"/>
          <w:rtl/>
        </w:rPr>
        <w:t xml:space="preserve"> ושלא כסה, ודברי חכמים</w:t>
      </w:r>
      <w:r>
        <w:rPr>
          <w:rFonts w:cs="Arial" w:hint="cs"/>
          <w:rtl/>
        </w:rPr>
        <w:t xml:space="preserve"> </w:t>
      </w:r>
      <w:r w:rsidRPr="006B74EA">
        <w:rPr>
          <w:rFonts w:cs="Arial"/>
          <w:rtl/>
        </w:rPr>
        <w:t>- בשניער וכסה.</w:t>
      </w:r>
    </w:p>
    <w:p w14:paraId="43D2419C" w14:textId="77777777" w:rsidR="002C39F4" w:rsidRPr="001E703D" w:rsidRDefault="002C39F4" w:rsidP="002C39F4">
      <w:pPr>
        <w:rPr>
          <w:rFonts w:cs="Arial"/>
          <w:sz w:val="16"/>
          <w:szCs w:val="16"/>
          <w:u w:val="single"/>
          <w:rtl/>
        </w:rPr>
      </w:pPr>
      <w:r w:rsidRPr="00274842">
        <w:rPr>
          <w:rFonts w:cs="Arial"/>
          <w:u w:val="single"/>
          <w:rtl/>
        </w:rPr>
        <w:t>טיפת חלב</w:t>
      </w:r>
      <w:r>
        <w:rPr>
          <w:rFonts w:cs="Arial"/>
          <w:u w:val="single"/>
          <w:rtl/>
        </w:rPr>
        <w:t xml:space="preserve"> שנפלה על חתיכת בשר שבקדר</w:t>
      </w:r>
      <w:r>
        <w:rPr>
          <w:rFonts w:cs="Arial" w:hint="cs"/>
          <w:u w:val="single"/>
          <w:rtl/>
        </w:rPr>
        <w:t>ה</w:t>
      </w:r>
      <w:r w:rsidRPr="00274842">
        <w:rPr>
          <w:rFonts w:cs="Arial" w:hint="cs"/>
          <w:u w:val="single"/>
          <w:rtl/>
        </w:rPr>
        <w:t>:</w:t>
      </w:r>
    </w:p>
    <w:p w14:paraId="742BD88F" w14:textId="77777777" w:rsidR="002C39F4" w:rsidRPr="001C4D5A" w:rsidRDefault="002C39F4" w:rsidP="002C39F4">
      <w:pPr>
        <w:pStyle w:val="a8"/>
        <w:numPr>
          <w:ilvl w:val="0"/>
          <w:numId w:val="100"/>
        </w:numPr>
        <w:rPr>
          <w:rFonts w:cs="Arial"/>
        </w:rPr>
      </w:pPr>
      <w:r>
        <w:rPr>
          <w:rFonts w:cs="Arial" w:hint="cs"/>
          <w:rtl/>
        </w:rPr>
        <w:t xml:space="preserve">טור- </w:t>
      </w:r>
      <w:r w:rsidRPr="001C4D5A">
        <w:rPr>
          <w:rFonts w:cs="Arial"/>
          <w:rtl/>
        </w:rPr>
        <w:t>אם יש בה ס' לבטל החלב מותרת ואם לאו אסורה ואין השאר שבקדרה מצטרף עמה לבטל החלב</w:t>
      </w:r>
      <w:r>
        <w:rPr>
          <w:rStyle w:val="a7"/>
          <w:rFonts w:cs="Arial"/>
          <w:rtl/>
        </w:rPr>
        <w:footnoteReference w:id="1394"/>
      </w:r>
      <w:r>
        <w:rPr>
          <w:rFonts w:cs="Arial" w:hint="cs"/>
          <w:rtl/>
        </w:rPr>
        <w:t>.</w:t>
      </w:r>
    </w:p>
    <w:p w14:paraId="511FCC73" w14:textId="77777777" w:rsidR="002C39F4" w:rsidRDefault="002C39F4" w:rsidP="002C39F4">
      <w:pPr>
        <w:pStyle w:val="a8"/>
        <w:numPr>
          <w:ilvl w:val="0"/>
          <w:numId w:val="100"/>
        </w:numPr>
        <w:rPr>
          <w:rFonts w:cs="Arial"/>
        </w:rPr>
      </w:pPr>
      <w:r>
        <w:rPr>
          <w:rFonts w:cs="Arial"/>
          <w:rtl/>
        </w:rPr>
        <w:t xml:space="preserve">רמב"ם </w:t>
      </w:r>
      <w:r w:rsidRPr="001C4D5A">
        <w:rPr>
          <w:rFonts w:cs="Arial" w:hint="cs"/>
          <w:sz w:val="16"/>
          <w:szCs w:val="16"/>
          <w:rtl/>
        </w:rPr>
        <w:t>(</w:t>
      </w:r>
      <w:r w:rsidRPr="001C4D5A">
        <w:rPr>
          <w:rFonts w:cs="Arial"/>
          <w:sz w:val="16"/>
          <w:szCs w:val="16"/>
          <w:rtl/>
        </w:rPr>
        <w:t>פ"ט ה"ט)</w:t>
      </w:r>
      <w:r>
        <w:rPr>
          <w:rFonts w:cs="Arial" w:hint="cs"/>
          <w:rtl/>
        </w:rPr>
        <w:t>-</w:t>
      </w:r>
      <w:r>
        <w:rPr>
          <w:rFonts w:cs="Arial"/>
          <w:rtl/>
        </w:rPr>
        <w:t xml:space="preserve"> נפל חלב לתוך הקדרה של בשר טועמין את החתיכה שנפל עליה חלב אם אין בה טעם חלב הכל מותר</w:t>
      </w:r>
      <w:r>
        <w:rPr>
          <w:rFonts w:cs="Arial" w:hint="cs"/>
          <w:rtl/>
        </w:rPr>
        <w:t>.</w:t>
      </w:r>
      <w:r w:rsidRPr="00DA7548">
        <w:rPr>
          <w:rFonts w:cs="Arial" w:hint="cs"/>
          <w:color w:val="E36C0A" w:themeColor="accent6" w:themeShade="BF"/>
          <w:rtl/>
        </w:rPr>
        <w:t xml:space="preserve"> (וכ"פ בשו"ע)</w:t>
      </w:r>
    </w:p>
    <w:p w14:paraId="4BF34433" w14:textId="77777777" w:rsidR="002C39F4" w:rsidRPr="006B74EA" w:rsidRDefault="002C39F4" w:rsidP="002C39F4">
      <w:pPr>
        <w:ind w:left="360"/>
        <w:rPr>
          <w:rFonts w:cs="Arial"/>
          <w:u w:val="dotted"/>
        </w:rPr>
      </w:pPr>
      <w:r w:rsidRPr="006B74EA">
        <w:rPr>
          <w:rFonts w:cs="Arial" w:hint="cs"/>
          <w:u w:val="dotted"/>
          <w:rtl/>
        </w:rPr>
        <w:t xml:space="preserve">ומה הדין אם </w:t>
      </w:r>
      <w:r w:rsidRPr="00713AA9">
        <w:rPr>
          <w:rFonts w:cs="Arial" w:hint="cs"/>
          <w:b/>
          <w:bCs/>
          <w:u w:val="dotted"/>
          <w:rtl/>
        </w:rPr>
        <w:t>מקצת</w:t>
      </w:r>
      <w:r>
        <w:rPr>
          <w:rFonts w:cs="Arial" w:hint="cs"/>
          <w:u w:val="dotted"/>
          <w:rtl/>
        </w:rPr>
        <w:t xml:space="preserve"> </w:t>
      </w:r>
      <w:r w:rsidRPr="006B74EA">
        <w:rPr>
          <w:rFonts w:cs="Arial" w:hint="cs"/>
          <w:u w:val="dotted"/>
          <w:rtl/>
        </w:rPr>
        <w:t>החתיכה בתוך רוטב</w:t>
      </w:r>
      <w:r>
        <w:rPr>
          <w:rFonts w:cs="Arial" w:hint="cs"/>
          <w:u w:val="dotted"/>
          <w:rtl/>
        </w:rPr>
        <w:t>:</w:t>
      </w:r>
    </w:p>
    <w:p w14:paraId="4E8C2BFF" w14:textId="77777777" w:rsidR="002C39F4" w:rsidRPr="00274842" w:rsidRDefault="002C39F4" w:rsidP="002C39F4">
      <w:pPr>
        <w:pStyle w:val="a8"/>
        <w:numPr>
          <w:ilvl w:val="0"/>
          <w:numId w:val="100"/>
        </w:numPr>
        <w:rPr>
          <w:rFonts w:cs="Arial"/>
          <w:rtl/>
        </w:rPr>
      </w:pPr>
      <w:r w:rsidRPr="00274842">
        <w:rPr>
          <w:rFonts w:cs="Arial"/>
          <w:rtl/>
        </w:rPr>
        <w:t>ר"י</w:t>
      </w:r>
      <w:r w:rsidRPr="00775A7E">
        <w:rPr>
          <w:rFonts w:cs="Arial" w:hint="cs"/>
          <w:rtl/>
        </w:rPr>
        <w:t xml:space="preserve"> </w:t>
      </w:r>
      <w:r w:rsidRPr="00775A7E">
        <w:rPr>
          <w:rFonts w:cs="Arial"/>
          <w:rtl/>
        </w:rPr>
        <w:t>ס</w:t>
      </w:r>
      <w:r w:rsidRPr="00775A7E">
        <w:rPr>
          <w:rFonts w:cs="Arial" w:hint="cs"/>
          <w:rtl/>
        </w:rPr>
        <w:t>מ"ג</w:t>
      </w:r>
      <w:r>
        <w:rPr>
          <w:rFonts w:cs="Arial" w:hint="cs"/>
          <w:rtl/>
        </w:rPr>
        <w:t xml:space="preserve"> ואו</w:t>
      </w:r>
      <w:r>
        <w:rPr>
          <w:rFonts w:cs="Arial"/>
          <w:rtl/>
        </w:rPr>
        <w:t>"</w:t>
      </w:r>
      <w:r>
        <w:rPr>
          <w:rFonts w:cs="Arial" w:hint="cs"/>
          <w:rtl/>
        </w:rPr>
        <w:t>ה</w:t>
      </w:r>
      <w:r>
        <w:rPr>
          <w:rStyle w:val="a7"/>
          <w:rFonts w:cs="Arial"/>
          <w:rtl/>
        </w:rPr>
        <w:footnoteReference w:id="1395"/>
      </w:r>
      <w:r>
        <w:rPr>
          <w:rFonts w:cs="Arial" w:hint="cs"/>
          <w:rtl/>
        </w:rPr>
        <w:t xml:space="preserve">- </w:t>
      </w:r>
      <w:r w:rsidRPr="00274842">
        <w:rPr>
          <w:rFonts w:cs="Arial"/>
          <w:rtl/>
        </w:rPr>
        <w:t>אם מקצתה ברוטב הרתיחה מערבת הטעם בכל הקדרה והכל מצטרף לבטל החלב</w:t>
      </w:r>
      <w:r>
        <w:rPr>
          <w:rFonts w:cs="Arial" w:hint="cs"/>
          <w:rtl/>
        </w:rPr>
        <w:t>, דדוקא</w:t>
      </w:r>
      <w:r w:rsidRPr="006B74EA">
        <w:rPr>
          <w:rFonts w:cs="Arial" w:hint="cs"/>
          <w:rtl/>
        </w:rPr>
        <w:t xml:space="preserve"> </w:t>
      </w:r>
      <w:r>
        <w:rPr>
          <w:rFonts w:cs="Arial" w:hint="cs"/>
          <w:rtl/>
        </w:rPr>
        <w:t>אם</w:t>
      </w:r>
      <w:r>
        <w:rPr>
          <w:rFonts w:cs="Arial"/>
          <w:rtl/>
        </w:rPr>
        <w:t xml:space="preserve"> </w:t>
      </w:r>
      <w:r w:rsidRPr="00274842">
        <w:rPr>
          <w:rFonts w:cs="Arial"/>
          <w:rtl/>
        </w:rPr>
        <w:t>כל החתיכה חוץ לרוטב</w:t>
      </w:r>
      <w:r>
        <w:rPr>
          <w:rStyle w:val="a7"/>
          <w:rFonts w:cs="Arial"/>
          <w:rtl/>
        </w:rPr>
        <w:footnoteReference w:id="1396"/>
      </w:r>
      <w:r w:rsidRPr="00274842">
        <w:rPr>
          <w:rFonts w:cs="Arial"/>
          <w:rtl/>
        </w:rPr>
        <w:t xml:space="preserve"> </w:t>
      </w:r>
      <w:r>
        <w:rPr>
          <w:rFonts w:cs="Arial" w:hint="cs"/>
          <w:rtl/>
        </w:rPr>
        <w:t>נאסרה</w:t>
      </w:r>
      <w:r>
        <w:rPr>
          <w:rStyle w:val="a7"/>
          <w:rFonts w:cs="Arial"/>
          <w:rtl/>
        </w:rPr>
        <w:footnoteReference w:id="1397"/>
      </w:r>
      <w:r>
        <w:rPr>
          <w:rFonts w:cs="Arial"/>
          <w:rtl/>
        </w:rPr>
        <w:t>.</w:t>
      </w:r>
      <w:r w:rsidRPr="00274842">
        <w:rPr>
          <w:rFonts w:cs="Arial"/>
          <w:rtl/>
        </w:rPr>
        <w:t xml:space="preserve"> </w:t>
      </w:r>
      <w:r>
        <w:rPr>
          <w:rFonts w:cs="Arial" w:hint="cs"/>
          <w:rtl/>
        </w:rPr>
        <w:t>(וכ"פ הש"ך</w:t>
      </w:r>
      <w:r>
        <w:rPr>
          <w:rFonts w:cs="Arial" w:hint="cs"/>
          <w:sz w:val="16"/>
          <w:szCs w:val="16"/>
          <w:rtl/>
        </w:rPr>
        <w:t xml:space="preserve"> [סק"ד]</w:t>
      </w:r>
      <w:r>
        <w:rPr>
          <w:rFonts w:cs="Arial" w:hint="cs"/>
          <w:rtl/>
        </w:rPr>
        <w:t>)</w:t>
      </w:r>
    </w:p>
    <w:p w14:paraId="7280BCCF" w14:textId="77777777" w:rsidR="002C39F4" w:rsidRPr="0084233A" w:rsidRDefault="002C39F4" w:rsidP="002C39F4">
      <w:pPr>
        <w:pStyle w:val="a8"/>
        <w:numPr>
          <w:ilvl w:val="0"/>
          <w:numId w:val="100"/>
        </w:numPr>
        <w:rPr>
          <w:rFonts w:cs="Arial"/>
          <w:rtl/>
        </w:rPr>
      </w:pPr>
      <w:r w:rsidRPr="00274842">
        <w:rPr>
          <w:rFonts w:cs="Arial"/>
          <w:rtl/>
        </w:rPr>
        <w:t>רש"י</w:t>
      </w:r>
      <w:r>
        <w:rPr>
          <w:rFonts w:cs="Arial" w:hint="cs"/>
          <w:rtl/>
        </w:rPr>
        <w:t xml:space="preserve"> בהעי"ט ורי"ו</w:t>
      </w:r>
      <w:r>
        <w:rPr>
          <w:rStyle w:val="a7"/>
          <w:rFonts w:cs="Arial"/>
          <w:rtl/>
        </w:rPr>
        <w:footnoteReference w:id="1398"/>
      </w:r>
      <w:r w:rsidRPr="00274842">
        <w:rPr>
          <w:rFonts w:cs="Arial" w:hint="cs"/>
          <w:rtl/>
        </w:rPr>
        <w:t xml:space="preserve">- </w:t>
      </w:r>
      <w:r w:rsidRPr="00274842">
        <w:rPr>
          <w:rFonts w:cs="Arial"/>
          <w:rtl/>
        </w:rPr>
        <w:t>אפי' מקצתה ברוטב אין הכל מצטרף לבטל ה</w:t>
      </w:r>
      <w:r>
        <w:rPr>
          <w:rFonts w:cs="Arial"/>
          <w:rtl/>
        </w:rPr>
        <w:t>חלב</w:t>
      </w:r>
      <w:r>
        <w:rPr>
          <w:rStyle w:val="a7"/>
          <w:rFonts w:cs="Arial"/>
          <w:rtl/>
        </w:rPr>
        <w:footnoteReference w:id="1399"/>
      </w:r>
      <w:r>
        <w:rPr>
          <w:rFonts w:cs="Arial" w:hint="cs"/>
          <w:rtl/>
        </w:rPr>
        <w:t>. (וכ"פ הט"ז</w:t>
      </w:r>
      <w:r>
        <w:rPr>
          <w:rStyle w:val="a7"/>
          <w:rFonts w:cs="Arial"/>
          <w:rtl/>
        </w:rPr>
        <w:footnoteReference w:id="1400"/>
      </w:r>
      <w:r>
        <w:rPr>
          <w:rFonts w:cs="Arial" w:hint="cs"/>
          <w:sz w:val="16"/>
          <w:szCs w:val="16"/>
          <w:rtl/>
        </w:rPr>
        <w:t xml:space="preserve"> [סק"ב]</w:t>
      </w:r>
      <w:r>
        <w:rPr>
          <w:rFonts w:cs="Arial" w:hint="cs"/>
          <w:rtl/>
        </w:rPr>
        <w:t>)</w:t>
      </w:r>
    </w:p>
    <w:p w14:paraId="4FD855F9" w14:textId="77777777" w:rsidR="002C39F4" w:rsidRPr="001E703D" w:rsidRDefault="002C39F4" w:rsidP="002C39F4">
      <w:pPr>
        <w:ind w:left="360"/>
        <w:rPr>
          <w:rFonts w:cs="Arial"/>
          <w:u w:val="dotted"/>
          <w:rtl/>
        </w:rPr>
      </w:pPr>
      <w:r>
        <w:rPr>
          <w:rFonts w:cs="Arial" w:hint="cs"/>
          <w:u w:val="dotted"/>
          <w:rtl/>
        </w:rPr>
        <w:t xml:space="preserve">לדעת רש"י - </w:t>
      </w:r>
      <w:r w:rsidRPr="001E703D">
        <w:rPr>
          <w:rFonts w:cs="Arial" w:hint="cs"/>
          <w:u w:val="dotted"/>
          <w:rtl/>
        </w:rPr>
        <w:t xml:space="preserve">מה הדין אם </w:t>
      </w:r>
      <w:r w:rsidRPr="00713AA9">
        <w:rPr>
          <w:rFonts w:cs="Arial" w:hint="cs"/>
          <w:b/>
          <w:bCs/>
          <w:u w:val="dotted"/>
          <w:rtl/>
        </w:rPr>
        <w:t>כל</w:t>
      </w:r>
      <w:r w:rsidRPr="001E703D">
        <w:rPr>
          <w:rFonts w:cs="Arial" w:hint="cs"/>
          <w:u w:val="dotted"/>
          <w:rtl/>
        </w:rPr>
        <w:t xml:space="preserve"> החתיכה בתוך הרוטב</w:t>
      </w:r>
      <w:r>
        <w:rPr>
          <w:rFonts w:cs="Arial" w:hint="cs"/>
          <w:sz w:val="16"/>
          <w:szCs w:val="16"/>
          <w:u w:val="dotted"/>
          <w:rtl/>
        </w:rPr>
        <w:t xml:space="preserve"> (ולא ניער/כיסה)</w:t>
      </w:r>
      <w:r w:rsidRPr="001E703D">
        <w:rPr>
          <w:rFonts w:cs="Arial" w:hint="cs"/>
          <w:u w:val="dotted"/>
          <w:rtl/>
        </w:rPr>
        <w:t>:</w:t>
      </w:r>
    </w:p>
    <w:p w14:paraId="39670634" w14:textId="77777777" w:rsidR="002C39F4" w:rsidRPr="001E703D" w:rsidRDefault="002C39F4" w:rsidP="002C39F4">
      <w:pPr>
        <w:pStyle w:val="a8"/>
        <w:numPr>
          <w:ilvl w:val="0"/>
          <w:numId w:val="101"/>
        </w:numPr>
        <w:rPr>
          <w:rFonts w:cs="Arial"/>
          <w:rtl/>
        </w:rPr>
      </w:pPr>
      <w:r>
        <w:rPr>
          <w:rFonts w:cs="Arial" w:hint="cs"/>
          <w:rtl/>
        </w:rPr>
        <w:t xml:space="preserve">ב"י- </w:t>
      </w:r>
      <w:r w:rsidRPr="00775A7E">
        <w:rPr>
          <w:rFonts w:cs="Arial"/>
          <w:rtl/>
        </w:rPr>
        <w:t>כשכולה בתוך הרוטב משמע ודאי דמודה רש"י שהכל מצטרף לבטל</w:t>
      </w:r>
      <w:r w:rsidRPr="001E703D">
        <w:rPr>
          <w:rFonts w:cs="Arial" w:hint="cs"/>
          <w:rtl/>
        </w:rPr>
        <w:t>.</w:t>
      </w:r>
      <w:r>
        <w:rPr>
          <w:rFonts w:cs="Arial" w:hint="cs"/>
          <w:rtl/>
        </w:rPr>
        <w:t xml:space="preserve">  </w:t>
      </w:r>
    </w:p>
    <w:p w14:paraId="4065BD13" w14:textId="77777777" w:rsidR="002C39F4" w:rsidRDefault="002C39F4" w:rsidP="002C39F4">
      <w:pPr>
        <w:pStyle w:val="a8"/>
        <w:numPr>
          <w:ilvl w:val="0"/>
          <w:numId w:val="101"/>
        </w:numPr>
      </w:pPr>
      <w:r w:rsidRPr="00775A7E">
        <w:rPr>
          <w:rFonts w:cs="Arial"/>
          <w:rtl/>
        </w:rPr>
        <w:t>ס</w:t>
      </w:r>
      <w:r w:rsidRPr="00775A7E">
        <w:rPr>
          <w:rFonts w:cs="Arial" w:hint="cs"/>
          <w:rtl/>
        </w:rPr>
        <w:t>מ"ג</w:t>
      </w:r>
      <w:r w:rsidRPr="00775A7E">
        <w:rPr>
          <w:rFonts w:cs="Arial"/>
          <w:rtl/>
        </w:rPr>
        <w:t xml:space="preserve"> </w:t>
      </w:r>
      <w:r w:rsidRPr="00775A7E">
        <w:rPr>
          <w:rFonts w:cs="Arial"/>
          <w:sz w:val="16"/>
          <w:szCs w:val="16"/>
          <w:rtl/>
        </w:rPr>
        <w:t>(לאוין קמ וקמא נא:</w:t>
      </w:r>
      <w:r w:rsidRPr="00775A7E">
        <w:rPr>
          <w:rFonts w:cs="Arial" w:hint="cs"/>
          <w:sz w:val="16"/>
          <w:szCs w:val="16"/>
          <w:rtl/>
        </w:rPr>
        <w:t>, הביאו ההגה"מ</w:t>
      </w:r>
      <w:r w:rsidRPr="00775A7E">
        <w:rPr>
          <w:rFonts w:cs="Arial"/>
          <w:sz w:val="16"/>
          <w:szCs w:val="16"/>
          <w:rtl/>
        </w:rPr>
        <w:t xml:space="preserve"> </w:t>
      </w:r>
      <w:r w:rsidRPr="00775A7E">
        <w:rPr>
          <w:rFonts w:cs="Arial" w:hint="cs"/>
          <w:sz w:val="16"/>
          <w:szCs w:val="16"/>
          <w:rtl/>
        </w:rPr>
        <w:t>(</w:t>
      </w:r>
      <w:r w:rsidRPr="00775A7E">
        <w:rPr>
          <w:rFonts w:cs="Arial"/>
          <w:sz w:val="16"/>
          <w:szCs w:val="16"/>
          <w:rtl/>
        </w:rPr>
        <w:t>פ"ט ה"ט)</w:t>
      </w:r>
      <w:r w:rsidRPr="00775A7E">
        <w:rPr>
          <w:rFonts w:cs="Arial" w:hint="cs"/>
          <w:sz w:val="16"/>
          <w:szCs w:val="16"/>
          <w:rtl/>
        </w:rPr>
        <w:t>)</w:t>
      </w:r>
      <w:r>
        <w:rPr>
          <w:rFonts w:cs="Arial" w:hint="cs"/>
          <w:rtl/>
        </w:rPr>
        <w:t>-</w:t>
      </w:r>
      <w:r>
        <w:rPr>
          <w:rFonts w:cs="Arial"/>
          <w:rtl/>
        </w:rPr>
        <w:t xml:space="preserve"> מתוך פירוש רש"י משמע ש</w:t>
      </w:r>
      <w:r w:rsidRPr="001E703D">
        <w:rPr>
          <w:rFonts w:cs="Arial"/>
          <w:rtl/>
        </w:rPr>
        <w:t>אפילו היתה החתיכה בתוך הרוטב כשנפלה הטיפה עליה אם לא ניער וכיסה אין הרוטב מסייע לבטל טעם הטיפה</w:t>
      </w:r>
      <w:r>
        <w:rPr>
          <w:rStyle w:val="a7"/>
          <w:rFonts w:cs="Arial"/>
          <w:rtl/>
        </w:rPr>
        <w:footnoteReference w:id="1401"/>
      </w:r>
      <w:r>
        <w:rPr>
          <w:rFonts w:cs="Arial" w:hint="cs"/>
          <w:rtl/>
        </w:rPr>
        <w:t>.</w:t>
      </w:r>
      <w:r>
        <w:rPr>
          <w:rFonts w:hint="cs"/>
          <w:rtl/>
        </w:rPr>
        <w:t xml:space="preserve"> </w:t>
      </w:r>
    </w:p>
    <w:p w14:paraId="1A1366FC" w14:textId="77777777" w:rsidR="002C39F4" w:rsidRPr="000106D6" w:rsidRDefault="002C39F4" w:rsidP="002C39F4">
      <w:pPr>
        <w:ind w:left="360"/>
        <w:rPr>
          <w:rFonts w:cs="Arial"/>
          <w:u w:val="dotted"/>
          <w:rtl/>
        </w:rPr>
      </w:pPr>
      <w:r w:rsidRPr="000106D6">
        <w:rPr>
          <w:rFonts w:cs="Arial" w:hint="cs"/>
          <w:u w:val="dotted"/>
          <w:rtl/>
        </w:rPr>
        <w:t>לדעת רש"י</w:t>
      </w:r>
      <w:r>
        <w:rPr>
          <w:rFonts w:cs="Arial" w:hint="cs"/>
          <w:u w:val="dotted"/>
          <w:rtl/>
        </w:rPr>
        <w:t xml:space="preserve"> </w:t>
      </w:r>
      <w:r w:rsidRPr="000106D6">
        <w:rPr>
          <w:rFonts w:cs="Arial" w:hint="cs"/>
          <w:u w:val="dotted"/>
          <w:rtl/>
        </w:rPr>
        <w:t>- האם חתיכה שמקצתה בתוך הרוטב יכולה לאסור את החתיכות האחרות:</w:t>
      </w:r>
    </w:p>
    <w:p w14:paraId="7562864B" w14:textId="77777777" w:rsidR="002C39F4" w:rsidRPr="000106D6" w:rsidRDefault="002C39F4" w:rsidP="0032102C">
      <w:pPr>
        <w:pStyle w:val="a8"/>
        <w:numPr>
          <w:ilvl w:val="0"/>
          <w:numId w:val="112"/>
        </w:numPr>
        <w:rPr>
          <w:rFonts w:asciiTheme="minorBidi" w:hAnsiTheme="minorBidi"/>
        </w:rPr>
      </w:pPr>
      <w:r>
        <w:rPr>
          <w:rFonts w:asciiTheme="minorBidi" w:hAnsiTheme="minorBidi" w:cs="Arial" w:hint="cs"/>
          <w:rtl/>
        </w:rPr>
        <w:t>דרכ"מ</w:t>
      </w:r>
      <w:r w:rsidRPr="000106D6">
        <w:rPr>
          <w:rFonts w:asciiTheme="minorBidi" w:hAnsiTheme="minorBidi" w:cs="Arial" w:hint="cs"/>
          <w:sz w:val="16"/>
          <w:szCs w:val="16"/>
          <w:rtl/>
        </w:rPr>
        <w:t xml:space="preserve"> (אות ג)</w:t>
      </w:r>
      <w:r>
        <w:rPr>
          <w:rFonts w:asciiTheme="minorBidi" w:hAnsiTheme="minorBidi" w:cs="Arial" w:hint="cs"/>
          <w:rtl/>
        </w:rPr>
        <w:t xml:space="preserve">- </w:t>
      </w:r>
      <w:r w:rsidRPr="000106D6">
        <w:rPr>
          <w:rFonts w:asciiTheme="minorBidi" w:hAnsiTheme="minorBidi" w:cs="Arial"/>
          <w:rtl/>
        </w:rPr>
        <w:t>יש קולא לרש"י מצד אחד דהיינו אם מקצתה ברוטב וזו החתיכה נאסרת אין אוסרת השאר</w:t>
      </w:r>
      <w:r>
        <w:rPr>
          <w:rStyle w:val="a7"/>
          <w:rFonts w:asciiTheme="minorBidi" w:hAnsiTheme="minorBidi" w:cs="Arial"/>
          <w:rtl/>
        </w:rPr>
        <w:footnoteReference w:id="1402"/>
      </w:r>
      <w:r>
        <w:rPr>
          <w:rFonts w:asciiTheme="minorBidi" w:hAnsiTheme="minorBidi" w:cs="Arial" w:hint="cs"/>
          <w:rtl/>
        </w:rPr>
        <w:t>.</w:t>
      </w:r>
    </w:p>
    <w:p w14:paraId="5FC6E6A7" w14:textId="77777777" w:rsidR="002C39F4" w:rsidRPr="00775A7E" w:rsidRDefault="002C39F4" w:rsidP="002C39F4">
      <w:pPr>
        <w:rPr>
          <w:u w:val="single"/>
        </w:rPr>
      </w:pPr>
      <w:r w:rsidRPr="00775A7E">
        <w:rPr>
          <w:rFonts w:hint="cs"/>
          <w:u w:val="single"/>
          <w:rtl/>
        </w:rPr>
        <w:t xml:space="preserve">מה דין שאר החתיכות כשאין בקדרה </w:t>
      </w:r>
      <w:r>
        <w:rPr>
          <w:rFonts w:hint="cs"/>
          <w:u w:val="single"/>
          <w:rtl/>
        </w:rPr>
        <w:t>ששים</w:t>
      </w:r>
      <w:r w:rsidRPr="00775A7E">
        <w:rPr>
          <w:rFonts w:hint="cs"/>
          <w:u w:val="single"/>
          <w:rtl/>
        </w:rPr>
        <w:t xml:space="preserve"> לבטל </w:t>
      </w:r>
      <w:r>
        <w:rPr>
          <w:rFonts w:hint="cs"/>
          <w:u w:val="single"/>
          <w:rtl/>
        </w:rPr>
        <w:t xml:space="preserve">את החתיכה </w:t>
      </w:r>
      <w:r w:rsidRPr="00F21AD4">
        <w:rPr>
          <w:rFonts w:hint="cs"/>
          <w:sz w:val="16"/>
          <w:szCs w:val="16"/>
          <w:u w:val="single"/>
          <w:rtl/>
        </w:rPr>
        <w:t>(שנאסרה מהחלב</w:t>
      </w:r>
      <w:r>
        <w:rPr>
          <w:rFonts w:hint="cs"/>
          <w:sz w:val="16"/>
          <w:szCs w:val="16"/>
          <w:u w:val="single"/>
          <w:rtl/>
        </w:rPr>
        <w:t>)</w:t>
      </w:r>
      <w:r w:rsidRPr="00775A7E">
        <w:rPr>
          <w:rFonts w:hint="cs"/>
          <w:u w:val="single"/>
          <w:rtl/>
        </w:rPr>
        <w:t>:</w:t>
      </w:r>
    </w:p>
    <w:p w14:paraId="6C8B74CC" w14:textId="77777777" w:rsidR="002C39F4" w:rsidRPr="008B2205" w:rsidRDefault="002C39F4" w:rsidP="002C39F4">
      <w:pPr>
        <w:pStyle w:val="a8"/>
        <w:numPr>
          <w:ilvl w:val="0"/>
          <w:numId w:val="101"/>
        </w:numPr>
      </w:pPr>
      <w:r>
        <w:rPr>
          <w:rFonts w:cs="Arial"/>
          <w:rtl/>
        </w:rPr>
        <w:t xml:space="preserve">ראב"ד </w:t>
      </w:r>
      <w:r w:rsidRPr="00775A7E">
        <w:rPr>
          <w:rFonts w:cs="Arial" w:hint="cs"/>
          <w:sz w:val="16"/>
          <w:szCs w:val="16"/>
          <w:rtl/>
        </w:rPr>
        <w:t>(</w:t>
      </w:r>
      <w:r w:rsidRPr="00775A7E">
        <w:rPr>
          <w:rFonts w:cs="Arial"/>
          <w:sz w:val="16"/>
          <w:szCs w:val="16"/>
          <w:rtl/>
        </w:rPr>
        <w:t>בהשגות פ"ט ה"י)</w:t>
      </w:r>
      <w:r>
        <w:rPr>
          <w:rFonts w:cs="Arial" w:hint="cs"/>
          <w:rtl/>
        </w:rPr>
        <w:t>-</w:t>
      </w:r>
      <w:r w:rsidRPr="001E703D">
        <w:rPr>
          <w:rFonts w:cs="Arial"/>
          <w:rtl/>
        </w:rPr>
        <w:t xml:space="preserve"> </w:t>
      </w:r>
      <w:r>
        <w:rPr>
          <w:rFonts w:cs="Arial" w:hint="cs"/>
          <w:rtl/>
        </w:rPr>
        <w:t xml:space="preserve">לדברי הכל </w:t>
      </w:r>
      <w:r>
        <w:rPr>
          <w:rFonts w:cs="Arial" w:hint="cs"/>
          <w:sz w:val="16"/>
          <w:szCs w:val="16"/>
          <w:rtl/>
        </w:rPr>
        <w:t>{היינו לר' יהודה וחכמים}</w:t>
      </w:r>
      <w:r>
        <w:rPr>
          <w:rFonts w:cs="Arial" w:hint="cs"/>
          <w:rtl/>
        </w:rPr>
        <w:t xml:space="preserve"> </w:t>
      </w:r>
      <w:r w:rsidRPr="001E703D">
        <w:rPr>
          <w:rFonts w:cs="Arial"/>
          <w:rtl/>
        </w:rPr>
        <w:t xml:space="preserve">אם לא ניער כלל אין </w:t>
      </w:r>
      <w:r>
        <w:rPr>
          <w:rFonts w:cs="Arial"/>
          <w:rtl/>
        </w:rPr>
        <w:t>שאר חתיכות נאסרות א</w:t>
      </w:r>
      <w:r>
        <w:rPr>
          <w:rFonts w:cs="Arial" w:hint="cs"/>
          <w:rtl/>
        </w:rPr>
        <w:t>ע"פ</w:t>
      </w:r>
      <w:r>
        <w:rPr>
          <w:rFonts w:cs="Arial"/>
          <w:rtl/>
        </w:rPr>
        <w:t xml:space="preserve"> שאין בהם ששים כנגדה</w:t>
      </w:r>
      <w:r>
        <w:rPr>
          <w:rFonts w:cs="Arial" w:hint="cs"/>
          <w:rtl/>
        </w:rPr>
        <w:t>,</w:t>
      </w:r>
      <w:r>
        <w:rPr>
          <w:rFonts w:cs="Arial"/>
          <w:rtl/>
        </w:rPr>
        <w:t xml:space="preserve"> ואע</w:t>
      </w:r>
      <w:r>
        <w:rPr>
          <w:rFonts w:cs="Arial" w:hint="cs"/>
          <w:rtl/>
        </w:rPr>
        <w:t>"</w:t>
      </w:r>
      <w:r>
        <w:rPr>
          <w:rFonts w:cs="Arial"/>
          <w:rtl/>
        </w:rPr>
        <w:t>פ</w:t>
      </w:r>
      <w:r w:rsidRPr="001E703D">
        <w:rPr>
          <w:rFonts w:cs="Arial"/>
          <w:rtl/>
        </w:rPr>
        <w:t xml:space="preserve"> שבלא ניער יוצא מאותה חתיכה רוטב לשאר חתיכות והוא רוטב נבלה לא אסרינן להו</w:t>
      </w:r>
      <w:r>
        <w:rPr>
          <w:rFonts w:cs="Arial" w:hint="cs"/>
          <w:rtl/>
        </w:rPr>
        <w:t>,</w:t>
      </w:r>
      <w:r w:rsidRPr="001E703D">
        <w:rPr>
          <w:rFonts w:cs="Arial"/>
          <w:rtl/>
        </w:rPr>
        <w:t xml:space="preserve"> משום דבעינן שיצא מן </w:t>
      </w:r>
      <w:r>
        <w:rPr>
          <w:rFonts w:cs="Arial"/>
          <w:rtl/>
        </w:rPr>
        <w:t>החלב האסור לחתיכות</w:t>
      </w:r>
      <w:r>
        <w:rPr>
          <w:rStyle w:val="a7"/>
          <w:rFonts w:cs="Arial"/>
          <w:rtl/>
        </w:rPr>
        <w:footnoteReference w:id="1403"/>
      </w:r>
      <w:r>
        <w:rPr>
          <w:rFonts w:cs="Arial" w:hint="cs"/>
          <w:rtl/>
        </w:rPr>
        <w:t>.</w:t>
      </w:r>
      <w:r w:rsidRPr="00DA7548">
        <w:rPr>
          <w:rFonts w:hint="cs"/>
          <w:color w:val="00B0F0"/>
          <w:rtl/>
        </w:rPr>
        <w:t xml:space="preserve"> (וכ"פ הרמ"א</w:t>
      </w:r>
      <w:r w:rsidRPr="00AD73AE">
        <w:rPr>
          <w:rStyle w:val="a7"/>
          <w:rtl/>
        </w:rPr>
        <w:footnoteReference w:id="1404"/>
      </w:r>
      <w:r w:rsidRPr="00DA7548">
        <w:rPr>
          <w:rFonts w:hint="cs"/>
          <w:color w:val="00B0F0"/>
          <w:rtl/>
        </w:rPr>
        <w:t>)</w:t>
      </w:r>
      <w:r>
        <w:rPr>
          <w:rFonts w:hint="cs"/>
          <w:rtl/>
        </w:rPr>
        <w:t xml:space="preserve"> </w:t>
      </w:r>
    </w:p>
    <w:p w14:paraId="3D0CB809" w14:textId="77777777" w:rsidR="002C39F4" w:rsidRDefault="002C39F4" w:rsidP="002C39F4">
      <w:pPr>
        <w:pStyle w:val="a8"/>
        <w:numPr>
          <w:ilvl w:val="0"/>
          <w:numId w:val="101"/>
        </w:numPr>
      </w:pPr>
      <w:r>
        <w:rPr>
          <w:rFonts w:cs="Arial"/>
          <w:rtl/>
        </w:rPr>
        <w:t xml:space="preserve">רשב"א </w:t>
      </w:r>
      <w:r w:rsidRPr="008B2205">
        <w:rPr>
          <w:rFonts w:cs="Arial" w:hint="cs"/>
          <w:sz w:val="16"/>
          <w:szCs w:val="16"/>
          <w:rtl/>
        </w:rPr>
        <w:t>(</w:t>
      </w:r>
      <w:r w:rsidRPr="008B2205">
        <w:rPr>
          <w:rFonts w:cs="Arial" w:hint="cs"/>
          <w:sz w:val="14"/>
          <w:szCs w:val="14"/>
          <w:rtl/>
        </w:rPr>
        <w:t>[תוה"א</w:t>
      </w:r>
      <w:r w:rsidRPr="008B2205">
        <w:rPr>
          <w:rFonts w:cs="Arial"/>
          <w:sz w:val="14"/>
          <w:szCs w:val="14"/>
          <w:rtl/>
        </w:rPr>
        <w:t xml:space="preserve"> ב"ד ש"א ח:</w:t>
      </w:r>
      <w:r w:rsidRPr="008B2205">
        <w:rPr>
          <w:rFonts w:cs="Arial" w:hint="cs"/>
          <w:sz w:val="14"/>
          <w:szCs w:val="14"/>
          <w:rtl/>
        </w:rPr>
        <w:t xml:space="preserve">] </w:t>
      </w:r>
      <w:r>
        <w:rPr>
          <w:rFonts w:cs="Arial" w:hint="cs"/>
          <w:sz w:val="16"/>
          <w:szCs w:val="16"/>
          <w:rtl/>
        </w:rPr>
        <w:t>להב' הב"י</w:t>
      </w:r>
      <w:r w:rsidRPr="008B2205">
        <w:rPr>
          <w:rFonts w:cs="Arial"/>
          <w:sz w:val="16"/>
          <w:szCs w:val="16"/>
          <w:rtl/>
        </w:rPr>
        <w:t>)</w:t>
      </w:r>
      <w:r>
        <w:rPr>
          <w:rFonts w:cs="Arial" w:hint="cs"/>
          <w:rtl/>
        </w:rPr>
        <w:t>-</w:t>
      </w:r>
      <w:r w:rsidRPr="001E703D">
        <w:rPr>
          <w:rFonts w:cs="Arial"/>
          <w:rtl/>
        </w:rPr>
        <w:t xml:space="preserve"> אם לא ניער כלל אין </w:t>
      </w:r>
      <w:r>
        <w:rPr>
          <w:rFonts w:cs="Arial"/>
          <w:rtl/>
        </w:rPr>
        <w:t>שאר חתיכות נאסרות א</w:t>
      </w:r>
      <w:r>
        <w:rPr>
          <w:rFonts w:cs="Arial" w:hint="cs"/>
          <w:rtl/>
        </w:rPr>
        <w:t>ע"פ</w:t>
      </w:r>
      <w:r>
        <w:rPr>
          <w:rFonts w:cs="Arial"/>
          <w:rtl/>
        </w:rPr>
        <w:t xml:space="preserve"> שאין בהם </w:t>
      </w:r>
      <w:r>
        <w:rPr>
          <w:rFonts w:cs="Arial" w:hint="cs"/>
          <w:rtl/>
        </w:rPr>
        <w:t>ס'</w:t>
      </w:r>
      <w:r>
        <w:rPr>
          <w:rFonts w:cs="Arial"/>
          <w:rtl/>
        </w:rPr>
        <w:t xml:space="preserve"> כנגדה</w:t>
      </w:r>
      <w:r>
        <w:rPr>
          <w:rFonts w:cs="Arial" w:hint="cs"/>
          <w:rtl/>
        </w:rPr>
        <w:t>,</w:t>
      </w:r>
      <w:r w:rsidRPr="001E703D">
        <w:rPr>
          <w:rFonts w:cs="Arial"/>
          <w:rtl/>
        </w:rPr>
        <w:t xml:space="preserve"> </w:t>
      </w:r>
      <w:r>
        <w:rPr>
          <w:rFonts w:cs="Arial" w:hint="cs"/>
          <w:rtl/>
        </w:rPr>
        <w:t>בד"א</w:t>
      </w:r>
      <w:r>
        <w:rPr>
          <w:rFonts w:cs="Arial"/>
          <w:rtl/>
        </w:rPr>
        <w:t xml:space="preserve"> </w:t>
      </w:r>
      <w:r>
        <w:rPr>
          <w:rFonts w:cs="Arial" w:hint="cs"/>
          <w:rtl/>
        </w:rPr>
        <w:t>בחתיכות יבשות,</w:t>
      </w:r>
      <w:r w:rsidRPr="001E703D">
        <w:rPr>
          <w:rFonts w:cs="Arial"/>
          <w:rtl/>
        </w:rPr>
        <w:t xml:space="preserve"> אבל אם היתה נוגעת בחבירתה ע"י</w:t>
      </w:r>
      <w:r>
        <w:rPr>
          <w:rFonts w:cs="Arial"/>
          <w:rtl/>
        </w:rPr>
        <w:t xml:space="preserve"> רוטב אפילו לא ניער ולא כיסה נ</w:t>
      </w:r>
      <w:r>
        <w:rPr>
          <w:rFonts w:cs="Arial" w:hint="cs"/>
          <w:rtl/>
        </w:rPr>
        <w:t>אסרות</w:t>
      </w:r>
      <w:r>
        <w:rPr>
          <w:rStyle w:val="a7"/>
          <w:rFonts w:cs="Arial"/>
          <w:rtl/>
        </w:rPr>
        <w:footnoteReference w:id="1405"/>
      </w:r>
      <w:r>
        <w:rPr>
          <w:rFonts w:cs="Arial" w:hint="cs"/>
          <w:rtl/>
        </w:rPr>
        <w:t>.</w:t>
      </w:r>
    </w:p>
    <w:p w14:paraId="2BFD09E9" w14:textId="77777777" w:rsidR="002C39F4" w:rsidRPr="00281D5A" w:rsidRDefault="002C39F4" w:rsidP="002C39F4">
      <w:pPr>
        <w:rPr>
          <w:rFonts w:cs="Arial"/>
          <w:u w:val="single"/>
          <w:rtl/>
        </w:rPr>
      </w:pPr>
      <w:r w:rsidRPr="00281D5A">
        <w:rPr>
          <w:rFonts w:cs="Arial" w:hint="cs"/>
          <w:u w:val="single"/>
          <w:rtl/>
        </w:rPr>
        <w:t>נ</w:t>
      </w:r>
      <w:r>
        <w:rPr>
          <w:rFonts w:cs="Arial" w:hint="cs"/>
          <w:u w:val="single"/>
          <w:rtl/>
        </w:rPr>
        <w:t>יעור/כיסוי הקדרה</w:t>
      </w:r>
      <w:r>
        <w:rPr>
          <w:rFonts w:cs="Arial" w:hint="cs"/>
          <w:sz w:val="16"/>
          <w:szCs w:val="16"/>
          <w:u w:val="single"/>
          <w:rtl/>
        </w:rPr>
        <w:t xml:space="preserve"> (שגורם לצרף את הכל) </w:t>
      </w:r>
      <w:r>
        <w:rPr>
          <w:rFonts w:cs="Arial"/>
          <w:u w:val="single"/>
          <w:rtl/>
        </w:rPr>
        <w:t>–</w:t>
      </w:r>
      <w:r>
        <w:rPr>
          <w:rFonts w:cs="Arial" w:hint="cs"/>
          <w:u w:val="single"/>
          <w:rtl/>
        </w:rPr>
        <w:t xml:space="preserve"> האם צריך לנער/לכסות מתחילה ועד סוף או די בכיסוי תחלה</w:t>
      </w:r>
      <w:r w:rsidRPr="00281D5A">
        <w:rPr>
          <w:rFonts w:cs="Arial" w:hint="cs"/>
          <w:u w:val="single"/>
          <w:rtl/>
        </w:rPr>
        <w:t>:</w:t>
      </w:r>
    </w:p>
    <w:p w14:paraId="257204EA" w14:textId="77777777" w:rsidR="002C39F4" w:rsidRPr="001C4C65" w:rsidRDefault="002C39F4" w:rsidP="002C39F4">
      <w:pPr>
        <w:pStyle w:val="a8"/>
        <w:numPr>
          <w:ilvl w:val="0"/>
          <w:numId w:val="102"/>
        </w:numPr>
        <w:rPr>
          <w:rFonts w:cs="Arial"/>
          <w:rtl/>
        </w:rPr>
      </w:pPr>
      <w:r w:rsidRPr="003253F0">
        <w:rPr>
          <w:rFonts w:cs="Arial" w:hint="cs"/>
          <w:rtl/>
        </w:rPr>
        <w:t>טור-</w:t>
      </w:r>
      <w:r>
        <w:rPr>
          <w:rFonts w:cs="Arial" w:hint="cs"/>
          <w:rtl/>
        </w:rPr>
        <w:t xml:space="preserve"> </w:t>
      </w:r>
      <w:r w:rsidRPr="003253F0">
        <w:rPr>
          <w:rFonts w:cs="Arial"/>
          <w:rtl/>
        </w:rPr>
        <w:t>אין צריך רק שינער או יכסה מיד בשעת נפילה ואפי' פסק אח"כ מלנער מיד מתערב הטעם בכל מה שבקדרה ומצטרף כולו לבטל.</w:t>
      </w:r>
      <w:r>
        <w:rPr>
          <w:rFonts w:cs="Arial" w:hint="cs"/>
          <w:rtl/>
        </w:rPr>
        <w:t xml:space="preserve"> </w:t>
      </w:r>
      <w:r w:rsidRPr="00DA7548">
        <w:rPr>
          <w:rFonts w:hint="cs"/>
          <w:color w:val="00B0F0"/>
          <w:rtl/>
        </w:rPr>
        <w:t>(וכ"פ הרמ"א)</w:t>
      </w:r>
    </w:p>
    <w:p w14:paraId="2233539C" w14:textId="77777777" w:rsidR="002C39F4" w:rsidRPr="003253F0" w:rsidRDefault="002C39F4" w:rsidP="002C39F4">
      <w:pPr>
        <w:pStyle w:val="a8"/>
        <w:numPr>
          <w:ilvl w:val="0"/>
          <w:numId w:val="102"/>
        </w:numPr>
        <w:rPr>
          <w:rFonts w:cs="Arial"/>
          <w:rtl/>
        </w:rPr>
      </w:pPr>
      <w:r w:rsidRPr="003253F0">
        <w:rPr>
          <w:rFonts w:cs="Arial"/>
          <w:rtl/>
        </w:rPr>
        <w:t>רמב"ם</w:t>
      </w:r>
      <w:r>
        <w:rPr>
          <w:rFonts w:cs="Arial" w:hint="cs"/>
          <w:rtl/>
        </w:rPr>
        <w:t xml:space="preserve"> </w:t>
      </w:r>
      <w:r>
        <w:rPr>
          <w:rFonts w:cs="Arial" w:hint="cs"/>
          <w:sz w:val="16"/>
          <w:szCs w:val="16"/>
          <w:rtl/>
        </w:rPr>
        <w:t>(פ"ט ה"י)</w:t>
      </w:r>
      <w:r w:rsidRPr="003253F0">
        <w:rPr>
          <w:rFonts w:cs="Arial" w:hint="cs"/>
          <w:rtl/>
        </w:rPr>
        <w:t>-</w:t>
      </w:r>
      <w:r w:rsidRPr="003253F0">
        <w:rPr>
          <w:rFonts w:cs="Arial"/>
          <w:rtl/>
        </w:rPr>
        <w:t xml:space="preserve"> אם ניער מתחלה ועד סוף או שכיסה משעת נפילה ועד סוף הרי זה בנ</w:t>
      </w:r>
      <w:r w:rsidRPr="003253F0">
        <w:rPr>
          <w:rFonts w:cs="Arial" w:hint="cs"/>
          <w:rtl/>
        </w:rPr>
        <w:t xml:space="preserve">ותן </w:t>
      </w:r>
      <w:r w:rsidRPr="003253F0">
        <w:rPr>
          <w:rFonts w:cs="Arial"/>
          <w:rtl/>
        </w:rPr>
        <w:t>ט</w:t>
      </w:r>
      <w:r w:rsidRPr="003253F0">
        <w:rPr>
          <w:rFonts w:cs="Arial" w:hint="cs"/>
          <w:rtl/>
        </w:rPr>
        <w:t>עם</w:t>
      </w:r>
      <w:r>
        <w:rPr>
          <w:rFonts w:cs="Arial" w:hint="cs"/>
          <w:rtl/>
        </w:rPr>
        <w:t>...</w:t>
      </w:r>
      <w:r w:rsidRPr="00B56662">
        <w:rPr>
          <w:rtl/>
        </w:rPr>
        <w:t xml:space="preserve"> </w:t>
      </w:r>
      <w:r w:rsidRPr="00B56662">
        <w:rPr>
          <w:rFonts w:cs="Arial"/>
          <w:rtl/>
        </w:rPr>
        <w:t>אם יש בקדרה כולה טעם חלב אסורה ואם לאו מותרת</w:t>
      </w:r>
      <w:r>
        <w:rPr>
          <w:rStyle w:val="a7"/>
          <w:rFonts w:cs="Arial"/>
          <w:rtl/>
        </w:rPr>
        <w:footnoteReference w:id="1406"/>
      </w:r>
      <w:r w:rsidRPr="003253F0">
        <w:rPr>
          <w:rFonts w:cs="Arial" w:hint="cs"/>
          <w:rtl/>
        </w:rPr>
        <w:t>.</w:t>
      </w:r>
      <w:r>
        <w:rPr>
          <w:rFonts w:cs="Arial" w:hint="cs"/>
          <w:rtl/>
        </w:rPr>
        <w:t xml:space="preserve"> </w:t>
      </w:r>
      <w:r w:rsidRPr="00DA7548">
        <w:rPr>
          <w:rFonts w:cs="Arial" w:hint="cs"/>
          <w:color w:val="E36C0A" w:themeColor="accent6" w:themeShade="BF"/>
          <w:rtl/>
        </w:rPr>
        <w:t>(וכ"פ בשו"ע)</w:t>
      </w:r>
    </w:p>
    <w:p w14:paraId="261B4FE8" w14:textId="77777777" w:rsidR="002C39F4" w:rsidRPr="00E9104A" w:rsidRDefault="002C39F4" w:rsidP="002C39F4">
      <w:pPr>
        <w:rPr>
          <w:rFonts w:cs="Arial"/>
          <w:u w:val="single"/>
          <w:rtl/>
        </w:rPr>
      </w:pPr>
      <w:r w:rsidRPr="00E9104A">
        <w:rPr>
          <w:rFonts w:cs="Arial"/>
          <w:u w:val="single"/>
          <w:rtl/>
        </w:rPr>
        <w:t>נפל חלב בתוך המרק או לתוך החתיכות ולא נודע לאיזו חתיכה נפלה</w:t>
      </w:r>
      <w:r w:rsidRPr="00E9104A">
        <w:rPr>
          <w:rFonts w:cs="Arial" w:hint="cs"/>
          <w:u w:val="single"/>
          <w:rtl/>
        </w:rPr>
        <w:t>:</w:t>
      </w:r>
    </w:p>
    <w:p w14:paraId="00D52EA8" w14:textId="77777777" w:rsidR="002C39F4" w:rsidRPr="00E9104A" w:rsidRDefault="002C39F4" w:rsidP="002C39F4">
      <w:pPr>
        <w:pStyle w:val="a8"/>
        <w:numPr>
          <w:ilvl w:val="0"/>
          <w:numId w:val="103"/>
        </w:numPr>
        <w:rPr>
          <w:rFonts w:cs="Arial"/>
          <w:rtl/>
        </w:rPr>
      </w:pPr>
      <w:r w:rsidRPr="00E9104A">
        <w:rPr>
          <w:rFonts w:cs="Arial" w:hint="cs"/>
          <w:rtl/>
        </w:rPr>
        <w:t>רמב"ם</w:t>
      </w:r>
      <w:r w:rsidRPr="00E9104A">
        <w:rPr>
          <w:rFonts w:cs="Arial" w:hint="cs"/>
          <w:sz w:val="16"/>
          <w:szCs w:val="16"/>
          <w:rtl/>
        </w:rPr>
        <w:t xml:space="preserve"> (פ"ט ה"י)</w:t>
      </w:r>
      <w:r w:rsidRPr="00E9104A">
        <w:rPr>
          <w:rFonts w:cs="Arial" w:hint="cs"/>
          <w:rtl/>
        </w:rPr>
        <w:t>-</w:t>
      </w:r>
      <w:r w:rsidRPr="00E9104A">
        <w:rPr>
          <w:rFonts w:cs="Arial"/>
          <w:rtl/>
        </w:rPr>
        <w:t xml:space="preserve"> נוער את הקדרה כולה עד שתשוב ויתערב הכל</w:t>
      </w:r>
      <w:r>
        <w:rPr>
          <w:rFonts w:cs="Arial" w:hint="cs"/>
          <w:rtl/>
        </w:rPr>
        <w:t>,</w:t>
      </w:r>
      <w:r w:rsidRPr="00E9104A">
        <w:rPr>
          <w:rFonts w:cs="Arial"/>
          <w:rtl/>
        </w:rPr>
        <w:t xml:space="preserve"> אם יש בקדרה כולה טעם חלב אסורה ואם לאו מותרת</w:t>
      </w:r>
      <w:r w:rsidRPr="00E9104A">
        <w:rPr>
          <w:rFonts w:cs="Arial" w:hint="cs"/>
          <w:rtl/>
        </w:rPr>
        <w:t>.</w:t>
      </w:r>
      <w:r>
        <w:rPr>
          <w:rFonts w:cs="Arial" w:hint="cs"/>
          <w:rtl/>
        </w:rPr>
        <w:t xml:space="preserve"> </w:t>
      </w:r>
      <w:r w:rsidRPr="00DA7548">
        <w:rPr>
          <w:rFonts w:cs="Arial" w:hint="cs"/>
          <w:color w:val="E36C0A" w:themeColor="accent6" w:themeShade="BF"/>
          <w:rtl/>
        </w:rPr>
        <w:t>(וכ"פ בשו"ע)</w:t>
      </w:r>
    </w:p>
    <w:p w14:paraId="0D6B9F6D" w14:textId="77777777" w:rsidR="002C39F4" w:rsidRPr="00E9104A" w:rsidRDefault="002C39F4" w:rsidP="002C39F4">
      <w:pPr>
        <w:pStyle w:val="a8"/>
        <w:numPr>
          <w:ilvl w:val="0"/>
          <w:numId w:val="103"/>
        </w:numPr>
        <w:rPr>
          <w:rFonts w:cs="Arial"/>
          <w:rtl/>
        </w:rPr>
      </w:pPr>
      <w:r w:rsidRPr="00E9104A">
        <w:rPr>
          <w:rFonts w:cs="Arial" w:hint="cs"/>
          <w:rtl/>
        </w:rPr>
        <w:t xml:space="preserve">טור- </w:t>
      </w:r>
      <w:r>
        <w:rPr>
          <w:rStyle w:val="a7"/>
          <w:rFonts w:cs="Arial"/>
          <w:rtl/>
        </w:rPr>
        <w:footnoteReference w:id="1407"/>
      </w:r>
      <w:r w:rsidRPr="00E9104A">
        <w:rPr>
          <w:rFonts w:cs="Arial"/>
          <w:rtl/>
        </w:rPr>
        <w:t>אם החתיכות כולן בתוך הרוטב מה צריך לנער</w:t>
      </w:r>
      <w:r>
        <w:rPr>
          <w:rFonts w:cs="Arial" w:hint="cs"/>
          <w:rtl/>
        </w:rPr>
        <w:t>,</w:t>
      </w:r>
      <w:r w:rsidRPr="00E9104A">
        <w:rPr>
          <w:rFonts w:cs="Arial"/>
          <w:rtl/>
        </w:rPr>
        <w:t xml:space="preserve"> ואם אינן ברוטב מה מועיל ניעור שמנער אח"כ</w:t>
      </w:r>
      <w:r>
        <w:rPr>
          <w:rFonts w:cs="Arial" w:hint="cs"/>
          <w:sz w:val="16"/>
          <w:szCs w:val="16"/>
          <w:rtl/>
        </w:rPr>
        <w:t xml:space="preserve"> {אלא צריך לנער מיד}</w:t>
      </w:r>
      <w:r>
        <w:rPr>
          <w:rStyle w:val="a7"/>
          <w:rFonts w:cs="Arial"/>
          <w:rtl/>
        </w:rPr>
        <w:footnoteReference w:id="1408"/>
      </w:r>
      <w:r w:rsidRPr="00E9104A">
        <w:rPr>
          <w:rFonts w:cs="Arial" w:hint="cs"/>
          <w:rtl/>
        </w:rPr>
        <w:t>.</w:t>
      </w:r>
      <w:r>
        <w:rPr>
          <w:rFonts w:cs="Arial" w:hint="cs"/>
          <w:rtl/>
        </w:rPr>
        <w:t xml:space="preserve"> </w:t>
      </w:r>
      <w:r w:rsidRPr="00DA7548">
        <w:rPr>
          <w:rFonts w:hint="cs"/>
          <w:color w:val="00B0F0"/>
          <w:rtl/>
        </w:rPr>
        <w:t>(וכ"פ הרמ"א)</w:t>
      </w:r>
    </w:p>
    <w:p w14:paraId="74CFDB8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524F76F" w14:textId="77777777" w:rsidR="002C39F4" w:rsidRDefault="002C39F4" w:rsidP="002C39F4">
      <w:pPr>
        <w:rPr>
          <w:rFonts w:asciiTheme="minorBidi" w:hAnsiTheme="minorBidi"/>
          <w:rtl/>
        </w:rPr>
      </w:pPr>
      <w:r>
        <w:rPr>
          <w:rFonts w:asciiTheme="minorBidi" w:hAnsiTheme="minorBidi"/>
          <w:rtl/>
        </w:rPr>
        <w:t>נפל חלב לתוך קדירה של בשר</w:t>
      </w:r>
      <w:r w:rsidRPr="003024E5">
        <w:rPr>
          <w:rFonts w:asciiTheme="minorBidi" w:hAnsiTheme="minorBidi"/>
          <w:rtl/>
        </w:rPr>
        <w:t xml:space="preserve"> טוע</w:t>
      </w:r>
      <w:r>
        <w:rPr>
          <w:rFonts w:asciiTheme="minorBidi" w:hAnsiTheme="minorBidi"/>
          <w:rtl/>
        </w:rPr>
        <w:t>מין החתיכה שנפל עליה החלב אם אין בה טעם חלב הכל מותר</w:t>
      </w:r>
      <w:r>
        <w:rPr>
          <w:rFonts w:asciiTheme="minorBidi" w:hAnsiTheme="minorBidi" w:hint="cs"/>
          <w:rtl/>
        </w:rPr>
        <w:t>,</w:t>
      </w:r>
      <w:r w:rsidRPr="003024E5">
        <w:rPr>
          <w:rFonts w:asciiTheme="minorBidi" w:hAnsiTheme="minorBidi"/>
          <w:rtl/>
        </w:rPr>
        <w:t xml:space="preserve"> ואם יש בחתיכה</w:t>
      </w:r>
      <w:r>
        <w:rPr>
          <w:rFonts w:asciiTheme="minorBidi" w:hAnsiTheme="minorBidi"/>
          <w:rtl/>
        </w:rPr>
        <w:t xml:space="preserve"> מטעימת חלב נאסרה אותה חתיכה</w:t>
      </w:r>
      <w:r>
        <w:rPr>
          <w:rStyle w:val="a7"/>
          <w:rFonts w:asciiTheme="minorBidi" w:hAnsiTheme="minorBidi"/>
          <w:rtl/>
        </w:rPr>
        <w:footnoteReference w:id="1409"/>
      </w:r>
      <w:r>
        <w:rPr>
          <w:rFonts w:asciiTheme="minorBidi" w:hAnsiTheme="minorBidi"/>
          <w:rtl/>
        </w:rPr>
        <w:t>.</w:t>
      </w:r>
      <w:r w:rsidRPr="007A12DB">
        <w:rPr>
          <w:rFonts w:asciiTheme="minorBidi" w:hAnsiTheme="minorBidi"/>
          <w:sz w:val="18"/>
          <w:szCs w:val="18"/>
          <w:rtl/>
        </w:rPr>
        <w:t xml:space="preserve"> </w:t>
      </w:r>
      <w:r w:rsidRPr="007A12DB">
        <w:rPr>
          <w:rFonts w:asciiTheme="minorBidi" w:hAnsiTheme="minorBidi" w:hint="cs"/>
          <w:sz w:val="18"/>
          <w:szCs w:val="18"/>
          <w:rtl/>
        </w:rPr>
        <w:t xml:space="preserve">[הגה] </w:t>
      </w:r>
      <w:r w:rsidRPr="007A12DB">
        <w:rPr>
          <w:rFonts w:asciiTheme="minorBidi" w:hAnsiTheme="minorBidi"/>
          <w:sz w:val="18"/>
          <w:szCs w:val="18"/>
          <w:rtl/>
        </w:rPr>
        <w:t xml:space="preserve">ולדידן דאין סומכים </w:t>
      </w:r>
      <w:r>
        <w:rPr>
          <w:rFonts w:asciiTheme="minorBidi" w:hAnsiTheme="minorBidi" w:hint="cs"/>
          <w:sz w:val="18"/>
          <w:szCs w:val="18"/>
          <w:rtl/>
        </w:rPr>
        <w:t>אגוי</w:t>
      </w:r>
      <w:r w:rsidRPr="007A12DB">
        <w:rPr>
          <w:rFonts w:asciiTheme="minorBidi" w:hAnsiTheme="minorBidi"/>
          <w:sz w:val="18"/>
          <w:szCs w:val="18"/>
          <w:rtl/>
        </w:rPr>
        <w:t xml:space="preserve"> בעינן </w:t>
      </w:r>
      <w:r>
        <w:rPr>
          <w:rFonts w:asciiTheme="minorBidi" w:hAnsiTheme="minorBidi"/>
          <w:sz w:val="18"/>
          <w:szCs w:val="18"/>
          <w:rtl/>
        </w:rPr>
        <w:t>ששים בחתיכה</w:t>
      </w:r>
      <w:r>
        <w:rPr>
          <w:rFonts w:asciiTheme="minorBidi" w:hAnsiTheme="minorBidi" w:hint="cs"/>
          <w:sz w:val="18"/>
          <w:szCs w:val="18"/>
          <w:rtl/>
        </w:rPr>
        <w:t>,</w:t>
      </w:r>
      <w:r w:rsidRPr="007A12DB">
        <w:rPr>
          <w:rFonts w:asciiTheme="minorBidi" w:hAnsiTheme="minorBidi"/>
          <w:sz w:val="18"/>
          <w:szCs w:val="18"/>
          <w:rtl/>
        </w:rPr>
        <w:t xml:space="preserve"> ואם לאו כולה אסורה.</w:t>
      </w:r>
      <w:r>
        <w:rPr>
          <w:rFonts w:asciiTheme="minorBidi" w:hAnsiTheme="minorBidi"/>
          <w:rtl/>
        </w:rPr>
        <w:t xml:space="preserve"> ומשערין בכולה</w:t>
      </w:r>
      <w:r>
        <w:rPr>
          <w:rFonts w:asciiTheme="minorBidi" w:hAnsiTheme="minorBidi" w:hint="cs"/>
          <w:rtl/>
        </w:rPr>
        <w:t>,</w:t>
      </w:r>
      <w:r w:rsidRPr="003024E5">
        <w:rPr>
          <w:rFonts w:asciiTheme="minorBidi" w:hAnsiTheme="minorBidi"/>
          <w:rtl/>
        </w:rPr>
        <w:t xml:space="preserve"> אם היה בכל מה שיש בקדירה מהחתיכות והירק והמרק והתבלין כ</w:t>
      </w:r>
      <w:r>
        <w:rPr>
          <w:rFonts w:asciiTheme="minorBidi" w:hAnsiTheme="minorBidi"/>
          <w:rtl/>
        </w:rPr>
        <w:t>די שתהא חתיכה זו אחד מששים מהכל</w:t>
      </w:r>
      <w:r>
        <w:rPr>
          <w:rFonts w:asciiTheme="minorBidi" w:hAnsiTheme="minorBidi" w:hint="cs"/>
          <w:rtl/>
        </w:rPr>
        <w:t>,</w:t>
      </w:r>
      <w:r w:rsidRPr="003024E5">
        <w:rPr>
          <w:rFonts w:asciiTheme="minorBidi" w:hAnsiTheme="minorBidi"/>
          <w:rtl/>
        </w:rPr>
        <w:t xml:space="preserve"> החתיכה אסורה והשאר מותר</w:t>
      </w:r>
      <w:r>
        <w:rPr>
          <w:rFonts w:asciiTheme="minorBidi" w:hAnsiTheme="minorBidi" w:hint="cs"/>
          <w:rtl/>
        </w:rPr>
        <w:t>.</w:t>
      </w:r>
      <w:r>
        <w:rPr>
          <w:rFonts w:asciiTheme="minorBidi" w:hAnsiTheme="minorBidi"/>
          <w:rtl/>
        </w:rPr>
        <w:t xml:space="preserve"> במה דברים אמורים</w:t>
      </w:r>
      <w:r w:rsidRPr="003024E5">
        <w:rPr>
          <w:rFonts w:asciiTheme="minorBidi" w:hAnsiTheme="minorBidi"/>
          <w:rtl/>
        </w:rPr>
        <w:t xml:space="preserve"> בש</w:t>
      </w:r>
      <w:r>
        <w:rPr>
          <w:rFonts w:asciiTheme="minorBidi" w:hAnsiTheme="minorBidi"/>
          <w:rtl/>
        </w:rPr>
        <w:t>לא ניער הקדירה בתחלה כשנפל החלב אלא לבסוף ולא כיסה</w:t>
      </w:r>
      <w:r>
        <w:rPr>
          <w:rFonts w:asciiTheme="minorBidi" w:hAnsiTheme="minorBidi" w:hint="cs"/>
          <w:rtl/>
        </w:rPr>
        <w:t>,</w:t>
      </w:r>
      <w:r>
        <w:rPr>
          <w:rFonts w:asciiTheme="minorBidi" w:hAnsiTheme="minorBidi"/>
          <w:rtl/>
        </w:rPr>
        <w:t xml:space="preserve"> אבל אם ניער מתחלה ועד סוף או שכיסה משעת נפילה ועד סוף</w:t>
      </w:r>
      <w:r w:rsidRPr="003024E5">
        <w:rPr>
          <w:rFonts w:asciiTheme="minorBidi" w:hAnsiTheme="minorBidi"/>
          <w:rtl/>
        </w:rPr>
        <w:t xml:space="preserve"> הכל מצטרף לבטל טעם החלב. </w:t>
      </w:r>
      <w:r>
        <w:rPr>
          <w:rFonts w:asciiTheme="minorBidi" w:hAnsiTheme="minorBidi"/>
          <w:sz w:val="18"/>
          <w:szCs w:val="18"/>
          <w:rtl/>
        </w:rPr>
        <w:t>הגה: וכן אם לא ניער כלל לא בתחלה ולא בסוף ולא כיסה כלל</w:t>
      </w:r>
      <w:r w:rsidRPr="007A12DB">
        <w:rPr>
          <w:rFonts w:asciiTheme="minorBidi" w:hAnsiTheme="minorBidi"/>
          <w:sz w:val="18"/>
          <w:szCs w:val="18"/>
          <w:rtl/>
        </w:rPr>
        <w:t xml:space="preserve"> אם</w:t>
      </w:r>
      <w:r>
        <w:rPr>
          <w:rFonts w:asciiTheme="minorBidi" w:hAnsiTheme="minorBidi"/>
          <w:sz w:val="18"/>
          <w:szCs w:val="18"/>
          <w:rtl/>
        </w:rPr>
        <w:t xml:space="preserve"> יש ס' בקדירה</w:t>
      </w:r>
      <w:r>
        <w:rPr>
          <w:rStyle w:val="a7"/>
          <w:rFonts w:asciiTheme="minorBidi" w:hAnsiTheme="minorBidi"/>
          <w:sz w:val="18"/>
          <w:szCs w:val="18"/>
          <w:rtl/>
        </w:rPr>
        <w:footnoteReference w:id="1410"/>
      </w:r>
      <w:r>
        <w:rPr>
          <w:rFonts w:asciiTheme="minorBidi" w:hAnsiTheme="minorBidi"/>
          <w:sz w:val="18"/>
          <w:szCs w:val="18"/>
          <w:rtl/>
        </w:rPr>
        <w:t xml:space="preserve"> נגד טיפת חלב שנפל</w:t>
      </w:r>
      <w:r w:rsidRPr="007A12DB">
        <w:rPr>
          <w:rFonts w:asciiTheme="minorBidi" w:hAnsiTheme="minorBidi"/>
          <w:sz w:val="18"/>
          <w:szCs w:val="18"/>
          <w:rtl/>
        </w:rPr>
        <w:t xml:space="preserve"> אינו אסור רק החתיכה</w:t>
      </w:r>
      <w:r>
        <w:rPr>
          <w:rFonts w:asciiTheme="minorBidi" w:hAnsiTheme="minorBidi"/>
          <w:sz w:val="18"/>
          <w:szCs w:val="18"/>
          <w:rtl/>
        </w:rPr>
        <w:t xml:space="preserve"> לבד</w:t>
      </w:r>
      <w:r>
        <w:rPr>
          <w:rStyle w:val="a7"/>
          <w:rFonts w:asciiTheme="minorBidi" w:hAnsiTheme="minorBidi"/>
          <w:sz w:val="18"/>
          <w:szCs w:val="18"/>
          <w:rtl/>
        </w:rPr>
        <w:footnoteReference w:id="1411"/>
      </w:r>
      <w:r>
        <w:rPr>
          <w:rFonts w:asciiTheme="minorBidi" w:hAnsiTheme="minorBidi"/>
          <w:sz w:val="18"/>
          <w:szCs w:val="18"/>
          <w:rtl/>
        </w:rPr>
        <w:t xml:space="preserve"> ושאר הקדירה מותר</w:t>
      </w:r>
      <w:r>
        <w:rPr>
          <w:rStyle w:val="a7"/>
          <w:rFonts w:asciiTheme="minorBidi" w:hAnsiTheme="minorBidi"/>
          <w:sz w:val="18"/>
          <w:szCs w:val="18"/>
          <w:rtl/>
        </w:rPr>
        <w:footnoteReference w:id="1412"/>
      </w:r>
      <w:r>
        <w:rPr>
          <w:rFonts w:asciiTheme="minorBidi" w:hAnsiTheme="minorBidi"/>
          <w:sz w:val="18"/>
          <w:szCs w:val="18"/>
          <w:rtl/>
        </w:rPr>
        <w:t xml:space="preserve"> </w:t>
      </w:r>
      <w:r w:rsidRPr="00DA7548">
        <w:rPr>
          <w:rFonts w:asciiTheme="minorBidi" w:hAnsiTheme="minorBidi"/>
          <w:sz w:val="16"/>
          <w:szCs w:val="16"/>
          <w:rtl/>
        </w:rPr>
        <w:t>(ראב"ד וה</w:t>
      </w:r>
      <w:r w:rsidRPr="00DA7548">
        <w:rPr>
          <w:rFonts w:asciiTheme="minorBidi" w:hAnsiTheme="minorBidi" w:hint="cs"/>
          <w:sz w:val="16"/>
          <w:szCs w:val="16"/>
          <w:rtl/>
        </w:rPr>
        <w:t>ה"מ</w:t>
      </w:r>
      <w:r w:rsidRPr="00DA7548">
        <w:rPr>
          <w:rFonts w:asciiTheme="minorBidi" w:hAnsiTheme="minorBidi"/>
          <w:sz w:val="16"/>
          <w:szCs w:val="16"/>
          <w:rtl/>
        </w:rPr>
        <w:t xml:space="preserve"> בשם הרמב"ם)</w:t>
      </w:r>
      <w:r w:rsidRPr="007A12DB">
        <w:rPr>
          <w:rFonts w:asciiTheme="minorBidi" w:hAnsiTheme="minorBidi"/>
          <w:sz w:val="18"/>
          <w:szCs w:val="18"/>
          <w:rtl/>
        </w:rPr>
        <w:t xml:space="preserve">. וכן אם </w:t>
      </w:r>
      <w:r>
        <w:rPr>
          <w:rFonts w:asciiTheme="minorBidi" w:hAnsiTheme="minorBidi"/>
          <w:sz w:val="18"/>
          <w:szCs w:val="18"/>
          <w:rtl/>
        </w:rPr>
        <w:t>ניער בתחלה או כיסה מיד אע</w:t>
      </w:r>
      <w:r>
        <w:rPr>
          <w:rFonts w:asciiTheme="minorBidi" w:hAnsiTheme="minorBidi" w:hint="cs"/>
          <w:sz w:val="18"/>
          <w:szCs w:val="18"/>
          <w:rtl/>
        </w:rPr>
        <w:t>"</w:t>
      </w:r>
      <w:r>
        <w:rPr>
          <w:rFonts w:asciiTheme="minorBidi" w:hAnsiTheme="minorBidi"/>
          <w:sz w:val="18"/>
          <w:szCs w:val="18"/>
          <w:rtl/>
        </w:rPr>
        <w:t>ג דלא ניער ולא כיסה לבסוף כל הקדירה מצטרף</w:t>
      </w:r>
      <w:r w:rsidRPr="007A12DB">
        <w:rPr>
          <w:rFonts w:asciiTheme="minorBidi" w:hAnsiTheme="minorBidi"/>
          <w:sz w:val="18"/>
          <w:szCs w:val="18"/>
          <w:rtl/>
        </w:rPr>
        <w:t xml:space="preserve"> והוא שניער וכיסה מיד שנפל שם האיסור</w:t>
      </w:r>
      <w:r>
        <w:rPr>
          <w:rStyle w:val="a7"/>
          <w:rFonts w:asciiTheme="minorBidi" w:hAnsiTheme="minorBidi"/>
          <w:sz w:val="18"/>
          <w:szCs w:val="18"/>
          <w:rtl/>
        </w:rPr>
        <w:footnoteReference w:id="1413"/>
      </w:r>
      <w:r w:rsidRPr="00DA7548">
        <w:rPr>
          <w:rFonts w:asciiTheme="minorBidi" w:hAnsiTheme="minorBidi"/>
          <w:sz w:val="16"/>
          <w:szCs w:val="16"/>
          <w:rtl/>
        </w:rPr>
        <w:t xml:space="preserve"> (טור וב"י בשם ר"י ן' חביב)</w:t>
      </w:r>
      <w:r w:rsidRPr="007A12DB">
        <w:rPr>
          <w:rFonts w:asciiTheme="minorBidi" w:hAnsiTheme="minorBidi"/>
          <w:sz w:val="18"/>
          <w:szCs w:val="18"/>
          <w:rtl/>
        </w:rPr>
        <w:t>.</w:t>
      </w:r>
      <w:r w:rsidRPr="003024E5">
        <w:rPr>
          <w:rFonts w:asciiTheme="minorBidi" w:hAnsiTheme="minorBidi"/>
          <w:rtl/>
        </w:rPr>
        <w:t xml:space="preserve"> </w:t>
      </w:r>
      <w:r>
        <w:rPr>
          <w:rFonts w:asciiTheme="minorBidi" w:hAnsiTheme="minorBidi"/>
          <w:rtl/>
        </w:rPr>
        <w:t>וכן אם נפל לתוך המרק או לחתיכות</w:t>
      </w:r>
      <w:r w:rsidRPr="003024E5">
        <w:rPr>
          <w:rFonts w:asciiTheme="minorBidi" w:hAnsiTheme="minorBidi"/>
          <w:rtl/>
        </w:rPr>
        <w:t xml:space="preserve"> ולא נודע לאיזו חת</w:t>
      </w:r>
      <w:r>
        <w:rPr>
          <w:rFonts w:asciiTheme="minorBidi" w:hAnsiTheme="minorBidi"/>
          <w:rtl/>
        </w:rPr>
        <w:t>יכה נפל</w:t>
      </w:r>
      <w:r w:rsidRPr="003024E5">
        <w:rPr>
          <w:rFonts w:asciiTheme="minorBidi" w:hAnsiTheme="minorBidi"/>
          <w:rtl/>
        </w:rPr>
        <w:t xml:space="preserve"> נוער את הקדירה כולה עד שישוב ויתערב</w:t>
      </w:r>
      <w:r>
        <w:rPr>
          <w:rFonts w:asciiTheme="minorBidi" w:hAnsiTheme="minorBidi"/>
          <w:rtl/>
        </w:rPr>
        <w:t xml:space="preserve"> הכל</w:t>
      </w:r>
      <w:r>
        <w:rPr>
          <w:rStyle w:val="a7"/>
          <w:rFonts w:asciiTheme="minorBidi" w:hAnsiTheme="minorBidi"/>
          <w:rtl/>
        </w:rPr>
        <w:footnoteReference w:id="1414"/>
      </w:r>
      <w:r>
        <w:rPr>
          <w:rFonts w:asciiTheme="minorBidi" w:hAnsiTheme="minorBidi"/>
          <w:rtl/>
        </w:rPr>
        <w:t>, אם יש בקדירה כולה טעם חלב אסורה ואם לאו מותרת</w:t>
      </w:r>
      <w:r>
        <w:rPr>
          <w:rFonts w:asciiTheme="minorBidi" w:hAnsiTheme="minorBidi" w:hint="cs"/>
          <w:rtl/>
        </w:rPr>
        <w:t>,</w:t>
      </w:r>
      <w:r w:rsidRPr="003024E5">
        <w:rPr>
          <w:rFonts w:asciiTheme="minorBidi" w:hAnsiTheme="minorBidi"/>
          <w:rtl/>
        </w:rPr>
        <w:t xml:space="preserve"> ואם לא נמצא </w:t>
      </w:r>
      <w:r>
        <w:rPr>
          <w:rFonts w:asciiTheme="minorBidi" w:hAnsiTheme="minorBidi" w:hint="cs"/>
          <w:rtl/>
        </w:rPr>
        <w:t>גוי</w:t>
      </w:r>
      <w:r w:rsidRPr="003024E5">
        <w:rPr>
          <w:rFonts w:asciiTheme="minorBidi" w:hAnsiTheme="minorBidi"/>
          <w:rtl/>
        </w:rPr>
        <w:t xml:space="preserve"> שיטעום ונסמ</w:t>
      </w:r>
      <w:r>
        <w:rPr>
          <w:rFonts w:asciiTheme="minorBidi" w:hAnsiTheme="minorBidi" w:hint="cs"/>
          <w:rtl/>
        </w:rPr>
        <w:t>ו</w:t>
      </w:r>
      <w:r>
        <w:rPr>
          <w:rFonts w:asciiTheme="minorBidi" w:hAnsiTheme="minorBidi"/>
          <w:rtl/>
        </w:rPr>
        <w:t>ך עליו</w:t>
      </w:r>
      <w:r w:rsidRPr="003024E5">
        <w:rPr>
          <w:rFonts w:asciiTheme="minorBidi" w:hAnsiTheme="minorBidi"/>
          <w:rtl/>
        </w:rPr>
        <w:t xml:space="preserve"> משערים בששים. </w:t>
      </w:r>
      <w:r w:rsidRPr="007A12DB">
        <w:rPr>
          <w:rFonts w:asciiTheme="minorBidi" w:hAnsiTheme="minorBidi"/>
          <w:sz w:val="18"/>
          <w:szCs w:val="18"/>
          <w:rtl/>
        </w:rPr>
        <w:t xml:space="preserve">הגה: ויש חולקין וסבירא </w:t>
      </w:r>
      <w:r>
        <w:rPr>
          <w:rFonts w:asciiTheme="minorBidi" w:hAnsiTheme="minorBidi"/>
          <w:sz w:val="18"/>
          <w:szCs w:val="18"/>
          <w:rtl/>
        </w:rPr>
        <w:t>להו דאינו מועיל מה שנוער הקדירה</w:t>
      </w:r>
      <w:r w:rsidRPr="007A12DB">
        <w:rPr>
          <w:rFonts w:asciiTheme="minorBidi" w:hAnsiTheme="minorBidi"/>
          <w:sz w:val="18"/>
          <w:szCs w:val="18"/>
          <w:rtl/>
        </w:rPr>
        <w:t xml:space="preserve"> אם לא שניער מיד שנפל האיסור </w:t>
      </w:r>
      <w:r w:rsidRPr="00DA7548">
        <w:rPr>
          <w:rFonts w:asciiTheme="minorBidi" w:hAnsiTheme="minorBidi"/>
          <w:sz w:val="16"/>
          <w:szCs w:val="16"/>
          <w:rtl/>
        </w:rPr>
        <w:t>(טור)</w:t>
      </w:r>
      <w:r>
        <w:rPr>
          <w:rFonts w:asciiTheme="minorBidi" w:hAnsiTheme="minorBidi" w:hint="cs"/>
          <w:sz w:val="18"/>
          <w:szCs w:val="18"/>
          <w:rtl/>
        </w:rPr>
        <w:t>,</w:t>
      </w:r>
      <w:r w:rsidRPr="007A12DB">
        <w:rPr>
          <w:rFonts w:asciiTheme="minorBidi" w:hAnsiTheme="minorBidi"/>
          <w:sz w:val="18"/>
          <w:szCs w:val="18"/>
          <w:rtl/>
        </w:rPr>
        <w:t xml:space="preserve"> והכי נהוג.</w:t>
      </w:r>
      <w:r w:rsidRPr="003024E5">
        <w:rPr>
          <w:rFonts w:asciiTheme="minorBidi" w:hAnsiTheme="minorBidi"/>
          <w:rtl/>
        </w:rPr>
        <w:t xml:space="preserve"> </w:t>
      </w:r>
    </w:p>
    <w:p w14:paraId="56354074" w14:textId="77777777" w:rsidR="002C39F4" w:rsidRPr="003024E5" w:rsidRDefault="002C39F4" w:rsidP="002C39F4">
      <w:pPr>
        <w:rPr>
          <w:rFonts w:asciiTheme="minorBidi" w:hAnsiTheme="minorBidi"/>
          <w:rtl/>
        </w:rPr>
      </w:pPr>
    </w:p>
    <w:p w14:paraId="53F687E4"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חתיכה שנאסרה מחמת החלב.</w:t>
      </w:r>
    </w:p>
    <w:p w14:paraId="33C8294B" w14:textId="77777777" w:rsidR="002C39F4" w:rsidRPr="00D972A5" w:rsidRDefault="002C39F4" w:rsidP="002C39F4">
      <w:pPr>
        <w:rPr>
          <w:rFonts w:cs="Arial"/>
          <w:rtl/>
        </w:rPr>
      </w:pPr>
      <w:r>
        <w:rPr>
          <w:rFonts w:cs="Arial" w:hint="cs"/>
          <w:b/>
          <w:bCs/>
          <w:rtl/>
        </w:rPr>
        <w:t xml:space="preserve">חולין קח ע"א: </w:t>
      </w:r>
      <w:r w:rsidRPr="000855F3">
        <w:rPr>
          <w:rFonts w:cs="Arial"/>
          <w:u w:val="single"/>
          <w:rtl/>
        </w:rPr>
        <w:t>רב ורבי חנינא ורבי יוחנן דאמרי</w:t>
      </w:r>
      <w:r w:rsidRPr="000855F3">
        <w:rPr>
          <w:rFonts w:cs="Arial"/>
          <w:rtl/>
        </w:rPr>
        <w:t>: אפשר לסוחטו</w:t>
      </w:r>
      <w:r>
        <w:rPr>
          <w:rStyle w:val="a7"/>
          <w:rFonts w:cs="Arial"/>
          <w:rtl/>
        </w:rPr>
        <w:footnoteReference w:id="1415"/>
      </w:r>
      <w:r>
        <w:rPr>
          <w:rFonts w:cs="Arial" w:hint="cs"/>
          <w:rtl/>
        </w:rPr>
        <w:t xml:space="preserve"> </w:t>
      </w:r>
      <w:r w:rsidRPr="000855F3">
        <w:rPr>
          <w:rFonts w:cs="Arial"/>
          <w:rtl/>
        </w:rPr>
        <w:t xml:space="preserve">- אסור, </w:t>
      </w:r>
      <w:r w:rsidRPr="000855F3">
        <w:rPr>
          <w:rFonts w:cs="Arial"/>
          <w:u w:val="single"/>
          <w:rtl/>
        </w:rPr>
        <w:t>שמואל ורבי שמעון בר רבי וריש לקיש דאמרי</w:t>
      </w:r>
      <w:r>
        <w:rPr>
          <w:rFonts w:cs="Arial"/>
          <w:rtl/>
        </w:rPr>
        <w:t>: אפשר לסוחטו</w:t>
      </w:r>
      <w:r>
        <w:rPr>
          <w:rFonts w:cs="Arial" w:hint="cs"/>
          <w:rtl/>
        </w:rPr>
        <w:t xml:space="preserve"> </w:t>
      </w:r>
      <w:r w:rsidRPr="000855F3">
        <w:rPr>
          <w:rFonts w:cs="Arial"/>
          <w:rtl/>
        </w:rPr>
        <w:t xml:space="preserve">- מותר. </w:t>
      </w:r>
      <w:r>
        <w:rPr>
          <w:rFonts w:cs="Arial" w:hint="cs"/>
          <w:sz w:val="16"/>
          <w:szCs w:val="16"/>
          <w:rtl/>
        </w:rPr>
        <w:t>(</w:t>
      </w:r>
      <w:r w:rsidRPr="00D972A5">
        <w:rPr>
          <w:rFonts w:cs="Arial" w:hint="cs"/>
          <w:sz w:val="16"/>
          <w:szCs w:val="16"/>
          <w:rtl/>
        </w:rPr>
        <w:t>ופסקו ה</w:t>
      </w:r>
      <w:r w:rsidRPr="00D972A5">
        <w:rPr>
          <w:rFonts w:cs="Arial"/>
          <w:sz w:val="16"/>
          <w:szCs w:val="16"/>
          <w:rtl/>
        </w:rPr>
        <w:t xml:space="preserve">רמב"ם </w:t>
      </w:r>
      <w:r w:rsidRPr="00D972A5">
        <w:rPr>
          <w:rFonts w:cs="Arial" w:hint="cs"/>
          <w:sz w:val="14"/>
          <w:szCs w:val="14"/>
          <w:rtl/>
        </w:rPr>
        <w:t>(פ"ט</w:t>
      </w:r>
      <w:r w:rsidRPr="00D972A5">
        <w:rPr>
          <w:rFonts w:cs="Arial"/>
          <w:sz w:val="14"/>
          <w:szCs w:val="14"/>
          <w:rtl/>
        </w:rPr>
        <w:t xml:space="preserve"> ה"ט) </w:t>
      </w:r>
      <w:r w:rsidRPr="00D972A5">
        <w:rPr>
          <w:rFonts w:cs="Arial" w:hint="cs"/>
          <w:sz w:val="16"/>
          <w:szCs w:val="16"/>
          <w:rtl/>
        </w:rPr>
        <w:t>ה</w:t>
      </w:r>
      <w:r w:rsidRPr="00D972A5">
        <w:rPr>
          <w:rFonts w:cs="Arial"/>
          <w:sz w:val="16"/>
          <w:szCs w:val="16"/>
          <w:rtl/>
        </w:rPr>
        <w:t xml:space="preserve">רשב"א </w:t>
      </w:r>
      <w:r w:rsidRPr="00D972A5">
        <w:rPr>
          <w:rFonts w:cs="Arial" w:hint="cs"/>
          <w:sz w:val="14"/>
          <w:szCs w:val="14"/>
          <w:rtl/>
        </w:rPr>
        <w:t>(תוה"א</w:t>
      </w:r>
      <w:r w:rsidRPr="00D972A5">
        <w:rPr>
          <w:rFonts w:cs="Arial"/>
          <w:sz w:val="14"/>
          <w:szCs w:val="14"/>
          <w:rtl/>
        </w:rPr>
        <w:t xml:space="preserve"> ב"ד ש"א ז:) </w:t>
      </w:r>
      <w:r w:rsidRPr="00D972A5">
        <w:rPr>
          <w:rFonts w:cs="Arial" w:hint="cs"/>
          <w:sz w:val="16"/>
          <w:szCs w:val="16"/>
          <w:rtl/>
        </w:rPr>
        <w:t>וה</w:t>
      </w:r>
      <w:r w:rsidRPr="00D972A5">
        <w:rPr>
          <w:rFonts w:cs="Arial"/>
          <w:sz w:val="16"/>
          <w:szCs w:val="16"/>
          <w:rtl/>
        </w:rPr>
        <w:t xml:space="preserve">רא"ש </w:t>
      </w:r>
      <w:r w:rsidRPr="00D972A5">
        <w:rPr>
          <w:rFonts w:cs="Arial"/>
          <w:sz w:val="14"/>
          <w:szCs w:val="14"/>
          <w:rtl/>
        </w:rPr>
        <w:t xml:space="preserve">(סי' כב) </w:t>
      </w:r>
      <w:r w:rsidRPr="00D972A5">
        <w:rPr>
          <w:rFonts w:cs="Arial" w:hint="cs"/>
          <w:sz w:val="16"/>
          <w:szCs w:val="16"/>
          <w:rtl/>
        </w:rPr>
        <w:t xml:space="preserve">כמ"ד </w:t>
      </w:r>
      <w:r w:rsidRPr="00D972A5">
        <w:rPr>
          <w:rFonts w:cs="Arial"/>
          <w:sz w:val="16"/>
          <w:szCs w:val="16"/>
          <w:rtl/>
        </w:rPr>
        <w:t>אפשר לסוחטו אסור</w:t>
      </w:r>
      <w:r>
        <w:rPr>
          <w:rStyle w:val="a7"/>
          <w:rFonts w:cs="Arial"/>
          <w:sz w:val="16"/>
          <w:szCs w:val="16"/>
          <w:rtl/>
        </w:rPr>
        <w:footnoteReference w:id="1416"/>
      </w:r>
      <w:r>
        <w:rPr>
          <w:rFonts w:cs="Arial" w:hint="cs"/>
          <w:sz w:val="16"/>
          <w:szCs w:val="16"/>
          <w:rtl/>
        </w:rPr>
        <w:t xml:space="preserve">. לפיכך כ' הטור- </w:t>
      </w:r>
      <w:r w:rsidRPr="00505BB2">
        <w:rPr>
          <w:rFonts w:cs="Arial"/>
          <w:sz w:val="16"/>
          <w:szCs w:val="16"/>
          <w:rtl/>
        </w:rPr>
        <w:t>היכא שנאסרה החתיכה מחמת החלב נעשית כל החתיכה איסור ואם בישלה עם אחרות צריך ס' לבטל כו</w:t>
      </w:r>
      <w:r>
        <w:rPr>
          <w:rFonts w:cs="Arial"/>
          <w:sz w:val="16"/>
          <w:szCs w:val="16"/>
          <w:rtl/>
        </w:rPr>
        <w:t>לה</w:t>
      </w:r>
      <w:r>
        <w:rPr>
          <w:rFonts w:cs="Arial" w:hint="cs"/>
          <w:sz w:val="16"/>
          <w:szCs w:val="16"/>
          <w:rtl/>
        </w:rPr>
        <w:t>,</w:t>
      </w:r>
      <w:r>
        <w:rPr>
          <w:rFonts w:cs="Arial"/>
          <w:sz w:val="16"/>
          <w:szCs w:val="16"/>
          <w:rtl/>
        </w:rPr>
        <w:t xml:space="preserve"> אע</w:t>
      </w:r>
      <w:r>
        <w:rPr>
          <w:rFonts w:cs="Arial" w:hint="cs"/>
          <w:sz w:val="16"/>
          <w:szCs w:val="16"/>
          <w:rtl/>
        </w:rPr>
        <w:t>"</w:t>
      </w:r>
      <w:r>
        <w:rPr>
          <w:rFonts w:cs="Arial"/>
          <w:sz w:val="16"/>
          <w:szCs w:val="16"/>
          <w:rtl/>
        </w:rPr>
        <w:t>פ</w:t>
      </w:r>
      <w:r w:rsidRPr="00505BB2">
        <w:rPr>
          <w:rFonts w:cs="Arial"/>
          <w:sz w:val="16"/>
          <w:szCs w:val="16"/>
          <w:rtl/>
        </w:rPr>
        <w:t xml:space="preserve"> שאיפשר ליסחט החלב הבלוע בה </w:t>
      </w:r>
      <w:r>
        <w:rPr>
          <w:rFonts w:cs="Arial"/>
          <w:sz w:val="16"/>
          <w:szCs w:val="16"/>
          <w:rtl/>
        </w:rPr>
        <w:t>וליבטל בס' בשאר החתיכות אפ</w:t>
      </w:r>
      <w:r>
        <w:rPr>
          <w:rFonts w:cs="Arial" w:hint="cs"/>
          <w:sz w:val="16"/>
          <w:szCs w:val="16"/>
          <w:rtl/>
        </w:rPr>
        <w:t>"</w:t>
      </w:r>
      <w:r>
        <w:rPr>
          <w:rFonts w:cs="Arial"/>
          <w:sz w:val="16"/>
          <w:szCs w:val="16"/>
          <w:rtl/>
        </w:rPr>
        <w:t>ה</w:t>
      </w:r>
      <w:r w:rsidRPr="00505BB2">
        <w:rPr>
          <w:rFonts w:cs="Arial"/>
          <w:sz w:val="16"/>
          <w:szCs w:val="16"/>
          <w:rtl/>
        </w:rPr>
        <w:t xml:space="preserve"> הכל אסור שכבר נעשית החתיכה כולה איסור וצריך ס' לבטל כולה</w:t>
      </w:r>
      <w:r>
        <w:rPr>
          <w:rStyle w:val="a7"/>
          <w:rFonts w:cs="Arial"/>
          <w:sz w:val="16"/>
          <w:szCs w:val="16"/>
          <w:rtl/>
        </w:rPr>
        <w:footnoteReference w:id="1417"/>
      </w:r>
      <w:r>
        <w:rPr>
          <w:rFonts w:cs="Arial" w:hint="cs"/>
          <w:sz w:val="16"/>
          <w:szCs w:val="16"/>
          <w:rtl/>
        </w:rPr>
        <w:t>,</w:t>
      </w:r>
      <w:r w:rsidRPr="00505BB2">
        <w:rPr>
          <w:rFonts w:cs="Arial"/>
          <w:sz w:val="16"/>
          <w:szCs w:val="16"/>
          <w:rtl/>
        </w:rPr>
        <w:t xml:space="preserve"> ואם יש בכל מה שבקדרה בין מרק ובשר ותבלין ס' לבטל</w:t>
      </w:r>
      <w:r>
        <w:rPr>
          <w:rFonts w:cs="Arial" w:hint="cs"/>
          <w:sz w:val="16"/>
          <w:szCs w:val="16"/>
          <w:rtl/>
        </w:rPr>
        <w:t>ה -</w:t>
      </w:r>
      <w:r w:rsidRPr="00505BB2">
        <w:rPr>
          <w:rFonts w:cs="Arial"/>
          <w:sz w:val="16"/>
          <w:szCs w:val="16"/>
          <w:rtl/>
        </w:rPr>
        <w:t xml:space="preserve"> מה שבקדרה מותר והיא נשארת באיסורה</w:t>
      </w:r>
      <w:r>
        <w:rPr>
          <w:rFonts w:cs="Arial" w:hint="cs"/>
          <w:sz w:val="16"/>
          <w:szCs w:val="16"/>
          <w:rtl/>
        </w:rPr>
        <w:t>)</w:t>
      </w:r>
    </w:p>
    <w:p w14:paraId="20E4F891" w14:textId="77777777" w:rsidR="002C39F4" w:rsidRPr="00505BB2" w:rsidRDefault="002C39F4" w:rsidP="002C39F4">
      <w:pPr>
        <w:rPr>
          <w:rFonts w:cs="Arial"/>
          <w:rtl/>
        </w:rPr>
      </w:pPr>
      <w:r>
        <w:rPr>
          <w:rFonts w:cs="Arial" w:hint="cs"/>
          <w:b/>
          <w:bCs/>
          <w:rtl/>
        </w:rPr>
        <w:t xml:space="preserve">חולין צו ע"ב: </w:t>
      </w:r>
      <w:r w:rsidRPr="00D972A5">
        <w:rPr>
          <w:rFonts w:cs="Arial"/>
          <w:u w:val="double"/>
          <w:rtl/>
        </w:rPr>
        <w:t>מתני'</w:t>
      </w:r>
      <w:r w:rsidRPr="00D972A5">
        <w:rPr>
          <w:rFonts w:cs="Arial" w:hint="cs"/>
          <w:u w:val="double"/>
          <w:rtl/>
        </w:rPr>
        <w:t>:</w:t>
      </w:r>
      <w:r w:rsidRPr="00D972A5">
        <w:rPr>
          <w:rFonts w:cs="Arial"/>
          <w:rtl/>
        </w:rPr>
        <w:t xml:space="preserve"> חתיכה של נבלה, וכן חתיכה של דג טמא שנתבשלה עם החתיכות, בזמן שמכירן - בנותן טעם, ואם לאו - כולן אסורות, והרוטב בנותן טעם</w:t>
      </w:r>
      <w:r>
        <w:rPr>
          <w:rStyle w:val="a7"/>
          <w:rFonts w:cs="Arial"/>
          <w:rtl/>
        </w:rPr>
        <w:footnoteReference w:id="1418"/>
      </w:r>
      <w:r w:rsidRPr="00D972A5">
        <w:rPr>
          <w:rFonts w:cs="Arial"/>
          <w:rtl/>
        </w:rPr>
        <w:t xml:space="preserve">. </w:t>
      </w:r>
      <w:r>
        <w:rPr>
          <w:rFonts w:cs="Arial" w:hint="cs"/>
          <w:rtl/>
        </w:rPr>
        <w:t xml:space="preserve">   </w:t>
      </w:r>
      <w:r>
        <w:rPr>
          <w:rFonts w:cs="Arial" w:hint="cs"/>
          <w:u w:val="double"/>
          <w:rtl/>
        </w:rPr>
        <w:t>גמ</w:t>
      </w:r>
      <w:r w:rsidRPr="00D972A5">
        <w:rPr>
          <w:rFonts w:cs="Arial"/>
          <w:u w:val="double"/>
          <w:rtl/>
        </w:rPr>
        <w:t>'</w:t>
      </w:r>
      <w:r>
        <w:rPr>
          <w:rFonts w:cs="Arial" w:hint="cs"/>
          <w:sz w:val="16"/>
          <w:szCs w:val="16"/>
          <w:u w:val="double"/>
          <w:rtl/>
        </w:rPr>
        <w:t xml:space="preserve"> (ק.)</w:t>
      </w:r>
      <w:r w:rsidRPr="00D972A5">
        <w:rPr>
          <w:rFonts w:cs="Arial" w:hint="cs"/>
          <w:u w:val="double"/>
          <w:rtl/>
        </w:rPr>
        <w:t>:</w:t>
      </w:r>
      <w:r w:rsidRPr="00D972A5">
        <w:rPr>
          <w:rFonts w:cs="Arial"/>
          <w:rtl/>
        </w:rPr>
        <w:t xml:space="preserve"> </w:t>
      </w:r>
      <w:r>
        <w:rPr>
          <w:rFonts w:cs="Arial"/>
          <w:rtl/>
        </w:rPr>
        <w:t>ותבטיל ברובא!</w:t>
      </w:r>
      <w:r>
        <w:rPr>
          <w:rFonts w:cs="Arial" w:hint="cs"/>
          <w:rtl/>
        </w:rPr>
        <w:t xml:space="preserve">... </w:t>
      </w:r>
      <w:r w:rsidRPr="00D972A5">
        <w:rPr>
          <w:rFonts w:cs="Arial"/>
          <w:rtl/>
        </w:rPr>
        <w:t>הואיל וראויה להתכבד בה לפני האורחים.</w:t>
      </w:r>
      <w:r>
        <w:rPr>
          <w:rFonts w:cs="Arial" w:hint="cs"/>
          <w:rtl/>
        </w:rPr>
        <w:t xml:space="preserve"> </w:t>
      </w:r>
      <w:r w:rsidRPr="00505BB2">
        <w:rPr>
          <w:rFonts w:cs="Arial" w:hint="cs"/>
          <w:sz w:val="16"/>
          <w:szCs w:val="16"/>
          <w:rtl/>
        </w:rPr>
        <w:t>(</w:t>
      </w:r>
      <w:r>
        <w:rPr>
          <w:rFonts w:cs="Arial" w:hint="cs"/>
          <w:sz w:val="16"/>
          <w:szCs w:val="16"/>
          <w:rtl/>
        </w:rPr>
        <w:t>ומכאן נתבאר ד</w:t>
      </w:r>
      <w:r w:rsidRPr="00505BB2">
        <w:rPr>
          <w:rFonts w:cs="Arial"/>
          <w:sz w:val="16"/>
          <w:szCs w:val="16"/>
          <w:rtl/>
        </w:rPr>
        <w:t>אם אינו מכירה</w:t>
      </w:r>
      <w:r w:rsidRPr="00505BB2">
        <w:rPr>
          <w:rFonts w:cs="Arial" w:hint="cs"/>
          <w:sz w:val="14"/>
          <w:szCs w:val="14"/>
          <w:rtl/>
        </w:rPr>
        <w:t xml:space="preserve"> </w:t>
      </w:r>
      <w:r>
        <w:rPr>
          <w:rFonts w:cs="Arial" w:hint="cs"/>
          <w:sz w:val="14"/>
          <w:szCs w:val="14"/>
          <w:rtl/>
        </w:rPr>
        <w:t>{</w:t>
      </w:r>
      <w:r w:rsidRPr="00505BB2">
        <w:rPr>
          <w:rFonts w:cs="Arial" w:hint="cs"/>
          <w:sz w:val="14"/>
          <w:szCs w:val="14"/>
          <w:rtl/>
        </w:rPr>
        <w:t>את החתיכה שנאסרה}</w:t>
      </w:r>
      <w:r w:rsidRPr="00505BB2">
        <w:rPr>
          <w:rFonts w:cs="Arial"/>
          <w:sz w:val="16"/>
          <w:szCs w:val="16"/>
          <w:rtl/>
        </w:rPr>
        <w:t xml:space="preserve"> הרוטב מותר וכל החתיכות אסורות אם חתיכת האיסור ראויה להתכבד</w:t>
      </w:r>
      <w:r w:rsidRPr="00505BB2">
        <w:rPr>
          <w:rFonts w:cs="Arial" w:hint="cs"/>
          <w:sz w:val="16"/>
          <w:szCs w:val="16"/>
          <w:rtl/>
        </w:rPr>
        <w:t xml:space="preserve">, </w:t>
      </w:r>
      <w:r w:rsidRPr="00505BB2">
        <w:rPr>
          <w:rFonts w:cs="Arial"/>
          <w:sz w:val="16"/>
          <w:szCs w:val="16"/>
          <w:rtl/>
        </w:rPr>
        <w:t>רא"ש (סי' כב)</w:t>
      </w:r>
      <w:r w:rsidRPr="00505BB2">
        <w:rPr>
          <w:rFonts w:cs="Arial" w:hint="cs"/>
          <w:sz w:val="16"/>
          <w:szCs w:val="16"/>
          <w:rtl/>
        </w:rPr>
        <w:t xml:space="preserve"> וטור)</w:t>
      </w:r>
    </w:p>
    <w:p w14:paraId="0B208FBF" w14:textId="77777777" w:rsidR="002C39F4" w:rsidRPr="009D308C" w:rsidRDefault="002C39F4" w:rsidP="002C39F4">
      <w:pPr>
        <w:rPr>
          <w:rFonts w:cs="Arial"/>
          <w:u w:val="single"/>
          <w:rtl/>
        </w:rPr>
      </w:pPr>
      <w:r w:rsidRPr="009D308C">
        <w:rPr>
          <w:rFonts w:cs="Arial" w:hint="cs"/>
          <w:u w:val="single"/>
          <w:rtl/>
        </w:rPr>
        <w:t>טיפת חלב שנפלה על בשר חיה ועוף:</w:t>
      </w:r>
    </w:p>
    <w:p w14:paraId="7B374748" w14:textId="77777777" w:rsidR="002C39F4" w:rsidRPr="00A74A2C" w:rsidRDefault="002C39F4" w:rsidP="002C39F4">
      <w:pPr>
        <w:pStyle w:val="a8"/>
        <w:numPr>
          <w:ilvl w:val="0"/>
          <w:numId w:val="106"/>
        </w:numPr>
        <w:rPr>
          <w:rtl/>
        </w:rPr>
      </w:pPr>
      <w:r>
        <w:rPr>
          <w:rFonts w:cs="Arial"/>
          <w:rtl/>
        </w:rPr>
        <w:t>הג</w:t>
      </w:r>
      <w:r>
        <w:rPr>
          <w:rFonts w:cs="Arial" w:hint="cs"/>
          <w:rtl/>
        </w:rPr>
        <w:t>"</w:t>
      </w:r>
      <w:r>
        <w:rPr>
          <w:rFonts w:cs="Arial"/>
          <w:rtl/>
        </w:rPr>
        <w:t xml:space="preserve">א </w:t>
      </w:r>
      <w:r w:rsidRPr="0094395A">
        <w:rPr>
          <w:rFonts w:cs="Arial" w:hint="cs"/>
          <w:sz w:val="16"/>
          <w:szCs w:val="16"/>
          <w:rtl/>
        </w:rPr>
        <w:t>(</w:t>
      </w:r>
      <w:r w:rsidRPr="0094395A">
        <w:rPr>
          <w:rFonts w:cs="Arial"/>
          <w:sz w:val="16"/>
          <w:szCs w:val="16"/>
          <w:rtl/>
        </w:rPr>
        <w:t>פכ"ה סי' ג)</w:t>
      </w:r>
      <w:r w:rsidRPr="0094395A">
        <w:rPr>
          <w:rFonts w:cs="Arial"/>
          <w:rtl/>
        </w:rPr>
        <w:t xml:space="preserve"> </w:t>
      </w:r>
      <w:r>
        <w:rPr>
          <w:rFonts w:cs="Arial" w:hint="cs"/>
          <w:rtl/>
        </w:rPr>
        <w:t xml:space="preserve">בשם </w:t>
      </w:r>
      <w:r w:rsidRPr="009D308C">
        <w:rPr>
          <w:rFonts w:cs="Arial"/>
          <w:rtl/>
        </w:rPr>
        <w:t>או</w:t>
      </w:r>
      <w:r>
        <w:rPr>
          <w:rFonts w:cs="Arial" w:hint="cs"/>
          <w:rtl/>
        </w:rPr>
        <w:t>"ז</w:t>
      </w:r>
      <w:r w:rsidRPr="009D308C">
        <w:rPr>
          <w:rFonts w:cs="Arial"/>
          <w:rtl/>
        </w:rPr>
        <w:t xml:space="preserve"> </w:t>
      </w:r>
      <w:r w:rsidRPr="0094395A">
        <w:rPr>
          <w:rFonts w:cs="Arial"/>
          <w:sz w:val="16"/>
          <w:szCs w:val="16"/>
          <w:rtl/>
        </w:rPr>
        <w:t>(ח"א סי' תנט)</w:t>
      </w:r>
      <w:r>
        <w:rPr>
          <w:rFonts w:cs="Arial" w:hint="cs"/>
          <w:rtl/>
        </w:rPr>
        <w:t xml:space="preserve">- </w:t>
      </w:r>
      <w:r w:rsidRPr="009D308C">
        <w:rPr>
          <w:rFonts w:cs="Arial"/>
          <w:rtl/>
        </w:rPr>
        <w:t>הא דאמרינן דטיפת חלב שנפלה בחתיכה שאם נתנה טעם בחתיכה צריך ששים כנגד החתיכה היינו דוקא בבשר בהמה</w:t>
      </w:r>
      <w:r>
        <w:rPr>
          <w:rFonts w:cs="Arial" w:hint="cs"/>
          <w:rtl/>
        </w:rPr>
        <w:t>,</w:t>
      </w:r>
      <w:r w:rsidRPr="009D308C">
        <w:rPr>
          <w:rFonts w:cs="Arial"/>
          <w:rtl/>
        </w:rPr>
        <w:t xml:space="preserve"> אבל אם נפלה על בשר חיה ועוף כיון דלא אסור אלא מדרבנן לא בעינן שיהא ששים בחתיכה אלא ברוב בעלמא בטלה</w:t>
      </w:r>
      <w:r>
        <w:rPr>
          <w:rFonts w:cs="Arial" w:hint="cs"/>
          <w:rtl/>
        </w:rPr>
        <w:t>,</w:t>
      </w:r>
      <w:r w:rsidRPr="009D308C">
        <w:rPr>
          <w:rFonts w:cs="Arial"/>
          <w:rtl/>
        </w:rPr>
        <w:t xml:space="preserve"> והא דתנן נמי בשילהי ע"ז </w:t>
      </w:r>
      <w:r w:rsidRPr="0094395A">
        <w:rPr>
          <w:rFonts w:cs="Arial"/>
          <w:sz w:val="16"/>
          <w:szCs w:val="16"/>
          <w:rtl/>
        </w:rPr>
        <w:t xml:space="preserve">(עד.) </w:t>
      </w:r>
      <w:r w:rsidRPr="009D308C">
        <w:rPr>
          <w:rFonts w:cs="Arial"/>
          <w:rtl/>
        </w:rPr>
        <w:t>דבשר בחלב במשהו היינו בשר בהמה אבל בשר חיה ועוף בטלין ברוב בעלמא</w:t>
      </w:r>
      <w:r>
        <w:rPr>
          <w:rFonts w:cs="Arial" w:hint="cs"/>
          <w:rtl/>
        </w:rPr>
        <w:t>,</w:t>
      </w:r>
      <w:r>
        <w:rPr>
          <w:rFonts w:cs="Arial"/>
          <w:rtl/>
        </w:rPr>
        <w:t xml:space="preserve"> וכן סובר בה</w:t>
      </w:r>
      <w:r>
        <w:rPr>
          <w:rFonts w:cs="Arial" w:hint="cs"/>
          <w:rtl/>
        </w:rPr>
        <w:t>"</w:t>
      </w:r>
      <w:r>
        <w:rPr>
          <w:rFonts w:cs="Arial"/>
          <w:rtl/>
        </w:rPr>
        <w:t xml:space="preserve">ג </w:t>
      </w:r>
      <w:r w:rsidRPr="0094395A">
        <w:rPr>
          <w:rFonts w:cs="Arial"/>
          <w:sz w:val="16"/>
          <w:szCs w:val="16"/>
          <w:rtl/>
        </w:rPr>
        <w:t>(סי' טז הי"ט לה ע"ד)</w:t>
      </w:r>
      <w:r>
        <w:rPr>
          <w:rStyle w:val="a7"/>
          <w:rFonts w:cs="Arial"/>
          <w:rtl/>
        </w:rPr>
        <w:footnoteReference w:id="1419"/>
      </w:r>
      <w:r>
        <w:rPr>
          <w:rFonts w:cs="Arial" w:hint="cs"/>
          <w:rtl/>
        </w:rPr>
        <w:t>.</w:t>
      </w:r>
    </w:p>
    <w:p w14:paraId="12B69E8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2EB6C65" w14:textId="77777777" w:rsidR="002C39F4" w:rsidRDefault="002C39F4" w:rsidP="002C39F4">
      <w:pPr>
        <w:rPr>
          <w:rFonts w:asciiTheme="minorBidi" w:hAnsiTheme="minorBidi"/>
          <w:rtl/>
        </w:rPr>
      </w:pPr>
      <w:r>
        <w:rPr>
          <w:rFonts w:asciiTheme="minorBidi" w:hAnsiTheme="minorBidi"/>
          <w:rtl/>
        </w:rPr>
        <w:t>כשנאסרה החתיכה מחמת החלב</w:t>
      </w:r>
      <w:r w:rsidRPr="003024E5">
        <w:rPr>
          <w:rFonts w:asciiTheme="minorBidi" w:hAnsiTheme="minorBidi"/>
          <w:rtl/>
        </w:rPr>
        <w:t xml:space="preserve"> נעשית כל החתיכה איסור, ואם בשלה עם אחרות</w:t>
      </w:r>
      <w:r>
        <w:rPr>
          <w:rFonts w:asciiTheme="minorBidi" w:hAnsiTheme="minorBidi"/>
          <w:rtl/>
        </w:rPr>
        <w:t xml:space="preserve"> צריך ששים לבטל כולה</w:t>
      </w:r>
      <w:r>
        <w:rPr>
          <w:rStyle w:val="a7"/>
          <w:rFonts w:asciiTheme="minorBidi" w:hAnsiTheme="minorBidi"/>
          <w:rtl/>
        </w:rPr>
        <w:footnoteReference w:id="1420"/>
      </w:r>
      <w:r>
        <w:rPr>
          <w:rFonts w:asciiTheme="minorBidi" w:hAnsiTheme="minorBidi" w:hint="cs"/>
          <w:rtl/>
        </w:rPr>
        <w:t>,</w:t>
      </w:r>
      <w:r>
        <w:rPr>
          <w:rFonts w:asciiTheme="minorBidi" w:hAnsiTheme="minorBidi"/>
          <w:rtl/>
        </w:rPr>
        <w:t xml:space="preserve"> ואם מכירה משליכה והאחרות מותרות</w:t>
      </w:r>
      <w:r>
        <w:rPr>
          <w:rStyle w:val="a7"/>
          <w:rFonts w:asciiTheme="minorBidi" w:hAnsiTheme="minorBidi"/>
          <w:rtl/>
        </w:rPr>
        <w:footnoteReference w:id="1421"/>
      </w:r>
      <w:r>
        <w:rPr>
          <w:rFonts w:asciiTheme="minorBidi" w:hAnsiTheme="minorBidi" w:hint="cs"/>
          <w:rtl/>
        </w:rPr>
        <w:t>,</w:t>
      </w:r>
      <w:r>
        <w:rPr>
          <w:rFonts w:asciiTheme="minorBidi" w:hAnsiTheme="minorBidi"/>
          <w:rtl/>
        </w:rPr>
        <w:t xml:space="preserve"> ואם אינו מכירה הרוטב מותר</w:t>
      </w:r>
      <w:r w:rsidRPr="003024E5">
        <w:rPr>
          <w:rFonts w:asciiTheme="minorBidi" w:hAnsiTheme="minorBidi"/>
          <w:rtl/>
        </w:rPr>
        <w:t xml:space="preserve"> וכל החתיכות א</w:t>
      </w:r>
      <w:r>
        <w:rPr>
          <w:rFonts w:asciiTheme="minorBidi" w:hAnsiTheme="minorBidi"/>
          <w:rtl/>
        </w:rPr>
        <w:t>סורות</w:t>
      </w:r>
      <w:r w:rsidRPr="003024E5">
        <w:rPr>
          <w:rFonts w:asciiTheme="minorBidi" w:hAnsiTheme="minorBidi"/>
          <w:rtl/>
        </w:rPr>
        <w:t xml:space="preserve"> אם חתיכת האיסור ראויה להתכבד. </w:t>
      </w:r>
    </w:p>
    <w:p w14:paraId="1CAA14A4" w14:textId="77777777" w:rsidR="002C39F4" w:rsidRPr="003024E5" w:rsidRDefault="002C39F4" w:rsidP="002C39F4">
      <w:pPr>
        <w:rPr>
          <w:rFonts w:asciiTheme="minorBidi" w:hAnsiTheme="minorBidi"/>
          <w:rtl/>
        </w:rPr>
      </w:pPr>
    </w:p>
    <w:p w14:paraId="43E6A907" w14:textId="77777777" w:rsidR="002C39F4" w:rsidRPr="001360AA"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w:t>
      </w:r>
      <w:r w:rsidRPr="001360AA">
        <w:rPr>
          <w:rFonts w:cs="Arial"/>
          <w:rtl/>
        </w:rPr>
        <w:t xml:space="preserve"> </w:t>
      </w:r>
      <w:r>
        <w:rPr>
          <w:rFonts w:asciiTheme="minorBidi" w:hAnsiTheme="minorBidi" w:hint="cs"/>
          <w:rtl/>
        </w:rPr>
        <w:t>חנ"נ בבשר וחלב ובשאר איסורים.</w:t>
      </w:r>
    </w:p>
    <w:p w14:paraId="02EF4D09" w14:textId="77777777" w:rsidR="002C39F4" w:rsidRPr="00B4361C" w:rsidRDefault="002C39F4" w:rsidP="002C39F4">
      <w:pPr>
        <w:rPr>
          <w:rFonts w:cs="Arial"/>
          <w:rtl/>
        </w:rPr>
      </w:pPr>
      <w:r>
        <w:rPr>
          <w:rFonts w:cs="Arial" w:hint="cs"/>
          <w:b/>
          <w:bCs/>
          <w:rtl/>
        </w:rPr>
        <w:t xml:space="preserve">חולין ק ע"א: </w:t>
      </w:r>
      <w:r w:rsidRPr="001360AA">
        <w:rPr>
          <w:rFonts w:cs="Arial"/>
          <w:u w:val="single"/>
          <w:rtl/>
        </w:rPr>
        <w:t>דרש רבה בר בר חנה</w:t>
      </w:r>
      <w:r>
        <w:rPr>
          <w:rFonts w:cs="Arial"/>
          <w:rtl/>
        </w:rPr>
        <w:t>: חתיכה של נבלה ושל דג טמא</w:t>
      </w:r>
      <w:r w:rsidRPr="001360AA">
        <w:rPr>
          <w:rFonts w:cs="Arial"/>
          <w:rtl/>
        </w:rPr>
        <w:t xml:space="preserve"> אינה אוסרת עד שתתן טעם ברוטב ובקיפה ובחתיכות. </w:t>
      </w:r>
      <w:r w:rsidRPr="001360AA">
        <w:rPr>
          <w:rFonts w:cs="Arial"/>
          <w:u w:val="single"/>
          <w:rtl/>
        </w:rPr>
        <w:t>אוקי רב אמורא עליה ודרש</w:t>
      </w:r>
      <w:r w:rsidRPr="001360AA">
        <w:rPr>
          <w:rFonts w:cs="Arial"/>
          <w:rtl/>
        </w:rPr>
        <w:t>: כיון שנתן טע</w:t>
      </w:r>
      <w:r>
        <w:rPr>
          <w:rFonts w:cs="Arial"/>
          <w:rtl/>
        </w:rPr>
        <w:t>ם בחתיכה - חתיכה עצמה נעשת נבלה</w:t>
      </w:r>
      <w:r w:rsidRPr="001360AA">
        <w:rPr>
          <w:rFonts w:cs="Arial"/>
          <w:rtl/>
        </w:rPr>
        <w:t xml:space="preserve"> ואוסרת כל החתיכות כולן, מפני שהן מינה. </w:t>
      </w:r>
      <w:r w:rsidRPr="001360AA">
        <w:rPr>
          <w:rFonts w:cs="Arial"/>
          <w:u w:val="single"/>
          <w:rtl/>
        </w:rPr>
        <w:t>אמר ליה רב ספרא לאביי</w:t>
      </w:r>
      <w:r>
        <w:rPr>
          <w:rFonts w:cs="Arial"/>
          <w:rtl/>
        </w:rPr>
        <w:t>: מכדי</w:t>
      </w:r>
      <w:r w:rsidRPr="001360AA">
        <w:rPr>
          <w:rFonts w:cs="Arial"/>
          <w:rtl/>
        </w:rPr>
        <w:t xml:space="preserve"> רב כמאן א</w:t>
      </w:r>
      <w:r>
        <w:rPr>
          <w:rFonts w:cs="Arial"/>
          <w:rtl/>
        </w:rPr>
        <w:t>מרה לשמעתיה</w:t>
      </w:r>
      <w:r>
        <w:rPr>
          <w:rFonts w:cs="Arial" w:hint="cs"/>
          <w:rtl/>
        </w:rPr>
        <w:t xml:space="preserve"> </w:t>
      </w:r>
      <w:r>
        <w:rPr>
          <w:rFonts w:cs="Arial"/>
          <w:rtl/>
        </w:rPr>
        <w:t>- כרבי יהודה דאמר מין במינו</w:t>
      </w:r>
      <w:r w:rsidRPr="001360AA">
        <w:rPr>
          <w:rFonts w:cs="Arial"/>
          <w:rtl/>
        </w:rPr>
        <w:t xml:space="preserve"> לא בטיל, מאי איריא כי נתן טעם? אפילו כי לא נתן טעם נמי! </w:t>
      </w:r>
      <w:r w:rsidRPr="001360AA">
        <w:rPr>
          <w:rFonts w:cs="Arial"/>
          <w:u w:val="single"/>
          <w:rtl/>
        </w:rPr>
        <w:t>אמר ליה</w:t>
      </w:r>
      <w:r w:rsidRPr="001360AA">
        <w:rPr>
          <w:rFonts w:cs="Arial"/>
          <w:rtl/>
        </w:rPr>
        <w:t>: הכא במאי עסקינן - בשקדם וסלקו.</w:t>
      </w:r>
      <w:r>
        <w:rPr>
          <w:rFonts w:cs="Arial" w:hint="cs"/>
          <w:rtl/>
        </w:rPr>
        <w:t xml:space="preserve"> </w:t>
      </w:r>
      <w:r w:rsidRPr="00B4361C">
        <w:rPr>
          <w:rFonts w:cs="Arial" w:hint="cs"/>
          <w:sz w:val="16"/>
          <w:szCs w:val="16"/>
          <w:rtl/>
        </w:rPr>
        <w:t>(את</w:t>
      </w:r>
      <w:r w:rsidRPr="00B4361C">
        <w:rPr>
          <w:rFonts w:cs="Arial"/>
          <w:sz w:val="16"/>
          <w:szCs w:val="16"/>
          <w:rtl/>
        </w:rPr>
        <w:t xml:space="preserve"> </w:t>
      </w:r>
      <w:r w:rsidRPr="00B4361C">
        <w:rPr>
          <w:rFonts w:cs="Arial" w:hint="cs"/>
          <w:sz w:val="16"/>
          <w:szCs w:val="16"/>
          <w:rtl/>
        </w:rPr>
        <w:t>האיסור</w:t>
      </w:r>
      <w:r>
        <w:rPr>
          <w:rFonts w:cs="Arial" w:hint="cs"/>
          <w:sz w:val="16"/>
          <w:szCs w:val="16"/>
          <w:rtl/>
        </w:rPr>
        <w:t>, רש"י ותוס'.</w:t>
      </w:r>
      <w:r w:rsidRPr="00B4361C">
        <w:rPr>
          <w:rFonts w:cs="Arial"/>
          <w:sz w:val="16"/>
          <w:szCs w:val="16"/>
          <w:rtl/>
        </w:rPr>
        <w:t xml:space="preserve"> </w:t>
      </w:r>
      <w:r>
        <w:rPr>
          <w:rFonts w:cs="Arial" w:hint="cs"/>
          <w:sz w:val="16"/>
          <w:szCs w:val="16"/>
          <w:rtl/>
        </w:rPr>
        <w:t xml:space="preserve">וכתבו התוס' </w:t>
      </w:r>
      <w:r>
        <w:rPr>
          <w:rFonts w:cs="Arial" w:hint="cs"/>
          <w:sz w:val="14"/>
          <w:szCs w:val="14"/>
          <w:rtl/>
        </w:rPr>
        <w:t>(</w:t>
      </w:r>
      <w:r w:rsidRPr="00B4361C">
        <w:rPr>
          <w:rFonts w:cs="Arial" w:hint="cs"/>
          <w:sz w:val="14"/>
          <w:szCs w:val="14"/>
          <w:rtl/>
        </w:rPr>
        <w:t>ד"ה בשקדם וסלקו</w:t>
      </w:r>
      <w:r>
        <w:rPr>
          <w:rFonts w:cs="Arial" w:hint="cs"/>
          <w:sz w:val="14"/>
          <w:szCs w:val="14"/>
          <w:rtl/>
        </w:rPr>
        <w:t>)</w:t>
      </w:r>
      <w:r w:rsidRPr="00AD73AE">
        <w:rPr>
          <w:rFonts w:cs="Arial" w:hint="cs"/>
          <w:sz w:val="16"/>
          <w:szCs w:val="16"/>
          <w:rtl/>
        </w:rPr>
        <w:t>-</w:t>
      </w:r>
      <w:r>
        <w:rPr>
          <w:rFonts w:cs="Arial" w:hint="cs"/>
          <w:sz w:val="16"/>
          <w:szCs w:val="16"/>
          <w:rtl/>
        </w:rPr>
        <w:t xml:space="preserve"> </w:t>
      </w:r>
      <w:r w:rsidRPr="00B4361C">
        <w:rPr>
          <w:rFonts w:cs="Arial" w:hint="cs"/>
          <w:sz w:val="16"/>
          <w:szCs w:val="16"/>
          <w:rtl/>
        </w:rPr>
        <w:t>וא</w:t>
      </w:r>
      <w:r w:rsidRPr="00B4361C">
        <w:rPr>
          <w:rFonts w:cs="Arial"/>
          <w:sz w:val="16"/>
          <w:szCs w:val="16"/>
          <w:rtl/>
        </w:rPr>
        <w:t>"</w:t>
      </w:r>
      <w:r w:rsidRPr="00B4361C">
        <w:rPr>
          <w:rFonts w:cs="Arial" w:hint="cs"/>
          <w:sz w:val="16"/>
          <w:szCs w:val="16"/>
          <w:rtl/>
        </w:rPr>
        <w:t>ת</w:t>
      </w:r>
      <w:r w:rsidRPr="00B4361C">
        <w:rPr>
          <w:rFonts w:cs="Arial"/>
          <w:sz w:val="16"/>
          <w:szCs w:val="16"/>
          <w:rtl/>
        </w:rPr>
        <w:t xml:space="preserve"> </w:t>
      </w:r>
      <w:r w:rsidRPr="00B4361C">
        <w:rPr>
          <w:rFonts w:cs="Arial" w:hint="cs"/>
          <w:sz w:val="16"/>
          <w:szCs w:val="16"/>
          <w:rtl/>
        </w:rPr>
        <w:t>למה</w:t>
      </w:r>
      <w:r w:rsidRPr="00B4361C">
        <w:rPr>
          <w:rFonts w:cs="Arial"/>
          <w:sz w:val="16"/>
          <w:szCs w:val="16"/>
          <w:rtl/>
        </w:rPr>
        <w:t xml:space="preserve"> </w:t>
      </w:r>
      <w:r w:rsidRPr="00B4361C">
        <w:rPr>
          <w:rFonts w:cs="Arial" w:hint="cs"/>
          <w:sz w:val="16"/>
          <w:szCs w:val="16"/>
          <w:rtl/>
        </w:rPr>
        <w:t>לי</w:t>
      </w:r>
      <w:r w:rsidRPr="00B4361C">
        <w:rPr>
          <w:rFonts w:cs="Arial"/>
          <w:sz w:val="16"/>
          <w:szCs w:val="16"/>
          <w:rtl/>
        </w:rPr>
        <w:t xml:space="preserve"> </w:t>
      </w:r>
      <w:r w:rsidRPr="00B4361C">
        <w:rPr>
          <w:rFonts w:cs="Arial" w:hint="cs"/>
          <w:sz w:val="16"/>
          <w:szCs w:val="16"/>
          <w:rtl/>
        </w:rPr>
        <w:t>שחתיכה</w:t>
      </w:r>
      <w:r w:rsidRPr="00B4361C">
        <w:rPr>
          <w:rFonts w:cs="Arial"/>
          <w:sz w:val="16"/>
          <w:szCs w:val="16"/>
          <w:rtl/>
        </w:rPr>
        <w:t xml:space="preserve"> </w:t>
      </w:r>
      <w:r w:rsidRPr="00B4361C">
        <w:rPr>
          <w:rFonts w:cs="Arial" w:hint="cs"/>
          <w:sz w:val="16"/>
          <w:szCs w:val="16"/>
          <w:rtl/>
        </w:rPr>
        <w:t>של</w:t>
      </w:r>
      <w:r w:rsidRPr="00B4361C">
        <w:rPr>
          <w:rFonts w:cs="Arial"/>
          <w:sz w:val="16"/>
          <w:szCs w:val="16"/>
          <w:rtl/>
        </w:rPr>
        <w:t xml:space="preserve"> </w:t>
      </w:r>
      <w:r w:rsidRPr="00B4361C">
        <w:rPr>
          <w:rFonts w:cs="Arial" w:hint="cs"/>
          <w:sz w:val="16"/>
          <w:szCs w:val="16"/>
          <w:rtl/>
        </w:rPr>
        <w:t>היתר</w:t>
      </w:r>
      <w:r w:rsidRPr="00B4361C">
        <w:rPr>
          <w:rFonts w:cs="Arial"/>
          <w:sz w:val="16"/>
          <w:szCs w:val="16"/>
          <w:rtl/>
        </w:rPr>
        <w:t xml:space="preserve"> </w:t>
      </w:r>
      <w:r w:rsidRPr="00B4361C">
        <w:rPr>
          <w:rFonts w:cs="Arial" w:hint="cs"/>
          <w:sz w:val="16"/>
          <w:szCs w:val="16"/>
          <w:rtl/>
        </w:rPr>
        <w:t>קבלה</w:t>
      </w:r>
      <w:r w:rsidRPr="00B4361C">
        <w:rPr>
          <w:rFonts w:cs="Arial"/>
          <w:sz w:val="16"/>
          <w:szCs w:val="16"/>
          <w:rtl/>
        </w:rPr>
        <w:t xml:space="preserve"> </w:t>
      </w:r>
      <w:r w:rsidRPr="00B4361C">
        <w:rPr>
          <w:rFonts w:cs="Arial" w:hint="cs"/>
          <w:sz w:val="16"/>
          <w:szCs w:val="16"/>
          <w:rtl/>
        </w:rPr>
        <w:t>טעם</w:t>
      </w:r>
      <w:r w:rsidRPr="00B4361C">
        <w:rPr>
          <w:rFonts w:cs="Arial"/>
          <w:sz w:val="16"/>
          <w:szCs w:val="16"/>
          <w:rtl/>
        </w:rPr>
        <w:t xml:space="preserve"> </w:t>
      </w:r>
      <w:r w:rsidRPr="00B4361C">
        <w:rPr>
          <w:rFonts w:cs="Arial" w:hint="cs"/>
          <w:sz w:val="16"/>
          <w:szCs w:val="16"/>
          <w:rtl/>
        </w:rPr>
        <w:t>מן</w:t>
      </w:r>
      <w:r w:rsidRPr="00B4361C">
        <w:rPr>
          <w:rFonts w:cs="Arial"/>
          <w:sz w:val="16"/>
          <w:szCs w:val="16"/>
          <w:rtl/>
        </w:rPr>
        <w:t xml:space="preserve"> </w:t>
      </w:r>
      <w:r w:rsidRPr="00B4361C">
        <w:rPr>
          <w:rFonts w:cs="Arial" w:hint="cs"/>
          <w:sz w:val="16"/>
          <w:szCs w:val="16"/>
          <w:rtl/>
        </w:rPr>
        <w:t>הנבלה</w:t>
      </w:r>
      <w:r>
        <w:rPr>
          <w:rFonts w:cs="Arial" w:hint="cs"/>
          <w:sz w:val="16"/>
          <w:szCs w:val="16"/>
          <w:rtl/>
        </w:rPr>
        <w:t>,</w:t>
      </w:r>
      <w:r w:rsidRPr="00B4361C">
        <w:rPr>
          <w:rFonts w:cs="Arial"/>
          <w:sz w:val="16"/>
          <w:szCs w:val="16"/>
          <w:rtl/>
        </w:rPr>
        <w:t xml:space="preserve"> </w:t>
      </w:r>
      <w:r w:rsidRPr="00B4361C">
        <w:rPr>
          <w:rFonts w:cs="Arial" w:hint="cs"/>
          <w:sz w:val="16"/>
          <w:szCs w:val="16"/>
          <w:rtl/>
        </w:rPr>
        <w:t>אפילו</w:t>
      </w:r>
      <w:r w:rsidRPr="00B4361C">
        <w:rPr>
          <w:rFonts w:cs="Arial"/>
          <w:sz w:val="16"/>
          <w:szCs w:val="16"/>
          <w:rtl/>
        </w:rPr>
        <w:t xml:space="preserve"> </w:t>
      </w:r>
      <w:r w:rsidRPr="00B4361C">
        <w:rPr>
          <w:rFonts w:cs="Arial" w:hint="cs"/>
          <w:sz w:val="16"/>
          <w:szCs w:val="16"/>
          <w:rtl/>
        </w:rPr>
        <w:t>לא</w:t>
      </w:r>
      <w:r w:rsidRPr="00B4361C">
        <w:rPr>
          <w:rFonts w:cs="Arial"/>
          <w:sz w:val="16"/>
          <w:szCs w:val="16"/>
          <w:rtl/>
        </w:rPr>
        <w:t xml:space="preserve"> </w:t>
      </w:r>
      <w:r w:rsidRPr="00B4361C">
        <w:rPr>
          <w:rFonts w:cs="Arial" w:hint="cs"/>
          <w:sz w:val="16"/>
          <w:szCs w:val="16"/>
          <w:rtl/>
        </w:rPr>
        <w:t>נתנה</w:t>
      </w:r>
      <w:r w:rsidRPr="00B4361C">
        <w:rPr>
          <w:rFonts w:cs="Arial"/>
          <w:sz w:val="16"/>
          <w:szCs w:val="16"/>
          <w:rtl/>
        </w:rPr>
        <w:t xml:space="preserve"> </w:t>
      </w:r>
      <w:r w:rsidRPr="00B4361C">
        <w:rPr>
          <w:rFonts w:cs="Arial" w:hint="cs"/>
          <w:sz w:val="16"/>
          <w:szCs w:val="16"/>
          <w:rtl/>
        </w:rPr>
        <w:t>טעם</w:t>
      </w:r>
      <w:r w:rsidRPr="00B4361C">
        <w:rPr>
          <w:rFonts w:cs="Arial"/>
          <w:sz w:val="16"/>
          <w:szCs w:val="16"/>
          <w:rtl/>
        </w:rPr>
        <w:t xml:space="preserve"> </w:t>
      </w:r>
      <w:r w:rsidRPr="00B4361C">
        <w:rPr>
          <w:rFonts w:cs="Arial" w:hint="cs"/>
          <w:sz w:val="16"/>
          <w:szCs w:val="16"/>
          <w:rtl/>
        </w:rPr>
        <w:t>נמי,</w:t>
      </w:r>
      <w:r w:rsidRPr="00B4361C">
        <w:rPr>
          <w:rFonts w:cs="Arial"/>
          <w:sz w:val="16"/>
          <w:szCs w:val="16"/>
          <w:rtl/>
        </w:rPr>
        <w:t xml:space="preserve"> </w:t>
      </w:r>
      <w:r w:rsidRPr="00B4361C">
        <w:rPr>
          <w:rFonts w:cs="Arial" w:hint="cs"/>
          <w:sz w:val="16"/>
          <w:szCs w:val="16"/>
          <w:rtl/>
        </w:rPr>
        <w:t>דהא</w:t>
      </w:r>
      <w:r w:rsidRPr="00B4361C">
        <w:rPr>
          <w:rFonts w:cs="Arial"/>
          <w:sz w:val="16"/>
          <w:szCs w:val="16"/>
          <w:rtl/>
        </w:rPr>
        <w:t xml:space="preserve"> </w:t>
      </w:r>
      <w:r w:rsidRPr="00B4361C">
        <w:rPr>
          <w:rFonts w:cs="Arial" w:hint="cs"/>
          <w:sz w:val="16"/>
          <w:szCs w:val="16"/>
          <w:rtl/>
        </w:rPr>
        <w:t>במינה</w:t>
      </w:r>
      <w:r w:rsidRPr="00B4361C">
        <w:rPr>
          <w:rFonts w:cs="Arial"/>
          <w:sz w:val="16"/>
          <w:szCs w:val="16"/>
          <w:rtl/>
        </w:rPr>
        <w:t xml:space="preserve"> </w:t>
      </w:r>
      <w:r w:rsidRPr="00B4361C">
        <w:rPr>
          <w:rFonts w:cs="Arial" w:hint="cs"/>
          <w:sz w:val="16"/>
          <w:szCs w:val="16"/>
          <w:rtl/>
        </w:rPr>
        <w:t>אוסרת</w:t>
      </w:r>
      <w:r w:rsidRPr="00B4361C">
        <w:rPr>
          <w:rFonts w:cs="Arial"/>
          <w:sz w:val="16"/>
          <w:szCs w:val="16"/>
          <w:rtl/>
        </w:rPr>
        <w:t xml:space="preserve"> </w:t>
      </w:r>
      <w:r w:rsidRPr="00B4361C">
        <w:rPr>
          <w:rFonts w:cs="Arial" w:hint="cs"/>
          <w:sz w:val="16"/>
          <w:szCs w:val="16"/>
          <w:rtl/>
        </w:rPr>
        <w:t>בכל</w:t>
      </w:r>
      <w:r w:rsidRPr="00B4361C">
        <w:rPr>
          <w:rFonts w:cs="Arial"/>
          <w:sz w:val="16"/>
          <w:szCs w:val="16"/>
          <w:rtl/>
        </w:rPr>
        <w:t xml:space="preserve"> </w:t>
      </w:r>
      <w:r w:rsidRPr="00B4361C">
        <w:rPr>
          <w:rFonts w:cs="Arial" w:hint="cs"/>
          <w:sz w:val="16"/>
          <w:szCs w:val="16"/>
          <w:rtl/>
        </w:rPr>
        <w:t>דהו,</w:t>
      </w:r>
      <w:r w:rsidRPr="00B4361C">
        <w:rPr>
          <w:rFonts w:cs="Arial"/>
          <w:sz w:val="16"/>
          <w:szCs w:val="16"/>
          <w:rtl/>
        </w:rPr>
        <w:t xml:space="preserve"> </w:t>
      </w:r>
      <w:r w:rsidRPr="00B4361C">
        <w:rPr>
          <w:rFonts w:cs="Arial" w:hint="cs"/>
          <w:sz w:val="16"/>
          <w:szCs w:val="16"/>
          <w:rtl/>
        </w:rPr>
        <w:t>ואומר</w:t>
      </w:r>
      <w:r w:rsidRPr="00B4361C">
        <w:rPr>
          <w:rFonts w:cs="Arial"/>
          <w:sz w:val="16"/>
          <w:szCs w:val="16"/>
          <w:rtl/>
        </w:rPr>
        <w:t xml:space="preserve"> </w:t>
      </w:r>
      <w:r w:rsidRPr="00B4361C">
        <w:rPr>
          <w:rFonts w:cs="Arial" w:hint="cs"/>
          <w:sz w:val="16"/>
          <w:szCs w:val="16"/>
          <w:rtl/>
        </w:rPr>
        <w:t>ר</w:t>
      </w:r>
      <w:r w:rsidRPr="00B4361C">
        <w:rPr>
          <w:rFonts w:cs="Arial"/>
          <w:sz w:val="16"/>
          <w:szCs w:val="16"/>
          <w:rtl/>
        </w:rPr>
        <w:t>"</w:t>
      </w:r>
      <w:r w:rsidRPr="00B4361C">
        <w:rPr>
          <w:rFonts w:cs="Arial" w:hint="cs"/>
          <w:sz w:val="16"/>
          <w:szCs w:val="16"/>
          <w:rtl/>
        </w:rPr>
        <w:t>ת</w:t>
      </w:r>
      <w:r w:rsidRPr="00B4361C">
        <w:rPr>
          <w:rFonts w:cs="Arial"/>
          <w:sz w:val="16"/>
          <w:szCs w:val="16"/>
          <w:rtl/>
        </w:rPr>
        <w:t xml:space="preserve"> </w:t>
      </w:r>
      <w:r w:rsidRPr="00B4361C">
        <w:rPr>
          <w:rFonts w:cs="Arial" w:hint="cs"/>
          <w:sz w:val="16"/>
          <w:szCs w:val="16"/>
          <w:rtl/>
        </w:rPr>
        <w:t>דנהי</w:t>
      </w:r>
      <w:r w:rsidRPr="00B4361C">
        <w:rPr>
          <w:rFonts w:cs="Arial"/>
          <w:sz w:val="16"/>
          <w:szCs w:val="16"/>
          <w:rtl/>
        </w:rPr>
        <w:t xml:space="preserve"> </w:t>
      </w:r>
      <w:r w:rsidRPr="00B4361C">
        <w:rPr>
          <w:rFonts w:cs="Arial" w:hint="cs"/>
          <w:sz w:val="16"/>
          <w:szCs w:val="16"/>
          <w:rtl/>
        </w:rPr>
        <w:t>דהיא</w:t>
      </w:r>
      <w:r w:rsidRPr="00B4361C">
        <w:rPr>
          <w:rFonts w:cs="Arial"/>
          <w:sz w:val="16"/>
          <w:szCs w:val="16"/>
          <w:rtl/>
        </w:rPr>
        <w:t xml:space="preserve"> </w:t>
      </w:r>
      <w:r w:rsidRPr="00B4361C">
        <w:rPr>
          <w:rFonts w:cs="Arial" w:hint="cs"/>
          <w:sz w:val="16"/>
          <w:szCs w:val="16"/>
          <w:rtl/>
        </w:rPr>
        <w:t>גופה</w:t>
      </w:r>
      <w:r w:rsidRPr="00B4361C">
        <w:rPr>
          <w:rFonts w:cs="Arial"/>
          <w:sz w:val="16"/>
          <w:szCs w:val="16"/>
          <w:rtl/>
        </w:rPr>
        <w:t xml:space="preserve"> </w:t>
      </w:r>
      <w:r w:rsidRPr="00B4361C">
        <w:rPr>
          <w:rFonts w:cs="Arial" w:hint="cs"/>
          <w:sz w:val="16"/>
          <w:szCs w:val="16"/>
          <w:rtl/>
        </w:rPr>
        <w:t>מיתסרא</w:t>
      </w:r>
      <w:r w:rsidRPr="00B4361C">
        <w:rPr>
          <w:rFonts w:cs="Arial"/>
          <w:sz w:val="16"/>
          <w:szCs w:val="16"/>
          <w:rtl/>
        </w:rPr>
        <w:t xml:space="preserve"> </w:t>
      </w:r>
      <w:r w:rsidRPr="00B4361C">
        <w:rPr>
          <w:rFonts w:cs="Arial" w:hint="cs"/>
          <w:sz w:val="16"/>
          <w:szCs w:val="16"/>
          <w:rtl/>
        </w:rPr>
        <w:t>בכל</w:t>
      </w:r>
      <w:r w:rsidRPr="00B4361C">
        <w:rPr>
          <w:rFonts w:cs="Arial"/>
          <w:sz w:val="16"/>
          <w:szCs w:val="16"/>
          <w:rtl/>
        </w:rPr>
        <w:t xml:space="preserve"> </w:t>
      </w:r>
      <w:r w:rsidRPr="00B4361C">
        <w:rPr>
          <w:rFonts w:cs="Arial" w:hint="cs"/>
          <w:sz w:val="16"/>
          <w:szCs w:val="16"/>
          <w:rtl/>
        </w:rPr>
        <w:t>שהוא</w:t>
      </w:r>
      <w:r w:rsidRPr="00B4361C">
        <w:rPr>
          <w:rFonts w:cs="Arial"/>
          <w:sz w:val="16"/>
          <w:szCs w:val="16"/>
          <w:rtl/>
        </w:rPr>
        <w:t xml:space="preserve"> </w:t>
      </w:r>
      <w:r w:rsidRPr="00B4361C">
        <w:rPr>
          <w:rFonts w:cs="Arial" w:hint="cs"/>
          <w:sz w:val="16"/>
          <w:szCs w:val="16"/>
          <w:rtl/>
        </w:rPr>
        <w:t>מ</w:t>
      </w:r>
      <w:r w:rsidRPr="00B4361C">
        <w:rPr>
          <w:rFonts w:cs="Arial"/>
          <w:sz w:val="16"/>
          <w:szCs w:val="16"/>
          <w:rtl/>
        </w:rPr>
        <w:t>"</w:t>
      </w:r>
      <w:r w:rsidRPr="00B4361C">
        <w:rPr>
          <w:rFonts w:cs="Arial" w:hint="cs"/>
          <w:sz w:val="16"/>
          <w:szCs w:val="16"/>
          <w:rtl/>
        </w:rPr>
        <w:t>מ</w:t>
      </w:r>
      <w:r w:rsidRPr="00B4361C">
        <w:rPr>
          <w:rFonts w:cs="Arial"/>
          <w:sz w:val="16"/>
          <w:szCs w:val="16"/>
          <w:rtl/>
        </w:rPr>
        <w:t xml:space="preserve"> </w:t>
      </w:r>
      <w:r w:rsidRPr="00B4361C">
        <w:rPr>
          <w:rFonts w:cs="Arial" w:hint="cs"/>
          <w:sz w:val="16"/>
          <w:szCs w:val="16"/>
          <w:rtl/>
        </w:rPr>
        <w:t>לא</w:t>
      </w:r>
      <w:r w:rsidRPr="00B4361C">
        <w:rPr>
          <w:rFonts w:cs="Arial"/>
          <w:sz w:val="16"/>
          <w:szCs w:val="16"/>
          <w:rtl/>
        </w:rPr>
        <w:t xml:space="preserve"> </w:t>
      </w:r>
      <w:r w:rsidRPr="00B4361C">
        <w:rPr>
          <w:rFonts w:cs="Arial" w:hint="cs"/>
          <w:sz w:val="16"/>
          <w:szCs w:val="16"/>
          <w:rtl/>
        </w:rPr>
        <w:t>אמרינן</w:t>
      </w:r>
      <w:r w:rsidRPr="00B4361C">
        <w:rPr>
          <w:rFonts w:cs="Arial"/>
          <w:sz w:val="16"/>
          <w:szCs w:val="16"/>
          <w:rtl/>
        </w:rPr>
        <w:t xml:space="preserve"> </w:t>
      </w:r>
      <w:r w:rsidRPr="00B4361C">
        <w:rPr>
          <w:rFonts w:cs="Arial" w:hint="cs"/>
          <w:sz w:val="16"/>
          <w:szCs w:val="16"/>
          <w:rtl/>
        </w:rPr>
        <w:t>שתעשה</w:t>
      </w:r>
      <w:r w:rsidRPr="00B4361C">
        <w:rPr>
          <w:rFonts w:cs="Arial"/>
          <w:sz w:val="16"/>
          <w:szCs w:val="16"/>
          <w:rtl/>
        </w:rPr>
        <w:t xml:space="preserve"> </w:t>
      </w:r>
      <w:r w:rsidRPr="00B4361C">
        <w:rPr>
          <w:rFonts w:cs="Arial" w:hint="cs"/>
          <w:sz w:val="16"/>
          <w:szCs w:val="16"/>
          <w:rtl/>
        </w:rPr>
        <w:t>נבלה</w:t>
      </w:r>
      <w:r w:rsidRPr="00B4361C">
        <w:rPr>
          <w:rFonts w:cs="Arial"/>
          <w:sz w:val="16"/>
          <w:szCs w:val="16"/>
          <w:rtl/>
        </w:rPr>
        <w:t xml:space="preserve"> </w:t>
      </w:r>
      <w:r w:rsidRPr="00B4361C">
        <w:rPr>
          <w:rFonts w:cs="Arial" w:hint="cs"/>
          <w:sz w:val="16"/>
          <w:szCs w:val="16"/>
          <w:rtl/>
        </w:rPr>
        <w:t>לאסור</w:t>
      </w:r>
      <w:r w:rsidRPr="00B4361C">
        <w:rPr>
          <w:rFonts w:cs="Arial"/>
          <w:sz w:val="16"/>
          <w:szCs w:val="16"/>
          <w:rtl/>
        </w:rPr>
        <w:t xml:space="preserve"> </w:t>
      </w:r>
      <w:r w:rsidRPr="00B4361C">
        <w:rPr>
          <w:rFonts w:cs="Arial" w:hint="cs"/>
          <w:sz w:val="16"/>
          <w:szCs w:val="16"/>
          <w:rtl/>
        </w:rPr>
        <w:t>כל</w:t>
      </w:r>
      <w:r w:rsidRPr="00B4361C">
        <w:rPr>
          <w:rFonts w:cs="Arial"/>
          <w:sz w:val="16"/>
          <w:szCs w:val="16"/>
          <w:rtl/>
        </w:rPr>
        <w:t xml:space="preserve"> </w:t>
      </w:r>
      <w:r w:rsidRPr="00B4361C">
        <w:rPr>
          <w:rFonts w:cs="Arial" w:hint="cs"/>
          <w:sz w:val="16"/>
          <w:szCs w:val="16"/>
          <w:rtl/>
        </w:rPr>
        <w:t>האחרות</w:t>
      </w:r>
      <w:r w:rsidRPr="00B4361C">
        <w:rPr>
          <w:rFonts w:cs="Arial"/>
          <w:sz w:val="16"/>
          <w:szCs w:val="16"/>
          <w:rtl/>
        </w:rPr>
        <w:t xml:space="preserve"> </w:t>
      </w:r>
      <w:r w:rsidRPr="00B4361C">
        <w:rPr>
          <w:rFonts w:cs="Arial" w:hint="cs"/>
          <w:sz w:val="16"/>
          <w:szCs w:val="16"/>
          <w:rtl/>
        </w:rPr>
        <w:t>כיון</w:t>
      </w:r>
      <w:r w:rsidRPr="00B4361C">
        <w:rPr>
          <w:rFonts w:cs="Arial"/>
          <w:sz w:val="16"/>
          <w:szCs w:val="16"/>
          <w:rtl/>
        </w:rPr>
        <w:t xml:space="preserve"> </w:t>
      </w:r>
      <w:r w:rsidRPr="00B4361C">
        <w:rPr>
          <w:rFonts w:cs="Arial" w:hint="cs"/>
          <w:sz w:val="16"/>
          <w:szCs w:val="16"/>
          <w:rtl/>
        </w:rPr>
        <w:t>שהיא</w:t>
      </w:r>
      <w:r w:rsidRPr="00B4361C">
        <w:rPr>
          <w:rFonts w:cs="Arial"/>
          <w:sz w:val="16"/>
          <w:szCs w:val="16"/>
          <w:rtl/>
        </w:rPr>
        <w:t xml:space="preserve"> </w:t>
      </w:r>
      <w:r w:rsidRPr="00B4361C">
        <w:rPr>
          <w:rFonts w:cs="Arial" w:hint="cs"/>
          <w:sz w:val="16"/>
          <w:szCs w:val="16"/>
          <w:rtl/>
        </w:rPr>
        <w:t>עצמה</w:t>
      </w:r>
      <w:r w:rsidRPr="00B4361C">
        <w:rPr>
          <w:rFonts w:cs="Arial"/>
          <w:sz w:val="16"/>
          <w:szCs w:val="16"/>
          <w:rtl/>
        </w:rPr>
        <w:t xml:space="preserve"> </w:t>
      </w:r>
      <w:r w:rsidRPr="00B4361C">
        <w:rPr>
          <w:rFonts w:cs="Arial" w:hint="cs"/>
          <w:sz w:val="16"/>
          <w:szCs w:val="16"/>
          <w:rtl/>
        </w:rPr>
        <w:t>לא</w:t>
      </w:r>
      <w:r w:rsidRPr="00B4361C">
        <w:rPr>
          <w:rFonts w:cs="Arial"/>
          <w:sz w:val="16"/>
          <w:szCs w:val="16"/>
          <w:rtl/>
        </w:rPr>
        <w:t xml:space="preserve"> </w:t>
      </w:r>
      <w:r w:rsidRPr="00B4361C">
        <w:rPr>
          <w:rFonts w:cs="Arial" w:hint="cs"/>
          <w:sz w:val="16"/>
          <w:szCs w:val="16"/>
          <w:rtl/>
        </w:rPr>
        <w:t>נאסרה</w:t>
      </w:r>
      <w:r w:rsidRPr="00B4361C">
        <w:rPr>
          <w:rFonts w:cs="Arial"/>
          <w:sz w:val="16"/>
          <w:szCs w:val="16"/>
          <w:rtl/>
        </w:rPr>
        <w:t xml:space="preserve"> </w:t>
      </w:r>
      <w:r w:rsidRPr="00B4361C">
        <w:rPr>
          <w:rFonts w:cs="Arial" w:hint="cs"/>
          <w:sz w:val="16"/>
          <w:szCs w:val="16"/>
          <w:rtl/>
        </w:rPr>
        <w:t>אלא</w:t>
      </w:r>
      <w:r w:rsidRPr="00B4361C">
        <w:rPr>
          <w:rFonts w:cs="Arial"/>
          <w:sz w:val="16"/>
          <w:szCs w:val="16"/>
          <w:rtl/>
        </w:rPr>
        <w:t xml:space="preserve"> </w:t>
      </w:r>
      <w:r w:rsidRPr="00B4361C">
        <w:rPr>
          <w:rFonts w:cs="Arial" w:hint="cs"/>
          <w:sz w:val="16"/>
          <w:szCs w:val="16"/>
          <w:rtl/>
        </w:rPr>
        <w:t>ע</w:t>
      </w:r>
      <w:r w:rsidRPr="00B4361C">
        <w:rPr>
          <w:rFonts w:cs="Arial"/>
          <w:sz w:val="16"/>
          <w:szCs w:val="16"/>
          <w:rtl/>
        </w:rPr>
        <w:t>"</w:t>
      </w:r>
      <w:r w:rsidRPr="00B4361C">
        <w:rPr>
          <w:rFonts w:cs="Arial" w:hint="cs"/>
          <w:sz w:val="16"/>
          <w:szCs w:val="16"/>
          <w:rtl/>
        </w:rPr>
        <w:t>י</w:t>
      </w:r>
      <w:r w:rsidRPr="00B4361C">
        <w:rPr>
          <w:rFonts w:cs="Arial"/>
          <w:sz w:val="16"/>
          <w:szCs w:val="16"/>
          <w:rtl/>
        </w:rPr>
        <w:t xml:space="preserve"> </w:t>
      </w:r>
      <w:r w:rsidRPr="00B4361C">
        <w:rPr>
          <w:rFonts w:cs="Arial" w:hint="cs"/>
          <w:sz w:val="16"/>
          <w:szCs w:val="16"/>
          <w:rtl/>
        </w:rPr>
        <w:t>כל</w:t>
      </w:r>
      <w:r w:rsidRPr="00B4361C">
        <w:rPr>
          <w:rFonts w:cs="Arial"/>
          <w:sz w:val="16"/>
          <w:szCs w:val="16"/>
          <w:rtl/>
        </w:rPr>
        <w:t xml:space="preserve"> </w:t>
      </w:r>
      <w:r w:rsidRPr="00B4361C">
        <w:rPr>
          <w:rFonts w:cs="Arial" w:hint="cs"/>
          <w:sz w:val="16"/>
          <w:szCs w:val="16"/>
          <w:rtl/>
        </w:rPr>
        <w:t>שהוא. ורבינו</w:t>
      </w:r>
      <w:r w:rsidRPr="00B4361C">
        <w:rPr>
          <w:rFonts w:cs="Arial"/>
          <w:sz w:val="16"/>
          <w:szCs w:val="16"/>
          <w:rtl/>
        </w:rPr>
        <w:t xml:space="preserve"> </w:t>
      </w:r>
      <w:r w:rsidRPr="00B4361C">
        <w:rPr>
          <w:rFonts w:cs="Arial" w:hint="cs"/>
          <w:sz w:val="16"/>
          <w:szCs w:val="16"/>
          <w:rtl/>
        </w:rPr>
        <w:t>אפרים</w:t>
      </w:r>
      <w:r w:rsidRPr="00B4361C">
        <w:rPr>
          <w:rFonts w:cs="Arial"/>
          <w:sz w:val="16"/>
          <w:szCs w:val="16"/>
          <w:rtl/>
        </w:rPr>
        <w:t xml:space="preserve"> </w:t>
      </w:r>
      <w:r w:rsidRPr="00B4361C">
        <w:rPr>
          <w:rFonts w:cs="Arial" w:hint="cs"/>
          <w:sz w:val="16"/>
          <w:szCs w:val="16"/>
          <w:rtl/>
        </w:rPr>
        <w:t>היה</w:t>
      </w:r>
      <w:r w:rsidRPr="00B4361C">
        <w:rPr>
          <w:rFonts w:cs="Arial"/>
          <w:sz w:val="16"/>
          <w:szCs w:val="16"/>
          <w:rtl/>
        </w:rPr>
        <w:t xml:space="preserve"> </w:t>
      </w:r>
      <w:r w:rsidRPr="00B4361C">
        <w:rPr>
          <w:rFonts w:cs="Arial" w:hint="cs"/>
          <w:sz w:val="16"/>
          <w:szCs w:val="16"/>
          <w:rtl/>
        </w:rPr>
        <w:t>אומר</w:t>
      </w:r>
      <w:r w:rsidRPr="00B4361C">
        <w:rPr>
          <w:rFonts w:cs="Arial"/>
          <w:sz w:val="16"/>
          <w:szCs w:val="16"/>
          <w:rtl/>
        </w:rPr>
        <w:t xml:space="preserve"> </w:t>
      </w:r>
      <w:r w:rsidRPr="00B4361C">
        <w:rPr>
          <w:rFonts w:cs="Arial" w:hint="cs"/>
          <w:sz w:val="16"/>
          <w:szCs w:val="16"/>
          <w:rtl/>
        </w:rPr>
        <w:t>מתוך</w:t>
      </w:r>
      <w:r w:rsidRPr="00B4361C">
        <w:rPr>
          <w:rFonts w:cs="Arial"/>
          <w:sz w:val="16"/>
          <w:szCs w:val="16"/>
          <w:rtl/>
        </w:rPr>
        <w:t xml:space="preserve"> </w:t>
      </w:r>
      <w:r w:rsidRPr="00B4361C">
        <w:rPr>
          <w:rFonts w:cs="Arial" w:hint="cs"/>
          <w:sz w:val="16"/>
          <w:szCs w:val="16"/>
          <w:rtl/>
        </w:rPr>
        <w:t>כך</w:t>
      </w:r>
      <w:r w:rsidRPr="00B4361C">
        <w:rPr>
          <w:rFonts w:cs="Arial"/>
          <w:sz w:val="16"/>
          <w:szCs w:val="16"/>
          <w:rtl/>
        </w:rPr>
        <w:t xml:space="preserve"> </w:t>
      </w:r>
      <w:r w:rsidRPr="00B4361C">
        <w:rPr>
          <w:rFonts w:cs="Arial" w:hint="cs"/>
          <w:sz w:val="16"/>
          <w:szCs w:val="16"/>
          <w:rtl/>
        </w:rPr>
        <w:t>ד</w:t>
      </w:r>
      <w:r w:rsidRPr="00B4361C">
        <w:rPr>
          <w:rFonts w:cs="Arial"/>
          <w:sz w:val="16"/>
          <w:szCs w:val="16"/>
          <w:rtl/>
        </w:rPr>
        <w:t xml:space="preserve">אפילו כי נתנה בה טעם אין ההיתר נעשה נבלה שיצטרך </w:t>
      </w:r>
      <w:r w:rsidRPr="00B4361C">
        <w:rPr>
          <w:rFonts w:cs="Arial" w:hint="cs"/>
          <w:sz w:val="16"/>
          <w:szCs w:val="16"/>
          <w:rtl/>
        </w:rPr>
        <w:t>ס'</w:t>
      </w:r>
      <w:r w:rsidRPr="00B4361C">
        <w:rPr>
          <w:rFonts w:cs="Arial"/>
          <w:sz w:val="16"/>
          <w:szCs w:val="16"/>
          <w:rtl/>
        </w:rPr>
        <w:t xml:space="preserve"> כנגד כל החתיכה אלא כנגד האיסור הבלוע</w:t>
      </w:r>
      <w:r w:rsidRPr="00B4361C">
        <w:rPr>
          <w:rFonts w:cs="Arial" w:hint="cs"/>
          <w:sz w:val="16"/>
          <w:szCs w:val="16"/>
          <w:rtl/>
        </w:rPr>
        <w:t>,</w:t>
      </w:r>
      <w:r w:rsidRPr="00B4361C">
        <w:rPr>
          <w:rFonts w:cs="Arial"/>
          <w:sz w:val="16"/>
          <w:szCs w:val="16"/>
          <w:rtl/>
        </w:rPr>
        <w:t xml:space="preserve"> הילכך לרב</w:t>
      </w:r>
      <w:r w:rsidRPr="00B4361C">
        <w:rPr>
          <w:rFonts w:cs="Arial" w:hint="cs"/>
          <w:sz w:val="16"/>
          <w:szCs w:val="16"/>
          <w:rtl/>
        </w:rPr>
        <w:t xml:space="preserve">, </w:t>
      </w:r>
      <w:r w:rsidRPr="00B4361C">
        <w:rPr>
          <w:rFonts w:cs="Arial"/>
          <w:sz w:val="16"/>
          <w:szCs w:val="16"/>
          <w:rtl/>
        </w:rPr>
        <w:t>דאמר הכא דמין במינו לא בטיל</w:t>
      </w:r>
      <w:r w:rsidRPr="00B4361C">
        <w:rPr>
          <w:rFonts w:cs="Arial" w:hint="cs"/>
          <w:sz w:val="16"/>
          <w:szCs w:val="16"/>
          <w:rtl/>
        </w:rPr>
        <w:t>,</w:t>
      </w:r>
      <w:r w:rsidRPr="00B4361C">
        <w:rPr>
          <w:rFonts w:cs="Arial"/>
          <w:sz w:val="16"/>
          <w:szCs w:val="16"/>
          <w:rtl/>
        </w:rPr>
        <w:t xml:space="preserve"> כשחתיכת היתר קבלה טעם מן הנבלה חשיב האיסור כאילו הוא בעין</w:t>
      </w:r>
      <w:r w:rsidRPr="00B4361C">
        <w:rPr>
          <w:rFonts w:cs="Arial" w:hint="cs"/>
          <w:sz w:val="16"/>
          <w:szCs w:val="16"/>
          <w:rtl/>
        </w:rPr>
        <w:t>,</w:t>
      </w:r>
      <w:r w:rsidRPr="00B4361C">
        <w:rPr>
          <w:rFonts w:cs="Arial"/>
          <w:sz w:val="16"/>
          <w:szCs w:val="16"/>
          <w:rtl/>
        </w:rPr>
        <w:t xml:space="preserve"> ואוסרת כל החתיכות במשהו</w:t>
      </w:r>
      <w:r w:rsidRPr="00B4361C">
        <w:rPr>
          <w:rFonts w:cs="Arial" w:hint="cs"/>
          <w:sz w:val="16"/>
          <w:szCs w:val="16"/>
          <w:rtl/>
        </w:rPr>
        <w:t>,</w:t>
      </w:r>
      <w:r w:rsidRPr="00B4361C">
        <w:rPr>
          <w:rFonts w:cs="Arial"/>
          <w:sz w:val="16"/>
          <w:szCs w:val="16"/>
          <w:rtl/>
        </w:rPr>
        <w:t xml:space="preserve"> אבל כי לא נתנה הנבלה טעם בה</w:t>
      </w:r>
      <w:r w:rsidRPr="00B4361C">
        <w:rPr>
          <w:rFonts w:cs="Arial" w:hint="cs"/>
          <w:sz w:val="16"/>
          <w:szCs w:val="16"/>
          <w:rtl/>
        </w:rPr>
        <w:t xml:space="preserve"> -</w:t>
      </w:r>
      <w:r w:rsidRPr="00B4361C">
        <w:rPr>
          <w:rFonts w:cs="Arial"/>
          <w:sz w:val="16"/>
          <w:szCs w:val="16"/>
          <w:rtl/>
        </w:rPr>
        <w:t xml:space="preserve"> לא היתה אוסרת החתיכות מפני שהם מינה</w:t>
      </w:r>
      <w:r w:rsidRPr="00B4361C">
        <w:rPr>
          <w:rFonts w:cs="Arial" w:hint="cs"/>
          <w:sz w:val="16"/>
          <w:szCs w:val="16"/>
          <w:rtl/>
        </w:rPr>
        <w:t>,</w:t>
      </w:r>
      <w:r w:rsidRPr="00B4361C">
        <w:rPr>
          <w:rFonts w:cs="Arial"/>
          <w:sz w:val="16"/>
          <w:szCs w:val="16"/>
          <w:rtl/>
        </w:rPr>
        <w:t xml:space="preserve"> שהרי אין צריך לבטל אלא האיסור לבד</w:t>
      </w:r>
      <w:r w:rsidRPr="00B4361C">
        <w:rPr>
          <w:rFonts w:cs="Arial" w:hint="cs"/>
          <w:sz w:val="16"/>
          <w:szCs w:val="16"/>
          <w:rtl/>
        </w:rPr>
        <w:t>,</w:t>
      </w:r>
      <w:r w:rsidRPr="00B4361C">
        <w:rPr>
          <w:rFonts w:cs="Arial"/>
          <w:sz w:val="16"/>
          <w:szCs w:val="16"/>
          <w:rtl/>
        </w:rPr>
        <w:t xml:space="preserve"> וכיון שלא נתן טעם בחתיכה הוי האיסור כמאן דליתיה</w:t>
      </w:r>
      <w:r w:rsidRPr="00B4361C">
        <w:rPr>
          <w:rFonts w:cs="Arial" w:hint="cs"/>
          <w:sz w:val="16"/>
          <w:szCs w:val="16"/>
          <w:rtl/>
        </w:rPr>
        <w:t>,</w:t>
      </w:r>
      <w:r w:rsidRPr="00B4361C">
        <w:rPr>
          <w:rFonts w:cs="Arial"/>
          <w:sz w:val="16"/>
          <w:szCs w:val="16"/>
          <w:rtl/>
        </w:rPr>
        <w:t xml:space="preserve"> דלא הוי כאילו הוא בעין</w:t>
      </w:r>
      <w:r w:rsidRPr="00B4361C">
        <w:rPr>
          <w:rFonts w:cs="Arial" w:hint="cs"/>
          <w:sz w:val="16"/>
          <w:szCs w:val="16"/>
          <w:rtl/>
        </w:rPr>
        <w:t>,</w:t>
      </w:r>
      <w:r w:rsidRPr="00B4361C">
        <w:rPr>
          <w:rFonts w:cs="Arial"/>
          <w:sz w:val="16"/>
          <w:szCs w:val="16"/>
          <w:rtl/>
        </w:rPr>
        <w:t xml:space="preserve"> ולא אסר אלא חתיכה ראשונה</w:t>
      </w:r>
      <w:r w:rsidRPr="00B4361C">
        <w:rPr>
          <w:rFonts w:cs="Arial" w:hint="cs"/>
          <w:sz w:val="16"/>
          <w:szCs w:val="16"/>
          <w:rtl/>
        </w:rPr>
        <w:t>,</w:t>
      </w:r>
      <w:r w:rsidRPr="00B4361C">
        <w:rPr>
          <w:rFonts w:cs="Arial"/>
          <w:sz w:val="16"/>
          <w:szCs w:val="16"/>
          <w:rtl/>
        </w:rPr>
        <w:t xml:space="preserve"> שאין ההיתר נעשה איסור ולא אסר שאר חתיכות</w:t>
      </w:r>
      <w:r w:rsidRPr="00B4361C">
        <w:rPr>
          <w:rFonts w:cs="Arial" w:hint="cs"/>
          <w:sz w:val="16"/>
          <w:szCs w:val="16"/>
          <w:rtl/>
        </w:rPr>
        <w:t>,</w:t>
      </w:r>
      <w:r w:rsidRPr="00B4361C">
        <w:rPr>
          <w:rFonts w:cs="Arial"/>
          <w:sz w:val="16"/>
          <w:szCs w:val="16"/>
          <w:rtl/>
        </w:rPr>
        <w:t xml:space="preserve"> ודוקא גבי טיפת חלב אמרינן בפכ"ה</w:t>
      </w:r>
      <w:r w:rsidRPr="00B4361C">
        <w:rPr>
          <w:rFonts w:cs="Arial"/>
          <w:sz w:val="10"/>
          <w:szCs w:val="10"/>
          <w:rtl/>
        </w:rPr>
        <w:t xml:space="preserve"> (קח.) </w:t>
      </w:r>
      <w:r w:rsidRPr="00B4361C">
        <w:rPr>
          <w:rFonts w:cs="Arial"/>
          <w:sz w:val="16"/>
          <w:szCs w:val="16"/>
          <w:rtl/>
        </w:rPr>
        <w:t xml:space="preserve">דחתיכה עצמה נעשית נבלה וצריך </w:t>
      </w:r>
      <w:r w:rsidRPr="00B4361C">
        <w:rPr>
          <w:rFonts w:cs="Arial" w:hint="cs"/>
          <w:sz w:val="16"/>
          <w:szCs w:val="16"/>
          <w:rtl/>
        </w:rPr>
        <w:t>ס'</w:t>
      </w:r>
      <w:r w:rsidRPr="00B4361C">
        <w:rPr>
          <w:rFonts w:cs="Arial"/>
          <w:sz w:val="16"/>
          <w:szCs w:val="16"/>
          <w:rtl/>
        </w:rPr>
        <w:t xml:space="preserve"> כנגד כל החתיכה ולא סגי בביטול טיפה לחוד</w:t>
      </w:r>
      <w:r w:rsidRPr="00B4361C">
        <w:rPr>
          <w:rFonts w:cs="Arial" w:hint="cs"/>
          <w:sz w:val="16"/>
          <w:szCs w:val="16"/>
          <w:rtl/>
        </w:rPr>
        <w:t>,</w:t>
      </w:r>
      <w:r w:rsidRPr="00B4361C">
        <w:rPr>
          <w:rFonts w:cs="Arial"/>
          <w:sz w:val="16"/>
          <w:szCs w:val="16"/>
          <w:rtl/>
        </w:rPr>
        <w:t xml:space="preserve"> משום דכל חד וחד באנפי נפשיה שרי וכי איתנהו בהדי הדדי אסור</w:t>
      </w:r>
      <w:r w:rsidRPr="00B4361C">
        <w:rPr>
          <w:rFonts w:cs="Arial" w:hint="cs"/>
          <w:sz w:val="16"/>
          <w:szCs w:val="16"/>
          <w:rtl/>
        </w:rPr>
        <w:t>,</w:t>
      </w:r>
      <w:r w:rsidRPr="00B4361C">
        <w:rPr>
          <w:rFonts w:cs="Arial"/>
          <w:sz w:val="16"/>
          <w:szCs w:val="16"/>
          <w:rtl/>
        </w:rPr>
        <w:t xml:space="preserve"> הילכך הבשר עצמו נעשה איסור ולוקה אם אכל חצי זית מבשר וחצי זית מחלב</w:t>
      </w:r>
      <w:r w:rsidRPr="00B4361C">
        <w:rPr>
          <w:rFonts w:cs="Arial" w:hint="cs"/>
          <w:sz w:val="16"/>
          <w:szCs w:val="16"/>
          <w:rtl/>
        </w:rPr>
        <w:t>,</w:t>
      </w:r>
      <w:r w:rsidRPr="00B4361C">
        <w:rPr>
          <w:rFonts w:cs="Arial"/>
          <w:sz w:val="16"/>
          <w:szCs w:val="16"/>
          <w:rtl/>
        </w:rPr>
        <w:t xml:space="preserve"> ולכך צריך ברוטב </w:t>
      </w:r>
      <w:r w:rsidRPr="00B4361C">
        <w:rPr>
          <w:rFonts w:cs="Arial" w:hint="cs"/>
          <w:sz w:val="16"/>
          <w:szCs w:val="16"/>
          <w:rtl/>
        </w:rPr>
        <w:t>ס'</w:t>
      </w:r>
      <w:r w:rsidRPr="00B4361C">
        <w:rPr>
          <w:rFonts w:cs="Arial"/>
          <w:sz w:val="16"/>
          <w:szCs w:val="16"/>
          <w:rtl/>
        </w:rPr>
        <w:t xml:space="preserve"> לבטל כל החתיכה שנפלה עליה טיפת חלב</w:t>
      </w:r>
      <w:r w:rsidRPr="00B4361C">
        <w:rPr>
          <w:rFonts w:cs="Arial" w:hint="cs"/>
          <w:sz w:val="16"/>
          <w:szCs w:val="16"/>
          <w:rtl/>
        </w:rPr>
        <w:t>,</w:t>
      </w:r>
      <w:r w:rsidRPr="00B4361C">
        <w:rPr>
          <w:rFonts w:cs="Arial"/>
          <w:sz w:val="16"/>
          <w:szCs w:val="16"/>
          <w:rtl/>
        </w:rPr>
        <w:t xml:space="preserve"> אבל חתיכת היתר שבלעה טעם נבלה ונאסרה וחזרה ונתנה טעם ברוטב אין צריך אלא </w:t>
      </w:r>
      <w:r w:rsidRPr="00B4361C">
        <w:rPr>
          <w:rFonts w:cs="Arial" w:hint="cs"/>
          <w:sz w:val="16"/>
          <w:szCs w:val="16"/>
          <w:rtl/>
        </w:rPr>
        <w:t>ס'</w:t>
      </w:r>
      <w:r w:rsidRPr="00B4361C">
        <w:rPr>
          <w:rFonts w:cs="Arial"/>
          <w:sz w:val="16"/>
          <w:szCs w:val="16"/>
          <w:rtl/>
        </w:rPr>
        <w:t xml:space="preserve"> לבטל האיסור שנבלע בחתיכה ואין צריך שיעור </w:t>
      </w:r>
      <w:r w:rsidRPr="00B4361C">
        <w:rPr>
          <w:rFonts w:cs="Arial" w:hint="cs"/>
          <w:sz w:val="16"/>
          <w:szCs w:val="16"/>
          <w:rtl/>
        </w:rPr>
        <w:t>ס'</w:t>
      </w:r>
      <w:r w:rsidRPr="00B4361C">
        <w:rPr>
          <w:rFonts w:cs="Arial"/>
          <w:sz w:val="16"/>
          <w:szCs w:val="16"/>
          <w:rtl/>
        </w:rPr>
        <w:t xml:space="preserve"> של אותה חתיכה</w:t>
      </w:r>
      <w:r w:rsidRPr="003C704D">
        <w:rPr>
          <w:rStyle w:val="a7"/>
          <w:rFonts w:cs="Arial"/>
          <w:sz w:val="16"/>
          <w:szCs w:val="16"/>
          <w:rtl/>
        </w:rPr>
        <w:footnoteReference w:id="1422"/>
      </w:r>
      <w:r>
        <w:rPr>
          <w:rFonts w:cs="Arial" w:hint="cs"/>
          <w:sz w:val="16"/>
          <w:szCs w:val="16"/>
          <w:rtl/>
        </w:rPr>
        <w:t>)</w:t>
      </w:r>
    </w:p>
    <w:p w14:paraId="316AFD6E" w14:textId="77777777" w:rsidR="002C39F4" w:rsidRPr="00B4361C" w:rsidRDefault="002C39F4" w:rsidP="002C39F4">
      <w:pPr>
        <w:rPr>
          <w:rFonts w:cs="Arial"/>
          <w:u w:val="single"/>
          <w:rtl/>
        </w:rPr>
      </w:pPr>
      <w:r w:rsidRPr="00B4361C">
        <w:rPr>
          <w:rFonts w:cs="Arial" w:hint="cs"/>
          <w:u w:val="single"/>
          <w:rtl/>
        </w:rPr>
        <w:t>האם אמרינן 'אפשר לסוחטו אסור</w:t>
      </w:r>
      <w:r w:rsidRPr="00B4361C">
        <w:rPr>
          <w:rStyle w:val="a7"/>
          <w:rFonts w:cs="Arial"/>
          <w:u w:val="single"/>
          <w:rtl/>
        </w:rPr>
        <w:footnoteReference w:id="1423"/>
      </w:r>
      <w:r w:rsidRPr="00B4361C">
        <w:rPr>
          <w:rFonts w:cs="Arial" w:hint="cs"/>
          <w:u w:val="single"/>
          <w:rtl/>
        </w:rPr>
        <w:t>' רק בבשר בחלב או גם בשאר איסורין:</w:t>
      </w:r>
    </w:p>
    <w:p w14:paraId="7089306A" w14:textId="77777777" w:rsidR="002C39F4" w:rsidRPr="002D49C8" w:rsidRDefault="002C39F4" w:rsidP="0032102C">
      <w:pPr>
        <w:pStyle w:val="a8"/>
        <w:numPr>
          <w:ilvl w:val="0"/>
          <w:numId w:val="107"/>
        </w:numPr>
        <w:rPr>
          <w:rFonts w:cs="Arial"/>
          <w:rtl/>
        </w:rPr>
      </w:pPr>
      <w:r w:rsidRPr="002D49C8">
        <w:rPr>
          <w:rFonts w:cs="Arial"/>
          <w:rtl/>
        </w:rPr>
        <w:t>ה"ר אפרים</w:t>
      </w:r>
      <w:r w:rsidRPr="002D49C8">
        <w:rPr>
          <w:rFonts w:cs="Arial" w:hint="cs"/>
          <w:rtl/>
        </w:rPr>
        <w:t xml:space="preserve"> רמב"ם</w:t>
      </w:r>
      <w:r>
        <w:rPr>
          <w:rStyle w:val="a7"/>
          <w:rFonts w:cs="Arial"/>
          <w:rtl/>
        </w:rPr>
        <w:footnoteReference w:id="1424"/>
      </w:r>
      <w:r w:rsidRPr="002D49C8">
        <w:rPr>
          <w:rFonts w:cs="Arial" w:hint="cs"/>
          <w:rtl/>
        </w:rPr>
        <w:t xml:space="preserve"> </w:t>
      </w:r>
      <w:r w:rsidRPr="001E7D80">
        <w:rPr>
          <w:rFonts w:cs="Arial"/>
          <w:rtl/>
        </w:rPr>
        <w:t>רשב"א</w:t>
      </w:r>
      <w:r>
        <w:rPr>
          <w:rFonts w:cs="Arial" w:hint="cs"/>
          <w:rtl/>
        </w:rPr>
        <w:t xml:space="preserve"> </w:t>
      </w:r>
      <w:r w:rsidRPr="002D49C8">
        <w:rPr>
          <w:rFonts w:cs="Arial" w:hint="cs"/>
          <w:rtl/>
        </w:rPr>
        <w:t xml:space="preserve">רא"ש </w:t>
      </w:r>
      <w:r w:rsidRPr="002D49C8">
        <w:rPr>
          <w:rFonts w:cs="Arial"/>
          <w:rtl/>
        </w:rPr>
        <w:t>ו</w:t>
      </w:r>
      <w:r w:rsidRPr="002D49C8">
        <w:rPr>
          <w:rFonts w:cs="Arial" w:hint="cs"/>
          <w:rtl/>
        </w:rPr>
        <w:t>הה"מ</w:t>
      </w:r>
      <w:r>
        <w:rPr>
          <w:rStyle w:val="a7"/>
          <w:rFonts w:cs="Arial"/>
          <w:rtl/>
        </w:rPr>
        <w:footnoteReference w:id="1425"/>
      </w:r>
      <w:r w:rsidRPr="002D49C8">
        <w:rPr>
          <w:rFonts w:cs="Arial" w:hint="cs"/>
          <w:rtl/>
        </w:rPr>
        <w:t xml:space="preserve">- </w:t>
      </w:r>
      <w:r w:rsidRPr="002D49C8">
        <w:rPr>
          <w:rFonts w:cs="Arial"/>
          <w:rtl/>
        </w:rPr>
        <w:t>לא אמרינן אפשר לסוחטו אסור אלא בבשר בחלב</w:t>
      </w:r>
      <w:r>
        <w:rPr>
          <w:rStyle w:val="a7"/>
          <w:rFonts w:cs="Arial"/>
          <w:rtl/>
        </w:rPr>
        <w:footnoteReference w:id="1426"/>
      </w:r>
      <w:r w:rsidRPr="002D49C8">
        <w:rPr>
          <w:rFonts w:cs="Arial" w:hint="cs"/>
          <w:rtl/>
        </w:rPr>
        <w:t>,</w:t>
      </w:r>
      <w:r w:rsidRPr="002D49C8">
        <w:rPr>
          <w:rFonts w:cs="Arial"/>
          <w:rtl/>
        </w:rPr>
        <w:t xml:space="preserve"> אבל בשאר איסורין</w:t>
      </w:r>
      <w:r w:rsidRPr="002D49C8">
        <w:rPr>
          <w:rFonts w:cs="Arial" w:hint="cs"/>
          <w:rtl/>
        </w:rPr>
        <w:t>,</w:t>
      </w:r>
      <w:r w:rsidRPr="002D49C8">
        <w:rPr>
          <w:rFonts w:cs="Arial"/>
          <w:rtl/>
        </w:rPr>
        <w:t xml:space="preserve"> כגון כזית ח</w:t>
      </w:r>
      <w:r>
        <w:rPr>
          <w:rFonts w:cs="Arial" w:hint="cs"/>
          <w:rtl/>
        </w:rPr>
        <w:t>ֵ</w:t>
      </w:r>
      <w:r w:rsidRPr="002D49C8">
        <w:rPr>
          <w:rFonts w:cs="Arial"/>
          <w:rtl/>
        </w:rPr>
        <w:t>ל</w:t>
      </w:r>
      <w:r>
        <w:rPr>
          <w:rFonts w:cs="Arial" w:hint="cs"/>
          <w:rtl/>
        </w:rPr>
        <w:t>ֶ</w:t>
      </w:r>
      <w:r w:rsidRPr="002D49C8">
        <w:rPr>
          <w:rFonts w:cs="Arial"/>
          <w:rtl/>
        </w:rPr>
        <w:t xml:space="preserve">ב </w:t>
      </w:r>
      <w:r w:rsidRPr="00401A7C">
        <w:rPr>
          <w:rFonts w:cs="Arial"/>
          <w:rtl/>
        </w:rPr>
        <w:t>שנבלע בחתיכה ואין בה ס' לבטלו ונאסרה</w:t>
      </w:r>
      <w:r>
        <w:rPr>
          <w:rFonts w:cs="Arial" w:hint="cs"/>
          <w:rtl/>
        </w:rPr>
        <w:t>,</w:t>
      </w:r>
      <w:r w:rsidRPr="00401A7C">
        <w:rPr>
          <w:rFonts w:cs="Arial"/>
          <w:rtl/>
        </w:rPr>
        <w:t xml:space="preserve"> ואח"כ בשלה עם האחרות</w:t>
      </w:r>
      <w:r w:rsidRPr="002D49C8">
        <w:rPr>
          <w:rFonts w:cs="Arial" w:hint="cs"/>
          <w:rtl/>
        </w:rPr>
        <w:t>,</w:t>
      </w:r>
      <w:r w:rsidRPr="002D49C8">
        <w:rPr>
          <w:rFonts w:cs="Arial"/>
          <w:rtl/>
        </w:rPr>
        <w:t xml:space="preserve"> אין צריך אלא ס' כדי כזית הראשון</w:t>
      </w:r>
      <w:r>
        <w:rPr>
          <w:rStyle w:val="a7"/>
          <w:rFonts w:cs="Arial"/>
          <w:rtl/>
        </w:rPr>
        <w:footnoteReference w:id="1427"/>
      </w:r>
      <w:r>
        <w:rPr>
          <w:rFonts w:cs="Arial" w:hint="cs"/>
          <w:sz w:val="16"/>
          <w:szCs w:val="16"/>
          <w:rtl/>
        </w:rPr>
        <w:t xml:space="preserve"> (ל' הטור)</w:t>
      </w:r>
      <w:r>
        <w:rPr>
          <w:rStyle w:val="a7"/>
          <w:rFonts w:cs="Arial"/>
          <w:rtl/>
        </w:rPr>
        <w:footnoteReference w:id="1428"/>
      </w:r>
      <w:r w:rsidRPr="002D49C8">
        <w:rPr>
          <w:rFonts w:cs="Arial" w:hint="cs"/>
          <w:rtl/>
        </w:rPr>
        <w:t>.</w:t>
      </w:r>
      <w:r w:rsidRPr="002D49C8">
        <w:rPr>
          <w:rFonts w:cs="Arial"/>
          <w:rtl/>
        </w:rPr>
        <w:t xml:space="preserve"> </w:t>
      </w:r>
      <w:r w:rsidRPr="007A5C81">
        <w:rPr>
          <w:rFonts w:cs="Arial" w:hint="cs"/>
          <w:color w:val="E36C0A" w:themeColor="accent6" w:themeShade="BF"/>
          <w:rtl/>
        </w:rPr>
        <w:t>(וכ"פ בשו"ע)</w:t>
      </w:r>
    </w:p>
    <w:p w14:paraId="5A133FFA" w14:textId="77777777" w:rsidR="002C39F4" w:rsidRDefault="002C39F4" w:rsidP="002C39F4">
      <w:pPr>
        <w:pStyle w:val="a8"/>
        <w:numPr>
          <w:ilvl w:val="0"/>
          <w:numId w:val="106"/>
        </w:numPr>
        <w:rPr>
          <w:rFonts w:cs="Arial"/>
        </w:rPr>
      </w:pPr>
      <w:r w:rsidRPr="001360AA">
        <w:rPr>
          <w:rFonts w:cs="Arial"/>
          <w:rtl/>
        </w:rPr>
        <w:t>ר"</w:t>
      </w:r>
      <w:r>
        <w:rPr>
          <w:rFonts w:cs="Arial" w:hint="cs"/>
          <w:rtl/>
        </w:rPr>
        <w:t>ת</w:t>
      </w:r>
      <w:r>
        <w:rPr>
          <w:rFonts w:cs="Arial" w:hint="cs"/>
          <w:sz w:val="16"/>
          <w:szCs w:val="16"/>
          <w:rtl/>
        </w:rPr>
        <w:t xml:space="preserve"> (הובא בתוס' שם)</w:t>
      </w:r>
      <w:r w:rsidRPr="00B4361C">
        <w:rPr>
          <w:rFonts w:asciiTheme="minorBidi" w:hAnsiTheme="minorBidi"/>
          <w:rtl/>
        </w:rPr>
        <w:t xml:space="preserve"> </w:t>
      </w:r>
      <w:r>
        <w:rPr>
          <w:rFonts w:asciiTheme="minorBidi" w:hAnsiTheme="minorBidi" w:hint="cs"/>
          <w:rtl/>
        </w:rPr>
        <w:t>ר"י</w:t>
      </w:r>
      <w:r w:rsidRPr="00B4361C">
        <w:rPr>
          <w:rFonts w:asciiTheme="minorBidi" w:hAnsiTheme="minorBidi" w:hint="cs"/>
          <w:sz w:val="16"/>
          <w:szCs w:val="16"/>
          <w:rtl/>
        </w:rPr>
        <w:t xml:space="preserve"> (הובא בתוס' שם) </w:t>
      </w:r>
      <w:r>
        <w:rPr>
          <w:rFonts w:asciiTheme="minorBidi" w:hAnsiTheme="minorBidi" w:hint="cs"/>
          <w:rtl/>
        </w:rPr>
        <w:t>ו</w:t>
      </w:r>
      <w:r w:rsidRPr="00085E47">
        <w:rPr>
          <w:rFonts w:asciiTheme="minorBidi" w:hAnsiTheme="minorBidi"/>
          <w:rtl/>
        </w:rPr>
        <w:t>סמ"ג</w:t>
      </w:r>
      <w:r w:rsidRPr="00B4361C">
        <w:rPr>
          <w:rFonts w:asciiTheme="minorBidi" w:hAnsiTheme="minorBidi"/>
          <w:sz w:val="18"/>
          <w:szCs w:val="18"/>
          <w:rtl/>
        </w:rPr>
        <w:t xml:space="preserve"> </w:t>
      </w:r>
      <w:r w:rsidRPr="00B4361C">
        <w:rPr>
          <w:rFonts w:asciiTheme="minorBidi" w:hAnsiTheme="minorBidi"/>
          <w:sz w:val="16"/>
          <w:szCs w:val="16"/>
          <w:rtl/>
        </w:rPr>
        <w:t>(לאוין קמ קמא נא ע"ג)</w:t>
      </w:r>
      <w:r w:rsidRPr="001360AA">
        <w:rPr>
          <w:rFonts w:cs="Arial" w:hint="cs"/>
          <w:rtl/>
        </w:rPr>
        <w:t xml:space="preserve">- </w:t>
      </w:r>
      <w:r w:rsidRPr="001360AA">
        <w:rPr>
          <w:rFonts w:cs="Arial"/>
          <w:rtl/>
        </w:rPr>
        <w:t>אף בשאר איסורין אפשר לסוחטו אסור</w:t>
      </w:r>
      <w:r>
        <w:rPr>
          <w:rFonts w:cs="Arial" w:hint="cs"/>
          <w:rtl/>
        </w:rPr>
        <w:t>,</w:t>
      </w:r>
      <w:r w:rsidRPr="00060FB4">
        <w:rPr>
          <w:rFonts w:asciiTheme="minorBidi" w:hAnsiTheme="minorBidi"/>
          <w:rtl/>
        </w:rPr>
        <w:t xml:space="preserve"> </w:t>
      </w:r>
      <w:r w:rsidRPr="00085E47">
        <w:rPr>
          <w:rFonts w:asciiTheme="minorBidi" w:hAnsiTheme="minorBidi"/>
          <w:rtl/>
        </w:rPr>
        <w:t>ודוקא כשנאסר בנותן טעם שלא היה בהיתר ס' לבטל האיסור שנבלע בו, אבל נאסר במשהו, אפילו נאסר מחמת מינו שאסור במשהו לרבי יהודה לא נעשית כולה נבלה</w:t>
      </w:r>
      <w:r>
        <w:rPr>
          <w:rStyle w:val="a7"/>
          <w:rFonts w:cs="Arial"/>
          <w:rtl/>
        </w:rPr>
        <w:footnoteReference w:id="1429"/>
      </w:r>
      <w:r>
        <w:rPr>
          <w:rFonts w:cs="Arial" w:hint="cs"/>
          <w:sz w:val="16"/>
          <w:szCs w:val="16"/>
          <w:rtl/>
        </w:rPr>
        <w:t xml:space="preserve"> (ל' הטור בשם ר"ת)</w:t>
      </w:r>
      <w:r w:rsidRPr="001360AA">
        <w:rPr>
          <w:rFonts w:cs="Arial" w:hint="cs"/>
          <w:rtl/>
        </w:rPr>
        <w:t>.</w:t>
      </w:r>
      <w:r w:rsidRPr="001360AA">
        <w:rPr>
          <w:rFonts w:cs="Arial"/>
          <w:rtl/>
        </w:rPr>
        <w:t xml:space="preserve"> </w:t>
      </w:r>
      <w:r w:rsidRPr="00C14E05">
        <w:rPr>
          <w:rFonts w:hint="cs"/>
          <w:color w:val="00B0F0"/>
          <w:rtl/>
        </w:rPr>
        <w:t xml:space="preserve">(וכ"פ </w:t>
      </w:r>
      <w:r>
        <w:rPr>
          <w:rFonts w:hint="cs"/>
          <w:color w:val="00B0F0"/>
          <w:rtl/>
        </w:rPr>
        <w:t>הרמ"א</w:t>
      </w:r>
      <w:r w:rsidRPr="00C14E05">
        <w:rPr>
          <w:rFonts w:hint="cs"/>
          <w:color w:val="00B0F0"/>
          <w:rtl/>
        </w:rPr>
        <w:t>)</w:t>
      </w:r>
    </w:p>
    <w:p w14:paraId="2F8A4232" w14:textId="77777777" w:rsidR="002C39F4" w:rsidRDefault="002C39F4" w:rsidP="002C39F4">
      <w:pPr>
        <w:pStyle w:val="a8"/>
        <w:numPr>
          <w:ilvl w:val="0"/>
          <w:numId w:val="106"/>
        </w:numPr>
        <w:rPr>
          <w:rFonts w:cs="Arial"/>
        </w:rPr>
      </w:pPr>
      <w:r w:rsidRPr="001E7D80">
        <w:rPr>
          <w:rFonts w:cs="Arial"/>
          <w:rtl/>
        </w:rPr>
        <w:t xml:space="preserve">ר"ן </w:t>
      </w:r>
      <w:r w:rsidRPr="001E7D80">
        <w:rPr>
          <w:rFonts w:cs="Arial"/>
          <w:sz w:val="16"/>
          <w:szCs w:val="16"/>
          <w:rtl/>
        </w:rPr>
        <w:t>(מד</w:t>
      </w:r>
      <w:r w:rsidRPr="001E7D80">
        <w:rPr>
          <w:rFonts w:cs="Arial" w:hint="cs"/>
          <w:sz w:val="16"/>
          <w:szCs w:val="16"/>
          <w:rtl/>
        </w:rPr>
        <w:t>: ד"ה וגרסינן בגמרא</w:t>
      </w:r>
      <w:r w:rsidRPr="001E7D80">
        <w:rPr>
          <w:rFonts w:cs="Arial"/>
          <w:sz w:val="16"/>
          <w:szCs w:val="16"/>
          <w:rtl/>
        </w:rPr>
        <w:t>)</w:t>
      </w:r>
      <w:r w:rsidRPr="001E7D80">
        <w:rPr>
          <w:rFonts w:cs="Arial" w:hint="cs"/>
          <w:rtl/>
        </w:rPr>
        <w:t xml:space="preserve">- </w:t>
      </w:r>
      <w:r w:rsidRPr="001E7D80">
        <w:rPr>
          <w:rFonts w:cs="Arial"/>
          <w:rtl/>
        </w:rPr>
        <w:t>נ"ל דחתיכה עצמה נעשית נבלה בבשר בחלב מדאו</w:t>
      </w:r>
      <w:r w:rsidRPr="001E7D80">
        <w:rPr>
          <w:rFonts w:cs="Arial" w:hint="cs"/>
          <w:rtl/>
        </w:rPr>
        <w:t>'</w:t>
      </w:r>
      <w:r>
        <w:rPr>
          <w:rFonts w:cs="Arial" w:hint="cs"/>
          <w:rtl/>
        </w:rPr>
        <w:t>,</w:t>
      </w:r>
      <w:r w:rsidRPr="001E7D80">
        <w:rPr>
          <w:rFonts w:cs="Arial"/>
          <w:rtl/>
        </w:rPr>
        <w:t xml:space="preserve"> לפי שבשעת התערובת הוא שמתחדש האיסור ונעשה כל אחד עצמו של איסור</w:t>
      </w:r>
      <w:r>
        <w:rPr>
          <w:rFonts w:cs="Arial" w:hint="cs"/>
          <w:rtl/>
        </w:rPr>
        <w:t>,</w:t>
      </w:r>
      <w:r w:rsidRPr="001E7D80">
        <w:rPr>
          <w:rFonts w:cs="Arial"/>
          <w:rtl/>
        </w:rPr>
        <w:t xml:space="preserve"> ובשאר איסורין אינו אלא מדבריהם</w:t>
      </w:r>
      <w:r>
        <w:rPr>
          <w:rFonts w:cs="Arial" w:hint="cs"/>
          <w:rtl/>
        </w:rPr>
        <w:t>,</w:t>
      </w:r>
      <w:r w:rsidRPr="001E7D80">
        <w:rPr>
          <w:rFonts w:cs="Arial"/>
          <w:rtl/>
        </w:rPr>
        <w:t xml:space="preserve"> שראוי להשוות אותם לבשר בחלב</w:t>
      </w:r>
      <w:r>
        <w:rPr>
          <w:rFonts w:cs="Arial" w:hint="cs"/>
          <w:rtl/>
        </w:rPr>
        <w:t>,</w:t>
      </w:r>
      <w:r w:rsidRPr="001E7D80">
        <w:rPr>
          <w:rFonts w:cs="Arial"/>
          <w:rtl/>
        </w:rPr>
        <w:t xml:space="preserve"> וכיון דלא החמירו אלא משום לתא דבשר בחלב אין אומרין חתיכה עצמה נעשית נבלה אלא בדברים המתבשלים דומיא דבשר בחלב</w:t>
      </w:r>
      <w:r>
        <w:rPr>
          <w:rFonts w:cs="Arial" w:hint="cs"/>
          <w:rtl/>
        </w:rPr>
        <w:t>,</w:t>
      </w:r>
      <w:r>
        <w:rPr>
          <w:rFonts w:cs="Arial"/>
          <w:rtl/>
        </w:rPr>
        <w:t xml:space="preserve"> דדרך בישול אסרה תורה</w:t>
      </w:r>
      <w:r>
        <w:rPr>
          <w:rFonts w:cs="Arial" w:hint="cs"/>
          <w:rtl/>
        </w:rPr>
        <w:t>,</w:t>
      </w:r>
      <w:r>
        <w:rPr>
          <w:rFonts w:cs="Arial"/>
          <w:rtl/>
        </w:rPr>
        <w:t xml:space="preserve"> א</w:t>
      </w:r>
      <w:r>
        <w:rPr>
          <w:rFonts w:cs="Arial" w:hint="cs"/>
          <w:rtl/>
        </w:rPr>
        <w:t>"נ</w:t>
      </w:r>
      <w:r w:rsidRPr="001E7D80">
        <w:rPr>
          <w:rFonts w:cs="Arial"/>
          <w:rtl/>
        </w:rPr>
        <w:t xml:space="preserve"> צונן לתוך חם שאף הוא דרך בישול</w:t>
      </w:r>
      <w:r>
        <w:rPr>
          <w:rFonts w:cs="Arial" w:hint="cs"/>
          <w:rtl/>
        </w:rPr>
        <w:t>,</w:t>
      </w:r>
      <w:r w:rsidRPr="001E7D80">
        <w:rPr>
          <w:rFonts w:cs="Arial"/>
          <w:rtl/>
        </w:rPr>
        <w:t xml:space="preserve"> ומשום הכי מדומע ומחומץ שאינו דרך בישול לא אמרינן ביה חתיכה עצמה נעשית נבלה</w:t>
      </w:r>
      <w:r>
        <w:rPr>
          <w:rFonts w:cs="Arial" w:hint="cs"/>
          <w:rtl/>
        </w:rPr>
        <w:t>.</w:t>
      </w:r>
      <w:r w:rsidRPr="001E7D80">
        <w:rPr>
          <w:rFonts w:cs="Arial"/>
          <w:rtl/>
        </w:rPr>
        <w:t xml:space="preserve"> </w:t>
      </w:r>
    </w:p>
    <w:p w14:paraId="661A52FA" w14:textId="77777777" w:rsidR="002C39F4" w:rsidRDefault="002C39F4" w:rsidP="0032102C">
      <w:pPr>
        <w:pStyle w:val="a8"/>
        <w:numPr>
          <w:ilvl w:val="1"/>
          <w:numId w:val="108"/>
        </w:numPr>
        <w:rPr>
          <w:rtl/>
        </w:rPr>
      </w:pPr>
      <w:r>
        <w:rPr>
          <w:rFonts w:cs="Arial" w:hint="cs"/>
          <w:rtl/>
        </w:rPr>
        <w:t xml:space="preserve">ב"י- </w:t>
      </w:r>
      <w:r w:rsidRPr="00BB7829">
        <w:rPr>
          <w:rFonts w:cs="Arial"/>
          <w:rtl/>
        </w:rPr>
        <w:t>ולענין הלכה כיון שהרמב"ם והרא"ש מסכימים כדברי ה"ר אפרים הכי נקטינן</w:t>
      </w:r>
      <w:r>
        <w:rPr>
          <w:rFonts w:cs="Arial" w:hint="cs"/>
          <w:rtl/>
        </w:rPr>
        <w:t>,</w:t>
      </w:r>
      <w:r>
        <w:rPr>
          <w:rFonts w:cs="Arial"/>
          <w:rtl/>
        </w:rPr>
        <w:t xml:space="preserve"> וכ</w:t>
      </w:r>
      <w:r>
        <w:rPr>
          <w:rFonts w:cs="Arial" w:hint="cs"/>
          <w:rtl/>
        </w:rPr>
        <w:t>"</w:t>
      </w:r>
      <w:r>
        <w:rPr>
          <w:rFonts w:cs="Arial"/>
          <w:rtl/>
        </w:rPr>
        <w:t>ש</w:t>
      </w:r>
      <w:r w:rsidRPr="00BB7829">
        <w:rPr>
          <w:rFonts w:cs="Arial"/>
          <w:rtl/>
        </w:rPr>
        <w:t xml:space="preserve"> שהרשב"א וה</w:t>
      </w:r>
      <w:r>
        <w:rPr>
          <w:rFonts w:cs="Arial" w:hint="cs"/>
          <w:rtl/>
        </w:rPr>
        <w:t>ה"מ</w:t>
      </w:r>
      <w:r w:rsidRPr="00BB7829">
        <w:rPr>
          <w:rFonts w:cs="Arial"/>
          <w:rtl/>
        </w:rPr>
        <w:t xml:space="preserve"> מסכימים כן</w:t>
      </w:r>
      <w:r>
        <w:rPr>
          <w:rFonts w:cs="Arial" w:hint="cs"/>
          <w:rtl/>
        </w:rPr>
        <w:t>,</w:t>
      </w:r>
      <w:r w:rsidRPr="00BB7829">
        <w:rPr>
          <w:rFonts w:cs="Arial"/>
          <w:rtl/>
        </w:rPr>
        <w:t xml:space="preserve"> ובתשובות להרמב"ן פסק כן והעיד שכך נוהגין ועושים מעשה</w:t>
      </w:r>
      <w:r>
        <w:rPr>
          <w:rFonts w:cs="Arial" w:hint="cs"/>
          <w:rtl/>
        </w:rPr>
        <w:t>,</w:t>
      </w:r>
      <w:r w:rsidRPr="00BB7829">
        <w:rPr>
          <w:rFonts w:cs="Arial"/>
          <w:rtl/>
        </w:rPr>
        <w:t xml:space="preserve"> ואע</w:t>
      </w:r>
      <w:r w:rsidRPr="00BB7829">
        <w:rPr>
          <w:rFonts w:cs="Arial" w:hint="cs"/>
          <w:rtl/>
        </w:rPr>
        <w:t>"</w:t>
      </w:r>
      <w:r w:rsidRPr="00BB7829">
        <w:rPr>
          <w:rFonts w:cs="Arial"/>
          <w:rtl/>
        </w:rPr>
        <w:t>ג</w:t>
      </w:r>
      <w:r>
        <w:rPr>
          <w:rFonts w:cs="Arial"/>
          <w:rtl/>
        </w:rPr>
        <w:t xml:space="preserve"> דהר"ן לא סבר לה כוותיה מ</w:t>
      </w:r>
      <w:r>
        <w:rPr>
          <w:rFonts w:cs="Arial" w:hint="cs"/>
          <w:rtl/>
        </w:rPr>
        <w:t>"</w:t>
      </w:r>
      <w:r>
        <w:rPr>
          <w:rFonts w:cs="Arial"/>
          <w:rtl/>
        </w:rPr>
        <w:t>מ</w:t>
      </w:r>
      <w:r w:rsidRPr="00BB7829">
        <w:rPr>
          <w:rFonts w:cs="Arial"/>
          <w:rtl/>
        </w:rPr>
        <w:t xml:space="preserve"> הרי כתב דבשאר איסורין לא אמרינן חתיכה עצמה נעשית נבלה אלא מדרבנן וכיון דפלוגתא בדרבנן הוא נקטינן לקולא כנ"ל</w:t>
      </w:r>
      <w:r>
        <w:rPr>
          <w:rStyle w:val="a7"/>
          <w:rFonts w:cs="Arial"/>
          <w:rtl/>
        </w:rPr>
        <w:footnoteReference w:id="1430"/>
      </w:r>
      <w:r w:rsidRPr="00BB7829">
        <w:rPr>
          <w:rFonts w:cs="Arial" w:hint="cs"/>
          <w:rtl/>
        </w:rPr>
        <w:t>.</w:t>
      </w:r>
    </w:p>
    <w:p w14:paraId="1AEE205B" w14:textId="77777777" w:rsidR="002C39F4" w:rsidRPr="008B130A" w:rsidRDefault="002C39F4" w:rsidP="002C39F4">
      <w:pPr>
        <w:rPr>
          <w:u w:val="single"/>
          <w:rtl/>
        </w:rPr>
      </w:pPr>
      <w:r w:rsidRPr="008B130A">
        <w:rPr>
          <w:rFonts w:hint="cs"/>
          <w:u w:val="single"/>
          <w:rtl/>
        </w:rPr>
        <w:t xml:space="preserve">האם אמרינן חתיכה נעשית נבלה </w:t>
      </w:r>
      <w:r>
        <w:rPr>
          <w:rFonts w:hint="cs"/>
          <w:u w:val="single"/>
          <w:rtl/>
        </w:rPr>
        <w:t xml:space="preserve">גם </w:t>
      </w:r>
      <w:r w:rsidRPr="008B130A">
        <w:rPr>
          <w:rFonts w:hint="cs"/>
          <w:u w:val="single"/>
          <w:rtl/>
        </w:rPr>
        <w:t xml:space="preserve">בדבר </w:t>
      </w:r>
      <w:r>
        <w:rPr>
          <w:rFonts w:hint="cs"/>
          <w:u w:val="single"/>
          <w:rtl/>
        </w:rPr>
        <w:t>לח בלח א"נ יבש ביבש</w:t>
      </w:r>
      <w:r>
        <w:rPr>
          <w:rFonts w:hint="cs"/>
          <w:sz w:val="16"/>
          <w:szCs w:val="16"/>
          <w:u w:val="single"/>
          <w:rtl/>
        </w:rPr>
        <w:t xml:space="preserve"> (דעד עתה דיברנו בלח ביבש)</w:t>
      </w:r>
      <w:r w:rsidRPr="008B130A">
        <w:rPr>
          <w:rFonts w:hint="cs"/>
          <w:u w:val="single"/>
          <w:rtl/>
        </w:rPr>
        <w:t>:</w:t>
      </w:r>
    </w:p>
    <w:p w14:paraId="3C5C0D3D" w14:textId="77777777" w:rsidR="002C39F4" w:rsidRPr="008E4533" w:rsidRDefault="002C39F4" w:rsidP="0032102C">
      <w:pPr>
        <w:pStyle w:val="a8"/>
        <w:numPr>
          <w:ilvl w:val="0"/>
          <w:numId w:val="110"/>
        </w:numPr>
        <w:rPr>
          <w:rFonts w:cs="Arial"/>
        </w:rPr>
      </w:pPr>
      <w:r w:rsidRPr="00085E47">
        <w:rPr>
          <w:rFonts w:asciiTheme="minorBidi" w:hAnsiTheme="minorBidi"/>
          <w:rtl/>
        </w:rPr>
        <w:t xml:space="preserve">ראב"ד </w:t>
      </w:r>
      <w:r w:rsidRPr="00085E47">
        <w:rPr>
          <w:rFonts w:asciiTheme="minorBidi" w:hAnsiTheme="minorBidi"/>
          <w:sz w:val="16"/>
          <w:szCs w:val="16"/>
          <w:rtl/>
        </w:rPr>
        <w:t>(תמים דעים סי' ז)</w:t>
      </w:r>
      <w:r w:rsidRPr="00085E47">
        <w:rPr>
          <w:rFonts w:asciiTheme="minorBidi" w:hAnsiTheme="minorBidi"/>
          <w:rtl/>
        </w:rPr>
        <w:t>- לא אמרו חתיכה עצמה נעשית נבלה אלא באיסור הבלוע בחתיכה דכיון שנתן טעם ואין ממש איסור זה יוצא ומתערב בחתיכות האחרות אלא בזו הרי הוא כנבלה עצמה</w:t>
      </w:r>
      <w:r>
        <w:rPr>
          <w:rFonts w:asciiTheme="minorBidi" w:hAnsiTheme="minorBidi" w:hint="cs"/>
          <w:rtl/>
        </w:rPr>
        <w:t>,</w:t>
      </w:r>
      <w:r w:rsidRPr="00085E47">
        <w:rPr>
          <w:rFonts w:asciiTheme="minorBidi" w:hAnsiTheme="minorBidi"/>
          <w:rtl/>
        </w:rPr>
        <w:t xml:space="preserve"> אבל בלח כגון יין ביין או מים במים וכיוצא בהם אע"פ שהראשון נאסר מחמת מיעוטו כיון שנפל שם היתר ונתרבה בטל האיסור שהרי נתערב האיסור לגמרי בהיתר שנפל שם לבסוף כמו שנתערב בראשון ונמצא שאין האיסור מעורב עכשיו בהיתר הראשון בלבד משא"כ בחתיכה שנבלעה מאיסור</w:t>
      </w:r>
      <w:r>
        <w:rPr>
          <w:rFonts w:asciiTheme="minorBidi" w:hAnsiTheme="minorBidi" w:hint="cs"/>
          <w:rtl/>
        </w:rPr>
        <w:t>,</w:t>
      </w:r>
      <w:r w:rsidRPr="00085E47">
        <w:rPr>
          <w:rFonts w:asciiTheme="minorBidi" w:hAnsiTheme="minorBidi"/>
          <w:rtl/>
        </w:rPr>
        <w:t xml:space="preserve"> וכן הדין יבש ביבש כגון המדומע וכן במחומץ</w:t>
      </w:r>
      <w:r>
        <w:rPr>
          <w:rFonts w:asciiTheme="minorBidi" w:hAnsiTheme="minorBidi" w:hint="cs"/>
          <w:rtl/>
        </w:rPr>
        <w:t>,</w:t>
      </w:r>
      <w:r w:rsidRPr="00085E47">
        <w:rPr>
          <w:rFonts w:asciiTheme="minorBidi" w:hAnsiTheme="minorBidi"/>
          <w:rtl/>
        </w:rPr>
        <w:t xml:space="preserve"> ומשו"ה אין חוזרין ואוסרין אלא לפי חשבון</w:t>
      </w:r>
      <w:r>
        <w:rPr>
          <w:rStyle w:val="a7"/>
          <w:rFonts w:asciiTheme="minorBidi" w:hAnsiTheme="minorBidi"/>
          <w:rtl/>
        </w:rPr>
        <w:footnoteReference w:id="1431"/>
      </w:r>
      <w:r w:rsidRPr="00085E47">
        <w:rPr>
          <w:rFonts w:asciiTheme="minorBidi" w:hAnsiTheme="minorBidi"/>
          <w:rtl/>
        </w:rPr>
        <w:t xml:space="preserve">. </w:t>
      </w:r>
      <w:r>
        <w:rPr>
          <w:rFonts w:cs="Arial" w:hint="cs"/>
          <w:rtl/>
        </w:rPr>
        <w:t xml:space="preserve"> </w:t>
      </w:r>
    </w:p>
    <w:p w14:paraId="3274B042" w14:textId="77777777" w:rsidR="002C39F4" w:rsidRDefault="002C39F4" w:rsidP="0032102C">
      <w:pPr>
        <w:pStyle w:val="a8"/>
        <w:numPr>
          <w:ilvl w:val="0"/>
          <w:numId w:val="110"/>
        </w:numPr>
        <w:rPr>
          <w:rFonts w:cs="Arial"/>
        </w:rPr>
      </w:pPr>
      <w:r w:rsidRPr="00DF61AA">
        <w:rPr>
          <w:rFonts w:cs="Arial"/>
          <w:rtl/>
        </w:rPr>
        <w:t xml:space="preserve">מרדכי </w:t>
      </w:r>
      <w:r>
        <w:rPr>
          <w:rFonts w:cs="Arial"/>
          <w:rtl/>
        </w:rPr>
        <w:t>א</w:t>
      </w:r>
      <w:r>
        <w:rPr>
          <w:rFonts w:cs="Arial" w:hint="cs"/>
          <w:rtl/>
        </w:rPr>
        <w:t>ו"ז מהרא"י ו</w:t>
      </w:r>
      <w:r>
        <w:rPr>
          <w:rFonts w:cs="Arial"/>
          <w:rtl/>
        </w:rPr>
        <w:t>אגור</w:t>
      </w:r>
      <w:r>
        <w:rPr>
          <w:rStyle w:val="a7"/>
          <w:rFonts w:cs="Arial"/>
          <w:rtl/>
        </w:rPr>
        <w:footnoteReference w:id="1432"/>
      </w:r>
      <w:r w:rsidRPr="00DF61AA">
        <w:rPr>
          <w:rFonts w:cs="Arial" w:hint="cs"/>
          <w:rtl/>
        </w:rPr>
        <w:t xml:space="preserve">- </w:t>
      </w:r>
      <w:r w:rsidRPr="00DF61AA">
        <w:rPr>
          <w:rFonts w:cs="Arial"/>
          <w:rtl/>
        </w:rPr>
        <w:t>נ"ל להכריע ולומר דבכל שאר איסורין נאמר חתיכה עצמה נעשית נבלה</w:t>
      </w:r>
      <w:r w:rsidRPr="00DF61AA">
        <w:rPr>
          <w:rFonts w:cs="Arial" w:hint="cs"/>
          <w:rtl/>
        </w:rPr>
        <w:t>,</w:t>
      </w:r>
      <w:r w:rsidRPr="00DF61AA">
        <w:rPr>
          <w:rFonts w:cs="Arial"/>
          <w:rtl/>
        </w:rPr>
        <w:t xml:space="preserve"> מיהו היינו דוקא בחתיכה עצמה מטעם חשיבות החתיכה ואיסור ניכר ומובדל הוא נעשית נבלה ונאסרה לבדה </w:t>
      </w:r>
      <w:r w:rsidRPr="001E7D80">
        <w:rPr>
          <w:rFonts w:cs="Arial" w:hint="cs"/>
          <w:sz w:val="16"/>
          <w:szCs w:val="16"/>
          <w:rtl/>
        </w:rPr>
        <w:t>(</w:t>
      </w:r>
      <w:r w:rsidRPr="001E7D80">
        <w:rPr>
          <w:rFonts w:cs="Arial"/>
          <w:sz w:val="16"/>
          <w:szCs w:val="16"/>
          <w:rtl/>
        </w:rPr>
        <w:t>כי איך</w:t>
      </w:r>
      <w:r w:rsidRPr="001E7D80">
        <w:rPr>
          <w:rFonts w:cs="Arial" w:hint="cs"/>
          <w:sz w:val="16"/>
          <w:szCs w:val="16"/>
          <w:rtl/>
        </w:rPr>
        <w:t xml:space="preserve"> </w:t>
      </w:r>
      <w:r w:rsidRPr="001E7D80">
        <w:rPr>
          <w:rFonts w:cs="Arial"/>
          <w:sz w:val="16"/>
          <w:szCs w:val="16"/>
          <w:rtl/>
        </w:rPr>
        <w:t>יצטרף שום היתר אליה לבטל האיסור הבלוע בה</w:t>
      </w:r>
      <w:r>
        <w:rPr>
          <w:rFonts w:cs="Arial" w:hint="cs"/>
          <w:sz w:val="16"/>
          <w:szCs w:val="16"/>
          <w:rtl/>
        </w:rPr>
        <w:t>)</w:t>
      </w:r>
      <w:r w:rsidRPr="00DF61AA">
        <w:rPr>
          <w:rFonts w:cs="Arial"/>
          <w:rtl/>
        </w:rPr>
        <w:t xml:space="preserve"> ולפיכך אוסרת כולו וצריך כדי לבטל כל החתיכה אם אינה ראויה להתכבד או דבר שבמנין</w:t>
      </w:r>
      <w:r w:rsidRPr="00DF61AA">
        <w:rPr>
          <w:rFonts w:cs="Arial" w:hint="cs"/>
          <w:rtl/>
        </w:rPr>
        <w:t>,</w:t>
      </w:r>
      <w:r w:rsidRPr="00DF61AA">
        <w:rPr>
          <w:rFonts w:cs="Arial"/>
          <w:rtl/>
        </w:rPr>
        <w:t xml:space="preserve"> אבל בדבר לח כגון תרומה בחולין ויין במים דע"ז וכגון רוטב ברוטב דאין האיסור ניכר ונבדל ואין כאן חשיבות </w:t>
      </w:r>
      <w:r>
        <w:rPr>
          <w:rFonts w:cs="Arial"/>
          <w:rtl/>
        </w:rPr>
        <w:t xml:space="preserve">איסור מתערב היתר שני עם הראשון </w:t>
      </w:r>
      <w:r w:rsidRPr="00DF61AA">
        <w:rPr>
          <w:rFonts w:cs="Arial"/>
          <w:rtl/>
        </w:rPr>
        <w:t>לא שייך כלל למימר חתיכה עצמה נעשית נבלה</w:t>
      </w:r>
      <w:r>
        <w:rPr>
          <w:rFonts w:cs="Arial" w:hint="cs"/>
          <w:rtl/>
        </w:rPr>
        <w:t>,</w:t>
      </w:r>
      <w:r w:rsidRPr="00DF61AA">
        <w:rPr>
          <w:rFonts w:cs="Arial"/>
          <w:rtl/>
        </w:rPr>
        <w:t xml:space="preserve"> וע"פ זה התרתי מעשה שבא לידי</w:t>
      </w:r>
      <w:r>
        <w:rPr>
          <w:rFonts w:cs="Arial" w:hint="cs"/>
          <w:sz w:val="16"/>
          <w:szCs w:val="16"/>
          <w:rtl/>
        </w:rPr>
        <w:t xml:space="preserve"> (ל' המרדכי)</w:t>
      </w:r>
      <w:r>
        <w:rPr>
          <w:rStyle w:val="a7"/>
          <w:rFonts w:cs="Arial"/>
          <w:rtl/>
        </w:rPr>
        <w:footnoteReference w:id="1433"/>
      </w:r>
      <w:r w:rsidRPr="00DF61AA">
        <w:rPr>
          <w:rFonts w:cs="Arial" w:hint="cs"/>
          <w:rtl/>
        </w:rPr>
        <w:t>.</w:t>
      </w:r>
      <w:r>
        <w:rPr>
          <w:rFonts w:cs="Arial" w:hint="cs"/>
          <w:rtl/>
        </w:rPr>
        <w:t xml:space="preserve"> </w:t>
      </w:r>
    </w:p>
    <w:p w14:paraId="419A9850" w14:textId="77777777" w:rsidR="002C39F4" w:rsidRDefault="002C39F4" w:rsidP="0032102C">
      <w:pPr>
        <w:pStyle w:val="a8"/>
        <w:numPr>
          <w:ilvl w:val="0"/>
          <w:numId w:val="110"/>
        </w:numPr>
        <w:rPr>
          <w:rFonts w:cs="Arial"/>
        </w:rPr>
      </w:pPr>
      <w:r>
        <w:rPr>
          <w:rFonts w:asciiTheme="minorBidi" w:hAnsiTheme="minorBidi" w:hint="cs"/>
          <w:rtl/>
        </w:rPr>
        <w:t xml:space="preserve">י"א </w:t>
      </w:r>
      <w:r>
        <w:rPr>
          <w:rFonts w:asciiTheme="minorBidi" w:hAnsiTheme="minorBidi" w:hint="cs"/>
          <w:sz w:val="16"/>
          <w:szCs w:val="16"/>
          <w:rtl/>
        </w:rPr>
        <w:t>(הביאום הרשב"א והר"ן שם)</w:t>
      </w:r>
      <w:r>
        <w:rPr>
          <w:rFonts w:asciiTheme="minorBidi" w:hAnsiTheme="minorBidi" w:hint="cs"/>
          <w:rtl/>
        </w:rPr>
        <w:t xml:space="preserve">- </w:t>
      </w:r>
      <w:r w:rsidRPr="00085E47">
        <w:rPr>
          <w:rFonts w:asciiTheme="minorBidi" w:hAnsiTheme="minorBidi"/>
          <w:rtl/>
        </w:rPr>
        <w:t>אין אומרין חתיכה עצמה נעשית נבלה אלא כשנפל לח בלח שנבלל הכל ונעשה גוף אחד א</w:t>
      </w:r>
      <w:r>
        <w:rPr>
          <w:rFonts w:asciiTheme="minorBidi" w:hAnsiTheme="minorBidi" w:hint="cs"/>
          <w:rtl/>
        </w:rPr>
        <w:t>"</w:t>
      </w:r>
      <w:r w:rsidRPr="00085E47">
        <w:rPr>
          <w:rFonts w:asciiTheme="minorBidi" w:hAnsiTheme="minorBidi"/>
          <w:rtl/>
        </w:rPr>
        <w:t>נ לח ביבש כגון חתיכת נבלה שנתנה טעם בחתיכה שחוטה וכגון חלב שנבלע בבשר</w:t>
      </w:r>
      <w:r>
        <w:rPr>
          <w:rFonts w:asciiTheme="minorBidi" w:hAnsiTheme="minorBidi" w:hint="cs"/>
          <w:rtl/>
        </w:rPr>
        <w:t>,</w:t>
      </w:r>
      <w:r w:rsidRPr="00085E47">
        <w:rPr>
          <w:rFonts w:asciiTheme="minorBidi" w:hAnsiTheme="minorBidi"/>
          <w:rtl/>
        </w:rPr>
        <w:t xml:space="preserve"> אבל יבש ביבש כגון המדומע והמחומץ שזה בפני עצמו עומד וזה בפני עצמו עומד לא</w:t>
      </w:r>
      <w:r>
        <w:rPr>
          <w:rStyle w:val="a7"/>
          <w:rFonts w:asciiTheme="minorBidi" w:hAnsiTheme="minorBidi"/>
          <w:rtl/>
        </w:rPr>
        <w:footnoteReference w:id="1434"/>
      </w:r>
      <w:r>
        <w:rPr>
          <w:rFonts w:asciiTheme="minorBidi" w:hAnsiTheme="minorBidi" w:hint="cs"/>
          <w:rtl/>
        </w:rPr>
        <w:t>.</w:t>
      </w:r>
      <w:r w:rsidRPr="00085E47">
        <w:rPr>
          <w:rFonts w:asciiTheme="minorBidi" w:hAnsiTheme="minorBidi"/>
          <w:rtl/>
        </w:rPr>
        <w:t xml:space="preserve"> </w:t>
      </w:r>
      <w:r w:rsidRPr="00C14E05">
        <w:rPr>
          <w:rFonts w:hint="cs"/>
          <w:color w:val="00B0F0"/>
          <w:rtl/>
        </w:rPr>
        <w:t xml:space="preserve">(וכ"פ </w:t>
      </w:r>
      <w:r>
        <w:rPr>
          <w:rFonts w:hint="cs"/>
          <w:color w:val="00B0F0"/>
          <w:rtl/>
        </w:rPr>
        <w:t>הרמ"א</w:t>
      </w:r>
      <w:r w:rsidRPr="00C14E05">
        <w:rPr>
          <w:rFonts w:hint="cs"/>
          <w:color w:val="00B0F0"/>
          <w:rtl/>
        </w:rPr>
        <w:t>)</w:t>
      </w:r>
    </w:p>
    <w:p w14:paraId="62D201B6" w14:textId="77777777" w:rsidR="002C39F4" w:rsidRPr="00646AC0" w:rsidRDefault="002C39F4" w:rsidP="0032102C">
      <w:pPr>
        <w:pStyle w:val="a8"/>
        <w:numPr>
          <w:ilvl w:val="0"/>
          <w:numId w:val="110"/>
        </w:numPr>
        <w:rPr>
          <w:rFonts w:cs="Arial"/>
        </w:rPr>
      </w:pPr>
      <w:r w:rsidRPr="00085E47">
        <w:rPr>
          <w:rFonts w:asciiTheme="minorBidi" w:hAnsiTheme="minorBidi"/>
          <w:rtl/>
        </w:rPr>
        <w:t xml:space="preserve">רשב"א </w:t>
      </w:r>
      <w:r w:rsidRPr="00085E47">
        <w:rPr>
          <w:rFonts w:asciiTheme="minorBidi" w:hAnsiTheme="minorBidi"/>
          <w:sz w:val="16"/>
          <w:szCs w:val="16"/>
          <w:rtl/>
        </w:rPr>
        <w:t xml:space="preserve">(תוה"א ב"ד ש"א ז ע"ג) </w:t>
      </w:r>
      <w:r w:rsidRPr="00085E47">
        <w:rPr>
          <w:rFonts w:asciiTheme="minorBidi" w:hAnsiTheme="minorBidi"/>
          <w:rtl/>
        </w:rPr>
        <w:t>ור"ן</w:t>
      </w:r>
      <w:r>
        <w:rPr>
          <w:rFonts w:asciiTheme="minorBidi" w:hAnsiTheme="minorBidi" w:hint="cs"/>
          <w:sz w:val="16"/>
          <w:szCs w:val="16"/>
          <w:rtl/>
        </w:rPr>
        <w:t xml:space="preserve"> </w:t>
      </w:r>
      <w:r w:rsidRPr="00085E47">
        <w:rPr>
          <w:rFonts w:asciiTheme="minorBidi" w:hAnsiTheme="minorBidi"/>
          <w:sz w:val="16"/>
          <w:szCs w:val="16"/>
          <w:rtl/>
        </w:rPr>
        <w:t>(</w:t>
      </w:r>
      <w:r>
        <w:rPr>
          <w:rFonts w:asciiTheme="minorBidi" w:hAnsiTheme="minorBidi" w:hint="cs"/>
          <w:sz w:val="16"/>
          <w:szCs w:val="16"/>
          <w:rtl/>
        </w:rPr>
        <w:t xml:space="preserve">חולין </w:t>
      </w:r>
      <w:r w:rsidRPr="00085E47">
        <w:rPr>
          <w:rFonts w:asciiTheme="minorBidi" w:hAnsiTheme="minorBidi"/>
          <w:sz w:val="16"/>
          <w:szCs w:val="16"/>
          <w:rtl/>
        </w:rPr>
        <w:t>מד:)</w:t>
      </w:r>
      <w:r>
        <w:rPr>
          <w:rFonts w:asciiTheme="minorBidi" w:hAnsiTheme="minorBidi" w:hint="cs"/>
          <w:rtl/>
        </w:rPr>
        <w:t>- אמרינן חנ"נ גם בלח בלח</w:t>
      </w:r>
      <w:r>
        <w:rPr>
          <w:rStyle w:val="a7"/>
          <w:rFonts w:asciiTheme="minorBidi" w:hAnsiTheme="minorBidi"/>
          <w:rtl/>
        </w:rPr>
        <w:footnoteReference w:id="1435"/>
      </w:r>
      <w:r>
        <w:rPr>
          <w:rFonts w:asciiTheme="minorBidi" w:hAnsiTheme="minorBidi" w:hint="cs"/>
          <w:rtl/>
        </w:rPr>
        <w:t xml:space="preserve"> וגם ביבש ביבש</w:t>
      </w:r>
      <w:r>
        <w:rPr>
          <w:rStyle w:val="a7"/>
          <w:rFonts w:asciiTheme="minorBidi" w:hAnsiTheme="minorBidi"/>
          <w:rtl/>
        </w:rPr>
        <w:footnoteReference w:id="1436"/>
      </w:r>
      <w:r>
        <w:rPr>
          <w:rFonts w:asciiTheme="minorBidi" w:hAnsiTheme="minorBidi" w:hint="cs"/>
          <w:rtl/>
        </w:rPr>
        <w:t>.</w:t>
      </w:r>
    </w:p>
    <w:p w14:paraId="2D989C5A" w14:textId="77777777" w:rsidR="002C39F4" w:rsidRPr="008B130A" w:rsidRDefault="002C39F4" w:rsidP="002C39F4">
      <w:pPr>
        <w:rPr>
          <w:u w:val="single"/>
          <w:rtl/>
        </w:rPr>
      </w:pPr>
      <w:r w:rsidRPr="008B130A">
        <w:rPr>
          <w:rFonts w:hint="cs"/>
          <w:u w:val="single"/>
          <w:rtl/>
        </w:rPr>
        <w:t xml:space="preserve">האם החתיכה </w:t>
      </w:r>
      <w:r>
        <w:rPr>
          <w:rFonts w:hint="cs"/>
          <w:u w:val="single"/>
          <w:rtl/>
        </w:rPr>
        <w:t xml:space="preserve">שנאסרה </w:t>
      </w:r>
      <w:r w:rsidRPr="008B130A">
        <w:rPr>
          <w:rFonts w:hint="cs"/>
          <w:u w:val="single"/>
          <w:rtl/>
        </w:rPr>
        <w:t>מצטרפת לששים</w:t>
      </w:r>
      <w:r>
        <w:rPr>
          <w:rFonts w:hint="cs"/>
          <w:u w:val="single"/>
          <w:rtl/>
        </w:rPr>
        <w:t xml:space="preserve"> לבטל האיסור שבתוכה</w:t>
      </w:r>
      <w:r w:rsidRPr="008B130A">
        <w:rPr>
          <w:rFonts w:hint="cs"/>
          <w:u w:val="single"/>
          <w:rtl/>
        </w:rPr>
        <w:t>:</w:t>
      </w:r>
      <w:r w:rsidRPr="008B130A">
        <w:rPr>
          <w:rFonts w:cs="Arial" w:hint="cs"/>
          <w:sz w:val="16"/>
          <w:szCs w:val="16"/>
          <w:rtl/>
        </w:rPr>
        <w:t xml:space="preserve"> </w:t>
      </w:r>
      <w:r>
        <w:rPr>
          <w:rFonts w:cs="Arial" w:hint="cs"/>
          <w:sz w:val="16"/>
          <w:szCs w:val="16"/>
          <w:rtl/>
        </w:rPr>
        <w:t xml:space="preserve">   </w:t>
      </w:r>
      <w:r w:rsidRPr="008B130A">
        <w:rPr>
          <w:rFonts w:cs="Arial" w:hint="cs"/>
          <w:sz w:val="16"/>
          <w:szCs w:val="16"/>
          <w:rtl/>
        </w:rPr>
        <w:t>(</w:t>
      </w:r>
      <w:r>
        <w:rPr>
          <w:rFonts w:cs="Arial" w:hint="cs"/>
          <w:sz w:val="16"/>
          <w:szCs w:val="16"/>
          <w:rtl/>
        </w:rPr>
        <w:t xml:space="preserve">דרכ"מ </w:t>
      </w:r>
      <w:r w:rsidRPr="008B130A">
        <w:rPr>
          <w:rFonts w:cs="Arial" w:hint="cs"/>
          <w:sz w:val="16"/>
          <w:szCs w:val="16"/>
          <w:rtl/>
        </w:rPr>
        <w:t>אות ג</w:t>
      </w:r>
      <w:r>
        <w:rPr>
          <w:rFonts w:cs="Arial" w:hint="cs"/>
          <w:sz w:val="16"/>
          <w:szCs w:val="16"/>
          <w:rtl/>
        </w:rPr>
        <w:t>)</w:t>
      </w:r>
    </w:p>
    <w:p w14:paraId="52B2FE7D" w14:textId="77777777" w:rsidR="002C39F4" w:rsidRPr="00986A23" w:rsidRDefault="002C39F4" w:rsidP="0032102C">
      <w:pPr>
        <w:pStyle w:val="a8"/>
        <w:numPr>
          <w:ilvl w:val="0"/>
          <w:numId w:val="110"/>
        </w:numPr>
        <w:rPr>
          <w:rtl/>
        </w:rPr>
      </w:pPr>
      <w:r>
        <w:rPr>
          <w:rFonts w:cs="Arial"/>
          <w:rtl/>
        </w:rPr>
        <w:t>רשב"א</w:t>
      </w:r>
      <w:r w:rsidRPr="008B130A">
        <w:rPr>
          <w:rFonts w:cs="Arial"/>
          <w:sz w:val="16"/>
          <w:szCs w:val="16"/>
          <w:rtl/>
        </w:rPr>
        <w:t xml:space="preserve"> (</w:t>
      </w:r>
      <w:r w:rsidRPr="008B130A">
        <w:rPr>
          <w:rFonts w:cs="Arial" w:hint="cs"/>
          <w:sz w:val="16"/>
          <w:szCs w:val="16"/>
          <w:rtl/>
        </w:rPr>
        <w:t>ב</w:t>
      </w:r>
      <w:r w:rsidRPr="008B130A">
        <w:rPr>
          <w:rFonts w:cs="Arial"/>
          <w:sz w:val="16"/>
          <w:szCs w:val="16"/>
          <w:rtl/>
        </w:rPr>
        <w:t>מיוחסות סי' קנא</w:t>
      </w:r>
      <w:r w:rsidRPr="008B130A">
        <w:rPr>
          <w:rFonts w:cs="Arial" w:hint="cs"/>
          <w:sz w:val="16"/>
          <w:szCs w:val="16"/>
          <w:rtl/>
        </w:rPr>
        <w:t>,</w:t>
      </w:r>
      <w:r w:rsidRPr="008B130A">
        <w:rPr>
          <w:rFonts w:cs="Arial"/>
          <w:sz w:val="16"/>
          <w:szCs w:val="16"/>
          <w:rtl/>
        </w:rPr>
        <w:t xml:space="preserve"> הביאו ב</w:t>
      </w:r>
      <w:r w:rsidRPr="008B130A">
        <w:rPr>
          <w:rFonts w:cs="Arial" w:hint="cs"/>
          <w:sz w:val="16"/>
          <w:szCs w:val="16"/>
          <w:rtl/>
        </w:rPr>
        <w:t>"</w:t>
      </w:r>
      <w:r w:rsidRPr="008B130A">
        <w:rPr>
          <w:rFonts w:cs="Arial"/>
          <w:sz w:val="16"/>
          <w:szCs w:val="16"/>
          <w:rtl/>
        </w:rPr>
        <w:t>י סי</w:t>
      </w:r>
      <w:r w:rsidRPr="008B130A">
        <w:rPr>
          <w:rFonts w:cs="Arial" w:hint="cs"/>
          <w:sz w:val="16"/>
          <w:szCs w:val="16"/>
          <w:rtl/>
        </w:rPr>
        <w:t>'</w:t>
      </w:r>
      <w:r w:rsidRPr="008B130A">
        <w:rPr>
          <w:rFonts w:cs="Arial"/>
          <w:sz w:val="16"/>
          <w:szCs w:val="16"/>
          <w:rtl/>
        </w:rPr>
        <w:t xml:space="preserve"> קו</w:t>
      </w:r>
      <w:r w:rsidRPr="008B130A">
        <w:rPr>
          <w:rFonts w:cs="Arial" w:hint="cs"/>
          <w:sz w:val="16"/>
          <w:szCs w:val="16"/>
          <w:rtl/>
        </w:rPr>
        <w:t>)</w:t>
      </w:r>
      <w:r>
        <w:rPr>
          <w:rFonts w:cs="Arial" w:hint="cs"/>
          <w:rtl/>
        </w:rPr>
        <w:t>-</w:t>
      </w:r>
      <w:r>
        <w:rPr>
          <w:rFonts w:cs="Arial"/>
          <w:rtl/>
        </w:rPr>
        <w:t xml:space="preserve"> </w:t>
      </w:r>
      <w:r w:rsidRPr="008B130A">
        <w:rPr>
          <w:rFonts w:cs="Arial"/>
          <w:rtl/>
        </w:rPr>
        <w:t xml:space="preserve">אע"ג דאפשר לסוחטו אסור </w:t>
      </w:r>
      <w:r>
        <w:rPr>
          <w:rFonts w:cs="Arial" w:hint="cs"/>
          <w:rtl/>
        </w:rPr>
        <w:t xml:space="preserve">- </w:t>
      </w:r>
      <w:r w:rsidRPr="008B130A">
        <w:rPr>
          <w:rFonts w:cs="Arial"/>
          <w:rtl/>
        </w:rPr>
        <w:t>לא אמרינן חנ"נ</w:t>
      </w:r>
      <w:r>
        <w:rPr>
          <w:rFonts w:cs="Arial" w:hint="cs"/>
          <w:rtl/>
        </w:rPr>
        <w:t>,</w:t>
      </w:r>
      <w:r w:rsidRPr="008B130A">
        <w:rPr>
          <w:rFonts w:cs="Arial"/>
          <w:rtl/>
        </w:rPr>
        <w:t xml:space="preserve"> ואף אותה חתיכה מצטרפת לבטל האיסור שבתוכה</w:t>
      </w:r>
      <w:r>
        <w:rPr>
          <w:rFonts w:cs="Arial" w:hint="cs"/>
          <w:rtl/>
        </w:rPr>
        <w:t>,</w:t>
      </w:r>
      <w:r w:rsidRPr="008B130A">
        <w:rPr>
          <w:rFonts w:cs="Arial"/>
          <w:rtl/>
        </w:rPr>
        <w:t xml:space="preserve"> דהוי ככחל שאמרו </w:t>
      </w:r>
      <w:r>
        <w:rPr>
          <w:rFonts w:cs="Arial"/>
          <w:sz w:val="16"/>
          <w:szCs w:val="16"/>
          <w:rtl/>
        </w:rPr>
        <w:t>(חולין צז</w:t>
      </w:r>
      <w:r>
        <w:rPr>
          <w:rFonts w:cs="Arial" w:hint="cs"/>
          <w:sz w:val="16"/>
          <w:szCs w:val="16"/>
          <w:rtl/>
        </w:rPr>
        <w:t>:</w:t>
      </w:r>
      <w:r w:rsidRPr="008B130A">
        <w:rPr>
          <w:rFonts w:cs="Arial"/>
          <w:sz w:val="16"/>
          <w:szCs w:val="16"/>
          <w:rtl/>
        </w:rPr>
        <w:t>)</w:t>
      </w:r>
      <w:r w:rsidRPr="008B130A">
        <w:rPr>
          <w:rFonts w:cs="Arial"/>
          <w:rtl/>
        </w:rPr>
        <w:t xml:space="preserve"> כחל בששים וכחל מן המנין וכחל עצמו אסור</w:t>
      </w:r>
      <w:r>
        <w:rPr>
          <w:rFonts w:cs="Arial" w:hint="cs"/>
          <w:rtl/>
        </w:rPr>
        <w:t>.</w:t>
      </w:r>
    </w:p>
    <w:p w14:paraId="37D9DA6D" w14:textId="77777777" w:rsidR="002C39F4" w:rsidRDefault="002C39F4" w:rsidP="002C39F4">
      <w:pPr>
        <w:rPr>
          <w:rFonts w:cs="Arial"/>
          <w:rtl/>
        </w:rPr>
      </w:pPr>
      <w:r w:rsidRPr="000827A5">
        <w:rPr>
          <w:rFonts w:cs="Arial" w:hint="cs"/>
          <w:u w:val="single"/>
          <w:rtl/>
        </w:rPr>
        <w:t>חנ"נ בכלים:</w:t>
      </w:r>
      <w:r w:rsidRPr="008B130A">
        <w:rPr>
          <w:rFonts w:cs="Arial" w:hint="cs"/>
          <w:sz w:val="16"/>
          <w:szCs w:val="16"/>
          <w:rtl/>
        </w:rPr>
        <w:t xml:space="preserve"> </w:t>
      </w:r>
      <w:r>
        <w:rPr>
          <w:rFonts w:cs="Arial" w:hint="cs"/>
          <w:sz w:val="16"/>
          <w:szCs w:val="16"/>
          <w:rtl/>
        </w:rPr>
        <w:t xml:space="preserve">   </w:t>
      </w:r>
      <w:r w:rsidRPr="008B130A">
        <w:rPr>
          <w:rFonts w:cs="Arial" w:hint="cs"/>
          <w:sz w:val="16"/>
          <w:szCs w:val="16"/>
          <w:rtl/>
        </w:rPr>
        <w:t>(</w:t>
      </w:r>
      <w:r>
        <w:rPr>
          <w:rFonts w:cs="Arial" w:hint="cs"/>
          <w:sz w:val="16"/>
          <w:szCs w:val="16"/>
          <w:rtl/>
        </w:rPr>
        <w:t>דרכ"מ אות ד)</w:t>
      </w:r>
    </w:p>
    <w:p w14:paraId="3B9D5958" w14:textId="77777777" w:rsidR="002C39F4" w:rsidRDefault="002C39F4" w:rsidP="0032102C">
      <w:pPr>
        <w:pStyle w:val="a8"/>
        <w:numPr>
          <w:ilvl w:val="0"/>
          <w:numId w:val="111"/>
        </w:numPr>
      </w:pPr>
      <w:r w:rsidRPr="000827A5">
        <w:rPr>
          <w:rFonts w:cs="Arial"/>
          <w:rtl/>
        </w:rPr>
        <w:t xml:space="preserve">מרדכי </w:t>
      </w:r>
      <w:r w:rsidRPr="000827A5">
        <w:rPr>
          <w:rFonts w:cs="Arial"/>
          <w:sz w:val="16"/>
          <w:szCs w:val="16"/>
          <w:rtl/>
        </w:rPr>
        <w:t>(סי' תרעט)</w:t>
      </w:r>
      <w:r>
        <w:rPr>
          <w:rFonts w:cs="Arial" w:hint="cs"/>
          <w:rtl/>
        </w:rPr>
        <w:t>-</w:t>
      </w:r>
      <w:r>
        <w:rPr>
          <w:rFonts w:cs="Arial"/>
          <w:rtl/>
        </w:rPr>
        <w:t xml:space="preserve"> </w:t>
      </w:r>
      <w:r w:rsidRPr="000827A5">
        <w:rPr>
          <w:rFonts w:cs="Arial"/>
          <w:rtl/>
        </w:rPr>
        <w:t>אין אומרים חנ"נ אלא כשאין יכול להפריד האיסור משם</w:t>
      </w:r>
      <w:r w:rsidRPr="000827A5">
        <w:rPr>
          <w:rFonts w:cs="Arial" w:hint="cs"/>
          <w:rtl/>
        </w:rPr>
        <w:t>,</w:t>
      </w:r>
      <w:r w:rsidRPr="000827A5">
        <w:rPr>
          <w:rFonts w:cs="Arial"/>
          <w:rtl/>
        </w:rPr>
        <w:t xml:space="preserve"> ומהאי טעמא בכלי עץ או מתכות שאפשר להפריד האיסור משם ע"י הגעלה או ליבון אין אומרים בו חנ"נ</w:t>
      </w:r>
      <w:r>
        <w:rPr>
          <w:rStyle w:val="a7"/>
          <w:rFonts w:cs="Arial"/>
          <w:rtl/>
        </w:rPr>
        <w:footnoteReference w:id="1437"/>
      </w:r>
      <w:r w:rsidRPr="000827A5">
        <w:rPr>
          <w:rFonts w:cs="Arial" w:hint="cs"/>
          <w:rtl/>
        </w:rPr>
        <w:t>.</w:t>
      </w:r>
      <w:r w:rsidRPr="000827A5">
        <w:rPr>
          <w:rFonts w:cs="Arial"/>
          <w:rtl/>
        </w:rPr>
        <w:t xml:space="preserve"> </w:t>
      </w:r>
      <w:r w:rsidRPr="00C14E05">
        <w:rPr>
          <w:rFonts w:hint="cs"/>
          <w:color w:val="00B0F0"/>
          <w:rtl/>
        </w:rPr>
        <w:t>(וכ"פ הרמ"א)</w:t>
      </w:r>
    </w:p>
    <w:p w14:paraId="1E79655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231119F" w14:textId="77777777" w:rsidR="002C39F4" w:rsidRDefault="002C39F4" w:rsidP="002C39F4">
      <w:pPr>
        <w:rPr>
          <w:rFonts w:asciiTheme="minorBidi" w:hAnsiTheme="minorBidi"/>
          <w:rtl/>
        </w:rPr>
      </w:pPr>
      <w:r>
        <w:rPr>
          <w:rFonts w:asciiTheme="minorBidi" w:hAnsiTheme="minorBidi"/>
          <w:rtl/>
        </w:rPr>
        <w:t>לא אמרו חתיכה עצמה נעשית נבילה</w:t>
      </w:r>
      <w:r w:rsidRPr="003024E5">
        <w:rPr>
          <w:rFonts w:asciiTheme="minorBidi" w:hAnsiTheme="minorBidi"/>
          <w:rtl/>
        </w:rPr>
        <w:t xml:space="preserve"> אל</w:t>
      </w:r>
      <w:r>
        <w:rPr>
          <w:rFonts w:asciiTheme="minorBidi" w:hAnsiTheme="minorBidi"/>
          <w:rtl/>
        </w:rPr>
        <w:t>א בבשר בחלב אבל לא בשאר איסורים</w:t>
      </w:r>
      <w:r>
        <w:rPr>
          <w:rStyle w:val="a7"/>
          <w:rFonts w:asciiTheme="minorBidi" w:hAnsiTheme="minorBidi"/>
          <w:rtl/>
        </w:rPr>
        <w:footnoteReference w:id="1438"/>
      </w:r>
      <w:r>
        <w:rPr>
          <w:rFonts w:asciiTheme="minorBidi" w:hAnsiTheme="minorBidi" w:hint="cs"/>
          <w:rtl/>
        </w:rPr>
        <w:t>,</w:t>
      </w:r>
      <w:r>
        <w:rPr>
          <w:rFonts w:asciiTheme="minorBidi" w:hAnsiTheme="minorBidi"/>
          <w:rtl/>
        </w:rPr>
        <w:t xml:space="preserve"> כגון כזית חלב שנבלע בחתיכה ואין בה ששים לבטלו ונאסרה</w:t>
      </w:r>
      <w:r w:rsidRPr="003024E5">
        <w:rPr>
          <w:rFonts w:asciiTheme="minorBidi" w:hAnsiTheme="minorBidi"/>
          <w:rtl/>
        </w:rPr>
        <w:t xml:space="preserve"> ואחר כך בישלה עם אחרות, אין צריך אלא ששים כדי כזית חלב, ואז אפילו חתיכה עצמה חוזרת להיות מותרת</w:t>
      </w:r>
      <w:r>
        <w:rPr>
          <w:rStyle w:val="a7"/>
          <w:rFonts w:asciiTheme="minorBidi" w:hAnsiTheme="minorBidi"/>
          <w:rtl/>
        </w:rPr>
        <w:footnoteReference w:id="1439"/>
      </w:r>
      <w:r w:rsidRPr="003024E5">
        <w:rPr>
          <w:rFonts w:asciiTheme="minorBidi" w:hAnsiTheme="minorBidi"/>
          <w:rtl/>
        </w:rPr>
        <w:t xml:space="preserve">. </w:t>
      </w:r>
      <w:r w:rsidRPr="0044066C">
        <w:rPr>
          <w:rFonts w:asciiTheme="minorBidi" w:hAnsiTheme="minorBidi"/>
          <w:sz w:val="18"/>
          <w:szCs w:val="18"/>
          <w:rtl/>
        </w:rPr>
        <w:t>הגה: וי"א דאמרינן בכל הא</w:t>
      </w:r>
      <w:r>
        <w:rPr>
          <w:rFonts w:asciiTheme="minorBidi" w:hAnsiTheme="minorBidi"/>
          <w:sz w:val="18"/>
          <w:szCs w:val="18"/>
          <w:rtl/>
        </w:rPr>
        <w:t>יסורים חתיכה נעשית נבילה</w:t>
      </w:r>
      <w:r>
        <w:rPr>
          <w:rStyle w:val="a7"/>
          <w:rFonts w:asciiTheme="minorBidi" w:hAnsiTheme="minorBidi"/>
          <w:sz w:val="18"/>
          <w:szCs w:val="18"/>
          <w:rtl/>
        </w:rPr>
        <w:footnoteReference w:id="1440"/>
      </w:r>
      <w:r>
        <w:rPr>
          <w:rFonts w:asciiTheme="minorBidi" w:hAnsiTheme="minorBidi"/>
          <w:sz w:val="18"/>
          <w:szCs w:val="18"/>
          <w:rtl/>
        </w:rPr>
        <w:t xml:space="preserve"> </w:t>
      </w:r>
      <w:r w:rsidRPr="007A5C81">
        <w:rPr>
          <w:rFonts w:asciiTheme="minorBidi" w:hAnsiTheme="minorBidi"/>
          <w:sz w:val="16"/>
          <w:szCs w:val="16"/>
          <w:rtl/>
        </w:rPr>
        <w:t>(תוס' סמ"ק סמ"ג מרדכי ואחרונים)</w:t>
      </w:r>
      <w:r>
        <w:rPr>
          <w:rFonts w:asciiTheme="minorBidi" w:hAnsiTheme="minorBidi" w:hint="cs"/>
          <w:sz w:val="18"/>
          <w:szCs w:val="18"/>
          <w:rtl/>
        </w:rPr>
        <w:t>,</w:t>
      </w:r>
      <w:r>
        <w:rPr>
          <w:rFonts w:asciiTheme="minorBidi" w:hAnsiTheme="minorBidi"/>
          <w:sz w:val="18"/>
          <w:szCs w:val="18"/>
          <w:rtl/>
        </w:rPr>
        <w:t xml:space="preserve"> וכן המנהג פשוט ואין לשנות</w:t>
      </w:r>
      <w:r>
        <w:rPr>
          <w:rFonts w:asciiTheme="minorBidi" w:hAnsiTheme="minorBidi" w:hint="cs"/>
          <w:sz w:val="18"/>
          <w:szCs w:val="18"/>
          <w:rtl/>
        </w:rPr>
        <w:t>.</w:t>
      </w:r>
      <w:r w:rsidRPr="0044066C">
        <w:rPr>
          <w:rFonts w:asciiTheme="minorBidi" w:hAnsiTheme="minorBidi"/>
          <w:sz w:val="18"/>
          <w:szCs w:val="18"/>
          <w:rtl/>
        </w:rPr>
        <w:t xml:space="preserve"> ו</w:t>
      </w:r>
      <w:r>
        <w:rPr>
          <w:rFonts w:asciiTheme="minorBidi" w:hAnsiTheme="minorBidi"/>
          <w:sz w:val="18"/>
          <w:szCs w:val="18"/>
          <w:rtl/>
        </w:rPr>
        <w:t>דוקא אם האיסור דבוק בחתיכת היתר</w:t>
      </w:r>
      <w:r>
        <w:rPr>
          <w:rStyle w:val="a7"/>
          <w:rFonts w:asciiTheme="minorBidi" w:hAnsiTheme="minorBidi"/>
          <w:sz w:val="18"/>
          <w:szCs w:val="18"/>
          <w:rtl/>
        </w:rPr>
        <w:footnoteReference w:id="1441"/>
      </w:r>
      <w:r w:rsidRPr="0044066C">
        <w:rPr>
          <w:rFonts w:asciiTheme="minorBidi" w:hAnsiTheme="minorBidi"/>
          <w:sz w:val="18"/>
          <w:szCs w:val="18"/>
          <w:rtl/>
        </w:rPr>
        <w:t xml:space="preserve"> או שהחתיכה</w:t>
      </w:r>
      <w:r>
        <w:rPr>
          <w:rFonts w:asciiTheme="minorBidi" w:hAnsiTheme="minorBidi"/>
          <w:sz w:val="18"/>
          <w:szCs w:val="18"/>
          <w:rtl/>
        </w:rPr>
        <w:t xml:space="preserve"> כולה חוץ לרוטב ונפל עליה איסור</w:t>
      </w:r>
      <w:r>
        <w:rPr>
          <w:rStyle w:val="a7"/>
          <w:rFonts w:asciiTheme="minorBidi" w:hAnsiTheme="minorBidi"/>
          <w:sz w:val="18"/>
          <w:szCs w:val="18"/>
          <w:rtl/>
        </w:rPr>
        <w:footnoteReference w:id="1442"/>
      </w:r>
      <w:r>
        <w:rPr>
          <w:rFonts w:asciiTheme="minorBidi" w:hAnsiTheme="minorBidi"/>
          <w:sz w:val="18"/>
          <w:szCs w:val="18"/>
          <w:rtl/>
        </w:rPr>
        <w:t xml:space="preserve"> אבל אם מקצת החתיכה תוך הרוטב ואין האיסור דבוק בו</w:t>
      </w:r>
      <w:r w:rsidRPr="0044066C">
        <w:rPr>
          <w:rFonts w:asciiTheme="minorBidi" w:hAnsiTheme="minorBidi"/>
          <w:sz w:val="18"/>
          <w:szCs w:val="18"/>
          <w:rtl/>
        </w:rPr>
        <w:t xml:space="preserve"> לא אמרינן חתיכה נעשית נבי</w:t>
      </w:r>
      <w:r>
        <w:rPr>
          <w:rFonts w:asciiTheme="minorBidi" w:hAnsiTheme="minorBidi"/>
          <w:sz w:val="18"/>
          <w:szCs w:val="18"/>
          <w:rtl/>
        </w:rPr>
        <w:t>לה ומצטרף כל הקדירה לבטל האיסור</w:t>
      </w:r>
      <w:r>
        <w:rPr>
          <w:rStyle w:val="a7"/>
          <w:rFonts w:asciiTheme="minorBidi" w:hAnsiTheme="minorBidi"/>
          <w:sz w:val="18"/>
          <w:szCs w:val="18"/>
          <w:rtl/>
        </w:rPr>
        <w:footnoteReference w:id="1443"/>
      </w:r>
      <w:r>
        <w:rPr>
          <w:rFonts w:asciiTheme="minorBidi" w:hAnsiTheme="minorBidi" w:hint="cs"/>
          <w:sz w:val="18"/>
          <w:szCs w:val="18"/>
          <w:rtl/>
        </w:rPr>
        <w:t>,</w:t>
      </w:r>
      <w:r w:rsidRPr="0044066C">
        <w:rPr>
          <w:rFonts w:asciiTheme="minorBidi" w:hAnsiTheme="minorBidi"/>
          <w:sz w:val="18"/>
          <w:szCs w:val="18"/>
          <w:rtl/>
        </w:rPr>
        <w:t xml:space="preserve"> ומ</w:t>
      </w:r>
      <w:r>
        <w:rPr>
          <w:rFonts w:asciiTheme="minorBidi" w:hAnsiTheme="minorBidi" w:hint="cs"/>
          <w:sz w:val="18"/>
          <w:szCs w:val="18"/>
          <w:rtl/>
        </w:rPr>
        <w:t>"</w:t>
      </w:r>
      <w:r w:rsidRPr="0044066C">
        <w:rPr>
          <w:rFonts w:asciiTheme="minorBidi" w:hAnsiTheme="minorBidi"/>
          <w:sz w:val="18"/>
          <w:szCs w:val="18"/>
          <w:rtl/>
        </w:rPr>
        <w:t>מ יש להחמיר לאסור אותה חתיכה</w:t>
      </w:r>
      <w:r>
        <w:rPr>
          <w:rStyle w:val="a7"/>
          <w:rFonts w:asciiTheme="minorBidi" w:hAnsiTheme="minorBidi"/>
          <w:sz w:val="18"/>
          <w:szCs w:val="18"/>
          <w:rtl/>
        </w:rPr>
        <w:footnoteReference w:id="1444"/>
      </w:r>
      <w:r w:rsidRPr="0044066C">
        <w:rPr>
          <w:rFonts w:asciiTheme="minorBidi" w:hAnsiTheme="minorBidi"/>
          <w:sz w:val="18"/>
          <w:szCs w:val="18"/>
          <w:rtl/>
        </w:rPr>
        <w:t xml:space="preserve"> </w:t>
      </w:r>
      <w:r w:rsidRPr="007A5C81">
        <w:rPr>
          <w:rFonts w:asciiTheme="minorBidi" w:hAnsiTheme="minorBidi"/>
          <w:sz w:val="16"/>
          <w:szCs w:val="16"/>
          <w:rtl/>
        </w:rPr>
        <w:t>(ארוך כלל כח)</w:t>
      </w:r>
      <w:r>
        <w:rPr>
          <w:rFonts w:asciiTheme="minorBidi" w:hAnsiTheme="minorBidi" w:hint="cs"/>
          <w:sz w:val="18"/>
          <w:szCs w:val="18"/>
          <w:rtl/>
        </w:rPr>
        <w:t>,</w:t>
      </w:r>
      <w:r w:rsidRPr="0044066C">
        <w:rPr>
          <w:rFonts w:asciiTheme="minorBidi" w:hAnsiTheme="minorBidi"/>
          <w:sz w:val="18"/>
          <w:szCs w:val="18"/>
          <w:rtl/>
        </w:rPr>
        <w:t xml:space="preserve"> וכל</w:t>
      </w:r>
      <w:r>
        <w:rPr>
          <w:rFonts w:asciiTheme="minorBidi" w:hAnsiTheme="minorBidi"/>
          <w:sz w:val="18"/>
          <w:szCs w:val="18"/>
          <w:rtl/>
        </w:rPr>
        <w:t xml:space="preserve"> זה בשאר איסורים, אבל בבשר בחלב</w:t>
      </w:r>
      <w:r w:rsidRPr="0044066C">
        <w:rPr>
          <w:rFonts w:asciiTheme="minorBidi" w:hAnsiTheme="minorBidi"/>
          <w:sz w:val="18"/>
          <w:szCs w:val="18"/>
          <w:rtl/>
        </w:rPr>
        <w:t xml:space="preserve"> אע</w:t>
      </w:r>
      <w:r>
        <w:rPr>
          <w:rFonts w:asciiTheme="minorBidi" w:hAnsiTheme="minorBidi" w:hint="cs"/>
          <w:sz w:val="18"/>
          <w:szCs w:val="18"/>
          <w:rtl/>
        </w:rPr>
        <w:t>"</w:t>
      </w:r>
      <w:r>
        <w:rPr>
          <w:rFonts w:asciiTheme="minorBidi" w:hAnsiTheme="minorBidi"/>
          <w:sz w:val="18"/>
          <w:szCs w:val="18"/>
          <w:rtl/>
        </w:rPr>
        <w:t>פ שאין האיסור דבוק ומקצת החתיכה תוך הרוט</w:t>
      </w:r>
      <w:r>
        <w:rPr>
          <w:rFonts w:asciiTheme="minorBidi" w:hAnsiTheme="minorBidi" w:hint="cs"/>
          <w:sz w:val="18"/>
          <w:szCs w:val="18"/>
          <w:rtl/>
        </w:rPr>
        <w:t>ב</w:t>
      </w:r>
      <w:r w:rsidRPr="0044066C">
        <w:rPr>
          <w:rFonts w:asciiTheme="minorBidi" w:hAnsiTheme="minorBidi"/>
          <w:sz w:val="18"/>
          <w:szCs w:val="18"/>
          <w:rtl/>
        </w:rPr>
        <w:t xml:space="preserve"> אמרינן חתיכה נעשית נבילה</w:t>
      </w:r>
      <w:r>
        <w:rPr>
          <w:rStyle w:val="a7"/>
          <w:rFonts w:asciiTheme="minorBidi" w:hAnsiTheme="minorBidi"/>
          <w:sz w:val="18"/>
          <w:szCs w:val="18"/>
          <w:rtl/>
        </w:rPr>
        <w:footnoteReference w:id="1445"/>
      </w:r>
      <w:r w:rsidRPr="0044066C">
        <w:rPr>
          <w:rFonts w:asciiTheme="minorBidi" w:hAnsiTheme="minorBidi"/>
          <w:sz w:val="18"/>
          <w:szCs w:val="18"/>
          <w:rtl/>
        </w:rPr>
        <w:t>. י</w:t>
      </w:r>
      <w:r>
        <w:rPr>
          <w:rFonts w:asciiTheme="minorBidi" w:hAnsiTheme="minorBidi" w:hint="cs"/>
          <w:sz w:val="18"/>
          <w:szCs w:val="18"/>
          <w:rtl/>
        </w:rPr>
        <w:t>"א</w:t>
      </w:r>
      <w:r w:rsidRPr="0044066C">
        <w:rPr>
          <w:rFonts w:asciiTheme="minorBidi" w:hAnsiTheme="minorBidi"/>
          <w:sz w:val="18"/>
          <w:szCs w:val="18"/>
          <w:rtl/>
        </w:rPr>
        <w:t xml:space="preserve"> דלא אמרינן </w:t>
      </w:r>
      <w:r>
        <w:rPr>
          <w:rFonts w:asciiTheme="minorBidi" w:hAnsiTheme="minorBidi" w:hint="cs"/>
          <w:sz w:val="18"/>
          <w:szCs w:val="18"/>
          <w:rtl/>
        </w:rPr>
        <w:t>חנ"נ</w:t>
      </w:r>
      <w:r w:rsidRPr="0044066C">
        <w:rPr>
          <w:rFonts w:asciiTheme="minorBidi" w:hAnsiTheme="minorBidi"/>
          <w:sz w:val="18"/>
          <w:szCs w:val="18"/>
          <w:rtl/>
        </w:rPr>
        <w:t xml:space="preserve"> אם</w:t>
      </w:r>
      <w:r>
        <w:rPr>
          <w:rFonts w:asciiTheme="minorBidi" w:hAnsiTheme="minorBidi"/>
          <w:sz w:val="18"/>
          <w:szCs w:val="18"/>
          <w:rtl/>
        </w:rPr>
        <w:t xml:space="preserve"> נתערב איסור לח בהיתר לח ואח</w:t>
      </w:r>
      <w:r>
        <w:rPr>
          <w:rFonts w:asciiTheme="minorBidi" w:hAnsiTheme="minorBidi" w:hint="cs"/>
          <w:sz w:val="18"/>
          <w:szCs w:val="18"/>
          <w:rtl/>
        </w:rPr>
        <w:t>"</w:t>
      </w:r>
      <w:r>
        <w:rPr>
          <w:rFonts w:asciiTheme="minorBidi" w:hAnsiTheme="minorBidi"/>
          <w:sz w:val="18"/>
          <w:szCs w:val="18"/>
          <w:rtl/>
        </w:rPr>
        <w:t>כ נתערב הכל בהיתר אחר ואין צריכים רק ששים נגד האיסור שנפל</w:t>
      </w:r>
      <w:r>
        <w:rPr>
          <w:rStyle w:val="a7"/>
          <w:rFonts w:asciiTheme="minorBidi" w:hAnsiTheme="minorBidi"/>
          <w:sz w:val="18"/>
          <w:szCs w:val="18"/>
          <w:rtl/>
        </w:rPr>
        <w:footnoteReference w:id="1446"/>
      </w:r>
      <w:r>
        <w:rPr>
          <w:rFonts w:asciiTheme="minorBidi" w:hAnsiTheme="minorBidi"/>
          <w:sz w:val="18"/>
          <w:szCs w:val="18"/>
          <w:rtl/>
        </w:rPr>
        <w:t xml:space="preserve"> </w:t>
      </w:r>
      <w:r w:rsidRPr="007A5C81">
        <w:rPr>
          <w:rFonts w:asciiTheme="minorBidi" w:hAnsiTheme="minorBidi"/>
          <w:sz w:val="16"/>
          <w:szCs w:val="16"/>
          <w:rtl/>
        </w:rPr>
        <w:t>(מרדכ</w:t>
      </w:r>
      <w:r>
        <w:rPr>
          <w:rFonts w:asciiTheme="minorBidi" w:hAnsiTheme="minorBidi" w:hint="cs"/>
          <w:sz w:val="16"/>
          <w:szCs w:val="16"/>
          <w:rtl/>
        </w:rPr>
        <w:t>י</w:t>
      </w:r>
      <w:r w:rsidRPr="007A5C81">
        <w:rPr>
          <w:rFonts w:asciiTheme="minorBidi" w:hAnsiTheme="minorBidi" w:hint="cs"/>
          <w:sz w:val="16"/>
          <w:szCs w:val="16"/>
          <w:rtl/>
        </w:rPr>
        <w:t>,</w:t>
      </w:r>
      <w:r w:rsidRPr="007A5C81">
        <w:rPr>
          <w:rFonts w:asciiTheme="minorBidi" w:hAnsiTheme="minorBidi"/>
          <w:sz w:val="16"/>
          <w:szCs w:val="16"/>
          <w:rtl/>
        </w:rPr>
        <w:t xml:space="preserve"> ור"ן בשם ראב"ד)</w:t>
      </w:r>
      <w:r>
        <w:rPr>
          <w:rFonts w:asciiTheme="minorBidi" w:hAnsiTheme="minorBidi" w:hint="cs"/>
          <w:sz w:val="18"/>
          <w:szCs w:val="18"/>
          <w:rtl/>
        </w:rPr>
        <w:t>,</w:t>
      </w:r>
      <w:r>
        <w:rPr>
          <w:rFonts w:asciiTheme="minorBidi" w:hAnsiTheme="minorBidi"/>
          <w:sz w:val="18"/>
          <w:szCs w:val="18"/>
          <w:rtl/>
        </w:rPr>
        <w:t xml:space="preserve"> ויש לסמוך על זה בשאר איסורים לצורך הפסד גדול</w:t>
      </w:r>
      <w:r>
        <w:rPr>
          <w:rStyle w:val="a7"/>
          <w:rFonts w:asciiTheme="minorBidi" w:hAnsiTheme="minorBidi"/>
          <w:sz w:val="18"/>
          <w:szCs w:val="18"/>
          <w:rtl/>
        </w:rPr>
        <w:footnoteReference w:id="1447"/>
      </w:r>
      <w:r w:rsidRPr="0044066C">
        <w:rPr>
          <w:rFonts w:asciiTheme="minorBidi" w:hAnsiTheme="minorBidi"/>
          <w:sz w:val="18"/>
          <w:szCs w:val="18"/>
          <w:rtl/>
        </w:rPr>
        <w:t xml:space="preserve"> אבל ל</w:t>
      </w:r>
      <w:r>
        <w:rPr>
          <w:rFonts w:asciiTheme="minorBidi" w:hAnsiTheme="minorBidi"/>
          <w:sz w:val="18"/>
          <w:szCs w:val="18"/>
          <w:rtl/>
        </w:rPr>
        <w:t>א בבשר וחלב</w:t>
      </w:r>
      <w:r>
        <w:rPr>
          <w:rStyle w:val="a7"/>
          <w:rFonts w:asciiTheme="minorBidi" w:hAnsiTheme="minorBidi"/>
          <w:sz w:val="18"/>
          <w:szCs w:val="18"/>
          <w:rtl/>
        </w:rPr>
        <w:footnoteReference w:id="1448"/>
      </w:r>
      <w:r>
        <w:rPr>
          <w:rFonts w:asciiTheme="minorBidi" w:hAnsiTheme="minorBidi"/>
          <w:sz w:val="18"/>
          <w:szCs w:val="18"/>
          <w:rtl/>
        </w:rPr>
        <w:t>. ואם נתערב יבש ביבש</w:t>
      </w:r>
      <w:r>
        <w:rPr>
          <w:rStyle w:val="a7"/>
          <w:rFonts w:asciiTheme="minorBidi" w:hAnsiTheme="minorBidi"/>
          <w:sz w:val="18"/>
          <w:szCs w:val="18"/>
          <w:rtl/>
        </w:rPr>
        <w:footnoteReference w:id="1449"/>
      </w:r>
      <w:r w:rsidRPr="0044066C">
        <w:rPr>
          <w:rFonts w:asciiTheme="minorBidi" w:hAnsiTheme="minorBidi"/>
          <w:sz w:val="18"/>
          <w:szCs w:val="18"/>
          <w:rtl/>
        </w:rPr>
        <w:t xml:space="preserve"> לא אמרינן בשום איסור</w:t>
      </w:r>
      <w:r>
        <w:rPr>
          <w:rStyle w:val="a7"/>
          <w:rFonts w:asciiTheme="minorBidi" w:hAnsiTheme="minorBidi"/>
          <w:sz w:val="18"/>
          <w:szCs w:val="18"/>
          <w:rtl/>
        </w:rPr>
        <w:footnoteReference w:id="1450"/>
      </w:r>
      <w:r w:rsidRPr="0044066C">
        <w:rPr>
          <w:rFonts w:asciiTheme="minorBidi" w:hAnsiTheme="minorBidi"/>
          <w:sz w:val="18"/>
          <w:szCs w:val="18"/>
          <w:rtl/>
        </w:rPr>
        <w:t xml:space="preserve"> חתיכה נעשית נבילה. וע"ל סי</w:t>
      </w:r>
      <w:r>
        <w:rPr>
          <w:rFonts w:asciiTheme="minorBidi" w:hAnsiTheme="minorBidi" w:hint="cs"/>
          <w:sz w:val="18"/>
          <w:szCs w:val="18"/>
          <w:rtl/>
        </w:rPr>
        <w:t>'</w:t>
      </w:r>
      <w:r w:rsidRPr="0044066C">
        <w:rPr>
          <w:rFonts w:asciiTheme="minorBidi" w:hAnsiTheme="minorBidi"/>
          <w:sz w:val="18"/>
          <w:szCs w:val="18"/>
          <w:rtl/>
        </w:rPr>
        <w:t xml:space="preserve"> צט מדין חתיכה נעשי</w:t>
      </w:r>
      <w:r>
        <w:rPr>
          <w:rFonts w:asciiTheme="minorBidi" w:hAnsiTheme="minorBidi"/>
          <w:sz w:val="18"/>
          <w:szCs w:val="18"/>
          <w:rtl/>
        </w:rPr>
        <w:t>ת נבילה. כלי הנאסר מבליעת איסור לא אמרינן ביה ח</w:t>
      </w:r>
      <w:r>
        <w:rPr>
          <w:rFonts w:asciiTheme="minorBidi" w:hAnsiTheme="minorBidi" w:hint="cs"/>
          <w:sz w:val="18"/>
          <w:szCs w:val="18"/>
          <w:rtl/>
        </w:rPr>
        <w:t>נ"נ</w:t>
      </w:r>
      <w:r w:rsidRPr="0044066C">
        <w:rPr>
          <w:rFonts w:asciiTheme="minorBidi" w:hAnsiTheme="minorBidi"/>
          <w:sz w:val="18"/>
          <w:szCs w:val="18"/>
          <w:rtl/>
        </w:rPr>
        <w:t xml:space="preserve"> ולא בעינן ס' רק נגד האיסור שבלע </w:t>
      </w:r>
      <w:r w:rsidRPr="007A5C81">
        <w:rPr>
          <w:rFonts w:asciiTheme="minorBidi" w:hAnsiTheme="minorBidi"/>
          <w:sz w:val="16"/>
          <w:szCs w:val="16"/>
          <w:rtl/>
        </w:rPr>
        <w:t>(מרדכי)</w:t>
      </w:r>
      <w:r w:rsidRPr="0044066C">
        <w:rPr>
          <w:rFonts w:asciiTheme="minorBidi" w:hAnsiTheme="minorBidi"/>
          <w:sz w:val="18"/>
          <w:szCs w:val="18"/>
          <w:rtl/>
        </w:rPr>
        <w:t>.</w:t>
      </w:r>
      <w:r w:rsidRPr="003024E5">
        <w:rPr>
          <w:rFonts w:asciiTheme="minorBidi" w:hAnsiTheme="minorBidi"/>
          <w:rtl/>
        </w:rPr>
        <w:t xml:space="preserve"> </w:t>
      </w:r>
    </w:p>
    <w:p w14:paraId="1F7DCCE4" w14:textId="77777777" w:rsidR="002C39F4" w:rsidRPr="00CC6F31" w:rsidRDefault="002C39F4" w:rsidP="002C39F4">
      <w:pPr>
        <w:rPr>
          <w:rFonts w:asciiTheme="minorBidi" w:hAnsiTheme="minorBidi"/>
          <w:u w:val="single"/>
          <w:rtl/>
        </w:rPr>
      </w:pPr>
      <w:r w:rsidRPr="00CC6F31">
        <w:rPr>
          <w:rFonts w:asciiTheme="minorBidi" w:hAnsiTheme="minorBidi" w:hint="cs"/>
          <w:u w:val="single"/>
          <w:rtl/>
        </w:rPr>
        <w:t>חנ"נ במליחה:</w:t>
      </w:r>
    </w:p>
    <w:p w14:paraId="382A0F49" w14:textId="77777777" w:rsidR="002C39F4" w:rsidRDefault="002C39F4" w:rsidP="0032102C">
      <w:pPr>
        <w:pStyle w:val="a8"/>
        <w:numPr>
          <w:ilvl w:val="0"/>
          <w:numId w:val="111"/>
        </w:numPr>
        <w:rPr>
          <w:rFonts w:asciiTheme="minorBidi" w:hAnsiTheme="minorBidi"/>
        </w:rPr>
      </w:pPr>
      <w:r w:rsidRPr="00CC6F31">
        <w:rPr>
          <w:rFonts w:asciiTheme="minorBidi" w:hAnsiTheme="minorBidi" w:cs="Arial"/>
          <w:rtl/>
        </w:rPr>
        <w:t xml:space="preserve">ת"ח </w:t>
      </w:r>
      <w:r w:rsidRPr="00CC6F31">
        <w:rPr>
          <w:rFonts w:asciiTheme="minorBidi" w:hAnsiTheme="minorBidi" w:cs="Arial" w:hint="cs"/>
          <w:sz w:val="16"/>
          <w:szCs w:val="16"/>
          <w:rtl/>
        </w:rPr>
        <w:t>(</w:t>
      </w:r>
      <w:r w:rsidRPr="00CC6F31">
        <w:rPr>
          <w:rFonts w:asciiTheme="minorBidi" w:hAnsiTheme="minorBidi" w:cs="Arial"/>
          <w:sz w:val="16"/>
          <w:szCs w:val="16"/>
          <w:rtl/>
        </w:rPr>
        <w:t>כלל לח ד"ב</w:t>
      </w:r>
      <w:r w:rsidRPr="00CC6F31">
        <w:rPr>
          <w:rFonts w:asciiTheme="minorBidi" w:hAnsiTheme="minorBidi" w:cs="Arial" w:hint="cs"/>
          <w:sz w:val="16"/>
          <w:szCs w:val="16"/>
          <w:rtl/>
        </w:rPr>
        <w:t>)</w:t>
      </w:r>
      <w:r>
        <w:rPr>
          <w:rFonts w:asciiTheme="minorBidi" w:hAnsiTheme="minorBidi" w:cs="Arial" w:hint="cs"/>
          <w:rtl/>
        </w:rPr>
        <w:t xml:space="preserve">- </w:t>
      </w:r>
      <w:r w:rsidRPr="00CC6F31">
        <w:rPr>
          <w:rFonts w:asciiTheme="minorBidi" w:hAnsiTheme="minorBidi" w:cs="Arial"/>
          <w:rtl/>
        </w:rPr>
        <w:t>אף דנהגינן לשער כל מליחה בס' מ"מ כיון דהרבה פוסקים סוברים דכל מליחה אינה אוסרת רק כדי קליפה יש להתיר לצורך הפסד גדול או ל</w:t>
      </w:r>
      <w:r>
        <w:rPr>
          <w:rFonts w:asciiTheme="minorBidi" w:hAnsiTheme="minorBidi" w:cs="Arial"/>
          <w:rtl/>
        </w:rPr>
        <w:t>עני בדבר חשוב ולומר דלא נ"נ</w:t>
      </w:r>
      <w:r>
        <w:rPr>
          <w:rStyle w:val="a7"/>
          <w:rFonts w:asciiTheme="minorBidi" w:hAnsiTheme="minorBidi" w:cs="Arial"/>
          <w:rtl/>
        </w:rPr>
        <w:footnoteReference w:id="1451"/>
      </w:r>
      <w:r>
        <w:rPr>
          <w:rFonts w:asciiTheme="minorBidi" w:hAnsiTheme="minorBidi" w:cs="Arial" w:hint="cs"/>
          <w:rtl/>
        </w:rPr>
        <w:t>.</w:t>
      </w:r>
      <w:r w:rsidRPr="00CC6F31">
        <w:rPr>
          <w:rFonts w:asciiTheme="minorBidi" w:hAnsiTheme="minorBidi" w:cs="Arial"/>
          <w:rtl/>
        </w:rPr>
        <w:t xml:space="preserve"> </w:t>
      </w:r>
    </w:p>
    <w:p w14:paraId="40992FCC" w14:textId="77777777" w:rsidR="002C39F4" w:rsidRPr="00CC6F31" w:rsidRDefault="002C39F4" w:rsidP="002C39F4">
      <w:pPr>
        <w:rPr>
          <w:rFonts w:asciiTheme="minorBidi" w:hAnsiTheme="minorBidi"/>
          <w:rtl/>
        </w:rPr>
      </w:pPr>
    </w:p>
    <w:p w14:paraId="4FCB7B80"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xml:space="preserve">: </w:t>
      </w:r>
      <w:r w:rsidRPr="002B47E6">
        <w:rPr>
          <w:rFonts w:cs="Arial"/>
          <w:rtl/>
        </w:rPr>
        <w:t>טיפת חלב שנפלה על הקדרה שאצל האש מבחוץ</w:t>
      </w:r>
      <w:r>
        <w:rPr>
          <w:rFonts w:cs="Arial" w:hint="cs"/>
          <w:rtl/>
        </w:rPr>
        <w:t>.</w:t>
      </w:r>
    </w:p>
    <w:p w14:paraId="4C4DC7E6" w14:textId="77777777" w:rsidR="002C39F4" w:rsidRPr="002B47E6" w:rsidRDefault="002C39F4" w:rsidP="002C39F4">
      <w:pPr>
        <w:rPr>
          <w:rtl/>
        </w:rPr>
      </w:pPr>
      <w:r>
        <w:rPr>
          <w:rFonts w:cs="Arial" w:hint="cs"/>
          <w:b/>
          <w:bCs/>
          <w:rtl/>
        </w:rPr>
        <w:t xml:space="preserve">זבחים צו ע"ב: </w:t>
      </w:r>
      <w:r w:rsidRPr="002B47E6">
        <w:rPr>
          <w:rFonts w:cs="Arial"/>
          <w:rtl/>
        </w:rPr>
        <w:t>מה בגד אינו טעון כיבוס אלא מקום הדם, אף כלי אינו טעון מריקה ושטיפה אלא במקום בישול. א"ל: מי דמי? דם לא מפעפע, בישול מפעפע!</w:t>
      </w:r>
      <w:r w:rsidRPr="002B47E6">
        <w:rPr>
          <w:rFonts w:cs="Arial"/>
          <w:sz w:val="16"/>
          <w:szCs w:val="16"/>
          <w:rtl/>
        </w:rPr>
        <w:t xml:space="preserve"> </w:t>
      </w:r>
      <w:r w:rsidRPr="00470B8B">
        <w:rPr>
          <w:rFonts w:cs="Arial"/>
          <w:rtl/>
        </w:rPr>
        <w:t>ועוד, תניא: חומר בהזאה ממריקה ושטיפה, וחומר במריקה ושטיפה מבהזאה</w:t>
      </w:r>
      <w:r>
        <w:rPr>
          <w:rFonts w:cs="Arial" w:hint="cs"/>
          <w:rtl/>
        </w:rPr>
        <w:t>...</w:t>
      </w:r>
      <w:r w:rsidRPr="00470B8B">
        <w:rPr>
          <w:rFonts w:cs="Arial"/>
          <w:rtl/>
        </w:rPr>
        <w:t xml:space="preserve"> חומר במריקה ושטיפה, שהמריקה ושטיפה נוהגת בין בקדשי קדשים בין בקדשים קלים, בישל במקצת הכלי - טעון מריקה ושטיפה כל הכלי, מה שאין כן בהזאה! א"ל. אי תניא תניא. וטעמא מא</w:t>
      </w:r>
      <w:r>
        <w:rPr>
          <w:rFonts w:cs="Arial"/>
          <w:rtl/>
        </w:rPr>
        <w:t>י? אמר קרא: ואם בכלי נחשת בושלה</w:t>
      </w:r>
      <w:r>
        <w:rPr>
          <w:rFonts w:cs="Arial" w:hint="cs"/>
          <w:rtl/>
        </w:rPr>
        <w:t xml:space="preserve"> -</w:t>
      </w:r>
      <w:r w:rsidRPr="00470B8B">
        <w:rPr>
          <w:rFonts w:cs="Arial"/>
          <w:rtl/>
        </w:rPr>
        <w:t xml:space="preserve"> ואפילו במקצת כלי.</w:t>
      </w:r>
      <w:r>
        <w:rPr>
          <w:rFonts w:hint="cs"/>
          <w:rtl/>
        </w:rPr>
        <w:t xml:space="preserve"> </w:t>
      </w:r>
    </w:p>
    <w:p w14:paraId="5EFA99B2" w14:textId="77777777" w:rsidR="002C39F4" w:rsidRPr="006C3C67" w:rsidRDefault="002C39F4" w:rsidP="002C39F4">
      <w:pPr>
        <w:rPr>
          <w:rFonts w:cs="Arial"/>
          <w:u w:val="single"/>
        </w:rPr>
      </w:pPr>
      <w:r w:rsidRPr="002B47E6">
        <w:rPr>
          <w:rFonts w:cs="Arial"/>
          <w:u w:val="single"/>
          <w:rtl/>
        </w:rPr>
        <w:t>טיפת חלב שנפלה על הקדרה שאצל האש מבחוץ</w:t>
      </w:r>
      <w:r w:rsidRPr="002B47E6">
        <w:rPr>
          <w:rFonts w:cs="Arial" w:hint="cs"/>
          <w:u w:val="single"/>
          <w:rtl/>
        </w:rPr>
        <w:t>:</w:t>
      </w:r>
    </w:p>
    <w:p w14:paraId="4EE72505" w14:textId="77777777" w:rsidR="002C39F4" w:rsidRPr="007F7963" w:rsidRDefault="002C39F4" w:rsidP="0032102C">
      <w:pPr>
        <w:pStyle w:val="a8"/>
        <w:numPr>
          <w:ilvl w:val="0"/>
          <w:numId w:val="111"/>
        </w:numPr>
        <w:rPr>
          <w:rFonts w:cs="Arial"/>
        </w:rPr>
      </w:pPr>
      <w:r>
        <w:rPr>
          <w:rFonts w:cs="Arial"/>
          <w:rtl/>
        </w:rPr>
        <w:t>ראב"ן</w:t>
      </w:r>
      <w:r w:rsidRPr="001E3E25">
        <w:rPr>
          <w:rFonts w:cs="Arial"/>
          <w:sz w:val="16"/>
          <w:szCs w:val="16"/>
          <w:rtl/>
        </w:rPr>
        <w:t xml:space="preserve"> (סי' </w:t>
      </w:r>
      <w:r>
        <w:rPr>
          <w:rFonts w:cs="Arial" w:hint="cs"/>
          <w:sz w:val="16"/>
          <w:szCs w:val="16"/>
          <w:rtl/>
        </w:rPr>
        <w:t>ע</w:t>
      </w:r>
      <w:r w:rsidRPr="001E3E25">
        <w:rPr>
          <w:rFonts w:cs="Arial"/>
          <w:sz w:val="16"/>
          <w:szCs w:val="16"/>
          <w:rtl/>
        </w:rPr>
        <w:t>רב ו</w:t>
      </w:r>
      <w:r>
        <w:rPr>
          <w:rFonts w:cs="Arial" w:hint="cs"/>
          <w:sz w:val="16"/>
          <w:szCs w:val="16"/>
          <w:rtl/>
        </w:rPr>
        <w:t xml:space="preserve">סי' </w:t>
      </w:r>
      <w:r w:rsidRPr="001E3E25">
        <w:rPr>
          <w:rFonts w:cs="Arial"/>
          <w:sz w:val="16"/>
          <w:szCs w:val="16"/>
          <w:rtl/>
        </w:rPr>
        <w:t>שיא)</w:t>
      </w:r>
      <w:r>
        <w:rPr>
          <w:rFonts w:cs="Arial" w:hint="cs"/>
          <w:rtl/>
        </w:rPr>
        <w:t xml:space="preserve">- </w:t>
      </w:r>
      <w:r w:rsidRPr="00470B8B">
        <w:rPr>
          <w:rFonts w:cs="Arial"/>
          <w:rtl/>
        </w:rPr>
        <w:t>אם יש בקדרה בלא תבשיל ששים לבטל החלב הנבלע בתוכו לא נעשה נבלה מידי דהוה אטיפת חלב שנפלה על חתיכה</w:t>
      </w:r>
      <w:r>
        <w:rPr>
          <w:rFonts w:cs="Arial" w:hint="cs"/>
          <w:rtl/>
        </w:rPr>
        <w:t>,</w:t>
      </w:r>
      <w:r w:rsidRPr="00470B8B">
        <w:rPr>
          <w:rFonts w:cs="Arial"/>
          <w:rtl/>
        </w:rPr>
        <w:t xml:space="preserve"> דאם יש בחתיכה ששים לבטל הטיפה לא אסרינן ונתבטל החלב</w:t>
      </w:r>
      <w:r>
        <w:rPr>
          <w:rFonts w:cs="Arial" w:hint="cs"/>
          <w:rtl/>
        </w:rPr>
        <w:t>.</w:t>
      </w:r>
      <w:r w:rsidRPr="00470B8B">
        <w:rPr>
          <w:rFonts w:cs="Arial"/>
          <w:rtl/>
        </w:rPr>
        <w:t xml:space="preserve"> </w:t>
      </w:r>
    </w:p>
    <w:p w14:paraId="1484051D" w14:textId="77777777" w:rsidR="002C39F4" w:rsidRPr="002B47E6" w:rsidRDefault="002C39F4" w:rsidP="0032102C">
      <w:pPr>
        <w:pStyle w:val="a8"/>
        <w:numPr>
          <w:ilvl w:val="0"/>
          <w:numId w:val="111"/>
        </w:numPr>
        <w:rPr>
          <w:rFonts w:cs="Arial"/>
          <w:rtl/>
        </w:rPr>
      </w:pPr>
      <w:r>
        <w:rPr>
          <w:rFonts w:cs="Arial" w:hint="cs"/>
          <w:rtl/>
        </w:rPr>
        <w:t>מהר"ם-</w:t>
      </w:r>
      <w:r w:rsidRPr="00470B8B">
        <w:rPr>
          <w:rFonts w:cs="Arial"/>
          <w:rtl/>
        </w:rPr>
        <w:t xml:space="preserve"> </w:t>
      </w:r>
      <w:r>
        <w:rPr>
          <w:rStyle w:val="a7"/>
          <w:rFonts w:cs="Arial"/>
          <w:rtl/>
        </w:rPr>
        <w:footnoteReference w:id="1452"/>
      </w:r>
      <w:r w:rsidRPr="00470B8B">
        <w:rPr>
          <w:rFonts w:cs="Arial"/>
          <w:rtl/>
        </w:rPr>
        <w:t>כיון שאין מתפשט בכל דופניו שיהא ראוי לומר שכל לחלוחית שבדפנות מסייעים לבטל</w:t>
      </w:r>
      <w:r>
        <w:rPr>
          <w:rFonts w:cs="Arial" w:hint="cs"/>
          <w:rtl/>
        </w:rPr>
        <w:t>,</w:t>
      </w:r>
      <w:r w:rsidRPr="00470B8B">
        <w:rPr>
          <w:rFonts w:cs="Arial"/>
          <w:rtl/>
        </w:rPr>
        <w:t xml:space="preserve"> נמצא במקום שנפלה אסר כל הבלוע בדופניה ונעשה נבלה וחוזר ואוסר כל מה שבקדרה אם אין בה ששים לבטל שיעור עובי הדופן שנפל שם החלב</w:t>
      </w:r>
      <w:r>
        <w:rPr>
          <w:rFonts w:cs="Arial" w:hint="cs"/>
          <w:rtl/>
        </w:rPr>
        <w:t>,</w:t>
      </w:r>
      <w:r w:rsidRPr="00470B8B">
        <w:rPr>
          <w:rFonts w:cs="Arial"/>
          <w:rtl/>
        </w:rPr>
        <w:t xml:space="preserve"> דבשיעור עובי הדופן צריך לשער דלא ידעינן כמה בלעה קודם שנפל בה החלב </w:t>
      </w:r>
      <w:r w:rsidRPr="00E53A1F">
        <w:rPr>
          <w:rFonts w:cs="Arial" w:hint="cs"/>
          <w:sz w:val="16"/>
          <w:szCs w:val="16"/>
          <w:rtl/>
        </w:rPr>
        <w:t>(</w:t>
      </w:r>
      <w:r w:rsidRPr="00E53A1F">
        <w:rPr>
          <w:rFonts w:cs="Arial"/>
          <w:sz w:val="16"/>
          <w:szCs w:val="16"/>
          <w:rtl/>
        </w:rPr>
        <w:t>ע"כ</w:t>
      </w:r>
      <w:r w:rsidRPr="00E53A1F">
        <w:rPr>
          <w:rFonts w:cs="Arial" w:hint="cs"/>
          <w:sz w:val="16"/>
          <w:szCs w:val="16"/>
          <w:rtl/>
        </w:rPr>
        <w:t xml:space="preserve"> תשו' ר"ש)</w:t>
      </w:r>
      <w:r>
        <w:rPr>
          <w:rFonts w:cs="Arial" w:hint="cs"/>
          <w:rtl/>
        </w:rPr>
        <w:t>,</w:t>
      </w:r>
      <w:r w:rsidRPr="00470B8B">
        <w:rPr>
          <w:rFonts w:cs="Arial"/>
          <w:rtl/>
        </w:rPr>
        <w:t xml:space="preserve"> ומשערינן בכל הקדרה כולה</w:t>
      </w:r>
      <w:r>
        <w:rPr>
          <w:rFonts w:cs="Arial" w:hint="cs"/>
          <w:rtl/>
        </w:rPr>
        <w:t>,</w:t>
      </w:r>
      <w:r>
        <w:rPr>
          <w:rFonts w:cs="Arial"/>
          <w:rtl/>
        </w:rPr>
        <w:t xml:space="preserve"> ודוקא שא</w:t>
      </w:r>
      <w:r>
        <w:rPr>
          <w:rFonts w:cs="Arial" w:hint="cs"/>
          <w:rtl/>
        </w:rPr>
        <w:t>"</w:t>
      </w:r>
      <w:r>
        <w:rPr>
          <w:rFonts w:cs="Arial"/>
          <w:rtl/>
        </w:rPr>
        <w:t>א</w:t>
      </w:r>
      <w:r w:rsidRPr="00470B8B">
        <w:rPr>
          <w:rFonts w:cs="Arial"/>
          <w:rtl/>
        </w:rPr>
        <w:t xml:space="preserve"> לעמוד על הטיפה כמה שהיתה שלא הרגיש בה ולא ראה אותה אלא</w:t>
      </w:r>
      <w:r>
        <w:rPr>
          <w:rFonts w:cs="Arial"/>
          <w:rtl/>
        </w:rPr>
        <w:t xml:space="preserve"> לאחר שנפלה על הדופן ואז א</w:t>
      </w:r>
      <w:r>
        <w:rPr>
          <w:rFonts w:cs="Arial" w:hint="cs"/>
          <w:rtl/>
        </w:rPr>
        <w:t>"א</w:t>
      </w:r>
      <w:r w:rsidRPr="00470B8B">
        <w:rPr>
          <w:rFonts w:cs="Arial"/>
          <w:rtl/>
        </w:rPr>
        <w:t xml:space="preserve"> לשער בששים כיוצא בה דילמא מיד נבלעה מקצתה בדופן</w:t>
      </w:r>
      <w:r>
        <w:rPr>
          <w:rFonts w:cs="Arial" w:hint="cs"/>
          <w:rtl/>
        </w:rPr>
        <w:t>,</w:t>
      </w:r>
      <w:r w:rsidRPr="00470B8B">
        <w:rPr>
          <w:rFonts w:cs="Arial"/>
          <w:rtl/>
        </w:rPr>
        <w:t xml:space="preserve"> ואז ודאי צריך לשער בעובי הדופן כמו שאמר ר"י</w:t>
      </w:r>
      <w:r>
        <w:rPr>
          <w:rStyle w:val="a7"/>
          <w:rFonts w:cs="Arial"/>
          <w:rtl/>
        </w:rPr>
        <w:footnoteReference w:id="1453"/>
      </w:r>
      <w:r>
        <w:rPr>
          <w:rFonts w:cs="Arial" w:hint="cs"/>
          <w:rtl/>
        </w:rPr>
        <w:t>,</w:t>
      </w:r>
      <w:r w:rsidRPr="00470B8B">
        <w:rPr>
          <w:rFonts w:cs="Arial"/>
          <w:rtl/>
        </w:rPr>
        <w:t xml:space="preserve"> אבל אם ראה הטיפה קודם ועמד עליה כמה היה אז סגי בששים של ששים</w:t>
      </w:r>
      <w:r>
        <w:rPr>
          <w:rStyle w:val="a7"/>
          <w:rFonts w:cs="Arial"/>
          <w:rtl/>
        </w:rPr>
        <w:footnoteReference w:id="1454"/>
      </w:r>
      <w:r w:rsidRPr="00470B8B">
        <w:rPr>
          <w:rFonts w:cs="Arial"/>
          <w:rtl/>
        </w:rPr>
        <w:t xml:space="preserve"> טיפין כמוה ממה נפשך כמו שכתב מורי</w:t>
      </w:r>
      <w:r>
        <w:rPr>
          <w:rFonts w:cs="Arial" w:hint="cs"/>
          <w:rtl/>
        </w:rPr>
        <w:t>,</w:t>
      </w:r>
      <w:r w:rsidRPr="00470B8B">
        <w:rPr>
          <w:rFonts w:cs="Arial"/>
          <w:rtl/>
        </w:rPr>
        <w:t xml:space="preserve"> ודברי רבינו שמשון צויתי להעתיק למורי</w:t>
      </w:r>
      <w:r>
        <w:rPr>
          <w:rFonts w:cs="Arial" w:hint="cs"/>
          <w:rtl/>
        </w:rPr>
        <w:t>,</w:t>
      </w:r>
      <w:r w:rsidRPr="00470B8B">
        <w:rPr>
          <w:rFonts w:cs="Arial"/>
          <w:rtl/>
        </w:rPr>
        <w:t xml:space="preserve"> וכן נראה וכן אנו מורין היכא דא</w:t>
      </w:r>
      <w:r>
        <w:rPr>
          <w:rFonts w:cs="Arial"/>
          <w:rtl/>
        </w:rPr>
        <w:t>יכא הפסד מרובה קצת או בשבת ויו</w:t>
      </w:r>
      <w:r>
        <w:rPr>
          <w:rFonts w:cs="Arial" w:hint="cs"/>
          <w:rtl/>
        </w:rPr>
        <w:t>"</w:t>
      </w:r>
      <w:r w:rsidRPr="00470B8B">
        <w:rPr>
          <w:rFonts w:cs="Arial"/>
          <w:rtl/>
        </w:rPr>
        <w:t>ט</w:t>
      </w:r>
      <w:r>
        <w:rPr>
          <w:rStyle w:val="a7"/>
          <w:rFonts w:cs="Arial"/>
          <w:rtl/>
        </w:rPr>
        <w:footnoteReference w:id="1455"/>
      </w:r>
      <w:r>
        <w:rPr>
          <w:rFonts w:cs="Arial" w:hint="cs"/>
          <w:rtl/>
        </w:rPr>
        <w:t>.</w:t>
      </w:r>
      <w:r w:rsidRPr="002B47E6">
        <w:rPr>
          <w:rFonts w:cs="Arial"/>
          <w:rtl/>
        </w:rPr>
        <w:t xml:space="preserve"> </w:t>
      </w:r>
    </w:p>
    <w:p w14:paraId="27C4EA46" w14:textId="77777777" w:rsidR="002C39F4" w:rsidRPr="00EF7339" w:rsidRDefault="002C39F4" w:rsidP="0032102C">
      <w:pPr>
        <w:pStyle w:val="a8"/>
        <w:numPr>
          <w:ilvl w:val="0"/>
          <w:numId w:val="111"/>
        </w:numPr>
        <w:rPr>
          <w:rFonts w:cs="Arial"/>
        </w:rPr>
      </w:pPr>
      <w:r>
        <w:rPr>
          <w:rFonts w:cs="Arial"/>
          <w:rtl/>
        </w:rPr>
        <w:t xml:space="preserve">סמ"ק </w:t>
      </w:r>
      <w:r w:rsidRPr="00470B8B">
        <w:rPr>
          <w:rFonts w:cs="Arial"/>
          <w:sz w:val="16"/>
          <w:szCs w:val="16"/>
          <w:rtl/>
        </w:rPr>
        <w:t>(סי' ריג</w:t>
      </w:r>
      <w:r w:rsidRPr="00470B8B">
        <w:rPr>
          <w:rFonts w:cs="Arial" w:hint="cs"/>
          <w:sz w:val="16"/>
          <w:szCs w:val="16"/>
          <w:rtl/>
        </w:rPr>
        <w:t>,</w:t>
      </w:r>
      <w:r w:rsidRPr="00470B8B">
        <w:rPr>
          <w:rFonts w:cs="Arial"/>
          <w:sz w:val="16"/>
          <w:szCs w:val="16"/>
          <w:rtl/>
        </w:rPr>
        <w:t xml:space="preserve"> </w:t>
      </w:r>
      <w:r w:rsidRPr="00470B8B">
        <w:rPr>
          <w:rFonts w:cs="Arial" w:hint="cs"/>
          <w:sz w:val="16"/>
          <w:szCs w:val="16"/>
          <w:rtl/>
        </w:rPr>
        <w:t>הביאוהו ההגה"מ (</w:t>
      </w:r>
      <w:r w:rsidRPr="00470B8B">
        <w:rPr>
          <w:rFonts w:cs="Arial"/>
          <w:sz w:val="16"/>
          <w:szCs w:val="16"/>
          <w:rtl/>
        </w:rPr>
        <w:t xml:space="preserve">פ"ט </w:t>
      </w:r>
      <w:r>
        <w:rPr>
          <w:rFonts w:cs="Arial"/>
          <w:sz w:val="16"/>
          <w:szCs w:val="16"/>
          <w:rtl/>
        </w:rPr>
        <w:t xml:space="preserve">ה"ט) </w:t>
      </w:r>
      <w:r w:rsidRPr="00470B8B">
        <w:rPr>
          <w:rFonts w:cs="Arial"/>
          <w:sz w:val="16"/>
          <w:szCs w:val="16"/>
          <w:rtl/>
        </w:rPr>
        <w:t>המרדכי (שם)</w:t>
      </w:r>
      <w:r>
        <w:rPr>
          <w:rFonts w:cs="Arial" w:hint="cs"/>
          <w:sz w:val="16"/>
          <w:szCs w:val="16"/>
          <w:rtl/>
        </w:rPr>
        <w:t xml:space="preserve"> והטור</w:t>
      </w:r>
      <w:r w:rsidRPr="00470B8B">
        <w:rPr>
          <w:rFonts w:cs="Arial" w:hint="cs"/>
          <w:sz w:val="16"/>
          <w:szCs w:val="16"/>
          <w:rtl/>
        </w:rPr>
        <w:t>)</w:t>
      </w:r>
      <w:r>
        <w:rPr>
          <w:rFonts w:cs="Arial" w:hint="cs"/>
          <w:rtl/>
        </w:rPr>
        <w:t>-</w:t>
      </w:r>
      <w:r w:rsidRPr="00470B8B">
        <w:rPr>
          <w:rFonts w:cs="Arial"/>
          <w:rtl/>
        </w:rPr>
        <w:t xml:space="preserve"> </w:t>
      </w:r>
      <w:r>
        <w:rPr>
          <w:rStyle w:val="a7"/>
          <w:rFonts w:cs="Arial"/>
          <w:rtl/>
        </w:rPr>
        <w:footnoteReference w:id="1456"/>
      </w:r>
      <w:r w:rsidRPr="00470B8B">
        <w:rPr>
          <w:rFonts w:cs="Arial"/>
          <w:rtl/>
        </w:rPr>
        <w:t>כשנפלה כנגד הרוטב ויש ברוטב ששים מן הטיפה מותר ממה נפשך</w:t>
      </w:r>
      <w:r>
        <w:rPr>
          <w:rFonts w:cs="Arial" w:hint="cs"/>
          <w:rtl/>
        </w:rPr>
        <w:t xml:space="preserve"> -</w:t>
      </w:r>
      <w:r w:rsidRPr="00470B8B">
        <w:rPr>
          <w:rFonts w:cs="Arial"/>
          <w:rtl/>
        </w:rPr>
        <w:t xml:space="preserve"> אי מפעפעת בכל הכלי הרי נתבטלה</w:t>
      </w:r>
      <w:r>
        <w:rPr>
          <w:rStyle w:val="a7"/>
          <w:rFonts w:cs="Arial"/>
          <w:rtl/>
        </w:rPr>
        <w:footnoteReference w:id="1457"/>
      </w:r>
      <w:r w:rsidRPr="00470B8B">
        <w:rPr>
          <w:rFonts w:cs="Arial"/>
          <w:rtl/>
        </w:rPr>
        <w:t xml:space="preserve"> ואם אינה מפעפעת אז לא י</w:t>
      </w:r>
      <w:r>
        <w:rPr>
          <w:rFonts w:cs="Arial"/>
          <w:rtl/>
        </w:rPr>
        <w:t>אסר</w:t>
      </w:r>
      <w:r>
        <w:rPr>
          <w:rStyle w:val="a7"/>
          <w:rFonts w:cs="Arial"/>
          <w:rtl/>
        </w:rPr>
        <w:footnoteReference w:id="1458"/>
      </w:r>
      <w:r>
        <w:rPr>
          <w:rFonts w:cs="Arial" w:hint="cs"/>
          <w:rtl/>
        </w:rPr>
        <w:t>,</w:t>
      </w:r>
      <w:r>
        <w:rPr>
          <w:rFonts w:cs="Arial"/>
          <w:rtl/>
        </w:rPr>
        <w:t xml:space="preserve"> אבל נפלה נגד הריקן</w:t>
      </w:r>
      <w:r w:rsidRPr="00470B8B">
        <w:rPr>
          <w:rFonts w:cs="Arial"/>
          <w:rtl/>
        </w:rPr>
        <w:t xml:space="preserve"> שמא מפעפעת</w:t>
      </w:r>
      <w:r>
        <w:rPr>
          <w:rFonts w:cs="Arial"/>
          <w:rtl/>
        </w:rPr>
        <w:t xml:space="preserve"> בדופן הקדרה עד סמוך לרוטב כל כ</w:t>
      </w:r>
      <w:r>
        <w:rPr>
          <w:rFonts w:cs="Arial" w:hint="cs"/>
          <w:rtl/>
        </w:rPr>
        <w:t>ך</w:t>
      </w:r>
      <w:r w:rsidRPr="00470B8B">
        <w:rPr>
          <w:rFonts w:cs="Arial"/>
          <w:rtl/>
        </w:rPr>
        <w:t xml:space="preserve"> שאין ששים מן הטיפה</w:t>
      </w:r>
      <w:r>
        <w:rPr>
          <w:rStyle w:val="a7"/>
          <w:rFonts w:cs="Arial"/>
          <w:rtl/>
        </w:rPr>
        <w:footnoteReference w:id="1459"/>
      </w:r>
      <w:r w:rsidRPr="00470B8B">
        <w:rPr>
          <w:rFonts w:cs="Arial"/>
          <w:rtl/>
        </w:rPr>
        <w:t xml:space="preserve"> ונעשה אותו מקצת כלי נבלה וכשיערה הרוטב מן הכלי ילך הרוטב לאותו מקצת כלי ויאסר הכל</w:t>
      </w:r>
      <w:r>
        <w:rPr>
          <w:rFonts w:cs="Arial" w:hint="cs"/>
          <w:rtl/>
        </w:rPr>
        <w:t>,</w:t>
      </w:r>
      <w:r w:rsidRPr="00470B8B">
        <w:rPr>
          <w:rFonts w:cs="Arial"/>
          <w:rtl/>
        </w:rPr>
        <w:t xml:space="preserve"> לפיכך אם הניח להצטנן שלא הגביה הרוטב כל</w:t>
      </w:r>
      <w:r>
        <w:rPr>
          <w:rFonts w:cs="Arial"/>
          <w:rtl/>
        </w:rPr>
        <w:t>ל מעת נפלו עד שנצטנן לגמרי א</w:t>
      </w:r>
      <w:r>
        <w:rPr>
          <w:rFonts w:cs="Arial" w:hint="cs"/>
          <w:rtl/>
        </w:rPr>
        <w:t>"</w:t>
      </w:r>
      <w:r>
        <w:rPr>
          <w:rFonts w:cs="Arial"/>
          <w:rtl/>
        </w:rPr>
        <w:t>כ</w:t>
      </w:r>
      <w:r w:rsidRPr="00470B8B">
        <w:rPr>
          <w:rFonts w:cs="Arial"/>
          <w:rtl/>
        </w:rPr>
        <w:t xml:space="preserve"> אז לא נגע </w:t>
      </w:r>
      <w:r>
        <w:rPr>
          <w:rFonts w:cs="Arial"/>
          <w:rtl/>
        </w:rPr>
        <w:t>הרוטב כלל באיסור הילכך מותר</w:t>
      </w:r>
      <w:r>
        <w:rPr>
          <w:rStyle w:val="a7"/>
          <w:rFonts w:cs="Arial"/>
          <w:rtl/>
        </w:rPr>
        <w:footnoteReference w:id="1460"/>
      </w:r>
      <w:r>
        <w:rPr>
          <w:rFonts w:cs="Arial" w:hint="cs"/>
          <w:rtl/>
        </w:rPr>
        <w:t>.</w:t>
      </w:r>
      <w:r w:rsidRPr="008C76B1">
        <w:rPr>
          <w:rFonts w:cs="Arial"/>
          <w:color w:val="E36C0A" w:themeColor="accent6" w:themeShade="BF"/>
          <w:rtl/>
        </w:rPr>
        <w:t xml:space="preserve"> </w:t>
      </w:r>
      <w:r w:rsidRPr="008C76B1">
        <w:rPr>
          <w:rFonts w:cs="Arial" w:hint="cs"/>
          <w:color w:val="E36C0A" w:themeColor="accent6" w:themeShade="BF"/>
          <w:rtl/>
        </w:rPr>
        <w:t>(וכ"פ בשו"ע)</w:t>
      </w:r>
    </w:p>
    <w:p w14:paraId="485C56DF" w14:textId="77777777" w:rsidR="002C39F4" w:rsidRPr="001E3E25" w:rsidRDefault="002C39F4" w:rsidP="0032102C">
      <w:pPr>
        <w:pStyle w:val="a8"/>
        <w:numPr>
          <w:ilvl w:val="0"/>
          <w:numId w:val="111"/>
        </w:numPr>
        <w:rPr>
          <w:rFonts w:cs="Arial"/>
        </w:rPr>
      </w:pPr>
      <w:r w:rsidRPr="00470B8B">
        <w:rPr>
          <w:rFonts w:cs="Arial"/>
          <w:rtl/>
        </w:rPr>
        <w:t>סמ"ג</w:t>
      </w:r>
      <w:r w:rsidRPr="002B47E6">
        <w:rPr>
          <w:rFonts w:cs="Arial"/>
          <w:sz w:val="16"/>
          <w:szCs w:val="16"/>
          <w:rtl/>
        </w:rPr>
        <w:t xml:space="preserve"> </w:t>
      </w:r>
      <w:r w:rsidRPr="00470B8B">
        <w:rPr>
          <w:rFonts w:cs="Arial"/>
          <w:sz w:val="16"/>
          <w:szCs w:val="16"/>
          <w:rtl/>
        </w:rPr>
        <w:t>(לאוין קמ וקמא)</w:t>
      </w:r>
      <w:r>
        <w:rPr>
          <w:rFonts w:cs="Arial" w:hint="cs"/>
          <w:rtl/>
        </w:rPr>
        <w:t xml:space="preserve">- </w:t>
      </w:r>
      <w:r w:rsidRPr="00470B8B">
        <w:rPr>
          <w:rFonts w:cs="Arial" w:hint="cs"/>
          <w:rtl/>
        </w:rPr>
        <w:t>גרסינן ד</w:t>
      </w:r>
      <w:r w:rsidRPr="00470B8B">
        <w:rPr>
          <w:rFonts w:cs="Arial"/>
          <w:rtl/>
        </w:rPr>
        <w:t>בישול מפעפע</w:t>
      </w:r>
      <w:r>
        <w:rPr>
          <w:rFonts w:cs="Arial" w:hint="cs"/>
          <w:rtl/>
        </w:rPr>
        <w:t xml:space="preserve"> </w:t>
      </w:r>
      <w:r w:rsidRPr="00470B8B">
        <w:rPr>
          <w:rFonts w:cs="Arial" w:hint="cs"/>
          <w:rtl/>
        </w:rPr>
        <w:t xml:space="preserve">- </w:t>
      </w:r>
      <w:r w:rsidRPr="00470B8B">
        <w:rPr>
          <w:rFonts w:cs="Arial"/>
          <w:rtl/>
        </w:rPr>
        <w:t>כלומר מתפשט בכל הכלי</w:t>
      </w:r>
      <w:r w:rsidRPr="00470B8B">
        <w:rPr>
          <w:rFonts w:cs="Arial" w:hint="cs"/>
          <w:rtl/>
        </w:rPr>
        <w:t>,</w:t>
      </w:r>
      <w:r w:rsidRPr="00470B8B">
        <w:rPr>
          <w:rFonts w:cs="Arial"/>
          <w:rtl/>
        </w:rPr>
        <w:t xml:space="preserve"> </w:t>
      </w:r>
      <w:r>
        <w:rPr>
          <w:rFonts w:cs="Arial" w:hint="cs"/>
          <w:rtl/>
        </w:rPr>
        <w:t>ו</w:t>
      </w:r>
      <w:r w:rsidRPr="00470B8B">
        <w:rPr>
          <w:rFonts w:cs="Arial"/>
          <w:rtl/>
        </w:rPr>
        <w:t>כ</w:t>
      </w:r>
      <w:r w:rsidRPr="00470B8B">
        <w:rPr>
          <w:rFonts w:cs="Arial" w:hint="cs"/>
          <w:rtl/>
        </w:rPr>
        <w:t>תב</w:t>
      </w:r>
      <w:r w:rsidRPr="00470B8B">
        <w:rPr>
          <w:rFonts w:cs="Arial"/>
          <w:rtl/>
        </w:rPr>
        <w:t xml:space="preserve"> מורי</w:t>
      </w:r>
      <w:r>
        <w:rPr>
          <w:rFonts w:cs="Arial" w:hint="cs"/>
          <w:rtl/>
        </w:rPr>
        <w:t xml:space="preserve"> </w:t>
      </w:r>
      <w:r w:rsidRPr="008C76B1">
        <w:rPr>
          <w:rFonts w:cs="Arial" w:hint="cs"/>
          <w:sz w:val="14"/>
          <w:szCs w:val="14"/>
          <w:rtl/>
        </w:rPr>
        <w:t>{ר' יהודה ש</w:t>
      </w:r>
      <w:r w:rsidRPr="008C76B1">
        <w:rPr>
          <w:rFonts w:cs="Arial"/>
          <w:sz w:val="14"/>
          <w:szCs w:val="14"/>
          <w:rtl/>
        </w:rPr>
        <w:t>ירליאון</w:t>
      </w:r>
      <w:r w:rsidRPr="008C76B1">
        <w:rPr>
          <w:rFonts w:cs="Arial" w:hint="cs"/>
          <w:sz w:val="14"/>
          <w:szCs w:val="14"/>
          <w:rtl/>
        </w:rPr>
        <w:t>}</w:t>
      </w:r>
      <w:r w:rsidRPr="00470B8B">
        <w:rPr>
          <w:rFonts w:cs="Arial"/>
          <w:rtl/>
        </w:rPr>
        <w:t xml:space="preserve"> מכאן נוהג רבינו </w:t>
      </w:r>
      <w:r w:rsidRPr="008C76B1">
        <w:rPr>
          <w:rFonts w:cs="Arial" w:hint="cs"/>
          <w:sz w:val="14"/>
          <w:szCs w:val="14"/>
          <w:rtl/>
        </w:rPr>
        <w:t>{ר' יצחק בר שמואל</w:t>
      </w:r>
      <w:r w:rsidRPr="008C76B1">
        <w:rPr>
          <w:rStyle w:val="a7"/>
          <w:rFonts w:cs="Arial"/>
          <w:sz w:val="14"/>
          <w:szCs w:val="14"/>
          <w:rtl/>
        </w:rPr>
        <w:footnoteReference w:id="1461"/>
      </w:r>
      <w:r w:rsidRPr="008C76B1">
        <w:rPr>
          <w:rFonts w:cs="Arial" w:hint="cs"/>
          <w:sz w:val="14"/>
          <w:szCs w:val="14"/>
          <w:rtl/>
        </w:rPr>
        <w:t>}</w:t>
      </w:r>
      <w:r>
        <w:rPr>
          <w:rFonts w:cs="Arial" w:hint="cs"/>
          <w:rtl/>
        </w:rPr>
        <w:t xml:space="preserve"> </w:t>
      </w:r>
      <w:r w:rsidRPr="00470B8B">
        <w:rPr>
          <w:rFonts w:cs="Arial"/>
          <w:rtl/>
        </w:rPr>
        <w:t>שאם נפלה טיפת חלב ע</w:t>
      </w:r>
      <w:r w:rsidRPr="00470B8B">
        <w:rPr>
          <w:rFonts w:cs="Arial" w:hint="cs"/>
          <w:rtl/>
        </w:rPr>
        <w:t>"</w:t>
      </w:r>
      <w:r w:rsidRPr="00470B8B">
        <w:rPr>
          <w:rFonts w:cs="Arial"/>
          <w:rtl/>
        </w:rPr>
        <w:t>ג הקדרה רותחת באור</w:t>
      </w:r>
      <w:r>
        <w:rPr>
          <w:rFonts w:cs="Arial" w:hint="cs"/>
          <w:rtl/>
        </w:rPr>
        <w:t xml:space="preserve"> </w:t>
      </w:r>
      <w:r w:rsidRPr="00470B8B">
        <w:rPr>
          <w:rFonts w:cs="Arial" w:hint="cs"/>
          <w:rtl/>
        </w:rPr>
        <w:t>-</w:t>
      </w:r>
      <w:r w:rsidRPr="00470B8B">
        <w:rPr>
          <w:rFonts w:cs="Arial"/>
          <w:rtl/>
        </w:rPr>
        <w:t xml:space="preserve"> שמפעפע בכל חרס של קדרה וחתיכה עצמה נעשית נבלה</w:t>
      </w:r>
      <w:r w:rsidRPr="00470B8B">
        <w:rPr>
          <w:rFonts w:cs="Arial" w:hint="cs"/>
          <w:rtl/>
        </w:rPr>
        <w:t>,</w:t>
      </w:r>
      <w:r w:rsidRPr="00470B8B">
        <w:rPr>
          <w:rFonts w:cs="Arial"/>
          <w:rtl/>
        </w:rPr>
        <w:t xml:space="preserve"> ובכולה קדרה משערינן</w:t>
      </w:r>
      <w:r>
        <w:rPr>
          <w:rFonts w:cs="Arial" w:hint="cs"/>
          <w:rtl/>
        </w:rPr>
        <w:t>,</w:t>
      </w:r>
      <w:r w:rsidRPr="00470B8B">
        <w:rPr>
          <w:rFonts w:cs="Arial"/>
          <w:rtl/>
        </w:rPr>
        <w:t xml:space="preserve"> שהחלב מתפשט בכל הקדרה ואין לו מקום להתבטל בששים</w:t>
      </w:r>
      <w:r w:rsidRPr="00470B8B">
        <w:rPr>
          <w:rStyle w:val="a7"/>
          <w:rFonts w:cs="Arial"/>
          <w:rtl/>
        </w:rPr>
        <w:footnoteReference w:id="1462"/>
      </w:r>
      <w:r>
        <w:rPr>
          <w:rFonts w:cs="Arial" w:hint="cs"/>
          <w:rtl/>
        </w:rPr>
        <w:t xml:space="preserve">.   </w:t>
      </w:r>
    </w:p>
    <w:p w14:paraId="197D81E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EEC588B" w14:textId="77777777" w:rsidR="002C39F4" w:rsidRDefault="002C39F4" w:rsidP="002C39F4">
      <w:pPr>
        <w:rPr>
          <w:rFonts w:asciiTheme="minorBidi" w:hAnsiTheme="minorBidi"/>
          <w:rtl/>
        </w:rPr>
      </w:pPr>
      <w:r w:rsidRPr="003024E5">
        <w:rPr>
          <w:rFonts w:asciiTheme="minorBidi" w:hAnsiTheme="minorBidi"/>
          <w:rtl/>
        </w:rPr>
        <w:t>טיפת חלב שנפלה על הקדירה שאצל</w:t>
      </w:r>
      <w:r>
        <w:rPr>
          <w:rFonts w:asciiTheme="minorBidi" w:hAnsiTheme="minorBidi"/>
          <w:rtl/>
        </w:rPr>
        <w:t xml:space="preserve"> האש מבחוץ, אם נפלה כנגד התבשיל</w:t>
      </w:r>
      <w:r w:rsidRPr="003024E5">
        <w:rPr>
          <w:rFonts w:asciiTheme="minorBidi" w:hAnsiTheme="minorBidi"/>
          <w:rtl/>
        </w:rPr>
        <w:t xml:space="preserve"> אין צריך אל</w:t>
      </w:r>
      <w:r>
        <w:rPr>
          <w:rFonts w:asciiTheme="minorBidi" w:hAnsiTheme="minorBidi"/>
          <w:rtl/>
        </w:rPr>
        <w:t>א ששים כנגד הטיפה</w:t>
      </w:r>
      <w:r>
        <w:rPr>
          <w:rFonts w:asciiTheme="minorBidi" w:hAnsiTheme="minorBidi" w:hint="cs"/>
          <w:rtl/>
        </w:rPr>
        <w:t>,</w:t>
      </w:r>
      <w:r>
        <w:rPr>
          <w:rFonts w:asciiTheme="minorBidi" w:hAnsiTheme="minorBidi"/>
          <w:rtl/>
        </w:rPr>
        <w:t xml:space="preserve"> שמפעפעת</w:t>
      </w:r>
      <w:r>
        <w:rPr>
          <w:rStyle w:val="a7"/>
          <w:rFonts w:asciiTheme="minorBidi" w:hAnsiTheme="minorBidi"/>
          <w:rtl/>
        </w:rPr>
        <w:footnoteReference w:id="1463"/>
      </w:r>
      <w:r>
        <w:rPr>
          <w:rFonts w:asciiTheme="minorBidi" w:hAnsiTheme="minorBidi"/>
          <w:rtl/>
        </w:rPr>
        <w:t xml:space="preserve"> לפנים והוי כאלו נפלה בתבשיל</w:t>
      </w:r>
      <w:r>
        <w:rPr>
          <w:rFonts w:asciiTheme="minorBidi" w:hAnsiTheme="minorBidi" w:hint="cs"/>
          <w:rtl/>
        </w:rPr>
        <w:t>,</w:t>
      </w:r>
      <w:r>
        <w:rPr>
          <w:rFonts w:asciiTheme="minorBidi" w:hAnsiTheme="minorBidi"/>
          <w:rtl/>
        </w:rPr>
        <w:t xml:space="preserve"> ואם נפלה במקום הריקן</w:t>
      </w:r>
      <w:r w:rsidRPr="003024E5">
        <w:rPr>
          <w:rFonts w:asciiTheme="minorBidi" w:hAnsiTheme="minorBidi"/>
          <w:rtl/>
        </w:rPr>
        <w:t xml:space="preserve"> והיא מפעפעת בדופן הקדירה עד סמוך</w:t>
      </w:r>
      <w:r>
        <w:rPr>
          <w:rFonts w:asciiTheme="minorBidi" w:hAnsiTheme="minorBidi"/>
          <w:rtl/>
        </w:rPr>
        <w:t xml:space="preserve"> לרוטב כל כך שאין ס' כנגד הטיפה הרי נאסר אותו מקום הקדירה</w:t>
      </w:r>
      <w:r>
        <w:rPr>
          <w:rFonts w:asciiTheme="minorBidi" w:hAnsiTheme="minorBidi" w:hint="cs"/>
          <w:rtl/>
        </w:rPr>
        <w:t>,</w:t>
      </w:r>
      <w:r w:rsidRPr="003024E5">
        <w:rPr>
          <w:rFonts w:asciiTheme="minorBidi" w:hAnsiTheme="minorBidi"/>
          <w:rtl/>
        </w:rPr>
        <w:t xml:space="preserve"> ואם יע</w:t>
      </w:r>
      <w:r>
        <w:rPr>
          <w:rFonts w:asciiTheme="minorBidi" w:hAnsiTheme="minorBidi"/>
          <w:rtl/>
        </w:rPr>
        <w:t>רה התבשיל דרך מקום הקדירה שנאסר הרי יאסר התבשיל</w:t>
      </w:r>
      <w:r>
        <w:rPr>
          <w:rStyle w:val="a7"/>
          <w:rFonts w:asciiTheme="minorBidi" w:hAnsiTheme="minorBidi"/>
          <w:rtl/>
        </w:rPr>
        <w:footnoteReference w:id="1464"/>
      </w:r>
      <w:r>
        <w:rPr>
          <w:rFonts w:asciiTheme="minorBidi" w:hAnsiTheme="minorBidi" w:hint="cs"/>
          <w:rtl/>
        </w:rPr>
        <w:t>,</w:t>
      </w:r>
      <w:r>
        <w:rPr>
          <w:rFonts w:asciiTheme="minorBidi" w:hAnsiTheme="minorBidi"/>
          <w:rtl/>
        </w:rPr>
        <w:t xml:space="preserve"> וזה תקנתו, שיניחנה כך</w:t>
      </w:r>
      <w:r w:rsidRPr="003024E5">
        <w:rPr>
          <w:rFonts w:asciiTheme="minorBidi" w:hAnsiTheme="minorBidi"/>
          <w:rtl/>
        </w:rPr>
        <w:t xml:space="preserve"> ולא יגע בה עד שתצטנן</w:t>
      </w:r>
      <w:r>
        <w:rPr>
          <w:rStyle w:val="a7"/>
          <w:rFonts w:asciiTheme="minorBidi" w:hAnsiTheme="minorBidi"/>
          <w:rtl/>
        </w:rPr>
        <w:footnoteReference w:id="1465"/>
      </w:r>
      <w:r w:rsidRPr="003024E5">
        <w:rPr>
          <w:rFonts w:asciiTheme="minorBidi" w:hAnsiTheme="minorBidi"/>
          <w:rtl/>
        </w:rPr>
        <w:t xml:space="preserve">. </w:t>
      </w:r>
      <w:r>
        <w:rPr>
          <w:rFonts w:asciiTheme="minorBidi" w:hAnsiTheme="minorBidi"/>
          <w:sz w:val="18"/>
          <w:szCs w:val="18"/>
          <w:rtl/>
        </w:rPr>
        <w:t>הגה: ודוקא אם הקדירה ישנה</w:t>
      </w:r>
      <w:r>
        <w:rPr>
          <w:rFonts w:asciiTheme="minorBidi" w:hAnsiTheme="minorBidi" w:hint="cs"/>
          <w:sz w:val="18"/>
          <w:szCs w:val="18"/>
          <w:rtl/>
        </w:rPr>
        <w:t>,</w:t>
      </w:r>
      <w:r>
        <w:rPr>
          <w:rFonts w:asciiTheme="minorBidi" w:hAnsiTheme="minorBidi"/>
          <w:sz w:val="18"/>
          <w:szCs w:val="18"/>
          <w:rtl/>
        </w:rPr>
        <w:t xml:space="preserve"> אבל אם היא חדשה</w:t>
      </w:r>
      <w:r w:rsidRPr="00EF7339">
        <w:rPr>
          <w:rFonts w:asciiTheme="minorBidi" w:hAnsiTheme="minorBidi"/>
          <w:sz w:val="18"/>
          <w:szCs w:val="18"/>
          <w:rtl/>
        </w:rPr>
        <w:t xml:space="preserve"> בכל ענין אין צריך ס' רק נגד הטיפה שנפלה עליה</w:t>
      </w:r>
      <w:r>
        <w:rPr>
          <w:rStyle w:val="a7"/>
          <w:rFonts w:asciiTheme="minorBidi" w:hAnsiTheme="minorBidi"/>
          <w:sz w:val="18"/>
          <w:szCs w:val="18"/>
          <w:rtl/>
        </w:rPr>
        <w:footnoteReference w:id="1466"/>
      </w:r>
      <w:r w:rsidRPr="00EF7339">
        <w:rPr>
          <w:rFonts w:asciiTheme="minorBidi" w:hAnsiTheme="minorBidi"/>
          <w:sz w:val="18"/>
          <w:szCs w:val="18"/>
          <w:rtl/>
        </w:rPr>
        <w:t>, כדלקמן סי</w:t>
      </w:r>
      <w:r>
        <w:rPr>
          <w:rFonts w:asciiTheme="minorBidi" w:hAnsiTheme="minorBidi" w:hint="cs"/>
          <w:sz w:val="18"/>
          <w:szCs w:val="18"/>
          <w:rtl/>
        </w:rPr>
        <w:t>'</w:t>
      </w:r>
      <w:r w:rsidRPr="00EF7339">
        <w:rPr>
          <w:rFonts w:asciiTheme="minorBidi" w:hAnsiTheme="minorBidi"/>
          <w:sz w:val="18"/>
          <w:szCs w:val="18"/>
          <w:rtl/>
        </w:rPr>
        <w:t xml:space="preserve"> צד גבי כף</w:t>
      </w:r>
      <w:r>
        <w:rPr>
          <w:rStyle w:val="a7"/>
          <w:rFonts w:asciiTheme="minorBidi" w:hAnsiTheme="minorBidi"/>
          <w:sz w:val="18"/>
          <w:szCs w:val="18"/>
          <w:rtl/>
        </w:rPr>
        <w:footnoteReference w:id="1467"/>
      </w:r>
      <w:r w:rsidRPr="00EF7339">
        <w:rPr>
          <w:rFonts w:asciiTheme="minorBidi" w:hAnsiTheme="minorBidi"/>
          <w:sz w:val="18"/>
          <w:szCs w:val="18"/>
          <w:rtl/>
        </w:rPr>
        <w:t>.</w:t>
      </w:r>
      <w:r w:rsidRPr="003024E5">
        <w:rPr>
          <w:rFonts w:asciiTheme="minorBidi" w:hAnsiTheme="minorBidi"/>
          <w:rtl/>
        </w:rPr>
        <w:t xml:space="preserve"> </w:t>
      </w:r>
    </w:p>
    <w:p w14:paraId="4C0DDB75" w14:textId="77777777" w:rsidR="002C39F4" w:rsidRPr="003024E5" w:rsidRDefault="002C39F4" w:rsidP="002C39F4">
      <w:pPr>
        <w:rPr>
          <w:rFonts w:asciiTheme="minorBidi" w:hAnsiTheme="minorBidi"/>
          <w:rtl/>
        </w:rPr>
      </w:pPr>
    </w:p>
    <w:p w14:paraId="4AA90739"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xml:space="preserve">: </w:t>
      </w:r>
      <w:r w:rsidRPr="002B47E6">
        <w:rPr>
          <w:rFonts w:cs="Arial"/>
          <w:rtl/>
        </w:rPr>
        <w:t>טיפת חלב שנפלה על הקדרה שאצל האש מבחוץ</w:t>
      </w:r>
      <w:r>
        <w:rPr>
          <w:rFonts w:cs="Arial" w:hint="cs"/>
          <w:rtl/>
        </w:rPr>
        <w:t xml:space="preserve"> - כנגד האש.</w:t>
      </w:r>
    </w:p>
    <w:p w14:paraId="5186E8E0" w14:textId="77777777" w:rsidR="002C39F4" w:rsidRPr="0069112E" w:rsidRDefault="002C39F4" w:rsidP="002C39F4">
      <w:pPr>
        <w:rPr>
          <w:u w:val="single"/>
          <w:rtl/>
        </w:rPr>
      </w:pPr>
      <w:r w:rsidRPr="0069112E">
        <w:rPr>
          <w:rFonts w:hint="cs"/>
          <w:u w:val="single"/>
          <w:rtl/>
        </w:rPr>
        <w:t xml:space="preserve">קדרה שעל האש שנפלה עליה טיפת חלב מבחוץ </w:t>
      </w:r>
      <w:r w:rsidRPr="008F60AF">
        <w:rPr>
          <w:rFonts w:hint="cs"/>
          <w:b/>
          <w:bCs/>
          <w:u w:val="single"/>
          <w:rtl/>
        </w:rPr>
        <w:t>כנגד האש</w:t>
      </w:r>
      <w:r w:rsidRPr="0069112E">
        <w:rPr>
          <w:rFonts w:hint="cs"/>
          <w:u w:val="single"/>
          <w:rtl/>
        </w:rPr>
        <w:t>:</w:t>
      </w:r>
    </w:p>
    <w:p w14:paraId="3FA0CB0B" w14:textId="77777777" w:rsidR="002C39F4" w:rsidRDefault="002C39F4" w:rsidP="0032102C">
      <w:pPr>
        <w:pStyle w:val="a8"/>
        <w:numPr>
          <w:ilvl w:val="0"/>
          <w:numId w:val="114"/>
        </w:numPr>
      </w:pPr>
      <w:r w:rsidRPr="0069112E">
        <w:rPr>
          <w:rFonts w:cs="Arial"/>
          <w:rtl/>
        </w:rPr>
        <w:t xml:space="preserve">סמ"ק </w:t>
      </w:r>
      <w:r w:rsidRPr="0069112E">
        <w:rPr>
          <w:rFonts w:cs="Arial" w:hint="cs"/>
          <w:rtl/>
        </w:rPr>
        <w:t>מרדכי</w:t>
      </w:r>
      <w:r>
        <w:rPr>
          <w:rFonts w:cs="Arial" w:hint="cs"/>
          <w:rtl/>
        </w:rPr>
        <w:t xml:space="preserve"> </w:t>
      </w:r>
      <w:r w:rsidRPr="0069112E">
        <w:rPr>
          <w:rFonts w:cs="Arial"/>
          <w:rtl/>
        </w:rPr>
        <w:t>הגה</w:t>
      </w:r>
      <w:r w:rsidRPr="0069112E">
        <w:rPr>
          <w:rFonts w:cs="Arial" w:hint="cs"/>
          <w:rtl/>
        </w:rPr>
        <w:t>"</w:t>
      </w:r>
      <w:r w:rsidRPr="0069112E">
        <w:rPr>
          <w:rFonts w:cs="Arial"/>
          <w:rtl/>
        </w:rPr>
        <w:t xml:space="preserve">מ </w:t>
      </w:r>
      <w:r w:rsidRPr="0069112E">
        <w:rPr>
          <w:rFonts w:cs="Arial" w:hint="cs"/>
          <w:rtl/>
        </w:rPr>
        <w:t>טור</w:t>
      </w:r>
      <w:r w:rsidRPr="004A2D15">
        <w:rPr>
          <w:rFonts w:cs="Arial" w:hint="cs"/>
          <w:rtl/>
        </w:rPr>
        <w:t xml:space="preserve"> </w:t>
      </w:r>
      <w:r>
        <w:rPr>
          <w:rFonts w:cs="Arial" w:hint="cs"/>
          <w:rtl/>
        </w:rPr>
        <w:t>ו</w:t>
      </w:r>
      <w:r w:rsidRPr="0069112E">
        <w:rPr>
          <w:rFonts w:cs="Arial"/>
          <w:rtl/>
        </w:rPr>
        <w:t>אגור</w:t>
      </w:r>
      <w:r>
        <w:rPr>
          <w:rStyle w:val="a7"/>
          <w:rFonts w:cs="Arial"/>
          <w:rtl/>
        </w:rPr>
        <w:footnoteReference w:id="1468"/>
      </w:r>
      <w:r w:rsidRPr="0069112E">
        <w:rPr>
          <w:rFonts w:cs="Arial" w:hint="cs"/>
          <w:rtl/>
        </w:rPr>
        <w:t xml:space="preserve">- </w:t>
      </w:r>
      <w:r w:rsidRPr="0069112E">
        <w:rPr>
          <w:rFonts w:cs="Arial"/>
          <w:rtl/>
        </w:rPr>
        <w:t>נהגו העולם לאסור כשנופלת על הדופן שלא כנגד הרוטב</w:t>
      </w:r>
      <w:r>
        <w:rPr>
          <w:rFonts w:cs="Arial" w:hint="cs"/>
          <w:rtl/>
        </w:rPr>
        <w:t>,</w:t>
      </w:r>
      <w:r w:rsidRPr="0069112E">
        <w:rPr>
          <w:rFonts w:cs="Arial"/>
          <w:rtl/>
        </w:rPr>
        <w:t xml:space="preserve"> ודוקא כשנפל באותו צד שאינו כנגד האש אבל אם נפל כנגד האש מותר שהאש שורפו ומייבשו</w:t>
      </w:r>
      <w:r>
        <w:rPr>
          <w:rFonts w:cs="Arial" w:hint="cs"/>
          <w:rtl/>
        </w:rPr>
        <w:t>,</w:t>
      </w:r>
      <w:r w:rsidRPr="0069112E">
        <w:rPr>
          <w:rFonts w:cs="Arial"/>
          <w:rtl/>
        </w:rPr>
        <w:t xml:space="preserve"> ודוקא בדבר מועט כגון טיפה אבל אם נפל הרבה אין להתי</w:t>
      </w:r>
      <w:r>
        <w:rPr>
          <w:rFonts w:cs="Arial"/>
          <w:rtl/>
        </w:rPr>
        <w:t>ר אפי' אם נפל כנגד האש אא</w:t>
      </w:r>
      <w:r>
        <w:rPr>
          <w:rFonts w:cs="Arial" w:hint="cs"/>
          <w:rtl/>
        </w:rPr>
        <w:t>"</w:t>
      </w:r>
      <w:r>
        <w:rPr>
          <w:rFonts w:cs="Arial"/>
          <w:rtl/>
        </w:rPr>
        <w:t>כ כנגד הרוטב ו</w:t>
      </w:r>
      <w:r>
        <w:rPr>
          <w:rFonts w:cs="Arial" w:hint="cs"/>
          <w:rtl/>
        </w:rPr>
        <w:t>ע"</w:t>
      </w:r>
      <w:r w:rsidRPr="0069112E">
        <w:rPr>
          <w:rFonts w:cs="Arial"/>
          <w:rtl/>
        </w:rPr>
        <w:t xml:space="preserve">י </w:t>
      </w:r>
      <w:r>
        <w:rPr>
          <w:rFonts w:cs="Arial" w:hint="cs"/>
          <w:rtl/>
        </w:rPr>
        <w:t>ס'</w:t>
      </w:r>
      <w:r>
        <w:rPr>
          <w:rFonts w:cs="Arial" w:hint="cs"/>
          <w:sz w:val="16"/>
          <w:szCs w:val="16"/>
          <w:rtl/>
        </w:rPr>
        <w:t xml:space="preserve"> (ל' הטור)</w:t>
      </w:r>
      <w:r>
        <w:rPr>
          <w:rFonts w:hint="cs"/>
          <w:rtl/>
        </w:rPr>
        <w:t xml:space="preserve">. </w:t>
      </w:r>
      <w:r w:rsidRPr="00F1398A">
        <w:rPr>
          <w:rFonts w:cs="Arial" w:hint="cs"/>
          <w:color w:val="E36C0A" w:themeColor="accent6" w:themeShade="BF"/>
          <w:rtl/>
        </w:rPr>
        <w:t>(וכ"פ בשו"ע)</w:t>
      </w:r>
    </w:p>
    <w:p w14:paraId="169A2D88" w14:textId="77777777" w:rsidR="002C39F4" w:rsidRPr="00983628" w:rsidRDefault="002C39F4" w:rsidP="002C39F4">
      <w:pPr>
        <w:rPr>
          <w:sz w:val="16"/>
          <w:szCs w:val="16"/>
          <w:u w:val="single"/>
        </w:rPr>
      </w:pPr>
      <w:r>
        <w:rPr>
          <w:rFonts w:hint="cs"/>
          <w:u w:val="single"/>
          <w:rtl/>
        </w:rPr>
        <w:t xml:space="preserve">במקרה שנפלה טיפה וכו' והתבשיל מותר </w:t>
      </w:r>
      <w:r>
        <w:rPr>
          <w:rFonts w:hint="cs"/>
          <w:sz w:val="16"/>
          <w:szCs w:val="16"/>
          <w:u w:val="single"/>
          <w:rtl/>
        </w:rPr>
        <w:t>(כל אחד לפי שיטתו)</w:t>
      </w:r>
      <w:r>
        <w:rPr>
          <w:rFonts w:hint="cs"/>
          <w:u w:val="single"/>
          <w:rtl/>
        </w:rPr>
        <w:t xml:space="preserve"> - </w:t>
      </w:r>
      <w:r w:rsidRPr="008C76B1">
        <w:rPr>
          <w:rFonts w:hint="cs"/>
          <w:u w:val="single"/>
          <w:rtl/>
        </w:rPr>
        <w:t xml:space="preserve">מה דין </w:t>
      </w:r>
      <w:r w:rsidRPr="008C76B1">
        <w:rPr>
          <w:u w:val="single"/>
          <w:rtl/>
        </w:rPr>
        <w:t>הקדרה</w:t>
      </w:r>
      <w:r w:rsidRPr="008C76B1">
        <w:rPr>
          <w:rFonts w:hint="cs"/>
          <w:u w:val="single"/>
          <w:rtl/>
        </w:rPr>
        <w:t>:</w:t>
      </w:r>
      <w:r w:rsidRPr="00983628">
        <w:rPr>
          <w:rFonts w:hint="cs"/>
          <w:sz w:val="16"/>
          <w:szCs w:val="16"/>
          <w:rtl/>
        </w:rPr>
        <w:t xml:space="preserve">  </w:t>
      </w:r>
    </w:p>
    <w:p w14:paraId="33D1674A" w14:textId="77777777" w:rsidR="002C39F4" w:rsidRPr="00A74A2C" w:rsidRDefault="002C39F4" w:rsidP="0032102C">
      <w:pPr>
        <w:pStyle w:val="a8"/>
        <w:numPr>
          <w:ilvl w:val="0"/>
          <w:numId w:val="114"/>
        </w:numPr>
        <w:rPr>
          <w:rtl/>
        </w:rPr>
      </w:pPr>
      <w:r>
        <w:rPr>
          <w:rtl/>
        </w:rPr>
        <w:t>מהר"</w:t>
      </w:r>
      <w:r>
        <w:rPr>
          <w:rFonts w:hint="cs"/>
          <w:rtl/>
        </w:rPr>
        <w:t>ם</w:t>
      </w:r>
      <w:r w:rsidRPr="00A74A2C">
        <w:rPr>
          <w:rtl/>
        </w:rPr>
        <w:t xml:space="preserve"> </w:t>
      </w:r>
      <w:r>
        <w:rPr>
          <w:rtl/>
        </w:rPr>
        <w:t>הגה</w:t>
      </w:r>
      <w:r>
        <w:rPr>
          <w:rFonts w:hint="cs"/>
          <w:rtl/>
        </w:rPr>
        <w:t>"מ ואו</w:t>
      </w:r>
      <w:r>
        <w:rPr>
          <w:rtl/>
        </w:rPr>
        <w:t>"</w:t>
      </w:r>
      <w:r>
        <w:rPr>
          <w:rFonts w:hint="cs"/>
          <w:rtl/>
        </w:rPr>
        <w:t>ה</w:t>
      </w:r>
      <w:r>
        <w:rPr>
          <w:rStyle w:val="a7"/>
          <w:rtl/>
        </w:rPr>
        <w:footnoteReference w:id="1469"/>
      </w:r>
      <w:r>
        <w:rPr>
          <w:rFonts w:hint="cs"/>
          <w:rtl/>
        </w:rPr>
        <w:t xml:space="preserve">- </w:t>
      </w:r>
      <w:r w:rsidRPr="00A74A2C">
        <w:rPr>
          <w:rtl/>
        </w:rPr>
        <w:t>הקדרה אסורה</w:t>
      </w:r>
      <w:r>
        <w:rPr>
          <w:rFonts w:hint="cs"/>
          <w:rtl/>
        </w:rPr>
        <w:t xml:space="preserve"> </w:t>
      </w:r>
      <w:r>
        <w:rPr>
          <w:rFonts w:hint="cs"/>
          <w:sz w:val="16"/>
          <w:szCs w:val="16"/>
          <w:rtl/>
        </w:rPr>
        <w:t>(</w:t>
      </w:r>
      <w:r w:rsidRPr="00983628">
        <w:rPr>
          <w:sz w:val="16"/>
          <w:szCs w:val="16"/>
          <w:rtl/>
        </w:rPr>
        <w:t>ויערה מיד התבשיל בצד הא</w:t>
      </w:r>
      <w:r w:rsidRPr="00983628">
        <w:rPr>
          <w:rFonts w:hint="cs"/>
          <w:sz w:val="16"/>
          <w:szCs w:val="16"/>
          <w:rtl/>
        </w:rPr>
        <w:t>חר</w:t>
      </w:r>
      <w:r>
        <w:rPr>
          <w:rFonts w:hint="cs"/>
          <w:sz w:val="16"/>
          <w:szCs w:val="16"/>
          <w:rtl/>
        </w:rPr>
        <w:t>)</w:t>
      </w:r>
      <w:r w:rsidRPr="00AB46EF">
        <w:rPr>
          <w:rStyle w:val="a7"/>
          <w:rtl/>
        </w:rPr>
        <w:footnoteReference w:id="1470"/>
      </w:r>
      <w:r>
        <w:rPr>
          <w:rFonts w:hint="cs"/>
          <w:rtl/>
        </w:rPr>
        <w:t>.</w:t>
      </w:r>
      <w:r w:rsidRPr="00983628">
        <w:rPr>
          <w:rFonts w:hint="cs"/>
          <w:color w:val="00B0F0"/>
          <w:rtl/>
        </w:rPr>
        <w:t xml:space="preserve"> </w:t>
      </w:r>
      <w:r w:rsidRPr="00B35927">
        <w:rPr>
          <w:rFonts w:hint="cs"/>
          <w:color w:val="00B0F0"/>
          <w:rtl/>
        </w:rPr>
        <w:t>(וכ"פ הרמ"א</w:t>
      </w:r>
      <w:r>
        <w:rPr>
          <w:rFonts w:hint="cs"/>
          <w:sz w:val="16"/>
          <w:szCs w:val="16"/>
          <w:rtl/>
        </w:rPr>
        <w:t xml:space="preserve"> [כאן</w:t>
      </w:r>
      <w:r w:rsidRPr="00AB46EF">
        <w:rPr>
          <w:rFonts w:hint="cs"/>
          <w:sz w:val="16"/>
          <w:szCs w:val="16"/>
          <w:rtl/>
        </w:rPr>
        <w:t xml:space="preserve"> ובת"ח </w:t>
      </w:r>
      <w:r w:rsidRPr="00AB46EF">
        <w:rPr>
          <w:sz w:val="16"/>
          <w:szCs w:val="16"/>
          <w:rtl/>
        </w:rPr>
        <w:t>כלל נו</w:t>
      </w:r>
      <w:r w:rsidRPr="00AB46EF">
        <w:rPr>
          <w:rFonts w:hint="cs"/>
          <w:sz w:val="16"/>
          <w:szCs w:val="16"/>
          <w:rtl/>
        </w:rPr>
        <w:t>]</w:t>
      </w:r>
      <w:r w:rsidRPr="00B35927">
        <w:rPr>
          <w:rFonts w:hint="cs"/>
          <w:color w:val="00B0F0"/>
          <w:rtl/>
        </w:rPr>
        <w:t>)</w:t>
      </w:r>
      <w:r w:rsidRPr="00983628">
        <w:rPr>
          <w:rFonts w:hint="cs"/>
          <w:sz w:val="14"/>
          <w:szCs w:val="14"/>
          <w:rtl/>
        </w:rPr>
        <w:t xml:space="preserve"> </w:t>
      </w:r>
      <w:r>
        <w:rPr>
          <w:rFonts w:hint="cs"/>
          <w:rtl/>
        </w:rPr>
        <w:t xml:space="preserve"> </w:t>
      </w:r>
    </w:p>
    <w:p w14:paraId="03745428" w14:textId="77777777" w:rsidR="002C39F4" w:rsidRPr="00AB46EF" w:rsidRDefault="002C39F4" w:rsidP="0032102C">
      <w:pPr>
        <w:pStyle w:val="a8"/>
        <w:numPr>
          <w:ilvl w:val="0"/>
          <w:numId w:val="114"/>
        </w:numPr>
      </w:pPr>
      <w:r>
        <w:rPr>
          <w:rtl/>
        </w:rPr>
        <w:t xml:space="preserve">רש"ל </w:t>
      </w:r>
      <w:r w:rsidRPr="00B35927">
        <w:rPr>
          <w:rFonts w:hint="cs"/>
          <w:sz w:val="16"/>
          <w:szCs w:val="16"/>
          <w:rtl/>
        </w:rPr>
        <w:t>(</w:t>
      </w:r>
      <w:r w:rsidRPr="00B35927">
        <w:rPr>
          <w:sz w:val="16"/>
          <w:szCs w:val="16"/>
          <w:rtl/>
        </w:rPr>
        <w:t>פג</w:t>
      </w:r>
      <w:r w:rsidRPr="00B35927">
        <w:rPr>
          <w:rFonts w:hint="cs"/>
          <w:sz w:val="16"/>
          <w:szCs w:val="16"/>
          <w:rtl/>
        </w:rPr>
        <w:t>"</w:t>
      </w:r>
      <w:r w:rsidRPr="00B35927">
        <w:rPr>
          <w:sz w:val="16"/>
          <w:szCs w:val="16"/>
          <w:rtl/>
        </w:rPr>
        <w:t>ה סי</w:t>
      </w:r>
      <w:r w:rsidRPr="00B35927">
        <w:rPr>
          <w:rFonts w:hint="cs"/>
          <w:sz w:val="16"/>
          <w:szCs w:val="16"/>
          <w:rtl/>
        </w:rPr>
        <w:t>'</w:t>
      </w:r>
      <w:r w:rsidRPr="00B35927">
        <w:rPr>
          <w:sz w:val="16"/>
          <w:szCs w:val="16"/>
          <w:rtl/>
        </w:rPr>
        <w:t xml:space="preserve"> לז</w:t>
      </w:r>
      <w:r w:rsidRPr="00B35927">
        <w:rPr>
          <w:rFonts w:hint="cs"/>
          <w:sz w:val="16"/>
          <w:szCs w:val="16"/>
          <w:rtl/>
        </w:rPr>
        <w:t>)</w:t>
      </w:r>
      <w:r>
        <w:rPr>
          <w:rFonts w:hint="cs"/>
          <w:rtl/>
        </w:rPr>
        <w:t>-</w:t>
      </w:r>
      <w:r w:rsidRPr="0032355C">
        <w:rPr>
          <w:rtl/>
        </w:rPr>
        <w:t xml:space="preserve"> אף הקדירה מותר מן הדין לבשל בה בשר עוד אלא שלכתחלה אסורה להשתמש בה אפילו בשר שנראה כאילו נאסר בחלב</w:t>
      </w:r>
      <w:r w:rsidRPr="00B35927">
        <w:rPr>
          <w:rFonts w:hint="cs"/>
          <w:sz w:val="16"/>
          <w:szCs w:val="16"/>
          <w:rtl/>
        </w:rPr>
        <w:t xml:space="preserve"> (ל' רש"ל)</w:t>
      </w:r>
      <w:r>
        <w:rPr>
          <w:rFonts w:hint="cs"/>
          <w:rtl/>
        </w:rPr>
        <w:t>.</w:t>
      </w:r>
      <w:r w:rsidRPr="00B35927">
        <w:rPr>
          <w:rFonts w:hint="cs"/>
          <w:sz w:val="16"/>
          <w:szCs w:val="16"/>
          <w:rtl/>
        </w:rPr>
        <w:t xml:space="preserve"> </w:t>
      </w:r>
      <w:r>
        <w:rPr>
          <w:rFonts w:hint="cs"/>
          <w:rtl/>
        </w:rPr>
        <w:t xml:space="preserve">(וכ"פ הט"ז </w:t>
      </w:r>
      <w:r>
        <w:rPr>
          <w:rFonts w:hint="cs"/>
          <w:sz w:val="16"/>
          <w:szCs w:val="16"/>
          <w:rtl/>
        </w:rPr>
        <w:t>[</w:t>
      </w:r>
      <w:r w:rsidRPr="00B35927">
        <w:rPr>
          <w:rFonts w:hint="cs"/>
          <w:sz w:val="16"/>
          <w:szCs w:val="16"/>
          <w:rtl/>
        </w:rPr>
        <w:t>סקי"ז</w:t>
      </w:r>
      <w:r>
        <w:rPr>
          <w:rFonts w:hint="cs"/>
          <w:sz w:val="16"/>
          <w:szCs w:val="16"/>
          <w:rtl/>
        </w:rPr>
        <w:t>]</w:t>
      </w:r>
      <w:r>
        <w:rPr>
          <w:rFonts w:hint="cs"/>
          <w:rtl/>
        </w:rPr>
        <w:t>)</w:t>
      </w:r>
      <w:r>
        <w:rPr>
          <w:rStyle w:val="a7"/>
          <w:rFonts w:cs="Arial"/>
          <w:rtl/>
        </w:rPr>
        <w:footnoteReference w:id="1471"/>
      </w:r>
      <w:r w:rsidRPr="008F60AF">
        <w:rPr>
          <w:rFonts w:cs="Arial" w:hint="cs"/>
          <w:rtl/>
        </w:rPr>
        <w:t>.</w:t>
      </w:r>
      <w:r>
        <w:rPr>
          <w:rFonts w:hint="cs"/>
          <w:rtl/>
        </w:rPr>
        <w:t xml:space="preserve"> </w:t>
      </w:r>
    </w:p>
    <w:p w14:paraId="20CD46F1" w14:textId="77777777" w:rsidR="002C39F4" w:rsidRPr="00AB46EF" w:rsidRDefault="002C39F4" w:rsidP="0032102C">
      <w:pPr>
        <w:pStyle w:val="a8"/>
        <w:numPr>
          <w:ilvl w:val="0"/>
          <w:numId w:val="114"/>
        </w:numPr>
        <w:rPr>
          <w:rtl/>
        </w:rPr>
      </w:pPr>
      <w:r w:rsidRPr="00AB46EF">
        <w:rPr>
          <w:rFonts w:hint="cs"/>
          <w:rtl/>
        </w:rPr>
        <w:t xml:space="preserve">הרב ברדוגו </w:t>
      </w:r>
      <w:r w:rsidRPr="00AB46EF">
        <w:rPr>
          <w:rFonts w:hint="cs"/>
          <w:sz w:val="16"/>
          <w:szCs w:val="16"/>
          <w:rtl/>
        </w:rPr>
        <w:t>(הביאו במזרח שמש)</w:t>
      </w:r>
      <w:r w:rsidRPr="00AB46EF">
        <w:rPr>
          <w:rFonts w:hint="cs"/>
          <w:rtl/>
        </w:rPr>
        <w:t>- מותר לכתחילה</w:t>
      </w:r>
      <w:r>
        <w:rPr>
          <w:rStyle w:val="a7"/>
          <w:rtl/>
        </w:rPr>
        <w:footnoteReference w:id="1472"/>
      </w:r>
      <w:r w:rsidRPr="00AB46EF">
        <w:rPr>
          <w:rFonts w:hint="cs"/>
          <w:rtl/>
        </w:rPr>
        <w:t>.</w:t>
      </w:r>
    </w:p>
    <w:p w14:paraId="7E275F2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77AE9BC" w14:textId="77777777" w:rsidR="002C39F4" w:rsidRDefault="002C39F4" w:rsidP="002C39F4">
      <w:pPr>
        <w:rPr>
          <w:rFonts w:asciiTheme="minorBidi" w:hAnsiTheme="minorBidi"/>
          <w:rtl/>
        </w:rPr>
      </w:pPr>
      <w:r w:rsidRPr="003024E5">
        <w:rPr>
          <w:rFonts w:asciiTheme="minorBidi" w:hAnsiTheme="minorBidi"/>
          <w:rtl/>
        </w:rPr>
        <w:t>נהגו העולם לאסור</w:t>
      </w:r>
      <w:r>
        <w:rPr>
          <w:rFonts w:asciiTheme="minorBidi" w:hAnsiTheme="minorBidi"/>
          <w:rtl/>
        </w:rPr>
        <w:t xml:space="preserve"> כשנפלה על הדופן שלא כנגד הרוטב</w:t>
      </w:r>
      <w:r>
        <w:rPr>
          <w:rStyle w:val="a7"/>
          <w:rFonts w:asciiTheme="minorBidi" w:hAnsiTheme="minorBidi"/>
          <w:rtl/>
        </w:rPr>
        <w:footnoteReference w:id="1473"/>
      </w:r>
      <w:r>
        <w:rPr>
          <w:rFonts w:asciiTheme="minorBidi" w:hAnsiTheme="minorBidi" w:hint="cs"/>
          <w:rtl/>
        </w:rPr>
        <w:t>,</w:t>
      </w:r>
      <w:r w:rsidRPr="003024E5">
        <w:rPr>
          <w:rFonts w:asciiTheme="minorBidi" w:hAnsiTheme="minorBidi"/>
          <w:rtl/>
        </w:rPr>
        <w:t xml:space="preserve"> ודוק</w:t>
      </w:r>
      <w:r>
        <w:rPr>
          <w:rFonts w:asciiTheme="minorBidi" w:hAnsiTheme="minorBidi"/>
          <w:rtl/>
        </w:rPr>
        <w:t>א כשנפל באותו צד שאינו כנגד האש</w:t>
      </w:r>
      <w:r w:rsidRPr="003024E5">
        <w:rPr>
          <w:rFonts w:asciiTheme="minorBidi" w:hAnsiTheme="minorBidi"/>
          <w:rtl/>
        </w:rPr>
        <w:t xml:space="preserve"> אבל אם נפל כנגד האש</w:t>
      </w:r>
      <w:r>
        <w:rPr>
          <w:rFonts w:asciiTheme="minorBidi" w:hAnsiTheme="minorBidi"/>
          <w:rtl/>
        </w:rPr>
        <w:t xml:space="preserve"> מותר שהאש שורפו ומייבשו</w:t>
      </w:r>
      <w:r>
        <w:rPr>
          <w:rStyle w:val="a7"/>
          <w:rFonts w:asciiTheme="minorBidi" w:hAnsiTheme="minorBidi"/>
          <w:rtl/>
        </w:rPr>
        <w:footnoteReference w:id="1474"/>
      </w:r>
      <w:r>
        <w:rPr>
          <w:rFonts w:asciiTheme="minorBidi" w:hAnsiTheme="minorBidi"/>
          <w:rtl/>
        </w:rPr>
        <w:t xml:space="preserve"> </w:t>
      </w:r>
      <w:r w:rsidRPr="00227810">
        <w:rPr>
          <w:rFonts w:asciiTheme="minorBidi" w:hAnsiTheme="minorBidi" w:hint="cs"/>
          <w:sz w:val="18"/>
          <w:szCs w:val="18"/>
          <w:rtl/>
        </w:rPr>
        <w:t xml:space="preserve">[הגה] </w:t>
      </w:r>
      <w:r w:rsidRPr="00227810">
        <w:rPr>
          <w:rFonts w:asciiTheme="minorBidi" w:hAnsiTheme="minorBidi"/>
          <w:sz w:val="18"/>
          <w:szCs w:val="18"/>
          <w:rtl/>
        </w:rPr>
        <w:t xml:space="preserve">ואז הקדירה נמי שרי </w:t>
      </w:r>
      <w:r w:rsidRPr="00227810">
        <w:rPr>
          <w:rFonts w:asciiTheme="minorBidi" w:hAnsiTheme="minorBidi"/>
          <w:sz w:val="16"/>
          <w:szCs w:val="16"/>
          <w:rtl/>
        </w:rPr>
        <w:t>(הגש</w:t>
      </w:r>
      <w:r w:rsidRPr="00227810">
        <w:rPr>
          <w:rFonts w:asciiTheme="minorBidi" w:hAnsiTheme="minorBidi" w:hint="cs"/>
          <w:sz w:val="16"/>
          <w:szCs w:val="16"/>
          <w:rtl/>
        </w:rPr>
        <w:t>ע</w:t>
      </w:r>
      <w:r w:rsidRPr="00227810">
        <w:rPr>
          <w:rFonts w:asciiTheme="minorBidi" w:hAnsiTheme="minorBidi"/>
          <w:sz w:val="16"/>
          <w:szCs w:val="16"/>
          <w:rtl/>
        </w:rPr>
        <w:t>"ד וארוך)</w:t>
      </w:r>
      <w:r w:rsidRPr="00227810">
        <w:rPr>
          <w:rFonts w:asciiTheme="minorBidi" w:hAnsiTheme="minorBidi"/>
          <w:sz w:val="18"/>
          <w:szCs w:val="18"/>
          <w:rtl/>
        </w:rPr>
        <w:t>.</w:t>
      </w:r>
      <w:r>
        <w:rPr>
          <w:rFonts w:asciiTheme="minorBidi" w:hAnsiTheme="minorBidi"/>
          <w:rtl/>
        </w:rPr>
        <w:t xml:space="preserve"> ודוקא בדבר מועט כגון טיפה אבל אם נפל הרבה</w:t>
      </w:r>
      <w:r w:rsidRPr="003024E5">
        <w:rPr>
          <w:rFonts w:asciiTheme="minorBidi" w:hAnsiTheme="minorBidi"/>
          <w:rtl/>
        </w:rPr>
        <w:t xml:space="preserve"> אין להתיר אפי</w:t>
      </w:r>
      <w:r>
        <w:rPr>
          <w:rFonts w:asciiTheme="minorBidi" w:hAnsiTheme="minorBidi"/>
          <w:rtl/>
        </w:rPr>
        <w:t>לו אם נפל כנגד האש</w:t>
      </w:r>
      <w:r w:rsidRPr="003024E5">
        <w:rPr>
          <w:rFonts w:asciiTheme="minorBidi" w:hAnsiTheme="minorBidi"/>
          <w:rtl/>
        </w:rPr>
        <w:t xml:space="preserve"> א</w:t>
      </w:r>
      <w:r>
        <w:rPr>
          <w:rFonts w:asciiTheme="minorBidi" w:hAnsiTheme="minorBidi" w:hint="cs"/>
          <w:rtl/>
        </w:rPr>
        <w:t>ל</w:t>
      </w:r>
      <w:r w:rsidRPr="003024E5">
        <w:rPr>
          <w:rFonts w:asciiTheme="minorBidi" w:hAnsiTheme="minorBidi"/>
          <w:rtl/>
        </w:rPr>
        <w:t>א</w:t>
      </w:r>
      <w:r>
        <w:rPr>
          <w:rFonts w:asciiTheme="minorBidi" w:hAnsiTheme="minorBidi" w:hint="cs"/>
          <w:rtl/>
        </w:rPr>
        <w:t xml:space="preserve"> אם </w:t>
      </w:r>
      <w:r w:rsidRPr="003024E5">
        <w:rPr>
          <w:rFonts w:asciiTheme="minorBidi" w:hAnsiTheme="minorBidi"/>
          <w:rtl/>
        </w:rPr>
        <w:t>כ</w:t>
      </w:r>
      <w:r>
        <w:rPr>
          <w:rFonts w:asciiTheme="minorBidi" w:hAnsiTheme="minorBidi" w:hint="cs"/>
          <w:rtl/>
        </w:rPr>
        <w:t>ן</w:t>
      </w:r>
      <w:r>
        <w:rPr>
          <w:rFonts w:asciiTheme="minorBidi" w:hAnsiTheme="minorBidi"/>
          <w:rtl/>
        </w:rPr>
        <w:t xml:space="preserve"> כנגד הרוטב וע</w:t>
      </w:r>
      <w:r>
        <w:rPr>
          <w:rFonts w:asciiTheme="minorBidi" w:hAnsiTheme="minorBidi" w:hint="cs"/>
          <w:rtl/>
        </w:rPr>
        <w:t>ל יד</w:t>
      </w:r>
      <w:r w:rsidRPr="003024E5">
        <w:rPr>
          <w:rFonts w:asciiTheme="minorBidi" w:hAnsiTheme="minorBidi"/>
          <w:rtl/>
        </w:rPr>
        <w:t xml:space="preserve">י ששים. </w:t>
      </w:r>
      <w:r w:rsidRPr="00227810">
        <w:rPr>
          <w:rFonts w:asciiTheme="minorBidi" w:hAnsiTheme="minorBidi"/>
          <w:sz w:val="18"/>
          <w:szCs w:val="18"/>
          <w:rtl/>
        </w:rPr>
        <w:t>הגה: ואז הקדירה הוי אסורה אפילו יש ס' בתבשיל נגד הטיפה שנפלה</w:t>
      </w:r>
      <w:r>
        <w:rPr>
          <w:rStyle w:val="a7"/>
          <w:rFonts w:asciiTheme="minorBidi" w:hAnsiTheme="minorBidi"/>
          <w:sz w:val="18"/>
          <w:szCs w:val="18"/>
          <w:rtl/>
        </w:rPr>
        <w:footnoteReference w:id="1475"/>
      </w:r>
      <w:r w:rsidRPr="00227810">
        <w:rPr>
          <w:rFonts w:asciiTheme="minorBidi" w:hAnsiTheme="minorBidi"/>
          <w:sz w:val="18"/>
          <w:szCs w:val="18"/>
          <w:rtl/>
        </w:rPr>
        <w:t>, ויערה מיד התב</w:t>
      </w:r>
      <w:r>
        <w:rPr>
          <w:rFonts w:asciiTheme="minorBidi" w:hAnsiTheme="minorBidi"/>
          <w:sz w:val="18"/>
          <w:szCs w:val="18"/>
          <w:rtl/>
        </w:rPr>
        <w:t>שיל ממנו בצד אחר שלא כנגד הטיפה</w:t>
      </w:r>
      <w:r>
        <w:rPr>
          <w:rStyle w:val="a7"/>
          <w:rFonts w:asciiTheme="minorBidi" w:hAnsiTheme="minorBidi"/>
          <w:sz w:val="18"/>
          <w:szCs w:val="18"/>
          <w:rtl/>
        </w:rPr>
        <w:footnoteReference w:id="1476"/>
      </w:r>
      <w:r>
        <w:rPr>
          <w:rFonts w:asciiTheme="minorBidi" w:hAnsiTheme="minorBidi" w:hint="cs"/>
          <w:sz w:val="18"/>
          <w:szCs w:val="18"/>
          <w:rtl/>
        </w:rPr>
        <w:t>,</w:t>
      </w:r>
      <w:r>
        <w:rPr>
          <w:rFonts w:asciiTheme="minorBidi" w:hAnsiTheme="minorBidi"/>
          <w:sz w:val="18"/>
          <w:szCs w:val="18"/>
          <w:rtl/>
        </w:rPr>
        <w:t xml:space="preserve"> ואם בשלו בקדירה תבשיל אחר</w:t>
      </w:r>
      <w:r w:rsidRPr="00227810">
        <w:rPr>
          <w:rFonts w:asciiTheme="minorBidi" w:hAnsiTheme="minorBidi"/>
          <w:sz w:val="18"/>
          <w:szCs w:val="18"/>
          <w:rtl/>
        </w:rPr>
        <w:t xml:space="preserve"> דינ</w:t>
      </w:r>
      <w:r>
        <w:rPr>
          <w:rFonts w:asciiTheme="minorBidi" w:hAnsiTheme="minorBidi"/>
          <w:sz w:val="18"/>
          <w:szCs w:val="18"/>
          <w:rtl/>
        </w:rPr>
        <w:t xml:space="preserve">ו כמו בפעם הראשון. </w:t>
      </w:r>
      <w:r w:rsidRPr="00227810">
        <w:rPr>
          <w:rFonts w:asciiTheme="minorBidi" w:hAnsiTheme="minorBidi"/>
          <w:sz w:val="16"/>
          <w:szCs w:val="16"/>
          <w:rtl/>
        </w:rPr>
        <w:t>(ארוך)</w:t>
      </w:r>
      <w:r w:rsidRPr="00227810">
        <w:rPr>
          <w:rFonts w:asciiTheme="minorBidi" w:hAnsiTheme="minorBidi"/>
          <w:sz w:val="18"/>
          <w:szCs w:val="18"/>
          <w:rtl/>
        </w:rPr>
        <w:t>.</w:t>
      </w:r>
    </w:p>
    <w:p w14:paraId="5165A78A" w14:textId="77777777" w:rsidR="002C39F4" w:rsidRPr="003024E5" w:rsidRDefault="002C39F4" w:rsidP="002C39F4">
      <w:pPr>
        <w:rPr>
          <w:rFonts w:asciiTheme="minorBidi" w:hAnsiTheme="minorBidi"/>
          <w:rtl/>
        </w:rPr>
      </w:pPr>
    </w:p>
    <w:p w14:paraId="43D93598"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xml:space="preserve">: </w:t>
      </w:r>
      <w:r w:rsidRPr="002B47E6">
        <w:rPr>
          <w:rFonts w:cs="Arial"/>
          <w:rtl/>
        </w:rPr>
        <w:t>טיפת חלב שנפלה על הקדרה שאצל האש מבחוץ</w:t>
      </w:r>
      <w:r>
        <w:rPr>
          <w:rFonts w:cs="Arial" w:hint="cs"/>
          <w:rtl/>
        </w:rPr>
        <w:t xml:space="preserve"> </w:t>
      </w:r>
      <w:r>
        <w:rPr>
          <w:rFonts w:asciiTheme="minorBidi" w:hAnsiTheme="minorBidi" w:hint="cs"/>
          <w:rtl/>
        </w:rPr>
        <w:t>- בשעת הדחק.</w:t>
      </w:r>
    </w:p>
    <w:p w14:paraId="7EE9E799" w14:textId="77777777" w:rsidR="002C39F4" w:rsidRPr="008F60AF" w:rsidRDefault="002C39F4" w:rsidP="002C39F4">
      <w:pPr>
        <w:rPr>
          <w:rFonts w:cs="Arial"/>
          <w:u w:val="single"/>
        </w:rPr>
      </w:pPr>
      <w:r w:rsidRPr="008F60AF">
        <w:rPr>
          <w:rFonts w:hint="cs"/>
          <w:u w:val="single"/>
          <w:rtl/>
        </w:rPr>
        <w:t>קדרה שעל האש שנפלה עליה טיפת חלב מבחוץ</w:t>
      </w:r>
      <w:r w:rsidRPr="008F60AF">
        <w:rPr>
          <w:rFonts w:cs="Arial" w:hint="cs"/>
          <w:u w:val="single"/>
          <w:rtl/>
        </w:rPr>
        <w:t xml:space="preserve"> </w:t>
      </w:r>
      <w:r>
        <w:rPr>
          <w:rFonts w:cs="Arial" w:hint="cs"/>
          <w:u w:val="single"/>
          <w:rtl/>
        </w:rPr>
        <w:t xml:space="preserve">- </w:t>
      </w:r>
      <w:r w:rsidRPr="008F60AF">
        <w:rPr>
          <w:rFonts w:cs="Arial" w:hint="cs"/>
          <w:u w:val="single"/>
          <w:rtl/>
        </w:rPr>
        <w:t>בשעת הדחק:</w:t>
      </w:r>
    </w:p>
    <w:p w14:paraId="6E66E18C" w14:textId="77777777" w:rsidR="002C39F4" w:rsidRDefault="002C39F4" w:rsidP="0032102C">
      <w:pPr>
        <w:pStyle w:val="a8"/>
        <w:numPr>
          <w:ilvl w:val="0"/>
          <w:numId w:val="114"/>
        </w:numPr>
        <w:rPr>
          <w:rFonts w:cs="Arial"/>
        </w:rPr>
      </w:pPr>
      <w:r>
        <w:rPr>
          <w:rFonts w:cs="Arial" w:hint="cs"/>
          <w:rtl/>
        </w:rPr>
        <w:t>ה"</w:t>
      </w:r>
      <w:r>
        <w:rPr>
          <w:rFonts w:cs="Arial"/>
          <w:rtl/>
        </w:rPr>
        <w:t>ר יחיאל</w:t>
      </w:r>
      <w:r>
        <w:rPr>
          <w:rFonts w:cs="Arial" w:hint="cs"/>
          <w:sz w:val="16"/>
          <w:szCs w:val="16"/>
          <w:rtl/>
        </w:rPr>
        <w:t xml:space="preserve"> (הביאו הטור)</w:t>
      </w:r>
      <w:r>
        <w:rPr>
          <w:rFonts w:cs="Arial" w:hint="cs"/>
          <w:rtl/>
        </w:rPr>
        <w:t>-</w:t>
      </w:r>
      <w:r w:rsidRPr="00783A4F">
        <w:rPr>
          <w:rFonts w:cs="Arial"/>
          <w:rtl/>
        </w:rPr>
        <w:t xml:space="preserve"> </w:t>
      </w:r>
      <w:r>
        <w:rPr>
          <w:rFonts w:cs="Arial" w:hint="cs"/>
          <w:rtl/>
        </w:rPr>
        <w:t xml:space="preserve">מותר </w:t>
      </w:r>
      <w:r>
        <w:rPr>
          <w:rFonts w:cs="Arial"/>
          <w:rtl/>
        </w:rPr>
        <w:t>בשעה</w:t>
      </w:r>
      <w:r>
        <w:rPr>
          <w:rFonts w:cs="Arial" w:hint="cs"/>
          <w:rtl/>
        </w:rPr>
        <w:t>"ד</w:t>
      </w:r>
      <w:r>
        <w:rPr>
          <w:rFonts w:cs="Arial"/>
          <w:rtl/>
        </w:rPr>
        <w:t xml:space="preserve"> כגון בע</w:t>
      </w:r>
      <w:r>
        <w:rPr>
          <w:rFonts w:cs="Arial" w:hint="cs"/>
          <w:rtl/>
        </w:rPr>
        <w:t>ר"</w:t>
      </w:r>
      <w:r>
        <w:rPr>
          <w:rFonts w:cs="Arial"/>
          <w:rtl/>
        </w:rPr>
        <w:t>ש</w:t>
      </w:r>
      <w:r w:rsidRPr="00783A4F">
        <w:rPr>
          <w:rFonts w:cs="Arial"/>
          <w:rtl/>
        </w:rPr>
        <w:t xml:space="preserve"> אפי</w:t>
      </w:r>
      <w:r>
        <w:rPr>
          <w:rFonts w:cs="Arial" w:hint="cs"/>
          <w:rtl/>
        </w:rPr>
        <w:t>לו</w:t>
      </w:r>
      <w:r w:rsidRPr="00783A4F">
        <w:rPr>
          <w:rFonts w:cs="Arial"/>
          <w:rtl/>
        </w:rPr>
        <w:t xml:space="preserve"> שלא כנגד הרוטב </w:t>
      </w:r>
      <w:r>
        <w:rPr>
          <w:rFonts w:cs="Arial"/>
          <w:rtl/>
        </w:rPr>
        <w:t>אפי</w:t>
      </w:r>
      <w:r>
        <w:rPr>
          <w:rFonts w:cs="Arial" w:hint="cs"/>
          <w:rtl/>
        </w:rPr>
        <w:t>לו</w:t>
      </w:r>
      <w:r w:rsidRPr="00783A4F">
        <w:rPr>
          <w:rFonts w:cs="Arial"/>
          <w:rtl/>
        </w:rPr>
        <w:t xml:space="preserve"> שלא כנגד האש ע"י </w:t>
      </w:r>
      <w:r>
        <w:rPr>
          <w:rFonts w:cs="Arial" w:hint="cs"/>
          <w:rtl/>
        </w:rPr>
        <w:t>ששים</w:t>
      </w:r>
      <w:r>
        <w:rPr>
          <w:rStyle w:val="a7"/>
          <w:rFonts w:cs="Arial"/>
          <w:rtl/>
        </w:rPr>
        <w:footnoteReference w:id="1477"/>
      </w:r>
      <w:r>
        <w:rPr>
          <w:rFonts w:cs="Arial" w:hint="cs"/>
          <w:rtl/>
        </w:rPr>
        <w:t>.</w:t>
      </w:r>
      <w:r w:rsidRPr="00783A4F">
        <w:rPr>
          <w:rFonts w:cs="Arial"/>
          <w:rtl/>
        </w:rPr>
        <w:t xml:space="preserve"> </w:t>
      </w:r>
      <w:r w:rsidRPr="00F1398A">
        <w:rPr>
          <w:rFonts w:cs="Arial" w:hint="cs"/>
          <w:color w:val="E36C0A" w:themeColor="accent6" w:themeShade="BF"/>
          <w:rtl/>
        </w:rPr>
        <w:t>(וכ"פ בשו"ע)</w:t>
      </w:r>
      <w:r>
        <w:rPr>
          <w:rFonts w:cs="Arial" w:hint="cs"/>
          <w:color w:val="00B0F0"/>
          <w:rtl/>
        </w:rPr>
        <w:t xml:space="preserve"> </w:t>
      </w:r>
      <w:r w:rsidRPr="00A50643">
        <w:rPr>
          <w:rFonts w:cs="Arial" w:hint="cs"/>
          <w:color w:val="00B0F0"/>
          <w:rtl/>
        </w:rPr>
        <w:t>(וכ"פ הרמ"א)</w:t>
      </w:r>
    </w:p>
    <w:p w14:paraId="7BE7B98F" w14:textId="77777777" w:rsidR="002C39F4" w:rsidRPr="00301BD8" w:rsidRDefault="002C39F4" w:rsidP="002C39F4">
      <w:pPr>
        <w:rPr>
          <w:rFonts w:cs="Arial"/>
          <w:sz w:val="16"/>
          <w:szCs w:val="16"/>
          <w:rtl/>
        </w:rPr>
      </w:pPr>
      <w:r w:rsidRPr="00301BD8">
        <w:rPr>
          <w:rFonts w:cs="Arial" w:hint="cs"/>
          <w:u w:val="single"/>
          <w:rtl/>
        </w:rPr>
        <w:t>כיסוי של קדרה</w:t>
      </w:r>
      <w:r>
        <w:rPr>
          <w:rFonts w:cs="Arial" w:hint="cs"/>
          <w:u w:val="single"/>
          <w:rtl/>
        </w:rPr>
        <w:t xml:space="preserve"> </w:t>
      </w:r>
      <w:r w:rsidRPr="00301BD8">
        <w:rPr>
          <w:rFonts w:cs="Arial" w:hint="cs"/>
          <w:u w:val="single"/>
          <w:rtl/>
        </w:rPr>
        <w:t>שנפלה על</w:t>
      </w:r>
      <w:r>
        <w:rPr>
          <w:rFonts w:cs="Arial" w:hint="cs"/>
          <w:u w:val="single"/>
          <w:rtl/>
        </w:rPr>
        <w:t>יו</w:t>
      </w:r>
      <w:r w:rsidRPr="00301BD8">
        <w:rPr>
          <w:rFonts w:cs="Arial" w:hint="cs"/>
          <w:u w:val="single"/>
          <w:rtl/>
        </w:rPr>
        <w:t xml:space="preserve"> טיפה</w:t>
      </w:r>
      <w:r>
        <w:rPr>
          <w:rFonts w:cs="Arial" w:hint="cs"/>
          <w:u w:val="single"/>
          <w:rtl/>
        </w:rPr>
        <w:t xml:space="preserve"> או שכיסו בו תבשיל בשר ולאחמ"כ כיסו עמו תבשיל חלב</w:t>
      </w:r>
      <w:r w:rsidRPr="00301BD8">
        <w:rPr>
          <w:rFonts w:cs="Arial" w:hint="cs"/>
          <w:u w:val="single"/>
          <w:rtl/>
        </w:rPr>
        <w:t>:</w:t>
      </w:r>
      <w:r>
        <w:rPr>
          <w:rFonts w:cs="Arial" w:hint="cs"/>
          <w:sz w:val="16"/>
          <w:szCs w:val="16"/>
          <w:rtl/>
        </w:rPr>
        <w:t xml:space="preserve">   (ב"י ודרכ"מ [אות י])</w:t>
      </w:r>
    </w:p>
    <w:p w14:paraId="03C68CFA" w14:textId="77777777" w:rsidR="002C39F4" w:rsidRPr="00CC3D42" w:rsidRDefault="002C39F4" w:rsidP="0032102C">
      <w:pPr>
        <w:pStyle w:val="a8"/>
        <w:numPr>
          <w:ilvl w:val="0"/>
          <w:numId w:val="115"/>
        </w:numPr>
        <w:rPr>
          <w:rFonts w:cs="Arial"/>
        </w:rPr>
      </w:pPr>
      <w:r>
        <w:rPr>
          <w:rFonts w:cs="Arial" w:hint="cs"/>
          <w:rtl/>
        </w:rPr>
        <w:t>שע"ד</w:t>
      </w:r>
      <w:r w:rsidRPr="00CC3D42">
        <w:rPr>
          <w:rFonts w:cs="Arial" w:hint="cs"/>
          <w:sz w:val="16"/>
          <w:szCs w:val="16"/>
          <w:rtl/>
        </w:rPr>
        <w:t xml:space="preserve"> (סי' נו)</w:t>
      </w:r>
      <w:r w:rsidRPr="00CC3D42">
        <w:rPr>
          <w:rFonts w:cs="Arial"/>
          <w:rtl/>
        </w:rPr>
        <w:t xml:space="preserve"> </w:t>
      </w:r>
      <w:r>
        <w:rPr>
          <w:rFonts w:cs="Arial" w:hint="cs"/>
          <w:rtl/>
        </w:rPr>
        <w:t>ו</w:t>
      </w:r>
      <w:r w:rsidRPr="00301BD8">
        <w:rPr>
          <w:rFonts w:cs="Arial"/>
          <w:rtl/>
        </w:rPr>
        <w:t>הגשע</w:t>
      </w:r>
      <w:r w:rsidRPr="00301BD8">
        <w:rPr>
          <w:rFonts w:cs="Arial" w:hint="cs"/>
          <w:rtl/>
        </w:rPr>
        <w:t>"</w:t>
      </w:r>
      <w:r w:rsidRPr="00301BD8">
        <w:rPr>
          <w:rFonts w:cs="Arial"/>
          <w:rtl/>
        </w:rPr>
        <w:t>ד</w:t>
      </w:r>
      <w:r>
        <w:rPr>
          <w:rStyle w:val="a7"/>
          <w:rFonts w:cs="Arial"/>
          <w:rtl/>
        </w:rPr>
        <w:footnoteReference w:id="1478"/>
      </w:r>
      <w:r w:rsidRPr="00301BD8">
        <w:rPr>
          <w:rFonts w:cs="Arial"/>
          <w:rtl/>
        </w:rPr>
        <w:t xml:space="preserve"> </w:t>
      </w:r>
      <w:r w:rsidRPr="00301BD8">
        <w:rPr>
          <w:rFonts w:cs="Arial"/>
          <w:sz w:val="16"/>
          <w:szCs w:val="16"/>
          <w:rtl/>
        </w:rPr>
        <w:t>(סי' נו סק</w:t>
      </w:r>
      <w:r w:rsidRPr="00301BD8">
        <w:rPr>
          <w:rFonts w:cs="Arial" w:hint="cs"/>
          <w:sz w:val="16"/>
          <w:szCs w:val="16"/>
          <w:rtl/>
        </w:rPr>
        <w:t>"</w:t>
      </w:r>
      <w:r w:rsidRPr="00301BD8">
        <w:rPr>
          <w:rFonts w:cs="Arial"/>
          <w:sz w:val="16"/>
          <w:szCs w:val="16"/>
          <w:rtl/>
        </w:rPr>
        <w:t>א</w:t>
      </w:r>
      <w:r>
        <w:rPr>
          <w:rFonts w:cs="Arial" w:hint="cs"/>
          <w:sz w:val="16"/>
          <w:szCs w:val="16"/>
          <w:rtl/>
        </w:rPr>
        <w:t>, הביאו הב"י</w:t>
      </w:r>
      <w:r w:rsidRPr="00301BD8">
        <w:rPr>
          <w:rFonts w:cs="Arial"/>
          <w:sz w:val="16"/>
          <w:szCs w:val="16"/>
          <w:rtl/>
        </w:rPr>
        <w:t>)</w:t>
      </w:r>
      <w:r>
        <w:rPr>
          <w:rFonts w:cs="Arial" w:hint="cs"/>
          <w:rtl/>
        </w:rPr>
        <w:t xml:space="preserve"> - </w:t>
      </w:r>
      <w:r w:rsidRPr="00CC3D42">
        <w:rPr>
          <w:rFonts w:cs="Arial"/>
          <w:rtl/>
        </w:rPr>
        <w:t>י</w:t>
      </w:r>
      <w:r>
        <w:rPr>
          <w:rFonts w:cs="Arial"/>
          <w:rtl/>
        </w:rPr>
        <w:t>ש לו דין קדירה כנגד הרוטב ושריא</w:t>
      </w:r>
      <w:r>
        <w:rPr>
          <w:rFonts w:cs="Arial" w:hint="cs"/>
          <w:rtl/>
        </w:rPr>
        <w:t>,</w:t>
      </w:r>
      <w:r w:rsidRPr="00CC3D42">
        <w:rPr>
          <w:rFonts w:cs="Arial"/>
          <w:rtl/>
        </w:rPr>
        <w:t xml:space="preserve"> דהא חשיב בגמ</w:t>
      </w:r>
      <w:r>
        <w:rPr>
          <w:rFonts w:cs="Arial" w:hint="cs"/>
          <w:rtl/>
        </w:rPr>
        <w:t>'</w:t>
      </w:r>
      <w:r>
        <w:rPr>
          <w:rFonts w:cs="Arial"/>
          <w:rtl/>
        </w:rPr>
        <w:t xml:space="preserve"> </w:t>
      </w:r>
      <w:r w:rsidRPr="00CC3D42">
        <w:rPr>
          <w:rFonts w:cs="Arial"/>
          <w:sz w:val="16"/>
          <w:szCs w:val="16"/>
          <w:rtl/>
        </w:rPr>
        <w:t>(קח</w:t>
      </w:r>
      <w:r w:rsidRPr="00CC3D42">
        <w:rPr>
          <w:rFonts w:cs="Arial" w:hint="cs"/>
          <w:sz w:val="16"/>
          <w:szCs w:val="16"/>
          <w:rtl/>
        </w:rPr>
        <w:t>:</w:t>
      </w:r>
      <w:r w:rsidRPr="00CC3D42">
        <w:rPr>
          <w:rFonts w:cs="Arial"/>
          <w:sz w:val="16"/>
          <w:szCs w:val="16"/>
          <w:rtl/>
        </w:rPr>
        <w:t>)</w:t>
      </w:r>
      <w:r w:rsidRPr="00CC3D42">
        <w:rPr>
          <w:rFonts w:cs="Arial"/>
          <w:rtl/>
        </w:rPr>
        <w:t xml:space="preserve"> כיסה </w:t>
      </w:r>
      <w:r>
        <w:rPr>
          <w:rFonts w:cs="Arial"/>
          <w:rtl/>
        </w:rPr>
        <w:t>כמו ניער את הקדירה והתבשיל מותר</w:t>
      </w:r>
      <w:r>
        <w:rPr>
          <w:rFonts w:cs="Arial" w:hint="cs"/>
          <w:sz w:val="16"/>
          <w:szCs w:val="16"/>
          <w:rtl/>
        </w:rPr>
        <w:t xml:space="preserve"> (ל' שע"ד)</w:t>
      </w:r>
      <w:r>
        <w:rPr>
          <w:rStyle w:val="a7"/>
          <w:rFonts w:cs="Arial"/>
          <w:rtl/>
        </w:rPr>
        <w:footnoteReference w:id="1479"/>
      </w:r>
      <w:r w:rsidRPr="00CC3D42">
        <w:rPr>
          <w:rFonts w:cs="Arial"/>
          <w:rtl/>
        </w:rPr>
        <w:t>.</w:t>
      </w:r>
    </w:p>
    <w:p w14:paraId="731B0731" w14:textId="77777777" w:rsidR="002C39F4" w:rsidRDefault="002C39F4" w:rsidP="0032102C">
      <w:pPr>
        <w:pStyle w:val="a8"/>
        <w:numPr>
          <w:ilvl w:val="0"/>
          <w:numId w:val="115"/>
        </w:numPr>
        <w:rPr>
          <w:rFonts w:cs="Arial"/>
        </w:rPr>
      </w:pPr>
      <w:r>
        <w:rPr>
          <w:rFonts w:cs="Arial"/>
          <w:rtl/>
        </w:rPr>
        <w:t xml:space="preserve">או"ה </w:t>
      </w:r>
      <w:r w:rsidRPr="004C33E3">
        <w:rPr>
          <w:rFonts w:cs="Arial" w:hint="cs"/>
          <w:sz w:val="16"/>
          <w:szCs w:val="16"/>
          <w:rtl/>
        </w:rPr>
        <w:t>(</w:t>
      </w:r>
      <w:r w:rsidRPr="004C33E3">
        <w:rPr>
          <w:rFonts w:cs="Arial"/>
          <w:sz w:val="16"/>
          <w:szCs w:val="16"/>
          <w:rtl/>
        </w:rPr>
        <w:t>כלל לא דין יא)</w:t>
      </w:r>
      <w:r>
        <w:rPr>
          <w:rFonts w:cs="Arial" w:hint="cs"/>
          <w:rtl/>
        </w:rPr>
        <w:t>-</w:t>
      </w:r>
      <w:r>
        <w:rPr>
          <w:rFonts w:cs="Arial"/>
          <w:rtl/>
        </w:rPr>
        <w:t xml:space="preserve"> </w:t>
      </w:r>
      <w:r w:rsidRPr="00783A4F">
        <w:rPr>
          <w:rFonts w:cs="Arial"/>
          <w:rtl/>
        </w:rPr>
        <w:t>אם נפלה טיפה על כיסוי קדרה דינו כדין נפל על הקדרה נגד הרוטב והיינו אם התחיל הקדרה להרתיח פעם אחד</w:t>
      </w:r>
      <w:r>
        <w:rPr>
          <w:rFonts w:cs="Arial"/>
          <w:rtl/>
        </w:rPr>
        <w:t xml:space="preserve"> דאז עולה הרתיחה עד הכיסוי</w:t>
      </w:r>
      <w:r>
        <w:rPr>
          <w:rStyle w:val="a7"/>
          <w:rFonts w:cs="Arial"/>
          <w:rtl/>
        </w:rPr>
        <w:footnoteReference w:id="1480"/>
      </w:r>
      <w:r>
        <w:rPr>
          <w:rFonts w:cs="Arial" w:hint="cs"/>
          <w:rtl/>
        </w:rPr>
        <w:t>.</w:t>
      </w:r>
      <w:r w:rsidRPr="00CC3D42">
        <w:rPr>
          <w:rFonts w:cs="Arial" w:hint="cs"/>
          <w:color w:val="00B0F0"/>
          <w:rtl/>
        </w:rPr>
        <w:t xml:space="preserve"> (וכ"פ הרמ"א)</w:t>
      </w:r>
    </w:p>
    <w:p w14:paraId="6EEFE1BA" w14:textId="77777777" w:rsidR="002C39F4" w:rsidRPr="00301BD8" w:rsidRDefault="002C39F4" w:rsidP="0032102C">
      <w:pPr>
        <w:pStyle w:val="a8"/>
        <w:numPr>
          <w:ilvl w:val="0"/>
          <w:numId w:val="115"/>
        </w:numPr>
        <w:rPr>
          <w:rFonts w:cs="Arial"/>
          <w:rtl/>
        </w:rPr>
      </w:pPr>
      <w:r>
        <w:rPr>
          <w:rFonts w:cs="Arial"/>
          <w:rtl/>
        </w:rPr>
        <w:t>רש"ל</w:t>
      </w:r>
      <w:r w:rsidRPr="004C33E3">
        <w:rPr>
          <w:rFonts w:cs="Arial"/>
          <w:sz w:val="16"/>
          <w:szCs w:val="16"/>
          <w:rtl/>
        </w:rPr>
        <w:t xml:space="preserve"> </w:t>
      </w:r>
      <w:r w:rsidRPr="004C33E3">
        <w:rPr>
          <w:rFonts w:cs="Arial" w:hint="cs"/>
          <w:sz w:val="16"/>
          <w:szCs w:val="16"/>
          <w:rtl/>
        </w:rPr>
        <w:t>(</w:t>
      </w:r>
      <w:r w:rsidRPr="004C33E3">
        <w:rPr>
          <w:rFonts w:cs="Arial"/>
          <w:sz w:val="16"/>
          <w:szCs w:val="16"/>
          <w:rtl/>
        </w:rPr>
        <w:t>סי</w:t>
      </w:r>
      <w:r w:rsidRPr="004C33E3">
        <w:rPr>
          <w:rFonts w:cs="Arial" w:hint="cs"/>
          <w:sz w:val="16"/>
          <w:szCs w:val="16"/>
          <w:rtl/>
        </w:rPr>
        <w:t>'</w:t>
      </w:r>
      <w:r w:rsidRPr="004C33E3">
        <w:rPr>
          <w:rFonts w:cs="Arial"/>
          <w:sz w:val="16"/>
          <w:szCs w:val="16"/>
          <w:rtl/>
        </w:rPr>
        <w:t xml:space="preserve"> מו</w:t>
      </w:r>
      <w:r w:rsidRPr="004C33E3">
        <w:rPr>
          <w:rFonts w:cs="Arial" w:hint="cs"/>
          <w:sz w:val="16"/>
          <w:szCs w:val="16"/>
          <w:rtl/>
        </w:rPr>
        <w:t>)</w:t>
      </w:r>
      <w:r>
        <w:rPr>
          <w:rFonts w:cs="Arial" w:hint="cs"/>
          <w:rtl/>
        </w:rPr>
        <w:t xml:space="preserve">- נהי </w:t>
      </w:r>
      <w:r w:rsidRPr="004C33E3">
        <w:rPr>
          <w:rFonts w:cs="Arial"/>
          <w:rtl/>
        </w:rPr>
        <w:t xml:space="preserve">דהרתיחה עולה עד הכיסוי מ"מ הרוטב אין מצטרף עמה וא"כ אם אין בכסוי ס' נגד האיסור </w:t>
      </w:r>
      <w:r>
        <w:rPr>
          <w:rFonts w:cs="Arial"/>
          <w:rtl/>
        </w:rPr>
        <w:t>שנפל עליה נעשה הכיסוי נבילה</w:t>
      </w:r>
      <w:r>
        <w:rPr>
          <w:rFonts w:cs="Arial" w:hint="cs"/>
          <w:rtl/>
        </w:rPr>
        <w:t>.</w:t>
      </w:r>
      <w:r w:rsidRPr="004C33E3">
        <w:rPr>
          <w:rFonts w:cs="Arial"/>
          <w:rtl/>
        </w:rPr>
        <w:t xml:space="preserve"> </w:t>
      </w:r>
      <w:r>
        <w:rPr>
          <w:rFonts w:cs="Arial" w:hint="cs"/>
          <w:rtl/>
        </w:rPr>
        <w:t>(וכ"פ הט"ז</w:t>
      </w:r>
      <w:r>
        <w:rPr>
          <w:rStyle w:val="a7"/>
          <w:rFonts w:cs="Arial"/>
          <w:rtl/>
        </w:rPr>
        <w:footnoteReference w:id="1481"/>
      </w:r>
      <w:r>
        <w:rPr>
          <w:rFonts w:cs="Arial" w:hint="cs"/>
          <w:rtl/>
        </w:rPr>
        <w:t xml:space="preserve"> </w:t>
      </w:r>
      <w:r>
        <w:rPr>
          <w:rFonts w:cs="Arial" w:hint="cs"/>
          <w:sz w:val="16"/>
          <w:szCs w:val="16"/>
          <w:rtl/>
        </w:rPr>
        <w:t>[סקכ"ח]</w:t>
      </w:r>
      <w:r>
        <w:rPr>
          <w:rFonts w:cs="Arial" w:hint="cs"/>
          <w:rtl/>
        </w:rPr>
        <w:t>)</w:t>
      </w:r>
    </w:p>
    <w:p w14:paraId="03B39163" w14:textId="77777777" w:rsidR="002C39F4" w:rsidRPr="00DC6C99" w:rsidRDefault="002C39F4" w:rsidP="002C39F4">
      <w:pPr>
        <w:rPr>
          <w:rFonts w:cs="Arial"/>
          <w:u w:val="single"/>
          <w:rtl/>
        </w:rPr>
      </w:pPr>
      <w:r w:rsidRPr="00DC6C99">
        <w:rPr>
          <w:rFonts w:cs="Arial" w:hint="cs"/>
          <w:u w:val="single"/>
          <w:rtl/>
        </w:rPr>
        <w:t>קדרה ש</w:t>
      </w:r>
      <w:r>
        <w:rPr>
          <w:rFonts w:cs="Arial" w:hint="cs"/>
          <w:u w:val="single"/>
          <w:rtl/>
        </w:rPr>
        <w:t>הושיבוה על איסור</w:t>
      </w:r>
      <w:r w:rsidRPr="00DC6C99">
        <w:rPr>
          <w:rFonts w:cs="Arial" w:hint="cs"/>
          <w:u w:val="single"/>
          <w:rtl/>
        </w:rPr>
        <w:t>:</w:t>
      </w:r>
      <w:r>
        <w:rPr>
          <w:rFonts w:cs="Arial" w:hint="cs"/>
          <w:sz w:val="16"/>
          <w:szCs w:val="16"/>
          <w:rtl/>
        </w:rPr>
        <w:t xml:space="preserve">  </w:t>
      </w:r>
      <w:r w:rsidRPr="00DC6C99">
        <w:rPr>
          <w:rFonts w:cs="Arial" w:hint="cs"/>
          <w:sz w:val="16"/>
          <w:szCs w:val="16"/>
          <w:rtl/>
        </w:rPr>
        <w:t xml:space="preserve"> </w:t>
      </w:r>
      <w:r>
        <w:rPr>
          <w:rFonts w:cs="Arial" w:hint="cs"/>
          <w:sz w:val="16"/>
          <w:szCs w:val="16"/>
          <w:rtl/>
        </w:rPr>
        <w:t>(ב"י ודרכ"מ אות ז)</w:t>
      </w:r>
    </w:p>
    <w:p w14:paraId="1ADD3D56" w14:textId="77777777" w:rsidR="002C39F4" w:rsidRDefault="002C39F4" w:rsidP="0032102C">
      <w:pPr>
        <w:pStyle w:val="a8"/>
        <w:numPr>
          <w:ilvl w:val="0"/>
          <w:numId w:val="115"/>
        </w:numPr>
      </w:pPr>
      <w:r w:rsidRPr="00440427">
        <w:rPr>
          <w:rFonts w:cs="Arial" w:hint="cs"/>
          <w:rtl/>
        </w:rPr>
        <w:t xml:space="preserve">ב"י בשם מצאתי כתוב- </w:t>
      </w:r>
      <w:r w:rsidRPr="00DC6C99">
        <w:rPr>
          <w:rFonts w:cs="Arial" w:hint="cs"/>
          <w:rtl/>
        </w:rPr>
        <w:t>מעשה</w:t>
      </w:r>
      <w:r w:rsidRPr="00DC6C99">
        <w:rPr>
          <w:rFonts w:cs="Arial"/>
          <w:rtl/>
        </w:rPr>
        <w:t xml:space="preserve"> </w:t>
      </w:r>
      <w:r w:rsidRPr="00DC6C99">
        <w:rPr>
          <w:rFonts w:cs="Arial" w:hint="cs"/>
          <w:rtl/>
        </w:rPr>
        <w:t>שהעמידו</w:t>
      </w:r>
      <w:r w:rsidRPr="00DC6C99">
        <w:rPr>
          <w:rFonts w:cs="Arial"/>
          <w:rtl/>
        </w:rPr>
        <w:t xml:space="preserve"> </w:t>
      </w:r>
      <w:r w:rsidRPr="00DC6C99">
        <w:rPr>
          <w:rFonts w:cs="Arial" w:hint="cs"/>
          <w:rtl/>
        </w:rPr>
        <w:t>קדרה</w:t>
      </w:r>
      <w:r w:rsidRPr="00DC6C99">
        <w:rPr>
          <w:rFonts w:cs="Arial"/>
          <w:rtl/>
        </w:rPr>
        <w:t xml:space="preserve"> </w:t>
      </w:r>
      <w:r w:rsidRPr="00DC6C99">
        <w:rPr>
          <w:rFonts w:cs="Arial" w:hint="cs"/>
          <w:rtl/>
        </w:rPr>
        <w:t>רותחת</w:t>
      </w:r>
      <w:r w:rsidRPr="00DC6C99">
        <w:rPr>
          <w:rFonts w:cs="Arial"/>
          <w:rtl/>
        </w:rPr>
        <w:t xml:space="preserve"> </w:t>
      </w:r>
      <w:r w:rsidRPr="00DC6C99">
        <w:rPr>
          <w:rFonts w:cs="Arial" w:hint="cs"/>
          <w:rtl/>
        </w:rPr>
        <w:t>על</w:t>
      </w:r>
      <w:r w:rsidRPr="00DC6C99">
        <w:rPr>
          <w:rFonts w:cs="Arial"/>
          <w:rtl/>
        </w:rPr>
        <w:t xml:space="preserve"> </w:t>
      </w:r>
      <w:r w:rsidRPr="00DC6C99">
        <w:rPr>
          <w:rFonts w:cs="Arial" w:hint="cs"/>
          <w:rtl/>
        </w:rPr>
        <w:t>תיבה</w:t>
      </w:r>
      <w:r w:rsidRPr="00DC6C99">
        <w:rPr>
          <w:rFonts w:cs="Arial"/>
          <w:rtl/>
        </w:rPr>
        <w:t xml:space="preserve"> </w:t>
      </w:r>
      <w:r w:rsidRPr="00DC6C99">
        <w:rPr>
          <w:rFonts w:cs="Arial" w:hint="cs"/>
          <w:rtl/>
        </w:rPr>
        <w:t>שהיתה</w:t>
      </w:r>
      <w:r w:rsidRPr="00DC6C99">
        <w:rPr>
          <w:rFonts w:cs="Arial"/>
          <w:rtl/>
        </w:rPr>
        <w:t xml:space="preserve"> </w:t>
      </w:r>
      <w:r w:rsidRPr="00DC6C99">
        <w:rPr>
          <w:rFonts w:cs="Arial" w:hint="cs"/>
          <w:rtl/>
        </w:rPr>
        <w:t>מטונפת</w:t>
      </w:r>
      <w:r w:rsidRPr="00DC6C99">
        <w:rPr>
          <w:rFonts w:cs="Arial"/>
          <w:rtl/>
        </w:rPr>
        <w:t xml:space="preserve"> </w:t>
      </w:r>
      <w:r w:rsidRPr="00DC6C99">
        <w:rPr>
          <w:rFonts w:cs="Arial" w:hint="cs"/>
          <w:rtl/>
        </w:rPr>
        <w:t>ב</w:t>
      </w:r>
      <w:r w:rsidRPr="00440427">
        <w:rPr>
          <w:rFonts w:cs="Arial"/>
          <w:rtl/>
        </w:rPr>
        <w:t>ח</w:t>
      </w:r>
      <w:r>
        <w:rPr>
          <w:rFonts w:cs="Arial" w:hint="cs"/>
          <w:rtl/>
        </w:rPr>
        <w:t>ֵ</w:t>
      </w:r>
      <w:r w:rsidRPr="00440427">
        <w:rPr>
          <w:rFonts w:cs="Arial"/>
          <w:rtl/>
        </w:rPr>
        <w:t>ל</w:t>
      </w:r>
      <w:r>
        <w:rPr>
          <w:rFonts w:cs="Arial" w:hint="cs"/>
          <w:rtl/>
        </w:rPr>
        <w:t>ֶ</w:t>
      </w:r>
      <w:r w:rsidRPr="00440427">
        <w:rPr>
          <w:rFonts w:cs="Arial"/>
          <w:rtl/>
        </w:rPr>
        <w:t>ב</w:t>
      </w:r>
      <w:r w:rsidRPr="00DC6C99">
        <w:rPr>
          <w:rFonts w:cs="Arial"/>
          <w:rtl/>
        </w:rPr>
        <w:t xml:space="preserve"> </w:t>
      </w:r>
      <w:r w:rsidRPr="00DC6C99">
        <w:rPr>
          <w:rFonts w:cs="Arial" w:hint="cs"/>
          <w:rtl/>
        </w:rPr>
        <w:t>שכל</w:t>
      </w:r>
      <w:r w:rsidRPr="00DC6C99">
        <w:rPr>
          <w:rFonts w:cs="Arial"/>
          <w:rtl/>
        </w:rPr>
        <w:t xml:space="preserve"> </w:t>
      </w:r>
      <w:r w:rsidRPr="00DC6C99">
        <w:rPr>
          <w:rFonts w:cs="Arial" w:hint="cs"/>
          <w:rtl/>
        </w:rPr>
        <w:t>השנה</w:t>
      </w:r>
      <w:r w:rsidRPr="00DC6C99">
        <w:rPr>
          <w:rFonts w:cs="Arial"/>
          <w:rtl/>
        </w:rPr>
        <w:t xml:space="preserve"> </w:t>
      </w:r>
      <w:r w:rsidRPr="00DC6C99">
        <w:rPr>
          <w:rFonts w:cs="Arial" w:hint="cs"/>
          <w:rtl/>
        </w:rPr>
        <w:t>העמידו</w:t>
      </w:r>
      <w:r w:rsidRPr="00DC6C99">
        <w:rPr>
          <w:rFonts w:cs="Arial"/>
          <w:rtl/>
        </w:rPr>
        <w:t xml:space="preserve"> </w:t>
      </w:r>
      <w:r w:rsidRPr="00DC6C99">
        <w:rPr>
          <w:rFonts w:cs="Arial" w:hint="cs"/>
          <w:rtl/>
        </w:rPr>
        <w:t>עליה</w:t>
      </w:r>
      <w:r w:rsidRPr="00DC6C99">
        <w:rPr>
          <w:rFonts w:cs="Arial"/>
          <w:rtl/>
        </w:rPr>
        <w:t xml:space="preserve"> </w:t>
      </w:r>
      <w:r w:rsidRPr="00DC6C99">
        <w:rPr>
          <w:rFonts w:cs="Arial" w:hint="cs"/>
          <w:rtl/>
        </w:rPr>
        <w:t>נר</w:t>
      </w:r>
      <w:r>
        <w:rPr>
          <w:rFonts w:cs="Arial" w:hint="cs"/>
          <w:rtl/>
        </w:rPr>
        <w:t>,</w:t>
      </w:r>
      <w:r w:rsidRPr="00DC6C99">
        <w:rPr>
          <w:rFonts w:cs="Arial"/>
          <w:rtl/>
        </w:rPr>
        <w:t xml:space="preserve"> </w:t>
      </w:r>
      <w:r w:rsidRPr="00DC6C99">
        <w:rPr>
          <w:rFonts w:cs="Arial" w:hint="cs"/>
          <w:rtl/>
        </w:rPr>
        <w:t>והשיב</w:t>
      </w:r>
      <w:r w:rsidRPr="00DC6C99">
        <w:rPr>
          <w:rFonts w:cs="Arial"/>
          <w:rtl/>
        </w:rPr>
        <w:t xml:space="preserve"> </w:t>
      </w:r>
      <w:r w:rsidRPr="00440427">
        <w:rPr>
          <w:rFonts w:cs="Arial"/>
          <w:rtl/>
        </w:rPr>
        <w:t>אם היה ח</w:t>
      </w:r>
      <w:r>
        <w:rPr>
          <w:rFonts w:cs="Arial" w:hint="cs"/>
          <w:rtl/>
        </w:rPr>
        <w:t>ֵ</w:t>
      </w:r>
      <w:r w:rsidRPr="00440427">
        <w:rPr>
          <w:rFonts w:cs="Arial"/>
          <w:rtl/>
        </w:rPr>
        <w:t>ל</w:t>
      </w:r>
      <w:r>
        <w:rPr>
          <w:rFonts w:cs="Arial" w:hint="cs"/>
          <w:rtl/>
        </w:rPr>
        <w:t>ֶ</w:t>
      </w:r>
      <w:r w:rsidRPr="00440427">
        <w:rPr>
          <w:rFonts w:cs="Arial"/>
          <w:rtl/>
        </w:rPr>
        <w:t>ב חם נוטף על הקדרה רותחת אז התבשיל שבקדרה אסור דהו</w:t>
      </w:r>
      <w:r>
        <w:rPr>
          <w:rFonts w:cs="Arial" w:hint="cs"/>
          <w:rtl/>
        </w:rPr>
        <w:t>"</w:t>
      </w:r>
      <w:r w:rsidRPr="00440427">
        <w:rPr>
          <w:rFonts w:cs="Arial"/>
          <w:rtl/>
        </w:rPr>
        <w:t>ל חם לתוך חם</w:t>
      </w:r>
      <w:r>
        <w:rPr>
          <w:rFonts w:cs="Arial" w:hint="cs"/>
          <w:rtl/>
        </w:rPr>
        <w:t>,</w:t>
      </w:r>
      <w:r w:rsidRPr="00440427">
        <w:rPr>
          <w:rFonts w:cs="Arial"/>
          <w:rtl/>
        </w:rPr>
        <w:t xml:space="preserve"> הילכך מה שכנגד הח</w:t>
      </w:r>
      <w:r>
        <w:rPr>
          <w:rFonts w:cs="Arial" w:hint="cs"/>
          <w:rtl/>
        </w:rPr>
        <w:t>ֵ</w:t>
      </w:r>
      <w:r w:rsidRPr="00440427">
        <w:rPr>
          <w:rFonts w:cs="Arial"/>
          <w:rtl/>
        </w:rPr>
        <w:t>ל</w:t>
      </w:r>
      <w:r>
        <w:rPr>
          <w:rFonts w:cs="Arial" w:hint="cs"/>
          <w:rtl/>
        </w:rPr>
        <w:t>ֶ</w:t>
      </w:r>
      <w:r w:rsidRPr="00440427">
        <w:rPr>
          <w:rFonts w:cs="Arial"/>
          <w:rtl/>
        </w:rPr>
        <w:t>ב יטול והשאר מותר</w:t>
      </w:r>
      <w:r>
        <w:rPr>
          <w:rFonts w:cs="Arial" w:hint="cs"/>
          <w:rtl/>
        </w:rPr>
        <w:t>,</w:t>
      </w:r>
      <w:r w:rsidRPr="00440427">
        <w:rPr>
          <w:rFonts w:cs="Arial"/>
          <w:rtl/>
        </w:rPr>
        <w:t xml:space="preserve"> והקדרה תשבר שכנגד מקום הקליפה בלעה ואינו יוצא מידי דפיו לעולם</w:t>
      </w:r>
      <w:r w:rsidRPr="00440427">
        <w:rPr>
          <w:rFonts w:cs="Arial"/>
          <w:sz w:val="16"/>
          <w:szCs w:val="16"/>
          <w:rtl/>
        </w:rPr>
        <w:t xml:space="preserve"> (פסחים ל:)</w:t>
      </w:r>
      <w:r>
        <w:rPr>
          <w:rStyle w:val="a7"/>
          <w:rFonts w:cs="Arial"/>
          <w:rtl/>
        </w:rPr>
        <w:footnoteReference w:id="1482"/>
      </w:r>
      <w:r w:rsidRPr="00440427">
        <w:rPr>
          <w:rFonts w:cs="Arial" w:hint="cs"/>
          <w:rtl/>
        </w:rPr>
        <w:t>.</w:t>
      </w:r>
    </w:p>
    <w:p w14:paraId="3486D2D3" w14:textId="77777777" w:rsidR="002C39F4" w:rsidRDefault="002C39F4" w:rsidP="0032102C">
      <w:pPr>
        <w:pStyle w:val="a8"/>
        <w:numPr>
          <w:ilvl w:val="0"/>
          <w:numId w:val="114"/>
        </w:numPr>
      </w:pPr>
      <w:r>
        <w:rPr>
          <w:rtl/>
        </w:rPr>
        <w:t xml:space="preserve">או"ה </w:t>
      </w:r>
      <w:r w:rsidRPr="007D1720">
        <w:rPr>
          <w:rFonts w:hint="cs"/>
          <w:sz w:val="16"/>
          <w:szCs w:val="16"/>
          <w:rtl/>
        </w:rPr>
        <w:t>(</w:t>
      </w:r>
      <w:r w:rsidRPr="007D1720">
        <w:rPr>
          <w:sz w:val="16"/>
          <w:szCs w:val="16"/>
          <w:rtl/>
        </w:rPr>
        <w:t>כלל לא ד</w:t>
      </w:r>
      <w:r>
        <w:rPr>
          <w:rFonts w:hint="cs"/>
          <w:sz w:val="16"/>
          <w:szCs w:val="16"/>
          <w:rtl/>
        </w:rPr>
        <w:t>"</w:t>
      </w:r>
      <w:r w:rsidRPr="007D1720">
        <w:rPr>
          <w:sz w:val="16"/>
          <w:szCs w:val="16"/>
          <w:rtl/>
        </w:rPr>
        <w:t>ו)</w:t>
      </w:r>
      <w:r w:rsidRPr="0097654E">
        <w:rPr>
          <w:rFonts w:cs="Arial"/>
          <w:rtl/>
        </w:rPr>
        <w:t xml:space="preserve"> </w:t>
      </w:r>
      <w:r>
        <w:rPr>
          <w:rFonts w:cs="Arial"/>
          <w:rtl/>
        </w:rPr>
        <w:t xml:space="preserve">בשם </w:t>
      </w:r>
      <w:r w:rsidRPr="0097654E">
        <w:rPr>
          <w:rFonts w:cs="Arial"/>
          <w:rtl/>
        </w:rPr>
        <w:t xml:space="preserve">ר"י מפרי"ז </w:t>
      </w:r>
      <w:r w:rsidRPr="0097654E">
        <w:rPr>
          <w:rFonts w:cs="Arial" w:hint="cs"/>
          <w:sz w:val="16"/>
          <w:szCs w:val="16"/>
          <w:rtl/>
        </w:rPr>
        <w:t>(פסקי ר"י מפאריש סי' כא)</w:t>
      </w:r>
      <w:r>
        <w:rPr>
          <w:rFonts w:hint="cs"/>
          <w:rtl/>
        </w:rPr>
        <w:t>-</w:t>
      </w:r>
      <w:r>
        <w:rPr>
          <w:rtl/>
        </w:rPr>
        <w:t xml:space="preserve"> אם נפל לארץ </w:t>
      </w:r>
      <w:r w:rsidRPr="00440427">
        <w:rPr>
          <w:rFonts w:cs="Arial"/>
          <w:rtl/>
        </w:rPr>
        <w:t>ח</w:t>
      </w:r>
      <w:r>
        <w:rPr>
          <w:rFonts w:cs="Arial" w:hint="cs"/>
          <w:rtl/>
        </w:rPr>
        <w:t>ֵ</w:t>
      </w:r>
      <w:r w:rsidRPr="00440427">
        <w:rPr>
          <w:rFonts w:cs="Arial"/>
          <w:rtl/>
        </w:rPr>
        <w:t>ל</w:t>
      </w:r>
      <w:r>
        <w:rPr>
          <w:rFonts w:cs="Arial" w:hint="cs"/>
          <w:rtl/>
        </w:rPr>
        <w:t>ֶ</w:t>
      </w:r>
      <w:r w:rsidRPr="00440427">
        <w:rPr>
          <w:rFonts w:cs="Arial"/>
          <w:rtl/>
        </w:rPr>
        <w:t>ב</w:t>
      </w:r>
      <w:r>
        <w:rPr>
          <w:rtl/>
        </w:rPr>
        <w:t xml:space="preserve"> והקרקע לחה והושיב בה קדרה רותחת צריך </w:t>
      </w:r>
      <w:r>
        <w:rPr>
          <w:rFonts w:hint="cs"/>
          <w:rtl/>
        </w:rPr>
        <w:t>ס'</w:t>
      </w:r>
      <w:r>
        <w:rPr>
          <w:rtl/>
        </w:rPr>
        <w:t xml:space="preserve"> כנגד מה שאומדין שהיה </w:t>
      </w:r>
      <w:r w:rsidRPr="00440427">
        <w:rPr>
          <w:rFonts w:cs="Arial"/>
          <w:rtl/>
        </w:rPr>
        <w:t>ח</w:t>
      </w:r>
      <w:r>
        <w:rPr>
          <w:rFonts w:cs="Arial" w:hint="cs"/>
          <w:rtl/>
        </w:rPr>
        <w:t>ֵ</w:t>
      </w:r>
      <w:r w:rsidRPr="00440427">
        <w:rPr>
          <w:rFonts w:cs="Arial"/>
          <w:rtl/>
        </w:rPr>
        <w:t>ל</w:t>
      </w:r>
      <w:r>
        <w:rPr>
          <w:rFonts w:cs="Arial" w:hint="cs"/>
          <w:rtl/>
        </w:rPr>
        <w:t>ֶ</w:t>
      </w:r>
      <w:r w:rsidRPr="00440427">
        <w:rPr>
          <w:rFonts w:cs="Arial"/>
          <w:rtl/>
        </w:rPr>
        <w:t>ב</w:t>
      </w:r>
      <w:r>
        <w:rPr>
          <w:rtl/>
        </w:rPr>
        <w:t xml:space="preserve"> תחת הקדרה</w:t>
      </w:r>
      <w:r>
        <w:rPr>
          <w:rFonts w:hint="cs"/>
          <w:rtl/>
        </w:rPr>
        <w:t xml:space="preserve"> ומותר,</w:t>
      </w:r>
      <w:r>
        <w:rPr>
          <w:rtl/>
        </w:rPr>
        <w:t xml:space="preserve"> וה"ה אם היה תחתיו שאר איסורין</w:t>
      </w:r>
      <w:r>
        <w:rPr>
          <w:rFonts w:hint="cs"/>
          <w:rtl/>
        </w:rPr>
        <w:t>,</w:t>
      </w:r>
      <w:r>
        <w:rPr>
          <w:rtl/>
        </w:rPr>
        <w:t xml:space="preserve"> וכל הקדרות דין אחד להן להקל</w:t>
      </w:r>
      <w:r>
        <w:rPr>
          <w:rStyle w:val="a7"/>
          <w:rtl/>
        </w:rPr>
        <w:footnoteReference w:id="1483"/>
      </w:r>
      <w:r>
        <w:rPr>
          <w:rFonts w:hint="cs"/>
          <w:rtl/>
        </w:rPr>
        <w:t xml:space="preserve">. </w:t>
      </w:r>
    </w:p>
    <w:p w14:paraId="3352C68A" w14:textId="77777777" w:rsidR="002C39F4" w:rsidRPr="0097654E" w:rsidRDefault="002C39F4" w:rsidP="0032102C">
      <w:pPr>
        <w:pStyle w:val="a8"/>
        <w:numPr>
          <w:ilvl w:val="0"/>
          <w:numId w:val="114"/>
        </w:numPr>
        <w:rPr>
          <w:rtl/>
        </w:rPr>
      </w:pPr>
      <w:r w:rsidRPr="007D1720">
        <w:rPr>
          <w:rtl/>
        </w:rPr>
        <w:t>הגשע</w:t>
      </w:r>
      <w:r w:rsidRPr="007D1720">
        <w:rPr>
          <w:rFonts w:hint="cs"/>
          <w:rtl/>
        </w:rPr>
        <w:t>"</w:t>
      </w:r>
      <w:r w:rsidRPr="007D1720">
        <w:rPr>
          <w:rtl/>
        </w:rPr>
        <w:t xml:space="preserve">ד </w:t>
      </w:r>
      <w:r w:rsidRPr="007977AB">
        <w:rPr>
          <w:rFonts w:hint="cs"/>
          <w:sz w:val="16"/>
          <w:szCs w:val="16"/>
          <w:rtl/>
        </w:rPr>
        <w:t>(</w:t>
      </w:r>
      <w:r w:rsidRPr="007977AB">
        <w:rPr>
          <w:sz w:val="16"/>
          <w:szCs w:val="16"/>
          <w:rtl/>
        </w:rPr>
        <w:t>סי</w:t>
      </w:r>
      <w:r w:rsidRPr="007977AB">
        <w:rPr>
          <w:rFonts w:hint="cs"/>
          <w:sz w:val="16"/>
          <w:szCs w:val="16"/>
          <w:rtl/>
        </w:rPr>
        <w:t>'</w:t>
      </w:r>
      <w:r w:rsidRPr="007977AB">
        <w:rPr>
          <w:sz w:val="16"/>
          <w:szCs w:val="16"/>
          <w:rtl/>
        </w:rPr>
        <w:t xml:space="preserve"> נה סק</w:t>
      </w:r>
      <w:r w:rsidRPr="007977AB">
        <w:rPr>
          <w:rFonts w:hint="cs"/>
          <w:sz w:val="16"/>
          <w:szCs w:val="16"/>
          <w:rtl/>
        </w:rPr>
        <w:t>"</w:t>
      </w:r>
      <w:r w:rsidRPr="007977AB">
        <w:rPr>
          <w:sz w:val="16"/>
          <w:szCs w:val="16"/>
          <w:rtl/>
        </w:rPr>
        <w:t>ה ד"ה מעשה בא)</w:t>
      </w:r>
      <w:r>
        <w:rPr>
          <w:rFonts w:hint="cs"/>
          <w:rtl/>
        </w:rPr>
        <w:t>-</w:t>
      </w:r>
      <w:r w:rsidRPr="007D1720">
        <w:rPr>
          <w:rtl/>
        </w:rPr>
        <w:t xml:space="preserve"> מעשה בא לפני הר"ם שנשפך רוטב חם מקדרת בשר רותחת ושוב נתיישבה קדרה של חרס חולבת לתוך אותו רוטב על הקרקע</w:t>
      </w:r>
      <w:r>
        <w:rPr>
          <w:rFonts w:hint="cs"/>
          <w:rtl/>
        </w:rPr>
        <w:t>,</w:t>
      </w:r>
      <w:r w:rsidRPr="007D1720">
        <w:rPr>
          <w:rtl/>
        </w:rPr>
        <w:t xml:space="preserve"> והתירו</w:t>
      </w:r>
      <w:r>
        <w:rPr>
          <w:rFonts w:hint="cs"/>
          <w:rtl/>
        </w:rPr>
        <w:t>,</w:t>
      </w:r>
      <w:r w:rsidRPr="007D1720">
        <w:rPr>
          <w:rtl/>
        </w:rPr>
        <w:t xml:space="preserve"> כי אמר אפילו היה אותו רוטב בכלי והושמה קדרה חולבת בתוכו קיי"ל כלי שני אינו מבשל</w:t>
      </w:r>
      <w:r>
        <w:rPr>
          <w:rFonts w:hint="cs"/>
          <w:rtl/>
        </w:rPr>
        <w:t>,</w:t>
      </w:r>
      <w:r w:rsidRPr="007D1720">
        <w:rPr>
          <w:rtl/>
        </w:rPr>
        <w:t xml:space="preserve"> </w:t>
      </w:r>
      <w:r>
        <w:rPr>
          <w:rFonts w:hint="cs"/>
          <w:rtl/>
        </w:rPr>
        <w:t>כל שכן</w:t>
      </w:r>
      <w:r>
        <w:rPr>
          <w:rtl/>
        </w:rPr>
        <w:t xml:space="preserve"> ה</w:t>
      </w:r>
      <w:r w:rsidRPr="007D1720">
        <w:rPr>
          <w:rtl/>
        </w:rPr>
        <w:t>כא שנבלע רוב רוטב בקרקע</w:t>
      </w:r>
      <w:r>
        <w:rPr>
          <w:rStyle w:val="a7"/>
          <w:rtl/>
        </w:rPr>
        <w:footnoteReference w:id="1484"/>
      </w:r>
      <w:r>
        <w:rPr>
          <w:rFonts w:hint="cs"/>
          <w:rtl/>
        </w:rPr>
        <w:t xml:space="preserve">. </w:t>
      </w:r>
      <w:r w:rsidRPr="00CC3D42">
        <w:rPr>
          <w:rFonts w:cs="Arial" w:hint="cs"/>
          <w:color w:val="00B0F0"/>
          <w:rtl/>
        </w:rPr>
        <w:t>(וכ"פ הרמ"א)</w:t>
      </w:r>
    </w:p>
    <w:p w14:paraId="09976677" w14:textId="77777777" w:rsidR="002C39F4" w:rsidRPr="00583FC4" w:rsidRDefault="002C39F4" w:rsidP="002C39F4">
      <w:pPr>
        <w:rPr>
          <w:rFonts w:cs="Arial"/>
          <w:sz w:val="16"/>
          <w:szCs w:val="16"/>
          <w:rtl/>
        </w:rPr>
      </w:pPr>
      <w:r w:rsidRPr="00583FC4">
        <w:rPr>
          <w:rFonts w:cs="Arial"/>
          <w:u w:val="single"/>
          <w:rtl/>
        </w:rPr>
        <w:t xml:space="preserve">טיפת חלב </w:t>
      </w:r>
      <w:r w:rsidRPr="00583FC4">
        <w:rPr>
          <w:rFonts w:cs="Arial" w:hint="cs"/>
          <w:u w:val="single"/>
          <w:rtl/>
        </w:rPr>
        <w:t xml:space="preserve">שנפלה </w:t>
      </w:r>
      <w:r w:rsidRPr="00583FC4">
        <w:rPr>
          <w:rFonts w:cs="Arial"/>
          <w:u w:val="single"/>
          <w:rtl/>
        </w:rPr>
        <w:t>על קדירה עם מים אצל האש ובתוך מעת לעת בשלו בה בשר</w:t>
      </w:r>
      <w:r w:rsidRPr="00583FC4">
        <w:rPr>
          <w:rFonts w:cs="Arial" w:hint="cs"/>
          <w:u w:val="single"/>
          <w:rtl/>
        </w:rPr>
        <w:t>:</w:t>
      </w:r>
      <w:r>
        <w:rPr>
          <w:rFonts w:cs="Arial" w:hint="cs"/>
          <w:sz w:val="16"/>
          <w:szCs w:val="16"/>
          <w:rtl/>
        </w:rPr>
        <w:t xml:space="preserve">   (ט"ז [סקכ"ד])</w:t>
      </w:r>
    </w:p>
    <w:p w14:paraId="10429DE7" w14:textId="77777777" w:rsidR="002C39F4" w:rsidRDefault="002C39F4" w:rsidP="0032102C">
      <w:pPr>
        <w:pStyle w:val="a8"/>
        <w:numPr>
          <w:ilvl w:val="0"/>
          <w:numId w:val="115"/>
        </w:numPr>
        <w:rPr>
          <w:rFonts w:asciiTheme="minorBidi" w:hAnsiTheme="minorBidi"/>
        </w:rPr>
      </w:pPr>
      <w:r>
        <w:rPr>
          <w:rFonts w:cs="Arial"/>
          <w:rtl/>
        </w:rPr>
        <w:t>או"ה</w:t>
      </w:r>
      <w:r w:rsidRPr="00583FC4">
        <w:rPr>
          <w:rFonts w:cs="Arial"/>
          <w:rtl/>
        </w:rPr>
        <w:t xml:space="preserve"> </w:t>
      </w:r>
      <w:r w:rsidRPr="00583FC4">
        <w:rPr>
          <w:rFonts w:cs="Arial" w:hint="cs"/>
          <w:sz w:val="16"/>
          <w:szCs w:val="16"/>
          <w:rtl/>
        </w:rPr>
        <w:t>(</w:t>
      </w:r>
      <w:r w:rsidRPr="00583FC4">
        <w:rPr>
          <w:rFonts w:cs="Arial"/>
          <w:sz w:val="16"/>
          <w:szCs w:val="16"/>
          <w:rtl/>
        </w:rPr>
        <w:t>כלל לא</w:t>
      </w:r>
      <w:r w:rsidRPr="00583FC4">
        <w:rPr>
          <w:rFonts w:cs="Arial" w:hint="cs"/>
          <w:sz w:val="16"/>
          <w:szCs w:val="16"/>
          <w:rtl/>
        </w:rPr>
        <w:t>)</w:t>
      </w:r>
      <w:r w:rsidRPr="00583FC4">
        <w:rPr>
          <w:rFonts w:cs="Arial" w:hint="cs"/>
          <w:rtl/>
        </w:rPr>
        <w:t>-</w:t>
      </w:r>
      <w:r w:rsidRPr="00583FC4">
        <w:rPr>
          <w:rFonts w:cs="Arial"/>
          <w:rtl/>
        </w:rPr>
        <w:t xml:space="preserve"> אם נפל טיפת חלב על הקד</w:t>
      </w:r>
      <w:r>
        <w:rPr>
          <w:rFonts w:cs="Arial"/>
          <w:rtl/>
        </w:rPr>
        <w:t>ירה עם מים אצל האש ובתוך מע</w:t>
      </w:r>
      <w:r>
        <w:rPr>
          <w:rFonts w:cs="Arial" w:hint="cs"/>
          <w:rtl/>
        </w:rPr>
        <w:t>ל"ע</w:t>
      </w:r>
      <w:r w:rsidRPr="00583FC4">
        <w:rPr>
          <w:rFonts w:cs="Arial"/>
          <w:rtl/>
        </w:rPr>
        <w:t xml:space="preserve"> בשלו בה בשר אפילו לא היה ס' במים נגד הטיפה מותר הבשר דאם לא עברה תחלה לתוך קדירה גם כן בפעם</w:t>
      </w:r>
      <w:r>
        <w:rPr>
          <w:rFonts w:cs="Arial"/>
          <w:rtl/>
        </w:rPr>
        <w:t xml:space="preserve"> השני לא תעבור ומותר הבשר בדיע</w:t>
      </w:r>
      <w:r>
        <w:rPr>
          <w:rFonts w:cs="Arial" w:hint="cs"/>
          <w:rtl/>
        </w:rPr>
        <w:t>בד,</w:t>
      </w:r>
      <w:r>
        <w:rPr>
          <w:rFonts w:cs="Arial"/>
          <w:rtl/>
        </w:rPr>
        <w:t xml:space="preserve"> ואפי</w:t>
      </w:r>
      <w:r>
        <w:rPr>
          <w:rFonts w:cs="Arial" w:hint="cs"/>
          <w:rtl/>
        </w:rPr>
        <w:t>לו</w:t>
      </w:r>
      <w:r w:rsidRPr="00583FC4">
        <w:rPr>
          <w:rFonts w:cs="Arial"/>
          <w:rtl/>
        </w:rPr>
        <w:t xml:space="preserve"> אם עוברת לפנים תחלה מ"מ אין בקדרה מן החלב אלא לפי שיעור המדומע במים דהא בהיתר לא חשבינן כל החתיכה כבליעה עצמה ונגד הדבר המועט ההוא מסתמא יש ס' בבשר</w:t>
      </w:r>
      <w:r>
        <w:rPr>
          <w:rFonts w:asciiTheme="minorBidi" w:hAnsiTheme="minorBidi" w:hint="cs"/>
          <w:rtl/>
        </w:rPr>
        <w:t>.</w:t>
      </w:r>
    </w:p>
    <w:p w14:paraId="66B0630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7D3377E" w14:textId="77777777" w:rsidR="002C39F4" w:rsidRDefault="002C39F4" w:rsidP="002C39F4">
      <w:pPr>
        <w:rPr>
          <w:rFonts w:asciiTheme="minorBidi" w:hAnsiTheme="minorBidi"/>
          <w:rtl/>
        </w:rPr>
      </w:pPr>
      <w:r>
        <w:rPr>
          <w:rFonts w:asciiTheme="minorBidi" w:hAnsiTheme="minorBidi"/>
          <w:rtl/>
        </w:rPr>
        <w:t>יש מי שמתיר בשעת הדחק כגון בערב שבת</w:t>
      </w:r>
      <w:r>
        <w:rPr>
          <w:rStyle w:val="a7"/>
          <w:rFonts w:asciiTheme="minorBidi" w:hAnsiTheme="minorBidi"/>
          <w:rtl/>
        </w:rPr>
        <w:footnoteReference w:id="1485"/>
      </w:r>
      <w:r w:rsidRPr="003024E5">
        <w:rPr>
          <w:rFonts w:asciiTheme="minorBidi" w:hAnsiTheme="minorBidi"/>
          <w:rtl/>
        </w:rPr>
        <w:t xml:space="preserve"> אפילו שלא</w:t>
      </w:r>
      <w:r>
        <w:rPr>
          <w:rFonts w:asciiTheme="minorBidi" w:hAnsiTheme="minorBidi"/>
          <w:rtl/>
        </w:rPr>
        <w:t xml:space="preserve"> כנגד הרוטב</w:t>
      </w:r>
      <w:r>
        <w:rPr>
          <w:rStyle w:val="a7"/>
          <w:rFonts w:asciiTheme="minorBidi" w:hAnsiTheme="minorBidi"/>
          <w:rtl/>
        </w:rPr>
        <w:footnoteReference w:id="1486"/>
      </w:r>
      <w:r>
        <w:rPr>
          <w:rFonts w:asciiTheme="minorBidi" w:hAnsiTheme="minorBidi"/>
          <w:rtl/>
        </w:rPr>
        <w:t xml:space="preserve"> אפילו שלא כנגד האש על ידי </w:t>
      </w:r>
      <w:r>
        <w:rPr>
          <w:rFonts w:asciiTheme="minorBidi" w:hAnsiTheme="minorBidi" w:hint="cs"/>
          <w:rtl/>
        </w:rPr>
        <w:t>ששים</w:t>
      </w:r>
      <w:r>
        <w:rPr>
          <w:rStyle w:val="a7"/>
          <w:rFonts w:asciiTheme="minorBidi" w:hAnsiTheme="minorBidi"/>
          <w:rtl/>
        </w:rPr>
        <w:footnoteReference w:id="1487"/>
      </w:r>
      <w:r w:rsidRPr="003024E5">
        <w:rPr>
          <w:rFonts w:asciiTheme="minorBidi" w:hAnsiTheme="minorBidi"/>
          <w:rtl/>
        </w:rPr>
        <w:t xml:space="preserve">. </w:t>
      </w:r>
      <w:r w:rsidRPr="00C631DE">
        <w:rPr>
          <w:rFonts w:asciiTheme="minorBidi" w:hAnsiTheme="minorBidi"/>
          <w:sz w:val="18"/>
          <w:szCs w:val="18"/>
          <w:rtl/>
        </w:rPr>
        <w:t>הגה: והכי נהוג (ארוך). ואם נשפך חלב או שאר איסור רותח על ג</w:t>
      </w:r>
      <w:r>
        <w:rPr>
          <w:rFonts w:asciiTheme="minorBidi" w:hAnsiTheme="minorBidi"/>
          <w:sz w:val="18"/>
          <w:szCs w:val="18"/>
          <w:rtl/>
        </w:rPr>
        <w:t>בי קרקע והעמידו עליו קדירה חמה</w:t>
      </w:r>
      <w:r>
        <w:rPr>
          <w:rFonts w:asciiTheme="minorBidi" w:hAnsiTheme="minorBidi" w:hint="cs"/>
          <w:sz w:val="18"/>
          <w:szCs w:val="18"/>
          <w:rtl/>
        </w:rPr>
        <w:t>,</w:t>
      </w:r>
      <w:r>
        <w:rPr>
          <w:rFonts w:asciiTheme="minorBidi" w:hAnsiTheme="minorBidi"/>
          <w:sz w:val="18"/>
          <w:szCs w:val="18"/>
          <w:rtl/>
        </w:rPr>
        <w:t xml:space="preserve"> אם מה שנשפך אינו אצל האש</w:t>
      </w:r>
      <w:r>
        <w:rPr>
          <w:rStyle w:val="a7"/>
          <w:rFonts w:asciiTheme="minorBidi" w:hAnsiTheme="minorBidi"/>
          <w:sz w:val="18"/>
          <w:szCs w:val="18"/>
          <w:rtl/>
        </w:rPr>
        <w:footnoteReference w:id="1488"/>
      </w:r>
      <w:r w:rsidRPr="00C631DE">
        <w:rPr>
          <w:rFonts w:asciiTheme="minorBidi" w:hAnsiTheme="minorBidi"/>
          <w:sz w:val="18"/>
          <w:szCs w:val="18"/>
          <w:rtl/>
        </w:rPr>
        <w:t xml:space="preserve"> לא הוי רק כלי </w:t>
      </w:r>
      <w:r>
        <w:rPr>
          <w:rFonts w:asciiTheme="minorBidi" w:hAnsiTheme="minorBidi"/>
          <w:sz w:val="18"/>
          <w:szCs w:val="18"/>
          <w:rtl/>
        </w:rPr>
        <w:t>שני</w:t>
      </w:r>
      <w:r>
        <w:rPr>
          <w:rFonts w:asciiTheme="minorBidi" w:hAnsiTheme="minorBidi" w:hint="cs"/>
          <w:sz w:val="18"/>
          <w:szCs w:val="18"/>
          <w:rtl/>
        </w:rPr>
        <w:t>,</w:t>
      </w:r>
      <w:r>
        <w:rPr>
          <w:rFonts w:asciiTheme="minorBidi" w:hAnsiTheme="minorBidi"/>
          <w:sz w:val="18"/>
          <w:szCs w:val="18"/>
          <w:rtl/>
        </w:rPr>
        <w:t xml:space="preserve"> ולכן הקדירה אסורה דבולע קצת </w:t>
      </w:r>
      <w:r>
        <w:rPr>
          <w:rFonts w:asciiTheme="minorBidi" w:hAnsiTheme="minorBidi" w:hint="cs"/>
          <w:sz w:val="18"/>
          <w:szCs w:val="18"/>
          <w:rtl/>
        </w:rPr>
        <w:t xml:space="preserve">(ד"ע לאפוקי ב"י בשם מצאתי כתוב) </w:t>
      </w:r>
      <w:r>
        <w:rPr>
          <w:rFonts w:asciiTheme="minorBidi" w:hAnsiTheme="minorBidi"/>
          <w:sz w:val="18"/>
          <w:szCs w:val="18"/>
          <w:rtl/>
        </w:rPr>
        <w:t>והתבשיל מותר דתתאי גבר (הג</w:t>
      </w:r>
      <w:r w:rsidRPr="00C631DE">
        <w:rPr>
          <w:rFonts w:asciiTheme="minorBidi" w:hAnsiTheme="minorBidi"/>
          <w:sz w:val="18"/>
          <w:szCs w:val="18"/>
          <w:rtl/>
        </w:rPr>
        <w:t>ש</w:t>
      </w:r>
      <w:r>
        <w:rPr>
          <w:rFonts w:asciiTheme="minorBidi" w:hAnsiTheme="minorBidi" w:hint="cs"/>
          <w:sz w:val="18"/>
          <w:szCs w:val="18"/>
          <w:rtl/>
        </w:rPr>
        <w:t>ע</w:t>
      </w:r>
      <w:r>
        <w:rPr>
          <w:rFonts w:asciiTheme="minorBidi" w:hAnsiTheme="minorBidi"/>
          <w:sz w:val="18"/>
          <w:szCs w:val="18"/>
          <w:rtl/>
        </w:rPr>
        <w:t xml:space="preserve">"ד </w:t>
      </w:r>
      <w:r>
        <w:rPr>
          <w:rFonts w:asciiTheme="minorBidi" w:hAnsiTheme="minorBidi" w:hint="cs"/>
          <w:sz w:val="18"/>
          <w:szCs w:val="18"/>
          <w:rtl/>
        </w:rPr>
        <w:t>בשם מהר"ם</w:t>
      </w:r>
      <w:r w:rsidRPr="00C631DE">
        <w:rPr>
          <w:rFonts w:asciiTheme="minorBidi" w:hAnsiTheme="minorBidi"/>
          <w:sz w:val="18"/>
          <w:szCs w:val="18"/>
          <w:rtl/>
        </w:rPr>
        <w:t xml:space="preserve">). וקלוח מן הקדירה רותחת שהלך אל קדירה צוננת, אם נפסק הקלוח מן הקדירה הרותחת קודם שהגיע אל </w:t>
      </w:r>
      <w:r>
        <w:rPr>
          <w:rFonts w:asciiTheme="minorBidi" w:hAnsiTheme="minorBidi"/>
          <w:sz w:val="18"/>
          <w:szCs w:val="18"/>
          <w:rtl/>
        </w:rPr>
        <w:t>הצונן הוי נמי ככלי שני</w:t>
      </w:r>
      <w:r>
        <w:rPr>
          <w:rStyle w:val="a7"/>
          <w:rFonts w:asciiTheme="minorBidi" w:hAnsiTheme="minorBidi"/>
          <w:sz w:val="18"/>
          <w:szCs w:val="18"/>
          <w:rtl/>
        </w:rPr>
        <w:footnoteReference w:id="1489"/>
      </w:r>
      <w:r>
        <w:rPr>
          <w:rFonts w:asciiTheme="minorBidi" w:hAnsiTheme="minorBidi"/>
          <w:sz w:val="18"/>
          <w:szCs w:val="18"/>
          <w:rtl/>
        </w:rPr>
        <w:t xml:space="preserve"> (כ</w:t>
      </w:r>
      <w:r>
        <w:rPr>
          <w:rFonts w:asciiTheme="minorBidi" w:hAnsiTheme="minorBidi" w:hint="cs"/>
          <w:sz w:val="18"/>
          <w:szCs w:val="18"/>
          <w:rtl/>
        </w:rPr>
        <w:t>"</w:t>
      </w:r>
      <w:r>
        <w:rPr>
          <w:rFonts w:asciiTheme="minorBidi" w:hAnsiTheme="minorBidi"/>
          <w:sz w:val="18"/>
          <w:szCs w:val="18"/>
          <w:rtl/>
        </w:rPr>
        <w:t>מ בשערים מתשו</w:t>
      </w:r>
      <w:r>
        <w:rPr>
          <w:rFonts w:asciiTheme="minorBidi" w:hAnsiTheme="minorBidi" w:hint="cs"/>
          <w:sz w:val="18"/>
          <w:szCs w:val="18"/>
          <w:rtl/>
        </w:rPr>
        <w:t>'</w:t>
      </w:r>
      <w:r>
        <w:rPr>
          <w:rFonts w:asciiTheme="minorBidi" w:hAnsiTheme="minorBidi"/>
          <w:sz w:val="18"/>
          <w:szCs w:val="18"/>
          <w:rtl/>
        </w:rPr>
        <w:t xml:space="preserve"> מהר"ם)</w:t>
      </w:r>
      <w:r>
        <w:rPr>
          <w:rFonts w:asciiTheme="minorBidi" w:hAnsiTheme="minorBidi" w:hint="cs"/>
          <w:sz w:val="18"/>
          <w:szCs w:val="18"/>
          <w:rtl/>
        </w:rPr>
        <w:t>,</w:t>
      </w:r>
      <w:r>
        <w:rPr>
          <w:rFonts w:asciiTheme="minorBidi" w:hAnsiTheme="minorBidi"/>
          <w:sz w:val="18"/>
          <w:szCs w:val="18"/>
          <w:rtl/>
        </w:rPr>
        <w:t xml:space="preserve"> ואם לא נפסק</w:t>
      </w:r>
      <w:r w:rsidRPr="00C631DE">
        <w:rPr>
          <w:rFonts w:asciiTheme="minorBidi" w:hAnsiTheme="minorBidi"/>
          <w:sz w:val="18"/>
          <w:szCs w:val="18"/>
          <w:rtl/>
        </w:rPr>
        <w:t xml:space="preserve"> הוי כעירוי והקדיר</w:t>
      </w:r>
      <w:r>
        <w:rPr>
          <w:rFonts w:asciiTheme="minorBidi" w:hAnsiTheme="minorBidi"/>
          <w:sz w:val="18"/>
          <w:szCs w:val="18"/>
          <w:rtl/>
        </w:rPr>
        <w:t>ה הצוננת נאסרה</w:t>
      </w:r>
      <w:r w:rsidRPr="00C631DE">
        <w:rPr>
          <w:rFonts w:asciiTheme="minorBidi" w:hAnsiTheme="minorBidi"/>
          <w:sz w:val="18"/>
          <w:szCs w:val="18"/>
          <w:rtl/>
        </w:rPr>
        <w:t xml:space="preserve"> אם היד סולדת בקלוח ה</w:t>
      </w:r>
      <w:r>
        <w:rPr>
          <w:rFonts w:asciiTheme="minorBidi" w:hAnsiTheme="minorBidi"/>
          <w:sz w:val="18"/>
          <w:szCs w:val="18"/>
          <w:rtl/>
        </w:rPr>
        <w:t>נוגע בקדירה (ת</w:t>
      </w:r>
      <w:r>
        <w:rPr>
          <w:rFonts w:asciiTheme="minorBidi" w:hAnsiTheme="minorBidi" w:hint="cs"/>
          <w:sz w:val="18"/>
          <w:szCs w:val="18"/>
          <w:rtl/>
        </w:rPr>
        <w:t>רו</w:t>
      </w:r>
      <w:r>
        <w:rPr>
          <w:rFonts w:asciiTheme="minorBidi" w:hAnsiTheme="minorBidi"/>
          <w:sz w:val="18"/>
          <w:szCs w:val="18"/>
          <w:rtl/>
        </w:rPr>
        <w:t>ה</w:t>
      </w:r>
      <w:r>
        <w:rPr>
          <w:rFonts w:asciiTheme="minorBidi" w:hAnsiTheme="minorBidi" w:hint="cs"/>
          <w:sz w:val="18"/>
          <w:szCs w:val="18"/>
          <w:rtl/>
        </w:rPr>
        <w:t>"ד</w:t>
      </w:r>
      <w:r>
        <w:rPr>
          <w:rFonts w:asciiTheme="minorBidi" w:hAnsiTheme="minorBidi"/>
          <w:sz w:val="18"/>
          <w:szCs w:val="18"/>
          <w:rtl/>
        </w:rPr>
        <w:t xml:space="preserve"> סי' קפא</w:t>
      </w:r>
      <w:r w:rsidRPr="00C631DE">
        <w:rPr>
          <w:rFonts w:asciiTheme="minorBidi" w:hAnsiTheme="minorBidi"/>
          <w:sz w:val="18"/>
          <w:szCs w:val="18"/>
          <w:rtl/>
        </w:rPr>
        <w:t>), והתבשיל שבתוכה שר</w:t>
      </w:r>
      <w:r>
        <w:rPr>
          <w:rFonts w:asciiTheme="minorBidi" w:hAnsiTheme="minorBidi"/>
          <w:sz w:val="18"/>
          <w:szCs w:val="18"/>
          <w:rtl/>
        </w:rPr>
        <w:t>י, דאין עירוי אוסר רק כדי קליפה</w:t>
      </w:r>
      <w:r>
        <w:rPr>
          <w:rStyle w:val="a7"/>
          <w:rFonts w:asciiTheme="minorBidi" w:hAnsiTheme="minorBidi"/>
          <w:sz w:val="18"/>
          <w:szCs w:val="18"/>
          <w:rtl/>
        </w:rPr>
        <w:footnoteReference w:id="1490"/>
      </w:r>
      <w:r>
        <w:rPr>
          <w:rFonts w:asciiTheme="minorBidi" w:hAnsiTheme="minorBidi" w:hint="cs"/>
          <w:sz w:val="18"/>
          <w:szCs w:val="18"/>
          <w:rtl/>
        </w:rPr>
        <w:t>,</w:t>
      </w:r>
      <w:r>
        <w:rPr>
          <w:rFonts w:asciiTheme="minorBidi" w:hAnsiTheme="minorBidi"/>
          <w:sz w:val="18"/>
          <w:szCs w:val="18"/>
          <w:rtl/>
        </w:rPr>
        <w:t xml:space="preserve"> אבל אם הקדירה היא חמה</w:t>
      </w:r>
      <w:r w:rsidRPr="00C631DE">
        <w:rPr>
          <w:rFonts w:asciiTheme="minorBidi" w:hAnsiTheme="minorBidi"/>
          <w:sz w:val="18"/>
          <w:szCs w:val="18"/>
          <w:rtl/>
        </w:rPr>
        <w:t xml:space="preserve"> והוא כלי ראשון, וכ"ש עומד אצל האש,</w:t>
      </w:r>
      <w:r>
        <w:rPr>
          <w:rFonts w:asciiTheme="minorBidi" w:hAnsiTheme="minorBidi"/>
          <w:sz w:val="18"/>
          <w:szCs w:val="18"/>
          <w:rtl/>
        </w:rPr>
        <w:t xml:space="preserve"> אפילו הקלוח הוא צונן, הכל אסור דתתאי גבר</w:t>
      </w:r>
      <w:r>
        <w:rPr>
          <w:rStyle w:val="a7"/>
          <w:rFonts w:asciiTheme="minorBidi" w:hAnsiTheme="minorBidi"/>
          <w:sz w:val="18"/>
          <w:szCs w:val="18"/>
          <w:rtl/>
        </w:rPr>
        <w:footnoteReference w:id="1491"/>
      </w:r>
      <w:r w:rsidRPr="00C631DE">
        <w:rPr>
          <w:rFonts w:asciiTheme="minorBidi" w:hAnsiTheme="minorBidi"/>
          <w:sz w:val="18"/>
          <w:szCs w:val="18"/>
          <w:rtl/>
        </w:rPr>
        <w:t xml:space="preserve"> וה</w:t>
      </w:r>
      <w:r>
        <w:rPr>
          <w:rFonts w:asciiTheme="minorBidi" w:hAnsiTheme="minorBidi"/>
          <w:sz w:val="18"/>
          <w:szCs w:val="18"/>
          <w:rtl/>
        </w:rPr>
        <w:t>וי כצונן לתוך חם דכולו אסור (כ</w:t>
      </w:r>
      <w:r>
        <w:rPr>
          <w:rFonts w:asciiTheme="minorBidi" w:hAnsiTheme="minorBidi" w:hint="cs"/>
          <w:sz w:val="18"/>
          <w:szCs w:val="18"/>
          <w:rtl/>
        </w:rPr>
        <w:t>"</w:t>
      </w:r>
      <w:r>
        <w:rPr>
          <w:rFonts w:asciiTheme="minorBidi" w:hAnsiTheme="minorBidi"/>
          <w:sz w:val="18"/>
          <w:szCs w:val="18"/>
          <w:rtl/>
        </w:rPr>
        <w:t>מ</w:t>
      </w:r>
      <w:r w:rsidRPr="00C631DE">
        <w:rPr>
          <w:rFonts w:asciiTheme="minorBidi" w:hAnsiTheme="minorBidi"/>
          <w:sz w:val="18"/>
          <w:szCs w:val="18"/>
          <w:rtl/>
        </w:rPr>
        <w:t xml:space="preserve"> מב"י), כמו שנתבאר לעיל סי</w:t>
      </w:r>
      <w:r>
        <w:rPr>
          <w:rFonts w:asciiTheme="minorBidi" w:hAnsiTheme="minorBidi" w:hint="cs"/>
          <w:sz w:val="18"/>
          <w:szCs w:val="18"/>
          <w:rtl/>
        </w:rPr>
        <w:t>'</w:t>
      </w:r>
      <w:r w:rsidRPr="00C631DE">
        <w:rPr>
          <w:rFonts w:asciiTheme="minorBidi" w:hAnsiTheme="minorBidi"/>
          <w:sz w:val="18"/>
          <w:szCs w:val="18"/>
          <w:rtl/>
        </w:rPr>
        <w:t xml:space="preserve"> צא. טפה הנופלת על גבי כיסוי קדירה, דינה כנפל על גבי קדירה נגד הרוטב, והוא שהתחילה הקדירה להרתיח, דאז עולה הזיעה תמיד ומגיע אל הכיסוי </w:t>
      </w:r>
      <w:r>
        <w:rPr>
          <w:rFonts w:asciiTheme="minorBidi" w:hAnsiTheme="minorBidi"/>
          <w:sz w:val="18"/>
          <w:szCs w:val="18"/>
          <w:rtl/>
        </w:rPr>
        <w:t>ויורד משם אל הרוטב</w:t>
      </w:r>
      <w:r>
        <w:rPr>
          <w:rStyle w:val="a7"/>
          <w:rFonts w:asciiTheme="minorBidi" w:hAnsiTheme="minorBidi"/>
          <w:sz w:val="18"/>
          <w:szCs w:val="18"/>
          <w:rtl/>
        </w:rPr>
        <w:footnoteReference w:id="1492"/>
      </w:r>
      <w:r>
        <w:rPr>
          <w:rFonts w:asciiTheme="minorBidi" w:hAnsiTheme="minorBidi"/>
          <w:sz w:val="18"/>
          <w:szCs w:val="18"/>
          <w:rtl/>
        </w:rPr>
        <w:t xml:space="preserve"> (ארוך </w:t>
      </w:r>
      <w:r w:rsidRPr="00C631DE">
        <w:rPr>
          <w:rFonts w:asciiTheme="minorBidi" w:hAnsiTheme="minorBidi"/>
          <w:sz w:val="18"/>
          <w:szCs w:val="18"/>
          <w:rtl/>
        </w:rPr>
        <w:t>וש</w:t>
      </w:r>
      <w:r>
        <w:rPr>
          <w:rFonts w:asciiTheme="minorBidi" w:hAnsiTheme="minorBidi" w:hint="cs"/>
          <w:sz w:val="18"/>
          <w:szCs w:val="18"/>
          <w:rtl/>
        </w:rPr>
        <w:t>ע</w:t>
      </w:r>
      <w:r w:rsidRPr="00C631DE">
        <w:rPr>
          <w:rFonts w:asciiTheme="minorBidi" w:hAnsiTheme="minorBidi"/>
          <w:sz w:val="18"/>
          <w:szCs w:val="18"/>
          <w:rtl/>
        </w:rPr>
        <w:t>"ד).</w:t>
      </w:r>
      <w:r w:rsidRPr="003024E5">
        <w:rPr>
          <w:rFonts w:asciiTheme="minorBidi" w:hAnsiTheme="minorBidi"/>
          <w:rtl/>
        </w:rPr>
        <w:t xml:space="preserve"> </w:t>
      </w:r>
    </w:p>
    <w:p w14:paraId="1D04A89A" w14:textId="77777777" w:rsidR="002C39F4" w:rsidRPr="003024E5" w:rsidRDefault="002C39F4" w:rsidP="002C39F4">
      <w:pPr>
        <w:rPr>
          <w:rFonts w:asciiTheme="minorBidi" w:hAnsiTheme="minorBidi"/>
          <w:rtl/>
        </w:rPr>
      </w:pPr>
    </w:p>
    <w:p w14:paraId="56C4EEE4" w14:textId="77777777" w:rsidR="002C39F4" w:rsidRDefault="002C39F4" w:rsidP="002C39F4">
      <w:pPr>
        <w:pStyle w:val="2"/>
        <w:rPr>
          <w:rFonts w:asciiTheme="minorBidi" w:hAnsiTheme="minorBidi"/>
          <w:rtl/>
        </w:rPr>
      </w:pPr>
      <w:r w:rsidRPr="003024E5">
        <w:rPr>
          <w:rFonts w:asciiTheme="minorBidi" w:hAnsiTheme="minorBidi"/>
          <w:rtl/>
        </w:rPr>
        <w:t>סעיף ח</w:t>
      </w:r>
      <w:r>
        <w:rPr>
          <w:rFonts w:asciiTheme="minorBidi" w:hAnsiTheme="minorBidi" w:hint="cs"/>
          <w:rtl/>
        </w:rPr>
        <w:t>: קדרה של בשר על מחבת של חלב.</w:t>
      </w:r>
    </w:p>
    <w:p w14:paraId="5C0D7D97" w14:textId="77777777" w:rsidR="002C39F4" w:rsidRPr="00FC28CB" w:rsidRDefault="002C39F4" w:rsidP="002C39F4">
      <w:pPr>
        <w:rPr>
          <w:u w:val="single"/>
          <w:rtl/>
        </w:rPr>
      </w:pPr>
      <w:r w:rsidRPr="00FC28CB">
        <w:rPr>
          <w:rFonts w:cs="Arial"/>
          <w:u w:val="single"/>
          <w:rtl/>
        </w:rPr>
        <w:t>מחבת של חלב שנתנו בכירה תחת קדרה של בשר</w:t>
      </w:r>
      <w:r w:rsidRPr="00FC28CB">
        <w:rPr>
          <w:rFonts w:hint="cs"/>
          <w:u w:val="single"/>
          <w:rtl/>
        </w:rPr>
        <w:t>:</w:t>
      </w:r>
    </w:p>
    <w:p w14:paraId="0C97DEC1" w14:textId="77777777" w:rsidR="002C39F4" w:rsidRDefault="002C39F4" w:rsidP="0032102C">
      <w:pPr>
        <w:pStyle w:val="a8"/>
        <w:numPr>
          <w:ilvl w:val="0"/>
          <w:numId w:val="116"/>
        </w:numPr>
        <w:rPr>
          <w:rFonts w:cs="Arial"/>
        </w:rPr>
      </w:pPr>
      <w:r w:rsidRPr="00FC28CB">
        <w:rPr>
          <w:rFonts w:cs="Arial"/>
          <w:rtl/>
        </w:rPr>
        <w:t>רא"ש</w:t>
      </w:r>
      <w:r>
        <w:rPr>
          <w:rFonts w:cs="Arial" w:hint="cs"/>
          <w:rtl/>
        </w:rPr>
        <w:t xml:space="preserve"> </w:t>
      </w:r>
      <w:r w:rsidRPr="00BC2D73">
        <w:rPr>
          <w:rFonts w:cs="Arial"/>
          <w:sz w:val="16"/>
          <w:szCs w:val="16"/>
          <w:rtl/>
        </w:rPr>
        <w:t xml:space="preserve">(כלל כ דין </w:t>
      </w:r>
      <w:r w:rsidRPr="00BC2D73">
        <w:rPr>
          <w:rFonts w:cs="Arial" w:hint="cs"/>
          <w:sz w:val="16"/>
          <w:szCs w:val="16"/>
          <w:rtl/>
        </w:rPr>
        <w:t>כ</w:t>
      </w:r>
      <w:r w:rsidRPr="00BC2D73">
        <w:rPr>
          <w:rFonts w:cs="Arial"/>
          <w:sz w:val="16"/>
          <w:szCs w:val="16"/>
          <w:rtl/>
        </w:rPr>
        <w:t>ו)</w:t>
      </w:r>
      <w:r>
        <w:rPr>
          <w:rFonts w:cs="Arial" w:hint="cs"/>
          <w:rtl/>
        </w:rPr>
        <w:t xml:space="preserve">- </w:t>
      </w:r>
      <w:r w:rsidRPr="00FC28CB">
        <w:rPr>
          <w:rFonts w:cs="Arial"/>
          <w:rtl/>
        </w:rPr>
        <w:t>מחבת של חלב שנתנו בכירה תחת קדרה של בשר הזיעה עולה ונבלע בקדרה ואוסרתה</w:t>
      </w:r>
      <w:r>
        <w:rPr>
          <w:rStyle w:val="a7"/>
          <w:rFonts w:cs="Arial"/>
          <w:rtl/>
        </w:rPr>
        <w:footnoteReference w:id="1493"/>
      </w:r>
      <w:r>
        <w:rPr>
          <w:rFonts w:cs="Arial" w:hint="cs"/>
          <w:rtl/>
        </w:rPr>
        <w:t>,</w:t>
      </w:r>
      <w:r w:rsidRPr="00FC28CB">
        <w:rPr>
          <w:rFonts w:cs="Arial"/>
          <w:rtl/>
        </w:rPr>
        <w:t xml:space="preserve"> </w:t>
      </w:r>
      <w:r>
        <w:rPr>
          <w:rFonts w:cs="Arial"/>
          <w:rtl/>
        </w:rPr>
        <w:t>ו</w:t>
      </w:r>
      <w:r w:rsidRPr="00FC28CB">
        <w:rPr>
          <w:rFonts w:cs="Arial"/>
          <w:rtl/>
        </w:rPr>
        <w:t>צריך ששים פעמים ששים להתירה כדין טיפת חלב שנפל על קדרה מבחוץ</w:t>
      </w:r>
      <w:r>
        <w:rPr>
          <w:rStyle w:val="a7"/>
          <w:rFonts w:cs="Arial"/>
          <w:rtl/>
        </w:rPr>
        <w:footnoteReference w:id="1494"/>
      </w:r>
      <w:r w:rsidRPr="00FC28CB">
        <w:rPr>
          <w:rFonts w:cs="Arial" w:hint="cs"/>
          <w:rtl/>
        </w:rPr>
        <w:t>.</w:t>
      </w:r>
      <w:r w:rsidRPr="00FC28CB">
        <w:rPr>
          <w:rFonts w:cs="Arial"/>
          <w:rtl/>
        </w:rPr>
        <w:t xml:space="preserve"> </w:t>
      </w:r>
    </w:p>
    <w:p w14:paraId="39493DDF" w14:textId="77777777" w:rsidR="002C39F4" w:rsidRPr="00BC2D73" w:rsidRDefault="002C39F4" w:rsidP="002C39F4">
      <w:pPr>
        <w:ind w:left="360"/>
        <w:rPr>
          <w:rFonts w:cs="Arial"/>
          <w:u w:val="dotted"/>
          <w:rtl/>
        </w:rPr>
      </w:pPr>
      <w:r>
        <w:rPr>
          <w:rFonts w:cs="Arial" w:hint="cs"/>
          <w:u w:val="dotted"/>
          <w:rtl/>
        </w:rPr>
        <w:t>מהו שיעור ההרחקה של הקדרה מהמחבת</w:t>
      </w:r>
      <w:r w:rsidRPr="004D5887">
        <w:rPr>
          <w:rFonts w:cs="Arial" w:hint="cs"/>
          <w:sz w:val="16"/>
          <w:szCs w:val="16"/>
          <w:u w:val="dotted"/>
          <w:rtl/>
        </w:rPr>
        <w:t xml:space="preserve"> </w:t>
      </w:r>
      <w:r>
        <w:rPr>
          <w:rFonts w:cs="Arial" w:hint="cs"/>
          <w:sz w:val="16"/>
          <w:szCs w:val="16"/>
          <w:u w:val="dotted"/>
          <w:rtl/>
        </w:rPr>
        <w:t>(</w:t>
      </w:r>
      <w:r w:rsidRPr="004D5887">
        <w:rPr>
          <w:rFonts w:cs="Arial" w:hint="cs"/>
          <w:sz w:val="16"/>
          <w:szCs w:val="16"/>
          <w:u w:val="dotted"/>
          <w:rtl/>
        </w:rPr>
        <w:t>כדי שתאסר/לא תאסר)</w:t>
      </w:r>
      <w:r>
        <w:rPr>
          <w:rFonts w:cs="Arial" w:hint="cs"/>
          <w:u w:val="dotted"/>
          <w:rtl/>
        </w:rPr>
        <w:t>:</w:t>
      </w:r>
    </w:p>
    <w:p w14:paraId="49D770D9" w14:textId="77777777" w:rsidR="002C39F4" w:rsidRPr="004D5887" w:rsidRDefault="002C39F4" w:rsidP="0032102C">
      <w:pPr>
        <w:pStyle w:val="a8"/>
        <w:numPr>
          <w:ilvl w:val="0"/>
          <w:numId w:val="116"/>
        </w:numPr>
        <w:rPr>
          <w:rtl/>
        </w:rPr>
      </w:pPr>
      <w:r w:rsidRPr="00FC28CB">
        <w:rPr>
          <w:rFonts w:cs="Arial"/>
          <w:rtl/>
        </w:rPr>
        <w:t>ת</w:t>
      </w:r>
      <w:r>
        <w:rPr>
          <w:rFonts w:cs="Arial" w:hint="cs"/>
          <w:rtl/>
        </w:rPr>
        <w:t>רו</w:t>
      </w:r>
      <w:r w:rsidRPr="00FC28CB">
        <w:rPr>
          <w:rFonts w:cs="Arial"/>
          <w:rtl/>
        </w:rPr>
        <w:t xml:space="preserve">ה"ד </w:t>
      </w:r>
      <w:r w:rsidRPr="00BC2D73">
        <w:rPr>
          <w:rFonts w:cs="Arial" w:hint="cs"/>
          <w:sz w:val="16"/>
          <w:szCs w:val="16"/>
          <w:rtl/>
        </w:rPr>
        <w:t>(</w:t>
      </w:r>
      <w:r>
        <w:rPr>
          <w:rFonts w:cs="Arial" w:hint="cs"/>
          <w:sz w:val="16"/>
          <w:szCs w:val="16"/>
          <w:rtl/>
        </w:rPr>
        <w:t>פסקים וכתבים</w:t>
      </w:r>
      <w:r w:rsidRPr="00BC2D73">
        <w:rPr>
          <w:rFonts w:cs="Arial"/>
          <w:sz w:val="16"/>
          <w:szCs w:val="16"/>
          <w:rtl/>
        </w:rPr>
        <w:t xml:space="preserve"> סי</w:t>
      </w:r>
      <w:r w:rsidRPr="00BC2D73">
        <w:rPr>
          <w:rFonts w:cs="Arial" w:hint="cs"/>
          <w:sz w:val="16"/>
          <w:szCs w:val="16"/>
          <w:rtl/>
        </w:rPr>
        <w:t>'</w:t>
      </w:r>
      <w:r w:rsidRPr="00BC2D73">
        <w:rPr>
          <w:rFonts w:cs="Arial"/>
          <w:sz w:val="16"/>
          <w:szCs w:val="16"/>
          <w:rtl/>
        </w:rPr>
        <w:t xml:space="preserve"> קג</w:t>
      </w:r>
      <w:r w:rsidRPr="00BC2D73">
        <w:rPr>
          <w:rFonts w:cs="Arial" w:hint="cs"/>
          <w:sz w:val="16"/>
          <w:szCs w:val="16"/>
          <w:rtl/>
        </w:rPr>
        <w:t>)</w:t>
      </w:r>
      <w:r>
        <w:rPr>
          <w:rFonts w:cs="Arial" w:hint="cs"/>
          <w:rtl/>
        </w:rPr>
        <w:t>-</w:t>
      </w:r>
      <w:r>
        <w:rPr>
          <w:rFonts w:cs="Arial"/>
          <w:rtl/>
        </w:rPr>
        <w:t xml:space="preserve"> </w:t>
      </w:r>
      <w:r w:rsidRPr="00FC28CB">
        <w:rPr>
          <w:rFonts w:cs="Arial"/>
          <w:rtl/>
        </w:rPr>
        <w:t>שיעור הרחקה אם אין היד סולדת בקדרה של בשר מחמת הזיעה אפילו אם היה הזיעה עולה מ</w:t>
      </w:r>
      <w:r>
        <w:rPr>
          <w:rFonts w:cs="Arial"/>
          <w:rtl/>
        </w:rPr>
        <w:t>ותר אם לא שהקדרה רותחת בפני עצמ</w:t>
      </w:r>
      <w:r>
        <w:rPr>
          <w:rFonts w:cs="Arial" w:hint="cs"/>
          <w:rtl/>
        </w:rPr>
        <w:t>ה</w:t>
      </w:r>
      <w:r>
        <w:rPr>
          <w:rStyle w:val="a7"/>
          <w:rFonts w:cs="Arial"/>
          <w:rtl/>
        </w:rPr>
        <w:footnoteReference w:id="1495"/>
      </w:r>
      <w:r>
        <w:rPr>
          <w:rFonts w:cs="Arial" w:hint="cs"/>
          <w:rtl/>
        </w:rPr>
        <w:t>.</w:t>
      </w:r>
      <w:r>
        <w:rPr>
          <w:rFonts w:hint="cs"/>
          <w:rtl/>
        </w:rPr>
        <w:t xml:space="preserve"> </w:t>
      </w:r>
      <w:r w:rsidRPr="0094262C">
        <w:rPr>
          <w:rFonts w:cs="Arial" w:hint="cs"/>
          <w:color w:val="00B0F0"/>
          <w:rtl/>
        </w:rPr>
        <w:t>(וכ"פ הרמ"א)</w:t>
      </w:r>
    </w:p>
    <w:p w14:paraId="691110B1" w14:textId="77777777" w:rsidR="002C39F4" w:rsidRPr="004D5887" w:rsidRDefault="002C39F4" w:rsidP="002C39F4">
      <w:pPr>
        <w:ind w:left="360"/>
        <w:rPr>
          <w:rFonts w:cs="Arial"/>
          <w:u w:val="dotted"/>
          <w:rtl/>
        </w:rPr>
      </w:pPr>
      <w:r w:rsidRPr="004D5887">
        <w:rPr>
          <w:rFonts w:cs="Arial" w:hint="cs"/>
          <w:u w:val="dotted"/>
          <w:rtl/>
        </w:rPr>
        <w:t>מה</w:t>
      </w:r>
      <w:r>
        <w:rPr>
          <w:rFonts w:cs="Arial" w:hint="cs"/>
          <w:u w:val="dotted"/>
          <w:rtl/>
        </w:rPr>
        <w:t xml:space="preserve"> ה</w:t>
      </w:r>
      <w:r w:rsidRPr="004D5887">
        <w:rPr>
          <w:rFonts w:cs="Arial" w:hint="cs"/>
          <w:u w:val="dotted"/>
          <w:rtl/>
        </w:rPr>
        <w:t>דין כשהמחבת מכוסה:</w:t>
      </w:r>
      <w:r>
        <w:rPr>
          <w:rFonts w:cs="Arial" w:hint="cs"/>
          <w:u w:val="dotted"/>
          <w:rtl/>
        </w:rPr>
        <w:t xml:space="preserve"> </w:t>
      </w:r>
    </w:p>
    <w:p w14:paraId="4EBA4AAA" w14:textId="77777777" w:rsidR="002C39F4" w:rsidRPr="0070729A" w:rsidRDefault="002C39F4" w:rsidP="0032102C">
      <w:pPr>
        <w:pStyle w:val="a8"/>
        <w:numPr>
          <w:ilvl w:val="0"/>
          <w:numId w:val="116"/>
        </w:numPr>
        <w:rPr>
          <w:rFonts w:cs="Arial"/>
          <w:rtl/>
        </w:rPr>
      </w:pPr>
      <w:r>
        <w:rPr>
          <w:rFonts w:cs="Arial"/>
          <w:rtl/>
        </w:rPr>
        <w:t>או"ה</w:t>
      </w:r>
      <w:r w:rsidRPr="004D5887">
        <w:rPr>
          <w:rFonts w:cs="Arial"/>
          <w:rtl/>
        </w:rPr>
        <w:t xml:space="preserve"> </w:t>
      </w:r>
      <w:r w:rsidRPr="004D5887">
        <w:rPr>
          <w:rFonts w:cs="Arial" w:hint="cs"/>
          <w:sz w:val="16"/>
          <w:szCs w:val="16"/>
          <w:rtl/>
        </w:rPr>
        <w:t>(</w:t>
      </w:r>
      <w:r w:rsidRPr="004D5887">
        <w:rPr>
          <w:rFonts w:cs="Arial"/>
          <w:sz w:val="16"/>
          <w:szCs w:val="16"/>
          <w:rtl/>
        </w:rPr>
        <w:t>כלל לא די</w:t>
      </w:r>
      <w:r w:rsidRPr="004D5887">
        <w:rPr>
          <w:rFonts w:cs="Arial" w:hint="cs"/>
          <w:sz w:val="16"/>
          <w:szCs w:val="16"/>
          <w:rtl/>
        </w:rPr>
        <w:t>"</w:t>
      </w:r>
      <w:r w:rsidRPr="004D5887">
        <w:rPr>
          <w:rFonts w:cs="Arial"/>
          <w:sz w:val="16"/>
          <w:szCs w:val="16"/>
          <w:rtl/>
        </w:rPr>
        <w:t>ז)</w:t>
      </w:r>
      <w:r>
        <w:rPr>
          <w:rFonts w:cs="Arial" w:hint="cs"/>
          <w:rtl/>
        </w:rPr>
        <w:t xml:space="preserve">- </w:t>
      </w:r>
      <w:r w:rsidRPr="004D5887">
        <w:rPr>
          <w:rFonts w:cs="Arial"/>
          <w:rtl/>
        </w:rPr>
        <w:t xml:space="preserve">הא דאסור במחבת שתחת הקדרה ה"מ כשהמחבת </w:t>
      </w:r>
      <w:r>
        <w:rPr>
          <w:rFonts w:cs="Arial"/>
          <w:rtl/>
        </w:rPr>
        <w:t>מגולה אבל כשהמחבת מכוסה אע</w:t>
      </w:r>
      <w:r>
        <w:rPr>
          <w:rFonts w:cs="Arial" w:hint="cs"/>
          <w:rtl/>
        </w:rPr>
        <w:t>"</w:t>
      </w:r>
      <w:r>
        <w:rPr>
          <w:rFonts w:cs="Arial"/>
          <w:rtl/>
        </w:rPr>
        <w:t>פ</w:t>
      </w:r>
      <w:r w:rsidRPr="004D5887">
        <w:rPr>
          <w:rFonts w:cs="Arial"/>
          <w:rtl/>
        </w:rPr>
        <w:t xml:space="preserve"> שיושב זו על זו ממש ושניהם רותחין אינו נאסר דהוי כשתי קדרות שנוגעות זו אצל זו דשרי</w:t>
      </w:r>
      <w:r>
        <w:rPr>
          <w:rStyle w:val="a7"/>
          <w:rFonts w:cs="Arial"/>
          <w:rtl/>
        </w:rPr>
        <w:footnoteReference w:id="1496"/>
      </w:r>
      <w:r w:rsidRPr="004D5887">
        <w:rPr>
          <w:rFonts w:cs="Arial"/>
          <w:rtl/>
        </w:rPr>
        <w:t xml:space="preserve">. </w:t>
      </w:r>
      <w:r w:rsidRPr="0094262C">
        <w:rPr>
          <w:rFonts w:cs="Arial" w:hint="cs"/>
          <w:color w:val="00B0F0"/>
          <w:rtl/>
        </w:rPr>
        <w:t>(וכ"פ הרמ"א)</w:t>
      </w:r>
    </w:p>
    <w:p w14:paraId="5BCF38F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C95A6F" w14:textId="77777777" w:rsidR="002C39F4" w:rsidRDefault="002C39F4" w:rsidP="002C39F4">
      <w:pPr>
        <w:rPr>
          <w:rFonts w:asciiTheme="minorBidi" w:hAnsiTheme="minorBidi"/>
          <w:rtl/>
        </w:rPr>
      </w:pPr>
      <w:r w:rsidRPr="003024E5">
        <w:rPr>
          <w:rFonts w:asciiTheme="minorBidi" w:hAnsiTheme="minorBidi"/>
          <w:rtl/>
        </w:rPr>
        <w:t>מחבת של ח</w:t>
      </w:r>
      <w:r>
        <w:rPr>
          <w:rFonts w:asciiTheme="minorBidi" w:hAnsiTheme="minorBidi"/>
          <w:rtl/>
        </w:rPr>
        <w:t>לב שנתנו בכירה תחת קדירה של בשר</w:t>
      </w:r>
      <w:r w:rsidRPr="003024E5">
        <w:rPr>
          <w:rFonts w:asciiTheme="minorBidi" w:hAnsiTheme="minorBidi"/>
          <w:rtl/>
        </w:rPr>
        <w:t xml:space="preserve"> הזיעה עולה</w:t>
      </w:r>
      <w:r>
        <w:rPr>
          <w:rFonts w:asciiTheme="minorBidi" w:hAnsiTheme="minorBidi"/>
          <w:rtl/>
        </w:rPr>
        <w:t xml:space="preserve"> ונבלע בקדירה ואוסרתה. </w:t>
      </w:r>
      <w:r w:rsidRPr="0070729A">
        <w:rPr>
          <w:rFonts w:asciiTheme="minorBidi" w:hAnsiTheme="minorBidi"/>
          <w:sz w:val="18"/>
          <w:szCs w:val="18"/>
          <w:rtl/>
        </w:rPr>
        <w:t>הגה:</w:t>
      </w:r>
      <w:r>
        <w:rPr>
          <w:rFonts w:asciiTheme="minorBidi" w:hAnsiTheme="minorBidi"/>
          <w:sz w:val="18"/>
          <w:szCs w:val="18"/>
          <w:rtl/>
        </w:rPr>
        <w:t xml:space="preserve"> אם היה חלב במחבת</w:t>
      </w:r>
      <w:r>
        <w:rPr>
          <w:rFonts w:asciiTheme="minorBidi" w:hAnsiTheme="minorBidi" w:hint="cs"/>
          <w:sz w:val="18"/>
          <w:szCs w:val="18"/>
          <w:rtl/>
        </w:rPr>
        <w:t>.</w:t>
      </w:r>
      <w:r w:rsidRPr="0070729A">
        <w:rPr>
          <w:rFonts w:asciiTheme="minorBidi" w:hAnsiTheme="minorBidi"/>
          <w:sz w:val="18"/>
          <w:szCs w:val="18"/>
          <w:rtl/>
        </w:rPr>
        <w:t xml:space="preserve"> </w:t>
      </w:r>
      <w:r>
        <w:rPr>
          <w:rFonts w:asciiTheme="minorBidi" w:hAnsiTheme="minorBidi" w:hint="cs"/>
          <w:sz w:val="18"/>
          <w:szCs w:val="18"/>
          <w:rtl/>
        </w:rPr>
        <w:t>ו</w:t>
      </w:r>
      <w:r w:rsidRPr="0070729A">
        <w:rPr>
          <w:rFonts w:asciiTheme="minorBidi" w:hAnsiTheme="minorBidi"/>
          <w:sz w:val="18"/>
          <w:szCs w:val="18"/>
          <w:rtl/>
        </w:rPr>
        <w:t>בעינן ס' בתבשיל שבקדירה נגד החלב שבמחבת</w:t>
      </w:r>
      <w:r>
        <w:rPr>
          <w:rFonts w:asciiTheme="minorBidi" w:hAnsiTheme="minorBidi" w:hint="cs"/>
          <w:sz w:val="18"/>
          <w:szCs w:val="18"/>
          <w:rtl/>
        </w:rPr>
        <w:t xml:space="preserve"> (ד"ע)</w:t>
      </w:r>
      <w:r w:rsidRPr="0070729A">
        <w:rPr>
          <w:rFonts w:asciiTheme="minorBidi" w:hAnsiTheme="minorBidi"/>
          <w:sz w:val="18"/>
          <w:szCs w:val="18"/>
          <w:rtl/>
        </w:rPr>
        <w:t>. וכל זה מיירי שהמחבת מגולה והזיעה עולה מן המאכל עצמו לקדירה שעליה (ארוך), וגם מיירי שהוא בקרוב כל כך שהיד סולדת בזיעה במקום שנוגע בקד</w:t>
      </w:r>
      <w:r>
        <w:rPr>
          <w:rFonts w:asciiTheme="minorBidi" w:hAnsiTheme="minorBidi"/>
          <w:sz w:val="18"/>
          <w:szCs w:val="18"/>
          <w:rtl/>
        </w:rPr>
        <w:t>ירה אבל אם אין היד סולדת בזיעה</w:t>
      </w:r>
      <w:r w:rsidRPr="0070729A">
        <w:rPr>
          <w:rFonts w:asciiTheme="minorBidi" w:hAnsiTheme="minorBidi"/>
          <w:sz w:val="18"/>
          <w:szCs w:val="18"/>
          <w:rtl/>
        </w:rPr>
        <w:t xml:space="preserve"> הכ</w:t>
      </w:r>
      <w:r>
        <w:rPr>
          <w:rFonts w:asciiTheme="minorBidi" w:hAnsiTheme="minorBidi"/>
          <w:sz w:val="18"/>
          <w:szCs w:val="18"/>
          <w:rtl/>
        </w:rPr>
        <w:t>ל שרי</w:t>
      </w:r>
      <w:r>
        <w:rPr>
          <w:rFonts w:asciiTheme="minorBidi" w:hAnsiTheme="minorBidi" w:hint="cs"/>
          <w:sz w:val="18"/>
          <w:szCs w:val="18"/>
          <w:rtl/>
        </w:rPr>
        <w:t>,</w:t>
      </w:r>
      <w:r w:rsidRPr="0070729A">
        <w:rPr>
          <w:rFonts w:asciiTheme="minorBidi" w:hAnsiTheme="minorBidi"/>
          <w:sz w:val="18"/>
          <w:szCs w:val="18"/>
          <w:rtl/>
        </w:rPr>
        <w:t xml:space="preserve"> ולכן ת</w:t>
      </w:r>
      <w:r>
        <w:rPr>
          <w:rFonts w:asciiTheme="minorBidi" w:hAnsiTheme="minorBidi"/>
          <w:sz w:val="18"/>
          <w:szCs w:val="18"/>
          <w:rtl/>
        </w:rPr>
        <w:t>ולין בשר לייבש על קדירות של חלב</w:t>
      </w:r>
      <w:r w:rsidRPr="0070729A">
        <w:rPr>
          <w:rFonts w:asciiTheme="minorBidi" w:hAnsiTheme="minorBidi"/>
          <w:sz w:val="18"/>
          <w:szCs w:val="18"/>
          <w:rtl/>
        </w:rPr>
        <w:t xml:space="preserve"> ולא חיישינן </w:t>
      </w:r>
      <w:r>
        <w:rPr>
          <w:rFonts w:asciiTheme="minorBidi" w:hAnsiTheme="minorBidi"/>
          <w:sz w:val="18"/>
          <w:szCs w:val="18"/>
          <w:rtl/>
        </w:rPr>
        <w:t>לזיעה שעולה (</w:t>
      </w:r>
      <w:r>
        <w:rPr>
          <w:rFonts w:asciiTheme="minorBidi" w:hAnsiTheme="minorBidi" w:hint="cs"/>
          <w:sz w:val="18"/>
          <w:szCs w:val="18"/>
          <w:rtl/>
        </w:rPr>
        <w:t>תרוה"ד</w:t>
      </w:r>
      <w:r>
        <w:rPr>
          <w:rFonts w:asciiTheme="minorBidi" w:hAnsiTheme="minorBidi"/>
          <w:sz w:val="18"/>
          <w:szCs w:val="18"/>
          <w:rtl/>
        </w:rPr>
        <w:t>). וכן אם המחבת מכוסה</w:t>
      </w:r>
      <w:r w:rsidRPr="0070729A">
        <w:rPr>
          <w:rFonts w:asciiTheme="minorBidi" w:hAnsiTheme="minorBidi"/>
          <w:sz w:val="18"/>
          <w:szCs w:val="18"/>
          <w:rtl/>
        </w:rPr>
        <w:t xml:space="preserve"> הכל שרי מידי דהוי אשתי קדירות נוגעות זו </w:t>
      </w:r>
      <w:r>
        <w:rPr>
          <w:rFonts w:asciiTheme="minorBidi" w:hAnsiTheme="minorBidi"/>
          <w:sz w:val="18"/>
          <w:szCs w:val="18"/>
          <w:rtl/>
        </w:rPr>
        <w:t>בזו דאין אוסרין זו את זו בנגיעה כל שכן בזיעה</w:t>
      </w:r>
      <w:r>
        <w:rPr>
          <w:rStyle w:val="a7"/>
          <w:rFonts w:asciiTheme="minorBidi" w:hAnsiTheme="minorBidi"/>
          <w:sz w:val="18"/>
          <w:szCs w:val="18"/>
          <w:rtl/>
        </w:rPr>
        <w:footnoteReference w:id="1497"/>
      </w:r>
      <w:r>
        <w:rPr>
          <w:rFonts w:asciiTheme="minorBidi" w:hAnsiTheme="minorBidi"/>
          <w:sz w:val="18"/>
          <w:szCs w:val="18"/>
          <w:rtl/>
        </w:rPr>
        <w:t xml:space="preserve"> (מרדכ</w:t>
      </w:r>
      <w:r>
        <w:rPr>
          <w:rFonts w:asciiTheme="minorBidi" w:hAnsiTheme="minorBidi" w:hint="cs"/>
          <w:sz w:val="18"/>
          <w:szCs w:val="18"/>
          <w:rtl/>
        </w:rPr>
        <w:t>י בשם מהר"ם</w:t>
      </w:r>
      <w:r w:rsidRPr="0070729A">
        <w:rPr>
          <w:rFonts w:asciiTheme="minorBidi" w:hAnsiTheme="minorBidi"/>
          <w:sz w:val="18"/>
          <w:szCs w:val="18"/>
          <w:rtl/>
        </w:rPr>
        <w:t>) מיה</w:t>
      </w:r>
      <w:r>
        <w:rPr>
          <w:rFonts w:asciiTheme="minorBidi" w:hAnsiTheme="minorBidi"/>
          <w:sz w:val="18"/>
          <w:szCs w:val="18"/>
          <w:rtl/>
        </w:rPr>
        <w:t>ו לכתחלה יש ליזהר בכל זה (הג</w:t>
      </w:r>
      <w:r w:rsidRPr="0070729A">
        <w:rPr>
          <w:rFonts w:asciiTheme="minorBidi" w:hAnsiTheme="minorBidi"/>
          <w:sz w:val="18"/>
          <w:szCs w:val="18"/>
          <w:rtl/>
        </w:rPr>
        <w:t>ש</w:t>
      </w:r>
      <w:r>
        <w:rPr>
          <w:rFonts w:asciiTheme="minorBidi" w:hAnsiTheme="minorBidi" w:hint="cs"/>
          <w:sz w:val="18"/>
          <w:szCs w:val="18"/>
          <w:rtl/>
        </w:rPr>
        <w:t>ע</w:t>
      </w:r>
      <w:r w:rsidRPr="0070729A">
        <w:rPr>
          <w:rFonts w:asciiTheme="minorBidi" w:hAnsiTheme="minorBidi"/>
          <w:sz w:val="18"/>
          <w:szCs w:val="18"/>
          <w:rtl/>
        </w:rPr>
        <w:t>"ד).</w:t>
      </w:r>
      <w:r w:rsidRPr="003024E5">
        <w:rPr>
          <w:rFonts w:asciiTheme="minorBidi" w:hAnsiTheme="minorBidi"/>
          <w:rtl/>
        </w:rPr>
        <w:t xml:space="preserve"> </w:t>
      </w:r>
    </w:p>
    <w:p w14:paraId="429F3415" w14:textId="77777777" w:rsidR="002C39F4" w:rsidRPr="003024E5" w:rsidRDefault="002C39F4" w:rsidP="002C39F4">
      <w:pPr>
        <w:rPr>
          <w:rFonts w:asciiTheme="minorBidi" w:hAnsiTheme="minorBidi"/>
          <w:rtl/>
        </w:rPr>
      </w:pPr>
    </w:p>
    <w:p w14:paraId="709DE8B6" w14:textId="77777777" w:rsidR="002C39F4" w:rsidRDefault="002C39F4" w:rsidP="002C39F4">
      <w:pPr>
        <w:pStyle w:val="2"/>
        <w:rPr>
          <w:rFonts w:asciiTheme="minorBidi" w:hAnsiTheme="minorBidi"/>
          <w:rtl/>
        </w:rPr>
      </w:pPr>
      <w:r w:rsidRPr="003024E5">
        <w:rPr>
          <w:rFonts w:asciiTheme="minorBidi" w:hAnsiTheme="minorBidi"/>
          <w:rtl/>
        </w:rPr>
        <w:t>סעיף ט</w:t>
      </w:r>
      <w:r>
        <w:rPr>
          <w:rFonts w:asciiTheme="minorBidi" w:hAnsiTheme="minorBidi" w:hint="cs"/>
          <w:rtl/>
        </w:rPr>
        <w:t xml:space="preserve">: נר של חֵלֶב שנפלה ממנו טיפה על כלי. </w:t>
      </w:r>
    </w:p>
    <w:p w14:paraId="74F57B36" w14:textId="77777777" w:rsidR="002C39F4" w:rsidRPr="00FE35CA" w:rsidRDefault="002C39F4" w:rsidP="002C39F4">
      <w:pPr>
        <w:rPr>
          <w:rFonts w:cs="Arial"/>
          <w:u w:val="single"/>
          <w:rtl/>
        </w:rPr>
      </w:pPr>
      <w:r w:rsidRPr="00FE35CA">
        <w:rPr>
          <w:rFonts w:cs="Arial"/>
          <w:u w:val="single"/>
          <w:rtl/>
        </w:rPr>
        <w:t xml:space="preserve">קערה או כף </w:t>
      </w:r>
      <w:r>
        <w:rPr>
          <w:rFonts w:cs="Arial" w:hint="cs"/>
          <w:u w:val="single"/>
          <w:rtl/>
        </w:rPr>
        <w:t>שנפל עליהם טיפה מ</w:t>
      </w:r>
      <w:r w:rsidRPr="00FE35CA">
        <w:rPr>
          <w:rFonts w:cs="Arial"/>
          <w:u w:val="single"/>
          <w:rtl/>
        </w:rPr>
        <w:t>נר</w:t>
      </w:r>
      <w:r>
        <w:rPr>
          <w:rFonts w:cs="Arial"/>
          <w:u w:val="single"/>
          <w:rtl/>
        </w:rPr>
        <w:t xml:space="preserve"> </w:t>
      </w:r>
      <w:r>
        <w:rPr>
          <w:rFonts w:cs="Arial" w:hint="cs"/>
          <w:u w:val="single"/>
          <w:rtl/>
        </w:rPr>
        <w:t xml:space="preserve">דולק של </w:t>
      </w:r>
      <w:r w:rsidRPr="00B90061">
        <w:rPr>
          <w:rFonts w:cs="Arial"/>
          <w:u w:val="single"/>
          <w:rtl/>
        </w:rPr>
        <w:t>ח</w:t>
      </w:r>
      <w:r w:rsidRPr="00B90061">
        <w:rPr>
          <w:rFonts w:cs="Arial" w:hint="cs"/>
          <w:u w:val="single"/>
          <w:rtl/>
        </w:rPr>
        <w:t>ֵ</w:t>
      </w:r>
      <w:r w:rsidRPr="00B90061">
        <w:rPr>
          <w:rFonts w:cs="Arial"/>
          <w:u w:val="single"/>
          <w:rtl/>
        </w:rPr>
        <w:t>ל</w:t>
      </w:r>
      <w:r w:rsidRPr="00B90061">
        <w:rPr>
          <w:rFonts w:cs="Arial" w:hint="cs"/>
          <w:u w:val="single"/>
          <w:rtl/>
        </w:rPr>
        <w:t>ֶ</w:t>
      </w:r>
      <w:r w:rsidRPr="00B90061">
        <w:rPr>
          <w:rFonts w:cs="Arial"/>
          <w:u w:val="single"/>
          <w:rtl/>
        </w:rPr>
        <w:t>ב</w:t>
      </w:r>
      <w:r w:rsidRPr="00FE35CA">
        <w:rPr>
          <w:rFonts w:cs="Arial"/>
          <w:u w:val="single"/>
          <w:rtl/>
        </w:rPr>
        <w:t xml:space="preserve"> מהותך</w:t>
      </w:r>
      <w:r>
        <w:rPr>
          <w:rFonts w:cs="Arial" w:hint="cs"/>
          <w:u w:val="single"/>
          <w:rtl/>
        </w:rPr>
        <w:t xml:space="preserve"> -</w:t>
      </w:r>
      <w:r w:rsidRPr="00FE35CA">
        <w:rPr>
          <w:rFonts w:cs="Arial"/>
          <w:u w:val="single"/>
          <w:rtl/>
        </w:rPr>
        <w:t xml:space="preserve"> צריכין הגעלה או סגי בגרירא</w:t>
      </w:r>
      <w:r w:rsidRPr="00FE35CA">
        <w:rPr>
          <w:rFonts w:cs="Arial" w:hint="cs"/>
          <w:u w:val="single"/>
          <w:rtl/>
        </w:rPr>
        <w:t>:</w:t>
      </w:r>
    </w:p>
    <w:p w14:paraId="0884B271" w14:textId="77777777" w:rsidR="002C39F4" w:rsidRDefault="002C39F4" w:rsidP="0032102C">
      <w:pPr>
        <w:pStyle w:val="a8"/>
        <w:numPr>
          <w:ilvl w:val="0"/>
          <w:numId w:val="116"/>
        </w:numPr>
        <w:rPr>
          <w:rFonts w:cs="Arial"/>
        </w:rPr>
      </w:pPr>
      <w:r>
        <w:rPr>
          <w:rFonts w:cs="Arial"/>
          <w:rtl/>
        </w:rPr>
        <w:t>תרוה</w:t>
      </w:r>
      <w:r>
        <w:rPr>
          <w:rFonts w:cs="Arial" w:hint="cs"/>
          <w:rtl/>
        </w:rPr>
        <w:t>"</w:t>
      </w:r>
      <w:r>
        <w:rPr>
          <w:rFonts w:cs="Arial"/>
          <w:rtl/>
        </w:rPr>
        <w:t xml:space="preserve">ד </w:t>
      </w:r>
      <w:r w:rsidRPr="00FE35CA">
        <w:rPr>
          <w:rFonts w:cs="Arial" w:hint="cs"/>
          <w:sz w:val="16"/>
          <w:szCs w:val="16"/>
          <w:rtl/>
        </w:rPr>
        <w:t>(</w:t>
      </w:r>
      <w:r w:rsidRPr="00FE35CA">
        <w:rPr>
          <w:rFonts w:cs="Arial"/>
          <w:sz w:val="16"/>
          <w:szCs w:val="16"/>
          <w:rtl/>
        </w:rPr>
        <w:t>סי</w:t>
      </w:r>
      <w:r w:rsidRPr="00FE35CA">
        <w:rPr>
          <w:rFonts w:cs="Arial" w:hint="cs"/>
          <w:sz w:val="16"/>
          <w:szCs w:val="16"/>
          <w:rtl/>
        </w:rPr>
        <w:t>'</w:t>
      </w:r>
      <w:r w:rsidRPr="00FE35CA">
        <w:rPr>
          <w:rFonts w:cs="Arial"/>
          <w:sz w:val="16"/>
          <w:szCs w:val="16"/>
          <w:rtl/>
        </w:rPr>
        <w:t xml:space="preserve"> קעו</w:t>
      </w:r>
      <w:r w:rsidRPr="00FE35CA">
        <w:rPr>
          <w:rFonts w:cs="Arial" w:hint="cs"/>
          <w:sz w:val="16"/>
          <w:szCs w:val="16"/>
          <w:rtl/>
        </w:rPr>
        <w:t>)</w:t>
      </w:r>
      <w:r>
        <w:rPr>
          <w:rFonts w:cs="Arial" w:hint="cs"/>
          <w:rtl/>
        </w:rPr>
        <w:t xml:space="preserve">- </w:t>
      </w:r>
      <w:r w:rsidRPr="00FE35CA">
        <w:rPr>
          <w:rFonts w:cs="Arial"/>
          <w:rtl/>
        </w:rPr>
        <w:t>יראה דיש לח</w:t>
      </w:r>
      <w:r>
        <w:rPr>
          <w:rFonts w:cs="Arial"/>
          <w:rtl/>
        </w:rPr>
        <w:t>וש ולהצריך הגעלה כה"ג, וא</w:t>
      </w:r>
      <w:r>
        <w:rPr>
          <w:rFonts w:cs="Arial" w:hint="cs"/>
          <w:rtl/>
        </w:rPr>
        <w:t>ע"ג</w:t>
      </w:r>
      <w:r w:rsidRPr="00FE35CA">
        <w:rPr>
          <w:rFonts w:cs="Arial"/>
          <w:rtl/>
        </w:rPr>
        <w:t xml:space="preserve"> דמצאתי הועתק בשם תשובת מהר"ם שאם נפלה טיפה רותח על סכין או כלי אחד שהוא צונן א"צ רק לגרר במקום שנפלה הטיפ</w:t>
      </w:r>
      <w:r>
        <w:rPr>
          <w:rFonts w:cs="Arial"/>
          <w:rtl/>
        </w:rPr>
        <w:t>ה הואיל ופסקה הטיפה כשנפלה עליו</w:t>
      </w:r>
      <w:r>
        <w:rPr>
          <w:rFonts w:cs="Arial" w:hint="cs"/>
          <w:rtl/>
        </w:rPr>
        <w:t>,</w:t>
      </w:r>
      <w:r w:rsidRPr="00FE35CA">
        <w:rPr>
          <w:rFonts w:cs="Arial"/>
          <w:rtl/>
        </w:rPr>
        <w:t xml:space="preserve"> והא דאמרינן עירוי ככלי ראשון היינו דווק</w:t>
      </w:r>
      <w:r>
        <w:rPr>
          <w:rFonts w:cs="Arial"/>
          <w:rtl/>
        </w:rPr>
        <w:t>א כשנפלה בקלוח אבל בכה"ג לא</w:t>
      </w:r>
      <w:r>
        <w:rPr>
          <w:rStyle w:val="a7"/>
          <w:rFonts w:cs="Arial"/>
          <w:rtl/>
        </w:rPr>
        <w:footnoteReference w:id="1498"/>
      </w:r>
      <w:r>
        <w:rPr>
          <w:rFonts w:cs="Arial"/>
          <w:rtl/>
        </w:rPr>
        <w:t xml:space="preserve"> ע"כ</w:t>
      </w:r>
      <w:r>
        <w:rPr>
          <w:rFonts w:cs="Arial" w:hint="cs"/>
          <w:rtl/>
        </w:rPr>
        <w:t>.</w:t>
      </w:r>
      <w:r w:rsidRPr="00FE35CA">
        <w:rPr>
          <w:rFonts w:cs="Arial"/>
          <w:rtl/>
        </w:rPr>
        <w:t xml:space="preserve"> מהכא הוי משמע דבנ"ד נמי הוי סגי בגרירה, אמנם נראה לחלק דהתם איירי </w:t>
      </w:r>
      <w:r>
        <w:rPr>
          <w:rFonts w:cs="Arial" w:hint="cs"/>
          <w:rtl/>
        </w:rPr>
        <w:t>ב</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sidRPr="00FE35CA">
        <w:rPr>
          <w:rFonts w:cs="Arial"/>
          <w:rtl/>
        </w:rPr>
        <w:t xml:space="preserve"> רותח שנרתח בקדירה אצל האש, אבל </w:t>
      </w:r>
      <w:r>
        <w:rPr>
          <w:rFonts w:cs="Arial"/>
          <w:rtl/>
        </w:rPr>
        <w:t>נדון דידן חשיב רותח ע</w:t>
      </w:r>
      <w:r>
        <w:rPr>
          <w:rFonts w:cs="Arial" w:hint="cs"/>
          <w:rtl/>
        </w:rPr>
        <w:t>"</w:t>
      </w:r>
      <w:r>
        <w:rPr>
          <w:rFonts w:cs="Arial"/>
          <w:rtl/>
        </w:rPr>
        <w:t xml:space="preserve">י האור </w:t>
      </w:r>
      <w:r>
        <w:rPr>
          <w:rFonts w:cs="Arial" w:hint="cs"/>
          <w:sz w:val="16"/>
          <w:szCs w:val="16"/>
          <w:rtl/>
        </w:rPr>
        <w:t>(</w:t>
      </w:r>
      <w:r w:rsidRPr="00E20186">
        <w:rPr>
          <w:rFonts w:cs="Arial"/>
          <w:sz w:val="16"/>
          <w:szCs w:val="16"/>
          <w:rtl/>
        </w:rPr>
        <w:t>והכי מוכח בתוס' פ</w:t>
      </w:r>
      <w:r w:rsidRPr="00E20186">
        <w:rPr>
          <w:rFonts w:cs="Arial" w:hint="cs"/>
          <w:sz w:val="16"/>
          <w:szCs w:val="16"/>
          <w:rtl/>
        </w:rPr>
        <w:t>"</w:t>
      </w:r>
      <w:r w:rsidRPr="00E20186">
        <w:rPr>
          <w:rFonts w:cs="Arial"/>
          <w:sz w:val="16"/>
          <w:szCs w:val="16"/>
          <w:rtl/>
        </w:rPr>
        <w:t>ק דחולין ובאשירי פ"ב דע"ז דכתבו בשם הרמב"ם דסכינים של נכרים צריכין ליבון מפני שרגילין לתקן בהם נר הדולק בו חלב, אלמא חשיב כה"ג רותח ותשמישו ע</w:t>
      </w:r>
      <w:r w:rsidRPr="00E20186">
        <w:rPr>
          <w:rFonts w:cs="Arial" w:hint="cs"/>
          <w:sz w:val="16"/>
          <w:szCs w:val="16"/>
          <w:rtl/>
        </w:rPr>
        <w:t>"</w:t>
      </w:r>
      <w:r w:rsidRPr="00E20186">
        <w:rPr>
          <w:rFonts w:cs="Arial"/>
          <w:sz w:val="16"/>
          <w:szCs w:val="16"/>
          <w:rtl/>
        </w:rPr>
        <w:t>י האור דרותח הוא טפי מרותח דכלי ראשון</w:t>
      </w:r>
      <w:r w:rsidRPr="00E20186">
        <w:rPr>
          <w:rFonts w:cs="Arial" w:hint="cs"/>
          <w:sz w:val="16"/>
          <w:szCs w:val="16"/>
          <w:rtl/>
        </w:rPr>
        <w:t>,</w:t>
      </w:r>
      <w:r w:rsidRPr="00E20186">
        <w:rPr>
          <w:rFonts w:cs="Arial"/>
          <w:sz w:val="16"/>
          <w:szCs w:val="16"/>
          <w:rtl/>
        </w:rPr>
        <w:t xml:space="preserve"> והא קמן דהך סגי בהגעלה והך בעי ליבון, וא"כ לענין נדון דידן נמי יש לחלק ולומר</w:t>
      </w:r>
      <w:r>
        <w:rPr>
          <w:rFonts w:cs="Arial" w:hint="cs"/>
          <w:sz w:val="16"/>
          <w:szCs w:val="16"/>
          <w:rtl/>
        </w:rPr>
        <w:t>-)</w:t>
      </w:r>
      <w:r w:rsidRPr="00E20186">
        <w:rPr>
          <w:rFonts w:cs="Arial"/>
          <w:sz w:val="16"/>
          <w:szCs w:val="16"/>
          <w:rtl/>
        </w:rPr>
        <w:t xml:space="preserve"> </w:t>
      </w:r>
      <w:r w:rsidRPr="00FE35CA">
        <w:rPr>
          <w:rFonts w:cs="Arial"/>
          <w:rtl/>
        </w:rPr>
        <w:t>דנהי נמי דמתקררת הטיפה כשפסקה מכלי ראשון וסגי ב</w:t>
      </w:r>
      <w:r>
        <w:rPr>
          <w:rFonts w:cs="Arial"/>
          <w:rtl/>
        </w:rPr>
        <w:t>גרירה, אבל טפה שנפלה מרותח ע</w:t>
      </w:r>
      <w:r>
        <w:rPr>
          <w:rFonts w:cs="Arial" w:hint="cs"/>
          <w:rtl/>
        </w:rPr>
        <w:t>"</w:t>
      </w:r>
      <w:r w:rsidRPr="00FE35CA">
        <w:rPr>
          <w:rFonts w:cs="Arial"/>
          <w:rtl/>
        </w:rPr>
        <w:t>י</w:t>
      </w:r>
      <w:r>
        <w:rPr>
          <w:rFonts w:cs="Arial"/>
          <w:rtl/>
        </w:rPr>
        <w:t xml:space="preserve"> האור דרתח טפי אינה מתקררת כ</w:t>
      </w:r>
      <w:r>
        <w:rPr>
          <w:rFonts w:cs="Arial" w:hint="cs"/>
          <w:rtl/>
        </w:rPr>
        <w:t>"</w:t>
      </w:r>
      <w:r>
        <w:rPr>
          <w:rFonts w:cs="Arial"/>
          <w:rtl/>
        </w:rPr>
        <w:t>כ</w:t>
      </w:r>
      <w:r w:rsidRPr="00FE35CA">
        <w:rPr>
          <w:rFonts w:cs="Arial"/>
          <w:rtl/>
        </w:rPr>
        <w:t xml:space="preserve"> בנפילתה ופסקה שלא תחשוב כרותח דכלי ראשון אלא דיינינן לה דלכל הפחות עדיין הוא רות</w:t>
      </w:r>
      <w:r>
        <w:rPr>
          <w:rFonts w:cs="Arial"/>
          <w:rtl/>
        </w:rPr>
        <w:t>ח כעירוי מכלי ראשון דבעי הגעלה</w:t>
      </w:r>
      <w:r>
        <w:rPr>
          <w:rFonts w:cs="Arial" w:hint="cs"/>
          <w:rtl/>
        </w:rPr>
        <w:t>,</w:t>
      </w:r>
      <w:r w:rsidRPr="00FE35CA">
        <w:rPr>
          <w:rFonts w:cs="Arial"/>
          <w:rtl/>
        </w:rPr>
        <w:t xml:space="preserve"> א</w:t>
      </w:r>
      <w:r>
        <w:rPr>
          <w:rFonts w:cs="Arial"/>
          <w:rtl/>
        </w:rPr>
        <w:t>כן נראה דאותן נרות שמתקנין ע</w:t>
      </w:r>
      <w:r>
        <w:rPr>
          <w:rFonts w:cs="Arial" w:hint="cs"/>
          <w:rtl/>
        </w:rPr>
        <w:t>"</w:t>
      </w:r>
      <w:r>
        <w:rPr>
          <w:rFonts w:cs="Arial"/>
          <w:rtl/>
        </w:rPr>
        <w:t>י שה</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Pr>
          <w:rFonts w:cs="Arial"/>
          <w:rtl/>
        </w:rPr>
        <w:t xml:space="preserve"> קרוש</w:t>
      </w:r>
      <w:r w:rsidRPr="00FE35CA">
        <w:rPr>
          <w:rFonts w:cs="Arial"/>
          <w:rtl/>
        </w:rPr>
        <w:t xml:space="preserve"> וכרוך סביב הפתילה כמו שעושין פתילה של שעוה, אם אותו נר דולק ונופלת טיפה על הכלי אין צריך רק גרירה שהרי ידוע ומורגש שטיפה רותחת שנופלת מכלי ראשון על בשר האדם שרפתו הרבה יותר מטיפה</w:t>
      </w:r>
      <w:r>
        <w:rPr>
          <w:rFonts w:cs="Arial"/>
          <w:rtl/>
        </w:rPr>
        <w:t xml:space="preserve"> הנופלת מנר של </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Pr>
          <w:rFonts w:cs="Arial"/>
          <w:rtl/>
        </w:rPr>
        <w:t xml:space="preserve"> שסביב הפתילה</w:t>
      </w:r>
      <w:r>
        <w:rPr>
          <w:rFonts w:cs="Arial" w:hint="cs"/>
          <w:rtl/>
        </w:rPr>
        <w:t>,</w:t>
      </w:r>
      <w:r w:rsidRPr="00FE35CA">
        <w:rPr>
          <w:rFonts w:cs="Arial"/>
          <w:rtl/>
        </w:rPr>
        <w:t xml:space="preserve"> והטעם הוא שה</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sidRPr="00FE35CA">
        <w:rPr>
          <w:rFonts w:cs="Arial"/>
          <w:rtl/>
        </w:rPr>
        <w:t xml:space="preserve"> הכרוך סביב הפתילה ברתיחה מועטת נמחה ה</w:t>
      </w:r>
      <w:r>
        <w:rPr>
          <w:rFonts w:cs="Arial"/>
          <w:rtl/>
        </w:rPr>
        <w:t>וא שנופל ומטפטף ממנו</w:t>
      </w:r>
      <w:r>
        <w:rPr>
          <w:rStyle w:val="a7"/>
          <w:rFonts w:cs="Arial"/>
          <w:rtl/>
        </w:rPr>
        <w:footnoteReference w:id="1499"/>
      </w:r>
      <w:r w:rsidRPr="00FE35CA">
        <w:rPr>
          <w:rFonts w:cs="Arial"/>
          <w:rtl/>
        </w:rPr>
        <w:t>.</w:t>
      </w:r>
      <w:r>
        <w:rPr>
          <w:rFonts w:cs="Arial" w:hint="cs"/>
          <w:rtl/>
        </w:rPr>
        <w:t xml:space="preserve"> </w:t>
      </w:r>
      <w:r w:rsidRPr="00E20186">
        <w:rPr>
          <w:rFonts w:cs="Arial" w:hint="cs"/>
          <w:color w:val="E36C0A" w:themeColor="accent6" w:themeShade="BF"/>
          <w:rtl/>
        </w:rPr>
        <w:t>(וכ"פ בשו"ע)</w:t>
      </w:r>
    </w:p>
    <w:p w14:paraId="65BE5B36" w14:textId="77777777" w:rsidR="002C39F4" w:rsidRPr="0048334D" w:rsidRDefault="002C39F4" w:rsidP="002C39F4">
      <w:pPr>
        <w:rPr>
          <w:rFonts w:cs="Arial"/>
          <w:u w:val="single"/>
          <w:rtl/>
        </w:rPr>
      </w:pPr>
      <w:r w:rsidRPr="0048334D">
        <w:rPr>
          <w:rFonts w:cs="Arial" w:hint="cs"/>
          <w:u w:val="single"/>
          <w:rtl/>
        </w:rPr>
        <w:t>כף שהוציא עמה רוטב מקדרה רותחת</w:t>
      </w:r>
      <w:r>
        <w:rPr>
          <w:rFonts w:cs="Arial" w:hint="cs"/>
          <w:u w:val="single"/>
          <w:rtl/>
        </w:rPr>
        <w:t xml:space="preserve"> </w:t>
      </w:r>
      <w:r>
        <w:rPr>
          <w:rFonts w:cs="Arial"/>
          <w:u w:val="single"/>
          <w:rtl/>
        </w:rPr>
        <w:t>–</w:t>
      </w:r>
      <w:r w:rsidRPr="0048334D">
        <w:rPr>
          <w:rFonts w:cs="Arial" w:hint="cs"/>
          <w:u w:val="single"/>
          <w:rtl/>
        </w:rPr>
        <w:t xml:space="preserve"> </w:t>
      </w:r>
      <w:r>
        <w:rPr>
          <w:rFonts w:cs="Arial" w:hint="cs"/>
          <w:u w:val="single"/>
          <w:rtl/>
        </w:rPr>
        <w:t xml:space="preserve">האם הכף </w:t>
      </w:r>
      <w:r w:rsidRPr="0048334D">
        <w:rPr>
          <w:rFonts w:cs="Arial" w:hint="cs"/>
          <w:u w:val="single"/>
          <w:rtl/>
        </w:rPr>
        <w:t xml:space="preserve">חשיבא כלי ראשון או </w:t>
      </w:r>
      <w:r>
        <w:rPr>
          <w:rFonts w:cs="Arial" w:hint="cs"/>
          <w:u w:val="single"/>
          <w:rtl/>
        </w:rPr>
        <w:t xml:space="preserve">כלי </w:t>
      </w:r>
      <w:r w:rsidRPr="0048334D">
        <w:rPr>
          <w:rFonts w:cs="Arial" w:hint="cs"/>
          <w:u w:val="single"/>
          <w:rtl/>
        </w:rPr>
        <w:t>שני:</w:t>
      </w:r>
    </w:p>
    <w:p w14:paraId="52BE0F5E" w14:textId="77777777" w:rsidR="002C39F4" w:rsidRPr="0048334D" w:rsidRDefault="002C39F4" w:rsidP="0032102C">
      <w:pPr>
        <w:pStyle w:val="a8"/>
        <w:numPr>
          <w:ilvl w:val="0"/>
          <w:numId w:val="116"/>
        </w:numPr>
        <w:rPr>
          <w:rFonts w:cs="Arial"/>
        </w:rPr>
      </w:pPr>
      <w:r w:rsidRPr="0048334D">
        <w:rPr>
          <w:rFonts w:cs="Arial"/>
          <w:rtl/>
        </w:rPr>
        <w:t>מהרי"ל</w:t>
      </w:r>
      <w:r w:rsidRPr="0048334D">
        <w:rPr>
          <w:rFonts w:cs="Arial"/>
          <w:sz w:val="16"/>
          <w:szCs w:val="16"/>
          <w:rtl/>
        </w:rPr>
        <w:t xml:space="preserve"> </w:t>
      </w:r>
      <w:r w:rsidRPr="0048334D">
        <w:rPr>
          <w:rFonts w:cs="Arial" w:hint="cs"/>
          <w:sz w:val="16"/>
          <w:szCs w:val="16"/>
          <w:rtl/>
        </w:rPr>
        <w:t xml:space="preserve">(מנהגים </w:t>
      </w:r>
      <w:r w:rsidRPr="0048334D">
        <w:rPr>
          <w:rFonts w:cs="Arial"/>
          <w:sz w:val="16"/>
          <w:szCs w:val="16"/>
          <w:rtl/>
        </w:rPr>
        <w:t>הל</w:t>
      </w:r>
      <w:r w:rsidRPr="0048334D">
        <w:rPr>
          <w:rFonts w:cs="Arial" w:hint="cs"/>
          <w:sz w:val="16"/>
          <w:szCs w:val="16"/>
          <w:rtl/>
        </w:rPr>
        <w:t>' הגעלה עמ' יט)</w:t>
      </w:r>
      <w:r>
        <w:rPr>
          <w:rFonts w:cs="Arial" w:hint="cs"/>
          <w:rtl/>
        </w:rPr>
        <w:t>-</w:t>
      </w:r>
      <w:r>
        <w:rPr>
          <w:rFonts w:cs="Arial"/>
          <w:rtl/>
        </w:rPr>
        <w:t xml:space="preserve"> המגעיל ע</w:t>
      </w:r>
      <w:r>
        <w:rPr>
          <w:rFonts w:cs="Arial" w:hint="cs"/>
          <w:rtl/>
        </w:rPr>
        <w:t>"</w:t>
      </w:r>
      <w:r w:rsidRPr="0048334D">
        <w:rPr>
          <w:rFonts w:cs="Arial"/>
          <w:rtl/>
        </w:rPr>
        <w:t>י עירוי ששופך הרותחין על הכלי להגעילו יזהר שישפוך המים הרותחין דוקא מן הכלי שבשלו בו</w:t>
      </w:r>
      <w:r>
        <w:rPr>
          <w:rFonts w:cs="Arial" w:hint="cs"/>
          <w:rtl/>
        </w:rPr>
        <w:t>,</w:t>
      </w:r>
      <w:r w:rsidRPr="0048334D">
        <w:rPr>
          <w:rFonts w:cs="Arial"/>
          <w:rtl/>
        </w:rPr>
        <w:t xml:space="preserve"> והוא הנקרא כלי ראשון</w:t>
      </w:r>
      <w:r>
        <w:rPr>
          <w:rFonts w:cs="Arial" w:hint="cs"/>
          <w:rtl/>
        </w:rPr>
        <w:t>,</w:t>
      </w:r>
      <w:r w:rsidRPr="0048334D">
        <w:rPr>
          <w:rFonts w:cs="Arial"/>
          <w:rtl/>
        </w:rPr>
        <w:t xml:space="preserve"> ואל ישאוב מן הכלי שבו הרותחין בכלי אחר ולערות ממנו להגעיל</w:t>
      </w:r>
      <w:r>
        <w:rPr>
          <w:rFonts w:cs="Arial" w:hint="cs"/>
          <w:rtl/>
        </w:rPr>
        <w:t>,</w:t>
      </w:r>
      <w:r w:rsidRPr="0048334D">
        <w:rPr>
          <w:rFonts w:cs="Arial"/>
          <w:rtl/>
        </w:rPr>
        <w:t xml:space="preserve"> משום דכלי ששואב עמו הוא כלי שני ונתבטל בו בישול הרותחין טרם שמגעילן</w:t>
      </w:r>
      <w:r>
        <w:rPr>
          <w:rFonts w:cs="Arial" w:hint="cs"/>
          <w:rtl/>
        </w:rPr>
        <w:t>,</w:t>
      </w:r>
      <w:r w:rsidRPr="0048334D">
        <w:rPr>
          <w:rFonts w:cs="Arial"/>
          <w:rtl/>
        </w:rPr>
        <w:t xml:space="preserve"> אכן אם שוהה את הכלי ששואב עמו תוך הכלי שמבשלין בו הרותחין ובעוד הוא שם מעלין המים רתיחות </w:t>
      </w:r>
      <w:r>
        <w:rPr>
          <w:rFonts w:cs="Arial"/>
          <w:rtl/>
        </w:rPr>
        <w:t>שפיר מתקרי גם הוא כלי ראשון</w:t>
      </w:r>
      <w:r w:rsidRPr="0048334D">
        <w:rPr>
          <w:rFonts w:cs="Arial"/>
          <w:rtl/>
        </w:rPr>
        <w:t xml:space="preserve">. </w:t>
      </w:r>
    </w:p>
    <w:p w14:paraId="60606070" w14:textId="77777777" w:rsidR="002C39F4" w:rsidRPr="0048334D" w:rsidRDefault="002C39F4" w:rsidP="0032102C">
      <w:pPr>
        <w:pStyle w:val="a8"/>
        <w:numPr>
          <w:ilvl w:val="0"/>
          <w:numId w:val="116"/>
        </w:numPr>
        <w:rPr>
          <w:rFonts w:cs="Arial"/>
          <w:rtl/>
        </w:rPr>
      </w:pPr>
      <w:r>
        <w:rPr>
          <w:rFonts w:cs="Arial"/>
          <w:rtl/>
        </w:rPr>
        <w:t>תוס'</w:t>
      </w:r>
      <w:r>
        <w:rPr>
          <w:rFonts w:cs="Arial" w:hint="cs"/>
          <w:rtl/>
        </w:rPr>
        <w:t xml:space="preserve"> </w:t>
      </w:r>
      <w:r w:rsidRPr="0048334D">
        <w:rPr>
          <w:rFonts w:cs="Arial" w:hint="cs"/>
          <w:sz w:val="16"/>
          <w:szCs w:val="16"/>
          <w:rtl/>
        </w:rPr>
        <w:t xml:space="preserve">(ע"ז </w:t>
      </w:r>
      <w:r w:rsidRPr="0048334D">
        <w:rPr>
          <w:rFonts w:cs="Arial"/>
          <w:sz w:val="16"/>
          <w:szCs w:val="16"/>
          <w:rtl/>
        </w:rPr>
        <w:t>לג</w:t>
      </w:r>
      <w:r w:rsidRPr="0048334D">
        <w:rPr>
          <w:rFonts w:cs="Arial" w:hint="cs"/>
          <w:sz w:val="16"/>
          <w:szCs w:val="16"/>
          <w:rtl/>
        </w:rPr>
        <w:t>:</w:t>
      </w:r>
      <w:r w:rsidRPr="0048334D">
        <w:rPr>
          <w:rFonts w:cs="Arial"/>
          <w:sz w:val="16"/>
          <w:szCs w:val="16"/>
          <w:rtl/>
        </w:rPr>
        <w:t xml:space="preserve"> ד"ה קינסא</w:t>
      </w:r>
      <w:r w:rsidRPr="0048334D">
        <w:rPr>
          <w:rFonts w:cs="Arial" w:hint="cs"/>
          <w:sz w:val="16"/>
          <w:szCs w:val="16"/>
          <w:rtl/>
        </w:rPr>
        <w:t>)</w:t>
      </w:r>
      <w:r>
        <w:rPr>
          <w:rFonts w:cs="Arial" w:hint="cs"/>
          <w:rtl/>
        </w:rPr>
        <w:t>-</w:t>
      </w:r>
      <w:r>
        <w:rPr>
          <w:rFonts w:cs="Arial"/>
          <w:rtl/>
        </w:rPr>
        <w:t xml:space="preserve"> </w:t>
      </w:r>
      <w:r w:rsidRPr="0048334D">
        <w:rPr>
          <w:rFonts w:cs="Arial"/>
          <w:rtl/>
        </w:rPr>
        <w:t>ר"י אומר כי מצוה מן המובחר להגעיל כל נסר לבד ולזרוק עליה מאותו כלי עצמו שה</w:t>
      </w:r>
      <w:r>
        <w:rPr>
          <w:rFonts w:cs="Arial"/>
          <w:rtl/>
        </w:rPr>
        <w:t>וא רותח על האור</w:t>
      </w:r>
      <w:r>
        <w:rPr>
          <w:rFonts w:cs="Arial" w:hint="cs"/>
          <w:rtl/>
        </w:rPr>
        <w:t>,</w:t>
      </w:r>
      <w:r>
        <w:rPr>
          <w:rFonts w:cs="Arial"/>
          <w:rtl/>
        </w:rPr>
        <w:t xml:space="preserve"> ודי בכך אע</w:t>
      </w:r>
      <w:r>
        <w:rPr>
          <w:rFonts w:cs="Arial" w:hint="cs"/>
          <w:rtl/>
        </w:rPr>
        <w:t>"</w:t>
      </w:r>
      <w:r>
        <w:rPr>
          <w:rFonts w:cs="Arial"/>
          <w:rtl/>
        </w:rPr>
        <w:t>פ</w:t>
      </w:r>
      <w:r w:rsidRPr="0048334D">
        <w:rPr>
          <w:rFonts w:cs="Arial"/>
          <w:rtl/>
        </w:rPr>
        <w:t xml:space="preserve"> שפסקה הרתיחה כשמעבירה מן האור</w:t>
      </w:r>
      <w:r>
        <w:rPr>
          <w:rFonts w:cs="Arial" w:hint="cs"/>
          <w:rtl/>
        </w:rPr>
        <w:t>,</w:t>
      </w:r>
      <w:r w:rsidRPr="0048334D">
        <w:rPr>
          <w:rFonts w:cs="Arial"/>
          <w:rtl/>
        </w:rPr>
        <w:t xml:space="preserve"> ויש משימין קערה בתוך מחבת על האש עד שהרתיח</w:t>
      </w:r>
      <w:r>
        <w:rPr>
          <w:rFonts w:cs="Arial" w:hint="cs"/>
          <w:rtl/>
        </w:rPr>
        <w:t>ות</w:t>
      </w:r>
      <w:r w:rsidRPr="0048334D">
        <w:rPr>
          <w:rFonts w:cs="Arial"/>
          <w:rtl/>
        </w:rPr>
        <w:t xml:space="preserve"> עול</w:t>
      </w:r>
      <w:r>
        <w:rPr>
          <w:rFonts w:cs="Arial" w:hint="cs"/>
          <w:rtl/>
        </w:rPr>
        <w:t>ות</w:t>
      </w:r>
      <w:r w:rsidRPr="0048334D">
        <w:rPr>
          <w:rFonts w:cs="Arial"/>
          <w:rtl/>
        </w:rPr>
        <w:t xml:space="preserve"> תוך הקערה ומאותה קערה מגעילין</w:t>
      </w:r>
      <w:r>
        <w:rPr>
          <w:rFonts w:cs="Arial" w:hint="cs"/>
          <w:rtl/>
        </w:rPr>
        <w:t>,</w:t>
      </w:r>
      <w:r w:rsidRPr="0048334D">
        <w:rPr>
          <w:rFonts w:cs="Arial"/>
          <w:rtl/>
        </w:rPr>
        <w:t xml:space="preserve"> ובזה מסופק ר"י אם זה מועיל ככלי ראשון אם לאו ותלה הדבר להחמיר ואסר להגעיל בהן דחשיב ככלי שני</w:t>
      </w:r>
      <w:r>
        <w:rPr>
          <w:rFonts w:cs="Arial" w:hint="cs"/>
          <w:rtl/>
        </w:rPr>
        <w:t>,</w:t>
      </w:r>
      <w:r w:rsidRPr="0048334D">
        <w:rPr>
          <w:rFonts w:cs="Arial"/>
          <w:rtl/>
        </w:rPr>
        <w:t xml:space="preserve"> ולענין מליגת תרנגולת נמי</w:t>
      </w:r>
      <w:r>
        <w:rPr>
          <w:rFonts w:cs="Arial"/>
          <w:rtl/>
        </w:rPr>
        <w:t xml:space="preserve"> אסר דחשיב ליה ככלי ראשון</w:t>
      </w:r>
      <w:r>
        <w:rPr>
          <w:rFonts w:cs="Arial" w:hint="cs"/>
          <w:rtl/>
        </w:rPr>
        <w:t>. (וכ"פ הט"ז</w:t>
      </w:r>
      <w:r>
        <w:rPr>
          <w:rStyle w:val="a7"/>
          <w:rFonts w:cs="Arial"/>
          <w:rtl/>
        </w:rPr>
        <w:footnoteReference w:id="1500"/>
      </w:r>
      <w:r>
        <w:rPr>
          <w:rFonts w:cs="Arial" w:hint="cs"/>
          <w:rtl/>
        </w:rPr>
        <w:t xml:space="preserve"> </w:t>
      </w:r>
      <w:r w:rsidRPr="0048334D">
        <w:rPr>
          <w:rFonts w:cs="Arial" w:hint="cs"/>
          <w:sz w:val="16"/>
          <w:szCs w:val="16"/>
          <w:rtl/>
        </w:rPr>
        <w:t>[סק"ל]</w:t>
      </w:r>
      <w:r>
        <w:rPr>
          <w:rFonts w:cs="Arial" w:hint="cs"/>
          <w:rtl/>
        </w:rPr>
        <w:t xml:space="preserve"> והש"ך </w:t>
      </w:r>
      <w:r w:rsidRPr="0048334D">
        <w:rPr>
          <w:rFonts w:cs="Arial" w:hint="cs"/>
          <w:sz w:val="16"/>
          <w:szCs w:val="16"/>
          <w:rtl/>
        </w:rPr>
        <w:t>[נה"כ אות ח]</w:t>
      </w:r>
      <w:r>
        <w:rPr>
          <w:rFonts w:cs="Arial" w:hint="cs"/>
          <w:rtl/>
        </w:rPr>
        <w:t>)</w:t>
      </w:r>
      <w:r>
        <w:rPr>
          <w:rFonts w:cs="Arial"/>
          <w:rtl/>
        </w:rPr>
        <w:t xml:space="preserve"> </w:t>
      </w:r>
      <w:r w:rsidRPr="0048334D">
        <w:rPr>
          <w:rFonts w:cs="Arial"/>
          <w:rtl/>
        </w:rPr>
        <w:t xml:space="preserve"> </w:t>
      </w:r>
    </w:p>
    <w:p w14:paraId="6C6099F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0FFFE3C" w14:textId="77777777" w:rsidR="002C39F4" w:rsidRDefault="002C39F4" w:rsidP="002C39F4">
      <w:pPr>
        <w:rPr>
          <w:rFonts w:asciiTheme="minorBidi" w:hAnsiTheme="minorBidi"/>
          <w:rtl/>
        </w:rPr>
      </w:pPr>
      <w:r w:rsidRPr="003024E5">
        <w:rPr>
          <w:rFonts w:asciiTheme="minorBidi" w:hAnsiTheme="minorBidi"/>
          <w:rtl/>
        </w:rPr>
        <w:t>נר של ח</w:t>
      </w:r>
      <w:r>
        <w:rPr>
          <w:rFonts w:asciiTheme="minorBidi" w:hAnsiTheme="minorBidi" w:hint="cs"/>
          <w:rtl/>
        </w:rPr>
        <w:t>ֵ</w:t>
      </w:r>
      <w:r w:rsidRPr="003024E5">
        <w:rPr>
          <w:rFonts w:asciiTheme="minorBidi" w:hAnsiTheme="minorBidi"/>
          <w:rtl/>
        </w:rPr>
        <w:t>ל</w:t>
      </w:r>
      <w:r>
        <w:rPr>
          <w:rFonts w:asciiTheme="minorBidi" w:hAnsiTheme="minorBidi" w:hint="cs"/>
          <w:rtl/>
        </w:rPr>
        <w:t>ֶ</w:t>
      </w:r>
      <w:r w:rsidRPr="003024E5">
        <w:rPr>
          <w:rFonts w:asciiTheme="minorBidi" w:hAnsiTheme="minorBidi"/>
          <w:rtl/>
        </w:rPr>
        <w:t>ב עשוי כנר של שעוה שנטף ממנו טפ</w:t>
      </w:r>
      <w:r>
        <w:rPr>
          <w:rFonts w:asciiTheme="minorBidi" w:hAnsiTheme="minorBidi"/>
          <w:rtl/>
        </w:rPr>
        <w:t>ה על כלי אין צריך כי אם גרידה</w:t>
      </w:r>
      <w:r>
        <w:rPr>
          <w:rFonts w:asciiTheme="minorBidi" w:hAnsiTheme="minorBidi" w:hint="cs"/>
          <w:rtl/>
        </w:rPr>
        <w:t>,</w:t>
      </w:r>
      <w:r w:rsidRPr="003024E5">
        <w:rPr>
          <w:rFonts w:asciiTheme="minorBidi" w:hAnsiTheme="minorBidi"/>
          <w:rtl/>
        </w:rPr>
        <w:t xml:space="preserve"> אבל חל</w:t>
      </w:r>
      <w:r>
        <w:rPr>
          <w:rFonts w:asciiTheme="minorBidi" w:hAnsiTheme="minorBidi"/>
          <w:rtl/>
        </w:rPr>
        <w:t>ב מהותך חם שנפל ממנו</w:t>
      </w:r>
      <w:r>
        <w:rPr>
          <w:rStyle w:val="a7"/>
          <w:rFonts w:asciiTheme="minorBidi" w:hAnsiTheme="minorBidi"/>
          <w:rtl/>
        </w:rPr>
        <w:footnoteReference w:id="1501"/>
      </w:r>
      <w:r>
        <w:rPr>
          <w:rFonts w:asciiTheme="minorBidi" w:hAnsiTheme="minorBidi"/>
          <w:rtl/>
        </w:rPr>
        <w:t xml:space="preserve"> טפה על כלי</w:t>
      </w:r>
      <w:r w:rsidRPr="003024E5">
        <w:rPr>
          <w:rFonts w:asciiTheme="minorBidi" w:hAnsiTheme="minorBidi"/>
          <w:rtl/>
        </w:rPr>
        <w:t xml:space="preserve"> צריך הגעלה.</w:t>
      </w:r>
      <w:r>
        <w:rPr>
          <w:rFonts w:asciiTheme="minorBidi" w:hAnsiTheme="minorBidi" w:hint="cs"/>
          <w:rtl/>
        </w:rPr>
        <w:t xml:space="preserve"> </w:t>
      </w:r>
    </w:p>
    <w:p w14:paraId="07C92BBA" w14:textId="77777777" w:rsidR="002C39F4" w:rsidRPr="003024E5" w:rsidRDefault="002C39F4" w:rsidP="002C39F4">
      <w:pPr>
        <w:rPr>
          <w:rFonts w:asciiTheme="minorBidi" w:hAnsiTheme="minorBidi"/>
          <w:rtl/>
        </w:rPr>
      </w:pPr>
    </w:p>
    <w:p w14:paraId="4B9F2F93" w14:textId="77777777" w:rsidR="002C39F4" w:rsidRPr="003024E5" w:rsidRDefault="002C39F4" w:rsidP="002C39F4">
      <w:pPr>
        <w:rPr>
          <w:rFonts w:asciiTheme="minorBidi" w:hAnsiTheme="minorBidi"/>
          <w:rtl/>
        </w:rPr>
      </w:pPr>
    </w:p>
    <w:p w14:paraId="34F0EC4D" w14:textId="77777777" w:rsidR="002C39F4" w:rsidRPr="003024E5" w:rsidRDefault="002C39F4" w:rsidP="002C39F4">
      <w:pPr>
        <w:rPr>
          <w:rFonts w:asciiTheme="minorBidi" w:hAnsiTheme="minorBidi"/>
          <w:rtl/>
        </w:rPr>
      </w:pPr>
    </w:p>
    <w:p w14:paraId="19A60DE8"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12703F25"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צג: קדירה שבשל בה בשר לא יבשל בה חלב, ובו סעיף אחד. </w:t>
      </w:r>
    </w:p>
    <w:p w14:paraId="77333B51" w14:textId="77777777" w:rsidR="002C39F4" w:rsidRPr="00A05BAB" w:rsidRDefault="002C39F4" w:rsidP="002C39F4">
      <w:pPr>
        <w:pStyle w:val="2"/>
        <w:rPr>
          <w:rFonts w:asciiTheme="minorBidi" w:hAnsiTheme="minorBidi"/>
          <w:rtl/>
        </w:rPr>
      </w:pPr>
      <w:r w:rsidRPr="003024E5">
        <w:rPr>
          <w:rFonts w:asciiTheme="minorBidi" w:hAnsiTheme="minorBidi"/>
          <w:rtl/>
        </w:rPr>
        <w:t>סעיף א</w:t>
      </w:r>
    </w:p>
    <w:p w14:paraId="03777A35" w14:textId="77777777" w:rsidR="002C39F4" w:rsidRDefault="002C39F4" w:rsidP="002C39F4">
      <w:pPr>
        <w:rPr>
          <w:rFonts w:cs="Arial"/>
          <w:rtl/>
        </w:rPr>
      </w:pPr>
      <w:r w:rsidRPr="00A05BAB">
        <w:rPr>
          <w:rFonts w:cs="Arial" w:hint="cs"/>
          <w:b/>
          <w:bCs/>
          <w:rtl/>
        </w:rPr>
        <w:t>עבודה זרה עה ע"ב:</w:t>
      </w:r>
      <w:r>
        <w:rPr>
          <w:rFonts w:cs="Arial" w:hint="cs"/>
          <w:rtl/>
        </w:rPr>
        <w:t xml:space="preserve"> </w:t>
      </w:r>
      <w:r w:rsidRPr="00A05BAB">
        <w:rPr>
          <w:rFonts w:cs="Arial"/>
          <w:u w:val="double"/>
          <w:rtl/>
        </w:rPr>
        <w:t>מתני'</w:t>
      </w:r>
      <w:r w:rsidRPr="00A05BAB">
        <w:rPr>
          <w:rFonts w:cs="Arial" w:hint="cs"/>
          <w:u w:val="double"/>
          <w:rtl/>
        </w:rPr>
        <w:t>:</w:t>
      </w:r>
      <w:r w:rsidRPr="00A05BAB">
        <w:rPr>
          <w:rFonts w:cs="Arial"/>
          <w:rtl/>
        </w:rPr>
        <w:t xml:space="preserve"> הלוקח כלי תשמיש מן</w:t>
      </w:r>
      <w:r>
        <w:rPr>
          <w:rFonts w:cs="Arial"/>
          <w:rtl/>
        </w:rPr>
        <w:t xml:space="preserve"> העובדי כוכבים, את שדרכו להטביל</w:t>
      </w:r>
      <w:r>
        <w:rPr>
          <w:rFonts w:cs="Arial" w:hint="cs"/>
          <w:rtl/>
        </w:rPr>
        <w:t xml:space="preserve"> - </w:t>
      </w:r>
      <w:r>
        <w:rPr>
          <w:rFonts w:cs="Arial"/>
          <w:rtl/>
        </w:rPr>
        <w:t>יטביל, להגעיל</w:t>
      </w:r>
      <w:r>
        <w:rPr>
          <w:rFonts w:cs="Arial" w:hint="cs"/>
          <w:rtl/>
        </w:rPr>
        <w:t xml:space="preserve"> -</w:t>
      </w:r>
      <w:r>
        <w:rPr>
          <w:rFonts w:cs="Arial"/>
          <w:rtl/>
        </w:rPr>
        <w:t xml:space="preserve"> יגעיל, ללבן באור</w:t>
      </w:r>
      <w:r>
        <w:rPr>
          <w:rFonts w:cs="Arial" w:hint="cs"/>
          <w:rtl/>
        </w:rPr>
        <w:t xml:space="preserve"> </w:t>
      </w:r>
      <w:r>
        <w:rPr>
          <w:rFonts w:cs="Arial"/>
          <w:rtl/>
        </w:rPr>
        <w:t>- ילבן באור. השפוד והאסכלא</w:t>
      </w:r>
      <w:r>
        <w:rPr>
          <w:rFonts w:cs="Arial" w:hint="cs"/>
          <w:rtl/>
        </w:rPr>
        <w:t xml:space="preserve"> </w:t>
      </w:r>
      <w:r>
        <w:rPr>
          <w:rFonts w:cs="Arial"/>
          <w:rtl/>
        </w:rPr>
        <w:t>- מלבנן באור</w:t>
      </w:r>
      <w:r>
        <w:rPr>
          <w:rFonts w:cs="Arial" w:hint="cs"/>
          <w:rtl/>
        </w:rPr>
        <w:t>,</w:t>
      </w:r>
      <w:r>
        <w:rPr>
          <w:rFonts w:cs="Arial"/>
          <w:rtl/>
        </w:rPr>
        <w:t xml:space="preserve"> הסכין</w:t>
      </w:r>
      <w:r>
        <w:rPr>
          <w:rFonts w:cs="Arial" w:hint="cs"/>
          <w:rtl/>
        </w:rPr>
        <w:t xml:space="preserve"> </w:t>
      </w:r>
      <w:r w:rsidRPr="00A05BAB">
        <w:rPr>
          <w:rFonts w:cs="Arial"/>
          <w:rtl/>
        </w:rPr>
        <w:t xml:space="preserve">- שפה והיא טהורה. </w:t>
      </w:r>
      <w:r>
        <w:rPr>
          <w:rFonts w:cs="Arial" w:hint="cs"/>
          <w:rtl/>
        </w:rPr>
        <w:t xml:space="preserve">     </w:t>
      </w:r>
      <w:r>
        <w:rPr>
          <w:rFonts w:cs="Arial" w:hint="cs"/>
          <w:u w:val="double"/>
          <w:rtl/>
        </w:rPr>
        <w:t>גמ':</w:t>
      </w:r>
      <w:r>
        <w:rPr>
          <w:rFonts w:cs="Arial" w:hint="cs"/>
          <w:rtl/>
        </w:rPr>
        <w:t xml:space="preserve"> </w:t>
      </w:r>
      <w:r w:rsidRPr="00A05BAB">
        <w:rPr>
          <w:rFonts w:cs="Arial"/>
          <w:rtl/>
        </w:rPr>
        <w:t>ת"ר: הלוקח כלי תשמיש מן העו</w:t>
      </w:r>
      <w:r>
        <w:rPr>
          <w:rFonts w:cs="Arial"/>
          <w:rtl/>
        </w:rPr>
        <w:t>בדי כוכבים, דברים שלא נשתמש בהן</w:t>
      </w:r>
      <w:r>
        <w:rPr>
          <w:rFonts w:cs="Arial" w:hint="cs"/>
          <w:rtl/>
        </w:rPr>
        <w:t xml:space="preserve"> </w:t>
      </w:r>
      <w:r>
        <w:rPr>
          <w:rFonts w:cs="Arial"/>
          <w:rtl/>
        </w:rPr>
        <w:t>- מטבילן והן טהורין</w:t>
      </w:r>
      <w:r>
        <w:rPr>
          <w:rFonts w:cs="Arial" w:hint="cs"/>
          <w:rtl/>
        </w:rPr>
        <w:t>,</w:t>
      </w:r>
      <w:r w:rsidRPr="00A05BAB">
        <w:rPr>
          <w:rFonts w:cs="Arial"/>
          <w:rtl/>
        </w:rPr>
        <w:t xml:space="preserve"> דברים שנשתמש בהן ע"י צונ</w:t>
      </w:r>
      <w:r>
        <w:rPr>
          <w:rFonts w:cs="Arial"/>
          <w:rtl/>
        </w:rPr>
        <w:t>ן, כגון כוסות וקתוניות וצלוחיות</w:t>
      </w:r>
      <w:r>
        <w:rPr>
          <w:rFonts w:cs="Arial" w:hint="cs"/>
          <w:rtl/>
        </w:rPr>
        <w:t xml:space="preserve"> </w:t>
      </w:r>
      <w:r>
        <w:rPr>
          <w:rFonts w:cs="Arial"/>
          <w:rtl/>
        </w:rPr>
        <w:t>- מדיחן ומטבילן והם טהורין</w:t>
      </w:r>
      <w:r>
        <w:rPr>
          <w:rFonts w:cs="Arial" w:hint="cs"/>
          <w:rtl/>
        </w:rPr>
        <w:t>,</w:t>
      </w:r>
      <w:r w:rsidRPr="00A05BAB">
        <w:rPr>
          <w:rFonts w:cs="Arial"/>
          <w:rtl/>
        </w:rPr>
        <w:t xml:space="preserve"> דברים שנשתמש בהן ע"י חמין, כג</w:t>
      </w:r>
      <w:r>
        <w:rPr>
          <w:rFonts w:cs="Arial"/>
          <w:rtl/>
        </w:rPr>
        <w:t>ון היורות הקומקמוסון ומחמי חמין</w:t>
      </w:r>
      <w:r>
        <w:rPr>
          <w:rFonts w:cs="Arial" w:hint="cs"/>
          <w:rtl/>
        </w:rPr>
        <w:t xml:space="preserve"> </w:t>
      </w:r>
      <w:r>
        <w:rPr>
          <w:rFonts w:cs="Arial"/>
          <w:rtl/>
        </w:rPr>
        <w:t>- מגעילן ומטבילן והן טהורין</w:t>
      </w:r>
      <w:r>
        <w:rPr>
          <w:rFonts w:cs="Arial" w:hint="cs"/>
          <w:rtl/>
        </w:rPr>
        <w:t>,</w:t>
      </w:r>
      <w:r w:rsidRPr="00A05BAB">
        <w:rPr>
          <w:rFonts w:cs="Arial"/>
          <w:rtl/>
        </w:rPr>
        <w:t xml:space="preserve"> דברים שנשתמש בהן ע</w:t>
      </w:r>
      <w:r>
        <w:rPr>
          <w:rFonts w:cs="Arial"/>
          <w:rtl/>
        </w:rPr>
        <w:t>"י האור, כגון השפודין והאסכלאות</w:t>
      </w:r>
      <w:r>
        <w:rPr>
          <w:rFonts w:cs="Arial" w:hint="cs"/>
          <w:rtl/>
        </w:rPr>
        <w:t xml:space="preserve"> </w:t>
      </w:r>
      <w:r>
        <w:rPr>
          <w:rFonts w:cs="Arial"/>
          <w:rtl/>
        </w:rPr>
        <w:t>- מלבנן ומטבילן והן טהורין</w:t>
      </w:r>
      <w:r>
        <w:rPr>
          <w:rFonts w:cs="Arial" w:hint="cs"/>
          <w:rtl/>
        </w:rPr>
        <w:t>,</w:t>
      </w:r>
      <w:r w:rsidRPr="00A05BAB">
        <w:rPr>
          <w:rFonts w:cs="Arial"/>
          <w:rtl/>
        </w:rPr>
        <w:t xml:space="preserve"> וכולן שנשתמש בהן עד</w:t>
      </w:r>
      <w:r>
        <w:rPr>
          <w:rFonts w:cs="Arial"/>
          <w:rtl/>
        </w:rPr>
        <w:t xml:space="preserve"> שלא יטביל ושלא יגעיל ושלא ילבן</w:t>
      </w:r>
      <w:r>
        <w:rPr>
          <w:rFonts w:cs="Arial" w:hint="cs"/>
          <w:rtl/>
        </w:rPr>
        <w:t xml:space="preserve"> </w:t>
      </w:r>
      <w:r w:rsidRPr="00A05BAB">
        <w:rPr>
          <w:rFonts w:cs="Arial"/>
          <w:rtl/>
        </w:rPr>
        <w:t>- תני חדא: אסור, ותניא אידך: מותר! ל"ק: הא כמאן דאמר נות</w:t>
      </w:r>
      <w:r>
        <w:rPr>
          <w:rFonts w:cs="Arial"/>
          <w:rtl/>
        </w:rPr>
        <w:t>ן טעם לפגם</w:t>
      </w:r>
      <w:r>
        <w:rPr>
          <w:rFonts w:cs="Arial" w:hint="cs"/>
          <w:rtl/>
        </w:rPr>
        <w:t xml:space="preserve"> </w:t>
      </w:r>
      <w:r w:rsidRPr="00A05BAB">
        <w:rPr>
          <w:rFonts w:cs="Arial"/>
          <w:rtl/>
        </w:rPr>
        <w:t>- א</w:t>
      </w:r>
      <w:r>
        <w:rPr>
          <w:rFonts w:cs="Arial"/>
          <w:rtl/>
        </w:rPr>
        <w:t>סור, הא כמאן דאמר נותן טעם לפגם</w:t>
      </w:r>
      <w:r>
        <w:rPr>
          <w:rFonts w:cs="Arial" w:hint="cs"/>
          <w:rtl/>
        </w:rPr>
        <w:t xml:space="preserve"> </w:t>
      </w:r>
      <w:r w:rsidRPr="00A05BAB">
        <w:rPr>
          <w:rFonts w:cs="Arial"/>
          <w:rtl/>
        </w:rPr>
        <w:t xml:space="preserve">- </w:t>
      </w:r>
      <w:r>
        <w:rPr>
          <w:rFonts w:cs="Arial"/>
          <w:rtl/>
        </w:rPr>
        <w:t>מותר</w:t>
      </w:r>
      <w:r>
        <w:rPr>
          <w:rStyle w:val="a7"/>
          <w:rFonts w:cs="Arial"/>
          <w:rtl/>
        </w:rPr>
        <w:footnoteReference w:id="1502"/>
      </w:r>
      <w:r>
        <w:rPr>
          <w:rFonts w:cs="Arial"/>
          <w:rtl/>
        </w:rPr>
        <w:t>. ולמאן דאמר נותן טעם לפגם</w:t>
      </w:r>
      <w:r w:rsidRPr="00A05BAB">
        <w:rPr>
          <w:rFonts w:cs="Arial"/>
          <w:rtl/>
        </w:rPr>
        <w:t xml:space="preserve"> מותר, גיעולי עובדי כוכבים דאסר רחמנא היכי משכחת לה? </w:t>
      </w:r>
      <w:r w:rsidRPr="00A05BAB">
        <w:rPr>
          <w:rFonts w:cs="Arial"/>
          <w:u w:val="single"/>
          <w:rtl/>
        </w:rPr>
        <w:t>אמר רב חייא בריה דרב הונא</w:t>
      </w:r>
      <w:r w:rsidRPr="00A05BAB">
        <w:rPr>
          <w:rFonts w:cs="Arial"/>
          <w:rtl/>
        </w:rPr>
        <w:t>: לא אסרה תורה אלא קדירה</w:t>
      </w:r>
      <w:r>
        <w:rPr>
          <w:rFonts w:cs="Arial" w:hint="cs"/>
          <w:sz w:val="14"/>
          <w:szCs w:val="14"/>
          <w:rtl/>
        </w:rPr>
        <w:t xml:space="preserve"> </w:t>
      </w:r>
      <w:r w:rsidRPr="00B1758D">
        <w:rPr>
          <w:rFonts w:cs="Arial" w:hint="cs"/>
          <w:sz w:val="14"/>
          <w:szCs w:val="14"/>
          <w:rtl/>
        </w:rPr>
        <w:t>(עו.)</w:t>
      </w:r>
      <w:r w:rsidRPr="00A05BAB">
        <w:rPr>
          <w:rFonts w:cs="Arial"/>
          <w:rtl/>
        </w:rPr>
        <w:t xml:space="preserve"> בת יומא, דלאו נותן טעם לפגם הוא. מכאן ואילך לישתרי</w:t>
      </w:r>
      <w:r>
        <w:rPr>
          <w:rStyle w:val="a7"/>
          <w:rFonts w:cs="Arial"/>
          <w:rtl/>
        </w:rPr>
        <w:footnoteReference w:id="1503"/>
      </w:r>
      <w:r w:rsidRPr="00A05BAB">
        <w:rPr>
          <w:rFonts w:cs="Arial"/>
          <w:rtl/>
        </w:rPr>
        <w:t>! גזירה קדירה שאינה בת יומא משום קדירה בת יומא. ואידך</w:t>
      </w:r>
      <w:r>
        <w:rPr>
          <w:rStyle w:val="a7"/>
          <w:rFonts w:cs="Arial"/>
          <w:rtl/>
        </w:rPr>
        <w:footnoteReference w:id="1504"/>
      </w:r>
      <w:r w:rsidRPr="00A05BAB">
        <w:rPr>
          <w:rFonts w:cs="Arial"/>
          <w:rtl/>
        </w:rPr>
        <w:t xml:space="preserve">? קדירה בת יומא נמי מפגם פגמה. </w:t>
      </w:r>
      <w:r w:rsidRPr="000415CF">
        <w:rPr>
          <w:rFonts w:cs="Arial"/>
          <w:u w:val="single"/>
          <w:rtl/>
        </w:rPr>
        <w:t>ר</w:t>
      </w:r>
      <w:r w:rsidRPr="00A05BAB">
        <w:rPr>
          <w:rFonts w:cs="Arial"/>
          <w:u w:val="single"/>
          <w:rtl/>
        </w:rPr>
        <w:t>מי ליה רב עמרם לרב ששת</w:t>
      </w:r>
      <w:r>
        <w:rPr>
          <w:rFonts w:cs="Arial" w:hint="cs"/>
          <w:rtl/>
        </w:rPr>
        <w:t>:</w:t>
      </w:r>
      <w:r>
        <w:rPr>
          <w:rFonts w:cs="Arial"/>
          <w:rtl/>
        </w:rPr>
        <w:t xml:space="preserve"> תנן</w:t>
      </w:r>
      <w:r>
        <w:rPr>
          <w:rFonts w:cs="Arial" w:hint="cs"/>
          <w:rtl/>
        </w:rPr>
        <w:t>:</w:t>
      </w:r>
      <w:r>
        <w:rPr>
          <w:rFonts w:cs="Arial"/>
          <w:rtl/>
        </w:rPr>
        <w:t xml:space="preserve"> השפודין והאסכלא</w:t>
      </w:r>
      <w:r>
        <w:rPr>
          <w:rFonts w:cs="Arial" w:hint="cs"/>
          <w:rtl/>
        </w:rPr>
        <w:t xml:space="preserve"> </w:t>
      </w:r>
      <w:r w:rsidRPr="00A05BAB">
        <w:rPr>
          <w:rFonts w:cs="Arial"/>
          <w:rtl/>
        </w:rPr>
        <w:t xml:space="preserve">- מלבנן באור, </w:t>
      </w:r>
      <w:r>
        <w:rPr>
          <w:rFonts w:cs="Arial"/>
          <w:rtl/>
        </w:rPr>
        <w:t>והתנן</w:t>
      </w:r>
      <w:r>
        <w:rPr>
          <w:rFonts w:cs="Arial" w:hint="cs"/>
          <w:rtl/>
        </w:rPr>
        <w:t xml:space="preserve"> </w:t>
      </w:r>
      <w:r>
        <w:rPr>
          <w:rFonts w:cs="Arial"/>
          <w:rtl/>
        </w:rPr>
        <w:t>גבי קדשים</w:t>
      </w:r>
      <w:r>
        <w:rPr>
          <w:rFonts w:cs="Arial" w:hint="cs"/>
          <w:rtl/>
        </w:rPr>
        <w:t>:</w:t>
      </w:r>
      <w:r>
        <w:rPr>
          <w:rFonts w:cs="Arial"/>
          <w:rtl/>
        </w:rPr>
        <w:t xml:space="preserve"> השפוד והאסכלא</w:t>
      </w:r>
      <w:r w:rsidRPr="00A05BAB">
        <w:rPr>
          <w:rFonts w:cs="Arial"/>
          <w:rtl/>
        </w:rPr>
        <w:t xml:space="preserve">- מגעילן בחמין! </w:t>
      </w:r>
      <w:r w:rsidRPr="00A05BAB">
        <w:rPr>
          <w:rFonts w:cs="Arial"/>
          <w:u w:val="single"/>
          <w:rtl/>
        </w:rPr>
        <w:t>א"ל</w:t>
      </w:r>
      <w:r w:rsidRPr="00A05BAB">
        <w:rPr>
          <w:rFonts w:cs="Arial"/>
          <w:rtl/>
        </w:rPr>
        <w:t xml:space="preserve">: עמרם ברי, מה ענין קדשים אצל גיעולי עובדי כוכבים? הכא היתירא בלע, התם איסורא בלע. </w:t>
      </w:r>
      <w:r w:rsidRPr="00A05BAB">
        <w:rPr>
          <w:rFonts w:cs="Arial"/>
          <w:u w:val="single"/>
          <w:rtl/>
        </w:rPr>
        <w:t>אמר רבא</w:t>
      </w:r>
      <w:r w:rsidRPr="00A05BAB">
        <w:rPr>
          <w:rFonts w:cs="Arial"/>
          <w:rtl/>
        </w:rPr>
        <w:t>:</w:t>
      </w:r>
      <w:r>
        <w:rPr>
          <w:rFonts w:cs="Arial"/>
          <w:rtl/>
        </w:rPr>
        <w:t xml:space="preserve"> סוף סוף כי קא פליט</w:t>
      </w:r>
      <w:r w:rsidRPr="00A05BAB">
        <w:rPr>
          <w:rFonts w:cs="Arial"/>
          <w:rtl/>
        </w:rPr>
        <w:t xml:space="preserve">- איסורא קא פליט! אלא אמר רבא: מאי הגעלה? נמי שטיפה ומריקה. </w:t>
      </w:r>
      <w:r w:rsidRPr="00A05BAB">
        <w:rPr>
          <w:rFonts w:cs="Arial"/>
          <w:u w:val="single"/>
          <w:rtl/>
        </w:rPr>
        <w:t>א"ל אביי</w:t>
      </w:r>
      <w:r w:rsidRPr="00A05BAB">
        <w:rPr>
          <w:rFonts w:cs="Arial"/>
          <w:rtl/>
        </w:rPr>
        <w:t xml:space="preserve">: מי דמי? מריקה ושטיפה בצונן, הגעלה בחמין! </w:t>
      </w:r>
      <w:r w:rsidRPr="00A05BAB">
        <w:rPr>
          <w:rFonts w:cs="Arial"/>
          <w:u w:val="single"/>
          <w:rtl/>
        </w:rPr>
        <w:t>אלא אמר אביי</w:t>
      </w:r>
      <w:r w:rsidRPr="00A05BAB">
        <w:rPr>
          <w:rFonts w:cs="Arial"/>
          <w:rtl/>
        </w:rPr>
        <w:t xml:space="preserve">: יגיד עליו רעו, תנא הכא ליבון והוא הדין להגעלה, תנא התם הגעלה וה"ה לליבון. </w:t>
      </w:r>
      <w:r w:rsidRPr="00A05BAB">
        <w:rPr>
          <w:rFonts w:cs="Arial"/>
          <w:u w:val="single"/>
          <w:rtl/>
        </w:rPr>
        <w:t>א"ל רבא</w:t>
      </w:r>
      <w:r w:rsidRPr="00A05BAB">
        <w:rPr>
          <w:rFonts w:cs="Arial"/>
          <w:rtl/>
        </w:rPr>
        <w:t xml:space="preserve">: אי הכי, לתנינהו לכולהו בחדא, וליתני חדא באידך אחריתי, ולימא: יגיד עליו רעו! </w:t>
      </w:r>
      <w:r w:rsidRPr="00A05BAB">
        <w:rPr>
          <w:rFonts w:cs="Arial"/>
          <w:u w:val="single"/>
          <w:rtl/>
        </w:rPr>
        <w:t>אלא אמר רבא</w:t>
      </w:r>
      <w:r w:rsidRPr="00A05BAB">
        <w:rPr>
          <w:rFonts w:cs="Arial"/>
          <w:rtl/>
        </w:rPr>
        <w:t>: קדשים היינו טעמייהו, כדרב נחמן אמר רבה בר אבוה, דאמר: כל יום ויום נעשה גיעול לחבירו. תינח שלמים, דכיון דלשני ימים מיתאכלי, מקמי דניהוי נותר קא הוי גיעול, אלא חטאת כיון דליום ולילה מיתאכלא, כי מבשל בה האידנא חטאת הוי נותר, כי הדר מבשל בה למחר או שלמים או חטאת, קא פליט נותר דחטאת דהאידנא בחטאת ושלמים דלמחר! אמרי: לא צריכא, דכי מבשל בה חטאת האידנא הדר מבשל בה האידנא שלמים, דחטאת דלמחר ושלמים דאתמול בהדי הדדי קא שלים זמנייהו, והדר מבשל שלמים דלמחר. א"ה, הגעלה נמי לא ליבעי! קשיא.</w:t>
      </w:r>
    </w:p>
    <w:p w14:paraId="1997E666" w14:textId="77777777" w:rsidR="002C39F4" w:rsidRPr="00555087" w:rsidRDefault="002C39F4" w:rsidP="002C39F4">
      <w:pPr>
        <w:rPr>
          <w:rFonts w:cs="Arial"/>
          <w:u w:val="single"/>
          <w:rtl/>
        </w:rPr>
      </w:pPr>
      <w:r w:rsidRPr="00555087">
        <w:rPr>
          <w:rFonts w:cs="Arial"/>
          <w:u w:val="single"/>
          <w:rtl/>
        </w:rPr>
        <w:t xml:space="preserve">קדרה שבישל בה בשר </w:t>
      </w:r>
      <w:r w:rsidRPr="00555087">
        <w:rPr>
          <w:rFonts w:cs="Arial" w:hint="cs"/>
          <w:u w:val="single"/>
          <w:rtl/>
        </w:rPr>
        <w:t xml:space="preserve">ולאחמ"כ </w:t>
      </w:r>
      <w:r w:rsidRPr="00555087">
        <w:rPr>
          <w:rFonts w:cs="Arial"/>
          <w:u w:val="single"/>
          <w:rtl/>
        </w:rPr>
        <w:t>ב</w:t>
      </w:r>
      <w:r w:rsidRPr="00555087">
        <w:rPr>
          <w:rFonts w:cs="Arial" w:hint="cs"/>
          <w:u w:val="single"/>
          <w:rtl/>
        </w:rPr>
        <w:t>י</w:t>
      </w:r>
      <w:r w:rsidRPr="00555087">
        <w:rPr>
          <w:rFonts w:cs="Arial"/>
          <w:u w:val="single"/>
          <w:rtl/>
        </w:rPr>
        <w:t>של בה חלב</w:t>
      </w:r>
      <w:r w:rsidRPr="00555087">
        <w:rPr>
          <w:rFonts w:cs="Arial" w:hint="cs"/>
          <w:u w:val="single"/>
          <w:rtl/>
        </w:rPr>
        <w:t>:</w:t>
      </w:r>
    </w:p>
    <w:p w14:paraId="736E91CC" w14:textId="77777777" w:rsidR="002C39F4" w:rsidRPr="00EF2586" w:rsidRDefault="002C39F4" w:rsidP="0032102C">
      <w:pPr>
        <w:pStyle w:val="a8"/>
        <w:numPr>
          <w:ilvl w:val="0"/>
          <w:numId w:val="117"/>
        </w:numPr>
        <w:rPr>
          <w:rFonts w:cs="Arial"/>
        </w:rPr>
      </w:pPr>
      <w:r w:rsidRPr="00555087">
        <w:rPr>
          <w:rFonts w:cs="Arial" w:hint="cs"/>
          <w:rtl/>
        </w:rPr>
        <w:t xml:space="preserve">טור- </w:t>
      </w:r>
      <w:r w:rsidRPr="00555087">
        <w:rPr>
          <w:rFonts w:cs="Arial"/>
          <w:rtl/>
        </w:rPr>
        <w:t>קדרה שבישל בה בשר לא יבשל בה חלב</w:t>
      </w:r>
      <w:r>
        <w:rPr>
          <w:rFonts w:cs="Arial" w:hint="cs"/>
          <w:rtl/>
        </w:rPr>
        <w:t>,</w:t>
      </w:r>
      <w:r w:rsidRPr="00555087">
        <w:rPr>
          <w:rFonts w:cs="Arial"/>
          <w:rtl/>
        </w:rPr>
        <w:t xml:space="preserve"> ואם בישל בה בתוך מעת לעת אסור</w:t>
      </w:r>
      <w:r>
        <w:rPr>
          <w:rStyle w:val="a7"/>
          <w:rFonts w:cs="Arial"/>
          <w:rtl/>
        </w:rPr>
        <w:footnoteReference w:id="1505"/>
      </w:r>
      <w:r>
        <w:rPr>
          <w:rFonts w:cs="Arial" w:hint="cs"/>
          <w:rtl/>
        </w:rPr>
        <w:t>,</w:t>
      </w:r>
      <w:r w:rsidRPr="00555087">
        <w:rPr>
          <w:rFonts w:cs="Arial"/>
          <w:rtl/>
        </w:rPr>
        <w:t xml:space="preserve"> אבל אם שהה מעת לעת קודם שבישל בה ה"ל נ</w:t>
      </w:r>
      <w:r>
        <w:rPr>
          <w:rFonts w:cs="Arial" w:hint="cs"/>
          <w:rtl/>
        </w:rPr>
        <w:t>ותן טעם לפגם</w:t>
      </w:r>
      <w:r w:rsidRPr="00555087">
        <w:rPr>
          <w:rFonts w:cs="Arial"/>
          <w:rtl/>
        </w:rPr>
        <w:t xml:space="preserve"> ומותר</w:t>
      </w:r>
      <w:r w:rsidRPr="00555087">
        <w:rPr>
          <w:rFonts w:cs="Arial" w:hint="cs"/>
          <w:rtl/>
        </w:rPr>
        <w:t>.</w:t>
      </w:r>
      <w:r w:rsidRPr="00555087">
        <w:rPr>
          <w:rFonts w:cs="Arial"/>
          <w:rtl/>
        </w:rPr>
        <w:t xml:space="preserve"> </w:t>
      </w:r>
    </w:p>
    <w:p w14:paraId="73DC2888" w14:textId="77777777" w:rsidR="002C39F4" w:rsidRPr="00D66C72" w:rsidRDefault="002C39F4" w:rsidP="002C39F4">
      <w:pPr>
        <w:ind w:left="360"/>
        <w:rPr>
          <w:rFonts w:cs="Arial"/>
          <w:u w:val="dotted"/>
          <w:rtl/>
        </w:rPr>
      </w:pPr>
      <w:r w:rsidRPr="00D66C72">
        <w:rPr>
          <w:rFonts w:cs="Arial" w:hint="cs"/>
          <w:u w:val="dotted"/>
          <w:rtl/>
        </w:rPr>
        <w:t>ומה דין הקדרה:</w:t>
      </w:r>
    </w:p>
    <w:p w14:paraId="600BD91F" w14:textId="77777777" w:rsidR="002C39F4" w:rsidRDefault="002C39F4" w:rsidP="0032102C">
      <w:pPr>
        <w:pStyle w:val="a8"/>
        <w:numPr>
          <w:ilvl w:val="0"/>
          <w:numId w:val="117"/>
        </w:numPr>
        <w:rPr>
          <w:rFonts w:cs="Arial"/>
        </w:rPr>
      </w:pPr>
      <w:r w:rsidRPr="006E64AB">
        <w:rPr>
          <w:rFonts w:cs="Arial" w:hint="cs"/>
          <w:rtl/>
        </w:rPr>
        <w:t>בהעי"ט</w:t>
      </w:r>
      <w:r w:rsidRPr="006E64AB">
        <w:rPr>
          <w:sz w:val="16"/>
          <w:szCs w:val="16"/>
          <w:rtl/>
        </w:rPr>
        <w:t xml:space="preserve"> </w:t>
      </w:r>
      <w:r w:rsidRPr="006E64AB">
        <w:rPr>
          <w:rFonts w:cs="Arial"/>
          <w:sz w:val="16"/>
          <w:szCs w:val="16"/>
          <w:rtl/>
        </w:rPr>
        <w:t>(ח"ב שער ראשון יד:)</w:t>
      </w:r>
      <w:r w:rsidRPr="006E64AB">
        <w:rPr>
          <w:rFonts w:cs="Arial" w:hint="cs"/>
          <w:rtl/>
        </w:rPr>
        <w:t>-</w:t>
      </w:r>
      <w:r w:rsidRPr="006E64AB">
        <w:rPr>
          <w:rFonts w:cs="Arial"/>
          <w:rtl/>
        </w:rPr>
        <w:t xml:space="preserve"> אם בישל חלב בקדרה של בשר והיא בת יומא ויש בה ס'</w:t>
      </w:r>
      <w:r>
        <w:rPr>
          <w:rStyle w:val="a7"/>
          <w:rFonts w:cs="Arial"/>
          <w:rtl/>
        </w:rPr>
        <w:footnoteReference w:id="1506"/>
      </w:r>
      <w:r>
        <w:rPr>
          <w:rFonts w:cs="Arial" w:hint="cs"/>
          <w:rtl/>
        </w:rPr>
        <w:t>,</w:t>
      </w:r>
      <w:r w:rsidRPr="006E64AB">
        <w:rPr>
          <w:rFonts w:cs="Arial"/>
          <w:rtl/>
        </w:rPr>
        <w:t xml:space="preserve"> איכא מ"ד מבשל בה ממין שבישל בה עכשיו כיון שהתבשיל מותר טעם הראשון בטל וקדרה נמי מותרת</w:t>
      </w:r>
      <w:r>
        <w:rPr>
          <w:rFonts w:cs="Arial" w:hint="cs"/>
          <w:rtl/>
        </w:rPr>
        <w:t>.</w:t>
      </w:r>
      <w:r w:rsidRPr="006E64AB">
        <w:rPr>
          <w:rFonts w:cs="Arial"/>
          <w:rtl/>
        </w:rPr>
        <w:t xml:space="preserve"> ואיכא מ"ד כיון דקי"ל כלי חרס אינה יוצא מידי דופיו לעולם טעם הראשון אינו יוצא לעולם ואינו יכול לבשל בה ממין שבשל בה עכשיו</w:t>
      </w:r>
      <w:r>
        <w:rPr>
          <w:rFonts w:cs="Arial" w:hint="cs"/>
          <w:rtl/>
        </w:rPr>
        <w:t>,</w:t>
      </w:r>
      <w:r w:rsidRPr="006E64AB">
        <w:rPr>
          <w:rFonts w:cs="Arial"/>
          <w:rtl/>
        </w:rPr>
        <w:t xml:space="preserve"> וממין הראשון אינו יכול לבשל בה שהרי האחרון אינו בטל ואין לה תקנה אלא שבירה</w:t>
      </w:r>
      <w:r>
        <w:rPr>
          <w:rFonts w:cs="Arial" w:hint="cs"/>
          <w:rtl/>
        </w:rPr>
        <w:t>.</w:t>
      </w:r>
      <w:r w:rsidRPr="006E64AB">
        <w:rPr>
          <w:rtl/>
        </w:rPr>
        <w:t xml:space="preserve"> </w:t>
      </w:r>
      <w:r w:rsidRPr="006E64AB">
        <w:rPr>
          <w:rFonts w:cs="Arial"/>
          <w:rtl/>
        </w:rPr>
        <w:t>והלכתא מבשל בה בשר ומבשל בה חלב לכתחלה</w:t>
      </w:r>
      <w:r>
        <w:rPr>
          <w:rStyle w:val="a7"/>
          <w:rFonts w:cs="Arial"/>
          <w:rtl/>
        </w:rPr>
        <w:footnoteReference w:id="1507"/>
      </w:r>
      <w:r>
        <w:rPr>
          <w:rFonts w:cs="Arial" w:hint="cs"/>
          <w:rtl/>
        </w:rPr>
        <w:t>.</w:t>
      </w:r>
      <w:r w:rsidRPr="006E64AB">
        <w:rPr>
          <w:rFonts w:cs="Arial"/>
          <w:rtl/>
        </w:rPr>
        <w:t xml:space="preserve"> </w:t>
      </w:r>
    </w:p>
    <w:p w14:paraId="419573DF" w14:textId="77777777" w:rsidR="002C39F4" w:rsidRDefault="002C39F4" w:rsidP="0032102C">
      <w:pPr>
        <w:pStyle w:val="a8"/>
        <w:numPr>
          <w:ilvl w:val="0"/>
          <w:numId w:val="117"/>
        </w:numPr>
        <w:rPr>
          <w:rFonts w:cs="Arial"/>
        </w:rPr>
      </w:pPr>
      <w:r>
        <w:rPr>
          <w:rFonts w:cs="Arial"/>
          <w:rtl/>
        </w:rPr>
        <w:t>ה"ר פרץ</w:t>
      </w:r>
      <w:r>
        <w:rPr>
          <w:rFonts w:cs="Arial" w:hint="cs"/>
          <w:rtl/>
        </w:rPr>
        <w:t xml:space="preserve"> רי"ו בשם הגאונים</w:t>
      </w:r>
      <w:r w:rsidRPr="002B123E">
        <w:rPr>
          <w:rFonts w:asciiTheme="minorBidi" w:hAnsiTheme="minorBidi"/>
          <w:rtl/>
        </w:rPr>
        <w:t xml:space="preserve"> </w:t>
      </w:r>
      <w:r>
        <w:rPr>
          <w:rFonts w:asciiTheme="minorBidi" w:hAnsiTheme="minorBidi" w:hint="cs"/>
          <w:rtl/>
        </w:rPr>
        <w:t>ו</w:t>
      </w:r>
      <w:r w:rsidRPr="00085E47">
        <w:rPr>
          <w:rFonts w:asciiTheme="minorBidi" w:hAnsiTheme="minorBidi"/>
          <w:rtl/>
        </w:rPr>
        <w:t>ריב"ש</w:t>
      </w:r>
      <w:r>
        <w:rPr>
          <w:rStyle w:val="a7"/>
          <w:rFonts w:cs="Arial"/>
          <w:rtl/>
        </w:rPr>
        <w:footnoteReference w:id="1508"/>
      </w:r>
      <w:r>
        <w:rPr>
          <w:rFonts w:cs="Arial" w:hint="cs"/>
          <w:rtl/>
        </w:rPr>
        <w:t xml:space="preserve">- </w:t>
      </w:r>
      <w:r w:rsidRPr="00F66BD0">
        <w:rPr>
          <w:rFonts w:cs="Arial"/>
          <w:rtl/>
        </w:rPr>
        <w:t>אפילו אינה בת יומא ובשל בה חלב אסור אח"כ לבשל בה בתחלה לא בשר ולא חלב לפי שהיא בלוע מבשר בחלב</w:t>
      </w:r>
      <w:r>
        <w:rPr>
          <w:rFonts w:cs="Arial" w:hint="cs"/>
          <w:rtl/>
        </w:rPr>
        <w:t>,</w:t>
      </w:r>
      <w:r w:rsidRPr="00F66BD0">
        <w:rPr>
          <w:rFonts w:cs="Arial"/>
          <w:rtl/>
        </w:rPr>
        <w:t xml:space="preserve"> אלא אם היא של מתכת יגעילנה לאחר מע"ל של בישול שני</w:t>
      </w:r>
      <w:r>
        <w:rPr>
          <w:rFonts w:cs="Arial" w:hint="cs"/>
          <w:rtl/>
        </w:rPr>
        <w:t>,</w:t>
      </w:r>
      <w:r w:rsidRPr="00F66BD0">
        <w:rPr>
          <w:rFonts w:cs="Arial"/>
          <w:rtl/>
        </w:rPr>
        <w:t xml:space="preserve"> ואם ה</w:t>
      </w:r>
      <w:r>
        <w:rPr>
          <w:rFonts w:cs="Arial"/>
          <w:rtl/>
        </w:rPr>
        <w:t>יא של חרס אין לה תקנה אלא שבירה</w:t>
      </w:r>
      <w:r>
        <w:rPr>
          <w:rFonts w:cs="Arial" w:hint="cs"/>
          <w:rtl/>
        </w:rPr>
        <w:t xml:space="preserve">. </w:t>
      </w:r>
      <w:r w:rsidRPr="00D66C72">
        <w:rPr>
          <w:rFonts w:cs="Arial" w:hint="cs"/>
          <w:color w:val="E36C0A" w:themeColor="accent6" w:themeShade="BF"/>
          <w:rtl/>
        </w:rPr>
        <w:t>(וכ"פ בשו"ע)</w:t>
      </w:r>
    </w:p>
    <w:p w14:paraId="1D8B0449" w14:textId="77777777" w:rsidR="002C39F4" w:rsidRPr="005D28C5" w:rsidRDefault="002C39F4" w:rsidP="002C39F4">
      <w:pPr>
        <w:ind w:left="360"/>
        <w:rPr>
          <w:rFonts w:cs="Arial"/>
          <w:u w:val="dotted"/>
          <w:rtl/>
        </w:rPr>
      </w:pPr>
      <w:r w:rsidRPr="005D28C5">
        <w:rPr>
          <w:rFonts w:cs="Arial" w:hint="cs"/>
          <w:u w:val="dotted"/>
          <w:rtl/>
        </w:rPr>
        <w:t>האם מותר לבשל בה ירקות ללא הגעלה בנתיים:</w:t>
      </w:r>
    </w:p>
    <w:p w14:paraId="793028ED" w14:textId="77777777" w:rsidR="002C39F4" w:rsidRPr="005D28C5" w:rsidRDefault="002C39F4" w:rsidP="0032102C">
      <w:pPr>
        <w:pStyle w:val="a8"/>
        <w:numPr>
          <w:ilvl w:val="0"/>
          <w:numId w:val="169"/>
        </w:numPr>
        <w:rPr>
          <w:rFonts w:cs="Arial"/>
          <w:rtl/>
        </w:rPr>
      </w:pPr>
      <w:r w:rsidRPr="005D28C5">
        <w:rPr>
          <w:rFonts w:asciiTheme="minorBidi" w:hAnsiTheme="minorBidi"/>
          <w:rtl/>
        </w:rPr>
        <w:t xml:space="preserve">ריב"ש </w:t>
      </w:r>
      <w:r w:rsidRPr="005D28C5">
        <w:rPr>
          <w:rFonts w:asciiTheme="minorBidi" w:hAnsiTheme="minorBidi"/>
          <w:sz w:val="16"/>
          <w:szCs w:val="16"/>
          <w:rtl/>
        </w:rPr>
        <w:t>(</w:t>
      </w:r>
      <w:r w:rsidRPr="005D28C5">
        <w:rPr>
          <w:rFonts w:asciiTheme="minorBidi" w:hAnsiTheme="minorBidi" w:hint="cs"/>
          <w:sz w:val="16"/>
          <w:szCs w:val="16"/>
          <w:rtl/>
        </w:rPr>
        <w:t>שם, הביאו הב"י</w:t>
      </w:r>
      <w:r w:rsidRPr="005D28C5">
        <w:rPr>
          <w:rFonts w:asciiTheme="minorBidi" w:hAnsiTheme="minorBidi"/>
          <w:sz w:val="16"/>
          <w:szCs w:val="16"/>
          <w:rtl/>
        </w:rPr>
        <w:t>)</w:t>
      </w:r>
      <w:r>
        <w:rPr>
          <w:rFonts w:asciiTheme="minorBidi" w:hAnsiTheme="minorBidi" w:hint="cs"/>
          <w:rtl/>
        </w:rPr>
        <w:t>-</w:t>
      </w:r>
      <w:r w:rsidRPr="005D28C5">
        <w:rPr>
          <w:rFonts w:asciiTheme="minorBidi" w:hAnsiTheme="minorBidi"/>
          <w:rtl/>
        </w:rPr>
        <w:t xml:space="preserve"> ירקות ומיני קטניות מותר לבשל בה</w:t>
      </w:r>
      <w:r>
        <w:rPr>
          <w:rStyle w:val="a7"/>
          <w:rFonts w:cs="Arial"/>
          <w:rtl/>
        </w:rPr>
        <w:footnoteReference w:id="1509"/>
      </w:r>
      <w:r w:rsidRPr="005D28C5">
        <w:rPr>
          <w:rFonts w:asciiTheme="minorBidi" w:hAnsiTheme="minorBidi"/>
          <w:rtl/>
        </w:rPr>
        <w:t>.</w:t>
      </w:r>
      <w:r>
        <w:rPr>
          <w:rFonts w:asciiTheme="minorBidi" w:hAnsiTheme="minorBidi" w:hint="cs"/>
          <w:rtl/>
        </w:rPr>
        <w:t xml:space="preserve"> </w:t>
      </w:r>
      <w:r w:rsidRPr="00085E47">
        <w:rPr>
          <w:rFonts w:asciiTheme="minorBidi" w:hAnsiTheme="minorBidi"/>
          <w:color w:val="00B0F0"/>
          <w:rtl/>
        </w:rPr>
        <w:t xml:space="preserve">(וכ"פ </w:t>
      </w:r>
      <w:r>
        <w:rPr>
          <w:rFonts w:asciiTheme="minorBidi" w:hAnsiTheme="minorBidi" w:hint="cs"/>
          <w:color w:val="00B0F0"/>
          <w:rtl/>
        </w:rPr>
        <w:t>הרמ"א</w:t>
      </w:r>
      <w:r w:rsidRPr="00085E47">
        <w:rPr>
          <w:rFonts w:asciiTheme="minorBidi" w:hAnsiTheme="minorBidi"/>
          <w:color w:val="00B0F0"/>
          <w:rtl/>
        </w:rPr>
        <w:t>)</w:t>
      </w:r>
    </w:p>
    <w:p w14:paraId="479F0615" w14:textId="77777777" w:rsidR="002C39F4" w:rsidRPr="005D28C5" w:rsidRDefault="002C39F4" w:rsidP="002C39F4">
      <w:pPr>
        <w:rPr>
          <w:rFonts w:cs="Arial"/>
          <w:u w:val="single"/>
          <w:rtl/>
        </w:rPr>
      </w:pPr>
      <w:r w:rsidRPr="005D28C5">
        <w:rPr>
          <w:rFonts w:cs="Arial" w:hint="cs"/>
          <w:u w:val="single"/>
          <w:rtl/>
        </w:rPr>
        <w:t xml:space="preserve">קדרה שבישל בה בשר ורוצה לבשל בה חלב - האם בישול ירקות בנתיים </w:t>
      </w:r>
      <w:r w:rsidRPr="005D28C5">
        <w:rPr>
          <w:rFonts w:cs="Arial" w:hint="cs"/>
          <w:sz w:val="16"/>
          <w:szCs w:val="16"/>
          <w:u w:val="single"/>
          <w:rtl/>
        </w:rPr>
        <w:t>(היינו בין הבשר לחלב)</w:t>
      </w:r>
      <w:r w:rsidRPr="005D28C5">
        <w:rPr>
          <w:rFonts w:cs="Arial" w:hint="cs"/>
          <w:u w:val="single"/>
          <w:rtl/>
        </w:rPr>
        <w:t xml:space="preserve"> מהני כהגעלה</w:t>
      </w:r>
      <w:r>
        <w:rPr>
          <w:rFonts w:cs="Arial" w:hint="cs"/>
          <w:u w:val="single"/>
          <w:rtl/>
        </w:rPr>
        <w:t xml:space="preserve"> או לא</w:t>
      </w:r>
      <w:r w:rsidRPr="005D28C5">
        <w:rPr>
          <w:rFonts w:cs="Arial" w:hint="cs"/>
          <w:u w:val="single"/>
          <w:rtl/>
        </w:rPr>
        <w:t>:</w:t>
      </w:r>
      <w:r w:rsidRPr="005D28C5">
        <w:rPr>
          <w:rFonts w:cs="Arial"/>
          <w:u w:val="single"/>
          <w:rtl/>
        </w:rPr>
        <w:t xml:space="preserve"> </w:t>
      </w:r>
    </w:p>
    <w:p w14:paraId="3AB92261" w14:textId="77777777" w:rsidR="002C39F4" w:rsidRPr="00850AF0" w:rsidRDefault="002C39F4" w:rsidP="0032102C">
      <w:pPr>
        <w:pStyle w:val="a8"/>
        <w:numPr>
          <w:ilvl w:val="0"/>
          <w:numId w:val="118"/>
        </w:numPr>
        <w:rPr>
          <w:rFonts w:cs="Arial"/>
        </w:rPr>
      </w:pPr>
      <w:r>
        <w:rPr>
          <w:rFonts w:cs="Arial"/>
          <w:rtl/>
        </w:rPr>
        <w:t>רשב"א</w:t>
      </w:r>
      <w:r>
        <w:rPr>
          <w:rFonts w:cs="Arial" w:hint="cs"/>
          <w:rtl/>
        </w:rPr>
        <w:t xml:space="preserve"> </w:t>
      </w:r>
      <w:r w:rsidRPr="0002161A">
        <w:rPr>
          <w:rFonts w:cs="Arial"/>
          <w:sz w:val="16"/>
          <w:szCs w:val="16"/>
          <w:rtl/>
        </w:rPr>
        <w:t>(תוה"ק ב"ד ש"ד לז:</w:t>
      </w:r>
      <w:r>
        <w:rPr>
          <w:rFonts w:cs="Arial" w:hint="cs"/>
          <w:sz w:val="16"/>
          <w:szCs w:val="16"/>
          <w:rtl/>
        </w:rPr>
        <w:t>, הביאו הטור</w:t>
      </w:r>
      <w:r w:rsidRPr="0002161A">
        <w:rPr>
          <w:rFonts w:cs="Arial"/>
          <w:sz w:val="16"/>
          <w:szCs w:val="16"/>
          <w:rtl/>
        </w:rPr>
        <w:t>)</w:t>
      </w:r>
      <w:r>
        <w:rPr>
          <w:rFonts w:cs="Arial" w:hint="cs"/>
          <w:rtl/>
        </w:rPr>
        <w:t xml:space="preserve">- </w:t>
      </w:r>
      <w:r>
        <w:rPr>
          <w:rStyle w:val="a7"/>
          <w:rFonts w:cs="Arial"/>
          <w:rtl/>
        </w:rPr>
        <w:footnoteReference w:id="1510"/>
      </w:r>
      <w:r w:rsidRPr="00085E47">
        <w:rPr>
          <w:rFonts w:asciiTheme="minorBidi" w:hAnsiTheme="minorBidi"/>
          <w:rtl/>
        </w:rPr>
        <w:t>כל שבלע היתר כגון שפוד או קדרה של מתכת שבשל בה בשר ואח"כ בשל בה ירקות או דגים</w:t>
      </w:r>
      <w:r>
        <w:rPr>
          <w:rStyle w:val="a7"/>
          <w:rFonts w:asciiTheme="minorBidi" w:hAnsiTheme="minorBidi"/>
          <w:rtl/>
        </w:rPr>
        <w:footnoteReference w:id="1511"/>
      </w:r>
      <w:r w:rsidRPr="00085E47">
        <w:rPr>
          <w:rFonts w:asciiTheme="minorBidi" w:hAnsiTheme="minorBidi"/>
          <w:rtl/>
        </w:rPr>
        <w:t xml:space="preserve"> הרי נקלש בלע הבשר שבו עד שאין ראוי לחול עליו שם איסור בשר בחלב ומותר לבשל בו גבינה, אבל כלי שבלע איסור גמור אין נכשר לעולם עד שיכשירנו הכשר גדול כדתנן </w:t>
      </w:r>
      <w:r w:rsidRPr="00850AF0">
        <w:rPr>
          <w:rFonts w:asciiTheme="minorBidi" w:hAnsiTheme="minorBidi"/>
          <w:sz w:val="16"/>
          <w:szCs w:val="16"/>
          <w:rtl/>
        </w:rPr>
        <w:t xml:space="preserve">(ע"ז עה:) </w:t>
      </w:r>
      <w:r w:rsidRPr="00085E47">
        <w:rPr>
          <w:rFonts w:asciiTheme="minorBidi" w:hAnsiTheme="minorBidi"/>
          <w:rtl/>
        </w:rPr>
        <w:t>את שדרכו להגעיל יגעיל ואת שדרכו ללבן ילבן</w:t>
      </w:r>
      <w:r>
        <w:rPr>
          <w:rStyle w:val="a7"/>
          <w:rFonts w:cs="Arial"/>
          <w:rtl/>
        </w:rPr>
        <w:footnoteReference w:id="1512"/>
      </w:r>
      <w:r w:rsidRPr="00850AF0">
        <w:rPr>
          <w:rFonts w:cs="Arial" w:hint="cs"/>
          <w:rtl/>
        </w:rPr>
        <w:t>.</w:t>
      </w:r>
      <w:r w:rsidRPr="00850AF0">
        <w:rPr>
          <w:rFonts w:asciiTheme="minorBidi" w:hAnsiTheme="minorBidi"/>
          <w:rtl/>
        </w:rPr>
        <w:t xml:space="preserve"> </w:t>
      </w:r>
      <w:r w:rsidRPr="00850AF0">
        <w:rPr>
          <w:rFonts w:asciiTheme="minorBidi" w:hAnsiTheme="minorBidi" w:hint="cs"/>
          <w:rtl/>
        </w:rPr>
        <w:t xml:space="preserve">(וכ"פ </w:t>
      </w:r>
      <w:r w:rsidRPr="00850AF0">
        <w:rPr>
          <w:rFonts w:asciiTheme="minorBidi" w:hAnsiTheme="minorBidi"/>
          <w:rtl/>
        </w:rPr>
        <w:t xml:space="preserve">הש"ך </w:t>
      </w:r>
      <w:r w:rsidRPr="00850AF0">
        <w:rPr>
          <w:rFonts w:asciiTheme="minorBidi" w:hAnsiTheme="minorBidi" w:hint="cs"/>
          <w:sz w:val="16"/>
          <w:szCs w:val="16"/>
          <w:rtl/>
        </w:rPr>
        <w:t>[</w:t>
      </w:r>
      <w:r w:rsidRPr="00850AF0">
        <w:rPr>
          <w:rFonts w:asciiTheme="minorBidi" w:hAnsiTheme="minorBidi"/>
          <w:sz w:val="16"/>
          <w:szCs w:val="16"/>
          <w:rtl/>
        </w:rPr>
        <w:t>נה"כ אות ב</w:t>
      </w:r>
      <w:r w:rsidRPr="00850AF0">
        <w:rPr>
          <w:rFonts w:asciiTheme="minorBidi" w:hAnsiTheme="minorBidi" w:hint="cs"/>
          <w:sz w:val="16"/>
          <w:szCs w:val="16"/>
          <w:rtl/>
        </w:rPr>
        <w:t>]</w:t>
      </w:r>
      <w:r w:rsidRPr="00850AF0">
        <w:rPr>
          <w:rFonts w:cs="Arial" w:hint="cs"/>
          <w:rtl/>
        </w:rPr>
        <w:t>)</w:t>
      </w:r>
      <w:r>
        <w:rPr>
          <w:rFonts w:cs="Arial" w:hint="cs"/>
          <w:rtl/>
        </w:rPr>
        <w:t xml:space="preserve"> </w:t>
      </w:r>
    </w:p>
    <w:p w14:paraId="6B68B967" w14:textId="77777777" w:rsidR="002C39F4" w:rsidRDefault="002C39F4" w:rsidP="0032102C">
      <w:pPr>
        <w:pStyle w:val="a8"/>
        <w:numPr>
          <w:ilvl w:val="0"/>
          <w:numId w:val="118"/>
        </w:numPr>
        <w:rPr>
          <w:rFonts w:cs="Arial"/>
        </w:rPr>
      </w:pPr>
      <w:r>
        <w:rPr>
          <w:rFonts w:cs="Arial"/>
          <w:rtl/>
        </w:rPr>
        <w:t>תוס</w:t>
      </w:r>
      <w:r>
        <w:rPr>
          <w:rFonts w:cs="Arial" w:hint="cs"/>
          <w:rtl/>
        </w:rPr>
        <w:t>'</w:t>
      </w:r>
      <w:r w:rsidRPr="00385687">
        <w:rPr>
          <w:rFonts w:cs="Arial"/>
          <w:rtl/>
        </w:rPr>
        <w:t xml:space="preserve"> </w:t>
      </w:r>
      <w:r w:rsidRPr="00321A21">
        <w:rPr>
          <w:rFonts w:cs="Arial"/>
          <w:sz w:val="16"/>
          <w:szCs w:val="16"/>
          <w:rtl/>
        </w:rPr>
        <w:t xml:space="preserve">(קיא: ד"ה הלכתא) </w:t>
      </w:r>
      <w:r>
        <w:rPr>
          <w:rFonts w:cs="Arial"/>
          <w:rtl/>
        </w:rPr>
        <w:t>סה</w:t>
      </w:r>
      <w:r>
        <w:rPr>
          <w:rFonts w:cs="Arial" w:hint="cs"/>
          <w:rtl/>
        </w:rPr>
        <w:t>"</w:t>
      </w:r>
      <w:r>
        <w:rPr>
          <w:rFonts w:cs="Arial"/>
          <w:rtl/>
        </w:rPr>
        <w:t xml:space="preserve">ת </w:t>
      </w:r>
      <w:r w:rsidRPr="00321A21">
        <w:rPr>
          <w:rFonts w:cs="Arial"/>
          <w:sz w:val="16"/>
          <w:szCs w:val="16"/>
          <w:rtl/>
        </w:rPr>
        <w:t xml:space="preserve">(סי' מט) </w:t>
      </w:r>
      <w:r w:rsidRPr="00385687">
        <w:rPr>
          <w:rFonts w:cs="Arial"/>
          <w:rtl/>
        </w:rPr>
        <w:t xml:space="preserve">סמ"ג </w:t>
      </w:r>
      <w:r w:rsidRPr="00321A21">
        <w:rPr>
          <w:rFonts w:cs="Arial"/>
          <w:sz w:val="16"/>
          <w:szCs w:val="16"/>
          <w:rtl/>
        </w:rPr>
        <w:t xml:space="preserve">(לאוין קמ וקמא נג:) </w:t>
      </w:r>
      <w:r>
        <w:rPr>
          <w:rFonts w:cs="Arial" w:hint="cs"/>
          <w:rtl/>
        </w:rPr>
        <w:t>ו</w:t>
      </w:r>
      <w:r w:rsidRPr="00385687">
        <w:rPr>
          <w:rFonts w:cs="Arial"/>
          <w:rtl/>
        </w:rPr>
        <w:t xml:space="preserve">רא"ש </w:t>
      </w:r>
      <w:r w:rsidRPr="00321A21">
        <w:rPr>
          <w:rFonts w:cs="Arial"/>
          <w:sz w:val="16"/>
          <w:szCs w:val="16"/>
          <w:rtl/>
        </w:rPr>
        <w:t>(סי' כט)</w:t>
      </w:r>
      <w:r>
        <w:rPr>
          <w:rFonts w:cs="Arial" w:hint="cs"/>
          <w:rtl/>
        </w:rPr>
        <w:t xml:space="preserve">- </w:t>
      </w:r>
      <w:r>
        <w:rPr>
          <w:rFonts w:cs="Arial"/>
          <w:rtl/>
        </w:rPr>
        <w:t>ההיא</w:t>
      </w:r>
      <w:r w:rsidRPr="00385687">
        <w:rPr>
          <w:rFonts w:cs="Arial"/>
          <w:rtl/>
        </w:rPr>
        <w:t xml:space="preserve"> דכל יום נעשה גיעול לחבירו טעמא מש</w:t>
      </w:r>
      <w:r>
        <w:rPr>
          <w:rFonts w:cs="Arial"/>
          <w:rtl/>
        </w:rPr>
        <w:t>ום דמין במינו בטל ברוב מדאו</w:t>
      </w:r>
      <w:r>
        <w:rPr>
          <w:rFonts w:cs="Arial" w:hint="cs"/>
          <w:rtl/>
        </w:rPr>
        <w:t>'</w:t>
      </w:r>
      <w:r>
        <w:rPr>
          <w:rFonts w:cs="Arial"/>
          <w:rtl/>
        </w:rPr>
        <w:t xml:space="preserve"> ובכלי מקדש אוקמוה אדאו</w:t>
      </w:r>
      <w:r>
        <w:rPr>
          <w:rFonts w:cs="Arial" w:hint="cs"/>
          <w:rtl/>
        </w:rPr>
        <w:t>רייתא</w:t>
      </w:r>
      <w:r>
        <w:rPr>
          <w:rStyle w:val="a7"/>
          <w:rFonts w:cs="Arial"/>
          <w:rtl/>
        </w:rPr>
        <w:footnoteReference w:id="1513"/>
      </w:r>
      <w:r w:rsidRPr="00385687">
        <w:rPr>
          <w:rFonts w:cs="Arial" w:hint="cs"/>
          <w:rtl/>
        </w:rPr>
        <w:t>.</w:t>
      </w:r>
    </w:p>
    <w:p w14:paraId="2B9DA047" w14:textId="77777777" w:rsidR="002C39F4" w:rsidRPr="00647AF4" w:rsidRDefault="002C39F4" w:rsidP="002C39F4">
      <w:pPr>
        <w:rPr>
          <w:rFonts w:cs="Arial"/>
          <w:rtl/>
        </w:rPr>
      </w:pPr>
      <w:r>
        <w:rPr>
          <w:rFonts w:cs="Arial" w:hint="cs"/>
          <w:b/>
          <w:bCs/>
          <w:rtl/>
        </w:rPr>
        <w:t>עבודה זרה לג ע"ב:</w:t>
      </w:r>
      <w:r>
        <w:rPr>
          <w:rFonts w:cs="Arial" w:hint="cs"/>
          <w:rtl/>
        </w:rPr>
        <w:t xml:space="preserve"> </w:t>
      </w:r>
      <w:r>
        <w:rPr>
          <w:rFonts w:cs="Arial"/>
          <w:rtl/>
        </w:rPr>
        <w:t>כסי</w:t>
      </w:r>
      <w:r>
        <w:rPr>
          <w:rStyle w:val="a7"/>
          <w:rFonts w:cs="Arial"/>
          <w:rtl/>
        </w:rPr>
        <w:footnoteReference w:id="1514"/>
      </w:r>
      <w:r>
        <w:rPr>
          <w:rFonts w:cs="Arial"/>
          <w:rtl/>
        </w:rPr>
        <w:t>- רב אסי אסר, ורב אשי שרי</w:t>
      </w:r>
      <w:r>
        <w:rPr>
          <w:rFonts w:cs="Arial" w:hint="cs"/>
          <w:rtl/>
        </w:rPr>
        <w:t>.</w:t>
      </w:r>
      <w:r w:rsidRPr="00647AF4">
        <w:rPr>
          <w:rFonts w:cs="Arial"/>
          <w:rtl/>
        </w:rPr>
        <w:t xml:space="preserve"> א</w:t>
      </w:r>
      <w:r>
        <w:rPr>
          <w:rFonts w:cs="Arial"/>
          <w:rtl/>
        </w:rPr>
        <w:t>י שתי בהו עובד כוכבים פעם ראשון</w:t>
      </w:r>
      <w:r>
        <w:rPr>
          <w:rFonts w:cs="Arial" w:hint="cs"/>
          <w:rtl/>
        </w:rPr>
        <w:t xml:space="preserve"> </w:t>
      </w:r>
      <w:r>
        <w:rPr>
          <w:rFonts w:cs="Arial"/>
          <w:rtl/>
        </w:rPr>
        <w:t>- כ"ע לא פליגי דאסור, כי פליגי</w:t>
      </w:r>
      <w:r w:rsidRPr="00647AF4">
        <w:rPr>
          <w:rFonts w:cs="Arial"/>
          <w:rtl/>
        </w:rPr>
        <w:t xml:space="preserve"> בפעם </w:t>
      </w:r>
      <w:r>
        <w:rPr>
          <w:rFonts w:cs="Arial"/>
          <w:rtl/>
        </w:rPr>
        <w:t>שני. איכא דאמרי: פעם ראשון ושני</w:t>
      </w:r>
      <w:r>
        <w:rPr>
          <w:rFonts w:cs="Arial" w:hint="cs"/>
          <w:rtl/>
        </w:rPr>
        <w:t xml:space="preserve"> </w:t>
      </w:r>
      <w:r w:rsidRPr="00647AF4">
        <w:rPr>
          <w:rFonts w:cs="Arial"/>
          <w:rtl/>
        </w:rPr>
        <w:t>-</w:t>
      </w:r>
      <w:r>
        <w:rPr>
          <w:rFonts w:cs="Arial"/>
          <w:rtl/>
        </w:rPr>
        <w:t xml:space="preserve"> כ"ע לא פליגי דאסור, כי פליגי בפעם ג'. והלכתא: פעם ראשון ושני</w:t>
      </w:r>
      <w:r>
        <w:rPr>
          <w:rFonts w:cs="Arial" w:hint="cs"/>
          <w:rtl/>
        </w:rPr>
        <w:t xml:space="preserve"> </w:t>
      </w:r>
      <w:r>
        <w:rPr>
          <w:rFonts w:cs="Arial"/>
          <w:rtl/>
        </w:rPr>
        <w:t>- אסור, ג'</w:t>
      </w:r>
      <w:r>
        <w:rPr>
          <w:rFonts w:cs="Arial" w:hint="cs"/>
          <w:rtl/>
        </w:rPr>
        <w:t xml:space="preserve"> </w:t>
      </w:r>
      <w:r w:rsidRPr="00647AF4">
        <w:rPr>
          <w:rFonts w:cs="Arial"/>
          <w:rtl/>
        </w:rPr>
        <w:t>- מותר.</w:t>
      </w:r>
      <w:r>
        <w:rPr>
          <w:rFonts w:cs="Arial" w:hint="cs"/>
          <w:rtl/>
        </w:rPr>
        <w:t xml:space="preserve"> </w:t>
      </w:r>
      <w:r w:rsidRPr="00DE33F6">
        <w:rPr>
          <w:rFonts w:cs="Arial" w:hint="cs"/>
          <w:sz w:val="16"/>
          <w:szCs w:val="16"/>
          <w:rtl/>
        </w:rPr>
        <w:t>(פירוש- כוסות</w:t>
      </w:r>
      <w:r w:rsidRPr="00DE33F6">
        <w:rPr>
          <w:rFonts w:cs="Arial"/>
          <w:sz w:val="16"/>
          <w:szCs w:val="16"/>
          <w:rtl/>
        </w:rPr>
        <w:t xml:space="preserve"> </w:t>
      </w:r>
      <w:r w:rsidRPr="00DE33F6">
        <w:rPr>
          <w:rFonts w:cs="Arial" w:hint="cs"/>
          <w:sz w:val="16"/>
          <w:szCs w:val="16"/>
          <w:rtl/>
        </w:rPr>
        <w:t>של</w:t>
      </w:r>
      <w:r w:rsidRPr="00DE33F6">
        <w:rPr>
          <w:rFonts w:cs="Arial"/>
          <w:sz w:val="16"/>
          <w:szCs w:val="16"/>
          <w:rtl/>
        </w:rPr>
        <w:t xml:space="preserve"> </w:t>
      </w:r>
      <w:r w:rsidRPr="00DE33F6">
        <w:rPr>
          <w:rFonts w:cs="Arial" w:hint="cs"/>
          <w:sz w:val="16"/>
          <w:szCs w:val="16"/>
          <w:rtl/>
        </w:rPr>
        <w:t>חרס</w:t>
      </w:r>
      <w:r w:rsidRPr="00DE33F6">
        <w:rPr>
          <w:rFonts w:cs="Arial"/>
          <w:sz w:val="16"/>
          <w:szCs w:val="16"/>
          <w:rtl/>
        </w:rPr>
        <w:t xml:space="preserve"> </w:t>
      </w:r>
      <w:r w:rsidRPr="00DE33F6">
        <w:rPr>
          <w:rFonts w:cs="Arial" w:hint="cs"/>
          <w:sz w:val="16"/>
          <w:szCs w:val="16"/>
          <w:rtl/>
        </w:rPr>
        <w:t>שאין</w:t>
      </w:r>
      <w:r w:rsidRPr="00DE33F6">
        <w:rPr>
          <w:rFonts w:cs="Arial"/>
          <w:sz w:val="16"/>
          <w:szCs w:val="16"/>
          <w:rtl/>
        </w:rPr>
        <w:t xml:space="preserve"> </w:t>
      </w:r>
      <w:r w:rsidRPr="00DE33F6">
        <w:rPr>
          <w:rFonts w:cs="Arial" w:hint="cs"/>
          <w:sz w:val="16"/>
          <w:szCs w:val="16"/>
          <w:rtl/>
        </w:rPr>
        <w:t>מכניסים</w:t>
      </w:r>
      <w:r w:rsidRPr="00DE33F6">
        <w:rPr>
          <w:rFonts w:cs="Arial"/>
          <w:sz w:val="16"/>
          <w:szCs w:val="16"/>
          <w:rtl/>
        </w:rPr>
        <w:t xml:space="preserve"> </w:t>
      </w:r>
      <w:r w:rsidRPr="00DE33F6">
        <w:rPr>
          <w:rFonts w:cs="Arial" w:hint="cs"/>
          <w:sz w:val="16"/>
          <w:szCs w:val="16"/>
          <w:rtl/>
        </w:rPr>
        <w:t>בהם</w:t>
      </w:r>
      <w:r w:rsidRPr="00DE33F6">
        <w:rPr>
          <w:rFonts w:cs="Arial"/>
          <w:sz w:val="16"/>
          <w:szCs w:val="16"/>
          <w:rtl/>
        </w:rPr>
        <w:t xml:space="preserve"> </w:t>
      </w:r>
      <w:r w:rsidRPr="00DE33F6">
        <w:rPr>
          <w:rFonts w:cs="Arial" w:hint="cs"/>
          <w:sz w:val="16"/>
          <w:szCs w:val="16"/>
          <w:rtl/>
        </w:rPr>
        <w:t>יין</w:t>
      </w:r>
      <w:r w:rsidRPr="00DE33F6">
        <w:rPr>
          <w:rFonts w:cs="Arial"/>
          <w:sz w:val="16"/>
          <w:szCs w:val="16"/>
          <w:rtl/>
        </w:rPr>
        <w:t xml:space="preserve"> </w:t>
      </w:r>
      <w:r w:rsidRPr="00DE33F6">
        <w:rPr>
          <w:rFonts w:cs="Arial" w:hint="cs"/>
          <w:sz w:val="16"/>
          <w:szCs w:val="16"/>
          <w:rtl/>
        </w:rPr>
        <w:t>לזמן</w:t>
      </w:r>
      <w:r w:rsidRPr="00DE33F6">
        <w:rPr>
          <w:rFonts w:cs="Arial"/>
          <w:sz w:val="16"/>
          <w:szCs w:val="16"/>
          <w:rtl/>
        </w:rPr>
        <w:t xml:space="preserve"> </w:t>
      </w:r>
      <w:r w:rsidRPr="00DE33F6">
        <w:rPr>
          <w:rFonts w:cs="Arial" w:hint="cs"/>
          <w:sz w:val="16"/>
          <w:szCs w:val="16"/>
          <w:rtl/>
        </w:rPr>
        <w:t>ממושך</w:t>
      </w:r>
      <w:r w:rsidRPr="00DE33F6">
        <w:rPr>
          <w:rFonts w:cs="Arial"/>
          <w:sz w:val="16"/>
          <w:szCs w:val="16"/>
          <w:rtl/>
        </w:rPr>
        <w:t xml:space="preserve"> </w:t>
      </w:r>
      <w:r w:rsidRPr="00DE33F6">
        <w:rPr>
          <w:rFonts w:cs="Arial" w:hint="cs"/>
          <w:sz w:val="16"/>
          <w:szCs w:val="16"/>
          <w:rtl/>
        </w:rPr>
        <w:t>אלא</w:t>
      </w:r>
      <w:r w:rsidRPr="00DE33F6">
        <w:rPr>
          <w:rFonts w:cs="Arial"/>
          <w:sz w:val="16"/>
          <w:szCs w:val="16"/>
          <w:rtl/>
        </w:rPr>
        <w:t xml:space="preserve"> </w:t>
      </w:r>
      <w:r w:rsidRPr="00DE33F6">
        <w:rPr>
          <w:rFonts w:cs="Arial" w:hint="cs"/>
          <w:sz w:val="16"/>
          <w:szCs w:val="16"/>
          <w:rtl/>
        </w:rPr>
        <w:t>רק</w:t>
      </w:r>
      <w:r w:rsidRPr="00DE33F6">
        <w:rPr>
          <w:rFonts w:cs="Arial"/>
          <w:sz w:val="16"/>
          <w:szCs w:val="16"/>
          <w:rtl/>
        </w:rPr>
        <w:t xml:space="preserve"> </w:t>
      </w:r>
      <w:r w:rsidRPr="00DE33F6">
        <w:rPr>
          <w:rFonts w:cs="Arial" w:hint="cs"/>
          <w:sz w:val="16"/>
          <w:szCs w:val="16"/>
          <w:rtl/>
        </w:rPr>
        <w:t>שותים</w:t>
      </w:r>
      <w:r w:rsidRPr="00DE33F6">
        <w:rPr>
          <w:rFonts w:cs="Arial"/>
          <w:sz w:val="16"/>
          <w:szCs w:val="16"/>
          <w:rtl/>
        </w:rPr>
        <w:t xml:space="preserve"> </w:t>
      </w:r>
      <w:r w:rsidRPr="00DE33F6">
        <w:rPr>
          <w:rFonts w:cs="Arial" w:hint="cs"/>
          <w:sz w:val="16"/>
          <w:szCs w:val="16"/>
          <w:rtl/>
        </w:rPr>
        <w:t>בהם</w:t>
      </w:r>
      <w:r w:rsidRPr="00DE33F6">
        <w:rPr>
          <w:rFonts w:cs="Arial"/>
          <w:sz w:val="16"/>
          <w:szCs w:val="16"/>
          <w:rtl/>
        </w:rPr>
        <w:t xml:space="preserve">, </w:t>
      </w:r>
      <w:r w:rsidRPr="00DE33F6">
        <w:rPr>
          <w:rFonts w:cs="Arial" w:hint="cs"/>
          <w:sz w:val="16"/>
          <w:szCs w:val="16"/>
          <w:rtl/>
        </w:rPr>
        <w:t>רב</w:t>
      </w:r>
      <w:r w:rsidRPr="00DE33F6">
        <w:rPr>
          <w:rFonts w:cs="Arial"/>
          <w:sz w:val="16"/>
          <w:szCs w:val="16"/>
          <w:rtl/>
        </w:rPr>
        <w:t xml:space="preserve"> </w:t>
      </w:r>
      <w:r w:rsidRPr="00DE33F6">
        <w:rPr>
          <w:rFonts w:cs="Arial" w:hint="cs"/>
          <w:sz w:val="16"/>
          <w:szCs w:val="16"/>
          <w:rtl/>
        </w:rPr>
        <w:t>אסי</w:t>
      </w:r>
      <w:r w:rsidRPr="00DE33F6">
        <w:rPr>
          <w:rFonts w:cs="Arial"/>
          <w:sz w:val="16"/>
          <w:szCs w:val="16"/>
          <w:rtl/>
        </w:rPr>
        <w:t xml:space="preserve"> </w:t>
      </w:r>
      <w:r w:rsidRPr="00DE33F6">
        <w:rPr>
          <w:rFonts w:cs="Arial" w:hint="cs"/>
          <w:sz w:val="16"/>
          <w:szCs w:val="16"/>
          <w:rtl/>
        </w:rPr>
        <w:t>אסר</w:t>
      </w:r>
      <w:r w:rsidRPr="00DE33F6">
        <w:rPr>
          <w:rFonts w:cs="Arial"/>
          <w:sz w:val="16"/>
          <w:szCs w:val="16"/>
          <w:rtl/>
        </w:rPr>
        <w:t xml:space="preserve"> </w:t>
      </w:r>
      <w:r w:rsidRPr="00DE33F6">
        <w:rPr>
          <w:rFonts w:cs="Arial" w:hint="cs"/>
          <w:sz w:val="16"/>
          <w:szCs w:val="16"/>
          <w:rtl/>
        </w:rPr>
        <w:t>כוסות</w:t>
      </w:r>
      <w:r w:rsidRPr="00DE33F6">
        <w:rPr>
          <w:rFonts w:cs="Arial"/>
          <w:sz w:val="16"/>
          <w:szCs w:val="16"/>
          <w:rtl/>
        </w:rPr>
        <w:t xml:space="preserve"> </w:t>
      </w:r>
      <w:r w:rsidRPr="00DE33F6">
        <w:rPr>
          <w:rFonts w:cs="Arial" w:hint="cs"/>
          <w:sz w:val="16"/>
          <w:szCs w:val="16"/>
          <w:rtl/>
        </w:rPr>
        <w:t>אלו</w:t>
      </w:r>
      <w:r w:rsidRPr="00DE33F6">
        <w:rPr>
          <w:rFonts w:cs="Arial"/>
          <w:sz w:val="16"/>
          <w:szCs w:val="16"/>
          <w:rtl/>
        </w:rPr>
        <w:t xml:space="preserve">, </w:t>
      </w:r>
      <w:r w:rsidRPr="00DE33F6">
        <w:rPr>
          <w:rFonts w:cs="Arial" w:hint="cs"/>
          <w:sz w:val="16"/>
          <w:szCs w:val="16"/>
          <w:rtl/>
        </w:rPr>
        <w:t>ורב</w:t>
      </w:r>
      <w:r w:rsidRPr="00DE33F6">
        <w:rPr>
          <w:rFonts w:cs="Arial"/>
          <w:sz w:val="16"/>
          <w:szCs w:val="16"/>
          <w:rtl/>
        </w:rPr>
        <w:t xml:space="preserve"> </w:t>
      </w:r>
      <w:r w:rsidRPr="00DE33F6">
        <w:rPr>
          <w:rFonts w:cs="Arial" w:hint="cs"/>
          <w:sz w:val="16"/>
          <w:szCs w:val="16"/>
          <w:rtl/>
        </w:rPr>
        <w:t>אשי</w:t>
      </w:r>
      <w:r w:rsidRPr="00DE33F6">
        <w:rPr>
          <w:rFonts w:cs="Arial"/>
          <w:sz w:val="16"/>
          <w:szCs w:val="16"/>
          <w:rtl/>
        </w:rPr>
        <w:t xml:space="preserve"> </w:t>
      </w:r>
      <w:r w:rsidRPr="00DE33F6">
        <w:rPr>
          <w:rFonts w:cs="Arial" w:hint="cs"/>
          <w:sz w:val="16"/>
          <w:szCs w:val="16"/>
          <w:rtl/>
        </w:rPr>
        <w:t>שרי</w:t>
      </w:r>
      <w:r w:rsidRPr="00DE33F6">
        <w:rPr>
          <w:rFonts w:cs="Arial"/>
          <w:sz w:val="16"/>
          <w:szCs w:val="16"/>
          <w:rtl/>
        </w:rPr>
        <w:t xml:space="preserve"> </w:t>
      </w:r>
      <w:r w:rsidRPr="00DE33F6">
        <w:rPr>
          <w:rFonts w:cs="Arial" w:hint="cs"/>
          <w:sz w:val="16"/>
          <w:szCs w:val="16"/>
          <w:rtl/>
        </w:rPr>
        <w:t>התירם</w:t>
      </w:r>
      <w:r w:rsidRPr="00DE33F6">
        <w:rPr>
          <w:rFonts w:cs="Arial"/>
          <w:sz w:val="16"/>
          <w:szCs w:val="16"/>
          <w:rtl/>
        </w:rPr>
        <w:t>.</w:t>
      </w:r>
      <w:r w:rsidRPr="00DE33F6">
        <w:rPr>
          <w:rFonts w:cs="Arial" w:hint="cs"/>
          <w:sz w:val="16"/>
          <w:szCs w:val="16"/>
          <w:rtl/>
        </w:rPr>
        <w:t xml:space="preserve"> ומבארת</w:t>
      </w:r>
      <w:r w:rsidRPr="00DE33F6">
        <w:rPr>
          <w:rFonts w:cs="Arial"/>
          <w:sz w:val="16"/>
          <w:szCs w:val="16"/>
          <w:rtl/>
        </w:rPr>
        <w:t xml:space="preserve"> </w:t>
      </w:r>
      <w:r w:rsidRPr="00DE33F6">
        <w:rPr>
          <w:rFonts w:cs="Arial" w:hint="cs"/>
          <w:sz w:val="16"/>
          <w:szCs w:val="16"/>
          <w:rtl/>
        </w:rPr>
        <w:t>הגמרא</w:t>
      </w:r>
      <w:r>
        <w:rPr>
          <w:rFonts w:cs="Arial" w:hint="cs"/>
          <w:sz w:val="16"/>
          <w:szCs w:val="16"/>
          <w:rtl/>
        </w:rPr>
        <w:t>,</w:t>
      </w:r>
      <w:r w:rsidRPr="00DE33F6">
        <w:rPr>
          <w:rFonts w:cs="Arial"/>
          <w:sz w:val="16"/>
          <w:szCs w:val="16"/>
          <w:rtl/>
        </w:rPr>
        <w:t xml:space="preserve"> </w:t>
      </w:r>
      <w:r w:rsidRPr="00DE33F6">
        <w:rPr>
          <w:rFonts w:cs="Arial" w:hint="cs"/>
          <w:sz w:val="16"/>
          <w:szCs w:val="16"/>
          <w:rtl/>
        </w:rPr>
        <w:t>אם</w:t>
      </w:r>
      <w:r w:rsidRPr="00DE33F6">
        <w:rPr>
          <w:rFonts w:cs="Arial"/>
          <w:sz w:val="16"/>
          <w:szCs w:val="16"/>
          <w:rtl/>
        </w:rPr>
        <w:t xml:space="preserve"> </w:t>
      </w:r>
      <w:r w:rsidRPr="00DE33F6">
        <w:rPr>
          <w:rFonts w:cs="Arial" w:hint="cs"/>
          <w:sz w:val="16"/>
          <w:szCs w:val="16"/>
          <w:rtl/>
        </w:rPr>
        <w:t>שתה</w:t>
      </w:r>
      <w:r w:rsidRPr="00DE33F6">
        <w:rPr>
          <w:rFonts w:cs="Arial"/>
          <w:sz w:val="16"/>
          <w:szCs w:val="16"/>
          <w:rtl/>
        </w:rPr>
        <w:t xml:space="preserve"> </w:t>
      </w:r>
      <w:r w:rsidRPr="00DE33F6">
        <w:rPr>
          <w:rFonts w:cs="Arial" w:hint="cs"/>
          <w:sz w:val="16"/>
          <w:szCs w:val="16"/>
          <w:rtl/>
        </w:rPr>
        <w:t>בהם</w:t>
      </w:r>
      <w:r w:rsidRPr="00DE33F6">
        <w:rPr>
          <w:rFonts w:cs="Arial"/>
          <w:sz w:val="16"/>
          <w:szCs w:val="16"/>
          <w:rtl/>
        </w:rPr>
        <w:t xml:space="preserve"> </w:t>
      </w:r>
      <w:r>
        <w:rPr>
          <w:rFonts w:cs="Arial" w:hint="cs"/>
          <w:sz w:val="16"/>
          <w:szCs w:val="16"/>
          <w:rtl/>
        </w:rPr>
        <w:t>גוי</w:t>
      </w:r>
      <w:r w:rsidRPr="00DE33F6">
        <w:rPr>
          <w:rFonts w:cs="Arial"/>
          <w:sz w:val="16"/>
          <w:szCs w:val="16"/>
          <w:rtl/>
        </w:rPr>
        <w:t xml:space="preserve"> </w:t>
      </w:r>
      <w:r w:rsidRPr="00DE33F6">
        <w:rPr>
          <w:rFonts w:cs="Arial" w:hint="cs"/>
          <w:sz w:val="16"/>
          <w:szCs w:val="16"/>
          <w:rtl/>
        </w:rPr>
        <w:t>פעם</w:t>
      </w:r>
      <w:r w:rsidRPr="00DE33F6">
        <w:rPr>
          <w:rFonts w:cs="Arial"/>
          <w:sz w:val="16"/>
          <w:szCs w:val="16"/>
          <w:rtl/>
        </w:rPr>
        <w:t xml:space="preserve"> </w:t>
      </w:r>
      <w:r w:rsidRPr="00DE33F6">
        <w:rPr>
          <w:rFonts w:cs="Arial" w:hint="cs"/>
          <w:sz w:val="16"/>
          <w:szCs w:val="16"/>
          <w:rtl/>
        </w:rPr>
        <w:t>ראשון</w:t>
      </w:r>
      <w:r w:rsidRPr="00DE33F6">
        <w:rPr>
          <w:rFonts w:cs="Arial"/>
          <w:sz w:val="16"/>
          <w:szCs w:val="16"/>
          <w:rtl/>
        </w:rPr>
        <w:t xml:space="preserve"> </w:t>
      </w:r>
      <w:r>
        <w:rPr>
          <w:rFonts w:cs="Arial"/>
          <w:sz w:val="16"/>
          <w:szCs w:val="16"/>
          <w:rtl/>
        </w:rPr>
        <w:t>–</w:t>
      </w:r>
      <w:r w:rsidRPr="00DE33F6">
        <w:rPr>
          <w:rFonts w:cs="Arial"/>
          <w:sz w:val="16"/>
          <w:szCs w:val="16"/>
          <w:rtl/>
        </w:rPr>
        <w:t xml:space="preserve"> </w:t>
      </w:r>
      <w:r w:rsidRPr="00DE33F6">
        <w:rPr>
          <w:rFonts w:cs="Arial" w:hint="cs"/>
          <w:sz w:val="16"/>
          <w:szCs w:val="16"/>
          <w:rtl/>
        </w:rPr>
        <w:t>כו</w:t>
      </w:r>
      <w:r>
        <w:rPr>
          <w:rFonts w:cs="Arial" w:hint="cs"/>
          <w:sz w:val="16"/>
          <w:szCs w:val="16"/>
          <w:rtl/>
        </w:rPr>
        <w:t>"</w:t>
      </w:r>
      <w:r w:rsidRPr="00DE33F6">
        <w:rPr>
          <w:rFonts w:cs="Arial" w:hint="cs"/>
          <w:sz w:val="16"/>
          <w:szCs w:val="16"/>
          <w:rtl/>
        </w:rPr>
        <w:t>ע</w:t>
      </w:r>
      <w:r w:rsidRPr="00DE33F6">
        <w:rPr>
          <w:rFonts w:cs="Arial"/>
          <w:sz w:val="16"/>
          <w:szCs w:val="16"/>
          <w:rtl/>
        </w:rPr>
        <w:t xml:space="preserve"> </w:t>
      </w:r>
      <w:r w:rsidRPr="00DE33F6">
        <w:rPr>
          <w:rFonts w:cs="Arial" w:hint="cs"/>
          <w:sz w:val="16"/>
          <w:szCs w:val="16"/>
          <w:rtl/>
        </w:rPr>
        <w:t>לא</w:t>
      </w:r>
      <w:r w:rsidRPr="00DE33F6">
        <w:rPr>
          <w:rFonts w:cs="Arial"/>
          <w:sz w:val="16"/>
          <w:szCs w:val="16"/>
          <w:rtl/>
        </w:rPr>
        <w:t xml:space="preserve"> </w:t>
      </w:r>
      <w:r w:rsidRPr="00DE33F6">
        <w:rPr>
          <w:rFonts w:cs="Arial" w:hint="cs"/>
          <w:sz w:val="16"/>
          <w:szCs w:val="16"/>
          <w:rtl/>
        </w:rPr>
        <w:t>פליגי</w:t>
      </w:r>
      <w:r w:rsidRPr="00DE33F6">
        <w:rPr>
          <w:rFonts w:cs="Arial"/>
          <w:sz w:val="16"/>
          <w:szCs w:val="16"/>
          <w:rtl/>
        </w:rPr>
        <w:t xml:space="preserve"> </w:t>
      </w:r>
      <w:r w:rsidRPr="00DE33F6">
        <w:rPr>
          <w:rFonts w:cs="Arial" w:hint="cs"/>
          <w:sz w:val="16"/>
          <w:szCs w:val="16"/>
          <w:rtl/>
        </w:rPr>
        <w:t>דאסור</w:t>
      </w:r>
      <w:r w:rsidRPr="00DE33F6">
        <w:rPr>
          <w:rFonts w:cs="Arial"/>
          <w:sz w:val="16"/>
          <w:szCs w:val="16"/>
          <w:rtl/>
        </w:rPr>
        <w:t xml:space="preserve">, </w:t>
      </w:r>
      <w:r w:rsidRPr="00DE33F6">
        <w:rPr>
          <w:rFonts w:cs="Arial" w:hint="cs"/>
          <w:sz w:val="16"/>
          <w:szCs w:val="16"/>
          <w:rtl/>
        </w:rPr>
        <w:t>לפי</w:t>
      </w:r>
      <w:r w:rsidRPr="00DE33F6">
        <w:rPr>
          <w:rFonts w:cs="Arial"/>
          <w:sz w:val="16"/>
          <w:szCs w:val="16"/>
          <w:rtl/>
        </w:rPr>
        <w:t xml:space="preserve"> </w:t>
      </w:r>
      <w:r w:rsidRPr="00DE33F6">
        <w:rPr>
          <w:rFonts w:cs="Arial" w:hint="cs"/>
          <w:sz w:val="16"/>
          <w:szCs w:val="16"/>
          <w:rtl/>
        </w:rPr>
        <w:t>שחדשים</w:t>
      </w:r>
      <w:r w:rsidRPr="00DE33F6">
        <w:rPr>
          <w:rFonts w:cs="Arial"/>
          <w:sz w:val="16"/>
          <w:szCs w:val="16"/>
          <w:rtl/>
        </w:rPr>
        <w:t xml:space="preserve"> </w:t>
      </w:r>
      <w:r w:rsidRPr="00DE33F6">
        <w:rPr>
          <w:rFonts w:cs="Arial" w:hint="cs"/>
          <w:sz w:val="16"/>
          <w:szCs w:val="16"/>
          <w:rtl/>
        </w:rPr>
        <w:t>הם</w:t>
      </w:r>
      <w:r w:rsidRPr="00DE33F6">
        <w:rPr>
          <w:rFonts w:cs="Arial"/>
          <w:sz w:val="16"/>
          <w:szCs w:val="16"/>
          <w:rtl/>
        </w:rPr>
        <w:t xml:space="preserve"> </w:t>
      </w:r>
      <w:r w:rsidRPr="00DE33F6">
        <w:rPr>
          <w:rFonts w:cs="Arial" w:hint="cs"/>
          <w:sz w:val="16"/>
          <w:szCs w:val="16"/>
          <w:rtl/>
        </w:rPr>
        <w:t>ועדיין</w:t>
      </w:r>
      <w:r w:rsidRPr="00DE33F6">
        <w:rPr>
          <w:rFonts w:cs="Arial"/>
          <w:sz w:val="16"/>
          <w:szCs w:val="16"/>
          <w:rtl/>
        </w:rPr>
        <w:t xml:space="preserve"> </w:t>
      </w:r>
      <w:r w:rsidRPr="00DE33F6">
        <w:rPr>
          <w:rFonts w:cs="Arial" w:hint="cs"/>
          <w:sz w:val="16"/>
          <w:szCs w:val="16"/>
          <w:rtl/>
        </w:rPr>
        <w:t>החומר</w:t>
      </w:r>
      <w:r w:rsidRPr="00DE33F6">
        <w:rPr>
          <w:rFonts w:cs="Arial"/>
          <w:sz w:val="16"/>
          <w:szCs w:val="16"/>
          <w:rtl/>
        </w:rPr>
        <w:t xml:space="preserve"> </w:t>
      </w:r>
      <w:r w:rsidRPr="00DE33F6">
        <w:rPr>
          <w:rFonts w:cs="Arial" w:hint="cs"/>
          <w:sz w:val="16"/>
          <w:szCs w:val="16"/>
          <w:rtl/>
        </w:rPr>
        <w:t>רך</w:t>
      </w:r>
      <w:r w:rsidRPr="00DE33F6">
        <w:rPr>
          <w:rFonts w:cs="Arial"/>
          <w:sz w:val="16"/>
          <w:szCs w:val="16"/>
          <w:rtl/>
        </w:rPr>
        <w:t xml:space="preserve"> </w:t>
      </w:r>
      <w:r w:rsidRPr="00DE33F6">
        <w:rPr>
          <w:rFonts w:cs="Arial" w:hint="cs"/>
          <w:sz w:val="16"/>
          <w:szCs w:val="16"/>
          <w:rtl/>
        </w:rPr>
        <w:t>ובולעים</w:t>
      </w:r>
      <w:r w:rsidRPr="00DE33F6">
        <w:rPr>
          <w:rFonts w:cs="Arial"/>
          <w:sz w:val="16"/>
          <w:szCs w:val="16"/>
          <w:rtl/>
        </w:rPr>
        <w:t xml:space="preserve"> </w:t>
      </w:r>
      <w:r w:rsidRPr="00DE33F6">
        <w:rPr>
          <w:rFonts w:cs="Arial" w:hint="cs"/>
          <w:sz w:val="16"/>
          <w:szCs w:val="16"/>
          <w:rtl/>
        </w:rPr>
        <w:t>בליעה</w:t>
      </w:r>
      <w:r w:rsidRPr="00DE33F6">
        <w:rPr>
          <w:rFonts w:cs="Arial"/>
          <w:sz w:val="16"/>
          <w:szCs w:val="16"/>
          <w:rtl/>
        </w:rPr>
        <w:t xml:space="preserve"> </w:t>
      </w:r>
      <w:r w:rsidRPr="00DE33F6">
        <w:rPr>
          <w:rFonts w:cs="Arial" w:hint="cs"/>
          <w:sz w:val="16"/>
          <w:szCs w:val="16"/>
          <w:rtl/>
        </w:rPr>
        <w:t>יתירה</w:t>
      </w:r>
      <w:r>
        <w:rPr>
          <w:rFonts w:cs="Arial" w:hint="cs"/>
          <w:sz w:val="16"/>
          <w:szCs w:val="16"/>
          <w:rtl/>
        </w:rPr>
        <w:t>,</w:t>
      </w:r>
      <w:r w:rsidRPr="00DE33F6">
        <w:rPr>
          <w:rFonts w:cs="Arial"/>
          <w:sz w:val="16"/>
          <w:szCs w:val="16"/>
          <w:rtl/>
        </w:rPr>
        <w:t xml:space="preserve"> </w:t>
      </w:r>
      <w:r w:rsidRPr="00DE33F6">
        <w:rPr>
          <w:rFonts w:cs="Arial" w:hint="cs"/>
          <w:sz w:val="16"/>
          <w:szCs w:val="16"/>
          <w:rtl/>
        </w:rPr>
        <w:t>ואין</w:t>
      </w:r>
      <w:r w:rsidRPr="00DE33F6">
        <w:rPr>
          <w:rFonts w:cs="Arial"/>
          <w:sz w:val="16"/>
          <w:szCs w:val="16"/>
          <w:rtl/>
        </w:rPr>
        <w:t xml:space="preserve"> </w:t>
      </w:r>
      <w:r w:rsidRPr="00DE33F6">
        <w:rPr>
          <w:rFonts w:cs="Arial" w:hint="cs"/>
          <w:sz w:val="16"/>
          <w:szCs w:val="16"/>
          <w:rtl/>
        </w:rPr>
        <w:t>להם</w:t>
      </w:r>
      <w:r w:rsidRPr="00DE33F6">
        <w:rPr>
          <w:rFonts w:cs="Arial"/>
          <w:sz w:val="16"/>
          <w:szCs w:val="16"/>
          <w:rtl/>
        </w:rPr>
        <w:t xml:space="preserve"> </w:t>
      </w:r>
      <w:r w:rsidRPr="00DE33F6">
        <w:rPr>
          <w:rFonts w:cs="Arial" w:hint="cs"/>
          <w:sz w:val="16"/>
          <w:szCs w:val="16"/>
          <w:rtl/>
        </w:rPr>
        <w:t>תקנה</w:t>
      </w:r>
      <w:r w:rsidRPr="00DE33F6">
        <w:rPr>
          <w:rFonts w:cs="Arial"/>
          <w:sz w:val="16"/>
          <w:szCs w:val="16"/>
          <w:rtl/>
        </w:rPr>
        <w:t xml:space="preserve"> </w:t>
      </w:r>
      <w:r w:rsidRPr="00DE33F6">
        <w:rPr>
          <w:rFonts w:cs="Arial" w:hint="cs"/>
          <w:sz w:val="16"/>
          <w:szCs w:val="16"/>
          <w:rtl/>
        </w:rPr>
        <w:t>עד</w:t>
      </w:r>
      <w:r w:rsidRPr="00DE33F6">
        <w:rPr>
          <w:rFonts w:cs="Arial"/>
          <w:sz w:val="16"/>
          <w:szCs w:val="16"/>
          <w:rtl/>
        </w:rPr>
        <w:t xml:space="preserve"> </w:t>
      </w:r>
      <w:r w:rsidRPr="00DE33F6">
        <w:rPr>
          <w:rFonts w:cs="Arial" w:hint="cs"/>
          <w:sz w:val="16"/>
          <w:szCs w:val="16"/>
          <w:rtl/>
        </w:rPr>
        <w:t>שיתן</w:t>
      </w:r>
      <w:r w:rsidRPr="00DE33F6">
        <w:rPr>
          <w:rFonts w:cs="Arial"/>
          <w:sz w:val="16"/>
          <w:szCs w:val="16"/>
          <w:rtl/>
        </w:rPr>
        <w:t xml:space="preserve"> </w:t>
      </w:r>
      <w:r w:rsidRPr="00DE33F6">
        <w:rPr>
          <w:rFonts w:cs="Arial" w:hint="cs"/>
          <w:sz w:val="16"/>
          <w:szCs w:val="16"/>
          <w:rtl/>
        </w:rPr>
        <w:t>בהם</w:t>
      </w:r>
      <w:r w:rsidRPr="00DE33F6">
        <w:rPr>
          <w:rFonts w:cs="Arial"/>
          <w:sz w:val="16"/>
          <w:szCs w:val="16"/>
          <w:rtl/>
        </w:rPr>
        <w:t xml:space="preserve"> </w:t>
      </w:r>
      <w:r w:rsidRPr="00DE33F6">
        <w:rPr>
          <w:rFonts w:cs="Arial" w:hint="cs"/>
          <w:sz w:val="16"/>
          <w:szCs w:val="16"/>
          <w:rtl/>
        </w:rPr>
        <w:t>מים</w:t>
      </w:r>
      <w:r w:rsidRPr="00DE33F6">
        <w:rPr>
          <w:rFonts w:cs="Arial"/>
          <w:sz w:val="16"/>
          <w:szCs w:val="16"/>
          <w:rtl/>
        </w:rPr>
        <w:t xml:space="preserve"> </w:t>
      </w:r>
      <w:r w:rsidRPr="00DE33F6">
        <w:rPr>
          <w:rFonts w:cs="Arial" w:hint="cs"/>
          <w:sz w:val="16"/>
          <w:szCs w:val="16"/>
          <w:rtl/>
        </w:rPr>
        <w:t>שלשה</w:t>
      </w:r>
      <w:r w:rsidRPr="00DE33F6">
        <w:rPr>
          <w:rFonts w:cs="Arial"/>
          <w:sz w:val="16"/>
          <w:szCs w:val="16"/>
          <w:rtl/>
        </w:rPr>
        <w:t xml:space="preserve"> </w:t>
      </w:r>
      <w:r w:rsidRPr="00DE33F6">
        <w:rPr>
          <w:rFonts w:cs="Arial" w:hint="cs"/>
          <w:sz w:val="16"/>
          <w:szCs w:val="16"/>
          <w:rtl/>
        </w:rPr>
        <w:t>ימים</w:t>
      </w:r>
      <w:r w:rsidRPr="00DE33F6">
        <w:rPr>
          <w:rFonts w:cs="Arial"/>
          <w:sz w:val="16"/>
          <w:szCs w:val="16"/>
          <w:rtl/>
        </w:rPr>
        <w:t>.</w:t>
      </w:r>
      <w:r w:rsidRPr="00DE33F6">
        <w:rPr>
          <w:rFonts w:cs="Arial" w:hint="cs"/>
          <w:sz w:val="16"/>
          <w:szCs w:val="16"/>
          <w:rtl/>
        </w:rPr>
        <w:t xml:space="preserve"> כי</w:t>
      </w:r>
      <w:r w:rsidRPr="00DE33F6">
        <w:rPr>
          <w:rFonts w:cs="Arial"/>
          <w:sz w:val="16"/>
          <w:szCs w:val="16"/>
          <w:rtl/>
        </w:rPr>
        <w:t xml:space="preserve"> </w:t>
      </w:r>
      <w:r w:rsidRPr="00DE33F6">
        <w:rPr>
          <w:rFonts w:cs="Arial" w:hint="cs"/>
          <w:sz w:val="16"/>
          <w:szCs w:val="16"/>
          <w:rtl/>
        </w:rPr>
        <w:t>פליגי</w:t>
      </w:r>
      <w:r w:rsidRPr="00DE33F6">
        <w:rPr>
          <w:rFonts w:cs="Arial"/>
          <w:sz w:val="16"/>
          <w:szCs w:val="16"/>
          <w:rtl/>
        </w:rPr>
        <w:t xml:space="preserve"> </w:t>
      </w:r>
      <w:r w:rsidRPr="00DE33F6">
        <w:rPr>
          <w:rFonts w:cs="Arial" w:hint="cs"/>
          <w:sz w:val="16"/>
          <w:szCs w:val="16"/>
          <w:rtl/>
        </w:rPr>
        <w:t>באם</w:t>
      </w:r>
      <w:r w:rsidRPr="00DE33F6">
        <w:rPr>
          <w:rFonts w:cs="Arial"/>
          <w:sz w:val="16"/>
          <w:szCs w:val="16"/>
          <w:rtl/>
        </w:rPr>
        <w:t xml:space="preserve"> </w:t>
      </w:r>
      <w:r w:rsidRPr="00DE33F6">
        <w:rPr>
          <w:rFonts w:cs="Arial" w:hint="cs"/>
          <w:sz w:val="16"/>
          <w:szCs w:val="16"/>
          <w:rtl/>
        </w:rPr>
        <w:t>שתה</w:t>
      </w:r>
      <w:r w:rsidRPr="00DE33F6">
        <w:rPr>
          <w:rFonts w:cs="Arial"/>
          <w:sz w:val="16"/>
          <w:szCs w:val="16"/>
          <w:rtl/>
        </w:rPr>
        <w:t xml:space="preserve"> </w:t>
      </w:r>
      <w:r w:rsidRPr="00DE33F6">
        <w:rPr>
          <w:rFonts w:cs="Arial" w:hint="cs"/>
          <w:sz w:val="16"/>
          <w:szCs w:val="16"/>
          <w:rtl/>
        </w:rPr>
        <w:t>מהם</w:t>
      </w:r>
      <w:r w:rsidRPr="00DE33F6">
        <w:rPr>
          <w:rFonts w:cs="Arial"/>
          <w:sz w:val="16"/>
          <w:szCs w:val="16"/>
          <w:rtl/>
        </w:rPr>
        <w:t xml:space="preserve"> </w:t>
      </w:r>
      <w:r w:rsidRPr="00DE33F6">
        <w:rPr>
          <w:rFonts w:cs="Arial" w:hint="cs"/>
          <w:sz w:val="16"/>
          <w:szCs w:val="16"/>
          <w:rtl/>
        </w:rPr>
        <w:t>הגוי</w:t>
      </w:r>
      <w:r w:rsidRPr="00DE33F6">
        <w:rPr>
          <w:rFonts w:cs="Arial"/>
          <w:sz w:val="16"/>
          <w:szCs w:val="16"/>
          <w:rtl/>
        </w:rPr>
        <w:t xml:space="preserve"> </w:t>
      </w:r>
      <w:r w:rsidRPr="00DE33F6">
        <w:rPr>
          <w:rFonts w:cs="Arial" w:hint="cs"/>
          <w:sz w:val="16"/>
          <w:szCs w:val="16"/>
          <w:rtl/>
        </w:rPr>
        <w:t>פעם</w:t>
      </w:r>
      <w:r w:rsidRPr="00DE33F6">
        <w:rPr>
          <w:rFonts w:cs="Arial"/>
          <w:sz w:val="16"/>
          <w:szCs w:val="16"/>
          <w:rtl/>
        </w:rPr>
        <w:t xml:space="preserve"> </w:t>
      </w:r>
      <w:r w:rsidRPr="00DE33F6">
        <w:rPr>
          <w:rFonts w:cs="Arial" w:hint="cs"/>
          <w:sz w:val="16"/>
          <w:szCs w:val="16"/>
          <w:rtl/>
        </w:rPr>
        <w:t>שני</w:t>
      </w:r>
      <w:r>
        <w:rPr>
          <w:rFonts w:cs="Arial" w:hint="cs"/>
          <w:sz w:val="16"/>
          <w:szCs w:val="16"/>
          <w:rtl/>
        </w:rPr>
        <w:t>,</w:t>
      </w:r>
      <w:r w:rsidRPr="00DE33F6">
        <w:rPr>
          <w:rFonts w:cs="Arial"/>
          <w:sz w:val="16"/>
          <w:szCs w:val="16"/>
          <w:rtl/>
        </w:rPr>
        <w:t xml:space="preserve"> </w:t>
      </w:r>
      <w:r w:rsidRPr="00DE33F6">
        <w:rPr>
          <w:rFonts w:cs="Arial" w:hint="cs"/>
          <w:sz w:val="16"/>
          <w:szCs w:val="16"/>
          <w:rtl/>
        </w:rPr>
        <w:t>שאז</w:t>
      </w:r>
      <w:r w:rsidRPr="00DE33F6">
        <w:rPr>
          <w:rFonts w:cs="Arial"/>
          <w:sz w:val="16"/>
          <w:szCs w:val="16"/>
          <w:rtl/>
        </w:rPr>
        <w:t xml:space="preserve"> </w:t>
      </w:r>
      <w:r w:rsidRPr="00DE33F6">
        <w:rPr>
          <w:rFonts w:cs="Arial" w:hint="cs"/>
          <w:sz w:val="16"/>
          <w:szCs w:val="16"/>
          <w:rtl/>
        </w:rPr>
        <w:t>רב</w:t>
      </w:r>
      <w:r w:rsidRPr="00DE33F6">
        <w:rPr>
          <w:rFonts w:cs="Arial"/>
          <w:sz w:val="16"/>
          <w:szCs w:val="16"/>
          <w:rtl/>
        </w:rPr>
        <w:t xml:space="preserve"> </w:t>
      </w:r>
      <w:r w:rsidRPr="00DE33F6">
        <w:rPr>
          <w:rFonts w:cs="Arial" w:hint="cs"/>
          <w:sz w:val="16"/>
          <w:szCs w:val="16"/>
          <w:rtl/>
        </w:rPr>
        <w:t>אסי</w:t>
      </w:r>
      <w:r w:rsidRPr="00DE33F6">
        <w:rPr>
          <w:rFonts w:cs="Arial"/>
          <w:sz w:val="16"/>
          <w:szCs w:val="16"/>
          <w:rtl/>
        </w:rPr>
        <w:t xml:space="preserve"> </w:t>
      </w:r>
      <w:r w:rsidRPr="00DE33F6">
        <w:rPr>
          <w:rFonts w:cs="Arial" w:hint="cs"/>
          <w:sz w:val="16"/>
          <w:szCs w:val="16"/>
          <w:rtl/>
        </w:rPr>
        <w:t>אוסרם</w:t>
      </w:r>
      <w:r w:rsidRPr="00DE33F6">
        <w:rPr>
          <w:rFonts w:cs="Arial"/>
          <w:sz w:val="16"/>
          <w:szCs w:val="16"/>
          <w:rtl/>
        </w:rPr>
        <w:t xml:space="preserve">, </w:t>
      </w:r>
      <w:r w:rsidRPr="00DE33F6">
        <w:rPr>
          <w:rFonts w:cs="Arial" w:hint="cs"/>
          <w:sz w:val="16"/>
          <w:szCs w:val="16"/>
          <w:rtl/>
        </w:rPr>
        <w:t>ורב</w:t>
      </w:r>
      <w:r w:rsidRPr="00DE33F6">
        <w:rPr>
          <w:rFonts w:cs="Arial"/>
          <w:sz w:val="16"/>
          <w:szCs w:val="16"/>
          <w:rtl/>
        </w:rPr>
        <w:t xml:space="preserve"> </w:t>
      </w:r>
      <w:r w:rsidRPr="00DE33F6">
        <w:rPr>
          <w:rFonts w:cs="Arial" w:hint="cs"/>
          <w:sz w:val="16"/>
          <w:szCs w:val="16"/>
          <w:rtl/>
        </w:rPr>
        <w:t>אשי</w:t>
      </w:r>
      <w:r w:rsidRPr="00DE33F6">
        <w:rPr>
          <w:rFonts w:cs="Arial"/>
          <w:sz w:val="16"/>
          <w:szCs w:val="16"/>
          <w:rtl/>
        </w:rPr>
        <w:t xml:space="preserve"> </w:t>
      </w:r>
      <w:r w:rsidRPr="00DE33F6">
        <w:rPr>
          <w:rFonts w:cs="Arial" w:hint="cs"/>
          <w:sz w:val="16"/>
          <w:szCs w:val="16"/>
          <w:rtl/>
        </w:rPr>
        <w:t>מתירם</w:t>
      </w:r>
      <w:r w:rsidRPr="00DE33F6">
        <w:rPr>
          <w:rFonts w:cs="Arial"/>
          <w:sz w:val="16"/>
          <w:szCs w:val="16"/>
          <w:rtl/>
        </w:rPr>
        <w:t>.</w:t>
      </w:r>
      <w:r w:rsidRPr="00DE33F6">
        <w:rPr>
          <w:rFonts w:cs="Arial" w:hint="cs"/>
          <w:sz w:val="16"/>
          <w:szCs w:val="16"/>
          <w:rtl/>
        </w:rPr>
        <w:t xml:space="preserve"> </w:t>
      </w:r>
      <w:r>
        <w:rPr>
          <w:rFonts w:cs="Arial" w:hint="cs"/>
          <w:sz w:val="16"/>
          <w:szCs w:val="16"/>
          <w:rtl/>
        </w:rPr>
        <w:t>ו</w:t>
      </w:r>
      <w:r w:rsidRPr="00DE33F6">
        <w:rPr>
          <w:rFonts w:cs="Arial" w:hint="cs"/>
          <w:sz w:val="16"/>
          <w:szCs w:val="16"/>
          <w:rtl/>
        </w:rPr>
        <w:t>איכא</w:t>
      </w:r>
      <w:r w:rsidRPr="00DE33F6">
        <w:rPr>
          <w:rFonts w:cs="Arial"/>
          <w:sz w:val="16"/>
          <w:szCs w:val="16"/>
          <w:rtl/>
        </w:rPr>
        <w:t xml:space="preserve"> </w:t>
      </w:r>
      <w:r w:rsidRPr="00DE33F6">
        <w:rPr>
          <w:rFonts w:cs="Arial" w:hint="cs"/>
          <w:sz w:val="16"/>
          <w:szCs w:val="16"/>
          <w:rtl/>
        </w:rPr>
        <w:t>דאמרי</w:t>
      </w:r>
      <w:r>
        <w:rPr>
          <w:rFonts w:cs="Arial" w:hint="cs"/>
          <w:sz w:val="16"/>
          <w:szCs w:val="16"/>
          <w:rtl/>
        </w:rPr>
        <w:t xml:space="preserve"> ד</w:t>
      </w:r>
      <w:r w:rsidRPr="00DE33F6">
        <w:rPr>
          <w:rFonts w:cs="Arial" w:hint="cs"/>
          <w:sz w:val="16"/>
          <w:szCs w:val="16"/>
          <w:rtl/>
        </w:rPr>
        <w:t>אם</w:t>
      </w:r>
      <w:r w:rsidRPr="00DE33F6">
        <w:rPr>
          <w:rFonts w:cs="Arial"/>
          <w:sz w:val="16"/>
          <w:szCs w:val="16"/>
          <w:rtl/>
        </w:rPr>
        <w:t xml:space="preserve"> </w:t>
      </w:r>
      <w:r w:rsidRPr="00DE33F6">
        <w:rPr>
          <w:rFonts w:cs="Arial" w:hint="cs"/>
          <w:sz w:val="16"/>
          <w:szCs w:val="16"/>
          <w:rtl/>
        </w:rPr>
        <w:t>שתה</w:t>
      </w:r>
      <w:r w:rsidRPr="00DE33F6">
        <w:rPr>
          <w:rFonts w:cs="Arial"/>
          <w:sz w:val="16"/>
          <w:szCs w:val="16"/>
          <w:rtl/>
        </w:rPr>
        <w:t xml:space="preserve"> </w:t>
      </w:r>
      <w:r w:rsidRPr="00DE33F6">
        <w:rPr>
          <w:rFonts w:cs="Arial" w:hint="cs"/>
          <w:sz w:val="16"/>
          <w:szCs w:val="16"/>
          <w:rtl/>
        </w:rPr>
        <w:t>הגוי</w:t>
      </w:r>
      <w:r w:rsidRPr="00DE33F6">
        <w:rPr>
          <w:rFonts w:cs="Arial"/>
          <w:sz w:val="16"/>
          <w:szCs w:val="16"/>
          <w:rtl/>
        </w:rPr>
        <w:t xml:space="preserve"> </w:t>
      </w:r>
      <w:r w:rsidRPr="00DE33F6">
        <w:rPr>
          <w:rFonts w:cs="Arial" w:hint="cs"/>
          <w:sz w:val="16"/>
          <w:szCs w:val="16"/>
          <w:rtl/>
        </w:rPr>
        <w:t>בפעם</w:t>
      </w:r>
      <w:r w:rsidRPr="00DE33F6">
        <w:rPr>
          <w:rFonts w:cs="Arial"/>
          <w:sz w:val="16"/>
          <w:szCs w:val="16"/>
          <w:rtl/>
        </w:rPr>
        <w:t xml:space="preserve"> </w:t>
      </w:r>
      <w:r w:rsidRPr="00DE33F6">
        <w:rPr>
          <w:rFonts w:cs="Arial" w:hint="cs"/>
          <w:sz w:val="16"/>
          <w:szCs w:val="16"/>
          <w:rtl/>
        </w:rPr>
        <w:t>ראשון</w:t>
      </w:r>
      <w:r w:rsidRPr="00DE33F6">
        <w:rPr>
          <w:rFonts w:cs="Arial"/>
          <w:sz w:val="16"/>
          <w:szCs w:val="16"/>
          <w:rtl/>
        </w:rPr>
        <w:t xml:space="preserve"> </w:t>
      </w:r>
      <w:r w:rsidRPr="00DE33F6">
        <w:rPr>
          <w:rFonts w:cs="Arial" w:hint="cs"/>
          <w:sz w:val="16"/>
          <w:szCs w:val="16"/>
          <w:rtl/>
        </w:rPr>
        <w:t>או</w:t>
      </w:r>
      <w:r w:rsidRPr="00DE33F6">
        <w:rPr>
          <w:rFonts w:cs="Arial"/>
          <w:sz w:val="16"/>
          <w:szCs w:val="16"/>
          <w:rtl/>
        </w:rPr>
        <w:t xml:space="preserve"> </w:t>
      </w:r>
      <w:r w:rsidRPr="00DE33F6">
        <w:rPr>
          <w:rFonts w:cs="Arial" w:hint="cs"/>
          <w:sz w:val="16"/>
          <w:szCs w:val="16"/>
          <w:rtl/>
        </w:rPr>
        <w:t>שני</w:t>
      </w:r>
      <w:r w:rsidRPr="00DE33F6">
        <w:rPr>
          <w:rFonts w:cs="Arial"/>
          <w:sz w:val="16"/>
          <w:szCs w:val="16"/>
          <w:rtl/>
        </w:rPr>
        <w:t xml:space="preserve">, </w:t>
      </w:r>
      <w:r w:rsidRPr="00DE33F6">
        <w:rPr>
          <w:rFonts w:cs="Arial" w:hint="cs"/>
          <w:sz w:val="16"/>
          <w:szCs w:val="16"/>
          <w:rtl/>
        </w:rPr>
        <w:t>כו</w:t>
      </w:r>
      <w:r>
        <w:rPr>
          <w:rFonts w:cs="Arial" w:hint="cs"/>
          <w:sz w:val="16"/>
          <w:szCs w:val="16"/>
          <w:rtl/>
        </w:rPr>
        <w:t>"</w:t>
      </w:r>
      <w:r w:rsidRPr="00DE33F6">
        <w:rPr>
          <w:rFonts w:cs="Arial" w:hint="cs"/>
          <w:sz w:val="16"/>
          <w:szCs w:val="16"/>
          <w:rtl/>
        </w:rPr>
        <w:t>ע</w:t>
      </w:r>
      <w:r w:rsidRPr="00DE33F6">
        <w:rPr>
          <w:rFonts w:cs="Arial"/>
          <w:sz w:val="16"/>
          <w:szCs w:val="16"/>
          <w:rtl/>
        </w:rPr>
        <w:t xml:space="preserve"> </w:t>
      </w:r>
      <w:r w:rsidRPr="00DE33F6">
        <w:rPr>
          <w:rFonts w:cs="Arial" w:hint="cs"/>
          <w:sz w:val="16"/>
          <w:szCs w:val="16"/>
          <w:rtl/>
        </w:rPr>
        <w:t>לא</w:t>
      </w:r>
      <w:r w:rsidRPr="00DE33F6">
        <w:rPr>
          <w:rFonts w:cs="Arial"/>
          <w:sz w:val="16"/>
          <w:szCs w:val="16"/>
          <w:rtl/>
        </w:rPr>
        <w:t xml:space="preserve"> </w:t>
      </w:r>
      <w:r w:rsidRPr="00DE33F6">
        <w:rPr>
          <w:rFonts w:cs="Arial" w:hint="cs"/>
          <w:sz w:val="16"/>
          <w:szCs w:val="16"/>
          <w:rtl/>
        </w:rPr>
        <w:t>פליגי</w:t>
      </w:r>
      <w:r w:rsidRPr="00DE33F6">
        <w:rPr>
          <w:rFonts w:cs="Arial"/>
          <w:sz w:val="16"/>
          <w:szCs w:val="16"/>
          <w:rtl/>
        </w:rPr>
        <w:t xml:space="preserve"> </w:t>
      </w:r>
      <w:r w:rsidRPr="00DE33F6">
        <w:rPr>
          <w:rFonts w:cs="Arial" w:hint="cs"/>
          <w:sz w:val="16"/>
          <w:szCs w:val="16"/>
          <w:rtl/>
        </w:rPr>
        <w:t>דאסור</w:t>
      </w:r>
      <w:r w:rsidRPr="00DE33F6">
        <w:rPr>
          <w:rFonts w:cs="Arial"/>
          <w:sz w:val="16"/>
          <w:szCs w:val="16"/>
          <w:rtl/>
        </w:rPr>
        <w:t xml:space="preserve"> </w:t>
      </w:r>
      <w:r w:rsidRPr="00DE33F6">
        <w:rPr>
          <w:rFonts w:cs="Arial" w:hint="cs"/>
          <w:sz w:val="16"/>
          <w:szCs w:val="16"/>
          <w:rtl/>
        </w:rPr>
        <w:t>הכוס</w:t>
      </w:r>
      <w:r>
        <w:rPr>
          <w:rFonts w:cs="Arial" w:hint="cs"/>
          <w:sz w:val="16"/>
          <w:szCs w:val="16"/>
          <w:rtl/>
        </w:rPr>
        <w:t>,</w:t>
      </w:r>
      <w:r w:rsidRPr="00DE33F6">
        <w:rPr>
          <w:rFonts w:cs="Arial" w:hint="cs"/>
          <w:sz w:val="16"/>
          <w:szCs w:val="16"/>
          <w:rtl/>
        </w:rPr>
        <w:t xml:space="preserve"> כי</w:t>
      </w:r>
      <w:r w:rsidRPr="00DE33F6">
        <w:rPr>
          <w:rFonts w:cs="Arial"/>
          <w:sz w:val="16"/>
          <w:szCs w:val="16"/>
          <w:rtl/>
        </w:rPr>
        <w:t xml:space="preserve"> </w:t>
      </w:r>
      <w:r w:rsidRPr="00DE33F6">
        <w:rPr>
          <w:rFonts w:cs="Arial" w:hint="cs"/>
          <w:sz w:val="16"/>
          <w:szCs w:val="16"/>
          <w:rtl/>
        </w:rPr>
        <w:t>פליגי</w:t>
      </w:r>
      <w:r w:rsidRPr="00DE33F6">
        <w:rPr>
          <w:rFonts w:cs="Arial"/>
          <w:sz w:val="16"/>
          <w:szCs w:val="16"/>
          <w:rtl/>
        </w:rPr>
        <w:t xml:space="preserve"> </w:t>
      </w:r>
      <w:r w:rsidRPr="00DE33F6">
        <w:rPr>
          <w:rFonts w:cs="Arial" w:hint="cs"/>
          <w:sz w:val="16"/>
          <w:szCs w:val="16"/>
          <w:rtl/>
        </w:rPr>
        <w:t>אם</w:t>
      </w:r>
      <w:r w:rsidRPr="00DE33F6">
        <w:rPr>
          <w:rFonts w:cs="Arial"/>
          <w:sz w:val="16"/>
          <w:szCs w:val="16"/>
          <w:rtl/>
        </w:rPr>
        <w:t xml:space="preserve"> </w:t>
      </w:r>
      <w:r w:rsidRPr="00DE33F6">
        <w:rPr>
          <w:rFonts w:cs="Arial" w:hint="cs"/>
          <w:sz w:val="16"/>
          <w:szCs w:val="16"/>
          <w:rtl/>
        </w:rPr>
        <w:t>שתה</w:t>
      </w:r>
      <w:r w:rsidRPr="00DE33F6">
        <w:rPr>
          <w:rFonts w:cs="Arial"/>
          <w:sz w:val="16"/>
          <w:szCs w:val="16"/>
          <w:rtl/>
        </w:rPr>
        <w:t xml:space="preserve"> </w:t>
      </w:r>
      <w:r w:rsidRPr="00DE33F6">
        <w:rPr>
          <w:rFonts w:cs="Arial" w:hint="cs"/>
          <w:sz w:val="16"/>
          <w:szCs w:val="16"/>
          <w:rtl/>
        </w:rPr>
        <w:t>ממנו</w:t>
      </w:r>
      <w:r w:rsidRPr="00DE33F6">
        <w:rPr>
          <w:rFonts w:cs="Arial"/>
          <w:sz w:val="16"/>
          <w:szCs w:val="16"/>
          <w:rtl/>
        </w:rPr>
        <w:t xml:space="preserve"> </w:t>
      </w:r>
      <w:r w:rsidRPr="00DE33F6">
        <w:rPr>
          <w:rFonts w:cs="Arial" w:hint="cs"/>
          <w:sz w:val="16"/>
          <w:szCs w:val="16"/>
          <w:rtl/>
        </w:rPr>
        <w:t>הגוי</w:t>
      </w:r>
      <w:r w:rsidRPr="00DE33F6">
        <w:rPr>
          <w:rFonts w:cs="Arial"/>
          <w:sz w:val="16"/>
          <w:szCs w:val="16"/>
          <w:rtl/>
        </w:rPr>
        <w:t xml:space="preserve"> </w:t>
      </w:r>
      <w:r w:rsidRPr="00DE33F6">
        <w:rPr>
          <w:rFonts w:cs="Arial" w:hint="cs"/>
          <w:sz w:val="16"/>
          <w:szCs w:val="16"/>
          <w:rtl/>
        </w:rPr>
        <w:t>רק</w:t>
      </w:r>
      <w:r w:rsidRPr="00DE33F6">
        <w:rPr>
          <w:rFonts w:cs="Arial"/>
          <w:sz w:val="16"/>
          <w:szCs w:val="16"/>
          <w:rtl/>
        </w:rPr>
        <w:t xml:space="preserve"> </w:t>
      </w:r>
      <w:r w:rsidRPr="00DE33F6">
        <w:rPr>
          <w:rFonts w:cs="Arial" w:hint="cs"/>
          <w:sz w:val="16"/>
          <w:szCs w:val="16"/>
          <w:rtl/>
        </w:rPr>
        <w:t>בפעם</w:t>
      </w:r>
      <w:r w:rsidRPr="00DE33F6">
        <w:rPr>
          <w:rFonts w:cs="Arial"/>
          <w:sz w:val="16"/>
          <w:szCs w:val="16"/>
          <w:rtl/>
        </w:rPr>
        <w:t xml:space="preserve"> </w:t>
      </w:r>
      <w:r w:rsidRPr="00DE33F6">
        <w:rPr>
          <w:rFonts w:cs="Arial" w:hint="cs"/>
          <w:sz w:val="16"/>
          <w:szCs w:val="16"/>
          <w:rtl/>
        </w:rPr>
        <w:t>השלישית</w:t>
      </w:r>
      <w:r>
        <w:rPr>
          <w:rFonts w:cs="Arial" w:hint="cs"/>
          <w:sz w:val="16"/>
          <w:szCs w:val="16"/>
          <w:rtl/>
        </w:rPr>
        <w:t>,</w:t>
      </w:r>
      <w:r w:rsidRPr="00DE33F6">
        <w:rPr>
          <w:rFonts w:cs="Arial"/>
          <w:sz w:val="16"/>
          <w:szCs w:val="16"/>
          <w:rtl/>
        </w:rPr>
        <w:t xml:space="preserve"> </w:t>
      </w:r>
      <w:r>
        <w:rPr>
          <w:rFonts w:cs="Arial" w:hint="cs"/>
          <w:sz w:val="16"/>
          <w:szCs w:val="16"/>
          <w:rtl/>
        </w:rPr>
        <w:t xml:space="preserve">שאז </w:t>
      </w:r>
      <w:r w:rsidRPr="00DE33F6">
        <w:rPr>
          <w:rFonts w:cs="Arial" w:hint="cs"/>
          <w:sz w:val="16"/>
          <w:szCs w:val="16"/>
          <w:rtl/>
        </w:rPr>
        <w:t>דעת</w:t>
      </w:r>
      <w:r w:rsidRPr="00DE33F6">
        <w:rPr>
          <w:rFonts w:cs="Arial"/>
          <w:sz w:val="16"/>
          <w:szCs w:val="16"/>
          <w:rtl/>
        </w:rPr>
        <w:t xml:space="preserve"> </w:t>
      </w:r>
      <w:r w:rsidRPr="00DE33F6">
        <w:rPr>
          <w:rFonts w:cs="Arial" w:hint="cs"/>
          <w:sz w:val="16"/>
          <w:szCs w:val="16"/>
          <w:rtl/>
        </w:rPr>
        <w:t>רב</w:t>
      </w:r>
      <w:r w:rsidRPr="00DE33F6">
        <w:rPr>
          <w:rFonts w:cs="Arial"/>
          <w:sz w:val="16"/>
          <w:szCs w:val="16"/>
          <w:rtl/>
        </w:rPr>
        <w:t xml:space="preserve"> </w:t>
      </w:r>
      <w:r w:rsidRPr="00DE33F6">
        <w:rPr>
          <w:rFonts w:cs="Arial" w:hint="cs"/>
          <w:sz w:val="16"/>
          <w:szCs w:val="16"/>
          <w:rtl/>
        </w:rPr>
        <w:t>אסי</w:t>
      </w:r>
      <w:r w:rsidRPr="00DE33F6">
        <w:rPr>
          <w:rFonts w:cs="Arial"/>
          <w:sz w:val="16"/>
          <w:szCs w:val="16"/>
          <w:rtl/>
        </w:rPr>
        <w:t xml:space="preserve"> </w:t>
      </w:r>
      <w:r>
        <w:rPr>
          <w:rFonts w:cs="Arial" w:hint="cs"/>
          <w:sz w:val="16"/>
          <w:szCs w:val="16"/>
          <w:rtl/>
        </w:rPr>
        <w:t>לאסור</w:t>
      </w:r>
      <w:r w:rsidRPr="00DE33F6">
        <w:rPr>
          <w:rFonts w:cs="Arial"/>
          <w:sz w:val="16"/>
          <w:szCs w:val="16"/>
          <w:rtl/>
        </w:rPr>
        <w:t xml:space="preserve">, </w:t>
      </w:r>
      <w:r w:rsidRPr="00DE33F6">
        <w:rPr>
          <w:rFonts w:cs="Arial" w:hint="cs"/>
          <w:sz w:val="16"/>
          <w:szCs w:val="16"/>
          <w:rtl/>
        </w:rPr>
        <w:t>ודעת</w:t>
      </w:r>
      <w:r w:rsidRPr="00DE33F6">
        <w:rPr>
          <w:rFonts w:cs="Arial"/>
          <w:sz w:val="16"/>
          <w:szCs w:val="16"/>
          <w:rtl/>
        </w:rPr>
        <w:t xml:space="preserve"> </w:t>
      </w:r>
      <w:r w:rsidRPr="00DE33F6">
        <w:rPr>
          <w:rFonts w:cs="Arial" w:hint="cs"/>
          <w:sz w:val="16"/>
          <w:szCs w:val="16"/>
          <w:rtl/>
        </w:rPr>
        <w:t>רב</w:t>
      </w:r>
      <w:r w:rsidRPr="00DE33F6">
        <w:rPr>
          <w:rFonts w:cs="Arial"/>
          <w:sz w:val="16"/>
          <w:szCs w:val="16"/>
          <w:rtl/>
        </w:rPr>
        <w:t xml:space="preserve"> </w:t>
      </w:r>
      <w:r w:rsidRPr="00DE33F6">
        <w:rPr>
          <w:rFonts w:cs="Arial" w:hint="cs"/>
          <w:sz w:val="16"/>
          <w:szCs w:val="16"/>
          <w:rtl/>
        </w:rPr>
        <w:t>אשי</w:t>
      </w:r>
      <w:r w:rsidRPr="00DE33F6">
        <w:rPr>
          <w:rFonts w:cs="Arial"/>
          <w:sz w:val="16"/>
          <w:szCs w:val="16"/>
          <w:rtl/>
        </w:rPr>
        <w:t xml:space="preserve"> </w:t>
      </w:r>
      <w:r>
        <w:rPr>
          <w:rFonts w:cs="Arial" w:hint="cs"/>
          <w:sz w:val="16"/>
          <w:szCs w:val="16"/>
          <w:rtl/>
        </w:rPr>
        <w:t>לה</w:t>
      </w:r>
      <w:r w:rsidRPr="00DE33F6">
        <w:rPr>
          <w:rFonts w:cs="Arial" w:hint="cs"/>
          <w:sz w:val="16"/>
          <w:szCs w:val="16"/>
          <w:rtl/>
        </w:rPr>
        <w:t>ת</w:t>
      </w:r>
      <w:r>
        <w:rPr>
          <w:rFonts w:cs="Arial" w:hint="cs"/>
          <w:sz w:val="16"/>
          <w:szCs w:val="16"/>
          <w:rtl/>
        </w:rPr>
        <w:t>י</w:t>
      </w:r>
      <w:r w:rsidRPr="00DE33F6">
        <w:rPr>
          <w:rFonts w:cs="Arial" w:hint="cs"/>
          <w:sz w:val="16"/>
          <w:szCs w:val="16"/>
          <w:rtl/>
        </w:rPr>
        <w:t>ר</w:t>
      </w:r>
      <w:r w:rsidRPr="00DE33F6">
        <w:rPr>
          <w:rFonts w:cs="Arial"/>
          <w:sz w:val="16"/>
          <w:szCs w:val="16"/>
          <w:rtl/>
        </w:rPr>
        <w:t>.</w:t>
      </w:r>
      <w:r w:rsidRPr="00DE33F6">
        <w:rPr>
          <w:rFonts w:cs="Arial" w:hint="cs"/>
          <w:sz w:val="16"/>
          <w:szCs w:val="16"/>
          <w:rtl/>
        </w:rPr>
        <w:t xml:space="preserve"> והלכתא</w:t>
      </w:r>
      <w:r w:rsidRPr="00DE33F6">
        <w:rPr>
          <w:rFonts w:cs="Arial"/>
          <w:sz w:val="16"/>
          <w:szCs w:val="16"/>
          <w:rtl/>
        </w:rPr>
        <w:t xml:space="preserve"> - </w:t>
      </w:r>
      <w:r w:rsidRPr="00DE33F6">
        <w:rPr>
          <w:rFonts w:cs="Arial" w:hint="cs"/>
          <w:sz w:val="16"/>
          <w:szCs w:val="16"/>
          <w:rtl/>
        </w:rPr>
        <w:t>אם</w:t>
      </w:r>
      <w:r w:rsidRPr="00DE33F6">
        <w:rPr>
          <w:rFonts w:cs="Arial"/>
          <w:sz w:val="16"/>
          <w:szCs w:val="16"/>
          <w:rtl/>
        </w:rPr>
        <w:t xml:space="preserve"> </w:t>
      </w:r>
      <w:r w:rsidRPr="00DE33F6">
        <w:rPr>
          <w:rFonts w:cs="Arial" w:hint="cs"/>
          <w:sz w:val="16"/>
          <w:szCs w:val="16"/>
          <w:rtl/>
        </w:rPr>
        <w:t>שתה</w:t>
      </w:r>
      <w:r w:rsidRPr="00DE33F6">
        <w:rPr>
          <w:rFonts w:cs="Arial"/>
          <w:sz w:val="16"/>
          <w:szCs w:val="16"/>
          <w:rtl/>
        </w:rPr>
        <w:t xml:space="preserve"> </w:t>
      </w:r>
      <w:r w:rsidRPr="00DE33F6">
        <w:rPr>
          <w:rFonts w:cs="Arial" w:hint="cs"/>
          <w:sz w:val="16"/>
          <w:szCs w:val="16"/>
          <w:rtl/>
        </w:rPr>
        <w:t>הגוי</w:t>
      </w:r>
      <w:r w:rsidRPr="00DE33F6">
        <w:rPr>
          <w:rFonts w:cs="Arial"/>
          <w:sz w:val="16"/>
          <w:szCs w:val="16"/>
          <w:rtl/>
        </w:rPr>
        <w:t xml:space="preserve"> </w:t>
      </w:r>
      <w:r w:rsidRPr="00DE33F6">
        <w:rPr>
          <w:rFonts w:cs="Arial" w:hint="cs"/>
          <w:sz w:val="16"/>
          <w:szCs w:val="16"/>
          <w:rtl/>
        </w:rPr>
        <w:t>מן</w:t>
      </w:r>
      <w:r w:rsidRPr="00DE33F6">
        <w:rPr>
          <w:rFonts w:cs="Arial"/>
          <w:sz w:val="16"/>
          <w:szCs w:val="16"/>
          <w:rtl/>
        </w:rPr>
        <w:t xml:space="preserve"> </w:t>
      </w:r>
      <w:r w:rsidRPr="00DE33F6">
        <w:rPr>
          <w:rFonts w:cs="Arial" w:hint="cs"/>
          <w:sz w:val="16"/>
          <w:szCs w:val="16"/>
          <w:rtl/>
        </w:rPr>
        <w:t>הכוס</w:t>
      </w:r>
      <w:r w:rsidRPr="00DE33F6">
        <w:rPr>
          <w:rFonts w:cs="Arial"/>
          <w:sz w:val="16"/>
          <w:szCs w:val="16"/>
          <w:rtl/>
        </w:rPr>
        <w:t xml:space="preserve"> </w:t>
      </w:r>
      <w:r w:rsidRPr="00DE33F6">
        <w:rPr>
          <w:rFonts w:cs="Arial" w:hint="cs"/>
          <w:sz w:val="16"/>
          <w:szCs w:val="16"/>
          <w:rtl/>
        </w:rPr>
        <w:t>פעם</w:t>
      </w:r>
      <w:r w:rsidRPr="00DE33F6">
        <w:rPr>
          <w:rFonts w:cs="Arial"/>
          <w:sz w:val="16"/>
          <w:szCs w:val="16"/>
          <w:rtl/>
        </w:rPr>
        <w:t xml:space="preserve"> </w:t>
      </w:r>
      <w:r w:rsidRPr="00DE33F6">
        <w:rPr>
          <w:rFonts w:cs="Arial" w:hint="cs"/>
          <w:sz w:val="16"/>
          <w:szCs w:val="16"/>
          <w:rtl/>
        </w:rPr>
        <w:t>ראשון</w:t>
      </w:r>
      <w:r w:rsidRPr="00DE33F6">
        <w:rPr>
          <w:rFonts w:cs="Arial"/>
          <w:sz w:val="16"/>
          <w:szCs w:val="16"/>
          <w:rtl/>
        </w:rPr>
        <w:t xml:space="preserve"> </w:t>
      </w:r>
      <w:r w:rsidRPr="00DE33F6">
        <w:rPr>
          <w:rFonts w:cs="Arial" w:hint="cs"/>
          <w:sz w:val="16"/>
          <w:szCs w:val="16"/>
          <w:rtl/>
        </w:rPr>
        <w:t>ושני</w:t>
      </w:r>
      <w:r w:rsidRPr="00DE33F6">
        <w:rPr>
          <w:rFonts w:cs="Arial"/>
          <w:sz w:val="16"/>
          <w:szCs w:val="16"/>
          <w:rtl/>
        </w:rPr>
        <w:t xml:space="preserve"> - </w:t>
      </w:r>
      <w:r w:rsidRPr="00DE33F6">
        <w:rPr>
          <w:rFonts w:cs="Arial" w:hint="cs"/>
          <w:sz w:val="16"/>
          <w:szCs w:val="16"/>
          <w:rtl/>
        </w:rPr>
        <w:t>אסור</w:t>
      </w:r>
      <w:r w:rsidRPr="00DE33F6">
        <w:rPr>
          <w:rFonts w:cs="Arial"/>
          <w:sz w:val="16"/>
          <w:szCs w:val="16"/>
          <w:rtl/>
        </w:rPr>
        <w:t xml:space="preserve">. </w:t>
      </w:r>
      <w:r w:rsidRPr="00DE33F6">
        <w:rPr>
          <w:rFonts w:cs="Arial" w:hint="cs"/>
          <w:sz w:val="16"/>
          <w:szCs w:val="16"/>
          <w:rtl/>
        </w:rPr>
        <w:t>אך</w:t>
      </w:r>
      <w:r w:rsidRPr="00DE33F6">
        <w:rPr>
          <w:rFonts w:cs="Arial"/>
          <w:sz w:val="16"/>
          <w:szCs w:val="16"/>
          <w:rtl/>
        </w:rPr>
        <w:t xml:space="preserve"> </w:t>
      </w:r>
      <w:r w:rsidRPr="00DE33F6">
        <w:rPr>
          <w:rFonts w:cs="Arial" w:hint="cs"/>
          <w:sz w:val="16"/>
          <w:szCs w:val="16"/>
          <w:rtl/>
        </w:rPr>
        <w:t>אם</w:t>
      </w:r>
      <w:r w:rsidRPr="00DE33F6">
        <w:rPr>
          <w:rFonts w:cs="Arial"/>
          <w:sz w:val="16"/>
          <w:szCs w:val="16"/>
          <w:rtl/>
        </w:rPr>
        <w:t xml:space="preserve"> </w:t>
      </w:r>
      <w:r w:rsidRPr="00DE33F6">
        <w:rPr>
          <w:rFonts w:cs="Arial" w:hint="cs"/>
          <w:sz w:val="16"/>
          <w:szCs w:val="16"/>
          <w:rtl/>
        </w:rPr>
        <w:t>שתה</w:t>
      </w:r>
      <w:r w:rsidRPr="00DE33F6">
        <w:rPr>
          <w:rFonts w:cs="Arial"/>
          <w:sz w:val="16"/>
          <w:szCs w:val="16"/>
          <w:rtl/>
        </w:rPr>
        <w:t xml:space="preserve"> </w:t>
      </w:r>
      <w:r w:rsidRPr="00DE33F6">
        <w:rPr>
          <w:rFonts w:cs="Arial" w:hint="cs"/>
          <w:sz w:val="16"/>
          <w:szCs w:val="16"/>
          <w:rtl/>
        </w:rPr>
        <w:t>רק</w:t>
      </w:r>
      <w:r w:rsidRPr="00DE33F6">
        <w:rPr>
          <w:rFonts w:cs="Arial"/>
          <w:sz w:val="16"/>
          <w:szCs w:val="16"/>
          <w:rtl/>
        </w:rPr>
        <w:t xml:space="preserve"> </w:t>
      </w:r>
      <w:r w:rsidRPr="00DE33F6">
        <w:rPr>
          <w:rFonts w:cs="Arial" w:hint="cs"/>
          <w:sz w:val="16"/>
          <w:szCs w:val="16"/>
          <w:rtl/>
        </w:rPr>
        <w:t>בפעם</w:t>
      </w:r>
      <w:r w:rsidRPr="00DE33F6">
        <w:rPr>
          <w:rFonts w:cs="Arial"/>
          <w:sz w:val="16"/>
          <w:szCs w:val="16"/>
          <w:rtl/>
        </w:rPr>
        <w:t xml:space="preserve"> </w:t>
      </w:r>
      <w:r w:rsidRPr="00DE33F6">
        <w:rPr>
          <w:rFonts w:cs="Arial" w:hint="cs"/>
          <w:sz w:val="16"/>
          <w:szCs w:val="16"/>
          <w:rtl/>
        </w:rPr>
        <w:t>שלישית</w:t>
      </w:r>
      <w:r w:rsidRPr="00DE33F6">
        <w:rPr>
          <w:rFonts w:cs="Arial"/>
          <w:sz w:val="16"/>
          <w:szCs w:val="16"/>
          <w:rtl/>
        </w:rPr>
        <w:t xml:space="preserve"> </w:t>
      </w:r>
      <w:r>
        <w:rPr>
          <w:rFonts w:cs="Arial"/>
          <w:sz w:val="16"/>
          <w:szCs w:val="16"/>
          <w:rtl/>
        </w:rPr>
        <w:t>–</w:t>
      </w:r>
      <w:r w:rsidRPr="00DE33F6">
        <w:rPr>
          <w:rFonts w:cs="Arial"/>
          <w:sz w:val="16"/>
          <w:szCs w:val="16"/>
          <w:rtl/>
        </w:rPr>
        <w:t xml:space="preserve"> </w:t>
      </w:r>
      <w:r w:rsidRPr="00DE33F6">
        <w:rPr>
          <w:rFonts w:cs="Arial" w:hint="cs"/>
          <w:sz w:val="16"/>
          <w:szCs w:val="16"/>
          <w:rtl/>
        </w:rPr>
        <w:t>מות</w:t>
      </w:r>
      <w:r>
        <w:rPr>
          <w:rFonts w:cs="Arial" w:hint="cs"/>
          <w:sz w:val="16"/>
          <w:szCs w:val="16"/>
          <w:rtl/>
        </w:rPr>
        <w:t>ר)</w:t>
      </w:r>
    </w:p>
    <w:p w14:paraId="591A8102" w14:textId="77777777" w:rsidR="002C39F4" w:rsidRPr="00F04F47" w:rsidRDefault="002C39F4" w:rsidP="002C39F4">
      <w:pPr>
        <w:rPr>
          <w:rFonts w:cs="Arial"/>
          <w:u w:val="single"/>
          <w:rtl/>
        </w:rPr>
      </w:pPr>
      <w:r w:rsidRPr="00F04F47">
        <w:rPr>
          <w:rFonts w:cs="Arial"/>
          <w:u w:val="single"/>
          <w:rtl/>
        </w:rPr>
        <w:t xml:space="preserve">בשר שנתבשל בקדרה של חלב והיה בה חלב כל הלילה </w:t>
      </w:r>
      <w:r>
        <w:rPr>
          <w:rFonts w:cs="Arial" w:hint="cs"/>
          <w:u w:val="single"/>
          <w:rtl/>
        </w:rPr>
        <w:t>ה</w:t>
      </w:r>
      <w:r w:rsidRPr="00F04F47">
        <w:rPr>
          <w:rFonts w:cs="Arial"/>
          <w:u w:val="single"/>
          <w:rtl/>
        </w:rPr>
        <w:t>קודם</w:t>
      </w:r>
      <w:r w:rsidRPr="00F04F47">
        <w:rPr>
          <w:rFonts w:cs="Arial" w:hint="cs"/>
          <w:u w:val="single"/>
          <w:rtl/>
        </w:rPr>
        <w:t>:</w:t>
      </w:r>
      <w:r w:rsidRPr="00F04F47">
        <w:rPr>
          <w:rFonts w:cs="Arial"/>
          <w:u w:val="single"/>
          <w:rtl/>
        </w:rPr>
        <w:t xml:space="preserve"> </w:t>
      </w:r>
    </w:p>
    <w:p w14:paraId="68D412EC" w14:textId="77777777" w:rsidR="002C39F4" w:rsidRPr="00F04F47" w:rsidRDefault="002C39F4" w:rsidP="0032102C">
      <w:pPr>
        <w:pStyle w:val="a8"/>
        <w:numPr>
          <w:ilvl w:val="0"/>
          <w:numId w:val="120"/>
        </w:numPr>
        <w:rPr>
          <w:rFonts w:cs="Arial"/>
          <w:rtl/>
        </w:rPr>
      </w:pPr>
      <w:r>
        <w:rPr>
          <w:rFonts w:cs="Arial"/>
          <w:rtl/>
        </w:rPr>
        <w:t>הגשע</w:t>
      </w:r>
      <w:r>
        <w:rPr>
          <w:rFonts w:cs="Arial" w:hint="cs"/>
          <w:rtl/>
        </w:rPr>
        <w:t>"</w:t>
      </w:r>
      <w:r>
        <w:rPr>
          <w:rFonts w:cs="Arial"/>
          <w:rtl/>
        </w:rPr>
        <w:t>ד</w:t>
      </w:r>
      <w:r>
        <w:rPr>
          <w:rStyle w:val="a7"/>
          <w:rFonts w:cs="Arial"/>
          <w:rtl/>
        </w:rPr>
        <w:footnoteReference w:id="1515"/>
      </w:r>
      <w:r w:rsidRPr="00F04F47">
        <w:rPr>
          <w:rFonts w:cs="Arial"/>
          <w:sz w:val="16"/>
          <w:szCs w:val="16"/>
          <w:rtl/>
        </w:rPr>
        <w:t xml:space="preserve"> (סי' פה סקי</w:t>
      </w:r>
      <w:r w:rsidRPr="00F04F47">
        <w:rPr>
          <w:rFonts w:cs="Arial" w:hint="cs"/>
          <w:sz w:val="16"/>
          <w:szCs w:val="16"/>
          <w:rtl/>
        </w:rPr>
        <w:t>"</w:t>
      </w:r>
      <w:r>
        <w:rPr>
          <w:rFonts w:cs="Arial" w:hint="cs"/>
          <w:sz w:val="16"/>
          <w:szCs w:val="16"/>
          <w:rtl/>
        </w:rPr>
        <w:t>ד</w:t>
      </w:r>
      <w:r w:rsidRPr="00F04F47">
        <w:rPr>
          <w:rFonts w:cs="Arial"/>
          <w:sz w:val="16"/>
          <w:szCs w:val="16"/>
          <w:rtl/>
        </w:rPr>
        <w:t>)</w:t>
      </w:r>
      <w:r>
        <w:rPr>
          <w:rFonts w:cs="Arial" w:hint="cs"/>
          <w:rtl/>
        </w:rPr>
        <w:t>-</w:t>
      </w:r>
      <w:r w:rsidRPr="00F04F47">
        <w:rPr>
          <w:rFonts w:cs="Arial"/>
          <w:rtl/>
        </w:rPr>
        <w:t xml:space="preserve"> </w:t>
      </w:r>
      <w:r>
        <w:rPr>
          <w:rFonts w:cs="Arial" w:hint="cs"/>
          <w:rtl/>
        </w:rPr>
        <w:t xml:space="preserve">מפירוש רש"י הנ"ל </w:t>
      </w:r>
      <w:r w:rsidRPr="00647AF4">
        <w:rPr>
          <w:rFonts w:cs="Arial" w:hint="cs"/>
          <w:sz w:val="16"/>
          <w:szCs w:val="16"/>
          <w:rtl/>
        </w:rPr>
        <w:t>(ע"ז לג: ד"ה כסי)</w:t>
      </w:r>
      <w:r>
        <w:rPr>
          <w:rFonts w:cs="Arial" w:hint="cs"/>
          <w:rtl/>
        </w:rPr>
        <w:t xml:space="preserve"> </w:t>
      </w:r>
      <w:r w:rsidRPr="00F04F47">
        <w:rPr>
          <w:rFonts w:cs="Arial"/>
          <w:rtl/>
        </w:rPr>
        <w:t>התיר ר"י הלבן בשר שנתבשל בקדרה של חלב והיה בה חלב כל הלילה</w:t>
      </w:r>
      <w:r>
        <w:rPr>
          <w:rStyle w:val="a7"/>
          <w:rFonts w:cs="Arial"/>
          <w:rtl/>
        </w:rPr>
        <w:footnoteReference w:id="1516"/>
      </w:r>
      <w:r>
        <w:rPr>
          <w:rFonts w:cs="Arial" w:hint="cs"/>
          <w:rtl/>
        </w:rPr>
        <w:t xml:space="preserve"> הקודם</w:t>
      </w:r>
      <w:r w:rsidRPr="00F04F47">
        <w:rPr>
          <w:rFonts w:cs="Arial" w:hint="cs"/>
          <w:rtl/>
        </w:rPr>
        <w:t>,</w:t>
      </w:r>
      <w:r>
        <w:rPr>
          <w:rFonts w:cs="Arial"/>
          <w:rtl/>
        </w:rPr>
        <w:t xml:space="preserve"> ואמר כיון דבל</w:t>
      </w:r>
      <w:r w:rsidRPr="00F04F47">
        <w:rPr>
          <w:rFonts w:cs="Arial"/>
          <w:rtl/>
        </w:rPr>
        <w:t>ע פעם ראשונה ושניה ושלישית מקודם לכן לא בלע הלילה כלל</w:t>
      </w:r>
      <w:r>
        <w:rPr>
          <w:rStyle w:val="a7"/>
          <w:rFonts w:cs="Arial"/>
          <w:rtl/>
        </w:rPr>
        <w:footnoteReference w:id="1517"/>
      </w:r>
      <w:r>
        <w:rPr>
          <w:rFonts w:cs="Arial" w:hint="cs"/>
          <w:rtl/>
        </w:rPr>
        <w:t>,</w:t>
      </w:r>
      <w:r w:rsidRPr="00F04F47">
        <w:rPr>
          <w:rFonts w:cs="Arial"/>
          <w:rtl/>
        </w:rPr>
        <w:t xml:space="preserve"> וחלב שבלע מקודם לא אסר דנותן טעם לפגם הוא</w:t>
      </w:r>
      <w:r>
        <w:rPr>
          <w:rStyle w:val="a7"/>
          <w:rFonts w:cs="Arial"/>
          <w:rtl/>
        </w:rPr>
        <w:footnoteReference w:id="1518"/>
      </w:r>
      <w:r w:rsidRPr="00F04F47">
        <w:rPr>
          <w:rFonts w:cs="Arial" w:hint="cs"/>
          <w:rtl/>
        </w:rPr>
        <w:t>.</w:t>
      </w:r>
      <w:r w:rsidRPr="00F04F47">
        <w:rPr>
          <w:rFonts w:cs="Arial"/>
          <w:rtl/>
        </w:rPr>
        <w:t xml:space="preserve"> </w:t>
      </w:r>
    </w:p>
    <w:p w14:paraId="2AE6E8D6" w14:textId="77777777" w:rsidR="002C39F4" w:rsidRPr="00F04F47" w:rsidRDefault="002C39F4" w:rsidP="002C39F4">
      <w:pPr>
        <w:rPr>
          <w:rFonts w:cs="Arial"/>
          <w:u w:val="single"/>
          <w:rtl/>
        </w:rPr>
      </w:pPr>
      <w:r w:rsidRPr="00F04F47">
        <w:rPr>
          <w:rFonts w:cs="Arial" w:hint="cs"/>
          <w:u w:val="single"/>
          <w:rtl/>
        </w:rPr>
        <w:t>כלי נחושת של חלב שעירה לתוכו בשר רותח:</w:t>
      </w:r>
    </w:p>
    <w:p w14:paraId="777F324E" w14:textId="77777777" w:rsidR="002C39F4" w:rsidRDefault="002C39F4" w:rsidP="0032102C">
      <w:pPr>
        <w:pStyle w:val="a8"/>
        <w:numPr>
          <w:ilvl w:val="0"/>
          <w:numId w:val="120"/>
        </w:numPr>
      </w:pPr>
      <w:r w:rsidRPr="00F04F47">
        <w:rPr>
          <w:rFonts w:cs="Arial" w:hint="cs"/>
          <w:rtl/>
        </w:rPr>
        <w:t>רי"ו</w:t>
      </w:r>
      <w:r w:rsidRPr="00F04F47">
        <w:rPr>
          <w:rFonts w:cs="Arial"/>
          <w:rtl/>
        </w:rPr>
        <w:t xml:space="preserve"> </w:t>
      </w:r>
      <w:r w:rsidRPr="00F04F47">
        <w:rPr>
          <w:rFonts w:cs="Arial"/>
          <w:sz w:val="16"/>
          <w:szCs w:val="16"/>
          <w:rtl/>
        </w:rPr>
        <w:t>(נט"ו אות כט קמ:)</w:t>
      </w:r>
      <w:r w:rsidRPr="00F04F47">
        <w:rPr>
          <w:rFonts w:cs="Arial" w:hint="cs"/>
          <w:rtl/>
        </w:rPr>
        <w:t>-</w:t>
      </w:r>
      <w:r w:rsidRPr="00F04F47">
        <w:rPr>
          <w:rFonts w:cs="Arial"/>
          <w:rtl/>
        </w:rPr>
        <w:t xml:space="preserve"> אם עירה יורה של בשר רותח לתוך כלי נחשת של חלב אין צריך הגעלה דכלי נחשת לא בלע אא"כ האור מהלך תחתיו</w:t>
      </w:r>
      <w:r>
        <w:rPr>
          <w:rStyle w:val="a7"/>
          <w:rFonts w:cs="Arial"/>
          <w:rtl/>
        </w:rPr>
        <w:footnoteReference w:id="1519"/>
      </w:r>
      <w:r>
        <w:rPr>
          <w:rFonts w:cs="Arial" w:hint="cs"/>
          <w:rtl/>
        </w:rPr>
        <w:t>.</w:t>
      </w:r>
      <w:r w:rsidRPr="00F04F47">
        <w:rPr>
          <w:rFonts w:cs="Arial"/>
          <w:rtl/>
        </w:rPr>
        <w:t xml:space="preserve"> </w:t>
      </w:r>
    </w:p>
    <w:p w14:paraId="65B9CEFF" w14:textId="77777777" w:rsidR="002C39F4" w:rsidRPr="00301BD8" w:rsidRDefault="002C39F4" w:rsidP="002C39F4">
      <w:pPr>
        <w:rPr>
          <w:rFonts w:cs="Arial"/>
          <w:sz w:val="16"/>
          <w:szCs w:val="16"/>
          <w:rtl/>
        </w:rPr>
      </w:pPr>
      <w:r w:rsidRPr="00301BD8">
        <w:rPr>
          <w:rFonts w:cs="Arial" w:hint="cs"/>
          <w:u w:val="single"/>
          <w:rtl/>
        </w:rPr>
        <w:t>כיסוי קדרה</w:t>
      </w:r>
      <w:r>
        <w:rPr>
          <w:rFonts w:cs="Arial" w:hint="cs"/>
          <w:u w:val="single"/>
          <w:rtl/>
        </w:rPr>
        <w:t xml:space="preserve"> של בשר שכיסו עמו קדרה חולבת</w:t>
      </w:r>
      <w:r w:rsidRPr="00301BD8">
        <w:rPr>
          <w:rFonts w:cs="Arial" w:hint="cs"/>
          <w:u w:val="single"/>
          <w:rtl/>
        </w:rPr>
        <w:t>:</w:t>
      </w:r>
      <w:r>
        <w:rPr>
          <w:rFonts w:cs="Arial" w:hint="cs"/>
          <w:sz w:val="16"/>
          <w:szCs w:val="16"/>
          <w:rtl/>
        </w:rPr>
        <w:t xml:space="preserve">   (דרכ"מ </w:t>
      </w:r>
      <w:r w:rsidRPr="004D67A6">
        <w:rPr>
          <w:rFonts w:cs="Arial" w:hint="cs"/>
          <w:sz w:val="14"/>
          <w:szCs w:val="14"/>
          <w:rtl/>
        </w:rPr>
        <w:t>[</w:t>
      </w:r>
      <w:r>
        <w:rPr>
          <w:rFonts w:cs="Arial" w:hint="cs"/>
          <w:sz w:val="14"/>
          <w:szCs w:val="14"/>
          <w:rtl/>
        </w:rPr>
        <w:t>אות ב]</w:t>
      </w:r>
      <w:r>
        <w:rPr>
          <w:rFonts w:cs="Arial" w:hint="cs"/>
          <w:sz w:val="16"/>
          <w:szCs w:val="16"/>
          <w:rtl/>
        </w:rPr>
        <w:t>)</w:t>
      </w:r>
    </w:p>
    <w:p w14:paraId="244705CC" w14:textId="77777777" w:rsidR="002C39F4" w:rsidRDefault="002C39F4" w:rsidP="0032102C">
      <w:pPr>
        <w:pStyle w:val="a8"/>
        <w:numPr>
          <w:ilvl w:val="0"/>
          <w:numId w:val="115"/>
        </w:numPr>
        <w:rPr>
          <w:rFonts w:cs="Arial"/>
        </w:rPr>
      </w:pPr>
      <w:r>
        <w:rPr>
          <w:rFonts w:cs="Arial" w:hint="cs"/>
          <w:rtl/>
        </w:rPr>
        <w:t xml:space="preserve">הגשע"ד </w:t>
      </w:r>
      <w:r w:rsidRPr="00512394">
        <w:rPr>
          <w:rFonts w:cs="Arial"/>
          <w:sz w:val="16"/>
          <w:szCs w:val="16"/>
          <w:rtl/>
        </w:rPr>
        <w:t>(סי' לה סק</w:t>
      </w:r>
      <w:r w:rsidRPr="00512394">
        <w:rPr>
          <w:rFonts w:cs="Arial" w:hint="cs"/>
          <w:sz w:val="16"/>
          <w:szCs w:val="16"/>
          <w:rtl/>
        </w:rPr>
        <w:t>"</w:t>
      </w:r>
      <w:r>
        <w:rPr>
          <w:rFonts w:cs="Arial" w:hint="cs"/>
          <w:sz w:val="16"/>
          <w:szCs w:val="16"/>
          <w:rtl/>
        </w:rPr>
        <w:t>ח</w:t>
      </w:r>
      <w:r w:rsidRPr="00512394">
        <w:rPr>
          <w:rFonts w:cs="Arial"/>
          <w:sz w:val="16"/>
          <w:szCs w:val="16"/>
          <w:rtl/>
        </w:rPr>
        <w:t xml:space="preserve"> ד"ה כיסוי)</w:t>
      </w:r>
      <w:r>
        <w:rPr>
          <w:rFonts w:cs="Arial" w:hint="cs"/>
          <w:rtl/>
        </w:rPr>
        <w:t>-</w:t>
      </w:r>
      <w:r w:rsidRPr="004D67A6">
        <w:rPr>
          <w:rFonts w:cs="Arial"/>
          <w:rtl/>
        </w:rPr>
        <w:t xml:space="preserve"> אסור הכל</w:t>
      </w:r>
      <w:r>
        <w:rPr>
          <w:rFonts w:cs="Arial" w:hint="cs"/>
          <w:rtl/>
        </w:rPr>
        <w:t>,</w:t>
      </w:r>
      <w:r w:rsidRPr="004D67A6">
        <w:rPr>
          <w:rFonts w:cs="Arial"/>
          <w:rtl/>
        </w:rPr>
        <w:t xml:space="preserve"> ואין שייך נותן טעם לפגם שהרתיחה עולה ונוגעת בכיסוי תדי</w:t>
      </w:r>
      <w:r>
        <w:rPr>
          <w:rFonts w:cs="Arial"/>
          <w:rtl/>
        </w:rPr>
        <w:t>ר ונעשית בת יומא</w:t>
      </w:r>
      <w:r>
        <w:rPr>
          <w:rFonts w:cs="Arial" w:hint="cs"/>
          <w:rtl/>
        </w:rPr>
        <w:t>,</w:t>
      </w:r>
      <w:r>
        <w:rPr>
          <w:rFonts w:cs="Arial"/>
          <w:rtl/>
        </w:rPr>
        <w:t xml:space="preserve"> העתק מקובץ</w:t>
      </w:r>
      <w:r>
        <w:rPr>
          <w:rStyle w:val="a7"/>
          <w:rFonts w:cs="Arial"/>
          <w:rtl/>
        </w:rPr>
        <w:footnoteReference w:id="1520"/>
      </w:r>
      <w:r w:rsidRPr="004D67A6">
        <w:rPr>
          <w:rFonts w:cs="Arial"/>
          <w:rtl/>
        </w:rPr>
        <w:t xml:space="preserve">. </w:t>
      </w:r>
    </w:p>
    <w:p w14:paraId="53B631EF" w14:textId="77777777" w:rsidR="002C39F4" w:rsidRPr="007C44B4" w:rsidRDefault="002C39F4" w:rsidP="002C39F4">
      <w:pPr>
        <w:rPr>
          <w:rFonts w:cs="Arial"/>
          <w:rtl/>
        </w:rPr>
      </w:pPr>
      <w:r w:rsidRPr="00301BD8">
        <w:rPr>
          <w:rFonts w:cs="Arial" w:hint="cs"/>
          <w:u w:val="single"/>
          <w:rtl/>
        </w:rPr>
        <w:t>כיסוי קדרה</w:t>
      </w:r>
      <w:r>
        <w:rPr>
          <w:rFonts w:cs="Arial" w:hint="cs"/>
          <w:u w:val="single"/>
          <w:rtl/>
        </w:rPr>
        <w:t xml:space="preserve"> של בשר שכיסו עמו קדרה של חלב </w:t>
      </w:r>
      <w:r w:rsidRPr="007C44B4">
        <w:rPr>
          <w:rFonts w:cs="Arial" w:hint="cs"/>
          <w:b/>
          <w:bCs/>
          <w:u w:val="single"/>
          <w:rtl/>
        </w:rPr>
        <w:t>צוננת</w:t>
      </w:r>
      <w:r w:rsidRPr="00301BD8">
        <w:rPr>
          <w:rFonts w:cs="Arial" w:hint="cs"/>
          <w:u w:val="single"/>
          <w:rtl/>
        </w:rPr>
        <w:t>:</w:t>
      </w:r>
      <w:r>
        <w:rPr>
          <w:rFonts w:cs="Arial" w:hint="cs"/>
          <w:sz w:val="16"/>
          <w:szCs w:val="16"/>
          <w:rtl/>
        </w:rPr>
        <w:t xml:space="preserve">   (ב"י</w:t>
      </w:r>
      <w:r w:rsidRPr="004D67A6">
        <w:rPr>
          <w:rFonts w:cs="Arial" w:hint="cs"/>
          <w:sz w:val="14"/>
          <w:szCs w:val="14"/>
          <w:rtl/>
        </w:rPr>
        <w:t xml:space="preserve"> [סי' צב סע' ז] </w:t>
      </w:r>
      <w:r>
        <w:rPr>
          <w:rFonts w:cs="Arial" w:hint="cs"/>
          <w:sz w:val="16"/>
          <w:szCs w:val="16"/>
          <w:rtl/>
        </w:rPr>
        <w:t xml:space="preserve">ודרכ"מ </w:t>
      </w:r>
      <w:r w:rsidRPr="004D67A6">
        <w:rPr>
          <w:rFonts w:cs="Arial" w:hint="cs"/>
          <w:sz w:val="14"/>
          <w:szCs w:val="14"/>
          <w:rtl/>
        </w:rPr>
        <w:t>[</w:t>
      </w:r>
      <w:r>
        <w:rPr>
          <w:rFonts w:cs="Arial" w:hint="cs"/>
          <w:sz w:val="14"/>
          <w:szCs w:val="14"/>
          <w:rtl/>
        </w:rPr>
        <w:t>כאן אות ב]</w:t>
      </w:r>
      <w:r>
        <w:rPr>
          <w:rFonts w:cs="Arial" w:hint="cs"/>
          <w:sz w:val="16"/>
          <w:szCs w:val="16"/>
          <w:rtl/>
        </w:rPr>
        <w:t>)</w:t>
      </w:r>
    </w:p>
    <w:p w14:paraId="0FA67AF7" w14:textId="77777777" w:rsidR="002C39F4" w:rsidRPr="00E43AF8" w:rsidRDefault="002C39F4" w:rsidP="0032102C">
      <w:pPr>
        <w:pStyle w:val="a8"/>
        <w:numPr>
          <w:ilvl w:val="0"/>
          <w:numId w:val="115"/>
        </w:numPr>
        <w:rPr>
          <w:rFonts w:cs="Arial"/>
        </w:rPr>
      </w:pPr>
      <w:r>
        <w:rPr>
          <w:rFonts w:cs="Arial"/>
          <w:rtl/>
        </w:rPr>
        <w:t>או"ה</w:t>
      </w:r>
      <w:r w:rsidRPr="00512394">
        <w:rPr>
          <w:rFonts w:cs="Arial"/>
          <w:sz w:val="16"/>
          <w:szCs w:val="16"/>
          <w:rtl/>
        </w:rPr>
        <w:t xml:space="preserve"> </w:t>
      </w:r>
      <w:r w:rsidRPr="00512394">
        <w:rPr>
          <w:rFonts w:cs="Arial" w:hint="cs"/>
          <w:sz w:val="16"/>
          <w:szCs w:val="16"/>
          <w:rtl/>
        </w:rPr>
        <w:t>(</w:t>
      </w:r>
      <w:r w:rsidRPr="00512394">
        <w:rPr>
          <w:rFonts w:cs="Arial"/>
          <w:sz w:val="16"/>
          <w:szCs w:val="16"/>
          <w:rtl/>
        </w:rPr>
        <w:t>כלל לא די</w:t>
      </w:r>
      <w:r>
        <w:rPr>
          <w:rFonts w:cs="Arial" w:hint="cs"/>
          <w:sz w:val="16"/>
          <w:szCs w:val="16"/>
          <w:rtl/>
        </w:rPr>
        <w:t>"</w:t>
      </w:r>
      <w:r w:rsidRPr="00512394">
        <w:rPr>
          <w:rFonts w:cs="Arial"/>
          <w:sz w:val="16"/>
          <w:szCs w:val="16"/>
          <w:rtl/>
        </w:rPr>
        <w:t>ח)</w:t>
      </w:r>
      <w:r>
        <w:rPr>
          <w:rFonts w:cs="Arial" w:hint="cs"/>
          <w:rtl/>
        </w:rPr>
        <w:t>-</w:t>
      </w:r>
      <w:r w:rsidRPr="004D67A6">
        <w:rPr>
          <w:rFonts w:cs="Arial"/>
          <w:rtl/>
        </w:rPr>
        <w:t xml:space="preserve"> כיסוי קדרה של בשר שהוא על קדרה של בשר רותחת ונתנוהו על קדרה של חלב שלא התחיל עדיין להרתיח</w:t>
      </w:r>
      <w:r>
        <w:rPr>
          <w:rFonts w:cs="Arial" w:hint="cs"/>
          <w:rtl/>
        </w:rPr>
        <w:t>,</w:t>
      </w:r>
      <w:r w:rsidRPr="004D67A6">
        <w:rPr>
          <w:rFonts w:cs="Arial"/>
          <w:rtl/>
        </w:rPr>
        <w:t xml:space="preserve"> ולא דקדק בכיסוי מתחלה אם היה לחלוח בשר דבוק מבפנים הכיסוי או ראה עליו מעט לחלוחית מבשר שעדיין דבוק בו</w:t>
      </w:r>
      <w:r>
        <w:rPr>
          <w:rFonts w:cs="Arial" w:hint="cs"/>
          <w:rtl/>
        </w:rPr>
        <w:t>,</w:t>
      </w:r>
      <w:r w:rsidRPr="004D67A6">
        <w:rPr>
          <w:rFonts w:cs="Arial"/>
          <w:rtl/>
        </w:rPr>
        <w:t xml:space="preserve"> מ</w:t>
      </w:r>
      <w:r>
        <w:rPr>
          <w:rFonts w:cs="Arial" w:hint="cs"/>
          <w:rtl/>
        </w:rPr>
        <w:t>"מ</w:t>
      </w:r>
      <w:r w:rsidRPr="004D67A6">
        <w:rPr>
          <w:rFonts w:cs="Arial"/>
          <w:rtl/>
        </w:rPr>
        <w:t xml:space="preserve"> אם נזכר מיד והסירו משם קודם שהתחילה הקדרה החולבת להרתיח</w:t>
      </w:r>
      <w:r>
        <w:rPr>
          <w:rFonts w:cs="Arial" w:hint="cs"/>
          <w:rtl/>
        </w:rPr>
        <w:t xml:space="preserve"> -</w:t>
      </w:r>
      <w:r w:rsidRPr="004D67A6">
        <w:rPr>
          <w:rFonts w:cs="Arial"/>
          <w:rtl/>
        </w:rPr>
        <w:t xml:space="preserve"> הכל מותר דהוי חם לתוך צונן</w:t>
      </w:r>
      <w:r>
        <w:rPr>
          <w:rFonts w:cs="Arial" w:hint="cs"/>
          <w:rtl/>
        </w:rPr>
        <w:t>,</w:t>
      </w:r>
      <w:r w:rsidRPr="004D67A6">
        <w:rPr>
          <w:rFonts w:cs="Arial"/>
          <w:rtl/>
        </w:rPr>
        <w:t xml:space="preserve"> ואפילו הקדרה עצמה שרי לכתחלה כשמקנחה או מדיחה ל</w:t>
      </w:r>
      <w:r>
        <w:rPr>
          <w:rFonts w:cs="Arial"/>
          <w:rtl/>
        </w:rPr>
        <w:t>מעלה במקום שנגע בכיסוי</w:t>
      </w:r>
      <w:r>
        <w:rPr>
          <w:rFonts w:cs="Arial" w:hint="cs"/>
          <w:rtl/>
        </w:rPr>
        <w:t>,</w:t>
      </w:r>
      <w:r>
        <w:rPr>
          <w:rFonts w:cs="Arial"/>
          <w:rtl/>
        </w:rPr>
        <w:t xml:space="preserve"> וא</w:t>
      </w:r>
      <w:r>
        <w:rPr>
          <w:rFonts w:cs="Arial" w:hint="cs"/>
          <w:rtl/>
        </w:rPr>
        <w:t>ע"פ</w:t>
      </w:r>
      <w:r>
        <w:rPr>
          <w:rFonts w:cs="Arial"/>
          <w:rtl/>
        </w:rPr>
        <w:t xml:space="preserve"> שהלחלוחית היה חם מ</w:t>
      </w:r>
      <w:r>
        <w:rPr>
          <w:rFonts w:cs="Arial" w:hint="cs"/>
          <w:rtl/>
        </w:rPr>
        <w:t>"מ</w:t>
      </w:r>
      <w:r w:rsidRPr="004D67A6">
        <w:rPr>
          <w:rFonts w:cs="Arial"/>
          <w:rtl/>
        </w:rPr>
        <w:t xml:space="preserve"> שרי שמה שנפרש מן הכיסוי על הקדרה הוי ככלי שני ולא דמי לעירוי דהוי ככלי ראשון</w:t>
      </w:r>
      <w:r>
        <w:rPr>
          <w:rFonts w:cs="Arial" w:hint="cs"/>
          <w:rtl/>
        </w:rPr>
        <w:t>,</w:t>
      </w:r>
      <w:r w:rsidRPr="004D67A6">
        <w:rPr>
          <w:rFonts w:cs="Arial"/>
          <w:rtl/>
        </w:rPr>
        <w:t xml:space="preserve"> דטיפה אחת כח חמימותה פוסק ואינה ככלי ראשון</w:t>
      </w:r>
      <w:r>
        <w:rPr>
          <w:rFonts w:cs="Arial" w:hint="cs"/>
          <w:rtl/>
        </w:rPr>
        <w:t>,</w:t>
      </w:r>
      <w:r w:rsidRPr="004D67A6">
        <w:rPr>
          <w:rFonts w:cs="Arial"/>
          <w:rtl/>
        </w:rPr>
        <w:t xml:space="preserve"> ולא חיישינן שמא נפל מעט מן הלחלוחית לקדרה</w:t>
      </w:r>
      <w:r>
        <w:rPr>
          <w:rFonts w:cs="Arial" w:hint="cs"/>
          <w:rtl/>
        </w:rPr>
        <w:t>,</w:t>
      </w:r>
      <w:r w:rsidRPr="004D67A6">
        <w:rPr>
          <w:rFonts w:cs="Arial"/>
          <w:rtl/>
        </w:rPr>
        <w:t xml:space="preserve"> דאף</w:t>
      </w:r>
      <w:r>
        <w:rPr>
          <w:rFonts w:cs="Arial"/>
          <w:rtl/>
        </w:rPr>
        <w:t xml:space="preserve"> אם נפל שם מעט בטל בששים</w:t>
      </w:r>
      <w:r>
        <w:rPr>
          <w:rFonts w:cs="Arial" w:hint="cs"/>
          <w:rtl/>
        </w:rPr>
        <w:t>,</w:t>
      </w:r>
      <w:r>
        <w:rPr>
          <w:rFonts w:cs="Arial"/>
          <w:rtl/>
        </w:rPr>
        <w:t xml:space="preserve"> וכ</w:t>
      </w:r>
      <w:r>
        <w:rPr>
          <w:rFonts w:cs="Arial" w:hint="cs"/>
          <w:rtl/>
        </w:rPr>
        <w:t>"</w:t>
      </w:r>
      <w:r>
        <w:rPr>
          <w:rFonts w:cs="Arial"/>
          <w:rtl/>
        </w:rPr>
        <w:t>ש</w:t>
      </w:r>
      <w:r w:rsidRPr="004D67A6">
        <w:rPr>
          <w:rFonts w:cs="Arial"/>
          <w:rtl/>
        </w:rPr>
        <w:t xml:space="preserve"> שהכיסוי שרי דאין איסור מפעפע מכלי אל </w:t>
      </w:r>
      <w:r>
        <w:rPr>
          <w:rFonts w:cs="Arial"/>
          <w:rtl/>
        </w:rPr>
        <w:t>כלי אפילו שניהם חמים כדלעיל סי</w:t>
      </w:r>
      <w:r>
        <w:rPr>
          <w:rFonts w:cs="Arial" w:hint="cs"/>
          <w:rtl/>
        </w:rPr>
        <w:t>'</w:t>
      </w:r>
      <w:r>
        <w:rPr>
          <w:rFonts w:cs="Arial"/>
          <w:rtl/>
        </w:rPr>
        <w:t xml:space="preserve"> צ</w:t>
      </w:r>
      <w:r w:rsidRPr="004D67A6">
        <w:rPr>
          <w:rFonts w:cs="Arial"/>
          <w:rtl/>
        </w:rPr>
        <w:t>ב</w:t>
      </w:r>
      <w:r w:rsidRPr="00512394">
        <w:rPr>
          <w:rFonts w:cs="Arial"/>
          <w:sz w:val="16"/>
          <w:szCs w:val="16"/>
          <w:rtl/>
        </w:rPr>
        <w:t xml:space="preserve"> (ד</w:t>
      </w:r>
      <w:r w:rsidRPr="00512394">
        <w:rPr>
          <w:rFonts w:cs="Arial" w:hint="cs"/>
          <w:sz w:val="16"/>
          <w:szCs w:val="16"/>
          <w:rtl/>
        </w:rPr>
        <w:t>רכ</w:t>
      </w:r>
      <w:r w:rsidRPr="00512394">
        <w:rPr>
          <w:rFonts w:cs="Arial"/>
          <w:sz w:val="16"/>
          <w:szCs w:val="16"/>
          <w:rtl/>
        </w:rPr>
        <w:t>"מ אות ט)</w:t>
      </w:r>
      <w:r w:rsidRPr="004D67A6">
        <w:rPr>
          <w:rFonts w:cs="Arial"/>
          <w:rtl/>
        </w:rPr>
        <w:t>, אמנם אם עשה בהיפך שלקח כיסוי צונן ונתנו על קדרה רותחת של חלב</w:t>
      </w:r>
      <w:r>
        <w:rPr>
          <w:rFonts w:cs="Arial" w:hint="cs"/>
          <w:rtl/>
        </w:rPr>
        <w:t>,</w:t>
      </w:r>
      <w:r w:rsidRPr="004D67A6">
        <w:rPr>
          <w:rFonts w:cs="Arial"/>
          <w:rtl/>
        </w:rPr>
        <w:t xml:space="preserve"> ודאי אם זכר והסיר ממנו קודם שהתחיל להרתיח ועדיין הכיסוי יבש מבפנים שלא התחיל עדיין להזיע הכל מותר</w:t>
      </w:r>
      <w:r>
        <w:rPr>
          <w:rFonts w:cs="Arial" w:hint="cs"/>
          <w:rtl/>
        </w:rPr>
        <w:t>,</w:t>
      </w:r>
      <w:r w:rsidRPr="004D67A6">
        <w:rPr>
          <w:rFonts w:cs="Arial"/>
          <w:rtl/>
        </w:rPr>
        <w:t xml:space="preserve"> ואפילו הכיסוי בן יומו</w:t>
      </w:r>
      <w:r>
        <w:rPr>
          <w:rFonts w:cs="Arial" w:hint="cs"/>
          <w:rtl/>
        </w:rPr>
        <w:t>,</w:t>
      </w:r>
      <w:r w:rsidRPr="004D67A6">
        <w:rPr>
          <w:rFonts w:cs="Arial"/>
          <w:rtl/>
        </w:rPr>
        <w:t xml:space="preserve"> אבל אם שהה מעט על הקדרה שיש לחוש שמא התחיל הכיסוי </w:t>
      </w:r>
      <w:r>
        <w:rPr>
          <w:rFonts w:cs="Arial"/>
          <w:rtl/>
        </w:rPr>
        <w:t>להזיע וחזר ונתייבש מהחום וכ</w:t>
      </w:r>
      <w:r>
        <w:rPr>
          <w:rFonts w:cs="Arial" w:hint="cs"/>
          <w:rtl/>
        </w:rPr>
        <w:t>"</w:t>
      </w:r>
      <w:r>
        <w:rPr>
          <w:rFonts w:cs="Arial"/>
          <w:rtl/>
        </w:rPr>
        <w:t>ש</w:t>
      </w:r>
      <w:r w:rsidRPr="004D67A6">
        <w:rPr>
          <w:rFonts w:cs="Arial"/>
          <w:rtl/>
        </w:rPr>
        <w:t xml:space="preserve"> כשהכיסוי עדיין לח מבפנים הכל אסור אם הכיסוי בן יומו דבעינן ששים נגד כל הכיסוי דלא ידעינן כמה נפק מיניה</w:t>
      </w:r>
      <w:r w:rsidRPr="00E43AF8">
        <w:rPr>
          <w:rFonts w:cs="Arial" w:hint="cs"/>
          <w:rtl/>
        </w:rPr>
        <w:t>.</w:t>
      </w:r>
      <w:r w:rsidRPr="006F517E">
        <w:rPr>
          <w:rFonts w:cs="Arial" w:hint="cs"/>
          <w:color w:val="00B0F0"/>
          <w:rtl/>
        </w:rPr>
        <w:t xml:space="preserve"> </w:t>
      </w:r>
    </w:p>
    <w:p w14:paraId="00C800BE" w14:textId="77777777" w:rsidR="002C39F4" w:rsidRDefault="002C39F4" w:rsidP="0032102C">
      <w:pPr>
        <w:pStyle w:val="a8"/>
        <w:numPr>
          <w:ilvl w:val="0"/>
          <w:numId w:val="115"/>
        </w:numPr>
        <w:rPr>
          <w:rFonts w:cs="Arial"/>
        </w:rPr>
      </w:pPr>
      <w:r>
        <w:rPr>
          <w:rFonts w:cs="Arial" w:hint="cs"/>
          <w:rtl/>
        </w:rPr>
        <w:t>הגשע"ד</w:t>
      </w:r>
      <w:r>
        <w:rPr>
          <w:rFonts w:cs="Arial"/>
          <w:rtl/>
        </w:rPr>
        <w:t xml:space="preserve"> </w:t>
      </w:r>
      <w:r w:rsidRPr="00512394">
        <w:rPr>
          <w:rFonts w:cs="Arial"/>
          <w:sz w:val="16"/>
          <w:szCs w:val="16"/>
          <w:rtl/>
        </w:rPr>
        <w:t>(סי' נו סק</w:t>
      </w:r>
      <w:r w:rsidRPr="00512394">
        <w:rPr>
          <w:rFonts w:cs="Arial" w:hint="cs"/>
          <w:sz w:val="16"/>
          <w:szCs w:val="16"/>
          <w:rtl/>
        </w:rPr>
        <w:t>"</w:t>
      </w:r>
      <w:r w:rsidRPr="00512394">
        <w:rPr>
          <w:rFonts w:cs="Arial"/>
          <w:sz w:val="16"/>
          <w:szCs w:val="16"/>
          <w:rtl/>
        </w:rPr>
        <w:t>א</w:t>
      </w:r>
      <w:r>
        <w:rPr>
          <w:rFonts w:cs="Arial" w:hint="cs"/>
          <w:sz w:val="16"/>
          <w:szCs w:val="16"/>
          <w:rtl/>
        </w:rPr>
        <w:t xml:space="preserve">, הביאו הב"י </w:t>
      </w:r>
      <w:r>
        <w:rPr>
          <w:rFonts w:cs="Arial" w:hint="cs"/>
          <w:sz w:val="14"/>
          <w:szCs w:val="14"/>
          <w:rtl/>
        </w:rPr>
        <w:t>[</w:t>
      </w:r>
      <w:r w:rsidRPr="00281B52">
        <w:rPr>
          <w:rFonts w:cs="Arial" w:hint="cs"/>
          <w:sz w:val="14"/>
          <w:szCs w:val="14"/>
          <w:rtl/>
        </w:rPr>
        <w:t>סי' צב סע' ז]</w:t>
      </w:r>
      <w:r w:rsidRPr="00512394">
        <w:rPr>
          <w:rFonts w:cs="Arial"/>
          <w:sz w:val="16"/>
          <w:szCs w:val="16"/>
          <w:rtl/>
        </w:rPr>
        <w:t>)</w:t>
      </w:r>
      <w:r>
        <w:rPr>
          <w:rFonts w:cs="Arial" w:hint="cs"/>
          <w:rtl/>
        </w:rPr>
        <w:t>-</w:t>
      </w:r>
      <w:r>
        <w:rPr>
          <w:rFonts w:cs="Arial"/>
          <w:rtl/>
        </w:rPr>
        <w:t xml:space="preserve"> </w:t>
      </w:r>
      <w:r w:rsidRPr="00301BD8">
        <w:rPr>
          <w:rFonts w:cs="Arial"/>
          <w:rtl/>
        </w:rPr>
        <w:t>אם כיסו תבשיל של בשר בכיסוי של חלב או איפכא צריך ששים כנגד כל הכיסוי אפילו אם הכיסוי נקוב למעלה</w:t>
      </w:r>
      <w:r w:rsidRPr="00301BD8">
        <w:rPr>
          <w:rFonts w:cs="Arial" w:hint="cs"/>
          <w:rtl/>
        </w:rPr>
        <w:t>,</w:t>
      </w:r>
      <w:r w:rsidRPr="00301BD8">
        <w:rPr>
          <w:rFonts w:cs="Arial"/>
          <w:rtl/>
        </w:rPr>
        <w:t xml:space="preserve"> ואם לקח כיסוי מקדרה של בשר שמתבשל אצל האש וכיסהו על קדרה חולבת צוננת אפ</w:t>
      </w:r>
      <w:r w:rsidRPr="00301BD8">
        <w:rPr>
          <w:rFonts w:cs="Arial" w:hint="cs"/>
          <w:rtl/>
        </w:rPr>
        <w:t>"</w:t>
      </w:r>
      <w:r w:rsidRPr="00301BD8">
        <w:rPr>
          <w:rFonts w:cs="Arial"/>
          <w:rtl/>
        </w:rPr>
        <w:t>ה הכל אסור הכיסוי וגם הקדרה דכיון דרותח הוא א</w:t>
      </w:r>
      <w:r w:rsidRPr="00301BD8">
        <w:rPr>
          <w:rFonts w:cs="Arial" w:hint="cs"/>
          <w:rtl/>
        </w:rPr>
        <w:t>"</w:t>
      </w:r>
      <w:r w:rsidRPr="00301BD8">
        <w:rPr>
          <w:rFonts w:cs="Arial"/>
          <w:rtl/>
        </w:rPr>
        <w:t>א שלא בלע הקדרה חולבת מן הבשר מידי דהוה אטיפה רותחת שנפלה על קדרה שבלע אע</w:t>
      </w:r>
      <w:r w:rsidRPr="00301BD8">
        <w:rPr>
          <w:rFonts w:cs="Arial" w:hint="cs"/>
          <w:rtl/>
        </w:rPr>
        <w:t>"</w:t>
      </w:r>
      <w:r w:rsidRPr="00301BD8">
        <w:rPr>
          <w:rFonts w:cs="Arial"/>
          <w:rtl/>
        </w:rPr>
        <w:t>פ שצוננת</w:t>
      </w:r>
      <w:r w:rsidRPr="00301BD8">
        <w:rPr>
          <w:rFonts w:cs="Arial" w:hint="cs"/>
          <w:rtl/>
        </w:rPr>
        <w:t>,</w:t>
      </w:r>
      <w:r w:rsidRPr="00301BD8">
        <w:rPr>
          <w:rFonts w:cs="Arial"/>
          <w:rtl/>
        </w:rPr>
        <w:t xml:space="preserve"> ואם יש תבשיל בתוך הקדרה מותר כיון שהוא צונן</w:t>
      </w:r>
      <w:r w:rsidRPr="00301BD8">
        <w:rPr>
          <w:rFonts w:cs="Arial" w:hint="cs"/>
          <w:rtl/>
        </w:rPr>
        <w:t>,</w:t>
      </w:r>
      <w:r w:rsidRPr="00301BD8">
        <w:rPr>
          <w:rFonts w:cs="Arial"/>
          <w:rtl/>
        </w:rPr>
        <w:t xml:space="preserve"> אך צ"ל שיודע בודאי שלא נפלה הטפה מן הכיסוי לקדר</w:t>
      </w:r>
      <w:r w:rsidRPr="00301BD8">
        <w:rPr>
          <w:rFonts w:cs="Arial" w:hint="cs"/>
          <w:rtl/>
        </w:rPr>
        <w:t>ה</w:t>
      </w:r>
      <w:r>
        <w:rPr>
          <w:rStyle w:val="a7"/>
          <w:rFonts w:cs="Arial"/>
          <w:rtl/>
        </w:rPr>
        <w:footnoteReference w:id="1521"/>
      </w:r>
      <w:r w:rsidRPr="00301BD8">
        <w:rPr>
          <w:rFonts w:cs="Arial" w:hint="cs"/>
          <w:rtl/>
        </w:rPr>
        <w:t>.</w:t>
      </w:r>
      <w:r>
        <w:rPr>
          <w:rFonts w:cs="Arial" w:hint="cs"/>
          <w:rtl/>
        </w:rPr>
        <w:t xml:space="preserve">  </w:t>
      </w:r>
    </w:p>
    <w:p w14:paraId="13D1368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C262AD8" w14:textId="77777777" w:rsidR="002C39F4" w:rsidRPr="0005614A" w:rsidRDefault="002C39F4" w:rsidP="002C39F4">
      <w:pPr>
        <w:rPr>
          <w:rFonts w:asciiTheme="minorBidi" w:hAnsiTheme="minorBidi"/>
          <w:rtl/>
        </w:rPr>
      </w:pPr>
      <w:r>
        <w:rPr>
          <w:rFonts w:asciiTheme="minorBidi" w:hAnsiTheme="minorBidi"/>
          <w:rtl/>
        </w:rPr>
        <w:t>קדירה שבשל בה בשר לא יבשל בה חלב</w:t>
      </w:r>
      <w:r>
        <w:rPr>
          <w:rFonts w:asciiTheme="minorBidi" w:hAnsiTheme="minorBidi" w:hint="cs"/>
          <w:rtl/>
        </w:rPr>
        <w:t>,</w:t>
      </w:r>
      <w:r w:rsidRPr="003024E5">
        <w:rPr>
          <w:rFonts w:asciiTheme="minorBidi" w:hAnsiTheme="minorBidi"/>
          <w:rtl/>
        </w:rPr>
        <w:t xml:space="preserve"> ואם בישל בה ב</w:t>
      </w:r>
      <w:r>
        <w:rPr>
          <w:rFonts w:asciiTheme="minorBidi" w:hAnsiTheme="minorBidi"/>
          <w:rtl/>
        </w:rPr>
        <w:t>תוך מעת לעת אסור בנותן טעם</w:t>
      </w:r>
      <w:r>
        <w:rPr>
          <w:rStyle w:val="a7"/>
          <w:rFonts w:asciiTheme="minorBidi" w:hAnsiTheme="minorBidi"/>
          <w:rtl/>
        </w:rPr>
        <w:footnoteReference w:id="1522"/>
      </w:r>
      <w:r>
        <w:rPr>
          <w:rFonts w:asciiTheme="minorBidi" w:hAnsiTheme="minorBidi"/>
          <w:rtl/>
        </w:rPr>
        <w:t xml:space="preserve">. </w:t>
      </w:r>
      <w:r w:rsidRPr="0005614A">
        <w:rPr>
          <w:rFonts w:asciiTheme="minorBidi" w:hAnsiTheme="minorBidi" w:hint="cs"/>
          <w:sz w:val="18"/>
          <w:szCs w:val="18"/>
          <w:rtl/>
        </w:rPr>
        <w:t xml:space="preserve">[הגה] </w:t>
      </w:r>
      <w:r>
        <w:rPr>
          <w:rFonts w:asciiTheme="minorBidi" w:hAnsiTheme="minorBidi"/>
          <w:sz w:val="18"/>
          <w:szCs w:val="18"/>
          <w:rtl/>
        </w:rPr>
        <w:t>וצריך לשער נגד כל הקדירה</w:t>
      </w:r>
      <w:r>
        <w:rPr>
          <w:rStyle w:val="a7"/>
          <w:rFonts w:asciiTheme="minorBidi" w:hAnsiTheme="minorBidi"/>
          <w:sz w:val="18"/>
          <w:szCs w:val="18"/>
          <w:rtl/>
        </w:rPr>
        <w:footnoteReference w:id="1523"/>
      </w:r>
      <w:r w:rsidRPr="0005614A">
        <w:rPr>
          <w:rFonts w:asciiTheme="minorBidi" w:hAnsiTheme="minorBidi"/>
          <w:sz w:val="18"/>
          <w:szCs w:val="18"/>
          <w:rtl/>
        </w:rPr>
        <w:t>.</w:t>
      </w:r>
      <w:r w:rsidRPr="003024E5">
        <w:rPr>
          <w:rFonts w:asciiTheme="minorBidi" w:hAnsiTheme="minorBidi"/>
          <w:rtl/>
        </w:rPr>
        <w:t xml:space="preserve"> א</w:t>
      </w:r>
      <w:r>
        <w:rPr>
          <w:rFonts w:asciiTheme="minorBidi" w:hAnsiTheme="minorBidi"/>
          <w:rtl/>
        </w:rPr>
        <w:t>בל אם שהה מעת לעת קודם שבישל בה</w:t>
      </w:r>
      <w:r w:rsidRPr="003024E5">
        <w:rPr>
          <w:rFonts w:asciiTheme="minorBidi" w:hAnsiTheme="minorBidi"/>
          <w:rtl/>
        </w:rPr>
        <w:t xml:space="preserve"> הוה ליה נותן טע</w:t>
      </w:r>
      <w:r>
        <w:rPr>
          <w:rFonts w:asciiTheme="minorBidi" w:hAnsiTheme="minorBidi"/>
          <w:rtl/>
        </w:rPr>
        <w:t>ם לפגם</w:t>
      </w:r>
      <w:r w:rsidRPr="003024E5">
        <w:rPr>
          <w:rFonts w:asciiTheme="minorBidi" w:hAnsiTheme="minorBidi"/>
          <w:rtl/>
        </w:rPr>
        <w:t xml:space="preserve"> ומותר התבשיל</w:t>
      </w:r>
      <w:r>
        <w:rPr>
          <w:rFonts w:asciiTheme="minorBidi" w:hAnsiTheme="minorBidi" w:hint="cs"/>
          <w:rtl/>
        </w:rPr>
        <w:t>,</w:t>
      </w:r>
      <w:r w:rsidRPr="003024E5">
        <w:rPr>
          <w:rFonts w:asciiTheme="minorBidi" w:hAnsiTheme="minorBidi"/>
          <w:rtl/>
        </w:rPr>
        <w:t xml:space="preserve"> אבל הקדירה אסור לבשל בה לא בשר ולא חלב</w:t>
      </w:r>
      <w:r>
        <w:rPr>
          <w:rStyle w:val="a7"/>
          <w:rFonts w:asciiTheme="minorBidi" w:hAnsiTheme="minorBidi"/>
          <w:rtl/>
        </w:rPr>
        <w:footnoteReference w:id="1524"/>
      </w:r>
      <w:r w:rsidRPr="003024E5">
        <w:rPr>
          <w:rFonts w:asciiTheme="minorBidi" w:hAnsiTheme="minorBidi"/>
          <w:rtl/>
        </w:rPr>
        <w:t xml:space="preserve">. </w:t>
      </w:r>
      <w:r>
        <w:rPr>
          <w:rFonts w:asciiTheme="minorBidi" w:hAnsiTheme="minorBidi"/>
          <w:sz w:val="18"/>
          <w:szCs w:val="18"/>
          <w:rtl/>
        </w:rPr>
        <w:t xml:space="preserve">הגה: אבל שאר דברים מותר </w:t>
      </w:r>
      <w:r w:rsidRPr="0049127E">
        <w:rPr>
          <w:rFonts w:asciiTheme="minorBidi" w:hAnsiTheme="minorBidi"/>
          <w:sz w:val="16"/>
          <w:szCs w:val="16"/>
          <w:rtl/>
        </w:rPr>
        <w:t>(ריב"ש בשם סמ"ק ובהג</w:t>
      </w:r>
      <w:r w:rsidRPr="0049127E">
        <w:rPr>
          <w:rFonts w:asciiTheme="minorBidi" w:hAnsiTheme="minorBidi" w:hint="cs"/>
          <w:sz w:val="16"/>
          <w:szCs w:val="16"/>
          <w:rtl/>
        </w:rPr>
        <w:t>ה"</w:t>
      </w:r>
      <w:r w:rsidRPr="0049127E">
        <w:rPr>
          <w:rFonts w:asciiTheme="minorBidi" w:hAnsiTheme="minorBidi"/>
          <w:sz w:val="16"/>
          <w:szCs w:val="16"/>
          <w:rtl/>
        </w:rPr>
        <w:t>מ)</w:t>
      </w:r>
      <w:r>
        <w:rPr>
          <w:rFonts w:asciiTheme="minorBidi" w:hAnsiTheme="minorBidi"/>
          <w:sz w:val="18"/>
          <w:szCs w:val="18"/>
          <w:rtl/>
        </w:rPr>
        <w:t xml:space="preserve"> ודין כיסוי קדירה</w:t>
      </w:r>
      <w:r w:rsidRPr="0005614A">
        <w:rPr>
          <w:rFonts w:asciiTheme="minorBidi" w:hAnsiTheme="minorBidi"/>
          <w:sz w:val="18"/>
          <w:szCs w:val="18"/>
          <w:rtl/>
        </w:rPr>
        <w:t xml:space="preserve"> כדין קדירה עצמה </w:t>
      </w:r>
      <w:r w:rsidRPr="0049127E">
        <w:rPr>
          <w:rFonts w:asciiTheme="minorBidi" w:hAnsiTheme="minorBidi"/>
          <w:sz w:val="16"/>
          <w:szCs w:val="16"/>
          <w:rtl/>
        </w:rPr>
        <w:t>(ד"ע ואו"ה)</w:t>
      </w:r>
      <w:r>
        <w:rPr>
          <w:rFonts w:asciiTheme="minorBidi" w:hAnsiTheme="minorBidi"/>
          <w:sz w:val="18"/>
          <w:szCs w:val="18"/>
          <w:rtl/>
        </w:rPr>
        <w:t>. ויש מחמירים בכיסוי לומר דאע</w:t>
      </w:r>
      <w:r>
        <w:rPr>
          <w:rFonts w:asciiTheme="minorBidi" w:hAnsiTheme="minorBidi" w:hint="cs"/>
          <w:sz w:val="18"/>
          <w:szCs w:val="18"/>
          <w:rtl/>
        </w:rPr>
        <w:t>"</w:t>
      </w:r>
      <w:r>
        <w:rPr>
          <w:rFonts w:asciiTheme="minorBidi" w:hAnsiTheme="minorBidi"/>
          <w:sz w:val="18"/>
          <w:szCs w:val="18"/>
          <w:rtl/>
        </w:rPr>
        <w:t>פ</w:t>
      </w:r>
      <w:r w:rsidRPr="0005614A">
        <w:rPr>
          <w:rFonts w:asciiTheme="minorBidi" w:hAnsiTheme="minorBidi"/>
          <w:sz w:val="18"/>
          <w:szCs w:val="18"/>
          <w:rtl/>
        </w:rPr>
        <w:t xml:space="preserve"> שאינו בן יומו</w:t>
      </w:r>
      <w:r>
        <w:rPr>
          <w:rFonts w:asciiTheme="minorBidi" w:hAnsiTheme="minorBidi"/>
          <w:sz w:val="18"/>
          <w:szCs w:val="18"/>
          <w:rtl/>
        </w:rPr>
        <w:t xml:space="preserve"> דינו כאלו היה בן יומו </w:t>
      </w:r>
      <w:r w:rsidRPr="0049127E">
        <w:rPr>
          <w:rFonts w:asciiTheme="minorBidi" w:hAnsiTheme="minorBidi"/>
          <w:sz w:val="16"/>
          <w:szCs w:val="16"/>
          <w:rtl/>
        </w:rPr>
        <w:t>(הגש</w:t>
      </w:r>
      <w:r w:rsidRPr="0049127E">
        <w:rPr>
          <w:rFonts w:asciiTheme="minorBidi" w:hAnsiTheme="minorBidi" w:hint="cs"/>
          <w:sz w:val="16"/>
          <w:szCs w:val="16"/>
          <w:rtl/>
        </w:rPr>
        <w:t>ע</w:t>
      </w:r>
      <w:r w:rsidRPr="0049127E">
        <w:rPr>
          <w:rFonts w:asciiTheme="minorBidi" w:hAnsiTheme="minorBidi"/>
          <w:sz w:val="16"/>
          <w:szCs w:val="16"/>
          <w:rtl/>
        </w:rPr>
        <w:t xml:space="preserve">"ד בשם קובץ) </w:t>
      </w:r>
      <w:r w:rsidRPr="0005614A">
        <w:rPr>
          <w:rFonts w:asciiTheme="minorBidi" w:hAnsiTheme="minorBidi"/>
          <w:sz w:val="18"/>
          <w:szCs w:val="18"/>
          <w:rtl/>
        </w:rPr>
        <w:t>וכ</w:t>
      </w:r>
      <w:r>
        <w:rPr>
          <w:rFonts w:asciiTheme="minorBidi" w:hAnsiTheme="minorBidi"/>
          <w:sz w:val="18"/>
          <w:szCs w:val="18"/>
          <w:rtl/>
        </w:rPr>
        <w:t>ן נוהגין בקצת מקומות</w:t>
      </w:r>
      <w:r>
        <w:rPr>
          <w:rFonts w:asciiTheme="minorBidi" w:hAnsiTheme="minorBidi" w:hint="cs"/>
          <w:sz w:val="18"/>
          <w:szCs w:val="18"/>
          <w:rtl/>
        </w:rPr>
        <w:t>,</w:t>
      </w:r>
      <w:r w:rsidRPr="0005614A">
        <w:rPr>
          <w:rFonts w:asciiTheme="minorBidi" w:hAnsiTheme="minorBidi"/>
          <w:sz w:val="18"/>
          <w:szCs w:val="18"/>
          <w:rtl/>
        </w:rPr>
        <w:t xml:space="preserve"> וכן אני נוהג</w:t>
      </w:r>
      <w:r>
        <w:rPr>
          <w:rFonts w:asciiTheme="minorBidi" w:hAnsiTheme="minorBidi"/>
          <w:sz w:val="18"/>
          <w:szCs w:val="18"/>
          <w:rtl/>
        </w:rPr>
        <w:t xml:space="preserve"> מפני המנהג, והוא חומרא בלא טעם</w:t>
      </w:r>
      <w:r>
        <w:rPr>
          <w:rStyle w:val="a7"/>
          <w:rFonts w:asciiTheme="minorBidi" w:hAnsiTheme="minorBidi"/>
          <w:sz w:val="18"/>
          <w:szCs w:val="18"/>
          <w:rtl/>
        </w:rPr>
        <w:footnoteReference w:id="1525"/>
      </w:r>
      <w:r w:rsidRPr="0005614A">
        <w:rPr>
          <w:rFonts w:asciiTheme="minorBidi" w:hAnsiTheme="minorBidi"/>
          <w:sz w:val="18"/>
          <w:szCs w:val="18"/>
          <w:rtl/>
        </w:rPr>
        <w:t xml:space="preserve"> </w:t>
      </w:r>
      <w:r w:rsidRPr="0049127E">
        <w:rPr>
          <w:rFonts w:asciiTheme="minorBidi" w:hAnsiTheme="minorBidi"/>
          <w:sz w:val="16"/>
          <w:szCs w:val="16"/>
          <w:rtl/>
        </w:rPr>
        <w:t>(ד"ע)</w:t>
      </w:r>
      <w:r w:rsidRPr="0005614A">
        <w:rPr>
          <w:rFonts w:asciiTheme="minorBidi" w:hAnsiTheme="minorBidi"/>
          <w:sz w:val="18"/>
          <w:szCs w:val="18"/>
          <w:rtl/>
        </w:rPr>
        <w:t>. ומ</w:t>
      </w:r>
      <w:r>
        <w:rPr>
          <w:rFonts w:asciiTheme="minorBidi" w:hAnsiTheme="minorBidi" w:hint="cs"/>
          <w:sz w:val="18"/>
          <w:szCs w:val="18"/>
          <w:rtl/>
        </w:rPr>
        <w:t>"מ</w:t>
      </w:r>
      <w:r w:rsidRPr="0005614A">
        <w:rPr>
          <w:rFonts w:asciiTheme="minorBidi" w:hAnsiTheme="minorBidi"/>
          <w:sz w:val="18"/>
          <w:szCs w:val="18"/>
          <w:rtl/>
        </w:rPr>
        <w:t xml:space="preserve"> </w:t>
      </w:r>
      <w:r>
        <w:rPr>
          <w:rFonts w:asciiTheme="minorBidi" w:hAnsiTheme="minorBidi"/>
          <w:sz w:val="18"/>
          <w:szCs w:val="18"/>
          <w:rtl/>
        </w:rPr>
        <w:t>במקום שיש שום צד להתיר בלאו הכי</w:t>
      </w:r>
      <w:r>
        <w:rPr>
          <w:rFonts w:asciiTheme="minorBidi" w:hAnsiTheme="minorBidi" w:hint="cs"/>
          <w:sz w:val="18"/>
          <w:szCs w:val="18"/>
          <w:rtl/>
        </w:rPr>
        <w:t>,</w:t>
      </w:r>
      <w:r w:rsidRPr="0005614A">
        <w:rPr>
          <w:rFonts w:asciiTheme="minorBidi" w:hAnsiTheme="minorBidi"/>
          <w:sz w:val="18"/>
          <w:szCs w:val="18"/>
          <w:rtl/>
        </w:rPr>
        <w:t xml:space="preserve"> או שהוא לצורך שבת או הפסד,</w:t>
      </w:r>
      <w:r>
        <w:rPr>
          <w:rFonts w:asciiTheme="minorBidi" w:hAnsiTheme="minorBidi"/>
          <w:sz w:val="18"/>
          <w:szCs w:val="18"/>
          <w:rtl/>
        </w:rPr>
        <w:t xml:space="preserve"> יש להתיר אם אין הכיסוי בן יומו כמו בקדירה עצמה</w:t>
      </w:r>
      <w:r>
        <w:rPr>
          <w:rFonts w:asciiTheme="minorBidi" w:hAnsiTheme="minorBidi" w:hint="cs"/>
          <w:sz w:val="18"/>
          <w:szCs w:val="18"/>
          <w:rtl/>
        </w:rPr>
        <w:t>.</w:t>
      </w:r>
      <w:r w:rsidRPr="0005614A">
        <w:rPr>
          <w:rFonts w:asciiTheme="minorBidi" w:hAnsiTheme="minorBidi"/>
          <w:sz w:val="18"/>
          <w:szCs w:val="18"/>
          <w:rtl/>
        </w:rPr>
        <w:t xml:space="preserve"> ואם לקחו כיסוי רותח מקדירה של</w:t>
      </w:r>
      <w:r>
        <w:rPr>
          <w:rFonts w:asciiTheme="minorBidi" w:hAnsiTheme="minorBidi"/>
          <w:sz w:val="18"/>
          <w:szCs w:val="18"/>
          <w:rtl/>
        </w:rPr>
        <w:t xml:space="preserve"> בשר ונתנו אותו על קדירה של חלב</w:t>
      </w:r>
      <w:r>
        <w:rPr>
          <w:rFonts w:asciiTheme="minorBidi" w:hAnsiTheme="minorBidi" w:hint="cs"/>
          <w:sz w:val="18"/>
          <w:szCs w:val="18"/>
          <w:rtl/>
        </w:rPr>
        <w:t>,</w:t>
      </w:r>
      <w:r w:rsidRPr="0005614A">
        <w:rPr>
          <w:rFonts w:asciiTheme="minorBidi" w:hAnsiTheme="minorBidi"/>
          <w:sz w:val="18"/>
          <w:szCs w:val="18"/>
          <w:rtl/>
        </w:rPr>
        <w:t xml:space="preserve"> א</w:t>
      </w:r>
      <w:r>
        <w:rPr>
          <w:rFonts w:asciiTheme="minorBidi" w:hAnsiTheme="minorBidi"/>
          <w:sz w:val="18"/>
          <w:szCs w:val="18"/>
          <w:rtl/>
        </w:rPr>
        <w:t>ם שניהם חמים</w:t>
      </w:r>
      <w:r w:rsidRPr="0005614A">
        <w:rPr>
          <w:rFonts w:asciiTheme="minorBidi" w:hAnsiTheme="minorBidi"/>
          <w:sz w:val="18"/>
          <w:szCs w:val="18"/>
          <w:rtl/>
        </w:rPr>
        <w:t xml:space="preserve"> שניהם אסורי</w:t>
      </w:r>
      <w:r>
        <w:rPr>
          <w:rFonts w:asciiTheme="minorBidi" w:hAnsiTheme="minorBidi"/>
          <w:sz w:val="18"/>
          <w:szCs w:val="18"/>
          <w:rtl/>
        </w:rPr>
        <w:t>ם אם יש מאכל בקדירה של בשר וחלב</w:t>
      </w:r>
      <w:r>
        <w:rPr>
          <w:rFonts w:asciiTheme="minorBidi" w:hAnsiTheme="minorBidi" w:hint="cs"/>
          <w:sz w:val="18"/>
          <w:szCs w:val="18"/>
          <w:rtl/>
        </w:rPr>
        <w:t>,</w:t>
      </w:r>
      <w:r>
        <w:rPr>
          <w:rFonts w:asciiTheme="minorBidi" w:hAnsiTheme="minorBidi"/>
          <w:sz w:val="18"/>
          <w:szCs w:val="18"/>
          <w:rtl/>
        </w:rPr>
        <w:t xml:space="preserve"> ואם הכיסוי צונן והקדירה חמה</w:t>
      </w:r>
      <w:r w:rsidRPr="0005614A">
        <w:rPr>
          <w:rFonts w:asciiTheme="minorBidi" w:hAnsiTheme="minorBidi"/>
          <w:sz w:val="18"/>
          <w:szCs w:val="18"/>
          <w:rtl/>
        </w:rPr>
        <w:t xml:space="preserve"> נמי שניהם אסורים אם התחיל להז</w:t>
      </w:r>
      <w:r>
        <w:rPr>
          <w:rFonts w:asciiTheme="minorBidi" w:hAnsiTheme="minorBidi"/>
          <w:sz w:val="18"/>
          <w:szCs w:val="18"/>
          <w:rtl/>
        </w:rPr>
        <w:t>יע תחת הכיסוי</w:t>
      </w:r>
      <w:r>
        <w:rPr>
          <w:rStyle w:val="a7"/>
          <w:rFonts w:asciiTheme="minorBidi" w:hAnsiTheme="minorBidi"/>
          <w:sz w:val="18"/>
          <w:szCs w:val="18"/>
          <w:rtl/>
        </w:rPr>
        <w:footnoteReference w:id="1526"/>
      </w:r>
      <w:r>
        <w:rPr>
          <w:rFonts w:asciiTheme="minorBidi" w:hAnsiTheme="minorBidi"/>
          <w:sz w:val="18"/>
          <w:szCs w:val="18"/>
          <w:rtl/>
        </w:rPr>
        <w:t xml:space="preserve">, דתתאה גבר </w:t>
      </w:r>
      <w:r w:rsidRPr="0049127E">
        <w:rPr>
          <w:rFonts w:asciiTheme="minorBidi" w:hAnsiTheme="minorBidi"/>
          <w:sz w:val="16"/>
          <w:szCs w:val="16"/>
          <w:rtl/>
        </w:rPr>
        <w:t>(או"ה)</w:t>
      </w:r>
      <w:r>
        <w:rPr>
          <w:rFonts w:asciiTheme="minorBidi" w:hAnsiTheme="minorBidi" w:hint="cs"/>
          <w:sz w:val="18"/>
          <w:szCs w:val="18"/>
          <w:rtl/>
        </w:rPr>
        <w:t>,</w:t>
      </w:r>
      <w:r>
        <w:rPr>
          <w:rFonts w:asciiTheme="minorBidi" w:hAnsiTheme="minorBidi"/>
          <w:sz w:val="18"/>
          <w:szCs w:val="18"/>
          <w:rtl/>
        </w:rPr>
        <w:t xml:space="preserve"> ואם הכיסוי חם והקדירה צוננת הכל שרי </w:t>
      </w:r>
      <w:r w:rsidRPr="0049127E">
        <w:rPr>
          <w:rFonts w:asciiTheme="minorBidi" w:hAnsiTheme="minorBidi"/>
          <w:sz w:val="16"/>
          <w:szCs w:val="16"/>
          <w:rtl/>
        </w:rPr>
        <w:t>(שם)</w:t>
      </w:r>
      <w:r>
        <w:rPr>
          <w:rFonts w:asciiTheme="minorBidi" w:hAnsiTheme="minorBidi" w:hint="cs"/>
          <w:sz w:val="18"/>
          <w:szCs w:val="18"/>
          <w:rtl/>
        </w:rPr>
        <w:t>,</w:t>
      </w:r>
      <w:r w:rsidRPr="0005614A">
        <w:rPr>
          <w:rFonts w:asciiTheme="minorBidi" w:hAnsiTheme="minorBidi"/>
          <w:sz w:val="18"/>
          <w:szCs w:val="18"/>
          <w:rtl/>
        </w:rPr>
        <w:t xml:space="preserve"> ר</w:t>
      </w:r>
      <w:r>
        <w:rPr>
          <w:rFonts w:asciiTheme="minorBidi" w:hAnsiTheme="minorBidi"/>
          <w:sz w:val="18"/>
          <w:szCs w:val="18"/>
          <w:rtl/>
        </w:rPr>
        <w:t xml:space="preserve">ק המאכל צריך קליפה </w:t>
      </w:r>
      <w:r w:rsidRPr="0049127E">
        <w:rPr>
          <w:rFonts w:asciiTheme="minorBidi" w:hAnsiTheme="minorBidi"/>
          <w:sz w:val="16"/>
          <w:szCs w:val="16"/>
          <w:rtl/>
        </w:rPr>
        <w:t>(הגש</w:t>
      </w:r>
      <w:r w:rsidRPr="0049127E">
        <w:rPr>
          <w:rFonts w:asciiTheme="minorBidi" w:hAnsiTheme="minorBidi" w:hint="cs"/>
          <w:sz w:val="16"/>
          <w:szCs w:val="16"/>
          <w:rtl/>
        </w:rPr>
        <w:t>ע</w:t>
      </w:r>
      <w:r w:rsidRPr="0049127E">
        <w:rPr>
          <w:rFonts w:asciiTheme="minorBidi" w:hAnsiTheme="minorBidi"/>
          <w:sz w:val="16"/>
          <w:szCs w:val="16"/>
          <w:rtl/>
        </w:rPr>
        <w:t xml:space="preserve">"ד ולא כאו"ה שם) </w:t>
      </w:r>
      <w:r w:rsidRPr="0005614A">
        <w:rPr>
          <w:rFonts w:asciiTheme="minorBidi" w:hAnsiTheme="minorBidi"/>
          <w:sz w:val="18"/>
          <w:szCs w:val="18"/>
          <w:rtl/>
        </w:rPr>
        <w:t>אם אפשר לקלפו,</w:t>
      </w:r>
      <w:r>
        <w:rPr>
          <w:rFonts w:asciiTheme="minorBidi" w:hAnsiTheme="minorBidi"/>
          <w:sz w:val="18"/>
          <w:szCs w:val="18"/>
          <w:rtl/>
        </w:rPr>
        <w:t xml:space="preserve"> ואם לאו הכל שרי</w:t>
      </w:r>
      <w:r>
        <w:rPr>
          <w:rFonts w:asciiTheme="minorBidi" w:hAnsiTheme="minorBidi" w:hint="cs"/>
          <w:sz w:val="18"/>
          <w:szCs w:val="18"/>
          <w:rtl/>
        </w:rPr>
        <w:t>,</w:t>
      </w:r>
      <w:r>
        <w:rPr>
          <w:rFonts w:asciiTheme="minorBidi" w:hAnsiTheme="minorBidi"/>
          <w:sz w:val="18"/>
          <w:szCs w:val="18"/>
          <w:rtl/>
        </w:rPr>
        <w:t xml:space="preserve"> ואם לא היה מאכל בקדירה הכל שרי דהוי כשתי קדרות שנגעו זו בזו</w:t>
      </w:r>
      <w:r w:rsidRPr="0005614A">
        <w:rPr>
          <w:rFonts w:asciiTheme="minorBidi" w:hAnsiTheme="minorBidi"/>
          <w:sz w:val="18"/>
          <w:szCs w:val="18"/>
          <w:rtl/>
        </w:rPr>
        <w:t xml:space="preserve"> </w:t>
      </w:r>
      <w:r w:rsidRPr="0049127E">
        <w:rPr>
          <w:rFonts w:asciiTheme="minorBidi" w:hAnsiTheme="minorBidi"/>
          <w:sz w:val="16"/>
          <w:szCs w:val="16"/>
          <w:rtl/>
        </w:rPr>
        <w:t>(ד"ע)</w:t>
      </w:r>
      <w:r w:rsidRPr="0005614A">
        <w:rPr>
          <w:rFonts w:asciiTheme="minorBidi" w:hAnsiTheme="minorBidi"/>
          <w:sz w:val="18"/>
          <w:szCs w:val="18"/>
          <w:rtl/>
        </w:rPr>
        <w:t>.</w:t>
      </w:r>
    </w:p>
    <w:p w14:paraId="3F467639" w14:textId="77777777" w:rsidR="002C39F4" w:rsidRPr="003024E5" w:rsidRDefault="002C39F4" w:rsidP="002C39F4">
      <w:pPr>
        <w:rPr>
          <w:rFonts w:asciiTheme="minorBidi" w:hAnsiTheme="minorBidi"/>
          <w:rtl/>
        </w:rPr>
      </w:pPr>
    </w:p>
    <w:p w14:paraId="0D325176" w14:textId="77777777" w:rsidR="002C39F4" w:rsidRPr="003024E5" w:rsidRDefault="002C39F4" w:rsidP="002C39F4">
      <w:pPr>
        <w:rPr>
          <w:rFonts w:asciiTheme="minorBidi" w:hAnsiTheme="minorBidi"/>
          <w:rtl/>
        </w:rPr>
      </w:pPr>
    </w:p>
    <w:p w14:paraId="5E6BCCCB" w14:textId="77777777" w:rsidR="002C39F4" w:rsidRPr="003024E5" w:rsidRDefault="002C39F4" w:rsidP="002C39F4">
      <w:pPr>
        <w:rPr>
          <w:rFonts w:asciiTheme="minorBidi" w:hAnsiTheme="minorBidi"/>
          <w:rtl/>
        </w:rPr>
      </w:pPr>
    </w:p>
    <w:p w14:paraId="689C7909"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55DC40AF"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צד: דין התוחב כף חולבת בקדירה של בשר, ובו ט' סעיפים. </w:t>
      </w:r>
    </w:p>
    <w:p w14:paraId="7DAA616C"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התוחב כף חולבת בקדרה של בשר- בכמה משערים.</w:t>
      </w:r>
    </w:p>
    <w:p w14:paraId="0C686300" w14:textId="77777777" w:rsidR="002C39F4" w:rsidRPr="00412088" w:rsidRDefault="002C39F4" w:rsidP="002C39F4">
      <w:pPr>
        <w:rPr>
          <w:rFonts w:cs="Arial"/>
          <w:sz w:val="16"/>
          <w:szCs w:val="16"/>
          <w:rtl/>
        </w:rPr>
      </w:pPr>
      <w:r w:rsidRPr="00E866AE">
        <w:rPr>
          <w:rFonts w:cs="Arial"/>
          <w:u w:val="single"/>
          <w:rtl/>
        </w:rPr>
        <w:t>התוחב כף חולבת</w:t>
      </w:r>
      <w:r>
        <w:rPr>
          <w:rStyle w:val="a7"/>
          <w:rFonts w:cs="Arial"/>
          <w:u w:val="single"/>
          <w:rtl/>
        </w:rPr>
        <w:footnoteReference w:id="1527"/>
      </w:r>
      <w:r w:rsidRPr="00E866AE">
        <w:rPr>
          <w:rFonts w:cs="Arial"/>
          <w:u w:val="single"/>
          <w:rtl/>
        </w:rPr>
        <w:t xml:space="preserve"> </w:t>
      </w:r>
      <w:r>
        <w:rPr>
          <w:rFonts w:cs="Arial" w:hint="cs"/>
          <w:u w:val="single"/>
          <w:rtl/>
        </w:rPr>
        <w:t xml:space="preserve">בת יומא </w:t>
      </w:r>
      <w:r w:rsidRPr="00E866AE">
        <w:rPr>
          <w:rFonts w:cs="Arial"/>
          <w:u w:val="single"/>
          <w:rtl/>
        </w:rPr>
        <w:t xml:space="preserve">בקדרה של בשר </w:t>
      </w:r>
      <w:r w:rsidRPr="00E866AE">
        <w:rPr>
          <w:rFonts w:cs="Arial" w:hint="cs"/>
          <w:sz w:val="16"/>
          <w:szCs w:val="16"/>
          <w:u w:val="single"/>
          <w:rtl/>
        </w:rPr>
        <w:t>(</w:t>
      </w:r>
      <w:r w:rsidRPr="00E866AE">
        <w:rPr>
          <w:rFonts w:cs="Arial"/>
          <w:sz w:val="16"/>
          <w:szCs w:val="16"/>
          <w:u w:val="single"/>
          <w:rtl/>
        </w:rPr>
        <w:t>או איפכא</w:t>
      </w:r>
      <w:r w:rsidRPr="00E866AE">
        <w:rPr>
          <w:rFonts w:cs="Arial" w:hint="cs"/>
          <w:sz w:val="16"/>
          <w:szCs w:val="16"/>
          <w:u w:val="single"/>
          <w:rtl/>
        </w:rPr>
        <w:t>)</w:t>
      </w:r>
      <w:r w:rsidRPr="00E866AE">
        <w:rPr>
          <w:rFonts w:cs="Arial" w:hint="cs"/>
          <w:u w:val="single"/>
          <w:rtl/>
        </w:rPr>
        <w:t>:</w:t>
      </w:r>
      <w:r>
        <w:rPr>
          <w:rFonts w:cs="Arial" w:hint="cs"/>
          <w:sz w:val="16"/>
          <w:szCs w:val="16"/>
          <w:rtl/>
        </w:rPr>
        <w:t xml:space="preserve">  (ב"י [בב"י ובבדה"ב] ודרכ"מ [אות ב])</w:t>
      </w:r>
    </w:p>
    <w:p w14:paraId="1BAAA6BB" w14:textId="77777777" w:rsidR="002C39F4" w:rsidRPr="00E866AE" w:rsidRDefault="002C39F4" w:rsidP="0032102C">
      <w:pPr>
        <w:pStyle w:val="a8"/>
        <w:numPr>
          <w:ilvl w:val="0"/>
          <w:numId w:val="122"/>
        </w:numPr>
        <w:rPr>
          <w:rFonts w:cs="Arial"/>
          <w:rtl/>
        </w:rPr>
      </w:pPr>
      <w:r>
        <w:rPr>
          <w:rFonts w:cs="Arial" w:hint="cs"/>
          <w:rtl/>
        </w:rPr>
        <w:t xml:space="preserve">סה"ת </w:t>
      </w:r>
      <w:r>
        <w:rPr>
          <w:rFonts w:cs="Arial"/>
          <w:rtl/>
        </w:rPr>
        <w:t>שע</w:t>
      </w:r>
      <w:r>
        <w:rPr>
          <w:rFonts w:cs="Arial" w:hint="cs"/>
          <w:rtl/>
        </w:rPr>
        <w:t>"</w:t>
      </w:r>
      <w:r>
        <w:rPr>
          <w:rFonts w:cs="Arial"/>
          <w:rtl/>
        </w:rPr>
        <w:t>ד מרדכי</w:t>
      </w:r>
      <w:r>
        <w:rPr>
          <w:rFonts w:cs="Arial" w:hint="cs"/>
          <w:rtl/>
        </w:rPr>
        <w:t xml:space="preserve"> </w:t>
      </w:r>
      <w:r>
        <w:rPr>
          <w:rFonts w:cs="Arial"/>
          <w:rtl/>
        </w:rPr>
        <w:t>הג</w:t>
      </w:r>
      <w:r>
        <w:rPr>
          <w:rFonts w:cs="Arial" w:hint="cs"/>
          <w:rtl/>
        </w:rPr>
        <w:t>שע"ד</w:t>
      </w:r>
      <w:r>
        <w:rPr>
          <w:rFonts w:cs="Arial"/>
          <w:rtl/>
        </w:rPr>
        <w:t xml:space="preserve"> </w:t>
      </w:r>
      <w:r>
        <w:rPr>
          <w:rFonts w:cs="Arial" w:hint="cs"/>
          <w:rtl/>
        </w:rPr>
        <w:t>ואו"ה</w:t>
      </w:r>
      <w:r>
        <w:rPr>
          <w:rStyle w:val="a7"/>
          <w:rFonts w:cs="Arial"/>
          <w:rtl/>
        </w:rPr>
        <w:footnoteReference w:id="1528"/>
      </w:r>
      <w:r w:rsidRPr="00E866AE">
        <w:rPr>
          <w:rFonts w:cs="Arial" w:hint="cs"/>
          <w:rtl/>
        </w:rPr>
        <w:t xml:space="preserve">- </w:t>
      </w:r>
      <w:r w:rsidRPr="00E866AE">
        <w:rPr>
          <w:rFonts w:cs="Arial"/>
          <w:rtl/>
        </w:rPr>
        <w:t>משערינן בכל מה שתחב ממנה בקדרה דלא ידעינן כמה נפיק מיניה</w:t>
      </w:r>
      <w:r>
        <w:rPr>
          <w:rStyle w:val="a7"/>
          <w:rFonts w:cs="Arial"/>
          <w:rtl/>
        </w:rPr>
        <w:footnoteReference w:id="1529"/>
      </w:r>
      <w:r>
        <w:rPr>
          <w:rFonts w:cs="Arial" w:hint="cs"/>
          <w:rtl/>
        </w:rPr>
        <w:t>,</w:t>
      </w:r>
      <w:r w:rsidRPr="00412088">
        <w:rPr>
          <w:rFonts w:cs="Arial"/>
          <w:rtl/>
        </w:rPr>
        <w:t xml:space="preserve"> </w:t>
      </w:r>
      <w:r w:rsidRPr="00E866AE">
        <w:rPr>
          <w:rFonts w:cs="Arial"/>
          <w:rtl/>
        </w:rPr>
        <w:t>ו</w:t>
      </w:r>
      <w:r>
        <w:rPr>
          <w:rFonts w:cs="Arial" w:hint="cs"/>
          <w:rtl/>
        </w:rPr>
        <w:t>אין לחלק בין של עץ לשל מתכת</w:t>
      </w:r>
      <w:r>
        <w:rPr>
          <w:rStyle w:val="a7"/>
          <w:rFonts w:cs="Arial"/>
          <w:rtl/>
        </w:rPr>
        <w:footnoteReference w:id="1530"/>
      </w:r>
      <w:r w:rsidRPr="00E866AE">
        <w:rPr>
          <w:rFonts w:cs="Arial" w:hint="cs"/>
          <w:rtl/>
        </w:rPr>
        <w:t>.</w:t>
      </w:r>
      <w:r>
        <w:rPr>
          <w:rFonts w:cs="Arial" w:hint="cs"/>
          <w:rtl/>
        </w:rPr>
        <w:t xml:space="preserve"> </w:t>
      </w:r>
      <w:r w:rsidRPr="00CB4BDC">
        <w:rPr>
          <w:rFonts w:cs="Arial" w:hint="cs"/>
          <w:color w:val="E36C0A" w:themeColor="accent6" w:themeShade="BF"/>
          <w:rtl/>
        </w:rPr>
        <w:t>(וכ"ס בשו"ע)</w:t>
      </w:r>
      <w:r>
        <w:rPr>
          <w:rFonts w:cs="Arial" w:hint="cs"/>
          <w:rtl/>
        </w:rPr>
        <w:t xml:space="preserve"> </w:t>
      </w:r>
      <w:r w:rsidRPr="00CB4BDC">
        <w:rPr>
          <w:rFonts w:cs="Arial" w:hint="cs"/>
          <w:color w:val="00B0F0"/>
          <w:rtl/>
        </w:rPr>
        <w:t>(וכ"פ הרמ"א)</w:t>
      </w:r>
      <w:r>
        <w:rPr>
          <w:rFonts w:cs="Arial" w:hint="cs"/>
          <w:rtl/>
        </w:rPr>
        <w:t xml:space="preserve"> </w:t>
      </w:r>
    </w:p>
    <w:p w14:paraId="7CCB2274" w14:textId="77777777" w:rsidR="002C39F4" w:rsidRDefault="002C39F4" w:rsidP="0032102C">
      <w:pPr>
        <w:pStyle w:val="a8"/>
        <w:numPr>
          <w:ilvl w:val="0"/>
          <w:numId w:val="122"/>
        </w:numPr>
        <w:rPr>
          <w:rFonts w:cs="Arial"/>
        </w:rPr>
      </w:pPr>
      <w:r>
        <w:rPr>
          <w:rFonts w:cs="Arial" w:hint="cs"/>
          <w:rtl/>
        </w:rPr>
        <w:t>ר"פ</w:t>
      </w:r>
      <w:r>
        <w:rPr>
          <w:rStyle w:val="a7"/>
          <w:rFonts w:cs="Arial"/>
          <w:rtl/>
        </w:rPr>
        <w:footnoteReference w:id="1531"/>
      </w:r>
      <w:r>
        <w:rPr>
          <w:rFonts w:cs="Arial" w:hint="cs"/>
          <w:rtl/>
        </w:rPr>
        <w:t xml:space="preserve">- </w:t>
      </w:r>
      <w:r w:rsidRPr="00E866AE">
        <w:rPr>
          <w:rFonts w:cs="Arial"/>
          <w:rtl/>
        </w:rPr>
        <w:t>אם הכף של מתכת משערינן בכולו אף מה שלא נכנס ממנו בקדרה משום חם מקצתו חם כולו</w:t>
      </w:r>
      <w:r>
        <w:rPr>
          <w:rFonts w:cs="Arial" w:hint="cs"/>
          <w:rtl/>
        </w:rPr>
        <w:t>.</w:t>
      </w:r>
    </w:p>
    <w:p w14:paraId="17F5CA22" w14:textId="77777777" w:rsidR="002C39F4" w:rsidRPr="0065175B" w:rsidRDefault="002C39F4" w:rsidP="0032102C">
      <w:pPr>
        <w:pStyle w:val="a8"/>
        <w:numPr>
          <w:ilvl w:val="0"/>
          <w:numId w:val="122"/>
        </w:numPr>
        <w:rPr>
          <w:rFonts w:cs="Arial"/>
          <w:rtl/>
        </w:rPr>
      </w:pPr>
      <w:r w:rsidRPr="0065175B">
        <w:rPr>
          <w:rFonts w:cs="Arial"/>
          <w:rtl/>
        </w:rPr>
        <w:t xml:space="preserve">ראב"ד </w:t>
      </w:r>
      <w:r w:rsidRPr="0065175B">
        <w:rPr>
          <w:rFonts w:cs="Arial" w:hint="cs"/>
          <w:sz w:val="16"/>
          <w:szCs w:val="16"/>
          <w:rtl/>
        </w:rPr>
        <w:t xml:space="preserve">(כ"כ בשמו רי"ו </w:t>
      </w:r>
      <w:r w:rsidRPr="0065175B">
        <w:rPr>
          <w:rFonts w:cs="Arial" w:hint="cs"/>
          <w:sz w:val="14"/>
          <w:szCs w:val="14"/>
          <w:rtl/>
        </w:rPr>
        <w:t>[</w:t>
      </w:r>
      <w:r w:rsidRPr="0065175B">
        <w:rPr>
          <w:rFonts w:cs="Arial"/>
          <w:sz w:val="14"/>
          <w:szCs w:val="14"/>
          <w:rtl/>
        </w:rPr>
        <w:t>נט"ו אות כח</w:t>
      </w:r>
      <w:r w:rsidRPr="0065175B">
        <w:rPr>
          <w:rFonts w:cs="Arial" w:hint="cs"/>
          <w:sz w:val="14"/>
          <w:szCs w:val="14"/>
          <w:rtl/>
        </w:rPr>
        <w:t>]</w:t>
      </w:r>
      <w:r>
        <w:rPr>
          <w:rFonts w:cs="Arial" w:hint="cs"/>
          <w:sz w:val="16"/>
          <w:szCs w:val="16"/>
          <w:rtl/>
        </w:rPr>
        <w:t>, הביאו הב"י בבדה"ב</w:t>
      </w:r>
      <w:r w:rsidRPr="0065175B">
        <w:rPr>
          <w:rFonts w:cs="Arial"/>
          <w:sz w:val="16"/>
          <w:szCs w:val="16"/>
          <w:rtl/>
        </w:rPr>
        <w:t>)</w:t>
      </w:r>
      <w:r w:rsidRPr="0065175B">
        <w:rPr>
          <w:rFonts w:cs="Arial" w:hint="cs"/>
          <w:rtl/>
        </w:rPr>
        <w:t xml:space="preserve">- </w:t>
      </w:r>
      <w:r w:rsidRPr="0065175B">
        <w:rPr>
          <w:rFonts w:cs="Arial"/>
          <w:rtl/>
        </w:rPr>
        <w:t>בקדרה או כף של חרס שאינו חוזר להיתרו משערינן בכולו אבל קדרה של מתכת או כף או קערה של עץ אומדים כמה איסור יוצא ממנו באומד יפה ולא משערינן בכולו</w:t>
      </w:r>
      <w:r>
        <w:rPr>
          <w:rStyle w:val="a7"/>
          <w:rFonts w:cs="Arial"/>
          <w:rtl/>
        </w:rPr>
        <w:footnoteReference w:id="1532"/>
      </w:r>
      <w:r>
        <w:rPr>
          <w:rFonts w:cs="Arial" w:hint="cs"/>
          <w:rtl/>
        </w:rPr>
        <w:t>.</w:t>
      </w:r>
    </w:p>
    <w:p w14:paraId="4B5835E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21961B9" w14:textId="77777777" w:rsidR="002C39F4" w:rsidRDefault="002C39F4" w:rsidP="002C39F4">
      <w:pPr>
        <w:rPr>
          <w:rFonts w:asciiTheme="minorBidi" w:hAnsiTheme="minorBidi"/>
          <w:rtl/>
        </w:rPr>
      </w:pPr>
      <w:r w:rsidRPr="003024E5">
        <w:rPr>
          <w:rFonts w:asciiTheme="minorBidi" w:hAnsiTheme="minorBidi"/>
          <w:rtl/>
        </w:rPr>
        <w:t>התוחב כף חולבת בקדירה של בשר, או איפכא, מ</w:t>
      </w:r>
      <w:r>
        <w:rPr>
          <w:rFonts w:asciiTheme="minorBidi" w:hAnsiTheme="minorBidi"/>
          <w:rtl/>
        </w:rPr>
        <w:t>שערים בכל מה שנתחב ממנו בקדירה</w:t>
      </w:r>
      <w:r>
        <w:rPr>
          <w:rStyle w:val="a7"/>
          <w:rFonts w:asciiTheme="minorBidi" w:hAnsiTheme="minorBidi"/>
          <w:rtl/>
        </w:rPr>
        <w:footnoteReference w:id="1533"/>
      </w:r>
      <w:r>
        <w:rPr>
          <w:rFonts w:asciiTheme="minorBidi" w:hAnsiTheme="minorBidi"/>
          <w:rtl/>
        </w:rPr>
        <w:t xml:space="preserve"> </w:t>
      </w:r>
      <w:r w:rsidRPr="006F517E">
        <w:rPr>
          <w:rFonts w:asciiTheme="minorBidi" w:hAnsiTheme="minorBidi" w:hint="cs"/>
          <w:sz w:val="18"/>
          <w:szCs w:val="18"/>
          <w:rtl/>
        </w:rPr>
        <w:t xml:space="preserve">[הגה] </w:t>
      </w:r>
      <w:r w:rsidRPr="006F517E">
        <w:rPr>
          <w:rFonts w:asciiTheme="minorBidi" w:hAnsiTheme="minorBidi"/>
          <w:sz w:val="18"/>
          <w:szCs w:val="18"/>
          <w:rtl/>
        </w:rPr>
        <w:t>אם הכף בן יומו דהיינו ש</w:t>
      </w:r>
      <w:r>
        <w:rPr>
          <w:rFonts w:asciiTheme="minorBidi" w:hAnsiTheme="minorBidi"/>
          <w:sz w:val="18"/>
          <w:szCs w:val="18"/>
          <w:rtl/>
        </w:rPr>
        <w:t>שמשו בו בכלי ראשון</w:t>
      </w:r>
      <w:r>
        <w:rPr>
          <w:rStyle w:val="a7"/>
          <w:rFonts w:asciiTheme="minorBidi" w:hAnsiTheme="minorBidi"/>
          <w:sz w:val="18"/>
          <w:szCs w:val="18"/>
          <w:rtl/>
        </w:rPr>
        <w:footnoteReference w:id="1534"/>
      </w:r>
      <w:r>
        <w:rPr>
          <w:rFonts w:asciiTheme="minorBidi" w:hAnsiTheme="minorBidi"/>
          <w:sz w:val="18"/>
          <w:szCs w:val="18"/>
          <w:rtl/>
        </w:rPr>
        <w:t xml:space="preserve"> תוך מעת לעת (ארוך כלל ז</w:t>
      </w:r>
      <w:r w:rsidRPr="006F517E">
        <w:rPr>
          <w:rFonts w:asciiTheme="minorBidi" w:hAnsiTheme="minorBidi"/>
          <w:sz w:val="18"/>
          <w:szCs w:val="18"/>
          <w:rtl/>
        </w:rPr>
        <w:t>).</w:t>
      </w:r>
      <w:r>
        <w:rPr>
          <w:rFonts w:asciiTheme="minorBidi" w:hAnsiTheme="minorBidi"/>
          <w:rtl/>
        </w:rPr>
        <w:t xml:space="preserve"> ויש מי שאומר שאם הכף של מתכת</w:t>
      </w:r>
      <w:r w:rsidRPr="003024E5">
        <w:rPr>
          <w:rFonts w:asciiTheme="minorBidi" w:hAnsiTheme="minorBidi"/>
          <w:rtl/>
        </w:rPr>
        <w:t xml:space="preserve"> משערים בכ</w:t>
      </w:r>
      <w:r>
        <w:rPr>
          <w:rFonts w:asciiTheme="minorBidi" w:hAnsiTheme="minorBidi"/>
          <w:rtl/>
        </w:rPr>
        <w:t>ולו משום דחם מקצתו חם כולו.</w:t>
      </w:r>
      <w:r w:rsidRPr="006F517E">
        <w:rPr>
          <w:rFonts w:asciiTheme="minorBidi" w:hAnsiTheme="minorBidi"/>
          <w:sz w:val="18"/>
          <w:szCs w:val="18"/>
          <w:rtl/>
        </w:rPr>
        <w:t xml:space="preserve"> </w:t>
      </w:r>
      <w:r w:rsidRPr="006F517E">
        <w:rPr>
          <w:rFonts w:asciiTheme="minorBidi" w:hAnsiTheme="minorBidi" w:hint="cs"/>
          <w:sz w:val="18"/>
          <w:szCs w:val="18"/>
          <w:rtl/>
        </w:rPr>
        <w:t xml:space="preserve">[הגה] </w:t>
      </w:r>
      <w:r w:rsidRPr="006F517E">
        <w:rPr>
          <w:rFonts w:asciiTheme="minorBidi" w:hAnsiTheme="minorBidi"/>
          <w:sz w:val="18"/>
          <w:szCs w:val="18"/>
          <w:rtl/>
        </w:rPr>
        <w:t>וסברא ראשונה עיקר</w:t>
      </w:r>
      <w:r>
        <w:rPr>
          <w:rStyle w:val="a7"/>
          <w:rFonts w:asciiTheme="minorBidi" w:hAnsiTheme="minorBidi"/>
          <w:sz w:val="18"/>
          <w:szCs w:val="18"/>
          <w:rtl/>
        </w:rPr>
        <w:footnoteReference w:id="1535"/>
      </w:r>
      <w:r w:rsidRPr="006F517E">
        <w:rPr>
          <w:rFonts w:asciiTheme="minorBidi" w:hAnsiTheme="minorBidi"/>
          <w:sz w:val="18"/>
          <w:szCs w:val="18"/>
          <w:rtl/>
        </w:rPr>
        <w:t>, וכן נוהגין (מרדכי ש</w:t>
      </w:r>
      <w:r w:rsidRPr="006F517E">
        <w:rPr>
          <w:rFonts w:asciiTheme="minorBidi" w:hAnsiTheme="minorBidi" w:hint="cs"/>
          <w:sz w:val="18"/>
          <w:szCs w:val="18"/>
          <w:rtl/>
        </w:rPr>
        <w:t>ע</w:t>
      </w:r>
      <w:r w:rsidRPr="006F517E">
        <w:rPr>
          <w:rFonts w:asciiTheme="minorBidi" w:hAnsiTheme="minorBidi"/>
          <w:sz w:val="18"/>
          <w:szCs w:val="18"/>
          <w:rtl/>
        </w:rPr>
        <w:t>"ד הג</w:t>
      </w:r>
      <w:r w:rsidRPr="006F517E">
        <w:rPr>
          <w:rFonts w:asciiTheme="minorBidi" w:hAnsiTheme="minorBidi" w:hint="cs"/>
          <w:sz w:val="18"/>
          <w:szCs w:val="18"/>
          <w:rtl/>
        </w:rPr>
        <w:t>שע"ד</w:t>
      </w:r>
      <w:r w:rsidRPr="006F517E">
        <w:rPr>
          <w:rFonts w:asciiTheme="minorBidi" w:hAnsiTheme="minorBidi"/>
          <w:sz w:val="18"/>
          <w:szCs w:val="18"/>
          <w:rtl/>
        </w:rPr>
        <w:t xml:space="preserve"> וארוך) וע"ל סי' צח.</w:t>
      </w:r>
    </w:p>
    <w:p w14:paraId="72C6B884" w14:textId="77777777" w:rsidR="002C39F4" w:rsidRPr="0086137C" w:rsidRDefault="002C39F4" w:rsidP="002C39F4">
      <w:pPr>
        <w:rPr>
          <w:rFonts w:asciiTheme="minorBidi" w:hAnsiTheme="minorBidi" w:cs="Arial"/>
          <w:u w:val="single"/>
          <w:rtl/>
        </w:rPr>
      </w:pPr>
      <w:r>
        <w:rPr>
          <w:rFonts w:asciiTheme="minorBidi" w:hAnsiTheme="minorBidi" w:cs="Arial" w:hint="cs"/>
          <w:u w:val="single"/>
          <w:rtl/>
        </w:rPr>
        <w:t xml:space="preserve">ומה הדין אם </w:t>
      </w:r>
      <w:r w:rsidRPr="0086137C">
        <w:rPr>
          <w:rFonts w:asciiTheme="minorBidi" w:hAnsiTheme="minorBidi" w:cs="Arial" w:hint="cs"/>
          <w:u w:val="single"/>
          <w:rtl/>
        </w:rPr>
        <w:t xml:space="preserve">עירה </w:t>
      </w:r>
      <w:r w:rsidRPr="003E5491">
        <w:rPr>
          <w:rFonts w:asciiTheme="minorBidi" w:hAnsiTheme="minorBidi" w:cs="Arial" w:hint="cs"/>
          <w:u w:val="single"/>
          <w:rtl/>
        </w:rPr>
        <w:t>חלב מכלי ראשון על</w:t>
      </w:r>
      <w:r w:rsidRPr="0086137C">
        <w:rPr>
          <w:rFonts w:asciiTheme="minorBidi" w:hAnsiTheme="minorBidi" w:cs="Arial" w:hint="cs"/>
          <w:u w:val="single"/>
          <w:rtl/>
        </w:rPr>
        <w:t xml:space="preserve"> כלי המלוכלך מבשר</w:t>
      </w:r>
      <w:r>
        <w:rPr>
          <w:rFonts w:asciiTheme="minorBidi" w:hAnsiTheme="minorBidi" w:cs="Arial" w:hint="cs"/>
          <w:u w:val="single"/>
          <w:rtl/>
        </w:rPr>
        <w:t xml:space="preserve"> </w:t>
      </w:r>
      <w:r w:rsidRPr="00E866AE">
        <w:rPr>
          <w:rFonts w:cs="Arial" w:hint="cs"/>
          <w:sz w:val="16"/>
          <w:szCs w:val="16"/>
          <w:u w:val="single"/>
          <w:rtl/>
        </w:rPr>
        <w:t>(</w:t>
      </w:r>
      <w:r w:rsidRPr="00E866AE">
        <w:rPr>
          <w:rFonts w:cs="Arial"/>
          <w:sz w:val="16"/>
          <w:szCs w:val="16"/>
          <w:u w:val="single"/>
          <w:rtl/>
        </w:rPr>
        <w:t>או איפכא</w:t>
      </w:r>
      <w:r>
        <w:rPr>
          <w:rFonts w:cs="Arial" w:hint="cs"/>
          <w:sz w:val="16"/>
          <w:szCs w:val="16"/>
          <w:u w:val="single"/>
          <w:rtl/>
        </w:rPr>
        <w:t>, ולא תחב בתוכו כדלעיל</w:t>
      </w:r>
      <w:r w:rsidRPr="00E866AE">
        <w:rPr>
          <w:rFonts w:cs="Arial" w:hint="cs"/>
          <w:sz w:val="16"/>
          <w:szCs w:val="16"/>
          <w:u w:val="single"/>
          <w:rtl/>
        </w:rPr>
        <w:t>)</w:t>
      </w:r>
      <w:r w:rsidRPr="0086137C">
        <w:rPr>
          <w:rFonts w:asciiTheme="minorBidi" w:hAnsiTheme="minorBidi" w:cs="Arial" w:hint="cs"/>
          <w:u w:val="single"/>
          <w:rtl/>
        </w:rPr>
        <w:t>:</w:t>
      </w:r>
    </w:p>
    <w:p w14:paraId="4CA196A4" w14:textId="77777777" w:rsidR="002C39F4" w:rsidRPr="0086137C" w:rsidRDefault="002C39F4" w:rsidP="0032102C">
      <w:pPr>
        <w:pStyle w:val="a8"/>
        <w:numPr>
          <w:ilvl w:val="0"/>
          <w:numId w:val="124"/>
        </w:numPr>
        <w:rPr>
          <w:rFonts w:asciiTheme="minorBidi" w:hAnsiTheme="minorBidi" w:cs="Arial"/>
          <w:rtl/>
        </w:rPr>
      </w:pPr>
      <w:r w:rsidRPr="0086137C">
        <w:rPr>
          <w:rFonts w:asciiTheme="minorBidi" w:hAnsiTheme="minorBidi" w:cs="Arial" w:hint="cs"/>
          <w:rtl/>
        </w:rPr>
        <w:t xml:space="preserve">ט"ז </w:t>
      </w:r>
      <w:r w:rsidRPr="003E5491">
        <w:rPr>
          <w:rFonts w:asciiTheme="minorBidi" w:hAnsiTheme="minorBidi" w:cs="Arial"/>
          <w:sz w:val="16"/>
          <w:szCs w:val="16"/>
          <w:rtl/>
        </w:rPr>
        <w:t>(</w:t>
      </w:r>
      <w:r w:rsidRPr="003E5491">
        <w:rPr>
          <w:rFonts w:asciiTheme="minorBidi" w:hAnsiTheme="minorBidi" w:cs="Arial" w:hint="cs"/>
          <w:sz w:val="16"/>
          <w:szCs w:val="16"/>
          <w:rtl/>
        </w:rPr>
        <w:t>סק"</w:t>
      </w:r>
      <w:r w:rsidRPr="003E5491">
        <w:rPr>
          <w:rFonts w:asciiTheme="minorBidi" w:hAnsiTheme="minorBidi" w:cs="Arial"/>
          <w:sz w:val="16"/>
          <w:szCs w:val="16"/>
          <w:rtl/>
        </w:rPr>
        <w:t>א)</w:t>
      </w:r>
      <w:r w:rsidRPr="0086137C">
        <w:rPr>
          <w:rFonts w:asciiTheme="minorBidi" w:hAnsiTheme="minorBidi" w:cs="Arial" w:hint="cs"/>
          <w:rtl/>
        </w:rPr>
        <w:t xml:space="preserve">- </w:t>
      </w:r>
      <w:r>
        <w:rPr>
          <w:rFonts w:asciiTheme="minorBidi" w:hAnsiTheme="minorBidi" w:cs="Arial"/>
          <w:rtl/>
        </w:rPr>
        <w:t>בסי</w:t>
      </w:r>
      <w:r>
        <w:rPr>
          <w:rFonts w:asciiTheme="minorBidi" w:hAnsiTheme="minorBidi" w:cs="Arial" w:hint="cs"/>
          <w:rtl/>
        </w:rPr>
        <w:t>'</w:t>
      </w:r>
      <w:r>
        <w:rPr>
          <w:rFonts w:asciiTheme="minorBidi" w:hAnsiTheme="minorBidi" w:cs="Arial"/>
          <w:rtl/>
        </w:rPr>
        <w:t xml:space="preserve"> צה סע</w:t>
      </w:r>
      <w:r>
        <w:rPr>
          <w:rFonts w:asciiTheme="minorBidi" w:hAnsiTheme="minorBidi" w:cs="Arial" w:hint="cs"/>
          <w:rtl/>
        </w:rPr>
        <w:t>'</w:t>
      </w:r>
      <w:r>
        <w:rPr>
          <w:rFonts w:asciiTheme="minorBidi" w:hAnsiTheme="minorBidi" w:cs="Arial"/>
          <w:rtl/>
        </w:rPr>
        <w:t xml:space="preserve"> ג</w:t>
      </w:r>
      <w:r w:rsidRPr="0086137C">
        <w:rPr>
          <w:rFonts w:asciiTheme="minorBidi" w:hAnsiTheme="minorBidi" w:cs="Arial"/>
          <w:rtl/>
        </w:rPr>
        <w:t xml:space="preserve"> יתבאר דגם ע"י ערוי מכלי ראשון על ב' כלים אחד של חלב ואחד של בשר והם מלוכלכים יש איסור כמו בכלי ראשון ממש</w:t>
      </w:r>
      <w:r>
        <w:rPr>
          <w:rFonts w:asciiTheme="minorBidi" w:hAnsiTheme="minorBidi" w:cs="Arial" w:hint="cs"/>
          <w:rtl/>
        </w:rPr>
        <w:t>,</w:t>
      </w:r>
      <w:r w:rsidRPr="0086137C">
        <w:rPr>
          <w:rFonts w:asciiTheme="minorBidi" w:hAnsiTheme="minorBidi" w:cs="Arial"/>
          <w:rtl/>
        </w:rPr>
        <w:t xml:space="preserve"> ומ</w:t>
      </w:r>
      <w:r>
        <w:rPr>
          <w:rFonts w:asciiTheme="minorBidi" w:hAnsiTheme="minorBidi" w:cs="Arial" w:hint="cs"/>
          <w:rtl/>
        </w:rPr>
        <w:t>ש</w:t>
      </w:r>
      <w:r w:rsidRPr="0086137C">
        <w:rPr>
          <w:rFonts w:asciiTheme="minorBidi" w:hAnsiTheme="minorBidi" w:cs="Arial"/>
          <w:rtl/>
        </w:rPr>
        <w:t xml:space="preserve">"ה אם עירה נמי מכלי ראשון על כלי שהוא מלוכלך מבשר נחשב כאילו השתמש באותו כלי בכלי ראשון. </w:t>
      </w:r>
    </w:p>
    <w:p w14:paraId="6E1CE0A0" w14:textId="77777777" w:rsidR="002C39F4" w:rsidRPr="003E5491" w:rsidRDefault="002C39F4" w:rsidP="0032102C">
      <w:pPr>
        <w:pStyle w:val="a8"/>
        <w:numPr>
          <w:ilvl w:val="0"/>
          <w:numId w:val="123"/>
        </w:numPr>
        <w:rPr>
          <w:rFonts w:asciiTheme="minorBidi" w:hAnsiTheme="minorBidi"/>
          <w:rtl/>
        </w:rPr>
      </w:pPr>
      <w:r w:rsidRPr="0086137C">
        <w:rPr>
          <w:rFonts w:asciiTheme="minorBidi" w:hAnsiTheme="minorBidi" w:hint="cs"/>
          <w:rtl/>
        </w:rPr>
        <w:t xml:space="preserve">ש"ך </w:t>
      </w:r>
      <w:r w:rsidRPr="0086137C">
        <w:rPr>
          <w:rFonts w:asciiTheme="minorBidi" w:hAnsiTheme="minorBidi" w:hint="cs"/>
          <w:sz w:val="16"/>
          <w:szCs w:val="16"/>
          <w:rtl/>
        </w:rPr>
        <w:t>(נה"כ אות א)</w:t>
      </w:r>
      <w:r w:rsidRPr="0086137C">
        <w:rPr>
          <w:rFonts w:asciiTheme="minorBidi" w:hAnsiTheme="minorBidi" w:hint="cs"/>
          <w:rtl/>
        </w:rPr>
        <w:t xml:space="preserve">- אין דינם </w:t>
      </w:r>
      <w:r>
        <w:rPr>
          <w:rFonts w:asciiTheme="minorBidi" w:hAnsiTheme="minorBidi" w:hint="cs"/>
          <w:rtl/>
        </w:rPr>
        <w:t xml:space="preserve">שוה, </w:t>
      </w:r>
      <w:r w:rsidRPr="0086137C">
        <w:rPr>
          <w:rFonts w:asciiTheme="minorBidi" w:hAnsiTheme="minorBidi" w:hint="cs"/>
          <w:rtl/>
        </w:rPr>
        <w:t xml:space="preserve">דעירוי קיי"ל דאינו אוסר רק כדי קליפה וא"כ א"צ אח"כ </w:t>
      </w:r>
      <w:r>
        <w:rPr>
          <w:rFonts w:asciiTheme="minorBidi" w:hAnsiTheme="minorBidi" w:hint="cs"/>
          <w:rtl/>
        </w:rPr>
        <w:t>ס'</w:t>
      </w:r>
      <w:r w:rsidRPr="0086137C">
        <w:rPr>
          <w:rFonts w:asciiTheme="minorBidi" w:hAnsiTheme="minorBidi" w:hint="cs"/>
          <w:rtl/>
        </w:rPr>
        <w:t xml:space="preserve"> אלא כנגד הקליפה.</w:t>
      </w:r>
    </w:p>
    <w:p w14:paraId="64E24C2A" w14:textId="77777777" w:rsidR="002C39F4" w:rsidRPr="003024E5" w:rsidRDefault="002C39F4" w:rsidP="002C39F4">
      <w:pPr>
        <w:rPr>
          <w:rFonts w:asciiTheme="minorBidi" w:hAnsiTheme="minorBidi"/>
          <w:rtl/>
        </w:rPr>
      </w:pPr>
    </w:p>
    <w:p w14:paraId="5890D2C7"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תחב ב' פעמים את הכף החולבת לקדרה של בשר.</w:t>
      </w:r>
    </w:p>
    <w:p w14:paraId="46F30F3C" w14:textId="77777777" w:rsidR="002C39F4" w:rsidRPr="006C6AFD" w:rsidRDefault="002C39F4" w:rsidP="002C39F4">
      <w:pPr>
        <w:rPr>
          <w:rFonts w:cs="Arial"/>
          <w:u w:val="single"/>
          <w:rtl/>
        </w:rPr>
      </w:pPr>
      <w:r w:rsidRPr="006C6AFD">
        <w:rPr>
          <w:rFonts w:cs="Arial" w:hint="cs"/>
          <w:u w:val="single"/>
          <w:rtl/>
        </w:rPr>
        <w:t>תחב כף חולבת בקדרה</w:t>
      </w:r>
      <w:r>
        <w:rPr>
          <w:rFonts w:cs="Arial" w:hint="cs"/>
          <w:u w:val="single"/>
          <w:rtl/>
        </w:rPr>
        <w:t xml:space="preserve"> של בשר</w:t>
      </w:r>
      <w:r w:rsidRPr="006C6AFD">
        <w:rPr>
          <w:rFonts w:cs="Arial" w:hint="cs"/>
          <w:u w:val="single"/>
          <w:rtl/>
        </w:rPr>
        <w:t xml:space="preserve"> שני פעמים:</w:t>
      </w:r>
    </w:p>
    <w:p w14:paraId="759C3CB2" w14:textId="77777777" w:rsidR="002C39F4" w:rsidRDefault="002C39F4" w:rsidP="0032102C">
      <w:pPr>
        <w:pStyle w:val="a8"/>
        <w:numPr>
          <w:ilvl w:val="0"/>
          <w:numId w:val="123"/>
        </w:numPr>
        <w:rPr>
          <w:rFonts w:cs="Arial"/>
        </w:rPr>
      </w:pPr>
      <w:r w:rsidRPr="006C6AFD">
        <w:rPr>
          <w:rFonts w:cs="Arial"/>
          <w:rtl/>
        </w:rPr>
        <w:t xml:space="preserve">סמ"ק </w:t>
      </w:r>
      <w:r w:rsidRPr="006C6AFD">
        <w:rPr>
          <w:rFonts w:cs="Arial" w:hint="cs"/>
          <w:sz w:val="16"/>
          <w:szCs w:val="16"/>
          <w:rtl/>
        </w:rPr>
        <w:t>(</w:t>
      </w:r>
      <w:r w:rsidRPr="006C6AFD">
        <w:rPr>
          <w:rFonts w:cs="Arial"/>
          <w:sz w:val="16"/>
          <w:szCs w:val="16"/>
          <w:rtl/>
        </w:rPr>
        <w:t>סי</w:t>
      </w:r>
      <w:r w:rsidRPr="006C6AFD">
        <w:rPr>
          <w:rFonts w:cs="Arial" w:hint="cs"/>
          <w:sz w:val="16"/>
          <w:szCs w:val="16"/>
          <w:rtl/>
        </w:rPr>
        <w:t>'</w:t>
      </w:r>
      <w:r w:rsidRPr="006C6AFD">
        <w:rPr>
          <w:rFonts w:cs="Arial"/>
          <w:sz w:val="16"/>
          <w:szCs w:val="16"/>
          <w:rtl/>
        </w:rPr>
        <w:t xml:space="preserve"> ריג</w:t>
      </w:r>
      <w:r w:rsidRPr="006C6AFD">
        <w:rPr>
          <w:rFonts w:cs="Arial" w:hint="cs"/>
          <w:sz w:val="16"/>
          <w:szCs w:val="16"/>
          <w:rtl/>
        </w:rPr>
        <w:t xml:space="preserve">) </w:t>
      </w:r>
      <w:r w:rsidRPr="006C6AFD">
        <w:rPr>
          <w:rFonts w:cs="Arial" w:hint="cs"/>
          <w:rtl/>
        </w:rPr>
        <w:t xml:space="preserve">וטור- </w:t>
      </w:r>
      <w:r w:rsidRPr="006C6AFD">
        <w:rPr>
          <w:rFonts w:cs="Arial"/>
          <w:rtl/>
        </w:rPr>
        <w:t>אם תחב הכף בקדרה ב' פעמים ולא נודע בנתיים</w:t>
      </w:r>
      <w:r>
        <w:rPr>
          <w:rStyle w:val="a7"/>
          <w:rFonts w:cs="Arial"/>
          <w:rtl/>
        </w:rPr>
        <w:footnoteReference w:id="1536"/>
      </w:r>
      <w:r w:rsidRPr="006C6AFD">
        <w:rPr>
          <w:rFonts w:cs="Arial"/>
          <w:rtl/>
        </w:rPr>
        <w:t xml:space="preserve"> צריך ב' פעמים </w:t>
      </w:r>
      <w:r w:rsidRPr="006C6AFD">
        <w:rPr>
          <w:rFonts w:cs="Arial" w:hint="cs"/>
          <w:rtl/>
        </w:rPr>
        <w:t>ששים</w:t>
      </w:r>
      <w:r>
        <w:rPr>
          <w:rFonts w:cs="Arial" w:hint="cs"/>
          <w:sz w:val="16"/>
          <w:szCs w:val="16"/>
          <w:rtl/>
        </w:rPr>
        <w:t xml:space="preserve"> (ל' הטור)</w:t>
      </w:r>
      <w:r w:rsidRPr="006C6AFD">
        <w:rPr>
          <w:rFonts w:cs="Arial" w:hint="cs"/>
          <w:rtl/>
        </w:rPr>
        <w:t>.</w:t>
      </w:r>
      <w:r w:rsidRPr="006C6AFD">
        <w:rPr>
          <w:rFonts w:cs="Arial"/>
          <w:rtl/>
        </w:rPr>
        <w:t xml:space="preserve"> </w:t>
      </w:r>
      <w:r w:rsidRPr="00825398">
        <w:rPr>
          <w:rFonts w:cs="Arial" w:hint="cs"/>
          <w:color w:val="E36C0A" w:themeColor="accent6" w:themeShade="BF"/>
          <w:rtl/>
        </w:rPr>
        <w:t>(וכ"פ בשו"ע)</w:t>
      </w:r>
      <w:r>
        <w:rPr>
          <w:rFonts w:cs="Arial" w:hint="cs"/>
          <w:rtl/>
        </w:rPr>
        <w:t xml:space="preserve"> (וכ"פ רש"ל)</w:t>
      </w:r>
    </w:p>
    <w:p w14:paraId="05D178F2" w14:textId="77777777" w:rsidR="002C39F4" w:rsidRPr="00825398" w:rsidRDefault="002C39F4" w:rsidP="0032102C">
      <w:pPr>
        <w:pStyle w:val="a8"/>
        <w:numPr>
          <w:ilvl w:val="0"/>
          <w:numId w:val="123"/>
        </w:numPr>
        <w:rPr>
          <w:rFonts w:cs="Arial"/>
          <w:rtl/>
        </w:rPr>
      </w:pPr>
      <w:r w:rsidRPr="00825398">
        <w:rPr>
          <w:rFonts w:asciiTheme="minorBidi" w:hAnsiTheme="minorBidi"/>
          <w:rtl/>
        </w:rPr>
        <w:t>תר</w:t>
      </w:r>
      <w:r w:rsidRPr="00825398">
        <w:rPr>
          <w:rFonts w:asciiTheme="minorBidi" w:hAnsiTheme="minorBidi" w:hint="cs"/>
          <w:rtl/>
        </w:rPr>
        <w:t>ו</w:t>
      </w:r>
      <w:r w:rsidRPr="00825398">
        <w:rPr>
          <w:rFonts w:asciiTheme="minorBidi" w:hAnsiTheme="minorBidi"/>
          <w:rtl/>
        </w:rPr>
        <w:t>ה</w:t>
      </w:r>
      <w:r w:rsidRPr="00825398">
        <w:rPr>
          <w:rFonts w:asciiTheme="minorBidi" w:hAnsiTheme="minorBidi" w:hint="cs"/>
          <w:rtl/>
        </w:rPr>
        <w:t>"</w:t>
      </w:r>
      <w:r w:rsidRPr="00825398">
        <w:rPr>
          <w:rFonts w:asciiTheme="minorBidi" w:hAnsiTheme="minorBidi"/>
          <w:rtl/>
        </w:rPr>
        <w:t xml:space="preserve">ד </w:t>
      </w:r>
      <w:r>
        <w:rPr>
          <w:rFonts w:asciiTheme="minorBidi" w:hAnsiTheme="minorBidi" w:hint="cs"/>
          <w:rtl/>
        </w:rPr>
        <w:t xml:space="preserve">מהרי"ל </w:t>
      </w:r>
      <w:r w:rsidRPr="00825398">
        <w:rPr>
          <w:rFonts w:asciiTheme="minorBidi" w:hAnsiTheme="minorBidi"/>
          <w:rtl/>
        </w:rPr>
        <w:t>ו</w:t>
      </w:r>
      <w:r>
        <w:rPr>
          <w:rFonts w:asciiTheme="minorBidi" w:hAnsiTheme="minorBidi" w:hint="cs"/>
          <w:rtl/>
        </w:rPr>
        <w:t>או</w:t>
      </w:r>
      <w:r>
        <w:rPr>
          <w:rFonts w:asciiTheme="minorBidi" w:hAnsiTheme="minorBidi"/>
          <w:rtl/>
        </w:rPr>
        <w:t>"</w:t>
      </w:r>
      <w:r>
        <w:rPr>
          <w:rFonts w:asciiTheme="minorBidi" w:hAnsiTheme="minorBidi" w:hint="cs"/>
          <w:rtl/>
        </w:rPr>
        <w:t>ה</w:t>
      </w:r>
      <w:r>
        <w:rPr>
          <w:rStyle w:val="a7"/>
          <w:rFonts w:asciiTheme="minorBidi" w:hAnsiTheme="minorBidi"/>
          <w:rtl/>
        </w:rPr>
        <w:footnoteReference w:id="1537"/>
      </w:r>
      <w:r w:rsidRPr="00825398">
        <w:rPr>
          <w:rFonts w:asciiTheme="minorBidi" w:hAnsiTheme="minorBidi" w:hint="cs"/>
          <w:rtl/>
        </w:rPr>
        <w:t xml:space="preserve">- </w:t>
      </w:r>
      <w:r>
        <w:rPr>
          <w:rFonts w:cs="Arial" w:hint="cs"/>
          <w:rtl/>
        </w:rPr>
        <w:t xml:space="preserve">אין </w:t>
      </w:r>
      <w:r w:rsidRPr="00825398">
        <w:rPr>
          <w:rFonts w:cs="Arial"/>
          <w:rtl/>
        </w:rPr>
        <w:t>צריך שני פעמים</w:t>
      </w:r>
      <w:r>
        <w:rPr>
          <w:rFonts w:cs="Arial" w:hint="cs"/>
          <w:rtl/>
        </w:rPr>
        <w:t xml:space="preserve"> ששים,</w:t>
      </w:r>
      <w:r w:rsidRPr="00825398">
        <w:rPr>
          <w:rFonts w:cs="Arial"/>
          <w:rtl/>
        </w:rPr>
        <w:t xml:space="preserve"> </w:t>
      </w:r>
      <w:r>
        <w:rPr>
          <w:rFonts w:cs="Arial"/>
          <w:rtl/>
        </w:rPr>
        <w:t>דאין איסור בלוע אוסר היתר בלוע</w:t>
      </w:r>
      <w:r>
        <w:rPr>
          <w:rFonts w:cs="Arial" w:hint="cs"/>
          <w:rtl/>
        </w:rPr>
        <w:t xml:space="preserve"> </w:t>
      </w:r>
      <w:r>
        <w:rPr>
          <w:rFonts w:cs="Arial" w:hint="cs"/>
          <w:sz w:val="16"/>
          <w:szCs w:val="16"/>
          <w:rtl/>
        </w:rPr>
        <w:t>(ל' מהרא"י</w:t>
      </w:r>
      <w:r>
        <w:rPr>
          <w:rStyle w:val="a7"/>
          <w:rFonts w:cs="Arial"/>
          <w:sz w:val="16"/>
          <w:szCs w:val="16"/>
          <w:rtl/>
        </w:rPr>
        <w:footnoteReference w:id="1538"/>
      </w:r>
      <w:r>
        <w:rPr>
          <w:rFonts w:cs="Arial" w:hint="cs"/>
          <w:sz w:val="16"/>
          <w:szCs w:val="16"/>
          <w:rtl/>
        </w:rPr>
        <w:t xml:space="preserve"> בהגשע"ד)</w:t>
      </w:r>
      <w:r w:rsidRPr="00825398">
        <w:rPr>
          <w:rFonts w:cs="Arial"/>
          <w:rtl/>
        </w:rPr>
        <w:t>.</w:t>
      </w:r>
      <w:r w:rsidRPr="00825398">
        <w:rPr>
          <w:rFonts w:cs="Arial"/>
          <w:color w:val="00B0F0"/>
          <w:rtl/>
        </w:rPr>
        <w:t xml:space="preserve"> </w:t>
      </w:r>
      <w:r w:rsidRPr="00825398">
        <w:rPr>
          <w:rFonts w:cs="Arial" w:hint="cs"/>
          <w:color w:val="00B0F0"/>
          <w:rtl/>
        </w:rPr>
        <w:t>(וכ"פ הרמ"א)</w:t>
      </w:r>
      <w:r>
        <w:rPr>
          <w:rFonts w:cs="Arial" w:hint="cs"/>
          <w:rtl/>
        </w:rPr>
        <w:t xml:space="preserve"> (וכ"פ הט"ז)</w:t>
      </w:r>
    </w:p>
    <w:p w14:paraId="50198E3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F70C311" w14:textId="77777777" w:rsidR="002C39F4" w:rsidRDefault="002C39F4" w:rsidP="002C39F4">
      <w:pPr>
        <w:rPr>
          <w:rFonts w:asciiTheme="minorBidi" w:hAnsiTheme="minorBidi"/>
          <w:rtl/>
        </w:rPr>
      </w:pPr>
      <w:r>
        <w:rPr>
          <w:rFonts w:asciiTheme="minorBidi" w:hAnsiTheme="minorBidi"/>
          <w:rtl/>
        </w:rPr>
        <w:t>אם תחב הכף בקדירה שני פעמים</w:t>
      </w:r>
      <w:r w:rsidRPr="003024E5">
        <w:rPr>
          <w:rFonts w:asciiTheme="minorBidi" w:hAnsiTheme="minorBidi"/>
          <w:rtl/>
        </w:rPr>
        <w:t xml:space="preserve"> ולא נודע</w:t>
      </w:r>
      <w:r>
        <w:rPr>
          <w:rFonts w:asciiTheme="minorBidi" w:hAnsiTheme="minorBidi"/>
          <w:rtl/>
        </w:rPr>
        <w:t xml:space="preserve"> בנתיים</w:t>
      </w:r>
      <w:r>
        <w:rPr>
          <w:rStyle w:val="a7"/>
          <w:rFonts w:asciiTheme="minorBidi" w:hAnsiTheme="minorBidi"/>
          <w:rtl/>
        </w:rPr>
        <w:footnoteReference w:id="1539"/>
      </w:r>
      <w:r>
        <w:rPr>
          <w:rFonts w:asciiTheme="minorBidi" w:hAnsiTheme="minorBidi"/>
          <w:rtl/>
        </w:rPr>
        <w:t xml:space="preserve"> צריך </w:t>
      </w:r>
      <w:r>
        <w:rPr>
          <w:rFonts w:asciiTheme="minorBidi" w:hAnsiTheme="minorBidi" w:hint="cs"/>
          <w:rtl/>
        </w:rPr>
        <w:t>שני</w:t>
      </w:r>
      <w:r>
        <w:rPr>
          <w:rFonts w:asciiTheme="minorBidi" w:hAnsiTheme="minorBidi"/>
          <w:rtl/>
        </w:rPr>
        <w:t xml:space="preserve"> פעמים ששים</w:t>
      </w:r>
      <w:r>
        <w:rPr>
          <w:rStyle w:val="a7"/>
          <w:rFonts w:asciiTheme="minorBidi" w:hAnsiTheme="minorBidi"/>
          <w:rtl/>
        </w:rPr>
        <w:footnoteReference w:id="1540"/>
      </w:r>
      <w:r>
        <w:rPr>
          <w:rFonts w:asciiTheme="minorBidi" w:hAnsiTheme="minorBidi"/>
          <w:rtl/>
        </w:rPr>
        <w:t xml:space="preserve">. </w:t>
      </w:r>
      <w:r w:rsidRPr="006C6AFD">
        <w:rPr>
          <w:rFonts w:asciiTheme="minorBidi" w:hAnsiTheme="minorBidi" w:hint="cs"/>
          <w:sz w:val="18"/>
          <w:szCs w:val="18"/>
          <w:rtl/>
        </w:rPr>
        <w:t xml:space="preserve">[הגה] </w:t>
      </w:r>
      <w:r w:rsidRPr="006C6AFD">
        <w:rPr>
          <w:rFonts w:asciiTheme="minorBidi" w:hAnsiTheme="minorBidi"/>
          <w:sz w:val="18"/>
          <w:szCs w:val="18"/>
          <w:rtl/>
        </w:rPr>
        <w:t>ויש אומרים דסגי בפעם א' ששים</w:t>
      </w:r>
      <w:r>
        <w:rPr>
          <w:rStyle w:val="a7"/>
          <w:rFonts w:asciiTheme="minorBidi" w:hAnsiTheme="minorBidi"/>
          <w:sz w:val="18"/>
          <w:szCs w:val="18"/>
          <w:rtl/>
        </w:rPr>
        <w:footnoteReference w:id="1541"/>
      </w:r>
      <w:r w:rsidRPr="006C6AFD">
        <w:rPr>
          <w:rFonts w:asciiTheme="minorBidi" w:hAnsiTheme="minorBidi"/>
          <w:sz w:val="18"/>
          <w:szCs w:val="18"/>
          <w:rtl/>
        </w:rPr>
        <w:t>, וכן נוהגים (</w:t>
      </w:r>
      <w:r w:rsidRPr="00825398">
        <w:rPr>
          <w:rFonts w:asciiTheme="minorBidi" w:hAnsiTheme="minorBidi"/>
          <w:sz w:val="18"/>
          <w:szCs w:val="18"/>
          <w:rtl/>
        </w:rPr>
        <w:t>תר</w:t>
      </w:r>
      <w:r w:rsidRPr="00825398">
        <w:rPr>
          <w:rFonts w:asciiTheme="minorBidi" w:hAnsiTheme="minorBidi" w:hint="cs"/>
          <w:sz w:val="18"/>
          <w:szCs w:val="18"/>
          <w:rtl/>
        </w:rPr>
        <w:t>ו</w:t>
      </w:r>
      <w:r w:rsidRPr="00825398">
        <w:rPr>
          <w:rFonts w:asciiTheme="minorBidi" w:hAnsiTheme="minorBidi"/>
          <w:sz w:val="18"/>
          <w:szCs w:val="18"/>
          <w:rtl/>
        </w:rPr>
        <w:t>ה</w:t>
      </w:r>
      <w:r w:rsidRPr="00825398">
        <w:rPr>
          <w:rFonts w:asciiTheme="minorBidi" w:hAnsiTheme="minorBidi" w:hint="cs"/>
          <w:sz w:val="18"/>
          <w:szCs w:val="18"/>
          <w:rtl/>
        </w:rPr>
        <w:t>"</w:t>
      </w:r>
      <w:r w:rsidRPr="00825398">
        <w:rPr>
          <w:rFonts w:asciiTheme="minorBidi" w:hAnsiTheme="minorBidi"/>
          <w:sz w:val="18"/>
          <w:szCs w:val="18"/>
          <w:rtl/>
        </w:rPr>
        <w:t>ד והגשע</w:t>
      </w:r>
      <w:r w:rsidRPr="00825398">
        <w:rPr>
          <w:rFonts w:asciiTheme="minorBidi" w:hAnsiTheme="minorBidi" w:hint="cs"/>
          <w:sz w:val="18"/>
          <w:szCs w:val="18"/>
          <w:rtl/>
        </w:rPr>
        <w:t>"</w:t>
      </w:r>
      <w:r w:rsidRPr="00825398">
        <w:rPr>
          <w:rFonts w:asciiTheme="minorBidi" w:hAnsiTheme="minorBidi"/>
          <w:sz w:val="18"/>
          <w:szCs w:val="18"/>
          <w:rtl/>
        </w:rPr>
        <w:t>ד וארוך</w:t>
      </w:r>
      <w:r w:rsidRPr="006C6AFD">
        <w:rPr>
          <w:rFonts w:asciiTheme="minorBidi" w:hAnsiTheme="minorBidi"/>
          <w:sz w:val="18"/>
          <w:szCs w:val="18"/>
          <w:rtl/>
        </w:rPr>
        <w:t>).</w:t>
      </w:r>
      <w:r w:rsidRPr="003024E5">
        <w:rPr>
          <w:rFonts w:asciiTheme="minorBidi" w:hAnsiTheme="minorBidi"/>
          <w:rtl/>
        </w:rPr>
        <w:t xml:space="preserve"> </w:t>
      </w:r>
    </w:p>
    <w:p w14:paraId="23F85824" w14:textId="77777777" w:rsidR="002C39F4" w:rsidRPr="003024E5" w:rsidRDefault="002C39F4" w:rsidP="002C39F4">
      <w:pPr>
        <w:rPr>
          <w:rFonts w:asciiTheme="minorBidi" w:hAnsiTheme="minorBidi"/>
          <w:rtl/>
        </w:rPr>
      </w:pPr>
    </w:p>
    <w:p w14:paraId="095A2563"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התוחב כף חולבת בקדרה של בשר - דין הכף הקדרה והתבשיל.</w:t>
      </w:r>
    </w:p>
    <w:p w14:paraId="6259054E" w14:textId="77777777" w:rsidR="002C39F4" w:rsidRPr="000A7C6A" w:rsidRDefault="002C39F4" w:rsidP="002C39F4">
      <w:pPr>
        <w:rPr>
          <w:u w:val="single"/>
          <w:rtl/>
        </w:rPr>
      </w:pPr>
      <w:r w:rsidRPr="000A7C6A">
        <w:rPr>
          <w:rFonts w:hint="cs"/>
          <w:u w:val="single"/>
          <w:rtl/>
        </w:rPr>
        <w:t>התוחב כף חולבת בקדרה של בשר:</w:t>
      </w:r>
    </w:p>
    <w:p w14:paraId="0C2D5FF9" w14:textId="77777777" w:rsidR="002C39F4" w:rsidRPr="000A7C6A" w:rsidRDefault="002C39F4" w:rsidP="0032102C">
      <w:pPr>
        <w:pStyle w:val="a8"/>
        <w:numPr>
          <w:ilvl w:val="0"/>
          <w:numId w:val="126"/>
        </w:numPr>
        <w:rPr>
          <w:rtl/>
        </w:rPr>
      </w:pPr>
      <w:r w:rsidRPr="000A7C6A">
        <w:rPr>
          <w:rFonts w:cs="Arial" w:hint="cs"/>
          <w:rtl/>
        </w:rPr>
        <w:t xml:space="preserve">סמ"ק </w:t>
      </w:r>
      <w:r w:rsidRPr="000A7C6A">
        <w:rPr>
          <w:rFonts w:cs="Arial" w:hint="cs"/>
          <w:sz w:val="16"/>
          <w:szCs w:val="16"/>
          <w:rtl/>
        </w:rPr>
        <w:t xml:space="preserve">(סי' ריג) </w:t>
      </w:r>
      <w:r w:rsidRPr="000A7C6A">
        <w:rPr>
          <w:rFonts w:cs="Arial" w:hint="cs"/>
          <w:rtl/>
        </w:rPr>
        <w:t xml:space="preserve">וטור- </w:t>
      </w:r>
      <w:r w:rsidRPr="000A7C6A">
        <w:rPr>
          <w:rFonts w:cs="Arial"/>
          <w:rtl/>
        </w:rPr>
        <w:t>אם יש ס' לבטל הכף</w:t>
      </w:r>
      <w:r>
        <w:rPr>
          <w:rFonts w:cs="Arial" w:hint="cs"/>
          <w:rtl/>
        </w:rPr>
        <w:t xml:space="preserve">, </w:t>
      </w:r>
      <w:r w:rsidRPr="000A7C6A">
        <w:rPr>
          <w:rFonts w:cs="Arial"/>
          <w:rtl/>
        </w:rPr>
        <w:t>הקדרה והתבשיל מותרים</w:t>
      </w:r>
      <w:r>
        <w:rPr>
          <w:rFonts w:cs="Arial" w:hint="cs"/>
          <w:rtl/>
        </w:rPr>
        <w:t>,</w:t>
      </w:r>
      <w:r w:rsidRPr="000A7C6A">
        <w:rPr>
          <w:rFonts w:cs="Arial"/>
          <w:rtl/>
        </w:rPr>
        <w:t xml:space="preserve"> אבל הכף אסור</w:t>
      </w:r>
      <w:r>
        <w:rPr>
          <w:rStyle w:val="a7"/>
          <w:rFonts w:asciiTheme="minorBidi" w:hAnsiTheme="minorBidi"/>
          <w:rtl/>
        </w:rPr>
        <w:footnoteReference w:id="1542"/>
      </w:r>
      <w:r w:rsidRPr="000A7C6A">
        <w:rPr>
          <w:rFonts w:cs="Arial"/>
          <w:rtl/>
        </w:rPr>
        <w:t xml:space="preserve"> בין עם בשר בין עם חלב לפי שהיא בלועה מבשר בחלב</w:t>
      </w:r>
      <w:r>
        <w:rPr>
          <w:rFonts w:cs="Arial" w:hint="cs"/>
          <w:rtl/>
        </w:rPr>
        <w:t>,</w:t>
      </w:r>
      <w:r w:rsidRPr="000A7C6A">
        <w:rPr>
          <w:rFonts w:cs="Arial"/>
          <w:rtl/>
        </w:rPr>
        <w:t xml:space="preserve"> ואפילו בדיעבד אוסרת אם חזרו ותחבוה בין בבשר בין בחלב כל זמן שהיא בת יומא</w:t>
      </w:r>
      <w:r>
        <w:rPr>
          <w:rFonts w:cs="Arial" w:hint="cs"/>
          <w:rtl/>
        </w:rPr>
        <w:t>,</w:t>
      </w:r>
      <w:r w:rsidRPr="000A7C6A">
        <w:rPr>
          <w:rFonts w:cs="Arial"/>
          <w:rtl/>
        </w:rPr>
        <w:t xml:space="preserve"> ואם אין לו ששים הכל אסור בהנאה אפילו הקדרה</w:t>
      </w:r>
      <w:r>
        <w:rPr>
          <w:rFonts w:cs="Arial" w:hint="cs"/>
          <w:rtl/>
        </w:rPr>
        <w:t>,</w:t>
      </w:r>
      <w:r w:rsidRPr="000A7C6A">
        <w:rPr>
          <w:rFonts w:cs="Arial"/>
          <w:rtl/>
        </w:rPr>
        <w:t xml:space="preserve"> אך מותר לתת לתוכה פירות או צונן כיון שאינו נהנה מגוף האיסור</w:t>
      </w:r>
      <w:r>
        <w:rPr>
          <w:rStyle w:val="a7"/>
          <w:rFonts w:asciiTheme="minorBidi" w:hAnsiTheme="minorBidi"/>
          <w:rtl/>
        </w:rPr>
        <w:footnoteReference w:id="1543"/>
      </w:r>
      <w:r>
        <w:rPr>
          <w:rFonts w:cs="Arial" w:hint="cs"/>
          <w:sz w:val="16"/>
          <w:szCs w:val="16"/>
          <w:rtl/>
        </w:rPr>
        <w:t xml:space="preserve"> (ל' הטור)</w:t>
      </w:r>
      <w:r>
        <w:rPr>
          <w:rFonts w:hint="cs"/>
          <w:rtl/>
        </w:rPr>
        <w:t>.</w:t>
      </w:r>
      <w:r w:rsidRPr="00152A24">
        <w:rPr>
          <w:rFonts w:cs="Arial"/>
          <w:color w:val="E36C0A" w:themeColor="accent6" w:themeShade="BF"/>
          <w:rtl/>
        </w:rPr>
        <w:t xml:space="preserve"> </w:t>
      </w:r>
      <w:r w:rsidRPr="00152A24">
        <w:rPr>
          <w:rFonts w:hint="cs"/>
          <w:color w:val="E36C0A" w:themeColor="accent6" w:themeShade="BF"/>
          <w:rtl/>
        </w:rPr>
        <w:t>(וכ"פ בשו"ע)</w:t>
      </w:r>
    </w:p>
    <w:p w14:paraId="43C796BE" w14:textId="77777777" w:rsidR="002C39F4" w:rsidRPr="006E1072" w:rsidRDefault="002C39F4" w:rsidP="002C39F4">
      <w:pPr>
        <w:rPr>
          <w:sz w:val="16"/>
          <w:szCs w:val="16"/>
        </w:rPr>
      </w:pPr>
      <w:r>
        <w:rPr>
          <w:rFonts w:cs="Arial" w:hint="cs"/>
          <w:u w:val="single"/>
          <w:rtl/>
        </w:rPr>
        <w:t>קדרה שבשלו בה בשר בחלב ובישל בה דבר היתר:</w:t>
      </w:r>
      <w:r>
        <w:rPr>
          <w:rFonts w:cs="Arial" w:hint="cs"/>
          <w:sz w:val="16"/>
          <w:szCs w:val="16"/>
          <w:rtl/>
        </w:rPr>
        <w:t xml:space="preserve">  (ב"י דרכ"מ [אות ג] וש"ך [סקי"א])</w:t>
      </w:r>
    </w:p>
    <w:p w14:paraId="5AEED535" w14:textId="77777777" w:rsidR="002C39F4" w:rsidRDefault="002C39F4" w:rsidP="0032102C">
      <w:pPr>
        <w:pStyle w:val="a8"/>
        <w:numPr>
          <w:ilvl w:val="0"/>
          <w:numId w:val="125"/>
        </w:numPr>
      </w:pPr>
      <w:r>
        <w:rPr>
          <w:rFonts w:cs="Arial" w:hint="cs"/>
          <w:rtl/>
        </w:rPr>
        <w:t xml:space="preserve">הג"א </w:t>
      </w:r>
      <w:r w:rsidRPr="00152A24">
        <w:rPr>
          <w:rFonts w:cs="Arial" w:hint="cs"/>
          <w:sz w:val="16"/>
          <w:szCs w:val="16"/>
          <w:rtl/>
        </w:rPr>
        <w:t>(</w:t>
      </w:r>
      <w:r w:rsidRPr="00152A24">
        <w:rPr>
          <w:rFonts w:cs="Arial"/>
          <w:sz w:val="16"/>
          <w:szCs w:val="16"/>
          <w:rtl/>
        </w:rPr>
        <w:t xml:space="preserve">ע"ז </w:t>
      </w:r>
      <w:r>
        <w:rPr>
          <w:rFonts w:cs="Arial" w:hint="cs"/>
          <w:sz w:val="16"/>
          <w:szCs w:val="16"/>
          <w:rtl/>
        </w:rPr>
        <w:t xml:space="preserve">פ"ה </w:t>
      </w:r>
      <w:r w:rsidRPr="00152A24">
        <w:rPr>
          <w:rFonts w:cs="Arial"/>
          <w:sz w:val="16"/>
          <w:szCs w:val="16"/>
          <w:rtl/>
        </w:rPr>
        <w:t>סי' ל)</w:t>
      </w:r>
      <w:r w:rsidRPr="006E1072">
        <w:rPr>
          <w:rFonts w:cs="Arial"/>
          <w:rtl/>
        </w:rPr>
        <w:t xml:space="preserve"> </w:t>
      </w:r>
      <w:r>
        <w:rPr>
          <w:rFonts w:cs="Arial"/>
          <w:rtl/>
        </w:rPr>
        <w:t xml:space="preserve">ומהרא"י </w:t>
      </w:r>
      <w:r w:rsidRPr="003A1269">
        <w:rPr>
          <w:rFonts w:cs="Arial"/>
          <w:sz w:val="16"/>
          <w:szCs w:val="16"/>
          <w:rtl/>
        </w:rPr>
        <w:t xml:space="preserve">(שער כח) </w:t>
      </w:r>
      <w:r>
        <w:rPr>
          <w:rFonts w:cs="Arial"/>
          <w:rtl/>
        </w:rPr>
        <w:t>בשם או</w:t>
      </w:r>
      <w:r>
        <w:rPr>
          <w:rFonts w:cs="Arial" w:hint="cs"/>
          <w:rtl/>
        </w:rPr>
        <w:t>"</w:t>
      </w:r>
      <w:r>
        <w:rPr>
          <w:rFonts w:cs="Arial"/>
          <w:rtl/>
        </w:rPr>
        <w:t>ז</w:t>
      </w:r>
      <w:r w:rsidRPr="003A1269">
        <w:rPr>
          <w:rFonts w:cs="Arial"/>
          <w:rtl/>
        </w:rPr>
        <w:t xml:space="preserve"> </w:t>
      </w:r>
      <w:r w:rsidRPr="003A1269">
        <w:rPr>
          <w:rFonts w:cs="Arial"/>
          <w:sz w:val="16"/>
          <w:szCs w:val="16"/>
          <w:rtl/>
        </w:rPr>
        <w:t>(ע"ז סי' רפו)</w:t>
      </w:r>
      <w:r>
        <w:rPr>
          <w:rFonts w:cs="Arial" w:hint="cs"/>
          <w:rtl/>
        </w:rPr>
        <w:t>-</w:t>
      </w:r>
      <w:r w:rsidRPr="00152A24">
        <w:rPr>
          <w:rFonts w:cs="Arial"/>
          <w:rtl/>
        </w:rPr>
        <w:t xml:space="preserve"> קדרה שבשלו בה בשר בחלב אם שוב ב</w:t>
      </w:r>
      <w:r>
        <w:rPr>
          <w:rFonts w:cs="Arial"/>
          <w:rtl/>
        </w:rPr>
        <w:t>שלו בה היתר אסור באכילה א</w:t>
      </w:r>
      <w:r>
        <w:rPr>
          <w:rFonts w:cs="Arial" w:hint="cs"/>
          <w:rtl/>
        </w:rPr>
        <w:t>ע"</w:t>
      </w:r>
      <w:r>
        <w:rPr>
          <w:rFonts w:cs="Arial"/>
          <w:rtl/>
        </w:rPr>
        <w:t>פ</w:t>
      </w:r>
      <w:r w:rsidRPr="00152A24">
        <w:rPr>
          <w:rFonts w:cs="Arial"/>
          <w:rtl/>
        </w:rPr>
        <w:t xml:space="preserve"> שאינה בת יומא</w:t>
      </w:r>
      <w:r>
        <w:rPr>
          <w:rFonts w:cs="Arial" w:hint="cs"/>
          <w:rtl/>
        </w:rPr>
        <w:t>,</w:t>
      </w:r>
      <w:r w:rsidRPr="00152A24">
        <w:rPr>
          <w:rFonts w:cs="Arial"/>
          <w:rtl/>
        </w:rPr>
        <w:t xml:space="preserve"> דבאיסורי הנאה אין לחלק בין בת יומא לשאינה בת יומא</w:t>
      </w:r>
      <w:r>
        <w:rPr>
          <w:rFonts w:cs="Arial" w:hint="cs"/>
          <w:rtl/>
        </w:rPr>
        <w:t>,</w:t>
      </w:r>
      <w:r w:rsidRPr="00152A24">
        <w:rPr>
          <w:rFonts w:cs="Arial"/>
          <w:rtl/>
        </w:rPr>
        <w:t xml:space="preserve"> ואם בת יומא היא כל המאכל אסור ולית ליה תקנתא</w:t>
      </w:r>
      <w:r>
        <w:rPr>
          <w:rFonts w:cs="Arial" w:hint="cs"/>
          <w:rtl/>
        </w:rPr>
        <w:t>,</w:t>
      </w:r>
      <w:r w:rsidRPr="00152A24">
        <w:rPr>
          <w:rFonts w:cs="Arial"/>
          <w:rtl/>
        </w:rPr>
        <w:t xml:space="preserve"> ואם אינה בת יומא ישליך דמי הקדרה לנהר והאוכל מותר</w:t>
      </w:r>
      <w:r>
        <w:rPr>
          <w:rFonts w:cs="Arial" w:hint="cs"/>
          <w:rtl/>
        </w:rPr>
        <w:t>.</w:t>
      </w:r>
    </w:p>
    <w:p w14:paraId="17763875" w14:textId="77777777" w:rsidR="002C39F4" w:rsidRPr="00E866AE" w:rsidRDefault="002C39F4" w:rsidP="0032102C">
      <w:pPr>
        <w:pStyle w:val="a8"/>
        <w:numPr>
          <w:ilvl w:val="0"/>
          <w:numId w:val="125"/>
        </w:numPr>
        <w:rPr>
          <w:rtl/>
        </w:rPr>
      </w:pPr>
      <w:r>
        <w:rPr>
          <w:rFonts w:cs="Arial" w:hint="cs"/>
          <w:rtl/>
        </w:rPr>
        <w:t>או"ה</w:t>
      </w:r>
      <w:r w:rsidRPr="0066674B">
        <w:rPr>
          <w:rFonts w:cs="Arial"/>
          <w:rtl/>
        </w:rPr>
        <w:t xml:space="preserve"> </w:t>
      </w:r>
      <w:r w:rsidRPr="0066674B">
        <w:rPr>
          <w:rFonts w:cs="Arial" w:hint="cs"/>
          <w:sz w:val="16"/>
          <w:szCs w:val="16"/>
          <w:rtl/>
        </w:rPr>
        <w:t>(</w:t>
      </w:r>
      <w:r w:rsidRPr="0066674B">
        <w:rPr>
          <w:rFonts w:cs="Arial"/>
          <w:sz w:val="16"/>
          <w:szCs w:val="16"/>
          <w:rtl/>
        </w:rPr>
        <w:t>כלל כא ד</w:t>
      </w:r>
      <w:r w:rsidRPr="0066674B">
        <w:rPr>
          <w:rFonts w:cs="Arial" w:hint="cs"/>
          <w:sz w:val="16"/>
          <w:szCs w:val="16"/>
          <w:rtl/>
        </w:rPr>
        <w:t>"</w:t>
      </w:r>
      <w:r w:rsidRPr="0066674B">
        <w:rPr>
          <w:rFonts w:cs="Arial"/>
          <w:sz w:val="16"/>
          <w:szCs w:val="16"/>
          <w:rtl/>
        </w:rPr>
        <w:t>ח</w:t>
      </w:r>
      <w:r w:rsidRPr="0066674B">
        <w:rPr>
          <w:rFonts w:cs="Arial" w:hint="cs"/>
          <w:sz w:val="16"/>
          <w:szCs w:val="16"/>
          <w:rtl/>
        </w:rPr>
        <w:t>)</w:t>
      </w:r>
      <w:r>
        <w:rPr>
          <w:rFonts w:cs="Arial" w:hint="cs"/>
          <w:rtl/>
        </w:rPr>
        <w:t xml:space="preserve">- </w:t>
      </w:r>
      <w:r w:rsidRPr="0066674B">
        <w:rPr>
          <w:rFonts w:cs="Arial"/>
          <w:rtl/>
        </w:rPr>
        <w:t>אם חזר ובישל בקדירה שנאסר</w:t>
      </w:r>
      <w:r>
        <w:rPr>
          <w:rFonts w:cs="Arial" w:hint="cs"/>
          <w:rtl/>
        </w:rPr>
        <w:t>ה</w:t>
      </w:r>
      <w:r w:rsidRPr="0066674B">
        <w:rPr>
          <w:rFonts w:cs="Arial"/>
          <w:rtl/>
        </w:rPr>
        <w:t xml:space="preserve"> מבשר וחלב והיא אינה ב"י א</w:t>
      </w:r>
      <w:r>
        <w:rPr>
          <w:rFonts w:cs="Arial" w:hint="cs"/>
          <w:rtl/>
        </w:rPr>
        <w:t>"</w:t>
      </w:r>
      <w:r w:rsidRPr="0066674B">
        <w:rPr>
          <w:rFonts w:cs="Arial"/>
          <w:rtl/>
        </w:rPr>
        <w:t>צ לזרוק דמי הנאת הבישול לנהר אע</w:t>
      </w:r>
      <w:r>
        <w:rPr>
          <w:rFonts w:cs="Arial" w:hint="cs"/>
          <w:rtl/>
        </w:rPr>
        <w:t>"</w:t>
      </w:r>
      <w:r w:rsidRPr="0066674B">
        <w:rPr>
          <w:rFonts w:cs="Arial"/>
          <w:rtl/>
        </w:rPr>
        <w:t>ג דבאיסור הנאה אין חילוק בין ב"י לשאינו ב"י דהא הכלי</w:t>
      </w:r>
      <w:r>
        <w:rPr>
          <w:rFonts w:cs="Arial" w:hint="cs"/>
          <w:rtl/>
        </w:rPr>
        <w:t>ם</w:t>
      </w:r>
      <w:r w:rsidRPr="0066674B">
        <w:rPr>
          <w:rFonts w:cs="Arial"/>
          <w:rtl/>
        </w:rPr>
        <w:t xml:space="preserve"> עצמן מותרין בהנאה ומותרים להשתמש בו כל דבר צונן אפי' לכתחי</w:t>
      </w:r>
      <w:r>
        <w:rPr>
          <w:rFonts w:cs="Arial" w:hint="cs"/>
          <w:rtl/>
        </w:rPr>
        <w:t>לה,</w:t>
      </w:r>
      <w:r w:rsidRPr="0066674B">
        <w:rPr>
          <w:rFonts w:cs="Arial"/>
          <w:rtl/>
        </w:rPr>
        <w:t xml:space="preserve"> ומהאיסור שבלע אינו נהנה שהרי פוגמו</w:t>
      </w:r>
      <w:r>
        <w:rPr>
          <w:rFonts w:cs="Arial" w:hint="cs"/>
          <w:rtl/>
        </w:rPr>
        <w:t>.</w:t>
      </w:r>
      <w:r w:rsidRPr="0066674B">
        <w:rPr>
          <w:rFonts w:cs="Arial"/>
          <w:rtl/>
        </w:rPr>
        <w:t xml:space="preserve"> </w:t>
      </w:r>
      <w:r>
        <w:rPr>
          <w:rFonts w:cs="Arial" w:hint="cs"/>
          <w:rtl/>
        </w:rPr>
        <w:t>(</w:t>
      </w:r>
      <w:r w:rsidRPr="0066674B">
        <w:rPr>
          <w:rFonts w:cs="Arial"/>
          <w:rtl/>
        </w:rPr>
        <w:t>וכ</w:t>
      </w:r>
      <w:r>
        <w:rPr>
          <w:rFonts w:cs="Arial" w:hint="cs"/>
          <w:rtl/>
        </w:rPr>
        <w:t xml:space="preserve">"פ ת"ח </w:t>
      </w:r>
      <w:r w:rsidRPr="0066674B">
        <w:rPr>
          <w:rFonts w:cs="Arial" w:hint="cs"/>
          <w:sz w:val="16"/>
          <w:szCs w:val="16"/>
          <w:rtl/>
        </w:rPr>
        <w:t>[</w:t>
      </w:r>
      <w:r w:rsidRPr="0066674B">
        <w:rPr>
          <w:rFonts w:cs="Arial"/>
          <w:sz w:val="16"/>
          <w:szCs w:val="16"/>
          <w:rtl/>
        </w:rPr>
        <w:t>כלל פה ד</w:t>
      </w:r>
      <w:r w:rsidRPr="0066674B">
        <w:rPr>
          <w:rFonts w:cs="Arial" w:hint="cs"/>
          <w:sz w:val="16"/>
          <w:szCs w:val="16"/>
          <w:rtl/>
        </w:rPr>
        <w:t>"</w:t>
      </w:r>
      <w:r w:rsidRPr="0066674B">
        <w:rPr>
          <w:rFonts w:cs="Arial"/>
          <w:sz w:val="16"/>
          <w:szCs w:val="16"/>
          <w:rtl/>
        </w:rPr>
        <w:t>ג]</w:t>
      </w:r>
      <w:r w:rsidRPr="0066674B">
        <w:rPr>
          <w:rFonts w:cs="Arial" w:hint="cs"/>
          <w:sz w:val="16"/>
          <w:szCs w:val="16"/>
          <w:rtl/>
        </w:rPr>
        <w:t xml:space="preserve"> </w:t>
      </w:r>
      <w:r>
        <w:rPr>
          <w:rFonts w:cs="Arial" w:hint="cs"/>
          <w:rtl/>
        </w:rPr>
        <w:t xml:space="preserve">ופר"ח </w:t>
      </w:r>
      <w:r w:rsidRPr="0066674B">
        <w:rPr>
          <w:rFonts w:cs="Arial" w:hint="cs"/>
          <w:sz w:val="16"/>
          <w:szCs w:val="16"/>
          <w:rtl/>
        </w:rPr>
        <w:t>[סק"י]</w:t>
      </w:r>
      <w:r>
        <w:rPr>
          <w:rFonts w:cs="Arial" w:hint="cs"/>
          <w:rtl/>
        </w:rPr>
        <w:t>)</w:t>
      </w:r>
      <w:r w:rsidRPr="0066674B">
        <w:rPr>
          <w:rFonts w:cs="Arial"/>
          <w:rtl/>
        </w:rPr>
        <w:t xml:space="preserve"> </w:t>
      </w:r>
    </w:p>
    <w:p w14:paraId="2D60B10E" w14:textId="77777777" w:rsidR="002C39F4" w:rsidRDefault="002C39F4" w:rsidP="002C39F4">
      <w:pPr>
        <w:rPr>
          <w:rFonts w:cs="Arial"/>
          <w:rtl/>
        </w:rPr>
      </w:pPr>
      <w:r w:rsidRPr="00152A24">
        <w:rPr>
          <w:rFonts w:cs="Arial" w:hint="cs"/>
          <w:u w:val="single"/>
          <w:rtl/>
        </w:rPr>
        <w:t xml:space="preserve">קדרה </w:t>
      </w:r>
      <w:r>
        <w:rPr>
          <w:rFonts w:cs="Arial" w:hint="cs"/>
          <w:u w:val="single"/>
          <w:rtl/>
        </w:rPr>
        <w:t>שבשלו בה בשר ב</w:t>
      </w:r>
      <w:r w:rsidRPr="00152A24">
        <w:rPr>
          <w:rFonts w:cs="Arial" w:hint="cs"/>
          <w:u w:val="single"/>
          <w:rtl/>
        </w:rPr>
        <w:t>חלב</w:t>
      </w:r>
      <w:r>
        <w:rPr>
          <w:rFonts w:cs="Arial" w:hint="cs"/>
          <w:u w:val="single"/>
          <w:rtl/>
        </w:rPr>
        <w:t xml:space="preserve"> </w:t>
      </w:r>
      <w:r w:rsidRPr="00152A24">
        <w:rPr>
          <w:rFonts w:cs="Arial" w:hint="cs"/>
          <w:u w:val="single"/>
          <w:rtl/>
        </w:rPr>
        <w:t xml:space="preserve">- האם מותר ליתן בה צונן </w:t>
      </w:r>
      <w:r w:rsidRPr="00152A24">
        <w:rPr>
          <w:rFonts w:cs="Arial" w:hint="cs"/>
          <w:b/>
          <w:bCs/>
          <w:u w:val="single"/>
          <w:rtl/>
        </w:rPr>
        <w:t>לח</w:t>
      </w:r>
      <w:r w:rsidRPr="00152A24">
        <w:rPr>
          <w:rFonts w:cs="Arial" w:hint="cs"/>
          <w:u w:val="single"/>
          <w:rtl/>
        </w:rPr>
        <w:t>:</w:t>
      </w:r>
    </w:p>
    <w:p w14:paraId="717523AD" w14:textId="77777777" w:rsidR="002C39F4" w:rsidRPr="00152A24" w:rsidRDefault="002C39F4" w:rsidP="0032102C">
      <w:pPr>
        <w:pStyle w:val="a8"/>
        <w:numPr>
          <w:ilvl w:val="0"/>
          <w:numId w:val="125"/>
        </w:numPr>
      </w:pPr>
      <w:r w:rsidRPr="00152A24">
        <w:rPr>
          <w:rFonts w:cs="Arial" w:hint="cs"/>
          <w:rtl/>
        </w:rPr>
        <w:t xml:space="preserve">סמ"ק </w:t>
      </w:r>
      <w:r w:rsidRPr="00152A24">
        <w:rPr>
          <w:rFonts w:cs="Arial" w:hint="cs"/>
          <w:sz w:val="16"/>
          <w:szCs w:val="16"/>
          <w:rtl/>
        </w:rPr>
        <w:t>(סי' ריג)</w:t>
      </w:r>
      <w:r w:rsidRPr="00152A24">
        <w:rPr>
          <w:rFonts w:cs="Arial" w:hint="cs"/>
          <w:rtl/>
        </w:rPr>
        <w:t xml:space="preserve">- </w:t>
      </w:r>
      <w:r w:rsidRPr="00152A24">
        <w:rPr>
          <w:rFonts w:cs="Arial"/>
          <w:rtl/>
        </w:rPr>
        <w:t>מותר לתת לתוכה פירות או צונן</w:t>
      </w:r>
      <w:r>
        <w:rPr>
          <w:rStyle w:val="a7"/>
          <w:rFonts w:cs="Arial"/>
          <w:rtl/>
        </w:rPr>
        <w:footnoteReference w:id="1544"/>
      </w:r>
      <w:r w:rsidRPr="00152A24">
        <w:rPr>
          <w:rFonts w:cs="Arial"/>
          <w:rtl/>
        </w:rPr>
        <w:t>.</w:t>
      </w:r>
      <w:r w:rsidRPr="00152A24">
        <w:rPr>
          <w:rFonts w:cs="Arial"/>
          <w:color w:val="E36C0A" w:themeColor="accent6" w:themeShade="BF"/>
          <w:rtl/>
        </w:rPr>
        <w:t xml:space="preserve"> </w:t>
      </w:r>
      <w:r w:rsidRPr="00152A24">
        <w:rPr>
          <w:rFonts w:hint="cs"/>
          <w:color w:val="E36C0A" w:themeColor="accent6" w:themeShade="BF"/>
          <w:rtl/>
        </w:rPr>
        <w:t>(וכ"פ בשו"ע)</w:t>
      </w:r>
      <w:r>
        <w:rPr>
          <w:rFonts w:hint="cs"/>
          <w:rtl/>
        </w:rPr>
        <w:t xml:space="preserve"> </w:t>
      </w:r>
    </w:p>
    <w:p w14:paraId="35E68987" w14:textId="77777777" w:rsidR="002C39F4" w:rsidRPr="00152A24" w:rsidRDefault="002C39F4" w:rsidP="0032102C">
      <w:pPr>
        <w:pStyle w:val="a8"/>
        <w:numPr>
          <w:ilvl w:val="0"/>
          <w:numId w:val="125"/>
        </w:numPr>
      </w:pPr>
      <w:r>
        <w:rPr>
          <w:rFonts w:cs="Arial"/>
          <w:rtl/>
        </w:rPr>
        <w:t>מרדכ</w:t>
      </w:r>
      <w:r>
        <w:rPr>
          <w:rFonts w:cs="Arial" w:hint="cs"/>
          <w:rtl/>
        </w:rPr>
        <w:t>י</w:t>
      </w:r>
      <w:r>
        <w:rPr>
          <w:rFonts w:cs="Arial"/>
          <w:rtl/>
        </w:rPr>
        <w:t xml:space="preserve"> </w:t>
      </w:r>
      <w:r w:rsidRPr="00152A24">
        <w:rPr>
          <w:rFonts w:cs="Arial"/>
          <w:sz w:val="16"/>
          <w:szCs w:val="16"/>
          <w:rtl/>
        </w:rPr>
        <w:t>(ע"ז סי' תתכ)</w:t>
      </w:r>
      <w:r>
        <w:rPr>
          <w:rFonts w:cs="Arial" w:hint="cs"/>
          <w:rtl/>
        </w:rPr>
        <w:t xml:space="preserve">- </w:t>
      </w:r>
      <w:r w:rsidRPr="00152A24">
        <w:rPr>
          <w:rFonts w:cs="Arial"/>
          <w:rtl/>
        </w:rPr>
        <w:t>דוקא ליתן לתוכה דבר יבש הוא דשרי משום דלית</w:t>
      </w:r>
      <w:r>
        <w:rPr>
          <w:rFonts w:cs="Arial"/>
          <w:rtl/>
        </w:rPr>
        <w:t>יה לאיסורא בעיניה</w:t>
      </w:r>
      <w:r>
        <w:rPr>
          <w:rFonts w:cs="Arial" w:hint="cs"/>
          <w:rtl/>
        </w:rPr>
        <w:t>,</w:t>
      </w:r>
      <w:r>
        <w:rPr>
          <w:rFonts w:cs="Arial"/>
          <w:rtl/>
        </w:rPr>
        <w:t xml:space="preserve"> אבל לא דבר לח</w:t>
      </w:r>
      <w:r>
        <w:rPr>
          <w:rFonts w:cs="Arial" w:hint="cs"/>
          <w:rtl/>
        </w:rPr>
        <w:t>.</w:t>
      </w:r>
    </w:p>
    <w:p w14:paraId="6836C64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86066A9" w14:textId="77777777" w:rsidR="002C39F4" w:rsidRDefault="002C39F4" w:rsidP="002C39F4">
      <w:pPr>
        <w:rPr>
          <w:rFonts w:asciiTheme="minorBidi" w:hAnsiTheme="minorBidi"/>
          <w:rtl/>
        </w:rPr>
      </w:pPr>
      <w:r w:rsidRPr="003024E5">
        <w:rPr>
          <w:rFonts w:asciiTheme="minorBidi" w:hAnsiTheme="minorBidi"/>
          <w:rtl/>
        </w:rPr>
        <w:t xml:space="preserve">אם יש </w:t>
      </w:r>
      <w:r>
        <w:rPr>
          <w:rFonts w:asciiTheme="minorBidi" w:hAnsiTheme="minorBidi" w:hint="cs"/>
          <w:rtl/>
        </w:rPr>
        <w:t>ששים</w:t>
      </w:r>
      <w:r w:rsidRPr="003024E5">
        <w:rPr>
          <w:rFonts w:asciiTheme="minorBidi" w:hAnsiTheme="minorBidi"/>
          <w:rtl/>
        </w:rPr>
        <w:t xml:space="preserve"> לבטל הכף, הקדירה</w:t>
      </w:r>
      <w:r>
        <w:rPr>
          <w:rFonts w:asciiTheme="minorBidi" w:hAnsiTheme="minorBidi"/>
          <w:rtl/>
        </w:rPr>
        <w:t xml:space="preserve"> והתבשיל מותרים</w:t>
      </w:r>
      <w:r>
        <w:rPr>
          <w:rFonts w:asciiTheme="minorBidi" w:hAnsiTheme="minorBidi" w:hint="cs"/>
          <w:rtl/>
        </w:rPr>
        <w:t>,</w:t>
      </w:r>
      <w:r>
        <w:rPr>
          <w:rFonts w:asciiTheme="minorBidi" w:hAnsiTheme="minorBidi"/>
          <w:rtl/>
        </w:rPr>
        <w:t xml:space="preserve"> אבל הכף אסור</w:t>
      </w:r>
      <w:r>
        <w:rPr>
          <w:rFonts w:asciiTheme="minorBidi" w:hAnsiTheme="minorBidi" w:hint="cs"/>
          <w:rtl/>
        </w:rPr>
        <w:t>ה</w:t>
      </w:r>
      <w:r>
        <w:rPr>
          <w:rStyle w:val="a7"/>
          <w:rFonts w:asciiTheme="minorBidi" w:hAnsiTheme="minorBidi"/>
          <w:rtl/>
        </w:rPr>
        <w:footnoteReference w:id="1545"/>
      </w:r>
      <w:r w:rsidRPr="003024E5">
        <w:rPr>
          <w:rFonts w:asciiTheme="minorBidi" w:hAnsiTheme="minorBidi"/>
          <w:rtl/>
        </w:rPr>
        <w:t xml:space="preserve"> בין עם בשר בין ע</w:t>
      </w:r>
      <w:r>
        <w:rPr>
          <w:rFonts w:asciiTheme="minorBidi" w:hAnsiTheme="minorBidi"/>
          <w:rtl/>
        </w:rPr>
        <w:t>ם חלב</w:t>
      </w:r>
      <w:r>
        <w:rPr>
          <w:rStyle w:val="a7"/>
          <w:rFonts w:asciiTheme="minorBidi" w:hAnsiTheme="minorBidi"/>
          <w:rtl/>
        </w:rPr>
        <w:footnoteReference w:id="1546"/>
      </w:r>
      <w:r>
        <w:rPr>
          <w:rFonts w:asciiTheme="minorBidi" w:hAnsiTheme="minorBidi"/>
          <w:rtl/>
        </w:rPr>
        <w:t>, לפי שהיא בלועה מבשר בחלב</w:t>
      </w:r>
      <w:r>
        <w:rPr>
          <w:rFonts w:asciiTheme="minorBidi" w:hAnsiTheme="minorBidi" w:hint="cs"/>
          <w:rtl/>
        </w:rPr>
        <w:t>,</w:t>
      </w:r>
      <w:r>
        <w:rPr>
          <w:rFonts w:asciiTheme="minorBidi" w:hAnsiTheme="minorBidi"/>
          <w:rtl/>
        </w:rPr>
        <w:t xml:space="preserve"> ואפילו בדיעבד אוסרת אם חזר</w:t>
      </w:r>
      <w:r>
        <w:rPr>
          <w:rFonts w:asciiTheme="minorBidi" w:hAnsiTheme="minorBidi" w:hint="cs"/>
          <w:rtl/>
        </w:rPr>
        <w:t>ו</w:t>
      </w:r>
      <w:r>
        <w:rPr>
          <w:rFonts w:asciiTheme="minorBidi" w:hAnsiTheme="minorBidi"/>
          <w:rtl/>
        </w:rPr>
        <w:t xml:space="preserve"> ותחבו</w:t>
      </w:r>
      <w:r>
        <w:rPr>
          <w:rFonts w:asciiTheme="minorBidi" w:hAnsiTheme="minorBidi" w:hint="cs"/>
          <w:rtl/>
        </w:rPr>
        <w:t>ה</w:t>
      </w:r>
      <w:r>
        <w:rPr>
          <w:rFonts w:asciiTheme="minorBidi" w:hAnsiTheme="minorBidi"/>
          <w:rtl/>
        </w:rPr>
        <w:t xml:space="preserve"> בין בבשר בין בחלב כל זמן שהיא בת יומא</w:t>
      </w:r>
      <w:r>
        <w:rPr>
          <w:rStyle w:val="a7"/>
          <w:rFonts w:asciiTheme="minorBidi" w:hAnsiTheme="minorBidi"/>
          <w:rtl/>
        </w:rPr>
        <w:footnoteReference w:id="1547"/>
      </w:r>
      <w:r>
        <w:rPr>
          <w:rFonts w:asciiTheme="minorBidi" w:hAnsiTheme="minorBidi" w:hint="cs"/>
          <w:rtl/>
        </w:rPr>
        <w:t>,</w:t>
      </w:r>
      <w:r>
        <w:rPr>
          <w:rFonts w:asciiTheme="minorBidi" w:hAnsiTheme="minorBidi"/>
          <w:rtl/>
        </w:rPr>
        <w:t xml:space="preserve"> ואם אין </w:t>
      </w:r>
      <w:r>
        <w:rPr>
          <w:rFonts w:asciiTheme="minorBidi" w:hAnsiTheme="minorBidi" w:hint="cs"/>
          <w:rtl/>
        </w:rPr>
        <w:t xml:space="preserve">ששים </w:t>
      </w:r>
      <w:r>
        <w:rPr>
          <w:rFonts w:asciiTheme="minorBidi" w:hAnsiTheme="minorBidi"/>
          <w:rtl/>
        </w:rPr>
        <w:t>הכל אסור בהנאה</w:t>
      </w:r>
      <w:r w:rsidRPr="003024E5">
        <w:rPr>
          <w:rFonts w:asciiTheme="minorBidi" w:hAnsiTheme="minorBidi"/>
          <w:rtl/>
        </w:rPr>
        <w:t xml:space="preserve"> אפילו הקדירה, </w:t>
      </w:r>
      <w:r>
        <w:rPr>
          <w:rFonts w:asciiTheme="minorBidi" w:hAnsiTheme="minorBidi"/>
          <w:rtl/>
        </w:rPr>
        <w:t>אך מותר לתת לתוכה פירות או צונן</w:t>
      </w:r>
      <w:r w:rsidRPr="003024E5">
        <w:rPr>
          <w:rFonts w:asciiTheme="minorBidi" w:hAnsiTheme="minorBidi"/>
          <w:rtl/>
        </w:rPr>
        <w:t xml:space="preserve"> כיון שאינו נהנה מגוף האיסור.</w:t>
      </w:r>
    </w:p>
    <w:p w14:paraId="454F19F7" w14:textId="77777777" w:rsidR="002C39F4" w:rsidRPr="008A3839" w:rsidRDefault="002C39F4" w:rsidP="002C39F4">
      <w:pPr>
        <w:rPr>
          <w:rFonts w:asciiTheme="minorBidi" w:hAnsiTheme="minorBidi"/>
          <w:sz w:val="16"/>
          <w:szCs w:val="16"/>
          <w:rtl/>
        </w:rPr>
      </w:pPr>
      <w:r w:rsidRPr="008A3839">
        <w:rPr>
          <w:rFonts w:asciiTheme="minorBidi" w:hAnsiTheme="minorBidi" w:hint="cs"/>
          <w:u w:val="single"/>
          <w:rtl/>
        </w:rPr>
        <w:t>מכירת קדירה שנאסרה מבשר בחלב לגוי:</w:t>
      </w:r>
      <w:r>
        <w:rPr>
          <w:rFonts w:asciiTheme="minorBidi" w:hAnsiTheme="minorBidi" w:hint="cs"/>
          <w:sz w:val="16"/>
          <w:szCs w:val="16"/>
          <w:rtl/>
        </w:rPr>
        <w:t xml:space="preserve">  (פת"ש סק"ו)</w:t>
      </w:r>
    </w:p>
    <w:p w14:paraId="06A3F7E5" w14:textId="77777777" w:rsidR="002C39F4" w:rsidRPr="008A3839" w:rsidRDefault="002C39F4" w:rsidP="0032102C">
      <w:pPr>
        <w:pStyle w:val="a8"/>
        <w:numPr>
          <w:ilvl w:val="0"/>
          <w:numId w:val="176"/>
        </w:numPr>
        <w:rPr>
          <w:rFonts w:asciiTheme="minorBidi" w:hAnsiTheme="minorBidi"/>
          <w:rtl/>
        </w:rPr>
      </w:pPr>
      <w:r w:rsidRPr="008A3839">
        <w:rPr>
          <w:rFonts w:asciiTheme="minorBidi" w:hAnsiTheme="minorBidi" w:cs="Arial" w:hint="cs"/>
          <w:rtl/>
        </w:rPr>
        <w:t xml:space="preserve">חת"ס </w:t>
      </w:r>
      <w:r w:rsidRPr="008A3839">
        <w:rPr>
          <w:rFonts w:asciiTheme="minorBidi" w:hAnsiTheme="minorBidi" w:cs="Arial" w:hint="cs"/>
          <w:sz w:val="16"/>
          <w:szCs w:val="16"/>
          <w:rtl/>
        </w:rPr>
        <w:t>(</w:t>
      </w:r>
      <w:r w:rsidRPr="008A3839">
        <w:rPr>
          <w:rFonts w:asciiTheme="minorBidi" w:hAnsiTheme="minorBidi" w:cs="Arial"/>
          <w:sz w:val="16"/>
          <w:szCs w:val="16"/>
          <w:rtl/>
        </w:rPr>
        <w:t>סי</w:t>
      </w:r>
      <w:r w:rsidRPr="008A3839">
        <w:rPr>
          <w:rFonts w:asciiTheme="minorBidi" w:hAnsiTheme="minorBidi" w:cs="Arial" w:hint="cs"/>
          <w:sz w:val="16"/>
          <w:szCs w:val="16"/>
          <w:rtl/>
        </w:rPr>
        <w:t>'</w:t>
      </w:r>
      <w:r w:rsidRPr="008A3839">
        <w:rPr>
          <w:rFonts w:asciiTheme="minorBidi" w:hAnsiTheme="minorBidi" w:cs="Arial"/>
          <w:sz w:val="16"/>
          <w:szCs w:val="16"/>
          <w:rtl/>
        </w:rPr>
        <w:t xml:space="preserve"> צח)</w:t>
      </w:r>
      <w:r>
        <w:rPr>
          <w:rFonts w:asciiTheme="minorBidi" w:hAnsiTheme="minorBidi" w:cs="Arial" w:hint="cs"/>
          <w:rtl/>
        </w:rPr>
        <w:t>-</w:t>
      </w:r>
      <w:r w:rsidRPr="008A3839">
        <w:rPr>
          <w:rFonts w:asciiTheme="minorBidi" w:hAnsiTheme="minorBidi" w:cs="Arial"/>
          <w:rtl/>
        </w:rPr>
        <w:t xml:space="preserve"> </w:t>
      </w:r>
      <w:r>
        <w:rPr>
          <w:rFonts w:asciiTheme="minorBidi" w:hAnsiTheme="minorBidi" w:cs="Arial" w:hint="cs"/>
          <w:rtl/>
        </w:rPr>
        <w:t xml:space="preserve">מותר </w:t>
      </w:r>
      <w:r w:rsidRPr="008A3839">
        <w:rPr>
          <w:rFonts w:asciiTheme="minorBidi" w:hAnsiTheme="minorBidi" w:cs="Arial"/>
          <w:rtl/>
        </w:rPr>
        <w:t>למכור ל</w:t>
      </w:r>
      <w:r>
        <w:rPr>
          <w:rFonts w:asciiTheme="minorBidi" w:hAnsiTheme="minorBidi" w:cs="Arial" w:hint="cs"/>
          <w:rtl/>
        </w:rPr>
        <w:t>גוי</w:t>
      </w:r>
      <w:r w:rsidRPr="008A3839">
        <w:rPr>
          <w:rFonts w:asciiTheme="minorBidi" w:hAnsiTheme="minorBidi" w:cs="Arial"/>
          <w:rtl/>
        </w:rPr>
        <w:t xml:space="preserve"> קדרה הבלועה מבשר בחלב </w:t>
      </w:r>
      <w:r>
        <w:rPr>
          <w:rFonts w:asciiTheme="minorBidi" w:hAnsiTheme="minorBidi" w:cs="Arial" w:hint="cs"/>
          <w:rtl/>
        </w:rPr>
        <w:t>ו</w:t>
      </w:r>
      <w:r w:rsidRPr="008A3839">
        <w:rPr>
          <w:rFonts w:asciiTheme="minorBidi" w:hAnsiTheme="minorBidi" w:cs="Arial"/>
          <w:rtl/>
        </w:rPr>
        <w:t>אין בו בית מיחוש כלל</w:t>
      </w:r>
      <w:r>
        <w:rPr>
          <w:rFonts w:asciiTheme="minorBidi" w:hAnsiTheme="minorBidi" w:cs="Arial" w:hint="cs"/>
          <w:rtl/>
        </w:rPr>
        <w:t>,</w:t>
      </w:r>
      <w:r w:rsidRPr="008A3839">
        <w:rPr>
          <w:rFonts w:asciiTheme="minorBidi" w:hAnsiTheme="minorBidi" w:cs="Arial"/>
          <w:rtl/>
        </w:rPr>
        <w:t xml:space="preserve"> אפילו ביומי</w:t>
      </w:r>
      <w:r>
        <w:rPr>
          <w:rFonts w:asciiTheme="minorBidi" w:hAnsiTheme="minorBidi" w:cs="Arial" w:hint="cs"/>
          <w:rtl/>
        </w:rPr>
        <w:t>ה.</w:t>
      </w:r>
    </w:p>
    <w:p w14:paraId="5B69B387" w14:textId="77777777" w:rsidR="002C39F4" w:rsidRPr="003024E5" w:rsidRDefault="002C39F4" w:rsidP="002C39F4">
      <w:pPr>
        <w:rPr>
          <w:rFonts w:asciiTheme="minorBidi" w:hAnsiTheme="minorBidi"/>
          <w:rtl/>
        </w:rPr>
      </w:pPr>
    </w:p>
    <w:p w14:paraId="011929BF" w14:textId="77777777" w:rsidR="002C39F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w:t>
      </w:r>
      <w:r w:rsidRPr="0055725D">
        <w:rPr>
          <w:rFonts w:asciiTheme="minorBidi" w:hAnsiTheme="minorBidi" w:hint="cs"/>
          <w:rtl/>
        </w:rPr>
        <w:t xml:space="preserve"> </w:t>
      </w:r>
      <w:r>
        <w:rPr>
          <w:rFonts w:asciiTheme="minorBidi" w:hAnsiTheme="minorBidi" w:hint="cs"/>
          <w:rtl/>
        </w:rPr>
        <w:t>כף שבלועה מבשר וחלב ואינה בת יומא שנתחבה לקדרה.</w:t>
      </w:r>
    </w:p>
    <w:p w14:paraId="3D6346D9" w14:textId="77777777" w:rsidR="002C39F4" w:rsidRPr="00320F9D" w:rsidRDefault="002C39F4" w:rsidP="002C39F4">
      <w:pPr>
        <w:rPr>
          <w:rFonts w:cs="Arial"/>
          <w:u w:val="single"/>
          <w:rtl/>
        </w:rPr>
      </w:pPr>
      <w:r>
        <w:rPr>
          <w:rFonts w:asciiTheme="minorBidi" w:hAnsiTheme="minorBidi" w:hint="cs"/>
          <w:u w:val="single"/>
          <w:rtl/>
        </w:rPr>
        <w:t>כף שבלועה מבשר ב</w:t>
      </w:r>
      <w:r w:rsidRPr="00320F9D">
        <w:rPr>
          <w:rFonts w:asciiTheme="minorBidi" w:hAnsiTheme="minorBidi" w:hint="cs"/>
          <w:u w:val="single"/>
          <w:rtl/>
        </w:rPr>
        <w:t>חלב ואינה בת יומא שנתחבה לקדר</w:t>
      </w:r>
      <w:r>
        <w:rPr>
          <w:rFonts w:asciiTheme="minorBidi" w:hAnsiTheme="minorBidi" w:hint="cs"/>
          <w:u w:val="single"/>
          <w:rtl/>
        </w:rPr>
        <w:t>ה</w:t>
      </w:r>
      <w:r w:rsidRPr="00320F9D">
        <w:rPr>
          <w:rFonts w:cs="Arial" w:hint="cs"/>
          <w:u w:val="single"/>
          <w:rtl/>
        </w:rPr>
        <w:t>:</w:t>
      </w:r>
    </w:p>
    <w:p w14:paraId="24A1D118" w14:textId="77777777" w:rsidR="002C39F4" w:rsidRDefault="002C39F4" w:rsidP="0032102C">
      <w:pPr>
        <w:pStyle w:val="a8"/>
        <w:numPr>
          <w:ilvl w:val="0"/>
          <w:numId w:val="125"/>
        </w:numPr>
        <w:rPr>
          <w:rtl/>
        </w:rPr>
      </w:pPr>
      <w:r w:rsidRPr="00320F9D">
        <w:rPr>
          <w:rFonts w:cs="Arial" w:hint="cs"/>
          <w:rtl/>
        </w:rPr>
        <w:t xml:space="preserve">סמ"ק </w:t>
      </w:r>
      <w:r w:rsidRPr="00320F9D">
        <w:rPr>
          <w:rFonts w:cs="Arial" w:hint="cs"/>
          <w:sz w:val="16"/>
          <w:szCs w:val="16"/>
          <w:rtl/>
        </w:rPr>
        <w:t xml:space="preserve">(סי' ריג) </w:t>
      </w:r>
      <w:r w:rsidRPr="00320F9D">
        <w:rPr>
          <w:rFonts w:cs="Arial" w:hint="cs"/>
          <w:rtl/>
        </w:rPr>
        <w:t>וטור-</w:t>
      </w:r>
      <w:r w:rsidRPr="00687229">
        <w:rPr>
          <w:rtl/>
        </w:rPr>
        <w:t xml:space="preserve"> </w:t>
      </w:r>
      <w:r w:rsidRPr="00320F9D">
        <w:rPr>
          <w:rFonts w:cs="Arial"/>
          <w:rtl/>
        </w:rPr>
        <w:t>אם אין הכף בת יומא הקדרה והתבשיל מותרין והכף אסורה לכתחילה</w:t>
      </w:r>
      <w:r>
        <w:rPr>
          <w:rStyle w:val="a7"/>
          <w:rFonts w:asciiTheme="minorBidi" w:hAnsiTheme="minorBidi"/>
          <w:rtl/>
        </w:rPr>
        <w:footnoteReference w:id="1548"/>
      </w:r>
      <w:r w:rsidRPr="00320F9D">
        <w:rPr>
          <w:rFonts w:cs="Arial"/>
          <w:rtl/>
        </w:rPr>
        <w:t xml:space="preserve"> בין עם בשר בין עם חלב</w:t>
      </w:r>
      <w:r w:rsidRPr="00320F9D">
        <w:rPr>
          <w:rFonts w:cs="Arial" w:hint="cs"/>
          <w:rtl/>
        </w:rPr>
        <w:t>,</w:t>
      </w:r>
      <w:r w:rsidRPr="00320F9D">
        <w:rPr>
          <w:rFonts w:cs="Arial"/>
          <w:rtl/>
        </w:rPr>
        <w:t xml:space="preserve"> ומ"מ בדיעבד אינה אוסרת</w:t>
      </w:r>
      <w:r>
        <w:rPr>
          <w:rStyle w:val="a7"/>
          <w:rFonts w:asciiTheme="minorBidi" w:hAnsiTheme="minorBidi"/>
          <w:rtl/>
        </w:rPr>
        <w:footnoteReference w:id="1549"/>
      </w:r>
      <w:r w:rsidRPr="00320F9D">
        <w:rPr>
          <w:rFonts w:cs="Arial"/>
          <w:rtl/>
        </w:rPr>
        <w:t xml:space="preserve"> כיון שלא היתה בת יומא</w:t>
      </w:r>
      <w:r>
        <w:rPr>
          <w:rFonts w:hint="cs"/>
          <w:rtl/>
        </w:rPr>
        <w:t xml:space="preserve">. </w:t>
      </w:r>
      <w:r w:rsidRPr="00162878">
        <w:rPr>
          <w:rFonts w:hint="cs"/>
          <w:color w:val="E36C0A" w:themeColor="accent6" w:themeShade="BF"/>
          <w:rtl/>
        </w:rPr>
        <w:t>(וכ"פ בשו"ע)</w:t>
      </w:r>
    </w:p>
    <w:p w14:paraId="6EDF57FD" w14:textId="77777777" w:rsidR="002C39F4" w:rsidRDefault="002C39F4" w:rsidP="002C39F4">
      <w:pPr>
        <w:rPr>
          <w:rFonts w:cs="Arial"/>
          <w:rtl/>
        </w:rPr>
      </w:pPr>
      <w:r>
        <w:rPr>
          <w:rFonts w:cs="Arial"/>
          <w:u w:val="single"/>
          <w:rtl/>
        </w:rPr>
        <w:t>תחב כף ב</w:t>
      </w:r>
      <w:r>
        <w:rPr>
          <w:rFonts w:cs="Arial" w:hint="cs"/>
          <w:u w:val="single"/>
          <w:rtl/>
        </w:rPr>
        <w:t>ת</w:t>
      </w:r>
      <w:r>
        <w:rPr>
          <w:rFonts w:cs="Arial"/>
          <w:u w:val="single"/>
          <w:rtl/>
        </w:rPr>
        <w:t xml:space="preserve"> יומ</w:t>
      </w:r>
      <w:r>
        <w:rPr>
          <w:rFonts w:cs="Arial" w:hint="cs"/>
          <w:u w:val="single"/>
          <w:rtl/>
        </w:rPr>
        <w:t>א</w:t>
      </w:r>
      <w:r w:rsidRPr="00320F9D">
        <w:rPr>
          <w:rFonts w:cs="Arial"/>
          <w:u w:val="single"/>
          <w:rtl/>
        </w:rPr>
        <w:t xml:space="preserve"> לקדרה של ירקות או מים והקדרה אינה ממין הכף ואינה בת יומא</w:t>
      </w:r>
      <w:r w:rsidRPr="00320F9D">
        <w:rPr>
          <w:rFonts w:cs="Arial" w:hint="cs"/>
          <w:u w:val="single"/>
          <w:rtl/>
        </w:rPr>
        <w:t>:</w:t>
      </w:r>
      <w:r w:rsidRPr="000A7C6A">
        <w:rPr>
          <w:rFonts w:cs="Arial"/>
          <w:rtl/>
        </w:rPr>
        <w:t xml:space="preserve"> </w:t>
      </w:r>
      <w:r w:rsidRPr="00320F9D">
        <w:rPr>
          <w:rFonts w:cs="Arial"/>
          <w:sz w:val="16"/>
          <w:szCs w:val="16"/>
          <w:rtl/>
        </w:rPr>
        <w:t>(</w:t>
      </w:r>
      <w:r w:rsidRPr="00320F9D">
        <w:rPr>
          <w:rFonts w:cs="Arial" w:hint="cs"/>
          <w:sz w:val="16"/>
          <w:szCs w:val="16"/>
          <w:rtl/>
        </w:rPr>
        <w:t xml:space="preserve">דרכ"מ אות </w:t>
      </w:r>
      <w:r w:rsidRPr="00320F9D">
        <w:rPr>
          <w:rFonts w:cs="Arial"/>
          <w:sz w:val="16"/>
          <w:szCs w:val="16"/>
          <w:rtl/>
        </w:rPr>
        <w:t>ה)</w:t>
      </w:r>
      <w:r w:rsidRPr="000A7C6A">
        <w:rPr>
          <w:rFonts w:cs="Arial"/>
          <w:rtl/>
        </w:rPr>
        <w:t xml:space="preserve"> </w:t>
      </w:r>
    </w:p>
    <w:p w14:paraId="093F6FB0" w14:textId="77777777" w:rsidR="002C39F4" w:rsidRPr="00320F9D" w:rsidRDefault="002C39F4" w:rsidP="0032102C">
      <w:pPr>
        <w:pStyle w:val="a8"/>
        <w:numPr>
          <w:ilvl w:val="0"/>
          <w:numId w:val="125"/>
        </w:numPr>
        <w:rPr>
          <w:rFonts w:cs="Arial"/>
          <w:rtl/>
        </w:rPr>
      </w:pPr>
      <w:r>
        <w:rPr>
          <w:rFonts w:cs="Arial" w:hint="cs"/>
          <w:rtl/>
        </w:rPr>
        <w:t>או</w:t>
      </w:r>
      <w:r>
        <w:rPr>
          <w:rFonts w:cs="Arial"/>
          <w:rtl/>
        </w:rPr>
        <w:t>"</w:t>
      </w:r>
      <w:r>
        <w:rPr>
          <w:rFonts w:cs="Arial" w:hint="cs"/>
          <w:rtl/>
        </w:rPr>
        <w:t>ה</w:t>
      </w:r>
      <w:r w:rsidRPr="00320F9D">
        <w:rPr>
          <w:rFonts w:cs="Arial"/>
          <w:sz w:val="16"/>
          <w:szCs w:val="16"/>
          <w:rtl/>
        </w:rPr>
        <w:t xml:space="preserve"> </w:t>
      </w:r>
      <w:r w:rsidRPr="00320F9D">
        <w:rPr>
          <w:rFonts w:cs="Arial" w:hint="cs"/>
          <w:sz w:val="16"/>
          <w:szCs w:val="16"/>
          <w:rtl/>
        </w:rPr>
        <w:t>(</w:t>
      </w:r>
      <w:r w:rsidRPr="00320F9D">
        <w:rPr>
          <w:rFonts w:cs="Arial"/>
          <w:sz w:val="16"/>
          <w:szCs w:val="16"/>
          <w:rtl/>
        </w:rPr>
        <w:t>כלל לז ד</w:t>
      </w:r>
      <w:r>
        <w:rPr>
          <w:rFonts w:cs="Arial" w:hint="cs"/>
          <w:sz w:val="16"/>
          <w:szCs w:val="16"/>
          <w:rtl/>
        </w:rPr>
        <w:t>"</w:t>
      </w:r>
      <w:r w:rsidRPr="00320F9D">
        <w:rPr>
          <w:rFonts w:cs="Arial"/>
          <w:sz w:val="16"/>
          <w:szCs w:val="16"/>
          <w:rtl/>
        </w:rPr>
        <w:t>ט)</w:t>
      </w:r>
      <w:r>
        <w:rPr>
          <w:rFonts w:cs="Arial" w:hint="cs"/>
          <w:rtl/>
        </w:rPr>
        <w:t xml:space="preserve">- </w:t>
      </w:r>
      <w:r w:rsidRPr="00320F9D">
        <w:rPr>
          <w:rFonts w:cs="Arial"/>
          <w:rtl/>
        </w:rPr>
        <w:t>אם תחב כף בן יומו לקדרה של ירקות או מים והקדרה אינה ממין הכף ואינה בת יומא</w:t>
      </w:r>
      <w:r>
        <w:rPr>
          <w:rFonts w:cs="Arial" w:hint="cs"/>
          <w:rtl/>
        </w:rPr>
        <w:t>,</w:t>
      </w:r>
      <w:r w:rsidRPr="00320F9D">
        <w:rPr>
          <w:rFonts w:cs="Arial"/>
          <w:rtl/>
        </w:rPr>
        <w:t xml:space="preserve"> או להיפך</w:t>
      </w:r>
      <w:r>
        <w:rPr>
          <w:rFonts w:cs="Arial" w:hint="cs"/>
          <w:rtl/>
        </w:rPr>
        <w:t>,</w:t>
      </w:r>
      <w:r w:rsidRPr="00320F9D">
        <w:rPr>
          <w:rFonts w:cs="Arial"/>
          <w:rtl/>
        </w:rPr>
        <w:t xml:space="preserve"> הכל שרי</w:t>
      </w:r>
      <w:r>
        <w:rPr>
          <w:rFonts w:cs="Arial" w:hint="cs"/>
          <w:rtl/>
        </w:rPr>
        <w:t>,</w:t>
      </w:r>
      <w:r w:rsidRPr="00320F9D">
        <w:rPr>
          <w:rFonts w:cs="Arial"/>
          <w:rtl/>
        </w:rPr>
        <w:t xml:space="preserve"> דהוי נ"ט בר נ"ט ועדיין היתר הוא הואיל וכלי אחד אינו בן יומו </w:t>
      </w:r>
      <w:r>
        <w:rPr>
          <w:rFonts w:cs="Arial" w:hint="cs"/>
          <w:sz w:val="16"/>
          <w:szCs w:val="16"/>
          <w:rtl/>
        </w:rPr>
        <w:t>(ל' הדרכ"מ, וכ' ד</w:t>
      </w:r>
      <w:r>
        <w:rPr>
          <w:rFonts w:cs="Arial"/>
          <w:sz w:val="16"/>
          <w:szCs w:val="16"/>
          <w:rtl/>
        </w:rPr>
        <w:t>כ"ה לקמן סי</w:t>
      </w:r>
      <w:r>
        <w:rPr>
          <w:rFonts w:cs="Arial" w:hint="cs"/>
          <w:sz w:val="16"/>
          <w:szCs w:val="16"/>
          <w:rtl/>
        </w:rPr>
        <w:t>'</w:t>
      </w:r>
      <w:r>
        <w:rPr>
          <w:rFonts w:cs="Arial"/>
          <w:sz w:val="16"/>
          <w:szCs w:val="16"/>
          <w:rtl/>
        </w:rPr>
        <w:t xml:space="preserve"> צ</w:t>
      </w:r>
      <w:r w:rsidRPr="00320F9D">
        <w:rPr>
          <w:rFonts w:cs="Arial"/>
          <w:sz w:val="16"/>
          <w:szCs w:val="16"/>
          <w:rtl/>
        </w:rPr>
        <w:t>ה</w:t>
      </w:r>
      <w:r>
        <w:rPr>
          <w:rFonts w:cs="Arial" w:hint="cs"/>
          <w:sz w:val="16"/>
          <w:szCs w:val="16"/>
          <w:rtl/>
        </w:rPr>
        <w:t>)</w:t>
      </w:r>
      <w:r>
        <w:rPr>
          <w:rFonts w:cs="Arial" w:hint="cs"/>
          <w:rtl/>
        </w:rPr>
        <w:t>,</w:t>
      </w:r>
      <w:r>
        <w:rPr>
          <w:rFonts w:cs="Arial"/>
          <w:rtl/>
        </w:rPr>
        <w:t xml:space="preserve"> ועוד</w:t>
      </w:r>
      <w:r w:rsidRPr="00320F9D">
        <w:rPr>
          <w:rFonts w:cs="Arial"/>
          <w:rtl/>
        </w:rPr>
        <w:t xml:space="preserve"> דאפילו הכף וגם הקדרה בני יו</w:t>
      </w:r>
      <w:r>
        <w:rPr>
          <w:rFonts w:cs="Arial"/>
          <w:rtl/>
        </w:rPr>
        <w:t>מן אם יש ששים נגד הכף ג</w:t>
      </w:r>
      <w:r>
        <w:rPr>
          <w:rFonts w:cs="Arial" w:hint="cs"/>
          <w:rtl/>
        </w:rPr>
        <w:t>"</w:t>
      </w:r>
      <w:r>
        <w:rPr>
          <w:rFonts w:cs="Arial"/>
          <w:rtl/>
        </w:rPr>
        <w:t>כ הכל</w:t>
      </w:r>
      <w:r w:rsidRPr="00320F9D">
        <w:rPr>
          <w:rFonts w:cs="Arial"/>
          <w:rtl/>
        </w:rPr>
        <w:t xml:space="preserve"> שרי דהקדרה פשיטא דשרי דהרי יש ששים נגד הכף וגם הכף שרי דהרי טעם הקדרה הוי נ"ט בר נ"ט ועדיין היתר הוא הואיל ואיכא ששים נגד הכף</w:t>
      </w:r>
      <w:r>
        <w:rPr>
          <w:rFonts w:cs="Arial" w:hint="cs"/>
          <w:rtl/>
        </w:rPr>
        <w:t>,</w:t>
      </w:r>
      <w:r w:rsidRPr="00320F9D">
        <w:rPr>
          <w:rFonts w:cs="Arial"/>
          <w:rtl/>
        </w:rPr>
        <w:t xml:space="preserve"> וצריך לאכול </w:t>
      </w:r>
      <w:r>
        <w:rPr>
          <w:rFonts w:cs="Arial"/>
          <w:rtl/>
        </w:rPr>
        <w:t>המאכל כמין הכלי שהוא בתוכ</w:t>
      </w:r>
      <w:r>
        <w:rPr>
          <w:rFonts w:cs="Arial" w:hint="cs"/>
          <w:rtl/>
        </w:rPr>
        <w:t>ו.</w:t>
      </w:r>
    </w:p>
    <w:p w14:paraId="61AC6044" w14:textId="77777777" w:rsidR="002C39F4" w:rsidRPr="00FF3709" w:rsidRDefault="002C39F4" w:rsidP="002C39F4">
      <w:pPr>
        <w:rPr>
          <w:rFonts w:cs="Arial"/>
          <w:sz w:val="16"/>
          <w:szCs w:val="16"/>
          <w:rtl/>
        </w:rPr>
      </w:pPr>
      <w:r w:rsidRPr="00320F9D">
        <w:rPr>
          <w:rFonts w:cs="Arial" w:hint="cs"/>
          <w:u w:val="single"/>
          <w:rtl/>
        </w:rPr>
        <w:t>נתינת איסור צונן לתוך כלי היתר:</w:t>
      </w:r>
      <w:r>
        <w:rPr>
          <w:rFonts w:cs="Arial" w:hint="cs"/>
          <w:sz w:val="16"/>
          <w:szCs w:val="16"/>
          <w:rtl/>
        </w:rPr>
        <w:t xml:space="preserve">  (ב"י [בבדה"ב])</w:t>
      </w:r>
    </w:p>
    <w:p w14:paraId="2CF60CC9" w14:textId="77777777" w:rsidR="002C39F4" w:rsidRDefault="002C39F4" w:rsidP="0032102C">
      <w:pPr>
        <w:pStyle w:val="a8"/>
        <w:numPr>
          <w:ilvl w:val="0"/>
          <w:numId w:val="125"/>
        </w:numPr>
        <w:rPr>
          <w:rFonts w:cs="Arial"/>
        </w:rPr>
      </w:pPr>
      <w:r w:rsidRPr="00320F9D">
        <w:rPr>
          <w:rFonts w:cs="Arial" w:hint="cs"/>
          <w:rtl/>
        </w:rPr>
        <w:t>רי"ו</w:t>
      </w:r>
      <w:r w:rsidRPr="00320F9D">
        <w:rPr>
          <w:rFonts w:cs="Arial"/>
          <w:rtl/>
        </w:rPr>
        <w:t xml:space="preserve"> </w:t>
      </w:r>
      <w:r>
        <w:rPr>
          <w:rFonts w:cs="Arial"/>
          <w:sz w:val="16"/>
          <w:szCs w:val="16"/>
          <w:rtl/>
        </w:rPr>
        <w:t>(נט"ו אות כט</w:t>
      </w:r>
      <w:r w:rsidRPr="00320F9D">
        <w:rPr>
          <w:rFonts w:cs="Arial"/>
          <w:sz w:val="16"/>
          <w:szCs w:val="16"/>
          <w:rtl/>
        </w:rPr>
        <w:t>)</w:t>
      </w:r>
      <w:r>
        <w:rPr>
          <w:rFonts w:cs="Arial" w:hint="cs"/>
          <w:rtl/>
        </w:rPr>
        <w:t>-</w:t>
      </w:r>
      <w:r w:rsidRPr="00320F9D">
        <w:rPr>
          <w:rFonts w:cs="Arial"/>
          <w:rtl/>
        </w:rPr>
        <w:t xml:space="preserve"> מותר לתת איסור צונן לתוך כלי היתר אם הוא כלי שאין דרך להשתמש בו בלא הדחה</w:t>
      </w:r>
      <w:r w:rsidRPr="00320F9D">
        <w:rPr>
          <w:rFonts w:cs="Arial" w:hint="cs"/>
          <w:rtl/>
        </w:rPr>
        <w:t>,</w:t>
      </w:r>
      <w:r w:rsidRPr="00320F9D">
        <w:rPr>
          <w:rFonts w:cs="Arial"/>
          <w:rtl/>
        </w:rPr>
        <w:t xml:space="preserve"> אבל אם הוא כלי שדרך להשתמש בו בלא הדחה אסור ליתנו בו לכתחלה</w:t>
      </w:r>
      <w:r w:rsidRPr="00320F9D">
        <w:rPr>
          <w:rFonts w:cs="Arial" w:hint="cs"/>
          <w:rtl/>
        </w:rPr>
        <w:t>,</w:t>
      </w:r>
      <w:r w:rsidRPr="00320F9D">
        <w:rPr>
          <w:rFonts w:cs="Arial"/>
          <w:rtl/>
        </w:rPr>
        <w:t xml:space="preserve"> ואם שכח ונתנו לתוכו מדיח הכלי ודי</w:t>
      </w:r>
      <w:r w:rsidRPr="00320F9D">
        <w:rPr>
          <w:rFonts w:cs="Arial" w:hint="cs"/>
          <w:rtl/>
        </w:rPr>
        <w:t>ו</w:t>
      </w:r>
      <w:r w:rsidRPr="00320F9D">
        <w:rPr>
          <w:rFonts w:cs="Arial"/>
          <w:rtl/>
        </w:rPr>
        <w:t xml:space="preserve">. </w:t>
      </w:r>
    </w:p>
    <w:p w14:paraId="76554D10" w14:textId="77777777" w:rsidR="002C39F4" w:rsidRPr="00FF3709" w:rsidRDefault="002C39F4" w:rsidP="002C39F4">
      <w:pPr>
        <w:rPr>
          <w:rFonts w:cs="Arial"/>
          <w:u w:val="single"/>
        </w:rPr>
      </w:pPr>
      <w:r w:rsidRPr="00FF3709">
        <w:rPr>
          <w:rFonts w:cs="Arial" w:hint="cs"/>
          <w:u w:val="single"/>
          <w:rtl/>
        </w:rPr>
        <w:t>כזית חלב שנפל לתוך חררה:</w:t>
      </w:r>
      <w:r>
        <w:rPr>
          <w:rFonts w:cs="Arial" w:hint="cs"/>
          <w:sz w:val="16"/>
          <w:szCs w:val="16"/>
          <w:rtl/>
        </w:rPr>
        <w:t xml:space="preserve">  (ב"י [בבדה"ב])</w:t>
      </w:r>
    </w:p>
    <w:p w14:paraId="417A5B0B" w14:textId="77777777" w:rsidR="002C39F4" w:rsidRPr="00FF3709" w:rsidRDefault="002C39F4" w:rsidP="0032102C">
      <w:pPr>
        <w:pStyle w:val="a8"/>
        <w:numPr>
          <w:ilvl w:val="0"/>
          <w:numId w:val="125"/>
        </w:numPr>
        <w:rPr>
          <w:rFonts w:cs="Arial"/>
          <w:rtl/>
        </w:rPr>
      </w:pPr>
      <w:r>
        <w:rPr>
          <w:rFonts w:cs="Arial" w:hint="cs"/>
          <w:rtl/>
        </w:rPr>
        <w:t>רי"ו</w:t>
      </w:r>
      <w:r w:rsidRPr="00FF3709">
        <w:rPr>
          <w:rFonts w:cs="Arial"/>
          <w:rtl/>
        </w:rPr>
        <w:t xml:space="preserve"> </w:t>
      </w:r>
      <w:r>
        <w:rPr>
          <w:rFonts w:cs="Arial"/>
          <w:sz w:val="16"/>
          <w:szCs w:val="16"/>
          <w:rtl/>
        </w:rPr>
        <w:t>(נט"ו אות כט</w:t>
      </w:r>
      <w:r w:rsidRPr="00320F9D">
        <w:rPr>
          <w:rFonts w:cs="Arial"/>
          <w:sz w:val="16"/>
          <w:szCs w:val="16"/>
          <w:rtl/>
        </w:rPr>
        <w:t>)</w:t>
      </w:r>
      <w:r>
        <w:rPr>
          <w:rFonts w:cs="Arial" w:hint="cs"/>
          <w:rtl/>
        </w:rPr>
        <w:t xml:space="preserve"> </w:t>
      </w:r>
      <w:r w:rsidRPr="00FF3709">
        <w:rPr>
          <w:rFonts w:cs="Arial"/>
          <w:rtl/>
        </w:rPr>
        <w:t>בשם הרא"ש</w:t>
      </w:r>
      <w:r>
        <w:rPr>
          <w:rFonts w:cs="Arial" w:hint="cs"/>
          <w:rtl/>
        </w:rPr>
        <w:t>-</w:t>
      </w:r>
      <w:r w:rsidRPr="00FF3709">
        <w:rPr>
          <w:rFonts w:cs="Arial"/>
          <w:rtl/>
        </w:rPr>
        <w:t xml:space="preserve"> כזית חלב שנפל לתוך חררה אפויה אינו נאסר אלא </w:t>
      </w:r>
      <w:r>
        <w:rPr>
          <w:rFonts w:cs="Arial"/>
          <w:rtl/>
        </w:rPr>
        <w:t>כדי קליפה או כדי נטילה</w:t>
      </w:r>
      <w:r>
        <w:rPr>
          <w:rFonts w:cs="Arial" w:hint="cs"/>
          <w:rtl/>
        </w:rPr>
        <w:t>.</w:t>
      </w:r>
    </w:p>
    <w:p w14:paraId="0E03952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A7CEE8D" w14:textId="77777777" w:rsidR="002C39F4" w:rsidRDefault="002C39F4" w:rsidP="002C39F4">
      <w:pPr>
        <w:rPr>
          <w:rFonts w:asciiTheme="minorBidi" w:hAnsiTheme="minorBidi"/>
          <w:rtl/>
        </w:rPr>
      </w:pPr>
      <w:r>
        <w:rPr>
          <w:rFonts w:asciiTheme="minorBidi" w:hAnsiTheme="minorBidi"/>
          <w:rtl/>
        </w:rPr>
        <w:t>אם אין הכף בן יומו</w:t>
      </w:r>
      <w:r w:rsidRPr="003024E5">
        <w:rPr>
          <w:rFonts w:asciiTheme="minorBidi" w:hAnsiTheme="minorBidi"/>
          <w:rtl/>
        </w:rPr>
        <w:t xml:space="preserve"> הקדירה </w:t>
      </w:r>
      <w:r>
        <w:rPr>
          <w:rFonts w:asciiTheme="minorBidi" w:hAnsiTheme="minorBidi"/>
          <w:rtl/>
        </w:rPr>
        <w:t>והתבשיל מותרים</w:t>
      </w:r>
      <w:r>
        <w:rPr>
          <w:rFonts w:asciiTheme="minorBidi" w:hAnsiTheme="minorBidi" w:hint="cs"/>
          <w:rtl/>
        </w:rPr>
        <w:t>,</w:t>
      </w:r>
      <w:r>
        <w:rPr>
          <w:rFonts w:asciiTheme="minorBidi" w:hAnsiTheme="minorBidi"/>
          <w:rtl/>
        </w:rPr>
        <w:t xml:space="preserve"> והכף אסור לכתחלה</w:t>
      </w:r>
      <w:r>
        <w:rPr>
          <w:rStyle w:val="a7"/>
          <w:rFonts w:asciiTheme="minorBidi" w:hAnsiTheme="minorBidi"/>
          <w:rtl/>
        </w:rPr>
        <w:footnoteReference w:id="1550"/>
      </w:r>
      <w:r>
        <w:rPr>
          <w:rFonts w:asciiTheme="minorBidi" w:hAnsiTheme="minorBidi"/>
          <w:rtl/>
        </w:rPr>
        <w:t xml:space="preserve"> בין עם בשר בין עם חלב</w:t>
      </w:r>
      <w:r>
        <w:rPr>
          <w:rFonts w:asciiTheme="minorBidi" w:hAnsiTheme="minorBidi" w:hint="cs"/>
          <w:rtl/>
        </w:rPr>
        <w:t>,</w:t>
      </w:r>
      <w:r>
        <w:rPr>
          <w:rFonts w:asciiTheme="minorBidi" w:hAnsiTheme="minorBidi"/>
          <w:rtl/>
        </w:rPr>
        <w:t xml:space="preserve"> ומ</w:t>
      </w:r>
      <w:r>
        <w:rPr>
          <w:rFonts w:asciiTheme="minorBidi" w:hAnsiTheme="minorBidi" w:hint="cs"/>
          <w:rtl/>
        </w:rPr>
        <w:t xml:space="preserve">כל </w:t>
      </w:r>
      <w:r w:rsidRPr="003024E5">
        <w:rPr>
          <w:rFonts w:asciiTheme="minorBidi" w:hAnsiTheme="minorBidi"/>
          <w:rtl/>
        </w:rPr>
        <w:t>מ</w:t>
      </w:r>
      <w:r>
        <w:rPr>
          <w:rFonts w:asciiTheme="minorBidi" w:hAnsiTheme="minorBidi" w:hint="cs"/>
          <w:rtl/>
        </w:rPr>
        <w:t>קום</w:t>
      </w:r>
      <w:r>
        <w:rPr>
          <w:rFonts w:asciiTheme="minorBidi" w:hAnsiTheme="minorBidi"/>
          <w:rtl/>
        </w:rPr>
        <w:t xml:space="preserve"> בדיעבד אינה אוסרת</w:t>
      </w:r>
      <w:r>
        <w:rPr>
          <w:rStyle w:val="a7"/>
          <w:rFonts w:asciiTheme="minorBidi" w:hAnsiTheme="minorBidi"/>
          <w:rtl/>
        </w:rPr>
        <w:footnoteReference w:id="1551"/>
      </w:r>
      <w:r w:rsidRPr="003024E5">
        <w:rPr>
          <w:rFonts w:asciiTheme="minorBidi" w:hAnsiTheme="minorBidi"/>
          <w:rtl/>
        </w:rPr>
        <w:t xml:space="preserve"> כיון שלא היתה בת יומא. </w:t>
      </w:r>
    </w:p>
    <w:p w14:paraId="65D86FB6" w14:textId="77777777" w:rsidR="002C39F4" w:rsidRPr="003024E5" w:rsidRDefault="002C39F4" w:rsidP="002C39F4">
      <w:pPr>
        <w:rPr>
          <w:rFonts w:asciiTheme="minorBidi" w:hAnsiTheme="minorBidi"/>
          <w:rtl/>
        </w:rPr>
      </w:pPr>
    </w:p>
    <w:p w14:paraId="3B4286D0"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קדרה חדשה שתחב לתוכה כף חולבת וכף של בשר במים שונים.</w:t>
      </w:r>
    </w:p>
    <w:p w14:paraId="023AB069" w14:textId="77777777" w:rsidR="002C39F4" w:rsidRPr="00C24A67" w:rsidRDefault="002C39F4" w:rsidP="002C39F4">
      <w:pPr>
        <w:rPr>
          <w:rFonts w:cs="Arial"/>
          <w:u w:val="single"/>
          <w:rtl/>
        </w:rPr>
      </w:pPr>
      <w:r>
        <w:rPr>
          <w:rFonts w:cs="Arial" w:hint="cs"/>
          <w:u w:val="single"/>
          <w:rtl/>
        </w:rPr>
        <w:t xml:space="preserve">קדרה חדשה שבישל בה מים ותחב בה כף חולבת ב"י </w:t>
      </w:r>
      <w:r>
        <w:rPr>
          <w:rFonts w:cs="Arial" w:hint="cs"/>
          <w:sz w:val="14"/>
          <w:szCs w:val="14"/>
          <w:u w:val="single"/>
          <w:rtl/>
        </w:rPr>
        <w:t xml:space="preserve">(ואין במים ס') </w:t>
      </w:r>
      <w:r>
        <w:rPr>
          <w:rFonts w:cs="Arial" w:hint="cs"/>
          <w:u w:val="single"/>
          <w:rtl/>
        </w:rPr>
        <w:t xml:space="preserve">והחליף את המים ותחב כף של בשר ב"י </w:t>
      </w:r>
      <w:r>
        <w:rPr>
          <w:rFonts w:cs="Arial" w:hint="cs"/>
          <w:sz w:val="14"/>
          <w:szCs w:val="14"/>
          <w:u w:val="single"/>
          <w:rtl/>
        </w:rPr>
        <w:t>(ואין במים ס')</w:t>
      </w:r>
      <w:r>
        <w:rPr>
          <w:rFonts w:cs="Arial" w:hint="cs"/>
          <w:u w:val="single"/>
          <w:rtl/>
        </w:rPr>
        <w:t>:</w:t>
      </w:r>
    </w:p>
    <w:p w14:paraId="208E4D44" w14:textId="77777777" w:rsidR="002C39F4" w:rsidRDefault="002C39F4" w:rsidP="0032102C">
      <w:pPr>
        <w:pStyle w:val="a8"/>
        <w:numPr>
          <w:ilvl w:val="0"/>
          <w:numId w:val="125"/>
        </w:numPr>
        <w:rPr>
          <w:rtl/>
        </w:rPr>
      </w:pPr>
      <w:r w:rsidRPr="00C24A67">
        <w:rPr>
          <w:rFonts w:cs="Arial" w:hint="cs"/>
          <w:rtl/>
        </w:rPr>
        <w:t xml:space="preserve">ר"פ </w:t>
      </w:r>
      <w:r w:rsidRPr="00C24A67">
        <w:rPr>
          <w:rFonts w:cs="Arial"/>
          <w:sz w:val="16"/>
          <w:szCs w:val="16"/>
          <w:rtl/>
        </w:rPr>
        <w:t>(בהגה</w:t>
      </w:r>
      <w:r w:rsidRPr="00C24A67">
        <w:rPr>
          <w:rFonts w:cs="Arial" w:hint="cs"/>
          <w:sz w:val="16"/>
          <w:szCs w:val="16"/>
          <w:rtl/>
        </w:rPr>
        <w:t>'</w:t>
      </w:r>
      <w:r w:rsidRPr="00C24A67">
        <w:rPr>
          <w:rFonts w:cs="Arial"/>
          <w:sz w:val="16"/>
          <w:szCs w:val="16"/>
          <w:rtl/>
        </w:rPr>
        <w:t xml:space="preserve"> סמ"ק</w:t>
      </w:r>
      <w:r w:rsidRPr="00C24A67">
        <w:rPr>
          <w:rFonts w:cs="Arial" w:hint="cs"/>
          <w:sz w:val="16"/>
          <w:szCs w:val="16"/>
          <w:rtl/>
        </w:rPr>
        <w:t xml:space="preserve"> </w:t>
      </w:r>
      <w:r w:rsidRPr="00C24A67">
        <w:rPr>
          <w:rFonts w:cs="Arial"/>
          <w:sz w:val="16"/>
          <w:szCs w:val="16"/>
          <w:rtl/>
        </w:rPr>
        <w:t>סי</w:t>
      </w:r>
      <w:r w:rsidRPr="00C24A67">
        <w:rPr>
          <w:rFonts w:cs="Arial" w:hint="cs"/>
          <w:sz w:val="16"/>
          <w:szCs w:val="16"/>
          <w:rtl/>
        </w:rPr>
        <w:t>'</w:t>
      </w:r>
      <w:r w:rsidRPr="00C24A67">
        <w:rPr>
          <w:rFonts w:cs="Arial"/>
          <w:sz w:val="16"/>
          <w:szCs w:val="16"/>
          <w:rtl/>
        </w:rPr>
        <w:t xml:space="preserve"> ריג דיני ביטול אות א)</w:t>
      </w:r>
      <w:r w:rsidRPr="002914DA">
        <w:rPr>
          <w:rFonts w:cs="Arial" w:hint="cs"/>
          <w:rtl/>
        </w:rPr>
        <w:t xml:space="preserve"> </w:t>
      </w:r>
      <w:r>
        <w:rPr>
          <w:rFonts w:cs="Arial" w:hint="cs"/>
          <w:rtl/>
        </w:rPr>
        <w:t>ו</w:t>
      </w:r>
      <w:r>
        <w:rPr>
          <w:rFonts w:cs="Arial"/>
          <w:rtl/>
        </w:rPr>
        <w:t>הגה</w:t>
      </w:r>
      <w:r>
        <w:rPr>
          <w:rFonts w:cs="Arial" w:hint="cs"/>
          <w:rtl/>
        </w:rPr>
        <w:t>"מ</w:t>
      </w:r>
      <w:r w:rsidRPr="002914DA">
        <w:rPr>
          <w:rFonts w:cs="Arial"/>
          <w:sz w:val="16"/>
          <w:szCs w:val="16"/>
          <w:rtl/>
        </w:rPr>
        <w:t xml:space="preserve"> </w:t>
      </w:r>
      <w:r w:rsidRPr="002914DA">
        <w:rPr>
          <w:rFonts w:cs="Arial" w:hint="cs"/>
          <w:sz w:val="16"/>
          <w:szCs w:val="16"/>
          <w:rtl/>
        </w:rPr>
        <w:t>(</w:t>
      </w:r>
      <w:r w:rsidRPr="002914DA">
        <w:rPr>
          <w:rFonts w:cs="Arial"/>
          <w:sz w:val="16"/>
          <w:szCs w:val="16"/>
          <w:rtl/>
        </w:rPr>
        <w:t>פ"ט</w:t>
      </w:r>
      <w:r>
        <w:rPr>
          <w:rFonts w:cs="Arial" w:hint="cs"/>
          <w:sz w:val="16"/>
          <w:szCs w:val="16"/>
          <w:rtl/>
        </w:rPr>
        <w:t>, הביאו הדרכ"מ [אות ו]</w:t>
      </w:r>
      <w:r w:rsidRPr="002914DA">
        <w:rPr>
          <w:rFonts w:cs="Arial" w:hint="cs"/>
          <w:sz w:val="16"/>
          <w:szCs w:val="16"/>
          <w:rtl/>
        </w:rPr>
        <w:t>)</w:t>
      </w:r>
      <w:r w:rsidRPr="00C24A67">
        <w:rPr>
          <w:rFonts w:cs="Arial" w:hint="cs"/>
          <w:rtl/>
        </w:rPr>
        <w:t xml:space="preserve">- </w:t>
      </w:r>
      <w:r w:rsidRPr="00C24A67">
        <w:rPr>
          <w:rFonts w:cs="Arial"/>
          <w:rtl/>
        </w:rPr>
        <w:t>אם בשלו מים בקדרה חדשה ותחבו בה כף חולבת ואח"כ חזרו ובשלו בה מים פעם אחרת ותחבו בה כף של בשר ושתי הכפות היו בני יומן ובשום אחד מן הפעמים לא היה במים ששים</w:t>
      </w:r>
      <w:r>
        <w:rPr>
          <w:rFonts w:cs="Arial" w:hint="cs"/>
          <w:rtl/>
        </w:rPr>
        <w:t xml:space="preserve"> </w:t>
      </w:r>
      <w:r w:rsidRPr="00C24A67">
        <w:rPr>
          <w:rFonts w:cs="Arial"/>
          <w:rtl/>
        </w:rPr>
        <w:t>אסור להשתמש בקדרה לא בשר ולא חלב אבל שאר דברים מותר לבשל בה מאחר שהיתה חדשה שלא בשלו בה חלב מעולם</w:t>
      </w:r>
      <w:r>
        <w:rPr>
          <w:rStyle w:val="a7"/>
          <w:rFonts w:cs="Arial"/>
          <w:rtl/>
        </w:rPr>
        <w:footnoteReference w:id="1552"/>
      </w:r>
      <w:r w:rsidRPr="00C24A67">
        <w:rPr>
          <w:rFonts w:cs="Arial" w:hint="cs"/>
          <w:rtl/>
        </w:rPr>
        <w:t>.</w:t>
      </w:r>
      <w:r>
        <w:rPr>
          <w:rFonts w:hint="cs"/>
          <w:rtl/>
        </w:rPr>
        <w:t xml:space="preserve"> </w:t>
      </w:r>
      <w:r w:rsidRPr="00162878">
        <w:rPr>
          <w:rFonts w:hint="cs"/>
          <w:color w:val="E36C0A" w:themeColor="accent6" w:themeShade="BF"/>
          <w:rtl/>
        </w:rPr>
        <w:t>(וכ"פ בשו"ע)</w:t>
      </w:r>
      <w:r>
        <w:rPr>
          <w:rFonts w:hint="cs"/>
          <w:rtl/>
        </w:rPr>
        <w:t xml:space="preserve"> (וכ"פ הט"ז</w:t>
      </w:r>
      <w:r>
        <w:rPr>
          <w:rStyle w:val="a7"/>
          <w:rtl/>
        </w:rPr>
        <w:footnoteReference w:id="1553"/>
      </w:r>
      <w:r>
        <w:rPr>
          <w:rFonts w:hint="cs"/>
          <w:rtl/>
        </w:rPr>
        <w:t>)</w:t>
      </w:r>
    </w:p>
    <w:p w14:paraId="0E36E820" w14:textId="77777777" w:rsidR="002C39F4" w:rsidRPr="000D65B6" w:rsidRDefault="002C39F4" w:rsidP="0032102C">
      <w:pPr>
        <w:pStyle w:val="a8"/>
        <w:numPr>
          <w:ilvl w:val="0"/>
          <w:numId w:val="125"/>
        </w:numPr>
      </w:pPr>
      <w:r>
        <w:rPr>
          <w:rFonts w:cs="Arial" w:hint="cs"/>
          <w:rtl/>
        </w:rPr>
        <w:t>או</w:t>
      </w:r>
      <w:r>
        <w:rPr>
          <w:rFonts w:cs="Arial"/>
          <w:rtl/>
        </w:rPr>
        <w:t>"</w:t>
      </w:r>
      <w:r>
        <w:rPr>
          <w:rFonts w:cs="Arial" w:hint="cs"/>
          <w:rtl/>
        </w:rPr>
        <w:t>ה</w:t>
      </w:r>
      <w:r>
        <w:rPr>
          <w:rFonts w:cs="Arial"/>
          <w:rtl/>
        </w:rPr>
        <w:t xml:space="preserve"> </w:t>
      </w:r>
      <w:r w:rsidRPr="000D65B6">
        <w:rPr>
          <w:rFonts w:cs="Arial" w:hint="cs"/>
          <w:sz w:val="16"/>
          <w:szCs w:val="16"/>
          <w:rtl/>
        </w:rPr>
        <w:t>(</w:t>
      </w:r>
      <w:r w:rsidRPr="000D65B6">
        <w:rPr>
          <w:rFonts w:cs="Arial"/>
          <w:sz w:val="16"/>
          <w:szCs w:val="16"/>
          <w:rtl/>
        </w:rPr>
        <w:t xml:space="preserve">כלל לז </w:t>
      </w:r>
      <w:r>
        <w:rPr>
          <w:rFonts w:cs="Arial"/>
          <w:sz w:val="16"/>
          <w:szCs w:val="16"/>
          <w:rtl/>
        </w:rPr>
        <w:t>ד</w:t>
      </w:r>
      <w:r>
        <w:rPr>
          <w:rFonts w:cs="Arial" w:hint="cs"/>
          <w:sz w:val="16"/>
          <w:szCs w:val="16"/>
          <w:rtl/>
        </w:rPr>
        <w:t>"</w:t>
      </w:r>
      <w:r w:rsidRPr="000D65B6">
        <w:rPr>
          <w:rFonts w:cs="Arial"/>
          <w:sz w:val="16"/>
          <w:szCs w:val="16"/>
          <w:rtl/>
        </w:rPr>
        <w:t>ט-י)</w:t>
      </w:r>
      <w:r>
        <w:rPr>
          <w:rFonts w:cs="Arial" w:hint="cs"/>
          <w:rtl/>
        </w:rPr>
        <w:t xml:space="preserve">- </w:t>
      </w:r>
      <w:r>
        <w:rPr>
          <w:rFonts w:cs="Arial"/>
          <w:rtl/>
        </w:rPr>
        <w:t>קדרה חדשה שמבשל בה ירקות או כיוצא בזו ותחבו בו שתי כפות אחת של בשר ואחת של חלב</w:t>
      </w:r>
      <w:r>
        <w:rPr>
          <w:rStyle w:val="a7"/>
          <w:rFonts w:cs="Arial"/>
          <w:rtl/>
        </w:rPr>
        <w:footnoteReference w:id="1554"/>
      </w:r>
      <w:r>
        <w:rPr>
          <w:rFonts w:cs="Arial" w:hint="cs"/>
          <w:rtl/>
        </w:rPr>
        <w:t>...</w:t>
      </w:r>
      <w:r>
        <w:rPr>
          <w:rFonts w:cs="Arial"/>
          <w:rtl/>
        </w:rPr>
        <w:t xml:space="preserve"> אם שניהן בני יומן ואין ששים נגדן אם תחבן בבת אחת הכל אסור ואם תחבן בזו אחר זו המאכל יאכל כמין האחרון וגם הקדרה ישתמשו בו ממין האחרון</w:t>
      </w:r>
      <w:r>
        <w:rPr>
          <w:rStyle w:val="a7"/>
          <w:rFonts w:cs="Arial"/>
          <w:rtl/>
        </w:rPr>
        <w:footnoteReference w:id="1555"/>
      </w:r>
      <w:r>
        <w:rPr>
          <w:rFonts w:cs="Arial"/>
          <w:rtl/>
        </w:rPr>
        <w:t xml:space="preserve">. </w:t>
      </w:r>
      <w:r>
        <w:rPr>
          <w:rFonts w:hint="cs"/>
          <w:rtl/>
        </w:rPr>
        <w:t>(וכ"פ ש"ך</w:t>
      </w:r>
      <w:r>
        <w:rPr>
          <w:rStyle w:val="a7"/>
          <w:rtl/>
        </w:rPr>
        <w:footnoteReference w:id="1556"/>
      </w:r>
      <w:r>
        <w:rPr>
          <w:rFonts w:hint="cs"/>
          <w:rtl/>
        </w:rPr>
        <w:t xml:space="preserve"> ופר"ח </w:t>
      </w:r>
      <w:r>
        <w:rPr>
          <w:rFonts w:hint="cs"/>
          <w:sz w:val="16"/>
          <w:szCs w:val="16"/>
          <w:rtl/>
        </w:rPr>
        <w:t>[סקי"ד]</w:t>
      </w:r>
      <w:r>
        <w:rPr>
          <w:rFonts w:hint="cs"/>
          <w:rtl/>
        </w:rPr>
        <w:t>)</w:t>
      </w:r>
    </w:p>
    <w:p w14:paraId="6B73C380" w14:textId="77777777" w:rsidR="002C39F4" w:rsidRDefault="002C39F4" w:rsidP="002C39F4">
      <w:pPr>
        <w:rPr>
          <w:rFonts w:cs="Arial"/>
          <w:rtl/>
        </w:rPr>
      </w:pPr>
      <w:r w:rsidRPr="00773C89">
        <w:rPr>
          <w:rFonts w:cs="Arial" w:hint="cs"/>
          <w:u w:val="single"/>
          <w:rtl/>
        </w:rPr>
        <w:t>בישל בקדרה בשר ובתוך מעל"ע בישל בה מים ולאחר מעל"ע מבישול הבשר בישל בה חלב:</w:t>
      </w:r>
    </w:p>
    <w:p w14:paraId="53200853" w14:textId="77777777" w:rsidR="002C39F4" w:rsidRDefault="002C39F4" w:rsidP="0032102C">
      <w:pPr>
        <w:pStyle w:val="a8"/>
        <w:numPr>
          <w:ilvl w:val="0"/>
          <w:numId w:val="127"/>
        </w:numPr>
        <w:rPr>
          <w:rFonts w:cs="Arial"/>
        </w:rPr>
      </w:pPr>
      <w:r w:rsidRPr="00773C89">
        <w:rPr>
          <w:rFonts w:cs="Arial" w:hint="cs"/>
          <w:rtl/>
        </w:rPr>
        <w:t>סה"ת</w:t>
      </w:r>
      <w:r w:rsidRPr="00773C89">
        <w:rPr>
          <w:rFonts w:cs="Arial"/>
          <w:rtl/>
        </w:rPr>
        <w:t xml:space="preserve"> </w:t>
      </w:r>
      <w:r w:rsidRPr="00773C89">
        <w:rPr>
          <w:rFonts w:cs="Arial"/>
          <w:sz w:val="16"/>
          <w:szCs w:val="16"/>
          <w:rtl/>
        </w:rPr>
        <w:t>(סי' עה</w:t>
      </w:r>
      <w:r w:rsidRPr="00773C89">
        <w:rPr>
          <w:rFonts w:cs="Arial" w:hint="cs"/>
          <w:sz w:val="16"/>
          <w:szCs w:val="16"/>
          <w:rtl/>
        </w:rPr>
        <w:t>, ו</w:t>
      </w:r>
      <w:r w:rsidRPr="00773C89">
        <w:rPr>
          <w:rFonts w:cs="Arial"/>
          <w:sz w:val="16"/>
          <w:szCs w:val="16"/>
          <w:rtl/>
        </w:rPr>
        <w:t>כ</w:t>
      </w:r>
      <w:r w:rsidRPr="00773C89">
        <w:rPr>
          <w:rFonts w:cs="Arial" w:hint="cs"/>
          <w:sz w:val="16"/>
          <w:szCs w:val="16"/>
          <w:rtl/>
        </w:rPr>
        <w:t>"כ בשמו ר"פ</w:t>
      </w:r>
      <w:r w:rsidRPr="00773C89">
        <w:rPr>
          <w:rFonts w:cs="Arial"/>
          <w:sz w:val="16"/>
          <w:szCs w:val="16"/>
          <w:rtl/>
        </w:rPr>
        <w:t xml:space="preserve"> </w:t>
      </w:r>
      <w:r>
        <w:rPr>
          <w:rFonts w:cs="Arial" w:hint="cs"/>
          <w:sz w:val="14"/>
          <w:szCs w:val="14"/>
          <w:rtl/>
        </w:rPr>
        <w:t>[</w:t>
      </w:r>
      <w:r w:rsidRPr="00773C89">
        <w:rPr>
          <w:rFonts w:cs="Arial"/>
          <w:sz w:val="14"/>
          <w:szCs w:val="14"/>
          <w:rtl/>
        </w:rPr>
        <w:t>סי' ריג בהגה</w:t>
      </w:r>
      <w:r w:rsidRPr="00773C89">
        <w:rPr>
          <w:rFonts w:cs="Arial" w:hint="cs"/>
          <w:sz w:val="14"/>
          <w:szCs w:val="14"/>
          <w:rtl/>
        </w:rPr>
        <w:t>'</w:t>
      </w:r>
      <w:r w:rsidRPr="00773C89">
        <w:rPr>
          <w:rFonts w:cs="Arial"/>
          <w:sz w:val="14"/>
          <w:szCs w:val="14"/>
          <w:rtl/>
        </w:rPr>
        <w:t xml:space="preserve"> סמ"ק דיני ביטול אות ו</w:t>
      </w:r>
      <w:r w:rsidRPr="00773C89">
        <w:rPr>
          <w:rFonts w:cs="Arial" w:hint="cs"/>
          <w:sz w:val="14"/>
          <w:szCs w:val="14"/>
          <w:rtl/>
        </w:rPr>
        <w:t>]</w:t>
      </w:r>
      <w:r w:rsidRPr="00773C89">
        <w:rPr>
          <w:rFonts w:cs="Arial"/>
          <w:sz w:val="16"/>
          <w:szCs w:val="16"/>
          <w:rtl/>
        </w:rPr>
        <w:t>)</w:t>
      </w:r>
      <w:r w:rsidRPr="00773C89">
        <w:rPr>
          <w:rFonts w:cs="Arial" w:hint="cs"/>
          <w:rtl/>
        </w:rPr>
        <w:t>-</w:t>
      </w:r>
      <w:r w:rsidRPr="00773C89">
        <w:rPr>
          <w:rFonts w:cs="Arial"/>
          <w:rtl/>
        </w:rPr>
        <w:t xml:space="preserve"> </w:t>
      </w:r>
      <w:r w:rsidRPr="00773C89">
        <w:rPr>
          <w:rFonts w:cs="Arial" w:hint="cs"/>
          <w:rtl/>
        </w:rPr>
        <w:t>אע"ג</w:t>
      </w:r>
      <w:r w:rsidRPr="00773C89">
        <w:rPr>
          <w:rFonts w:cs="Arial"/>
          <w:rtl/>
        </w:rPr>
        <w:t xml:space="preserve"> דבשאר איסורים קדרה של איסור ששהתה מע"ל בלא איסור אם הוחמו בה חמין בתוך מעת לעת חשיבא כבת יומא</w:t>
      </w:r>
      <w:r>
        <w:rPr>
          <w:rFonts w:cs="Arial" w:hint="cs"/>
          <w:rtl/>
        </w:rPr>
        <w:t>,</w:t>
      </w:r>
      <w:r w:rsidRPr="00773C89">
        <w:rPr>
          <w:rFonts w:cs="Arial"/>
          <w:rtl/>
        </w:rPr>
        <w:t xml:space="preserve"> שהרי טעם איסור שבקדרה פלט לתוך המים ולא היו בהן ששים לבטלה דבכולה משערינן ונעשית בת יומא וצריכה מע"ל לאחר חימום המים</w:t>
      </w:r>
      <w:r>
        <w:rPr>
          <w:rFonts w:cs="Arial" w:hint="cs"/>
          <w:rtl/>
        </w:rPr>
        <w:t xml:space="preserve"> -</w:t>
      </w:r>
      <w:r w:rsidRPr="00773C89">
        <w:rPr>
          <w:rFonts w:cs="Arial"/>
          <w:rtl/>
        </w:rPr>
        <w:t xml:space="preserve"> בבשר בחלב אינו כן שאם בשלו בה בשר ובתוך מע"ל הוחמו בה מים ואחר ששהתה מע"ל לבשול הבשר בשלו בה חלב מותר אע</w:t>
      </w:r>
      <w:r w:rsidRPr="00773C89">
        <w:rPr>
          <w:rFonts w:cs="Arial" w:hint="cs"/>
          <w:rtl/>
        </w:rPr>
        <w:t>"</w:t>
      </w:r>
      <w:r w:rsidRPr="00773C89">
        <w:rPr>
          <w:rFonts w:cs="Arial"/>
          <w:rtl/>
        </w:rPr>
        <w:t>פ שהוא בתוך מע"ל לחימום המים</w:t>
      </w:r>
      <w:r>
        <w:rPr>
          <w:rStyle w:val="a7"/>
          <w:rFonts w:cs="Arial"/>
          <w:rtl/>
        </w:rPr>
        <w:footnoteReference w:id="1557"/>
      </w:r>
      <w:r w:rsidRPr="00773C89">
        <w:rPr>
          <w:rFonts w:cs="Arial" w:hint="cs"/>
          <w:rtl/>
        </w:rPr>
        <w:t>.</w:t>
      </w:r>
      <w:r>
        <w:rPr>
          <w:rFonts w:cs="Arial" w:hint="cs"/>
          <w:rtl/>
        </w:rPr>
        <w:t xml:space="preserve"> </w:t>
      </w:r>
    </w:p>
    <w:p w14:paraId="0EEC37B0" w14:textId="77777777" w:rsidR="002C39F4" w:rsidRPr="00F80D60" w:rsidRDefault="002C39F4" w:rsidP="002C39F4">
      <w:pPr>
        <w:rPr>
          <w:rFonts w:cs="Arial"/>
          <w:rtl/>
        </w:rPr>
      </w:pPr>
      <w:r w:rsidRPr="00F80D60">
        <w:rPr>
          <w:rFonts w:cs="Arial" w:hint="cs"/>
          <w:u w:val="single"/>
          <w:rtl/>
        </w:rPr>
        <w:t xml:space="preserve">בישל בשר בקדרה </w:t>
      </w:r>
      <w:r>
        <w:rPr>
          <w:rFonts w:cs="Arial" w:hint="cs"/>
          <w:u w:val="single"/>
          <w:rtl/>
        </w:rPr>
        <w:t>של חלב ובתוך מעל"ע בישל שוב בשר באותה קדרה</w:t>
      </w:r>
      <w:r w:rsidRPr="00F80D60">
        <w:rPr>
          <w:rFonts w:cs="Arial" w:hint="cs"/>
          <w:u w:val="single"/>
          <w:rtl/>
        </w:rPr>
        <w:t>:</w:t>
      </w:r>
    </w:p>
    <w:p w14:paraId="1721251F" w14:textId="77777777" w:rsidR="002C39F4" w:rsidRPr="00773C89" w:rsidRDefault="002C39F4" w:rsidP="0032102C">
      <w:pPr>
        <w:pStyle w:val="a8"/>
        <w:numPr>
          <w:ilvl w:val="0"/>
          <w:numId w:val="127"/>
        </w:numPr>
        <w:rPr>
          <w:rFonts w:cs="Arial"/>
          <w:rtl/>
        </w:rPr>
      </w:pPr>
      <w:r>
        <w:rPr>
          <w:rFonts w:cs="Arial" w:hint="cs"/>
          <w:rtl/>
        </w:rPr>
        <w:t>או</w:t>
      </w:r>
      <w:r>
        <w:rPr>
          <w:rFonts w:cs="Arial"/>
          <w:rtl/>
        </w:rPr>
        <w:t>"</w:t>
      </w:r>
      <w:r>
        <w:rPr>
          <w:rFonts w:cs="Arial" w:hint="cs"/>
          <w:rtl/>
        </w:rPr>
        <w:t>ה</w:t>
      </w:r>
      <w:r w:rsidRPr="00F80D60">
        <w:rPr>
          <w:rFonts w:cs="Arial"/>
          <w:sz w:val="16"/>
          <w:szCs w:val="16"/>
          <w:rtl/>
        </w:rPr>
        <w:t xml:space="preserve"> </w:t>
      </w:r>
      <w:r w:rsidRPr="00F80D60">
        <w:rPr>
          <w:rFonts w:cs="Arial" w:hint="cs"/>
          <w:sz w:val="16"/>
          <w:szCs w:val="16"/>
          <w:rtl/>
        </w:rPr>
        <w:t>(</w:t>
      </w:r>
      <w:r w:rsidRPr="00F80D60">
        <w:rPr>
          <w:rFonts w:cs="Arial"/>
          <w:sz w:val="16"/>
          <w:szCs w:val="16"/>
          <w:rtl/>
        </w:rPr>
        <w:t>כלל לז דין ו)</w:t>
      </w:r>
      <w:r>
        <w:rPr>
          <w:rFonts w:cs="Arial" w:hint="cs"/>
          <w:rtl/>
        </w:rPr>
        <w:t xml:space="preserve">- </w:t>
      </w:r>
      <w:r w:rsidRPr="00F80D60">
        <w:rPr>
          <w:rFonts w:cs="Arial"/>
          <w:rtl/>
        </w:rPr>
        <w:t>אם בשלו בקדרה של חלב בשר ואח"כ תוך מעת לעת חזרו ובשלו בו בשר אחר לא אמרינן דהואיל ונאסר מתחלה מבשר וחלב יחשב בן יומא מבישול של בשר אלא הואיל ואינו בן יומא מבישול החלב אינו אוסר בשר שני</w:t>
      </w:r>
      <w:r>
        <w:rPr>
          <w:rStyle w:val="a7"/>
          <w:rFonts w:cs="Arial"/>
          <w:rtl/>
        </w:rPr>
        <w:footnoteReference w:id="1558"/>
      </w:r>
      <w:r>
        <w:rPr>
          <w:rFonts w:cs="Arial" w:hint="cs"/>
          <w:rtl/>
        </w:rPr>
        <w:t>.</w:t>
      </w:r>
    </w:p>
    <w:p w14:paraId="6D99C2F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EDA74F9" w14:textId="77777777" w:rsidR="002C39F4" w:rsidRDefault="002C39F4" w:rsidP="002C39F4">
      <w:pPr>
        <w:rPr>
          <w:rFonts w:asciiTheme="minorBidi" w:hAnsiTheme="minorBidi"/>
          <w:rtl/>
        </w:rPr>
      </w:pPr>
      <w:r w:rsidRPr="003024E5">
        <w:rPr>
          <w:rFonts w:asciiTheme="minorBidi" w:hAnsiTheme="minorBidi"/>
          <w:rtl/>
        </w:rPr>
        <w:t>אם בשלו מ</w:t>
      </w:r>
      <w:r>
        <w:rPr>
          <w:rFonts w:asciiTheme="minorBidi" w:hAnsiTheme="minorBidi"/>
          <w:rtl/>
        </w:rPr>
        <w:t>ים בקדרה חדשה ותחבו בה כף חולבת</w:t>
      </w:r>
      <w:r w:rsidRPr="003024E5">
        <w:rPr>
          <w:rFonts w:asciiTheme="minorBidi" w:hAnsiTheme="minorBidi"/>
          <w:rtl/>
        </w:rPr>
        <w:t xml:space="preserve"> ואחר כך חזרו ובשלו בה </w:t>
      </w:r>
      <w:r>
        <w:rPr>
          <w:rFonts w:asciiTheme="minorBidi" w:hAnsiTheme="minorBidi"/>
          <w:rtl/>
        </w:rPr>
        <w:t>מים פעם אחרת ותחבו בה כף של בשר</w:t>
      </w:r>
      <w:r w:rsidRPr="003024E5">
        <w:rPr>
          <w:rFonts w:asciiTheme="minorBidi" w:hAnsiTheme="minorBidi"/>
          <w:rtl/>
        </w:rPr>
        <w:t xml:space="preserve"> ושתי הכפות היו בני יומן ובש</w:t>
      </w:r>
      <w:r>
        <w:rPr>
          <w:rFonts w:asciiTheme="minorBidi" w:hAnsiTheme="minorBidi"/>
          <w:rtl/>
        </w:rPr>
        <w:t>ום אחד מהפעמים לא היה במים ששים</w:t>
      </w:r>
      <w:r w:rsidRPr="003024E5">
        <w:rPr>
          <w:rFonts w:asciiTheme="minorBidi" w:hAnsiTheme="minorBidi"/>
          <w:rtl/>
        </w:rPr>
        <w:t xml:space="preserve"> אסור להשתמש בקדירה לא בשר</w:t>
      </w:r>
      <w:r>
        <w:rPr>
          <w:rFonts w:asciiTheme="minorBidi" w:hAnsiTheme="minorBidi"/>
          <w:rtl/>
        </w:rPr>
        <w:t xml:space="preserve"> ולא חלב, אבל שאר דבר מותר לבשל</w:t>
      </w:r>
      <w:r w:rsidRPr="003024E5">
        <w:rPr>
          <w:rFonts w:asciiTheme="minorBidi" w:hAnsiTheme="minorBidi"/>
          <w:rtl/>
        </w:rPr>
        <w:t xml:space="preserve"> מאחר שהיתה חדשה שלא בשלו בה מעולם. </w:t>
      </w:r>
      <w:r w:rsidRPr="00F80D60">
        <w:rPr>
          <w:rFonts w:asciiTheme="minorBidi" w:hAnsiTheme="minorBidi"/>
          <w:sz w:val="18"/>
          <w:szCs w:val="18"/>
          <w:rtl/>
        </w:rPr>
        <w:t xml:space="preserve">הגה: </w:t>
      </w:r>
      <w:r>
        <w:rPr>
          <w:rFonts w:asciiTheme="minorBidi" w:hAnsiTheme="minorBidi"/>
          <w:sz w:val="18"/>
          <w:szCs w:val="18"/>
          <w:rtl/>
        </w:rPr>
        <w:t>מיהו אם עבר ובישל בה בשר או חלב</w:t>
      </w:r>
      <w:r w:rsidRPr="00F80D60">
        <w:rPr>
          <w:rFonts w:asciiTheme="minorBidi" w:hAnsiTheme="minorBidi"/>
          <w:sz w:val="18"/>
          <w:szCs w:val="18"/>
          <w:rtl/>
        </w:rPr>
        <w:t xml:space="preserve"> מותר, דהוי נ</w:t>
      </w:r>
      <w:r>
        <w:rPr>
          <w:rFonts w:asciiTheme="minorBidi" w:hAnsiTheme="minorBidi" w:hint="cs"/>
          <w:sz w:val="18"/>
          <w:szCs w:val="18"/>
          <w:rtl/>
        </w:rPr>
        <w:t>"</w:t>
      </w:r>
      <w:r>
        <w:rPr>
          <w:rFonts w:asciiTheme="minorBidi" w:hAnsiTheme="minorBidi"/>
          <w:sz w:val="18"/>
          <w:szCs w:val="18"/>
          <w:rtl/>
        </w:rPr>
        <w:t>ט בר</w:t>
      </w:r>
      <w:r>
        <w:rPr>
          <w:rFonts w:asciiTheme="minorBidi" w:hAnsiTheme="minorBidi" w:hint="cs"/>
          <w:sz w:val="18"/>
          <w:szCs w:val="18"/>
          <w:rtl/>
        </w:rPr>
        <w:t xml:space="preserve"> </w:t>
      </w:r>
      <w:r>
        <w:rPr>
          <w:rFonts w:asciiTheme="minorBidi" w:hAnsiTheme="minorBidi"/>
          <w:sz w:val="18"/>
          <w:szCs w:val="18"/>
          <w:rtl/>
        </w:rPr>
        <w:t>נ</w:t>
      </w:r>
      <w:r>
        <w:rPr>
          <w:rFonts w:asciiTheme="minorBidi" w:hAnsiTheme="minorBidi" w:hint="cs"/>
          <w:sz w:val="18"/>
          <w:szCs w:val="18"/>
          <w:rtl/>
        </w:rPr>
        <w:t>"</w:t>
      </w:r>
      <w:r>
        <w:rPr>
          <w:rFonts w:asciiTheme="minorBidi" w:hAnsiTheme="minorBidi"/>
          <w:sz w:val="18"/>
          <w:szCs w:val="18"/>
          <w:rtl/>
        </w:rPr>
        <w:t>ט</w:t>
      </w:r>
      <w:r>
        <w:rPr>
          <w:rStyle w:val="a7"/>
          <w:rFonts w:asciiTheme="minorBidi" w:hAnsiTheme="minorBidi"/>
          <w:sz w:val="18"/>
          <w:szCs w:val="18"/>
          <w:rtl/>
        </w:rPr>
        <w:footnoteReference w:id="1559"/>
      </w:r>
      <w:r>
        <w:rPr>
          <w:rFonts w:asciiTheme="minorBidi" w:hAnsiTheme="minorBidi"/>
          <w:sz w:val="18"/>
          <w:szCs w:val="18"/>
          <w:rtl/>
        </w:rPr>
        <w:t xml:space="preserve"> </w:t>
      </w:r>
      <w:r w:rsidRPr="00DA4C0B">
        <w:rPr>
          <w:rFonts w:asciiTheme="minorBidi" w:hAnsiTheme="minorBidi"/>
          <w:sz w:val="16"/>
          <w:szCs w:val="16"/>
          <w:rtl/>
        </w:rPr>
        <w:t>(הגה</w:t>
      </w:r>
      <w:r w:rsidRPr="00DA4C0B">
        <w:rPr>
          <w:rFonts w:asciiTheme="minorBidi" w:hAnsiTheme="minorBidi" w:hint="cs"/>
          <w:sz w:val="16"/>
          <w:szCs w:val="16"/>
          <w:rtl/>
        </w:rPr>
        <w:t>"</w:t>
      </w:r>
      <w:r w:rsidRPr="00DA4C0B">
        <w:rPr>
          <w:rFonts w:asciiTheme="minorBidi" w:hAnsiTheme="minorBidi"/>
          <w:sz w:val="16"/>
          <w:szCs w:val="16"/>
          <w:rtl/>
        </w:rPr>
        <w:t>מ)</w:t>
      </w:r>
      <w:r w:rsidRPr="00F80D60">
        <w:rPr>
          <w:rFonts w:asciiTheme="minorBidi" w:hAnsiTheme="minorBidi"/>
          <w:sz w:val="18"/>
          <w:szCs w:val="18"/>
          <w:rtl/>
        </w:rPr>
        <w:t>. קדירה שבשלו בה י</w:t>
      </w:r>
      <w:r>
        <w:rPr>
          <w:rFonts w:asciiTheme="minorBidi" w:hAnsiTheme="minorBidi"/>
          <w:sz w:val="18"/>
          <w:szCs w:val="18"/>
          <w:rtl/>
        </w:rPr>
        <w:t>רקות או מים ותחבו בה כף בן יומו והקדירה אינה בת יומא</w:t>
      </w:r>
      <w:r>
        <w:rPr>
          <w:rStyle w:val="a7"/>
          <w:rFonts w:asciiTheme="minorBidi" w:hAnsiTheme="minorBidi"/>
          <w:sz w:val="18"/>
          <w:szCs w:val="18"/>
          <w:rtl/>
        </w:rPr>
        <w:footnoteReference w:id="1560"/>
      </w:r>
      <w:r>
        <w:rPr>
          <w:rFonts w:asciiTheme="minorBidi" w:hAnsiTheme="minorBidi" w:hint="cs"/>
          <w:sz w:val="18"/>
          <w:szCs w:val="18"/>
          <w:rtl/>
        </w:rPr>
        <w:t>,</w:t>
      </w:r>
      <w:r>
        <w:rPr>
          <w:rFonts w:asciiTheme="minorBidi" w:hAnsiTheme="minorBidi"/>
          <w:sz w:val="18"/>
          <w:szCs w:val="18"/>
          <w:rtl/>
        </w:rPr>
        <w:t xml:space="preserve"> או להפך</w:t>
      </w:r>
      <w:r>
        <w:rPr>
          <w:rFonts w:asciiTheme="minorBidi" w:hAnsiTheme="minorBidi" w:hint="cs"/>
          <w:sz w:val="18"/>
          <w:szCs w:val="18"/>
          <w:rtl/>
        </w:rPr>
        <w:t>,</w:t>
      </w:r>
      <w:r w:rsidRPr="00F80D60">
        <w:rPr>
          <w:rFonts w:asciiTheme="minorBidi" w:hAnsiTheme="minorBidi"/>
          <w:sz w:val="18"/>
          <w:szCs w:val="18"/>
          <w:rtl/>
        </w:rPr>
        <w:t xml:space="preserve"> או שיש</w:t>
      </w:r>
      <w:r>
        <w:rPr>
          <w:rFonts w:asciiTheme="minorBidi" w:hAnsiTheme="minorBidi"/>
          <w:sz w:val="18"/>
          <w:szCs w:val="18"/>
          <w:rtl/>
        </w:rPr>
        <w:t xml:space="preserve"> במאכל </w:t>
      </w:r>
      <w:r>
        <w:rPr>
          <w:rFonts w:asciiTheme="minorBidi" w:hAnsiTheme="minorBidi" w:hint="cs"/>
          <w:sz w:val="18"/>
          <w:szCs w:val="18"/>
          <w:rtl/>
        </w:rPr>
        <w:t>ס',</w:t>
      </w:r>
      <w:r>
        <w:rPr>
          <w:rFonts w:asciiTheme="minorBidi" w:hAnsiTheme="minorBidi"/>
          <w:sz w:val="18"/>
          <w:szCs w:val="18"/>
          <w:rtl/>
        </w:rPr>
        <w:t xml:space="preserve"> הכל שרי</w:t>
      </w:r>
      <w:r>
        <w:rPr>
          <w:rFonts w:asciiTheme="minorBidi" w:hAnsiTheme="minorBidi" w:hint="cs"/>
          <w:sz w:val="18"/>
          <w:szCs w:val="18"/>
          <w:rtl/>
        </w:rPr>
        <w:t>,</w:t>
      </w:r>
      <w:r w:rsidRPr="00F80D60">
        <w:rPr>
          <w:rFonts w:asciiTheme="minorBidi" w:hAnsiTheme="minorBidi"/>
          <w:sz w:val="18"/>
          <w:szCs w:val="18"/>
          <w:rtl/>
        </w:rPr>
        <w:t xml:space="preserve"> ונוהגין להחמיר</w:t>
      </w:r>
      <w:r>
        <w:rPr>
          <w:rStyle w:val="a7"/>
          <w:rFonts w:asciiTheme="minorBidi" w:hAnsiTheme="minorBidi"/>
          <w:sz w:val="18"/>
          <w:szCs w:val="18"/>
          <w:rtl/>
        </w:rPr>
        <w:footnoteReference w:id="1561"/>
      </w:r>
      <w:r w:rsidRPr="00F80D60">
        <w:rPr>
          <w:rFonts w:asciiTheme="minorBidi" w:hAnsiTheme="minorBidi"/>
          <w:sz w:val="18"/>
          <w:szCs w:val="18"/>
          <w:rtl/>
        </w:rPr>
        <w:t xml:space="preserve"> לאכ</w:t>
      </w:r>
      <w:r>
        <w:rPr>
          <w:rFonts w:asciiTheme="minorBidi" w:hAnsiTheme="minorBidi"/>
          <w:sz w:val="18"/>
          <w:szCs w:val="18"/>
          <w:rtl/>
        </w:rPr>
        <w:t>ול המאכל</w:t>
      </w:r>
      <w:r>
        <w:rPr>
          <w:rStyle w:val="a7"/>
          <w:rFonts w:asciiTheme="minorBidi" w:hAnsiTheme="minorBidi"/>
          <w:sz w:val="18"/>
          <w:szCs w:val="18"/>
          <w:rtl/>
        </w:rPr>
        <w:footnoteReference w:id="1562"/>
      </w:r>
      <w:r>
        <w:rPr>
          <w:rFonts w:asciiTheme="minorBidi" w:hAnsiTheme="minorBidi"/>
          <w:sz w:val="18"/>
          <w:szCs w:val="18"/>
          <w:rtl/>
        </w:rPr>
        <w:t xml:space="preserve"> כמין</w:t>
      </w:r>
      <w:r>
        <w:rPr>
          <w:rStyle w:val="a7"/>
          <w:rFonts w:asciiTheme="minorBidi" w:hAnsiTheme="minorBidi"/>
          <w:sz w:val="18"/>
          <w:szCs w:val="18"/>
          <w:rtl/>
        </w:rPr>
        <w:footnoteReference w:id="1563"/>
      </w:r>
      <w:r>
        <w:rPr>
          <w:rFonts w:asciiTheme="minorBidi" w:hAnsiTheme="minorBidi"/>
          <w:sz w:val="18"/>
          <w:szCs w:val="18"/>
          <w:rtl/>
        </w:rPr>
        <w:t xml:space="preserve"> הכלי שהוא בן יומו</w:t>
      </w:r>
      <w:r w:rsidRPr="00F80D60">
        <w:rPr>
          <w:rFonts w:asciiTheme="minorBidi" w:hAnsiTheme="minorBidi"/>
          <w:sz w:val="18"/>
          <w:szCs w:val="18"/>
          <w:rtl/>
        </w:rPr>
        <w:t xml:space="preserve"> ולאסור </w:t>
      </w:r>
      <w:r>
        <w:rPr>
          <w:rFonts w:asciiTheme="minorBidi" w:hAnsiTheme="minorBidi"/>
          <w:sz w:val="18"/>
          <w:szCs w:val="18"/>
          <w:rtl/>
        </w:rPr>
        <w:t>הכלי שאינו בן יומו</w:t>
      </w:r>
      <w:r>
        <w:rPr>
          <w:rStyle w:val="a7"/>
          <w:rFonts w:asciiTheme="minorBidi" w:hAnsiTheme="minorBidi"/>
          <w:sz w:val="18"/>
          <w:szCs w:val="18"/>
          <w:rtl/>
        </w:rPr>
        <w:footnoteReference w:id="1564"/>
      </w:r>
      <w:r>
        <w:rPr>
          <w:rFonts w:asciiTheme="minorBidi" w:hAnsiTheme="minorBidi"/>
          <w:sz w:val="18"/>
          <w:szCs w:val="18"/>
          <w:rtl/>
        </w:rPr>
        <w:t xml:space="preserve"> </w:t>
      </w:r>
      <w:r w:rsidRPr="00DA4C0B">
        <w:rPr>
          <w:rFonts w:asciiTheme="minorBidi" w:hAnsiTheme="minorBidi"/>
          <w:sz w:val="16"/>
          <w:szCs w:val="16"/>
          <w:rtl/>
        </w:rPr>
        <w:t>(ארוך)</w:t>
      </w:r>
      <w:r>
        <w:rPr>
          <w:rFonts w:asciiTheme="minorBidi" w:hAnsiTheme="minorBidi"/>
          <w:sz w:val="18"/>
          <w:szCs w:val="18"/>
          <w:rtl/>
        </w:rPr>
        <w:t>, ואינו אלא חומרא בעלמא</w:t>
      </w:r>
      <w:r>
        <w:rPr>
          <w:rStyle w:val="a7"/>
          <w:rFonts w:asciiTheme="minorBidi" w:hAnsiTheme="minorBidi"/>
          <w:sz w:val="18"/>
          <w:szCs w:val="18"/>
          <w:rtl/>
        </w:rPr>
        <w:footnoteReference w:id="1565"/>
      </w:r>
      <w:r w:rsidRPr="00F80D60">
        <w:rPr>
          <w:rFonts w:asciiTheme="minorBidi" w:hAnsiTheme="minorBidi"/>
          <w:sz w:val="18"/>
          <w:szCs w:val="18"/>
          <w:rtl/>
        </w:rPr>
        <w:t xml:space="preserve"> כי מדינא הכל שרי</w:t>
      </w:r>
      <w:r>
        <w:rPr>
          <w:rStyle w:val="a7"/>
          <w:rFonts w:asciiTheme="minorBidi" w:hAnsiTheme="minorBidi"/>
          <w:sz w:val="18"/>
          <w:szCs w:val="18"/>
          <w:rtl/>
        </w:rPr>
        <w:footnoteReference w:id="1566"/>
      </w:r>
      <w:r w:rsidRPr="00F80D60">
        <w:rPr>
          <w:rFonts w:asciiTheme="minorBidi" w:hAnsiTheme="minorBidi"/>
          <w:sz w:val="18"/>
          <w:szCs w:val="18"/>
          <w:rtl/>
        </w:rPr>
        <w:t xml:space="preserve">. </w:t>
      </w:r>
    </w:p>
    <w:p w14:paraId="5DC6411B" w14:textId="77777777" w:rsidR="002C39F4" w:rsidRPr="003024E5" w:rsidRDefault="002C39F4" w:rsidP="002C39F4">
      <w:pPr>
        <w:rPr>
          <w:rFonts w:asciiTheme="minorBidi" w:hAnsiTheme="minorBidi"/>
          <w:rtl/>
        </w:rPr>
      </w:pPr>
    </w:p>
    <w:p w14:paraId="19BCA20C"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ירקות שבלועים מבשר ובשלם בקדרה חולבת.</w:t>
      </w:r>
    </w:p>
    <w:p w14:paraId="74A155C9" w14:textId="77777777" w:rsidR="002C39F4" w:rsidRDefault="002C39F4" w:rsidP="002C39F4">
      <w:pPr>
        <w:rPr>
          <w:rFonts w:cs="Arial"/>
          <w:rtl/>
        </w:rPr>
      </w:pPr>
      <w:r w:rsidRPr="00963390">
        <w:rPr>
          <w:rFonts w:cs="Arial"/>
          <w:u w:val="single"/>
          <w:rtl/>
        </w:rPr>
        <w:t>ירקות שבלועים מבשר ובשלם בקדרה חולבת</w:t>
      </w:r>
      <w:r>
        <w:rPr>
          <w:rFonts w:cs="Arial" w:hint="cs"/>
          <w:u w:val="single"/>
          <w:rtl/>
        </w:rPr>
        <w:t xml:space="preserve"> </w:t>
      </w:r>
      <w:r w:rsidRPr="00963390">
        <w:rPr>
          <w:rFonts w:cs="Arial" w:hint="cs"/>
          <w:u w:val="single"/>
          <w:rtl/>
        </w:rPr>
        <w:t>- משערין בששים כנגד הבשר הבלוע בהם או כנגד כל הירקות:</w:t>
      </w:r>
      <w:r w:rsidRPr="00D159BF">
        <w:rPr>
          <w:rFonts w:cs="Arial"/>
          <w:rtl/>
        </w:rPr>
        <w:t xml:space="preserve"> </w:t>
      </w:r>
    </w:p>
    <w:p w14:paraId="6C64FF65" w14:textId="77777777" w:rsidR="002C39F4" w:rsidRPr="00963390" w:rsidRDefault="002C39F4" w:rsidP="0032102C">
      <w:pPr>
        <w:pStyle w:val="a8"/>
        <w:numPr>
          <w:ilvl w:val="0"/>
          <w:numId w:val="127"/>
        </w:numPr>
        <w:rPr>
          <w:rFonts w:cs="Arial"/>
          <w:rtl/>
        </w:rPr>
      </w:pPr>
      <w:r w:rsidRPr="00963390">
        <w:rPr>
          <w:rFonts w:cs="Arial" w:hint="cs"/>
          <w:rtl/>
        </w:rPr>
        <w:t>סה"ת</w:t>
      </w:r>
      <w:r w:rsidRPr="00963390">
        <w:rPr>
          <w:rFonts w:cs="Arial"/>
          <w:rtl/>
        </w:rPr>
        <w:t xml:space="preserve"> </w:t>
      </w:r>
      <w:r w:rsidRPr="00963390">
        <w:rPr>
          <w:rFonts w:cs="Arial"/>
          <w:sz w:val="16"/>
          <w:szCs w:val="16"/>
          <w:rtl/>
        </w:rPr>
        <w:t>(סי' עה</w:t>
      </w:r>
      <w:r w:rsidRPr="00963390">
        <w:rPr>
          <w:rFonts w:cs="Arial" w:hint="cs"/>
          <w:sz w:val="16"/>
          <w:szCs w:val="16"/>
          <w:rtl/>
        </w:rPr>
        <w:t>)</w:t>
      </w:r>
      <w:r w:rsidRPr="00963390">
        <w:rPr>
          <w:rFonts w:cs="Arial" w:hint="cs"/>
          <w:rtl/>
        </w:rPr>
        <w:t xml:space="preserve">- </w:t>
      </w:r>
      <w:r w:rsidRPr="00963390">
        <w:rPr>
          <w:rFonts w:cs="Arial"/>
          <w:rtl/>
        </w:rPr>
        <w:t>אע</w:t>
      </w:r>
      <w:r w:rsidRPr="00963390">
        <w:rPr>
          <w:rFonts w:cs="Arial" w:hint="cs"/>
          <w:rtl/>
        </w:rPr>
        <w:t>"</w:t>
      </w:r>
      <w:r w:rsidRPr="00963390">
        <w:rPr>
          <w:rFonts w:cs="Arial"/>
          <w:rtl/>
        </w:rPr>
        <w:t>ג דבשאר איסורים שבתורה איסור הבלוע בהיתר כגון בצלים בלועים מאיסור ובשלם בקדירה של היתר צריך ס' כנגד כל הבצלים ולא סגי בס' כנגד כל הבליעה</w:t>
      </w:r>
      <w:r>
        <w:rPr>
          <w:rFonts w:cs="Arial" w:hint="cs"/>
          <w:rtl/>
        </w:rPr>
        <w:t>,</w:t>
      </w:r>
      <w:r w:rsidRPr="00963390">
        <w:rPr>
          <w:rFonts w:cs="Arial"/>
          <w:rtl/>
        </w:rPr>
        <w:t xml:space="preserve"> בבשר בחלב אינו כן</w:t>
      </w:r>
      <w:r>
        <w:rPr>
          <w:rFonts w:cs="Arial" w:hint="cs"/>
          <w:rtl/>
        </w:rPr>
        <w:t>,</w:t>
      </w:r>
      <w:r w:rsidRPr="00963390">
        <w:rPr>
          <w:rFonts w:cs="Arial"/>
          <w:rtl/>
        </w:rPr>
        <w:t xml:space="preserve"> שאם בצלים או ירקות שבלועים מבשר ובשלם בקדרה חולבת אם ידוע כמה בשר בלוע בבצלים ובירקות אין צריך אלא ס' כנגד הבשר ולא כנגד כל הבצלים והירקות</w:t>
      </w:r>
      <w:r>
        <w:rPr>
          <w:rStyle w:val="a7"/>
          <w:rFonts w:cs="Arial"/>
          <w:rtl/>
        </w:rPr>
        <w:footnoteReference w:id="1567"/>
      </w:r>
      <w:r w:rsidRPr="00963390">
        <w:rPr>
          <w:rFonts w:cs="Arial" w:hint="cs"/>
          <w:rtl/>
        </w:rPr>
        <w:t>.</w:t>
      </w:r>
    </w:p>
    <w:p w14:paraId="79A6BDCC" w14:textId="77777777" w:rsidR="002C39F4" w:rsidRPr="00963390" w:rsidRDefault="002C39F4" w:rsidP="002C39F4">
      <w:pPr>
        <w:rPr>
          <w:rtl/>
        </w:rPr>
      </w:pPr>
      <w:r w:rsidRPr="003024E5">
        <w:rPr>
          <w:rFonts w:asciiTheme="minorBidi" w:hAnsiTheme="minorBidi"/>
          <w:b/>
          <w:bCs/>
          <w:color w:val="000000"/>
          <w:sz w:val="28"/>
          <w:szCs w:val="28"/>
          <w:u w:val="single"/>
          <w:rtl/>
        </w:rPr>
        <w:t>שו"ע:</w:t>
      </w:r>
    </w:p>
    <w:p w14:paraId="0CCC41E9" w14:textId="77777777" w:rsidR="002C39F4" w:rsidRDefault="002C39F4" w:rsidP="002C39F4">
      <w:pPr>
        <w:rPr>
          <w:rFonts w:asciiTheme="minorBidi" w:hAnsiTheme="minorBidi"/>
          <w:rtl/>
        </w:rPr>
      </w:pPr>
      <w:r w:rsidRPr="003024E5">
        <w:rPr>
          <w:rFonts w:asciiTheme="minorBidi" w:hAnsiTheme="minorBidi"/>
          <w:rtl/>
        </w:rPr>
        <w:t>בצלים או ירקות שבלועים מבשר</w:t>
      </w:r>
      <w:r>
        <w:rPr>
          <w:rStyle w:val="a7"/>
          <w:rFonts w:asciiTheme="minorBidi" w:hAnsiTheme="minorBidi"/>
          <w:rtl/>
        </w:rPr>
        <w:footnoteReference w:id="1568"/>
      </w:r>
      <w:r w:rsidRPr="003024E5">
        <w:rPr>
          <w:rFonts w:asciiTheme="minorBidi" w:hAnsiTheme="minorBidi"/>
          <w:rtl/>
        </w:rPr>
        <w:t xml:space="preserve"> ובשלם בקדרה חולבת, אם ידוע כמה בשר בלוע בבצל</w:t>
      </w:r>
      <w:r>
        <w:rPr>
          <w:rFonts w:asciiTheme="minorBidi" w:hAnsiTheme="minorBidi"/>
          <w:rtl/>
        </w:rPr>
        <w:t xml:space="preserve">ים ובירקות אין צריך </w:t>
      </w:r>
      <w:r>
        <w:rPr>
          <w:rFonts w:asciiTheme="minorBidi" w:hAnsiTheme="minorBidi" w:hint="cs"/>
          <w:rtl/>
        </w:rPr>
        <w:t>ששים</w:t>
      </w:r>
      <w:r w:rsidRPr="003024E5">
        <w:rPr>
          <w:rFonts w:asciiTheme="minorBidi" w:hAnsiTheme="minorBidi"/>
          <w:rtl/>
        </w:rPr>
        <w:t xml:space="preserve"> אלא כנגד הבשר. </w:t>
      </w:r>
      <w:r w:rsidRPr="00D159BF">
        <w:rPr>
          <w:rFonts w:asciiTheme="minorBidi" w:hAnsiTheme="minorBidi"/>
          <w:sz w:val="18"/>
          <w:szCs w:val="18"/>
          <w:rtl/>
        </w:rPr>
        <w:t xml:space="preserve">הגה: </w:t>
      </w:r>
      <w:r>
        <w:rPr>
          <w:rFonts w:asciiTheme="minorBidi" w:hAnsiTheme="minorBidi"/>
          <w:sz w:val="18"/>
          <w:szCs w:val="18"/>
          <w:rtl/>
        </w:rPr>
        <w:t>דלא שייך לומר חתיכה נעשית נבילה הואיל ועדיין כולו היתר</w:t>
      </w:r>
      <w:r w:rsidRPr="00D159BF">
        <w:rPr>
          <w:rFonts w:asciiTheme="minorBidi" w:hAnsiTheme="minorBidi"/>
          <w:sz w:val="18"/>
          <w:szCs w:val="18"/>
          <w:rtl/>
        </w:rPr>
        <w:t xml:space="preserve"> ול</w:t>
      </w:r>
      <w:r>
        <w:rPr>
          <w:rFonts w:asciiTheme="minorBidi" w:hAnsiTheme="minorBidi"/>
          <w:sz w:val="18"/>
          <w:szCs w:val="18"/>
          <w:rtl/>
        </w:rPr>
        <w:t>כן אין צריך לשער רק נגד מה שבלע</w:t>
      </w:r>
      <w:r>
        <w:rPr>
          <w:rFonts w:asciiTheme="minorBidi" w:hAnsiTheme="minorBidi" w:hint="cs"/>
          <w:sz w:val="18"/>
          <w:szCs w:val="18"/>
          <w:rtl/>
        </w:rPr>
        <w:t>,</w:t>
      </w:r>
      <w:r w:rsidRPr="00D159BF">
        <w:rPr>
          <w:rFonts w:asciiTheme="minorBidi" w:hAnsiTheme="minorBidi"/>
          <w:sz w:val="18"/>
          <w:szCs w:val="18"/>
          <w:rtl/>
        </w:rPr>
        <w:t xml:space="preserve"> וכל</w:t>
      </w:r>
      <w:r>
        <w:rPr>
          <w:rFonts w:asciiTheme="minorBidi" w:hAnsiTheme="minorBidi"/>
          <w:sz w:val="18"/>
          <w:szCs w:val="18"/>
          <w:rtl/>
        </w:rPr>
        <w:t xml:space="preserve"> שכן בקדירה של חלב</w:t>
      </w:r>
      <w:r>
        <w:rPr>
          <w:rStyle w:val="a7"/>
          <w:rFonts w:asciiTheme="minorBidi" w:hAnsiTheme="minorBidi"/>
          <w:sz w:val="18"/>
          <w:szCs w:val="18"/>
          <w:rtl/>
        </w:rPr>
        <w:footnoteReference w:id="1569"/>
      </w:r>
      <w:r>
        <w:rPr>
          <w:rFonts w:asciiTheme="minorBidi" w:hAnsiTheme="minorBidi"/>
          <w:sz w:val="18"/>
          <w:szCs w:val="18"/>
          <w:rtl/>
        </w:rPr>
        <w:t xml:space="preserve"> שבשלו בה מים תוך מעת לעת ואח"כ בשלו בה בשר</w:t>
      </w:r>
      <w:r>
        <w:rPr>
          <w:rStyle w:val="a7"/>
          <w:rFonts w:asciiTheme="minorBidi" w:hAnsiTheme="minorBidi"/>
          <w:sz w:val="18"/>
          <w:szCs w:val="18"/>
          <w:rtl/>
        </w:rPr>
        <w:footnoteReference w:id="1570"/>
      </w:r>
      <w:r w:rsidRPr="00D159BF">
        <w:rPr>
          <w:rFonts w:asciiTheme="minorBidi" w:hAnsiTheme="minorBidi"/>
          <w:sz w:val="18"/>
          <w:szCs w:val="18"/>
          <w:rtl/>
        </w:rPr>
        <w:t xml:space="preserve"> ל</w:t>
      </w:r>
      <w:r>
        <w:rPr>
          <w:rFonts w:asciiTheme="minorBidi" w:hAnsiTheme="minorBidi"/>
          <w:sz w:val="18"/>
          <w:szCs w:val="18"/>
          <w:rtl/>
        </w:rPr>
        <w:t>א אמרינן דצריך לשער נגד כל המים</w:t>
      </w:r>
      <w:r w:rsidRPr="00D159BF">
        <w:rPr>
          <w:rFonts w:asciiTheme="minorBidi" w:hAnsiTheme="minorBidi"/>
          <w:sz w:val="18"/>
          <w:szCs w:val="18"/>
          <w:rtl/>
        </w:rPr>
        <w:t xml:space="preserve"> רק נגד החלב שבלעה </w:t>
      </w:r>
      <w:r>
        <w:rPr>
          <w:rFonts w:asciiTheme="minorBidi" w:hAnsiTheme="minorBidi"/>
          <w:sz w:val="18"/>
          <w:szCs w:val="18"/>
          <w:rtl/>
        </w:rPr>
        <w:t>הקדירה</w:t>
      </w:r>
      <w:r w:rsidRPr="00D159BF">
        <w:rPr>
          <w:rFonts w:asciiTheme="minorBidi" w:hAnsiTheme="minorBidi"/>
          <w:sz w:val="18"/>
          <w:szCs w:val="18"/>
          <w:rtl/>
        </w:rPr>
        <w:t xml:space="preserve"> (ממשמעות הטור וב"י).</w:t>
      </w:r>
      <w:r w:rsidRPr="003024E5">
        <w:rPr>
          <w:rFonts w:asciiTheme="minorBidi" w:hAnsiTheme="minorBidi"/>
          <w:rtl/>
        </w:rPr>
        <w:t xml:space="preserve"> </w:t>
      </w:r>
    </w:p>
    <w:p w14:paraId="1309326F" w14:textId="77777777" w:rsidR="002C39F4" w:rsidRPr="007D78BF" w:rsidRDefault="002C39F4" w:rsidP="002C39F4">
      <w:pPr>
        <w:rPr>
          <w:rFonts w:asciiTheme="minorBidi" w:hAnsiTheme="minorBidi"/>
          <w:color w:val="FF0000"/>
          <w:rtl/>
        </w:rPr>
      </w:pPr>
      <w:r w:rsidRPr="007D78BF">
        <w:rPr>
          <w:rFonts w:asciiTheme="minorBidi" w:hAnsiTheme="minorBidi" w:hint="cs"/>
          <w:color w:val="FF0000"/>
          <w:rtl/>
        </w:rPr>
        <w:t>צריך לעיין שוב בש"ך סקכ"ב</w:t>
      </w:r>
      <w:r>
        <w:rPr>
          <w:rFonts w:asciiTheme="minorBidi" w:hAnsiTheme="minorBidi" w:hint="cs"/>
          <w:color w:val="FF0000"/>
          <w:rtl/>
        </w:rPr>
        <w:t xml:space="preserve"> ואח"כ בבאה"ט סקי"ח</w:t>
      </w:r>
    </w:p>
    <w:p w14:paraId="62E074EF" w14:textId="77777777" w:rsidR="002C39F4" w:rsidRPr="003024E5" w:rsidRDefault="002C39F4" w:rsidP="002C39F4">
      <w:pPr>
        <w:rPr>
          <w:rFonts w:asciiTheme="minorBidi" w:hAnsiTheme="minorBidi"/>
          <w:rtl/>
        </w:rPr>
      </w:pPr>
    </w:p>
    <w:p w14:paraId="57F2DFE5"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בשר רותח שחתכו בסכין חולבת.</w:t>
      </w:r>
    </w:p>
    <w:p w14:paraId="1B8443B0" w14:textId="77777777" w:rsidR="002C39F4" w:rsidRPr="000360CB" w:rsidRDefault="002C39F4" w:rsidP="002C39F4">
      <w:pPr>
        <w:rPr>
          <w:rFonts w:cs="Arial"/>
          <w:u w:val="single"/>
          <w:rtl/>
        </w:rPr>
      </w:pPr>
      <w:r w:rsidRPr="000360CB">
        <w:rPr>
          <w:rFonts w:cs="Arial" w:hint="cs"/>
          <w:u w:val="single"/>
          <w:rtl/>
        </w:rPr>
        <w:t>בשר רותח שחתכו בסכין חולבת:</w:t>
      </w:r>
    </w:p>
    <w:p w14:paraId="3C257534" w14:textId="77777777" w:rsidR="002C39F4" w:rsidRPr="000360CB" w:rsidRDefault="002C39F4" w:rsidP="0032102C">
      <w:pPr>
        <w:pStyle w:val="a8"/>
        <w:numPr>
          <w:ilvl w:val="0"/>
          <w:numId w:val="127"/>
        </w:numPr>
        <w:rPr>
          <w:rFonts w:cs="Arial"/>
          <w:rtl/>
        </w:rPr>
      </w:pPr>
      <w:r w:rsidRPr="00CA284B">
        <w:rPr>
          <w:rFonts w:cs="Arial" w:hint="cs"/>
          <w:rtl/>
        </w:rPr>
        <w:t xml:space="preserve">ר"פ </w:t>
      </w:r>
      <w:r w:rsidRPr="00CA284B">
        <w:rPr>
          <w:rFonts w:cs="Arial" w:hint="cs"/>
          <w:sz w:val="16"/>
          <w:szCs w:val="16"/>
          <w:rtl/>
        </w:rPr>
        <w:t>(</w:t>
      </w:r>
      <w:r w:rsidRPr="00CA284B">
        <w:rPr>
          <w:rFonts w:cs="Arial"/>
          <w:sz w:val="16"/>
          <w:szCs w:val="16"/>
          <w:rtl/>
        </w:rPr>
        <w:t>בהגהת סמ"ק סי</w:t>
      </w:r>
      <w:r w:rsidRPr="00CA284B">
        <w:rPr>
          <w:rFonts w:cs="Arial" w:hint="cs"/>
          <w:sz w:val="16"/>
          <w:szCs w:val="16"/>
          <w:rtl/>
        </w:rPr>
        <w:t>'</w:t>
      </w:r>
      <w:r w:rsidRPr="00CA284B">
        <w:rPr>
          <w:rFonts w:cs="Arial"/>
          <w:sz w:val="16"/>
          <w:szCs w:val="16"/>
          <w:rtl/>
        </w:rPr>
        <w:t xml:space="preserve"> רה אות יד</w:t>
      </w:r>
      <w:r w:rsidRPr="00CA284B">
        <w:rPr>
          <w:rFonts w:cs="Arial" w:hint="cs"/>
          <w:sz w:val="16"/>
          <w:szCs w:val="16"/>
          <w:rtl/>
        </w:rPr>
        <w:t>,</w:t>
      </w:r>
      <w:r w:rsidRPr="00CA284B">
        <w:rPr>
          <w:rFonts w:cs="Arial"/>
          <w:sz w:val="16"/>
          <w:szCs w:val="16"/>
          <w:rtl/>
        </w:rPr>
        <w:t xml:space="preserve"> וכתבוהו הגה</w:t>
      </w:r>
      <w:r w:rsidRPr="00CA284B">
        <w:rPr>
          <w:rFonts w:cs="Arial" w:hint="cs"/>
          <w:sz w:val="16"/>
          <w:szCs w:val="16"/>
          <w:rtl/>
        </w:rPr>
        <w:t>"מ [</w:t>
      </w:r>
      <w:r w:rsidRPr="00CA284B">
        <w:rPr>
          <w:rFonts w:cs="Arial"/>
          <w:sz w:val="16"/>
          <w:szCs w:val="16"/>
          <w:rtl/>
        </w:rPr>
        <w:t>פי"ז ה"ז</w:t>
      </w:r>
      <w:r w:rsidRPr="00CA284B">
        <w:rPr>
          <w:rFonts w:cs="Arial" w:hint="cs"/>
          <w:sz w:val="16"/>
          <w:szCs w:val="16"/>
          <w:rtl/>
        </w:rPr>
        <w:t>])</w:t>
      </w:r>
      <w:r w:rsidRPr="00CA284B">
        <w:rPr>
          <w:rFonts w:cs="Arial" w:hint="cs"/>
          <w:rtl/>
        </w:rPr>
        <w:t>-</w:t>
      </w:r>
      <w:r w:rsidRPr="00CA284B">
        <w:rPr>
          <w:rFonts w:cs="Arial"/>
          <w:rtl/>
        </w:rPr>
        <w:t xml:space="preserve"> יש רוצים להתיר בשר רותח שחתכו בסכין חולבת ע"י קליפה</w:t>
      </w:r>
      <w:r>
        <w:rPr>
          <w:rFonts w:cs="Arial" w:hint="cs"/>
          <w:rtl/>
        </w:rPr>
        <w:t>,</w:t>
      </w:r>
      <w:r w:rsidRPr="00CA284B">
        <w:rPr>
          <w:rFonts w:cs="Arial"/>
          <w:rtl/>
        </w:rPr>
        <w:t xml:space="preserve"> וכדאמרינן גבי בית השחיטה רותח וסגי בקליפה</w:t>
      </w:r>
      <w:r>
        <w:rPr>
          <w:rFonts w:cs="Arial" w:hint="cs"/>
          <w:rtl/>
        </w:rPr>
        <w:t>,</w:t>
      </w:r>
      <w:r w:rsidRPr="00CA284B">
        <w:rPr>
          <w:rFonts w:cs="Arial"/>
          <w:rtl/>
        </w:rPr>
        <w:t xml:space="preserve"> ולא דמי להתם דהתם אין כל הבהמה רותחת אלא מקום בית השחיטה לבד</w:t>
      </w:r>
      <w:r>
        <w:rPr>
          <w:rFonts w:cs="Arial" w:hint="cs"/>
          <w:rtl/>
        </w:rPr>
        <w:t>,</w:t>
      </w:r>
      <w:r w:rsidRPr="00CA284B">
        <w:rPr>
          <w:rFonts w:cs="Arial"/>
          <w:rtl/>
        </w:rPr>
        <w:t xml:space="preserve"> אבל חתיכה שכולה רותחת כשחותכין אותה בסכין חולבת מתפשט בכולה וכולה אסורה אם אין בה ששים כנגד כל הסכין</w:t>
      </w:r>
      <w:r>
        <w:rPr>
          <w:rStyle w:val="a7"/>
          <w:rFonts w:cs="Arial"/>
          <w:rtl/>
        </w:rPr>
        <w:footnoteReference w:id="1571"/>
      </w:r>
      <w:r>
        <w:rPr>
          <w:rFonts w:cs="Arial" w:hint="cs"/>
          <w:rtl/>
        </w:rPr>
        <w:t>,</w:t>
      </w:r>
      <w:r w:rsidRPr="00CA284B">
        <w:rPr>
          <w:rFonts w:cs="Arial"/>
          <w:rtl/>
        </w:rPr>
        <w:t xml:space="preserve"> ודוקא כשהסכין בן יומא אבל אם אינו בן יומא</w:t>
      </w:r>
      <w:r>
        <w:rPr>
          <w:rFonts w:cs="Arial" w:hint="cs"/>
          <w:rtl/>
        </w:rPr>
        <w:t>,</w:t>
      </w:r>
      <w:r w:rsidRPr="00CA284B">
        <w:rPr>
          <w:rFonts w:cs="Arial"/>
          <w:rtl/>
        </w:rPr>
        <w:t xml:space="preserve"> או אינו יודע אם הוא בן יומא אם לאו מסתמא אינו בן יומא דסתם כלים אינן בני יומא</w:t>
      </w:r>
      <w:r>
        <w:rPr>
          <w:rFonts w:cs="Arial" w:hint="cs"/>
          <w:rtl/>
        </w:rPr>
        <w:t>,</w:t>
      </w:r>
      <w:r w:rsidRPr="00CA284B">
        <w:rPr>
          <w:rFonts w:cs="Arial"/>
          <w:rtl/>
        </w:rPr>
        <w:t xml:space="preserve"> אבל קליפה בעי</w:t>
      </w:r>
      <w:r>
        <w:rPr>
          <w:rStyle w:val="a7"/>
          <w:rFonts w:cs="Arial"/>
          <w:rtl/>
        </w:rPr>
        <w:footnoteReference w:id="1572"/>
      </w:r>
      <w:r>
        <w:rPr>
          <w:rFonts w:cs="Arial" w:hint="cs"/>
          <w:sz w:val="16"/>
          <w:szCs w:val="16"/>
          <w:rtl/>
        </w:rPr>
        <w:t xml:space="preserve"> (ל' הטור)</w:t>
      </w:r>
      <w:r w:rsidRPr="000360CB">
        <w:rPr>
          <w:rFonts w:cs="Arial" w:hint="cs"/>
          <w:rtl/>
        </w:rPr>
        <w:t>.</w:t>
      </w:r>
    </w:p>
    <w:p w14:paraId="040E239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D76EC5B" w14:textId="77777777" w:rsidR="002C39F4" w:rsidRDefault="002C39F4" w:rsidP="002C39F4">
      <w:pPr>
        <w:rPr>
          <w:rFonts w:asciiTheme="minorBidi" w:hAnsiTheme="minorBidi"/>
          <w:rtl/>
        </w:rPr>
      </w:pPr>
      <w:r>
        <w:rPr>
          <w:rFonts w:asciiTheme="minorBidi" w:hAnsiTheme="minorBidi"/>
          <w:rtl/>
        </w:rPr>
        <w:t>בשר רותח שחתכו בסכין חולבת כל החתיכה אסורה אם אין בה ששים</w:t>
      </w:r>
      <w:r>
        <w:rPr>
          <w:rStyle w:val="a7"/>
          <w:rFonts w:asciiTheme="minorBidi" w:hAnsiTheme="minorBidi"/>
          <w:rtl/>
        </w:rPr>
        <w:footnoteReference w:id="1573"/>
      </w:r>
      <w:r>
        <w:rPr>
          <w:rFonts w:asciiTheme="minorBidi" w:hAnsiTheme="minorBidi"/>
          <w:rtl/>
        </w:rPr>
        <w:t xml:space="preserve"> כנגד מקום הסכין</w:t>
      </w:r>
      <w:r>
        <w:rPr>
          <w:rStyle w:val="a7"/>
          <w:rFonts w:asciiTheme="minorBidi" w:hAnsiTheme="minorBidi"/>
          <w:rtl/>
        </w:rPr>
        <w:footnoteReference w:id="1574"/>
      </w:r>
      <w:r>
        <w:rPr>
          <w:rFonts w:asciiTheme="minorBidi" w:hAnsiTheme="minorBidi"/>
          <w:rtl/>
        </w:rPr>
        <w:t xml:space="preserve"> שחתך הבשר</w:t>
      </w:r>
      <w:r>
        <w:rPr>
          <w:rFonts w:asciiTheme="minorBidi" w:hAnsiTheme="minorBidi" w:hint="cs"/>
          <w:rtl/>
        </w:rPr>
        <w:t>,</w:t>
      </w:r>
      <w:r>
        <w:rPr>
          <w:rFonts w:asciiTheme="minorBidi" w:hAnsiTheme="minorBidi"/>
          <w:rtl/>
        </w:rPr>
        <w:t xml:space="preserve"> אבל אם אינו בן יומו או אם אינו יודע שהוא בן יומו</w:t>
      </w:r>
      <w:r w:rsidRPr="003024E5">
        <w:rPr>
          <w:rFonts w:asciiTheme="minorBidi" w:hAnsiTheme="minorBidi"/>
          <w:rtl/>
        </w:rPr>
        <w:t xml:space="preserve"> אינו אוסר אלא כדי קליפה</w:t>
      </w:r>
      <w:r>
        <w:rPr>
          <w:rStyle w:val="a7"/>
          <w:rFonts w:asciiTheme="minorBidi" w:hAnsiTheme="minorBidi"/>
          <w:rtl/>
        </w:rPr>
        <w:footnoteReference w:id="1575"/>
      </w:r>
      <w:r w:rsidRPr="003024E5">
        <w:rPr>
          <w:rFonts w:asciiTheme="minorBidi" w:hAnsiTheme="minorBidi"/>
          <w:rtl/>
        </w:rPr>
        <w:t xml:space="preserve">. </w:t>
      </w:r>
      <w:r w:rsidRPr="00CA284B">
        <w:rPr>
          <w:rFonts w:asciiTheme="minorBidi" w:hAnsiTheme="minorBidi"/>
          <w:sz w:val="18"/>
          <w:szCs w:val="18"/>
          <w:rtl/>
        </w:rPr>
        <w:t xml:space="preserve">הגה: וכל זה בבשר </w:t>
      </w:r>
      <w:r>
        <w:rPr>
          <w:rFonts w:asciiTheme="minorBidi" w:hAnsiTheme="minorBidi"/>
          <w:sz w:val="18"/>
          <w:szCs w:val="18"/>
          <w:rtl/>
        </w:rPr>
        <w:t>רותח</w:t>
      </w:r>
      <w:r w:rsidRPr="00CA284B">
        <w:rPr>
          <w:rFonts w:asciiTheme="minorBidi" w:hAnsiTheme="minorBidi"/>
          <w:sz w:val="18"/>
          <w:szCs w:val="18"/>
          <w:rtl/>
        </w:rPr>
        <w:t xml:space="preserve"> בכלי ראשון</w:t>
      </w:r>
      <w:r>
        <w:rPr>
          <w:rStyle w:val="a7"/>
          <w:rFonts w:asciiTheme="minorBidi" w:hAnsiTheme="minorBidi"/>
          <w:sz w:val="18"/>
          <w:szCs w:val="18"/>
          <w:rtl/>
        </w:rPr>
        <w:footnoteReference w:id="1576"/>
      </w:r>
      <w:r w:rsidRPr="00CA284B">
        <w:rPr>
          <w:rFonts w:asciiTheme="minorBidi" w:hAnsiTheme="minorBidi"/>
          <w:sz w:val="18"/>
          <w:szCs w:val="18"/>
          <w:rtl/>
        </w:rPr>
        <w:t xml:space="preserve">, ואז אם הסכין בן יומו </w:t>
      </w:r>
      <w:r>
        <w:rPr>
          <w:rFonts w:asciiTheme="minorBidi" w:hAnsiTheme="minorBidi"/>
          <w:sz w:val="18"/>
          <w:szCs w:val="18"/>
          <w:rtl/>
        </w:rPr>
        <w:t>ואין ס' בבשר נגד הסכין הכל אסור ואף הסכין צריך הגעלה</w:t>
      </w:r>
      <w:r>
        <w:rPr>
          <w:rStyle w:val="a7"/>
          <w:rFonts w:asciiTheme="minorBidi" w:hAnsiTheme="minorBidi"/>
          <w:sz w:val="18"/>
          <w:szCs w:val="18"/>
          <w:rtl/>
        </w:rPr>
        <w:footnoteReference w:id="1577"/>
      </w:r>
      <w:r>
        <w:rPr>
          <w:rFonts w:asciiTheme="minorBidi" w:hAnsiTheme="minorBidi" w:hint="cs"/>
          <w:sz w:val="18"/>
          <w:szCs w:val="18"/>
          <w:rtl/>
        </w:rPr>
        <w:t>,</w:t>
      </w:r>
      <w:r>
        <w:rPr>
          <w:rFonts w:asciiTheme="minorBidi" w:hAnsiTheme="minorBidi"/>
          <w:sz w:val="18"/>
          <w:szCs w:val="18"/>
          <w:rtl/>
        </w:rPr>
        <w:t xml:space="preserve"> אבל אם הוא כלי שני הבשר צריך קליפה והסכין נעיצה בקרקע</w:t>
      </w:r>
      <w:r>
        <w:rPr>
          <w:rStyle w:val="a7"/>
          <w:rFonts w:asciiTheme="minorBidi" w:hAnsiTheme="minorBidi"/>
          <w:sz w:val="18"/>
          <w:szCs w:val="18"/>
          <w:rtl/>
        </w:rPr>
        <w:footnoteReference w:id="1578"/>
      </w:r>
      <w:r>
        <w:rPr>
          <w:rFonts w:asciiTheme="minorBidi" w:hAnsiTheme="minorBidi"/>
          <w:sz w:val="18"/>
          <w:szCs w:val="18"/>
          <w:rtl/>
        </w:rPr>
        <w:t xml:space="preserve"> (ארוך</w:t>
      </w:r>
      <w:r w:rsidRPr="00CA284B">
        <w:rPr>
          <w:rFonts w:asciiTheme="minorBidi" w:hAnsiTheme="minorBidi"/>
          <w:sz w:val="18"/>
          <w:szCs w:val="18"/>
          <w:rtl/>
        </w:rPr>
        <w:t>), וכן נ</w:t>
      </w:r>
      <w:r>
        <w:rPr>
          <w:rFonts w:asciiTheme="minorBidi" w:hAnsiTheme="minorBidi"/>
          <w:sz w:val="18"/>
          <w:szCs w:val="18"/>
          <w:rtl/>
        </w:rPr>
        <w:t>והגין. ואפילו אין הסכין בן יומו</w:t>
      </w:r>
      <w:r w:rsidRPr="00CA284B">
        <w:rPr>
          <w:rFonts w:asciiTheme="minorBidi" w:hAnsiTheme="minorBidi"/>
          <w:sz w:val="18"/>
          <w:szCs w:val="18"/>
          <w:rtl/>
        </w:rPr>
        <w:t xml:space="preserve"> יש לקלוף הבשר מעט משום שמנונית הסכין (טור וב"י בשם סמ"ק).</w:t>
      </w:r>
      <w:r w:rsidRPr="003024E5">
        <w:rPr>
          <w:rFonts w:asciiTheme="minorBidi" w:hAnsiTheme="minorBidi"/>
          <w:rtl/>
        </w:rPr>
        <w:t xml:space="preserve"> </w:t>
      </w:r>
    </w:p>
    <w:p w14:paraId="46563CDE" w14:textId="77777777" w:rsidR="002C39F4" w:rsidRPr="003024E5" w:rsidRDefault="002C39F4" w:rsidP="002C39F4">
      <w:pPr>
        <w:rPr>
          <w:rFonts w:asciiTheme="minorBidi" w:hAnsiTheme="minorBidi"/>
          <w:rtl/>
        </w:rPr>
      </w:pPr>
    </w:p>
    <w:p w14:paraId="7569FA5F" w14:textId="77777777" w:rsidR="002C39F4" w:rsidRDefault="002C39F4" w:rsidP="002C39F4">
      <w:pPr>
        <w:pStyle w:val="2"/>
        <w:rPr>
          <w:rFonts w:asciiTheme="minorBidi" w:hAnsiTheme="minorBidi"/>
          <w:rtl/>
        </w:rPr>
      </w:pPr>
      <w:r w:rsidRPr="003024E5">
        <w:rPr>
          <w:rFonts w:asciiTheme="minorBidi" w:hAnsiTheme="minorBidi"/>
          <w:rtl/>
        </w:rPr>
        <w:t>סעיף ח</w:t>
      </w:r>
      <w:r>
        <w:rPr>
          <w:rFonts w:asciiTheme="minorBidi" w:hAnsiTheme="minorBidi" w:hint="cs"/>
          <w:rtl/>
        </w:rPr>
        <w:t>: גבינה שנפלה על פנאד"ש של בשר.</w:t>
      </w:r>
    </w:p>
    <w:p w14:paraId="7DB6F3A9" w14:textId="77777777" w:rsidR="002C39F4" w:rsidRPr="009D6846" w:rsidRDefault="002C39F4" w:rsidP="002C39F4">
      <w:pPr>
        <w:rPr>
          <w:rFonts w:cs="Arial"/>
          <w:u w:val="single"/>
          <w:rtl/>
        </w:rPr>
      </w:pPr>
      <w:r w:rsidRPr="009D6846">
        <w:rPr>
          <w:rFonts w:cs="Arial" w:hint="cs"/>
          <w:u w:val="single"/>
          <w:rtl/>
        </w:rPr>
        <w:t>גבינה לחה ש</w:t>
      </w:r>
      <w:r w:rsidRPr="009D6846">
        <w:rPr>
          <w:rFonts w:cs="Arial"/>
          <w:u w:val="single"/>
          <w:rtl/>
        </w:rPr>
        <w:t>נפל</w:t>
      </w:r>
      <w:r w:rsidRPr="009D6846">
        <w:rPr>
          <w:rFonts w:cs="Arial" w:hint="cs"/>
          <w:u w:val="single"/>
          <w:rtl/>
        </w:rPr>
        <w:t>ה</w:t>
      </w:r>
      <w:r w:rsidRPr="009D6846">
        <w:rPr>
          <w:rFonts w:cs="Arial"/>
          <w:u w:val="single"/>
          <w:rtl/>
        </w:rPr>
        <w:t xml:space="preserve"> </w:t>
      </w:r>
      <w:r w:rsidRPr="009D6846">
        <w:rPr>
          <w:rFonts w:cs="Arial" w:hint="cs"/>
          <w:u w:val="single"/>
          <w:rtl/>
        </w:rPr>
        <w:t>ל</w:t>
      </w:r>
      <w:r w:rsidRPr="009D6846">
        <w:rPr>
          <w:rFonts w:cs="Arial"/>
          <w:u w:val="single"/>
          <w:rtl/>
        </w:rPr>
        <w:t>תוך תנור של פנאד"ש</w:t>
      </w:r>
      <w:r w:rsidRPr="009D6846">
        <w:rPr>
          <w:rFonts w:cs="Arial" w:hint="cs"/>
          <w:u w:val="single"/>
          <w:rtl/>
        </w:rPr>
        <w:t>:</w:t>
      </w:r>
    </w:p>
    <w:p w14:paraId="6EAEA2FC" w14:textId="77777777" w:rsidR="002C39F4" w:rsidRPr="00E866AE" w:rsidRDefault="002C39F4" w:rsidP="0032102C">
      <w:pPr>
        <w:pStyle w:val="a8"/>
        <w:numPr>
          <w:ilvl w:val="0"/>
          <w:numId w:val="127"/>
        </w:numPr>
        <w:rPr>
          <w:rtl/>
        </w:rPr>
      </w:pPr>
      <w:r w:rsidRPr="009D6846">
        <w:rPr>
          <w:rFonts w:cs="Arial" w:hint="cs"/>
          <w:rtl/>
        </w:rPr>
        <w:t>רי"ו</w:t>
      </w:r>
      <w:r w:rsidRPr="009D6846">
        <w:rPr>
          <w:rFonts w:cs="Arial"/>
          <w:sz w:val="16"/>
          <w:szCs w:val="16"/>
          <w:rtl/>
        </w:rPr>
        <w:t xml:space="preserve"> (נט"ו אות כח קלז ריש ע"ד)</w:t>
      </w:r>
      <w:r w:rsidRPr="009D6846">
        <w:rPr>
          <w:rFonts w:cs="Arial" w:hint="cs"/>
          <w:rtl/>
        </w:rPr>
        <w:t>-</w:t>
      </w:r>
      <w:r w:rsidRPr="009D6846">
        <w:rPr>
          <w:rFonts w:cs="Arial"/>
          <w:rtl/>
        </w:rPr>
        <w:t xml:space="preserve"> מעשה היה ונפל תוך תנור של פנאד"ש</w:t>
      </w:r>
      <w:r>
        <w:rPr>
          <w:rStyle w:val="a7"/>
          <w:rFonts w:cs="Arial"/>
          <w:rtl/>
        </w:rPr>
        <w:footnoteReference w:id="1579"/>
      </w:r>
      <w:r w:rsidRPr="009D6846">
        <w:rPr>
          <w:rFonts w:cs="Arial"/>
          <w:rtl/>
        </w:rPr>
        <w:t xml:space="preserve"> גבינה והתיר ר"י הפנאד"ש בקליפה להסיר מעליה</w:t>
      </w:r>
      <w:r>
        <w:rPr>
          <w:rFonts w:cs="Arial" w:hint="cs"/>
          <w:rtl/>
        </w:rPr>
        <w:t>,</w:t>
      </w:r>
      <w:r w:rsidRPr="009D6846">
        <w:rPr>
          <w:rFonts w:cs="Arial"/>
          <w:rtl/>
        </w:rPr>
        <w:t xml:space="preserve"> ואפילו שהגבינה לחה</w:t>
      </w:r>
      <w:r>
        <w:rPr>
          <w:rFonts w:cs="Arial" w:hint="cs"/>
          <w:rtl/>
        </w:rPr>
        <w:t>,</w:t>
      </w:r>
      <w:r w:rsidRPr="009D6846">
        <w:rPr>
          <w:rFonts w:cs="Arial"/>
          <w:rtl/>
        </w:rPr>
        <w:t xml:space="preserve"> שאין דרך גבינה ליכנס כל כך</w:t>
      </w:r>
      <w:r>
        <w:rPr>
          <w:rStyle w:val="a7"/>
          <w:rFonts w:cs="Arial"/>
          <w:rtl/>
        </w:rPr>
        <w:footnoteReference w:id="1580"/>
      </w:r>
      <w:r w:rsidRPr="009D6846">
        <w:rPr>
          <w:rFonts w:cs="Arial" w:hint="cs"/>
          <w:rtl/>
        </w:rPr>
        <w:t>.</w:t>
      </w:r>
    </w:p>
    <w:p w14:paraId="3CAFA2D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90717B4" w14:textId="77777777" w:rsidR="002C39F4" w:rsidRDefault="002C39F4" w:rsidP="002C39F4">
      <w:pPr>
        <w:rPr>
          <w:rFonts w:asciiTheme="minorBidi" w:hAnsiTheme="minorBidi"/>
          <w:rtl/>
        </w:rPr>
      </w:pPr>
      <w:r>
        <w:rPr>
          <w:rFonts w:asciiTheme="minorBidi" w:hAnsiTheme="minorBidi"/>
          <w:rtl/>
        </w:rPr>
        <w:t>אם נפל לתנור פנאד"ש</w:t>
      </w:r>
      <w:r>
        <w:rPr>
          <w:rStyle w:val="a7"/>
          <w:rFonts w:asciiTheme="minorBidi" w:hAnsiTheme="minorBidi"/>
          <w:rtl/>
        </w:rPr>
        <w:footnoteReference w:id="1581"/>
      </w:r>
      <w:r>
        <w:rPr>
          <w:rFonts w:asciiTheme="minorBidi" w:hAnsiTheme="minorBidi"/>
          <w:rtl/>
        </w:rPr>
        <w:t xml:space="preserve"> גבינה אפילו לחה</w:t>
      </w:r>
      <w:r>
        <w:rPr>
          <w:rFonts w:asciiTheme="minorBidi" w:hAnsiTheme="minorBidi" w:hint="cs"/>
          <w:rtl/>
        </w:rPr>
        <w:t>,</w:t>
      </w:r>
      <w:r w:rsidRPr="003024E5">
        <w:rPr>
          <w:rFonts w:asciiTheme="minorBidi" w:hAnsiTheme="minorBidi"/>
          <w:rtl/>
        </w:rPr>
        <w:t xml:space="preserve"> </w:t>
      </w:r>
      <w:r>
        <w:rPr>
          <w:rFonts w:asciiTheme="minorBidi" w:hAnsiTheme="minorBidi"/>
          <w:rtl/>
        </w:rPr>
        <w:t>וכן גבינה חמה בקערת בשר</w:t>
      </w:r>
      <w:r>
        <w:rPr>
          <w:rStyle w:val="a7"/>
          <w:rFonts w:asciiTheme="minorBidi" w:hAnsiTheme="minorBidi"/>
          <w:rtl/>
        </w:rPr>
        <w:footnoteReference w:id="1582"/>
      </w:r>
      <w:r>
        <w:rPr>
          <w:rFonts w:asciiTheme="minorBidi" w:hAnsiTheme="minorBidi"/>
          <w:rtl/>
        </w:rPr>
        <w:t xml:space="preserve"> בת יומא</w:t>
      </w:r>
      <w:r>
        <w:rPr>
          <w:rFonts w:asciiTheme="minorBidi" w:hAnsiTheme="minorBidi" w:hint="cs"/>
          <w:rtl/>
        </w:rPr>
        <w:t>,</w:t>
      </w:r>
      <w:r w:rsidRPr="003024E5">
        <w:rPr>
          <w:rFonts w:asciiTheme="minorBidi" w:hAnsiTheme="minorBidi"/>
          <w:rtl/>
        </w:rPr>
        <w:t xml:space="preserve"> אינו אוסר אלא כדי קליפה</w:t>
      </w:r>
      <w:r>
        <w:rPr>
          <w:rStyle w:val="a7"/>
          <w:rFonts w:asciiTheme="minorBidi" w:hAnsiTheme="minorBidi"/>
          <w:rtl/>
        </w:rPr>
        <w:footnoteReference w:id="1583"/>
      </w:r>
      <w:r w:rsidRPr="003024E5">
        <w:rPr>
          <w:rFonts w:asciiTheme="minorBidi" w:hAnsiTheme="minorBidi"/>
          <w:rtl/>
        </w:rPr>
        <w:t xml:space="preserve">. </w:t>
      </w:r>
    </w:p>
    <w:p w14:paraId="6025290F" w14:textId="77777777" w:rsidR="002C39F4" w:rsidRPr="003024E5" w:rsidRDefault="002C39F4" w:rsidP="002C39F4">
      <w:pPr>
        <w:rPr>
          <w:rFonts w:asciiTheme="minorBidi" w:hAnsiTheme="minorBidi"/>
          <w:rtl/>
        </w:rPr>
      </w:pPr>
    </w:p>
    <w:p w14:paraId="0CA50808" w14:textId="77777777" w:rsidR="002C39F4" w:rsidRDefault="002C39F4" w:rsidP="002C39F4">
      <w:pPr>
        <w:pStyle w:val="2"/>
        <w:rPr>
          <w:rFonts w:asciiTheme="minorBidi" w:hAnsiTheme="minorBidi"/>
          <w:rtl/>
        </w:rPr>
      </w:pPr>
      <w:r w:rsidRPr="003024E5">
        <w:rPr>
          <w:rFonts w:asciiTheme="minorBidi" w:hAnsiTheme="minorBidi"/>
          <w:rtl/>
        </w:rPr>
        <w:t>סעיף ט</w:t>
      </w:r>
      <w:r>
        <w:rPr>
          <w:rFonts w:asciiTheme="minorBidi" w:hAnsiTheme="minorBidi" w:hint="cs"/>
          <w:rtl/>
        </w:rPr>
        <w:t xml:space="preserve">: דבש שבושל במחבת של בשר ב"י והריקוהו לקערת חלב ב"י. </w:t>
      </w:r>
    </w:p>
    <w:p w14:paraId="3231DDBE" w14:textId="77777777" w:rsidR="002C39F4" w:rsidRPr="009D6846" w:rsidRDefault="002C39F4" w:rsidP="002C39F4">
      <w:pPr>
        <w:rPr>
          <w:rFonts w:cs="Arial"/>
          <w:u w:val="single"/>
          <w:rtl/>
        </w:rPr>
      </w:pPr>
      <w:r w:rsidRPr="009D6846">
        <w:rPr>
          <w:rFonts w:cs="Arial"/>
          <w:u w:val="single"/>
          <w:rtl/>
        </w:rPr>
        <w:t xml:space="preserve">דבש </w:t>
      </w:r>
      <w:r w:rsidRPr="009D6846">
        <w:rPr>
          <w:rFonts w:cs="Arial" w:hint="cs"/>
          <w:u w:val="single"/>
          <w:rtl/>
        </w:rPr>
        <w:t xml:space="preserve">שבושל </w:t>
      </w:r>
      <w:r w:rsidRPr="009D6846">
        <w:rPr>
          <w:rFonts w:cs="Arial"/>
          <w:u w:val="single"/>
          <w:rtl/>
        </w:rPr>
        <w:t xml:space="preserve">במחבת של בשר בת יומא והריקוהו חם </w:t>
      </w:r>
      <w:r w:rsidRPr="009D6846">
        <w:rPr>
          <w:rFonts w:cs="Arial" w:hint="cs"/>
          <w:u w:val="single"/>
          <w:rtl/>
        </w:rPr>
        <w:t>ל</w:t>
      </w:r>
      <w:r w:rsidRPr="009D6846">
        <w:rPr>
          <w:rFonts w:cs="Arial"/>
          <w:u w:val="single"/>
          <w:rtl/>
        </w:rPr>
        <w:t>קערה של חלב בת יומא</w:t>
      </w:r>
      <w:r w:rsidRPr="009D6846">
        <w:rPr>
          <w:rFonts w:cs="Arial" w:hint="cs"/>
          <w:u w:val="single"/>
          <w:rtl/>
        </w:rPr>
        <w:t>:</w:t>
      </w:r>
    </w:p>
    <w:p w14:paraId="3E149CC3" w14:textId="77777777" w:rsidR="002C39F4" w:rsidRPr="00B83BC9" w:rsidRDefault="002C39F4" w:rsidP="0032102C">
      <w:pPr>
        <w:pStyle w:val="a8"/>
        <w:numPr>
          <w:ilvl w:val="0"/>
          <w:numId w:val="127"/>
        </w:numPr>
        <w:rPr>
          <w:rFonts w:cs="Arial"/>
          <w:rtl/>
        </w:rPr>
      </w:pPr>
      <w:r w:rsidRPr="009D6846">
        <w:rPr>
          <w:rFonts w:cs="Arial"/>
          <w:rtl/>
        </w:rPr>
        <w:t>מרדכי</w:t>
      </w:r>
      <w:r w:rsidRPr="009D6846">
        <w:rPr>
          <w:rFonts w:cs="Arial" w:hint="cs"/>
          <w:rtl/>
        </w:rPr>
        <w:t xml:space="preserve"> </w:t>
      </w:r>
      <w:r w:rsidRPr="009D6846">
        <w:rPr>
          <w:rFonts w:cs="Arial"/>
          <w:sz w:val="16"/>
          <w:szCs w:val="16"/>
          <w:rtl/>
        </w:rPr>
        <w:t>(ע"ז סי' תתלו</w:t>
      </w:r>
      <w:r w:rsidRPr="009D6846">
        <w:rPr>
          <w:rFonts w:cs="Arial" w:hint="cs"/>
          <w:sz w:val="16"/>
          <w:szCs w:val="16"/>
          <w:rtl/>
        </w:rPr>
        <w:t xml:space="preserve">, </w:t>
      </w:r>
      <w:r w:rsidRPr="009D6846">
        <w:rPr>
          <w:rFonts w:cs="Arial"/>
          <w:sz w:val="16"/>
          <w:szCs w:val="16"/>
          <w:rtl/>
        </w:rPr>
        <w:t>פסחים סי' תקסב)</w:t>
      </w:r>
      <w:r w:rsidRPr="009D6846">
        <w:rPr>
          <w:rFonts w:cs="Arial" w:hint="cs"/>
          <w:rtl/>
        </w:rPr>
        <w:t>-</w:t>
      </w:r>
      <w:r w:rsidRPr="009D6846">
        <w:rPr>
          <w:rFonts w:cs="Arial"/>
          <w:rtl/>
        </w:rPr>
        <w:t xml:space="preserve"> מעשה בא לפני ר"י שבשלו דבש במחבת של בשר בת יומא</w:t>
      </w:r>
      <w:r w:rsidRPr="009D6846">
        <w:rPr>
          <w:rFonts w:cs="Arial" w:hint="cs"/>
          <w:rtl/>
        </w:rPr>
        <w:t>,</w:t>
      </w:r>
      <w:r w:rsidRPr="009D6846">
        <w:rPr>
          <w:rFonts w:cs="Arial"/>
          <w:rtl/>
        </w:rPr>
        <w:t xml:space="preserve"> והריקוהו חם בקערה של חלב בת יומא והתירה משום דשמנונית בדבש הוי נותן טעם לפגם והביא ראיה לדבר</w:t>
      </w:r>
      <w:r>
        <w:rPr>
          <w:rStyle w:val="a7"/>
          <w:rFonts w:cs="Arial"/>
          <w:rtl/>
        </w:rPr>
        <w:footnoteReference w:id="1584"/>
      </w:r>
      <w:r w:rsidRPr="009D6846">
        <w:rPr>
          <w:rFonts w:cs="Arial"/>
          <w:rtl/>
        </w:rPr>
        <w:t xml:space="preserve">. </w:t>
      </w:r>
    </w:p>
    <w:p w14:paraId="37CEBD6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1450D16" w14:textId="77777777" w:rsidR="002C39F4" w:rsidRDefault="002C39F4" w:rsidP="002C39F4">
      <w:pPr>
        <w:rPr>
          <w:rFonts w:asciiTheme="minorBidi" w:hAnsiTheme="minorBidi"/>
          <w:rtl/>
        </w:rPr>
      </w:pPr>
      <w:r w:rsidRPr="003024E5">
        <w:rPr>
          <w:rFonts w:asciiTheme="minorBidi" w:hAnsiTheme="minorBidi"/>
          <w:rtl/>
        </w:rPr>
        <w:t>בשלו דבש במחבת של בשר בת יומא ו</w:t>
      </w:r>
      <w:r>
        <w:rPr>
          <w:rFonts w:asciiTheme="minorBidi" w:hAnsiTheme="minorBidi"/>
          <w:rtl/>
        </w:rPr>
        <w:t>הריקוהו</w:t>
      </w:r>
      <w:r>
        <w:rPr>
          <w:rStyle w:val="a7"/>
          <w:rFonts w:asciiTheme="minorBidi" w:hAnsiTheme="minorBidi"/>
          <w:rtl/>
        </w:rPr>
        <w:footnoteReference w:id="1585"/>
      </w:r>
      <w:r>
        <w:rPr>
          <w:rFonts w:asciiTheme="minorBidi" w:hAnsiTheme="minorBidi"/>
          <w:rtl/>
        </w:rPr>
        <w:t xml:space="preserve"> חם בקערה של חלב בת יומא מותר</w:t>
      </w:r>
      <w:r w:rsidRPr="003024E5">
        <w:rPr>
          <w:rFonts w:asciiTheme="minorBidi" w:hAnsiTheme="minorBidi"/>
          <w:rtl/>
        </w:rPr>
        <w:t xml:space="preserve"> משום דהוי נותן טעם בר נותן טעם דהיתרא</w:t>
      </w:r>
      <w:r>
        <w:rPr>
          <w:rStyle w:val="a7"/>
          <w:rFonts w:asciiTheme="minorBidi" w:hAnsiTheme="minorBidi"/>
          <w:rtl/>
        </w:rPr>
        <w:footnoteReference w:id="1586"/>
      </w:r>
      <w:r w:rsidRPr="003024E5">
        <w:rPr>
          <w:rFonts w:asciiTheme="minorBidi" w:hAnsiTheme="minorBidi"/>
          <w:rtl/>
        </w:rPr>
        <w:t>.</w:t>
      </w:r>
    </w:p>
    <w:p w14:paraId="2113B15A" w14:textId="77777777" w:rsidR="002C39F4" w:rsidRPr="003024E5" w:rsidRDefault="002C39F4" w:rsidP="002C39F4">
      <w:pPr>
        <w:rPr>
          <w:rFonts w:asciiTheme="minorBidi" w:hAnsiTheme="minorBidi"/>
          <w:rtl/>
        </w:rPr>
      </w:pPr>
    </w:p>
    <w:p w14:paraId="0B87918E" w14:textId="77777777" w:rsidR="002C39F4" w:rsidRPr="003024E5" w:rsidRDefault="002C39F4" w:rsidP="002C39F4">
      <w:pPr>
        <w:rPr>
          <w:rFonts w:asciiTheme="minorBidi" w:hAnsiTheme="minorBidi"/>
          <w:rtl/>
        </w:rPr>
      </w:pPr>
    </w:p>
    <w:p w14:paraId="6AE7AF7A" w14:textId="77777777" w:rsidR="002C39F4" w:rsidRPr="003024E5" w:rsidRDefault="002C39F4" w:rsidP="002C39F4">
      <w:pPr>
        <w:rPr>
          <w:rFonts w:asciiTheme="minorBidi" w:hAnsiTheme="minorBidi"/>
          <w:rtl/>
        </w:rPr>
      </w:pPr>
    </w:p>
    <w:p w14:paraId="5543D2AE" w14:textId="77777777" w:rsidR="002C39F4" w:rsidRPr="003024E5" w:rsidRDefault="002C39F4" w:rsidP="002C39F4">
      <w:pPr>
        <w:rPr>
          <w:rFonts w:asciiTheme="minorBidi" w:hAnsiTheme="minorBidi"/>
          <w:rtl/>
        </w:rPr>
      </w:pPr>
    </w:p>
    <w:p w14:paraId="25F644B0" w14:textId="77777777" w:rsidR="002C39F4" w:rsidRPr="003024E5" w:rsidRDefault="002C39F4" w:rsidP="002C39F4">
      <w:pPr>
        <w:rPr>
          <w:rFonts w:asciiTheme="minorBidi" w:hAnsiTheme="minorBidi"/>
          <w:rtl/>
        </w:rPr>
      </w:pPr>
    </w:p>
    <w:p w14:paraId="73B5E7DB" w14:textId="77777777" w:rsidR="002C39F4" w:rsidRPr="003024E5" w:rsidRDefault="002C39F4" w:rsidP="002C39F4">
      <w:pPr>
        <w:rPr>
          <w:rFonts w:asciiTheme="minorBidi" w:hAnsiTheme="minorBidi"/>
          <w:rtl/>
        </w:rPr>
      </w:pPr>
    </w:p>
    <w:p w14:paraId="248CA72F"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42F67BD5"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צה: דגים וביצה שנתבשלו בקדירה של בשר אם מותר לאכלן עם גבינה, ובו ז' סעיפים. </w:t>
      </w:r>
    </w:p>
    <w:p w14:paraId="04F97858"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דגים שעלו בקערה של בשר.</w:t>
      </w:r>
    </w:p>
    <w:p w14:paraId="718A72E6" w14:textId="77777777" w:rsidR="002C39F4" w:rsidRDefault="002C39F4" w:rsidP="002C39F4">
      <w:pPr>
        <w:rPr>
          <w:rFonts w:cs="Arial"/>
          <w:rtl/>
        </w:rPr>
      </w:pPr>
      <w:r>
        <w:rPr>
          <w:rFonts w:cs="Arial" w:hint="cs"/>
          <w:b/>
          <w:bCs/>
          <w:rtl/>
        </w:rPr>
        <w:t xml:space="preserve">חולין קיא ע"ב: </w:t>
      </w:r>
      <w:r w:rsidRPr="00763D8C">
        <w:rPr>
          <w:rFonts w:cs="Arial"/>
          <w:rtl/>
        </w:rPr>
        <w:t>איתמר, דגים שעלו בקערה</w:t>
      </w:r>
      <w:r>
        <w:rPr>
          <w:rStyle w:val="a7"/>
          <w:rFonts w:cs="Arial"/>
          <w:rtl/>
        </w:rPr>
        <w:footnoteReference w:id="1587"/>
      </w:r>
      <w:r w:rsidRPr="00763D8C">
        <w:rPr>
          <w:rFonts w:cs="Arial"/>
          <w:rtl/>
        </w:rPr>
        <w:t xml:space="preserve">, </w:t>
      </w:r>
      <w:r w:rsidRPr="00763D8C">
        <w:rPr>
          <w:rFonts w:cs="Arial"/>
          <w:u w:val="single"/>
          <w:rtl/>
        </w:rPr>
        <w:t>רב אמר</w:t>
      </w:r>
      <w:r w:rsidRPr="00763D8C">
        <w:rPr>
          <w:rFonts w:cs="Arial"/>
          <w:rtl/>
        </w:rPr>
        <w:t xml:space="preserve">: אסור לאכלן בכותח, </w:t>
      </w:r>
      <w:r w:rsidRPr="00763D8C">
        <w:rPr>
          <w:rFonts w:cs="Arial"/>
          <w:u w:val="single"/>
          <w:rtl/>
        </w:rPr>
        <w:t>ושמואל אמר</w:t>
      </w:r>
      <w:r w:rsidRPr="00763D8C">
        <w:rPr>
          <w:rFonts w:cs="Arial"/>
          <w:rtl/>
        </w:rPr>
        <w:t>: מותר לאכלן</w:t>
      </w:r>
      <w:r>
        <w:rPr>
          <w:rFonts w:cs="Arial"/>
          <w:rtl/>
        </w:rPr>
        <w:t xml:space="preserve"> בכותח</w:t>
      </w:r>
      <w:r>
        <w:rPr>
          <w:rFonts w:cs="Arial" w:hint="cs"/>
          <w:rtl/>
        </w:rPr>
        <w:t>.</w:t>
      </w:r>
      <w:r>
        <w:rPr>
          <w:rFonts w:cs="Arial"/>
          <w:rtl/>
        </w:rPr>
        <w:t xml:space="preserve"> רב אמר אסור</w:t>
      </w:r>
      <w:r>
        <w:rPr>
          <w:rFonts w:cs="Arial" w:hint="cs"/>
          <w:rtl/>
        </w:rPr>
        <w:t xml:space="preserve"> </w:t>
      </w:r>
      <w:r>
        <w:rPr>
          <w:rFonts w:cs="Arial"/>
          <w:rtl/>
        </w:rPr>
        <w:t>- נותן טעם הוא, ושמואל אמר מותר</w:t>
      </w:r>
      <w:r>
        <w:rPr>
          <w:rFonts w:cs="Arial" w:hint="cs"/>
          <w:rtl/>
        </w:rPr>
        <w:t xml:space="preserve"> </w:t>
      </w:r>
      <w:r w:rsidRPr="00763D8C">
        <w:rPr>
          <w:rFonts w:cs="Arial"/>
          <w:rtl/>
        </w:rPr>
        <w:t>- נותן טעם בר נ"ט</w:t>
      </w:r>
      <w:r>
        <w:rPr>
          <w:rStyle w:val="a7"/>
          <w:rFonts w:cs="Arial"/>
          <w:rtl/>
        </w:rPr>
        <w:footnoteReference w:id="1588"/>
      </w:r>
      <w:r w:rsidRPr="00763D8C">
        <w:rPr>
          <w:rFonts w:cs="Arial"/>
          <w:rtl/>
        </w:rPr>
        <w:t xml:space="preserve"> הוא.</w:t>
      </w:r>
      <w:r>
        <w:rPr>
          <w:rFonts w:cs="Arial" w:hint="cs"/>
          <w:rtl/>
        </w:rPr>
        <w:t>..</w:t>
      </w:r>
      <w:r w:rsidRPr="00763D8C">
        <w:rPr>
          <w:rFonts w:cs="Arial"/>
          <w:rtl/>
        </w:rPr>
        <w:t xml:space="preserve"> </w:t>
      </w:r>
      <w:r w:rsidRPr="00763D8C">
        <w:rPr>
          <w:rFonts w:cs="Arial"/>
          <w:u w:val="single"/>
          <w:rtl/>
        </w:rPr>
        <w:t>אמר חזקיה משום אביי</w:t>
      </w:r>
      <w:r w:rsidRPr="00763D8C">
        <w:rPr>
          <w:rFonts w:cs="Arial"/>
          <w:rtl/>
        </w:rPr>
        <w:t>, הלכתא: דגים</w:t>
      </w:r>
      <w:r>
        <w:rPr>
          <w:rFonts w:cs="Arial"/>
          <w:rtl/>
        </w:rPr>
        <w:t xml:space="preserve"> שעלו בקערה - מותר לאוכלן בכותח</w:t>
      </w:r>
      <w:r>
        <w:rPr>
          <w:rFonts w:cs="Arial" w:hint="cs"/>
          <w:rtl/>
        </w:rPr>
        <w:t>...</w:t>
      </w:r>
    </w:p>
    <w:p w14:paraId="6766E4D4" w14:textId="77777777" w:rsidR="002C39F4" w:rsidRPr="00422226" w:rsidRDefault="002C39F4" w:rsidP="002C39F4">
      <w:pPr>
        <w:rPr>
          <w:rFonts w:cs="Arial"/>
          <w:u w:val="single"/>
          <w:rtl/>
        </w:rPr>
      </w:pPr>
      <w:r w:rsidRPr="00422226">
        <w:rPr>
          <w:rFonts w:cs="Arial" w:hint="cs"/>
          <w:u w:val="single"/>
          <w:rtl/>
        </w:rPr>
        <w:t xml:space="preserve">דגים שעלו בקערה </w:t>
      </w:r>
      <w:r w:rsidRPr="00422226">
        <w:rPr>
          <w:rFonts w:cs="Arial"/>
          <w:u w:val="single"/>
          <w:rtl/>
        </w:rPr>
        <w:t>–</w:t>
      </w:r>
      <w:r w:rsidRPr="00422226">
        <w:rPr>
          <w:rFonts w:cs="Arial" w:hint="cs"/>
          <w:u w:val="single"/>
          <w:rtl/>
        </w:rPr>
        <w:t xml:space="preserve"> </w:t>
      </w:r>
      <w:r>
        <w:rPr>
          <w:rFonts w:cs="Arial" w:hint="cs"/>
          <w:u w:val="single"/>
          <w:rtl/>
        </w:rPr>
        <w:t>במה מדובר</w:t>
      </w:r>
      <w:r w:rsidRPr="00422226">
        <w:rPr>
          <w:rFonts w:cs="Arial" w:hint="cs"/>
          <w:u w:val="single"/>
          <w:rtl/>
        </w:rPr>
        <w:t>:</w:t>
      </w:r>
    </w:p>
    <w:p w14:paraId="71657BD8" w14:textId="77777777" w:rsidR="002C39F4" w:rsidRDefault="002C39F4" w:rsidP="0032102C">
      <w:pPr>
        <w:pStyle w:val="a8"/>
        <w:numPr>
          <w:ilvl w:val="0"/>
          <w:numId w:val="127"/>
        </w:numPr>
        <w:rPr>
          <w:rFonts w:cs="Arial"/>
        </w:rPr>
      </w:pPr>
      <w:r w:rsidRPr="00422226">
        <w:rPr>
          <w:rFonts w:cs="Arial" w:hint="cs"/>
          <w:rtl/>
        </w:rPr>
        <w:t xml:space="preserve">(רש"י </w:t>
      </w:r>
      <w:r w:rsidRPr="00422226">
        <w:rPr>
          <w:rFonts w:cs="Arial" w:hint="cs"/>
          <w:sz w:val="16"/>
          <w:szCs w:val="16"/>
          <w:rtl/>
        </w:rPr>
        <w:t>להב' תוס' ורא"ש</w:t>
      </w:r>
      <w:r>
        <w:rPr>
          <w:rStyle w:val="a7"/>
          <w:rFonts w:cs="Arial"/>
          <w:sz w:val="16"/>
          <w:szCs w:val="16"/>
          <w:rtl/>
        </w:rPr>
        <w:footnoteReference w:id="1589"/>
      </w:r>
      <w:r>
        <w:rPr>
          <w:rFonts w:cs="Arial" w:hint="cs"/>
          <w:rtl/>
        </w:rPr>
        <w:t>) ר"י ר"ת</w:t>
      </w:r>
      <w:r>
        <w:rPr>
          <w:rStyle w:val="a7"/>
          <w:rFonts w:cs="Arial"/>
          <w:rtl/>
        </w:rPr>
        <w:footnoteReference w:id="1590"/>
      </w:r>
      <w:r>
        <w:rPr>
          <w:rFonts w:cs="Arial" w:hint="cs"/>
          <w:rtl/>
        </w:rPr>
        <w:t xml:space="preserve"> ראב"ן </w:t>
      </w:r>
      <w:r w:rsidRPr="007A452C">
        <w:rPr>
          <w:rFonts w:cs="Arial"/>
          <w:rtl/>
        </w:rPr>
        <w:t xml:space="preserve">ראבי"ה </w:t>
      </w:r>
      <w:r w:rsidRPr="0005678F">
        <w:rPr>
          <w:rFonts w:cs="Arial"/>
          <w:rtl/>
        </w:rPr>
        <w:t>רמב"ם</w:t>
      </w:r>
      <w:r>
        <w:rPr>
          <w:rStyle w:val="a7"/>
          <w:rFonts w:cs="Arial"/>
          <w:rtl/>
        </w:rPr>
        <w:footnoteReference w:id="1591"/>
      </w:r>
      <w:r>
        <w:rPr>
          <w:rFonts w:cs="Arial" w:hint="cs"/>
          <w:rtl/>
        </w:rPr>
        <w:t xml:space="preserve"> </w:t>
      </w:r>
      <w:r w:rsidRPr="007A452C">
        <w:rPr>
          <w:rFonts w:cs="Arial"/>
          <w:rtl/>
        </w:rPr>
        <w:t>רשב"א</w:t>
      </w:r>
      <w:r>
        <w:rPr>
          <w:rStyle w:val="a7"/>
          <w:rFonts w:cs="Arial"/>
          <w:rtl/>
        </w:rPr>
        <w:footnoteReference w:id="1592"/>
      </w:r>
      <w:r>
        <w:rPr>
          <w:rFonts w:cs="Arial" w:hint="cs"/>
          <w:rtl/>
        </w:rPr>
        <w:t xml:space="preserve"> </w:t>
      </w:r>
      <w:r w:rsidRPr="007A452C">
        <w:rPr>
          <w:rFonts w:cs="Arial"/>
          <w:rtl/>
        </w:rPr>
        <w:t>ו</w:t>
      </w:r>
      <w:r>
        <w:rPr>
          <w:rFonts w:cs="Arial"/>
          <w:rtl/>
        </w:rPr>
        <w:t>ר"ן</w:t>
      </w:r>
      <w:r>
        <w:rPr>
          <w:rStyle w:val="a7"/>
          <w:rFonts w:cs="Arial"/>
          <w:rtl/>
        </w:rPr>
        <w:footnoteReference w:id="1593"/>
      </w:r>
      <w:r>
        <w:rPr>
          <w:rFonts w:cs="Arial" w:hint="cs"/>
          <w:rtl/>
        </w:rPr>
        <w:t>-</w:t>
      </w:r>
      <w:r w:rsidRPr="0005678F">
        <w:rPr>
          <w:rFonts w:cs="Arial"/>
          <w:rtl/>
        </w:rPr>
        <w:t xml:space="preserve"> </w:t>
      </w:r>
      <w:r>
        <w:rPr>
          <w:rFonts w:cs="Arial" w:hint="cs"/>
          <w:rtl/>
        </w:rPr>
        <w:t>דגים שצלאן או בישלן בקערה של בשר ורוצה לאכלן בכותח</w:t>
      </w:r>
      <w:r w:rsidRPr="0005678F">
        <w:rPr>
          <w:rFonts w:cs="Arial"/>
          <w:rtl/>
        </w:rPr>
        <w:t>.</w:t>
      </w:r>
      <w:r w:rsidRPr="00C83D24">
        <w:rPr>
          <w:rFonts w:cs="Arial" w:hint="cs"/>
          <w:color w:val="E36C0A" w:themeColor="accent6" w:themeShade="BF"/>
          <w:rtl/>
        </w:rPr>
        <w:t xml:space="preserve"> (וכ"פ בשו"ע)</w:t>
      </w:r>
    </w:p>
    <w:p w14:paraId="5D4CFDB6" w14:textId="77777777" w:rsidR="002C39F4" w:rsidRDefault="002C39F4" w:rsidP="0032102C">
      <w:pPr>
        <w:pStyle w:val="a8"/>
        <w:numPr>
          <w:ilvl w:val="0"/>
          <w:numId w:val="127"/>
        </w:numPr>
        <w:rPr>
          <w:rFonts w:cs="Arial"/>
        </w:rPr>
      </w:pPr>
      <w:r>
        <w:rPr>
          <w:rFonts w:cs="Arial" w:hint="cs"/>
          <w:rtl/>
        </w:rPr>
        <w:t xml:space="preserve">סה"ת </w:t>
      </w:r>
      <w:r>
        <w:rPr>
          <w:rFonts w:cs="Arial" w:hint="cs"/>
          <w:sz w:val="16"/>
          <w:szCs w:val="16"/>
          <w:rtl/>
        </w:rPr>
        <w:t>(כ"כ הטור בשמו)</w:t>
      </w:r>
      <w:r>
        <w:rPr>
          <w:rFonts w:cs="Arial" w:hint="cs"/>
          <w:rtl/>
        </w:rPr>
        <w:t xml:space="preserve"> </w:t>
      </w:r>
      <w:r w:rsidRPr="00422226">
        <w:rPr>
          <w:rFonts w:cs="Arial"/>
          <w:rtl/>
        </w:rPr>
        <w:t xml:space="preserve">סמ"ג </w:t>
      </w:r>
      <w:r w:rsidRPr="00422226">
        <w:rPr>
          <w:rFonts w:cs="Arial"/>
          <w:sz w:val="16"/>
          <w:szCs w:val="16"/>
          <w:rtl/>
        </w:rPr>
        <w:t>(לאוין קמ וקמא נג:)</w:t>
      </w:r>
      <w:r w:rsidRPr="007A452C">
        <w:rPr>
          <w:rFonts w:cs="Arial"/>
          <w:rtl/>
        </w:rPr>
        <w:t xml:space="preserve"> </w:t>
      </w:r>
      <w:r w:rsidRPr="00422226">
        <w:rPr>
          <w:rFonts w:cs="Arial"/>
          <w:rtl/>
        </w:rPr>
        <w:t xml:space="preserve">סמ"ק </w:t>
      </w:r>
      <w:r w:rsidRPr="00422226">
        <w:rPr>
          <w:rFonts w:cs="Arial"/>
          <w:sz w:val="16"/>
          <w:szCs w:val="16"/>
          <w:rtl/>
        </w:rPr>
        <w:t>(סי' ריג ד"ה ודגים עמ' רטז)</w:t>
      </w:r>
      <w:r w:rsidRPr="007A452C">
        <w:rPr>
          <w:rFonts w:cs="Arial" w:hint="cs"/>
          <w:rtl/>
        </w:rPr>
        <w:t xml:space="preserve"> </w:t>
      </w:r>
      <w:r>
        <w:rPr>
          <w:rFonts w:cs="Arial" w:hint="cs"/>
          <w:rtl/>
        </w:rPr>
        <w:t>ו</w:t>
      </w:r>
      <w:r w:rsidRPr="00422226">
        <w:rPr>
          <w:rFonts w:cs="Arial"/>
          <w:rtl/>
        </w:rPr>
        <w:t xml:space="preserve">רא"ש </w:t>
      </w:r>
      <w:r w:rsidRPr="00422226">
        <w:rPr>
          <w:rFonts w:cs="Arial"/>
          <w:sz w:val="16"/>
          <w:szCs w:val="16"/>
          <w:rtl/>
        </w:rPr>
        <w:t>(סי' ל)</w:t>
      </w:r>
      <w:r>
        <w:rPr>
          <w:rFonts w:cs="Arial" w:hint="cs"/>
          <w:rtl/>
        </w:rPr>
        <w:t xml:space="preserve">- </w:t>
      </w:r>
      <w:r w:rsidRPr="00422226">
        <w:rPr>
          <w:rFonts w:cs="Arial"/>
          <w:rtl/>
        </w:rPr>
        <w:t>דגים רותחים שעלו מן הצלי לתוך הקערה שאכלו בה בשר רותח</w:t>
      </w:r>
      <w:r>
        <w:rPr>
          <w:rFonts w:cs="Arial" w:hint="cs"/>
          <w:rtl/>
        </w:rPr>
        <w:t>,</w:t>
      </w:r>
      <w:r w:rsidRPr="00422226">
        <w:rPr>
          <w:rFonts w:cs="Arial"/>
          <w:rtl/>
        </w:rPr>
        <w:t xml:space="preserve"> </w:t>
      </w:r>
      <w:r>
        <w:rPr>
          <w:rFonts w:cs="Arial" w:hint="cs"/>
          <w:rtl/>
        </w:rPr>
        <w:t>ו</w:t>
      </w:r>
      <w:r w:rsidRPr="00422226">
        <w:rPr>
          <w:rFonts w:cs="Arial"/>
          <w:rtl/>
        </w:rPr>
        <w:t>מותר לאכלם בכותח לפי שנ"ט בר נ"ט הוא</w:t>
      </w:r>
      <w:r>
        <w:rPr>
          <w:rFonts w:cs="Arial" w:hint="cs"/>
          <w:rtl/>
        </w:rPr>
        <w:t>,</w:t>
      </w:r>
      <w:r w:rsidRPr="00422226">
        <w:rPr>
          <w:rFonts w:cs="Arial"/>
          <w:rtl/>
        </w:rPr>
        <w:t xml:space="preserve"> וכל שכן נתבשלו במחבת</w:t>
      </w:r>
      <w:r>
        <w:rPr>
          <w:rFonts w:cs="Arial" w:hint="cs"/>
          <w:rtl/>
        </w:rPr>
        <w:t>,</w:t>
      </w:r>
      <w:r w:rsidRPr="00422226">
        <w:rPr>
          <w:rFonts w:cs="Arial"/>
          <w:rtl/>
        </w:rPr>
        <w:t xml:space="preserve"> אפס דגים שצלאן בשפוד שצלו בו בשר שמא יש להחמיר בהם יותר מדגים שעלו בקערה</w:t>
      </w:r>
      <w:r>
        <w:rPr>
          <w:rFonts w:cs="Arial" w:hint="cs"/>
          <w:sz w:val="16"/>
          <w:szCs w:val="16"/>
          <w:rtl/>
        </w:rPr>
        <w:t xml:space="preserve"> (ל' סמ"ג)</w:t>
      </w:r>
      <w:r>
        <w:rPr>
          <w:rStyle w:val="a7"/>
          <w:rFonts w:cs="Arial"/>
          <w:rtl/>
        </w:rPr>
        <w:footnoteReference w:id="1594"/>
      </w:r>
      <w:r>
        <w:rPr>
          <w:rFonts w:cs="Arial" w:hint="cs"/>
          <w:rtl/>
        </w:rPr>
        <w:t>.</w:t>
      </w:r>
    </w:p>
    <w:p w14:paraId="6DAE0CDA" w14:textId="77777777" w:rsidR="002C39F4" w:rsidRPr="00C359BC" w:rsidRDefault="002C39F4" w:rsidP="0032102C">
      <w:pPr>
        <w:pStyle w:val="a8"/>
        <w:numPr>
          <w:ilvl w:val="0"/>
          <w:numId w:val="127"/>
        </w:numPr>
        <w:rPr>
          <w:rFonts w:cs="Arial"/>
          <w:rtl/>
        </w:rPr>
      </w:pPr>
      <w:r w:rsidRPr="00422226">
        <w:rPr>
          <w:rFonts w:cs="Arial" w:hint="cs"/>
          <w:rtl/>
        </w:rPr>
        <w:t xml:space="preserve">(רש"י </w:t>
      </w:r>
      <w:r w:rsidRPr="00422226">
        <w:rPr>
          <w:rFonts w:cs="Arial" w:hint="cs"/>
          <w:sz w:val="16"/>
          <w:szCs w:val="16"/>
          <w:rtl/>
        </w:rPr>
        <w:t xml:space="preserve">להב' </w:t>
      </w:r>
      <w:r w:rsidRPr="00422226">
        <w:rPr>
          <w:rFonts w:cs="Arial"/>
          <w:sz w:val="16"/>
          <w:szCs w:val="16"/>
          <w:rtl/>
        </w:rPr>
        <w:t>ריב"ן</w:t>
      </w:r>
      <w:r>
        <w:rPr>
          <w:rFonts w:cs="Arial" w:hint="cs"/>
          <w:sz w:val="16"/>
          <w:szCs w:val="16"/>
          <w:rtl/>
        </w:rPr>
        <w:t xml:space="preserve"> [הביאו הב"י]</w:t>
      </w:r>
      <w:r w:rsidRPr="00422226">
        <w:rPr>
          <w:rFonts w:cs="Arial" w:hint="cs"/>
          <w:rtl/>
        </w:rPr>
        <w:t xml:space="preserve">)- </w:t>
      </w:r>
      <w:r w:rsidRPr="00422226">
        <w:rPr>
          <w:rFonts w:cs="Arial"/>
          <w:rtl/>
        </w:rPr>
        <w:t>עלו</w:t>
      </w:r>
      <w:r>
        <w:rPr>
          <w:rStyle w:val="a7"/>
          <w:rFonts w:cs="Arial"/>
          <w:rtl/>
        </w:rPr>
        <w:footnoteReference w:id="1595"/>
      </w:r>
      <w:r>
        <w:rPr>
          <w:rFonts w:cs="Arial" w:hint="cs"/>
          <w:rtl/>
        </w:rPr>
        <w:t xml:space="preserve"> </w:t>
      </w:r>
      <w:r w:rsidRPr="00422226">
        <w:rPr>
          <w:rFonts w:cs="Arial"/>
          <w:rtl/>
        </w:rPr>
        <w:t>אין נתבשלו לא</w:t>
      </w:r>
      <w:r w:rsidRPr="00422226">
        <w:rPr>
          <w:rFonts w:cs="Arial" w:hint="cs"/>
          <w:rtl/>
        </w:rPr>
        <w:t>,</w:t>
      </w:r>
      <w:r w:rsidRPr="00422226">
        <w:rPr>
          <w:rFonts w:cs="Arial"/>
          <w:rtl/>
        </w:rPr>
        <w:t xml:space="preserve"> ואע"ג דבעלו נמי קבלו כדי קליפה טעם מן הבשר</w:t>
      </w:r>
      <w:r>
        <w:rPr>
          <w:rFonts w:cs="Arial" w:hint="cs"/>
          <w:rtl/>
        </w:rPr>
        <w:t>,</w:t>
      </w:r>
      <w:r w:rsidRPr="00422226">
        <w:rPr>
          <w:rFonts w:cs="Arial"/>
          <w:rtl/>
        </w:rPr>
        <w:t xml:space="preserve"> בבליעה מועטת התירו נ"ט בר נ"ט</w:t>
      </w:r>
      <w:r>
        <w:rPr>
          <w:rFonts w:cs="Arial" w:hint="cs"/>
          <w:rtl/>
        </w:rPr>
        <w:t>,</w:t>
      </w:r>
      <w:r w:rsidRPr="00422226">
        <w:rPr>
          <w:rFonts w:cs="Arial"/>
          <w:rtl/>
        </w:rPr>
        <w:t xml:space="preserve"> אבל נתבשלו ונבלע כל טעם הבשר שה</w:t>
      </w:r>
      <w:r>
        <w:rPr>
          <w:rFonts w:cs="Arial"/>
          <w:rtl/>
        </w:rPr>
        <w:t>יה בלוע בקדרה אסור לאכלו בכותח</w:t>
      </w:r>
      <w:r>
        <w:rPr>
          <w:rFonts w:cs="Arial" w:hint="cs"/>
          <w:rtl/>
        </w:rPr>
        <w:t>.</w:t>
      </w:r>
    </w:p>
    <w:p w14:paraId="492FE9F3" w14:textId="77777777" w:rsidR="002C39F4" w:rsidRDefault="002C39F4" w:rsidP="0032102C">
      <w:pPr>
        <w:pStyle w:val="a8"/>
        <w:numPr>
          <w:ilvl w:val="0"/>
          <w:numId w:val="127"/>
        </w:numPr>
        <w:rPr>
          <w:rFonts w:cs="Arial"/>
        </w:rPr>
      </w:pPr>
      <w:r w:rsidRPr="00422226">
        <w:rPr>
          <w:rFonts w:cs="Arial"/>
          <w:rtl/>
        </w:rPr>
        <w:t>תוס</w:t>
      </w:r>
      <w:r w:rsidRPr="00422226">
        <w:rPr>
          <w:rFonts w:cs="Arial" w:hint="cs"/>
          <w:rtl/>
        </w:rPr>
        <w:t>'</w:t>
      </w:r>
      <w:r>
        <w:rPr>
          <w:rStyle w:val="a7"/>
          <w:rFonts w:cs="Arial"/>
          <w:rtl/>
        </w:rPr>
        <w:footnoteReference w:id="1596"/>
      </w:r>
      <w:r w:rsidRPr="00422226">
        <w:rPr>
          <w:rFonts w:cs="Arial"/>
          <w:rtl/>
        </w:rPr>
        <w:t xml:space="preserve"> </w:t>
      </w:r>
      <w:r w:rsidRPr="00422226">
        <w:rPr>
          <w:rFonts w:cs="Arial"/>
          <w:sz w:val="16"/>
          <w:szCs w:val="16"/>
          <w:rtl/>
        </w:rPr>
        <w:t>(ד"ה הלכתא)</w:t>
      </w:r>
      <w:r>
        <w:rPr>
          <w:rFonts w:cs="Arial" w:hint="cs"/>
          <w:rtl/>
        </w:rPr>
        <w:t xml:space="preserve"> </w:t>
      </w:r>
      <w:r w:rsidRPr="00085E47">
        <w:rPr>
          <w:rFonts w:asciiTheme="minorBidi" w:hAnsiTheme="minorBidi"/>
          <w:rtl/>
        </w:rPr>
        <w:t>מרדכי</w:t>
      </w:r>
      <w:r>
        <w:rPr>
          <w:rStyle w:val="a7"/>
          <w:rFonts w:asciiTheme="minorBidi" w:hAnsiTheme="minorBidi"/>
          <w:rtl/>
        </w:rPr>
        <w:footnoteReference w:id="1597"/>
      </w:r>
      <w:r>
        <w:rPr>
          <w:rFonts w:asciiTheme="minorBidi" w:hAnsiTheme="minorBidi" w:hint="cs"/>
          <w:rtl/>
        </w:rPr>
        <w:t xml:space="preserve"> </w:t>
      </w:r>
      <w:r>
        <w:rPr>
          <w:rFonts w:cs="Arial" w:hint="cs"/>
          <w:rtl/>
        </w:rPr>
        <w:t>טור ו</w:t>
      </w:r>
      <w:r w:rsidRPr="007E142E">
        <w:rPr>
          <w:rFonts w:cs="Arial" w:hint="cs"/>
          <w:rtl/>
        </w:rPr>
        <w:t>י"א</w:t>
      </w:r>
      <w:r w:rsidRPr="007E142E">
        <w:rPr>
          <w:rFonts w:cs="Arial" w:hint="cs"/>
          <w:sz w:val="16"/>
          <w:szCs w:val="16"/>
          <w:rtl/>
        </w:rPr>
        <w:t xml:space="preserve"> (הביאו הב"י בשם </w:t>
      </w:r>
      <w:r w:rsidRPr="007E142E">
        <w:rPr>
          <w:rFonts w:cs="Arial"/>
          <w:sz w:val="16"/>
          <w:szCs w:val="16"/>
          <w:rtl/>
        </w:rPr>
        <w:t>מצאתי כתוב</w:t>
      </w:r>
      <w:r w:rsidRPr="007E142E">
        <w:rPr>
          <w:rFonts w:cs="Arial" w:hint="cs"/>
          <w:sz w:val="16"/>
          <w:szCs w:val="16"/>
          <w:rtl/>
        </w:rPr>
        <w:t>)</w:t>
      </w:r>
      <w:r w:rsidRPr="007E142E">
        <w:rPr>
          <w:rFonts w:cs="Arial" w:hint="cs"/>
          <w:rtl/>
        </w:rPr>
        <w:t>-</w:t>
      </w:r>
      <w:r w:rsidRPr="007E142E">
        <w:rPr>
          <w:rFonts w:cs="Arial"/>
          <w:rtl/>
        </w:rPr>
        <w:t xml:space="preserve"> דוקא שאחד מהם חם אבל שניהם חמין לא אפילו דיעבד</w:t>
      </w:r>
      <w:r>
        <w:rPr>
          <w:rFonts w:cs="Arial" w:hint="cs"/>
          <w:rtl/>
        </w:rPr>
        <w:t>,</w:t>
      </w:r>
      <w:r>
        <w:rPr>
          <w:rFonts w:cs="Arial"/>
          <w:rtl/>
        </w:rPr>
        <w:t xml:space="preserve"> כן משמע ביו</w:t>
      </w:r>
      <w:r>
        <w:rPr>
          <w:rFonts w:cs="Arial" w:hint="cs"/>
          <w:rtl/>
        </w:rPr>
        <w:t>"</w:t>
      </w:r>
      <w:r w:rsidRPr="007E142E">
        <w:rPr>
          <w:rFonts w:cs="Arial"/>
          <w:rtl/>
        </w:rPr>
        <w:t>ד</w:t>
      </w:r>
      <w:r>
        <w:rPr>
          <w:rFonts w:cs="Arial" w:hint="cs"/>
          <w:sz w:val="16"/>
          <w:szCs w:val="16"/>
          <w:rtl/>
        </w:rPr>
        <w:t xml:space="preserve"> (ל' הי"א)</w:t>
      </w:r>
      <w:r>
        <w:rPr>
          <w:rStyle w:val="a7"/>
          <w:rFonts w:cs="Arial"/>
          <w:rtl/>
        </w:rPr>
        <w:footnoteReference w:id="1598"/>
      </w:r>
      <w:r w:rsidRPr="007E142E">
        <w:rPr>
          <w:rFonts w:cs="Arial" w:hint="cs"/>
          <w:rtl/>
        </w:rPr>
        <w:t>.</w:t>
      </w:r>
      <w:r w:rsidRPr="007E142E">
        <w:rPr>
          <w:rFonts w:cs="Arial"/>
          <w:rtl/>
        </w:rPr>
        <w:t xml:space="preserve"> </w:t>
      </w:r>
      <w:r>
        <w:rPr>
          <w:rFonts w:cs="Arial" w:hint="cs"/>
          <w:rtl/>
        </w:rPr>
        <w:t xml:space="preserve">(וכ"פ </w:t>
      </w:r>
      <w:r w:rsidRPr="00085E47">
        <w:rPr>
          <w:rFonts w:asciiTheme="minorBidi" w:hAnsiTheme="minorBidi"/>
          <w:rtl/>
        </w:rPr>
        <w:t xml:space="preserve">ט"ז </w:t>
      </w:r>
      <w:r w:rsidRPr="00085E47">
        <w:rPr>
          <w:rFonts w:asciiTheme="minorBidi" w:hAnsiTheme="minorBidi"/>
          <w:sz w:val="16"/>
          <w:szCs w:val="16"/>
          <w:rtl/>
        </w:rPr>
        <w:t xml:space="preserve">[סק"ג] </w:t>
      </w:r>
      <w:r w:rsidRPr="00085E47">
        <w:rPr>
          <w:rFonts w:asciiTheme="minorBidi" w:hAnsiTheme="minorBidi"/>
          <w:rtl/>
        </w:rPr>
        <w:t>וש"ך</w:t>
      </w:r>
      <w:r w:rsidRPr="00085E47">
        <w:rPr>
          <w:rFonts w:asciiTheme="minorBidi" w:hAnsiTheme="minorBidi"/>
          <w:sz w:val="16"/>
          <w:szCs w:val="16"/>
          <w:rtl/>
        </w:rPr>
        <w:t xml:space="preserve"> [סק"ו]</w:t>
      </w:r>
      <w:r w:rsidRPr="00085E47">
        <w:rPr>
          <w:rFonts w:asciiTheme="minorBidi" w:hAnsiTheme="minorBidi"/>
          <w:rtl/>
        </w:rPr>
        <w:t>)</w:t>
      </w:r>
    </w:p>
    <w:p w14:paraId="4E2EF8B3" w14:textId="77777777" w:rsidR="002C39F4" w:rsidRPr="007E142E" w:rsidRDefault="002C39F4" w:rsidP="0032102C">
      <w:pPr>
        <w:pStyle w:val="a8"/>
        <w:numPr>
          <w:ilvl w:val="0"/>
          <w:numId w:val="127"/>
        </w:numPr>
        <w:rPr>
          <w:rFonts w:cs="Arial"/>
          <w:rtl/>
        </w:rPr>
      </w:pPr>
      <w:r>
        <w:rPr>
          <w:rFonts w:cs="Arial" w:hint="cs"/>
          <w:rtl/>
        </w:rPr>
        <w:t>הגהות או</w:t>
      </w:r>
      <w:r>
        <w:rPr>
          <w:rFonts w:cs="Arial"/>
          <w:rtl/>
        </w:rPr>
        <w:t>"</w:t>
      </w:r>
      <w:r>
        <w:rPr>
          <w:rFonts w:cs="Arial" w:hint="cs"/>
          <w:rtl/>
        </w:rPr>
        <w:t>ה</w:t>
      </w:r>
      <w:r>
        <w:rPr>
          <w:rStyle w:val="a7"/>
          <w:rFonts w:cs="Arial"/>
          <w:rtl/>
        </w:rPr>
        <w:footnoteReference w:id="1599"/>
      </w:r>
      <w:r>
        <w:rPr>
          <w:rFonts w:cs="Arial" w:hint="cs"/>
          <w:rtl/>
        </w:rPr>
        <w:t>-</w:t>
      </w:r>
      <w:r w:rsidRPr="007E142E">
        <w:rPr>
          <w:rFonts w:cs="Arial"/>
          <w:rtl/>
        </w:rPr>
        <w:t xml:space="preserve"> </w:t>
      </w:r>
      <w:r>
        <w:rPr>
          <w:rFonts w:cs="Arial" w:hint="cs"/>
          <w:rtl/>
        </w:rPr>
        <w:t>נוהגין לאסור לכתחילה בבישול וצלייה, ובדיעבד הכל שרי</w:t>
      </w:r>
      <w:r>
        <w:rPr>
          <w:rStyle w:val="a7"/>
          <w:rFonts w:cs="Arial"/>
          <w:rtl/>
        </w:rPr>
        <w:footnoteReference w:id="1600"/>
      </w:r>
      <w:r>
        <w:rPr>
          <w:rFonts w:cs="Arial" w:hint="cs"/>
          <w:rtl/>
        </w:rPr>
        <w:t xml:space="preserve">. </w:t>
      </w:r>
      <w:r w:rsidRPr="00BC5C41">
        <w:rPr>
          <w:rFonts w:cs="Arial" w:hint="cs"/>
          <w:color w:val="00B0F0"/>
          <w:rtl/>
        </w:rPr>
        <w:t>(וכ"פ הרמ"א</w:t>
      </w:r>
      <w:r>
        <w:rPr>
          <w:rFonts w:cs="Arial" w:hint="cs"/>
          <w:color w:val="00B0F0"/>
          <w:sz w:val="16"/>
          <w:szCs w:val="16"/>
          <w:rtl/>
        </w:rPr>
        <w:t xml:space="preserve"> </w:t>
      </w:r>
      <w:r>
        <w:rPr>
          <w:rFonts w:cs="Arial" w:hint="cs"/>
          <w:color w:val="000000" w:themeColor="text1"/>
          <w:sz w:val="16"/>
          <w:szCs w:val="16"/>
          <w:rtl/>
        </w:rPr>
        <w:t>[סע' ב]</w:t>
      </w:r>
      <w:r w:rsidRPr="00BC5C41">
        <w:rPr>
          <w:rFonts w:cs="Arial" w:hint="cs"/>
          <w:color w:val="00B0F0"/>
          <w:rtl/>
        </w:rPr>
        <w:t>)</w:t>
      </w:r>
    </w:p>
    <w:p w14:paraId="7B07DAAB" w14:textId="77777777" w:rsidR="002C39F4" w:rsidRPr="00A564BA" w:rsidRDefault="002C39F4" w:rsidP="0032102C">
      <w:pPr>
        <w:pStyle w:val="a8"/>
        <w:numPr>
          <w:ilvl w:val="1"/>
          <w:numId w:val="130"/>
        </w:numPr>
        <w:rPr>
          <w:rFonts w:cs="Arial"/>
          <w:rtl/>
        </w:rPr>
      </w:pPr>
      <w:r>
        <w:rPr>
          <w:rFonts w:cs="Arial" w:hint="cs"/>
          <w:rtl/>
        </w:rPr>
        <w:t xml:space="preserve">ב"י- </w:t>
      </w:r>
      <w:r w:rsidRPr="00A564BA">
        <w:rPr>
          <w:rFonts w:cs="Arial"/>
          <w:rtl/>
        </w:rPr>
        <w:t>לענין הלכה כיון דהרמב"ם והרשב"א והר"ן ואבי העזרי וזקנו ור"י אין מחלקין בין נצלו לנתבשלו דבכל גוונא שרי</w:t>
      </w:r>
      <w:r>
        <w:rPr>
          <w:rFonts w:cs="Arial" w:hint="cs"/>
          <w:rtl/>
        </w:rPr>
        <w:t>,</w:t>
      </w:r>
      <w:r w:rsidRPr="00A564BA">
        <w:rPr>
          <w:rFonts w:cs="Arial"/>
          <w:rtl/>
        </w:rPr>
        <w:t xml:space="preserve"> וגם מדברי רש"י משמע כן</w:t>
      </w:r>
      <w:r>
        <w:rPr>
          <w:rFonts w:cs="Arial" w:hint="cs"/>
          <w:rtl/>
        </w:rPr>
        <w:t xml:space="preserve"> -</w:t>
      </w:r>
      <w:r w:rsidRPr="00A564BA">
        <w:rPr>
          <w:rFonts w:cs="Arial"/>
          <w:rtl/>
        </w:rPr>
        <w:t xml:space="preserve"> הכי נקטינן</w:t>
      </w:r>
      <w:r>
        <w:rPr>
          <w:rFonts w:cs="Arial" w:hint="cs"/>
          <w:rtl/>
        </w:rPr>
        <w:t>.</w:t>
      </w:r>
      <w:r w:rsidRPr="00A564BA">
        <w:rPr>
          <w:rFonts w:cs="Arial"/>
          <w:rtl/>
        </w:rPr>
        <w:t xml:space="preserve"> </w:t>
      </w:r>
      <w:r>
        <w:rPr>
          <w:rFonts w:cs="Arial" w:hint="cs"/>
          <w:rtl/>
        </w:rPr>
        <w:t xml:space="preserve"> </w:t>
      </w:r>
    </w:p>
    <w:p w14:paraId="775CC4AF" w14:textId="77777777" w:rsidR="002C39F4" w:rsidRPr="002A4399" w:rsidRDefault="002C39F4" w:rsidP="002C39F4">
      <w:pPr>
        <w:ind w:left="360"/>
        <w:rPr>
          <w:rFonts w:cs="Arial"/>
          <w:u w:val="dotted"/>
          <w:rtl/>
        </w:rPr>
      </w:pPr>
      <w:r w:rsidRPr="002A4399">
        <w:rPr>
          <w:rFonts w:cs="Arial" w:hint="cs"/>
          <w:u w:val="dotted"/>
          <w:rtl/>
        </w:rPr>
        <w:t>האם מותר לכתחילה</w:t>
      </w:r>
      <w:r w:rsidRPr="002A4399">
        <w:rPr>
          <w:rFonts w:cs="Arial"/>
          <w:u w:val="dotted"/>
          <w:rtl/>
        </w:rPr>
        <w:t xml:space="preserve"> להעלותם או לבשלם בכלי של בשר כדי לאכלם בכותח</w:t>
      </w:r>
      <w:r w:rsidRPr="002A4399">
        <w:rPr>
          <w:rFonts w:cs="Arial" w:hint="cs"/>
          <w:u w:val="dotted"/>
          <w:rtl/>
        </w:rPr>
        <w:t>:</w:t>
      </w:r>
      <w:r w:rsidRPr="002A4399">
        <w:rPr>
          <w:rFonts w:cs="Arial"/>
          <w:u w:val="dotted"/>
          <w:rtl/>
        </w:rPr>
        <w:t xml:space="preserve"> </w:t>
      </w:r>
    </w:p>
    <w:p w14:paraId="3CF26370" w14:textId="77777777" w:rsidR="002C39F4" w:rsidRDefault="002C39F4" w:rsidP="0032102C">
      <w:pPr>
        <w:pStyle w:val="a8"/>
        <w:numPr>
          <w:ilvl w:val="0"/>
          <w:numId w:val="130"/>
        </w:numPr>
        <w:rPr>
          <w:rFonts w:cs="Arial"/>
        </w:rPr>
      </w:pPr>
      <w:r w:rsidRPr="002A4399">
        <w:rPr>
          <w:rFonts w:cs="Arial" w:hint="cs"/>
          <w:rtl/>
        </w:rPr>
        <w:t>ר"פ</w:t>
      </w:r>
      <w:r w:rsidRPr="002A4399">
        <w:rPr>
          <w:rFonts w:cs="Arial"/>
          <w:rtl/>
        </w:rPr>
        <w:t xml:space="preserve"> </w:t>
      </w:r>
      <w:r>
        <w:rPr>
          <w:rFonts w:cs="Arial" w:hint="cs"/>
          <w:rtl/>
        </w:rPr>
        <w:t>ו</w:t>
      </w:r>
      <w:r w:rsidRPr="002A4399">
        <w:rPr>
          <w:rFonts w:cs="Arial"/>
          <w:rtl/>
        </w:rPr>
        <w:t>הגה</w:t>
      </w:r>
      <w:r w:rsidRPr="002A4399">
        <w:rPr>
          <w:rFonts w:cs="Arial" w:hint="cs"/>
          <w:rtl/>
        </w:rPr>
        <w:t>"מ</w:t>
      </w:r>
      <w:r>
        <w:rPr>
          <w:rStyle w:val="a7"/>
          <w:rFonts w:cs="Arial"/>
          <w:rtl/>
        </w:rPr>
        <w:footnoteReference w:id="1601"/>
      </w:r>
      <w:r w:rsidRPr="002A4399">
        <w:rPr>
          <w:rFonts w:cs="Arial" w:hint="cs"/>
          <w:rtl/>
        </w:rPr>
        <w:t xml:space="preserve">- </w:t>
      </w:r>
      <w:r w:rsidRPr="002A4399">
        <w:rPr>
          <w:rFonts w:cs="Arial"/>
          <w:rtl/>
        </w:rPr>
        <w:t xml:space="preserve">דוקא בדיעבד </w:t>
      </w:r>
      <w:r>
        <w:rPr>
          <w:rFonts w:cs="Arial" w:hint="cs"/>
          <w:rtl/>
        </w:rPr>
        <w:t xml:space="preserve">שרי </w:t>
      </w:r>
      <w:r w:rsidRPr="002A4399">
        <w:rPr>
          <w:rFonts w:cs="Arial"/>
          <w:rtl/>
        </w:rPr>
        <w:t>אבל לכתחלה אסור להעלותם או לבשלם בכלי של בשר כדי לאכלם בכותח</w:t>
      </w:r>
      <w:r w:rsidRPr="002A4399">
        <w:rPr>
          <w:rFonts w:cs="Arial" w:hint="cs"/>
          <w:rtl/>
        </w:rPr>
        <w:t xml:space="preserve">, </w:t>
      </w:r>
      <w:r w:rsidRPr="002A4399">
        <w:rPr>
          <w:rFonts w:cs="Arial"/>
          <w:rtl/>
        </w:rPr>
        <w:t>מדקאמר דגים שעלו בקערה בלשון דיעבד</w:t>
      </w:r>
      <w:r>
        <w:rPr>
          <w:rStyle w:val="a7"/>
          <w:rFonts w:cs="Arial"/>
          <w:rtl/>
        </w:rPr>
        <w:footnoteReference w:id="1602"/>
      </w:r>
      <w:r w:rsidRPr="002A4399">
        <w:rPr>
          <w:rFonts w:cs="Arial"/>
          <w:rtl/>
        </w:rPr>
        <w:t xml:space="preserve">. </w:t>
      </w:r>
      <w:r w:rsidRPr="00BC5C41">
        <w:rPr>
          <w:rFonts w:cs="Arial" w:hint="cs"/>
          <w:color w:val="00B0F0"/>
          <w:rtl/>
        </w:rPr>
        <w:t>(וכ"פ הרמ"א</w:t>
      </w:r>
      <w:r>
        <w:rPr>
          <w:rFonts w:cs="Arial" w:hint="cs"/>
          <w:color w:val="00B0F0"/>
          <w:sz w:val="16"/>
          <w:szCs w:val="16"/>
          <w:rtl/>
        </w:rPr>
        <w:t xml:space="preserve"> </w:t>
      </w:r>
      <w:r>
        <w:rPr>
          <w:rFonts w:cs="Arial" w:hint="cs"/>
          <w:color w:val="000000" w:themeColor="text1"/>
          <w:sz w:val="16"/>
          <w:szCs w:val="16"/>
          <w:rtl/>
        </w:rPr>
        <w:t>[סע' ב]</w:t>
      </w:r>
      <w:r w:rsidRPr="00BC5C41">
        <w:rPr>
          <w:rFonts w:cs="Arial" w:hint="cs"/>
          <w:color w:val="00B0F0"/>
          <w:rtl/>
        </w:rPr>
        <w:t>)</w:t>
      </w:r>
    </w:p>
    <w:p w14:paraId="39DD8EE3" w14:textId="77777777" w:rsidR="002C39F4" w:rsidRDefault="002C39F4" w:rsidP="0032102C">
      <w:pPr>
        <w:pStyle w:val="a8"/>
        <w:numPr>
          <w:ilvl w:val="0"/>
          <w:numId w:val="130"/>
        </w:numPr>
        <w:rPr>
          <w:rFonts w:cs="Arial"/>
        </w:rPr>
      </w:pPr>
      <w:r>
        <w:rPr>
          <w:rFonts w:cs="Arial" w:hint="cs"/>
          <w:rtl/>
        </w:rPr>
        <w:t xml:space="preserve">סה"ת </w:t>
      </w:r>
      <w:r w:rsidRPr="002A4399">
        <w:rPr>
          <w:rFonts w:cs="Arial" w:hint="cs"/>
          <w:sz w:val="16"/>
          <w:szCs w:val="16"/>
          <w:rtl/>
        </w:rPr>
        <w:t>(</w:t>
      </w:r>
      <w:r w:rsidRPr="002A4399">
        <w:rPr>
          <w:rFonts w:cs="Arial"/>
          <w:sz w:val="16"/>
          <w:szCs w:val="16"/>
          <w:rtl/>
        </w:rPr>
        <w:t>במפתחות סי' סא)</w:t>
      </w:r>
      <w:r>
        <w:rPr>
          <w:rFonts w:cs="Arial" w:hint="cs"/>
          <w:rtl/>
        </w:rPr>
        <w:t xml:space="preserve">- </w:t>
      </w:r>
      <w:r w:rsidRPr="002A4399">
        <w:rPr>
          <w:rFonts w:cs="Arial"/>
          <w:rtl/>
        </w:rPr>
        <w:t>קטניות שבשל בקדרה חולבת מותר לכתחלה לערותן בקדרה של בשר ואפילו הקדרה בת יומא כמו דגים שעלו בקערה</w:t>
      </w:r>
      <w:r>
        <w:rPr>
          <w:rStyle w:val="a7"/>
          <w:rFonts w:cs="Arial"/>
          <w:rtl/>
        </w:rPr>
        <w:footnoteReference w:id="1603"/>
      </w:r>
      <w:r>
        <w:rPr>
          <w:rFonts w:cs="Arial" w:hint="cs"/>
          <w:rtl/>
        </w:rPr>
        <w:t xml:space="preserve"> וכו'</w:t>
      </w:r>
      <w:r w:rsidRPr="002A4399">
        <w:rPr>
          <w:rFonts w:cs="Arial"/>
          <w:rtl/>
        </w:rPr>
        <w:t>.</w:t>
      </w:r>
    </w:p>
    <w:p w14:paraId="03BF7415" w14:textId="77777777" w:rsidR="002C39F4" w:rsidRPr="00601007" w:rsidRDefault="002C39F4" w:rsidP="002C39F4">
      <w:pPr>
        <w:ind w:left="360"/>
        <w:rPr>
          <w:rFonts w:cs="Arial"/>
          <w:u w:val="dotted"/>
        </w:rPr>
      </w:pPr>
      <w:r w:rsidRPr="00601007">
        <w:rPr>
          <w:rFonts w:cs="Arial" w:hint="cs"/>
          <w:u w:val="dotted"/>
          <w:rtl/>
        </w:rPr>
        <w:t xml:space="preserve">כל הנ"ל הוא כשהקערה </w:t>
      </w:r>
      <w:r w:rsidRPr="00601007">
        <w:rPr>
          <w:rFonts w:asciiTheme="minorBidi" w:hAnsiTheme="minorBidi"/>
          <w:u w:val="dotted"/>
          <w:rtl/>
        </w:rPr>
        <w:t>רחוצה יפה שאין שום שומן דבוק בה</w:t>
      </w:r>
      <w:r>
        <w:rPr>
          <w:rFonts w:asciiTheme="minorBidi" w:hAnsiTheme="minorBidi" w:hint="cs"/>
          <w:sz w:val="16"/>
          <w:szCs w:val="16"/>
          <w:u w:val="dotted"/>
          <w:rtl/>
        </w:rPr>
        <w:t xml:space="preserve"> (כדכתב הטור בשם הרא"ש)</w:t>
      </w:r>
      <w:r w:rsidRPr="00601007">
        <w:rPr>
          <w:rFonts w:asciiTheme="minorBidi" w:hAnsiTheme="minorBidi"/>
          <w:u w:val="dotted"/>
          <w:rtl/>
        </w:rPr>
        <w:t xml:space="preserve"> </w:t>
      </w:r>
      <w:r w:rsidRPr="00601007">
        <w:rPr>
          <w:rFonts w:cs="Arial"/>
          <w:u w:val="dotted"/>
          <w:rtl/>
        </w:rPr>
        <w:t>–</w:t>
      </w:r>
      <w:r w:rsidRPr="00601007">
        <w:rPr>
          <w:rFonts w:cs="Arial" w:hint="cs"/>
          <w:u w:val="dotted"/>
          <w:rtl/>
        </w:rPr>
        <w:t xml:space="preserve"> אבל מה הדין אי לאו הכי: </w:t>
      </w:r>
    </w:p>
    <w:p w14:paraId="62D50665" w14:textId="77777777" w:rsidR="002C39F4" w:rsidRPr="002A4399" w:rsidRDefault="002C39F4" w:rsidP="0032102C">
      <w:pPr>
        <w:pStyle w:val="a8"/>
        <w:numPr>
          <w:ilvl w:val="0"/>
          <w:numId w:val="130"/>
        </w:numPr>
        <w:rPr>
          <w:rFonts w:cs="Arial"/>
          <w:rtl/>
        </w:rPr>
      </w:pPr>
      <w:r>
        <w:rPr>
          <w:rFonts w:cs="Arial"/>
          <w:rtl/>
        </w:rPr>
        <w:t xml:space="preserve">רשב"א </w:t>
      </w:r>
      <w:r w:rsidRPr="00A82EAE">
        <w:rPr>
          <w:rFonts w:cs="Arial" w:hint="cs"/>
          <w:sz w:val="16"/>
          <w:szCs w:val="16"/>
          <w:rtl/>
        </w:rPr>
        <w:t>(תוה"ק</w:t>
      </w:r>
      <w:r w:rsidRPr="00A82EAE">
        <w:rPr>
          <w:rFonts w:cs="Arial"/>
          <w:sz w:val="16"/>
          <w:szCs w:val="16"/>
          <w:rtl/>
        </w:rPr>
        <w:t xml:space="preserve"> ב"ג ש"ד פה:)</w:t>
      </w:r>
      <w:r>
        <w:rPr>
          <w:rFonts w:cs="Arial" w:hint="cs"/>
          <w:rtl/>
        </w:rPr>
        <w:t>-</w:t>
      </w:r>
      <w:r w:rsidRPr="00583F86">
        <w:rPr>
          <w:rFonts w:cs="Arial"/>
          <w:rtl/>
        </w:rPr>
        <w:t xml:space="preserve"> לא הדיח את הקדרה יפה יפה קודם שבשל בה את הדגים אם יש בממשות שעל פני הקדרה יותר מא</w:t>
      </w:r>
      <w:r>
        <w:rPr>
          <w:rFonts w:cs="Arial"/>
          <w:rtl/>
        </w:rPr>
        <w:t>חד בששים בדגים אסור לאכלן בכותח</w:t>
      </w:r>
      <w:r>
        <w:rPr>
          <w:rFonts w:cs="Arial" w:hint="cs"/>
          <w:rtl/>
        </w:rPr>
        <w:t>.</w:t>
      </w:r>
      <w:r w:rsidRPr="00C83D24">
        <w:rPr>
          <w:rFonts w:cs="Arial" w:hint="cs"/>
          <w:color w:val="E36C0A" w:themeColor="accent6" w:themeShade="BF"/>
          <w:rtl/>
        </w:rPr>
        <w:t xml:space="preserve"> (וכ"פ בשו"ע)</w:t>
      </w:r>
    </w:p>
    <w:p w14:paraId="21633672" w14:textId="77777777" w:rsidR="002C39F4" w:rsidRPr="00601007" w:rsidRDefault="002C39F4" w:rsidP="002C39F4">
      <w:pPr>
        <w:rPr>
          <w:rFonts w:cs="Arial"/>
          <w:u w:val="single"/>
          <w:rtl/>
        </w:rPr>
      </w:pPr>
      <w:r w:rsidRPr="00601007">
        <w:rPr>
          <w:rFonts w:cs="Arial" w:hint="cs"/>
          <w:u w:val="single"/>
          <w:rtl/>
        </w:rPr>
        <w:t>האם הדגים המותרים צריכים מ"מ קליפה:</w:t>
      </w:r>
    </w:p>
    <w:p w14:paraId="762C8083" w14:textId="77777777" w:rsidR="002C39F4" w:rsidRPr="00382B44" w:rsidRDefault="002C39F4" w:rsidP="0032102C">
      <w:pPr>
        <w:pStyle w:val="a8"/>
        <w:numPr>
          <w:ilvl w:val="0"/>
          <w:numId w:val="130"/>
        </w:numPr>
        <w:rPr>
          <w:rFonts w:cs="Arial"/>
          <w:u w:val="single"/>
          <w:rtl/>
        </w:rPr>
      </w:pPr>
      <w:r w:rsidRPr="00382B44">
        <w:rPr>
          <w:rFonts w:cs="Arial" w:hint="cs"/>
          <w:rtl/>
        </w:rPr>
        <w:t>רי"ו</w:t>
      </w:r>
      <w:r w:rsidRPr="00382B44">
        <w:rPr>
          <w:rFonts w:cs="Arial"/>
          <w:rtl/>
        </w:rPr>
        <w:t xml:space="preserve"> </w:t>
      </w:r>
      <w:r w:rsidRPr="00382B44">
        <w:rPr>
          <w:rFonts w:cs="Arial"/>
          <w:sz w:val="16"/>
          <w:szCs w:val="16"/>
          <w:rtl/>
        </w:rPr>
        <w:t>(נט"ו אות כח קלז</w:t>
      </w:r>
      <w:r w:rsidRPr="00382B44">
        <w:rPr>
          <w:rFonts w:cs="Arial" w:hint="cs"/>
          <w:sz w:val="16"/>
          <w:szCs w:val="16"/>
          <w:rtl/>
        </w:rPr>
        <w:t xml:space="preserve"> ע"ד</w:t>
      </w:r>
      <w:r w:rsidRPr="00382B44">
        <w:rPr>
          <w:rFonts w:cs="Arial"/>
          <w:sz w:val="16"/>
          <w:szCs w:val="16"/>
          <w:rtl/>
        </w:rPr>
        <w:t>)</w:t>
      </w:r>
      <w:r w:rsidRPr="00382B44">
        <w:rPr>
          <w:rFonts w:cs="Arial" w:hint="cs"/>
          <w:rtl/>
        </w:rPr>
        <w:t>-</w:t>
      </w:r>
      <w:r w:rsidRPr="00382B44">
        <w:rPr>
          <w:rFonts w:cs="Arial"/>
          <w:rtl/>
        </w:rPr>
        <w:t xml:space="preserve"> דגים חמין שעלו בקערה צוננת או שהקערה רותחת ודגים צוננים צריך לקלוף מן הדגים מה שנגע בקערה</w:t>
      </w:r>
      <w:r>
        <w:rPr>
          <w:rStyle w:val="a7"/>
          <w:rFonts w:cs="Arial"/>
          <w:rtl/>
        </w:rPr>
        <w:footnoteReference w:id="1604"/>
      </w:r>
      <w:r w:rsidRPr="00382B44">
        <w:rPr>
          <w:rFonts w:cs="Arial" w:hint="cs"/>
          <w:rtl/>
        </w:rPr>
        <w:t>.</w:t>
      </w:r>
    </w:p>
    <w:p w14:paraId="244B1E46" w14:textId="77777777" w:rsidR="002C39F4" w:rsidRPr="00422226" w:rsidRDefault="002C39F4" w:rsidP="002C39F4">
      <w:pPr>
        <w:rPr>
          <w:rFonts w:cs="Arial"/>
          <w:u w:val="single"/>
          <w:rtl/>
        </w:rPr>
      </w:pPr>
      <w:r w:rsidRPr="00422226">
        <w:rPr>
          <w:rFonts w:cs="Arial"/>
          <w:u w:val="single"/>
          <w:rtl/>
        </w:rPr>
        <w:t>ירקות שנתבשלו בקדרה</w:t>
      </w:r>
      <w:r w:rsidRPr="00422226">
        <w:rPr>
          <w:rFonts w:cs="Arial" w:hint="cs"/>
          <w:u w:val="single"/>
          <w:rtl/>
        </w:rPr>
        <w:t xml:space="preserve"> חולבת</w:t>
      </w:r>
      <w:r w:rsidRPr="00422226">
        <w:rPr>
          <w:rFonts w:cs="Arial"/>
          <w:u w:val="single"/>
          <w:rtl/>
        </w:rPr>
        <w:t xml:space="preserve"> בת יומא –</w:t>
      </w:r>
      <w:r w:rsidRPr="00422226">
        <w:rPr>
          <w:rFonts w:cs="Arial" w:hint="cs"/>
          <w:u w:val="single"/>
          <w:rtl/>
        </w:rPr>
        <w:t xml:space="preserve"> מהו </w:t>
      </w:r>
      <w:r w:rsidRPr="00422226">
        <w:rPr>
          <w:rFonts w:cs="Arial"/>
          <w:u w:val="single"/>
          <w:rtl/>
        </w:rPr>
        <w:t>לאכלן בתבשיל של בשר</w:t>
      </w:r>
      <w:r w:rsidRPr="00422226">
        <w:rPr>
          <w:rFonts w:cs="Arial" w:hint="cs"/>
          <w:u w:val="single"/>
          <w:rtl/>
        </w:rPr>
        <w:t>:</w:t>
      </w:r>
    </w:p>
    <w:p w14:paraId="70D5207E" w14:textId="77777777" w:rsidR="002C39F4" w:rsidRPr="009565FA" w:rsidRDefault="002C39F4" w:rsidP="0032102C">
      <w:pPr>
        <w:pStyle w:val="a8"/>
        <w:numPr>
          <w:ilvl w:val="0"/>
          <w:numId w:val="129"/>
        </w:numPr>
        <w:rPr>
          <w:rFonts w:cs="Arial"/>
        </w:rPr>
      </w:pPr>
      <w:r w:rsidRPr="00422226">
        <w:rPr>
          <w:rFonts w:cs="Arial"/>
          <w:rtl/>
        </w:rPr>
        <w:t xml:space="preserve">רא"ש </w:t>
      </w:r>
      <w:r w:rsidRPr="00422226">
        <w:rPr>
          <w:rFonts w:cs="Arial"/>
          <w:sz w:val="16"/>
          <w:szCs w:val="16"/>
          <w:rtl/>
        </w:rPr>
        <w:t>(סי' ל)</w:t>
      </w:r>
      <w:r w:rsidRPr="00422226">
        <w:rPr>
          <w:rFonts w:cs="Arial" w:hint="cs"/>
          <w:rtl/>
        </w:rPr>
        <w:t>-</w:t>
      </w:r>
      <w:r w:rsidRPr="00422226">
        <w:rPr>
          <w:rFonts w:cs="Arial"/>
          <w:rtl/>
        </w:rPr>
        <w:t xml:space="preserve"> </w:t>
      </w:r>
      <w:r w:rsidRPr="009565FA">
        <w:rPr>
          <w:rFonts w:cs="Arial"/>
          <w:rtl/>
        </w:rPr>
        <w:t>בס</w:t>
      </w:r>
      <w:r>
        <w:rPr>
          <w:rFonts w:cs="Arial" w:hint="cs"/>
          <w:rtl/>
        </w:rPr>
        <w:t>ה"ת</w:t>
      </w:r>
      <w:r w:rsidRPr="009565FA">
        <w:rPr>
          <w:rFonts w:cs="Arial"/>
          <w:rtl/>
        </w:rPr>
        <w:t xml:space="preserve"> </w:t>
      </w:r>
      <w:r w:rsidRPr="009565FA">
        <w:rPr>
          <w:rFonts w:cs="Arial"/>
          <w:sz w:val="16"/>
          <w:szCs w:val="16"/>
          <w:rtl/>
        </w:rPr>
        <w:t>(סי' סא</w:t>
      </w:r>
      <w:r w:rsidRPr="009565FA">
        <w:rPr>
          <w:rFonts w:cs="Arial" w:hint="cs"/>
          <w:sz w:val="16"/>
          <w:szCs w:val="16"/>
          <w:rtl/>
        </w:rPr>
        <w:t>)</w:t>
      </w:r>
      <w:r w:rsidRPr="009565FA">
        <w:rPr>
          <w:rFonts w:cs="Arial"/>
          <w:rtl/>
        </w:rPr>
        <w:t xml:space="preserve"> התיר ירקות וקטניות שנתבשלו בקדירה בת יומא חולבת רק שתהא נקיה מחלב לאכלן בתבשיל של בשר</w:t>
      </w:r>
      <w:r w:rsidRPr="009565FA">
        <w:rPr>
          <w:rFonts w:cs="Arial" w:hint="cs"/>
          <w:rtl/>
        </w:rPr>
        <w:t>,</w:t>
      </w:r>
      <w:r w:rsidRPr="009565FA">
        <w:rPr>
          <w:rFonts w:cs="Arial"/>
          <w:rtl/>
        </w:rPr>
        <w:t xml:space="preserve"> ואפי' אם נאמר עלו אין נצלו לא </w:t>
      </w:r>
      <w:r>
        <w:rPr>
          <w:rFonts w:cs="Arial" w:hint="cs"/>
          <w:rtl/>
        </w:rPr>
        <w:t xml:space="preserve">- </w:t>
      </w:r>
      <w:r w:rsidRPr="009565FA">
        <w:rPr>
          <w:rFonts w:cs="Arial"/>
          <w:rtl/>
        </w:rPr>
        <w:t>כשנתבשלו שרי</w:t>
      </w:r>
      <w:r>
        <w:rPr>
          <w:rFonts w:cs="Arial" w:hint="cs"/>
          <w:rtl/>
        </w:rPr>
        <w:t>,</w:t>
      </w:r>
      <w:r w:rsidRPr="009565FA">
        <w:rPr>
          <w:rFonts w:cs="Arial"/>
          <w:rtl/>
        </w:rPr>
        <w:t xml:space="preserve"> משום דאיכא ג' נותני טעם</w:t>
      </w:r>
      <w:r>
        <w:rPr>
          <w:rFonts w:cs="Arial" w:hint="cs"/>
          <w:rtl/>
        </w:rPr>
        <w:t>,</w:t>
      </w:r>
      <w:r w:rsidRPr="009565FA">
        <w:rPr>
          <w:rFonts w:cs="Arial"/>
          <w:rtl/>
        </w:rPr>
        <w:t xml:space="preserve"> החלב בקדיר</w:t>
      </w:r>
      <w:r w:rsidRPr="009565FA">
        <w:rPr>
          <w:rFonts w:cs="Arial" w:hint="cs"/>
          <w:rtl/>
        </w:rPr>
        <w:t>ה</w:t>
      </w:r>
      <w:r w:rsidRPr="009565FA">
        <w:rPr>
          <w:rFonts w:cs="Arial"/>
          <w:rtl/>
        </w:rPr>
        <w:t xml:space="preserve"> והקדירה במים והמים בירק ועודנו היתר</w:t>
      </w:r>
      <w:r w:rsidRPr="009565FA">
        <w:rPr>
          <w:rFonts w:cs="Arial" w:hint="cs"/>
          <w:rtl/>
        </w:rPr>
        <w:t>,</w:t>
      </w:r>
      <w:r w:rsidRPr="009565FA">
        <w:rPr>
          <w:rFonts w:cs="Arial"/>
          <w:rtl/>
        </w:rPr>
        <w:t xml:space="preserve"> וגמגם בדבר</w:t>
      </w:r>
      <w:r>
        <w:rPr>
          <w:rFonts w:cs="Arial" w:hint="cs"/>
          <w:rtl/>
        </w:rPr>
        <w:t>,</w:t>
      </w:r>
      <w:r w:rsidRPr="009565FA">
        <w:rPr>
          <w:rFonts w:cs="Arial"/>
          <w:rtl/>
        </w:rPr>
        <w:t xml:space="preserve"> שיש לחוש לפי שהירק והקטניות נוגעין בקדירה ובולעין מן הקדירה עצמה</w:t>
      </w:r>
      <w:r>
        <w:rPr>
          <w:rFonts w:cs="Arial" w:hint="cs"/>
          <w:rtl/>
        </w:rPr>
        <w:t>,</w:t>
      </w:r>
      <w:r w:rsidRPr="009565FA">
        <w:rPr>
          <w:rFonts w:cs="Arial"/>
          <w:rtl/>
        </w:rPr>
        <w:t xml:space="preserve"> ואעפ"כ הכריע להתיר דכיון דאיכא מים בכלי רוב הטעם מתפשט במים</w:t>
      </w:r>
      <w:r w:rsidRPr="009565FA">
        <w:rPr>
          <w:rFonts w:cs="Arial" w:hint="cs"/>
          <w:rtl/>
        </w:rPr>
        <w:t>,</w:t>
      </w:r>
      <w:r w:rsidRPr="009565FA">
        <w:rPr>
          <w:rFonts w:cs="Arial"/>
          <w:rtl/>
        </w:rPr>
        <w:t xml:space="preserve"> וגם הירק אינו בולע מדופני הקדירה אלא ע"י רתיחת המים</w:t>
      </w:r>
      <w:r w:rsidRPr="009565FA">
        <w:rPr>
          <w:rFonts w:cs="Arial" w:hint="cs"/>
          <w:rtl/>
        </w:rPr>
        <w:t>.</w:t>
      </w:r>
      <w:r w:rsidRPr="009565FA">
        <w:rPr>
          <w:rFonts w:cs="Arial"/>
          <w:rtl/>
        </w:rPr>
        <w:t xml:space="preserve"> וכן מסתבר דנתבשלו איכא טעם </w:t>
      </w:r>
      <w:r>
        <w:rPr>
          <w:rFonts w:cs="Arial" w:hint="cs"/>
          <w:rtl/>
        </w:rPr>
        <w:t>שלישי</w:t>
      </w:r>
      <w:r w:rsidRPr="009565FA">
        <w:rPr>
          <w:rFonts w:cs="Arial"/>
          <w:rtl/>
        </w:rPr>
        <w:t xml:space="preserve"> ושרי אבל נצלו אסור</w:t>
      </w:r>
      <w:r>
        <w:rPr>
          <w:rFonts w:cs="Arial" w:hint="cs"/>
          <w:sz w:val="16"/>
          <w:szCs w:val="16"/>
          <w:rtl/>
        </w:rPr>
        <w:t xml:space="preserve"> (ל' הרא"ש)</w:t>
      </w:r>
      <w:r w:rsidRPr="009565FA">
        <w:rPr>
          <w:rFonts w:cs="Arial" w:hint="cs"/>
          <w:rtl/>
        </w:rPr>
        <w:t>.</w:t>
      </w:r>
    </w:p>
    <w:p w14:paraId="3B4C8366" w14:textId="77777777" w:rsidR="002C39F4" w:rsidRDefault="002C39F4" w:rsidP="002C39F4">
      <w:pPr>
        <w:ind w:left="360"/>
        <w:rPr>
          <w:rFonts w:cs="Arial"/>
          <w:rtl/>
        </w:rPr>
      </w:pPr>
      <w:r w:rsidRPr="00AE76B2">
        <w:rPr>
          <w:rFonts w:cs="Arial"/>
          <w:u w:val="dotted"/>
          <w:rtl/>
        </w:rPr>
        <w:t>מ</w:t>
      </w:r>
      <w:r w:rsidRPr="00AE76B2">
        <w:rPr>
          <w:rFonts w:cs="Arial" w:hint="cs"/>
          <w:u w:val="dotted"/>
          <w:rtl/>
        </w:rPr>
        <w:t>הו</w:t>
      </w:r>
      <w:r w:rsidRPr="00AE76B2">
        <w:rPr>
          <w:rFonts w:cs="Arial"/>
          <w:u w:val="dotted"/>
          <w:rtl/>
        </w:rPr>
        <w:t xml:space="preserve"> לאכ</w:t>
      </w:r>
      <w:r>
        <w:rPr>
          <w:rFonts w:cs="Arial" w:hint="cs"/>
          <w:u w:val="dotted"/>
          <w:rtl/>
        </w:rPr>
        <w:t>ו</w:t>
      </w:r>
      <w:r w:rsidRPr="00AE76B2">
        <w:rPr>
          <w:rFonts w:cs="Arial"/>
          <w:u w:val="dotted"/>
          <w:rtl/>
        </w:rPr>
        <w:t>ל</w:t>
      </w:r>
      <w:r>
        <w:rPr>
          <w:rFonts w:cs="Arial" w:hint="cs"/>
          <w:u w:val="dotted"/>
          <w:rtl/>
        </w:rPr>
        <w:t xml:space="preserve"> </w:t>
      </w:r>
      <w:r w:rsidRPr="00AE76B2">
        <w:rPr>
          <w:rFonts w:cs="Arial"/>
          <w:u w:val="dotted"/>
          <w:rtl/>
        </w:rPr>
        <w:t>תבשיל שנתבשל בקדרת בשר</w:t>
      </w:r>
      <w:r w:rsidRPr="00AE76B2">
        <w:rPr>
          <w:rFonts w:cs="Arial" w:hint="cs"/>
          <w:u w:val="dotted"/>
          <w:rtl/>
        </w:rPr>
        <w:t xml:space="preserve"> בת יומא עם</w:t>
      </w:r>
      <w:r w:rsidRPr="00AE76B2">
        <w:rPr>
          <w:rFonts w:cs="Arial"/>
          <w:u w:val="dotted"/>
          <w:rtl/>
        </w:rPr>
        <w:t xml:space="preserve"> גבינה</w:t>
      </w:r>
      <w:r w:rsidRPr="00AE76B2">
        <w:rPr>
          <w:rFonts w:cs="Arial" w:hint="cs"/>
          <w:u w:val="dotted"/>
          <w:rtl/>
        </w:rPr>
        <w:t>:</w:t>
      </w:r>
      <w:r w:rsidRPr="00583F86">
        <w:rPr>
          <w:rFonts w:cs="Arial"/>
          <w:rtl/>
        </w:rPr>
        <w:t xml:space="preserve"> </w:t>
      </w:r>
      <w:r>
        <w:rPr>
          <w:rFonts w:cs="Arial" w:hint="cs"/>
          <w:rtl/>
        </w:rPr>
        <w:t xml:space="preserve"> </w:t>
      </w:r>
      <w:r w:rsidRPr="00C83D24">
        <w:rPr>
          <w:rFonts w:cs="Arial" w:hint="cs"/>
          <w:sz w:val="16"/>
          <w:szCs w:val="16"/>
          <w:rtl/>
        </w:rPr>
        <w:t xml:space="preserve">(בדה"ב) </w:t>
      </w:r>
    </w:p>
    <w:p w14:paraId="0159C330" w14:textId="77777777" w:rsidR="002C39F4" w:rsidRPr="0056393E" w:rsidRDefault="002C39F4" w:rsidP="0032102C">
      <w:pPr>
        <w:pStyle w:val="a8"/>
        <w:numPr>
          <w:ilvl w:val="0"/>
          <w:numId w:val="130"/>
        </w:numPr>
        <w:rPr>
          <w:rFonts w:cs="Arial"/>
          <w:rtl/>
        </w:rPr>
      </w:pPr>
      <w:r w:rsidRPr="00C83D24">
        <w:rPr>
          <w:rFonts w:cs="Arial" w:hint="cs"/>
          <w:rtl/>
        </w:rPr>
        <w:t>רי"ו</w:t>
      </w:r>
      <w:r w:rsidRPr="00C83D24">
        <w:rPr>
          <w:rFonts w:cs="Arial"/>
          <w:rtl/>
        </w:rPr>
        <w:t xml:space="preserve"> </w:t>
      </w:r>
      <w:r w:rsidRPr="00C83D24">
        <w:rPr>
          <w:rFonts w:cs="Arial"/>
          <w:sz w:val="16"/>
          <w:szCs w:val="16"/>
          <w:rtl/>
        </w:rPr>
        <w:t>(נט"ו אות כח קלז:)</w:t>
      </w:r>
      <w:r w:rsidRPr="00C83D24">
        <w:rPr>
          <w:rFonts w:cs="Arial" w:hint="cs"/>
          <w:rtl/>
        </w:rPr>
        <w:t>-</w:t>
      </w:r>
      <w:r w:rsidRPr="00C83D24">
        <w:rPr>
          <w:rFonts w:cs="Arial"/>
          <w:rtl/>
        </w:rPr>
        <w:t xml:space="preserve"> תבשיל שנתבשל בקדרת בשר מותר לאכול גבינה אחריו אפילו בלא קינוח ואם אינה בת יומא מותר לאכול אותו תבשיל עם גבינה</w:t>
      </w:r>
      <w:r>
        <w:rPr>
          <w:rStyle w:val="a7"/>
          <w:rFonts w:cs="Arial"/>
          <w:rtl/>
        </w:rPr>
        <w:footnoteReference w:id="1605"/>
      </w:r>
      <w:r w:rsidRPr="0056393E">
        <w:rPr>
          <w:rFonts w:cs="Arial" w:hint="cs"/>
          <w:rtl/>
        </w:rPr>
        <w:t>.</w:t>
      </w:r>
      <w:r w:rsidRPr="0056393E">
        <w:rPr>
          <w:rFonts w:cs="Arial"/>
          <w:rtl/>
        </w:rPr>
        <w:t xml:space="preserve"> </w:t>
      </w:r>
    </w:p>
    <w:p w14:paraId="6BA1C7D3" w14:textId="77777777" w:rsidR="002C39F4" w:rsidRDefault="002C39F4" w:rsidP="002C39F4">
      <w:pPr>
        <w:rPr>
          <w:rFonts w:cs="Arial"/>
          <w:rtl/>
        </w:rPr>
      </w:pPr>
      <w:r w:rsidRPr="00CF31F3">
        <w:rPr>
          <w:rFonts w:cs="Arial"/>
          <w:u w:val="single"/>
          <w:rtl/>
        </w:rPr>
        <w:t>תבלין שדכו במדוך של בשר ואח"כ נתנוהו בחלב</w:t>
      </w:r>
      <w:r w:rsidRPr="00CF31F3">
        <w:rPr>
          <w:rFonts w:cs="Arial" w:hint="cs"/>
          <w:u w:val="single"/>
          <w:rtl/>
        </w:rPr>
        <w:t>:</w:t>
      </w:r>
      <w:r>
        <w:rPr>
          <w:rFonts w:cs="Arial" w:hint="cs"/>
          <w:sz w:val="16"/>
          <w:szCs w:val="16"/>
          <w:rtl/>
        </w:rPr>
        <w:t xml:space="preserve">  </w:t>
      </w:r>
      <w:r w:rsidRPr="00CF31F3">
        <w:rPr>
          <w:rFonts w:cs="Arial" w:hint="cs"/>
          <w:sz w:val="16"/>
          <w:szCs w:val="16"/>
          <w:rtl/>
        </w:rPr>
        <w:t xml:space="preserve"> (דרכ"מ אות א)</w:t>
      </w:r>
      <w:r w:rsidRPr="00583F86">
        <w:rPr>
          <w:rFonts w:cs="Arial"/>
          <w:rtl/>
        </w:rPr>
        <w:t xml:space="preserve"> </w:t>
      </w:r>
    </w:p>
    <w:p w14:paraId="387BDD1E" w14:textId="77777777" w:rsidR="002C39F4" w:rsidRPr="00A82EAE" w:rsidRDefault="002C39F4" w:rsidP="0032102C">
      <w:pPr>
        <w:pStyle w:val="a8"/>
        <w:numPr>
          <w:ilvl w:val="0"/>
          <w:numId w:val="127"/>
        </w:numPr>
        <w:rPr>
          <w:rFonts w:cs="Arial"/>
          <w:rtl/>
        </w:rPr>
      </w:pPr>
      <w:r>
        <w:rPr>
          <w:rFonts w:cs="Arial" w:hint="cs"/>
          <w:rtl/>
        </w:rPr>
        <w:t>או</w:t>
      </w:r>
      <w:r>
        <w:rPr>
          <w:rFonts w:cs="Arial"/>
          <w:rtl/>
        </w:rPr>
        <w:t>"</w:t>
      </w:r>
      <w:r>
        <w:rPr>
          <w:rFonts w:cs="Arial" w:hint="cs"/>
          <w:rtl/>
        </w:rPr>
        <w:t>ה</w:t>
      </w:r>
      <w:r w:rsidRPr="00CF31F3">
        <w:rPr>
          <w:rFonts w:cs="Arial"/>
          <w:sz w:val="16"/>
          <w:szCs w:val="16"/>
          <w:rtl/>
        </w:rPr>
        <w:t xml:space="preserve"> </w:t>
      </w:r>
      <w:r w:rsidRPr="00CF31F3">
        <w:rPr>
          <w:rFonts w:cs="Arial" w:hint="cs"/>
          <w:sz w:val="16"/>
          <w:szCs w:val="16"/>
          <w:rtl/>
        </w:rPr>
        <w:t>(</w:t>
      </w:r>
      <w:r w:rsidRPr="00CF31F3">
        <w:rPr>
          <w:rFonts w:cs="Arial"/>
          <w:sz w:val="16"/>
          <w:szCs w:val="16"/>
          <w:rtl/>
        </w:rPr>
        <w:t>כלל כד דין ו)</w:t>
      </w:r>
      <w:r>
        <w:rPr>
          <w:rFonts w:cs="Arial" w:hint="cs"/>
          <w:rtl/>
        </w:rPr>
        <w:t>-</w:t>
      </w:r>
      <w:r>
        <w:rPr>
          <w:rFonts w:cs="Arial"/>
          <w:rtl/>
        </w:rPr>
        <w:t xml:space="preserve"> </w:t>
      </w:r>
      <w:r w:rsidRPr="007E142E">
        <w:rPr>
          <w:rFonts w:cs="Arial"/>
          <w:rtl/>
        </w:rPr>
        <w:t>תבלין שדכו במדוך של בשר ואח"כ נתנוהו בחלב צריך לשער נגד</w:t>
      </w:r>
      <w:r>
        <w:rPr>
          <w:rFonts w:cs="Arial"/>
          <w:rtl/>
        </w:rPr>
        <w:t xml:space="preserve"> כל התבלין אפילו לא היה המדוך ב</w:t>
      </w:r>
      <w:r>
        <w:rPr>
          <w:rFonts w:cs="Arial" w:hint="cs"/>
          <w:rtl/>
        </w:rPr>
        <w:t>ן יומו</w:t>
      </w:r>
      <w:r>
        <w:rPr>
          <w:rStyle w:val="a7"/>
          <w:rFonts w:cs="Arial"/>
          <w:rtl/>
        </w:rPr>
        <w:footnoteReference w:id="1606"/>
      </w:r>
      <w:r>
        <w:rPr>
          <w:rFonts w:cs="Arial" w:hint="cs"/>
          <w:rtl/>
        </w:rPr>
        <w:t>.</w:t>
      </w:r>
      <w:r w:rsidRPr="007E142E">
        <w:rPr>
          <w:rFonts w:cs="Arial"/>
          <w:rtl/>
        </w:rPr>
        <w:t xml:space="preserve"> </w:t>
      </w:r>
      <w:r>
        <w:rPr>
          <w:rFonts w:cs="Arial" w:hint="cs"/>
          <w:rtl/>
        </w:rPr>
        <w:t xml:space="preserve"> </w:t>
      </w:r>
    </w:p>
    <w:p w14:paraId="02DEA9D5" w14:textId="77777777" w:rsidR="002C39F4" w:rsidRPr="005516AA" w:rsidRDefault="002C39F4" w:rsidP="002C39F4">
      <w:pPr>
        <w:rPr>
          <w:rFonts w:cs="Arial"/>
          <w:u w:val="single"/>
          <w:rtl/>
        </w:rPr>
      </w:pPr>
      <w:r w:rsidRPr="005516AA">
        <w:rPr>
          <w:rFonts w:cs="Arial" w:hint="cs"/>
          <w:u w:val="single"/>
          <w:rtl/>
        </w:rPr>
        <w:t>נ"ט בר נ"ט דאיסורא:</w:t>
      </w:r>
    </w:p>
    <w:p w14:paraId="3326135E" w14:textId="77777777" w:rsidR="002C39F4" w:rsidRPr="00583F86" w:rsidRDefault="002C39F4" w:rsidP="0032102C">
      <w:pPr>
        <w:pStyle w:val="a8"/>
        <w:numPr>
          <w:ilvl w:val="0"/>
          <w:numId w:val="130"/>
        </w:numPr>
        <w:rPr>
          <w:rtl/>
        </w:rPr>
      </w:pPr>
      <w:r>
        <w:rPr>
          <w:rFonts w:cs="Arial"/>
          <w:rtl/>
        </w:rPr>
        <w:t xml:space="preserve">רשב"א </w:t>
      </w:r>
      <w:r>
        <w:rPr>
          <w:rFonts w:cs="Arial"/>
          <w:sz w:val="16"/>
          <w:szCs w:val="16"/>
          <w:rtl/>
        </w:rPr>
        <w:t>(ח"א סי' תק</w:t>
      </w:r>
      <w:r>
        <w:rPr>
          <w:rFonts w:cs="Arial" w:hint="cs"/>
          <w:sz w:val="16"/>
          <w:szCs w:val="16"/>
          <w:rtl/>
        </w:rPr>
        <w:t>טז</w:t>
      </w:r>
      <w:r w:rsidRPr="00C54C0F">
        <w:rPr>
          <w:rFonts w:cs="Arial"/>
          <w:sz w:val="16"/>
          <w:szCs w:val="16"/>
          <w:rtl/>
        </w:rPr>
        <w:t>)</w:t>
      </w:r>
      <w:r w:rsidRPr="00C54C0F">
        <w:rPr>
          <w:rFonts w:cs="Arial" w:hint="cs"/>
          <w:sz w:val="16"/>
          <w:szCs w:val="16"/>
          <w:rtl/>
        </w:rPr>
        <w:t xml:space="preserve"> </w:t>
      </w:r>
      <w:r>
        <w:rPr>
          <w:rFonts w:cs="Arial" w:hint="cs"/>
          <w:rtl/>
        </w:rPr>
        <w:t>ו</w:t>
      </w:r>
      <w:r w:rsidRPr="005516AA">
        <w:rPr>
          <w:rFonts w:cs="Arial"/>
          <w:rtl/>
        </w:rPr>
        <w:t xml:space="preserve">ר"ן </w:t>
      </w:r>
      <w:r w:rsidRPr="00C54C0F">
        <w:rPr>
          <w:rFonts w:cs="Arial"/>
          <w:sz w:val="16"/>
          <w:szCs w:val="16"/>
          <w:rtl/>
        </w:rPr>
        <w:t>(חולין מא. דיבור הראשון</w:t>
      </w:r>
      <w:r w:rsidRPr="00C54C0F">
        <w:rPr>
          <w:rFonts w:cs="Arial" w:hint="cs"/>
          <w:sz w:val="16"/>
          <w:szCs w:val="16"/>
          <w:rtl/>
        </w:rPr>
        <w:t>)</w:t>
      </w:r>
      <w:r>
        <w:rPr>
          <w:rFonts w:cs="Arial" w:hint="cs"/>
          <w:rtl/>
        </w:rPr>
        <w:t xml:space="preserve">- </w:t>
      </w:r>
      <w:r w:rsidRPr="005516AA">
        <w:rPr>
          <w:rFonts w:cs="Arial"/>
          <w:rtl/>
        </w:rPr>
        <w:t xml:space="preserve">לא שרי נ"ט בר נ"ט אלא בשל היתר כבשר בחלב דכיון דטעם שני אכתי היתרא הוא כיון דאקליש כולי האי לא חשיב למיסר אבל במידי דאיסורא כל היכא דאיכא טעמו כלל </w:t>
      </w:r>
      <w:r>
        <w:rPr>
          <w:rFonts w:cs="Arial"/>
          <w:rtl/>
        </w:rPr>
        <w:t>אוסר עד סוף כל העולם</w:t>
      </w:r>
      <w:r>
        <w:rPr>
          <w:rFonts w:cs="Arial" w:hint="cs"/>
          <w:sz w:val="16"/>
          <w:szCs w:val="16"/>
          <w:rtl/>
        </w:rPr>
        <w:t xml:space="preserve"> (ל' הר"ן)</w:t>
      </w:r>
      <w:r>
        <w:rPr>
          <w:rStyle w:val="a7"/>
          <w:rFonts w:cs="Arial"/>
          <w:rtl/>
        </w:rPr>
        <w:footnoteReference w:id="1607"/>
      </w:r>
      <w:r>
        <w:rPr>
          <w:rFonts w:cs="Arial" w:hint="cs"/>
          <w:rtl/>
        </w:rPr>
        <w:t>.</w:t>
      </w:r>
    </w:p>
    <w:p w14:paraId="56C1BF7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1DAF931" w14:textId="77777777" w:rsidR="002C39F4" w:rsidRDefault="002C39F4" w:rsidP="002C39F4">
      <w:pPr>
        <w:rPr>
          <w:rFonts w:asciiTheme="minorBidi" w:hAnsiTheme="minorBidi"/>
          <w:rtl/>
        </w:rPr>
      </w:pPr>
      <w:r w:rsidRPr="003024E5">
        <w:rPr>
          <w:rFonts w:asciiTheme="minorBidi" w:hAnsiTheme="minorBidi"/>
          <w:rtl/>
        </w:rPr>
        <w:t>דגים שנתבשלו א</w:t>
      </w:r>
      <w:r>
        <w:rPr>
          <w:rFonts w:asciiTheme="minorBidi" w:hAnsiTheme="minorBidi"/>
          <w:rtl/>
        </w:rPr>
        <w:t>ו שנצלו בקדירה של בשר רחוצה יפה שאין שום שומן דבוק בה</w:t>
      </w:r>
      <w:r>
        <w:rPr>
          <w:rStyle w:val="a7"/>
          <w:rFonts w:asciiTheme="minorBidi" w:hAnsiTheme="minorBidi"/>
          <w:rtl/>
        </w:rPr>
        <w:footnoteReference w:id="1608"/>
      </w:r>
      <w:r>
        <w:rPr>
          <w:rFonts w:asciiTheme="minorBidi" w:hAnsiTheme="minorBidi"/>
          <w:rtl/>
        </w:rPr>
        <w:t xml:space="preserve"> מותר לאכלם בכותח</w:t>
      </w:r>
      <w:r>
        <w:rPr>
          <w:rStyle w:val="a7"/>
          <w:rFonts w:asciiTheme="minorBidi" w:hAnsiTheme="minorBidi"/>
          <w:rtl/>
        </w:rPr>
        <w:footnoteReference w:id="1609"/>
      </w:r>
      <w:r w:rsidRPr="003024E5">
        <w:rPr>
          <w:rFonts w:asciiTheme="minorBidi" w:hAnsiTheme="minorBidi"/>
          <w:rtl/>
        </w:rPr>
        <w:t xml:space="preserve"> משום ד</w:t>
      </w:r>
      <w:r>
        <w:rPr>
          <w:rFonts w:asciiTheme="minorBidi" w:hAnsiTheme="minorBidi"/>
          <w:rtl/>
        </w:rPr>
        <w:t>הוי נותן טעם בר נותן טעם דהיתרא</w:t>
      </w:r>
      <w:r>
        <w:rPr>
          <w:rFonts w:asciiTheme="minorBidi" w:hAnsiTheme="minorBidi" w:hint="cs"/>
          <w:rtl/>
        </w:rPr>
        <w:t>,</w:t>
      </w:r>
      <w:r>
        <w:rPr>
          <w:rFonts w:asciiTheme="minorBidi" w:hAnsiTheme="minorBidi"/>
          <w:rtl/>
        </w:rPr>
        <w:t xml:space="preserve"> ואם לא היתה רחוצה יפה</w:t>
      </w:r>
      <w:r w:rsidRPr="003024E5">
        <w:rPr>
          <w:rFonts w:asciiTheme="minorBidi" w:hAnsiTheme="minorBidi"/>
          <w:rtl/>
        </w:rPr>
        <w:t xml:space="preserve"> אם יש בממש שעל </w:t>
      </w:r>
      <w:r>
        <w:rPr>
          <w:rFonts w:asciiTheme="minorBidi" w:hAnsiTheme="minorBidi"/>
          <w:rtl/>
        </w:rPr>
        <w:t>פי הקדירה יותר מאחד בששים בדגים</w:t>
      </w:r>
      <w:r w:rsidRPr="003024E5">
        <w:rPr>
          <w:rFonts w:asciiTheme="minorBidi" w:hAnsiTheme="minorBidi"/>
          <w:rtl/>
        </w:rPr>
        <w:t xml:space="preserve"> אסור לאכלם בכותח. </w:t>
      </w:r>
    </w:p>
    <w:p w14:paraId="2896B926" w14:textId="77777777" w:rsidR="002C39F4" w:rsidRPr="003024E5" w:rsidRDefault="002C39F4" w:rsidP="002C39F4">
      <w:pPr>
        <w:rPr>
          <w:rFonts w:asciiTheme="minorBidi" w:hAnsiTheme="minorBidi"/>
          <w:rtl/>
        </w:rPr>
      </w:pPr>
    </w:p>
    <w:p w14:paraId="3949B34F"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ביצה שנתבשלה בקדירה חולבת/ עם בשר</w:t>
      </w:r>
    </w:p>
    <w:p w14:paraId="5B70A2A2" w14:textId="77777777" w:rsidR="002C39F4" w:rsidRPr="007E02BC" w:rsidRDefault="002C39F4" w:rsidP="002C39F4">
      <w:pPr>
        <w:rPr>
          <w:rFonts w:cs="Arial"/>
          <w:u w:val="single"/>
          <w:rtl/>
        </w:rPr>
      </w:pPr>
      <w:r w:rsidRPr="007E02BC">
        <w:rPr>
          <w:rFonts w:cs="Arial"/>
          <w:u w:val="single"/>
          <w:rtl/>
        </w:rPr>
        <w:t xml:space="preserve">ביצה שנתבשלה במים בקדרה </w:t>
      </w:r>
      <w:r>
        <w:rPr>
          <w:rFonts w:cs="Arial" w:hint="cs"/>
          <w:u w:val="single"/>
          <w:rtl/>
        </w:rPr>
        <w:t xml:space="preserve">חולבת </w:t>
      </w:r>
      <w:r w:rsidRPr="00053CF3">
        <w:rPr>
          <w:rFonts w:cs="Arial" w:hint="cs"/>
          <w:u w:val="single"/>
          <w:rtl/>
        </w:rPr>
        <w:t>נקיה</w:t>
      </w:r>
      <w:r w:rsidRPr="007E02BC">
        <w:rPr>
          <w:rFonts w:cs="Arial" w:hint="cs"/>
          <w:u w:val="single"/>
          <w:rtl/>
        </w:rPr>
        <w:t>:</w:t>
      </w:r>
      <w:r w:rsidRPr="007E02BC">
        <w:rPr>
          <w:rFonts w:cs="Arial"/>
          <w:u w:val="single"/>
          <w:rtl/>
        </w:rPr>
        <w:t xml:space="preserve"> </w:t>
      </w:r>
    </w:p>
    <w:p w14:paraId="0B1BFEE4" w14:textId="77777777" w:rsidR="002C39F4" w:rsidRPr="001A2D22" w:rsidRDefault="002C39F4" w:rsidP="0032102C">
      <w:pPr>
        <w:pStyle w:val="a8"/>
        <w:numPr>
          <w:ilvl w:val="0"/>
          <w:numId w:val="130"/>
        </w:numPr>
        <w:rPr>
          <w:rFonts w:cs="Arial"/>
          <w:rtl/>
        </w:rPr>
      </w:pPr>
      <w:r w:rsidRPr="007E02BC">
        <w:rPr>
          <w:rFonts w:cs="Arial"/>
          <w:rtl/>
        </w:rPr>
        <w:t xml:space="preserve">רשב"א </w:t>
      </w:r>
      <w:r w:rsidRPr="007E02BC">
        <w:rPr>
          <w:rFonts w:cs="Arial" w:hint="cs"/>
          <w:sz w:val="16"/>
          <w:szCs w:val="16"/>
          <w:rtl/>
        </w:rPr>
        <w:t>(תוה"ק</w:t>
      </w:r>
      <w:r w:rsidRPr="007E02BC">
        <w:rPr>
          <w:rFonts w:cs="Arial"/>
          <w:sz w:val="16"/>
          <w:szCs w:val="16"/>
          <w:rtl/>
        </w:rPr>
        <w:t xml:space="preserve"> ב"ג ש"ד פה:)</w:t>
      </w:r>
      <w:r w:rsidRPr="007E02BC">
        <w:rPr>
          <w:rFonts w:cs="Arial" w:hint="cs"/>
          <w:rtl/>
        </w:rPr>
        <w:t>-</w:t>
      </w:r>
      <w:r w:rsidRPr="007E02BC">
        <w:rPr>
          <w:rFonts w:cs="Arial"/>
          <w:rtl/>
        </w:rPr>
        <w:t xml:space="preserve"> ביצה שנתבשלה במים בקדרה חולבת מותר לתת אותה בתוך התרנגולת אפילו לכתחלה</w:t>
      </w:r>
      <w:r>
        <w:rPr>
          <w:rFonts w:cs="Arial" w:hint="cs"/>
          <w:rtl/>
        </w:rPr>
        <w:t>,</w:t>
      </w:r>
      <w:r w:rsidRPr="007E02BC">
        <w:rPr>
          <w:rFonts w:cs="Arial"/>
          <w:rtl/>
        </w:rPr>
        <w:t xml:space="preserve"> דהא נ"ט בר נ"ט הוא</w:t>
      </w:r>
      <w:r>
        <w:rPr>
          <w:rFonts w:cs="Arial" w:hint="cs"/>
          <w:rtl/>
        </w:rPr>
        <w:t>,</w:t>
      </w:r>
      <w:r w:rsidRPr="007E02BC">
        <w:rPr>
          <w:rFonts w:cs="Arial"/>
          <w:rtl/>
        </w:rPr>
        <w:t xml:space="preserve"> כדגים שעלו בקערה</w:t>
      </w:r>
      <w:r w:rsidRPr="007E02BC">
        <w:rPr>
          <w:rFonts w:cs="Arial" w:hint="cs"/>
          <w:rtl/>
        </w:rPr>
        <w:t>,</w:t>
      </w:r>
      <w:r w:rsidRPr="007E02BC">
        <w:rPr>
          <w:rFonts w:cs="Arial"/>
          <w:rtl/>
        </w:rPr>
        <w:t xml:space="preserve"> אבל ביצים שנתבשלו בקדרה עם בשר ואפילו בקליפה אסור לאכלן בכותח</w:t>
      </w:r>
      <w:r w:rsidRPr="007E02BC">
        <w:rPr>
          <w:rFonts w:cs="Arial" w:hint="cs"/>
          <w:rtl/>
        </w:rPr>
        <w:t>,</w:t>
      </w:r>
      <w:r w:rsidRPr="007E02BC">
        <w:rPr>
          <w:rFonts w:cs="Arial"/>
          <w:rtl/>
        </w:rPr>
        <w:t xml:space="preserve"> שקליפת הביצה בבירור מנוקבת היא וכשאדם מבשלה תוך יורה של צבעים תמצא הביצה עצמה צבועה מאותה צבע</w:t>
      </w:r>
      <w:r w:rsidRPr="007E02BC">
        <w:rPr>
          <w:rFonts w:cs="Arial" w:hint="cs"/>
          <w:rtl/>
        </w:rPr>
        <w:t>,</w:t>
      </w:r>
      <w:r w:rsidRPr="007E02BC">
        <w:rPr>
          <w:rFonts w:cs="Arial"/>
          <w:rtl/>
        </w:rPr>
        <w:t xml:space="preserve"> ולכן אסרו חכמים </w:t>
      </w:r>
      <w:r w:rsidRPr="007E02BC">
        <w:rPr>
          <w:rFonts w:cs="Arial"/>
          <w:sz w:val="16"/>
          <w:szCs w:val="16"/>
          <w:rtl/>
        </w:rPr>
        <w:t>(חולין צז</w:t>
      </w:r>
      <w:r w:rsidRPr="007E02BC">
        <w:rPr>
          <w:rFonts w:cs="Arial" w:hint="cs"/>
          <w:sz w:val="16"/>
          <w:szCs w:val="16"/>
          <w:rtl/>
        </w:rPr>
        <w:t>:</w:t>
      </w:r>
      <w:r w:rsidRPr="007E02BC">
        <w:rPr>
          <w:rFonts w:cs="Arial"/>
          <w:sz w:val="16"/>
          <w:szCs w:val="16"/>
          <w:rtl/>
        </w:rPr>
        <w:t xml:space="preserve">) </w:t>
      </w:r>
      <w:r w:rsidRPr="007E02BC">
        <w:rPr>
          <w:rFonts w:cs="Arial"/>
          <w:rtl/>
        </w:rPr>
        <w:t>ביצת אפרוח והתירו ביצה אסורה שזו פולטת ציר של אפרוח וזו אינה פולטת אלא זיעה בעלמא</w:t>
      </w:r>
      <w:r w:rsidRPr="007E02BC">
        <w:rPr>
          <w:rFonts w:cs="Arial" w:hint="cs"/>
          <w:rtl/>
        </w:rPr>
        <w:t>.</w:t>
      </w:r>
      <w:r w:rsidRPr="00C83D24">
        <w:rPr>
          <w:rFonts w:cs="Arial" w:hint="cs"/>
          <w:color w:val="E36C0A" w:themeColor="accent6" w:themeShade="BF"/>
          <w:rtl/>
        </w:rPr>
        <w:t xml:space="preserve"> (וכ"פ בשו"ע)</w:t>
      </w:r>
      <w:r>
        <w:rPr>
          <w:rFonts w:cs="Arial" w:hint="cs"/>
          <w:rtl/>
        </w:rPr>
        <w:t xml:space="preserve"> </w:t>
      </w:r>
    </w:p>
    <w:p w14:paraId="4C0E22B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55738B9" w14:textId="77777777" w:rsidR="002C39F4" w:rsidRDefault="002C39F4" w:rsidP="002C39F4">
      <w:pPr>
        <w:rPr>
          <w:rFonts w:asciiTheme="minorBidi" w:hAnsiTheme="minorBidi"/>
          <w:rtl/>
        </w:rPr>
      </w:pPr>
      <w:r w:rsidRPr="003024E5">
        <w:rPr>
          <w:rFonts w:asciiTheme="minorBidi" w:hAnsiTheme="minorBidi"/>
          <w:rtl/>
        </w:rPr>
        <w:t>ביצה</w:t>
      </w:r>
      <w:r>
        <w:rPr>
          <w:rStyle w:val="a7"/>
          <w:rFonts w:asciiTheme="minorBidi" w:hAnsiTheme="minorBidi"/>
          <w:rtl/>
        </w:rPr>
        <w:footnoteReference w:id="1610"/>
      </w:r>
      <w:r w:rsidRPr="003024E5">
        <w:rPr>
          <w:rFonts w:asciiTheme="minorBidi" w:hAnsiTheme="minorBidi"/>
          <w:rtl/>
        </w:rPr>
        <w:t xml:space="preserve"> שנתבשלה במים בקדירה חולב</w:t>
      </w:r>
      <w:r>
        <w:rPr>
          <w:rFonts w:asciiTheme="minorBidi" w:hAnsiTheme="minorBidi"/>
          <w:rtl/>
        </w:rPr>
        <w:t>ת</w:t>
      </w:r>
      <w:r w:rsidRPr="003024E5">
        <w:rPr>
          <w:rFonts w:asciiTheme="minorBidi" w:hAnsiTheme="minorBidi"/>
          <w:rtl/>
        </w:rPr>
        <w:t xml:space="preserve"> מותר לתת </w:t>
      </w:r>
      <w:r>
        <w:rPr>
          <w:rFonts w:asciiTheme="minorBidi" w:hAnsiTheme="minorBidi"/>
          <w:rtl/>
        </w:rPr>
        <w:t>אותה בתוך התרנגולת אפילו לכתחלה</w:t>
      </w:r>
      <w:r>
        <w:rPr>
          <w:rStyle w:val="a7"/>
          <w:rFonts w:asciiTheme="minorBidi" w:hAnsiTheme="minorBidi"/>
          <w:rtl/>
        </w:rPr>
        <w:footnoteReference w:id="1611"/>
      </w:r>
      <w:r>
        <w:rPr>
          <w:rFonts w:asciiTheme="minorBidi" w:hAnsiTheme="minorBidi" w:hint="cs"/>
          <w:rtl/>
        </w:rPr>
        <w:t>,</w:t>
      </w:r>
      <w:r>
        <w:rPr>
          <w:rFonts w:asciiTheme="minorBidi" w:hAnsiTheme="minorBidi"/>
          <w:rtl/>
        </w:rPr>
        <w:t xml:space="preserve"> אבל אם נתבשלה בקדירה עם בשר</w:t>
      </w:r>
      <w:r>
        <w:rPr>
          <w:rFonts w:asciiTheme="minorBidi" w:hAnsiTheme="minorBidi" w:hint="cs"/>
          <w:rtl/>
        </w:rPr>
        <w:t>,</w:t>
      </w:r>
      <w:r>
        <w:rPr>
          <w:rFonts w:asciiTheme="minorBidi" w:hAnsiTheme="minorBidi"/>
          <w:rtl/>
        </w:rPr>
        <w:t xml:space="preserve"> ואפילו בקליפה</w:t>
      </w:r>
      <w:r>
        <w:rPr>
          <w:rFonts w:asciiTheme="minorBidi" w:hAnsiTheme="minorBidi" w:hint="cs"/>
          <w:rtl/>
        </w:rPr>
        <w:t>,</w:t>
      </w:r>
      <w:r w:rsidRPr="003024E5">
        <w:rPr>
          <w:rFonts w:asciiTheme="minorBidi" w:hAnsiTheme="minorBidi"/>
          <w:rtl/>
        </w:rPr>
        <w:t xml:space="preserve"> אסור לאכלה בכותח. </w:t>
      </w:r>
      <w:r w:rsidRPr="00583F86">
        <w:rPr>
          <w:rFonts w:asciiTheme="minorBidi" w:hAnsiTheme="minorBidi"/>
          <w:sz w:val="18"/>
          <w:szCs w:val="18"/>
          <w:rtl/>
        </w:rPr>
        <w:t xml:space="preserve">הגה: ויש מחמירין בצלייה </w:t>
      </w:r>
      <w:r w:rsidRPr="00D738C3">
        <w:rPr>
          <w:rFonts w:asciiTheme="minorBidi" w:hAnsiTheme="minorBidi" w:hint="cs"/>
          <w:sz w:val="16"/>
          <w:szCs w:val="16"/>
          <w:rtl/>
        </w:rPr>
        <w:t>(סה"ת סמ"ג סמ"ק רא"ש והגשע"ד)</w:t>
      </w:r>
      <w:r>
        <w:rPr>
          <w:rFonts w:asciiTheme="minorBidi" w:hAnsiTheme="minorBidi" w:hint="cs"/>
          <w:sz w:val="18"/>
          <w:szCs w:val="18"/>
          <w:rtl/>
        </w:rPr>
        <w:t xml:space="preserve"> </w:t>
      </w:r>
      <w:r w:rsidRPr="00583F86">
        <w:rPr>
          <w:rFonts w:asciiTheme="minorBidi" w:hAnsiTheme="minorBidi"/>
          <w:sz w:val="18"/>
          <w:szCs w:val="18"/>
          <w:rtl/>
        </w:rPr>
        <w:t>וב</w:t>
      </w:r>
      <w:r>
        <w:rPr>
          <w:rFonts w:asciiTheme="minorBidi" w:hAnsiTheme="minorBidi"/>
          <w:sz w:val="18"/>
          <w:szCs w:val="18"/>
          <w:rtl/>
        </w:rPr>
        <w:t xml:space="preserve">ישול </w:t>
      </w:r>
      <w:r w:rsidRPr="00583F86">
        <w:rPr>
          <w:rFonts w:asciiTheme="minorBidi" w:hAnsiTheme="minorBidi"/>
          <w:sz w:val="16"/>
          <w:szCs w:val="16"/>
          <w:rtl/>
        </w:rPr>
        <w:t xml:space="preserve">(ריב"ן בשם רש"י וארוך </w:t>
      </w:r>
      <w:r>
        <w:rPr>
          <w:rFonts w:asciiTheme="minorBidi" w:hAnsiTheme="minorBidi" w:hint="cs"/>
          <w:sz w:val="16"/>
          <w:szCs w:val="16"/>
          <w:rtl/>
        </w:rPr>
        <w:t>בשם</w:t>
      </w:r>
      <w:r w:rsidRPr="00583F86">
        <w:rPr>
          <w:rFonts w:asciiTheme="minorBidi" w:hAnsiTheme="minorBidi"/>
          <w:sz w:val="16"/>
          <w:szCs w:val="16"/>
          <w:rtl/>
        </w:rPr>
        <w:t xml:space="preserve"> המרדכי)</w:t>
      </w:r>
      <w:r>
        <w:rPr>
          <w:rFonts w:asciiTheme="minorBidi" w:hAnsiTheme="minorBidi" w:hint="cs"/>
          <w:sz w:val="18"/>
          <w:szCs w:val="18"/>
          <w:rtl/>
        </w:rPr>
        <w:t xml:space="preserve"> </w:t>
      </w:r>
      <w:r>
        <w:rPr>
          <w:rFonts w:asciiTheme="minorBidi" w:hAnsiTheme="minorBidi"/>
          <w:sz w:val="18"/>
          <w:szCs w:val="18"/>
          <w:rtl/>
        </w:rPr>
        <w:t>לאסור נותן טעם בר נותן טעם</w:t>
      </w:r>
      <w:r>
        <w:rPr>
          <w:rStyle w:val="a7"/>
          <w:rFonts w:asciiTheme="minorBidi" w:hAnsiTheme="minorBidi"/>
          <w:sz w:val="18"/>
          <w:szCs w:val="18"/>
          <w:rtl/>
        </w:rPr>
        <w:footnoteReference w:id="1612"/>
      </w:r>
      <w:r>
        <w:rPr>
          <w:rFonts w:asciiTheme="minorBidi" w:hAnsiTheme="minorBidi" w:hint="cs"/>
          <w:sz w:val="18"/>
          <w:szCs w:val="18"/>
          <w:rtl/>
        </w:rPr>
        <w:t>,</w:t>
      </w:r>
      <w:r>
        <w:rPr>
          <w:rFonts w:asciiTheme="minorBidi" w:hAnsiTheme="minorBidi"/>
          <w:sz w:val="18"/>
          <w:szCs w:val="18"/>
          <w:rtl/>
        </w:rPr>
        <w:t xml:space="preserve"> והמנהג לאסור לכתחלה</w:t>
      </w:r>
      <w:r>
        <w:rPr>
          <w:rStyle w:val="a7"/>
          <w:rFonts w:asciiTheme="minorBidi" w:hAnsiTheme="minorBidi"/>
          <w:sz w:val="18"/>
          <w:szCs w:val="18"/>
          <w:rtl/>
        </w:rPr>
        <w:footnoteReference w:id="1613"/>
      </w:r>
      <w:r>
        <w:rPr>
          <w:rFonts w:asciiTheme="minorBidi" w:hAnsiTheme="minorBidi" w:hint="cs"/>
          <w:sz w:val="18"/>
          <w:szCs w:val="18"/>
          <w:rtl/>
        </w:rPr>
        <w:t>,</w:t>
      </w:r>
      <w:r w:rsidRPr="00583F86">
        <w:rPr>
          <w:rFonts w:asciiTheme="minorBidi" w:hAnsiTheme="minorBidi"/>
          <w:sz w:val="18"/>
          <w:szCs w:val="18"/>
          <w:rtl/>
        </w:rPr>
        <w:t xml:space="preserve"> ובדיעבד מותר בכל ענין </w:t>
      </w:r>
      <w:r w:rsidRPr="00583F86">
        <w:rPr>
          <w:rFonts w:asciiTheme="minorBidi" w:hAnsiTheme="minorBidi"/>
          <w:sz w:val="16"/>
          <w:szCs w:val="16"/>
          <w:rtl/>
        </w:rPr>
        <w:t>(ארוך)</w:t>
      </w:r>
      <w:r w:rsidRPr="00583F86">
        <w:rPr>
          <w:rFonts w:asciiTheme="minorBidi" w:hAnsiTheme="minorBidi"/>
          <w:sz w:val="18"/>
          <w:szCs w:val="18"/>
          <w:rtl/>
        </w:rPr>
        <w:t>.</w:t>
      </w:r>
      <w:r>
        <w:rPr>
          <w:rFonts w:asciiTheme="minorBidi" w:hAnsiTheme="minorBidi"/>
          <w:sz w:val="18"/>
          <w:szCs w:val="18"/>
          <w:rtl/>
        </w:rPr>
        <w:t xml:space="preserve"> ודוקא לאכול עם חלב והבשר עצמו אבל ליתנן בכלי שלהם מותר לכתחלה</w:t>
      </w:r>
      <w:r>
        <w:rPr>
          <w:rStyle w:val="a7"/>
          <w:rFonts w:asciiTheme="minorBidi" w:hAnsiTheme="minorBidi"/>
          <w:sz w:val="18"/>
          <w:szCs w:val="18"/>
          <w:rtl/>
        </w:rPr>
        <w:footnoteReference w:id="1614"/>
      </w:r>
      <w:r>
        <w:rPr>
          <w:rFonts w:asciiTheme="minorBidi" w:hAnsiTheme="minorBidi"/>
          <w:sz w:val="18"/>
          <w:szCs w:val="18"/>
          <w:rtl/>
        </w:rPr>
        <w:t xml:space="preserve"> </w:t>
      </w:r>
      <w:r w:rsidRPr="00583F86">
        <w:rPr>
          <w:rFonts w:asciiTheme="minorBidi" w:hAnsiTheme="minorBidi"/>
          <w:sz w:val="16"/>
          <w:szCs w:val="16"/>
          <w:rtl/>
        </w:rPr>
        <w:t>(ארוך)</w:t>
      </w:r>
      <w:r w:rsidRPr="00583F86">
        <w:rPr>
          <w:rFonts w:asciiTheme="minorBidi" w:hAnsiTheme="minorBidi"/>
          <w:sz w:val="18"/>
          <w:szCs w:val="18"/>
          <w:rtl/>
        </w:rPr>
        <w:t xml:space="preserve">, וכן נהגו. </w:t>
      </w:r>
      <w:r>
        <w:rPr>
          <w:rFonts w:asciiTheme="minorBidi" w:hAnsiTheme="minorBidi"/>
          <w:sz w:val="18"/>
          <w:szCs w:val="18"/>
          <w:rtl/>
        </w:rPr>
        <w:t>וכן אם לא נתבשלו או נצלו תחילה רק עלו בכלי של בשר מותר לאכלן עם חלב עצמו</w:t>
      </w:r>
      <w:r>
        <w:rPr>
          <w:rFonts w:asciiTheme="minorBidi" w:hAnsiTheme="minorBidi" w:hint="cs"/>
          <w:sz w:val="18"/>
          <w:szCs w:val="18"/>
          <w:rtl/>
        </w:rPr>
        <w:t>,</w:t>
      </w:r>
      <w:r w:rsidRPr="00583F86">
        <w:rPr>
          <w:rFonts w:asciiTheme="minorBidi" w:hAnsiTheme="minorBidi"/>
          <w:sz w:val="18"/>
          <w:szCs w:val="18"/>
          <w:rtl/>
        </w:rPr>
        <w:t xml:space="preserve"> וכן להיפך</w:t>
      </w:r>
      <w:r w:rsidRPr="00886A03">
        <w:rPr>
          <w:rFonts w:asciiTheme="minorBidi" w:hAnsiTheme="minorBidi"/>
          <w:sz w:val="16"/>
          <w:szCs w:val="16"/>
          <w:rtl/>
        </w:rPr>
        <w:t xml:space="preserve"> (</w:t>
      </w:r>
      <w:r>
        <w:rPr>
          <w:rFonts w:asciiTheme="minorBidi" w:hAnsiTheme="minorBidi" w:hint="cs"/>
          <w:sz w:val="16"/>
          <w:szCs w:val="16"/>
          <w:rtl/>
        </w:rPr>
        <w:t>ד"ע</w:t>
      </w:r>
      <w:r w:rsidRPr="00886A03">
        <w:rPr>
          <w:rFonts w:asciiTheme="minorBidi" w:hAnsiTheme="minorBidi"/>
          <w:sz w:val="16"/>
          <w:szCs w:val="16"/>
          <w:rtl/>
        </w:rPr>
        <w:t>)</w:t>
      </w:r>
      <w:r w:rsidRPr="00583F86">
        <w:rPr>
          <w:rFonts w:asciiTheme="minorBidi" w:hAnsiTheme="minorBidi"/>
          <w:sz w:val="18"/>
          <w:szCs w:val="18"/>
          <w:rtl/>
        </w:rPr>
        <w:t>. וכן אם ה</w:t>
      </w:r>
      <w:r>
        <w:rPr>
          <w:rFonts w:asciiTheme="minorBidi" w:hAnsiTheme="minorBidi"/>
          <w:sz w:val="18"/>
          <w:szCs w:val="18"/>
          <w:rtl/>
        </w:rPr>
        <w:t>יה הכלי שנתבשלו או נצלו בו לפגם</w:t>
      </w:r>
      <w:r w:rsidRPr="00583F86">
        <w:rPr>
          <w:rFonts w:asciiTheme="minorBidi" w:hAnsiTheme="minorBidi"/>
          <w:sz w:val="18"/>
          <w:szCs w:val="18"/>
          <w:rtl/>
        </w:rPr>
        <w:t xml:space="preserve"> ש</w:t>
      </w:r>
      <w:r>
        <w:rPr>
          <w:rFonts w:asciiTheme="minorBidi" w:hAnsiTheme="minorBidi"/>
          <w:sz w:val="18"/>
          <w:szCs w:val="18"/>
          <w:rtl/>
        </w:rPr>
        <w:t>לא היה בן יומו</w:t>
      </w:r>
      <w:r w:rsidRPr="00583F86">
        <w:rPr>
          <w:rFonts w:asciiTheme="minorBidi" w:hAnsiTheme="minorBidi"/>
          <w:sz w:val="18"/>
          <w:szCs w:val="18"/>
          <w:rtl/>
        </w:rPr>
        <w:t xml:space="preserve"> נוהגין היתר לכתחלה לאכלו עם המין השני </w:t>
      </w:r>
      <w:r w:rsidRPr="00583F86">
        <w:rPr>
          <w:rFonts w:asciiTheme="minorBidi" w:hAnsiTheme="minorBidi"/>
          <w:sz w:val="16"/>
          <w:szCs w:val="16"/>
          <w:rtl/>
        </w:rPr>
        <w:t>(בארוך)</w:t>
      </w:r>
      <w:r w:rsidRPr="00583F86">
        <w:rPr>
          <w:rFonts w:asciiTheme="minorBidi" w:hAnsiTheme="minorBidi"/>
          <w:sz w:val="18"/>
          <w:szCs w:val="18"/>
          <w:rtl/>
        </w:rPr>
        <w:t>. וכל זה כשהמאכל אינ</w:t>
      </w:r>
      <w:r>
        <w:rPr>
          <w:rFonts w:asciiTheme="minorBidi" w:hAnsiTheme="minorBidi"/>
          <w:sz w:val="18"/>
          <w:szCs w:val="18"/>
          <w:rtl/>
        </w:rPr>
        <w:t xml:space="preserve">ו דבר חריף, אבל </w:t>
      </w:r>
      <w:bookmarkStart w:id="3" w:name="_Hlk506199840"/>
      <w:r>
        <w:rPr>
          <w:rFonts w:asciiTheme="minorBidi" w:hAnsiTheme="minorBidi"/>
          <w:sz w:val="18"/>
          <w:szCs w:val="18"/>
          <w:rtl/>
        </w:rPr>
        <w:t>אם היה דבר חריף</w:t>
      </w:r>
      <w:r w:rsidRPr="00583F86">
        <w:rPr>
          <w:rFonts w:asciiTheme="minorBidi" w:hAnsiTheme="minorBidi"/>
          <w:sz w:val="18"/>
          <w:szCs w:val="18"/>
          <w:rtl/>
        </w:rPr>
        <w:t xml:space="preserve"> כגון</w:t>
      </w:r>
      <w:r>
        <w:rPr>
          <w:rFonts w:asciiTheme="minorBidi" w:hAnsiTheme="minorBidi"/>
          <w:sz w:val="18"/>
          <w:szCs w:val="18"/>
          <w:rtl/>
        </w:rPr>
        <w:t xml:space="preserve"> שבשלו דברים חריפים בכלי של בשר</w:t>
      </w:r>
      <w:r w:rsidRPr="00583F86">
        <w:rPr>
          <w:rFonts w:asciiTheme="minorBidi" w:hAnsiTheme="minorBidi"/>
          <w:sz w:val="18"/>
          <w:szCs w:val="18"/>
          <w:rtl/>
        </w:rPr>
        <w:t xml:space="preserve"> אפילו אינו בן יומו, או שדכו ת</w:t>
      </w:r>
      <w:r>
        <w:rPr>
          <w:rFonts w:asciiTheme="minorBidi" w:hAnsiTheme="minorBidi"/>
          <w:sz w:val="18"/>
          <w:szCs w:val="18"/>
          <w:rtl/>
        </w:rPr>
        <w:t>בלין במדוך של בשר, אם אכלו בחלב</w:t>
      </w:r>
      <w:r w:rsidRPr="00583F86">
        <w:rPr>
          <w:rFonts w:asciiTheme="minorBidi" w:hAnsiTheme="minorBidi"/>
          <w:sz w:val="18"/>
          <w:szCs w:val="18"/>
          <w:rtl/>
        </w:rPr>
        <w:t xml:space="preserve"> אוסר אפילו בדיעבד</w:t>
      </w:r>
      <w:r>
        <w:rPr>
          <w:rStyle w:val="a7"/>
          <w:rFonts w:asciiTheme="minorBidi" w:hAnsiTheme="minorBidi"/>
          <w:sz w:val="18"/>
          <w:szCs w:val="18"/>
          <w:rtl/>
        </w:rPr>
        <w:footnoteReference w:id="1615"/>
      </w:r>
      <w:r w:rsidRPr="00583F86">
        <w:rPr>
          <w:rFonts w:asciiTheme="minorBidi" w:hAnsiTheme="minorBidi"/>
          <w:sz w:val="18"/>
          <w:szCs w:val="18"/>
          <w:rtl/>
        </w:rPr>
        <w:t xml:space="preserve"> עד דאיכא ס' נגד הבשר ה</w:t>
      </w:r>
      <w:r>
        <w:rPr>
          <w:rFonts w:asciiTheme="minorBidi" w:hAnsiTheme="minorBidi"/>
          <w:sz w:val="18"/>
          <w:szCs w:val="18"/>
          <w:rtl/>
        </w:rPr>
        <w:t>בלוע בהם</w:t>
      </w:r>
      <w:r>
        <w:rPr>
          <w:rStyle w:val="a7"/>
          <w:rFonts w:asciiTheme="minorBidi" w:hAnsiTheme="minorBidi"/>
          <w:sz w:val="18"/>
          <w:szCs w:val="18"/>
          <w:rtl/>
        </w:rPr>
        <w:footnoteReference w:id="1616"/>
      </w:r>
      <w:r>
        <w:rPr>
          <w:rFonts w:asciiTheme="minorBidi" w:hAnsiTheme="minorBidi"/>
          <w:sz w:val="18"/>
          <w:szCs w:val="18"/>
          <w:rtl/>
        </w:rPr>
        <w:t xml:space="preserve"> </w:t>
      </w:r>
      <w:r w:rsidRPr="00583F86">
        <w:rPr>
          <w:rFonts w:asciiTheme="minorBidi" w:hAnsiTheme="minorBidi"/>
          <w:sz w:val="16"/>
          <w:szCs w:val="16"/>
          <w:rtl/>
        </w:rPr>
        <w:t>(בארו</w:t>
      </w:r>
      <w:r>
        <w:rPr>
          <w:rFonts w:asciiTheme="minorBidi" w:hAnsiTheme="minorBidi" w:hint="cs"/>
          <w:sz w:val="16"/>
          <w:szCs w:val="16"/>
          <w:rtl/>
        </w:rPr>
        <w:t>ך</w:t>
      </w:r>
      <w:r w:rsidRPr="00583F86">
        <w:rPr>
          <w:rFonts w:asciiTheme="minorBidi" w:hAnsiTheme="minorBidi"/>
          <w:sz w:val="16"/>
          <w:szCs w:val="16"/>
          <w:rtl/>
        </w:rPr>
        <w:t xml:space="preserve"> וכ</w:t>
      </w:r>
      <w:r w:rsidRPr="00583F86">
        <w:rPr>
          <w:rFonts w:asciiTheme="minorBidi" w:hAnsiTheme="minorBidi" w:hint="cs"/>
          <w:sz w:val="16"/>
          <w:szCs w:val="16"/>
          <w:rtl/>
        </w:rPr>
        <w:t>"מ</w:t>
      </w:r>
      <w:r w:rsidRPr="00583F86">
        <w:rPr>
          <w:rFonts w:asciiTheme="minorBidi" w:hAnsiTheme="minorBidi"/>
          <w:sz w:val="16"/>
          <w:szCs w:val="16"/>
          <w:rtl/>
        </w:rPr>
        <w:t xml:space="preserve"> בתש</w:t>
      </w:r>
      <w:r w:rsidRPr="00583F86">
        <w:rPr>
          <w:rFonts w:asciiTheme="minorBidi" w:hAnsiTheme="minorBidi" w:hint="cs"/>
          <w:sz w:val="16"/>
          <w:szCs w:val="16"/>
          <w:rtl/>
        </w:rPr>
        <w:t>ו'</w:t>
      </w:r>
      <w:r w:rsidRPr="00583F86">
        <w:rPr>
          <w:rFonts w:asciiTheme="minorBidi" w:hAnsiTheme="minorBidi"/>
          <w:sz w:val="16"/>
          <w:szCs w:val="16"/>
          <w:rtl/>
        </w:rPr>
        <w:t xml:space="preserve"> הרשב"א</w:t>
      </w:r>
      <w:r>
        <w:rPr>
          <w:rFonts w:asciiTheme="minorBidi" w:hAnsiTheme="minorBidi" w:hint="cs"/>
          <w:sz w:val="16"/>
          <w:szCs w:val="16"/>
          <w:rtl/>
        </w:rPr>
        <w:t>,</w:t>
      </w:r>
      <w:r w:rsidRPr="00583F86">
        <w:rPr>
          <w:rFonts w:asciiTheme="minorBidi" w:hAnsiTheme="minorBidi"/>
          <w:sz w:val="16"/>
          <w:szCs w:val="16"/>
          <w:rtl/>
        </w:rPr>
        <w:t xml:space="preserve"> וב"י בשם סה"ת והגש</w:t>
      </w:r>
      <w:r w:rsidRPr="00583F86">
        <w:rPr>
          <w:rFonts w:asciiTheme="minorBidi" w:hAnsiTheme="minorBidi" w:hint="cs"/>
          <w:sz w:val="16"/>
          <w:szCs w:val="16"/>
          <w:rtl/>
        </w:rPr>
        <w:t>ע</w:t>
      </w:r>
      <w:r w:rsidRPr="00583F86">
        <w:rPr>
          <w:rFonts w:asciiTheme="minorBidi" w:hAnsiTheme="minorBidi"/>
          <w:sz w:val="16"/>
          <w:szCs w:val="16"/>
          <w:rtl/>
        </w:rPr>
        <w:t>"ד בשם מהר"ש ואגור בשם מרדכי)</w:t>
      </w:r>
      <w:r w:rsidRPr="00583F86">
        <w:rPr>
          <w:rFonts w:asciiTheme="minorBidi" w:hAnsiTheme="minorBidi"/>
          <w:sz w:val="18"/>
          <w:szCs w:val="18"/>
          <w:rtl/>
        </w:rPr>
        <w:t>. ומכל מקום לא מקרי מ</w:t>
      </w:r>
      <w:r>
        <w:rPr>
          <w:rFonts w:asciiTheme="minorBidi" w:hAnsiTheme="minorBidi"/>
          <w:sz w:val="18"/>
          <w:szCs w:val="18"/>
          <w:rtl/>
        </w:rPr>
        <w:t>אכל דבר חריף משום מעט תבלין שבו רק אם כולו הוא דבר חריף</w:t>
      </w:r>
      <w:r>
        <w:rPr>
          <w:rFonts w:asciiTheme="minorBidi" w:hAnsiTheme="minorBidi" w:hint="cs"/>
          <w:sz w:val="18"/>
          <w:szCs w:val="18"/>
          <w:rtl/>
        </w:rPr>
        <w:t>,</w:t>
      </w:r>
      <w:r>
        <w:rPr>
          <w:rFonts w:asciiTheme="minorBidi" w:hAnsiTheme="minorBidi"/>
          <w:sz w:val="18"/>
          <w:szCs w:val="18"/>
          <w:rtl/>
        </w:rPr>
        <w:t xml:space="preserve"> ורובו ככולו</w:t>
      </w:r>
      <w:r>
        <w:rPr>
          <w:rStyle w:val="a7"/>
          <w:rFonts w:asciiTheme="minorBidi" w:hAnsiTheme="minorBidi"/>
          <w:sz w:val="16"/>
          <w:szCs w:val="16"/>
          <w:rtl/>
        </w:rPr>
        <w:footnoteReference w:id="1617"/>
      </w:r>
      <w:r w:rsidRPr="00583F86">
        <w:rPr>
          <w:rFonts w:asciiTheme="minorBidi" w:hAnsiTheme="minorBidi"/>
          <w:sz w:val="16"/>
          <w:szCs w:val="16"/>
          <w:rtl/>
        </w:rPr>
        <w:t xml:space="preserve"> (וע"ל סי</w:t>
      </w:r>
      <w:r w:rsidRPr="00583F86">
        <w:rPr>
          <w:rFonts w:asciiTheme="minorBidi" w:hAnsiTheme="minorBidi" w:hint="cs"/>
          <w:sz w:val="16"/>
          <w:szCs w:val="16"/>
          <w:rtl/>
        </w:rPr>
        <w:t>'</w:t>
      </w:r>
      <w:r w:rsidRPr="00583F86">
        <w:rPr>
          <w:rFonts w:asciiTheme="minorBidi" w:hAnsiTheme="minorBidi"/>
          <w:sz w:val="16"/>
          <w:szCs w:val="16"/>
          <w:rtl/>
        </w:rPr>
        <w:t xml:space="preserve"> צו)</w:t>
      </w:r>
      <w:r w:rsidRPr="00583F86">
        <w:rPr>
          <w:rFonts w:asciiTheme="minorBidi" w:hAnsiTheme="minorBidi"/>
          <w:sz w:val="18"/>
          <w:szCs w:val="18"/>
          <w:rtl/>
        </w:rPr>
        <w:t>.</w:t>
      </w:r>
      <w:bookmarkEnd w:id="3"/>
    </w:p>
    <w:p w14:paraId="0E27F46A" w14:textId="77777777" w:rsidR="002C39F4" w:rsidRPr="003024E5" w:rsidRDefault="002C39F4" w:rsidP="002C39F4">
      <w:pPr>
        <w:rPr>
          <w:rFonts w:asciiTheme="minorBidi" w:hAnsiTheme="minorBidi"/>
          <w:rtl/>
        </w:rPr>
      </w:pPr>
    </w:p>
    <w:p w14:paraId="2DD84CDE" w14:textId="77777777" w:rsidR="002C39F4" w:rsidRPr="00C7305F" w:rsidRDefault="002C39F4" w:rsidP="002C39F4">
      <w:pPr>
        <w:pStyle w:val="2"/>
        <w:rPr>
          <w:rFonts w:asciiTheme="minorBidi" w:hAnsiTheme="minorBidi"/>
          <w:rtl/>
        </w:rPr>
      </w:pPr>
      <w:r w:rsidRPr="00C7305F">
        <w:rPr>
          <w:rFonts w:asciiTheme="minorBidi" w:hAnsiTheme="minorBidi"/>
          <w:rtl/>
        </w:rPr>
        <w:t>סעיף ג: קערות של בשר שהודחו ביורה חולבת בחמין.</w:t>
      </w:r>
    </w:p>
    <w:p w14:paraId="5E09A9A1" w14:textId="77777777" w:rsidR="002C39F4" w:rsidRPr="00BC5C41" w:rsidRDefault="002C39F4" w:rsidP="002C39F4">
      <w:pPr>
        <w:rPr>
          <w:rFonts w:cs="Arial"/>
          <w:u w:val="single"/>
          <w:rtl/>
        </w:rPr>
      </w:pPr>
      <w:r w:rsidRPr="00BC5C41">
        <w:rPr>
          <w:rFonts w:cs="Arial"/>
          <w:u w:val="single"/>
          <w:rtl/>
        </w:rPr>
        <w:t xml:space="preserve">קערות של בשר שרחצו אותם ביורה חולבת </w:t>
      </w:r>
      <w:r w:rsidRPr="003041AC">
        <w:rPr>
          <w:rFonts w:cs="Arial"/>
          <w:u w:val="single"/>
          <w:rtl/>
        </w:rPr>
        <w:t>והיא על האש</w:t>
      </w:r>
      <w:r w:rsidRPr="003041AC">
        <w:rPr>
          <w:rStyle w:val="a7"/>
          <w:rFonts w:cs="Arial"/>
          <w:u w:val="single"/>
          <w:rtl/>
        </w:rPr>
        <w:footnoteReference w:id="1618"/>
      </w:r>
      <w:r w:rsidRPr="003041AC">
        <w:rPr>
          <w:rFonts w:cs="Arial"/>
          <w:u w:val="single"/>
          <w:rtl/>
        </w:rPr>
        <w:t xml:space="preserve"> או אפי'</w:t>
      </w:r>
      <w:r w:rsidRPr="00BC5C41">
        <w:rPr>
          <w:rFonts w:cs="Arial"/>
          <w:u w:val="single"/>
          <w:rtl/>
        </w:rPr>
        <w:t xml:space="preserve"> אינה על האש והמים חמין שהיד נכוית בהן</w:t>
      </w:r>
      <w:r>
        <w:rPr>
          <w:rStyle w:val="a7"/>
          <w:rFonts w:cs="Arial"/>
          <w:u w:val="single"/>
          <w:rtl/>
        </w:rPr>
        <w:footnoteReference w:id="1619"/>
      </w:r>
      <w:r>
        <w:rPr>
          <w:rFonts w:cs="Arial" w:hint="cs"/>
          <w:sz w:val="12"/>
          <w:szCs w:val="12"/>
          <w:u w:val="single"/>
          <w:rtl/>
        </w:rPr>
        <w:t>(ל' הטור)</w:t>
      </w:r>
      <w:r w:rsidRPr="00BC5C41">
        <w:rPr>
          <w:rFonts w:cs="Arial" w:hint="cs"/>
          <w:u w:val="single"/>
          <w:rtl/>
        </w:rPr>
        <w:t>:</w:t>
      </w:r>
      <w:r>
        <w:rPr>
          <w:rFonts w:cs="Arial" w:hint="cs"/>
          <w:u w:val="single"/>
          <w:rtl/>
        </w:rPr>
        <w:t xml:space="preserve"> </w:t>
      </w:r>
    </w:p>
    <w:p w14:paraId="33BD5C2E" w14:textId="77777777" w:rsidR="002C39F4" w:rsidRPr="00BC5C41" w:rsidRDefault="002C39F4" w:rsidP="0032102C">
      <w:pPr>
        <w:pStyle w:val="a8"/>
        <w:numPr>
          <w:ilvl w:val="0"/>
          <w:numId w:val="130"/>
        </w:numPr>
        <w:rPr>
          <w:rFonts w:cs="Arial"/>
          <w:rtl/>
        </w:rPr>
      </w:pPr>
      <w:r w:rsidRPr="00BC5C41">
        <w:rPr>
          <w:rFonts w:cs="Arial"/>
          <w:rtl/>
        </w:rPr>
        <w:t>סה"ת</w:t>
      </w:r>
      <w:r w:rsidRPr="00DA1EBE">
        <w:rPr>
          <w:rFonts w:cs="Arial"/>
          <w:rtl/>
        </w:rPr>
        <w:t xml:space="preserve"> </w:t>
      </w:r>
      <w:r>
        <w:rPr>
          <w:rFonts w:cs="Arial"/>
          <w:rtl/>
        </w:rPr>
        <w:t xml:space="preserve">סמ"ג </w:t>
      </w:r>
      <w:r>
        <w:rPr>
          <w:rFonts w:cs="Arial" w:hint="cs"/>
          <w:rtl/>
        </w:rPr>
        <w:t>ר"פ</w:t>
      </w:r>
      <w:r>
        <w:rPr>
          <w:rFonts w:cs="Arial"/>
          <w:rtl/>
        </w:rPr>
        <w:t xml:space="preserve"> שע</w:t>
      </w:r>
      <w:r>
        <w:rPr>
          <w:rFonts w:cs="Arial" w:hint="cs"/>
          <w:rtl/>
        </w:rPr>
        <w:t>"ד מרדכי או"ה ו</w:t>
      </w:r>
      <w:r w:rsidRPr="004701DD">
        <w:rPr>
          <w:rFonts w:cs="Arial"/>
          <w:rtl/>
        </w:rPr>
        <w:t>מהרא"י</w:t>
      </w:r>
      <w:r>
        <w:rPr>
          <w:rStyle w:val="a7"/>
          <w:rFonts w:cs="Arial"/>
          <w:rtl/>
        </w:rPr>
        <w:footnoteReference w:id="1620"/>
      </w:r>
      <w:r>
        <w:rPr>
          <w:rFonts w:cs="Arial" w:hint="cs"/>
          <w:rtl/>
        </w:rPr>
        <w:t>-</w:t>
      </w:r>
      <w:r w:rsidRPr="00BC5C41">
        <w:rPr>
          <w:rFonts w:cs="Arial"/>
          <w:rtl/>
        </w:rPr>
        <w:t xml:space="preserve"> אם הקערות והיורה שניהן בני יומן הכל אסור</w:t>
      </w:r>
      <w:r>
        <w:rPr>
          <w:rStyle w:val="a7"/>
          <w:rFonts w:cs="Arial"/>
          <w:rtl/>
        </w:rPr>
        <w:footnoteReference w:id="1621"/>
      </w:r>
      <w:r>
        <w:rPr>
          <w:rFonts w:cs="Arial" w:hint="cs"/>
          <w:rtl/>
        </w:rPr>
        <w:t>,</w:t>
      </w:r>
      <w:r w:rsidRPr="00BC5C41">
        <w:rPr>
          <w:rFonts w:cs="Arial"/>
          <w:rtl/>
        </w:rPr>
        <w:t xml:space="preserve"> אפי' היו הקערות מקונחות יפ</w:t>
      </w:r>
      <w:r>
        <w:rPr>
          <w:rFonts w:cs="Arial" w:hint="cs"/>
          <w:rtl/>
        </w:rPr>
        <w:t>ה</w:t>
      </w:r>
      <w:r w:rsidRPr="00BC5C41">
        <w:rPr>
          <w:rFonts w:cs="Arial"/>
          <w:rtl/>
        </w:rPr>
        <w:t xml:space="preserve"> שאין שום שומן דבוק בהן</w:t>
      </w:r>
      <w:r>
        <w:rPr>
          <w:rStyle w:val="a7"/>
          <w:rFonts w:cs="Arial"/>
          <w:rtl/>
        </w:rPr>
        <w:footnoteReference w:id="1622"/>
      </w:r>
      <w:r>
        <w:rPr>
          <w:rFonts w:cs="Arial" w:hint="cs"/>
          <w:rtl/>
        </w:rPr>
        <w:t>,</w:t>
      </w:r>
      <w:r w:rsidRPr="00BC5C41">
        <w:rPr>
          <w:rFonts w:cs="Arial"/>
          <w:rtl/>
        </w:rPr>
        <w:t xml:space="preserve"> אבל אם אין היורה בת יומא מותר</w:t>
      </w:r>
      <w:r>
        <w:rPr>
          <w:rStyle w:val="a7"/>
          <w:rFonts w:cs="Arial"/>
          <w:rtl/>
        </w:rPr>
        <w:footnoteReference w:id="1623"/>
      </w:r>
      <w:r>
        <w:rPr>
          <w:rFonts w:cs="Arial" w:hint="cs"/>
          <w:rtl/>
        </w:rPr>
        <w:t>,</w:t>
      </w:r>
      <w:r w:rsidRPr="00BC5C41">
        <w:rPr>
          <w:rFonts w:cs="Arial"/>
          <w:rtl/>
        </w:rPr>
        <w:t xml:space="preserve"> ובלבד שיהיו הקערות מקונחות יפ</w:t>
      </w:r>
      <w:r>
        <w:rPr>
          <w:rFonts w:cs="Arial" w:hint="cs"/>
          <w:rtl/>
        </w:rPr>
        <w:t>ה</w:t>
      </w:r>
      <w:r w:rsidRPr="00BC5C41">
        <w:rPr>
          <w:rFonts w:cs="Arial"/>
          <w:rtl/>
        </w:rPr>
        <w:t xml:space="preserve"> שאין שומן דבוק בהן</w:t>
      </w:r>
      <w:r>
        <w:rPr>
          <w:rStyle w:val="a7"/>
          <w:rFonts w:cs="Arial"/>
          <w:rtl/>
        </w:rPr>
        <w:footnoteReference w:id="1624"/>
      </w:r>
      <w:r w:rsidRPr="00BC5C41">
        <w:rPr>
          <w:rFonts w:cs="Arial" w:hint="cs"/>
          <w:rtl/>
        </w:rPr>
        <w:t>.</w:t>
      </w:r>
      <w:r>
        <w:rPr>
          <w:rFonts w:cs="Arial" w:hint="cs"/>
          <w:rtl/>
        </w:rPr>
        <w:t xml:space="preserve"> </w:t>
      </w:r>
      <w:r w:rsidRPr="00C8557D">
        <w:rPr>
          <w:rFonts w:hint="cs"/>
          <w:color w:val="00B0F0"/>
          <w:rtl/>
        </w:rPr>
        <w:t>(וכ"פ הרמ"א)</w:t>
      </w:r>
    </w:p>
    <w:p w14:paraId="028630A0" w14:textId="77777777" w:rsidR="002C39F4" w:rsidRPr="006C6CA3" w:rsidRDefault="002C39F4" w:rsidP="0032102C">
      <w:pPr>
        <w:pStyle w:val="a8"/>
        <w:numPr>
          <w:ilvl w:val="0"/>
          <w:numId w:val="130"/>
        </w:numPr>
        <w:rPr>
          <w:rFonts w:cs="Arial"/>
          <w:rtl/>
        </w:rPr>
      </w:pPr>
      <w:r>
        <w:rPr>
          <w:rFonts w:cs="Arial"/>
          <w:rtl/>
        </w:rPr>
        <w:t>רמב"ן</w:t>
      </w:r>
      <w:r>
        <w:rPr>
          <w:rStyle w:val="a7"/>
          <w:rFonts w:cs="Arial"/>
          <w:rtl/>
        </w:rPr>
        <w:footnoteReference w:id="1625"/>
      </w:r>
      <w:r>
        <w:rPr>
          <w:rFonts w:cs="Arial" w:hint="cs"/>
          <w:rtl/>
        </w:rPr>
        <w:t xml:space="preserve"> </w:t>
      </w:r>
      <w:r>
        <w:rPr>
          <w:rFonts w:cs="Arial"/>
          <w:rtl/>
        </w:rPr>
        <w:t xml:space="preserve">רשב"א </w:t>
      </w:r>
      <w:r>
        <w:rPr>
          <w:rFonts w:cs="Arial" w:hint="cs"/>
          <w:rtl/>
        </w:rPr>
        <w:t>ו</w:t>
      </w:r>
      <w:r w:rsidRPr="00BC5C41">
        <w:rPr>
          <w:rFonts w:cs="Arial"/>
          <w:rtl/>
        </w:rPr>
        <w:t>רא"ש</w:t>
      </w:r>
      <w:r>
        <w:rPr>
          <w:rStyle w:val="a7"/>
          <w:rFonts w:cs="Arial"/>
          <w:rtl/>
        </w:rPr>
        <w:footnoteReference w:id="1626"/>
      </w:r>
      <w:r w:rsidRPr="00BC5C41">
        <w:rPr>
          <w:rFonts w:cs="Arial" w:hint="cs"/>
          <w:rtl/>
        </w:rPr>
        <w:t>-</w:t>
      </w:r>
      <w:r w:rsidRPr="00BC5C41">
        <w:rPr>
          <w:rFonts w:cs="Arial"/>
          <w:rtl/>
        </w:rPr>
        <w:t xml:space="preserve"> מ</w:t>
      </w:r>
      <w:r w:rsidRPr="00BC5C41">
        <w:rPr>
          <w:rFonts w:cs="Arial" w:hint="cs"/>
          <w:rtl/>
        </w:rPr>
        <w:t>ו</w:t>
      </w:r>
      <w:r w:rsidRPr="00BC5C41">
        <w:rPr>
          <w:rFonts w:cs="Arial"/>
          <w:rtl/>
        </w:rPr>
        <w:t>תר אפי</w:t>
      </w:r>
      <w:r w:rsidRPr="00BC5C41">
        <w:rPr>
          <w:rFonts w:cs="Arial" w:hint="cs"/>
          <w:rtl/>
        </w:rPr>
        <w:t>לו</w:t>
      </w:r>
      <w:r w:rsidRPr="00BC5C41">
        <w:rPr>
          <w:rFonts w:cs="Arial"/>
          <w:rtl/>
        </w:rPr>
        <w:t xml:space="preserve"> הן שניהן</w:t>
      </w:r>
      <w:r>
        <w:rPr>
          <w:rFonts w:cs="Arial"/>
          <w:rtl/>
        </w:rPr>
        <w:t xml:space="preserve"> בת יומן</w:t>
      </w:r>
      <w:r>
        <w:rPr>
          <w:rFonts w:cs="Arial" w:hint="cs"/>
          <w:rtl/>
        </w:rPr>
        <w:t xml:space="preserve"> דהוי נ"ט בר נ"ט, </w:t>
      </w:r>
      <w:r w:rsidRPr="00BC5C41">
        <w:rPr>
          <w:rFonts w:cs="Arial"/>
          <w:rtl/>
        </w:rPr>
        <w:t>אמנם יש לחוש לפי שכשמדיחים קערות נשאר השומן ממה שאכלו בהן דבוק בהן ונוגע ביורה ונאסר היורה מממשות הבשר שנכנס בה והכל אסור</w:t>
      </w:r>
      <w:r>
        <w:rPr>
          <w:rStyle w:val="a7"/>
          <w:rFonts w:cs="Arial"/>
          <w:rtl/>
        </w:rPr>
        <w:footnoteReference w:id="1627"/>
      </w:r>
      <w:r>
        <w:rPr>
          <w:rFonts w:cs="Arial" w:hint="cs"/>
          <w:rtl/>
        </w:rPr>
        <w:t>,</w:t>
      </w:r>
      <w:r w:rsidRPr="00BC5C41">
        <w:rPr>
          <w:rFonts w:cs="Arial"/>
          <w:rtl/>
        </w:rPr>
        <w:t xml:space="preserve"> הלכך אין להתיר עד שיאמרו ברי לי שלא היה שום שומן דבוק בה</w:t>
      </w:r>
      <w:r>
        <w:rPr>
          <w:rStyle w:val="a7"/>
          <w:rFonts w:cs="Arial"/>
          <w:rtl/>
        </w:rPr>
        <w:footnoteReference w:id="1628"/>
      </w:r>
      <w:r w:rsidRPr="00BC5C41">
        <w:rPr>
          <w:rFonts w:cs="Arial" w:hint="cs"/>
          <w:rtl/>
        </w:rPr>
        <w:t>.</w:t>
      </w:r>
      <w:r w:rsidRPr="00BC5C41">
        <w:rPr>
          <w:rFonts w:cs="Arial"/>
          <w:rtl/>
        </w:rPr>
        <w:t xml:space="preserve"> </w:t>
      </w:r>
      <w:r w:rsidRPr="006C6CA3">
        <w:rPr>
          <w:rFonts w:cs="Arial" w:hint="cs"/>
          <w:color w:val="E36C0A" w:themeColor="accent6" w:themeShade="BF"/>
          <w:rtl/>
        </w:rPr>
        <w:t>(וכ"פ בשו"ע)</w:t>
      </w:r>
      <w:r w:rsidRPr="006C6CA3">
        <w:rPr>
          <w:rFonts w:cs="Arial" w:hint="cs"/>
          <w:rtl/>
        </w:rPr>
        <w:t xml:space="preserve"> </w:t>
      </w:r>
      <w:r w:rsidRPr="006C6CA3">
        <w:rPr>
          <w:rFonts w:cs="Arial"/>
          <w:rtl/>
        </w:rPr>
        <w:t xml:space="preserve"> </w:t>
      </w:r>
    </w:p>
    <w:p w14:paraId="71040A6B" w14:textId="77777777" w:rsidR="002C39F4" w:rsidRPr="00C7305F" w:rsidRDefault="002C39F4" w:rsidP="002C39F4">
      <w:pPr>
        <w:ind w:left="360"/>
        <w:rPr>
          <w:rFonts w:cs="Arial"/>
          <w:u w:val="dotted"/>
          <w:rtl/>
        </w:rPr>
      </w:pPr>
      <w:r w:rsidRPr="00C7305F">
        <w:rPr>
          <w:rFonts w:cs="Arial" w:hint="cs"/>
          <w:u w:val="dotted"/>
          <w:rtl/>
        </w:rPr>
        <w:t>ו</w:t>
      </w:r>
      <w:r>
        <w:rPr>
          <w:rFonts w:cs="Arial" w:hint="cs"/>
          <w:u w:val="dotted"/>
          <w:rtl/>
        </w:rPr>
        <w:t>אם</w:t>
      </w:r>
      <w:r w:rsidRPr="00C7305F">
        <w:rPr>
          <w:rFonts w:cs="Arial" w:hint="cs"/>
          <w:u w:val="dotted"/>
          <w:rtl/>
        </w:rPr>
        <w:t xml:space="preserve"> </w:t>
      </w:r>
      <w:r w:rsidRPr="00C7305F">
        <w:rPr>
          <w:rFonts w:cs="Arial"/>
          <w:u w:val="dotted"/>
          <w:rtl/>
        </w:rPr>
        <w:t>עירה המים בכלי שני חולב</w:t>
      </w:r>
      <w:r>
        <w:rPr>
          <w:rFonts w:cs="Arial" w:hint="cs"/>
          <w:sz w:val="16"/>
          <w:szCs w:val="16"/>
          <w:u w:val="dotted"/>
          <w:rtl/>
        </w:rPr>
        <w:t xml:space="preserve"> {שיש בו שאריות חלב}</w:t>
      </w:r>
      <w:r w:rsidRPr="00C7305F">
        <w:rPr>
          <w:rFonts w:cs="Arial"/>
          <w:u w:val="dotted"/>
          <w:rtl/>
        </w:rPr>
        <w:t xml:space="preserve"> ואח"כ נתן שם קערות של בשר</w:t>
      </w:r>
      <w:r>
        <w:rPr>
          <w:rStyle w:val="a7"/>
          <w:rFonts w:cs="Arial"/>
          <w:u w:val="dotted"/>
          <w:rtl/>
        </w:rPr>
        <w:footnoteReference w:id="1629"/>
      </w:r>
      <w:r>
        <w:rPr>
          <w:rFonts w:cs="Arial" w:hint="cs"/>
          <w:u w:val="dotted"/>
          <w:rtl/>
        </w:rPr>
        <w:t>:</w:t>
      </w:r>
      <w:r>
        <w:rPr>
          <w:rFonts w:cs="Arial" w:hint="cs"/>
          <w:sz w:val="16"/>
          <w:szCs w:val="16"/>
          <w:rtl/>
        </w:rPr>
        <w:t xml:space="preserve">   (ב"י ודרכ"מ אות ה)</w:t>
      </w:r>
    </w:p>
    <w:p w14:paraId="43108FBA" w14:textId="77777777" w:rsidR="002C39F4" w:rsidRPr="004E3C86" w:rsidRDefault="002C39F4" w:rsidP="0032102C">
      <w:pPr>
        <w:pStyle w:val="a8"/>
        <w:numPr>
          <w:ilvl w:val="0"/>
          <w:numId w:val="131"/>
        </w:numPr>
      </w:pPr>
      <w:r>
        <w:rPr>
          <w:rFonts w:cs="Arial" w:hint="cs"/>
          <w:rtl/>
        </w:rPr>
        <w:t xml:space="preserve">ב"י- </w:t>
      </w:r>
      <w:r w:rsidRPr="003041AC">
        <w:rPr>
          <w:rFonts w:cs="Arial"/>
          <w:rtl/>
        </w:rPr>
        <w:t xml:space="preserve">לדברי האומרים שאין מפליט אלא חום </w:t>
      </w:r>
      <w:r>
        <w:rPr>
          <w:rFonts w:cs="Arial"/>
          <w:rtl/>
        </w:rPr>
        <w:t xml:space="preserve">של כלי ראשון מישרא שרי </w:t>
      </w:r>
      <w:r>
        <w:rPr>
          <w:rFonts w:cs="Arial" w:hint="cs"/>
          <w:rtl/>
        </w:rPr>
        <w:t>אע"פ</w:t>
      </w:r>
      <w:r>
        <w:rPr>
          <w:rFonts w:cs="Arial"/>
          <w:rtl/>
        </w:rPr>
        <w:t xml:space="preserve"> שהי</w:t>
      </w:r>
      <w:r>
        <w:rPr>
          <w:rFonts w:cs="Arial" w:hint="cs"/>
          <w:rtl/>
        </w:rPr>
        <w:t>ס"</w:t>
      </w:r>
      <w:r>
        <w:rPr>
          <w:rFonts w:cs="Arial"/>
          <w:rtl/>
        </w:rPr>
        <w:t>ב</w:t>
      </w:r>
      <w:r>
        <w:rPr>
          <w:rFonts w:cs="Arial" w:hint="cs"/>
          <w:rtl/>
        </w:rPr>
        <w:t>,</w:t>
      </w:r>
      <w:r w:rsidRPr="003041AC">
        <w:rPr>
          <w:rFonts w:cs="Arial"/>
          <w:rtl/>
        </w:rPr>
        <w:t xml:space="preserve"> אבל להרשב"א דחום דכלי שני מבליע ומפליט ואפילו אין </w:t>
      </w:r>
      <w:r>
        <w:rPr>
          <w:rFonts w:cs="Arial"/>
          <w:rtl/>
        </w:rPr>
        <w:t>היד סולדת בו</w:t>
      </w:r>
      <w:r>
        <w:rPr>
          <w:rFonts w:cs="Arial" w:hint="cs"/>
          <w:rtl/>
        </w:rPr>
        <w:t>,</w:t>
      </w:r>
      <w:r>
        <w:rPr>
          <w:rFonts w:cs="Arial"/>
          <w:rtl/>
        </w:rPr>
        <w:t xml:space="preserve"> כמ"ש רבינו בסי</w:t>
      </w:r>
      <w:r>
        <w:rPr>
          <w:rFonts w:cs="Arial" w:hint="cs"/>
          <w:rtl/>
        </w:rPr>
        <w:t>'</w:t>
      </w:r>
      <w:r>
        <w:rPr>
          <w:rFonts w:cs="Arial"/>
          <w:rtl/>
        </w:rPr>
        <w:t xml:space="preserve"> ק</w:t>
      </w:r>
      <w:r w:rsidRPr="003041AC">
        <w:rPr>
          <w:rFonts w:cs="Arial"/>
          <w:rtl/>
        </w:rPr>
        <w:t xml:space="preserve">ה </w:t>
      </w:r>
      <w:r w:rsidRPr="00C7305F">
        <w:rPr>
          <w:rFonts w:cs="Arial"/>
          <w:sz w:val="16"/>
          <w:szCs w:val="16"/>
          <w:rtl/>
        </w:rPr>
        <w:t>(קסד:)</w:t>
      </w:r>
      <w:r>
        <w:rPr>
          <w:rFonts w:cs="Arial" w:hint="cs"/>
          <w:rtl/>
        </w:rPr>
        <w:t>,</w:t>
      </w:r>
      <w:r w:rsidRPr="003041AC">
        <w:rPr>
          <w:rFonts w:cs="Arial"/>
          <w:rtl/>
        </w:rPr>
        <w:t xml:space="preserve"> משמע דהכי נמי נאסר</w:t>
      </w:r>
      <w:r>
        <w:rPr>
          <w:rFonts w:cs="Arial" w:hint="cs"/>
          <w:rtl/>
        </w:rPr>
        <w:t>.</w:t>
      </w:r>
    </w:p>
    <w:p w14:paraId="6D66AFDB" w14:textId="77777777" w:rsidR="002C39F4" w:rsidRPr="00306D00" w:rsidRDefault="002C39F4" w:rsidP="0032102C">
      <w:pPr>
        <w:pStyle w:val="a8"/>
        <w:numPr>
          <w:ilvl w:val="0"/>
          <w:numId w:val="131"/>
        </w:numPr>
        <w:rPr>
          <w:rtl/>
        </w:rPr>
      </w:pPr>
      <w:r>
        <w:rPr>
          <w:rFonts w:hint="cs"/>
          <w:rtl/>
        </w:rPr>
        <w:t>הגשע"ד</w:t>
      </w:r>
      <w:r>
        <w:rPr>
          <w:rtl/>
        </w:rPr>
        <w:t xml:space="preserve"> </w:t>
      </w:r>
      <w:r w:rsidRPr="004E3C86">
        <w:rPr>
          <w:sz w:val="16"/>
          <w:szCs w:val="16"/>
          <w:rtl/>
        </w:rPr>
        <w:t>(סי' נז סק</w:t>
      </w:r>
      <w:r w:rsidRPr="004E3C86">
        <w:rPr>
          <w:rFonts w:hint="cs"/>
          <w:sz w:val="16"/>
          <w:szCs w:val="16"/>
          <w:rtl/>
        </w:rPr>
        <w:t>"</w:t>
      </w:r>
      <w:r w:rsidRPr="004E3C86">
        <w:rPr>
          <w:sz w:val="16"/>
          <w:szCs w:val="16"/>
          <w:rtl/>
        </w:rPr>
        <w:t>ו הא' ד"ה ועוד)</w:t>
      </w:r>
      <w:r>
        <w:rPr>
          <w:rFonts w:hint="cs"/>
          <w:rtl/>
        </w:rPr>
        <w:t>-</w:t>
      </w:r>
      <w:r>
        <w:rPr>
          <w:rtl/>
        </w:rPr>
        <w:t xml:space="preserve"> בכלי שני יש להתיר</w:t>
      </w:r>
      <w:r>
        <w:rPr>
          <w:rStyle w:val="a7"/>
          <w:rtl/>
        </w:rPr>
        <w:footnoteReference w:id="1630"/>
      </w:r>
      <w:r>
        <w:rPr>
          <w:rFonts w:hint="cs"/>
          <w:rtl/>
        </w:rPr>
        <w:t>,</w:t>
      </w:r>
      <w:r>
        <w:rPr>
          <w:rtl/>
        </w:rPr>
        <w:t xml:space="preserve"> ולכן טוב ליזהר תמיד שלא יתן הקערות תחלה באותן כלים שרוחץ אותן מתוכן אלא נותן המים תחלה ואח</w:t>
      </w:r>
      <w:r>
        <w:rPr>
          <w:rFonts w:hint="cs"/>
          <w:rtl/>
        </w:rPr>
        <w:t>"</w:t>
      </w:r>
      <w:r>
        <w:rPr>
          <w:rtl/>
        </w:rPr>
        <w:t>כ נותן הקערות לתוכן דהוי כלי שני</w:t>
      </w:r>
      <w:r>
        <w:rPr>
          <w:rStyle w:val="a7"/>
          <w:rtl/>
        </w:rPr>
        <w:footnoteReference w:id="1631"/>
      </w:r>
      <w:r>
        <w:rPr>
          <w:rFonts w:hint="cs"/>
          <w:rtl/>
        </w:rPr>
        <w:t xml:space="preserve">. </w:t>
      </w:r>
      <w:r w:rsidRPr="00C8557D">
        <w:rPr>
          <w:rFonts w:hint="cs"/>
          <w:color w:val="00B0F0"/>
          <w:rtl/>
        </w:rPr>
        <w:t>(וכ"פ הרמ"א)</w:t>
      </w:r>
    </w:p>
    <w:p w14:paraId="177543DF" w14:textId="77777777" w:rsidR="002C39F4" w:rsidRPr="005A65B8" w:rsidRDefault="002C39F4" w:rsidP="002C39F4">
      <w:pPr>
        <w:rPr>
          <w:rFonts w:cs="Arial"/>
          <w:sz w:val="16"/>
          <w:szCs w:val="16"/>
        </w:rPr>
      </w:pPr>
      <w:r w:rsidRPr="00C8557D">
        <w:rPr>
          <w:rFonts w:cs="Arial"/>
          <w:u w:val="single"/>
          <w:rtl/>
        </w:rPr>
        <w:t>עיר</w:t>
      </w:r>
      <w:r>
        <w:rPr>
          <w:rFonts w:cs="Arial" w:hint="cs"/>
          <w:u w:val="single"/>
          <w:rtl/>
        </w:rPr>
        <w:t xml:space="preserve">וי </w:t>
      </w:r>
      <w:r w:rsidRPr="00C8557D">
        <w:rPr>
          <w:rFonts w:cs="Arial"/>
          <w:u w:val="single"/>
          <w:rtl/>
        </w:rPr>
        <w:t>מים</w:t>
      </w:r>
      <w:r w:rsidRPr="00C8557D">
        <w:rPr>
          <w:rFonts w:cs="Arial" w:hint="cs"/>
          <w:u w:val="single"/>
          <w:rtl/>
        </w:rPr>
        <w:t xml:space="preserve"> רותחין</w:t>
      </w:r>
      <w:r>
        <w:rPr>
          <w:rFonts w:cs="Arial" w:hint="cs"/>
          <w:u w:val="single"/>
          <w:rtl/>
        </w:rPr>
        <w:t xml:space="preserve"> מכלי ראשון</w:t>
      </w:r>
      <w:r w:rsidRPr="00C8557D">
        <w:rPr>
          <w:rFonts w:cs="Arial"/>
          <w:u w:val="single"/>
          <w:rtl/>
        </w:rPr>
        <w:t xml:space="preserve"> </w:t>
      </w:r>
      <w:r w:rsidRPr="00C8557D">
        <w:rPr>
          <w:rFonts w:cs="Arial" w:hint="cs"/>
          <w:u w:val="single"/>
          <w:rtl/>
        </w:rPr>
        <w:t>על קערות של בשר ושל חלב</w:t>
      </w:r>
      <w:r>
        <w:rPr>
          <w:rFonts w:cs="Arial" w:hint="cs"/>
          <w:sz w:val="16"/>
          <w:szCs w:val="16"/>
          <w:u w:val="single"/>
          <w:rtl/>
        </w:rPr>
        <w:t xml:space="preserve"> {שיש בהם שאריות מאכל}</w:t>
      </w:r>
      <w:r w:rsidRPr="00C8557D">
        <w:rPr>
          <w:rFonts w:cs="Arial" w:hint="cs"/>
          <w:u w:val="single"/>
          <w:rtl/>
        </w:rPr>
        <w:t>:</w:t>
      </w:r>
      <w:r>
        <w:rPr>
          <w:rFonts w:cs="Arial" w:hint="cs"/>
          <w:sz w:val="16"/>
          <w:szCs w:val="16"/>
          <w:rtl/>
        </w:rPr>
        <w:t xml:space="preserve">   (דרכ"מ אות ה)</w:t>
      </w:r>
    </w:p>
    <w:p w14:paraId="08B9774A" w14:textId="77777777" w:rsidR="002C39F4" w:rsidRDefault="002C39F4" w:rsidP="0032102C">
      <w:pPr>
        <w:pStyle w:val="a8"/>
        <w:numPr>
          <w:ilvl w:val="0"/>
          <w:numId w:val="131"/>
        </w:numPr>
      </w:pPr>
      <w:r>
        <w:rPr>
          <w:rFonts w:hint="cs"/>
          <w:rtl/>
        </w:rPr>
        <w:t>הגשע"ד</w:t>
      </w:r>
      <w:r>
        <w:rPr>
          <w:rtl/>
        </w:rPr>
        <w:t xml:space="preserve"> </w:t>
      </w:r>
      <w:r w:rsidRPr="004E3C86">
        <w:rPr>
          <w:sz w:val="16"/>
          <w:szCs w:val="16"/>
          <w:rtl/>
        </w:rPr>
        <w:t>(סי' נז סק</w:t>
      </w:r>
      <w:r w:rsidRPr="004E3C86">
        <w:rPr>
          <w:rFonts w:hint="cs"/>
          <w:sz w:val="16"/>
          <w:szCs w:val="16"/>
          <w:rtl/>
        </w:rPr>
        <w:t>"</w:t>
      </w:r>
      <w:r>
        <w:rPr>
          <w:sz w:val="16"/>
          <w:szCs w:val="16"/>
          <w:rtl/>
        </w:rPr>
        <w:t>ו</w:t>
      </w:r>
      <w:r w:rsidRPr="004E3C86">
        <w:rPr>
          <w:sz w:val="16"/>
          <w:szCs w:val="16"/>
          <w:rtl/>
        </w:rPr>
        <w:t>)</w:t>
      </w:r>
      <w:r>
        <w:rPr>
          <w:rFonts w:hint="cs"/>
          <w:rtl/>
        </w:rPr>
        <w:t>-</w:t>
      </w:r>
      <w:r>
        <w:rPr>
          <w:rtl/>
        </w:rPr>
        <w:t xml:space="preserve"> נאסרו</w:t>
      </w:r>
      <w:r>
        <w:rPr>
          <w:rFonts w:hint="cs"/>
          <w:rtl/>
        </w:rPr>
        <w:t>,</w:t>
      </w:r>
      <w:r>
        <w:rPr>
          <w:rtl/>
        </w:rPr>
        <w:t xml:space="preserve"> דאנן סבירא לן עירוי ככלי ראשון</w:t>
      </w:r>
      <w:r>
        <w:rPr>
          <w:rFonts w:hint="cs"/>
          <w:rtl/>
        </w:rPr>
        <w:t>. (וכ"פ הש"ך</w:t>
      </w:r>
      <w:r>
        <w:rPr>
          <w:rFonts w:hint="cs"/>
          <w:sz w:val="16"/>
          <w:szCs w:val="16"/>
          <w:rtl/>
        </w:rPr>
        <w:t xml:space="preserve"> [סק"כ]</w:t>
      </w:r>
      <w:r>
        <w:rPr>
          <w:rFonts w:hint="cs"/>
          <w:rtl/>
        </w:rPr>
        <w:t>)</w:t>
      </w:r>
    </w:p>
    <w:p w14:paraId="4E220AFA" w14:textId="77777777" w:rsidR="002C39F4" w:rsidRDefault="002C39F4" w:rsidP="0032102C">
      <w:pPr>
        <w:pStyle w:val="a8"/>
        <w:numPr>
          <w:ilvl w:val="0"/>
          <w:numId w:val="131"/>
        </w:numPr>
      </w:pPr>
      <w:r>
        <w:rPr>
          <w:rtl/>
        </w:rPr>
        <w:t>או</w:t>
      </w:r>
      <w:r>
        <w:rPr>
          <w:rFonts w:hint="cs"/>
          <w:rtl/>
        </w:rPr>
        <w:t>"</w:t>
      </w:r>
      <w:r>
        <w:rPr>
          <w:rtl/>
        </w:rPr>
        <w:t xml:space="preserve">ה </w:t>
      </w:r>
      <w:r w:rsidRPr="004E3C86">
        <w:rPr>
          <w:rFonts w:hint="cs"/>
          <w:sz w:val="16"/>
          <w:szCs w:val="16"/>
          <w:rtl/>
        </w:rPr>
        <w:t>(</w:t>
      </w:r>
      <w:r w:rsidRPr="004E3C86">
        <w:rPr>
          <w:sz w:val="16"/>
          <w:szCs w:val="16"/>
          <w:rtl/>
        </w:rPr>
        <w:t>כלל לד די</w:t>
      </w:r>
      <w:r>
        <w:rPr>
          <w:rFonts w:hint="cs"/>
          <w:sz w:val="16"/>
          <w:szCs w:val="16"/>
          <w:rtl/>
        </w:rPr>
        <w:t>"</w:t>
      </w:r>
      <w:r w:rsidRPr="004E3C86">
        <w:rPr>
          <w:sz w:val="16"/>
          <w:szCs w:val="16"/>
          <w:rtl/>
        </w:rPr>
        <w:t>ח)</w:t>
      </w:r>
      <w:r>
        <w:rPr>
          <w:rFonts w:hint="cs"/>
          <w:rtl/>
        </w:rPr>
        <w:t xml:space="preserve">- </w:t>
      </w:r>
      <w:r>
        <w:rPr>
          <w:rtl/>
        </w:rPr>
        <w:t>אף ע</w:t>
      </w:r>
      <w:r>
        <w:rPr>
          <w:rFonts w:hint="cs"/>
          <w:rtl/>
        </w:rPr>
        <w:t>"</w:t>
      </w:r>
      <w:r>
        <w:rPr>
          <w:rtl/>
        </w:rPr>
        <w:t xml:space="preserve">י עירוי שרי </w:t>
      </w:r>
      <w:r w:rsidRPr="00F51B06">
        <w:rPr>
          <w:rFonts w:hint="cs"/>
          <w:sz w:val="16"/>
          <w:szCs w:val="16"/>
          <w:rtl/>
        </w:rPr>
        <w:t>(</w:t>
      </w:r>
      <w:r w:rsidRPr="00F51B06">
        <w:rPr>
          <w:sz w:val="16"/>
          <w:szCs w:val="16"/>
          <w:rtl/>
        </w:rPr>
        <w:t>דודאי עירוי ככלי שני אלא שאנו מחמירין בו להחשיבו ככלי ראשון ודוקא כדי קליפה כדין תתאה גבר ודוקא קילוח הראשון שיורד מן כלי ראשון</w:t>
      </w:r>
      <w:r w:rsidRPr="00F51B06">
        <w:rPr>
          <w:rFonts w:hint="cs"/>
          <w:sz w:val="16"/>
          <w:szCs w:val="16"/>
          <w:rtl/>
        </w:rPr>
        <w:t>,</w:t>
      </w:r>
      <w:r w:rsidRPr="00F51B06">
        <w:rPr>
          <w:sz w:val="16"/>
          <w:szCs w:val="16"/>
          <w:rtl/>
        </w:rPr>
        <w:t xml:space="preserve"> אבל לאחר שהוריקו על הכלי לומר שפליטת אותם המים יוצא מכלי אחד ויבליע בכלי אחר זה לא אמרינן</w:t>
      </w:r>
      <w:r w:rsidRPr="00F51B06">
        <w:rPr>
          <w:rFonts w:hint="cs"/>
          <w:sz w:val="16"/>
          <w:szCs w:val="16"/>
          <w:rtl/>
        </w:rPr>
        <w:t>,</w:t>
      </w:r>
      <w:r w:rsidRPr="00F51B06">
        <w:rPr>
          <w:sz w:val="16"/>
          <w:szCs w:val="16"/>
          <w:rtl/>
        </w:rPr>
        <w:t xml:space="preserve"> דמיד שנחו המים על הכלי הוי כלי שני ושוב אין מבליע ולא מפליט</w:t>
      </w:r>
      <w:r w:rsidRPr="00F51B06">
        <w:rPr>
          <w:rFonts w:hint="cs"/>
          <w:sz w:val="16"/>
          <w:szCs w:val="16"/>
          <w:rtl/>
        </w:rPr>
        <w:t>,</w:t>
      </w:r>
      <w:r w:rsidRPr="00F51B06">
        <w:rPr>
          <w:sz w:val="16"/>
          <w:szCs w:val="16"/>
          <w:rtl/>
        </w:rPr>
        <w:t xml:space="preserve"> ואין להחמיר אלא בדבר שנהגו עלמא איסור</w:t>
      </w:r>
      <w:r w:rsidRPr="00F51B06">
        <w:rPr>
          <w:rFonts w:hint="cs"/>
          <w:sz w:val="16"/>
          <w:szCs w:val="16"/>
          <w:rtl/>
        </w:rPr>
        <w:t>,</w:t>
      </w:r>
      <w:r w:rsidRPr="00F51B06">
        <w:rPr>
          <w:sz w:val="16"/>
          <w:szCs w:val="16"/>
          <w:rtl/>
        </w:rPr>
        <w:t xml:space="preserve"> ולכן</w:t>
      </w:r>
      <w:r>
        <w:rPr>
          <w:rFonts w:hint="cs"/>
          <w:sz w:val="16"/>
          <w:szCs w:val="16"/>
          <w:rtl/>
        </w:rPr>
        <w:t>-)</w:t>
      </w:r>
      <w:r>
        <w:rPr>
          <w:rtl/>
        </w:rPr>
        <w:t xml:space="preserve"> אפילו כל הכלים מלוכלכים</w:t>
      </w:r>
      <w:r>
        <w:rPr>
          <w:rFonts w:hint="cs"/>
          <w:rtl/>
        </w:rPr>
        <w:t xml:space="preserve"> -</w:t>
      </w:r>
      <w:r>
        <w:rPr>
          <w:rtl/>
        </w:rPr>
        <w:t xml:space="preserve"> בכה</w:t>
      </w:r>
      <w:r>
        <w:rPr>
          <w:rFonts w:hint="cs"/>
          <w:rtl/>
        </w:rPr>
        <w:t>"ג</w:t>
      </w:r>
      <w:r>
        <w:rPr>
          <w:rtl/>
        </w:rPr>
        <w:t xml:space="preserve"> שרי</w:t>
      </w:r>
      <w:r>
        <w:rPr>
          <w:rFonts w:hint="cs"/>
          <w:rtl/>
        </w:rPr>
        <w:t>.</w:t>
      </w:r>
      <w:r w:rsidRPr="00C8557D">
        <w:rPr>
          <w:rFonts w:hint="cs"/>
          <w:color w:val="00B0F0"/>
          <w:rtl/>
        </w:rPr>
        <w:t xml:space="preserve"> (וכ"פ הרמ"א)</w:t>
      </w:r>
    </w:p>
    <w:p w14:paraId="0B0C0266" w14:textId="77777777" w:rsidR="002C39F4" w:rsidRDefault="002C39F4" w:rsidP="0032102C">
      <w:pPr>
        <w:pStyle w:val="a8"/>
        <w:numPr>
          <w:ilvl w:val="0"/>
          <w:numId w:val="131"/>
        </w:numPr>
      </w:pPr>
      <w:r>
        <w:rPr>
          <w:rFonts w:cs="Arial" w:hint="cs"/>
          <w:rtl/>
        </w:rPr>
        <w:t xml:space="preserve">רשב"א </w:t>
      </w:r>
      <w:r w:rsidRPr="007528F1">
        <w:rPr>
          <w:rFonts w:cs="Arial" w:hint="cs"/>
          <w:sz w:val="16"/>
          <w:szCs w:val="16"/>
          <w:rtl/>
        </w:rPr>
        <w:t>(תוה"ק ב"ד ש"</w:t>
      </w:r>
      <w:r>
        <w:rPr>
          <w:rFonts w:cs="Arial" w:hint="cs"/>
          <w:sz w:val="16"/>
          <w:szCs w:val="16"/>
          <w:rtl/>
        </w:rPr>
        <w:t>א</w:t>
      </w:r>
      <w:r w:rsidRPr="007528F1">
        <w:rPr>
          <w:rFonts w:cs="Arial"/>
          <w:sz w:val="16"/>
          <w:szCs w:val="16"/>
          <w:rtl/>
        </w:rPr>
        <w:t>)</w:t>
      </w:r>
      <w:r>
        <w:rPr>
          <w:rFonts w:cs="Arial" w:hint="cs"/>
          <w:rtl/>
        </w:rPr>
        <w:t xml:space="preserve">- </w:t>
      </w:r>
      <w:r w:rsidRPr="008643A7">
        <w:rPr>
          <w:rFonts w:cs="Arial"/>
          <w:rtl/>
        </w:rPr>
        <w:t>אין הבליעה והפליטה תלוין בבישול, ולפיכך חוששין לכל חום שע"י האש ואפילו אין היד סולדת בו</w:t>
      </w:r>
      <w:r>
        <w:rPr>
          <w:rStyle w:val="a7"/>
          <w:rFonts w:cs="Arial"/>
          <w:rtl/>
        </w:rPr>
        <w:footnoteReference w:id="1632"/>
      </w:r>
      <w:r>
        <w:rPr>
          <w:rFonts w:cs="Arial" w:hint="cs"/>
          <w:rtl/>
        </w:rPr>
        <w:t xml:space="preserve"> </w:t>
      </w:r>
      <w:r w:rsidRPr="008643A7">
        <w:rPr>
          <w:rFonts w:cs="Arial" w:hint="cs"/>
          <w:sz w:val="14"/>
          <w:szCs w:val="14"/>
          <w:rtl/>
        </w:rPr>
        <w:t xml:space="preserve">(עמ' </w:t>
      </w:r>
      <w:r w:rsidRPr="008643A7">
        <w:rPr>
          <w:rFonts w:cs="Arial"/>
          <w:sz w:val="14"/>
          <w:szCs w:val="14"/>
          <w:rtl/>
        </w:rPr>
        <w:t>ב.</w:t>
      </w:r>
      <w:r w:rsidRPr="008643A7">
        <w:rPr>
          <w:rFonts w:cs="Arial" w:hint="cs"/>
          <w:sz w:val="14"/>
          <w:szCs w:val="14"/>
          <w:rtl/>
        </w:rPr>
        <w:t>)</w:t>
      </w:r>
      <w:r>
        <w:rPr>
          <w:rFonts w:cs="Arial" w:hint="cs"/>
          <w:rtl/>
        </w:rPr>
        <w:t>.</w:t>
      </w:r>
      <w:r w:rsidRPr="007528F1">
        <w:rPr>
          <w:rFonts w:cs="Arial"/>
          <w:rtl/>
        </w:rPr>
        <w:t xml:space="preserve"> </w:t>
      </w:r>
      <w:r>
        <w:rPr>
          <w:rFonts w:cs="Arial" w:hint="cs"/>
          <w:rtl/>
        </w:rPr>
        <w:t>(וכ"פ הש"ך</w:t>
      </w:r>
      <w:r>
        <w:rPr>
          <w:rFonts w:cs="Arial" w:hint="cs"/>
          <w:sz w:val="16"/>
          <w:szCs w:val="16"/>
          <w:rtl/>
        </w:rPr>
        <w:t xml:space="preserve"> [סי' קה סק"ה]</w:t>
      </w:r>
      <w:r>
        <w:rPr>
          <w:rFonts w:cs="Arial" w:hint="cs"/>
          <w:rtl/>
        </w:rPr>
        <w:t>)</w:t>
      </w:r>
    </w:p>
    <w:p w14:paraId="66C4B3E8" w14:textId="77777777" w:rsidR="002C39F4" w:rsidRPr="005A65B8" w:rsidRDefault="002C39F4" w:rsidP="002C39F4">
      <w:pPr>
        <w:rPr>
          <w:rFonts w:cs="Arial"/>
          <w:sz w:val="16"/>
          <w:szCs w:val="16"/>
        </w:rPr>
      </w:pPr>
      <w:r w:rsidRPr="00C8557D">
        <w:rPr>
          <w:rFonts w:hint="cs"/>
          <w:u w:val="single"/>
          <w:rtl/>
        </w:rPr>
        <w:t xml:space="preserve">האם יש הבדל בין קערות לכפות </w:t>
      </w:r>
      <w:r w:rsidRPr="00C8557D">
        <w:rPr>
          <w:rFonts w:hint="cs"/>
          <w:sz w:val="16"/>
          <w:szCs w:val="16"/>
          <w:u w:val="single"/>
          <w:rtl/>
        </w:rPr>
        <w:t>(דכפות אין תשמישן אלא בכלי שני)</w:t>
      </w:r>
      <w:r w:rsidRPr="00C8557D">
        <w:rPr>
          <w:rFonts w:hint="cs"/>
          <w:u w:val="single"/>
          <w:rtl/>
        </w:rPr>
        <w:t>:</w:t>
      </w:r>
      <w:r>
        <w:rPr>
          <w:rFonts w:cs="Arial" w:hint="cs"/>
          <w:sz w:val="16"/>
          <w:szCs w:val="16"/>
          <w:rtl/>
        </w:rPr>
        <w:t xml:space="preserve">   (דרכ"מ אות ה)</w:t>
      </w:r>
    </w:p>
    <w:p w14:paraId="2336B59B" w14:textId="77777777" w:rsidR="002C39F4" w:rsidRDefault="002C39F4" w:rsidP="0032102C">
      <w:pPr>
        <w:pStyle w:val="a8"/>
        <w:numPr>
          <w:ilvl w:val="0"/>
          <w:numId w:val="131"/>
        </w:numPr>
      </w:pPr>
      <w:r>
        <w:rPr>
          <w:rtl/>
        </w:rPr>
        <w:t>או"ה</w:t>
      </w:r>
      <w:r w:rsidRPr="004E3C86">
        <w:rPr>
          <w:sz w:val="16"/>
          <w:szCs w:val="16"/>
          <w:rtl/>
        </w:rPr>
        <w:t xml:space="preserve"> </w:t>
      </w:r>
      <w:r w:rsidRPr="004E3C86">
        <w:rPr>
          <w:rFonts w:hint="cs"/>
          <w:sz w:val="16"/>
          <w:szCs w:val="16"/>
          <w:rtl/>
        </w:rPr>
        <w:t>(</w:t>
      </w:r>
      <w:r w:rsidRPr="004E3C86">
        <w:rPr>
          <w:sz w:val="16"/>
          <w:szCs w:val="16"/>
          <w:rtl/>
        </w:rPr>
        <w:t xml:space="preserve">כלל לד </w:t>
      </w:r>
      <w:r>
        <w:rPr>
          <w:sz w:val="16"/>
          <w:szCs w:val="16"/>
          <w:rtl/>
        </w:rPr>
        <w:t>ד</w:t>
      </w:r>
      <w:r>
        <w:rPr>
          <w:rFonts w:hint="cs"/>
          <w:sz w:val="16"/>
          <w:szCs w:val="16"/>
          <w:rtl/>
        </w:rPr>
        <w:t>ט"ו</w:t>
      </w:r>
      <w:r w:rsidRPr="004E3C86">
        <w:rPr>
          <w:sz w:val="16"/>
          <w:szCs w:val="16"/>
          <w:rtl/>
        </w:rPr>
        <w:t>)</w:t>
      </w:r>
      <w:r>
        <w:rPr>
          <w:rFonts w:hint="cs"/>
          <w:rtl/>
        </w:rPr>
        <w:t xml:space="preserve">- </w:t>
      </w:r>
      <w:r>
        <w:rPr>
          <w:rtl/>
        </w:rPr>
        <w:t>אין חילוק בין הדיח קערות עם קערות או כפות עם כפות ולא אמרינן דכפות אין תשמישן אלא בכלי שני ולא בלעי</w:t>
      </w:r>
      <w:r>
        <w:rPr>
          <w:rFonts w:hint="cs"/>
          <w:rtl/>
        </w:rPr>
        <w:t>,</w:t>
      </w:r>
      <w:r>
        <w:rPr>
          <w:rtl/>
        </w:rPr>
        <w:t xml:space="preserve"> דחיישינן דילמא השתמש עלייהו בכלי ראשון</w:t>
      </w:r>
      <w:r>
        <w:rPr>
          <w:rFonts w:hint="cs"/>
          <w:rtl/>
        </w:rPr>
        <w:t>,</w:t>
      </w:r>
      <w:r>
        <w:rPr>
          <w:rtl/>
        </w:rPr>
        <w:t xml:space="preserve"> וכן מה שקורין בל"א טעלר</w:t>
      </w:r>
      <w:r w:rsidRPr="00B41179">
        <w:rPr>
          <w:rFonts w:cs="Arial" w:hint="cs"/>
          <w:rtl/>
        </w:rPr>
        <w:t xml:space="preserve"> ד</w:t>
      </w:r>
      <w:r w:rsidRPr="00B41179">
        <w:rPr>
          <w:rFonts w:cs="Arial"/>
          <w:rtl/>
        </w:rPr>
        <w:t>דרך ליתן עליה לפעמים בשר רותח</w:t>
      </w:r>
      <w:r>
        <w:rPr>
          <w:rFonts w:cs="Arial" w:hint="cs"/>
          <w:rtl/>
        </w:rPr>
        <w:t>,</w:t>
      </w:r>
      <w:r w:rsidRPr="00B41179">
        <w:rPr>
          <w:rFonts w:cs="Arial"/>
          <w:rtl/>
        </w:rPr>
        <w:t xml:space="preserve"> ועוד שמא כל עירוי ועירוי מבליע כדי קליפה</w:t>
      </w:r>
      <w:r>
        <w:rPr>
          <w:rFonts w:cs="Arial" w:hint="cs"/>
          <w:rtl/>
        </w:rPr>
        <w:t>,</w:t>
      </w:r>
      <w:r w:rsidRPr="00B41179">
        <w:rPr>
          <w:rFonts w:cs="Arial"/>
          <w:rtl/>
        </w:rPr>
        <w:t xml:space="preserve"> א"כ ע"י עירות הרבה בלע האיסור בכולו</w:t>
      </w:r>
      <w:r>
        <w:rPr>
          <w:rFonts w:cs="Arial" w:hint="cs"/>
          <w:rtl/>
        </w:rPr>
        <w:t>,</w:t>
      </w:r>
      <w:r w:rsidRPr="00B41179">
        <w:rPr>
          <w:rFonts w:cs="Arial"/>
          <w:rtl/>
        </w:rPr>
        <w:t xml:space="preserve"> כ"ש הכפות שרגילין לתוחבן בכלי ראשון</w:t>
      </w:r>
      <w:r>
        <w:rPr>
          <w:rStyle w:val="a7"/>
          <w:rtl/>
        </w:rPr>
        <w:footnoteReference w:id="1633"/>
      </w:r>
      <w:r>
        <w:rPr>
          <w:rFonts w:hint="cs"/>
          <w:rtl/>
        </w:rPr>
        <w:t>.</w:t>
      </w:r>
    </w:p>
    <w:p w14:paraId="04E1CB7C" w14:textId="77777777" w:rsidR="002C39F4" w:rsidRPr="005A65B8" w:rsidRDefault="002C39F4" w:rsidP="002C39F4">
      <w:pPr>
        <w:rPr>
          <w:u w:val="dotted"/>
          <w:rtl/>
        </w:rPr>
      </w:pPr>
      <w:r>
        <w:rPr>
          <w:rFonts w:cs="Arial"/>
          <w:u w:val="single"/>
          <w:rtl/>
        </w:rPr>
        <w:t>נמצא</w:t>
      </w:r>
      <w:r>
        <w:rPr>
          <w:rFonts w:cs="Arial" w:hint="cs"/>
          <w:u w:val="single"/>
          <w:rtl/>
        </w:rPr>
        <w:t>ה</w:t>
      </w:r>
      <w:r w:rsidRPr="00C8557D">
        <w:rPr>
          <w:rFonts w:cs="Arial"/>
          <w:u w:val="single"/>
          <w:rtl/>
        </w:rPr>
        <w:t xml:space="preserve"> קערה של איסור או של בשר תוך קערות של חלב ולא ידעינן אי הודחה בהן או לא</w:t>
      </w:r>
      <w:r w:rsidRPr="00C8557D">
        <w:rPr>
          <w:rFonts w:hint="cs"/>
          <w:u w:val="single"/>
          <w:rtl/>
        </w:rPr>
        <w:t>:</w:t>
      </w:r>
      <w:r>
        <w:rPr>
          <w:rFonts w:cs="Arial" w:hint="cs"/>
          <w:sz w:val="16"/>
          <w:szCs w:val="16"/>
          <w:rtl/>
        </w:rPr>
        <w:t xml:space="preserve"> </w:t>
      </w:r>
      <w:r w:rsidRPr="00C8557D">
        <w:rPr>
          <w:rFonts w:cs="Arial" w:hint="cs"/>
          <w:sz w:val="16"/>
          <w:szCs w:val="16"/>
          <w:rtl/>
        </w:rPr>
        <w:t>(דרכ"מ אות ה)</w:t>
      </w:r>
    </w:p>
    <w:p w14:paraId="65481528" w14:textId="77777777" w:rsidR="002C39F4" w:rsidRPr="003041AC" w:rsidRDefault="002C39F4" w:rsidP="0032102C">
      <w:pPr>
        <w:pStyle w:val="a8"/>
        <w:numPr>
          <w:ilvl w:val="0"/>
          <w:numId w:val="131"/>
        </w:numPr>
      </w:pPr>
      <w:r>
        <w:rPr>
          <w:rFonts w:cs="Arial" w:hint="cs"/>
          <w:rtl/>
        </w:rPr>
        <w:t>הגשע"ד</w:t>
      </w:r>
      <w:r>
        <w:rPr>
          <w:rFonts w:cs="Arial"/>
          <w:rtl/>
        </w:rPr>
        <w:t xml:space="preserve"> </w:t>
      </w:r>
      <w:r w:rsidRPr="004E3C86">
        <w:rPr>
          <w:sz w:val="16"/>
          <w:szCs w:val="16"/>
          <w:rtl/>
        </w:rPr>
        <w:t>(סי' נז סק</w:t>
      </w:r>
      <w:r w:rsidRPr="004E3C86">
        <w:rPr>
          <w:rFonts w:hint="cs"/>
          <w:sz w:val="16"/>
          <w:szCs w:val="16"/>
          <w:rtl/>
        </w:rPr>
        <w:t>"</w:t>
      </w:r>
      <w:r>
        <w:rPr>
          <w:rFonts w:hint="cs"/>
          <w:sz w:val="16"/>
          <w:szCs w:val="16"/>
          <w:rtl/>
        </w:rPr>
        <w:t>ח)</w:t>
      </w:r>
      <w:r>
        <w:rPr>
          <w:rFonts w:cs="Arial" w:hint="cs"/>
          <w:rtl/>
        </w:rPr>
        <w:t>-</w:t>
      </w:r>
      <w:r>
        <w:rPr>
          <w:rFonts w:cs="Arial"/>
          <w:rtl/>
        </w:rPr>
        <w:t xml:space="preserve"> יש להתירן דלא מחזקינן איסורא דילמא הודח בהן בכלי ראשון</w:t>
      </w:r>
      <w:r>
        <w:rPr>
          <w:rFonts w:cs="Arial" w:hint="cs"/>
          <w:rtl/>
        </w:rPr>
        <w:t>.</w:t>
      </w:r>
      <w:r>
        <w:rPr>
          <w:rFonts w:hint="cs"/>
          <w:rtl/>
        </w:rPr>
        <w:t xml:space="preserve"> </w:t>
      </w:r>
      <w:r w:rsidRPr="00C8557D">
        <w:rPr>
          <w:rFonts w:hint="cs"/>
          <w:color w:val="00B0F0"/>
          <w:rtl/>
        </w:rPr>
        <w:t>(וכ"פ הרמ"א)</w:t>
      </w:r>
    </w:p>
    <w:p w14:paraId="196099D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9F9AB30" w14:textId="77777777" w:rsidR="002C39F4" w:rsidRDefault="002C39F4" w:rsidP="002C39F4">
      <w:pPr>
        <w:rPr>
          <w:rFonts w:asciiTheme="minorBidi" w:hAnsiTheme="minorBidi"/>
          <w:rtl/>
        </w:rPr>
      </w:pPr>
      <w:r w:rsidRPr="003024E5">
        <w:rPr>
          <w:rFonts w:asciiTheme="minorBidi" w:hAnsiTheme="minorBidi"/>
          <w:rtl/>
        </w:rPr>
        <w:t>קערות של בשר שהודחו ב</w:t>
      </w:r>
      <w:r>
        <w:rPr>
          <w:rFonts w:asciiTheme="minorBidi" w:hAnsiTheme="minorBidi"/>
          <w:rtl/>
        </w:rPr>
        <w:t>יורה חולבת בחמין שהיד סולדת בהן אפילו שניהם בני יומן מותר</w:t>
      </w:r>
      <w:r>
        <w:rPr>
          <w:rStyle w:val="a7"/>
          <w:rFonts w:asciiTheme="minorBidi" w:hAnsiTheme="minorBidi"/>
          <w:rtl/>
        </w:rPr>
        <w:footnoteReference w:id="1634"/>
      </w:r>
      <w:r w:rsidRPr="003024E5">
        <w:rPr>
          <w:rFonts w:asciiTheme="minorBidi" w:hAnsiTheme="minorBidi"/>
          <w:rtl/>
        </w:rPr>
        <w:t xml:space="preserve"> משום דהוה </w:t>
      </w:r>
      <w:r>
        <w:rPr>
          <w:rFonts w:asciiTheme="minorBidi" w:hAnsiTheme="minorBidi"/>
          <w:rtl/>
        </w:rPr>
        <w:t>ליה נותן טעם בר נותן טעם דהתירא</w:t>
      </w:r>
      <w:r>
        <w:rPr>
          <w:rFonts w:asciiTheme="minorBidi" w:hAnsiTheme="minorBidi" w:hint="cs"/>
          <w:rtl/>
        </w:rPr>
        <w:t>,</w:t>
      </w:r>
      <w:r w:rsidRPr="003024E5">
        <w:rPr>
          <w:rFonts w:asciiTheme="minorBidi" w:hAnsiTheme="minorBidi"/>
          <w:rtl/>
        </w:rPr>
        <w:t xml:space="preserve"> והוא שיאמר ב</w:t>
      </w:r>
      <w:r>
        <w:rPr>
          <w:rFonts w:asciiTheme="minorBidi" w:hAnsiTheme="minorBidi"/>
          <w:rtl/>
        </w:rPr>
        <w:t>רי לי שלא היה שום שומן דבוק בהן</w:t>
      </w:r>
      <w:r>
        <w:rPr>
          <w:rStyle w:val="a7"/>
          <w:rFonts w:asciiTheme="minorBidi" w:hAnsiTheme="minorBidi"/>
          <w:rtl/>
        </w:rPr>
        <w:footnoteReference w:id="1635"/>
      </w:r>
      <w:r>
        <w:rPr>
          <w:rFonts w:asciiTheme="minorBidi" w:hAnsiTheme="minorBidi" w:hint="cs"/>
          <w:rtl/>
        </w:rPr>
        <w:t>,</w:t>
      </w:r>
      <w:r>
        <w:rPr>
          <w:rFonts w:asciiTheme="minorBidi" w:hAnsiTheme="minorBidi"/>
          <w:rtl/>
        </w:rPr>
        <w:t xml:space="preserve"> ואם היה שומן דבוק בהן</w:t>
      </w:r>
      <w:r>
        <w:rPr>
          <w:rStyle w:val="a7"/>
          <w:rFonts w:asciiTheme="minorBidi" w:hAnsiTheme="minorBidi"/>
          <w:rtl/>
        </w:rPr>
        <w:footnoteReference w:id="1636"/>
      </w:r>
      <w:r>
        <w:rPr>
          <w:rFonts w:asciiTheme="minorBidi" w:hAnsiTheme="minorBidi"/>
          <w:rtl/>
        </w:rPr>
        <w:t xml:space="preserve"> צריך שיהא במים </w:t>
      </w:r>
      <w:r>
        <w:rPr>
          <w:rFonts w:asciiTheme="minorBidi" w:hAnsiTheme="minorBidi" w:hint="cs"/>
          <w:rtl/>
        </w:rPr>
        <w:t>ששים</w:t>
      </w:r>
      <w:r w:rsidRPr="003024E5">
        <w:rPr>
          <w:rFonts w:asciiTheme="minorBidi" w:hAnsiTheme="minorBidi"/>
          <w:rtl/>
        </w:rPr>
        <w:t xml:space="preserve"> כנגד ממשות שומן שעל פי הקערה. </w:t>
      </w:r>
      <w:r w:rsidRPr="00583F86">
        <w:rPr>
          <w:rFonts w:asciiTheme="minorBidi" w:hAnsiTheme="minorBidi"/>
          <w:sz w:val="18"/>
          <w:szCs w:val="18"/>
          <w:rtl/>
        </w:rPr>
        <w:t>הגה: ויש אוסרים אפילו אין שומן דבוק בהן</w:t>
      </w:r>
      <w:r>
        <w:rPr>
          <w:rFonts w:asciiTheme="minorBidi" w:hAnsiTheme="minorBidi"/>
          <w:sz w:val="18"/>
          <w:szCs w:val="18"/>
          <w:rtl/>
        </w:rPr>
        <w:t>, א</w:t>
      </w:r>
      <w:r w:rsidRPr="00583F86">
        <w:rPr>
          <w:rFonts w:asciiTheme="minorBidi" w:hAnsiTheme="minorBidi"/>
          <w:sz w:val="18"/>
          <w:szCs w:val="18"/>
          <w:rtl/>
        </w:rPr>
        <w:t>א"כ אחד מן הכלים אינן</w:t>
      </w:r>
      <w:r>
        <w:rPr>
          <w:rFonts w:asciiTheme="minorBidi" w:hAnsiTheme="minorBidi"/>
          <w:sz w:val="18"/>
          <w:szCs w:val="18"/>
          <w:rtl/>
        </w:rPr>
        <w:t xml:space="preserve"> בני יומן מבליעת כלי ראשון ואז</w:t>
      </w:r>
      <w:r w:rsidRPr="00583F86">
        <w:rPr>
          <w:rFonts w:asciiTheme="minorBidi" w:hAnsiTheme="minorBidi"/>
          <w:sz w:val="18"/>
          <w:szCs w:val="18"/>
          <w:rtl/>
        </w:rPr>
        <w:t xml:space="preserve"> כל הכלים מותרי</w:t>
      </w:r>
      <w:r>
        <w:rPr>
          <w:rFonts w:asciiTheme="minorBidi" w:hAnsiTheme="minorBidi"/>
          <w:sz w:val="18"/>
          <w:szCs w:val="18"/>
          <w:rtl/>
        </w:rPr>
        <w:t>ם</w:t>
      </w:r>
      <w:r>
        <w:rPr>
          <w:rStyle w:val="a7"/>
          <w:rFonts w:asciiTheme="minorBidi" w:hAnsiTheme="minorBidi"/>
          <w:sz w:val="18"/>
          <w:szCs w:val="18"/>
          <w:rtl/>
        </w:rPr>
        <w:footnoteReference w:id="1637"/>
      </w:r>
      <w:r>
        <w:rPr>
          <w:rFonts w:asciiTheme="minorBidi" w:hAnsiTheme="minorBidi" w:hint="cs"/>
          <w:sz w:val="16"/>
          <w:szCs w:val="16"/>
          <w:rtl/>
        </w:rPr>
        <w:t xml:space="preserve"> </w:t>
      </w:r>
      <w:r w:rsidRPr="006833F0">
        <w:rPr>
          <w:rFonts w:asciiTheme="minorBidi" w:hAnsiTheme="minorBidi"/>
          <w:sz w:val="16"/>
          <w:szCs w:val="16"/>
          <w:rtl/>
        </w:rPr>
        <w:t>(טור בשם סה"ת וסמ"ג וסמ"ק וש</w:t>
      </w:r>
      <w:r w:rsidRPr="006833F0">
        <w:rPr>
          <w:rFonts w:asciiTheme="minorBidi" w:hAnsiTheme="minorBidi" w:hint="cs"/>
          <w:sz w:val="16"/>
          <w:szCs w:val="16"/>
          <w:rtl/>
        </w:rPr>
        <w:t>ע</w:t>
      </w:r>
      <w:r w:rsidRPr="006833F0">
        <w:rPr>
          <w:rFonts w:asciiTheme="minorBidi" w:hAnsiTheme="minorBidi"/>
          <w:sz w:val="16"/>
          <w:szCs w:val="16"/>
          <w:rtl/>
        </w:rPr>
        <w:t>"ד והר"ף ותוס' ומרדכי ור"ן והג</w:t>
      </w:r>
      <w:r w:rsidRPr="006833F0">
        <w:rPr>
          <w:rFonts w:asciiTheme="minorBidi" w:hAnsiTheme="minorBidi" w:hint="cs"/>
          <w:sz w:val="16"/>
          <w:szCs w:val="16"/>
          <w:rtl/>
        </w:rPr>
        <w:t>ה"</w:t>
      </w:r>
      <w:r w:rsidRPr="006833F0">
        <w:rPr>
          <w:rFonts w:asciiTheme="minorBidi" w:hAnsiTheme="minorBidi"/>
          <w:sz w:val="16"/>
          <w:szCs w:val="16"/>
          <w:rtl/>
        </w:rPr>
        <w:t>מ ופסקי מהרא"י ואו"ה)</w:t>
      </w:r>
      <w:r>
        <w:rPr>
          <w:rFonts w:asciiTheme="minorBidi" w:hAnsiTheme="minorBidi" w:hint="cs"/>
          <w:sz w:val="18"/>
          <w:szCs w:val="18"/>
          <w:rtl/>
        </w:rPr>
        <w:t>,</w:t>
      </w:r>
      <w:r>
        <w:rPr>
          <w:rFonts w:asciiTheme="minorBidi" w:hAnsiTheme="minorBidi"/>
          <w:sz w:val="18"/>
          <w:szCs w:val="18"/>
          <w:rtl/>
        </w:rPr>
        <w:t xml:space="preserve"> והמים נוהגין בהן איסור לכתחלה</w:t>
      </w:r>
      <w:r>
        <w:rPr>
          <w:rStyle w:val="a7"/>
          <w:rFonts w:asciiTheme="minorBidi" w:hAnsiTheme="minorBidi"/>
          <w:sz w:val="18"/>
          <w:szCs w:val="18"/>
          <w:rtl/>
        </w:rPr>
        <w:footnoteReference w:id="1638"/>
      </w:r>
      <w:r>
        <w:rPr>
          <w:rFonts w:asciiTheme="minorBidi" w:hAnsiTheme="minorBidi" w:hint="cs"/>
          <w:sz w:val="18"/>
          <w:szCs w:val="18"/>
          <w:rtl/>
        </w:rPr>
        <w:t>,</w:t>
      </w:r>
      <w:r>
        <w:rPr>
          <w:rFonts w:asciiTheme="minorBidi" w:hAnsiTheme="minorBidi"/>
          <w:sz w:val="18"/>
          <w:szCs w:val="18"/>
          <w:rtl/>
        </w:rPr>
        <w:t xml:space="preserve"> אבל אם שניהם בני יומן</w:t>
      </w:r>
      <w:r>
        <w:rPr>
          <w:rStyle w:val="a7"/>
          <w:rFonts w:asciiTheme="minorBidi" w:hAnsiTheme="minorBidi"/>
          <w:sz w:val="18"/>
          <w:szCs w:val="18"/>
          <w:rtl/>
        </w:rPr>
        <w:footnoteReference w:id="1639"/>
      </w:r>
      <w:r>
        <w:rPr>
          <w:rFonts w:asciiTheme="minorBidi" w:hAnsiTheme="minorBidi"/>
          <w:sz w:val="18"/>
          <w:szCs w:val="18"/>
          <w:rtl/>
        </w:rPr>
        <w:t xml:space="preserve"> והדיח אותן ביחד בכלי ראשון</w:t>
      </w:r>
      <w:r w:rsidRPr="00583F86">
        <w:rPr>
          <w:rFonts w:asciiTheme="minorBidi" w:hAnsiTheme="minorBidi"/>
          <w:sz w:val="18"/>
          <w:szCs w:val="18"/>
          <w:rtl/>
        </w:rPr>
        <w:t xml:space="preserve"> ה</w:t>
      </w:r>
      <w:r>
        <w:rPr>
          <w:rFonts w:asciiTheme="minorBidi" w:hAnsiTheme="minorBidi"/>
          <w:sz w:val="18"/>
          <w:szCs w:val="18"/>
          <w:rtl/>
        </w:rPr>
        <w:t>כל אסור</w:t>
      </w:r>
      <w:r>
        <w:rPr>
          <w:rFonts w:asciiTheme="minorBidi" w:hAnsiTheme="minorBidi" w:hint="cs"/>
          <w:sz w:val="18"/>
          <w:szCs w:val="18"/>
          <w:rtl/>
        </w:rPr>
        <w:t>,</w:t>
      </w:r>
      <w:r>
        <w:rPr>
          <w:rFonts w:asciiTheme="minorBidi" w:hAnsiTheme="minorBidi"/>
          <w:sz w:val="18"/>
          <w:szCs w:val="18"/>
          <w:rtl/>
        </w:rPr>
        <w:t xml:space="preserve"> והכי נוהגין</w:t>
      </w:r>
      <w:r w:rsidRPr="00583F86">
        <w:rPr>
          <w:rFonts w:asciiTheme="minorBidi" w:hAnsiTheme="minorBidi"/>
          <w:sz w:val="18"/>
          <w:szCs w:val="18"/>
          <w:rtl/>
        </w:rPr>
        <w:t xml:space="preserve"> ואין לשנות. ודוקא שהודחו ביחד ובכל</w:t>
      </w:r>
      <w:r>
        <w:rPr>
          <w:rFonts w:asciiTheme="minorBidi" w:hAnsiTheme="minorBidi"/>
          <w:sz w:val="18"/>
          <w:szCs w:val="18"/>
          <w:rtl/>
        </w:rPr>
        <w:t>י ראשון, אבל אם הודחו זה אחר זה</w:t>
      </w:r>
      <w:r>
        <w:rPr>
          <w:rStyle w:val="a7"/>
          <w:rFonts w:asciiTheme="minorBidi" w:hAnsiTheme="minorBidi"/>
          <w:sz w:val="18"/>
          <w:szCs w:val="18"/>
          <w:rtl/>
        </w:rPr>
        <w:footnoteReference w:id="1640"/>
      </w:r>
      <w:r>
        <w:rPr>
          <w:rFonts w:asciiTheme="minorBidi" w:hAnsiTheme="minorBidi"/>
          <w:sz w:val="18"/>
          <w:szCs w:val="18"/>
          <w:rtl/>
        </w:rPr>
        <w:t xml:space="preserve"> או בכלי שני אפילו ביחד</w:t>
      </w:r>
      <w:r w:rsidRPr="00583F86">
        <w:rPr>
          <w:rFonts w:asciiTheme="minorBidi" w:hAnsiTheme="minorBidi"/>
          <w:sz w:val="18"/>
          <w:szCs w:val="18"/>
          <w:rtl/>
        </w:rPr>
        <w:t xml:space="preserve"> הכל שרי</w:t>
      </w:r>
      <w:r>
        <w:rPr>
          <w:rStyle w:val="a7"/>
          <w:rFonts w:asciiTheme="minorBidi" w:hAnsiTheme="minorBidi"/>
          <w:sz w:val="18"/>
          <w:szCs w:val="18"/>
          <w:rtl/>
        </w:rPr>
        <w:footnoteReference w:id="1641"/>
      </w:r>
      <w:r w:rsidRPr="00583F86">
        <w:rPr>
          <w:rFonts w:asciiTheme="minorBidi" w:hAnsiTheme="minorBidi"/>
          <w:sz w:val="18"/>
          <w:szCs w:val="18"/>
          <w:rtl/>
        </w:rPr>
        <w:t xml:space="preserve"> </w:t>
      </w:r>
      <w:r w:rsidRPr="006833F0">
        <w:rPr>
          <w:rFonts w:asciiTheme="minorBidi" w:hAnsiTheme="minorBidi"/>
          <w:sz w:val="16"/>
          <w:szCs w:val="16"/>
          <w:rtl/>
        </w:rPr>
        <w:t>(בארוך כלל ל"ד)</w:t>
      </w:r>
      <w:r w:rsidRPr="00583F86">
        <w:rPr>
          <w:rFonts w:asciiTheme="minorBidi" w:hAnsiTheme="minorBidi"/>
          <w:sz w:val="18"/>
          <w:szCs w:val="18"/>
          <w:rtl/>
        </w:rPr>
        <w:t>. ואם עי</w:t>
      </w:r>
      <w:r>
        <w:rPr>
          <w:rFonts w:asciiTheme="minorBidi" w:hAnsiTheme="minorBidi"/>
          <w:sz w:val="18"/>
          <w:szCs w:val="18"/>
          <w:rtl/>
        </w:rPr>
        <w:t>רה מכלי ראשון של בשר על כלי חלב</w:t>
      </w:r>
      <w:r w:rsidRPr="00583F86">
        <w:rPr>
          <w:rFonts w:asciiTheme="minorBidi" w:hAnsiTheme="minorBidi"/>
          <w:sz w:val="18"/>
          <w:szCs w:val="18"/>
          <w:rtl/>
        </w:rPr>
        <w:t xml:space="preserve"> דינו </w:t>
      </w:r>
      <w:r>
        <w:rPr>
          <w:rFonts w:asciiTheme="minorBidi" w:hAnsiTheme="minorBidi"/>
          <w:sz w:val="18"/>
          <w:szCs w:val="18"/>
          <w:rtl/>
        </w:rPr>
        <w:t>ככלי ראשון</w:t>
      </w:r>
      <w:r>
        <w:rPr>
          <w:rStyle w:val="a7"/>
          <w:rFonts w:asciiTheme="minorBidi" w:hAnsiTheme="minorBidi"/>
          <w:sz w:val="18"/>
          <w:szCs w:val="18"/>
          <w:rtl/>
        </w:rPr>
        <w:footnoteReference w:id="1642"/>
      </w:r>
      <w:r>
        <w:rPr>
          <w:rFonts w:asciiTheme="minorBidi" w:hAnsiTheme="minorBidi"/>
          <w:sz w:val="18"/>
          <w:szCs w:val="18"/>
          <w:rtl/>
        </w:rPr>
        <w:t xml:space="preserve"> ואוסר אם היה בן יומו</w:t>
      </w:r>
      <w:r>
        <w:rPr>
          <w:rStyle w:val="a7"/>
          <w:rFonts w:asciiTheme="minorBidi" w:hAnsiTheme="minorBidi"/>
          <w:sz w:val="18"/>
          <w:szCs w:val="18"/>
          <w:rtl/>
        </w:rPr>
        <w:footnoteReference w:id="1643"/>
      </w:r>
      <w:r>
        <w:rPr>
          <w:rFonts w:asciiTheme="minorBidi" w:hAnsiTheme="minorBidi" w:hint="cs"/>
          <w:sz w:val="18"/>
          <w:szCs w:val="18"/>
          <w:rtl/>
        </w:rPr>
        <w:t>,</w:t>
      </w:r>
      <w:r w:rsidRPr="00583F86">
        <w:rPr>
          <w:rFonts w:asciiTheme="minorBidi" w:hAnsiTheme="minorBidi"/>
          <w:sz w:val="18"/>
          <w:szCs w:val="18"/>
          <w:rtl/>
        </w:rPr>
        <w:t xml:space="preserve"> אבל אם עירה מים רותחים שאינן של בשר ולא של </w:t>
      </w:r>
      <w:r>
        <w:rPr>
          <w:rFonts w:asciiTheme="minorBidi" w:hAnsiTheme="minorBidi"/>
          <w:sz w:val="18"/>
          <w:szCs w:val="18"/>
          <w:rtl/>
        </w:rPr>
        <w:t>חלב</w:t>
      </w:r>
      <w:r>
        <w:rPr>
          <w:rStyle w:val="a7"/>
          <w:rFonts w:asciiTheme="minorBidi" w:hAnsiTheme="minorBidi"/>
          <w:sz w:val="18"/>
          <w:szCs w:val="18"/>
          <w:rtl/>
        </w:rPr>
        <w:footnoteReference w:id="1644"/>
      </w:r>
      <w:r>
        <w:rPr>
          <w:rFonts w:asciiTheme="minorBidi" w:hAnsiTheme="minorBidi"/>
          <w:sz w:val="18"/>
          <w:szCs w:val="18"/>
          <w:rtl/>
        </w:rPr>
        <w:t xml:space="preserve"> על כלים של בשר ושל חלב ביחד ואפילו שומן דבוק בהם הכל שרי</w:t>
      </w:r>
      <w:r>
        <w:rPr>
          <w:rFonts w:asciiTheme="minorBidi" w:hAnsiTheme="minorBidi" w:hint="cs"/>
          <w:sz w:val="18"/>
          <w:szCs w:val="18"/>
          <w:rtl/>
        </w:rPr>
        <w:t>,</w:t>
      </w:r>
      <w:r w:rsidRPr="00583F86">
        <w:rPr>
          <w:rFonts w:asciiTheme="minorBidi" w:hAnsiTheme="minorBidi"/>
          <w:sz w:val="18"/>
          <w:szCs w:val="18"/>
          <w:rtl/>
        </w:rPr>
        <w:t xml:space="preserve"> דאין עירוי ככלי ראש</w:t>
      </w:r>
      <w:r>
        <w:rPr>
          <w:rFonts w:asciiTheme="minorBidi" w:hAnsiTheme="minorBidi"/>
          <w:sz w:val="18"/>
          <w:szCs w:val="18"/>
          <w:rtl/>
        </w:rPr>
        <w:t>ון ממש</w:t>
      </w:r>
      <w:r>
        <w:rPr>
          <w:rStyle w:val="a7"/>
          <w:rFonts w:asciiTheme="minorBidi" w:hAnsiTheme="minorBidi"/>
          <w:sz w:val="18"/>
          <w:szCs w:val="18"/>
          <w:rtl/>
        </w:rPr>
        <w:footnoteReference w:id="1645"/>
      </w:r>
      <w:r>
        <w:rPr>
          <w:rFonts w:asciiTheme="minorBidi" w:hAnsiTheme="minorBidi"/>
          <w:sz w:val="18"/>
          <w:szCs w:val="18"/>
          <w:rtl/>
        </w:rPr>
        <w:t xml:space="preserve"> שיעשה שהכלים שמערה עליהם</w:t>
      </w:r>
      <w:r w:rsidRPr="00583F86">
        <w:rPr>
          <w:rFonts w:asciiTheme="minorBidi" w:hAnsiTheme="minorBidi"/>
          <w:sz w:val="18"/>
          <w:szCs w:val="18"/>
          <w:rtl/>
        </w:rPr>
        <w:t xml:space="preserve"> יבלעו זה מזה</w:t>
      </w:r>
      <w:r>
        <w:rPr>
          <w:rStyle w:val="a7"/>
          <w:rFonts w:asciiTheme="minorBidi" w:hAnsiTheme="minorBidi"/>
          <w:sz w:val="18"/>
          <w:szCs w:val="18"/>
          <w:rtl/>
        </w:rPr>
        <w:footnoteReference w:id="1646"/>
      </w:r>
      <w:r w:rsidRPr="00583F86">
        <w:rPr>
          <w:rFonts w:asciiTheme="minorBidi" w:hAnsiTheme="minorBidi"/>
          <w:sz w:val="18"/>
          <w:szCs w:val="18"/>
          <w:rtl/>
        </w:rPr>
        <w:t xml:space="preserve"> </w:t>
      </w:r>
      <w:r w:rsidRPr="006833F0">
        <w:rPr>
          <w:rFonts w:asciiTheme="minorBidi" w:hAnsiTheme="minorBidi"/>
          <w:sz w:val="16"/>
          <w:szCs w:val="16"/>
          <w:rtl/>
        </w:rPr>
        <w:t>(שם)</w:t>
      </w:r>
      <w:r w:rsidRPr="00583F86">
        <w:rPr>
          <w:rFonts w:asciiTheme="minorBidi" w:hAnsiTheme="minorBidi"/>
          <w:sz w:val="18"/>
          <w:szCs w:val="18"/>
          <w:rtl/>
        </w:rPr>
        <w:t xml:space="preserve">. </w:t>
      </w:r>
      <w:r>
        <w:rPr>
          <w:rFonts w:asciiTheme="minorBidi" w:hAnsiTheme="minorBidi"/>
          <w:sz w:val="18"/>
          <w:szCs w:val="18"/>
          <w:rtl/>
        </w:rPr>
        <w:t>ואם נמצא קערה חולבת בין כלי בשר</w:t>
      </w:r>
      <w:r w:rsidRPr="00583F86">
        <w:rPr>
          <w:rFonts w:asciiTheme="minorBidi" w:hAnsiTheme="minorBidi"/>
          <w:sz w:val="18"/>
          <w:szCs w:val="18"/>
          <w:rtl/>
        </w:rPr>
        <w:t xml:space="preserve"> לא חיישינן שמא</w:t>
      </w:r>
      <w:r>
        <w:rPr>
          <w:rFonts w:asciiTheme="minorBidi" w:hAnsiTheme="minorBidi"/>
          <w:sz w:val="18"/>
          <w:szCs w:val="18"/>
          <w:rtl/>
        </w:rPr>
        <w:t xml:space="preserve"> הודחו ביחד בדרך שנאסרים</w:t>
      </w:r>
      <w:r>
        <w:rPr>
          <w:rStyle w:val="a7"/>
          <w:rFonts w:asciiTheme="minorBidi" w:hAnsiTheme="minorBidi"/>
          <w:sz w:val="18"/>
          <w:szCs w:val="18"/>
          <w:rtl/>
        </w:rPr>
        <w:footnoteReference w:id="1647"/>
      </w:r>
      <w:r>
        <w:rPr>
          <w:rFonts w:asciiTheme="minorBidi" w:hAnsiTheme="minorBidi"/>
          <w:sz w:val="18"/>
          <w:szCs w:val="18"/>
          <w:rtl/>
        </w:rPr>
        <w:t xml:space="preserve"> </w:t>
      </w:r>
      <w:r w:rsidRPr="006833F0">
        <w:rPr>
          <w:rFonts w:asciiTheme="minorBidi" w:hAnsiTheme="minorBidi"/>
          <w:sz w:val="16"/>
          <w:szCs w:val="16"/>
          <w:rtl/>
        </w:rPr>
        <w:t>(הגש</w:t>
      </w:r>
      <w:r w:rsidRPr="006833F0">
        <w:rPr>
          <w:rFonts w:asciiTheme="minorBidi" w:hAnsiTheme="minorBidi" w:hint="cs"/>
          <w:sz w:val="16"/>
          <w:szCs w:val="16"/>
          <w:rtl/>
        </w:rPr>
        <w:t>ע</w:t>
      </w:r>
      <w:r w:rsidRPr="006833F0">
        <w:rPr>
          <w:rFonts w:asciiTheme="minorBidi" w:hAnsiTheme="minorBidi"/>
          <w:sz w:val="16"/>
          <w:szCs w:val="16"/>
          <w:rtl/>
        </w:rPr>
        <w:t>"ד ואו"ה)</w:t>
      </w:r>
      <w:r w:rsidRPr="00583F86">
        <w:rPr>
          <w:rFonts w:asciiTheme="minorBidi" w:hAnsiTheme="minorBidi"/>
          <w:sz w:val="18"/>
          <w:szCs w:val="18"/>
          <w:rtl/>
        </w:rPr>
        <w:t>.</w:t>
      </w:r>
      <w:r w:rsidRPr="003024E5">
        <w:rPr>
          <w:rFonts w:asciiTheme="minorBidi" w:hAnsiTheme="minorBidi"/>
          <w:rtl/>
        </w:rPr>
        <w:t xml:space="preserve"> </w:t>
      </w:r>
    </w:p>
    <w:p w14:paraId="6A29161E" w14:textId="77777777" w:rsidR="002C39F4" w:rsidRPr="003024E5" w:rsidRDefault="002C39F4" w:rsidP="002C39F4">
      <w:pPr>
        <w:rPr>
          <w:rFonts w:asciiTheme="minorBidi" w:hAnsiTheme="minorBidi"/>
          <w:rtl/>
        </w:rPr>
      </w:pPr>
    </w:p>
    <w:p w14:paraId="45427A41" w14:textId="77777777" w:rsidR="002C39F4" w:rsidRPr="001429D2"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נתינת טעם לפגם על ידי אפר.</w:t>
      </w:r>
    </w:p>
    <w:p w14:paraId="2258E50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7574071" w14:textId="77777777" w:rsidR="002C39F4" w:rsidRDefault="002C39F4" w:rsidP="002C39F4">
      <w:pPr>
        <w:rPr>
          <w:rFonts w:asciiTheme="minorBidi" w:hAnsiTheme="minorBidi"/>
          <w:rtl/>
        </w:rPr>
      </w:pPr>
      <w:r w:rsidRPr="003024E5">
        <w:rPr>
          <w:rFonts w:asciiTheme="minorBidi" w:hAnsiTheme="minorBidi"/>
          <w:rtl/>
        </w:rPr>
        <w:t>יראה לי שאם נתנו אפר במים חמין ש</w:t>
      </w:r>
      <w:r>
        <w:rPr>
          <w:rFonts w:asciiTheme="minorBidi" w:hAnsiTheme="minorBidi"/>
          <w:rtl/>
        </w:rPr>
        <w:t>ביורה קודם שהניחו הקדירות בתוכה אף על פי שהשומן דבוק בהן מותר</w:t>
      </w:r>
      <w:r w:rsidRPr="003024E5">
        <w:rPr>
          <w:rFonts w:asciiTheme="minorBidi" w:hAnsiTheme="minorBidi"/>
          <w:rtl/>
        </w:rPr>
        <w:t xml:space="preserve"> דעל ידי האפר הוא נותן טעם לפגם. </w:t>
      </w:r>
    </w:p>
    <w:p w14:paraId="79501566" w14:textId="77777777" w:rsidR="002C39F4" w:rsidRPr="001429D2" w:rsidRDefault="002C39F4" w:rsidP="002C39F4">
      <w:pPr>
        <w:rPr>
          <w:rFonts w:asciiTheme="minorBidi" w:hAnsiTheme="minorBidi"/>
          <w:u w:val="single"/>
          <w:rtl/>
        </w:rPr>
      </w:pPr>
      <w:r w:rsidRPr="001429D2">
        <w:rPr>
          <w:rFonts w:asciiTheme="minorBidi" w:hAnsiTheme="minorBidi" w:hint="cs"/>
          <w:u w:val="single"/>
          <w:rtl/>
        </w:rPr>
        <w:t>בדין זה נחלקו האחרונים</w:t>
      </w:r>
      <w:r>
        <w:rPr>
          <w:rFonts w:asciiTheme="minorBidi" w:hAnsiTheme="minorBidi" w:hint="cs"/>
          <w:u w:val="single"/>
          <w:rtl/>
        </w:rPr>
        <w:t>,</w:t>
      </w:r>
      <w:r w:rsidRPr="001429D2">
        <w:rPr>
          <w:rFonts w:asciiTheme="minorBidi" w:hAnsiTheme="minorBidi" w:hint="cs"/>
          <w:u w:val="single"/>
          <w:rtl/>
        </w:rPr>
        <w:t xml:space="preserve"> ואביא את הדעות השונות:</w:t>
      </w:r>
    </w:p>
    <w:p w14:paraId="1051EEE8" w14:textId="77777777" w:rsidR="002C39F4" w:rsidRPr="000230CE" w:rsidRDefault="002C39F4" w:rsidP="0032102C">
      <w:pPr>
        <w:pStyle w:val="a8"/>
        <w:numPr>
          <w:ilvl w:val="0"/>
          <w:numId w:val="131"/>
        </w:numPr>
        <w:rPr>
          <w:rFonts w:asciiTheme="minorBidi" w:hAnsiTheme="minorBidi"/>
        </w:rPr>
      </w:pPr>
      <w:r>
        <w:rPr>
          <w:rFonts w:asciiTheme="minorBidi" w:hAnsiTheme="minorBidi" w:hint="cs"/>
          <w:rtl/>
        </w:rPr>
        <w:t xml:space="preserve">ש"ך </w:t>
      </w:r>
      <w:r w:rsidRPr="00C54DD5">
        <w:rPr>
          <w:rFonts w:asciiTheme="minorBidi" w:hAnsiTheme="minorBidi" w:hint="cs"/>
          <w:sz w:val="16"/>
          <w:szCs w:val="16"/>
          <w:rtl/>
        </w:rPr>
        <w:t>(סקכ"א</w:t>
      </w:r>
      <w:r>
        <w:rPr>
          <w:rFonts w:asciiTheme="minorBidi" w:hAnsiTheme="minorBidi" w:hint="cs"/>
          <w:sz w:val="16"/>
          <w:szCs w:val="16"/>
          <w:rtl/>
        </w:rPr>
        <w:t xml:space="preserve"> ובנה"כ</w:t>
      </w:r>
      <w:r w:rsidRPr="00C54DD5">
        <w:rPr>
          <w:rFonts w:asciiTheme="minorBidi" w:hAnsiTheme="minorBidi" w:hint="cs"/>
          <w:sz w:val="16"/>
          <w:szCs w:val="16"/>
          <w:rtl/>
        </w:rPr>
        <w:t>)</w:t>
      </w:r>
      <w:r>
        <w:rPr>
          <w:rFonts w:asciiTheme="minorBidi" w:hAnsiTheme="minorBidi" w:hint="cs"/>
          <w:rtl/>
        </w:rPr>
        <w:t xml:space="preserve">- </w:t>
      </w:r>
      <w:r w:rsidRPr="001429D2">
        <w:rPr>
          <w:rFonts w:asciiTheme="minorBidi" w:hAnsiTheme="minorBidi" w:cs="Arial"/>
          <w:rtl/>
        </w:rPr>
        <w:t>דין זה לא נמצא בשום פוסק ולא שום א' מהאחרונים הזכירוהו גם בב"י לא הזכירו ואדרבה משמע מדברי הפוסקים דאין שום תקנה להגעיל כלי בן יומו אם לא שיש במים ס' נגד הכל</w:t>
      </w:r>
      <w:r>
        <w:rPr>
          <w:rFonts w:asciiTheme="minorBidi" w:hAnsiTheme="minorBidi" w:cs="Arial" w:hint="cs"/>
          <w:rtl/>
        </w:rPr>
        <w:t>י</w:t>
      </w:r>
      <w:r>
        <w:rPr>
          <w:rStyle w:val="a7"/>
          <w:rFonts w:asciiTheme="minorBidi" w:hAnsiTheme="minorBidi" w:cs="Arial"/>
          <w:rtl/>
        </w:rPr>
        <w:footnoteReference w:id="1648"/>
      </w:r>
      <w:r>
        <w:rPr>
          <w:rFonts w:asciiTheme="minorBidi" w:hAnsiTheme="minorBidi" w:cs="Arial" w:hint="cs"/>
          <w:rtl/>
        </w:rPr>
        <w:t>...</w:t>
      </w:r>
      <w:r w:rsidRPr="001429D2">
        <w:rPr>
          <w:rFonts w:asciiTheme="minorBidi" w:hAnsiTheme="minorBidi" w:cs="Arial"/>
          <w:rtl/>
        </w:rPr>
        <w:t xml:space="preserve"> </w:t>
      </w:r>
      <w:r>
        <w:rPr>
          <w:rFonts w:asciiTheme="minorBidi" w:hAnsiTheme="minorBidi" w:cs="Arial"/>
          <w:rtl/>
        </w:rPr>
        <w:t>וצ"ע</w:t>
      </w:r>
      <w:r>
        <w:rPr>
          <w:rFonts w:asciiTheme="minorBidi" w:hAnsiTheme="minorBidi" w:cs="Arial" w:hint="cs"/>
          <w:rtl/>
        </w:rPr>
        <w:t>, וגם לדברי המחבר אין להתיר אלא כשיש מעט שומן דבוק בדופני הכלי, אבל אם יש ממשות מגוף האיסור לא.</w:t>
      </w:r>
    </w:p>
    <w:p w14:paraId="3246EFB5" w14:textId="77777777" w:rsidR="002C39F4" w:rsidRPr="008E546D" w:rsidRDefault="002C39F4" w:rsidP="0032102C">
      <w:pPr>
        <w:pStyle w:val="a8"/>
        <w:numPr>
          <w:ilvl w:val="0"/>
          <w:numId w:val="131"/>
        </w:numPr>
        <w:rPr>
          <w:rFonts w:asciiTheme="minorBidi" w:hAnsiTheme="minorBidi"/>
          <w:rtl/>
        </w:rPr>
      </w:pPr>
      <w:r>
        <w:rPr>
          <w:rFonts w:asciiTheme="minorBidi" w:hAnsiTheme="minorBidi" w:cs="Arial" w:hint="cs"/>
          <w:rtl/>
        </w:rPr>
        <w:t xml:space="preserve">ט"ז </w:t>
      </w:r>
      <w:r w:rsidRPr="008E546D">
        <w:rPr>
          <w:rFonts w:asciiTheme="minorBidi" w:hAnsiTheme="minorBidi" w:cs="Arial" w:hint="cs"/>
          <w:sz w:val="16"/>
          <w:szCs w:val="16"/>
          <w:rtl/>
        </w:rPr>
        <w:t>(סקט"ו)</w:t>
      </w:r>
      <w:r>
        <w:rPr>
          <w:rFonts w:asciiTheme="minorBidi" w:hAnsiTheme="minorBidi" w:cs="Arial" w:hint="cs"/>
          <w:rtl/>
        </w:rPr>
        <w:t xml:space="preserve">- מדברי הרמ"א </w:t>
      </w:r>
      <w:r w:rsidRPr="00F545F5">
        <w:rPr>
          <w:rFonts w:asciiTheme="minorBidi" w:hAnsiTheme="minorBidi" w:cs="Arial" w:hint="cs"/>
          <w:sz w:val="16"/>
          <w:szCs w:val="16"/>
          <w:rtl/>
        </w:rPr>
        <w:t>(</w:t>
      </w:r>
      <w:r w:rsidRPr="00F545F5">
        <w:rPr>
          <w:rFonts w:asciiTheme="minorBidi" w:hAnsiTheme="minorBidi" w:cs="Arial"/>
          <w:sz w:val="16"/>
          <w:szCs w:val="16"/>
          <w:rtl/>
        </w:rPr>
        <w:t>סי' פז</w:t>
      </w:r>
      <w:r w:rsidRPr="00F545F5">
        <w:rPr>
          <w:rFonts w:asciiTheme="minorBidi" w:hAnsiTheme="minorBidi" w:cs="Arial" w:hint="cs"/>
          <w:sz w:val="16"/>
          <w:szCs w:val="16"/>
          <w:rtl/>
        </w:rPr>
        <w:t xml:space="preserve"> סע' ו)</w:t>
      </w:r>
      <w:r w:rsidRPr="00F545F5">
        <w:rPr>
          <w:rFonts w:asciiTheme="minorBidi" w:hAnsiTheme="minorBidi" w:cs="Arial"/>
          <w:rtl/>
        </w:rPr>
        <w:t xml:space="preserve"> </w:t>
      </w:r>
      <w:r>
        <w:rPr>
          <w:rFonts w:asciiTheme="minorBidi" w:hAnsiTheme="minorBidi" w:cs="Arial" w:hint="cs"/>
          <w:rtl/>
        </w:rPr>
        <w:t>ו</w:t>
      </w:r>
      <w:r>
        <w:rPr>
          <w:rFonts w:asciiTheme="minorBidi" w:hAnsiTheme="minorBidi" w:cs="Arial"/>
          <w:rtl/>
        </w:rPr>
        <w:t xml:space="preserve">רש"ל </w:t>
      </w:r>
      <w:r w:rsidRPr="00F545F5">
        <w:rPr>
          <w:rFonts w:asciiTheme="minorBidi" w:hAnsiTheme="minorBidi" w:cs="Arial" w:hint="cs"/>
          <w:sz w:val="16"/>
          <w:szCs w:val="16"/>
          <w:rtl/>
        </w:rPr>
        <w:t>(</w:t>
      </w:r>
      <w:r w:rsidRPr="00F545F5">
        <w:rPr>
          <w:rFonts w:asciiTheme="minorBidi" w:hAnsiTheme="minorBidi" w:cs="Arial"/>
          <w:sz w:val="16"/>
          <w:szCs w:val="16"/>
          <w:rtl/>
        </w:rPr>
        <w:t>פכ"ה סי</w:t>
      </w:r>
      <w:r w:rsidRPr="00F545F5">
        <w:rPr>
          <w:rFonts w:asciiTheme="minorBidi" w:hAnsiTheme="minorBidi" w:cs="Arial" w:hint="cs"/>
          <w:sz w:val="16"/>
          <w:szCs w:val="16"/>
          <w:rtl/>
        </w:rPr>
        <w:t>'</w:t>
      </w:r>
      <w:r w:rsidRPr="00F545F5">
        <w:rPr>
          <w:rFonts w:asciiTheme="minorBidi" w:hAnsiTheme="minorBidi" w:cs="Arial"/>
          <w:sz w:val="16"/>
          <w:szCs w:val="16"/>
          <w:rtl/>
        </w:rPr>
        <w:t xml:space="preserve"> צד</w:t>
      </w:r>
      <w:r w:rsidRPr="00F545F5">
        <w:rPr>
          <w:rFonts w:asciiTheme="minorBidi" w:hAnsiTheme="minorBidi" w:cs="Arial" w:hint="cs"/>
          <w:sz w:val="16"/>
          <w:szCs w:val="16"/>
          <w:rtl/>
        </w:rPr>
        <w:t xml:space="preserve">) </w:t>
      </w:r>
      <w:r>
        <w:rPr>
          <w:rFonts w:asciiTheme="minorBidi" w:hAnsiTheme="minorBidi" w:cs="Arial" w:hint="cs"/>
          <w:rtl/>
        </w:rPr>
        <w:t>בשם</w:t>
      </w:r>
      <w:r w:rsidRPr="00F545F5">
        <w:rPr>
          <w:rFonts w:asciiTheme="minorBidi" w:hAnsiTheme="minorBidi" w:cs="Arial"/>
          <w:rtl/>
        </w:rPr>
        <w:t xml:space="preserve"> מהרי"ל </w:t>
      </w:r>
      <w:r>
        <w:rPr>
          <w:rFonts w:asciiTheme="minorBidi" w:hAnsiTheme="minorBidi" w:cs="Arial" w:hint="cs"/>
          <w:rtl/>
        </w:rPr>
        <w:t>משמע שאין האפר הופך את האיסור לנותן טעם לפגם,</w:t>
      </w:r>
      <w:r w:rsidRPr="00F545F5">
        <w:rPr>
          <w:rFonts w:asciiTheme="minorBidi" w:hAnsiTheme="minorBidi" w:cs="Arial"/>
          <w:rtl/>
        </w:rPr>
        <w:t xml:space="preserve"> וצ"ע למעשה</w:t>
      </w:r>
      <w:r>
        <w:rPr>
          <w:rFonts w:asciiTheme="minorBidi" w:hAnsiTheme="minorBidi" w:hint="cs"/>
          <w:rtl/>
        </w:rPr>
        <w:t>.</w:t>
      </w:r>
    </w:p>
    <w:p w14:paraId="6666B9C9" w14:textId="77777777" w:rsidR="002C39F4" w:rsidRDefault="002C39F4" w:rsidP="0032102C">
      <w:pPr>
        <w:pStyle w:val="a8"/>
        <w:numPr>
          <w:ilvl w:val="0"/>
          <w:numId w:val="131"/>
        </w:numPr>
        <w:rPr>
          <w:rFonts w:asciiTheme="minorBidi" w:hAnsiTheme="minorBidi"/>
        </w:rPr>
      </w:pPr>
      <w:r>
        <w:rPr>
          <w:rFonts w:asciiTheme="minorBidi" w:hAnsiTheme="minorBidi" w:hint="cs"/>
          <w:rtl/>
        </w:rPr>
        <w:t xml:space="preserve">מטה יהונתן </w:t>
      </w:r>
      <w:r w:rsidRPr="00FB06D9">
        <w:rPr>
          <w:rFonts w:asciiTheme="minorBidi" w:hAnsiTheme="minorBidi" w:hint="cs"/>
          <w:sz w:val="16"/>
          <w:szCs w:val="16"/>
          <w:rtl/>
        </w:rPr>
        <w:t>(אומפ"ש אות יח)</w:t>
      </w:r>
      <w:r>
        <w:rPr>
          <w:rFonts w:asciiTheme="minorBidi" w:hAnsiTheme="minorBidi" w:hint="cs"/>
          <w:rtl/>
        </w:rPr>
        <w:t>- הוי נטל"פ ומותר, כמו שכתב השו"ע</w:t>
      </w:r>
      <w:r w:rsidRPr="00FB06D9">
        <w:rPr>
          <w:rFonts w:asciiTheme="minorBidi" w:hAnsiTheme="minorBidi" w:hint="cs"/>
          <w:sz w:val="16"/>
          <w:szCs w:val="16"/>
          <w:rtl/>
        </w:rPr>
        <w:t xml:space="preserve"> (ודחה שם את קושיית הש"ך)</w:t>
      </w:r>
      <w:r>
        <w:rPr>
          <w:rFonts w:asciiTheme="minorBidi" w:hAnsiTheme="minorBidi" w:hint="cs"/>
          <w:rtl/>
        </w:rPr>
        <w:t>.</w:t>
      </w:r>
    </w:p>
    <w:p w14:paraId="0DF2355B" w14:textId="77777777" w:rsidR="002C39F4" w:rsidRDefault="002C39F4" w:rsidP="0032102C">
      <w:pPr>
        <w:pStyle w:val="a8"/>
        <w:numPr>
          <w:ilvl w:val="0"/>
          <w:numId w:val="131"/>
        </w:numPr>
        <w:rPr>
          <w:rFonts w:asciiTheme="minorBidi" w:hAnsiTheme="minorBidi"/>
        </w:rPr>
      </w:pPr>
      <w:r>
        <w:rPr>
          <w:rFonts w:asciiTheme="minorBidi" w:hAnsiTheme="minorBidi" w:cs="Arial" w:hint="cs"/>
          <w:rtl/>
        </w:rPr>
        <w:t xml:space="preserve">פמ"ג </w:t>
      </w:r>
      <w:r w:rsidRPr="008E546D">
        <w:rPr>
          <w:rFonts w:asciiTheme="minorBidi" w:hAnsiTheme="minorBidi" w:cs="Arial" w:hint="cs"/>
          <w:sz w:val="16"/>
          <w:szCs w:val="16"/>
          <w:rtl/>
        </w:rPr>
        <w:t>(משב"ז סק"ט)</w:t>
      </w:r>
      <w:r>
        <w:rPr>
          <w:rFonts w:asciiTheme="minorBidi" w:hAnsiTheme="minorBidi" w:cs="Arial" w:hint="cs"/>
          <w:rtl/>
        </w:rPr>
        <w:t>- כשיש</w:t>
      </w:r>
      <w:r>
        <w:rPr>
          <w:rFonts w:asciiTheme="minorBidi" w:hAnsiTheme="minorBidi" w:cs="Arial"/>
          <w:rtl/>
        </w:rPr>
        <w:t xml:space="preserve"> איסור בעין המתיר ע"י אפר בה</w:t>
      </w:r>
      <w:r>
        <w:rPr>
          <w:rFonts w:asciiTheme="minorBidi" w:hAnsiTheme="minorBidi" w:cs="Arial" w:hint="cs"/>
          <w:rtl/>
        </w:rPr>
        <w:t>פס"</w:t>
      </w:r>
      <w:r w:rsidRPr="001429D2">
        <w:rPr>
          <w:rFonts w:asciiTheme="minorBidi" w:hAnsiTheme="minorBidi" w:cs="Arial"/>
          <w:rtl/>
        </w:rPr>
        <w:t>מ</w:t>
      </w:r>
      <w:r>
        <w:rPr>
          <w:rFonts w:asciiTheme="minorBidi" w:hAnsiTheme="minorBidi" w:cs="Arial"/>
          <w:rtl/>
        </w:rPr>
        <w:t xml:space="preserve"> ולצורך ער</w:t>
      </w:r>
      <w:r>
        <w:rPr>
          <w:rFonts w:asciiTheme="minorBidi" w:hAnsiTheme="minorBidi" w:cs="Arial" w:hint="cs"/>
          <w:rtl/>
        </w:rPr>
        <w:t>"</w:t>
      </w:r>
      <w:r>
        <w:rPr>
          <w:rFonts w:asciiTheme="minorBidi" w:hAnsiTheme="minorBidi" w:cs="Arial"/>
          <w:rtl/>
        </w:rPr>
        <w:t>ש אין לגעור בו</w:t>
      </w:r>
      <w:r>
        <w:rPr>
          <w:rFonts w:asciiTheme="minorBidi" w:hAnsiTheme="minorBidi" w:cs="Arial" w:hint="cs"/>
          <w:rtl/>
        </w:rPr>
        <w:t xml:space="preserve"> אבל </w:t>
      </w:r>
      <w:r w:rsidRPr="001429D2">
        <w:rPr>
          <w:rFonts w:asciiTheme="minorBidi" w:hAnsiTheme="minorBidi" w:cs="Arial"/>
          <w:rtl/>
        </w:rPr>
        <w:t>לא בענ</w:t>
      </w:r>
      <w:r>
        <w:rPr>
          <w:rFonts w:asciiTheme="minorBidi" w:hAnsiTheme="minorBidi" w:cs="Arial" w:hint="cs"/>
          <w:rtl/>
        </w:rPr>
        <w:t>ין</w:t>
      </w:r>
      <w:r w:rsidRPr="001429D2">
        <w:rPr>
          <w:rFonts w:asciiTheme="minorBidi" w:hAnsiTheme="minorBidi" w:cs="Arial"/>
          <w:rtl/>
        </w:rPr>
        <w:t xml:space="preserve"> אח</w:t>
      </w:r>
      <w:r>
        <w:rPr>
          <w:rFonts w:asciiTheme="minorBidi" w:hAnsiTheme="minorBidi" w:cs="Arial" w:hint="cs"/>
          <w:rtl/>
        </w:rPr>
        <w:t>ר.</w:t>
      </w:r>
      <w:r w:rsidRPr="00C54DD5">
        <w:rPr>
          <w:rFonts w:asciiTheme="minorBidi" w:hAnsiTheme="minorBidi" w:cs="Arial"/>
          <w:rtl/>
        </w:rPr>
        <w:t xml:space="preserve"> </w:t>
      </w:r>
    </w:p>
    <w:p w14:paraId="1FF595AA" w14:textId="77777777" w:rsidR="002C39F4" w:rsidRPr="00C54DD5" w:rsidRDefault="002C39F4" w:rsidP="0032102C">
      <w:pPr>
        <w:pStyle w:val="a8"/>
        <w:numPr>
          <w:ilvl w:val="0"/>
          <w:numId w:val="131"/>
        </w:numPr>
        <w:rPr>
          <w:rFonts w:asciiTheme="minorBidi" w:hAnsiTheme="minorBidi"/>
        </w:rPr>
      </w:pPr>
      <w:r>
        <w:rPr>
          <w:rFonts w:asciiTheme="minorBidi" w:hAnsiTheme="minorBidi" w:hint="cs"/>
          <w:rtl/>
        </w:rPr>
        <w:t xml:space="preserve">פר"ח </w:t>
      </w:r>
      <w:r w:rsidRPr="00FB06D9">
        <w:rPr>
          <w:rFonts w:asciiTheme="minorBidi" w:hAnsiTheme="minorBidi" w:hint="cs"/>
          <w:sz w:val="16"/>
          <w:szCs w:val="16"/>
          <w:rtl/>
        </w:rPr>
        <w:t>(סקי"ט)</w:t>
      </w:r>
      <w:r>
        <w:rPr>
          <w:rFonts w:asciiTheme="minorBidi" w:hAnsiTheme="minorBidi" w:hint="cs"/>
          <w:rtl/>
        </w:rPr>
        <w:t xml:space="preserve">- </w:t>
      </w:r>
      <w:r w:rsidRPr="00FB06D9">
        <w:rPr>
          <w:rFonts w:asciiTheme="minorBidi" w:hAnsiTheme="minorBidi" w:cs="Arial"/>
          <w:rtl/>
        </w:rPr>
        <w:t>יש להחמיר זולתי בהפסד מרובה כדאי המחבר לסמוך עליו.</w:t>
      </w:r>
    </w:p>
    <w:p w14:paraId="2B7B57AD" w14:textId="77777777" w:rsidR="002C39F4" w:rsidRPr="00C54DD5" w:rsidRDefault="002C39F4" w:rsidP="0032102C">
      <w:pPr>
        <w:pStyle w:val="a8"/>
        <w:numPr>
          <w:ilvl w:val="0"/>
          <w:numId w:val="131"/>
        </w:numPr>
        <w:rPr>
          <w:rFonts w:asciiTheme="minorBidi" w:hAnsiTheme="minorBidi"/>
        </w:rPr>
      </w:pPr>
      <w:r>
        <w:rPr>
          <w:rFonts w:asciiTheme="minorBidi" w:hAnsiTheme="minorBidi" w:cs="Arial" w:hint="cs"/>
          <w:rtl/>
        </w:rPr>
        <w:t xml:space="preserve">פת"ש </w:t>
      </w:r>
      <w:r w:rsidRPr="008E546D">
        <w:rPr>
          <w:rFonts w:asciiTheme="minorBidi" w:hAnsiTheme="minorBidi" w:cs="Arial"/>
          <w:sz w:val="16"/>
          <w:szCs w:val="16"/>
          <w:rtl/>
        </w:rPr>
        <w:t>(</w:t>
      </w:r>
      <w:r w:rsidRPr="008E546D">
        <w:rPr>
          <w:rFonts w:asciiTheme="minorBidi" w:hAnsiTheme="minorBidi" w:cs="Arial" w:hint="cs"/>
          <w:sz w:val="16"/>
          <w:szCs w:val="16"/>
          <w:rtl/>
        </w:rPr>
        <w:t>סק"</w:t>
      </w:r>
      <w:r w:rsidRPr="008E546D">
        <w:rPr>
          <w:rFonts w:asciiTheme="minorBidi" w:hAnsiTheme="minorBidi" w:cs="Arial"/>
          <w:sz w:val="16"/>
          <w:szCs w:val="16"/>
          <w:rtl/>
        </w:rPr>
        <w:t>ו)</w:t>
      </w:r>
      <w:r>
        <w:rPr>
          <w:rFonts w:asciiTheme="minorBidi" w:hAnsiTheme="minorBidi" w:cs="Arial" w:hint="cs"/>
          <w:rtl/>
        </w:rPr>
        <w:t xml:space="preserve">- </w:t>
      </w:r>
      <w:r w:rsidRPr="001429D2">
        <w:rPr>
          <w:rFonts w:asciiTheme="minorBidi" w:hAnsiTheme="minorBidi" w:cs="Arial"/>
          <w:rtl/>
        </w:rPr>
        <w:t>נראה שאין כוונת המחבר דאפר יכול לפגום את האיסור אלא כוונתו דוקא הכא בבשר בחלב מהני אפר להקליש טעם שלא יחול עליו אח"כ שם ב</w:t>
      </w:r>
      <w:r>
        <w:rPr>
          <w:rFonts w:asciiTheme="minorBidi" w:hAnsiTheme="minorBidi" w:cs="Arial" w:hint="cs"/>
          <w:rtl/>
        </w:rPr>
        <w:t xml:space="preserve">שר </w:t>
      </w:r>
      <w:r>
        <w:rPr>
          <w:rFonts w:asciiTheme="minorBidi" w:hAnsiTheme="minorBidi" w:cs="Arial"/>
          <w:rtl/>
        </w:rPr>
        <w:t>ב</w:t>
      </w:r>
      <w:r w:rsidRPr="001429D2">
        <w:rPr>
          <w:rFonts w:asciiTheme="minorBidi" w:hAnsiTheme="minorBidi" w:cs="Arial"/>
          <w:rtl/>
        </w:rPr>
        <w:t>ח</w:t>
      </w:r>
      <w:r>
        <w:rPr>
          <w:rFonts w:asciiTheme="minorBidi" w:hAnsiTheme="minorBidi" w:cs="Arial" w:hint="cs"/>
          <w:rtl/>
        </w:rPr>
        <w:t>לב</w:t>
      </w:r>
      <w:r>
        <w:rPr>
          <w:rFonts w:asciiTheme="minorBidi" w:hAnsiTheme="minorBidi" w:hint="cs"/>
          <w:rtl/>
        </w:rPr>
        <w:t>.</w:t>
      </w:r>
    </w:p>
    <w:p w14:paraId="35DF552D" w14:textId="77777777" w:rsidR="002C39F4" w:rsidRPr="00C54DD5" w:rsidRDefault="002C39F4" w:rsidP="002C39F4">
      <w:pPr>
        <w:rPr>
          <w:rFonts w:asciiTheme="minorBidi" w:hAnsiTheme="minorBidi"/>
          <w:u w:val="single"/>
        </w:rPr>
      </w:pPr>
      <w:r w:rsidRPr="00C54DD5">
        <w:rPr>
          <w:rFonts w:asciiTheme="minorBidi" w:hAnsiTheme="minorBidi" w:hint="cs"/>
          <w:u w:val="single"/>
          <w:rtl/>
        </w:rPr>
        <w:t xml:space="preserve">בורית שעשויה מחלב </w:t>
      </w:r>
      <w:r>
        <w:rPr>
          <w:rFonts w:asciiTheme="minorBidi" w:hAnsiTheme="minorBidi" w:hint="cs"/>
          <w:u w:val="single"/>
          <w:rtl/>
        </w:rPr>
        <w:t>ש</w:t>
      </w:r>
      <w:r w:rsidRPr="00C54DD5">
        <w:rPr>
          <w:rFonts w:asciiTheme="minorBidi" w:hAnsiTheme="minorBidi" w:hint="cs"/>
          <w:u w:val="single"/>
          <w:rtl/>
        </w:rPr>
        <w:t>נפלה לתוך קדרה:</w:t>
      </w:r>
    </w:p>
    <w:p w14:paraId="53D36435" w14:textId="77777777" w:rsidR="002C39F4" w:rsidRDefault="002C39F4" w:rsidP="0032102C">
      <w:pPr>
        <w:pStyle w:val="a8"/>
        <w:numPr>
          <w:ilvl w:val="0"/>
          <w:numId w:val="131"/>
        </w:numPr>
        <w:rPr>
          <w:rFonts w:asciiTheme="minorBidi" w:hAnsiTheme="minorBidi"/>
        </w:rPr>
      </w:pPr>
      <w:r>
        <w:rPr>
          <w:rFonts w:asciiTheme="minorBidi" w:hAnsiTheme="minorBidi" w:cs="Arial" w:hint="cs"/>
          <w:rtl/>
        </w:rPr>
        <w:t xml:space="preserve">חכ"צ </w:t>
      </w:r>
      <w:r>
        <w:rPr>
          <w:rFonts w:asciiTheme="minorBidi" w:hAnsiTheme="minorBidi" w:cs="Arial" w:hint="cs"/>
          <w:sz w:val="16"/>
          <w:szCs w:val="16"/>
          <w:rtl/>
        </w:rPr>
        <w:t>(הביאו</w:t>
      </w:r>
      <w:r w:rsidRPr="008E546D">
        <w:rPr>
          <w:rFonts w:asciiTheme="minorBidi" w:hAnsiTheme="minorBidi" w:cs="Arial" w:hint="cs"/>
          <w:sz w:val="16"/>
          <w:szCs w:val="16"/>
          <w:rtl/>
        </w:rPr>
        <w:t xml:space="preserve"> הפמ"ג שפת"ד ססקכ"א)</w:t>
      </w:r>
      <w:r>
        <w:rPr>
          <w:rFonts w:asciiTheme="minorBidi" w:hAnsiTheme="minorBidi" w:cs="Arial" w:hint="cs"/>
          <w:sz w:val="16"/>
          <w:szCs w:val="16"/>
          <w:rtl/>
        </w:rPr>
        <w:t xml:space="preserve"> </w:t>
      </w:r>
      <w:r>
        <w:rPr>
          <w:rFonts w:asciiTheme="minorBidi" w:hAnsiTheme="minorBidi" w:cs="Arial" w:hint="cs"/>
          <w:rtl/>
        </w:rPr>
        <w:t xml:space="preserve">צ"צ </w:t>
      </w:r>
      <w:r w:rsidRPr="008E546D">
        <w:rPr>
          <w:rFonts w:asciiTheme="minorBidi" w:hAnsiTheme="minorBidi" w:cs="Arial" w:hint="cs"/>
          <w:sz w:val="16"/>
          <w:szCs w:val="16"/>
          <w:rtl/>
        </w:rPr>
        <w:t>(</w:t>
      </w:r>
      <w:r>
        <w:rPr>
          <w:rFonts w:asciiTheme="minorBidi" w:hAnsiTheme="minorBidi" w:cs="Arial" w:hint="cs"/>
          <w:sz w:val="16"/>
          <w:szCs w:val="16"/>
          <w:rtl/>
        </w:rPr>
        <w:t xml:space="preserve">סי' צא) </w:t>
      </w:r>
      <w:r>
        <w:rPr>
          <w:rFonts w:asciiTheme="minorBidi" w:hAnsiTheme="minorBidi" w:cs="Arial" w:hint="cs"/>
          <w:rtl/>
        </w:rPr>
        <w:t>ופמ"ג</w:t>
      </w:r>
      <w:r>
        <w:rPr>
          <w:rFonts w:asciiTheme="minorBidi" w:hAnsiTheme="minorBidi" w:cs="Arial" w:hint="cs"/>
          <w:sz w:val="16"/>
          <w:szCs w:val="16"/>
          <w:rtl/>
        </w:rPr>
        <w:t xml:space="preserve"> (שם)</w:t>
      </w:r>
      <w:r>
        <w:rPr>
          <w:rFonts w:asciiTheme="minorBidi" w:hAnsiTheme="minorBidi" w:hint="cs"/>
          <w:rtl/>
        </w:rPr>
        <w:t>- מותר בפשיטות,</w:t>
      </w:r>
      <w:r w:rsidRPr="008E546D">
        <w:rPr>
          <w:rFonts w:asciiTheme="minorBidi" w:hAnsiTheme="minorBidi" w:cs="Arial"/>
          <w:rtl/>
        </w:rPr>
        <w:t xml:space="preserve"> </w:t>
      </w:r>
      <w:r w:rsidRPr="001429D2">
        <w:rPr>
          <w:rFonts w:asciiTheme="minorBidi" w:hAnsiTheme="minorBidi" w:cs="Arial"/>
          <w:rtl/>
        </w:rPr>
        <w:t>דלא ראוי אפילו לאכילת כלב</w:t>
      </w:r>
      <w:r>
        <w:rPr>
          <w:rFonts w:asciiTheme="minorBidi" w:hAnsiTheme="minorBidi" w:cs="Arial" w:hint="cs"/>
          <w:rtl/>
        </w:rPr>
        <w:t>,</w:t>
      </w:r>
      <w:r>
        <w:rPr>
          <w:rFonts w:asciiTheme="minorBidi" w:hAnsiTheme="minorBidi" w:cs="Arial"/>
          <w:rtl/>
        </w:rPr>
        <w:t xml:space="preserve"> בוודאי נט</w:t>
      </w:r>
      <w:r w:rsidRPr="001429D2">
        <w:rPr>
          <w:rFonts w:asciiTheme="minorBidi" w:hAnsiTheme="minorBidi" w:cs="Arial"/>
          <w:rtl/>
        </w:rPr>
        <w:t>ל</w:t>
      </w:r>
      <w:r>
        <w:rPr>
          <w:rFonts w:asciiTheme="minorBidi" w:hAnsiTheme="minorBidi" w:cs="Arial" w:hint="cs"/>
          <w:rtl/>
        </w:rPr>
        <w:t>"פ</w:t>
      </w:r>
      <w:r w:rsidRPr="001429D2">
        <w:rPr>
          <w:rFonts w:asciiTheme="minorBidi" w:hAnsiTheme="minorBidi" w:cs="Arial"/>
          <w:rtl/>
        </w:rPr>
        <w:t xml:space="preserve"> גמור הוא ע"י אפר וסיד</w:t>
      </w:r>
      <w:r>
        <w:rPr>
          <w:rFonts w:asciiTheme="minorBidi" w:hAnsiTheme="minorBidi" w:hint="cs"/>
          <w:rtl/>
        </w:rPr>
        <w:t>.</w:t>
      </w:r>
    </w:p>
    <w:p w14:paraId="6FB81C51" w14:textId="77777777" w:rsidR="002C39F4" w:rsidRPr="008E546D" w:rsidRDefault="002C39F4" w:rsidP="0032102C">
      <w:pPr>
        <w:pStyle w:val="a8"/>
        <w:numPr>
          <w:ilvl w:val="0"/>
          <w:numId w:val="131"/>
        </w:numPr>
        <w:rPr>
          <w:rFonts w:asciiTheme="minorBidi" w:hAnsiTheme="minorBidi"/>
          <w:rtl/>
        </w:rPr>
      </w:pPr>
      <w:r>
        <w:rPr>
          <w:rFonts w:asciiTheme="minorBidi" w:hAnsiTheme="minorBidi" w:cs="Arial" w:hint="cs"/>
          <w:rtl/>
        </w:rPr>
        <w:t xml:space="preserve">ט"ז </w:t>
      </w:r>
      <w:r w:rsidRPr="008E546D">
        <w:rPr>
          <w:rFonts w:asciiTheme="minorBidi" w:hAnsiTheme="minorBidi" w:cs="Arial" w:hint="cs"/>
          <w:sz w:val="16"/>
          <w:szCs w:val="16"/>
          <w:rtl/>
        </w:rPr>
        <w:t>(סקט"ו)</w:t>
      </w:r>
      <w:r>
        <w:rPr>
          <w:rFonts w:asciiTheme="minorBidi" w:hAnsiTheme="minorBidi" w:cs="Arial" w:hint="cs"/>
          <w:rtl/>
        </w:rPr>
        <w:t>- הבורית אסרה את הקדרה</w:t>
      </w:r>
      <w:r>
        <w:rPr>
          <w:rStyle w:val="a7"/>
          <w:rFonts w:asciiTheme="minorBidi" w:hAnsiTheme="minorBidi" w:cs="Arial"/>
          <w:rtl/>
        </w:rPr>
        <w:footnoteReference w:id="1649"/>
      </w:r>
      <w:r>
        <w:rPr>
          <w:rFonts w:asciiTheme="minorBidi" w:hAnsiTheme="minorBidi" w:cs="Arial" w:hint="cs"/>
          <w:rtl/>
        </w:rPr>
        <w:t xml:space="preserve">, </w:t>
      </w:r>
      <w:r w:rsidRPr="008E546D">
        <w:rPr>
          <w:rFonts w:asciiTheme="minorBidi" w:hAnsiTheme="minorBidi" w:cs="Arial"/>
          <w:rtl/>
        </w:rPr>
        <w:t>וצ"ע למעשה</w:t>
      </w:r>
      <w:r>
        <w:rPr>
          <w:rFonts w:asciiTheme="minorBidi" w:hAnsiTheme="minorBidi" w:hint="cs"/>
          <w:rtl/>
        </w:rPr>
        <w:t>.</w:t>
      </w:r>
    </w:p>
    <w:p w14:paraId="0523522E" w14:textId="77777777" w:rsidR="002C39F4" w:rsidRPr="003024E5" w:rsidRDefault="002C39F4" w:rsidP="002C39F4">
      <w:pPr>
        <w:rPr>
          <w:rFonts w:asciiTheme="minorBidi" w:hAnsiTheme="minorBidi"/>
          <w:rtl/>
        </w:rPr>
      </w:pPr>
    </w:p>
    <w:p w14:paraId="371460D7"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הנחת כדא דמלחא אצל כדא דכמכא.</w:t>
      </w:r>
    </w:p>
    <w:p w14:paraId="23D3DF70" w14:textId="77777777" w:rsidR="002C39F4" w:rsidRPr="001B5848" w:rsidRDefault="002C39F4" w:rsidP="002C39F4">
      <w:pPr>
        <w:rPr>
          <w:sz w:val="16"/>
          <w:szCs w:val="16"/>
          <w:rtl/>
        </w:rPr>
      </w:pPr>
      <w:r>
        <w:rPr>
          <w:rFonts w:cs="Arial" w:hint="cs"/>
          <w:b/>
          <w:bCs/>
          <w:rtl/>
        </w:rPr>
        <w:t xml:space="preserve">חולין קיב ע"א: </w:t>
      </w:r>
      <w:r w:rsidRPr="00F545F5">
        <w:rPr>
          <w:rFonts w:cs="Arial"/>
          <w:u w:val="single"/>
          <w:rtl/>
        </w:rPr>
        <w:t>בעא מיניה רב דימי מרב נחמן</w:t>
      </w:r>
      <w:r w:rsidRPr="00F545F5">
        <w:rPr>
          <w:rFonts w:cs="Arial"/>
          <w:rtl/>
        </w:rPr>
        <w:t>: מהו לאנוחי כדא דמלחא גבי כדא דכמכא</w:t>
      </w:r>
      <w:r>
        <w:rPr>
          <w:rStyle w:val="a7"/>
          <w:rFonts w:cs="Arial"/>
          <w:rtl/>
        </w:rPr>
        <w:footnoteReference w:id="1650"/>
      </w:r>
      <w:r w:rsidRPr="00F545F5">
        <w:rPr>
          <w:rFonts w:cs="Arial"/>
          <w:rtl/>
        </w:rPr>
        <w:t xml:space="preserve">? </w:t>
      </w:r>
      <w:r w:rsidRPr="00F545F5">
        <w:rPr>
          <w:rFonts w:cs="Arial"/>
          <w:u w:val="single"/>
          <w:rtl/>
        </w:rPr>
        <w:t>אמר ליה</w:t>
      </w:r>
      <w:r w:rsidRPr="00F545F5">
        <w:rPr>
          <w:rFonts w:cs="Arial"/>
          <w:rtl/>
        </w:rPr>
        <w:t>: אסור, דחלא מאי</w:t>
      </w:r>
      <w:r>
        <w:rPr>
          <w:rStyle w:val="a7"/>
          <w:rFonts w:cs="Arial"/>
          <w:rtl/>
        </w:rPr>
        <w:footnoteReference w:id="1651"/>
      </w:r>
      <w:r w:rsidRPr="00F545F5">
        <w:rPr>
          <w:rFonts w:cs="Arial"/>
          <w:rtl/>
        </w:rPr>
        <w:t xml:space="preserve">? </w:t>
      </w:r>
      <w:r w:rsidRPr="00F545F5">
        <w:rPr>
          <w:rFonts w:cs="Arial"/>
          <w:u w:val="single"/>
          <w:rtl/>
        </w:rPr>
        <w:t>אמר ליה</w:t>
      </w:r>
      <w:r w:rsidRPr="00F545F5">
        <w:rPr>
          <w:rFonts w:cs="Arial"/>
          <w:rtl/>
        </w:rPr>
        <w:t>: שרי</w:t>
      </w:r>
      <w:r>
        <w:rPr>
          <w:rFonts w:cs="Arial" w:hint="cs"/>
          <w:rtl/>
        </w:rPr>
        <w:t>...</w:t>
      </w:r>
      <w:r>
        <w:rPr>
          <w:rFonts w:cs="Arial"/>
          <w:rtl/>
        </w:rPr>
        <w:t xml:space="preserve"> מאי טעמא</w:t>
      </w:r>
      <w:r>
        <w:rPr>
          <w:rFonts w:cs="Arial" w:hint="cs"/>
          <w:rtl/>
        </w:rPr>
        <w:t xml:space="preserve"> </w:t>
      </w:r>
      <w:r w:rsidRPr="00F545F5">
        <w:rPr>
          <w:rFonts w:cs="Arial"/>
          <w:rtl/>
        </w:rPr>
        <w:t>- האי איתיה איסורא בעיניה, והאי ליתיה איסורא בעיניה.</w:t>
      </w:r>
      <w:r>
        <w:rPr>
          <w:rFonts w:hint="cs"/>
          <w:rtl/>
        </w:rPr>
        <w:t xml:space="preserve"> </w:t>
      </w:r>
    </w:p>
    <w:p w14:paraId="122FA288" w14:textId="77777777" w:rsidR="002C39F4" w:rsidRPr="009C5D4B" w:rsidRDefault="002C39F4" w:rsidP="002C39F4">
      <w:pPr>
        <w:rPr>
          <w:rFonts w:cs="Arial"/>
          <w:u w:val="single"/>
          <w:rtl/>
        </w:rPr>
      </w:pPr>
      <w:r w:rsidRPr="009C5D4B">
        <w:rPr>
          <w:rFonts w:cs="Arial" w:hint="cs"/>
          <w:u w:val="single"/>
          <w:rtl/>
        </w:rPr>
        <w:t>מה פירוש</w:t>
      </w:r>
      <w:r>
        <w:rPr>
          <w:rFonts w:cs="Arial" w:hint="cs"/>
          <w:u w:val="single"/>
          <w:rtl/>
        </w:rPr>
        <w:t xml:space="preserve"> דברי הגמ' </w:t>
      </w:r>
      <w:r w:rsidRPr="009C5D4B">
        <w:rPr>
          <w:rFonts w:cs="Arial" w:hint="cs"/>
          <w:u w:val="single"/>
          <w:rtl/>
        </w:rPr>
        <w:t xml:space="preserve">- </w:t>
      </w:r>
      <w:r>
        <w:rPr>
          <w:rFonts w:cs="Arial" w:hint="cs"/>
          <w:u w:val="single"/>
          <w:rtl/>
        </w:rPr>
        <w:t>'</w:t>
      </w:r>
      <w:r w:rsidRPr="009C5D4B">
        <w:rPr>
          <w:rFonts w:cs="Arial"/>
          <w:u w:val="single"/>
          <w:rtl/>
        </w:rPr>
        <w:t>האי איתיה איסורא בעיניה, והאי ליתיה איסורא בעיניה</w:t>
      </w:r>
      <w:r>
        <w:rPr>
          <w:rFonts w:cs="Arial" w:hint="cs"/>
          <w:u w:val="single"/>
          <w:rtl/>
        </w:rPr>
        <w:t>'</w:t>
      </w:r>
      <w:r w:rsidRPr="009C5D4B">
        <w:rPr>
          <w:rFonts w:cs="Arial" w:hint="cs"/>
          <w:u w:val="single"/>
          <w:rtl/>
        </w:rPr>
        <w:t>:</w:t>
      </w:r>
    </w:p>
    <w:p w14:paraId="487B02E3" w14:textId="77777777" w:rsidR="002C39F4" w:rsidRDefault="002C39F4" w:rsidP="0032102C">
      <w:pPr>
        <w:pStyle w:val="a8"/>
        <w:numPr>
          <w:ilvl w:val="0"/>
          <w:numId w:val="132"/>
        </w:numPr>
        <w:rPr>
          <w:rFonts w:cs="Arial"/>
        </w:rPr>
      </w:pPr>
      <w:r w:rsidRPr="009C5D4B">
        <w:rPr>
          <w:rFonts w:cs="Arial" w:hint="cs"/>
          <w:rtl/>
        </w:rPr>
        <w:t>רש"י</w:t>
      </w:r>
      <w:r>
        <w:rPr>
          <w:rFonts w:cs="Arial" w:hint="cs"/>
          <w:sz w:val="16"/>
          <w:szCs w:val="16"/>
          <w:rtl/>
        </w:rPr>
        <w:t xml:space="preserve"> (ד"ה האי)</w:t>
      </w:r>
      <w:r>
        <w:rPr>
          <w:rFonts w:cs="Arial" w:hint="cs"/>
          <w:rtl/>
        </w:rPr>
        <w:t xml:space="preserve">- </w:t>
      </w:r>
      <w:r w:rsidRPr="009C5D4B">
        <w:rPr>
          <w:rFonts w:cs="Arial"/>
          <w:rtl/>
        </w:rPr>
        <w:t xml:space="preserve">כותח הנופל במלח נראה וניכר מפני שהוא עב ולא בטיל אבל כותח הנופל בחומץ ליתיה בעיניה </w:t>
      </w:r>
      <w:r>
        <w:rPr>
          <w:rStyle w:val="a7"/>
          <w:rFonts w:cs="Arial"/>
          <w:rtl/>
        </w:rPr>
        <w:footnoteReference w:id="1652"/>
      </w:r>
      <w:r>
        <w:rPr>
          <w:rFonts w:cs="Arial" w:hint="cs"/>
          <w:rtl/>
        </w:rPr>
        <w:t>[</w:t>
      </w:r>
      <w:r w:rsidRPr="009C5D4B">
        <w:rPr>
          <w:rFonts w:cs="Arial"/>
          <w:rtl/>
        </w:rPr>
        <w:t>וטעמא נמי לא יהיב כותח בחומץ</w:t>
      </w:r>
      <w:r>
        <w:rPr>
          <w:rFonts w:cs="Arial" w:hint="cs"/>
          <w:rtl/>
        </w:rPr>
        <w:t>]</w:t>
      </w:r>
      <w:r>
        <w:rPr>
          <w:rStyle w:val="a7"/>
          <w:rFonts w:cs="Arial"/>
          <w:rtl/>
        </w:rPr>
        <w:footnoteReference w:id="1653"/>
      </w:r>
      <w:r w:rsidRPr="009C5D4B">
        <w:rPr>
          <w:rFonts w:cs="Arial"/>
          <w:rtl/>
        </w:rPr>
        <w:t>.</w:t>
      </w:r>
    </w:p>
    <w:p w14:paraId="322AA33F" w14:textId="77777777" w:rsidR="002C39F4" w:rsidRPr="00C32D4C" w:rsidRDefault="002C39F4" w:rsidP="0032102C">
      <w:pPr>
        <w:pStyle w:val="a8"/>
        <w:numPr>
          <w:ilvl w:val="0"/>
          <w:numId w:val="132"/>
        </w:numPr>
        <w:rPr>
          <w:rFonts w:cs="Arial"/>
          <w:rtl/>
        </w:rPr>
      </w:pPr>
      <w:r w:rsidRPr="009C5D4B">
        <w:rPr>
          <w:rFonts w:cs="Arial"/>
          <w:rtl/>
        </w:rPr>
        <w:t>רמב"ם</w:t>
      </w:r>
      <w:r>
        <w:rPr>
          <w:rFonts w:cs="Arial" w:hint="cs"/>
          <w:rtl/>
        </w:rPr>
        <w:t xml:space="preserve"> </w:t>
      </w:r>
      <w:r w:rsidRPr="009C5D4B">
        <w:rPr>
          <w:rFonts w:cs="Arial" w:hint="cs"/>
          <w:sz w:val="16"/>
          <w:szCs w:val="16"/>
          <w:rtl/>
        </w:rPr>
        <w:t>(</w:t>
      </w:r>
      <w:r w:rsidRPr="009C5D4B">
        <w:rPr>
          <w:rFonts w:cs="Arial"/>
          <w:sz w:val="16"/>
          <w:szCs w:val="16"/>
          <w:rtl/>
        </w:rPr>
        <w:t>פ"ט</w:t>
      </w:r>
      <w:r w:rsidRPr="009C5D4B">
        <w:rPr>
          <w:rFonts w:cs="Arial" w:hint="cs"/>
          <w:sz w:val="16"/>
          <w:szCs w:val="16"/>
          <w:rtl/>
        </w:rPr>
        <w:t xml:space="preserve"> </w:t>
      </w:r>
      <w:r w:rsidRPr="009C5D4B">
        <w:rPr>
          <w:rFonts w:cs="Arial"/>
          <w:sz w:val="16"/>
          <w:szCs w:val="16"/>
          <w:rtl/>
        </w:rPr>
        <w:t>הכ"ה)</w:t>
      </w:r>
      <w:r>
        <w:rPr>
          <w:rFonts w:cs="Arial" w:hint="cs"/>
          <w:rtl/>
        </w:rPr>
        <w:t>-</w:t>
      </w:r>
      <w:r w:rsidRPr="009C5D4B">
        <w:rPr>
          <w:rFonts w:cs="Arial"/>
          <w:rtl/>
        </w:rPr>
        <w:t xml:space="preserve"> אין מניחין כד של מלח בצד כד של כמך מפני ששואב ממנו ונמצא מבשל הבשר במלח זה שיש בו טעם החלב אבל מניח כד החומץ בצד כד הכמך שאין החומץ שואב ממנו</w:t>
      </w:r>
      <w:r>
        <w:rPr>
          <w:rStyle w:val="a7"/>
          <w:rFonts w:cs="Arial"/>
          <w:rtl/>
        </w:rPr>
        <w:footnoteReference w:id="1654"/>
      </w:r>
      <w:r>
        <w:rPr>
          <w:rFonts w:cs="Arial" w:hint="cs"/>
          <w:rtl/>
        </w:rPr>
        <w:t>.</w:t>
      </w:r>
      <w:r w:rsidRPr="009C5D4B">
        <w:rPr>
          <w:rFonts w:cs="Arial"/>
          <w:rtl/>
        </w:rPr>
        <w:t xml:space="preserve"> </w:t>
      </w:r>
    </w:p>
    <w:p w14:paraId="28C5672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8121C27" w14:textId="77777777" w:rsidR="002C39F4" w:rsidRDefault="002C39F4" w:rsidP="002C39F4">
      <w:pPr>
        <w:rPr>
          <w:rFonts w:asciiTheme="minorBidi" w:hAnsiTheme="minorBidi"/>
          <w:rtl/>
        </w:rPr>
      </w:pPr>
      <w:r w:rsidRPr="003024E5">
        <w:rPr>
          <w:rFonts w:asciiTheme="minorBidi" w:hAnsiTheme="minorBidi"/>
          <w:rtl/>
        </w:rPr>
        <w:t>אין מניחין כלי</w:t>
      </w:r>
      <w:r>
        <w:rPr>
          <w:rFonts w:asciiTheme="minorBidi" w:hAnsiTheme="minorBidi"/>
          <w:rtl/>
        </w:rPr>
        <w:t xml:space="preserve"> שיש בו כותח אצל כלי שיש בו מלח</w:t>
      </w:r>
      <w:r w:rsidRPr="003024E5">
        <w:rPr>
          <w:rFonts w:asciiTheme="minorBidi" w:hAnsiTheme="minorBidi"/>
          <w:rtl/>
        </w:rPr>
        <w:t xml:space="preserve"> אבל מותר להניחו אצל כלי שיש בו חומץ. </w:t>
      </w:r>
      <w:r>
        <w:rPr>
          <w:rFonts w:asciiTheme="minorBidi" w:hAnsiTheme="minorBidi"/>
          <w:sz w:val="18"/>
          <w:szCs w:val="18"/>
          <w:rtl/>
        </w:rPr>
        <w:t>הגה: ודוקא אם הכלים מגולים</w:t>
      </w:r>
      <w:r>
        <w:rPr>
          <w:rFonts w:asciiTheme="minorBidi" w:hAnsiTheme="minorBidi" w:hint="cs"/>
          <w:sz w:val="18"/>
          <w:szCs w:val="18"/>
          <w:rtl/>
        </w:rPr>
        <w:t>,</w:t>
      </w:r>
      <w:r w:rsidRPr="00583F86">
        <w:rPr>
          <w:rFonts w:asciiTheme="minorBidi" w:hAnsiTheme="minorBidi"/>
          <w:sz w:val="18"/>
          <w:szCs w:val="18"/>
          <w:rtl/>
        </w:rPr>
        <w:t xml:space="preserve"> ואפילו הכי אם ע</w:t>
      </w:r>
      <w:r>
        <w:rPr>
          <w:rFonts w:asciiTheme="minorBidi" w:hAnsiTheme="minorBidi"/>
          <w:sz w:val="18"/>
          <w:szCs w:val="18"/>
          <w:rtl/>
        </w:rPr>
        <w:t>בר ונתנו ביחד מותר</w:t>
      </w:r>
      <w:r w:rsidRPr="00583F86">
        <w:rPr>
          <w:rFonts w:asciiTheme="minorBidi" w:hAnsiTheme="minorBidi"/>
          <w:sz w:val="18"/>
          <w:szCs w:val="18"/>
          <w:rtl/>
        </w:rPr>
        <w:t xml:space="preserve"> ולא</w:t>
      </w:r>
      <w:r>
        <w:rPr>
          <w:rFonts w:asciiTheme="minorBidi" w:hAnsiTheme="minorBidi"/>
          <w:sz w:val="18"/>
          <w:szCs w:val="18"/>
          <w:rtl/>
        </w:rPr>
        <w:t xml:space="preserve"> חיישינן שמא נפל אל המלח (הג</w:t>
      </w:r>
      <w:r w:rsidRPr="00583F86">
        <w:rPr>
          <w:rFonts w:asciiTheme="minorBidi" w:hAnsiTheme="minorBidi"/>
          <w:sz w:val="18"/>
          <w:szCs w:val="18"/>
          <w:rtl/>
        </w:rPr>
        <w:t>ש</w:t>
      </w:r>
      <w:r>
        <w:rPr>
          <w:rFonts w:asciiTheme="minorBidi" w:hAnsiTheme="minorBidi" w:hint="cs"/>
          <w:sz w:val="18"/>
          <w:szCs w:val="18"/>
          <w:rtl/>
        </w:rPr>
        <w:t>ע</w:t>
      </w:r>
      <w:r w:rsidRPr="00583F86">
        <w:rPr>
          <w:rFonts w:asciiTheme="minorBidi" w:hAnsiTheme="minorBidi"/>
          <w:sz w:val="18"/>
          <w:szCs w:val="18"/>
          <w:rtl/>
        </w:rPr>
        <w:t>"ד וארוך).</w:t>
      </w:r>
      <w:r w:rsidRPr="003024E5">
        <w:rPr>
          <w:rFonts w:asciiTheme="minorBidi" w:hAnsiTheme="minorBidi"/>
          <w:rtl/>
        </w:rPr>
        <w:t xml:space="preserve"> </w:t>
      </w:r>
    </w:p>
    <w:p w14:paraId="29CEE2BB" w14:textId="77777777" w:rsidR="002C39F4" w:rsidRPr="003024E5" w:rsidRDefault="002C39F4" w:rsidP="002C39F4">
      <w:pPr>
        <w:rPr>
          <w:rFonts w:asciiTheme="minorBidi" w:hAnsiTheme="minorBidi"/>
          <w:rtl/>
        </w:rPr>
      </w:pPr>
    </w:p>
    <w:p w14:paraId="00DCDC41"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הנחת כד של בשר אצל כד של חלב.</w:t>
      </w:r>
    </w:p>
    <w:p w14:paraId="33FA658F" w14:textId="77777777" w:rsidR="002C39F4" w:rsidRDefault="002C39F4" w:rsidP="002C39F4">
      <w:pPr>
        <w:rPr>
          <w:rFonts w:cs="Arial"/>
          <w:rtl/>
        </w:rPr>
      </w:pPr>
      <w:r>
        <w:rPr>
          <w:rFonts w:cs="Arial" w:hint="cs"/>
          <w:b/>
          <w:bCs/>
          <w:rtl/>
        </w:rPr>
        <w:t xml:space="preserve">חולין קיב ע"א: </w:t>
      </w:r>
      <w:r w:rsidRPr="00F545F5">
        <w:rPr>
          <w:rFonts w:cs="Arial"/>
          <w:u w:val="single"/>
          <w:rtl/>
        </w:rPr>
        <w:t>בעא מיניה רב דימי מרב נחמן</w:t>
      </w:r>
      <w:r w:rsidRPr="00F545F5">
        <w:rPr>
          <w:rFonts w:cs="Arial"/>
          <w:rtl/>
        </w:rPr>
        <w:t>: מהו לאנוחי כדא דמלחא גבי כדא דכמכא</w:t>
      </w:r>
      <w:r>
        <w:rPr>
          <w:rStyle w:val="a7"/>
          <w:rFonts w:cs="Arial"/>
          <w:rtl/>
        </w:rPr>
        <w:footnoteReference w:id="1655"/>
      </w:r>
      <w:r w:rsidRPr="00F545F5">
        <w:rPr>
          <w:rFonts w:cs="Arial"/>
          <w:rtl/>
        </w:rPr>
        <w:t xml:space="preserve">? </w:t>
      </w:r>
      <w:r w:rsidRPr="00F545F5">
        <w:rPr>
          <w:rFonts w:cs="Arial"/>
          <w:u w:val="single"/>
          <w:rtl/>
        </w:rPr>
        <w:t>אמר ליה</w:t>
      </w:r>
      <w:r w:rsidRPr="00F545F5">
        <w:rPr>
          <w:rFonts w:cs="Arial"/>
          <w:rtl/>
        </w:rPr>
        <w:t>: אסור, דחלא מאי</w:t>
      </w:r>
      <w:r>
        <w:rPr>
          <w:rStyle w:val="a7"/>
          <w:rFonts w:cs="Arial"/>
          <w:rtl/>
        </w:rPr>
        <w:footnoteReference w:id="1656"/>
      </w:r>
      <w:r w:rsidRPr="00F545F5">
        <w:rPr>
          <w:rFonts w:cs="Arial"/>
          <w:rtl/>
        </w:rPr>
        <w:t xml:space="preserve">? </w:t>
      </w:r>
      <w:r w:rsidRPr="00F545F5">
        <w:rPr>
          <w:rFonts w:cs="Arial"/>
          <w:u w:val="single"/>
          <w:rtl/>
        </w:rPr>
        <w:t>אמר ליה</w:t>
      </w:r>
      <w:r w:rsidRPr="00F545F5">
        <w:rPr>
          <w:rFonts w:cs="Arial"/>
          <w:rtl/>
        </w:rPr>
        <w:t>: שרי</w:t>
      </w:r>
      <w:r>
        <w:rPr>
          <w:rFonts w:cs="Arial" w:hint="cs"/>
          <w:rtl/>
        </w:rPr>
        <w:t>...</w:t>
      </w:r>
      <w:r>
        <w:rPr>
          <w:rFonts w:cs="Arial"/>
          <w:rtl/>
        </w:rPr>
        <w:t xml:space="preserve"> מאי טעמא</w:t>
      </w:r>
      <w:r>
        <w:rPr>
          <w:rFonts w:cs="Arial" w:hint="cs"/>
          <w:rtl/>
        </w:rPr>
        <w:t xml:space="preserve"> </w:t>
      </w:r>
      <w:r w:rsidRPr="00F545F5">
        <w:rPr>
          <w:rFonts w:cs="Arial"/>
          <w:rtl/>
        </w:rPr>
        <w:t>- האי איתיה איסורא בעיניה, והאי ליתיה איסורא בעיניה.</w:t>
      </w:r>
    </w:p>
    <w:p w14:paraId="2816DE6B" w14:textId="77777777" w:rsidR="002C39F4" w:rsidRPr="008B6E35" w:rsidRDefault="002C39F4" w:rsidP="002C39F4">
      <w:pPr>
        <w:rPr>
          <w:rFonts w:cs="Arial"/>
          <w:sz w:val="16"/>
          <w:szCs w:val="16"/>
          <w:u w:val="single"/>
          <w:rtl/>
        </w:rPr>
      </w:pPr>
      <w:r w:rsidRPr="008B6E35">
        <w:rPr>
          <w:rFonts w:cs="Arial" w:hint="cs"/>
          <w:u w:val="single"/>
          <w:rtl/>
        </w:rPr>
        <w:t>האם יש ללמוד מ</w:t>
      </w:r>
      <w:r>
        <w:rPr>
          <w:rFonts w:cs="Arial" w:hint="cs"/>
          <w:u w:val="single"/>
          <w:rtl/>
        </w:rPr>
        <w:t xml:space="preserve">הא </w:t>
      </w:r>
      <w:r w:rsidRPr="008B6E35">
        <w:rPr>
          <w:rFonts w:cs="Arial" w:hint="cs"/>
          <w:sz w:val="16"/>
          <w:szCs w:val="16"/>
          <w:u w:val="single"/>
          <w:rtl/>
        </w:rPr>
        <w:t>(דאסור לאנוחי כדא דמלחא וכו'</w:t>
      </w:r>
      <w:r>
        <w:rPr>
          <w:rFonts w:cs="Arial" w:hint="cs"/>
          <w:sz w:val="16"/>
          <w:szCs w:val="16"/>
          <w:u w:val="single"/>
          <w:rtl/>
        </w:rPr>
        <w:t xml:space="preserve">) </w:t>
      </w:r>
      <w:r>
        <w:rPr>
          <w:rFonts w:cs="Arial" w:hint="cs"/>
          <w:u w:val="single"/>
          <w:rtl/>
        </w:rPr>
        <w:t xml:space="preserve"> ד</w:t>
      </w:r>
      <w:r w:rsidRPr="008B6E35">
        <w:rPr>
          <w:rFonts w:cs="Arial" w:hint="cs"/>
          <w:u w:val="single"/>
          <w:rtl/>
        </w:rPr>
        <w:t xml:space="preserve">אין להניח </w:t>
      </w:r>
      <w:r>
        <w:rPr>
          <w:rFonts w:cs="Arial" w:hint="cs"/>
          <w:u w:val="single"/>
          <w:rtl/>
        </w:rPr>
        <w:t>כד</w:t>
      </w:r>
      <w:r w:rsidRPr="008B6E35">
        <w:rPr>
          <w:rFonts w:cs="Arial" w:hint="cs"/>
          <w:u w:val="single"/>
          <w:rtl/>
        </w:rPr>
        <w:t xml:space="preserve"> של בשר ליד כד של חלב: </w:t>
      </w:r>
    </w:p>
    <w:p w14:paraId="105F6815" w14:textId="77777777" w:rsidR="002C39F4" w:rsidRPr="00583F86" w:rsidRDefault="002C39F4" w:rsidP="0032102C">
      <w:pPr>
        <w:pStyle w:val="a8"/>
        <w:numPr>
          <w:ilvl w:val="0"/>
          <w:numId w:val="133"/>
        </w:numPr>
        <w:rPr>
          <w:rtl/>
        </w:rPr>
      </w:pPr>
      <w:r>
        <w:rPr>
          <w:rFonts w:cs="Arial"/>
          <w:rtl/>
        </w:rPr>
        <w:t>ר"י שירליאו"ן</w:t>
      </w:r>
      <w:r w:rsidRPr="008B6E35">
        <w:rPr>
          <w:rFonts w:cs="Arial"/>
          <w:rtl/>
        </w:rPr>
        <w:t xml:space="preserve"> בשם ר"י </w:t>
      </w:r>
      <w:r w:rsidRPr="00C77865">
        <w:rPr>
          <w:rFonts w:cs="Arial" w:hint="cs"/>
          <w:sz w:val="16"/>
          <w:szCs w:val="16"/>
          <w:rtl/>
        </w:rPr>
        <w:t xml:space="preserve">(הביאו </w:t>
      </w:r>
      <w:r>
        <w:rPr>
          <w:rFonts w:cs="Arial" w:hint="cs"/>
          <w:sz w:val="16"/>
          <w:szCs w:val="16"/>
          <w:rtl/>
        </w:rPr>
        <w:t>ה</w:t>
      </w:r>
      <w:r w:rsidRPr="00C77865">
        <w:rPr>
          <w:rFonts w:cs="Arial"/>
          <w:sz w:val="16"/>
          <w:szCs w:val="16"/>
          <w:rtl/>
        </w:rPr>
        <w:t>א</w:t>
      </w:r>
      <w:r w:rsidRPr="00C77865">
        <w:rPr>
          <w:rFonts w:cs="Arial" w:hint="cs"/>
          <w:sz w:val="16"/>
          <w:szCs w:val="16"/>
          <w:rtl/>
        </w:rPr>
        <w:t>ו</w:t>
      </w:r>
      <w:r w:rsidRPr="00C77865">
        <w:rPr>
          <w:rFonts w:cs="Arial"/>
          <w:sz w:val="16"/>
          <w:szCs w:val="16"/>
          <w:rtl/>
        </w:rPr>
        <w:t>"ז</w:t>
      </w:r>
      <w:r w:rsidRPr="00C77865">
        <w:rPr>
          <w:rFonts w:cs="Arial" w:hint="cs"/>
          <w:sz w:val="16"/>
          <w:szCs w:val="16"/>
          <w:rtl/>
        </w:rPr>
        <w:t>)</w:t>
      </w:r>
      <w:r w:rsidRPr="00C77865">
        <w:rPr>
          <w:rFonts w:cs="Arial" w:hint="cs"/>
          <w:rtl/>
        </w:rPr>
        <w:t xml:space="preserve"> </w:t>
      </w:r>
      <w:r>
        <w:rPr>
          <w:rFonts w:cs="Arial"/>
          <w:rtl/>
        </w:rPr>
        <w:t>או</w:t>
      </w:r>
      <w:r>
        <w:rPr>
          <w:rFonts w:cs="Arial" w:hint="cs"/>
          <w:rtl/>
        </w:rPr>
        <w:t>"</w:t>
      </w:r>
      <w:r>
        <w:rPr>
          <w:rFonts w:cs="Arial"/>
          <w:rtl/>
        </w:rPr>
        <w:t>ז</w:t>
      </w:r>
      <w:r w:rsidRPr="004701DD">
        <w:rPr>
          <w:rFonts w:cs="Arial"/>
          <w:rtl/>
        </w:rPr>
        <w:t xml:space="preserve"> </w:t>
      </w:r>
      <w:r w:rsidRPr="00C77865">
        <w:rPr>
          <w:rFonts w:cs="Arial"/>
          <w:sz w:val="16"/>
          <w:szCs w:val="16"/>
          <w:rtl/>
        </w:rPr>
        <w:t xml:space="preserve">(הל' בב"ח סי' תסח) </w:t>
      </w:r>
      <w:r w:rsidRPr="00C77865">
        <w:rPr>
          <w:rFonts w:cs="Arial" w:hint="cs"/>
          <w:rtl/>
        </w:rPr>
        <w:t>הג"א</w:t>
      </w:r>
      <w:r w:rsidRPr="00C77865">
        <w:rPr>
          <w:rFonts w:cs="Arial" w:hint="cs"/>
          <w:sz w:val="16"/>
          <w:szCs w:val="16"/>
          <w:rtl/>
        </w:rPr>
        <w:t xml:space="preserve"> </w:t>
      </w:r>
      <w:r>
        <w:rPr>
          <w:rFonts w:cs="Arial" w:hint="cs"/>
          <w:sz w:val="16"/>
          <w:szCs w:val="16"/>
          <w:rtl/>
        </w:rPr>
        <w:t>(</w:t>
      </w:r>
      <w:r w:rsidRPr="00C77865">
        <w:rPr>
          <w:rFonts w:cs="Arial" w:hint="cs"/>
          <w:sz w:val="16"/>
          <w:szCs w:val="16"/>
          <w:rtl/>
        </w:rPr>
        <w:t>סי' לב</w:t>
      </w:r>
      <w:r>
        <w:rPr>
          <w:rFonts w:cs="Arial" w:hint="cs"/>
          <w:sz w:val="16"/>
          <w:szCs w:val="16"/>
          <w:rtl/>
        </w:rPr>
        <w:t>)</w:t>
      </w:r>
      <w:r>
        <w:rPr>
          <w:rFonts w:cs="Arial" w:hint="cs"/>
          <w:rtl/>
        </w:rPr>
        <w:t xml:space="preserve"> ואו</w:t>
      </w:r>
      <w:r>
        <w:rPr>
          <w:rFonts w:cs="Arial"/>
          <w:rtl/>
        </w:rPr>
        <w:t>"</w:t>
      </w:r>
      <w:r>
        <w:rPr>
          <w:rFonts w:cs="Arial" w:hint="cs"/>
          <w:rtl/>
        </w:rPr>
        <w:t xml:space="preserve">ה </w:t>
      </w:r>
      <w:r w:rsidRPr="00C77865">
        <w:rPr>
          <w:rFonts w:cs="Arial" w:hint="cs"/>
          <w:sz w:val="16"/>
          <w:szCs w:val="16"/>
          <w:rtl/>
        </w:rPr>
        <w:t>(</w:t>
      </w:r>
      <w:r>
        <w:rPr>
          <w:rFonts w:cs="Arial" w:hint="cs"/>
          <w:sz w:val="16"/>
          <w:szCs w:val="16"/>
          <w:rtl/>
        </w:rPr>
        <w:t>כלל</w:t>
      </w:r>
      <w:r w:rsidRPr="00C77865">
        <w:rPr>
          <w:rFonts w:cs="Arial" w:hint="cs"/>
          <w:sz w:val="16"/>
          <w:szCs w:val="16"/>
          <w:rtl/>
        </w:rPr>
        <w:t xml:space="preserve"> </w:t>
      </w:r>
      <w:r w:rsidRPr="00C77865">
        <w:rPr>
          <w:rFonts w:cs="Arial"/>
          <w:sz w:val="16"/>
          <w:szCs w:val="16"/>
          <w:rtl/>
        </w:rPr>
        <w:t>מ</w:t>
      </w:r>
      <w:r>
        <w:rPr>
          <w:rFonts w:cs="Arial"/>
          <w:sz w:val="16"/>
          <w:szCs w:val="16"/>
          <w:rtl/>
        </w:rPr>
        <w:t xml:space="preserve"> </w:t>
      </w:r>
      <w:r>
        <w:rPr>
          <w:rFonts w:cs="Arial" w:hint="cs"/>
          <w:sz w:val="16"/>
          <w:szCs w:val="16"/>
          <w:rtl/>
        </w:rPr>
        <w:t>ד</w:t>
      </w:r>
      <w:r w:rsidRPr="00C77865">
        <w:rPr>
          <w:rFonts w:cs="Arial"/>
          <w:sz w:val="16"/>
          <w:szCs w:val="16"/>
          <w:rtl/>
        </w:rPr>
        <w:t>י</w:t>
      </w:r>
      <w:r>
        <w:rPr>
          <w:rFonts w:cs="Arial" w:hint="cs"/>
          <w:sz w:val="16"/>
          <w:szCs w:val="16"/>
          <w:rtl/>
        </w:rPr>
        <w:t>"</w:t>
      </w:r>
      <w:r w:rsidRPr="00C77865">
        <w:rPr>
          <w:rFonts w:cs="Arial"/>
          <w:sz w:val="16"/>
          <w:szCs w:val="16"/>
          <w:rtl/>
        </w:rPr>
        <w:t>ח</w:t>
      </w:r>
      <w:r w:rsidRPr="00C77865">
        <w:rPr>
          <w:rFonts w:cs="Arial" w:hint="cs"/>
          <w:sz w:val="16"/>
          <w:szCs w:val="16"/>
          <w:rtl/>
        </w:rPr>
        <w:t>)</w:t>
      </w:r>
      <w:r>
        <w:rPr>
          <w:rFonts w:cs="Arial" w:hint="cs"/>
          <w:rtl/>
        </w:rPr>
        <w:t xml:space="preserve">- </w:t>
      </w:r>
      <w:r w:rsidRPr="00C77865">
        <w:rPr>
          <w:rFonts w:cs="Arial"/>
          <w:rtl/>
        </w:rPr>
        <w:t>כתב מורי רבינו יהודה בשם רבינו יצחק ב"ר שמואל זצ"ל מיכן נראה להחמיר שלא להניח שני תבשילין של בשר וחלב זה סמוך לזה בתיבה אחת שמא יתערבו יחד ולאו אדעתי</w:t>
      </w:r>
      <w:r>
        <w:rPr>
          <w:rFonts w:cs="Arial" w:hint="cs"/>
          <w:rtl/>
        </w:rPr>
        <w:t>ה,</w:t>
      </w:r>
      <w:r w:rsidRPr="00C77865">
        <w:rPr>
          <w:rFonts w:cs="Arial"/>
          <w:rtl/>
        </w:rPr>
        <w:t xml:space="preserve"> כדאמ' הכא גבי כדא דמלחא וכדא דכמכא</w:t>
      </w:r>
      <w:r>
        <w:rPr>
          <w:rFonts w:cs="Arial" w:hint="cs"/>
          <w:rtl/>
        </w:rPr>
        <w:t>,</w:t>
      </w:r>
      <w:r w:rsidRPr="00C77865">
        <w:rPr>
          <w:rFonts w:cs="Arial"/>
          <w:rtl/>
        </w:rPr>
        <w:t xml:space="preserve"> ואפי' תמצא לומר שאצל לחם או בשר מותר לפי שהי' ניכר</w:t>
      </w:r>
      <w:r>
        <w:rPr>
          <w:rFonts w:cs="Arial" w:hint="cs"/>
          <w:rtl/>
        </w:rPr>
        <w:t xml:space="preserve"> -</w:t>
      </w:r>
      <w:r>
        <w:rPr>
          <w:rFonts w:cs="Arial"/>
          <w:rtl/>
        </w:rPr>
        <w:t xml:space="preserve"> בשני תבשילין מיהא סברא להחמיר</w:t>
      </w:r>
      <w:r>
        <w:rPr>
          <w:rFonts w:cs="Arial" w:hint="cs"/>
          <w:rtl/>
        </w:rPr>
        <w:t>,</w:t>
      </w:r>
      <w:r w:rsidRPr="00C77865">
        <w:rPr>
          <w:rFonts w:cs="Arial"/>
          <w:rtl/>
        </w:rPr>
        <w:t xml:space="preserve"> וא</w:t>
      </w:r>
      <w:r>
        <w:rPr>
          <w:rFonts w:cs="Arial" w:hint="cs"/>
          <w:rtl/>
        </w:rPr>
        <w:t>ע"פ</w:t>
      </w:r>
      <w:r w:rsidRPr="00C77865">
        <w:rPr>
          <w:rFonts w:cs="Arial"/>
          <w:rtl/>
        </w:rPr>
        <w:t xml:space="preserve"> שיש לחלק דשאני הכא דכדא דמלחא וכדא דכמכא וחלא עושין לטעם ולמשמרת לימים רבים וזמנין דנפל מ</w:t>
      </w:r>
      <w:r>
        <w:rPr>
          <w:rFonts w:cs="Arial"/>
          <w:rtl/>
        </w:rPr>
        <w:t>הא להא ולא יהי</w:t>
      </w:r>
      <w:r>
        <w:rPr>
          <w:rFonts w:cs="Arial" w:hint="cs"/>
          <w:rtl/>
        </w:rPr>
        <w:t>'</w:t>
      </w:r>
      <w:r w:rsidRPr="00C77865">
        <w:rPr>
          <w:rFonts w:cs="Arial"/>
          <w:rtl/>
        </w:rPr>
        <w:t xml:space="preserve"> אדעתי</w:t>
      </w:r>
      <w:r>
        <w:rPr>
          <w:rFonts w:cs="Arial" w:hint="cs"/>
          <w:rtl/>
        </w:rPr>
        <w:t>ה</w:t>
      </w:r>
      <w:r w:rsidRPr="00C77865">
        <w:rPr>
          <w:rFonts w:cs="Arial"/>
          <w:rtl/>
        </w:rPr>
        <w:t xml:space="preserve"> אבל בדבר שאינו עשוי להצניע אלא לפי שעה אין לחוש</w:t>
      </w:r>
      <w:r>
        <w:rPr>
          <w:rFonts w:cs="Arial" w:hint="cs"/>
          <w:rtl/>
        </w:rPr>
        <w:t>,</w:t>
      </w:r>
      <w:r w:rsidRPr="00C77865">
        <w:rPr>
          <w:rFonts w:cs="Arial"/>
          <w:rtl/>
        </w:rPr>
        <w:t xml:space="preserve"> מ"מ נראה סב</w:t>
      </w:r>
      <w:r>
        <w:rPr>
          <w:rFonts w:cs="Arial"/>
          <w:rtl/>
        </w:rPr>
        <w:t>רא להחמיר אם לא יכסנו היטב עכ"ל</w:t>
      </w:r>
      <w:r>
        <w:rPr>
          <w:rFonts w:cs="Arial" w:hint="cs"/>
          <w:rtl/>
        </w:rPr>
        <w:t>,</w:t>
      </w:r>
      <w:r w:rsidRPr="00C77865">
        <w:rPr>
          <w:rFonts w:cs="Arial"/>
          <w:rtl/>
        </w:rPr>
        <w:t xml:space="preserve"> מיהו היכא שהניח בד</w:t>
      </w:r>
      <w:r>
        <w:rPr>
          <w:rFonts w:cs="Arial" w:hint="cs"/>
          <w:rtl/>
        </w:rPr>
        <w:t>י</w:t>
      </w:r>
      <w:r w:rsidRPr="00C77865">
        <w:rPr>
          <w:rFonts w:cs="Arial"/>
          <w:rtl/>
        </w:rPr>
        <w:t>עבד לא מחזקינן איסורא ושר</w:t>
      </w:r>
      <w:r>
        <w:rPr>
          <w:rFonts w:cs="Arial" w:hint="cs"/>
          <w:rtl/>
        </w:rPr>
        <w:t>י</w:t>
      </w:r>
      <w:r>
        <w:rPr>
          <w:rFonts w:cs="Arial" w:hint="cs"/>
          <w:sz w:val="16"/>
          <w:szCs w:val="16"/>
          <w:rtl/>
        </w:rPr>
        <w:t xml:space="preserve"> (ל' האו"ז)</w:t>
      </w:r>
      <w:r>
        <w:rPr>
          <w:rStyle w:val="a7"/>
          <w:rFonts w:cs="Arial"/>
          <w:rtl/>
        </w:rPr>
        <w:footnoteReference w:id="1657"/>
      </w:r>
      <w:r>
        <w:rPr>
          <w:rFonts w:cs="Arial"/>
          <w:rtl/>
        </w:rPr>
        <w:t xml:space="preserve">. </w:t>
      </w:r>
      <w:r>
        <w:rPr>
          <w:rFonts w:hint="cs"/>
          <w:rtl/>
        </w:rPr>
        <w:t xml:space="preserve"> </w:t>
      </w:r>
    </w:p>
    <w:p w14:paraId="3728A81C" w14:textId="77777777" w:rsidR="002C39F4" w:rsidRPr="008B6E35" w:rsidRDefault="002C39F4" w:rsidP="0032102C">
      <w:pPr>
        <w:pStyle w:val="a8"/>
        <w:numPr>
          <w:ilvl w:val="0"/>
          <w:numId w:val="133"/>
        </w:numPr>
      </w:pPr>
      <w:r>
        <w:rPr>
          <w:rFonts w:cs="Arial"/>
          <w:rtl/>
        </w:rPr>
        <w:t>תוס</w:t>
      </w:r>
      <w:r>
        <w:rPr>
          <w:rFonts w:cs="Arial" w:hint="cs"/>
          <w:rtl/>
        </w:rPr>
        <w:t>'</w:t>
      </w:r>
      <w:r>
        <w:rPr>
          <w:rFonts w:cs="Arial"/>
          <w:rtl/>
        </w:rPr>
        <w:t xml:space="preserve"> </w:t>
      </w:r>
      <w:r w:rsidRPr="00C77865">
        <w:rPr>
          <w:rFonts w:cs="Arial"/>
          <w:sz w:val="16"/>
          <w:szCs w:val="16"/>
          <w:rtl/>
        </w:rPr>
        <w:t xml:space="preserve">(ד"ה מהו לאנוחי) </w:t>
      </w:r>
      <w:r>
        <w:rPr>
          <w:rFonts w:cs="Arial"/>
          <w:rtl/>
        </w:rPr>
        <w:t>ו</w:t>
      </w:r>
      <w:r w:rsidRPr="008B6E35">
        <w:rPr>
          <w:rFonts w:cs="Arial"/>
          <w:rtl/>
        </w:rPr>
        <w:t xml:space="preserve">רא"ש </w:t>
      </w:r>
      <w:r w:rsidRPr="00C77865">
        <w:rPr>
          <w:rFonts w:cs="Arial"/>
          <w:sz w:val="16"/>
          <w:szCs w:val="16"/>
          <w:rtl/>
        </w:rPr>
        <w:t>(פכ"ה סי' לב)</w:t>
      </w:r>
      <w:r>
        <w:rPr>
          <w:rFonts w:cs="Arial" w:hint="cs"/>
          <w:rtl/>
        </w:rPr>
        <w:t>-</w:t>
      </w:r>
      <w:r w:rsidRPr="008B6E35">
        <w:rPr>
          <w:rFonts w:cs="Arial"/>
          <w:rtl/>
        </w:rPr>
        <w:t xml:space="preserve"> אין ליזהר מטעם זה לתת בתוך תיבה אחת כד של בשר אצל כד של חלב דמיזהר זהירי שלא יפול מזה לזה</w:t>
      </w:r>
      <w:r>
        <w:rPr>
          <w:rFonts w:cs="Arial" w:hint="cs"/>
          <w:rtl/>
        </w:rPr>
        <w:t>,</w:t>
      </w:r>
      <w:r w:rsidRPr="008B6E35">
        <w:rPr>
          <w:rFonts w:cs="Arial"/>
          <w:rtl/>
        </w:rPr>
        <w:t xml:space="preserve"> אבל הכא לא מסקי אדעתייהו להזהר שלא יפול מן הכותח במלח ויתן ממנו לתבשיל</w:t>
      </w:r>
      <w:r w:rsidRPr="008B6E35">
        <w:rPr>
          <w:rStyle w:val="a7"/>
          <w:rFonts w:cs="Arial"/>
          <w:rtl/>
        </w:rPr>
        <w:footnoteReference w:id="1658"/>
      </w:r>
      <w:r>
        <w:rPr>
          <w:rFonts w:cs="Arial" w:hint="cs"/>
          <w:rtl/>
        </w:rPr>
        <w:t>.</w:t>
      </w:r>
      <w:r w:rsidRPr="00C77865">
        <w:rPr>
          <w:rFonts w:hint="cs"/>
          <w:color w:val="E36C0A" w:themeColor="accent6" w:themeShade="BF"/>
          <w:rtl/>
        </w:rPr>
        <w:t xml:space="preserve"> (וכ"פ בשו"ע)</w:t>
      </w:r>
      <w:r>
        <w:rPr>
          <w:rFonts w:hint="cs"/>
          <w:rtl/>
        </w:rPr>
        <w:t xml:space="preserve"> </w:t>
      </w:r>
    </w:p>
    <w:p w14:paraId="2DC61E6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488A6D1" w14:textId="77777777" w:rsidR="002C39F4" w:rsidRPr="00583F86" w:rsidRDefault="002C39F4" w:rsidP="002C39F4">
      <w:pPr>
        <w:rPr>
          <w:rFonts w:asciiTheme="minorBidi" w:hAnsiTheme="minorBidi"/>
          <w:sz w:val="18"/>
          <w:szCs w:val="18"/>
          <w:rtl/>
        </w:rPr>
      </w:pPr>
      <w:r w:rsidRPr="003024E5">
        <w:rPr>
          <w:rFonts w:asciiTheme="minorBidi" w:hAnsiTheme="minorBidi"/>
          <w:rtl/>
        </w:rPr>
        <w:t xml:space="preserve">מותר ליתן בתוך תיבה כד של בשר אצל של חלב. </w:t>
      </w:r>
      <w:r w:rsidRPr="00583F86">
        <w:rPr>
          <w:rFonts w:asciiTheme="minorBidi" w:hAnsiTheme="minorBidi"/>
          <w:sz w:val="18"/>
          <w:szCs w:val="18"/>
          <w:rtl/>
        </w:rPr>
        <w:t xml:space="preserve">הגה: </w:t>
      </w:r>
      <w:r>
        <w:rPr>
          <w:rFonts w:asciiTheme="minorBidi" w:hAnsiTheme="minorBidi"/>
          <w:sz w:val="18"/>
          <w:szCs w:val="18"/>
          <w:rtl/>
        </w:rPr>
        <w:t>ויש מחמירין לכתחלה</w:t>
      </w:r>
      <w:r>
        <w:rPr>
          <w:rStyle w:val="a7"/>
          <w:rFonts w:asciiTheme="minorBidi" w:hAnsiTheme="minorBidi"/>
          <w:sz w:val="18"/>
          <w:szCs w:val="18"/>
          <w:rtl/>
        </w:rPr>
        <w:footnoteReference w:id="1659"/>
      </w:r>
      <w:r>
        <w:rPr>
          <w:rFonts w:asciiTheme="minorBidi" w:hAnsiTheme="minorBidi"/>
          <w:sz w:val="18"/>
          <w:szCs w:val="18"/>
          <w:rtl/>
        </w:rPr>
        <w:t xml:space="preserve"> (הג</w:t>
      </w:r>
      <w:r>
        <w:rPr>
          <w:rFonts w:asciiTheme="minorBidi" w:hAnsiTheme="minorBidi" w:hint="cs"/>
          <w:sz w:val="18"/>
          <w:szCs w:val="18"/>
          <w:rtl/>
        </w:rPr>
        <w:t>"</w:t>
      </w:r>
      <w:r>
        <w:rPr>
          <w:rFonts w:asciiTheme="minorBidi" w:hAnsiTheme="minorBidi"/>
          <w:sz w:val="18"/>
          <w:szCs w:val="18"/>
          <w:rtl/>
        </w:rPr>
        <w:t>א בשם א</w:t>
      </w:r>
      <w:r>
        <w:rPr>
          <w:rFonts w:asciiTheme="minorBidi" w:hAnsiTheme="minorBidi" w:hint="cs"/>
          <w:sz w:val="18"/>
          <w:szCs w:val="18"/>
          <w:rtl/>
        </w:rPr>
        <w:t>ו</w:t>
      </w:r>
      <w:r>
        <w:rPr>
          <w:rFonts w:asciiTheme="minorBidi" w:hAnsiTheme="minorBidi"/>
          <w:sz w:val="18"/>
          <w:szCs w:val="18"/>
          <w:rtl/>
        </w:rPr>
        <w:t>"ז)</w:t>
      </w:r>
      <w:r>
        <w:rPr>
          <w:rFonts w:asciiTheme="minorBidi" w:hAnsiTheme="minorBidi" w:hint="cs"/>
          <w:sz w:val="18"/>
          <w:szCs w:val="18"/>
          <w:rtl/>
        </w:rPr>
        <w:t>,</w:t>
      </w:r>
      <w:r w:rsidRPr="00583F86">
        <w:rPr>
          <w:rFonts w:asciiTheme="minorBidi" w:hAnsiTheme="minorBidi"/>
          <w:sz w:val="18"/>
          <w:szCs w:val="18"/>
          <w:rtl/>
        </w:rPr>
        <w:t xml:space="preserve"> וטוב ליזהר לכתחלה במקום שאינו צריך</w:t>
      </w:r>
      <w:r>
        <w:rPr>
          <w:rFonts w:asciiTheme="minorBidi" w:hAnsiTheme="minorBidi" w:hint="cs"/>
          <w:sz w:val="18"/>
          <w:szCs w:val="18"/>
          <w:rtl/>
        </w:rPr>
        <w:t xml:space="preserve"> (ד"ע)</w:t>
      </w:r>
      <w:r w:rsidRPr="00583F86">
        <w:rPr>
          <w:rFonts w:asciiTheme="minorBidi" w:hAnsiTheme="minorBidi"/>
          <w:sz w:val="18"/>
          <w:szCs w:val="18"/>
          <w:rtl/>
        </w:rPr>
        <w:t xml:space="preserve">. </w:t>
      </w:r>
    </w:p>
    <w:p w14:paraId="29745427" w14:textId="77777777" w:rsidR="002C39F4" w:rsidRPr="003024E5" w:rsidRDefault="002C39F4" w:rsidP="002C39F4">
      <w:pPr>
        <w:rPr>
          <w:rFonts w:asciiTheme="minorBidi" w:hAnsiTheme="minorBidi"/>
          <w:rtl/>
        </w:rPr>
      </w:pPr>
    </w:p>
    <w:p w14:paraId="6ECD26CB"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מלח הנתון בקערה של בשר.</w:t>
      </w:r>
    </w:p>
    <w:p w14:paraId="4F5636A7" w14:textId="77777777" w:rsidR="002C39F4" w:rsidRPr="00955D48" w:rsidRDefault="002C39F4" w:rsidP="002C39F4">
      <w:pPr>
        <w:rPr>
          <w:sz w:val="16"/>
          <w:szCs w:val="16"/>
        </w:rPr>
      </w:pPr>
      <w:r w:rsidRPr="008E2066">
        <w:rPr>
          <w:rFonts w:hint="cs"/>
          <w:u w:val="single"/>
          <w:rtl/>
        </w:rPr>
        <w:t>מלח הנתון בקערה של בשר:</w:t>
      </w:r>
      <w:r>
        <w:rPr>
          <w:rFonts w:hint="cs"/>
          <w:sz w:val="16"/>
          <w:szCs w:val="16"/>
          <w:rtl/>
        </w:rPr>
        <w:t xml:space="preserve">  (ב"י [סי' קה סע' יג] ודרכ"מ [סי' קה אות יד ואות יז])</w:t>
      </w:r>
    </w:p>
    <w:p w14:paraId="397B76B7" w14:textId="77777777" w:rsidR="002C39F4" w:rsidRPr="00E36013" w:rsidRDefault="002C39F4" w:rsidP="0032102C">
      <w:pPr>
        <w:pStyle w:val="a8"/>
        <w:numPr>
          <w:ilvl w:val="0"/>
          <w:numId w:val="170"/>
        </w:numPr>
      </w:pPr>
      <w:r w:rsidRPr="00620623">
        <w:rPr>
          <w:rFonts w:cs="Arial"/>
          <w:rtl/>
        </w:rPr>
        <w:t>א</w:t>
      </w:r>
      <w:r>
        <w:rPr>
          <w:rFonts w:cs="Arial" w:hint="cs"/>
          <w:rtl/>
        </w:rPr>
        <w:t>"</w:t>
      </w:r>
      <w:r w:rsidRPr="00620623">
        <w:rPr>
          <w:rFonts w:cs="Arial"/>
          <w:rtl/>
        </w:rPr>
        <w:t>ח</w:t>
      </w:r>
      <w:r>
        <w:rPr>
          <w:rFonts w:cs="Arial" w:hint="cs"/>
          <w:rtl/>
        </w:rPr>
        <w:t xml:space="preserve"> </w:t>
      </w:r>
      <w:r w:rsidRPr="00620623">
        <w:rPr>
          <w:rFonts w:cs="Arial"/>
          <w:rtl/>
        </w:rPr>
        <w:t xml:space="preserve">בשם הרא"ה </w:t>
      </w:r>
      <w:r>
        <w:rPr>
          <w:rFonts w:cs="Arial" w:hint="cs"/>
          <w:rtl/>
        </w:rPr>
        <w:t xml:space="preserve">מרדכי </w:t>
      </w:r>
      <w:r w:rsidRPr="00620623">
        <w:rPr>
          <w:rFonts w:cs="Arial"/>
          <w:rtl/>
        </w:rPr>
        <w:t>רא"ש</w:t>
      </w:r>
      <w:r>
        <w:rPr>
          <w:rFonts w:cs="Arial" w:hint="cs"/>
          <w:rtl/>
        </w:rPr>
        <w:t xml:space="preserve"> וטור</w:t>
      </w:r>
      <w:r>
        <w:rPr>
          <w:rStyle w:val="a7"/>
          <w:rFonts w:cs="Arial"/>
          <w:rtl/>
        </w:rPr>
        <w:footnoteReference w:id="1660"/>
      </w:r>
      <w:r>
        <w:rPr>
          <w:rFonts w:cs="Arial" w:hint="cs"/>
          <w:rtl/>
        </w:rPr>
        <w:t xml:space="preserve">- </w:t>
      </w:r>
      <w:r w:rsidRPr="00FD7423">
        <w:rPr>
          <w:rFonts w:cs="Arial"/>
          <w:rtl/>
        </w:rPr>
        <w:t>מלח שהוא בקערה של בשר מותר ליתנו בחלב</w:t>
      </w:r>
      <w:r>
        <w:rPr>
          <w:rStyle w:val="a7"/>
          <w:rFonts w:cs="Arial"/>
          <w:rtl/>
        </w:rPr>
        <w:footnoteReference w:id="1661"/>
      </w:r>
      <w:r>
        <w:rPr>
          <w:rFonts w:cs="Arial" w:hint="cs"/>
          <w:sz w:val="16"/>
          <w:szCs w:val="16"/>
          <w:rtl/>
        </w:rPr>
        <w:t xml:space="preserve"> (ל' הטור)</w:t>
      </w:r>
      <w:r w:rsidRPr="00FD7423">
        <w:rPr>
          <w:rFonts w:cs="Arial" w:hint="cs"/>
          <w:rtl/>
        </w:rPr>
        <w:t>.</w:t>
      </w:r>
      <w:r>
        <w:rPr>
          <w:rFonts w:hint="cs"/>
          <w:rtl/>
        </w:rPr>
        <w:t xml:space="preserve"> </w:t>
      </w:r>
      <w:r w:rsidRPr="00934D6D">
        <w:rPr>
          <w:rFonts w:hint="cs"/>
          <w:color w:val="E36C0A" w:themeColor="accent6" w:themeShade="BF"/>
          <w:rtl/>
        </w:rPr>
        <w:t>(וכ"פ בשו"ע)</w:t>
      </w:r>
    </w:p>
    <w:p w14:paraId="50862059" w14:textId="77777777" w:rsidR="002C39F4" w:rsidRDefault="002C39F4" w:rsidP="0032102C">
      <w:pPr>
        <w:pStyle w:val="a8"/>
        <w:numPr>
          <w:ilvl w:val="0"/>
          <w:numId w:val="170"/>
        </w:numPr>
      </w:pPr>
      <w:r w:rsidRPr="008E2066">
        <w:rPr>
          <w:rFonts w:cs="Arial"/>
          <w:rtl/>
        </w:rPr>
        <w:t>תוס</w:t>
      </w:r>
      <w:r>
        <w:rPr>
          <w:rFonts w:cs="Arial" w:hint="cs"/>
          <w:rtl/>
        </w:rPr>
        <w:t>'</w:t>
      </w:r>
      <w:r w:rsidRPr="008E2066">
        <w:rPr>
          <w:rFonts w:cs="Arial"/>
          <w:rtl/>
        </w:rPr>
        <w:t xml:space="preserve"> </w:t>
      </w:r>
      <w:r w:rsidRPr="00E36013">
        <w:rPr>
          <w:rFonts w:cs="Arial"/>
          <w:sz w:val="16"/>
          <w:szCs w:val="16"/>
          <w:rtl/>
        </w:rPr>
        <w:t>(</w:t>
      </w:r>
      <w:r w:rsidRPr="00E36013">
        <w:rPr>
          <w:rFonts w:cs="Arial" w:hint="cs"/>
          <w:sz w:val="16"/>
          <w:szCs w:val="16"/>
          <w:rtl/>
        </w:rPr>
        <w:t xml:space="preserve">חולין </w:t>
      </w:r>
      <w:r w:rsidRPr="00E36013">
        <w:rPr>
          <w:rFonts w:cs="Arial"/>
          <w:sz w:val="16"/>
          <w:szCs w:val="16"/>
          <w:rtl/>
        </w:rPr>
        <w:t xml:space="preserve">קיג. ד"ה טהור) </w:t>
      </w:r>
      <w:r w:rsidRPr="008E2066">
        <w:rPr>
          <w:rFonts w:cs="Arial"/>
          <w:rtl/>
        </w:rPr>
        <w:t xml:space="preserve">וסמ"ג </w:t>
      </w:r>
      <w:r w:rsidRPr="00E36013">
        <w:rPr>
          <w:rFonts w:cs="Arial"/>
          <w:sz w:val="16"/>
          <w:szCs w:val="16"/>
          <w:rtl/>
        </w:rPr>
        <w:t>(לאוין קלז מח א)</w:t>
      </w:r>
      <w:r>
        <w:rPr>
          <w:rFonts w:cs="Arial" w:hint="cs"/>
          <w:rtl/>
        </w:rPr>
        <w:t xml:space="preserve">- </w:t>
      </w:r>
      <w:r w:rsidRPr="008E2066">
        <w:rPr>
          <w:rFonts w:cs="Arial"/>
          <w:rtl/>
        </w:rPr>
        <w:t>המחמיר תע"ב</w:t>
      </w:r>
      <w:r>
        <w:rPr>
          <w:rStyle w:val="a7"/>
          <w:rFonts w:cs="Arial"/>
          <w:rtl/>
        </w:rPr>
        <w:footnoteReference w:id="1662"/>
      </w:r>
      <w:r>
        <w:rPr>
          <w:rFonts w:cs="Arial" w:hint="cs"/>
          <w:rtl/>
        </w:rPr>
        <w:t>.</w:t>
      </w:r>
    </w:p>
    <w:p w14:paraId="4493D651" w14:textId="77777777" w:rsidR="002C39F4" w:rsidRDefault="002C39F4" w:rsidP="0032102C">
      <w:pPr>
        <w:pStyle w:val="a8"/>
        <w:numPr>
          <w:ilvl w:val="0"/>
          <w:numId w:val="170"/>
        </w:numPr>
        <w:rPr>
          <w:rtl/>
        </w:rPr>
      </w:pPr>
      <w:r w:rsidRPr="003936F4">
        <w:rPr>
          <w:rFonts w:cs="Arial"/>
          <w:rtl/>
        </w:rPr>
        <w:t xml:space="preserve">רדב"ז </w:t>
      </w:r>
      <w:r w:rsidRPr="003936F4">
        <w:rPr>
          <w:rFonts w:cs="Arial" w:hint="cs"/>
          <w:sz w:val="16"/>
          <w:szCs w:val="16"/>
          <w:rtl/>
        </w:rPr>
        <w:t>(</w:t>
      </w:r>
      <w:r w:rsidRPr="003936F4">
        <w:rPr>
          <w:rFonts w:cs="Arial"/>
          <w:sz w:val="16"/>
          <w:szCs w:val="16"/>
          <w:rtl/>
        </w:rPr>
        <w:t>החדשות סי' רלו</w:t>
      </w:r>
      <w:r>
        <w:rPr>
          <w:rFonts w:cs="Arial" w:hint="cs"/>
          <w:sz w:val="16"/>
          <w:szCs w:val="16"/>
          <w:rtl/>
        </w:rPr>
        <w:t>, הביאו הפת"ש סק"ח</w:t>
      </w:r>
      <w:r w:rsidRPr="003936F4">
        <w:rPr>
          <w:rFonts w:cs="Arial"/>
          <w:sz w:val="16"/>
          <w:szCs w:val="16"/>
          <w:rtl/>
        </w:rPr>
        <w:t>)</w:t>
      </w:r>
      <w:r>
        <w:rPr>
          <w:rFonts w:cs="Arial" w:hint="cs"/>
          <w:rtl/>
        </w:rPr>
        <w:t xml:space="preserve">- </w:t>
      </w:r>
      <w:r w:rsidRPr="003936F4">
        <w:rPr>
          <w:rFonts w:cs="Arial"/>
          <w:rtl/>
        </w:rPr>
        <w:t>דוקא בכלי חרס ראוי להחמיר ולא בשאר כלים</w:t>
      </w:r>
      <w:r>
        <w:rPr>
          <w:rFonts w:cs="Arial" w:hint="cs"/>
          <w:rtl/>
        </w:rPr>
        <w:t>.</w:t>
      </w:r>
    </w:p>
    <w:p w14:paraId="7691AF0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DF56674" w14:textId="77777777" w:rsidR="002C39F4" w:rsidRPr="00934D6D" w:rsidRDefault="002C39F4" w:rsidP="002C39F4">
      <w:pPr>
        <w:rPr>
          <w:rFonts w:asciiTheme="minorBidi" w:hAnsiTheme="minorBidi"/>
          <w:sz w:val="18"/>
          <w:szCs w:val="18"/>
          <w:rtl/>
        </w:rPr>
        <w:sectPr w:rsidR="002C39F4" w:rsidRPr="00934D6D" w:rsidSect="004C5A3C">
          <w:footnotePr>
            <w:numRestart w:val="eachPage"/>
          </w:footnotePr>
          <w:pgSz w:w="11906" w:h="16838"/>
          <w:pgMar w:top="720" w:right="1134" w:bottom="720" w:left="1134" w:header="0" w:footer="0" w:gutter="0"/>
          <w:cols w:space="720"/>
          <w:bidi/>
          <w:rtlGutter/>
          <w:docGrid w:linePitch="360"/>
        </w:sectPr>
      </w:pPr>
      <w:r>
        <w:rPr>
          <w:rFonts w:asciiTheme="minorBidi" w:hAnsiTheme="minorBidi"/>
          <w:rtl/>
        </w:rPr>
        <w:t>מלח הנתון בקערה של בשר</w:t>
      </w:r>
      <w:r w:rsidRPr="003024E5">
        <w:rPr>
          <w:rFonts w:asciiTheme="minorBidi" w:hAnsiTheme="minorBidi"/>
          <w:rtl/>
        </w:rPr>
        <w:t xml:space="preserve"> מותר ליתנו בחלב</w:t>
      </w:r>
      <w:r>
        <w:rPr>
          <w:rStyle w:val="a7"/>
          <w:rFonts w:asciiTheme="minorBidi" w:hAnsiTheme="minorBidi"/>
          <w:rtl/>
        </w:rPr>
        <w:footnoteReference w:id="1663"/>
      </w:r>
      <w:r w:rsidRPr="003024E5">
        <w:rPr>
          <w:rFonts w:asciiTheme="minorBidi" w:hAnsiTheme="minorBidi"/>
          <w:rtl/>
        </w:rPr>
        <w:t xml:space="preserve">. </w:t>
      </w:r>
      <w:r>
        <w:rPr>
          <w:rFonts w:asciiTheme="minorBidi" w:hAnsiTheme="minorBidi"/>
          <w:sz w:val="18"/>
          <w:szCs w:val="18"/>
          <w:rtl/>
        </w:rPr>
        <w:t>הגה: והמחמיר גם בזה</w:t>
      </w:r>
      <w:r w:rsidRPr="00583F86">
        <w:rPr>
          <w:rFonts w:asciiTheme="minorBidi" w:hAnsiTheme="minorBidi"/>
          <w:sz w:val="18"/>
          <w:szCs w:val="18"/>
          <w:rtl/>
        </w:rPr>
        <w:t xml:space="preserve"> תע</w:t>
      </w:r>
      <w:r>
        <w:rPr>
          <w:rFonts w:asciiTheme="minorBidi" w:hAnsiTheme="minorBidi" w:hint="cs"/>
          <w:sz w:val="18"/>
          <w:szCs w:val="18"/>
          <w:rtl/>
        </w:rPr>
        <w:t>"</w:t>
      </w:r>
      <w:r w:rsidRPr="00583F86">
        <w:rPr>
          <w:rFonts w:asciiTheme="minorBidi" w:hAnsiTheme="minorBidi"/>
          <w:sz w:val="18"/>
          <w:szCs w:val="18"/>
          <w:rtl/>
        </w:rPr>
        <w:t>ב כי יש מחמירין לכתחלה</w:t>
      </w:r>
      <w:r>
        <w:rPr>
          <w:rStyle w:val="a7"/>
          <w:rFonts w:asciiTheme="minorBidi" w:hAnsiTheme="minorBidi"/>
          <w:sz w:val="18"/>
          <w:szCs w:val="18"/>
          <w:rtl/>
        </w:rPr>
        <w:footnoteReference w:id="1664"/>
      </w:r>
      <w:r>
        <w:rPr>
          <w:rFonts w:asciiTheme="minorBidi" w:hAnsiTheme="minorBidi"/>
          <w:sz w:val="16"/>
          <w:szCs w:val="16"/>
          <w:rtl/>
        </w:rPr>
        <w:t xml:space="preserve"> (תוס' </w:t>
      </w:r>
      <w:r w:rsidRPr="00583F86">
        <w:rPr>
          <w:rFonts w:asciiTheme="minorBidi" w:hAnsiTheme="minorBidi"/>
          <w:sz w:val="16"/>
          <w:szCs w:val="16"/>
          <w:rtl/>
        </w:rPr>
        <w:t>סמ"ג ואו"ה)</w:t>
      </w:r>
      <w:r>
        <w:rPr>
          <w:rFonts w:asciiTheme="minorBidi" w:hAnsiTheme="minorBidi" w:hint="cs"/>
          <w:sz w:val="18"/>
          <w:szCs w:val="18"/>
          <w:rtl/>
        </w:rPr>
        <w:t>.</w:t>
      </w:r>
    </w:p>
    <w:p w14:paraId="5A685D29"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צו: דין מאכל חריף שנחתך בסכין של בשר, ובו ה' סעיפים. </w:t>
      </w:r>
    </w:p>
    <w:p w14:paraId="70CAD2BF"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צנון או סלק שחתכם בסכין של בשר.</w:t>
      </w:r>
    </w:p>
    <w:p w14:paraId="3003D5F6" w14:textId="77777777" w:rsidR="002C39F4" w:rsidRDefault="002C39F4" w:rsidP="002C39F4">
      <w:pPr>
        <w:rPr>
          <w:rFonts w:cs="Arial"/>
          <w:rtl/>
        </w:rPr>
      </w:pPr>
      <w:r>
        <w:rPr>
          <w:rFonts w:cs="Arial" w:hint="cs"/>
          <w:b/>
          <w:bCs/>
          <w:rtl/>
        </w:rPr>
        <w:t xml:space="preserve">חולין קיא ע"ב: </w:t>
      </w:r>
      <w:r w:rsidRPr="00763D8C">
        <w:rPr>
          <w:rFonts w:cs="Arial"/>
          <w:u w:val="single"/>
          <w:rtl/>
        </w:rPr>
        <w:t>אמר חזקיה משום אביי</w:t>
      </w:r>
      <w:r w:rsidRPr="00763D8C">
        <w:rPr>
          <w:rFonts w:cs="Arial"/>
          <w:rtl/>
        </w:rPr>
        <w:t>, הלכתא: דגים</w:t>
      </w:r>
      <w:r>
        <w:rPr>
          <w:rFonts w:cs="Arial"/>
          <w:rtl/>
        </w:rPr>
        <w:t xml:space="preserve"> שעלו בקערה</w:t>
      </w:r>
      <w:r>
        <w:rPr>
          <w:rFonts w:cs="Arial" w:hint="cs"/>
          <w:rtl/>
        </w:rPr>
        <w:t xml:space="preserve"> </w:t>
      </w:r>
      <w:r>
        <w:rPr>
          <w:rFonts w:cs="Arial"/>
          <w:rtl/>
        </w:rPr>
        <w:t>- מותר לאוכלן בכותח</w:t>
      </w:r>
      <w:r>
        <w:rPr>
          <w:rFonts w:cs="Arial" w:hint="cs"/>
          <w:rtl/>
        </w:rPr>
        <w:t>,</w:t>
      </w:r>
      <w:r w:rsidRPr="00FA171B">
        <w:rPr>
          <w:rtl/>
        </w:rPr>
        <w:t xml:space="preserve"> </w:t>
      </w:r>
      <w:r w:rsidRPr="00FA171B">
        <w:rPr>
          <w:rFonts w:cs="Arial"/>
          <w:rtl/>
        </w:rPr>
        <w:t>צנון שחתכו בסכין שחתך בה בשר</w:t>
      </w:r>
      <w:r>
        <w:rPr>
          <w:rFonts w:cs="Arial" w:hint="cs"/>
          <w:rtl/>
        </w:rPr>
        <w:t xml:space="preserve"> </w:t>
      </w:r>
      <w:r>
        <w:rPr>
          <w:rFonts w:cs="Arial"/>
          <w:rtl/>
        </w:rPr>
        <w:t>- אסור לאוכלו בכותח, וה"מ צנון</w:t>
      </w:r>
      <w:r>
        <w:rPr>
          <w:rFonts w:cs="Arial" w:hint="cs"/>
          <w:rtl/>
        </w:rPr>
        <w:t xml:space="preserve"> </w:t>
      </w:r>
      <w:r w:rsidRPr="00FA171B">
        <w:rPr>
          <w:rFonts w:cs="Arial"/>
          <w:rtl/>
        </w:rPr>
        <w:t>-</w:t>
      </w:r>
      <w:r w:rsidRPr="00FA171B">
        <w:rPr>
          <w:rtl/>
        </w:rPr>
        <w:t xml:space="preserve"> </w:t>
      </w:r>
      <w:r w:rsidRPr="00FA171B">
        <w:rPr>
          <w:rFonts w:cs="Arial"/>
          <w:rtl/>
        </w:rPr>
        <w:t>דאגב חורפיה בלע, אבל קישות</w:t>
      </w:r>
      <w:r>
        <w:rPr>
          <w:rStyle w:val="a7"/>
          <w:rFonts w:cs="Arial"/>
          <w:rtl/>
        </w:rPr>
        <w:footnoteReference w:id="1665"/>
      </w:r>
      <w:r>
        <w:rPr>
          <w:rFonts w:cs="Arial" w:hint="cs"/>
          <w:rtl/>
        </w:rPr>
        <w:t xml:space="preserve"> </w:t>
      </w:r>
      <w:r w:rsidRPr="00FA171B">
        <w:rPr>
          <w:rFonts w:cs="Arial"/>
          <w:rtl/>
        </w:rPr>
        <w:t>- גריר לבי פסקיה וא</w:t>
      </w:r>
      <w:r>
        <w:rPr>
          <w:rFonts w:cs="Arial"/>
          <w:rtl/>
        </w:rPr>
        <w:t>כיל, קילחי דליפתא</w:t>
      </w:r>
      <w:r>
        <w:rPr>
          <w:rStyle w:val="a7"/>
          <w:rFonts w:cs="Arial"/>
          <w:rtl/>
        </w:rPr>
        <w:footnoteReference w:id="1666"/>
      </w:r>
      <w:r>
        <w:rPr>
          <w:rFonts w:cs="Arial" w:hint="cs"/>
          <w:rtl/>
        </w:rPr>
        <w:t xml:space="preserve"> </w:t>
      </w:r>
      <w:r>
        <w:rPr>
          <w:rFonts w:cs="Arial"/>
          <w:rtl/>
        </w:rPr>
        <w:t>- שרי, דסילקא</w:t>
      </w:r>
      <w:r>
        <w:rPr>
          <w:rFonts w:cs="Arial" w:hint="cs"/>
          <w:rtl/>
        </w:rPr>
        <w:t xml:space="preserve"> </w:t>
      </w:r>
      <w:r>
        <w:rPr>
          <w:rFonts w:cs="Arial"/>
          <w:rtl/>
        </w:rPr>
        <w:t>- אסירי</w:t>
      </w:r>
      <w:r>
        <w:rPr>
          <w:rStyle w:val="a7"/>
          <w:rFonts w:cs="Arial"/>
          <w:rtl/>
        </w:rPr>
        <w:footnoteReference w:id="1667"/>
      </w:r>
      <w:r>
        <w:rPr>
          <w:rFonts w:cs="Arial"/>
          <w:rtl/>
        </w:rPr>
        <w:t>, ואי פתך בהו דליפתא</w:t>
      </w:r>
      <w:r>
        <w:rPr>
          <w:rStyle w:val="a7"/>
          <w:rFonts w:cs="Arial"/>
          <w:rtl/>
        </w:rPr>
        <w:footnoteReference w:id="1668"/>
      </w:r>
      <w:r>
        <w:rPr>
          <w:rFonts w:cs="Arial" w:hint="cs"/>
          <w:rtl/>
        </w:rPr>
        <w:t xml:space="preserve"> </w:t>
      </w:r>
      <w:r w:rsidRPr="00FA171B">
        <w:rPr>
          <w:rFonts w:cs="Arial"/>
          <w:rtl/>
        </w:rPr>
        <w:t>- שפיר דמי.</w:t>
      </w:r>
    </w:p>
    <w:p w14:paraId="1E33F97D" w14:textId="77777777" w:rsidR="002C39F4" w:rsidRPr="00E72C6C" w:rsidRDefault="002C39F4" w:rsidP="002C39F4">
      <w:pPr>
        <w:rPr>
          <w:rFonts w:cs="Arial"/>
          <w:u w:val="single"/>
          <w:rtl/>
        </w:rPr>
      </w:pPr>
      <w:r w:rsidRPr="00E72C6C">
        <w:rPr>
          <w:rFonts w:cs="Arial"/>
          <w:u w:val="single"/>
          <w:rtl/>
        </w:rPr>
        <w:t>צנון או</w:t>
      </w:r>
      <w:r w:rsidRPr="00E72C6C">
        <w:rPr>
          <w:rFonts w:cs="Arial" w:hint="cs"/>
          <w:u w:val="single"/>
          <w:rtl/>
        </w:rPr>
        <w:t xml:space="preserve"> סלקות</w:t>
      </w:r>
      <w:r>
        <w:rPr>
          <w:rFonts w:cs="Arial"/>
          <w:u w:val="single"/>
          <w:rtl/>
        </w:rPr>
        <w:t xml:space="preserve"> שחתכום בסכין של בשר</w:t>
      </w:r>
      <w:r>
        <w:rPr>
          <w:rFonts w:cs="Arial" w:hint="cs"/>
          <w:u w:val="single"/>
          <w:rtl/>
        </w:rPr>
        <w:t xml:space="preserve"> - מהו לאוכלם בחלב</w:t>
      </w:r>
      <w:r w:rsidRPr="00E72C6C">
        <w:rPr>
          <w:rFonts w:cs="Arial" w:hint="cs"/>
          <w:u w:val="single"/>
          <w:rtl/>
        </w:rPr>
        <w:t>:</w:t>
      </w:r>
    </w:p>
    <w:p w14:paraId="4AF6EFF3" w14:textId="77777777" w:rsidR="002C39F4" w:rsidRDefault="002C39F4" w:rsidP="0032102C">
      <w:pPr>
        <w:pStyle w:val="a8"/>
        <w:numPr>
          <w:ilvl w:val="0"/>
          <w:numId w:val="134"/>
        </w:numPr>
        <w:rPr>
          <w:rFonts w:cs="Arial"/>
        </w:rPr>
      </w:pPr>
      <w:r w:rsidRPr="00E72C6C">
        <w:rPr>
          <w:rFonts w:cs="Arial"/>
          <w:rtl/>
        </w:rPr>
        <w:t xml:space="preserve">רא"ש </w:t>
      </w:r>
      <w:r w:rsidRPr="00E72C6C">
        <w:rPr>
          <w:rFonts w:cs="Arial"/>
          <w:sz w:val="16"/>
          <w:szCs w:val="16"/>
          <w:rtl/>
        </w:rPr>
        <w:t>(סי' לא)</w:t>
      </w:r>
      <w:r>
        <w:rPr>
          <w:rFonts w:cs="Arial" w:hint="cs"/>
          <w:rtl/>
        </w:rPr>
        <w:t>-</w:t>
      </w:r>
      <w:r w:rsidRPr="00E72C6C">
        <w:rPr>
          <w:rFonts w:cs="Arial"/>
          <w:rtl/>
        </w:rPr>
        <w:t xml:space="preserve"> </w:t>
      </w:r>
      <w:r>
        <w:rPr>
          <w:rFonts w:cs="Arial"/>
          <w:rtl/>
        </w:rPr>
        <w:t>צנון או</w:t>
      </w:r>
      <w:r>
        <w:rPr>
          <w:rFonts w:cs="Arial" w:hint="cs"/>
          <w:rtl/>
        </w:rPr>
        <w:t xml:space="preserve"> סלקות</w:t>
      </w:r>
      <w:r>
        <w:rPr>
          <w:rStyle w:val="a7"/>
          <w:rFonts w:cs="Arial"/>
          <w:rtl/>
        </w:rPr>
        <w:footnoteReference w:id="1669"/>
      </w:r>
      <w:r w:rsidRPr="00FA171B">
        <w:rPr>
          <w:rFonts w:cs="Arial"/>
          <w:rtl/>
        </w:rPr>
        <w:t xml:space="preserve"> שחתכום בסכין של בשר אסור לאכלם בחלב עד שיקלוף מקום החתך</w:t>
      </w:r>
      <w:r>
        <w:rPr>
          <w:rStyle w:val="a7"/>
          <w:rFonts w:cs="Arial"/>
          <w:rtl/>
        </w:rPr>
        <w:footnoteReference w:id="1670"/>
      </w:r>
      <w:r>
        <w:rPr>
          <w:rFonts w:cs="Arial" w:hint="cs"/>
          <w:rtl/>
        </w:rPr>
        <w:t>.</w:t>
      </w:r>
    </w:p>
    <w:p w14:paraId="7E601850" w14:textId="77777777" w:rsidR="002C39F4" w:rsidRDefault="002C39F4" w:rsidP="0032102C">
      <w:pPr>
        <w:pStyle w:val="a8"/>
        <w:numPr>
          <w:ilvl w:val="0"/>
          <w:numId w:val="134"/>
        </w:numPr>
        <w:rPr>
          <w:rFonts w:cs="Arial"/>
        </w:rPr>
      </w:pPr>
      <w:r w:rsidRPr="00E72C6C">
        <w:rPr>
          <w:rFonts w:cs="Arial"/>
          <w:rtl/>
        </w:rPr>
        <w:t xml:space="preserve">רשב"א </w:t>
      </w:r>
      <w:r w:rsidRPr="00E72C6C">
        <w:rPr>
          <w:rFonts w:cs="Arial" w:hint="cs"/>
          <w:sz w:val="16"/>
          <w:szCs w:val="16"/>
          <w:rtl/>
        </w:rPr>
        <w:t>(תוה"ק</w:t>
      </w:r>
      <w:r w:rsidRPr="00E72C6C">
        <w:rPr>
          <w:rFonts w:cs="Arial"/>
          <w:sz w:val="16"/>
          <w:szCs w:val="16"/>
          <w:rtl/>
        </w:rPr>
        <w:t xml:space="preserve"> ב"ד ש"א ד</w:t>
      </w:r>
      <w:r w:rsidRPr="00E72C6C">
        <w:rPr>
          <w:rFonts w:cs="Arial" w:hint="cs"/>
          <w:sz w:val="16"/>
          <w:szCs w:val="16"/>
          <w:rtl/>
        </w:rPr>
        <w:t>.</w:t>
      </w:r>
      <w:r w:rsidRPr="00E72C6C">
        <w:rPr>
          <w:rFonts w:cs="Arial"/>
          <w:sz w:val="16"/>
          <w:szCs w:val="16"/>
          <w:rtl/>
        </w:rPr>
        <w:t>)</w:t>
      </w:r>
      <w:r>
        <w:rPr>
          <w:rFonts w:cs="Arial" w:hint="cs"/>
          <w:rtl/>
        </w:rPr>
        <w:t xml:space="preserve">- </w:t>
      </w:r>
      <w:r w:rsidRPr="00E72C6C">
        <w:rPr>
          <w:rFonts w:cs="Arial"/>
          <w:rtl/>
        </w:rPr>
        <w:t>הכל אסור כי הרבה הם בולעים</w:t>
      </w:r>
      <w:r>
        <w:rPr>
          <w:rStyle w:val="a7"/>
          <w:rFonts w:cs="Arial"/>
          <w:rtl/>
        </w:rPr>
        <w:footnoteReference w:id="1671"/>
      </w:r>
      <w:r>
        <w:rPr>
          <w:rFonts w:cs="Arial" w:hint="cs"/>
          <w:rtl/>
        </w:rPr>
        <w:t>.</w:t>
      </w:r>
      <w:r w:rsidRPr="007D518A">
        <w:rPr>
          <w:rFonts w:cs="Arial"/>
          <w:color w:val="00B0F0"/>
          <w:rtl/>
        </w:rPr>
        <w:t xml:space="preserve"> </w:t>
      </w:r>
    </w:p>
    <w:p w14:paraId="4791A980" w14:textId="77777777" w:rsidR="002C39F4" w:rsidRDefault="002C39F4" w:rsidP="0032102C">
      <w:pPr>
        <w:pStyle w:val="a8"/>
        <w:numPr>
          <w:ilvl w:val="0"/>
          <w:numId w:val="134"/>
        </w:numPr>
        <w:rPr>
          <w:rFonts w:cs="Arial"/>
        </w:rPr>
      </w:pPr>
      <w:r w:rsidRPr="00E72C6C">
        <w:rPr>
          <w:rFonts w:cs="Arial"/>
          <w:rtl/>
        </w:rPr>
        <w:t>ראב"ד</w:t>
      </w:r>
      <w:r>
        <w:rPr>
          <w:rFonts w:cs="Arial"/>
          <w:rtl/>
        </w:rPr>
        <w:t xml:space="preserve"> סמ"ג</w:t>
      </w:r>
      <w:r>
        <w:rPr>
          <w:rFonts w:cs="Arial" w:hint="cs"/>
          <w:rtl/>
        </w:rPr>
        <w:t xml:space="preserve"> ו</w:t>
      </w:r>
      <w:r>
        <w:rPr>
          <w:rFonts w:cs="Arial"/>
          <w:rtl/>
        </w:rPr>
        <w:t>רא"ה</w:t>
      </w:r>
      <w:r>
        <w:rPr>
          <w:rStyle w:val="a7"/>
          <w:rFonts w:cs="Arial"/>
          <w:rtl/>
        </w:rPr>
        <w:footnoteReference w:id="1672"/>
      </w:r>
      <w:r>
        <w:rPr>
          <w:rFonts w:cs="Arial" w:hint="cs"/>
          <w:rtl/>
        </w:rPr>
        <w:t xml:space="preserve">- צריך שיחתוך </w:t>
      </w:r>
      <w:r w:rsidRPr="00E72C6C">
        <w:rPr>
          <w:rFonts w:cs="Arial"/>
          <w:rtl/>
        </w:rPr>
        <w:t>כדי נטילת מקום</w:t>
      </w:r>
      <w:r>
        <w:rPr>
          <w:rFonts w:cs="Arial" w:hint="cs"/>
          <w:rtl/>
        </w:rPr>
        <w:t xml:space="preserve"> ושרי</w:t>
      </w:r>
      <w:r>
        <w:rPr>
          <w:rStyle w:val="a7"/>
          <w:rFonts w:cs="Arial"/>
          <w:rtl/>
        </w:rPr>
        <w:footnoteReference w:id="1673"/>
      </w:r>
      <w:r>
        <w:rPr>
          <w:rFonts w:cs="Arial" w:hint="cs"/>
          <w:rtl/>
        </w:rPr>
        <w:t>.</w:t>
      </w:r>
      <w:r w:rsidRPr="001F56F7">
        <w:rPr>
          <w:rFonts w:cs="Arial"/>
          <w:color w:val="E36C0A" w:themeColor="accent6" w:themeShade="BF"/>
          <w:rtl/>
        </w:rPr>
        <w:t xml:space="preserve"> </w:t>
      </w:r>
      <w:r w:rsidRPr="001F56F7">
        <w:rPr>
          <w:rFonts w:cs="Arial" w:hint="cs"/>
          <w:color w:val="E36C0A" w:themeColor="accent6" w:themeShade="BF"/>
          <w:rtl/>
        </w:rPr>
        <w:t>(וכ"ס בשו"ע)</w:t>
      </w:r>
    </w:p>
    <w:p w14:paraId="3A2077D4" w14:textId="77777777" w:rsidR="002C39F4" w:rsidRDefault="002C39F4" w:rsidP="002C39F4">
      <w:pPr>
        <w:rPr>
          <w:rFonts w:cs="Arial"/>
          <w:rtl/>
        </w:rPr>
      </w:pPr>
      <w:r>
        <w:rPr>
          <w:rFonts w:cs="Arial" w:hint="cs"/>
          <w:b/>
          <w:bCs/>
          <w:rtl/>
        </w:rPr>
        <w:t xml:space="preserve">חולין קיא ע"ב: </w:t>
      </w:r>
      <w:r w:rsidRPr="009D3398">
        <w:rPr>
          <w:rFonts w:cs="Arial"/>
          <w:u w:val="single"/>
          <w:rtl/>
        </w:rPr>
        <w:t>יתיב רב כהנא אחוה דרב יהודה קמיה דרב הונא, ויתיב וקאמר</w:t>
      </w:r>
      <w:r w:rsidRPr="009D3398">
        <w:rPr>
          <w:rFonts w:cs="Arial"/>
          <w:rtl/>
        </w:rPr>
        <w:t xml:space="preserve">: קערה שמלח בה בשר - אסור לאכול בה רותח, וצנון שחתכו בסכין - מותר לאכלו בכותח. מאי טעמא? </w:t>
      </w:r>
      <w:r w:rsidRPr="009D3398">
        <w:rPr>
          <w:rFonts w:cs="Arial"/>
          <w:u w:val="single"/>
          <w:rtl/>
        </w:rPr>
        <w:t>אמר אביי</w:t>
      </w:r>
      <w:r w:rsidRPr="009D3398">
        <w:rPr>
          <w:rFonts w:cs="Arial"/>
          <w:rtl/>
        </w:rPr>
        <w:t xml:space="preserve">: האי - היתרא בלע, והאי - איסורא בלע: </w:t>
      </w:r>
      <w:r w:rsidRPr="009D3398">
        <w:rPr>
          <w:rFonts w:cs="Arial"/>
          <w:u w:val="single"/>
          <w:rtl/>
        </w:rPr>
        <w:t>א"ל רבא</w:t>
      </w:r>
      <w:r w:rsidRPr="009D3398">
        <w:rPr>
          <w:rFonts w:cs="Arial"/>
          <w:rtl/>
        </w:rPr>
        <w:t xml:space="preserve">: כי בלע היתרא מאי הוי! סוף סוף, האי היתרא דאתי לידי איסורא הוא, דאיסורא קאכיל! </w:t>
      </w:r>
      <w:r w:rsidRPr="009D3398">
        <w:rPr>
          <w:rFonts w:cs="Arial"/>
          <w:u w:val="single"/>
          <w:rtl/>
        </w:rPr>
        <w:t>אלא אמר רבא</w:t>
      </w:r>
      <w:r w:rsidRPr="009D3398">
        <w:rPr>
          <w:rFonts w:cs="Arial"/>
          <w:rtl/>
        </w:rPr>
        <w:t>: האי</w:t>
      </w:r>
      <w:r>
        <w:rPr>
          <w:rStyle w:val="a7"/>
          <w:rFonts w:cs="Arial"/>
          <w:rtl/>
        </w:rPr>
        <w:footnoteReference w:id="1674"/>
      </w:r>
      <w:r w:rsidRPr="009D3398">
        <w:rPr>
          <w:rFonts w:cs="Arial"/>
          <w:rtl/>
        </w:rPr>
        <w:t xml:space="preserve"> - אפשר למטעמיה, והאי - לא אפשר למטעמיה</w:t>
      </w:r>
      <w:r>
        <w:rPr>
          <w:rFonts w:cs="Arial" w:hint="cs"/>
          <w:rtl/>
        </w:rPr>
        <w:t>.</w:t>
      </w:r>
    </w:p>
    <w:p w14:paraId="0AA1E22D" w14:textId="77777777" w:rsidR="002C39F4" w:rsidRPr="009B460E" w:rsidRDefault="002C39F4" w:rsidP="002C39F4">
      <w:pPr>
        <w:rPr>
          <w:rFonts w:cs="Arial"/>
          <w:u w:val="single"/>
        </w:rPr>
      </w:pPr>
      <w:r w:rsidRPr="009B460E">
        <w:rPr>
          <w:rFonts w:cs="Arial" w:hint="cs"/>
          <w:u w:val="single"/>
          <w:rtl/>
        </w:rPr>
        <w:t xml:space="preserve">האם </w:t>
      </w:r>
      <w:r>
        <w:rPr>
          <w:rFonts w:cs="Arial" w:hint="cs"/>
          <w:u w:val="single"/>
          <w:rtl/>
        </w:rPr>
        <w:t>אפשר לאכול</w:t>
      </w:r>
      <w:r w:rsidRPr="009B460E">
        <w:rPr>
          <w:rFonts w:cs="Arial" w:hint="cs"/>
          <w:u w:val="single"/>
          <w:rtl/>
        </w:rPr>
        <w:t xml:space="preserve"> </w:t>
      </w:r>
      <w:r>
        <w:rPr>
          <w:rFonts w:cs="Arial" w:hint="cs"/>
          <w:u w:val="single"/>
          <w:rtl/>
        </w:rPr>
        <w:t xml:space="preserve">את הצנון/סלק הנ"ל </w:t>
      </w:r>
      <w:r w:rsidRPr="009B460E">
        <w:rPr>
          <w:rFonts w:cs="Arial" w:hint="cs"/>
          <w:u w:val="single"/>
          <w:rtl/>
        </w:rPr>
        <w:t xml:space="preserve">בחלב </w:t>
      </w:r>
      <w:r w:rsidRPr="00D2651A">
        <w:rPr>
          <w:rFonts w:cs="Arial" w:hint="cs"/>
          <w:sz w:val="16"/>
          <w:szCs w:val="16"/>
          <w:u w:val="single"/>
          <w:rtl/>
        </w:rPr>
        <w:t>(ללא קליפה/נטילה</w:t>
      </w:r>
      <w:r>
        <w:rPr>
          <w:rFonts w:cs="Arial" w:hint="cs"/>
          <w:sz w:val="16"/>
          <w:szCs w:val="16"/>
          <w:u w:val="single"/>
          <w:rtl/>
        </w:rPr>
        <w:t>)</w:t>
      </w:r>
      <w:r w:rsidRPr="009B460E">
        <w:rPr>
          <w:rFonts w:cs="Arial" w:hint="cs"/>
          <w:u w:val="single"/>
          <w:rtl/>
        </w:rPr>
        <w:t xml:space="preserve"> ע"י שיטעם שאין בו טעם </w:t>
      </w:r>
      <w:r>
        <w:rPr>
          <w:rFonts w:cs="Arial" w:hint="cs"/>
          <w:u w:val="single"/>
          <w:rtl/>
        </w:rPr>
        <w:t>שמנונית</w:t>
      </w:r>
      <w:r w:rsidRPr="009B460E">
        <w:rPr>
          <w:rFonts w:cs="Arial" w:hint="cs"/>
          <w:u w:val="single"/>
          <w:rtl/>
        </w:rPr>
        <w:t>:</w:t>
      </w:r>
    </w:p>
    <w:p w14:paraId="7F6E89DF" w14:textId="77777777" w:rsidR="002C39F4" w:rsidRDefault="002C39F4" w:rsidP="0032102C">
      <w:pPr>
        <w:pStyle w:val="a8"/>
        <w:numPr>
          <w:ilvl w:val="0"/>
          <w:numId w:val="134"/>
        </w:numPr>
        <w:rPr>
          <w:rFonts w:cs="Arial"/>
        </w:rPr>
      </w:pPr>
      <w:r w:rsidRPr="009D3398">
        <w:rPr>
          <w:rFonts w:cs="Arial"/>
          <w:rtl/>
        </w:rPr>
        <w:t xml:space="preserve">רא"ש </w:t>
      </w:r>
      <w:r w:rsidRPr="009B460E">
        <w:rPr>
          <w:rFonts w:cs="Arial"/>
          <w:sz w:val="16"/>
          <w:szCs w:val="16"/>
          <w:rtl/>
        </w:rPr>
        <w:t>(סי' לא)</w:t>
      </w:r>
      <w:r>
        <w:rPr>
          <w:rFonts w:cs="Arial" w:hint="cs"/>
          <w:rtl/>
        </w:rPr>
        <w:t xml:space="preserve">- </w:t>
      </w:r>
      <w:r w:rsidRPr="00FA171B">
        <w:rPr>
          <w:rFonts w:cs="Arial"/>
          <w:rtl/>
        </w:rPr>
        <w:t xml:space="preserve">צנון </w:t>
      </w:r>
      <w:r>
        <w:rPr>
          <w:rFonts w:cs="Arial" w:hint="cs"/>
          <w:rtl/>
        </w:rPr>
        <w:t>או סלקות</w:t>
      </w:r>
      <w:r w:rsidRPr="00FA171B">
        <w:rPr>
          <w:rFonts w:cs="Arial"/>
          <w:rtl/>
        </w:rPr>
        <w:t xml:space="preserve"> שחתכום בסכין של בשר אסור לאכלם בחלב עד שיקלוף מקום החתך או עד דטעם ליה שלא יהא בו טעם בשר</w:t>
      </w:r>
      <w:r>
        <w:rPr>
          <w:rFonts w:cs="Arial" w:hint="cs"/>
          <w:rtl/>
        </w:rPr>
        <w:t xml:space="preserve">. </w:t>
      </w:r>
    </w:p>
    <w:p w14:paraId="4EAC32B0" w14:textId="77777777" w:rsidR="002C39F4" w:rsidRPr="009D3398" w:rsidRDefault="002C39F4" w:rsidP="0032102C">
      <w:pPr>
        <w:pStyle w:val="a8"/>
        <w:numPr>
          <w:ilvl w:val="0"/>
          <w:numId w:val="134"/>
        </w:numPr>
        <w:rPr>
          <w:rFonts w:cs="Arial"/>
          <w:rtl/>
        </w:rPr>
      </w:pPr>
      <w:r>
        <w:rPr>
          <w:rFonts w:cs="Arial"/>
          <w:rtl/>
        </w:rPr>
        <w:t xml:space="preserve">רשב"א </w:t>
      </w:r>
      <w:r w:rsidRPr="009B460E">
        <w:rPr>
          <w:rFonts w:cs="Arial" w:hint="cs"/>
          <w:sz w:val="16"/>
          <w:szCs w:val="16"/>
          <w:rtl/>
        </w:rPr>
        <w:t xml:space="preserve">(תוה"ק </w:t>
      </w:r>
      <w:r w:rsidRPr="009B460E">
        <w:rPr>
          <w:rFonts w:cs="Arial"/>
          <w:sz w:val="16"/>
          <w:szCs w:val="16"/>
          <w:rtl/>
        </w:rPr>
        <w:t>ב"ד ש"א ג:)</w:t>
      </w:r>
      <w:r>
        <w:rPr>
          <w:rFonts w:cs="Arial" w:hint="cs"/>
          <w:rtl/>
        </w:rPr>
        <w:t>-</w:t>
      </w:r>
      <w:r w:rsidRPr="009D3398">
        <w:rPr>
          <w:rFonts w:cs="Arial"/>
          <w:rtl/>
        </w:rPr>
        <w:t xml:space="preserve"> צנון שחתכו בסכין שחתכו בו בשר אסור לאכלו בכותח שהצנון חריף ובולע מן השמנונית שנקרש על הסכין במה דברים אמורים בשלא טעמו קודם שיאכלנו עם הכותח אבל אם טעמו היטב ולא הרגיש בו טעם בשר מותר לאכלו עם הכותח </w:t>
      </w:r>
      <w:r w:rsidRPr="00907148">
        <w:rPr>
          <w:rFonts w:cs="Arial"/>
          <w:b/>
          <w:bCs/>
          <w:rtl/>
        </w:rPr>
        <w:t>לאחר שידיח</w:t>
      </w:r>
      <w:r w:rsidRPr="009D3398">
        <w:rPr>
          <w:rFonts w:cs="Arial"/>
          <w:rtl/>
        </w:rPr>
        <w:t xml:space="preserve"> היטב מקום החתך דכיון דאין טעם בשר נרגש</w:t>
      </w:r>
      <w:r>
        <w:rPr>
          <w:rFonts w:cs="Arial"/>
          <w:rtl/>
        </w:rPr>
        <w:t xml:space="preserve"> בו בידוע שלא בלע ממנו כלום</w:t>
      </w:r>
      <w:r>
        <w:rPr>
          <w:rFonts w:cs="Arial" w:hint="cs"/>
          <w:rtl/>
        </w:rPr>
        <w:t>.</w:t>
      </w:r>
      <w:r w:rsidRPr="001F56F7">
        <w:rPr>
          <w:rFonts w:cs="Arial"/>
          <w:color w:val="E36C0A" w:themeColor="accent6" w:themeShade="BF"/>
          <w:rtl/>
        </w:rPr>
        <w:t xml:space="preserve"> </w:t>
      </w:r>
      <w:r w:rsidRPr="001F56F7">
        <w:rPr>
          <w:rFonts w:cs="Arial" w:hint="cs"/>
          <w:color w:val="E36C0A" w:themeColor="accent6" w:themeShade="BF"/>
          <w:rtl/>
        </w:rPr>
        <w:t>(וכ"ס בשו"ע)</w:t>
      </w:r>
    </w:p>
    <w:p w14:paraId="3F215B63" w14:textId="77777777" w:rsidR="002C39F4" w:rsidRPr="008C3425" w:rsidRDefault="002C39F4" w:rsidP="002C39F4">
      <w:pPr>
        <w:rPr>
          <w:rFonts w:cs="Arial"/>
          <w:u w:val="single"/>
          <w:rtl/>
        </w:rPr>
      </w:pPr>
      <w:r w:rsidRPr="008C3425">
        <w:rPr>
          <w:rFonts w:cs="Arial" w:hint="cs"/>
          <w:u w:val="single"/>
          <w:rtl/>
        </w:rPr>
        <w:t>מה הדין אם</w:t>
      </w:r>
      <w:r w:rsidRPr="008C3425">
        <w:rPr>
          <w:rFonts w:cs="Arial"/>
          <w:u w:val="single"/>
          <w:rtl/>
        </w:rPr>
        <w:t xml:space="preserve"> עבר ובשלן בחלב</w:t>
      </w:r>
      <w:r w:rsidRPr="008C3425">
        <w:rPr>
          <w:rFonts w:cs="Arial" w:hint="cs"/>
          <w:u w:val="single"/>
          <w:rtl/>
        </w:rPr>
        <w:t>:</w:t>
      </w:r>
    </w:p>
    <w:p w14:paraId="7DBBA972" w14:textId="77777777" w:rsidR="002C39F4" w:rsidRDefault="002C39F4" w:rsidP="0032102C">
      <w:pPr>
        <w:pStyle w:val="a8"/>
        <w:numPr>
          <w:ilvl w:val="0"/>
          <w:numId w:val="136"/>
        </w:numPr>
        <w:rPr>
          <w:rtl/>
        </w:rPr>
      </w:pPr>
      <w:r w:rsidRPr="008C3425">
        <w:rPr>
          <w:rFonts w:cs="Arial"/>
          <w:rtl/>
        </w:rPr>
        <w:t>תוס</w:t>
      </w:r>
      <w:r w:rsidRPr="008C3425">
        <w:rPr>
          <w:rFonts w:cs="Arial" w:hint="cs"/>
          <w:rtl/>
        </w:rPr>
        <w:t>'</w:t>
      </w:r>
      <w:r>
        <w:rPr>
          <w:rFonts w:cs="Arial"/>
          <w:rtl/>
        </w:rPr>
        <w:t xml:space="preserve"> </w:t>
      </w:r>
      <w:r w:rsidRPr="006A0037">
        <w:rPr>
          <w:rFonts w:cs="Arial"/>
          <w:sz w:val="16"/>
          <w:szCs w:val="16"/>
          <w:rtl/>
        </w:rPr>
        <w:t xml:space="preserve">(שם) </w:t>
      </w:r>
      <w:r w:rsidRPr="008C3425">
        <w:rPr>
          <w:rFonts w:cs="Arial" w:hint="cs"/>
          <w:rtl/>
        </w:rPr>
        <w:t>סה"ת</w:t>
      </w:r>
      <w:r w:rsidRPr="008C3425">
        <w:rPr>
          <w:rFonts w:cs="Arial"/>
          <w:rtl/>
        </w:rPr>
        <w:t xml:space="preserve"> </w:t>
      </w:r>
      <w:r w:rsidRPr="008C3425">
        <w:rPr>
          <w:rFonts w:cs="Arial"/>
          <w:sz w:val="16"/>
          <w:szCs w:val="16"/>
          <w:rtl/>
        </w:rPr>
        <w:t>(סי' ס)</w:t>
      </w:r>
      <w:r w:rsidRPr="008C3425">
        <w:rPr>
          <w:rFonts w:cs="Arial"/>
          <w:rtl/>
        </w:rPr>
        <w:t xml:space="preserve"> סמ"ג </w:t>
      </w:r>
      <w:r w:rsidRPr="006A0037">
        <w:rPr>
          <w:rFonts w:cs="Arial"/>
          <w:sz w:val="16"/>
          <w:szCs w:val="16"/>
          <w:rtl/>
        </w:rPr>
        <w:t>(לאוין קמ נג</w:t>
      </w:r>
      <w:r w:rsidRPr="006A0037">
        <w:rPr>
          <w:rFonts w:cs="Arial" w:hint="cs"/>
          <w:sz w:val="16"/>
          <w:szCs w:val="16"/>
          <w:rtl/>
        </w:rPr>
        <w:t>:</w:t>
      </w:r>
      <w:r w:rsidRPr="006A0037">
        <w:rPr>
          <w:rFonts w:cs="Arial"/>
          <w:sz w:val="16"/>
          <w:szCs w:val="16"/>
          <w:rtl/>
        </w:rPr>
        <w:t xml:space="preserve">) </w:t>
      </w:r>
      <w:r>
        <w:rPr>
          <w:rFonts w:cs="Arial"/>
          <w:rtl/>
        </w:rPr>
        <w:t xml:space="preserve">סמ"ק </w:t>
      </w:r>
      <w:r w:rsidRPr="006A0037">
        <w:rPr>
          <w:rFonts w:cs="Arial"/>
          <w:sz w:val="16"/>
          <w:szCs w:val="16"/>
          <w:rtl/>
        </w:rPr>
        <w:t xml:space="preserve">(שם) </w:t>
      </w:r>
      <w:r>
        <w:rPr>
          <w:rFonts w:cs="Arial" w:hint="cs"/>
          <w:rtl/>
        </w:rPr>
        <w:t>ו</w:t>
      </w:r>
      <w:r w:rsidRPr="008C3425">
        <w:rPr>
          <w:rFonts w:cs="Arial"/>
          <w:rtl/>
        </w:rPr>
        <w:t>שע</w:t>
      </w:r>
      <w:r w:rsidRPr="008C3425">
        <w:rPr>
          <w:rFonts w:cs="Arial" w:hint="cs"/>
          <w:rtl/>
        </w:rPr>
        <w:t>"</w:t>
      </w:r>
      <w:r w:rsidRPr="008C3425">
        <w:rPr>
          <w:rFonts w:cs="Arial"/>
          <w:rtl/>
        </w:rPr>
        <w:t xml:space="preserve">ד </w:t>
      </w:r>
      <w:r w:rsidRPr="006A0037">
        <w:rPr>
          <w:rFonts w:cs="Arial"/>
          <w:sz w:val="16"/>
          <w:szCs w:val="16"/>
          <w:rtl/>
        </w:rPr>
        <w:t>(סי' סא)</w:t>
      </w:r>
      <w:r w:rsidRPr="008C3425">
        <w:rPr>
          <w:rFonts w:cs="Arial" w:hint="cs"/>
          <w:rtl/>
        </w:rPr>
        <w:t>-</w:t>
      </w:r>
      <w:r w:rsidRPr="008C3425">
        <w:rPr>
          <w:rFonts w:cs="Arial"/>
          <w:rtl/>
        </w:rPr>
        <w:t xml:space="preserve"> צריך ששים לבטלם</w:t>
      </w:r>
      <w:r>
        <w:rPr>
          <w:rFonts w:cs="Arial" w:hint="cs"/>
          <w:rtl/>
        </w:rPr>
        <w:t>,</w:t>
      </w:r>
      <w:r w:rsidRPr="008C3425">
        <w:rPr>
          <w:rFonts w:cs="Arial"/>
          <w:rtl/>
        </w:rPr>
        <w:t xml:space="preserve"> ומיהו אין צריך ששים כדי כל הצנון </w:t>
      </w:r>
      <w:r w:rsidRPr="00FA171B">
        <w:rPr>
          <w:rFonts w:cs="Arial"/>
          <w:rtl/>
        </w:rPr>
        <w:t xml:space="preserve">רק </w:t>
      </w:r>
      <w:r>
        <w:rPr>
          <w:rFonts w:cs="Arial" w:hint="cs"/>
          <w:rtl/>
        </w:rPr>
        <w:t>ששים</w:t>
      </w:r>
      <w:r w:rsidRPr="00FA171B">
        <w:rPr>
          <w:rFonts w:cs="Arial"/>
          <w:rtl/>
        </w:rPr>
        <w:t xml:space="preserve"> כדי הבלוע בו היינו כדי כל הסכין</w:t>
      </w:r>
      <w:r>
        <w:rPr>
          <w:rFonts w:cs="Arial" w:hint="cs"/>
          <w:sz w:val="16"/>
          <w:szCs w:val="16"/>
          <w:rtl/>
        </w:rPr>
        <w:t xml:space="preserve"> (ל' הטור)</w:t>
      </w:r>
      <w:r>
        <w:rPr>
          <w:rStyle w:val="a7"/>
          <w:rFonts w:cs="Arial"/>
          <w:rtl/>
        </w:rPr>
        <w:footnoteReference w:id="1675"/>
      </w:r>
      <w:r>
        <w:rPr>
          <w:rFonts w:cs="Arial" w:hint="cs"/>
          <w:rtl/>
        </w:rPr>
        <w:t>.</w:t>
      </w:r>
      <w:r w:rsidRPr="007D518A">
        <w:rPr>
          <w:rFonts w:cs="Arial" w:hint="cs"/>
          <w:color w:val="E36C0A" w:themeColor="accent6" w:themeShade="BF"/>
          <w:rtl/>
        </w:rPr>
        <w:t xml:space="preserve"> </w:t>
      </w:r>
      <w:r>
        <w:rPr>
          <w:rFonts w:cs="Arial" w:hint="cs"/>
          <w:color w:val="E36C0A" w:themeColor="accent6" w:themeShade="BF"/>
          <w:rtl/>
        </w:rPr>
        <w:t>(וכ"פ</w:t>
      </w:r>
      <w:r w:rsidRPr="001F56F7">
        <w:rPr>
          <w:rFonts w:cs="Arial" w:hint="cs"/>
          <w:color w:val="E36C0A" w:themeColor="accent6" w:themeShade="BF"/>
          <w:rtl/>
        </w:rPr>
        <w:t xml:space="preserve"> בשו"ע)</w:t>
      </w:r>
      <w:r>
        <w:rPr>
          <w:rFonts w:hint="cs"/>
          <w:rtl/>
        </w:rPr>
        <w:t xml:space="preserve"> </w:t>
      </w:r>
    </w:p>
    <w:p w14:paraId="23607B5E" w14:textId="77777777" w:rsidR="002C39F4" w:rsidRPr="004977E5" w:rsidRDefault="002C39F4" w:rsidP="002C39F4">
      <w:pPr>
        <w:rPr>
          <w:rFonts w:cs="Arial"/>
          <w:sz w:val="16"/>
          <w:szCs w:val="16"/>
          <w:rtl/>
        </w:rPr>
      </w:pPr>
      <w:r w:rsidRPr="00074ACF">
        <w:rPr>
          <w:rFonts w:cs="Arial" w:hint="cs"/>
          <w:u w:val="single"/>
          <w:rtl/>
        </w:rPr>
        <w:t xml:space="preserve">האם </w:t>
      </w:r>
      <w:r>
        <w:rPr>
          <w:rFonts w:cs="Arial" w:hint="cs"/>
          <w:u w:val="single"/>
          <w:rtl/>
        </w:rPr>
        <w:t>הד</w:t>
      </w:r>
      <w:r w:rsidRPr="00074ACF">
        <w:rPr>
          <w:rFonts w:cs="Arial" w:hint="cs"/>
          <w:u w:val="single"/>
          <w:rtl/>
        </w:rPr>
        <w:t>ינים לעיל ש</w:t>
      </w:r>
      <w:r>
        <w:rPr>
          <w:rFonts w:cs="Arial" w:hint="cs"/>
          <w:u w:val="single"/>
          <w:rtl/>
        </w:rPr>
        <w:t>ייכים רק גבי צנון סלקא וחלתית או גם ב</w:t>
      </w:r>
      <w:r w:rsidRPr="00074ACF">
        <w:rPr>
          <w:rFonts w:cs="Arial" w:hint="cs"/>
          <w:u w:val="single"/>
          <w:rtl/>
        </w:rPr>
        <w:t>שאר דברים חריפים:</w:t>
      </w:r>
      <w:r>
        <w:rPr>
          <w:rFonts w:cs="Arial" w:hint="cs"/>
          <w:sz w:val="16"/>
          <w:szCs w:val="16"/>
          <w:rtl/>
        </w:rPr>
        <w:t xml:space="preserve">  </w:t>
      </w:r>
    </w:p>
    <w:p w14:paraId="47698FDA" w14:textId="77777777" w:rsidR="002C39F4" w:rsidRPr="000D60D6" w:rsidRDefault="002C39F4" w:rsidP="0032102C">
      <w:pPr>
        <w:pStyle w:val="a8"/>
        <w:numPr>
          <w:ilvl w:val="0"/>
          <w:numId w:val="135"/>
        </w:numPr>
        <w:rPr>
          <w:rFonts w:cs="Arial"/>
          <w:rtl/>
        </w:rPr>
      </w:pPr>
      <w:r>
        <w:rPr>
          <w:rFonts w:cs="Arial"/>
          <w:rtl/>
        </w:rPr>
        <w:t>תו</w:t>
      </w:r>
      <w:r>
        <w:rPr>
          <w:rFonts w:cs="Arial" w:hint="cs"/>
          <w:rtl/>
        </w:rPr>
        <w:t>ס'</w:t>
      </w:r>
      <w:r w:rsidRPr="00594F04">
        <w:rPr>
          <w:rFonts w:cs="Arial"/>
          <w:rtl/>
        </w:rPr>
        <w:t xml:space="preserve"> </w:t>
      </w:r>
      <w:r w:rsidRPr="000D60D6">
        <w:rPr>
          <w:rFonts w:cs="Arial"/>
          <w:sz w:val="16"/>
          <w:szCs w:val="16"/>
          <w:rtl/>
        </w:rPr>
        <w:t>(קיא. ד"ה אגב)</w:t>
      </w:r>
      <w:r w:rsidRPr="000D60D6">
        <w:rPr>
          <w:rFonts w:cs="Arial" w:hint="cs"/>
          <w:sz w:val="16"/>
          <w:szCs w:val="16"/>
          <w:rtl/>
        </w:rPr>
        <w:t xml:space="preserve"> </w:t>
      </w:r>
      <w:r w:rsidRPr="00F568AE">
        <w:rPr>
          <w:rFonts w:cs="Arial"/>
          <w:rtl/>
        </w:rPr>
        <w:t>רמב"</w:t>
      </w:r>
      <w:r w:rsidRPr="00F568AE">
        <w:rPr>
          <w:rFonts w:cs="Arial" w:hint="cs"/>
          <w:rtl/>
        </w:rPr>
        <w:t>ם</w:t>
      </w:r>
      <w:r>
        <w:rPr>
          <w:rStyle w:val="a7"/>
          <w:rFonts w:cs="Arial"/>
          <w:rtl/>
        </w:rPr>
        <w:footnoteReference w:id="1676"/>
      </w:r>
      <w:r w:rsidRPr="00F568AE">
        <w:rPr>
          <w:rFonts w:cs="Arial" w:hint="cs"/>
          <w:sz w:val="14"/>
          <w:szCs w:val="14"/>
          <w:rtl/>
        </w:rPr>
        <w:t xml:space="preserve"> </w:t>
      </w:r>
      <w:r w:rsidRPr="000D60D6">
        <w:rPr>
          <w:rFonts w:cs="Arial"/>
          <w:sz w:val="16"/>
          <w:szCs w:val="16"/>
          <w:rtl/>
        </w:rPr>
        <w:t>(פ"ט הכ"ד)</w:t>
      </w:r>
      <w:r>
        <w:rPr>
          <w:rFonts w:cs="Arial" w:hint="cs"/>
          <w:rtl/>
        </w:rPr>
        <w:t xml:space="preserve"> </w:t>
      </w:r>
      <w:r w:rsidRPr="00E243C5">
        <w:rPr>
          <w:rFonts w:cs="Arial" w:hint="cs"/>
          <w:rtl/>
        </w:rPr>
        <w:t>סה"ת</w:t>
      </w:r>
      <w:r w:rsidRPr="00E243C5">
        <w:rPr>
          <w:rFonts w:cs="Arial"/>
          <w:rtl/>
        </w:rPr>
        <w:t xml:space="preserve"> </w:t>
      </w:r>
      <w:r w:rsidRPr="00E243C5">
        <w:rPr>
          <w:rFonts w:cs="Arial"/>
          <w:sz w:val="16"/>
          <w:szCs w:val="16"/>
          <w:rtl/>
        </w:rPr>
        <w:t>(סי' ס)</w:t>
      </w:r>
      <w:r w:rsidRPr="000D60D6">
        <w:rPr>
          <w:rFonts w:cs="Arial"/>
          <w:rtl/>
        </w:rPr>
        <w:t xml:space="preserve"> </w:t>
      </w:r>
      <w:r>
        <w:rPr>
          <w:rFonts w:cs="Arial" w:hint="cs"/>
          <w:rtl/>
        </w:rPr>
        <w:t>וטור</w:t>
      </w:r>
      <w:r w:rsidRPr="00E243C5">
        <w:rPr>
          <w:rFonts w:cs="Arial" w:hint="cs"/>
          <w:rtl/>
        </w:rPr>
        <w:t>-</w:t>
      </w:r>
      <w:r w:rsidRPr="00E243C5">
        <w:rPr>
          <w:rFonts w:cs="Arial"/>
          <w:rtl/>
        </w:rPr>
        <w:t xml:space="preserve"> </w:t>
      </w:r>
      <w:r w:rsidRPr="00074ACF">
        <w:rPr>
          <w:rFonts w:cs="Arial"/>
          <w:rtl/>
        </w:rPr>
        <w:t>צריך ליזהר שלא יחתוך</w:t>
      </w:r>
      <w:r>
        <w:rPr>
          <w:rFonts w:cs="Arial"/>
          <w:rtl/>
        </w:rPr>
        <w:t xml:space="preserve"> בסכין חולבת לא שומין ולא בצלי</w:t>
      </w:r>
      <w:r>
        <w:rPr>
          <w:rFonts w:cs="Arial" w:hint="cs"/>
          <w:rtl/>
        </w:rPr>
        <w:t>ם</w:t>
      </w:r>
      <w:r w:rsidRPr="00074ACF">
        <w:rPr>
          <w:rFonts w:cs="Arial"/>
          <w:rtl/>
        </w:rPr>
        <w:t xml:space="preserve"> וראשי כרישין אם רוצה לתתן עם בשר לפי</w:t>
      </w:r>
      <w:r>
        <w:rPr>
          <w:rFonts w:cs="Arial"/>
          <w:rtl/>
        </w:rPr>
        <w:t xml:space="preserve"> שהן חריפין ודמו לצנון</w:t>
      </w:r>
      <w:r>
        <w:rPr>
          <w:rStyle w:val="a7"/>
          <w:rFonts w:cs="Arial"/>
          <w:rtl/>
        </w:rPr>
        <w:footnoteReference w:id="1677"/>
      </w:r>
      <w:r>
        <w:rPr>
          <w:rFonts w:cs="Arial"/>
          <w:rtl/>
        </w:rPr>
        <w:t xml:space="preserve"> ולא אפכ</w:t>
      </w:r>
      <w:r>
        <w:rPr>
          <w:rFonts w:cs="Arial" w:hint="cs"/>
          <w:rtl/>
        </w:rPr>
        <w:t>א...</w:t>
      </w:r>
      <w:r w:rsidRPr="00F568AE">
        <w:rPr>
          <w:rFonts w:cs="Arial"/>
          <w:rtl/>
        </w:rPr>
        <w:t xml:space="preserve"> </w:t>
      </w:r>
      <w:r w:rsidRPr="00594F04">
        <w:rPr>
          <w:rFonts w:cs="Arial"/>
          <w:rtl/>
        </w:rPr>
        <w:t>אבל עלין של קפלוטות וכרוב אינם חזקים וחריפים ולא בעו רק הדחה</w:t>
      </w:r>
      <w:r>
        <w:rPr>
          <w:rFonts w:cs="Arial" w:hint="cs"/>
          <w:sz w:val="16"/>
          <w:szCs w:val="16"/>
          <w:rtl/>
        </w:rPr>
        <w:t xml:space="preserve"> (ל' סה"ת)</w:t>
      </w:r>
      <w:r>
        <w:rPr>
          <w:rStyle w:val="a7"/>
          <w:rFonts w:cs="Arial"/>
          <w:rtl/>
        </w:rPr>
        <w:footnoteReference w:id="1678"/>
      </w:r>
      <w:r>
        <w:rPr>
          <w:rFonts w:cs="Arial" w:hint="cs"/>
          <w:rtl/>
        </w:rPr>
        <w:t xml:space="preserve">. </w:t>
      </w:r>
      <w:r>
        <w:rPr>
          <w:rFonts w:cs="Arial" w:hint="cs"/>
          <w:color w:val="E36C0A" w:themeColor="accent6" w:themeShade="BF"/>
          <w:rtl/>
        </w:rPr>
        <w:t>(וכ"פ</w:t>
      </w:r>
      <w:r w:rsidRPr="001F56F7">
        <w:rPr>
          <w:rFonts w:cs="Arial" w:hint="cs"/>
          <w:color w:val="E36C0A" w:themeColor="accent6" w:themeShade="BF"/>
          <w:rtl/>
        </w:rPr>
        <w:t xml:space="preserve"> בשו"ע</w:t>
      </w:r>
      <w:r>
        <w:rPr>
          <w:rFonts w:cs="Arial" w:hint="cs"/>
          <w:color w:val="E36C0A" w:themeColor="accent6" w:themeShade="BF"/>
          <w:sz w:val="16"/>
          <w:szCs w:val="16"/>
          <w:rtl/>
        </w:rPr>
        <w:t xml:space="preserve"> </w:t>
      </w:r>
      <w:r>
        <w:rPr>
          <w:rFonts w:cs="Arial" w:hint="cs"/>
          <w:sz w:val="16"/>
          <w:szCs w:val="16"/>
          <w:rtl/>
        </w:rPr>
        <w:t>[בסע' ב]</w:t>
      </w:r>
      <w:r w:rsidRPr="001F56F7">
        <w:rPr>
          <w:rFonts w:cs="Arial" w:hint="cs"/>
          <w:color w:val="E36C0A" w:themeColor="accent6" w:themeShade="BF"/>
          <w:rtl/>
        </w:rPr>
        <w:t>)</w:t>
      </w:r>
    </w:p>
    <w:p w14:paraId="37C07BB5" w14:textId="77777777" w:rsidR="002C39F4" w:rsidRPr="00074ACF" w:rsidRDefault="002C39F4" w:rsidP="0032102C">
      <w:pPr>
        <w:pStyle w:val="a8"/>
        <w:numPr>
          <w:ilvl w:val="0"/>
          <w:numId w:val="135"/>
        </w:numPr>
        <w:rPr>
          <w:rFonts w:cs="Arial"/>
          <w:rtl/>
        </w:rPr>
      </w:pPr>
      <w:r w:rsidRPr="00074ACF">
        <w:rPr>
          <w:rFonts w:cs="Arial"/>
          <w:rtl/>
        </w:rPr>
        <w:t>רבינו יחיאל</w:t>
      </w:r>
      <w:r>
        <w:rPr>
          <w:rFonts w:cs="Arial" w:hint="cs"/>
          <w:rtl/>
        </w:rPr>
        <w:t xml:space="preserve"> ומהר"ם</w:t>
      </w:r>
      <w:r>
        <w:rPr>
          <w:rStyle w:val="a7"/>
          <w:rFonts w:cs="Arial"/>
          <w:rtl/>
        </w:rPr>
        <w:footnoteReference w:id="1679"/>
      </w:r>
      <w:r>
        <w:rPr>
          <w:rFonts w:cs="Arial" w:hint="cs"/>
          <w:rtl/>
        </w:rPr>
        <w:t>-</w:t>
      </w:r>
      <w:r>
        <w:rPr>
          <w:rFonts w:cs="Arial"/>
          <w:rtl/>
        </w:rPr>
        <w:t xml:space="preserve"> </w:t>
      </w:r>
      <w:r w:rsidRPr="00074ACF">
        <w:rPr>
          <w:rFonts w:cs="Arial"/>
          <w:rtl/>
        </w:rPr>
        <w:t>אין לך אלא מה שאמרו חכמים דוקא צנון וחלתית</w:t>
      </w:r>
      <w:r>
        <w:rPr>
          <w:rStyle w:val="a7"/>
          <w:rFonts w:cs="Arial"/>
          <w:rtl/>
        </w:rPr>
        <w:footnoteReference w:id="1680"/>
      </w:r>
      <w:r w:rsidRPr="00074ACF">
        <w:rPr>
          <w:rFonts w:cs="Arial"/>
          <w:rtl/>
        </w:rPr>
        <w:t xml:space="preserve">. </w:t>
      </w:r>
    </w:p>
    <w:p w14:paraId="6E569C9A" w14:textId="77777777" w:rsidR="002C39F4" w:rsidRPr="00730368" w:rsidRDefault="002C39F4" w:rsidP="002C39F4">
      <w:pPr>
        <w:rPr>
          <w:u w:val="single"/>
        </w:rPr>
      </w:pPr>
      <w:r>
        <w:rPr>
          <w:rFonts w:hint="cs"/>
          <w:u w:val="single"/>
          <w:rtl/>
        </w:rPr>
        <w:t>ה</w:t>
      </w:r>
      <w:r w:rsidRPr="00B4038C">
        <w:rPr>
          <w:rFonts w:hint="cs"/>
          <w:u w:val="single"/>
          <w:rtl/>
        </w:rPr>
        <w:t xml:space="preserve">אם אפשר </w:t>
      </w:r>
      <w:r>
        <w:rPr>
          <w:rFonts w:hint="cs"/>
          <w:u w:val="single"/>
          <w:rtl/>
        </w:rPr>
        <w:t>לקנות צנון מן הגוים ו</w:t>
      </w:r>
      <w:r w:rsidRPr="00B4038C">
        <w:rPr>
          <w:rFonts w:hint="cs"/>
          <w:u w:val="single"/>
          <w:rtl/>
        </w:rPr>
        <w:t xml:space="preserve">לתלות שנחתך במרא וחצינא </w:t>
      </w:r>
      <w:r w:rsidRPr="00907148">
        <w:rPr>
          <w:rFonts w:hint="cs"/>
          <w:sz w:val="16"/>
          <w:szCs w:val="16"/>
          <w:u w:val="single"/>
          <w:rtl/>
        </w:rPr>
        <w:t>(ולא בסכין</w:t>
      </w:r>
      <w:r>
        <w:rPr>
          <w:rFonts w:hint="cs"/>
          <w:sz w:val="16"/>
          <w:szCs w:val="16"/>
          <w:u w:val="single"/>
          <w:rtl/>
        </w:rPr>
        <w:t>)</w:t>
      </w:r>
      <w:r w:rsidRPr="00B4038C">
        <w:rPr>
          <w:rFonts w:hint="cs"/>
          <w:u w:val="single"/>
          <w:rtl/>
        </w:rPr>
        <w:t>:</w:t>
      </w:r>
    </w:p>
    <w:p w14:paraId="0BC2B596" w14:textId="77777777" w:rsidR="002C39F4" w:rsidRPr="00730368" w:rsidRDefault="002C39F4" w:rsidP="0032102C">
      <w:pPr>
        <w:pStyle w:val="a8"/>
        <w:numPr>
          <w:ilvl w:val="0"/>
          <w:numId w:val="134"/>
        </w:numPr>
        <w:rPr>
          <w:rFonts w:cs="Arial"/>
        </w:rPr>
      </w:pPr>
      <w:r>
        <w:rPr>
          <w:rFonts w:cs="Arial" w:hint="cs"/>
          <w:rtl/>
        </w:rPr>
        <w:t>הגה' או</w:t>
      </w:r>
      <w:r>
        <w:rPr>
          <w:rFonts w:cs="Arial"/>
          <w:rtl/>
        </w:rPr>
        <w:t>"</w:t>
      </w:r>
      <w:r>
        <w:rPr>
          <w:rFonts w:cs="Arial" w:hint="cs"/>
          <w:rtl/>
        </w:rPr>
        <w:t>ה</w:t>
      </w:r>
      <w:r>
        <w:rPr>
          <w:rFonts w:cs="Arial"/>
          <w:rtl/>
        </w:rPr>
        <w:t xml:space="preserve"> </w:t>
      </w:r>
      <w:r w:rsidRPr="00A2015F">
        <w:rPr>
          <w:rFonts w:cs="Arial"/>
          <w:sz w:val="16"/>
          <w:szCs w:val="16"/>
          <w:rtl/>
        </w:rPr>
        <w:t>(סי' לח סקי</w:t>
      </w:r>
      <w:r w:rsidRPr="00A2015F">
        <w:rPr>
          <w:rFonts w:cs="Arial" w:hint="cs"/>
          <w:sz w:val="16"/>
          <w:szCs w:val="16"/>
          <w:rtl/>
        </w:rPr>
        <w:t>"</w:t>
      </w:r>
      <w:r w:rsidRPr="00A2015F">
        <w:rPr>
          <w:rFonts w:cs="Arial"/>
          <w:sz w:val="16"/>
          <w:szCs w:val="16"/>
          <w:rtl/>
        </w:rPr>
        <w:t>א)</w:t>
      </w:r>
      <w:r>
        <w:rPr>
          <w:rFonts w:cs="Arial" w:hint="cs"/>
          <w:rtl/>
        </w:rPr>
        <w:t xml:space="preserve">- </w:t>
      </w:r>
      <w:r>
        <w:rPr>
          <w:rFonts w:cs="Arial"/>
          <w:rtl/>
        </w:rPr>
        <w:t>לפעמים מביאים הגוים לשוק צנונות שנראין חתוכות אף למעלה מזנבותיהן ואומרים שחותכין אותן בברזילי המרה וחצינא כשחופרין אחריהן ומוציאין אותן מן הקרקע</w:t>
      </w:r>
      <w:r>
        <w:rPr>
          <w:rFonts w:cs="Arial" w:hint="cs"/>
          <w:rtl/>
        </w:rPr>
        <w:t>,</w:t>
      </w:r>
      <w:r>
        <w:rPr>
          <w:rFonts w:cs="Arial"/>
          <w:rtl/>
        </w:rPr>
        <w:t xml:space="preserve"> ונראה שכל החתיכות שהן לצד הזנב אפילו אינן בזנב עצמו אלא אף למעלה ממנו עד שליש או מחצה בצנון ואפילו בצדדין עד מחצה תלינן בברזל שחופרין בו דדרכן לחתכן בהא</w:t>
      </w:r>
      <w:r>
        <w:rPr>
          <w:rFonts w:cs="Arial" w:hint="cs"/>
          <w:rtl/>
        </w:rPr>
        <w:t>,</w:t>
      </w:r>
      <w:r>
        <w:rPr>
          <w:rFonts w:cs="Arial"/>
          <w:rtl/>
        </w:rPr>
        <w:t xml:space="preserve"> אבל למעלה מזה לא תלינן</w:t>
      </w:r>
      <w:r>
        <w:rPr>
          <w:rStyle w:val="a7"/>
          <w:rFonts w:cs="Arial"/>
          <w:rtl/>
        </w:rPr>
        <w:footnoteReference w:id="1681"/>
      </w:r>
      <w:r>
        <w:rPr>
          <w:rFonts w:cs="Arial" w:hint="cs"/>
          <w:rtl/>
        </w:rPr>
        <w:t>.</w:t>
      </w:r>
      <w:r w:rsidRPr="00730368">
        <w:rPr>
          <w:rFonts w:cs="Arial" w:hint="cs"/>
          <w:color w:val="00B0F0"/>
          <w:rtl/>
        </w:rPr>
        <w:t xml:space="preserve"> </w:t>
      </w:r>
      <w:r w:rsidRPr="007D518A">
        <w:rPr>
          <w:rFonts w:cs="Arial" w:hint="cs"/>
          <w:color w:val="00B0F0"/>
          <w:rtl/>
        </w:rPr>
        <w:t>(וכ"פ הרמ"א)</w:t>
      </w:r>
    </w:p>
    <w:p w14:paraId="47BCF5DC" w14:textId="77777777" w:rsidR="002C39F4" w:rsidRPr="00063311" w:rsidRDefault="002C39F4" w:rsidP="002C39F4">
      <w:pPr>
        <w:ind w:left="360"/>
        <w:rPr>
          <w:sz w:val="16"/>
          <w:szCs w:val="16"/>
        </w:rPr>
      </w:pPr>
      <w:r>
        <w:rPr>
          <w:rFonts w:hint="cs"/>
          <w:u w:val="dotted"/>
          <w:rtl/>
        </w:rPr>
        <w:t>ומה הדין אם חתך עם סכין את הירק שבזנבותיהם:</w:t>
      </w:r>
      <w:r>
        <w:rPr>
          <w:rFonts w:hint="cs"/>
          <w:sz w:val="16"/>
          <w:szCs w:val="16"/>
          <w:rtl/>
        </w:rPr>
        <w:t xml:space="preserve">  (דרכ"מ אות ג)</w:t>
      </w:r>
    </w:p>
    <w:p w14:paraId="3730E5DE" w14:textId="77777777" w:rsidR="002C39F4" w:rsidRPr="00730368" w:rsidRDefault="002C39F4" w:rsidP="0032102C">
      <w:pPr>
        <w:pStyle w:val="a8"/>
        <w:numPr>
          <w:ilvl w:val="0"/>
          <w:numId w:val="134"/>
        </w:numPr>
        <w:rPr>
          <w:rFonts w:cs="Arial"/>
        </w:rPr>
      </w:pPr>
      <w:r>
        <w:rPr>
          <w:rFonts w:cs="Arial" w:hint="cs"/>
          <w:rtl/>
        </w:rPr>
        <w:t>או</w:t>
      </w:r>
      <w:r>
        <w:rPr>
          <w:rFonts w:cs="Arial"/>
          <w:rtl/>
        </w:rPr>
        <w:t>"</w:t>
      </w:r>
      <w:r>
        <w:rPr>
          <w:rFonts w:cs="Arial" w:hint="cs"/>
          <w:rtl/>
        </w:rPr>
        <w:t>ה</w:t>
      </w:r>
      <w:r>
        <w:rPr>
          <w:rFonts w:cs="Arial"/>
          <w:rtl/>
        </w:rPr>
        <w:t xml:space="preserve"> </w:t>
      </w:r>
      <w:r w:rsidRPr="00063311">
        <w:rPr>
          <w:rFonts w:cs="Arial" w:hint="cs"/>
          <w:sz w:val="16"/>
          <w:szCs w:val="16"/>
          <w:rtl/>
        </w:rPr>
        <w:t>(</w:t>
      </w:r>
      <w:r w:rsidRPr="00063311">
        <w:rPr>
          <w:rFonts w:cs="Arial"/>
          <w:sz w:val="16"/>
          <w:szCs w:val="16"/>
          <w:rtl/>
        </w:rPr>
        <w:t>כל</w:t>
      </w:r>
      <w:r>
        <w:rPr>
          <w:rFonts w:cs="Arial" w:hint="cs"/>
          <w:sz w:val="16"/>
          <w:szCs w:val="16"/>
          <w:rtl/>
        </w:rPr>
        <w:t>"</w:t>
      </w:r>
      <w:r w:rsidRPr="00063311">
        <w:rPr>
          <w:rFonts w:cs="Arial"/>
          <w:sz w:val="16"/>
          <w:szCs w:val="16"/>
          <w:rtl/>
        </w:rPr>
        <w:t>ח ד</w:t>
      </w:r>
      <w:r>
        <w:rPr>
          <w:rFonts w:cs="Arial" w:hint="cs"/>
          <w:sz w:val="16"/>
          <w:szCs w:val="16"/>
          <w:rtl/>
        </w:rPr>
        <w:t>"</w:t>
      </w:r>
      <w:r w:rsidRPr="00063311">
        <w:rPr>
          <w:rFonts w:cs="Arial"/>
          <w:sz w:val="16"/>
          <w:szCs w:val="16"/>
          <w:rtl/>
        </w:rPr>
        <w:t>י-יא)</w:t>
      </w:r>
      <w:r>
        <w:rPr>
          <w:rFonts w:cs="Arial" w:hint="cs"/>
          <w:rtl/>
        </w:rPr>
        <w:t xml:space="preserve">- </w:t>
      </w:r>
      <w:r>
        <w:rPr>
          <w:rFonts w:cs="Arial"/>
          <w:rtl/>
        </w:rPr>
        <w:t>מה שאנו אוכלין שומין ובצלים ודומיהן שנחתכו זנבותיהן בסכין של גוים לפי שהזנבות אינם חריפין ולא בלעי מהסכין כ"א קצת כדי קליפה סגי</w:t>
      </w:r>
      <w:r>
        <w:rPr>
          <w:rFonts w:cs="Arial" w:hint="cs"/>
          <w:rtl/>
        </w:rPr>
        <w:t>,</w:t>
      </w:r>
      <w:r>
        <w:rPr>
          <w:rFonts w:cs="Arial"/>
          <w:rtl/>
        </w:rPr>
        <w:t xml:space="preserve"> וכן צנון שנחתך בסכין של גוים רק למעלה בירק שלו שהוא רק קצת חריף אם נשאר בירק על הצנון אפי</w:t>
      </w:r>
      <w:r>
        <w:rPr>
          <w:rFonts w:cs="Arial" w:hint="cs"/>
          <w:rtl/>
        </w:rPr>
        <w:t>'</w:t>
      </w:r>
      <w:r>
        <w:rPr>
          <w:rFonts w:cs="Arial"/>
          <w:rtl/>
        </w:rPr>
        <w:t xml:space="preserve"> כרוחב קש חטין זורק הירק והצנון עצמו מותר</w:t>
      </w:r>
      <w:r>
        <w:rPr>
          <w:rStyle w:val="a7"/>
          <w:rFonts w:cs="Arial"/>
          <w:rtl/>
        </w:rPr>
        <w:footnoteReference w:id="1682"/>
      </w:r>
      <w:r>
        <w:rPr>
          <w:rFonts w:cs="Arial" w:hint="cs"/>
          <w:rtl/>
        </w:rPr>
        <w:t>.</w:t>
      </w:r>
      <w:r>
        <w:rPr>
          <w:rFonts w:cs="Arial" w:hint="cs"/>
          <w:color w:val="00B0F0"/>
          <w:rtl/>
        </w:rPr>
        <w:t xml:space="preserve"> </w:t>
      </w:r>
      <w:r w:rsidRPr="007D518A">
        <w:rPr>
          <w:rFonts w:cs="Arial" w:hint="cs"/>
          <w:color w:val="00B0F0"/>
          <w:rtl/>
        </w:rPr>
        <w:t>(וכ"פ הרמ"א)</w:t>
      </w:r>
    </w:p>
    <w:p w14:paraId="69EF5388" w14:textId="77777777" w:rsidR="002C39F4" w:rsidRDefault="002C39F4" w:rsidP="002C39F4">
      <w:pPr>
        <w:rPr>
          <w:rFonts w:cs="Arial"/>
          <w:rtl/>
        </w:rPr>
      </w:pPr>
      <w:r w:rsidRPr="00E243C5">
        <w:rPr>
          <w:rFonts w:cs="Arial" w:hint="cs"/>
          <w:u w:val="single"/>
          <w:rtl/>
        </w:rPr>
        <w:t>חתך צנון בסכין דאינו בן יומו:</w:t>
      </w:r>
    </w:p>
    <w:p w14:paraId="1D64791A" w14:textId="77777777" w:rsidR="002C39F4" w:rsidRDefault="002C39F4" w:rsidP="0032102C">
      <w:pPr>
        <w:pStyle w:val="a8"/>
        <w:numPr>
          <w:ilvl w:val="0"/>
          <w:numId w:val="135"/>
        </w:numPr>
        <w:rPr>
          <w:rtl/>
        </w:rPr>
      </w:pPr>
      <w:r w:rsidRPr="00E243C5">
        <w:rPr>
          <w:rFonts w:cs="Arial" w:hint="cs"/>
          <w:rtl/>
        </w:rPr>
        <w:t>סה"ת</w:t>
      </w:r>
      <w:r w:rsidRPr="00E243C5">
        <w:rPr>
          <w:rFonts w:cs="Arial"/>
          <w:rtl/>
        </w:rPr>
        <w:t xml:space="preserve"> </w:t>
      </w:r>
      <w:r w:rsidRPr="00E243C5">
        <w:rPr>
          <w:rFonts w:cs="Arial"/>
          <w:sz w:val="16"/>
          <w:szCs w:val="16"/>
          <w:rtl/>
        </w:rPr>
        <w:t>(סי' ס)</w:t>
      </w:r>
      <w:r w:rsidRPr="00E243C5">
        <w:rPr>
          <w:rFonts w:cs="Arial" w:hint="cs"/>
          <w:rtl/>
        </w:rPr>
        <w:t>-</w:t>
      </w:r>
      <w:r w:rsidRPr="00E243C5">
        <w:rPr>
          <w:rFonts w:cs="Arial"/>
          <w:rtl/>
        </w:rPr>
        <w:t xml:space="preserve"> ויכול להיות שאין חילוק בסכין אלא אפילו אינו בן יומו</w:t>
      </w:r>
      <w:r>
        <w:rPr>
          <w:rStyle w:val="a7"/>
          <w:rFonts w:cs="Arial"/>
          <w:rtl/>
        </w:rPr>
        <w:footnoteReference w:id="1683"/>
      </w:r>
      <w:r w:rsidRPr="00E243C5">
        <w:rPr>
          <w:rFonts w:cs="Arial"/>
          <w:rtl/>
        </w:rPr>
        <w:t xml:space="preserve"> חשוב כבן יומו דאגב חורפיה דצנון או ירק מחליא והוי לשבח כדאמ</w:t>
      </w:r>
      <w:r>
        <w:rPr>
          <w:rFonts w:cs="Arial" w:hint="cs"/>
          <w:rtl/>
        </w:rPr>
        <w:t>רינן</w:t>
      </w:r>
      <w:r w:rsidRPr="00E243C5">
        <w:rPr>
          <w:rFonts w:cs="Arial"/>
          <w:rtl/>
        </w:rPr>
        <w:t xml:space="preserve"> גבי קורט של חלתית של גוים </w:t>
      </w:r>
      <w:r w:rsidRPr="00E243C5">
        <w:rPr>
          <w:rFonts w:cs="Arial"/>
          <w:sz w:val="16"/>
          <w:szCs w:val="16"/>
          <w:rtl/>
        </w:rPr>
        <w:t>(ע"ז לט.)</w:t>
      </w:r>
      <w:r>
        <w:rPr>
          <w:rStyle w:val="a7"/>
          <w:rFonts w:cs="Arial"/>
          <w:rtl/>
        </w:rPr>
        <w:footnoteReference w:id="1684"/>
      </w:r>
      <w:r>
        <w:rPr>
          <w:rFonts w:cs="Arial" w:hint="cs"/>
          <w:rtl/>
        </w:rPr>
        <w:t>.</w:t>
      </w:r>
      <w:r w:rsidRPr="008129C0">
        <w:rPr>
          <w:rFonts w:cs="Arial" w:hint="cs"/>
          <w:color w:val="E36C0A" w:themeColor="accent6" w:themeShade="BF"/>
          <w:rtl/>
        </w:rPr>
        <w:t xml:space="preserve"> </w:t>
      </w:r>
      <w:r w:rsidRPr="00354031">
        <w:rPr>
          <w:rFonts w:cs="Arial" w:hint="cs"/>
          <w:color w:val="00B0F0"/>
          <w:rtl/>
        </w:rPr>
        <w:t>(וכ"פ הרמ"א</w:t>
      </w:r>
      <w:r w:rsidRPr="00354031">
        <w:rPr>
          <w:rFonts w:cs="Arial" w:hint="cs"/>
          <w:color w:val="00B0F0"/>
          <w:sz w:val="16"/>
          <w:szCs w:val="16"/>
          <w:rtl/>
        </w:rPr>
        <w:t xml:space="preserve"> </w:t>
      </w:r>
      <w:r>
        <w:rPr>
          <w:rFonts w:cs="Arial" w:hint="cs"/>
          <w:color w:val="000000" w:themeColor="text1"/>
          <w:sz w:val="16"/>
          <w:szCs w:val="16"/>
          <w:rtl/>
        </w:rPr>
        <w:t xml:space="preserve">[סע' ג, </w:t>
      </w:r>
      <w:r w:rsidRPr="00354031">
        <w:rPr>
          <w:rFonts w:cs="Arial" w:hint="cs"/>
          <w:color w:val="000000" w:themeColor="text1"/>
          <w:sz w:val="16"/>
          <w:szCs w:val="16"/>
          <w:rtl/>
        </w:rPr>
        <w:t xml:space="preserve">וכ"כ </w:t>
      </w:r>
      <w:r>
        <w:rPr>
          <w:rFonts w:cs="Arial" w:hint="cs"/>
          <w:color w:val="000000" w:themeColor="text1"/>
          <w:sz w:val="16"/>
          <w:szCs w:val="16"/>
          <w:rtl/>
        </w:rPr>
        <w:t>ב</w:t>
      </w:r>
      <w:r w:rsidRPr="00354031">
        <w:rPr>
          <w:rFonts w:cs="Arial" w:hint="cs"/>
          <w:color w:val="000000" w:themeColor="text1"/>
          <w:sz w:val="16"/>
          <w:szCs w:val="16"/>
          <w:rtl/>
        </w:rPr>
        <w:t xml:space="preserve">דרכ"מ </w:t>
      </w:r>
      <w:r w:rsidRPr="00111999">
        <w:rPr>
          <w:rFonts w:cs="Arial" w:hint="cs"/>
          <w:color w:val="000000" w:themeColor="text1"/>
          <w:sz w:val="16"/>
          <w:szCs w:val="16"/>
          <w:rtl/>
        </w:rPr>
        <w:t>אות ד]</w:t>
      </w:r>
      <w:r w:rsidRPr="00354031">
        <w:rPr>
          <w:rFonts w:cs="Arial" w:hint="cs"/>
          <w:color w:val="00B0F0"/>
          <w:rtl/>
        </w:rPr>
        <w:t>)</w:t>
      </w:r>
    </w:p>
    <w:p w14:paraId="3286951E" w14:textId="77777777" w:rsidR="002C39F4" w:rsidRDefault="002C39F4" w:rsidP="0032102C">
      <w:pPr>
        <w:pStyle w:val="a8"/>
        <w:numPr>
          <w:ilvl w:val="0"/>
          <w:numId w:val="135"/>
        </w:numPr>
      </w:pPr>
      <w:r>
        <w:rPr>
          <w:rFonts w:cs="Arial" w:hint="cs"/>
          <w:rtl/>
        </w:rPr>
        <w:t>מהר"ם</w:t>
      </w:r>
      <w:r>
        <w:rPr>
          <w:rFonts w:cs="Arial" w:hint="cs"/>
          <w:sz w:val="16"/>
          <w:szCs w:val="16"/>
          <w:rtl/>
        </w:rPr>
        <w:t xml:space="preserve"> </w:t>
      </w:r>
      <w:r>
        <w:rPr>
          <w:rFonts w:cs="Arial"/>
          <w:sz w:val="16"/>
          <w:szCs w:val="16"/>
          <w:rtl/>
        </w:rPr>
        <w:t>(תשובות ופסקים ח"ב סי' כב</w:t>
      </w:r>
      <w:r>
        <w:rPr>
          <w:rFonts w:cs="Arial" w:hint="cs"/>
          <w:sz w:val="16"/>
          <w:szCs w:val="16"/>
          <w:rtl/>
        </w:rPr>
        <w:t xml:space="preserve">, כ"כ </w:t>
      </w:r>
      <w:r w:rsidRPr="00A56901">
        <w:rPr>
          <w:rFonts w:cs="Arial"/>
          <w:sz w:val="16"/>
          <w:szCs w:val="16"/>
          <w:rtl/>
        </w:rPr>
        <w:t>הרא"ש</w:t>
      </w:r>
      <w:r w:rsidRPr="00A56901">
        <w:rPr>
          <w:rFonts w:cs="Arial"/>
          <w:sz w:val="14"/>
          <w:szCs w:val="14"/>
          <w:rtl/>
        </w:rPr>
        <w:t xml:space="preserve"> </w:t>
      </w:r>
      <w:r w:rsidRPr="00A56901">
        <w:rPr>
          <w:rFonts w:cs="Arial" w:hint="cs"/>
          <w:sz w:val="14"/>
          <w:szCs w:val="14"/>
          <w:rtl/>
        </w:rPr>
        <w:t>[</w:t>
      </w:r>
      <w:r w:rsidRPr="00A56901">
        <w:rPr>
          <w:rFonts w:cs="Arial"/>
          <w:sz w:val="14"/>
          <w:szCs w:val="14"/>
          <w:rtl/>
        </w:rPr>
        <w:t>ע"ז סי' לח</w:t>
      </w:r>
      <w:r w:rsidRPr="00A56901">
        <w:rPr>
          <w:rFonts w:cs="Arial" w:hint="cs"/>
          <w:sz w:val="14"/>
          <w:szCs w:val="14"/>
          <w:rtl/>
        </w:rPr>
        <w:t xml:space="preserve">] </w:t>
      </w:r>
      <w:r>
        <w:rPr>
          <w:rFonts w:cs="Arial" w:hint="cs"/>
          <w:sz w:val="16"/>
          <w:szCs w:val="16"/>
          <w:rtl/>
        </w:rPr>
        <w:t>והטור בשמו)</w:t>
      </w:r>
      <w:r>
        <w:rPr>
          <w:rFonts w:cs="Arial" w:hint="cs"/>
          <w:rtl/>
        </w:rPr>
        <w:t xml:space="preserve">- </w:t>
      </w:r>
      <w:r w:rsidRPr="00FA171B">
        <w:rPr>
          <w:rFonts w:cs="Arial"/>
          <w:rtl/>
        </w:rPr>
        <w:t>בין בצנון בין בשומין ובצלים</w:t>
      </w:r>
      <w:r>
        <w:rPr>
          <w:rFonts w:cs="Arial" w:hint="cs"/>
          <w:rtl/>
        </w:rPr>
        <w:t xml:space="preserve"> מותר</w:t>
      </w:r>
      <w:r w:rsidRPr="00FA171B">
        <w:rPr>
          <w:rFonts w:cs="Arial"/>
          <w:rtl/>
        </w:rPr>
        <w:t xml:space="preserve"> אא"כ היה הסכין בן יומו</w:t>
      </w:r>
      <w:r>
        <w:rPr>
          <w:rFonts w:cs="Arial" w:hint="cs"/>
          <w:rtl/>
        </w:rPr>
        <w:t>,</w:t>
      </w:r>
      <w:r w:rsidRPr="00FA171B">
        <w:rPr>
          <w:rFonts w:cs="Arial"/>
          <w:rtl/>
        </w:rPr>
        <w:t xml:space="preserve"> ו</w:t>
      </w:r>
      <w:r>
        <w:rPr>
          <w:rFonts w:cs="Arial" w:hint="cs"/>
          <w:rtl/>
        </w:rPr>
        <w:t xml:space="preserve">איני </w:t>
      </w:r>
      <w:r w:rsidRPr="00FA171B">
        <w:rPr>
          <w:rFonts w:cs="Arial"/>
          <w:rtl/>
        </w:rPr>
        <w:t>ר</w:t>
      </w:r>
      <w:r>
        <w:rPr>
          <w:rFonts w:cs="Arial" w:hint="cs"/>
          <w:rtl/>
        </w:rPr>
        <w:t>ו</w:t>
      </w:r>
      <w:r w:rsidRPr="00FA171B">
        <w:rPr>
          <w:rFonts w:cs="Arial"/>
          <w:rtl/>
        </w:rPr>
        <w:t>צה להורות הלכה למעשה</w:t>
      </w:r>
      <w:r>
        <w:rPr>
          <w:rFonts w:cs="Arial" w:hint="cs"/>
          <w:rtl/>
        </w:rPr>
        <w:t>,</w:t>
      </w:r>
      <w:r w:rsidRPr="00FA171B">
        <w:rPr>
          <w:rFonts w:cs="Arial"/>
          <w:rtl/>
        </w:rPr>
        <w:t xml:space="preserve"> </w:t>
      </w:r>
      <w:r>
        <w:rPr>
          <w:rFonts w:cs="Arial"/>
          <w:rtl/>
        </w:rPr>
        <w:t>ואע"פ שאני מורה כסה</w:t>
      </w:r>
      <w:r>
        <w:rPr>
          <w:rFonts w:cs="Arial" w:hint="cs"/>
          <w:rtl/>
        </w:rPr>
        <w:t>"</w:t>
      </w:r>
      <w:r>
        <w:rPr>
          <w:rFonts w:cs="Arial"/>
          <w:rtl/>
        </w:rPr>
        <w:t>ת</w:t>
      </w:r>
      <w:r w:rsidRPr="00FA171B">
        <w:rPr>
          <w:rFonts w:cs="Arial"/>
          <w:rtl/>
        </w:rPr>
        <w:t xml:space="preserve"> לאסור איני מוחה בידי הנוהגין היתר</w:t>
      </w:r>
      <w:r>
        <w:rPr>
          <w:rFonts w:cs="Arial" w:hint="cs"/>
          <w:rtl/>
        </w:rPr>
        <w:t>.</w:t>
      </w:r>
      <w:r>
        <w:rPr>
          <w:rFonts w:hint="cs"/>
          <w:rtl/>
        </w:rPr>
        <w:t xml:space="preserve"> </w:t>
      </w:r>
    </w:p>
    <w:p w14:paraId="70135BFD" w14:textId="77777777" w:rsidR="002C39F4" w:rsidRDefault="002C39F4" w:rsidP="0032102C">
      <w:pPr>
        <w:pStyle w:val="a8"/>
        <w:numPr>
          <w:ilvl w:val="0"/>
          <w:numId w:val="135"/>
        </w:numPr>
      </w:pPr>
      <w:r>
        <w:rPr>
          <w:rFonts w:cs="Arial" w:hint="cs"/>
          <w:rtl/>
        </w:rPr>
        <w:t>(</w:t>
      </w:r>
      <w:r w:rsidRPr="00F568AE">
        <w:rPr>
          <w:rFonts w:cs="Arial"/>
          <w:rtl/>
        </w:rPr>
        <w:t>רמב"</w:t>
      </w:r>
      <w:r w:rsidRPr="00F568AE">
        <w:rPr>
          <w:rFonts w:cs="Arial" w:hint="cs"/>
          <w:rtl/>
        </w:rPr>
        <w:t>ם</w:t>
      </w:r>
      <w:r w:rsidRPr="00F568AE">
        <w:rPr>
          <w:rFonts w:cs="Arial" w:hint="cs"/>
          <w:sz w:val="14"/>
          <w:szCs w:val="14"/>
          <w:rtl/>
        </w:rPr>
        <w:t xml:space="preserve"> </w:t>
      </w:r>
      <w:r>
        <w:rPr>
          <w:rFonts w:cs="Arial" w:hint="cs"/>
          <w:sz w:val="16"/>
          <w:szCs w:val="16"/>
          <w:rtl/>
        </w:rPr>
        <w:t>להב' הב"י</w:t>
      </w:r>
      <w:r>
        <w:rPr>
          <w:rFonts w:cs="Arial" w:hint="cs"/>
          <w:rtl/>
        </w:rPr>
        <w:t>)</w:t>
      </w:r>
      <w:r w:rsidRPr="00F568AE">
        <w:rPr>
          <w:rFonts w:cs="Arial" w:hint="cs"/>
          <w:rtl/>
        </w:rPr>
        <w:t>-</w:t>
      </w:r>
      <w:r w:rsidRPr="00B3433F">
        <w:rPr>
          <w:rFonts w:cs="Arial"/>
          <w:rtl/>
        </w:rPr>
        <w:t xml:space="preserve"> </w:t>
      </w:r>
      <w:r w:rsidRPr="00594F04">
        <w:rPr>
          <w:rFonts w:cs="Arial"/>
          <w:rtl/>
        </w:rPr>
        <w:t xml:space="preserve">בבן </w:t>
      </w:r>
      <w:r>
        <w:rPr>
          <w:rFonts w:cs="Arial"/>
          <w:rtl/>
        </w:rPr>
        <w:t>יומו דוקא קאמר אבל שאינו ב</w:t>
      </w:r>
      <w:r>
        <w:rPr>
          <w:rFonts w:cs="Arial" w:hint="cs"/>
          <w:rtl/>
        </w:rPr>
        <w:t xml:space="preserve">ן </w:t>
      </w:r>
      <w:r>
        <w:rPr>
          <w:rFonts w:cs="Arial"/>
          <w:rtl/>
        </w:rPr>
        <w:t>י</w:t>
      </w:r>
      <w:r>
        <w:rPr>
          <w:rFonts w:cs="Arial" w:hint="cs"/>
          <w:rtl/>
        </w:rPr>
        <w:t>ומו</w:t>
      </w:r>
      <w:r w:rsidRPr="00594F04">
        <w:rPr>
          <w:rFonts w:cs="Arial"/>
          <w:rtl/>
        </w:rPr>
        <w:t xml:space="preserve"> אפילו צנון נמי שרי</w:t>
      </w:r>
      <w:r>
        <w:rPr>
          <w:rStyle w:val="a7"/>
          <w:rFonts w:cs="Arial"/>
          <w:rtl/>
        </w:rPr>
        <w:footnoteReference w:id="1685"/>
      </w:r>
      <w:r>
        <w:rPr>
          <w:rFonts w:cs="Arial" w:hint="cs"/>
          <w:rtl/>
        </w:rPr>
        <w:t>.</w:t>
      </w:r>
      <w:r>
        <w:rPr>
          <w:rFonts w:hint="cs"/>
          <w:rtl/>
        </w:rPr>
        <w:t xml:space="preserve"> </w:t>
      </w:r>
      <w:r w:rsidRPr="002D5AD9">
        <w:rPr>
          <w:rFonts w:hint="cs"/>
          <w:color w:val="E36C0A" w:themeColor="accent6" w:themeShade="BF"/>
          <w:rtl/>
        </w:rPr>
        <w:t>(וכ"</w:t>
      </w:r>
      <w:r>
        <w:rPr>
          <w:rFonts w:hint="cs"/>
          <w:color w:val="E36C0A" w:themeColor="accent6" w:themeShade="BF"/>
          <w:rtl/>
        </w:rPr>
        <w:t>ס</w:t>
      </w:r>
      <w:r w:rsidRPr="002D5AD9">
        <w:rPr>
          <w:rFonts w:hint="cs"/>
          <w:color w:val="E36C0A" w:themeColor="accent6" w:themeShade="BF"/>
          <w:rtl/>
        </w:rPr>
        <w:t xml:space="preserve"> בשו"ע)</w:t>
      </w:r>
    </w:p>
    <w:p w14:paraId="31BCECA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D074C0" w14:textId="77777777" w:rsidR="002C39F4" w:rsidRDefault="002C39F4" w:rsidP="002C39F4">
      <w:pPr>
        <w:rPr>
          <w:rFonts w:asciiTheme="minorBidi" w:hAnsiTheme="minorBidi"/>
          <w:rtl/>
        </w:rPr>
      </w:pPr>
      <w:r w:rsidRPr="003024E5">
        <w:rPr>
          <w:rFonts w:asciiTheme="minorBidi" w:hAnsiTheme="minorBidi"/>
          <w:rtl/>
        </w:rPr>
        <w:t>צנון או סילקא</w:t>
      </w:r>
      <w:r>
        <w:rPr>
          <w:rStyle w:val="a7"/>
          <w:rFonts w:asciiTheme="minorBidi" w:hAnsiTheme="minorBidi"/>
          <w:rtl/>
        </w:rPr>
        <w:footnoteReference w:id="1686"/>
      </w:r>
      <w:r w:rsidRPr="003024E5">
        <w:rPr>
          <w:rFonts w:asciiTheme="minorBidi" w:hAnsiTheme="minorBidi"/>
          <w:rtl/>
        </w:rPr>
        <w:t xml:space="preserve"> שחתכם בסכין של </w:t>
      </w:r>
      <w:r>
        <w:rPr>
          <w:rFonts w:asciiTheme="minorBidi" w:hAnsiTheme="minorBidi"/>
          <w:rtl/>
        </w:rPr>
        <w:t>בשר בן יומו</w:t>
      </w:r>
      <w:r>
        <w:rPr>
          <w:rStyle w:val="a7"/>
          <w:rFonts w:asciiTheme="minorBidi" w:hAnsiTheme="minorBidi"/>
          <w:rtl/>
        </w:rPr>
        <w:footnoteReference w:id="1687"/>
      </w:r>
      <w:r>
        <w:rPr>
          <w:rFonts w:asciiTheme="minorBidi" w:hAnsiTheme="minorBidi"/>
          <w:rtl/>
        </w:rPr>
        <w:t xml:space="preserve"> או שאינו מקונח</w:t>
      </w:r>
      <w:r>
        <w:rPr>
          <w:rStyle w:val="a7"/>
          <w:rFonts w:asciiTheme="minorBidi" w:hAnsiTheme="minorBidi"/>
          <w:rtl/>
        </w:rPr>
        <w:footnoteReference w:id="1688"/>
      </w:r>
      <w:r w:rsidRPr="003024E5">
        <w:rPr>
          <w:rFonts w:asciiTheme="minorBidi" w:hAnsiTheme="minorBidi"/>
          <w:rtl/>
        </w:rPr>
        <w:t xml:space="preserve"> אסור לאכלם בחלב עד </w:t>
      </w:r>
      <w:r>
        <w:rPr>
          <w:rFonts w:asciiTheme="minorBidi" w:hAnsiTheme="minorBidi"/>
          <w:rtl/>
        </w:rPr>
        <w:t>שיטול ממקום החתך כדי נטילת מקום שהוא כעובי אצבע</w:t>
      </w:r>
      <w:r>
        <w:rPr>
          <w:rFonts w:asciiTheme="minorBidi" w:hAnsiTheme="minorBidi" w:hint="cs"/>
          <w:rtl/>
        </w:rPr>
        <w:t>,</w:t>
      </w:r>
      <w:r>
        <w:rPr>
          <w:rFonts w:asciiTheme="minorBidi" w:hAnsiTheme="minorBidi"/>
          <w:rtl/>
        </w:rPr>
        <w:t xml:space="preserve"> או שיטעמנו ולא יהא בו טעם בשר שאז מותר בהדחה</w:t>
      </w:r>
      <w:r>
        <w:rPr>
          <w:rStyle w:val="a7"/>
          <w:rFonts w:asciiTheme="minorBidi" w:hAnsiTheme="minorBidi"/>
          <w:rtl/>
        </w:rPr>
        <w:footnoteReference w:id="1689"/>
      </w:r>
      <w:r>
        <w:rPr>
          <w:rFonts w:asciiTheme="minorBidi" w:hAnsiTheme="minorBidi" w:hint="cs"/>
          <w:rtl/>
        </w:rPr>
        <w:t>.</w:t>
      </w:r>
      <w:r w:rsidRPr="003024E5">
        <w:rPr>
          <w:rFonts w:asciiTheme="minorBidi" w:hAnsiTheme="minorBidi"/>
          <w:rtl/>
        </w:rPr>
        <w:t xml:space="preserve"> ויש אומרים</w:t>
      </w:r>
      <w:r>
        <w:rPr>
          <w:rStyle w:val="a7"/>
          <w:rFonts w:asciiTheme="minorBidi" w:hAnsiTheme="minorBidi"/>
          <w:rtl/>
        </w:rPr>
        <w:footnoteReference w:id="1690"/>
      </w:r>
      <w:r w:rsidRPr="003024E5">
        <w:rPr>
          <w:rFonts w:asciiTheme="minorBidi" w:hAnsiTheme="minorBidi"/>
          <w:rtl/>
        </w:rPr>
        <w:t xml:space="preserve"> דהו</w:t>
      </w:r>
      <w:r>
        <w:rPr>
          <w:rFonts w:asciiTheme="minorBidi" w:hAnsiTheme="minorBidi"/>
          <w:rtl/>
        </w:rPr>
        <w:t>א הדין לאינו בן יומו והוא מקונח</w:t>
      </w:r>
      <w:r>
        <w:rPr>
          <w:rFonts w:asciiTheme="minorBidi" w:hAnsiTheme="minorBidi" w:hint="cs"/>
          <w:rtl/>
        </w:rPr>
        <w:t>.</w:t>
      </w:r>
      <w:r w:rsidRPr="003024E5">
        <w:rPr>
          <w:rFonts w:asciiTheme="minorBidi" w:hAnsiTheme="minorBidi"/>
          <w:rtl/>
        </w:rPr>
        <w:t xml:space="preserve"> ואם לא נטל מהם כדי נט</w:t>
      </w:r>
      <w:r>
        <w:rPr>
          <w:rFonts w:asciiTheme="minorBidi" w:hAnsiTheme="minorBidi"/>
          <w:rtl/>
        </w:rPr>
        <w:t>ילת מקום וגם לא טעמם ובשלם בחלב</w:t>
      </w:r>
      <w:r w:rsidRPr="003024E5">
        <w:rPr>
          <w:rFonts w:asciiTheme="minorBidi" w:hAnsiTheme="minorBidi"/>
          <w:rtl/>
        </w:rPr>
        <w:t xml:space="preserve"> צריך ששים</w:t>
      </w:r>
      <w:r>
        <w:rPr>
          <w:rStyle w:val="a7"/>
          <w:rFonts w:asciiTheme="minorBidi" w:hAnsiTheme="minorBidi"/>
          <w:rtl/>
        </w:rPr>
        <w:footnoteReference w:id="1691"/>
      </w:r>
      <w:r>
        <w:rPr>
          <w:rFonts w:asciiTheme="minorBidi" w:hAnsiTheme="minorBidi"/>
          <w:rtl/>
        </w:rPr>
        <w:t xml:space="preserve"> כנגד מה שנגע מהסכין בהם</w:t>
      </w:r>
      <w:r>
        <w:rPr>
          <w:rStyle w:val="a7"/>
          <w:rFonts w:asciiTheme="minorBidi" w:hAnsiTheme="minorBidi"/>
          <w:rtl/>
        </w:rPr>
        <w:footnoteReference w:id="1692"/>
      </w:r>
      <w:r>
        <w:rPr>
          <w:rFonts w:asciiTheme="minorBidi" w:hAnsiTheme="minorBidi" w:hint="cs"/>
          <w:rtl/>
        </w:rPr>
        <w:t>.</w:t>
      </w:r>
      <w:r>
        <w:rPr>
          <w:rFonts w:asciiTheme="minorBidi" w:hAnsiTheme="minorBidi"/>
          <w:rtl/>
        </w:rPr>
        <w:t xml:space="preserve"> וה</w:t>
      </w:r>
      <w:r>
        <w:rPr>
          <w:rFonts w:asciiTheme="minorBidi" w:hAnsiTheme="minorBidi" w:hint="cs"/>
          <w:rtl/>
        </w:rPr>
        <w:t xml:space="preserve">וא </w:t>
      </w:r>
      <w:r w:rsidRPr="003024E5">
        <w:rPr>
          <w:rFonts w:asciiTheme="minorBidi" w:hAnsiTheme="minorBidi"/>
          <w:rtl/>
        </w:rPr>
        <w:t>ה</w:t>
      </w:r>
      <w:r>
        <w:rPr>
          <w:rFonts w:asciiTheme="minorBidi" w:hAnsiTheme="minorBidi" w:hint="cs"/>
          <w:rtl/>
        </w:rPr>
        <w:t>דין</w:t>
      </w:r>
      <w:r>
        <w:rPr>
          <w:rFonts w:asciiTheme="minorBidi" w:hAnsiTheme="minorBidi"/>
          <w:rtl/>
        </w:rPr>
        <w:t xml:space="preserve"> לחתכם בסכין של </w:t>
      </w:r>
      <w:r>
        <w:rPr>
          <w:rFonts w:asciiTheme="minorBidi" w:hAnsiTheme="minorBidi" w:hint="cs"/>
          <w:rtl/>
        </w:rPr>
        <w:t>גוים</w:t>
      </w:r>
      <w:r>
        <w:rPr>
          <w:rStyle w:val="a7"/>
          <w:rFonts w:asciiTheme="minorBidi" w:hAnsiTheme="minorBidi"/>
          <w:rtl/>
        </w:rPr>
        <w:footnoteReference w:id="1693"/>
      </w:r>
      <w:r w:rsidRPr="003024E5">
        <w:rPr>
          <w:rFonts w:asciiTheme="minorBidi" w:hAnsiTheme="minorBidi"/>
          <w:rtl/>
        </w:rPr>
        <w:t xml:space="preserve">. </w:t>
      </w:r>
      <w:r>
        <w:rPr>
          <w:rFonts w:asciiTheme="minorBidi" w:hAnsiTheme="minorBidi"/>
          <w:sz w:val="18"/>
          <w:szCs w:val="18"/>
          <w:rtl/>
        </w:rPr>
        <w:t>הגה: ואם חתכן דק דק</w:t>
      </w:r>
      <w:r w:rsidRPr="00085E47">
        <w:rPr>
          <w:rFonts w:asciiTheme="minorBidi" w:hAnsiTheme="minorBidi"/>
          <w:sz w:val="18"/>
          <w:szCs w:val="18"/>
          <w:rtl/>
        </w:rPr>
        <w:t xml:space="preserve"> צריך לשער ס' נגד כל הצנון</w:t>
      </w:r>
      <w:r>
        <w:rPr>
          <w:rStyle w:val="a7"/>
          <w:rFonts w:asciiTheme="minorBidi" w:hAnsiTheme="minorBidi"/>
          <w:sz w:val="18"/>
          <w:szCs w:val="18"/>
          <w:rtl/>
        </w:rPr>
        <w:footnoteReference w:id="1694"/>
      </w:r>
      <w:r w:rsidRPr="00085E47">
        <w:rPr>
          <w:rFonts w:asciiTheme="minorBidi" w:hAnsiTheme="minorBidi"/>
          <w:sz w:val="18"/>
          <w:szCs w:val="18"/>
          <w:rtl/>
        </w:rPr>
        <w:t xml:space="preserve"> (ב"י בשם סמ"ק). ו</w:t>
      </w:r>
      <w:r>
        <w:rPr>
          <w:rFonts w:asciiTheme="minorBidi" w:hAnsiTheme="minorBidi"/>
          <w:sz w:val="18"/>
          <w:szCs w:val="18"/>
          <w:rtl/>
        </w:rPr>
        <w:t>י"א שאם חתך צנון בסכין של איסור כולו אסור</w:t>
      </w:r>
      <w:r>
        <w:rPr>
          <w:rFonts w:asciiTheme="minorBidi" w:hAnsiTheme="minorBidi" w:hint="cs"/>
          <w:sz w:val="18"/>
          <w:szCs w:val="18"/>
          <w:rtl/>
        </w:rPr>
        <w:t xml:space="preserve"> (סה"ת),</w:t>
      </w:r>
      <w:r w:rsidRPr="00085E47">
        <w:rPr>
          <w:rFonts w:asciiTheme="minorBidi" w:hAnsiTheme="minorBidi"/>
          <w:sz w:val="18"/>
          <w:szCs w:val="18"/>
          <w:rtl/>
        </w:rPr>
        <w:t xml:space="preserve"> וכן אם חת</w:t>
      </w:r>
      <w:r>
        <w:rPr>
          <w:rFonts w:asciiTheme="minorBidi" w:hAnsiTheme="minorBidi"/>
          <w:sz w:val="18"/>
          <w:szCs w:val="18"/>
          <w:rtl/>
        </w:rPr>
        <w:t>כו בסכין של בשר, אסור כולו בחלב</w:t>
      </w:r>
      <w:r>
        <w:rPr>
          <w:rFonts w:asciiTheme="minorBidi" w:hAnsiTheme="minorBidi" w:hint="cs"/>
          <w:sz w:val="18"/>
          <w:szCs w:val="18"/>
          <w:rtl/>
        </w:rPr>
        <w:t xml:space="preserve"> </w:t>
      </w:r>
      <w:r>
        <w:rPr>
          <w:rFonts w:asciiTheme="minorBidi" w:hAnsiTheme="minorBidi"/>
          <w:sz w:val="18"/>
          <w:szCs w:val="18"/>
          <w:rtl/>
        </w:rPr>
        <w:t>(רשב"א ור"ן וכ</w:t>
      </w:r>
      <w:r>
        <w:rPr>
          <w:rFonts w:asciiTheme="minorBidi" w:hAnsiTheme="minorBidi" w:hint="cs"/>
          <w:sz w:val="18"/>
          <w:szCs w:val="18"/>
          <w:rtl/>
        </w:rPr>
        <w:t>"</w:t>
      </w:r>
      <w:r>
        <w:rPr>
          <w:rFonts w:asciiTheme="minorBidi" w:hAnsiTheme="minorBidi"/>
          <w:sz w:val="18"/>
          <w:szCs w:val="18"/>
          <w:rtl/>
        </w:rPr>
        <w:t>מ באר</w:t>
      </w:r>
      <w:r>
        <w:rPr>
          <w:rFonts w:asciiTheme="minorBidi" w:hAnsiTheme="minorBidi" w:hint="cs"/>
          <w:sz w:val="18"/>
          <w:szCs w:val="18"/>
          <w:rtl/>
        </w:rPr>
        <w:t>וך</w:t>
      </w:r>
      <w:r>
        <w:rPr>
          <w:rFonts w:asciiTheme="minorBidi" w:hAnsiTheme="minorBidi"/>
          <w:sz w:val="18"/>
          <w:szCs w:val="18"/>
          <w:rtl/>
        </w:rPr>
        <w:t>)</w:t>
      </w:r>
      <w:r>
        <w:rPr>
          <w:rFonts w:asciiTheme="minorBidi" w:hAnsiTheme="minorBidi" w:hint="cs"/>
          <w:sz w:val="18"/>
          <w:szCs w:val="18"/>
          <w:rtl/>
        </w:rPr>
        <w:t>,</w:t>
      </w:r>
      <w:r w:rsidRPr="00085E47">
        <w:rPr>
          <w:rFonts w:asciiTheme="minorBidi" w:hAnsiTheme="minorBidi"/>
          <w:sz w:val="18"/>
          <w:szCs w:val="18"/>
          <w:rtl/>
        </w:rPr>
        <w:t xml:space="preserve"> וכן נוהגין לכתחלה</w:t>
      </w:r>
      <w:r>
        <w:rPr>
          <w:rStyle w:val="a7"/>
          <w:rFonts w:asciiTheme="minorBidi" w:hAnsiTheme="minorBidi"/>
          <w:sz w:val="18"/>
          <w:szCs w:val="18"/>
          <w:rtl/>
        </w:rPr>
        <w:footnoteReference w:id="1695"/>
      </w:r>
      <w:r w:rsidRPr="00085E47">
        <w:rPr>
          <w:rFonts w:asciiTheme="minorBidi" w:hAnsiTheme="minorBidi"/>
          <w:sz w:val="18"/>
          <w:szCs w:val="18"/>
          <w:rtl/>
        </w:rPr>
        <w:t>, אבל בדיעבד אין לאסור רק כדי נטילה (ב"י</w:t>
      </w:r>
      <w:r>
        <w:rPr>
          <w:rFonts w:asciiTheme="minorBidi" w:hAnsiTheme="minorBidi"/>
          <w:sz w:val="18"/>
          <w:szCs w:val="18"/>
          <w:rtl/>
        </w:rPr>
        <w:t>). וכל זה אם חתך הצנון עצמו אבל אם חתך הירק שעל הצנון</w:t>
      </w:r>
      <w:r>
        <w:rPr>
          <w:rStyle w:val="a7"/>
          <w:rFonts w:asciiTheme="minorBidi" w:hAnsiTheme="minorBidi"/>
          <w:sz w:val="18"/>
          <w:szCs w:val="18"/>
          <w:rtl/>
        </w:rPr>
        <w:footnoteReference w:id="1696"/>
      </w:r>
      <w:r>
        <w:rPr>
          <w:rFonts w:asciiTheme="minorBidi" w:hAnsiTheme="minorBidi"/>
          <w:sz w:val="18"/>
          <w:szCs w:val="18"/>
          <w:rtl/>
        </w:rPr>
        <w:t xml:space="preserve"> אין לחוש</w:t>
      </w:r>
      <w:r>
        <w:rPr>
          <w:rFonts w:asciiTheme="minorBidi" w:hAnsiTheme="minorBidi" w:hint="cs"/>
          <w:sz w:val="18"/>
          <w:szCs w:val="18"/>
          <w:rtl/>
        </w:rPr>
        <w:t>,</w:t>
      </w:r>
      <w:r w:rsidRPr="00085E47">
        <w:rPr>
          <w:rFonts w:asciiTheme="minorBidi" w:hAnsiTheme="minorBidi"/>
          <w:sz w:val="18"/>
          <w:szCs w:val="18"/>
          <w:rtl/>
        </w:rPr>
        <w:t xml:space="preserve"> וא</w:t>
      </w:r>
      <w:r>
        <w:rPr>
          <w:rFonts w:asciiTheme="minorBidi" w:hAnsiTheme="minorBidi"/>
          <w:sz w:val="18"/>
          <w:szCs w:val="18"/>
          <w:rtl/>
        </w:rPr>
        <w:t>ם יש ספק אם נחתך בסכין של איסור</w:t>
      </w:r>
      <w:r w:rsidRPr="00085E47">
        <w:rPr>
          <w:rFonts w:asciiTheme="minorBidi" w:hAnsiTheme="minorBidi"/>
          <w:sz w:val="18"/>
          <w:szCs w:val="18"/>
          <w:rtl/>
        </w:rPr>
        <w:t xml:space="preserve"> אזלינן לקולא</w:t>
      </w:r>
      <w:r>
        <w:rPr>
          <w:rStyle w:val="a7"/>
          <w:rFonts w:asciiTheme="minorBidi" w:hAnsiTheme="minorBidi"/>
          <w:sz w:val="18"/>
          <w:szCs w:val="18"/>
          <w:rtl/>
        </w:rPr>
        <w:footnoteReference w:id="1697"/>
      </w:r>
      <w:r w:rsidRPr="00085E47">
        <w:rPr>
          <w:rFonts w:asciiTheme="minorBidi" w:hAnsiTheme="minorBidi"/>
          <w:sz w:val="18"/>
          <w:szCs w:val="18"/>
          <w:rtl/>
        </w:rPr>
        <w:t xml:space="preserve"> (שם), לכן קונים הצנו</w:t>
      </w:r>
      <w:r>
        <w:rPr>
          <w:rFonts w:asciiTheme="minorBidi" w:hAnsiTheme="minorBidi"/>
          <w:sz w:val="18"/>
          <w:szCs w:val="18"/>
          <w:rtl/>
        </w:rPr>
        <w:t>נות שיש בהן חתוכין לצד זנבותיהן</w:t>
      </w:r>
      <w:r w:rsidRPr="00085E47">
        <w:rPr>
          <w:rFonts w:asciiTheme="minorBidi" w:hAnsiTheme="minorBidi"/>
          <w:sz w:val="18"/>
          <w:szCs w:val="18"/>
          <w:rtl/>
        </w:rPr>
        <w:t xml:space="preserve"> כי תלינן שנעשה במרא וחצינא</w:t>
      </w:r>
      <w:r>
        <w:rPr>
          <w:rStyle w:val="a7"/>
          <w:rFonts w:asciiTheme="minorBidi" w:hAnsiTheme="minorBidi"/>
          <w:sz w:val="18"/>
          <w:szCs w:val="18"/>
          <w:rtl/>
        </w:rPr>
        <w:footnoteReference w:id="1698"/>
      </w:r>
      <w:r w:rsidRPr="00085E47">
        <w:rPr>
          <w:rFonts w:asciiTheme="minorBidi" w:hAnsiTheme="minorBidi"/>
          <w:sz w:val="18"/>
          <w:szCs w:val="18"/>
          <w:rtl/>
        </w:rPr>
        <w:t xml:space="preserve"> (שם בהג"ה </w:t>
      </w:r>
      <w:r>
        <w:rPr>
          <w:rFonts w:asciiTheme="minorBidi" w:hAnsiTheme="minorBidi"/>
          <w:sz w:val="18"/>
          <w:szCs w:val="18"/>
          <w:rtl/>
        </w:rPr>
        <w:t>ומהרא"י בהג</w:t>
      </w:r>
      <w:r w:rsidRPr="00085E47">
        <w:rPr>
          <w:rFonts w:asciiTheme="minorBidi" w:hAnsiTheme="minorBidi"/>
          <w:sz w:val="18"/>
          <w:szCs w:val="18"/>
          <w:rtl/>
        </w:rPr>
        <w:t>ש</w:t>
      </w:r>
      <w:r>
        <w:rPr>
          <w:rFonts w:asciiTheme="minorBidi" w:hAnsiTheme="minorBidi" w:hint="cs"/>
          <w:sz w:val="18"/>
          <w:szCs w:val="18"/>
          <w:rtl/>
        </w:rPr>
        <w:t>ע</w:t>
      </w:r>
      <w:r>
        <w:rPr>
          <w:rFonts w:asciiTheme="minorBidi" w:hAnsiTheme="minorBidi"/>
          <w:sz w:val="18"/>
          <w:szCs w:val="18"/>
          <w:rtl/>
        </w:rPr>
        <w:t>"ד)</w:t>
      </w:r>
      <w:r>
        <w:rPr>
          <w:rFonts w:asciiTheme="minorBidi" w:hAnsiTheme="minorBidi" w:hint="cs"/>
          <w:sz w:val="18"/>
          <w:szCs w:val="18"/>
          <w:rtl/>
        </w:rPr>
        <w:t>,</w:t>
      </w:r>
      <w:r w:rsidRPr="00085E47">
        <w:rPr>
          <w:rFonts w:asciiTheme="minorBidi" w:hAnsiTheme="minorBidi"/>
          <w:sz w:val="18"/>
          <w:szCs w:val="18"/>
          <w:rtl/>
        </w:rPr>
        <w:t xml:space="preserve"> ובמקום ש</w:t>
      </w:r>
      <w:r>
        <w:rPr>
          <w:rFonts w:asciiTheme="minorBidi" w:hAnsiTheme="minorBidi"/>
          <w:sz w:val="18"/>
          <w:szCs w:val="18"/>
          <w:rtl/>
        </w:rPr>
        <w:t>אין נמצא לקנות רק החתוכים בסכין</w:t>
      </w:r>
      <w:r w:rsidRPr="00085E47">
        <w:rPr>
          <w:rFonts w:asciiTheme="minorBidi" w:hAnsiTheme="minorBidi"/>
          <w:sz w:val="18"/>
          <w:szCs w:val="18"/>
          <w:rtl/>
        </w:rPr>
        <w:t xml:space="preserve"> נוהגין לקנותו ולהתיר ע"י נטילת מקום</w:t>
      </w:r>
      <w:r>
        <w:rPr>
          <w:rStyle w:val="a7"/>
          <w:rFonts w:asciiTheme="minorBidi" w:hAnsiTheme="minorBidi"/>
          <w:sz w:val="18"/>
          <w:szCs w:val="18"/>
          <w:rtl/>
        </w:rPr>
        <w:footnoteReference w:id="1699"/>
      </w:r>
      <w:r w:rsidRPr="00085E47">
        <w:rPr>
          <w:rFonts w:asciiTheme="minorBidi" w:hAnsiTheme="minorBidi"/>
          <w:sz w:val="18"/>
          <w:szCs w:val="18"/>
          <w:rtl/>
        </w:rPr>
        <w:t>.</w:t>
      </w:r>
    </w:p>
    <w:p w14:paraId="531BC3AA" w14:textId="77777777" w:rsidR="002C39F4" w:rsidRPr="003024E5" w:rsidRDefault="002C39F4" w:rsidP="002C39F4">
      <w:pPr>
        <w:rPr>
          <w:rFonts w:asciiTheme="minorBidi" w:hAnsiTheme="minorBidi"/>
          <w:rtl/>
        </w:rPr>
      </w:pPr>
    </w:p>
    <w:p w14:paraId="6B2E2965"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שאר דברים חריפים שחתכם בסכין של בשר.</w:t>
      </w:r>
    </w:p>
    <w:p w14:paraId="64F70352" w14:textId="77777777" w:rsidR="002C39F4" w:rsidRPr="004977E5" w:rsidRDefault="002C39F4" w:rsidP="002C39F4">
      <w:pPr>
        <w:rPr>
          <w:rFonts w:cs="Arial"/>
          <w:sz w:val="16"/>
          <w:szCs w:val="16"/>
          <w:rtl/>
        </w:rPr>
      </w:pPr>
      <w:r w:rsidRPr="00074ACF">
        <w:rPr>
          <w:rFonts w:cs="Arial" w:hint="cs"/>
          <w:u w:val="single"/>
          <w:rtl/>
        </w:rPr>
        <w:t xml:space="preserve">האם </w:t>
      </w:r>
      <w:r>
        <w:rPr>
          <w:rFonts w:cs="Arial" w:hint="cs"/>
          <w:u w:val="single"/>
          <w:rtl/>
        </w:rPr>
        <w:t>הד</w:t>
      </w:r>
      <w:r w:rsidRPr="00074ACF">
        <w:rPr>
          <w:rFonts w:cs="Arial" w:hint="cs"/>
          <w:u w:val="single"/>
          <w:rtl/>
        </w:rPr>
        <w:t>ינים לעיל ש</w:t>
      </w:r>
      <w:r>
        <w:rPr>
          <w:rFonts w:cs="Arial" w:hint="cs"/>
          <w:u w:val="single"/>
          <w:rtl/>
        </w:rPr>
        <w:t>ייכים רק גבי צנון וחלתית או גם ב</w:t>
      </w:r>
      <w:r w:rsidRPr="00074ACF">
        <w:rPr>
          <w:rFonts w:cs="Arial" w:hint="cs"/>
          <w:u w:val="single"/>
          <w:rtl/>
        </w:rPr>
        <w:t>שאר דברים חריפים:</w:t>
      </w:r>
      <w:r>
        <w:rPr>
          <w:rFonts w:cs="Arial" w:hint="cs"/>
          <w:sz w:val="16"/>
          <w:szCs w:val="16"/>
          <w:rtl/>
        </w:rPr>
        <w:t xml:space="preserve">  </w:t>
      </w:r>
    </w:p>
    <w:p w14:paraId="734755E6" w14:textId="77777777" w:rsidR="002C39F4" w:rsidRPr="004977E5" w:rsidRDefault="002C39F4" w:rsidP="0032102C">
      <w:pPr>
        <w:pStyle w:val="a8"/>
        <w:numPr>
          <w:ilvl w:val="0"/>
          <w:numId w:val="136"/>
        </w:numPr>
        <w:rPr>
          <w:rtl/>
        </w:rPr>
      </w:pPr>
      <w:r>
        <w:rPr>
          <w:rFonts w:hint="cs"/>
          <w:rtl/>
        </w:rPr>
        <w:t>עיין בסעיף הקודם, שם נתבאר.</w:t>
      </w:r>
    </w:p>
    <w:p w14:paraId="12B75517" w14:textId="77777777" w:rsidR="002C39F4" w:rsidRDefault="002C39F4" w:rsidP="002C39F4">
      <w:pPr>
        <w:rPr>
          <w:rFonts w:cs="Arial"/>
          <w:u w:val="single"/>
          <w:rtl/>
        </w:rPr>
      </w:pPr>
      <w:r>
        <w:rPr>
          <w:rFonts w:cs="Arial" w:hint="cs"/>
          <w:u w:val="single"/>
          <w:rtl/>
        </w:rPr>
        <w:t>דברים חריפים יבשים</w:t>
      </w:r>
      <w:r w:rsidRPr="00D042BF">
        <w:rPr>
          <w:rFonts w:cs="Arial" w:hint="cs"/>
          <w:u w:val="single"/>
          <w:rtl/>
        </w:rPr>
        <w:t>:</w:t>
      </w:r>
    </w:p>
    <w:p w14:paraId="1E4802A3" w14:textId="77777777" w:rsidR="002C39F4" w:rsidRPr="00085E47" w:rsidRDefault="002C39F4" w:rsidP="0032102C">
      <w:pPr>
        <w:pStyle w:val="a8"/>
        <w:numPr>
          <w:ilvl w:val="0"/>
          <w:numId w:val="136"/>
        </w:numPr>
        <w:rPr>
          <w:rtl/>
        </w:rPr>
      </w:pPr>
      <w:r>
        <w:rPr>
          <w:rFonts w:cs="Arial" w:hint="cs"/>
          <w:rtl/>
        </w:rPr>
        <w:t>או</w:t>
      </w:r>
      <w:r>
        <w:rPr>
          <w:rFonts w:cs="Arial"/>
          <w:rtl/>
        </w:rPr>
        <w:t>"</w:t>
      </w:r>
      <w:r>
        <w:rPr>
          <w:rFonts w:cs="Arial" w:hint="cs"/>
          <w:rtl/>
        </w:rPr>
        <w:t>ה</w:t>
      </w:r>
      <w:r>
        <w:rPr>
          <w:rFonts w:cs="Arial"/>
          <w:rtl/>
        </w:rPr>
        <w:t xml:space="preserve"> </w:t>
      </w:r>
      <w:r w:rsidRPr="004977E5">
        <w:rPr>
          <w:rFonts w:cs="Arial"/>
          <w:sz w:val="16"/>
          <w:szCs w:val="16"/>
          <w:rtl/>
        </w:rPr>
        <w:t>(כלל לח ד</w:t>
      </w:r>
      <w:r>
        <w:rPr>
          <w:rFonts w:cs="Arial" w:hint="cs"/>
          <w:sz w:val="16"/>
          <w:szCs w:val="16"/>
          <w:rtl/>
        </w:rPr>
        <w:t>"</w:t>
      </w:r>
      <w:r w:rsidRPr="004977E5">
        <w:rPr>
          <w:rFonts w:cs="Arial"/>
          <w:sz w:val="16"/>
          <w:szCs w:val="16"/>
          <w:rtl/>
        </w:rPr>
        <w:t>ט)</w:t>
      </w:r>
      <w:r>
        <w:rPr>
          <w:rFonts w:cs="Arial" w:hint="cs"/>
          <w:rtl/>
        </w:rPr>
        <w:t xml:space="preserve">- </w:t>
      </w:r>
      <w:r w:rsidRPr="00111999">
        <w:rPr>
          <w:rFonts w:cs="Arial"/>
          <w:rtl/>
        </w:rPr>
        <w:t>דווקא בדבר המלחלח כגון הצנון והזיתים וכה"ג אבל יבש ממש אפילו חריף מותר בהדחה</w:t>
      </w:r>
      <w:r>
        <w:rPr>
          <w:rFonts w:cs="Arial" w:hint="cs"/>
          <w:rtl/>
        </w:rPr>
        <w:t>,</w:t>
      </w:r>
      <w:r w:rsidRPr="00111999">
        <w:rPr>
          <w:rtl/>
        </w:rPr>
        <w:t xml:space="preserve"> </w:t>
      </w:r>
      <w:r w:rsidRPr="00111999">
        <w:rPr>
          <w:rFonts w:cs="Arial"/>
          <w:rtl/>
        </w:rPr>
        <w:t>וכן מתיר בסמ"ג</w:t>
      </w:r>
      <w:r>
        <w:rPr>
          <w:rStyle w:val="a7"/>
          <w:rFonts w:cs="Arial"/>
          <w:rtl/>
        </w:rPr>
        <w:footnoteReference w:id="1700"/>
      </w:r>
      <w:r w:rsidRPr="00111999">
        <w:rPr>
          <w:rFonts w:cs="Arial"/>
          <w:rtl/>
        </w:rPr>
        <w:t xml:space="preserve"> זנגביל רטיבא שעשאו א"י בסכין שלו מטעם דסתם כליהם אינו ב"י ונטל"פ</w:t>
      </w:r>
      <w:r>
        <w:rPr>
          <w:rStyle w:val="a7"/>
          <w:rFonts w:cs="Arial"/>
          <w:rtl/>
        </w:rPr>
        <w:footnoteReference w:id="1701"/>
      </w:r>
      <w:r>
        <w:rPr>
          <w:rFonts w:cs="Arial" w:hint="cs"/>
          <w:rtl/>
        </w:rPr>
        <w:t>.</w:t>
      </w:r>
      <w:r w:rsidRPr="00D042BF">
        <w:rPr>
          <w:rFonts w:cs="Arial"/>
          <w:rtl/>
        </w:rPr>
        <w:t xml:space="preserve"> </w:t>
      </w:r>
    </w:p>
    <w:p w14:paraId="4B99F24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BF1013C" w14:textId="77777777" w:rsidR="002C39F4" w:rsidRDefault="002C39F4" w:rsidP="002C39F4">
      <w:pPr>
        <w:rPr>
          <w:rFonts w:asciiTheme="minorBidi" w:hAnsiTheme="minorBidi"/>
          <w:rtl/>
        </w:rPr>
      </w:pPr>
      <w:r w:rsidRPr="003024E5">
        <w:rPr>
          <w:rFonts w:asciiTheme="minorBidi" w:hAnsiTheme="minorBidi"/>
          <w:rtl/>
        </w:rPr>
        <w:t>אם חתך בו שומין ובצלים</w:t>
      </w:r>
      <w:r>
        <w:rPr>
          <w:rStyle w:val="a7"/>
          <w:rFonts w:asciiTheme="minorBidi" w:hAnsiTheme="minorBidi"/>
          <w:rtl/>
        </w:rPr>
        <w:footnoteReference w:id="1702"/>
      </w:r>
      <w:r w:rsidRPr="003024E5">
        <w:rPr>
          <w:rFonts w:asciiTheme="minorBidi" w:hAnsiTheme="minorBidi"/>
          <w:rtl/>
        </w:rPr>
        <w:t xml:space="preserve"> וכרישין </w:t>
      </w:r>
      <w:r>
        <w:rPr>
          <w:rFonts w:asciiTheme="minorBidi" w:hAnsiTheme="minorBidi" w:hint="cs"/>
          <w:sz w:val="18"/>
          <w:szCs w:val="18"/>
          <w:rtl/>
        </w:rPr>
        <w:t xml:space="preserve">[הגה] </w:t>
      </w:r>
      <w:r w:rsidRPr="00735C44">
        <w:rPr>
          <w:rFonts w:asciiTheme="minorBidi" w:hAnsiTheme="minorBidi"/>
          <w:sz w:val="18"/>
          <w:szCs w:val="18"/>
          <w:rtl/>
        </w:rPr>
        <w:t>ותמכא שקורין קרי"ן</w:t>
      </w:r>
      <w:r>
        <w:rPr>
          <w:rFonts w:asciiTheme="minorBidi" w:hAnsiTheme="minorBidi" w:hint="cs"/>
          <w:sz w:val="18"/>
          <w:szCs w:val="18"/>
          <w:rtl/>
        </w:rPr>
        <w:t>,</w:t>
      </w:r>
      <w:r w:rsidRPr="00085E47">
        <w:rPr>
          <w:rFonts w:asciiTheme="minorBidi" w:hAnsiTheme="minorBidi"/>
          <w:sz w:val="16"/>
          <w:szCs w:val="16"/>
          <w:rtl/>
        </w:rPr>
        <w:t xml:space="preserve"> </w:t>
      </w:r>
      <w:r w:rsidRPr="003024E5">
        <w:rPr>
          <w:rFonts w:asciiTheme="minorBidi" w:hAnsiTheme="minorBidi"/>
          <w:rtl/>
        </w:rPr>
        <w:t>וכ</w:t>
      </w:r>
      <w:r>
        <w:rPr>
          <w:rFonts w:asciiTheme="minorBidi" w:hAnsiTheme="minorBidi"/>
          <w:rtl/>
        </w:rPr>
        <w:t xml:space="preserve">יוצא בהם מדברים החריפים ופירות </w:t>
      </w:r>
      <w:r w:rsidRPr="003024E5">
        <w:rPr>
          <w:rFonts w:asciiTheme="minorBidi" w:hAnsiTheme="minorBidi"/>
          <w:rtl/>
        </w:rPr>
        <w:t>חמוצים</w:t>
      </w:r>
      <w:r>
        <w:rPr>
          <w:rStyle w:val="a7"/>
          <w:rFonts w:asciiTheme="minorBidi" w:hAnsiTheme="minorBidi"/>
          <w:rtl/>
        </w:rPr>
        <w:footnoteReference w:id="1703"/>
      </w:r>
      <w:r>
        <w:rPr>
          <w:rFonts w:asciiTheme="minorBidi" w:hAnsiTheme="minorBidi" w:hint="cs"/>
          <w:sz w:val="16"/>
          <w:szCs w:val="16"/>
          <w:rtl/>
        </w:rPr>
        <w:t>(א"ח)</w:t>
      </w:r>
      <w:r w:rsidRPr="003024E5">
        <w:rPr>
          <w:rFonts w:asciiTheme="minorBidi" w:hAnsiTheme="minorBidi"/>
          <w:rtl/>
        </w:rPr>
        <w:t xml:space="preserve"> ודגי</w:t>
      </w:r>
      <w:r>
        <w:rPr>
          <w:rFonts w:asciiTheme="minorBidi" w:hAnsiTheme="minorBidi"/>
          <w:rtl/>
        </w:rPr>
        <w:t>ם מלוחים</w:t>
      </w:r>
      <w:r>
        <w:rPr>
          <w:rStyle w:val="a7"/>
          <w:rFonts w:asciiTheme="minorBidi" w:hAnsiTheme="minorBidi"/>
          <w:rtl/>
        </w:rPr>
        <w:footnoteReference w:id="1704"/>
      </w:r>
      <w:r>
        <w:rPr>
          <w:rFonts w:asciiTheme="minorBidi" w:hAnsiTheme="minorBidi"/>
          <w:sz w:val="16"/>
          <w:szCs w:val="16"/>
          <w:rtl/>
        </w:rPr>
        <w:t>(שב</w:t>
      </w:r>
      <w:r>
        <w:rPr>
          <w:rFonts w:asciiTheme="minorBidi" w:hAnsiTheme="minorBidi" w:hint="cs"/>
          <w:sz w:val="16"/>
          <w:szCs w:val="16"/>
          <w:rtl/>
        </w:rPr>
        <w:t>ה"</w:t>
      </w:r>
      <w:r>
        <w:rPr>
          <w:rFonts w:asciiTheme="minorBidi" w:hAnsiTheme="minorBidi"/>
          <w:sz w:val="16"/>
          <w:szCs w:val="16"/>
          <w:rtl/>
        </w:rPr>
        <w:t>ל</w:t>
      </w:r>
      <w:r w:rsidRPr="00085E47">
        <w:rPr>
          <w:rFonts w:asciiTheme="minorBidi" w:hAnsiTheme="minorBidi"/>
          <w:sz w:val="16"/>
          <w:szCs w:val="16"/>
          <w:rtl/>
        </w:rPr>
        <w:t>)</w:t>
      </w:r>
      <w:r>
        <w:rPr>
          <w:rFonts w:asciiTheme="minorBidi" w:hAnsiTheme="minorBidi"/>
          <w:rtl/>
        </w:rPr>
        <w:t xml:space="preserve"> דינם שוה לחתך בו צנון</w:t>
      </w:r>
      <w:r>
        <w:rPr>
          <w:rFonts w:asciiTheme="minorBidi" w:hAnsiTheme="minorBidi" w:hint="cs"/>
          <w:rtl/>
        </w:rPr>
        <w:t>.</w:t>
      </w:r>
      <w:r w:rsidRPr="00085E47">
        <w:rPr>
          <w:rFonts w:asciiTheme="minorBidi" w:hAnsiTheme="minorBidi"/>
          <w:sz w:val="16"/>
          <w:szCs w:val="16"/>
          <w:rtl/>
        </w:rPr>
        <w:t xml:space="preserve"> </w:t>
      </w:r>
      <w:r w:rsidRPr="00085E47">
        <w:rPr>
          <w:rFonts w:asciiTheme="minorBidi" w:hAnsiTheme="minorBidi"/>
          <w:sz w:val="18"/>
          <w:szCs w:val="18"/>
          <w:rtl/>
        </w:rPr>
        <w:t xml:space="preserve">הגה: ומכל מקום </w:t>
      </w:r>
      <w:r>
        <w:rPr>
          <w:rFonts w:asciiTheme="minorBidi" w:hAnsiTheme="minorBidi"/>
          <w:sz w:val="18"/>
          <w:szCs w:val="18"/>
          <w:rtl/>
        </w:rPr>
        <w:t xml:space="preserve">מותר לאכול מרקחות חריפים של </w:t>
      </w:r>
      <w:r>
        <w:rPr>
          <w:rFonts w:asciiTheme="minorBidi" w:hAnsiTheme="minorBidi" w:hint="cs"/>
          <w:sz w:val="18"/>
          <w:szCs w:val="18"/>
          <w:rtl/>
        </w:rPr>
        <w:t>גוים</w:t>
      </w:r>
      <w:r w:rsidRPr="00085E47">
        <w:rPr>
          <w:rFonts w:asciiTheme="minorBidi" w:hAnsiTheme="minorBidi"/>
          <w:sz w:val="18"/>
          <w:szCs w:val="18"/>
          <w:rtl/>
        </w:rPr>
        <w:t xml:space="preserve"> כגון זנגביל וכיוצא בו, דיש להם</w:t>
      </w:r>
      <w:r>
        <w:rPr>
          <w:rFonts w:asciiTheme="minorBidi" w:hAnsiTheme="minorBidi"/>
          <w:sz w:val="18"/>
          <w:szCs w:val="18"/>
          <w:rtl/>
        </w:rPr>
        <w:t xml:space="preserve"> כלים מיוחדים</w:t>
      </w:r>
      <w:r>
        <w:rPr>
          <w:rStyle w:val="a7"/>
          <w:rFonts w:asciiTheme="minorBidi" w:hAnsiTheme="minorBidi"/>
          <w:sz w:val="18"/>
          <w:szCs w:val="18"/>
          <w:rtl/>
        </w:rPr>
        <w:footnoteReference w:id="1705"/>
      </w:r>
      <w:r>
        <w:rPr>
          <w:rFonts w:asciiTheme="minorBidi" w:hAnsiTheme="minorBidi"/>
          <w:sz w:val="18"/>
          <w:szCs w:val="18"/>
          <w:rtl/>
        </w:rPr>
        <w:t xml:space="preserve"> לכך או תולשין אות</w:t>
      </w:r>
      <w:r>
        <w:rPr>
          <w:rFonts w:asciiTheme="minorBidi" w:hAnsiTheme="minorBidi" w:hint="cs"/>
          <w:sz w:val="18"/>
          <w:szCs w:val="18"/>
          <w:rtl/>
        </w:rPr>
        <w:t>ו</w:t>
      </w:r>
      <w:r w:rsidRPr="00085E47">
        <w:rPr>
          <w:rFonts w:asciiTheme="minorBidi" w:hAnsiTheme="minorBidi"/>
          <w:sz w:val="18"/>
          <w:szCs w:val="18"/>
          <w:rtl/>
        </w:rPr>
        <w:t xml:space="preserve"> (מרדכי ואגודה פ</w:t>
      </w:r>
      <w:r>
        <w:rPr>
          <w:rFonts w:asciiTheme="minorBidi" w:hAnsiTheme="minorBidi" w:hint="cs"/>
          <w:sz w:val="18"/>
          <w:szCs w:val="18"/>
          <w:rtl/>
        </w:rPr>
        <w:t>כ"מ</w:t>
      </w:r>
      <w:r w:rsidRPr="00085E47">
        <w:rPr>
          <w:rFonts w:asciiTheme="minorBidi" w:hAnsiTheme="minorBidi"/>
          <w:sz w:val="18"/>
          <w:szCs w:val="18"/>
          <w:rtl/>
        </w:rPr>
        <w:t>).</w:t>
      </w:r>
    </w:p>
    <w:p w14:paraId="17C93A68" w14:textId="77777777" w:rsidR="002C39F4" w:rsidRPr="003024E5" w:rsidRDefault="002C39F4" w:rsidP="002C39F4">
      <w:pPr>
        <w:rPr>
          <w:rFonts w:asciiTheme="minorBidi" w:hAnsiTheme="minorBidi"/>
          <w:rtl/>
        </w:rPr>
      </w:pPr>
    </w:p>
    <w:p w14:paraId="1DD278EE"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תבלין שדכו במדוכה של בשר/חלב.</w:t>
      </w:r>
    </w:p>
    <w:p w14:paraId="2E761170" w14:textId="77777777" w:rsidR="002C39F4" w:rsidRPr="00C6711F" w:rsidRDefault="002C39F4" w:rsidP="002C39F4">
      <w:pPr>
        <w:rPr>
          <w:rFonts w:cs="Arial"/>
          <w:u w:val="single"/>
          <w:rtl/>
        </w:rPr>
      </w:pPr>
      <w:r w:rsidRPr="00C6711F">
        <w:rPr>
          <w:rFonts w:cs="Arial"/>
          <w:u w:val="single"/>
          <w:rtl/>
        </w:rPr>
        <w:t>תבלין שנדוכו במדוכה של בשר</w:t>
      </w:r>
      <w:r>
        <w:rPr>
          <w:rFonts w:cs="Arial" w:hint="cs"/>
          <w:u w:val="single"/>
          <w:rtl/>
        </w:rPr>
        <w:t xml:space="preserve"> </w:t>
      </w:r>
      <w:r w:rsidRPr="00C6711F">
        <w:rPr>
          <w:rFonts w:cs="Arial" w:hint="cs"/>
          <w:u w:val="single"/>
          <w:rtl/>
        </w:rPr>
        <w:t>- מהו לאוכלו בחלב:</w:t>
      </w:r>
    </w:p>
    <w:p w14:paraId="0287BA67" w14:textId="77777777" w:rsidR="002C39F4" w:rsidRPr="00C6711F" w:rsidRDefault="002C39F4" w:rsidP="0032102C">
      <w:pPr>
        <w:pStyle w:val="a8"/>
        <w:numPr>
          <w:ilvl w:val="0"/>
          <w:numId w:val="136"/>
        </w:numPr>
        <w:rPr>
          <w:rFonts w:cs="Arial"/>
          <w:rtl/>
        </w:rPr>
      </w:pPr>
      <w:r w:rsidRPr="00C6711F">
        <w:rPr>
          <w:rFonts w:cs="Arial" w:hint="cs"/>
          <w:rtl/>
        </w:rPr>
        <w:t>סה"ת</w:t>
      </w:r>
      <w:r w:rsidRPr="00C6711F">
        <w:rPr>
          <w:rFonts w:cs="Arial"/>
          <w:rtl/>
        </w:rPr>
        <w:t xml:space="preserve"> </w:t>
      </w:r>
      <w:r w:rsidRPr="00C6711F">
        <w:rPr>
          <w:rFonts w:cs="Arial" w:hint="cs"/>
          <w:sz w:val="16"/>
          <w:szCs w:val="16"/>
          <w:rtl/>
        </w:rPr>
        <w:t>(</w:t>
      </w:r>
      <w:r w:rsidRPr="00C6711F">
        <w:rPr>
          <w:rFonts w:cs="Arial"/>
          <w:sz w:val="16"/>
          <w:szCs w:val="16"/>
          <w:rtl/>
        </w:rPr>
        <w:t>סי</w:t>
      </w:r>
      <w:r w:rsidRPr="00C6711F">
        <w:rPr>
          <w:rFonts w:cs="Arial" w:hint="cs"/>
          <w:sz w:val="16"/>
          <w:szCs w:val="16"/>
          <w:rtl/>
        </w:rPr>
        <w:t>'</w:t>
      </w:r>
      <w:r w:rsidRPr="00C6711F">
        <w:rPr>
          <w:rFonts w:cs="Arial"/>
          <w:sz w:val="16"/>
          <w:szCs w:val="16"/>
          <w:rtl/>
        </w:rPr>
        <w:t xml:space="preserve"> נג</w:t>
      </w:r>
      <w:r w:rsidRPr="00C6711F">
        <w:rPr>
          <w:rFonts w:cs="Arial" w:hint="cs"/>
          <w:sz w:val="16"/>
          <w:szCs w:val="16"/>
          <w:rtl/>
        </w:rPr>
        <w:t>)</w:t>
      </w:r>
      <w:r w:rsidRPr="00C6711F">
        <w:rPr>
          <w:rFonts w:cs="Arial" w:hint="cs"/>
          <w:rtl/>
        </w:rPr>
        <w:t>-</w:t>
      </w:r>
      <w:r w:rsidRPr="00C6711F">
        <w:rPr>
          <w:rFonts w:cs="Arial"/>
          <w:rtl/>
        </w:rPr>
        <w:t xml:space="preserve"> תבלין שנדוכו במדוכה של בשר ליכא למישרי בחלב משום נ"ט בר נ"ט דהא תבלין חזק וחריף והוי מדוך כמו בית שאור וגם פלפלין חריפים הוי כמו צנון שחתכו בסכין דלא שרי מחמת נ"ט בר נ</w:t>
      </w:r>
      <w:r>
        <w:rPr>
          <w:rFonts w:cs="Arial"/>
          <w:rtl/>
        </w:rPr>
        <w:t>"ט ואסור משום טעם ממש הנבלע שם.</w:t>
      </w:r>
      <w:r>
        <w:rPr>
          <w:rFonts w:cs="Arial" w:hint="cs"/>
          <w:rtl/>
        </w:rPr>
        <w:t xml:space="preserve"> </w:t>
      </w:r>
      <w:r w:rsidRPr="00373555">
        <w:rPr>
          <w:rFonts w:cs="Arial" w:hint="cs"/>
          <w:color w:val="E36C0A" w:themeColor="accent6" w:themeShade="BF"/>
          <w:rtl/>
        </w:rPr>
        <w:t>(וכ"פ בשו"ע)</w:t>
      </w:r>
    </w:p>
    <w:p w14:paraId="2C06A430" w14:textId="77777777" w:rsidR="002C39F4" w:rsidRDefault="002C39F4" w:rsidP="0032102C">
      <w:pPr>
        <w:pStyle w:val="a8"/>
        <w:numPr>
          <w:ilvl w:val="0"/>
          <w:numId w:val="136"/>
        </w:numPr>
      </w:pPr>
      <w:r w:rsidRPr="00C6711F">
        <w:rPr>
          <w:rFonts w:cs="Arial"/>
          <w:rtl/>
        </w:rPr>
        <w:t xml:space="preserve">רשב"א </w:t>
      </w:r>
      <w:r w:rsidRPr="00C6711F">
        <w:rPr>
          <w:rFonts w:cs="Arial"/>
          <w:sz w:val="16"/>
          <w:szCs w:val="16"/>
          <w:rtl/>
        </w:rPr>
        <w:t>(ח"א סי</w:t>
      </w:r>
      <w:r w:rsidRPr="00C6711F">
        <w:rPr>
          <w:rFonts w:cs="Arial" w:hint="cs"/>
          <w:sz w:val="16"/>
          <w:szCs w:val="16"/>
          <w:rtl/>
        </w:rPr>
        <w:t>'</w:t>
      </w:r>
      <w:r w:rsidRPr="00C6711F">
        <w:rPr>
          <w:rFonts w:cs="Arial"/>
          <w:sz w:val="16"/>
          <w:szCs w:val="16"/>
          <w:rtl/>
        </w:rPr>
        <w:t xml:space="preserve"> תמט ו</w:t>
      </w:r>
      <w:r w:rsidRPr="00C6711F">
        <w:rPr>
          <w:rFonts w:cs="Arial" w:hint="cs"/>
          <w:sz w:val="16"/>
          <w:szCs w:val="16"/>
          <w:rtl/>
        </w:rPr>
        <w:t>-</w:t>
      </w:r>
      <w:r w:rsidRPr="00C6711F">
        <w:rPr>
          <w:rFonts w:cs="Arial"/>
          <w:sz w:val="16"/>
          <w:szCs w:val="16"/>
          <w:rtl/>
        </w:rPr>
        <w:t>תשי)</w:t>
      </w:r>
      <w:r w:rsidRPr="00C6711F">
        <w:rPr>
          <w:rFonts w:cs="Arial" w:hint="cs"/>
          <w:rtl/>
        </w:rPr>
        <w:t>-</w:t>
      </w:r>
      <w:r w:rsidRPr="00C6711F">
        <w:rPr>
          <w:rFonts w:cs="Arial"/>
          <w:rtl/>
        </w:rPr>
        <w:t xml:space="preserve"> ביצים שנכתשו במכתש חולב שאינו בן יומו עם תבלין</w:t>
      </w:r>
      <w:r>
        <w:rPr>
          <w:rFonts w:cs="Arial" w:hint="cs"/>
          <w:rtl/>
        </w:rPr>
        <w:t>,</w:t>
      </w:r>
      <w:r w:rsidRPr="00C6711F">
        <w:rPr>
          <w:rFonts w:cs="Arial"/>
          <w:rtl/>
        </w:rPr>
        <w:t xml:space="preserve"> וחזרו וכתשו בו ביום ביצים עם מרק בשר</w:t>
      </w:r>
      <w:r>
        <w:rPr>
          <w:rFonts w:cs="Arial" w:hint="cs"/>
          <w:rtl/>
        </w:rPr>
        <w:t>,</w:t>
      </w:r>
      <w:r w:rsidRPr="00C6711F">
        <w:rPr>
          <w:rFonts w:cs="Arial"/>
          <w:rtl/>
        </w:rPr>
        <w:t xml:space="preserve"> והביצים הראשונים שמו בתרנגולת</w:t>
      </w:r>
      <w:r w:rsidRPr="00C6711F">
        <w:rPr>
          <w:rFonts w:cs="Arial" w:hint="cs"/>
          <w:rtl/>
        </w:rPr>
        <w:t>,</w:t>
      </w:r>
      <w:r w:rsidRPr="00C6711F">
        <w:rPr>
          <w:rFonts w:cs="Arial"/>
          <w:rtl/>
        </w:rPr>
        <w:t xml:space="preserve"> הכל </w:t>
      </w:r>
      <w:r w:rsidRPr="00C6711F">
        <w:rPr>
          <w:rFonts w:cs="Arial" w:hint="cs"/>
          <w:rtl/>
        </w:rPr>
        <w:t xml:space="preserve">מותר, </w:t>
      </w:r>
      <w:r w:rsidRPr="00C6711F">
        <w:rPr>
          <w:rFonts w:cs="Arial"/>
          <w:rtl/>
        </w:rPr>
        <w:t>הראשונים לפי שהם נ"ט בר נ"ט אפילו היה בן יומו</w:t>
      </w:r>
      <w:r w:rsidRPr="00C6711F">
        <w:rPr>
          <w:rFonts w:cs="Arial" w:hint="cs"/>
          <w:rtl/>
        </w:rPr>
        <w:t>,</w:t>
      </w:r>
      <w:r w:rsidRPr="00C6711F">
        <w:rPr>
          <w:rFonts w:cs="Arial"/>
          <w:rtl/>
        </w:rPr>
        <w:t xml:space="preserve"> והשניים שעם המרק לפי שהמכתש לא היה בן יומו</w:t>
      </w:r>
      <w:r>
        <w:rPr>
          <w:rFonts w:cs="Arial" w:hint="cs"/>
          <w:rtl/>
        </w:rPr>
        <w:t>,</w:t>
      </w:r>
      <w:r w:rsidRPr="00C6711F">
        <w:rPr>
          <w:rFonts w:cs="Arial"/>
          <w:rtl/>
        </w:rPr>
        <w:t xml:space="preserve"> וא</w:t>
      </w:r>
      <w:r>
        <w:rPr>
          <w:rFonts w:cs="Arial" w:hint="cs"/>
          <w:rtl/>
        </w:rPr>
        <w:t>ינם</w:t>
      </w:r>
      <w:r w:rsidRPr="00C6711F">
        <w:rPr>
          <w:rFonts w:cs="Arial"/>
          <w:rtl/>
        </w:rPr>
        <w:t xml:space="preserve"> אס</w:t>
      </w:r>
      <w:r>
        <w:rPr>
          <w:rFonts w:cs="Arial" w:hint="cs"/>
          <w:rtl/>
        </w:rPr>
        <w:t>ו</w:t>
      </w:r>
      <w:r w:rsidRPr="00C6711F">
        <w:rPr>
          <w:rFonts w:cs="Arial"/>
          <w:rtl/>
        </w:rPr>
        <w:t>ר</w:t>
      </w:r>
      <w:r>
        <w:rPr>
          <w:rFonts w:cs="Arial" w:hint="cs"/>
          <w:rtl/>
        </w:rPr>
        <w:t>ים</w:t>
      </w:r>
      <w:r w:rsidRPr="00C6711F">
        <w:rPr>
          <w:rFonts w:cs="Arial"/>
          <w:rtl/>
        </w:rPr>
        <w:t xml:space="preserve"> משום תבלין שמשימין בביצים וכמו שאמרו חורפא דחלתית מחליא ליה דשאני הכא דתבלין שנתערבו עם הביצים דבר מועט הוא ואין כל כך חריפות בהם להחזיר לשבח פליטת המכתשת</w:t>
      </w:r>
      <w:r w:rsidRPr="00C6711F">
        <w:rPr>
          <w:rFonts w:cs="Arial" w:hint="cs"/>
          <w:rtl/>
        </w:rPr>
        <w:t>.</w:t>
      </w:r>
    </w:p>
    <w:p w14:paraId="15D583B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B2A7F0F" w14:textId="77777777" w:rsidR="002C39F4" w:rsidRDefault="002C39F4" w:rsidP="002C39F4">
      <w:pPr>
        <w:rPr>
          <w:rFonts w:asciiTheme="minorBidi" w:hAnsiTheme="minorBidi"/>
          <w:rtl/>
        </w:rPr>
      </w:pPr>
      <w:bookmarkStart w:id="4" w:name="_Hlk506200887"/>
      <w:r w:rsidRPr="003024E5">
        <w:rPr>
          <w:rFonts w:asciiTheme="minorBidi" w:hAnsiTheme="minorBidi"/>
          <w:rtl/>
        </w:rPr>
        <w:t>תבל</w:t>
      </w:r>
      <w:r>
        <w:rPr>
          <w:rFonts w:asciiTheme="minorBidi" w:hAnsiTheme="minorBidi"/>
          <w:rtl/>
        </w:rPr>
        <w:t>ין</w:t>
      </w:r>
      <w:r>
        <w:rPr>
          <w:rStyle w:val="a7"/>
          <w:rFonts w:asciiTheme="minorBidi" w:hAnsiTheme="minorBidi"/>
          <w:rtl/>
        </w:rPr>
        <w:footnoteReference w:id="1706"/>
      </w:r>
      <w:r>
        <w:rPr>
          <w:rFonts w:asciiTheme="minorBidi" w:hAnsiTheme="minorBidi"/>
          <w:rtl/>
        </w:rPr>
        <w:t xml:space="preserve"> שנדוכו במדוכה של בשר בן יומו</w:t>
      </w:r>
      <w:r>
        <w:rPr>
          <w:rStyle w:val="a7"/>
          <w:rFonts w:asciiTheme="minorBidi" w:hAnsiTheme="minorBidi"/>
          <w:rtl/>
        </w:rPr>
        <w:footnoteReference w:id="1707"/>
      </w:r>
      <w:r w:rsidRPr="003024E5">
        <w:rPr>
          <w:rFonts w:asciiTheme="minorBidi" w:hAnsiTheme="minorBidi"/>
          <w:rtl/>
        </w:rPr>
        <w:t xml:space="preserve"> אסור לאכלם בחלב</w:t>
      </w:r>
      <w:bookmarkEnd w:id="4"/>
      <w:r w:rsidRPr="003024E5">
        <w:rPr>
          <w:rFonts w:asciiTheme="minorBidi" w:hAnsiTheme="minorBidi"/>
          <w:rtl/>
        </w:rPr>
        <w:t xml:space="preserve">. </w:t>
      </w:r>
      <w:r w:rsidRPr="00C6711F">
        <w:rPr>
          <w:rFonts w:asciiTheme="minorBidi" w:hAnsiTheme="minorBidi" w:hint="cs"/>
          <w:sz w:val="18"/>
          <w:szCs w:val="18"/>
          <w:rtl/>
        </w:rPr>
        <w:t xml:space="preserve">[הגה] </w:t>
      </w:r>
      <w:r>
        <w:rPr>
          <w:rFonts w:asciiTheme="minorBidi" w:hAnsiTheme="minorBidi"/>
          <w:sz w:val="18"/>
          <w:szCs w:val="18"/>
          <w:rtl/>
        </w:rPr>
        <w:t>וי"א אפילו אינו בן יומו</w:t>
      </w:r>
      <w:r w:rsidRPr="00C6711F">
        <w:rPr>
          <w:rFonts w:asciiTheme="minorBidi" w:hAnsiTheme="minorBidi"/>
          <w:sz w:val="18"/>
          <w:szCs w:val="18"/>
          <w:rtl/>
        </w:rPr>
        <w:t xml:space="preserve"> </w:t>
      </w:r>
      <w:r w:rsidRPr="00354031">
        <w:rPr>
          <w:rFonts w:asciiTheme="minorBidi" w:hAnsiTheme="minorBidi"/>
          <w:sz w:val="16"/>
          <w:szCs w:val="16"/>
          <w:rtl/>
        </w:rPr>
        <w:t>(רשב"א סי</w:t>
      </w:r>
      <w:r w:rsidRPr="00354031">
        <w:rPr>
          <w:rFonts w:asciiTheme="minorBidi" w:hAnsiTheme="minorBidi" w:hint="cs"/>
          <w:sz w:val="16"/>
          <w:szCs w:val="16"/>
          <w:rtl/>
        </w:rPr>
        <w:t>'</w:t>
      </w:r>
      <w:r w:rsidRPr="00354031">
        <w:rPr>
          <w:rFonts w:asciiTheme="minorBidi" w:hAnsiTheme="minorBidi"/>
          <w:sz w:val="16"/>
          <w:szCs w:val="16"/>
          <w:rtl/>
        </w:rPr>
        <w:t xml:space="preserve"> תמט ובארוך)</w:t>
      </w:r>
      <w:r>
        <w:rPr>
          <w:rStyle w:val="a7"/>
          <w:rFonts w:asciiTheme="minorBidi" w:hAnsiTheme="minorBidi"/>
          <w:sz w:val="18"/>
          <w:szCs w:val="18"/>
          <w:rtl/>
        </w:rPr>
        <w:footnoteReference w:id="1708"/>
      </w:r>
      <w:r w:rsidRPr="00C6711F">
        <w:rPr>
          <w:rFonts w:asciiTheme="minorBidi" w:hAnsiTheme="minorBidi"/>
          <w:sz w:val="18"/>
          <w:szCs w:val="18"/>
          <w:rtl/>
        </w:rPr>
        <w:t>.</w:t>
      </w:r>
      <w:r w:rsidRPr="003024E5">
        <w:rPr>
          <w:rFonts w:asciiTheme="minorBidi" w:hAnsiTheme="minorBidi"/>
          <w:rtl/>
        </w:rPr>
        <w:t xml:space="preserve"> </w:t>
      </w:r>
    </w:p>
    <w:p w14:paraId="68594727" w14:textId="77777777" w:rsidR="002C39F4" w:rsidRPr="003024E5" w:rsidRDefault="002C39F4" w:rsidP="002C39F4">
      <w:pPr>
        <w:rPr>
          <w:rFonts w:asciiTheme="minorBidi" w:hAnsiTheme="minorBidi"/>
          <w:rtl/>
        </w:rPr>
      </w:pPr>
    </w:p>
    <w:p w14:paraId="440B81CD" w14:textId="77777777" w:rsidR="002C39F4" w:rsidRPr="00A45950" w:rsidRDefault="002C39F4" w:rsidP="002C39F4">
      <w:pPr>
        <w:pStyle w:val="2"/>
        <w:rPr>
          <w:rFonts w:asciiTheme="minorBidi" w:hAnsiTheme="minorBidi"/>
          <w:rtl/>
        </w:rPr>
      </w:pPr>
      <w:r w:rsidRPr="00A45950">
        <w:rPr>
          <w:rFonts w:asciiTheme="minorBidi" w:hAnsiTheme="minorBidi"/>
          <w:rtl/>
        </w:rPr>
        <w:t xml:space="preserve">סעיף ד: </w:t>
      </w:r>
      <w:r>
        <w:rPr>
          <w:rFonts w:asciiTheme="minorBidi" w:hAnsiTheme="minorBidi"/>
          <w:rtl/>
        </w:rPr>
        <w:t>מי לימוני"ש</w:t>
      </w:r>
      <w:r>
        <w:rPr>
          <w:rFonts w:asciiTheme="minorBidi" w:hAnsiTheme="minorBidi" w:hint="cs"/>
          <w:rtl/>
        </w:rPr>
        <w:t xml:space="preserve"> ו</w:t>
      </w:r>
      <w:r w:rsidRPr="00A45950">
        <w:rPr>
          <w:rFonts w:asciiTheme="minorBidi" w:hAnsiTheme="minorBidi"/>
          <w:rtl/>
        </w:rPr>
        <w:t>חתיכות דג מליח שמביאים הגוים</w:t>
      </w:r>
      <w:r>
        <w:rPr>
          <w:rFonts w:asciiTheme="minorBidi" w:hAnsiTheme="minorBidi" w:hint="cs"/>
          <w:rtl/>
        </w:rPr>
        <w:t>.</w:t>
      </w:r>
    </w:p>
    <w:p w14:paraId="087F7F20" w14:textId="77777777" w:rsidR="002C39F4" w:rsidRPr="00711EA6" w:rsidRDefault="002C39F4" w:rsidP="002C39F4">
      <w:pPr>
        <w:rPr>
          <w:rFonts w:cs="Arial"/>
          <w:u w:val="single"/>
          <w:rtl/>
        </w:rPr>
      </w:pPr>
      <w:r w:rsidRPr="00711EA6">
        <w:rPr>
          <w:rFonts w:cs="Arial" w:hint="cs"/>
          <w:u w:val="single"/>
          <w:rtl/>
        </w:rPr>
        <w:t>חיתוכים רבים שנעשים ע"י סכין של גוים:</w:t>
      </w:r>
      <w:r w:rsidRPr="00337341">
        <w:rPr>
          <w:rFonts w:cs="Arial" w:hint="cs"/>
          <w:sz w:val="14"/>
          <w:szCs w:val="14"/>
          <w:rtl/>
        </w:rPr>
        <w:t xml:space="preserve"> </w:t>
      </w:r>
      <w:r>
        <w:rPr>
          <w:rFonts w:cs="Arial" w:hint="cs"/>
          <w:sz w:val="16"/>
          <w:szCs w:val="16"/>
          <w:rtl/>
        </w:rPr>
        <w:t xml:space="preserve">  </w:t>
      </w:r>
      <w:r w:rsidRPr="00337341">
        <w:rPr>
          <w:rFonts w:cs="Arial" w:hint="cs"/>
          <w:sz w:val="16"/>
          <w:szCs w:val="16"/>
          <w:rtl/>
        </w:rPr>
        <w:t>(ב"י ודרכ"מ [אות ד*-</w:t>
      </w:r>
      <w:r w:rsidRPr="00337341">
        <w:rPr>
          <w:rFonts w:cs="Arial"/>
          <w:sz w:val="16"/>
          <w:szCs w:val="16"/>
          <w:rtl/>
        </w:rPr>
        <w:t>ה</w:t>
      </w:r>
      <w:r w:rsidRPr="00337341">
        <w:rPr>
          <w:rFonts w:cs="Arial" w:hint="cs"/>
          <w:sz w:val="16"/>
          <w:szCs w:val="16"/>
          <w:rtl/>
        </w:rPr>
        <w:t>]</w:t>
      </w:r>
      <w:r w:rsidRPr="00337341">
        <w:rPr>
          <w:rFonts w:cs="Arial"/>
          <w:sz w:val="16"/>
          <w:szCs w:val="16"/>
          <w:rtl/>
        </w:rPr>
        <w:t>)</w:t>
      </w:r>
    </w:p>
    <w:p w14:paraId="1E3CA673" w14:textId="77777777" w:rsidR="002C39F4" w:rsidRPr="00711EA6" w:rsidRDefault="002C39F4" w:rsidP="0032102C">
      <w:pPr>
        <w:pStyle w:val="a8"/>
        <w:numPr>
          <w:ilvl w:val="0"/>
          <w:numId w:val="137"/>
        </w:numPr>
      </w:pPr>
      <w:r w:rsidRPr="00711EA6">
        <w:rPr>
          <w:rFonts w:cs="Arial" w:hint="cs"/>
          <w:rtl/>
        </w:rPr>
        <w:t>שבה"ל</w:t>
      </w:r>
      <w:r w:rsidRPr="00711EA6">
        <w:rPr>
          <w:rFonts w:cs="Arial"/>
          <w:rtl/>
        </w:rPr>
        <w:t xml:space="preserve"> </w:t>
      </w:r>
      <w:r w:rsidRPr="00711EA6">
        <w:rPr>
          <w:rFonts w:cs="Arial"/>
          <w:sz w:val="16"/>
          <w:szCs w:val="16"/>
          <w:rtl/>
        </w:rPr>
        <w:t xml:space="preserve">(ח"ב סי' לז) </w:t>
      </w:r>
      <w:r w:rsidRPr="00711EA6">
        <w:rPr>
          <w:rFonts w:cs="Arial"/>
          <w:rtl/>
        </w:rPr>
        <w:t>בשם ה"ר ישעיה</w:t>
      </w:r>
      <w:r w:rsidRPr="00711EA6">
        <w:rPr>
          <w:rFonts w:cs="Arial" w:hint="cs"/>
          <w:rtl/>
        </w:rPr>
        <w:t xml:space="preserve"> </w:t>
      </w:r>
      <w:r>
        <w:rPr>
          <w:rFonts w:cs="Arial" w:hint="cs"/>
          <w:rtl/>
        </w:rPr>
        <w:t xml:space="preserve">ואו"ה </w:t>
      </w:r>
      <w:r w:rsidRPr="00711EA6">
        <w:rPr>
          <w:rFonts w:cs="Arial"/>
          <w:sz w:val="16"/>
          <w:szCs w:val="16"/>
          <w:rtl/>
        </w:rPr>
        <w:t>(כלל לח דין יג</w:t>
      </w:r>
      <w:r w:rsidRPr="00711EA6">
        <w:rPr>
          <w:rFonts w:cs="Arial" w:hint="cs"/>
          <w:sz w:val="16"/>
          <w:szCs w:val="16"/>
          <w:rtl/>
        </w:rPr>
        <w:t>-יד</w:t>
      </w:r>
      <w:r w:rsidRPr="00711EA6">
        <w:rPr>
          <w:rFonts w:cs="Arial"/>
          <w:sz w:val="16"/>
          <w:szCs w:val="16"/>
          <w:rtl/>
        </w:rPr>
        <w:t>)</w:t>
      </w:r>
      <w:r w:rsidRPr="00711EA6">
        <w:rPr>
          <w:rFonts w:cs="Arial" w:hint="cs"/>
          <w:rtl/>
        </w:rPr>
        <w:t>-</w:t>
      </w:r>
      <w:r w:rsidRPr="00711EA6">
        <w:rPr>
          <w:rFonts w:cs="Arial"/>
          <w:rtl/>
        </w:rPr>
        <w:t xml:space="preserve"> לימוני"ש של גוים מן הדין לאסרם שחותכים אותם בסכין שלהם ואגב חורפייהו בלעי אלא מפני שחותכים רבים בסכ</w:t>
      </w:r>
      <w:r>
        <w:rPr>
          <w:rFonts w:cs="Arial"/>
          <w:rtl/>
        </w:rPr>
        <w:t>ין אחד וממלאים מהם חביות י</w:t>
      </w:r>
      <w:r>
        <w:rPr>
          <w:rFonts w:cs="Arial" w:hint="cs"/>
          <w:rtl/>
        </w:rPr>
        <w:t>"</w:t>
      </w:r>
      <w:r>
        <w:rPr>
          <w:rFonts w:cs="Arial"/>
          <w:rtl/>
        </w:rPr>
        <w:t>ל</w:t>
      </w:r>
      <w:r w:rsidRPr="00711EA6">
        <w:rPr>
          <w:rFonts w:cs="Arial"/>
          <w:rtl/>
        </w:rPr>
        <w:t xml:space="preserve"> שבטל טעם הסכין בהם</w:t>
      </w:r>
      <w:r>
        <w:rPr>
          <w:rFonts w:cs="Arial" w:hint="cs"/>
          <w:rtl/>
        </w:rPr>
        <w:t>,</w:t>
      </w:r>
      <w:r w:rsidRPr="00711EA6">
        <w:rPr>
          <w:rFonts w:cs="Arial"/>
          <w:rtl/>
        </w:rPr>
        <w:t xml:space="preserve"> ובודאי ראשון ושני היה ראוי לאסרם אלא מפני שאין ניכרים הם בטלים ברוב הילכך שרו</w:t>
      </w:r>
      <w:r>
        <w:rPr>
          <w:rFonts w:cs="Arial" w:hint="cs"/>
          <w:rtl/>
        </w:rPr>
        <w:t>,</w:t>
      </w:r>
      <w:r>
        <w:rPr>
          <w:rFonts w:cs="Arial"/>
          <w:rtl/>
        </w:rPr>
        <w:t xml:space="preserve"> וה</w:t>
      </w:r>
      <w:r>
        <w:rPr>
          <w:rFonts w:cs="Arial" w:hint="cs"/>
          <w:rtl/>
        </w:rPr>
        <w:t>"</w:t>
      </w:r>
      <w:r>
        <w:rPr>
          <w:rFonts w:cs="Arial"/>
          <w:rtl/>
        </w:rPr>
        <w:t>ה</w:t>
      </w:r>
      <w:r w:rsidRPr="00711EA6">
        <w:rPr>
          <w:rFonts w:cs="Arial"/>
          <w:rtl/>
        </w:rPr>
        <w:t xml:space="preserve"> לחביות של טונינ"א שרוב החתכים מבטלות טעם הסכין</w:t>
      </w:r>
      <w:r>
        <w:rPr>
          <w:rFonts w:cs="Arial" w:hint="cs"/>
          <w:sz w:val="16"/>
          <w:szCs w:val="16"/>
          <w:rtl/>
        </w:rPr>
        <w:t xml:space="preserve"> (ל' שבה"ל)</w:t>
      </w:r>
      <w:r w:rsidRPr="00711EA6">
        <w:rPr>
          <w:rFonts w:cs="Arial" w:hint="cs"/>
          <w:rtl/>
        </w:rPr>
        <w:t>.</w:t>
      </w:r>
      <w:r>
        <w:rPr>
          <w:rFonts w:hint="cs"/>
          <w:rtl/>
        </w:rPr>
        <w:t xml:space="preserve"> </w:t>
      </w:r>
      <w:r w:rsidRPr="007B28A0">
        <w:rPr>
          <w:rFonts w:hint="cs"/>
          <w:color w:val="E36C0A" w:themeColor="accent6" w:themeShade="BF"/>
          <w:rtl/>
        </w:rPr>
        <w:t>(וכ"</w:t>
      </w:r>
      <w:r>
        <w:rPr>
          <w:rFonts w:hint="cs"/>
          <w:color w:val="E36C0A" w:themeColor="accent6" w:themeShade="BF"/>
          <w:rtl/>
        </w:rPr>
        <w:t>פ</w:t>
      </w:r>
      <w:r w:rsidRPr="007B28A0">
        <w:rPr>
          <w:rFonts w:hint="cs"/>
          <w:color w:val="E36C0A" w:themeColor="accent6" w:themeShade="BF"/>
          <w:rtl/>
        </w:rPr>
        <w:t xml:space="preserve"> בשו"ע)</w:t>
      </w:r>
      <w:r>
        <w:rPr>
          <w:rFonts w:cs="Arial" w:hint="cs"/>
          <w:color w:val="00B0F0"/>
          <w:rtl/>
        </w:rPr>
        <w:t xml:space="preserve"> </w:t>
      </w:r>
      <w:r w:rsidRPr="007B28A0">
        <w:rPr>
          <w:rFonts w:cs="Arial" w:hint="cs"/>
          <w:color w:val="00B0F0"/>
          <w:rtl/>
        </w:rPr>
        <w:t>(וכ"פ הרמ"א)</w:t>
      </w:r>
    </w:p>
    <w:p w14:paraId="17CA499E" w14:textId="77777777" w:rsidR="002C39F4" w:rsidRPr="00711EA6" w:rsidRDefault="002C39F4" w:rsidP="002C39F4">
      <w:pPr>
        <w:rPr>
          <w:u w:val="single"/>
        </w:rPr>
      </w:pPr>
      <w:r w:rsidRPr="00711EA6">
        <w:rPr>
          <w:rFonts w:hint="cs"/>
          <w:u w:val="single"/>
          <w:rtl/>
        </w:rPr>
        <w:t>כרוב של גוים:</w:t>
      </w:r>
      <w:r>
        <w:rPr>
          <w:rFonts w:hint="cs"/>
          <w:sz w:val="16"/>
          <w:szCs w:val="16"/>
          <w:rtl/>
        </w:rPr>
        <w:t xml:space="preserve">  (דרכ"מ אות ה)</w:t>
      </w:r>
    </w:p>
    <w:p w14:paraId="467702F2" w14:textId="77777777" w:rsidR="002C39F4" w:rsidRDefault="002C39F4" w:rsidP="0032102C">
      <w:pPr>
        <w:pStyle w:val="a8"/>
        <w:numPr>
          <w:ilvl w:val="0"/>
          <w:numId w:val="137"/>
        </w:numPr>
      </w:pPr>
      <w:r>
        <w:rPr>
          <w:rFonts w:cs="Arial"/>
          <w:rtl/>
        </w:rPr>
        <w:t>מהרי"ו</w:t>
      </w:r>
      <w:r>
        <w:rPr>
          <w:rFonts w:cs="Arial" w:hint="cs"/>
          <w:rtl/>
        </w:rPr>
        <w:t xml:space="preserve"> </w:t>
      </w:r>
      <w:r w:rsidRPr="00711EA6">
        <w:rPr>
          <w:rFonts w:cs="Arial" w:hint="cs"/>
          <w:sz w:val="16"/>
          <w:szCs w:val="16"/>
          <w:rtl/>
        </w:rPr>
        <w:t>(</w:t>
      </w:r>
      <w:r w:rsidRPr="00711EA6">
        <w:rPr>
          <w:rFonts w:cs="Arial"/>
          <w:sz w:val="16"/>
          <w:szCs w:val="16"/>
          <w:rtl/>
        </w:rPr>
        <w:t>סי</w:t>
      </w:r>
      <w:r w:rsidRPr="00711EA6">
        <w:rPr>
          <w:rFonts w:cs="Arial" w:hint="cs"/>
          <w:sz w:val="16"/>
          <w:szCs w:val="16"/>
          <w:rtl/>
        </w:rPr>
        <w:t>'</w:t>
      </w:r>
      <w:r w:rsidRPr="00711EA6">
        <w:rPr>
          <w:rFonts w:cs="Arial"/>
          <w:sz w:val="16"/>
          <w:szCs w:val="16"/>
          <w:rtl/>
        </w:rPr>
        <w:t xml:space="preserve"> מט</w:t>
      </w:r>
      <w:r w:rsidRPr="00711EA6">
        <w:rPr>
          <w:rFonts w:cs="Arial" w:hint="cs"/>
          <w:sz w:val="16"/>
          <w:szCs w:val="16"/>
          <w:rtl/>
        </w:rPr>
        <w:t>)</w:t>
      </w:r>
      <w:r>
        <w:rPr>
          <w:rFonts w:cs="Arial" w:hint="cs"/>
          <w:rtl/>
        </w:rPr>
        <w:t xml:space="preserve">- </w:t>
      </w:r>
      <w:r>
        <w:rPr>
          <w:rFonts w:cs="Arial"/>
          <w:rtl/>
        </w:rPr>
        <w:t>כרוב דפרמי גוים אסור</w:t>
      </w:r>
      <w:r>
        <w:rPr>
          <w:rFonts w:cs="Arial" w:hint="cs"/>
          <w:rtl/>
        </w:rPr>
        <w:t>,</w:t>
      </w:r>
      <w:r>
        <w:rPr>
          <w:rFonts w:cs="Arial"/>
          <w:rtl/>
        </w:rPr>
        <w:t xml:space="preserve"> והגוים אינן נאמנים לומר דיש להם סכינים מיוחדים לכך דלהשביח מקחו אומר כן</w:t>
      </w:r>
      <w:r>
        <w:rPr>
          <w:rFonts w:cs="Arial" w:hint="cs"/>
          <w:rtl/>
        </w:rPr>
        <w:t>,</w:t>
      </w:r>
      <w:r>
        <w:rPr>
          <w:rFonts w:cs="Arial"/>
          <w:rtl/>
        </w:rPr>
        <w:t xml:space="preserve"> וכרוב שלם דשלקי גוים במקומות הנוהגים בו היתר צריך למיחתך או למיגרר בי פיסקי</w:t>
      </w:r>
      <w:r>
        <w:rPr>
          <w:rFonts w:cs="Arial" w:hint="cs"/>
          <w:rtl/>
        </w:rPr>
        <w:t>,</w:t>
      </w:r>
      <w:r>
        <w:rPr>
          <w:rFonts w:cs="Arial"/>
          <w:rtl/>
        </w:rPr>
        <w:t xml:space="preserve"> ובנירנבער"ג נוהגין לאכלו היכא דשלקי שלם אבל דפרמי גוים נוהגין בו איסור</w:t>
      </w:r>
      <w:r>
        <w:rPr>
          <w:rStyle w:val="a7"/>
          <w:rFonts w:cs="Arial"/>
          <w:rtl/>
        </w:rPr>
        <w:footnoteReference w:id="1709"/>
      </w:r>
      <w:r>
        <w:rPr>
          <w:rFonts w:cs="Arial" w:hint="cs"/>
          <w:rtl/>
        </w:rPr>
        <w:t>.</w:t>
      </w:r>
      <w:r>
        <w:rPr>
          <w:rFonts w:cs="Arial"/>
          <w:rtl/>
        </w:rPr>
        <w:t xml:space="preserve"> </w:t>
      </w:r>
      <w:r w:rsidRPr="007B28A0">
        <w:rPr>
          <w:rFonts w:cs="Arial" w:hint="cs"/>
          <w:color w:val="00B0F0"/>
          <w:rtl/>
        </w:rPr>
        <w:t>(וכ"פ הרמ"א)</w:t>
      </w:r>
    </w:p>
    <w:p w14:paraId="5EB8E1DE" w14:textId="77777777" w:rsidR="002C39F4" w:rsidRPr="00711EA6" w:rsidRDefault="002C39F4" w:rsidP="002C39F4">
      <w:pPr>
        <w:rPr>
          <w:sz w:val="16"/>
          <w:szCs w:val="16"/>
          <w:rtl/>
        </w:rPr>
      </w:pPr>
      <w:r w:rsidRPr="00711EA6">
        <w:rPr>
          <w:rFonts w:cs="Arial"/>
          <w:u w:val="single"/>
          <w:rtl/>
        </w:rPr>
        <w:t>תפוחים יבשים מחותכין בסכין של גוים</w:t>
      </w:r>
      <w:r w:rsidRPr="00711EA6">
        <w:rPr>
          <w:rFonts w:cs="Arial" w:hint="cs"/>
          <w:u w:val="single"/>
          <w:rtl/>
        </w:rPr>
        <w:t>:</w:t>
      </w:r>
      <w:r>
        <w:rPr>
          <w:rFonts w:hint="cs"/>
          <w:sz w:val="16"/>
          <w:szCs w:val="16"/>
          <w:rtl/>
        </w:rPr>
        <w:t xml:space="preserve">  (דרכ"מ אות ו)</w:t>
      </w:r>
    </w:p>
    <w:p w14:paraId="75BDE753" w14:textId="77777777" w:rsidR="002C39F4" w:rsidRPr="00085E47" w:rsidRDefault="002C39F4" w:rsidP="0032102C">
      <w:pPr>
        <w:pStyle w:val="a8"/>
        <w:numPr>
          <w:ilvl w:val="0"/>
          <w:numId w:val="137"/>
        </w:numPr>
        <w:rPr>
          <w:rtl/>
        </w:rPr>
      </w:pPr>
      <w:r>
        <w:rPr>
          <w:rFonts w:cs="Arial" w:hint="cs"/>
          <w:rtl/>
        </w:rPr>
        <w:t>או</w:t>
      </w:r>
      <w:r>
        <w:rPr>
          <w:rFonts w:cs="Arial"/>
          <w:rtl/>
        </w:rPr>
        <w:t>"</w:t>
      </w:r>
      <w:r>
        <w:rPr>
          <w:rFonts w:cs="Arial" w:hint="cs"/>
          <w:rtl/>
        </w:rPr>
        <w:t>ה</w:t>
      </w:r>
      <w:r>
        <w:rPr>
          <w:rFonts w:cs="Arial"/>
          <w:rtl/>
        </w:rPr>
        <w:t xml:space="preserve"> </w:t>
      </w:r>
      <w:r w:rsidRPr="00711EA6">
        <w:rPr>
          <w:rFonts w:cs="Arial"/>
          <w:sz w:val="16"/>
          <w:szCs w:val="16"/>
          <w:rtl/>
        </w:rPr>
        <w:t>(שם דין יד)</w:t>
      </w:r>
      <w:r>
        <w:rPr>
          <w:rFonts w:cs="Arial" w:hint="cs"/>
          <w:rtl/>
        </w:rPr>
        <w:t xml:space="preserve">- </w:t>
      </w:r>
      <w:r>
        <w:rPr>
          <w:rFonts w:cs="Arial"/>
          <w:rtl/>
        </w:rPr>
        <w:t>אנו נוהגין לאכול תפוחים יבשים מחותכין בסכין של גוים אפילו בלא הדחה דהואיל ואינם חריפים מותרין כולם</w:t>
      </w:r>
      <w:r>
        <w:rPr>
          <w:rFonts w:cs="Arial" w:hint="cs"/>
          <w:rtl/>
        </w:rPr>
        <w:t>,</w:t>
      </w:r>
      <w:r>
        <w:rPr>
          <w:rFonts w:cs="Arial"/>
          <w:rtl/>
        </w:rPr>
        <w:t xml:space="preserve"> ואפילו הראשון והשני דבעי הדחה בטל ברוב המותרים</w:t>
      </w:r>
      <w:r>
        <w:rPr>
          <w:rFonts w:cs="Arial" w:hint="cs"/>
          <w:rtl/>
        </w:rPr>
        <w:t>.</w:t>
      </w:r>
      <w:r w:rsidRPr="002A2B97">
        <w:rPr>
          <w:rFonts w:cs="Arial" w:hint="cs"/>
          <w:color w:val="00B0F0"/>
          <w:rtl/>
        </w:rPr>
        <w:t xml:space="preserve"> </w:t>
      </w:r>
      <w:r w:rsidRPr="007B28A0">
        <w:rPr>
          <w:rFonts w:cs="Arial" w:hint="cs"/>
          <w:color w:val="00B0F0"/>
          <w:rtl/>
        </w:rPr>
        <w:t>(וכ"פ הרמ"א)</w:t>
      </w:r>
    </w:p>
    <w:p w14:paraId="116047A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5A985BE" w14:textId="77777777" w:rsidR="002C39F4" w:rsidRDefault="002C39F4" w:rsidP="002C39F4">
      <w:pPr>
        <w:rPr>
          <w:rFonts w:asciiTheme="minorBidi" w:hAnsiTheme="minorBidi"/>
          <w:rtl/>
        </w:rPr>
      </w:pPr>
      <w:r w:rsidRPr="003024E5">
        <w:rPr>
          <w:rFonts w:asciiTheme="minorBidi" w:hAnsiTheme="minorBidi"/>
          <w:rtl/>
        </w:rPr>
        <w:t>מי לימוני"ש</w:t>
      </w:r>
      <w:r>
        <w:rPr>
          <w:rStyle w:val="a7"/>
          <w:rFonts w:asciiTheme="minorBidi" w:hAnsiTheme="minorBidi"/>
          <w:rtl/>
        </w:rPr>
        <w:footnoteReference w:id="1710"/>
      </w:r>
      <w:r w:rsidRPr="003024E5">
        <w:rPr>
          <w:rFonts w:asciiTheme="minorBidi" w:hAnsiTheme="minorBidi"/>
          <w:rtl/>
        </w:rPr>
        <w:t xml:space="preserve"> שמביאים ה</w:t>
      </w:r>
      <w:r>
        <w:rPr>
          <w:rFonts w:asciiTheme="minorBidi" w:hAnsiTheme="minorBidi" w:hint="cs"/>
          <w:rtl/>
        </w:rPr>
        <w:t>גוים</w:t>
      </w:r>
      <w:r>
        <w:rPr>
          <w:rFonts w:asciiTheme="minorBidi" w:hAnsiTheme="minorBidi"/>
          <w:rtl/>
        </w:rPr>
        <w:t xml:space="preserve"> וכן חתיכות דג מליח שמביאים ה</w:t>
      </w:r>
      <w:r w:rsidRPr="003024E5">
        <w:rPr>
          <w:rFonts w:asciiTheme="minorBidi" w:hAnsiTheme="minorBidi"/>
          <w:rtl/>
        </w:rPr>
        <w:t>ג</w:t>
      </w:r>
      <w:r>
        <w:rPr>
          <w:rFonts w:asciiTheme="minorBidi" w:hAnsiTheme="minorBidi" w:hint="cs"/>
          <w:rtl/>
        </w:rPr>
        <w:t>וים</w:t>
      </w:r>
      <w:r>
        <w:rPr>
          <w:rFonts w:asciiTheme="minorBidi" w:hAnsiTheme="minorBidi"/>
          <w:rtl/>
        </w:rPr>
        <w:t xml:space="preserve"> בחביות</w:t>
      </w:r>
      <w:r w:rsidRPr="003024E5">
        <w:rPr>
          <w:rFonts w:asciiTheme="minorBidi" w:hAnsiTheme="minorBidi"/>
          <w:rtl/>
        </w:rPr>
        <w:t xml:space="preserve"> מותרים. </w:t>
      </w:r>
      <w:r w:rsidRPr="00085E47">
        <w:rPr>
          <w:rFonts w:asciiTheme="minorBidi" w:hAnsiTheme="minorBidi"/>
          <w:sz w:val="18"/>
          <w:szCs w:val="18"/>
          <w:rtl/>
        </w:rPr>
        <w:t>הגה: מפני שמביאים הרבה ביחד, ואף אם נאסרו מקצתן שנח</w:t>
      </w:r>
      <w:r>
        <w:rPr>
          <w:rFonts w:asciiTheme="minorBidi" w:hAnsiTheme="minorBidi"/>
          <w:sz w:val="18"/>
          <w:szCs w:val="18"/>
          <w:rtl/>
        </w:rPr>
        <w:t xml:space="preserve">תכו בראשונה עם סכין של </w:t>
      </w:r>
      <w:r>
        <w:rPr>
          <w:rFonts w:asciiTheme="minorBidi" w:hAnsiTheme="minorBidi" w:hint="cs"/>
          <w:sz w:val="18"/>
          <w:szCs w:val="18"/>
          <w:rtl/>
        </w:rPr>
        <w:t>גו</w:t>
      </w:r>
      <w:r>
        <w:rPr>
          <w:rFonts w:asciiTheme="minorBidi" w:hAnsiTheme="minorBidi"/>
          <w:sz w:val="18"/>
          <w:szCs w:val="18"/>
          <w:rtl/>
        </w:rPr>
        <w:t>ים</w:t>
      </w:r>
      <w:r w:rsidRPr="00085E47">
        <w:rPr>
          <w:rFonts w:asciiTheme="minorBidi" w:hAnsiTheme="minorBidi"/>
          <w:sz w:val="18"/>
          <w:szCs w:val="18"/>
          <w:rtl/>
        </w:rPr>
        <w:t xml:space="preserve"> נתבטלו באחר</w:t>
      </w:r>
      <w:r>
        <w:rPr>
          <w:rFonts w:asciiTheme="minorBidi" w:hAnsiTheme="minorBidi"/>
          <w:sz w:val="18"/>
          <w:szCs w:val="18"/>
          <w:rtl/>
        </w:rPr>
        <w:t>ים הנחתכים אחר כן, שאינן נאסרין</w:t>
      </w:r>
      <w:r w:rsidRPr="00085E47">
        <w:rPr>
          <w:rFonts w:asciiTheme="minorBidi" w:hAnsiTheme="minorBidi"/>
          <w:sz w:val="18"/>
          <w:szCs w:val="18"/>
          <w:rtl/>
        </w:rPr>
        <w:t xml:space="preserve"> כי כבר נתבטל טעם הסכין בראשונים ולכן כולם</w:t>
      </w:r>
      <w:r>
        <w:rPr>
          <w:rFonts w:asciiTheme="minorBidi" w:hAnsiTheme="minorBidi"/>
          <w:sz w:val="18"/>
          <w:szCs w:val="18"/>
          <w:rtl/>
        </w:rPr>
        <w:t xml:space="preserve"> מותרים</w:t>
      </w:r>
      <w:r w:rsidRPr="00C37D16">
        <w:rPr>
          <w:rStyle w:val="a7"/>
          <w:rFonts w:cs="Arial"/>
          <w:rtl/>
        </w:rPr>
        <w:footnoteReference w:id="1711"/>
      </w:r>
      <w:r>
        <w:rPr>
          <w:rFonts w:asciiTheme="minorBidi" w:hAnsiTheme="minorBidi" w:hint="cs"/>
          <w:sz w:val="18"/>
          <w:szCs w:val="18"/>
          <w:rtl/>
        </w:rPr>
        <w:t>,</w:t>
      </w:r>
      <w:r w:rsidRPr="00085E47">
        <w:rPr>
          <w:rFonts w:asciiTheme="minorBidi" w:hAnsiTheme="minorBidi"/>
          <w:sz w:val="18"/>
          <w:szCs w:val="18"/>
          <w:rtl/>
        </w:rPr>
        <w:t xml:space="preserve"> וכל כיוצא בזה (ב</w:t>
      </w:r>
      <w:r w:rsidRPr="00085E47">
        <w:rPr>
          <w:rFonts w:asciiTheme="minorBidi" w:hAnsiTheme="minorBidi" w:hint="cs"/>
          <w:sz w:val="18"/>
          <w:szCs w:val="18"/>
          <w:rtl/>
        </w:rPr>
        <w:t>"</w:t>
      </w:r>
      <w:r w:rsidRPr="00085E47">
        <w:rPr>
          <w:rFonts w:asciiTheme="minorBidi" w:hAnsiTheme="minorBidi"/>
          <w:sz w:val="18"/>
          <w:szCs w:val="18"/>
          <w:rtl/>
        </w:rPr>
        <w:t>י בשם שב</w:t>
      </w:r>
      <w:r w:rsidRPr="00085E47">
        <w:rPr>
          <w:rFonts w:asciiTheme="minorBidi" w:hAnsiTheme="minorBidi" w:hint="cs"/>
          <w:sz w:val="18"/>
          <w:szCs w:val="18"/>
          <w:rtl/>
        </w:rPr>
        <w:t>ה"ל</w:t>
      </w:r>
      <w:r>
        <w:rPr>
          <w:rFonts w:asciiTheme="minorBidi" w:hAnsiTheme="minorBidi"/>
          <w:sz w:val="18"/>
          <w:szCs w:val="18"/>
          <w:rtl/>
        </w:rPr>
        <w:t>).</w:t>
      </w:r>
      <w:r w:rsidRPr="00085E47">
        <w:rPr>
          <w:rFonts w:asciiTheme="minorBidi" w:hAnsiTheme="minorBidi"/>
          <w:sz w:val="18"/>
          <w:szCs w:val="18"/>
          <w:rtl/>
        </w:rPr>
        <w:t xml:space="preserve"> ולכן אוכלין ב</w:t>
      </w:r>
      <w:r>
        <w:rPr>
          <w:rFonts w:asciiTheme="minorBidi" w:hAnsiTheme="minorBidi"/>
          <w:sz w:val="18"/>
          <w:szCs w:val="18"/>
          <w:rtl/>
        </w:rPr>
        <w:t>קצת מקומות הכרוב שקורין קומפש"ט אע</w:t>
      </w:r>
      <w:r>
        <w:rPr>
          <w:rFonts w:asciiTheme="minorBidi" w:hAnsiTheme="minorBidi" w:hint="cs"/>
          <w:sz w:val="18"/>
          <w:szCs w:val="18"/>
          <w:rtl/>
        </w:rPr>
        <w:t>"</w:t>
      </w:r>
      <w:r>
        <w:rPr>
          <w:rFonts w:asciiTheme="minorBidi" w:hAnsiTheme="minorBidi"/>
          <w:sz w:val="18"/>
          <w:szCs w:val="18"/>
          <w:rtl/>
        </w:rPr>
        <w:t>ג דפרוס וחתוך</w:t>
      </w:r>
      <w:r>
        <w:rPr>
          <w:rStyle w:val="a7"/>
          <w:rFonts w:asciiTheme="minorBidi" w:hAnsiTheme="minorBidi"/>
          <w:sz w:val="18"/>
          <w:szCs w:val="18"/>
          <w:rtl/>
        </w:rPr>
        <w:footnoteReference w:id="1712"/>
      </w:r>
      <w:r>
        <w:rPr>
          <w:rFonts w:asciiTheme="minorBidi" w:hAnsiTheme="minorBidi" w:hint="cs"/>
          <w:sz w:val="18"/>
          <w:szCs w:val="18"/>
          <w:rtl/>
        </w:rPr>
        <w:t>,</w:t>
      </w:r>
      <w:r w:rsidRPr="00085E47">
        <w:rPr>
          <w:rFonts w:asciiTheme="minorBidi" w:hAnsiTheme="minorBidi"/>
          <w:sz w:val="18"/>
          <w:szCs w:val="18"/>
          <w:rtl/>
        </w:rPr>
        <w:t xml:space="preserve"> ויש מקומות שמחמירין בז</w:t>
      </w:r>
      <w:r>
        <w:rPr>
          <w:rFonts w:asciiTheme="minorBidi" w:hAnsiTheme="minorBidi"/>
          <w:sz w:val="18"/>
          <w:szCs w:val="18"/>
          <w:rtl/>
        </w:rPr>
        <w:t>ה, ואין לשנות המנהג (מהרי"ו סי</w:t>
      </w:r>
      <w:r>
        <w:rPr>
          <w:rFonts w:asciiTheme="minorBidi" w:hAnsiTheme="minorBidi" w:hint="cs"/>
          <w:sz w:val="18"/>
          <w:szCs w:val="18"/>
          <w:rtl/>
        </w:rPr>
        <w:t>'</w:t>
      </w:r>
      <w:r>
        <w:rPr>
          <w:rFonts w:asciiTheme="minorBidi" w:hAnsiTheme="minorBidi"/>
          <w:sz w:val="18"/>
          <w:szCs w:val="18"/>
          <w:rtl/>
        </w:rPr>
        <w:t xml:space="preserve"> מט), אבל שאר דברים שאין חריפין</w:t>
      </w:r>
      <w:r>
        <w:rPr>
          <w:rStyle w:val="a7"/>
          <w:rFonts w:asciiTheme="minorBidi" w:hAnsiTheme="minorBidi"/>
          <w:sz w:val="18"/>
          <w:szCs w:val="18"/>
          <w:rtl/>
        </w:rPr>
        <w:footnoteReference w:id="1713"/>
      </w:r>
      <w:r w:rsidRPr="00085E47">
        <w:rPr>
          <w:rFonts w:asciiTheme="minorBidi" w:hAnsiTheme="minorBidi"/>
          <w:sz w:val="18"/>
          <w:szCs w:val="18"/>
          <w:rtl/>
        </w:rPr>
        <w:t xml:space="preserve"> כג</w:t>
      </w:r>
      <w:r>
        <w:rPr>
          <w:rFonts w:asciiTheme="minorBidi" w:hAnsiTheme="minorBidi"/>
          <w:sz w:val="18"/>
          <w:szCs w:val="18"/>
          <w:rtl/>
        </w:rPr>
        <w:t>ון תפוחים או לפתות יבשים וכדומה</w:t>
      </w:r>
      <w:r w:rsidRPr="00085E47">
        <w:rPr>
          <w:rFonts w:asciiTheme="minorBidi" w:hAnsiTheme="minorBidi"/>
          <w:sz w:val="18"/>
          <w:szCs w:val="18"/>
          <w:rtl/>
        </w:rPr>
        <w:t xml:space="preserve"> נוהגין בהן היתר כמו בלימוני"ש ואין להחמיר כלל (בארוך).</w:t>
      </w:r>
      <w:r w:rsidRPr="003024E5">
        <w:rPr>
          <w:rFonts w:asciiTheme="minorBidi" w:hAnsiTheme="minorBidi"/>
          <w:rtl/>
        </w:rPr>
        <w:t xml:space="preserve"> </w:t>
      </w:r>
    </w:p>
    <w:p w14:paraId="437CAD14" w14:textId="77777777" w:rsidR="002C39F4" w:rsidRPr="003024E5" w:rsidRDefault="002C39F4" w:rsidP="002C39F4">
      <w:pPr>
        <w:rPr>
          <w:rFonts w:asciiTheme="minorBidi" w:hAnsiTheme="minorBidi"/>
          <w:rtl/>
        </w:rPr>
      </w:pPr>
    </w:p>
    <w:p w14:paraId="2108B70D"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חתך קישואין/לפת בסכין של בשר.</w:t>
      </w:r>
    </w:p>
    <w:p w14:paraId="66633EF1" w14:textId="77777777" w:rsidR="002C39F4" w:rsidRDefault="002C39F4" w:rsidP="002C39F4">
      <w:pPr>
        <w:rPr>
          <w:rFonts w:cs="Arial"/>
          <w:rtl/>
        </w:rPr>
      </w:pPr>
      <w:r>
        <w:rPr>
          <w:rFonts w:cs="Arial" w:hint="cs"/>
          <w:b/>
          <w:bCs/>
          <w:rtl/>
        </w:rPr>
        <w:t xml:space="preserve">חולין קיא ע"ב: </w:t>
      </w:r>
      <w:r w:rsidRPr="00763D8C">
        <w:rPr>
          <w:rFonts w:cs="Arial"/>
          <w:u w:val="single"/>
          <w:rtl/>
        </w:rPr>
        <w:t>אמר חזקיה משום אביי</w:t>
      </w:r>
      <w:r w:rsidRPr="00763D8C">
        <w:rPr>
          <w:rFonts w:cs="Arial"/>
          <w:rtl/>
        </w:rPr>
        <w:t>, הלכתא: דגים</w:t>
      </w:r>
      <w:r>
        <w:rPr>
          <w:rFonts w:cs="Arial"/>
          <w:rtl/>
        </w:rPr>
        <w:t xml:space="preserve"> שעלו בקערה</w:t>
      </w:r>
      <w:r>
        <w:rPr>
          <w:rFonts w:cs="Arial" w:hint="cs"/>
          <w:rtl/>
        </w:rPr>
        <w:t xml:space="preserve"> </w:t>
      </w:r>
      <w:r>
        <w:rPr>
          <w:rFonts w:cs="Arial"/>
          <w:rtl/>
        </w:rPr>
        <w:t>- מותר לאוכלן בכותח</w:t>
      </w:r>
      <w:r>
        <w:rPr>
          <w:rFonts w:cs="Arial" w:hint="cs"/>
          <w:rtl/>
        </w:rPr>
        <w:t>,</w:t>
      </w:r>
      <w:r w:rsidRPr="00FA171B">
        <w:rPr>
          <w:rtl/>
        </w:rPr>
        <w:t xml:space="preserve"> </w:t>
      </w:r>
      <w:r w:rsidRPr="00FA171B">
        <w:rPr>
          <w:rFonts w:cs="Arial"/>
          <w:rtl/>
        </w:rPr>
        <w:t>צנון שחתכו בסכין שחתך בה בשר</w:t>
      </w:r>
      <w:r>
        <w:rPr>
          <w:rFonts w:cs="Arial" w:hint="cs"/>
          <w:rtl/>
        </w:rPr>
        <w:t xml:space="preserve"> </w:t>
      </w:r>
      <w:r>
        <w:rPr>
          <w:rFonts w:cs="Arial"/>
          <w:rtl/>
        </w:rPr>
        <w:t>- אסור לאוכלו בכותח, וה"מ צנון</w:t>
      </w:r>
      <w:r>
        <w:rPr>
          <w:rFonts w:cs="Arial" w:hint="cs"/>
          <w:rtl/>
        </w:rPr>
        <w:t xml:space="preserve"> </w:t>
      </w:r>
      <w:r w:rsidRPr="00FA171B">
        <w:rPr>
          <w:rFonts w:cs="Arial"/>
          <w:rtl/>
        </w:rPr>
        <w:t>-</w:t>
      </w:r>
      <w:r w:rsidRPr="00FA171B">
        <w:rPr>
          <w:rtl/>
        </w:rPr>
        <w:t xml:space="preserve"> </w:t>
      </w:r>
      <w:r w:rsidRPr="00FA171B">
        <w:rPr>
          <w:rFonts w:cs="Arial"/>
          <w:rtl/>
        </w:rPr>
        <w:t>דאגב חורפיה בלע, אבל קישות</w:t>
      </w:r>
      <w:r>
        <w:rPr>
          <w:rStyle w:val="a7"/>
          <w:rFonts w:cs="Arial"/>
          <w:rtl/>
        </w:rPr>
        <w:footnoteReference w:id="1714"/>
      </w:r>
      <w:r>
        <w:rPr>
          <w:rFonts w:cs="Arial" w:hint="cs"/>
          <w:rtl/>
        </w:rPr>
        <w:t xml:space="preserve"> </w:t>
      </w:r>
      <w:r w:rsidRPr="00FA171B">
        <w:rPr>
          <w:rFonts w:cs="Arial"/>
          <w:rtl/>
        </w:rPr>
        <w:t>- גריר לבי פסקיה וא</w:t>
      </w:r>
      <w:r>
        <w:rPr>
          <w:rFonts w:cs="Arial"/>
          <w:rtl/>
        </w:rPr>
        <w:t>כיל</w:t>
      </w:r>
      <w:r>
        <w:rPr>
          <w:rStyle w:val="a7"/>
          <w:rFonts w:cs="Arial"/>
          <w:rtl/>
        </w:rPr>
        <w:footnoteReference w:id="1715"/>
      </w:r>
      <w:r>
        <w:rPr>
          <w:rFonts w:cs="Arial"/>
          <w:rtl/>
        </w:rPr>
        <w:t>, קילחי דליפתא</w:t>
      </w:r>
      <w:r>
        <w:rPr>
          <w:rFonts w:cs="Arial" w:hint="cs"/>
          <w:rtl/>
        </w:rPr>
        <w:t xml:space="preserve"> </w:t>
      </w:r>
      <w:r>
        <w:rPr>
          <w:rFonts w:cs="Arial"/>
          <w:rtl/>
        </w:rPr>
        <w:t>- שרי, דסילקא</w:t>
      </w:r>
      <w:r>
        <w:rPr>
          <w:rFonts w:cs="Arial" w:hint="cs"/>
          <w:rtl/>
        </w:rPr>
        <w:t xml:space="preserve"> </w:t>
      </w:r>
      <w:r>
        <w:rPr>
          <w:rFonts w:cs="Arial"/>
          <w:rtl/>
        </w:rPr>
        <w:t>- אסירי, ואי פתך בהו דליפתא</w:t>
      </w:r>
      <w:r>
        <w:rPr>
          <w:rFonts w:cs="Arial" w:hint="cs"/>
          <w:rtl/>
        </w:rPr>
        <w:t xml:space="preserve"> </w:t>
      </w:r>
      <w:r w:rsidRPr="00FA171B">
        <w:rPr>
          <w:rFonts w:cs="Arial"/>
          <w:rtl/>
        </w:rPr>
        <w:t>- שפיר דמי.</w:t>
      </w:r>
    </w:p>
    <w:p w14:paraId="08729FDC" w14:textId="77777777" w:rsidR="002C39F4" w:rsidRPr="00F47A06" w:rsidRDefault="002C39F4" w:rsidP="002C39F4">
      <w:pPr>
        <w:rPr>
          <w:rFonts w:cs="Arial"/>
          <w:u w:val="single"/>
          <w:rtl/>
        </w:rPr>
      </w:pPr>
      <w:r w:rsidRPr="00F47A06">
        <w:rPr>
          <w:rFonts w:cs="Arial" w:hint="cs"/>
          <w:u w:val="single"/>
          <w:rtl/>
        </w:rPr>
        <w:t xml:space="preserve">'קילחא דליפתא שרי' </w:t>
      </w:r>
      <w:r w:rsidRPr="00F47A06">
        <w:rPr>
          <w:rFonts w:cs="Arial"/>
          <w:u w:val="single"/>
          <w:rtl/>
        </w:rPr>
        <w:t>–</w:t>
      </w:r>
      <w:r w:rsidRPr="00F47A06">
        <w:rPr>
          <w:rFonts w:cs="Arial" w:hint="cs"/>
          <w:u w:val="single"/>
          <w:rtl/>
        </w:rPr>
        <w:t xml:space="preserve"> האם אפילו הדחה לא בעי:</w:t>
      </w:r>
    </w:p>
    <w:p w14:paraId="306B7B83" w14:textId="77777777" w:rsidR="002C39F4" w:rsidRPr="00F47A06" w:rsidRDefault="002C39F4" w:rsidP="0032102C">
      <w:pPr>
        <w:pStyle w:val="a8"/>
        <w:numPr>
          <w:ilvl w:val="0"/>
          <w:numId w:val="137"/>
        </w:numPr>
        <w:rPr>
          <w:rFonts w:cs="Arial"/>
          <w:rtl/>
        </w:rPr>
      </w:pPr>
      <w:r w:rsidRPr="00F47A06">
        <w:rPr>
          <w:rFonts w:cs="Arial"/>
          <w:rtl/>
        </w:rPr>
        <w:t xml:space="preserve">ר"ן </w:t>
      </w:r>
      <w:r w:rsidRPr="00F47A06">
        <w:rPr>
          <w:rFonts w:cs="Arial"/>
          <w:sz w:val="16"/>
          <w:szCs w:val="16"/>
          <w:rtl/>
        </w:rPr>
        <w:t>(שם)</w:t>
      </w:r>
      <w:r w:rsidRPr="00F47A06">
        <w:rPr>
          <w:rFonts w:cs="Arial" w:hint="cs"/>
          <w:rtl/>
        </w:rPr>
        <w:t>-</w:t>
      </w:r>
      <w:r w:rsidRPr="00F47A06">
        <w:rPr>
          <w:rFonts w:cs="Arial"/>
          <w:rtl/>
        </w:rPr>
        <w:t xml:space="preserve"> קילחי דליפתא שרו לפי שהלפת אינו חריף אלא מתוק ואין טעם שומן ניכר בו ומשמע לי דכיון דאמרינן שרו סתמא דלא צריכי מידי לא גרירה ולא הדחה</w:t>
      </w:r>
      <w:r>
        <w:rPr>
          <w:rFonts w:cs="Arial" w:hint="cs"/>
          <w:rtl/>
        </w:rPr>
        <w:t>,</w:t>
      </w:r>
      <w:r w:rsidRPr="00F47A06">
        <w:rPr>
          <w:rFonts w:cs="Arial"/>
          <w:rtl/>
        </w:rPr>
        <w:t xml:space="preserve"> וכן מטין דברי רש"י ז"ל</w:t>
      </w:r>
      <w:r w:rsidRPr="00F47A06">
        <w:rPr>
          <w:rFonts w:cs="Arial" w:hint="cs"/>
          <w:rtl/>
        </w:rPr>
        <w:t>.</w:t>
      </w:r>
      <w:r w:rsidRPr="00F47A06">
        <w:rPr>
          <w:rFonts w:cs="Arial"/>
          <w:rtl/>
        </w:rPr>
        <w:t xml:space="preserve"> </w:t>
      </w:r>
    </w:p>
    <w:p w14:paraId="266E1A19" w14:textId="77777777" w:rsidR="002C39F4" w:rsidRPr="00F47A06" w:rsidRDefault="002C39F4" w:rsidP="0032102C">
      <w:pPr>
        <w:pStyle w:val="a8"/>
        <w:numPr>
          <w:ilvl w:val="0"/>
          <w:numId w:val="137"/>
        </w:numPr>
        <w:rPr>
          <w:rFonts w:cs="Arial"/>
          <w:rtl/>
        </w:rPr>
      </w:pPr>
      <w:r w:rsidRPr="00F47A06">
        <w:rPr>
          <w:rFonts w:cs="Arial"/>
          <w:rtl/>
        </w:rPr>
        <w:t xml:space="preserve">רשב"א </w:t>
      </w:r>
      <w:r w:rsidRPr="00F47A06">
        <w:rPr>
          <w:rFonts w:cs="Arial"/>
          <w:sz w:val="16"/>
          <w:szCs w:val="16"/>
          <w:rtl/>
        </w:rPr>
        <w:t>(תוה"א ב"ד ש"א ד.)</w:t>
      </w:r>
      <w:r w:rsidRPr="00F47A06">
        <w:rPr>
          <w:rFonts w:cs="Arial" w:hint="cs"/>
          <w:sz w:val="16"/>
          <w:szCs w:val="16"/>
          <w:rtl/>
        </w:rPr>
        <w:t xml:space="preserve"> </w:t>
      </w:r>
      <w:r w:rsidRPr="00F47A06">
        <w:rPr>
          <w:rFonts w:cs="Arial" w:hint="cs"/>
          <w:rtl/>
        </w:rPr>
        <w:t>וטור-</w:t>
      </w:r>
      <w:r w:rsidRPr="00F47A06">
        <w:rPr>
          <w:rFonts w:cs="Arial"/>
          <w:rtl/>
        </w:rPr>
        <w:t xml:space="preserve"> קילחי דליפתא דקאמר דשרו לאו לגמרי קאמר דהדחה מיהא בעו ומשום דלא אסירי כצנון ולא בעו גרירה בבי פיסקי כקישות ואבטיח קאמר קילחי דליפתא שרו דהדחה לא חשיב ליה למימני דפשיטא דכל שנחתך בו ואפילו צונן מתוק מידי הדחה לא נפיק</w:t>
      </w:r>
      <w:r w:rsidRPr="00F47A06">
        <w:rPr>
          <w:rFonts w:cs="Arial" w:hint="cs"/>
          <w:rtl/>
        </w:rPr>
        <w:t xml:space="preserve"> </w:t>
      </w:r>
      <w:r w:rsidRPr="00F47A06">
        <w:rPr>
          <w:rFonts w:cs="Arial" w:hint="cs"/>
          <w:sz w:val="16"/>
          <w:szCs w:val="16"/>
          <w:rtl/>
        </w:rPr>
        <w:t>(ל' הרשב"א)</w:t>
      </w:r>
      <w:r>
        <w:rPr>
          <w:rFonts w:hint="cs"/>
          <w:rtl/>
        </w:rPr>
        <w:t xml:space="preserve">. </w:t>
      </w:r>
      <w:r w:rsidRPr="00F47A06">
        <w:rPr>
          <w:rFonts w:hint="cs"/>
          <w:color w:val="E36C0A" w:themeColor="accent6" w:themeShade="BF"/>
          <w:rtl/>
        </w:rPr>
        <w:t>(וכ"פ בשו"ע)</w:t>
      </w:r>
    </w:p>
    <w:p w14:paraId="68EBEBD3" w14:textId="77777777" w:rsidR="002C39F4" w:rsidRDefault="002C39F4" w:rsidP="002C39F4">
      <w:pPr>
        <w:rPr>
          <w:rFonts w:cs="Arial"/>
          <w:rtl/>
        </w:rPr>
      </w:pPr>
      <w:r w:rsidRPr="005D13F8">
        <w:rPr>
          <w:rFonts w:cs="Arial" w:hint="cs"/>
          <w:u w:val="single"/>
          <w:rtl/>
        </w:rPr>
        <w:t>חתך עם סכין של בשר לפת ואח"כ חתך עמה סלק/צנון:</w:t>
      </w:r>
    </w:p>
    <w:p w14:paraId="3DC2E714" w14:textId="77777777" w:rsidR="002C39F4" w:rsidRDefault="002C39F4" w:rsidP="0032102C">
      <w:pPr>
        <w:pStyle w:val="a8"/>
        <w:numPr>
          <w:ilvl w:val="0"/>
          <w:numId w:val="137"/>
        </w:numPr>
        <w:rPr>
          <w:rFonts w:cs="Arial"/>
        </w:rPr>
      </w:pPr>
      <w:r w:rsidRPr="005D13F8">
        <w:rPr>
          <w:rFonts w:cs="Arial"/>
          <w:rtl/>
        </w:rPr>
        <w:t xml:space="preserve">סמ"ג </w:t>
      </w:r>
      <w:r w:rsidRPr="00866843">
        <w:rPr>
          <w:rFonts w:cs="Arial"/>
          <w:sz w:val="16"/>
          <w:szCs w:val="16"/>
          <w:rtl/>
        </w:rPr>
        <w:t>(לאוין קמ נג ריש ע"ג</w:t>
      </w:r>
      <w:r w:rsidRPr="00866843">
        <w:rPr>
          <w:rFonts w:cs="Arial" w:hint="cs"/>
          <w:sz w:val="16"/>
          <w:szCs w:val="16"/>
          <w:rtl/>
        </w:rPr>
        <w:t>)</w:t>
      </w:r>
      <w:r>
        <w:rPr>
          <w:rFonts w:cs="Arial" w:hint="cs"/>
          <w:rtl/>
        </w:rPr>
        <w:t xml:space="preserve">- </w:t>
      </w:r>
      <w:r>
        <w:rPr>
          <w:rStyle w:val="a7"/>
          <w:rFonts w:cs="Arial"/>
          <w:rtl/>
        </w:rPr>
        <w:footnoteReference w:id="1716"/>
      </w:r>
      <w:r w:rsidRPr="00D22CCC">
        <w:rPr>
          <w:rFonts w:cs="Arial"/>
          <w:rtl/>
        </w:rPr>
        <w:t xml:space="preserve">ועוד מיקל </w:t>
      </w:r>
      <w:r>
        <w:rPr>
          <w:rFonts w:cs="Arial" w:hint="cs"/>
          <w:sz w:val="16"/>
          <w:szCs w:val="16"/>
          <w:rtl/>
        </w:rPr>
        <w:t xml:space="preserve">{התלמוד} </w:t>
      </w:r>
      <w:r w:rsidRPr="00D22CCC">
        <w:rPr>
          <w:rFonts w:cs="Arial"/>
          <w:rtl/>
        </w:rPr>
        <w:t xml:space="preserve">אם חתך חתך אחד של לפת וחתך אחד של תרדין </w:t>
      </w:r>
      <w:r w:rsidRPr="00F47A06">
        <w:rPr>
          <w:rFonts w:cs="Arial"/>
          <w:b/>
          <w:bCs/>
          <w:rtl/>
        </w:rPr>
        <w:t>וכן</w:t>
      </w:r>
      <w:r w:rsidRPr="00D22CCC">
        <w:rPr>
          <w:rFonts w:cs="Arial"/>
          <w:rtl/>
        </w:rPr>
        <w:t xml:space="preserve"> </w:t>
      </w:r>
      <w:r w:rsidRPr="00D22CCC">
        <w:rPr>
          <w:rFonts w:cs="Arial"/>
          <w:b/>
          <w:bCs/>
          <w:rtl/>
        </w:rPr>
        <w:t>תמיד</w:t>
      </w:r>
      <w:r>
        <w:rPr>
          <w:rFonts w:cs="Arial" w:hint="cs"/>
          <w:rtl/>
        </w:rPr>
        <w:t>,</w:t>
      </w:r>
      <w:r w:rsidRPr="00D22CCC">
        <w:rPr>
          <w:rFonts w:cs="Arial"/>
          <w:rtl/>
        </w:rPr>
        <w:t xml:space="preserve"> לפי שמתיקות הלפת מבטל טעם השמנונית מן הסכין ואין התרדין מקבלין טעם הימנו</w:t>
      </w:r>
      <w:r>
        <w:rPr>
          <w:rStyle w:val="a7"/>
          <w:rFonts w:cs="Arial"/>
          <w:rtl/>
        </w:rPr>
        <w:footnoteReference w:id="1717"/>
      </w:r>
      <w:r>
        <w:rPr>
          <w:rFonts w:cs="Arial" w:hint="cs"/>
          <w:rtl/>
        </w:rPr>
        <w:t>.</w:t>
      </w:r>
      <w:r w:rsidRPr="007B28A0">
        <w:rPr>
          <w:rFonts w:cs="Arial"/>
          <w:color w:val="00B0F0"/>
          <w:rtl/>
        </w:rPr>
        <w:t xml:space="preserve"> </w:t>
      </w:r>
      <w:r w:rsidRPr="007B28A0">
        <w:rPr>
          <w:rFonts w:cs="Arial" w:hint="cs"/>
          <w:color w:val="00B0F0"/>
          <w:rtl/>
        </w:rPr>
        <w:t>(וכ"פ הרמ"א)</w:t>
      </w:r>
    </w:p>
    <w:p w14:paraId="7927B38B" w14:textId="77777777" w:rsidR="002C39F4" w:rsidRDefault="002C39F4" w:rsidP="0032102C">
      <w:pPr>
        <w:pStyle w:val="a8"/>
        <w:numPr>
          <w:ilvl w:val="0"/>
          <w:numId w:val="137"/>
        </w:numPr>
        <w:rPr>
          <w:rFonts w:cs="Arial"/>
        </w:rPr>
      </w:pPr>
      <w:r w:rsidRPr="005D13F8">
        <w:rPr>
          <w:rFonts w:cs="Arial"/>
          <w:rtl/>
        </w:rPr>
        <w:t>רשב"א</w:t>
      </w:r>
      <w:r>
        <w:rPr>
          <w:rFonts w:cs="Arial"/>
          <w:rtl/>
        </w:rPr>
        <w:t xml:space="preserve"> </w:t>
      </w:r>
      <w:r w:rsidRPr="00866843">
        <w:rPr>
          <w:rFonts w:cs="Arial"/>
          <w:sz w:val="16"/>
          <w:szCs w:val="16"/>
          <w:rtl/>
        </w:rPr>
        <w:t>(</w:t>
      </w:r>
      <w:r w:rsidRPr="00866843">
        <w:rPr>
          <w:rFonts w:cs="Arial" w:hint="cs"/>
          <w:sz w:val="16"/>
          <w:szCs w:val="16"/>
          <w:rtl/>
        </w:rPr>
        <w:t>תוה"ק</w:t>
      </w:r>
      <w:r w:rsidRPr="00866843">
        <w:rPr>
          <w:rFonts w:cs="Arial"/>
          <w:sz w:val="16"/>
          <w:szCs w:val="16"/>
          <w:rtl/>
        </w:rPr>
        <w:t xml:space="preserve"> שם ד.)</w:t>
      </w:r>
      <w:r>
        <w:rPr>
          <w:rFonts w:cs="Arial" w:hint="cs"/>
          <w:rtl/>
        </w:rPr>
        <w:t>-</w:t>
      </w:r>
      <w:r w:rsidRPr="005D13F8">
        <w:rPr>
          <w:rFonts w:cs="Arial"/>
          <w:rtl/>
        </w:rPr>
        <w:t xml:space="preserve"> </w:t>
      </w:r>
      <w:r>
        <w:rPr>
          <w:rStyle w:val="a7"/>
          <w:rFonts w:cs="Arial"/>
          <w:rtl/>
        </w:rPr>
        <w:footnoteReference w:id="1718"/>
      </w:r>
      <w:r w:rsidRPr="005D13F8">
        <w:rPr>
          <w:rFonts w:cs="Arial"/>
          <w:rtl/>
        </w:rPr>
        <w:t>חתך בו סילקא אסור כצנון</w:t>
      </w:r>
      <w:r>
        <w:rPr>
          <w:rFonts w:cs="Arial" w:hint="cs"/>
          <w:rtl/>
        </w:rPr>
        <w:t>,</w:t>
      </w:r>
      <w:r w:rsidRPr="005D13F8">
        <w:rPr>
          <w:rFonts w:cs="Arial"/>
          <w:rtl/>
        </w:rPr>
        <w:t xml:space="preserve"> א</w:t>
      </w:r>
      <w:r w:rsidRPr="005D13F8">
        <w:rPr>
          <w:rFonts w:cs="Arial" w:hint="cs"/>
          <w:rtl/>
        </w:rPr>
        <w:t>ע"</w:t>
      </w:r>
      <w:r w:rsidRPr="005D13F8">
        <w:rPr>
          <w:rFonts w:cs="Arial"/>
          <w:rtl/>
        </w:rPr>
        <w:t>פ שאינה חריפה כצנון משיכה יש לה בטבעה</w:t>
      </w:r>
      <w:r>
        <w:rPr>
          <w:rFonts w:cs="Arial" w:hint="cs"/>
          <w:rtl/>
        </w:rPr>
        <w:t>,</w:t>
      </w:r>
      <w:r w:rsidRPr="005D13F8">
        <w:rPr>
          <w:rFonts w:cs="Arial"/>
          <w:rtl/>
        </w:rPr>
        <w:t xml:space="preserve"> ואם עירב בחתיכה לפתות אינה צריכה רק הדחה</w:t>
      </w:r>
      <w:r>
        <w:rPr>
          <w:rFonts w:cs="Arial" w:hint="cs"/>
          <w:rtl/>
        </w:rPr>
        <w:t>,</w:t>
      </w:r>
      <w:r w:rsidRPr="005D13F8">
        <w:rPr>
          <w:rFonts w:cs="Arial"/>
          <w:rtl/>
        </w:rPr>
        <w:t xml:space="preserve"> כלפתות</w:t>
      </w:r>
      <w:r>
        <w:rPr>
          <w:rFonts w:cs="Arial" w:hint="cs"/>
          <w:rtl/>
        </w:rPr>
        <w:t>,</w:t>
      </w:r>
      <w:r w:rsidRPr="005D13F8">
        <w:rPr>
          <w:rFonts w:cs="Arial"/>
          <w:rtl/>
        </w:rPr>
        <w:t xml:space="preserve"> לפי שהלפתות מתוקים הרבה ומונעים במתיקותם כח המשיכה מן </w:t>
      </w:r>
      <w:r w:rsidRPr="00F47A06">
        <w:rPr>
          <w:rFonts w:cs="Arial"/>
          <w:b/>
          <w:bCs/>
          <w:rtl/>
        </w:rPr>
        <w:t>הסילקא</w:t>
      </w:r>
      <w:r w:rsidRPr="005D13F8">
        <w:rPr>
          <w:rFonts w:cs="Arial"/>
          <w:rtl/>
        </w:rPr>
        <w:t xml:space="preserve"> ולפיכך מדיח ודיו</w:t>
      </w:r>
      <w:r>
        <w:rPr>
          <w:rStyle w:val="a7"/>
          <w:rFonts w:cs="Arial"/>
          <w:rtl/>
        </w:rPr>
        <w:footnoteReference w:id="1719"/>
      </w:r>
      <w:r>
        <w:rPr>
          <w:rFonts w:cs="Arial" w:hint="cs"/>
          <w:rtl/>
        </w:rPr>
        <w:t>.</w:t>
      </w:r>
      <w:r w:rsidRPr="005D13F8">
        <w:rPr>
          <w:rFonts w:cs="Arial"/>
          <w:rtl/>
        </w:rPr>
        <w:t xml:space="preserve"> </w:t>
      </w:r>
    </w:p>
    <w:p w14:paraId="031FCE11" w14:textId="77777777" w:rsidR="002C39F4" w:rsidRPr="00866843" w:rsidRDefault="002C39F4" w:rsidP="0032102C">
      <w:pPr>
        <w:pStyle w:val="a8"/>
        <w:numPr>
          <w:ilvl w:val="0"/>
          <w:numId w:val="137"/>
        </w:numPr>
        <w:rPr>
          <w:rFonts w:cs="Arial"/>
          <w:rtl/>
        </w:rPr>
      </w:pPr>
      <w:r w:rsidRPr="00866843">
        <w:rPr>
          <w:rFonts w:cs="Arial"/>
          <w:rtl/>
        </w:rPr>
        <w:t>ס</w:t>
      </w:r>
      <w:r w:rsidRPr="00866843">
        <w:rPr>
          <w:rFonts w:cs="Arial" w:hint="cs"/>
          <w:rtl/>
        </w:rPr>
        <w:t>ה"ת</w:t>
      </w:r>
      <w:r w:rsidRPr="00866843">
        <w:rPr>
          <w:rFonts w:cs="Arial"/>
          <w:rtl/>
        </w:rPr>
        <w:t xml:space="preserve"> </w:t>
      </w:r>
      <w:r w:rsidRPr="00866843">
        <w:rPr>
          <w:rFonts w:cs="Arial"/>
          <w:sz w:val="16"/>
          <w:szCs w:val="16"/>
          <w:rtl/>
        </w:rPr>
        <w:t xml:space="preserve">(סי' ס) </w:t>
      </w:r>
      <w:r w:rsidRPr="00866843">
        <w:rPr>
          <w:rFonts w:cs="Arial"/>
          <w:rtl/>
        </w:rPr>
        <w:t>שע</w:t>
      </w:r>
      <w:r w:rsidRPr="00866843">
        <w:rPr>
          <w:rFonts w:cs="Arial" w:hint="cs"/>
          <w:rtl/>
        </w:rPr>
        <w:t>"</w:t>
      </w:r>
      <w:r w:rsidRPr="00866843">
        <w:rPr>
          <w:rFonts w:cs="Arial"/>
          <w:rtl/>
        </w:rPr>
        <w:t xml:space="preserve">ד </w:t>
      </w:r>
      <w:r w:rsidRPr="00866843">
        <w:rPr>
          <w:rFonts w:cs="Arial"/>
          <w:sz w:val="16"/>
          <w:szCs w:val="16"/>
          <w:rtl/>
        </w:rPr>
        <w:t xml:space="preserve">(סי' סא) </w:t>
      </w:r>
      <w:r w:rsidRPr="00866843">
        <w:rPr>
          <w:rFonts w:cs="Arial" w:hint="cs"/>
          <w:rtl/>
        </w:rPr>
        <w:t>וטור-</w:t>
      </w:r>
      <w:r w:rsidRPr="00866843">
        <w:rPr>
          <w:rFonts w:cs="Arial"/>
          <w:rtl/>
        </w:rPr>
        <w:t xml:space="preserve"> </w:t>
      </w:r>
      <w:r w:rsidRPr="00FE1144">
        <w:rPr>
          <w:rFonts w:cs="Arial"/>
          <w:rtl/>
        </w:rPr>
        <w:t>אם חתך בו לפת</w:t>
      </w:r>
      <w:r>
        <w:rPr>
          <w:rFonts w:cs="Arial" w:hint="cs"/>
          <w:rtl/>
        </w:rPr>
        <w:t>,</w:t>
      </w:r>
      <w:r w:rsidRPr="00FE1144">
        <w:rPr>
          <w:rFonts w:cs="Arial"/>
          <w:rtl/>
        </w:rPr>
        <w:t xml:space="preserve"> אפי' צנון שחתך אחרי הלפת שרי בהדחה כמו הלפת</w:t>
      </w:r>
      <w:r>
        <w:rPr>
          <w:rFonts w:cs="Arial" w:hint="cs"/>
          <w:rtl/>
        </w:rPr>
        <w:t>...</w:t>
      </w:r>
      <w:r w:rsidRPr="00FE1144">
        <w:rPr>
          <w:rFonts w:cs="Arial"/>
          <w:rtl/>
        </w:rPr>
        <w:t xml:space="preserve"> לפי שטעם הלפת משונה ומבטל טע</w:t>
      </w:r>
      <w:r>
        <w:rPr>
          <w:rFonts w:cs="Arial"/>
          <w:rtl/>
        </w:rPr>
        <w:t>ם הנפלט מהסכין</w:t>
      </w:r>
      <w:r>
        <w:rPr>
          <w:rFonts w:cs="Arial" w:hint="cs"/>
          <w:rtl/>
        </w:rPr>
        <w:t>...</w:t>
      </w:r>
      <w:r w:rsidRPr="00FE1144">
        <w:rPr>
          <w:rFonts w:cs="Arial"/>
          <w:rtl/>
        </w:rPr>
        <w:t xml:space="preserve"> </w:t>
      </w:r>
      <w:r>
        <w:rPr>
          <w:rFonts w:cs="Arial" w:hint="cs"/>
          <w:rtl/>
        </w:rPr>
        <w:t>ו</w:t>
      </w:r>
      <w:r w:rsidRPr="00FE1144">
        <w:rPr>
          <w:rFonts w:cs="Arial"/>
          <w:rtl/>
        </w:rPr>
        <w:t>דוקא לפת</w:t>
      </w:r>
      <w:r>
        <w:rPr>
          <w:rFonts w:cs="Arial" w:hint="cs"/>
          <w:rtl/>
        </w:rPr>
        <w:t>,</w:t>
      </w:r>
      <w:r w:rsidRPr="00FE1144">
        <w:rPr>
          <w:rFonts w:cs="Arial"/>
          <w:rtl/>
        </w:rPr>
        <w:t xml:space="preserve"> אבל חתך בו לחם או ירק או פרי אחר אסור לחתוך בו אח"כ צנון או פרי או ירק חריף שרוצה לאכול עם חלב</w:t>
      </w:r>
      <w:r>
        <w:rPr>
          <w:rFonts w:cs="Arial" w:hint="cs"/>
          <w:sz w:val="16"/>
          <w:szCs w:val="16"/>
          <w:rtl/>
        </w:rPr>
        <w:t xml:space="preserve"> (ל' הטור)</w:t>
      </w:r>
      <w:r>
        <w:rPr>
          <w:rFonts w:cs="Arial" w:hint="cs"/>
          <w:rtl/>
        </w:rPr>
        <w:t>.</w:t>
      </w:r>
      <w:r w:rsidRPr="007B28A0">
        <w:rPr>
          <w:rFonts w:cs="Arial"/>
          <w:color w:val="00B0F0"/>
          <w:rtl/>
        </w:rPr>
        <w:t xml:space="preserve"> </w:t>
      </w:r>
      <w:r w:rsidRPr="00C940D8">
        <w:rPr>
          <w:rFonts w:cs="Arial" w:hint="cs"/>
          <w:color w:val="E36C0A" w:themeColor="accent6" w:themeShade="BF"/>
          <w:rtl/>
        </w:rPr>
        <w:t xml:space="preserve">(וכ"פ בשו"ע) </w:t>
      </w:r>
      <w:r w:rsidRPr="007B28A0">
        <w:rPr>
          <w:rFonts w:cs="Arial" w:hint="cs"/>
          <w:color w:val="00B0F0"/>
          <w:rtl/>
        </w:rPr>
        <w:t>(וכ"פ הרמ"א)</w:t>
      </w:r>
    </w:p>
    <w:p w14:paraId="76310B4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28BCB30" w14:textId="77777777" w:rsidR="002C39F4" w:rsidRDefault="002C39F4" w:rsidP="002C39F4">
      <w:pPr>
        <w:rPr>
          <w:rFonts w:asciiTheme="minorBidi" w:hAnsiTheme="minorBidi"/>
          <w:rtl/>
        </w:rPr>
      </w:pPr>
      <w:r>
        <w:rPr>
          <w:rFonts w:asciiTheme="minorBidi" w:hAnsiTheme="minorBidi"/>
          <w:rtl/>
        </w:rPr>
        <w:t>חתך קישואים בסכין של בשר מותר לאכלם בחלב בגרידה בלבד</w:t>
      </w:r>
      <w:r w:rsidRPr="003024E5">
        <w:rPr>
          <w:rFonts w:asciiTheme="minorBidi" w:hAnsiTheme="minorBidi"/>
          <w:rtl/>
        </w:rPr>
        <w:t xml:space="preserve"> שיגרוד ממ</w:t>
      </w:r>
      <w:r>
        <w:rPr>
          <w:rFonts w:asciiTheme="minorBidi" w:hAnsiTheme="minorBidi"/>
          <w:rtl/>
        </w:rPr>
        <w:t>קום החתך</w:t>
      </w:r>
      <w:r>
        <w:rPr>
          <w:rFonts w:asciiTheme="minorBidi" w:hAnsiTheme="minorBidi" w:hint="cs"/>
          <w:rtl/>
        </w:rPr>
        <w:t>,</w:t>
      </w:r>
      <w:r>
        <w:rPr>
          <w:rFonts w:asciiTheme="minorBidi" w:hAnsiTheme="minorBidi"/>
          <w:rtl/>
        </w:rPr>
        <w:t xml:space="preserve"> ואם חתך בו לפת</w:t>
      </w:r>
      <w:r>
        <w:rPr>
          <w:rStyle w:val="a7"/>
          <w:rFonts w:asciiTheme="minorBidi" w:hAnsiTheme="minorBidi"/>
          <w:rtl/>
        </w:rPr>
        <w:footnoteReference w:id="1720"/>
      </w:r>
      <w:r>
        <w:rPr>
          <w:rFonts w:asciiTheme="minorBidi" w:hAnsiTheme="minorBidi"/>
          <w:rtl/>
        </w:rPr>
        <w:t xml:space="preserve"> אפילו גרידה אינו צריך אלא הדחה בעלמא</w:t>
      </w:r>
      <w:r>
        <w:rPr>
          <w:rFonts w:asciiTheme="minorBidi" w:hAnsiTheme="minorBidi" w:hint="cs"/>
          <w:rtl/>
        </w:rPr>
        <w:t>,</w:t>
      </w:r>
      <w:r w:rsidRPr="003024E5">
        <w:rPr>
          <w:rFonts w:asciiTheme="minorBidi" w:hAnsiTheme="minorBidi"/>
          <w:rtl/>
        </w:rPr>
        <w:t xml:space="preserve"> ולא ע</w:t>
      </w:r>
      <w:r>
        <w:rPr>
          <w:rFonts w:asciiTheme="minorBidi" w:hAnsiTheme="minorBidi"/>
          <w:rtl/>
        </w:rPr>
        <w:t>וד אלא אפילו צנון שחתך אחר הלפת</w:t>
      </w:r>
      <w:r w:rsidRPr="003024E5">
        <w:rPr>
          <w:rFonts w:asciiTheme="minorBidi" w:hAnsiTheme="minorBidi"/>
          <w:rtl/>
        </w:rPr>
        <w:t xml:space="preserve"> שרי</w:t>
      </w:r>
      <w:r>
        <w:rPr>
          <w:rStyle w:val="a7"/>
          <w:rFonts w:asciiTheme="minorBidi" w:hAnsiTheme="minorBidi"/>
          <w:rtl/>
        </w:rPr>
        <w:footnoteReference w:id="1721"/>
      </w:r>
      <w:r w:rsidRPr="003024E5">
        <w:rPr>
          <w:rFonts w:asciiTheme="minorBidi" w:hAnsiTheme="minorBidi"/>
          <w:rtl/>
        </w:rPr>
        <w:t xml:space="preserve"> בהדחה כמו הלפת, לפי שטעם הלפת משונה ומבטל טעם הנפלט מהסכין. </w:t>
      </w:r>
      <w:r>
        <w:rPr>
          <w:rFonts w:asciiTheme="minorBidi" w:hAnsiTheme="minorBidi"/>
          <w:sz w:val="18"/>
          <w:szCs w:val="18"/>
          <w:rtl/>
        </w:rPr>
        <w:t>הגה: ודוקא לפת</w:t>
      </w:r>
      <w:r>
        <w:rPr>
          <w:rFonts w:asciiTheme="minorBidi" w:hAnsiTheme="minorBidi" w:hint="cs"/>
          <w:sz w:val="18"/>
          <w:szCs w:val="18"/>
          <w:rtl/>
        </w:rPr>
        <w:t>,</w:t>
      </w:r>
      <w:r w:rsidRPr="00085E47">
        <w:rPr>
          <w:rFonts w:asciiTheme="minorBidi" w:hAnsiTheme="minorBidi"/>
          <w:sz w:val="18"/>
          <w:szCs w:val="18"/>
          <w:rtl/>
        </w:rPr>
        <w:t xml:space="preserve"> שטעמו מ</w:t>
      </w:r>
      <w:r>
        <w:rPr>
          <w:rFonts w:asciiTheme="minorBidi" w:hAnsiTheme="minorBidi"/>
          <w:sz w:val="18"/>
          <w:szCs w:val="18"/>
          <w:rtl/>
        </w:rPr>
        <w:t>שונה, אבל ירק או לחם ושאר דברים לא</w:t>
      </w:r>
      <w:r>
        <w:rPr>
          <w:rFonts w:asciiTheme="minorBidi" w:hAnsiTheme="minorBidi" w:hint="cs"/>
          <w:sz w:val="18"/>
          <w:szCs w:val="18"/>
          <w:rtl/>
        </w:rPr>
        <w:t xml:space="preserve"> (סה"ת שע"ד וטור),</w:t>
      </w:r>
      <w:r w:rsidRPr="00085E47">
        <w:rPr>
          <w:rFonts w:asciiTheme="minorBidi" w:hAnsiTheme="minorBidi"/>
          <w:sz w:val="18"/>
          <w:szCs w:val="18"/>
          <w:rtl/>
        </w:rPr>
        <w:t xml:space="preserve"> ואפילו בלפת אין להתיר לחתוך צ</w:t>
      </w:r>
      <w:r>
        <w:rPr>
          <w:rFonts w:asciiTheme="minorBidi" w:hAnsiTheme="minorBidi"/>
          <w:sz w:val="18"/>
          <w:szCs w:val="18"/>
          <w:rtl/>
        </w:rPr>
        <w:t>נון רק פעם אחת</w:t>
      </w:r>
      <w:r w:rsidRPr="00085E47">
        <w:rPr>
          <w:rFonts w:asciiTheme="minorBidi" w:hAnsiTheme="minorBidi"/>
          <w:sz w:val="18"/>
          <w:szCs w:val="18"/>
          <w:rtl/>
        </w:rPr>
        <w:t xml:space="preserve"> אבל לא הרבה פעמים, אם לא שחתך כל פעם לפת בין חתיכת צנון לצנון (ב"י בשם סמ"ג).</w:t>
      </w:r>
    </w:p>
    <w:p w14:paraId="57FEDA29" w14:textId="77777777" w:rsidR="002C39F4" w:rsidRPr="003024E5" w:rsidRDefault="002C39F4" w:rsidP="002C39F4">
      <w:pPr>
        <w:rPr>
          <w:rFonts w:asciiTheme="minorBidi" w:hAnsiTheme="minorBidi"/>
          <w:rtl/>
        </w:rPr>
      </w:pPr>
    </w:p>
    <w:p w14:paraId="67043C0C" w14:textId="77777777" w:rsidR="002C39F4" w:rsidRPr="003024E5" w:rsidRDefault="002C39F4" w:rsidP="002C39F4">
      <w:pPr>
        <w:rPr>
          <w:rFonts w:asciiTheme="minorBidi" w:hAnsiTheme="minorBidi"/>
          <w:rtl/>
        </w:rPr>
      </w:pPr>
    </w:p>
    <w:p w14:paraId="28807A71" w14:textId="77777777" w:rsidR="002C39F4" w:rsidRPr="003024E5" w:rsidRDefault="002C39F4" w:rsidP="002C39F4">
      <w:pPr>
        <w:rPr>
          <w:rFonts w:asciiTheme="minorBidi" w:hAnsiTheme="minorBidi"/>
          <w:rtl/>
        </w:rPr>
      </w:pPr>
    </w:p>
    <w:p w14:paraId="63E611F9" w14:textId="77777777" w:rsidR="002C39F4" w:rsidRPr="003024E5" w:rsidRDefault="002C39F4" w:rsidP="002C39F4">
      <w:pPr>
        <w:rPr>
          <w:rFonts w:asciiTheme="minorBidi" w:hAnsiTheme="minorBidi"/>
          <w:rtl/>
        </w:rPr>
      </w:pPr>
    </w:p>
    <w:p w14:paraId="0C4C5DE5" w14:textId="77777777" w:rsidR="002C39F4" w:rsidRPr="003024E5" w:rsidRDefault="002C39F4" w:rsidP="002C39F4">
      <w:pPr>
        <w:rPr>
          <w:rFonts w:asciiTheme="minorBidi" w:hAnsiTheme="minorBidi"/>
          <w:rtl/>
        </w:rPr>
      </w:pPr>
    </w:p>
    <w:p w14:paraId="68BAC4E6" w14:textId="77777777" w:rsidR="002C39F4" w:rsidRPr="003024E5" w:rsidRDefault="002C39F4" w:rsidP="002C39F4">
      <w:pPr>
        <w:rPr>
          <w:rFonts w:asciiTheme="minorBidi" w:hAnsiTheme="minorBidi"/>
          <w:rtl/>
        </w:rPr>
      </w:pPr>
    </w:p>
    <w:p w14:paraId="602099EC" w14:textId="77777777" w:rsidR="002C39F4" w:rsidRPr="003024E5" w:rsidRDefault="002C39F4" w:rsidP="002C39F4">
      <w:pPr>
        <w:rPr>
          <w:rFonts w:asciiTheme="minorBidi" w:hAnsiTheme="minorBidi"/>
          <w:rtl/>
        </w:rPr>
      </w:pPr>
    </w:p>
    <w:p w14:paraId="5DBDE1ED"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58913037"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צז: שלא ללוש עיסה בחלב, ובו ג' סעיפים. </w:t>
      </w:r>
    </w:p>
    <w:p w14:paraId="54F39621"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לישת עיסה בחלב.</w:t>
      </w:r>
    </w:p>
    <w:p w14:paraId="1FD35C43" w14:textId="77777777" w:rsidR="002C39F4" w:rsidRPr="00EF3A71" w:rsidRDefault="002C39F4" w:rsidP="002C39F4">
      <w:pPr>
        <w:rPr>
          <w:rFonts w:cs="Arial"/>
          <w:rtl/>
        </w:rPr>
      </w:pPr>
      <w:r>
        <w:rPr>
          <w:rFonts w:cs="Arial" w:hint="cs"/>
          <w:b/>
          <w:bCs/>
          <w:rtl/>
        </w:rPr>
        <w:t xml:space="preserve">פסחים לו ע"א: </w:t>
      </w:r>
      <w:r w:rsidRPr="00845D21">
        <w:rPr>
          <w:rFonts w:cs="Arial"/>
          <w:u w:val="single"/>
          <w:rtl/>
        </w:rPr>
        <w:t>אמר להו רבי יהושע לבניה</w:t>
      </w:r>
      <w:r w:rsidRPr="001C6E7B">
        <w:rPr>
          <w:rFonts w:cs="Arial"/>
          <w:rtl/>
        </w:rPr>
        <w:t>: יומא קמא</w:t>
      </w:r>
      <w:r>
        <w:rPr>
          <w:rStyle w:val="a7"/>
          <w:rFonts w:cs="Arial"/>
          <w:rtl/>
        </w:rPr>
        <w:footnoteReference w:id="1722"/>
      </w:r>
      <w:r w:rsidRPr="001C6E7B">
        <w:rPr>
          <w:rFonts w:cs="Arial"/>
          <w:rtl/>
        </w:rPr>
        <w:t xml:space="preserve"> לא תלושו לי ב</w:t>
      </w:r>
      <w:r>
        <w:rPr>
          <w:rFonts w:cs="Arial"/>
          <w:rtl/>
        </w:rPr>
        <w:t>חלבא</w:t>
      </w:r>
      <w:r>
        <w:rPr>
          <w:rFonts w:cs="Arial" w:hint="cs"/>
          <w:rtl/>
        </w:rPr>
        <w:t>,</w:t>
      </w:r>
      <w:r>
        <w:rPr>
          <w:rFonts w:cs="Arial"/>
          <w:rtl/>
        </w:rPr>
        <w:t xml:space="preserve"> מכאן ואילך לושו לי בחלבא. והתניא</w:t>
      </w:r>
      <w:r w:rsidRPr="001C6E7B">
        <w:rPr>
          <w:rFonts w:cs="Arial"/>
          <w:rtl/>
        </w:rPr>
        <w:t xml:space="preserve"> </w:t>
      </w:r>
      <w:r>
        <w:rPr>
          <w:rFonts w:cs="Arial"/>
          <w:rtl/>
        </w:rPr>
        <w:t>אין לשין את העיסה בחלב</w:t>
      </w:r>
      <w:r>
        <w:rPr>
          <w:rStyle w:val="a7"/>
          <w:rFonts w:cs="Arial"/>
          <w:rtl/>
        </w:rPr>
        <w:footnoteReference w:id="1723"/>
      </w:r>
      <w:r>
        <w:rPr>
          <w:rFonts w:cs="Arial" w:hint="cs"/>
          <w:rtl/>
        </w:rPr>
        <w:t>,</w:t>
      </w:r>
      <w:r>
        <w:rPr>
          <w:rFonts w:cs="Arial"/>
          <w:rtl/>
        </w:rPr>
        <w:t xml:space="preserve"> ואם לש כל הפת אסורה</w:t>
      </w:r>
      <w:r>
        <w:rPr>
          <w:rStyle w:val="a7"/>
          <w:rFonts w:cs="Arial"/>
          <w:rtl/>
        </w:rPr>
        <w:footnoteReference w:id="1724"/>
      </w:r>
      <w:r>
        <w:rPr>
          <w:rFonts w:cs="Arial"/>
          <w:rtl/>
        </w:rPr>
        <w:t xml:space="preserve"> מפני הרגל עבירה!</w:t>
      </w:r>
      <w:r w:rsidRPr="001C6E7B">
        <w:rPr>
          <w:rFonts w:cs="Arial"/>
          <w:rtl/>
        </w:rPr>
        <w:t xml:space="preserve"> אלא הכי קאמר: יומא קמא </w:t>
      </w:r>
      <w:r>
        <w:rPr>
          <w:rFonts w:cs="Arial"/>
          <w:rtl/>
        </w:rPr>
        <w:t>לא תלושו לי בדובשא</w:t>
      </w:r>
      <w:r>
        <w:rPr>
          <w:rFonts w:cs="Arial" w:hint="cs"/>
          <w:rtl/>
        </w:rPr>
        <w:t>,</w:t>
      </w:r>
      <w:r>
        <w:rPr>
          <w:rFonts w:cs="Arial"/>
          <w:rtl/>
        </w:rPr>
        <w:t xml:space="preserve"> מכאן ואילך לושו לי בדובשא. </w:t>
      </w:r>
      <w:r w:rsidRPr="001C6E7B">
        <w:rPr>
          <w:rFonts w:cs="Arial"/>
          <w:rtl/>
        </w:rPr>
        <w:t xml:space="preserve">ואיבעית אימא: לעולם בחלבא, כדאמר רבינא: כעין תורא שרי, הכא נמי: כעין תורא. </w:t>
      </w:r>
      <w:r>
        <w:rPr>
          <w:rFonts w:cs="Arial" w:hint="cs"/>
          <w:sz w:val="16"/>
          <w:szCs w:val="16"/>
          <w:rtl/>
        </w:rPr>
        <w:t xml:space="preserve">(ופירש רש"י כעין תורא- </w:t>
      </w:r>
      <w:r w:rsidRPr="00D064DC">
        <w:rPr>
          <w:rFonts w:cs="Arial"/>
          <w:sz w:val="16"/>
          <w:szCs w:val="16"/>
          <w:rtl/>
        </w:rPr>
        <w:t>מעט</w:t>
      </w:r>
      <w:r>
        <w:rPr>
          <w:rFonts w:cs="Arial" w:hint="cs"/>
          <w:sz w:val="16"/>
          <w:szCs w:val="16"/>
          <w:rtl/>
        </w:rPr>
        <w:t>,</w:t>
      </w:r>
      <w:r w:rsidRPr="00D064DC">
        <w:rPr>
          <w:rFonts w:cs="Arial"/>
          <w:sz w:val="16"/>
          <w:szCs w:val="16"/>
          <w:rtl/>
        </w:rPr>
        <w:t xml:space="preserve"> כעין של שור</w:t>
      </w:r>
      <w:r>
        <w:rPr>
          <w:rFonts w:cs="Arial" w:hint="cs"/>
          <w:sz w:val="16"/>
          <w:szCs w:val="16"/>
          <w:rtl/>
        </w:rPr>
        <w:t>,</w:t>
      </w:r>
      <w:r>
        <w:rPr>
          <w:rFonts w:cs="Arial"/>
          <w:sz w:val="16"/>
          <w:szCs w:val="16"/>
          <w:rtl/>
        </w:rPr>
        <w:t xml:space="preserve"> מותר ללוש בחלב</w:t>
      </w:r>
      <w:r>
        <w:rPr>
          <w:rFonts w:cs="Arial" w:hint="cs"/>
          <w:sz w:val="16"/>
          <w:szCs w:val="16"/>
          <w:rtl/>
        </w:rPr>
        <w:t>,</w:t>
      </w:r>
      <w:r>
        <w:rPr>
          <w:rFonts w:cs="Arial"/>
          <w:sz w:val="16"/>
          <w:szCs w:val="16"/>
          <w:rtl/>
        </w:rPr>
        <w:t xml:space="preserve"> דאכיל ליה מיד בבת אחת</w:t>
      </w:r>
      <w:r>
        <w:rPr>
          <w:rFonts w:cs="Arial" w:hint="cs"/>
          <w:sz w:val="16"/>
          <w:szCs w:val="16"/>
          <w:rtl/>
        </w:rPr>
        <w:t>,</w:t>
      </w:r>
      <w:r w:rsidRPr="00D064DC">
        <w:rPr>
          <w:rFonts w:cs="Arial"/>
          <w:sz w:val="16"/>
          <w:szCs w:val="16"/>
          <w:rtl/>
        </w:rPr>
        <w:t xml:space="preserve"> ולא משהי ליה דלינשי שנילוש בחלב.</w:t>
      </w:r>
      <w:r w:rsidRPr="00D064DC">
        <w:rPr>
          <w:rFonts w:cs="Arial" w:hint="cs"/>
          <w:sz w:val="16"/>
          <w:szCs w:val="16"/>
          <w:rtl/>
        </w:rPr>
        <w:t xml:space="preserve"> אך הרי"ף </w:t>
      </w:r>
      <w:r w:rsidRPr="00FB04EF">
        <w:rPr>
          <w:rFonts w:cs="Arial" w:hint="cs"/>
          <w:sz w:val="14"/>
          <w:szCs w:val="14"/>
          <w:rtl/>
        </w:rPr>
        <w:t>(</w:t>
      </w:r>
      <w:r w:rsidRPr="00FB04EF">
        <w:rPr>
          <w:rFonts w:cs="Arial"/>
          <w:sz w:val="14"/>
          <w:szCs w:val="14"/>
          <w:rtl/>
        </w:rPr>
        <w:t>פ</w:t>
      </w:r>
      <w:r w:rsidRPr="00FB04EF">
        <w:rPr>
          <w:rFonts w:cs="Arial" w:hint="cs"/>
          <w:sz w:val="14"/>
          <w:szCs w:val="14"/>
          <w:rtl/>
        </w:rPr>
        <w:t xml:space="preserve">כ"ה </w:t>
      </w:r>
      <w:r w:rsidRPr="00FB04EF">
        <w:rPr>
          <w:rFonts w:cs="Arial"/>
          <w:sz w:val="14"/>
          <w:szCs w:val="14"/>
          <w:rtl/>
        </w:rPr>
        <w:t>לח.)</w:t>
      </w:r>
      <w:r w:rsidRPr="00FB04EF">
        <w:rPr>
          <w:rFonts w:cs="Arial" w:hint="cs"/>
          <w:sz w:val="14"/>
          <w:szCs w:val="14"/>
          <w:rtl/>
        </w:rPr>
        <w:t xml:space="preserve"> </w:t>
      </w:r>
      <w:r w:rsidRPr="00D064DC">
        <w:rPr>
          <w:rFonts w:cs="Arial" w:hint="cs"/>
          <w:sz w:val="16"/>
          <w:szCs w:val="16"/>
          <w:rtl/>
        </w:rPr>
        <w:t xml:space="preserve">פירש- </w:t>
      </w:r>
      <w:r w:rsidRPr="00D064DC">
        <w:rPr>
          <w:rFonts w:cs="Arial"/>
          <w:sz w:val="16"/>
          <w:szCs w:val="16"/>
          <w:rtl/>
        </w:rPr>
        <w:t>שעשה בהן שינוי</w:t>
      </w:r>
      <w:r w:rsidRPr="00D064DC">
        <w:rPr>
          <w:rFonts w:cs="Arial" w:hint="cs"/>
          <w:sz w:val="16"/>
          <w:szCs w:val="16"/>
          <w:rtl/>
        </w:rPr>
        <w:t>,</w:t>
      </w:r>
      <w:r w:rsidRPr="00D064DC">
        <w:rPr>
          <w:rFonts w:cs="Arial"/>
          <w:sz w:val="16"/>
          <w:szCs w:val="16"/>
          <w:rtl/>
        </w:rPr>
        <w:t xml:space="preserve"> פירוש צורות כעין השור וכיוצא בו שמתוך כך יזכור שיש בה חלב</w:t>
      </w:r>
      <w:r w:rsidRPr="00D064DC">
        <w:rPr>
          <w:rFonts w:cs="Arial" w:hint="cs"/>
          <w:sz w:val="16"/>
          <w:szCs w:val="16"/>
          <w:rtl/>
        </w:rPr>
        <w:t xml:space="preserve">. </w:t>
      </w:r>
      <w:r w:rsidRPr="00D064DC">
        <w:rPr>
          <w:rFonts w:cs="Arial"/>
          <w:sz w:val="16"/>
          <w:szCs w:val="16"/>
          <w:rtl/>
        </w:rPr>
        <w:t>וכן</w:t>
      </w:r>
      <w:r w:rsidRPr="00D064DC">
        <w:rPr>
          <w:rFonts w:cs="Arial" w:hint="cs"/>
          <w:sz w:val="16"/>
          <w:szCs w:val="16"/>
          <w:rtl/>
        </w:rPr>
        <w:t xml:space="preserve"> פירש</w:t>
      </w:r>
      <w:r w:rsidRPr="00D064DC">
        <w:rPr>
          <w:rFonts w:cs="Arial"/>
          <w:sz w:val="16"/>
          <w:szCs w:val="16"/>
          <w:rtl/>
        </w:rPr>
        <w:t xml:space="preserve"> הרמב"ם </w:t>
      </w:r>
      <w:r w:rsidRPr="00FB04EF">
        <w:rPr>
          <w:rFonts w:cs="Arial"/>
          <w:sz w:val="14"/>
          <w:szCs w:val="14"/>
          <w:rtl/>
        </w:rPr>
        <w:t>(</w:t>
      </w:r>
      <w:r w:rsidRPr="00FB04EF">
        <w:rPr>
          <w:rFonts w:cs="Arial" w:hint="cs"/>
          <w:sz w:val="14"/>
          <w:szCs w:val="14"/>
          <w:rtl/>
        </w:rPr>
        <w:t xml:space="preserve">פ"ט </w:t>
      </w:r>
      <w:r w:rsidRPr="00FB04EF">
        <w:rPr>
          <w:rFonts w:cs="Arial"/>
          <w:sz w:val="14"/>
          <w:szCs w:val="14"/>
          <w:rtl/>
        </w:rPr>
        <w:t>הכ"ב)</w:t>
      </w:r>
      <w:r w:rsidRPr="00D064DC">
        <w:rPr>
          <w:rFonts w:cs="Arial" w:hint="cs"/>
          <w:sz w:val="16"/>
          <w:szCs w:val="16"/>
          <w:rtl/>
        </w:rPr>
        <w:t>.</w:t>
      </w:r>
      <w:r w:rsidRPr="00D064DC">
        <w:rPr>
          <w:rFonts w:cs="Arial"/>
          <w:sz w:val="16"/>
          <w:szCs w:val="16"/>
          <w:rtl/>
        </w:rPr>
        <w:t xml:space="preserve"> והרשב"א </w:t>
      </w:r>
      <w:r w:rsidRPr="00FB04EF">
        <w:rPr>
          <w:rFonts w:cs="Arial"/>
          <w:sz w:val="14"/>
          <w:szCs w:val="14"/>
          <w:rtl/>
        </w:rPr>
        <w:t xml:space="preserve">(תוה"ק ב"ג ש"ד פו.) </w:t>
      </w:r>
      <w:r w:rsidRPr="00D064DC">
        <w:rPr>
          <w:rFonts w:cs="Arial"/>
          <w:sz w:val="16"/>
          <w:szCs w:val="16"/>
          <w:rtl/>
        </w:rPr>
        <w:t>כ</w:t>
      </w:r>
      <w:r w:rsidRPr="00D064DC">
        <w:rPr>
          <w:rFonts w:cs="Arial" w:hint="cs"/>
          <w:sz w:val="16"/>
          <w:szCs w:val="16"/>
          <w:rtl/>
        </w:rPr>
        <w:t>'-</w:t>
      </w:r>
      <w:r w:rsidRPr="00D064DC">
        <w:rPr>
          <w:rFonts w:cs="Arial"/>
          <w:sz w:val="16"/>
          <w:szCs w:val="16"/>
          <w:rtl/>
        </w:rPr>
        <w:t xml:space="preserve"> ואם שינה בצורת הפת ועשה כעכין קטנים כעין השור מותרת שהרואה יודע שלא שינו צורתו אלא להיכר בעלמא וישאל ויאמרו לו. וכתוב </w:t>
      </w:r>
      <w:r w:rsidRPr="00D064DC">
        <w:rPr>
          <w:rFonts w:cs="Arial" w:hint="cs"/>
          <w:sz w:val="16"/>
          <w:szCs w:val="16"/>
          <w:rtl/>
        </w:rPr>
        <w:t>בהגשע"ד</w:t>
      </w:r>
      <w:r w:rsidRPr="00D064DC">
        <w:rPr>
          <w:rFonts w:cs="Arial"/>
          <w:sz w:val="16"/>
          <w:szCs w:val="16"/>
          <w:rtl/>
        </w:rPr>
        <w:t xml:space="preserve"> </w:t>
      </w:r>
      <w:r w:rsidRPr="00FB04EF">
        <w:rPr>
          <w:rFonts w:cs="Arial"/>
          <w:sz w:val="14"/>
          <w:szCs w:val="14"/>
          <w:rtl/>
        </w:rPr>
        <w:t>(סי' ס סק</w:t>
      </w:r>
      <w:r w:rsidRPr="00FB04EF">
        <w:rPr>
          <w:rFonts w:cs="Arial" w:hint="cs"/>
          <w:sz w:val="14"/>
          <w:szCs w:val="14"/>
          <w:rtl/>
        </w:rPr>
        <w:t>"</w:t>
      </w:r>
      <w:r w:rsidRPr="00FB04EF">
        <w:rPr>
          <w:rFonts w:cs="Arial"/>
          <w:sz w:val="14"/>
          <w:szCs w:val="14"/>
          <w:rtl/>
        </w:rPr>
        <w:t xml:space="preserve">ב) </w:t>
      </w:r>
      <w:r w:rsidRPr="00D064DC">
        <w:rPr>
          <w:rFonts w:cs="Arial"/>
          <w:sz w:val="16"/>
          <w:szCs w:val="16"/>
          <w:rtl/>
        </w:rPr>
        <w:t>בשם מהרא"י ז"ל דהני תרי פירושי אליבא דהלכת</w:t>
      </w:r>
      <w:r>
        <w:rPr>
          <w:rFonts w:cs="Arial"/>
          <w:sz w:val="16"/>
          <w:szCs w:val="16"/>
          <w:rtl/>
        </w:rPr>
        <w:t>א סליקו דתרווייהו סברות יפות הן</w:t>
      </w:r>
      <w:r>
        <w:rPr>
          <w:rFonts w:cs="Arial" w:hint="cs"/>
          <w:sz w:val="16"/>
          <w:szCs w:val="16"/>
          <w:rtl/>
        </w:rPr>
        <w:t>.</w:t>
      </w:r>
      <w:r w:rsidRPr="00D064DC">
        <w:rPr>
          <w:rFonts w:cs="Arial"/>
          <w:sz w:val="16"/>
          <w:szCs w:val="16"/>
          <w:rtl/>
        </w:rPr>
        <w:t xml:space="preserve"> </w:t>
      </w:r>
      <w:r w:rsidRPr="00D064DC">
        <w:rPr>
          <w:rFonts w:cs="Arial" w:hint="cs"/>
          <w:color w:val="E36C0A" w:themeColor="accent6" w:themeShade="BF"/>
          <w:sz w:val="16"/>
          <w:szCs w:val="16"/>
          <w:rtl/>
        </w:rPr>
        <w:t>(וכ"פ בשו"ע)</w:t>
      </w:r>
      <w:r>
        <w:rPr>
          <w:rFonts w:cs="Arial" w:hint="cs"/>
          <w:sz w:val="16"/>
          <w:szCs w:val="16"/>
          <w:rtl/>
        </w:rPr>
        <w:t>.</w:t>
      </w:r>
      <w:r w:rsidRPr="00DF09F2">
        <w:rPr>
          <w:rFonts w:cs="Arial" w:hint="cs"/>
          <w:sz w:val="16"/>
          <w:szCs w:val="16"/>
          <w:rtl/>
        </w:rPr>
        <w:t xml:space="preserve"> </w:t>
      </w:r>
      <w:r>
        <w:rPr>
          <w:rFonts w:cs="Arial" w:hint="cs"/>
          <w:sz w:val="16"/>
          <w:szCs w:val="16"/>
          <w:rtl/>
        </w:rPr>
        <w:t xml:space="preserve">וכ' עוד </w:t>
      </w:r>
      <w:r w:rsidRPr="00DF09F2">
        <w:rPr>
          <w:rFonts w:cs="Arial" w:hint="cs"/>
          <w:sz w:val="16"/>
          <w:szCs w:val="16"/>
          <w:rtl/>
        </w:rPr>
        <w:t xml:space="preserve">בהגשע"ד </w:t>
      </w:r>
      <w:r w:rsidRPr="00FB04EF">
        <w:rPr>
          <w:rFonts w:cs="Arial" w:hint="cs"/>
          <w:sz w:val="14"/>
          <w:szCs w:val="14"/>
          <w:rtl/>
        </w:rPr>
        <w:t>(</w:t>
      </w:r>
      <w:r w:rsidRPr="00FB04EF">
        <w:rPr>
          <w:rFonts w:cs="Arial"/>
          <w:sz w:val="14"/>
          <w:szCs w:val="14"/>
          <w:rtl/>
        </w:rPr>
        <w:t>סי' לה סק</w:t>
      </w:r>
      <w:r w:rsidRPr="00FB04EF">
        <w:rPr>
          <w:rFonts w:cs="Arial" w:hint="cs"/>
          <w:sz w:val="14"/>
          <w:szCs w:val="14"/>
          <w:rtl/>
        </w:rPr>
        <w:t>"</w:t>
      </w:r>
      <w:r w:rsidRPr="00FB04EF">
        <w:rPr>
          <w:rFonts w:cs="Arial"/>
          <w:sz w:val="14"/>
          <w:szCs w:val="14"/>
          <w:rtl/>
        </w:rPr>
        <w:t>ו)</w:t>
      </w:r>
      <w:r w:rsidRPr="00FB04EF">
        <w:rPr>
          <w:rFonts w:cs="Arial" w:hint="cs"/>
          <w:sz w:val="14"/>
          <w:szCs w:val="14"/>
          <w:rtl/>
        </w:rPr>
        <w:t xml:space="preserve"> </w:t>
      </w:r>
      <w:r>
        <w:rPr>
          <w:rFonts w:cs="Arial" w:hint="cs"/>
          <w:sz w:val="16"/>
          <w:szCs w:val="16"/>
          <w:rtl/>
        </w:rPr>
        <w:t>בשם מהרא"י</w:t>
      </w:r>
      <w:r w:rsidRPr="00DF09F2">
        <w:rPr>
          <w:rFonts w:cs="Arial"/>
          <w:sz w:val="16"/>
          <w:szCs w:val="16"/>
          <w:rtl/>
        </w:rPr>
        <w:t xml:space="preserve"> היתר פשוט שאותן שעושין לחמין לכבוד שבת ללחם משנה אופין אותן עם הפשטיד"א לכתחלה אבל נזהרים מלאוכלו עם חלב</w:t>
      </w:r>
      <w:r w:rsidRPr="00DF09F2">
        <w:rPr>
          <w:rFonts w:cs="Arial" w:hint="cs"/>
          <w:sz w:val="16"/>
          <w:szCs w:val="16"/>
          <w:rtl/>
        </w:rPr>
        <w:t>,</w:t>
      </w:r>
      <w:r w:rsidRPr="00DF09F2">
        <w:rPr>
          <w:rFonts w:cs="Arial"/>
          <w:sz w:val="16"/>
          <w:szCs w:val="16"/>
          <w:rtl/>
        </w:rPr>
        <w:t xml:space="preserve"> והתם הטעם משום דדבר מועט הוא ונאכל מהר בשבת והוי כעין תורא לפירוש התוס</w:t>
      </w:r>
      <w:r>
        <w:rPr>
          <w:rFonts w:cs="Arial" w:hint="cs"/>
          <w:sz w:val="16"/>
          <w:szCs w:val="16"/>
          <w:rtl/>
        </w:rPr>
        <w:t>'</w:t>
      </w:r>
      <w:r w:rsidRPr="00DF09F2">
        <w:rPr>
          <w:rStyle w:val="a7"/>
          <w:rFonts w:cs="Arial"/>
          <w:sz w:val="16"/>
          <w:szCs w:val="16"/>
          <w:rtl/>
        </w:rPr>
        <w:footnoteReference w:id="1725"/>
      </w:r>
      <w:r w:rsidRPr="00DF09F2">
        <w:rPr>
          <w:rFonts w:hint="cs"/>
          <w:sz w:val="16"/>
          <w:szCs w:val="16"/>
          <w:rtl/>
        </w:rPr>
        <w:t xml:space="preserve"> </w:t>
      </w:r>
      <w:r w:rsidRPr="00DF09F2">
        <w:rPr>
          <w:rFonts w:hint="cs"/>
          <w:color w:val="00B0F0"/>
          <w:sz w:val="16"/>
          <w:szCs w:val="16"/>
          <w:rtl/>
        </w:rPr>
        <w:t>(וכ"פ הרמ"א)</w:t>
      </w:r>
      <w:r>
        <w:rPr>
          <w:rFonts w:hint="cs"/>
          <w:sz w:val="16"/>
          <w:szCs w:val="16"/>
          <w:rtl/>
        </w:rPr>
        <w:t xml:space="preserve">. עכ"ד הב"י. </w:t>
      </w:r>
      <w:r>
        <w:rPr>
          <w:rFonts w:cs="Arial" w:hint="cs"/>
          <w:sz w:val="16"/>
          <w:szCs w:val="16"/>
          <w:rtl/>
        </w:rPr>
        <w:t xml:space="preserve">וכ' </w:t>
      </w:r>
      <w:r w:rsidRPr="00DF09F2">
        <w:rPr>
          <w:rFonts w:cs="Arial" w:hint="cs"/>
          <w:sz w:val="16"/>
          <w:szCs w:val="16"/>
          <w:rtl/>
        </w:rPr>
        <w:t xml:space="preserve">או"ה </w:t>
      </w:r>
      <w:r w:rsidRPr="00FB04EF">
        <w:rPr>
          <w:rFonts w:cs="Arial" w:hint="cs"/>
          <w:sz w:val="14"/>
          <w:szCs w:val="14"/>
          <w:rtl/>
        </w:rPr>
        <w:t>(כ</w:t>
      </w:r>
      <w:r>
        <w:rPr>
          <w:rFonts w:cs="Arial" w:hint="cs"/>
          <w:sz w:val="14"/>
          <w:szCs w:val="14"/>
          <w:rtl/>
        </w:rPr>
        <w:t>"</w:t>
      </w:r>
      <w:r w:rsidRPr="00FB04EF">
        <w:rPr>
          <w:rFonts w:cs="Arial" w:hint="cs"/>
          <w:sz w:val="14"/>
          <w:szCs w:val="14"/>
          <w:rtl/>
        </w:rPr>
        <w:t>מ די"ט, הביא</w:t>
      </w:r>
      <w:r>
        <w:rPr>
          <w:rFonts w:cs="Arial" w:hint="cs"/>
          <w:sz w:val="14"/>
          <w:szCs w:val="14"/>
          <w:rtl/>
        </w:rPr>
        <w:t>ו</w:t>
      </w:r>
      <w:r w:rsidRPr="00FB04EF">
        <w:rPr>
          <w:rFonts w:cs="Arial" w:hint="cs"/>
          <w:sz w:val="14"/>
          <w:szCs w:val="14"/>
          <w:rtl/>
        </w:rPr>
        <w:t xml:space="preserve"> הדרכ"מ [אות א])</w:t>
      </w:r>
      <w:r w:rsidRPr="00DF09F2">
        <w:rPr>
          <w:rFonts w:cs="Arial" w:hint="cs"/>
          <w:sz w:val="16"/>
          <w:szCs w:val="16"/>
          <w:rtl/>
        </w:rPr>
        <w:t xml:space="preserve">- </w:t>
      </w:r>
      <w:r w:rsidRPr="00DF09F2">
        <w:rPr>
          <w:rFonts w:cs="Arial"/>
          <w:sz w:val="16"/>
          <w:szCs w:val="16"/>
          <w:rtl/>
        </w:rPr>
        <w:t xml:space="preserve">מה"ט </w:t>
      </w:r>
      <w:r w:rsidRPr="00FB04EF">
        <w:rPr>
          <w:rFonts w:cs="Arial" w:hint="cs"/>
          <w:sz w:val="14"/>
          <w:szCs w:val="14"/>
          <w:rtl/>
        </w:rPr>
        <w:t>{דמקילים כפי</w:t>
      </w:r>
      <w:r>
        <w:rPr>
          <w:rFonts w:cs="Arial" w:hint="cs"/>
          <w:sz w:val="14"/>
          <w:szCs w:val="14"/>
          <w:rtl/>
        </w:rPr>
        <w:t>ר'</w:t>
      </w:r>
      <w:r w:rsidRPr="00FB04EF">
        <w:rPr>
          <w:rFonts w:cs="Arial" w:hint="cs"/>
          <w:sz w:val="14"/>
          <w:szCs w:val="14"/>
          <w:rtl/>
        </w:rPr>
        <w:t xml:space="preserve"> רי"ף ורמב"ם} </w:t>
      </w:r>
      <w:r w:rsidRPr="00DF09F2">
        <w:rPr>
          <w:rFonts w:cs="Arial"/>
          <w:sz w:val="16"/>
          <w:szCs w:val="16"/>
          <w:rtl/>
        </w:rPr>
        <w:t>אנו אוכלין פשטיד"א ופלאד"ן שנאפו כל א</w:t>
      </w:r>
      <w:r>
        <w:rPr>
          <w:rFonts w:cs="Arial" w:hint="cs"/>
          <w:sz w:val="16"/>
          <w:szCs w:val="16"/>
          <w:rtl/>
        </w:rPr>
        <w:t>'</w:t>
      </w:r>
      <w:r w:rsidRPr="00DF09F2">
        <w:rPr>
          <w:rFonts w:cs="Arial"/>
          <w:sz w:val="16"/>
          <w:szCs w:val="16"/>
          <w:rtl/>
        </w:rPr>
        <w:t xml:space="preserve"> לבדו או עם פת</w:t>
      </w:r>
      <w:r w:rsidRPr="00DF09F2">
        <w:rPr>
          <w:rFonts w:cs="Arial" w:hint="cs"/>
          <w:sz w:val="16"/>
          <w:szCs w:val="16"/>
          <w:rtl/>
        </w:rPr>
        <w:t>,</w:t>
      </w:r>
      <w:r w:rsidRPr="00DF09F2">
        <w:rPr>
          <w:rFonts w:cs="Arial"/>
          <w:sz w:val="16"/>
          <w:szCs w:val="16"/>
          <w:rtl/>
        </w:rPr>
        <w:t xml:space="preserve"> דליכא למיחש דילמא אתי למיכל עם חלב או עם בשר מאחר שניכר בהן הבשר או החלב</w:t>
      </w:r>
      <w:r w:rsidRPr="00DF09F2">
        <w:rPr>
          <w:rFonts w:cs="Arial" w:hint="cs"/>
          <w:sz w:val="16"/>
          <w:szCs w:val="16"/>
          <w:rtl/>
        </w:rPr>
        <w:t>,</w:t>
      </w:r>
      <w:r w:rsidRPr="00DF09F2">
        <w:rPr>
          <w:rFonts w:cs="Arial"/>
          <w:sz w:val="16"/>
          <w:szCs w:val="16"/>
          <w:rtl/>
        </w:rPr>
        <w:t xml:space="preserve"> וא"צ להשים עליהם עצמות או גבינה לסימן</w:t>
      </w:r>
      <w:r w:rsidRPr="00DF09F2">
        <w:rPr>
          <w:rFonts w:cs="Arial" w:hint="cs"/>
          <w:sz w:val="16"/>
          <w:szCs w:val="16"/>
          <w:rtl/>
        </w:rPr>
        <w:t>,</w:t>
      </w:r>
      <w:r w:rsidRPr="00DF09F2">
        <w:rPr>
          <w:rFonts w:cs="Arial"/>
          <w:sz w:val="16"/>
          <w:szCs w:val="16"/>
          <w:rtl/>
        </w:rPr>
        <w:t xml:space="preserve"> וכן מותר מה</w:t>
      </w:r>
      <w:r>
        <w:rPr>
          <w:rFonts w:cs="Arial" w:hint="cs"/>
          <w:sz w:val="16"/>
          <w:szCs w:val="16"/>
          <w:rtl/>
        </w:rPr>
        <w:t>"</w:t>
      </w:r>
      <w:r w:rsidRPr="00DF09F2">
        <w:rPr>
          <w:rFonts w:cs="Arial"/>
          <w:sz w:val="16"/>
          <w:szCs w:val="16"/>
          <w:rtl/>
        </w:rPr>
        <w:t>ט ללוש קלוני"ש ועוגות שעושין לשבת ברוטב או בשומן של בשר אע</w:t>
      </w:r>
      <w:r w:rsidRPr="00DF09F2">
        <w:rPr>
          <w:rFonts w:cs="Arial" w:hint="cs"/>
          <w:sz w:val="16"/>
          <w:szCs w:val="16"/>
          <w:rtl/>
        </w:rPr>
        <w:t>"</w:t>
      </w:r>
      <w:r w:rsidRPr="00DF09F2">
        <w:rPr>
          <w:rFonts w:cs="Arial"/>
          <w:sz w:val="16"/>
          <w:szCs w:val="16"/>
          <w:rtl/>
        </w:rPr>
        <w:t>פ שהן גדולין</w:t>
      </w:r>
      <w:r w:rsidRPr="00DF09F2">
        <w:rPr>
          <w:rFonts w:cs="Arial" w:hint="cs"/>
          <w:sz w:val="16"/>
          <w:szCs w:val="16"/>
          <w:rtl/>
        </w:rPr>
        <w:t>,</w:t>
      </w:r>
      <w:r w:rsidRPr="00DF09F2">
        <w:rPr>
          <w:rFonts w:cs="Arial"/>
          <w:sz w:val="16"/>
          <w:szCs w:val="16"/>
          <w:rtl/>
        </w:rPr>
        <w:t xml:space="preserve"> דנשתנו בצורתן מפת אחר</w:t>
      </w:r>
      <w:r w:rsidRPr="00DF09F2">
        <w:rPr>
          <w:rFonts w:cs="Arial" w:hint="cs"/>
          <w:sz w:val="16"/>
          <w:szCs w:val="16"/>
          <w:rtl/>
        </w:rPr>
        <w:t>,</w:t>
      </w:r>
      <w:r w:rsidRPr="00DF09F2">
        <w:rPr>
          <w:rFonts w:cs="Arial"/>
          <w:sz w:val="16"/>
          <w:szCs w:val="16"/>
          <w:rtl/>
        </w:rPr>
        <w:t xml:space="preserve"> וגם נאכלין מיד</w:t>
      </w:r>
      <w:r>
        <w:rPr>
          <w:rFonts w:hint="cs"/>
          <w:sz w:val="16"/>
          <w:szCs w:val="16"/>
          <w:rtl/>
        </w:rPr>
        <w:t>)</w:t>
      </w:r>
    </w:p>
    <w:p w14:paraId="0A873BE0" w14:textId="77777777" w:rsidR="002C39F4" w:rsidRPr="00D064DC" w:rsidRDefault="002C39F4" w:rsidP="002C39F4">
      <w:r w:rsidRPr="00E57732">
        <w:rPr>
          <w:rFonts w:cs="Arial" w:hint="cs"/>
          <w:u w:val="single"/>
          <w:rtl/>
        </w:rPr>
        <w:t xml:space="preserve">אפיית פת בתנור אחד </w:t>
      </w:r>
      <w:r>
        <w:rPr>
          <w:rFonts w:cs="Arial" w:hint="cs"/>
          <w:u w:val="single"/>
          <w:rtl/>
        </w:rPr>
        <w:t xml:space="preserve">עם </w:t>
      </w:r>
      <w:r w:rsidRPr="00E57732">
        <w:rPr>
          <w:rFonts w:cs="Arial" w:hint="cs"/>
          <w:u w:val="single"/>
          <w:rtl/>
        </w:rPr>
        <w:t>פשט</w:t>
      </w:r>
      <w:r>
        <w:rPr>
          <w:rFonts w:cs="Arial" w:hint="cs"/>
          <w:u w:val="single"/>
          <w:rtl/>
        </w:rPr>
        <w:t>י</w:t>
      </w:r>
      <w:r w:rsidRPr="00E57732">
        <w:rPr>
          <w:rFonts w:cs="Arial" w:hint="cs"/>
          <w:u w:val="single"/>
          <w:rtl/>
        </w:rPr>
        <w:t>דא של בשר</w:t>
      </w:r>
      <w:r>
        <w:rPr>
          <w:rFonts w:cs="Arial" w:hint="cs"/>
          <w:u w:val="single"/>
          <w:rtl/>
        </w:rPr>
        <w:t xml:space="preserve"> </w:t>
      </w:r>
      <w:r w:rsidRPr="007E7FB8">
        <w:rPr>
          <w:rFonts w:cs="Arial" w:hint="cs"/>
          <w:sz w:val="16"/>
          <w:szCs w:val="16"/>
          <w:u w:val="single"/>
          <w:rtl/>
        </w:rPr>
        <w:t xml:space="preserve">(או </w:t>
      </w:r>
      <w:r>
        <w:rPr>
          <w:rFonts w:cs="Arial" w:hint="cs"/>
          <w:sz w:val="16"/>
          <w:szCs w:val="16"/>
          <w:u w:val="single"/>
          <w:rtl/>
        </w:rPr>
        <w:t xml:space="preserve">עם פשטידא של </w:t>
      </w:r>
      <w:r w:rsidRPr="007E7FB8">
        <w:rPr>
          <w:rFonts w:cs="Arial" w:hint="cs"/>
          <w:sz w:val="16"/>
          <w:szCs w:val="16"/>
          <w:u w:val="single"/>
          <w:rtl/>
        </w:rPr>
        <w:t>חלב)</w:t>
      </w:r>
      <w:r w:rsidRPr="00E57732">
        <w:rPr>
          <w:rFonts w:cs="Arial" w:hint="cs"/>
          <w:u w:val="single"/>
          <w:rtl/>
        </w:rPr>
        <w:t>:</w:t>
      </w:r>
      <w:r>
        <w:rPr>
          <w:rFonts w:cs="Arial" w:hint="cs"/>
          <w:sz w:val="16"/>
          <w:szCs w:val="16"/>
          <w:rtl/>
        </w:rPr>
        <w:t xml:space="preserve">  (ב"י)</w:t>
      </w:r>
    </w:p>
    <w:p w14:paraId="0110C96F" w14:textId="77777777" w:rsidR="002C39F4" w:rsidRPr="00DF09F2" w:rsidRDefault="002C39F4" w:rsidP="0032102C">
      <w:pPr>
        <w:pStyle w:val="a8"/>
        <w:numPr>
          <w:ilvl w:val="0"/>
          <w:numId w:val="138"/>
        </w:numPr>
      </w:pPr>
      <w:r>
        <w:rPr>
          <w:rFonts w:cs="Arial" w:hint="cs"/>
          <w:rtl/>
        </w:rPr>
        <w:t>או"ז</w:t>
      </w:r>
      <w:r w:rsidRPr="00E57732">
        <w:rPr>
          <w:rFonts w:cs="Arial" w:hint="cs"/>
          <w:rtl/>
        </w:rPr>
        <w:t xml:space="preserve"> </w:t>
      </w:r>
      <w:r w:rsidRPr="00E57732">
        <w:rPr>
          <w:rFonts w:cs="Arial" w:hint="cs"/>
          <w:sz w:val="16"/>
          <w:szCs w:val="16"/>
          <w:rtl/>
        </w:rPr>
        <w:t>(</w:t>
      </w:r>
      <w:r>
        <w:rPr>
          <w:rFonts w:cs="Arial" w:hint="cs"/>
          <w:sz w:val="16"/>
          <w:szCs w:val="16"/>
          <w:rtl/>
        </w:rPr>
        <w:t>בהג"א פ"ה</w:t>
      </w:r>
      <w:r w:rsidRPr="00E57732">
        <w:rPr>
          <w:rFonts w:cs="Arial"/>
          <w:sz w:val="16"/>
          <w:szCs w:val="16"/>
          <w:rtl/>
        </w:rPr>
        <w:t xml:space="preserve"> דע"ז סי' ח)</w:t>
      </w:r>
      <w:r w:rsidRPr="00E57732">
        <w:rPr>
          <w:rFonts w:cs="Arial" w:hint="cs"/>
          <w:rtl/>
        </w:rPr>
        <w:t>-</w:t>
      </w:r>
      <w:r>
        <w:rPr>
          <w:rFonts w:cs="Arial" w:hint="cs"/>
          <w:rtl/>
        </w:rPr>
        <w:t xml:space="preserve"> </w:t>
      </w:r>
      <w:r w:rsidRPr="004C449E">
        <w:rPr>
          <w:rFonts w:cs="Arial"/>
          <w:rtl/>
        </w:rPr>
        <w:t>קי"ל דריחא מילתא היא לכתחלה</w:t>
      </w:r>
      <w:r>
        <w:rPr>
          <w:rFonts w:cs="Arial" w:hint="cs"/>
          <w:rtl/>
        </w:rPr>
        <w:t>,</w:t>
      </w:r>
      <w:r w:rsidRPr="004C449E">
        <w:rPr>
          <w:rFonts w:cs="Arial"/>
          <w:rtl/>
        </w:rPr>
        <w:t xml:space="preserve"> הלכך פת שאפאה עם הצלי אסור לאוכלה בכותח</w:t>
      </w:r>
      <w:r>
        <w:rPr>
          <w:rFonts w:cs="Arial" w:hint="cs"/>
          <w:rtl/>
        </w:rPr>
        <w:t>,</w:t>
      </w:r>
      <w:r w:rsidRPr="004C449E">
        <w:rPr>
          <w:rFonts w:cs="Arial"/>
          <w:rtl/>
        </w:rPr>
        <w:t xml:space="preserve"> כיון דאפשר לאוכלה בלא כותח הוי לכתחלה</w:t>
      </w:r>
      <w:r>
        <w:rPr>
          <w:rFonts w:cs="Arial" w:hint="cs"/>
          <w:rtl/>
        </w:rPr>
        <w:t>,</w:t>
      </w:r>
      <w:r w:rsidRPr="004C449E">
        <w:rPr>
          <w:rFonts w:cs="Arial"/>
          <w:rtl/>
        </w:rPr>
        <w:t xml:space="preserve"> ובדיעבד שרי</w:t>
      </w:r>
      <w:r>
        <w:rPr>
          <w:rFonts w:cs="Arial" w:hint="cs"/>
          <w:rtl/>
        </w:rPr>
        <w:t>.</w:t>
      </w:r>
      <w:r w:rsidRPr="004C449E">
        <w:rPr>
          <w:rFonts w:cs="Arial"/>
          <w:rtl/>
        </w:rPr>
        <w:t xml:space="preserve"> אע</w:t>
      </w:r>
      <w:r>
        <w:rPr>
          <w:rFonts w:cs="Arial" w:hint="cs"/>
          <w:rtl/>
        </w:rPr>
        <w:t>"</w:t>
      </w:r>
      <w:r w:rsidRPr="004C449E">
        <w:rPr>
          <w:rFonts w:cs="Arial"/>
          <w:rtl/>
        </w:rPr>
        <w:t>ג דריחא מילתא היא שרי לן לכתחלה לאפות פשטי"ד שלנו שהם מכוסות למעלה בתנור עם הפת</w:t>
      </w:r>
      <w:r>
        <w:rPr>
          <w:rFonts w:cs="Arial" w:hint="cs"/>
          <w:rtl/>
        </w:rPr>
        <w:t>,</w:t>
      </w:r>
      <w:r w:rsidRPr="004C449E">
        <w:rPr>
          <w:rFonts w:cs="Arial"/>
          <w:rtl/>
        </w:rPr>
        <w:t xml:space="preserve"> שהתנורים שלנו גדולים הם</w:t>
      </w:r>
      <w:r>
        <w:rPr>
          <w:rFonts w:cs="Arial" w:hint="cs"/>
          <w:rtl/>
        </w:rPr>
        <w:t>,</w:t>
      </w:r>
      <w:r w:rsidRPr="004C449E">
        <w:rPr>
          <w:rFonts w:cs="Arial"/>
          <w:rtl/>
        </w:rPr>
        <w:t xml:space="preserve"> ומיהו אם זב שומן הבשר חוץ לפשטי"ד ונבלע בתנור אע</w:t>
      </w:r>
      <w:r>
        <w:rPr>
          <w:rFonts w:cs="Arial" w:hint="cs"/>
          <w:rtl/>
        </w:rPr>
        <w:t>"</w:t>
      </w:r>
      <w:r w:rsidRPr="004C449E">
        <w:rPr>
          <w:rFonts w:cs="Arial"/>
          <w:rtl/>
        </w:rPr>
        <w:t>פ שהפת רחוקה מן הפשטי"ד אסור לאוכלה אפילו במלח</w:t>
      </w:r>
      <w:r>
        <w:rPr>
          <w:rStyle w:val="a7"/>
          <w:rFonts w:cs="Arial"/>
          <w:rtl/>
        </w:rPr>
        <w:footnoteReference w:id="1726"/>
      </w:r>
      <w:r>
        <w:rPr>
          <w:rFonts w:cs="Arial" w:hint="cs"/>
          <w:rtl/>
        </w:rPr>
        <w:t>,</w:t>
      </w:r>
      <w:r w:rsidRPr="004C449E">
        <w:rPr>
          <w:rFonts w:cs="Arial"/>
          <w:rtl/>
        </w:rPr>
        <w:t xml:space="preserve"> הואיל וכן</w:t>
      </w:r>
      <w:r>
        <w:rPr>
          <w:rFonts w:cs="Arial" w:hint="cs"/>
          <w:rtl/>
        </w:rPr>
        <w:t>,</w:t>
      </w:r>
      <w:r w:rsidRPr="004C449E">
        <w:rPr>
          <w:rFonts w:cs="Arial"/>
          <w:rtl/>
        </w:rPr>
        <w:t xml:space="preserve"> טוב ליזהר שלא לאפות שום טפילות עם הפת בתנור</w:t>
      </w:r>
      <w:r>
        <w:rPr>
          <w:rFonts w:cs="Arial" w:hint="cs"/>
          <w:rtl/>
        </w:rPr>
        <w:t>,</w:t>
      </w:r>
      <w:r w:rsidRPr="004C449E">
        <w:rPr>
          <w:rFonts w:cs="Arial"/>
          <w:rtl/>
        </w:rPr>
        <w:t xml:space="preserve"> דילמא זב השומן ולאו אדעתא</w:t>
      </w:r>
      <w:r>
        <w:rPr>
          <w:rFonts w:cs="Arial" w:hint="cs"/>
          <w:rtl/>
        </w:rPr>
        <w:t>,</w:t>
      </w:r>
      <w:r w:rsidRPr="004C449E">
        <w:rPr>
          <w:rFonts w:cs="Arial"/>
          <w:rtl/>
        </w:rPr>
        <w:t xml:space="preserve"> אלא יאפה הפשטיד"א ויסיק התנור ויאפה הפת</w:t>
      </w:r>
      <w:r>
        <w:rPr>
          <w:rFonts w:cs="Arial" w:hint="cs"/>
          <w:sz w:val="16"/>
          <w:szCs w:val="16"/>
          <w:rtl/>
        </w:rPr>
        <w:t xml:space="preserve"> (ל' הג"א)</w:t>
      </w:r>
      <w:r>
        <w:rPr>
          <w:rStyle w:val="a7"/>
          <w:rFonts w:cs="Arial"/>
          <w:rtl/>
        </w:rPr>
        <w:footnoteReference w:id="1727"/>
      </w:r>
      <w:r>
        <w:rPr>
          <w:rFonts w:hint="cs"/>
          <w:rtl/>
        </w:rPr>
        <w:t xml:space="preserve">. </w:t>
      </w:r>
      <w:r w:rsidRPr="002C67CE">
        <w:rPr>
          <w:rFonts w:hint="cs"/>
          <w:color w:val="00B0F0"/>
          <w:rtl/>
        </w:rPr>
        <w:t>(וכ"פ הרמ"א)</w:t>
      </w:r>
    </w:p>
    <w:p w14:paraId="7C0C5E9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196D58E" w14:textId="77777777" w:rsidR="002C39F4" w:rsidRDefault="002C39F4" w:rsidP="002C39F4">
      <w:pPr>
        <w:rPr>
          <w:rFonts w:asciiTheme="minorBidi" w:hAnsiTheme="minorBidi"/>
          <w:rtl/>
        </w:rPr>
      </w:pPr>
      <w:r>
        <w:rPr>
          <w:rFonts w:asciiTheme="minorBidi" w:hAnsiTheme="minorBidi"/>
          <w:rtl/>
        </w:rPr>
        <w:t>אין לשין עיסה בחלב</w:t>
      </w:r>
      <w:r w:rsidRPr="003024E5">
        <w:rPr>
          <w:rFonts w:asciiTheme="minorBidi" w:hAnsiTheme="minorBidi"/>
          <w:rtl/>
        </w:rPr>
        <w:t xml:space="preserve"> שמא יבוא לאכ</w:t>
      </w:r>
      <w:r>
        <w:rPr>
          <w:rFonts w:asciiTheme="minorBidi" w:hAnsiTheme="minorBidi"/>
          <w:rtl/>
        </w:rPr>
        <w:t>לה עם הבשר</w:t>
      </w:r>
      <w:r>
        <w:rPr>
          <w:rFonts w:asciiTheme="minorBidi" w:hAnsiTheme="minorBidi" w:hint="cs"/>
          <w:rtl/>
        </w:rPr>
        <w:t>,</w:t>
      </w:r>
      <w:r>
        <w:rPr>
          <w:rFonts w:asciiTheme="minorBidi" w:hAnsiTheme="minorBidi"/>
          <w:rtl/>
        </w:rPr>
        <w:t xml:space="preserve"> ואם לש</w:t>
      </w:r>
      <w:r>
        <w:rPr>
          <w:rFonts w:asciiTheme="minorBidi" w:hAnsiTheme="minorBidi" w:hint="cs"/>
          <w:rtl/>
        </w:rPr>
        <w:t>,</w:t>
      </w:r>
      <w:r>
        <w:rPr>
          <w:rFonts w:asciiTheme="minorBidi" w:hAnsiTheme="minorBidi"/>
          <w:rtl/>
        </w:rPr>
        <w:t xml:space="preserve"> כל הפת אסור אפילו לאכלה לבדה</w:t>
      </w:r>
      <w:r>
        <w:rPr>
          <w:rFonts w:asciiTheme="minorBidi" w:hAnsiTheme="minorBidi" w:hint="cs"/>
          <w:rtl/>
        </w:rPr>
        <w:t>,</w:t>
      </w:r>
      <w:r w:rsidRPr="003024E5">
        <w:rPr>
          <w:rFonts w:asciiTheme="minorBidi" w:hAnsiTheme="minorBidi"/>
          <w:rtl/>
        </w:rPr>
        <w:t xml:space="preserve"> ואם היה דבר מועט כדי אכילה בבת אחת, או ששינה צורת</w:t>
      </w:r>
      <w:r>
        <w:rPr>
          <w:rFonts w:asciiTheme="minorBidi" w:hAnsiTheme="minorBidi"/>
          <w:rtl/>
        </w:rPr>
        <w:t xml:space="preserve"> הפת שתהא ניכרת שלא יאכל בה בשר</w:t>
      </w:r>
      <w:r w:rsidRPr="003024E5">
        <w:rPr>
          <w:rFonts w:asciiTheme="minorBidi" w:hAnsiTheme="minorBidi"/>
          <w:rtl/>
        </w:rPr>
        <w:t xml:space="preserve"> מותר. כיוצא בו, אין אופין פת בתנור שטחו באליה</w:t>
      </w:r>
      <w:r>
        <w:rPr>
          <w:rStyle w:val="a7"/>
          <w:rFonts w:asciiTheme="minorBidi" w:hAnsiTheme="minorBidi"/>
          <w:rtl/>
        </w:rPr>
        <w:footnoteReference w:id="1728"/>
      </w:r>
      <w:r w:rsidRPr="003024E5">
        <w:rPr>
          <w:rFonts w:asciiTheme="minorBidi" w:hAnsiTheme="minorBidi"/>
          <w:rtl/>
        </w:rPr>
        <w:t xml:space="preserve">, ואם אפאו דינו כעיסה שנילושה בחלב. </w:t>
      </w:r>
      <w:r w:rsidRPr="00135581">
        <w:rPr>
          <w:rFonts w:asciiTheme="minorBidi" w:hAnsiTheme="minorBidi"/>
          <w:sz w:val="18"/>
          <w:szCs w:val="18"/>
          <w:rtl/>
        </w:rPr>
        <w:t>הגה: ולכן נוהגין ללוש פת עם חלב בחג השבועות, גם בשומן לכבוד שבת, כי כל זה מחשב כדבר מועט</w:t>
      </w:r>
      <w:r>
        <w:rPr>
          <w:rFonts w:asciiTheme="minorBidi" w:hAnsiTheme="minorBidi" w:hint="cs"/>
          <w:sz w:val="18"/>
          <w:szCs w:val="18"/>
          <w:rtl/>
        </w:rPr>
        <w:t xml:space="preserve"> </w:t>
      </w:r>
      <w:r>
        <w:rPr>
          <w:rFonts w:asciiTheme="minorBidi" w:hAnsiTheme="minorBidi"/>
          <w:sz w:val="18"/>
          <w:szCs w:val="18"/>
          <w:rtl/>
        </w:rPr>
        <w:t>(הג</w:t>
      </w:r>
      <w:r w:rsidRPr="00135581">
        <w:rPr>
          <w:rFonts w:asciiTheme="minorBidi" w:hAnsiTheme="minorBidi"/>
          <w:sz w:val="18"/>
          <w:szCs w:val="18"/>
          <w:rtl/>
        </w:rPr>
        <w:t>ש</w:t>
      </w:r>
      <w:r>
        <w:rPr>
          <w:rFonts w:asciiTheme="minorBidi" w:hAnsiTheme="minorBidi" w:hint="cs"/>
          <w:sz w:val="18"/>
          <w:szCs w:val="18"/>
          <w:rtl/>
        </w:rPr>
        <w:t>ע</w:t>
      </w:r>
      <w:r w:rsidRPr="00135581">
        <w:rPr>
          <w:rFonts w:asciiTheme="minorBidi" w:hAnsiTheme="minorBidi"/>
          <w:sz w:val="18"/>
          <w:szCs w:val="18"/>
          <w:rtl/>
        </w:rPr>
        <w:t>"ד</w:t>
      </w:r>
      <w:r>
        <w:rPr>
          <w:rFonts w:asciiTheme="minorBidi" w:hAnsiTheme="minorBidi" w:hint="cs"/>
          <w:sz w:val="18"/>
          <w:szCs w:val="18"/>
          <w:rtl/>
        </w:rPr>
        <w:t xml:space="preserve"> ואו"ה)</w:t>
      </w:r>
      <w:r w:rsidRPr="00135581">
        <w:rPr>
          <w:rFonts w:asciiTheme="minorBidi" w:hAnsiTheme="minorBidi"/>
          <w:sz w:val="18"/>
          <w:szCs w:val="18"/>
          <w:rtl/>
        </w:rPr>
        <w:t>, גם כי צורתן משונה משאר פת</w:t>
      </w:r>
      <w:r>
        <w:rPr>
          <w:rFonts w:asciiTheme="minorBidi" w:hAnsiTheme="minorBidi" w:hint="cs"/>
          <w:sz w:val="18"/>
          <w:szCs w:val="18"/>
          <w:rtl/>
        </w:rPr>
        <w:t>,</w:t>
      </w:r>
      <w:r w:rsidRPr="00135581">
        <w:rPr>
          <w:rFonts w:asciiTheme="minorBidi" w:hAnsiTheme="minorBidi"/>
          <w:sz w:val="18"/>
          <w:szCs w:val="18"/>
          <w:rtl/>
        </w:rPr>
        <w:t xml:space="preserve"> וכ"ש פל</w:t>
      </w:r>
      <w:r>
        <w:rPr>
          <w:rFonts w:asciiTheme="minorBidi" w:hAnsiTheme="minorBidi"/>
          <w:sz w:val="18"/>
          <w:szCs w:val="18"/>
          <w:rtl/>
        </w:rPr>
        <w:t xml:space="preserve">אד"ן או פשטיד"א דמותרין </w:t>
      </w:r>
      <w:r>
        <w:rPr>
          <w:rFonts w:asciiTheme="minorBidi" w:hAnsiTheme="minorBidi" w:hint="cs"/>
          <w:sz w:val="18"/>
          <w:szCs w:val="18"/>
          <w:rtl/>
        </w:rPr>
        <w:t>(או"ה</w:t>
      </w:r>
      <w:r w:rsidRPr="00135581">
        <w:rPr>
          <w:rFonts w:asciiTheme="minorBidi" w:hAnsiTheme="minorBidi"/>
          <w:sz w:val="18"/>
          <w:szCs w:val="18"/>
          <w:rtl/>
        </w:rPr>
        <w:t>). ואין לאפות שום פת עם פלאד"ן או פשטיד"א בתנור</w:t>
      </w:r>
      <w:r>
        <w:rPr>
          <w:rStyle w:val="a7"/>
          <w:rFonts w:asciiTheme="minorBidi" w:hAnsiTheme="minorBidi"/>
          <w:sz w:val="18"/>
          <w:szCs w:val="18"/>
          <w:rtl/>
        </w:rPr>
        <w:footnoteReference w:id="1729"/>
      </w:r>
      <w:r w:rsidRPr="00135581">
        <w:rPr>
          <w:rFonts w:asciiTheme="minorBidi" w:hAnsiTheme="minorBidi"/>
          <w:sz w:val="18"/>
          <w:szCs w:val="18"/>
          <w:rtl/>
        </w:rPr>
        <w:t>, דחיישינן שמא יזוב מן השומן על הפת</w:t>
      </w:r>
      <w:r>
        <w:rPr>
          <w:rFonts w:asciiTheme="minorBidi" w:hAnsiTheme="minorBidi" w:hint="cs"/>
          <w:sz w:val="18"/>
          <w:szCs w:val="18"/>
          <w:rtl/>
        </w:rPr>
        <w:t>,</w:t>
      </w:r>
      <w:r w:rsidRPr="00135581">
        <w:rPr>
          <w:rFonts w:asciiTheme="minorBidi" w:hAnsiTheme="minorBidi"/>
          <w:sz w:val="18"/>
          <w:szCs w:val="18"/>
          <w:rtl/>
        </w:rPr>
        <w:t xml:space="preserve"> ואם זב תחתיו, דינו כאלו נילוש עמו (הג</w:t>
      </w:r>
      <w:r>
        <w:rPr>
          <w:rFonts w:asciiTheme="minorBidi" w:hAnsiTheme="minorBidi" w:hint="cs"/>
          <w:sz w:val="18"/>
          <w:szCs w:val="18"/>
          <w:rtl/>
        </w:rPr>
        <w:t>"א</w:t>
      </w:r>
      <w:r w:rsidRPr="00135581">
        <w:rPr>
          <w:rFonts w:asciiTheme="minorBidi" w:hAnsiTheme="minorBidi"/>
          <w:sz w:val="18"/>
          <w:szCs w:val="18"/>
          <w:rtl/>
        </w:rPr>
        <w:t>)</w:t>
      </w:r>
      <w:r>
        <w:rPr>
          <w:rFonts w:asciiTheme="minorBidi" w:hAnsiTheme="minorBidi" w:hint="cs"/>
          <w:sz w:val="18"/>
          <w:szCs w:val="18"/>
          <w:rtl/>
        </w:rPr>
        <w:t>.</w:t>
      </w:r>
      <w:r w:rsidRPr="00135581">
        <w:rPr>
          <w:rFonts w:asciiTheme="minorBidi" w:hAnsiTheme="minorBidi"/>
          <w:sz w:val="18"/>
          <w:szCs w:val="18"/>
          <w:rtl/>
        </w:rPr>
        <w:t xml:space="preserve"> ונוהגין לשום</w:t>
      </w:r>
      <w:r>
        <w:rPr>
          <w:rFonts w:asciiTheme="minorBidi" w:hAnsiTheme="minorBidi"/>
          <w:sz w:val="18"/>
          <w:szCs w:val="18"/>
          <w:rtl/>
        </w:rPr>
        <w:t xml:space="preserve"> הטפילה בפי התנו</w:t>
      </w:r>
      <w:r>
        <w:rPr>
          <w:rFonts w:asciiTheme="minorBidi" w:hAnsiTheme="minorBidi" w:hint="cs"/>
          <w:sz w:val="18"/>
          <w:szCs w:val="18"/>
          <w:rtl/>
        </w:rPr>
        <w:t>ר,</w:t>
      </w:r>
      <w:r w:rsidRPr="00135581">
        <w:rPr>
          <w:rFonts w:asciiTheme="minorBidi" w:hAnsiTheme="minorBidi"/>
          <w:sz w:val="18"/>
          <w:szCs w:val="18"/>
          <w:rtl/>
        </w:rPr>
        <w:t xml:space="preserve"> ואפילו הוא במחבת, נוהגין להחמיר לכתחלה</w:t>
      </w:r>
      <w:r>
        <w:rPr>
          <w:rFonts w:asciiTheme="minorBidi" w:hAnsiTheme="minorBidi" w:hint="cs"/>
          <w:sz w:val="18"/>
          <w:szCs w:val="18"/>
          <w:rtl/>
        </w:rPr>
        <w:t xml:space="preserve"> (הגשע"ד)</w:t>
      </w:r>
      <w:r w:rsidRPr="00135581">
        <w:rPr>
          <w:rFonts w:asciiTheme="minorBidi" w:hAnsiTheme="minorBidi"/>
          <w:sz w:val="18"/>
          <w:szCs w:val="18"/>
          <w:rtl/>
        </w:rPr>
        <w:t>.</w:t>
      </w:r>
      <w:r w:rsidRPr="003024E5">
        <w:rPr>
          <w:rFonts w:asciiTheme="minorBidi" w:hAnsiTheme="minorBidi"/>
          <w:rtl/>
        </w:rPr>
        <w:t xml:space="preserve"> </w:t>
      </w:r>
    </w:p>
    <w:p w14:paraId="128B54DF" w14:textId="77777777" w:rsidR="002C39F4" w:rsidRPr="00071B04" w:rsidRDefault="002C39F4" w:rsidP="002C39F4">
      <w:pPr>
        <w:rPr>
          <w:rFonts w:asciiTheme="minorBidi" w:hAnsiTheme="minorBidi"/>
          <w:u w:val="single"/>
          <w:rtl/>
        </w:rPr>
      </w:pPr>
      <w:r w:rsidRPr="00071B04">
        <w:rPr>
          <w:rFonts w:asciiTheme="minorBidi" w:hAnsiTheme="minorBidi" w:hint="cs"/>
          <w:u w:val="single"/>
          <w:rtl/>
        </w:rPr>
        <w:t>מדוכה של תבלינים שאינה מיוחדת לבשר/חלב ודכו בה פעם אחת תבלין עם בשר:</w:t>
      </w:r>
    </w:p>
    <w:p w14:paraId="0643AFE8" w14:textId="77777777" w:rsidR="002C39F4" w:rsidRDefault="002C39F4" w:rsidP="0032102C">
      <w:pPr>
        <w:pStyle w:val="a8"/>
        <w:numPr>
          <w:ilvl w:val="0"/>
          <w:numId w:val="139"/>
        </w:numPr>
        <w:rPr>
          <w:rFonts w:asciiTheme="minorBidi" w:hAnsiTheme="minorBidi"/>
        </w:rPr>
      </w:pPr>
      <w:r>
        <w:rPr>
          <w:rFonts w:asciiTheme="minorBidi" w:hAnsiTheme="minorBidi" w:cs="Arial" w:hint="cs"/>
          <w:rtl/>
        </w:rPr>
        <w:t xml:space="preserve">ט"ז </w:t>
      </w:r>
      <w:r w:rsidRPr="00071B04">
        <w:rPr>
          <w:rFonts w:asciiTheme="minorBidi" w:hAnsiTheme="minorBidi" w:cs="Arial" w:hint="cs"/>
          <w:sz w:val="16"/>
          <w:szCs w:val="16"/>
          <w:rtl/>
        </w:rPr>
        <w:t>(סק"א)</w:t>
      </w:r>
      <w:r>
        <w:rPr>
          <w:rFonts w:asciiTheme="minorBidi" w:hAnsiTheme="minorBidi" w:cs="Arial" w:hint="cs"/>
          <w:rtl/>
        </w:rPr>
        <w:t xml:space="preserve">- </w:t>
      </w:r>
      <w:r w:rsidRPr="00071B04">
        <w:rPr>
          <w:rFonts w:asciiTheme="minorBidi" w:hAnsiTheme="minorBidi" w:cs="Arial"/>
          <w:rtl/>
        </w:rPr>
        <w:t>מ</w:t>
      </w:r>
      <w:r>
        <w:rPr>
          <w:rFonts w:asciiTheme="minorBidi" w:hAnsiTheme="minorBidi" w:cs="Arial" w:hint="cs"/>
          <w:rtl/>
        </w:rPr>
        <w:t xml:space="preserve">סעיף </w:t>
      </w:r>
      <w:r>
        <w:rPr>
          <w:rFonts w:asciiTheme="minorBidi" w:hAnsiTheme="minorBidi" w:cs="Arial"/>
          <w:rtl/>
        </w:rPr>
        <w:t>זה נ</w:t>
      </w:r>
      <w:r>
        <w:rPr>
          <w:rFonts w:asciiTheme="minorBidi" w:hAnsiTheme="minorBidi" w:cs="Arial" w:hint="cs"/>
          <w:rtl/>
        </w:rPr>
        <w:t>"</w:t>
      </w:r>
      <w:r>
        <w:rPr>
          <w:rFonts w:asciiTheme="minorBidi" w:hAnsiTheme="minorBidi" w:cs="Arial"/>
          <w:rtl/>
        </w:rPr>
        <w:t>ל</w:t>
      </w:r>
      <w:r w:rsidRPr="00071B04">
        <w:rPr>
          <w:rFonts w:asciiTheme="minorBidi" w:hAnsiTheme="minorBidi" w:cs="Arial"/>
          <w:rtl/>
        </w:rPr>
        <w:t xml:space="preserve"> דמדוכה שדוכין בה בשמים ומשתמשין הבשמים הן עם בשר והן עם חלב ופעם אחת דכו שם שום עם מרק של שומן אווז</w:t>
      </w:r>
      <w:r>
        <w:rPr>
          <w:rFonts w:asciiTheme="minorBidi" w:hAnsiTheme="minorBidi" w:cs="Arial" w:hint="cs"/>
          <w:rtl/>
        </w:rPr>
        <w:t>,</w:t>
      </w:r>
      <w:r w:rsidRPr="00071B04">
        <w:rPr>
          <w:rFonts w:asciiTheme="minorBidi" w:hAnsiTheme="minorBidi" w:cs="Arial"/>
          <w:rtl/>
        </w:rPr>
        <w:t xml:space="preserve"> ואח</w:t>
      </w:r>
      <w:r>
        <w:rPr>
          <w:rFonts w:asciiTheme="minorBidi" w:hAnsiTheme="minorBidi" w:cs="Arial" w:hint="cs"/>
          <w:rtl/>
        </w:rPr>
        <w:t>"</w:t>
      </w:r>
      <w:r w:rsidRPr="00071B04">
        <w:rPr>
          <w:rFonts w:asciiTheme="minorBidi" w:hAnsiTheme="minorBidi" w:cs="Arial"/>
          <w:rtl/>
        </w:rPr>
        <w:t>כ מחזירין אותו הרוטב על האווז</w:t>
      </w:r>
      <w:r>
        <w:rPr>
          <w:rFonts w:asciiTheme="minorBidi" w:hAnsiTheme="minorBidi" w:cs="Arial" w:hint="cs"/>
          <w:rtl/>
        </w:rPr>
        <w:t>,</w:t>
      </w:r>
      <w:r w:rsidRPr="00071B04">
        <w:rPr>
          <w:rFonts w:asciiTheme="minorBidi" w:hAnsiTheme="minorBidi" w:cs="Arial"/>
          <w:rtl/>
        </w:rPr>
        <w:t xml:space="preserve"> נ"ל שאותה מדוכה אסורה לדוך בה עוד בשמים אפילו לאכול בבשר שמא יבוא לאכול בחלב דומיא דכאן</w:t>
      </w:r>
      <w:r>
        <w:rPr>
          <w:rFonts w:asciiTheme="minorBidi" w:hAnsiTheme="minorBidi" w:cs="Arial" w:hint="cs"/>
          <w:rtl/>
        </w:rPr>
        <w:t>,</w:t>
      </w:r>
      <w:r w:rsidRPr="00071B04">
        <w:rPr>
          <w:rFonts w:asciiTheme="minorBidi" w:hAnsiTheme="minorBidi" w:cs="Arial"/>
          <w:rtl/>
        </w:rPr>
        <w:t xml:space="preserve"> וצריכה הכשר דוקא</w:t>
      </w:r>
      <w:r>
        <w:rPr>
          <w:rFonts w:asciiTheme="minorBidi" w:hAnsiTheme="minorBidi" w:cs="Arial" w:hint="cs"/>
          <w:rtl/>
        </w:rPr>
        <w:t>,</w:t>
      </w:r>
      <w:r w:rsidRPr="00071B04">
        <w:rPr>
          <w:rFonts w:asciiTheme="minorBidi" w:hAnsiTheme="minorBidi" w:cs="Arial"/>
          <w:rtl/>
        </w:rPr>
        <w:t xml:space="preserve"> ואפילו דיעבד אסור בלא הכשר כמו הפת דכאן</w:t>
      </w:r>
      <w:r>
        <w:rPr>
          <w:rFonts w:asciiTheme="minorBidi" w:hAnsiTheme="minorBidi" w:cs="Arial" w:hint="cs"/>
          <w:rtl/>
        </w:rPr>
        <w:t>,</w:t>
      </w:r>
      <w:r w:rsidRPr="00071B04">
        <w:rPr>
          <w:rFonts w:asciiTheme="minorBidi" w:hAnsiTheme="minorBidi" w:cs="Arial"/>
          <w:rtl/>
        </w:rPr>
        <w:t xml:space="preserve"> ולא דמי למ"ש בסי' צו סע</w:t>
      </w:r>
      <w:r>
        <w:rPr>
          <w:rFonts w:asciiTheme="minorBidi" w:hAnsiTheme="minorBidi" w:cs="Arial" w:hint="cs"/>
          <w:rtl/>
        </w:rPr>
        <w:t>'</w:t>
      </w:r>
      <w:r w:rsidRPr="00071B04">
        <w:rPr>
          <w:rFonts w:asciiTheme="minorBidi" w:hAnsiTheme="minorBidi" w:cs="Arial"/>
          <w:rtl/>
        </w:rPr>
        <w:t xml:space="preserve"> ג תבלין שנידוכו במדוכה של בשר אסור בחלב אבל עם בשר מותר</w:t>
      </w:r>
      <w:r>
        <w:rPr>
          <w:rFonts w:asciiTheme="minorBidi" w:hAnsiTheme="minorBidi" w:cs="Arial" w:hint="cs"/>
          <w:rtl/>
        </w:rPr>
        <w:t>,</w:t>
      </w:r>
      <w:r w:rsidRPr="00071B04">
        <w:rPr>
          <w:rFonts w:asciiTheme="minorBidi" w:hAnsiTheme="minorBidi" w:cs="Arial"/>
          <w:rtl/>
        </w:rPr>
        <w:t xml:space="preserve"> שם מיירי שהמדוכה מיוחדת לבשר דוקא ואין לטעות שם</w:t>
      </w:r>
      <w:r>
        <w:rPr>
          <w:rFonts w:asciiTheme="minorBidi" w:hAnsiTheme="minorBidi" w:cs="Arial" w:hint="cs"/>
          <w:rtl/>
        </w:rPr>
        <w:t>,</w:t>
      </w:r>
      <w:r w:rsidRPr="00071B04">
        <w:rPr>
          <w:rFonts w:asciiTheme="minorBidi" w:hAnsiTheme="minorBidi" w:cs="Arial"/>
          <w:rtl/>
        </w:rPr>
        <w:t xml:space="preserve"> כן נלע"ד פשוט</w:t>
      </w:r>
      <w:r>
        <w:rPr>
          <w:rStyle w:val="a7"/>
          <w:rFonts w:asciiTheme="minorBidi" w:hAnsiTheme="minorBidi"/>
          <w:rtl/>
        </w:rPr>
        <w:footnoteReference w:id="1730"/>
      </w:r>
      <w:r>
        <w:rPr>
          <w:rFonts w:asciiTheme="minorBidi" w:hAnsiTheme="minorBidi" w:hint="cs"/>
          <w:rtl/>
        </w:rPr>
        <w:t>.</w:t>
      </w:r>
    </w:p>
    <w:p w14:paraId="6DBFFB6F" w14:textId="77777777" w:rsidR="002C39F4" w:rsidRPr="006F4312" w:rsidRDefault="002C39F4" w:rsidP="002C39F4">
      <w:pPr>
        <w:rPr>
          <w:rFonts w:asciiTheme="minorBidi" w:hAnsiTheme="minorBidi"/>
          <w:u w:val="single"/>
        </w:rPr>
      </w:pPr>
      <w:r w:rsidRPr="006F4312">
        <w:rPr>
          <w:rFonts w:asciiTheme="minorBidi" w:hAnsiTheme="minorBidi" w:cs="Arial"/>
          <w:u w:val="single"/>
          <w:rtl/>
        </w:rPr>
        <w:t xml:space="preserve">פלאדי"ן של גבינה </w:t>
      </w:r>
      <w:r w:rsidRPr="006F4312">
        <w:rPr>
          <w:rFonts w:asciiTheme="minorBidi" w:hAnsiTheme="minorBidi" w:cs="Arial" w:hint="cs"/>
          <w:u w:val="single"/>
          <w:rtl/>
        </w:rPr>
        <w:t xml:space="preserve">שנאפה </w:t>
      </w:r>
      <w:r w:rsidRPr="006F4312">
        <w:rPr>
          <w:rFonts w:asciiTheme="minorBidi" w:hAnsiTheme="minorBidi" w:cs="Arial"/>
          <w:u w:val="single"/>
          <w:rtl/>
        </w:rPr>
        <w:t xml:space="preserve">על </w:t>
      </w:r>
      <w:r w:rsidRPr="006F4312">
        <w:rPr>
          <w:rFonts w:asciiTheme="minorBidi" w:hAnsiTheme="minorBidi" w:cs="Arial" w:hint="cs"/>
          <w:u w:val="single"/>
          <w:rtl/>
        </w:rPr>
        <w:t>ה</w:t>
      </w:r>
      <w:r w:rsidRPr="006F4312">
        <w:rPr>
          <w:rFonts w:asciiTheme="minorBidi" w:hAnsiTheme="minorBidi" w:cs="Arial"/>
          <w:u w:val="single"/>
          <w:rtl/>
        </w:rPr>
        <w:t>קרקע של</w:t>
      </w:r>
      <w:r w:rsidRPr="006F4312">
        <w:rPr>
          <w:rFonts w:asciiTheme="minorBidi" w:hAnsiTheme="minorBidi" w:cs="Arial" w:hint="cs"/>
          <w:u w:val="single"/>
          <w:rtl/>
        </w:rPr>
        <w:t xml:space="preserve"> התנור</w:t>
      </w:r>
      <w:r w:rsidRPr="006F4312">
        <w:rPr>
          <w:rFonts w:asciiTheme="minorBidi" w:hAnsiTheme="minorBidi" w:cs="Arial"/>
          <w:u w:val="single"/>
          <w:rtl/>
        </w:rPr>
        <w:t xml:space="preserve"> בלא כלי ואח"כ </w:t>
      </w:r>
      <w:r w:rsidRPr="006F4312">
        <w:rPr>
          <w:rFonts w:asciiTheme="minorBidi" w:hAnsiTheme="minorBidi" w:cs="Arial" w:hint="cs"/>
          <w:u w:val="single"/>
          <w:rtl/>
        </w:rPr>
        <w:t>נתנו באותו מקום</w:t>
      </w:r>
      <w:r w:rsidRPr="006F4312">
        <w:rPr>
          <w:rFonts w:asciiTheme="minorBidi" w:hAnsiTheme="minorBidi" w:cs="Arial"/>
          <w:u w:val="single"/>
          <w:rtl/>
        </w:rPr>
        <w:t xml:space="preserve"> קדרה של בשר רותחת</w:t>
      </w:r>
      <w:r w:rsidRPr="006F4312">
        <w:rPr>
          <w:rFonts w:asciiTheme="minorBidi" w:hAnsiTheme="minorBidi" w:cs="Arial" w:hint="cs"/>
          <w:u w:val="single"/>
          <w:rtl/>
        </w:rPr>
        <w:t>:</w:t>
      </w:r>
      <w:r w:rsidRPr="006F4312">
        <w:rPr>
          <w:rFonts w:asciiTheme="minorBidi" w:hAnsiTheme="minorBidi" w:hint="cs"/>
          <w:u w:val="single"/>
          <w:rtl/>
        </w:rPr>
        <w:t xml:space="preserve"> </w:t>
      </w:r>
    </w:p>
    <w:p w14:paraId="791DB098" w14:textId="77777777" w:rsidR="002C39F4" w:rsidRDefault="002C39F4" w:rsidP="0032102C">
      <w:pPr>
        <w:pStyle w:val="a8"/>
        <w:numPr>
          <w:ilvl w:val="0"/>
          <w:numId w:val="139"/>
        </w:numPr>
        <w:rPr>
          <w:rFonts w:asciiTheme="minorBidi" w:hAnsiTheme="minorBidi"/>
        </w:rPr>
      </w:pPr>
      <w:r>
        <w:rPr>
          <w:rFonts w:asciiTheme="minorBidi" w:hAnsiTheme="minorBidi" w:cs="Arial" w:hint="cs"/>
          <w:rtl/>
        </w:rPr>
        <w:t xml:space="preserve">ט"ז </w:t>
      </w:r>
      <w:r w:rsidRPr="006F4312">
        <w:rPr>
          <w:rFonts w:asciiTheme="minorBidi" w:hAnsiTheme="minorBidi" w:cs="Arial" w:hint="cs"/>
          <w:sz w:val="16"/>
          <w:szCs w:val="16"/>
          <w:rtl/>
        </w:rPr>
        <w:t>(סק"ג)</w:t>
      </w:r>
      <w:r>
        <w:rPr>
          <w:rFonts w:asciiTheme="minorBidi" w:hAnsiTheme="minorBidi" w:cs="Arial" w:hint="cs"/>
          <w:rtl/>
        </w:rPr>
        <w:t xml:space="preserve">- </w:t>
      </w:r>
      <w:r w:rsidRPr="006F4312">
        <w:rPr>
          <w:rFonts w:asciiTheme="minorBidi" w:hAnsiTheme="minorBidi" w:cs="Arial"/>
          <w:rtl/>
        </w:rPr>
        <w:t>אין כאן איסור</w:t>
      </w:r>
      <w:r>
        <w:rPr>
          <w:rFonts w:asciiTheme="minorBidi" w:hAnsiTheme="minorBidi" w:cs="Arial" w:hint="cs"/>
          <w:rtl/>
        </w:rPr>
        <w:t>,</w:t>
      </w:r>
      <w:r w:rsidRPr="006F4312">
        <w:rPr>
          <w:rFonts w:asciiTheme="minorBidi" w:hAnsiTheme="minorBidi" w:cs="Arial"/>
          <w:rtl/>
        </w:rPr>
        <w:t xml:space="preserve"> דחרסית של תנור שבלעו מן החלב לא גרע מקדירה שמבשלין בתוכה חלב ונגעה בקדירה של בשר דאין שם איסור</w:t>
      </w:r>
      <w:r>
        <w:rPr>
          <w:rStyle w:val="a7"/>
          <w:rFonts w:asciiTheme="minorBidi" w:hAnsiTheme="minorBidi" w:cs="Arial"/>
          <w:rtl/>
        </w:rPr>
        <w:footnoteReference w:id="1731"/>
      </w:r>
      <w:r w:rsidRPr="006F4312">
        <w:rPr>
          <w:rFonts w:asciiTheme="minorBidi" w:hAnsiTheme="minorBidi" w:cs="Arial"/>
          <w:rtl/>
        </w:rPr>
        <w:t xml:space="preserve"> כמ"ש הפוסקים בשתי קדרות שנוגעות</w:t>
      </w:r>
      <w:r>
        <w:rPr>
          <w:rFonts w:asciiTheme="minorBidi" w:hAnsiTheme="minorBidi" w:cs="Arial"/>
          <w:rtl/>
        </w:rPr>
        <w:t xml:space="preserve"> זו בזו ורמ"א מביאו סי' צב סע</w:t>
      </w:r>
      <w:r>
        <w:rPr>
          <w:rFonts w:asciiTheme="minorBidi" w:hAnsiTheme="minorBidi" w:cs="Arial" w:hint="cs"/>
          <w:rtl/>
        </w:rPr>
        <w:t>'</w:t>
      </w:r>
      <w:r w:rsidRPr="006F4312">
        <w:rPr>
          <w:rFonts w:asciiTheme="minorBidi" w:hAnsiTheme="minorBidi" w:cs="Arial"/>
          <w:rtl/>
        </w:rPr>
        <w:t xml:space="preserve"> ח</w:t>
      </w:r>
      <w:r>
        <w:rPr>
          <w:rFonts w:asciiTheme="minorBidi" w:hAnsiTheme="minorBidi" w:cs="Arial" w:hint="cs"/>
          <w:rtl/>
        </w:rPr>
        <w:t>,</w:t>
      </w:r>
      <w:r w:rsidRPr="006F4312">
        <w:rPr>
          <w:rFonts w:asciiTheme="minorBidi" w:hAnsiTheme="minorBidi" w:cs="Arial"/>
          <w:rtl/>
        </w:rPr>
        <w:t xml:space="preserve"> וכאן שהחמיר במחבת היינו לכתחלה דוקא</w:t>
      </w:r>
      <w:r>
        <w:rPr>
          <w:rStyle w:val="a7"/>
          <w:rFonts w:asciiTheme="minorBidi" w:hAnsiTheme="minorBidi"/>
          <w:rtl/>
        </w:rPr>
        <w:footnoteReference w:id="1732"/>
      </w:r>
      <w:r>
        <w:rPr>
          <w:rFonts w:asciiTheme="minorBidi" w:hAnsiTheme="minorBidi" w:hint="cs"/>
          <w:rtl/>
        </w:rPr>
        <w:t>.</w:t>
      </w:r>
    </w:p>
    <w:p w14:paraId="030CA298" w14:textId="77777777" w:rsidR="002C39F4" w:rsidRDefault="002C39F4" w:rsidP="002C39F4">
      <w:pPr>
        <w:rPr>
          <w:rFonts w:asciiTheme="minorBidi" w:hAnsiTheme="minorBidi" w:cs="Arial"/>
          <w:rtl/>
        </w:rPr>
      </w:pPr>
      <w:r w:rsidRPr="0037011B">
        <w:rPr>
          <w:rFonts w:asciiTheme="minorBidi" w:hAnsiTheme="minorBidi" w:cs="Arial" w:hint="cs"/>
          <w:u w:val="single"/>
          <w:rtl/>
        </w:rPr>
        <w:t>שינוי בצורת ה</w:t>
      </w:r>
      <w:r>
        <w:rPr>
          <w:rFonts w:asciiTheme="minorBidi" w:hAnsiTheme="minorBidi" w:cs="Arial" w:hint="cs"/>
          <w:u w:val="single"/>
          <w:rtl/>
        </w:rPr>
        <w:t>פ</w:t>
      </w:r>
      <w:r w:rsidRPr="0037011B">
        <w:rPr>
          <w:rFonts w:asciiTheme="minorBidi" w:hAnsiTheme="minorBidi" w:cs="Arial" w:hint="cs"/>
          <w:u w:val="single"/>
          <w:rtl/>
        </w:rPr>
        <w:t xml:space="preserve">ת </w:t>
      </w:r>
      <w:r w:rsidRPr="0037011B">
        <w:rPr>
          <w:rFonts w:asciiTheme="minorBidi" w:hAnsiTheme="minorBidi" w:cs="Arial"/>
          <w:u w:val="single"/>
          <w:rtl/>
        </w:rPr>
        <w:t>–</w:t>
      </w:r>
      <w:r w:rsidRPr="0037011B">
        <w:rPr>
          <w:rFonts w:asciiTheme="minorBidi" w:hAnsiTheme="minorBidi" w:cs="Arial" w:hint="cs"/>
          <w:u w:val="single"/>
          <w:rtl/>
        </w:rPr>
        <w:t xml:space="preserve"> כשרוצה למכור בשוק:</w:t>
      </w:r>
      <w:r>
        <w:rPr>
          <w:rFonts w:asciiTheme="minorBidi" w:hAnsiTheme="minorBidi" w:cs="Arial" w:hint="cs"/>
          <w:rtl/>
        </w:rPr>
        <w:t xml:space="preserve"> </w:t>
      </w:r>
      <w:r w:rsidRPr="0037011B">
        <w:rPr>
          <w:rFonts w:asciiTheme="minorBidi" w:hAnsiTheme="minorBidi" w:cs="Arial"/>
          <w:sz w:val="16"/>
          <w:szCs w:val="16"/>
          <w:rtl/>
        </w:rPr>
        <w:t>(</w:t>
      </w:r>
      <w:r w:rsidRPr="0037011B">
        <w:rPr>
          <w:rFonts w:asciiTheme="minorBidi" w:hAnsiTheme="minorBidi" w:cs="Arial" w:hint="cs"/>
          <w:sz w:val="16"/>
          <w:szCs w:val="16"/>
          <w:rtl/>
        </w:rPr>
        <w:t>פת"ש סק"</w:t>
      </w:r>
      <w:r w:rsidRPr="0037011B">
        <w:rPr>
          <w:rFonts w:asciiTheme="minorBidi" w:hAnsiTheme="minorBidi" w:cs="Arial"/>
          <w:sz w:val="16"/>
          <w:szCs w:val="16"/>
          <w:rtl/>
        </w:rPr>
        <w:t xml:space="preserve">ג) </w:t>
      </w:r>
    </w:p>
    <w:p w14:paraId="16C65FF0" w14:textId="77777777" w:rsidR="002C39F4" w:rsidRPr="0037011B" w:rsidRDefault="002C39F4" w:rsidP="0032102C">
      <w:pPr>
        <w:pStyle w:val="a8"/>
        <w:numPr>
          <w:ilvl w:val="0"/>
          <w:numId w:val="139"/>
        </w:numPr>
        <w:rPr>
          <w:rFonts w:asciiTheme="minorBidi" w:hAnsiTheme="minorBidi" w:cs="Arial"/>
          <w:rtl/>
        </w:rPr>
      </w:pPr>
      <w:r w:rsidRPr="0037011B">
        <w:rPr>
          <w:rFonts w:asciiTheme="minorBidi" w:hAnsiTheme="minorBidi" w:cs="Arial"/>
          <w:rtl/>
        </w:rPr>
        <w:t xml:space="preserve">מהרי"ט </w:t>
      </w:r>
      <w:r w:rsidRPr="0037011B">
        <w:rPr>
          <w:rFonts w:asciiTheme="minorBidi" w:hAnsiTheme="minorBidi" w:cs="Arial" w:hint="cs"/>
          <w:sz w:val="16"/>
          <w:szCs w:val="16"/>
          <w:rtl/>
        </w:rPr>
        <w:t>(</w:t>
      </w:r>
      <w:r w:rsidRPr="0037011B">
        <w:rPr>
          <w:rFonts w:asciiTheme="minorBidi" w:hAnsiTheme="minorBidi" w:cs="Arial"/>
          <w:sz w:val="16"/>
          <w:szCs w:val="16"/>
          <w:rtl/>
        </w:rPr>
        <w:t>ח"ב סי' יח)</w:t>
      </w:r>
      <w:r w:rsidRPr="0037011B">
        <w:rPr>
          <w:rFonts w:asciiTheme="minorBidi" w:hAnsiTheme="minorBidi" w:cs="Arial" w:hint="cs"/>
          <w:rtl/>
        </w:rPr>
        <w:t>-</w:t>
      </w:r>
      <w:r w:rsidRPr="0037011B">
        <w:rPr>
          <w:rFonts w:asciiTheme="minorBidi" w:hAnsiTheme="minorBidi" w:cs="Arial"/>
          <w:rtl/>
        </w:rPr>
        <w:t xml:space="preserve"> אין מועיל שינוי רק בביתו אבל לעשות הפת מרובה למכור בשוק אסור</w:t>
      </w:r>
      <w:r w:rsidRPr="0037011B">
        <w:rPr>
          <w:rFonts w:asciiTheme="minorBidi" w:hAnsiTheme="minorBidi" w:cs="Arial" w:hint="cs"/>
          <w:rtl/>
        </w:rPr>
        <w:t>,</w:t>
      </w:r>
      <w:r w:rsidRPr="0037011B">
        <w:rPr>
          <w:rFonts w:asciiTheme="minorBidi" w:hAnsiTheme="minorBidi" w:cs="Arial"/>
          <w:rtl/>
        </w:rPr>
        <w:t xml:space="preserve"> דאורחים לא יכירו בשינוי</w:t>
      </w:r>
      <w:r w:rsidRPr="0037011B">
        <w:rPr>
          <w:rFonts w:asciiTheme="minorBidi" w:hAnsiTheme="minorBidi" w:cs="Arial" w:hint="cs"/>
          <w:rtl/>
        </w:rPr>
        <w:t>,</w:t>
      </w:r>
      <w:r w:rsidRPr="0037011B">
        <w:rPr>
          <w:rFonts w:asciiTheme="minorBidi" w:hAnsiTheme="minorBidi" w:cs="Arial"/>
          <w:rtl/>
        </w:rPr>
        <w:t xml:space="preserve"> ואף על סמך ההודעה אסור דחיישינן שמא ישכח מלהודיע.</w:t>
      </w:r>
    </w:p>
    <w:p w14:paraId="535B2EF0" w14:textId="77777777" w:rsidR="002C39F4" w:rsidRDefault="002C39F4" w:rsidP="002C39F4">
      <w:pPr>
        <w:rPr>
          <w:rFonts w:asciiTheme="minorBidi" w:hAnsiTheme="minorBidi" w:cs="Arial"/>
          <w:rtl/>
        </w:rPr>
      </w:pPr>
      <w:r w:rsidRPr="0037011B">
        <w:rPr>
          <w:rFonts w:asciiTheme="minorBidi" w:hAnsiTheme="minorBidi" w:cs="Arial" w:hint="cs"/>
          <w:u w:val="single"/>
          <w:rtl/>
        </w:rPr>
        <w:t>שינוי בצורת ה</w:t>
      </w:r>
      <w:r>
        <w:rPr>
          <w:rFonts w:asciiTheme="minorBidi" w:hAnsiTheme="minorBidi" w:cs="Arial" w:hint="cs"/>
          <w:u w:val="single"/>
          <w:rtl/>
        </w:rPr>
        <w:t>פ</w:t>
      </w:r>
      <w:r w:rsidRPr="0037011B">
        <w:rPr>
          <w:rFonts w:asciiTheme="minorBidi" w:hAnsiTheme="minorBidi" w:cs="Arial" w:hint="cs"/>
          <w:u w:val="single"/>
          <w:rtl/>
        </w:rPr>
        <w:t xml:space="preserve">ת </w:t>
      </w:r>
      <w:r>
        <w:rPr>
          <w:rFonts w:asciiTheme="minorBidi" w:hAnsiTheme="minorBidi" w:cs="Arial" w:hint="cs"/>
          <w:u w:val="single"/>
          <w:rtl/>
        </w:rPr>
        <w:t>לאחר אפייה</w:t>
      </w:r>
      <w:r w:rsidRPr="0037011B">
        <w:rPr>
          <w:rFonts w:asciiTheme="minorBidi" w:hAnsiTheme="minorBidi" w:cs="Arial" w:hint="cs"/>
          <w:u w:val="single"/>
          <w:rtl/>
        </w:rPr>
        <w:t>:</w:t>
      </w:r>
      <w:r>
        <w:rPr>
          <w:rFonts w:asciiTheme="minorBidi" w:hAnsiTheme="minorBidi" w:cs="Arial" w:hint="cs"/>
          <w:rtl/>
        </w:rPr>
        <w:t xml:space="preserve"> </w:t>
      </w:r>
      <w:r w:rsidRPr="0037011B">
        <w:rPr>
          <w:rFonts w:asciiTheme="minorBidi" w:hAnsiTheme="minorBidi" w:cs="Arial"/>
          <w:sz w:val="16"/>
          <w:szCs w:val="16"/>
          <w:rtl/>
        </w:rPr>
        <w:t>(</w:t>
      </w:r>
      <w:r w:rsidRPr="0037011B">
        <w:rPr>
          <w:rFonts w:asciiTheme="minorBidi" w:hAnsiTheme="minorBidi" w:cs="Arial" w:hint="cs"/>
          <w:sz w:val="16"/>
          <w:szCs w:val="16"/>
          <w:rtl/>
        </w:rPr>
        <w:t>פת"ש סק"</w:t>
      </w:r>
      <w:r w:rsidRPr="0037011B">
        <w:rPr>
          <w:rFonts w:asciiTheme="minorBidi" w:hAnsiTheme="minorBidi" w:cs="Arial"/>
          <w:sz w:val="16"/>
          <w:szCs w:val="16"/>
          <w:rtl/>
        </w:rPr>
        <w:t xml:space="preserve">ג) </w:t>
      </w:r>
    </w:p>
    <w:p w14:paraId="6C24993B" w14:textId="77777777" w:rsidR="002C39F4" w:rsidRPr="0037011B" w:rsidRDefault="002C39F4" w:rsidP="0032102C">
      <w:pPr>
        <w:pStyle w:val="a8"/>
        <w:numPr>
          <w:ilvl w:val="0"/>
          <w:numId w:val="139"/>
        </w:numPr>
        <w:rPr>
          <w:rFonts w:asciiTheme="minorBidi" w:hAnsiTheme="minorBidi" w:cs="Arial"/>
          <w:rtl/>
        </w:rPr>
      </w:pPr>
      <w:r w:rsidRPr="0037011B">
        <w:rPr>
          <w:rFonts w:asciiTheme="minorBidi" w:hAnsiTheme="minorBidi" w:cs="Arial"/>
          <w:rtl/>
        </w:rPr>
        <w:t xml:space="preserve">ח"ד </w:t>
      </w:r>
      <w:r w:rsidRPr="0037011B">
        <w:rPr>
          <w:rFonts w:asciiTheme="minorBidi" w:hAnsiTheme="minorBidi" w:cs="Arial" w:hint="cs"/>
          <w:rtl/>
        </w:rPr>
        <w:t>ו</w:t>
      </w:r>
      <w:r w:rsidRPr="0037011B">
        <w:rPr>
          <w:rFonts w:asciiTheme="minorBidi" w:hAnsiTheme="minorBidi" w:cs="Arial"/>
          <w:rtl/>
        </w:rPr>
        <w:t>פמ"ג</w:t>
      </w:r>
      <w:r w:rsidRPr="0037011B">
        <w:rPr>
          <w:rFonts w:asciiTheme="minorBidi" w:hAnsiTheme="minorBidi" w:cs="Arial" w:hint="cs"/>
          <w:rtl/>
        </w:rPr>
        <w:t xml:space="preserve"> - </w:t>
      </w:r>
      <w:r w:rsidRPr="0037011B">
        <w:rPr>
          <w:rFonts w:asciiTheme="minorBidi" w:hAnsiTheme="minorBidi" w:cs="Arial"/>
          <w:rtl/>
        </w:rPr>
        <w:t>שינוי אין מועיל רק כששינה בשעת אפיה דלא היה עליו איסור כלל אבל לעשות שינוי אחר שכבר נאסר אינו מועיל</w:t>
      </w:r>
      <w:r w:rsidRPr="0037011B">
        <w:rPr>
          <w:rFonts w:asciiTheme="minorBidi" w:hAnsiTheme="minorBidi" w:cs="Arial" w:hint="cs"/>
          <w:rtl/>
        </w:rPr>
        <w:t>,</w:t>
      </w:r>
      <w:r w:rsidRPr="0037011B">
        <w:rPr>
          <w:rFonts w:asciiTheme="minorBidi" w:hAnsiTheme="minorBidi" w:cs="Arial"/>
          <w:rtl/>
        </w:rPr>
        <w:t xml:space="preserve"> וכן לחלקו להרבה ב"א שיגיע לכ"א דבר מועט אסור כיון שכבר נאסר ונעשה נבלה</w:t>
      </w:r>
      <w:r w:rsidRPr="0037011B">
        <w:rPr>
          <w:rFonts w:asciiTheme="minorBidi" w:hAnsiTheme="minorBidi" w:cs="Arial" w:hint="cs"/>
          <w:rtl/>
        </w:rPr>
        <w:t>.</w:t>
      </w:r>
      <w:r w:rsidRPr="0037011B">
        <w:rPr>
          <w:rFonts w:asciiTheme="minorBidi" w:hAnsiTheme="minorBidi" w:cs="Arial"/>
          <w:rtl/>
        </w:rPr>
        <w:t xml:space="preserve"> </w:t>
      </w:r>
    </w:p>
    <w:p w14:paraId="531769CA" w14:textId="77777777" w:rsidR="002C39F4" w:rsidRPr="0037011B" w:rsidRDefault="002C39F4" w:rsidP="0032102C">
      <w:pPr>
        <w:pStyle w:val="a8"/>
        <w:numPr>
          <w:ilvl w:val="0"/>
          <w:numId w:val="139"/>
        </w:numPr>
        <w:rPr>
          <w:rFonts w:asciiTheme="minorBidi" w:hAnsiTheme="minorBidi" w:cs="Arial"/>
          <w:rtl/>
        </w:rPr>
      </w:pPr>
      <w:r w:rsidRPr="0037011B">
        <w:rPr>
          <w:rFonts w:asciiTheme="minorBidi" w:hAnsiTheme="minorBidi" w:cs="Arial"/>
          <w:rtl/>
        </w:rPr>
        <w:t>כו"פ בשם זקינו</w:t>
      </w:r>
      <w:r w:rsidRPr="0037011B">
        <w:rPr>
          <w:rFonts w:asciiTheme="minorBidi" w:hAnsiTheme="minorBidi" w:cs="Arial" w:hint="cs"/>
          <w:rtl/>
        </w:rPr>
        <w:t>- מותר.</w:t>
      </w:r>
      <w:r w:rsidRPr="0037011B">
        <w:rPr>
          <w:rFonts w:asciiTheme="minorBidi" w:hAnsiTheme="minorBidi" w:cs="Arial"/>
          <w:rtl/>
        </w:rPr>
        <w:t xml:space="preserve"> </w:t>
      </w:r>
    </w:p>
    <w:p w14:paraId="44423FE0" w14:textId="77777777" w:rsidR="002C39F4" w:rsidRDefault="002C39F4" w:rsidP="002C39F4">
      <w:pPr>
        <w:rPr>
          <w:rFonts w:asciiTheme="minorBidi" w:hAnsiTheme="minorBidi" w:cs="Arial"/>
          <w:rtl/>
        </w:rPr>
      </w:pPr>
      <w:r w:rsidRPr="0037011B">
        <w:rPr>
          <w:rFonts w:asciiTheme="minorBidi" w:hAnsiTheme="minorBidi" w:cs="Arial" w:hint="cs"/>
          <w:u w:val="single"/>
          <w:rtl/>
        </w:rPr>
        <w:t xml:space="preserve">פת שלש אותה בשומן וליכא למיחש שיאכלו אותה עם חלב </w:t>
      </w:r>
      <w:r w:rsidRPr="0037011B">
        <w:rPr>
          <w:rFonts w:asciiTheme="minorBidi" w:hAnsiTheme="minorBidi" w:cs="Arial" w:hint="cs"/>
          <w:sz w:val="16"/>
          <w:szCs w:val="16"/>
          <w:u w:val="single"/>
          <w:rtl/>
        </w:rPr>
        <w:t>(</w:t>
      </w:r>
      <w:r>
        <w:rPr>
          <w:rFonts w:asciiTheme="minorBidi" w:hAnsiTheme="minorBidi" w:cs="Arial" w:hint="cs"/>
          <w:sz w:val="16"/>
          <w:szCs w:val="16"/>
          <w:u w:val="single"/>
          <w:rtl/>
        </w:rPr>
        <w:t>וכן להפך</w:t>
      </w:r>
      <w:r w:rsidRPr="0037011B">
        <w:rPr>
          <w:rFonts w:asciiTheme="minorBidi" w:hAnsiTheme="minorBidi" w:cs="Arial" w:hint="cs"/>
          <w:sz w:val="16"/>
          <w:szCs w:val="16"/>
          <w:u w:val="single"/>
          <w:rtl/>
        </w:rPr>
        <w:t>)</w:t>
      </w:r>
      <w:r w:rsidRPr="0037011B">
        <w:rPr>
          <w:rFonts w:asciiTheme="minorBidi" w:hAnsiTheme="minorBidi" w:cs="Arial" w:hint="cs"/>
          <w:u w:val="single"/>
          <w:rtl/>
        </w:rPr>
        <w:t>:</w:t>
      </w:r>
      <w:r>
        <w:rPr>
          <w:rFonts w:asciiTheme="minorBidi" w:hAnsiTheme="minorBidi" w:cs="Arial" w:hint="cs"/>
          <w:rtl/>
        </w:rPr>
        <w:t xml:space="preserve"> </w:t>
      </w:r>
      <w:r w:rsidRPr="0037011B">
        <w:rPr>
          <w:rFonts w:asciiTheme="minorBidi" w:hAnsiTheme="minorBidi" w:cs="Arial"/>
          <w:sz w:val="16"/>
          <w:szCs w:val="16"/>
          <w:rtl/>
        </w:rPr>
        <w:t>(</w:t>
      </w:r>
      <w:r w:rsidRPr="0037011B">
        <w:rPr>
          <w:rFonts w:asciiTheme="minorBidi" w:hAnsiTheme="minorBidi" w:cs="Arial" w:hint="cs"/>
          <w:sz w:val="16"/>
          <w:szCs w:val="16"/>
          <w:rtl/>
        </w:rPr>
        <w:t>פת"ש סק"</w:t>
      </w:r>
      <w:r w:rsidRPr="0037011B">
        <w:rPr>
          <w:rFonts w:asciiTheme="minorBidi" w:hAnsiTheme="minorBidi" w:cs="Arial"/>
          <w:sz w:val="16"/>
          <w:szCs w:val="16"/>
          <w:rtl/>
        </w:rPr>
        <w:t xml:space="preserve">ג) </w:t>
      </w:r>
    </w:p>
    <w:p w14:paraId="3C9957E1" w14:textId="77777777" w:rsidR="002C39F4" w:rsidRPr="0037011B" w:rsidRDefault="002C39F4" w:rsidP="0032102C">
      <w:pPr>
        <w:pStyle w:val="a8"/>
        <w:numPr>
          <w:ilvl w:val="0"/>
          <w:numId w:val="139"/>
        </w:numPr>
        <w:rPr>
          <w:rFonts w:asciiTheme="minorBidi" w:hAnsiTheme="minorBidi" w:cs="Arial"/>
        </w:rPr>
      </w:pPr>
      <w:r w:rsidRPr="0037011B">
        <w:rPr>
          <w:rFonts w:asciiTheme="minorBidi" w:hAnsiTheme="minorBidi" w:cs="Arial"/>
          <w:rtl/>
        </w:rPr>
        <w:t>מהרי"ט</w:t>
      </w:r>
      <w:r w:rsidRPr="0037011B">
        <w:rPr>
          <w:rFonts w:asciiTheme="minorBidi" w:hAnsiTheme="minorBidi" w:cs="Arial" w:hint="cs"/>
          <w:rtl/>
        </w:rPr>
        <w:t xml:space="preserve"> </w:t>
      </w:r>
      <w:r w:rsidRPr="0037011B">
        <w:rPr>
          <w:rFonts w:asciiTheme="minorBidi" w:hAnsiTheme="minorBidi" w:cs="Arial" w:hint="cs"/>
          <w:sz w:val="16"/>
          <w:szCs w:val="16"/>
          <w:rtl/>
        </w:rPr>
        <w:t>(שם)</w:t>
      </w:r>
      <w:r w:rsidRPr="0037011B">
        <w:rPr>
          <w:rFonts w:asciiTheme="minorBidi" w:hAnsiTheme="minorBidi" w:cs="Arial" w:hint="cs"/>
          <w:rtl/>
        </w:rPr>
        <w:t xml:space="preserve">- </w:t>
      </w:r>
      <w:r w:rsidRPr="0037011B">
        <w:rPr>
          <w:rFonts w:asciiTheme="minorBidi" w:hAnsiTheme="minorBidi" w:cs="Arial"/>
          <w:rtl/>
        </w:rPr>
        <w:t xml:space="preserve">הא דאסור אם ליכא שינוי דוקא היכא דאיכא חשש שיאכלן עם גבינה ביחד אבל היכא דליכא למיחש להכי כמו אותם הממולאים במיני מתיקה שאין דרך לאכלן עם גבינה מותר ללוש אותם עם שומן ולא חיישינן שמא אחריהם יאכל גבינה דדיינו במה שאסרו ואין לנו לגזור גזירה אחרת עליה </w:t>
      </w:r>
      <w:r w:rsidRPr="0037011B">
        <w:rPr>
          <w:rFonts w:asciiTheme="minorBidi" w:hAnsiTheme="minorBidi" w:cs="Arial" w:hint="cs"/>
          <w:sz w:val="16"/>
          <w:szCs w:val="16"/>
          <w:rtl/>
        </w:rPr>
        <w:t>(ע"ש שכ</w:t>
      </w:r>
      <w:r>
        <w:rPr>
          <w:rFonts w:asciiTheme="minorBidi" w:hAnsiTheme="minorBidi" w:cs="Arial" w:hint="cs"/>
          <w:sz w:val="16"/>
          <w:szCs w:val="16"/>
          <w:rtl/>
        </w:rPr>
        <w:t>'</w:t>
      </w:r>
      <w:r w:rsidRPr="0037011B">
        <w:rPr>
          <w:rFonts w:asciiTheme="minorBidi" w:hAnsiTheme="minorBidi" w:cs="Arial" w:hint="cs"/>
          <w:sz w:val="16"/>
          <w:szCs w:val="16"/>
          <w:rtl/>
        </w:rPr>
        <w:t xml:space="preserve"> עוד טעמים בזה)</w:t>
      </w:r>
      <w:r w:rsidRPr="0037011B">
        <w:rPr>
          <w:rFonts w:asciiTheme="minorBidi" w:hAnsiTheme="minorBidi" w:cs="Arial" w:hint="cs"/>
          <w:rtl/>
        </w:rPr>
        <w:t>.</w:t>
      </w:r>
    </w:p>
    <w:p w14:paraId="61CD34F8" w14:textId="77777777" w:rsidR="002C39F4" w:rsidRPr="003024E5" w:rsidRDefault="002C39F4" w:rsidP="002C39F4">
      <w:pPr>
        <w:rPr>
          <w:rFonts w:asciiTheme="minorBidi" w:hAnsiTheme="minorBidi"/>
          <w:rtl/>
        </w:rPr>
      </w:pPr>
    </w:p>
    <w:p w14:paraId="1875ECF5"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תנור שטחו באליה.</w:t>
      </w:r>
    </w:p>
    <w:p w14:paraId="7F1024D4" w14:textId="77777777" w:rsidR="002C39F4" w:rsidRPr="00185030" w:rsidRDefault="002C39F4" w:rsidP="002C39F4">
      <w:pPr>
        <w:rPr>
          <w:rFonts w:cs="Arial"/>
          <w:rtl/>
        </w:rPr>
      </w:pPr>
      <w:r>
        <w:rPr>
          <w:rFonts w:cs="Arial" w:hint="cs"/>
          <w:b/>
          <w:bCs/>
          <w:rtl/>
        </w:rPr>
        <w:t>פסחים ל ע"א:</w:t>
      </w:r>
      <w:r>
        <w:rPr>
          <w:rFonts w:cs="Arial" w:hint="cs"/>
          <w:rtl/>
        </w:rPr>
        <w:t xml:space="preserve"> </w:t>
      </w:r>
      <w:r w:rsidRPr="00A15AD7">
        <w:rPr>
          <w:rFonts w:cs="Arial"/>
          <w:rtl/>
        </w:rPr>
        <w:t>ההוא תנורא דטחו ביה טיחיא</w:t>
      </w:r>
      <w:r>
        <w:rPr>
          <w:rStyle w:val="a7"/>
          <w:rFonts w:cs="Arial"/>
          <w:rtl/>
        </w:rPr>
        <w:footnoteReference w:id="1733"/>
      </w:r>
      <w:r w:rsidRPr="00A15AD7">
        <w:rPr>
          <w:rFonts w:cs="Arial"/>
          <w:rtl/>
        </w:rPr>
        <w:t xml:space="preserve">, אסרה </w:t>
      </w:r>
      <w:r w:rsidRPr="003E1766">
        <w:rPr>
          <w:rFonts w:cs="Arial"/>
          <w:u w:val="single"/>
          <w:rtl/>
        </w:rPr>
        <w:t>רבא בר אהילאי</w:t>
      </w:r>
      <w:r w:rsidRPr="00A15AD7">
        <w:rPr>
          <w:rFonts w:cs="Arial"/>
          <w:rtl/>
        </w:rPr>
        <w:t xml:space="preserve"> למיכליה לריפתא</w:t>
      </w:r>
      <w:r>
        <w:rPr>
          <w:rStyle w:val="a7"/>
          <w:rFonts w:cs="Arial"/>
          <w:rtl/>
        </w:rPr>
        <w:footnoteReference w:id="1734"/>
      </w:r>
      <w:r w:rsidRPr="00A15AD7">
        <w:rPr>
          <w:rFonts w:cs="Arial"/>
          <w:rtl/>
        </w:rPr>
        <w:t xml:space="preserve"> אפילו במילחא</w:t>
      </w:r>
      <w:r>
        <w:rPr>
          <w:rStyle w:val="a7"/>
          <w:rFonts w:cs="Arial"/>
          <w:rtl/>
        </w:rPr>
        <w:footnoteReference w:id="1735"/>
      </w:r>
      <w:r w:rsidRPr="00A15AD7">
        <w:rPr>
          <w:rFonts w:cs="Arial"/>
          <w:rtl/>
        </w:rPr>
        <w:t xml:space="preserve"> לעולם</w:t>
      </w:r>
      <w:r>
        <w:rPr>
          <w:rStyle w:val="a7"/>
          <w:rFonts w:cs="Arial"/>
          <w:rtl/>
        </w:rPr>
        <w:footnoteReference w:id="1736"/>
      </w:r>
      <w:r w:rsidRPr="00A15AD7">
        <w:rPr>
          <w:rFonts w:cs="Arial"/>
          <w:rtl/>
        </w:rPr>
        <w:t xml:space="preserve">, דילמא אתי למיכליה בכותחא. מיתיבי: </w:t>
      </w:r>
      <w:r>
        <w:rPr>
          <w:rFonts w:cs="Arial"/>
          <w:rtl/>
        </w:rPr>
        <w:t>אין לשין את העיסה בחלב, ואם לש</w:t>
      </w:r>
      <w:r w:rsidRPr="00A15AD7">
        <w:rPr>
          <w:rFonts w:cs="Arial"/>
          <w:rtl/>
        </w:rPr>
        <w:t xml:space="preserve"> כל הפת כולה אסורה, מפני הרגל עבירה. כיוצא בו</w:t>
      </w:r>
      <w:r>
        <w:rPr>
          <w:rFonts w:cs="Arial" w:hint="cs"/>
          <w:rtl/>
        </w:rPr>
        <w:t>,</w:t>
      </w:r>
      <w:r w:rsidRPr="00A15AD7">
        <w:rPr>
          <w:rFonts w:cs="Arial"/>
          <w:rtl/>
        </w:rPr>
        <w:t xml:space="preserve"> אין טשין</w:t>
      </w:r>
      <w:r>
        <w:rPr>
          <w:rStyle w:val="a7"/>
          <w:rFonts w:cs="Arial"/>
          <w:rtl/>
        </w:rPr>
        <w:footnoteReference w:id="1737"/>
      </w:r>
      <w:r>
        <w:rPr>
          <w:rFonts w:cs="Arial"/>
          <w:rtl/>
        </w:rPr>
        <w:t xml:space="preserve"> את התנור באליה, ואם טש </w:t>
      </w:r>
      <w:r w:rsidRPr="00A15AD7">
        <w:rPr>
          <w:rFonts w:cs="Arial"/>
          <w:rtl/>
        </w:rPr>
        <w:t>כל הפ</w:t>
      </w:r>
      <w:r>
        <w:rPr>
          <w:rFonts w:cs="Arial"/>
          <w:rtl/>
        </w:rPr>
        <w:t>ת כולה אסורה, עד שיסיק את התנור</w:t>
      </w:r>
      <w:r>
        <w:rPr>
          <w:rFonts w:cs="Arial" w:hint="cs"/>
          <w:rtl/>
        </w:rPr>
        <w:t>.</w:t>
      </w:r>
      <w:r>
        <w:rPr>
          <w:rFonts w:cs="Arial"/>
          <w:rtl/>
        </w:rPr>
        <w:t xml:space="preserve"> הא הוסק התנו</w:t>
      </w:r>
      <w:r>
        <w:rPr>
          <w:rFonts w:cs="Arial" w:hint="cs"/>
          <w:rtl/>
        </w:rPr>
        <w:t>ר</w:t>
      </w:r>
      <w:r w:rsidRPr="00A15AD7">
        <w:rPr>
          <w:rFonts w:cs="Arial"/>
          <w:rtl/>
        </w:rPr>
        <w:t xml:space="preserve"> מיהא שרי, תיובתא דרבא בר אהילאי! תיובתא. </w:t>
      </w:r>
      <w:r w:rsidRPr="003E1766">
        <w:rPr>
          <w:rFonts w:cs="Arial"/>
          <w:u w:val="single"/>
          <w:rtl/>
        </w:rPr>
        <w:t>אמר ליה רבינא לרב אשי</w:t>
      </w:r>
      <w:r w:rsidRPr="00A15AD7">
        <w:rPr>
          <w:rFonts w:cs="Arial"/>
          <w:rtl/>
        </w:rPr>
        <w:t>: וכי מאחר דאיתותב רבא בר אהילאי, א</w:t>
      </w:r>
      <w:r>
        <w:rPr>
          <w:rFonts w:cs="Arial"/>
          <w:rtl/>
        </w:rPr>
        <w:t>מאי קאמר רב קדירות בפסח ישברו?</w:t>
      </w:r>
      <w:r w:rsidRPr="00A15AD7">
        <w:rPr>
          <w:rFonts w:cs="Arial"/>
          <w:rtl/>
        </w:rPr>
        <w:t xml:space="preserve"> </w:t>
      </w:r>
      <w:r w:rsidRPr="003E1766">
        <w:rPr>
          <w:rFonts w:cs="Arial"/>
          <w:u w:val="single"/>
          <w:rtl/>
        </w:rPr>
        <w:t>אמר ליה</w:t>
      </w:r>
      <w:r>
        <w:rPr>
          <w:rFonts w:cs="Arial"/>
          <w:rtl/>
        </w:rPr>
        <w:t xml:space="preserve">: התם </w:t>
      </w:r>
      <w:r w:rsidRPr="00A15AD7">
        <w:rPr>
          <w:rFonts w:cs="Arial"/>
          <w:rtl/>
        </w:rPr>
        <w:t>תנור של מתכת, הכא בקדירה של חרס. וא</w:t>
      </w:r>
      <w:r>
        <w:rPr>
          <w:rFonts w:cs="Arial"/>
          <w:rtl/>
        </w:rPr>
        <w:t>יבעית אימא: הא והא בשל חרס, זה הסיקן מבפנים, וזה</w:t>
      </w:r>
      <w:r w:rsidRPr="00A15AD7">
        <w:rPr>
          <w:rFonts w:cs="Arial"/>
          <w:rtl/>
        </w:rPr>
        <w:t xml:space="preserve"> הסיקן מבחוץ. וכי תימ</w:t>
      </w:r>
      <w:r>
        <w:rPr>
          <w:rFonts w:cs="Arial"/>
          <w:rtl/>
        </w:rPr>
        <w:t>א הכי נמי ליעבד ליה הסקה מבפנים</w:t>
      </w:r>
      <w:r>
        <w:rPr>
          <w:rFonts w:cs="Arial" w:hint="cs"/>
          <w:rtl/>
        </w:rPr>
        <w:t xml:space="preserve"> </w:t>
      </w:r>
      <w:r w:rsidRPr="00A15AD7">
        <w:rPr>
          <w:rFonts w:cs="Arial"/>
          <w:rtl/>
        </w:rPr>
        <w:t>- חייס עליה</w:t>
      </w:r>
      <w:r>
        <w:rPr>
          <w:rStyle w:val="a7"/>
          <w:rFonts w:cs="Arial"/>
          <w:rtl/>
        </w:rPr>
        <w:footnoteReference w:id="1738"/>
      </w:r>
      <w:r>
        <w:rPr>
          <w:rFonts w:cs="Arial"/>
          <w:rtl/>
        </w:rPr>
        <w:t xml:space="preserve"> משום דפקעה. הלכך</w:t>
      </w:r>
      <w:r w:rsidRPr="00A15AD7">
        <w:rPr>
          <w:rFonts w:cs="Arial"/>
          <w:rtl/>
        </w:rPr>
        <w:t xml:space="preserve"> האי בוכיא</w:t>
      </w:r>
      <w:r>
        <w:rPr>
          <w:rStyle w:val="a7"/>
          <w:rFonts w:cs="Arial"/>
          <w:rtl/>
        </w:rPr>
        <w:footnoteReference w:id="1739"/>
      </w:r>
      <w:r w:rsidRPr="00A15AD7">
        <w:rPr>
          <w:rFonts w:cs="Arial"/>
          <w:rtl/>
        </w:rPr>
        <w:t xml:space="preserve"> הסיקו מב</w:t>
      </w:r>
      <w:r>
        <w:rPr>
          <w:rFonts w:cs="Arial"/>
          <w:rtl/>
        </w:rPr>
        <w:t>חוץ הוא ואסור</w:t>
      </w:r>
      <w:r>
        <w:rPr>
          <w:rFonts w:cs="Arial" w:hint="cs"/>
          <w:rtl/>
        </w:rPr>
        <w:t>,</w:t>
      </w:r>
      <w:r>
        <w:rPr>
          <w:rFonts w:cs="Arial"/>
          <w:rtl/>
        </w:rPr>
        <w:t xml:space="preserve"> ואי מלייה גומרי</w:t>
      </w:r>
      <w:r w:rsidRPr="00A15AD7">
        <w:rPr>
          <w:rFonts w:cs="Arial"/>
          <w:rtl/>
        </w:rPr>
        <w:t xml:space="preserve"> שפיר דמי. </w:t>
      </w:r>
      <w:r w:rsidRPr="00185030">
        <w:rPr>
          <w:rFonts w:cs="Arial" w:hint="cs"/>
          <w:sz w:val="16"/>
          <w:szCs w:val="16"/>
          <w:rtl/>
        </w:rPr>
        <w:t>(</w:t>
      </w:r>
      <w:r w:rsidRPr="00185030">
        <w:rPr>
          <w:rFonts w:cs="Arial"/>
          <w:sz w:val="16"/>
          <w:szCs w:val="16"/>
          <w:rtl/>
        </w:rPr>
        <w:t>וכתבו התוס</w:t>
      </w:r>
      <w:r w:rsidRPr="00185030">
        <w:rPr>
          <w:rFonts w:cs="Arial" w:hint="cs"/>
          <w:sz w:val="16"/>
          <w:szCs w:val="16"/>
          <w:rtl/>
        </w:rPr>
        <w:t>'</w:t>
      </w:r>
      <w:r w:rsidRPr="00185030">
        <w:rPr>
          <w:rFonts w:cs="Arial"/>
          <w:sz w:val="16"/>
          <w:szCs w:val="16"/>
          <w:rtl/>
        </w:rPr>
        <w:t xml:space="preserve"> והמפרשים בפכ"ה</w:t>
      </w:r>
      <w:r w:rsidRPr="00185030">
        <w:rPr>
          <w:rFonts w:cs="Arial"/>
          <w:sz w:val="14"/>
          <w:szCs w:val="14"/>
          <w:rtl/>
        </w:rPr>
        <w:t xml:space="preserve"> (קיא: ד"ה הלכתא)</w:t>
      </w:r>
      <w:r w:rsidRPr="00185030">
        <w:rPr>
          <w:rFonts w:cs="Arial"/>
          <w:sz w:val="16"/>
          <w:szCs w:val="16"/>
          <w:rtl/>
        </w:rPr>
        <w:t xml:space="preserve"> גבי דגים שעלו בקערה דדוקא בעינן שיוסק התנור ולא סגי בקינוח</w:t>
      </w:r>
      <w:r w:rsidRPr="00185030">
        <w:rPr>
          <w:rStyle w:val="a7"/>
          <w:rFonts w:cs="Arial"/>
          <w:sz w:val="16"/>
          <w:szCs w:val="16"/>
          <w:rtl/>
        </w:rPr>
        <w:footnoteReference w:id="1740"/>
      </w:r>
      <w:r>
        <w:rPr>
          <w:rFonts w:cs="Arial"/>
          <w:sz w:val="16"/>
          <w:szCs w:val="16"/>
          <w:rtl/>
        </w:rPr>
        <w:t xml:space="preserve"> מפני שא</w:t>
      </w:r>
      <w:r>
        <w:rPr>
          <w:rFonts w:cs="Arial" w:hint="cs"/>
          <w:sz w:val="16"/>
          <w:szCs w:val="16"/>
          <w:rtl/>
        </w:rPr>
        <w:t>"</w:t>
      </w:r>
      <w:r>
        <w:rPr>
          <w:rFonts w:cs="Arial"/>
          <w:sz w:val="16"/>
          <w:szCs w:val="16"/>
          <w:rtl/>
        </w:rPr>
        <w:t>א</w:t>
      </w:r>
      <w:r w:rsidRPr="00185030">
        <w:rPr>
          <w:rFonts w:cs="Arial"/>
          <w:sz w:val="16"/>
          <w:szCs w:val="16"/>
          <w:rtl/>
        </w:rPr>
        <w:t xml:space="preserve"> לתנור להתקנח יפה ונדבק בו השמנונית והוי בעין עד שיוסק</w:t>
      </w:r>
      <w:r w:rsidRPr="00185030">
        <w:rPr>
          <w:rFonts w:cs="Arial" w:hint="cs"/>
          <w:sz w:val="16"/>
          <w:szCs w:val="16"/>
          <w:rtl/>
        </w:rPr>
        <w:t>,</w:t>
      </w:r>
      <w:r w:rsidRPr="00185030">
        <w:rPr>
          <w:rFonts w:cs="Arial"/>
          <w:sz w:val="16"/>
          <w:szCs w:val="16"/>
          <w:rtl/>
        </w:rPr>
        <w:t xml:space="preserve"> ונראה דה</w:t>
      </w:r>
      <w:r w:rsidRPr="00185030">
        <w:rPr>
          <w:rFonts w:cs="Arial" w:hint="cs"/>
          <w:sz w:val="16"/>
          <w:szCs w:val="16"/>
          <w:rtl/>
        </w:rPr>
        <w:t>"</w:t>
      </w:r>
      <w:r w:rsidRPr="00185030">
        <w:rPr>
          <w:rFonts w:cs="Arial"/>
          <w:sz w:val="16"/>
          <w:szCs w:val="16"/>
          <w:rtl/>
        </w:rPr>
        <w:t>ה דהכא מהני עבדינהו כעין תורא</w:t>
      </w:r>
      <w:r w:rsidRPr="00185030">
        <w:rPr>
          <w:rFonts w:cs="Arial" w:hint="cs"/>
          <w:sz w:val="16"/>
          <w:szCs w:val="16"/>
          <w:rtl/>
        </w:rPr>
        <w:t>,</w:t>
      </w:r>
      <w:r w:rsidRPr="00185030">
        <w:rPr>
          <w:rFonts w:cs="Arial"/>
          <w:sz w:val="16"/>
          <w:szCs w:val="16"/>
          <w:rtl/>
        </w:rPr>
        <w:t xml:space="preserve"> כי היכי דמהני בלשין את העיסה בחלב</w:t>
      </w:r>
      <w:r w:rsidRPr="00185030">
        <w:rPr>
          <w:rFonts w:cs="Arial" w:hint="cs"/>
          <w:sz w:val="16"/>
          <w:szCs w:val="16"/>
          <w:rtl/>
        </w:rPr>
        <w:t>,</w:t>
      </w:r>
      <w:r w:rsidRPr="00185030">
        <w:rPr>
          <w:rFonts w:cs="Arial"/>
          <w:sz w:val="16"/>
          <w:szCs w:val="16"/>
          <w:rtl/>
        </w:rPr>
        <w:t xml:space="preserve"> וכך הם דברי הרמב"ם ז"ל בפ"ט מהל</w:t>
      </w:r>
      <w:r>
        <w:rPr>
          <w:rFonts w:cs="Arial" w:hint="cs"/>
          <w:sz w:val="16"/>
          <w:szCs w:val="16"/>
          <w:rtl/>
        </w:rPr>
        <w:t>מ"א</w:t>
      </w:r>
      <w:r w:rsidRPr="00185030">
        <w:rPr>
          <w:rFonts w:cs="Arial"/>
          <w:sz w:val="16"/>
          <w:szCs w:val="16"/>
          <w:rtl/>
        </w:rPr>
        <w:t xml:space="preserve"> </w:t>
      </w:r>
      <w:r w:rsidRPr="00185030">
        <w:rPr>
          <w:rFonts w:cs="Arial" w:hint="cs"/>
          <w:sz w:val="14"/>
          <w:szCs w:val="14"/>
          <w:rtl/>
        </w:rPr>
        <w:t>(</w:t>
      </w:r>
      <w:r w:rsidRPr="00185030">
        <w:rPr>
          <w:rFonts w:cs="Arial"/>
          <w:sz w:val="14"/>
          <w:szCs w:val="14"/>
          <w:rtl/>
        </w:rPr>
        <w:t>הכ"ב)</w:t>
      </w:r>
      <w:r w:rsidRPr="00185030">
        <w:rPr>
          <w:rFonts w:cs="Arial"/>
          <w:sz w:val="16"/>
          <w:szCs w:val="16"/>
          <w:rtl/>
        </w:rPr>
        <w:t xml:space="preserve"> ודברי הרשב"א בתוה</w:t>
      </w:r>
      <w:r w:rsidRPr="00185030">
        <w:rPr>
          <w:rFonts w:cs="Arial" w:hint="cs"/>
          <w:sz w:val="16"/>
          <w:szCs w:val="16"/>
          <w:rtl/>
        </w:rPr>
        <w:t>"</w:t>
      </w:r>
      <w:r w:rsidRPr="00185030">
        <w:rPr>
          <w:rFonts w:cs="Arial"/>
          <w:sz w:val="16"/>
          <w:szCs w:val="16"/>
          <w:rtl/>
        </w:rPr>
        <w:t xml:space="preserve">ב </w:t>
      </w:r>
      <w:r w:rsidRPr="00185030">
        <w:rPr>
          <w:rFonts w:cs="Arial"/>
          <w:sz w:val="14"/>
          <w:szCs w:val="14"/>
          <w:rtl/>
        </w:rPr>
        <w:t>(שם)</w:t>
      </w:r>
      <w:r w:rsidRPr="00185030">
        <w:rPr>
          <w:rFonts w:cs="Arial" w:hint="cs"/>
          <w:sz w:val="16"/>
          <w:szCs w:val="16"/>
          <w:rtl/>
        </w:rPr>
        <w:t>, ב"י)</w:t>
      </w:r>
    </w:p>
    <w:p w14:paraId="2961D13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8A378DB" w14:textId="77777777" w:rsidR="002C39F4" w:rsidRDefault="002C39F4" w:rsidP="002C39F4">
      <w:pPr>
        <w:rPr>
          <w:rFonts w:asciiTheme="minorBidi" w:hAnsiTheme="minorBidi"/>
          <w:rtl/>
        </w:rPr>
      </w:pPr>
      <w:r>
        <w:rPr>
          <w:rFonts w:asciiTheme="minorBidi" w:hAnsiTheme="minorBidi"/>
          <w:rtl/>
        </w:rPr>
        <w:t>תנור שטחו באליה</w:t>
      </w:r>
      <w:r w:rsidRPr="003024E5">
        <w:rPr>
          <w:rFonts w:asciiTheme="minorBidi" w:hAnsiTheme="minorBidi"/>
          <w:rtl/>
        </w:rPr>
        <w:t xml:space="preserve"> אין אופין בו </w:t>
      </w:r>
      <w:r>
        <w:rPr>
          <w:rFonts w:asciiTheme="minorBidi" w:hAnsiTheme="minorBidi"/>
          <w:rtl/>
        </w:rPr>
        <w:t>פת</w:t>
      </w:r>
      <w:r>
        <w:rPr>
          <w:rStyle w:val="a7"/>
          <w:rFonts w:asciiTheme="minorBidi" w:hAnsiTheme="minorBidi"/>
          <w:rtl/>
        </w:rPr>
        <w:footnoteReference w:id="1741"/>
      </w:r>
      <w:r>
        <w:rPr>
          <w:rFonts w:asciiTheme="minorBidi" w:hAnsiTheme="minorBidi"/>
          <w:rtl/>
        </w:rPr>
        <w:t xml:space="preserve"> עד שיסיקנו מבפנים עד שיתלבן</w:t>
      </w:r>
      <w:r>
        <w:rPr>
          <w:rStyle w:val="a7"/>
          <w:rFonts w:asciiTheme="minorBidi" w:hAnsiTheme="minorBidi"/>
          <w:rtl/>
        </w:rPr>
        <w:footnoteReference w:id="1742"/>
      </w:r>
      <w:r>
        <w:rPr>
          <w:rFonts w:asciiTheme="minorBidi" w:hAnsiTheme="minorBidi" w:hint="cs"/>
          <w:rtl/>
        </w:rPr>
        <w:t>,</w:t>
      </w:r>
      <w:r w:rsidRPr="003024E5">
        <w:rPr>
          <w:rFonts w:asciiTheme="minorBidi" w:hAnsiTheme="minorBidi"/>
          <w:rtl/>
        </w:rPr>
        <w:t xml:space="preserve"> ואפילו אם הוא של בוכיא</w:t>
      </w:r>
      <w:r>
        <w:rPr>
          <w:rStyle w:val="a7"/>
          <w:rFonts w:asciiTheme="minorBidi" w:hAnsiTheme="minorBidi"/>
          <w:rtl/>
        </w:rPr>
        <w:footnoteReference w:id="1743"/>
      </w:r>
      <w:r w:rsidRPr="003024E5">
        <w:rPr>
          <w:rFonts w:asciiTheme="minorBidi" w:hAnsiTheme="minorBidi"/>
          <w:rtl/>
        </w:rPr>
        <w:t xml:space="preserve"> </w:t>
      </w:r>
      <w:r w:rsidRPr="00A15AD7">
        <w:rPr>
          <w:rFonts w:asciiTheme="minorBidi" w:hAnsiTheme="minorBidi"/>
          <w:sz w:val="16"/>
          <w:szCs w:val="16"/>
          <w:rtl/>
        </w:rPr>
        <w:t>(פירוש כלי חרס שמסיקין תחתיו ואופין עליו עוגות)</w:t>
      </w:r>
      <w:r>
        <w:rPr>
          <w:rFonts w:asciiTheme="minorBidi" w:hAnsiTheme="minorBidi"/>
          <w:rtl/>
        </w:rPr>
        <w:t xml:space="preserve"> אין לו היתר על ידי היסק מבחוץ.</w:t>
      </w:r>
    </w:p>
    <w:p w14:paraId="22602F8B" w14:textId="77777777" w:rsidR="002C39F4" w:rsidRPr="003024E5" w:rsidRDefault="002C39F4" w:rsidP="002C39F4">
      <w:pPr>
        <w:rPr>
          <w:rFonts w:asciiTheme="minorBidi" w:hAnsiTheme="minorBidi"/>
          <w:rtl/>
        </w:rPr>
      </w:pPr>
    </w:p>
    <w:p w14:paraId="5F0CB3FF"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פת שאפאו בתנור עם בשר.</w:t>
      </w:r>
    </w:p>
    <w:p w14:paraId="056228F0" w14:textId="77777777" w:rsidR="002C39F4" w:rsidRDefault="002C39F4" w:rsidP="002C39F4">
      <w:pPr>
        <w:rPr>
          <w:rFonts w:cs="Arial"/>
          <w:rtl/>
        </w:rPr>
      </w:pPr>
      <w:r>
        <w:rPr>
          <w:rFonts w:cs="Arial" w:hint="cs"/>
          <w:b/>
          <w:bCs/>
          <w:rtl/>
        </w:rPr>
        <w:t xml:space="preserve">פסחים עו סוע"א: </w:t>
      </w:r>
      <w:r w:rsidRPr="00DE5D14">
        <w:rPr>
          <w:rFonts w:cs="Arial"/>
          <w:u w:val="single"/>
          <w:rtl/>
        </w:rPr>
        <w:t>אמר רב</w:t>
      </w:r>
      <w:r w:rsidRPr="00BB19A3">
        <w:rPr>
          <w:rFonts w:cs="Arial"/>
          <w:rtl/>
        </w:rPr>
        <w:t>:</w:t>
      </w:r>
      <w:r>
        <w:rPr>
          <w:rFonts w:cs="Arial" w:hint="cs"/>
          <w:rtl/>
        </w:rPr>
        <w:t xml:space="preserve"> </w:t>
      </w:r>
      <w:r w:rsidRPr="00BB19A3">
        <w:rPr>
          <w:rFonts w:cs="Arial"/>
          <w:rtl/>
        </w:rPr>
        <w:t>בשר שחוטה שמן</w:t>
      </w:r>
      <w:r>
        <w:rPr>
          <w:rFonts w:cs="Arial"/>
          <w:rtl/>
        </w:rPr>
        <w:t xml:space="preserve"> שצלאו עם בשר נבילה כחוש</w:t>
      </w:r>
      <w:r>
        <w:rPr>
          <w:rFonts w:cs="Arial" w:hint="cs"/>
          <w:rtl/>
        </w:rPr>
        <w:t xml:space="preserve"> -</w:t>
      </w:r>
      <w:r>
        <w:rPr>
          <w:rFonts w:cs="Arial"/>
          <w:rtl/>
        </w:rPr>
        <w:t xml:space="preserve"> אסור</w:t>
      </w:r>
      <w:r>
        <w:rPr>
          <w:rFonts w:cs="Arial" w:hint="cs"/>
          <w:rtl/>
        </w:rPr>
        <w:t>,</w:t>
      </w:r>
      <w:r>
        <w:rPr>
          <w:rFonts w:cs="Arial"/>
          <w:rtl/>
        </w:rPr>
        <w:t xml:space="preserve"> מאי טעמא</w:t>
      </w:r>
      <w:r>
        <w:rPr>
          <w:rFonts w:cs="Arial" w:hint="cs"/>
          <w:rtl/>
        </w:rPr>
        <w:t xml:space="preserve"> </w:t>
      </w:r>
      <w:r w:rsidRPr="00BB19A3">
        <w:rPr>
          <w:rFonts w:cs="Arial"/>
          <w:rtl/>
        </w:rPr>
        <w:t xml:space="preserve">- מפטמי מהדדי. </w:t>
      </w:r>
      <w:r w:rsidRPr="00DE5D14">
        <w:rPr>
          <w:rFonts w:cs="Arial"/>
          <w:u w:val="single"/>
          <w:rtl/>
        </w:rPr>
        <w:t>ולוי</w:t>
      </w:r>
      <w:r w:rsidRPr="00BB19A3">
        <w:rPr>
          <w:rFonts w:cs="Arial"/>
          <w:rtl/>
        </w:rPr>
        <w:t xml:space="preserve"> </w:t>
      </w:r>
      <w:r w:rsidRPr="00DE5D14">
        <w:rPr>
          <w:rFonts w:cs="Arial"/>
          <w:u w:val="single"/>
          <w:rtl/>
        </w:rPr>
        <w:t>אמר</w:t>
      </w:r>
      <w:r w:rsidRPr="00BB19A3">
        <w:rPr>
          <w:rFonts w:cs="Arial"/>
          <w:rtl/>
        </w:rPr>
        <w:t>: אפילו בשר שח</w:t>
      </w:r>
      <w:r>
        <w:rPr>
          <w:rFonts w:cs="Arial"/>
          <w:rtl/>
        </w:rPr>
        <w:t>וטה כחוש שצלאו עם בשר נבילה שמן</w:t>
      </w:r>
      <w:r>
        <w:rPr>
          <w:rFonts w:cs="Arial" w:hint="cs"/>
          <w:rtl/>
        </w:rPr>
        <w:t xml:space="preserve"> </w:t>
      </w:r>
      <w:r>
        <w:rPr>
          <w:rFonts w:cs="Arial"/>
          <w:rtl/>
        </w:rPr>
        <w:t>- מותר</w:t>
      </w:r>
      <w:r>
        <w:rPr>
          <w:rFonts w:cs="Arial" w:hint="cs"/>
          <w:rtl/>
        </w:rPr>
        <w:t>,</w:t>
      </w:r>
      <w:r>
        <w:rPr>
          <w:rFonts w:cs="Arial"/>
          <w:rtl/>
        </w:rPr>
        <w:t xml:space="preserve"> מאי טעמא</w:t>
      </w:r>
      <w:r>
        <w:rPr>
          <w:rFonts w:cs="Arial" w:hint="cs"/>
          <w:rtl/>
        </w:rPr>
        <w:t xml:space="preserve"> </w:t>
      </w:r>
      <w:r w:rsidRPr="00BB19A3">
        <w:rPr>
          <w:rFonts w:cs="Arial"/>
          <w:rtl/>
        </w:rPr>
        <w:t xml:space="preserve">- ריחא </w:t>
      </w:r>
      <w:r>
        <w:rPr>
          <w:rFonts w:cs="Arial"/>
          <w:rtl/>
        </w:rPr>
        <w:t>בעלמא הוא, וריחא לאו מילתא היא.</w:t>
      </w:r>
      <w:r>
        <w:rPr>
          <w:rFonts w:cs="Arial" w:hint="cs"/>
          <w:rtl/>
        </w:rPr>
        <w:t xml:space="preserve">.. </w:t>
      </w:r>
      <w:r w:rsidRPr="00DE5D14">
        <w:rPr>
          <w:rFonts w:cs="Arial"/>
          <w:u w:val="single"/>
          <w:rtl/>
        </w:rPr>
        <w:t>תני רב כהנא בריה דרב חיננא סבא</w:t>
      </w:r>
      <w:r w:rsidRPr="00BB19A3">
        <w:rPr>
          <w:rFonts w:cs="Arial"/>
          <w:rtl/>
        </w:rPr>
        <w:t xml:space="preserve">: פת שאפאה עם צלי בתנור - אסור לאכלה בכותחא. ההיא ביניתא דאיטווא בהדי בישרא - אסרה </w:t>
      </w:r>
      <w:r w:rsidRPr="00DE5D14">
        <w:rPr>
          <w:rFonts w:cs="Arial"/>
          <w:u w:val="single"/>
          <w:rtl/>
        </w:rPr>
        <w:t>רבא מפרזיקיא</w:t>
      </w:r>
      <w:r w:rsidRPr="00BB19A3">
        <w:rPr>
          <w:rFonts w:cs="Arial"/>
          <w:rtl/>
        </w:rPr>
        <w:t xml:space="preserve"> למיכליה בכותחא. </w:t>
      </w:r>
      <w:r w:rsidRPr="00DE5D14">
        <w:rPr>
          <w:rFonts w:cs="Arial"/>
          <w:u w:val="single"/>
          <w:rtl/>
        </w:rPr>
        <w:t>מר בר רב אשי אמר</w:t>
      </w:r>
      <w:r w:rsidRPr="00BB19A3">
        <w:rPr>
          <w:rFonts w:cs="Arial"/>
          <w:rtl/>
        </w:rPr>
        <w:t>: אפילו במילחא נמי אסורה, משום דקשיא לריחא ולדבר אחר.</w:t>
      </w:r>
      <w:r w:rsidRPr="00DE5D14">
        <w:rPr>
          <w:rFonts w:cs="Arial"/>
          <w:sz w:val="16"/>
          <w:szCs w:val="16"/>
          <w:rtl/>
        </w:rPr>
        <w:t xml:space="preserve"> </w:t>
      </w:r>
    </w:p>
    <w:p w14:paraId="21C936DD" w14:textId="77777777" w:rsidR="002C39F4" w:rsidRPr="00586043" w:rsidRDefault="002C39F4" w:rsidP="002C39F4">
      <w:pPr>
        <w:rPr>
          <w:rFonts w:cs="Arial"/>
          <w:u w:val="single"/>
          <w:rtl/>
        </w:rPr>
      </w:pPr>
      <w:r>
        <w:rPr>
          <w:rFonts w:cs="Arial" w:hint="cs"/>
          <w:u w:val="single"/>
          <w:rtl/>
        </w:rPr>
        <w:t>האם אמרינן '</w:t>
      </w:r>
      <w:r w:rsidRPr="00586043">
        <w:rPr>
          <w:rFonts w:cs="Arial" w:hint="cs"/>
          <w:u w:val="single"/>
          <w:rtl/>
        </w:rPr>
        <w:t>ריחא</w:t>
      </w:r>
      <w:r>
        <w:rPr>
          <w:rFonts w:cs="Arial" w:hint="cs"/>
          <w:u w:val="single"/>
          <w:rtl/>
        </w:rPr>
        <w:t xml:space="preserve"> מילתא היא' בצלי או לאו</w:t>
      </w:r>
      <w:r w:rsidRPr="00586043">
        <w:rPr>
          <w:rFonts w:cs="Arial" w:hint="cs"/>
          <w:u w:val="single"/>
          <w:rtl/>
        </w:rPr>
        <w:t>:</w:t>
      </w:r>
    </w:p>
    <w:p w14:paraId="3F4A6E30" w14:textId="77777777" w:rsidR="002C39F4" w:rsidRPr="00586043" w:rsidRDefault="002C39F4" w:rsidP="0032102C">
      <w:pPr>
        <w:pStyle w:val="a8"/>
        <w:numPr>
          <w:ilvl w:val="0"/>
          <w:numId w:val="139"/>
        </w:numPr>
        <w:rPr>
          <w:rFonts w:cs="Arial"/>
          <w:rtl/>
        </w:rPr>
      </w:pPr>
      <w:r>
        <w:rPr>
          <w:rFonts w:cs="Arial" w:hint="cs"/>
          <w:rtl/>
        </w:rPr>
        <w:t xml:space="preserve">בה"ג </w:t>
      </w:r>
      <w:r w:rsidRPr="00586043">
        <w:rPr>
          <w:rFonts w:cs="Arial"/>
          <w:rtl/>
        </w:rPr>
        <w:t>רי"ף</w:t>
      </w:r>
      <w:r w:rsidRPr="00586043">
        <w:rPr>
          <w:rFonts w:cs="Arial" w:hint="cs"/>
          <w:rtl/>
        </w:rPr>
        <w:t xml:space="preserve"> </w:t>
      </w:r>
      <w:r w:rsidRPr="00586043">
        <w:rPr>
          <w:rFonts w:cs="Arial"/>
          <w:rtl/>
        </w:rPr>
        <w:t>רש"י</w:t>
      </w:r>
      <w:r w:rsidRPr="00586043">
        <w:rPr>
          <w:rFonts w:cs="Arial" w:hint="cs"/>
          <w:rtl/>
        </w:rPr>
        <w:t xml:space="preserve"> </w:t>
      </w:r>
      <w:r w:rsidRPr="00586043">
        <w:rPr>
          <w:rFonts w:cs="Arial"/>
          <w:rtl/>
        </w:rPr>
        <w:t xml:space="preserve">רמב"ם </w:t>
      </w:r>
      <w:r>
        <w:rPr>
          <w:rFonts w:cs="Arial" w:hint="cs"/>
          <w:rtl/>
        </w:rPr>
        <w:t>ו</w:t>
      </w:r>
      <w:r w:rsidRPr="00586043">
        <w:rPr>
          <w:rFonts w:cs="Arial" w:hint="cs"/>
          <w:rtl/>
        </w:rPr>
        <w:t>רשב"א</w:t>
      </w:r>
      <w:r>
        <w:rPr>
          <w:rStyle w:val="a7"/>
          <w:rFonts w:cs="Arial"/>
          <w:rtl/>
        </w:rPr>
        <w:footnoteReference w:id="1744"/>
      </w:r>
      <w:r w:rsidRPr="00586043">
        <w:rPr>
          <w:rFonts w:cs="Arial" w:hint="cs"/>
          <w:rtl/>
        </w:rPr>
        <w:t xml:space="preserve">- </w:t>
      </w:r>
      <w:r w:rsidRPr="00586043">
        <w:rPr>
          <w:rFonts w:cs="Arial"/>
          <w:rtl/>
        </w:rPr>
        <w:t>ריחא לאו מילתא היא</w:t>
      </w:r>
      <w:r w:rsidRPr="00586043">
        <w:rPr>
          <w:rFonts w:cs="Arial" w:hint="cs"/>
          <w:rtl/>
        </w:rPr>
        <w:t>, כלוי.</w:t>
      </w:r>
      <w:r w:rsidRPr="00586043">
        <w:rPr>
          <w:rFonts w:cs="Arial"/>
          <w:rtl/>
        </w:rPr>
        <w:t xml:space="preserve"> </w:t>
      </w:r>
      <w:r w:rsidRPr="002E76B8">
        <w:rPr>
          <w:rFonts w:cs="Arial" w:hint="cs"/>
          <w:color w:val="E36C0A" w:themeColor="accent6" w:themeShade="BF"/>
          <w:rtl/>
        </w:rPr>
        <w:t>(וכ"פ בשו"ע</w:t>
      </w:r>
      <w:r>
        <w:rPr>
          <w:rFonts w:cs="Arial" w:hint="cs"/>
          <w:color w:val="E36C0A" w:themeColor="accent6" w:themeShade="BF"/>
          <w:sz w:val="16"/>
          <w:szCs w:val="16"/>
          <w:rtl/>
        </w:rPr>
        <w:t xml:space="preserve"> </w:t>
      </w:r>
      <w:r w:rsidRPr="00A74A12">
        <w:rPr>
          <w:rFonts w:cs="Arial" w:hint="cs"/>
          <w:color w:val="000000" w:themeColor="text1"/>
          <w:sz w:val="16"/>
          <w:szCs w:val="16"/>
          <w:rtl/>
        </w:rPr>
        <w:t>[סי' קח ס"א]</w:t>
      </w:r>
      <w:r w:rsidRPr="002E76B8">
        <w:rPr>
          <w:rFonts w:cs="Arial" w:hint="cs"/>
          <w:color w:val="E36C0A" w:themeColor="accent6" w:themeShade="BF"/>
          <w:rtl/>
        </w:rPr>
        <w:t>)</w:t>
      </w:r>
      <w:r w:rsidRPr="006948E6">
        <w:rPr>
          <w:rFonts w:cs="Arial" w:hint="cs"/>
          <w:color w:val="00B0F0"/>
          <w:rtl/>
        </w:rPr>
        <w:t xml:space="preserve"> </w:t>
      </w:r>
      <w:r w:rsidRPr="00804230">
        <w:rPr>
          <w:rFonts w:cs="Arial" w:hint="cs"/>
          <w:color w:val="00B0F0"/>
          <w:rtl/>
        </w:rPr>
        <w:t>(וכ"פ הרמ"א</w:t>
      </w:r>
      <w:r>
        <w:rPr>
          <w:rFonts w:cs="Arial" w:hint="cs"/>
          <w:color w:val="00B0F0"/>
          <w:sz w:val="16"/>
          <w:szCs w:val="16"/>
          <w:rtl/>
        </w:rPr>
        <w:t xml:space="preserve"> </w:t>
      </w:r>
      <w:r w:rsidRPr="006948E6">
        <w:rPr>
          <w:rFonts w:cs="Arial" w:hint="cs"/>
          <w:sz w:val="16"/>
          <w:szCs w:val="16"/>
          <w:rtl/>
        </w:rPr>
        <w:t>[סי' קח]</w:t>
      </w:r>
      <w:r w:rsidRPr="00804230">
        <w:rPr>
          <w:rFonts w:cs="Arial" w:hint="cs"/>
          <w:color w:val="00B0F0"/>
          <w:rtl/>
        </w:rPr>
        <w:t>)</w:t>
      </w:r>
    </w:p>
    <w:p w14:paraId="2572003B" w14:textId="77777777" w:rsidR="002C39F4" w:rsidRPr="00586043" w:rsidRDefault="002C39F4" w:rsidP="0032102C">
      <w:pPr>
        <w:pStyle w:val="a8"/>
        <w:numPr>
          <w:ilvl w:val="0"/>
          <w:numId w:val="139"/>
        </w:numPr>
        <w:rPr>
          <w:rFonts w:cs="Arial"/>
          <w:rtl/>
        </w:rPr>
      </w:pPr>
      <w:r w:rsidRPr="00586043">
        <w:rPr>
          <w:rFonts w:cs="Arial" w:hint="cs"/>
          <w:rtl/>
        </w:rPr>
        <w:t xml:space="preserve">ר"ת </w:t>
      </w:r>
      <w:r w:rsidRPr="00586043">
        <w:rPr>
          <w:rFonts w:cs="Arial" w:hint="cs"/>
          <w:sz w:val="16"/>
          <w:szCs w:val="16"/>
          <w:rtl/>
        </w:rPr>
        <w:t>(</w:t>
      </w:r>
      <w:r w:rsidRPr="00586043">
        <w:rPr>
          <w:rFonts w:cs="Arial"/>
          <w:sz w:val="16"/>
          <w:szCs w:val="16"/>
          <w:rtl/>
        </w:rPr>
        <w:t>תוס</w:t>
      </w:r>
      <w:r w:rsidRPr="00586043">
        <w:rPr>
          <w:rFonts w:cs="Arial" w:hint="cs"/>
          <w:sz w:val="16"/>
          <w:szCs w:val="16"/>
          <w:rtl/>
        </w:rPr>
        <w:t xml:space="preserve">' </w:t>
      </w:r>
      <w:r w:rsidRPr="00586043">
        <w:rPr>
          <w:rFonts w:cs="Arial"/>
          <w:sz w:val="16"/>
          <w:szCs w:val="16"/>
          <w:rtl/>
        </w:rPr>
        <w:t>ד"ה אסרה רבא)</w:t>
      </w:r>
      <w:r w:rsidRPr="00586043">
        <w:rPr>
          <w:rFonts w:cs="Arial" w:hint="cs"/>
          <w:sz w:val="16"/>
          <w:szCs w:val="16"/>
          <w:rtl/>
        </w:rPr>
        <w:t xml:space="preserve"> </w:t>
      </w:r>
      <w:bookmarkStart w:id="6" w:name="_Hlk518574489"/>
      <w:r>
        <w:rPr>
          <w:rFonts w:cs="Arial"/>
          <w:rtl/>
        </w:rPr>
        <w:t>תוס</w:t>
      </w:r>
      <w:r>
        <w:rPr>
          <w:rFonts w:cs="Arial" w:hint="cs"/>
          <w:rtl/>
        </w:rPr>
        <w:t>'</w:t>
      </w:r>
      <w:r>
        <w:rPr>
          <w:rFonts w:cs="Arial"/>
          <w:rtl/>
        </w:rPr>
        <w:t xml:space="preserve"> </w:t>
      </w:r>
      <w:r w:rsidRPr="009E1435">
        <w:rPr>
          <w:rFonts w:cs="Arial"/>
          <w:sz w:val="16"/>
          <w:szCs w:val="16"/>
          <w:rtl/>
        </w:rPr>
        <w:t>(</w:t>
      </w:r>
      <w:r>
        <w:rPr>
          <w:rFonts w:cs="Arial" w:hint="cs"/>
          <w:sz w:val="16"/>
          <w:szCs w:val="16"/>
          <w:rtl/>
        </w:rPr>
        <w:t xml:space="preserve">ע"ז </w:t>
      </w:r>
      <w:r w:rsidRPr="009E1435">
        <w:rPr>
          <w:rFonts w:cs="Arial"/>
          <w:sz w:val="16"/>
          <w:szCs w:val="16"/>
          <w:rtl/>
        </w:rPr>
        <w:t xml:space="preserve">סו: ד"ה רבא אמר) </w:t>
      </w:r>
      <w:bookmarkEnd w:id="6"/>
      <w:r w:rsidRPr="00586043">
        <w:rPr>
          <w:rFonts w:cs="Arial" w:hint="cs"/>
          <w:rtl/>
        </w:rPr>
        <w:t>(ו</w:t>
      </w:r>
      <w:r w:rsidRPr="00586043">
        <w:rPr>
          <w:rFonts w:cs="Arial"/>
          <w:rtl/>
        </w:rPr>
        <w:t>רא"ש</w:t>
      </w:r>
      <w:r>
        <w:rPr>
          <w:rStyle w:val="a7"/>
          <w:rFonts w:cs="Arial"/>
          <w:rtl/>
        </w:rPr>
        <w:footnoteReference w:id="1745"/>
      </w:r>
      <w:r w:rsidRPr="00586043">
        <w:rPr>
          <w:rFonts w:cs="Arial"/>
          <w:sz w:val="16"/>
          <w:szCs w:val="16"/>
          <w:rtl/>
        </w:rPr>
        <w:t xml:space="preserve"> </w:t>
      </w:r>
      <w:r w:rsidRPr="00586043">
        <w:rPr>
          <w:rFonts w:cs="Arial" w:hint="cs"/>
          <w:sz w:val="16"/>
          <w:szCs w:val="16"/>
          <w:rtl/>
        </w:rPr>
        <w:t xml:space="preserve">להב' הטור </w:t>
      </w:r>
      <w:r w:rsidRPr="00586043">
        <w:rPr>
          <w:rFonts w:cs="Arial" w:hint="cs"/>
          <w:sz w:val="14"/>
          <w:szCs w:val="14"/>
          <w:rtl/>
        </w:rPr>
        <w:t>[</w:t>
      </w:r>
      <w:r w:rsidRPr="00586043">
        <w:rPr>
          <w:rFonts w:cs="Arial"/>
          <w:sz w:val="14"/>
          <w:szCs w:val="14"/>
          <w:rtl/>
        </w:rPr>
        <w:t>סי</w:t>
      </w:r>
      <w:r w:rsidRPr="00586043">
        <w:rPr>
          <w:rFonts w:cs="Arial" w:hint="cs"/>
          <w:sz w:val="14"/>
          <w:szCs w:val="14"/>
          <w:rtl/>
        </w:rPr>
        <w:t>'</w:t>
      </w:r>
      <w:r w:rsidRPr="00586043">
        <w:rPr>
          <w:rFonts w:cs="Arial"/>
          <w:sz w:val="14"/>
          <w:szCs w:val="14"/>
          <w:rtl/>
        </w:rPr>
        <w:t xml:space="preserve"> קח</w:t>
      </w:r>
      <w:r w:rsidRPr="00586043">
        <w:rPr>
          <w:rFonts w:cs="Arial" w:hint="cs"/>
          <w:sz w:val="14"/>
          <w:szCs w:val="14"/>
          <w:rtl/>
        </w:rPr>
        <w:t>]</w:t>
      </w:r>
      <w:r w:rsidRPr="00586043">
        <w:rPr>
          <w:rFonts w:cs="Arial" w:hint="cs"/>
          <w:rtl/>
        </w:rPr>
        <w:t xml:space="preserve">)- </w:t>
      </w:r>
      <w:r w:rsidRPr="00586043">
        <w:rPr>
          <w:rFonts w:cs="Arial"/>
          <w:rtl/>
        </w:rPr>
        <w:t>ריחא מילתא היא</w:t>
      </w:r>
      <w:r w:rsidRPr="00586043">
        <w:rPr>
          <w:rFonts w:cs="Arial" w:hint="cs"/>
          <w:rtl/>
        </w:rPr>
        <w:t>, כרב</w:t>
      </w:r>
      <w:r>
        <w:rPr>
          <w:rStyle w:val="a7"/>
          <w:rFonts w:cs="Arial"/>
          <w:rtl/>
        </w:rPr>
        <w:footnoteReference w:id="1746"/>
      </w:r>
      <w:r w:rsidRPr="00586043">
        <w:rPr>
          <w:rFonts w:cs="Arial"/>
          <w:rtl/>
        </w:rPr>
        <w:t>.</w:t>
      </w:r>
      <w:r>
        <w:rPr>
          <w:rFonts w:cs="Arial" w:hint="cs"/>
          <w:rtl/>
        </w:rPr>
        <w:t xml:space="preserve">  </w:t>
      </w:r>
    </w:p>
    <w:p w14:paraId="217F9447" w14:textId="77777777" w:rsidR="002C39F4" w:rsidRPr="00C774D0" w:rsidRDefault="002C39F4" w:rsidP="002C39F4">
      <w:pPr>
        <w:ind w:left="360"/>
        <w:rPr>
          <w:rFonts w:cs="Arial"/>
          <w:u w:val="dotted"/>
          <w:rtl/>
        </w:rPr>
      </w:pPr>
      <w:r w:rsidRPr="00C774D0">
        <w:rPr>
          <w:rFonts w:cs="Arial"/>
          <w:u w:val="dotted"/>
          <w:rtl/>
        </w:rPr>
        <w:t xml:space="preserve">בשר שחוטה שצלאו עם בשר נבילה </w:t>
      </w:r>
      <w:r>
        <w:rPr>
          <w:rFonts w:cs="Arial" w:hint="cs"/>
          <w:u w:val="dotted"/>
          <w:rtl/>
        </w:rPr>
        <w:t xml:space="preserve">- ולפחות אחד מהם </w:t>
      </w:r>
      <w:r w:rsidRPr="00C774D0">
        <w:rPr>
          <w:rFonts w:cs="Arial"/>
          <w:u w:val="dotted"/>
          <w:rtl/>
        </w:rPr>
        <w:t>שמן</w:t>
      </w:r>
      <w:r>
        <w:rPr>
          <w:rStyle w:val="a7"/>
          <w:rFonts w:cs="Arial"/>
          <w:u w:val="dotted"/>
          <w:rtl/>
        </w:rPr>
        <w:footnoteReference w:id="1747"/>
      </w:r>
      <w:r w:rsidRPr="00C774D0">
        <w:rPr>
          <w:rFonts w:cs="Arial" w:hint="cs"/>
          <w:u w:val="dotted"/>
          <w:rtl/>
        </w:rPr>
        <w:t>:</w:t>
      </w:r>
    </w:p>
    <w:p w14:paraId="36682E27" w14:textId="77777777" w:rsidR="002C39F4" w:rsidRPr="00586043" w:rsidRDefault="002C39F4" w:rsidP="0032102C">
      <w:pPr>
        <w:pStyle w:val="a8"/>
        <w:numPr>
          <w:ilvl w:val="0"/>
          <w:numId w:val="139"/>
        </w:numPr>
        <w:rPr>
          <w:rFonts w:cs="Arial"/>
          <w:rtl/>
        </w:rPr>
      </w:pPr>
      <w:r w:rsidRPr="00586043">
        <w:rPr>
          <w:rFonts w:cs="Arial" w:hint="cs"/>
          <w:rtl/>
        </w:rPr>
        <w:t xml:space="preserve">ר"ת </w:t>
      </w:r>
      <w:r w:rsidRPr="00586043">
        <w:rPr>
          <w:rFonts w:cs="Arial" w:hint="cs"/>
          <w:sz w:val="16"/>
          <w:szCs w:val="16"/>
          <w:rtl/>
        </w:rPr>
        <w:t>(</w:t>
      </w:r>
      <w:r w:rsidRPr="00586043">
        <w:rPr>
          <w:rFonts w:cs="Arial"/>
          <w:sz w:val="16"/>
          <w:szCs w:val="16"/>
          <w:rtl/>
        </w:rPr>
        <w:t>תוס</w:t>
      </w:r>
      <w:r w:rsidRPr="00586043">
        <w:rPr>
          <w:rFonts w:cs="Arial" w:hint="cs"/>
          <w:sz w:val="16"/>
          <w:szCs w:val="16"/>
          <w:rtl/>
        </w:rPr>
        <w:t xml:space="preserve">' </w:t>
      </w:r>
      <w:r w:rsidRPr="00586043">
        <w:rPr>
          <w:rFonts w:cs="Arial"/>
          <w:sz w:val="16"/>
          <w:szCs w:val="16"/>
          <w:rtl/>
        </w:rPr>
        <w:t>ד"ה אסרה רבא)</w:t>
      </w:r>
      <w:r w:rsidRPr="00586043">
        <w:rPr>
          <w:rFonts w:cs="Arial" w:hint="cs"/>
          <w:sz w:val="16"/>
          <w:szCs w:val="16"/>
          <w:rtl/>
        </w:rPr>
        <w:t xml:space="preserve"> </w:t>
      </w:r>
      <w:r w:rsidRPr="00586043">
        <w:rPr>
          <w:rFonts w:cs="Arial" w:hint="cs"/>
          <w:rtl/>
        </w:rPr>
        <w:t>(ו</w:t>
      </w:r>
      <w:r w:rsidRPr="00586043">
        <w:rPr>
          <w:rFonts w:cs="Arial"/>
          <w:rtl/>
        </w:rPr>
        <w:t>רא"ש</w:t>
      </w:r>
      <w:r w:rsidRPr="00586043">
        <w:rPr>
          <w:rFonts w:cs="Arial"/>
          <w:sz w:val="16"/>
          <w:szCs w:val="16"/>
          <w:rtl/>
        </w:rPr>
        <w:t xml:space="preserve"> </w:t>
      </w:r>
      <w:r w:rsidRPr="00586043">
        <w:rPr>
          <w:rFonts w:cs="Arial" w:hint="cs"/>
          <w:sz w:val="16"/>
          <w:szCs w:val="16"/>
          <w:rtl/>
        </w:rPr>
        <w:t xml:space="preserve">להב' הטור </w:t>
      </w:r>
      <w:r w:rsidRPr="00586043">
        <w:rPr>
          <w:rFonts w:cs="Arial" w:hint="cs"/>
          <w:sz w:val="14"/>
          <w:szCs w:val="14"/>
          <w:rtl/>
        </w:rPr>
        <w:t>[</w:t>
      </w:r>
      <w:r w:rsidRPr="00586043">
        <w:rPr>
          <w:rFonts w:cs="Arial"/>
          <w:sz w:val="14"/>
          <w:szCs w:val="14"/>
          <w:rtl/>
        </w:rPr>
        <w:t>סי</w:t>
      </w:r>
      <w:r w:rsidRPr="00586043">
        <w:rPr>
          <w:rFonts w:cs="Arial" w:hint="cs"/>
          <w:sz w:val="14"/>
          <w:szCs w:val="14"/>
          <w:rtl/>
        </w:rPr>
        <w:t>'</w:t>
      </w:r>
      <w:r w:rsidRPr="00586043">
        <w:rPr>
          <w:rFonts w:cs="Arial"/>
          <w:sz w:val="14"/>
          <w:szCs w:val="14"/>
          <w:rtl/>
        </w:rPr>
        <w:t xml:space="preserve"> קח</w:t>
      </w:r>
      <w:r w:rsidRPr="00586043">
        <w:rPr>
          <w:rFonts w:cs="Arial" w:hint="cs"/>
          <w:sz w:val="14"/>
          <w:szCs w:val="14"/>
          <w:rtl/>
        </w:rPr>
        <w:t>]</w:t>
      </w:r>
      <w:r w:rsidRPr="00586043">
        <w:rPr>
          <w:rFonts w:cs="Arial" w:hint="cs"/>
          <w:rtl/>
        </w:rPr>
        <w:t xml:space="preserve">)- </w:t>
      </w:r>
      <w:r>
        <w:rPr>
          <w:rFonts w:cs="Arial" w:hint="cs"/>
          <w:rtl/>
        </w:rPr>
        <w:t>אסור, ד</w:t>
      </w:r>
      <w:r w:rsidRPr="00586043">
        <w:rPr>
          <w:rFonts w:cs="Arial"/>
          <w:rtl/>
        </w:rPr>
        <w:t>ריחא מילתא היא</w:t>
      </w:r>
      <w:r w:rsidRPr="00C774D0">
        <w:rPr>
          <w:rFonts w:cs="Arial" w:hint="cs"/>
          <w:sz w:val="16"/>
          <w:szCs w:val="16"/>
          <w:rtl/>
        </w:rPr>
        <w:t xml:space="preserve"> </w:t>
      </w:r>
      <w:r>
        <w:rPr>
          <w:rFonts w:cs="Arial" w:hint="cs"/>
          <w:sz w:val="16"/>
          <w:szCs w:val="16"/>
          <w:rtl/>
        </w:rPr>
        <w:t>(</w:t>
      </w:r>
      <w:r w:rsidRPr="00C774D0">
        <w:rPr>
          <w:rFonts w:cs="Arial" w:hint="cs"/>
          <w:sz w:val="16"/>
          <w:szCs w:val="16"/>
          <w:rtl/>
        </w:rPr>
        <w:t>כרב)</w:t>
      </w:r>
      <w:r w:rsidRPr="00586043">
        <w:rPr>
          <w:rFonts w:cs="Arial"/>
          <w:rtl/>
        </w:rPr>
        <w:t>.</w:t>
      </w:r>
    </w:p>
    <w:p w14:paraId="55BF5726" w14:textId="77777777" w:rsidR="002C39F4" w:rsidRPr="00E60643" w:rsidRDefault="002C39F4" w:rsidP="0032102C">
      <w:pPr>
        <w:pStyle w:val="a8"/>
        <w:numPr>
          <w:ilvl w:val="0"/>
          <w:numId w:val="139"/>
        </w:numPr>
        <w:rPr>
          <w:rFonts w:cs="Arial"/>
          <w:rtl/>
        </w:rPr>
      </w:pPr>
      <w:r w:rsidRPr="00586043">
        <w:rPr>
          <w:rFonts w:cs="Arial"/>
          <w:rtl/>
        </w:rPr>
        <w:t>רי"ף</w:t>
      </w:r>
      <w:r w:rsidRPr="00586043">
        <w:rPr>
          <w:rFonts w:cs="Arial" w:hint="cs"/>
          <w:rtl/>
        </w:rPr>
        <w:t xml:space="preserve"> </w:t>
      </w:r>
      <w:r w:rsidRPr="00586043">
        <w:rPr>
          <w:rFonts w:cs="Arial"/>
          <w:sz w:val="16"/>
          <w:szCs w:val="16"/>
          <w:rtl/>
        </w:rPr>
        <w:t xml:space="preserve">(לב:) </w:t>
      </w:r>
      <w:r w:rsidRPr="00586043">
        <w:rPr>
          <w:rFonts w:cs="Arial"/>
          <w:rtl/>
        </w:rPr>
        <w:t xml:space="preserve">רמב"ם </w:t>
      </w:r>
      <w:r w:rsidRPr="00586043">
        <w:rPr>
          <w:rFonts w:cs="Arial" w:hint="cs"/>
          <w:sz w:val="16"/>
          <w:szCs w:val="16"/>
          <w:rtl/>
        </w:rPr>
        <w:t>(</w:t>
      </w:r>
      <w:r w:rsidRPr="00586043">
        <w:rPr>
          <w:rFonts w:cs="Arial"/>
          <w:sz w:val="16"/>
          <w:szCs w:val="16"/>
          <w:rtl/>
        </w:rPr>
        <w:t>פט"ו הל"ג)</w:t>
      </w:r>
      <w:r>
        <w:rPr>
          <w:rFonts w:cs="Arial" w:hint="cs"/>
          <w:rtl/>
        </w:rPr>
        <w:t xml:space="preserve"> ו</w:t>
      </w:r>
      <w:r w:rsidRPr="00586043">
        <w:rPr>
          <w:rFonts w:cs="Arial" w:hint="cs"/>
          <w:rtl/>
        </w:rPr>
        <w:t>רשב"א</w:t>
      </w:r>
      <w:r>
        <w:rPr>
          <w:rStyle w:val="a7"/>
          <w:rFonts w:cs="Arial"/>
          <w:rtl/>
        </w:rPr>
        <w:footnoteReference w:id="1748"/>
      </w:r>
      <w:r w:rsidRPr="00586043">
        <w:rPr>
          <w:rFonts w:cs="Arial" w:hint="cs"/>
          <w:rtl/>
        </w:rPr>
        <w:t xml:space="preserve"> </w:t>
      </w:r>
      <w:r w:rsidRPr="00586043">
        <w:rPr>
          <w:rFonts w:cs="Arial" w:hint="cs"/>
          <w:sz w:val="16"/>
          <w:szCs w:val="16"/>
          <w:rtl/>
        </w:rPr>
        <w:t xml:space="preserve">(תוה"ק </w:t>
      </w:r>
      <w:r w:rsidRPr="00586043">
        <w:rPr>
          <w:rFonts w:cs="Arial"/>
          <w:sz w:val="16"/>
          <w:szCs w:val="16"/>
          <w:rtl/>
        </w:rPr>
        <w:t>ב"ד ש"א י.)</w:t>
      </w:r>
      <w:r w:rsidRPr="00586043">
        <w:rPr>
          <w:rFonts w:cs="Arial" w:hint="cs"/>
          <w:rtl/>
        </w:rPr>
        <w:t>-</w:t>
      </w:r>
      <w:r w:rsidRPr="00586043">
        <w:rPr>
          <w:rFonts w:cs="Arial"/>
          <w:rtl/>
        </w:rPr>
        <w:t xml:space="preserve"> </w:t>
      </w:r>
      <w:r>
        <w:rPr>
          <w:rFonts w:cs="Arial" w:hint="cs"/>
          <w:rtl/>
        </w:rPr>
        <w:t>מותר, דריחא לאו מילתא היא</w:t>
      </w:r>
      <w:r w:rsidRPr="00586043">
        <w:rPr>
          <w:rFonts w:cs="Arial" w:hint="cs"/>
          <w:rtl/>
        </w:rPr>
        <w:t xml:space="preserve"> </w:t>
      </w:r>
      <w:r w:rsidRPr="00C774D0">
        <w:rPr>
          <w:rFonts w:cs="Arial" w:hint="cs"/>
          <w:sz w:val="16"/>
          <w:szCs w:val="16"/>
          <w:rtl/>
        </w:rPr>
        <w:t>(</w:t>
      </w:r>
      <w:r w:rsidRPr="00C774D0">
        <w:rPr>
          <w:rFonts w:cs="Arial"/>
          <w:sz w:val="16"/>
          <w:szCs w:val="16"/>
          <w:rtl/>
        </w:rPr>
        <w:t>כלוי</w:t>
      </w:r>
      <w:r>
        <w:rPr>
          <w:rFonts w:cs="Arial" w:hint="cs"/>
          <w:sz w:val="16"/>
          <w:szCs w:val="16"/>
          <w:rtl/>
        </w:rPr>
        <w:t>)</w:t>
      </w:r>
      <w:r w:rsidRPr="00586043">
        <w:rPr>
          <w:rFonts w:cs="Arial" w:hint="cs"/>
          <w:rtl/>
        </w:rPr>
        <w:t>,</w:t>
      </w:r>
      <w:r w:rsidRPr="00586043">
        <w:rPr>
          <w:rFonts w:cs="Arial"/>
          <w:rtl/>
        </w:rPr>
        <w:t xml:space="preserve"> </w:t>
      </w:r>
      <w:r>
        <w:rPr>
          <w:rFonts w:cs="Arial" w:hint="cs"/>
          <w:rtl/>
        </w:rPr>
        <w:t>'</w:t>
      </w:r>
      <w:r w:rsidRPr="00586043">
        <w:rPr>
          <w:rFonts w:cs="Arial"/>
          <w:rtl/>
        </w:rPr>
        <w:t>ולוי לא קא שרי הכין אלא דיעבד דהא לוי שצלאו קאמר ולא אמר צולין לכתחלה</w:t>
      </w:r>
      <w:r>
        <w:rPr>
          <w:rFonts w:cs="Arial" w:hint="cs"/>
          <w:rtl/>
        </w:rPr>
        <w:t>'</w:t>
      </w:r>
      <w:r w:rsidRPr="00586043">
        <w:rPr>
          <w:rFonts w:cs="Arial" w:hint="cs"/>
          <w:sz w:val="16"/>
          <w:szCs w:val="16"/>
          <w:rtl/>
        </w:rPr>
        <w:t xml:space="preserve"> (ל' הרי"ף)</w:t>
      </w:r>
      <w:r w:rsidRPr="00586043">
        <w:rPr>
          <w:rFonts w:cs="Arial" w:hint="cs"/>
          <w:rtl/>
        </w:rPr>
        <w:t>, הלכך- '</w:t>
      </w:r>
      <w:r w:rsidRPr="00586043">
        <w:rPr>
          <w:rFonts w:cs="Arial"/>
          <w:rtl/>
        </w:rPr>
        <w:t>אין צולין בשר שחוטה עם בשר נבלה או בהמה טמאה בתנור אחד ואע</w:t>
      </w:r>
      <w:r w:rsidRPr="00586043">
        <w:rPr>
          <w:rFonts w:cs="Arial" w:hint="cs"/>
          <w:rtl/>
        </w:rPr>
        <w:t>"</w:t>
      </w:r>
      <w:r w:rsidRPr="00586043">
        <w:rPr>
          <w:rFonts w:cs="Arial"/>
          <w:rtl/>
        </w:rPr>
        <w:t>פ שאין נוגעין זה בזה ואם צלאן הרי זה מותר ואפילו היתה האסורה שמנה הרבה והמותרת רזה שהריח אינו אוסר</w:t>
      </w:r>
      <w:r>
        <w:rPr>
          <w:rFonts w:cs="Arial" w:hint="cs"/>
          <w:rtl/>
        </w:rPr>
        <w:t>,</w:t>
      </w:r>
      <w:r w:rsidRPr="00586043">
        <w:rPr>
          <w:rFonts w:cs="Arial"/>
          <w:rtl/>
        </w:rPr>
        <w:t xml:space="preserve"> אלא טעמו של איסור</w:t>
      </w:r>
      <w:r w:rsidRPr="00586043">
        <w:rPr>
          <w:rFonts w:cs="Arial" w:hint="cs"/>
          <w:rtl/>
        </w:rPr>
        <w:t>'</w:t>
      </w:r>
      <w:r w:rsidRPr="00586043">
        <w:rPr>
          <w:rFonts w:cs="Arial" w:hint="cs"/>
          <w:sz w:val="16"/>
          <w:szCs w:val="16"/>
          <w:rtl/>
        </w:rPr>
        <w:t xml:space="preserve"> (ל' הרמב"ם)</w:t>
      </w:r>
      <w:r w:rsidRPr="00586043">
        <w:rPr>
          <w:rFonts w:cs="Arial" w:hint="cs"/>
          <w:rtl/>
        </w:rPr>
        <w:t xml:space="preserve">. </w:t>
      </w:r>
      <w:r w:rsidRPr="002E76B8">
        <w:rPr>
          <w:rFonts w:cs="Arial" w:hint="cs"/>
          <w:color w:val="E36C0A" w:themeColor="accent6" w:themeShade="BF"/>
          <w:rtl/>
        </w:rPr>
        <w:t>(וכ"פ בשו"ע</w:t>
      </w:r>
      <w:r>
        <w:rPr>
          <w:rFonts w:cs="Arial" w:hint="cs"/>
          <w:color w:val="E36C0A" w:themeColor="accent6" w:themeShade="BF"/>
          <w:sz w:val="16"/>
          <w:szCs w:val="16"/>
          <w:rtl/>
        </w:rPr>
        <w:t xml:space="preserve"> </w:t>
      </w:r>
      <w:r w:rsidRPr="00A74A12">
        <w:rPr>
          <w:rFonts w:cs="Arial" w:hint="cs"/>
          <w:color w:val="000000" w:themeColor="text1"/>
          <w:sz w:val="16"/>
          <w:szCs w:val="16"/>
          <w:rtl/>
        </w:rPr>
        <w:t>[</w:t>
      </w:r>
      <w:r>
        <w:rPr>
          <w:rFonts w:cs="Arial" w:hint="cs"/>
          <w:color w:val="000000" w:themeColor="text1"/>
          <w:sz w:val="16"/>
          <w:szCs w:val="16"/>
          <w:rtl/>
        </w:rPr>
        <w:t>שם</w:t>
      </w:r>
      <w:r w:rsidRPr="00A74A12">
        <w:rPr>
          <w:rFonts w:cs="Arial" w:hint="cs"/>
          <w:color w:val="000000" w:themeColor="text1"/>
          <w:sz w:val="16"/>
          <w:szCs w:val="16"/>
          <w:rtl/>
        </w:rPr>
        <w:t>]</w:t>
      </w:r>
      <w:r w:rsidRPr="002E76B8">
        <w:rPr>
          <w:rFonts w:cs="Arial" w:hint="cs"/>
          <w:color w:val="E36C0A" w:themeColor="accent6" w:themeShade="BF"/>
          <w:rtl/>
        </w:rPr>
        <w:t>)</w:t>
      </w:r>
    </w:p>
    <w:p w14:paraId="287F2380" w14:textId="77777777" w:rsidR="002C39F4" w:rsidRPr="00586043" w:rsidRDefault="002C39F4" w:rsidP="0032102C">
      <w:pPr>
        <w:pStyle w:val="a8"/>
        <w:numPr>
          <w:ilvl w:val="1"/>
          <w:numId w:val="139"/>
        </w:numPr>
        <w:rPr>
          <w:rFonts w:cs="Arial"/>
          <w:rtl/>
        </w:rPr>
      </w:pPr>
      <w:r>
        <w:rPr>
          <w:rFonts w:cs="Arial" w:hint="cs"/>
          <w:rtl/>
        </w:rPr>
        <w:t>ב"י- ו</w:t>
      </w:r>
      <w:r w:rsidRPr="00586043">
        <w:rPr>
          <w:rFonts w:cs="Arial"/>
          <w:rtl/>
        </w:rPr>
        <w:t>לענין הלכה כיון שהרי"ף והרמב"ם ורוב המורים מסכימים לדעת אחת הכי נקטינן להתיר בדיעבד</w:t>
      </w:r>
      <w:r>
        <w:rPr>
          <w:rFonts w:cs="Arial" w:hint="cs"/>
          <w:rtl/>
        </w:rPr>
        <w:t>,</w:t>
      </w:r>
      <w:r w:rsidRPr="00586043">
        <w:rPr>
          <w:rFonts w:cs="Arial"/>
          <w:rtl/>
        </w:rPr>
        <w:t xml:space="preserve"> א</w:t>
      </w:r>
      <w:r>
        <w:rPr>
          <w:rFonts w:cs="Arial"/>
          <w:rtl/>
        </w:rPr>
        <w:t>בל לכתחלה אסור לצלותם בתנור צר</w:t>
      </w:r>
      <w:r>
        <w:rPr>
          <w:rFonts w:cs="Arial" w:hint="cs"/>
          <w:rtl/>
        </w:rPr>
        <w:t>.</w:t>
      </w:r>
    </w:p>
    <w:p w14:paraId="30819F0C" w14:textId="77777777" w:rsidR="002C39F4" w:rsidRPr="008822B5" w:rsidRDefault="002C39F4" w:rsidP="002C39F4">
      <w:pPr>
        <w:rPr>
          <w:rFonts w:cs="Arial"/>
          <w:u w:val="single"/>
          <w:rtl/>
        </w:rPr>
      </w:pPr>
      <w:r w:rsidRPr="008822B5">
        <w:rPr>
          <w:rFonts w:cs="Arial"/>
          <w:u w:val="single"/>
          <w:rtl/>
        </w:rPr>
        <w:t>פת שאפאה</w:t>
      </w:r>
      <w:r w:rsidRPr="008822B5">
        <w:rPr>
          <w:rFonts w:cs="Arial" w:hint="cs"/>
          <w:u w:val="single"/>
          <w:rtl/>
        </w:rPr>
        <w:t xml:space="preserve"> </w:t>
      </w:r>
      <w:r w:rsidRPr="008822B5">
        <w:rPr>
          <w:rFonts w:cs="Arial"/>
          <w:u w:val="single"/>
          <w:rtl/>
        </w:rPr>
        <w:t>עם צלי</w:t>
      </w:r>
      <w:r w:rsidRPr="00F43EBD">
        <w:rPr>
          <w:rFonts w:cs="Arial"/>
          <w:sz w:val="16"/>
          <w:szCs w:val="16"/>
          <w:u w:val="single"/>
          <w:rtl/>
        </w:rPr>
        <w:t xml:space="preserve"> </w:t>
      </w:r>
      <w:r w:rsidRPr="00F43EBD">
        <w:rPr>
          <w:rFonts w:cs="Arial" w:hint="cs"/>
          <w:sz w:val="16"/>
          <w:szCs w:val="16"/>
          <w:u w:val="single"/>
          <w:rtl/>
        </w:rPr>
        <w:t xml:space="preserve">(או </w:t>
      </w:r>
      <w:r w:rsidRPr="00F43EBD">
        <w:rPr>
          <w:rFonts w:cs="Arial"/>
          <w:sz w:val="16"/>
          <w:szCs w:val="16"/>
          <w:u w:val="single"/>
          <w:rtl/>
        </w:rPr>
        <w:t>ביניתא דאיטויא בהדי בישרא</w:t>
      </w:r>
      <w:r w:rsidRPr="00F43EBD">
        <w:rPr>
          <w:rFonts w:cs="Arial" w:hint="cs"/>
          <w:sz w:val="16"/>
          <w:szCs w:val="16"/>
          <w:u w:val="single"/>
          <w:rtl/>
        </w:rPr>
        <w:t>)</w:t>
      </w:r>
      <w:r>
        <w:rPr>
          <w:rFonts w:cs="Arial" w:hint="cs"/>
          <w:u w:val="single"/>
          <w:rtl/>
        </w:rPr>
        <w:t xml:space="preserve"> בתנור</w:t>
      </w:r>
      <w:r w:rsidRPr="00F43EBD">
        <w:rPr>
          <w:rFonts w:cs="Arial" w:hint="cs"/>
          <w:b/>
          <w:bCs/>
          <w:u w:val="single"/>
          <w:rtl/>
        </w:rPr>
        <w:t xml:space="preserve"> קטן</w:t>
      </w:r>
      <w:r>
        <w:rPr>
          <w:rFonts w:cs="Arial" w:hint="cs"/>
          <w:u w:val="single"/>
          <w:rtl/>
        </w:rPr>
        <w:t xml:space="preserve"> </w:t>
      </w:r>
      <w:r>
        <w:rPr>
          <w:rFonts w:cs="Arial"/>
          <w:u w:val="single"/>
          <w:rtl/>
        </w:rPr>
        <w:t>–</w:t>
      </w:r>
      <w:r>
        <w:rPr>
          <w:rFonts w:cs="Arial" w:hint="cs"/>
          <w:u w:val="single"/>
          <w:rtl/>
        </w:rPr>
        <w:t xml:space="preserve"> מהו לאוכלו בכותח</w:t>
      </w:r>
      <w:r w:rsidRPr="008822B5">
        <w:rPr>
          <w:rFonts w:cs="Arial" w:hint="cs"/>
          <w:u w:val="single"/>
          <w:rtl/>
        </w:rPr>
        <w:t>:</w:t>
      </w:r>
    </w:p>
    <w:p w14:paraId="77BF5604" w14:textId="77777777" w:rsidR="002C39F4" w:rsidRPr="008822B5" w:rsidRDefault="002C39F4" w:rsidP="0032102C">
      <w:pPr>
        <w:pStyle w:val="a8"/>
        <w:numPr>
          <w:ilvl w:val="0"/>
          <w:numId w:val="139"/>
        </w:numPr>
        <w:rPr>
          <w:rFonts w:cs="Arial"/>
        </w:rPr>
      </w:pPr>
      <w:r w:rsidRPr="00865737">
        <w:rPr>
          <w:rFonts w:cs="Arial"/>
          <w:rtl/>
        </w:rPr>
        <w:t>רי"ף</w:t>
      </w:r>
      <w:r w:rsidRPr="00865737">
        <w:rPr>
          <w:rFonts w:cs="Arial" w:hint="cs"/>
          <w:rtl/>
        </w:rPr>
        <w:t xml:space="preserve"> </w:t>
      </w:r>
      <w:r w:rsidRPr="00865737">
        <w:rPr>
          <w:rFonts w:cs="Arial"/>
          <w:sz w:val="16"/>
          <w:szCs w:val="16"/>
          <w:rtl/>
        </w:rPr>
        <w:t>(לב:)</w:t>
      </w:r>
      <w:r w:rsidRPr="0054371F">
        <w:rPr>
          <w:rFonts w:cs="Arial"/>
          <w:rtl/>
        </w:rPr>
        <w:t xml:space="preserve"> </w:t>
      </w:r>
      <w:r>
        <w:rPr>
          <w:rFonts w:cs="Arial" w:hint="cs"/>
          <w:rtl/>
        </w:rPr>
        <w:t>ו</w:t>
      </w:r>
      <w:r w:rsidRPr="00135581">
        <w:rPr>
          <w:rFonts w:cs="Arial"/>
          <w:rtl/>
        </w:rPr>
        <w:t xml:space="preserve">רמב"ם </w:t>
      </w:r>
      <w:r w:rsidRPr="00586043">
        <w:rPr>
          <w:rFonts w:cs="Arial" w:hint="cs"/>
          <w:sz w:val="16"/>
          <w:szCs w:val="16"/>
          <w:rtl/>
        </w:rPr>
        <w:t>(</w:t>
      </w:r>
      <w:r w:rsidRPr="00586043">
        <w:rPr>
          <w:rFonts w:cs="Arial"/>
          <w:sz w:val="16"/>
          <w:szCs w:val="16"/>
          <w:rtl/>
        </w:rPr>
        <w:t>פ</w:t>
      </w:r>
      <w:r w:rsidRPr="00586043">
        <w:rPr>
          <w:rFonts w:cs="Arial" w:hint="cs"/>
          <w:sz w:val="16"/>
          <w:szCs w:val="16"/>
          <w:rtl/>
        </w:rPr>
        <w:t>"</w:t>
      </w:r>
      <w:r w:rsidRPr="00586043">
        <w:rPr>
          <w:rFonts w:cs="Arial"/>
          <w:sz w:val="16"/>
          <w:szCs w:val="16"/>
          <w:rtl/>
        </w:rPr>
        <w:t>ט ה</w:t>
      </w:r>
      <w:r w:rsidRPr="00586043">
        <w:rPr>
          <w:rFonts w:cs="Arial" w:hint="cs"/>
          <w:sz w:val="16"/>
          <w:szCs w:val="16"/>
          <w:rtl/>
        </w:rPr>
        <w:t>כ</w:t>
      </w:r>
      <w:r w:rsidRPr="00586043">
        <w:rPr>
          <w:rFonts w:cs="Arial"/>
          <w:sz w:val="16"/>
          <w:szCs w:val="16"/>
          <w:rtl/>
        </w:rPr>
        <w:t>"ג)</w:t>
      </w:r>
      <w:r w:rsidRPr="00865737">
        <w:rPr>
          <w:rFonts w:cs="Arial" w:hint="cs"/>
          <w:rtl/>
        </w:rPr>
        <w:t>-</w:t>
      </w:r>
      <w:r w:rsidRPr="00865737">
        <w:rPr>
          <w:rFonts w:cs="Arial"/>
          <w:rtl/>
        </w:rPr>
        <w:t xml:space="preserve"> </w:t>
      </w:r>
      <w:r>
        <w:rPr>
          <w:rFonts w:cs="Arial" w:hint="cs"/>
          <w:rtl/>
        </w:rPr>
        <w:t>אסור לאוכלן</w:t>
      </w:r>
      <w:r w:rsidRPr="00C774D0">
        <w:rPr>
          <w:rFonts w:cs="Arial"/>
          <w:rtl/>
        </w:rPr>
        <w:t xml:space="preserve"> </w:t>
      </w:r>
      <w:r w:rsidRPr="00BB19A3">
        <w:rPr>
          <w:rFonts w:cs="Arial"/>
          <w:rtl/>
        </w:rPr>
        <w:t>בכותחא</w:t>
      </w:r>
      <w:r>
        <w:rPr>
          <w:rFonts w:cs="Arial" w:hint="cs"/>
          <w:rtl/>
        </w:rPr>
        <w:t xml:space="preserve"> גם לדעת לוי</w:t>
      </w:r>
      <w:r>
        <w:rPr>
          <w:rStyle w:val="a7"/>
          <w:rFonts w:cs="Arial"/>
          <w:rtl/>
        </w:rPr>
        <w:footnoteReference w:id="1749"/>
      </w:r>
      <w:r w:rsidRPr="008822B5">
        <w:rPr>
          <w:rFonts w:cs="Arial"/>
          <w:rtl/>
        </w:rPr>
        <w:t xml:space="preserve">. </w:t>
      </w:r>
      <w:r w:rsidRPr="008822B5">
        <w:rPr>
          <w:rFonts w:cs="Arial" w:hint="cs"/>
          <w:color w:val="E36C0A" w:themeColor="accent6" w:themeShade="BF"/>
          <w:rtl/>
        </w:rPr>
        <w:t>(וכ"פ בשו"ע)</w:t>
      </w:r>
      <w:r w:rsidRPr="00490B6A">
        <w:rPr>
          <w:rFonts w:cs="Arial" w:hint="cs"/>
          <w:color w:val="00B0F0"/>
          <w:rtl/>
        </w:rPr>
        <w:t xml:space="preserve"> </w:t>
      </w:r>
      <w:r w:rsidRPr="00541475">
        <w:rPr>
          <w:rFonts w:cs="Arial" w:hint="cs"/>
          <w:color w:val="00B0F0"/>
          <w:rtl/>
        </w:rPr>
        <w:t>(וכ"פ הרמ"א</w:t>
      </w:r>
      <w:r>
        <w:rPr>
          <w:rFonts w:cs="Arial" w:hint="cs"/>
          <w:color w:val="000000" w:themeColor="text1"/>
          <w:sz w:val="16"/>
          <w:szCs w:val="16"/>
          <w:rtl/>
        </w:rPr>
        <w:t xml:space="preserve"> [בסי' קח ס"א]</w:t>
      </w:r>
      <w:r w:rsidRPr="00541475">
        <w:rPr>
          <w:rFonts w:cs="Arial" w:hint="cs"/>
          <w:color w:val="00B0F0"/>
          <w:rtl/>
        </w:rPr>
        <w:t>)</w:t>
      </w:r>
    </w:p>
    <w:p w14:paraId="0253BC50" w14:textId="77777777" w:rsidR="002C39F4" w:rsidRPr="00F373A0" w:rsidRDefault="002C39F4" w:rsidP="0032102C">
      <w:pPr>
        <w:pStyle w:val="a8"/>
        <w:numPr>
          <w:ilvl w:val="0"/>
          <w:numId w:val="139"/>
        </w:numPr>
        <w:rPr>
          <w:rFonts w:cs="Arial"/>
          <w:rtl/>
        </w:rPr>
      </w:pPr>
      <w:r w:rsidRPr="00135581">
        <w:rPr>
          <w:rFonts w:cs="Arial"/>
          <w:rtl/>
        </w:rPr>
        <w:t xml:space="preserve">ראבי"ה </w:t>
      </w:r>
      <w:r w:rsidRPr="00586043">
        <w:rPr>
          <w:rFonts w:cs="Arial"/>
          <w:sz w:val="16"/>
          <w:szCs w:val="16"/>
          <w:rtl/>
        </w:rPr>
        <w:t>(פסחים סי' תקז</w:t>
      </w:r>
      <w:r>
        <w:rPr>
          <w:rFonts w:cs="Arial" w:hint="cs"/>
          <w:sz w:val="16"/>
          <w:szCs w:val="16"/>
          <w:rtl/>
        </w:rPr>
        <w:t>,</w:t>
      </w:r>
      <w:r w:rsidRPr="00F373A0">
        <w:rPr>
          <w:rFonts w:cs="Arial" w:hint="cs"/>
          <w:sz w:val="16"/>
          <w:szCs w:val="16"/>
          <w:rtl/>
        </w:rPr>
        <w:t xml:space="preserve"> </w:t>
      </w:r>
      <w:r>
        <w:rPr>
          <w:rFonts w:cs="Arial" w:hint="cs"/>
          <w:sz w:val="16"/>
          <w:szCs w:val="16"/>
          <w:rtl/>
        </w:rPr>
        <w:t xml:space="preserve">הביאו המרדכי [חולין </w:t>
      </w:r>
      <w:r w:rsidRPr="00586043">
        <w:rPr>
          <w:rFonts w:cs="Arial" w:hint="cs"/>
          <w:sz w:val="16"/>
          <w:szCs w:val="16"/>
          <w:rtl/>
        </w:rPr>
        <w:t>סי' תרסה</w:t>
      </w:r>
      <w:r>
        <w:rPr>
          <w:rFonts w:cs="Arial" w:hint="cs"/>
          <w:sz w:val="16"/>
          <w:szCs w:val="16"/>
          <w:rtl/>
        </w:rPr>
        <w:t>]</w:t>
      </w:r>
      <w:r w:rsidRPr="00586043">
        <w:rPr>
          <w:rFonts w:cs="Arial"/>
          <w:sz w:val="16"/>
          <w:szCs w:val="16"/>
          <w:rtl/>
        </w:rPr>
        <w:t>)</w:t>
      </w:r>
      <w:r>
        <w:rPr>
          <w:rFonts w:cs="Arial" w:hint="cs"/>
          <w:rtl/>
        </w:rPr>
        <w:t>-</w:t>
      </w:r>
      <w:r w:rsidRPr="00135581">
        <w:rPr>
          <w:rFonts w:cs="Arial"/>
          <w:rtl/>
        </w:rPr>
        <w:t xml:space="preserve"> </w:t>
      </w:r>
      <w:r>
        <w:rPr>
          <w:rFonts w:cs="Arial" w:hint="cs"/>
          <w:rtl/>
        </w:rPr>
        <w:t>מותר לאוכלן בכותח גם לדעת רב</w:t>
      </w:r>
      <w:r>
        <w:rPr>
          <w:rStyle w:val="a7"/>
          <w:rFonts w:cs="Arial"/>
          <w:rtl/>
        </w:rPr>
        <w:footnoteReference w:id="1750"/>
      </w:r>
      <w:r>
        <w:rPr>
          <w:rFonts w:cs="Arial" w:hint="cs"/>
          <w:rtl/>
        </w:rPr>
        <w:t>.</w:t>
      </w:r>
    </w:p>
    <w:p w14:paraId="616BE90E" w14:textId="77777777" w:rsidR="002C39F4" w:rsidRDefault="002C39F4" w:rsidP="0032102C">
      <w:pPr>
        <w:pStyle w:val="a8"/>
        <w:numPr>
          <w:ilvl w:val="0"/>
          <w:numId w:val="139"/>
        </w:numPr>
        <w:rPr>
          <w:rFonts w:cs="Arial"/>
        </w:rPr>
      </w:pPr>
      <w:r w:rsidRPr="00586043">
        <w:rPr>
          <w:rFonts w:cs="Arial" w:hint="cs"/>
          <w:rtl/>
        </w:rPr>
        <w:t xml:space="preserve">רשב"א </w:t>
      </w:r>
      <w:r w:rsidRPr="00586043">
        <w:rPr>
          <w:rFonts w:cs="Arial" w:hint="cs"/>
          <w:sz w:val="16"/>
          <w:szCs w:val="16"/>
          <w:rtl/>
        </w:rPr>
        <w:t xml:space="preserve">(תוה"ק </w:t>
      </w:r>
      <w:r w:rsidRPr="00586043">
        <w:rPr>
          <w:rFonts w:cs="Arial"/>
          <w:sz w:val="16"/>
          <w:szCs w:val="16"/>
          <w:rtl/>
        </w:rPr>
        <w:t>ב"ד ש"א י.)</w:t>
      </w:r>
      <w:r w:rsidRPr="00586043">
        <w:rPr>
          <w:rFonts w:cs="Arial" w:hint="cs"/>
          <w:rtl/>
        </w:rPr>
        <w:t>-</w:t>
      </w:r>
      <w:r w:rsidRPr="00586043">
        <w:rPr>
          <w:rFonts w:cs="Arial"/>
          <w:rtl/>
        </w:rPr>
        <w:t xml:space="preserve"> </w:t>
      </w:r>
      <w:r>
        <w:rPr>
          <w:rFonts w:cs="Arial" w:hint="cs"/>
          <w:rtl/>
        </w:rPr>
        <w:t>לכתחילה אסור לצלותם בתנור אחד צר, ובדיעבד שרי לאוכלן בכותח</w:t>
      </w:r>
      <w:r>
        <w:rPr>
          <w:rStyle w:val="a7"/>
          <w:rFonts w:cs="Arial"/>
          <w:rtl/>
        </w:rPr>
        <w:footnoteReference w:id="1751"/>
      </w:r>
      <w:r>
        <w:rPr>
          <w:rFonts w:cs="Arial" w:hint="cs"/>
          <w:rtl/>
        </w:rPr>
        <w:t>.</w:t>
      </w:r>
    </w:p>
    <w:p w14:paraId="03D8AD70" w14:textId="77777777" w:rsidR="002C39F4" w:rsidRPr="000124E5" w:rsidRDefault="002C39F4" w:rsidP="002C39F4">
      <w:pPr>
        <w:ind w:left="360"/>
        <w:rPr>
          <w:rFonts w:cs="Arial"/>
          <w:u w:val="dotted"/>
          <w:rtl/>
        </w:rPr>
      </w:pPr>
      <w:r>
        <w:rPr>
          <w:rFonts w:cs="Arial" w:hint="cs"/>
          <w:u w:val="dotted"/>
          <w:rtl/>
        </w:rPr>
        <w:t xml:space="preserve">לדעת האוסרים </w:t>
      </w:r>
      <w:r>
        <w:rPr>
          <w:rFonts w:cs="Arial"/>
          <w:u w:val="dotted"/>
          <w:rtl/>
        </w:rPr>
        <w:t>–</w:t>
      </w:r>
      <w:r>
        <w:rPr>
          <w:rFonts w:cs="Arial" w:hint="cs"/>
          <w:u w:val="dotted"/>
          <w:rtl/>
        </w:rPr>
        <w:t xml:space="preserve"> מה הדין כ</w:t>
      </w:r>
      <w:r w:rsidRPr="000124E5">
        <w:rPr>
          <w:rFonts w:cs="Arial" w:hint="cs"/>
          <w:u w:val="dotted"/>
          <w:rtl/>
        </w:rPr>
        <w:t xml:space="preserve">שאפה </w:t>
      </w:r>
      <w:r w:rsidRPr="000124E5">
        <w:rPr>
          <w:rFonts w:cs="Arial" w:hint="cs"/>
          <w:sz w:val="16"/>
          <w:szCs w:val="16"/>
          <w:u w:val="dotted"/>
          <w:rtl/>
        </w:rPr>
        <w:t>(כנ"ל</w:t>
      </w:r>
      <w:r>
        <w:rPr>
          <w:rFonts w:cs="Arial" w:hint="cs"/>
          <w:sz w:val="16"/>
          <w:szCs w:val="16"/>
          <w:u w:val="dotted"/>
          <w:rtl/>
        </w:rPr>
        <w:t>)</w:t>
      </w:r>
      <w:r w:rsidRPr="000124E5">
        <w:rPr>
          <w:rFonts w:cs="Arial" w:hint="cs"/>
          <w:u w:val="dotted"/>
          <w:rtl/>
        </w:rPr>
        <w:t xml:space="preserve"> בתנור</w:t>
      </w:r>
      <w:r w:rsidRPr="000124E5">
        <w:rPr>
          <w:rFonts w:cs="Arial" w:hint="cs"/>
          <w:b/>
          <w:bCs/>
          <w:u w:val="dotted"/>
          <w:rtl/>
        </w:rPr>
        <w:t xml:space="preserve"> גדול</w:t>
      </w:r>
      <w:r w:rsidRPr="000124E5">
        <w:rPr>
          <w:rFonts w:cs="Arial" w:hint="cs"/>
          <w:u w:val="dotted"/>
          <w:rtl/>
        </w:rPr>
        <w:t>:</w:t>
      </w:r>
    </w:p>
    <w:p w14:paraId="2A8242A8" w14:textId="77777777" w:rsidR="002C39F4" w:rsidRDefault="002C39F4" w:rsidP="0032102C">
      <w:pPr>
        <w:pStyle w:val="a8"/>
        <w:numPr>
          <w:ilvl w:val="0"/>
          <w:numId w:val="139"/>
        </w:numPr>
        <w:rPr>
          <w:rFonts w:cs="Arial"/>
        </w:rPr>
      </w:pPr>
      <w:r w:rsidRPr="00C32AC9">
        <w:rPr>
          <w:rFonts w:cs="Arial"/>
          <w:rtl/>
        </w:rPr>
        <w:t>תוס</w:t>
      </w:r>
      <w:r w:rsidRPr="00C32AC9">
        <w:rPr>
          <w:rFonts w:cs="Arial" w:hint="cs"/>
          <w:rtl/>
        </w:rPr>
        <w:t>'</w:t>
      </w:r>
      <w:r w:rsidRPr="00C32AC9">
        <w:rPr>
          <w:rFonts w:cs="Arial"/>
          <w:rtl/>
        </w:rPr>
        <w:t xml:space="preserve"> </w:t>
      </w:r>
      <w:r w:rsidRPr="00C32AC9">
        <w:rPr>
          <w:rFonts w:cs="Arial"/>
          <w:sz w:val="16"/>
          <w:szCs w:val="16"/>
          <w:rtl/>
        </w:rPr>
        <w:t>(פסחים עו: ד"ה אסרה רבא)</w:t>
      </w:r>
      <w:r w:rsidRPr="00C32AC9">
        <w:rPr>
          <w:rFonts w:cs="Arial" w:hint="cs"/>
          <w:rtl/>
        </w:rPr>
        <w:t>-</w:t>
      </w:r>
      <w:r>
        <w:rPr>
          <w:rFonts w:cs="Arial" w:hint="cs"/>
          <w:rtl/>
        </w:rPr>
        <w:t xml:space="preserve"> </w:t>
      </w:r>
      <w:r w:rsidRPr="00F40B3A">
        <w:rPr>
          <w:rFonts w:cs="Arial"/>
          <w:rtl/>
        </w:rPr>
        <w:t>בתנורים גדולים שלנו נראה דמותר לאפות לחם עם אותו פשטיד"א הואיל ומכוסות היטב הוי כעין שתי קדרות</w:t>
      </w:r>
      <w:r>
        <w:rPr>
          <w:rFonts w:cs="Arial" w:hint="cs"/>
          <w:rtl/>
        </w:rPr>
        <w:t>,</w:t>
      </w:r>
      <w:r w:rsidRPr="00F40B3A">
        <w:rPr>
          <w:rFonts w:cs="Arial"/>
          <w:rtl/>
        </w:rPr>
        <w:t xml:space="preserve"> ואפי' פלדונ"ש שיש להרחיק</w:t>
      </w:r>
      <w:r>
        <w:rPr>
          <w:rStyle w:val="a7"/>
          <w:rFonts w:cs="Arial"/>
          <w:rtl/>
        </w:rPr>
        <w:footnoteReference w:id="1752"/>
      </w:r>
      <w:r w:rsidRPr="00F40B3A">
        <w:rPr>
          <w:rFonts w:cs="Arial"/>
          <w:rtl/>
        </w:rPr>
        <w:t xml:space="preserve"> אין נראה לרבי </w:t>
      </w:r>
      <w:r>
        <w:rPr>
          <w:rFonts w:cs="Arial" w:hint="cs"/>
          <w:sz w:val="16"/>
          <w:szCs w:val="16"/>
          <w:rtl/>
        </w:rPr>
        <w:t xml:space="preserve">{ר"י הזקן} </w:t>
      </w:r>
      <w:r w:rsidRPr="00F40B3A">
        <w:rPr>
          <w:rFonts w:cs="Arial"/>
          <w:rtl/>
        </w:rPr>
        <w:t>שיהא אסור שיש אויר מרובה בתנור וההבל מתפשט.</w:t>
      </w:r>
      <w:r w:rsidRPr="00F40B3A">
        <w:rPr>
          <w:rFonts w:cs="Arial" w:hint="cs"/>
          <w:rtl/>
        </w:rPr>
        <w:t xml:space="preserve"> </w:t>
      </w:r>
    </w:p>
    <w:p w14:paraId="6243FDDF" w14:textId="77777777" w:rsidR="002C39F4" w:rsidRPr="002E76B8" w:rsidRDefault="002C39F4" w:rsidP="0032102C">
      <w:pPr>
        <w:pStyle w:val="a8"/>
        <w:numPr>
          <w:ilvl w:val="0"/>
          <w:numId w:val="139"/>
        </w:numPr>
        <w:rPr>
          <w:rFonts w:cs="Arial"/>
        </w:rPr>
      </w:pPr>
      <w:r>
        <w:rPr>
          <w:rFonts w:cs="Arial"/>
          <w:rtl/>
        </w:rPr>
        <w:t>תוס</w:t>
      </w:r>
      <w:r>
        <w:rPr>
          <w:rFonts w:cs="Arial" w:hint="cs"/>
          <w:rtl/>
        </w:rPr>
        <w:t>'</w:t>
      </w:r>
      <w:r>
        <w:rPr>
          <w:rFonts w:cs="Arial"/>
          <w:rtl/>
        </w:rPr>
        <w:t xml:space="preserve"> </w:t>
      </w:r>
      <w:r w:rsidRPr="009E1435">
        <w:rPr>
          <w:rFonts w:cs="Arial"/>
          <w:sz w:val="16"/>
          <w:szCs w:val="16"/>
          <w:rtl/>
        </w:rPr>
        <w:t>(</w:t>
      </w:r>
      <w:r>
        <w:rPr>
          <w:rFonts w:cs="Arial" w:hint="cs"/>
          <w:sz w:val="16"/>
          <w:szCs w:val="16"/>
          <w:rtl/>
        </w:rPr>
        <w:t xml:space="preserve">ע"ז </w:t>
      </w:r>
      <w:r w:rsidRPr="009E1435">
        <w:rPr>
          <w:rFonts w:cs="Arial"/>
          <w:sz w:val="16"/>
          <w:szCs w:val="16"/>
          <w:rtl/>
        </w:rPr>
        <w:t xml:space="preserve">סו: ד"ה רבא אמר) </w:t>
      </w:r>
      <w:r>
        <w:rPr>
          <w:rFonts w:cs="Arial"/>
          <w:rtl/>
        </w:rPr>
        <w:t xml:space="preserve">ורא"ש </w:t>
      </w:r>
      <w:r>
        <w:rPr>
          <w:rFonts w:cs="Arial"/>
          <w:sz w:val="16"/>
          <w:szCs w:val="16"/>
          <w:rtl/>
        </w:rPr>
        <w:t>(</w:t>
      </w:r>
      <w:r w:rsidRPr="009E1435">
        <w:rPr>
          <w:rFonts w:cs="Arial"/>
          <w:sz w:val="16"/>
          <w:szCs w:val="16"/>
          <w:rtl/>
        </w:rPr>
        <w:t xml:space="preserve">ע"ז </w:t>
      </w:r>
      <w:r>
        <w:rPr>
          <w:rFonts w:cs="Arial"/>
          <w:sz w:val="16"/>
          <w:szCs w:val="16"/>
          <w:rtl/>
        </w:rPr>
        <w:t>פ</w:t>
      </w:r>
      <w:r>
        <w:rPr>
          <w:rFonts w:cs="Arial" w:hint="cs"/>
          <w:sz w:val="16"/>
          <w:szCs w:val="16"/>
          <w:rtl/>
        </w:rPr>
        <w:t>"ה</w:t>
      </w:r>
      <w:r w:rsidRPr="009E1435">
        <w:rPr>
          <w:rFonts w:cs="Arial"/>
          <w:sz w:val="16"/>
          <w:szCs w:val="16"/>
          <w:rtl/>
        </w:rPr>
        <w:t xml:space="preserve"> סי' ח</w:t>
      </w:r>
      <w:r>
        <w:rPr>
          <w:rFonts w:cs="Arial" w:hint="cs"/>
          <w:sz w:val="16"/>
          <w:szCs w:val="16"/>
          <w:rtl/>
        </w:rPr>
        <w:t xml:space="preserve">, </w:t>
      </w:r>
      <w:r>
        <w:rPr>
          <w:rFonts w:cs="Arial"/>
          <w:sz w:val="16"/>
          <w:szCs w:val="16"/>
          <w:rtl/>
        </w:rPr>
        <w:t>וכתבו רבינו בסי</w:t>
      </w:r>
      <w:r>
        <w:rPr>
          <w:rFonts w:cs="Arial" w:hint="cs"/>
          <w:sz w:val="16"/>
          <w:szCs w:val="16"/>
          <w:rtl/>
        </w:rPr>
        <w:t>'</w:t>
      </w:r>
      <w:r>
        <w:rPr>
          <w:rFonts w:cs="Arial"/>
          <w:sz w:val="16"/>
          <w:szCs w:val="16"/>
          <w:rtl/>
        </w:rPr>
        <w:t xml:space="preserve"> קח</w:t>
      </w:r>
      <w:r>
        <w:rPr>
          <w:rFonts w:cs="Arial" w:hint="cs"/>
          <w:sz w:val="16"/>
          <w:szCs w:val="16"/>
          <w:rtl/>
        </w:rPr>
        <w:t xml:space="preserve"> [</w:t>
      </w:r>
      <w:r>
        <w:rPr>
          <w:rFonts w:cs="Arial"/>
          <w:sz w:val="16"/>
          <w:szCs w:val="16"/>
          <w:rtl/>
        </w:rPr>
        <w:t>קסט.</w:t>
      </w:r>
      <w:r>
        <w:rPr>
          <w:rFonts w:cs="Arial" w:hint="cs"/>
          <w:sz w:val="16"/>
          <w:szCs w:val="16"/>
          <w:rtl/>
        </w:rPr>
        <w:t>]</w:t>
      </w:r>
      <w:r w:rsidRPr="009E1435">
        <w:rPr>
          <w:rFonts w:cs="Arial"/>
          <w:sz w:val="16"/>
          <w:szCs w:val="16"/>
          <w:rtl/>
        </w:rPr>
        <w:t>)</w:t>
      </w:r>
      <w:r>
        <w:rPr>
          <w:rFonts w:cs="Arial" w:hint="cs"/>
          <w:rtl/>
        </w:rPr>
        <w:t xml:space="preserve">- </w:t>
      </w:r>
      <w:r>
        <w:rPr>
          <w:rStyle w:val="a7"/>
          <w:rFonts w:cs="Arial"/>
          <w:rtl/>
        </w:rPr>
        <w:footnoteReference w:id="1753"/>
      </w:r>
      <w:r w:rsidRPr="002E76B8">
        <w:rPr>
          <w:rFonts w:cs="Arial"/>
          <w:rtl/>
        </w:rPr>
        <w:t>בתנורים גדולים שלנו אין לחוש לריחא</w:t>
      </w:r>
      <w:r>
        <w:rPr>
          <w:rStyle w:val="a7"/>
          <w:rFonts w:cs="Arial"/>
          <w:rtl/>
        </w:rPr>
        <w:footnoteReference w:id="1754"/>
      </w:r>
      <w:r>
        <w:rPr>
          <w:rFonts w:cs="Arial" w:hint="cs"/>
          <w:rtl/>
        </w:rPr>
        <w:t>,</w:t>
      </w:r>
      <w:r w:rsidRPr="002E76B8">
        <w:rPr>
          <w:rFonts w:cs="Arial"/>
          <w:rtl/>
        </w:rPr>
        <w:t xml:space="preserve"> ובלבד שלא יהא פי התנור סתום</w:t>
      </w:r>
      <w:r>
        <w:rPr>
          <w:rFonts w:cs="Arial" w:hint="cs"/>
          <w:sz w:val="16"/>
          <w:szCs w:val="16"/>
          <w:rtl/>
        </w:rPr>
        <w:t xml:space="preserve"> (ל' התוס'</w:t>
      </w:r>
      <w:r>
        <w:rPr>
          <w:rStyle w:val="a7"/>
          <w:rFonts w:cs="Arial"/>
          <w:sz w:val="16"/>
          <w:szCs w:val="16"/>
          <w:rtl/>
        </w:rPr>
        <w:footnoteReference w:id="1755"/>
      </w:r>
      <w:r>
        <w:rPr>
          <w:rFonts w:cs="Arial" w:hint="cs"/>
          <w:sz w:val="16"/>
          <w:szCs w:val="16"/>
          <w:rtl/>
        </w:rPr>
        <w:t>)</w:t>
      </w:r>
      <w:r>
        <w:rPr>
          <w:rFonts w:cs="Arial" w:hint="cs"/>
          <w:rtl/>
        </w:rPr>
        <w:t>.</w:t>
      </w:r>
      <w:r w:rsidRPr="002E76B8">
        <w:rPr>
          <w:rFonts w:cs="Arial" w:hint="cs"/>
          <w:color w:val="E36C0A" w:themeColor="accent6" w:themeShade="BF"/>
          <w:rtl/>
        </w:rPr>
        <w:t xml:space="preserve"> (וכ"פ בשו"ע)</w:t>
      </w:r>
    </w:p>
    <w:p w14:paraId="656F41DB" w14:textId="77777777" w:rsidR="002C39F4" w:rsidRDefault="002C39F4" w:rsidP="0032102C">
      <w:pPr>
        <w:pStyle w:val="a8"/>
        <w:numPr>
          <w:ilvl w:val="0"/>
          <w:numId w:val="139"/>
        </w:numPr>
        <w:rPr>
          <w:rFonts w:cs="Arial"/>
        </w:rPr>
      </w:pPr>
      <w:r w:rsidRPr="00C32AC9">
        <w:rPr>
          <w:rFonts w:cs="Arial"/>
          <w:rtl/>
        </w:rPr>
        <w:t>ס</w:t>
      </w:r>
      <w:r>
        <w:rPr>
          <w:rFonts w:cs="Arial"/>
          <w:rtl/>
        </w:rPr>
        <w:t xml:space="preserve">מ"ג </w:t>
      </w:r>
      <w:r w:rsidRPr="00C32AC9">
        <w:rPr>
          <w:rFonts w:cs="Arial"/>
          <w:rtl/>
        </w:rPr>
        <w:t xml:space="preserve">סמ"ק </w:t>
      </w:r>
      <w:r>
        <w:rPr>
          <w:rFonts w:cs="Arial"/>
          <w:rtl/>
        </w:rPr>
        <w:t xml:space="preserve">רשב"א </w:t>
      </w:r>
      <w:r>
        <w:rPr>
          <w:rFonts w:cs="Arial" w:hint="cs"/>
          <w:rtl/>
        </w:rPr>
        <w:t>ו</w:t>
      </w:r>
      <w:r w:rsidRPr="00C32AC9">
        <w:rPr>
          <w:rFonts w:cs="Arial"/>
          <w:rtl/>
        </w:rPr>
        <w:t>מרדכי</w:t>
      </w:r>
      <w:r>
        <w:rPr>
          <w:rStyle w:val="a7"/>
          <w:rFonts w:cs="Arial"/>
          <w:rtl/>
        </w:rPr>
        <w:footnoteReference w:id="1756"/>
      </w:r>
      <w:r w:rsidRPr="00C32AC9">
        <w:rPr>
          <w:rFonts w:cs="Arial" w:hint="cs"/>
          <w:rtl/>
        </w:rPr>
        <w:t>-</w:t>
      </w:r>
      <w:r>
        <w:rPr>
          <w:rFonts w:cs="Arial" w:hint="cs"/>
          <w:rtl/>
        </w:rPr>
        <w:t xml:space="preserve"> </w:t>
      </w:r>
      <w:r w:rsidRPr="00C32AC9">
        <w:rPr>
          <w:rFonts w:cs="Arial"/>
          <w:rtl/>
        </w:rPr>
        <w:t>אומר רבינו יעקב</w:t>
      </w:r>
      <w:r>
        <w:rPr>
          <w:rFonts w:cs="Arial" w:hint="cs"/>
          <w:sz w:val="16"/>
          <w:szCs w:val="16"/>
          <w:rtl/>
        </w:rPr>
        <w:t xml:space="preserve"> {ר"ת}</w:t>
      </w:r>
      <w:r>
        <w:rPr>
          <w:rFonts w:cs="Arial" w:hint="cs"/>
          <w:rtl/>
        </w:rPr>
        <w:t>,</w:t>
      </w:r>
      <w:r w:rsidRPr="00C32AC9">
        <w:rPr>
          <w:rFonts w:cs="Arial"/>
          <w:rtl/>
        </w:rPr>
        <w:t xml:space="preserve"> דוקא בתנורים קטנים דנפיש טעם פיטומייהו שהתנורים שבימי חכמים קטנים היו אבל בתנורים גדולים כעין שלנו מ</w:t>
      </w:r>
      <w:r>
        <w:rPr>
          <w:rFonts w:cs="Arial"/>
          <w:rtl/>
        </w:rPr>
        <w:t>ותר לאפות פת עם צ</w:t>
      </w:r>
      <w:r>
        <w:rPr>
          <w:rFonts w:cs="Arial" w:hint="cs"/>
          <w:rtl/>
        </w:rPr>
        <w:t>לי</w:t>
      </w:r>
      <w:r>
        <w:rPr>
          <w:rFonts w:cs="Arial" w:hint="cs"/>
          <w:sz w:val="16"/>
          <w:szCs w:val="16"/>
          <w:rtl/>
        </w:rPr>
        <w:t xml:space="preserve"> (ל' הסמ"ג)</w:t>
      </w:r>
      <w:r>
        <w:rPr>
          <w:rFonts w:hint="cs"/>
          <w:rtl/>
        </w:rPr>
        <w:t>.</w:t>
      </w:r>
    </w:p>
    <w:p w14:paraId="783E5356" w14:textId="77777777" w:rsidR="002C39F4" w:rsidRDefault="002C39F4" w:rsidP="0032102C">
      <w:pPr>
        <w:pStyle w:val="a8"/>
        <w:numPr>
          <w:ilvl w:val="0"/>
          <w:numId w:val="139"/>
        </w:numPr>
        <w:rPr>
          <w:rFonts w:cs="Arial"/>
        </w:rPr>
      </w:pPr>
      <w:r>
        <w:rPr>
          <w:rFonts w:cs="Arial"/>
          <w:rtl/>
        </w:rPr>
        <w:t xml:space="preserve">אגור </w:t>
      </w:r>
      <w:r w:rsidRPr="005C25AB">
        <w:rPr>
          <w:rFonts w:cs="Arial"/>
          <w:sz w:val="16"/>
          <w:szCs w:val="16"/>
          <w:rtl/>
        </w:rPr>
        <w:t xml:space="preserve">(סי' אלף רסב) </w:t>
      </w:r>
      <w:r>
        <w:rPr>
          <w:rFonts w:cs="Arial" w:hint="cs"/>
          <w:rtl/>
        </w:rPr>
        <w:t>בשם</w:t>
      </w:r>
      <w:r w:rsidRPr="00135581">
        <w:rPr>
          <w:rFonts w:cs="Arial"/>
          <w:rtl/>
        </w:rPr>
        <w:t xml:space="preserve"> מהר</w:t>
      </w:r>
      <w:r>
        <w:rPr>
          <w:rFonts w:cs="Arial" w:hint="cs"/>
          <w:rtl/>
        </w:rPr>
        <w:t>י"ל</w:t>
      </w:r>
      <w:r w:rsidRPr="00135581">
        <w:rPr>
          <w:rFonts w:cs="Arial"/>
          <w:rtl/>
        </w:rPr>
        <w:t xml:space="preserve"> </w:t>
      </w:r>
      <w:r w:rsidRPr="005C25AB">
        <w:rPr>
          <w:rFonts w:cs="Arial"/>
          <w:sz w:val="16"/>
          <w:szCs w:val="16"/>
          <w:rtl/>
        </w:rPr>
        <w:t>(החדשות סי' פג)</w:t>
      </w:r>
      <w:r>
        <w:rPr>
          <w:rFonts w:cs="Arial" w:hint="cs"/>
          <w:rtl/>
        </w:rPr>
        <w:t>-</w:t>
      </w:r>
      <w:r>
        <w:rPr>
          <w:rFonts w:cs="Arial"/>
          <w:rtl/>
        </w:rPr>
        <w:t xml:space="preserve"> </w:t>
      </w:r>
      <w:r w:rsidRPr="00135581">
        <w:rPr>
          <w:rFonts w:cs="Arial"/>
          <w:rtl/>
        </w:rPr>
        <w:t>פת ש</w:t>
      </w:r>
      <w:r>
        <w:rPr>
          <w:rFonts w:cs="Arial"/>
          <w:rtl/>
        </w:rPr>
        <w:t>נאפה עם צלי של גוי בדיעבד</w:t>
      </w:r>
      <w:r>
        <w:rPr>
          <w:rFonts w:cs="Arial" w:hint="cs"/>
          <w:rtl/>
        </w:rPr>
        <w:t xml:space="preserve">, </w:t>
      </w:r>
      <w:r w:rsidRPr="00135581">
        <w:rPr>
          <w:rFonts w:cs="Arial"/>
          <w:rtl/>
        </w:rPr>
        <w:t>רוב הפוסקים פסקו דריחא לאו מילתא היא בתנורים שלנו</w:t>
      </w:r>
      <w:r>
        <w:rPr>
          <w:rFonts w:cs="Arial" w:hint="cs"/>
          <w:rtl/>
        </w:rPr>
        <w:t>,</w:t>
      </w:r>
      <w:r w:rsidRPr="00135581">
        <w:rPr>
          <w:rFonts w:cs="Arial"/>
          <w:rtl/>
        </w:rPr>
        <w:t xml:space="preserve"> ואם יש פת אחרת דעתי נוטה דחשוב כמו לכתח</w:t>
      </w:r>
      <w:r>
        <w:rPr>
          <w:rFonts w:cs="Arial" w:hint="cs"/>
          <w:rtl/>
        </w:rPr>
        <w:t>לה</w:t>
      </w:r>
      <w:r w:rsidRPr="00135581">
        <w:rPr>
          <w:rFonts w:cs="Arial"/>
          <w:rtl/>
        </w:rPr>
        <w:t xml:space="preserve"> ולמה תניח ההיתר ותאכל האיסור</w:t>
      </w:r>
      <w:r>
        <w:rPr>
          <w:rFonts w:cs="Arial" w:hint="cs"/>
          <w:rtl/>
        </w:rPr>
        <w:t>,</w:t>
      </w:r>
      <w:r w:rsidRPr="00135581">
        <w:rPr>
          <w:rFonts w:cs="Arial"/>
          <w:rtl/>
        </w:rPr>
        <w:t xml:space="preserve"> אבל אם יש דוחק למצוא פת</w:t>
      </w:r>
      <w:r>
        <w:rPr>
          <w:rFonts w:cs="Arial"/>
          <w:rtl/>
        </w:rPr>
        <w:t xml:space="preserve"> אחרת יש לסמוך על המתירים</w:t>
      </w:r>
      <w:r>
        <w:rPr>
          <w:rStyle w:val="a7"/>
          <w:rFonts w:cs="Arial"/>
          <w:rtl/>
        </w:rPr>
        <w:footnoteReference w:id="1757"/>
      </w:r>
      <w:r>
        <w:rPr>
          <w:rFonts w:cs="Arial" w:hint="cs"/>
          <w:rtl/>
        </w:rPr>
        <w:t xml:space="preserve">. </w:t>
      </w:r>
      <w:r w:rsidRPr="00541475">
        <w:rPr>
          <w:rFonts w:cs="Arial" w:hint="cs"/>
          <w:color w:val="00B0F0"/>
          <w:rtl/>
        </w:rPr>
        <w:t>(וכ"פ הרמ"א</w:t>
      </w:r>
      <w:r>
        <w:rPr>
          <w:rFonts w:cs="Arial" w:hint="cs"/>
          <w:color w:val="000000" w:themeColor="text1"/>
          <w:sz w:val="16"/>
          <w:szCs w:val="16"/>
          <w:rtl/>
        </w:rPr>
        <w:t xml:space="preserve"> [בסי' קח ס"א]</w:t>
      </w:r>
      <w:r w:rsidRPr="00541475">
        <w:rPr>
          <w:rFonts w:cs="Arial" w:hint="cs"/>
          <w:color w:val="00B0F0"/>
          <w:rtl/>
        </w:rPr>
        <w:t>)</w:t>
      </w:r>
    </w:p>
    <w:p w14:paraId="0A0FEFD9" w14:textId="77777777" w:rsidR="002C39F4" w:rsidRPr="00490B6A" w:rsidRDefault="002C39F4" w:rsidP="002C39F4">
      <w:pPr>
        <w:ind w:left="360"/>
        <w:rPr>
          <w:rFonts w:cs="Arial"/>
          <w:sz w:val="16"/>
          <w:szCs w:val="16"/>
          <w:u w:val="dotted"/>
        </w:rPr>
      </w:pPr>
      <w:r w:rsidRPr="00C32AC9">
        <w:rPr>
          <w:rFonts w:cs="Arial" w:hint="cs"/>
          <w:u w:val="dotted"/>
          <w:rtl/>
        </w:rPr>
        <w:t>מהו תנור גדול:</w:t>
      </w:r>
      <w:r w:rsidRPr="00490B6A">
        <w:rPr>
          <w:rFonts w:cs="Arial" w:hint="cs"/>
          <w:sz w:val="16"/>
          <w:szCs w:val="16"/>
          <w:rtl/>
        </w:rPr>
        <w:t xml:space="preserve"> </w:t>
      </w:r>
      <w:r>
        <w:rPr>
          <w:rFonts w:cs="Arial" w:hint="cs"/>
          <w:sz w:val="16"/>
          <w:szCs w:val="16"/>
          <w:rtl/>
        </w:rPr>
        <w:t xml:space="preserve"> </w:t>
      </w:r>
    </w:p>
    <w:p w14:paraId="20711700" w14:textId="77777777" w:rsidR="002C39F4" w:rsidRPr="007E7133" w:rsidRDefault="002C39F4" w:rsidP="0032102C">
      <w:pPr>
        <w:pStyle w:val="a8"/>
        <w:numPr>
          <w:ilvl w:val="0"/>
          <w:numId w:val="139"/>
        </w:numPr>
        <w:rPr>
          <w:rFonts w:cs="Arial"/>
          <w:rtl/>
        </w:rPr>
      </w:pPr>
      <w:r w:rsidRPr="00C32AC9">
        <w:rPr>
          <w:rFonts w:cs="Arial"/>
          <w:rtl/>
        </w:rPr>
        <w:t xml:space="preserve">סמ"ק </w:t>
      </w:r>
      <w:r w:rsidRPr="00C32AC9">
        <w:rPr>
          <w:rFonts w:cs="Arial"/>
          <w:sz w:val="16"/>
          <w:szCs w:val="16"/>
          <w:rtl/>
        </w:rPr>
        <w:t>(סו"ס ריג)</w:t>
      </w:r>
      <w:r>
        <w:rPr>
          <w:rFonts w:cs="Arial" w:hint="cs"/>
          <w:rtl/>
        </w:rPr>
        <w:t xml:space="preserve">- </w:t>
      </w:r>
      <w:r w:rsidRPr="00C32AC9">
        <w:rPr>
          <w:rFonts w:cs="Arial"/>
          <w:rtl/>
        </w:rPr>
        <w:t>פירשו לי רבותי המחזיק שנים עשר עש</w:t>
      </w:r>
      <w:r>
        <w:rPr>
          <w:rFonts w:cs="Arial"/>
          <w:rtl/>
        </w:rPr>
        <w:t>רונים של מצות זהו תנור גדול</w:t>
      </w:r>
      <w:r>
        <w:rPr>
          <w:rStyle w:val="a7"/>
          <w:rFonts w:cs="Arial"/>
          <w:rtl/>
        </w:rPr>
        <w:footnoteReference w:id="1758"/>
      </w:r>
      <w:r>
        <w:rPr>
          <w:rFonts w:cs="Arial" w:hint="cs"/>
          <w:rtl/>
        </w:rPr>
        <w:t>.</w:t>
      </w:r>
      <w:r w:rsidRPr="00D831EA">
        <w:rPr>
          <w:rFonts w:cs="Arial" w:hint="cs"/>
          <w:color w:val="E36C0A" w:themeColor="accent6" w:themeShade="BF"/>
          <w:rtl/>
        </w:rPr>
        <w:t xml:space="preserve"> (וכ"פ בשו"ע)</w:t>
      </w:r>
    </w:p>
    <w:p w14:paraId="2D8C1333" w14:textId="77777777" w:rsidR="002C39F4" w:rsidRDefault="002C39F4" w:rsidP="0032102C">
      <w:pPr>
        <w:pStyle w:val="a8"/>
        <w:numPr>
          <w:ilvl w:val="0"/>
          <w:numId w:val="139"/>
        </w:numPr>
        <w:rPr>
          <w:rFonts w:cs="Arial"/>
        </w:rPr>
      </w:pPr>
      <w:r>
        <w:rPr>
          <w:rFonts w:cs="Arial"/>
          <w:rtl/>
        </w:rPr>
        <w:t xml:space="preserve">רשב"א </w:t>
      </w:r>
      <w:r w:rsidRPr="007E7133">
        <w:rPr>
          <w:rFonts w:cs="Arial"/>
          <w:sz w:val="16"/>
          <w:szCs w:val="16"/>
          <w:rtl/>
        </w:rPr>
        <w:t xml:space="preserve">(תוה"א ב"ד ש"א טו.) </w:t>
      </w:r>
      <w:r>
        <w:rPr>
          <w:rFonts w:cs="Arial"/>
          <w:rtl/>
        </w:rPr>
        <w:t>בשם ר</w:t>
      </w:r>
      <w:r>
        <w:rPr>
          <w:rFonts w:cs="Arial" w:hint="cs"/>
          <w:rtl/>
        </w:rPr>
        <w:t>"ת-</w:t>
      </w:r>
      <w:r>
        <w:rPr>
          <w:rFonts w:cs="Arial"/>
          <w:rtl/>
        </w:rPr>
        <w:t xml:space="preserve"> </w:t>
      </w:r>
      <w:r>
        <w:rPr>
          <w:rFonts w:cs="Arial" w:hint="cs"/>
          <w:rtl/>
        </w:rPr>
        <w:t>"</w:t>
      </w:r>
      <w:r>
        <w:rPr>
          <w:rFonts w:cs="Arial"/>
          <w:rtl/>
        </w:rPr>
        <w:t>דוקא בתנור שהוא מקום צר אבל במקום רחב מותר</w:t>
      </w:r>
      <w:r>
        <w:rPr>
          <w:rFonts w:cs="Arial" w:hint="cs"/>
          <w:rtl/>
        </w:rPr>
        <w:t>,</w:t>
      </w:r>
      <w:r>
        <w:rPr>
          <w:rFonts w:cs="Arial"/>
          <w:rtl/>
        </w:rPr>
        <w:t xml:space="preserve"> וכ</w:t>
      </w:r>
      <w:r>
        <w:rPr>
          <w:rFonts w:cs="Arial" w:hint="cs"/>
          <w:rtl/>
        </w:rPr>
        <w:t>"</w:t>
      </w:r>
      <w:r>
        <w:rPr>
          <w:rFonts w:cs="Arial"/>
          <w:rtl/>
        </w:rPr>
        <w:t xml:space="preserve">כ הרז"ה ז"ל </w:t>
      </w:r>
      <w:r w:rsidRPr="009E1435">
        <w:rPr>
          <w:rFonts w:cs="Arial"/>
          <w:sz w:val="16"/>
          <w:szCs w:val="16"/>
          <w:rtl/>
        </w:rPr>
        <w:t>(סוף פ</w:t>
      </w:r>
      <w:r w:rsidRPr="009E1435">
        <w:rPr>
          <w:rFonts w:cs="Arial" w:hint="cs"/>
          <w:sz w:val="16"/>
          <w:szCs w:val="16"/>
          <w:rtl/>
        </w:rPr>
        <w:t>כ"צ</w:t>
      </w:r>
      <w:r w:rsidRPr="009E1435">
        <w:rPr>
          <w:rFonts w:cs="Arial"/>
          <w:sz w:val="16"/>
          <w:szCs w:val="16"/>
          <w:rtl/>
        </w:rPr>
        <w:t>)</w:t>
      </w:r>
      <w:r>
        <w:rPr>
          <w:rFonts w:cs="Arial"/>
          <w:rtl/>
        </w:rPr>
        <w:t xml:space="preserve"> דיש מי שהתיר בפורני רחבה דהא שליט בה אוירא טובא</w:t>
      </w:r>
      <w:r>
        <w:rPr>
          <w:rStyle w:val="a7"/>
          <w:rFonts w:cs="Arial"/>
          <w:rtl/>
        </w:rPr>
        <w:footnoteReference w:id="1759"/>
      </w:r>
      <w:r>
        <w:rPr>
          <w:rFonts w:cs="Arial" w:hint="cs"/>
          <w:rtl/>
        </w:rPr>
        <w:t>"</w:t>
      </w:r>
      <w:r>
        <w:rPr>
          <w:rFonts w:cs="Arial"/>
          <w:rtl/>
        </w:rPr>
        <w:t>.</w:t>
      </w:r>
    </w:p>
    <w:p w14:paraId="71C947D8" w14:textId="77777777" w:rsidR="002C39F4" w:rsidRPr="00490B6A" w:rsidRDefault="002C39F4" w:rsidP="0032102C">
      <w:pPr>
        <w:pStyle w:val="a8"/>
        <w:numPr>
          <w:ilvl w:val="0"/>
          <w:numId w:val="139"/>
        </w:numPr>
        <w:rPr>
          <w:rFonts w:cs="Arial"/>
        </w:rPr>
      </w:pPr>
      <w:r w:rsidRPr="007A3B04">
        <w:rPr>
          <w:rFonts w:cs="Arial"/>
          <w:rtl/>
        </w:rPr>
        <w:t xml:space="preserve">מהרא"י </w:t>
      </w:r>
      <w:r w:rsidRPr="004C1BC9">
        <w:rPr>
          <w:rFonts w:cs="Arial" w:hint="cs"/>
          <w:sz w:val="16"/>
          <w:szCs w:val="16"/>
          <w:rtl/>
        </w:rPr>
        <w:t xml:space="preserve">(בהגשע"ד </w:t>
      </w:r>
      <w:r w:rsidRPr="004C1BC9">
        <w:rPr>
          <w:rFonts w:cs="Arial" w:hint="cs"/>
          <w:sz w:val="14"/>
          <w:szCs w:val="14"/>
          <w:rtl/>
        </w:rPr>
        <w:t>[סי' לה אות ב]</w:t>
      </w:r>
      <w:r w:rsidRPr="004C1BC9">
        <w:rPr>
          <w:rFonts w:cs="Arial" w:hint="cs"/>
          <w:sz w:val="16"/>
          <w:szCs w:val="16"/>
          <w:rtl/>
        </w:rPr>
        <w:t>,</w:t>
      </w:r>
      <w:r w:rsidRPr="004C1BC9">
        <w:rPr>
          <w:rFonts w:cs="Arial"/>
          <w:sz w:val="16"/>
          <w:szCs w:val="16"/>
          <w:rtl/>
        </w:rPr>
        <w:t xml:space="preserve"> </w:t>
      </w:r>
      <w:r>
        <w:rPr>
          <w:rFonts w:cs="Arial" w:hint="cs"/>
          <w:sz w:val="16"/>
          <w:szCs w:val="16"/>
          <w:rtl/>
        </w:rPr>
        <w:t>ה</w:t>
      </w:r>
      <w:r w:rsidRPr="004C1BC9">
        <w:rPr>
          <w:rFonts w:cs="Arial" w:hint="cs"/>
          <w:sz w:val="16"/>
          <w:szCs w:val="16"/>
          <w:rtl/>
        </w:rPr>
        <w:t>ביאו</w:t>
      </w:r>
      <w:r>
        <w:rPr>
          <w:rFonts w:cs="Arial" w:hint="cs"/>
          <w:sz w:val="16"/>
          <w:szCs w:val="16"/>
          <w:rtl/>
        </w:rPr>
        <w:t>הו</w:t>
      </w:r>
      <w:r w:rsidRPr="004C1BC9">
        <w:rPr>
          <w:rFonts w:cs="Arial" w:hint="cs"/>
          <w:sz w:val="16"/>
          <w:szCs w:val="16"/>
          <w:rtl/>
        </w:rPr>
        <w:t xml:space="preserve"> </w:t>
      </w:r>
      <w:r w:rsidRPr="004C1BC9">
        <w:rPr>
          <w:rFonts w:cs="Arial"/>
          <w:sz w:val="16"/>
          <w:szCs w:val="16"/>
          <w:rtl/>
        </w:rPr>
        <w:t xml:space="preserve">רש"ל </w:t>
      </w:r>
      <w:r w:rsidRPr="004C1BC9">
        <w:rPr>
          <w:rFonts w:cs="Arial" w:hint="cs"/>
          <w:sz w:val="14"/>
          <w:szCs w:val="14"/>
          <w:rtl/>
        </w:rPr>
        <w:t>[</w:t>
      </w:r>
      <w:r w:rsidRPr="004C1BC9">
        <w:rPr>
          <w:rFonts w:cs="Arial"/>
          <w:sz w:val="14"/>
          <w:szCs w:val="14"/>
          <w:rtl/>
        </w:rPr>
        <w:t>סי</w:t>
      </w:r>
      <w:r w:rsidRPr="004C1BC9">
        <w:rPr>
          <w:rFonts w:cs="Arial" w:hint="cs"/>
          <w:sz w:val="14"/>
          <w:szCs w:val="14"/>
          <w:rtl/>
        </w:rPr>
        <w:t>'</w:t>
      </w:r>
      <w:r w:rsidRPr="004C1BC9">
        <w:rPr>
          <w:rFonts w:cs="Arial"/>
          <w:sz w:val="14"/>
          <w:szCs w:val="14"/>
          <w:rtl/>
        </w:rPr>
        <w:t xml:space="preserve"> יד</w:t>
      </w:r>
      <w:r w:rsidRPr="004C1BC9">
        <w:rPr>
          <w:rFonts w:cs="Arial" w:hint="cs"/>
          <w:sz w:val="14"/>
          <w:szCs w:val="14"/>
          <w:rtl/>
        </w:rPr>
        <w:t xml:space="preserve">] </w:t>
      </w:r>
      <w:r>
        <w:rPr>
          <w:rFonts w:cs="Arial" w:hint="cs"/>
          <w:sz w:val="16"/>
          <w:szCs w:val="16"/>
          <w:rtl/>
        </w:rPr>
        <w:t xml:space="preserve">וט"ז </w:t>
      </w:r>
      <w:r w:rsidRPr="004C1BC9">
        <w:rPr>
          <w:rFonts w:cs="Arial" w:hint="cs"/>
          <w:sz w:val="14"/>
          <w:szCs w:val="14"/>
          <w:rtl/>
        </w:rPr>
        <w:t>[</w:t>
      </w:r>
      <w:r>
        <w:rPr>
          <w:rFonts w:cs="Arial" w:hint="cs"/>
          <w:sz w:val="14"/>
          <w:szCs w:val="14"/>
          <w:rtl/>
        </w:rPr>
        <w:t xml:space="preserve">סי' קח </w:t>
      </w:r>
      <w:r w:rsidRPr="004C1BC9">
        <w:rPr>
          <w:rFonts w:cs="Arial" w:hint="cs"/>
          <w:sz w:val="14"/>
          <w:szCs w:val="14"/>
          <w:rtl/>
        </w:rPr>
        <w:t>סק"ב]</w:t>
      </w:r>
      <w:r w:rsidRPr="004C1BC9">
        <w:rPr>
          <w:rFonts w:cs="Arial" w:hint="cs"/>
          <w:sz w:val="16"/>
          <w:szCs w:val="16"/>
          <w:rtl/>
        </w:rPr>
        <w:t>)</w:t>
      </w:r>
      <w:r>
        <w:rPr>
          <w:rFonts w:cs="Arial" w:hint="cs"/>
          <w:rtl/>
        </w:rPr>
        <w:t>-</w:t>
      </w:r>
      <w:r w:rsidRPr="007A3B04">
        <w:rPr>
          <w:rFonts w:cs="Arial"/>
          <w:rtl/>
        </w:rPr>
        <w:t xml:space="preserve"> לפי דעת האשר"י דתלי טעמא משום דתנורים שלהם מכוסים הוו לא היה לנו להקפיד כשהתנור גדול קצת שיכול ההבל להתפשט </w:t>
      </w:r>
      <w:r>
        <w:rPr>
          <w:rFonts w:cs="Arial" w:hint="cs"/>
          <w:rtl/>
        </w:rPr>
        <w:t>א</w:t>
      </w:r>
      <w:r w:rsidRPr="007A3B04">
        <w:rPr>
          <w:rFonts w:cs="Arial"/>
          <w:rtl/>
        </w:rPr>
        <w:t>ע</w:t>
      </w:r>
      <w:r>
        <w:rPr>
          <w:rFonts w:cs="Arial" w:hint="cs"/>
          <w:rtl/>
        </w:rPr>
        <w:t>"</w:t>
      </w:r>
      <w:r w:rsidRPr="007A3B04">
        <w:rPr>
          <w:rFonts w:cs="Arial"/>
          <w:rtl/>
        </w:rPr>
        <w:t>פ שאינו מחזיק י"ב עשרונים</w:t>
      </w:r>
      <w:r>
        <w:rPr>
          <w:rFonts w:hint="cs"/>
          <w:rtl/>
        </w:rPr>
        <w:t>.</w:t>
      </w:r>
      <w:r>
        <w:rPr>
          <w:rFonts w:cs="Arial" w:hint="cs"/>
          <w:rtl/>
        </w:rPr>
        <w:t xml:space="preserve"> </w:t>
      </w:r>
    </w:p>
    <w:p w14:paraId="51D60BC6" w14:textId="77777777" w:rsidR="002C39F4" w:rsidRPr="003270DE" w:rsidRDefault="002C39F4" w:rsidP="002C39F4">
      <w:pPr>
        <w:rPr>
          <w:rFonts w:cs="Arial"/>
          <w:u w:val="single"/>
        </w:rPr>
      </w:pPr>
      <w:r w:rsidRPr="003270DE">
        <w:rPr>
          <w:rFonts w:cs="Arial" w:hint="cs"/>
          <w:u w:val="single"/>
          <w:rtl/>
        </w:rPr>
        <w:t>ריחא כשהמאכלים מכוסים:</w:t>
      </w:r>
    </w:p>
    <w:p w14:paraId="1B8E90C3" w14:textId="77777777" w:rsidR="002C39F4" w:rsidRPr="003270DE" w:rsidRDefault="002C39F4" w:rsidP="0032102C">
      <w:pPr>
        <w:pStyle w:val="a8"/>
        <w:numPr>
          <w:ilvl w:val="0"/>
          <w:numId w:val="139"/>
        </w:numPr>
        <w:rPr>
          <w:rFonts w:cs="Arial"/>
          <w:rtl/>
        </w:rPr>
      </w:pPr>
      <w:r w:rsidRPr="00586043">
        <w:rPr>
          <w:rFonts w:cs="Arial"/>
          <w:rtl/>
        </w:rPr>
        <w:t xml:space="preserve">מרדכי </w:t>
      </w:r>
      <w:r>
        <w:rPr>
          <w:rFonts w:cs="Arial"/>
          <w:sz w:val="16"/>
          <w:szCs w:val="16"/>
          <w:rtl/>
        </w:rPr>
        <w:t>(ח</w:t>
      </w:r>
      <w:r>
        <w:rPr>
          <w:rFonts w:cs="Arial" w:hint="cs"/>
          <w:sz w:val="16"/>
          <w:szCs w:val="16"/>
          <w:rtl/>
        </w:rPr>
        <w:t xml:space="preserve">ולין </w:t>
      </w:r>
      <w:r w:rsidRPr="00586043">
        <w:rPr>
          <w:rFonts w:cs="Arial"/>
          <w:sz w:val="16"/>
          <w:szCs w:val="16"/>
          <w:rtl/>
        </w:rPr>
        <w:t xml:space="preserve">סי' תרסה) </w:t>
      </w:r>
      <w:r w:rsidRPr="00586043">
        <w:rPr>
          <w:rFonts w:cs="Arial"/>
          <w:rtl/>
        </w:rPr>
        <w:t>והגה</w:t>
      </w:r>
      <w:r w:rsidRPr="00586043">
        <w:rPr>
          <w:rFonts w:cs="Arial" w:hint="cs"/>
          <w:rtl/>
        </w:rPr>
        <w:t>"</w:t>
      </w:r>
      <w:r w:rsidRPr="00586043">
        <w:rPr>
          <w:rFonts w:cs="Arial"/>
          <w:rtl/>
        </w:rPr>
        <w:t xml:space="preserve">מ </w:t>
      </w:r>
      <w:r w:rsidRPr="00586043">
        <w:rPr>
          <w:rFonts w:cs="Arial" w:hint="cs"/>
          <w:sz w:val="16"/>
          <w:szCs w:val="16"/>
          <w:rtl/>
        </w:rPr>
        <w:t>(פ</w:t>
      </w:r>
      <w:r w:rsidRPr="00586043">
        <w:rPr>
          <w:rFonts w:cs="Arial"/>
          <w:sz w:val="16"/>
          <w:szCs w:val="16"/>
          <w:rtl/>
        </w:rPr>
        <w:t>ט"ו מהל</w:t>
      </w:r>
      <w:r>
        <w:rPr>
          <w:rFonts w:cs="Arial" w:hint="cs"/>
          <w:sz w:val="16"/>
          <w:szCs w:val="16"/>
          <w:rtl/>
        </w:rPr>
        <w:t>מ"</w:t>
      </w:r>
      <w:r w:rsidRPr="00586043">
        <w:rPr>
          <w:rFonts w:cs="Arial" w:hint="cs"/>
          <w:sz w:val="16"/>
          <w:szCs w:val="16"/>
          <w:rtl/>
        </w:rPr>
        <w:t xml:space="preserve">א </w:t>
      </w:r>
      <w:r w:rsidRPr="00586043">
        <w:rPr>
          <w:rFonts w:cs="Arial"/>
          <w:sz w:val="16"/>
          <w:szCs w:val="16"/>
          <w:rtl/>
        </w:rPr>
        <w:t>אות ע)</w:t>
      </w:r>
      <w:r w:rsidRPr="00586043">
        <w:rPr>
          <w:rFonts w:cs="Arial" w:hint="cs"/>
          <w:rtl/>
        </w:rPr>
        <w:t>-</w:t>
      </w:r>
      <w:r w:rsidRPr="00586043">
        <w:rPr>
          <w:rFonts w:cs="Arial"/>
          <w:rtl/>
        </w:rPr>
        <w:t xml:space="preserve"> נהגו נקיי הדעת דמגנצ"א לתקן כיסוי לפשטיד"א או לפלדו"ן כשאופין אותם עם הפת</w:t>
      </w:r>
      <w:r w:rsidRPr="00586043">
        <w:rPr>
          <w:rFonts w:cs="Arial" w:hint="cs"/>
          <w:rtl/>
        </w:rPr>
        <w:t>,</w:t>
      </w:r>
      <w:r w:rsidRPr="00586043">
        <w:rPr>
          <w:rFonts w:cs="Arial"/>
          <w:rtl/>
        </w:rPr>
        <w:t xml:space="preserve"> אבל בלא כיסוי לא</w:t>
      </w:r>
      <w:r>
        <w:rPr>
          <w:rFonts w:cs="Arial" w:hint="cs"/>
          <w:rtl/>
        </w:rPr>
        <w:t>,</w:t>
      </w:r>
      <w:r w:rsidRPr="00586043">
        <w:rPr>
          <w:rFonts w:cs="Arial"/>
          <w:rtl/>
        </w:rPr>
        <w:t xml:space="preserve"> דהוי כפת חמה </w:t>
      </w:r>
      <w:r w:rsidRPr="00E60643">
        <w:rPr>
          <w:rFonts w:cs="Arial"/>
          <w:sz w:val="16"/>
          <w:szCs w:val="16"/>
          <w:rtl/>
        </w:rPr>
        <w:t xml:space="preserve">(פסחים עו:) </w:t>
      </w:r>
      <w:r w:rsidRPr="00586043">
        <w:rPr>
          <w:rFonts w:cs="Arial"/>
          <w:rtl/>
        </w:rPr>
        <w:t>וחבית פתוחה ואסור לאכול הפת עם חלב</w:t>
      </w:r>
      <w:r w:rsidRPr="00586043">
        <w:rPr>
          <w:rFonts w:cs="Arial" w:hint="cs"/>
          <w:rtl/>
        </w:rPr>
        <w:t>,</w:t>
      </w:r>
      <w:r w:rsidRPr="00586043">
        <w:rPr>
          <w:rFonts w:cs="Arial"/>
          <w:rtl/>
        </w:rPr>
        <w:t xml:space="preserve"> וע"פ הנקב שבכיסוי נהגו לכוף שפופרת שלא יצא הריח</w:t>
      </w:r>
      <w:r>
        <w:rPr>
          <w:rFonts w:cs="Arial" w:hint="cs"/>
          <w:rtl/>
        </w:rPr>
        <w:t>,</w:t>
      </w:r>
      <w:r w:rsidRPr="00586043">
        <w:rPr>
          <w:rFonts w:cs="Arial"/>
          <w:rtl/>
        </w:rPr>
        <w:t xml:space="preserve"> ואם שוב נבקע הכיסוי או השפופרת מותר דהוי דיעבד ובלבד שלא יגע הפת לשומן</w:t>
      </w:r>
      <w:r w:rsidRPr="00586043">
        <w:rPr>
          <w:rFonts w:cs="Arial" w:hint="cs"/>
          <w:rtl/>
        </w:rPr>
        <w:t>.</w:t>
      </w:r>
      <w:r w:rsidRPr="003270DE">
        <w:rPr>
          <w:rFonts w:cs="Arial" w:hint="cs"/>
          <w:color w:val="E36C0A" w:themeColor="accent6" w:themeShade="BF"/>
          <w:rtl/>
        </w:rPr>
        <w:t xml:space="preserve"> </w:t>
      </w:r>
      <w:r w:rsidRPr="002E76B8">
        <w:rPr>
          <w:rFonts w:cs="Arial" w:hint="cs"/>
          <w:color w:val="E36C0A" w:themeColor="accent6" w:themeShade="BF"/>
          <w:rtl/>
        </w:rPr>
        <w:t>(וכ"פ בשו"ע)</w:t>
      </w:r>
    </w:p>
    <w:p w14:paraId="4754368C" w14:textId="77777777" w:rsidR="002C39F4" w:rsidRPr="005C25AB" w:rsidRDefault="002C39F4" w:rsidP="002C39F4">
      <w:pPr>
        <w:rPr>
          <w:rFonts w:cs="Arial"/>
          <w:u w:val="single"/>
          <w:rtl/>
        </w:rPr>
      </w:pPr>
      <w:r w:rsidRPr="005C25AB">
        <w:rPr>
          <w:rFonts w:cs="Arial" w:hint="cs"/>
          <w:u w:val="single"/>
          <w:rtl/>
        </w:rPr>
        <w:t xml:space="preserve">האם אמרינן 'ריחא מילתא היא' </w:t>
      </w:r>
      <w:r>
        <w:rPr>
          <w:rFonts w:cs="Arial" w:hint="cs"/>
          <w:u w:val="single"/>
          <w:rtl/>
        </w:rPr>
        <w:t>בקדרה</w:t>
      </w:r>
      <w:r w:rsidRPr="005C25AB">
        <w:rPr>
          <w:rFonts w:cs="Arial" w:hint="cs"/>
          <w:u w:val="single"/>
          <w:rtl/>
        </w:rPr>
        <w:t>:</w:t>
      </w:r>
    </w:p>
    <w:p w14:paraId="04BD6B0F" w14:textId="77777777" w:rsidR="002C39F4" w:rsidRPr="00D6570B" w:rsidRDefault="002C39F4" w:rsidP="0032102C">
      <w:pPr>
        <w:pStyle w:val="a8"/>
        <w:numPr>
          <w:ilvl w:val="0"/>
          <w:numId w:val="141"/>
        </w:numPr>
        <w:rPr>
          <w:rFonts w:cs="Arial"/>
          <w:rtl/>
        </w:rPr>
      </w:pPr>
      <w:r w:rsidRPr="00EF777D">
        <w:rPr>
          <w:rFonts w:cs="Arial"/>
          <w:rtl/>
        </w:rPr>
        <w:t xml:space="preserve">רשב"א </w:t>
      </w:r>
      <w:r w:rsidRPr="00EF777D">
        <w:rPr>
          <w:rFonts w:cs="Arial" w:hint="cs"/>
          <w:sz w:val="16"/>
          <w:szCs w:val="16"/>
          <w:rtl/>
        </w:rPr>
        <w:t>(</w:t>
      </w:r>
      <w:r w:rsidRPr="00EF777D">
        <w:rPr>
          <w:rFonts w:cs="Arial"/>
          <w:sz w:val="16"/>
          <w:szCs w:val="16"/>
          <w:rtl/>
        </w:rPr>
        <w:t>תוה</w:t>
      </w:r>
      <w:r w:rsidRPr="00EF777D">
        <w:rPr>
          <w:rFonts w:cs="Arial" w:hint="cs"/>
          <w:sz w:val="16"/>
          <w:szCs w:val="16"/>
          <w:rtl/>
        </w:rPr>
        <w:t>"</w:t>
      </w:r>
      <w:r w:rsidRPr="00EF777D">
        <w:rPr>
          <w:rFonts w:cs="Arial"/>
          <w:sz w:val="16"/>
          <w:szCs w:val="16"/>
          <w:rtl/>
        </w:rPr>
        <w:t>א</w:t>
      </w:r>
      <w:r w:rsidRPr="00EF777D">
        <w:rPr>
          <w:rFonts w:cs="Arial" w:hint="cs"/>
          <w:sz w:val="16"/>
          <w:szCs w:val="16"/>
          <w:rtl/>
        </w:rPr>
        <w:t xml:space="preserve"> </w:t>
      </w:r>
      <w:r w:rsidRPr="00EF777D">
        <w:rPr>
          <w:rFonts w:cs="Arial"/>
          <w:sz w:val="16"/>
          <w:szCs w:val="16"/>
          <w:rtl/>
        </w:rPr>
        <w:t>ב"ד ש"א טו.</w:t>
      </w:r>
      <w:r>
        <w:rPr>
          <w:rFonts w:cs="Arial" w:hint="cs"/>
          <w:sz w:val="16"/>
          <w:szCs w:val="16"/>
          <w:rtl/>
        </w:rPr>
        <w:t xml:space="preserve">, הביאו הטור </w:t>
      </w:r>
      <w:r>
        <w:rPr>
          <w:rFonts w:cs="Arial" w:hint="cs"/>
          <w:sz w:val="14"/>
          <w:szCs w:val="14"/>
          <w:rtl/>
        </w:rPr>
        <w:t>[סי' קח]</w:t>
      </w:r>
      <w:r w:rsidRPr="00EF777D">
        <w:rPr>
          <w:rFonts w:cs="Arial"/>
          <w:sz w:val="16"/>
          <w:szCs w:val="16"/>
          <w:rtl/>
        </w:rPr>
        <w:t>)</w:t>
      </w:r>
      <w:r w:rsidRPr="00EF777D">
        <w:rPr>
          <w:rFonts w:cs="Arial"/>
          <w:rtl/>
        </w:rPr>
        <w:t xml:space="preserve"> </w:t>
      </w:r>
      <w:r>
        <w:rPr>
          <w:rFonts w:cs="Arial" w:hint="cs"/>
          <w:rtl/>
        </w:rPr>
        <w:t>ו</w:t>
      </w:r>
      <w:r>
        <w:rPr>
          <w:rFonts w:cs="Arial"/>
          <w:rtl/>
        </w:rPr>
        <w:t xml:space="preserve">ר"ן </w:t>
      </w:r>
      <w:r w:rsidRPr="00EF777D">
        <w:rPr>
          <w:rFonts w:cs="Arial" w:hint="cs"/>
          <w:sz w:val="16"/>
          <w:szCs w:val="16"/>
          <w:rtl/>
        </w:rPr>
        <w:t>(</w:t>
      </w:r>
      <w:r w:rsidRPr="00EF777D">
        <w:rPr>
          <w:rFonts w:cs="Arial"/>
          <w:sz w:val="16"/>
          <w:szCs w:val="16"/>
          <w:rtl/>
        </w:rPr>
        <w:t>ע"ז ג.)</w:t>
      </w:r>
      <w:r>
        <w:rPr>
          <w:rFonts w:cs="Arial" w:hint="cs"/>
          <w:rtl/>
        </w:rPr>
        <w:t>-</w:t>
      </w:r>
      <w:r>
        <w:rPr>
          <w:rFonts w:cs="Arial"/>
          <w:rtl/>
        </w:rPr>
        <w:t xml:space="preserve"> </w:t>
      </w:r>
      <w:r w:rsidRPr="00EF777D">
        <w:rPr>
          <w:rFonts w:cs="Arial"/>
          <w:rtl/>
        </w:rPr>
        <w:t xml:space="preserve">לא אמרו ריחא מילתא היא אלא דוקא לצלי אבל לקדרה ליכא למיחש כלל כדאמרינן התם </w:t>
      </w:r>
      <w:r w:rsidRPr="005C25AB">
        <w:rPr>
          <w:rFonts w:cs="Arial"/>
          <w:sz w:val="16"/>
          <w:szCs w:val="16"/>
          <w:rtl/>
        </w:rPr>
        <w:t xml:space="preserve">(פסחים עו:) </w:t>
      </w:r>
      <w:r w:rsidRPr="00EF777D">
        <w:rPr>
          <w:rFonts w:cs="Arial"/>
          <w:rtl/>
        </w:rPr>
        <w:t>כעין שתי קדרות לא</w:t>
      </w:r>
      <w:r w:rsidRPr="00EF777D">
        <w:rPr>
          <w:rFonts w:cs="Arial" w:hint="cs"/>
          <w:rtl/>
        </w:rPr>
        <w:t>,</w:t>
      </w:r>
      <w:r w:rsidRPr="00EF777D">
        <w:rPr>
          <w:rFonts w:cs="Arial"/>
          <w:rtl/>
        </w:rPr>
        <w:t xml:space="preserve"> דכיון דכל אחד בקדרה בפני עצמה ליכא ריחא כולי האי</w:t>
      </w:r>
      <w:r w:rsidRPr="00EF777D">
        <w:rPr>
          <w:rFonts w:cs="Arial" w:hint="cs"/>
          <w:rtl/>
        </w:rPr>
        <w:t>,</w:t>
      </w:r>
      <w:r>
        <w:rPr>
          <w:rFonts w:cs="Arial"/>
          <w:rtl/>
        </w:rPr>
        <w:t xml:space="preserve"> ואמרינן נמי בפ</w:t>
      </w:r>
      <w:r>
        <w:rPr>
          <w:rFonts w:cs="Arial" w:hint="cs"/>
          <w:rtl/>
        </w:rPr>
        <w:t>"</w:t>
      </w:r>
      <w:r>
        <w:rPr>
          <w:rFonts w:cs="Arial"/>
          <w:rtl/>
        </w:rPr>
        <w:t>ק</w:t>
      </w:r>
      <w:r w:rsidRPr="00EF777D">
        <w:rPr>
          <w:rFonts w:cs="Arial"/>
          <w:rtl/>
        </w:rPr>
        <w:t xml:space="preserve"> דע"ז </w:t>
      </w:r>
      <w:r w:rsidRPr="005C25AB">
        <w:rPr>
          <w:rFonts w:cs="Arial"/>
          <w:sz w:val="16"/>
          <w:szCs w:val="16"/>
          <w:rtl/>
        </w:rPr>
        <w:t xml:space="preserve">(יא:) </w:t>
      </w:r>
      <w:r w:rsidRPr="00EF777D">
        <w:rPr>
          <w:rFonts w:cs="Arial"/>
          <w:rtl/>
        </w:rPr>
        <w:t>לא הלכת לצור מימיך וראית ישראל וגוי ששפתו שתי קדרות זו אצל זו ולא חשו לה</w:t>
      </w:r>
      <w:r>
        <w:rPr>
          <w:rFonts w:cs="Arial"/>
          <w:rtl/>
        </w:rPr>
        <w:t>ם חכמים</w:t>
      </w:r>
      <w:r>
        <w:rPr>
          <w:rFonts w:cs="Arial" w:hint="cs"/>
          <w:rtl/>
        </w:rPr>
        <w:t>,</w:t>
      </w:r>
      <w:r w:rsidRPr="00EF777D">
        <w:rPr>
          <w:rFonts w:cs="Arial" w:hint="cs"/>
          <w:sz w:val="16"/>
          <w:szCs w:val="16"/>
          <w:rtl/>
        </w:rPr>
        <w:t xml:space="preserve"> (</w:t>
      </w:r>
      <w:r w:rsidRPr="00EF777D">
        <w:rPr>
          <w:rFonts w:cs="Arial"/>
          <w:sz w:val="16"/>
          <w:szCs w:val="16"/>
          <w:rtl/>
        </w:rPr>
        <w:t>ובתוה</w:t>
      </w:r>
      <w:r w:rsidRPr="00EF777D">
        <w:rPr>
          <w:rFonts w:cs="Arial" w:hint="cs"/>
          <w:sz w:val="16"/>
          <w:szCs w:val="16"/>
          <w:rtl/>
        </w:rPr>
        <w:t>"</w:t>
      </w:r>
      <w:r w:rsidRPr="00EF777D">
        <w:rPr>
          <w:rFonts w:cs="Arial"/>
          <w:sz w:val="16"/>
          <w:szCs w:val="16"/>
          <w:rtl/>
        </w:rPr>
        <w:t>ק</w:t>
      </w:r>
      <w:r w:rsidRPr="00EF777D">
        <w:rPr>
          <w:rFonts w:cs="Arial"/>
          <w:sz w:val="14"/>
          <w:szCs w:val="14"/>
          <w:rtl/>
        </w:rPr>
        <w:t xml:space="preserve"> </w:t>
      </w:r>
      <w:r w:rsidRPr="00EF777D">
        <w:rPr>
          <w:rFonts w:cs="Arial" w:hint="cs"/>
          <w:sz w:val="14"/>
          <w:szCs w:val="14"/>
          <w:rtl/>
        </w:rPr>
        <w:t>[</w:t>
      </w:r>
      <w:r w:rsidRPr="00EF777D">
        <w:rPr>
          <w:rFonts w:cs="Arial"/>
          <w:sz w:val="14"/>
          <w:szCs w:val="14"/>
          <w:rtl/>
        </w:rPr>
        <w:t>שם י.</w:t>
      </w:r>
      <w:r w:rsidRPr="00EF777D">
        <w:rPr>
          <w:rFonts w:cs="Arial" w:hint="cs"/>
          <w:sz w:val="14"/>
          <w:szCs w:val="14"/>
          <w:rtl/>
        </w:rPr>
        <w:t xml:space="preserve">] </w:t>
      </w:r>
      <w:r w:rsidRPr="00EF777D">
        <w:rPr>
          <w:rFonts w:cs="Arial" w:hint="cs"/>
          <w:sz w:val="16"/>
          <w:szCs w:val="16"/>
          <w:rtl/>
        </w:rPr>
        <w:t>כתב-</w:t>
      </w:r>
      <w:r w:rsidRPr="00EF777D">
        <w:rPr>
          <w:rFonts w:cs="Arial"/>
          <w:sz w:val="16"/>
          <w:szCs w:val="16"/>
          <w:rtl/>
        </w:rPr>
        <w:t>)</w:t>
      </w:r>
      <w:r w:rsidRPr="00EF777D">
        <w:rPr>
          <w:rFonts w:cs="Arial"/>
          <w:rtl/>
        </w:rPr>
        <w:t xml:space="preserve"> ואם בא לבשלם בקדרה זה לעצמו וזה לעצמו אפילו בתנור במקום צר ואפילו פה הקדרה מגולה מותר אפילו לכתחלה שאין ריח המתבשלים גדול כ"כ</w:t>
      </w:r>
      <w:r>
        <w:rPr>
          <w:rFonts w:cs="Arial" w:hint="cs"/>
          <w:sz w:val="16"/>
          <w:szCs w:val="16"/>
          <w:rtl/>
        </w:rPr>
        <w:t xml:space="preserve"> (ל' הרשב"א)</w:t>
      </w:r>
      <w:r>
        <w:rPr>
          <w:rFonts w:cs="Arial" w:hint="cs"/>
          <w:rtl/>
        </w:rPr>
        <w:t>.</w:t>
      </w:r>
      <w:r w:rsidRPr="00D6570B">
        <w:rPr>
          <w:rFonts w:cs="Arial"/>
          <w:rtl/>
        </w:rPr>
        <w:t xml:space="preserve"> </w:t>
      </w:r>
      <w:r w:rsidRPr="002E76B8">
        <w:rPr>
          <w:rFonts w:cs="Arial" w:hint="cs"/>
          <w:color w:val="E36C0A" w:themeColor="accent6" w:themeShade="BF"/>
          <w:rtl/>
        </w:rPr>
        <w:t>(וכ"פ בשו"ע</w:t>
      </w:r>
      <w:r>
        <w:rPr>
          <w:rFonts w:cs="Arial" w:hint="cs"/>
          <w:color w:val="E36C0A" w:themeColor="accent6" w:themeShade="BF"/>
          <w:sz w:val="16"/>
          <w:szCs w:val="16"/>
          <w:rtl/>
        </w:rPr>
        <w:t xml:space="preserve"> </w:t>
      </w:r>
      <w:r w:rsidRPr="00A74A12">
        <w:rPr>
          <w:rFonts w:cs="Arial" w:hint="cs"/>
          <w:color w:val="000000" w:themeColor="text1"/>
          <w:sz w:val="16"/>
          <w:szCs w:val="16"/>
          <w:rtl/>
        </w:rPr>
        <w:t>[סי' קח ס"א]</w:t>
      </w:r>
      <w:r w:rsidRPr="002E76B8">
        <w:rPr>
          <w:rFonts w:cs="Arial" w:hint="cs"/>
          <w:color w:val="E36C0A" w:themeColor="accent6" w:themeShade="BF"/>
          <w:rtl/>
        </w:rPr>
        <w:t>)</w:t>
      </w:r>
    </w:p>
    <w:p w14:paraId="71C0DBE3" w14:textId="77777777" w:rsidR="002C39F4" w:rsidRPr="00D6570B" w:rsidRDefault="002C39F4" w:rsidP="002C39F4">
      <w:pPr>
        <w:rPr>
          <w:rFonts w:cs="Arial"/>
          <w:u w:val="single"/>
          <w:rtl/>
        </w:rPr>
      </w:pPr>
      <w:r w:rsidRPr="00D6570B">
        <w:rPr>
          <w:rFonts w:cs="Arial" w:hint="cs"/>
          <w:u w:val="single"/>
          <w:rtl/>
        </w:rPr>
        <w:t xml:space="preserve">'ריחא' </w:t>
      </w:r>
      <w:r>
        <w:rPr>
          <w:rFonts w:cs="Arial" w:hint="cs"/>
          <w:u w:val="single"/>
          <w:rtl/>
        </w:rPr>
        <w:t>בדם</w:t>
      </w:r>
      <w:r w:rsidRPr="00D6570B">
        <w:rPr>
          <w:rFonts w:cs="Arial" w:hint="cs"/>
          <w:u w:val="single"/>
          <w:rtl/>
        </w:rPr>
        <w:t>:</w:t>
      </w:r>
      <w:r>
        <w:rPr>
          <w:rFonts w:cs="Arial" w:hint="cs"/>
          <w:sz w:val="16"/>
          <w:szCs w:val="16"/>
          <w:rtl/>
        </w:rPr>
        <w:t xml:space="preserve">  (ב"י [כאן], ודרכ"מ [סי' קח אות ג])</w:t>
      </w:r>
    </w:p>
    <w:p w14:paraId="0EC09193" w14:textId="77777777" w:rsidR="002C39F4" w:rsidRPr="00197C59" w:rsidRDefault="002C39F4" w:rsidP="0032102C">
      <w:pPr>
        <w:pStyle w:val="a8"/>
        <w:numPr>
          <w:ilvl w:val="0"/>
          <w:numId w:val="141"/>
        </w:numPr>
        <w:rPr>
          <w:rFonts w:cs="Arial"/>
        </w:rPr>
      </w:pPr>
      <w:r w:rsidRPr="00D6570B">
        <w:rPr>
          <w:rFonts w:cs="Arial"/>
          <w:rtl/>
        </w:rPr>
        <w:t>ת</w:t>
      </w:r>
      <w:r w:rsidRPr="00D6570B">
        <w:rPr>
          <w:rFonts w:cs="Arial" w:hint="cs"/>
          <w:rtl/>
        </w:rPr>
        <w:t>רו</w:t>
      </w:r>
      <w:r w:rsidRPr="00D6570B">
        <w:rPr>
          <w:rFonts w:cs="Arial"/>
          <w:rtl/>
        </w:rPr>
        <w:t xml:space="preserve">ה"ד </w:t>
      </w:r>
      <w:r w:rsidRPr="00D6570B">
        <w:rPr>
          <w:rFonts w:cs="Arial" w:hint="cs"/>
          <w:sz w:val="16"/>
          <w:szCs w:val="16"/>
          <w:rtl/>
        </w:rPr>
        <w:t>(</w:t>
      </w:r>
      <w:r w:rsidRPr="00D6570B">
        <w:rPr>
          <w:rFonts w:cs="Arial"/>
          <w:sz w:val="16"/>
          <w:szCs w:val="16"/>
          <w:rtl/>
        </w:rPr>
        <w:t>ח"ב סי' עו)</w:t>
      </w:r>
      <w:r>
        <w:rPr>
          <w:rFonts w:cs="Arial" w:hint="cs"/>
          <w:rtl/>
        </w:rPr>
        <w:t xml:space="preserve"> ומהר"י מינץ</w:t>
      </w:r>
      <w:r>
        <w:rPr>
          <w:rFonts w:cs="Arial" w:hint="cs"/>
          <w:sz w:val="16"/>
          <w:szCs w:val="16"/>
          <w:rtl/>
        </w:rPr>
        <w:t xml:space="preserve"> (סי' טו)</w:t>
      </w:r>
      <w:r w:rsidRPr="00D6570B">
        <w:rPr>
          <w:rFonts w:cs="Arial" w:hint="cs"/>
          <w:rtl/>
        </w:rPr>
        <w:t xml:space="preserve">- </w:t>
      </w:r>
      <w:r>
        <w:rPr>
          <w:rFonts w:cs="Arial"/>
          <w:rtl/>
        </w:rPr>
        <w:t>אפ</w:t>
      </w:r>
      <w:r>
        <w:rPr>
          <w:rFonts w:cs="Arial" w:hint="cs"/>
          <w:rtl/>
        </w:rPr>
        <w:t>ילו</w:t>
      </w:r>
      <w:r w:rsidRPr="00D6570B">
        <w:rPr>
          <w:rFonts w:cs="Arial"/>
          <w:rtl/>
        </w:rPr>
        <w:t xml:space="preserve"> למאן דאמר ריחא מילתא היא</w:t>
      </w:r>
      <w:r>
        <w:rPr>
          <w:rFonts w:cs="Arial" w:hint="cs"/>
          <w:rtl/>
        </w:rPr>
        <w:t>, כיון ד</w:t>
      </w:r>
      <w:r>
        <w:rPr>
          <w:rtl/>
        </w:rPr>
        <w:t>דם הוי כדבר כחוש שאינו מפטם לכן אם נצלה כבד</w:t>
      </w:r>
      <w:r>
        <w:rPr>
          <w:rStyle w:val="a7"/>
          <w:rtl/>
        </w:rPr>
        <w:footnoteReference w:id="1760"/>
      </w:r>
      <w:r>
        <w:rPr>
          <w:rtl/>
        </w:rPr>
        <w:t xml:space="preserve"> עם </w:t>
      </w:r>
      <w:r>
        <w:rPr>
          <w:rFonts w:hint="cs"/>
          <w:rtl/>
        </w:rPr>
        <w:t xml:space="preserve">חתיכת </w:t>
      </w:r>
      <w:r>
        <w:rPr>
          <w:rtl/>
        </w:rPr>
        <w:t xml:space="preserve">היתר </w:t>
      </w:r>
      <w:r>
        <w:rPr>
          <w:rFonts w:hint="cs"/>
          <w:rtl/>
        </w:rPr>
        <w:t xml:space="preserve">שמן </w:t>
      </w:r>
      <w:r>
        <w:rPr>
          <w:rtl/>
        </w:rPr>
        <w:t>אינו אוסר לכ</w:t>
      </w:r>
      <w:r>
        <w:rPr>
          <w:rFonts w:hint="cs"/>
          <w:rtl/>
        </w:rPr>
        <w:t>ו</w:t>
      </w:r>
      <w:r>
        <w:rPr>
          <w:rtl/>
        </w:rPr>
        <w:t>"ע</w:t>
      </w:r>
      <w:r w:rsidRPr="00D6570B">
        <w:rPr>
          <w:rFonts w:cs="Arial"/>
          <w:rtl/>
        </w:rPr>
        <w:t xml:space="preserve"> ואין כאן בית מיחוש</w:t>
      </w:r>
      <w:r>
        <w:rPr>
          <w:rStyle w:val="a7"/>
          <w:rFonts w:cs="Arial"/>
          <w:rtl/>
        </w:rPr>
        <w:footnoteReference w:id="1761"/>
      </w:r>
      <w:r>
        <w:rPr>
          <w:rFonts w:cs="Arial" w:hint="cs"/>
          <w:rtl/>
        </w:rPr>
        <w:t>.</w:t>
      </w:r>
      <w:r w:rsidRPr="00D6570B">
        <w:rPr>
          <w:rFonts w:cs="Arial"/>
          <w:rtl/>
        </w:rPr>
        <w:t xml:space="preserve"> </w:t>
      </w:r>
    </w:p>
    <w:p w14:paraId="0C9D5C7E" w14:textId="77777777" w:rsidR="002C39F4" w:rsidRPr="00D6570B" w:rsidRDefault="002C39F4" w:rsidP="002C39F4">
      <w:pPr>
        <w:rPr>
          <w:rFonts w:cs="Arial"/>
          <w:u w:val="single"/>
          <w:rtl/>
        </w:rPr>
      </w:pPr>
      <w:r>
        <w:rPr>
          <w:rFonts w:cs="Arial" w:hint="cs"/>
          <w:u w:val="single"/>
          <w:rtl/>
        </w:rPr>
        <w:t>ריחא בדבר חריף</w:t>
      </w:r>
      <w:r w:rsidRPr="00D6570B">
        <w:rPr>
          <w:rFonts w:cs="Arial" w:hint="cs"/>
          <w:u w:val="single"/>
          <w:rtl/>
        </w:rPr>
        <w:t>:</w:t>
      </w:r>
    </w:p>
    <w:p w14:paraId="0BF20812" w14:textId="77777777" w:rsidR="002C39F4" w:rsidRDefault="002C39F4" w:rsidP="0032102C">
      <w:pPr>
        <w:pStyle w:val="a8"/>
        <w:numPr>
          <w:ilvl w:val="0"/>
          <w:numId w:val="141"/>
        </w:numPr>
        <w:rPr>
          <w:rFonts w:cs="Arial"/>
        </w:rPr>
      </w:pPr>
      <w:r w:rsidRPr="00D6570B">
        <w:rPr>
          <w:rFonts w:cs="Arial" w:hint="cs"/>
          <w:rtl/>
        </w:rPr>
        <w:t xml:space="preserve">ב"י בשם </w:t>
      </w:r>
      <w:r w:rsidRPr="00D6570B">
        <w:rPr>
          <w:rFonts w:cs="Arial"/>
          <w:rtl/>
        </w:rPr>
        <w:t xml:space="preserve">מצאתי כתוב </w:t>
      </w:r>
      <w:r w:rsidRPr="00D6570B">
        <w:rPr>
          <w:rFonts w:cs="Arial"/>
          <w:sz w:val="16"/>
          <w:szCs w:val="16"/>
          <w:rtl/>
        </w:rPr>
        <w:t>(</w:t>
      </w:r>
      <w:r>
        <w:rPr>
          <w:rFonts w:cs="Arial" w:hint="cs"/>
          <w:sz w:val="16"/>
          <w:szCs w:val="16"/>
          <w:rtl/>
        </w:rPr>
        <w:t xml:space="preserve">מהר"ם </w:t>
      </w:r>
      <w:r w:rsidRPr="003270DE">
        <w:rPr>
          <w:rFonts w:cs="Arial" w:hint="cs"/>
          <w:sz w:val="14"/>
          <w:szCs w:val="14"/>
          <w:rtl/>
        </w:rPr>
        <w:t xml:space="preserve">[ד"פ סי' כה] </w:t>
      </w:r>
      <w:r w:rsidRPr="00D6570B">
        <w:rPr>
          <w:rFonts w:cs="Arial"/>
          <w:sz w:val="16"/>
          <w:szCs w:val="16"/>
          <w:rtl/>
        </w:rPr>
        <w:t xml:space="preserve">רשב"א </w:t>
      </w:r>
      <w:r w:rsidRPr="003270DE">
        <w:rPr>
          <w:rFonts w:cs="Arial" w:hint="cs"/>
          <w:sz w:val="14"/>
          <w:szCs w:val="14"/>
          <w:rtl/>
        </w:rPr>
        <w:t>[</w:t>
      </w:r>
      <w:r w:rsidRPr="003270DE">
        <w:rPr>
          <w:rFonts w:cs="Arial"/>
          <w:sz w:val="14"/>
          <w:szCs w:val="14"/>
          <w:rtl/>
        </w:rPr>
        <w:t>ח"א סי' תתמט</w:t>
      </w:r>
      <w:r w:rsidRPr="003270DE">
        <w:rPr>
          <w:rFonts w:cs="Arial" w:hint="cs"/>
          <w:sz w:val="14"/>
          <w:szCs w:val="14"/>
          <w:rtl/>
        </w:rPr>
        <w:t xml:space="preserve">] </w:t>
      </w:r>
      <w:r>
        <w:rPr>
          <w:rFonts w:cs="Arial" w:hint="cs"/>
          <w:sz w:val="16"/>
          <w:szCs w:val="16"/>
          <w:rtl/>
        </w:rPr>
        <w:t>ו</w:t>
      </w:r>
      <w:r w:rsidRPr="00D6570B">
        <w:rPr>
          <w:rFonts w:cs="Arial"/>
          <w:sz w:val="16"/>
          <w:szCs w:val="16"/>
          <w:rtl/>
        </w:rPr>
        <w:t xml:space="preserve">מרדכי </w:t>
      </w:r>
      <w:r w:rsidRPr="003270DE">
        <w:rPr>
          <w:rFonts w:cs="Arial" w:hint="cs"/>
          <w:sz w:val="14"/>
          <w:szCs w:val="14"/>
          <w:rtl/>
        </w:rPr>
        <w:t>[</w:t>
      </w:r>
      <w:r w:rsidRPr="003270DE">
        <w:rPr>
          <w:rFonts w:cs="Arial"/>
          <w:sz w:val="14"/>
          <w:szCs w:val="14"/>
          <w:rtl/>
        </w:rPr>
        <w:t>חולין סי' תרסו</w:t>
      </w:r>
      <w:r w:rsidRPr="003270DE">
        <w:rPr>
          <w:rFonts w:cs="Arial" w:hint="cs"/>
          <w:sz w:val="14"/>
          <w:szCs w:val="14"/>
          <w:rtl/>
        </w:rPr>
        <w:t>]</w:t>
      </w:r>
      <w:r w:rsidRPr="00D6570B">
        <w:rPr>
          <w:rFonts w:cs="Arial"/>
          <w:sz w:val="16"/>
          <w:szCs w:val="16"/>
          <w:rtl/>
        </w:rPr>
        <w:t>)</w:t>
      </w:r>
      <w:r w:rsidRPr="00D6570B">
        <w:rPr>
          <w:rFonts w:cs="Arial" w:hint="cs"/>
          <w:rtl/>
        </w:rPr>
        <w:t>-</w:t>
      </w:r>
      <w:r w:rsidRPr="00D6570B">
        <w:rPr>
          <w:rFonts w:cs="Arial"/>
          <w:rtl/>
        </w:rPr>
        <w:t xml:space="preserve"> בצל שצלאו עם דבר אסור הואיל שהוא חריף שואב טובא</w:t>
      </w:r>
      <w:r>
        <w:rPr>
          <w:rFonts w:cs="Arial" w:hint="cs"/>
          <w:rtl/>
        </w:rPr>
        <w:t>,</w:t>
      </w:r>
      <w:r w:rsidRPr="00D6570B">
        <w:rPr>
          <w:rFonts w:cs="Arial"/>
          <w:rtl/>
        </w:rPr>
        <w:t xml:space="preserve"> מידי דהוה אפת חמה וחבית פתוחה דאפ</w:t>
      </w:r>
      <w:r>
        <w:rPr>
          <w:rFonts w:cs="Arial" w:hint="cs"/>
          <w:rtl/>
        </w:rPr>
        <w:t>י'</w:t>
      </w:r>
      <w:r w:rsidRPr="00D6570B">
        <w:rPr>
          <w:rFonts w:cs="Arial"/>
          <w:rtl/>
        </w:rPr>
        <w:t xml:space="preserve"> מ</w:t>
      </w:r>
      <w:r>
        <w:rPr>
          <w:rFonts w:cs="Arial" w:hint="cs"/>
          <w:rtl/>
        </w:rPr>
        <w:t>"</w:t>
      </w:r>
      <w:r w:rsidRPr="00D6570B">
        <w:rPr>
          <w:rFonts w:cs="Arial"/>
          <w:rtl/>
        </w:rPr>
        <w:t>ד ריחא לאו מילתא היא מודה הכא</w:t>
      </w:r>
      <w:r>
        <w:rPr>
          <w:rFonts w:hint="cs"/>
          <w:sz w:val="16"/>
          <w:szCs w:val="16"/>
          <w:rtl/>
        </w:rPr>
        <w:t xml:space="preserve"> </w:t>
      </w:r>
      <w:bookmarkStart w:id="7" w:name="_Hlk518576644"/>
      <w:r>
        <w:rPr>
          <w:rFonts w:hint="cs"/>
          <w:sz w:val="16"/>
          <w:szCs w:val="16"/>
          <w:rtl/>
        </w:rPr>
        <w:t>(ל' הב"י)</w:t>
      </w:r>
      <w:r>
        <w:rPr>
          <w:rFonts w:hint="cs"/>
          <w:rtl/>
        </w:rPr>
        <w:t>,</w:t>
      </w:r>
      <w:bookmarkEnd w:id="7"/>
      <w:r w:rsidRPr="00A44FA8">
        <w:rPr>
          <w:rFonts w:hint="cs"/>
          <w:rtl/>
        </w:rPr>
        <w:t xml:space="preserve"> </w:t>
      </w:r>
      <w:r>
        <w:rPr>
          <w:rFonts w:hint="cs"/>
          <w:rtl/>
        </w:rPr>
        <w:t>ו</w:t>
      </w:r>
      <w:r>
        <w:rPr>
          <w:rtl/>
        </w:rPr>
        <w:t>אם מכוסה בבצק מותר</w:t>
      </w:r>
      <w:r>
        <w:rPr>
          <w:rFonts w:hint="cs"/>
          <w:sz w:val="16"/>
          <w:szCs w:val="16"/>
          <w:rtl/>
        </w:rPr>
        <w:t xml:space="preserve"> (מרדכי)</w:t>
      </w:r>
      <w:r w:rsidRPr="00D6570B">
        <w:rPr>
          <w:rFonts w:cs="Arial" w:hint="cs"/>
          <w:rtl/>
        </w:rPr>
        <w:t>.</w:t>
      </w:r>
      <w:r w:rsidRPr="00D6570B">
        <w:rPr>
          <w:rFonts w:cs="Arial"/>
          <w:rtl/>
        </w:rPr>
        <w:t xml:space="preserve"> </w:t>
      </w:r>
      <w:r w:rsidRPr="00541475">
        <w:rPr>
          <w:rFonts w:cs="Arial" w:hint="cs"/>
          <w:color w:val="00B0F0"/>
          <w:rtl/>
        </w:rPr>
        <w:t>(וכ"פ הרמ"א</w:t>
      </w:r>
      <w:r>
        <w:rPr>
          <w:rFonts w:cs="Arial" w:hint="cs"/>
          <w:color w:val="000000" w:themeColor="text1"/>
          <w:sz w:val="16"/>
          <w:szCs w:val="16"/>
          <w:rtl/>
        </w:rPr>
        <w:t xml:space="preserve"> [סי' קח ס"א]</w:t>
      </w:r>
      <w:r w:rsidRPr="00541475">
        <w:rPr>
          <w:rFonts w:cs="Arial" w:hint="cs"/>
          <w:color w:val="00B0F0"/>
          <w:rtl/>
        </w:rPr>
        <w:t>)</w:t>
      </w:r>
      <w:r w:rsidRPr="00D6570B">
        <w:rPr>
          <w:rFonts w:cs="Arial"/>
          <w:rtl/>
        </w:rPr>
        <w:t xml:space="preserve"> </w:t>
      </w:r>
    </w:p>
    <w:p w14:paraId="5F2C5A27" w14:textId="77777777" w:rsidR="002C39F4" w:rsidRPr="003270DE" w:rsidRDefault="002C39F4" w:rsidP="002C39F4">
      <w:pPr>
        <w:ind w:left="360"/>
        <w:rPr>
          <w:rFonts w:cs="Arial"/>
          <w:u w:val="dotted"/>
        </w:rPr>
      </w:pPr>
      <w:r>
        <w:rPr>
          <w:rFonts w:cs="Arial" w:hint="cs"/>
          <w:u w:val="dotted"/>
          <w:rtl/>
        </w:rPr>
        <w:t>ומה הדין אם התנור גדול ופתוח</w:t>
      </w:r>
      <w:r w:rsidRPr="003270DE">
        <w:rPr>
          <w:rFonts w:cs="Arial" w:hint="cs"/>
          <w:u w:val="dotted"/>
          <w:rtl/>
        </w:rPr>
        <w:t>:</w:t>
      </w:r>
    </w:p>
    <w:p w14:paraId="438B6C2D" w14:textId="77777777" w:rsidR="002C39F4" w:rsidRDefault="002C39F4" w:rsidP="0032102C">
      <w:pPr>
        <w:pStyle w:val="a8"/>
        <w:numPr>
          <w:ilvl w:val="0"/>
          <w:numId w:val="141"/>
        </w:numPr>
        <w:rPr>
          <w:rFonts w:cs="Arial"/>
        </w:rPr>
      </w:pPr>
      <w:r>
        <w:rPr>
          <w:rFonts w:cs="Arial" w:hint="cs"/>
          <w:rtl/>
        </w:rPr>
        <w:t xml:space="preserve">או"ה </w:t>
      </w:r>
      <w:r w:rsidRPr="00C71914">
        <w:rPr>
          <w:rFonts w:cs="Arial" w:hint="cs"/>
          <w:sz w:val="16"/>
          <w:szCs w:val="16"/>
          <w:rtl/>
        </w:rPr>
        <w:t xml:space="preserve">(כלל מ </w:t>
      </w:r>
      <w:r>
        <w:rPr>
          <w:rFonts w:cs="Arial" w:hint="cs"/>
          <w:sz w:val="16"/>
          <w:szCs w:val="16"/>
          <w:rtl/>
        </w:rPr>
        <w:t>ד"ג ו</w:t>
      </w:r>
      <w:r w:rsidRPr="00C71914">
        <w:rPr>
          <w:rFonts w:cs="Arial" w:hint="cs"/>
          <w:sz w:val="16"/>
          <w:szCs w:val="16"/>
          <w:rtl/>
        </w:rPr>
        <w:t>ד"כ</w:t>
      </w:r>
      <w:r>
        <w:rPr>
          <w:rFonts w:cs="Arial" w:hint="cs"/>
          <w:sz w:val="16"/>
          <w:szCs w:val="16"/>
          <w:rtl/>
        </w:rPr>
        <w:t>-כא</w:t>
      </w:r>
      <w:r w:rsidRPr="00C71914">
        <w:rPr>
          <w:rFonts w:cs="Arial" w:hint="cs"/>
          <w:sz w:val="16"/>
          <w:szCs w:val="16"/>
          <w:rtl/>
        </w:rPr>
        <w:t>)</w:t>
      </w:r>
      <w:r>
        <w:rPr>
          <w:rFonts w:cs="Arial" w:hint="cs"/>
          <w:rtl/>
        </w:rPr>
        <w:t xml:space="preserve">- </w:t>
      </w:r>
      <w:r w:rsidRPr="00C71914">
        <w:rPr>
          <w:rFonts w:cs="Arial"/>
          <w:rtl/>
        </w:rPr>
        <w:t>איסור חריף או שנעשה לריח ונאפה אפי' עם הפת ובתנורים גדולים בזה ודאי אמרינן ריחא מילתא היא אפי' בדיעבד ואפי' אם פי התנור פתוח בצידו כדאי' בגמ</w:t>
      </w:r>
      <w:r>
        <w:rPr>
          <w:rFonts w:cs="Arial" w:hint="cs"/>
          <w:rtl/>
        </w:rPr>
        <w:t>'</w:t>
      </w:r>
      <w:r w:rsidRPr="00C71914">
        <w:rPr>
          <w:rFonts w:cs="Arial"/>
          <w:rtl/>
        </w:rPr>
        <w:t xml:space="preserve"> תנור שהסיקוהו בכמון של תרומה וכו'</w:t>
      </w:r>
      <w:r>
        <w:rPr>
          <w:rStyle w:val="a7"/>
          <w:rFonts w:cs="Arial"/>
          <w:rtl/>
        </w:rPr>
        <w:footnoteReference w:id="1762"/>
      </w:r>
      <w:r>
        <w:rPr>
          <w:rFonts w:cs="Arial" w:hint="cs"/>
          <w:rtl/>
        </w:rPr>
        <w:t>,</w:t>
      </w:r>
      <w:r w:rsidRPr="0064636F">
        <w:rPr>
          <w:rFonts w:hint="cs"/>
          <w:rtl/>
        </w:rPr>
        <w:t xml:space="preserve"> </w:t>
      </w:r>
      <w:r>
        <w:rPr>
          <w:rFonts w:hint="cs"/>
          <w:rtl/>
        </w:rPr>
        <w:t xml:space="preserve">ואם הוא מכוסה בבצק </w:t>
      </w:r>
      <w:r>
        <w:rPr>
          <w:rtl/>
        </w:rPr>
        <w:t>טוב להחמיר לכתחלה</w:t>
      </w:r>
      <w:r>
        <w:rPr>
          <w:rFonts w:cs="Arial" w:hint="cs"/>
          <w:rtl/>
        </w:rPr>
        <w:t>.</w:t>
      </w:r>
      <w:r w:rsidRPr="005E5B03">
        <w:rPr>
          <w:rFonts w:cs="Arial" w:hint="cs"/>
          <w:color w:val="00B0F0"/>
          <w:rtl/>
        </w:rPr>
        <w:t xml:space="preserve"> (וכ"פ הרמ"א</w:t>
      </w:r>
      <w:r>
        <w:rPr>
          <w:rFonts w:cs="Arial" w:hint="cs"/>
          <w:color w:val="000000" w:themeColor="text1"/>
          <w:sz w:val="16"/>
          <w:szCs w:val="16"/>
          <w:rtl/>
        </w:rPr>
        <w:t xml:space="preserve"> [סי' קח ס"א,</w:t>
      </w:r>
      <w:r w:rsidRPr="005E5B03">
        <w:rPr>
          <w:rFonts w:cs="Arial" w:hint="cs"/>
          <w:sz w:val="16"/>
          <w:szCs w:val="16"/>
          <w:rtl/>
        </w:rPr>
        <w:t xml:space="preserve"> </w:t>
      </w:r>
      <w:r>
        <w:rPr>
          <w:rFonts w:cs="Arial" w:hint="cs"/>
          <w:sz w:val="16"/>
          <w:szCs w:val="16"/>
          <w:rtl/>
        </w:rPr>
        <w:t>ובת"ח כל"ו ד"ב</w:t>
      </w:r>
      <w:r>
        <w:rPr>
          <w:rFonts w:cs="Arial" w:hint="cs"/>
          <w:color w:val="000000" w:themeColor="text1"/>
          <w:sz w:val="16"/>
          <w:szCs w:val="16"/>
          <w:rtl/>
        </w:rPr>
        <w:t>]</w:t>
      </w:r>
      <w:r w:rsidRPr="005E5B03">
        <w:rPr>
          <w:rFonts w:cs="Arial" w:hint="cs"/>
          <w:color w:val="00B0F0"/>
          <w:rtl/>
        </w:rPr>
        <w:t xml:space="preserve">) </w:t>
      </w:r>
      <w:r>
        <w:rPr>
          <w:rFonts w:cs="Arial" w:hint="cs"/>
          <w:rtl/>
        </w:rPr>
        <w:t xml:space="preserve">(וכ"פ ט"ז </w:t>
      </w:r>
      <w:r>
        <w:rPr>
          <w:rFonts w:cs="Arial" w:hint="cs"/>
          <w:sz w:val="16"/>
          <w:szCs w:val="16"/>
          <w:rtl/>
        </w:rPr>
        <w:t xml:space="preserve">[סי' קח סק"ה] </w:t>
      </w:r>
      <w:r>
        <w:rPr>
          <w:rFonts w:cs="Arial" w:hint="cs"/>
          <w:rtl/>
        </w:rPr>
        <w:t>ש"ך</w:t>
      </w:r>
      <w:r>
        <w:rPr>
          <w:rFonts w:cs="Arial" w:hint="cs"/>
          <w:sz w:val="16"/>
          <w:szCs w:val="16"/>
          <w:rtl/>
        </w:rPr>
        <w:t xml:space="preserve"> [סי' קח סק"ט]</w:t>
      </w:r>
      <w:r>
        <w:rPr>
          <w:rFonts w:cs="Arial" w:hint="cs"/>
          <w:rtl/>
        </w:rPr>
        <w:t xml:space="preserve"> וח"ד</w:t>
      </w:r>
      <w:r>
        <w:rPr>
          <w:rFonts w:cs="Arial" w:hint="cs"/>
          <w:sz w:val="16"/>
          <w:szCs w:val="16"/>
          <w:rtl/>
        </w:rPr>
        <w:t xml:space="preserve"> [סי' קח סק"ח]</w:t>
      </w:r>
      <w:r>
        <w:rPr>
          <w:rFonts w:cs="Arial" w:hint="cs"/>
          <w:rtl/>
        </w:rPr>
        <w:t>)</w:t>
      </w:r>
    </w:p>
    <w:p w14:paraId="56C1C44D" w14:textId="77777777" w:rsidR="002C39F4" w:rsidRPr="00D6570B" w:rsidRDefault="002C39F4" w:rsidP="0032102C">
      <w:pPr>
        <w:pStyle w:val="a8"/>
        <w:numPr>
          <w:ilvl w:val="0"/>
          <w:numId w:val="141"/>
        </w:numPr>
        <w:rPr>
          <w:rFonts w:cs="Arial"/>
          <w:rtl/>
        </w:rPr>
      </w:pPr>
      <w:r w:rsidRPr="00C71914">
        <w:rPr>
          <w:rFonts w:cs="Arial"/>
          <w:rtl/>
        </w:rPr>
        <w:t>רש"ל</w:t>
      </w:r>
      <w:r w:rsidRPr="003270DE">
        <w:rPr>
          <w:rFonts w:cs="Arial"/>
          <w:sz w:val="16"/>
          <w:szCs w:val="16"/>
          <w:rtl/>
        </w:rPr>
        <w:t xml:space="preserve"> </w:t>
      </w:r>
      <w:r w:rsidRPr="003270DE">
        <w:rPr>
          <w:rFonts w:cs="Arial" w:hint="cs"/>
          <w:sz w:val="16"/>
          <w:szCs w:val="16"/>
          <w:rtl/>
        </w:rPr>
        <w:t>(</w:t>
      </w:r>
      <w:r w:rsidRPr="003270DE">
        <w:rPr>
          <w:rFonts w:cs="Arial"/>
          <w:sz w:val="16"/>
          <w:szCs w:val="16"/>
          <w:rtl/>
        </w:rPr>
        <w:t>בפ</w:t>
      </w:r>
      <w:r w:rsidRPr="003270DE">
        <w:rPr>
          <w:rFonts w:cs="Arial" w:hint="cs"/>
          <w:sz w:val="16"/>
          <w:szCs w:val="16"/>
          <w:rtl/>
        </w:rPr>
        <w:t>ג"ה</w:t>
      </w:r>
      <w:r w:rsidRPr="003270DE">
        <w:rPr>
          <w:rFonts w:cs="Arial"/>
          <w:sz w:val="16"/>
          <w:szCs w:val="16"/>
          <w:rtl/>
        </w:rPr>
        <w:t xml:space="preserve"> סי</w:t>
      </w:r>
      <w:r w:rsidRPr="003270DE">
        <w:rPr>
          <w:rFonts w:cs="Arial" w:hint="cs"/>
          <w:sz w:val="16"/>
          <w:szCs w:val="16"/>
          <w:rtl/>
        </w:rPr>
        <w:t>'</w:t>
      </w:r>
      <w:r w:rsidRPr="003270DE">
        <w:rPr>
          <w:rFonts w:cs="Arial"/>
          <w:sz w:val="16"/>
          <w:szCs w:val="16"/>
          <w:rtl/>
        </w:rPr>
        <w:t xml:space="preserve"> סו</w:t>
      </w:r>
      <w:r w:rsidRPr="003270DE">
        <w:rPr>
          <w:rFonts w:cs="Arial" w:hint="cs"/>
          <w:sz w:val="16"/>
          <w:szCs w:val="16"/>
          <w:rtl/>
        </w:rPr>
        <w:t>)</w:t>
      </w:r>
      <w:r>
        <w:rPr>
          <w:rFonts w:cs="Arial" w:hint="cs"/>
          <w:rtl/>
        </w:rPr>
        <w:t>-</w:t>
      </w:r>
      <w:r w:rsidRPr="00C71914">
        <w:rPr>
          <w:rFonts w:cs="Arial"/>
          <w:rtl/>
        </w:rPr>
        <w:t xml:space="preserve"> היינו דוקא בתנור קטן או גדול ומכוסה אבל בתנור גדול ופתוח לכ</w:t>
      </w:r>
      <w:r>
        <w:rPr>
          <w:rFonts w:cs="Arial" w:hint="cs"/>
          <w:rtl/>
        </w:rPr>
        <w:t>ו</w:t>
      </w:r>
      <w:r w:rsidRPr="00C71914">
        <w:rPr>
          <w:rFonts w:cs="Arial"/>
          <w:rtl/>
        </w:rPr>
        <w:t>"ע שרי</w:t>
      </w:r>
      <w:r>
        <w:rPr>
          <w:rFonts w:cs="Arial" w:hint="cs"/>
          <w:rtl/>
        </w:rPr>
        <w:t>.</w:t>
      </w:r>
      <w:r w:rsidRPr="00C71914">
        <w:rPr>
          <w:rFonts w:cs="Arial"/>
          <w:rtl/>
        </w:rPr>
        <w:t xml:space="preserve"> </w:t>
      </w:r>
      <w:r>
        <w:rPr>
          <w:rFonts w:cs="Arial" w:hint="cs"/>
          <w:rtl/>
        </w:rPr>
        <w:t>(וכ"פ הב"ח)</w:t>
      </w:r>
    </w:p>
    <w:p w14:paraId="6294A286" w14:textId="77777777" w:rsidR="002C39F4" w:rsidRPr="00D6570B" w:rsidRDefault="002C39F4" w:rsidP="002C39F4">
      <w:pPr>
        <w:rPr>
          <w:rFonts w:cs="Arial"/>
          <w:u w:val="single"/>
          <w:rtl/>
        </w:rPr>
      </w:pPr>
      <w:r>
        <w:rPr>
          <w:rFonts w:cs="Arial"/>
          <w:u w:val="single"/>
          <w:rtl/>
        </w:rPr>
        <w:t xml:space="preserve">שמנונית איסור על </w:t>
      </w:r>
      <w:r w:rsidRPr="00D6570B">
        <w:rPr>
          <w:rFonts w:cs="Arial"/>
          <w:u w:val="single"/>
          <w:rtl/>
        </w:rPr>
        <w:t>מרדה</w:t>
      </w:r>
      <w:r w:rsidRPr="00D6570B">
        <w:rPr>
          <w:rFonts w:cs="Arial" w:hint="cs"/>
          <w:u w:val="single"/>
          <w:rtl/>
        </w:rPr>
        <w:t>:</w:t>
      </w:r>
      <w:r w:rsidRPr="00D6570B">
        <w:rPr>
          <w:rFonts w:cs="Arial"/>
          <w:u w:val="single"/>
          <w:rtl/>
        </w:rPr>
        <w:t xml:space="preserve"> </w:t>
      </w:r>
    </w:p>
    <w:p w14:paraId="7B2BE5BD" w14:textId="77777777" w:rsidR="002C39F4" w:rsidRPr="005C25AB" w:rsidRDefault="002C39F4" w:rsidP="0032102C">
      <w:pPr>
        <w:pStyle w:val="a8"/>
        <w:numPr>
          <w:ilvl w:val="0"/>
          <w:numId w:val="141"/>
        </w:numPr>
        <w:rPr>
          <w:rFonts w:cs="Arial"/>
          <w:rtl/>
        </w:rPr>
      </w:pPr>
      <w:r w:rsidRPr="00D6570B">
        <w:rPr>
          <w:rFonts w:cs="Arial"/>
          <w:rtl/>
        </w:rPr>
        <w:t>תוס</w:t>
      </w:r>
      <w:r w:rsidRPr="00D6570B">
        <w:rPr>
          <w:rFonts w:cs="Arial" w:hint="cs"/>
          <w:rtl/>
        </w:rPr>
        <w:t>'</w:t>
      </w:r>
      <w:r w:rsidRPr="00D6570B">
        <w:rPr>
          <w:rFonts w:cs="Arial"/>
          <w:rtl/>
        </w:rPr>
        <w:t xml:space="preserve"> </w:t>
      </w:r>
      <w:r w:rsidRPr="005C25AB">
        <w:rPr>
          <w:rFonts w:cs="Arial" w:hint="cs"/>
          <w:sz w:val="16"/>
          <w:szCs w:val="16"/>
          <w:rtl/>
        </w:rPr>
        <w:t>(</w:t>
      </w:r>
      <w:r w:rsidRPr="005C25AB">
        <w:rPr>
          <w:rFonts w:cs="Arial"/>
          <w:sz w:val="16"/>
          <w:szCs w:val="16"/>
          <w:rtl/>
        </w:rPr>
        <w:t>ע"ז סו: ד"ה רבא אמר)</w:t>
      </w:r>
      <w:r>
        <w:rPr>
          <w:rFonts w:cs="Arial" w:hint="cs"/>
          <w:rtl/>
        </w:rPr>
        <w:t>-</w:t>
      </w:r>
      <w:r w:rsidRPr="00D6570B">
        <w:rPr>
          <w:rFonts w:cs="Arial"/>
          <w:rtl/>
        </w:rPr>
        <w:t xml:space="preserve"> אם שמנונית האיסור על המרדה שקורין פאלה אסור ליתן עליה היתר כל היום</w:t>
      </w:r>
      <w:r>
        <w:rPr>
          <w:rFonts w:cs="Arial" w:hint="cs"/>
          <w:rtl/>
        </w:rPr>
        <w:t>,</w:t>
      </w:r>
      <w:r w:rsidRPr="00D6570B">
        <w:rPr>
          <w:rFonts w:cs="Arial"/>
          <w:rtl/>
        </w:rPr>
        <w:t xml:space="preserve"> מיהו כשאינה בת יומא מותר להשתמש בה לכתחלה</w:t>
      </w:r>
      <w:r>
        <w:rPr>
          <w:rFonts w:cs="Arial" w:hint="cs"/>
          <w:rtl/>
        </w:rPr>
        <w:t>,</w:t>
      </w:r>
      <w:r w:rsidRPr="00D6570B">
        <w:rPr>
          <w:rFonts w:cs="Arial"/>
          <w:rtl/>
        </w:rPr>
        <w:t xml:space="preserve"> ולא גזרו שאינה בת יומא אטו בת יומא אפילו לכתחלה כיון דלא אפשר שהרי הגוי לא ישמע לו לעשות מרדה חדשה בכל פעם</w:t>
      </w:r>
      <w:r>
        <w:rPr>
          <w:rFonts w:cs="Arial"/>
          <w:rtl/>
        </w:rPr>
        <w:t xml:space="preserve"> ופעם שישפוך עליה של איסור</w:t>
      </w:r>
      <w:r>
        <w:rPr>
          <w:rFonts w:cs="Arial" w:hint="cs"/>
          <w:rtl/>
        </w:rPr>
        <w:t xml:space="preserve">. </w:t>
      </w:r>
      <w:r w:rsidRPr="00A74A12">
        <w:rPr>
          <w:rFonts w:cs="Arial" w:hint="cs"/>
          <w:color w:val="E36C0A" w:themeColor="accent6" w:themeShade="BF"/>
          <w:rtl/>
        </w:rPr>
        <w:t>(וכ"פ בשו"ע</w:t>
      </w:r>
      <w:r w:rsidRPr="00A74A12">
        <w:rPr>
          <w:rFonts w:cs="Arial" w:hint="cs"/>
          <w:color w:val="E36C0A" w:themeColor="accent6" w:themeShade="BF"/>
          <w:sz w:val="16"/>
          <w:szCs w:val="16"/>
          <w:rtl/>
        </w:rPr>
        <w:t xml:space="preserve"> </w:t>
      </w:r>
      <w:r>
        <w:rPr>
          <w:rFonts w:cs="Arial" w:hint="cs"/>
          <w:sz w:val="16"/>
          <w:szCs w:val="16"/>
          <w:rtl/>
        </w:rPr>
        <w:t>[סי' קח ס"ג]</w:t>
      </w:r>
      <w:r w:rsidRPr="00A74A12">
        <w:rPr>
          <w:rFonts w:cs="Arial" w:hint="cs"/>
          <w:color w:val="E36C0A" w:themeColor="accent6" w:themeShade="BF"/>
          <w:rtl/>
        </w:rPr>
        <w:t>)</w:t>
      </w:r>
    </w:p>
    <w:p w14:paraId="5E19758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1BF7FA9" w14:textId="77777777" w:rsidR="002C39F4" w:rsidRPr="009E401A" w:rsidRDefault="002C39F4" w:rsidP="002C39F4">
      <w:pPr>
        <w:rPr>
          <w:rFonts w:asciiTheme="minorBidi" w:hAnsiTheme="minorBidi"/>
        </w:rPr>
      </w:pPr>
      <w:r w:rsidRPr="003024E5">
        <w:rPr>
          <w:rFonts w:asciiTheme="minorBidi" w:hAnsiTheme="minorBidi"/>
          <w:rtl/>
        </w:rPr>
        <w:t>פת שאפאו עם הצלי, ודגים שצלאן בתנ</w:t>
      </w:r>
      <w:r>
        <w:rPr>
          <w:rFonts w:asciiTheme="minorBidi" w:hAnsiTheme="minorBidi"/>
          <w:rtl/>
        </w:rPr>
        <w:t>ור אחד עם הבשר, אסור</w:t>
      </w:r>
      <w:r>
        <w:rPr>
          <w:rStyle w:val="a7"/>
          <w:rFonts w:asciiTheme="minorBidi" w:hAnsiTheme="minorBidi"/>
          <w:rtl/>
        </w:rPr>
        <w:footnoteReference w:id="1763"/>
      </w:r>
      <w:r>
        <w:rPr>
          <w:rFonts w:asciiTheme="minorBidi" w:hAnsiTheme="minorBidi"/>
          <w:rtl/>
        </w:rPr>
        <w:t xml:space="preserve"> לאכלם בחלב</w:t>
      </w:r>
      <w:r>
        <w:rPr>
          <w:rStyle w:val="a7"/>
          <w:rFonts w:asciiTheme="minorBidi" w:hAnsiTheme="minorBidi"/>
          <w:rtl/>
        </w:rPr>
        <w:footnoteReference w:id="1764"/>
      </w:r>
      <w:r>
        <w:rPr>
          <w:rFonts w:asciiTheme="minorBidi" w:hAnsiTheme="minorBidi" w:hint="cs"/>
          <w:rtl/>
        </w:rPr>
        <w:t>,</w:t>
      </w:r>
      <w:r>
        <w:rPr>
          <w:rFonts w:asciiTheme="minorBidi" w:hAnsiTheme="minorBidi"/>
          <w:rtl/>
        </w:rPr>
        <w:t xml:space="preserve"> והני מילי בתנור קטן</w:t>
      </w:r>
      <w:r w:rsidRPr="003024E5">
        <w:rPr>
          <w:rFonts w:asciiTheme="minorBidi" w:hAnsiTheme="minorBidi"/>
          <w:rtl/>
        </w:rPr>
        <w:t xml:space="preserve"> אבל בתנור גדול המ</w:t>
      </w:r>
      <w:r>
        <w:rPr>
          <w:rFonts w:asciiTheme="minorBidi" w:hAnsiTheme="minorBidi"/>
          <w:rtl/>
        </w:rPr>
        <w:t>חזיק שנים עשר עשרונים</w:t>
      </w:r>
      <w:r>
        <w:rPr>
          <w:rStyle w:val="a7"/>
          <w:rFonts w:asciiTheme="minorBidi" w:hAnsiTheme="minorBidi"/>
          <w:rtl/>
        </w:rPr>
        <w:footnoteReference w:id="1765"/>
      </w:r>
      <w:r>
        <w:rPr>
          <w:rFonts w:asciiTheme="minorBidi" w:hAnsiTheme="minorBidi"/>
          <w:rtl/>
        </w:rPr>
        <w:t xml:space="preserve"> ופי</w:t>
      </w:r>
      <w:r>
        <w:rPr>
          <w:rFonts w:asciiTheme="minorBidi" w:hAnsiTheme="minorBidi" w:hint="cs"/>
          <w:rtl/>
        </w:rPr>
        <w:t>ו</w:t>
      </w:r>
      <w:r>
        <w:rPr>
          <w:rFonts w:asciiTheme="minorBidi" w:hAnsiTheme="minorBidi"/>
          <w:rtl/>
        </w:rPr>
        <w:t xml:space="preserve"> פתוח מותר</w:t>
      </w:r>
      <w:r>
        <w:rPr>
          <w:rFonts w:asciiTheme="minorBidi" w:hAnsiTheme="minorBidi" w:hint="cs"/>
          <w:rtl/>
        </w:rPr>
        <w:t>,</w:t>
      </w:r>
      <w:r>
        <w:rPr>
          <w:rFonts w:asciiTheme="minorBidi" w:hAnsiTheme="minorBidi"/>
          <w:rtl/>
        </w:rPr>
        <w:t xml:space="preserve"> ואם הצלי מכוסה</w:t>
      </w:r>
      <w:r>
        <w:rPr>
          <w:rFonts w:asciiTheme="minorBidi" w:hAnsiTheme="minorBidi" w:hint="cs"/>
          <w:rtl/>
        </w:rPr>
        <w:t>,</w:t>
      </w:r>
      <w:r>
        <w:rPr>
          <w:rFonts w:asciiTheme="minorBidi" w:hAnsiTheme="minorBidi"/>
          <w:rtl/>
        </w:rPr>
        <w:t xml:space="preserve"> וכן פשטיד"א שמכוסה הנקב שבו</w:t>
      </w:r>
      <w:r>
        <w:rPr>
          <w:rFonts w:asciiTheme="minorBidi" w:hAnsiTheme="minorBidi" w:hint="cs"/>
          <w:rtl/>
        </w:rPr>
        <w:t>,</w:t>
      </w:r>
      <w:r>
        <w:rPr>
          <w:rFonts w:asciiTheme="minorBidi" w:hAnsiTheme="minorBidi"/>
          <w:rtl/>
        </w:rPr>
        <w:t xml:space="preserve"> מותר</w:t>
      </w:r>
      <w:r>
        <w:rPr>
          <w:rStyle w:val="a7"/>
          <w:rFonts w:asciiTheme="minorBidi" w:hAnsiTheme="minorBidi"/>
          <w:rtl/>
        </w:rPr>
        <w:footnoteReference w:id="1766"/>
      </w:r>
      <w:r>
        <w:rPr>
          <w:rFonts w:asciiTheme="minorBidi" w:hAnsiTheme="minorBidi"/>
          <w:rtl/>
        </w:rPr>
        <w:t xml:space="preserve"> אפילו בתנור צר</w:t>
      </w:r>
      <w:r>
        <w:rPr>
          <w:rFonts w:asciiTheme="minorBidi" w:hAnsiTheme="minorBidi" w:hint="cs"/>
          <w:rtl/>
        </w:rPr>
        <w:t>.</w:t>
      </w:r>
      <w:r w:rsidRPr="003024E5">
        <w:rPr>
          <w:rFonts w:asciiTheme="minorBidi" w:hAnsiTheme="minorBidi"/>
          <w:rtl/>
        </w:rPr>
        <w:t xml:space="preserve"> </w:t>
      </w:r>
      <w:r>
        <w:rPr>
          <w:rFonts w:asciiTheme="minorBidi" w:hAnsiTheme="minorBidi" w:hint="cs"/>
          <w:sz w:val="18"/>
          <w:szCs w:val="18"/>
          <w:rtl/>
        </w:rPr>
        <w:t xml:space="preserve">[הגה] </w:t>
      </w:r>
      <w:r w:rsidRPr="00350C47">
        <w:rPr>
          <w:rFonts w:asciiTheme="minorBidi" w:hAnsiTheme="minorBidi"/>
          <w:sz w:val="18"/>
          <w:szCs w:val="18"/>
          <w:rtl/>
        </w:rPr>
        <w:t>ועיין לקמן סימן קח כיצד נוהגין.</w:t>
      </w:r>
    </w:p>
    <w:p w14:paraId="7A913D46" w14:textId="77777777" w:rsidR="002C39F4" w:rsidRDefault="002C39F4">
      <w:pPr>
        <w:rPr>
          <w:rtl/>
        </w:rPr>
        <w:sectPr w:rsidR="002C39F4" w:rsidSect="004C5A3C">
          <w:footnotePr>
            <w:numRestart w:val="eachPage"/>
          </w:footnotePr>
          <w:pgSz w:w="11906" w:h="16838"/>
          <w:pgMar w:top="720" w:right="1134" w:bottom="720" w:left="1134" w:header="720" w:footer="0" w:gutter="0"/>
          <w:cols w:space="720"/>
          <w:bidi/>
          <w:rtlGutter/>
          <w:docGrid w:linePitch="360"/>
        </w:sectPr>
      </w:pPr>
    </w:p>
    <w:p w14:paraId="30E8A030" w14:textId="77777777" w:rsidR="002C39F4" w:rsidRPr="00E5436A" w:rsidRDefault="002C39F4" w:rsidP="002C39F4">
      <w:pPr>
        <w:rPr>
          <w:rFonts w:asciiTheme="minorBidi" w:hAnsiTheme="minorBidi"/>
          <w:b/>
          <w:bCs/>
          <w:sz w:val="36"/>
          <w:szCs w:val="36"/>
          <w:u w:val="single"/>
          <w:rtl/>
        </w:rPr>
      </w:pPr>
      <w:r w:rsidRPr="00E5436A">
        <w:rPr>
          <w:rFonts w:asciiTheme="minorBidi" w:hAnsiTheme="minorBidi" w:hint="cs"/>
          <w:b/>
          <w:bCs/>
          <w:sz w:val="36"/>
          <w:szCs w:val="36"/>
          <w:u w:val="single"/>
          <w:rtl/>
        </w:rPr>
        <w:t>תערובות:</w:t>
      </w:r>
    </w:p>
    <w:p w14:paraId="675631B8"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צח: דין איסור שנתערב בהיתר ואופן ביטולו, ובו ט' סעיפים. </w:t>
      </w:r>
    </w:p>
    <w:p w14:paraId="70BE4957"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מין בשאינו מינו.</w:t>
      </w:r>
    </w:p>
    <w:p w14:paraId="4F108537" w14:textId="77777777" w:rsidR="002C39F4" w:rsidRPr="00913964" w:rsidRDefault="002C39F4" w:rsidP="002C39F4">
      <w:pPr>
        <w:rPr>
          <w:rtl/>
        </w:rPr>
      </w:pPr>
      <w:r>
        <w:rPr>
          <w:rFonts w:cs="Arial" w:hint="cs"/>
          <w:b/>
          <w:bCs/>
          <w:rtl/>
        </w:rPr>
        <w:t xml:space="preserve">חולין צז ע"א: </w:t>
      </w:r>
      <w:r w:rsidRPr="00D41990">
        <w:rPr>
          <w:rFonts w:cs="Arial"/>
          <w:u w:val="single"/>
          <w:rtl/>
        </w:rPr>
        <w:t>אמר רבא:</w:t>
      </w:r>
      <w:r w:rsidRPr="00D41990">
        <w:rPr>
          <w:rFonts w:cs="Arial"/>
          <w:rtl/>
        </w:rPr>
        <w:t xml:space="preserve"> אמור רבנן: בטעמא, ואמור רבנן: בקפילא,</w:t>
      </w:r>
      <w:r w:rsidRPr="00D41990">
        <w:rPr>
          <w:rtl/>
        </w:rPr>
        <w:t xml:space="preserve"> </w:t>
      </w:r>
      <w:r>
        <w:rPr>
          <w:rFonts w:cs="Arial"/>
          <w:rtl/>
        </w:rPr>
        <w:t>ואמור רבנן: בששים</w:t>
      </w:r>
      <w:r>
        <w:rPr>
          <w:rFonts w:cs="Arial" w:hint="cs"/>
          <w:rtl/>
        </w:rPr>
        <w:t>,</w:t>
      </w:r>
      <w:r w:rsidRPr="00D41990">
        <w:rPr>
          <w:rFonts w:cs="Arial"/>
          <w:rtl/>
        </w:rPr>
        <w:t xml:space="preserve"> הלכך: מין בשאינו מינו דהיתרא - בטעמא, דאיסורא - בקפילא, ומין במינו דליכא למיקם אטעמא, אי נמי מין בשאינו מינו דאיסורא דליכא קפילא - בששים.</w:t>
      </w:r>
      <w:r>
        <w:rPr>
          <w:rFonts w:hint="cs"/>
          <w:rtl/>
        </w:rPr>
        <w:t xml:space="preserve"> </w:t>
      </w:r>
      <w:r w:rsidRPr="00913964">
        <w:rPr>
          <w:rFonts w:hint="cs"/>
          <w:sz w:val="16"/>
          <w:szCs w:val="16"/>
          <w:rtl/>
        </w:rPr>
        <w:t>(</w:t>
      </w:r>
      <w:r>
        <w:rPr>
          <w:rFonts w:hint="cs"/>
          <w:sz w:val="16"/>
          <w:szCs w:val="16"/>
          <w:rtl/>
        </w:rPr>
        <w:t>וכ"פ הטור, וז"ל-</w:t>
      </w:r>
      <w:r w:rsidRPr="00913964">
        <w:rPr>
          <w:rFonts w:hint="cs"/>
          <w:sz w:val="16"/>
          <w:szCs w:val="16"/>
          <w:rtl/>
        </w:rPr>
        <w:t xml:space="preserve"> מין בשאינו מינו בטעמא, כיצד, ד</w:t>
      </w:r>
      <w:r w:rsidRPr="00913964">
        <w:rPr>
          <w:rFonts w:cs="Arial"/>
          <w:sz w:val="16"/>
          <w:szCs w:val="16"/>
          <w:rtl/>
        </w:rPr>
        <w:t>התירא</w:t>
      </w:r>
      <w:r w:rsidRPr="00913964">
        <w:rPr>
          <w:rFonts w:cs="Arial" w:hint="cs"/>
          <w:sz w:val="16"/>
          <w:szCs w:val="16"/>
          <w:rtl/>
        </w:rPr>
        <w:t>,</w:t>
      </w:r>
      <w:r w:rsidRPr="00913964">
        <w:rPr>
          <w:rFonts w:cs="Arial"/>
          <w:sz w:val="16"/>
          <w:szCs w:val="16"/>
          <w:rtl/>
        </w:rPr>
        <w:t xml:space="preserve"> כגון תרומה שנתערבה בחולין יטעמנו כהן </w:t>
      </w:r>
      <w:r w:rsidRPr="00913964">
        <w:rPr>
          <w:rFonts w:cs="Arial" w:hint="cs"/>
          <w:sz w:val="16"/>
          <w:szCs w:val="16"/>
          <w:rtl/>
        </w:rPr>
        <w:t>ו</w:t>
      </w:r>
      <w:r w:rsidRPr="00913964">
        <w:rPr>
          <w:rFonts w:cs="Arial"/>
          <w:sz w:val="16"/>
          <w:szCs w:val="16"/>
          <w:rtl/>
        </w:rPr>
        <w:t>אם אין בו טעם תרומה מותר</w:t>
      </w:r>
      <w:r w:rsidRPr="00913964">
        <w:rPr>
          <w:rFonts w:cs="Arial" w:hint="cs"/>
          <w:sz w:val="16"/>
          <w:szCs w:val="16"/>
          <w:rtl/>
        </w:rPr>
        <w:t>,</w:t>
      </w:r>
      <w:r w:rsidRPr="00913964">
        <w:rPr>
          <w:rFonts w:cs="Arial"/>
          <w:sz w:val="16"/>
          <w:szCs w:val="16"/>
          <w:rtl/>
        </w:rPr>
        <w:t xml:space="preserve"> דאיסורא כגון חלב שנתערב בבשר יטעמנו קפילא נכרי אם אומר שאין בו טעם חלב מותר</w:t>
      </w:r>
      <w:r w:rsidRPr="00913964">
        <w:rPr>
          <w:rFonts w:cs="Arial" w:hint="cs"/>
          <w:sz w:val="16"/>
          <w:szCs w:val="16"/>
          <w:rtl/>
        </w:rPr>
        <w:t>,</w:t>
      </w:r>
      <w:r w:rsidRPr="00913964">
        <w:rPr>
          <w:rFonts w:cs="Arial"/>
          <w:sz w:val="16"/>
          <w:szCs w:val="16"/>
          <w:rtl/>
        </w:rPr>
        <w:t xml:space="preserve"> </w:t>
      </w:r>
      <w:r w:rsidRPr="00913964">
        <w:rPr>
          <w:rFonts w:cs="Arial" w:hint="cs"/>
          <w:sz w:val="16"/>
          <w:szCs w:val="16"/>
          <w:rtl/>
        </w:rPr>
        <w:t xml:space="preserve">אבל </w:t>
      </w:r>
      <w:r w:rsidRPr="00913964">
        <w:rPr>
          <w:rFonts w:cs="Arial"/>
          <w:sz w:val="16"/>
          <w:szCs w:val="16"/>
          <w:rtl/>
        </w:rPr>
        <w:t>מין במינו דליכא למיקם אטעמא</w:t>
      </w:r>
      <w:r>
        <w:rPr>
          <w:rFonts w:cs="Arial" w:hint="cs"/>
          <w:sz w:val="16"/>
          <w:szCs w:val="16"/>
          <w:rtl/>
        </w:rPr>
        <w:t>,</w:t>
      </w:r>
      <w:r w:rsidRPr="00913964">
        <w:rPr>
          <w:rFonts w:cs="Arial"/>
          <w:sz w:val="16"/>
          <w:szCs w:val="16"/>
          <w:rtl/>
        </w:rPr>
        <w:t xml:space="preserve"> כגון חלב בשומן</w:t>
      </w:r>
      <w:r>
        <w:rPr>
          <w:rFonts w:cs="Arial" w:hint="cs"/>
          <w:sz w:val="16"/>
          <w:szCs w:val="16"/>
          <w:rtl/>
        </w:rPr>
        <w:t>,</w:t>
      </w:r>
      <w:r w:rsidRPr="00913964">
        <w:rPr>
          <w:rFonts w:cs="Arial" w:hint="cs"/>
          <w:sz w:val="16"/>
          <w:szCs w:val="16"/>
          <w:rtl/>
        </w:rPr>
        <w:t xml:space="preserve"> או מין בשאינו מינו וליכא קפילא היתרו בששים)</w:t>
      </w:r>
      <w:r w:rsidRPr="00913964">
        <w:rPr>
          <w:rFonts w:cs="Arial"/>
          <w:rtl/>
        </w:rPr>
        <w:t xml:space="preserve"> </w:t>
      </w:r>
    </w:p>
    <w:p w14:paraId="47D37D80" w14:textId="77777777" w:rsidR="002C39F4" w:rsidRDefault="002C39F4" w:rsidP="002C39F4">
      <w:pPr>
        <w:rPr>
          <w:rFonts w:cs="Arial"/>
          <w:rtl/>
        </w:rPr>
      </w:pPr>
      <w:r>
        <w:rPr>
          <w:rFonts w:cs="Arial" w:hint="cs"/>
          <w:u w:val="single"/>
          <w:rtl/>
        </w:rPr>
        <w:t>מתי</w:t>
      </w:r>
      <w:r w:rsidRPr="00822C96">
        <w:rPr>
          <w:rFonts w:cs="Arial" w:hint="cs"/>
          <w:u w:val="single"/>
          <w:rtl/>
        </w:rPr>
        <w:t xml:space="preserve"> </w:t>
      </w:r>
      <w:r>
        <w:rPr>
          <w:rFonts w:cs="Arial" w:hint="cs"/>
          <w:u w:val="single"/>
          <w:rtl/>
        </w:rPr>
        <w:t xml:space="preserve">סומכים על טעמו של </w:t>
      </w:r>
      <w:r w:rsidRPr="00822C96">
        <w:rPr>
          <w:rFonts w:cs="Arial" w:hint="cs"/>
          <w:u w:val="single"/>
          <w:rtl/>
        </w:rPr>
        <w:t>קפילא ארמא</w:t>
      </w:r>
      <w:r>
        <w:rPr>
          <w:rFonts w:cs="Arial" w:hint="cs"/>
          <w:u w:val="single"/>
          <w:rtl/>
        </w:rPr>
        <w:t>ה</w:t>
      </w:r>
      <w:r w:rsidRPr="00822C96">
        <w:rPr>
          <w:rFonts w:cs="Arial" w:hint="cs"/>
          <w:u w:val="single"/>
          <w:rtl/>
        </w:rPr>
        <w:t xml:space="preserve"> </w:t>
      </w:r>
      <w:r w:rsidRPr="00822C96">
        <w:rPr>
          <w:rFonts w:cs="Arial" w:hint="cs"/>
          <w:sz w:val="16"/>
          <w:szCs w:val="16"/>
          <w:u w:val="single"/>
          <w:rtl/>
        </w:rPr>
        <w:t>(טבח גוי)</w:t>
      </w:r>
      <w:r w:rsidRPr="00822C96">
        <w:rPr>
          <w:rFonts w:cs="Arial" w:hint="cs"/>
          <w:u w:val="single"/>
          <w:rtl/>
        </w:rPr>
        <w:t>:</w:t>
      </w:r>
      <w:r>
        <w:rPr>
          <w:rFonts w:cs="Arial" w:hint="cs"/>
          <w:rtl/>
        </w:rPr>
        <w:t xml:space="preserve"> </w:t>
      </w:r>
    </w:p>
    <w:p w14:paraId="17826E45" w14:textId="77777777" w:rsidR="002C39F4" w:rsidRDefault="002C39F4" w:rsidP="0032102C">
      <w:pPr>
        <w:pStyle w:val="a8"/>
        <w:numPr>
          <w:ilvl w:val="0"/>
          <w:numId w:val="140"/>
        </w:numPr>
        <w:rPr>
          <w:rFonts w:cs="Arial"/>
        </w:rPr>
      </w:pPr>
      <w:r w:rsidRPr="00822C96">
        <w:rPr>
          <w:rFonts w:cs="Arial"/>
          <w:rtl/>
        </w:rPr>
        <w:t>רש"י</w:t>
      </w:r>
      <w:r>
        <w:rPr>
          <w:rFonts w:cs="Arial"/>
          <w:sz w:val="16"/>
          <w:szCs w:val="16"/>
          <w:rtl/>
        </w:rPr>
        <w:t xml:space="preserve"> (</w:t>
      </w:r>
      <w:r w:rsidRPr="00EC67E7">
        <w:rPr>
          <w:rFonts w:cs="Arial"/>
          <w:sz w:val="16"/>
          <w:szCs w:val="16"/>
          <w:rtl/>
        </w:rPr>
        <w:t>צח. ד"ה ב</w:t>
      </w:r>
      <w:r w:rsidRPr="00EC67E7">
        <w:rPr>
          <w:rFonts w:cs="Arial" w:hint="cs"/>
          <w:sz w:val="16"/>
          <w:szCs w:val="16"/>
          <w:rtl/>
        </w:rPr>
        <w:t>ששים</w:t>
      </w:r>
      <w:r w:rsidRPr="00EC67E7">
        <w:rPr>
          <w:rFonts w:cs="Arial"/>
          <w:sz w:val="16"/>
          <w:szCs w:val="16"/>
          <w:rtl/>
        </w:rPr>
        <w:t>)</w:t>
      </w:r>
      <w:r>
        <w:rPr>
          <w:rFonts w:cs="Arial" w:hint="cs"/>
          <w:rtl/>
        </w:rPr>
        <w:t>-</w:t>
      </w:r>
      <w:r w:rsidRPr="00822C96">
        <w:rPr>
          <w:rFonts w:cs="Arial"/>
          <w:rtl/>
        </w:rPr>
        <w:t xml:space="preserve"> הא דסמכינן אקפילא דוקא בדאיכא ס' ואפ"ה לא שרי עד שיטעמנו קפילא</w:t>
      </w:r>
      <w:r>
        <w:rPr>
          <w:rFonts w:cs="Arial" w:hint="cs"/>
          <w:rtl/>
        </w:rPr>
        <w:t>,</w:t>
      </w:r>
      <w:r w:rsidRPr="00822C96">
        <w:rPr>
          <w:rFonts w:cs="Arial"/>
          <w:rtl/>
        </w:rPr>
        <w:t xml:space="preserve"> אבל קפילא בלא ס' או ס' בלא קפילא לא</w:t>
      </w:r>
      <w:r>
        <w:rPr>
          <w:rFonts w:cs="Arial" w:hint="cs"/>
          <w:rtl/>
        </w:rPr>
        <w:t>,</w:t>
      </w:r>
      <w:r w:rsidRPr="00822C96">
        <w:rPr>
          <w:rFonts w:cs="Arial"/>
          <w:rtl/>
        </w:rPr>
        <w:t xml:space="preserve"> והני מילי בדאיתא קפילא אבל מין במינו לא שייך ביה טעימה קפילא או אפי' מין בשאינו מינו וליכא קפילא א"צ לחזור אחריו ואי אית ביה ס' שרי</w:t>
      </w:r>
      <w:r>
        <w:rPr>
          <w:rStyle w:val="a7"/>
          <w:rFonts w:cs="Arial"/>
          <w:rtl/>
        </w:rPr>
        <w:footnoteReference w:id="1767"/>
      </w:r>
      <w:r>
        <w:rPr>
          <w:rFonts w:cs="Arial" w:hint="cs"/>
          <w:rtl/>
        </w:rPr>
        <w:t xml:space="preserve"> </w:t>
      </w:r>
      <w:r>
        <w:rPr>
          <w:rFonts w:cs="Arial" w:hint="cs"/>
          <w:sz w:val="16"/>
          <w:szCs w:val="16"/>
          <w:rtl/>
        </w:rPr>
        <w:t>(ל' הטור בשם רש"י)</w:t>
      </w:r>
      <w:r>
        <w:rPr>
          <w:rFonts w:cs="Arial" w:hint="cs"/>
          <w:rtl/>
        </w:rPr>
        <w:t>.</w:t>
      </w:r>
      <w:r w:rsidRPr="00822C96">
        <w:rPr>
          <w:rFonts w:cs="Arial"/>
          <w:rtl/>
        </w:rPr>
        <w:t xml:space="preserve"> </w:t>
      </w:r>
    </w:p>
    <w:p w14:paraId="01CD0D95" w14:textId="77777777" w:rsidR="002C39F4" w:rsidRPr="000A684F" w:rsidRDefault="002C39F4" w:rsidP="0032102C">
      <w:pPr>
        <w:pStyle w:val="a8"/>
        <w:numPr>
          <w:ilvl w:val="0"/>
          <w:numId w:val="140"/>
        </w:numPr>
        <w:rPr>
          <w:rFonts w:cs="Arial"/>
          <w:rtl/>
        </w:rPr>
      </w:pPr>
      <w:r>
        <w:rPr>
          <w:rFonts w:cs="Arial"/>
          <w:rtl/>
        </w:rPr>
        <w:t>רמב"ן</w:t>
      </w:r>
      <w:r>
        <w:rPr>
          <w:rFonts w:cs="Arial" w:hint="cs"/>
          <w:rtl/>
        </w:rPr>
        <w:t xml:space="preserve"> </w:t>
      </w:r>
      <w:r>
        <w:rPr>
          <w:rFonts w:cs="Arial"/>
          <w:sz w:val="16"/>
          <w:szCs w:val="16"/>
          <w:rtl/>
        </w:rPr>
        <w:t>(</w:t>
      </w:r>
      <w:r w:rsidRPr="00731318">
        <w:rPr>
          <w:rFonts w:cs="Arial"/>
          <w:sz w:val="16"/>
          <w:szCs w:val="16"/>
          <w:rtl/>
        </w:rPr>
        <w:t>צח. ד"ה כל איסורין שבתורה)</w:t>
      </w:r>
      <w:r w:rsidRPr="000A684F">
        <w:rPr>
          <w:rFonts w:cs="Arial"/>
          <w:rtl/>
        </w:rPr>
        <w:t xml:space="preserve"> </w:t>
      </w:r>
      <w:r>
        <w:rPr>
          <w:rFonts w:cs="Arial"/>
          <w:rtl/>
        </w:rPr>
        <w:t xml:space="preserve">רשב"א </w:t>
      </w:r>
      <w:r w:rsidRPr="000A684F">
        <w:rPr>
          <w:rFonts w:cs="Arial"/>
          <w:sz w:val="16"/>
          <w:szCs w:val="16"/>
          <w:rtl/>
        </w:rPr>
        <w:t>(תוה"א ב"ד ש"א טז.)</w:t>
      </w:r>
      <w:r w:rsidRPr="000A684F">
        <w:rPr>
          <w:rFonts w:cs="Arial" w:hint="cs"/>
          <w:sz w:val="16"/>
          <w:szCs w:val="16"/>
          <w:rtl/>
        </w:rPr>
        <w:t xml:space="preserve"> </w:t>
      </w:r>
      <w:r>
        <w:rPr>
          <w:rFonts w:cs="Arial" w:hint="cs"/>
          <w:rtl/>
        </w:rPr>
        <w:t>ו</w:t>
      </w:r>
      <w:r>
        <w:rPr>
          <w:rFonts w:cs="Arial"/>
          <w:rtl/>
        </w:rPr>
        <w:t xml:space="preserve">ר"ן </w:t>
      </w:r>
      <w:r w:rsidRPr="00731318">
        <w:rPr>
          <w:rFonts w:cs="Arial"/>
          <w:sz w:val="16"/>
          <w:szCs w:val="16"/>
          <w:rtl/>
        </w:rPr>
        <w:t>(לד. ד"ה ומין במינו)</w:t>
      </w:r>
      <w:r>
        <w:rPr>
          <w:rFonts w:cs="Arial" w:hint="cs"/>
          <w:rtl/>
        </w:rPr>
        <w:t xml:space="preserve">- </w:t>
      </w:r>
      <w:r w:rsidRPr="00822C96">
        <w:rPr>
          <w:rFonts w:cs="Arial"/>
          <w:rtl/>
        </w:rPr>
        <w:t>היכא שמכירין האיסור ולא נתערב ממנו אלא צירו וטעמו כיון שמן הדין לא היה לנו לשער אלא בטעמו אלא שאין אנו יודעים כמ</w:t>
      </w:r>
      <w:r>
        <w:rPr>
          <w:rFonts w:cs="Arial"/>
          <w:rtl/>
        </w:rPr>
        <w:t>ה הוא בהא סמכינן אקפילא אע</w:t>
      </w:r>
      <w:r>
        <w:rPr>
          <w:rFonts w:cs="Arial" w:hint="cs"/>
          <w:rtl/>
        </w:rPr>
        <w:t>"</w:t>
      </w:r>
      <w:r>
        <w:rPr>
          <w:rFonts w:cs="Arial"/>
          <w:rtl/>
        </w:rPr>
        <w:t>פ</w:t>
      </w:r>
      <w:r w:rsidRPr="00822C96">
        <w:rPr>
          <w:rFonts w:cs="Arial"/>
          <w:rtl/>
        </w:rPr>
        <w:t xml:space="preserve"> שאין ס' כנגד גוף האיסור</w:t>
      </w:r>
      <w:r>
        <w:rPr>
          <w:rFonts w:cs="Arial" w:hint="cs"/>
          <w:rtl/>
        </w:rPr>
        <w:t>,</w:t>
      </w:r>
      <w:r w:rsidRPr="00822C96">
        <w:rPr>
          <w:rFonts w:cs="Arial"/>
          <w:rtl/>
        </w:rPr>
        <w:t xml:space="preserve"> אבל בשגוף האיסור נתערב וצריכין לבטלו אז לא סמכינן אקפילא בבציר מס'</w:t>
      </w:r>
      <w:r>
        <w:rPr>
          <w:rStyle w:val="a7"/>
          <w:rFonts w:cs="Arial"/>
          <w:rtl/>
        </w:rPr>
        <w:footnoteReference w:id="1768"/>
      </w:r>
      <w:r>
        <w:rPr>
          <w:rFonts w:cs="Arial" w:hint="cs"/>
          <w:rtl/>
        </w:rPr>
        <w:t>,</w:t>
      </w:r>
      <w:r w:rsidRPr="00822C96">
        <w:rPr>
          <w:rFonts w:cs="Arial"/>
          <w:rtl/>
        </w:rPr>
        <w:t xml:space="preserve"> אבל בס' מיהא שרי וא"צ לחזור אחר קפילא כלל</w:t>
      </w:r>
      <w:r>
        <w:rPr>
          <w:rFonts w:cs="Arial" w:hint="cs"/>
          <w:sz w:val="16"/>
          <w:szCs w:val="16"/>
          <w:rtl/>
        </w:rPr>
        <w:t xml:space="preserve"> (ל' הטור בשם הרמב"ן)</w:t>
      </w:r>
      <w:r w:rsidRPr="00822C96">
        <w:rPr>
          <w:rFonts w:cs="Arial"/>
          <w:rtl/>
        </w:rPr>
        <w:t xml:space="preserve">. </w:t>
      </w:r>
    </w:p>
    <w:p w14:paraId="328ECFAB" w14:textId="77777777" w:rsidR="002C39F4" w:rsidRDefault="002C39F4" w:rsidP="0032102C">
      <w:pPr>
        <w:pStyle w:val="a8"/>
        <w:numPr>
          <w:ilvl w:val="0"/>
          <w:numId w:val="140"/>
        </w:numPr>
        <w:rPr>
          <w:rFonts w:cs="Arial"/>
        </w:rPr>
      </w:pPr>
      <w:r>
        <w:rPr>
          <w:rFonts w:cs="Arial"/>
          <w:rtl/>
        </w:rPr>
        <w:t>רמב"ם</w:t>
      </w:r>
      <w:r>
        <w:rPr>
          <w:rFonts w:cs="Arial" w:hint="cs"/>
          <w:rtl/>
        </w:rPr>
        <w:t xml:space="preserve"> </w:t>
      </w:r>
      <w:r w:rsidRPr="004F55AA">
        <w:rPr>
          <w:rFonts w:cs="Arial" w:hint="cs"/>
          <w:sz w:val="16"/>
          <w:szCs w:val="16"/>
          <w:rtl/>
        </w:rPr>
        <w:t>(</w:t>
      </w:r>
      <w:r w:rsidRPr="004F55AA">
        <w:rPr>
          <w:rFonts w:cs="Arial"/>
          <w:sz w:val="16"/>
          <w:szCs w:val="16"/>
          <w:rtl/>
        </w:rPr>
        <w:t>פט"ו הל</w:t>
      </w:r>
      <w:r w:rsidRPr="004F55AA">
        <w:rPr>
          <w:rFonts w:cs="Arial" w:hint="cs"/>
          <w:sz w:val="16"/>
          <w:szCs w:val="16"/>
          <w:rtl/>
        </w:rPr>
        <w:t xml:space="preserve">' </w:t>
      </w:r>
      <w:r w:rsidRPr="004F55AA">
        <w:rPr>
          <w:rFonts w:cs="Arial"/>
          <w:sz w:val="16"/>
          <w:szCs w:val="16"/>
          <w:rtl/>
        </w:rPr>
        <w:t>א-ו, יג, יז, כב</w:t>
      </w:r>
      <w:r w:rsidRPr="004F55AA">
        <w:rPr>
          <w:rFonts w:cs="Arial" w:hint="cs"/>
          <w:sz w:val="16"/>
          <w:szCs w:val="16"/>
          <w:rtl/>
        </w:rPr>
        <w:t>, כט-ל</w:t>
      </w:r>
      <w:r w:rsidRPr="004F55AA">
        <w:rPr>
          <w:rFonts w:cs="Arial"/>
          <w:sz w:val="16"/>
          <w:szCs w:val="16"/>
          <w:rtl/>
        </w:rPr>
        <w:t>)</w:t>
      </w:r>
      <w:r>
        <w:rPr>
          <w:rFonts w:cs="Arial" w:hint="cs"/>
          <w:rtl/>
        </w:rPr>
        <w:t xml:space="preserve">- </w:t>
      </w:r>
      <w:r>
        <w:rPr>
          <w:rFonts w:cs="Arial"/>
          <w:rtl/>
        </w:rPr>
        <w:t xml:space="preserve">כל מין בשאינו מינו דאפשר למיקם אטעמא לא שריא אלא ע"י קפילא </w:t>
      </w:r>
      <w:r>
        <w:rPr>
          <w:rFonts w:cs="Arial" w:hint="cs"/>
          <w:sz w:val="16"/>
          <w:szCs w:val="16"/>
          <w:rtl/>
        </w:rPr>
        <w:t>(</w:t>
      </w:r>
      <w:r w:rsidRPr="00AB655F">
        <w:rPr>
          <w:rFonts w:cs="Arial"/>
          <w:sz w:val="16"/>
          <w:szCs w:val="16"/>
          <w:rtl/>
        </w:rPr>
        <w:t>אי אמר דאית ביה טעמא אע</w:t>
      </w:r>
      <w:r w:rsidRPr="00AB655F">
        <w:rPr>
          <w:rFonts w:cs="Arial" w:hint="cs"/>
          <w:sz w:val="16"/>
          <w:szCs w:val="16"/>
          <w:rtl/>
        </w:rPr>
        <w:t>"</w:t>
      </w:r>
      <w:r w:rsidRPr="00AB655F">
        <w:rPr>
          <w:rFonts w:cs="Arial"/>
          <w:sz w:val="16"/>
          <w:szCs w:val="16"/>
          <w:rtl/>
        </w:rPr>
        <w:t>ג דאית ביה טפי מ</w:t>
      </w:r>
      <w:r w:rsidRPr="00AB655F">
        <w:rPr>
          <w:rFonts w:cs="Arial" w:hint="cs"/>
          <w:sz w:val="16"/>
          <w:szCs w:val="16"/>
          <w:rtl/>
        </w:rPr>
        <w:t>ס'</w:t>
      </w:r>
      <w:r w:rsidRPr="00AB655F">
        <w:rPr>
          <w:rFonts w:cs="Arial"/>
          <w:sz w:val="16"/>
          <w:szCs w:val="16"/>
          <w:rtl/>
        </w:rPr>
        <w:t xml:space="preserve"> אסור</w:t>
      </w:r>
      <w:r w:rsidRPr="00AB655F">
        <w:rPr>
          <w:rFonts w:cs="Arial" w:hint="cs"/>
          <w:sz w:val="16"/>
          <w:szCs w:val="16"/>
          <w:rtl/>
        </w:rPr>
        <w:t>,</w:t>
      </w:r>
      <w:r w:rsidRPr="00AB655F">
        <w:rPr>
          <w:rFonts w:cs="Arial"/>
          <w:sz w:val="16"/>
          <w:szCs w:val="16"/>
          <w:rtl/>
        </w:rPr>
        <w:t xml:space="preserve"> ואי אמר דלית ביה טעמא אע</w:t>
      </w:r>
      <w:r w:rsidRPr="00AB655F">
        <w:rPr>
          <w:rFonts w:cs="Arial" w:hint="cs"/>
          <w:sz w:val="16"/>
          <w:szCs w:val="16"/>
          <w:rtl/>
        </w:rPr>
        <w:t>"</w:t>
      </w:r>
      <w:r w:rsidRPr="00AB655F">
        <w:rPr>
          <w:rFonts w:cs="Arial"/>
          <w:sz w:val="16"/>
          <w:szCs w:val="16"/>
          <w:rtl/>
        </w:rPr>
        <w:t xml:space="preserve">פ שהוא פחות </w:t>
      </w:r>
      <w:r w:rsidRPr="00AB655F">
        <w:rPr>
          <w:rFonts w:cs="Arial" w:hint="cs"/>
          <w:sz w:val="16"/>
          <w:szCs w:val="16"/>
          <w:rtl/>
        </w:rPr>
        <w:t>מס'</w:t>
      </w:r>
      <w:r w:rsidRPr="00AB655F">
        <w:rPr>
          <w:rFonts w:cs="Arial"/>
          <w:sz w:val="16"/>
          <w:szCs w:val="16"/>
          <w:rtl/>
        </w:rPr>
        <w:t xml:space="preserve"> שרי</w:t>
      </w:r>
      <w:r w:rsidRPr="00AB655F">
        <w:rPr>
          <w:rFonts w:cs="Arial" w:hint="cs"/>
          <w:sz w:val="16"/>
          <w:szCs w:val="16"/>
          <w:rtl/>
        </w:rPr>
        <w:t>)</w:t>
      </w:r>
      <w:r>
        <w:rPr>
          <w:rFonts w:cs="Arial" w:hint="cs"/>
          <w:rtl/>
        </w:rPr>
        <w:t>,</w:t>
      </w:r>
      <w:r>
        <w:rPr>
          <w:rFonts w:cs="Arial"/>
          <w:rtl/>
        </w:rPr>
        <w:t xml:space="preserve"> ולא אמרו לשער ב</w:t>
      </w:r>
      <w:r>
        <w:rPr>
          <w:rFonts w:cs="Arial" w:hint="cs"/>
          <w:rtl/>
        </w:rPr>
        <w:t>ס'</w:t>
      </w:r>
      <w:r>
        <w:rPr>
          <w:rFonts w:cs="Arial"/>
          <w:rtl/>
        </w:rPr>
        <w:t xml:space="preserve"> אלא היכא דלא אפשר למיקם אטעמא </w:t>
      </w:r>
      <w:r>
        <w:rPr>
          <w:rFonts w:cs="Arial" w:hint="cs"/>
          <w:sz w:val="16"/>
          <w:szCs w:val="16"/>
          <w:rtl/>
        </w:rPr>
        <w:t>(</w:t>
      </w:r>
      <w:r w:rsidRPr="00AB655F">
        <w:rPr>
          <w:rFonts w:cs="Arial"/>
          <w:sz w:val="16"/>
          <w:szCs w:val="16"/>
          <w:rtl/>
        </w:rPr>
        <w:t>כגון שנתערב עם מינו לבד או עם מינו ושאינו מינו דלא אפשר למיקם אטעמא מפני מינו המעורב שם</w:t>
      </w:r>
      <w:r w:rsidRPr="00AB655F">
        <w:rPr>
          <w:rFonts w:cs="Arial" w:hint="cs"/>
          <w:sz w:val="16"/>
          <w:szCs w:val="16"/>
          <w:rtl/>
        </w:rPr>
        <w:t>)</w:t>
      </w:r>
      <w:r>
        <w:rPr>
          <w:rFonts w:cs="Arial"/>
          <w:rtl/>
        </w:rPr>
        <w:t xml:space="preserve"> או שנתערב עם שאינו מינו לבד ואין שם גוי לטועמו</w:t>
      </w:r>
      <w:r>
        <w:rPr>
          <w:rStyle w:val="a7"/>
          <w:rFonts w:cs="Arial"/>
          <w:rtl/>
        </w:rPr>
        <w:footnoteReference w:id="1769"/>
      </w:r>
      <w:r>
        <w:rPr>
          <w:rFonts w:cs="Arial" w:hint="cs"/>
          <w:sz w:val="16"/>
          <w:szCs w:val="16"/>
          <w:rtl/>
        </w:rPr>
        <w:t xml:space="preserve"> (ל' הב"י בהב' הרמב"ם)</w:t>
      </w:r>
      <w:r>
        <w:rPr>
          <w:rFonts w:cs="Arial" w:hint="cs"/>
          <w:rtl/>
        </w:rPr>
        <w:t>.</w:t>
      </w:r>
      <w:r w:rsidRPr="00781DFC">
        <w:rPr>
          <w:rFonts w:cs="Arial" w:hint="cs"/>
          <w:rtl/>
        </w:rPr>
        <w:t xml:space="preserve"> </w:t>
      </w:r>
      <w:r w:rsidRPr="002B4232">
        <w:rPr>
          <w:rFonts w:cs="Arial" w:hint="cs"/>
          <w:color w:val="E36C0A" w:themeColor="accent6" w:themeShade="BF"/>
          <w:rtl/>
        </w:rPr>
        <w:t>(וכ"פ בשו"ע)</w:t>
      </w:r>
    </w:p>
    <w:p w14:paraId="2BC191FD" w14:textId="77777777" w:rsidR="002C39F4" w:rsidRDefault="002C39F4" w:rsidP="0032102C">
      <w:pPr>
        <w:pStyle w:val="a8"/>
        <w:numPr>
          <w:ilvl w:val="0"/>
          <w:numId w:val="140"/>
        </w:numPr>
        <w:rPr>
          <w:rFonts w:cs="Arial"/>
        </w:rPr>
      </w:pPr>
      <w:r w:rsidRPr="00822C96">
        <w:rPr>
          <w:rFonts w:cs="Arial"/>
          <w:rtl/>
        </w:rPr>
        <w:t>ר"י</w:t>
      </w:r>
      <w:r>
        <w:rPr>
          <w:rFonts w:cs="Arial" w:hint="cs"/>
          <w:sz w:val="16"/>
          <w:szCs w:val="16"/>
          <w:rtl/>
        </w:rPr>
        <w:t xml:space="preserve"> (כ"כ הטור בשמו)</w:t>
      </w:r>
      <w:r>
        <w:rPr>
          <w:rFonts w:cs="Arial" w:hint="cs"/>
          <w:rtl/>
        </w:rPr>
        <w:t xml:space="preserve"> </w:t>
      </w:r>
      <w:r>
        <w:rPr>
          <w:rFonts w:cs="Arial"/>
          <w:rtl/>
        </w:rPr>
        <w:t xml:space="preserve">תוס' </w:t>
      </w:r>
      <w:r w:rsidRPr="00731318">
        <w:rPr>
          <w:rFonts w:cs="Arial"/>
          <w:sz w:val="16"/>
          <w:szCs w:val="16"/>
          <w:rtl/>
        </w:rPr>
        <w:t>(צט. ד"ה אלא במאי)</w:t>
      </w:r>
      <w:r w:rsidRPr="00731318">
        <w:rPr>
          <w:rFonts w:cs="Arial" w:hint="cs"/>
          <w:sz w:val="16"/>
          <w:szCs w:val="16"/>
          <w:rtl/>
        </w:rPr>
        <w:t xml:space="preserve"> </w:t>
      </w:r>
      <w:r>
        <w:rPr>
          <w:rFonts w:cs="Arial" w:hint="cs"/>
          <w:rtl/>
        </w:rPr>
        <w:t xml:space="preserve">ורא"ש </w:t>
      </w:r>
      <w:r w:rsidRPr="00731318">
        <w:rPr>
          <w:rFonts w:cs="Arial"/>
          <w:sz w:val="16"/>
          <w:szCs w:val="16"/>
          <w:rtl/>
        </w:rPr>
        <w:t>(פ"ז סי' כט)</w:t>
      </w:r>
      <w:r>
        <w:rPr>
          <w:rFonts w:cs="Arial" w:hint="cs"/>
          <w:rtl/>
        </w:rPr>
        <w:t>-</w:t>
      </w:r>
      <w:r>
        <w:rPr>
          <w:rFonts w:cs="Arial"/>
          <w:rtl/>
        </w:rPr>
        <w:t xml:space="preserve"> </w:t>
      </w:r>
      <w:r w:rsidRPr="00822C96">
        <w:rPr>
          <w:rFonts w:cs="Arial"/>
          <w:rtl/>
        </w:rPr>
        <w:t>בכל ענין סמכינן אקפילא אפי' בבציר מס'</w:t>
      </w:r>
      <w:r>
        <w:rPr>
          <w:rFonts w:cs="Arial" w:hint="cs"/>
          <w:rtl/>
        </w:rPr>
        <w:t>,</w:t>
      </w:r>
      <w:r w:rsidRPr="00822C96">
        <w:rPr>
          <w:rFonts w:cs="Arial"/>
          <w:rtl/>
        </w:rPr>
        <w:t xml:space="preserve"> ובס' א"צ קפילא כלל אפי' אם הוא לפנינו</w:t>
      </w:r>
      <w:r>
        <w:rPr>
          <w:rStyle w:val="a7"/>
          <w:rFonts w:cs="Arial"/>
          <w:rtl/>
        </w:rPr>
        <w:footnoteReference w:id="1770"/>
      </w:r>
      <w:r>
        <w:rPr>
          <w:rFonts w:cs="Arial" w:hint="cs"/>
          <w:sz w:val="16"/>
          <w:szCs w:val="16"/>
          <w:rtl/>
        </w:rPr>
        <w:t xml:space="preserve"> (ל' הטור בשם ר"י)</w:t>
      </w:r>
      <w:r>
        <w:rPr>
          <w:rFonts w:cs="Arial" w:hint="cs"/>
          <w:rtl/>
        </w:rPr>
        <w:t xml:space="preserve">. </w:t>
      </w:r>
    </w:p>
    <w:p w14:paraId="3C0A709A" w14:textId="77777777" w:rsidR="002C39F4" w:rsidRDefault="002C39F4" w:rsidP="0032102C">
      <w:pPr>
        <w:pStyle w:val="a8"/>
        <w:numPr>
          <w:ilvl w:val="0"/>
          <w:numId w:val="140"/>
        </w:numPr>
        <w:rPr>
          <w:rFonts w:cs="Arial"/>
        </w:rPr>
      </w:pPr>
      <w:r w:rsidRPr="002B4232">
        <w:rPr>
          <w:rFonts w:cs="Arial"/>
          <w:rtl/>
        </w:rPr>
        <w:t xml:space="preserve">אגור </w:t>
      </w:r>
      <w:r w:rsidRPr="002B4232">
        <w:rPr>
          <w:rFonts w:cs="Arial"/>
          <w:sz w:val="16"/>
          <w:szCs w:val="16"/>
          <w:rtl/>
        </w:rPr>
        <w:t>(סי' אלף רסג</w:t>
      </w:r>
      <w:r w:rsidRPr="002B4232">
        <w:rPr>
          <w:rFonts w:cs="Arial" w:hint="cs"/>
          <w:sz w:val="16"/>
          <w:szCs w:val="16"/>
          <w:rtl/>
        </w:rPr>
        <w:t>, הביאו הדרכ"מ אות א)</w:t>
      </w:r>
      <w:r>
        <w:rPr>
          <w:rFonts w:cs="Arial" w:hint="cs"/>
          <w:rtl/>
        </w:rPr>
        <w:t>-</w:t>
      </w:r>
      <w:r>
        <w:rPr>
          <w:rFonts w:cs="Arial"/>
          <w:rtl/>
        </w:rPr>
        <w:t xml:space="preserve"> </w:t>
      </w:r>
      <w:r w:rsidRPr="002B4232">
        <w:rPr>
          <w:rFonts w:cs="Arial"/>
          <w:rtl/>
        </w:rPr>
        <w:t>לא ראיתי ולא שמעתי בשום מדינה נוהגין שיהיו מטעימים קפילא אלא משערין הכל בששים</w:t>
      </w:r>
      <w:r>
        <w:rPr>
          <w:rStyle w:val="a7"/>
          <w:rFonts w:cs="Arial"/>
          <w:rtl/>
        </w:rPr>
        <w:footnoteReference w:id="1771"/>
      </w:r>
      <w:r>
        <w:rPr>
          <w:rFonts w:cs="Arial" w:hint="cs"/>
          <w:rtl/>
        </w:rPr>
        <w:t>.</w:t>
      </w:r>
      <w:r w:rsidRPr="002B4232">
        <w:rPr>
          <w:rFonts w:cs="Arial" w:hint="cs"/>
          <w:color w:val="00B0F0"/>
          <w:rtl/>
        </w:rPr>
        <w:t xml:space="preserve"> (וכ"פ הרמ"א)</w:t>
      </w:r>
      <w:r>
        <w:rPr>
          <w:rFonts w:cs="Arial" w:hint="cs"/>
          <w:rtl/>
        </w:rPr>
        <w:t xml:space="preserve"> (וכ"פ הט"ז</w:t>
      </w:r>
      <w:r w:rsidRPr="00FD17D0">
        <w:rPr>
          <w:rFonts w:cs="Arial" w:hint="cs"/>
          <w:sz w:val="16"/>
          <w:szCs w:val="16"/>
          <w:rtl/>
        </w:rPr>
        <w:t xml:space="preserve"> [סק"ב]</w:t>
      </w:r>
      <w:r>
        <w:rPr>
          <w:rFonts w:cs="Arial" w:hint="cs"/>
          <w:rtl/>
        </w:rPr>
        <w:t>)</w:t>
      </w:r>
    </w:p>
    <w:p w14:paraId="778E87AD" w14:textId="77777777" w:rsidR="002C39F4" w:rsidRPr="00EC67E7" w:rsidRDefault="002C39F4" w:rsidP="002C39F4">
      <w:pPr>
        <w:ind w:left="360"/>
        <w:rPr>
          <w:rFonts w:cs="Arial"/>
          <w:u w:val="dotted"/>
          <w:rtl/>
        </w:rPr>
      </w:pPr>
      <w:r w:rsidRPr="00EC67E7">
        <w:rPr>
          <w:rFonts w:cs="Arial" w:hint="cs"/>
          <w:u w:val="dotted"/>
          <w:rtl/>
        </w:rPr>
        <w:t xml:space="preserve">האם צריך דוקא </w:t>
      </w:r>
      <w:r w:rsidRPr="00644DDE">
        <w:rPr>
          <w:rFonts w:cs="Arial" w:hint="cs"/>
          <w:b/>
          <w:bCs/>
          <w:u w:val="dotted"/>
          <w:rtl/>
        </w:rPr>
        <w:t>טבח</w:t>
      </w:r>
      <w:r w:rsidRPr="00EC67E7">
        <w:rPr>
          <w:rFonts w:cs="Arial" w:hint="cs"/>
          <w:u w:val="dotted"/>
          <w:rtl/>
        </w:rPr>
        <w:t xml:space="preserve"> גוי או שמספיק </w:t>
      </w:r>
      <w:r w:rsidRPr="00644DDE">
        <w:rPr>
          <w:rFonts w:cs="Arial" w:hint="cs"/>
          <w:b/>
          <w:bCs/>
          <w:u w:val="dotted"/>
          <w:rtl/>
        </w:rPr>
        <w:t>סתם</w:t>
      </w:r>
      <w:r w:rsidRPr="00EC67E7">
        <w:rPr>
          <w:rFonts w:cs="Arial" w:hint="cs"/>
          <w:u w:val="dotted"/>
          <w:rtl/>
        </w:rPr>
        <w:t xml:space="preserve"> גוי: </w:t>
      </w:r>
    </w:p>
    <w:p w14:paraId="31F7FFD8" w14:textId="77777777" w:rsidR="002C39F4" w:rsidRPr="00822C96" w:rsidRDefault="002C39F4" w:rsidP="0032102C">
      <w:pPr>
        <w:pStyle w:val="a8"/>
        <w:numPr>
          <w:ilvl w:val="0"/>
          <w:numId w:val="140"/>
        </w:numPr>
        <w:rPr>
          <w:rFonts w:cs="Arial"/>
          <w:rtl/>
        </w:rPr>
      </w:pPr>
      <w:r>
        <w:rPr>
          <w:rFonts w:cs="Arial" w:hint="cs"/>
          <w:rtl/>
        </w:rPr>
        <w:t xml:space="preserve">רמב"ם </w:t>
      </w:r>
      <w:r w:rsidRPr="00EC67E7">
        <w:rPr>
          <w:rFonts w:cs="Arial" w:hint="cs"/>
          <w:sz w:val="16"/>
          <w:szCs w:val="16"/>
          <w:rtl/>
        </w:rPr>
        <w:t>(</w:t>
      </w:r>
      <w:r w:rsidRPr="00EC67E7">
        <w:rPr>
          <w:rFonts w:cs="Arial"/>
          <w:sz w:val="16"/>
          <w:szCs w:val="16"/>
          <w:rtl/>
        </w:rPr>
        <w:t>פט"ו</w:t>
      </w:r>
      <w:r w:rsidRPr="00EC67E7">
        <w:rPr>
          <w:rFonts w:cs="Arial" w:hint="cs"/>
          <w:sz w:val="16"/>
          <w:szCs w:val="16"/>
          <w:rtl/>
        </w:rPr>
        <w:t xml:space="preserve"> </w:t>
      </w:r>
      <w:r w:rsidRPr="00EC67E7">
        <w:rPr>
          <w:rFonts w:cs="Arial"/>
          <w:sz w:val="16"/>
          <w:szCs w:val="16"/>
          <w:rtl/>
        </w:rPr>
        <w:t>ה"ל)</w:t>
      </w:r>
      <w:r w:rsidRPr="00822C96">
        <w:rPr>
          <w:rFonts w:cs="Arial" w:hint="cs"/>
          <w:rtl/>
        </w:rPr>
        <w:t>-</w:t>
      </w:r>
      <w:r>
        <w:rPr>
          <w:rFonts w:cs="Arial" w:hint="cs"/>
          <w:rtl/>
        </w:rPr>
        <w:t xml:space="preserve"> </w:t>
      </w:r>
      <w:r>
        <w:rPr>
          <w:rFonts w:cs="Arial"/>
          <w:rtl/>
        </w:rPr>
        <w:t>אם היה בשר בחלב או יין נסך</w:t>
      </w:r>
      <w:r>
        <w:rPr>
          <w:rFonts w:cs="Arial" w:hint="cs"/>
          <w:rtl/>
        </w:rPr>
        <w:t>...</w:t>
      </w:r>
      <w:r>
        <w:rPr>
          <w:rFonts w:cs="Arial"/>
          <w:rtl/>
        </w:rPr>
        <w:t xml:space="preserve"> טועם אותם </w:t>
      </w:r>
      <w:r w:rsidRPr="00003B2B">
        <w:rPr>
          <w:rFonts w:cs="Arial"/>
          <w:b/>
          <w:bCs/>
          <w:rtl/>
        </w:rPr>
        <w:t>הגוי</w:t>
      </w:r>
      <w:r>
        <w:rPr>
          <w:rFonts w:cs="Arial"/>
          <w:rtl/>
        </w:rPr>
        <w:t xml:space="preserve"> וסומכין על </w:t>
      </w:r>
      <w:r>
        <w:rPr>
          <w:rFonts w:cs="Arial" w:hint="cs"/>
          <w:rtl/>
        </w:rPr>
        <w:t>פיו</w:t>
      </w:r>
      <w:r>
        <w:rPr>
          <w:rStyle w:val="a7"/>
          <w:rFonts w:cs="Arial"/>
          <w:rtl/>
        </w:rPr>
        <w:footnoteReference w:id="1772"/>
      </w:r>
      <w:r w:rsidRPr="00822C96">
        <w:rPr>
          <w:rFonts w:cs="Arial" w:hint="cs"/>
          <w:rtl/>
        </w:rPr>
        <w:t>.</w:t>
      </w:r>
      <w:r w:rsidRPr="002B4232">
        <w:rPr>
          <w:rFonts w:cs="Arial"/>
          <w:color w:val="E36C0A" w:themeColor="accent6" w:themeShade="BF"/>
          <w:rtl/>
        </w:rPr>
        <w:t xml:space="preserve"> </w:t>
      </w:r>
      <w:r w:rsidRPr="002B4232">
        <w:rPr>
          <w:rFonts w:cs="Arial" w:hint="cs"/>
          <w:color w:val="E36C0A" w:themeColor="accent6" w:themeShade="BF"/>
          <w:rtl/>
        </w:rPr>
        <w:t>(וכ"פ בשו"ע)</w:t>
      </w:r>
    </w:p>
    <w:p w14:paraId="121ECF06" w14:textId="77777777" w:rsidR="002C39F4" w:rsidRDefault="002C39F4" w:rsidP="0032102C">
      <w:pPr>
        <w:pStyle w:val="a8"/>
        <w:numPr>
          <w:ilvl w:val="0"/>
          <w:numId w:val="140"/>
        </w:numPr>
        <w:rPr>
          <w:rFonts w:cs="Arial"/>
        </w:rPr>
      </w:pPr>
      <w:r w:rsidRPr="00822C96">
        <w:rPr>
          <w:rFonts w:cs="Arial"/>
          <w:rtl/>
        </w:rPr>
        <w:t>רשב"א</w:t>
      </w:r>
      <w:r>
        <w:rPr>
          <w:rFonts w:cs="Arial" w:hint="cs"/>
          <w:rtl/>
        </w:rPr>
        <w:t xml:space="preserve"> </w:t>
      </w:r>
      <w:r w:rsidRPr="00EC67E7">
        <w:rPr>
          <w:rFonts w:cs="Arial" w:hint="cs"/>
          <w:sz w:val="16"/>
          <w:szCs w:val="16"/>
          <w:rtl/>
        </w:rPr>
        <w:t>(</w:t>
      </w:r>
      <w:r w:rsidRPr="00EC67E7">
        <w:rPr>
          <w:rFonts w:cs="Arial"/>
          <w:sz w:val="16"/>
          <w:szCs w:val="16"/>
          <w:rtl/>
        </w:rPr>
        <w:t>ת</w:t>
      </w:r>
      <w:r w:rsidRPr="00EC67E7">
        <w:rPr>
          <w:rFonts w:cs="Arial" w:hint="cs"/>
          <w:sz w:val="16"/>
          <w:szCs w:val="16"/>
          <w:rtl/>
        </w:rPr>
        <w:t>ו</w:t>
      </w:r>
      <w:r w:rsidRPr="00EC67E7">
        <w:rPr>
          <w:rFonts w:cs="Arial"/>
          <w:sz w:val="16"/>
          <w:szCs w:val="16"/>
          <w:rtl/>
        </w:rPr>
        <w:t>ה</w:t>
      </w:r>
      <w:r w:rsidRPr="00EC67E7">
        <w:rPr>
          <w:rFonts w:cs="Arial" w:hint="cs"/>
          <w:sz w:val="16"/>
          <w:szCs w:val="16"/>
          <w:rtl/>
        </w:rPr>
        <w:t>"</w:t>
      </w:r>
      <w:r w:rsidRPr="00EC67E7">
        <w:rPr>
          <w:rFonts w:cs="Arial"/>
          <w:sz w:val="16"/>
          <w:szCs w:val="16"/>
          <w:rtl/>
        </w:rPr>
        <w:t>א</w:t>
      </w:r>
      <w:r w:rsidRPr="00EC67E7">
        <w:rPr>
          <w:rFonts w:cs="Arial" w:hint="cs"/>
          <w:sz w:val="16"/>
          <w:szCs w:val="16"/>
          <w:rtl/>
        </w:rPr>
        <w:t xml:space="preserve"> </w:t>
      </w:r>
      <w:r w:rsidRPr="00EC67E7">
        <w:rPr>
          <w:rFonts w:cs="Arial"/>
          <w:sz w:val="16"/>
          <w:szCs w:val="16"/>
          <w:rtl/>
        </w:rPr>
        <w:t>ב"ד ש"א טז</w:t>
      </w:r>
      <w:r w:rsidRPr="00EC67E7">
        <w:rPr>
          <w:rFonts w:cs="Arial" w:hint="cs"/>
          <w:sz w:val="16"/>
          <w:szCs w:val="16"/>
          <w:rtl/>
        </w:rPr>
        <w:t>.</w:t>
      </w:r>
      <w:r w:rsidRPr="00EC67E7">
        <w:rPr>
          <w:rFonts w:cs="Arial"/>
          <w:sz w:val="16"/>
          <w:szCs w:val="16"/>
          <w:rtl/>
        </w:rPr>
        <w:t>)</w:t>
      </w:r>
      <w:r>
        <w:rPr>
          <w:rFonts w:cs="Arial" w:hint="cs"/>
          <w:rtl/>
        </w:rPr>
        <w:t xml:space="preserve">- </w:t>
      </w:r>
      <w:r>
        <w:rPr>
          <w:rStyle w:val="a7"/>
          <w:rFonts w:cs="Arial"/>
          <w:rtl/>
        </w:rPr>
        <w:footnoteReference w:id="1773"/>
      </w:r>
      <w:r>
        <w:rPr>
          <w:rFonts w:cs="Arial"/>
          <w:rtl/>
        </w:rPr>
        <w:t>לא אמרו קפילא ארמאה אלא משום דילמא גוי בעלמא משקר אבל קפילא לא מרע נפשיה</w:t>
      </w:r>
      <w:r>
        <w:rPr>
          <w:rFonts w:cs="Arial" w:hint="cs"/>
          <w:rtl/>
        </w:rPr>
        <w:t>,</w:t>
      </w:r>
      <w:r>
        <w:rPr>
          <w:rFonts w:cs="Arial"/>
          <w:rtl/>
        </w:rPr>
        <w:t xml:space="preserve"> וכיון שכן אי קפילא הוא אפילו יודע שלענין איסור והיתר שואלין אותו סומכין עליו</w:t>
      </w:r>
      <w:r>
        <w:rPr>
          <w:rFonts w:cs="Arial" w:hint="cs"/>
          <w:rtl/>
        </w:rPr>
        <w:t>,</w:t>
      </w:r>
      <w:r>
        <w:rPr>
          <w:rFonts w:cs="Arial"/>
          <w:rtl/>
        </w:rPr>
        <w:t xml:space="preserve"> ואי מסיח לפי תומו אפי</w:t>
      </w:r>
      <w:r>
        <w:rPr>
          <w:rFonts w:cs="Arial" w:hint="cs"/>
          <w:rtl/>
        </w:rPr>
        <w:t>'</w:t>
      </w:r>
      <w:r>
        <w:rPr>
          <w:rFonts w:cs="Arial"/>
          <w:rtl/>
        </w:rPr>
        <w:t xml:space="preserve"> שאר בנ</w:t>
      </w:r>
      <w:r>
        <w:rPr>
          <w:rFonts w:cs="Arial" w:hint="cs"/>
          <w:rtl/>
        </w:rPr>
        <w:t>"</w:t>
      </w:r>
      <w:r>
        <w:rPr>
          <w:rFonts w:cs="Arial"/>
          <w:rtl/>
        </w:rPr>
        <w:t>א נמי</w:t>
      </w:r>
      <w:r>
        <w:rPr>
          <w:rFonts w:cs="Arial" w:hint="cs"/>
          <w:rtl/>
        </w:rPr>
        <w:t>,</w:t>
      </w:r>
      <w:r>
        <w:rPr>
          <w:rFonts w:cs="Arial"/>
          <w:rtl/>
        </w:rPr>
        <w:t xml:space="preserve"> ויש מחמירין דלא סמכינן אלא אקפילא ובמסיח לפי תומו ויש לחוש לדבריהם</w:t>
      </w:r>
      <w:r>
        <w:rPr>
          <w:rStyle w:val="a7"/>
          <w:rFonts w:cs="Arial"/>
          <w:rtl/>
        </w:rPr>
        <w:footnoteReference w:id="1774"/>
      </w:r>
      <w:r>
        <w:rPr>
          <w:rFonts w:cs="Arial" w:hint="cs"/>
          <w:rtl/>
        </w:rPr>
        <w:t xml:space="preserve">. </w:t>
      </w:r>
    </w:p>
    <w:p w14:paraId="42F8CC95" w14:textId="77777777" w:rsidR="002C39F4" w:rsidRDefault="002C39F4" w:rsidP="0032102C">
      <w:pPr>
        <w:pStyle w:val="a8"/>
        <w:numPr>
          <w:ilvl w:val="0"/>
          <w:numId w:val="140"/>
        </w:numPr>
        <w:rPr>
          <w:rFonts w:cs="Arial"/>
        </w:rPr>
      </w:pPr>
      <w:r>
        <w:rPr>
          <w:rFonts w:cs="Arial" w:hint="cs"/>
          <w:rtl/>
        </w:rPr>
        <w:t>ר</w:t>
      </w:r>
      <w:r>
        <w:rPr>
          <w:rFonts w:cs="Arial"/>
          <w:rtl/>
        </w:rPr>
        <w:t xml:space="preserve">"ן </w:t>
      </w:r>
      <w:r w:rsidRPr="00EC67E7">
        <w:rPr>
          <w:rFonts w:cs="Arial"/>
          <w:sz w:val="16"/>
          <w:szCs w:val="16"/>
          <w:rtl/>
        </w:rPr>
        <w:t>(לד</w:t>
      </w:r>
      <w:r w:rsidRPr="00EC67E7">
        <w:rPr>
          <w:rFonts w:cs="Arial" w:hint="cs"/>
          <w:sz w:val="16"/>
          <w:szCs w:val="16"/>
          <w:rtl/>
        </w:rPr>
        <w:t>.</w:t>
      </w:r>
      <w:r w:rsidRPr="00EC67E7">
        <w:rPr>
          <w:rFonts w:cs="Arial"/>
          <w:sz w:val="16"/>
          <w:szCs w:val="16"/>
          <w:rtl/>
        </w:rPr>
        <w:t>)</w:t>
      </w:r>
      <w:r>
        <w:rPr>
          <w:rFonts w:cs="Arial" w:hint="cs"/>
          <w:rtl/>
        </w:rPr>
        <w:t xml:space="preserve">- </w:t>
      </w:r>
      <w:r>
        <w:rPr>
          <w:rFonts w:cs="Arial"/>
          <w:rtl/>
        </w:rPr>
        <w:t>מדאמרינן סמכינן אקפילא משמע דקפילא דוקא</w:t>
      </w:r>
      <w:r>
        <w:rPr>
          <w:rFonts w:cs="Arial" w:hint="cs"/>
          <w:rtl/>
        </w:rPr>
        <w:t>,</w:t>
      </w:r>
      <w:r>
        <w:rPr>
          <w:rFonts w:cs="Arial"/>
          <w:rtl/>
        </w:rPr>
        <w:t xml:space="preserve"> הא גוי דליתיה קפילא לא סמכינן עליה משום דגוי משקר אבל כל היכא דהוי קפילא לא מרע נפשיה</w:t>
      </w:r>
      <w:r>
        <w:rPr>
          <w:rStyle w:val="a7"/>
          <w:rFonts w:cs="Arial"/>
          <w:rtl/>
        </w:rPr>
        <w:footnoteReference w:id="1775"/>
      </w:r>
      <w:r>
        <w:rPr>
          <w:rFonts w:cs="Arial" w:hint="cs"/>
          <w:rtl/>
        </w:rPr>
        <w:t>.</w:t>
      </w:r>
    </w:p>
    <w:p w14:paraId="5DCD3AD5" w14:textId="77777777" w:rsidR="002C39F4" w:rsidRPr="00EC67E7" w:rsidRDefault="002C39F4" w:rsidP="002C39F4">
      <w:pPr>
        <w:ind w:left="360"/>
        <w:rPr>
          <w:rFonts w:cs="Arial"/>
          <w:u w:val="dotted"/>
        </w:rPr>
      </w:pPr>
      <w:r w:rsidRPr="00EC67E7">
        <w:rPr>
          <w:rFonts w:cs="Arial" w:hint="cs"/>
          <w:u w:val="dotted"/>
          <w:rtl/>
        </w:rPr>
        <w:t>האם סומכים על דברי ה</w:t>
      </w:r>
      <w:r>
        <w:rPr>
          <w:rFonts w:cs="Arial" w:hint="cs"/>
          <w:u w:val="dotted"/>
          <w:rtl/>
        </w:rPr>
        <w:t>גוי</w:t>
      </w:r>
      <w:r w:rsidRPr="00EC67E7">
        <w:rPr>
          <w:rFonts w:cs="Arial" w:hint="cs"/>
          <w:u w:val="dotted"/>
          <w:rtl/>
        </w:rPr>
        <w:t xml:space="preserve"> רק במסיח לפי תומו או גם כש</w:t>
      </w:r>
      <w:r>
        <w:rPr>
          <w:rFonts w:cs="Arial" w:hint="cs"/>
          <w:u w:val="dotted"/>
          <w:rtl/>
        </w:rPr>
        <w:t xml:space="preserve">הוא </w:t>
      </w:r>
      <w:r w:rsidRPr="00EC67E7">
        <w:rPr>
          <w:rFonts w:cs="Arial" w:hint="cs"/>
          <w:u w:val="dotted"/>
          <w:rtl/>
        </w:rPr>
        <w:t xml:space="preserve">יודע שסומכים על דבריו לאסור או להתיר: </w:t>
      </w:r>
    </w:p>
    <w:p w14:paraId="2556DAE4" w14:textId="77777777" w:rsidR="002C39F4" w:rsidRPr="00946BDD" w:rsidRDefault="002C39F4" w:rsidP="0032102C">
      <w:pPr>
        <w:pStyle w:val="a8"/>
        <w:numPr>
          <w:ilvl w:val="0"/>
          <w:numId w:val="140"/>
        </w:numPr>
        <w:rPr>
          <w:rFonts w:cs="Arial"/>
        </w:rPr>
      </w:pPr>
      <w:r>
        <w:rPr>
          <w:rFonts w:cs="Arial"/>
          <w:rtl/>
        </w:rPr>
        <w:t xml:space="preserve">תוס' </w:t>
      </w:r>
      <w:r>
        <w:rPr>
          <w:rFonts w:cs="Arial" w:hint="cs"/>
          <w:rtl/>
        </w:rPr>
        <w:t>רמב"ם ו</w:t>
      </w:r>
      <w:r>
        <w:rPr>
          <w:rFonts w:cs="Arial"/>
          <w:rtl/>
        </w:rPr>
        <w:t>ר"ן</w:t>
      </w:r>
      <w:r>
        <w:rPr>
          <w:rStyle w:val="a7"/>
          <w:rFonts w:cs="Arial"/>
          <w:rtl/>
        </w:rPr>
        <w:footnoteReference w:id="1776"/>
      </w:r>
      <w:r w:rsidRPr="00822C96">
        <w:rPr>
          <w:rFonts w:cs="Arial" w:hint="cs"/>
          <w:rtl/>
        </w:rPr>
        <w:t>-</w:t>
      </w:r>
      <w:r>
        <w:rPr>
          <w:rFonts w:cs="Arial" w:hint="cs"/>
          <w:rtl/>
        </w:rPr>
        <w:t xml:space="preserve"> </w:t>
      </w:r>
      <w:r w:rsidRPr="00822C96">
        <w:rPr>
          <w:rFonts w:cs="Arial"/>
          <w:rtl/>
        </w:rPr>
        <w:t>אומן נאמן אפי' יודע שסומכין עליו</w:t>
      </w:r>
      <w:r>
        <w:rPr>
          <w:rFonts w:cs="Arial" w:hint="cs"/>
          <w:rtl/>
        </w:rPr>
        <w:t>,</w:t>
      </w:r>
      <w:r w:rsidRPr="00822C96">
        <w:rPr>
          <w:rFonts w:cs="Arial"/>
          <w:rtl/>
        </w:rPr>
        <w:t xml:space="preserve"> שאינו מפסיד חזקתו</w:t>
      </w:r>
      <w:r>
        <w:rPr>
          <w:rStyle w:val="a7"/>
          <w:rFonts w:cs="Arial"/>
          <w:rtl/>
        </w:rPr>
        <w:footnoteReference w:id="1777"/>
      </w:r>
      <w:r w:rsidRPr="00822C96">
        <w:rPr>
          <w:rFonts w:cs="Arial" w:hint="cs"/>
          <w:rtl/>
        </w:rPr>
        <w:t>.</w:t>
      </w:r>
    </w:p>
    <w:p w14:paraId="10182AAF" w14:textId="77777777" w:rsidR="002C39F4" w:rsidRDefault="002C39F4" w:rsidP="0032102C">
      <w:pPr>
        <w:pStyle w:val="a8"/>
        <w:numPr>
          <w:ilvl w:val="0"/>
          <w:numId w:val="140"/>
        </w:numPr>
        <w:rPr>
          <w:rFonts w:cs="Arial"/>
        </w:rPr>
      </w:pPr>
      <w:r>
        <w:rPr>
          <w:rFonts w:cs="Arial" w:hint="cs"/>
          <w:rtl/>
        </w:rPr>
        <w:t xml:space="preserve">י"א </w:t>
      </w:r>
      <w:r w:rsidRPr="00360C80">
        <w:rPr>
          <w:rFonts w:cs="Arial" w:hint="cs"/>
          <w:sz w:val="16"/>
          <w:szCs w:val="16"/>
          <w:rtl/>
        </w:rPr>
        <w:t>(הביאו דבריהם הרשב"א והטור)</w:t>
      </w:r>
      <w:r>
        <w:rPr>
          <w:rFonts w:cs="Arial" w:hint="cs"/>
          <w:rtl/>
        </w:rPr>
        <w:t xml:space="preserve">- </w:t>
      </w:r>
      <w:r w:rsidRPr="00360C80">
        <w:rPr>
          <w:rFonts w:cs="Arial"/>
          <w:rtl/>
        </w:rPr>
        <w:t>אס</w:t>
      </w:r>
      <w:r>
        <w:rPr>
          <w:rFonts w:cs="Arial" w:hint="cs"/>
          <w:rtl/>
        </w:rPr>
        <w:t>ו</w:t>
      </w:r>
      <w:r w:rsidRPr="00360C80">
        <w:rPr>
          <w:rFonts w:cs="Arial"/>
          <w:rtl/>
        </w:rPr>
        <w:t>ר עד שיהא אומן ומסיח לפי תומו</w:t>
      </w:r>
      <w:r>
        <w:rPr>
          <w:rStyle w:val="a7"/>
          <w:rFonts w:cs="Arial"/>
          <w:rtl/>
        </w:rPr>
        <w:footnoteReference w:id="1778"/>
      </w:r>
      <w:r>
        <w:rPr>
          <w:rFonts w:cs="Arial" w:hint="cs"/>
          <w:rtl/>
        </w:rPr>
        <w:t>.</w:t>
      </w:r>
    </w:p>
    <w:p w14:paraId="0A2A247D" w14:textId="77777777" w:rsidR="002C39F4" w:rsidRDefault="002C39F4" w:rsidP="0032102C">
      <w:pPr>
        <w:pStyle w:val="a8"/>
        <w:numPr>
          <w:ilvl w:val="0"/>
          <w:numId w:val="140"/>
        </w:numPr>
        <w:rPr>
          <w:rFonts w:cs="Arial"/>
        </w:rPr>
      </w:pPr>
      <w:r w:rsidRPr="00822C96">
        <w:rPr>
          <w:rFonts w:cs="Arial"/>
          <w:rtl/>
        </w:rPr>
        <w:t>רא"ש</w:t>
      </w:r>
      <w:r>
        <w:rPr>
          <w:rFonts w:cs="Arial" w:hint="cs"/>
          <w:sz w:val="16"/>
          <w:szCs w:val="16"/>
          <w:rtl/>
        </w:rPr>
        <w:t xml:space="preserve"> </w:t>
      </w:r>
      <w:r w:rsidRPr="00E232BB">
        <w:rPr>
          <w:rFonts w:cs="Arial"/>
          <w:sz w:val="16"/>
          <w:szCs w:val="16"/>
          <w:rtl/>
        </w:rPr>
        <w:t>(פג</w:t>
      </w:r>
      <w:r w:rsidRPr="00E232BB">
        <w:rPr>
          <w:rFonts w:cs="Arial" w:hint="cs"/>
          <w:sz w:val="16"/>
          <w:szCs w:val="16"/>
          <w:rtl/>
        </w:rPr>
        <w:t>"</w:t>
      </w:r>
      <w:r w:rsidRPr="00E232BB">
        <w:rPr>
          <w:rFonts w:cs="Arial"/>
          <w:sz w:val="16"/>
          <w:szCs w:val="16"/>
          <w:rtl/>
        </w:rPr>
        <w:t>ה סי' כה)</w:t>
      </w:r>
      <w:r w:rsidRPr="00822C96">
        <w:rPr>
          <w:rFonts w:cs="Arial" w:hint="cs"/>
          <w:rtl/>
        </w:rPr>
        <w:t>-</w:t>
      </w:r>
      <w:r w:rsidRPr="00822C96">
        <w:rPr>
          <w:rFonts w:cs="Arial"/>
          <w:rtl/>
        </w:rPr>
        <w:t xml:space="preserve"> צריך שלא ידע שסומכין עליו בענין איסור והיתר</w:t>
      </w:r>
      <w:r>
        <w:rPr>
          <w:rStyle w:val="a7"/>
          <w:rFonts w:cs="Arial"/>
          <w:rtl/>
        </w:rPr>
        <w:footnoteReference w:id="1779"/>
      </w:r>
      <w:r w:rsidRPr="00822C96">
        <w:rPr>
          <w:rFonts w:cs="Arial"/>
          <w:rtl/>
        </w:rPr>
        <w:t xml:space="preserve">. </w:t>
      </w:r>
      <w:r>
        <w:rPr>
          <w:rFonts w:cs="Arial" w:hint="cs"/>
          <w:rtl/>
        </w:rPr>
        <w:t xml:space="preserve"> </w:t>
      </w:r>
    </w:p>
    <w:p w14:paraId="0DC689A2" w14:textId="77777777" w:rsidR="002C39F4" w:rsidRPr="000F7304" w:rsidRDefault="002C39F4" w:rsidP="0032102C">
      <w:pPr>
        <w:pStyle w:val="a8"/>
        <w:numPr>
          <w:ilvl w:val="1"/>
          <w:numId w:val="140"/>
        </w:numPr>
        <w:rPr>
          <w:rFonts w:cs="Arial"/>
          <w:rtl/>
        </w:rPr>
      </w:pPr>
      <w:r>
        <w:rPr>
          <w:rFonts w:cs="Arial" w:hint="cs"/>
          <w:rtl/>
        </w:rPr>
        <w:t xml:space="preserve">ב"י- </w:t>
      </w:r>
      <w:r w:rsidRPr="00EC67E7">
        <w:rPr>
          <w:rFonts w:cs="Arial"/>
          <w:rtl/>
        </w:rPr>
        <w:t>מאחר שהרמב"ם מיקל בדבר יש לסמוך על סברת התוספות והרשב"א והר"ן דלא מצרכי בקפילא שיהא מסיח לפי תומו</w:t>
      </w:r>
      <w:r w:rsidRPr="00EC67E7">
        <w:rPr>
          <w:rFonts w:cs="Arial" w:hint="cs"/>
          <w:rtl/>
        </w:rPr>
        <w:t>,</w:t>
      </w:r>
      <w:r w:rsidRPr="00EC67E7">
        <w:rPr>
          <w:rFonts w:cs="Arial"/>
          <w:rtl/>
        </w:rPr>
        <w:t xml:space="preserve"> ובנכרי דלאו קפילא סמכינן ארמב"ם והרשב"א דשרו ביה</w:t>
      </w:r>
      <w:r>
        <w:rPr>
          <w:rFonts w:cs="Arial" w:hint="cs"/>
          <w:rtl/>
        </w:rPr>
        <w:t>,</w:t>
      </w:r>
      <w:r w:rsidRPr="00EC67E7">
        <w:rPr>
          <w:rFonts w:cs="Arial"/>
          <w:rtl/>
        </w:rPr>
        <w:t xml:space="preserve"> והרא"ש לא אשכחן דפליג</w:t>
      </w:r>
      <w:r>
        <w:rPr>
          <w:rFonts w:cs="Arial" w:hint="cs"/>
          <w:rtl/>
        </w:rPr>
        <w:t>,</w:t>
      </w:r>
      <w:r w:rsidRPr="00EC67E7">
        <w:rPr>
          <w:rFonts w:cs="Arial"/>
          <w:rtl/>
        </w:rPr>
        <w:t xml:space="preserve"> ומיהו נראה שצריך שיהיה מסיח לפי תומו כיון דל</w:t>
      </w:r>
      <w:r>
        <w:rPr>
          <w:rFonts w:cs="Arial"/>
          <w:rtl/>
        </w:rPr>
        <w:t>או קפילא הוא</w:t>
      </w:r>
      <w:r>
        <w:rPr>
          <w:rFonts w:cs="Arial" w:hint="cs"/>
          <w:rtl/>
        </w:rPr>
        <w:t>.</w:t>
      </w:r>
    </w:p>
    <w:p w14:paraId="149AC48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0712244" w14:textId="77777777" w:rsidR="002C39F4" w:rsidRDefault="002C39F4" w:rsidP="002C39F4">
      <w:pPr>
        <w:rPr>
          <w:rFonts w:asciiTheme="minorBidi" w:hAnsiTheme="minorBidi"/>
          <w:rtl/>
        </w:rPr>
      </w:pPr>
      <w:r w:rsidRPr="003024E5">
        <w:rPr>
          <w:rFonts w:asciiTheme="minorBidi" w:hAnsiTheme="minorBidi"/>
          <w:rtl/>
        </w:rPr>
        <w:t>איס</w:t>
      </w:r>
      <w:r>
        <w:rPr>
          <w:rFonts w:asciiTheme="minorBidi" w:hAnsiTheme="minorBidi"/>
          <w:rtl/>
        </w:rPr>
        <w:t>ור שנתערב בהיתר מין בשאינו מינו</w:t>
      </w:r>
      <w:r>
        <w:rPr>
          <w:rFonts w:asciiTheme="minorBidi" w:hAnsiTheme="minorBidi" w:hint="cs"/>
          <w:rtl/>
        </w:rPr>
        <w:t>,</w:t>
      </w:r>
      <w:r>
        <w:rPr>
          <w:rFonts w:asciiTheme="minorBidi" w:hAnsiTheme="minorBidi"/>
          <w:rtl/>
        </w:rPr>
        <w:t xml:space="preserve"> כגון ח</w:t>
      </w:r>
      <w:r>
        <w:rPr>
          <w:rFonts w:asciiTheme="minorBidi" w:hAnsiTheme="minorBidi" w:hint="cs"/>
          <w:rtl/>
        </w:rPr>
        <w:t>ֵ</w:t>
      </w:r>
      <w:r>
        <w:rPr>
          <w:rFonts w:asciiTheme="minorBidi" w:hAnsiTheme="minorBidi"/>
          <w:rtl/>
        </w:rPr>
        <w:t>ל</w:t>
      </w:r>
      <w:r>
        <w:rPr>
          <w:rFonts w:asciiTheme="minorBidi" w:hAnsiTheme="minorBidi" w:hint="cs"/>
          <w:rtl/>
        </w:rPr>
        <w:t>ֶ</w:t>
      </w:r>
      <w:r>
        <w:rPr>
          <w:rFonts w:asciiTheme="minorBidi" w:hAnsiTheme="minorBidi"/>
          <w:rtl/>
        </w:rPr>
        <w:t>ב</w:t>
      </w:r>
      <w:r>
        <w:rPr>
          <w:rStyle w:val="a7"/>
          <w:rFonts w:asciiTheme="minorBidi" w:hAnsiTheme="minorBidi"/>
          <w:rtl/>
        </w:rPr>
        <w:footnoteReference w:id="1780"/>
      </w:r>
      <w:r>
        <w:rPr>
          <w:rFonts w:asciiTheme="minorBidi" w:hAnsiTheme="minorBidi"/>
          <w:rtl/>
        </w:rPr>
        <w:t xml:space="preserve"> שנתערב בבשר</w:t>
      </w:r>
      <w:r>
        <w:rPr>
          <w:rFonts w:asciiTheme="minorBidi" w:hAnsiTheme="minorBidi" w:hint="cs"/>
          <w:rtl/>
        </w:rPr>
        <w:t>,</w:t>
      </w:r>
      <w:r w:rsidRPr="003024E5">
        <w:rPr>
          <w:rFonts w:asciiTheme="minorBidi" w:hAnsiTheme="minorBidi"/>
          <w:rtl/>
        </w:rPr>
        <w:t xml:space="preserve"> יטעמנו </w:t>
      </w:r>
      <w:r>
        <w:rPr>
          <w:rFonts w:asciiTheme="minorBidi" w:hAnsiTheme="minorBidi" w:hint="cs"/>
          <w:rtl/>
        </w:rPr>
        <w:t>גוי</w:t>
      </w:r>
      <w:r w:rsidRPr="003024E5">
        <w:rPr>
          <w:rFonts w:asciiTheme="minorBidi" w:hAnsiTheme="minorBidi"/>
          <w:rtl/>
        </w:rPr>
        <w:t>, אם אומר שאין בו טעם חלב או שאומר שיש בו טעם אלא</w:t>
      </w:r>
      <w:r>
        <w:rPr>
          <w:rFonts w:asciiTheme="minorBidi" w:hAnsiTheme="minorBidi"/>
          <w:rtl/>
        </w:rPr>
        <w:t xml:space="preserve"> שהוא פגום, מותר</w:t>
      </w:r>
      <w:r>
        <w:rPr>
          <w:rStyle w:val="a7"/>
          <w:rFonts w:asciiTheme="minorBidi" w:hAnsiTheme="minorBidi"/>
          <w:rtl/>
        </w:rPr>
        <w:footnoteReference w:id="1781"/>
      </w:r>
      <w:r>
        <w:rPr>
          <w:rFonts w:asciiTheme="minorBidi" w:hAnsiTheme="minorBidi" w:hint="cs"/>
          <w:rtl/>
        </w:rPr>
        <w:t>,</w:t>
      </w:r>
      <w:r>
        <w:rPr>
          <w:rFonts w:asciiTheme="minorBidi" w:hAnsiTheme="minorBidi"/>
          <w:rtl/>
        </w:rPr>
        <w:t xml:space="preserve"> והוא שלא יהא סופו להשביח</w:t>
      </w:r>
      <w:r>
        <w:rPr>
          <w:rFonts w:asciiTheme="minorBidi" w:hAnsiTheme="minorBidi" w:hint="cs"/>
          <w:rtl/>
        </w:rPr>
        <w:t>,</w:t>
      </w:r>
      <w:r>
        <w:rPr>
          <w:rFonts w:asciiTheme="minorBidi" w:hAnsiTheme="minorBidi"/>
          <w:rtl/>
        </w:rPr>
        <w:t xml:space="preserve"> וצריך שלא ידע שסומכין עליו</w:t>
      </w:r>
      <w:r>
        <w:rPr>
          <w:rFonts w:asciiTheme="minorBidi" w:hAnsiTheme="minorBidi" w:hint="cs"/>
          <w:rtl/>
        </w:rPr>
        <w:t>.</w:t>
      </w:r>
      <w:r w:rsidRPr="003024E5">
        <w:rPr>
          <w:rFonts w:asciiTheme="minorBidi" w:hAnsiTheme="minorBidi"/>
          <w:rtl/>
        </w:rPr>
        <w:t xml:space="preserve"> ואם אין שם </w:t>
      </w:r>
      <w:r>
        <w:rPr>
          <w:rFonts w:asciiTheme="minorBidi" w:hAnsiTheme="minorBidi" w:hint="cs"/>
          <w:rtl/>
        </w:rPr>
        <w:t>גוי</w:t>
      </w:r>
      <w:r>
        <w:rPr>
          <w:rFonts w:asciiTheme="minorBidi" w:hAnsiTheme="minorBidi"/>
          <w:rtl/>
        </w:rPr>
        <w:t xml:space="preserve"> לטועמו</w:t>
      </w:r>
      <w:r>
        <w:rPr>
          <w:rStyle w:val="a7"/>
          <w:rFonts w:asciiTheme="minorBidi" w:hAnsiTheme="minorBidi"/>
          <w:rtl/>
        </w:rPr>
        <w:footnoteReference w:id="1782"/>
      </w:r>
      <w:r>
        <w:rPr>
          <w:rFonts w:asciiTheme="minorBidi" w:hAnsiTheme="minorBidi"/>
          <w:rtl/>
        </w:rPr>
        <w:t xml:space="preserve"> משערינן ב</w:t>
      </w:r>
      <w:r>
        <w:rPr>
          <w:rFonts w:asciiTheme="minorBidi" w:hAnsiTheme="minorBidi" w:hint="cs"/>
          <w:rtl/>
        </w:rPr>
        <w:t>ששים,</w:t>
      </w:r>
      <w:r>
        <w:rPr>
          <w:rFonts w:asciiTheme="minorBidi" w:hAnsiTheme="minorBidi"/>
          <w:rtl/>
        </w:rPr>
        <w:t xml:space="preserve"> וכן אם הוא מין במינו כיון דליכא למיקם אטעמא משערים ב</w:t>
      </w:r>
      <w:r>
        <w:rPr>
          <w:rFonts w:asciiTheme="minorBidi" w:hAnsiTheme="minorBidi" w:hint="cs"/>
          <w:rtl/>
        </w:rPr>
        <w:t>ששים</w:t>
      </w:r>
      <w:r>
        <w:rPr>
          <w:rFonts w:asciiTheme="minorBidi" w:hAnsiTheme="minorBidi"/>
          <w:rtl/>
        </w:rPr>
        <w:t xml:space="preserve">. </w:t>
      </w:r>
      <w:r w:rsidRPr="0088312C">
        <w:rPr>
          <w:rFonts w:asciiTheme="minorBidi" w:hAnsiTheme="minorBidi" w:hint="cs"/>
          <w:sz w:val="18"/>
          <w:szCs w:val="18"/>
          <w:rtl/>
        </w:rPr>
        <w:t xml:space="preserve">[הגה] </w:t>
      </w:r>
      <w:r w:rsidRPr="0088312C">
        <w:rPr>
          <w:rFonts w:asciiTheme="minorBidi" w:hAnsiTheme="minorBidi"/>
          <w:sz w:val="18"/>
          <w:szCs w:val="18"/>
          <w:rtl/>
        </w:rPr>
        <w:t>ואין נוהגים עכשיו</w:t>
      </w:r>
      <w:r>
        <w:rPr>
          <w:rFonts w:asciiTheme="minorBidi" w:hAnsiTheme="minorBidi"/>
          <w:sz w:val="18"/>
          <w:szCs w:val="18"/>
          <w:rtl/>
        </w:rPr>
        <w:t xml:space="preserve"> לסמוך על </w:t>
      </w:r>
      <w:r>
        <w:rPr>
          <w:rFonts w:asciiTheme="minorBidi" w:hAnsiTheme="minorBidi" w:hint="cs"/>
          <w:sz w:val="18"/>
          <w:szCs w:val="18"/>
          <w:rtl/>
        </w:rPr>
        <w:t>גוי</w:t>
      </w:r>
      <w:r>
        <w:rPr>
          <w:rStyle w:val="a7"/>
          <w:rFonts w:asciiTheme="minorBidi" w:hAnsiTheme="minorBidi"/>
          <w:sz w:val="18"/>
          <w:szCs w:val="18"/>
          <w:rtl/>
        </w:rPr>
        <w:footnoteReference w:id="1783"/>
      </w:r>
      <w:r>
        <w:rPr>
          <w:rFonts w:asciiTheme="minorBidi" w:hAnsiTheme="minorBidi"/>
          <w:sz w:val="18"/>
          <w:szCs w:val="18"/>
          <w:rtl/>
        </w:rPr>
        <w:t xml:space="preserve"> ומשערין הכל ב</w:t>
      </w:r>
      <w:r>
        <w:rPr>
          <w:rFonts w:asciiTheme="minorBidi" w:hAnsiTheme="minorBidi" w:hint="cs"/>
          <w:sz w:val="18"/>
          <w:szCs w:val="18"/>
          <w:rtl/>
        </w:rPr>
        <w:t>ששים</w:t>
      </w:r>
      <w:r>
        <w:rPr>
          <w:rFonts w:asciiTheme="minorBidi" w:hAnsiTheme="minorBidi"/>
          <w:sz w:val="18"/>
          <w:szCs w:val="18"/>
          <w:rtl/>
        </w:rPr>
        <w:t xml:space="preserve"> (באגור ותשו</w:t>
      </w:r>
      <w:r>
        <w:rPr>
          <w:rFonts w:asciiTheme="minorBidi" w:hAnsiTheme="minorBidi" w:hint="cs"/>
          <w:sz w:val="18"/>
          <w:szCs w:val="18"/>
          <w:rtl/>
        </w:rPr>
        <w:t>'</w:t>
      </w:r>
      <w:r>
        <w:rPr>
          <w:rFonts w:asciiTheme="minorBidi" w:hAnsiTheme="minorBidi"/>
          <w:sz w:val="18"/>
          <w:szCs w:val="18"/>
          <w:rtl/>
        </w:rPr>
        <w:t xml:space="preserve"> מהר"מ פדואה סי</w:t>
      </w:r>
      <w:r>
        <w:rPr>
          <w:rFonts w:asciiTheme="minorBidi" w:hAnsiTheme="minorBidi" w:hint="cs"/>
          <w:sz w:val="18"/>
          <w:szCs w:val="18"/>
          <w:rtl/>
        </w:rPr>
        <w:t>'</w:t>
      </w:r>
      <w:r w:rsidRPr="0088312C">
        <w:rPr>
          <w:rFonts w:asciiTheme="minorBidi" w:hAnsiTheme="minorBidi"/>
          <w:sz w:val="18"/>
          <w:szCs w:val="18"/>
          <w:rtl/>
        </w:rPr>
        <w:t xml:space="preserve"> ע"ט ושאר אחרונים).</w:t>
      </w:r>
    </w:p>
    <w:p w14:paraId="5F3C5448" w14:textId="77777777" w:rsidR="002C39F4" w:rsidRPr="00FB20D3" w:rsidRDefault="002C39F4" w:rsidP="002C39F4">
      <w:pPr>
        <w:rPr>
          <w:rFonts w:asciiTheme="minorBidi" w:hAnsiTheme="minorBidi" w:cs="Arial"/>
          <w:u w:val="single"/>
          <w:rtl/>
        </w:rPr>
      </w:pPr>
      <w:r w:rsidRPr="00FB20D3">
        <w:rPr>
          <w:rFonts w:asciiTheme="minorBidi" w:hAnsiTheme="minorBidi" w:cs="Arial" w:hint="cs"/>
          <w:u w:val="single"/>
          <w:rtl/>
        </w:rPr>
        <w:t>אדם קנה בשר מן הקצב ואינו יודע אם הבשר עבר מליחה - האם מותר לו לטעום אם הוא מלוח או לא:</w:t>
      </w:r>
    </w:p>
    <w:p w14:paraId="287A363C" w14:textId="77777777" w:rsidR="002C39F4" w:rsidRDefault="002C39F4" w:rsidP="0032102C">
      <w:pPr>
        <w:pStyle w:val="a8"/>
        <w:numPr>
          <w:ilvl w:val="0"/>
          <w:numId w:val="181"/>
        </w:numPr>
        <w:rPr>
          <w:rFonts w:asciiTheme="minorBidi" w:hAnsiTheme="minorBidi" w:cs="Arial"/>
        </w:rPr>
      </w:pPr>
      <w:r w:rsidRPr="00FB20D3">
        <w:rPr>
          <w:rFonts w:asciiTheme="minorBidi" w:hAnsiTheme="minorBidi" w:cs="Arial"/>
          <w:rtl/>
        </w:rPr>
        <w:t>דרישה</w:t>
      </w:r>
      <w:r>
        <w:rPr>
          <w:rFonts w:asciiTheme="minorBidi" w:hAnsiTheme="minorBidi" w:cs="Arial" w:hint="cs"/>
          <w:rtl/>
        </w:rPr>
        <w:t xml:space="preserve"> </w:t>
      </w:r>
      <w:r>
        <w:rPr>
          <w:rFonts w:asciiTheme="minorBidi" w:hAnsiTheme="minorBidi" w:cs="Arial" w:hint="cs"/>
          <w:sz w:val="16"/>
          <w:szCs w:val="16"/>
          <w:rtl/>
        </w:rPr>
        <w:t>(אות א)</w:t>
      </w:r>
      <w:r w:rsidRPr="00FB20D3">
        <w:rPr>
          <w:rFonts w:asciiTheme="minorBidi" w:hAnsiTheme="minorBidi" w:cs="Arial" w:hint="cs"/>
          <w:rtl/>
        </w:rPr>
        <w:t xml:space="preserve">- </w:t>
      </w:r>
      <w:r w:rsidRPr="00FB20D3">
        <w:rPr>
          <w:rFonts w:asciiTheme="minorBidi" w:hAnsiTheme="minorBidi" w:cs="Arial"/>
          <w:rtl/>
        </w:rPr>
        <w:t xml:space="preserve">מדאסר </w:t>
      </w:r>
      <w:r>
        <w:rPr>
          <w:rFonts w:asciiTheme="minorBidi" w:hAnsiTheme="minorBidi" w:cs="Arial" w:hint="cs"/>
          <w:sz w:val="16"/>
          <w:szCs w:val="16"/>
          <w:rtl/>
        </w:rPr>
        <w:t xml:space="preserve">{לעיל} </w:t>
      </w:r>
      <w:r w:rsidRPr="00FB20D3">
        <w:rPr>
          <w:rFonts w:asciiTheme="minorBidi" w:hAnsiTheme="minorBidi" w:cs="Arial"/>
          <w:rtl/>
        </w:rPr>
        <w:t>בישראל למטעם בו</w:t>
      </w:r>
      <w:r>
        <w:rPr>
          <w:rFonts w:asciiTheme="minorBidi" w:hAnsiTheme="minorBidi" w:cs="Arial" w:hint="cs"/>
          <w:rtl/>
        </w:rPr>
        <w:t>,</w:t>
      </w:r>
      <w:r w:rsidRPr="00FB20D3">
        <w:rPr>
          <w:rFonts w:asciiTheme="minorBidi" w:hAnsiTheme="minorBidi" w:cs="Arial"/>
          <w:rtl/>
        </w:rPr>
        <w:t xml:space="preserve"> יש ללמוד שפעמים שקונין בשר מן הקצב ואין ידוע אם מלוח הוא אם לא אסור לטעום בלשונו</w:t>
      </w:r>
      <w:r>
        <w:rPr>
          <w:rFonts w:asciiTheme="minorBidi" w:hAnsiTheme="minorBidi" w:cs="Arial" w:hint="cs"/>
          <w:rtl/>
        </w:rPr>
        <w:t>.</w:t>
      </w:r>
    </w:p>
    <w:p w14:paraId="737F5ABC" w14:textId="77777777" w:rsidR="002C39F4" w:rsidRPr="00FB20D3" w:rsidRDefault="002C39F4" w:rsidP="0032102C">
      <w:pPr>
        <w:pStyle w:val="a8"/>
        <w:numPr>
          <w:ilvl w:val="0"/>
          <w:numId w:val="181"/>
        </w:numPr>
        <w:rPr>
          <w:rFonts w:asciiTheme="minorBidi" w:hAnsiTheme="minorBidi" w:cs="Arial"/>
          <w:rtl/>
        </w:rPr>
      </w:pPr>
      <w:r w:rsidRPr="00FB20D3">
        <w:rPr>
          <w:rFonts w:asciiTheme="minorBidi" w:hAnsiTheme="minorBidi" w:cs="Arial" w:hint="cs"/>
          <w:rtl/>
        </w:rPr>
        <w:t xml:space="preserve">ט"ז </w:t>
      </w:r>
      <w:r w:rsidRPr="00FB20D3">
        <w:rPr>
          <w:rFonts w:asciiTheme="minorBidi" w:hAnsiTheme="minorBidi" w:cs="Arial" w:hint="cs"/>
          <w:sz w:val="16"/>
          <w:szCs w:val="16"/>
          <w:rtl/>
        </w:rPr>
        <w:t>(סק"ב)</w:t>
      </w:r>
      <w:r w:rsidRPr="00FB20D3">
        <w:rPr>
          <w:rFonts w:asciiTheme="minorBidi" w:hAnsiTheme="minorBidi" w:cs="Arial" w:hint="cs"/>
          <w:rtl/>
        </w:rPr>
        <w:t xml:space="preserve">- </w:t>
      </w:r>
      <w:r w:rsidRPr="00FB20D3">
        <w:rPr>
          <w:rFonts w:asciiTheme="minorBidi" w:hAnsiTheme="minorBidi" w:cs="Arial"/>
          <w:rtl/>
        </w:rPr>
        <w:t>בטעימ</w:t>
      </w:r>
      <w:r>
        <w:rPr>
          <w:rFonts w:asciiTheme="minorBidi" w:hAnsiTheme="minorBidi" w:cs="Arial" w:hint="cs"/>
          <w:rtl/>
        </w:rPr>
        <w:t>ה</w:t>
      </w:r>
      <w:r w:rsidRPr="00FB20D3">
        <w:rPr>
          <w:rFonts w:asciiTheme="minorBidi" w:hAnsiTheme="minorBidi" w:cs="Arial"/>
          <w:rtl/>
        </w:rPr>
        <w:t xml:space="preserve"> בלשון אין בו חשש איסור במקום ספק </w:t>
      </w:r>
      <w:r>
        <w:rPr>
          <w:rFonts w:asciiTheme="minorBidi" w:hAnsiTheme="minorBidi" w:cs="Arial" w:hint="cs"/>
          <w:rtl/>
        </w:rPr>
        <w:t>ובלבד שיהיה</w:t>
      </w:r>
      <w:r w:rsidRPr="00FB20D3">
        <w:rPr>
          <w:rFonts w:asciiTheme="minorBidi" w:hAnsiTheme="minorBidi" w:cs="Arial"/>
          <w:rtl/>
        </w:rPr>
        <w:t xml:space="preserve"> נקי שם מדם</w:t>
      </w:r>
      <w:r w:rsidRPr="00FB20D3">
        <w:rPr>
          <w:rFonts w:asciiTheme="minorBidi" w:hAnsiTheme="minorBidi" w:cs="Arial" w:hint="cs"/>
          <w:sz w:val="16"/>
          <w:szCs w:val="16"/>
          <w:rtl/>
        </w:rPr>
        <w:t xml:space="preserve"> (</w:t>
      </w:r>
      <w:r>
        <w:rPr>
          <w:rFonts w:asciiTheme="minorBidi" w:hAnsiTheme="minorBidi" w:cs="Arial" w:hint="cs"/>
          <w:sz w:val="16"/>
          <w:szCs w:val="16"/>
          <w:rtl/>
        </w:rPr>
        <w:t xml:space="preserve">כמו </w:t>
      </w:r>
      <w:r w:rsidRPr="00FB20D3">
        <w:rPr>
          <w:rFonts w:asciiTheme="minorBidi" w:hAnsiTheme="minorBidi" w:cs="Arial"/>
          <w:sz w:val="16"/>
          <w:szCs w:val="16"/>
          <w:rtl/>
        </w:rPr>
        <w:t xml:space="preserve">בסי' מב גבי מרה </w:t>
      </w:r>
      <w:r>
        <w:rPr>
          <w:rFonts w:asciiTheme="minorBidi" w:hAnsiTheme="minorBidi" w:cs="Arial" w:hint="cs"/>
          <w:sz w:val="16"/>
          <w:szCs w:val="16"/>
          <w:rtl/>
        </w:rPr>
        <w:t>ד</w:t>
      </w:r>
      <w:r w:rsidRPr="00FB20D3">
        <w:rPr>
          <w:rFonts w:asciiTheme="minorBidi" w:hAnsiTheme="minorBidi" w:cs="Arial"/>
          <w:sz w:val="16"/>
          <w:szCs w:val="16"/>
          <w:rtl/>
        </w:rPr>
        <w:t>כ' בהדיא דטועמו בלשונו</w:t>
      </w:r>
      <w:r>
        <w:rPr>
          <w:rFonts w:asciiTheme="minorBidi" w:hAnsiTheme="minorBidi" w:cs="Arial" w:hint="cs"/>
          <w:sz w:val="16"/>
          <w:szCs w:val="16"/>
          <w:rtl/>
        </w:rPr>
        <w:t>)</w:t>
      </w:r>
      <w:r>
        <w:rPr>
          <w:rFonts w:asciiTheme="minorBidi" w:hAnsiTheme="minorBidi" w:cs="Arial" w:hint="cs"/>
          <w:rtl/>
        </w:rPr>
        <w:t>,</w:t>
      </w:r>
      <w:r w:rsidRPr="00FB20D3">
        <w:rPr>
          <w:rFonts w:asciiTheme="minorBidi" w:hAnsiTheme="minorBidi" w:cs="Arial"/>
          <w:rtl/>
        </w:rPr>
        <w:t xml:space="preserve"> ושאני הכא דהיה צריך לטעום ע"י אכילה ממש כדי להרגיש אם יש שם טעם וע"כ צריך שיטעמנו</w:t>
      </w:r>
      <w:r>
        <w:rPr>
          <w:rFonts w:asciiTheme="minorBidi" w:hAnsiTheme="minorBidi" w:cs="Arial" w:hint="cs"/>
          <w:rtl/>
        </w:rPr>
        <w:t xml:space="preserve"> גוי</w:t>
      </w:r>
      <w:r w:rsidRPr="00FB20D3">
        <w:rPr>
          <w:rFonts w:asciiTheme="minorBidi" w:hAnsiTheme="minorBidi" w:cs="Arial"/>
          <w:rtl/>
        </w:rPr>
        <w:t>.</w:t>
      </w:r>
    </w:p>
    <w:p w14:paraId="77C8CE50" w14:textId="77777777" w:rsidR="002C39F4" w:rsidRPr="003024E5" w:rsidRDefault="002C39F4" w:rsidP="002C39F4">
      <w:pPr>
        <w:rPr>
          <w:rFonts w:asciiTheme="minorBidi" w:hAnsiTheme="minorBidi"/>
          <w:rtl/>
        </w:rPr>
      </w:pPr>
    </w:p>
    <w:p w14:paraId="6D9FC22E"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w:t>
      </w:r>
      <w:r w:rsidRPr="00C75C47">
        <w:rPr>
          <w:rFonts w:asciiTheme="minorBidi" w:hAnsiTheme="minorBidi" w:hint="cs"/>
          <w:rtl/>
        </w:rPr>
        <w:t xml:space="preserve"> </w:t>
      </w:r>
      <w:r>
        <w:rPr>
          <w:rFonts w:asciiTheme="minorBidi" w:hAnsiTheme="minorBidi" w:hint="cs"/>
          <w:rtl/>
        </w:rPr>
        <w:t>מין במינו.</w:t>
      </w:r>
    </w:p>
    <w:p w14:paraId="24E946F0" w14:textId="77777777" w:rsidR="002C39F4" w:rsidRPr="00EC649B" w:rsidRDefault="002C39F4" w:rsidP="002C39F4">
      <w:pPr>
        <w:rPr>
          <w:rFonts w:cs="Arial"/>
          <w:rtl/>
        </w:rPr>
      </w:pPr>
      <w:r>
        <w:rPr>
          <w:rFonts w:cs="Arial" w:hint="cs"/>
          <w:b/>
          <w:bCs/>
          <w:rtl/>
        </w:rPr>
        <w:t xml:space="preserve">חולין קח ע"ב: </w:t>
      </w:r>
      <w:r w:rsidRPr="00350C52">
        <w:rPr>
          <w:rFonts w:cs="Arial"/>
          <w:rtl/>
        </w:rPr>
        <w:t>תניא: טפת חלב שנפלה ע</w:t>
      </w:r>
      <w:r>
        <w:rPr>
          <w:rFonts w:cs="Arial"/>
          <w:rtl/>
        </w:rPr>
        <w:t>ל החתיכה, כיון שנתנה טעם בחתיכה החתיכה עצמה נעשת נבלה</w:t>
      </w:r>
      <w:r w:rsidRPr="00350C52">
        <w:rPr>
          <w:rFonts w:cs="Arial"/>
          <w:rtl/>
        </w:rPr>
        <w:t xml:space="preserve"> ואוסר</w:t>
      </w:r>
      <w:r>
        <w:rPr>
          <w:rFonts w:cs="Arial"/>
          <w:rtl/>
        </w:rPr>
        <w:t>ת כל החתיכות כולן מפני שהן מינה</w:t>
      </w:r>
      <w:r w:rsidRPr="00350C52">
        <w:rPr>
          <w:rFonts w:cs="Arial"/>
          <w:rtl/>
        </w:rPr>
        <w:t xml:space="preserve"> </w:t>
      </w:r>
      <w:r w:rsidRPr="00350C52">
        <w:rPr>
          <w:rFonts w:cs="Arial"/>
          <w:u w:val="single"/>
          <w:rtl/>
        </w:rPr>
        <w:t>דברי ר' יהודה</w:t>
      </w:r>
      <w:r w:rsidRPr="00350C52">
        <w:rPr>
          <w:rFonts w:cs="Arial"/>
          <w:rtl/>
        </w:rPr>
        <w:t xml:space="preserve">, </w:t>
      </w:r>
      <w:r w:rsidRPr="00350C52">
        <w:rPr>
          <w:rFonts w:cs="Arial"/>
          <w:u w:val="single"/>
          <w:rtl/>
        </w:rPr>
        <w:t>וחכ"א</w:t>
      </w:r>
      <w:r w:rsidRPr="00350C52">
        <w:rPr>
          <w:rFonts w:cs="Arial"/>
          <w:rtl/>
        </w:rPr>
        <w:t>: עד שתתן טעם ברוטב ובקיפה ובחתיכות</w:t>
      </w:r>
      <w:r>
        <w:rPr>
          <w:rFonts w:cs="Arial" w:hint="cs"/>
          <w:rtl/>
        </w:rPr>
        <w:t>...</w:t>
      </w:r>
      <w:r w:rsidRPr="00350C52">
        <w:rPr>
          <w:rFonts w:cs="Arial"/>
          <w:rtl/>
        </w:rPr>
        <w:t xml:space="preserve"> והכא במין במינו קא מיפלגי, ורבי יהודה לטעמיה דאמר מין במינו לא בטיל, ורבנן לטעמייהו דאמר</w:t>
      </w:r>
      <w:r>
        <w:rPr>
          <w:rFonts w:cs="Arial"/>
          <w:rtl/>
        </w:rPr>
        <w:t>י מין במינו בטיל</w:t>
      </w:r>
      <w:r>
        <w:rPr>
          <w:rFonts w:cs="Arial" w:hint="cs"/>
          <w:rtl/>
        </w:rPr>
        <w:t>...</w:t>
      </w:r>
    </w:p>
    <w:p w14:paraId="24533224" w14:textId="77777777" w:rsidR="002C39F4" w:rsidRPr="0094056C" w:rsidRDefault="002C39F4" w:rsidP="002C39F4">
      <w:pPr>
        <w:rPr>
          <w:u w:val="single"/>
          <w:rtl/>
        </w:rPr>
      </w:pPr>
      <w:r>
        <w:rPr>
          <w:rFonts w:hint="cs"/>
          <w:u w:val="single"/>
          <w:rtl/>
        </w:rPr>
        <w:t xml:space="preserve">נתערב </w:t>
      </w:r>
      <w:r w:rsidRPr="0094056C">
        <w:rPr>
          <w:rFonts w:hint="cs"/>
          <w:u w:val="single"/>
          <w:rtl/>
        </w:rPr>
        <w:t xml:space="preserve">מין </w:t>
      </w:r>
      <w:r w:rsidRPr="005B5CA5">
        <w:rPr>
          <w:rFonts w:hint="cs"/>
          <w:b/>
          <w:bCs/>
          <w:u w:val="single"/>
          <w:rtl/>
        </w:rPr>
        <w:t>במינו</w:t>
      </w:r>
      <w:r>
        <w:rPr>
          <w:rFonts w:hint="cs"/>
          <w:u w:val="single"/>
          <w:rtl/>
        </w:rPr>
        <w:t xml:space="preserve"> </w:t>
      </w:r>
      <w:r>
        <w:rPr>
          <w:u w:val="single"/>
          <w:rtl/>
        </w:rPr>
        <w:t>–</w:t>
      </w:r>
      <w:r>
        <w:rPr>
          <w:rFonts w:hint="cs"/>
          <w:u w:val="single"/>
          <w:rtl/>
        </w:rPr>
        <w:t xml:space="preserve"> כיצד ביטולו</w:t>
      </w:r>
      <w:r w:rsidRPr="0094056C">
        <w:rPr>
          <w:rFonts w:hint="cs"/>
          <w:u w:val="single"/>
          <w:rtl/>
        </w:rPr>
        <w:t>:</w:t>
      </w:r>
    </w:p>
    <w:p w14:paraId="26B75776" w14:textId="77777777" w:rsidR="002C39F4" w:rsidRPr="00963DFD" w:rsidRDefault="002C39F4" w:rsidP="0032102C">
      <w:pPr>
        <w:pStyle w:val="a8"/>
        <w:numPr>
          <w:ilvl w:val="0"/>
          <w:numId w:val="178"/>
        </w:numPr>
        <w:rPr>
          <w:rFonts w:cs="Arial"/>
        </w:rPr>
      </w:pPr>
      <w:r w:rsidRPr="00A2317E">
        <w:rPr>
          <w:rFonts w:cs="Arial"/>
          <w:rtl/>
        </w:rPr>
        <w:t xml:space="preserve">רש"י </w:t>
      </w:r>
      <w:r w:rsidRPr="00A2317E">
        <w:rPr>
          <w:rFonts w:cs="Arial"/>
          <w:sz w:val="16"/>
          <w:szCs w:val="16"/>
          <w:rtl/>
        </w:rPr>
        <w:t>(</w:t>
      </w:r>
      <w:r w:rsidRPr="00A2317E">
        <w:rPr>
          <w:rFonts w:cs="Arial" w:hint="cs"/>
          <w:sz w:val="16"/>
          <w:szCs w:val="16"/>
          <w:rtl/>
        </w:rPr>
        <w:t xml:space="preserve">חולין קט. </w:t>
      </w:r>
      <w:r w:rsidRPr="00A2317E">
        <w:rPr>
          <w:rFonts w:cs="Arial"/>
          <w:sz w:val="16"/>
          <w:szCs w:val="16"/>
          <w:rtl/>
        </w:rPr>
        <w:t>ד"ה ותו לא מידי)</w:t>
      </w:r>
      <w:r>
        <w:rPr>
          <w:rFonts w:cs="Arial" w:hint="cs"/>
          <w:rtl/>
        </w:rPr>
        <w:t xml:space="preserve">- </w:t>
      </w:r>
      <w:r w:rsidRPr="00A2317E">
        <w:rPr>
          <w:rFonts w:cs="Arial"/>
          <w:rtl/>
        </w:rPr>
        <w:t>מין במינו לא בטיל</w:t>
      </w:r>
      <w:r>
        <w:rPr>
          <w:rFonts w:cs="Arial" w:hint="cs"/>
          <w:rtl/>
        </w:rPr>
        <w:t xml:space="preserve"> אפי' באלף, כר' יהודה</w:t>
      </w:r>
      <w:r>
        <w:rPr>
          <w:rStyle w:val="a7"/>
          <w:rFonts w:cs="Arial"/>
          <w:rtl/>
        </w:rPr>
        <w:footnoteReference w:id="1784"/>
      </w:r>
      <w:r w:rsidRPr="00A2317E">
        <w:rPr>
          <w:rFonts w:cs="Arial" w:hint="cs"/>
          <w:rtl/>
        </w:rPr>
        <w:t>.</w:t>
      </w:r>
      <w:r w:rsidRPr="00A2317E">
        <w:rPr>
          <w:rFonts w:cs="Arial"/>
          <w:rtl/>
        </w:rPr>
        <w:t xml:space="preserve"> </w:t>
      </w:r>
    </w:p>
    <w:p w14:paraId="62A30F2D" w14:textId="77777777" w:rsidR="002C39F4" w:rsidRDefault="002C39F4" w:rsidP="0032102C">
      <w:pPr>
        <w:pStyle w:val="a8"/>
        <w:numPr>
          <w:ilvl w:val="0"/>
          <w:numId w:val="178"/>
        </w:numPr>
        <w:rPr>
          <w:rFonts w:cs="Arial"/>
        </w:rPr>
      </w:pPr>
      <w:r w:rsidRPr="005D25EC">
        <w:rPr>
          <w:rFonts w:cs="Arial"/>
          <w:rtl/>
        </w:rPr>
        <w:t>ר"ת</w:t>
      </w:r>
      <w:r>
        <w:rPr>
          <w:rFonts w:cs="Arial" w:hint="cs"/>
          <w:rtl/>
        </w:rPr>
        <w:t xml:space="preserve"> </w:t>
      </w:r>
      <w:r w:rsidRPr="00A2317E">
        <w:rPr>
          <w:rFonts w:cs="Arial"/>
          <w:rtl/>
        </w:rPr>
        <w:t>תוס'</w:t>
      </w:r>
      <w:r>
        <w:rPr>
          <w:rFonts w:cs="Arial" w:hint="cs"/>
          <w:rtl/>
        </w:rPr>
        <w:t xml:space="preserve"> רא"ש ור"ן</w:t>
      </w:r>
      <w:r>
        <w:rPr>
          <w:rStyle w:val="a7"/>
          <w:rFonts w:cs="Arial"/>
          <w:rtl/>
        </w:rPr>
        <w:footnoteReference w:id="1785"/>
      </w:r>
      <w:r>
        <w:rPr>
          <w:rFonts w:cs="Arial" w:hint="cs"/>
          <w:rtl/>
        </w:rPr>
        <w:t>-</w:t>
      </w:r>
      <w:r w:rsidRPr="005D25EC">
        <w:rPr>
          <w:rFonts w:cs="Arial"/>
          <w:rtl/>
        </w:rPr>
        <w:t xml:space="preserve"> מין במינו כיון שאינו נותן בו טעם</w:t>
      </w:r>
      <w:r>
        <w:rPr>
          <w:rFonts w:cs="Arial" w:hint="cs"/>
          <w:rtl/>
        </w:rPr>
        <w:t xml:space="preserve"> </w:t>
      </w:r>
      <w:r w:rsidRPr="005D25EC">
        <w:rPr>
          <w:rFonts w:cs="Arial" w:hint="cs"/>
          <w:rtl/>
        </w:rPr>
        <w:t>-</w:t>
      </w:r>
      <w:r w:rsidRPr="005D25EC">
        <w:rPr>
          <w:rFonts w:cs="Arial"/>
          <w:rtl/>
        </w:rPr>
        <w:t xml:space="preserve"> מ</w:t>
      </w:r>
      <w:r>
        <w:rPr>
          <w:rFonts w:cs="Arial" w:hint="cs"/>
          <w:rtl/>
        </w:rPr>
        <w:t>ן התורה</w:t>
      </w:r>
      <w:r w:rsidRPr="005D25EC">
        <w:rPr>
          <w:rFonts w:cs="Arial"/>
          <w:rtl/>
        </w:rPr>
        <w:t xml:space="preserve"> בטל ברוב</w:t>
      </w:r>
      <w:r>
        <w:rPr>
          <w:rStyle w:val="a7"/>
          <w:rFonts w:cs="Arial"/>
          <w:rtl/>
        </w:rPr>
        <w:footnoteReference w:id="1786"/>
      </w:r>
      <w:r w:rsidRPr="005D25EC">
        <w:rPr>
          <w:rFonts w:cs="Arial"/>
          <w:rtl/>
        </w:rPr>
        <w:t xml:space="preserve"> אלא שחכמים הצריכו ס'</w:t>
      </w:r>
      <w:r>
        <w:rPr>
          <w:rStyle w:val="a7"/>
          <w:rFonts w:cs="Arial"/>
          <w:rtl/>
        </w:rPr>
        <w:footnoteReference w:id="1787"/>
      </w:r>
      <w:r w:rsidRPr="005D25EC">
        <w:rPr>
          <w:rFonts w:cs="Arial" w:hint="cs"/>
          <w:rtl/>
        </w:rPr>
        <w:t>.</w:t>
      </w:r>
      <w:r>
        <w:rPr>
          <w:rFonts w:cs="Arial" w:hint="cs"/>
          <w:rtl/>
        </w:rPr>
        <w:t xml:space="preserve"> </w:t>
      </w:r>
      <w:r w:rsidRPr="00A2317E">
        <w:rPr>
          <w:rFonts w:cs="Arial" w:hint="cs"/>
          <w:color w:val="E36C0A" w:themeColor="accent6" w:themeShade="BF"/>
          <w:rtl/>
        </w:rPr>
        <w:t>(וכ"פ בשו"ע)</w:t>
      </w:r>
    </w:p>
    <w:p w14:paraId="248A0BDD" w14:textId="77777777" w:rsidR="002C39F4" w:rsidRDefault="002C39F4" w:rsidP="002C39F4">
      <w:pPr>
        <w:rPr>
          <w:rFonts w:cs="Arial"/>
          <w:rtl/>
        </w:rPr>
      </w:pPr>
      <w:r>
        <w:rPr>
          <w:rFonts w:cs="Arial" w:hint="cs"/>
          <w:b/>
          <w:bCs/>
          <w:rtl/>
        </w:rPr>
        <w:t xml:space="preserve">עבודה זרה סז ע"א: </w:t>
      </w:r>
      <w:r w:rsidRPr="00EC649B">
        <w:rPr>
          <w:rFonts w:cs="Arial"/>
          <w:u w:val="single"/>
          <w:rtl/>
        </w:rPr>
        <w:t>אמר ר' אבהו אמר רבי יוחנן</w:t>
      </w:r>
      <w:r w:rsidRPr="00EC649B">
        <w:rPr>
          <w:rFonts w:cs="Arial"/>
          <w:rtl/>
        </w:rPr>
        <w:t>: כל שטעמו ומ</w:t>
      </w:r>
      <w:r>
        <w:rPr>
          <w:rFonts w:cs="Arial"/>
          <w:rtl/>
        </w:rPr>
        <w:t>משו</w:t>
      </w:r>
      <w:r>
        <w:rPr>
          <w:rFonts w:cs="Arial" w:hint="cs"/>
          <w:rtl/>
        </w:rPr>
        <w:t xml:space="preserve"> </w:t>
      </w:r>
      <w:r>
        <w:rPr>
          <w:rFonts w:cs="Arial"/>
          <w:rtl/>
        </w:rPr>
        <w:t>- אסור ולוקין</w:t>
      </w:r>
      <w:r>
        <w:rPr>
          <w:rFonts w:cs="Arial" w:hint="cs"/>
          <w:rtl/>
        </w:rPr>
        <w:t xml:space="preserve"> </w:t>
      </w:r>
      <w:r w:rsidRPr="00EC649B">
        <w:rPr>
          <w:rFonts w:cs="Arial"/>
          <w:rtl/>
        </w:rPr>
        <w:t>עליו, וזהו כזית בכדי אכילת פרס, טעמו ולא ממשו - אסור ואין לוקין עליו</w:t>
      </w:r>
      <w:r>
        <w:rPr>
          <w:rFonts w:cs="Arial" w:hint="cs"/>
          <w:rtl/>
        </w:rPr>
        <w:t xml:space="preserve">... </w:t>
      </w:r>
    </w:p>
    <w:p w14:paraId="5EF5E0F2" w14:textId="77777777" w:rsidR="002C39F4" w:rsidRDefault="002C39F4" w:rsidP="002C39F4">
      <w:pPr>
        <w:rPr>
          <w:rFonts w:cs="Arial"/>
          <w:rtl/>
        </w:rPr>
      </w:pPr>
      <w:r>
        <w:rPr>
          <w:rFonts w:cs="Arial" w:hint="cs"/>
          <w:b/>
          <w:bCs/>
          <w:rtl/>
        </w:rPr>
        <w:t xml:space="preserve">עבודה זרה עג ע"ב: </w:t>
      </w:r>
      <w:r w:rsidRPr="00684C04">
        <w:rPr>
          <w:rFonts w:cs="Arial"/>
          <w:rtl/>
        </w:rPr>
        <w:t xml:space="preserve">זה הכלל: מין במינו - במשהו, שלא במינו - בנותן טעם. </w:t>
      </w:r>
      <w:r w:rsidRPr="00684C04">
        <w:rPr>
          <w:rFonts w:cs="Arial"/>
          <w:u w:val="single"/>
          <w:rtl/>
        </w:rPr>
        <w:t>רב ושמואל דאמרי תרוייהו</w:t>
      </w:r>
      <w:r w:rsidRPr="00684C04">
        <w:rPr>
          <w:rFonts w:cs="Arial"/>
          <w:rtl/>
        </w:rPr>
        <w:t xml:space="preserve">: כל איסורין </w:t>
      </w:r>
      <w:r>
        <w:rPr>
          <w:rFonts w:cs="Arial"/>
          <w:rtl/>
        </w:rPr>
        <w:t>שבתורה</w:t>
      </w:r>
      <w:r w:rsidRPr="00684C04">
        <w:rPr>
          <w:rFonts w:cs="Arial"/>
          <w:rtl/>
        </w:rPr>
        <w:t xml:space="preserve"> במינן</w:t>
      </w:r>
      <w:r>
        <w:rPr>
          <w:rFonts w:cs="Arial"/>
          <w:rtl/>
        </w:rPr>
        <w:t xml:space="preserve"> במשהו שלא במינן בנותן טעם</w:t>
      </w:r>
      <w:r>
        <w:rPr>
          <w:rFonts w:cs="Arial" w:hint="cs"/>
          <w:rtl/>
        </w:rPr>
        <w:t>,</w:t>
      </w:r>
      <w:r w:rsidRPr="00684C04">
        <w:rPr>
          <w:rFonts w:cs="Arial"/>
          <w:rtl/>
        </w:rPr>
        <w:t xml:space="preserve"> זה הכלל לאתויי מאי? לאתויי כל איסורין שבתורה. </w:t>
      </w:r>
      <w:r w:rsidRPr="00684C04">
        <w:rPr>
          <w:rFonts w:cs="Arial"/>
          <w:u w:val="single"/>
          <w:rtl/>
        </w:rPr>
        <w:t>ר' יוחנן ור"ל</w:t>
      </w:r>
      <w:r w:rsidRPr="00684C04">
        <w:rPr>
          <w:rFonts w:cs="Arial"/>
          <w:rtl/>
        </w:rPr>
        <w:t xml:space="preserve"> </w:t>
      </w:r>
      <w:r w:rsidRPr="00684C04">
        <w:rPr>
          <w:rFonts w:cs="Arial"/>
          <w:u w:val="single"/>
          <w:rtl/>
        </w:rPr>
        <w:t>דאמרי תרוייהו</w:t>
      </w:r>
      <w:r>
        <w:rPr>
          <w:rFonts w:cs="Arial"/>
          <w:rtl/>
        </w:rPr>
        <w:t>: כל איסורין שבתורה בין במינן בין שלא במינן בנותן טעם</w:t>
      </w:r>
      <w:r>
        <w:rPr>
          <w:rFonts w:cs="Arial" w:hint="cs"/>
          <w:rtl/>
        </w:rPr>
        <w:t>,</w:t>
      </w:r>
      <w:r>
        <w:rPr>
          <w:rFonts w:cs="Arial"/>
          <w:rtl/>
        </w:rPr>
        <w:t xml:space="preserve"> חוץ מטבל ויין נסך במינן במשהו ושלא במינן</w:t>
      </w:r>
      <w:r w:rsidRPr="00684C04">
        <w:rPr>
          <w:rFonts w:cs="Arial"/>
          <w:rtl/>
        </w:rPr>
        <w:t xml:space="preserve"> בנותן טעם</w:t>
      </w:r>
      <w:r>
        <w:rPr>
          <w:rFonts w:cs="Arial" w:hint="cs"/>
          <w:rtl/>
        </w:rPr>
        <w:t>,</w:t>
      </w:r>
      <w:r>
        <w:rPr>
          <w:rFonts w:cs="Arial"/>
          <w:rtl/>
        </w:rPr>
        <w:t xml:space="preserve"> וזה הכלל</w:t>
      </w:r>
      <w:r w:rsidRPr="00684C04">
        <w:rPr>
          <w:rFonts w:cs="Arial"/>
          <w:rtl/>
        </w:rPr>
        <w:t xml:space="preserve"> לאתויי טבל.</w:t>
      </w:r>
      <w:r>
        <w:rPr>
          <w:rFonts w:cs="Arial" w:hint="cs"/>
          <w:rtl/>
        </w:rPr>
        <w:t xml:space="preserve"> </w:t>
      </w:r>
      <w:r w:rsidRPr="00EC649B">
        <w:rPr>
          <w:rFonts w:cs="Arial" w:hint="cs"/>
          <w:sz w:val="16"/>
          <w:szCs w:val="16"/>
          <w:rtl/>
        </w:rPr>
        <w:t>(ופסקו ה</w:t>
      </w:r>
      <w:r w:rsidRPr="00EC649B">
        <w:rPr>
          <w:rFonts w:cs="Arial"/>
          <w:sz w:val="16"/>
          <w:szCs w:val="16"/>
          <w:rtl/>
        </w:rPr>
        <w:t xml:space="preserve">רמב"ם </w:t>
      </w:r>
      <w:r w:rsidRPr="00EC649B">
        <w:rPr>
          <w:rFonts w:cs="Arial" w:hint="cs"/>
          <w:sz w:val="14"/>
          <w:szCs w:val="14"/>
          <w:rtl/>
        </w:rPr>
        <w:t>(</w:t>
      </w:r>
      <w:r w:rsidRPr="00EC649B">
        <w:rPr>
          <w:rFonts w:cs="Arial"/>
          <w:sz w:val="14"/>
          <w:szCs w:val="14"/>
          <w:rtl/>
        </w:rPr>
        <w:t>פט"ו ה"ו)</w:t>
      </w:r>
      <w:r w:rsidRPr="00EC649B">
        <w:rPr>
          <w:rFonts w:cs="Arial"/>
          <w:sz w:val="16"/>
          <w:szCs w:val="16"/>
          <w:rtl/>
        </w:rPr>
        <w:t xml:space="preserve"> </w:t>
      </w:r>
      <w:r>
        <w:rPr>
          <w:rFonts w:cs="Arial" w:hint="cs"/>
          <w:sz w:val="16"/>
          <w:szCs w:val="16"/>
          <w:rtl/>
        </w:rPr>
        <w:t>ה</w:t>
      </w:r>
      <w:r w:rsidRPr="00EC649B">
        <w:rPr>
          <w:rFonts w:cs="Arial"/>
          <w:sz w:val="16"/>
          <w:szCs w:val="16"/>
          <w:rtl/>
        </w:rPr>
        <w:t>רשב"א</w:t>
      </w:r>
      <w:r w:rsidRPr="00EC649B">
        <w:rPr>
          <w:rFonts w:cs="Arial" w:hint="cs"/>
          <w:sz w:val="16"/>
          <w:szCs w:val="16"/>
          <w:rtl/>
        </w:rPr>
        <w:t xml:space="preserve"> </w:t>
      </w:r>
      <w:r w:rsidRPr="00EC649B">
        <w:rPr>
          <w:rFonts w:cs="Arial" w:hint="cs"/>
          <w:sz w:val="14"/>
          <w:szCs w:val="14"/>
          <w:rtl/>
        </w:rPr>
        <w:t>(תוה"ב</w:t>
      </w:r>
      <w:r w:rsidRPr="00EC649B">
        <w:rPr>
          <w:rFonts w:cs="Arial"/>
          <w:sz w:val="14"/>
          <w:szCs w:val="14"/>
          <w:rtl/>
        </w:rPr>
        <w:t xml:space="preserve"> ב"ד ש"א טז.) </w:t>
      </w:r>
      <w:r>
        <w:rPr>
          <w:rFonts w:cs="Arial" w:hint="cs"/>
          <w:sz w:val="16"/>
          <w:szCs w:val="16"/>
          <w:rtl/>
        </w:rPr>
        <w:t>ה</w:t>
      </w:r>
      <w:r w:rsidRPr="00EC649B">
        <w:rPr>
          <w:rFonts w:cs="Arial"/>
          <w:sz w:val="16"/>
          <w:szCs w:val="16"/>
          <w:rtl/>
        </w:rPr>
        <w:t xml:space="preserve">רא"ש </w:t>
      </w:r>
      <w:r w:rsidRPr="00EC649B">
        <w:rPr>
          <w:rFonts w:cs="Arial"/>
          <w:sz w:val="14"/>
          <w:szCs w:val="14"/>
          <w:rtl/>
        </w:rPr>
        <w:t xml:space="preserve">(ע"ז פ"ה סי' כט) </w:t>
      </w:r>
      <w:r w:rsidRPr="00EC649B">
        <w:rPr>
          <w:rFonts w:cs="Arial" w:hint="cs"/>
          <w:sz w:val="16"/>
          <w:szCs w:val="16"/>
          <w:rtl/>
        </w:rPr>
        <w:t xml:space="preserve">וריב"ש </w:t>
      </w:r>
      <w:r w:rsidRPr="00EC649B">
        <w:rPr>
          <w:rFonts w:cs="Arial" w:hint="cs"/>
          <w:sz w:val="14"/>
          <w:szCs w:val="14"/>
          <w:rtl/>
        </w:rPr>
        <w:t>(</w:t>
      </w:r>
      <w:r w:rsidRPr="00EC649B">
        <w:rPr>
          <w:rFonts w:cs="Arial"/>
          <w:sz w:val="14"/>
          <w:szCs w:val="14"/>
          <w:rtl/>
        </w:rPr>
        <w:t>ס</w:t>
      </w:r>
      <w:r w:rsidRPr="00EC649B">
        <w:rPr>
          <w:rFonts w:cs="Arial" w:hint="cs"/>
          <w:sz w:val="14"/>
          <w:szCs w:val="14"/>
          <w:rtl/>
        </w:rPr>
        <w:t xml:space="preserve">י' </w:t>
      </w:r>
      <w:r w:rsidRPr="00EC649B">
        <w:rPr>
          <w:rFonts w:cs="Arial"/>
          <w:sz w:val="14"/>
          <w:szCs w:val="14"/>
          <w:rtl/>
        </w:rPr>
        <w:t>שמט</w:t>
      </w:r>
      <w:r w:rsidRPr="00EC649B">
        <w:rPr>
          <w:rFonts w:cs="Arial" w:hint="cs"/>
          <w:sz w:val="14"/>
          <w:szCs w:val="14"/>
          <w:rtl/>
        </w:rPr>
        <w:t>)</w:t>
      </w:r>
      <w:r w:rsidRPr="00EC649B">
        <w:rPr>
          <w:rFonts w:cs="Arial"/>
          <w:sz w:val="14"/>
          <w:szCs w:val="14"/>
          <w:rtl/>
        </w:rPr>
        <w:t xml:space="preserve"> </w:t>
      </w:r>
      <w:r w:rsidRPr="00EC649B">
        <w:rPr>
          <w:rFonts w:cs="Arial"/>
          <w:sz w:val="16"/>
          <w:szCs w:val="16"/>
          <w:rtl/>
        </w:rPr>
        <w:t>כר' יוחנן וריש לקיש</w:t>
      </w:r>
      <w:r w:rsidRPr="00EC649B">
        <w:rPr>
          <w:rStyle w:val="a7"/>
          <w:rFonts w:cs="Arial"/>
          <w:sz w:val="16"/>
          <w:szCs w:val="16"/>
          <w:rtl/>
        </w:rPr>
        <w:footnoteReference w:id="1788"/>
      </w:r>
      <w:r>
        <w:rPr>
          <w:rFonts w:cs="Arial" w:hint="cs"/>
          <w:sz w:val="16"/>
          <w:szCs w:val="16"/>
          <w:rtl/>
        </w:rPr>
        <w:t>)</w:t>
      </w:r>
      <w:r>
        <w:rPr>
          <w:rFonts w:cs="Arial"/>
          <w:rtl/>
        </w:rPr>
        <w:t xml:space="preserve"> </w:t>
      </w:r>
    </w:p>
    <w:p w14:paraId="19C37E94" w14:textId="77777777" w:rsidR="002C39F4" w:rsidRDefault="002C39F4" w:rsidP="002C39F4">
      <w:pPr>
        <w:rPr>
          <w:rFonts w:cs="Arial"/>
          <w:rtl/>
        </w:rPr>
      </w:pPr>
      <w:r>
        <w:rPr>
          <w:rFonts w:cs="Arial" w:hint="cs"/>
          <w:b/>
          <w:bCs/>
          <w:rtl/>
        </w:rPr>
        <w:t xml:space="preserve">חולין צז ע"א: </w:t>
      </w:r>
      <w:r w:rsidRPr="00D41990">
        <w:rPr>
          <w:rFonts w:cs="Arial"/>
          <w:u w:val="single"/>
          <w:rtl/>
        </w:rPr>
        <w:t>אמר רבא:</w:t>
      </w:r>
      <w:r w:rsidRPr="00D41990">
        <w:rPr>
          <w:rFonts w:cs="Arial"/>
          <w:rtl/>
        </w:rPr>
        <w:t xml:space="preserve"> אמור רבנן: בטעמא, ואמור רבנן: בקפילא,</w:t>
      </w:r>
      <w:r w:rsidRPr="00D41990">
        <w:rPr>
          <w:rtl/>
        </w:rPr>
        <w:t xml:space="preserve"> </w:t>
      </w:r>
      <w:r>
        <w:rPr>
          <w:rFonts w:cs="Arial"/>
          <w:rtl/>
        </w:rPr>
        <w:t>ואמור רבנן: בששים</w:t>
      </w:r>
      <w:r>
        <w:rPr>
          <w:rFonts w:cs="Arial" w:hint="cs"/>
          <w:rtl/>
        </w:rPr>
        <w:t>,</w:t>
      </w:r>
      <w:r w:rsidRPr="00D41990">
        <w:rPr>
          <w:rFonts w:cs="Arial"/>
          <w:rtl/>
        </w:rPr>
        <w:t xml:space="preserve"> הלכך: מין בשאינו מינו דהיתרא - בטעמא, דאיסורא - בקפילא, ומין במינו דליכא למיקם אטעמא, אי נמי מין בשאינו מינו דאיסורא דליכא קפילא - בששים.</w:t>
      </w:r>
      <w:r>
        <w:rPr>
          <w:rFonts w:cs="Arial" w:hint="cs"/>
          <w:rtl/>
        </w:rPr>
        <w:t xml:space="preserve">.. </w:t>
      </w:r>
      <w:r w:rsidRPr="00A13530">
        <w:rPr>
          <w:rFonts w:hint="cs"/>
          <w:sz w:val="14"/>
          <w:szCs w:val="14"/>
          <w:rtl/>
        </w:rPr>
        <w:t>(צח.)</w:t>
      </w:r>
      <w:r>
        <w:rPr>
          <w:rFonts w:cs="Arial" w:hint="cs"/>
          <w:rtl/>
        </w:rPr>
        <w:t xml:space="preserve"> </w:t>
      </w:r>
      <w:r w:rsidRPr="00264C36">
        <w:rPr>
          <w:rFonts w:cs="Arial"/>
          <w:u w:val="single"/>
          <w:rtl/>
        </w:rPr>
        <w:t>אמר ר' חייא בר אבא אמר ר' יהושע בן לוי משום בר קפרא</w:t>
      </w:r>
      <w:r>
        <w:rPr>
          <w:rFonts w:cs="Arial"/>
          <w:rtl/>
        </w:rPr>
        <w:t>: כל איסורין שבתורה</w:t>
      </w:r>
      <w:r>
        <w:rPr>
          <w:rFonts w:cs="Arial" w:hint="cs"/>
          <w:rtl/>
        </w:rPr>
        <w:t xml:space="preserve"> -</w:t>
      </w:r>
      <w:r>
        <w:rPr>
          <w:rFonts w:cs="Arial"/>
          <w:rtl/>
        </w:rPr>
        <w:t xml:space="preserve"> בס'</w:t>
      </w:r>
      <w:r>
        <w:rPr>
          <w:rFonts w:cs="Arial" w:hint="cs"/>
          <w:rtl/>
        </w:rPr>
        <w:t>.</w:t>
      </w:r>
      <w:r w:rsidRPr="008F2A12">
        <w:rPr>
          <w:rFonts w:cs="Arial"/>
          <w:rtl/>
        </w:rPr>
        <w:t xml:space="preserve"> </w:t>
      </w:r>
      <w:r w:rsidRPr="00264C36">
        <w:rPr>
          <w:rFonts w:cs="Arial"/>
          <w:u w:val="single"/>
          <w:rtl/>
        </w:rPr>
        <w:t xml:space="preserve">אמר לפניו </w:t>
      </w:r>
      <w:r w:rsidRPr="00BB702A">
        <w:rPr>
          <w:rFonts w:cs="Arial"/>
          <w:u w:val="single"/>
          <w:rtl/>
        </w:rPr>
        <w:t>ר' שמואל</w:t>
      </w:r>
      <w:r w:rsidRPr="00264C36">
        <w:rPr>
          <w:rFonts w:cs="Arial"/>
          <w:u w:val="single"/>
          <w:rtl/>
        </w:rPr>
        <w:t xml:space="preserve"> בר רב יצחק</w:t>
      </w:r>
      <w:r w:rsidRPr="008F2A12">
        <w:rPr>
          <w:rFonts w:cs="Arial"/>
          <w:rtl/>
        </w:rPr>
        <w:t>: רבי, אתה אומר כן, הכי אמר רב אסי אמר ר' יהושע בן לוי מ</w:t>
      </w:r>
      <w:r>
        <w:rPr>
          <w:rFonts w:cs="Arial"/>
          <w:rtl/>
        </w:rPr>
        <w:t>שום בר קפרא: כל איסורין שבתורה</w:t>
      </w:r>
      <w:r>
        <w:rPr>
          <w:rFonts w:cs="Arial" w:hint="cs"/>
          <w:rtl/>
        </w:rPr>
        <w:t xml:space="preserve"> -</w:t>
      </w:r>
      <w:r w:rsidRPr="008F2A12">
        <w:rPr>
          <w:rFonts w:cs="Arial"/>
          <w:rtl/>
        </w:rPr>
        <w:t xml:space="preserve"> במאה. ושניהם לא למדוה אלא מזרוע בשלה</w:t>
      </w:r>
      <w:r>
        <w:rPr>
          <w:rFonts w:cs="Arial" w:hint="cs"/>
          <w:rtl/>
        </w:rPr>
        <w:t>...</w:t>
      </w:r>
      <w:r w:rsidRPr="003F3E92">
        <w:rPr>
          <w:rtl/>
        </w:rPr>
        <w:t xml:space="preserve"> </w:t>
      </w:r>
      <w:r w:rsidRPr="00A13530">
        <w:rPr>
          <w:rFonts w:hint="cs"/>
          <w:sz w:val="14"/>
          <w:szCs w:val="14"/>
          <w:rtl/>
        </w:rPr>
        <w:t>(צח:)</w:t>
      </w:r>
      <w:r>
        <w:rPr>
          <w:rFonts w:cs="Arial" w:hint="cs"/>
          <w:rtl/>
        </w:rPr>
        <w:t xml:space="preserve"> </w:t>
      </w:r>
      <w:r w:rsidRPr="003F3E92">
        <w:rPr>
          <w:rFonts w:cs="Arial"/>
          <w:rtl/>
        </w:rPr>
        <w:t xml:space="preserve">ומי ילפינן מינה? והתניא: זהו היתר הבא מכלל איסור, זהו למעוטי מאי </w:t>
      </w:r>
      <w:r>
        <w:rPr>
          <w:rFonts w:cs="Arial"/>
          <w:rtl/>
        </w:rPr>
        <w:t>- לאו למעוטי כל איסורין שבתורה?</w:t>
      </w:r>
      <w:r>
        <w:rPr>
          <w:rFonts w:cs="Arial" w:hint="cs"/>
          <w:rtl/>
        </w:rPr>
        <w:t xml:space="preserve">... </w:t>
      </w:r>
      <w:r w:rsidRPr="00264C36">
        <w:rPr>
          <w:rFonts w:cs="Arial"/>
          <w:u w:val="single"/>
          <w:rtl/>
        </w:rPr>
        <w:t>רבא אמר</w:t>
      </w:r>
      <w:r w:rsidRPr="003F3E92">
        <w:rPr>
          <w:rFonts w:cs="Arial"/>
          <w:rtl/>
        </w:rPr>
        <w:t>: לא נצרכא אלא לטעם כעיקר, דבקדשים אסור, קא משמע לן דהכא שרי.</w:t>
      </w:r>
      <w:r w:rsidRPr="008F2A12">
        <w:rPr>
          <w:rFonts w:cs="Arial"/>
          <w:rtl/>
        </w:rPr>
        <w:t xml:space="preserve"> </w:t>
      </w:r>
      <w:r w:rsidRPr="00A13530">
        <w:rPr>
          <w:rFonts w:hint="cs"/>
          <w:sz w:val="14"/>
          <w:szCs w:val="14"/>
          <w:rtl/>
        </w:rPr>
        <w:t>(צט.)</w:t>
      </w:r>
      <w:r>
        <w:rPr>
          <w:rFonts w:cs="Arial" w:hint="cs"/>
          <w:rtl/>
        </w:rPr>
        <w:t xml:space="preserve"> </w:t>
      </w:r>
      <w:r w:rsidRPr="003F3E92">
        <w:rPr>
          <w:rFonts w:cs="Arial"/>
          <w:rtl/>
        </w:rPr>
        <w:t xml:space="preserve">וליגמר מיניה! גלי רחמנא גבי חטאת </w:t>
      </w:r>
      <w:r>
        <w:rPr>
          <w:rFonts w:cs="Arial" w:hint="cs"/>
          <w:rtl/>
        </w:rPr>
        <w:t>'</w:t>
      </w:r>
      <w:r w:rsidRPr="003F3E92">
        <w:rPr>
          <w:rFonts w:cs="Arial"/>
          <w:rtl/>
        </w:rPr>
        <w:t>כל אשר יגע בבשרה יקדש</w:t>
      </w:r>
      <w:r>
        <w:rPr>
          <w:rFonts w:cs="Arial" w:hint="cs"/>
          <w:rtl/>
        </w:rPr>
        <w:t>'</w:t>
      </w:r>
      <w:r w:rsidRPr="003F3E92">
        <w:rPr>
          <w:rFonts w:cs="Arial"/>
          <w:rtl/>
        </w:rPr>
        <w:t>, להיות כמוה, שאם פסולה - תפסל, ואם כשרה - תאכל כחמור שבה; ומאי חזית דגמרינן מהאיך, ליגמר מהאי! חדוש הוא, ומחדוש לא גמרינן; אי הכי, למאה וששים נמי לא ליגמר! אטו אנן</w:t>
      </w:r>
      <w:r>
        <w:rPr>
          <w:rFonts w:cs="Arial" w:hint="cs"/>
          <w:rtl/>
        </w:rPr>
        <w:t>,</w:t>
      </w:r>
      <w:r w:rsidRPr="003F3E92">
        <w:rPr>
          <w:rFonts w:cs="Arial"/>
          <w:rtl/>
        </w:rPr>
        <w:t xml:space="preserve"> לקולא קא גמרינן? לחומרא קא גמרינן דמדאורייתא ברובא בטיל.</w:t>
      </w:r>
      <w:r>
        <w:rPr>
          <w:rFonts w:cs="Arial" w:hint="cs"/>
          <w:rtl/>
        </w:rPr>
        <w:t xml:space="preserve"> </w:t>
      </w:r>
    </w:p>
    <w:p w14:paraId="7BDBC55C" w14:textId="77777777" w:rsidR="002C39F4" w:rsidRDefault="002C39F4" w:rsidP="002C39F4">
      <w:pPr>
        <w:rPr>
          <w:rFonts w:cs="Arial"/>
          <w:rtl/>
        </w:rPr>
      </w:pPr>
      <w:r>
        <w:rPr>
          <w:rFonts w:cs="Arial" w:hint="cs"/>
          <w:b/>
          <w:bCs/>
          <w:rtl/>
        </w:rPr>
        <w:t xml:space="preserve">זבחים עט ע"א: </w:t>
      </w:r>
      <w:r w:rsidRPr="00B009E0">
        <w:rPr>
          <w:rFonts w:cs="Arial"/>
          <w:u w:val="single"/>
          <w:rtl/>
        </w:rPr>
        <w:t>אמר רבא</w:t>
      </w:r>
      <w:r w:rsidRPr="00B009E0">
        <w:rPr>
          <w:rFonts w:cs="Arial"/>
          <w:rtl/>
        </w:rPr>
        <w:t>: אמור רבנן בטעמא, ואמור רבנן ברובא, ואמור רבנן בחזותא; מין בשאינו מינו - בטעמא, מין במינו - ברובא, היכא דאיכא חזותא - במראה.</w:t>
      </w:r>
      <w:r>
        <w:rPr>
          <w:rFonts w:cs="Arial" w:hint="cs"/>
          <w:rtl/>
        </w:rPr>
        <w:t xml:space="preserve"> </w:t>
      </w:r>
    </w:p>
    <w:p w14:paraId="392F5335" w14:textId="77777777" w:rsidR="002C39F4" w:rsidRDefault="002C39F4" w:rsidP="002C39F4">
      <w:pPr>
        <w:rPr>
          <w:u w:val="single"/>
          <w:rtl/>
        </w:rPr>
      </w:pPr>
      <w:r>
        <w:rPr>
          <w:rFonts w:hint="cs"/>
          <w:u w:val="single"/>
          <w:rtl/>
        </w:rPr>
        <w:t xml:space="preserve">נתערב </w:t>
      </w:r>
      <w:r w:rsidRPr="0094056C">
        <w:rPr>
          <w:rFonts w:hint="cs"/>
          <w:u w:val="single"/>
          <w:rtl/>
        </w:rPr>
        <w:t xml:space="preserve">מין </w:t>
      </w:r>
      <w:r w:rsidRPr="005B5CA5">
        <w:rPr>
          <w:rFonts w:hint="cs"/>
          <w:b/>
          <w:bCs/>
          <w:u w:val="single"/>
          <w:rtl/>
        </w:rPr>
        <w:t>בשאינו</w:t>
      </w:r>
      <w:r w:rsidRPr="0094056C">
        <w:rPr>
          <w:rFonts w:hint="cs"/>
          <w:u w:val="single"/>
          <w:rtl/>
        </w:rPr>
        <w:t xml:space="preserve"> </w:t>
      </w:r>
      <w:r w:rsidRPr="005B5CA5">
        <w:rPr>
          <w:rFonts w:hint="cs"/>
          <w:b/>
          <w:bCs/>
          <w:u w:val="single"/>
          <w:rtl/>
        </w:rPr>
        <w:t>מינו</w:t>
      </w:r>
      <w:r>
        <w:rPr>
          <w:rFonts w:hint="cs"/>
          <w:u w:val="single"/>
          <w:rtl/>
        </w:rPr>
        <w:t xml:space="preserve"> </w:t>
      </w:r>
      <w:r>
        <w:rPr>
          <w:u w:val="single"/>
          <w:rtl/>
        </w:rPr>
        <w:t>–</w:t>
      </w:r>
      <w:r>
        <w:rPr>
          <w:rFonts w:hint="cs"/>
          <w:u w:val="single"/>
          <w:rtl/>
        </w:rPr>
        <w:t xml:space="preserve"> כיצד ביטולו</w:t>
      </w:r>
      <w:r w:rsidRPr="0094056C">
        <w:rPr>
          <w:rFonts w:hint="cs"/>
          <w:u w:val="single"/>
          <w:rtl/>
        </w:rPr>
        <w:t>:</w:t>
      </w:r>
    </w:p>
    <w:p w14:paraId="6797EA99" w14:textId="77777777" w:rsidR="002C39F4" w:rsidRPr="0094056C" w:rsidRDefault="002C39F4" w:rsidP="0032102C">
      <w:pPr>
        <w:pStyle w:val="a8"/>
        <w:numPr>
          <w:ilvl w:val="0"/>
          <w:numId w:val="178"/>
        </w:numPr>
        <w:rPr>
          <w:rFonts w:cs="Arial"/>
          <w:rtl/>
        </w:rPr>
      </w:pPr>
      <w:r>
        <w:rPr>
          <w:rFonts w:hint="cs"/>
          <w:rtl/>
        </w:rPr>
        <w:t xml:space="preserve">טור- </w:t>
      </w:r>
      <w:r w:rsidRPr="005D25EC">
        <w:rPr>
          <w:rFonts w:cs="Arial"/>
          <w:rtl/>
        </w:rPr>
        <w:t>שיעורו ב</w:t>
      </w:r>
      <w:r>
        <w:rPr>
          <w:rFonts w:cs="Arial" w:hint="cs"/>
          <w:rtl/>
        </w:rPr>
        <w:t>ששים</w:t>
      </w:r>
      <w:r>
        <w:rPr>
          <w:rFonts w:cs="Arial" w:hint="cs"/>
          <w:sz w:val="16"/>
          <w:szCs w:val="16"/>
          <w:rtl/>
        </w:rPr>
        <w:t xml:space="preserve"> (מדאו'/מדרבנן- עי' בסמוך)</w:t>
      </w:r>
      <w:r>
        <w:rPr>
          <w:rFonts w:cs="Arial" w:hint="cs"/>
          <w:rtl/>
        </w:rPr>
        <w:t>, ויש חילוק בין נתערב בו טעמו וממשו לנתערב בו טעמו ולא ממשו</w:t>
      </w:r>
      <w:r w:rsidRPr="005D25EC">
        <w:rPr>
          <w:rFonts w:cs="Arial" w:hint="cs"/>
          <w:rtl/>
        </w:rPr>
        <w:t>.</w:t>
      </w:r>
    </w:p>
    <w:p w14:paraId="4A0FE153" w14:textId="77777777" w:rsidR="002C39F4" w:rsidRPr="0094056C" w:rsidRDefault="002C39F4" w:rsidP="002C39F4">
      <w:pPr>
        <w:ind w:left="360"/>
        <w:rPr>
          <w:u w:val="dotted"/>
          <w:rtl/>
        </w:rPr>
      </w:pPr>
      <w:r w:rsidRPr="0094056C">
        <w:rPr>
          <w:rFonts w:hint="cs"/>
          <w:u w:val="dotted"/>
          <w:rtl/>
        </w:rPr>
        <w:t xml:space="preserve">נתערב בו טעמו ולא ממשו: </w:t>
      </w:r>
    </w:p>
    <w:p w14:paraId="5E43FCA6" w14:textId="77777777" w:rsidR="002C39F4" w:rsidRPr="00BD1F2F" w:rsidRDefault="002C39F4" w:rsidP="0032102C">
      <w:pPr>
        <w:pStyle w:val="a8"/>
        <w:numPr>
          <w:ilvl w:val="0"/>
          <w:numId w:val="178"/>
        </w:numPr>
        <w:rPr>
          <w:rFonts w:cs="Arial"/>
        </w:rPr>
      </w:pPr>
      <w:r w:rsidRPr="00500B7E">
        <w:rPr>
          <w:rFonts w:cs="Arial"/>
          <w:rtl/>
        </w:rPr>
        <w:t>ר"ת</w:t>
      </w:r>
      <w:r>
        <w:rPr>
          <w:rStyle w:val="a7"/>
          <w:rFonts w:cs="Arial"/>
          <w:rtl/>
        </w:rPr>
        <w:footnoteReference w:id="1789"/>
      </w:r>
      <w:r w:rsidRPr="00500B7E">
        <w:rPr>
          <w:rFonts w:cs="Arial" w:hint="cs"/>
          <w:rtl/>
        </w:rPr>
        <w:t>-</w:t>
      </w:r>
      <w:r w:rsidRPr="005D25EC">
        <w:rPr>
          <w:rFonts w:cs="Arial"/>
          <w:rtl/>
        </w:rPr>
        <w:t xml:space="preserve"> אסור מן התורה עד ס'</w:t>
      </w:r>
      <w:r>
        <w:rPr>
          <w:rFonts w:cs="Arial" w:hint="cs"/>
          <w:rtl/>
        </w:rPr>
        <w:t>,</w:t>
      </w:r>
      <w:r w:rsidRPr="005D25EC">
        <w:rPr>
          <w:rFonts w:cs="Arial"/>
          <w:rtl/>
        </w:rPr>
        <w:t xml:space="preserve"> אלא שאין לוקין עליו</w:t>
      </w:r>
      <w:r>
        <w:rPr>
          <w:rStyle w:val="a7"/>
          <w:rFonts w:cs="Arial"/>
          <w:rtl/>
        </w:rPr>
        <w:footnoteReference w:id="1790"/>
      </w:r>
      <w:r>
        <w:rPr>
          <w:rFonts w:cs="Arial" w:hint="cs"/>
          <w:rtl/>
        </w:rPr>
        <w:t>.</w:t>
      </w:r>
      <w:r w:rsidRPr="005D25EC">
        <w:rPr>
          <w:rFonts w:cs="Arial"/>
          <w:rtl/>
        </w:rPr>
        <w:t xml:space="preserve"> </w:t>
      </w:r>
      <w:r>
        <w:rPr>
          <w:rFonts w:cs="Arial" w:hint="cs"/>
          <w:rtl/>
        </w:rPr>
        <w:t>(וכ"פ בב"י</w:t>
      </w:r>
      <w:r>
        <w:rPr>
          <w:rFonts w:cs="Arial" w:hint="cs"/>
          <w:sz w:val="16"/>
          <w:szCs w:val="16"/>
          <w:rtl/>
        </w:rPr>
        <w:t xml:space="preserve"> [סע' ב]</w:t>
      </w:r>
      <w:r>
        <w:rPr>
          <w:rStyle w:val="a7"/>
          <w:rFonts w:cs="Arial"/>
          <w:rtl/>
        </w:rPr>
        <w:footnoteReference w:id="1791"/>
      </w:r>
      <w:r>
        <w:rPr>
          <w:rFonts w:cs="Arial" w:hint="cs"/>
          <w:rtl/>
        </w:rPr>
        <w:t>)</w:t>
      </w:r>
    </w:p>
    <w:p w14:paraId="714061CA" w14:textId="77777777" w:rsidR="002C39F4" w:rsidRDefault="002C39F4" w:rsidP="0032102C">
      <w:pPr>
        <w:pStyle w:val="a8"/>
        <w:numPr>
          <w:ilvl w:val="0"/>
          <w:numId w:val="178"/>
        </w:numPr>
        <w:rPr>
          <w:rFonts w:cs="Arial"/>
        </w:rPr>
      </w:pPr>
      <w:r w:rsidRPr="00401EB3">
        <w:rPr>
          <w:rFonts w:cs="Arial"/>
          <w:rtl/>
        </w:rPr>
        <w:t>רש"י</w:t>
      </w:r>
      <w:r>
        <w:rPr>
          <w:rStyle w:val="a7"/>
          <w:rFonts w:cs="Arial"/>
          <w:rtl/>
        </w:rPr>
        <w:footnoteReference w:id="1792"/>
      </w:r>
      <w:r w:rsidRPr="00401EB3">
        <w:rPr>
          <w:rFonts w:cs="Arial" w:hint="cs"/>
          <w:rtl/>
        </w:rPr>
        <w:t>-</w:t>
      </w:r>
      <w:r w:rsidRPr="00401EB3">
        <w:rPr>
          <w:rFonts w:cs="Arial"/>
          <w:rtl/>
        </w:rPr>
        <w:t xml:space="preserve"> </w:t>
      </w:r>
      <w:r>
        <w:rPr>
          <w:rFonts w:cs="Arial" w:hint="cs"/>
          <w:rtl/>
        </w:rPr>
        <w:t xml:space="preserve">אסור </w:t>
      </w:r>
      <w:r w:rsidRPr="00401EB3">
        <w:rPr>
          <w:rFonts w:cs="Arial"/>
          <w:rtl/>
        </w:rPr>
        <w:t>מדרבנן</w:t>
      </w:r>
      <w:r>
        <w:rPr>
          <w:rStyle w:val="a7"/>
          <w:rFonts w:cs="Arial"/>
          <w:rtl/>
        </w:rPr>
        <w:footnoteReference w:id="1793"/>
      </w:r>
      <w:r w:rsidRPr="00401EB3">
        <w:rPr>
          <w:rFonts w:cs="Arial" w:hint="cs"/>
          <w:rtl/>
        </w:rPr>
        <w:t>.</w:t>
      </w:r>
    </w:p>
    <w:p w14:paraId="4DF47B64" w14:textId="77777777" w:rsidR="002C39F4" w:rsidRPr="0094056C" w:rsidRDefault="002C39F4" w:rsidP="002C39F4">
      <w:pPr>
        <w:ind w:left="360"/>
        <w:rPr>
          <w:u w:val="dotted"/>
          <w:rtl/>
        </w:rPr>
      </w:pPr>
      <w:r w:rsidRPr="0094056C">
        <w:rPr>
          <w:rFonts w:hint="cs"/>
          <w:u w:val="dotted"/>
          <w:rtl/>
        </w:rPr>
        <w:t>נתערב בו טעמו וממשו:</w:t>
      </w:r>
    </w:p>
    <w:p w14:paraId="372E92A8" w14:textId="77777777" w:rsidR="002C39F4" w:rsidRPr="005B5CA5" w:rsidRDefault="002C39F4" w:rsidP="0032102C">
      <w:pPr>
        <w:pStyle w:val="a8"/>
        <w:numPr>
          <w:ilvl w:val="0"/>
          <w:numId w:val="262"/>
        </w:numPr>
        <w:rPr>
          <w:u w:val="single"/>
        </w:rPr>
      </w:pPr>
      <w:r w:rsidRPr="00A13530">
        <w:rPr>
          <w:rtl/>
        </w:rPr>
        <w:t>ר"ת</w:t>
      </w:r>
      <w:r w:rsidRPr="00A13530">
        <w:rPr>
          <w:rFonts w:hint="cs"/>
          <w:rtl/>
        </w:rPr>
        <w:t xml:space="preserve"> </w:t>
      </w:r>
      <w:r w:rsidRPr="005B5CA5">
        <w:rPr>
          <w:rFonts w:hint="cs"/>
          <w:sz w:val="16"/>
          <w:szCs w:val="16"/>
          <w:rtl/>
        </w:rPr>
        <w:t>(הביאו הטור)</w:t>
      </w:r>
      <w:r w:rsidRPr="00A13530">
        <w:rPr>
          <w:rFonts w:hint="cs"/>
          <w:rtl/>
        </w:rPr>
        <w:t xml:space="preserve"> רשב"א </w:t>
      </w:r>
      <w:r w:rsidRPr="005B5CA5">
        <w:rPr>
          <w:rFonts w:hint="cs"/>
          <w:sz w:val="16"/>
          <w:szCs w:val="16"/>
          <w:rtl/>
        </w:rPr>
        <w:t>(</w:t>
      </w:r>
      <w:r w:rsidRPr="005B5CA5">
        <w:rPr>
          <w:sz w:val="16"/>
          <w:szCs w:val="16"/>
          <w:rtl/>
        </w:rPr>
        <w:t>ת</w:t>
      </w:r>
      <w:r w:rsidRPr="005B5CA5">
        <w:rPr>
          <w:rFonts w:hint="cs"/>
          <w:sz w:val="16"/>
          <w:szCs w:val="16"/>
          <w:rtl/>
        </w:rPr>
        <w:t>ו</w:t>
      </w:r>
      <w:r w:rsidRPr="005B5CA5">
        <w:rPr>
          <w:sz w:val="16"/>
          <w:szCs w:val="16"/>
          <w:rtl/>
        </w:rPr>
        <w:t>ה</w:t>
      </w:r>
      <w:r w:rsidRPr="005B5CA5">
        <w:rPr>
          <w:rFonts w:hint="cs"/>
          <w:sz w:val="16"/>
          <w:szCs w:val="16"/>
          <w:rtl/>
        </w:rPr>
        <w:t>"</w:t>
      </w:r>
      <w:r w:rsidRPr="005B5CA5">
        <w:rPr>
          <w:sz w:val="16"/>
          <w:szCs w:val="16"/>
          <w:rtl/>
        </w:rPr>
        <w:t>ק ב"ד ש"א ז.)</w:t>
      </w:r>
      <w:r w:rsidRPr="00A13530">
        <w:rPr>
          <w:rFonts w:hint="cs"/>
          <w:rtl/>
        </w:rPr>
        <w:t xml:space="preserve"> ורא"ש </w:t>
      </w:r>
      <w:r w:rsidRPr="005B5CA5">
        <w:rPr>
          <w:rFonts w:hint="cs"/>
          <w:sz w:val="16"/>
          <w:szCs w:val="16"/>
          <w:rtl/>
        </w:rPr>
        <w:t>(שם)</w:t>
      </w:r>
      <w:r w:rsidRPr="00A13530">
        <w:rPr>
          <w:rFonts w:hint="cs"/>
          <w:rtl/>
        </w:rPr>
        <w:t>-</w:t>
      </w:r>
      <w:r w:rsidRPr="00A13530">
        <w:rPr>
          <w:rtl/>
        </w:rPr>
        <w:t xml:space="preserve"> א</w:t>
      </w:r>
      <w:r w:rsidRPr="00A13530">
        <w:rPr>
          <w:rFonts w:hint="cs"/>
          <w:rtl/>
        </w:rPr>
        <w:t xml:space="preserve">ם יש </w:t>
      </w:r>
      <w:r w:rsidRPr="00A13530">
        <w:rPr>
          <w:rtl/>
        </w:rPr>
        <w:t>בו כל כך מן האיסור עד שיהא בתוך כל ד' ביצים מן ההיתר כזית מן האיסור</w:t>
      </w:r>
      <w:r>
        <w:rPr>
          <w:rStyle w:val="a7"/>
          <w:rFonts w:cs="Arial"/>
          <w:rtl/>
        </w:rPr>
        <w:footnoteReference w:id="1794"/>
      </w:r>
      <w:r w:rsidRPr="00A13530">
        <w:rPr>
          <w:rtl/>
        </w:rPr>
        <w:t xml:space="preserve"> חייב</w:t>
      </w:r>
      <w:r w:rsidRPr="00A13530">
        <w:rPr>
          <w:rFonts w:hint="cs"/>
          <w:rtl/>
        </w:rPr>
        <w:t xml:space="preserve"> מלקות</w:t>
      </w:r>
      <w:r w:rsidRPr="00A13530">
        <w:rPr>
          <w:rtl/>
        </w:rPr>
        <w:t xml:space="preserve"> על כל כזית וכזית ממנו</w:t>
      </w:r>
      <w:r>
        <w:rPr>
          <w:rStyle w:val="a7"/>
          <w:rFonts w:cs="Arial"/>
          <w:rtl/>
        </w:rPr>
        <w:footnoteReference w:id="1795"/>
      </w:r>
      <w:r w:rsidRPr="00A13530">
        <w:rPr>
          <w:rFonts w:hint="cs"/>
          <w:rtl/>
        </w:rPr>
        <w:t xml:space="preserve">. </w:t>
      </w:r>
      <w:r w:rsidRPr="005B5CA5">
        <w:rPr>
          <w:rFonts w:hint="cs"/>
          <w:u w:val="single"/>
          <w:rtl/>
        </w:rPr>
        <w:t xml:space="preserve"> </w:t>
      </w:r>
    </w:p>
    <w:p w14:paraId="10BCFD04" w14:textId="77777777" w:rsidR="002C39F4" w:rsidRPr="005B5CA5" w:rsidRDefault="002C39F4" w:rsidP="0032102C">
      <w:pPr>
        <w:pStyle w:val="a8"/>
        <w:numPr>
          <w:ilvl w:val="0"/>
          <w:numId w:val="262"/>
        </w:numPr>
        <w:rPr>
          <w:u w:val="single"/>
        </w:rPr>
      </w:pPr>
      <w:r w:rsidRPr="00A13530">
        <w:rPr>
          <w:rFonts w:hint="cs"/>
          <w:rtl/>
        </w:rPr>
        <w:t xml:space="preserve">רש"י </w:t>
      </w:r>
      <w:r w:rsidRPr="005B5CA5">
        <w:rPr>
          <w:rFonts w:hint="cs"/>
          <w:sz w:val="16"/>
          <w:szCs w:val="16"/>
          <w:rtl/>
        </w:rPr>
        <w:t>(להב' הב"י)</w:t>
      </w:r>
      <w:r w:rsidRPr="00A13530">
        <w:rPr>
          <w:rFonts w:hint="cs"/>
          <w:rtl/>
        </w:rPr>
        <w:t xml:space="preserve"> ו</w:t>
      </w:r>
      <w:r w:rsidRPr="00A13530">
        <w:rPr>
          <w:rtl/>
        </w:rPr>
        <w:t xml:space="preserve">רמב"ם </w:t>
      </w:r>
      <w:r w:rsidRPr="005B5CA5">
        <w:rPr>
          <w:rFonts w:hint="cs"/>
          <w:sz w:val="16"/>
          <w:szCs w:val="16"/>
          <w:rtl/>
        </w:rPr>
        <w:t>(</w:t>
      </w:r>
      <w:r w:rsidRPr="005B5CA5">
        <w:rPr>
          <w:sz w:val="16"/>
          <w:szCs w:val="16"/>
          <w:rtl/>
        </w:rPr>
        <w:t>פט"ו ה"ב-ג)</w:t>
      </w:r>
      <w:r w:rsidRPr="00A13530">
        <w:rPr>
          <w:rFonts w:hint="cs"/>
          <w:rtl/>
        </w:rPr>
        <w:t xml:space="preserve">- </w:t>
      </w:r>
      <w:r w:rsidRPr="00A13530">
        <w:rPr>
          <w:rtl/>
        </w:rPr>
        <w:t>חלב הכליות שנפל לתוך הגריסין ונימוח הכל טועמין את הגריסין</w:t>
      </w:r>
      <w:r w:rsidRPr="00A13530">
        <w:rPr>
          <w:rFonts w:hint="cs"/>
          <w:rtl/>
        </w:rPr>
        <w:t>,</w:t>
      </w:r>
      <w:r w:rsidRPr="00A13530">
        <w:rPr>
          <w:rtl/>
        </w:rPr>
        <w:t xml:space="preserve"> אם לא נמצא בהם טעם חלב הרי אלו מותרים</w:t>
      </w:r>
      <w:r w:rsidRPr="00A13530">
        <w:rPr>
          <w:rFonts w:hint="cs"/>
          <w:rtl/>
        </w:rPr>
        <w:t>,</w:t>
      </w:r>
      <w:r w:rsidRPr="00A13530">
        <w:rPr>
          <w:rtl/>
        </w:rPr>
        <w:t xml:space="preserve"> ואם נמצא בהם טעם חלב והיה בהם ממשו הרי אלו אסורין מן התורה</w:t>
      </w:r>
      <w:r w:rsidRPr="00A13530">
        <w:rPr>
          <w:rFonts w:hint="cs"/>
          <w:rtl/>
        </w:rPr>
        <w:t>...</w:t>
      </w:r>
      <w:r w:rsidRPr="00A13530">
        <w:rPr>
          <w:rtl/>
        </w:rPr>
        <w:t xml:space="preserve"> כיצד הוא ממשו כגון שהיה מן החלב כזית בכל שלש ביצים מן התערובת</w:t>
      </w:r>
      <w:r w:rsidRPr="00A13530">
        <w:rPr>
          <w:rFonts w:hint="cs"/>
          <w:rtl/>
        </w:rPr>
        <w:t>,</w:t>
      </w:r>
      <w:r w:rsidRPr="00A13530">
        <w:rPr>
          <w:rtl/>
        </w:rPr>
        <w:t xml:space="preserve"> אם אכל מן הגריסין האלו כשלש ביצים הואיל ויש בהם כזית מן החלב לוקה שהרי טעם האיסור וממשו קיים</w:t>
      </w:r>
      <w:r w:rsidRPr="00A13530">
        <w:rPr>
          <w:rFonts w:hint="cs"/>
          <w:rtl/>
        </w:rPr>
        <w:t>,</w:t>
      </w:r>
      <w:r w:rsidRPr="00A13530">
        <w:rPr>
          <w:rtl/>
        </w:rPr>
        <w:t xml:space="preserve"> אבל פחות משלש ביצים מכין אותו מכת מרדות מדבריהם</w:t>
      </w:r>
      <w:r w:rsidRPr="00A13530">
        <w:rPr>
          <w:rFonts w:hint="cs"/>
          <w:rtl/>
        </w:rPr>
        <w:t>,</w:t>
      </w:r>
      <w:r w:rsidRPr="00A13530">
        <w:rPr>
          <w:rtl/>
        </w:rPr>
        <w:t xml:space="preserve"> וכן אם לא היה בתערובת כזית בכל שלש ביצים אע</w:t>
      </w:r>
      <w:r w:rsidRPr="00A13530">
        <w:rPr>
          <w:rFonts w:hint="cs"/>
          <w:rtl/>
        </w:rPr>
        <w:t>"</w:t>
      </w:r>
      <w:r w:rsidRPr="00A13530">
        <w:rPr>
          <w:rtl/>
        </w:rPr>
        <w:t>פ שיש בהם טעם חלב ואכל כל הקדרה אינו לוקה אלא מכת מרדות</w:t>
      </w:r>
      <w:r>
        <w:rPr>
          <w:rStyle w:val="a7"/>
          <w:rFonts w:cs="Arial"/>
          <w:rtl/>
        </w:rPr>
        <w:footnoteReference w:id="1796"/>
      </w:r>
      <w:r>
        <w:rPr>
          <w:rFonts w:hint="cs"/>
          <w:sz w:val="16"/>
          <w:szCs w:val="16"/>
          <w:rtl/>
        </w:rPr>
        <w:t xml:space="preserve"> </w:t>
      </w:r>
      <w:r w:rsidRPr="005B5CA5">
        <w:rPr>
          <w:rFonts w:hint="cs"/>
          <w:sz w:val="16"/>
          <w:szCs w:val="16"/>
          <w:rtl/>
        </w:rPr>
        <w:t>(ל' הרמב"ם)</w:t>
      </w:r>
      <w:r w:rsidRPr="00A13530">
        <w:rPr>
          <w:rFonts w:hint="cs"/>
          <w:rtl/>
        </w:rPr>
        <w:t>.</w:t>
      </w:r>
    </w:p>
    <w:p w14:paraId="3D434EF5" w14:textId="77777777" w:rsidR="002C39F4" w:rsidRPr="00CC1855" w:rsidRDefault="002C39F4" w:rsidP="002C39F4">
      <w:pPr>
        <w:ind w:left="360"/>
        <w:rPr>
          <w:u w:val="dotted"/>
        </w:rPr>
      </w:pPr>
      <w:r w:rsidRPr="00CC1855">
        <w:rPr>
          <w:rFonts w:hint="cs"/>
          <w:u w:val="dotted"/>
          <w:rtl/>
        </w:rPr>
        <w:t>נתערב בו</w:t>
      </w:r>
      <w:r>
        <w:rPr>
          <w:rFonts w:hint="cs"/>
          <w:u w:val="dotted"/>
          <w:rtl/>
        </w:rPr>
        <w:t xml:space="preserve"> </w:t>
      </w:r>
      <w:r w:rsidRPr="00CC1855">
        <w:rPr>
          <w:rFonts w:hint="cs"/>
          <w:u w:val="dotted"/>
          <w:rtl/>
        </w:rPr>
        <w:t>ממשו</w:t>
      </w:r>
      <w:r>
        <w:rPr>
          <w:rFonts w:hint="cs"/>
          <w:u w:val="dotted"/>
          <w:rtl/>
        </w:rPr>
        <w:t xml:space="preserve"> ולא טעמו</w:t>
      </w:r>
      <w:r w:rsidRPr="00CC1855">
        <w:rPr>
          <w:rFonts w:hint="cs"/>
          <w:u w:val="dotted"/>
          <w:rtl/>
        </w:rPr>
        <w:t>:</w:t>
      </w:r>
    </w:p>
    <w:p w14:paraId="5A38D1F0" w14:textId="77777777" w:rsidR="002C39F4" w:rsidRDefault="002C39F4" w:rsidP="0032102C">
      <w:pPr>
        <w:pStyle w:val="a8"/>
        <w:numPr>
          <w:ilvl w:val="0"/>
          <w:numId w:val="177"/>
        </w:numPr>
        <w:rPr>
          <w:rFonts w:cs="Arial"/>
        </w:rPr>
      </w:pPr>
      <w:r w:rsidRPr="00CC1855">
        <w:rPr>
          <w:rFonts w:cs="Arial"/>
          <w:rtl/>
        </w:rPr>
        <w:t>ר"ן</w:t>
      </w:r>
      <w:r w:rsidRPr="00CC1855">
        <w:rPr>
          <w:rFonts w:cs="Arial" w:hint="cs"/>
          <w:rtl/>
        </w:rPr>
        <w:t xml:space="preserve"> </w:t>
      </w:r>
      <w:r w:rsidRPr="00CC1855">
        <w:rPr>
          <w:rFonts w:cs="Arial"/>
          <w:sz w:val="16"/>
          <w:szCs w:val="16"/>
          <w:rtl/>
        </w:rPr>
        <w:t>(לה: סוף דיבור ראשון</w:t>
      </w:r>
      <w:r w:rsidRPr="00CC1855">
        <w:rPr>
          <w:rFonts w:cs="Arial" w:hint="cs"/>
          <w:sz w:val="16"/>
          <w:szCs w:val="16"/>
          <w:rtl/>
        </w:rPr>
        <w:t>)</w:t>
      </w:r>
      <w:r w:rsidRPr="00CC1855">
        <w:rPr>
          <w:rFonts w:cs="Arial" w:hint="cs"/>
          <w:rtl/>
        </w:rPr>
        <w:t>-</w:t>
      </w:r>
      <w:r w:rsidRPr="00CC1855">
        <w:rPr>
          <w:rFonts w:cs="Arial"/>
          <w:rtl/>
        </w:rPr>
        <w:t xml:space="preserve"> שיעורא בששים</w:t>
      </w:r>
      <w:r>
        <w:rPr>
          <w:rFonts w:cs="Arial" w:hint="cs"/>
          <w:rtl/>
        </w:rPr>
        <w:t>.</w:t>
      </w:r>
    </w:p>
    <w:p w14:paraId="50DAC239" w14:textId="77777777" w:rsidR="002C39F4" w:rsidRPr="0094056C" w:rsidRDefault="002C39F4" w:rsidP="002C39F4">
      <w:pPr>
        <w:rPr>
          <w:rFonts w:cs="Arial"/>
          <w:u w:val="single"/>
        </w:rPr>
      </w:pPr>
      <w:r>
        <w:rPr>
          <w:rFonts w:cs="Arial" w:hint="cs"/>
          <w:u w:val="single"/>
          <w:rtl/>
        </w:rPr>
        <w:t>איסור שנתערב בעניין שאינו יכול לעמוד עליו לשערו</w:t>
      </w:r>
      <w:r w:rsidRPr="0094056C">
        <w:rPr>
          <w:rFonts w:cs="Arial" w:hint="cs"/>
          <w:u w:val="single"/>
          <w:rtl/>
        </w:rPr>
        <w:t>:</w:t>
      </w:r>
    </w:p>
    <w:p w14:paraId="7359DCF8" w14:textId="77777777" w:rsidR="002C39F4" w:rsidRPr="00BB702A" w:rsidRDefault="002C39F4" w:rsidP="0032102C">
      <w:pPr>
        <w:pStyle w:val="a8"/>
        <w:numPr>
          <w:ilvl w:val="0"/>
          <w:numId w:val="178"/>
        </w:numPr>
        <w:rPr>
          <w:rFonts w:cs="Arial"/>
          <w:rtl/>
        </w:rPr>
      </w:pPr>
      <w:r w:rsidRPr="00AD6984">
        <w:rPr>
          <w:rFonts w:cs="Arial"/>
          <w:rtl/>
        </w:rPr>
        <w:t xml:space="preserve">רש"י </w:t>
      </w:r>
      <w:r>
        <w:rPr>
          <w:rFonts w:cs="Arial" w:hint="cs"/>
          <w:sz w:val="16"/>
          <w:szCs w:val="16"/>
          <w:rtl/>
        </w:rPr>
        <w:t>(הביאו הטור)</w:t>
      </w:r>
      <w:r>
        <w:rPr>
          <w:rFonts w:cs="Arial" w:hint="cs"/>
          <w:rtl/>
        </w:rPr>
        <w:t xml:space="preserve">- </w:t>
      </w:r>
      <w:r w:rsidRPr="00AD6984">
        <w:rPr>
          <w:rFonts w:cs="Arial"/>
          <w:rtl/>
        </w:rPr>
        <w:t>תולין להקל מספק במין בשאינו מינו</w:t>
      </w:r>
      <w:r>
        <w:rPr>
          <w:rFonts w:hint="cs"/>
          <w:sz w:val="16"/>
          <w:szCs w:val="16"/>
          <w:rtl/>
        </w:rPr>
        <w:t xml:space="preserve"> {דהוא ספיקא דרבנן </w:t>
      </w:r>
      <w:r>
        <w:rPr>
          <w:sz w:val="16"/>
          <w:szCs w:val="16"/>
          <w:rtl/>
        </w:rPr>
        <w:t>–</w:t>
      </w:r>
      <w:r>
        <w:rPr>
          <w:rFonts w:hint="cs"/>
          <w:sz w:val="16"/>
          <w:szCs w:val="16"/>
          <w:rtl/>
        </w:rPr>
        <w:t xml:space="preserve"> לשיטתו}</w:t>
      </w:r>
      <w:r>
        <w:rPr>
          <w:rFonts w:hint="cs"/>
          <w:rtl/>
        </w:rPr>
        <w:t>.</w:t>
      </w:r>
      <w:r>
        <w:rPr>
          <w:rFonts w:cs="Arial" w:hint="cs"/>
          <w:rtl/>
        </w:rPr>
        <w:t xml:space="preserve"> </w:t>
      </w:r>
      <w:r w:rsidRPr="00BB702A">
        <w:rPr>
          <w:rFonts w:cs="Arial" w:hint="cs"/>
          <w:rtl/>
        </w:rPr>
        <w:t xml:space="preserve"> </w:t>
      </w:r>
      <w:r w:rsidRPr="00BB702A">
        <w:rPr>
          <w:rFonts w:cs="Arial"/>
          <w:rtl/>
        </w:rPr>
        <w:t xml:space="preserve"> </w:t>
      </w:r>
    </w:p>
    <w:p w14:paraId="597F153F" w14:textId="77777777" w:rsidR="002C39F4" w:rsidRDefault="002C39F4" w:rsidP="0032102C">
      <w:pPr>
        <w:pStyle w:val="a8"/>
        <w:numPr>
          <w:ilvl w:val="0"/>
          <w:numId w:val="178"/>
        </w:numPr>
        <w:rPr>
          <w:rFonts w:cs="Arial"/>
        </w:rPr>
      </w:pPr>
      <w:r w:rsidRPr="005D25EC">
        <w:rPr>
          <w:rFonts w:cs="Arial"/>
          <w:rtl/>
        </w:rPr>
        <w:t>ר"</w:t>
      </w:r>
      <w:r>
        <w:rPr>
          <w:rFonts w:cs="Arial" w:hint="cs"/>
          <w:rtl/>
        </w:rPr>
        <w:t>ת וסיעתו-</w:t>
      </w:r>
      <w:r w:rsidRPr="005D25EC">
        <w:rPr>
          <w:rFonts w:cs="Arial"/>
          <w:rtl/>
        </w:rPr>
        <w:t xml:space="preserve"> </w:t>
      </w:r>
      <w:r w:rsidRPr="001B738C">
        <w:rPr>
          <w:rFonts w:cs="Arial"/>
          <w:rtl/>
        </w:rPr>
        <w:t>אם</w:t>
      </w:r>
      <w:r>
        <w:rPr>
          <w:rFonts w:cs="Arial" w:hint="cs"/>
          <w:rtl/>
        </w:rPr>
        <w:t xml:space="preserve"> הוא </w:t>
      </w:r>
      <w:r w:rsidRPr="001B738C">
        <w:rPr>
          <w:rFonts w:cs="Arial"/>
          <w:rtl/>
        </w:rPr>
        <w:t xml:space="preserve">מין במינו </w:t>
      </w:r>
      <w:r>
        <w:rPr>
          <w:rFonts w:cs="Arial" w:hint="cs"/>
          <w:rtl/>
        </w:rPr>
        <w:t>ו</w:t>
      </w:r>
      <w:r w:rsidRPr="001B738C">
        <w:rPr>
          <w:rFonts w:cs="Arial"/>
          <w:rtl/>
        </w:rPr>
        <w:t>נתבאר שהיה רובו היתר</w:t>
      </w:r>
      <w:r>
        <w:rPr>
          <w:rFonts w:cs="Arial" w:hint="cs"/>
          <w:rtl/>
        </w:rPr>
        <w:t xml:space="preserve"> -</w:t>
      </w:r>
      <w:r w:rsidRPr="001B738C">
        <w:rPr>
          <w:rFonts w:cs="Arial"/>
          <w:rtl/>
        </w:rPr>
        <w:t xml:space="preserve"> מותר</w:t>
      </w:r>
      <w:r>
        <w:rPr>
          <w:rFonts w:cs="Arial" w:hint="cs"/>
          <w:rtl/>
        </w:rPr>
        <w:t>,</w:t>
      </w:r>
      <w:r w:rsidRPr="001B738C">
        <w:rPr>
          <w:rFonts w:cs="Arial"/>
          <w:rtl/>
        </w:rPr>
        <w:t xml:space="preserve"> דספיקא דרבנן תולין להקל</w:t>
      </w:r>
      <w:r>
        <w:rPr>
          <w:rFonts w:cs="Arial" w:hint="cs"/>
          <w:rtl/>
        </w:rPr>
        <w:t>,</w:t>
      </w:r>
      <w:r w:rsidRPr="001B738C">
        <w:rPr>
          <w:rFonts w:cs="Arial"/>
          <w:rtl/>
        </w:rPr>
        <w:t xml:space="preserve"> ואם לא נתבאר שרובו היה היתר</w:t>
      </w:r>
      <w:r>
        <w:rPr>
          <w:rFonts w:cs="Arial" w:hint="cs"/>
          <w:rtl/>
        </w:rPr>
        <w:t xml:space="preserve"> -</w:t>
      </w:r>
      <w:r w:rsidRPr="001B738C">
        <w:rPr>
          <w:rFonts w:cs="Arial"/>
          <w:rtl/>
        </w:rPr>
        <w:t xml:space="preserve"> אסור</w:t>
      </w:r>
      <w:r>
        <w:rPr>
          <w:rFonts w:cs="Arial" w:hint="cs"/>
          <w:rtl/>
        </w:rPr>
        <w:t>,</w:t>
      </w:r>
      <w:r w:rsidRPr="001B738C">
        <w:rPr>
          <w:rFonts w:cs="Arial"/>
          <w:rtl/>
        </w:rPr>
        <w:t xml:space="preserve"> ואם נתערב בשאינו מינו אסור</w:t>
      </w:r>
      <w:r>
        <w:rPr>
          <w:rFonts w:cs="Arial" w:hint="cs"/>
          <w:rtl/>
        </w:rPr>
        <w:t>, ד</w:t>
      </w:r>
      <w:r w:rsidRPr="001B738C">
        <w:rPr>
          <w:rFonts w:cs="Arial"/>
          <w:rtl/>
        </w:rPr>
        <w:t>ספיקא דאו</w:t>
      </w:r>
      <w:r>
        <w:rPr>
          <w:rFonts w:cs="Arial" w:hint="cs"/>
          <w:rtl/>
        </w:rPr>
        <w:t>'</w:t>
      </w:r>
      <w:r w:rsidRPr="001B738C">
        <w:rPr>
          <w:rFonts w:cs="Arial"/>
          <w:rtl/>
        </w:rPr>
        <w:t xml:space="preserve"> לחומרא</w:t>
      </w:r>
      <w:r>
        <w:rPr>
          <w:rStyle w:val="a7"/>
          <w:rFonts w:cs="Arial"/>
          <w:rtl/>
        </w:rPr>
        <w:footnoteReference w:id="1797"/>
      </w:r>
      <w:r>
        <w:rPr>
          <w:rFonts w:cs="Arial" w:hint="cs"/>
          <w:rtl/>
        </w:rPr>
        <w:t xml:space="preserve">. </w:t>
      </w:r>
      <w:r w:rsidRPr="00A2317E">
        <w:rPr>
          <w:rFonts w:cs="Arial" w:hint="cs"/>
          <w:color w:val="E36C0A" w:themeColor="accent6" w:themeShade="BF"/>
          <w:rtl/>
        </w:rPr>
        <w:t>(וכ"פ בשו"ע)</w:t>
      </w:r>
      <w:r>
        <w:rPr>
          <w:rFonts w:cs="Arial" w:hint="cs"/>
          <w:rtl/>
        </w:rPr>
        <w:t xml:space="preserve"> </w:t>
      </w:r>
    </w:p>
    <w:p w14:paraId="7B5EF52A" w14:textId="77777777" w:rsidR="002C39F4" w:rsidRPr="00474FB8" w:rsidRDefault="002C39F4" w:rsidP="0032102C">
      <w:pPr>
        <w:pStyle w:val="a8"/>
        <w:numPr>
          <w:ilvl w:val="0"/>
          <w:numId w:val="178"/>
        </w:numPr>
        <w:rPr>
          <w:rFonts w:cs="Arial"/>
          <w:rtl/>
        </w:rPr>
      </w:pPr>
      <w:r w:rsidRPr="00DC4C73">
        <w:rPr>
          <w:rFonts w:cs="Arial"/>
          <w:rtl/>
        </w:rPr>
        <w:t>או"ה</w:t>
      </w:r>
      <w:r w:rsidRPr="00DC4C73">
        <w:rPr>
          <w:rFonts w:cs="Arial"/>
          <w:sz w:val="16"/>
          <w:szCs w:val="16"/>
          <w:rtl/>
        </w:rPr>
        <w:t xml:space="preserve"> </w:t>
      </w:r>
      <w:r w:rsidRPr="00DC4C73">
        <w:rPr>
          <w:rFonts w:cs="Arial" w:hint="cs"/>
          <w:sz w:val="16"/>
          <w:szCs w:val="16"/>
          <w:rtl/>
        </w:rPr>
        <w:t>(</w:t>
      </w:r>
      <w:r w:rsidRPr="00DC4C73">
        <w:rPr>
          <w:rFonts w:cs="Arial"/>
          <w:sz w:val="16"/>
          <w:szCs w:val="16"/>
          <w:rtl/>
        </w:rPr>
        <w:t>כלל לז דין ה אות טו)</w:t>
      </w:r>
      <w:r>
        <w:rPr>
          <w:rFonts w:cs="Arial" w:hint="cs"/>
          <w:rtl/>
        </w:rPr>
        <w:t xml:space="preserve">- </w:t>
      </w:r>
      <w:r w:rsidRPr="00DC4C73">
        <w:rPr>
          <w:rFonts w:cs="Arial"/>
          <w:rtl/>
        </w:rPr>
        <w:t>אפילו נפל חלב לבשר עוף דהוא מדרבנן אפילו הכי אם נשפך אסור</w:t>
      </w:r>
      <w:r>
        <w:rPr>
          <w:rStyle w:val="a7"/>
          <w:rFonts w:cs="Arial"/>
          <w:rtl/>
        </w:rPr>
        <w:footnoteReference w:id="1798"/>
      </w:r>
      <w:r>
        <w:rPr>
          <w:rFonts w:cs="Arial" w:hint="cs"/>
          <w:rtl/>
        </w:rPr>
        <w:t>.</w:t>
      </w:r>
      <w:r>
        <w:rPr>
          <w:rFonts w:cs="Arial" w:hint="cs"/>
          <w:color w:val="FF0000"/>
          <w:sz w:val="16"/>
          <w:szCs w:val="16"/>
          <w:rtl/>
        </w:rPr>
        <w:t xml:space="preserve"> </w:t>
      </w:r>
    </w:p>
    <w:p w14:paraId="04F03FF3" w14:textId="77777777" w:rsidR="002C39F4" w:rsidRPr="006B46D1" w:rsidRDefault="002C39F4" w:rsidP="002C39F4">
      <w:pPr>
        <w:ind w:left="360"/>
        <w:rPr>
          <w:rFonts w:cs="Arial"/>
          <w:sz w:val="16"/>
          <w:szCs w:val="16"/>
        </w:rPr>
      </w:pPr>
      <w:r>
        <w:rPr>
          <w:rFonts w:cs="Arial" w:hint="cs"/>
          <w:u w:val="dotted"/>
          <w:rtl/>
        </w:rPr>
        <w:t>לר"ת וסיעתו - מה הדין ב</w:t>
      </w:r>
      <w:r w:rsidRPr="005D2AA3">
        <w:rPr>
          <w:rFonts w:cs="Arial" w:hint="cs"/>
          <w:u w:val="dotted"/>
          <w:rtl/>
        </w:rPr>
        <w:t xml:space="preserve">איסור שנתערב </w:t>
      </w:r>
      <w:r w:rsidRPr="005D2AA3">
        <w:rPr>
          <w:rFonts w:cs="Arial"/>
          <w:u w:val="dotted"/>
          <w:rtl/>
        </w:rPr>
        <w:t xml:space="preserve">במינו ובשאינו מינו </w:t>
      </w:r>
      <w:r w:rsidRPr="005D2AA3">
        <w:rPr>
          <w:rFonts w:cs="Arial"/>
          <w:b/>
          <w:bCs/>
          <w:u w:val="dotted"/>
          <w:rtl/>
        </w:rPr>
        <w:t>ונשפך</w:t>
      </w:r>
      <w:r w:rsidRPr="005D2AA3">
        <w:rPr>
          <w:rFonts w:cs="Arial" w:hint="cs"/>
          <w:sz w:val="16"/>
          <w:szCs w:val="16"/>
          <w:u w:val="dotted"/>
          <w:rtl/>
        </w:rPr>
        <w:t xml:space="preserve"> (היינו שאינו יכול לעמוד עליו לשערו - כדלעיל)</w:t>
      </w:r>
      <w:r w:rsidRPr="005D2AA3">
        <w:rPr>
          <w:rFonts w:cs="Arial" w:hint="cs"/>
          <w:u w:val="dotted"/>
          <w:rtl/>
        </w:rPr>
        <w:t>:</w:t>
      </w:r>
      <w:r>
        <w:rPr>
          <w:rFonts w:cs="Arial" w:hint="cs"/>
          <w:sz w:val="16"/>
          <w:szCs w:val="16"/>
          <w:rtl/>
        </w:rPr>
        <w:t xml:space="preserve">  (טור וב"י) </w:t>
      </w:r>
    </w:p>
    <w:p w14:paraId="0FD21224" w14:textId="77777777" w:rsidR="002C39F4" w:rsidRPr="00434000" w:rsidRDefault="002C39F4" w:rsidP="0032102C">
      <w:pPr>
        <w:pStyle w:val="a8"/>
        <w:numPr>
          <w:ilvl w:val="0"/>
          <w:numId w:val="178"/>
        </w:numPr>
        <w:rPr>
          <w:rFonts w:cs="Arial"/>
          <w:rtl/>
        </w:rPr>
      </w:pPr>
      <w:r>
        <w:rPr>
          <w:rFonts w:cs="Arial" w:hint="cs"/>
          <w:rtl/>
        </w:rPr>
        <w:t xml:space="preserve">רשב"א </w:t>
      </w:r>
      <w:r w:rsidRPr="00163381">
        <w:rPr>
          <w:rFonts w:cs="Arial" w:hint="cs"/>
          <w:sz w:val="16"/>
          <w:szCs w:val="16"/>
          <w:rtl/>
        </w:rPr>
        <w:t>(</w:t>
      </w:r>
      <w:r w:rsidRPr="00163381">
        <w:rPr>
          <w:rFonts w:cs="Arial"/>
          <w:sz w:val="16"/>
          <w:szCs w:val="16"/>
          <w:rtl/>
        </w:rPr>
        <w:t>ת</w:t>
      </w:r>
      <w:r w:rsidRPr="00163381">
        <w:rPr>
          <w:rFonts w:cs="Arial" w:hint="cs"/>
          <w:sz w:val="16"/>
          <w:szCs w:val="16"/>
          <w:rtl/>
        </w:rPr>
        <w:t>ו</w:t>
      </w:r>
      <w:r w:rsidRPr="00163381">
        <w:rPr>
          <w:rFonts w:cs="Arial"/>
          <w:sz w:val="16"/>
          <w:szCs w:val="16"/>
          <w:rtl/>
        </w:rPr>
        <w:t>ה</w:t>
      </w:r>
      <w:r w:rsidRPr="00163381">
        <w:rPr>
          <w:rFonts w:cs="Arial" w:hint="cs"/>
          <w:sz w:val="16"/>
          <w:szCs w:val="16"/>
          <w:rtl/>
        </w:rPr>
        <w:t>"</w:t>
      </w:r>
      <w:r>
        <w:rPr>
          <w:rFonts w:cs="Arial" w:hint="cs"/>
          <w:sz w:val="16"/>
          <w:szCs w:val="16"/>
          <w:rtl/>
        </w:rPr>
        <w:t>א</w:t>
      </w:r>
      <w:r w:rsidRPr="00163381">
        <w:rPr>
          <w:rFonts w:cs="Arial"/>
          <w:sz w:val="16"/>
          <w:szCs w:val="16"/>
          <w:rtl/>
        </w:rPr>
        <w:t xml:space="preserve"> ב"ד ש"א יא</w:t>
      </w:r>
      <w:r>
        <w:rPr>
          <w:rFonts w:cs="Arial" w:hint="cs"/>
          <w:sz w:val="16"/>
          <w:szCs w:val="16"/>
          <w:rtl/>
        </w:rPr>
        <w:t xml:space="preserve"> ע"ג</w:t>
      </w:r>
      <w:r w:rsidRPr="00163381">
        <w:rPr>
          <w:rFonts w:cs="Arial"/>
          <w:sz w:val="16"/>
          <w:szCs w:val="16"/>
          <w:rtl/>
        </w:rPr>
        <w:t>)</w:t>
      </w:r>
      <w:r>
        <w:rPr>
          <w:rFonts w:cs="Arial" w:hint="cs"/>
          <w:rtl/>
        </w:rPr>
        <w:t>-</w:t>
      </w:r>
      <w:r w:rsidRPr="005D25EC">
        <w:rPr>
          <w:rFonts w:cs="Arial"/>
          <w:rtl/>
        </w:rPr>
        <w:t xml:space="preserve"> </w:t>
      </w:r>
      <w:r w:rsidRPr="00474FB8">
        <w:rPr>
          <w:rFonts w:cs="Arial"/>
          <w:rtl/>
        </w:rPr>
        <w:t>אם נפל</w:t>
      </w:r>
      <w:r>
        <w:rPr>
          <w:rFonts w:cs="Arial" w:hint="cs"/>
          <w:sz w:val="16"/>
          <w:szCs w:val="16"/>
          <w:rtl/>
        </w:rPr>
        <w:t xml:space="preserve"> {האיסור}</w:t>
      </w:r>
      <w:r w:rsidRPr="00474FB8">
        <w:rPr>
          <w:rFonts w:cs="Arial"/>
          <w:rtl/>
        </w:rPr>
        <w:t xml:space="preserve"> לתוך מינו ושאינו מינו הולכין בו להקל כל זמן שנתברר לנו שרבה היתר שהוא מינו עליו</w:t>
      </w:r>
      <w:r>
        <w:rPr>
          <w:rStyle w:val="a7"/>
          <w:rFonts w:cs="Arial"/>
          <w:rtl/>
        </w:rPr>
        <w:footnoteReference w:id="1799"/>
      </w:r>
      <w:r>
        <w:rPr>
          <w:rFonts w:cs="Arial" w:hint="cs"/>
          <w:rtl/>
        </w:rPr>
        <w:t>,</w:t>
      </w:r>
      <w:r w:rsidRPr="00474FB8">
        <w:rPr>
          <w:rFonts w:cs="Arial"/>
          <w:rtl/>
        </w:rPr>
        <w:t xml:space="preserve"> דהא קיי</w:t>
      </w:r>
      <w:r>
        <w:rPr>
          <w:rFonts w:cs="Arial" w:hint="cs"/>
          <w:rtl/>
        </w:rPr>
        <w:t>"</w:t>
      </w:r>
      <w:r w:rsidRPr="00474FB8">
        <w:rPr>
          <w:rFonts w:cs="Arial"/>
          <w:rtl/>
        </w:rPr>
        <w:t>ל במין במינו ושאינו מינו רואין את מינו כמי שאינו להקל והשאר שאינו מינו רבה עליו ומבטלו</w:t>
      </w:r>
      <w:r>
        <w:rPr>
          <w:rFonts w:cs="Arial" w:hint="cs"/>
          <w:rtl/>
        </w:rPr>
        <w:t>,</w:t>
      </w:r>
      <w:r w:rsidRPr="00474FB8">
        <w:rPr>
          <w:rFonts w:cs="Arial"/>
          <w:rtl/>
        </w:rPr>
        <w:t xml:space="preserve"> וה</w:t>
      </w:r>
      <w:r>
        <w:rPr>
          <w:rFonts w:cs="Arial" w:hint="cs"/>
          <w:rtl/>
        </w:rPr>
        <w:t>"</w:t>
      </w:r>
      <w:r w:rsidRPr="00474FB8">
        <w:rPr>
          <w:rFonts w:cs="Arial"/>
          <w:rtl/>
        </w:rPr>
        <w:t>ה והוא הטעם כאן דאמרינן רואין את שאינו מינו כמי שאינו והשאר מינו רבה עליו ומבטלו</w:t>
      </w:r>
      <w:r>
        <w:rPr>
          <w:rFonts w:cs="Arial" w:hint="cs"/>
          <w:rtl/>
        </w:rPr>
        <w:t>.</w:t>
      </w:r>
      <w:r w:rsidRPr="003218FB">
        <w:rPr>
          <w:rFonts w:cs="Arial" w:hint="cs"/>
          <w:color w:val="E36C0A" w:themeColor="accent6" w:themeShade="BF"/>
          <w:rtl/>
        </w:rPr>
        <w:t xml:space="preserve"> </w:t>
      </w:r>
      <w:r w:rsidRPr="00A2317E">
        <w:rPr>
          <w:rFonts w:cs="Arial" w:hint="cs"/>
          <w:color w:val="E36C0A" w:themeColor="accent6" w:themeShade="BF"/>
          <w:rtl/>
        </w:rPr>
        <w:t>(וכ"פ בשו"ע)</w:t>
      </w:r>
    </w:p>
    <w:p w14:paraId="090E9FC9" w14:textId="77777777" w:rsidR="002C39F4" w:rsidRPr="00434000" w:rsidRDefault="002C39F4" w:rsidP="002C39F4">
      <w:pPr>
        <w:rPr>
          <w:rFonts w:cs="Arial"/>
        </w:rPr>
      </w:pPr>
      <w:r>
        <w:rPr>
          <w:rFonts w:cs="Arial" w:hint="cs"/>
          <w:b/>
          <w:bCs/>
          <w:rtl/>
        </w:rPr>
        <w:t>עבודה זרה סז ע"א:</w:t>
      </w:r>
      <w:r>
        <w:rPr>
          <w:rFonts w:cs="Arial" w:hint="cs"/>
          <w:rtl/>
        </w:rPr>
        <w:t xml:space="preserve"> </w:t>
      </w:r>
      <w:r w:rsidRPr="00434000">
        <w:rPr>
          <w:rFonts w:cs="Arial"/>
          <w:rtl/>
        </w:rPr>
        <w:t xml:space="preserve">חמרא עתיקא בענבי - דברי הכל בנותן טעם; חמרא חדתא בענבי - </w:t>
      </w:r>
      <w:r w:rsidRPr="00434000">
        <w:rPr>
          <w:rFonts w:cs="Arial"/>
          <w:u w:val="single"/>
          <w:rtl/>
        </w:rPr>
        <w:t>אביי אמר</w:t>
      </w:r>
      <w:r w:rsidRPr="00434000">
        <w:rPr>
          <w:rFonts w:cs="Arial"/>
          <w:rtl/>
        </w:rPr>
        <w:t xml:space="preserve">: במשהו, </w:t>
      </w:r>
      <w:r w:rsidRPr="00434000">
        <w:rPr>
          <w:rFonts w:cs="Arial"/>
          <w:u w:val="single"/>
          <w:rtl/>
        </w:rPr>
        <w:t>ורבא</w:t>
      </w:r>
      <w:r w:rsidRPr="00434000">
        <w:rPr>
          <w:rFonts w:cs="Arial"/>
          <w:rtl/>
        </w:rPr>
        <w:t xml:space="preserve"> </w:t>
      </w:r>
      <w:r w:rsidRPr="00434000">
        <w:rPr>
          <w:rFonts w:cs="Arial"/>
          <w:u w:val="single"/>
          <w:rtl/>
        </w:rPr>
        <w:t>אמר</w:t>
      </w:r>
      <w:r w:rsidRPr="00434000">
        <w:rPr>
          <w:rFonts w:cs="Arial"/>
          <w:rtl/>
        </w:rPr>
        <w:t>: בנותן טעם. אביי אמר במשהו, בתר טעמא אזלינן, אידי ואידי חד טעמא הוא, דהוה ליה מין במינו, ומין במינו במשהו; ורבא אמר בנותן טעם, בתר שמא אזלינן, והאי שמא לחוד והאי שמא לחוד, וה"ל מין בשאינו מינו, ומין בשאינו מינו בנ"ט.</w:t>
      </w:r>
    </w:p>
    <w:p w14:paraId="1114980C" w14:textId="77777777" w:rsidR="002C39F4" w:rsidRPr="00517FBA" w:rsidRDefault="002C39F4" w:rsidP="002C39F4">
      <w:pPr>
        <w:rPr>
          <w:rFonts w:cs="Arial"/>
          <w:sz w:val="16"/>
          <w:szCs w:val="16"/>
        </w:rPr>
      </w:pPr>
      <w:r w:rsidRPr="00623FD6">
        <w:rPr>
          <w:rFonts w:cs="Arial" w:hint="cs"/>
          <w:u w:val="single"/>
          <w:rtl/>
        </w:rPr>
        <w:t>מה נקרא מין במינו</w:t>
      </w:r>
      <w:r>
        <w:rPr>
          <w:rFonts w:cs="Arial" w:hint="cs"/>
          <w:u w:val="single"/>
          <w:rtl/>
        </w:rPr>
        <w:t>, ומה נקרא מיו בשאינו מינו</w:t>
      </w:r>
      <w:r w:rsidRPr="00623FD6">
        <w:rPr>
          <w:rFonts w:cs="Arial" w:hint="cs"/>
          <w:u w:val="single"/>
          <w:rtl/>
        </w:rPr>
        <w:t>:</w:t>
      </w:r>
      <w:r>
        <w:rPr>
          <w:rFonts w:cs="Arial" w:hint="cs"/>
          <w:sz w:val="16"/>
          <w:szCs w:val="16"/>
          <w:rtl/>
        </w:rPr>
        <w:t xml:space="preserve">   (ב"י)</w:t>
      </w:r>
    </w:p>
    <w:p w14:paraId="5E19B669" w14:textId="77777777" w:rsidR="002C39F4" w:rsidRPr="00517FBA" w:rsidRDefault="002C39F4" w:rsidP="0032102C">
      <w:pPr>
        <w:pStyle w:val="a8"/>
        <w:numPr>
          <w:ilvl w:val="0"/>
          <w:numId w:val="178"/>
        </w:numPr>
        <w:rPr>
          <w:rFonts w:cs="Arial"/>
          <w:rtl/>
        </w:rPr>
      </w:pPr>
      <w:r w:rsidRPr="00517FBA">
        <w:rPr>
          <w:rFonts w:cs="Arial" w:hint="cs"/>
          <w:rtl/>
        </w:rPr>
        <w:t>או"ז</w:t>
      </w:r>
      <w:r>
        <w:rPr>
          <w:rFonts w:cs="Arial" w:hint="cs"/>
          <w:rtl/>
        </w:rPr>
        <w:t xml:space="preserve"> </w:t>
      </w:r>
      <w:r w:rsidRPr="00517FBA">
        <w:rPr>
          <w:rFonts w:cs="Arial"/>
          <w:rtl/>
        </w:rPr>
        <w:t>מרדכי</w:t>
      </w:r>
      <w:r w:rsidRPr="00517FBA">
        <w:rPr>
          <w:rFonts w:cs="Arial" w:hint="cs"/>
          <w:rtl/>
        </w:rPr>
        <w:t xml:space="preserve"> ו</w:t>
      </w:r>
      <w:r w:rsidRPr="00517FBA">
        <w:rPr>
          <w:rFonts w:cs="Arial"/>
          <w:rtl/>
        </w:rPr>
        <w:t>אגור</w:t>
      </w:r>
      <w:r>
        <w:rPr>
          <w:rStyle w:val="a7"/>
          <w:rFonts w:cs="Arial"/>
          <w:rtl/>
        </w:rPr>
        <w:footnoteReference w:id="1800"/>
      </w:r>
      <w:r w:rsidRPr="00517FBA">
        <w:rPr>
          <w:rFonts w:cs="Arial" w:hint="cs"/>
          <w:rtl/>
        </w:rPr>
        <w:t xml:space="preserve">- </w:t>
      </w:r>
      <w:r w:rsidRPr="00517FBA">
        <w:rPr>
          <w:rFonts w:cs="Arial"/>
          <w:rtl/>
        </w:rPr>
        <w:t xml:space="preserve">כבד ובשר שני מינים הם כדאמרינן </w:t>
      </w:r>
      <w:r w:rsidRPr="00517FBA">
        <w:rPr>
          <w:rFonts w:cs="Arial"/>
          <w:sz w:val="16"/>
          <w:szCs w:val="16"/>
          <w:rtl/>
        </w:rPr>
        <w:t xml:space="preserve">(נדרים נד:) </w:t>
      </w:r>
      <w:r w:rsidRPr="00517FBA">
        <w:rPr>
          <w:rFonts w:cs="Arial"/>
          <w:rtl/>
        </w:rPr>
        <w:t>הנודר מן הבשר מותר בכבד</w:t>
      </w:r>
      <w:r w:rsidRPr="00517FBA">
        <w:rPr>
          <w:rFonts w:cs="Arial" w:hint="cs"/>
          <w:rtl/>
        </w:rPr>
        <w:t>,</w:t>
      </w:r>
      <w:r w:rsidRPr="00517FBA">
        <w:rPr>
          <w:rFonts w:cs="Arial"/>
          <w:rtl/>
        </w:rPr>
        <w:t xml:space="preserve"> ובשר עוף ובשר בהמה שני מינים הם</w:t>
      </w:r>
      <w:r w:rsidRPr="00517FBA">
        <w:rPr>
          <w:rFonts w:cs="Arial" w:hint="cs"/>
          <w:rtl/>
        </w:rPr>
        <w:t>,</w:t>
      </w:r>
      <w:r w:rsidRPr="00517FBA">
        <w:rPr>
          <w:rFonts w:cs="Arial"/>
          <w:rtl/>
        </w:rPr>
        <w:t xml:space="preserve"> </w:t>
      </w:r>
      <w:r w:rsidRPr="00517FBA">
        <w:rPr>
          <w:rFonts w:cs="Arial" w:hint="cs"/>
          <w:rtl/>
        </w:rPr>
        <w:t>ו</w:t>
      </w:r>
      <w:r w:rsidRPr="00517FBA">
        <w:rPr>
          <w:rFonts w:cs="Arial"/>
          <w:rtl/>
        </w:rPr>
        <w:t>קיי</w:t>
      </w:r>
      <w:r w:rsidRPr="00517FBA">
        <w:rPr>
          <w:rFonts w:cs="Arial" w:hint="cs"/>
          <w:rtl/>
        </w:rPr>
        <w:t>"ל</w:t>
      </w:r>
      <w:r w:rsidRPr="00517FBA">
        <w:rPr>
          <w:rFonts w:cs="Arial"/>
          <w:rtl/>
        </w:rPr>
        <w:t xml:space="preserve"> כרבא </w:t>
      </w:r>
      <w:r w:rsidRPr="00517FBA">
        <w:rPr>
          <w:rFonts w:cs="Arial"/>
          <w:sz w:val="16"/>
          <w:szCs w:val="16"/>
          <w:rtl/>
        </w:rPr>
        <w:t xml:space="preserve">(ע"ז סו.) </w:t>
      </w:r>
      <w:r w:rsidRPr="00517FBA">
        <w:rPr>
          <w:rFonts w:cs="Arial"/>
          <w:rtl/>
        </w:rPr>
        <w:t>דבתר שמא אזלינן</w:t>
      </w:r>
      <w:r>
        <w:rPr>
          <w:rFonts w:cs="Arial" w:hint="cs"/>
          <w:rtl/>
        </w:rPr>
        <w:t>,</w:t>
      </w:r>
      <w:r w:rsidRPr="00517FBA">
        <w:rPr>
          <w:rFonts w:cs="Arial"/>
          <w:rtl/>
        </w:rPr>
        <w:t xml:space="preserve"> חמרא חדתא ועינבי שני מינים הם</w:t>
      </w:r>
      <w:r w:rsidRPr="00517FBA">
        <w:rPr>
          <w:rFonts w:cs="Arial" w:hint="cs"/>
          <w:rtl/>
        </w:rPr>
        <w:t>,</w:t>
      </w:r>
      <w:r w:rsidRPr="00517FBA">
        <w:rPr>
          <w:rFonts w:cs="Arial"/>
          <w:rtl/>
        </w:rPr>
        <w:t xml:space="preserve"> ושאור ועיסה שני מינים הם</w:t>
      </w:r>
      <w:r w:rsidRPr="00517FBA">
        <w:rPr>
          <w:rFonts w:cs="Arial" w:hint="cs"/>
          <w:rtl/>
        </w:rPr>
        <w:t>,</w:t>
      </w:r>
      <w:r w:rsidRPr="00517FBA">
        <w:rPr>
          <w:rFonts w:cs="Arial"/>
          <w:rtl/>
        </w:rPr>
        <w:t xml:space="preserve"> ואיל ושור ועז שלשה מינים הם</w:t>
      </w:r>
      <w:r w:rsidRPr="00517FBA">
        <w:rPr>
          <w:rFonts w:cs="Arial" w:hint="cs"/>
          <w:rtl/>
        </w:rPr>
        <w:t>,</w:t>
      </w:r>
      <w:r w:rsidRPr="00517FBA">
        <w:rPr>
          <w:rFonts w:cs="Arial"/>
          <w:rtl/>
        </w:rPr>
        <w:t xml:space="preserve"> וכן מיני דגים ועופות שחלוקות בשמן שני מינין הם</w:t>
      </w:r>
      <w:r w:rsidRPr="00517FBA">
        <w:rPr>
          <w:rFonts w:cs="Arial" w:hint="cs"/>
          <w:rtl/>
        </w:rPr>
        <w:t>,</w:t>
      </w:r>
      <w:r w:rsidRPr="00517FBA">
        <w:rPr>
          <w:rFonts w:cs="Arial"/>
          <w:rtl/>
        </w:rPr>
        <w:t xml:space="preserve"> אבל ביצים של עוף זה בביצים של עוף זה הם מין במינו</w:t>
      </w:r>
      <w:r w:rsidRPr="00517FBA">
        <w:rPr>
          <w:rFonts w:cs="Arial" w:hint="cs"/>
          <w:rtl/>
        </w:rPr>
        <w:t>,</w:t>
      </w:r>
      <w:r w:rsidRPr="00517FBA">
        <w:rPr>
          <w:rFonts w:cs="Arial"/>
          <w:rtl/>
        </w:rPr>
        <w:t xml:space="preserve"> וחלב ובשר שני מינים הם</w:t>
      </w:r>
      <w:r w:rsidRPr="00517FBA">
        <w:rPr>
          <w:rFonts w:cs="Arial" w:hint="cs"/>
          <w:rtl/>
        </w:rPr>
        <w:t>,</w:t>
      </w:r>
      <w:r w:rsidRPr="00517FBA">
        <w:rPr>
          <w:rFonts w:cs="Arial"/>
          <w:rtl/>
        </w:rPr>
        <w:t xml:space="preserve"> שומן של הלב ושל הדקין מיקרי ח</w:t>
      </w:r>
      <w:r>
        <w:rPr>
          <w:rFonts w:cs="Arial" w:hint="cs"/>
          <w:rtl/>
        </w:rPr>
        <w:t>ֵ</w:t>
      </w:r>
      <w:r w:rsidRPr="00517FBA">
        <w:rPr>
          <w:rFonts w:cs="Arial"/>
          <w:rtl/>
        </w:rPr>
        <w:t>ל</w:t>
      </w:r>
      <w:r>
        <w:rPr>
          <w:rFonts w:cs="Arial" w:hint="cs"/>
          <w:rtl/>
        </w:rPr>
        <w:t>ֶ</w:t>
      </w:r>
      <w:r w:rsidRPr="00517FBA">
        <w:rPr>
          <w:rFonts w:cs="Arial"/>
          <w:rtl/>
        </w:rPr>
        <w:t>ב</w:t>
      </w:r>
      <w:r w:rsidRPr="00517FBA">
        <w:rPr>
          <w:rFonts w:cs="Arial" w:hint="cs"/>
          <w:rtl/>
        </w:rPr>
        <w:t>,</w:t>
      </w:r>
      <w:r w:rsidRPr="00517FBA">
        <w:rPr>
          <w:rFonts w:cs="Arial"/>
          <w:rtl/>
        </w:rPr>
        <w:t xml:space="preserve"> </w:t>
      </w:r>
      <w:r>
        <w:rPr>
          <w:rFonts w:cs="Arial" w:hint="cs"/>
          <w:rtl/>
        </w:rPr>
        <w:t>ו</w:t>
      </w:r>
      <w:r w:rsidRPr="00517FBA">
        <w:rPr>
          <w:rFonts w:cs="Arial"/>
          <w:rtl/>
        </w:rPr>
        <w:t>ח</w:t>
      </w:r>
      <w:r>
        <w:rPr>
          <w:rFonts w:cs="Arial" w:hint="cs"/>
          <w:rtl/>
        </w:rPr>
        <w:t>ֵ</w:t>
      </w:r>
      <w:r w:rsidRPr="00517FBA">
        <w:rPr>
          <w:rFonts w:cs="Arial"/>
          <w:rtl/>
        </w:rPr>
        <w:t>ל</w:t>
      </w:r>
      <w:r>
        <w:rPr>
          <w:rFonts w:cs="Arial" w:hint="cs"/>
          <w:rtl/>
        </w:rPr>
        <w:t>ֶ</w:t>
      </w:r>
      <w:r w:rsidRPr="00517FBA">
        <w:rPr>
          <w:rFonts w:cs="Arial"/>
          <w:rtl/>
        </w:rPr>
        <w:t>ב פרה ורחל מין אחד הוא</w:t>
      </w:r>
      <w:r w:rsidRPr="00517FBA">
        <w:rPr>
          <w:rFonts w:cs="Arial" w:hint="cs"/>
          <w:rtl/>
        </w:rPr>
        <w:t>,</w:t>
      </w:r>
      <w:r w:rsidRPr="00517FBA">
        <w:rPr>
          <w:rFonts w:cs="Arial"/>
          <w:rtl/>
        </w:rPr>
        <w:t xml:space="preserve"> ושומן של צלעות וחזה ואליה ושומן הירך בשר שמן הוא ומיקרי בשר ולא ח</w:t>
      </w:r>
      <w:r>
        <w:rPr>
          <w:rFonts w:cs="Arial" w:hint="cs"/>
          <w:rtl/>
        </w:rPr>
        <w:t>ֵ</w:t>
      </w:r>
      <w:r w:rsidRPr="00517FBA">
        <w:rPr>
          <w:rFonts w:cs="Arial"/>
          <w:rtl/>
        </w:rPr>
        <w:t>ל</w:t>
      </w:r>
      <w:r>
        <w:rPr>
          <w:rFonts w:cs="Arial" w:hint="cs"/>
          <w:rtl/>
        </w:rPr>
        <w:t>ֶ</w:t>
      </w:r>
      <w:r w:rsidRPr="00517FBA">
        <w:rPr>
          <w:rFonts w:cs="Arial"/>
          <w:rtl/>
        </w:rPr>
        <w:t>ב</w:t>
      </w:r>
      <w:r w:rsidRPr="00517FBA">
        <w:rPr>
          <w:rFonts w:cs="Arial" w:hint="cs"/>
          <w:rtl/>
        </w:rPr>
        <w:t>,</w:t>
      </w:r>
      <w:r w:rsidRPr="00517FBA">
        <w:rPr>
          <w:rFonts w:cs="Arial"/>
          <w:rtl/>
        </w:rPr>
        <w:t xml:space="preserve"> וכבש ואיל מין במינו הוא</w:t>
      </w:r>
      <w:r>
        <w:rPr>
          <w:rStyle w:val="a7"/>
          <w:rFonts w:cs="Arial"/>
          <w:rtl/>
        </w:rPr>
        <w:footnoteReference w:id="1801"/>
      </w:r>
      <w:r w:rsidRPr="00517FBA">
        <w:rPr>
          <w:rFonts w:cs="Arial" w:hint="cs"/>
          <w:sz w:val="16"/>
          <w:szCs w:val="16"/>
          <w:rtl/>
        </w:rPr>
        <w:t xml:space="preserve"> (ל' המרדכי)</w:t>
      </w:r>
      <w:r w:rsidRPr="00517FBA">
        <w:rPr>
          <w:rFonts w:cs="Arial" w:hint="cs"/>
          <w:rtl/>
        </w:rPr>
        <w:t>.</w:t>
      </w:r>
      <w:r w:rsidRPr="00517FBA">
        <w:rPr>
          <w:rFonts w:cs="Arial"/>
          <w:rtl/>
        </w:rPr>
        <w:t xml:space="preserve"> </w:t>
      </w:r>
      <w:r w:rsidRPr="003218FB">
        <w:rPr>
          <w:rFonts w:cs="Arial" w:hint="cs"/>
          <w:color w:val="00B0F0"/>
          <w:rtl/>
        </w:rPr>
        <w:t>(וכ"פ הרמ"א)</w:t>
      </w:r>
    </w:p>
    <w:p w14:paraId="1B77C0E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C2F05F9" w14:textId="77777777" w:rsidR="002C39F4" w:rsidRDefault="002C39F4" w:rsidP="002C39F4">
      <w:pPr>
        <w:rPr>
          <w:rFonts w:asciiTheme="minorBidi" w:hAnsiTheme="minorBidi"/>
          <w:rtl/>
        </w:rPr>
      </w:pPr>
      <w:r w:rsidRPr="003024E5">
        <w:rPr>
          <w:rFonts w:asciiTheme="minorBidi" w:hAnsiTheme="minorBidi"/>
          <w:rtl/>
        </w:rPr>
        <w:t>אם נתערב מין במינו ונשפך בענין שאין יכולין לעמוד עליו לשערו אם נודע שהיה רובו היתר מותר</w:t>
      </w:r>
      <w:r>
        <w:rPr>
          <w:rFonts w:asciiTheme="minorBidi" w:hAnsiTheme="minorBidi" w:hint="cs"/>
          <w:rtl/>
        </w:rPr>
        <w:t>,</w:t>
      </w:r>
      <w:r w:rsidRPr="003024E5">
        <w:rPr>
          <w:rFonts w:asciiTheme="minorBidi" w:hAnsiTheme="minorBidi"/>
          <w:rtl/>
        </w:rPr>
        <w:t xml:space="preserve"> ואם לא נודע שהיה רובו היתר אסור. </w:t>
      </w:r>
      <w:r w:rsidRPr="002B4232">
        <w:rPr>
          <w:rFonts w:asciiTheme="minorBidi" w:hAnsiTheme="minorBidi"/>
          <w:sz w:val="18"/>
          <w:szCs w:val="18"/>
          <w:rtl/>
        </w:rPr>
        <w:t>הגה: ולענין מין במינו אזלינן בתר שמא אם הוא שוה הוי מין במינו</w:t>
      </w:r>
      <w:r>
        <w:rPr>
          <w:rFonts w:asciiTheme="minorBidi" w:hAnsiTheme="minorBidi" w:hint="cs"/>
          <w:sz w:val="18"/>
          <w:szCs w:val="18"/>
          <w:rtl/>
        </w:rPr>
        <w:t>,</w:t>
      </w:r>
      <w:r w:rsidRPr="002B4232">
        <w:rPr>
          <w:rFonts w:asciiTheme="minorBidi" w:hAnsiTheme="minorBidi"/>
          <w:sz w:val="18"/>
          <w:szCs w:val="18"/>
          <w:rtl/>
        </w:rPr>
        <w:t xml:space="preserve"> אבל לא אזלינן בתר טעמא אם הוא שוה או ל</w:t>
      </w:r>
      <w:r>
        <w:rPr>
          <w:rFonts w:asciiTheme="minorBidi" w:hAnsiTheme="minorBidi"/>
          <w:sz w:val="18"/>
          <w:szCs w:val="18"/>
          <w:rtl/>
        </w:rPr>
        <w:t>א</w:t>
      </w:r>
      <w:r>
        <w:rPr>
          <w:rStyle w:val="a7"/>
          <w:rFonts w:asciiTheme="minorBidi" w:hAnsiTheme="minorBidi"/>
          <w:sz w:val="18"/>
          <w:szCs w:val="18"/>
          <w:rtl/>
        </w:rPr>
        <w:footnoteReference w:id="1802"/>
      </w:r>
      <w:r>
        <w:rPr>
          <w:rFonts w:asciiTheme="minorBidi" w:hAnsiTheme="minorBidi"/>
          <w:sz w:val="18"/>
          <w:szCs w:val="18"/>
          <w:rtl/>
        </w:rPr>
        <w:t xml:space="preserve"> (ב"י בשם האגור וכן הוא בהג</w:t>
      </w:r>
      <w:r w:rsidRPr="002B4232">
        <w:rPr>
          <w:rFonts w:asciiTheme="minorBidi" w:hAnsiTheme="minorBidi"/>
          <w:sz w:val="18"/>
          <w:szCs w:val="18"/>
          <w:rtl/>
        </w:rPr>
        <w:t>ש</w:t>
      </w:r>
      <w:r>
        <w:rPr>
          <w:rFonts w:asciiTheme="minorBidi" w:hAnsiTheme="minorBidi" w:hint="cs"/>
          <w:sz w:val="18"/>
          <w:szCs w:val="18"/>
          <w:rtl/>
        </w:rPr>
        <w:t>ע</w:t>
      </w:r>
      <w:r>
        <w:rPr>
          <w:rFonts w:asciiTheme="minorBidi" w:hAnsiTheme="minorBidi"/>
          <w:sz w:val="18"/>
          <w:szCs w:val="18"/>
          <w:rtl/>
        </w:rPr>
        <w:t>"ד סי' ל</w:t>
      </w:r>
      <w:r w:rsidRPr="002B4232">
        <w:rPr>
          <w:rFonts w:asciiTheme="minorBidi" w:hAnsiTheme="minorBidi"/>
          <w:sz w:val="18"/>
          <w:szCs w:val="18"/>
          <w:rtl/>
        </w:rPr>
        <w:t>ט)</w:t>
      </w:r>
      <w:r>
        <w:rPr>
          <w:rFonts w:asciiTheme="minorBidi" w:hAnsiTheme="minorBidi" w:hint="cs"/>
          <w:sz w:val="18"/>
          <w:szCs w:val="18"/>
          <w:rtl/>
        </w:rPr>
        <w:t>,</w:t>
      </w:r>
      <w:r w:rsidRPr="003024E5">
        <w:rPr>
          <w:rFonts w:asciiTheme="minorBidi" w:hAnsiTheme="minorBidi"/>
          <w:rtl/>
        </w:rPr>
        <w:t xml:space="preserve"> אבל אם נתערב בשאינו מינו ונשפך בענין שאין יכולין לעמוד עליו לשערו אפי</w:t>
      </w:r>
      <w:r>
        <w:rPr>
          <w:rFonts w:asciiTheme="minorBidi" w:hAnsiTheme="minorBidi" w:hint="cs"/>
          <w:rtl/>
        </w:rPr>
        <w:t>לו</w:t>
      </w:r>
      <w:r w:rsidRPr="003024E5">
        <w:rPr>
          <w:rFonts w:asciiTheme="minorBidi" w:hAnsiTheme="minorBidi"/>
          <w:rtl/>
        </w:rPr>
        <w:t xml:space="preserve"> נודע שהיה רובו היתר אסור</w:t>
      </w:r>
      <w:r>
        <w:rPr>
          <w:rFonts w:asciiTheme="minorBidi" w:hAnsiTheme="minorBidi" w:hint="cs"/>
          <w:rtl/>
        </w:rPr>
        <w:t>,</w:t>
      </w:r>
      <w:r w:rsidRPr="003024E5">
        <w:rPr>
          <w:rFonts w:asciiTheme="minorBidi" w:hAnsiTheme="minorBidi"/>
          <w:rtl/>
        </w:rPr>
        <w:t xml:space="preserve"> ואם נתערב במינו ובשאינו מינו ונשפך בענין שאין יכולין לעמוד עליו לשערו ונודע שהיה רובו היתר ממינו</w:t>
      </w:r>
      <w:r>
        <w:rPr>
          <w:rFonts w:asciiTheme="minorBidi" w:hAnsiTheme="minorBidi" w:hint="cs"/>
          <w:rtl/>
        </w:rPr>
        <w:t>,</w:t>
      </w:r>
      <w:r w:rsidRPr="003024E5">
        <w:rPr>
          <w:rFonts w:asciiTheme="minorBidi" w:hAnsiTheme="minorBidi"/>
          <w:rtl/>
        </w:rPr>
        <w:t xml:space="preserve"> רואין את שאינו מינו כאלו אינו והשאר מינו רבה עליו ומבטלו</w:t>
      </w:r>
      <w:r>
        <w:rPr>
          <w:rStyle w:val="a7"/>
          <w:rFonts w:asciiTheme="minorBidi" w:hAnsiTheme="minorBidi"/>
          <w:rtl/>
        </w:rPr>
        <w:footnoteReference w:id="1803"/>
      </w:r>
      <w:r w:rsidRPr="003024E5">
        <w:rPr>
          <w:rFonts w:asciiTheme="minorBidi" w:hAnsiTheme="minorBidi"/>
          <w:rtl/>
        </w:rPr>
        <w:t xml:space="preserve">. </w:t>
      </w:r>
    </w:p>
    <w:p w14:paraId="13050EEE" w14:textId="77777777" w:rsidR="002C39F4" w:rsidRPr="003024E5" w:rsidRDefault="002C39F4" w:rsidP="002C39F4">
      <w:pPr>
        <w:rPr>
          <w:rFonts w:asciiTheme="minorBidi" w:hAnsiTheme="minorBidi"/>
          <w:rtl/>
        </w:rPr>
      </w:pPr>
    </w:p>
    <w:p w14:paraId="441A8266" w14:textId="77777777" w:rsidR="002C39F4" w:rsidRPr="008835C7" w:rsidRDefault="002C39F4" w:rsidP="002C39F4">
      <w:pPr>
        <w:pStyle w:val="2"/>
        <w:rPr>
          <w:rFonts w:asciiTheme="minorBidi" w:hAnsiTheme="minorBidi"/>
          <w:rtl/>
        </w:rPr>
      </w:pPr>
      <w:r w:rsidRPr="008835C7">
        <w:rPr>
          <w:rFonts w:asciiTheme="minorBidi" w:hAnsiTheme="minorBidi"/>
          <w:rtl/>
        </w:rPr>
        <w:t>סעיף ג: נתערב בהיתר והוא לפנינו.</w:t>
      </w:r>
    </w:p>
    <w:p w14:paraId="480956E6" w14:textId="77777777" w:rsidR="002C39F4" w:rsidRPr="006B46D1" w:rsidRDefault="002C39F4" w:rsidP="002C39F4">
      <w:pPr>
        <w:rPr>
          <w:rFonts w:cs="Arial"/>
          <w:sz w:val="16"/>
          <w:szCs w:val="16"/>
        </w:rPr>
      </w:pPr>
      <w:r>
        <w:rPr>
          <w:rFonts w:cs="Arial" w:hint="cs"/>
          <w:u w:val="single"/>
          <w:rtl/>
        </w:rPr>
        <w:t>איסור שנתערב</w:t>
      </w:r>
      <w:r w:rsidRPr="001B738C">
        <w:rPr>
          <w:rFonts w:cs="Arial" w:hint="cs"/>
          <w:u w:val="single"/>
          <w:rtl/>
        </w:rPr>
        <w:t xml:space="preserve"> </w:t>
      </w:r>
      <w:r w:rsidRPr="001B738C">
        <w:rPr>
          <w:rFonts w:cs="Arial"/>
          <w:u w:val="single"/>
          <w:rtl/>
        </w:rPr>
        <w:t>ב</w:t>
      </w:r>
      <w:r>
        <w:rPr>
          <w:rFonts w:cs="Arial" w:hint="cs"/>
          <w:u w:val="single"/>
          <w:rtl/>
        </w:rPr>
        <w:t xml:space="preserve">היתר </w:t>
      </w:r>
      <w:r w:rsidRPr="003352F2">
        <w:rPr>
          <w:rFonts w:cs="Arial" w:hint="cs"/>
          <w:sz w:val="16"/>
          <w:szCs w:val="16"/>
          <w:u w:val="single"/>
          <w:rtl/>
        </w:rPr>
        <w:t>(בין נתערב ב</w:t>
      </w:r>
      <w:r w:rsidRPr="003352F2">
        <w:rPr>
          <w:rFonts w:cs="Arial"/>
          <w:sz w:val="16"/>
          <w:szCs w:val="16"/>
          <w:u w:val="single"/>
          <w:rtl/>
        </w:rPr>
        <w:t>מינו ובשאינו מינו</w:t>
      </w:r>
      <w:r w:rsidRPr="003352F2">
        <w:rPr>
          <w:rFonts w:cs="Arial" w:hint="cs"/>
          <w:sz w:val="16"/>
          <w:szCs w:val="16"/>
          <w:u w:val="single"/>
          <w:rtl/>
        </w:rPr>
        <w:t xml:space="preserve"> </w:t>
      </w:r>
      <w:r w:rsidRPr="00AD6984">
        <w:rPr>
          <w:rFonts w:cs="Arial" w:hint="cs"/>
          <w:sz w:val="16"/>
          <w:szCs w:val="16"/>
          <w:u w:val="single"/>
          <w:rtl/>
        </w:rPr>
        <w:t>ו</w:t>
      </w:r>
      <w:r>
        <w:rPr>
          <w:rFonts w:cs="Arial" w:hint="cs"/>
          <w:sz w:val="16"/>
          <w:szCs w:val="16"/>
          <w:u w:val="single"/>
          <w:rtl/>
        </w:rPr>
        <w:t>בין</w:t>
      </w:r>
      <w:r w:rsidRPr="00AD6984">
        <w:rPr>
          <w:rFonts w:cs="Arial" w:hint="cs"/>
          <w:sz w:val="16"/>
          <w:szCs w:val="16"/>
          <w:u w:val="single"/>
          <w:rtl/>
        </w:rPr>
        <w:t xml:space="preserve"> שנתערב במינו לבד</w:t>
      </w:r>
      <w:r>
        <w:rPr>
          <w:rFonts w:cs="Arial" w:hint="cs"/>
          <w:sz w:val="16"/>
          <w:szCs w:val="16"/>
          <w:u w:val="single"/>
          <w:rtl/>
        </w:rPr>
        <w:t>, ב"י</w:t>
      </w:r>
      <w:r w:rsidRPr="00AD6984">
        <w:rPr>
          <w:rFonts w:cs="Arial" w:hint="cs"/>
          <w:sz w:val="16"/>
          <w:szCs w:val="16"/>
          <w:u w:val="single"/>
          <w:rtl/>
        </w:rPr>
        <w:t>)</w:t>
      </w:r>
      <w:r>
        <w:rPr>
          <w:rFonts w:cs="Arial" w:hint="cs"/>
          <w:u w:val="single"/>
          <w:rtl/>
        </w:rPr>
        <w:t xml:space="preserve"> </w:t>
      </w:r>
      <w:r>
        <w:rPr>
          <w:rFonts w:cs="Arial" w:hint="cs"/>
          <w:b/>
          <w:bCs/>
          <w:u w:val="single"/>
          <w:rtl/>
        </w:rPr>
        <w:t>והוא לפנינו</w:t>
      </w:r>
      <w:r w:rsidRPr="001B738C">
        <w:rPr>
          <w:rFonts w:cs="Arial" w:hint="cs"/>
          <w:u w:val="single"/>
          <w:rtl/>
        </w:rPr>
        <w:t>:</w:t>
      </w:r>
      <w:r>
        <w:rPr>
          <w:rFonts w:cs="Arial" w:hint="cs"/>
          <w:sz w:val="16"/>
          <w:szCs w:val="16"/>
          <w:rtl/>
        </w:rPr>
        <w:t xml:space="preserve">  (טור וב"י) </w:t>
      </w:r>
    </w:p>
    <w:p w14:paraId="29579936" w14:textId="77777777" w:rsidR="002C39F4" w:rsidRDefault="002C39F4" w:rsidP="0032102C">
      <w:pPr>
        <w:pStyle w:val="a8"/>
        <w:numPr>
          <w:ilvl w:val="0"/>
          <w:numId w:val="178"/>
        </w:numPr>
        <w:rPr>
          <w:rtl/>
        </w:rPr>
      </w:pPr>
      <w:r w:rsidRPr="00D02CF3">
        <w:rPr>
          <w:rFonts w:cs="Arial"/>
          <w:rtl/>
        </w:rPr>
        <w:t>סמ"ג</w:t>
      </w:r>
      <w:r w:rsidRPr="00D02CF3">
        <w:rPr>
          <w:rFonts w:cs="Arial"/>
          <w:sz w:val="16"/>
          <w:szCs w:val="16"/>
          <w:rtl/>
        </w:rPr>
        <w:t xml:space="preserve"> (לאוין קמ קמא נב ע"ג)</w:t>
      </w:r>
      <w:r>
        <w:rPr>
          <w:rFonts w:cs="Arial" w:hint="cs"/>
          <w:rtl/>
        </w:rPr>
        <w:t xml:space="preserve"> </w:t>
      </w:r>
      <w:r w:rsidRPr="00D02CF3">
        <w:rPr>
          <w:rFonts w:cs="Arial" w:hint="cs"/>
          <w:rtl/>
        </w:rPr>
        <w:t xml:space="preserve">רשב"א </w:t>
      </w:r>
      <w:r w:rsidRPr="00D02CF3">
        <w:rPr>
          <w:rFonts w:cs="Arial" w:hint="cs"/>
          <w:sz w:val="16"/>
          <w:szCs w:val="16"/>
          <w:rtl/>
        </w:rPr>
        <w:t>(</w:t>
      </w:r>
      <w:r w:rsidRPr="00D02CF3">
        <w:rPr>
          <w:rFonts w:cs="Arial"/>
          <w:sz w:val="16"/>
          <w:szCs w:val="16"/>
          <w:rtl/>
        </w:rPr>
        <w:t>ת</w:t>
      </w:r>
      <w:r w:rsidRPr="00D02CF3">
        <w:rPr>
          <w:rFonts w:cs="Arial" w:hint="cs"/>
          <w:sz w:val="16"/>
          <w:szCs w:val="16"/>
          <w:rtl/>
        </w:rPr>
        <w:t>ו</w:t>
      </w:r>
      <w:r w:rsidRPr="00D02CF3">
        <w:rPr>
          <w:rFonts w:cs="Arial"/>
          <w:sz w:val="16"/>
          <w:szCs w:val="16"/>
          <w:rtl/>
        </w:rPr>
        <w:t>ה</w:t>
      </w:r>
      <w:r w:rsidRPr="00D02CF3">
        <w:rPr>
          <w:rFonts w:cs="Arial" w:hint="cs"/>
          <w:sz w:val="16"/>
          <w:szCs w:val="16"/>
          <w:rtl/>
        </w:rPr>
        <w:t>"א</w:t>
      </w:r>
      <w:r w:rsidRPr="00D02CF3">
        <w:rPr>
          <w:rFonts w:cs="Arial"/>
          <w:sz w:val="16"/>
          <w:szCs w:val="16"/>
          <w:rtl/>
        </w:rPr>
        <w:t xml:space="preserve"> ב"ד ש"א </w:t>
      </w:r>
      <w:r>
        <w:rPr>
          <w:rFonts w:cs="Arial" w:hint="cs"/>
          <w:sz w:val="16"/>
          <w:szCs w:val="16"/>
          <w:rtl/>
        </w:rPr>
        <w:t>ז:</w:t>
      </w:r>
      <w:r w:rsidRPr="00D02CF3">
        <w:rPr>
          <w:rFonts w:cs="Arial"/>
          <w:sz w:val="16"/>
          <w:szCs w:val="16"/>
          <w:rtl/>
        </w:rPr>
        <w:t>)</w:t>
      </w:r>
      <w:r>
        <w:rPr>
          <w:rFonts w:cs="Arial" w:hint="cs"/>
          <w:rtl/>
        </w:rPr>
        <w:t xml:space="preserve"> וטור- </w:t>
      </w:r>
      <w:r>
        <w:rPr>
          <w:rStyle w:val="a7"/>
          <w:rFonts w:cs="Arial"/>
          <w:rtl/>
        </w:rPr>
        <w:footnoteReference w:id="1804"/>
      </w:r>
      <w:r w:rsidRPr="00D02CF3">
        <w:rPr>
          <w:rFonts w:cs="Arial"/>
          <w:rtl/>
        </w:rPr>
        <w:t>ומ</w:t>
      </w:r>
      <w:r>
        <w:rPr>
          <w:rFonts w:cs="Arial" w:hint="cs"/>
          <w:rtl/>
        </w:rPr>
        <w:t>"מ</w:t>
      </w:r>
      <w:r w:rsidRPr="00D02CF3">
        <w:rPr>
          <w:rFonts w:cs="Arial"/>
          <w:rtl/>
        </w:rPr>
        <w:t xml:space="preserve"> כשהיתר ואיסור לפנינו וא</w:t>
      </w:r>
      <w:r>
        <w:rPr>
          <w:rFonts w:cs="Arial" w:hint="cs"/>
          <w:rtl/>
        </w:rPr>
        <w:t>"א</w:t>
      </w:r>
      <w:r w:rsidRPr="00D02CF3">
        <w:rPr>
          <w:rFonts w:cs="Arial"/>
          <w:rtl/>
        </w:rPr>
        <w:t xml:space="preserve"> לעמוד על שיעורו אע</w:t>
      </w:r>
      <w:r>
        <w:rPr>
          <w:rFonts w:cs="Arial" w:hint="cs"/>
          <w:rtl/>
        </w:rPr>
        <w:t>"</w:t>
      </w:r>
      <w:r w:rsidRPr="00D02CF3">
        <w:rPr>
          <w:rFonts w:cs="Arial"/>
          <w:rtl/>
        </w:rPr>
        <w:t xml:space="preserve">פ שהוא מאיסורים של דבריהם אסור והולכין בו להחמיר שהרי כחל מדרבנן ואפילו הכי אמרינן </w:t>
      </w:r>
      <w:r w:rsidRPr="00AD6984">
        <w:rPr>
          <w:rFonts w:cs="Arial"/>
          <w:sz w:val="16"/>
          <w:szCs w:val="16"/>
          <w:rtl/>
        </w:rPr>
        <w:t xml:space="preserve">(חולין צז:) </w:t>
      </w:r>
      <w:r w:rsidRPr="00D02CF3">
        <w:rPr>
          <w:rFonts w:cs="Arial"/>
          <w:rtl/>
        </w:rPr>
        <w:t>דבדידיה משערינן משום דמאי דנפיק מיניה לא ידעינן</w:t>
      </w:r>
      <w:r>
        <w:rPr>
          <w:rStyle w:val="a7"/>
          <w:rFonts w:cs="Arial"/>
          <w:rtl/>
        </w:rPr>
        <w:footnoteReference w:id="1805"/>
      </w:r>
      <w:r>
        <w:rPr>
          <w:rFonts w:cs="Arial" w:hint="cs"/>
          <w:sz w:val="16"/>
          <w:szCs w:val="16"/>
          <w:rtl/>
        </w:rPr>
        <w:t xml:space="preserve"> (ל' הרשב"א)</w:t>
      </w:r>
      <w:r>
        <w:rPr>
          <w:rFonts w:cs="Arial" w:hint="cs"/>
          <w:rtl/>
        </w:rPr>
        <w:t>.</w:t>
      </w:r>
      <w:r w:rsidRPr="00D02CF3">
        <w:rPr>
          <w:rFonts w:cs="Arial"/>
          <w:rtl/>
        </w:rPr>
        <w:t xml:space="preserve"> </w:t>
      </w:r>
      <w:r>
        <w:rPr>
          <w:rFonts w:hint="cs"/>
          <w:rtl/>
        </w:rPr>
        <w:t xml:space="preserve"> </w:t>
      </w:r>
    </w:p>
    <w:p w14:paraId="209D766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3D4E3DA" w14:textId="77777777" w:rsidR="002C39F4" w:rsidRDefault="002C39F4" w:rsidP="002C39F4">
      <w:pPr>
        <w:rPr>
          <w:rFonts w:asciiTheme="minorBidi" w:hAnsiTheme="minorBidi"/>
          <w:rtl/>
        </w:rPr>
      </w:pPr>
      <w:r w:rsidRPr="003024E5">
        <w:rPr>
          <w:rFonts w:asciiTheme="minorBidi" w:hAnsiTheme="minorBidi"/>
          <w:rtl/>
        </w:rPr>
        <w:t>במה דברים אמורים, כשנשפך</w:t>
      </w:r>
      <w:r>
        <w:rPr>
          <w:rFonts w:asciiTheme="minorBidi" w:hAnsiTheme="minorBidi" w:hint="cs"/>
          <w:rtl/>
        </w:rPr>
        <w:t>,</w:t>
      </w:r>
      <w:r w:rsidRPr="003024E5">
        <w:rPr>
          <w:rFonts w:asciiTheme="minorBidi" w:hAnsiTheme="minorBidi"/>
          <w:rtl/>
        </w:rPr>
        <w:t xml:space="preserve"> אבל איסור שנתערב בהיתר והוא לפנינו ואי אפשר לעמוד על שיעורו</w:t>
      </w:r>
      <w:r>
        <w:rPr>
          <w:rStyle w:val="a7"/>
          <w:rFonts w:asciiTheme="minorBidi" w:hAnsiTheme="minorBidi"/>
          <w:rtl/>
        </w:rPr>
        <w:footnoteReference w:id="1806"/>
      </w:r>
      <w:r w:rsidRPr="003024E5">
        <w:rPr>
          <w:rFonts w:asciiTheme="minorBidi" w:hAnsiTheme="minorBidi"/>
          <w:rtl/>
        </w:rPr>
        <w:t xml:space="preserve">, אף על פי שהוא מאיסורים של דבריהם אסור. </w:t>
      </w:r>
    </w:p>
    <w:p w14:paraId="2935FB23" w14:textId="77777777" w:rsidR="002C39F4" w:rsidRPr="003024E5" w:rsidRDefault="002C39F4" w:rsidP="002C39F4">
      <w:pPr>
        <w:rPr>
          <w:rFonts w:asciiTheme="minorBidi" w:hAnsiTheme="minorBidi"/>
          <w:rtl/>
        </w:rPr>
      </w:pPr>
    </w:p>
    <w:p w14:paraId="16F0387F" w14:textId="77777777" w:rsidR="002C39F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איסור שנתבשל עם היתר והוציאו את האיסור.</w:t>
      </w:r>
    </w:p>
    <w:p w14:paraId="18B41E41" w14:textId="77777777" w:rsidR="002C39F4" w:rsidRDefault="002C39F4" w:rsidP="002C39F4">
      <w:pPr>
        <w:rPr>
          <w:rFonts w:cs="Arial"/>
          <w:rtl/>
        </w:rPr>
      </w:pPr>
      <w:r>
        <w:rPr>
          <w:rFonts w:cs="Arial" w:hint="cs"/>
          <w:b/>
          <w:bCs/>
          <w:rtl/>
        </w:rPr>
        <w:t xml:space="preserve">חולין צז ע"ב: </w:t>
      </w:r>
      <w:r w:rsidRPr="00DD5209">
        <w:rPr>
          <w:rFonts w:cs="Arial"/>
          <w:u w:val="single"/>
          <w:rtl/>
        </w:rPr>
        <w:t>אמר רב נחמן</w:t>
      </w:r>
      <w:r w:rsidRPr="00DD5209">
        <w:rPr>
          <w:rFonts w:cs="Arial"/>
          <w:rtl/>
        </w:rPr>
        <w:t>: כחל בששים וכחל מן המנין</w:t>
      </w:r>
      <w:r>
        <w:rPr>
          <w:rFonts w:cs="Arial" w:hint="cs"/>
          <w:rtl/>
        </w:rPr>
        <w:t>...</w:t>
      </w:r>
      <w:r w:rsidRPr="006A6C12">
        <w:rPr>
          <w:rFonts w:cs="Arial"/>
          <w:rtl/>
        </w:rPr>
        <w:t xml:space="preserve"> </w:t>
      </w:r>
      <w:r w:rsidRPr="00DD5209">
        <w:rPr>
          <w:rFonts w:cs="Arial"/>
          <w:u w:val="single"/>
          <w:rtl/>
        </w:rPr>
        <w:t>אמר רב אשי</w:t>
      </w:r>
      <w:r w:rsidRPr="006A6C12">
        <w:rPr>
          <w:rFonts w:cs="Arial"/>
          <w:rtl/>
        </w:rPr>
        <w:t xml:space="preserve">, כי הוינן בי רב כהנא איבעיא לן: כי משערינן בדידיה משערינן או במאי דנפק מיניה משערינן? פשיטא דבדידיה משערינן, דאי במה דנפק מיניה מנא ידעינן? </w:t>
      </w:r>
      <w:r w:rsidRPr="00D112FC">
        <w:rPr>
          <w:rFonts w:cs="Arial" w:hint="cs"/>
          <w:sz w:val="16"/>
          <w:szCs w:val="16"/>
          <w:rtl/>
        </w:rPr>
        <w:t>(לפיכך</w:t>
      </w:r>
      <w:r>
        <w:rPr>
          <w:rFonts w:cs="Arial" w:hint="cs"/>
          <w:sz w:val="16"/>
          <w:szCs w:val="16"/>
          <w:rtl/>
        </w:rPr>
        <w:t>,</w:t>
      </w:r>
      <w:r w:rsidRPr="00D112FC">
        <w:rPr>
          <w:rFonts w:cs="Arial"/>
          <w:sz w:val="16"/>
          <w:szCs w:val="16"/>
          <w:rtl/>
        </w:rPr>
        <w:t xml:space="preserve"> לא מיבעיא איסור שנתערב בהיתר ונימוח בתוכו שצריך ס' לבטלו אלא אפי' מכירו והוא שלם וזרקו צריך ס' כנגד כל איסור שאין אנו יודעין כמה יצא ממנו</w:t>
      </w:r>
      <w:r>
        <w:rPr>
          <w:rFonts w:cs="Arial" w:hint="cs"/>
          <w:sz w:val="16"/>
          <w:szCs w:val="16"/>
          <w:rtl/>
        </w:rPr>
        <w:t>, טור</w:t>
      </w:r>
      <w:r w:rsidRPr="00D112FC">
        <w:rPr>
          <w:rFonts w:cs="Arial" w:hint="cs"/>
          <w:sz w:val="16"/>
          <w:szCs w:val="16"/>
          <w:rtl/>
        </w:rPr>
        <w:t>)</w:t>
      </w:r>
    </w:p>
    <w:p w14:paraId="50F96D58" w14:textId="77777777" w:rsidR="002C39F4" w:rsidRPr="00DD5209" w:rsidRDefault="002C39F4" w:rsidP="002C39F4">
      <w:pPr>
        <w:rPr>
          <w:rFonts w:cs="Arial"/>
          <w:sz w:val="16"/>
          <w:szCs w:val="16"/>
          <w:rtl/>
        </w:rPr>
      </w:pPr>
      <w:r w:rsidRPr="00DD5209">
        <w:rPr>
          <w:rFonts w:cs="Arial" w:hint="cs"/>
          <w:u w:val="single"/>
          <w:rtl/>
        </w:rPr>
        <w:t>האם רק בכחל משערין בדידיה</w:t>
      </w:r>
      <w:r w:rsidRPr="00DD5209">
        <w:rPr>
          <w:rFonts w:cs="Arial" w:hint="cs"/>
          <w:sz w:val="16"/>
          <w:szCs w:val="16"/>
          <w:u w:val="single"/>
          <w:rtl/>
        </w:rPr>
        <w:t xml:space="preserve"> (ולא במאי דנפיק מינה)</w:t>
      </w:r>
      <w:r w:rsidRPr="00DD5209">
        <w:rPr>
          <w:rFonts w:cs="Arial" w:hint="cs"/>
          <w:u w:val="single"/>
          <w:rtl/>
        </w:rPr>
        <w:t xml:space="preserve"> או גם בשאר דברים:</w:t>
      </w:r>
      <w:r>
        <w:rPr>
          <w:rFonts w:cs="Arial" w:hint="cs"/>
          <w:sz w:val="16"/>
          <w:szCs w:val="16"/>
          <w:rtl/>
        </w:rPr>
        <w:t xml:space="preserve">   (בדה"ב)</w:t>
      </w:r>
    </w:p>
    <w:p w14:paraId="0BE4989F" w14:textId="77777777" w:rsidR="002C39F4" w:rsidRPr="00B95F1F" w:rsidRDefault="002C39F4" w:rsidP="0032102C">
      <w:pPr>
        <w:pStyle w:val="a8"/>
        <w:numPr>
          <w:ilvl w:val="0"/>
          <w:numId w:val="178"/>
        </w:numPr>
        <w:rPr>
          <w:rFonts w:cs="Arial"/>
          <w:rtl/>
        </w:rPr>
      </w:pPr>
      <w:r w:rsidRPr="00DD5209">
        <w:rPr>
          <w:rFonts w:cs="Arial" w:hint="cs"/>
          <w:rtl/>
        </w:rPr>
        <w:t xml:space="preserve">א"ח </w:t>
      </w:r>
      <w:r w:rsidRPr="00DD5209">
        <w:rPr>
          <w:rFonts w:cs="Arial"/>
          <w:sz w:val="16"/>
          <w:szCs w:val="16"/>
          <w:rtl/>
        </w:rPr>
        <w:t>(</w:t>
      </w:r>
      <w:r>
        <w:rPr>
          <w:rFonts w:cs="Arial"/>
          <w:sz w:val="16"/>
          <w:szCs w:val="16"/>
          <w:rtl/>
        </w:rPr>
        <w:t>הלא"מ</w:t>
      </w:r>
      <w:r w:rsidRPr="00DD5209">
        <w:rPr>
          <w:rFonts w:cs="Arial" w:hint="cs"/>
          <w:sz w:val="16"/>
          <w:szCs w:val="16"/>
          <w:rtl/>
        </w:rPr>
        <w:t xml:space="preserve"> </w:t>
      </w:r>
      <w:r w:rsidRPr="00DD5209">
        <w:rPr>
          <w:rFonts w:cs="Arial"/>
          <w:sz w:val="16"/>
          <w:szCs w:val="16"/>
          <w:rtl/>
        </w:rPr>
        <w:t>אות יג)</w:t>
      </w:r>
      <w:r w:rsidRPr="00DD5209">
        <w:rPr>
          <w:rFonts w:cs="Arial" w:hint="cs"/>
          <w:rtl/>
        </w:rPr>
        <w:t xml:space="preserve">- </w:t>
      </w:r>
      <w:r w:rsidRPr="00DD5209">
        <w:rPr>
          <w:rFonts w:cs="Arial"/>
          <w:rtl/>
        </w:rPr>
        <w:t>בכל מה שהוא דו</w:t>
      </w:r>
      <w:r w:rsidRPr="00B95F1F">
        <w:rPr>
          <w:rFonts w:cs="Arial"/>
          <w:rtl/>
        </w:rPr>
        <w:t>מה לכחל כגון לב וכבד משערין במה דנפק מיניה לפי אומד הדעת ולא משערין בדידיה</w:t>
      </w:r>
      <w:r w:rsidRPr="00B95F1F">
        <w:rPr>
          <w:rFonts w:cs="Arial" w:hint="cs"/>
          <w:rtl/>
        </w:rPr>
        <w:t>,</w:t>
      </w:r>
      <w:r w:rsidRPr="00B95F1F">
        <w:rPr>
          <w:rFonts w:cs="Arial"/>
          <w:rtl/>
        </w:rPr>
        <w:t xml:space="preserve"> דדוקא בכחל משערין בדידיה משום דעשאוהו כחתיכת נבלה</w:t>
      </w:r>
      <w:r w:rsidRPr="00B95F1F">
        <w:rPr>
          <w:rFonts w:cs="Arial" w:hint="cs"/>
          <w:rtl/>
        </w:rPr>
        <w:t>.</w:t>
      </w:r>
    </w:p>
    <w:p w14:paraId="5BBFC275" w14:textId="77777777" w:rsidR="002C39F4" w:rsidRDefault="002C39F4" w:rsidP="0032102C">
      <w:pPr>
        <w:pStyle w:val="a8"/>
        <w:numPr>
          <w:ilvl w:val="0"/>
          <w:numId w:val="178"/>
        </w:numPr>
        <w:rPr>
          <w:rtl/>
        </w:rPr>
      </w:pPr>
      <w:r w:rsidRPr="00DD5209">
        <w:rPr>
          <w:rFonts w:cs="Arial" w:hint="cs"/>
          <w:rtl/>
        </w:rPr>
        <w:t>סה"ת</w:t>
      </w:r>
      <w:r w:rsidRPr="00DD5209">
        <w:rPr>
          <w:rFonts w:cs="Arial"/>
          <w:rtl/>
        </w:rPr>
        <w:t xml:space="preserve"> </w:t>
      </w:r>
      <w:r w:rsidRPr="00DD5209">
        <w:rPr>
          <w:rFonts w:cs="Arial"/>
          <w:sz w:val="16"/>
          <w:szCs w:val="16"/>
          <w:rtl/>
        </w:rPr>
        <w:t>(סי</w:t>
      </w:r>
      <w:r w:rsidRPr="00DD5209">
        <w:rPr>
          <w:rFonts w:cs="Arial" w:hint="cs"/>
          <w:sz w:val="16"/>
          <w:szCs w:val="16"/>
          <w:rtl/>
        </w:rPr>
        <w:t>'</w:t>
      </w:r>
      <w:r w:rsidRPr="00DD5209">
        <w:rPr>
          <w:rFonts w:cs="Arial"/>
          <w:sz w:val="16"/>
          <w:szCs w:val="16"/>
          <w:rtl/>
        </w:rPr>
        <w:t xml:space="preserve"> מח) </w:t>
      </w:r>
      <w:r>
        <w:rPr>
          <w:rFonts w:cs="Arial" w:hint="cs"/>
          <w:rtl/>
        </w:rPr>
        <w:t>ו</w:t>
      </w:r>
      <w:r w:rsidRPr="00636D59">
        <w:rPr>
          <w:rFonts w:cs="Arial"/>
          <w:rtl/>
        </w:rPr>
        <w:t xml:space="preserve">רשב"א </w:t>
      </w:r>
      <w:r w:rsidRPr="00636D59">
        <w:rPr>
          <w:rFonts w:cs="Arial"/>
          <w:sz w:val="16"/>
          <w:szCs w:val="16"/>
          <w:rtl/>
        </w:rPr>
        <w:t>(תוה"</w:t>
      </w:r>
      <w:r>
        <w:rPr>
          <w:rFonts w:cs="Arial" w:hint="cs"/>
          <w:sz w:val="16"/>
          <w:szCs w:val="16"/>
          <w:rtl/>
        </w:rPr>
        <w:t>ב</w:t>
      </w:r>
      <w:r w:rsidRPr="00636D59">
        <w:rPr>
          <w:rFonts w:cs="Arial"/>
          <w:sz w:val="16"/>
          <w:szCs w:val="16"/>
          <w:rtl/>
        </w:rPr>
        <w:t xml:space="preserve"> ב"ד ש"א)</w:t>
      </w:r>
      <w:r>
        <w:rPr>
          <w:rFonts w:cs="Arial" w:hint="cs"/>
          <w:rtl/>
        </w:rPr>
        <w:t xml:space="preserve">- </w:t>
      </w:r>
      <w:r w:rsidRPr="00DD5209">
        <w:rPr>
          <w:rFonts w:cs="Arial"/>
          <w:rtl/>
        </w:rPr>
        <w:t>בכולן משערין בדידיה דאי במאי דנפק מיניה לא ידעינן</w:t>
      </w:r>
      <w:r>
        <w:rPr>
          <w:rStyle w:val="a7"/>
          <w:rFonts w:cs="Arial"/>
          <w:rtl/>
        </w:rPr>
        <w:footnoteReference w:id="1807"/>
      </w:r>
      <w:r>
        <w:rPr>
          <w:rFonts w:cs="Arial" w:hint="cs"/>
          <w:rtl/>
        </w:rPr>
        <w:t xml:space="preserve">. </w:t>
      </w:r>
      <w:r w:rsidRPr="00A2317E">
        <w:rPr>
          <w:rFonts w:cs="Arial" w:hint="cs"/>
          <w:color w:val="E36C0A" w:themeColor="accent6" w:themeShade="BF"/>
          <w:rtl/>
        </w:rPr>
        <w:t>(וכ"פ בשו"ע)</w:t>
      </w:r>
    </w:p>
    <w:p w14:paraId="6693F345" w14:textId="77777777" w:rsidR="002C39F4" w:rsidRPr="00D112FC" w:rsidRDefault="002C39F4" w:rsidP="002C39F4">
      <w:pPr>
        <w:rPr>
          <w:rFonts w:cs="Arial"/>
          <w:u w:val="single"/>
        </w:rPr>
      </w:pPr>
      <w:r w:rsidRPr="00D112FC">
        <w:rPr>
          <w:rFonts w:cs="Arial" w:hint="cs"/>
          <w:u w:val="single"/>
          <w:rtl/>
        </w:rPr>
        <w:t xml:space="preserve">בישל בקדרה של איסור בת יומא </w:t>
      </w:r>
      <w:r w:rsidRPr="00D112FC">
        <w:rPr>
          <w:rFonts w:cs="Arial" w:hint="cs"/>
          <w:sz w:val="16"/>
          <w:szCs w:val="16"/>
          <w:u w:val="single"/>
          <w:rtl/>
        </w:rPr>
        <w:t>(או שתחב כף של איסור ב"י להיתר)</w:t>
      </w:r>
      <w:r>
        <w:rPr>
          <w:rFonts w:cs="Arial" w:hint="cs"/>
          <w:u w:val="single"/>
          <w:rtl/>
        </w:rPr>
        <w:t xml:space="preserve"> </w:t>
      </w:r>
      <w:r>
        <w:rPr>
          <w:rFonts w:cs="Arial"/>
          <w:u w:val="single"/>
          <w:rtl/>
        </w:rPr>
        <w:t>–</w:t>
      </w:r>
      <w:r w:rsidRPr="00D112FC">
        <w:rPr>
          <w:rFonts w:cs="Arial" w:hint="cs"/>
          <w:u w:val="single"/>
          <w:rtl/>
        </w:rPr>
        <w:t xml:space="preserve"> </w:t>
      </w:r>
      <w:r>
        <w:rPr>
          <w:rFonts w:cs="Arial" w:hint="cs"/>
          <w:u w:val="single"/>
          <w:rtl/>
        </w:rPr>
        <w:t>במאי משערינן</w:t>
      </w:r>
      <w:r w:rsidRPr="00D112FC">
        <w:rPr>
          <w:rFonts w:cs="Arial" w:hint="cs"/>
          <w:u w:val="single"/>
          <w:rtl/>
        </w:rPr>
        <w:t>:</w:t>
      </w:r>
    </w:p>
    <w:p w14:paraId="54E88611" w14:textId="77777777" w:rsidR="002C39F4" w:rsidRPr="00636D59" w:rsidRDefault="002C39F4" w:rsidP="0032102C">
      <w:pPr>
        <w:pStyle w:val="a8"/>
        <w:numPr>
          <w:ilvl w:val="0"/>
          <w:numId w:val="178"/>
        </w:numPr>
        <w:rPr>
          <w:rFonts w:cs="Arial"/>
          <w:rtl/>
        </w:rPr>
      </w:pPr>
      <w:r w:rsidRPr="00636D59">
        <w:rPr>
          <w:rFonts w:cs="Arial"/>
          <w:rtl/>
        </w:rPr>
        <w:t xml:space="preserve">ראב"ד </w:t>
      </w:r>
      <w:r w:rsidRPr="00636D59">
        <w:rPr>
          <w:rFonts w:cs="Arial"/>
          <w:sz w:val="16"/>
          <w:szCs w:val="16"/>
          <w:rtl/>
        </w:rPr>
        <w:t>(תמים דעים סי' ז)</w:t>
      </w:r>
      <w:r>
        <w:rPr>
          <w:rFonts w:cs="Arial" w:hint="cs"/>
          <w:rtl/>
        </w:rPr>
        <w:t>-</w:t>
      </w:r>
      <w:r w:rsidRPr="00636D59">
        <w:rPr>
          <w:rFonts w:cs="Arial"/>
          <w:rtl/>
        </w:rPr>
        <w:t xml:space="preserve"> לא אמרו </w:t>
      </w:r>
      <w:r>
        <w:rPr>
          <w:rFonts w:cs="Arial" w:hint="cs"/>
          <w:sz w:val="16"/>
          <w:szCs w:val="16"/>
          <w:rtl/>
        </w:rPr>
        <w:t xml:space="preserve">{בכוליה משערינן} </w:t>
      </w:r>
      <w:r w:rsidRPr="00636D59">
        <w:rPr>
          <w:rFonts w:cs="Arial"/>
          <w:rtl/>
        </w:rPr>
        <w:t>אלא באיסור שאינו חוזר להכשרו ככחל וכיוצא בו וכן בקדרה של חרס שאינו יוצא מידי דפיו לעולם</w:t>
      </w:r>
      <w:r>
        <w:rPr>
          <w:rFonts w:cs="Arial" w:hint="cs"/>
          <w:rtl/>
        </w:rPr>
        <w:t>,</w:t>
      </w:r>
      <w:r w:rsidRPr="00636D59">
        <w:rPr>
          <w:rFonts w:cs="Arial"/>
          <w:rtl/>
        </w:rPr>
        <w:t xml:space="preserve"> אבל בקדרה של מתכת וכף של עץ וכיוצא בו אין משערין בכולו אלא אומדין אומד יפה כמה יצא ממנו ומשערין בו</w:t>
      </w:r>
      <w:r>
        <w:rPr>
          <w:rFonts w:cs="Arial" w:hint="cs"/>
          <w:rtl/>
        </w:rPr>
        <w:t>.</w:t>
      </w:r>
    </w:p>
    <w:p w14:paraId="776C1882" w14:textId="77777777" w:rsidR="002C39F4" w:rsidRDefault="002C39F4" w:rsidP="0032102C">
      <w:pPr>
        <w:pStyle w:val="a8"/>
        <w:numPr>
          <w:ilvl w:val="0"/>
          <w:numId w:val="178"/>
        </w:numPr>
        <w:rPr>
          <w:rFonts w:cs="Arial"/>
        </w:rPr>
      </w:pPr>
      <w:r>
        <w:rPr>
          <w:rFonts w:cs="Arial"/>
          <w:rtl/>
        </w:rPr>
        <w:t xml:space="preserve">רמב"ן </w:t>
      </w:r>
      <w:r w:rsidRPr="00636D59">
        <w:rPr>
          <w:rFonts w:cs="Arial"/>
          <w:sz w:val="16"/>
          <w:szCs w:val="16"/>
          <w:rtl/>
        </w:rPr>
        <w:t>(חולין צ"ז: ד"ה בדידיה)</w:t>
      </w:r>
      <w:r w:rsidRPr="00636D59">
        <w:rPr>
          <w:rFonts w:cs="Arial" w:hint="cs"/>
          <w:sz w:val="16"/>
          <w:szCs w:val="16"/>
          <w:rtl/>
        </w:rPr>
        <w:t xml:space="preserve"> </w:t>
      </w:r>
      <w:r w:rsidRPr="00636D59">
        <w:rPr>
          <w:rFonts w:cs="Arial"/>
          <w:rtl/>
        </w:rPr>
        <w:t xml:space="preserve">רשב"א </w:t>
      </w:r>
      <w:r w:rsidRPr="00636D59">
        <w:rPr>
          <w:rFonts w:cs="Arial"/>
          <w:sz w:val="16"/>
          <w:szCs w:val="16"/>
          <w:rtl/>
        </w:rPr>
        <w:t>(</w:t>
      </w:r>
      <w:r>
        <w:rPr>
          <w:rFonts w:cs="Arial" w:hint="cs"/>
          <w:sz w:val="16"/>
          <w:szCs w:val="16"/>
          <w:rtl/>
        </w:rPr>
        <w:t>שם</w:t>
      </w:r>
      <w:r w:rsidRPr="00636D59">
        <w:rPr>
          <w:rFonts w:cs="Arial"/>
          <w:sz w:val="16"/>
          <w:szCs w:val="16"/>
          <w:rtl/>
        </w:rPr>
        <w:t>)</w:t>
      </w:r>
      <w:r w:rsidRPr="00636D59">
        <w:rPr>
          <w:rFonts w:cs="Arial" w:hint="cs"/>
          <w:rtl/>
        </w:rPr>
        <w:t xml:space="preserve"> </w:t>
      </w:r>
      <w:r>
        <w:rPr>
          <w:rFonts w:cs="Arial" w:hint="cs"/>
          <w:rtl/>
        </w:rPr>
        <w:t>ו</w:t>
      </w:r>
      <w:r w:rsidRPr="00636D59">
        <w:rPr>
          <w:rFonts w:cs="Arial" w:hint="cs"/>
          <w:rtl/>
        </w:rPr>
        <w:t xml:space="preserve">טור- </w:t>
      </w:r>
      <w:r>
        <w:rPr>
          <w:rFonts w:cs="Arial" w:hint="cs"/>
          <w:rtl/>
        </w:rPr>
        <w:t xml:space="preserve">כל כהאי גוונא </w:t>
      </w:r>
      <w:r w:rsidRPr="00636D59">
        <w:rPr>
          <w:rFonts w:cs="Arial"/>
          <w:rtl/>
        </w:rPr>
        <w:t>בבשר בחלב צריך ס' נגד כל הקדרה וכנגד כל מה שתחב מהכף שאין אנו יודעין כמה בלעו</w:t>
      </w:r>
      <w:r>
        <w:rPr>
          <w:rFonts w:cs="Arial" w:hint="cs"/>
          <w:rtl/>
        </w:rPr>
        <w:t>,</w:t>
      </w:r>
      <w:r w:rsidRPr="00A637FC">
        <w:rPr>
          <w:rtl/>
        </w:rPr>
        <w:t xml:space="preserve"> </w:t>
      </w:r>
      <w:r w:rsidRPr="00A637FC">
        <w:rPr>
          <w:rFonts w:cs="Arial"/>
          <w:rtl/>
        </w:rPr>
        <w:t>לא שנא הן של חרס או עץ או מתכת</w:t>
      </w:r>
      <w:r>
        <w:rPr>
          <w:rStyle w:val="a7"/>
          <w:rFonts w:cs="Arial"/>
          <w:rtl/>
        </w:rPr>
        <w:footnoteReference w:id="1808"/>
      </w:r>
      <w:r w:rsidRPr="00636D59">
        <w:rPr>
          <w:rFonts w:cs="Arial" w:hint="cs"/>
          <w:rtl/>
        </w:rPr>
        <w:t>.</w:t>
      </w:r>
      <w:r>
        <w:rPr>
          <w:rFonts w:cs="Arial" w:hint="cs"/>
          <w:rtl/>
        </w:rPr>
        <w:t xml:space="preserve"> </w:t>
      </w:r>
      <w:r w:rsidRPr="00A2317E">
        <w:rPr>
          <w:rFonts w:cs="Arial" w:hint="cs"/>
          <w:color w:val="E36C0A" w:themeColor="accent6" w:themeShade="BF"/>
          <w:rtl/>
        </w:rPr>
        <w:t>(וכ"פ בשו"ע)</w:t>
      </w:r>
    </w:p>
    <w:p w14:paraId="08F5275E" w14:textId="77777777" w:rsidR="002C39F4" w:rsidRPr="00636D59" w:rsidRDefault="002C39F4" w:rsidP="0032102C">
      <w:pPr>
        <w:pStyle w:val="a8"/>
        <w:numPr>
          <w:ilvl w:val="0"/>
          <w:numId w:val="178"/>
        </w:numPr>
        <w:rPr>
          <w:rFonts w:cs="Arial"/>
          <w:rtl/>
        </w:rPr>
      </w:pPr>
      <w:r>
        <w:rPr>
          <w:rFonts w:cs="Arial" w:hint="cs"/>
          <w:rtl/>
        </w:rPr>
        <w:t xml:space="preserve">ר"פ </w:t>
      </w:r>
      <w:r>
        <w:rPr>
          <w:rFonts w:cs="Arial" w:hint="cs"/>
          <w:sz w:val="16"/>
          <w:szCs w:val="16"/>
          <w:rtl/>
        </w:rPr>
        <w:t xml:space="preserve">(הביאו הטור </w:t>
      </w:r>
      <w:r w:rsidRPr="00B95F1F">
        <w:rPr>
          <w:rFonts w:cs="Arial" w:hint="cs"/>
          <w:sz w:val="14"/>
          <w:szCs w:val="14"/>
          <w:rtl/>
        </w:rPr>
        <w:t>[ועי' סי' צד</w:t>
      </w:r>
      <w:r>
        <w:rPr>
          <w:rFonts w:cs="Arial" w:hint="cs"/>
          <w:sz w:val="14"/>
          <w:szCs w:val="14"/>
          <w:rtl/>
        </w:rPr>
        <w:t>]</w:t>
      </w:r>
      <w:r>
        <w:rPr>
          <w:rFonts w:cs="Arial" w:hint="cs"/>
          <w:sz w:val="16"/>
          <w:szCs w:val="16"/>
          <w:rtl/>
        </w:rPr>
        <w:t>)</w:t>
      </w:r>
      <w:r>
        <w:rPr>
          <w:rFonts w:cs="Arial" w:hint="cs"/>
          <w:rtl/>
        </w:rPr>
        <w:t xml:space="preserve">- </w:t>
      </w:r>
      <w:r w:rsidRPr="00A637FC">
        <w:rPr>
          <w:rFonts w:cs="Arial"/>
          <w:rtl/>
        </w:rPr>
        <w:t>בכף של מתכת צריך ס' כנגד כולו אפי' לא הכניסו כולו משום דחם מקצתו חם כולו</w:t>
      </w:r>
      <w:r>
        <w:rPr>
          <w:rFonts w:cs="Arial" w:hint="cs"/>
          <w:rtl/>
        </w:rPr>
        <w:t>.</w:t>
      </w:r>
      <w:r w:rsidRPr="00636D59">
        <w:rPr>
          <w:rFonts w:cs="Arial" w:hint="cs"/>
          <w:rtl/>
        </w:rPr>
        <w:t xml:space="preserve"> </w:t>
      </w:r>
    </w:p>
    <w:p w14:paraId="3FF4099B" w14:textId="77777777" w:rsidR="002C39F4" w:rsidRPr="00D112FC" w:rsidRDefault="002C39F4" w:rsidP="002C39F4">
      <w:pPr>
        <w:rPr>
          <w:rFonts w:cs="Arial"/>
          <w:u w:val="single"/>
          <w:rtl/>
        </w:rPr>
      </w:pPr>
      <w:r w:rsidRPr="00D112FC">
        <w:rPr>
          <w:rFonts w:cs="Arial"/>
          <w:u w:val="single"/>
          <w:rtl/>
        </w:rPr>
        <w:t>היאך משערים ששים נגד הכלי האסור</w:t>
      </w:r>
      <w:r w:rsidRPr="00D112FC">
        <w:rPr>
          <w:rFonts w:cs="Arial" w:hint="cs"/>
          <w:u w:val="single"/>
          <w:rtl/>
        </w:rPr>
        <w:t>:</w:t>
      </w:r>
    </w:p>
    <w:p w14:paraId="10214B97" w14:textId="77777777" w:rsidR="002C39F4" w:rsidRPr="00D112FC" w:rsidRDefault="002C39F4" w:rsidP="0032102C">
      <w:pPr>
        <w:pStyle w:val="a8"/>
        <w:numPr>
          <w:ilvl w:val="0"/>
          <w:numId w:val="180"/>
        </w:numPr>
        <w:rPr>
          <w:rFonts w:cs="Arial"/>
          <w:rtl/>
        </w:rPr>
      </w:pPr>
      <w:r w:rsidRPr="00D112FC">
        <w:rPr>
          <w:rFonts w:cs="Arial"/>
          <w:rtl/>
        </w:rPr>
        <w:t xml:space="preserve">מרדכי </w:t>
      </w:r>
      <w:r w:rsidRPr="00D112FC">
        <w:rPr>
          <w:rFonts w:cs="Arial"/>
          <w:sz w:val="16"/>
          <w:szCs w:val="16"/>
          <w:rtl/>
        </w:rPr>
        <w:t>(</w:t>
      </w:r>
      <w:r w:rsidRPr="00D112FC">
        <w:rPr>
          <w:rFonts w:cs="Arial" w:hint="cs"/>
          <w:sz w:val="16"/>
          <w:szCs w:val="16"/>
          <w:rtl/>
        </w:rPr>
        <w:t xml:space="preserve">פג"ה </w:t>
      </w:r>
      <w:r w:rsidRPr="00D112FC">
        <w:rPr>
          <w:rFonts w:cs="Arial"/>
          <w:sz w:val="16"/>
          <w:szCs w:val="16"/>
          <w:rtl/>
        </w:rPr>
        <w:t xml:space="preserve">סי' תרפה) </w:t>
      </w:r>
      <w:r w:rsidRPr="00D112FC">
        <w:rPr>
          <w:rFonts w:cs="Arial"/>
          <w:rtl/>
        </w:rPr>
        <w:t xml:space="preserve">בשם ראבי"ה </w:t>
      </w:r>
      <w:r w:rsidRPr="00D112FC">
        <w:rPr>
          <w:rFonts w:cs="Arial"/>
          <w:sz w:val="16"/>
          <w:szCs w:val="16"/>
          <w:rtl/>
        </w:rPr>
        <w:t>(חולין סי' אלף קא)</w:t>
      </w:r>
      <w:r>
        <w:rPr>
          <w:rFonts w:cs="Arial" w:hint="cs"/>
          <w:rtl/>
        </w:rPr>
        <w:t>-</w:t>
      </w:r>
      <w:r w:rsidRPr="00D112FC">
        <w:rPr>
          <w:rFonts w:cs="Arial"/>
          <w:rtl/>
        </w:rPr>
        <w:t xml:space="preserve"> ממלאים כלי גדול מלא מים ויתן הקדרה האסורה תוך אותו כלי </w:t>
      </w:r>
      <w:r>
        <w:rPr>
          <w:rFonts w:cs="Arial" w:hint="cs"/>
          <w:sz w:val="16"/>
          <w:szCs w:val="16"/>
          <w:rtl/>
        </w:rPr>
        <w:t xml:space="preserve">{בהטייה, שלא יצאו מים גם כנגד אויר הקדרה} </w:t>
      </w:r>
      <w:r w:rsidRPr="00D112FC">
        <w:rPr>
          <w:rFonts w:cs="Arial"/>
          <w:rtl/>
        </w:rPr>
        <w:t>והמים היוצאים הן הן שיעור דופני הקדרה וישער בהיתר כנגד אותם המים</w:t>
      </w:r>
      <w:r w:rsidRPr="00D112FC">
        <w:rPr>
          <w:rFonts w:cs="Arial" w:hint="cs"/>
          <w:rtl/>
        </w:rPr>
        <w:t>.</w:t>
      </w:r>
      <w:r w:rsidRPr="00D112FC">
        <w:rPr>
          <w:rFonts w:cs="Arial"/>
          <w:rtl/>
        </w:rPr>
        <w:tab/>
      </w:r>
    </w:p>
    <w:p w14:paraId="685D8FE2" w14:textId="77777777" w:rsidR="002C39F4" w:rsidRPr="00D112FC" w:rsidRDefault="002C39F4" w:rsidP="002C39F4">
      <w:pPr>
        <w:rPr>
          <w:rFonts w:cs="Arial"/>
          <w:u w:val="single"/>
          <w:rtl/>
        </w:rPr>
      </w:pPr>
      <w:r w:rsidRPr="00D112FC">
        <w:rPr>
          <w:rFonts w:cs="Arial"/>
          <w:u w:val="single"/>
          <w:rtl/>
        </w:rPr>
        <w:t>ב</w:t>
      </w:r>
      <w:r>
        <w:rPr>
          <w:rFonts w:cs="Arial" w:hint="cs"/>
          <w:u w:val="single"/>
          <w:rtl/>
        </w:rPr>
        <w:t>י</w:t>
      </w:r>
      <w:r w:rsidRPr="00D112FC">
        <w:rPr>
          <w:rFonts w:cs="Arial"/>
          <w:u w:val="single"/>
          <w:rtl/>
        </w:rPr>
        <w:t>של איסור בקדרת היתר</w:t>
      </w:r>
      <w:r>
        <w:rPr>
          <w:rFonts w:cs="Arial" w:hint="cs"/>
          <w:u w:val="single"/>
          <w:rtl/>
        </w:rPr>
        <w:t xml:space="preserve"> </w:t>
      </w:r>
      <w:r>
        <w:rPr>
          <w:rFonts w:cs="Arial"/>
          <w:u w:val="single"/>
          <w:rtl/>
        </w:rPr>
        <w:t>–</w:t>
      </w:r>
      <w:r>
        <w:rPr>
          <w:rFonts w:cs="Arial" w:hint="cs"/>
          <w:u w:val="single"/>
          <w:rtl/>
        </w:rPr>
        <w:t xml:space="preserve"> האם הקדירה מצטרפת להיתר כדי לבטל האיסור</w:t>
      </w:r>
      <w:r w:rsidRPr="00D112FC">
        <w:rPr>
          <w:rFonts w:cs="Arial" w:hint="cs"/>
          <w:u w:val="single"/>
          <w:rtl/>
        </w:rPr>
        <w:t>:</w:t>
      </w:r>
    </w:p>
    <w:p w14:paraId="6865BB7F" w14:textId="77777777" w:rsidR="002C39F4" w:rsidRPr="00D112FC" w:rsidRDefault="002C39F4" w:rsidP="0032102C">
      <w:pPr>
        <w:pStyle w:val="a8"/>
        <w:numPr>
          <w:ilvl w:val="0"/>
          <w:numId w:val="179"/>
        </w:numPr>
        <w:rPr>
          <w:rFonts w:cs="Arial"/>
          <w:rtl/>
        </w:rPr>
      </w:pPr>
      <w:r w:rsidRPr="00D112FC">
        <w:rPr>
          <w:rFonts w:cs="Arial" w:hint="cs"/>
          <w:rtl/>
        </w:rPr>
        <w:t>טור-</w:t>
      </w:r>
      <w:r w:rsidRPr="00D112FC">
        <w:rPr>
          <w:rFonts w:cs="Arial"/>
          <w:rtl/>
        </w:rPr>
        <w:t xml:space="preserve"> לא אמרינן שגוף הקדרה תצטרף לבטל האיסור דלהחמיר אמרינן הכי ולא להקל ואין משערינן אלא במה שבתוכה</w:t>
      </w:r>
      <w:r>
        <w:rPr>
          <w:rStyle w:val="a7"/>
          <w:rFonts w:cs="Arial"/>
          <w:rtl/>
        </w:rPr>
        <w:footnoteReference w:id="1809"/>
      </w:r>
      <w:r>
        <w:rPr>
          <w:rFonts w:cs="Arial" w:hint="cs"/>
          <w:rtl/>
        </w:rPr>
        <w:t>.</w:t>
      </w:r>
      <w:r w:rsidRPr="00D112FC">
        <w:rPr>
          <w:rFonts w:cs="Arial"/>
          <w:rtl/>
        </w:rPr>
        <w:t xml:space="preserve"> </w:t>
      </w:r>
    </w:p>
    <w:p w14:paraId="21D6F4A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E741AEF" w14:textId="77777777" w:rsidR="002C39F4" w:rsidRDefault="002C39F4" w:rsidP="002C39F4">
      <w:pPr>
        <w:rPr>
          <w:rFonts w:asciiTheme="minorBidi" w:hAnsiTheme="minorBidi"/>
          <w:rtl/>
        </w:rPr>
      </w:pPr>
      <w:r w:rsidRPr="003024E5">
        <w:rPr>
          <w:rFonts w:asciiTheme="minorBidi" w:hAnsiTheme="minorBidi"/>
          <w:rtl/>
        </w:rPr>
        <w:t>איסור שנתבשל עם היתר אפילו מכירו והוא שלם וזרקו צריך ששים כנגד כל האיסור מפני שאין אנו יודעים כמה יצא ממנו</w:t>
      </w:r>
      <w:r>
        <w:rPr>
          <w:rFonts w:asciiTheme="minorBidi" w:hAnsiTheme="minorBidi" w:hint="cs"/>
          <w:rtl/>
        </w:rPr>
        <w:t>,</w:t>
      </w:r>
      <w:r w:rsidRPr="003024E5">
        <w:rPr>
          <w:rFonts w:asciiTheme="minorBidi" w:hAnsiTheme="minorBidi"/>
          <w:rtl/>
        </w:rPr>
        <w:t xml:space="preserve"> לפיכך המבשל בקדרת איסור שהיא בת יומא או תחב כף של איסור בהיתר צריך </w:t>
      </w:r>
      <w:r>
        <w:rPr>
          <w:rFonts w:asciiTheme="minorBidi" w:hAnsiTheme="minorBidi" w:hint="cs"/>
          <w:rtl/>
        </w:rPr>
        <w:t>ששים</w:t>
      </w:r>
      <w:r w:rsidRPr="003024E5">
        <w:rPr>
          <w:rFonts w:asciiTheme="minorBidi" w:hAnsiTheme="minorBidi"/>
          <w:rtl/>
        </w:rPr>
        <w:t xml:space="preserve"> כנגד כל הקדירה</w:t>
      </w:r>
      <w:r>
        <w:rPr>
          <w:rStyle w:val="a7"/>
          <w:rFonts w:asciiTheme="minorBidi" w:hAnsiTheme="minorBidi"/>
          <w:rtl/>
        </w:rPr>
        <w:footnoteReference w:id="1810"/>
      </w:r>
      <w:r w:rsidRPr="003024E5">
        <w:rPr>
          <w:rFonts w:asciiTheme="minorBidi" w:hAnsiTheme="minorBidi"/>
          <w:rtl/>
        </w:rPr>
        <w:t xml:space="preserve"> וכנגד כל מה שתחב מהכף שאין אנו יודעין כמה בלעו בין שהם של חרס או עץ או מתכת. </w:t>
      </w:r>
      <w:r w:rsidRPr="00636D59">
        <w:rPr>
          <w:rFonts w:asciiTheme="minorBidi" w:hAnsiTheme="minorBidi"/>
          <w:sz w:val="18"/>
          <w:szCs w:val="18"/>
          <w:rtl/>
        </w:rPr>
        <w:t>הגה: ובלבד שבלעו ע"י רתיחת אש שאז הבליעה הולכת בכל הכלי, אבל על ידי רתיחת מליחה אינו נבלע בכלי</w:t>
      </w:r>
      <w:r>
        <w:rPr>
          <w:rStyle w:val="a7"/>
          <w:rFonts w:asciiTheme="minorBidi" w:hAnsiTheme="minorBidi"/>
          <w:sz w:val="18"/>
          <w:szCs w:val="18"/>
          <w:rtl/>
        </w:rPr>
        <w:footnoteReference w:id="1811"/>
      </w:r>
      <w:r w:rsidRPr="00636D59">
        <w:rPr>
          <w:rFonts w:asciiTheme="minorBidi" w:hAnsiTheme="minorBidi"/>
          <w:sz w:val="18"/>
          <w:szCs w:val="18"/>
          <w:rtl/>
        </w:rPr>
        <w:t xml:space="preserve"> רק כדי קליפה וא"צ לשער רק כדי קליפה</w:t>
      </w:r>
      <w:r>
        <w:rPr>
          <w:rStyle w:val="a7"/>
          <w:rFonts w:asciiTheme="minorBidi" w:hAnsiTheme="minorBidi"/>
          <w:sz w:val="18"/>
          <w:szCs w:val="18"/>
          <w:rtl/>
        </w:rPr>
        <w:footnoteReference w:id="1812"/>
      </w:r>
      <w:r w:rsidRPr="00636D59">
        <w:rPr>
          <w:rFonts w:asciiTheme="minorBidi" w:hAnsiTheme="minorBidi"/>
          <w:sz w:val="18"/>
          <w:szCs w:val="18"/>
          <w:rtl/>
        </w:rPr>
        <w:t xml:space="preserve"> </w:t>
      </w:r>
      <w:r w:rsidRPr="002A7109">
        <w:rPr>
          <w:rFonts w:asciiTheme="minorBidi" w:hAnsiTheme="minorBidi"/>
          <w:sz w:val="16"/>
          <w:szCs w:val="16"/>
          <w:rtl/>
        </w:rPr>
        <w:t>(מרדכי וארוך כלל כד)</w:t>
      </w:r>
      <w:r w:rsidRPr="00636D59">
        <w:rPr>
          <w:rFonts w:asciiTheme="minorBidi" w:hAnsiTheme="minorBidi"/>
          <w:sz w:val="18"/>
          <w:szCs w:val="18"/>
          <w:rtl/>
        </w:rPr>
        <w:t>. וע</w:t>
      </w:r>
      <w:r>
        <w:rPr>
          <w:rFonts w:asciiTheme="minorBidi" w:hAnsiTheme="minorBidi" w:hint="cs"/>
          <w:sz w:val="18"/>
          <w:szCs w:val="18"/>
          <w:rtl/>
        </w:rPr>
        <w:t xml:space="preserve">יין </w:t>
      </w:r>
      <w:r w:rsidRPr="00636D59">
        <w:rPr>
          <w:rFonts w:asciiTheme="minorBidi" w:hAnsiTheme="minorBidi"/>
          <w:sz w:val="18"/>
          <w:szCs w:val="18"/>
          <w:rtl/>
        </w:rPr>
        <w:t>ל</w:t>
      </w:r>
      <w:r>
        <w:rPr>
          <w:rFonts w:asciiTheme="minorBidi" w:hAnsiTheme="minorBidi" w:hint="cs"/>
          <w:sz w:val="18"/>
          <w:szCs w:val="18"/>
          <w:rtl/>
        </w:rPr>
        <w:t>עיל</w:t>
      </w:r>
      <w:r w:rsidRPr="00636D59">
        <w:rPr>
          <w:rFonts w:asciiTheme="minorBidi" w:hAnsiTheme="minorBidi"/>
          <w:sz w:val="18"/>
          <w:szCs w:val="18"/>
          <w:rtl/>
        </w:rPr>
        <w:t xml:space="preserve"> סי</w:t>
      </w:r>
      <w:r>
        <w:rPr>
          <w:rFonts w:asciiTheme="minorBidi" w:hAnsiTheme="minorBidi" w:hint="cs"/>
          <w:sz w:val="18"/>
          <w:szCs w:val="18"/>
          <w:rtl/>
        </w:rPr>
        <w:t>'</w:t>
      </w:r>
      <w:r w:rsidRPr="00636D59">
        <w:rPr>
          <w:rFonts w:asciiTheme="minorBidi" w:hAnsiTheme="minorBidi"/>
          <w:sz w:val="18"/>
          <w:szCs w:val="18"/>
          <w:rtl/>
        </w:rPr>
        <w:t xml:space="preserve"> סט. </w:t>
      </w:r>
      <w:r w:rsidRPr="002A7109">
        <w:rPr>
          <w:rFonts w:asciiTheme="minorBidi" w:hAnsiTheme="minorBidi"/>
          <w:rtl/>
        </w:rPr>
        <w:t xml:space="preserve">ויש מי שמחמיר בכף של מתכת להצריך </w:t>
      </w:r>
      <w:r>
        <w:rPr>
          <w:rFonts w:asciiTheme="minorBidi" w:hAnsiTheme="minorBidi" w:hint="cs"/>
          <w:rtl/>
        </w:rPr>
        <w:t>ששים</w:t>
      </w:r>
      <w:r w:rsidRPr="002A7109">
        <w:rPr>
          <w:rFonts w:asciiTheme="minorBidi" w:hAnsiTheme="minorBidi"/>
          <w:rtl/>
        </w:rPr>
        <w:t xml:space="preserve"> כנגד כולו אפילו לא הכניס אלא מקצת משום דחם מקצתו חם כולו. </w:t>
      </w:r>
      <w:r w:rsidRPr="00636D59">
        <w:rPr>
          <w:rFonts w:asciiTheme="minorBidi" w:hAnsiTheme="minorBidi"/>
          <w:sz w:val="18"/>
          <w:szCs w:val="18"/>
          <w:rtl/>
        </w:rPr>
        <w:t>הגה: ונוהגין כסברא ראשונה</w:t>
      </w:r>
      <w:r>
        <w:rPr>
          <w:rFonts w:asciiTheme="minorBidi" w:hAnsiTheme="minorBidi" w:hint="cs"/>
          <w:sz w:val="18"/>
          <w:szCs w:val="18"/>
          <w:rtl/>
        </w:rPr>
        <w:t>.</w:t>
      </w:r>
      <w:r w:rsidRPr="00636D59">
        <w:rPr>
          <w:rFonts w:asciiTheme="minorBidi" w:hAnsiTheme="minorBidi"/>
          <w:sz w:val="18"/>
          <w:szCs w:val="18"/>
          <w:rtl/>
        </w:rPr>
        <w:t xml:space="preserve"> וכל איסור שמבטלים ב</w:t>
      </w:r>
      <w:r>
        <w:rPr>
          <w:rFonts w:asciiTheme="minorBidi" w:hAnsiTheme="minorBidi" w:hint="cs"/>
          <w:sz w:val="18"/>
          <w:szCs w:val="18"/>
          <w:rtl/>
        </w:rPr>
        <w:t>ס'</w:t>
      </w:r>
      <w:r w:rsidRPr="00636D59">
        <w:rPr>
          <w:rFonts w:asciiTheme="minorBidi" w:hAnsiTheme="minorBidi"/>
          <w:sz w:val="18"/>
          <w:szCs w:val="18"/>
          <w:rtl/>
        </w:rPr>
        <w:t xml:space="preserve"> אם מכירו צריך להסירו משם אע</w:t>
      </w:r>
      <w:r>
        <w:rPr>
          <w:rFonts w:asciiTheme="minorBidi" w:hAnsiTheme="minorBidi" w:hint="cs"/>
          <w:sz w:val="18"/>
          <w:szCs w:val="18"/>
          <w:rtl/>
        </w:rPr>
        <w:t>"</w:t>
      </w:r>
      <w:r w:rsidRPr="00636D59">
        <w:rPr>
          <w:rFonts w:asciiTheme="minorBidi" w:hAnsiTheme="minorBidi"/>
          <w:sz w:val="18"/>
          <w:szCs w:val="18"/>
          <w:rtl/>
        </w:rPr>
        <w:t>ג דכבר נתבטל טעמו ב</w:t>
      </w:r>
      <w:r>
        <w:rPr>
          <w:rFonts w:asciiTheme="minorBidi" w:hAnsiTheme="minorBidi" w:hint="cs"/>
          <w:sz w:val="18"/>
          <w:szCs w:val="18"/>
          <w:rtl/>
        </w:rPr>
        <w:t>ס',</w:t>
      </w:r>
      <w:r w:rsidRPr="00636D59">
        <w:rPr>
          <w:rFonts w:asciiTheme="minorBidi" w:hAnsiTheme="minorBidi"/>
          <w:sz w:val="18"/>
          <w:szCs w:val="18"/>
          <w:rtl/>
        </w:rPr>
        <w:t xml:space="preserve"> ולכן אם נפל ח</w:t>
      </w:r>
      <w:r>
        <w:rPr>
          <w:rFonts w:asciiTheme="minorBidi" w:hAnsiTheme="minorBidi" w:hint="cs"/>
          <w:sz w:val="18"/>
          <w:szCs w:val="18"/>
          <w:rtl/>
        </w:rPr>
        <w:t>ֵ</w:t>
      </w:r>
      <w:r w:rsidRPr="00636D59">
        <w:rPr>
          <w:rFonts w:asciiTheme="minorBidi" w:hAnsiTheme="minorBidi"/>
          <w:sz w:val="18"/>
          <w:szCs w:val="18"/>
          <w:rtl/>
        </w:rPr>
        <w:t>ל</w:t>
      </w:r>
      <w:r>
        <w:rPr>
          <w:rFonts w:asciiTheme="minorBidi" w:hAnsiTheme="minorBidi" w:hint="cs"/>
          <w:sz w:val="18"/>
          <w:szCs w:val="18"/>
          <w:rtl/>
        </w:rPr>
        <w:t>ֶ</w:t>
      </w:r>
      <w:r w:rsidRPr="00636D59">
        <w:rPr>
          <w:rFonts w:asciiTheme="minorBidi" w:hAnsiTheme="minorBidi"/>
          <w:sz w:val="18"/>
          <w:szCs w:val="18"/>
          <w:rtl/>
        </w:rPr>
        <w:t xml:space="preserve">ב לתוך התבשיל ונתבטל טעמו </w:t>
      </w:r>
      <w:r>
        <w:rPr>
          <w:rFonts w:asciiTheme="minorBidi" w:hAnsiTheme="minorBidi" w:hint="cs"/>
          <w:sz w:val="18"/>
          <w:szCs w:val="18"/>
          <w:rtl/>
        </w:rPr>
        <w:t>ס'</w:t>
      </w:r>
      <w:r w:rsidRPr="00636D59">
        <w:rPr>
          <w:rFonts w:asciiTheme="minorBidi" w:hAnsiTheme="minorBidi"/>
          <w:sz w:val="18"/>
          <w:szCs w:val="18"/>
          <w:rtl/>
        </w:rPr>
        <w:t xml:space="preserve"> צריך ליתן שם מים צוננים וטבע </w:t>
      </w:r>
      <w:r>
        <w:rPr>
          <w:rFonts w:asciiTheme="minorBidi" w:hAnsiTheme="minorBidi" w:hint="cs"/>
          <w:sz w:val="18"/>
          <w:szCs w:val="18"/>
          <w:rtl/>
        </w:rPr>
        <w:t>ה</w:t>
      </w:r>
      <w:r w:rsidRPr="00636D59">
        <w:rPr>
          <w:rFonts w:asciiTheme="minorBidi" w:hAnsiTheme="minorBidi"/>
          <w:sz w:val="18"/>
          <w:szCs w:val="18"/>
          <w:rtl/>
        </w:rPr>
        <w:t>ח</w:t>
      </w:r>
      <w:r>
        <w:rPr>
          <w:rFonts w:asciiTheme="minorBidi" w:hAnsiTheme="minorBidi" w:hint="cs"/>
          <w:sz w:val="18"/>
          <w:szCs w:val="18"/>
          <w:rtl/>
        </w:rPr>
        <w:t>ֵ</w:t>
      </w:r>
      <w:r w:rsidRPr="00636D59">
        <w:rPr>
          <w:rFonts w:asciiTheme="minorBidi" w:hAnsiTheme="minorBidi"/>
          <w:sz w:val="18"/>
          <w:szCs w:val="18"/>
          <w:rtl/>
        </w:rPr>
        <w:t>ל</w:t>
      </w:r>
      <w:r>
        <w:rPr>
          <w:rFonts w:asciiTheme="minorBidi" w:hAnsiTheme="minorBidi" w:hint="cs"/>
          <w:sz w:val="18"/>
          <w:szCs w:val="18"/>
          <w:rtl/>
        </w:rPr>
        <w:t>ֶ</w:t>
      </w:r>
      <w:r w:rsidRPr="00636D59">
        <w:rPr>
          <w:rFonts w:asciiTheme="minorBidi" w:hAnsiTheme="minorBidi"/>
          <w:sz w:val="18"/>
          <w:szCs w:val="18"/>
          <w:rtl/>
        </w:rPr>
        <w:t>ב להקפיא ולצוף למעלה על המים ויסירנו משם, דמאחר דאפשר להסירו הוי כאילו מכירו וצריך להסירו משם</w:t>
      </w:r>
      <w:r>
        <w:rPr>
          <w:rStyle w:val="a7"/>
          <w:rFonts w:asciiTheme="minorBidi" w:hAnsiTheme="minorBidi"/>
          <w:sz w:val="18"/>
          <w:szCs w:val="18"/>
          <w:rtl/>
        </w:rPr>
        <w:footnoteReference w:id="1813"/>
      </w:r>
      <w:r w:rsidRPr="00636D59">
        <w:rPr>
          <w:rFonts w:asciiTheme="minorBidi" w:hAnsiTheme="minorBidi"/>
          <w:sz w:val="18"/>
          <w:szCs w:val="18"/>
          <w:rtl/>
        </w:rPr>
        <w:t xml:space="preserve"> </w:t>
      </w:r>
      <w:r w:rsidRPr="002A7109">
        <w:rPr>
          <w:rFonts w:asciiTheme="minorBidi" w:hAnsiTheme="minorBidi"/>
          <w:sz w:val="16"/>
          <w:szCs w:val="16"/>
          <w:rtl/>
        </w:rPr>
        <w:t>(הגמ</w:t>
      </w:r>
      <w:r w:rsidRPr="002A7109">
        <w:rPr>
          <w:rFonts w:asciiTheme="minorBidi" w:hAnsiTheme="minorBidi" w:hint="cs"/>
          <w:sz w:val="16"/>
          <w:szCs w:val="16"/>
          <w:rtl/>
        </w:rPr>
        <w:t>"</w:t>
      </w:r>
      <w:r w:rsidRPr="002A7109">
        <w:rPr>
          <w:rFonts w:asciiTheme="minorBidi" w:hAnsiTheme="minorBidi"/>
          <w:sz w:val="16"/>
          <w:szCs w:val="16"/>
          <w:rtl/>
        </w:rPr>
        <w:t>ר</w:t>
      </w:r>
      <w:r w:rsidRPr="002A7109">
        <w:rPr>
          <w:rFonts w:asciiTheme="minorBidi" w:hAnsiTheme="minorBidi" w:hint="cs"/>
          <w:sz w:val="16"/>
          <w:szCs w:val="16"/>
          <w:rtl/>
        </w:rPr>
        <w:t xml:space="preserve"> </w:t>
      </w:r>
      <w:r w:rsidRPr="002A7109">
        <w:rPr>
          <w:rFonts w:asciiTheme="minorBidi" w:hAnsiTheme="minorBidi"/>
          <w:sz w:val="16"/>
          <w:szCs w:val="16"/>
          <w:rtl/>
        </w:rPr>
        <w:t>ובארוך כלל כג)</w:t>
      </w:r>
      <w:r w:rsidRPr="00636D59">
        <w:rPr>
          <w:rFonts w:asciiTheme="minorBidi" w:hAnsiTheme="minorBidi"/>
          <w:sz w:val="18"/>
          <w:szCs w:val="18"/>
          <w:rtl/>
        </w:rPr>
        <w:t xml:space="preserve">. איסור שנתבטל בקדירה והסירוהו משם ונפל לקדירה אחרת צריך לחזור ולבטלו </w:t>
      </w:r>
      <w:r>
        <w:rPr>
          <w:rFonts w:asciiTheme="minorBidi" w:hAnsiTheme="minorBidi" w:hint="cs"/>
          <w:sz w:val="18"/>
          <w:szCs w:val="18"/>
          <w:rtl/>
        </w:rPr>
        <w:t>בס'</w:t>
      </w:r>
      <w:r w:rsidRPr="00636D59">
        <w:rPr>
          <w:rFonts w:asciiTheme="minorBidi" w:hAnsiTheme="minorBidi"/>
          <w:sz w:val="18"/>
          <w:szCs w:val="18"/>
          <w:rtl/>
        </w:rPr>
        <w:t xml:space="preserve"> נגד כולו</w:t>
      </w:r>
      <w:r>
        <w:rPr>
          <w:rFonts w:asciiTheme="minorBidi" w:hAnsiTheme="minorBidi" w:hint="cs"/>
          <w:sz w:val="18"/>
          <w:szCs w:val="18"/>
          <w:rtl/>
        </w:rPr>
        <w:t>,</w:t>
      </w:r>
      <w:r w:rsidRPr="00636D59">
        <w:rPr>
          <w:rFonts w:asciiTheme="minorBidi" w:hAnsiTheme="minorBidi"/>
          <w:sz w:val="18"/>
          <w:szCs w:val="18"/>
          <w:rtl/>
        </w:rPr>
        <w:t xml:space="preserve"> וכן לעולם</w:t>
      </w:r>
      <w:r>
        <w:rPr>
          <w:rFonts w:asciiTheme="minorBidi" w:hAnsiTheme="minorBidi" w:hint="cs"/>
          <w:sz w:val="18"/>
          <w:szCs w:val="18"/>
          <w:rtl/>
        </w:rPr>
        <w:t>,</w:t>
      </w:r>
      <w:r w:rsidRPr="00636D59">
        <w:rPr>
          <w:rFonts w:asciiTheme="minorBidi" w:hAnsiTheme="minorBidi"/>
          <w:sz w:val="18"/>
          <w:szCs w:val="18"/>
          <w:rtl/>
        </w:rPr>
        <w:t xml:space="preserve"> אבל אם נפל לקדירה הראשונה ב' פעמים אין צריך רק </w:t>
      </w:r>
      <w:r>
        <w:rPr>
          <w:rFonts w:asciiTheme="minorBidi" w:hAnsiTheme="minorBidi" w:hint="cs"/>
          <w:sz w:val="18"/>
          <w:szCs w:val="18"/>
          <w:rtl/>
        </w:rPr>
        <w:t>ס'</w:t>
      </w:r>
      <w:r w:rsidRPr="00636D59">
        <w:rPr>
          <w:rFonts w:asciiTheme="minorBidi" w:hAnsiTheme="minorBidi"/>
          <w:sz w:val="18"/>
          <w:szCs w:val="18"/>
          <w:rtl/>
        </w:rPr>
        <w:t xml:space="preserve"> פעם אחת כנגדו </w:t>
      </w:r>
      <w:r w:rsidRPr="002A7109">
        <w:rPr>
          <w:rFonts w:asciiTheme="minorBidi" w:hAnsiTheme="minorBidi"/>
          <w:sz w:val="16"/>
          <w:szCs w:val="16"/>
          <w:rtl/>
        </w:rPr>
        <w:t>(ארוך כלל כד ד</w:t>
      </w:r>
      <w:r w:rsidRPr="002A7109">
        <w:rPr>
          <w:rFonts w:asciiTheme="minorBidi" w:hAnsiTheme="minorBidi" w:hint="cs"/>
          <w:sz w:val="16"/>
          <w:szCs w:val="16"/>
          <w:rtl/>
        </w:rPr>
        <w:t>"</w:t>
      </w:r>
      <w:r w:rsidRPr="002A7109">
        <w:rPr>
          <w:rFonts w:asciiTheme="minorBidi" w:hAnsiTheme="minorBidi"/>
          <w:sz w:val="16"/>
          <w:szCs w:val="16"/>
          <w:rtl/>
        </w:rPr>
        <w:t>ב)</w:t>
      </w:r>
      <w:r>
        <w:rPr>
          <w:rFonts w:asciiTheme="minorBidi" w:hAnsiTheme="minorBidi" w:hint="cs"/>
          <w:sz w:val="18"/>
          <w:szCs w:val="18"/>
          <w:rtl/>
        </w:rPr>
        <w:t>,</w:t>
      </w:r>
      <w:r w:rsidRPr="00636D59">
        <w:rPr>
          <w:rFonts w:asciiTheme="minorBidi" w:hAnsiTheme="minorBidi"/>
          <w:sz w:val="18"/>
          <w:szCs w:val="18"/>
          <w:rtl/>
        </w:rPr>
        <w:t xml:space="preserve"> ועיין לעיל סימן צד.</w:t>
      </w:r>
      <w:r w:rsidRPr="003024E5">
        <w:rPr>
          <w:rFonts w:asciiTheme="minorBidi" w:hAnsiTheme="minorBidi"/>
          <w:rtl/>
        </w:rPr>
        <w:t xml:space="preserve"> </w:t>
      </w:r>
    </w:p>
    <w:p w14:paraId="573A171E" w14:textId="77777777" w:rsidR="002C39F4" w:rsidRPr="003024E5" w:rsidRDefault="002C39F4" w:rsidP="002C39F4">
      <w:pPr>
        <w:rPr>
          <w:rFonts w:asciiTheme="minorBidi" w:hAnsiTheme="minorBidi"/>
          <w:rtl/>
        </w:rPr>
      </w:pPr>
    </w:p>
    <w:p w14:paraId="6A95C0FF"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קדרה/כף שבלעה איסור וידוע כמה בלעה.</w:t>
      </w:r>
    </w:p>
    <w:p w14:paraId="0E19F472" w14:textId="77777777" w:rsidR="002C39F4" w:rsidRPr="002A7109" w:rsidRDefault="002C39F4" w:rsidP="002C39F4">
      <w:pPr>
        <w:rPr>
          <w:u w:val="single"/>
          <w:rtl/>
        </w:rPr>
      </w:pPr>
      <w:r w:rsidRPr="002A7109">
        <w:rPr>
          <w:rFonts w:cs="Arial"/>
          <w:u w:val="single"/>
          <w:rtl/>
        </w:rPr>
        <w:t>אם ידוע כמה הוא האיסור</w:t>
      </w:r>
      <w:r w:rsidRPr="002A7109">
        <w:rPr>
          <w:rFonts w:cs="Arial" w:hint="cs"/>
          <w:u w:val="single"/>
          <w:rtl/>
        </w:rPr>
        <w:t xml:space="preserve"> שבלוע בקדרה/בכף</w:t>
      </w:r>
      <w:r w:rsidRPr="002A7109">
        <w:rPr>
          <w:rFonts w:cs="Arial"/>
          <w:u w:val="single"/>
          <w:rtl/>
        </w:rPr>
        <w:t xml:space="preserve"> –</w:t>
      </w:r>
      <w:r w:rsidRPr="002A7109">
        <w:rPr>
          <w:rFonts w:cs="Arial" w:hint="cs"/>
          <w:u w:val="single"/>
          <w:rtl/>
        </w:rPr>
        <w:t xml:space="preserve"> האם אפשר לשער בו או שעדיין משערין בכל הקדרה/הכף: </w:t>
      </w:r>
    </w:p>
    <w:p w14:paraId="14C36BEB" w14:textId="77777777" w:rsidR="002C39F4" w:rsidRPr="002A7109" w:rsidRDefault="002C39F4" w:rsidP="0032102C">
      <w:pPr>
        <w:pStyle w:val="a8"/>
        <w:numPr>
          <w:ilvl w:val="0"/>
          <w:numId w:val="179"/>
        </w:numPr>
        <w:rPr>
          <w:rFonts w:cs="Arial"/>
          <w:rtl/>
        </w:rPr>
      </w:pPr>
      <w:r w:rsidRPr="002A7109">
        <w:rPr>
          <w:rFonts w:cs="Arial"/>
          <w:rtl/>
        </w:rPr>
        <w:t xml:space="preserve">רשב"א </w:t>
      </w:r>
      <w:r w:rsidRPr="002A7109">
        <w:rPr>
          <w:rFonts w:cs="Arial" w:hint="cs"/>
          <w:sz w:val="16"/>
          <w:szCs w:val="16"/>
          <w:rtl/>
        </w:rPr>
        <w:t>(</w:t>
      </w:r>
      <w:r w:rsidRPr="002A7109">
        <w:rPr>
          <w:rFonts w:cs="Arial"/>
          <w:sz w:val="16"/>
          <w:szCs w:val="16"/>
          <w:rtl/>
        </w:rPr>
        <w:t>ת</w:t>
      </w:r>
      <w:r w:rsidRPr="002A7109">
        <w:rPr>
          <w:rFonts w:cs="Arial" w:hint="cs"/>
          <w:sz w:val="16"/>
          <w:szCs w:val="16"/>
          <w:rtl/>
        </w:rPr>
        <w:t>ו</w:t>
      </w:r>
      <w:r w:rsidRPr="002A7109">
        <w:rPr>
          <w:rFonts w:cs="Arial"/>
          <w:sz w:val="16"/>
          <w:szCs w:val="16"/>
          <w:rtl/>
        </w:rPr>
        <w:t>ה</w:t>
      </w:r>
      <w:r w:rsidRPr="002A7109">
        <w:rPr>
          <w:rFonts w:cs="Arial" w:hint="cs"/>
          <w:sz w:val="16"/>
          <w:szCs w:val="16"/>
          <w:rtl/>
        </w:rPr>
        <w:t>"א</w:t>
      </w:r>
      <w:r w:rsidRPr="002A7109">
        <w:rPr>
          <w:rFonts w:cs="Arial"/>
          <w:sz w:val="16"/>
          <w:szCs w:val="16"/>
          <w:rtl/>
        </w:rPr>
        <w:t xml:space="preserve"> ב"ד ש"א א ע"ג)</w:t>
      </w:r>
      <w:r w:rsidRPr="002A7109">
        <w:rPr>
          <w:rFonts w:cs="Arial" w:hint="cs"/>
          <w:sz w:val="16"/>
          <w:szCs w:val="16"/>
          <w:rtl/>
        </w:rPr>
        <w:t xml:space="preserve"> </w:t>
      </w:r>
      <w:r w:rsidRPr="002A7109">
        <w:rPr>
          <w:rFonts w:cs="Arial" w:hint="cs"/>
          <w:rtl/>
        </w:rPr>
        <w:t>וטור-</w:t>
      </w:r>
      <w:r w:rsidRPr="002A7109">
        <w:rPr>
          <w:rFonts w:cs="Arial"/>
          <w:rtl/>
        </w:rPr>
        <w:t xml:space="preserve"> היכא דניער בכף חדשה כזית </w:t>
      </w:r>
      <w:r w:rsidRPr="00517FBA">
        <w:rPr>
          <w:rFonts w:cs="Arial"/>
          <w:rtl/>
        </w:rPr>
        <w:t>ח</w:t>
      </w:r>
      <w:r>
        <w:rPr>
          <w:rFonts w:cs="Arial" w:hint="cs"/>
          <w:rtl/>
        </w:rPr>
        <w:t>ֵ</w:t>
      </w:r>
      <w:r w:rsidRPr="00517FBA">
        <w:rPr>
          <w:rFonts w:cs="Arial"/>
          <w:rtl/>
        </w:rPr>
        <w:t>ל</w:t>
      </w:r>
      <w:r>
        <w:rPr>
          <w:rFonts w:cs="Arial" w:hint="cs"/>
          <w:rtl/>
        </w:rPr>
        <w:t>ֶ</w:t>
      </w:r>
      <w:r w:rsidRPr="00517FBA">
        <w:rPr>
          <w:rFonts w:cs="Arial"/>
          <w:rtl/>
        </w:rPr>
        <w:t>ב</w:t>
      </w:r>
      <w:r w:rsidRPr="002A7109">
        <w:rPr>
          <w:rFonts w:cs="Arial"/>
          <w:rtl/>
        </w:rPr>
        <w:t xml:space="preserve"> ואח"כ תחבה בבשר אין צריך אלא ששים </w:t>
      </w:r>
      <w:r>
        <w:rPr>
          <w:rFonts w:cs="Arial" w:hint="cs"/>
          <w:rtl/>
        </w:rPr>
        <w:t>כ</w:t>
      </w:r>
      <w:r w:rsidRPr="00517FBA">
        <w:rPr>
          <w:rFonts w:cs="Arial"/>
          <w:rtl/>
        </w:rPr>
        <w:t>ח</w:t>
      </w:r>
      <w:r>
        <w:rPr>
          <w:rFonts w:cs="Arial" w:hint="cs"/>
          <w:rtl/>
        </w:rPr>
        <w:t>ֵ</w:t>
      </w:r>
      <w:r w:rsidRPr="00517FBA">
        <w:rPr>
          <w:rFonts w:cs="Arial"/>
          <w:rtl/>
        </w:rPr>
        <w:t>ל</w:t>
      </w:r>
      <w:r>
        <w:rPr>
          <w:rFonts w:cs="Arial" w:hint="cs"/>
          <w:rtl/>
        </w:rPr>
        <w:t>ֶ</w:t>
      </w:r>
      <w:r w:rsidRPr="00517FBA">
        <w:rPr>
          <w:rFonts w:cs="Arial"/>
          <w:rtl/>
        </w:rPr>
        <w:t>ב</w:t>
      </w:r>
      <w:r w:rsidRPr="002A7109">
        <w:rPr>
          <w:rFonts w:cs="Arial"/>
          <w:rtl/>
        </w:rPr>
        <w:t xml:space="preserve"> הנבלע בה דהא ידעינן כמה הוי</w:t>
      </w:r>
      <w:r w:rsidRPr="002A7109">
        <w:rPr>
          <w:rFonts w:cs="Arial" w:hint="cs"/>
          <w:rtl/>
        </w:rPr>
        <w:t>,</w:t>
      </w:r>
      <w:r w:rsidRPr="002A7109">
        <w:rPr>
          <w:rFonts w:cs="Arial"/>
          <w:rtl/>
        </w:rPr>
        <w:t xml:space="preserve"> וכן הדין אם ניער כזית </w:t>
      </w:r>
      <w:r w:rsidRPr="00517FBA">
        <w:rPr>
          <w:rFonts w:cs="Arial"/>
          <w:rtl/>
        </w:rPr>
        <w:t>ח</w:t>
      </w:r>
      <w:r>
        <w:rPr>
          <w:rFonts w:cs="Arial" w:hint="cs"/>
          <w:rtl/>
        </w:rPr>
        <w:t>ֵ</w:t>
      </w:r>
      <w:r w:rsidRPr="00517FBA">
        <w:rPr>
          <w:rFonts w:cs="Arial"/>
          <w:rtl/>
        </w:rPr>
        <w:t>ל</w:t>
      </w:r>
      <w:r>
        <w:rPr>
          <w:rFonts w:cs="Arial" w:hint="cs"/>
          <w:rtl/>
        </w:rPr>
        <w:t>ֶ</w:t>
      </w:r>
      <w:r w:rsidRPr="00517FBA">
        <w:rPr>
          <w:rFonts w:cs="Arial"/>
          <w:rtl/>
        </w:rPr>
        <w:t>ב</w:t>
      </w:r>
      <w:r w:rsidRPr="002A7109">
        <w:rPr>
          <w:rFonts w:cs="Arial"/>
          <w:rtl/>
        </w:rPr>
        <w:t xml:space="preserve"> בכף ישנה שאינה בת יומא</w:t>
      </w:r>
      <w:r w:rsidRPr="002A7109">
        <w:rPr>
          <w:rFonts w:cs="Arial" w:hint="cs"/>
          <w:rtl/>
        </w:rPr>
        <w:t>,</w:t>
      </w:r>
      <w:r w:rsidRPr="002A7109">
        <w:rPr>
          <w:rFonts w:cs="Arial"/>
          <w:rtl/>
        </w:rPr>
        <w:t xml:space="preserve"> אבל אם היתה ישנה ובת יומא יש לומר דחזר כל מה שבלוע בתוך הכף מבשר בחלב כחתיכת נבלה ובכולה משערינן דבמאי דנפק מינה לא ידעינן</w:t>
      </w:r>
      <w:r w:rsidRPr="002A7109">
        <w:rPr>
          <w:rFonts w:cs="Arial" w:hint="cs"/>
          <w:rtl/>
        </w:rPr>
        <w:t>.</w:t>
      </w:r>
      <w:r>
        <w:rPr>
          <w:rFonts w:cs="Arial" w:hint="cs"/>
          <w:rtl/>
        </w:rPr>
        <w:t xml:space="preserve"> </w:t>
      </w:r>
      <w:r w:rsidRPr="00A2317E">
        <w:rPr>
          <w:rFonts w:cs="Arial" w:hint="cs"/>
          <w:color w:val="E36C0A" w:themeColor="accent6" w:themeShade="BF"/>
          <w:rtl/>
        </w:rPr>
        <w:t>(וכ"</w:t>
      </w:r>
      <w:r>
        <w:rPr>
          <w:rFonts w:cs="Arial" w:hint="cs"/>
          <w:color w:val="E36C0A" w:themeColor="accent6" w:themeShade="BF"/>
          <w:rtl/>
        </w:rPr>
        <w:t>ס</w:t>
      </w:r>
      <w:r w:rsidRPr="00A2317E">
        <w:rPr>
          <w:rFonts w:cs="Arial" w:hint="cs"/>
          <w:color w:val="E36C0A" w:themeColor="accent6" w:themeShade="BF"/>
          <w:rtl/>
        </w:rPr>
        <w:t xml:space="preserve"> בשו"ע)</w:t>
      </w:r>
      <w:r>
        <w:rPr>
          <w:rFonts w:cs="Arial" w:hint="cs"/>
          <w:color w:val="00B0F0"/>
          <w:rtl/>
        </w:rPr>
        <w:t xml:space="preserve"> </w:t>
      </w:r>
      <w:r w:rsidRPr="003218FB">
        <w:rPr>
          <w:rFonts w:cs="Arial" w:hint="cs"/>
          <w:color w:val="00B0F0"/>
          <w:rtl/>
        </w:rPr>
        <w:t>(וכ"פ הרמ"א)</w:t>
      </w:r>
    </w:p>
    <w:p w14:paraId="280FDA2F" w14:textId="77777777" w:rsidR="002C39F4" w:rsidRPr="00A01037" w:rsidRDefault="002C39F4" w:rsidP="0032102C">
      <w:pPr>
        <w:pStyle w:val="a8"/>
        <w:numPr>
          <w:ilvl w:val="0"/>
          <w:numId w:val="179"/>
        </w:numPr>
        <w:rPr>
          <w:rtl/>
        </w:rPr>
      </w:pPr>
      <w:r w:rsidRPr="002A7109">
        <w:rPr>
          <w:rFonts w:cs="Arial"/>
          <w:rtl/>
        </w:rPr>
        <w:t xml:space="preserve">רמב"ן </w:t>
      </w:r>
      <w:r w:rsidRPr="0002434E">
        <w:rPr>
          <w:rFonts w:cs="Arial"/>
          <w:sz w:val="16"/>
          <w:szCs w:val="16"/>
          <w:rtl/>
        </w:rPr>
        <w:t>(חולין צ"ז: ד"ה בדידיה</w:t>
      </w:r>
      <w:r w:rsidRPr="002A7109">
        <w:rPr>
          <w:rFonts w:cs="Arial" w:hint="cs"/>
          <w:sz w:val="16"/>
          <w:szCs w:val="16"/>
          <w:rtl/>
        </w:rPr>
        <w:t>, הביאו הרשב"א</w:t>
      </w:r>
      <w:r w:rsidRPr="002A7109">
        <w:rPr>
          <w:rFonts w:cs="Arial"/>
          <w:sz w:val="16"/>
          <w:szCs w:val="16"/>
          <w:rtl/>
        </w:rPr>
        <w:t>)</w:t>
      </w:r>
      <w:r w:rsidRPr="002A7109">
        <w:rPr>
          <w:rFonts w:cs="Arial" w:hint="cs"/>
          <w:rtl/>
        </w:rPr>
        <w:t xml:space="preserve">- </w:t>
      </w:r>
      <w:r w:rsidRPr="002A7109">
        <w:rPr>
          <w:rFonts w:cs="Arial"/>
          <w:rtl/>
        </w:rPr>
        <w:t>לא אמרינן בבלוע חתיכה עצמה נעשית נבלה</w:t>
      </w:r>
      <w:r>
        <w:rPr>
          <w:rFonts w:cs="Arial" w:hint="cs"/>
          <w:rtl/>
        </w:rPr>
        <w:t>,</w:t>
      </w:r>
      <w:r w:rsidRPr="002A7109">
        <w:rPr>
          <w:rFonts w:cs="Arial"/>
          <w:rtl/>
        </w:rPr>
        <w:t xml:space="preserve"> ואין משערינן בין בישנה</w:t>
      </w:r>
      <w:r>
        <w:rPr>
          <w:rFonts w:cs="Arial" w:hint="cs"/>
          <w:sz w:val="16"/>
          <w:szCs w:val="16"/>
          <w:rtl/>
        </w:rPr>
        <w:t xml:space="preserve"> {ובת יומא}</w:t>
      </w:r>
      <w:r w:rsidRPr="002A7109">
        <w:rPr>
          <w:rFonts w:cs="Arial"/>
          <w:rtl/>
        </w:rPr>
        <w:t xml:space="preserve"> בין בחדשה אלא במאי דבלעה לבד</w:t>
      </w:r>
      <w:r>
        <w:rPr>
          <w:rStyle w:val="a7"/>
          <w:rFonts w:cs="Arial"/>
          <w:rtl/>
        </w:rPr>
        <w:footnoteReference w:id="1814"/>
      </w:r>
      <w:r w:rsidRPr="002A7109">
        <w:rPr>
          <w:rFonts w:cs="Arial"/>
          <w:rtl/>
        </w:rPr>
        <w:t>.</w:t>
      </w:r>
    </w:p>
    <w:p w14:paraId="0331FF5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01C696B" w14:textId="77777777" w:rsidR="002C39F4" w:rsidRDefault="002C39F4" w:rsidP="002C39F4">
      <w:pPr>
        <w:rPr>
          <w:rFonts w:asciiTheme="minorBidi" w:hAnsiTheme="minorBidi"/>
          <w:rtl/>
        </w:rPr>
      </w:pPr>
      <w:r w:rsidRPr="003024E5">
        <w:rPr>
          <w:rFonts w:asciiTheme="minorBidi" w:hAnsiTheme="minorBidi"/>
          <w:rtl/>
        </w:rPr>
        <w:t>אם ידוע כמה הוא האיסור</w:t>
      </w:r>
      <w:r>
        <w:rPr>
          <w:rFonts w:asciiTheme="minorBidi" w:hAnsiTheme="minorBidi" w:hint="cs"/>
          <w:rtl/>
        </w:rPr>
        <w:t>,</w:t>
      </w:r>
      <w:r w:rsidRPr="003024E5">
        <w:rPr>
          <w:rFonts w:asciiTheme="minorBidi" w:hAnsiTheme="minorBidi"/>
          <w:rtl/>
        </w:rPr>
        <w:t xml:space="preserve"> כגון כף חדשה או שאינה בת יומא</w:t>
      </w:r>
      <w:r>
        <w:rPr>
          <w:rStyle w:val="a7"/>
          <w:rFonts w:asciiTheme="minorBidi" w:hAnsiTheme="minorBidi"/>
          <w:rtl/>
        </w:rPr>
        <w:footnoteReference w:id="1815"/>
      </w:r>
      <w:r w:rsidRPr="003024E5">
        <w:rPr>
          <w:rFonts w:asciiTheme="minorBidi" w:hAnsiTheme="minorBidi"/>
          <w:rtl/>
        </w:rPr>
        <w:t xml:space="preserve"> שניער בה ובלעה כזית חלב ואחר כך ניער בה קדרה של בשר אין צריך אלא </w:t>
      </w:r>
      <w:r>
        <w:rPr>
          <w:rFonts w:asciiTheme="minorBidi" w:hAnsiTheme="minorBidi" w:hint="cs"/>
          <w:rtl/>
        </w:rPr>
        <w:t>ששים</w:t>
      </w:r>
      <w:r w:rsidRPr="003024E5">
        <w:rPr>
          <w:rFonts w:asciiTheme="minorBidi" w:hAnsiTheme="minorBidi"/>
          <w:rtl/>
        </w:rPr>
        <w:t xml:space="preserve"> לבטל הכזית שבלעה. </w:t>
      </w:r>
      <w:r>
        <w:rPr>
          <w:rFonts w:asciiTheme="minorBidi" w:hAnsiTheme="minorBidi" w:hint="cs"/>
          <w:sz w:val="18"/>
          <w:szCs w:val="18"/>
          <w:rtl/>
        </w:rPr>
        <w:t xml:space="preserve">[הגה] </w:t>
      </w:r>
      <w:r w:rsidRPr="002A7109">
        <w:rPr>
          <w:rFonts w:asciiTheme="minorBidi" w:hAnsiTheme="minorBidi"/>
          <w:sz w:val="18"/>
          <w:szCs w:val="18"/>
          <w:rtl/>
        </w:rPr>
        <w:t>ולא אמרינן גבי כלי חתיכה נעשית נבילה, אפילו אם ניערו בו איסור</w:t>
      </w:r>
      <w:r>
        <w:rPr>
          <w:rStyle w:val="a7"/>
          <w:rFonts w:asciiTheme="minorBidi" w:hAnsiTheme="minorBidi"/>
          <w:sz w:val="18"/>
          <w:szCs w:val="18"/>
          <w:rtl/>
        </w:rPr>
        <w:footnoteReference w:id="1816"/>
      </w:r>
      <w:r>
        <w:rPr>
          <w:rFonts w:asciiTheme="minorBidi" w:hAnsiTheme="minorBidi" w:hint="cs"/>
          <w:sz w:val="18"/>
          <w:szCs w:val="18"/>
          <w:rtl/>
        </w:rPr>
        <w:t>,</w:t>
      </w:r>
      <w:r w:rsidRPr="003024E5">
        <w:rPr>
          <w:rFonts w:asciiTheme="minorBidi" w:hAnsiTheme="minorBidi"/>
          <w:rtl/>
        </w:rPr>
        <w:t xml:space="preserve"> אבל כף ישנה ובת יומא משערין בכולה </w:t>
      </w:r>
      <w:r>
        <w:rPr>
          <w:rFonts w:asciiTheme="minorBidi" w:hAnsiTheme="minorBidi" w:hint="cs"/>
          <w:sz w:val="18"/>
          <w:szCs w:val="18"/>
          <w:rtl/>
        </w:rPr>
        <w:t xml:space="preserve">[הגה] </w:t>
      </w:r>
      <w:r w:rsidRPr="002A7109">
        <w:rPr>
          <w:rFonts w:asciiTheme="minorBidi" w:hAnsiTheme="minorBidi"/>
          <w:sz w:val="18"/>
          <w:szCs w:val="18"/>
          <w:rtl/>
        </w:rPr>
        <w:t>דכל מה שבלע נעשית איסור ולא ידעינן כמה בלע (שם).</w:t>
      </w:r>
      <w:r w:rsidRPr="003024E5">
        <w:rPr>
          <w:rFonts w:asciiTheme="minorBidi" w:hAnsiTheme="minorBidi"/>
          <w:rtl/>
        </w:rPr>
        <w:t xml:space="preserve"> ויש מי שאומר שגם בזו אין צריך אלא </w:t>
      </w:r>
      <w:r>
        <w:rPr>
          <w:rFonts w:asciiTheme="minorBidi" w:hAnsiTheme="minorBidi" w:hint="cs"/>
          <w:rtl/>
        </w:rPr>
        <w:t>ששים</w:t>
      </w:r>
      <w:r w:rsidRPr="003024E5">
        <w:rPr>
          <w:rFonts w:asciiTheme="minorBidi" w:hAnsiTheme="minorBidi"/>
          <w:rtl/>
        </w:rPr>
        <w:t xml:space="preserve"> לבטל הכזית שבלעה</w:t>
      </w:r>
      <w:r>
        <w:rPr>
          <w:rStyle w:val="a7"/>
          <w:rFonts w:asciiTheme="minorBidi" w:hAnsiTheme="minorBidi"/>
          <w:rtl/>
        </w:rPr>
        <w:footnoteReference w:id="1817"/>
      </w:r>
      <w:r w:rsidRPr="003024E5">
        <w:rPr>
          <w:rFonts w:asciiTheme="minorBidi" w:hAnsiTheme="minorBidi"/>
          <w:rtl/>
        </w:rPr>
        <w:t xml:space="preserve">. </w:t>
      </w:r>
      <w:r w:rsidRPr="002A7109">
        <w:rPr>
          <w:rFonts w:asciiTheme="minorBidi" w:hAnsiTheme="minorBidi"/>
          <w:sz w:val="18"/>
          <w:szCs w:val="18"/>
          <w:rtl/>
        </w:rPr>
        <w:t xml:space="preserve">הגה: והסברא ראשונה עיקר, כמו שנתבאר לעיל גבי טיפת חלב שנפלה על הקדירה. ויש שאינן מחלקין בין כף ישן לחדש, רק בין כלי חרס לשאר כלים (מרדכי </w:t>
      </w:r>
      <w:r>
        <w:rPr>
          <w:rFonts w:asciiTheme="minorBidi" w:hAnsiTheme="minorBidi" w:hint="cs"/>
          <w:sz w:val="18"/>
          <w:szCs w:val="18"/>
          <w:rtl/>
        </w:rPr>
        <w:t>חולין סי' תרעט</w:t>
      </w:r>
      <w:r w:rsidRPr="002A7109">
        <w:rPr>
          <w:rFonts w:asciiTheme="minorBidi" w:hAnsiTheme="minorBidi"/>
          <w:sz w:val="18"/>
          <w:szCs w:val="18"/>
          <w:rtl/>
        </w:rPr>
        <w:t>) ואומרים דבכלי חרס דאי אפשר להפריד האיסור על ידי הגעלה אמרינן הכלי נעשה נבלה, אבל לא בשאר כלים</w:t>
      </w:r>
      <w:r>
        <w:rPr>
          <w:rStyle w:val="a7"/>
          <w:rFonts w:asciiTheme="minorBidi" w:hAnsiTheme="minorBidi"/>
          <w:sz w:val="18"/>
          <w:szCs w:val="18"/>
          <w:rtl/>
        </w:rPr>
        <w:footnoteReference w:id="1818"/>
      </w:r>
      <w:r w:rsidRPr="002A7109">
        <w:rPr>
          <w:rFonts w:asciiTheme="minorBidi" w:hAnsiTheme="minorBidi"/>
          <w:sz w:val="18"/>
          <w:szCs w:val="18"/>
          <w:rtl/>
        </w:rPr>
        <w:t>, וטוב לחוש לחומרא</w:t>
      </w:r>
      <w:r>
        <w:rPr>
          <w:rFonts w:asciiTheme="minorBidi" w:hAnsiTheme="minorBidi" w:hint="cs"/>
          <w:sz w:val="18"/>
          <w:szCs w:val="18"/>
          <w:rtl/>
        </w:rPr>
        <w:t>,</w:t>
      </w:r>
      <w:r w:rsidRPr="002A7109">
        <w:rPr>
          <w:rFonts w:asciiTheme="minorBidi" w:hAnsiTheme="minorBidi"/>
          <w:sz w:val="18"/>
          <w:szCs w:val="18"/>
          <w:rtl/>
        </w:rPr>
        <w:t xml:space="preserve"> וע"ל סימן צב.</w:t>
      </w:r>
    </w:p>
    <w:p w14:paraId="4D05010B" w14:textId="77777777" w:rsidR="002C39F4" w:rsidRPr="003024E5" w:rsidRDefault="002C39F4" w:rsidP="002C39F4">
      <w:pPr>
        <w:rPr>
          <w:rFonts w:asciiTheme="minorBidi" w:hAnsiTheme="minorBidi"/>
          <w:rtl/>
        </w:rPr>
      </w:pPr>
    </w:p>
    <w:p w14:paraId="5405E54D"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חצי זית של איסור שנתערב בהיתר.</w:t>
      </w:r>
    </w:p>
    <w:p w14:paraId="013AA0CE" w14:textId="77777777" w:rsidR="002C39F4" w:rsidRPr="00F97AB9" w:rsidRDefault="002C39F4" w:rsidP="002C39F4">
      <w:pPr>
        <w:rPr>
          <w:rFonts w:cs="Arial"/>
          <w:rtl/>
        </w:rPr>
      </w:pPr>
      <w:r>
        <w:rPr>
          <w:rFonts w:cs="Arial" w:hint="cs"/>
          <w:b/>
          <w:bCs/>
          <w:rtl/>
        </w:rPr>
        <w:t xml:space="preserve">חולין צח ע"א: </w:t>
      </w:r>
      <w:r w:rsidRPr="00F97AB9">
        <w:rPr>
          <w:rFonts w:cs="Arial"/>
          <w:rtl/>
        </w:rPr>
        <w:t xml:space="preserve">ההוא פלגא דזיתא דתרבא דנפל בדיקולא דבשרא, </w:t>
      </w:r>
      <w:r w:rsidRPr="00F97AB9">
        <w:rPr>
          <w:rFonts w:cs="Arial"/>
          <w:u w:val="single"/>
          <w:rtl/>
        </w:rPr>
        <w:t>סבר מר בר רב אשי</w:t>
      </w:r>
      <w:r w:rsidRPr="00F97AB9">
        <w:rPr>
          <w:rFonts w:cs="Arial"/>
          <w:rtl/>
        </w:rPr>
        <w:t xml:space="preserve"> לשעוריה בתלתין פלגי דזיתא</w:t>
      </w:r>
      <w:r>
        <w:rPr>
          <w:rStyle w:val="a7"/>
          <w:rFonts w:cs="Arial"/>
          <w:rtl/>
        </w:rPr>
        <w:footnoteReference w:id="1819"/>
      </w:r>
      <w:r w:rsidRPr="00F97AB9">
        <w:rPr>
          <w:rFonts w:cs="Arial"/>
          <w:rtl/>
        </w:rPr>
        <w:t xml:space="preserve">, </w:t>
      </w:r>
      <w:r w:rsidRPr="00F97AB9">
        <w:rPr>
          <w:rFonts w:cs="Arial"/>
          <w:u w:val="single"/>
          <w:rtl/>
        </w:rPr>
        <w:t>אמר ליה אבוה</w:t>
      </w:r>
      <w:r w:rsidRPr="00F97AB9">
        <w:rPr>
          <w:rFonts w:cs="Arial"/>
          <w:rtl/>
        </w:rPr>
        <w:t>: לאו אמינא לך לא תזלזל בשיעורין דרבנן</w:t>
      </w:r>
      <w:r>
        <w:rPr>
          <w:rStyle w:val="a7"/>
          <w:rFonts w:cs="Arial"/>
          <w:rtl/>
        </w:rPr>
        <w:footnoteReference w:id="1820"/>
      </w:r>
      <w:r w:rsidRPr="00F97AB9">
        <w:rPr>
          <w:rFonts w:cs="Arial"/>
          <w:rtl/>
        </w:rPr>
        <w:t xml:space="preserve">? ועוד, האמר ר' יוחנן: חצי שיעור אסור מן התורה. </w:t>
      </w:r>
    </w:p>
    <w:p w14:paraId="4137AC8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FE322B2" w14:textId="77777777" w:rsidR="002C39F4" w:rsidRDefault="002C39F4" w:rsidP="002C39F4">
      <w:pPr>
        <w:rPr>
          <w:rFonts w:asciiTheme="minorBidi" w:hAnsiTheme="minorBidi"/>
          <w:rtl/>
        </w:rPr>
      </w:pPr>
      <w:r w:rsidRPr="003024E5">
        <w:rPr>
          <w:rFonts w:asciiTheme="minorBidi" w:hAnsiTheme="minorBidi"/>
          <w:rtl/>
        </w:rPr>
        <w:t>כחצי זית של איסור שנתערב בהיתר צריך ששים חצאי זיתי היתר לבטלו</w:t>
      </w:r>
      <w:r>
        <w:rPr>
          <w:rStyle w:val="a7"/>
          <w:rFonts w:asciiTheme="minorBidi" w:hAnsiTheme="minorBidi"/>
          <w:rtl/>
        </w:rPr>
        <w:footnoteReference w:id="1821"/>
      </w:r>
      <w:r w:rsidRPr="003024E5">
        <w:rPr>
          <w:rFonts w:asciiTheme="minorBidi" w:hAnsiTheme="minorBidi"/>
          <w:rtl/>
        </w:rPr>
        <w:t xml:space="preserve">. </w:t>
      </w:r>
    </w:p>
    <w:p w14:paraId="17B6CF92" w14:textId="77777777" w:rsidR="002C39F4" w:rsidRPr="003024E5" w:rsidRDefault="002C39F4" w:rsidP="002C39F4">
      <w:pPr>
        <w:rPr>
          <w:rFonts w:asciiTheme="minorBidi" w:hAnsiTheme="minorBidi"/>
          <w:rtl/>
        </w:rPr>
      </w:pPr>
    </w:p>
    <w:p w14:paraId="5B45E3C3"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ביצה שיש בה אפרוח/טיפת דם שנתבשלה עם אחרות.</w:t>
      </w:r>
    </w:p>
    <w:p w14:paraId="233F93DF" w14:textId="77777777" w:rsidR="002C39F4" w:rsidRDefault="002C39F4" w:rsidP="002C39F4">
      <w:pPr>
        <w:rPr>
          <w:rFonts w:cs="Arial"/>
          <w:rtl/>
        </w:rPr>
      </w:pPr>
      <w:r>
        <w:rPr>
          <w:rFonts w:cs="Arial" w:hint="cs"/>
          <w:b/>
          <w:bCs/>
          <w:rtl/>
        </w:rPr>
        <w:t xml:space="preserve">חולין צז ע"ב: </w:t>
      </w:r>
      <w:r w:rsidRPr="000728E3">
        <w:rPr>
          <w:rFonts w:cs="Arial"/>
          <w:u w:val="single"/>
          <w:rtl/>
        </w:rPr>
        <w:t>אמר רב נחמן</w:t>
      </w:r>
      <w:r>
        <w:rPr>
          <w:rFonts w:cs="Arial" w:hint="cs"/>
          <w:rtl/>
        </w:rPr>
        <w:t>...</w:t>
      </w:r>
      <w:r w:rsidRPr="000728E3">
        <w:rPr>
          <w:rFonts w:cs="Arial"/>
          <w:rtl/>
        </w:rPr>
        <w:t xml:space="preserve"> ביצה בששים - ואין ביצה מן המנין.</w:t>
      </w:r>
      <w:r>
        <w:rPr>
          <w:rFonts w:cs="Arial" w:hint="cs"/>
          <w:rtl/>
        </w:rPr>
        <w:t xml:space="preserve">.. </w:t>
      </w:r>
      <w:r w:rsidRPr="000728E3">
        <w:rPr>
          <w:rFonts w:cs="Arial"/>
          <w:u w:val="single"/>
          <w:rtl/>
        </w:rPr>
        <w:t>אמר ליה רב אידי בר אבין לאביי</w:t>
      </w:r>
      <w:r w:rsidRPr="000728E3">
        <w:rPr>
          <w:rFonts w:cs="Arial"/>
          <w:rtl/>
        </w:rPr>
        <w:t xml:space="preserve">: למימרא דיהבה טעמא? והא אמרי אינשי כי מיא דביעי בעלמא! א"ל: הכא במאי עסקינן </w:t>
      </w:r>
      <w:r w:rsidRPr="00B834A8">
        <w:rPr>
          <w:rFonts w:cs="Arial" w:hint="cs"/>
          <w:sz w:val="14"/>
          <w:szCs w:val="14"/>
          <w:rtl/>
        </w:rPr>
        <w:t>(צח.)</w:t>
      </w:r>
      <w:r>
        <w:rPr>
          <w:rFonts w:cs="Arial" w:hint="cs"/>
          <w:rtl/>
        </w:rPr>
        <w:t xml:space="preserve"> </w:t>
      </w:r>
      <w:r w:rsidRPr="000728E3">
        <w:rPr>
          <w:rFonts w:cs="Arial"/>
          <w:rtl/>
        </w:rPr>
        <w:t>בביצת אפרוח</w:t>
      </w:r>
      <w:r>
        <w:rPr>
          <w:rStyle w:val="a7"/>
          <w:rFonts w:cs="Arial"/>
          <w:rtl/>
        </w:rPr>
        <w:footnoteReference w:id="1822"/>
      </w:r>
      <w:r w:rsidRPr="000728E3">
        <w:rPr>
          <w:rFonts w:cs="Arial"/>
          <w:rtl/>
        </w:rPr>
        <w:t>, אבל טמאה</w:t>
      </w:r>
      <w:r>
        <w:rPr>
          <w:rStyle w:val="a7"/>
          <w:rFonts w:cs="Arial"/>
          <w:rtl/>
        </w:rPr>
        <w:footnoteReference w:id="1823"/>
      </w:r>
      <w:r w:rsidRPr="000728E3">
        <w:rPr>
          <w:rFonts w:cs="Arial"/>
          <w:rtl/>
        </w:rPr>
        <w:t xml:space="preserve"> - לא</w:t>
      </w:r>
      <w:r>
        <w:rPr>
          <w:rFonts w:cs="Arial" w:hint="cs"/>
          <w:rtl/>
        </w:rPr>
        <w:t xml:space="preserve">... </w:t>
      </w:r>
      <w:r w:rsidRPr="000728E3">
        <w:rPr>
          <w:rFonts w:cs="Arial"/>
          <w:rtl/>
        </w:rPr>
        <w:t xml:space="preserve">אתמר, </w:t>
      </w:r>
      <w:r w:rsidRPr="000728E3">
        <w:rPr>
          <w:rFonts w:cs="Arial"/>
          <w:u w:val="single"/>
          <w:rtl/>
        </w:rPr>
        <w:t>אמר רבי חלבו אמר רב הונא</w:t>
      </w:r>
      <w:r w:rsidRPr="000728E3">
        <w:rPr>
          <w:rFonts w:cs="Arial"/>
          <w:rtl/>
        </w:rPr>
        <w:t>: ביצה, בס' והיא - אסורה, בס' ואחת והיא</w:t>
      </w:r>
      <w:r>
        <w:rPr>
          <w:rStyle w:val="a7"/>
          <w:rFonts w:cs="Arial"/>
          <w:rtl/>
        </w:rPr>
        <w:footnoteReference w:id="1824"/>
      </w:r>
      <w:r w:rsidRPr="000728E3">
        <w:rPr>
          <w:rFonts w:cs="Arial"/>
          <w:rtl/>
        </w:rPr>
        <w:t xml:space="preserve"> - מותרת.</w:t>
      </w:r>
    </w:p>
    <w:p w14:paraId="5918984B" w14:textId="77777777" w:rsidR="002C39F4" w:rsidRPr="0019552B" w:rsidRDefault="002C39F4" w:rsidP="002C39F4">
      <w:pPr>
        <w:rPr>
          <w:rFonts w:cs="Arial"/>
          <w:sz w:val="16"/>
          <w:szCs w:val="16"/>
          <w:u w:val="single"/>
          <w:rtl/>
        </w:rPr>
      </w:pPr>
      <w:r w:rsidRPr="00357287">
        <w:rPr>
          <w:rFonts w:cs="Arial" w:hint="cs"/>
          <w:u w:val="single"/>
          <w:rtl/>
        </w:rPr>
        <w:t>ביצ</w:t>
      </w:r>
      <w:r>
        <w:rPr>
          <w:rFonts w:cs="Arial" w:hint="cs"/>
          <w:u w:val="single"/>
          <w:rtl/>
        </w:rPr>
        <w:t>ת</w:t>
      </w:r>
      <w:r w:rsidRPr="00357287">
        <w:rPr>
          <w:rFonts w:cs="Arial" w:hint="cs"/>
          <w:u w:val="single"/>
          <w:rtl/>
        </w:rPr>
        <w:t xml:space="preserve"> </w:t>
      </w:r>
      <w:r>
        <w:rPr>
          <w:rFonts w:cs="Arial" w:hint="cs"/>
          <w:u w:val="single"/>
          <w:rtl/>
        </w:rPr>
        <w:t xml:space="preserve">עוף </w:t>
      </w:r>
      <w:r w:rsidRPr="001F7060">
        <w:rPr>
          <w:rFonts w:cs="Arial" w:hint="cs"/>
          <w:u w:val="single"/>
          <w:rtl/>
        </w:rPr>
        <w:t>טמא</w:t>
      </w:r>
      <w:r>
        <w:rPr>
          <w:rFonts w:cs="Arial" w:hint="cs"/>
          <w:u w:val="single"/>
          <w:rtl/>
        </w:rPr>
        <w:t xml:space="preserve"> שנתבשלה עם ביצים טהורות</w:t>
      </w:r>
      <w:r w:rsidRPr="00357287">
        <w:rPr>
          <w:rFonts w:cs="Arial" w:hint="cs"/>
          <w:u w:val="single"/>
          <w:rtl/>
        </w:rPr>
        <w:t>:</w:t>
      </w:r>
      <w:r w:rsidRPr="0019552B">
        <w:rPr>
          <w:rFonts w:cs="Arial" w:hint="cs"/>
          <w:sz w:val="16"/>
          <w:szCs w:val="16"/>
          <w:rtl/>
        </w:rPr>
        <w:t xml:space="preserve">   (הועתק מסי' פו סע' ה)</w:t>
      </w:r>
    </w:p>
    <w:p w14:paraId="1F975DA0" w14:textId="77777777" w:rsidR="002C39F4" w:rsidRPr="00F22D42" w:rsidRDefault="002C39F4" w:rsidP="0032102C">
      <w:pPr>
        <w:pStyle w:val="a8"/>
        <w:numPr>
          <w:ilvl w:val="0"/>
          <w:numId w:val="183"/>
        </w:numPr>
        <w:rPr>
          <w:rFonts w:cs="Arial"/>
          <w:rtl/>
        </w:rPr>
      </w:pPr>
      <w:r w:rsidRPr="00F22D42">
        <w:rPr>
          <w:rFonts w:cs="Arial"/>
          <w:rtl/>
        </w:rPr>
        <w:t>רי"ף תוס</w:t>
      </w:r>
      <w:r>
        <w:rPr>
          <w:rFonts w:cs="Arial" w:hint="cs"/>
          <w:rtl/>
        </w:rPr>
        <w:t>'</w:t>
      </w:r>
      <w:r w:rsidRPr="00F22D42">
        <w:rPr>
          <w:rFonts w:cs="Arial"/>
          <w:rtl/>
        </w:rPr>
        <w:t xml:space="preserve"> רמב"ם רא"ש </w:t>
      </w:r>
      <w:r>
        <w:rPr>
          <w:rFonts w:cs="Arial" w:hint="cs"/>
          <w:rtl/>
        </w:rPr>
        <w:t>ו</w:t>
      </w:r>
      <w:r w:rsidRPr="00F22D42">
        <w:rPr>
          <w:rFonts w:cs="Arial"/>
          <w:rtl/>
        </w:rPr>
        <w:t>ר"ן</w:t>
      </w:r>
      <w:r>
        <w:rPr>
          <w:rStyle w:val="a7"/>
          <w:rFonts w:cs="Arial"/>
          <w:rtl/>
        </w:rPr>
        <w:footnoteReference w:id="1825"/>
      </w:r>
      <w:r>
        <w:rPr>
          <w:rFonts w:cs="Arial" w:hint="cs"/>
          <w:rtl/>
        </w:rPr>
        <w:t xml:space="preserve">- </w:t>
      </w:r>
      <w:r w:rsidRPr="00B834A8">
        <w:rPr>
          <w:rFonts w:cs="Arial"/>
          <w:rtl/>
        </w:rPr>
        <w:t>ביצה של עוף טמא שנתבשלה עם ביצים טהורות אינה אוסרת ואינה צריכה שיעור כדקיימא לן דמיא דביעי ולא כלום הוא</w:t>
      </w:r>
      <w:r>
        <w:rPr>
          <w:rFonts w:cs="Arial" w:hint="cs"/>
          <w:sz w:val="16"/>
          <w:szCs w:val="16"/>
          <w:rtl/>
        </w:rPr>
        <w:t xml:space="preserve"> (ל' הרי"ף)</w:t>
      </w:r>
      <w:r>
        <w:rPr>
          <w:rStyle w:val="a7"/>
          <w:rFonts w:cs="Arial"/>
          <w:rtl/>
        </w:rPr>
        <w:footnoteReference w:id="1826"/>
      </w:r>
      <w:r>
        <w:rPr>
          <w:rFonts w:cs="Arial" w:hint="cs"/>
          <w:rtl/>
        </w:rPr>
        <w:t xml:space="preserve">. </w:t>
      </w:r>
      <w:r w:rsidRPr="0019552B">
        <w:rPr>
          <w:rFonts w:cs="Arial" w:hint="cs"/>
          <w:color w:val="E36C0A" w:themeColor="accent6" w:themeShade="BF"/>
          <w:rtl/>
        </w:rPr>
        <w:t xml:space="preserve">(וכ"פ בשו"ע </w:t>
      </w:r>
      <w:r>
        <w:rPr>
          <w:rFonts w:cs="Arial" w:hint="cs"/>
          <w:sz w:val="16"/>
          <w:szCs w:val="16"/>
          <w:rtl/>
        </w:rPr>
        <w:t>[סי' פו סע' ה]</w:t>
      </w:r>
      <w:r w:rsidRPr="0019552B">
        <w:rPr>
          <w:rFonts w:cs="Arial" w:hint="cs"/>
          <w:color w:val="E36C0A" w:themeColor="accent6" w:themeShade="BF"/>
          <w:rtl/>
        </w:rPr>
        <w:t>)</w:t>
      </w:r>
    </w:p>
    <w:p w14:paraId="0CEF7794" w14:textId="77777777" w:rsidR="002C39F4" w:rsidRDefault="002C39F4" w:rsidP="0032102C">
      <w:pPr>
        <w:pStyle w:val="a8"/>
        <w:numPr>
          <w:ilvl w:val="0"/>
          <w:numId w:val="182"/>
        </w:numPr>
        <w:rPr>
          <w:rtl/>
        </w:rPr>
      </w:pPr>
      <w:r w:rsidRPr="00F22D42">
        <w:rPr>
          <w:rFonts w:cs="Arial" w:hint="cs"/>
          <w:rtl/>
        </w:rPr>
        <w:t>סה"ת</w:t>
      </w:r>
      <w:r w:rsidRPr="00F22D42">
        <w:rPr>
          <w:rFonts w:cs="Arial"/>
          <w:rtl/>
        </w:rPr>
        <w:t xml:space="preserve"> </w:t>
      </w:r>
      <w:r w:rsidRPr="00F22D42">
        <w:rPr>
          <w:rFonts w:cs="Arial"/>
          <w:sz w:val="16"/>
          <w:szCs w:val="16"/>
          <w:rtl/>
        </w:rPr>
        <w:t xml:space="preserve">(סי' כז) </w:t>
      </w:r>
      <w:r w:rsidRPr="00F22D42">
        <w:rPr>
          <w:rFonts w:cs="Arial" w:hint="cs"/>
          <w:rtl/>
        </w:rPr>
        <w:t xml:space="preserve">הגה"מ </w:t>
      </w:r>
      <w:r w:rsidRPr="00F22D42">
        <w:rPr>
          <w:rFonts w:cs="Arial" w:hint="cs"/>
          <w:sz w:val="16"/>
          <w:szCs w:val="16"/>
          <w:rtl/>
        </w:rPr>
        <w:t>(</w:t>
      </w:r>
      <w:r w:rsidRPr="00F22D42">
        <w:rPr>
          <w:rFonts w:cs="Arial"/>
          <w:sz w:val="16"/>
          <w:szCs w:val="16"/>
          <w:rtl/>
        </w:rPr>
        <w:t xml:space="preserve">פט"ו </w:t>
      </w:r>
      <w:r>
        <w:rPr>
          <w:rFonts w:cs="Arial"/>
          <w:sz w:val="16"/>
          <w:szCs w:val="16"/>
          <w:rtl/>
        </w:rPr>
        <w:t>מהלמ"א</w:t>
      </w:r>
      <w:r w:rsidRPr="00F22D42">
        <w:rPr>
          <w:rFonts w:cs="Arial" w:hint="cs"/>
          <w:sz w:val="16"/>
          <w:szCs w:val="16"/>
          <w:rtl/>
        </w:rPr>
        <w:t xml:space="preserve"> </w:t>
      </w:r>
      <w:r w:rsidRPr="00F22D42">
        <w:rPr>
          <w:rFonts w:cs="Arial"/>
          <w:sz w:val="16"/>
          <w:szCs w:val="16"/>
          <w:rtl/>
        </w:rPr>
        <w:t xml:space="preserve">אות ט) </w:t>
      </w:r>
      <w:r w:rsidRPr="00F22D42">
        <w:rPr>
          <w:rFonts w:cs="Arial"/>
          <w:rtl/>
        </w:rPr>
        <w:t xml:space="preserve">בשם סמ"ג </w:t>
      </w:r>
      <w:r w:rsidRPr="00F22D42">
        <w:rPr>
          <w:rFonts w:cs="Arial"/>
          <w:sz w:val="16"/>
          <w:szCs w:val="16"/>
          <w:rtl/>
        </w:rPr>
        <w:t xml:space="preserve">(לאוין קלב מד ע"ד) </w:t>
      </w:r>
      <w:r w:rsidRPr="00F22D42">
        <w:rPr>
          <w:rFonts w:cs="Arial"/>
          <w:rtl/>
        </w:rPr>
        <w:t xml:space="preserve">ומרדכי </w:t>
      </w:r>
      <w:r w:rsidRPr="00F22D42">
        <w:rPr>
          <w:rFonts w:cs="Arial"/>
          <w:sz w:val="16"/>
          <w:szCs w:val="16"/>
          <w:rtl/>
        </w:rPr>
        <w:t>(סי' תרעז)</w:t>
      </w:r>
      <w:r w:rsidRPr="00F22D42">
        <w:rPr>
          <w:rFonts w:cs="Arial" w:hint="cs"/>
          <w:rtl/>
        </w:rPr>
        <w:t xml:space="preserve">- </w:t>
      </w:r>
      <w:r w:rsidRPr="00F22D42">
        <w:rPr>
          <w:rFonts w:cs="Arial"/>
          <w:rtl/>
        </w:rPr>
        <w:t>אין ח</w:t>
      </w:r>
      <w:r w:rsidRPr="00F22D42">
        <w:rPr>
          <w:rFonts w:cs="Arial" w:hint="cs"/>
          <w:rtl/>
        </w:rPr>
        <w:t>י</w:t>
      </w:r>
      <w:r w:rsidRPr="00F22D42">
        <w:rPr>
          <w:rFonts w:cs="Arial"/>
          <w:rtl/>
        </w:rPr>
        <w:t>ל</w:t>
      </w:r>
      <w:r w:rsidRPr="00F22D42">
        <w:rPr>
          <w:rFonts w:cs="Arial" w:hint="cs"/>
          <w:rtl/>
        </w:rPr>
        <w:t>ו</w:t>
      </w:r>
      <w:r w:rsidRPr="00F22D42">
        <w:rPr>
          <w:rFonts w:cs="Arial"/>
          <w:rtl/>
        </w:rPr>
        <w:t>ק בין ביצת עוף טמא ל</w:t>
      </w:r>
      <w:r>
        <w:rPr>
          <w:rFonts w:cs="Arial" w:hint="cs"/>
          <w:rtl/>
        </w:rPr>
        <w:t xml:space="preserve">ביצה </w:t>
      </w:r>
      <w:r w:rsidRPr="00F22D42">
        <w:rPr>
          <w:rFonts w:cs="Arial"/>
          <w:rtl/>
        </w:rPr>
        <w:t>שיש בה אפרוח או דם</w:t>
      </w:r>
      <w:r>
        <w:rPr>
          <w:rStyle w:val="a7"/>
          <w:rFonts w:cs="Arial"/>
          <w:rtl/>
        </w:rPr>
        <w:footnoteReference w:id="1827"/>
      </w:r>
      <w:r>
        <w:rPr>
          <w:rFonts w:cs="Arial" w:hint="cs"/>
          <w:rtl/>
        </w:rPr>
        <w:t>.</w:t>
      </w:r>
    </w:p>
    <w:p w14:paraId="59CB21EF" w14:textId="77777777" w:rsidR="002C39F4" w:rsidRPr="00ED6CAA" w:rsidRDefault="002C39F4" w:rsidP="002C39F4">
      <w:pPr>
        <w:ind w:left="360"/>
        <w:rPr>
          <w:rFonts w:cs="Arial"/>
          <w:u w:val="dotted"/>
          <w:rtl/>
        </w:rPr>
      </w:pPr>
      <w:r>
        <w:rPr>
          <w:rFonts w:cs="Arial" w:hint="cs"/>
          <w:u w:val="dotted"/>
          <w:rtl/>
        </w:rPr>
        <w:t>ומה הדין כשהן</w:t>
      </w:r>
      <w:r w:rsidRPr="00ED6CAA">
        <w:rPr>
          <w:rFonts w:cs="Arial" w:hint="cs"/>
          <w:u w:val="dotted"/>
          <w:rtl/>
        </w:rPr>
        <w:t xml:space="preserve"> קלופות:</w:t>
      </w:r>
      <w:r w:rsidRPr="0019552B">
        <w:rPr>
          <w:rFonts w:cs="Arial" w:hint="cs"/>
          <w:sz w:val="16"/>
          <w:szCs w:val="16"/>
          <w:rtl/>
        </w:rPr>
        <w:t xml:space="preserve">  (הועתק מסי' פו סע' ה)</w:t>
      </w:r>
    </w:p>
    <w:p w14:paraId="60E1BE5D" w14:textId="77777777" w:rsidR="002C39F4" w:rsidRDefault="002C39F4" w:rsidP="0032102C">
      <w:pPr>
        <w:pStyle w:val="a8"/>
        <w:numPr>
          <w:ilvl w:val="0"/>
          <w:numId w:val="182"/>
        </w:numPr>
      </w:pPr>
      <w:r w:rsidRPr="00F22D42">
        <w:rPr>
          <w:rFonts w:cs="Arial" w:hint="cs"/>
          <w:rtl/>
        </w:rPr>
        <w:t>רשב"א</w:t>
      </w:r>
      <w:r>
        <w:rPr>
          <w:rStyle w:val="a7"/>
          <w:rFonts w:cs="Arial"/>
          <w:rtl/>
        </w:rPr>
        <w:footnoteReference w:id="1828"/>
      </w:r>
      <w:r>
        <w:rPr>
          <w:rFonts w:cs="Arial" w:hint="cs"/>
          <w:rtl/>
        </w:rPr>
        <w:t xml:space="preserve"> וטור</w:t>
      </w:r>
      <w:r w:rsidRPr="00F22D42">
        <w:rPr>
          <w:rFonts w:cs="Arial" w:hint="cs"/>
          <w:rtl/>
        </w:rPr>
        <w:t>-</w:t>
      </w:r>
      <w:r>
        <w:rPr>
          <w:rFonts w:cs="Arial" w:hint="cs"/>
          <w:rtl/>
        </w:rPr>
        <w:t xml:space="preserve"> </w:t>
      </w:r>
      <w:r w:rsidRPr="000307AD">
        <w:rPr>
          <w:rFonts w:cs="Arial"/>
          <w:rtl/>
        </w:rPr>
        <w:t>אם היא קלופה אוסרת וצריך ס"א ביצים של היתר כנגדה לבטלה</w:t>
      </w:r>
      <w:r>
        <w:rPr>
          <w:rStyle w:val="a7"/>
          <w:rFonts w:cs="Arial"/>
          <w:rtl/>
        </w:rPr>
        <w:footnoteReference w:id="1829"/>
      </w:r>
      <w:r>
        <w:rPr>
          <w:rFonts w:cs="Arial" w:hint="cs"/>
          <w:sz w:val="16"/>
          <w:szCs w:val="16"/>
          <w:rtl/>
        </w:rPr>
        <w:t xml:space="preserve"> (ל' הטור)</w:t>
      </w:r>
      <w:r w:rsidRPr="00F22D42">
        <w:rPr>
          <w:rFonts w:cs="Arial" w:hint="cs"/>
          <w:rtl/>
        </w:rPr>
        <w:t>.</w:t>
      </w:r>
      <w:r w:rsidRPr="0019552B">
        <w:rPr>
          <w:rFonts w:cs="Arial" w:hint="cs"/>
          <w:color w:val="E36C0A" w:themeColor="accent6" w:themeShade="BF"/>
          <w:rtl/>
        </w:rPr>
        <w:t xml:space="preserve"> (וכ"פ בשו"ע </w:t>
      </w:r>
      <w:r>
        <w:rPr>
          <w:rFonts w:cs="Arial" w:hint="cs"/>
          <w:sz w:val="16"/>
          <w:szCs w:val="16"/>
          <w:rtl/>
        </w:rPr>
        <w:t>[שם]</w:t>
      </w:r>
      <w:r w:rsidRPr="0019552B">
        <w:rPr>
          <w:rFonts w:cs="Arial" w:hint="cs"/>
          <w:color w:val="E36C0A" w:themeColor="accent6" w:themeShade="BF"/>
          <w:rtl/>
        </w:rPr>
        <w:t>)</w:t>
      </w:r>
    </w:p>
    <w:p w14:paraId="4F50EF3E" w14:textId="77777777" w:rsidR="002C39F4" w:rsidRDefault="002C39F4" w:rsidP="0032102C">
      <w:pPr>
        <w:pStyle w:val="a8"/>
        <w:numPr>
          <w:ilvl w:val="0"/>
          <w:numId w:val="182"/>
        </w:numPr>
        <w:rPr>
          <w:rtl/>
        </w:rPr>
      </w:pPr>
      <w:r>
        <w:rPr>
          <w:rFonts w:cs="Arial" w:hint="cs"/>
          <w:rtl/>
        </w:rPr>
        <w:t xml:space="preserve">רמב"ם </w:t>
      </w:r>
      <w:r>
        <w:rPr>
          <w:rFonts w:cs="Arial" w:hint="cs"/>
          <w:sz w:val="16"/>
          <w:szCs w:val="16"/>
          <w:rtl/>
        </w:rPr>
        <w:t>(פט"ו ה"כ, הביאו הר"ן)</w:t>
      </w:r>
      <w:r>
        <w:rPr>
          <w:rFonts w:cs="Arial" w:hint="cs"/>
          <w:rtl/>
        </w:rPr>
        <w:t xml:space="preserve"> ו</w:t>
      </w:r>
      <w:r w:rsidRPr="00F22D42">
        <w:rPr>
          <w:rFonts w:cs="Arial"/>
          <w:rtl/>
        </w:rPr>
        <w:t xml:space="preserve">רמב"ן </w:t>
      </w:r>
      <w:r w:rsidRPr="00F22D42">
        <w:rPr>
          <w:rFonts w:cs="Arial"/>
          <w:sz w:val="16"/>
          <w:szCs w:val="16"/>
          <w:rtl/>
        </w:rPr>
        <w:t>(</w:t>
      </w:r>
      <w:r w:rsidRPr="00F22D42">
        <w:rPr>
          <w:rFonts w:cs="Arial" w:hint="cs"/>
          <w:sz w:val="16"/>
          <w:szCs w:val="16"/>
          <w:rtl/>
        </w:rPr>
        <w:t>צז:</w:t>
      </w:r>
      <w:r w:rsidRPr="00F22D42">
        <w:rPr>
          <w:rFonts w:cs="Arial"/>
          <w:sz w:val="16"/>
          <w:szCs w:val="16"/>
          <w:rtl/>
        </w:rPr>
        <w:t xml:space="preserve"> ד"ה והא</w:t>
      </w:r>
      <w:r>
        <w:rPr>
          <w:rFonts w:cs="Arial" w:hint="cs"/>
          <w:sz w:val="16"/>
          <w:szCs w:val="16"/>
          <w:rtl/>
        </w:rPr>
        <w:t>, הביאו הרשב"א</w:t>
      </w:r>
      <w:r w:rsidRPr="00F22D42">
        <w:rPr>
          <w:rFonts w:cs="Arial"/>
          <w:sz w:val="16"/>
          <w:szCs w:val="16"/>
          <w:rtl/>
        </w:rPr>
        <w:t>)</w:t>
      </w:r>
      <w:r w:rsidRPr="00F22D42">
        <w:rPr>
          <w:rFonts w:cs="Arial" w:hint="cs"/>
          <w:rtl/>
        </w:rPr>
        <w:t>- מו</w:t>
      </w:r>
      <w:r w:rsidRPr="00F22D42">
        <w:rPr>
          <w:rFonts w:cs="Arial"/>
          <w:rtl/>
        </w:rPr>
        <w:t xml:space="preserve">תר אפילו </w:t>
      </w:r>
      <w:r w:rsidRPr="00F22D42">
        <w:rPr>
          <w:rFonts w:cs="Arial" w:hint="cs"/>
          <w:rtl/>
        </w:rPr>
        <w:t>ב</w:t>
      </w:r>
      <w:r w:rsidRPr="00F22D42">
        <w:rPr>
          <w:rFonts w:cs="Arial"/>
          <w:rtl/>
        </w:rPr>
        <w:t>קלופות</w:t>
      </w:r>
      <w:r>
        <w:rPr>
          <w:rFonts w:hint="cs"/>
          <w:rtl/>
        </w:rPr>
        <w:t>.</w:t>
      </w:r>
      <w:r w:rsidRPr="00F22D42">
        <w:rPr>
          <w:rFonts w:cs="Arial" w:hint="cs"/>
          <w:rtl/>
        </w:rPr>
        <w:t xml:space="preserve"> </w:t>
      </w:r>
      <w:r>
        <w:rPr>
          <w:rFonts w:hint="cs"/>
          <w:rtl/>
        </w:rPr>
        <w:t>(וכ"פ הש"ך</w:t>
      </w:r>
      <w:r>
        <w:rPr>
          <w:rStyle w:val="a7"/>
          <w:rtl/>
        </w:rPr>
        <w:footnoteReference w:id="1830"/>
      </w:r>
      <w:r>
        <w:rPr>
          <w:rFonts w:hint="cs"/>
          <w:rtl/>
        </w:rPr>
        <w:t>)</w:t>
      </w:r>
    </w:p>
    <w:p w14:paraId="6EF70838" w14:textId="77777777" w:rsidR="002C39F4" w:rsidRDefault="002C39F4" w:rsidP="002C39F4">
      <w:pPr>
        <w:rPr>
          <w:rFonts w:cs="Arial"/>
          <w:rtl/>
        </w:rPr>
      </w:pPr>
      <w:r>
        <w:rPr>
          <w:rFonts w:cs="Arial" w:hint="cs"/>
          <w:u w:val="single"/>
          <w:rtl/>
        </w:rPr>
        <w:t>מאי טעמא ד</w:t>
      </w:r>
      <w:r w:rsidRPr="00061986">
        <w:rPr>
          <w:rFonts w:cs="Arial"/>
          <w:u w:val="single"/>
          <w:rtl/>
        </w:rPr>
        <w:t xml:space="preserve">ביצה אסורה </w:t>
      </w:r>
      <w:r>
        <w:rPr>
          <w:rFonts w:cs="Arial" w:hint="cs"/>
          <w:u w:val="single"/>
          <w:rtl/>
        </w:rPr>
        <w:t>בטלה רק כשיש ששים ואחת</w:t>
      </w:r>
      <w:r w:rsidRPr="00061986">
        <w:rPr>
          <w:rFonts w:cs="Arial"/>
          <w:u w:val="single"/>
          <w:rtl/>
        </w:rPr>
        <w:t xml:space="preserve"> </w:t>
      </w:r>
      <w:r>
        <w:rPr>
          <w:rFonts w:cs="Arial" w:hint="cs"/>
          <w:u w:val="single"/>
          <w:rtl/>
        </w:rPr>
        <w:t>חוץ ממנה</w:t>
      </w:r>
      <w:r w:rsidRPr="00061986">
        <w:rPr>
          <w:rFonts w:cs="Arial"/>
          <w:u w:val="single"/>
          <w:rtl/>
        </w:rPr>
        <w:t xml:space="preserve"> </w:t>
      </w:r>
      <w:r w:rsidRPr="001F7060">
        <w:rPr>
          <w:rFonts w:cs="Arial" w:hint="cs"/>
          <w:sz w:val="16"/>
          <w:szCs w:val="16"/>
          <w:u w:val="single"/>
          <w:rtl/>
        </w:rPr>
        <w:t>(</w:t>
      </w:r>
      <w:r>
        <w:rPr>
          <w:rFonts w:cs="Arial" w:hint="cs"/>
          <w:sz w:val="16"/>
          <w:szCs w:val="16"/>
          <w:u w:val="single"/>
          <w:rtl/>
        </w:rPr>
        <w:t>ו</w:t>
      </w:r>
      <w:r w:rsidRPr="001F7060">
        <w:rPr>
          <w:rFonts w:cs="Arial"/>
          <w:sz w:val="16"/>
          <w:szCs w:val="16"/>
          <w:u w:val="single"/>
          <w:rtl/>
        </w:rPr>
        <w:t>לא ששים כשאר איסורין</w:t>
      </w:r>
      <w:r>
        <w:rPr>
          <w:rFonts w:cs="Arial" w:hint="cs"/>
          <w:sz w:val="16"/>
          <w:szCs w:val="16"/>
          <w:u w:val="single"/>
          <w:rtl/>
        </w:rPr>
        <w:t>)</w:t>
      </w:r>
      <w:r w:rsidRPr="00061986">
        <w:rPr>
          <w:rFonts w:cs="Arial" w:hint="cs"/>
          <w:u w:val="single"/>
          <w:rtl/>
        </w:rPr>
        <w:t>:</w:t>
      </w:r>
      <w:r>
        <w:rPr>
          <w:rFonts w:cs="Arial"/>
          <w:rtl/>
        </w:rPr>
        <w:t xml:space="preserve"> </w:t>
      </w:r>
      <w:r w:rsidRPr="0019552B">
        <w:rPr>
          <w:rFonts w:cs="Arial" w:hint="cs"/>
          <w:sz w:val="16"/>
          <w:szCs w:val="16"/>
          <w:rtl/>
        </w:rPr>
        <w:t xml:space="preserve">  (הועתק מסי' פו סע' ה)</w:t>
      </w:r>
    </w:p>
    <w:p w14:paraId="16033F5D" w14:textId="77777777" w:rsidR="002C39F4" w:rsidRPr="001A2545" w:rsidRDefault="002C39F4" w:rsidP="0032102C">
      <w:pPr>
        <w:pStyle w:val="a8"/>
        <w:numPr>
          <w:ilvl w:val="0"/>
          <w:numId w:val="184"/>
        </w:numPr>
      </w:pPr>
      <w:r w:rsidRPr="00061986">
        <w:rPr>
          <w:rFonts w:cs="Arial"/>
          <w:rtl/>
        </w:rPr>
        <w:t>רמב"ן</w:t>
      </w:r>
      <w:r>
        <w:rPr>
          <w:rFonts w:cs="Arial" w:hint="cs"/>
          <w:rtl/>
        </w:rPr>
        <w:t xml:space="preserve"> רשב"א</w:t>
      </w:r>
      <w:r w:rsidRPr="001A2545">
        <w:rPr>
          <w:rFonts w:cs="Arial"/>
          <w:rtl/>
        </w:rPr>
        <w:t xml:space="preserve"> </w:t>
      </w:r>
      <w:r w:rsidRPr="00F22D42">
        <w:rPr>
          <w:rFonts w:cs="Arial"/>
          <w:rtl/>
        </w:rPr>
        <w:t xml:space="preserve">רא"ש </w:t>
      </w:r>
      <w:r>
        <w:rPr>
          <w:rFonts w:cs="Arial" w:hint="cs"/>
          <w:rtl/>
        </w:rPr>
        <w:t>ו</w:t>
      </w:r>
      <w:r w:rsidRPr="00F22D42">
        <w:rPr>
          <w:rFonts w:cs="Arial"/>
          <w:rtl/>
        </w:rPr>
        <w:t>ר"ן</w:t>
      </w:r>
      <w:r>
        <w:rPr>
          <w:rStyle w:val="a7"/>
          <w:rFonts w:cs="Arial"/>
          <w:rtl/>
        </w:rPr>
        <w:footnoteReference w:id="1831"/>
      </w:r>
      <w:r>
        <w:rPr>
          <w:rFonts w:cs="Arial" w:hint="cs"/>
          <w:rtl/>
        </w:rPr>
        <w:t xml:space="preserve">- </w:t>
      </w:r>
      <w:r w:rsidRPr="00061986">
        <w:rPr>
          <w:rFonts w:cs="Arial"/>
          <w:rtl/>
        </w:rPr>
        <w:t>לפי שיש בביצים גדולים וקטנים והבא לבטל ביצה אינו משגיח עליה לראות אם זו וכולן שוות ממש לפיכך הוסיפו אחת ולא הצריכו לשער על כל אחת ואחת</w:t>
      </w:r>
      <w:r>
        <w:rPr>
          <w:rFonts w:cs="Arial" w:hint="cs"/>
          <w:rtl/>
        </w:rPr>
        <w:t xml:space="preserve">. </w:t>
      </w:r>
      <w:r w:rsidRPr="0019552B">
        <w:rPr>
          <w:rFonts w:cs="Arial" w:hint="cs"/>
          <w:color w:val="E36C0A" w:themeColor="accent6" w:themeShade="BF"/>
          <w:rtl/>
        </w:rPr>
        <w:t xml:space="preserve">(וכ"פ בשו"ע </w:t>
      </w:r>
      <w:r>
        <w:rPr>
          <w:rFonts w:cs="Arial" w:hint="cs"/>
          <w:sz w:val="16"/>
          <w:szCs w:val="16"/>
          <w:rtl/>
        </w:rPr>
        <w:t>[שם]</w:t>
      </w:r>
      <w:r w:rsidRPr="0019552B">
        <w:rPr>
          <w:rFonts w:cs="Arial" w:hint="cs"/>
          <w:color w:val="E36C0A" w:themeColor="accent6" w:themeShade="BF"/>
          <w:rtl/>
        </w:rPr>
        <w:t>)</w:t>
      </w:r>
      <w:r>
        <w:rPr>
          <w:rFonts w:hint="cs"/>
          <w:rtl/>
        </w:rPr>
        <w:t xml:space="preserve"> </w:t>
      </w:r>
    </w:p>
    <w:p w14:paraId="15A27F5F" w14:textId="77777777" w:rsidR="002C39F4" w:rsidRPr="001A2545" w:rsidRDefault="002C39F4" w:rsidP="0032102C">
      <w:pPr>
        <w:pStyle w:val="a8"/>
        <w:numPr>
          <w:ilvl w:val="0"/>
          <w:numId w:val="184"/>
        </w:numPr>
      </w:pPr>
      <w:r w:rsidRPr="00061986">
        <w:rPr>
          <w:rFonts w:cs="Arial"/>
          <w:rtl/>
        </w:rPr>
        <w:t xml:space="preserve">רמב"ם </w:t>
      </w:r>
      <w:r w:rsidRPr="001A2545">
        <w:rPr>
          <w:rFonts w:cs="Arial"/>
          <w:sz w:val="16"/>
          <w:szCs w:val="16"/>
          <w:rtl/>
        </w:rPr>
        <w:t>(</w:t>
      </w:r>
      <w:r w:rsidRPr="001A2545">
        <w:rPr>
          <w:rFonts w:cs="Arial" w:hint="cs"/>
          <w:sz w:val="16"/>
          <w:szCs w:val="16"/>
          <w:rtl/>
        </w:rPr>
        <w:t xml:space="preserve">פט"ו </w:t>
      </w:r>
      <w:r w:rsidRPr="001A2545">
        <w:rPr>
          <w:rFonts w:cs="Arial"/>
          <w:sz w:val="16"/>
          <w:szCs w:val="16"/>
          <w:rtl/>
        </w:rPr>
        <w:t>הי"ט)</w:t>
      </w:r>
      <w:r w:rsidRPr="00061986">
        <w:rPr>
          <w:rFonts w:cs="Arial" w:hint="cs"/>
          <w:rtl/>
        </w:rPr>
        <w:t>-</w:t>
      </w:r>
      <w:r w:rsidRPr="00061986">
        <w:rPr>
          <w:rFonts w:cs="Arial"/>
          <w:rtl/>
        </w:rPr>
        <w:t xml:space="preserve"> מפני שהיא בריה בפני עצמה עשו היכר בה והוסיפו בשיעורה</w:t>
      </w:r>
      <w:r>
        <w:rPr>
          <w:rStyle w:val="a7"/>
          <w:rFonts w:cs="Arial"/>
          <w:rtl/>
        </w:rPr>
        <w:footnoteReference w:id="1832"/>
      </w:r>
      <w:r w:rsidRPr="00061986">
        <w:rPr>
          <w:rFonts w:cs="Arial" w:hint="cs"/>
          <w:rtl/>
        </w:rPr>
        <w:t>.</w:t>
      </w:r>
      <w:r w:rsidRPr="00061986">
        <w:rPr>
          <w:rFonts w:cs="Arial"/>
          <w:rtl/>
        </w:rPr>
        <w:t xml:space="preserve"> </w:t>
      </w:r>
      <w:r>
        <w:rPr>
          <w:rFonts w:hint="cs"/>
          <w:rtl/>
        </w:rPr>
        <w:t xml:space="preserve"> </w:t>
      </w:r>
    </w:p>
    <w:p w14:paraId="15FD15E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93E608A" w14:textId="77777777" w:rsidR="002C39F4" w:rsidRDefault="002C39F4" w:rsidP="002C39F4">
      <w:pPr>
        <w:rPr>
          <w:rFonts w:asciiTheme="minorBidi" w:hAnsiTheme="minorBidi"/>
          <w:rtl/>
        </w:rPr>
      </w:pPr>
      <w:r w:rsidRPr="003024E5">
        <w:rPr>
          <w:rFonts w:asciiTheme="minorBidi" w:hAnsiTheme="minorBidi"/>
          <w:rtl/>
        </w:rPr>
        <w:t>ביצה שיש בה אפרוח או טפת דם</w:t>
      </w:r>
      <w:r>
        <w:rPr>
          <w:rStyle w:val="a7"/>
          <w:rFonts w:asciiTheme="minorBidi" w:hAnsiTheme="minorBidi"/>
          <w:rtl/>
        </w:rPr>
        <w:footnoteReference w:id="1833"/>
      </w:r>
      <w:r w:rsidRPr="003024E5">
        <w:rPr>
          <w:rFonts w:asciiTheme="minorBidi" w:hAnsiTheme="minorBidi"/>
          <w:rtl/>
        </w:rPr>
        <w:t xml:space="preserve"> שנתבשלה עם אחרות צריך ששים ואחת לבטל פליטתה. </w:t>
      </w:r>
    </w:p>
    <w:p w14:paraId="590A6041" w14:textId="77777777" w:rsidR="002C39F4" w:rsidRPr="003024E5" w:rsidRDefault="002C39F4" w:rsidP="002C39F4">
      <w:pPr>
        <w:rPr>
          <w:rFonts w:asciiTheme="minorBidi" w:hAnsiTheme="minorBidi"/>
          <w:rtl/>
        </w:rPr>
      </w:pPr>
    </w:p>
    <w:p w14:paraId="7E1B7A72" w14:textId="77777777" w:rsidR="002C39F4" w:rsidRDefault="002C39F4" w:rsidP="002C39F4">
      <w:pPr>
        <w:pStyle w:val="2"/>
        <w:rPr>
          <w:rFonts w:asciiTheme="minorBidi" w:hAnsiTheme="minorBidi"/>
          <w:rtl/>
        </w:rPr>
      </w:pPr>
      <w:r w:rsidRPr="003024E5">
        <w:rPr>
          <w:rFonts w:asciiTheme="minorBidi" w:hAnsiTheme="minorBidi"/>
          <w:rtl/>
        </w:rPr>
        <w:t>סעיף ח</w:t>
      </w:r>
      <w:r>
        <w:rPr>
          <w:rFonts w:asciiTheme="minorBidi" w:hAnsiTheme="minorBidi" w:hint="cs"/>
          <w:rtl/>
        </w:rPr>
        <w:t xml:space="preserve">: ביטול כחל </w:t>
      </w:r>
      <w:r w:rsidRPr="00E97C75">
        <w:rPr>
          <w:rFonts w:asciiTheme="minorBidi" w:hAnsiTheme="minorBidi" w:hint="cs"/>
          <w:rtl/>
        </w:rPr>
        <w:t>ושאר איסורין</w:t>
      </w:r>
      <w:r>
        <w:rPr>
          <w:rFonts w:asciiTheme="minorBidi" w:hAnsiTheme="minorBidi" w:hint="cs"/>
          <w:rtl/>
        </w:rPr>
        <w:t>.</w:t>
      </w:r>
    </w:p>
    <w:p w14:paraId="7F3569A3" w14:textId="77777777" w:rsidR="002C39F4" w:rsidRDefault="002C39F4" w:rsidP="002C39F4">
      <w:pPr>
        <w:rPr>
          <w:rFonts w:cs="Arial"/>
          <w:rtl/>
        </w:rPr>
      </w:pPr>
      <w:r w:rsidRPr="004672D3">
        <w:rPr>
          <w:rFonts w:cs="Arial" w:hint="cs"/>
          <w:u w:val="single"/>
          <w:rtl/>
        </w:rPr>
        <w:t>ביטול</w:t>
      </w:r>
      <w:r>
        <w:rPr>
          <w:rFonts w:cs="Arial" w:hint="cs"/>
          <w:u w:val="single"/>
          <w:rtl/>
        </w:rPr>
        <w:t xml:space="preserve"> כחל ושאר</w:t>
      </w:r>
      <w:r w:rsidRPr="004672D3">
        <w:rPr>
          <w:rFonts w:cs="Arial" w:hint="cs"/>
          <w:u w:val="single"/>
          <w:rtl/>
        </w:rPr>
        <w:t xml:space="preserve"> איסורין:</w:t>
      </w:r>
    </w:p>
    <w:p w14:paraId="3F2286BB" w14:textId="77777777" w:rsidR="002C39F4" w:rsidRDefault="002C39F4" w:rsidP="0032102C">
      <w:pPr>
        <w:pStyle w:val="a8"/>
        <w:numPr>
          <w:ilvl w:val="0"/>
          <w:numId w:val="185"/>
        </w:numPr>
        <w:rPr>
          <w:rtl/>
        </w:rPr>
      </w:pPr>
      <w:r w:rsidRPr="004672D3">
        <w:rPr>
          <w:rFonts w:cs="Arial" w:hint="cs"/>
          <w:rtl/>
        </w:rPr>
        <w:t xml:space="preserve">טור- </w:t>
      </w:r>
      <w:r w:rsidRPr="004672D3">
        <w:rPr>
          <w:rFonts w:cs="Arial"/>
          <w:rtl/>
        </w:rPr>
        <w:t>כחל מתבטל בנ"ט ולמעלה כתבתיו בהלכות כחל</w:t>
      </w:r>
      <w:r w:rsidRPr="004672D3">
        <w:rPr>
          <w:rFonts w:cs="Arial" w:hint="cs"/>
          <w:sz w:val="16"/>
          <w:szCs w:val="16"/>
          <w:rtl/>
        </w:rPr>
        <w:t xml:space="preserve"> (סי' צ)</w:t>
      </w:r>
      <w:r w:rsidRPr="004672D3">
        <w:rPr>
          <w:rFonts w:cs="Arial" w:hint="cs"/>
          <w:rtl/>
        </w:rPr>
        <w:t>,</w:t>
      </w:r>
      <w:r>
        <w:rPr>
          <w:rFonts w:hint="cs"/>
          <w:rtl/>
        </w:rPr>
        <w:t xml:space="preserve"> </w:t>
      </w:r>
      <w:r w:rsidRPr="004672D3">
        <w:rPr>
          <w:rFonts w:cs="Arial"/>
          <w:rtl/>
        </w:rPr>
        <w:t>וכל שאר איסורין בין של תורה בין של דבריהם צריכ</w:t>
      </w:r>
      <w:r>
        <w:rPr>
          <w:rFonts w:cs="Arial" w:hint="cs"/>
          <w:rtl/>
        </w:rPr>
        <w:t>ין</w:t>
      </w:r>
      <w:r w:rsidRPr="004672D3">
        <w:rPr>
          <w:rFonts w:cs="Arial"/>
          <w:rtl/>
        </w:rPr>
        <w:t xml:space="preserve"> ס' לבטלם חוץ מחמץ בפסח כאשר בארתיו בספר א</w:t>
      </w:r>
      <w:r w:rsidRPr="004672D3">
        <w:rPr>
          <w:rFonts w:cs="Arial" w:hint="cs"/>
          <w:rtl/>
        </w:rPr>
        <w:t>ו</w:t>
      </w:r>
      <w:r w:rsidRPr="004672D3">
        <w:rPr>
          <w:rFonts w:cs="Arial"/>
          <w:rtl/>
        </w:rPr>
        <w:t>"ח</w:t>
      </w:r>
      <w:r>
        <w:rPr>
          <w:rFonts w:cs="Arial" w:hint="cs"/>
          <w:rtl/>
        </w:rPr>
        <w:t>,</w:t>
      </w:r>
      <w:r w:rsidRPr="004672D3">
        <w:rPr>
          <w:rFonts w:cs="Arial"/>
          <w:rtl/>
        </w:rPr>
        <w:t xml:space="preserve"> ויין נסך כאשר יתבאר בע"ה</w:t>
      </w:r>
      <w:r>
        <w:rPr>
          <w:rFonts w:cs="Arial" w:hint="cs"/>
          <w:rtl/>
        </w:rPr>
        <w:t>,</w:t>
      </w:r>
      <w:r>
        <w:rPr>
          <w:rFonts w:hint="cs"/>
          <w:rtl/>
        </w:rPr>
        <w:t xml:space="preserve"> </w:t>
      </w:r>
      <w:r w:rsidRPr="004672D3">
        <w:rPr>
          <w:rFonts w:cs="Arial"/>
          <w:rtl/>
        </w:rPr>
        <w:t>וחוץ מטבל וערלה ותרומה שאין לנו עתה עסק בהן</w:t>
      </w:r>
      <w:r>
        <w:rPr>
          <w:rStyle w:val="a7"/>
          <w:rFonts w:cs="Arial"/>
          <w:rtl/>
        </w:rPr>
        <w:footnoteReference w:id="1834"/>
      </w:r>
      <w:r>
        <w:rPr>
          <w:rFonts w:cs="Arial" w:hint="cs"/>
          <w:rtl/>
        </w:rPr>
        <w:t>.</w:t>
      </w:r>
    </w:p>
    <w:p w14:paraId="2A9778C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001DAD1" w14:textId="77777777" w:rsidR="002C39F4" w:rsidRDefault="002C39F4" w:rsidP="002C39F4">
      <w:pPr>
        <w:rPr>
          <w:rFonts w:asciiTheme="minorBidi" w:hAnsiTheme="minorBidi"/>
          <w:rtl/>
        </w:rPr>
      </w:pPr>
      <w:r w:rsidRPr="003024E5">
        <w:rPr>
          <w:rFonts w:asciiTheme="minorBidi" w:hAnsiTheme="minorBidi"/>
          <w:rtl/>
        </w:rPr>
        <w:t xml:space="preserve">כחל מתבטל בתשעה וחמשים. </w:t>
      </w:r>
      <w:r w:rsidRPr="00956320">
        <w:rPr>
          <w:rFonts w:asciiTheme="minorBidi" w:hAnsiTheme="minorBidi"/>
          <w:sz w:val="18"/>
          <w:szCs w:val="18"/>
          <w:rtl/>
        </w:rPr>
        <w:t>הגה: כל האיסורים</w:t>
      </w:r>
      <w:r>
        <w:rPr>
          <w:rStyle w:val="a7"/>
          <w:rFonts w:asciiTheme="minorBidi" w:hAnsiTheme="minorBidi"/>
          <w:sz w:val="18"/>
          <w:szCs w:val="18"/>
          <w:rtl/>
        </w:rPr>
        <w:footnoteReference w:id="1835"/>
      </w:r>
      <w:r w:rsidRPr="00956320">
        <w:rPr>
          <w:rFonts w:asciiTheme="minorBidi" w:hAnsiTheme="minorBidi"/>
          <w:sz w:val="18"/>
          <w:szCs w:val="18"/>
          <w:rtl/>
        </w:rPr>
        <w:t xml:space="preserve"> הנוהגין בזמן הזה כולם מתבטלים בששים מלבד חמץ בפסח ויין נסך</w:t>
      </w:r>
      <w:r>
        <w:rPr>
          <w:rStyle w:val="a7"/>
          <w:rFonts w:asciiTheme="minorBidi" w:hAnsiTheme="minorBidi"/>
          <w:sz w:val="18"/>
          <w:szCs w:val="18"/>
          <w:rtl/>
        </w:rPr>
        <w:footnoteReference w:id="1836"/>
      </w:r>
      <w:r w:rsidRPr="00956320">
        <w:rPr>
          <w:rFonts w:asciiTheme="minorBidi" w:hAnsiTheme="minorBidi"/>
          <w:sz w:val="18"/>
          <w:szCs w:val="18"/>
          <w:rtl/>
        </w:rPr>
        <w:t xml:space="preserve"> כאשר נתבאר בהלכותיהם </w:t>
      </w:r>
      <w:r w:rsidRPr="00C80962">
        <w:rPr>
          <w:rFonts w:asciiTheme="minorBidi" w:hAnsiTheme="minorBidi"/>
          <w:sz w:val="16"/>
          <w:szCs w:val="16"/>
          <w:rtl/>
        </w:rPr>
        <w:t>(טור)</w:t>
      </w:r>
      <w:r w:rsidRPr="00956320">
        <w:rPr>
          <w:rFonts w:asciiTheme="minorBidi" w:hAnsiTheme="minorBidi"/>
          <w:sz w:val="18"/>
          <w:szCs w:val="18"/>
          <w:rtl/>
        </w:rPr>
        <w:t>, ובלבד שהאיסור אינו נותן טעם בקדירה, אבל אם נותן טעם באותה קדירה</w:t>
      </w:r>
      <w:r>
        <w:rPr>
          <w:rStyle w:val="a7"/>
          <w:rFonts w:asciiTheme="minorBidi" w:hAnsiTheme="minorBidi"/>
          <w:sz w:val="18"/>
          <w:szCs w:val="18"/>
          <w:rtl/>
        </w:rPr>
        <w:footnoteReference w:id="1837"/>
      </w:r>
      <w:r w:rsidRPr="00956320">
        <w:rPr>
          <w:rFonts w:asciiTheme="minorBidi" w:hAnsiTheme="minorBidi"/>
          <w:sz w:val="18"/>
          <w:szCs w:val="18"/>
          <w:rtl/>
        </w:rPr>
        <w:t xml:space="preserve"> והוא אסור מצד עצמו אפילו באלף לא בטיל</w:t>
      </w:r>
      <w:r>
        <w:rPr>
          <w:rStyle w:val="a7"/>
          <w:rFonts w:asciiTheme="minorBidi" w:hAnsiTheme="minorBidi"/>
          <w:sz w:val="18"/>
          <w:szCs w:val="18"/>
          <w:rtl/>
        </w:rPr>
        <w:footnoteReference w:id="1838"/>
      </w:r>
      <w:r w:rsidRPr="00956320">
        <w:rPr>
          <w:rFonts w:asciiTheme="minorBidi" w:hAnsiTheme="minorBidi"/>
          <w:sz w:val="18"/>
          <w:szCs w:val="18"/>
          <w:rtl/>
        </w:rPr>
        <w:t xml:space="preserve"> כל זמן שמרגישין טעמו</w:t>
      </w:r>
      <w:r>
        <w:rPr>
          <w:rStyle w:val="a7"/>
          <w:rFonts w:asciiTheme="minorBidi" w:hAnsiTheme="minorBidi"/>
          <w:sz w:val="18"/>
          <w:szCs w:val="18"/>
          <w:rtl/>
        </w:rPr>
        <w:footnoteReference w:id="1839"/>
      </w:r>
      <w:r>
        <w:rPr>
          <w:rFonts w:asciiTheme="minorBidi" w:hAnsiTheme="minorBidi" w:hint="cs"/>
          <w:sz w:val="18"/>
          <w:szCs w:val="18"/>
          <w:rtl/>
        </w:rPr>
        <w:t>,</w:t>
      </w:r>
      <w:r w:rsidRPr="00956320">
        <w:rPr>
          <w:rFonts w:asciiTheme="minorBidi" w:hAnsiTheme="minorBidi"/>
          <w:sz w:val="18"/>
          <w:szCs w:val="18"/>
          <w:rtl/>
        </w:rPr>
        <w:t xml:space="preserve"> ולכן מלח ותבלין מדברים דעבידי לטעמא אם אסורים מחמת עצמן</w:t>
      </w:r>
      <w:r>
        <w:rPr>
          <w:rStyle w:val="a7"/>
          <w:rFonts w:asciiTheme="minorBidi" w:hAnsiTheme="minorBidi"/>
          <w:sz w:val="18"/>
          <w:szCs w:val="18"/>
          <w:rtl/>
        </w:rPr>
        <w:footnoteReference w:id="1840"/>
      </w:r>
      <w:r w:rsidRPr="00956320">
        <w:rPr>
          <w:rFonts w:asciiTheme="minorBidi" w:hAnsiTheme="minorBidi"/>
          <w:sz w:val="18"/>
          <w:szCs w:val="18"/>
          <w:rtl/>
        </w:rPr>
        <w:t xml:space="preserve"> אינן בטילים בששים </w:t>
      </w:r>
      <w:r w:rsidRPr="00C80962">
        <w:rPr>
          <w:rFonts w:asciiTheme="minorBidi" w:hAnsiTheme="minorBidi"/>
          <w:sz w:val="16"/>
          <w:szCs w:val="16"/>
          <w:rtl/>
        </w:rPr>
        <w:t>(ארוך כלל כה</w:t>
      </w:r>
      <w:r w:rsidRPr="00C80962">
        <w:rPr>
          <w:rFonts w:asciiTheme="minorBidi" w:hAnsiTheme="minorBidi" w:hint="cs"/>
          <w:sz w:val="16"/>
          <w:szCs w:val="16"/>
          <w:rtl/>
        </w:rPr>
        <w:t>)</w:t>
      </w:r>
      <w:r>
        <w:rPr>
          <w:rFonts w:asciiTheme="minorBidi" w:hAnsiTheme="minorBidi" w:hint="cs"/>
          <w:sz w:val="18"/>
          <w:szCs w:val="18"/>
          <w:rtl/>
        </w:rPr>
        <w:t>,</w:t>
      </w:r>
      <w:r w:rsidRPr="00956320">
        <w:rPr>
          <w:rFonts w:asciiTheme="minorBidi" w:hAnsiTheme="minorBidi"/>
          <w:sz w:val="18"/>
          <w:szCs w:val="18"/>
          <w:rtl/>
        </w:rPr>
        <w:t xml:space="preserve"> וע"ל ס</w:t>
      </w:r>
      <w:r>
        <w:rPr>
          <w:rFonts w:asciiTheme="minorBidi" w:hAnsiTheme="minorBidi" w:hint="cs"/>
          <w:sz w:val="18"/>
          <w:szCs w:val="18"/>
          <w:rtl/>
        </w:rPr>
        <w:t>"</w:t>
      </w:r>
      <w:r w:rsidRPr="00956320">
        <w:rPr>
          <w:rFonts w:asciiTheme="minorBidi" w:hAnsiTheme="minorBidi"/>
          <w:sz w:val="18"/>
          <w:szCs w:val="18"/>
          <w:rtl/>
        </w:rPr>
        <w:t>ס קה.</w:t>
      </w:r>
    </w:p>
    <w:p w14:paraId="323439F3" w14:textId="77777777" w:rsidR="002C39F4" w:rsidRDefault="002C39F4" w:rsidP="002C39F4">
      <w:pPr>
        <w:rPr>
          <w:rFonts w:cs="Arial"/>
          <w:rtl/>
        </w:rPr>
      </w:pPr>
      <w:r w:rsidRPr="00D04204">
        <w:rPr>
          <w:rFonts w:cs="Arial" w:hint="cs"/>
          <w:u w:val="single"/>
          <w:rtl/>
        </w:rPr>
        <w:t>מלח/תבלין שנפל לדבר ששוה בשמו/בטעמו:</w:t>
      </w:r>
    </w:p>
    <w:p w14:paraId="189FF7B2" w14:textId="77777777" w:rsidR="002C39F4" w:rsidRDefault="002C39F4" w:rsidP="0032102C">
      <w:pPr>
        <w:pStyle w:val="a8"/>
        <w:numPr>
          <w:ilvl w:val="0"/>
          <w:numId w:val="185"/>
        </w:numPr>
        <w:rPr>
          <w:rFonts w:asciiTheme="minorBidi" w:hAnsiTheme="minorBidi"/>
        </w:rPr>
      </w:pPr>
      <w:r w:rsidRPr="00D04204">
        <w:rPr>
          <w:rFonts w:cs="Arial"/>
          <w:rtl/>
        </w:rPr>
        <w:t xml:space="preserve">ת"ח </w:t>
      </w:r>
      <w:r w:rsidRPr="00D04204">
        <w:rPr>
          <w:rFonts w:cs="Arial" w:hint="cs"/>
          <w:sz w:val="16"/>
          <w:szCs w:val="16"/>
          <w:rtl/>
        </w:rPr>
        <w:t>(</w:t>
      </w:r>
      <w:r w:rsidRPr="00D04204">
        <w:rPr>
          <w:rFonts w:cs="Arial"/>
          <w:sz w:val="16"/>
          <w:szCs w:val="16"/>
          <w:rtl/>
        </w:rPr>
        <w:t>כלל פה ד"ד</w:t>
      </w:r>
      <w:r w:rsidRPr="00D04204">
        <w:rPr>
          <w:rFonts w:cs="Arial" w:hint="cs"/>
          <w:sz w:val="16"/>
          <w:szCs w:val="16"/>
          <w:rtl/>
        </w:rPr>
        <w:t>, הביאו הש"ך סק"ל)</w:t>
      </w:r>
      <w:r w:rsidRPr="00D04204">
        <w:rPr>
          <w:rFonts w:cs="Arial" w:hint="cs"/>
          <w:rtl/>
        </w:rPr>
        <w:t xml:space="preserve">- </w:t>
      </w:r>
      <w:r w:rsidRPr="00D04204">
        <w:rPr>
          <w:rFonts w:cs="Arial"/>
          <w:rtl/>
        </w:rPr>
        <w:t>אפי' נפל מלח ותבלין לדבר ששוה בשמו אפ"ה כיון דחלוק בטעמו לא בטיל</w:t>
      </w:r>
      <w:r>
        <w:rPr>
          <w:rFonts w:cs="Arial" w:hint="cs"/>
          <w:rtl/>
        </w:rPr>
        <w:t>,</w:t>
      </w:r>
      <w:r w:rsidRPr="00D04204">
        <w:rPr>
          <w:rFonts w:cs="Arial"/>
          <w:rtl/>
        </w:rPr>
        <w:t xml:space="preserve"> אבל אם נפל לדבר ששוה בטעמו בטל בששים</w:t>
      </w:r>
      <w:r w:rsidRPr="00D04204">
        <w:rPr>
          <w:rFonts w:cs="Arial" w:hint="cs"/>
          <w:rtl/>
        </w:rPr>
        <w:t>.</w:t>
      </w:r>
    </w:p>
    <w:p w14:paraId="4BEE2807" w14:textId="77777777" w:rsidR="002C39F4" w:rsidRDefault="002C39F4" w:rsidP="0032102C">
      <w:pPr>
        <w:pStyle w:val="a8"/>
        <w:numPr>
          <w:ilvl w:val="0"/>
          <w:numId w:val="185"/>
        </w:numPr>
        <w:rPr>
          <w:rFonts w:asciiTheme="minorBidi" w:hAnsiTheme="minorBidi"/>
        </w:rPr>
      </w:pPr>
      <w:r>
        <w:rPr>
          <w:rFonts w:asciiTheme="minorBidi" w:hAnsiTheme="minorBidi" w:hint="cs"/>
          <w:rtl/>
        </w:rPr>
        <w:t xml:space="preserve">פר"ח </w:t>
      </w:r>
      <w:r w:rsidRPr="00D04204">
        <w:rPr>
          <w:rFonts w:asciiTheme="minorBidi" w:hAnsiTheme="minorBidi" w:hint="cs"/>
          <w:sz w:val="16"/>
          <w:szCs w:val="16"/>
          <w:rtl/>
        </w:rPr>
        <w:t xml:space="preserve">(סקכ"ו) </w:t>
      </w:r>
      <w:r>
        <w:rPr>
          <w:rFonts w:asciiTheme="minorBidi" w:hAnsiTheme="minorBidi" w:hint="cs"/>
          <w:rtl/>
        </w:rPr>
        <w:t xml:space="preserve">ומנח"י </w:t>
      </w:r>
      <w:r w:rsidRPr="00D04204">
        <w:rPr>
          <w:rFonts w:asciiTheme="minorBidi" w:hAnsiTheme="minorBidi" w:hint="cs"/>
          <w:sz w:val="16"/>
          <w:szCs w:val="16"/>
          <w:rtl/>
        </w:rPr>
        <w:t>(כלל פה אות סב)</w:t>
      </w:r>
      <w:r>
        <w:rPr>
          <w:rFonts w:asciiTheme="minorBidi" w:hAnsiTheme="minorBidi" w:hint="cs"/>
          <w:rtl/>
        </w:rPr>
        <w:t>- במינו משערין כל שראוי ליתן טעם כנגדו באינו מינו.</w:t>
      </w:r>
    </w:p>
    <w:p w14:paraId="0A826F82" w14:textId="77777777" w:rsidR="002C39F4" w:rsidRPr="007C6B9E" w:rsidRDefault="002C39F4" w:rsidP="002C39F4">
      <w:pPr>
        <w:rPr>
          <w:rFonts w:asciiTheme="minorBidi" w:hAnsiTheme="minorBidi"/>
          <w:u w:val="single"/>
        </w:rPr>
      </w:pPr>
      <w:r>
        <w:rPr>
          <w:rFonts w:asciiTheme="minorBidi" w:hAnsiTheme="minorBidi" w:hint="cs"/>
          <w:u w:val="single"/>
          <w:rtl/>
        </w:rPr>
        <w:t>שומן של איסור שנפל למאכל:</w:t>
      </w:r>
    </w:p>
    <w:p w14:paraId="48FC9555" w14:textId="77777777" w:rsidR="002C39F4" w:rsidRPr="00D04204" w:rsidRDefault="002C39F4" w:rsidP="0032102C">
      <w:pPr>
        <w:pStyle w:val="a8"/>
        <w:numPr>
          <w:ilvl w:val="0"/>
          <w:numId w:val="185"/>
        </w:numPr>
        <w:rPr>
          <w:rFonts w:asciiTheme="minorBidi" w:hAnsiTheme="minorBidi"/>
          <w:rtl/>
        </w:rPr>
      </w:pPr>
      <w:r>
        <w:rPr>
          <w:rFonts w:asciiTheme="minorBidi" w:hAnsiTheme="minorBidi" w:cs="Arial" w:hint="cs"/>
          <w:rtl/>
        </w:rPr>
        <w:t>ט"ז</w:t>
      </w:r>
      <w:r w:rsidRPr="007C6B9E">
        <w:rPr>
          <w:rFonts w:asciiTheme="minorBidi" w:hAnsiTheme="minorBidi" w:cs="Arial" w:hint="cs"/>
          <w:sz w:val="16"/>
          <w:szCs w:val="16"/>
          <w:rtl/>
        </w:rPr>
        <w:t xml:space="preserve"> (סקי"א)</w:t>
      </w:r>
      <w:r>
        <w:rPr>
          <w:rFonts w:asciiTheme="minorBidi" w:hAnsiTheme="minorBidi" w:cs="Arial" w:hint="cs"/>
          <w:rtl/>
        </w:rPr>
        <w:t xml:space="preserve">- </w:t>
      </w:r>
      <w:r w:rsidRPr="007C6B9E">
        <w:rPr>
          <w:rFonts w:asciiTheme="minorBidi" w:hAnsiTheme="minorBidi" w:cs="Arial"/>
          <w:rtl/>
        </w:rPr>
        <w:t>צ"ע לענין שומן של איסור שנפל למאכל אמאי יהיה בטל בששים הא לטעמא עביד</w:t>
      </w:r>
      <w:r>
        <w:rPr>
          <w:rFonts w:asciiTheme="minorBidi" w:hAnsiTheme="minorBidi" w:cs="Arial" w:hint="cs"/>
          <w:rtl/>
        </w:rPr>
        <w:t>,</w:t>
      </w:r>
      <w:r w:rsidRPr="007C6B9E">
        <w:rPr>
          <w:rFonts w:asciiTheme="minorBidi" w:hAnsiTheme="minorBidi" w:cs="Arial"/>
          <w:rtl/>
        </w:rPr>
        <w:t xml:space="preserve"> בשלמא שומן בשר לתוך מאכל חלב שפיר בטל בששים כיון שאין האיסור מצד עצמו רק מצד התערובות וכיון שיש ששים אין כאן תערובות</w:t>
      </w:r>
      <w:r>
        <w:rPr>
          <w:rFonts w:asciiTheme="minorBidi" w:hAnsiTheme="minorBidi" w:cs="Arial" w:hint="cs"/>
          <w:rtl/>
        </w:rPr>
        <w:t>,</w:t>
      </w:r>
      <w:r w:rsidRPr="007C6B9E">
        <w:rPr>
          <w:rFonts w:asciiTheme="minorBidi" w:hAnsiTheme="minorBidi" w:cs="Arial"/>
          <w:rtl/>
        </w:rPr>
        <w:t xml:space="preserve"> אבל בשומן של איסור שהוא מצד עצמו אמאי מהני ששים בהיתר</w:t>
      </w:r>
      <w:r>
        <w:rPr>
          <w:rFonts w:asciiTheme="minorBidi" w:hAnsiTheme="minorBidi" w:cs="Arial" w:hint="cs"/>
          <w:rtl/>
        </w:rPr>
        <w:t>,</w:t>
      </w:r>
      <w:r w:rsidRPr="007C6B9E">
        <w:rPr>
          <w:rFonts w:asciiTheme="minorBidi" w:hAnsiTheme="minorBidi" w:cs="Arial"/>
          <w:rtl/>
        </w:rPr>
        <w:t xml:space="preserve"> ומאי שנא מביצה שנולדה בי</w:t>
      </w:r>
      <w:r>
        <w:rPr>
          <w:rFonts w:asciiTheme="minorBidi" w:hAnsiTheme="minorBidi" w:cs="Arial" w:hint="cs"/>
          <w:rtl/>
        </w:rPr>
        <w:t>ו</w:t>
      </w:r>
      <w:r w:rsidRPr="007C6B9E">
        <w:rPr>
          <w:rFonts w:asciiTheme="minorBidi" w:hAnsiTheme="minorBidi" w:cs="Arial"/>
          <w:rtl/>
        </w:rPr>
        <w:t>"ט ולבנו בו מאכל דפסק בא</w:t>
      </w:r>
      <w:r>
        <w:rPr>
          <w:rFonts w:asciiTheme="minorBidi" w:hAnsiTheme="minorBidi" w:cs="Arial" w:hint="cs"/>
          <w:rtl/>
        </w:rPr>
        <w:t>ו</w:t>
      </w:r>
      <w:r w:rsidRPr="007C6B9E">
        <w:rPr>
          <w:rFonts w:asciiTheme="minorBidi" w:hAnsiTheme="minorBidi" w:cs="Arial"/>
          <w:rtl/>
        </w:rPr>
        <w:t>"ח סי' תקיג דלא מהני ששים כיון דלטעמא עבידא</w:t>
      </w:r>
      <w:r>
        <w:rPr>
          <w:rFonts w:asciiTheme="minorBidi" w:hAnsiTheme="minorBidi" w:cs="Arial" w:hint="cs"/>
          <w:rtl/>
        </w:rPr>
        <w:t>,</w:t>
      </w:r>
      <w:r w:rsidRPr="007C6B9E">
        <w:rPr>
          <w:rFonts w:asciiTheme="minorBidi" w:hAnsiTheme="minorBidi" w:cs="Arial"/>
          <w:rtl/>
        </w:rPr>
        <w:t xml:space="preserve"> וא</w:t>
      </w:r>
      <w:r>
        <w:rPr>
          <w:rFonts w:asciiTheme="minorBidi" w:hAnsiTheme="minorBidi" w:cs="Arial" w:hint="cs"/>
          <w:rtl/>
        </w:rPr>
        <w:t>ע"</w:t>
      </w:r>
      <w:r w:rsidRPr="007C6B9E">
        <w:rPr>
          <w:rFonts w:asciiTheme="minorBidi" w:hAnsiTheme="minorBidi" w:cs="Arial"/>
          <w:rtl/>
        </w:rPr>
        <w:t>פ שמזכיר שם טעמא וחזותא מ"מ כאן ודאי טעם לחוד אוסר</w:t>
      </w:r>
      <w:r>
        <w:rPr>
          <w:rFonts w:asciiTheme="minorBidi" w:hAnsiTheme="minorBidi" w:cs="Arial" w:hint="cs"/>
          <w:rtl/>
        </w:rPr>
        <w:t>,</w:t>
      </w:r>
      <w:r w:rsidRPr="007C6B9E">
        <w:rPr>
          <w:rFonts w:asciiTheme="minorBidi" w:hAnsiTheme="minorBidi" w:cs="Arial"/>
          <w:rtl/>
        </w:rPr>
        <w:t xml:space="preserve"> וא</w:t>
      </w:r>
      <w:r>
        <w:rPr>
          <w:rFonts w:asciiTheme="minorBidi" w:hAnsiTheme="minorBidi" w:cs="Arial" w:hint="cs"/>
          <w:rtl/>
        </w:rPr>
        <w:t>ע"פ</w:t>
      </w:r>
      <w:r w:rsidRPr="007C6B9E">
        <w:rPr>
          <w:rFonts w:asciiTheme="minorBidi" w:hAnsiTheme="minorBidi" w:cs="Arial"/>
          <w:rtl/>
        </w:rPr>
        <w:t xml:space="preserve"> שכ' רמ"א כאן כל זמן שמרגישין הטעם מ"מ היאך נבוא לידי הרגשה כיון שאפשר שנותן טעם היאך יטעמוהו</w:t>
      </w:r>
      <w:r>
        <w:rPr>
          <w:rFonts w:asciiTheme="minorBidi" w:hAnsiTheme="minorBidi" w:cs="Arial" w:hint="cs"/>
          <w:rtl/>
        </w:rPr>
        <w:t>,</w:t>
      </w:r>
      <w:r w:rsidRPr="007C6B9E">
        <w:rPr>
          <w:rFonts w:asciiTheme="minorBidi" w:hAnsiTheme="minorBidi" w:cs="Arial"/>
          <w:rtl/>
        </w:rPr>
        <w:t xml:space="preserve"> וצ"ל דאין הכי נמי דמסתמא אמרי' ביש ששים אינו נ"ט אלא דאם מרגישין שיש טעם שם אז לא בטיל ולא מהני באמת בזה ששים</w:t>
      </w:r>
      <w:r>
        <w:rPr>
          <w:rFonts w:asciiTheme="minorBidi" w:hAnsiTheme="minorBidi" w:cs="Arial" w:hint="cs"/>
          <w:rtl/>
        </w:rPr>
        <w:t>,</w:t>
      </w:r>
      <w:r w:rsidRPr="007C6B9E">
        <w:rPr>
          <w:rFonts w:asciiTheme="minorBidi" w:hAnsiTheme="minorBidi" w:cs="Arial"/>
          <w:rtl/>
        </w:rPr>
        <w:t xml:space="preserve"> אבל בביצה לא אמרי' כן כיון שיש ג"כ חזותא</w:t>
      </w:r>
      <w:r>
        <w:rPr>
          <w:rFonts w:asciiTheme="minorBidi" w:hAnsiTheme="minorBidi" w:cs="Arial" w:hint="cs"/>
          <w:rtl/>
        </w:rPr>
        <w:t>,</w:t>
      </w:r>
      <w:r w:rsidRPr="007C6B9E">
        <w:rPr>
          <w:rFonts w:asciiTheme="minorBidi" w:hAnsiTheme="minorBidi" w:cs="Arial"/>
          <w:rtl/>
        </w:rPr>
        <w:t xml:space="preserve"> ע"כ אין אנו מקילין בששים בדבר שיש לו מתירין כיון שאפשר שיש בו טע</w:t>
      </w:r>
      <w:r>
        <w:rPr>
          <w:rFonts w:asciiTheme="minorBidi" w:hAnsiTheme="minorBidi" w:cs="Arial" w:hint="cs"/>
          <w:rtl/>
        </w:rPr>
        <w:t>ם,</w:t>
      </w:r>
      <w:r w:rsidRPr="007C6B9E">
        <w:rPr>
          <w:rFonts w:asciiTheme="minorBidi" w:hAnsiTheme="minorBidi" w:cs="Arial"/>
          <w:rtl/>
        </w:rPr>
        <w:t xml:space="preserve"> שוב ראיתי באו"ה </w:t>
      </w:r>
      <w:r w:rsidRPr="00E97C75">
        <w:rPr>
          <w:rFonts w:asciiTheme="minorBidi" w:hAnsiTheme="minorBidi" w:cs="Arial" w:hint="cs"/>
          <w:sz w:val="16"/>
          <w:szCs w:val="16"/>
          <w:rtl/>
        </w:rPr>
        <w:t>(</w:t>
      </w:r>
      <w:r w:rsidRPr="00E97C75">
        <w:rPr>
          <w:rFonts w:asciiTheme="minorBidi" w:hAnsiTheme="minorBidi" w:cs="Arial"/>
          <w:sz w:val="16"/>
          <w:szCs w:val="16"/>
          <w:rtl/>
        </w:rPr>
        <w:t>כלל כה ד</w:t>
      </w:r>
      <w:r w:rsidRPr="00E97C75">
        <w:rPr>
          <w:rFonts w:asciiTheme="minorBidi" w:hAnsiTheme="minorBidi" w:cs="Arial" w:hint="cs"/>
          <w:sz w:val="16"/>
          <w:szCs w:val="16"/>
          <w:rtl/>
        </w:rPr>
        <w:t>"ו)</w:t>
      </w:r>
      <w:r w:rsidRPr="00E97C75">
        <w:rPr>
          <w:rFonts w:asciiTheme="minorBidi" w:hAnsiTheme="minorBidi" w:cs="Arial"/>
          <w:sz w:val="16"/>
          <w:szCs w:val="16"/>
          <w:rtl/>
        </w:rPr>
        <w:t xml:space="preserve"> </w:t>
      </w:r>
      <w:r w:rsidRPr="007C6B9E">
        <w:rPr>
          <w:rFonts w:asciiTheme="minorBidi" w:hAnsiTheme="minorBidi" w:cs="Arial"/>
          <w:rtl/>
        </w:rPr>
        <w:t>וז"ל דבר הנעשה לטעם כיצד כל דבר חריף כגון תבלין ומלח של הקדש אין בטיל ע"כ</w:t>
      </w:r>
      <w:r>
        <w:rPr>
          <w:rFonts w:asciiTheme="minorBidi" w:hAnsiTheme="minorBidi" w:cs="Arial" w:hint="cs"/>
          <w:rtl/>
        </w:rPr>
        <w:t>,</w:t>
      </w:r>
      <w:r w:rsidRPr="007C6B9E">
        <w:rPr>
          <w:rFonts w:asciiTheme="minorBidi" w:hAnsiTheme="minorBidi" w:cs="Arial"/>
          <w:rtl/>
        </w:rPr>
        <w:t xml:space="preserve"> משמע דלא מקרי טעם בזה אלא דבר חריף ולא שומן דאף שגם הוא מטעים המאכל וממתיקו מ"מ אין נרגש כ"כ כמו דבר חריף</w:t>
      </w:r>
      <w:r>
        <w:rPr>
          <w:rFonts w:asciiTheme="minorBidi" w:hAnsiTheme="minorBidi" w:cs="Arial" w:hint="cs"/>
          <w:rtl/>
        </w:rPr>
        <w:t>,</w:t>
      </w:r>
      <w:r w:rsidRPr="007C6B9E">
        <w:rPr>
          <w:rFonts w:asciiTheme="minorBidi" w:hAnsiTheme="minorBidi" w:cs="Arial"/>
          <w:rtl/>
        </w:rPr>
        <w:t xml:space="preserve"> ע"כ שפיר בטל כמו כל איסורים בכל גוונא ומש</w:t>
      </w:r>
      <w:r>
        <w:rPr>
          <w:rFonts w:asciiTheme="minorBidi" w:hAnsiTheme="minorBidi" w:cs="Arial" w:hint="cs"/>
          <w:rtl/>
        </w:rPr>
        <w:t>ו"</w:t>
      </w:r>
      <w:r w:rsidRPr="007C6B9E">
        <w:rPr>
          <w:rFonts w:asciiTheme="minorBidi" w:hAnsiTheme="minorBidi" w:cs="Arial"/>
          <w:rtl/>
        </w:rPr>
        <w:t>ה סיים כאן גם רמ"א כגון מלח ותבלין</w:t>
      </w:r>
      <w:r>
        <w:rPr>
          <w:rFonts w:asciiTheme="minorBidi" w:hAnsiTheme="minorBidi" w:cs="Arial" w:hint="cs"/>
          <w:rtl/>
        </w:rPr>
        <w:t>.</w:t>
      </w:r>
    </w:p>
    <w:p w14:paraId="1CF9C62E" w14:textId="77777777" w:rsidR="002C39F4" w:rsidRPr="003024E5" w:rsidRDefault="002C39F4" w:rsidP="002C39F4">
      <w:pPr>
        <w:rPr>
          <w:rFonts w:asciiTheme="minorBidi" w:hAnsiTheme="minorBidi"/>
          <w:rtl/>
        </w:rPr>
      </w:pPr>
    </w:p>
    <w:p w14:paraId="3534A68F" w14:textId="77777777" w:rsidR="002C39F4" w:rsidRPr="007C1313" w:rsidRDefault="002C39F4" w:rsidP="002C39F4">
      <w:pPr>
        <w:pStyle w:val="2"/>
        <w:rPr>
          <w:rFonts w:asciiTheme="minorBidi" w:hAnsiTheme="minorBidi"/>
          <w:rtl/>
        </w:rPr>
      </w:pPr>
      <w:r w:rsidRPr="003024E5">
        <w:rPr>
          <w:rFonts w:asciiTheme="minorBidi" w:hAnsiTheme="minorBidi"/>
          <w:rtl/>
        </w:rPr>
        <w:t>סעיף ט</w:t>
      </w:r>
      <w:r>
        <w:rPr>
          <w:rFonts w:asciiTheme="minorBidi" w:hAnsiTheme="minorBidi" w:hint="cs"/>
          <w:rtl/>
        </w:rPr>
        <w:t>: ב' זיתים של איסור שנפלו למ"ט זיתים של היתר.</w:t>
      </w:r>
    </w:p>
    <w:p w14:paraId="3FE6793E" w14:textId="77777777" w:rsidR="002C39F4" w:rsidRDefault="002C39F4" w:rsidP="002C39F4">
      <w:pPr>
        <w:rPr>
          <w:rFonts w:cs="Arial"/>
          <w:rtl/>
        </w:rPr>
      </w:pPr>
      <w:r>
        <w:rPr>
          <w:rFonts w:cs="Arial" w:hint="cs"/>
          <w:b/>
          <w:bCs/>
          <w:rtl/>
        </w:rPr>
        <w:t>משנה ערלה פ"ב מ"ג:</w:t>
      </w:r>
      <w:r>
        <w:rPr>
          <w:rFonts w:cs="Arial" w:hint="cs"/>
          <w:rtl/>
        </w:rPr>
        <w:t xml:space="preserve"> </w:t>
      </w:r>
      <w:r w:rsidRPr="00ED1048">
        <w:rPr>
          <w:rFonts w:cs="Arial"/>
          <w:rtl/>
        </w:rPr>
        <w:t>הערלה מעלה את הכלאים והכלאים את הערלה והערלה את הערלה</w:t>
      </w:r>
      <w:r>
        <w:rPr>
          <w:rFonts w:cs="Arial" w:hint="cs"/>
          <w:rtl/>
        </w:rPr>
        <w:t>,</w:t>
      </w:r>
      <w:r w:rsidRPr="00ED1048">
        <w:rPr>
          <w:rFonts w:cs="Arial"/>
          <w:rtl/>
        </w:rPr>
        <w:t xml:space="preserve"> כיצד</w:t>
      </w:r>
      <w:r>
        <w:rPr>
          <w:rFonts w:cs="Arial" w:hint="cs"/>
          <w:rtl/>
        </w:rPr>
        <w:t>,</w:t>
      </w:r>
      <w:r w:rsidRPr="00ED1048">
        <w:rPr>
          <w:rFonts w:cs="Arial"/>
          <w:rtl/>
        </w:rPr>
        <w:t xml:space="preserve"> סאה ערלה שנפלה למאתים ואחר כך נפלה סאה ועוד ערלה או סאה ועוד של כלאי הכרם</w:t>
      </w:r>
      <w:r>
        <w:rPr>
          <w:rFonts w:cs="Arial" w:hint="cs"/>
          <w:rtl/>
        </w:rPr>
        <w:t>,</w:t>
      </w:r>
      <w:r w:rsidRPr="00ED1048">
        <w:rPr>
          <w:rFonts w:cs="Arial"/>
          <w:rtl/>
        </w:rPr>
        <w:t xml:space="preserve"> זו היא שהערלה מעלה את הכלאים והכלאים את הערלה והערלה את הערלה</w:t>
      </w:r>
      <w:r>
        <w:rPr>
          <w:rFonts w:cs="Arial" w:hint="cs"/>
          <w:rtl/>
        </w:rPr>
        <w:t>.</w:t>
      </w:r>
    </w:p>
    <w:p w14:paraId="07C60955" w14:textId="77777777" w:rsidR="002C39F4" w:rsidRPr="0008348A" w:rsidRDefault="002C39F4" w:rsidP="002C39F4">
      <w:pPr>
        <w:rPr>
          <w:rFonts w:cs="Arial"/>
          <w:rtl/>
        </w:rPr>
      </w:pPr>
      <w:r w:rsidRPr="0008348A">
        <w:rPr>
          <w:rFonts w:cs="Arial"/>
          <w:b/>
          <w:bCs/>
          <w:rtl/>
        </w:rPr>
        <w:t>זבחים עח</w:t>
      </w:r>
      <w:r w:rsidRPr="0008348A">
        <w:rPr>
          <w:rFonts w:cs="Arial" w:hint="cs"/>
          <w:b/>
          <w:bCs/>
          <w:rtl/>
        </w:rPr>
        <w:t xml:space="preserve"> ע"א:</w:t>
      </w:r>
      <w:r>
        <w:rPr>
          <w:rFonts w:cs="Arial"/>
          <w:rtl/>
        </w:rPr>
        <w:t xml:space="preserve"> </w:t>
      </w:r>
      <w:r w:rsidRPr="0008348A">
        <w:rPr>
          <w:rFonts w:cs="Arial"/>
          <w:u w:val="single"/>
          <w:rtl/>
        </w:rPr>
        <w:t>אמר ר"ל</w:t>
      </w:r>
      <w:r w:rsidRPr="0008348A">
        <w:rPr>
          <w:rFonts w:cs="Arial"/>
          <w:rtl/>
        </w:rPr>
        <w:t>: הפיגול והנותר והטמא שבללן זה בזה ואכלן - פטור, א"א שלא ירבה מין על חבירו ויבטלנו. שמע מינה תלת: ש"מ איסורין מבטלין זה את זה</w:t>
      </w:r>
      <w:r>
        <w:rPr>
          <w:rFonts w:cs="Arial" w:hint="cs"/>
          <w:rtl/>
        </w:rPr>
        <w:t>...</w:t>
      </w:r>
    </w:p>
    <w:p w14:paraId="5360B222" w14:textId="77777777" w:rsidR="002C39F4" w:rsidRDefault="002C39F4" w:rsidP="002C39F4">
      <w:pPr>
        <w:rPr>
          <w:rFonts w:cs="Arial"/>
          <w:rtl/>
        </w:rPr>
      </w:pPr>
      <w:r w:rsidRPr="00D90509">
        <w:rPr>
          <w:rFonts w:cs="Arial" w:hint="cs"/>
          <w:u w:val="single"/>
          <w:rtl/>
        </w:rPr>
        <w:t>האם דין זה דהערלה מעלה את הכלאים וכו' שייך גם בשאר איסורין:</w:t>
      </w:r>
    </w:p>
    <w:p w14:paraId="3F9E9B4B" w14:textId="77777777" w:rsidR="002C39F4" w:rsidRPr="00D90509" w:rsidRDefault="002C39F4" w:rsidP="0032102C">
      <w:pPr>
        <w:pStyle w:val="a8"/>
        <w:numPr>
          <w:ilvl w:val="0"/>
          <w:numId w:val="185"/>
        </w:numPr>
        <w:rPr>
          <w:rFonts w:cs="Arial"/>
          <w:rtl/>
        </w:rPr>
      </w:pPr>
      <w:r w:rsidRPr="00D90509">
        <w:rPr>
          <w:rFonts w:cs="Arial"/>
          <w:rtl/>
        </w:rPr>
        <w:t xml:space="preserve">ראב"ד </w:t>
      </w:r>
      <w:r>
        <w:rPr>
          <w:rFonts w:cs="Arial" w:hint="cs"/>
          <w:rtl/>
        </w:rPr>
        <w:t>ורא"ש</w:t>
      </w:r>
      <w:r>
        <w:rPr>
          <w:rStyle w:val="a7"/>
          <w:rFonts w:cs="Arial"/>
          <w:rtl/>
        </w:rPr>
        <w:footnoteReference w:id="1841"/>
      </w:r>
      <w:r w:rsidRPr="00D90509">
        <w:rPr>
          <w:rFonts w:cs="Arial" w:hint="cs"/>
          <w:rtl/>
        </w:rPr>
        <w:t xml:space="preserve">- </w:t>
      </w:r>
      <w:r w:rsidRPr="00D90509">
        <w:rPr>
          <w:rFonts w:cs="Arial"/>
          <w:rtl/>
        </w:rPr>
        <w:t>דינא דמתניתין דהערלה מעלה את הכלאים וכו' בכל איסורים נמי איתי</w:t>
      </w:r>
      <w:r w:rsidRPr="00D90509">
        <w:rPr>
          <w:rFonts w:cs="Arial" w:hint="cs"/>
          <w:rtl/>
        </w:rPr>
        <w:t>ה</w:t>
      </w:r>
      <w:r>
        <w:rPr>
          <w:rStyle w:val="a7"/>
          <w:rFonts w:cs="Arial"/>
          <w:rtl/>
        </w:rPr>
        <w:footnoteReference w:id="1842"/>
      </w:r>
      <w:r w:rsidRPr="00D90509">
        <w:rPr>
          <w:rFonts w:cs="Arial" w:hint="cs"/>
          <w:rtl/>
        </w:rPr>
        <w:t>.</w:t>
      </w:r>
      <w:r w:rsidRPr="00D90509">
        <w:rPr>
          <w:rFonts w:cs="Arial"/>
          <w:rtl/>
        </w:rPr>
        <w:t xml:space="preserve"> </w:t>
      </w:r>
      <w:r>
        <w:rPr>
          <w:rFonts w:cs="Arial" w:hint="cs"/>
          <w:color w:val="E36C0A" w:themeColor="accent6" w:themeShade="BF"/>
          <w:rtl/>
        </w:rPr>
        <w:t>(</w:t>
      </w:r>
      <w:r w:rsidRPr="007C1313">
        <w:rPr>
          <w:rFonts w:cs="Arial" w:hint="cs"/>
          <w:color w:val="E36C0A" w:themeColor="accent6" w:themeShade="BF"/>
          <w:rtl/>
        </w:rPr>
        <w:t>וכ"פ בשו"ע)</w:t>
      </w:r>
    </w:p>
    <w:p w14:paraId="42B85706" w14:textId="77777777" w:rsidR="002C39F4" w:rsidRDefault="002C39F4" w:rsidP="0032102C">
      <w:pPr>
        <w:pStyle w:val="a8"/>
        <w:numPr>
          <w:ilvl w:val="0"/>
          <w:numId w:val="185"/>
        </w:numPr>
      </w:pPr>
      <w:r w:rsidRPr="00D90509">
        <w:rPr>
          <w:rFonts w:cs="Arial"/>
          <w:rtl/>
        </w:rPr>
        <w:t>רבותי</w:t>
      </w:r>
      <w:r w:rsidRPr="00D90509">
        <w:rPr>
          <w:rFonts w:cs="Arial" w:hint="cs"/>
          <w:rtl/>
        </w:rPr>
        <w:t xml:space="preserve">ו של הרשב"א </w:t>
      </w:r>
      <w:r w:rsidRPr="00D90509">
        <w:rPr>
          <w:rFonts w:cs="Arial"/>
          <w:sz w:val="16"/>
          <w:szCs w:val="16"/>
          <w:rtl/>
        </w:rPr>
        <w:t>(בתש</w:t>
      </w:r>
      <w:r w:rsidRPr="00D90509">
        <w:rPr>
          <w:rFonts w:cs="Arial" w:hint="cs"/>
          <w:sz w:val="16"/>
          <w:szCs w:val="16"/>
          <w:rtl/>
        </w:rPr>
        <w:t>ו'</w:t>
      </w:r>
      <w:r w:rsidRPr="00D90509">
        <w:rPr>
          <w:rFonts w:cs="Arial"/>
          <w:sz w:val="16"/>
          <w:szCs w:val="16"/>
          <w:rtl/>
        </w:rPr>
        <w:t xml:space="preserve"> ח"א סי</w:t>
      </w:r>
      <w:r w:rsidRPr="00D90509">
        <w:rPr>
          <w:rFonts w:cs="Arial" w:hint="cs"/>
          <w:sz w:val="16"/>
          <w:szCs w:val="16"/>
          <w:rtl/>
        </w:rPr>
        <w:t>'</w:t>
      </w:r>
      <w:r w:rsidRPr="00D90509">
        <w:rPr>
          <w:rFonts w:cs="Arial"/>
          <w:sz w:val="16"/>
          <w:szCs w:val="16"/>
          <w:rtl/>
        </w:rPr>
        <w:t xml:space="preserve"> רסב</w:t>
      </w:r>
      <w:r>
        <w:rPr>
          <w:rFonts w:cs="Arial" w:hint="cs"/>
          <w:sz w:val="16"/>
          <w:szCs w:val="16"/>
          <w:rtl/>
        </w:rPr>
        <w:t>, חלקו על הראב"ד ואמרו ש-</w:t>
      </w:r>
      <w:r w:rsidRPr="00D90509">
        <w:rPr>
          <w:rFonts w:cs="Arial"/>
          <w:sz w:val="16"/>
          <w:szCs w:val="16"/>
          <w:rtl/>
        </w:rPr>
        <w:t>)</w:t>
      </w:r>
      <w:r w:rsidRPr="00D90509">
        <w:rPr>
          <w:rFonts w:cs="Arial" w:hint="cs"/>
          <w:rtl/>
        </w:rPr>
        <w:t>-</w:t>
      </w:r>
      <w:r w:rsidRPr="00D90509">
        <w:rPr>
          <w:rFonts w:cs="Arial"/>
          <w:rtl/>
        </w:rPr>
        <w:t xml:space="preserve"> ראשון ראשון בטיל לאו דינא</w:t>
      </w:r>
      <w:r>
        <w:rPr>
          <w:rFonts w:cs="Arial" w:hint="cs"/>
          <w:rtl/>
        </w:rPr>
        <w:t>,</w:t>
      </w:r>
      <w:r w:rsidRPr="00D90509">
        <w:rPr>
          <w:rFonts w:cs="Arial"/>
          <w:rtl/>
        </w:rPr>
        <w:t xml:space="preserve"> ולעולם טעמא לא בטיל ואפילו מין במינו</w:t>
      </w:r>
      <w:r>
        <w:rPr>
          <w:rFonts w:cs="Arial" w:hint="cs"/>
          <w:rtl/>
        </w:rPr>
        <w:t>,</w:t>
      </w:r>
      <w:r w:rsidRPr="00D90509">
        <w:rPr>
          <w:rFonts w:cs="Arial"/>
          <w:rtl/>
        </w:rPr>
        <w:t xml:space="preserve"> שכל שנפל לבסוף איסור המצטרף לראשון והיה טעמו נרגש בכמותו במין שאינו מינו אף במין במינו חוזר ומצטרף</w:t>
      </w:r>
      <w:r>
        <w:rPr>
          <w:rFonts w:cs="Arial" w:hint="cs"/>
          <w:rtl/>
        </w:rPr>
        <w:t>,</w:t>
      </w:r>
      <w:r w:rsidRPr="00D90509">
        <w:rPr>
          <w:rFonts w:cs="Arial"/>
          <w:rtl/>
        </w:rPr>
        <w:t xml:space="preserve"> ומה ששנינו הערלה וכלאי הכרם מעלין זה את זה היינו ששיעורן במאתים וכן בתרומה ששיעורה במאה וכשנפלה כאן סאה אחרת עדיין אין כאן נותן טעם</w:t>
      </w:r>
      <w:r>
        <w:rPr>
          <w:rFonts w:cs="Arial" w:hint="cs"/>
          <w:rtl/>
        </w:rPr>
        <w:t>,</w:t>
      </w:r>
      <w:r w:rsidRPr="00D90509">
        <w:rPr>
          <w:rFonts w:cs="Arial"/>
          <w:rtl/>
        </w:rPr>
        <w:t xml:space="preserve"> הא אם חזר ונפל שם כל כך מן האיסור עד כדי שיחזור לנותן טעם דהיינו ששים אף הוא חוזר וניעור</w:t>
      </w:r>
      <w:r>
        <w:rPr>
          <w:rStyle w:val="a7"/>
          <w:rFonts w:cs="Arial"/>
          <w:rtl/>
        </w:rPr>
        <w:footnoteReference w:id="1843"/>
      </w:r>
      <w:r>
        <w:rPr>
          <w:rFonts w:cs="Arial" w:hint="cs"/>
          <w:rtl/>
        </w:rPr>
        <w:t>.</w:t>
      </w:r>
      <w:r w:rsidRPr="00D90509">
        <w:rPr>
          <w:rFonts w:cs="Arial"/>
          <w:rtl/>
        </w:rPr>
        <w:t xml:space="preserve"> </w:t>
      </w:r>
    </w:p>
    <w:p w14:paraId="34EF65A9" w14:textId="77777777" w:rsidR="002C39F4" w:rsidRPr="00D90509" w:rsidRDefault="002C39F4" w:rsidP="002C39F4">
      <w:pPr>
        <w:rPr>
          <w:rFonts w:cs="Arial"/>
          <w:u w:val="single"/>
          <w:rtl/>
        </w:rPr>
      </w:pPr>
      <w:r>
        <w:rPr>
          <w:rFonts w:cs="Arial" w:hint="cs"/>
          <w:u w:val="single"/>
          <w:rtl/>
        </w:rPr>
        <w:t>שלשה</w:t>
      </w:r>
      <w:r w:rsidRPr="00D90509">
        <w:rPr>
          <w:rFonts w:cs="Arial"/>
          <w:u w:val="single"/>
          <w:rtl/>
        </w:rPr>
        <w:t xml:space="preserve"> מיני איסורין של יבש שנתערבו זה בזה כזית מכל א</w:t>
      </w:r>
      <w:r>
        <w:rPr>
          <w:rFonts w:cs="Arial" w:hint="cs"/>
          <w:u w:val="single"/>
          <w:rtl/>
        </w:rPr>
        <w:t>חד:</w:t>
      </w:r>
    </w:p>
    <w:p w14:paraId="5F1BCE1F" w14:textId="77777777" w:rsidR="002C39F4" w:rsidRPr="00D90509" w:rsidRDefault="002C39F4" w:rsidP="0032102C">
      <w:pPr>
        <w:pStyle w:val="a8"/>
        <w:numPr>
          <w:ilvl w:val="0"/>
          <w:numId w:val="185"/>
        </w:numPr>
        <w:rPr>
          <w:rFonts w:cs="Arial"/>
          <w:rtl/>
        </w:rPr>
      </w:pPr>
      <w:r w:rsidRPr="00D90509">
        <w:rPr>
          <w:rFonts w:cs="Arial" w:hint="cs"/>
          <w:rtl/>
        </w:rPr>
        <w:t xml:space="preserve">טור- </w:t>
      </w:r>
      <w:r w:rsidRPr="00D90509">
        <w:rPr>
          <w:rFonts w:cs="Arial"/>
          <w:rtl/>
        </w:rPr>
        <w:t>כל שני מינים רבים על הג' ומבטלין אותו ופטורים על שלשתן</w:t>
      </w:r>
      <w:r>
        <w:rPr>
          <w:rStyle w:val="a7"/>
          <w:rtl/>
        </w:rPr>
        <w:footnoteReference w:id="1844"/>
      </w:r>
      <w:r>
        <w:rPr>
          <w:rFonts w:hint="cs"/>
          <w:rtl/>
        </w:rPr>
        <w:t>.</w:t>
      </w:r>
    </w:p>
    <w:p w14:paraId="48BF7146" w14:textId="77777777" w:rsidR="002C39F4" w:rsidRPr="00EE5884" w:rsidRDefault="002C39F4" w:rsidP="002C39F4">
      <w:pPr>
        <w:rPr>
          <w:sz w:val="16"/>
          <w:szCs w:val="16"/>
        </w:rPr>
      </w:pPr>
      <w:r w:rsidRPr="00EE5884">
        <w:rPr>
          <w:rFonts w:hint="cs"/>
          <w:u w:val="single"/>
          <w:rtl/>
        </w:rPr>
        <w:t xml:space="preserve">יורה/קדרה אסורה </w:t>
      </w:r>
      <w:r w:rsidRPr="00EE5884">
        <w:rPr>
          <w:u w:val="single"/>
          <w:rtl/>
        </w:rPr>
        <w:t>–</w:t>
      </w:r>
      <w:r w:rsidRPr="00EE5884">
        <w:rPr>
          <w:rFonts w:hint="cs"/>
          <w:u w:val="single"/>
          <w:rtl/>
        </w:rPr>
        <w:t xml:space="preserve"> האם יש במה שבתוכה ששים כנגדה:</w:t>
      </w:r>
      <w:r>
        <w:rPr>
          <w:rFonts w:hint="cs"/>
          <w:sz w:val="16"/>
          <w:szCs w:val="16"/>
          <w:rtl/>
        </w:rPr>
        <w:t xml:space="preserve">    (ב"י)</w:t>
      </w:r>
    </w:p>
    <w:p w14:paraId="7369677D" w14:textId="77777777" w:rsidR="002C39F4" w:rsidRPr="00EE5884" w:rsidRDefault="002C39F4" w:rsidP="0032102C">
      <w:pPr>
        <w:pStyle w:val="a8"/>
        <w:numPr>
          <w:ilvl w:val="0"/>
          <w:numId w:val="185"/>
        </w:numPr>
      </w:pPr>
      <w:r>
        <w:rPr>
          <w:rFonts w:cs="Arial" w:hint="cs"/>
          <w:rtl/>
        </w:rPr>
        <w:t xml:space="preserve">טור </w:t>
      </w:r>
      <w:r w:rsidRPr="00EE5884">
        <w:rPr>
          <w:rFonts w:cs="Arial" w:hint="cs"/>
          <w:sz w:val="16"/>
          <w:szCs w:val="16"/>
          <w:rtl/>
        </w:rPr>
        <w:t>(סי' קכא [עמ' קצב:]</w:t>
      </w:r>
      <w:r>
        <w:rPr>
          <w:rFonts w:cs="Arial" w:hint="cs"/>
          <w:sz w:val="16"/>
          <w:szCs w:val="16"/>
          <w:rtl/>
        </w:rPr>
        <w:t>, וכ"מ מדבריו ב</w:t>
      </w:r>
      <w:r w:rsidRPr="00EE5884">
        <w:rPr>
          <w:rFonts w:cs="Arial" w:hint="cs"/>
          <w:sz w:val="16"/>
          <w:szCs w:val="16"/>
          <w:rtl/>
        </w:rPr>
        <w:t>סי' קג</w:t>
      </w:r>
      <w:r>
        <w:rPr>
          <w:rFonts w:cs="Arial" w:hint="cs"/>
          <w:sz w:val="16"/>
          <w:szCs w:val="16"/>
          <w:rtl/>
        </w:rPr>
        <w:t>,</w:t>
      </w:r>
      <w:r w:rsidRPr="00EE5884">
        <w:rPr>
          <w:rFonts w:cs="Arial"/>
          <w:sz w:val="16"/>
          <w:szCs w:val="16"/>
          <w:rtl/>
        </w:rPr>
        <w:t xml:space="preserve"> </w:t>
      </w:r>
      <w:r>
        <w:rPr>
          <w:rFonts w:cs="Arial" w:hint="cs"/>
          <w:sz w:val="16"/>
          <w:szCs w:val="16"/>
          <w:rtl/>
        </w:rPr>
        <w:t>וממש"כ ב</w:t>
      </w:r>
      <w:r w:rsidRPr="00EE5884">
        <w:rPr>
          <w:rFonts w:cs="Arial"/>
          <w:sz w:val="16"/>
          <w:szCs w:val="16"/>
          <w:rtl/>
        </w:rPr>
        <w:t>א</w:t>
      </w:r>
      <w:r w:rsidRPr="00EE5884">
        <w:rPr>
          <w:rFonts w:cs="Arial" w:hint="cs"/>
          <w:sz w:val="16"/>
          <w:szCs w:val="16"/>
          <w:rtl/>
        </w:rPr>
        <w:t>ו</w:t>
      </w:r>
      <w:r w:rsidRPr="00EE5884">
        <w:rPr>
          <w:rFonts w:cs="Arial"/>
          <w:sz w:val="16"/>
          <w:szCs w:val="16"/>
          <w:rtl/>
        </w:rPr>
        <w:t>"ח סי</w:t>
      </w:r>
      <w:r w:rsidRPr="00EE5884">
        <w:rPr>
          <w:rFonts w:cs="Arial" w:hint="cs"/>
          <w:sz w:val="16"/>
          <w:szCs w:val="16"/>
          <w:rtl/>
        </w:rPr>
        <w:t>'</w:t>
      </w:r>
      <w:r w:rsidRPr="00EE5884">
        <w:rPr>
          <w:rFonts w:cs="Arial"/>
          <w:sz w:val="16"/>
          <w:szCs w:val="16"/>
          <w:rtl/>
        </w:rPr>
        <w:t xml:space="preserve"> תנב </w:t>
      </w:r>
      <w:r w:rsidRPr="00EE5884">
        <w:rPr>
          <w:rFonts w:cs="Arial" w:hint="cs"/>
          <w:sz w:val="16"/>
          <w:szCs w:val="16"/>
          <w:rtl/>
        </w:rPr>
        <w:t xml:space="preserve">[עמ' </w:t>
      </w:r>
      <w:r w:rsidRPr="00EE5884">
        <w:rPr>
          <w:rFonts w:cs="Arial"/>
          <w:sz w:val="16"/>
          <w:szCs w:val="16"/>
          <w:rtl/>
        </w:rPr>
        <w:t>קצז.</w:t>
      </w:r>
      <w:r w:rsidRPr="00EE5884">
        <w:rPr>
          <w:rFonts w:cs="Arial" w:hint="cs"/>
          <w:sz w:val="16"/>
          <w:szCs w:val="16"/>
          <w:rtl/>
        </w:rPr>
        <w:t>]</w:t>
      </w:r>
      <w:r w:rsidRPr="00EE5884">
        <w:rPr>
          <w:rFonts w:cs="Arial"/>
          <w:sz w:val="16"/>
          <w:szCs w:val="16"/>
          <w:rtl/>
        </w:rPr>
        <w:t xml:space="preserve"> בשם הרא"ש</w:t>
      </w:r>
      <w:r w:rsidRPr="00EE5884">
        <w:rPr>
          <w:rFonts w:cs="Arial" w:hint="cs"/>
          <w:sz w:val="16"/>
          <w:szCs w:val="16"/>
          <w:rtl/>
        </w:rPr>
        <w:t>)</w:t>
      </w:r>
      <w:r>
        <w:rPr>
          <w:rFonts w:cs="Arial" w:hint="cs"/>
          <w:rtl/>
        </w:rPr>
        <w:t xml:space="preserve">- </w:t>
      </w:r>
      <w:r w:rsidRPr="00D90509">
        <w:rPr>
          <w:rFonts w:cs="Arial"/>
          <w:rtl/>
        </w:rPr>
        <w:t>אין במה שבתוך היורה או הקדרה ששים כנגדה</w:t>
      </w:r>
      <w:r>
        <w:rPr>
          <w:rFonts w:cs="Arial" w:hint="cs"/>
          <w:rtl/>
        </w:rPr>
        <w:t>,</w:t>
      </w:r>
      <w:r w:rsidRPr="00D90509">
        <w:rPr>
          <w:rFonts w:cs="Arial"/>
          <w:rtl/>
        </w:rPr>
        <w:t xml:space="preserve"> </w:t>
      </w:r>
      <w:r>
        <w:rPr>
          <w:rFonts w:cs="Arial" w:hint="cs"/>
          <w:rtl/>
        </w:rPr>
        <w:t xml:space="preserve">הלכך </w:t>
      </w:r>
      <w:r w:rsidRPr="00D90509">
        <w:rPr>
          <w:rFonts w:cs="Arial"/>
          <w:rtl/>
        </w:rPr>
        <w:t>אם מגעיל בכלי של איסור צריך שלא יהא בן יומו כי המים נאסרים אם אין בהם שיעור ששים כנגד הכלי וא</w:t>
      </w:r>
      <w:r>
        <w:rPr>
          <w:rFonts w:cs="Arial" w:hint="cs"/>
          <w:rtl/>
        </w:rPr>
        <w:t>"</w:t>
      </w:r>
      <w:r w:rsidRPr="00D90509">
        <w:rPr>
          <w:rFonts w:cs="Arial"/>
          <w:rtl/>
        </w:rPr>
        <w:t>א שיהא בהם ששים כנגדו דבכוליה משערינן ואין שום כלי מחזיק שיעור ששים כנגדו</w:t>
      </w:r>
      <w:r>
        <w:rPr>
          <w:rFonts w:cs="Arial" w:hint="cs"/>
          <w:rtl/>
        </w:rPr>
        <w:t>.</w:t>
      </w:r>
    </w:p>
    <w:p w14:paraId="2DB4172E" w14:textId="77777777" w:rsidR="002C39F4" w:rsidRPr="00EE5884" w:rsidRDefault="002C39F4" w:rsidP="002C39F4">
      <w:pPr>
        <w:rPr>
          <w:u w:val="single"/>
        </w:rPr>
      </w:pPr>
      <w:r w:rsidRPr="00EE5884">
        <w:rPr>
          <w:rFonts w:hint="cs"/>
          <w:u w:val="single"/>
          <w:rtl/>
        </w:rPr>
        <w:t xml:space="preserve">באיסורי דרבנן שמשערים בששים </w:t>
      </w:r>
      <w:r w:rsidRPr="00EE5884">
        <w:rPr>
          <w:u w:val="single"/>
          <w:rtl/>
        </w:rPr>
        <w:t>–</w:t>
      </w:r>
      <w:r w:rsidRPr="00EE5884">
        <w:rPr>
          <w:rFonts w:hint="cs"/>
          <w:u w:val="single"/>
          <w:rtl/>
        </w:rPr>
        <w:t xml:space="preserve"> האם האיסור מן המניין:</w:t>
      </w:r>
    </w:p>
    <w:p w14:paraId="70EA016C" w14:textId="77777777" w:rsidR="002C39F4" w:rsidRPr="00EE5884" w:rsidRDefault="002C39F4" w:rsidP="0032102C">
      <w:pPr>
        <w:pStyle w:val="a8"/>
        <w:numPr>
          <w:ilvl w:val="0"/>
          <w:numId w:val="185"/>
        </w:numPr>
      </w:pPr>
      <w:r w:rsidRPr="00D90509">
        <w:rPr>
          <w:rFonts w:cs="Arial"/>
          <w:rtl/>
        </w:rPr>
        <w:t>רמב"ם</w:t>
      </w:r>
      <w:r>
        <w:rPr>
          <w:rFonts w:cs="Arial" w:hint="cs"/>
          <w:rtl/>
        </w:rPr>
        <w:t xml:space="preserve"> </w:t>
      </w:r>
      <w:r w:rsidRPr="00EE5884">
        <w:rPr>
          <w:rFonts w:cs="Arial" w:hint="cs"/>
          <w:sz w:val="16"/>
          <w:szCs w:val="16"/>
          <w:rtl/>
        </w:rPr>
        <w:t>(</w:t>
      </w:r>
      <w:r w:rsidRPr="00EE5884">
        <w:rPr>
          <w:rFonts w:cs="Arial"/>
          <w:sz w:val="16"/>
          <w:szCs w:val="16"/>
          <w:rtl/>
        </w:rPr>
        <w:t>פט"ו</w:t>
      </w:r>
      <w:r w:rsidRPr="00EE5884">
        <w:rPr>
          <w:rFonts w:cs="Arial" w:hint="cs"/>
          <w:sz w:val="16"/>
          <w:szCs w:val="16"/>
          <w:rtl/>
        </w:rPr>
        <w:t xml:space="preserve"> </w:t>
      </w:r>
      <w:r w:rsidRPr="00EE5884">
        <w:rPr>
          <w:rFonts w:cs="Arial"/>
          <w:sz w:val="16"/>
          <w:szCs w:val="16"/>
          <w:rtl/>
        </w:rPr>
        <w:t>הי"ז</w:t>
      </w:r>
      <w:r w:rsidRPr="00EE5884">
        <w:rPr>
          <w:rFonts w:cs="Arial" w:hint="cs"/>
          <w:sz w:val="16"/>
          <w:szCs w:val="16"/>
          <w:rtl/>
        </w:rPr>
        <w:t>-</w:t>
      </w:r>
      <w:r w:rsidRPr="00EE5884">
        <w:rPr>
          <w:rFonts w:cs="Arial"/>
          <w:sz w:val="16"/>
          <w:szCs w:val="16"/>
          <w:rtl/>
        </w:rPr>
        <w:t>יח)</w:t>
      </w:r>
      <w:r>
        <w:rPr>
          <w:rFonts w:cs="Arial" w:hint="cs"/>
          <w:rtl/>
        </w:rPr>
        <w:t xml:space="preserve">- </w:t>
      </w:r>
      <w:r w:rsidRPr="00D90509">
        <w:rPr>
          <w:rFonts w:cs="Arial"/>
          <w:rtl/>
        </w:rPr>
        <w:t>שומן גיד הנשה שנפל לקדרה של בשר משערין אותו בששים ואין שומן הגיד מן המנין וא</w:t>
      </w:r>
      <w:r>
        <w:rPr>
          <w:rFonts w:cs="Arial" w:hint="cs"/>
          <w:rtl/>
        </w:rPr>
        <w:t>ע"</w:t>
      </w:r>
      <w:r w:rsidRPr="00D90509">
        <w:rPr>
          <w:rFonts w:cs="Arial"/>
          <w:rtl/>
        </w:rPr>
        <w:t>פ ששומן גיד הנשה מדבריהם כמו שביארנו הואיל וגיד הנשה בריה בפני עצמה החמירו בו כאיסורי תורה</w:t>
      </w:r>
      <w:r>
        <w:rPr>
          <w:rFonts w:cs="Arial" w:hint="cs"/>
          <w:rtl/>
        </w:rPr>
        <w:t>,</w:t>
      </w:r>
      <w:r w:rsidRPr="00D90509">
        <w:rPr>
          <w:rFonts w:cs="Arial"/>
          <w:rtl/>
        </w:rPr>
        <w:t xml:space="preserve"> אבל הכחל שנתבשל עם הבשר בששים וכחל מן המנין הואיל והכחל מדבריהם כמו שביארנו הקילו בשיעורו</w:t>
      </w:r>
      <w:r>
        <w:rPr>
          <w:rStyle w:val="a7"/>
          <w:rFonts w:cs="Arial"/>
          <w:rtl/>
        </w:rPr>
        <w:footnoteReference w:id="1845"/>
      </w:r>
      <w:r>
        <w:rPr>
          <w:rFonts w:cs="Arial" w:hint="cs"/>
          <w:rtl/>
        </w:rPr>
        <w:t>.</w:t>
      </w:r>
      <w:r w:rsidRPr="00D90509">
        <w:rPr>
          <w:rFonts w:cs="Arial"/>
          <w:rtl/>
        </w:rPr>
        <w:t xml:space="preserve"> </w:t>
      </w:r>
    </w:p>
    <w:p w14:paraId="5C457189" w14:textId="77777777" w:rsidR="002C39F4" w:rsidRPr="00313C0D" w:rsidRDefault="002C39F4" w:rsidP="002C39F4">
      <w:pPr>
        <w:rPr>
          <w:rtl/>
        </w:rPr>
      </w:pPr>
      <w:r w:rsidRPr="00313C0D">
        <w:rPr>
          <w:rFonts w:cs="Arial"/>
          <w:b/>
          <w:bCs/>
          <w:rtl/>
        </w:rPr>
        <w:t xml:space="preserve">תוספתא </w:t>
      </w:r>
      <w:r w:rsidRPr="00313C0D">
        <w:rPr>
          <w:rFonts w:cs="Arial"/>
          <w:b/>
          <w:bCs/>
          <w:sz w:val="16"/>
          <w:szCs w:val="16"/>
          <w:rtl/>
        </w:rPr>
        <w:t xml:space="preserve">(ליברמן) </w:t>
      </w:r>
      <w:r w:rsidRPr="00313C0D">
        <w:rPr>
          <w:rFonts w:cs="Arial"/>
          <w:b/>
          <w:bCs/>
          <w:rtl/>
        </w:rPr>
        <w:t xml:space="preserve">נזיר </w:t>
      </w:r>
      <w:r w:rsidRPr="00313C0D">
        <w:rPr>
          <w:rFonts w:cs="Arial" w:hint="cs"/>
          <w:b/>
          <w:bCs/>
          <w:rtl/>
        </w:rPr>
        <w:t>פ"</w:t>
      </w:r>
      <w:r w:rsidRPr="00313C0D">
        <w:rPr>
          <w:rFonts w:cs="Arial"/>
          <w:b/>
          <w:bCs/>
          <w:rtl/>
        </w:rPr>
        <w:t>ד</w:t>
      </w:r>
      <w:r w:rsidRPr="00313C0D">
        <w:rPr>
          <w:rFonts w:cs="Arial" w:hint="cs"/>
          <w:b/>
          <w:bCs/>
          <w:rtl/>
        </w:rPr>
        <w:t xml:space="preserve"> ה"א:</w:t>
      </w:r>
      <w:r>
        <w:rPr>
          <w:rFonts w:cs="Arial" w:hint="cs"/>
          <w:rtl/>
        </w:rPr>
        <w:t xml:space="preserve"> </w:t>
      </w:r>
      <w:r w:rsidRPr="00313C0D">
        <w:rPr>
          <w:rFonts w:cs="Arial"/>
          <w:rtl/>
        </w:rPr>
        <w:t>נזיר שאכל מכל האסורין לו ושתה מכל האסורין לו בהתראה אחת אינו חייב אלא אחת</w:t>
      </w:r>
      <w:r>
        <w:rPr>
          <w:rFonts w:cs="Arial" w:hint="cs"/>
          <w:rtl/>
        </w:rPr>
        <w:t>,</w:t>
      </w:r>
      <w:r w:rsidRPr="00313C0D">
        <w:rPr>
          <w:rFonts w:cs="Arial"/>
          <w:rtl/>
        </w:rPr>
        <w:t xml:space="preserve"> מתרין בו ואכל</w:t>
      </w:r>
      <w:r>
        <w:rPr>
          <w:rFonts w:cs="Arial" w:hint="cs"/>
          <w:rtl/>
        </w:rPr>
        <w:t>,</w:t>
      </w:r>
      <w:r w:rsidRPr="00313C0D">
        <w:rPr>
          <w:rFonts w:cs="Arial"/>
          <w:rtl/>
        </w:rPr>
        <w:t xml:space="preserve"> מתרין בו ושתה</w:t>
      </w:r>
      <w:r>
        <w:rPr>
          <w:rFonts w:cs="Arial" w:hint="cs"/>
          <w:rtl/>
        </w:rPr>
        <w:t>,</w:t>
      </w:r>
      <w:r w:rsidRPr="00313C0D">
        <w:rPr>
          <w:rFonts w:cs="Arial"/>
          <w:rtl/>
        </w:rPr>
        <w:t xml:space="preserve"> חייב על כל אחת ואחת</w:t>
      </w:r>
      <w:r>
        <w:rPr>
          <w:rFonts w:cs="Arial" w:hint="cs"/>
          <w:rtl/>
        </w:rPr>
        <w:t>,</w:t>
      </w:r>
      <w:r w:rsidRPr="00313C0D">
        <w:rPr>
          <w:rFonts w:cs="Arial"/>
          <w:rtl/>
        </w:rPr>
        <w:t xml:space="preserve"> וכמה שיעורן</w:t>
      </w:r>
      <w:r>
        <w:rPr>
          <w:rFonts w:cs="Arial" w:hint="cs"/>
          <w:rtl/>
        </w:rPr>
        <w:t xml:space="preserve"> -</w:t>
      </w:r>
      <w:r w:rsidRPr="00313C0D">
        <w:rPr>
          <w:rFonts w:cs="Arial"/>
          <w:rtl/>
        </w:rPr>
        <w:t xml:space="preserve"> בכזית</w:t>
      </w:r>
      <w:r>
        <w:rPr>
          <w:rFonts w:cs="Arial" w:hint="cs"/>
          <w:rtl/>
        </w:rPr>
        <w:t>,</w:t>
      </w:r>
      <w:r w:rsidRPr="00313C0D">
        <w:rPr>
          <w:rFonts w:cs="Arial"/>
          <w:rtl/>
        </w:rPr>
        <w:t xml:space="preserve"> וכולן מצטרפין בזית היין והחומץ כיוצא בהן</w:t>
      </w:r>
      <w:r>
        <w:rPr>
          <w:rFonts w:cs="Arial" w:hint="cs"/>
          <w:rtl/>
        </w:rPr>
        <w:t>,</w:t>
      </w:r>
      <w:r w:rsidRPr="00313C0D">
        <w:rPr>
          <w:rFonts w:cs="Arial"/>
          <w:rtl/>
        </w:rPr>
        <w:t xml:space="preserve"> כיצד הוא עושה</w:t>
      </w:r>
      <w:r>
        <w:rPr>
          <w:rFonts w:cs="Arial" w:hint="cs"/>
          <w:rtl/>
        </w:rPr>
        <w:t>,</w:t>
      </w:r>
      <w:r w:rsidRPr="00313C0D">
        <w:rPr>
          <w:rFonts w:cs="Arial"/>
          <w:rtl/>
        </w:rPr>
        <w:t xml:space="preserve"> מביא כוס מלא יין מביא זית איגורי נותן לתוכו ושופע אם שתה כיוצא בו חייב אם לאו פטור דברי ר' עקיבא</w:t>
      </w:r>
      <w:r>
        <w:rPr>
          <w:rFonts w:cs="Arial" w:hint="cs"/>
          <w:rtl/>
        </w:rPr>
        <w:t>,</w:t>
      </w:r>
      <w:r w:rsidRPr="00313C0D">
        <w:rPr>
          <w:rFonts w:cs="Arial"/>
          <w:rtl/>
        </w:rPr>
        <w:t xml:space="preserve"> ר' אלעזר בן עזריה פוטר עד שישתה רביעית יין</w:t>
      </w:r>
      <w:r>
        <w:rPr>
          <w:rFonts w:cs="Arial" w:hint="cs"/>
          <w:rtl/>
        </w:rPr>
        <w:t>,</w:t>
      </w:r>
      <w:r w:rsidRPr="00313C0D">
        <w:rPr>
          <w:rFonts w:cs="Arial"/>
          <w:rtl/>
        </w:rPr>
        <w:t xml:space="preserve"> בן שמזגו ושתאו ובין ששתאו חצאין</w:t>
      </w:r>
      <w:r>
        <w:rPr>
          <w:rFonts w:cs="Arial" w:hint="cs"/>
          <w:rtl/>
        </w:rPr>
        <w:t>.</w:t>
      </w:r>
      <w:r w:rsidRPr="00313C0D">
        <w:rPr>
          <w:rFonts w:cs="Arial"/>
          <w:rtl/>
        </w:rPr>
        <w:t xml:space="preserve"> </w:t>
      </w:r>
    </w:p>
    <w:p w14:paraId="6F2184C9" w14:textId="77777777" w:rsidR="002C39F4" w:rsidRPr="00313C0D" w:rsidRDefault="002C39F4" w:rsidP="002C39F4">
      <w:pPr>
        <w:rPr>
          <w:sz w:val="16"/>
          <w:szCs w:val="16"/>
        </w:rPr>
      </w:pPr>
      <w:r w:rsidRPr="00313C0D">
        <w:rPr>
          <w:rFonts w:hint="cs"/>
          <w:u w:val="single"/>
          <w:rtl/>
        </w:rPr>
        <w:t>כיצד משערין רוטב כנגד כזית</w:t>
      </w:r>
      <w:r>
        <w:rPr>
          <w:rFonts w:hint="cs"/>
          <w:u w:val="single"/>
          <w:rtl/>
        </w:rPr>
        <w:t xml:space="preserve"> </w:t>
      </w:r>
      <w:r w:rsidRPr="00313C0D">
        <w:rPr>
          <w:rFonts w:hint="cs"/>
          <w:u w:val="single"/>
          <w:rtl/>
        </w:rPr>
        <w:t>איסור שבתוכו:</w:t>
      </w:r>
      <w:r>
        <w:rPr>
          <w:rFonts w:hint="cs"/>
          <w:sz w:val="16"/>
          <w:szCs w:val="16"/>
          <w:rtl/>
        </w:rPr>
        <w:t xml:space="preserve">  (ב"י ודרכ"מ [אות יא])</w:t>
      </w:r>
    </w:p>
    <w:p w14:paraId="73F0020F" w14:textId="77777777" w:rsidR="002C39F4" w:rsidRPr="00313C0D" w:rsidRDefault="002C39F4" w:rsidP="0032102C">
      <w:pPr>
        <w:pStyle w:val="a8"/>
        <w:numPr>
          <w:ilvl w:val="0"/>
          <w:numId w:val="185"/>
        </w:numPr>
      </w:pPr>
      <w:r w:rsidRPr="00D90509">
        <w:rPr>
          <w:rFonts w:cs="Arial"/>
          <w:rtl/>
        </w:rPr>
        <w:t>רא"ה</w:t>
      </w:r>
      <w:r>
        <w:rPr>
          <w:rFonts w:cs="Arial" w:hint="cs"/>
          <w:sz w:val="16"/>
          <w:szCs w:val="16"/>
          <w:rtl/>
        </w:rPr>
        <w:t xml:space="preserve"> </w:t>
      </w:r>
      <w:r w:rsidRPr="00783C18">
        <w:rPr>
          <w:rFonts w:cs="Arial" w:hint="cs"/>
          <w:sz w:val="16"/>
          <w:szCs w:val="16"/>
          <w:rtl/>
        </w:rPr>
        <w:t>(</w:t>
      </w:r>
      <w:r w:rsidRPr="00783C18">
        <w:rPr>
          <w:rFonts w:cs="Arial"/>
          <w:sz w:val="16"/>
          <w:szCs w:val="16"/>
          <w:rtl/>
        </w:rPr>
        <w:t>בדה"ב ב"ד ש"א ה:)</w:t>
      </w:r>
      <w:r>
        <w:rPr>
          <w:rFonts w:cs="Arial" w:hint="cs"/>
          <w:rtl/>
        </w:rPr>
        <w:t xml:space="preserve">- </w:t>
      </w:r>
      <w:r w:rsidRPr="00D90509">
        <w:rPr>
          <w:rFonts w:cs="Arial"/>
          <w:rtl/>
        </w:rPr>
        <w:t>כשמשערין ברוטב משערין לכזית ביצה ומחצה של רוטב שכן שיעורו שאם יקרוש יעמוד על כזית</w:t>
      </w:r>
      <w:r>
        <w:rPr>
          <w:rStyle w:val="a7"/>
          <w:rFonts w:cs="Arial"/>
          <w:rtl/>
        </w:rPr>
        <w:footnoteReference w:id="1846"/>
      </w:r>
      <w:r>
        <w:rPr>
          <w:rFonts w:cs="Arial" w:hint="cs"/>
          <w:rtl/>
        </w:rPr>
        <w:t>.</w:t>
      </w:r>
      <w:r w:rsidRPr="00313C0D">
        <w:rPr>
          <w:rFonts w:cs="Arial"/>
          <w:rtl/>
        </w:rPr>
        <w:t xml:space="preserve"> </w:t>
      </w:r>
    </w:p>
    <w:p w14:paraId="598C0125" w14:textId="77777777" w:rsidR="002C39F4" w:rsidRPr="00A01037" w:rsidRDefault="002C39F4" w:rsidP="0032102C">
      <w:pPr>
        <w:pStyle w:val="a8"/>
        <w:numPr>
          <w:ilvl w:val="0"/>
          <w:numId w:val="185"/>
        </w:numPr>
        <w:rPr>
          <w:rtl/>
        </w:rPr>
      </w:pPr>
      <w:r>
        <w:rPr>
          <w:rFonts w:cs="Arial" w:hint="cs"/>
          <w:rtl/>
        </w:rPr>
        <w:t xml:space="preserve">רש"י </w:t>
      </w:r>
      <w:r w:rsidRPr="00D90509">
        <w:rPr>
          <w:rFonts w:cs="Arial"/>
          <w:rtl/>
        </w:rPr>
        <w:t>ב</w:t>
      </w:r>
      <w:r>
        <w:rPr>
          <w:rFonts w:cs="Arial" w:hint="cs"/>
          <w:rtl/>
        </w:rPr>
        <w:t>העי"ט ור"ן</w:t>
      </w:r>
      <w:r>
        <w:rPr>
          <w:rStyle w:val="a7"/>
          <w:rFonts w:cs="Arial"/>
          <w:rtl/>
        </w:rPr>
        <w:footnoteReference w:id="1847"/>
      </w:r>
      <w:r>
        <w:rPr>
          <w:rFonts w:cs="Arial" w:hint="cs"/>
          <w:rtl/>
        </w:rPr>
        <w:t>- כמות שהוא משערין אותו</w:t>
      </w:r>
      <w:r>
        <w:rPr>
          <w:rStyle w:val="a7"/>
          <w:rFonts w:cs="Arial"/>
          <w:rtl/>
        </w:rPr>
        <w:footnoteReference w:id="1848"/>
      </w:r>
      <w:r>
        <w:rPr>
          <w:rFonts w:cs="Arial" w:hint="cs"/>
          <w:rtl/>
        </w:rPr>
        <w:t>.</w:t>
      </w:r>
    </w:p>
    <w:p w14:paraId="6B14C07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62918EF" w14:textId="77777777" w:rsidR="002C39F4" w:rsidRDefault="002C39F4" w:rsidP="002C39F4">
      <w:pPr>
        <w:rPr>
          <w:rFonts w:asciiTheme="minorBidi" w:hAnsiTheme="minorBidi"/>
          <w:rtl/>
        </w:rPr>
      </w:pPr>
      <w:r w:rsidRPr="003024E5">
        <w:rPr>
          <w:rFonts w:asciiTheme="minorBidi" w:hAnsiTheme="minorBidi"/>
          <w:rtl/>
        </w:rPr>
        <w:t xml:space="preserve">קדירה שיש בה </w:t>
      </w:r>
      <w:r>
        <w:rPr>
          <w:rFonts w:asciiTheme="minorBidi" w:hAnsiTheme="minorBidi" w:hint="cs"/>
          <w:rtl/>
        </w:rPr>
        <w:t>חמשים ותשעה</w:t>
      </w:r>
      <w:r w:rsidRPr="003024E5">
        <w:rPr>
          <w:rFonts w:asciiTheme="minorBidi" w:hAnsiTheme="minorBidi"/>
          <w:rtl/>
        </w:rPr>
        <w:t xml:space="preserve"> זיתים היתר ונפלו בה שני זיתים אחד של דם ואחד של ח</w:t>
      </w:r>
      <w:r>
        <w:rPr>
          <w:rFonts w:asciiTheme="minorBidi" w:hAnsiTheme="minorBidi" w:hint="cs"/>
          <w:rtl/>
        </w:rPr>
        <w:t>ֵ</w:t>
      </w:r>
      <w:r w:rsidRPr="003024E5">
        <w:rPr>
          <w:rFonts w:asciiTheme="minorBidi" w:hAnsiTheme="minorBidi"/>
          <w:rtl/>
        </w:rPr>
        <w:t>ל</w:t>
      </w:r>
      <w:r>
        <w:rPr>
          <w:rFonts w:asciiTheme="minorBidi" w:hAnsiTheme="minorBidi" w:hint="cs"/>
          <w:rtl/>
        </w:rPr>
        <w:t>ֶ</w:t>
      </w:r>
      <w:r w:rsidRPr="003024E5">
        <w:rPr>
          <w:rFonts w:asciiTheme="minorBidi" w:hAnsiTheme="minorBidi"/>
          <w:rtl/>
        </w:rPr>
        <w:t>ב, כל אחד מצטרף עם ה</w:t>
      </w:r>
      <w:r>
        <w:rPr>
          <w:rFonts w:asciiTheme="minorBidi" w:hAnsiTheme="minorBidi" w:hint="cs"/>
          <w:rtl/>
        </w:rPr>
        <w:t>חמשים ותשעה</w:t>
      </w:r>
      <w:r w:rsidRPr="003024E5">
        <w:rPr>
          <w:rFonts w:asciiTheme="minorBidi" w:hAnsiTheme="minorBidi"/>
          <w:rtl/>
        </w:rPr>
        <w:t xml:space="preserve"> של היתר לבטל חבירו</w:t>
      </w:r>
      <w:r>
        <w:rPr>
          <w:rFonts w:asciiTheme="minorBidi" w:hAnsiTheme="minorBidi" w:hint="cs"/>
          <w:rtl/>
        </w:rPr>
        <w:t>,</w:t>
      </w:r>
      <w:r w:rsidRPr="003024E5">
        <w:rPr>
          <w:rFonts w:asciiTheme="minorBidi" w:hAnsiTheme="minorBidi"/>
          <w:rtl/>
        </w:rPr>
        <w:t xml:space="preserve"> וכן </w:t>
      </w:r>
      <w:r>
        <w:rPr>
          <w:rFonts w:asciiTheme="minorBidi" w:hAnsiTheme="minorBidi" w:hint="cs"/>
          <w:rtl/>
        </w:rPr>
        <w:t>עשרים ותשעה</w:t>
      </w:r>
      <w:r w:rsidRPr="003024E5">
        <w:rPr>
          <w:rFonts w:asciiTheme="minorBidi" w:hAnsiTheme="minorBidi"/>
          <w:rtl/>
        </w:rPr>
        <w:t xml:space="preserve"> זיתים של היתר שנפל בהם כזית ח</w:t>
      </w:r>
      <w:r>
        <w:rPr>
          <w:rFonts w:asciiTheme="minorBidi" w:hAnsiTheme="minorBidi" w:hint="cs"/>
          <w:rtl/>
        </w:rPr>
        <w:t>ֵ</w:t>
      </w:r>
      <w:r w:rsidRPr="003024E5">
        <w:rPr>
          <w:rFonts w:asciiTheme="minorBidi" w:hAnsiTheme="minorBidi"/>
          <w:rtl/>
        </w:rPr>
        <w:t>ל</w:t>
      </w:r>
      <w:r>
        <w:rPr>
          <w:rFonts w:asciiTheme="minorBidi" w:hAnsiTheme="minorBidi" w:hint="cs"/>
          <w:rtl/>
        </w:rPr>
        <w:t>ֶ</w:t>
      </w:r>
      <w:r w:rsidRPr="003024E5">
        <w:rPr>
          <w:rFonts w:asciiTheme="minorBidi" w:hAnsiTheme="minorBidi"/>
          <w:rtl/>
        </w:rPr>
        <w:t>ב ובקדרה אחרת היו שלשים של היתר ונפל לתוכו כזית של דם ונתערבו בשוגג</w:t>
      </w:r>
      <w:r>
        <w:rPr>
          <w:rStyle w:val="a7"/>
          <w:rFonts w:asciiTheme="minorBidi" w:hAnsiTheme="minorBidi"/>
          <w:rtl/>
        </w:rPr>
        <w:footnoteReference w:id="1849"/>
      </w:r>
      <w:r w:rsidRPr="003024E5">
        <w:rPr>
          <w:rFonts w:asciiTheme="minorBidi" w:hAnsiTheme="minorBidi"/>
          <w:rtl/>
        </w:rPr>
        <w:t xml:space="preserve"> מותר</w:t>
      </w:r>
      <w:r>
        <w:rPr>
          <w:rStyle w:val="a7"/>
          <w:rFonts w:asciiTheme="minorBidi" w:hAnsiTheme="minorBidi"/>
          <w:rtl/>
        </w:rPr>
        <w:footnoteReference w:id="1850"/>
      </w:r>
      <w:r w:rsidRPr="003024E5">
        <w:rPr>
          <w:rFonts w:asciiTheme="minorBidi" w:hAnsiTheme="minorBidi"/>
          <w:rtl/>
        </w:rPr>
        <w:t xml:space="preserve">. </w:t>
      </w:r>
      <w:r w:rsidRPr="00E97C75">
        <w:rPr>
          <w:rFonts w:asciiTheme="minorBidi" w:hAnsiTheme="minorBidi" w:hint="cs"/>
          <w:sz w:val="18"/>
          <w:szCs w:val="18"/>
          <w:rtl/>
        </w:rPr>
        <w:t xml:space="preserve">[הגה] </w:t>
      </w:r>
      <w:r w:rsidRPr="00E97C75">
        <w:rPr>
          <w:rFonts w:asciiTheme="minorBidi" w:hAnsiTheme="minorBidi"/>
          <w:sz w:val="18"/>
          <w:szCs w:val="18"/>
          <w:rtl/>
        </w:rPr>
        <w:t>וכ"ש בב' זיתים אחד של גבינה ואחד של בשר</w:t>
      </w:r>
      <w:r>
        <w:rPr>
          <w:rStyle w:val="a7"/>
          <w:rFonts w:asciiTheme="minorBidi" w:hAnsiTheme="minorBidi"/>
          <w:sz w:val="18"/>
          <w:szCs w:val="18"/>
          <w:rtl/>
        </w:rPr>
        <w:footnoteReference w:id="1851"/>
      </w:r>
      <w:r w:rsidRPr="00E97C75">
        <w:rPr>
          <w:rFonts w:asciiTheme="minorBidi" w:hAnsiTheme="minorBidi"/>
          <w:sz w:val="18"/>
          <w:szCs w:val="18"/>
          <w:rtl/>
        </w:rPr>
        <w:t xml:space="preserve"> דכל אחד מבטל חבירו (בארוך כלל כד).</w:t>
      </w:r>
      <w:r>
        <w:rPr>
          <w:rFonts w:asciiTheme="minorBidi" w:hAnsiTheme="minorBidi" w:hint="cs"/>
          <w:rtl/>
        </w:rPr>
        <w:t xml:space="preserve"> </w:t>
      </w:r>
    </w:p>
    <w:p w14:paraId="41AE522E" w14:textId="77777777" w:rsidR="002C39F4" w:rsidRPr="00C04D0D" w:rsidRDefault="002C39F4" w:rsidP="002C39F4">
      <w:pPr>
        <w:rPr>
          <w:rFonts w:asciiTheme="minorBidi" w:hAnsiTheme="minorBidi"/>
          <w:u w:val="single"/>
          <w:rtl/>
        </w:rPr>
      </w:pPr>
      <w:r w:rsidRPr="00C04D0D">
        <w:rPr>
          <w:rFonts w:asciiTheme="minorBidi" w:hAnsiTheme="minorBidi" w:hint="cs"/>
          <w:u w:val="single"/>
          <w:rtl/>
        </w:rPr>
        <w:t xml:space="preserve">הא דכ"ט זיתים של היתר שנפל בהם כזית חלב וכו' </w:t>
      </w:r>
      <w:r>
        <w:rPr>
          <w:rFonts w:asciiTheme="minorBidi" w:hAnsiTheme="minorBidi"/>
          <w:u w:val="single"/>
          <w:rtl/>
        </w:rPr>
        <w:t>–</w:t>
      </w:r>
      <w:r>
        <w:rPr>
          <w:rFonts w:asciiTheme="minorBidi" w:hAnsiTheme="minorBidi" w:hint="cs"/>
          <w:u w:val="single"/>
          <w:rtl/>
        </w:rPr>
        <w:t xml:space="preserve"> האם </w:t>
      </w:r>
      <w:r w:rsidRPr="00C04D0D">
        <w:rPr>
          <w:rFonts w:asciiTheme="minorBidi" w:hAnsiTheme="minorBidi" w:hint="cs"/>
          <w:u w:val="single"/>
          <w:rtl/>
        </w:rPr>
        <w:t>הוא גם לסוברים דח</w:t>
      </w:r>
      <w:r>
        <w:rPr>
          <w:rFonts w:asciiTheme="minorBidi" w:hAnsiTheme="minorBidi" w:hint="cs"/>
          <w:u w:val="single"/>
          <w:rtl/>
        </w:rPr>
        <w:t>נ"</w:t>
      </w:r>
      <w:r w:rsidRPr="00C04D0D">
        <w:rPr>
          <w:rFonts w:asciiTheme="minorBidi" w:hAnsiTheme="minorBidi" w:hint="cs"/>
          <w:u w:val="single"/>
          <w:rtl/>
        </w:rPr>
        <w:t>נ גם בשאר איסורין</w:t>
      </w:r>
      <w:r>
        <w:rPr>
          <w:rStyle w:val="a7"/>
          <w:rFonts w:asciiTheme="minorBidi" w:hAnsiTheme="minorBidi"/>
          <w:u w:val="single"/>
          <w:rtl/>
        </w:rPr>
        <w:footnoteReference w:id="1852"/>
      </w:r>
      <w:r w:rsidRPr="00C04D0D">
        <w:rPr>
          <w:rFonts w:asciiTheme="minorBidi" w:hAnsiTheme="minorBidi" w:hint="cs"/>
          <w:u w:val="single"/>
          <w:rtl/>
        </w:rPr>
        <w:t>:</w:t>
      </w:r>
    </w:p>
    <w:p w14:paraId="579381E1" w14:textId="77777777" w:rsidR="002C39F4" w:rsidRDefault="002C39F4" w:rsidP="0032102C">
      <w:pPr>
        <w:pStyle w:val="a8"/>
        <w:numPr>
          <w:ilvl w:val="0"/>
          <w:numId w:val="185"/>
        </w:numPr>
        <w:rPr>
          <w:rFonts w:asciiTheme="minorBidi" w:hAnsiTheme="minorBidi"/>
        </w:rPr>
      </w:pPr>
      <w:r>
        <w:rPr>
          <w:rFonts w:asciiTheme="minorBidi" w:hAnsiTheme="minorBidi" w:cs="Arial" w:hint="cs"/>
          <w:rtl/>
        </w:rPr>
        <w:t xml:space="preserve">ט"ז </w:t>
      </w:r>
      <w:r w:rsidRPr="0058700C">
        <w:rPr>
          <w:rFonts w:asciiTheme="minorBidi" w:hAnsiTheme="minorBidi" w:cs="Arial" w:hint="cs"/>
          <w:sz w:val="16"/>
          <w:szCs w:val="16"/>
          <w:rtl/>
        </w:rPr>
        <w:t>(סקי"ד)</w:t>
      </w:r>
      <w:r>
        <w:rPr>
          <w:rFonts w:asciiTheme="minorBidi" w:hAnsiTheme="minorBidi" w:cs="Arial" w:hint="cs"/>
          <w:rtl/>
        </w:rPr>
        <w:t xml:space="preserve"> וגר"א </w:t>
      </w:r>
      <w:r>
        <w:rPr>
          <w:rFonts w:asciiTheme="minorBidi" w:hAnsiTheme="minorBidi" w:cs="Arial" w:hint="cs"/>
          <w:sz w:val="16"/>
          <w:szCs w:val="16"/>
          <w:rtl/>
        </w:rPr>
        <w:t>(סקל"ט)</w:t>
      </w:r>
      <w:r>
        <w:rPr>
          <w:rFonts w:asciiTheme="minorBidi" w:hAnsiTheme="minorBidi" w:cs="Arial" w:hint="cs"/>
          <w:rtl/>
        </w:rPr>
        <w:t xml:space="preserve">- </w:t>
      </w:r>
      <w:r w:rsidRPr="00C04D0D">
        <w:rPr>
          <w:rFonts w:asciiTheme="minorBidi" w:hAnsiTheme="minorBidi" w:cs="Arial"/>
          <w:rtl/>
        </w:rPr>
        <w:t>זהו למאן דלית ליה חתיכה עצמה נ"נ בשאר איסורים</w:t>
      </w:r>
      <w:r>
        <w:rPr>
          <w:rFonts w:asciiTheme="minorBidi" w:hAnsiTheme="minorBidi" w:cs="Arial" w:hint="cs"/>
          <w:rtl/>
        </w:rPr>
        <w:t>,</w:t>
      </w:r>
      <w:r w:rsidRPr="00C04D0D">
        <w:rPr>
          <w:rFonts w:asciiTheme="minorBidi" w:hAnsiTheme="minorBidi" w:cs="Arial"/>
          <w:rtl/>
        </w:rPr>
        <w:t xml:space="preserve"> אבל לדידן דקי"ל </w:t>
      </w:r>
      <w:r w:rsidRPr="00267D26">
        <w:rPr>
          <w:rFonts w:asciiTheme="minorBidi" w:hAnsiTheme="minorBidi" w:cs="Arial" w:hint="cs"/>
          <w:sz w:val="16"/>
          <w:szCs w:val="16"/>
          <w:rtl/>
        </w:rPr>
        <w:t>(</w:t>
      </w:r>
      <w:r w:rsidRPr="00267D26">
        <w:rPr>
          <w:rFonts w:asciiTheme="minorBidi" w:hAnsiTheme="minorBidi" w:cs="Arial"/>
          <w:sz w:val="16"/>
          <w:szCs w:val="16"/>
          <w:rtl/>
        </w:rPr>
        <w:t>סי' צב</w:t>
      </w:r>
      <w:r>
        <w:rPr>
          <w:rFonts w:asciiTheme="minorBidi" w:hAnsiTheme="minorBidi" w:cs="Arial" w:hint="cs"/>
          <w:sz w:val="16"/>
          <w:szCs w:val="16"/>
          <w:rtl/>
        </w:rPr>
        <w:t xml:space="preserve"> סע' ו)</w:t>
      </w:r>
      <w:r w:rsidRPr="00267D26">
        <w:rPr>
          <w:rFonts w:asciiTheme="minorBidi" w:hAnsiTheme="minorBidi" w:cs="Arial"/>
          <w:sz w:val="16"/>
          <w:szCs w:val="16"/>
          <w:rtl/>
        </w:rPr>
        <w:t xml:space="preserve"> </w:t>
      </w:r>
      <w:r w:rsidRPr="00C04D0D">
        <w:rPr>
          <w:rFonts w:asciiTheme="minorBidi" w:hAnsiTheme="minorBidi" w:cs="Arial"/>
          <w:rtl/>
        </w:rPr>
        <w:t>דבכל האיסורים אמרינן חתיכ</w:t>
      </w:r>
      <w:r>
        <w:rPr>
          <w:rFonts w:asciiTheme="minorBidi" w:hAnsiTheme="minorBidi" w:cs="Arial" w:hint="cs"/>
          <w:rtl/>
        </w:rPr>
        <w:t>ה</w:t>
      </w:r>
      <w:r w:rsidRPr="00C04D0D">
        <w:rPr>
          <w:rFonts w:asciiTheme="minorBidi" w:hAnsiTheme="minorBidi" w:cs="Arial"/>
          <w:rtl/>
        </w:rPr>
        <w:t xml:space="preserve"> עצמה נ</w:t>
      </w:r>
      <w:r>
        <w:rPr>
          <w:rFonts w:asciiTheme="minorBidi" w:hAnsiTheme="minorBidi" w:cs="Arial" w:hint="cs"/>
          <w:rtl/>
        </w:rPr>
        <w:t>"</w:t>
      </w:r>
      <w:r w:rsidRPr="00C04D0D">
        <w:rPr>
          <w:rFonts w:asciiTheme="minorBidi" w:hAnsiTheme="minorBidi" w:cs="Arial"/>
          <w:rtl/>
        </w:rPr>
        <w:t>נ גם זה התערובו</w:t>
      </w:r>
      <w:r>
        <w:rPr>
          <w:rFonts w:asciiTheme="minorBidi" w:hAnsiTheme="minorBidi" w:cs="Arial" w:hint="cs"/>
          <w:rtl/>
        </w:rPr>
        <w:t>ת</w:t>
      </w:r>
      <w:r w:rsidRPr="00C04D0D">
        <w:rPr>
          <w:rFonts w:asciiTheme="minorBidi" w:hAnsiTheme="minorBidi" w:cs="Arial"/>
          <w:rtl/>
        </w:rPr>
        <w:t xml:space="preserve"> אסור</w:t>
      </w:r>
      <w:r>
        <w:rPr>
          <w:rFonts w:asciiTheme="minorBidi" w:hAnsiTheme="minorBidi" w:cs="Arial" w:hint="cs"/>
          <w:rtl/>
        </w:rPr>
        <w:t>,</w:t>
      </w:r>
      <w:r w:rsidRPr="00C04D0D">
        <w:rPr>
          <w:rFonts w:asciiTheme="minorBidi" w:hAnsiTheme="minorBidi" w:cs="Arial"/>
          <w:rtl/>
        </w:rPr>
        <w:t xml:space="preserve"> דכבר נעשה נבילה קודם התערובות</w:t>
      </w:r>
      <w:r>
        <w:rPr>
          <w:rFonts w:asciiTheme="minorBidi" w:hAnsiTheme="minorBidi" w:cs="Arial" w:hint="cs"/>
          <w:rtl/>
        </w:rPr>
        <w:t>.</w:t>
      </w:r>
    </w:p>
    <w:p w14:paraId="50EA8667" w14:textId="77777777" w:rsidR="002C39F4" w:rsidRPr="0058700C" w:rsidRDefault="002C39F4" w:rsidP="0032102C">
      <w:pPr>
        <w:pStyle w:val="a8"/>
        <w:numPr>
          <w:ilvl w:val="0"/>
          <w:numId w:val="185"/>
        </w:numPr>
        <w:rPr>
          <w:rFonts w:asciiTheme="minorBidi" w:hAnsiTheme="minorBidi"/>
        </w:rPr>
      </w:pPr>
      <w:r>
        <w:rPr>
          <w:rFonts w:asciiTheme="minorBidi" w:hAnsiTheme="minorBidi" w:hint="cs"/>
          <w:rtl/>
        </w:rPr>
        <w:t xml:space="preserve">ש"ך </w:t>
      </w:r>
      <w:r w:rsidRPr="0058700C">
        <w:rPr>
          <w:rFonts w:asciiTheme="minorBidi" w:hAnsiTheme="minorBidi" w:hint="cs"/>
          <w:sz w:val="16"/>
          <w:szCs w:val="16"/>
          <w:rtl/>
        </w:rPr>
        <w:t>(סקל"ד</w:t>
      </w:r>
      <w:r>
        <w:rPr>
          <w:rFonts w:asciiTheme="minorBidi" w:hAnsiTheme="minorBidi" w:hint="cs"/>
          <w:sz w:val="16"/>
          <w:szCs w:val="16"/>
          <w:rtl/>
        </w:rPr>
        <w:t>, תירוץ א</w:t>
      </w:r>
      <w:r w:rsidRPr="0058700C">
        <w:rPr>
          <w:rFonts w:asciiTheme="minorBidi" w:hAnsiTheme="minorBidi" w:hint="cs"/>
          <w:sz w:val="16"/>
          <w:szCs w:val="16"/>
          <w:rtl/>
        </w:rPr>
        <w:t>)</w:t>
      </w:r>
      <w:r>
        <w:rPr>
          <w:rFonts w:asciiTheme="minorBidi" w:hAnsiTheme="minorBidi" w:hint="cs"/>
          <w:rtl/>
        </w:rPr>
        <w:t xml:space="preserve">- </w:t>
      </w:r>
      <w:r w:rsidRPr="00C04D0D">
        <w:rPr>
          <w:rFonts w:asciiTheme="minorBidi" w:hAnsiTheme="minorBidi" w:cs="Arial"/>
          <w:rtl/>
        </w:rPr>
        <w:t>י"ל ד</w:t>
      </w:r>
      <w:r>
        <w:rPr>
          <w:rFonts w:asciiTheme="minorBidi" w:hAnsiTheme="minorBidi" w:cs="Arial" w:hint="cs"/>
          <w:rtl/>
        </w:rPr>
        <w:t>ְ</w:t>
      </w:r>
      <w:r w:rsidRPr="00C04D0D">
        <w:rPr>
          <w:rFonts w:asciiTheme="minorBidi" w:hAnsiTheme="minorBidi" w:cs="Arial"/>
          <w:rtl/>
        </w:rPr>
        <w:t>ס</w:t>
      </w:r>
      <w:r>
        <w:rPr>
          <w:rFonts w:asciiTheme="minorBidi" w:hAnsiTheme="minorBidi" w:cs="Arial" w:hint="cs"/>
          <w:rtl/>
        </w:rPr>
        <w:t>ַ</w:t>
      </w:r>
      <w:r w:rsidRPr="00C04D0D">
        <w:rPr>
          <w:rFonts w:asciiTheme="minorBidi" w:hAnsiTheme="minorBidi" w:cs="Arial"/>
          <w:rtl/>
        </w:rPr>
        <w:t>ת</w:t>
      </w:r>
      <w:r>
        <w:rPr>
          <w:rFonts w:asciiTheme="minorBidi" w:hAnsiTheme="minorBidi" w:cs="Arial" w:hint="cs"/>
          <w:rtl/>
        </w:rPr>
        <w:t>ָ</w:t>
      </w:r>
      <w:r w:rsidRPr="00C04D0D">
        <w:rPr>
          <w:rFonts w:asciiTheme="minorBidi" w:hAnsiTheme="minorBidi" w:cs="Arial"/>
          <w:rtl/>
        </w:rPr>
        <w:t>ם הדברים לענין לח בלח דלא אמרי' חנ"נ בהפסד מרובה כדלעיל בסי' צב ס"ד וכ"כ בהג"ה בסי' צט ס"ה</w:t>
      </w:r>
      <w:r>
        <w:rPr>
          <w:rFonts w:asciiTheme="minorBidi" w:hAnsiTheme="minorBidi" w:cs="Arial" w:hint="cs"/>
          <w:rtl/>
        </w:rPr>
        <w:t xml:space="preserve">. </w:t>
      </w:r>
    </w:p>
    <w:p w14:paraId="50330C50" w14:textId="77777777" w:rsidR="002C39F4" w:rsidRDefault="002C39F4" w:rsidP="0032102C">
      <w:pPr>
        <w:pStyle w:val="a8"/>
        <w:numPr>
          <w:ilvl w:val="0"/>
          <w:numId w:val="185"/>
        </w:numPr>
        <w:rPr>
          <w:rFonts w:asciiTheme="minorBidi" w:hAnsiTheme="minorBidi"/>
        </w:rPr>
      </w:pPr>
      <w:r>
        <w:rPr>
          <w:rFonts w:asciiTheme="minorBidi" w:hAnsiTheme="minorBidi" w:hint="cs"/>
          <w:rtl/>
        </w:rPr>
        <w:t xml:space="preserve">ש"ך </w:t>
      </w:r>
      <w:r w:rsidRPr="0058700C">
        <w:rPr>
          <w:rFonts w:asciiTheme="minorBidi" w:hAnsiTheme="minorBidi" w:hint="cs"/>
          <w:sz w:val="16"/>
          <w:szCs w:val="16"/>
          <w:rtl/>
        </w:rPr>
        <w:t>(</w:t>
      </w:r>
      <w:r>
        <w:rPr>
          <w:rFonts w:asciiTheme="minorBidi" w:hAnsiTheme="minorBidi" w:hint="cs"/>
          <w:sz w:val="16"/>
          <w:szCs w:val="16"/>
          <w:rtl/>
        </w:rPr>
        <w:t>תירוץ ב</w:t>
      </w:r>
      <w:r w:rsidRPr="0058700C">
        <w:rPr>
          <w:rFonts w:asciiTheme="minorBidi" w:hAnsiTheme="minorBidi" w:hint="cs"/>
          <w:sz w:val="16"/>
          <w:szCs w:val="16"/>
          <w:rtl/>
        </w:rPr>
        <w:t>)</w:t>
      </w:r>
      <w:r>
        <w:rPr>
          <w:rFonts w:asciiTheme="minorBidi" w:hAnsiTheme="minorBidi" w:hint="cs"/>
          <w:rtl/>
        </w:rPr>
        <w:t>-</w:t>
      </w:r>
      <w:r>
        <w:rPr>
          <w:rFonts w:asciiTheme="minorBidi" w:hAnsiTheme="minorBidi" w:cs="Arial" w:hint="cs"/>
          <w:rtl/>
        </w:rPr>
        <w:t xml:space="preserve"> </w:t>
      </w:r>
      <w:r w:rsidRPr="00C04D0D">
        <w:rPr>
          <w:rFonts w:asciiTheme="minorBidi" w:hAnsiTheme="minorBidi" w:cs="Arial"/>
          <w:rtl/>
        </w:rPr>
        <w:t>הרב אזיל לטעמיה שפסק בת"ח</w:t>
      </w:r>
      <w:r>
        <w:rPr>
          <w:rFonts w:asciiTheme="minorBidi" w:hAnsiTheme="minorBidi" w:cs="Arial" w:hint="cs"/>
          <w:rtl/>
        </w:rPr>
        <w:t>,</w:t>
      </w:r>
      <w:r w:rsidRPr="00C04D0D">
        <w:rPr>
          <w:rFonts w:asciiTheme="minorBidi" w:hAnsiTheme="minorBidi" w:cs="Arial"/>
          <w:rtl/>
        </w:rPr>
        <w:t xml:space="preserve"> הבאתיו לקמן סי' צט סקט"ו</w:t>
      </w:r>
      <w:r>
        <w:rPr>
          <w:rFonts w:asciiTheme="minorBidi" w:hAnsiTheme="minorBidi" w:cs="Arial" w:hint="cs"/>
          <w:rtl/>
        </w:rPr>
        <w:t>,</w:t>
      </w:r>
      <w:r w:rsidRPr="00C04D0D">
        <w:rPr>
          <w:rFonts w:asciiTheme="minorBidi" w:hAnsiTheme="minorBidi" w:cs="Arial"/>
          <w:rtl/>
        </w:rPr>
        <w:t xml:space="preserve"> דאם ניתוסף על האיסור בשוגג קודם שנודע התערובות לא אמרי</w:t>
      </w:r>
      <w:r>
        <w:rPr>
          <w:rFonts w:asciiTheme="minorBidi" w:hAnsiTheme="minorBidi" w:cs="Arial" w:hint="cs"/>
          <w:rtl/>
        </w:rPr>
        <w:t>נן</w:t>
      </w:r>
      <w:r w:rsidRPr="00C04D0D">
        <w:rPr>
          <w:rFonts w:asciiTheme="minorBidi" w:hAnsiTheme="minorBidi" w:cs="Arial"/>
          <w:rtl/>
        </w:rPr>
        <w:t xml:space="preserve"> חנ"נ וא"צ אלא ס' נגד האיסור</w:t>
      </w:r>
      <w:r>
        <w:rPr>
          <w:rFonts w:asciiTheme="minorBidi" w:hAnsiTheme="minorBidi" w:cs="Arial" w:hint="cs"/>
          <w:rtl/>
        </w:rPr>
        <w:t>,</w:t>
      </w:r>
      <w:r w:rsidRPr="00C04D0D">
        <w:rPr>
          <w:rFonts w:asciiTheme="minorBidi" w:hAnsiTheme="minorBidi" w:cs="Arial"/>
          <w:rtl/>
        </w:rPr>
        <w:t xml:space="preserve"> א</w:t>
      </w:r>
      <w:r>
        <w:rPr>
          <w:rFonts w:asciiTheme="minorBidi" w:hAnsiTheme="minorBidi" w:cs="Arial" w:hint="cs"/>
          <w:rtl/>
        </w:rPr>
        <w:t>"</w:t>
      </w:r>
      <w:r w:rsidRPr="00C04D0D">
        <w:rPr>
          <w:rFonts w:asciiTheme="minorBidi" w:hAnsiTheme="minorBidi" w:cs="Arial"/>
          <w:rtl/>
        </w:rPr>
        <w:t>כ מיירי הכא שנתערבו ב' הקדרות יחד קודם שנודע התערובות</w:t>
      </w:r>
      <w:r>
        <w:rPr>
          <w:rStyle w:val="a7"/>
          <w:rFonts w:asciiTheme="minorBidi" w:hAnsiTheme="minorBidi" w:cs="Arial"/>
          <w:rtl/>
        </w:rPr>
        <w:footnoteReference w:id="1853"/>
      </w:r>
      <w:r>
        <w:rPr>
          <w:rFonts w:asciiTheme="minorBidi" w:hAnsiTheme="minorBidi" w:cs="Arial" w:hint="cs"/>
          <w:rtl/>
        </w:rPr>
        <w:t>.</w:t>
      </w:r>
    </w:p>
    <w:p w14:paraId="516C2C4F" w14:textId="77777777" w:rsidR="002C39F4" w:rsidRPr="003218FB" w:rsidRDefault="002C39F4" w:rsidP="0032102C">
      <w:pPr>
        <w:pStyle w:val="a8"/>
        <w:numPr>
          <w:ilvl w:val="0"/>
          <w:numId w:val="185"/>
        </w:numPr>
        <w:rPr>
          <w:rFonts w:asciiTheme="minorBidi" w:hAnsiTheme="minorBidi"/>
          <w:rtl/>
        </w:rPr>
        <w:sectPr w:rsidR="002C39F4" w:rsidRPr="003218FB" w:rsidSect="004C5A3C">
          <w:footerReference w:type="default" r:id="rId12"/>
          <w:footnotePr>
            <w:numRestart w:val="eachPage"/>
          </w:footnotePr>
          <w:pgSz w:w="11906" w:h="16838"/>
          <w:pgMar w:top="720" w:right="1134" w:bottom="720" w:left="1134" w:header="0" w:footer="0" w:gutter="0"/>
          <w:cols w:space="720"/>
          <w:bidi/>
          <w:rtlGutter/>
          <w:docGrid w:linePitch="360"/>
        </w:sectPr>
      </w:pPr>
      <w:r>
        <w:rPr>
          <w:rFonts w:asciiTheme="minorBidi" w:hAnsiTheme="minorBidi" w:cs="Arial" w:hint="cs"/>
          <w:rtl/>
        </w:rPr>
        <w:t>ר'</w:t>
      </w:r>
      <w:r w:rsidRPr="00267D26">
        <w:rPr>
          <w:rFonts w:asciiTheme="minorBidi" w:hAnsiTheme="minorBidi" w:cs="Arial"/>
          <w:rtl/>
        </w:rPr>
        <w:t xml:space="preserve"> משה ברודא </w:t>
      </w:r>
      <w:r w:rsidRPr="00267D26">
        <w:rPr>
          <w:rFonts w:asciiTheme="minorBidi" w:hAnsiTheme="minorBidi" w:cs="Arial" w:hint="cs"/>
          <w:sz w:val="16"/>
          <w:szCs w:val="16"/>
          <w:rtl/>
        </w:rPr>
        <w:t xml:space="preserve">(הביאו </w:t>
      </w:r>
      <w:r w:rsidRPr="00267D26">
        <w:rPr>
          <w:rFonts w:asciiTheme="minorBidi" w:hAnsiTheme="minorBidi" w:hint="cs"/>
          <w:sz w:val="16"/>
          <w:szCs w:val="16"/>
          <w:rtl/>
        </w:rPr>
        <w:t>רעק"א [אות יג])</w:t>
      </w:r>
      <w:r>
        <w:rPr>
          <w:rFonts w:asciiTheme="minorBidi" w:hAnsiTheme="minorBidi" w:cs="Arial" w:hint="cs"/>
          <w:rtl/>
        </w:rPr>
        <w:t xml:space="preserve">- </w:t>
      </w:r>
      <w:r w:rsidRPr="00267D26">
        <w:rPr>
          <w:rFonts w:asciiTheme="minorBidi" w:hAnsiTheme="minorBidi" w:cs="Arial"/>
          <w:rtl/>
        </w:rPr>
        <w:t xml:space="preserve">י"ל דמיירי דקדירה א' חסירה מלח והקדירה ב' יתירה מלח דכל א' מותר מטעם נטל"פ כדלקמן </w:t>
      </w:r>
      <w:r w:rsidRPr="00267D26">
        <w:rPr>
          <w:rFonts w:asciiTheme="minorBidi" w:hAnsiTheme="minorBidi" w:cs="Arial"/>
          <w:sz w:val="16"/>
          <w:szCs w:val="16"/>
          <w:rtl/>
        </w:rPr>
        <w:t xml:space="preserve">(סי' קג) </w:t>
      </w:r>
      <w:r w:rsidRPr="00267D26">
        <w:rPr>
          <w:rFonts w:asciiTheme="minorBidi" w:hAnsiTheme="minorBidi" w:cs="Arial"/>
          <w:rtl/>
        </w:rPr>
        <w:t>ולא</w:t>
      </w:r>
      <w:r>
        <w:rPr>
          <w:rFonts w:asciiTheme="minorBidi" w:hAnsiTheme="minorBidi" w:cs="Arial" w:hint="cs"/>
          <w:rtl/>
        </w:rPr>
        <w:t xml:space="preserve"> אמרינן</w:t>
      </w:r>
      <w:r w:rsidRPr="00267D26">
        <w:rPr>
          <w:rFonts w:asciiTheme="minorBidi" w:hAnsiTheme="minorBidi" w:cs="Arial"/>
          <w:rtl/>
        </w:rPr>
        <w:t xml:space="preserve"> נ</w:t>
      </w:r>
      <w:r>
        <w:rPr>
          <w:rFonts w:asciiTheme="minorBidi" w:hAnsiTheme="minorBidi" w:cs="Arial" w:hint="cs"/>
          <w:rtl/>
        </w:rPr>
        <w:t>עשה נבלה,</w:t>
      </w:r>
      <w:r w:rsidRPr="00267D26">
        <w:rPr>
          <w:rFonts w:asciiTheme="minorBidi" w:hAnsiTheme="minorBidi" w:cs="Arial"/>
          <w:rtl/>
        </w:rPr>
        <w:t xml:space="preserve"> וכשנתערבו השביח ומה שחסר כאן יתיר כאן</w:t>
      </w:r>
      <w:r>
        <w:rPr>
          <w:rStyle w:val="a7"/>
          <w:rFonts w:asciiTheme="minorBidi" w:hAnsiTheme="minorBidi" w:cs="Arial"/>
          <w:rtl/>
        </w:rPr>
        <w:footnoteReference w:id="1854"/>
      </w:r>
      <w:r>
        <w:rPr>
          <w:rFonts w:asciiTheme="minorBidi" w:hAnsiTheme="minorBidi" w:cs="Arial" w:hint="cs"/>
          <w:rtl/>
        </w:rPr>
        <w:t>.</w:t>
      </w:r>
    </w:p>
    <w:p w14:paraId="3DECA4F9"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צט: דין העצמות אם מצטרפין לבטל איסור, ושלא לבטל איסור לכתחלה, ובו ז' סעיפים. </w:t>
      </w:r>
    </w:p>
    <w:p w14:paraId="3A81A8DE" w14:textId="77777777" w:rsidR="002C39F4" w:rsidRPr="00862AC6"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צירוף העצמות לאיסור/להיתר.</w:t>
      </w:r>
    </w:p>
    <w:p w14:paraId="1B382045" w14:textId="77777777" w:rsidR="002C39F4" w:rsidRDefault="002C39F4" w:rsidP="002C39F4">
      <w:pPr>
        <w:rPr>
          <w:rFonts w:cs="Arial"/>
          <w:rtl/>
        </w:rPr>
      </w:pPr>
      <w:r>
        <w:rPr>
          <w:rFonts w:cs="Arial" w:hint="cs"/>
          <w:b/>
          <w:bCs/>
          <w:rtl/>
        </w:rPr>
        <w:t xml:space="preserve">חולין צח ע"א: </w:t>
      </w:r>
      <w:r w:rsidRPr="00264C36">
        <w:rPr>
          <w:rFonts w:cs="Arial"/>
          <w:u w:val="single"/>
          <w:rtl/>
        </w:rPr>
        <w:t>אמר ר' חייא בר אבא אמר ר' יהושע בן לוי משום בר קפרא</w:t>
      </w:r>
      <w:r>
        <w:rPr>
          <w:rFonts w:cs="Arial"/>
          <w:rtl/>
        </w:rPr>
        <w:t>: כל איסורין שבתורה</w:t>
      </w:r>
      <w:r>
        <w:rPr>
          <w:rFonts w:cs="Arial" w:hint="cs"/>
          <w:rtl/>
        </w:rPr>
        <w:t xml:space="preserve"> -</w:t>
      </w:r>
      <w:r>
        <w:rPr>
          <w:rFonts w:cs="Arial"/>
          <w:rtl/>
        </w:rPr>
        <w:t xml:space="preserve"> בס'</w:t>
      </w:r>
      <w:r>
        <w:rPr>
          <w:rFonts w:cs="Arial" w:hint="cs"/>
          <w:rtl/>
        </w:rPr>
        <w:t>.</w:t>
      </w:r>
      <w:r w:rsidRPr="008F2A12">
        <w:rPr>
          <w:rFonts w:cs="Arial"/>
          <w:rtl/>
        </w:rPr>
        <w:t xml:space="preserve"> </w:t>
      </w:r>
      <w:r w:rsidRPr="00264C36">
        <w:rPr>
          <w:rFonts w:cs="Arial"/>
          <w:u w:val="single"/>
          <w:rtl/>
        </w:rPr>
        <w:t xml:space="preserve">אמר לפניו </w:t>
      </w:r>
      <w:r w:rsidRPr="00BB702A">
        <w:rPr>
          <w:rFonts w:cs="Arial"/>
          <w:u w:val="single"/>
          <w:rtl/>
        </w:rPr>
        <w:t>ר' שמואל</w:t>
      </w:r>
      <w:r w:rsidRPr="00264C36">
        <w:rPr>
          <w:rFonts w:cs="Arial"/>
          <w:u w:val="single"/>
          <w:rtl/>
        </w:rPr>
        <w:t xml:space="preserve"> בר רב יצחק</w:t>
      </w:r>
      <w:r w:rsidRPr="008F2A12">
        <w:rPr>
          <w:rFonts w:cs="Arial"/>
          <w:rtl/>
        </w:rPr>
        <w:t>: רבי, אתה אומר כן, הכי אמר רב אסי אמר ר' יהושע בן לוי מ</w:t>
      </w:r>
      <w:r>
        <w:rPr>
          <w:rFonts w:cs="Arial"/>
          <w:rtl/>
        </w:rPr>
        <w:t>שום בר קפרא: כל איסורין שבתורה</w:t>
      </w:r>
      <w:r>
        <w:rPr>
          <w:rFonts w:cs="Arial" w:hint="cs"/>
          <w:rtl/>
        </w:rPr>
        <w:t xml:space="preserve"> -</w:t>
      </w:r>
      <w:r w:rsidRPr="008F2A12">
        <w:rPr>
          <w:rFonts w:cs="Arial"/>
          <w:rtl/>
        </w:rPr>
        <w:t xml:space="preserve"> במאה. ושניהם לא למדוה אלא מזרוע</w:t>
      </w:r>
      <w:r>
        <w:rPr>
          <w:rStyle w:val="a7"/>
          <w:rFonts w:cs="Arial"/>
          <w:rtl/>
        </w:rPr>
        <w:footnoteReference w:id="1855"/>
      </w:r>
      <w:r w:rsidRPr="008F2A12">
        <w:rPr>
          <w:rFonts w:cs="Arial"/>
          <w:rtl/>
        </w:rPr>
        <w:t xml:space="preserve"> בשלה</w:t>
      </w:r>
      <w:r w:rsidRPr="008D328B">
        <w:rPr>
          <w:rFonts w:cs="Arial"/>
          <w:rtl/>
        </w:rPr>
        <w:t>, דכתיב: ולקח הכהן את הזרוע בשלה וגו', ותניא: בשלה</w:t>
      </w:r>
      <w:r>
        <w:rPr>
          <w:rFonts w:cs="Arial" w:hint="cs"/>
          <w:rtl/>
        </w:rPr>
        <w:t xml:space="preserve"> </w:t>
      </w:r>
      <w:r>
        <w:rPr>
          <w:rFonts w:hint="cs"/>
          <w:rtl/>
        </w:rPr>
        <w:t>-</w:t>
      </w:r>
      <w:r w:rsidRPr="003F3E92">
        <w:rPr>
          <w:rtl/>
        </w:rPr>
        <w:t xml:space="preserve"> </w:t>
      </w:r>
      <w:r w:rsidRPr="00783C18">
        <w:rPr>
          <w:rFonts w:hint="cs"/>
          <w:sz w:val="16"/>
          <w:szCs w:val="16"/>
          <w:rtl/>
        </w:rPr>
        <w:t>(צח:)</w:t>
      </w:r>
      <w:r>
        <w:rPr>
          <w:rFonts w:cs="Arial" w:hint="cs"/>
          <w:rtl/>
        </w:rPr>
        <w:t xml:space="preserve"> </w:t>
      </w:r>
      <w:r w:rsidRPr="008D328B">
        <w:rPr>
          <w:rFonts w:cs="Arial"/>
          <w:rtl/>
        </w:rPr>
        <w:t>אין בשלה אלא שלימה, ר' שמעון בן יוחאי אומר: אין בשלה אלא שנתבשלה עם האיל. דכולי עלמא בהדי איל מבשל לה, מר סבר: מחתך לה והדר מבשל לה, ומר סבר: מבשל לה והדר מחתך לה; ואי בעית אימא, דכ"ע - מחתך לה והדר מבשל לה, מיהו, מר סבר: בהדי איל מבשל לה, ומר סבר: בקדרה אחרת מבשל לה, ללישנא קמא - אליבא דדברי הכל, ללישנא בתרא - אליבא דרבי שמעון בן יוחאי; מאן דאמר בששים, סבר: בשר ועצמות בהדי בשר ועצמות</w:t>
      </w:r>
      <w:r>
        <w:rPr>
          <w:rStyle w:val="a7"/>
          <w:rFonts w:cs="Arial"/>
          <w:rtl/>
        </w:rPr>
        <w:footnoteReference w:id="1856"/>
      </w:r>
      <w:r w:rsidRPr="008D328B">
        <w:rPr>
          <w:rFonts w:cs="Arial"/>
          <w:rtl/>
        </w:rPr>
        <w:t xml:space="preserve"> משערינן, והוה ליה בששים, מאן דאמר במאה</w:t>
      </w:r>
      <w:r>
        <w:rPr>
          <w:rStyle w:val="a7"/>
          <w:rFonts w:cs="Arial"/>
          <w:rtl/>
        </w:rPr>
        <w:footnoteReference w:id="1857"/>
      </w:r>
      <w:r w:rsidRPr="008D328B">
        <w:rPr>
          <w:rFonts w:cs="Arial"/>
          <w:rtl/>
        </w:rPr>
        <w:t xml:space="preserve">, סבר: בשר בהדי בשר משערינן, והוה ליה במאה. </w:t>
      </w:r>
    </w:p>
    <w:p w14:paraId="533AC5D1" w14:textId="77777777" w:rsidR="002C39F4" w:rsidRDefault="002C39F4" w:rsidP="002C39F4">
      <w:pPr>
        <w:rPr>
          <w:rFonts w:cs="Arial"/>
          <w:rtl/>
        </w:rPr>
      </w:pPr>
      <w:r>
        <w:rPr>
          <w:rFonts w:cs="Arial" w:hint="cs"/>
          <w:b/>
          <w:bCs/>
          <w:rtl/>
        </w:rPr>
        <w:t xml:space="preserve">ירושלמי </w:t>
      </w:r>
      <w:r>
        <w:rPr>
          <w:rFonts w:cs="Arial" w:hint="cs"/>
          <w:b/>
          <w:bCs/>
          <w:sz w:val="16"/>
          <w:szCs w:val="16"/>
          <w:rtl/>
        </w:rPr>
        <w:t>(וילנא)</w:t>
      </w:r>
      <w:r>
        <w:rPr>
          <w:rFonts w:cs="Arial" w:hint="cs"/>
          <w:b/>
          <w:bCs/>
          <w:rtl/>
        </w:rPr>
        <w:t xml:space="preserve"> ערלה פ"א ה"ג: </w:t>
      </w:r>
      <w:r w:rsidRPr="00862AC6">
        <w:rPr>
          <w:rFonts w:cs="Arial"/>
          <w:rtl/>
        </w:rPr>
        <w:t>מאן דאמר נותני טעמים אחד מששים את עושה את הזרוע אחד מששים באיל</w:t>
      </w:r>
      <w:r>
        <w:rPr>
          <w:rFonts w:cs="Arial" w:hint="cs"/>
          <w:rtl/>
        </w:rPr>
        <w:t>,</w:t>
      </w:r>
      <w:r w:rsidRPr="00862AC6">
        <w:rPr>
          <w:rFonts w:cs="Arial"/>
          <w:rtl/>
        </w:rPr>
        <w:t xml:space="preserve"> ומאן דאמר אחד ממאה את עושה את הזרוע אחד ממאה באיל. מאן דאמר אחד ממאה את מוציא העצמות מהזרוע</w:t>
      </w:r>
      <w:r>
        <w:rPr>
          <w:rFonts w:cs="Arial" w:hint="cs"/>
          <w:rtl/>
        </w:rPr>
        <w:t>,</w:t>
      </w:r>
      <w:r w:rsidRPr="00862AC6">
        <w:rPr>
          <w:rFonts w:cs="Arial"/>
          <w:rtl/>
        </w:rPr>
        <w:t xml:space="preserve"> ומ"ד אחד מששים אין את מוציא את העצמות מן הזרוע. וכשם שאת מוציא את העצמות מן הזרוע כך הוציאם מן האיל. לית יכיל</w:t>
      </w:r>
      <w:r>
        <w:rPr>
          <w:rFonts w:cs="Arial" w:hint="cs"/>
          <w:rtl/>
        </w:rPr>
        <w:t>,</w:t>
      </w:r>
      <w:r w:rsidRPr="00862AC6">
        <w:rPr>
          <w:rFonts w:cs="Arial"/>
          <w:rtl/>
        </w:rPr>
        <w:t xml:space="preserve"> דתני</w:t>
      </w:r>
      <w:r>
        <w:rPr>
          <w:rFonts w:cs="Arial" w:hint="cs"/>
          <w:rtl/>
        </w:rPr>
        <w:t>:</w:t>
      </w:r>
      <w:r w:rsidRPr="00862AC6">
        <w:rPr>
          <w:rFonts w:cs="Arial"/>
          <w:rtl/>
        </w:rPr>
        <w:t xml:space="preserve"> אין טינופת של תרומה מצטרפת עם התרומה לאסור את החולין</w:t>
      </w:r>
      <w:r>
        <w:rPr>
          <w:rFonts w:cs="Arial" w:hint="cs"/>
          <w:rtl/>
        </w:rPr>
        <w:t>,</w:t>
      </w:r>
      <w:r w:rsidRPr="00862AC6">
        <w:rPr>
          <w:rFonts w:cs="Arial"/>
          <w:rtl/>
        </w:rPr>
        <w:t xml:space="preserve"> אבל טינופת של חולין מצטרפת עם החולין להעלות את התרומה. רב ביבי בעי</w:t>
      </w:r>
      <w:r>
        <w:rPr>
          <w:rFonts w:cs="Arial" w:hint="cs"/>
          <w:rtl/>
        </w:rPr>
        <w:t>,</w:t>
      </w:r>
      <w:r w:rsidRPr="00862AC6">
        <w:rPr>
          <w:rFonts w:cs="Arial"/>
          <w:rtl/>
        </w:rPr>
        <w:t xml:space="preserve"> טינופת של תרומה מהו שתצטרף עם החולין להעלות את התרומה</w:t>
      </w:r>
      <w:r>
        <w:rPr>
          <w:rFonts w:cs="Arial" w:hint="cs"/>
          <w:rtl/>
        </w:rPr>
        <w:t>?</w:t>
      </w:r>
      <w:r w:rsidRPr="00862AC6">
        <w:rPr>
          <w:rFonts w:cs="Arial"/>
          <w:rtl/>
        </w:rPr>
        <w:t xml:space="preserve"> מן מה דאמר רב חונא קליפי איסור מצטרפת להיתר</w:t>
      </w:r>
      <w:r>
        <w:rPr>
          <w:rFonts w:cs="Arial" w:hint="cs"/>
          <w:rtl/>
        </w:rPr>
        <w:t>,</w:t>
      </w:r>
      <w:r w:rsidRPr="00862AC6">
        <w:rPr>
          <w:rFonts w:cs="Arial"/>
          <w:rtl/>
        </w:rPr>
        <w:t xml:space="preserve"> הדא אמרה טינופת של תרומה מצטרפת עם החולין להעלות את התרומה.</w:t>
      </w:r>
    </w:p>
    <w:p w14:paraId="10C3B919" w14:textId="77777777" w:rsidR="002C39F4" w:rsidRDefault="002C39F4" w:rsidP="002C39F4">
      <w:pPr>
        <w:rPr>
          <w:rFonts w:cs="Arial"/>
          <w:rtl/>
        </w:rPr>
      </w:pPr>
      <w:r w:rsidRPr="00862AC6">
        <w:rPr>
          <w:rFonts w:cs="Arial"/>
          <w:u w:val="single"/>
          <w:rtl/>
        </w:rPr>
        <w:t>חתיכת נבילה שנפל</w:t>
      </w:r>
      <w:r w:rsidRPr="00862AC6">
        <w:rPr>
          <w:rFonts w:cs="Arial" w:hint="cs"/>
          <w:u w:val="single"/>
          <w:rtl/>
        </w:rPr>
        <w:t>ה</w:t>
      </w:r>
      <w:r w:rsidRPr="00862AC6">
        <w:rPr>
          <w:rFonts w:cs="Arial"/>
          <w:u w:val="single"/>
          <w:rtl/>
        </w:rPr>
        <w:t xml:space="preserve"> לקדירה של היתר</w:t>
      </w:r>
      <w:r>
        <w:rPr>
          <w:rFonts w:cs="Arial" w:hint="cs"/>
          <w:u w:val="single"/>
          <w:rtl/>
        </w:rPr>
        <w:t xml:space="preserve"> </w:t>
      </w:r>
      <w:r w:rsidRPr="00862AC6">
        <w:rPr>
          <w:rFonts w:cs="Arial" w:hint="cs"/>
          <w:u w:val="single"/>
          <w:rtl/>
        </w:rPr>
        <w:t xml:space="preserve">- האם </w:t>
      </w:r>
      <w:r>
        <w:rPr>
          <w:rFonts w:cs="Arial" w:hint="cs"/>
          <w:u w:val="single"/>
          <w:rtl/>
        </w:rPr>
        <w:t>ה</w:t>
      </w:r>
      <w:r w:rsidRPr="00862AC6">
        <w:rPr>
          <w:rFonts w:cs="Arial" w:hint="cs"/>
          <w:u w:val="single"/>
          <w:rtl/>
        </w:rPr>
        <w:t xml:space="preserve">עצמות </w:t>
      </w:r>
      <w:r>
        <w:rPr>
          <w:rFonts w:cs="Arial" w:hint="cs"/>
          <w:u w:val="single"/>
          <w:rtl/>
        </w:rPr>
        <w:t xml:space="preserve">שבחתיכה </w:t>
      </w:r>
      <w:r w:rsidRPr="00862AC6">
        <w:rPr>
          <w:rFonts w:cs="Arial" w:hint="cs"/>
          <w:u w:val="single"/>
          <w:rtl/>
        </w:rPr>
        <w:t xml:space="preserve">מצטרפות </w:t>
      </w:r>
      <w:r>
        <w:rPr>
          <w:rFonts w:cs="Arial" w:hint="cs"/>
          <w:u w:val="single"/>
          <w:rtl/>
        </w:rPr>
        <w:t>לאיסור או להיתר</w:t>
      </w:r>
      <w:r w:rsidRPr="00862AC6">
        <w:rPr>
          <w:rFonts w:cs="Arial" w:hint="cs"/>
          <w:u w:val="single"/>
          <w:rtl/>
        </w:rPr>
        <w:t>:</w:t>
      </w:r>
      <w:r w:rsidRPr="008D328B">
        <w:rPr>
          <w:rFonts w:cs="Arial"/>
          <w:rtl/>
        </w:rPr>
        <w:t xml:space="preserve"> </w:t>
      </w:r>
    </w:p>
    <w:p w14:paraId="3FA0A336" w14:textId="77777777" w:rsidR="002C39F4" w:rsidRPr="00862AC6" w:rsidRDefault="002C39F4" w:rsidP="0032102C">
      <w:pPr>
        <w:pStyle w:val="a8"/>
        <w:numPr>
          <w:ilvl w:val="0"/>
          <w:numId w:val="186"/>
        </w:numPr>
        <w:rPr>
          <w:rFonts w:cs="Arial"/>
          <w:rtl/>
        </w:rPr>
      </w:pPr>
      <w:r w:rsidRPr="00862AC6">
        <w:rPr>
          <w:rFonts w:cs="Arial"/>
          <w:rtl/>
        </w:rPr>
        <w:t>י"א</w:t>
      </w:r>
      <w:r>
        <w:rPr>
          <w:rFonts w:cs="Arial" w:hint="cs"/>
          <w:sz w:val="16"/>
          <w:szCs w:val="16"/>
          <w:rtl/>
        </w:rPr>
        <w:t xml:space="preserve"> (הביאם הטור)</w:t>
      </w:r>
      <w:r>
        <w:rPr>
          <w:rFonts w:cs="Arial" w:hint="cs"/>
          <w:rtl/>
        </w:rPr>
        <w:t xml:space="preserve"> ואו"ה</w:t>
      </w:r>
      <w:r>
        <w:rPr>
          <w:rStyle w:val="a7"/>
          <w:rFonts w:cs="Arial"/>
          <w:rtl/>
        </w:rPr>
        <w:footnoteReference w:id="1858"/>
      </w:r>
      <w:r>
        <w:rPr>
          <w:rFonts w:cs="Arial" w:hint="cs"/>
          <w:rtl/>
        </w:rPr>
        <w:t xml:space="preserve"> </w:t>
      </w:r>
      <w:r w:rsidRPr="00D70881">
        <w:rPr>
          <w:rFonts w:cs="Arial"/>
          <w:sz w:val="16"/>
          <w:szCs w:val="16"/>
          <w:rtl/>
        </w:rPr>
        <w:t>(</w:t>
      </w:r>
      <w:r w:rsidRPr="00D70881">
        <w:rPr>
          <w:rFonts w:cs="Arial" w:hint="cs"/>
          <w:sz w:val="16"/>
          <w:szCs w:val="16"/>
          <w:rtl/>
        </w:rPr>
        <w:t>כלל לז דין ה אות יג</w:t>
      </w:r>
      <w:r>
        <w:rPr>
          <w:rFonts w:cs="Arial" w:hint="cs"/>
          <w:sz w:val="16"/>
          <w:szCs w:val="16"/>
          <w:rtl/>
        </w:rPr>
        <w:t>)</w:t>
      </w:r>
      <w:r>
        <w:rPr>
          <w:rFonts w:cs="Arial" w:hint="cs"/>
          <w:rtl/>
        </w:rPr>
        <w:t xml:space="preserve">- </w:t>
      </w:r>
      <w:r w:rsidRPr="00862AC6">
        <w:rPr>
          <w:rFonts w:cs="Arial"/>
          <w:rtl/>
        </w:rPr>
        <w:t>עצמות האיסור מצטרפין עם בשר האיסור להצריך ס' כנגדו ועצמות ההיתר מצטרפין עם בשר ההיתר ג"כ לבטל האיסור</w:t>
      </w:r>
      <w:r>
        <w:rPr>
          <w:rStyle w:val="a7"/>
          <w:rFonts w:cs="Arial"/>
          <w:rtl/>
        </w:rPr>
        <w:footnoteReference w:id="1859"/>
      </w:r>
      <w:r w:rsidRPr="00862AC6">
        <w:rPr>
          <w:rFonts w:cs="Arial" w:hint="cs"/>
          <w:rtl/>
        </w:rPr>
        <w:t>.</w:t>
      </w:r>
      <w:r>
        <w:rPr>
          <w:rFonts w:cs="Arial" w:hint="cs"/>
          <w:rtl/>
        </w:rPr>
        <w:t xml:space="preserve"> </w:t>
      </w:r>
    </w:p>
    <w:p w14:paraId="10A23220" w14:textId="77777777" w:rsidR="002C39F4" w:rsidRDefault="002C39F4" w:rsidP="0032102C">
      <w:pPr>
        <w:pStyle w:val="a8"/>
        <w:numPr>
          <w:ilvl w:val="0"/>
          <w:numId w:val="186"/>
        </w:numPr>
        <w:rPr>
          <w:rFonts w:cs="Arial"/>
        </w:rPr>
      </w:pPr>
      <w:r w:rsidRPr="00862AC6">
        <w:rPr>
          <w:rFonts w:cs="Arial"/>
          <w:rtl/>
        </w:rPr>
        <w:t>ר</w:t>
      </w:r>
      <w:r>
        <w:rPr>
          <w:rFonts w:cs="Arial" w:hint="cs"/>
          <w:rtl/>
        </w:rPr>
        <w:t xml:space="preserve">"ש </w:t>
      </w:r>
      <w:r w:rsidRPr="00756349">
        <w:rPr>
          <w:rFonts w:cs="Arial" w:hint="cs"/>
          <w:sz w:val="16"/>
          <w:szCs w:val="16"/>
          <w:rtl/>
        </w:rPr>
        <w:t>(</w:t>
      </w:r>
      <w:r w:rsidRPr="00756349">
        <w:rPr>
          <w:rFonts w:cs="Arial"/>
          <w:sz w:val="16"/>
          <w:szCs w:val="16"/>
          <w:rtl/>
        </w:rPr>
        <w:t xml:space="preserve">מסכת תרומות </w:t>
      </w:r>
      <w:r w:rsidRPr="00756349">
        <w:rPr>
          <w:rFonts w:cs="Arial" w:hint="cs"/>
          <w:sz w:val="16"/>
          <w:szCs w:val="16"/>
          <w:rtl/>
        </w:rPr>
        <w:t xml:space="preserve">פ"ה </w:t>
      </w:r>
      <w:r w:rsidRPr="00756349">
        <w:rPr>
          <w:rFonts w:cs="Arial"/>
          <w:sz w:val="16"/>
          <w:szCs w:val="16"/>
          <w:rtl/>
        </w:rPr>
        <w:t>מ"ט</w:t>
      </w:r>
      <w:r>
        <w:rPr>
          <w:rFonts w:cs="Arial" w:hint="cs"/>
          <w:sz w:val="16"/>
          <w:szCs w:val="16"/>
          <w:rtl/>
        </w:rPr>
        <w:t>)</w:t>
      </w:r>
      <w:r>
        <w:rPr>
          <w:rFonts w:cs="Arial" w:hint="cs"/>
          <w:rtl/>
        </w:rPr>
        <w:t xml:space="preserve"> </w:t>
      </w:r>
      <w:r w:rsidRPr="00630DD3">
        <w:rPr>
          <w:rFonts w:cs="Arial"/>
          <w:rtl/>
        </w:rPr>
        <w:t xml:space="preserve">רשב"א </w:t>
      </w:r>
      <w:r w:rsidRPr="00756349">
        <w:rPr>
          <w:rFonts w:cs="Arial" w:hint="cs"/>
          <w:sz w:val="16"/>
          <w:szCs w:val="16"/>
          <w:rtl/>
        </w:rPr>
        <w:t xml:space="preserve">(תוה"א </w:t>
      </w:r>
      <w:r w:rsidRPr="00756349">
        <w:rPr>
          <w:rFonts w:cs="Arial"/>
          <w:sz w:val="16"/>
          <w:szCs w:val="16"/>
          <w:rtl/>
        </w:rPr>
        <w:t>ב"ד ש"א ו.)</w:t>
      </w:r>
      <w:r w:rsidRPr="00756349">
        <w:rPr>
          <w:rFonts w:cs="Arial" w:hint="cs"/>
          <w:sz w:val="16"/>
          <w:szCs w:val="16"/>
          <w:rtl/>
        </w:rPr>
        <w:t xml:space="preserve"> </w:t>
      </w:r>
      <w:r w:rsidRPr="00862AC6">
        <w:rPr>
          <w:rFonts w:cs="Arial" w:hint="cs"/>
          <w:rtl/>
        </w:rPr>
        <w:t>רא"ש</w:t>
      </w:r>
      <w:r>
        <w:rPr>
          <w:rFonts w:cs="Arial" w:hint="cs"/>
          <w:rtl/>
        </w:rPr>
        <w:t xml:space="preserve"> </w:t>
      </w:r>
      <w:r w:rsidRPr="00756349">
        <w:rPr>
          <w:rFonts w:cs="Arial" w:hint="cs"/>
          <w:sz w:val="16"/>
          <w:szCs w:val="16"/>
          <w:rtl/>
        </w:rPr>
        <w:t>(סי' ל)</w:t>
      </w:r>
      <w:r w:rsidRPr="00862AC6">
        <w:rPr>
          <w:rFonts w:cs="Arial" w:hint="cs"/>
          <w:rtl/>
        </w:rPr>
        <w:t xml:space="preserve"> </w:t>
      </w:r>
      <w:r>
        <w:rPr>
          <w:rFonts w:cs="Arial" w:hint="cs"/>
          <w:rtl/>
        </w:rPr>
        <w:t>ו</w:t>
      </w:r>
      <w:r w:rsidRPr="00D3771B">
        <w:rPr>
          <w:rFonts w:cs="Arial"/>
          <w:rtl/>
        </w:rPr>
        <w:t xml:space="preserve">מהרא"י </w:t>
      </w:r>
      <w:r w:rsidRPr="00D3771B">
        <w:rPr>
          <w:rFonts w:cs="Arial"/>
          <w:sz w:val="16"/>
          <w:szCs w:val="16"/>
          <w:rtl/>
        </w:rPr>
        <w:t>(</w:t>
      </w:r>
      <w:r w:rsidRPr="00D3771B">
        <w:rPr>
          <w:rFonts w:cs="Arial" w:hint="cs"/>
          <w:sz w:val="16"/>
          <w:szCs w:val="16"/>
          <w:rtl/>
        </w:rPr>
        <w:t xml:space="preserve">בהגשע"ד </w:t>
      </w:r>
      <w:r w:rsidRPr="00D3771B">
        <w:rPr>
          <w:rFonts w:cs="Arial"/>
          <w:sz w:val="16"/>
          <w:szCs w:val="16"/>
          <w:rtl/>
        </w:rPr>
        <w:t>סי' נה אות ו)</w:t>
      </w:r>
      <w:r>
        <w:rPr>
          <w:rFonts w:cs="Arial" w:hint="cs"/>
          <w:rtl/>
        </w:rPr>
        <w:t>-</w:t>
      </w:r>
      <w:r w:rsidRPr="00D3771B">
        <w:rPr>
          <w:rFonts w:cs="Arial"/>
          <w:rtl/>
        </w:rPr>
        <w:t xml:space="preserve"> </w:t>
      </w:r>
      <w:r w:rsidRPr="00862AC6">
        <w:rPr>
          <w:rFonts w:cs="Arial"/>
          <w:rtl/>
        </w:rPr>
        <w:t>אפילו עצמות האיסור מצטרפין עם ההיתר לבטל האיסור</w:t>
      </w:r>
      <w:r>
        <w:rPr>
          <w:rFonts w:cs="Arial" w:hint="cs"/>
          <w:sz w:val="16"/>
          <w:szCs w:val="16"/>
          <w:rtl/>
        </w:rPr>
        <w:t xml:space="preserve"> (ר"ש)</w:t>
      </w:r>
      <w:r>
        <w:rPr>
          <w:rStyle w:val="a7"/>
          <w:rFonts w:cs="Arial"/>
          <w:rtl/>
        </w:rPr>
        <w:footnoteReference w:id="1860"/>
      </w:r>
      <w:r>
        <w:rPr>
          <w:rFonts w:cs="Arial" w:hint="cs"/>
          <w:rtl/>
        </w:rPr>
        <w:t>,</w:t>
      </w:r>
      <w:r w:rsidRPr="00756349">
        <w:rPr>
          <w:rFonts w:cs="Arial"/>
          <w:rtl/>
        </w:rPr>
        <w:t xml:space="preserve"> </w:t>
      </w:r>
      <w:r w:rsidRPr="00630DD3">
        <w:rPr>
          <w:rFonts w:cs="Arial"/>
          <w:rtl/>
        </w:rPr>
        <w:t>ואצ"ל שעצמות ההיתר מצטרפים עם ההיתר</w:t>
      </w:r>
      <w:r>
        <w:rPr>
          <w:rFonts w:cs="Arial" w:hint="cs"/>
          <w:rtl/>
        </w:rPr>
        <w:t>,</w:t>
      </w:r>
      <w:r w:rsidRPr="00630DD3">
        <w:rPr>
          <w:rFonts w:cs="Arial"/>
          <w:rtl/>
        </w:rPr>
        <w:t xml:space="preserve"> ומ"מ עצמות שיש בהם מוח המוח שבעצמות של איסור אוסר ומצטרף עם האיסור</w:t>
      </w:r>
      <w:r>
        <w:rPr>
          <w:rFonts w:cs="Arial" w:hint="cs"/>
          <w:sz w:val="16"/>
          <w:szCs w:val="16"/>
          <w:rtl/>
        </w:rPr>
        <w:t xml:space="preserve"> (רשב"א)</w:t>
      </w:r>
      <w:r>
        <w:rPr>
          <w:rFonts w:cs="Arial" w:hint="cs"/>
          <w:rtl/>
        </w:rPr>
        <w:t>,</w:t>
      </w:r>
      <w:r w:rsidRPr="003773FB">
        <w:rPr>
          <w:rFonts w:cs="Arial"/>
          <w:rtl/>
        </w:rPr>
        <w:t xml:space="preserve"> וגוף הקדירה אינה מצטרפת לא עם ההיתר ולא עם האיסור</w:t>
      </w:r>
      <w:r>
        <w:rPr>
          <w:rFonts w:cs="Arial" w:hint="cs"/>
          <w:rtl/>
        </w:rPr>
        <w:t>,</w:t>
      </w:r>
      <w:r w:rsidRPr="003773FB">
        <w:rPr>
          <w:rFonts w:cs="Arial"/>
          <w:rtl/>
        </w:rPr>
        <w:t xml:space="preserve"> לפיכך הבא לבטל איסור שנפל לקדירה יצטרף כל מה שבקדירה בין רוטב ובשר וקיפה ועצמות ואפילו העצמות של האיסור ואם יש בין הכל ס' מותר </w:t>
      </w:r>
      <w:r>
        <w:rPr>
          <w:rFonts w:cs="Arial" w:hint="cs"/>
          <w:sz w:val="16"/>
          <w:szCs w:val="16"/>
          <w:rtl/>
        </w:rPr>
        <w:t>(טור)</w:t>
      </w:r>
      <w:r w:rsidRPr="00862AC6">
        <w:rPr>
          <w:rFonts w:cs="Arial" w:hint="cs"/>
          <w:rtl/>
        </w:rPr>
        <w:t>.</w:t>
      </w:r>
      <w:r w:rsidRPr="00862AC6">
        <w:rPr>
          <w:rFonts w:cs="Arial"/>
          <w:rtl/>
        </w:rPr>
        <w:t xml:space="preserve"> </w:t>
      </w:r>
      <w:r w:rsidRPr="004F1A33">
        <w:rPr>
          <w:rFonts w:cs="Arial" w:hint="cs"/>
          <w:color w:val="E36C0A" w:themeColor="accent6" w:themeShade="BF"/>
          <w:rtl/>
        </w:rPr>
        <w:t>(וכ"פ בשו"ע)</w:t>
      </w:r>
    </w:p>
    <w:p w14:paraId="3969B17E" w14:textId="77777777" w:rsidR="002C39F4" w:rsidRDefault="002C39F4" w:rsidP="0032102C">
      <w:pPr>
        <w:pStyle w:val="a8"/>
        <w:numPr>
          <w:ilvl w:val="0"/>
          <w:numId w:val="186"/>
        </w:numPr>
        <w:rPr>
          <w:rFonts w:cs="Arial"/>
        </w:rPr>
      </w:pPr>
      <w:r w:rsidRPr="00725CC8">
        <w:rPr>
          <w:rFonts w:cs="Arial"/>
          <w:rtl/>
        </w:rPr>
        <w:t xml:space="preserve">רא"ה </w:t>
      </w:r>
      <w:r w:rsidRPr="00725CC8">
        <w:rPr>
          <w:rFonts w:cs="Arial" w:hint="cs"/>
          <w:sz w:val="16"/>
          <w:szCs w:val="16"/>
          <w:rtl/>
        </w:rPr>
        <w:t>(</w:t>
      </w:r>
      <w:r w:rsidRPr="00725CC8">
        <w:rPr>
          <w:rFonts w:cs="Arial"/>
          <w:sz w:val="16"/>
          <w:szCs w:val="16"/>
          <w:rtl/>
        </w:rPr>
        <w:t>ב</w:t>
      </w:r>
      <w:r w:rsidRPr="00725CC8">
        <w:rPr>
          <w:rFonts w:cs="Arial" w:hint="cs"/>
          <w:sz w:val="16"/>
          <w:szCs w:val="16"/>
          <w:rtl/>
        </w:rPr>
        <w:t>ד</w:t>
      </w:r>
      <w:r w:rsidRPr="00725CC8">
        <w:rPr>
          <w:rFonts w:cs="Arial"/>
          <w:sz w:val="16"/>
          <w:szCs w:val="16"/>
          <w:rtl/>
        </w:rPr>
        <w:t>ה</w:t>
      </w:r>
      <w:r w:rsidRPr="00725CC8">
        <w:rPr>
          <w:rFonts w:cs="Arial" w:hint="cs"/>
          <w:sz w:val="16"/>
          <w:szCs w:val="16"/>
          <w:rtl/>
        </w:rPr>
        <w:t>"ב</w:t>
      </w:r>
      <w:r w:rsidRPr="00725CC8">
        <w:rPr>
          <w:rFonts w:cs="Arial"/>
          <w:sz w:val="16"/>
          <w:szCs w:val="16"/>
          <w:rtl/>
        </w:rPr>
        <w:t xml:space="preserve"> </w:t>
      </w:r>
      <w:r w:rsidRPr="00725CC8">
        <w:rPr>
          <w:rFonts w:cs="Arial" w:hint="cs"/>
          <w:sz w:val="16"/>
          <w:szCs w:val="16"/>
          <w:rtl/>
        </w:rPr>
        <w:t>ב"ד ש"א ו.)</w:t>
      </w:r>
      <w:r w:rsidRPr="00725CC8">
        <w:rPr>
          <w:rFonts w:cs="Arial"/>
          <w:sz w:val="16"/>
          <w:szCs w:val="16"/>
          <w:rtl/>
        </w:rPr>
        <w:t xml:space="preserve"> </w:t>
      </w:r>
      <w:r w:rsidRPr="00725CC8">
        <w:rPr>
          <w:rFonts w:cs="Arial"/>
          <w:rtl/>
        </w:rPr>
        <w:t>ור"ן</w:t>
      </w:r>
      <w:r>
        <w:rPr>
          <w:rFonts w:cs="Arial" w:hint="cs"/>
          <w:rtl/>
        </w:rPr>
        <w:t xml:space="preserve"> </w:t>
      </w:r>
      <w:r w:rsidRPr="00725CC8">
        <w:rPr>
          <w:rFonts w:cs="Arial" w:hint="cs"/>
          <w:sz w:val="16"/>
          <w:szCs w:val="16"/>
          <w:rtl/>
        </w:rPr>
        <w:t>(לה.)</w:t>
      </w:r>
      <w:r>
        <w:rPr>
          <w:rFonts w:cs="Arial" w:hint="cs"/>
          <w:rtl/>
        </w:rPr>
        <w:t xml:space="preserve">- </w:t>
      </w:r>
      <w:r w:rsidRPr="00725CC8">
        <w:rPr>
          <w:rFonts w:cs="Arial"/>
          <w:rtl/>
        </w:rPr>
        <w:t>העצמות הרכות מצטרפים לאיסור מפני מוח שבהן ומחמת רכותן שיצא לחות אבל עצמות יבשים או קליפות של ביצים וכה"ג אף אותן של איסור מצטרפין לבטל האיסור</w:t>
      </w:r>
      <w:r>
        <w:rPr>
          <w:rFonts w:cs="Arial" w:hint="cs"/>
          <w:rtl/>
        </w:rPr>
        <w:t>. (וכ"פ ב</w:t>
      </w:r>
      <w:r w:rsidRPr="00725CC8">
        <w:rPr>
          <w:rFonts w:cs="Arial"/>
          <w:rtl/>
        </w:rPr>
        <w:t>"ח</w:t>
      </w:r>
      <w:r>
        <w:rPr>
          <w:rFonts w:cs="Arial" w:hint="cs"/>
          <w:rtl/>
        </w:rPr>
        <w:t xml:space="preserve"> וש"ך) </w:t>
      </w:r>
    </w:p>
    <w:p w14:paraId="26CB0DA2" w14:textId="77777777" w:rsidR="002C39F4" w:rsidRPr="00756349" w:rsidRDefault="002C39F4" w:rsidP="002C39F4">
      <w:pPr>
        <w:rPr>
          <w:rFonts w:cs="Arial"/>
          <w:sz w:val="16"/>
          <w:szCs w:val="16"/>
        </w:rPr>
      </w:pPr>
      <w:r w:rsidRPr="00756349">
        <w:rPr>
          <w:rFonts w:cs="Arial"/>
          <w:u w:val="single"/>
          <w:rtl/>
        </w:rPr>
        <w:t xml:space="preserve">עצמות </w:t>
      </w:r>
      <w:r>
        <w:rPr>
          <w:rFonts w:cs="Arial" w:hint="cs"/>
          <w:u w:val="single"/>
          <w:rtl/>
        </w:rPr>
        <w:t>ה</w:t>
      </w:r>
      <w:r w:rsidRPr="00756349">
        <w:rPr>
          <w:rFonts w:cs="Arial"/>
          <w:u w:val="single"/>
          <w:rtl/>
        </w:rPr>
        <w:t xml:space="preserve">היתר מצטרפין </w:t>
      </w:r>
      <w:r w:rsidRPr="00756349">
        <w:rPr>
          <w:rFonts w:cs="Arial" w:hint="cs"/>
          <w:b/>
          <w:bCs/>
          <w:u w:val="single"/>
          <w:rtl/>
        </w:rPr>
        <w:t>להיתר</w:t>
      </w:r>
      <w:r w:rsidRPr="00756349">
        <w:rPr>
          <w:rFonts w:cs="Arial" w:hint="cs"/>
          <w:u w:val="single"/>
          <w:rtl/>
        </w:rPr>
        <w:t xml:space="preserve"> </w:t>
      </w:r>
      <w:r w:rsidRPr="00756349">
        <w:rPr>
          <w:rFonts w:cs="Arial"/>
          <w:u w:val="single"/>
          <w:rtl/>
        </w:rPr>
        <w:t xml:space="preserve">דוקא </w:t>
      </w:r>
      <w:r w:rsidRPr="00756349">
        <w:rPr>
          <w:rFonts w:cs="Arial" w:hint="cs"/>
          <w:u w:val="single"/>
          <w:rtl/>
        </w:rPr>
        <w:t>ב</w:t>
      </w:r>
      <w:r w:rsidRPr="00756349">
        <w:rPr>
          <w:rFonts w:cs="Arial"/>
          <w:u w:val="single"/>
          <w:rtl/>
        </w:rPr>
        <w:t>מין במינו</w:t>
      </w:r>
      <w:r w:rsidRPr="00756349">
        <w:rPr>
          <w:rFonts w:cs="Arial" w:hint="cs"/>
          <w:u w:val="single"/>
          <w:rtl/>
        </w:rPr>
        <w:t xml:space="preserve"> או גם </w:t>
      </w:r>
      <w:r>
        <w:rPr>
          <w:rFonts w:cs="Arial" w:hint="cs"/>
          <w:u w:val="single"/>
          <w:rtl/>
        </w:rPr>
        <w:t xml:space="preserve">במין </w:t>
      </w:r>
      <w:r w:rsidRPr="00756349">
        <w:rPr>
          <w:rFonts w:cs="Arial" w:hint="cs"/>
          <w:u w:val="single"/>
          <w:rtl/>
        </w:rPr>
        <w:t>בשאינו מינו:</w:t>
      </w:r>
      <w:r>
        <w:rPr>
          <w:rFonts w:cs="Arial" w:hint="cs"/>
          <w:sz w:val="16"/>
          <w:szCs w:val="16"/>
          <w:rtl/>
        </w:rPr>
        <w:t xml:space="preserve">  (בדה"ב)</w:t>
      </w:r>
    </w:p>
    <w:p w14:paraId="56D6D80B" w14:textId="77777777" w:rsidR="002C39F4" w:rsidRPr="00756349" w:rsidRDefault="002C39F4" w:rsidP="0032102C">
      <w:pPr>
        <w:pStyle w:val="a8"/>
        <w:numPr>
          <w:ilvl w:val="0"/>
          <w:numId w:val="186"/>
        </w:numPr>
        <w:rPr>
          <w:rFonts w:cs="Arial"/>
          <w:rtl/>
        </w:rPr>
      </w:pPr>
      <w:r>
        <w:rPr>
          <w:rFonts w:cs="Arial" w:hint="cs"/>
          <w:rtl/>
        </w:rPr>
        <w:t>רי"ו</w:t>
      </w:r>
      <w:r w:rsidRPr="00756349">
        <w:rPr>
          <w:rFonts w:cs="Arial"/>
          <w:rtl/>
        </w:rPr>
        <w:t xml:space="preserve"> </w:t>
      </w:r>
      <w:r w:rsidRPr="00756349">
        <w:rPr>
          <w:rFonts w:cs="Arial"/>
          <w:sz w:val="16"/>
          <w:szCs w:val="16"/>
          <w:rtl/>
        </w:rPr>
        <w:t xml:space="preserve">(נט"ו אות כט קלח:) </w:t>
      </w:r>
      <w:r w:rsidRPr="00756349">
        <w:rPr>
          <w:rFonts w:cs="Arial"/>
          <w:rtl/>
        </w:rPr>
        <w:t>בשם ה"ר אברהם בן אסמעל</w:t>
      </w:r>
      <w:r>
        <w:rPr>
          <w:rFonts w:cs="Arial" w:hint="cs"/>
          <w:rtl/>
        </w:rPr>
        <w:t>-</w:t>
      </w:r>
      <w:r w:rsidRPr="00756349">
        <w:rPr>
          <w:rFonts w:cs="Arial"/>
          <w:rtl/>
        </w:rPr>
        <w:t xml:space="preserve"> מסתברא דכי אמרין שעצמות ההיתר מצטרפין דוקא מין במינו דמן התורה בטל ברוב או מין בשאינו מינו ובדקנוהו ואינו נותן טעם בו אבל מין בשאינו מינו דאיסורא וליכא קפילא אפילו עצמות ההיתר אינן מעלין דהא יהיב טעמא</w:t>
      </w:r>
      <w:r>
        <w:rPr>
          <w:rStyle w:val="a7"/>
          <w:rFonts w:cs="Arial"/>
          <w:rtl/>
        </w:rPr>
        <w:footnoteReference w:id="1861"/>
      </w:r>
      <w:r>
        <w:rPr>
          <w:rFonts w:cs="Arial" w:hint="cs"/>
          <w:rtl/>
        </w:rPr>
        <w:t>.</w:t>
      </w:r>
    </w:p>
    <w:p w14:paraId="0B2AEFD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93F0C41" w14:textId="77777777" w:rsidR="002C39F4" w:rsidRDefault="002C39F4" w:rsidP="002C39F4">
      <w:pPr>
        <w:rPr>
          <w:rFonts w:asciiTheme="minorBidi" w:hAnsiTheme="minorBidi"/>
          <w:rtl/>
        </w:rPr>
      </w:pPr>
      <w:r w:rsidRPr="003024E5">
        <w:rPr>
          <w:rFonts w:asciiTheme="minorBidi" w:hAnsiTheme="minorBidi"/>
          <w:rtl/>
        </w:rPr>
        <w:t>חתיכת נבלה שיש בה בשר ועצמות שנפלה לקדירת היתר, עצמות האיסור מצטרפים עם ההיתר לבטל האיסור</w:t>
      </w:r>
      <w:r>
        <w:rPr>
          <w:rStyle w:val="a7"/>
          <w:rFonts w:asciiTheme="minorBidi" w:hAnsiTheme="minorBidi"/>
          <w:rtl/>
        </w:rPr>
        <w:footnoteReference w:id="1862"/>
      </w:r>
      <w:r w:rsidRPr="003024E5">
        <w:rPr>
          <w:rFonts w:asciiTheme="minorBidi" w:hAnsiTheme="minorBidi"/>
          <w:rtl/>
        </w:rPr>
        <w:t>, וא</w:t>
      </w:r>
      <w:r>
        <w:rPr>
          <w:rFonts w:asciiTheme="minorBidi" w:hAnsiTheme="minorBidi" w:hint="cs"/>
          <w:rtl/>
        </w:rPr>
        <w:t xml:space="preserve">ין </w:t>
      </w:r>
      <w:r w:rsidRPr="003024E5">
        <w:rPr>
          <w:rFonts w:asciiTheme="minorBidi" w:hAnsiTheme="minorBidi"/>
          <w:rtl/>
        </w:rPr>
        <w:t>צ</w:t>
      </w:r>
      <w:r>
        <w:rPr>
          <w:rFonts w:asciiTheme="minorBidi" w:hAnsiTheme="minorBidi" w:hint="cs"/>
          <w:rtl/>
        </w:rPr>
        <w:t xml:space="preserve">ריך </w:t>
      </w:r>
      <w:r w:rsidRPr="003024E5">
        <w:rPr>
          <w:rFonts w:asciiTheme="minorBidi" w:hAnsiTheme="minorBidi"/>
          <w:rtl/>
        </w:rPr>
        <w:t>ל</w:t>
      </w:r>
      <w:r>
        <w:rPr>
          <w:rFonts w:asciiTheme="minorBidi" w:hAnsiTheme="minorBidi" w:hint="cs"/>
          <w:rtl/>
        </w:rPr>
        <w:t>ומר</w:t>
      </w:r>
      <w:r w:rsidRPr="003024E5">
        <w:rPr>
          <w:rFonts w:asciiTheme="minorBidi" w:hAnsiTheme="minorBidi"/>
          <w:rtl/>
        </w:rPr>
        <w:t xml:space="preserve"> שעצמות ההיתר מצטרפין עם ההיתר, אבל המוח שבעצמות </w:t>
      </w:r>
      <w:r>
        <w:rPr>
          <w:rFonts w:asciiTheme="minorBidi" w:hAnsiTheme="minorBidi" w:hint="cs"/>
          <w:rtl/>
        </w:rPr>
        <w:t>ה</w:t>
      </w:r>
      <w:r w:rsidRPr="003024E5">
        <w:rPr>
          <w:rFonts w:asciiTheme="minorBidi" w:hAnsiTheme="minorBidi"/>
          <w:rtl/>
        </w:rPr>
        <w:t>איסור מצטרף עם האיסור</w:t>
      </w:r>
      <w:r>
        <w:rPr>
          <w:rFonts w:asciiTheme="minorBidi" w:hAnsiTheme="minorBidi" w:hint="cs"/>
          <w:rtl/>
        </w:rPr>
        <w:t>.</w:t>
      </w:r>
      <w:r w:rsidRPr="003024E5">
        <w:rPr>
          <w:rFonts w:asciiTheme="minorBidi" w:hAnsiTheme="minorBidi"/>
          <w:rtl/>
        </w:rPr>
        <w:t xml:space="preserve"> וגוף הקדירה</w:t>
      </w:r>
      <w:r>
        <w:rPr>
          <w:rStyle w:val="a7"/>
          <w:rFonts w:asciiTheme="minorBidi" w:hAnsiTheme="minorBidi"/>
          <w:rtl/>
        </w:rPr>
        <w:footnoteReference w:id="1863"/>
      </w:r>
      <w:r w:rsidRPr="003024E5">
        <w:rPr>
          <w:rFonts w:asciiTheme="minorBidi" w:hAnsiTheme="minorBidi"/>
          <w:rtl/>
        </w:rPr>
        <w:t xml:space="preserve"> אינה מצטרפת לא עם האיסור ולא עם ההיתר. </w:t>
      </w:r>
      <w:r w:rsidRPr="00267D26">
        <w:rPr>
          <w:rFonts w:asciiTheme="minorBidi" w:hAnsiTheme="minorBidi"/>
          <w:sz w:val="18"/>
          <w:szCs w:val="18"/>
          <w:rtl/>
        </w:rPr>
        <w:t>הגה: ויש מחמירים שלא לצרף עצמות האיסור עם ההיתר לבטל</w:t>
      </w:r>
      <w:r>
        <w:rPr>
          <w:rStyle w:val="a7"/>
          <w:rFonts w:asciiTheme="minorBidi" w:hAnsiTheme="minorBidi"/>
          <w:sz w:val="18"/>
          <w:szCs w:val="18"/>
          <w:rtl/>
        </w:rPr>
        <w:footnoteReference w:id="1864"/>
      </w:r>
      <w:r w:rsidRPr="00267D26">
        <w:rPr>
          <w:rFonts w:asciiTheme="minorBidi" w:hAnsiTheme="minorBidi"/>
          <w:sz w:val="18"/>
          <w:szCs w:val="18"/>
          <w:rtl/>
        </w:rPr>
        <w:t xml:space="preserve"> (הגש</w:t>
      </w:r>
      <w:r>
        <w:rPr>
          <w:rFonts w:asciiTheme="minorBidi" w:hAnsiTheme="minorBidi" w:hint="cs"/>
          <w:sz w:val="18"/>
          <w:szCs w:val="18"/>
          <w:rtl/>
        </w:rPr>
        <w:t>ע</w:t>
      </w:r>
      <w:r w:rsidRPr="00267D26">
        <w:rPr>
          <w:rFonts w:asciiTheme="minorBidi" w:hAnsiTheme="minorBidi"/>
          <w:sz w:val="18"/>
          <w:szCs w:val="18"/>
          <w:rtl/>
        </w:rPr>
        <w:t>"ד</w:t>
      </w:r>
      <w:r>
        <w:rPr>
          <w:rFonts w:asciiTheme="minorBidi" w:hAnsiTheme="minorBidi" w:hint="cs"/>
          <w:sz w:val="18"/>
          <w:szCs w:val="18"/>
          <w:rtl/>
        </w:rPr>
        <w:t xml:space="preserve"> ואו"ה</w:t>
      </w:r>
      <w:r w:rsidRPr="00267D26">
        <w:rPr>
          <w:rFonts w:asciiTheme="minorBidi" w:hAnsiTheme="minorBidi"/>
          <w:sz w:val="18"/>
          <w:szCs w:val="18"/>
          <w:rtl/>
        </w:rPr>
        <w:t xml:space="preserve"> בשם א</w:t>
      </w:r>
      <w:r>
        <w:rPr>
          <w:rFonts w:asciiTheme="minorBidi" w:hAnsiTheme="minorBidi" w:hint="cs"/>
          <w:sz w:val="18"/>
          <w:szCs w:val="18"/>
          <w:rtl/>
        </w:rPr>
        <w:t>ו</w:t>
      </w:r>
      <w:r w:rsidRPr="00267D26">
        <w:rPr>
          <w:rFonts w:asciiTheme="minorBidi" w:hAnsiTheme="minorBidi"/>
          <w:sz w:val="18"/>
          <w:szCs w:val="18"/>
          <w:rtl/>
        </w:rPr>
        <w:t>"ז) ובמקום הפסד יש לסמוך אמקילין ומתירין כי כן עיקר</w:t>
      </w:r>
      <w:r>
        <w:rPr>
          <w:rStyle w:val="a7"/>
          <w:rFonts w:asciiTheme="minorBidi" w:hAnsiTheme="minorBidi"/>
          <w:sz w:val="18"/>
          <w:szCs w:val="18"/>
          <w:rtl/>
        </w:rPr>
        <w:footnoteReference w:id="1865"/>
      </w:r>
      <w:r w:rsidRPr="00267D26">
        <w:rPr>
          <w:rFonts w:asciiTheme="minorBidi" w:hAnsiTheme="minorBidi"/>
          <w:sz w:val="18"/>
          <w:szCs w:val="18"/>
          <w:rtl/>
        </w:rPr>
        <w:t>.</w:t>
      </w:r>
      <w:r w:rsidRPr="003024E5">
        <w:rPr>
          <w:rFonts w:asciiTheme="minorBidi" w:hAnsiTheme="minorBidi"/>
          <w:rtl/>
        </w:rPr>
        <w:t xml:space="preserve"> </w:t>
      </w:r>
    </w:p>
    <w:p w14:paraId="52C5DF98" w14:textId="77777777" w:rsidR="002C39F4" w:rsidRPr="000B1F0F" w:rsidRDefault="002C39F4" w:rsidP="002C39F4">
      <w:pPr>
        <w:rPr>
          <w:rFonts w:asciiTheme="minorBidi" w:hAnsiTheme="minorBidi"/>
          <w:rtl/>
        </w:rPr>
      </w:pPr>
    </w:p>
    <w:p w14:paraId="0C1FBD16"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xml:space="preserve">: צירוף העצמות להיתר </w:t>
      </w:r>
      <w:r>
        <w:rPr>
          <w:rFonts w:asciiTheme="minorBidi" w:hAnsiTheme="minorBidi"/>
          <w:rtl/>
        </w:rPr>
        <w:t>–</w:t>
      </w:r>
      <w:r>
        <w:rPr>
          <w:rFonts w:asciiTheme="minorBidi" w:hAnsiTheme="minorBidi" w:hint="cs"/>
          <w:rtl/>
        </w:rPr>
        <w:t xml:space="preserve"> כשנתערבה בעודה חיה.</w:t>
      </w:r>
    </w:p>
    <w:p w14:paraId="38A5B9E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8DA9722" w14:textId="77777777" w:rsidR="002C39F4" w:rsidRPr="00862125" w:rsidRDefault="002C39F4" w:rsidP="002C39F4">
      <w:pPr>
        <w:rPr>
          <w:rFonts w:asciiTheme="minorBidi" w:hAnsiTheme="minorBidi"/>
          <w:sz w:val="16"/>
          <w:szCs w:val="16"/>
          <w:rtl/>
        </w:rPr>
      </w:pPr>
      <w:r w:rsidRPr="003024E5">
        <w:rPr>
          <w:rFonts w:asciiTheme="minorBidi" w:hAnsiTheme="minorBidi"/>
          <w:rtl/>
        </w:rPr>
        <w:t>במה דברים אמורים שעצמות האיסור מצטרפין עם ההיתר, כשנפלה חתיכת הנבלה לקדרת היתר כשהיתה חיה, אבל אם נתבשלה תחלה ואח</w:t>
      </w:r>
      <w:r>
        <w:rPr>
          <w:rFonts w:asciiTheme="minorBidi" w:hAnsiTheme="minorBidi" w:hint="cs"/>
          <w:rtl/>
        </w:rPr>
        <w:t xml:space="preserve">ר </w:t>
      </w:r>
      <w:r w:rsidRPr="003024E5">
        <w:rPr>
          <w:rFonts w:asciiTheme="minorBidi" w:hAnsiTheme="minorBidi"/>
          <w:rtl/>
        </w:rPr>
        <w:t>כ</w:t>
      </w:r>
      <w:r>
        <w:rPr>
          <w:rFonts w:asciiTheme="minorBidi" w:hAnsiTheme="minorBidi" w:hint="cs"/>
          <w:rtl/>
        </w:rPr>
        <w:t>ך</w:t>
      </w:r>
      <w:r w:rsidRPr="003024E5">
        <w:rPr>
          <w:rFonts w:asciiTheme="minorBidi" w:hAnsiTheme="minorBidi"/>
          <w:rtl/>
        </w:rPr>
        <w:t xml:space="preserve"> נפלה לקדירת היתר, עצמות שבה מצטרפים עם האיסור</w:t>
      </w:r>
      <w:r>
        <w:rPr>
          <w:rFonts w:asciiTheme="minorBidi" w:hAnsiTheme="minorBidi" w:hint="cs"/>
          <w:rtl/>
        </w:rPr>
        <w:t>,</w:t>
      </w:r>
      <w:r w:rsidRPr="003024E5">
        <w:rPr>
          <w:rFonts w:asciiTheme="minorBidi" w:hAnsiTheme="minorBidi"/>
          <w:rtl/>
        </w:rPr>
        <w:t xml:space="preserve"> לפי שבלעו מבשר הנבלה כשנתבשלה לבדה</w:t>
      </w:r>
      <w:r>
        <w:rPr>
          <w:rStyle w:val="a7"/>
          <w:rFonts w:asciiTheme="minorBidi" w:hAnsiTheme="minorBidi"/>
          <w:rtl/>
        </w:rPr>
        <w:footnoteReference w:id="1866"/>
      </w:r>
      <w:r w:rsidRPr="003024E5">
        <w:rPr>
          <w:rFonts w:asciiTheme="minorBidi" w:hAnsiTheme="minorBidi"/>
          <w:rtl/>
        </w:rPr>
        <w:t xml:space="preserve">. </w:t>
      </w:r>
      <w:r>
        <w:rPr>
          <w:rFonts w:asciiTheme="minorBidi" w:hAnsiTheme="minorBidi" w:hint="cs"/>
          <w:sz w:val="16"/>
          <w:szCs w:val="16"/>
          <w:rtl/>
        </w:rPr>
        <w:t>{ר"ש ורא"ש}</w:t>
      </w:r>
    </w:p>
    <w:p w14:paraId="04E4CB9F" w14:textId="77777777" w:rsidR="002C39F4" w:rsidRPr="003024E5" w:rsidRDefault="002C39F4" w:rsidP="002C39F4">
      <w:pPr>
        <w:rPr>
          <w:rFonts w:asciiTheme="minorBidi" w:hAnsiTheme="minorBidi"/>
          <w:rtl/>
        </w:rPr>
      </w:pPr>
    </w:p>
    <w:p w14:paraId="58644530"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xml:space="preserve">: צירוף החתיכה </w:t>
      </w:r>
      <w:r>
        <w:rPr>
          <w:rFonts w:asciiTheme="minorBidi" w:hAnsiTheme="minorBidi" w:hint="cs"/>
          <w:sz w:val="16"/>
          <w:szCs w:val="16"/>
          <w:rtl/>
        </w:rPr>
        <w:t>(שבלועה מאיסור)</w:t>
      </w:r>
      <w:r>
        <w:rPr>
          <w:rFonts w:asciiTheme="minorBidi" w:hAnsiTheme="minorBidi" w:hint="cs"/>
          <w:rtl/>
        </w:rPr>
        <w:t xml:space="preserve"> להיתר </w:t>
      </w:r>
      <w:r>
        <w:rPr>
          <w:rFonts w:asciiTheme="minorBidi" w:hAnsiTheme="minorBidi"/>
          <w:rtl/>
        </w:rPr>
        <w:t>–</w:t>
      </w:r>
      <w:r>
        <w:rPr>
          <w:rFonts w:asciiTheme="minorBidi" w:hAnsiTheme="minorBidi" w:hint="cs"/>
          <w:rtl/>
        </w:rPr>
        <w:t xml:space="preserve"> בשאר איסורים.</w:t>
      </w:r>
    </w:p>
    <w:p w14:paraId="19BF25A5" w14:textId="77777777" w:rsidR="002C39F4" w:rsidRPr="00862125" w:rsidRDefault="002C39F4" w:rsidP="002C39F4">
      <w:pPr>
        <w:rPr>
          <w:rFonts w:cs="Arial"/>
          <w:u w:val="single"/>
          <w:rtl/>
        </w:rPr>
      </w:pPr>
      <w:r w:rsidRPr="00862125">
        <w:rPr>
          <w:rFonts w:cs="Arial"/>
          <w:u w:val="single"/>
          <w:rtl/>
        </w:rPr>
        <w:t>לדידן דלא אמרינן חענ</w:t>
      </w:r>
      <w:r w:rsidRPr="00862125">
        <w:rPr>
          <w:rFonts w:cs="Arial" w:hint="cs"/>
          <w:u w:val="single"/>
          <w:rtl/>
        </w:rPr>
        <w:t>"</w:t>
      </w:r>
      <w:r w:rsidRPr="00862125">
        <w:rPr>
          <w:rFonts w:cs="Arial"/>
          <w:u w:val="single"/>
          <w:rtl/>
        </w:rPr>
        <w:t>נ אלא בבשר בחלב בלבד</w:t>
      </w:r>
      <w:r>
        <w:rPr>
          <w:rFonts w:cs="Arial" w:hint="cs"/>
          <w:u w:val="single"/>
          <w:rtl/>
        </w:rPr>
        <w:t xml:space="preserve"> </w:t>
      </w:r>
      <w:r w:rsidRPr="00862125">
        <w:rPr>
          <w:rFonts w:cs="Arial" w:hint="cs"/>
          <w:u w:val="single"/>
          <w:rtl/>
        </w:rPr>
        <w:t>-</w:t>
      </w:r>
      <w:r w:rsidRPr="00862125">
        <w:rPr>
          <w:rFonts w:cs="Arial"/>
          <w:u w:val="single"/>
          <w:rtl/>
        </w:rPr>
        <w:t xml:space="preserve"> </w:t>
      </w:r>
      <w:r w:rsidRPr="00862125">
        <w:rPr>
          <w:rFonts w:cs="Arial" w:hint="cs"/>
          <w:u w:val="single"/>
          <w:rtl/>
        </w:rPr>
        <w:t>ה</w:t>
      </w:r>
      <w:r w:rsidRPr="00862125">
        <w:rPr>
          <w:rFonts w:cs="Arial"/>
          <w:u w:val="single"/>
          <w:rtl/>
        </w:rPr>
        <w:t>אם חתיכה הבלוע</w:t>
      </w:r>
      <w:r w:rsidRPr="00862125">
        <w:rPr>
          <w:rFonts w:cs="Arial" w:hint="cs"/>
          <w:u w:val="single"/>
          <w:rtl/>
        </w:rPr>
        <w:t>ה</w:t>
      </w:r>
      <w:r w:rsidRPr="00862125">
        <w:rPr>
          <w:rFonts w:cs="Arial"/>
          <w:u w:val="single"/>
          <w:rtl/>
        </w:rPr>
        <w:t xml:space="preserve"> מאיסור</w:t>
      </w:r>
      <w:r>
        <w:rPr>
          <w:rFonts w:cs="Arial" w:hint="cs"/>
          <w:u w:val="single"/>
          <w:rtl/>
        </w:rPr>
        <w:t xml:space="preserve"> אחד</w:t>
      </w:r>
      <w:r w:rsidRPr="00862125">
        <w:rPr>
          <w:rFonts w:cs="Arial"/>
          <w:u w:val="single"/>
          <w:rtl/>
        </w:rPr>
        <w:t xml:space="preserve"> מצטרפת לבטל איסור</w:t>
      </w:r>
      <w:r>
        <w:rPr>
          <w:rFonts w:cs="Arial" w:hint="cs"/>
          <w:u w:val="single"/>
          <w:rtl/>
        </w:rPr>
        <w:t xml:space="preserve"> אחר</w:t>
      </w:r>
      <w:r w:rsidRPr="00862125">
        <w:rPr>
          <w:rFonts w:cs="Arial" w:hint="cs"/>
          <w:u w:val="single"/>
          <w:rtl/>
        </w:rPr>
        <w:t>:</w:t>
      </w:r>
    </w:p>
    <w:p w14:paraId="5513F14C" w14:textId="77777777" w:rsidR="002C39F4" w:rsidRPr="00630DD3" w:rsidRDefault="002C39F4" w:rsidP="0032102C">
      <w:pPr>
        <w:pStyle w:val="a8"/>
        <w:numPr>
          <w:ilvl w:val="0"/>
          <w:numId w:val="186"/>
        </w:numPr>
        <w:rPr>
          <w:rtl/>
        </w:rPr>
      </w:pPr>
      <w:r w:rsidRPr="00862125">
        <w:rPr>
          <w:rFonts w:cs="Arial"/>
          <w:rtl/>
        </w:rPr>
        <w:t xml:space="preserve">רשב"א </w:t>
      </w:r>
      <w:r w:rsidRPr="00862125">
        <w:rPr>
          <w:rFonts w:cs="Arial"/>
          <w:sz w:val="16"/>
          <w:szCs w:val="16"/>
          <w:rtl/>
        </w:rPr>
        <w:t>(סי</w:t>
      </w:r>
      <w:r w:rsidRPr="00862125">
        <w:rPr>
          <w:rFonts w:cs="Arial" w:hint="cs"/>
          <w:sz w:val="16"/>
          <w:szCs w:val="16"/>
          <w:rtl/>
        </w:rPr>
        <w:t>'</w:t>
      </w:r>
      <w:r w:rsidRPr="00862125">
        <w:rPr>
          <w:rFonts w:cs="Arial"/>
          <w:sz w:val="16"/>
          <w:szCs w:val="16"/>
          <w:rtl/>
        </w:rPr>
        <w:t xml:space="preserve"> תצד)</w:t>
      </w:r>
      <w:r w:rsidRPr="00862125">
        <w:rPr>
          <w:rFonts w:cs="Arial" w:hint="cs"/>
          <w:rtl/>
        </w:rPr>
        <w:t>-</w:t>
      </w:r>
      <w:r w:rsidRPr="00862125">
        <w:rPr>
          <w:rFonts w:cs="Arial"/>
          <w:rtl/>
        </w:rPr>
        <w:t xml:space="preserve"> נראה לי שמצטרפת</w:t>
      </w:r>
      <w:r>
        <w:rPr>
          <w:rFonts w:cs="Arial" w:hint="cs"/>
          <w:rtl/>
        </w:rPr>
        <w:t>,</w:t>
      </w:r>
      <w:r w:rsidRPr="00862125">
        <w:rPr>
          <w:rFonts w:cs="Arial"/>
          <w:rtl/>
        </w:rPr>
        <w:t xml:space="preserve"> שאם היה אפשר לסוחטה היא עצמה מותרת</w:t>
      </w:r>
      <w:r w:rsidRPr="00862125">
        <w:rPr>
          <w:rFonts w:cs="Arial" w:hint="cs"/>
          <w:rtl/>
        </w:rPr>
        <w:t>,</w:t>
      </w:r>
      <w:r w:rsidRPr="00862125">
        <w:rPr>
          <w:rFonts w:cs="Arial"/>
          <w:rtl/>
        </w:rPr>
        <w:t xml:space="preserve"> והרי זה ככחל שאמרו </w:t>
      </w:r>
      <w:r w:rsidRPr="00862125">
        <w:rPr>
          <w:rFonts w:cs="Arial"/>
          <w:sz w:val="16"/>
          <w:szCs w:val="16"/>
          <w:rtl/>
        </w:rPr>
        <w:t xml:space="preserve">(חולין צז:) </w:t>
      </w:r>
      <w:r w:rsidRPr="00862125">
        <w:rPr>
          <w:rFonts w:cs="Arial"/>
          <w:rtl/>
        </w:rPr>
        <w:t>כחל בששים וכחל מן המנין וכחל עצמו אסור</w:t>
      </w:r>
      <w:r w:rsidRPr="00862125">
        <w:rPr>
          <w:rFonts w:cs="Arial" w:hint="cs"/>
          <w:rtl/>
        </w:rPr>
        <w:t>.</w:t>
      </w:r>
    </w:p>
    <w:p w14:paraId="791CDFF3"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3C86A55" w14:textId="77777777" w:rsidR="002C39F4" w:rsidRDefault="002C39F4" w:rsidP="002C39F4">
      <w:pPr>
        <w:rPr>
          <w:rFonts w:asciiTheme="minorBidi" w:hAnsiTheme="minorBidi"/>
          <w:rtl/>
        </w:rPr>
      </w:pPr>
      <w:r w:rsidRPr="003024E5">
        <w:rPr>
          <w:rFonts w:asciiTheme="minorBidi" w:hAnsiTheme="minorBidi"/>
          <w:rtl/>
        </w:rPr>
        <w:t>בשאר איסורים חוץ מבשר בחלב, חתיכה הבלועה מאיסור מצטרפת לבטל האיסור</w:t>
      </w:r>
      <w:r>
        <w:rPr>
          <w:rStyle w:val="a7"/>
          <w:rFonts w:asciiTheme="minorBidi" w:hAnsiTheme="minorBidi"/>
          <w:rtl/>
        </w:rPr>
        <w:footnoteReference w:id="1867"/>
      </w:r>
      <w:r w:rsidRPr="003024E5">
        <w:rPr>
          <w:rFonts w:asciiTheme="minorBidi" w:hAnsiTheme="minorBidi"/>
          <w:rtl/>
        </w:rPr>
        <w:t xml:space="preserve">. </w:t>
      </w:r>
      <w:r w:rsidRPr="00862125">
        <w:rPr>
          <w:rFonts w:asciiTheme="minorBidi" w:hAnsiTheme="minorBidi"/>
          <w:sz w:val="18"/>
          <w:szCs w:val="18"/>
          <w:rtl/>
        </w:rPr>
        <w:t>הגה: ואין נוהגין כן</w:t>
      </w:r>
      <w:r>
        <w:rPr>
          <w:rStyle w:val="a7"/>
          <w:rFonts w:asciiTheme="minorBidi" w:hAnsiTheme="minorBidi"/>
          <w:sz w:val="18"/>
          <w:szCs w:val="18"/>
          <w:rtl/>
        </w:rPr>
        <w:footnoteReference w:id="1868"/>
      </w:r>
      <w:r w:rsidRPr="00862125">
        <w:rPr>
          <w:rFonts w:asciiTheme="minorBidi" w:hAnsiTheme="minorBidi"/>
          <w:sz w:val="18"/>
          <w:szCs w:val="18"/>
          <w:rtl/>
        </w:rPr>
        <w:t xml:space="preserve"> כי קיימא לן בכל איסורים חתיכה נעשית נבלה, כדלעיל סימן צב.</w:t>
      </w:r>
      <w:r w:rsidRPr="003024E5">
        <w:rPr>
          <w:rFonts w:asciiTheme="minorBidi" w:hAnsiTheme="minorBidi"/>
          <w:rtl/>
        </w:rPr>
        <w:t xml:space="preserve"> </w:t>
      </w:r>
    </w:p>
    <w:p w14:paraId="1AA41EDD" w14:textId="77777777" w:rsidR="002C39F4" w:rsidRPr="003024E5" w:rsidRDefault="002C39F4" w:rsidP="002C39F4">
      <w:pPr>
        <w:rPr>
          <w:rFonts w:asciiTheme="minorBidi" w:hAnsiTheme="minorBidi"/>
          <w:rtl/>
        </w:rPr>
      </w:pPr>
    </w:p>
    <w:p w14:paraId="2540D1EA" w14:textId="77777777" w:rsidR="002C39F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כיצד</w:t>
      </w:r>
      <w:r w:rsidRPr="004F1A33">
        <w:rPr>
          <w:rFonts w:asciiTheme="minorBidi" w:hAnsiTheme="minorBidi" w:hint="cs"/>
          <w:rtl/>
        </w:rPr>
        <w:t xml:space="preserve"> </w:t>
      </w:r>
      <w:r>
        <w:rPr>
          <w:rFonts w:asciiTheme="minorBidi" w:hAnsiTheme="minorBidi" w:hint="cs"/>
          <w:rtl/>
        </w:rPr>
        <w:t>משערין את ההיתר.</w:t>
      </w:r>
    </w:p>
    <w:p w14:paraId="42C1B861" w14:textId="77777777" w:rsidR="002C39F4" w:rsidRDefault="002C39F4" w:rsidP="002C39F4">
      <w:pPr>
        <w:rPr>
          <w:rFonts w:cs="Arial"/>
          <w:rtl/>
        </w:rPr>
      </w:pPr>
      <w:r>
        <w:rPr>
          <w:rFonts w:cs="Arial" w:hint="cs"/>
          <w:b/>
          <w:bCs/>
          <w:rtl/>
        </w:rPr>
        <w:t xml:space="preserve">חולין צז ע"ב: </w:t>
      </w:r>
      <w:r w:rsidRPr="000E70DC">
        <w:rPr>
          <w:rFonts w:cs="Arial" w:hint="cs"/>
          <w:u w:val="single"/>
          <w:rtl/>
        </w:rPr>
        <w:t>אמר</w:t>
      </w:r>
      <w:r w:rsidRPr="000E70DC">
        <w:rPr>
          <w:rFonts w:cs="Arial"/>
          <w:u w:val="single"/>
          <w:rtl/>
        </w:rPr>
        <w:t xml:space="preserve"> </w:t>
      </w:r>
      <w:r w:rsidRPr="000E70DC">
        <w:rPr>
          <w:rFonts w:cs="Arial" w:hint="cs"/>
          <w:u w:val="single"/>
          <w:rtl/>
        </w:rPr>
        <w:t>רבי</w:t>
      </w:r>
      <w:r w:rsidRPr="000E70DC">
        <w:rPr>
          <w:rFonts w:cs="Arial"/>
          <w:u w:val="single"/>
          <w:rtl/>
        </w:rPr>
        <w:t xml:space="preserve"> </w:t>
      </w:r>
      <w:r w:rsidRPr="000E70DC">
        <w:rPr>
          <w:rFonts w:cs="Arial" w:hint="cs"/>
          <w:u w:val="single"/>
          <w:rtl/>
        </w:rPr>
        <w:t>חנינא</w:t>
      </w:r>
      <w:r w:rsidRPr="000E70DC">
        <w:rPr>
          <w:rFonts w:cs="Arial"/>
          <w:rtl/>
        </w:rPr>
        <w:t xml:space="preserve">: </w:t>
      </w:r>
      <w:r w:rsidRPr="000E70DC">
        <w:rPr>
          <w:rFonts w:cs="Arial" w:hint="cs"/>
          <w:rtl/>
        </w:rPr>
        <w:t>כשהן</w:t>
      </w:r>
      <w:r w:rsidRPr="000E70DC">
        <w:rPr>
          <w:rFonts w:cs="Arial"/>
          <w:rtl/>
        </w:rPr>
        <w:t xml:space="preserve"> </w:t>
      </w:r>
      <w:r w:rsidRPr="000E70DC">
        <w:rPr>
          <w:rFonts w:cs="Arial" w:hint="cs"/>
          <w:rtl/>
        </w:rPr>
        <w:t>משערין</w:t>
      </w:r>
      <w:r w:rsidRPr="000E70DC">
        <w:rPr>
          <w:rFonts w:cs="Arial"/>
          <w:rtl/>
        </w:rPr>
        <w:t xml:space="preserve">, </w:t>
      </w:r>
      <w:r w:rsidRPr="000E70DC">
        <w:rPr>
          <w:rFonts w:cs="Arial" w:hint="cs"/>
          <w:rtl/>
        </w:rPr>
        <w:t>משערין</w:t>
      </w:r>
      <w:r w:rsidRPr="000E70DC">
        <w:rPr>
          <w:rFonts w:cs="Arial"/>
          <w:rtl/>
        </w:rPr>
        <w:t xml:space="preserve"> </w:t>
      </w:r>
      <w:r w:rsidRPr="000E70DC">
        <w:rPr>
          <w:rFonts w:cs="Arial" w:hint="cs"/>
          <w:rtl/>
        </w:rPr>
        <w:t>ברוטב</w:t>
      </w:r>
      <w:r w:rsidRPr="000E70DC">
        <w:rPr>
          <w:rFonts w:cs="Arial"/>
          <w:rtl/>
        </w:rPr>
        <w:t xml:space="preserve"> </w:t>
      </w:r>
      <w:r w:rsidRPr="000E70DC">
        <w:rPr>
          <w:rFonts w:cs="Arial" w:hint="cs"/>
          <w:rtl/>
        </w:rPr>
        <w:t>ובקיפה</w:t>
      </w:r>
      <w:r w:rsidRPr="000E70DC">
        <w:rPr>
          <w:rFonts w:cs="Arial"/>
          <w:rtl/>
        </w:rPr>
        <w:t xml:space="preserve"> </w:t>
      </w:r>
      <w:r w:rsidRPr="000E70DC">
        <w:rPr>
          <w:rFonts w:cs="Arial" w:hint="cs"/>
          <w:rtl/>
        </w:rPr>
        <w:t>ובחתיכות</w:t>
      </w:r>
      <w:r w:rsidRPr="000E70DC">
        <w:rPr>
          <w:rFonts w:cs="Arial"/>
          <w:rtl/>
        </w:rPr>
        <w:t xml:space="preserve"> </w:t>
      </w:r>
      <w:r w:rsidRPr="000E70DC">
        <w:rPr>
          <w:rFonts w:cs="Arial" w:hint="cs"/>
          <w:rtl/>
        </w:rPr>
        <w:t>ובקדרה</w:t>
      </w:r>
      <w:r>
        <w:rPr>
          <w:rFonts w:cs="Arial" w:hint="cs"/>
          <w:rtl/>
        </w:rPr>
        <w:t>.</w:t>
      </w:r>
      <w:r w:rsidRPr="000E70DC">
        <w:rPr>
          <w:rFonts w:cs="Arial"/>
          <w:rtl/>
        </w:rPr>
        <w:t xml:space="preserve"> </w:t>
      </w:r>
      <w:r w:rsidRPr="000E70DC">
        <w:rPr>
          <w:rFonts w:cs="Arial" w:hint="cs"/>
          <w:u w:val="single"/>
          <w:rtl/>
        </w:rPr>
        <w:t>איכא</w:t>
      </w:r>
      <w:r w:rsidRPr="000E70DC">
        <w:rPr>
          <w:rFonts w:cs="Arial"/>
          <w:u w:val="single"/>
          <w:rtl/>
        </w:rPr>
        <w:t xml:space="preserve"> </w:t>
      </w:r>
      <w:r w:rsidRPr="000E70DC">
        <w:rPr>
          <w:rFonts w:cs="Arial" w:hint="cs"/>
          <w:u w:val="single"/>
          <w:rtl/>
        </w:rPr>
        <w:t>דאמרי</w:t>
      </w:r>
      <w:r w:rsidRPr="000E70DC">
        <w:rPr>
          <w:rFonts w:cs="Arial"/>
          <w:rtl/>
        </w:rPr>
        <w:t xml:space="preserve">: </w:t>
      </w:r>
      <w:r w:rsidRPr="000E70DC">
        <w:rPr>
          <w:rFonts w:cs="Arial" w:hint="cs"/>
          <w:rtl/>
        </w:rPr>
        <w:t>בקדרה</w:t>
      </w:r>
      <w:r w:rsidRPr="000E70DC">
        <w:rPr>
          <w:rFonts w:cs="Arial"/>
          <w:rtl/>
        </w:rPr>
        <w:t xml:space="preserve"> </w:t>
      </w:r>
      <w:r w:rsidRPr="000E70DC">
        <w:rPr>
          <w:rFonts w:cs="Arial" w:hint="cs"/>
          <w:rtl/>
        </w:rPr>
        <w:t>עצמה</w:t>
      </w:r>
      <w:r w:rsidRPr="000E70DC">
        <w:rPr>
          <w:rFonts w:cs="Arial"/>
          <w:rtl/>
        </w:rPr>
        <w:t xml:space="preserve">, </w:t>
      </w:r>
      <w:r w:rsidRPr="000E70DC">
        <w:rPr>
          <w:rFonts w:cs="Arial" w:hint="cs"/>
          <w:u w:val="single"/>
          <w:rtl/>
        </w:rPr>
        <w:t>ואיכא</w:t>
      </w:r>
      <w:r w:rsidRPr="000E70DC">
        <w:rPr>
          <w:rFonts w:cs="Arial"/>
          <w:u w:val="single"/>
          <w:rtl/>
        </w:rPr>
        <w:t xml:space="preserve"> </w:t>
      </w:r>
      <w:r w:rsidRPr="000E70DC">
        <w:rPr>
          <w:rFonts w:cs="Arial" w:hint="cs"/>
          <w:u w:val="single"/>
          <w:rtl/>
        </w:rPr>
        <w:t>דאמרי</w:t>
      </w:r>
      <w:r w:rsidRPr="000E70DC">
        <w:rPr>
          <w:rFonts w:cs="Arial"/>
          <w:rtl/>
        </w:rPr>
        <w:t xml:space="preserve">: </w:t>
      </w:r>
      <w:r w:rsidRPr="000E70DC">
        <w:rPr>
          <w:rFonts w:cs="Arial" w:hint="cs"/>
          <w:rtl/>
        </w:rPr>
        <w:t>במאי</w:t>
      </w:r>
      <w:r w:rsidRPr="000E70DC">
        <w:rPr>
          <w:rFonts w:cs="Arial"/>
          <w:rtl/>
        </w:rPr>
        <w:t xml:space="preserve"> </w:t>
      </w:r>
      <w:r w:rsidRPr="000E70DC">
        <w:rPr>
          <w:rFonts w:cs="Arial" w:hint="cs"/>
          <w:rtl/>
        </w:rPr>
        <w:t>דבלעה</w:t>
      </w:r>
      <w:r w:rsidRPr="000E70DC">
        <w:rPr>
          <w:rFonts w:cs="Arial"/>
          <w:rtl/>
        </w:rPr>
        <w:t xml:space="preserve"> </w:t>
      </w:r>
      <w:r w:rsidRPr="000E70DC">
        <w:rPr>
          <w:rFonts w:cs="Arial" w:hint="cs"/>
          <w:rtl/>
        </w:rPr>
        <w:t>קדרה</w:t>
      </w:r>
      <w:r>
        <w:rPr>
          <w:rStyle w:val="a7"/>
          <w:rFonts w:cs="Arial"/>
          <w:rtl/>
        </w:rPr>
        <w:footnoteReference w:id="1869"/>
      </w:r>
      <w:r w:rsidRPr="000E70DC">
        <w:rPr>
          <w:rFonts w:cs="Arial"/>
          <w:rtl/>
        </w:rPr>
        <w:t xml:space="preserve">. </w:t>
      </w:r>
    </w:p>
    <w:p w14:paraId="1CCB27D3" w14:textId="77777777" w:rsidR="002C39F4" w:rsidRPr="00FC555F" w:rsidRDefault="002C39F4" w:rsidP="002C39F4">
      <w:pPr>
        <w:rPr>
          <w:rFonts w:cs="Arial"/>
          <w:u w:val="single"/>
          <w:rtl/>
        </w:rPr>
      </w:pPr>
      <w:r w:rsidRPr="00FC555F">
        <w:rPr>
          <w:rFonts w:cs="Arial" w:hint="cs"/>
          <w:u w:val="single"/>
          <w:rtl/>
        </w:rPr>
        <w:t>האם משערין בקדרה:</w:t>
      </w:r>
    </w:p>
    <w:p w14:paraId="38C3812D" w14:textId="77777777" w:rsidR="002C39F4" w:rsidRDefault="002C39F4" w:rsidP="0032102C">
      <w:pPr>
        <w:pStyle w:val="a8"/>
        <w:numPr>
          <w:ilvl w:val="0"/>
          <w:numId w:val="186"/>
        </w:numPr>
        <w:rPr>
          <w:rFonts w:cs="Arial"/>
        </w:rPr>
      </w:pPr>
      <w:r w:rsidRPr="00FC555F">
        <w:rPr>
          <w:rFonts w:cs="Arial"/>
          <w:rtl/>
        </w:rPr>
        <w:t>רש"י</w:t>
      </w:r>
      <w:r w:rsidRPr="00FC555F">
        <w:rPr>
          <w:rFonts w:cs="Arial" w:hint="cs"/>
          <w:rtl/>
        </w:rPr>
        <w:t xml:space="preserve"> </w:t>
      </w:r>
      <w:r>
        <w:rPr>
          <w:rFonts w:cs="Arial" w:hint="cs"/>
          <w:sz w:val="16"/>
          <w:szCs w:val="16"/>
          <w:rtl/>
        </w:rPr>
        <w:t>(ד"ה במאי)</w:t>
      </w:r>
      <w:r>
        <w:rPr>
          <w:rFonts w:cs="Arial" w:hint="cs"/>
          <w:rtl/>
        </w:rPr>
        <w:t xml:space="preserve"> </w:t>
      </w:r>
      <w:r w:rsidRPr="00FC555F">
        <w:rPr>
          <w:rFonts w:cs="Arial" w:hint="cs"/>
          <w:rtl/>
        </w:rPr>
        <w:t>ו</w:t>
      </w:r>
      <w:r w:rsidRPr="00FC555F">
        <w:rPr>
          <w:rFonts w:cs="Arial"/>
          <w:rtl/>
        </w:rPr>
        <w:t>רא"ש</w:t>
      </w:r>
      <w:r>
        <w:rPr>
          <w:rStyle w:val="a7"/>
          <w:rFonts w:cs="Arial"/>
          <w:rtl/>
        </w:rPr>
        <w:footnoteReference w:id="1870"/>
      </w:r>
      <w:r w:rsidRPr="00FC555F">
        <w:rPr>
          <w:rFonts w:cs="Arial"/>
          <w:rtl/>
        </w:rPr>
        <w:t xml:space="preserve"> </w:t>
      </w:r>
      <w:r w:rsidRPr="00FC555F">
        <w:rPr>
          <w:rFonts w:cs="Arial"/>
          <w:sz w:val="16"/>
          <w:szCs w:val="16"/>
          <w:rtl/>
        </w:rPr>
        <w:t>(סי' כו)</w:t>
      </w:r>
      <w:r w:rsidRPr="00FC555F">
        <w:rPr>
          <w:rFonts w:cs="Arial" w:hint="cs"/>
          <w:rtl/>
        </w:rPr>
        <w:t>-</w:t>
      </w:r>
      <w:r w:rsidRPr="00FC555F">
        <w:rPr>
          <w:rFonts w:cs="Arial"/>
          <w:rtl/>
        </w:rPr>
        <w:t xml:space="preserve"> כיון דאיפליגו תרי לישני ואיסורא דאו</w:t>
      </w:r>
      <w:r>
        <w:rPr>
          <w:rFonts w:cs="Arial" w:hint="cs"/>
          <w:rtl/>
        </w:rPr>
        <w:t>'</w:t>
      </w:r>
      <w:r w:rsidRPr="00FC555F">
        <w:rPr>
          <w:rFonts w:cs="Arial"/>
          <w:rtl/>
        </w:rPr>
        <w:t xml:space="preserve"> היא אזלינן לחומרא ולא משערינן בקדרה</w:t>
      </w:r>
      <w:r w:rsidRPr="00FC555F">
        <w:rPr>
          <w:rFonts w:cs="Arial" w:hint="cs"/>
          <w:rtl/>
        </w:rPr>
        <w:t>,</w:t>
      </w:r>
      <w:r w:rsidRPr="00FC555F">
        <w:rPr>
          <w:rFonts w:cs="Arial"/>
          <w:rtl/>
        </w:rPr>
        <w:t xml:space="preserve"> ועיקר הדבר כמות שהוא בא לפנינו משערינן ליה</w:t>
      </w:r>
      <w:r w:rsidRPr="00FC555F">
        <w:rPr>
          <w:rFonts w:cs="Arial" w:hint="cs"/>
          <w:rtl/>
        </w:rPr>
        <w:t>,</w:t>
      </w:r>
      <w:r w:rsidRPr="00FC555F">
        <w:rPr>
          <w:rFonts w:cs="Arial"/>
          <w:rtl/>
        </w:rPr>
        <w:t xml:space="preserve"> ולא משערינן במאי דבלעה קדרה מן ההיתר לפי שאף מן האיסור נבלע ונתמעט מכמות שהיה</w:t>
      </w:r>
      <w:r>
        <w:rPr>
          <w:rStyle w:val="a7"/>
          <w:rFonts w:cs="Arial"/>
          <w:rtl/>
        </w:rPr>
        <w:footnoteReference w:id="1871"/>
      </w:r>
      <w:r w:rsidRPr="00FC555F">
        <w:rPr>
          <w:rFonts w:cs="Arial" w:hint="cs"/>
          <w:rtl/>
        </w:rPr>
        <w:t>,</w:t>
      </w:r>
      <w:r w:rsidRPr="00FC555F">
        <w:rPr>
          <w:rFonts w:cs="Arial"/>
          <w:rtl/>
        </w:rPr>
        <w:t xml:space="preserve"> וכדאמרי</w:t>
      </w:r>
      <w:r>
        <w:rPr>
          <w:rFonts w:cs="Arial" w:hint="cs"/>
          <w:rtl/>
        </w:rPr>
        <w:t>נן</w:t>
      </w:r>
      <w:r w:rsidRPr="00FC555F">
        <w:rPr>
          <w:rFonts w:cs="Arial"/>
          <w:rtl/>
        </w:rPr>
        <w:t xml:space="preserve"> לקמן</w:t>
      </w:r>
      <w:r w:rsidRPr="00FC555F">
        <w:rPr>
          <w:rFonts w:cs="Arial"/>
          <w:sz w:val="16"/>
          <w:szCs w:val="16"/>
          <w:rtl/>
        </w:rPr>
        <w:t xml:space="preserve"> (צח.) </w:t>
      </w:r>
      <w:r w:rsidRPr="00FC555F">
        <w:rPr>
          <w:rFonts w:cs="Arial"/>
          <w:rtl/>
        </w:rPr>
        <w:t>אטו דהיתרא בלע דאיסורא לא בלע</w:t>
      </w:r>
      <w:r w:rsidRPr="00FC555F">
        <w:rPr>
          <w:rFonts w:cs="Arial" w:hint="cs"/>
          <w:rtl/>
        </w:rPr>
        <w:t xml:space="preserve"> </w:t>
      </w:r>
      <w:r w:rsidRPr="00FC555F">
        <w:rPr>
          <w:rFonts w:cs="Arial" w:hint="cs"/>
          <w:sz w:val="16"/>
          <w:szCs w:val="16"/>
          <w:rtl/>
        </w:rPr>
        <w:t>(ל' רש"י)</w:t>
      </w:r>
      <w:r w:rsidRPr="00FC555F">
        <w:rPr>
          <w:rFonts w:cs="Arial" w:hint="cs"/>
          <w:rtl/>
        </w:rPr>
        <w:t>.</w:t>
      </w:r>
      <w:r w:rsidRPr="00FC555F">
        <w:rPr>
          <w:rFonts w:cs="Arial"/>
          <w:rtl/>
        </w:rPr>
        <w:t xml:space="preserve"> </w:t>
      </w:r>
    </w:p>
    <w:p w14:paraId="3F3F65AD" w14:textId="77777777" w:rsidR="002C39F4" w:rsidRDefault="002C39F4" w:rsidP="0032102C">
      <w:pPr>
        <w:pStyle w:val="a8"/>
        <w:numPr>
          <w:ilvl w:val="0"/>
          <w:numId w:val="186"/>
        </w:numPr>
        <w:rPr>
          <w:rFonts w:cs="Arial"/>
        </w:rPr>
      </w:pPr>
      <w:r>
        <w:rPr>
          <w:rFonts w:cs="Arial" w:hint="cs"/>
          <w:rtl/>
        </w:rPr>
        <w:t xml:space="preserve">רמב"ם </w:t>
      </w:r>
      <w:r w:rsidRPr="00C36988">
        <w:rPr>
          <w:rFonts w:cs="Arial" w:hint="cs"/>
          <w:sz w:val="16"/>
          <w:szCs w:val="16"/>
          <w:rtl/>
        </w:rPr>
        <w:t>(פט"ו הכ"ד)</w:t>
      </w:r>
      <w:r>
        <w:rPr>
          <w:rFonts w:cs="Arial" w:hint="cs"/>
          <w:rtl/>
        </w:rPr>
        <w:t xml:space="preserve">- </w:t>
      </w:r>
      <w:r w:rsidRPr="00504BCA">
        <w:rPr>
          <w:rFonts w:cs="Arial" w:hint="cs"/>
          <w:rtl/>
        </w:rPr>
        <w:t>כשמשערין</w:t>
      </w:r>
      <w:r w:rsidRPr="00504BCA">
        <w:rPr>
          <w:rFonts w:cs="Arial"/>
          <w:rtl/>
        </w:rPr>
        <w:t xml:space="preserve"> </w:t>
      </w:r>
      <w:r w:rsidRPr="00504BCA">
        <w:rPr>
          <w:rFonts w:cs="Arial" w:hint="cs"/>
          <w:rtl/>
        </w:rPr>
        <w:t>בכל</w:t>
      </w:r>
      <w:r w:rsidRPr="00504BCA">
        <w:rPr>
          <w:rFonts w:cs="Arial"/>
          <w:rtl/>
        </w:rPr>
        <w:t xml:space="preserve"> </w:t>
      </w:r>
      <w:r w:rsidRPr="00504BCA">
        <w:rPr>
          <w:rFonts w:cs="Arial" w:hint="cs"/>
          <w:rtl/>
        </w:rPr>
        <w:t>האיסורין</w:t>
      </w:r>
      <w:r w:rsidRPr="00504BCA">
        <w:rPr>
          <w:rFonts w:cs="Arial"/>
          <w:rtl/>
        </w:rPr>
        <w:t xml:space="preserve"> </w:t>
      </w:r>
      <w:r w:rsidRPr="00504BCA">
        <w:rPr>
          <w:rFonts w:cs="Arial" w:hint="cs"/>
          <w:rtl/>
        </w:rPr>
        <w:t>בין</w:t>
      </w:r>
      <w:r w:rsidRPr="00504BCA">
        <w:rPr>
          <w:rFonts w:cs="Arial"/>
          <w:rtl/>
        </w:rPr>
        <w:t xml:space="preserve"> </w:t>
      </w:r>
      <w:r w:rsidRPr="00504BCA">
        <w:rPr>
          <w:rFonts w:cs="Arial" w:hint="cs"/>
          <w:rtl/>
        </w:rPr>
        <w:t>בששים</w:t>
      </w:r>
      <w:r w:rsidRPr="00504BCA">
        <w:rPr>
          <w:rFonts w:cs="Arial"/>
          <w:rtl/>
        </w:rPr>
        <w:t xml:space="preserve"> </w:t>
      </w:r>
      <w:r w:rsidRPr="00504BCA">
        <w:rPr>
          <w:rFonts w:cs="Arial" w:hint="cs"/>
          <w:rtl/>
        </w:rPr>
        <w:t>בין</w:t>
      </w:r>
      <w:r w:rsidRPr="00504BCA">
        <w:rPr>
          <w:rFonts w:cs="Arial"/>
          <w:rtl/>
        </w:rPr>
        <w:t xml:space="preserve"> </w:t>
      </w:r>
      <w:r w:rsidRPr="00504BCA">
        <w:rPr>
          <w:rFonts w:cs="Arial" w:hint="cs"/>
          <w:rtl/>
        </w:rPr>
        <w:t>במאה</w:t>
      </w:r>
      <w:r w:rsidRPr="00504BCA">
        <w:rPr>
          <w:rFonts w:cs="Arial"/>
          <w:rtl/>
        </w:rPr>
        <w:t xml:space="preserve"> </w:t>
      </w:r>
      <w:r w:rsidRPr="00504BCA">
        <w:rPr>
          <w:rFonts w:cs="Arial" w:hint="cs"/>
          <w:rtl/>
        </w:rPr>
        <w:t>בין</w:t>
      </w:r>
      <w:r w:rsidRPr="00504BCA">
        <w:rPr>
          <w:rFonts w:cs="Arial"/>
          <w:rtl/>
        </w:rPr>
        <w:t xml:space="preserve"> </w:t>
      </w:r>
      <w:r w:rsidRPr="00504BCA">
        <w:rPr>
          <w:rFonts w:cs="Arial" w:hint="cs"/>
          <w:rtl/>
        </w:rPr>
        <w:t>במאתים</w:t>
      </w:r>
      <w:r w:rsidRPr="00504BCA">
        <w:rPr>
          <w:rFonts w:cs="Arial"/>
          <w:rtl/>
        </w:rPr>
        <w:t xml:space="preserve">, </w:t>
      </w:r>
      <w:r w:rsidRPr="00504BCA">
        <w:rPr>
          <w:rFonts w:cs="Arial" w:hint="cs"/>
          <w:rtl/>
        </w:rPr>
        <w:t>משערין</w:t>
      </w:r>
      <w:r w:rsidRPr="00504BCA">
        <w:rPr>
          <w:rFonts w:cs="Arial"/>
          <w:rtl/>
        </w:rPr>
        <w:t xml:space="preserve"> </w:t>
      </w:r>
      <w:r w:rsidRPr="00504BCA">
        <w:rPr>
          <w:rFonts w:cs="Arial" w:hint="cs"/>
          <w:rtl/>
        </w:rPr>
        <w:t>במרק</w:t>
      </w:r>
      <w:r w:rsidRPr="00504BCA">
        <w:rPr>
          <w:rFonts w:cs="Arial"/>
          <w:rtl/>
        </w:rPr>
        <w:t xml:space="preserve"> </w:t>
      </w:r>
      <w:r w:rsidRPr="00504BCA">
        <w:rPr>
          <w:rFonts w:cs="Arial" w:hint="cs"/>
          <w:rtl/>
        </w:rPr>
        <w:t>ובתבלין</w:t>
      </w:r>
      <w:r w:rsidRPr="00504BCA">
        <w:rPr>
          <w:rFonts w:cs="Arial"/>
          <w:rtl/>
        </w:rPr>
        <w:t xml:space="preserve"> </w:t>
      </w:r>
      <w:r w:rsidRPr="00504BCA">
        <w:rPr>
          <w:rFonts w:cs="Arial" w:hint="cs"/>
          <w:rtl/>
        </w:rPr>
        <w:t>ובכל</w:t>
      </w:r>
      <w:r w:rsidRPr="00504BCA">
        <w:rPr>
          <w:rFonts w:cs="Arial"/>
          <w:rtl/>
        </w:rPr>
        <w:t xml:space="preserve"> </w:t>
      </w:r>
      <w:r w:rsidRPr="00504BCA">
        <w:rPr>
          <w:rFonts w:cs="Arial" w:hint="cs"/>
          <w:rtl/>
        </w:rPr>
        <w:t>שיש</w:t>
      </w:r>
      <w:r w:rsidRPr="00504BCA">
        <w:rPr>
          <w:rFonts w:cs="Arial"/>
          <w:rtl/>
        </w:rPr>
        <w:t xml:space="preserve"> </w:t>
      </w:r>
      <w:r w:rsidRPr="00504BCA">
        <w:rPr>
          <w:rFonts w:cs="Arial" w:hint="cs"/>
          <w:rtl/>
        </w:rPr>
        <w:t>בקדרה</w:t>
      </w:r>
      <w:r w:rsidRPr="00504BCA">
        <w:rPr>
          <w:rFonts w:cs="Arial"/>
          <w:rtl/>
        </w:rPr>
        <w:t xml:space="preserve"> </w:t>
      </w:r>
      <w:r w:rsidRPr="00504BCA">
        <w:rPr>
          <w:rFonts w:cs="Arial" w:hint="cs"/>
          <w:rtl/>
        </w:rPr>
        <w:t>ובמה</w:t>
      </w:r>
      <w:r w:rsidRPr="00504BCA">
        <w:rPr>
          <w:rFonts w:cs="Arial"/>
          <w:rtl/>
        </w:rPr>
        <w:t xml:space="preserve"> </w:t>
      </w:r>
      <w:r w:rsidRPr="00504BCA">
        <w:rPr>
          <w:rFonts w:cs="Arial" w:hint="cs"/>
          <w:rtl/>
        </w:rPr>
        <w:t>שבלעה</w:t>
      </w:r>
      <w:r w:rsidRPr="00504BCA">
        <w:rPr>
          <w:rFonts w:cs="Arial"/>
          <w:rtl/>
        </w:rPr>
        <w:t xml:space="preserve"> </w:t>
      </w:r>
      <w:r w:rsidRPr="00504BCA">
        <w:rPr>
          <w:rFonts w:cs="Arial" w:hint="cs"/>
          <w:rtl/>
        </w:rPr>
        <w:t>קדרה</w:t>
      </w:r>
      <w:r w:rsidRPr="00504BCA">
        <w:rPr>
          <w:rFonts w:cs="Arial"/>
          <w:rtl/>
        </w:rPr>
        <w:t xml:space="preserve"> </w:t>
      </w:r>
      <w:r w:rsidRPr="00504BCA">
        <w:rPr>
          <w:rFonts w:cs="Arial" w:hint="cs"/>
          <w:rtl/>
        </w:rPr>
        <w:t>מאחר</w:t>
      </w:r>
      <w:r w:rsidRPr="00504BCA">
        <w:rPr>
          <w:rFonts w:cs="Arial"/>
          <w:rtl/>
        </w:rPr>
        <w:t xml:space="preserve"> </w:t>
      </w:r>
      <w:r w:rsidRPr="00504BCA">
        <w:rPr>
          <w:rFonts w:cs="Arial" w:hint="cs"/>
          <w:rtl/>
        </w:rPr>
        <w:t>שנפל</w:t>
      </w:r>
      <w:r w:rsidRPr="00504BCA">
        <w:rPr>
          <w:rFonts w:cs="Arial"/>
          <w:rtl/>
        </w:rPr>
        <w:t xml:space="preserve"> </w:t>
      </w:r>
      <w:r w:rsidRPr="00504BCA">
        <w:rPr>
          <w:rFonts w:cs="Arial" w:hint="cs"/>
          <w:rtl/>
        </w:rPr>
        <w:t>האיסור</w:t>
      </w:r>
      <w:r w:rsidRPr="00504BCA">
        <w:rPr>
          <w:rFonts w:cs="Arial"/>
          <w:rtl/>
        </w:rPr>
        <w:t xml:space="preserve"> </w:t>
      </w:r>
      <w:r w:rsidRPr="00504BCA">
        <w:rPr>
          <w:rFonts w:cs="Arial" w:hint="cs"/>
          <w:rtl/>
        </w:rPr>
        <w:t>לפי</w:t>
      </w:r>
      <w:r w:rsidRPr="00504BCA">
        <w:rPr>
          <w:rFonts w:cs="Arial"/>
          <w:rtl/>
        </w:rPr>
        <w:t xml:space="preserve"> </w:t>
      </w:r>
      <w:r w:rsidRPr="00504BCA">
        <w:rPr>
          <w:rFonts w:cs="Arial" w:hint="cs"/>
          <w:rtl/>
        </w:rPr>
        <w:t>אומד</w:t>
      </w:r>
      <w:r w:rsidRPr="00504BCA">
        <w:rPr>
          <w:rFonts w:cs="Arial"/>
          <w:rtl/>
        </w:rPr>
        <w:t xml:space="preserve"> </w:t>
      </w:r>
      <w:r w:rsidRPr="00504BCA">
        <w:rPr>
          <w:rFonts w:cs="Arial" w:hint="cs"/>
          <w:rtl/>
        </w:rPr>
        <w:t>הדעת</w:t>
      </w:r>
      <w:r w:rsidRPr="00504BCA">
        <w:rPr>
          <w:rFonts w:cs="Arial"/>
          <w:rtl/>
        </w:rPr>
        <w:t xml:space="preserve">, </w:t>
      </w:r>
      <w:r w:rsidRPr="00504BCA">
        <w:rPr>
          <w:rFonts w:cs="Arial" w:hint="cs"/>
          <w:rtl/>
        </w:rPr>
        <w:t>שהרי</w:t>
      </w:r>
      <w:r w:rsidRPr="00504BCA">
        <w:rPr>
          <w:rFonts w:cs="Arial"/>
          <w:rtl/>
        </w:rPr>
        <w:t xml:space="preserve"> </w:t>
      </w:r>
      <w:r w:rsidRPr="00504BCA">
        <w:rPr>
          <w:rFonts w:cs="Arial" w:hint="cs"/>
          <w:rtl/>
        </w:rPr>
        <w:t>אי</w:t>
      </w:r>
      <w:r w:rsidRPr="00504BCA">
        <w:rPr>
          <w:rFonts w:cs="Arial"/>
          <w:rtl/>
        </w:rPr>
        <w:t xml:space="preserve"> </w:t>
      </w:r>
      <w:r w:rsidRPr="00504BCA">
        <w:rPr>
          <w:rFonts w:cs="Arial" w:hint="cs"/>
          <w:rtl/>
        </w:rPr>
        <w:t>אפשר</w:t>
      </w:r>
      <w:r w:rsidRPr="00504BCA">
        <w:rPr>
          <w:rFonts w:cs="Arial"/>
          <w:rtl/>
        </w:rPr>
        <w:t xml:space="preserve"> </w:t>
      </w:r>
      <w:r w:rsidRPr="00504BCA">
        <w:rPr>
          <w:rFonts w:cs="Arial" w:hint="cs"/>
          <w:rtl/>
        </w:rPr>
        <w:t>לעמוד</w:t>
      </w:r>
      <w:r w:rsidRPr="00504BCA">
        <w:rPr>
          <w:rFonts w:cs="Arial"/>
          <w:rtl/>
        </w:rPr>
        <w:t xml:space="preserve"> </w:t>
      </w:r>
      <w:r w:rsidRPr="00504BCA">
        <w:rPr>
          <w:rFonts w:cs="Arial" w:hint="cs"/>
          <w:rtl/>
        </w:rPr>
        <w:t>על</w:t>
      </w:r>
      <w:r w:rsidRPr="00504BCA">
        <w:rPr>
          <w:rFonts w:cs="Arial"/>
          <w:rtl/>
        </w:rPr>
        <w:t xml:space="preserve"> </w:t>
      </w:r>
      <w:r w:rsidRPr="00504BCA">
        <w:rPr>
          <w:rFonts w:cs="Arial" w:hint="cs"/>
          <w:rtl/>
        </w:rPr>
        <w:t>מה</w:t>
      </w:r>
      <w:r w:rsidRPr="00504BCA">
        <w:rPr>
          <w:rFonts w:cs="Arial"/>
          <w:rtl/>
        </w:rPr>
        <w:t xml:space="preserve"> </w:t>
      </w:r>
      <w:r w:rsidRPr="00504BCA">
        <w:rPr>
          <w:rFonts w:cs="Arial" w:hint="cs"/>
          <w:rtl/>
        </w:rPr>
        <w:t>שבלעה</w:t>
      </w:r>
      <w:r w:rsidRPr="00504BCA">
        <w:rPr>
          <w:rFonts w:cs="Arial"/>
          <w:rtl/>
        </w:rPr>
        <w:t xml:space="preserve"> </w:t>
      </w:r>
      <w:r w:rsidRPr="00504BCA">
        <w:rPr>
          <w:rFonts w:cs="Arial" w:hint="cs"/>
          <w:rtl/>
        </w:rPr>
        <w:t>בצמצום</w:t>
      </w:r>
      <w:r>
        <w:rPr>
          <w:rStyle w:val="a7"/>
          <w:rFonts w:cs="Arial"/>
          <w:rtl/>
        </w:rPr>
        <w:footnoteReference w:id="1872"/>
      </w:r>
      <w:r w:rsidRPr="00504BCA">
        <w:rPr>
          <w:rFonts w:cs="Arial"/>
          <w:rtl/>
        </w:rPr>
        <w:t>.</w:t>
      </w:r>
    </w:p>
    <w:p w14:paraId="7E2C7EE0" w14:textId="77777777" w:rsidR="002C39F4" w:rsidRPr="00787DF5" w:rsidRDefault="002C39F4" w:rsidP="0032102C">
      <w:pPr>
        <w:pStyle w:val="a8"/>
        <w:numPr>
          <w:ilvl w:val="0"/>
          <w:numId w:val="186"/>
        </w:numPr>
        <w:rPr>
          <w:rFonts w:cs="Arial"/>
          <w:rtl/>
        </w:rPr>
      </w:pPr>
      <w:r w:rsidRPr="00C36988">
        <w:rPr>
          <w:rFonts w:cs="Arial"/>
          <w:rtl/>
        </w:rPr>
        <w:t>רשב"</w:t>
      </w:r>
      <w:r>
        <w:rPr>
          <w:rFonts w:cs="Arial" w:hint="cs"/>
          <w:rtl/>
        </w:rPr>
        <w:t>א</w:t>
      </w:r>
      <w:r w:rsidRPr="00C36988">
        <w:rPr>
          <w:rFonts w:cs="Arial" w:hint="cs"/>
          <w:rtl/>
        </w:rPr>
        <w:t>-</w:t>
      </w:r>
      <w:r w:rsidRPr="00C36988">
        <w:rPr>
          <w:rFonts w:cs="Arial"/>
          <w:rtl/>
        </w:rPr>
        <w:t xml:space="preserve"> </w:t>
      </w:r>
      <w:r>
        <w:rPr>
          <w:rFonts w:cs="Arial" w:hint="cs"/>
          <w:rtl/>
        </w:rPr>
        <w:t xml:space="preserve">משערינן </w:t>
      </w:r>
      <w:r w:rsidRPr="00C36988">
        <w:rPr>
          <w:rFonts w:cs="Arial"/>
          <w:rtl/>
        </w:rPr>
        <w:t>במה שהוא בלוע בתוך דופני הקדרה</w:t>
      </w:r>
      <w:r>
        <w:rPr>
          <w:rFonts w:cs="Arial" w:hint="cs"/>
          <w:rtl/>
        </w:rPr>
        <w:t>...</w:t>
      </w:r>
      <w:r w:rsidRPr="00C36988">
        <w:rPr>
          <w:rFonts w:cs="Arial"/>
          <w:rtl/>
        </w:rPr>
        <w:t xml:space="preserve"> ובאומד יפה</w:t>
      </w:r>
      <w:r>
        <w:rPr>
          <w:rFonts w:cs="Arial" w:hint="cs"/>
          <w:rtl/>
        </w:rPr>
        <w:t>...</w:t>
      </w:r>
      <w:r w:rsidRPr="00C36988">
        <w:rPr>
          <w:rFonts w:cs="Arial"/>
          <w:rtl/>
        </w:rPr>
        <w:t xml:space="preserve"> ומסתברא דדוקא במין במינו דמד</w:t>
      </w:r>
      <w:r>
        <w:rPr>
          <w:rFonts w:cs="Arial" w:hint="cs"/>
          <w:rtl/>
        </w:rPr>
        <w:t>או'</w:t>
      </w:r>
      <w:r w:rsidRPr="00C36988">
        <w:rPr>
          <w:rFonts w:cs="Arial"/>
          <w:rtl/>
        </w:rPr>
        <w:t xml:space="preserve"> חד בתרי בטיל אבל מין בשאינו מינו דקי"ל </w:t>
      </w:r>
      <w:r w:rsidRPr="00787DF5">
        <w:rPr>
          <w:rFonts w:cs="Arial"/>
          <w:sz w:val="16"/>
          <w:szCs w:val="16"/>
          <w:rtl/>
        </w:rPr>
        <w:t xml:space="preserve">(ע"ז סז.) </w:t>
      </w:r>
      <w:r w:rsidRPr="00C36988">
        <w:rPr>
          <w:rFonts w:cs="Arial"/>
          <w:rtl/>
        </w:rPr>
        <w:t>דכזית בכדי אכילת פרס דאו</w:t>
      </w:r>
      <w:r>
        <w:rPr>
          <w:rFonts w:cs="Arial" w:hint="cs"/>
          <w:rtl/>
        </w:rPr>
        <w:t>',</w:t>
      </w:r>
      <w:r w:rsidRPr="00C36988">
        <w:rPr>
          <w:rFonts w:cs="Arial"/>
          <w:rtl/>
        </w:rPr>
        <w:t xml:space="preserve"> ואפשר דאפ</w:t>
      </w:r>
      <w:r>
        <w:rPr>
          <w:rFonts w:cs="Arial" w:hint="cs"/>
          <w:rtl/>
        </w:rPr>
        <w:t>ילו</w:t>
      </w:r>
      <w:r w:rsidRPr="00C36988">
        <w:rPr>
          <w:rFonts w:cs="Arial"/>
          <w:rtl/>
        </w:rPr>
        <w:t xml:space="preserve"> עד ששים למאן דאמר טעם כעיקר דאו</w:t>
      </w:r>
      <w:r>
        <w:rPr>
          <w:rFonts w:cs="Arial" w:hint="cs"/>
          <w:rtl/>
        </w:rPr>
        <w:t>',</w:t>
      </w:r>
      <w:r w:rsidRPr="00C36988">
        <w:rPr>
          <w:rFonts w:cs="Arial"/>
          <w:rtl/>
        </w:rPr>
        <w:t xml:space="preserve"> אין הולכים בו להקל</w:t>
      </w:r>
      <w:r w:rsidRPr="00C36988">
        <w:rPr>
          <w:rFonts w:cs="Arial" w:hint="cs"/>
          <w:rtl/>
        </w:rPr>
        <w:t>,</w:t>
      </w:r>
      <w:r w:rsidRPr="00C36988">
        <w:rPr>
          <w:rFonts w:cs="Arial"/>
          <w:rtl/>
        </w:rPr>
        <w:t xml:space="preserve"> והלכך מסתברא דהלכה למעשה שאין משערין במין ושאינו מינו אלא כמו שבאו לפנינו האיסור וההיתר שהוא עכשיו בעין בתוך הקדרה</w:t>
      </w:r>
      <w:r>
        <w:rPr>
          <w:rStyle w:val="a7"/>
          <w:rFonts w:cs="Arial"/>
          <w:rtl/>
        </w:rPr>
        <w:footnoteReference w:id="1873"/>
      </w:r>
      <w:r>
        <w:rPr>
          <w:rFonts w:cs="Arial" w:hint="cs"/>
          <w:rtl/>
        </w:rPr>
        <w:t>.</w:t>
      </w:r>
      <w:r w:rsidRPr="00311A23">
        <w:rPr>
          <w:rFonts w:cs="Arial" w:hint="cs"/>
          <w:color w:val="E36C0A" w:themeColor="accent6" w:themeShade="BF"/>
          <w:rtl/>
        </w:rPr>
        <w:t xml:space="preserve"> (וכ"פ בשו"ע)</w:t>
      </w:r>
    </w:p>
    <w:p w14:paraId="0C0C6033"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1D32BB7" w14:textId="77777777" w:rsidR="002C39F4" w:rsidRDefault="002C39F4" w:rsidP="002C39F4">
      <w:pPr>
        <w:rPr>
          <w:rFonts w:asciiTheme="minorBidi" w:hAnsiTheme="minorBidi"/>
          <w:rtl/>
        </w:rPr>
      </w:pPr>
      <w:r w:rsidRPr="003024E5">
        <w:rPr>
          <w:rFonts w:asciiTheme="minorBidi" w:hAnsiTheme="minorBidi"/>
          <w:rtl/>
        </w:rPr>
        <w:t>משערים ברוטב ובקיפה</w:t>
      </w:r>
      <w:r>
        <w:rPr>
          <w:rStyle w:val="a7"/>
          <w:rFonts w:asciiTheme="minorBidi" w:hAnsiTheme="minorBidi"/>
          <w:rtl/>
        </w:rPr>
        <w:footnoteReference w:id="1874"/>
      </w:r>
      <w:r w:rsidRPr="003024E5">
        <w:rPr>
          <w:rFonts w:asciiTheme="minorBidi" w:hAnsiTheme="minorBidi"/>
          <w:rtl/>
        </w:rPr>
        <w:t xml:space="preserve"> ובחתיכות</w:t>
      </w:r>
      <w:r>
        <w:rPr>
          <w:rFonts w:asciiTheme="minorBidi" w:hAnsiTheme="minorBidi" w:hint="cs"/>
          <w:rtl/>
        </w:rPr>
        <w:t>,</w:t>
      </w:r>
      <w:r w:rsidRPr="003024E5">
        <w:rPr>
          <w:rFonts w:asciiTheme="minorBidi" w:hAnsiTheme="minorBidi"/>
          <w:rtl/>
        </w:rPr>
        <w:t xml:space="preserve"> ומשערין ההיתר והאיסור כמו שבא לפנינו אף על גב שהיה בהיתר יותר מתחלה ונתמעט בבישולו ונבלע בקדרה</w:t>
      </w:r>
      <w:r>
        <w:rPr>
          <w:rStyle w:val="a7"/>
          <w:rFonts w:asciiTheme="minorBidi" w:hAnsiTheme="minorBidi"/>
          <w:rtl/>
        </w:rPr>
        <w:footnoteReference w:id="1875"/>
      </w:r>
      <w:r>
        <w:rPr>
          <w:rFonts w:asciiTheme="minorBidi" w:hAnsiTheme="minorBidi" w:hint="cs"/>
          <w:rtl/>
        </w:rPr>
        <w:t>,</w:t>
      </w:r>
      <w:r w:rsidRPr="003024E5">
        <w:rPr>
          <w:rFonts w:asciiTheme="minorBidi" w:hAnsiTheme="minorBidi"/>
          <w:rtl/>
        </w:rPr>
        <w:t xml:space="preserve"> והני מילי במין בשאינו מינו</w:t>
      </w:r>
      <w:r>
        <w:rPr>
          <w:rStyle w:val="a7"/>
          <w:rFonts w:asciiTheme="minorBidi" w:hAnsiTheme="minorBidi"/>
          <w:rtl/>
        </w:rPr>
        <w:footnoteReference w:id="1876"/>
      </w:r>
      <w:r w:rsidRPr="003024E5">
        <w:rPr>
          <w:rFonts w:asciiTheme="minorBidi" w:hAnsiTheme="minorBidi"/>
          <w:rtl/>
        </w:rPr>
        <w:t>, אבל אם הוא מין במינו משערין גם במה שבלעה הקדרה ועומד בדופני הקדרה</w:t>
      </w:r>
      <w:r>
        <w:rPr>
          <w:rFonts w:asciiTheme="minorBidi" w:hAnsiTheme="minorBidi" w:hint="cs"/>
          <w:rtl/>
        </w:rPr>
        <w:t>,</w:t>
      </w:r>
      <w:r w:rsidRPr="003024E5">
        <w:rPr>
          <w:rFonts w:asciiTheme="minorBidi" w:hAnsiTheme="minorBidi"/>
          <w:rtl/>
        </w:rPr>
        <w:t xml:space="preserve"> ומשערים זה באומד יפה ורואין אותו כאילו הוא בעין, אבל מה שכלה ואבד מחמת האור אינו מצטרף שזה כלה לגמרי. </w:t>
      </w:r>
      <w:r>
        <w:rPr>
          <w:rFonts w:asciiTheme="minorBidi" w:hAnsiTheme="minorBidi" w:hint="cs"/>
          <w:rtl/>
        </w:rPr>
        <w:t xml:space="preserve"> </w:t>
      </w:r>
    </w:p>
    <w:p w14:paraId="2D40E53F" w14:textId="77777777" w:rsidR="002C39F4" w:rsidRPr="003024E5" w:rsidRDefault="002C39F4" w:rsidP="002C39F4">
      <w:pPr>
        <w:rPr>
          <w:rFonts w:asciiTheme="minorBidi" w:hAnsiTheme="minorBidi"/>
          <w:rtl/>
        </w:rPr>
      </w:pPr>
    </w:p>
    <w:p w14:paraId="2DA76C97"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ביטול איסור דאורייתא.</w:t>
      </w:r>
    </w:p>
    <w:p w14:paraId="0AFDBA5F" w14:textId="77777777" w:rsidR="002C39F4" w:rsidRDefault="002C39F4" w:rsidP="002C39F4">
      <w:pPr>
        <w:rPr>
          <w:rFonts w:cs="Arial"/>
          <w:rtl/>
        </w:rPr>
      </w:pPr>
      <w:r w:rsidRPr="006D69A2">
        <w:rPr>
          <w:rFonts w:cs="Arial" w:hint="cs"/>
          <w:b/>
          <w:bCs/>
          <w:rtl/>
        </w:rPr>
        <w:t xml:space="preserve">משנה תרומות פ"ה מ"ט: </w:t>
      </w:r>
      <w:r w:rsidRPr="006D69A2">
        <w:rPr>
          <w:rFonts w:cs="Arial"/>
          <w:rtl/>
        </w:rPr>
        <w:t>סאה תרומה שנפלה לפחות ממאה ואחר כן נפלו שם חולין</w:t>
      </w:r>
      <w:r>
        <w:rPr>
          <w:rFonts w:cs="Arial" w:hint="cs"/>
          <w:rtl/>
        </w:rPr>
        <w:t>,</w:t>
      </w:r>
      <w:r w:rsidRPr="006D69A2">
        <w:rPr>
          <w:rFonts w:cs="Arial"/>
          <w:rtl/>
        </w:rPr>
        <w:t xml:space="preserve"> אם שוגג </w:t>
      </w:r>
      <w:r>
        <w:rPr>
          <w:rFonts w:cs="Arial" w:hint="cs"/>
          <w:rtl/>
        </w:rPr>
        <w:t xml:space="preserve">- </w:t>
      </w:r>
      <w:r w:rsidRPr="006D69A2">
        <w:rPr>
          <w:rFonts w:cs="Arial"/>
          <w:rtl/>
        </w:rPr>
        <w:t>מותר</w:t>
      </w:r>
      <w:r>
        <w:rPr>
          <w:rFonts w:cs="Arial" w:hint="cs"/>
          <w:rtl/>
        </w:rPr>
        <w:t>,</w:t>
      </w:r>
      <w:r w:rsidRPr="006D69A2">
        <w:rPr>
          <w:rFonts w:cs="Arial"/>
          <w:rtl/>
        </w:rPr>
        <w:t xml:space="preserve"> ואם מזיד </w:t>
      </w:r>
      <w:r>
        <w:rPr>
          <w:rFonts w:cs="Arial" w:hint="cs"/>
          <w:rtl/>
        </w:rPr>
        <w:t xml:space="preserve">- </w:t>
      </w:r>
      <w:r w:rsidRPr="006D69A2">
        <w:rPr>
          <w:rFonts w:cs="Arial"/>
          <w:rtl/>
        </w:rPr>
        <w:t>אסור</w:t>
      </w:r>
      <w:r>
        <w:rPr>
          <w:rFonts w:cs="Arial" w:hint="cs"/>
          <w:rtl/>
        </w:rPr>
        <w:t>.</w:t>
      </w:r>
    </w:p>
    <w:p w14:paraId="42E37600" w14:textId="77777777" w:rsidR="002C39F4" w:rsidRPr="00DD350B" w:rsidRDefault="002C39F4" w:rsidP="002C39F4">
      <w:pPr>
        <w:rPr>
          <w:rFonts w:cs="Arial"/>
          <w:sz w:val="16"/>
          <w:szCs w:val="16"/>
          <w:rtl/>
        </w:rPr>
      </w:pPr>
      <w:r w:rsidRPr="00221C51">
        <w:rPr>
          <w:rFonts w:cs="Arial" w:hint="cs"/>
          <w:u w:val="single"/>
          <w:rtl/>
        </w:rPr>
        <w:t>ביטול איסור</w:t>
      </w:r>
      <w:r>
        <w:rPr>
          <w:rFonts w:cs="Arial" w:hint="cs"/>
          <w:u w:val="single"/>
          <w:rtl/>
        </w:rPr>
        <w:t xml:space="preserve"> דאורייתא</w:t>
      </w:r>
      <w:r>
        <w:rPr>
          <w:rFonts w:cs="Arial" w:hint="cs"/>
          <w:sz w:val="16"/>
          <w:szCs w:val="16"/>
          <w:u w:val="single"/>
          <w:rtl/>
        </w:rPr>
        <w:t xml:space="preserve"> (כגון תרומה)</w:t>
      </w:r>
      <w:r w:rsidRPr="00221C51">
        <w:rPr>
          <w:rFonts w:cs="Arial" w:hint="cs"/>
          <w:u w:val="single"/>
          <w:rtl/>
        </w:rPr>
        <w:t>:</w:t>
      </w:r>
      <w:r>
        <w:rPr>
          <w:rFonts w:cs="Arial" w:hint="cs"/>
          <w:sz w:val="16"/>
          <w:szCs w:val="16"/>
          <w:rtl/>
        </w:rPr>
        <w:t xml:space="preserve"> (ב"י [סע' ו])</w:t>
      </w:r>
    </w:p>
    <w:p w14:paraId="2B32AD47" w14:textId="77777777" w:rsidR="002C39F4" w:rsidRPr="00DD350B" w:rsidRDefault="002C39F4" w:rsidP="0032102C">
      <w:pPr>
        <w:pStyle w:val="a8"/>
        <w:numPr>
          <w:ilvl w:val="0"/>
          <w:numId w:val="192"/>
        </w:numPr>
        <w:rPr>
          <w:rFonts w:cs="Arial"/>
          <w:rtl/>
        </w:rPr>
      </w:pPr>
      <w:r w:rsidRPr="006D69A2">
        <w:rPr>
          <w:rFonts w:cs="Arial"/>
          <w:rtl/>
        </w:rPr>
        <w:t xml:space="preserve">רמב"ם </w:t>
      </w:r>
      <w:r w:rsidRPr="006D69A2">
        <w:rPr>
          <w:rFonts w:cs="Arial" w:hint="cs"/>
          <w:sz w:val="16"/>
          <w:szCs w:val="16"/>
          <w:rtl/>
        </w:rPr>
        <w:t>(</w:t>
      </w:r>
      <w:r w:rsidRPr="006D69A2">
        <w:rPr>
          <w:rFonts w:cs="Arial"/>
          <w:sz w:val="16"/>
          <w:szCs w:val="16"/>
          <w:rtl/>
        </w:rPr>
        <w:t>פט"ו</w:t>
      </w:r>
      <w:r w:rsidRPr="006D69A2">
        <w:rPr>
          <w:rFonts w:cs="Arial" w:hint="cs"/>
          <w:sz w:val="16"/>
          <w:szCs w:val="16"/>
          <w:rtl/>
        </w:rPr>
        <w:t xml:space="preserve"> </w:t>
      </w:r>
      <w:r w:rsidRPr="006D69A2">
        <w:rPr>
          <w:rFonts w:cs="Arial"/>
          <w:sz w:val="16"/>
          <w:szCs w:val="16"/>
          <w:rtl/>
        </w:rPr>
        <w:t>הכ</w:t>
      </w:r>
      <w:r w:rsidRPr="006D69A2">
        <w:rPr>
          <w:rFonts w:cs="Arial" w:hint="cs"/>
          <w:sz w:val="16"/>
          <w:szCs w:val="16"/>
          <w:rtl/>
        </w:rPr>
        <w:t>"</w:t>
      </w:r>
      <w:r w:rsidRPr="006D69A2">
        <w:rPr>
          <w:rFonts w:cs="Arial"/>
          <w:sz w:val="16"/>
          <w:szCs w:val="16"/>
          <w:rtl/>
        </w:rPr>
        <w:t>ה-כ</w:t>
      </w:r>
      <w:r w:rsidRPr="006D69A2">
        <w:rPr>
          <w:rFonts w:cs="Arial" w:hint="cs"/>
          <w:sz w:val="16"/>
          <w:szCs w:val="16"/>
          <w:rtl/>
        </w:rPr>
        <w:t>ו</w:t>
      </w:r>
      <w:r w:rsidRPr="006D69A2">
        <w:rPr>
          <w:rFonts w:cs="Arial"/>
          <w:sz w:val="16"/>
          <w:szCs w:val="16"/>
          <w:rtl/>
        </w:rPr>
        <w:t>)</w:t>
      </w:r>
      <w:r w:rsidRPr="000426B5">
        <w:rPr>
          <w:rFonts w:cs="Arial"/>
          <w:rtl/>
        </w:rPr>
        <w:t xml:space="preserve"> </w:t>
      </w:r>
      <w:r>
        <w:rPr>
          <w:rFonts w:cs="Arial" w:hint="cs"/>
          <w:rtl/>
        </w:rPr>
        <w:t>ו</w:t>
      </w:r>
      <w:r w:rsidRPr="005018F9">
        <w:rPr>
          <w:rFonts w:cs="Arial"/>
          <w:rtl/>
        </w:rPr>
        <w:t>רשב"א</w:t>
      </w:r>
      <w:r w:rsidRPr="005018F9">
        <w:rPr>
          <w:rFonts w:cs="Arial" w:hint="cs"/>
          <w:rtl/>
        </w:rPr>
        <w:t xml:space="preserve"> </w:t>
      </w:r>
      <w:r w:rsidRPr="005018F9">
        <w:rPr>
          <w:rFonts w:cs="Arial" w:hint="cs"/>
          <w:sz w:val="16"/>
          <w:szCs w:val="16"/>
          <w:rtl/>
        </w:rPr>
        <w:t xml:space="preserve">(תוה"א </w:t>
      </w:r>
      <w:r w:rsidRPr="005018F9">
        <w:rPr>
          <w:rFonts w:cs="Arial"/>
          <w:sz w:val="16"/>
          <w:szCs w:val="16"/>
          <w:rtl/>
        </w:rPr>
        <w:t>ב"ד ש"ג לב.)</w:t>
      </w:r>
      <w:r w:rsidRPr="006D69A2">
        <w:rPr>
          <w:rFonts w:cs="Arial" w:hint="cs"/>
          <w:rtl/>
        </w:rPr>
        <w:t>-</w:t>
      </w:r>
      <w:r w:rsidRPr="006D69A2">
        <w:rPr>
          <w:rtl/>
        </w:rPr>
        <w:t xml:space="preserve"> </w:t>
      </w:r>
      <w:r w:rsidRPr="006D69A2">
        <w:rPr>
          <w:rFonts w:cs="Arial"/>
          <w:rtl/>
        </w:rPr>
        <w:t>אסור לבטל איסורין של תורה לכתחלה</w:t>
      </w:r>
      <w:r>
        <w:rPr>
          <w:rFonts w:cs="Arial" w:hint="cs"/>
          <w:rtl/>
        </w:rPr>
        <w:t>,</w:t>
      </w:r>
      <w:r w:rsidRPr="006D69A2">
        <w:rPr>
          <w:rFonts w:cs="Arial"/>
          <w:rtl/>
        </w:rPr>
        <w:t xml:space="preserve"> ואם ביטל הרי זה מותר, ואעפ"כ קנסו אותו חכמים ואסרו הכל</w:t>
      </w:r>
      <w:r>
        <w:rPr>
          <w:rFonts w:cs="Arial" w:hint="cs"/>
          <w:rtl/>
        </w:rPr>
        <w:t>...</w:t>
      </w:r>
      <w:r w:rsidRPr="006D69A2">
        <w:rPr>
          <w:rFonts w:cs="Arial" w:hint="cs"/>
          <w:rtl/>
        </w:rPr>
        <w:t xml:space="preserve"> </w:t>
      </w:r>
      <w:r w:rsidRPr="006D69A2">
        <w:rPr>
          <w:rFonts w:cs="Arial"/>
          <w:rtl/>
        </w:rPr>
        <w:t>כיצד</w:t>
      </w:r>
      <w:r>
        <w:rPr>
          <w:rFonts w:cs="Arial" w:hint="cs"/>
          <w:rtl/>
        </w:rPr>
        <w:t>,</w:t>
      </w:r>
      <w:r w:rsidRPr="006D69A2">
        <w:rPr>
          <w:rFonts w:cs="Arial"/>
          <w:rtl/>
        </w:rPr>
        <w:t xml:space="preserve"> הרי שנפלה סאה של ערלה לתוך מאה סאה</w:t>
      </w:r>
      <w:r>
        <w:rPr>
          <w:rFonts w:cs="Arial" w:hint="cs"/>
          <w:rtl/>
        </w:rPr>
        <w:t>,</w:t>
      </w:r>
      <w:r w:rsidRPr="006D69A2">
        <w:rPr>
          <w:rFonts w:cs="Arial"/>
          <w:rtl/>
        </w:rPr>
        <w:t xml:space="preserve"> שהרי נאסר הכל, לא יביא מאה סאה אחרות ויצרף כדי שתעלה באחד ומאתים, ואם עבר ועשה כן הכל מותר</w:t>
      </w:r>
      <w:r>
        <w:rPr>
          <w:rFonts w:cs="Arial" w:hint="cs"/>
          <w:sz w:val="16"/>
          <w:szCs w:val="16"/>
          <w:rtl/>
        </w:rPr>
        <w:t xml:space="preserve"> (ל' הרמב"ם)</w:t>
      </w:r>
      <w:r w:rsidRPr="006D69A2">
        <w:rPr>
          <w:rFonts w:cs="Arial" w:hint="cs"/>
          <w:rtl/>
        </w:rPr>
        <w:t>.</w:t>
      </w:r>
      <w:r w:rsidRPr="000426B5">
        <w:rPr>
          <w:rFonts w:cs="Arial"/>
          <w:rtl/>
        </w:rPr>
        <w:t xml:space="preserve"> </w:t>
      </w:r>
      <w:r w:rsidRPr="005018F9">
        <w:rPr>
          <w:rFonts w:cs="Arial"/>
          <w:rtl/>
        </w:rPr>
        <w:t>אם בשוגג מותר</w:t>
      </w:r>
      <w:r>
        <w:rPr>
          <w:rFonts w:cs="Arial" w:hint="cs"/>
          <w:rtl/>
        </w:rPr>
        <w:t>,</w:t>
      </w:r>
      <w:r w:rsidRPr="005018F9">
        <w:rPr>
          <w:rFonts w:cs="Arial"/>
          <w:rtl/>
        </w:rPr>
        <w:t xml:space="preserve"> ואם במזיד אסור למי שנתבטל בעבורו</w:t>
      </w:r>
      <w:r>
        <w:rPr>
          <w:rFonts w:cs="Arial" w:hint="cs"/>
          <w:sz w:val="16"/>
          <w:szCs w:val="16"/>
          <w:rtl/>
        </w:rPr>
        <w:t xml:space="preserve"> (ל' הרשב"א)</w:t>
      </w:r>
      <w:r w:rsidRPr="005018F9">
        <w:rPr>
          <w:rFonts w:cs="Arial"/>
          <w:rtl/>
        </w:rPr>
        <w:t>.</w:t>
      </w:r>
    </w:p>
    <w:p w14:paraId="522E3703" w14:textId="77777777" w:rsidR="002C39F4" w:rsidRPr="005454A3" w:rsidRDefault="002C39F4" w:rsidP="002C39F4">
      <w:pPr>
        <w:rPr>
          <w:rFonts w:cs="Arial"/>
          <w:u w:val="single"/>
          <w:rtl/>
        </w:rPr>
      </w:pPr>
      <w:r w:rsidRPr="005454A3">
        <w:rPr>
          <w:rFonts w:cs="Arial" w:hint="cs"/>
          <w:u w:val="single"/>
          <w:rtl/>
        </w:rPr>
        <w:t xml:space="preserve">חכם שהובא לפניו קדירה שנפל בה איסור </w:t>
      </w:r>
      <w:r w:rsidRPr="005454A3">
        <w:rPr>
          <w:rFonts w:cs="Arial"/>
          <w:u w:val="single"/>
          <w:rtl/>
        </w:rPr>
        <w:t>–</w:t>
      </w:r>
      <w:r w:rsidRPr="005454A3">
        <w:rPr>
          <w:rFonts w:cs="Arial" w:hint="cs"/>
          <w:u w:val="single"/>
          <w:rtl/>
        </w:rPr>
        <w:t xml:space="preserve"> האם צריך לחקור אם נוס</w:t>
      </w:r>
      <w:r>
        <w:rPr>
          <w:rFonts w:cs="Arial" w:hint="cs"/>
          <w:u w:val="single"/>
          <w:rtl/>
        </w:rPr>
        <w:t xml:space="preserve">ף היתר </w:t>
      </w:r>
      <w:r w:rsidRPr="005454A3">
        <w:rPr>
          <w:rFonts w:cs="Arial" w:hint="cs"/>
          <w:u w:val="single"/>
          <w:rtl/>
        </w:rPr>
        <w:t>לאחר שנפל האיסור:</w:t>
      </w:r>
    </w:p>
    <w:p w14:paraId="52014D19" w14:textId="77777777" w:rsidR="002C39F4" w:rsidRDefault="002C39F4" w:rsidP="0032102C">
      <w:pPr>
        <w:pStyle w:val="a8"/>
        <w:numPr>
          <w:ilvl w:val="0"/>
          <w:numId w:val="188"/>
        </w:numPr>
        <w:rPr>
          <w:rFonts w:cs="Arial"/>
        </w:rPr>
      </w:pPr>
      <w:r w:rsidRPr="005454A3">
        <w:rPr>
          <w:rFonts w:cs="Arial"/>
          <w:rtl/>
        </w:rPr>
        <w:t xml:space="preserve">סמ"ג </w:t>
      </w:r>
      <w:r w:rsidRPr="005454A3">
        <w:rPr>
          <w:rFonts w:cs="Arial"/>
          <w:sz w:val="16"/>
          <w:szCs w:val="16"/>
          <w:rtl/>
        </w:rPr>
        <w:t>(לאוין קמ וקמא</w:t>
      </w:r>
      <w:r>
        <w:rPr>
          <w:rFonts w:cs="Arial" w:hint="cs"/>
          <w:sz w:val="16"/>
          <w:szCs w:val="16"/>
          <w:rtl/>
        </w:rPr>
        <w:t>,</w:t>
      </w:r>
      <w:r w:rsidRPr="005454A3">
        <w:rPr>
          <w:rFonts w:cs="Arial"/>
          <w:sz w:val="16"/>
          <w:szCs w:val="16"/>
          <w:rtl/>
        </w:rPr>
        <w:t xml:space="preserve"> נב</w:t>
      </w:r>
      <w:r>
        <w:rPr>
          <w:rFonts w:cs="Arial" w:hint="cs"/>
          <w:sz w:val="16"/>
          <w:szCs w:val="16"/>
          <w:rtl/>
        </w:rPr>
        <w:t>:</w:t>
      </w:r>
      <w:r w:rsidRPr="005454A3">
        <w:rPr>
          <w:rFonts w:cs="Arial"/>
          <w:sz w:val="16"/>
          <w:szCs w:val="16"/>
          <w:rtl/>
        </w:rPr>
        <w:t>)</w:t>
      </w:r>
      <w:r w:rsidRPr="005454A3">
        <w:rPr>
          <w:rFonts w:cs="Arial"/>
          <w:rtl/>
        </w:rPr>
        <w:t xml:space="preserve"> וסמ"ק </w:t>
      </w:r>
      <w:r w:rsidRPr="005454A3">
        <w:rPr>
          <w:rFonts w:cs="Arial"/>
          <w:sz w:val="16"/>
          <w:szCs w:val="16"/>
          <w:rtl/>
        </w:rPr>
        <w:t>(סי' ריג)</w:t>
      </w:r>
      <w:r w:rsidRPr="005454A3">
        <w:rPr>
          <w:rFonts w:cs="Arial" w:hint="cs"/>
          <w:rtl/>
        </w:rPr>
        <w:t xml:space="preserve">- </w:t>
      </w:r>
      <w:r w:rsidRPr="005454A3">
        <w:rPr>
          <w:rFonts w:cs="Arial"/>
          <w:rtl/>
        </w:rPr>
        <w:t>צריך החכם לחקור אם נתנו מים בקדירה אחר שנתנו בה האיסור שאותן המים שנתנו אח"כ אין מצטרפין לבטל האיסור</w:t>
      </w:r>
      <w:r>
        <w:rPr>
          <w:rStyle w:val="a7"/>
          <w:rFonts w:cs="Arial"/>
          <w:rtl/>
        </w:rPr>
        <w:footnoteReference w:id="1877"/>
      </w:r>
      <w:r w:rsidRPr="005454A3">
        <w:rPr>
          <w:rFonts w:cs="Arial" w:hint="cs"/>
          <w:rtl/>
        </w:rPr>
        <w:t>.</w:t>
      </w:r>
      <w:r w:rsidRPr="005454A3">
        <w:rPr>
          <w:rFonts w:cs="Arial"/>
          <w:rtl/>
        </w:rPr>
        <w:t xml:space="preserve"> </w:t>
      </w:r>
    </w:p>
    <w:p w14:paraId="16F79E36" w14:textId="77777777" w:rsidR="002C39F4" w:rsidRPr="00EC2A36" w:rsidRDefault="002C39F4" w:rsidP="0032102C">
      <w:pPr>
        <w:pStyle w:val="a8"/>
        <w:numPr>
          <w:ilvl w:val="0"/>
          <w:numId w:val="188"/>
        </w:numPr>
        <w:rPr>
          <w:rFonts w:cs="Arial"/>
        </w:rPr>
      </w:pPr>
      <w:r w:rsidRPr="005454A3">
        <w:rPr>
          <w:rFonts w:cs="Arial" w:hint="cs"/>
          <w:rtl/>
        </w:rPr>
        <w:t xml:space="preserve">טור- </w:t>
      </w:r>
      <w:r w:rsidRPr="005454A3">
        <w:rPr>
          <w:rFonts w:cs="Arial"/>
          <w:rtl/>
        </w:rPr>
        <w:t>א</w:t>
      </w:r>
      <w:r w:rsidRPr="005454A3">
        <w:rPr>
          <w:rFonts w:cs="Arial" w:hint="cs"/>
          <w:rtl/>
        </w:rPr>
        <w:t xml:space="preserve">ין </w:t>
      </w:r>
      <w:r w:rsidRPr="005454A3">
        <w:rPr>
          <w:rFonts w:cs="Arial"/>
          <w:rtl/>
        </w:rPr>
        <w:t>צ</w:t>
      </w:r>
      <w:r w:rsidRPr="005454A3">
        <w:rPr>
          <w:rFonts w:cs="Arial" w:hint="cs"/>
          <w:rtl/>
        </w:rPr>
        <w:t>ריך,</w:t>
      </w:r>
      <w:r w:rsidRPr="005454A3">
        <w:rPr>
          <w:rFonts w:cs="Arial"/>
          <w:rtl/>
        </w:rPr>
        <w:t xml:space="preserve"> שאפילו אם הוסיף מים אח"כ אם לא כיון כדי לבטל האיסור</w:t>
      </w:r>
      <w:r>
        <w:rPr>
          <w:rFonts w:cs="Arial" w:hint="cs"/>
          <w:rtl/>
        </w:rPr>
        <w:t xml:space="preserve"> -</w:t>
      </w:r>
      <w:r w:rsidRPr="005454A3">
        <w:rPr>
          <w:rFonts w:cs="Arial"/>
          <w:rtl/>
        </w:rPr>
        <w:t xml:space="preserve"> מצטרפין</w:t>
      </w:r>
      <w:r>
        <w:rPr>
          <w:rFonts w:cs="Arial" w:hint="cs"/>
          <w:rtl/>
        </w:rPr>
        <w:t>,</w:t>
      </w:r>
      <w:r w:rsidRPr="005454A3">
        <w:rPr>
          <w:rFonts w:cs="Arial"/>
          <w:rtl/>
        </w:rPr>
        <w:t xml:space="preserve"> דקי"ל כל האיסורין שריבה עליהן שוגג מותרים במזיד אסורין</w:t>
      </w:r>
      <w:r>
        <w:rPr>
          <w:rStyle w:val="a7"/>
          <w:rFonts w:cs="Arial"/>
          <w:rtl/>
        </w:rPr>
        <w:footnoteReference w:id="1878"/>
      </w:r>
      <w:r>
        <w:rPr>
          <w:rFonts w:cs="Arial" w:hint="cs"/>
          <w:rtl/>
        </w:rPr>
        <w:t>,</w:t>
      </w:r>
      <w:r w:rsidRPr="005454A3">
        <w:rPr>
          <w:rFonts w:cs="Arial"/>
          <w:rtl/>
        </w:rPr>
        <w:t xml:space="preserve"> ואין לחוש שמא יבאו לרבות במזיד שאם באנו לחוש לזה גם לא נאמין לו מה שאומר שלא ריבה</w:t>
      </w:r>
      <w:r w:rsidRPr="005454A3">
        <w:rPr>
          <w:rFonts w:cs="Arial" w:hint="cs"/>
          <w:rtl/>
        </w:rPr>
        <w:t>.</w:t>
      </w:r>
      <w:r w:rsidRPr="005454A3">
        <w:rPr>
          <w:rFonts w:cs="Arial"/>
          <w:rtl/>
        </w:rPr>
        <w:t xml:space="preserve"> </w:t>
      </w:r>
    </w:p>
    <w:p w14:paraId="347D4733" w14:textId="77777777" w:rsidR="002C39F4" w:rsidRPr="00EC2A36" w:rsidRDefault="002C39F4" w:rsidP="002C39F4">
      <w:pPr>
        <w:ind w:left="360"/>
        <w:rPr>
          <w:rFonts w:cs="Arial"/>
          <w:u w:val="dotted"/>
        </w:rPr>
      </w:pPr>
      <w:r w:rsidRPr="00630248">
        <w:rPr>
          <w:rFonts w:cs="Arial" w:hint="cs"/>
          <w:u w:val="dotted"/>
          <w:rtl/>
        </w:rPr>
        <w:t>לד</w:t>
      </w:r>
      <w:r>
        <w:rPr>
          <w:rFonts w:cs="Arial" w:hint="cs"/>
          <w:u w:val="dotted"/>
          <w:rtl/>
        </w:rPr>
        <w:t>עת</w:t>
      </w:r>
      <w:r w:rsidRPr="00630248">
        <w:rPr>
          <w:rFonts w:cs="Arial" w:hint="cs"/>
          <w:u w:val="dotted"/>
          <w:rtl/>
        </w:rPr>
        <w:t xml:space="preserve"> הטור</w:t>
      </w:r>
      <w:r w:rsidRPr="00EC2A36">
        <w:rPr>
          <w:rFonts w:cs="Arial" w:hint="cs"/>
          <w:u w:val="dotted"/>
          <w:rtl/>
        </w:rPr>
        <w:t xml:space="preserve"> </w:t>
      </w:r>
      <w:r>
        <w:rPr>
          <w:rFonts w:cs="Arial" w:hint="cs"/>
          <w:u w:val="dotted"/>
          <w:rtl/>
        </w:rPr>
        <w:t>- הא ד</w:t>
      </w:r>
      <w:r w:rsidRPr="00EC2A36">
        <w:rPr>
          <w:rFonts w:cs="Arial" w:hint="cs"/>
          <w:u w:val="dotted"/>
          <w:rtl/>
        </w:rPr>
        <w:t>א</w:t>
      </w:r>
      <w:r>
        <w:rPr>
          <w:rFonts w:cs="Arial" w:hint="cs"/>
          <w:u w:val="dotted"/>
          <w:rtl/>
        </w:rPr>
        <w:t xml:space="preserve">ין </w:t>
      </w:r>
      <w:r w:rsidRPr="00EC2A36">
        <w:rPr>
          <w:rFonts w:cs="Arial" w:hint="cs"/>
          <w:u w:val="dotted"/>
          <w:rtl/>
        </w:rPr>
        <w:t>צ</w:t>
      </w:r>
      <w:r>
        <w:rPr>
          <w:rFonts w:cs="Arial" w:hint="cs"/>
          <w:u w:val="dotted"/>
          <w:rtl/>
        </w:rPr>
        <w:t>ריך</w:t>
      </w:r>
      <w:r w:rsidRPr="00EC2A36">
        <w:rPr>
          <w:rFonts w:cs="Arial" w:hint="cs"/>
          <w:u w:val="dotted"/>
          <w:rtl/>
        </w:rPr>
        <w:t xml:space="preserve"> חקירה</w:t>
      </w:r>
      <w:r>
        <w:rPr>
          <w:rFonts w:cs="Arial" w:hint="cs"/>
          <w:u w:val="dotted"/>
          <w:rtl/>
        </w:rPr>
        <w:t xml:space="preserve"> הוא </w:t>
      </w:r>
      <w:r w:rsidRPr="00EC2A36">
        <w:rPr>
          <w:rFonts w:cs="Arial" w:hint="cs"/>
          <w:u w:val="dotted"/>
          <w:rtl/>
        </w:rPr>
        <w:t xml:space="preserve">דוקא בשאר איסורין או אף בבשר </w:t>
      </w:r>
      <w:r>
        <w:rPr>
          <w:rFonts w:cs="Arial" w:hint="cs"/>
          <w:u w:val="dotted"/>
          <w:rtl/>
        </w:rPr>
        <w:t>ב</w:t>
      </w:r>
      <w:r w:rsidRPr="00EC2A36">
        <w:rPr>
          <w:rFonts w:cs="Arial" w:hint="cs"/>
          <w:u w:val="dotted"/>
          <w:rtl/>
        </w:rPr>
        <w:t>חלב:</w:t>
      </w:r>
    </w:p>
    <w:p w14:paraId="4521313D" w14:textId="77777777" w:rsidR="002C39F4" w:rsidRDefault="002C39F4" w:rsidP="0032102C">
      <w:pPr>
        <w:pStyle w:val="a8"/>
        <w:numPr>
          <w:ilvl w:val="0"/>
          <w:numId w:val="188"/>
        </w:numPr>
        <w:rPr>
          <w:rFonts w:cs="Arial"/>
        </w:rPr>
      </w:pPr>
      <w:r w:rsidRPr="00E4712D">
        <w:rPr>
          <w:rFonts w:cs="Arial" w:hint="cs"/>
          <w:rtl/>
        </w:rPr>
        <w:t>ב"י-</w:t>
      </w:r>
      <w:r>
        <w:rPr>
          <w:rFonts w:cs="Arial" w:hint="cs"/>
          <w:rtl/>
        </w:rPr>
        <w:t xml:space="preserve"> דוקא בשאר איסורין, אבל בבשר בחלב צריך חקירה כיון דאמרינן חנ"נ</w:t>
      </w:r>
      <w:r>
        <w:rPr>
          <w:rStyle w:val="a7"/>
          <w:rFonts w:cs="Arial"/>
          <w:rtl/>
        </w:rPr>
        <w:footnoteReference w:id="1879"/>
      </w:r>
      <w:r w:rsidRPr="00E4712D">
        <w:rPr>
          <w:rFonts w:cs="Arial" w:hint="cs"/>
          <w:rtl/>
        </w:rPr>
        <w:t>.</w:t>
      </w:r>
    </w:p>
    <w:p w14:paraId="256AD677" w14:textId="77777777" w:rsidR="002C39F4" w:rsidRDefault="002C39F4" w:rsidP="0032102C">
      <w:pPr>
        <w:pStyle w:val="a8"/>
        <w:numPr>
          <w:ilvl w:val="0"/>
          <w:numId w:val="188"/>
        </w:numPr>
        <w:rPr>
          <w:rFonts w:cs="Arial"/>
        </w:rPr>
      </w:pPr>
      <w:r>
        <w:rPr>
          <w:rFonts w:cs="Arial" w:hint="cs"/>
          <w:rtl/>
        </w:rPr>
        <w:t xml:space="preserve">דרכ"מ </w:t>
      </w:r>
      <w:r w:rsidRPr="00E4712D">
        <w:rPr>
          <w:rFonts w:cs="Arial" w:hint="cs"/>
          <w:sz w:val="16"/>
          <w:szCs w:val="16"/>
          <w:rtl/>
        </w:rPr>
        <w:t>(</w:t>
      </w:r>
      <w:r w:rsidRPr="00366FF9">
        <w:rPr>
          <w:rFonts w:cs="Arial" w:hint="cs"/>
          <w:sz w:val="14"/>
          <w:szCs w:val="14"/>
          <w:rtl/>
        </w:rPr>
        <w:t xml:space="preserve">[אות ב] </w:t>
      </w:r>
      <w:r>
        <w:rPr>
          <w:rFonts w:cs="Arial" w:hint="cs"/>
          <w:sz w:val="16"/>
          <w:szCs w:val="16"/>
          <w:rtl/>
        </w:rPr>
        <w:t>תרוץ א</w:t>
      </w:r>
      <w:r w:rsidRPr="00E4712D">
        <w:rPr>
          <w:rFonts w:cs="Arial" w:hint="cs"/>
          <w:sz w:val="16"/>
          <w:szCs w:val="16"/>
          <w:rtl/>
        </w:rPr>
        <w:t>)</w:t>
      </w:r>
      <w:r>
        <w:rPr>
          <w:rFonts w:cs="Arial" w:hint="cs"/>
          <w:rtl/>
        </w:rPr>
        <w:t xml:space="preserve">- </w:t>
      </w:r>
      <w:r>
        <w:rPr>
          <w:rFonts w:cs="Arial"/>
          <w:rtl/>
        </w:rPr>
        <w:t xml:space="preserve">הא דכתב רבינו </w:t>
      </w:r>
      <w:r>
        <w:rPr>
          <w:rFonts w:cs="Arial" w:hint="cs"/>
          <w:rtl/>
        </w:rPr>
        <w:t>'</w:t>
      </w:r>
      <w:r>
        <w:rPr>
          <w:rFonts w:cs="Arial"/>
          <w:rtl/>
        </w:rPr>
        <w:t>דקי"ל כל האיסורים שריבה עליהן בשוגג מותרין</w:t>
      </w:r>
      <w:r>
        <w:rPr>
          <w:rFonts w:cs="Arial" w:hint="cs"/>
          <w:rtl/>
        </w:rPr>
        <w:t>'</w:t>
      </w:r>
      <w:r>
        <w:rPr>
          <w:rFonts w:cs="Arial"/>
          <w:rtl/>
        </w:rPr>
        <w:t xml:space="preserve"> קאי אכל איסורין אפילו בבשר וחלב</w:t>
      </w:r>
      <w:r>
        <w:rPr>
          <w:rFonts w:cs="Arial" w:hint="cs"/>
          <w:rtl/>
        </w:rPr>
        <w:t>,</w:t>
      </w:r>
      <w:r>
        <w:rPr>
          <w:rFonts w:cs="Arial"/>
          <w:rtl/>
        </w:rPr>
        <w:t xml:space="preserve"> אע</w:t>
      </w:r>
      <w:r>
        <w:rPr>
          <w:rFonts w:cs="Arial" w:hint="cs"/>
          <w:rtl/>
        </w:rPr>
        <w:t>"</w:t>
      </w:r>
      <w:r>
        <w:rPr>
          <w:rFonts w:cs="Arial"/>
          <w:rtl/>
        </w:rPr>
        <w:t>ג דלכ</w:t>
      </w:r>
      <w:r>
        <w:rPr>
          <w:rFonts w:cs="Arial" w:hint="cs"/>
          <w:rtl/>
        </w:rPr>
        <w:t>ו</w:t>
      </w:r>
      <w:r>
        <w:rPr>
          <w:rFonts w:cs="Arial"/>
          <w:rtl/>
        </w:rPr>
        <w:t>"ע חנ"נ</w:t>
      </w:r>
      <w:r>
        <w:rPr>
          <w:rFonts w:cs="Arial" w:hint="cs"/>
          <w:rtl/>
        </w:rPr>
        <w:t>,</w:t>
      </w:r>
      <w:r>
        <w:rPr>
          <w:rFonts w:cs="Arial"/>
          <w:rtl/>
        </w:rPr>
        <w:t xml:space="preserve"> ס"ל דאפ"ה אם ריבה שוגג אע</w:t>
      </w:r>
      <w:r>
        <w:rPr>
          <w:rFonts w:cs="Arial" w:hint="cs"/>
          <w:rtl/>
        </w:rPr>
        <w:t>"</w:t>
      </w:r>
      <w:r>
        <w:rPr>
          <w:rFonts w:cs="Arial"/>
          <w:rtl/>
        </w:rPr>
        <w:t>ג דאין ס' לבטל כל הקדירה אפ"ה שרי</w:t>
      </w:r>
      <w:r>
        <w:rPr>
          <w:rFonts w:cs="Arial" w:hint="cs"/>
          <w:rtl/>
        </w:rPr>
        <w:t>,</w:t>
      </w:r>
      <w:r>
        <w:rPr>
          <w:rFonts w:cs="Arial"/>
          <w:rtl/>
        </w:rPr>
        <w:t xml:space="preserve"> דמצטרף כל ההיתר יחד לבטל האיסור הראשון שנפל הואיל ונתרבה בשוגג</w:t>
      </w:r>
      <w:r>
        <w:rPr>
          <w:rFonts w:cs="Arial" w:hint="cs"/>
          <w:rtl/>
        </w:rPr>
        <w:t>,</w:t>
      </w:r>
      <w:r>
        <w:rPr>
          <w:rFonts w:cs="Arial"/>
          <w:rtl/>
        </w:rPr>
        <w:t xml:space="preserve"> והא דאמרינן חנ"נ היינו אם ערבו במזיד דאז אמרינן חנ"נ ובעינן ס' נגד כל האיסור</w:t>
      </w:r>
      <w:r>
        <w:rPr>
          <w:rFonts w:cs="Arial" w:hint="cs"/>
          <w:rtl/>
        </w:rPr>
        <w:t>,</w:t>
      </w:r>
      <w:r>
        <w:rPr>
          <w:rFonts w:cs="Arial"/>
          <w:rtl/>
        </w:rPr>
        <w:t xml:space="preserve"> ואם לאו לכ</w:t>
      </w:r>
      <w:r>
        <w:rPr>
          <w:rFonts w:cs="Arial" w:hint="cs"/>
          <w:rtl/>
        </w:rPr>
        <w:t>ו</w:t>
      </w:r>
      <w:r>
        <w:rPr>
          <w:rFonts w:cs="Arial"/>
          <w:rtl/>
        </w:rPr>
        <w:t>"ע אסור אף לאחריני דלא מתכוין לבטל בגינייהו</w:t>
      </w:r>
      <w:r>
        <w:rPr>
          <w:rFonts w:cs="Arial" w:hint="cs"/>
          <w:rtl/>
        </w:rPr>
        <w:t>,</w:t>
      </w:r>
      <w:r>
        <w:rPr>
          <w:rFonts w:cs="Arial"/>
          <w:rtl/>
        </w:rPr>
        <w:t xml:space="preserve"> אבל לדידיה או למי שמכוין לבטלו בשבילו אפילו בלא חנ"נ אסור כדלקמן</w:t>
      </w:r>
      <w:r>
        <w:rPr>
          <w:rFonts w:cs="Arial" w:hint="cs"/>
          <w:rtl/>
        </w:rPr>
        <w:t>.</w:t>
      </w:r>
    </w:p>
    <w:p w14:paraId="0EB25CE3" w14:textId="77777777" w:rsidR="002C39F4" w:rsidRPr="00E4712D" w:rsidRDefault="002C39F4" w:rsidP="0032102C">
      <w:pPr>
        <w:pStyle w:val="a8"/>
        <w:numPr>
          <w:ilvl w:val="0"/>
          <w:numId w:val="188"/>
        </w:numPr>
        <w:rPr>
          <w:rFonts w:cs="Arial"/>
          <w:rtl/>
        </w:rPr>
      </w:pPr>
      <w:r>
        <w:rPr>
          <w:rFonts w:cs="Arial" w:hint="cs"/>
          <w:rtl/>
        </w:rPr>
        <w:t xml:space="preserve">דרכ"מ </w:t>
      </w:r>
      <w:r w:rsidRPr="00E4712D">
        <w:rPr>
          <w:rFonts w:cs="Arial" w:hint="cs"/>
          <w:sz w:val="16"/>
          <w:szCs w:val="16"/>
          <w:rtl/>
        </w:rPr>
        <w:t>(</w:t>
      </w:r>
      <w:r>
        <w:rPr>
          <w:rFonts w:cs="Arial" w:hint="cs"/>
          <w:sz w:val="16"/>
          <w:szCs w:val="16"/>
          <w:rtl/>
        </w:rPr>
        <w:t>תרוץ ב</w:t>
      </w:r>
      <w:r w:rsidRPr="00E4712D">
        <w:rPr>
          <w:rFonts w:cs="Arial" w:hint="cs"/>
          <w:sz w:val="16"/>
          <w:szCs w:val="16"/>
          <w:rtl/>
        </w:rPr>
        <w:t>)</w:t>
      </w:r>
      <w:r>
        <w:rPr>
          <w:rFonts w:cs="Arial" w:hint="cs"/>
          <w:rtl/>
        </w:rPr>
        <w:t>- הטור מיירי היכא דלא נודע התערובת קודם שריבה, ואז אין צריך לחקור בין בשאר איסורין ובין בבשר בחלב, ואם ריבה לאחר שנודע התערובת חתיכה כבר נעשתה נבילה ולא מועיל מה שריבה אע"ג דריבה בשוגג, ד</w:t>
      </w:r>
      <w:r>
        <w:rPr>
          <w:rFonts w:cs="Arial"/>
          <w:rtl/>
        </w:rPr>
        <w:t xml:space="preserve">הא דכתב רבינו </w:t>
      </w:r>
      <w:r>
        <w:rPr>
          <w:rFonts w:cs="Arial" w:hint="cs"/>
          <w:rtl/>
        </w:rPr>
        <w:t>'</w:t>
      </w:r>
      <w:r>
        <w:rPr>
          <w:rFonts w:cs="Arial"/>
          <w:rtl/>
        </w:rPr>
        <w:t>דקי"ל כל האיסורים שריבה עליהן בשוגג מותרין</w:t>
      </w:r>
      <w:r>
        <w:rPr>
          <w:rFonts w:cs="Arial" w:hint="cs"/>
          <w:rtl/>
        </w:rPr>
        <w:t xml:space="preserve">' </w:t>
      </w:r>
      <w:r>
        <w:rPr>
          <w:rtl/>
        </w:rPr>
        <w:t>היינו דוקא היכא דלא נודע התערובות קודם שריבה</w:t>
      </w:r>
      <w:r>
        <w:rPr>
          <w:rFonts w:hint="cs"/>
          <w:rtl/>
        </w:rPr>
        <w:t>,</w:t>
      </w:r>
      <w:r>
        <w:rPr>
          <w:rtl/>
        </w:rPr>
        <w:t xml:space="preserve"> וזה התירוץ נכון</w:t>
      </w:r>
      <w:r>
        <w:rPr>
          <w:rStyle w:val="a7"/>
          <w:rtl/>
        </w:rPr>
        <w:footnoteReference w:id="1880"/>
      </w:r>
      <w:r>
        <w:rPr>
          <w:rFonts w:hint="cs"/>
          <w:rtl/>
        </w:rPr>
        <w:t>.</w:t>
      </w:r>
    </w:p>
    <w:p w14:paraId="6BA23925" w14:textId="77777777" w:rsidR="002C39F4" w:rsidRPr="00D56C1B" w:rsidRDefault="002C39F4" w:rsidP="0032102C">
      <w:pPr>
        <w:pStyle w:val="a8"/>
        <w:numPr>
          <w:ilvl w:val="0"/>
          <w:numId w:val="188"/>
        </w:numPr>
        <w:rPr>
          <w:rFonts w:cs="Arial"/>
          <w:rtl/>
        </w:rPr>
      </w:pPr>
      <w:r>
        <w:rPr>
          <w:rFonts w:cs="Arial" w:hint="cs"/>
          <w:rtl/>
        </w:rPr>
        <w:t xml:space="preserve">דרכ"מ </w:t>
      </w:r>
      <w:r w:rsidRPr="00E4712D">
        <w:rPr>
          <w:rFonts w:cs="Arial" w:hint="cs"/>
          <w:sz w:val="16"/>
          <w:szCs w:val="16"/>
          <w:rtl/>
        </w:rPr>
        <w:t>(</w:t>
      </w:r>
      <w:r>
        <w:rPr>
          <w:rFonts w:cs="Arial" w:hint="cs"/>
          <w:sz w:val="16"/>
          <w:szCs w:val="16"/>
          <w:rtl/>
        </w:rPr>
        <w:t>תרוץ ג</w:t>
      </w:r>
      <w:r w:rsidRPr="00E4712D">
        <w:rPr>
          <w:rFonts w:cs="Arial" w:hint="cs"/>
          <w:sz w:val="16"/>
          <w:szCs w:val="16"/>
          <w:rtl/>
        </w:rPr>
        <w:t>)</w:t>
      </w:r>
      <w:r>
        <w:rPr>
          <w:rFonts w:cs="Arial" w:hint="cs"/>
          <w:rtl/>
        </w:rPr>
        <w:t xml:space="preserve">- </w:t>
      </w:r>
      <w:r>
        <w:rPr>
          <w:rFonts w:cs="Arial"/>
          <w:rtl/>
        </w:rPr>
        <w:t xml:space="preserve">הטור </w:t>
      </w:r>
      <w:r>
        <w:rPr>
          <w:rFonts w:cs="Arial" w:hint="cs"/>
          <w:rtl/>
        </w:rPr>
        <w:t>סובר שאין צריך חקירה אף בבשר וחלב, אבל כל זה כש</w:t>
      </w:r>
      <w:r>
        <w:rPr>
          <w:rFonts w:cs="Arial"/>
          <w:rtl/>
        </w:rPr>
        <w:t>נתערב לח בלח או יבש ביבש</w:t>
      </w:r>
      <w:r>
        <w:rPr>
          <w:rFonts w:cs="Arial" w:hint="cs"/>
          <w:rtl/>
        </w:rPr>
        <w:t>,</w:t>
      </w:r>
      <w:r>
        <w:rPr>
          <w:rFonts w:cs="Arial"/>
          <w:rtl/>
        </w:rPr>
        <w:t xml:space="preserve"> </w:t>
      </w:r>
      <w:r>
        <w:rPr>
          <w:rFonts w:cs="Arial" w:hint="cs"/>
          <w:rtl/>
        </w:rPr>
        <w:t xml:space="preserve">אז </w:t>
      </w:r>
      <w:r>
        <w:rPr>
          <w:rFonts w:cs="Arial"/>
          <w:rtl/>
        </w:rPr>
        <w:t>אמרינן דאם ריבה עליהם שוגג כו'</w:t>
      </w:r>
      <w:r>
        <w:rPr>
          <w:rFonts w:cs="Arial" w:hint="cs"/>
          <w:rtl/>
        </w:rPr>
        <w:t>,</w:t>
      </w:r>
      <w:r>
        <w:rPr>
          <w:rFonts w:cs="Arial"/>
          <w:rtl/>
        </w:rPr>
        <w:t xml:space="preserve"> אבל כל שאסור משום בלוע</w:t>
      </w:r>
      <w:r>
        <w:rPr>
          <w:rFonts w:cs="Arial" w:hint="cs"/>
          <w:rtl/>
        </w:rPr>
        <w:t>,</w:t>
      </w:r>
      <w:r>
        <w:rPr>
          <w:rFonts w:cs="Arial"/>
          <w:rtl/>
        </w:rPr>
        <w:t xml:space="preserve"> כגון איסור שנפל על החתיכה ויש בה בנ"ט ואח"כ נתרבה ההיתר לבטל</w:t>
      </w:r>
      <w:r>
        <w:rPr>
          <w:rFonts w:cs="Arial" w:hint="cs"/>
          <w:rtl/>
        </w:rPr>
        <w:t>,</w:t>
      </w:r>
      <w:r>
        <w:rPr>
          <w:rFonts w:cs="Arial"/>
          <w:rtl/>
        </w:rPr>
        <w:t xml:space="preserve"> אינו מועיל</w:t>
      </w:r>
      <w:r>
        <w:rPr>
          <w:rFonts w:cs="Arial" w:hint="cs"/>
          <w:rtl/>
        </w:rPr>
        <w:t>,</w:t>
      </w:r>
      <w:r>
        <w:rPr>
          <w:rFonts w:cs="Arial"/>
          <w:rtl/>
        </w:rPr>
        <w:t xml:space="preserve"> דאמרינן חנ"נ ואפשר לסוחטו אסור</w:t>
      </w:r>
      <w:r>
        <w:rPr>
          <w:rStyle w:val="a7"/>
          <w:rFonts w:cs="Arial"/>
          <w:rtl/>
        </w:rPr>
        <w:footnoteReference w:id="1881"/>
      </w:r>
      <w:r>
        <w:rPr>
          <w:rFonts w:cs="Arial" w:hint="cs"/>
          <w:rtl/>
        </w:rPr>
        <w:t>.</w:t>
      </w:r>
      <w:r>
        <w:rPr>
          <w:rFonts w:cs="Arial"/>
          <w:rtl/>
        </w:rPr>
        <w:t xml:space="preserve"> </w:t>
      </w:r>
      <w:r>
        <w:rPr>
          <w:rFonts w:cs="Arial" w:hint="cs"/>
          <w:color w:val="00B0F0"/>
          <w:rtl/>
        </w:rPr>
        <w:t>(</w:t>
      </w:r>
      <w:r w:rsidRPr="00F16771">
        <w:rPr>
          <w:rFonts w:cs="Arial" w:hint="cs"/>
          <w:color w:val="00B0F0"/>
          <w:rtl/>
        </w:rPr>
        <w:t>וכ"פ בהג"ה)</w:t>
      </w:r>
    </w:p>
    <w:p w14:paraId="497721A0" w14:textId="77777777" w:rsidR="002C39F4" w:rsidRPr="00B01253" w:rsidRDefault="002C39F4" w:rsidP="002C39F4">
      <w:pPr>
        <w:rPr>
          <w:rFonts w:cs="Arial"/>
          <w:u w:val="single"/>
          <w:rtl/>
        </w:rPr>
      </w:pPr>
      <w:r w:rsidRPr="00B01253">
        <w:rPr>
          <w:rFonts w:cs="Arial" w:hint="cs"/>
          <w:u w:val="single"/>
          <w:rtl/>
        </w:rPr>
        <w:t>המכוין להרבות במזיד:</w:t>
      </w:r>
    </w:p>
    <w:p w14:paraId="7A51C13A" w14:textId="77777777" w:rsidR="002C39F4" w:rsidRDefault="002C39F4" w:rsidP="0032102C">
      <w:pPr>
        <w:pStyle w:val="a8"/>
        <w:numPr>
          <w:ilvl w:val="0"/>
          <w:numId w:val="189"/>
        </w:numPr>
        <w:rPr>
          <w:rFonts w:cs="Arial"/>
        </w:rPr>
      </w:pPr>
      <w:r>
        <w:rPr>
          <w:rFonts w:cs="Arial" w:hint="cs"/>
          <w:rtl/>
        </w:rPr>
        <w:t>רמב"ם</w:t>
      </w:r>
      <w:r>
        <w:rPr>
          <w:rStyle w:val="a7"/>
          <w:rFonts w:cs="Arial"/>
          <w:rtl/>
        </w:rPr>
        <w:footnoteReference w:id="1882"/>
      </w:r>
      <w:r>
        <w:rPr>
          <w:rFonts w:cs="Arial" w:hint="cs"/>
          <w:rtl/>
        </w:rPr>
        <w:t xml:space="preserve"> </w:t>
      </w:r>
      <w:r w:rsidRPr="00177BA4">
        <w:rPr>
          <w:rFonts w:cs="Arial"/>
          <w:sz w:val="16"/>
          <w:szCs w:val="16"/>
          <w:rtl/>
        </w:rPr>
        <w:t>(פט"ו הכ"ה)</w:t>
      </w:r>
      <w:r w:rsidRPr="00177BA4">
        <w:rPr>
          <w:rFonts w:cs="Arial" w:hint="cs"/>
          <w:sz w:val="16"/>
          <w:szCs w:val="16"/>
          <w:rtl/>
        </w:rPr>
        <w:t xml:space="preserve"> </w:t>
      </w:r>
      <w:r>
        <w:rPr>
          <w:rFonts w:cs="Arial"/>
          <w:rtl/>
        </w:rPr>
        <w:t>רשב"א</w:t>
      </w:r>
      <w:r>
        <w:rPr>
          <w:rStyle w:val="a7"/>
          <w:rFonts w:cs="Arial"/>
          <w:rtl/>
        </w:rPr>
        <w:footnoteReference w:id="1883"/>
      </w:r>
      <w:r>
        <w:rPr>
          <w:rFonts w:cs="Arial" w:hint="cs"/>
          <w:rtl/>
        </w:rPr>
        <w:t xml:space="preserve"> </w:t>
      </w:r>
      <w:r w:rsidRPr="00177BA4">
        <w:rPr>
          <w:rFonts w:cs="Arial" w:hint="cs"/>
          <w:sz w:val="16"/>
          <w:szCs w:val="16"/>
          <w:rtl/>
        </w:rPr>
        <w:t>(תוה"א</w:t>
      </w:r>
      <w:r w:rsidRPr="00177BA4">
        <w:rPr>
          <w:rFonts w:cs="Arial"/>
          <w:sz w:val="16"/>
          <w:szCs w:val="16"/>
          <w:rtl/>
        </w:rPr>
        <w:t xml:space="preserve"> ב"ד ש"ג לב., קצר לא:)</w:t>
      </w:r>
      <w:r w:rsidRPr="00177BA4">
        <w:rPr>
          <w:rFonts w:cs="Arial" w:hint="cs"/>
          <w:sz w:val="16"/>
          <w:szCs w:val="16"/>
          <w:rtl/>
        </w:rPr>
        <w:t xml:space="preserve"> </w:t>
      </w:r>
      <w:r>
        <w:rPr>
          <w:rFonts w:cs="Arial" w:hint="cs"/>
          <w:rtl/>
        </w:rPr>
        <w:t>ו</w:t>
      </w:r>
      <w:r w:rsidRPr="00B01253">
        <w:rPr>
          <w:rFonts w:cs="Arial" w:hint="cs"/>
          <w:rtl/>
        </w:rPr>
        <w:t xml:space="preserve">טור- </w:t>
      </w:r>
      <w:r w:rsidRPr="00B01253">
        <w:rPr>
          <w:rFonts w:cs="Arial"/>
          <w:rtl/>
        </w:rPr>
        <w:t>אבל המכוין להרבות</w:t>
      </w:r>
      <w:r w:rsidRPr="00B01253">
        <w:rPr>
          <w:rFonts w:cs="Arial" w:hint="cs"/>
          <w:rtl/>
        </w:rPr>
        <w:t>,</w:t>
      </w:r>
      <w:r w:rsidRPr="00B01253">
        <w:rPr>
          <w:rFonts w:cs="Arial"/>
          <w:rtl/>
        </w:rPr>
        <w:t xml:space="preserve"> אפילו הוא מין במינו וההיתר רבה על האיסור שהוא בטל מן התורה אלא שחכמים הצריכו ס'</w:t>
      </w:r>
      <w:r w:rsidRPr="00B01253">
        <w:rPr>
          <w:rFonts w:cs="Arial" w:hint="cs"/>
          <w:rtl/>
        </w:rPr>
        <w:t>,</w:t>
      </w:r>
      <w:r w:rsidRPr="00B01253">
        <w:rPr>
          <w:rFonts w:cs="Arial"/>
          <w:rtl/>
        </w:rPr>
        <w:t xml:space="preserve"> אינו בטל כיון שריבה במזיד</w:t>
      </w:r>
      <w:r>
        <w:rPr>
          <w:rStyle w:val="a7"/>
          <w:rFonts w:cs="Arial"/>
          <w:rtl/>
        </w:rPr>
        <w:footnoteReference w:id="1884"/>
      </w:r>
      <w:r>
        <w:rPr>
          <w:rFonts w:cs="Arial" w:hint="cs"/>
          <w:sz w:val="16"/>
          <w:szCs w:val="16"/>
          <w:rtl/>
        </w:rPr>
        <w:t xml:space="preserve"> (ל' הטור)</w:t>
      </w:r>
      <w:r>
        <w:rPr>
          <w:rFonts w:cs="Arial" w:hint="cs"/>
          <w:rtl/>
        </w:rPr>
        <w:t xml:space="preserve">. </w:t>
      </w:r>
    </w:p>
    <w:p w14:paraId="2D6EC090" w14:textId="77777777" w:rsidR="002C39F4" w:rsidRPr="002F3663" w:rsidRDefault="002C39F4" w:rsidP="002C39F4">
      <w:pPr>
        <w:ind w:left="360"/>
        <w:rPr>
          <w:rFonts w:cs="Arial"/>
          <w:u w:val="dotted"/>
        </w:rPr>
      </w:pPr>
      <w:r w:rsidRPr="002F3663">
        <w:rPr>
          <w:rFonts w:cs="Arial" w:hint="cs"/>
          <w:u w:val="dotted"/>
          <w:rtl/>
        </w:rPr>
        <w:t xml:space="preserve">עבר והרבה במזיד </w:t>
      </w:r>
      <w:r w:rsidRPr="002F3663">
        <w:rPr>
          <w:rFonts w:cs="Arial"/>
          <w:u w:val="dotted"/>
          <w:rtl/>
        </w:rPr>
        <w:t>–</w:t>
      </w:r>
      <w:r w:rsidRPr="002F3663">
        <w:rPr>
          <w:rFonts w:cs="Arial" w:hint="cs"/>
          <w:u w:val="dotted"/>
          <w:rtl/>
        </w:rPr>
        <w:t xml:space="preserve"> למי המאכל אסור:</w:t>
      </w:r>
    </w:p>
    <w:p w14:paraId="0CDE1CC6" w14:textId="77777777" w:rsidR="002C39F4" w:rsidRPr="00B01253" w:rsidRDefault="002C39F4" w:rsidP="0032102C">
      <w:pPr>
        <w:pStyle w:val="a8"/>
        <w:numPr>
          <w:ilvl w:val="0"/>
          <w:numId w:val="189"/>
        </w:numPr>
        <w:rPr>
          <w:rFonts w:cs="Arial"/>
          <w:rtl/>
        </w:rPr>
      </w:pPr>
      <w:r>
        <w:rPr>
          <w:rFonts w:cs="Arial" w:hint="cs"/>
          <w:rtl/>
        </w:rPr>
        <w:t>רשב"א וטור- כתב ה</w:t>
      </w:r>
      <w:r w:rsidRPr="00B01253">
        <w:rPr>
          <w:rFonts w:cs="Arial"/>
          <w:rtl/>
        </w:rPr>
        <w:t>רמב"ם</w:t>
      </w:r>
      <w:r>
        <w:rPr>
          <w:rStyle w:val="a7"/>
          <w:rFonts w:cs="Arial"/>
          <w:rtl/>
        </w:rPr>
        <w:footnoteReference w:id="1885"/>
      </w:r>
      <w:r w:rsidRPr="00B01253">
        <w:rPr>
          <w:rFonts w:cs="Arial"/>
          <w:rtl/>
        </w:rPr>
        <w:t xml:space="preserve"> דווקא למבטל עצמו אם הוא שלו קנסינן לאוסרו עליה</w:t>
      </w:r>
      <w:r>
        <w:rPr>
          <w:rFonts w:cs="Arial" w:hint="cs"/>
          <w:rtl/>
        </w:rPr>
        <w:t>,</w:t>
      </w:r>
      <w:r w:rsidRPr="00B01253">
        <w:rPr>
          <w:rFonts w:cs="Arial"/>
          <w:rtl/>
        </w:rPr>
        <w:t xml:space="preserve"> או למי שכיון לבטלו בשבילו</w:t>
      </w:r>
      <w:r>
        <w:rPr>
          <w:rFonts w:cs="Arial" w:hint="cs"/>
          <w:rtl/>
        </w:rPr>
        <w:t>,</w:t>
      </w:r>
      <w:r w:rsidRPr="00B01253">
        <w:rPr>
          <w:rFonts w:cs="Arial"/>
          <w:rtl/>
        </w:rPr>
        <w:t xml:space="preserve"> אבל לאחריני שרי</w:t>
      </w:r>
      <w:r>
        <w:rPr>
          <w:rStyle w:val="a7"/>
          <w:rFonts w:cs="Arial"/>
          <w:rtl/>
        </w:rPr>
        <w:footnoteReference w:id="1886"/>
      </w:r>
      <w:r>
        <w:rPr>
          <w:rFonts w:cs="Arial" w:hint="cs"/>
          <w:sz w:val="16"/>
          <w:szCs w:val="16"/>
          <w:rtl/>
        </w:rPr>
        <w:t xml:space="preserve"> (ל' הטור)</w:t>
      </w:r>
      <w:r w:rsidRPr="00DE7359">
        <w:rPr>
          <w:rStyle w:val="a7"/>
          <w:rFonts w:cs="Arial"/>
          <w:rtl/>
        </w:rPr>
        <w:footnoteReference w:id="1887"/>
      </w:r>
      <w:r w:rsidRPr="00B01253">
        <w:rPr>
          <w:rFonts w:cs="Arial" w:hint="cs"/>
          <w:rtl/>
        </w:rPr>
        <w:t>.</w:t>
      </w:r>
    </w:p>
    <w:p w14:paraId="40027DD8" w14:textId="77777777" w:rsidR="002C39F4" w:rsidRDefault="002C39F4" w:rsidP="002C39F4">
      <w:pPr>
        <w:rPr>
          <w:rFonts w:cs="Arial"/>
          <w:rtl/>
        </w:rPr>
      </w:pPr>
      <w:r>
        <w:rPr>
          <w:rFonts w:cs="Arial" w:hint="cs"/>
          <w:u w:val="single"/>
          <w:rtl/>
        </w:rPr>
        <w:t>הא ד</w:t>
      </w:r>
      <w:r w:rsidRPr="00920432">
        <w:rPr>
          <w:rFonts w:cs="Arial"/>
          <w:u w:val="single"/>
          <w:rtl/>
        </w:rPr>
        <w:t>אין מבטלין איסור לכתחלה</w:t>
      </w:r>
      <w:r w:rsidRPr="00920432">
        <w:rPr>
          <w:rFonts w:cs="Arial" w:hint="cs"/>
          <w:u w:val="single"/>
          <w:rtl/>
        </w:rPr>
        <w:t xml:space="preserve"> </w:t>
      </w:r>
      <w:r w:rsidRPr="00920432">
        <w:rPr>
          <w:rFonts w:cs="Arial"/>
          <w:u w:val="single"/>
          <w:rtl/>
        </w:rPr>
        <w:t>–</w:t>
      </w:r>
      <w:r w:rsidRPr="00920432">
        <w:rPr>
          <w:rFonts w:cs="Arial" w:hint="cs"/>
          <w:u w:val="single"/>
          <w:rtl/>
        </w:rPr>
        <w:t xml:space="preserve"> </w:t>
      </w:r>
      <w:r>
        <w:rPr>
          <w:rFonts w:cs="Arial" w:hint="cs"/>
          <w:u w:val="single"/>
          <w:rtl/>
        </w:rPr>
        <w:t xml:space="preserve">הוא </w:t>
      </w:r>
      <w:r w:rsidRPr="00920432">
        <w:rPr>
          <w:rFonts w:cs="Arial" w:hint="cs"/>
          <w:u w:val="single"/>
          <w:rtl/>
        </w:rPr>
        <w:t>מדאורייתא או מדרבנן:</w:t>
      </w:r>
      <w:r>
        <w:rPr>
          <w:rFonts w:cs="Arial"/>
          <w:rtl/>
        </w:rPr>
        <w:t xml:space="preserve"> </w:t>
      </w:r>
    </w:p>
    <w:p w14:paraId="3AA29DDD" w14:textId="77777777" w:rsidR="002C39F4" w:rsidRPr="00920432" w:rsidRDefault="002C39F4" w:rsidP="0032102C">
      <w:pPr>
        <w:pStyle w:val="a8"/>
        <w:numPr>
          <w:ilvl w:val="0"/>
          <w:numId w:val="189"/>
        </w:numPr>
        <w:rPr>
          <w:rFonts w:cs="Arial"/>
          <w:rtl/>
        </w:rPr>
      </w:pPr>
      <w:r w:rsidRPr="00920432">
        <w:rPr>
          <w:rFonts w:cs="Arial"/>
          <w:rtl/>
        </w:rPr>
        <w:t>תוס</w:t>
      </w:r>
      <w:r w:rsidRPr="00920432">
        <w:rPr>
          <w:rFonts w:cs="Arial" w:hint="cs"/>
          <w:rtl/>
        </w:rPr>
        <w:t xml:space="preserve">' </w:t>
      </w:r>
      <w:r w:rsidRPr="00920432">
        <w:rPr>
          <w:rFonts w:cs="Arial" w:hint="cs"/>
          <w:sz w:val="16"/>
          <w:szCs w:val="16"/>
          <w:rtl/>
        </w:rPr>
        <w:t>(כ"כ בשמ</w:t>
      </w:r>
      <w:r>
        <w:rPr>
          <w:rFonts w:cs="Arial" w:hint="cs"/>
          <w:sz w:val="16"/>
          <w:szCs w:val="16"/>
          <w:rtl/>
        </w:rPr>
        <w:t>ם הרשב"א [תוה"א ב"ד ש"ג]</w:t>
      </w:r>
      <w:r w:rsidRPr="00920432">
        <w:rPr>
          <w:rFonts w:cs="Arial" w:hint="cs"/>
          <w:sz w:val="16"/>
          <w:szCs w:val="16"/>
          <w:rtl/>
        </w:rPr>
        <w:t xml:space="preserve"> </w:t>
      </w:r>
      <w:r>
        <w:rPr>
          <w:rFonts w:cs="Arial" w:hint="cs"/>
          <w:sz w:val="16"/>
          <w:szCs w:val="16"/>
          <w:rtl/>
        </w:rPr>
        <w:t>ו</w:t>
      </w:r>
      <w:r w:rsidRPr="00920432">
        <w:rPr>
          <w:rFonts w:cs="Arial"/>
          <w:sz w:val="16"/>
          <w:szCs w:val="16"/>
          <w:rtl/>
        </w:rPr>
        <w:t xml:space="preserve">הר"ן </w:t>
      </w:r>
      <w:r w:rsidRPr="00920432">
        <w:rPr>
          <w:rFonts w:cs="Arial" w:hint="cs"/>
          <w:sz w:val="16"/>
          <w:szCs w:val="16"/>
          <w:rtl/>
        </w:rPr>
        <w:t>[</w:t>
      </w:r>
      <w:r w:rsidRPr="00920432">
        <w:rPr>
          <w:rFonts w:cs="Arial"/>
          <w:sz w:val="16"/>
          <w:szCs w:val="16"/>
          <w:rtl/>
        </w:rPr>
        <w:t>לה:</w:t>
      </w:r>
      <w:r w:rsidRPr="00920432">
        <w:rPr>
          <w:rFonts w:cs="Arial" w:hint="cs"/>
          <w:sz w:val="16"/>
          <w:szCs w:val="16"/>
          <w:rtl/>
        </w:rPr>
        <w:t>])</w:t>
      </w:r>
      <w:r>
        <w:rPr>
          <w:rFonts w:cs="Arial" w:hint="cs"/>
          <w:rtl/>
        </w:rPr>
        <w:t xml:space="preserve"> ורמב"ם</w:t>
      </w:r>
      <w:r>
        <w:rPr>
          <w:rFonts w:cs="Arial" w:hint="cs"/>
          <w:sz w:val="16"/>
          <w:szCs w:val="16"/>
          <w:rtl/>
        </w:rPr>
        <w:t xml:space="preserve"> (פט"ו הכ"ה)</w:t>
      </w:r>
      <w:r w:rsidRPr="00920432">
        <w:rPr>
          <w:rFonts w:cs="Arial" w:hint="cs"/>
          <w:rtl/>
        </w:rPr>
        <w:t>-</w:t>
      </w:r>
      <w:r w:rsidRPr="00920432">
        <w:rPr>
          <w:rFonts w:cs="Arial"/>
          <w:rtl/>
        </w:rPr>
        <w:t xml:space="preserve"> מדרבנן</w:t>
      </w:r>
      <w:r w:rsidRPr="00920432">
        <w:rPr>
          <w:rFonts w:cs="Arial" w:hint="cs"/>
          <w:rtl/>
        </w:rPr>
        <w:t>.</w:t>
      </w:r>
      <w:r>
        <w:rPr>
          <w:rFonts w:cs="Arial" w:hint="cs"/>
          <w:rtl/>
        </w:rPr>
        <w:t xml:space="preserve"> (וכ"פ הרמ"ע מפאנו</w:t>
      </w:r>
      <w:r>
        <w:rPr>
          <w:rFonts w:cs="Arial" w:hint="cs"/>
          <w:sz w:val="16"/>
          <w:szCs w:val="16"/>
          <w:rtl/>
        </w:rPr>
        <w:t xml:space="preserve"> [סי' כז]</w:t>
      </w:r>
      <w:r>
        <w:rPr>
          <w:rFonts w:cs="Arial" w:hint="cs"/>
          <w:rtl/>
        </w:rPr>
        <w:t>)</w:t>
      </w:r>
    </w:p>
    <w:p w14:paraId="0B8EEB53" w14:textId="77777777" w:rsidR="002C39F4" w:rsidRDefault="002C39F4" w:rsidP="0032102C">
      <w:pPr>
        <w:pStyle w:val="a8"/>
        <w:numPr>
          <w:ilvl w:val="0"/>
          <w:numId w:val="189"/>
        </w:numPr>
        <w:rPr>
          <w:rtl/>
        </w:rPr>
      </w:pPr>
      <w:r w:rsidRPr="00920432">
        <w:rPr>
          <w:rFonts w:cs="Arial"/>
          <w:rtl/>
        </w:rPr>
        <w:t xml:space="preserve">ראב"ד </w:t>
      </w:r>
      <w:r w:rsidRPr="00920432">
        <w:rPr>
          <w:rFonts w:cs="Arial"/>
          <w:sz w:val="16"/>
          <w:szCs w:val="16"/>
          <w:rtl/>
        </w:rPr>
        <w:t>(איסור משהו פ"ב</w:t>
      </w:r>
      <w:r w:rsidRPr="00920432">
        <w:rPr>
          <w:rFonts w:cs="Arial" w:hint="cs"/>
          <w:sz w:val="16"/>
          <w:szCs w:val="16"/>
          <w:rtl/>
        </w:rPr>
        <w:t>, כ"כ בשמו הר"ן [שם]</w:t>
      </w:r>
      <w:r w:rsidRPr="00920432">
        <w:rPr>
          <w:rFonts w:cs="Arial"/>
          <w:sz w:val="16"/>
          <w:szCs w:val="16"/>
          <w:rtl/>
        </w:rPr>
        <w:t>)</w:t>
      </w:r>
      <w:r w:rsidRPr="00920432">
        <w:rPr>
          <w:rFonts w:cs="Arial" w:hint="cs"/>
          <w:rtl/>
        </w:rPr>
        <w:t xml:space="preserve">- </w:t>
      </w:r>
      <w:r w:rsidRPr="00920432">
        <w:rPr>
          <w:rFonts w:cs="Arial"/>
          <w:rtl/>
        </w:rPr>
        <w:t>מדאורייתא</w:t>
      </w:r>
      <w:r>
        <w:rPr>
          <w:rStyle w:val="a7"/>
          <w:rFonts w:cs="Arial"/>
          <w:rtl/>
        </w:rPr>
        <w:footnoteReference w:id="1888"/>
      </w:r>
      <w:r>
        <w:rPr>
          <w:rFonts w:cs="Arial" w:hint="cs"/>
          <w:rtl/>
        </w:rPr>
        <w:t>.</w:t>
      </w:r>
    </w:p>
    <w:p w14:paraId="04E67FE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9C6B0D2" w14:textId="77777777" w:rsidR="002C39F4" w:rsidRDefault="002C39F4" w:rsidP="002C39F4">
      <w:pPr>
        <w:rPr>
          <w:rFonts w:asciiTheme="minorBidi" w:hAnsiTheme="minorBidi"/>
          <w:rtl/>
        </w:rPr>
      </w:pPr>
      <w:r w:rsidRPr="003024E5">
        <w:rPr>
          <w:rFonts w:asciiTheme="minorBidi" w:hAnsiTheme="minorBidi"/>
          <w:rtl/>
        </w:rPr>
        <w:t>אין מבטלין איסור לכתחלה</w:t>
      </w:r>
      <w:r>
        <w:rPr>
          <w:rStyle w:val="a7"/>
          <w:rFonts w:asciiTheme="minorBidi" w:hAnsiTheme="minorBidi"/>
          <w:rtl/>
        </w:rPr>
        <w:footnoteReference w:id="1889"/>
      </w:r>
      <w:r>
        <w:rPr>
          <w:rFonts w:asciiTheme="minorBidi" w:hAnsiTheme="minorBidi" w:hint="cs"/>
          <w:rtl/>
        </w:rPr>
        <w:t>,</w:t>
      </w:r>
      <w:r w:rsidRPr="003024E5">
        <w:rPr>
          <w:rFonts w:asciiTheme="minorBidi" w:hAnsiTheme="minorBidi"/>
          <w:rtl/>
        </w:rPr>
        <w:t xml:space="preserve"> ואפילו נפל לתוך היתר שאין בו שיעור לבטלו אין מוסיפין עליו היתר כדי לבטלו</w:t>
      </w:r>
      <w:r>
        <w:rPr>
          <w:rFonts w:asciiTheme="minorBidi" w:hAnsiTheme="minorBidi" w:hint="cs"/>
          <w:rtl/>
        </w:rPr>
        <w:t>,</w:t>
      </w:r>
      <w:r w:rsidRPr="003024E5">
        <w:rPr>
          <w:rFonts w:asciiTheme="minorBidi" w:hAnsiTheme="minorBidi"/>
          <w:rtl/>
        </w:rPr>
        <w:t xml:space="preserve"> עבר וביטלו או שריבה עליו</w:t>
      </w:r>
      <w:r>
        <w:rPr>
          <w:rStyle w:val="a7"/>
          <w:rFonts w:asciiTheme="minorBidi" w:hAnsiTheme="minorBidi"/>
          <w:rtl/>
        </w:rPr>
        <w:footnoteReference w:id="1890"/>
      </w:r>
      <w:r w:rsidRPr="003024E5">
        <w:rPr>
          <w:rFonts w:asciiTheme="minorBidi" w:hAnsiTheme="minorBidi"/>
          <w:rtl/>
        </w:rPr>
        <w:t>, אם בשוגג מותר</w:t>
      </w:r>
      <w:r>
        <w:rPr>
          <w:rFonts w:asciiTheme="minorBidi" w:hAnsiTheme="minorBidi" w:hint="cs"/>
          <w:rtl/>
        </w:rPr>
        <w:t>,</w:t>
      </w:r>
      <w:r w:rsidRPr="003024E5">
        <w:rPr>
          <w:rFonts w:asciiTheme="minorBidi" w:hAnsiTheme="minorBidi"/>
          <w:rtl/>
        </w:rPr>
        <w:t xml:space="preserve"> ואם במזיד</w:t>
      </w:r>
      <w:r>
        <w:rPr>
          <w:rStyle w:val="a7"/>
          <w:rFonts w:asciiTheme="minorBidi" w:hAnsiTheme="minorBidi"/>
          <w:rtl/>
        </w:rPr>
        <w:footnoteReference w:id="1891"/>
      </w:r>
      <w:r w:rsidRPr="003024E5">
        <w:rPr>
          <w:rFonts w:asciiTheme="minorBidi" w:hAnsiTheme="minorBidi"/>
          <w:rtl/>
        </w:rPr>
        <w:t xml:space="preserve"> אסור למבטל עצמו אם הוא שלו וכן למי שנתבטל בשבילו</w:t>
      </w:r>
      <w:r>
        <w:rPr>
          <w:rStyle w:val="a7"/>
          <w:rFonts w:asciiTheme="minorBidi" w:hAnsiTheme="minorBidi"/>
          <w:sz w:val="18"/>
          <w:szCs w:val="18"/>
          <w:rtl/>
        </w:rPr>
        <w:footnoteReference w:id="1892"/>
      </w:r>
      <w:r w:rsidRPr="00142A44">
        <w:rPr>
          <w:rFonts w:asciiTheme="minorBidi" w:hAnsiTheme="minorBidi"/>
          <w:sz w:val="18"/>
          <w:szCs w:val="18"/>
          <w:rtl/>
        </w:rPr>
        <w:t xml:space="preserve">. </w:t>
      </w:r>
      <w:r>
        <w:rPr>
          <w:rFonts w:asciiTheme="minorBidi" w:hAnsiTheme="minorBidi" w:hint="cs"/>
          <w:sz w:val="18"/>
          <w:szCs w:val="18"/>
          <w:rtl/>
        </w:rPr>
        <w:t xml:space="preserve">[הגה] </w:t>
      </w:r>
      <w:r w:rsidRPr="00142A44">
        <w:rPr>
          <w:rFonts w:asciiTheme="minorBidi" w:hAnsiTheme="minorBidi"/>
          <w:sz w:val="18"/>
          <w:szCs w:val="18"/>
          <w:rtl/>
        </w:rPr>
        <w:t>ואסורים למכרו גם כן לישראל אחר שלא יהנו ממה שבטלו</w:t>
      </w:r>
      <w:r>
        <w:rPr>
          <w:rStyle w:val="a7"/>
          <w:rFonts w:asciiTheme="minorBidi" w:hAnsiTheme="minorBidi"/>
          <w:sz w:val="18"/>
          <w:szCs w:val="18"/>
          <w:rtl/>
        </w:rPr>
        <w:footnoteReference w:id="1893"/>
      </w:r>
      <w:r w:rsidRPr="00142A44">
        <w:rPr>
          <w:rFonts w:asciiTheme="minorBidi" w:hAnsiTheme="minorBidi"/>
          <w:sz w:val="18"/>
          <w:szCs w:val="18"/>
          <w:rtl/>
        </w:rPr>
        <w:t xml:space="preserve"> </w:t>
      </w:r>
      <w:r w:rsidRPr="00BD49DD">
        <w:rPr>
          <w:rFonts w:asciiTheme="minorBidi" w:hAnsiTheme="minorBidi"/>
          <w:sz w:val="16"/>
          <w:szCs w:val="16"/>
          <w:rtl/>
        </w:rPr>
        <w:t xml:space="preserve">(ארוך </w:t>
      </w:r>
      <w:r w:rsidRPr="00BD49DD">
        <w:rPr>
          <w:rFonts w:asciiTheme="minorBidi" w:hAnsiTheme="minorBidi" w:hint="cs"/>
          <w:sz w:val="16"/>
          <w:szCs w:val="16"/>
          <w:rtl/>
        </w:rPr>
        <w:t>כ</w:t>
      </w:r>
      <w:r w:rsidRPr="00BD49DD">
        <w:rPr>
          <w:rFonts w:asciiTheme="minorBidi" w:hAnsiTheme="minorBidi"/>
          <w:sz w:val="16"/>
          <w:szCs w:val="16"/>
          <w:rtl/>
        </w:rPr>
        <w:t>כ</w:t>
      </w:r>
      <w:r w:rsidRPr="00BD49DD">
        <w:rPr>
          <w:rFonts w:asciiTheme="minorBidi" w:hAnsiTheme="minorBidi" w:hint="cs"/>
          <w:sz w:val="16"/>
          <w:szCs w:val="16"/>
          <w:rtl/>
        </w:rPr>
        <w:t>"</w:t>
      </w:r>
      <w:r w:rsidRPr="00BD49DD">
        <w:rPr>
          <w:rFonts w:asciiTheme="minorBidi" w:hAnsiTheme="minorBidi"/>
          <w:sz w:val="16"/>
          <w:szCs w:val="16"/>
          <w:rtl/>
        </w:rPr>
        <w:t>ד</w:t>
      </w:r>
      <w:r w:rsidRPr="00BD49DD">
        <w:rPr>
          <w:rFonts w:asciiTheme="minorBidi" w:hAnsiTheme="minorBidi" w:hint="cs"/>
          <w:sz w:val="16"/>
          <w:szCs w:val="16"/>
          <w:rtl/>
        </w:rPr>
        <w:t xml:space="preserve"> ד"י</w:t>
      </w:r>
      <w:r w:rsidRPr="00BD49DD">
        <w:rPr>
          <w:rFonts w:asciiTheme="minorBidi" w:hAnsiTheme="minorBidi"/>
          <w:sz w:val="16"/>
          <w:szCs w:val="16"/>
          <w:rtl/>
        </w:rPr>
        <w:t>)</w:t>
      </w:r>
      <w:r w:rsidRPr="00142A44">
        <w:rPr>
          <w:rFonts w:asciiTheme="minorBidi" w:hAnsiTheme="minorBidi"/>
          <w:sz w:val="18"/>
          <w:szCs w:val="18"/>
          <w:rtl/>
        </w:rPr>
        <w:t>.</w:t>
      </w:r>
      <w:r w:rsidRPr="003024E5">
        <w:rPr>
          <w:rFonts w:asciiTheme="minorBidi" w:hAnsiTheme="minorBidi"/>
          <w:rtl/>
        </w:rPr>
        <w:t xml:space="preserve"> ולשאר כל אדם מותר. </w:t>
      </w:r>
      <w:r w:rsidRPr="00142A44">
        <w:rPr>
          <w:rFonts w:asciiTheme="minorBidi" w:hAnsiTheme="minorBidi"/>
          <w:sz w:val="18"/>
          <w:szCs w:val="18"/>
          <w:rtl/>
        </w:rPr>
        <w:t>הגה: ודוקא שנתערב יבש ביבש</w:t>
      </w:r>
      <w:r>
        <w:rPr>
          <w:rFonts w:asciiTheme="minorBidi" w:hAnsiTheme="minorBidi" w:hint="cs"/>
          <w:sz w:val="18"/>
          <w:szCs w:val="18"/>
          <w:rtl/>
        </w:rPr>
        <w:t>,</w:t>
      </w:r>
      <w:r w:rsidRPr="00142A44">
        <w:rPr>
          <w:rFonts w:asciiTheme="minorBidi" w:hAnsiTheme="minorBidi"/>
          <w:sz w:val="18"/>
          <w:szCs w:val="18"/>
          <w:rtl/>
        </w:rPr>
        <w:t xml:space="preserve"> או אפילו לח בלח למאן דאמר שאין אומרים בו </w:t>
      </w:r>
      <w:r>
        <w:rPr>
          <w:rFonts w:asciiTheme="minorBidi" w:hAnsiTheme="minorBidi" w:hint="cs"/>
          <w:sz w:val="18"/>
          <w:szCs w:val="18"/>
          <w:rtl/>
        </w:rPr>
        <w:t>חנ"נ</w:t>
      </w:r>
      <w:r>
        <w:rPr>
          <w:rStyle w:val="a7"/>
          <w:rFonts w:asciiTheme="minorBidi" w:hAnsiTheme="minorBidi"/>
          <w:sz w:val="18"/>
          <w:szCs w:val="18"/>
          <w:rtl/>
        </w:rPr>
        <w:footnoteReference w:id="1894"/>
      </w:r>
      <w:r w:rsidRPr="00142A44">
        <w:rPr>
          <w:rFonts w:asciiTheme="minorBidi" w:hAnsiTheme="minorBidi"/>
          <w:sz w:val="18"/>
          <w:szCs w:val="18"/>
          <w:rtl/>
        </w:rPr>
        <w:t xml:space="preserve"> כדלעיל סי' צב</w:t>
      </w:r>
      <w:r>
        <w:rPr>
          <w:rFonts w:asciiTheme="minorBidi" w:hAnsiTheme="minorBidi" w:hint="cs"/>
          <w:sz w:val="18"/>
          <w:szCs w:val="18"/>
          <w:rtl/>
        </w:rPr>
        <w:t>,</w:t>
      </w:r>
      <w:r w:rsidRPr="00142A44">
        <w:rPr>
          <w:rFonts w:asciiTheme="minorBidi" w:hAnsiTheme="minorBidi"/>
          <w:sz w:val="18"/>
          <w:szCs w:val="18"/>
          <w:rtl/>
        </w:rPr>
        <w:t xml:space="preserve"> אבל חתיכה שבלעה איסור לא מהני שנתוסף אח</w:t>
      </w:r>
      <w:r>
        <w:rPr>
          <w:rFonts w:asciiTheme="minorBidi" w:hAnsiTheme="minorBidi" w:hint="cs"/>
          <w:sz w:val="18"/>
          <w:szCs w:val="18"/>
          <w:rtl/>
        </w:rPr>
        <w:t>"</w:t>
      </w:r>
      <w:r w:rsidRPr="00142A44">
        <w:rPr>
          <w:rFonts w:asciiTheme="minorBidi" w:hAnsiTheme="minorBidi"/>
          <w:sz w:val="18"/>
          <w:szCs w:val="18"/>
          <w:rtl/>
        </w:rPr>
        <w:t>כ ההיתר</w:t>
      </w:r>
      <w:r>
        <w:rPr>
          <w:rFonts w:asciiTheme="minorBidi" w:hAnsiTheme="minorBidi" w:hint="cs"/>
          <w:sz w:val="18"/>
          <w:szCs w:val="18"/>
          <w:rtl/>
        </w:rPr>
        <w:t>,</w:t>
      </w:r>
      <w:r w:rsidRPr="00142A44">
        <w:rPr>
          <w:rFonts w:asciiTheme="minorBidi" w:hAnsiTheme="minorBidi"/>
          <w:sz w:val="18"/>
          <w:szCs w:val="18"/>
          <w:rtl/>
        </w:rPr>
        <w:t xml:space="preserve"> דהא אמרינן ביה </w:t>
      </w:r>
      <w:r>
        <w:rPr>
          <w:rFonts w:asciiTheme="minorBidi" w:hAnsiTheme="minorBidi" w:hint="cs"/>
          <w:sz w:val="18"/>
          <w:szCs w:val="18"/>
          <w:rtl/>
        </w:rPr>
        <w:t>חנ"נ</w:t>
      </w:r>
      <w:r>
        <w:rPr>
          <w:rStyle w:val="a7"/>
          <w:rFonts w:asciiTheme="minorBidi" w:hAnsiTheme="minorBidi"/>
          <w:sz w:val="18"/>
          <w:szCs w:val="18"/>
          <w:rtl/>
        </w:rPr>
        <w:footnoteReference w:id="1895"/>
      </w:r>
      <w:r w:rsidRPr="00142A44">
        <w:rPr>
          <w:rFonts w:asciiTheme="minorBidi" w:hAnsiTheme="minorBidi"/>
          <w:sz w:val="18"/>
          <w:szCs w:val="18"/>
          <w:rtl/>
        </w:rPr>
        <w:t xml:space="preserve"> </w:t>
      </w:r>
      <w:r w:rsidRPr="00BD49DD">
        <w:rPr>
          <w:rFonts w:asciiTheme="minorBidi" w:hAnsiTheme="minorBidi"/>
          <w:sz w:val="16"/>
          <w:szCs w:val="16"/>
          <w:rtl/>
        </w:rPr>
        <w:t>(</w:t>
      </w:r>
      <w:r w:rsidRPr="00BD49DD">
        <w:rPr>
          <w:rStyle w:val="a7"/>
          <w:rFonts w:asciiTheme="minorBidi" w:hAnsiTheme="minorBidi"/>
          <w:sz w:val="16"/>
          <w:szCs w:val="16"/>
          <w:rtl/>
        </w:rPr>
        <w:footnoteReference w:id="1896"/>
      </w:r>
      <w:r w:rsidRPr="00BD49DD">
        <w:rPr>
          <w:rFonts w:asciiTheme="minorBidi" w:hAnsiTheme="minorBidi"/>
          <w:sz w:val="16"/>
          <w:szCs w:val="16"/>
          <w:rtl/>
        </w:rPr>
        <w:t>עי</w:t>
      </w:r>
      <w:r w:rsidRPr="00BD49DD">
        <w:rPr>
          <w:rFonts w:asciiTheme="minorBidi" w:hAnsiTheme="minorBidi" w:hint="cs"/>
          <w:sz w:val="16"/>
          <w:szCs w:val="16"/>
          <w:rtl/>
        </w:rPr>
        <w:t>ין</w:t>
      </w:r>
      <w:r w:rsidRPr="00BD49DD">
        <w:rPr>
          <w:rFonts w:asciiTheme="minorBidi" w:hAnsiTheme="minorBidi"/>
          <w:sz w:val="16"/>
          <w:szCs w:val="16"/>
          <w:rtl/>
        </w:rPr>
        <w:t xml:space="preserve"> סקי"ד)</w:t>
      </w:r>
      <w:r w:rsidRPr="00142A44">
        <w:rPr>
          <w:rFonts w:asciiTheme="minorBidi" w:hAnsiTheme="minorBidi"/>
          <w:sz w:val="18"/>
          <w:szCs w:val="18"/>
          <w:rtl/>
        </w:rPr>
        <w:t xml:space="preserve">. </w:t>
      </w:r>
      <w:r>
        <w:rPr>
          <w:rFonts w:asciiTheme="minorBidi" w:hAnsiTheme="minorBidi" w:hint="cs"/>
          <w:sz w:val="18"/>
          <w:szCs w:val="18"/>
          <w:rtl/>
        </w:rPr>
        <w:t>וי"א</w:t>
      </w:r>
      <w:r w:rsidRPr="00142A44">
        <w:rPr>
          <w:rFonts w:asciiTheme="minorBidi" w:hAnsiTheme="minorBidi"/>
          <w:sz w:val="18"/>
          <w:szCs w:val="18"/>
          <w:rtl/>
        </w:rPr>
        <w:t xml:space="preserve"> דאפילו במקום דלא אמרינן </w:t>
      </w:r>
      <w:r>
        <w:rPr>
          <w:rFonts w:asciiTheme="minorBidi" w:hAnsiTheme="minorBidi" w:hint="cs"/>
          <w:sz w:val="18"/>
          <w:szCs w:val="18"/>
          <w:rtl/>
        </w:rPr>
        <w:t>חנ"נ</w:t>
      </w:r>
      <w:r w:rsidRPr="00142A44">
        <w:rPr>
          <w:rFonts w:asciiTheme="minorBidi" w:hAnsiTheme="minorBidi"/>
          <w:sz w:val="18"/>
          <w:szCs w:val="18"/>
          <w:rtl/>
        </w:rPr>
        <w:t xml:space="preserve"> לא מהני ההיתר לבטל אלא אם נתוסף קודם שנודע התערובת, אבל אם נודע התערובת קודם לא מהני מה שנתוסף אח</w:t>
      </w:r>
      <w:r>
        <w:rPr>
          <w:rFonts w:asciiTheme="minorBidi" w:hAnsiTheme="minorBidi" w:hint="cs"/>
          <w:sz w:val="18"/>
          <w:szCs w:val="18"/>
          <w:rtl/>
        </w:rPr>
        <w:t>"</w:t>
      </w:r>
      <w:r w:rsidRPr="00142A44">
        <w:rPr>
          <w:rFonts w:asciiTheme="minorBidi" w:hAnsiTheme="minorBidi"/>
          <w:sz w:val="18"/>
          <w:szCs w:val="18"/>
          <w:rtl/>
        </w:rPr>
        <w:t>כ</w:t>
      </w:r>
      <w:r>
        <w:rPr>
          <w:rFonts w:asciiTheme="minorBidi" w:hAnsiTheme="minorBidi" w:hint="cs"/>
          <w:sz w:val="18"/>
          <w:szCs w:val="18"/>
          <w:rtl/>
        </w:rPr>
        <w:t>,</w:t>
      </w:r>
      <w:r w:rsidRPr="00142A44">
        <w:rPr>
          <w:rFonts w:asciiTheme="minorBidi" w:hAnsiTheme="minorBidi"/>
          <w:sz w:val="18"/>
          <w:szCs w:val="18"/>
          <w:rtl/>
        </w:rPr>
        <w:t xml:space="preserve"> ולפי זה היה צריך החכם המורה לבטל איסור לחקור אם נתוסף ההיתר לאחר שנודע </w:t>
      </w:r>
      <w:r w:rsidRPr="00BD49DD">
        <w:rPr>
          <w:rFonts w:asciiTheme="minorBidi" w:hAnsiTheme="minorBidi"/>
          <w:sz w:val="16"/>
          <w:szCs w:val="16"/>
          <w:rtl/>
        </w:rPr>
        <w:t xml:space="preserve">(ארוך </w:t>
      </w:r>
      <w:r>
        <w:rPr>
          <w:rFonts w:asciiTheme="minorBidi" w:hAnsiTheme="minorBidi" w:hint="cs"/>
          <w:sz w:val="16"/>
          <w:szCs w:val="16"/>
          <w:rtl/>
        </w:rPr>
        <w:t>כ</w:t>
      </w:r>
      <w:r w:rsidRPr="00BD49DD">
        <w:rPr>
          <w:rFonts w:asciiTheme="minorBidi" w:hAnsiTheme="minorBidi"/>
          <w:sz w:val="16"/>
          <w:szCs w:val="16"/>
          <w:rtl/>
        </w:rPr>
        <w:t>ל</w:t>
      </w:r>
      <w:r>
        <w:rPr>
          <w:rFonts w:asciiTheme="minorBidi" w:hAnsiTheme="minorBidi" w:hint="cs"/>
          <w:sz w:val="16"/>
          <w:szCs w:val="16"/>
          <w:rtl/>
        </w:rPr>
        <w:t>"</w:t>
      </w:r>
      <w:r w:rsidRPr="00BD49DD">
        <w:rPr>
          <w:rFonts w:asciiTheme="minorBidi" w:hAnsiTheme="minorBidi"/>
          <w:sz w:val="16"/>
          <w:szCs w:val="16"/>
          <w:rtl/>
        </w:rPr>
        <w:t>ז)</w:t>
      </w:r>
      <w:r>
        <w:rPr>
          <w:rFonts w:asciiTheme="minorBidi" w:hAnsiTheme="minorBidi" w:hint="cs"/>
          <w:sz w:val="18"/>
          <w:szCs w:val="18"/>
          <w:rtl/>
        </w:rPr>
        <w:t>,</w:t>
      </w:r>
      <w:r w:rsidRPr="00142A44">
        <w:rPr>
          <w:rFonts w:asciiTheme="minorBidi" w:hAnsiTheme="minorBidi"/>
          <w:sz w:val="18"/>
          <w:szCs w:val="18"/>
          <w:rtl/>
        </w:rPr>
        <w:t xml:space="preserve"> ולא נהגו כן</w:t>
      </w:r>
      <w:r>
        <w:rPr>
          <w:rStyle w:val="a7"/>
          <w:rFonts w:asciiTheme="minorBidi" w:hAnsiTheme="minorBidi"/>
          <w:sz w:val="18"/>
          <w:szCs w:val="18"/>
          <w:rtl/>
        </w:rPr>
        <w:footnoteReference w:id="1897"/>
      </w:r>
      <w:r w:rsidRPr="00142A44">
        <w:rPr>
          <w:rFonts w:asciiTheme="minorBidi" w:hAnsiTheme="minorBidi"/>
          <w:sz w:val="18"/>
          <w:szCs w:val="18"/>
          <w:rtl/>
        </w:rPr>
        <w:t xml:space="preserve">. </w:t>
      </w:r>
    </w:p>
    <w:p w14:paraId="767A1638" w14:textId="77777777" w:rsidR="002C39F4" w:rsidRPr="003024E5" w:rsidRDefault="002C39F4" w:rsidP="002C39F4">
      <w:pPr>
        <w:rPr>
          <w:rFonts w:asciiTheme="minorBidi" w:hAnsiTheme="minorBidi"/>
          <w:rtl/>
        </w:rPr>
      </w:pPr>
    </w:p>
    <w:p w14:paraId="44B34972"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ביטול איסור דרבנן.</w:t>
      </w:r>
    </w:p>
    <w:p w14:paraId="2D1571DB" w14:textId="77777777" w:rsidR="002C39F4" w:rsidRDefault="002C39F4" w:rsidP="002C39F4">
      <w:pPr>
        <w:rPr>
          <w:rFonts w:cs="Arial"/>
          <w:rtl/>
        </w:rPr>
      </w:pPr>
      <w:r>
        <w:rPr>
          <w:rFonts w:cs="Arial" w:hint="cs"/>
          <w:b/>
          <w:bCs/>
          <w:rtl/>
        </w:rPr>
        <w:t xml:space="preserve">ביצה ד ע"ב: </w:t>
      </w:r>
      <w:r w:rsidRPr="00221C51">
        <w:rPr>
          <w:rFonts w:cs="Arial"/>
          <w:u w:val="single"/>
          <w:rtl/>
        </w:rPr>
        <w:t>אמר רב מתנה</w:t>
      </w:r>
      <w:r w:rsidRPr="008C0D7B">
        <w:rPr>
          <w:rFonts w:cs="Arial"/>
          <w:rtl/>
        </w:rPr>
        <w:t>: עצים שנשרו מן הדקל לתוך התנור ביום טוב</w:t>
      </w:r>
      <w:r>
        <w:rPr>
          <w:rFonts w:cs="Arial" w:hint="cs"/>
          <w:rtl/>
        </w:rPr>
        <w:t xml:space="preserve"> </w:t>
      </w:r>
      <w:r w:rsidRPr="008C0D7B">
        <w:rPr>
          <w:rFonts w:cs="Arial"/>
          <w:rtl/>
        </w:rPr>
        <w:t xml:space="preserve">- מרבה עליהם עצים מוכנים ומסיקן. והא קא מהפך באיסורא! כיון דרובא דהיתרא נינהו, כי קא מהפך בהיתרא קא מהפך. והא קא מבטל איסורא לכתחלה, ותנן: אין מבטלין איסור לכתחלה! הני מילי בדאורייתא, אבל בדרבנן מבטלין. ולרב אשי דאמר כל דבר שיש לו מתירין אפילו בדרבנן לא בטיל, מאי איכא למימר? הני מילי היכא דאיתיה לאיסורא בעיניה, הכא מקלא קלי איסורא. </w:t>
      </w:r>
    </w:p>
    <w:p w14:paraId="2ABDB76D" w14:textId="77777777" w:rsidR="002C39F4" w:rsidRPr="00221C51" w:rsidRDefault="002C39F4" w:rsidP="002C39F4">
      <w:pPr>
        <w:rPr>
          <w:rFonts w:cs="Arial"/>
          <w:u w:val="single"/>
          <w:rtl/>
        </w:rPr>
      </w:pPr>
      <w:r w:rsidRPr="00221C51">
        <w:rPr>
          <w:rFonts w:cs="Arial" w:hint="cs"/>
          <w:u w:val="single"/>
          <w:rtl/>
        </w:rPr>
        <w:t>ביטול איסור</w:t>
      </w:r>
      <w:r>
        <w:rPr>
          <w:rFonts w:cs="Arial" w:hint="cs"/>
          <w:u w:val="single"/>
          <w:rtl/>
        </w:rPr>
        <w:t xml:space="preserve"> דרבנן</w:t>
      </w:r>
      <w:r w:rsidRPr="00221C51">
        <w:rPr>
          <w:rFonts w:cs="Arial" w:hint="cs"/>
          <w:u w:val="single"/>
          <w:rtl/>
        </w:rPr>
        <w:t>:</w:t>
      </w:r>
    </w:p>
    <w:p w14:paraId="4B329468" w14:textId="77777777" w:rsidR="002C39F4" w:rsidRDefault="002C39F4" w:rsidP="0032102C">
      <w:pPr>
        <w:pStyle w:val="a8"/>
        <w:numPr>
          <w:ilvl w:val="0"/>
          <w:numId w:val="191"/>
        </w:numPr>
        <w:rPr>
          <w:rFonts w:cs="Arial"/>
        </w:rPr>
      </w:pPr>
      <w:r w:rsidRPr="006B03EF">
        <w:rPr>
          <w:rFonts w:cs="Arial"/>
          <w:rtl/>
        </w:rPr>
        <w:t xml:space="preserve">רא"ש </w:t>
      </w:r>
      <w:r>
        <w:rPr>
          <w:rFonts w:cs="Arial" w:hint="cs"/>
          <w:sz w:val="16"/>
          <w:szCs w:val="16"/>
          <w:rtl/>
        </w:rPr>
        <w:t>(</w:t>
      </w:r>
      <w:r w:rsidRPr="000426B5">
        <w:rPr>
          <w:rFonts w:cs="Arial"/>
          <w:sz w:val="16"/>
          <w:szCs w:val="16"/>
          <w:rtl/>
        </w:rPr>
        <w:t>פ"ק דביצה סי' ב)</w:t>
      </w:r>
      <w:r w:rsidRPr="006B03EF">
        <w:rPr>
          <w:rFonts w:cs="Arial" w:hint="cs"/>
          <w:rtl/>
        </w:rPr>
        <w:t xml:space="preserve"> והגמ"ר </w:t>
      </w:r>
      <w:r w:rsidRPr="000426B5">
        <w:rPr>
          <w:rFonts w:cs="Arial"/>
          <w:sz w:val="16"/>
          <w:szCs w:val="16"/>
          <w:rtl/>
        </w:rPr>
        <w:t>(</w:t>
      </w:r>
      <w:r w:rsidRPr="000426B5">
        <w:rPr>
          <w:rFonts w:cs="Arial" w:hint="cs"/>
          <w:sz w:val="16"/>
          <w:szCs w:val="16"/>
          <w:rtl/>
        </w:rPr>
        <w:t xml:space="preserve">חולין </w:t>
      </w:r>
      <w:r w:rsidRPr="000426B5">
        <w:rPr>
          <w:rFonts w:cs="Arial"/>
          <w:sz w:val="16"/>
          <w:szCs w:val="16"/>
          <w:rtl/>
        </w:rPr>
        <w:t>סי' תשנג)</w:t>
      </w:r>
      <w:r w:rsidRPr="006B03EF">
        <w:rPr>
          <w:rFonts w:cs="Arial" w:hint="cs"/>
          <w:rtl/>
        </w:rPr>
        <w:t>-</w:t>
      </w:r>
      <w:r w:rsidRPr="006B03EF">
        <w:rPr>
          <w:rFonts w:cs="Arial"/>
          <w:rtl/>
        </w:rPr>
        <w:t xml:space="preserve"> אפי' איסור דרבנן שנתערב אסור להוסיף עליו לבטלו ולא התירו אלא בעצים שנשרו לתוך התנור משום דמיקלי קלי לאיסורא</w:t>
      </w:r>
      <w:r>
        <w:rPr>
          <w:rStyle w:val="a7"/>
          <w:rFonts w:cs="Arial"/>
          <w:rtl/>
        </w:rPr>
        <w:footnoteReference w:id="1898"/>
      </w:r>
      <w:r w:rsidRPr="006B03EF">
        <w:rPr>
          <w:rFonts w:cs="Arial" w:hint="cs"/>
          <w:rtl/>
        </w:rPr>
        <w:t>.</w:t>
      </w:r>
      <w:r>
        <w:rPr>
          <w:rFonts w:hint="cs"/>
          <w:color w:val="00B0F0"/>
          <w:rtl/>
        </w:rPr>
        <w:t xml:space="preserve"> </w:t>
      </w:r>
      <w:r w:rsidRPr="00F36ABD">
        <w:rPr>
          <w:rFonts w:hint="cs"/>
          <w:color w:val="00B0F0"/>
          <w:rtl/>
        </w:rPr>
        <w:t>(וכ"פ הרמ"א)</w:t>
      </w:r>
    </w:p>
    <w:p w14:paraId="6E744261" w14:textId="77777777" w:rsidR="002C39F4" w:rsidRDefault="002C39F4" w:rsidP="0032102C">
      <w:pPr>
        <w:pStyle w:val="a8"/>
        <w:numPr>
          <w:ilvl w:val="0"/>
          <w:numId w:val="191"/>
        </w:numPr>
        <w:rPr>
          <w:rFonts w:cs="Arial"/>
        </w:rPr>
      </w:pPr>
      <w:r>
        <w:rPr>
          <w:rFonts w:cs="Arial" w:hint="cs"/>
          <w:rtl/>
        </w:rPr>
        <w:t>ר"י</w:t>
      </w:r>
      <w:r w:rsidRPr="00221C51">
        <w:rPr>
          <w:rFonts w:cs="Arial"/>
          <w:rtl/>
        </w:rPr>
        <w:t xml:space="preserve"> </w:t>
      </w:r>
      <w:r>
        <w:rPr>
          <w:rFonts w:cs="Arial" w:hint="cs"/>
          <w:rtl/>
        </w:rPr>
        <w:t>ו</w:t>
      </w:r>
      <w:r w:rsidRPr="00221C51">
        <w:rPr>
          <w:rFonts w:cs="Arial"/>
          <w:rtl/>
        </w:rPr>
        <w:t>ראבי"ה</w:t>
      </w:r>
      <w:r>
        <w:rPr>
          <w:rStyle w:val="a7"/>
          <w:rFonts w:cs="Arial"/>
          <w:rtl/>
        </w:rPr>
        <w:footnoteReference w:id="1899"/>
      </w:r>
      <w:r>
        <w:rPr>
          <w:rFonts w:cs="Arial" w:hint="cs"/>
          <w:rtl/>
        </w:rPr>
        <w:t xml:space="preserve">- </w:t>
      </w:r>
      <w:r w:rsidRPr="00221C51">
        <w:rPr>
          <w:rFonts w:cs="Arial"/>
          <w:rtl/>
        </w:rPr>
        <w:t>הא דמבטלין לכתחלה איסור דרבנן הני מילי בדבר שאין לו שורש מן התורה כגון מוקצה</w:t>
      </w:r>
      <w:r>
        <w:rPr>
          <w:rFonts w:cs="Arial" w:hint="cs"/>
          <w:rtl/>
        </w:rPr>
        <w:t>.</w:t>
      </w:r>
      <w:r w:rsidRPr="00221C51">
        <w:rPr>
          <w:rFonts w:cs="Arial"/>
          <w:rtl/>
        </w:rPr>
        <w:t xml:space="preserve"> </w:t>
      </w:r>
    </w:p>
    <w:p w14:paraId="7D2372F4" w14:textId="77777777" w:rsidR="002C39F4" w:rsidRDefault="002C39F4" w:rsidP="0032102C">
      <w:pPr>
        <w:pStyle w:val="a8"/>
        <w:numPr>
          <w:ilvl w:val="0"/>
          <w:numId w:val="191"/>
        </w:numPr>
        <w:rPr>
          <w:rFonts w:cs="Arial"/>
        </w:rPr>
      </w:pPr>
      <w:r w:rsidRPr="005018F9">
        <w:rPr>
          <w:rFonts w:cs="Arial"/>
          <w:rtl/>
        </w:rPr>
        <w:t>רשב"א</w:t>
      </w:r>
      <w:r w:rsidRPr="005018F9">
        <w:rPr>
          <w:rFonts w:cs="Arial" w:hint="cs"/>
          <w:rtl/>
        </w:rPr>
        <w:t xml:space="preserve"> </w:t>
      </w:r>
      <w:r w:rsidRPr="005018F9">
        <w:rPr>
          <w:rFonts w:cs="Arial" w:hint="cs"/>
          <w:sz w:val="16"/>
          <w:szCs w:val="16"/>
          <w:rtl/>
        </w:rPr>
        <w:t xml:space="preserve">(תוה"א </w:t>
      </w:r>
      <w:r w:rsidRPr="005018F9">
        <w:rPr>
          <w:rFonts w:cs="Arial"/>
          <w:sz w:val="16"/>
          <w:szCs w:val="16"/>
          <w:rtl/>
        </w:rPr>
        <w:t>ב"ד ש"ג לב.)</w:t>
      </w:r>
      <w:r w:rsidRPr="005018F9">
        <w:rPr>
          <w:rFonts w:cs="Arial" w:hint="cs"/>
          <w:rtl/>
        </w:rPr>
        <w:t>-</w:t>
      </w:r>
      <w:r w:rsidRPr="005018F9">
        <w:rPr>
          <w:rFonts w:cs="Arial"/>
          <w:rtl/>
        </w:rPr>
        <w:t xml:space="preserve"> איסור של דבריהם שיש לו עיקר בדאו</w:t>
      </w:r>
      <w:r>
        <w:rPr>
          <w:rFonts w:cs="Arial" w:hint="cs"/>
          <w:rtl/>
        </w:rPr>
        <w:t xml:space="preserve">' </w:t>
      </w:r>
      <w:r w:rsidRPr="005018F9">
        <w:rPr>
          <w:rFonts w:cs="Arial" w:hint="cs"/>
          <w:rtl/>
        </w:rPr>
        <w:t>-</w:t>
      </w:r>
      <w:r w:rsidRPr="005018F9">
        <w:rPr>
          <w:rFonts w:cs="Arial"/>
          <w:rtl/>
        </w:rPr>
        <w:t xml:space="preserve"> אין מערבין אותו בידים כדי לבטלו</w:t>
      </w:r>
      <w:r w:rsidRPr="005018F9">
        <w:rPr>
          <w:rFonts w:cs="Arial" w:hint="cs"/>
          <w:rtl/>
        </w:rPr>
        <w:t>,</w:t>
      </w:r>
      <w:r w:rsidRPr="005018F9">
        <w:rPr>
          <w:rFonts w:cs="Arial"/>
          <w:rtl/>
        </w:rPr>
        <w:t xml:space="preserve"> ואם עשה כן מזיד אסור</w:t>
      </w:r>
      <w:r w:rsidRPr="005018F9">
        <w:rPr>
          <w:rFonts w:cs="Arial" w:hint="cs"/>
          <w:rtl/>
        </w:rPr>
        <w:t>,</w:t>
      </w:r>
      <w:r w:rsidRPr="005018F9">
        <w:rPr>
          <w:rFonts w:cs="Arial"/>
          <w:rtl/>
        </w:rPr>
        <w:t xml:space="preserve"> אבל אם נפל מעצמו ואין בהיתר כדי לבטלו מרבה עליו ומבטלו. איסור של דבריהם שאין לו עיקר בדאו</w:t>
      </w:r>
      <w:r>
        <w:rPr>
          <w:rFonts w:cs="Arial" w:hint="cs"/>
          <w:rtl/>
        </w:rPr>
        <w:t xml:space="preserve">' </w:t>
      </w:r>
      <w:r w:rsidRPr="005018F9">
        <w:rPr>
          <w:rFonts w:cs="Arial" w:hint="cs"/>
          <w:rtl/>
        </w:rPr>
        <w:t>-</w:t>
      </w:r>
      <w:r w:rsidRPr="005018F9">
        <w:rPr>
          <w:rFonts w:cs="Arial"/>
          <w:rtl/>
        </w:rPr>
        <w:t xml:space="preserve"> כתרומת וחלת חוץ לארץ מערבין ומבטלין אותם ברוב לכתחלה</w:t>
      </w:r>
      <w:r w:rsidRPr="005018F9">
        <w:rPr>
          <w:rFonts w:cs="Arial" w:hint="cs"/>
          <w:rtl/>
        </w:rPr>
        <w:t>,</w:t>
      </w:r>
      <w:r w:rsidRPr="005018F9">
        <w:rPr>
          <w:rFonts w:cs="Arial"/>
          <w:rtl/>
        </w:rPr>
        <w:t xml:space="preserve"> וי"א שלא אמרו כן אלא בתרומת וחלת חוץ לארץ אבל לא בשאר האסורים</w:t>
      </w:r>
      <w:r>
        <w:rPr>
          <w:rStyle w:val="a7"/>
          <w:rFonts w:cs="Arial"/>
          <w:rtl/>
        </w:rPr>
        <w:footnoteReference w:id="1900"/>
      </w:r>
      <w:r w:rsidRPr="005018F9">
        <w:rPr>
          <w:rFonts w:cs="Arial" w:hint="cs"/>
          <w:rtl/>
        </w:rPr>
        <w:t>,</w:t>
      </w:r>
      <w:r w:rsidRPr="005018F9">
        <w:rPr>
          <w:rFonts w:cs="Arial"/>
          <w:rtl/>
        </w:rPr>
        <w:t xml:space="preserve"> ויש לחוש לדבריהם</w:t>
      </w:r>
      <w:r>
        <w:rPr>
          <w:rStyle w:val="a7"/>
          <w:rFonts w:cs="Arial"/>
          <w:rtl/>
        </w:rPr>
        <w:footnoteReference w:id="1901"/>
      </w:r>
      <w:r w:rsidRPr="005018F9">
        <w:rPr>
          <w:rFonts w:cs="Arial" w:hint="cs"/>
          <w:rtl/>
        </w:rPr>
        <w:t>.</w:t>
      </w:r>
      <w:r w:rsidRPr="000928C0">
        <w:rPr>
          <w:rFonts w:cs="Arial" w:hint="cs"/>
          <w:color w:val="E36C0A" w:themeColor="accent6" w:themeShade="BF"/>
          <w:rtl/>
        </w:rPr>
        <w:t xml:space="preserve"> (וכ"פ בשו"ע)</w:t>
      </w:r>
    </w:p>
    <w:p w14:paraId="53FDF440" w14:textId="77777777" w:rsidR="002C39F4" w:rsidRPr="00FC36DA" w:rsidRDefault="002C39F4" w:rsidP="0032102C">
      <w:pPr>
        <w:pStyle w:val="a8"/>
        <w:numPr>
          <w:ilvl w:val="0"/>
          <w:numId w:val="191"/>
        </w:numPr>
        <w:rPr>
          <w:rFonts w:cs="Arial"/>
        </w:rPr>
      </w:pPr>
      <w:r w:rsidRPr="00221C51">
        <w:rPr>
          <w:rFonts w:cs="Arial"/>
          <w:rtl/>
        </w:rPr>
        <w:t xml:space="preserve">רמב"ם </w:t>
      </w:r>
      <w:r w:rsidRPr="00FC36DA">
        <w:rPr>
          <w:rFonts w:cs="Arial" w:hint="cs"/>
          <w:sz w:val="16"/>
          <w:szCs w:val="16"/>
          <w:rtl/>
        </w:rPr>
        <w:t>(</w:t>
      </w:r>
      <w:r w:rsidRPr="00FC36DA">
        <w:rPr>
          <w:rFonts w:cs="Arial"/>
          <w:sz w:val="16"/>
          <w:szCs w:val="16"/>
          <w:rtl/>
        </w:rPr>
        <w:t>פט"ו</w:t>
      </w:r>
      <w:r w:rsidRPr="00FC36DA">
        <w:rPr>
          <w:rFonts w:cs="Arial" w:hint="cs"/>
          <w:sz w:val="16"/>
          <w:szCs w:val="16"/>
          <w:rtl/>
        </w:rPr>
        <w:t xml:space="preserve"> </w:t>
      </w:r>
      <w:r w:rsidRPr="00FC36DA">
        <w:rPr>
          <w:rFonts w:cs="Arial"/>
          <w:sz w:val="16"/>
          <w:szCs w:val="16"/>
          <w:rtl/>
        </w:rPr>
        <w:t>הכ</w:t>
      </w:r>
      <w:r w:rsidRPr="00FC36DA">
        <w:rPr>
          <w:rFonts w:cs="Arial" w:hint="cs"/>
          <w:sz w:val="16"/>
          <w:szCs w:val="16"/>
          <w:rtl/>
        </w:rPr>
        <w:t>"</w:t>
      </w:r>
      <w:r>
        <w:rPr>
          <w:rFonts w:cs="Arial" w:hint="cs"/>
          <w:sz w:val="16"/>
          <w:szCs w:val="16"/>
          <w:rtl/>
        </w:rPr>
        <w:t>ו</w:t>
      </w:r>
      <w:r w:rsidRPr="00FC36DA">
        <w:rPr>
          <w:rFonts w:cs="Arial"/>
          <w:sz w:val="16"/>
          <w:szCs w:val="16"/>
          <w:rtl/>
        </w:rPr>
        <w:t>-כז)</w:t>
      </w:r>
      <w:r w:rsidRPr="00FC36DA">
        <w:rPr>
          <w:rFonts w:cs="Arial"/>
          <w:rtl/>
        </w:rPr>
        <w:t xml:space="preserve"> </w:t>
      </w:r>
      <w:r>
        <w:rPr>
          <w:rFonts w:cs="Arial" w:hint="cs"/>
          <w:rtl/>
        </w:rPr>
        <w:t>ו</w:t>
      </w:r>
      <w:r w:rsidRPr="00221C51">
        <w:rPr>
          <w:rFonts w:cs="Arial"/>
          <w:rtl/>
        </w:rPr>
        <w:t>רבינו שמחה</w:t>
      </w:r>
      <w:r>
        <w:rPr>
          <w:rStyle w:val="a7"/>
          <w:rFonts w:cs="Arial"/>
          <w:rtl/>
        </w:rPr>
        <w:footnoteReference w:id="1902"/>
      </w:r>
      <w:r w:rsidRPr="00221C51">
        <w:rPr>
          <w:rFonts w:cs="Arial" w:hint="cs"/>
          <w:rtl/>
        </w:rPr>
        <w:t>-</w:t>
      </w:r>
      <w:r w:rsidRPr="00221C51">
        <w:rPr>
          <w:rFonts w:cs="Arial"/>
          <w:rtl/>
        </w:rPr>
        <w:t xml:space="preserve"> באיסור של דבריהם מבטלין האיסור לכתחלה</w:t>
      </w:r>
      <w:r>
        <w:rPr>
          <w:rFonts w:cs="Arial" w:hint="cs"/>
          <w:rtl/>
        </w:rPr>
        <w:t>,</w:t>
      </w:r>
      <w:r w:rsidRPr="00221C51">
        <w:rPr>
          <w:rFonts w:cs="Arial"/>
          <w:rtl/>
        </w:rPr>
        <w:t xml:space="preserve"> כיצד</w:t>
      </w:r>
      <w:r>
        <w:rPr>
          <w:rFonts w:cs="Arial" w:hint="cs"/>
          <w:rtl/>
        </w:rPr>
        <w:t>,</w:t>
      </w:r>
      <w:r w:rsidRPr="00221C51">
        <w:rPr>
          <w:rFonts w:cs="Arial"/>
          <w:rtl/>
        </w:rPr>
        <w:t xml:space="preserve"> חלב שנפל לקדרה שיש בה בשר עוף ונתן טעם בקדרה</w:t>
      </w:r>
      <w:r>
        <w:rPr>
          <w:rFonts w:cs="Arial" w:hint="cs"/>
          <w:rtl/>
        </w:rPr>
        <w:t>,</w:t>
      </w:r>
      <w:r w:rsidRPr="00221C51">
        <w:rPr>
          <w:rFonts w:cs="Arial"/>
          <w:rtl/>
        </w:rPr>
        <w:t xml:space="preserve"> מרבה עליו בשר עוף אחר עד שיבטל הטעם</w:t>
      </w:r>
      <w:r>
        <w:rPr>
          <w:rFonts w:cs="Arial" w:hint="cs"/>
          <w:rtl/>
        </w:rPr>
        <w:t>,</w:t>
      </w:r>
      <w:r w:rsidRPr="00221C51">
        <w:rPr>
          <w:rFonts w:cs="Arial"/>
          <w:rtl/>
        </w:rPr>
        <w:t xml:space="preserve"> וכן כל כיוצא בזה</w:t>
      </w:r>
      <w:r>
        <w:rPr>
          <w:rStyle w:val="a7"/>
          <w:rFonts w:cs="Arial"/>
          <w:rtl/>
        </w:rPr>
        <w:footnoteReference w:id="1903"/>
      </w:r>
      <w:r>
        <w:rPr>
          <w:rFonts w:cs="Arial" w:hint="cs"/>
          <w:sz w:val="16"/>
          <w:szCs w:val="16"/>
          <w:rtl/>
        </w:rPr>
        <w:t xml:space="preserve"> (ל' הרמב"ם)</w:t>
      </w:r>
      <w:r w:rsidRPr="00221C51">
        <w:rPr>
          <w:rFonts w:cs="Arial" w:hint="cs"/>
          <w:rtl/>
        </w:rPr>
        <w:t>.</w:t>
      </w:r>
    </w:p>
    <w:p w14:paraId="50900D98" w14:textId="77777777" w:rsidR="002C39F4" w:rsidRPr="00B5494B" w:rsidRDefault="002C39F4" w:rsidP="002C39F4">
      <w:pPr>
        <w:ind w:left="360"/>
        <w:rPr>
          <w:rFonts w:cs="Arial"/>
          <w:u w:val="dotted"/>
        </w:rPr>
      </w:pPr>
      <w:r w:rsidRPr="00B5494B">
        <w:rPr>
          <w:rFonts w:cs="Arial"/>
          <w:u w:val="dotted"/>
          <w:rtl/>
        </w:rPr>
        <w:t xml:space="preserve">כל האיסורים שריבה עליהם שוגג מותרים </w:t>
      </w:r>
      <w:r>
        <w:rPr>
          <w:rFonts w:cs="Arial"/>
          <w:u w:val="dotted"/>
          <w:rtl/>
        </w:rPr>
        <w:t>–</w:t>
      </w:r>
      <w:r w:rsidRPr="00B5494B">
        <w:rPr>
          <w:rFonts w:cs="Arial" w:hint="cs"/>
          <w:u w:val="dotted"/>
          <w:rtl/>
        </w:rPr>
        <w:t xml:space="preserve"> </w:t>
      </w:r>
      <w:r>
        <w:rPr>
          <w:rFonts w:cs="Arial" w:hint="cs"/>
          <w:u w:val="dotted"/>
          <w:rtl/>
        </w:rPr>
        <w:t xml:space="preserve">מה הדין </w:t>
      </w:r>
      <w:r w:rsidRPr="00B5494B">
        <w:rPr>
          <w:rFonts w:cs="Arial"/>
          <w:u w:val="dotted"/>
          <w:rtl/>
        </w:rPr>
        <w:t xml:space="preserve">בדבר </w:t>
      </w:r>
      <w:r>
        <w:rPr>
          <w:rFonts w:cs="Arial" w:hint="cs"/>
          <w:u w:val="dotted"/>
          <w:rtl/>
        </w:rPr>
        <w:t>לח או בדבר שיש בו נתינת טעם</w:t>
      </w:r>
      <w:r>
        <w:rPr>
          <w:rFonts w:cs="Arial" w:hint="cs"/>
          <w:sz w:val="16"/>
          <w:szCs w:val="16"/>
          <w:u w:val="dotted"/>
          <w:rtl/>
        </w:rPr>
        <w:t xml:space="preserve"> (כמו לח ביבש)</w:t>
      </w:r>
      <w:r>
        <w:rPr>
          <w:rFonts w:cs="Arial" w:hint="cs"/>
          <w:u w:val="dotted"/>
          <w:rtl/>
        </w:rPr>
        <w:t>:</w:t>
      </w:r>
    </w:p>
    <w:p w14:paraId="416671F6" w14:textId="77777777" w:rsidR="002C39F4" w:rsidRPr="006B03EF" w:rsidRDefault="002C39F4" w:rsidP="0032102C">
      <w:pPr>
        <w:pStyle w:val="a8"/>
        <w:numPr>
          <w:ilvl w:val="0"/>
          <w:numId w:val="190"/>
        </w:numPr>
        <w:rPr>
          <w:rFonts w:cs="Arial"/>
          <w:rtl/>
        </w:rPr>
      </w:pPr>
      <w:r>
        <w:rPr>
          <w:rFonts w:cs="Arial" w:hint="cs"/>
          <w:rtl/>
        </w:rPr>
        <w:t>הגשע"ד</w:t>
      </w:r>
      <w:r>
        <w:rPr>
          <w:rFonts w:cs="Arial"/>
          <w:rtl/>
        </w:rPr>
        <w:t xml:space="preserve"> </w:t>
      </w:r>
      <w:r w:rsidRPr="006B03EF">
        <w:rPr>
          <w:rFonts w:cs="Arial"/>
          <w:sz w:val="16"/>
          <w:szCs w:val="16"/>
          <w:rtl/>
        </w:rPr>
        <w:t>(סי' לט אות ה ד"ה הרא"ש)</w:t>
      </w:r>
      <w:r>
        <w:rPr>
          <w:rFonts w:cs="Arial" w:hint="cs"/>
          <w:rtl/>
        </w:rPr>
        <w:t xml:space="preserve">- </w:t>
      </w:r>
      <w:r>
        <w:rPr>
          <w:rFonts w:cs="Arial"/>
          <w:rtl/>
        </w:rPr>
        <w:t>הא דקי"ל כל האיסורים שריבה עליהם שוגג מותרים דוקא בדבר יבש יש לנהוג הכי</w:t>
      </w:r>
      <w:r>
        <w:rPr>
          <w:rFonts w:cs="Arial" w:hint="cs"/>
          <w:rtl/>
        </w:rPr>
        <w:t>,</w:t>
      </w:r>
      <w:r>
        <w:rPr>
          <w:rFonts w:cs="Arial"/>
          <w:rtl/>
        </w:rPr>
        <w:t xml:space="preserve"> אבל לא בדבר לח או שיש בו נתינת טעם</w:t>
      </w:r>
      <w:r>
        <w:rPr>
          <w:rFonts w:cs="Arial" w:hint="cs"/>
          <w:rtl/>
        </w:rPr>
        <w:t>,</w:t>
      </w:r>
      <w:r>
        <w:rPr>
          <w:rFonts w:cs="Arial"/>
          <w:rtl/>
        </w:rPr>
        <w:t xml:space="preserve"> דקי"ל חתיכה עצמה נעשית נבלה וצריכה כדי ביטול הכל</w:t>
      </w:r>
      <w:r>
        <w:rPr>
          <w:rFonts w:cs="Arial" w:hint="cs"/>
          <w:rtl/>
        </w:rPr>
        <w:t>,</w:t>
      </w:r>
      <w:r>
        <w:rPr>
          <w:rFonts w:cs="Arial"/>
          <w:rtl/>
        </w:rPr>
        <w:t xml:space="preserve"> ואפילו נתרבה בשוגג כדמוכח בכמה דוכתי</w:t>
      </w:r>
      <w:r>
        <w:rPr>
          <w:rStyle w:val="a7"/>
          <w:rFonts w:cs="Arial"/>
          <w:rtl/>
        </w:rPr>
        <w:footnoteReference w:id="1904"/>
      </w:r>
      <w:r>
        <w:rPr>
          <w:rFonts w:cs="Arial" w:hint="cs"/>
          <w:rtl/>
        </w:rPr>
        <w:t>.</w:t>
      </w:r>
    </w:p>
    <w:p w14:paraId="122EB9DF" w14:textId="77777777" w:rsidR="002C39F4" w:rsidRDefault="002C39F4" w:rsidP="002C39F4">
      <w:pPr>
        <w:rPr>
          <w:rFonts w:cs="Arial"/>
          <w:rtl/>
        </w:rPr>
      </w:pPr>
      <w:r w:rsidRPr="006B03EF">
        <w:rPr>
          <w:rFonts w:cs="Arial" w:hint="cs"/>
          <w:u w:val="single"/>
          <w:rtl/>
        </w:rPr>
        <w:t>בישול בקדרה של ישראל שאוכל בה גבינות גוים:</w:t>
      </w:r>
    </w:p>
    <w:p w14:paraId="259D48C6" w14:textId="77777777" w:rsidR="002C39F4" w:rsidRDefault="002C39F4" w:rsidP="0032102C">
      <w:pPr>
        <w:pStyle w:val="a8"/>
        <w:numPr>
          <w:ilvl w:val="0"/>
          <w:numId w:val="193"/>
        </w:numPr>
        <w:rPr>
          <w:rFonts w:cs="Arial"/>
        </w:rPr>
      </w:pPr>
      <w:r w:rsidRPr="006B03EF">
        <w:rPr>
          <w:rFonts w:cs="Arial"/>
          <w:rtl/>
        </w:rPr>
        <w:t xml:space="preserve">ארחות חיים </w:t>
      </w:r>
      <w:r w:rsidRPr="006B03EF">
        <w:rPr>
          <w:rFonts w:cs="Arial"/>
          <w:sz w:val="16"/>
          <w:szCs w:val="16"/>
          <w:rtl/>
        </w:rPr>
        <w:t>(אמא</w:t>
      </w:r>
      <w:r>
        <w:rPr>
          <w:rFonts w:cs="Arial" w:hint="cs"/>
          <w:sz w:val="16"/>
          <w:szCs w:val="16"/>
          <w:rtl/>
        </w:rPr>
        <w:t>"</w:t>
      </w:r>
      <w:r w:rsidRPr="006B03EF">
        <w:rPr>
          <w:rFonts w:cs="Arial"/>
          <w:sz w:val="16"/>
          <w:szCs w:val="16"/>
          <w:rtl/>
        </w:rPr>
        <w:t>כ סי' כב)</w:t>
      </w:r>
      <w:r>
        <w:rPr>
          <w:rFonts w:cs="Arial" w:hint="cs"/>
          <w:rtl/>
        </w:rPr>
        <w:t>-</w:t>
      </w:r>
      <w:r w:rsidRPr="006B03EF">
        <w:rPr>
          <w:rFonts w:cs="Arial"/>
          <w:rtl/>
        </w:rPr>
        <w:t xml:space="preserve"> יש מתירים לבשל בקדרות ישראלים האוכלים גבינות הגוים אם הם מקונחות יפה</w:t>
      </w:r>
      <w:r>
        <w:rPr>
          <w:rFonts w:cs="Arial" w:hint="cs"/>
          <w:rtl/>
        </w:rPr>
        <w:t>,</w:t>
      </w:r>
      <w:r w:rsidRPr="006B03EF">
        <w:rPr>
          <w:rFonts w:cs="Arial"/>
          <w:rtl/>
        </w:rPr>
        <w:t xml:space="preserve"> ויש אוסרים</w:t>
      </w:r>
      <w:r>
        <w:rPr>
          <w:rFonts w:cs="Arial" w:hint="cs"/>
          <w:rtl/>
        </w:rPr>
        <w:t>,</w:t>
      </w:r>
      <w:r w:rsidRPr="006B03EF">
        <w:rPr>
          <w:rFonts w:cs="Arial"/>
          <w:rtl/>
        </w:rPr>
        <w:t xml:space="preserve"> ונראים דבריהם</w:t>
      </w:r>
      <w:r w:rsidRPr="006B03EF">
        <w:rPr>
          <w:rFonts w:cs="Arial" w:hint="cs"/>
          <w:rtl/>
        </w:rPr>
        <w:t>.</w:t>
      </w:r>
      <w:r w:rsidRPr="006B03EF">
        <w:rPr>
          <w:rFonts w:cs="Arial"/>
          <w:rtl/>
        </w:rPr>
        <w:t xml:space="preserve"> </w:t>
      </w:r>
    </w:p>
    <w:p w14:paraId="1DFDA694" w14:textId="77777777" w:rsidR="002C39F4" w:rsidRDefault="002C39F4" w:rsidP="002C39F4">
      <w:pPr>
        <w:rPr>
          <w:rFonts w:cs="Arial"/>
          <w:rtl/>
        </w:rPr>
      </w:pPr>
      <w:r>
        <w:rPr>
          <w:rFonts w:cs="Arial" w:hint="cs"/>
          <w:b/>
          <w:bCs/>
          <w:rtl/>
        </w:rPr>
        <w:t xml:space="preserve">משנה תרומות פ"ה מ"ח: </w:t>
      </w:r>
      <w:r w:rsidRPr="00662B64">
        <w:rPr>
          <w:rFonts w:cs="Arial"/>
          <w:rtl/>
        </w:rPr>
        <w:t>סאה תרומה שנפלה למאה ולא הספיק להגביהה עד שנפלה אחרת הרי זו אסורה</w:t>
      </w:r>
      <w:r>
        <w:rPr>
          <w:rFonts w:cs="Arial" w:hint="cs"/>
          <w:rtl/>
        </w:rPr>
        <w:t>,</w:t>
      </w:r>
      <w:r w:rsidRPr="00662B64">
        <w:rPr>
          <w:rFonts w:cs="Arial"/>
          <w:rtl/>
        </w:rPr>
        <w:t xml:space="preserve"> ורבי שמעון מתיר</w:t>
      </w:r>
      <w:r>
        <w:rPr>
          <w:rFonts w:cs="Arial" w:hint="cs"/>
          <w:rtl/>
        </w:rPr>
        <w:t>.</w:t>
      </w:r>
    </w:p>
    <w:p w14:paraId="26EC3CA8" w14:textId="77777777" w:rsidR="002C39F4" w:rsidRDefault="002C39F4" w:rsidP="002C39F4">
      <w:pPr>
        <w:rPr>
          <w:rFonts w:cs="Arial"/>
          <w:rtl/>
        </w:rPr>
      </w:pPr>
      <w:r>
        <w:rPr>
          <w:rFonts w:cs="Arial" w:hint="cs"/>
          <w:b/>
          <w:bCs/>
          <w:rtl/>
        </w:rPr>
        <w:t>תוספתא</w:t>
      </w:r>
      <w:r>
        <w:rPr>
          <w:rFonts w:cs="Arial" w:hint="cs"/>
          <w:b/>
          <w:bCs/>
          <w:sz w:val="16"/>
          <w:szCs w:val="16"/>
          <w:rtl/>
        </w:rPr>
        <w:t xml:space="preserve"> (ליברמן)</w:t>
      </w:r>
      <w:r>
        <w:rPr>
          <w:rFonts w:cs="Arial" w:hint="cs"/>
          <w:b/>
          <w:bCs/>
          <w:rtl/>
        </w:rPr>
        <w:t xml:space="preserve"> תרומות פ"ו ה"ה: </w:t>
      </w:r>
      <w:r w:rsidRPr="00AB4100">
        <w:rPr>
          <w:rFonts w:cs="Arial"/>
          <w:rtl/>
        </w:rPr>
        <w:t>סאה תרומה שנפלה למאה ו</w:t>
      </w:r>
      <w:r>
        <w:rPr>
          <w:rFonts w:cs="Arial" w:hint="cs"/>
          <w:rtl/>
        </w:rPr>
        <w:t xml:space="preserve">לא </w:t>
      </w:r>
      <w:r w:rsidRPr="00AB4100">
        <w:rPr>
          <w:rFonts w:cs="Arial"/>
          <w:rtl/>
        </w:rPr>
        <w:t>הספיק להגביהה עד שנפלה אחרת הרי זו אסורה</w:t>
      </w:r>
      <w:r>
        <w:rPr>
          <w:rFonts w:cs="Arial" w:hint="cs"/>
          <w:rtl/>
        </w:rPr>
        <w:t>,</w:t>
      </w:r>
      <w:r w:rsidRPr="00AB4100">
        <w:rPr>
          <w:rFonts w:cs="Arial"/>
          <w:rtl/>
        </w:rPr>
        <w:t xml:space="preserve"> ור' שמעון מתיר</w:t>
      </w:r>
      <w:r>
        <w:rPr>
          <w:rFonts w:cs="Arial" w:hint="cs"/>
          <w:rtl/>
        </w:rPr>
        <w:t>,</w:t>
      </w:r>
      <w:r w:rsidRPr="00AB4100">
        <w:rPr>
          <w:rFonts w:cs="Arial"/>
          <w:rtl/>
        </w:rPr>
        <w:t xml:space="preserve"> אמ' ר' לעזר בי ר' שמעון במי דברי' אמורים בזמן שלא ידע בה ואחר כך נפלה</w:t>
      </w:r>
      <w:r>
        <w:rPr>
          <w:rFonts w:cs="Arial" w:hint="cs"/>
          <w:rtl/>
        </w:rPr>
        <w:t>,</w:t>
      </w:r>
      <w:r w:rsidRPr="00AB4100">
        <w:rPr>
          <w:rFonts w:cs="Arial"/>
          <w:rtl/>
        </w:rPr>
        <w:t xml:space="preserve"> אבל אם ידע בה ואחר כך נפלה אחרת הרי זו מותרת שכבר היה לה להעלות</w:t>
      </w:r>
      <w:r>
        <w:rPr>
          <w:rFonts w:cs="Arial" w:hint="cs"/>
          <w:rtl/>
        </w:rPr>
        <w:t>.</w:t>
      </w:r>
    </w:p>
    <w:p w14:paraId="4FDFB80C" w14:textId="77777777" w:rsidR="002C39F4" w:rsidRPr="00662B64" w:rsidRDefault="002C39F4" w:rsidP="002C39F4">
      <w:pPr>
        <w:rPr>
          <w:rFonts w:cs="Arial"/>
          <w:rtl/>
        </w:rPr>
      </w:pPr>
      <w:r w:rsidRPr="00662B64">
        <w:rPr>
          <w:rFonts w:cs="Arial" w:hint="cs"/>
          <w:b/>
          <w:bCs/>
          <w:rtl/>
        </w:rPr>
        <w:t xml:space="preserve">ירושלמי </w:t>
      </w:r>
      <w:r w:rsidRPr="00AB4100">
        <w:rPr>
          <w:rFonts w:cs="Arial" w:hint="cs"/>
          <w:b/>
          <w:bCs/>
          <w:sz w:val="16"/>
          <w:szCs w:val="16"/>
          <w:rtl/>
        </w:rPr>
        <w:t xml:space="preserve">(וילנא) </w:t>
      </w:r>
      <w:r w:rsidRPr="00662B64">
        <w:rPr>
          <w:rFonts w:cs="Arial" w:hint="cs"/>
          <w:b/>
          <w:bCs/>
          <w:rtl/>
        </w:rPr>
        <w:t xml:space="preserve">תרומות פ"ה ה"ב: </w:t>
      </w:r>
      <w:r w:rsidRPr="00AB4100">
        <w:rPr>
          <w:rFonts w:cs="Arial"/>
          <w:rtl/>
        </w:rPr>
        <w:t>תנינן היו בו ארבעים סאה נתן סאה ונטל סאה כשר</w:t>
      </w:r>
      <w:r>
        <w:rPr>
          <w:rFonts w:cs="Arial" w:hint="cs"/>
          <w:rtl/>
        </w:rPr>
        <w:t>,</w:t>
      </w:r>
      <w:r w:rsidRPr="00AB4100">
        <w:rPr>
          <w:rFonts w:cs="Arial"/>
          <w:rtl/>
        </w:rPr>
        <w:t xml:space="preserve"> עד היכין</w:t>
      </w:r>
      <w:r>
        <w:rPr>
          <w:rFonts w:cs="Arial" w:hint="cs"/>
          <w:rtl/>
        </w:rPr>
        <w:t>,</w:t>
      </w:r>
      <w:r w:rsidRPr="00AB4100">
        <w:rPr>
          <w:rFonts w:cs="Arial"/>
          <w:rtl/>
        </w:rPr>
        <w:t xml:space="preserve"> רבי איסי בשם רבי מנא בר תנחום רבי אבהו בשם ר' יוחנן עד רובו של מקוה</w:t>
      </w:r>
      <w:r>
        <w:rPr>
          <w:rFonts w:cs="Arial" w:hint="cs"/>
          <w:rtl/>
        </w:rPr>
        <w:t>,</w:t>
      </w:r>
      <w:r w:rsidRPr="00AB4100">
        <w:rPr>
          <w:rFonts w:cs="Arial"/>
          <w:rtl/>
        </w:rPr>
        <w:t xml:space="preserve"> וכא את אמר הכין</w:t>
      </w:r>
      <w:r>
        <w:rPr>
          <w:rFonts w:cs="Arial" w:hint="cs"/>
          <w:rtl/>
        </w:rPr>
        <w:t>?</w:t>
      </w:r>
      <w:r w:rsidRPr="00AB4100">
        <w:rPr>
          <w:rFonts w:cs="Arial"/>
          <w:rtl/>
        </w:rPr>
        <w:t xml:space="preserve"> תמן היה בו רוב ואת מרבה עליו והוא כשר</w:t>
      </w:r>
      <w:r>
        <w:rPr>
          <w:rFonts w:cs="Arial" w:hint="cs"/>
          <w:rtl/>
        </w:rPr>
        <w:t>,</w:t>
      </w:r>
      <w:r w:rsidRPr="00AB4100">
        <w:rPr>
          <w:rFonts w:cs="Arial"/>
          <w:rtl/>
        </w:rPr>
        <w:t xml:space="preserve"> ברם הכא כל סאה וסאה צריכה מאה סאה</w:t>
      </w:r>
      <w:r>
        <w:rPr>
          <w:rFonts w:cs="Arial" w:hint="cs"/>
          <w:rtl/>
        </w:rPr>
        <w:t>,</w:t>
      </w:r>
      <w:r w:rsidRPr="00AB4100">
        <w:rPr>
          <w:rFonts w:cs="Arial"/>
          <w:rtl/>
        </w:rPr>
        <w:t xml:space="preserve"> </w:t>
      </w:r>
      <w:r w:rsidRPr="00662B64">
        <w:rPr>
          <w:rFonts w:cs="Arial"/>
          <w:rtl/>
        </w:rPr>
        <w:t>א"ר יוסי זאת אומרת דבר שהוא בטל דבר תורה מעורר את מינו ליאסור. רבי שמעון אומר ידיעתה מקדשתה</w:t>
      </w:r>
      <w:r>
        <w:rPr>
          <w:rFonts w:cs="Arial" w:hint="cs"/>
          <w:rtl/>
        </w:rPr>
        <w:t>,</w:t>
      </w:r>
      <w:r w:rsidRPr="00662B64">
        <w:rPr>
          <w:rFonts w:cs="Arial"/>
          <w:rtl/>
        </w:rPr>
        <w:t xml:space="preserve"> ורבנן אמרין הרמתה מקדשתה.</w:t>
      </w:r>
    </w:p>
    <w:p w14:paraId="54A474FB" w14:textId="77777777" w:rsidR="002C39F4" w:rsidRDefault="002C39F4" w:rsidP="002C39F4">
      <w:pPr>
        <w:rPr>
          <w:rFonts w:cs="Arial"/>
          <w:rtl/>
        </w:rPr>
      </w:pPr>
      <w:r w:rsidRPr="0067768F">
        <w:rPr>
          <w:rFonts w:cs="Arial" w:hint="cs"/>
          <w:b/>
          <w:bCs/>
          <w:rtl/>
        </w:rPr>
        <w:t xml:space="preserve">עבודה זרה עג ע"א: </w:t>
      </w:r>
      <w:r w:rsidRPr="0067768F">
        <w:rPr>
          <w:rFonts w:cs="Arial"/>
          <w:u w:val="single"/>
          <w:rtl/>
        </w:rPr>
        <w:t>כי אתא רב דימי א"ר יוחנן</w:t>
      </w:r>
      <w:r w:rsidRPr="0067768F">
        <w:rPr>
          <w:rFonts w:cs="Arial"/>
          <w:rtl/>
        </w:rPr>
        <w:t>: המערה יין נסך מחבית לבור</w:t>
      </w:r>
      <w:r>
        <w:rPr>
          <w:rFonts w:cs="Arial" w:hint="cs"/>
          <w:rtl/>
        </w:rPr>
        <w:t>,</w:t>
      </w:r>
      <w:r w:rsidRPr="0067768F">
        <w:rPr>
          <w:rFonts w:cs="Arial"/>
          <w:rtl/>
        </w:rPr>
        <w:t xml:space="preserve"> אפילו כל היום כולו</w:t>
      </w:r>
      <w:r>
        <w:rPr>
          <w:rFonts w:cs="Arial" w:hint="cs"/>
          <w:rtl/>
        </w:rPr>
        <w:t>,</w:t>
      </w:r>
      <w:r w:rsidRPr="0067768F">
        <w:rPr>
          <w:rFonts w:cs="Arial"/>
          <w:rtl/>
        </w:rPr>
        <w:t xml:space="preserve"> ראשון ראשון בטל.</w:t>
      </w:r>
      <w:r>
        <w:rPr>
          <w:rFonts w:cs="Arial" w:hint="cs"/>
          <w:rtl/>
        </w:rPr>
        <w:t xml:space="preserve"> </w:t>
      </w:r>
      <w:r>
        <w:rPr>
          <w:rFonts w:cs="Arial" w:hint="cs"/>
          <w:sz w:val="16"/>
          <w:szCs w:val="16"/>
          <w:rtl/>
        </w:rPr>
        <w:t>(</w:t>
      </w:r>
      <w:r w:rsidRPr="0067768F">
        <w:rPr>
          <w:rFonts w:cs="Arial"/>
          <w:sz w:val="16"/>
          <w:szCs w:val="16"/>
          <w:rtl/>
        </w:rPr>
        <w:t xml:space="preserve">וכתב הר"ן </w:t>
      </w:r>
      <w:r w:rsidRPr="0067768F">
        <w:rPr>
          <w:rFonts w:cs="Arial" w:hint="cs"/>
          <w:sz w:val="16"/>
          <w:szCs w:val="16"/>
          <w:rtl/>
        </w:rPr>
        <w:t>(</w:t>
      </w:r>
      <w:r w:rsidRPr="0067768F">
        <w:rPr>
          <w:rFonts w:cs="Arial"/>
          <w:sz w:val="16"/>
          <w:szCs w:val="16"/>
          <w:rtl/>
        </w:rPr>
        <w:t xml:space="preserve">פרק בתרא דע"ז לו.) </w:t>
      </w:r>
      <w:r w:rsidRPr="0067768F">
        <w:rPr>
          <w:rFonts w:cs="Arial" w:hint="cs"/>
          <w:sz w:val="16"/>
          <w:szCs w:val="16"/>
          <w:rtl/>
        </w:rPr>
        <w:t>ד</w:t>
      </w:r>
      <w:r w:rsidRPr="0067768F">
        <w:rPr>
          <w:rFonts w:cs="Arial"/>
          <w:sz w:val="16"/>
          <w:szCs w:val="16"/>
          <w:rtl/>
        </w:rPr>
        <w:t>פסקו הפוסקים דלית הלכתא כוותיה</w:t>
      </w:r>
      <w:r>
        <w:rPr>
          <w:rFonts w:cs="Arial" w:hint="cs"/>
          <w:sz w:val="16"/>
          <w:szCs w:val="16"/>
          <w:rtl/>
        </w:rPr>
        <w:t>)</w:t>
      </w:r>
      <w:r w:rsidRPr="0067768F">
        <w:rPr>
          <w:rFonts w:cs="Arial"/>
          <w:rtl/>
        </w:rPr>
        <w:t xml:space="preserve"> </w:t>
      </w:r>
    </w:p>
    <w:p w14:paraId="4428AC1B" w14:textId="77777777" w:rsidR="002C39F4" w:rsidRDefault="002C39F4" w:rsidP="002C39F4">
      <w:pPr>
        <w:rPr>
          <w:rFonts w:cs="Arial"/>
          <w:rtl/>
        </w:rPr>
      </w:pPr>
      <w:r>
        <w:rPr>
          <w:rFonts w:cs="Arial" w:hint="cs"/>
          <w:b/>
          <w:bCs/>
          <w:rtl/>
        </w:rPr>
        <w:t>משנה ערלה פ"ב מ"ג:</w:t>
      </w:r>
      <w:r>
        <w:rPr>
          <w:rFonts w:cs="Arial" w:hint="cs"/>
          <w:rtl/>
        </w:rPr>
        <w:t xml:space="preserve"> </w:t>
      </w:r>
      <w:r w:rsidRPr="00ED1048">
        <w:rPr>
          <w:rFonts w:cs="Arial"/>
          <w:rtl/>
        </w:rPr>
        <w:t>הערלה מעלה את הכלאים והכלאים את הערלה והערלה את הערלה</w:t>
      </w:r>
      <w:r>
        <w:rPr>
          <w:rFonts w:cs="Arial" w:hint="cs"/>
          <w:rtl/>
        </w:rPr>
        <w:t>,</w:t>
      </w:r>
      <w:r w:rsidRPr="00ED1048">
        <w:rPr>
          <w:rFonts w:cs="Arial"/>
          <w:rtl/>
        </w:rPr>
        <w:t xml:space="preserve"> כיצד</w:t>
      </w:r>
      <w:r>
        <w:rPr>
          <w:rFonts w:cs="Arial" w:hint="cs"/>
          <w:rtl/>
        </w:rPr>
        <w:t>,</w:t>
      </w:r>
      <w:r w:rsidRPr="00ED1048">
        <w:rPr>
          <w:rFonts w:cs="Arial"/>
          <w:rtl/>
        </w:rPr>
        <w:t xml:space="preserve"> סאה ערלה שנפלה למאתים ואחר כך נפלה סאה ועוד ערלה או סאה ועוד של כלאי הכרם</w:t>
      </w:r>
      <w:r>
        <w:rPr>
          <w:rFonts w:cs="Arial" w:hint="cs"/>
          <w:rtl/>
        </w:rPr>
        <w:t>,</w:t>
      </w:r>
      <w:r w:rsidRPr="00ED1048">
        <w:rPr>
          <w:rFonts w:cs="Arial"/>
          <w:rtl/>
        </w:rPr>
        <w:t xml:space="preserve"> זו היא שהערלה מעלה את הכלאים והכלאים את הערלה והערלה את הערלה</w:t>
      </w:r>
      <w:r>
        <w:rPr>
          <w:rFonts w:cs="Arial" w:hint="cs"/>
          <w:rtl/>
        </w:rPr>
        <w:t xml:space="preserve">. </w:t>
      </w:r>
      <w:r w:rsidRPr="00DD0ECA">
        <w:rPr>
          <w:rFonts w:cs="Arial" w:hint="cs"/>
          <w:color w:val="FF0000"/>
          <w:sz w:val="16"/>
          <w:szCs w:val="16"/>
          <w:rtl/>
        </w:rPr>
        <w:t>(הפוסקים לא הביאו משנה זו, וצל"ע מדוע שהרי לכאורה היא סותרת את דברי הרשב"א והרא"ש)</w:t>
      </w:r>
    </w:p>
    <w:p w14:paraId="675F695D" w14:textId="77777777" w:rsidR="002C39F4" w:rsidRPr="00B5494B" w:rsidRDefault="002C39F4" w:rsidP="002C39F4">
      <w:pPr>
        <w:rPr>
          <w:rFonts w:cs="Arial"/>
          <w:u w:val="single"/>
          <w:rtl/>
        </w:rPr>
      </w:pPr>
      <w:r w:rsidRPr="00B5494B">
        <w:rPr>
          <w:rFonts w:cs="Arial"/>
          <w:u w:val="single"/>
          <w:rtl/>
        </w:rPr>
        <w:t>איסור שנתבטל</w:t>
      </w:r>
      <w:r>
        <w:rPr>
          <w:rFonts w:cs="Arial" w:hint="cs"/>
          <w:u w:val="single"/>
          <w:rtl/>
        </w:rPr>
        <w:t xml:space="preserve"> בתערובת</w:t>
      </w:r>
      <w:r w:rsidRPr="00B5494B">
        <w:rPr>
          <w:rFonts w:cs="Arial"/>
          <w:u w:val="single"/>
          <w:rtl/>
        </w:rPr>
        <w:t xml:space="preserve"> </w:t>
      </w:r>
      <w:r w:rsidRPr="00B5494B">
        <w:rPr>
          <w:rFonts w:cs="Arial" w:hint="cs"/>
          <w:sz w:val="16"/>
          <w:szCs w:val="16"/>
          <w:u w:val="single"/>
          <w:rtl/>
        </w:rPr>
        <w:t>(</w:t>
      </w:r>
      <w:r w:rsidRPr="00B5494B">
        <w:rPr>
          <w:rFonts w:cs="Arial"/>
          <w:sz w:val="16"/>
          <w:szCs w:val="16"/>
          <w:u w:val="single"/>
          <w:rtl/>
        </w:rPr>
        <w:t>כגון שהיה ס' כנגדו</w:t>
      </w:r>
      <w:r>
        <w:rPr>
          <w:rFonts w:cs="Arial" w:hint="cs"/>
          <w:sz w:val="16"/>
          <w:szCs w:val="16"/>
          <w:u w:val="single"/>
          <w:rtl/>
        </w:rPr>
        <w:t>)</w:t>
      </w:r>
      <w:r w:rsidRPr="00B5494B">
        <w:rPr>
          <w:rFonts w:cs="Arial"/>
          <w:u w:val="single"/>
          <w:rtl/>
        </w:rPr>
        <w:t xml:space="preserve"> ונת</w:t>
      </w:r>
      <w:r>
        <w:rPr>
          <w:rFonts w:cs="Arial" w:hint="cs"/>
          <w:u w:val="single"/>
          <w:rtl/>
        </w:rPr>
        <w:t>ו</w:t>
      </w:r>
      <w:r w:rsidRPr="00B5494B">
        <w:rPr>
          <w:rFonts w:cs="Arial"/>
          <w:u w:val="single"/>
          <w:rtl/>
        </w:rPr>
        <w:t>וסף אח</w:t>
      </w:r>
      <w:r w:rsidRPr="00B5494B">
        <w:rPr>
          <w:rFonts w:cs="Arial" w:hint="cs"/>
          <w:u w:val="single"/>
          <w:rtl/>
        </w:rPr>
        <w:t>"</w:t>
      </w:r>
      <w:r w:rsidRPr="00B5494B">
        <w:rPr>
          <w:rFonts w:cs="Arial"/>
          <w:u w:val="single"/>
          <w:rtl/>
        </w:rPr>
        <w:t xml:space="preserve">כ </w:t>
      </w:r>
      <w:r>
        <w:rPr>
          <w:rFonts w:cs="Arial" w:hint="cs"/>
          <w:u w:val="single"/>
          <w:rtl/>
        </w:rPr>
        <w:t>לתערובת</w:t>
      </w:r>
      <w:r w:rsidRPr="00B5494B">
        <w:rPr>
          <w:rFonts w:cs="Arial"/>
          <w:u w:val="single"/>
          <w:rtl/>
        </w:rPr>
        <w:t xml:space="preserve"> </w:t>
      </w:r>
      <w:r>
        <w:rPr>
          <w:rFonts w:cs="Arial" w:hint="cs"/>
          <w:u w:val="single"/>
          <w:rtl/>
        </w:rPr>
        <w:t xml:space="preserve">עוד </w:t>
      </w:r>
      <w:r w:rsidRPr="00F36ABD">
        <w:rPr>
          <w:rFonts w:cs="Arial" w:hint="cs"/>
          <w:b/>
          <w:bCs/>
          <w:u w:val="single"/>
          <w:rtl/>
        </w:rPr>
        <w:t>מן</w:t>
      </w:r>
      <w:r w:rsidRPr="00F36ABD">
        <w:rPr>
          <w:rFonts w:cs="Arial"/>
          <w:b/>
          <w:bCs/>
          <w:u w:val="single"/>
          <w:rtl/>
        </w:rPr>
        <w:t xml:space="preserve"> </w:t>
      </w:r>
      <w:r w:rsidRPr="00F36ABD">
        <w:rPr>
          <w:rFonts w:cs="Arial" w:hint="cs"/>
          <w:b/>
          <w:bCs/>
          <w:u w:val="single"/>
          <w:rtl/>
        </w:rPr>
        <w:t xml:space="preserve">אותו </w:t>
      </w:r>
      <w:r w:rsidRPr="00F36ABD">
        <w:rPr>
          <w:rFonts w:cs="Arial"/>
          <w:b/>
          <w:bCs/>
          <w:u w:val="single"/>
          <w:rtl/>
        </w:rPr>
        <w:t>האיסור</w:t>
      </w:r>
      <w:r>
        <w:rPr>
          <w:rFonts w:cs="Arial" w:hint="cs"/>
          <w:u w:val="single"/>
          <w:rtl/>
        </w:rPr>
        <w:t>:</w:t>
      </w:r>
      <w:r w:rsidRPr="00B5494B">
        <w:rPr>
          <w:rFonts w:cs="Arial"/>
          <w:u w:val="single"/>
          <w:rtl/>
        </w:rPr>
        <w:t xml:space="preserve"> </w:t>
      </w:r>
    </w:p>
    <w:p w14:paraId="525A01A8" w14:textId="77777777" w:rsidR="002C39F4" w:rsidRPr="00CC33DC" w:rsidRDefault="002C39F4" w:rsidP="0032102C">
      <w:pPr>
        <w:pStyle w:val="a8"/>
        <w:numPr>
          <w:ilvl w:val="0"/>
          <w:numId w:val="193"/>
        </w:numPr>
      </w:pPr>
      <w:r w:rsidRPr="00CC33DC">
        <w:rPr>
          <w:rFonts w:cs="Arial"/>
          <w:rtl/>
        </w:rPr>
        <w:t>ראב"ד</w:t>
      </w:r>
      <w:r>
        <w:rPr>
          <w:rFonts w:cs="Arial" w:hint="cs"/>
          <w:sz w:val="16"/>
          <w:szCs w:val="16"/>
          <w:rtl/>
        </w:rPr>
        <w:t xml:space="preserve"> (הביאו הר"ן)</w:t>
      </w:r>
      <w:r>
        <w:rPr>
          <w:rFonts w:cs="Arial" w:hint="cs"/>
          <w:rtl/>
        </w:rPr>
        <w:t xml:space="preserve">- </w:t>
      </w:r>
      <w:r w:rsidRPr="00CC33DC">
        <w:rPr>
          <w:rFonts w:cs="Arial"/>
          <w:rtl/>
        </w:rPr>
        <w:t>אע"ג דלית הלכתא כוותיה</w:t>
      </w:r>
      <w:r>
        <w:rPr>
          <w:rFonts w:cs="Arial" w:hint="cs"/>
          <w:sz w:val="16"/>
          <w:szCs w:val="16"/>
          <w:rtl/>
        </w:rPr>
        <w:t xml:space="preserve"> {דרבי יוחנן} </w:t>
      </w:r>
      <w:r w:rsidRPr="00CC33DC">
        <w:rPr>
          <w:rFonts w:cs="Arial"/>
          <w:rtl/>
        </w:rPr>
        <w:t>לענין יין ביין</w:t>
      </w:r>
      <w:r w:rsidRPr="00CC33DC">
        <w:rPr>
          <w:rFonts w:cs="Arial" w:hint="cs"/>
          <w:rtl/>
        </w:rPr>
        <w:t>,</w:t>
      </w:r>
      <w:r w:rsidRPr="00CC33DC">
        <w:rPr>
          <w:rFonts w:cs="Arial"/>
          <w:rtl/>
        </w:rPr>
        <w:t xml:space="preserve"> מיהו גבי יין במים ומים ביין וכן לכל איסור שנימוח כגון חלב ודם וכיוצא בהם הלכתא כוותיה</w:t>
      </w:r>
      <w:r>
        <w:rPr>
          <w:rFonts w:cs="Arial" w:hint="cs"/>
          <w:rtl/>
        </w:rPr>
        <w:t>,</w:t>
      </w:r>
      <w:r w:rsidRPr="00CC33DC">
        <w:rPr>
          <w:rFonts w:cs="Arial"/>
          <w:rtl/>
        </w:rPr>
        <w:t xml:space="preserve"> שאם יפול האיסור לתוך היתר מעט מעט שאין בו נותן טעם בשעת נפילה</w:t>
      </w:r>
      <w:r w:rsidRPr="00CC33DC">
        <w:rPr>
          <w:rFonts w:cs="Arial" w:hint="cs"/>
          <w:rtl/>
        </w:rPr>
        <w:t>,</w:t>
      </w:r>
      <w:r w:rsidRPr="00CC33DC">
        <w:rPr>
          <w:rFonts w:cs="Arial"/>
          <w:rtl/>
        </w:rPr>
        <w:t xml:space="preserve"> אע</w:t>
      </w:r>
      <w:r w:rsidRPr="00CC33DC">
        <w:rPr>
          <w:rFonts w:cs="Arial" w:hint="cs"/>
          <w:rtl/>
        </w:rPr>
        <w:t>"</w:t>
      </w:r>
      <w:r w:rsidRPr="00CC33DC">
        <w:rPr>
          <w:rFonts w:cs="Arial"/>
          <w:rtl/>
        </w:rPr>
        <w:t>פ שנפל בו איסור כל היום כולו מותר דראשון ראשון בטל</w:t>
      </w:r>
      <w:r w:rsidRPr="00CC33DC">
        <w:rPr>
          <w:rFonts w:cs="Arial" w:hint="cs"/>
          <w:rtl/>
        </w:rPr>
        <w:t>,</w:t>
      </w:r>
      <w:r w:rsidRPr="00CC33DC">
        <w:rPr>
          <w:rFonts w:cs="Arial"/>
          <w:rtl/>
        </w:rPr>
        <w:t xml:space="preserve"> וכיון שנתבטל הרי הוא היתר גמור</w:t>
      </w:r>
      <w:r w:rsidRPr="00CC33DC">
        <w:rPr>
          <w:rFonts w:cs="Arial" w:hint="cs"/>
          <w:rtl/>
        </w:rPr>
        <w:t>,</w:t>
      </w:r>
      <w:r w:rsidRPr="00CC33DC">
        <w:rPr>
          <w:rFonts w:cs="Arial"/>
          <w:rtl/>
        </w:rPr>
        <w:t xml:space="preserve"> ולא די לו שאינו מצטרף עוד לאיסור אלא אף להיתר מצטרף לבטל איסור הנופל בו לאחר מכאן</w:t>
      </w:r>
      <w:r>
        <w:rPr>
          <w:rFonts w:cs="Arial" w:hint="cs"/>
          <w:rtl/>
        </w:rPr>
        <w:t>.</w:t>
      </w:r>
    </w:p>
    <w:p w14:paraId="61FE60F2" w14:textId="77777777" w:rsidR="002C39F4" w:rsidRDefault="002C39F4" w:rsidP="0032102C">
      <w:pPr>
        <w:pStyle w:val="a8"/>
        <w:numPr>
          <w:ilvl w:val="0"/>
          <w:numId w:val="193"/>
        </w:numPr>
      </w:pPr>
      <w:r w:rsidRPr="00CC33DC">
        <w:rPr>
          <w:rFonts w:cs="Arial"/>
          <w:rtl/>
        </w:rPr>
        <w:t xml:space="preserve">רמב"ן </w:t>
      </w:r>
      <w:r w:rsidRPr="00CC33DC">
        <w:rPr>
          <w:rFonts w:cs="Arial"/>
          <w:sz w:val="16"/>
          <w:szCs w:val="16"/>
          <w:rtl/>
        </w:rPr>
        <w:t>(ע"ז עג. ד"ה והא)</w:t>
      </w:r>
      <w:r w:rsidRPr="00CC33DC">
        <w:rPr>
          <w:rFonts w:cs="Arial" w:hint="cs"/>
          <w:sz w:val="16"/>
          <w:szCs w:val="16"/>
          <w:rtl/>
        </w:rPr>
        <w:t xml:space="preserve"> </w:t>
      </w:r>
      <w:r w:rsidRPr="00CC33DC">
        <w:rPr>
          <w:rFonts w:cs="Arial"/>
          <w:rtl/>
        </w:rPr>
        <w:t xml:space="preserve">רשב"א </w:t>
      </w:r>
      <w:r w:rsidRPr="00CC33DC">
        <w:rPr>
          <w:rFonts w:cs="Arial" w:hint="cs"/>
          <w:sz w:val="16"/>
          <w:szCs w:val="16"/>
          <w:rtl/>
        </w:rPr>
        <w:t xml:space="preserve">(תוה"א </w:t>
      </w:r>
      <w:r w:rsidRPr="00CC33DC">
        <w:rPr>
          <w:rFonts w:cs="Arial"/>
          <w:sz w:val="16"/>
          <w:szCs w:val="16"/>
          <w:rtl/>
        </w:rPr>
        <w:t>ב"ד ש"ב כז ע"ג)</w:t>
      </w:r>
      <w:r w:rsidRPr="00CC33DC">
        <w:rPr>
          <w:rFonts w:cs="Arial" w:hint="cs"/>
          <w:sz w:val="16"/>
          <w:szCs w:val="16"/>
          <w:rtl/>
        </w:rPr>
        <w:t xml:space="preserve"> </w:t>
      </w:r>
      <w:r w:rsidRPr="00B5494B">
        <w:rPr>
          <w:rFonts w:cs="Arial"/>
          <w:rtl/>
        </w:rPr>
        <w:t xml:space="preserve">רא"ש </w:t>
      </w:r>
      <w:r w:rsidRPr="00B5494B">
        <w:rPr>
          <w:rFonts w:cs="Arial"/>
          <w:sz w:val="16"/>
          <w:szCs w:val="16"/>
          <w:rtl/>
        </w:rPr>
        <w:t>(</w:t>
      </w:r>
      <w:r w:rsidRPr="00B5494B">
        <w:rPr>
          <w:rFonts w:cs="Arial" w:hint="cs"/>
          <w:sz w:val="16"/>
          <w:szCs w:val="16"/>
          <w:rtl/>
        </w:rPr>
        <w:t xml:space="preserve">חולין </w:t>
      </w:r>
      <w:r w:rsidRPr="00B5494B">
        <w:rPr>
          <w:rFonts w:cs="Arial"/>
          <w:sz w:val="16"/>
          <w:szCs w:val="16"/>
          <w:rtl/>
        </w:rPr>
        <w:t>סי' לז)</w:t>
      </w:r>
      <w:r>
        <w:rPr>
          <w:rFonts w:cs="Arial" w:hint="cs"/>
          <w:rtl/>
        </w:rPr>
        <w:t xml:space="preserve"> ור"ן</w:t>
      </w:r>
      <w:r w:rsidRPr="00CC33DC">
        <w:rPr>
          <w:rFonts w:cs="Arial" w:hint="cs"/>
          <w:sz w:val="16"/>
          <w:szCs w:val="16"/>
          <w:rtl/>
        </w:rPr>
        <w:t xml:space="preserve"> </w:t>
      </w:r>
      <w:r w:rsidRPr="0067768F">
        <w:rPr>
          <w:rFonts w:cs="Arial" w:hint="cs"/>
          <w:sz w:val="16"/>
          <w:szCs w:val="16"/>
          <w:rtl/>
        </w:rPr>
        <w:t>(</w:t>
      </w:r>
      <w:r w:rsidRPr="0067768F">
        <w:rPr>
          <w:rFonts w:cs="Arial"/>
          <w:sz w:val="16"/>
          <w:szCs w:val="16"/>
          <w:rtl/>
        </w:rPr>
        <w:t>פרק בתרא דע"ז לו.)</w:t>
      </w:r>
      <w:r>
        <w:rPr>
          <w:rFonts w:cs="Arial" w:hint="cs"/>
          <w:rtl/>
        </w:rPr>
        <w:t xml:space="preserve">- </w:t>
      </w:r>
      <w:r w:rsidRPr="00CC33DC">
        <w:rPr>
          <w:rFonts w:cs="Arial"/>
          <w:rtl/>
        </w:rPr>
        <w:t>אפי</w:t>
      </w:r>
      <w:r>
        <w:rPr>
          <w:rFonts w:cs="Arial" w:hint="cs"/>
          <w:rtl/>
        </w:rPr>
        <w:t>לו</w:t>
      </w:r>
      <w:r w:rsidRPr="00CC33DC">
        <w:rPr>
          <w:rFonts w:cs="Arial"/>
          <w:rtl/>
        </w:rPr>
        <w:t xml:space="preserve"> בשאר האיסורין לא אמרינן ראשון ראשון בטל</w:t>
      </w:r>
      <w:r>
        <w:rPr>
          <w:rFonts w:cs="Arial" w:hint="cs"/>
          <w:rtl/>
        </w:rPr>
        <w:t>,</w:t>
      </w:r>
      <w:r w:rsidRPr="00CC33DC">
        <w:rPr>
          <w:rFonts w:cs="Arial"/>
          <w:rtl/>
        </w:rPr>
        <w:t xml:space="preserve"> אלא</w:t>
      </w:r>
      <w:r>
        <w:rPr>
          <w:rFonts w:cs="Arial" w:hint="cs"/>
          <w:rtl/>
        </w:rPr>
        <w:t>,</w:t>
      </w:r>
      <w:r w:rsidRPr="00CC33DC">
        <w:rPr>
          <w:rFonts w:cs="Arial"/>
          <w:rtl/>
        </w:rPr>
        <w:t xml:space="preserve"> אם נפל בהיתר איסור מועט אע</w:t>
      </w:r>
      <w:r w:rsidRPr="00CC33DC">
        <w:rPr>
          <w:rFonts w:cs="Arial" w:hint="cs"/>
          <w:rtl/>
        </w:rPr>
        <w:t>"</w:t>
      </w:r>
      <w:r w:rsidRPr="00CC33DC">
        <w:rPr>
          <w:rFonts w:cs="Arial"/>
          <w:rtl/>
        </w:rPr>
        <w:t>פ שנתבטל מחמת מיעוטו אם חזר ונפל שם איסור שבצירופו של ראשון יש בו כדי נותן טעם נאסר היתר זה</w:t>
      </w:r>
      <w:r>
        <w:rPr>
          <w:rStyle w:val="a7"/>
          <w:rFonts w:cs="Arial"/>
          <w:rtl/>
        </w:rPr>
        <w:footnoteReference w:id="1905"/>
      </w:r>
      <w:r>
        <w:rPr>
          <w:rFonts w:cs="Arial" w:hint="cs"/>
          <w:rtl/>
        </w:rPr>
        <w:t>.</w:t>
      </w:r>
      <w:r>
        <w:rPr>
          <w:rFonts w:hint="cs"/>
          <w:rtl/>
        </w:rPr>
        <w:t xml:space="preserve"> </w:t>
      </w:r>
      <w:r w:rsidRPr="00F36ABD">
        <w:rPr>
          <w:rFonts w:hint="cs"/>
          <w:color w:val="00B0F0"/>
          <w:rtl/>
        </w:rPr>
        <w:t>(וכ"פ הרמ"א)</w:t>
      </w:r>
    </w:p>
    <w:p w14:paraId="76DA18B9" w14:textId="77777777" w:rsidR="002C39F4" w:rsidRDefault="002C39F4" w:rsidP="0032102C">
      <w:pPr>
        <w:pStyle w:val="a8"/>
        <w:numPr>
          <w:ilvl w:val="0"/>
          <w:numId w:val="193"/>
        </w:numPr>
      </w:pPr>
      <w:r w:rsidRPr="00662B64">
        <w:rPr>
          <w:rFonts w:cs="Arial"/>
          <w:rtl/>
        </w:rPr>
        <w:t>מרדכי</w:t>
      </w:r>
      <w:r>
        <w:rPr>
          <w:rStyle w:val="a7"/>
          <w:rFonts w:cs="Arial"/>
          <w:rtl/>
        </w:rPr>
        <w:footnoteReference w:id="1906"/>
      </w:r>
      <w:r w:rsidRPr="00662B64">
        <w:rPr>
          <w:rFonts w:cs="Arial" w:hint="cs"/>
          <w:rtl/>
        </w:rPr>
        <w:t xml:space="preserve">- </w:t>
      </w:r>
      <w:r w:rsidRPr="00662B64">
        <w:rPr>
          <w:rFonts w:cs="Arial"/>
          <w:rtl/>
        </w:rPr>
        <w:t xml:space="preserve">חתיכת איסור שנפלה </w:t>
      </w:r>
      <w:r>
        <w:rPr>
          <w:rFonts w:cs="Arial" w:hint="cs"/>
          <w:rtl/>
        </w:rPr>
        <w:t>בס'</w:t>
      </w:r>
      <w:r w:rsidRPr="00662B64">
        <w:rPr>
          <w:rFonts w:cs="Arial"/>
          <w:rtl/>
        </w:rPr>
        <w:t xml:space="preserve"> דהיתר ולא הכיר בה עד שנפלה אחרת הרי זו אסורה אם אין בהיתר כדי לבטל שתיהן</w:t>
      </w:r>
      <w:r w:rsidRPr="00662B64">
        <w:rPr>
          <w:rFonts w:cs="Arial" w:hint="cs"/>
          <w:rtl/>
        </w:rPr>
        <w:t>,</w:t>
      </w:r>
      <w:r w:rsidRPr="00662B64">
        <w:rPr>
          <w:rFonts w:cs="Arial"/>
          <w:rtl/>
        </w:rPr>
        <w:t xml:space="preserve"> אבל אם הכיר וידע שיש בהיתר לבטלה אפי</w:t>
      </w:r>
      <w:r>
        <w:rPr>
          <w:rFonts w:cs="Arial" w:hint="cs"/>
          <w:rtl/>
        </w:rPr>
        <w:t>'</w:t>
      </w:r>
      <w:r w:rsidRPr="00662B64">
        <w:rPr>
          <w:rFonts w:cs="Arial"/>
          <w:rtl/>
        </w:rPr>
        <w:t xml:space="preserve"> אם נפלה אחרת א</w:t>
      </w:r>
      <w:r>
        <w:rPr>
          <w:rFonts w:cs="Arial" w:hint="cs"/>
          <w:rtl/>
        </w:rPr>
        <w:t>"</w:t>
      </w:r>
      <w:r w:rsidRPr="00662B64">
        <w:rPr>
          <w:rFonts w:cs="Arial"/>
          <w:rtl/>
        </w:rPr>
        <w:t>צ ביטול כנגד שתיהן</w:t>
      </w:r>
      <w:r>
        <w:rPr>
          <w:rStyle w:val="a7"/>
          <w:rFonts w:cs="Arial"/>
          <w:rtl/>
        </w:rPr>
        <w:footnoteReference w:id="1907"/>
      </w:r>
      <w:r>
        <w:rPr>
          <w:rFonts w:cs="Arial" w:hint="cs"/>
          <w:rtl/>
        </w:rPr>
        <w:t>,</w:t>
      </w:r>
      <w:r w:rsidRPr="000A5480">
        <w:rPr>
          <w:rFonts w:cs="Arial" w:hint="cs"/>
          <w:rtl/>
        </w:rPr>
        <w:t xml:space="preserve"> </w:t>
      </w:r>
      <w:r>
        <w:rPr>
          <w:rFonts w:cs="Arial" w:hint="cs"/>
          <w:rtl/>
        </w:rPr>
        <w:t>ו</w:t>
      </w:r>
      <w:r w:rsidRPr="000A5480">
        <w:rPr>
          <w:rFonts w:cs="Arial"/>
          <w:rtl/>
        </w:rPr>
        <w:t>הא דלא אמרינן קמא קמא בטיל היינו דוקא שלא נודע בנתיים</w:t>
      </w:r>
      <w:r w:rsidRPr="000A5480">
        <w:rPr>
          <w:rFonts w:cs="Arial" w:hint="cs"/>
          <w:rtl/>
        </w:rPr>
        <w:t>,</w:t>
      </w:r>
      <w:r w:rsidRPr="000A5480">
        <w:rPr>
          <w:rFonts w:cs="Arial"/>
          <w:rtl/>
        </w:rPr>
        <w:t xml:space="preserve"> הא נודע בנתיים אמרינן קמא קמא בטיל ואינו חוזר וניעור</w:t>
      </w:r>
      <w:r w:rsidRPr="000A5480">
        <w:rPr>
          <w:rFonts w:cs="Arial" w:hint="cs"/>
          <w:rtl/>
        </w:rPr>
        <w:t>,</w:t>
      </w:r>
      <w:r w:rsidRPr="000A5480">
        <w:rPr>
          <w:rFonts w:cs="Arial"/>
          <w:rtl/>
        </w:rPr>
        <w:t xml:space="preserve"> דהואיל ונודע בנתיים דאיסור ראשון נעשה כהיתר ומצטרף נמי לבטל איסור השני</w:t>
      </w:r>
      <w:r>
        <w:rPr>
          <w:rStyle w:val="a7"/>
          <w:rFonts w:cs="Arial"/>
          <w:rtl/>
        </w:rPr>
        <w:footnoteReference w:id="1908"/>
      </w:r>
      <w:r w:rsidRPr="000A5480">
        <w:rPr>
          <w:rFonts w:cs="Arial"/>
          <w:rtl/>
        </w:rPr>
        <w:t>.</w:t>
      </w:r>
    </w:p>
    <w:p w14:paraId="27F3783B" w14:textId="77777777" w:rsidR="002C39F4" w:rsidRPr="00FE6734" w:rsidRDefault="002C39F4" w:rsidP="002C39F4">
      <w:pPr>
        <w:rPr>
          <w:u w:val="single"/>
        </w:rPr>
      </w:pPr>
      <w:r w:rsidRPr="00FE6734">
        <w:rPr>
          <w:rFonts w:cs="Arial"/>
          <w:u w:val="single"/>
          <w:rtl/>
        </w:rPr>
        <w:t xml:space="preserve">כזית חלב </w:t>
      </w:r>
      <w:r w:rsidRPr="00FE6734">
        <w:rPr>
          <w:rFonts w:cs="Arial" w:hint="cs"/>
          <w:u w:val="single"/>
          <w:rtl/>
        </w:rPr>
        <w:t xml:space="preserve">שנפל </w:t>
      </w:r>
      <w:r w:rsidRPr="00FE6734">
        <w:rPr>
          <w:rFonts w:cs="Arial"/>
          <w:u w:val="single"/>
          <w:rtl/>
        </w:rPr>
        <w:t>לתוך מים ונתבטל ואח"כ נפלו המים לבשר</w:t>
      </w:r>
      <w:r w:rsidRPr="00FE6734">
        <w:rPr>
          <w:rFonts w:hint="cs"/>
          <w:u w:val="single"/>
          <w:rtl/>
        </w:rPr>
        <w:t>:</w:t>
      </w:r>
    </w:p>
    <w:p w14:paraId="42582F33" w14:textId="77777777" w:rsidR="002C39F4" w:rsidRPr="00630DD3" w:rsidRDefault="002C39F4" w:rsidP="0032102C">
      <w:pPr>
        <w:pStyle w:val="a8"/>
        <w:numPr>
          <w:ilvl w:val="0"/>
          <w:numId w:val="193"/>
        </w:numPr>
        <w:rPr>
          <w:rtl/>
        </w:rPr>
      </w:pPr>
      <w:r w:rsidRPr="00C95D73">
        <w:rPr>
          <w:rFonts w:cs="Arial"/>
          <w:rtl/>
        </w:rPr>
        <w:t>א</w:t>
      </w:r>
      <w:r>
        <w:rPr>
          <w:rFonts w:cs="Arial" w:hint="cs"/>
          <w:rtl/>
        </w:rPr>
        <w:t>ו"ה</w:t>
      </w:r>
      <w:r w:rsidRPr="00C95D73">
        <w:rPr>
          <w:rFonts w:cs="Arial"/>
          <w:rtl/>
        </w:rPr>
        <w:t xml:space="preserve"> </w:t>
      </w:r>
      <w:r w:rsidRPr="00FE6734">
        <w:rPr>
          <w:rFonts w:cs="Arial" w:hint="cs"/>
          <w:sz w:val="16"/>
          <w:szCs w:val="16"/>
          <w:rtl/>
        </w:rPr>
        <w:t>(</w:t>
      </w:r>
      <w:r w:rsidRPr="00FE6734">
        <w:rPr>
          <w:rFonts w:cs="Arial"/>
          <w:sz w:val="16"/>
          <w:szCs w:val="16"/>
          <w:rtl/>
        </w:rPr>
        <w:t>כלל כד ד</w:t>
      </w:r>
      <w:r w:rsidRPr="00FE6734">
        <w:rPr>
          <w:rFonts w:cs="Arial" w:hint="cs"/>
          <w:sz w:val="16"/>
          <w:szCs w:val="16"/>
          <w:rtl/>
        </w:rPr>
        <w:t>"ח</w:t>
      </w:r>
      <w:r w:rsidRPr="00FE6734">
        <w:rPr>
          <w:rFonts w:cs="Arial"/>
          <w:sz w:val="16"/>
          <w:szCs w:val="16"/>
          <w:rtl/>
        </w:rPr>
        <w:t>)</w:t>
      </w:r>
      <w:r>
        <w:rPr>
          <w:rFonts w:cs="Arial" w:hint="cs"/>
          <w:rtl/>
        </w:rPr>
        <w:t xml:space="preserve">- </w:t>
      </w:r>
      <w:r w:rsidRPr="00C95D73">
        <w:rPr>
          <w:rFonts w:cs="Arial"/>
          <w:rtl/>
        </w:rPr>
        <w:t>אע</w:t>
      </w:r>
      <w:r>
        <w:rPr>
          <w:rFonts w:cs="Arial" w:hint="cs"/>
          <w:rtl/>
        </w:rPr>
        <w:t>"</w:t>
      </w:r>
      <w:r w:rsidRPr="00C95D73">
        <w:rPr>
          <w:rFonts w:cs="Arial"/>
          <w:rtl/>
        </w:rPr>
        <w:t>פ שאין בבשר לבטל החלב לא אמרינן דהחלב חוזר וניעור ואוסר הבשר</w:t>
      </w:r>
      <w:r>
        <w:rPr>
          <w:rFonts w:cs="Arial" w:hint="cs"/>
          <w:rtl/>
        </w:rPr>
        <w:t>.</w:t>
      </w:r>
      <w:r w:rsidRPr="00BB3BB1">
        <w:rPr>
          <w:rFonts w:hint="cs"/>
          <w:color w:val="00B0F0"/>
          <w:rtl/>
        </w:rPr>
        <w:t xml:space="preserve"> </w:t>
      </w:r>
      <w:r w:rsidRPr="00F36ABD">
        <w:rPr>
          <w:rFonts w:hint="cs"/>
          <w:color w:val="00B0F0"/>
          <w:rtl/>
        </w:rPr>
        <w:t>(וכ"פ הרמ"א)</w:t>
      </w:r>
    </w:p>
    <w:p w14:paraId="4C17811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CC0D0E2" w14:textId="77777777" w:rsidR="002C39F4" w:rsidRDefault="002C39F4" w:rsidP="002C39F4">
      <w:pPr>
        <w:rPr>
          <w:rFonts w:asciiTheme="minorBidi" w:hAnsiTheme="minorBidi"/>
          <w:rtl/>
        </w:rPr>
      </w:pPr>
      <w:r w:rsidRPr="003024E5">
        <w:rPr>
          <w:rFonts w:asciiTheme="minorBidi" w:hAnsiTheme="minorBidi"/>
          <w:rtl/>
        </w:rPr>
        <w:t>איסור של דבריהם אין מערבין אותו בידים כדי לבטלו</w:t>
      </w:r>
      <w:r>
        <w:rPr>
          <w:rFonts w:asciiTheme="minorBidi" w:hAnsiTheme="minorBidi" w:hint="cs"/>
          <w:rtl/>
        </w:rPr>
        <w:t>,</w:t>
      </w:r>
      <w:r w:rsidRPr="003024E5">
        <w:rPr>
          <w:rFonts w:asciiTheme="minorBidi" w:hAnsiTheme="minorBidi"/>
          <w:rtl/>
        </w:rPr>
        <w:t xml:space="preserve"> ואם עשה כן במזיד אסור</w:t>
      </w:r>
      <w:r>
        <w:rPr>
          <w:rStyle w:val="a7"/>
          <w:rFonts w:asciiTheme="minorBidi" w:hAnsiTheme="minorBidi"/>
          <w:rtl/>
        </w:rPr>
        <w:footnoteReference w:id="1909"/>
      </w:r>
      <w:r>
        <w:rPr>
          <w:rFonts w:asciiTheme="minorBidi" w:hAnsiTheme="minorBidi" w:hint="cs"/>
          <w:rtl/>
        </w:rPr>
        <w:t>,</w:t>
      </w:r>
      <w:r w:rsidRPr="003024E5">
        <w:rPr>
          <w:rFonts w:asciiTheme="minorBidi" w:hAnsiTheme="minorBidi"/>
          <w:rtl/>
        </w:rPr>
        <w:t xml:space="preserve"> אבל אם נפל מעצמו ואין בהיתר כדי לבטלו מרבה עליו ומבטלו</w:t>
      </w:r>
      <w:r>
        <w:rPr>
          <w:rStyle w:val="a7"/>
          <w:rFonts w:asciiTheme="minorBidi" w:hAnsiTheme="minorBidi"/>
          <w:rtl/>
        </w:rPr>
        <w:footnoteReference w:id="1910"/>
      </w:r>
      <w:r w:rsidRPr="003024E5">
        <w:rPr>
          <w:rFonts w:asciiTheme="minorBidi" w:hAnsiTheme="minorBidi"/>
          <w:rtl/>
        </w:rPr>
        <w:t xml:space="preserve">. </w:t>
      </w:r>
      <w:r w:rsidRPr="00AB4100">
        <w:rPr>
          <w:rFonts w:asciiTheme="minorBidi" w:hAnsiTheme="minorBidi"/>
          <w:sz w:val="18"/>
          <w:szCs w:val="18"/>
          <w:rtl/>
        </w:rPr>
        <w:t>הגה: וי"א דאין לבטל איסור דרבנן או להוסיף עליו, כמו באיסור דאורייתא</w:t>
      </w:r>
      <w:r>
        <w:rPr>
          <w:rFonts w:asciiTheme="minorBidi" w:hAnsiTheme="minorBidi" w:hint="cs"/>
          <w:sz w:val="18"/>
          <w:szCs w:val="18"/>
          <w:rtl/>
        </w:rPr>
        <w:t>,</w:t>
      </w:r>
      <w:r w:rsidRPr="00AB4100">
        <w:rPr>
          <w:rFonts w:asciiTheme="minorBidi" w:hAnsiTheme="minorBidi"/>
          <w:sz w:val="18"/>
          <w:szCs w:val="18"/>
          <w:rtl/>
        </w:rPr>
        <w:t xml:space="preserve"> וכן נוהגין ואין לשנות </w:t>
      </w:r>
      <w:r w:rsidRPr="00DD350B">
        <w:rPr>
          <w:rFonts w:asciiTheme="minorBidi" w:hAnsiTheme="minorBidi"/>
          <w:sz w:val="16"/>
          <w:szCs w:val="16"/>
          <w:rtl/>
        </w:rPr>
        <w:t xml:space="preserve">(טור בשם </w:t>
      </w:r>
      <w:r>
        <w:rPr>
          <w:rFonts w:asciiTheme="minorBidi" w:hAnsiTheme="minorBidi" w:hint="cs"/>
          <w:sz w:val="16"/>
          <w:szCs w:val="16"/>
          <w:rtl/>
        </w:rPr>
        <w:t>ה</w:t>
      </w:r>
      <w:r w:rsidRPr="00DD350B">
        <w:rPr>
          <w:rFonts w:asciiTheme="minorBidi" w:hAnsiTheme="minorBidi"/>
          <w:sz w:val="16"/>
          <w:szCs w:val="16"/>
          <w:rtl/>
        </w:rPr>
        <w:t>רא"ש</w:t>
      </w:r>
      <w:r>
        <w:rPr>
          <w:rFonts w:asciiTheme="minorBidi" w:hAnsiTheme="minorBidi" w:hint="cs"/>
          <w:sz w:val="16"/>
          <w:szCs w:val="16"/>
          <w:rtl/>
        </w:rPr>
        <w:t>,</w:t>
      </w:r>
      <w:r w:rsidRPr="00DD350B">
        <w:rPr>
          <w:rFonts w:asciiTheme="minorBidi" w:hAnsiTheme="minorBidi"/>
          <w:sz w:val="16"/>
          <w:szCs w:val="16"/>
          <w:rtl/>
        </w:rPr>
        <w:t xml:space="preserve"> ו</w:t>
      </w:r>
      <w:r>
        <w:rPr>
          <w:rFonts w:asciiTheme="minorBidi" w:hAnsiTheme="minorBidi" w:hint="cs"/>
          <w:sz w:val="16"/>
          <w:szCs w:val="16"/>
          <w:rtl/>
        </w:rPr>
        <w:t>כ"ה בת</w:t>
      </w:r>
      <w:r w:rsidRPr="00DD350B">
        <w:rPr>
          <w:rFonts w:asciiTheme="minorBidi" w:hAnsiTheme="minorBidi" w:hint="cs"/>
          <w:sz w:val="16"/>
          <w:szCs w:val="16"/>
          <w:rtl/>
        </w:rPr>
        <w:t>רו</w:t>
      </w:r>
      <w:r w:rsidRPr="00DD350B">
        <w:rPr>
          <w:rFonts w:asciiTheme="minorBidi" w:hAnsiTheme="minorBidi"/>
          <w:sz w:val="16"/>
          <w:szCs w:val="16"/>
          <w:rtl/>
        </w:rPr>
        <w:t>ה</w:t>
      </w:r>
      <w:r w:rsidRPr="00DD350B">
        <w:rPr>
          <w:rFonts w:asciiTheme="minorBidi" w:hAnsiTheme="minorBidi" w:hint="cs"/>
          <w:sz w:val="16"/>
          <w:szCs w:val="16"/>
          <w:rtl/>
        </w:rPr>
        <w:t>"ד</w:t>
      </w:r>
      <w:r w:rsidRPr="00DD350B">
        <w:rPr>
          <w:rFonts w:asciiTheme="minorBidi" w:hAnsiTheme="minorBidi"/>
          <w:sz w:val="16"/>
          <w:szCs w:val="16"/>
          <w:rtl/>
        </w:rPr>
        <w:t xml:space="preserve"> הג</w:t>
      </w:r>
      <w:r w:rsidRPr="00DD350B">
        <w:rPr>
          <w:rFonts w:asciiTheme="minorBidi" w:hAnsiTheme="minorBidi" w:hint="cs"/>
          <w:sz w:val="16"/>
          <w:szCs w:val="16"/>
          <w:rtl/>
        </w:rPr>
        <w:t>שע"ד</w:t>
      </w:r>
      <w:r w:rsidRPr="00DD350B">
        <w:rPr>
          <w:rFonts w:asciiTheme="minorBidi" w:hAnsiTheme="minorBidi"/>
          <w:sz w:val="16"/>
          <w:szCs w:val="16"/>
          <w:rtl/>
        </w:rPr>
        <w:t xml:space="preserve"> רא"ה</w:t>
      </w:r>
      <w:r>
        <w:rPr>
          <w:rFonts w:asciiTheme="minorBidi" w:hAnsiTheme="minorBidi" w:hint="cs"/>
          <w:sz w:val="16"/>
          <w:szCs w:val="16"/>
          <w:rtl/>
        </w:rPr>
        <w:t xml:space="preserve"> </w:t>
      </w:r>
      <w:r w:rsidRPr="00DD350B">
        <w:rPr>
          <w:rFonts w:asciiTheme="minorBidi" w:hAnsiTheme="minorBidi"/>
          <w:sz w:val="16"/>
          <w:szCs w:val="16"/>
          <w:rtl/>
        </w:rPr>
        <w:t>ר"ן</w:t>
      </w:r>
      <w:r>
        <w:rPr>
          <w:rFonts w:asciiTheme="minorBidi" w:hAnsiTheme="minorBidi" w:hint="cs"/>
          <w:sz w:val="16"/>
          <w:szCs w:val="16"/>
          <w:rtl/>
        </w:rPr>
        <w:t xml:space="preserve"> </w:t>
      </w:r>
      <w:r w:rsidRPr="00DD350B">
        <w:rPr>
          <w:rFonts w:asciiTheme="minorBidi" w:hAnsiTheme="minorBidi"/>
          <w:sz w:val="16"/>
          <w:szCs w:val="16"/>
          <w:rtl/>
        </w:rPr>
        <w:t>מרדכי ואגו</w:t>
      </w:r>
      <w:r w:rsidRPr="00DD350B">
        <w:rPr>
          <w:rFonts w:asciiTheme="minorBidi" w:hAnsiTheme="minorBidi" w:hint="cs"/>
          <w:sz w:val="16"/>
          <w:szCs w:val="16"/>
          <w:rtl/>
        </w:rPr>
        <w:t>דה</w:t>
      </w:r>
      <w:r w:rsidRPr="00DD350B">
        <w:rPr>
          <w:rFonts w:asciiTheme="minorBidi" w:hAnsiTheme="minorBidi"/>
          <w:sz w:val="16"/>
          <w:szCs w:val="16"/>
          <w:rtl/>
        </w:rPr>
        <w:t>)</w:t>
      </w:r>
      <w:r>
        <w:rPr>
          <w:rFonts w:asciiTheme="minorBidi" w:hAnsiTheme="minorBidi" w:hint="cs"/>
          <w:sz w:val="18"/>
          <w:szCs w:val="18"/>
          <w:rtl/>
        </w:rPr>
        <w:t xml:space="preserve">. </w:t>
      </w:r>
      <w:r w:rsidRPr="00AB4100">
        <w:rPr>
          <w:rFonts w:asciiTheme="minorBidi" w:hAnsiTheme="minorBidi"/>
          <w:sz w:val="18"/>
          <w:szCs w:val="18"/>
          <w:rtl/>
        </w:rPr>
        <w:t>איסור שנתבטל, כגון שהיה ס' כנגדו</w:t>
      </w:r>
      <w:r>
        <w:rPr>
          <w:rFonts w:asciiTheme="minorBidi" w:hAnsiTheme="minorBidi" w:hint="cs"/>
          <w:sz w:val="18"/>
          <w:szCs w:val="18"/>
          <w:rtl/>
        </w:rPr>
        <w:t>,</w:t>
      </w:r>
      <w:r w:rsidRPr="00AB4100">
        <w:rPr>
          <w:rFonts w:asciiTheme="minorBidi" w:hAnsiTheme="minorBidi"/>
          <w:sz w:val="18"/>
          <w:szCs w:val="18"/>
          <w:rtl/>
        </w:rPr>
        <w:t xml:space="preserve"> ונתוסף בו אח"כ מן האיסור הראשון, חוזר וניעור ונאסר, ל"ש מין במינו</w:t>
      </w:r>
      <w:r>
        <w:rPr>
          <w:rFonts w:asciiTheme="minorBidi" w:hAnsiTheme="minorBidi" w:hint="cs"/>
          <w:sz w:val="18"/>
          <w:szCs w:val="18"/>
          <w:rtl/>
        </w:rPr>
        <w:t>,</w:t>
      </w:r>
      <w:r w:rsidRPr="00AB4100">
        <w:rPr>
          <w:rFonts w:asciiTheme="minorBidi" w:hAnsiTheme="minorBidi"/>
          <w:sz w:val="18"/>
          <w:szCs w:val="18"/>
          <w:rtl/>
        </w:rPr>
        <w:t xml:space="preserve"> ל"ש מין בשאינו מינו</w:t>
      </w:r>
      <w:r>
        <w:rPr>
          <w:rFonts w:asciiTheme="minorBidi" w:hAnsiTheme="minorBidi" w:hint="cs"/>
          <w:sz w:val="18"/>
          <w:szCs w:val="18"/>
          <w:rtl/>
        </w:rPr>
        <w:t>,</w:t>
      </w:r>
      <w:r w:rsidRPr="00AB4100">
        <w:rPr>
          <w:rFonts w:asciiTheme="minorBidi" w:hAnsiTheme="minorBidi"/>
          <w:sz w:val="18"/>
          <w:szCs w:val="18"/>
          <w:rtl/>
        </w:rPr>
        <w:t xml:space="preserve"> לא שנא יבש</w:t>
      </w:r>
      <w:r>
        <w:rPr>
          <w:rStyle w:val="a7"/>
          <w:rFonts w:asciiTheme="minorBidi" w:hAnsiTheme="minorBidi"/>
          <w:sz w:val="18"/>
          <w:szCs w:val="18"/>
          <w:rtl/>
        </w:rPr>
        <w:footnoteReference w:id="1911"/>
      </w:r>
      <w:r>
        <w:rPr>
          <w:rFonts w:asciiTheme="minorBidi" w:hAnsiTheme="minorBidi" w:hint="cs"/>
          <w:sz w:val="18"/>
          <w:szCs w:val="18"/>
          <w:rtl/>
        </w:rPr>
        <w:t>,</w:t>
      </w:r>
      <w:r w:rsidRPr="00AB4100">
        <w:rPr>
          <w:rFonts w:asciiTheme="minorBidi" w:hAnsiTheme="minorBidi"/>
          <w:sz w:val="18"/>
          <w:szCs w:val="18"/>
          <w:rtl/>
        </w:rPr>
        <w:t xml:space="preserve"> ל"ש לח</w:t>
      </w:r>
      <w:r>
        <w:rPr>
          <w:rFonts w:asciiTheme="minorBidi" w:hAnsiTheme="minorBidi" w:hint="cs"/>
          <w:sz w:val="18"/>
          <w:szCs w:val="18"/>
          <w:rtl/>
        </w:rPr>
        <w:t xml:space="preserve"> </w:t>
      </w:r>
      <w:r w:rsidRPr="00E702DC">
        <w:rPr>
          <w:rFonts w:asciiTheme="minorBidi" w:hAnsiTheme="minorBidi" w:hint="cs"/>
          <w:sz w:val="16"/>
          <w:szCs w:val="16"/>
          <w:rtl/>
        </w:rPr>
        <w:t>(טור בשם הרא"ש)</w:t>
      </w:r>
      <w:r>
        <w:rPr>
          <w:rFonts w:asciiTheme="minorBidi" w:hAnsiTheme="minorBidi" w:hint="cs"/>
          <w:sz w:val="18"/>
          <w:szCs w:val="18"/>
          <w:rtl/>
        </w:rPr>
        <w:t>,</w:t>
      </w:r>
      <w:r w:rsidRPr="00AB4100">
        <w:rPr>
          <w:rFonts w:asciiTheme="minorBidi" w:hAnsiTheme="minorBidi"/>
          <w:sz w:val="18"/>
          <w:szCs w:val="18"/>
          <w:rtl/>
        </w:rPr>
        <w:t xml:space="preserve"> ל</w:t>
      </w:r>
      <w:r>
        <w:rPr>
          <w:rFonts w:asciiTheme="minorBidi" w:hAnsiTheme="minorBidi" w:hint="cs"/>
          <w:sz w:val="18"/>
          <w:szCs w:val="18"/>
          <w:rtl/>
        </w:rPr>
        <w:t>"</w:t>
      </w:r>
      <w:r w:rsidRPr="00AB4100">
        <w:rPr>
          <w:rFonts w:asciiTheme="minorBidi" w:hAnsiTheme="minorBidi"/>
          <w:sz w:val="18"/>
          <w:szCs w:val="18"/>
          <w:rtl/>
        </w:rPr>
        <w:t xml:space="preserve">ש נודע בינתים או לא נודע בינתים </w:t>
      </w:r>
      <w:r w:rsidRPr="00DD350B">
        <w:rPr>
          <w:rFonts w:asciiTheme="minorBidi" w:hAnsiTheme="minorBidi"/>
          <w:sz w:val="16"/>
          <w:szCs w:val="16"/>
          <w:rtl/>
        </w:rPr>
        <w:t>(הגש</w:t>
      </w:r>
      <w:r w:rsidRPr="00DD350B">
        <w:rPr>
          <w:rFonts w:asciiTheme="minorBidi" w:hAnsiTheme="minorBidi" w:hint="cs"/>
          <w:sz w:val="16"/>
          <w:szCs w:val="16"/>
          <w:rtl/>
        </w:rPr>
        <w:t>ע</w:t>
      </w:r>
      <w:r w:rsidRPr="00DD350B">
        <w:rPr>
          <w:rFonts w:asciiTheme="minorBidi" w:hAnsiTheme="minorBidi"/>
          <w:sz w:val="16"/>
          <w:szCs w:val="16"/>
          <w:rtl/>
        </w:rPr>
        <w:t>"ד סי</w:t>
      </w:r>
      <w:r w:rsidRPr="00DD350B">
        <w:rPr>
          <w:rFonts w:asciiTheme="minorBidi" w:hAnsiTheme="minorBidi" w:hint="cs"/>
          <w:sz w:val="16"/>
          <w:szCs w:val="16"/>
          <w:rtl/>
        </w:rPr>
        <w:t>'</w:t>
      </w:r>
      <w:r w:rsidRPr="00DD350B">
        <w:rPr>
          <w:rFonts w:asciiTheme="minorBidi" w:hAnsiTheme="minorBidi"/>
          <w:sz w:val="16"/>
          <w:szCs w:val="16"/>
          <w:rtl/>
        </w:rPr>
        <w:t xml:space="preserve"> נט)</w:t>
      </w:r>
      <w:r w:rsidRPr="00AB4100">
        <w:rPr>
          <w:rFonts w:asciiTheme="minorBidi" w:hAnsiTheme="minorBidi"/>
          <w:sz w:val="18"/>
          <w:szCs w:val="18"/>
          <w:rtl/>
        </w:rPr>
        <w:t>. כזית חלב שנפל למים ונתבטל בס', ואח"כ נפל מן המים לקדירה של בשר, מותר אע</w:t>
      </w:r>
      <w:r>
        <w:rPr>
          <w:rFonts w:asciiTheme="minorBidi" w:hAnsiTheme="minorBidi" w:hint="cs"/>
          <w:sz w:val="18"/>
          <w:szCs w:val="18"/>
          <w:rtl/>
        </w:rPr>
        <w:t>"</w:t>
      </w:r>
      <w:r w:rsidRPr="00AB4100">
        <w:rPr>
          <w:rFonts w:asciiTheme="minorBidi" w:hAnsiTheme="minorBidi"/>
          <w:sz w:val="18"/>
          <w:szCs w:val="18"/>
          <w:rtl/>
        </w:rPr>
        <w:t>פ שאין בבשר ס' נגד החלב</w:t>
      </w:r>
      <w:r>
        <w:rPr>
          <w:rStyle w:val="a7"/>
          <w:rFonts w:asciiTheme="minorBidi" w:hAnsiTheme="minorBidi"/>
          <w:sz w:val="18"/>
          <w:szCs w:val="18"/>
          <w:rtl/>
        </w:rPr>
        <w:footnoteReference w:id="1912"/>
      </w:r>
      <w:r w:rsidRPr="00AB4100">
        <w:rPr>
          <w:rFonts w:asciiTheme="minorBidi" w:hAnsiTheme="minorBidi"/>
          <w:sz w:val="18"/>
          <w:szCs w:val="18"/>
          <w:rtl/>
        </w:rPr>
        <w:t xml:space="preserve"> שהרי נתבטל במים </w:t>
      </w:r>
      <w:r w:rsidRPr="00DD350B">
        <w:rPr>
          <w:rFonts w:asciiTheme="minorBidi" w:hAnsiTheme="minorBidi"/>
          <w:sz w:val="16"/>
          <w:szCs w:val="16"/>
          <w:rtl/>
        </w:rPr>
        <w:t>(בארוך)</w:t>
      </w:r>
      <w:r>
        <w:rPr>
          <w:rFonts w:asciiTheme="minorBidi" w:hAnsiTheme="minorBidi" w:hint="cs"/>
          <w:sz w:val="18"/>
          <w:szCs w:val="18"/>
          <w:rtl/>
        </w:rPr>
        <w:t>,</w:t>
      </w:r>
      <w:r w:rsidRPr="00AB4100">
        <w:rPr>
          <w:rFonts w:asciiTheme="minorBidi" w:hAnsiTheme="minorBidi"/>
          <w:sz w:val="18"/>
          <w:szCs w:val="18"/>
          <w:rtl/>
        </w:rPr>
        <w:t xml:space="preserve"> וכל כיוצא בזה.</w:t>
      </w:r>
      <w:r w:rsidRPr="003024E5">
        <w:rPr>
          <w:rFonts w:asciiTheme="minorBidi" w:hAnsiTheme="minorBidi"/>
          <w:rtl/>
        </w:rPr>
        <w:t xml:space="preserve"> </w:t>
      </w:r>
    </w:p>
    <w:p w14:paraId="4C1A5367" w14:textId="77777777" w:rsidR="002C39F4" w:rsidRPr="003024E5" w:rsidRDefault="002C39F4" w:rsidP="002C39F4">
      <w:pPr>
        <w:rPr>
          <w:rFonts w:asciiTheme="minorBidi" w:hAnsiTheme="minorBidi"/>
          <w:rtl/>
        </w:rPr>
      </w:pPr>
    </w:p>
    <w:p w14:paraId="28FE8670"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ביטול טיפת איסור הבלועה בכלי.</w:t>
      </w:r>
    </w:p>
    <w:p w14:paraId="47783F5E" w14:textId="77777777" w:rsidR="002C39F4" w:rsidRDefault="002C39F4" w:rsidP="002C39F4">
      <w:pPr>
        <w:rPr>
          <w:rFonts w:asciiTheme="minorBidi" w:hAnsiTheme="minorBidi" w:cs="Arial"/>
          <w:rtl/>
        </w:rPr>
      </w:pPr>
      <w:r>
        <w:rPr>
          <w:rFonts w:asciiTheme="minorBidi" w:hAnsiTheme="minorBidi" w:cs="Arial" w:hint="cs"/>
          <w:b/>
          <w:bCs/>
          <w:rtl/>
        </w:rPr>
        <w:t xml:space="preserve">עבודה זרה לג ע"א: </w:t>
      </w:r>
      <w:r w:rsidRPr="008C3347">
        <w:rPr>
          <w:rFonts w:asciiTheme="minorBidi" w:hAnsiTheme="minorBidi" w:cs="Arial"/>
          <w:rtl/>
        </w:rPr>
        <w:t>ת"ר: קנקנים</w:t>
      </w:r>
      <w:r>
        <w:rPr>
          <w:rStyle w:val="a7"/>
          <w:rFonts w:asciiTheme="minorBidi" w:hAnsiTheme="minorBidi" w:cs="Arial"/>
          <w:rtl/>
        </w:rPr>
        <w:footnoteReference w:id="1913"/>
      </w:r>
      <w:r w:rsidRPr="008C3347">
        <w:rPr>
          <w:rFonts w:asciiTheme="minorBidi" w:hAnsiTheme="minorBidi" w:cs="Arial"/>
          <w:rtl/>
        </w:rPr>
        <w:t xml:space="preserve"> של עובדי כוכבים, חדשים גרודים</w:t>
      </w:r>
      <w:r>
        <w:rPr>
          <w:rStyle w:val="a7"/>
          <w:rFonts w:asciiTheme="minorBidi" w:hAnsiTheme="minorBidi" w:cs="Arial"/>
          <w:rtl/>
        </w:rPr>
        <w:footnoteReference w:id="1914"/>
      </w:r>
      <w:r>
        <w:rPr>
          <w:rFonts w:asciiTheme="minorBidi" w:hAnsiTheme="minorBidi" w:cs="Arial" w:hint="cs"/>
          <w:rtl/>
        </w:rPr>
        <w:t xml:space="preserve"> </w:t>
      </w:r>
      <w:r w:rsidRPr="008C3347">
        <w:rPr>
          <w:rFonts w:asciiTheme="minorBidi" w:hAnsiTheme="minorBidi" w:cs="Arial"/>
          <w:rtl/>
        </w:rPr>
        <w:t>- מותרין, ישנים ומזופפין</w:t>
      </w:r>
      <w:r>
        <w:rPr>
          <w:rStyle w:val="a7"/>
          <w:rFonts w:asciiTheme="minorBidi" w:hAnsiTheme="minorBidi" w:cs="Arial"/>
          <w:rtl/>
        </w:rPr>
        <w:footnoteReference w:id="1915"/>
      </w:r>
      <w:r w:rsidRPr="008C3347">
        <w:rPr>
          <w:rFonts w:asciiTheme="minorBidi" w:hAnsiTheme="minorBidi" w:cs="Arial"/>
          <w:rtl/>
        </w:rPr>
        <w:t>- אסורין</w:t>
      </w:r>
      <w:r>
        <w:rPr>
          <w:rFonts w:asciiTheme="minorBidi" w:hAnsiTheme="minorBidi" w:cs="Arial" w:hint="cs"/>
          <w:rtl/>
        </w:rPr>
        <w:t>.</w:t>
      </w:r>
      <w:r w:rsidRPr="008C3347">
        <w:rPr>
          <w:rFonts w:asciiTheme="minorBidi" w:hAnsiTheme="minorBidi" w:cs="Arial"/>
          <w:rtl/>
        </w:rPr>
        <w:t xml:space="preserve"> עובד כוכבים נותן לתוכן יין</w:t>
      </w:r>
      <w:r>
        <w:rPr>
          <w:rFonts w:asciiTheme="minorBidi" w:hAnsiTheme="minorBidi" w:cs="Arial" w:hint="cs"/>
          <w:rtl/>
        </w:rPr>
        <w:t xml:space="preserve"> </w:t>
      </w:r>
      <w:r w:rsidRPr="008C3347">
        <w:rPr>
          <w:rFonts w:asciiTheme="minorBidi" w:hAnsiTheme="minorBidi" w:cs="Arial"/>
          <w:rtl/>
        </w:rPr>
        <w:t>- ישראל נותן לתוכן מים</w:t>
      </w:r>
      <w:r>
        <w:rPr>
          <w:rStyle w:val="a7"/>
          <w:rFonts w:asciiTheme="minorBidi" w:hAnsiTheme="minorBidi" w:cs="Arial"/>
          <w:rtl/>
        </w:rPr>
        <w:footnoteReference w:id="1916"/>
      </w:r>
      <w:r w:rsidRPr="008C3347">
        <w:rPr>
          <w:rFonts w:asciiTheme="minorBidi" w:hAnsiTheme="minorBidi" w:cs="Arial"/>
          <w:rtl/>
        </w:rPr>
        <w:t>, עובד כוכבים נותן לתוכן יין</w:t>
      </w:r>
      <w:r>
        <w:rPr>
          <w:rFonts w:asciiTheme="minorBidi" w:hAnsiTheme="minorBidi" w:cs="Arial" w:hint="cs"/>
          <w:rtl/>
        </w:rPr>
        <w:t xml:space="preserve"> </w:t>
      </w:r>
      <w:r w:rsidRPr="008C3347">
        <w:rPr>
          <w:rFonts w:asciiTheme="minorBidi" w:hAnsiTheme="minorBidi" w:cs="Arial"/>
          <w:rtl/>
        </w:rPr>
        <w:t>- ישראל נותן לתוכן ציר ומורייס</w:t>
      </w:r>
      <w:r>
        <w:rPr>
          <w:rStyle w:val="a7"/>
          <w:rFonts w:asciiTheme="minorBidi" w:hAnsiTheme="minorBidi" w:cs="Arial"/>
          <w:rtl/>
        </w:rPr>
        <w:footnoteReference w:id="1917"/>
      </w:r>
      <w:r w:rsidRPr="008C3347">
        <w:rPr>
          <w:rFonts w:asciiTheme="minorBidi" w:hAnsiTheme="minorBidi" w:cs="Arial"/>
          <w:rtl/>
        </w:rPr>
        <w:t xml:space="preserve"> ואינו חושש</w:t>
      </w:r>
      <w:r>
        <w:rPr>
          <w:rStyle w:val="a7"/>
          <w:rFonts w:asciiTheme="minorBidi" w:hAnsiTheme="minorBidi" w:cs="Arial"/>
          <w:rtl/>
        </w:rPr>
        <w:footnoteReference w:id="1918"/>
      </w:r>
      <w:r w:rsidRPr="008C3347">
        <w:rPr>
          <w:rFonts w:asciiTheme="minorBidi" w:hAnsiTheme="minorBidi" w:cs="Arial"/>
          <w:rtl/>
        </w:rPr>
        <w:t>.</w:t>
      </w:r>
      <w:r>
        <w:rPr>
          <w:rFonts w:asciiTheme="minorBidi" w:hAnsiTheme="minorBidi" w:cs="Arial" w:hint="cs"/>
          <w:rtl/>
        </w:rPr>
        <w:t xml:space="preserve">.. </w:t>
      </w:r>
      <w:r w:rsidRPr="006457FC">
        <w:rPr>
          <w:rFonts w:asciiTheme="minorBidi" w:hAnsiTheme="minorBidi" w:cs="Arial" w:hint="cs"/>
          <w:sz w:val="14"/>
          <w:szCs w:val="14"/>
          <w:rtl/>
        </w:rPr>
        <w:t>(לג:)</w:t>
      </w:r>
      <w:r>
        <w:rPr>
          <w:rFonts w:asciiTheme="minorBidi" w:hAnsiTheme="minorBidi" w:cs="Arial" w:hint="cs"/>
          <w:rtl/>
        </w:rPr>
        <w:t xml:space="preserve"> </w:t>
      </w:r>
      <w:r w:rsidRPr="008C3347">
        <w:rPr>
          <w:rFonts w:asciiTheme="minorBidi" w:hAnsiTheme="minorBidi" w:cs="Arial"/>
          <w:rtl/>
        </w:rPr>
        <w:t xml:space="preserve">איבעיא להו: מהו ליתן לתוכו שכר? </w:t>
      </w:r>
      <w:r w:rsidRPr="00697910">
        <w:rPr>
          <w:rFonts w:asciiTheme="minorBidi" w:hAnsiTheme="minorBidi" w:cs="Arial"/>
          <w:u w:val="single"/>
          <w:rtl/>
        </w:rPr>
        <w:t>רב נחמן ורב יהודה</w:t>
      </w:r>
      <w:r>
        <w:rPr>
          <w:rFonts w:asciiTheme="minorBidi" w:hAnsiTheme="minorBidi" w:cs="Arial" w:hint="cs"/>
          <w:rtl/>
        </w:rPr>
        <w:t>:</w:t>
      </w:r>
      <w:r w:rsidRPr="008C3347">
        <w:rPr>
          <w:rFonts w:asciiTheme="minorBidi" w:hAnsiTheme="minorBidi" w:cs="Arial"/>
          <w:rtl/>
        </w:rPr>
        <w:t xml:space="preserve"> אסרי, </w:t>
      </w:r>
      <w:r w:rsidRPr="00697910">
        <w:rPr>
          <w:rFonts w:asciiTheme="minorBidi" w:hAnsiTheme="minorBidi" w:cs="Arial"/>
          <w:u w:val="single"/>
          <w:rtl/>
        </w:rPr>
        <w:t>ורבא</w:t>
      </w:r>
      <w:r>
        <w:rPr>
          <w:rFonts w:asciiTheme="minorBidi" w:hAnsiTheme="minorBidi" w:cs="Arial" w:hint="cs"/>
          <w:rtl/>
        </w:rPr>
        <w:t>:</w:t>
      </w:r>
      <w:r w:rsidRPr="008C3347">
        <w:rPr>
          <w:rFonts w:asciiTheme="minorBidi" w:hAnsiTheme="minorBidi" w:cs="Arial"/>
          <w:rtl/>
        </w:rPr>
        <w:t xml:space="preserve"> שרי. </w:t>
      </w:r>
      <w:r w:rsidRPr="00697910">
        <w:rPr>
          <w:rFonts w:asciiTheme="minorBidi" w:hAnsiTheme="minorBidi" w:cs="Arial"/>
          <w:rtl/>
        </w:rPr>
        <w:t>רבינא שרא ליה לרב חייא בריה דרב יצחק</w:t>
      </w:r>
      <w:r w:rsidRPr="008C3347">
        <w:rPr>
          <w:rFonts w:asciiTheme="minorBidi" w:hAnsiTheme="minorBidi" w:cs="Arial"/>
          <w:rtl/>
        </w:rPr>
        <w:t xml:space="preserve"> למירמא ביה שכרא, אזל רמא ביה חמרא</w:t>
      </w:r>
      <w:r>
        <w:rPr>
          <w:rFonts w:asciiTheme="minorBidi" w:hAnsiTheme="minorBidi" w:cs="Arial" w:hint="cs"/>
          <w:rtl/>
        </w:rPr>
        <w:t>,</w:t>
      </w:r>
      <w:r w:rsidRPr="008C3347">
        <w:rPr>
          <w:rFonts w:asciiTheme="minorBidi" w:hAnsiTheme="minorBidi" w:cs="Arial"/>
          <w:rtl/>
        </w:rPr>
        <w:t xml:space="preserve"> ואפילו הכי לא חש לה למילתא</w:t>
      </w:r>
      <w:r>
        <w:rPr>
          <w:rStyle w:val="a7"/>
          <w:rFonts w:asciiTheme="minorBidi" w:hAnsiTheme="minorBidi" w:cs="Arial"/>
          <w:rtl/>
        </w:rPr>
        <w:footnoteReference w:id="1919"/>
      </w:r>
      <w:r w:rsidRPr="008C3347">
        <w:rPr>
          <w:rFonts w:asciiTheme="minorBidi" w:hAnsiTheme="minorBidi" w:cs="Arial"/>
          <w:rtl/>
        </w:rPr>
        <w:t>, אמר: אקראי בעלמא הוא</w:t>
      </w:r>
      <w:r>
        <w:rPr>
          <w:rStyle w:val="a7"/>
          <w:rFonts w:asciiTheme="minorBidi" w:hAnsiTheme="minorBidi" w:cs="Arial"/>
          <w:rtl/>
        </w:rPr>
        <w:footnoteReference w:id="1920"/>
      </w:r>
      <w:r w:rsidRPr="008C3347">
        <w:rPr>
          <w:rFonts w:asciiTheme="minorBidi" w:hAnsiTheme="minorBidi" w:cs="Arial"/>
          <w:rtl/>
        </w:rPr>
        <w:t>.</w:t>
      </w:r>
    </w:p>
    <w:p w14:paraId="6B23DA54" w14:textId="77777777" w:rsidR="002C39F4" w:rsidRPr="00697910" w:rsidRDefault="002C39F4" w:rsidP="002C39F4">
      <w:pPr>
        <w:rPr>
          <w:rFonts w:cs="Arial"/>
          <w:sz w:val="16"/>
          <w:szCs w:val="16"/>
          <w:rtl/>
        </w:rPr>
      </w:pPr>
      <w:r w:rsidRPr="0089311C">
        <w:rPr>
          <w:rFonts w:cs="Arial"/>
          <w:u w:val="single"/>
          <w:rtl/>
        </w:rPr>
        <w:t>קדרה שבלעה טיפת דם או חלב</w:t>
      </w:r>
      <w:r w:rsidRPr="0089311C">
        <w:rPr>
          <w:rFonts w:cs="Arial" w:hint="cs"/>
          <w:u w:val="single"/>
          <w:rtl/>
        </w:rPr>
        <w:t xml:space="preserve"> </w:t>
      </w:r>
      <w:r w:rsidRPr="0089311C">
        <w:rPr>
          <w:rFonts w:cs="Arial"/>
          <w:u w:val="single"/>
          <w:rtl/>
        </w:rPr>
        <w:t>–</w:t>
      </w:r>
      <w:r w:rsidRPr="0089311C">
        <w:rPr>
          <w:rFonts w:cs="Arial" w:hint="cs"/>
          <w:u w:val="single"/>
          <w:rtl/>
        </w:rPr>
        <w:t xml:space="preserve"> האם מותר לבטל את האיסור:</w:t>
      </w:r>
      <w:r>
        <w:rPr>
          <w:rFonts w:cs="Arial" w:hint="cs"/>
          <w:sz w:val="16"/>
          <w:szCs w:val="16"/>
          <w:rtl/>
        </w:rPr>
        <w:t xml:space="preserve">  (הועתק מסי' קכב)</w:t>
      </w:r>
    </w:p>
    <w:p w14:paraId="597BB8E8" w14:textId="77777777" w:rsidR="002C39F4" w:rsidRPr="005C5D5B" w:rsidRDefault="002C39F4" w:rsidP="0032102C">
      <w:pPr>
        <w:pStyle w:val="a8"/>
        <w:numPr>
          <w:ilvl w:val="0"/>
          <w:numId w:val="193"/>
        </w:numPr>
        <w:rPr>
          <w:rFonts w:asciiTheme="minorBidi" w:hAnsiTheme="minorBidi"/>
          <w:rtl/>
        </w:rPr>
      </w:pPr>
      <w:r w:rsidRPr="0089311C">
        <w:rPr>
          <w:rFonts w:cs="Arial"/>
          <w:rtl/>
        </w:rPr>
        <w:t>ראב"ד</w:t>
      </w:r>
      <w:r w:rsidRPr="0089311C">
        <w:rPr>
          <w:rFonts w:cs="Arial" w:hint="cs"/>
          <w:sz w:val="16"/>
          <w:szCs w:val="16"/>
          <w:rtl/>
        </w:rPr>
        <w:t xml:space="preserve"> (כ"כ ה</w:t>
      </w:r>
      <w:r w:rsidRPr="0089311C">
        <w:rPr>
          <w:rFonts w:cs="Arial"/>
          <w:sz w:val="16"/>
          <w:szCs w:val="16"/>
          <w:rtl/>
        </w:rPr>
        <w:t xml:space="preserve">ריב"ש </w:t>
      </w:r>
      <w:r w:rsidRPr="0089311C">
        <w:rPr>
          <w:rFonts w:cs="Arial" w:hint="cs"/>
          <w:sz w:val="16"/>
          <w:szCs w:val="16"/>
          <w:rtl/>
        </w:rPr>
        <w:t>בשמו [ב</w:t>
      </w:r>
      <w:r w:rsidRPr="0089311C">
        <w:rPr>
          <w:rFonts w:cs="Arial"/>
          <w:sz w:val="16"/>
          <w:szCs w:val="16"/>
          <w:rtl/>
        </w:rPr>
        <w:t>סי</w:t>
      </w:r>
      <w:r w:rsidRPr="0089311C">
        <w:rPr>
          <w:rFonts w:cs="Arial" w:hint="cs"/>
          <w:sz w:val="16"/>
          <w:szCs w:val="16"/>
          <w:rtl/>
        </w:rPr>
        <w:t>'</w:t>
      </w:r>
      <w:r w:rsidRPr="0089311C">
        <w:rPr>
          <w:rFonts w:cs="Arial"/>
          <w:sz w:val="16"/>
          <w:szCs w:val="16"/>
          <w:rtl/>
        </w:rPr>
        <w:t xml:space="preserve"> שמט</w:t>
      </w:r>
      <w:r w:rsidRPr="0089311C">
        <w:rPr>
          <w:rFonts w:cs="Arial" w:hint="cs"/>
          <w:sz w:val="16"/>
          <w:szCs w:val="16"/>
          <w:rtl/>
        </w:rPr>
        <w:t>])</w:t>
      </w:r>
      <w:r w:rsidRPr="0089311C">
        <w:rPr>
          <w:rFonts w:cs="Arial" w:hint="cs"/>
          <w:rtl/>
        </w:rPr>
        <w:t xml:space="preserve"> </w:t>
      </w:r>
      <w:r>
        <w:rPr>
          <w:rFonts w:asciiTheme="minorBidi" w:hAnsiTheme="minorBidi" w:cs="Arial" w:hint="cs"/>
          <w:rtl/>
        </w:rPr>
        <w:t>ו</w:t>
      </w:r>
      <w:r w:rsidRPr="005C5D5B">
        <w:rPr>
          <w:rFonts w:asciiTheme="minorBidi" w:hAnsiTheme="minorBidi" w:cs="Arial"/>
          <w:rtl/>
        </w:rPr>
        <w:t xml:space="preserve">רשב"א </w:t>
      </w:r>
      <w:r w:rsidRPr="005C5D5B">
        <w:rPr>
          <w:rFonts w:asciiTheme="minorBidi" w:hAnsiTheme="minorBidi" w:cs="Arial" w:hint="cs"/>
          <w:sz w:val="16"/>
          <w:szCs w:val="16"/>
          <w:rtl/>
        </w:rPr>
        <w:t xml:space="preserve">(תוה"ק ב"ד ש"ד </w:t>
      </w:r>
      <w:r w:rsidRPr="005C5D5B">
        <w:rPr>
          <w:rFonts w:asciiTheme="minorBidi" w:hAnsiTheme="minorBidi" w:cs="Arial"/>
          <w:sz w:val="16"/>
          <w:szCs w:val="16"/>
          <w:rtl/>
        </w:rPr>
        <w:t>לו:</w:t>
      </w:r>
      <w:r>
        <w:rPr>
          <w:rFonts w:asciiTheme="minorBidi" w:hAnsiTheme="minorBidi" w:cs="Arial" w:hint="cs"/>
          <w:sz w:val="16"/>
          <w:szCs w:val="16"/>
          <w:rtl/>
        </w:rPr>
        <w:t>, הביאו הטור</w:t>
      </w:r>
      <w:r w:rsidRPr="005C5D5B">
        <w:rPr>
          <w:rFonts w:asciiTheme="minorBidi" w:hAnsiTheme="minorBidi" w:cs="Arial"/>
          <w:sz w:val="16"/>
          <w:szCs w:val="16"/>
          <w:rtl/>
        </w:rPr>
        <w:t>)</w:t>
      </w:r>
      <w:r w:rsidRPr="005C5D5B">
        <w:rPr>
          <w:rFonts w:asciiTheme="minorBidi" w:hAnsiTheme="minorBidi" w:hint="cs"/>
          <w:rtl/>
        </w:rPr>
        <w:t>-</w:t>
      </w:r>
      <w:r w:rsidRPr="005C5D5B">
        <w:rPr>
          <w:rFonts w:asciiTheme="minorBidi" w:hAnsiTheme="minorBidi" w:cs="Arial"/>
          <w:rtl/>
        </w:rPr>
        <w:t xml:space="preserve"> איסור מועט שנבלע בכלי</w:t>
      </w:r>
      <w:r w:rsidRPr="005C5D5B">
        <w:rPr>
          <w:rFonts w:asciiTheme="minorBidi" w:hAnsiTheme="minorBidi" w:cs="Arial" w:hint="cs"/>
          <w:rtl/>
        </w:rPr>
        <w:t>,</w:t>
      </w:r>
      <w:r w:rsidRPr="005C5D5B">
        <w:rPr>
          <w:rFonts w:asciiTheme="minorBidi" w:hAnsiTheme="minorBidi" w:cs="Arial"/>
          <w:rtl/>
        </w:rPr>
        <w:t xml:space="preserve"> אם דרכו של אותו כלי שלא להשתמש בו בהיתר מועט</w:t>
      </w:r>
      <w:r w:rsidRPr="005C5D5B">
        <w:rPr>
          <w:rFonts w:asciiTheme="minorBidi" w:hAnsiTheme="minorBidi" w:cs="Arial" w:hint="cs"/>
          <w:rtl/>
        </w:rPr>
        <w:t>,</w:t>
      </w:r>
      <w:r w:rsidRPr="005C5D5B">
        <w:rPr>
          <w:rFonts w:asciiTheme="minorBidi" w:hAnsiTheme="minorBidi" w:cs="Arial"/>
          <w:rtl/>
        </w:rPr>
        <w:t xml:space="preserve"> בכדי שיתן זה טעם בהיתר שישתמשו בו</w:t>
      </w:r>
      <w:r w:rsidRPr="005C5D5B">
        <w:rPr>
          <w:rFonts w:asciiTheme="minorBidi" w:hAnsiTheme="minorBidi" w:cs="Arial" w:hint="cs"/>
          <w:rtl/>
        </w:rPr>
        <w:t>,</w:t>
      </w:r>
      <w:r w:rsidRPr="005C5D5B">
        <w:rPr>
          <w:rFonts w:asciiTheme="minorBidi" w:hAnsiTheme="minorBidi" w:cs="Arial"/>
          <w:rtl/>
        </w:rPr>
        <w:t xml:space="preserve"> כמו קדרה גדולה וחבית גדולה וכיוצא בהן</w:t>
      </w:r>
      <w:r w:rsidRPr="005C5D5B">
        <w:rPr>
          <w:rFonts w:asciiTheme="minorBidi" w:hAnsiTheme="minorBidi" w:cs="Arial" w:hint="cs"/>
          <w:rtl/>
        </w:rPr>
        <w:t xml:space="preserve"> -</w:t>
      </w:r>
      <w:r w:rsidRPr="005C5D5B">
        <w:rPr>
          <w:rFonts w:asciiTheme="minorBidi" w:hAnsiTheme="minorBidi" w:cs="Arial"/>
          <w:rtl/>
        </w:rPr>
        <w:t xml:space="preserve"> הרי זה מותר להשתמש בו לכתחילה אע</w:t>
      </w:r>
      <w:r w:rsidRPr="005C5D5B">
        <w:rPr>
          <w:rFonts w:asciiTheme="minorBidi" w:hAnsiTheme="minorBidi" w:cs="Arial" w:hint="cs"/>
          <w:rtl/>
        </w:rPr>
        <w:t>"</w:t>
      </w:r>
      <w:r w:rsidRPr="005C5D5B">
        <w:rPr>
          <w:rFonts w:asciiTheme="minorBidi" w:hAnsiTheme="minorBidi" w:cs="Arial"/>
          <w:rtl/>
        </w:rPr>
        <w:t>פ שהוא ב"י</w:t>
      </w:r>
      <w:r w:rsidRPr="005C5D5B">
        <w:rPr>
          <w:rFonts w:asciiTheme="minorBidi" w:hAnsiTheme="minorBidi" w:cs="Arial" w:hint="cs"/>
          <w:rtl/>
        </w:rPr>
        <w:t>,</w:t>
      </w:r>
      <w:r w:rsidRPr="005C5D5B">
        <w:rPr>
          <w:rFonts w:asciiTheme="minorBidi" w:hAnsiTheme="minorBidi" w:cs="Arial"/>
          <w:rtl/>
        </w:rPr>
        <w:t xml:space="preserve"> לפי שא"א לבא לידי נתינת טעם</w:t>
      </w:r>
      <w:r w:rsidRPr="005C5D5B">
        <w:rPr>
          <w:rFonts w:asciiTheme="minorBidi" w:hAnsiTheme="minorBidi" w:cs="Arial" w:hint="cs"/>
          <w:rtl/>
        </w:rPr>
        <w:t>,</w:t>
      </w:r>
      <w:r w:rsidRPr="005C5D5B">
        <w:rPr>
          <w:rFonts w:asciiTheme="minorBidi" w:hAnsiTheme="minorBidi" w:cs="Arial"/>
          <w:rtl/>
        </w:rPr>
        <w:t xml:space="preserve"> אבל אם הוא כלי שמשתמשים בו בדבר מועט כמו קערה וכיוצא בו </w:t>
      </w:r>
      <w:r w:rsidRPr="005C5D5B">
        <w:rPr>
          <w:rFonts w:asciiTheme="minorBidi" w:hAnsiTheme="minorBidi" w:cs="Arial" w:hint="cs"/>
          <w:rtl/>
        </w:rPr>
        <w:t xml:space="preserve">- </w:t>
      </w:r>
      <w:r w:rsidRPr="005C5D5B">
        <w:rPr>
          <w:rFonts w:asciiTheme="minorBidi" w:hAnsiTheme="minorBidi" w:cs="Arial"/>
          <w:rtl/>
        </w:rPr>
        <w:t>אסור להשתמש בו</w:t>
      </w:r>
      <w:r>
        <w:rPr>
          <w:rStyle w:val="a7"/>
          <w:rFonts w:asciiTheme="minorBidi" w:hAnsiTheme="minorBidi" w:cs="Arial"/>
          <w:rtl/>
        </w:rPr>
        <w:footnoteReference w:id="1921"/>
      </w:r>
      <w:r w:rsidRPr="005C5D5B">
        <w:rPr>
          <w:rFonts w:asciiTheme="minorBidi" w:hAnsiTheme="minorBidi" w:cs="Arial" w:hint="cs"/>
          <w:rtl/>
        </w:rPr>
        <w:t>,</w:t>
      </w:r>
      <w:r w:rsidRPr="005C5D5B">
        <w:rPr>
          <w:rFonts w:asciiTheme="minorBidi" w:hAnsiTheme="minorBidi" w:cs="Arial"/>
          <w:rtl/>
        </w:rPr>
        <w:t xml:space="preserve"> שאין מבטלין איסור לכתחילה אפילו איסור מועט ואפילו איסור הבלוע</w:t>
      </w:r>
      <w:r w:rsidRPr="005C5D5B">
        <w:rPr>
          <w:rFonts w:asciiTheme="minorBidi" w:hAnsiTheme="minorBidi" w:cs="Arial" w:hint="cs"/>
          <w:sz w:val="16"/>
          <w:szCs w:val="16"/>
          <w:rtl/>
        </w:rPr>
        <w:t xml:space="preserve"> (ל' הטור</w:t>
      </w:r>
      <w:r>
        <w:rPr>
          <w:rFonts w:asciiTheme="minorBidi" w:hAnsiTheme="minorBidi" w:cs="Arial" w:hint="cs"/>
          <w:sz w:val="16"/>
          <w:szCs w:val="16"/>
          <w:rtl/>
        </w:rPr>
        <w:t xml:space="preserve"> בשם הרשב"א</w:t>
      </w:r>
      <w:r w:rsidRPr="005C5D5B">
        <w:rPr>
          <w:rFonts w:asciiTheme="minorBidi" w:hAnsiTheme="minorBidi" w:cs="Arial" w:hint="cs"/>
          <w:sz w:val="16"/>
          <w:szCs w:val="16"/>
          <w:rtl/>
        </w:rPr>
        <w:t>)</w:t>
      </w:r>
      <w:r w:rsidRPr="005C5D5B">
        <w:rPr>
          <w:rFonts w:asciiTheme="minorBidi" w:hAnsiTheme="minorBidi" w:cs="Arial" w:hint="cs"/>
          <w:rtl/>
        </w:rPr>
        <w:t>.</w:t>
      </w:r>
      <w:r>
        <w:rPr>
          <w:rFonts w:asciiTheme="minorBidi" w:hAnsiTheme="minorBidi" w:hint="cs"/>
          <w:rtl/>
        </w:rPr>
        <w:t xml:space="preserve"> </w:t>
      </w:r>
      <w:r w:rsidRPr="00FB1869">
        <w:rPr>
          <w:rFonts w:asciiTheme="minorBidi" w:hAnsiTheme="minorBidi" w:hint="cs"/>
          <w:color w:val="E36C0A" w:themeColor="accent6" w:themeShade="BF"/>
          <w:rtl/>
        </w:rPr>
        <w:t>(וכ"פ בשו"ע)</w:t>
      </w:r>
    </w:p>
    <w:p w14:paraId="7A7187CD" w14:textId="77777777" w:rsidR="002C39F4" w:rsidRPr="005C5D5B" w:rsidRDefault="002C39F4" w:rsidP="0032102C">
      <w:pPr>
        <w:pStyle w:val="a8"/>
        <w:numPr>
          <w:ilvl w:val="0"/>
          <w:numId w:val="193"/>
        </w:numPr>
        <w:rPr>
          <w:rFonts w:asciiTheme="minorBidi" w:hAnsiTheme="minorBidi"/>
          <w:rtl/>
        </w:rPr>
      </w:pPr>
      <w:r w:rsidRPr="005C5D5B">
        <w:rPr>
          <w:rFonts w:asciiTheme="minorBidi" w:hAnsiTheme="minorBidi" w:cs="Arial" w:hint="cs"/>
          <w:rtl/>
        </w:rPr>
        <w:t xml:space="preserve">טור- </w:t>
      </w:r>
      <w:r w:rsidRPr="005C5D5B">
        <w:rPr>
          <w:rFonts w:asciiTheme="minorBidi" w:hAnsiTheme="minorBidi" w:cs="Arial"/>
          <w:rtl/>
        </w:rPr>
        <w:t>אינו נראה להתיר</w:t>
      </w:r>
      <w:r w:rsidRPr="005C5D5B">
        <w:rPr>
          <w:rFonts w:asciiTheme="minorBidi" w:hAnsiTheme="minorBidi" w:cs="Arial" w:hint="cs"/>
          <w:rtl/>
        </w:rPr>
        <w:t>,</w:t>
      </w:r>
      <w:r w:rsidRPr="005C5D5B">
        <w:rPr>
          <w:rFonts w:asciiTheme="minorBidi" w:hAnsiTheme="minorBidi" w:cs="Arial"/>
          <w:rtl/>
        </w:rPr>
        <w:t xml:space="preserve"> מק"ו</w:t>
      </w:r>
      <w:r w:rsidRPr="005C5D5B">
        <w:rPr>
          <w:rFonts w:asciiTheme="minorBidi" w:hAnsiTheme="minorBidi" w:cs="Arial" w:hint="cs"/>
          <w:rtl/>
        </w:rPr>
        <w:t>,</w:t>
      </w:r>
      <w:r w:rsidRPr="005C5D5B">
        <w:rPr>
          <w:rFonts w:asciiTheme="minorBidi" w:hAnsiTheme="minorBidi" w:cs="Arial"/>
          <w:rtl/>
        </w:rPr>
        <w:t xml:space="preserve"> דאפי' קדרה שאינה בת יומא שהיא מותרת אסורה משום גזירה אטו בת יומא</w:t>
      </w:r>
      <w:r w:rsidRPr="005C5D5B">
        <w:rPr>
          <w:rFonts w:asciiTheme="minorBidi" w:hAnsiTheme="minorBidi" w:cs="Arial" w:hint="cs"/>
          <w:rtl/>
        </w:rPr>
        <w:t>,</w:t>
      </w:r>
      <w:r w:rsidRPr="005C5D5B">
        <w:rPr>
          <w:rFonts w:asciiTheme="minorBidi" w:hAnsiTheme="minorBidi" w:cs="Arial"/>
          <w:rtl/>
        </w:rPr>
        <w:t xml:space="preserve"> כ"ש באותו כלי עצמו אע</w:t>
      </w:r>
      <w:r w:rsidRPr="005C5D5B">
        <w:rPr>
          <w:rFonts w:asciiTheme="minorBidi" w:hAnsiTheme="minorBidi" w:cs="Arial" w:hint="cs"/>
          <w:rtl/>
        </w:rPr>
        <w:t>"</w:t>
      </w:r>
      <w:r w:rsidRPr="005C5D5B">
        <w:rPr>
          <w:rFonts w:asciiTheme="minorBidi" w:hAnsiTheme="minorBidi" w:cs="Arial"/>
          <w:rtl/>
        </w:rPr>
        <w:t>פ שאין דרך להשתמש בו בהיתר מועט יש לנו לגזור אטו שמא ישתמש בהיתר מועט</w:t>
      </w:r>
      <w:r>
        <w:rPr>
          <w:rStyle w:val="a7"/>
          <w:rFonts w:asciiTheme="minorBidi" w:hAnsiTheme="minorBidi" w:cs="Arial"/>
          <w:rtl/>
        </w:rPr>
        <w:footnoteReference w:id="1922"/>
      </w:r>
      <w:r w:rsidRPr="005C5D5B">
        <w:rPr>
          <w:rFonts w:asciiTheme="minorBidi" w:hAnsiTheme="minorBidi" w:cs="Arial" w:hint="cs"/>
          <w:rtl/>
        </w:rPr>
        <w:t>.</w:t>
      </w:r>
      <w:r>
        <w:rPr>
          <w:rFonts w:asciiTheme="minorBidi" w:hAnsiTheme="minorBidi" w:hint="cs"/>
          <w:rtl/>
        </w:rPr>
        <w:t xml:space="preserve"> (וכ"פ ב"ח ט"ז</w:t>
      </w:r>
      <w:r>
        <w:rPr>
          <w:rStyle w:val="a7"/>
          <w:rFonts w:asciiTheme="minorBidi" w:hAnsiTheme="minorBidi"/>
          <w:rtl/>
        </w:rPr>
        <w:footnoteReference w:id="1923"/>
      </w:r>
      <w:r>
        <w:rPr>
          <w:rFonts w:asciiTheme="minorBidi" w:hAnsiTheme="minorBidi" w:hint="cs"/>
          <w:rtl/>
        </w:rPr>
        <w:t xml:space="preserve"> וש"ך) </w:t>
      </w:r>
    </w:p>
    <w:p w14:paraId="7073B66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229CC90" w14:textId="77777777" w:rsidR="002C39F4" w:rsidRPr="003024E5" w:rsidRDefault="002C39F4" w:rsidP="002C39F4">
      <w:pPr>
        <w:rPr>
          <w:rFonts w:asciiTheme="minorBidi" w:hAnsiTheme="minorBidi"/>
          <w:rtl/>
        </w:rPr>
      </w:pPr>
      <w:r w:rsidRPr="003024E5">
        <w:rPr>
          <w:rFonts w:asciiTheme="minorBidi" w:hAnsiTheme="minorBidi"/>
          <w:rtl/>
        </w:rPr>
        <w:t>אם נבלע איסור מועט לתוך כלי כשר, אם דרכו של אותו כלי להשתמש בו בשפע היתר מותר להשתמש בו לכתחלה, כיון שהאיסור מועט וא</w:t>
      </w:r>
      <w:r>
        <w:rPr>
          <w:rFonts w:asciiTheme="minorBidi" w:hAnsiTheme="minorBidi" w:hint="cs"/>
          <w:rtl/>
        </w:rPr>
        <w:t xml:space="preserve">י </w:t>
      </w:r>
      <w:r w:rsidRPr="003024E5">
        <w:rPr>
          <w:rFonts w:asciiTheme="minorBidi" w:hAnsiTheme="minorBidi"/>
          <w:rtl/>
        </w:rPr>
        <w:t>א</w:t>
      </w:r>
      <w:r>
        <w:rPr>
          <w:rFonts w:asciiTheme="minorBidi" w:hAnsiTheme="minorBidi" w:hint="cs"/>
          <w:rtl/>
        </w:rPr>
        <w:t>פשר</w:t>
      </w:r>
      <w:r w:rsidRPr="003024E5">
        <w:rPr>
          <w:rFonts w:asciiTheme="minorBidi" w:hAnsiTheme="minorBidi"/>
          <w:rtl/>
        </w:rPr>
        <w:t xml:space="preserve"> לבוא לידי נתינת טעם, ולפיכך איסור משהו שנבלע בקדרה או בתוך קנקנים וכיוצא בהם מותר להשתמש בו לכתחלה ואפילו בבן יומו לפי שא</w:t>
      </w:r>
      <w:r>
        <w:rPr>
          <w:rFonts w:asciiTheme="minorBidi" w:hAnsiTheme="minorBidi" w:hint="cs"/>
          <w:rtl/>
        </w:rPr>
        <w:t xml:space="preserve">י </w:t>
      </w:r>
      <w:r w:rsidRPr="003024E5">
        <w:rPr>
          <w:rFonts w:asciiTheme="minorBidi" w:hAnsiTheme="minorBidi"/>
          <w:rtl/>
        </w:rPr>
        <w:t>א</w:t>
      </w:r>
      <w:r>
        <w:rPr>
          <w:rFonts w:asciiTheme="minorBidi" w:hAnsiTheme="minorBidi" w:hint="cs"/>
          <w:rtl/>
        </w:rPr>
        <w:t>פשר</w:t>
      </w:r>
      <w:r w:rsidRPr="003024E5">
        <w:rPr>
          <w:rFonts w:asciiTheme="minorBidi" w:hAnsiTheme="minorBidi"/>
          <w:rtl/>
        </w:rPr>
        <w:t xml:space="preserve"> לבא לידי נתינת טעם</w:t>
      </w:r>
      <w:r>
        <w:rPr>
          <w:rFonts w:asciiTheme="minorBidi" w:hAnsiTheme="minorBidi" w:hint="cs"/>
          <w:rtl/>
        </w:rPr>
        <w:t>,</w:t>
      </w:r>
      <w:r w:rsidRPr="003024E5">
        <w:rPr>
          <w:rFonts w:asciiTheme="minorBidi" w:hAnsiTheme="minorBidi"/>
          <w:rtl/>
        </w:rPr>
        <w:t xml:space="preserve"> אבל אם נבלע בכלי שדרכו להשתמש לעתים בדבר מועט בקערה וכיוצא בה אסור להשתמש אפילו בשפע</w:t>
      </w:r>
      <w:r>
        <w:rPr>
          <w:rFonts w:asciiTheme="minorBidi" w:hAnsiTheme="minorBidi" w:hint="cs"/>
          <w:rtl/>
        </w:rPr>
        <w:t>,</w:t>
      </w:r>
      <w:r w:rsidRPr="003024E5">
        <w:rPr>
          <w:rFonts w:asciiTheme="minorBidi" w:hAnsiTheme="minorBidi"/>
          <w:rtl/>
        </w:rPr>
        <w:t xml:space="preserve"> גזירה שמא ישתמש בה בדבר מועט ויבא לידי נתינת טעם.</w:t>
      </w:r>
    </w:p>
    <w:p w14:paraId="389971E0"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71B275BD"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 בריה אפילו באלף לא בטיל, ובו ד' סעיפים. </w:t>
      </w:r>
    </w:p>
    <w:p w14:paraId="665BCBEB"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גדר בריה.</w:t>
      </w:r>
    </w:p>
    <w:p w14:paraId="6AAAE4BD" w14:textId="77777777" w:rsidR="002C39F4" w:rsidRDefault="002C39F4" w:rsidP="002C39F4">
      <w:pPr>
        <w:rPr>
          <w:rFonts w:cs="Arial"/>
          <w:rtl/>
        </w:rPr>
      </w:pPr>
      <w:r>
        <w:rPr>
          <w:rFonts w:cs="Arial" w:hint="cs"/>
          <w:b/>
          <w:bCs/>
          <w:rtl/>
        </w:rPr>
        <w:t xml:space="preserve">חולין צו ע"ב: </w:t>
      </w:r>
      <w:r w:rsidRPr="00733B74">
        <w:rPr>
          <w:rFonts w:cs="Arial"/>
          <w:u w:val="double"/>
          <w:rtl/>
        </w:rPr>
        <w:t>מתני'</w:t>
      </w:r>
      <w:r>
        <w:rPr>
          <w:rFonts w:cs="Arial" w:hint="cs"/>
          <w:rtl/>
        </w:rPr>
        <w:t>:</w:t>
      </w:r>
      <w:r w:rsidRPr="00733B74">
        <w:rPr>
          <w:rFonts w:cs="Arial"/>
          <w:rtl/>
        </w:rPr>
        <w:t xml:space="preserve"> גיד הנשה שנתבשל עם הגידים, בזמן שמכירו - בנותן טעם, ואם לאו - כולן אסורין</w:t>
      </w:r>
      <w:r>
        <w:rPr>
          <w:rFonts w:cs="Arial" w:hint="cs"/>
          <w:rtl/>
        </w:rPr>
        <w:t xml:space="preserve">...     </w:t>
      </w:r>
      <w:r w:rsidRPr="00733B74">
        <w:rPr>
          <w:rFonts w:cs="Arial" w:hint="cs"/>
          <w:u w:val="double"/>
          <w:rtl/>
        </w:rPr>
        <w:t>גמ'</w:t>
      </w:r>
      <w:r>
        <w:rPr>
          <w:rFonts w:cs="Arial" w:hint="cs"/>
          <w:sz w:val="14"/>
          <w:szCs w:val="14"/>
          <w:u w:val="double"/>
          <w:rtl/>
        </w:rPr>
        <w:t>(צט:)</w:t>
      </w:r>
      <w:r>
        <w:rPr>
          <w:rFonts w:cs="Arial" w:hint="cs"/>
          <w:rtl/>
        </w:rPr>
        <w:t>:</w:t>
      </w:r>
      <w:r w:rsidRPr="00733B74">
        <w:rPr>
          <w:rFonts w:cs="Arial"/>
          <w:rtl/>
        </w:rPr>
        <w:t xml:space="preserve"> גיד הנשה שנתבשל. וליבטול ברובא!</w:t>
      </w:r>
      <w:r w:rsidRPr="00733B74">
        <w:rPr>
          <w:rtl/>
        </w:rPr>
        <w:t xml:space="preserve"> </w:t>
      </w:r>
      <w:r w:rsidRPr="00733B74">
        <w:rPr>
          <w:rFonts w:cs="Arial"/>
          <w:rtl/>
        </w:rPr>
        <w:t>בריה שאני</w:t>
      </w:r>
      <w:r>
        <w:rPr>
          <w:rFonts w:cs="Arial" w:hint="cs"/>
          <w:rtl/>
        </w:rPr>
        <w:t>...</w:t>
      </w:r>
      <w:r w:rsidRPr="00977786">
        <w:rPr>
          <w:rFonts w:cs="Arial"/>
          <w:rtl/>
        </w:rPr>
        <w:t xml:space="preserve"> </w:t>
      </w:r>
      <w:r w:rsidRPr="007A62EB">
        <w:rPr>
          <w:rFonts w:cs="Arial" w:hint="cs"/>
          <w:sz w:val="14"/>
          <w:szCs w:val="14"/>
          <w:rtl/>
        </w:rPr>
        <w:t>(קב.)</w:t>
      </w:r>
      <w:r w:rsidRPr="007A62EB">
        <w:rPr>
          <w:rFonts w:cs="Arial" w:hint="cs"/>
          <w:rtl/>
        </w:rPr>
        <w:t xml:space="preserve"> </w:t>
      </w:r>
      <w:r w:rsidRPr="00977786">
        <w:rPr>
          <w:rFonts w:cs="Arial"/>
          <w:rtl/>
        </w:rPr>
        <w:t xml:space="preserve">תא שמע, </w:t>
      </w:r>
      <w:r w:rsidRPr="00977786">
        <w:rPr>
          <w:rFonts w:cs="Arial"/>
          <w:u w:val="single"/>
          <w:rtl/>
        </w:rPr>
        <w:t>דאמר רב</w:t>
      </w:r>
      <w:r w:rsidRPr="00977786">
        <w:rPr>
          <w:rFonts w:cs="Arial"/>
          <w:rtl/>
        </w:rPr>
        <w:t>: אכל צפור טהורה, בחייה - בכל שהוא</w:t>
      </w:r>
      <w:r>
        <w:rPr>
          <w:rStyle w:val="a7"/>
          <w:rFonts w:cs="Arial"/>
          <w:rtl/>
        </w:rPr>
        <w:footnoteReference w:id="1924"/>
      </w:r>
      <w:r w:rsidRPr="00977786">
        <w:rPr>
          <w:rFonts w:cs="Arial"/>
          <w:rtl/>
        </w:rPr>
        <w:t>, במיתתה - בכזית</w:t>
      </w:r>
      <w:r>
        <w:rPr>
          <w:rStyle w:val="a7"/>
          <w:rFonts w:cs="Arial"/>
          <w:rtl/>
        </w:rPr>
        <w:footnoteReference w:id="1925"/>
      </w:r>
      <w:r w:rsidRPr="00977786">
        <w:rPr>
          <w:rFonts w:cs="Arial"/>
          <w:rtl/>
        </w:rPr>
        <w:t>, וטמאה, בין בחייה בין במיתתה - בכל שהוא</w:t>
      </w:r>
      <w:r>
        <w:rPr>
          <w:rStyle w:val="a7"/>
          <w:rFonts w:cs="Arial"/>
          <w:rtl/>
        </w:rPr>
        <w:footnoteReference w:id="1926"/>
      </w:r>
      <w:r w:rsidRPr="00977786">
        <w:rPr>
          <w:rFonts w:cs="Arial"/>
          <w:rtl/>
        </w:rPr>
        <w:t>!</w:t>
      </w:r>
    </w:p>
    <w:p w14:paraId="391615DB" w14:textId="77777777" w:rsidR="002C39F4" w:rsidRDefault="002C39F4" w:rsidP="002C39F4">
      <w:pPr>
        <w:rPr>
          <w:rFonts w:cs="Arial"/>
          <w:rtl/>
        </w:rPr>
      </w:pPr>
      <w:r>
        <w:rPr>
          <w:rFonts w:cs="Arial" w:hint="cs"/>
          <w:b/>
          <w:bCs/>
          <w:rtl/>
        </w:rPr>
        <w:t xml:space="preserve">מכות יג ע"א: </w:t>
      </w:r>
      <w:r w:rsidRPr="00733B74">
        <w:rPr>
          <w:rFonts w:cs="Arial"/>
          <w:u w:val="double"/>
          <w:rtl/>
        </w:rPr>
        <w:t>מתני'</w:t>
      </w:r>
      <w:r>
        <w:rPr>
          <w:rFonts w:cs="Arial" w:hint="cs"/>
          <w:rtl/>
        </w:rPr>
        <w:t>:</w:t>
      </w:r>
      <w:r w:rsidRPr="00733B74">
        <w:rPr>
          <w:rFonts w:cs="Arial"/>
          <w:rtl/>
        </w:rPr>
        <w:t xml:space="preserve"> </w:t>
      </w:r>
      <w:r w:rsidRPr="00C12AC3">
        <w:rPr>
          <w:rFonts w:cs="Arial"/>
          <w:rtl/>
        </w:rPr>
        <w:t>ואלו הן הלוקין</w:t>
      </w:r>
      <w:r>
        <w:rPr>
          <w:rFonts w:cs="Arial" w:hint="cs"/>
          <w:rtl/>
        </w:rPr>
        <w:t xml:space="preserve">... </w:t>
      </w:r>
      <w:r w:rsidRPr="00C12AC3">
        <w:rPr>
          <w:rFonts w:cs="Arial"/>
          <w:rtl/>
        </w:rPr>
        <w:t xml:space="preserve">כמה יאכל מן הטבל ויהא חייב? </w:t>
      </w:r>
      <w:r w:rsidRPr="00A57B65">
        <w:rPr>
          <w:rFonts w:cs="Arial"/>
          <w:u w:val="single"/>
          <w:rtl/>
        </w:rPr>
        <w:t>רבי שמעון אומר</w:t>
      </w:r>
      <w:r w:rsidRPr="00C12AC3">
        <w:rPr>
          <w:rFonts w:cs="Arial"/>
          <w:rtl/>
        </w:rPr>
        <w:t xml:space="preserve">: כל שהוא, </w:t>
      </w:r>
      <w:r w:rsidRPr="00A57B65">
        <w:rPr>
          <w:rFonts w:cs="Arial"/>
          <w:u w:val="single"/>
          <w:rtl/>
        </w:rPr>
        <w:t>וחכמים אומרים</w:t>
      </w:r>
      <w:r w:rsidRPr="00C12AC3">
        <w:rPr>
          <w:rFonts w:cs="Arial"/>
          <w:rtl/>
        </w:rPr>
        <w:t xml:space="preserve">: כזית. </w:t>
      </w:r>
      <w:r w:rsidRPr="00A57B65">
        <w:rPr>
          <w:rFonts w:cs="Arial"/>
          <w:u w:val="single"/>
          <w:rtl/>
        </w:rPr>
        <w:t>אמר להן רבי שמעון</w:t>
      </w:r>
      <w:r w:rsidRPr="00C12AC3">
        <w:rPr>
          <w:rFonts w:cs="Arial"/>
          <w:rtl/>
        </w:rPr>
        <w:t xml:space="preserve">: אי אתם מודים לי באוכל נמלה כל שהוא שהוא חייב? </w:t>
      </w:r>
      <w:r w:rsidRPr="00A57B65">
        <w:rPr>
          <w:rFonts w:cs="Arial"/>
          <w:u w:val="single"/>
          <w:rtl/>
        </w:rPr>
        <w:t>אמרו לו</w:t>
      </w:r>
      <w:r w:rsidRPr="00C12AC3">
        <w:rPr>
          <w:rFonts w:cs="Arial"/>
          <w:rtl/>
        </w:rPr>
        <w:t xml:space="preserve">: מפני שהיא כברייתה. </w:t>
      </w:r>
      <w:r w:rsidRPr="00A57B65">
        <w:rPr>
          <w:rFonts w:cs="Arial"/>
          <w:u w:val="single"/>
          <w:rtl/>
        </w:rPr>
        <w:t>אמר</w:t>
      </w:r>
      <w:r w:rsidRPr="00C12AC3">
        <w:rPr>
          <w:rFonts w:cs="Arial"/>
          <w:rtl/>
        </w:rPr>
        <w:t xml:space="preserve"> </w:t>
      </w:r>
      <w:r w:rsidRPr="00A57B65">
        <w:rPr>
          <w:rFonts w:cs="Arial"/>
          <w:u w:val="single"/>
          <w:rtl/>
        </w:rPr>
        <w:t>להן</w:t>
      </w:r>
      <w:r w:rsidRPr="00C12AC3">
        <w:rPr>
          <w:rFonts w:cs="Arial"/>
          <w:rtl/>
        </w:rPr>
        <w:t>: אף חטה אחת כברייתה.</w:t>
      </w:r>
      <w:r>
        <w:rPr>
          <w:rFonts w:cs="Arial" w:hint="cs"/>
          <w:rtl/>
        </w:rPr>
        <w:t xml:space="preserve">... </w:t>
      </w:r>
      <w:r w:rsidRPr="006457FC">
        <w:rPr>
          <w:rFonts w:cs="Arial" w:hint="cs"/>
          <w:sz w:val="14"/>
          <w:szCs w:val="14"/>
          <w:rtl/>
        </w:rPr>
        <w:t>(יז.)</w:t>
      </w:r>
      <w:r>
        <w:rPr>
          <w:rFonts w:cs="Arial" w:hint="cs"/>
          <w:sz w:val="14"/>
          <w:szCs w:val="14"/>
          <w:rtl/>
        </w:rPr>
        <w:t xml:space="preserve"> </w:t>
      </w:r>
      <w:r w:rsidRPr="00C12AC3">
        <w:rPr>
          <w:rFonts w:cs="Arial"/>
          <w:rtl/>
        </w:rPr>
        <w:t>ורבנן? בריית נשמה חשובה, חטה לא חשובה.</w:t>
      </w:r>
    </w:p>
    <w:p w14:paraId="1F513B51" w14:textId="77777777" w:rsidR="002C39F4" w:rsidRPr="002909AB" w:rsidRDefault="002C39F4" w:rsidP="002C39F4">
      <w:pPr>
        <w:rPr>
          <w:rFonts w:cs="Arial"/>
          <w:u w:val="single"/>
          <w:rtl/>
        </w:rPr>
      </w:pPr>
      <w:r w:rsidRPr="002909AB">
        <w:rPr>
          <w:rFonts w:cs="Arial" w:hint="cs"/>
          <w:u w:val="single"/>
          <w:rtl/>
        </w:rPr>
        <w:t>מהו גדר בריה:</w:t>
      </w:r>
    </w:p>
    <w:p w14:paraId="0A5D5437" w14:textId="77777777" w:rsidR="002C39F4" w:rsidRPr="002909AB" w:rsidRDefault="002C39F4" w:rsidP="0032102C">
      <w:pPr>
        <w:pStyle w:val="a8"/>
        <w:numPr>
          <w:ilvl w:val="0"/>
          <w:numId w:val="195"/>
        </w:numPr>
        <w:rPr>
          <w:rFonts w:cs="Arial"/>
          <w:rtl/>
        </w:rPr>
      </w:pPr>
      <w:r w:rsidRPr="002909AB">
        <w:rPr>
          <w:rFonts w:cs="Arial"/>
          <w:rtl/>
        </w:rPr>
        <w:t>רש"י</w:t>
      </w:r>
      <w:r>
        <w:rPr>
          <w:rFonts w:cs="Arial" w:hint="cs"/>
          <w:sz w:val="16"/>
          <w:szCs w:val="16"/>
          <w:rtl/>
        </w:rPr>
        <w:t xml:space="preserve"> (חולין קב: ד"ה טמאה בין)</w:t>
      </w:r>
      <w:r w:rsidRPr="002909AB">
        <w:rPr>
          <w:rFonts w:cs="Arial" w:hint="cs"/>
          <w:rtl/>
        </w:rPr>
        <w:t>-</w:t>
      </w:r>
      <w:r w:rsidRPr="002909AB">
        <w:rPr>
          <w:rFonts w:cs="Arial"/>
          <w:rtl/>
        </w:rPr>
        <w:t xml:space="preserve"> </w:t>
      </w:r>
      <w:r w:rsidRPr="00977786">
        <w:rPr>
          <w:rFonts w:cs="Arial"/>
          <w:rtl/>
        </w:rPr>
        <w:t>נבלה ליכא לחיובי משום בריה</w:t>
      </w:r>
      <w:r>
        <w:rPr>
          <w:rFonts w:cs="Arial" w:hint="cs"/>
          <w:rtl/>
        </w:rPr>
        <w:t>,</w:t>
      </w:r>
      <w:r w:rsidRPr="00977786">
        <w:rPr>
          <w:rFonts w:cs="Arial"/>
          <w:rtl/>
        </w:rPr>
        <w:t xml:space="preserve"> דכשנבראת לא היה עליה שם נבלה</w:t>
      </w:r>
      <w:r>
        <w:rPr>
          <w:rStyle w:val="a7"/>
          <w:rFonts w:cs="Arial"/>
          <w:rtl/>
        </w:rPr>
        <w:footnoteReference w:id="1927"/>
      </w:r>
      <w:r w:rsidRPr="002909AB">
        <w:rPr>
          <w:rFonts w:cs="Arial" w:hint="cs"/>
          <w:rtl/>
        </w:rPr>
        <w:t>.</w:t>
      </w:r>
    </w:p>
    <w:p w14:paraId="397487E4" w14:textId="77777777" w:rsidR="002C39F4" w:rsidRDefault="002C39F4" w:rsidP="0032102C">
      <w:pPr>
        <w:pStyle w:val="a8"/>
        <w:numPr>
          <w:ilvl w:val="0"/>
          <w:numId w:val="195"/>
        </w:numPr>
        <w:rPr>
          <w:rFonts w:cs="Arial"/>
        </w:rPr>
      </w:pPr>
      <w:r w:rsidRPr="002909AB">
        <w:rPr>
          <w:rFonts w:cs="Arial"/>
          <w:rtl/>
        </w:rPr>
        <w:t>רא"ש</w:t>
      </w:r>
      <w:r>
        <w:rPr>
          <w:rStyle w:val="a7"/>
          <w:rFonts w:cs="Arial"/>
          <w:rtl/>
        </w:rPr>
        <w:footnoteReference w:id="1928"/>
      </w:r>
      <w:r w:rsidRPr="002909AB">
        <w:rPr>
          <w:rFonts w:cs="Arial"/>
          <w:rtl/>
        </w:rPr>
        <w:t xml:space="preserve"> </w:t>
      </w:r>
      <w:r w:rsidRPr="002909AB">
        <w:rPr>
          <w:rFonts w:cs="Arial"/>
          <w:sz w:val="16"/>
          <w:szCs w:val="16"/>
          <w:rtl/>
        </w:rPr>
        <w:t>(סי' לג)</w:t>
      </w:r>
      <w:r w:rsidRPr="002909AB">
        <w:rPr>
          <w:rFonts w:cs="Arial" w:hint="cs"/>
          <w:rtl/>
        </w:rPr>
        <w:t>-</w:t>
      </w:r>
      <w:r w:rsidRPr="002909AB">
        <w:rPr>
          <w:rFonts w:cs="Arial"/>
          <w:rtl/>
        </w:rPr>
        <w:t xml:space="preserve"> הא דגיד מקרי בריה וכן אבר מן החי ודג טמא ועוף טמא</w:t>
      </w:r>
      <w:r>
        <w:rPr>
          <w:rStyle w:val="a7"/>
          <w:rFonts w:cs="Arial"/>
          <w:rtl/>
        </w:rPr>
        <w:footnoteReference w:id="1929"/>
      </w:r>
      <w:r w:rsidRPr="002909AB">
        <w:rPr>
          <w:rFonts w:cs="Arial"/>
          <w:rtl/>
        </w:rPr>
        <w:t xml:space="preserve"> אבל לא עוף טהור מת</w:t>
      </w:r>
      <w:r>
        <w:rPr>
          <w:rFonts w:cs="Arial" w:hint="cs"/>
          <w:rtl/>
        </w:rPr>
        <w:t>...</w:t>
      </w:r>
      <w:r w:rsidRPr="002909AB">
        <w:rPr>
          <w:rFonts w:cs="Arial"/>
          <w:rtl/>
        </w:rPr>
        <w:t xml:space="preserve"> </w:t>
      </w:r>
      <w:r>
        <w:rPr>
          <w:rFonts w:cs="Arial" w:hint="cs"/>
          <w:rtl/>
        </w:rPr>
        <w:t>י"ל ד</w:t>
      </w:r>
      <w:r w:rsidRPr="002909AB">
        <w:rPr>
          <w:rFonts w:cs="Arial"/>
          <w:rtl/>
        </w:rPr>
        <w:t>כל דבר שאם יחלק אין שמו עליו נקרא בריה</w:t>
      </w:r>
      <w:r w:rsidRPr="002909AB">
        <w:rPr>
          <w:rFonts w:cs="Arial" w:hint="cs"/>
          <w:rtl/>
        </w:rPr>
        <w:t>,</w:t>
      </w:r>
      <w:r w:rsidRPr="002909AB">
        <w:rPr>
          <w:rFonts w:cs="Arial"/>
          <w:rtl/>
        </w:rPr>
        <w:t xml:space="preserve"> דעוף טמא שלם נקרא עוף</w:t>
      </w:r>
      <w:r w:rsidRPr="002909AB">
        <w:rPr>
          <w:rFonts w:cs="Arial" w:hint="cs"/>
          <w:rtl/>
        </w:rPr>
        <w:t>,</w:t>
      </w:r>
      <w:r w:rsidRPr="002909AB">
        <w:rPr>
          <w:rFonts w:cs="Arial"/>
          <w:rtl/>
        </w:rPr>
        <w:t xml:space="preserve"> וכשאין שלם אין קורין אותו עוף אלא חתיכת עוף טמא</w:t>
      </w:r>
      <w:r w:rsidRPr="002909AB">
        <w:rPr>
          <w:rFonts w:cs="Arial" w:hint="cs"/>
          <w:rtl/>
        </w:rPr>
        <w:t>,</w:t>
      </w:r>
      <w:r w:rsidRPr="002909AB">
        <w:rPr>
          <w:rFonts w:cs="Arial"/>
          <w:rtl/>
        </w:rPr>
        <w:t xml:space="preserve"> וכן גיד נקרא חתיכת גיד</w:t>
      </w:r>
      <w:r w:rsidRPr="002909AB">
        <w:rPr>
          <w:rFonts w:cs="Arial" w:hint="cs"/>
          <w:rtl/>
        </w:rPr>
        <w:t>,</w:t>
      </w:r>
      <w:r w:rsidRPr="002909AB">
        <w:rPr>
          <w:rFonts w:cs="Arial"/>
          <w:rtl/>
        </w:rPr>
        <w:t xml:space="preserve"> וכן אבר מן החי נקרא חתיכת אבר</w:t>
      </w:r>
      <w:r w:rsidRPr="002909AB">
        <w:rPr>
          <w:rFonts w:cs="Arial" w:hint="cs"/>
          <w:rtl/>
        </w:rPr>
        <w:t>,</w:t>
      </w:r>
      <w:r w:rsidRPr="002909AB">
        <w:rPr>
          <w:rFonts w:cs="Arial"/>
          <w:rtl/>
        </w:rPr>
        <w:t xml:space="preserve"> אבל נבלה אפילו חתוכה קרויה נבלה</w:t>
      </w:r>
      <w:r w:rsidRPr="002909AB">
        <w:rPr>
          <w:rFonts w:cs="Arial" w:hint="cs"/>
          <w:rtl/>
        </w:rPr>
        <w:t>,</w:t>
      </w:r>
      <w:r w:rsidRPr="002909AB">
        <w:rPr>
          <w:rFonts w:cs="Arial"/>
          <w:rtl/>
        </w:rPr>
        <w:t xml:space="preserve"> דכל דבר שנתנבל קרוי נבלה ואינו שם העצם</w:t>
      </w:r>
      <w:r>
        <w:rPr>
          <w:rStyle w:val="a7"/>
          <w:rFonts w:cs="Arial"/>
          <w:rtl/>
        </w:rPr>
        <w:footnoteReference w:id="1930"/>
      </w:r>
      <w:r>
        <w:rPr>
          <w:rFonts w:cs="Arial" w:hint="cs"/>
          <w:rtl/>
        </w:rPr>
        <w:t>.</w:t>
      </w:r>
      <w:r>
        <w:rPr>
          <w:rFonts w:asciiTheme="minorBidi" w:hAnsiTheme="minorBidi" w:hint="cs"/>
          <w:rtl/>
        </w:rPr>
        <w:t xml:space="preserve"> </w:t>
      </w:r>
      <w:r w:rsidRPr="00FB1869">
        <w:rPr>
          <w:rFonts w:asciiTheme="minorBidi" w:hAnsiTheme="minorBidi" w:hint="cs"/>
          <w:color w:val="E36C0A" w:themeColor="accent6" w:themeShade="BF"/>
          <w:rtl/>
        </w:rPr>
        <w:t>(וכ"פ בשו"ע)</w:t>
      </w:r>
    </w:p>
    <w:p w14:paraId="468DFB5D" w14:textId="77777777" w:rsidR="002C39F4" w:rsidRPr="0018343E" w:rsidRDefault="002C39F4" w:rsidP="0032102C">
      <w:pPr>
        <w:pStyle w:val="a8"/>
        <w:numPr>
          <w:ilvl w:val="0"/>
          <w:numId w:val="195"/>
        </w:numPr>
        <w:rPr>
          <w:rFonts w:cs="Arial"/>
        </w:rPr>
      </w:pPr>
      <w:r w:rsidRPr="00142FD3">
        <w:rPr>
          <w:rFonts w:cs="Arial"/>
          <w:rtl/>
        </w:rPr>
        <w:t xml:space="preserve">ר"ן </w:t>
      </w:r>
      <w:r w:rsidRPr="00C12AC3">
        <w:rPr>
          <w:rFonts w:cs="Arial"/>
          <w:sz w:val="16"/>
          <w:szCs w:val="16"/>
          <w:rtl/>
        </w:rPr>
        <w:t>(</w:t>
      </w:r>
      <w:r w:rsidRPr="00C12AC3">
        <w:rPr>
          <w:rFonts w:cs="Arial" w:hint="cs"/>
          <w:sz w:val="16"/>
          <w:szCs w:val="16"/>
          <w:rtl/>
        </w:rPr>
        <w:t>לו.</w:t>
      </w:r>
      <w:r w:rsidRPr="00C12AC3">
        <w:rPr>
          <w:rFonts w:cs="Arial"/>
          <w:sz w:val="16"/>
          <w:szCs w:val="16"/>
          <w:rtl/>
        </w:rPr>
        <w:t>)</w:t>
      </w:r>
      <w:r>
        <w:rPr>
          <w:rFonts w:cs="Arial" w:hint="cs"/>
          <w:rtl/>
        </w:rPr>
        <w:t>-</w:t>
      </w:r>
      <w:r w:rsidRPr="00142FD3">
        <w:rPr>
          <w:rFonts w:cs="Arial"/>
          <w:rtl/>
        </w:rPr>
        <w:t xml:space="preserve"> </w:t>
      </w:r>
      <w:r w:rsidRPr="0018343E">
        <w:rPr>
          <w:rFonts w:cs="Arial"/>
          <w:rtl/>
        </w:rPr>
        <w:t>והוי יודע דלא מיקרי בריה אלא בג' תנאים</w:t>
      </w:r>
      <w:r w:rsidRPr="0018343E">
        <w:rPr>
          <w:rFonts w:cs="Arial" w:hint="cs"/>
          <w:rtl/>
        </w:rPr>
        <w:t>,</w:t>
      </w:r>
      <w:r w:rsidRPr="0018343E">
        <w:rPr>
          <w:rFonts w:cs="Arial"/>
          <w:rtl/>
        </w:rPr>
        <w:t xml:space="preserve"> האחד שיהא איסורא מגופא</w:t>
      </w:r>
      <w:r w:rsidRPr="0018343E">
        <w:rPr>
          <w:rFonts w:cs="Arial" w:hint="cs"/>
          <w:rtl/>
        </w:rPr>
        <w:t>,</w:t>
      </w:r>
      <w:r w:rsidRPr="0018343E">
        <w:rPr>
          <w:rFonts w:cs="Arial"/>
          <w:rtl/>
        </w:rPr>
        <w:t xml:space="preserve"> השני שתהא ברית נשמה</w:t>
      </w:r>
      <w:r w:rsidRPr="0018343E">
        <w:rPr>
          <w:rFonts w:cs="Arial" w:hint="cs"/>
          <w:rtl/>
        </w:rPr>
        <w:t>,</w:t>
      </w:r>
      <w:r w:rsidRPr="0018343E">
        <w:rPr>
          <w:rFonts w:cs="Arial"/>
          <w:rtl/>
        </w:rPr>
        <w:t xml:space="preserve"> השלישי שתהא שלמה</w:t>
      </w:r>
      <w:r w:rsidRPr="0018343E">
        <w:rPr>
          <w:rFonts w:cs="Arial" w:hint="cs"/>
          <w:rtl/>
        </w:rPr>
        <w:t>.</w:t>
      </w:r>
      <w:r w:rsidRPr="0018343E">
        <w:rPr>
          <w:rFonts w:cs="Arial"/>
          <w:rtl/>
        </w:rPr>
        <w:t xml:space="preserve"> איסורא מגופא כיצד</w:t>
      </w:r>
      <w:r w:rsidRPr="0018343E">
        <w:rPr>
          <w:rFonts w:cs="Arial" w:hint="cs"/>
          <w:rtl/>
        </w:rPr>
        <w:t>,</w:t>
      </w:r>
      <w:r w:rsidRPr="0018343E">
        <w:rPr>
          <w:rFonts w:cs="Arial"/>
          <w:rtl/>
        </w:rPr>
        <w:t xml:space="preserve"> כגון גיד הנשה וכיוצא בו שהוא אסור מתחלת ברייתו</w:t>
      </w:r>
      <w:r w:rsidRPr="0018343E">
        <w:rPr>
          <w:rFonts w:cs="Arial" w:hint="cs"/>
          <w:rtl/>
        </w:rPr>
        <w:t>,</w:t>
      </w:r>
      <w:r w:rsidRPr="0018343E">
        <w:rPr>
          <w:rFonts w:cs="Arial"/>
          <w:rtl/>
        </w:rPr>
        <w:t xml:space="preserve"> אבל צפור טהורה וכיוצא בה שהיא מותרת א</w:t>
      </w:r>
      <w:r w:rsidRPr="0018343E">
        <w:rPr>
          <w:rFonts w:cs="Arial" w:hint="cs"/>
          <w:rtl/>
        </w:rPr>
        <w:t>ע"</w:t>
      </w:r>
      <w:r w:rsidRPr="0018343E">
        <w:rPr>
          <w:rFonts w:cs="Arial"/>
          <w:rtl/>
        </w:rPr>
        <w:t>פ שנתנבלה כיון שדבר אחר גרם לה ליאסר לאו בריה הוא</w:t>
      </w:r>
      <w:r>
        <w:rPr>
          <w:rStyle w:val="a7"/>
          <w:rFonts w:cs="Arial"/>
          <w:rtl/>
        </w:rPr>
        <w:footnoteReference w:id="1931"/>
      </w:r>
      <w:r w:rsidRPr="0018343E">
        <w:rPr>
          <w:rFonts w:cs="Arial" w:hint="cs"/>
          <w:rtl/>
        </w:rPr>
        <w:t xml:space="preserve">... </w:t>
      </w:r>
      <w:r w:rsidRPr="0018343E">
        <w:rPr>
          <w:rFonts w:cs="Arial"/>
          <w:rtl/>
        </w:rPr>
        <w:t>תנאי שני דהיינו ברית נשמה</w:t>
      </w:r>
      <w:r>
        <w:rPr>
          <w:rFonts w:cs="Arial" w:hint="cs"/>
          <w:rtl/>
        </w:rPr>
        <w:t>,</w:t>
      </w:r>
      <w:r w:rsidRPr="0018343E">
        <w:rPr>
          <w:rFonts w:cs="Arial"/>
          <w:rtl/>
        </w:rPr>
        <w:t xml:space="preserve"> כיצד</w:t>
      </w:r>
      <w:r>
        <w:rPr>
          <w:rFonts w:cs="Arial" w:hint="cs"/>
          <w:rtl/>
        </w:rPr>
        <w:t>,</w:t>
      </w:r>
      <w:r w:rsidRPr="0018343E">
        <w:rPr>
          <w:rFonts w:cs="Arial"/>
          <w:rtl/>
        </w:rPr>
        <w:t xml:space="preserve"> כגון צפור א</w:t>
      </w:r>
      <w:r>
        <w:rPr>
          <w:rFonts w:cs="Arial" w:hint="cs"/>
          <w:rtl/>
        </w:rPr>
        <w:t>"</w:t>
      </w:r>
      <w:r w:rsidRPr="0018343E">
        <w:rPr>
          <w:rFonts w:cs="Arial"/>
          <w:rtl/>
        </w:rPr>
        <w:t>נ גיד הנשה דהוה ביה חיותא אבל היכא דלאו ברית נשמה הוא אע</w:t>
      </w:r>
      <w:r w:rsidRPr="0018343E">
        <w:rPr>
          <w:rFonts w:cs="Arial" w:hint="cs"/>
          <w:rtl/>
        </w:rPr>
        <w:t>"</w:t>
      </w:r>
      <w:r w:rsidRPr="0018343E">
        <w:rPr>
          <w:rFonts w:cs="Arial"/>
          <w:rtl/>
        </w:rPr>
        <w:t>פ שהוא כברייתו כגון חטה וכיוצא בה לאו בריה הוא</w:t>
      </w:r>
      <w:r w:rsidRPr="0018343E">
        <w:rPr>
          <w:rFonts w:cs="Arial" w:hint="cs"/>
          <w:rtl/>
        </w:rPr>
        <w:t>..</w:t>
      </w:r>
      <w:r w:rsidRPr="0018343E">
        <w:rPr>
          <w:rFonts w:cs="Arial"/>
          <w:rtl/>
        </w:rPr>
        <w:t>. ומיהו חלב לא מיקרי בריה אע</w:t>
      </w:r>
      <w:r w:rsidRPr="0018343E">
        <w:rPr>
          <w:rFonts w:cs="Arial" w:hint="cs"/>
          <w:rtl/>
        </w:rPr>
        <w:t>"</w:t>
      </w:r>
      <w:r w:rsidRPr="0018343E">
        <w:rPr>
          <w:rFonts w:cs="Arial"/>
          <w:rtl/>
        </w:rPr>
        <w:t>פ שהוא ברית נשמה לפי שאין כולו במקום אחד ואינו כעין בריה שהיא מקובצת כאחד וזהו תנאי שני</w:t>
      </w:r>
      <w:r>
        <w:rPr>
          <w:rStyle w:val="a7"/>
          <w:rFonts w:cs="Arial"/>
          <w:rtl/>
        </w:rPr>
        <w:footnoteReference w:id="1932"/>
      </w:r>
      <w:r w:rsidRPr="0018343E">
        <w:rPr>
          <w:rFonts w:cs="Arial"/>
          <w:rtl/>
        </w:rPr>
        <w:t>. תנאי שלישי דהיינו שתהא שלמה</w:t>
      </w:r>
      <w:r>
        <w:rPr>
          <w:rStyle w:val="a7"/>
          <w:rFonts w:cs="Arial"/>
          <w:rtl/>
        </w:rPr>
        <w:footnoteReference w:id="1933"/>
      </w:r>
      <w:r>
        <w:rPr>
          <w:rFonts w:cs="Arial" w:hint="cs"/>
          <w:rtl/>
        </w:rPr>
        <w:t>,</w:t>
      </w:r>
      <w:r w:rsidRPr="0018343E">
        <w:rPr>
          <w:rFonts w:cs="Arial"/>
          <w:rtl/>
        </w:rPr>
        <w:t xml:space="preserve"> כיצד</w:t>
      </w:r>
      <w:r>
        <w:rPr>
          <w:rFonts w:cs="Arial" w:hint="cs"/>
          <w:rtl/>
        </w:rPr>
        <w:t>,</w:t>
      </w:r>
      <w:r w:rsidRPr="0018343E">
        <w:rPr>
          <w:rFonts w:cs="Arial"/>
          <w:rtl/>
        </w:rPr>
        <w:t xml:space="preserve"> שאילו נתרסק ממנה אבר אין תורת בריה עליה</w:t>
      </w:r>
      <w:r>
        <w:rPr>
          <w:rStyle w:val="a7"/>
          <w:rFonts w:cs="Arial"/>
          <w:rtl/>
        </w:rPr>
        <w:footnoteReference w:id="1934"/>
      </w:r>
      <w:r w:rsidRPr="0018343E">
        <w:rPr>
          <w:rFonts w:cs="Arial"/>
          <w:rtl/>
        </w:rPr>
        <w:t>.</w:t>
      </w:r>
      <w:r>
        <w:rPr>
          <w:rFonts w:asciiTheme="minorBidi" w:hAnsiTheme="minorBidi" w:hint="cs"/>
          <w:rtl/>
        </w:rPr>
        <w:t xml:space="preserve"> </w:t>
      </w:r>
      <w:r w:rsidRPr="00FB1869">
        <w:rPr>
          <w:rFonts w:asciiTheme="minorBidi" w:hAnsiTheme="minorBidi" w:hint="cs"/>
          <w:color w:val="E36C0A" w:themeColor="accent6" w:themeShade="BF"/>
          <w:rtl/>
        </w:rPr>
        <w:t>(וכ"פ בשו"ע)</w:t>
      </w:r>
    </w:p>
    <w:p w14:paraId="4FF0E7D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7FB00C4" w14:textId="77777777" w:rsidR="002C39F4" w:rsidRDefault="002C39F4" w:rsidP="002C39F4">
      <w:pPr>
        <w:rPr>
          <w:rFonts w:asciiTheme="minorBidi" w:hAnsiTheme="minorBidi"/>
          <w:rtl/>
        </w:rPr>
      </w:pPr>
      <w:r w:rsidRPr="003024E5">
        <w:rPr>
          <w:rFonts w:asciiTheme="minorBidi" w:hAnsiTheme="minorBidi"/>
          <w:rtl/>
        </w:rPr>
        <w:t>בריה, דהיינו כגון נמלה או עוף טמא וגיד הנשה ואבר מן החי וביצה שיש בה אפרוח</w:t>
      </w:r>
      <w:r>
        <w:rPr>
          <w:rStyle w:val="a7"/>
          <w:rFonts w:asciiTheme="minorBidi" w:hAnsiTheme="minorBidi"/>
          <w:rtl/>
        </w:rPr>
        <w:footnoteReference w:id="1935"/>
      </w:r>
      <w:r w:rsidRPr="003024E5">
        <w:rPr>
          <w:rFonts w:asciiTheme="minorBidi" w:hAnsiTheme="minorBidi"/>
          <w:rtl/>
        </w:rPr>
        <w:t xml:space="preserve"> וכיוצא בהם אפילו באלף לא בטל</w:t>
      </w:r>
      <w:r>
        <w:rPr>
          <w:rStyle w:val="a7"/>
          <w:rFonts w:asciiTheme="minorBidi" w:hAnsiTheme="minorBidi"/>
          <w:rtl/>
        </w:rPr>
        <w:footnoteReference w:id="1936"/>
      </w:r>
      <w:r>
        <w:rPr>
          <w:rFonts w:asciiTheme="minorBidi" w:hAnsiTheme="minorBidi" w:hint="cs"/>
          <w:rtl/>
        </w:rPr>
        <w:t>.</w:t>
      </w:r>
      <w:r w:rsidRPr="003024E5">
        <w:rPr>
          <w:rFonts w:asciiTheme="minorBidi" w:hAnsiTheme="minorBidi"/>
          <w:rtl/>
        </w:rPr>
        <w:t xml:space="preserve"> ואין לו דין בריה אלא אם כן הוא דבר שהיה בו חיות</w:t>
      </w:r>
      <w:r>
        <w:rPr>
          <w:rFonts w:asciiTheme="minorBidi" w:hAnsiTheme="minorBidi" w:hint="cs"/>
          <w:rtl/>
        </w:rPr>
        <w:t>,</w:t>
      </w:r>
      <w:r w:rsidRPr="003024E5">
        <w:rPr>
          <w:rFonts w:asciiTheme="minorBidi" w:hAnsiTheme="minorBidi"/>
          <w:rtl/>
        </w:rPr>
        <w:t xml:space="preserve"> לאפוקי חטה אחת של איסור</w:t>
      </w:r>
      <w:r>
        <w:rPr>
          <w:rFonts w:asciiTheme="minorBidi" w:hAnsiTheme="minorBidi" w:hint="cs"/>
          <w:rtl/>
        </w:rPr>
        <w:t>.</w:t>
      </w:r>
      <w:r w:rsidRPr="003024E5">
        <w:rPr>
          <w:rFonts w:asciiTheme="minorBidi" w:hAnsiTheme="minorBidi"/>
          <w:rtl/>
        </w:rPr>
        <w:t xml:space="preserve"> וכן צריך שיהא דבר שאסור מתחלת ברייתו</w:t>
      </w:r>
      <w:r>
        <w:rPr>
          <w:rFonts w:asciiTheme="minorBidi" w:hAnsiTheme="minorBidi" w:hint="cs"/>
          <w:rtl/>
        </w:rPr>
        <w:t>,</w:t>
      </w:r>
      <w:r w:rsidRPr="003024E5">
        <w:rPr>
          <w:rFonts w:asciiTheme="minorBidi" w:hAnsiTheme="minorBidi"/>
          <w:rtl/>
        </w:rPr>
        <w:t xml:space="preserve"> לאפוקי עוף טהור שנתנבל</w:t>
      </w:r>
      <w:r>
        <w:rPr>
          <w:rStyle w:val="a7"/>
          <w:rFonts w:asciiTheme="minorBidi" w:hAnsiTheme="minorBidi"/>
          <w:rtl/>
        </w:rPr>
        <w:footnoteReference w:id="1937"/>
      </w:r>
      <w:r w:rsidRPr="003024E5">
        <w:rPr>
          <w:rFonts w:asciiTheme="minorBidi" w:hAnsiTheme="minorBidi"/>
          <w:rtl/>
        </w:rPr>
        <w:t xml:space="preserve"> ושור הנסקל</w:t>
      </w:r>
      <w:r>
        <w:rPr>
          <w:rFonts w:asciiTheme="minorBidi" w:hAnsiTheme="minorBidi" w:hint="cs"/>
          <w:rtl/>
        </w:rPr>
        <w:t>.</w:t>
      </w:r>
      <w:r w:rsidRPr="003024E5">
        <w:rPr>
          <w:rFonts w:asciiTheme="minorBidi" w:hAnsiTheme="minorBidi"/>
          <w:rtl/>
        </w:rPr>
        <w:t xml:space="preserve"> וכן צריך שיהיה דבר שלם שאם יחלק אין שמו עליו</w:t>
      </w:r>
      <w:r>
        <w:rPr>
          <w:rFonts w:asciiTheme="minorBidi" w:hAnsiTheme="minorBidi" w:hint="cs"/>
          <w:rtl/>
        </w:rPr>
        <w:t>,</w:t>
      </w:r>
      <w:r w:rsidRPr="003024E5">
        <w:rPr>
          <w:rFonts w:asciiTheme="minorBidi" w:hAnsiTheme="minorBidi"/>
          <w:rtl/>
        </w:rPr>
        <w:t xml:space="preserve"> לאפוקי חלב</w:t>
      </w:r>
      <w:r>
        <w:rPr>
          <w:rStyle w:val="a7"/>
          <w:rFonts w:asciiTheme="minorBidi" w:hAnsiTheme="minorBidi"/>
          <w:rtl/>
        </w:rPr>
        <w:footnoteReference w:id="1938"/>
      </w:r>
      <w:r>
        <w:rPr>
          <w:rFonts w:asciiTheme="minorBidi" w:hAnsiTheme="minorBidi" w:hint="cs"/>
          <w:rtl/>
        </w:rPr>
        <w:t>.</w:t>
      </w:r>
      <w:r w:rsidRPr="003024E5">
        <w:rPr>
          <w:rFonts w:asciiTheme="minorBidi" w:hAnsiTheme="minorBidi"/>
          <w:rtl/>
        </w:rPr>
        <w:t xml:space="preserve"> וכן צריך שיהיה שלם. </w:t>
      </w:r>
      <w:r w:rsidRPr="00BD78AF">
        <w:rPr>
          <w:rFonts w:asciiTheme="minorBidi" w:hAnsiTheme="minorBidi"/>
          <w:sz w:val="18"/>
          <w:szCs w:val="18"/>
          <w:rtl/>
        </w:rPr>
        <w:t>הגה: ועיקר ג</w:t>
      </w:r>
      <w:r>
        <w:rPr>
          <w:rFonts w:asciiTheme="minorBidi" w:hAnsiTheme="minorBidi" w:hint="cs"/>
          <w:sz w:val="18"/>
          <w:szCs w:val="18"/>
          <w:rtl/>
        </w:rPr>
        <w:t xml:space="preserve">יד </w:t>
      </w:r>
      <w:r w:rsidRPr="00BD78AF">
        <w:rPr>
          <w:rFonts w:asciiTheme="minorBidi" w:hAnsiTheme="minorBidi"/>
          <w:sz w:val="18"/>
          <w:szCs w:val="18"/>
          <w:rtl/>
        </w:rPr>
        <w:t>הנ</w:t>
      </w:r>
      <w:r>
        <w:rPr>
          <w:rFonts w:asciiTheme="minorBidi" w:hAnsiTheme="minorBidi" w:hint="cs"/>
          <w:sz w:val="18"/>
          <w:szCs w:val="18"/>
          <w:rtl/>
        </w:rPr>
        <w:t>שה</w:t>
      </w:r>
      <w:r w:rsidRPr="00BD78AF">
        <w:rPr>
          <w:rFonts w:asciiTheme="minorBidi" w:hAnsiTheme="minorBidi"/>
          <w:sz w:val="18"/>
          <w:szCs w:val="18"/>
          <w:rtl/>
        </w:rPr>
        <w:t xml:space="preserve"> אינו אלא על הכף בלבד והוא כרוחב ד' אצבעות</w:t>
      </w:r>
      <w:r>
        <w:rPr>
          <w:rStyle w:val="a7"/>
          <w:rFonts w:asciiTheme="minorBidi" w:hAnsiTheme="minorBidi"/>
          <w:sz w:val="18"/>
          <w:szCs w:val="18"/>
          <w:rtl/>
        </w:rPr>
        <w:footnoteReference w:id="1939"/>
      </w:r>
      <w:r w:rsidRPr="00BD78AF">
        <w:rPr>
          <w:rFonts w:asciiTheme="minorBidi" w:hAnsiTheme="minorBidi"/>
          <w:sz w:val="18"/>
          <w:szCs w:val="18"/>
          <w:rtl/>
        </w:rPr>
        <w:t xml:space="preserve"> ואם הוא שלם מקרי בריה </w:t>
      </w:r>
      <w:r w:rsidRPr="00A57B65">
        <w:rPr>
          <w:rFonts w:asciiTheme="minorBidi" w:hAnsiTheme="minorBidi"/>
          <w:sz w:val="16"/>
          <w:szCs w:val="16"/>
          <w:rtl/>
        </w:rPr>
        <w:t xml:space="preserve">(ארוך </w:t>
      </w:r>
      <w:r>
        <w:rPr>
          <w:rFonts w:asciiTheme="minorBidi" w:hAnsiTheme="minorBidi" w:hint="cs"/>
          <w:sz w:val="16"/>
          <w:szCs w:val="16"/>
          <w:rtl/>
        </w:rPr>
        <w:t>כ</w:t>
      </w:r>
      <w:r w:rsidRPr="00A57B65">
        <w:rPr>
          <w:rFonts w:asciiTheme="minorBidi" w:hAnsiTheme="minorBidi"/>
          <w:sz w:val="16"/>
          <w:szCs w:val="16"/>
          <w:rtl/>
        </w:rPr>
        <w:t>כ</w:t>
      </w:r>
      <w:r>
        <w:rPr>
          <w:rFonts w:asciiTheme="minorBidi" w:hAnsiTheme="minorBidi" w:hint="cs"/>
          <w:sz w:val="16"/>
          <w:szCs w:val="16"/>
          <w:rtl/>
        </w:rPr>
        <w:t>"</w:t>
      </w:r>
      <w:r w:rsidRPr="00A57B65">
        <w:rPr>
          <w:rFonts w:asciiTheme="minorBidi" w:hAnsiTheme="minorBidi" w:hint="cs"/>
          <w:sz w:val="16"/>
          <w:szCs w:val="16"/>
          <w:rtl/>
        </w:rPr>
        <w:t>ה</w:t>
      </w:r>
      <w:r w:rsidRPr="00A57B65">
        <w:rPr>
          <w:rFonts w:asciiTheme="minorBidi" w:hAnsiTheme="minorBidi"/>
          <w:sz w:val="16"/>
          <w:szCs w:val="16"/>
          <w:rtl/>
        </w:rPr>
        <w:t xml:space="preserve"> </w:t>
      </w:r>
      <w:r w:rsidRPr="00A57B65">
        <w:rPr>
          <w:rFonts w:asciiTheme="minorBidi" w:hAnsiTheme="minorBidi" w:hint="cs"/>
          <w:sz w:val="16"/>
          <w:szCs w:val="16"/>
          <w:rtl/>
        </w:rPr>
        <w:t>די"ג</w:t>
      </w:r>
      <w:r w:rsidRPr="00A57B65">
        <w:rPr>
          <w:rFonts w:asciiTheme="minorBidi" w:hAnsiTheme="minorBidi"/>
          <w:sz w:val="16"/>
          <w:szCs w:val="16"/>
          <w:rtl/>
        </w:rPr>
        <w:t>)</w:t>
      </w:r>
      <w:r w:rsidRPr="00BD78AF">
        <w:rPr>
          <w:rFonts w:asciiTheme="minorBidi" w:hAnsiTheme="minorBidi"/>
          <w:sz w:val="18"/>
          <w:szCs w:val="18"/>
          <w:rtl/>
        </w:rPr>
        <w:t xml:space="preserve">. </w:t>
      </w:r>
    </w:p>
    <w:p w14:paraId="23593AFE" w14:textId="77777777" w:rsidR="002C39F4" w:rsidRPr="008F0131" w:rsidRDefault="002C39F4" w:rsidP="002C39F4">
      <w:pPr>
        <w:rPr>
          <w:rFonts w:asciiTheme="minorBidi" w:hAnsiTheme="minorBidi"/>
          <w:sz w:val="16"/>
          <w:szCs w:val="16"/>
          <w:rtl/>
        </w:rPr>
      </w:pPr>
      <w:r w:rsidRPr="008F0131">
        <w:rPr>
          <w:rFonts w:asciiTheme="minorBidi" w:hAnsiTheme="minorBidi" w:hint="cs"/>
          <w:u w:val="single"/>
          <w:rtl/>
        </w:rPr>
        <w:t>נמלים הגדלות בפירות ובקמח:</w:t>
      </w:r>
      <w:r>
        <w:rPr>
          <w:rFonts w:asciiTheme="minorBidi" w:hAnsiTheme="minorBidi" w:hint="cs"/>
          <w:sz w:val="16"/>
          <w:szCs w:val="16"/>
          <w:rtl/>
        </w:rPr>
        <w:t xml:space="preserve">   (פת"ש סק"א)</w:t>
      </w:r>
    </w:p>
    <w:p w14:paraId="3138E94F" w14:textId="77777777" w:rsidR="002C39F4" w:rsidRPr="00CB2853" w:rsidRDefault="002C39F4" w:rsidP="0032102C">
      <w:pPr>
        <w:pStyle w:val="a8"/>
        <w:numPr>
          <w:ilvl w:val="0"/>
          <w:numId w:val="263"/>
        </w:numPr>
        <w:rPr>
          <w:rFonts w:asciiTheme="minorBidi" w:hAnsiTheme="minorBidi"/>
        </w:rPr>
      </w:pPr>
      <w:r w:rsidRPr="008F0131">
        <w:rPr>
          <w:rFonts w:asciiTheme="minorBidi" w:hAnsiTheme="minorBidi" w:cs="Arial"/>
          <w:rtl/>
        </w:rPr>
        <w:t>כו"פ</w:t>
      </w:r>
      <w:r>
        <w:rPr>
          <w:rFonts w:asciiTheme="minorBidi" w:hAnsiTheme="minorBidi" w:cs="Arial" w:hint="cs"/>
          <w:rtl/>
        </w:rPr>
        <w:t xml:space="preserve">- </w:t>
      </w:r>
      <w:r w:rsidRPr="008F0131">
        <w:rPr>
          <w:rFonts w:asciiTheme="minorBidi" w:hAnsiTheme="minorBidi" w:cs="Arial"/>
          <w:rtl/>
        </w:rPr>
        <w:t>אף אם פירשו בטילים בס' דהרי הא דבריה אינה בטילה דוקא כשהוא אסור מתחלת ברייתו ונמלה אין אסור מתחלת ברייתו דהא קודם שפירשה היתה מותרת</w:t>
      </w:r>
      <w:r>
        <w:rPr>
          <w:rStyle w:val="a7"/>
          <w:rFonts w:asciiTheme="minorBidi" w:hAnsiTheme="minorBidi" w:cs="Arial"/>
          <w:rtl/>
        </w:rPr>
        <w:footnoteReference w:id="1940"/>
      </w:r>
      <w:r>
        <w:rPr>
          <w:rFonts w:asciiTheme="minorBidi" w:hAnsiTheme="minorBidi" w:cs="Arial" w:hint="cs"/>
          <w:rtl/>
        </w:rPr>
        <w:t>.</w:t>
      </w:r>
    </w:p>
    <w:p w14:paraId="6F5B36AA" w14:textId="77777777" w:rsidR="002C39F4" w:rsidRPr="008F0131" w:rsidRDefault="002C39F4" w:rsidP="0032102C">
      <w:pPr>
        <w:pStyle w:val="a8"/>
        <w:numPr>
          <w:ilvl w:val="0"/>
          <w:numId w:val="263"/>
        </w:numPr>
        <w:rPr>
          <w:rFonts w:asciiTheme="minorBidi" w:hAnsiTheme="minorBidi"/>
          <w:rtl/>
        </w:rPr>
      </w:pPr>
      <w:r w:rsidRPr="008F0131">
        <w:rPr>
          <w:rFonts w:asciiTheme="minorBidi" w:hAnsiTheme="minorBidi" w:cs="Arial"/>
          <w:rtl/>
        </w:rPr>
        <w:t>טור האבן</w:t>
      </w:r>
      <w:r w:rsidRPr="00CB2853">
        <w:rPr>
          <w:rFonts w:asciiTheme="minorBidi" w:hAnsiTheme="minorBidi" w:cs="Arial"/>
          <w:sz w:val="16"/>
          <w:szCs w:val="16"/>
          <w:rtl/>
        </w:rPr>
        <w:t xml:space="preserve"> </w:t>
      </w:r>
      <w:r w:rsidRPr="00CB2853">
        <w:rPr>
          <w:rFonts w:asciiTheme="minorBidi" w:hAnsiTheme="minorBidi" w:cs="Arial" w:hint="cs"/>
          <w:sz w:val="16"/>
          <w:szCs w:val="16"/>
          <w:rtl/>
        </w:rPr>
        <w:t>(</w:t>
      </w:r>
      <w:r w:rsidRPr="00CB2853">
        <w:rPr>
          <w:rFonts w:asciiTheme="minorBidi" w:hAnsiTheme="minorBidi" w:cs="Arial"/>
          <w:sz w:val="16"/>
          <w:szCs w:val="16"/>
          <w:rtl/>
        </w:rPr>
        <w:t>סי' כו</w:t>
      </w:r>
      <w:r w:rsidRPr="00CB2853">
        <w:rPr>
          <w:rFonts w:asciiTheme="minorBidi" w:hAnsiTheme="minorBidi" w:cs="Arial" w:hint="cs"/>
          <w:sz w:val="16"/>
          <w:szCs w:val="16"/>
          <w:rtl/>
        </w:rPr>
        <w:t>)</w:t>
      </w:r>
      <w:r>
        <w:rPr>
          <w:rFonts w:asciiTheme="minorBidi" w:hAnsiTheme="minorBidi" w:cs="Arial" w:hint="cs"/>
          <w:rtl/>
        </w:rPr>
        <w:t>-</w:t>
      </w:r>
      <w:r w:rsidRPr="008F0131">
        <w:rPr>
          <w:rFonts w:asciiTheme="minorBidi" w:hAnsiTheme="minorBidi" w:cs="Arial"/>
          <w:rtl/>
        </w:rPr>
        <w:t xml:space="preserve"> מקרי בריה ואינה בטילה</w:t>
      </w:r>
      <w:r>
        <w:rPr>
          <w:rFonts w:asciiTheme="minorBidi" w:hAnsiTheme="minorBidi" w:cs="Arial" w:hint="cs"/>
          <w:rtl/>
        </w:rPr>
        <w:t>.</w:t>
      </w:r>
      <w:r w:rsidRPr="008F0131">
        <w:rPr>
          <w:rFonts w:asciiTheme="minorBidi" w:hAnsiTheme="minorBidi" w:cs="Arial"/>
          <w:rtl/>
        </w:rPr>
        <w:t xml:space="preserve"> </w:t>
      </w:r>
    </w:p>
    <w:p w14:paraId="194D1617" w14:textId="77777777" w:rsidR="002C39F4" w:rsidRPr="008F0131" w:rsidRDefault="002C39F4" w:rsidP="002C39F4">
      <w:pPr>
        <w:rPr>
          <w:rFonts w:asciiTheme="minorBidi" w:hAnsiTheme="minorBidi"/>
          <w:rtl/>
        </w:rPr>
      </w:pPr>
    </w:p>
    <w:p w14:paraId="3D552D6C"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בריה שנתבשלה עם היתר.</w:t>
      </w:r>
    </w:p>
    <w:p w14:paraId="07BC6380" w14:textId="77777777" w:rsidR="002C39F4" w:rsidRPr="003757D2" w:rsidRDefault="002C39F4" w:rsidP="002C39F4">
      <w:pPr>
        <w:rPr>
          <w:rFonts w:cs="Arial"/>
          <w:u w:val="single"/>
        </w:rPr>
      </w:pPr>
      <w:r w:rsidRPr="003757D2">
        <w:rPr>
          <w:rFonts w:cs="Arial" w:hint="cs"/>
          <w:u w:val="single"/>
          <w:rtl/>
        </w:rPr>
        <w:t>ביטול בריה:</w:t>
      </w:r>
    </w:p>
    <w:p w14:paraId="6141E21E" w14:textId="77777777" w:rsidR="002C39F4" w:rsidRPr="003757D2" w:rsidRDefault="002C39F4" w:rsidP="0032102C">
      <w:pPr>
        <w:pStyle w:val="a8"/>
        <w:numPr>
          <w:ilvl w:val="0"/>
          <w:numId w:val="198"/>
        </w:numPr>
      </w:pPr>
      <w:r>
        <w:rPr>
          <w:rFonts w:cs="Arial" w:hint="cs"/>
          <w:rtl/>
        </w:rPr>
        <w:t xml:space="preserve">רא"ש </w:t>
      </w:r>
      <w:r w:rsidRPr="003757D2">
        <w:rPr>
          <w:rFonts w:cs="Arial"/>
          <w:sz w:val="16"/>
          <w:szCs w:val="16"/>
          <w:rtl/>
        </w:rPr>
        <w:t xml:space="preserve">(סי' לג) </w:t>
      </w:r>
      <w:r>
        <w:rPr>
          <w:rFonts w:cs="Arial" w:hint="cs"/>
          <w:rtl/>
        </w:rPr>
        <w:t xml:space="preserve">ור"ן </w:t>
      </w:r>
      <w:r w:rsidRPr="009A1D60">
        <w:rPr>
          <w:rFonts w:cs="Arial"/>
          <w:sz w:val="16"/>
          <w:szCs w:val="16"/>
          <w:rtl/>
        </w:rPr>
        <w:t>(לו:)</w:t>
      </w:r>
      <w:r w:rsidRPr="00D94B79">
        <w:rPr>
          <w:rFonts w:cs="Arial" w:hint="cs"/>
          <w:rtl/>
        </w:rPr>
        <w:t xml:space="preserve">- </w:t>
      </w:r>
      <w:r w:rsidRPr="00D94B79">
        <w:rPr>
          <w:rFonts w:cs="Arial"/>
          <w:rtl/>
        </w:rPr>
        <w:t>אם אינו מכירו הכל אסור אפילו הן אלף</w:t>
      </w:r>
      <w:r>
        <w:rPr>
          <w:rFonts w:cs="Arial" w:hint="cs"/>
          <w:rtl/>
        </w:rPr>
        <w:t>.</w:t>
      </w:r>
      <w:r>
        <w:rPr>
          <w:rFonts w:hint="cs"/>
          <w:rtl/>
        </w:rPr>
        <w:t xml:space="preserve">  </w:t>
      </w:r>
    </w:p>
    <w:p w14:paraId="378C70B7" w14:textId="77777777" w:rsidR="002C39F4" w:rsidRPr="003757D2" w:rsidRDefault="002C39F4" w:rsidP="0032102C">
      <w:pPr>
        <w:pStyle w:val="a8"/>
        <w:numPr>
          <w:ilvl w:val="0"/>
          <w:numId w:val="198"/>
        </w:numPr>
      </w:pPr>
      <w:r>
        <w:rPr>
          <w:rFonts w:cs="Arial" w:hint="cs"/>
          <w:rtl/>
        </w:rPr>
        <w:t xml:space="preserve">רבנו שמשון </w:t>
      </w:r>
      <w:r w:rsidRPr="009A1D60">
        <w:rPr>
          <w:rFonts w:cs="Arial" w:hint="cs"/>
          <w:sz w:val="16"/>
          <w:szCs w:val="16"/>
          <w:rtl/>
        </w:rPr>
        <w:t>(תרומות פ"י)</w:t>
      </w:r>
      <w:r>
        <w:rPr>
          <w:rFonts w:cs="Arial" w:hint="cs"/>
          <w:rtl/>
        </w:rPr>
        <w:t xml:space="preserve"> ורשב"א </w:t>
      </w:r>
      <w:r w:rsidRPr="009A1D60">
        <w:rPr>
          <w:rFonts w:cs="Arial" w:hint="cs"/>
          <w:sz w:val="16"/>
          <w:szCs w:val="16"/>
          <w:rtl/>
        </w:rPr>
        <w:t>(תוה"א</w:t>
      </w:r>
      <w:r w:rsidRPr="009A1D60">
        <w:rPr>
          <w:rFonts w:cs="Arial"/>
          <w:sz w:val="16"/>
          <w:szCs w:val="16"/>
          <w:rtl/>
        </w:rPr>
        <w:t xml:space="preserve"> ב"ד ש"א יד ע"ג)</w:t>
      </w:r>
      <w:r>
        <w:rPr>
          <w:rFonts w:cs="Arial" w:hint="cs"/>
          <w:rtl/>
        </w:rPr>
        <w:t>- בריה בטלה בתתק"ס</w:t>
      </w:r>
      <w:r>
        <w:rPr>
          <w:rStyle w:val="a7"/>
          <w:rFonts w:cs="Arial"/>
          <w:rtl/>
        </w:rPr>
        <w:footnoteReference w:id="1941"/>
      </w:r>
      <w:r w:rsidRPr="003757D2">
        <w:rPr>
          <w:rFonts w:cs="Arial" w:hint="cs"/>
          <w:sz w:val="16"/>
          <w:szCs w:val="16"/>
          <w:rtl/>
        </w:rPr>
        <w:t>(960)</w:t>
      </w:r>
      <w:r>
        <w:rPr>
          <w:rFonts w:cs="Arial" w:hint="cs"/>
          <w:rtl/>
        </w:rPr>
        <w:t>.</w:t>
      </w:r>
      <w:r w:rsidRPr="003757D2">
        <w:rPr>
          <w:rFonts w:cs="Arial"/>
          <w:rtl/>
        </w:rPr>
        <w:t xml:space="preserve"> </w:t>
      </w:r>
    </w:p>
    <w:p w14:paraId="21CCF1D3" w14:textId="77777777" w:rsidR="002C39F4" w:rsidRDefault="002C39F4" w:rsidP="0032102C">
      <w:pPr>
        <w:pStyle w:val="a8"/>
        <w:numPr>
          <w:ilvl w:val="1"/>
          <w:numId w:val="198"/>
        </w:numPr>
      </w:pPr>
      <w:r>
        <w:rPr>
          <w:rFonts w:cs="Arial" w:hint="cs"/>
          <w:rtl/>
        </w:rPr>
        <w:t xml:space="preserve">ב"י- </w:t>
      </w:r>
      <w:r w:rsidRPr="003757D2">
        <w:rPr>
          <w:rFonts w:cs="Arial"/>
          <w:rtl/>
        </w:rPr>
        <w:t>ולענין הלכה כיון שהתוספות והרא"ש והר"ן מסכימים לאסור וגם דעת הרי"ף והרמב"ם נראה כן מדלא הזכירו דבר זה הכי נקטינן</w:t>
      </w:r>
      <w:r>
        <w:rPr>
          <w:rStyle w:val="a7"/>
          <w:rFonts w:cs="Arial"/>
          <w:rtl/>
        </w:rPr>
        <w:footnoteReference w:id="1942"/>
      </w:r>
      <w:r>
        <w:rPr>
          <w:rFonts w:cs="Arial" w:hint="cs"/>
          <w:rtl/>
        </w:rPr>
        <w:t>.</w:t>
      </w:r>
      <w:r w:rsidRPr="003757D2">
        <w:rPr>
          <w:rFonts w:cs="Arial"/>
          <w:rtl/>
        </w:rPr>
        <w:t xml:space="preserve"> </w:t>
      </w:r>
    </w:p>
    <w:p w14:paraId="4E660138" w14:textId="77777777" w:rsidR="002C39F4" w:rsidRPr="003162F7" w:rsidRDefault="002C39F4" w:rsidP="002C39F4">
      <w:pPr>
        <w:rPr>
          <w:rFonts w:cs="Arial"/>
          <w:rtl/>
        </w:rPr>
      </w:pPr>
      <w:r>
        <w:rPr>
          <w:rFonts w:cs="Arial" w:hint="cs"/>
          <w:b/>
          <w:bCs/>
          <w:rtl/>
        </w:rPr>
        <w:t xml:space="preserve">חולין צו ע"ב: </w:t>
      </w:r>
      <w:r w:rsidRPr="00733B74">
        <w:rPr>
          <w:rFonts w:cs="Arial"/>
          <w:u w:val="double"/>
          <w:rtl/>
        </w:rPr>
        <w:t>מתני'</w:t>
      </w:r>
      <w:r>
        <w:rPr>
          <w:rFonts w:cs="Arial" w:hint="cs"/>
          <w:rtl/>
        </w:rPr>
        <w:t>:</w:t>
      </w:r>
      <w:r w:rsidRPr="00733B74">
        <w:rPr>
          <w:rFonts w:cs="Arial"/>
          <w:rtl/>
        </w:rPr>
        <w:t xml:space="preserve"> </w:t>
      </w:r>
      <w:r w:rsidRPr="00826091">
        <w:rPr>
          <w:rFonts w:cs="Arial"/>
          <w:rtl/>
        </w:rPr>
        <w:t>ירך שנתבשל בה גיד הנשה, אם יש בה בנותן טעם הרי זו אסורה. כיצד משערין אותה</w:t>
      </w:r>
      <w:r>
        <w:rPr>
          <w:rFonts w:cs="Arial" w:hint="cs"/>
          <w:rtl/>
        </w:rPr>
        <w:t xml:space="preserve"> -</w:t>
      </w:r>
      <w:r w:rsidRPr="00826091">
        <w:rPr>
          <w:rFonts w:cs="Arial"/>
          <w:rtl/>
        </w:rPr>
        <w:t xml:space="preserve"> כבשר בלפת. גיד הנשה שנתבשל עם הגידים, בזמן שמכירו</w:t>
      </w:r>
      <w:r>
        <w:rPr>
          <w:rFonts w:cs="Arial" w:hint="cs"/>
          <w:rtl/>
        </w:rPr>
        <w:t xml:space="preserve"> -</w:t>
      </w:r>
      <w:r w:rsidRPr="00826091">
        <w:rPr>
          <w:rFonts w:cs="Arial"/>
          <w:rtl/>
        </w:rPr>
        <w:t xml:space="preserve"> בנותן טעם, ואם לאו</w:t>
      </w:r>
      <w:r>
        <w:rPr>
          <w:rFonts w:cs="Arial" w:hint="cs"/>
          <w:rtl/>
        </w:rPr>
        <w:t xml:space="preserve"> </w:t>
      </w:r>
      <w:r w:rsidRPr="00826091">
        <w:rPr>
          <w:rFonts w:cs="Arial"/>
          <w:rtl/>
        </w:rPr>
        <w:t>- כולן אסורין, והרוטב בנותן טעם</w:t>
      </w:r>
      <w:r>
        <w:rPr>
          <w:rFonts w:cs="Arial" w:hint="cs"/>
          <w:rtl/>
        </w:rPr>
        <w:t xml:space="preserve">...      </w:t>
      </w:r>
      <w:r>
        <w:rPr>
          <w:rFonts w:cs="Arial" w:hint="cs"/>
          <w:u w:val="double"/>
          <w:rtl/>
        </w:rPr>
        <w:t>גמ'</w:t>
      </w:r>
      <w:r w:rsidRPr="00A57B65">
        <w:rPr>
          <w:rFonts w:cs="Arial" w:hint="cs"/>
          <w:sz w:val="14"/>
          <w:szCs w:val="14"/>
          <w:u w:val="double"/>
          <w:rtl/>
        </w:rPr>
        <w:t>(יז.)</w:t>
      </w:r>
      <w:r>
        <w:rPr>
          <w:rFonts w:cs="Arial" w:hint="cs"/>
          <w:u w:val="double"/>
          <w:rtl/>
        </w:rPr>
        <w:t>:</w:t>
      </w:r>
      <w:r>
        <w:rPr>
          <w:rFonts w:cs="Arial" w:hint="cs"/>
          <w:rtl/>
        </w:rPr>
        <w:t xml:space="preserve"> </w:t>
      </w:r>
      <w:r w:rsidRPr="00826091">
        <w:rPr>
          <w:rFonts w:cs="Arial"/>
          <w:rtl/>
        </w:rPr>
        <w:t xml:space="preserve">כיצד משערינן. </w:t>
      </w:r>
      <w:r w:rsidRPr="00826091">
        <w:rPr>
          <w:rFonts w:cs="Arial"/>
          <w:u w:val="single"/>
          <w:rtl/>
        </w:rPr>
        <w:t>אמר רב הונא</w:t>
      </w:r>
      <w:r w:rsidRPr="00826091">
        <w:rPr>
          <w:rFonts w:cs="Arial"/>
          <w:rtl/>
        </w:rPr>
        <w:t>: כבשר בראשי לפתות</w:t>
      </w:r>
      <w:r>
        <w:rPr>
          <w:rStyle w:val="a7"/>
          <w:rFonts w:cs="Arial"/>
          <w:rtl/>
        </w:rPr>
        <w:footnoteReference w:id="1943"/>
      </w:r>
      <w:r w:rsidRPr="00826091">
        <w:rPr>
          <w:rFonts w:cs="Arial"/>
          <w:rtl/>
        </w:rPr>
        <w:t xml:space="preserve">. מתני' דלא כהאי תנא, דתניא, </w:t>
      </w:r>
      <w:r w:rsidRPr="00826091">
        <w:rPr>
          <w:rFonts w:cs="Arial"/>
          <w:u w:val="single"/>
          <w:rtl/>
        </w:rPr>
        <w:t>רבי ישמעאל בנו של רבי יוחנן בן ברוקה אומר</w:t>
      </w:r>
      <w:r w:rsidRPr="00826091">
        <w:rPr>
          <w:rFonts w:cs="Arial"/>
          <w:rtl/>
        </w:rPr>
        <w:t>: אין בגידין בנותן טעם. ההוא דאתא לקמיה דרבי חנינא, הוה יתיב רבי יהודה בר זבינא אבבא, כי נפק אמר ליה: מאי אמר לך? אמר ליה: שריא ניהליה, אמר ליה: הדר עייליה לקמיה! אמר: מאן האי דקא מצער לי? זיל אימא ליה למאן דיתיב אבבא אין בגידין בנותן טעם. כי אתו לקמיה דרבי אמי, משדר להו לקמיה דרבי יצחק בן חלוב, דמורי בה להיתירא משום דרבי יהושע בן לוי, וליה לא סבירא ליה. והלכתא: אין בגידין בנותן טעם.</w:t>
      </w:r>
      <w:r>
        <w:rPr>
          <w:rFonts w:cs="Arial"/>
          <w:rtl/>
        </w:rPr>
        <w:t xml:space="preserve"> </w:t>
      </w:r>
      <w:r w:rsidRPr="003162F7">
        <w:rPr>
          <w:rFonts w:cs="Arial" w:hint="cs"/>
          <w:sz w:val="16"/>
          <w:szCs w:val="16"/>
          <w:rtl/>
        </w:rPr>
        <w:t>(</w:t>
      </w:r>
      <w:r w:rsidRPr="003162F7">
        <w:rPr>
          <w:rFonts w:cs="Arial"/>
          <w:sz w:val="16"/>
          <w:szCs w:val="16"/>
          <w:rtl/>
        </w:rPr>
        <w:t>ואע</w:t>
      </w:r>
      <w:r w:rsidRPr="003162F7">
        <w:rPr>
          <w:rFonts w:cs="Arial" w:hint="cs"/>
          <w:sz w:val="16"/>
          <w:szCs w:val="16"/>
          <w:rtl/>
        </w:rPr>
        <w:t>"</w:t>
      </w:r>
      <w:r w:rsidRPr="003162F7">
        <w:rPr>
          <w:rFonts w:cs="Arial"/>
          <w:sz w:val="16"/>
          <w:szCs w:val="16"/>
          <w:rtl/>
        </w:rPr>
        <w:t>ג דההיא מתניתין ואידך מתניתין דגיד הנשה שנתבשל עם הגידים סברי דטעם גיד הנשה אוסר לא קי"ל הכי דהא איפסיקא הילכתא דאין בגידין בנותן טעם</w:t>
      </w:r>
      <w:r w:rsidRPr="003162F7">
        <w:rPr>
          <w:rFonts w:cs="Arial" w:hint="cs"/>
          <w:sz w:val="16"/>
          <w:szCs w:val="16"/>
          <w:rtl/>
        </w:rPr>
        <w:t>, ב"י)</w:t>
      </w:r>
    </w:p>
    <w:p w14:paraId="3A49ABD1" w14:textId="77777777" w:rsidR="002C39F4" w:rsidRPr="00D94B79" w:rsidRDefault="002C39F4" w:rsidP="002C39F4">
      <w:pPr>
        <w:rPr>
          <w:rFonts w:cs="Arial"/>
          <w:u w:val="single"/>
          <w:rtl/>
        </w:rPr>
      </w:pPr>
      <w:r w:rsidRPr="00D94B79">
        <w:rPr>
          <w:rFonts w:cs="Arial" w:hint="cs"/>
          <w:u w:val="single"/>
          <w:rtl/>
        </w:rPr>
        <w:t>בריה שנתבשלה עם היתר:</w:t>
      </w:r>
    </w:p>
    <w:p w14:paraId="37514F09" w14:textId="77777777" w:rsidR="002C39F4" w:rsidRPr="00E35168" w:rsidRDefault="002C39F4" w:rsidP="0032102C">
      <w:pPr>
        <w:pStyle w:val="a8"/>
        <w:numPr>
          <w:ilvl w:val="0"/>
          <w:numId w:val="198"/>
        </w:numPr>
        <w:rPr>
          <w:rFonts w:cs="Arial"/>
        </w:rPr>
      </w:pPr>
      <w:r w:rsidRPr="00D94B79">
        <w:rPr>
          <w:rFonts w:cs="Arial" w:hint="cs"/>
          <w:rtl/>
        </w:rPr>
        <w:t xml:space="preserve">טור- </w:t>
      </w:r>
      <w:r w:rsidRPr="00D94B79">
        <w:rPr>
          <w:rFonts w:cs="Arial"/>
          <w:rtl/>
        </w:rPr>
        <w:t>אם אינו מכירו הכל אסו</w:t>
      </w:r>
      <w:r>
        <w:rPr>
          <w:rFonts w:cs="Arial" w:hint="cs"/>
          <w:rtl/>
        </w:rPr>
        <w:t>ר אפילו הן אלף,</w:t>
      </w:r>
      <w:r w:rsidRPr="00D94B79">
        <w:rPr>
          <w:rFonts w:cs="Arial"/>
          <w:rtl/>
        </w:rPr>
        <w:t xml:space="preserve"> אבל הרוטב תלוי בנתינת טעם</w:t>
      </w:r>
      <w:r>
        <w:rPr>
          <w:rFonts w:cs="Arial" w:hint="cs"/>
          <w:rtl/>
        </w:rPr>
        <w:t>,</w:t>
      </w:r>
      <w:r w:rsidRPr="00D94B79">
        <w:rPr>
          <w:rFonts w:cs="Arial"/>
          <w:rtl/>
        </w:rPr>
        <w:t xml:space="preserve"> שאם יש בהיתר ס' כנגד הבריה הרוטב מותר</w:t>
      </w:r>
      <w:r>
        <w:rPr>
          <w:rFonts w:cs="Arial" w:hint="cs"/>
          <w:rtl/>
        </w:rPr>
        <w:t>,</w:t>
      </w:r>
      <w:r w:rsidRPr="00D94B79">
        <w:rPr>
          <w:rFonts w:cs="Arial"/>
          <w:rtl/>
        </w:rPr>
        <w:t xml:space="preserve"> שאע"פ שעיקרו אינו בטל טעמו בטל</w:t>
      </w:r>
      <w:r>
        <w:rPr>
          <w:rFonts w:cs="Arial" w:hint="cs"/>
          <w:rtl/>
        </w:rPr>
        <w:t>,</w:t>
      </w:r>
      <w:r w:rsidRPr="00D94B79">
        <w:rPr>
          <w:rFonts w:cs="Arial"/>
          <w:rtl/>
        </w:rPr>
        <w:t xml:space="preserve"> ואם מכירו זורקו והאחרים והרוטב תלויין בנתינת טעם שאם יש בכל ס' כנגד הבריה מותר ואם לאו אסורין</w:t>
      </w:r>
      <w:r>
        <w:rPr>
          <w:rFonts w:cs="Arial" w:hint="cs"/>
          <w:rtl/>
        </w:rPr>
        <w:t xml:space="preserve">, </w:t>
      </w:r>
      <w:r w:rsidRPr="00D94B79">
        <w:rPr>
          <w:rFonts w:cs="Arial"/>
          <w:rtl/>
        </w:rPr>
        <w:t>חוץ מגיד הנשה שאין טעמו אוסר דקיי</w:t>
      </w:r>
      <w:r w:rsidRPr="00D94B79">
        <w:rPr>
          <w:rFonts w:cs="Arial" w:hint="cs"/>
          <w:rtl/>
        </w:rPr>
        <w:t>"</w:t>
      </w:r>
      <w:r w:rsidRPr="00D94B79">
        <w:rPr>
          <w:rFonts w:cs="Arial"/>
          <w:rtl/>
        </w:rPr>
        <w:t>ל אין בגידין בנותן טעם</w:t>
      </w:r>
      <w:r>
        <w:rPr>
          <w:rFonts w:cs="Arial" w:hint="cs"/>
          <w:rtl/>
        </w:rPr>
        <w:t>.</w:t>
      </w:r>
      <w:r w:rsidRPr="00D94B79">
        <w:rPr>
          <w:rFonts w:cs="Arial"/>
          <w:rtl/>
        </w:rPr>
        <w:t xml:space="preserve"> </w:t>
      </w:r>
    </w:p>
    <w:p w14:paraId="4551EB81" w14:textId="77777777" w:rsidR="002C39F4" w:rsidRPr="00846DFC" w:rsidRDefault="002C39F4" w:rsidP="002C39F4">
      <w:pPr>
        <w:rPr>
          <w:u w:val="single"/>
        </w:rPr>
      </w:pPr>
      <w:r w:rsidRPr="00846DFC">
        <w:rPr>
          <w:rFonts w:cs="Arial"/>
          <w:u w:val="single"/>
          <w:rtl/>
        </w:rPr>
        <w:t>חתיכה שיש בה שמנו של גיד שנתבשלה בקדרה עם חתיכות של היתר ויש בהיתר ששים לבטל את האיסור</w:t>
      </w:r>
      <w:r w:rsidRPr="00846DFC">
        <w:rPr>
          <w:rFonts w:cs="Arial" w:hint="cs"/>
          <w:u w:val="single"/>
          <w:rtl/>
        </w:rPr>
        <w:t>:</w:t>
      </w:r>
    </w:p>
    <w:p w14:paraId="72C48888" w14:textId="77777777" w:rsidR="002C39F4" w:rsidRPr="003757D2" w:rsidRDefault="002C39F4" w:rsidP="0032102C">
      <w:pPr>
        <w:pStyle w:val="a8"/>
        <w:numPr>
          <w:ilvl w:val="0"/>
          <w:numId w:val="198"/>
        </w:numPr>
        <w:rPr>
          <w:rtl/>
        </w:rPr>
      </w:pPr>
      <w:r w:rsidRPr="003757D2">
        <w:rPr>
          <w:rFonts w:cs="Arial"/>
          <w:rtl/>
        </w:rPr>
        <w:t xml:space="preserve">רשב"א </w:t>
      </w:r>
      <w:r w:rsidRPr="00846DFC">
        <w:rPr>
          <w:rFonts w:cs="Arial" w:hint="cs"/>
          <w:sz w:val="16"/>
          <w:szCs w:val="16"/>
          <w:rtl/>
        </w:rPr>
        <w:t>(</w:t>
      </w:r>
      <w:r w:rsidRPr="00846DFC">
        <w:rPr>
          <w:rFonts w:cs="Arial"/>
          <w:sz w:val="16"/>
          <w:szCs w:val="16"/>
          <w:rtl/>
        </w:rPr>
        <w:t>תוה</w:t>
      </w:r>
      <w:r w:rsidRPr="00846DFC">
        <w:rPr>
          <w:rFonts w:cs="Arial" w:hint="cs"/>
          <w:sz w:val="16"/>
          <w:szCs w:val="16"/>
          <w:rtl/>
        </w:rPr>
        <w:t>"</w:t>
      </w:r>
      <w:r w:rsidRPr="00846DFC">
        <w:rPr>
          <w:rFonts w:cs="Arial"/>
          <w:sz w:val="16"/>
          <w:szCs w:val="16"/>
          <w:rtl/>
        </w:rPr>
        <w:t>ק ב</w:t>
      </w:r>
      <w:r w:rsidRPr="00846DFC">
        <w:rPr>
          <w:rFonts w:cs="Arial" w:hint="cs"/>
          <w:sz w:val="16"/>
          <w:szCs w:val="16"/>
          <w:rtl/>
        </w:rPr>
        <w:t>"</w:t>
      </w:r>
      <w:r w:rsidRPr="00846DFC">
        <w:rPr>
          <w:rFonts w:cs="Arial"/>
          <w:sz w:val="16"/>
          <w:szCs w:val="16"/>
          <w:rtl/>
        </w:rPr>
        <w:t>ד ש"א יג:</w:t>
      </w:r>
      <w:r w:rsidRPr="00846DFC">
        <w:rPr>
          <w:rFonts w:cs="Arial" w:hint="cs"/>
          <w:sz w:val="16"/>
          <w:szCs w:val="16"/>
          <w:rtl/>
        </w:rPr>
        <w:t>, הביאו הטור בסי' קו</w:t>
      </w:r>
      <w:r w:rsidRPr="00846DFC">
        <w:rPr>
          <w:rFonts w:cs="Arial"/>
          <w:sz w:val="16"/>
          <w:szCs w:val="16"/>
          <w:rtl/>
        </w:rPr>
        <w:t>)</w:t>
      </w:r>
      <w:r>
        <w:rPr>
          <w:rFonts w:cs="Arial" w:hint="cs"/>
          <w:rtl/>
        </w:rPr>
        <w:t>-</w:t>
      </w:r>
      <w:r w:rsidRPr="003757D2">
        <w:rPr>
          <w:rFonts w:cs="Arial"/>
          <w:rtl/>
        </w:rPr>
        <w:t xml:space="preserve"> חתיכה שיש בה שמנו של גיד שנתבשלה בקדרה עם חתיכות של היתר ויש בהיתר ששים לבטל את האיסור</w:t>
      </w:r>
      <w:r>
        <w:rPr>
          <w:rFonts w:cs="Arial" w:hint="cs"/>
          <w:rtl/>
        </w:rPr>
        <w:t>,</w:t>
      </w:r>
      <w:r w:rsidRPr="003757D2">
        <w:rPr>
          <w:rFonts w:cs="Arial"/>
          <w:rtl/>
        </w:rPr>
        <w:t xml:space="preserve"> אם נטל מן ההיתר בעוד שחתיכת האיסור חמה בתוך הקדרה הרי היא חוזרת ואוסרת שהרי אם נפלה לקדרה אחרת אוסרת</w:t>
      </w:r>
      <w:r>
        <w:rPr>
          <w:rFonts w:cs="Arial" w:hint="cs"/>
          <w:rtl/>
        </w:rPr>
        <w:t>,</w:t>
      </w:r>
      <w:r w:rsidRPr="003757D2">
        <w:rPr>
          <w:rFonts w:cs="Arial"/>
          <w:rtl/>
        </w:rPr>
        <w:t xml:space="preserve"> לפיכך צריך ליזהר שלא יטול מן הרוטב וחתיכות</w:t>
      </w:r>
      <w:r>
        <w:rPr>
          <w:rFonts w:cs="Arial" w:hint="cs"/>
          <w:rtl/>
        </w:rPr>
        <w:t xml:space="preserve"> </w:t>
      </w:r>
      <w:r w:rsidRPr="003757D2">
        <w:rPr>
          <w:rFonts w:cs="Arial"/>
          <w:rtl/>
        </w:rPr>
        <w:t>ההיתר עד שיצטנן הכל</w:t>
      </w:r>
      <w:r>
        <w:rPr>
          <w:rFonts w:cs="Arial" w:hint="cs"/>
          <w:rtl/>
        </w:rPr>
        <w:t>,</w:t>
      </w:r>
      <w:r w:rsidRPr="003757D2">
        <w:rPr>
          <w:rFonts w:cs="Arial"/>
          <w:rtl/>
        </w:rPr>
        <w:t xml:space="preserve"> וכן לא יטול גם אותה חתיכה לעצמה בעודה חמה לפי שהאיסור שבה חוזר ואוסר אותה</w:t>
      </w:r>
      <w:r>
        <w:rPr>
          <w:rFonts w:cs="Arial" w:hint="cs"/>
          <w:rtl/>
        </w:rPr>
        <w:t>,</w:t>
      </w:r>
      <w:r w:rsidRPr="003757D2">
        <w:rPr>
          <w:rFonts w:cs="Arial"/>
          <w:rtl/>
        </w:rPr>
        <w:t xml:space="preserve"> מה תהיה תקנתו</w:t>
      </w:r>
      <w:r>
        <w:rPr>
          <w:rFonts w:cs="Arial" w:hint="cs"/>
          <w:rtl/>
        </w:rPr>
        <w:t xml:space="preserve"> -</w:t>
      </w:r>
      <w:r w:rsidRPr="003757D2">
        <w:rPr>
          <w:rFonts w:cs="Arial"/>
          <w:rtl/>
        </w:rPr>
        <w:t xml:space="preserve"> יניח עד שיצטנן ונוטל</w:t>
      </w:r>
      <w:r>
        <w:rPr>
          <w:rFonts w:cs="Arial" w:hint="cs"/>
          <w:rtl/>
        </w:rPr>
        <w:t>.</w:t>
      </w:r>
    </w:p>
    <w:p w14:paraId="78B6ACFC" w14:textId="77777777" w:rsidR="002C39F4" w:rsidRPr="003162F7" w:rsidRDefault="002C39F4" w:rsidP="002C39F4">
      <w:pPr>
        <w:rPr>
          <w:rFonts w:cs="Arial"/>
          <w:u w:val="single"/>
          <w:rtl/>
        </w:rPr>
      </w:pPr>
      <w:r w:rsidRPr="003162F7">
        <w:rPr>
          <w:rFonts w:cs="Arial" w:hint="cs"/>
          <w:u w:val="single"/>
          <w:rtl/>
        </w:rPr>
        <w:t xml:space="preserve">שומן </w:t>
      </w:r>
      <w:r>
        <w:rPr>
          <w:rFonts w:cs="Arial" w:hint="cs"/>
          <w:u w:val="single"/>
          <w:rtl/>
        </w:rPr>
        <w:t>ה</w:t>
      </w:r>
      <w:r w:rsidRPr="003162F7">
        <w:rPr>
          <w:rFonts w:cs="Arial" w:hint="cs"/>
          <w:u w:val="single"/>
          <w:rtl/>
        </w:rPr>
        <w:t>גיד</w:t>
      </w:r>
      <w:r w:rsidRPr="00D94B79">
        <w:rPr>
          <w:rStyle w:val="a7"/>
          <w:rFonts w:cs="Arial"/>
          <w:u w:val="single"/>
          <w:rtl/>
        </w:rPr>
        <w:footnoteReference w:id="1944"/>
      </w:r>
      <w:r w:rsidRPr="003162F7">
        <w:rPr>
          <w:rFonts w:cs="Arial" w:hint="cs"/>
          <w:u w:val="single"/>
          <w:rtl/>
        </w:rPr>
        <w:t>:</w:t>
      </w:r>
    </w:p>
    <w:p w14:paraId="131728D3" w14:textId="77777777" w:rsidR="002C39F4" w:rsidRPr="003162F7" w:rsidRDefault="002C39F4" w:rsidP="0032102C">
      <w:pPr>
        <w:pStyle w:val="a8"/>
        <w:numPr>
          <w:ilvl w:val="0"/>
          <w:numId w:val="197"/>
        </w:numPr>
      </w:pPr>
      <w:r w:rsidRPr="003162F7">
        <w:rPr>
          <w:rFonts w:cs="Arial"/>
          <w:rtl/>
        </w:rPr>
        <w:t xml:space="preserve">רש"י רי"ף רמב"ם רשב"א רא"ש </w:t>
      </w:r>
      <w:r>
        <w:rPr>
          <w:rFonts w:cs="Arial" w:hint="cs"/>
          <w:rtl/>
        </w:rPr>
        <w:t>ו</w:t>
      </w:r>
      <w:r w:rsidRPr="003162F7">
        <w:rPr>
          <w:rFonts w:cs="Arial"/>
          <w:rtl/>
        </w:rPr>
        <w:t>ר"ן</w:t>
      </w:r>
      <w:r>
        <w:rPr>
          <w:rStyle w:val="a7"/>
          <w:rFonts w:cs="Arial"/>
          <w:rtl/>
        </w:rPr>
        <w:footnoteReference w:id="1945"/>
      </w:r>
      <w:r>
        <w:rPr>
          <w:rFonts w:cs="Arial" w:hint="cs"/>
          <w:rtl/>
        </w:rPr>
        <w:t>- אסור מדרבנן</w:t>
      </w:r>
      <w:r w:rsidRPr="003162F7">
        <w:rPr>
          <w:rFonts w:cs="Arial" w:hint="cs"/>
          <w:rtl/>
        </w:rPr>
        <w:t xml:space="preserve"> </w:t>
      </w:r>
      <w:r w:rsidRPr="003162F7">
        <w:rPr>
          <w:rFonts w:cs="Arial"/>
          <w:rtl/>
        </w:rPr>
        <w:t>וצריך ס' כנגדו להתיר הרוטב</w:t>
      </w:r>
      <w:r>
        <w:rPr>
          <w:rStyle w:val="a7"/>
          <w:rFonts w:cs="Arial"/>
          <w:rtl/>
        </w:rPr>
        <w:footnoteReference w:id="1946"/>
      </w:r>
      <w:r>
        <w:rPr>
          <w:rFonts w:cs="Arial" w:hint="cs"/>
          <w:rtl/>
        </w:rPr>
        <w:t xml:space="preserve"> </w:t>
      </w:r>
      <w:r>
        <w:rPr>
          <w:rFonts w:cs="Arial" w:hint="cs"/>
          <w:sz w:val="16"/>
          <w:szCs w:val="16"/>
          <w:rtl/>
        </w:rPr>
        <w:t>(ל' הטור)</w:t>
      </w:r>
      <w:r w:rsidRPr="003162F7">
        <w:rPr>
          <w:rFonts w:cs="Arial"/>
          <w:rtl/>
        </w:rPr>
        <w:t xml:space="preserve">. </w:t>
      </w:r>
      <w:r w:rsidRPr="00D94B79">
        <w:rPr>
          <w:rFonts w:cs="Arial" w:hint="cs"/>
          <w:color w:val="E36C0A" w:themeColor="accent6" w:themeShade="BF"/>
          <w:rtl/>
        </w:rPr>
        <w:t>(וכ"פ בשו"ע)</w:t>
      </w:r>
    </w:p>
    <w:p w14:paraId="7A85E211" w14:textId="77777777" w:rsidR="002C39F4" w:rsidRDefault="002C39F4" w:rsidP="0032102C">
      <w:pPr>
        <w:pStyle w:val="a8"/>
        <w:numPr>
          <w:ilvl w:val="0"/>
          <w:numId w:val="197"/>
        </w:numPr>
      </w:pPr>
      <w:r w:rsidRPr="0093771B">
        <w:rPr>
          <w:rFonts w:cs="Arial"/>
          <w:rtl/>
        </w:rPr>
        <w:t>תוס</w:t>
      </w:r>
      <w:r w:rsidRPr="0093771B">
        <w:rPr>
          <w:rFonts w:cs="Arial" w:hint="cs"/>
          <w:rtl/>
        </w:rPr>
        <w:t>'</w:t>
      </w:r>
      <w:r w:rsidRPr="0093771B">
        <w:rPr>
          <w:rFonts w:cs="Arial"/>
          <w:rtl/>
        </w:rPr>
        <w:t xml:space="preserve"> </w:t>
      </w:r>
      <w:r>
        <w:rPr>
          <w:rFonts w:cs="Arial" w:hint="cs"/>
          <w:sz w:val="16"/>
          <w:szCs w:val="16"/>
          <w:rtl/>
        </w:rPr>
        <w:t>(</w:t>
      </w:r>
      <w:r w:rsidRPr="003162F7">
        <w:rPr>
          <w:rFonts w:cs="Arial"/>
          <w:sz w:val="16"/>
          <w:szCs w:val="16"/>
          <w:rtl/>
        </w:rPr>
        <w:t>צז. ד"ה שאני חלב)</w:t>
      </w:r>
      <w:r>
        <w:rPr>
          <w:rFonts w:cs="Arial" w:hint="cs"/>
          <w:rtl/>
        </w:rPr>
        <w:t xml:space="preserve">- </w:t>
      </w:r>
      <w:r w:rsidRPr="0093771B">
        <w:rPr>
          <w:rFonts w:cs="Arial"/>
          <w:rtl/>
        </w:rPr>
        <w:t>הרב ר"מ מפרש כיון דשומן הגיד לא מיתסר אלא מדרבנן דגזרו ביה אטו הגיד</w:t>
      </w:r>
      <w:r>
        <w:rPr>
          <w:rFonts w:cs="Arial" w:hint="cs"/>
          <w:rtl/>
        </w:rPr>
        <w:t>,</w:t>
      </w:r>
      <w:r w:rsidRPr="0093771B">
        <w:rPr>
          <w:rFonts w:cs="Arial"/>
          <w:rtl/>
        </w:rPr>
        <w:t xml:space="preserve"> כשאין הגיד אוסר גם בו לא החמירו</w:t>
      </w:r>
      <w:r>
        <w:rPr>
          <w:rFonts w:cs="Arial" w:hint="cs"/>
          <w:rtl/>
        </w:rPr>
        <w:t>,</w:t>
      </w:r>
      <w:r w:rsidRPr="0093771B">
        <w:rPr>
          <w:rtl/>
        </w:rPr>
        <w:t xml:space="preserve"> </w:t>
      </w:r>
      <w:r w:rsidRPr="0093771B">
        <w:rPr>
          <w:rFonts w:cs="Arial"/>
          <w:rtl/>
        </w:rPr>
        <w:t>ולפירושו למאי דקי</w:t>
      </w:r>
      <w:r>
        <w:rPr>
          <w:rFonts w:cs="Arial" w:hint="cs"/>
          <w:rtl/>
        </w:rPr>
        <w:t>"</w:t>
      </w:r>
      <w:r w:rsidRPr="0093771B">
        <w:rPr>
          <w:rFonts w:cs="Arial"/>
          <w:rtl/>
        </w:rPr>
        <w:t xml:space="preserve">ל </w:t>
      </w:r>
      <w:r w:rsidRPr="0093771B">
        <w:rPr>
          <w:rFonts w:cs="Arial"/>
          <w:sz w:val="16"/>
          <w:szCs w:val="16"/>
          <w:rtl/>
        </w:rPr>
        <w:t xml:space="preserve">(לקמן דף צט:) </w:t>
      </w:r>
      <w:r w:rsidRPr="0093771B">
        <w:rPr>
          <w:rFonts w:cs="Arial"/>
          <w:rtl/>
        </w:rPr>
        <w:t>דאין בגידין בנ"ט אפילו נתבשל לא אוסר כמו שאין הגיד אוסר</w:t>
      </w:r>
      <w:r>
        <w:rPr>
          <w:rFonts w:cs="Arial" w:hint="cs"/>
          <w:sz w:val="16"/>
          <w:szCs w:val="16"/>
          <w:rtl/>
        </w:rPr>
        <w:t xml:space="preserve"> (ל' התוס')</w:t>
      </w:r>
      <w:r>
        <w:rPr>
          <w:rFonts w:cs="Arial" w:hint="cs"/>
          <w:rtl/>
        </w:rPr>
        <w:t>.</w:t>
      </w:r>
    </w:p>
    <w:p w14:paraId="7D3EA7F3" w14:textId="77777777" w:rsidR="002C39F4" w:rsidRPr="0017315E" w:rsidRDefault="002C39F4" w:rsidP="002C39F4">
      <w:pPr>
        <w:rPr>
          <w:u w:val="single"/>
        </w:rPr>
      </w:pPr>
      <w:r>
        <w:rPr>
          <w:rFonts w:hint="cs"/>
          <w:u w:val="single"/>
          <w:rtl/>
        </w:rPr>
        <w:t xml:space="preserve">ירך </w:t>
      </w:r>
      <w:r w:rsidRPr="0017315E">
        <w:rPr>
          <w:rFonts w:hint="cs"/>
          <w:b/>
          <w:bCs/>
          <w:u w:val="single"/>
          <w:rtl/>
        </w:rPr>
        <w:t>שנמלח</w:t>
      </w:r>
      <w:r>
        <w:rPr>
          <w:rFonts w:hint="cs"/>
          <w:u w:val="single"/>
          <w:rtl/>
        </w:rPr>
        <w:t xml:space="preserve"> עם </w:t>
      </w:r>
      <w:r w:rsidRPr="0017315E">
        <w:rPr>
          <w:rFonts w:hint="cs"/>
          <w:b/>
          <w:bCs/>
          <w:u w:val="single"/>
          <w:rtl/>
        </w:rPr>
        <w:t>שומן</w:t>
      </w:r>
      <w:r>
        <w:rPr>
          <w:rFonts w:hint="cs"/>
          <w:u w:val="single"/>
          <w:rtl/>
        </w:rPr>
        <w:t xml:space="preserve"> גיד הנשה ואח"כ בושל - </w:t>
      </w:r>
      <w:r w:rsidRPr="0017315E">
        <w:rPr>
          <w:rFonts w:hint="cs"/>
          <w:u w:val="single"/>
          <w:rtl/>
        </w:rPr>
        <w:t>האם משערים ששים נגד שומן הגיד בלבד או אף כדי קליפה סביב לו:</w:t>
      </w:r>
    </w:p>
    <w:p w14:paraId="67BE0631" w14:textId="77777777" w:rsidR="002C39F4" w:rsidRDefault="002C39F4" w:rsidP="0032102C">
      <w:pPr>
        <w:pStyle w:val="a8"/>
        <w:numPr>
          <w:ilvl w:val="0"/>
          <w:numId w:val="197"/>
        </w:numPr>
        <w:rPr>
          <w:rtl/>
        </w:rPr>
      </w:pPr>
      <w:r>
        <w:rPr>
          <w:rFonts w:cs="Arial" w:hint="cs"/>
          <w:rtl/>
        </w:rPr>
        <w:t xml:space="preserve">ב"י- לדידן דנקטינן כרבנו אפרים </w:t>
      </w:r>
      <w:r>
        <w:rPr>
          <w:rFonts w:cs="Arial" w:hint="cs"/>
          <w:sz w:val="16"/>
          <w:szCs w:val="16"/>
          <w:rtl/>
        </w:rPr>
        <w:t>(</w:t>
      </w:r>
      <w:r w:rsidRPr="00001F62">
        <w:rPr>
          <w:rFonts w:cs="Arial" w:hint="cs"/>
          <w:sz w:val="16"/>
          <w:szCs w:val="16"/>
          <w:rtl/>
        </w:rPr>
        <w:t>דלא אמרינן חנ"נ אלא בבשר בחלב)</w:t>
      </w:r>
      <w:r>
        <w:rPr>
          <w:rFonts w:cs="Arial" w:hint="cs"/>
          <w:rtl/>
        </w:rPr>
        <w:t xml:space="preserve"> צריך לשער כנגד שומן הגיד לבד, אבל למ"ד חנ"נ גם בשאר איסורין צריך לשער כדי קליפה סביב לו</w:t>
      </w:r>
      <w:r>
        <w:rPr>
          <w:rStyle w:val="a7"/>
          <w:rFonts w:cs="Arial"/>
          <w:rtl/>
        </w:rPr>
        <w:footnoteReference w:id="1947"/>
      </w:r>
      <w:r>
        <w:rPr>
          <w:rFonts w:cs="Arial" w:hint="cs"/>
          <w:rtl/>
        </w:rPr>
        <w:t>.</w:t>
      </w:r>
    </w:p>
    <w:p w14:paraId="00007BD1" w14:textId="77777777" w:rsidR="002C39F4" w:rsidRDefault="002C39F4" w:rsidP="002C39F4">
      <w:pPr>
        <w:rPr>
          <w:rFonts w:cs="Arial"/>
          <w:rtl/>
        </w:rPr>
      </w:pPr>
      <w:r w:rsidRPr="0097360E">
        <w:rPr>
          <w:rFonts w:cs="Arial" w:hint="cs"/>
          <w:u w:val="single"/>
          <w:rtl/>
        </w:rPr>
        <w:t>גיד הנשה שנימוח</w:t>
      </w:r>
      <w:r>
        <w:rPr>
          <w:rFonts w:cs="Arial" w:hint="cs"/>
          <w:u w:val="single"/>
          <w:rtl/>
        </w:rPr>
        <w:t xml:space="preserve"> עד שאינו ניכר</w:t>
      </w:r>
      <w:r w:rsidRPr="0097360E">
        <w:rPr>
          <w:rFonts w:cs="Arial" w:hint="cs"/>
          <w:u w:val="single"/>
          <w:rtl/>
        </w:rPr>
        <w:t>:</w:t>
      </w:r>
    </w:p>
    <w:p w14:paraId="2D9AB7A0" w14:textId="77777777" w:rsidR="002C39F4" w:rsidRDefault="002C39F4" w:rsidP="0032102C">
      <w:pPr>
        <w:pStyle w:val="a8"/>
        <w:numPr>
          <w:ilvl w:val="0"/>
          <w:numId w:val="199"/>
        </w:numPr>
        <w:rPr>
          <w:rtl/>
        </w:rPr>
      </w:pPr>
      <w:r w:rsidRPr="0097360E">
        <w:rPr>
          <w:rFonts w:cs="Arial"/>
          <w:rtl/>
        </w:rPr>
        <w:t xml:space="preserve">רשב"א </w:t>
      </w:r>
      <w:r w:rsidRPr="0097360E">
        <w:rPr>
          <w:rFonts w:cs="Arial" w:hint="cs"/>
          <w:sz w:val="16"/>
          <w:szCs w:val="16"/>
          <w:rtl/>
        </w:rPr>
        <w:t>(</w:t>
      </w:r>
      <w:r w:rsidRPr="0097360E">
        <w:rPr>
          <w:rFonts w:cs="Arial"/>
          <w:sz w:val="16"/>
          <w:szCs w:val="16"/>
          <w:rtl/>
        </w:rPr>
        <w:t>ת</w:t>
      </w:r>
      <w:r w:rsidRPr="0097360E">
        <w:rPr>
          <w:rFonts w:cs="Arial" w:hint="cs"/>
          <w:sz w:val="16"/>
          <w:szCs w:val="16"/>
          <w:rtl/>
        </w:rPr>
        <w:t>וה"ק</w:t>
      </w:r>
      <w:r w:rsidRPr="0097360E">
        <w:rPr>
          <w:rFonts w:cs="Arial"/>
          <w:sz w:val="16"/>
          <w:szCs w:val="16"/>
          <w:rtl/>
        </w:rPr>
        <w:t xml:space="preserve"> ב"ד ש"א יג:)</w:t>
      </w:r>
      <w:r w:rsidRPr="0097360E">
        <w:rPr>
          <w:rFonts w:hint="cs"/>
          <w:sz w:val="16"/>
          <w:szCs w:val="16"/>
          <w:rtl/>
        </w:rPr>
        <w:t xml:space="preserve"> </w:t>
      </w:r>
      <w:r>
        <w:rPr>
          <w:rFonts w:hint="cs"/>
          <w:rtl/>
        </w:rPr>
        <w:t xml:space="preserve">וטור- </w:t>
      </w:r>
      <w:r w:rsidRPr="0097360E">
        <w:rPr>
          <w:rFonts w:cs="Arial"/>
          <w:rtl/>
        </w:rPr>
        <w:t>צריך ג"כ ס' כנגדו דאע"פ שאין בו טעם והוא כעץ התורה אסרתו</w:t>
      </w:r>
      <w:r>
        <w:rPr>
          <w:rStyle w:val="a7"/>
          <w:rFonts w:cs="Arial"/>
          <w:rtl/>
        </w:rPr>
        <w:footnoteReference w:id="1948"/>
      </w:r>
      <w:r w:rsidRPr="0097360E">
        <w:rPr>
          <w:rFonts w:cs="Arial" w:hint="cs"/>
          <w:rtl/>
        </w:rPr>
        <w:t>.</w:t>
      </w:r>
    </w:p>
    <w:p w14:paraId="23833F8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D2913D4" w14:textId="77777777" w:rsidR="002C39F4" w:rsidRDefault="002C39F4" w:rsidP="002C39F4">
      <w:pPr>
        <w:rPr>
          <w:rFonts w:asciiTheme="minorBidi" w:hAnsiTheme="minorBidi"/>
          <w:rtl/>
        </w:rPr>
      </w:pPr>
      <w:r w:rsidRPr="003024E5">
        <w:rPr>
          <w:rFonts w:asciiTheme="minorBidi" w:hAnsiTheme="minorBidi"/>
          <w:rtl/>
        </w:rPr>
        <w:t>דבר שהוא בריה שנתבשל עם ההיתר, אם אינו מכירו הכל אסור, והרוטב בנותן טעם</w:t>
      </w:r>
      <w:r>
        <w:rPr>
          <w:rStyle w:val="a7"/>
          <w:rFonts w:asciiTheme="minorBidi" w:hAnsiTheme="minorBidi"/>
          <w:rtl/>
        </w:rPr>
        <w:footnoteReference w:id="1949"/>
      </w:r>
      <w:r>
        <w:rPr>
          <w:rFonts w:asciiTheme="minorBidi" w:hAnsiTheme="minorBidi" w:hint="cs"/>
          <w:rtl/>
        </w:rPr>
        <w:t>,</w:t>
      </w:r>
      <w:r w:rsidRPr="003024E5">
        <w:rPr>
          <w:rFonts w:asciiTheme="minorBidi" w:hAnsiTheme="minorBidi"/>
          <w:rtl/>
        </w:rPr>
        <w:t xml:space="preserve"> ואם מכירו זורקו והאחרים והרוטב צריך שיהיה בהם </w:t>
      </w:r>
      <w:r>
        <w:rPr>
          <w:rFonts w:asciiTheme="minorBidi" w:hAnsiTheme="minorBidi" w:hint="cs"/>
          <w:rtl/>
        </w:rPr>
        <w:t>ששים</w:t>
      </w:r>
      <w:r w:rsidRPr="003024E5">
        <w:rPr>
          <w:rFonts w:asciiTheme="minorBidi" w:hAnsiTheme="minorBidi"/>
          <w:rtl/>
        </w:rPr>
        <w:t xml:space="preserve"> כנגדו, חוץ מגיד הנשה שאין טעמו אוסר דאין בגידים בנותן טעם, אבל שמנו אוסר וצריך ששים כנגדו להתיר הרוטב. לפיכך ירך שנתבשל עם גידו, אם מכירו זורקו וכל השאר מותר אם יש בו </w:t>
      </w:r>
      <w:r>
        <w:rPr>
          <w:rFonts w:asciiTheme="minorBidi" w:hAnsiTheme="minorBidi" w:hint="cs"/>
          <w:rtl/>
        </w:rPr>
        <w:t>ששים</w:t>
      </w:r>
      <w:r w:rsidRPr="003024E5">
        <w:rPr>
          <w:rFonts w:asciiTheme="minorBidi" w:hAnsiTheme="minorBidi"/>
          <w:rtl/>
        </w:rPr>
        <w:t xml:space="preserve"> כנגד שמנו</w:t>
      </w:r>
      <w:r>
        <w:rPr>
          <w:rStyle w:val="a7"/>
          <w:rFonts w:asciiTheme="minorBidi" w:hAnsiTheme="minorBidi"/>
          <w:rtl/>
        </w:rPr>
        <w:footnoteReference w:id="1950"/>
      </w:r>
      <w:r>
        <w:rPr>
          <w:rFonts w:asciiTheme="minorBidi" w:hAnsiTheme="minorBidi" w:hint="cs"/>
          <w:rtl/>
        </w:rPr>
        <w:t>,</w:t>
      </w:r>
      <w:r w:rsidRPr="003024E5">
        <w:rPr>
          <w:rFonts w:asciiTheme="minorBidi" w:hAnsiTheme="minorBidi"/>
          <w:rtl/>
        </w:rPr>
        <w:t xml:space="preserve"> ואם אינו מכירו כל החתיכות אסורות</w:t>
      </w:r>
      <w:r>
        <w:rPr>
          <w:rFonts w:asciiTheme="minorBidi" w:hAnsiTheme="minorBidi" w:hint="cs"/>
          <w:rtl/>
        </w:rPr>
        <w:t>,</w:t>
      </w:r>
      <w:r w:rsidRPr="003024E5">
        <w:rPr>
          <w:rFonts w:asciiTheme="minorBidi" w:hAnsiTheme="minorBidi"/>
          <w:rtl/>
        </w:rPr>
        <w:t xml:space="preserve"> ואם יש בקדירה </w:t>
      </w:r>
      <w:r>
        <w:rPr>
          <w:rFonts w:asciiTheme="minorBidi" w:hAnsiTheme="minorBidi" w:hint="cs"/>
          <w:rtl/>
        </w:rPr>
        <w:t>ששים</w:t>
      </w:r>
      <w:r w:rsidRPr="003024E5">
        <w:rPr>
          <w:rFonts w:asciiTheme="minorBidi" w:hAnsiTheme="minorBidi"/>
          <w:rtl/>
        </w:rPr>
        <w:t xml:space="preserve"> כנגד השומן מותר הרוטב</w:t>
      </w:r>
      <w:r>
        <w:rPr>
          <w:rFonts w:asciiTheme="minorBidi" w:hAnsiTheme="minorBidi" w:hint="cs"/>
          <w:rtl/>
        </w:rPr>
        <w:t>,</w:t>
      </w:r>
      <w:r w:rsidRPr="003024E5">
        <w:rPr>
          <w:rFonts w:asciiTheme="minorBidi" w:hAnsiTheme="minorBidi"/>
          <w:rtl/>
        </w:rPr>
        <w:t xml:space="preserve"> ואם לאו אסור</w:t>
      </w:r>
      <w:r>
        <w:rPr>
          <w:rFonts w:asciiTheme="minorBidi" w:hAnsiTheme="minorBidi" w:hint="cs"/>
          <w:rtl/>
        </w:rPr>
        <w:t>.</w:t>
      </w:r>
      <w:r w:rsidRPr="003024E5">
        <w:rPr>
          <w:rFonts w:asciiTheme="minorBidi" w:hAnsiTheme="minorBidi"/>
          <w:rtl/>
        </w:rPr>
        <w:t xml:space="preserve">  ואם נמוח הגיד ואינו ניכר צריך גם כן </w:t>
      </w:r>
      <w:r>
        <w:rPr>
          <w:rFonts w:asciiTheme="minorBidi" w:hAnsiTheme="minorBidi" w:hint="cs"/>
          <w:rtl/>
        </w:rPr>
        <w:t>ששים</w:t>
      </w:r>
      <w:r>
        <w:rPr>
          <w:rStyle w:val="a7"/>
          <w:rFonts w:asciiTheme="minorBidi" w:hAnsiTheme="minorBidi"/>
          <w:rtl/>
        </w:rPr>
        <w:footnoteReference w:id="1951"/>
      </w:r>
      <w:r w:rsidRPr="003024E5">
        <w:rPr>
          <w:rFonts w:asciiTheme="minorBidi" w:hAnsiTheme="minorBidi"/>
          <w:rtl/>
        </w:rPr>
        <w:t xml:space="preserve"> כנגדו</w:t>
      </w:r>
      <w:r>
        <w:rPr>
          <w:rStyle w:val="a7"/>
          <w:rFonts w:asciiTheme="minorBidi" w:hAnsiTheme="minorBidi"/>
          <w:rtl/>
        </w:rPr>
        <w:footnoteReference w:id="1952"/>
      </w:r>
      <w:r w:rsidRPr="003024E5">
        <w:rPr>
          <w:rFonts w:asciiTheme="minorBidi" w:hAnsiTheme="minorBidi"/>
          <w:rtl/>
        </w:rPr>
        <w:t xml:space="preserve">. </w:t>
      </w:r>
    </w:p>
    <w:p w14:paraId="2BEA9A89" w14:textId="77777777" w:rsidR="002C39F4" w:rsidRPr="003024E5" w:rsidRDefault="002C39F4" w:rsidP="002C39F4">
      <w:pPr>
        <w:rPr>
          <w:rFonts w:asciiTheme="minorBidi" w:hAnsiTheme="minorBidi"/>
          <w:rtl/>
        </w:rPr>
      </w:pPr>
    </w:p>
    <w:p w14:paraId="6237509C"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בריה שנאבדה בתוך הקדרה.</w:t>
      </w:r>
    </w:p>
    <w:p w14:paraId="7F1C5E83" w14:textId="77777777" w:rsidR="002C39F4" w:rsidRPr="004F60C9" w:rsidRDefault="002C39F4" w:rsidP="002C39F4">
      <w:pPr>
        <w:rPr>
          <w:rFonts w:cs="Arial"/>
          <w:u w:val="single"/>
          <w:rtl/>
        </w:rPr>
      </w:pPr>
      <w:r w:rsidRPr="004F60C9">
        <w:rPr>
          <w:rFonts w:cs="Arial" w:hint="cs"/>
          <w:u w:val="single"/>
          <w:rtl/>
        </w:rPr>
        <w:t>בריה שנאבדה בתוך הקדרה:</w:t>
      </w:r>
    </w:p>
    <w:p w14:paraId="7E62D2BA" w14:textId="77777777" w:rsidR="002C39F4" w:rsidRPr="00FB1869" w:rsidRDefault="002C39F4" w:rsidP="0032102C">
      <w:pPr>
        <w:pStyle w:val="a8"/>
        <w:numPr>
          <w:ilvl w:val="0"/>
          <w:numId w:val="199"/>
        </w:numPr>
        <w:rPr>
          <w:rtl/>
        </w:rPr>
      </w:pPr>
      <w:r w:rsidRPr="004F60C9">
        <w:rPr>
          <w:rFonts w:cs="Arial"/>
          <w:rtl/>
        </w:rPr>
        <w:t xml:space="preserve">רשב"א </w:t>
      </w:r>
      <w:r w:rsidRPr="004F60C9">
        <w:rPr>
          <w:rFonts w:cs="Arial"/>
          <w:sz w:val="16"/>
          <w:szCs w:val="16"/>
          <w:rtl/>
        </w:rPr>
        <w:t>(ח"א סי</w:t>
      </w:r>
      <w:r w:rsidRPr="004F60C9">
        <w:rPr>
          <w:rFonts w:cs="Arial" w:hint="cs"/>
          <w:sz w:val="16"/>
          <w:szCs w:val="16"/>
          <w:rtl/>
        </w:rPr>
        <w:t>'</w:t>
      </w:r>
      <w:r w:rsidRPr="004F60C9">
        <w:rPr>
          <w:rFonts w:cs="Arial"/>
          <w:sz w:val="16"/>
          <w:szCs w:val="16"/>
          <w:rtl/>
        </w:rPr>
        <w:t xml:space="preserve"> קא)</w:t>
      </w:r>
      <w:r w:rsidRPr="004F60C9">
        <w:rPr>
          <w:rFonts w:cs="Arial" w:hint="cs"/>
          <w:rtl/>
        </w:rPr>
        <w:t>-</w:t>
      </w:r>
      <w:r w:rsidRPr="004F60C9">
        <w:rPr>
          <w:rFonts w:cs="Arial"/>
          <w:rtl/>
        </w:rPr>
        <w:t xml:space="preserve"> קדרה של מרק שנפלה שם בריה ונאבדה אסור הכל</w:t>
      </w:r>
      <w:r>
        <w:rPr>
          <w:rFonts w:cs="Arial" w:hint="cs"/>
          <w:rtl/>
        </w:rPr>
        <w:t>,</w:t>
      </w:r>
      <w:r w:rsidRPr="004F60C9">
        <w:rPr>
          <w:rFonts w:cs="Arial"/>
          <w:rtl/>
        </w:rPr>
        <w:t xml:space="preserve"> ואם נתנו מהמרק בכף או בקערה וראו שאין שם כלל הכל מותר ואף הקדרה</w:t>
      </w:r>
      <w:r>
        <w:rPr>
          <w:rFonts w:hint="cs"/>
          <w:rtl/>
        </w:rPr>
        <w:t>.</w:t>
      </w:r>
    </w:p>
    <w:p w14:paraId="303B359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A848E3E" w14:textId="77777777" w:rsidR="002C39F4" w:rsidRDefault="002C39F4" w:rsidP="002C39F4">
      <w:pPr>
        <w:rPr>
          <w:rFonts w:asciiTheme="minorBidi" w:hAnsiTheme="minorBidi"/>
          <w:rtl/>
        </w:rPr>
      </w:pPr>
      <w:r w:rsidRPr="003024E5">
        <w:rPr>
          <w:rFonts w:asciiTheme="minorBidi" w:hAnsiTheme="minorBidi"/>
          <w:rtl/>
        </w:rPr>
        <w:t>קדרה של מרק שנפל שם בריה ונאבדה אסור הכל</w:t>
      </w:r>
      <w:r>
        <w:rPr>
          <w:rStyle w:val="a7"/>
          <w:rFonts w:asciiTheme="minorBidi" w:hAnsiTheme="minorBidi"/>
          <w:rtl/>
        </w:rPr>
        <w:footnoteReference w:id="1953"/>
      </w:r>
      <w:r w:rsidRPr="003024E5">
        <w:rPr>
          <w:rFonts w:asciiTheme="minorBidi" w:hAnsiTheme="minorBidi"/>
          <w:rtl/>
        </w:rPr>
        <w:t xml:space="preserve">. </w:t>
      </w:r>
    </w:p>
    <w:p w14:paraId="7A51C1ED" w14:textId="77777777" w:rsidR="002C39F4" w:rsidRPr="003024E5" w:rsidRDefault="002C39F4" w:rsidP="002C39F4">
      <w:pPr>
        <w:rPr>
          <w:rFonts w:asciiTheme="minorBidi" w:hAnsiTheme="minorBidi"/>
          <w:rtl/>
        </w:rPr>
      </w:pPr>
    </w:p>
    <w:p w14:paraId="2D89A666" w14:textId="77777777" w:rsidR="002C39F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ירקות שלאחר בישולן נמצאו בהן ג' תולעים.</w:t>
      </w:r>
    </w:p>
    <w:p w14:paraId="14C14FEE" w14:textId="77777777" w:rsidR="002C39F4" w:rsidRPr="008B7A73" w:rsidRDefault="002C39F4" w:rsidP="002C39F4">
      <w:pPr>
        <w:rPr>
          <w:rFonts w:cs="Arial"/>
          <w:u w:val="single"/>
          <w:rtl/>
        </w:rPr>
      </w:pPr>
      <w:r w:rsidRPr="008B7A73">
        <w:rPr>
          <w:rFonts w:cs="Arial"/>
          <w:u w:val="single"/>
          <w:rtl/>
        </w:rPr>
        <w:t>ירקות ש</w:t>
      </w:r>
      <w:r>
        <w:rPr>
          <w:rFonts w:cs="Arial" w:hint="cs"/>
          <w:u w:val="single"/>
          <w:rtl/>
        </w:rPr>
        <w:t>ל</w:t>
      </w:r>
      <w:r w:rsidRPr="008B7A73">
        <w:rPr>
          <w:rFonts w:cs="Arial"/>
          <w:u w:val="single"/>
          <w:rtl/>
        </w:rPr>
        <w:t xml:space="preserve">אחר </w:t>
      </w:r>
      <w:r>
        <w:rPr>
          <w:rFonts w:cs="Arial" w:hint="cs"/>
          <w:u w:val="single"/>
          <w:rtl/>
        </w:rPr>
        <w:t>בישולן</w:t>
      </w:r>
      <w:r w:rsidRPr="008B7A73">
        <w:rPr>
          <w:rFonts w:cs="Arial"/>
          <w:u w:val="single"/>
          <w:rtl/>
        </w:rPr>
        <w:t xml:space="preserve"> נמצאו בה</w:t>
      </w:r>
      <w:r>
        <w:rPr>
          <w:rFonts w:cs="Arial" w:hint="cs"/>
          <w:u w:val="single"/>
          <w:rtl/>
        </w:rPr>
        <w:t>ן</w:t>
      </w:r>
      <w:r w:rsidRPr="008B7A73">
        <w:rPr>
          <w:rFonts w:cs="Arial"/>
          <w:u w:val="single"/>
          <w:rtl/>
        </w:rPr>
        <w:t xml:space="preserve"> שלשה תולעים</w:t>
      </w:r>
      <w:r>
        <w:rPr>
          <w:rFonts w:cs="Arial" w:hint="cs"/>
          <w:u w:val="single"/>
          <w:rtl/>
        </w:rPr>
        <w:t>:</w:t>
      </w:r>
      <w:r w:rsidRPr="008B7A73">
        <w:rPr>
          <w:rFonts w:cs="Arial"/>
          <w:u w:val="single"/>
          <w:rtl/>
        </w:rPr>
        <w:t xml:space="preserve"> </w:t>
      </w:r>
    </w:p>
    <w:p w14:paraId="57240BC4" w14:textId="77777777" w:rsidR="002C39F4" w:rsidRDefault="002C39F4" w:rsidP="0032102C">
      <w:pPr>
        <w:pStyle w:val="a8"/>
        <w:numPr>
          <w:ilvl w:val="0"/>
          <w:numId w:val="200"/>
        </w:numPr>
        <w:rPr>
          <w:rtl/>
        </w:rPr>
      </w:pPr>
      <w:r w:rsidRPr="008B7A73">
        <w:rPr>
          <w:rFonts w:cs="Arial" w:hint="cs"/>
          <w:rtl/>
        </w:rPr>
        <w:t>רשב"א</w:t>
      </w:r>
      <w:r w:rsidRPr="008B7A73">
        <w:rPr>
          <w:rFonts w:cs="Arial"/>
          <w:rtl/>
        </w:rPr>
        <w:t xml:space="preserve"> </w:t>
      </w:r>
      <w:r w:rsidRPr="008B7A73">
        <w:rPr>
          <w:rFonts w:cs="Arial"/>
          <w:sz w:val="16"/>
          <w:szCs w:val="16"/>
          <w:rtl/>
        </w:rPr>
        <w:t>(סי</w:t>
      </w:r>
      <w:r w:rsidRPr="008B7A73">
        <w:rPr>
          <w:rFonts w:cs="Arial" w:hint="cs"/>
          <w:sz w:val="16"/>
          <w:szCs w:val="16"/>
          <w:rtl/>
        </w:rPr>
        <w:t xml:space="preserve">' </w:t>
      </w:r>
      <w:r w:rsidRPr="008B7A73">
        <w:rPr>
          <w:rFonts w:cs="Arial"/>
          <w:sz w:val="16"/>
          <w:szCs w:val="16"/>
          <w:rtl/>
        </w:rPr>
        <w:t>קיג)</w:t>
      </w:r>
      <w:r w:rsidRPr="008B7A73">
        <w:rPr>
          <w:rFonts w:cs="Arial" w:hint="cs"/>
          <w:rtl/>
        </w:rPr>
        <w:t>-</w:t>
      </w:r>
      <w:r w:rsidRPr="008B7A73">
        <w:rPr>
          <w:rFonts w:cs="Arial"/>
          <w:rtl/>
        </w:rPr>
        <w:t xml:space="preserve"> ירקות שאחר שנתבשלו נמצאו בהם שלשה תולעים הירקות אסורים שכיון שהוחזקו ירקות אלו בתולעים צריכין בדיקה וכל שהם מבושלים אי אפשר לבודקם</w:t>
      </w:r>
      <w:r>
        <w:rPr>
          <w:rFonts w:cs="Arial" w:hint="cs"/>
          <w:rtl/>
        </w:rPr>
        <w:t>,</w:t>
      </w:r>
      <w:r w:rsidRPr="008B7A73">
        <w:rPr>
          <w:rFonts w:cs="Arial"/>
          <w:rtl/>
        </w:rPr>
        <w:t xml:space="preserve"> אבל מי השלקות מותרים לפי שאפשר לסננן</w:t>
      </w:r>
      <w:r>
        <w:rPr>
          <w:rFonts w:cs="Arial" w:hint="cs"/>
          <w:rtl/>
        </w:rPr>
        <w:t>,</w:t>
      </w:r>
      <w:r w:rsidRPr="008B7A73">
        <w:rPr>
          <w:rFonts w:cs="Arial"/>
          <w:rtl/>
        </w:rPr>
        <w:t xml:space="preserve"> וכן אם בשלו בהם בשר אפשר לרחוץ אותו ולבדוק</w:t>
      </w:r>
      <w:r>
        <w:rPr>
          <w:rFonts w:cs="Arial" w:hint="cs"/>
          <w:rtl/>
        </w:rPr>
        <w:t>.</w:t>
      </w:r>
    </w:p>
    <w:p w14:paraId="1CE441C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BBC7EDA" w14:textId="77777777" w:rsidR="002C39F4" w:rsidRPr="003024E5" w:rsidRDefault="002C39F4" w:rsidP="002C39F4">
      <w:pPr>
        <w:rPr>
          <w:rFonts w:asciiTheme="minorBidi" w:hAnsiTheme="minorBidi"/>
          <w:rtl/>
        </w:rPr>
      </w:pPr>
      <w:r w:rsidRPr="003024E5">
        <w:rPr>
          <w:rFonts w:asciiTheme="minorBidi" w:hAnsiTheme="minorBidi"/>
          <w:rtl/>
        </w:rPr>
        <w:t>ירקות</w:t>
      </w:r>
      <w:r>
        <w:rPr>
          <w:rStyle w:val="a7"/>
          <w:rFonts w:asciiTheme="minorBidi" w:hAnsiTheme="minorBidi"/>
          <w:rtl/>
        </w:rPr>
        <w:footnoteReference w:id="1954"/>
      </w:r>
      <w:r w:rsidRPr="003024E5">
        <w:rPr>
          <w:rFonts w:asciiTheme="minorBidi" w:hAnsiTheme="minorBidi"/>
          <w:rtl/>
        </w:rPr>
        <w:t xml:space="preserve"> מבושלות שנמצאו בהם </w:t>
      </w:r>
      <w:r>
        <w:rPr>
          <w:rFonts w:asciiTheme="minorBidi" w:hAnsiTheme="minorBidi" w:hint="cs"/>
          <w:rtl/>
        </w:rPr>
        <w:t>שלשה</w:t>
      </w:r>
      <w:r>
        <w:rPr>
          <w:rStyle w:val="a7"/>
          <w:rFonts w:asciiTheme="minorBidi" w:hAnsiTheme="minorBidi"/>
          <w:rtl/>
        </w:rPr>
        <w:footnoteReference w:id="1955"/>
      </w:r>
      <w:r w:rsidRPr="003024E5">
        <w:rPr>
          <w:rFonts w:asciiTheme="minorBidi" w:hAnsiTheme="minorBidi"/>
          <w:rtl/>
        </w:rPr>
        <w:t xml:space="preserve"> תולעים, הירקות אסורים</w:t>
      </w:r>
      <w:r>
        <w:rPr>
          <w:rFonts w:asciiTheme="minorBidi" w:hAnsiTheme="minorBidi" w:hint="cs"/>
          <w:rtl/>
        </w:rPr>
        <w:t>,</w:t>
      </w:r>
      <w:r w:rsidRPr="003024E5">
        <w:rPr>
          <w:rFonts w:asciiTheme="minorBidi" w:hAnsiTheme="minorBidi"/>
          <w:rtl/>
        </w:rPr>
        <w:t xml:space="preserve"> אבל מי השלקות מסננן ומותרים</w:t>
      </w:r>
      <w:r>
        <w:rPr>
          <w:rFonts w:asciiTheme="minorBidi" w:hAnsiTheme="minorBidi" w:hint="cs"/>
          <w:rtl/>
        </w:rPr>
        <w:t>,</w:t>
      </w:r>
      <w:r w:rsidRPr="003024E5">
        <w:rPr>
          <w:rFonts w:asciiTheme="minorBidi" w:hAnsiTheme="minorBidi"/>
          <w:rtl/>
        </w:rPr>
        <w:t xml:space="preserve"> וכן הבשר ירחצנו ויבדקנו ומותר.</w:t>
      </w:r>
    </w:p>
    <w:p w14:paraId="095B724D" w14:textId="77777777" w:rsidR="002C39F4" w:rsidRPr="003024E5" w:rsidRDefault="002C39F4" w:rsidP="002C39F4">
      <w:pPr>
        <w:rPr>
          <w:rFonts w:asciiTheme="minorBidi" w:hAnsiTheme="minorBidi"/>
          <w:rtl/>
        </w:rPr>
      </w:pPr>
    </w:p>
    <w:p w14:paraId="143CA641"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75C2BA84"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קא: דין חתיכה הראויה להתכבד, ובו ט' סעיפים. </w:t>
      </w:r>
    </w:p>
    <w:p w14:paraId="4A7A4EEA"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חתיכה הראויה להתכבד שנתערבה.</w:t>
      </w:r>
    </w:p>
    <w:p w14:paraId="513255AD" w14:textId="77777777" w:rsidR="002C39F4" w:rsidRDefault="002C39F4" w:rsidP="002C39F4">
      <w:pPr>
        <w:rPr>
          <w:rtl/>
        </w:rPr>
      </w:pPr>
      <w:r>
        <w:rPr>
          <w:rFonts w:cs="Arial" w:hint="cs"/>
          <w:b/>
          <w:bCs/>
          <w:rtl/>
        </w:rPr>
        <w:t xml:space="preserve">חולין צו ע"ב: </w:t>
      </w:r>
      <w:r w:rsidRPr="00733B74">
        <w:rPr>
          <w:rFonts w:cs="Arial"/>
          <w:u w:val="double"/>
          <w:rtl/>
        </w:rPr>
        <w:t>מתני'</w:t>
      </w:r>
      <w:r>
        <w:rPr>
          <w:rFonts w:cs="Arial" w:hint="cs"/>
          <w:rtl/>
        </w:rPr>
        <w:t>:</w:t>
      </w:r>
      <w:r w:rsidRPr="00733B74">
        <w:rPr>
          <w:rFonts w:cs="Arial"/>
          <w:rtl/>
        </w:rPr>
        <w:t xml:space="preserve"> </w:t>
      </w:r>
      <w:r w:rsidRPr="00C35594">
        <w:rPr>
          <w:rFonts w:cs="Arial"/>
          <w:rtl/>
        </w:rPr>
        <w:t>וכן חתיכה של נבלה, וכן חתיכה של דג טמא שנתבשלה עם החתיכות, בזמן שמכירן</w:t>
      </w:r>
      <w:r>
        <w:rPr>
          <w:rFonts w:cs="Arial" w:hint="cs"/>
          <w:rtl/>
        </w:rPr>
        <w:t xml:space="preserve"> </w:t>
      </w:r>
      <w:r w:rsidRPr="00C35594">
        <w:rPr>
          <w:rFonts w:cs="Arial"/>
          <w:rtl/>
        </w:rPr>
        <w:t>- בנותן טעם, ואם לאו כולן אסורות, והרוטב בנותן טעם.</w:t>
      </w:r>
      <w:r>
        <w:rPr>
          <w:rFonts w:cs="Arial" w:hint="cs"/>
          <w:rtl/>
        </w:rPr>
        <w:t xml:space="preserve">     </w:t>
      </w:r>
      <w:r>
        <w:rPr>
          <w:rFonts w:cs="Arial" w:hint="cs"/>
          <w:u w:val="double"/>
          <w:rtl/>
        </w:rPr>
        <w:t>גמ'</w:t>
      </w:r>
      <w:r w:rsidRPr="00A57B65">
        <w:rPr>
          <w:rFonts w:cs="Arial" w:hint="cs"/>
          <w:sz w:val="14"/>
          <w:szCs w:val="14"/>
          <w:u w:val="double"/>
          <w:rtl/>
        </w:rPr>
        <w:t>(</w:t>
      </w:r>
      <w:r>
        <w:rPr>
          <w:rFonts w:cs="Arial" w:hint="cs"/>
          <w:sz w:val="14"/>
          <w:szCs w:val="14"/>
          <w:u w:val="double"/>
          <w:rtl/>
        </w:rPr>
        <w:t>ק</w:t>
      </w:r>
      <w:r w:rsidRPr="00A57B65">
        <w:rPr>
          <w:rFonts w:cs="Arial" w:hint="cs"/>
          <w:sz w:val="14"/>
          <w:szCs w:val="14"/>
          <w:u w:val="double"/>
          <w:rtl/>
        </w:rPr>
        <w:t>.)</w:t>
      </w:r>
      <w:r>
        <w:rPr>
          <w:rFonts w:cs="Arial" w:hint="cs"/>
          <w:u w:val="double"/>
          <w:rtl/>
        </w:rPr>
        <w:t>:</w:t>
      </w:r>
      <w:r>
        <w:rPr>
          <w:rFonts w:cs="Arial" w:hint="cs"/>
          <w:rtl/>
        </w:rPr>
        <w:t xml:space="preserve"> </w:t>
      </w:r>
      <w:r w:rsidRPr="00C35594">
        <w:rPr>
          <w:rFonts w:cs="Arial"/>
          <w:rtl/>
        </w:rPr>
        <w:t>וכן חתיכה של נבלה וכו'</w:t>
      </w:r>
      <w:r>
        <w:rPr>
          <w:rFonts w:cs="Arial" w:hint="cs"/>
          <w:rtl/>
        </w:rPr>
        <w:t>.</w:t>
      </w:r>
      <w:r w:rsidRPr="00C35594">
        <w:rPr>
          <w:rFonts w:cs="Arial"/>
          <w:rtl/>
        </w:rPr>
        <w:t xml:space="preserve"> ותבטיל ברובא</w:t>
      </w:r>
      <w:r>
        <w:rPr>
          <w:rStyle w:val="a7"/>
          <w:rFonts w:cs="Arial"/>
          <w:rtl/>
        </w:rPr>
        <w:footnoteReference w:id="1956"/>
      </w:r>
      <w:r w:rsidRPr="00C35594">
        <w:rPr>
          <w:rFonts w:cs="Arial"/>
          <w:rtl/>
        </w:rPr>
        <w:t>! הניחא למאן דאמר: כל שדרכו לימנות שנינו</w:t>
      </w:r>
      <w:r>
        <w:rPr>
          <w:rStyle w:val="a7"/>
          <w:rFonts w:cs="Arial"/>
          <w:rtl/>
        </w:rPr>
        <w:footnoteReference w:id="1957"/>
      </w:r>
      <w:r w:rsidRPr="00C35594">
        <w:rPr>
          <w:rFonts w:cs="Arial"/>
          <w:rtl/>
        </w:rPr>
        <w:t>, אלא למ"ד: את שדרכו</w:t>
      </w:r>
      <w:r>
        <w:rPr>
          <w:rStyle w:val="a7"/>
          <w:rFonts w:cs="Arial"/>
          <w:rtl/>
        </w:rPr>
        <w:footnoteReference w:id="1958"/>
      </w:r>
      <w:r w:rsidRPr="00C35594">
        <w:rPr>
          <w:rFonts w:cs="Arial"/>
          <w:rtl/>
        </w:rPr>
        <w:t xml:space="preserve"> לימנות שנינו, מאי איכא למימר? שאני חתיכה - הואיל וראויה להתכבד בה לפני האורחים. </w:t>
      </w:r>
      <w:r>
        <w:rPr>
          <w:rFonts w:cs="Arial" w:hint="cs"/>
          <w:sz w:val="16"/>
          <w:szCs w:val="16"/>
          <w:rtl/>
        </w:rPr>
        <w:t>(</w:t>
      </w:r>
      <w:r w:rsidRPr="00546DA9">
        <w:rPr>
          <w:rFonts w:cs="Arial"/>
          <w:sz w:val="16"/>
          <w:szCs w:val="16"/>
          <w:rtl/>
        </w:rPr>
        <w:t>כלומר דכל שראויה להתכבד חשובה ולא בטלה אפילו באלף</w:t>
      </w:r>
      <w:r>
        <w:rPr>
          <w:rFonts w:cs="Arial" w:hint="cs"/>
          <w:sz w:val="16"/>
          <w:szCs w:val="16"/>
          <w:rtl/>
        </w:rPr>
        <w:t>, כך נמנו וגמרו כל הפוסקים</w:t>
      </w:r>
      <w:r>
        <w:rPr>
          <w:rStyle w:val="a7"/>
          <w:rFonts w:cs="Arial"/>
          <w:sz w:val="16"/>
          <w:szCs w:val="16"/>
          <w:rtl/>
        </w:rPr>
        <w:footnoteReference w:id="1959"/>
      </w:r>
      <w:r>
        <w:rPr>
          <w:rFonts w:cs="Arial" w:hint="cs"/>
          <w:sz w:val="16"/>
          <w:szCs w:val="16"/>
          <w:rtl/>
        </w:rPr>
        <w:t>,</w:t>
      </w:r>
      <w:r w:rsidRPr="00546DA9">
        <w:rPr>
          <w:rFonts w:cs="Arial"/>
          <w:sz w:val="16"/>
          <w:szCs w:val="16"/>
          <w:rtl/>
        </w:rPr>
        <w:t xml:space="preserve"> וכ"כ הרמב"ם </w:t>
      </w:r>
      <w:r w:rsidRPr="00546DA9">
        <w:rPr>
          <w:rFonts w:cs="Arial" w:hint="cs"/>
          <w:sz w:val="14"/>
          <w:szCs w:val="14"/>
          <w:rtl/>
        </w:rPr>
        <w:t xml:space="preserve">(פט"ז </w:t>
      </w:r>
      <w:r w:rsidRPr="00546DA9">
        <w:rPr>
          <w:rFonts w:cs="Arial"/>
          <w:sz w:val="14"/>
          <w:szCs w:val="14"/>
          <w:rtl/>
        </w:rPr>
        <w:t>ה"ה)</w:t>
      </w:r>
      <w:r>
        <w:rPr>
          <w:rFonts w:cs="Arial" w:hint="cs"/>
          <w:sz w:val="16"/>
          <w:szCs w:val="16"/>
          <w:rtl/>
        </w:rPr>
        <w:t>, ב"י)</w:t>
      </w:r>
    </w:p>
    <w:p w14:paraId="130DB28E" w14:textId="77777777" w:rsidR="002C39F4" w:rsidRPr="0050067C" w:rsidRDefault="002C39F4" w:rsidP="002C39F4">
      <w:pPr>
        <w:rPr>
          <w:rFonts w:cs="Arial"/>
          <w:rtl/>
        </w:rPr>
      </w:pPr>
      <w:r>
        <w:rPr>
          <w:rFonts w:cs="Arial" w:hint="cs"/>
          <w:b/>
          <w:bCs/>
          <w:rtl/>
        </w:rPr>
        <w:t xml:space="preserve">עבודה זרה עד ע"א: </w:t>
      </w:r>
      <w:r w:rsidRPr="00733B74">
        <w:rPr>
          <w:rFonts w:cs="Arial"/>
          <w:u w:val="double"/>
          <w:rtl/>
        </w:rPr>
        <w:t>מתני'</w:t>
      </w:r>
      <w:r>
        <w:rPr>
          <w:rFonts w:cs="Arial" w:hint="cs"/>
          <w:rtl/>
        </w:rPr>
        <w:t>:</w:t>
      </w:r>
      <w:r w:rsidRPr="007D14DB">
        <w:rPr>
          <w:rFonts w:cs="Arial"/>
          <w:rtl/>
        </w:rPr>
        <w:t xml:space="preserve"> אלו אסורין ואוסרין בכל שהו: יין נסך, ועבודת כוכבים, ועורות לבובין, ושור הנסקל, ועגלה ערופה, וציפורי מצורע, ושער נזיר, ופטר חמור, ובשר בחלב, ושעיר המשתלח, וחולין שנשחטו בעזרה - הרי אלו אסורין ואוסרין בכל שהוא. </w:t>
      </w:r>
      <w:r>
        <w:rPr>
          <w:rFonts w:cs="Arial" w:hint="cs"/>
          <w:rtl/>
        </w:rPr>
        <w:t xml:space="preserve">       </w:t>
      </w:r>
      <w:r>
        <w:rPr>
          <w:rFonts w:cs="Arial" w:hint="cs"/>
          <w:u w:val="double"/>
          <w:rtl/>
        </w:rPr>
        <w:t>גמ':</w:t>
      </w:r>
      <w:r w:rsidRPr="007D14DB">
        <w:rPr>
          <w:rFonts w:cs="Arial"/>
          <w:rtl/>
        </w:rPr>
        <w:t xml:space="preserve"> תנא מאי קחשיב? אי דבר שבמנין קחשיב, ליתני נמי חתיכות נבילה! אי איסורי הנאה קא חשיב, ליתני נמי חמץ בפסח! </w:t>
      </w:r>
      <w:r w:rsidRPr="003E0405">
        <w:rPr>
          <w:rFonts w:cs="Arial"/>
          <w:u w:val="single"/>
          <w:rtl/>
        </w:rPr>
        <w:t>א"ר חייא בר אבא, ואיתימא ר' יצחק נפחא</w:t>
      </w:r>
      <w:r w:rsidRPr="007D14DB">
        <w:rPr>
          <w:rFonts w:cs="Arial"/>
          <w:rtl/>
        </w:rPr>
        <w:t>: האי תנא תרתי אית ליה, דבר שבמנין ואיסורי הנאה.</w:t>
      </w:r>
      <w:r>
        <w:rPr>
          <w:rFonts w:cs="Arial" w:hint="cs"/>
          <w:rtl/>
        </w:rPr>
        <w:t xml:space="preserve">.. </w:t>
      </w:r>
      <w:r w:rsidRPr="007D14DB">
        <w:rPr>
          <w:rFonts w:cs="Arial"/>
          <w:rtl/>
        </w:rPr>
        <w:t>הרי אלו. למעוטי מאי? למעוטי דבר שבמנין ולאו איסורי הנאה; א"נ, למעוטי איסור הנאה ולא דבר שבמנין.</w:t>
      </w:r>
      <w:r w:rsidRPr="0050067C">
        <w:rPr>
          <w:rFonts w:cs="Arial"/>
          <w:sz w:val="16"/>
          <w:szCs w:val="16"/>
          <w:rtl/>
        </w:rPr>
        <w:t xml:space="preserve"> </w:t>
      </w:r>
      <w:r w:rsidRPr="0050067C">
        <w:rPr>
          <w:rFonts w:cs="Arial" w:hint="cs"/>
          <w:sz w:val="16"/>
          <w:szCs w:val="16"/>
          <w:rtl/>
        </w:rPr>
        <w:t>(</w:t>
      </w:r>
      <w:r w:rsidRPr="0050067C">
        <w:rPr>
          <w:rFonts w:cs="Arial"/>
          <w:sz w:val="16"/>
          <w:szCs w:val="16"/>
          <w:rtl/>
        </w:rPr>
        <w:t xml:space="preserve">האי </w:t>
      </w:r>
      <w:r>
        <w:rPr>
          <w:rFonts w:cs="Arial" w:hint="cs"/>
          <w:sz w:val="16"/>
          <w:szCs w:val="16"/>
          <w:rtl/>
        </w:rPr>
        <w:t>'</w:t>
      </w:r>
      <w:r w:rsidRPr="0050067C">
        <w:rPr>
          <w:rFonts w:cs="Arial"/>
          <w:sz w:val="16"/>
          <w:szCs w:val="16"/>
          <w:rtl/>
        </w:rPr>
        <w:t>בכל שהן</w:t>
      </w:r>
      <w:r>
        <w:rPr>
          <w:rFonts w:cs="Arial" w:hint="cs"/>
          <w:sz w:val="16"/>
          <w:szCs w:val="16"/>
          <w:rtl/>
        </w:rPr>
        <w:t>'</w:t>
      </w:r>
      <w:r w:rsidRPr="0050067C">
        <w:rPr>
          <w:rFonts w:cs="Arial"/>
          <w:sz w:val="16"/>
          <w:szCs w:val="16"/>
          <w:rtl/>
        </w:rPr>
        <w:t xml:space="preserve"> אין</w:t>
      </w:r>
      <w:r w:rsidRPr="0050067C">
        <w:rPr>
          <w:sz w:val="16"/>
          <w:szCs w:val="16"/>
          <w:rtl/>
        </w:rPr>
        <w:t xml:space="preserve"> </w:t>
      </w:r>
      <w:r w:rsidRPr="0050067C">
        <w:rPr>
          <w:rFonts w:cs="Arial"/>
          <w:sz w:val="16"/>
          <w:szCs w:val="16"/>
          <w:rtl/>
        </w:rPr>
        <w:t>פירושו שאפילו משהו מאיסורין הללו יאסור תערובתו בהנאה</w:t>
      </w:r>
      <w:r>
        <w:rPr>
          <w:rFonts w:cs="Arial" w:hint="cs"/>
          <w:sz w:val="16"/>
          <w:szCs w:val="16"/>
          <w:rtl/>
        </w:rPr>
        <w:t>,</w:t>
      </w:r>
      <w:r w:rsidRPr="0050067C">
        <w:rPr>
          <w:rFonts w:cs="Arial"/>
          <w:sz w:val="16"/>
          <w:szCs w:val="16"/>
          <w:rtl/>
        </w:rPr>
        <w:t xml:space="preserve"> דהא בגמרא מוקמינן לה להא מתני' דוקא בדבר שבמנין</w:t>
      </w:r>
      <w:r>
        <w:rPr>
          <w:rFonts w:cs="Arial" w:hint="cs"/>
          <w:sz w:val="16"/>
          <w:szCs w:val="16"/>
          <w:rtl/>
        </w:rPr>
        <w:t>,</w:t>
      </w:r>
      <w:r w:rsidRPr="0050067C">
        <w:rPr>
          <w:rFonts w:cs="Arial"/>
          <w:sz w:val="16"/>
          <w:szCs w:val="16"/>
          <w:rtl/>
        </w:rPr>
        <w:t xml:space="preserve"> הלכך ודאי האי כל שהן הכי קאמר</w:t>
      </w:r>
      <w:r>
        <w:rPr>
          <w:rFonts w:cs="Arial" w:hint="cs"/>
          <w:sz w:val="16"/>
          <w:szCs w:val="16"/>
          <w:rtl/>
        </w:rPr>
        <w:t>-</w:t>
      </w:r>
      <w:r w:rsidRPr="0050067C">
        <w:rPr>
          <w:rFonts w:cs="Arial"/>
          <w:sz w:val="16"/>
          <w:szCs w:val="16"/>
          <w:rtl/>
        </w:rPr>
        <w:t xml:space="preserve"> שכל אחד מאיסורין הללו אם הוא דבר שבמנין אוסר תערובתו אפילו ריבה עליו אלף כיוצא בו</w:t>
      </w:r>
      <w:r>
        <w:rPr>
          <w:rStyle w:val="a7"/>
          <w:rFonts w:cs="Arial"/>
          <w:sz w:val="16"/>
          <w:szCs w:val="16"/>
          <w:rtl/>
        </w:rPr>
        <w:footnoteReference w:id="1960"/>
      </w:r>
      <w:r w:rsidRPr="0050067C">
        <w:rPr>
          <w:rFonts w:cs="Arial" w:hint="cs"/>
          <w:sz w:val="16"/>
          <w:szCs w:val="16"/>
          <w:rtl/>
        </w:rPr>
        <w:t xml:space="preserve">, ר"ן </w:t>
      </w:r>
      <w:r>
        <w:rPr>
          <w:rFonts w:cs="Arial" w:hint="cs"/>
          <w:sz w:val="14"/>
          <w:szCs w:val="14"/>
          <w:rtl/>
        </w:rPr>
        <w:t>(</w:t>
      </w:r>
      <w:r w:rsidRPr="0050067C">
        <w:rPr>
          <w:rFonts w:cs="Arial" w:hint="cs"/>
          <w:sz w:val="14"/>
          <w:szCs w:val="14"/>
          <w:rtl/>
        </w:rPr>
        <w:t>עד סוע"ב, ד"ה מתני' ואלו</w:t>
      </w:r>
      <w:r>
        <w:rPr>
          <w:rFonts w:cs="Arial" w:hint="cs"/>
          <w:sz w:val="14"/>
          <w:szCs w:val="14"/>
          <w:rtl/>
        </w:rPr>
        <w:t>)</w:t>
      </w:r>
      <w:r>
        <w:rPr>
          <w:rFonts w:cs="Arial" w:hint="cs"/>
          <w:sz w:val="16"/>
          <w:szCs w:val="16"/>
          <w:rtl/>
        </w:rPr>
        <w:t xml:space="preserve">. </w:t>
      </w:r>
      <w:r w:rsidRPr="0050067C">
        <w:rPr>
          <w:rFonts w:cs="Arial"/>
          <w:sz w:val="16"/>
          <w:szCs w:val="16"/>
          <w:rtl/>
        </w:rPr>
        <w:t>ו</w:t>
      </w:r>
      <w:r w:rsidRPr="0050067C">
        <w:rPr>
          <w:rFonts w:cs="Arial" w:hint="cs"/>
          <w:sz w:val="16"/>
          <w:szCs w:val="16"/>
          <w:rtl/>
        </w:rPr>
        <w:t xml:space="preserve">גם </w:t>
      </w:r>
      <w:r w:rsidRPr="0050067C">
        <w:rPr>
          <w:rFonts w:cs="Arial"/>
          <w:sz w:val="16"/>
          <w:szCs w:val="16"/>
          <w:rtl/>
        </w:rPr>
        <w:t>התוס</w:t>
      </w:r>
      <w:r w:rsidRPr="0050067C">
        <w:rPr>
          <w:rFonts w:cs="Arial" w:hint="cs"/>
          <w:sz w:val="16"/>
          <w:szCs w:val="16"/>
          <w:rtl/>
        </w:rPr>
        <w:t>'</w:t>
      </w:r>
      <w:r w:rsidRPr="0050067C">
        <w:rPr>
          <w:rFonts w:cs="Arial"/>
          <w:sz w:val="16"/>
          <w:szCs w:val="16"/>
          <w:rtl/>
        </w:rPr>
        <w:t xml:space="preserve"> (חולין ק. ד"ה שאני) והרא"ש (פג"ה סי' לד) </w:t>
      </w:r>
      <w:r w:rsidRPr="0050067C">
        <w:rPr>
          <w:rFonts w:cs="Arial" w:hint="cs"/>
          <w:sz w:val="16"/>
          <w:szCs w:val="16"/>
          <w:rtl/>
        </w:rPr>
        <w:t>כתבו ד</w:t>
      </w:r>
      <w:r w:rsidRPr="0050067C">
        <w:rPr>
          <w:rFonts w:cs="Arial"/>
          <w:sz w:val="16"/>
          <w:szCs w:val="16"/>
          <w:rtl/>
        </w:rPr>
        <w:t>אפילו היא אסורה בהנאה קרינן ראויה להתכבד וכו'</w:t>
      </w:r>
      <w:r>
        <w:rPr>
          <w:rFonts w:cs="Arial" w:hint="cs"/>
          <w:sz w:val="16"/>
          <w:szCs w:val="16"/>
          <w:rtl/>
        </w:rPr>
        <w:t>)</w:t>
      </w:r>
    </w:p>
    <w:p w14:paraId="0F87A9D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28C2035" w14:textId="77777777" w:rsidR="002C39F4" w:rsidRDefault="002C39F4" w:rsidP="002C39F4">
      <w:pPr>
        <w:rPr>
          <w:rFonts w:asciiTheme="minorBidi" w:hAnsiTheme="minorBidi"/>
          <w:rtl/>
        </w:rPr>
      </w:pPr>
      <w:r w:rsidRPr="003024E5">
        <w:rPr>
          <w:rFonts w:asciiTheme="minorBidi" w:hAnsiTheme="minorBidi"/>
          <w:rtl/>
        </w:rPr>
        <w:t>חתיכה הראויה להתכבד דינה כבריה דאפילו באלף לא בטלה</w:t>
      </w:r>
      <w:r>
        <w:rPr>
          <w:rStyle w:val="a7"/>
          <w:rFonts w:asciiTheme="minorBidi" w:hAnsiTheme="minorBidi"/>
          <w:rtl/>
        </w:rPr>
        <w:footnoteReference w:id="1961"/>
      </w:r>
      <w:r>
        <w:rPr>
          <w:rFonts w:asciiTheme="minorBidi" w:hAnsiTheme="minorBidi" w:hint="cs"/>
          <w:rtl/>
        </w:rPr>
        <w:t>,</w:t>
      </w:r>
      <w:r w:rsidRPr="003024E5">
        <w:rPr>
          <w:rFonts w:asciiTheme="minorBidi" w:hAnsiTheme="minorBidi"/>
          <w:rtl/>
        </w:rPr>
        <w:t xml:space="preserve"> ואפילו אם היא אסורה בהנאה</w:t>
      </w:r>
      <w:r>
        <w:rPr>
          <w:rStyle w:val="a7"/>
          <w:rFonts w:asciiTheme="minorBidi" w:hAnsiTheme="minorBidi"/>
          <w:rtl/>
        </w:rPr>
        <w:footnoteReference w:id="1962"/>
      </w:r>
      <w:r>
        <w:rPr>
          <w:rFonts w:asciiTheme="minorBidi" w:hAnsiTheme="minorBidi" w:hint="cs"/>
          <w:rtl/>
        </w:rPr>
        <w:t>,</w:t>
      </w:r>
      <w:r w:rsidRPr="003024E5">
        <w:rPr>
          <w:rFonts w:asciiTheme="minorBidi" w:hAnsiTheme="minorBidi"/>
          <w:rtl/>
        </w:rPr>
        <w:t xml:space="preserve"> כיון שאם תתבטל היתה מותרת וראויה להתכבד. </w:t>
      </w:r>
      <w:r w:rsidRPr="0050067C">
        <w:rPr>
          <w:rFonts w:asciiTheme="minorBidi" w:hAnsiTheme="minorBidi"/>
          <w:sz w:val="18"/>
          <w:szCs w:val="18"/>
          <w:rtl/>
        </w:rPr>
        <w:t>הגה: ואפילו אינה אסורה רק מדרבנן אינה בטילה (ב"י בשם הרמב"ם</w:t>
      </w:r>
      <w:r>
        <w:rPr>
          <w:rFonts w:asciiTheme="minorBidi" w:hAnsiTheme="minorBidi" w:hint="cs"/>
          <w:sz w:val="18"/>
          <w:szCs w:val="18"/>
          <w:rtl/>
        </w:rPr>
        <w:t xml:space="preserve"> פט"ז ה"ו</w:t>
      </w:r>
      <w:r w:rsidRPr="0050067C">
        <w:rPr>
          <w:rFonts w:asciiTheme="minorBidi" w:hAnsiTheme="minorBidi"/>
          <w:sz w:val="18"/>
          <w:szCs w:val="18"/>
          <w:rtl/>
        </w:rPr>
        <w:t>). ואם הוא ספק אם ראויה להתכבד או לא אזלינן לקולא</w:t>
      </w:r>
      <w:r>
        <w:rPr>
          <w:rStyle w:val="a7"/>
          <w:rFonts w:asciiTheme="minorBidi" w:hAnsiTheme="minorBidi"/>
          <w:sz w:val="18"/>
          <w:szCs w:val="18"/>
          <w:rtl/>
        </w:rPr>
        <w:footnoteReference w:id="1963"/>
      </w:r>
      <w:r w:rsidRPr="0050067C">
        <w:rPr>
          <w:rFonts w:asciiTheme="minorBidi" w:hAnsiTheme="minorBidi"/>
          <w:sz w:val="18"/>
          <w:szCs w:val="18"/>
          <w:rtl/>
        </w:rPr>
        <w:t xml:space="preserve"> (ארוך כלל כה</w:t>
      </w:r>
      <w:r>
        <w:rPr>
          <w:rFonts w:asciiTheme="minorBidi" w:hAnsiTheme="minorBidi" w:hint="cs"/>
          <w:sz w:val="18"/>
          <w:szCs w:val="18"/>
          <w:rtl/>
        </w:rPr>
        <w:t xml:space="preserve"> ד"ז</w:t>
      </w:r>
      <w:r w:rsidRPr="0050067C">
        <w:rPr>
          <w:rFonts w:asciiTheme="minorBidi" w:hAnsiTheme="minorBidi"/>
          <w:sz w:val="18"/>
          <w:szCs w:val="18"/>
          <w:rtl/>
        </w:rPr>
        <w:t>) אפילו היא אסורה מדאורייתא.</w:t>
      </w:r>
      <w:r w:rsidRPr="003024E5">
        <w:rPr>
          <w:rFonts w:asciiTheme="minorBidi" w:hAnsiTheme="minorBidi"/>
          <w:rtl/>
        </w:rPr>
        <w:t xml:space="preserve"> </w:t>
      </w:r>
    </w:p>
    <w:p w14:paraId="34BC6F71" w14:textId="77777777" w:rsidR="002C39F4" w:rsidRPr="003024E5" w:rsidRDefault="002C39F4" w:rsidP="002C39F4">
      <w:pPr>
        <w:rPr>
          <w:rFonts w:asciiTheme="minorBidi" w:hAnsiTheme="minorBidi"/>
          <w:rtl/>
        </w:rPr>
      </w:pPr>
    </w:p>
    <w:p w14:paraId="3C0C01E4"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חתיכה הראויה להתכבד שאינה אסורה מחמת עצמה.</w:t>
      </w:r>
    </w:p>
    <w:p w14:paraId="33B15861" w14:textId="77777777" w:rsidR="002C39F4" w:rsidRPr="006520D5" w:rsidRDefault="002C39F4" w:rsidP="002C39F4">
      <w:pPr>
        <w:rPr>
          <w:u w:val="single"/>
          <w:rtl/>
        </w:rPr>
      </w:pPr>
      <w:r w:rsidRPr="006520D5">
        <w:rPr>
          <w:rFonts w:hint="cs"/>
          <w:u w:val="single"/>
          <w:rtl/>
        </w:rPr>
        <w:t>חתיכה הראויה להתכבד שאינה אסורה מחמת עצמה:</w:t>
      </w:r>
    </w:p>
    <w:p w14:paraId="35983ED5" w14:textId="77777777" w:rsidR="002C39F4" w:rsidRDefault="002C39F4" w:rsidP="0032102C">
      <w:pPr>
        <w:pStyle w:val="a8"/>
        <w:numPr>
          <w:ilvl w:val="0"/>
          <w:numId w:val="200"/>
        </w:numPr>
        <w:rPr>
          <w:rFonts w:cs="Arial"/>
        </w:rPr>
      </w:pPr>
      <w:r w:rsidRPr="006520D5">
        <w:rPr>
          <w:rFonts w:cs="Arial" w:hint="cs"/>
          <w:rtl/>
        </w:rPr>
        <w:t>סה"ת</w:t>
      </w:r>
      <w:r w:rsidRPr="006520D5">
        <w:rPr>
          <w:rFonts w:cs="Arial"/>
          <w:rtl/>
        </w:rPr>
        <w:t xml:space="preserve"> סמ"ג </w:t>
      </w:r>
      <w:r w:rsidRPr="00E74B04">
        <w:rPr>
          <w:rFonts w:cs="Arial"/>
          <w:rtl/>
        </w:rPr>
        <w:t xml:space="preserve">מהר"ם </w:t>
      </w:r>
      <w:r w:rsidRPr="006520D5">
        <w:rPr>
          <w:rFonts w:cs="Arial"/>
          <w:rtl/>
        </w:rPr>
        <w:t xml:space="preserve">רשב"א רא"ש </w:t>
      </w:r>
      <w:r w:rsidRPr="006520D5">
        <w:rPr>
          <w:rFonts w:cs="Arial" w:hint="cs"/>
          <w:rtl/>
        </w:rPr>
        <w:t>ו</w:t>
      </w:r>
      <w:r w:rsidRPr="006520D5">
        <w:rPr>
          <w:rFonts w:cs="Arial"/>
          <w:rtl/>
        </w:rPr>
        <w:t>ר"ן</w:t>
      </w:r>
      <w:r>
        <w:rPr>
          <w:rStyle w:val="a7"/>
          <w:rFonts w:cs="Arial"/>
          <w:rtl/>
        </w:rPr>
        <w:footnoteReference w:id="1964"/>
      </w:r>
      <w:r w:rsidRPr="006520D5">
        <w:rPr>
          <w:rFonts w:cs="Arial" w:hint="cs"/>
          <w:rtl/>
        </w:rPr>
        <w:t xml:space="preserve">- </w:t>
      </w:r>
      <w:r w:rsidRPr="006520D5">
        <w:rPr>
          <w:rFonts w:cs="Arial"/>
          <w:rtl/>
        </w:rPr>
        <w:t>דוקא שאיסורה מחמת עצמה כמו נבלה ובשר בחלב</w:t>
      </w:r>
      <w:r>
        <w:rPr>
          <w:rStyle w:val="a7"/>
          <w:rFonts w:cs="Arial"/>
          <w:rtl/>
        </w:rPr>
        <w:footnoteReference w:id="1965"/>
      </w:r>
      <w:r w:rsidRPr="006520D5">
        <w:rPr>
          <w:rFonts w:cs="Arial" w:hint="cs"/>
          <w:rtl/>
        </w:rPr>
        <w:t>,</w:t>
      </w:r>
      <w:r w:rsidRPr="006520D5">
        <w:rPr>
          <w:rFonts w:cs="Arial"/>
          <w:rtl/>
        </w:rPr>
        <w:t xml:space="preserve"> אבל אם נאסרת מחמת שקבלה טעם מאיסורא ולא היו בה ס' לבטלו אפי' למי שסובר שנחשבת כנבלה אין לה דין חתיכה הראויה להתכבד</w:t>
      </w:r>
      <w:r>
        <w:rPr>
          <w:rStyle w:val="a7"/>
          <w:rFonts w:cs="Arial"/>
          <w:rtl/>
        </w:rPr>
        <w:footnoteReference w:id="1966"/>
      </w:r>
      <w:r w:rsidRPr="006520D5">
        <w:rPr>
          <w:rFonts w:cs="Arial"/>
          <w:rtl/>
        </w:rPr>
        <w:t xml:space="preserve"> שלא נאסרה אלא מחמת טעם שקבלה</w:t>
      </w:r>
      <w:r>
        <w:rPr>
          <w:rStyle w:val="a7"/>
          <w:rFonts w:cs="Arial"/>
          <w:rtl/>
        </w:rPr>
        <w:footnoteReference w:id="1967"/>
      </w:r>
      <w:r w:rsidRPr="006520D5">
        <w:rPr>
          <w:rFonts w:cs="Arial" w:hint="cs"/>
          <w:sz w:val="16"/>
          <w:szCs w:val="16"/>
          <w:rtl/>
        </w:rPr>
        <w:t xml:space="preserve"> (ל' הטור)</w:t>
      </w:r>
      <w:r w:rsidRPr="006520D5">
        <w:rPr>
          <w:rFonts w:cs="Arial" w:hint="cs"/>
          <w:rtl/>
        </w:rPr>
        <w:t>.</w:t>
      </w:r>
      <w:r w:rsidRPr="00E43F7C">
        <w:rPr>
          <w:rFonts w:cs="Arial" w:hint="cs"/>
          <w:color w:val="E36C0A" w:themeColor="accent6" w:themeShade="BF"/>
          <w:rtl/>
        </w:rPr>
        <w:t xml:space="preserve"> (וכ"פ בשו"ע)</w:t>
      </w:r>
    </w:p>
    <w:p w14:paraId="2CAF30B2" w14:textId="77777777" w:rsidR="002C39F4" w:rsidRPr="006520D5" w:rsidRDefault="002C39F4" w:rsidP="0032102C">
      <w:pPr>
        <w:pStyle w:val="a8"/>
        <w:numPr>
          <w:ilvl w:val="0"/>
          <w:numId w:val="200"/>
        </w:numPr>
        <w:rPr>
          <w:rFonts w:cs="Arial"/>
          <w:rtl/>
        </w:rPr>
      </w:pPr>
      <w:r w:rsidRPr="00A921F4">
        <w:rPr>
          <w:rFonts w:cs="Arial"/>
          <w:rtl/>
        </w:rPr>
        <w:t xml:space="preserve">רבינו שמואל </w:t>
      </w:r>
      <w:r>
        <w:rPr>
          <w:rFonts w:cs="Arial" w:hint="cs"/>
          <w:rtl/>
        </w:rPr>
        <w:t>ו</w:t>
      </w:r>
      <w:r w:rsidRPr="00A921F4">
        <w:rPr>
          <w:rFonts w:cs="Arial"/>
          <w:rtl/>
        </w:rPr>
        <w:t>ריב"א</w:t>
      </w:r>
      <w:r>
        <w:rPr>
          <w:rFonts w:cs="Arial" w:hint="cs"/>
          <w:rtl/>
        </w:rPr>
        <w:t xml:space="preserve"> </w:t>
      </w:r>
      <w:r w:rsidRPr="00A921F4">
        <w:rPr>
          <w:rFonts w:cs="Arial" w:hint="cs"/>
          <w:sz w:val="16"/>
          <w:szCs w:val="16"/>
          <w:rtl/>
        </w:rPr>
        <w:t xml:space="preserve">(הביאם המרדכי </w:t>
      </w:r>
      <w:r w:rsidRPr="00F61ED2">
        <w:rPr>
          <w:rFonts w:cs="Arial" w:hint="cs"/>
          <w:sz w:val="14"/>
          <w:szCs w:val="14"/>
          <w:rtl/>
        </w:rPr>
        <w:t>[סי' תרעד</w:t>
      </w:r>
      <w:r>
        <w:rPr>
          <w:rFonts w:cs="Arial" w:hint="cs"/>
          <w:sz w:val="14"/>
          <w:szCs w:val="14"/>
          <w:rtl/>
        </w:rPr>
        <w:t>]</w:t>
      </w:r>
      <w:r>
        <w:rPr>
          <w:rFonts w:cs="Arial" w:hint="cs"/>
          <w:sz w:val="16"/>
          <w:szCs w:val="16"/>
          <w:rtl/>
        </w:rPr>
        <w:t>)</w:t>
      </w:r>
      <w:r w:rsidRPr="006520D5">
        <w:rPr>
          <w:rFonts w:cs="Arial" w:hint="cs"/>
          <w:rtl/>
        </w:rPr>
        <w:t>-</w:t>
      </w:r>
      <w:r>
        <w:rPr>
          <w:rFonts w:cs="Arial" w:hint="cs"/>
          <w:rtl/>
        </w:rPr>
        <w:t xml:space="preserve"> אינה בטלה אע"ג דאינה אסורה מחמת עצמה</w:t>
      </w:r>
      <w:r>
        <w:rPr>
          <w:rStyle w:val="a7"/>
          <w:rFonts w:cs="Arial"/>
          <w:rtl/>
        </w:rPr>
        <w:footnoteReference w:id="1968"/>
      </w:r>
      <w:r>
        <w:rPr>
          <w:rFonts w:cs="Arial" w:hint="cs"/>
          <w:rtl/>
        </w:rPr>
        <w:t xml:space="preserve">. </w:t>
      </w:r>
    </w:p>
    <w:p w14:paraId="57EBE2C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F68868D" w14:textId="77777777" w:rsidR="002C39F4" w:rsidRDefault="002C39F4" w:rsidP="002C39F4">
      <w:pPr>
        <w:rPr>
          <w:rFonts w:asciiTheme="minorBidi" w:hAnsiTheme="minorBidi"/>
          <w:rtl/>
        </w:rPr>
      </w:pPr>
      <w:r w:rsidRPr="003024E5">
        <w:rPr>
          <w:rFonts w:asciiTheme="minorBidi" w:hAnsiTheme="minorBidi"/>
          <w:rtl/>
        </w:rPr>
        <w:t>אין לה דין חתיכה הראויה להתכבד אלא אם כן איסורה מחמת עצמה כגון נבלה</w:t>
      </w:r>
      <w:r>
        <w:rPr>
          <w:rStyle w:val="a7"/>
          <w:rFonts w:asciiTheme="minorBidi" w:hAnsiTheme="minorBidi"/>
          <w:rtl/>
        </w:rPr>
        <w:footnoteReference w:id="1969"/>
      </w:r>
      <w:r w:rsidRPr="003024E5">
        <w:rPr>
          <w:rFonts w:asciiTheme="minorBidi" w:hAnsiTheme="minorBidi"/>
          <w:rtl/>
        </w:rPr>
        <w:t xml:space="preserve"> ובשר בחלב</w:t>
      </w:r>
      <w:r>
        <w:rPr>
          <w:rStyle w:val="a7"/>
          <w:rFonts w:asciiTheme="minorBidi" w:hAnsiTheme="minorBidi"/>
          <w:rtl/>
        </w:rPr>
        <w:footnoteReference w:id="1970"/>
      </w:r>
      <w:r>
        <w:rPr>
          <w:rFonts w:asciiTheme="minorBidi" w:hAnsiTheme="minorBidi" w:hint="cs"/>
          <w:rtl/>
        </w:rPr>
        <w:t>,</w:t>
      </w:r>
      <w:r w:rsidRPr="003024E5">
        <w:rPr>
          <w:rFonts w:asciiTheme="minorBidi" w:hAnsiTheme="minorBidi"/>
          <w:rtl/>
        </w:rPr>
        <w:t xml:space="preserve"> אבל אם נאסרה מחמת שקבלה טעם מאיסור ולא היה בה </w:t>
      </w:r>
      <w:r>
        <w:rPr>
          <w:rFonts w:asciiTheme="minorBidi" w:hAnsiTheme="minorBidi" w:hint="cs"/>
          <w:rtl/>
        </w:rPr>
        <w:t>ששים</w:t>
      </w:r>
      <w:r w:rsidRPr="003024E5">
        <w:rPr>
          <w:rFonts w:asciiTheme="minorBidi" w:hAnsiTheme="minorBidi"/>
          <w:rtl/>
        </w:rPr>
        <w:t xml:space="preserve"> לבטלו, אפילו למי שסובר חתיכה עצמה נעשית נבלה אין לה דין חתיכה הראויה להתכבד</w:t>
      </w:r>
      <w:r>
        <w:rPr>
          <w:rStyle w:val="a7"/>
          <w:rFonts w:asciiTheme="minorBidi" w:hAnsiTheme="minorBidi"/>
          <w:rtl/>
        </w:rPr>
        <w:footnoteReference w:id="1971"/>
      </w:r>
      <w:r w:rsidRPr="003024E5">
        <w:rPr>
          <w:rFonts w:asciiTheme="minorBidi" w:hAnsiTheme="minorBidi"/>
          <w:rtl/>
        </w:rPr>
        <w:t xml:space="preserve">. </w:t>
      </w:r>
      <w:r w:rsidRPr="002A0637">
        <w:rPr>
          <w:rFonts w:asciiTheme="minorBidi" w:hAnsiTheme="minorBidi"/>
          <w:sz w:val="18"/>
          <w:szCs w:val="18"/>
          <w:rtl/>
        </w:rPr>
        <w:t>הגה: ואפילו חתיכה שלא נמלחה בטלה, דאין איסורה מחמת עצמה רק מחמת דם הבלוע בה (</w:t>
      </w:r>
      <w:r>
        <w:rPr>
          <w:rFonts w:asciiTheme="minorBidi" w:hAnsiTheme="minorBidi" w:hint="cs"/>
          <w:sz w:val="18"/>
          <w:szCs w:val="18"/>
          <w:rtl/>
        </w:rPr>
        <w:t>בארוך כלל כה ד"י</w:t>
      </w:r>
      <w:r w:rsidRPr="002A0637">
        <w:rPr>
          <w:rFonts w:asciiTheme="minorBidi" w:hAnsiTheme="minorBidi"/>
          <w:sz w:val="18"/>
          <w:szCs w:val="18"/>
          <w:rtl/>
        </w:rPr>
        <w:t xml:space="preserve"> </w:t>
      </w:r>
      <w:r>
        <w:rPr>
          <w:rFonts w:asciiTheme="minorBidi" w:hAnsiTheme="minorBidi" w:hint="cs"/>
          <w:sz w:val="18"/>
          <w:szCs w:val="18"/>
          <w:rtl/>
        </w:rPr>
        <w:t>ו</w:t>
      </w:r>
      <w:r w:rsidRPr="002A0637">
        <w:rPr>
          <w:rFonts w:asciiTheme="minorBidi" w:hAnsiTheme="minorBidi"/>
          <w:sz w:val="18"/>
          <w:szCs w:val="18"/>
          <w:rtl/>
        </w:rPr>
        <w:t>ת</w:t>
      </w:r>
      <w:r>
        <w:rPr>
          <w:rFonts w:asciiTheme="minorBidi" w:hAnsiTheme="minorBidi" w:hint="cs"/>
          <w:sz w:val="18"/>
          <w:szCs w:val="18"/>
          <w:rtl/>
        </w:rPr>
        <w:t>רו</w:t>
      </w:r>
      <w:r w:rsidRPr="002A0637">
        <w:rPr>
          <w:rFonts w:asciiTheme="minorBidi" w:hAnsiTheme="minorBidi"/>
          <w:sz w:val="18"/>
          <w:szCs w:val="18"/>
          <w:rtl/>
        </w:rPr>
        <w:t>ה</w:t>
      </w:r>
      <w:r>
        <w:rPr>
          <w:rFonts w:asciiTheme="minorBidi" w:hAnsiTheme="minorBidi" w:hint="cs"/>
          <w:sz w:val="18"/>
          <w:szCs w:val="18"/>
          <w:rtl/>
        </w:rPr>
        <w:t>"ד</w:t>
      </w:r>
      <w:r w:rsidRPr="002A0637">
        <w:rPr>
          <w:rFonts w:asciiTheme="minorBidi" w:hAnsiTheme="minorBidi"/>
          <w:sz w:val="18"/>
          <w:szCs w:val="18"/>
          <w:rtl/>
        </w:rPr>
        <w:t xml:space="preserve"> סי' קע). כל חתיכה שלא נאסרה רק כדי קליפה</w:t>
      </w:r>
      <w:r>
        <w:rPr>
          <w:rStyle w:val="a7"/>
          <w:rFonts w:asciiTheme="minorBidi" w:hAnsiTheme="minorBidi"/>
          <w:sz w:val="18"/>
          <w:szCs w:val="18"/>
          <w:rtl/>
        </w:rPr>
        <w:footnoteReference w:id="1972"/>
      </w:r>
      <w:r w:rsidRPr="002A0637">
        <w:rPr>
          <w:rFonts w:asciiTheme="minorBidi" w:hAnsiTheme="minorBidi"/>
          <w:sz w:val="18"/>
          <w:szCs w:val="18"/>
          <w:rtl/>
        </w:rPr>
        <w:t>, בטלה, דהרי הקליפה אינה ראויה להתכבד</w:t>
      </w:r>
      <w:r>
        <w:rPr>
          <w:rStyle w:val="a7"/>
          <w:rFonts w:asciiTheme="minorBidi" w:hAnsiTheme="minorBidi"/>
          <w:sz w:val="18"/>
          <w:szCs w:val="18"/>
          <w:rtl/>
        </w:rPr>
        <w:footnoteReference w:id="1973"/>
      </w:r>
      <w:r w:rsidRPr="002A0637">
        <w:rPr>
          <w:rFonts w:asciiTheme="minorBidi" w:hAnsiTheme="minorBidi"/>
          <w:sz w:val="18"/>
          <w:szCs w:val="18"/>
          <w:rtl/>
        </w:rPr>
        <w:t xml:space="preserve"> (</w:t>
      </w:r>
      <w:r w:rsidRPr="004A7E17">
        <w:rPr>
          <w:rFonts w:asciiTheme="minorBidi" w:hAnsiTheme="minorBidi"/>
          <w:color w:val="000000" w:themeColor="text1"/>
          <w:sz w:val="18"/>
          <w:szCs w:val="18"/>
          <w:rtl/>
        </w:rPr>
        <w:t>סברת התוס</w:t>
      </w:r>
      <w:r w:rsidRPr="004A7E17">
        <w:rPr>
          <w:rFonts w:asciiTheme="minorBidi" w:hAnsiTheme="minorBidi" w:hint="cs"/>
          <w:color w:val="000000" w:themeColor="text1"/>
          <w:sz w:val="18"/>
          <w:szCs w:val="18"/>
          <w:rtl/>
        </w:rPr>
        <w:t>'</w:t>
      </w:r>
      <w:r w:rsidRPr="004A7E17">
        <w:rPr>
          <w:rFonts w:asciiTheme="minorBidi" w:hAnsiTheme="minorBidi"/>
          <w:color w:val="000000" w:themeColor="text1"/>
          <w:sz w:val="18"/>
          <w:szCs w:val="18"/>
          <w:rtl/>
        </w:rPr>
        <w:t xml:space="preserve"> </w:t>
      </w:r>
      <w:r w:rsidRPr="002A0637">
        <w:rPr>
          <w:rFonts w:asciiTheme="minorBidi" w:hAnsiTheme="minorBidi"/>
          <w:sz w:val="18"/>
          <w:szCs w:val="18"/>
          <w:rtl/>
        </w:rPr>
        <w:t>ובהג</w:t>
      </w:r>
      <w:r>
        <w:rPr>
          <w:rFonts w:asciiTheme="minorBidi" w:hAnsiTheme="minorBidi" w:hint="cs"/>
          <w:sz w:val="18"/>
          <w:szCs w:val="18"/>
          <w:rtl/>
        </w:rPr>
        <w:t>שע"ד סי' לג סק"א</w:t>
      </w:r>
      <w:r w:rsidRPr="002A0637">
        <w:rPr>
          <w:rFonts w:asciiTheme="minorBidi" w:hAnsiTheme="minorBidi"/>
          <w:sz w:val="18"/>
          <w:szCs w:val="18"/>
          <w:rtl/>
        </w:rPr>
        <w:t>).</w:t>
      </w:r>
    </w:p>
    <w:p w14:paraId="37FE8BEA" w14:textId="77777777" w:rsidR="002C39F4" w:rsidRPr="00297024" w:rsidRDefault="002C39F4" w:rsidP="002C39F4">
      <w:pPr>
        <w:rPr>
          <w:rFonts w:asciiTheme="minorBidi" w:hAnsiTheme="minorBidi"/>
          <w:u w:val="single"/>
          <w:rtl/>
        </w:rPr>
      </w:pPr>
      <w:r>
        <w:rPr>
          <w:rFonts w:asciiTheme="minorBidi" w:hAnsiTheme="minorBidi" w:hint="cs"/>
          <w:u w:val="single"/>
          <w:rtl/>
        </w:rPr>
        <w:t xml:space="preserve">גבינת גוים וכן </w:t>
      </w:r>
      <w:r w:rsidRPr="00297024">
        <w:rPr>
          <w:rFonts w:asciiTheme="minorBidi" w:hAnsiTheme="minorBidi" w:hint="cs"/>
          <w:u w:val="single"/>
          <w:rtl/>
        </w:rPr>
        <w:t>גבינ</w:t>
      </w:r>
      <w:r>
        <w:rPr>
          <w:rFonts w:asciiTheme="minorBidi" w:hAnsiTheme="minorBidi" w:hint="cs"/>
          <w:u w:val="single"/>
          <w:rtl/>
        </w:rPr>
        <w:t xml:space="preserve">ה שהעמידוה בקיבה </w:t>
      </w:r>
      <w:r>
        <w:rPr>
          <w:rFonts w:asciiTheme="minorBidi" w:hAnsiTheme="minorBidi"/>
          <w:u w:val="single"/>
          <w:rtl/>
        </w:rPr>
        <w:t>–</w:t>
      </w:r>
      <w:r>
        <w:rPr>
          <w:rFonts w:asciiTheme="minorBidi" w:hAnsiTheme="minorBidi" w:hint="cs"/>
          <w:u w:val="single"/>
          <w:rtl/>
        </w:rPr>
        <w:t xml:space="preserve"> האם מתקריא חתיכה הראויה להתכבד</w:t>
      </w:r>
      <w:r w:rsidRPr="00297024">
        <w:rPr>
          <w:rFonts w:asciiTheme="minorBidi" w:hAnsiTheme="minorBidi" w:hint="cs"/>
          <w:u w:val="single"/>
          <w:rtl/>
        </w:rPr>
        <w:t>:</w:t>
      </w:r>
    </w:p>
    <w:p w14:paraId="3B4A6ECB" w14:textId="77777777" w:rsidR="002C39F4" w:rsidRDefault="002C39F4" w:rsidP="0032102C">
      <w:pPr>
        <w:pStyle w:val="a8"/>
        <w:numPr>
          <w:ilvl w:val="0"/>
          <w:numId w:val="202"/>
        </w:numPr>
        <w:rPr>
          <w:rFonts w:asciiTheme="minorBidi" w:hAnsiTheme="minorBidi"/>
        </w:rPr>
      </w:pPr>
      <w:r>
        <w:rPr>
          <w:rFonts w:asciiTheme="minorBidi" w:hAnsiTheme="minorBidi" w:hint="cs"/>
          <w:rtl/>
        </w:rPr>
        <w:t>או"ה</w:t>
      </w:r>
      <w:r w:rsidRPr="00625D15">
        <w:rPr>
          <w:rFonts w:asciiTheme="minorBidi" w:hAnsiTheme="minorBidi" w:hint="cs"/>
          <w:sz w:val="16"/>
          <w:szCs w:val="16"/>
          <w:rtl/>
        </w:rPr>
        <w:t xml:space="preserve"> (כלל כה דין ה)</w:t>
      </w:r>
      <w:r>
        <w:rPr>
          <w:rFonts w:asciiTheme="minorBidi" w:hAnsiTheme="minorBidi" w:hint="cs"/>
          <w:rtl/>
        </w:rPr>
        <w:t xml:space="preserve"> ש"ך </w:t>
      </w:r>
      <w:r>
        <w:rPr>
          <w:rFonts w:asciiTheme="minorBidi" w:hAnsiTheme="minorBidi" w:hint="cs"/>
          <w:sz w:val="16"/>
          <w:szCs w:val="16"/>
          <w:rtl/>
        </w:rPr>
        <w:t>(נה"כ אות א)</w:t>
      </w:r>
      <w:r>
        <w:rPr>
          <w:rFonts w:asciiTheme="minorBidi" w:hAnsiTheme="minorBidi" w:hint="cs"/>
          <w:rtl/>
        </w:rPr>
        <w:t xml:space="preserve"> ומנחת יעקב</w:t>
      </w:r>
      <w:r>
        <w:rPr>
          <w:rFonts w:asciiTheme="minorBidi" w:hAnsiTheme="minorBidi" w:hint="cs"/>
          <w:sz w:val="16"/>
          <w:szCs w:val="16"/>
          <w:rtl/>
        </w:rPr>
        <w:t xml:space="preserve"> (כלל מ סק"ב)</w:t>
      </w:r>
      <w:r>
        <w:rPr>
          <w:rFonts w:asciiTheme="minorBidi" w:hAnsiTheme="minorBidi" w:hint="cs"/>
          <w:rtl/>
        </w:rPr>
        <w:t xml:space="preserve">- </w:t>
      </w:r>
      <w:r w:rsidRPr="00625D15">
        <w:rPr>
          <w:rFonts w:asciiTheme="minorBidi" w:hAnsiTheme="minorBidi" w:cs="Arial"/>
          <w:rtl/>
        </w:rPr>
        <w:t>גבינה שהועמד</w:t>
      </w:r>
      <w:r>
        <w:rPr>
          <w:rFonts w:asciiTheme="minorBidi" w:hAnsiTheme="minorBidi" w:cs="Arial" w:hint="cs"/>
          <w:rtl/>
        </w:rPr>
        <w:t>ה</w:t>
      </w:r>
      <w:r w:rsidRPr="00625D15">
        <w:rPr>
          <w:rFonts w:asciiTheme="minorBidi" w:hAnsiTheme="minorBidi" w:cs="Arial"/>
          <w:rtl/>
        </w:rPr>
        <w:t xml:space="preserve"> בקיבה הנאסר</w:t>
      </w:r>
      <w:r>
        <w:rPr>
          <w:rFonts w:asciiTheme="minorBidi" w:hAnsiTheme="minorBidi" w:cs="Arial" w:hint="cs"/>
          <w:rtl/>
        </w:rPr>
        <w:t>ת</w:t>
      </w:r>
      <w:r w:rsidRPr="00625D15">
        <w:rPr>
          <w:rFonts w:asciiTheme="minorBidi" w:hAnsiTheme="minorBidi" w:cs="Arial"/>
          <w:rtl/>
        </w:rPr>
        <w:t xml:space="preserve"> מבשר </w:t>
      </w:r>
      <w:r>
        <w:rPr>
          <w:rFonts w:asciiTheme="minorBidi" w:hAnsiTheme="minorBidi" w:cs="Arial" w:hint="cs"/>
          <w:rtl/>
        </w:rPr>
        <w:t>וחל</w:t>
      </w:r>
      <w:r w:rsidRPr="00625D15">
        <w:rPr>
          <w:rFonts w:asciiTheme="minorBidi" w:hAnsiTheme="minorBidi" w:cs="Arial"/>
          <w:rtl/>
        </w:rPr>
        <w:t>ב</w:t>
      </w:r>
      <w:r>
        <w:rPr>
          <w:rFonts w:asciiTheme="minorBidi" w:hAnsiTheme="minorBidi" w:cs="Arial" w:hint="cs"/>
          <w:rtl/>
        </w:rPr>
        <w:t xml:space="preserve"> חשוב</w:t>
      </w:r>
      <w:r w:rsidRPr="00625D15">
        <w:rPr>
          <w:rFonts w:asciiTheme="minorBidi" w:hAnsiTheme="minorBidi" w:cs="Arial"/>
          <w:rtl/>
        </w:rPr>
        <w:t xml:space="preserve"> </w:t>
      </w:r>
      <w:r>
        <w:rPr>
          <w:rFonts w:asciiTheme="minorBidi" w:hAnsiTheme="minorBidi" w:cs="Arial" w:hint="cs"/>
          <w:rtl/>
        </w:rPr>
        <w:t>חתיכה הראויה להתכבד</w:t>
      </w:r>
      <w:r w:rsidRPr="00625D15">
        <w:rPr>
          <w:rFonts w:asciiTheme="minorBidi" w:hAnsiTheme="minorBidi" w:cs="Arial"/>
          <w:rtl/>
        </w:rPr>
        <w:t xml:space="preserve"> שאין בטל לעולם והיינו מטעם דבשר בחלב הוי כאיסור מגופו כדאיתא לקמן</w:t>
      </w:r>
      <w:r>
        <w:rPr>
          <w:rFonts w:asciiTheme="minorBidi" w:hAnsiTheme="minorBidi" w:cs="Arial" w:hint="cs"/>
          <w:rtl/>
        </w:rPr>
        <w:t>...</w:t>
      </w:r>
      <w:r w:rsidRPr="00625D15">
        <w:rPr>
          <w:rFonts w:asciiTheme="minorBidi" w:hAnsiTheme="minorBidi" w:cs="Arial"/>
          <w:rtl/>
        </w:rPr>
        <w:t xml:space="preserve"> ואפי' סתם גבינות של </w:t>
      </w:r>
      <w:r>
        <w:rPr>
          <w:rFonts w:asciiTheme="minorBidi" w:hAnsiTheme="minorBidi" w:cs="Arial" w:hint="cs"/>
          <w:rtl/>
        </w:rPr>
        <w:t>גוים</w:t>
      </w:r>
      <w:r w:rsidRPr="00625D15">
        <w:rPr>
          <w:rFonts w:asciiTheme="minorBidi" w:hAnsiTheme="minorBidi" w:cs="Arial"/>
          <w:rtl/>
        </w:rPr>
        <w:t xml:space="preserve"> ואע</w:t>
      </w:r>
      <w:r>
        <w:rPr>
          <w:rFonts w:asciiTheme="minorBidi" w:hAnsiTheme="minorBidi" w:cs="Arial" w:hint="cs"/>
          <w:rtl/>
        </w:rPr>
        <w:t>"</w:t>
      </w:r>
      <w:r w:rsidRPr="00625D15">
        <w:rPr>
          <w:rFonts w:asciiTheme="minorBidi" w:hAnsiTheme="minorBidi" w:cs="Arial"/>
          <w:rtl/>
        </w:rPr>
        <w:t>פ שאין איסורא אלא ע"י בליע</w:t>
      </w:r>
      <w:r>
        <w:rPr>
          <w:rFonts w:asciiTheme="minorBidi" w:hAnsiTheme="minorBidi" w:cs="Arial" w:hint="cs"/>
          <w:rtl/>
        </w:rPr>
        <w:t>ה,</w:t>
      </w:r>
      <w:r w:rsidRPr="00625D15">
        <w:rPr>
          <w:rFonts w:asciiTheme="minorBidi" w:hAnsiTheme="minorBidi" w:cs="Arial"/>
          <w:rtl/>
        </w:rPr>
        <w:t xml:space="preserve"> ושמא מטעם דמאחר שאסרו חכמים אף כל סתם גבינות מחמת חשש איסור שיש בקצת וגם תחלת עשייתם ע"י האיסור הוי כנולד באיסורו</w:t>
      </w:r>
      <w:r>
        <w:rPr>
          <w:rFonts w:asciiTheme="minorBidi" w:hAnsiTheme="minorBidi" w:cs="Arial" w:hint="cs"/>
          <w:sz w:val="16"/>
          <w:szCs w:val="16"/>
          <w:rtl/>
        </w:rPr>
        <w:t xml:space="preserve"> (ל' האו"ה)</w:t>
      </w:r>
      <w:r w:rsidRPr="00625D15">
        <w:rPr>
          <w:rFonts w:asciiTheme="minorBidi" w:hAnsiTheme="minorBidi" w:cs="Arial"/>
          <w:rtl/>
        </w:rPr>
        <w:t>.</w:t>
      </w:r>
    </w:p>
    <w:p w14:paraId="318932F8" w14:textId="77777777" w:rsidR="002C39F4" w:rsidRDefault="002C39F4" w:rsidP="0032102C">
      <w:pPr>
        <w:pStyle w:val="a8"/>
        <w:numPr>
          <w:ilvl w:val="0"/>
          <w:numId w:val="202"/>
        </w:numPr>
        <w:rPr>
          <w:rFonts w:asciiTheme="minorBidi" w:hAnsiTheme="minorBidi"/>
        </w:rPr>
      </w:pPr>
      <w:r>
        <w:rPr>
          <w:rFonts w:asciiTheme="minorBidi" w:hAnsiTheme="minorBidi" w:hint="cs"/>
          <w:rtl/>
        </w:rPr>
        <w:t xml:space="preserve">ט"ז </w:t>
      </w:r>
      <w:r w:rsidRPr="00235870">
        <w:rPr>
          <w:rFonts w:asciiTheme="minorBidi" w:hAnsiTheme="minorBidi" w:hint="cs"/>
          <w:sz w:val="16"/>
          <w:szCs w:val="16"/>
          <w:rtl/>
        </w:rPr>
        <w:t>(סק"ד)</w:t>
      </w:r>
      <w:r>
        <w:rPr>
          <w:rFonts w:asciiTheme="minorBidi" w:hAnsiTheme="minorBidi" w:hint="cs"/>
          <w:rtl/>
        </w:rPr>
        <w:t>-</w:t>
      </w:r>
      <w:r w:rsidRPr="00235870">
        <w:rPr>
          <w:rtl/>
        </w:rPr>
        <w:t xml:space="preserve"> </w:t>
      </w:r>
      <w:r w:rsidRPr="00235870">
        <w:rPr>
          <w:rFonts w:asciiTheme="minorBidi" w:hAnsiTheme="minorBidi" w:cs="Arial"/>
          <w:rtl/>
        </w:rPr>
        <w:t xml:space="preserve">סתם גבינה של </w:t>
      </w:r>
      <w:r>
        <w:rPr>
          <w:rFonts w:asciiTheme="minorBidi" w:hAnsiTheme="minorBidi" w:cs="Arial" w:hint="cs"/>
          <w:rtl/>
        </w:rPr>
        <w:t>גו</w:t>
      </w:r>
      <w:r w:rsidRPr="00235870">
        <w:rPr>
          <w:rFonts w:asciiTheme="minorBidi" w:hAnsiTheme="minorBidi" w:cs="Arial"/>
          <w:rtl/>
        </w:rPr>
        <w:t>ים שנתערבה בין הכשירות</w:t>
      </w:r>
      <w:r>
        <w:rPr>
          <w:rFonts w:asciiTheme="minorBidi" w:hAnsiTheme="minorBidi" w:cs="Arial" w:hint="cs"/>
          <w:rtl/>
        </w:rPr>
        <w:t>, כיון ש</w:t>
      </w:r>
      <w:r w:rsidRPr="00235870">
        <w:rPr>
          <w:rFonts w:asciiTheme="minorBidi" w:hAnsiTheme="minorBidi" w:cs="Arial"/>
          <w:rtl/>
        </w:rPr>
        <w:t>מעמידין אותו בעור קיבת נבילה יש לה דין הראויה להתכבד כי איסור בשר וחלב יש כאן</w:t>
      </w:r>
      <w:r>
        <w:rPr>
          <w:rFonts w:asciiTheme="minorBidi" w:hAnsiTheme="minorBidi" w:cs="Arial" w:hint="cs"/>
          <w:rtl/>
        </w:rPr>
        <w:t>,</w:t>
      </w:r>
      <w:r w:rsidRPr="00235870">
        <w:rPr>
          <w:rFonts w:asciiTheme="minorBidi" w:hAnsiTheme="minorBidi" w:cs="Arial"/>
          <w:rtl/>
        </w:rPr>
        <w:t xml:space="preserve"> </w:t>
      </w:r>
      <w:r>
        <w:rPr>
          <w:rFonts w:asciiTheme="minorBidi" w:hAnsiTheme="minorBidi" w:cs="Arial" w:hint="cs"/>
          <w:rtl/>
        </w:rPr>
        <w:t xml:space="preserve">אבל </w:t>
      </w:r>
      <w:r w:rsidRPr="00235870">
        <w:rPr>
          <w:rFonts w:asciiTheme="minorBidi" w:hAnsiTheme="minorBidi" w:cs="Arial"/>
          <w:rtl/>
        </w:rPr>
        <w:t xml:space="preserve">במקום שידוע שאין מעמידין בעור קיבת בהמה של </w:t>
      </w:r>
      <w:r>
        <w:rPr>
          <w:rFonts w:asciiTheme="minorBidi" w:hAnsiTheme="minorBidi" w:cs="Arial" w:hint="cs"/>
          <w:rtl/>
        </w:rPr>
        <w:t>גו</w:t>
      </w:r>
      <w:r w:rsidRPr="00235870">
        <w:rPr>
          <w:rFonts w:asciiTheme="minorBidi" w:hAnsiTheme="minorBidi" w:cs="Arial"/>
          <w:rtl/>
        </w:rPr>
        <w:t>ים לא הוה חתיכה הראויה להתכב</w:t>
      </w:r>
      <w:r>
        <w:rPr>
          <w:rFonts w:asciiTheme="minorBidi" w:hAnsiTheme="minorBidi" w:cs="Arial" w:hint="cs"/>
          <w:rtl/>
        </w:rPr>
        <w:t>ד</w:t>
      </w:r>
      <w:r w:rsidRPr="00235870">
        <w:rPr>
          <w:rtl/>
        </w:rPr>
        <w:t xml:space="preserve"> </w:t>
      </w:r>
      <w:r>
        <w:rPr>
          <w:rFonts w:asciiTheme="minorBidi" w:hAnsiTheme="minorBidi" w:cs="Arial" w:hint="cs"/>
          <w:rtl/>
        </w:rPr>
        <w:t>ד</w:t>
      </w:r>
      <w:r w:rsidRPr="00235870">
        <w:rPr>
          <w:rFonts w:asciiTheme="minorBidi" w:hAnsiTheme="minorBidi" w:cs="Arial"/>
          <w:rtl/>
        </w:rPr>
        <w:t>חשבינן לה לאיסור בלוע ובטילה ולא אמרינן דאתיא מחלב בהמה טריפה דבתר רוב אזלינן ורוב הבהמות כשירות</w:t>
      </w:r>
      <w:r>
        <w:rPr>
          <w:rFonts w:asciiTheme="minorBidi" w:hAnsiTheme="minorBidi" w:cs="Arial" w:hint="cs"/>
          <w:rtl/>
        </w:rPr>
        <w:t>.</w:t>
      </w:r>
    </w:p>
    <w:p w14:paraId="77752A09" w14:textId="77777777" w:rsidR="002C39F4" w:rsidRPr="00BB6ACE" w:rsidRDefault="002C39F4" w:rsidP="002C39F4">
      <w:pPr>
        <w:rPr>
          <w:rFonts w:asciiTheme="minorBidi" w:hAnsiTheme="minorBidi"/>
          <w:u w:val="single"/>
          <w:rtl/>
        </w:rPr>
      </w:pPr>
      <w:r w:rsidRPr="00BB6ACE">
        <w:rPr>
          <w:rFonts w:asciiTheme="minorBidi" w:hAnsiTheme="minorBidi" w:hint="cs"/>
          <w:u w:val="single"/>
          <w:rtl/>
        </w:rPr>
        <w:t>בשר בחלב שנאסר ע"י כבישה:</w:t>
      </w:r>
    </w:p>
    <w:p w14:paraId="64DA8238" w14:textId="77777777" w:rsidR="002C39F4" w:rsidRPr="00BB6ACE" w:rsidRDefault="002C39F4" w:rsidP="0032102C">
      <w:pPr>
        <w:pStyle w:val="a8"/>
        <w:numPr>
          <w:ilvl w:val="0"/>
          <w:numId w:val="201"/>
        </w:numPr>
        <w:rPr>
          <w:rFonts w:asciiTheme="minorBidi" w:hAnsiTheme="minorBidi"/>
          <w:rtl/>
        </w:rPr>
      </w:pPr>
      <w:r w:rsidRPr="00BB6ACE">
        <w:rPr>
          <w:rFonts w:asciiTheme="minorBidi" w:hAnsiTheme="minorBidi" w:hint="cs"/>
          <w:rtl/>
        </w:rPr>
        <w:t xml:space="preserve">רעק"א </w:t>
      </w:r>
      <w:r w:rsidRPr="00BB6ACE">
        <w:rPr>
          <w:rFonts w:asciiTheme="minorBidi" w:hAnsiTheme="minorBidi" w:hint="cs"/>
          <w:sz w:val="16"/>
          <w:szCs w:val="16"/>
          <w:rtl/>
        </w:rPr>
        <w:t>(אות ג)</w:t>
      </w:r>
      <w:r w:rsidRPr="00BB6ACE">
        <w:rPr>
          <w:rFonts w:asciiTheme="minorBidi" w:hAnsiTheme="minorBidi" w:hint="cs"/>
          <w:rtl/>
        </w:rPr>
        <w:t>-</w:t>
      </w:r>
      <w:r>
        <w:rPr>
          <w:rFonts w:asciiTheme="minorBidi" w:hAnsiTheme="minorBidi" w:hint="cs"/>
          <w:rtl/>
        </w:rPr>
        <w:t xml:space="preserve"> יש בו דין חתיכה הראויה להתכבד.</w:t>
      </w:r>
    </w:p>
    <w:p w14:paraId="2DC28E5D" w14:textId="77777777" w:rsidR="002C39F4" w:rsidRDefault="002C39F4" w:rsidP="0032102C">
      <w:pPr>
        <w:pStyle w:val="a8"/>
        <w:numPr>
          <w:ilvl w:val="0"/>
          <w:numId w:val="201"/>
        </w:numPr>
        <w:rPr>
          <w:rFonts w:asciiTheme="minorBidi" w:hAnsiTheme="minorBidi"/>
        </w:rPr>
      </w:pPr>
      <w:r w:rsidRPr="00BB6ACE">
        <w:rPr>
          <w:rFonts w:asciiTheme="minorBidi" w:hAnsiTheme="minorBidi" w:hint="cs"/>
          <w:rtl/>
        </w:rPr>
        <w:t xml:space="preserve">מנחת יעקב </w:t>
      </w:r>
      <w:r w:rsidRPr="00BB6ACE">
        <w:rPr>
          <w:rFonts w:asciiTheme="minorBidi" w:hAnsiTheme="minorBidi" w:hint="cs"/>
          <w:sz w:val="16"/>
          <w:szCs w:val="16"/>
          <w:rtl/>
        </w:rPr>
        <w:t>(כלל מ סק"י)</w:t>
      </w:r>
      <w:r w:rsidRPr="00BB6ACE">
        <w:rPr>
          <w:rFonts w:asciiTheme="minorBidi" w:hAnsiTheme="minorBidi" w:hint="cs"/>
          <w:rtl/>
        </w:rPr>
        <w:t>-</w:t>
      </w:r>
      <w:r>
        <w:rPr>
          <w:rFonts w:asciiTheme="minorBidi" w:hAnsiTheme="minorBidi" w:hint="cs"/>
          <w:rtl/>
        </w:rPr>
        <w:t xml:space="preserve"> אין בו דין חתיכה הראויה להתכבד.</w:t>
      </w:r>
    </w:p>
    <w:p w14:paraId="1BDC4E78" w14:textId="77777777" w:rsidR="002C39F4" w:rsidRDefault="002C39F4" w:rsidP="002C39F4">
      <w:pPr>
        <w:rPr>
          <w:rFonts w:asciiTheme="minorBidi" w:hAnsiTheme="minorBidi" w:cs="Arial"/>
          <w:rtl/>
        </w:rPr>
      </w:pPr>
      <w:r w:rsidRPr="00F11EAD">
        <w:rPr>
          <w:rFonts w:asciiTheme="minorBidi" w:hAnsiTheme="minorBidi" w:cs="Arial"/>
          <w:u w:val="single"/>
          <w:rtl/>
        </w:rPr>
        <w:t xml:space="preserve">קרעפליך </w:t>
      </w:r>
      <w:r w:rsidRPr="00F11EAD">
        <w:rPr>
          <w:rFonts w:asciiTheme="minorBidi" w:hAnsiTheme="minorBidi" w:cs="Arial" w:hint="cs"/>
          <w:u w:val="single"/>
          <w:rtl/>
        </w:rPr>
        <w:t>שנאפו עם חמאה ובחלק מהם נגע שומן אווז:</w:t>
      </w:r>
      <w:r>
        <w:rPr>
          <w:rFonts w:asciiTheme="minorBidi" w:hAnsiTheme="minorBidi" w:cs="Arial" w:hint="cs"/>
          <w:rtl/>
        </w:rPr>
        <w:t xml:space="preserve">   </w:t>
      </w:r>
      <w:r w:rsidRPr="00F11EAD">
        <w:rPr>
          <w:rFonts w:asciiTheme="minorBidi" w:hAnsiTheme="minorBidi" w:cs="Arial"/>
          <w:sz w:val="16"/>
          <w:szCs w:val="16"/>
          <w:rtl/>
        </w:rPr>
        <w:t>(</w:t>
      </w:r>
      <w:r w:rsidRPr="00F11EAD">
        <w:rPr>
          <w:rFonts w:asciiTheme="minorBidi" w:hAnsiTheme="minorBidi" w:cs="Arial" w:hint="cs"/>
          <w:sz w:val="16"/>
          <w:szCs w:val="16"/>
          <w:rtl/>
        </w:rPr>
        <w:t xml:space="preserve">פת"ש </w:t>
      </w:r>
      <w:r>
        <w:rPr>
          <w:rFonts w:asciiTheme="minorBidi" w:hAnsiTheme="minorBidi" w:cs="Arial" w:hint="cs"/>
          <w:sz w:val="16"/>
          <w:szCs w:val="16"/>
          <w:rtl/>
        </w:rPr>
        <w:t>סק"</w:t>
      </w:r>
      <w:r w:rsidRPr="00F11EAD">
        <w:rPr>
          <w:rFonts w:asciiTheme="minorBidi" w:hAnsiTheme="minorBidi" w:cs="Arial"/>
          <w:sz w:val="16"/>
          <w:szCs w:val="16"/>
          <w:rtl/>
        </w:rPr>
        <w:t>ג)</w:t>
      </w:r>
      <w:r w:rsidRPr="00F11EAD">
        <w:rPr>
          <w:rFonts w:asciiTheme="minorBidi" w:hAnsiTheme="minorBidi" w:cs="Arial"/>
          <w:rtl/>
        </w:rPr>
        <w:t xml:space="preserve"> </w:t>
      </w:r>
    </w:p>
    <w:p w14:paraId="6DBB0C69" w14:textId="77777777" w:rsidR="002C39F4" w:rsidRPr="00F11EAD" w:rsidRDefault="002C39F4" w:rsidP="0032102C">
      <w:pPr>
        <w:pStyle w:val="a8"/>
        <w:numPr>
          <w:ilvl w:val="0"/>
          <w:numId w:val="264"/>
        </w:numPr>
        <w:rPr>
          <w:rFonts w:asciiTheme="minorBidi" w:hAnsiTheme="minorBidi"/>
          <w:rtl/>
        </w:rPr>
      </w:pPr>
      <w:r w:rsidRPr="00F11EAD">
        <w:rPr>
          <w:rFonts w:asciiTheme="minorBidi" w:hAnsiTheme="minorBidi" w:cs="Arial"/>
          <w:rtl/>
        </w:rPr>
        <w:t xml:space="preserve">נו"ב </w:t>
      </w:r>
      <w:r w:rsidRPr="00F11EAD">
        <w:rPr>
          <w:rFonts w:asciiTheme="minorBidi" w:hAnsiTheme="minorBidi" w:cs="Arial" w:hint="cs"/>
          <w:sz w:val="16"/>
          <w:szCs w:val="16"/>
          <w:rtl/>
        </w:rPr>
        <w:t>(</w:t>
      </w:r>
      <w:r w:rsidRPr="00F11EAD">
        <w:rPr>
          <w:rFonts w:asciiTheme="minorBidi" w:hAnsiTheme="minorBidi" w:cs="Arial"/>
          <w:sz w:val="16"/>
          <w:szCs w:val="16"/>
          <w:rtl/>
        </w:rPr>
        <w:t>י</w:t>
      </w:r>
      <w:r w:rsidRPr="00F11EAD">
        <w:rPr>
          <w:rFonts w:asciiTheme="minorBidi" w:hAnsiTheme="minorBidi" w:cs="Arial" w:hint="cs"/>
          <w:sz w:val="16"/>
          <w:szCs w:val="16"/>
          <w:rtl/>
        </w:rPr>
        <w:t>ו</w:t>
      </w:r>
      <w:r w:rsidRPr="00F11EAD">
        <w:rPr>
          <w:rFonts w:asciiTheme="minorBidi" w:hAnsiTheme="minorBidi" w:cs="Arial"/>
          <w:sz w:val="16"/>
          <w:szCs w:val="16"/>
          <w:rtl/>
        </w:rPr>
        <w:t>"ד סי</w:t>
      </w:r>
      <w:r w:rsidRPr="00F11EAD">
        <w:rPr>
          <w:rFonts w:asciiTheme="minorBidi" w:hAnsiTheme="minorBidi" w:cs="Arial" w:hint="cs"/>
          <w:sz w:val="16"/>
          <w:szCs w:val="16"/>
          <w:rtl/>
        </w:rPr>
        <w:t>'</w:t>
      </w:r>
      <w:r w:rsidRPr="00F11EAD">
        <w:rPr>
          <w:rFonts w:asciiTheme="minorBidi" w:hAnsiTheme="minorBidi" w:cs="Arial"/>
          <w:sz w:val="16"/>
          <w:szCs w:val="16"/>
          <w:rtl/>
        </w:rPr>
        <w:t xml:space="preserve"> ל)</w:t>
      </w:r>
      <w:r>
        <w:rPr>
          <w:rFonts w:asciiTheme="minorBidi" w:hAnsiTheme="minorBidi" w:cs="Arial" w:hint="cs"/>
          <w:rtl/>
        </w:rPr>
        <w:t>-</w:t>
      </w:r>
      <w:r w:rsidRPr="00F11EAD">
        <w:rPr>
          <w:rFonts w:asciiTheme="minorBidi" w:hAnsiTheme="minorBidi" w:cs="Arial"/>
          <w:rtl/>
        </w:rPr>
        <w:t xml:space="preserve"> מעשה שאפו קרעפליך עם חמאה בתשעה אגני נחושת ובתוכם היו שנים שקודם לזה נאפה בהם עם שומן</w:t>
      </w:r>
      <w:r>
        <w:rPr>
          <w:rFonts w:asciiTheme="minorBidi" w:hAnsiTheme="minorBidi" w:cs="Arial" w:hint="cs"/>
          <w:rtl/>
        </w:rPr>
        <w:t>, נראה ד</w:t>
      </w:r>
      <w:r w:rsidRPr="00F11EAD">
        <w:rPr>
          <w:rFonts w:asciiTheme="minorBidi" w:hAnsiTheme="minorBidi" w:cs="Arial"/>
          <w:rtl/>
        </w:rPr>
        <w:t>אעפ"י שמשחו הבעקליך בשומן וחמאה והיה בעין וא"כ נאסר כולו מ"מ בטילים ברוב דאותן שנאפו באלו השנים הם המיעוט נגד הנשארים ובטל כדין יבש ביבש ולא מקרי חתיכה הראויה להתכבד דאע"ג דבב"ח הוא איסור מחמת עצמו מ"מ הכא העיקר הוא העיסה ובב"ח הוא בלוע להכי בטל רק צריך לאסור כפי מנין אותה שנאפו בשני בעקליך והשאר להתיר וא"ל דמיחשב מין בשאינו מינו שהשומן אינו מינו עם החמאה וצריך ס' גם ביבש ואפילו באיסור בלוע לפי שכשיבשלם יתן טעם מ"מ הכא לא היה רק איסור דרבנן לפי שכל השומן היה של אווז ובכה"ג כתב הש"ך בסי' ק"ט דאפילו בא"מ בטל ביבש חד בתרי</w:t>
      </w:r>
      <w:r>
        <w:rPr>
          <w:rFonts w:asciiTheme="minorBidi" w:hAnsiTheme="minorBidi" w:cs="Arial" w:hint="cs"/>
          <w:rtl/>
        </w:rPr>
        <w:t>.</w:t>
      </w:r>
    </w:p>
    <w:p w14:paraId="3BD8088A" w14:textId="77777777" w:rsidR="002C39F4" w:rsidRPr="003024E5" w:rsidRDefault="002C39F4" w:rsidP="002C39F4">
      <w:pPr>
        <w:rPr>
          <w:rFonts w:asciiTheme="minorBidi" w:hAnsiTheme="minorBidi"/>
          <w:rtl/>
        </w:rPr>
      </w:pPr>
    </w:p>
    <w:p w14:paraId="69CC5B4A" w14:textId="77777777" w:rsidR="002C39F4" w:rsidRPr="0020622F" w:rsidRDefault="002C39F4" w:rsidP="002C39F4">
      <w:pPr>
        <w:pStyle w:val="2"/>
        <w:rPr>
          <w:rFonts w:asciiTheme="minorBidi" w:hAnsiTheme="minorBidi"/>
          <w:rtl/>
        </w:rPr>
      </w:pPr>
      <w:r w:rsidRPr="0020622F">
        <w:rPr>
          <w:rFonts w:asciiTheme="minorBidi" w:hAnsiTheme="minorBidi"/>
          <w:rtl/>
        </w:rPr>
        <w:t>סעיף ג: מהי חתיכה הראויה להתכבד.</w:t>
      </w:r>
    </w:p>
    <w:p w14:paraId="5FD718D2" w14:textId="77777777" w:rsidR="002C39F4" w:rsidRPr="0020622F" w:rsidRDefault="002C39F4" w:rsidP="002C39F4">
      <w:pPr>
        <w:rPr>
          <w:u w:val="single"/>
          <w:rtl/>
        </w:rPr>
      </w:pPr>
      <w:r w:rsidRPr="0020622F">
        <w:rPr>
          <w:rFonts w:hint="cs"/>
          <w:u w:val="single"/>
          <w:rtl/>
        </w:rPr>
        <w:t>מהי חתיכה הראויה להתכבד:</w:t>
      </w:r>
    </w:p>
    <w:p w14:paraId="59E0228E" w14:textId="77777777" w:rsidR="002C39F4" w:rsidRPr="0020622F" w:rsidRDefault="002C39F4" w:rsidP="0032102C">
      <w:pPr>
        <w:pStyle w:val="a8"/>
        <w:numPr>
          <w:ilvl w:val="0"/>
          <w:numId w:val="203"/>
        </w:numPr>
        <w:rPr>
          <w:rFonts w:cs="Arial"/>
        </w:rPr>
      </w:pPr>
      <w:r>
        <w:rPr>
          <w:rFonts w:cs="Arial" w:hint="cs"/>
          <w:rtl/>
        </w:rPr>
        <w:t>י"א</w:t>
      </w:r>
      <w:r>
        <w:rPr>
          <w:rFonts w:cs="Arial" w:hint="cs"/>
          <w:sz w:val="16"/>
          <w:szCs w:val="16"/>
          <w:rtl/>
        </w:rPr>
        <w:t xml:space="preserve"> (הביאם הרא"ש)</w:t>
      </w:r>
      <w:r>
        <w:rPr>
          <w:rFonts w:cs="Arial" w:hint="cs"/>
          <w:rtl/>
        </w:rPr>
        <w:t xml:space="preserve">- </w:t>
      </w:r>
      <w:r w:rsidRPr="0014462D">
        <w:rPr>
          <w:rFonts w:cs="Arial"/>
          <w:rtl/>
        </w:rPr>
        <w:t>חתיכת איסור שנתבשלה עם חתיכת היתר הראויה לכבד בה אורחים אבל חתיכה חיה ואפילו שלימה בטלה רוב</w:t>
      </w:r>
      <w:r>
        <w:rPr>
          <w:rStyle w:val="a7"/>
          <w:rFonts w:cs="Arial"/>
          <w:rtl/>
        </w:rPr>
        <w:footnoteReference w:id="1974"/>
      </w:r>
      <w:r>
        <w:rPr>
          <w:rFonts w:cs="Arial" w:hint="cs"/>
          <w:rtl/>
        </w:rPr>
        <w:t>.</w:t>
      </w:r>
    </w:p>
    <w:p w14:paraId="069A7B81" w14:textId="77777777" w:rsidR="002C39F4" w:rsidRDefault="002C39F4" w:rsidP="0032102C">
      <w:pPr>
        <w:pStyle w:val="a8"/>
        <w:numPr>
          <w:ilvl w:val="0"/>
          <w:numId w:val="203"/>
        </w:numPr>
        <w:rPr>
          <w:rFonts w:cs="Arial"/>
        </w:rPr>
      </w:pPr>
      <w:r>
        <w:rPr>
          <w:rFonts w:cs="Arial" w:hint="cs"/>
          <w:rtl/>
        </w:rPr>
        <w:t>ר"י</w:t>
      </w:r>
      <w:r>
        <w:rPr>
          <w:rFonts w:cs="Arial" w:hint="cs"/>
          <w:sz w:val="16"/>
          <w:szCs w:val="16"/>
          <w:rtl/>
        </w:rPr>
        <w:t xml:space="preserve"> (כ"כ ר"ש בשמו, הביאו הרא"ש)</w:t>
      </w:r>
      <w:r>
        <w:rPr>
          <w:rFonts w:cs="Arial" w:hint="cs"/>
          <w:rtl/>
        </w:rPr>
        <w:t xml:space="preserve"> ו</w:t>
      </w:r>
      <w:r w:rsidRPr="0020622F">
        <w:rPr>
          <w:rFonts w:cs="Arial"/>
          <w:rtl/>
        </w:rPr>
        <w:t>רא"ש</w:t>
      </w:r>
      <w:r>
        <w:rPr>
          <w:rFonts w:cs="Arial" w:hint="cs"/>
          <w:rtl/>
        </w:rPr>
        <w:t xml:space="preserve"> </w:t>
      </w:r>
      <w:r w:rsidRPr="0038090E">
        <w:rPr>
          <w:rFonts w:cs="Arial"/>
          <w:sz w:val="16"/>
          <w:szCs w:val="16"/>
          <w:rtl/>
        </w:rPr>
        <w:t>(סי' לו)</w:t>
      </w:r>
      <w:r>
        <w:rPr>
          <w:rFonts w:cs="Arial" w:hint="cs"/>
          <w:rtl/>
        </w:rPr>
        <w:t xml:space="preserve">- </w:t>
      </w:r>
      <w:r w:rsidRPr="00BC3465">
        <w:rPr>
          <w:rFonts w:cs="Arial"/>
          <w:rtl/>
        </w:rPr>
        <w:t>הא דקאמר ראוי להתכבד בפני האורחים לאו למימר שתהא ראויה כמו שהיא עתה</w:t>
      </w:r>
      <w:r>
        <w:rPr>
          <w:rStyle w:val="a7"/>
          <w:rFonts w:cs="Arial"/>
          <w:rtl/>
        </w:rPr>
        <w:footnoteReference w:id="1975"/>
      </w:r>
      <w:r>
        <w:rPr>
          <w:rFonts w:cs="Arial" w:hint="cs"/>
          <w:rtl/>
        </w:rPr>
        <w:t>,</w:t>
      </w:r>
      <w:r w:rsidRPr="00BC3465">
        <w:rPr>
          <w:rFonts w:cs="Arial"/>
          <w:rtl/>
        </w:rPr>
        <w:t xml:space="preserve"> אלא משום שיעור נקטינן</w:t>
      </w:r>
      <w:r>
        <w:rPr>
          <w:rFonts w:cs="Arial" w:hint="cs"/>
          <w:rtl/>
        </w:rPr>
        <w:t>,</w:t>
      </w:r>
      <w:r w:rsidRPr="00BC3465">
        <w:rPr>
          <w:rFonts w:cs="Arial"/>
          <w:rtl/>
        </w:rPr>
        <w:t xml:space="preserve"> דגדולה כי האי שראויה ליתן לפני אורח נכבד א</w:t>
      </w:r>
      <w:r>
        <w:rPr>
          <w:rFonts w:cs="Arial" w:hint="cs"/>
          <w:rtl/>
        </w:rPr>
        <w:t>ַ</w:t>
      </w:r>
      <w:r w:rsidRPr="00BC3465">
        <w:rPr>
          <w:rFonts w:cs="Arial"/>
          <w:rtl/>
        </w:rPr>
        <w:t>ח</w:t>
      </w:r>
      <w:r>
        <w:rPr>
          <w:rFonts w:cs="Arial" w:hint="cs"/>
          <w:rtl/>
        </w:rPr>
        <w:t>ָ</w:t>
      </w:r>
      <w:r w:rsidRPr="00BC3465">
        <w:rPr>
          <w:rFonts w:cs="Arial"/>
          <w:rtl/>
        </w:rPr>
        <w:t>ר שנתבשל</w:t>
      </w:r>
      <w:r>
        <w:rPr>
          <w:rFonts w:cs="Arial" w:hint="cs"/>
          <w:rtl/>
        </w:rPr>
        <w:t>,</w:t>
      </w:r>
      <w:r w:rsidRPr="00BC3465">
        <w:rPr>
          <w:rFonts w:cs="Arial"/>
          <w:rtl/>
        </w:rPr>
        <w:t xml:space="preserve"> חשובה כזאת שדרכו למנות ולא בטלה</w:t>
      </w:r>
      <w:r>
        <w:rPr>
          <w:rStyle w:val="a7"/>
          <w:rFonts w:cs="Arial"/>
          <w:rtl/>
        </w:rPr>
        <w:footnoteReference w:id="1976"/>
      </w:r>
      <w:r>
        <w:rPr>
          <w:rFonts w:cs="Arial" w:hint="cs"/>
          <w:sz w:val="16"/>
          <w:szCs w:val="16"/>
          <w:rtl/>
        </w:rPr>
        <w:t xml:space="preserve"> (ל' הרא"ש)</w:t>
      </w:r>
      <w:r>
        <w:rPr>
          <w:rFonts w:cs="Arial" w:hint="cs"/>
          <w:rtl/>
        </w:rPr>
        <w:t>.</w:t>
      </w:r>
      <w:r w:rsidRPr="001F02AE">
        <w:rPr>
          <w:rFonts w:cs="Arial" w:hint="cs"/>
          <w:color w:val="00B0F0"/>
          <w:rtl/>
        </w:rPr>
        <w:t xml:space="preserve"> </w:t>
      </w:r>
      <w:r w:rsidRPr="004140C7">
        <w:rPr>
          <w:rFonts w:cs="Arial" w:hint="cs"/>
          <w:color w:val="00B0F0"/>
          <w:rtl/>
        </w:rPr>
        <w:t>(וכ"פ הרמ"א)</w:t>
      </w:r>
    </w:p>
    <w:p w14:paraId="6F80B623" w14:textId="77777777" w:rsidR="002C39F4" w:rsidRPr="0038090E" w:rsidRDefault="002C39F4" w:rsidP="0032102C">
      <w:pPr>
        <w:pStyle w:val="a8"/>
        <w:numPr>
          <w:ilvl w:val="0"/>
          <w:numId w:val="204"/>
        </w:numPr>
        <w:rPr>
          <w:rFonts w:cs="Arial"/>
          <w:rtl/>
        </w:rPr>
      </w:pPr>
      <w:r w:rsidRPr="0038090E">
        <w:rPr>
          <w:rFonts w:cs="Arial"/>
          <w:rtl/>
        </w:rPr>
        <w:t xml:space="preserve">רשב"א </w:t>
      </w:r>
      <w:r w:rsidRPr="00120544">
        <w:rPr>
          <w:rFonts w:cs="Arial" w:hint="cs"/>
          <w:sz w:val="16"/>
          <w:szCs w:val="16"/>
          <w:rtl/>
        </w:rPr>
        <w:t>(</w:t>
      </w:r>
      <w:r w:rsidRPr="00120544">
        <w:rPr>
          <w:rFonts w:cs="Arial"/>
          <w:sz w:val="16"/>
          <w:szCs w:val="16"/>
          <w:rtl/>
        </w:rPr>
        <w:t xml:space="preserve"> ב"ד ש"א יג:) </w:t>
      </w:r>
      <w:r w:rsidRPr="0038090E">
        <w:rPr>
          <w:rFonts w:cs="Arial" w:hint="cs"/>
          <w:rtl/>
        </w:rPr>
        <w:t>ו</w:t>
      </w:r>
      <w:r w:rsidRPr="0038090E">
        <w:rPr>
          <w:rFonts w:cs="Arial"/>
          <w:rtl/>
        </w:rPr>
        <w:t xml:space="preserve">ר"ן </w:t>
      </w:r>
      <w:r w:rsidRPr="00120544">
        <w:rPr>
          <w:rFonts w:cs="Arial"/>
          <w:sz w:val="16"/>
          <w:szCs w:val="16"/>
          <w:rtl/>
        </w:rPr>
        <w:t>(לו: ד"ה וגרסי' תו)</w:t>
      </w:r>
      <w:r w:rsidRPr="0038090E">
        <w:rPr>
          <w:rFonts w:cs="Arial" w:hint="cs"/>
          <w:rtl/>
        </w:rPr>
        <w:t xml:space="preserve">- </w:t>
      </w:r>
      <w:r w:rsidRPr="0038090E">
        <w:rPr>
          <w:rFonts w:cs="Arial"/>
          <w:rtl/>
        </w:rPr>
        <w:t>חתיכה שהיא גדולה יותר מדאי</w:t>
      </w:r>
      <w:r>
        <w:rPr>
          <w:rFonts w:cs="Arial" w:hint="cs"/>
          <w:rtl/>
        </w:rPr>
        <w:t xml:space="preserve"> </w:t>
      </w:r>
      <w:r w:rsidRPr="0038090E">
        <w:rPr>
          <w:rFonts w:cs="Arial"/>
          <w:rtl/>
        </w:rPr>
        <w:t>לא חשיבא ראויה להתכבד</w:t>
      </w:r>
      <w:r w:rsidRPr="0038090E">
        <w:rPr>
          <w:rFonts w:cs="Arial" w:hint="cs"/>
          <w:rtl/>
        </w:rPr>
        <w:t>,</w:t>
      </w:r>
      <w:r w:rsidRPr="0038090E">
        <w:rPr>
          <w:rFonts w:cs="Arial"/>
          <w:rtl/>
        </w:rPr>
        <w:t xml:space="preserve"> שמאחר שאין דרכן של בני אדם ליתן כיוצא בה לפני האורחים אינה חשיבא שעומדת היא לחתוך</w:t>
      </w:r>
      <w:r>
        <w:rPr>
          <w:rStyle w:val="a7"/>
          <w:rFonts w:cs="Arial"/>
          <w:rtl/>
        </w:rPr>
        <w:footnoteReference w:id="1977"/>
      </w:r>
      <w:r w:rsidRPr="0038090E">
        <w:rPr>
          <w:rFonts w:cs="Arial" w:hint="cs"/>
          <w:rtl/>
        </w:rPr>
        <w:t xml:space="preserve">. </w:t>
      </w:r>
    </w:p>
    <w:p w14:paraId="37D85859" w14:textId="77777777" w:rsidR="002C39F4" w:rsidRDefault="002C39F4" w:rsidP="0032102C">
      <w:pPr>
        <w:pStyle w:val="a8"/>
        <w:numPr>
          <w:ilvl w:val="0"/>
          <w:numId w:val="204"/>
        </w:numPr>
        <w:rPr>
          <w:rFonts w:cs="Arial"/>
        </w:rPr>
      </w:pPr>
      <w:r>
        <w:rPr>
          <w:rFonts w:cs="Arial" w:hint="cs"/>
          <w:rtl/>
        </w:rPr>
        <w:t xml:space="preserve">ר"ת </w:t>
      </w:r>
      <w:r>
        <w:rPr>
          <w:rFonts w:cs="Arial" w:hint="cs"/>
          <w:sz w:val="16"/>
          <w:szCs w:val="16"/>
          <w:rtl/>
        </w:rPr>
        <w:t xml:space="preserve">(כ"כ בשמו המרדכי ושע"ד) </w:t>
      </w:r>
      <w:r>
        <w:rPr>
          <w:rFonts w:cs="Arial" w:hint="cs"/>
          <w:rtl/>
        </w:rPr>
        <w:t>ו</w:t>
      </w:r>
      <w:r w:rsidRPr="0038090E">
        <w:rPr>
          <w:rFonts w:cs="Arial"/>
          <w:rtl/>
        </w:rPr>
        <w:t xml:space="preserve">סמ"ק </w:t>
      </w:r>
      <w:r w:rsidRPr="00120544">
        <w:rPr>
          <w:rFonts w:cs="Arial"/>
          <w:sz w:val="16"/>
          <w:szCs w:val="16"/>
          <w:rtl/>
        </w:rPr>
        <w:t>(סי' ריד)</w:t>
      </w:r>
      <w:r w:rsidRPr="0038090E">
        <w:rPr>
          <w:rFonts w:cs="Arial" w:hint="cs"/>
          <w:rtl/>
        </w:rPr>
        <w:t xml:space="preserve">- </w:t>
      </w:r>
      <w:r w:rsidRPr="0038090E">
        <w:rPr>
          <w:rFonts w:cs="Arial"/>
          <w:rtl/>
        </w:rPr>
        <w:t>אם הבהמה עם הצמר או עוף עם נוצה אין זה קרוי ראוי להתכבד ובטלה</w:t>
      </w:r>
      <w:r>
        <w:rPr>
          <w:rStyle w:val="a7"/>
          <w:rFonts w:cs="Arial"/>
          <w:rtl/>
        </w:rPr>
        <w:footnoteReference w:id="1978"/>
      </w:r>
      <w:r w:rsidRPr="0038090E">
        <w:rPr>
          <w:rFonts w:cs="Arial" w:hint="cs"/>
          <w:rtl/>
        </w:rPr>
        <w:t>,</w:t>
      </w:r>
      <w:r w:rsidRPr="0038090E">
        <w:rPr>
          <w:rFonts w:cs="Arial"/>
          <w:rtl/>
        </w:rPr>
        <w:t xml:space="preserve"> ואע</w:t>
      </w:r>
      <w:r w:rsidRPr="0038090E">
        <w:rPr>
          <w:rFonts w:cs="Arial" w:hint="cs"/>
          <w:rtl/>
        </w:rPr>
        <w:t>"</w:t>
      </w:r>
      <w:r w:rsidRPr="0038090E">
        <w:rPr>
          <w:rFonts w:cs="Arial"/>
          <w:rtl/>
        </w:rPr>
        <w:t>ג דלאחר מכן מסירים הנוצה והעור מ</w:t>
      </w:r>
      <w:r>
        <w:rPr>
          <w:rFonts w:cs="Arial" w:hint="cs"/>
          <w:rtl/>
        </w:rPr>
        <w:t>"</w:t>
      </w:r>
      <w:r w:rsidRPr="0038090E">
        <w:rPr>
          <w:rFonts w:cs="Arial"/>
          <w:rtl/>
        </w:rPr>
        <w:t>מ כיון דבתחלת התערובות נתבטלו שוב אין חוזרין ונעורין</w:t>
      </w:r>
      <w:r>
        <w:rPr>
          <w:rStyle w:val="a7"/>
          <w:rFonts w:cs="Arial"/>
          <w:rtl/>
        </w:rPr>
        <w:footnoteReference w:id="1979"/>
      </w:r>
      <w:r w:rsidRPr="0038090E">
        <w:rPr>
          <w:rFonts w:cs="Arial" w:hint="cs"/>
          <w:rtl/>
        </w:rPr>
        <w:t>.</w:t>
      </w:r>
      <w:r>
        <w:rPr>
          <w:rFonts w:cs="Arial" w:hint="cs"/>
          <w:rtl/>
        </w:rPr>
        <w:t xml:space="preserve"> </w:t>
      </w:r>
      <w:r w:rsidRPr="004140C7">
        <w:rPr>
          <w:rFonts w:cs="Arial" w:hint="cs"/>
          <w:color w:val="00B0F0"/>
          <w:rtl/>
        </w:rPr>
        <w:t>(וכ"פ הרמ"א)</w:t>
      </w:r>
    </w:p>
    <w:p w14:paraId="01C21D16" w14:textId="77777777" w:rsidR="002C39F4" w:rsidRPr="00884B6D" w:rsidRDefault="002C39F4" w:rsidP="0032102C">
      <w:pPr>
        <w:pStyle w:val="a8"/>
        <w:numPr>
          <w:ilvl w:val="1"/>
          <w:numId w:val="204"/>
        </w:numPr>
        <w:rPr>
          <w:rFonts w:cs="Arial"/>
          <w:rtl/>
        </w:rPr>
      </w:pPr>
      <w:r w:rsidRPr="00884B6D">
        <w:rPr>
          <w:rFonts w:cs="Arial" w:hint="cs"/>
          <w:rtl/>
        </w:rPr>
        <w:t xml:space="preserve">ב"י </w:t>
      </w:r>
      <w:r w:rsidRPr="00884B6D">
        <w:rPr>
          <w:rFonts w:cs="Arial" w:hint="cs"/>
          <w:sz w:val="16"/>
          <w:szCs w:val="16"/>
          <w:rtl/>
        </w:rPr>
        <w:t>(בדה"ב)</w:t>
      </w:r>
      <w:r w:rsidRPr="00884B6D">
        <w:rPr>
          <w:rFonts w:cs="Arial" w:hint="cs"/>
          <w:rtl/>
        </w:rPr>
        <w:t xml:space="preserve">- </w:t>
      </w:r>
      <w:r w:rsidRPr="00884B6D">
        <w:rPr>
          <w:rFonts w:cs="Arial"/>
          <w:rtl/>
        </w:rPr>
        <w:t>ולענין הלכה כיון דהא דחתיכה ראויה להתכבד לא בטלה אינו אלא מדרבנן הלכה כדברי המקילים</w:t>
      </w:r>
      <w:r w:rsidRPr="00884B6D">
        <w:rPr>
          <w:rFonts w:cs="Arial" w:hint="cs"/>
          <w:rtl/>
        </w:rPr>
        <w:t>.</w:t>
      </w:r>
      <w:r w:rsidRPr="006C52B0">
        <w:rPr>
          <w:rFonts w:cs="Arial" w:hint="cs"/>
          <w:color w:val="E36C0A" w:themeColor="accent6" w:themeShade="BF"/>
          <w:rtl/>
        </w:rPr>
        <w:t xml:space="preserve"> </w:t>
      </w:r>
      <w:r>
        <w:rPr>
          <w:rFonts w:cs="Arial" w:hint="cs"/>
          <w:color w:val="E36C0A" w:themeColor="accent6" w:themeShade="BF"/>
          <w:rtl/>
        </w:rPr>
        <w:t>(</w:t>
      </w:r>
      <w:r w:rsidRPr="006C52B0">
        <w:rPr>
          <w:rFonts w:cs="Arial" w:hint="cs"/>
          <w:color w:val="E36C0A" w:themeColor="accent6" w:themeShade="BF"/>
          <w:rtl/>
        </w:rPr>
        <w:t>וכ"</w:t>
      </w:r>
      <w:r>
        <w:rPr>
          <w:rFonts w:cs="Arial" w:hint="cs"/>
          <w:color w:val="E36C0A" w:themeColor="accent6" w:themeShade="BF"/>
          <w:rtl/>
        </w:rPr>
        <w:t>ס</w:t>
      </w:r>
      <w:r w:rsidRPr="006C52B0">
        <w:rPr>
          <w:rFonts w:cs="Arial" w:hint="cs"/>
          <w:color w:val="E36C0A" w:themeColor="accent6" w:themeShade="BF"/>
          <w:rtl/>
        </w:rPr>
        <w:t xml:space="preserve"> בשו"ע)</w:t>
      </w:r>
      <w:r>
        <w:rPr>
          <w:rFonts w:cs="Arial" w:hint="cs"/>
          <w:rtl/>
        </w:rPr>
        <w:t xml:space="preserve"> </w:t>
      </w:r>
    </w:p>
    <w:p w14:paraId="0EE284CD" w14:textId="77777777" w:rsidR="002C39F4" w:rsidRPr="00D26AA9" w:rsidRDefault="002C39F4" w:rsidP="002C39F4">
      <w:pPr>
        <w:rPr>
          <w:rFonts w:cs="Arial"/>
          <w:u w:val="single"/>
        </w:rPr>
      </w:pPr>
      <w:r w:rsidRPr="00D26AA9">
        <w:rPr>
          <w:rFonts w:cs="Arial" w:hint="cs"/>
          <w:u w:val="single"/>
          <w:rtl/>
        </w:rPr>
        <w:t>חתיכת נבילה שלא נמלחה שנתערבה בכשרות:</w:t>
      </w:r>
    </w:p>
    <w:p w14:paraId="230D5B9B" w14:textId="77777777" w:rsidR="002C39F4" w:rsidRDefault="002C39F4" w:rsidP="0032102C">
      <w:pPr>
        <w:pStyle w:val="a8"/>
        <w:numPr>
          <w:ilvl w:val="0"/>
          <w:numId w:val="204"/>
        </w:numPr>
        <w:rPr>
          <w:rFonts w:cs="Arial"/>
        </w:rPr>
      </w:pPr>
      <w:r>
        <w:rPr>
          <w:rFonts w:cs="Arial" w:hint="cs"/>
          <w:rtl/>
        </w:rPr>
        <w:t>שע"ד</w:t>
      </w:r>
      <w:r w:rsidRPr="00441281">
        <w:rPr>
          <w:rFonts w:cs="Arial"/>
          <w:rtl/>
        </w:rPr>
        <w:t xml:space="preserve"> </w:t>
      </w:r>
      <w:r w:rsidRPr="00120544">
        <w:rPr>
          <w:rFonts w:cs="Arial"/>
          <w:sz w:val="16"/>
          <w:szCs w:val="16"/>
          <w:rtl/>
        </w:rPr>
        <w:t>(סי' מ)</w:t>
      </w:r>
      <w:r>
        <w:rPr>
          <w:rFonts w:cs="Arial" w:hint="cs"/>
          <w:rtl/>
        </w:rPr>
        <w:t xml:space="preserve">- </w:t>
      </w:r>
      <w:r w:rsidRPr="00441281">
        <w:rPr>
          <w:rFonts w:cs="Arial"/>
          <w:rtl/>
        </w:rPr>
        <w:t>אע</w:t>
      </w:r>
      <w:r>
        <w:rPr>
          <w:rFonts w:cs="Arial" w:hint="cs"/>
          <w:rtl/>
        </w:rPr>
        <w:t>"</w:t>
      </w:r>
      <w:r w:rsidRPr="00441281">
        <w:rPr>
          <w:rFonts w:cs="Arial"/>
          <w:rtl/>
        </w:rPr>
        <w:t xml:space="preserve">פ שאינה ראויה להתכבד לפני האורחים כמו שהיא </w:t>
      </w:r>
      <w:r>
        <w:rPr>
          <w:rFonts w:cs="Arial" w:hint="cs"/>
          <w:rtl/>
        </w:rPr>
        <w:t xml:space="preserve">- </w:t>
      </w:r>
      <w:r w:rsidRPr="00441281">
        <w:rPr>
          <w:rFonts w:cs="Arial"/>
          <w:rtl/>
        </w:rPr>
        <w:t>לא בטלה</w:t>
      </w:r>
      <w:r>
        <w:rPr>
          <w:rFonts w:cs="Arial" w:hint="cs"/>
          <w:rtl/>
        </w:rPr>
        <w:t>,</w:t>
      </w:r>
      <w:r w:rsidRPr="00441281">
        <w:rPr>
          <w:rFonts w:cs="Arial"/>
          <w:rtl/>
        </w:rPr>
        <w:t xml:space="preserve"> דמליחה לא הוי מחוסר מעשה</w:t>
      </w:r>
      <w:r>
        <w:rPr>
          <w:rFonts w:cs="Arial" w:hint="cs"/>
          <w:rtl/>
        </w:rPr>
        <w:t>,</w:t>
      </w:r>
      <w:r w:rsidRPr="00441281">
        <w:rPr>
          <w:rFonts w:cs="Arial"/>
          <w:rtl/>
        </w:rPr>
        <w:t xml:space="preserve"> ומיהו ראיתי כמה גדולים שגם בנבלה שלא נמלחה אמרינן שהיא בטלה</w:t>
      </w:r>
      <w:r>
        <w:rPr>
          <w:rStyle w:val="a7"/>
          <w:rFonts w:cs="Arial"/>
          <w:rtl/>
        </w:rPr>
        <w:footnoteReference w:id="1980"/>
      </w:r>
      <w:r>
        <w:rPr>
          <w:rFonts w:cs="Arial" w:hint="cs"/>
          <w:rtl/>
        </w:rPr>
        <w:t>.</w:t>
      </w:r>
    </w:p>
    <w:p w14:paraId="52801D74" w14:textId="77777777" w:rsidR="002C39F4" w:rsidRPr="00D26AA9" w:rsidRDefault="002C39F4" w:rsidP="002C39F4">
      <w:pPr>
        <w:rPr>
          <w:rFonts w:cs="Arial"/>
          <w:u w:val="single"/>
        </w:rPr>
      </w:pPr>
      <w:r w:rsidRPr="00D26AA9">
        <w:rPr>
          <w:rFonts w:cs="Arial" w:hint="cs"/>
          <w:u w:val="single"/>
          <w:rtl/>
        </w:rPr>
        <w:t xml:space="preserve">רגלים של </w:t>
      </w:r>
      <w:r>
        <w:rPr>
          <w:rFonts w:cs="Arial" w:hint="cs"/>
          <w:u w:val="single"/>
          <w:rtl/>
        </w:rPr>
        <w:t>בעלי חיים</w:t>
      </w:r>
      <w:r w:rsidRPr="00D26AA9">
        <w:rPr>
          <w:rFonts w:cs="Arial" w:hint="cs"/>
          <w:u w:val="single"/>
          <w:rtl/>
        </w:rPr>
        <w:t>:</w:t>
      </w:r>
    </w:p>
    <w:p w14:paraId="17F6C44F" w14:textId="77777777" w:rsidR="002C39F4" w:rsidRDefault="002C39F4" w:rsidP="0032102C">
      <w:pPr>
        <w:pStyle w:val="a8"/>
        <w:numPr>
          <w:ilvl w:val="0"/>
          <w:numId w:val="204"/>
        </w:numPr>
        <w:rPr>
          <w:rFonts w:cs="Arial"/>
        </w:rPr>
      </w:pPr>
      <w:r>
        <w:rPr>
          <w:rFonts w:cs="Arial" w:hint="cs"/>
          <w:rtl/>
        </w:rPr>
        <w:t>שע"ד</w:t>
      </w:r>
      <w:r w:rsidRPr="00441281">
        <w:rPr>
          <w:rFonts w:cs="Arial"/>
          <w:rtl/>
        </w:rPr>
        <w:t xml:space="preserve"> </w:t>
      </w:r>
      <w:r w:rsidRPr="00120544">
        <w:rPr>
          <w:rFonts w:cs="Arial"/>
          <w:sz w:val="16"/>
          <w:szCs w:val="16"/>
          <w:rtl/>
        </w:rPr>
        <w:t xml:space="preserve">(סי' </w:t>
      </w:r>
      <w:r>
        <w:rPr>
          <w:rFonts w:cs="Arial" w:hint="cs"/>
          <w:sz w:val="16"/>
          <w:szCs w:val="16"/>
          <w:rtl/>
        </w:rPr>
        <w:t xml:space="preserve">מ וסי' </w:t>
      </w:r>
      <w:r w:rsidRPr="00120544">
        <w:rPr>
          <w:rFonts w:cs="Arial"/>
          <w:sz w:val="16"/>
          <w:szCs w:val="16"/>
          <w:rtl/>
        </w:rPr>
        <w:t>מב)</w:t>
      </w:r>
      <w:r>
        <w:rPr>
          <w:rFonts w:cs="Arial" w:hint="cs"/>
          <w:rtl/>
        </w:rPr>
        <w:t xml:space="preserve">- אם </w:t>
      </w:r>
      <w:r w:rsidRPr="00441281">
        <w:rPr>
          <w:rFonts w:cs="Arial"/>
          <w:rtl/>
        </w:rPr>
        <w:t>לא ניטלו טלפיהן אז אינם ראוים להתכבד ובטלים ברוב</w:t>
      </w:r>
      <w:r>
        <w:rPr>
          <w:rStyle w:val="a7"/>
          <w:rFonts w:cs="Arial"/>
          <w:rtl/>
        </w:rPr>
        <w:footnoteReference w:id="1981"/>
      </w:r>
      <w:r w:rsidRPr="00441281">
        <w:rPr>
          <w:rFonts w:cs="Arial" w:hint="cs"/>
          <w:rtl/>
        </w:rPr>
        <w:t>,</w:t>
      </w:r>
      <w:r w:rsidRPr="00F91AA0">
        <w:rPr>
          <w:rFonts w:cs="Arial"/>
          <w:rtl/>
        </w:rPr>
        <w:t xml:space="preserve"> </w:t>
      </w:r>
      <w:r>
        <w:rPr>
          <w:rFonts w:cs="Arial" w:hint="cs"/>
          <w:rtl/>
        </w:rPr>
        <w:t>וכן נ</w:t>
      </w:r>
      <w:r w:rsidRPr="00441281">
        <w:rPr>
          <w:rFonts w:cs="Arial"/>
          <w:rtl/>
        </w:rPr>
        <w:t>והגים</w:t>
      </w:r>
      <w:r>
        <w:rPr>
          <w:rFonts w:cs="Arial" w:hint="cs"/>
          <w:rtl/>
        </w:rPr>
        <w:t>.</w:t>
      </w:r>
      <w:r w:rsidRPr="00441281">
        <w:rPr>
          <w:rFonts w:cs="Arial"/>
          <w:rtl/>
        </w:rPr>
        <w:t xml:space="preserve"> </w:t>
      </w:r>
    </w:p>
    <w:p w14:paraId="70D5C404" w14:textId="77777777" w:rsidR="002C39F4" w:rsidRDefault="002C39F4" w:rsidP="0032102C">
      <w:pPr>
        <w:pStyle w:val="a8"/>
        <w:numPr>
          <w:ilvl w:val="0"/>
          <w:numId w:val="204"/>
        </w:numPr>
        <w:rPr>
          <w:rFonts w:cs="Arial"/>
        </w:rPr>
      </w:pPr>
      <w:r>
        <w:rPr>
          <w:rFonts w:cs="Arial" w:hint="cs"/>
          <w:rtl/>
        </w:rPr>
        <w:t>מהרא</w:t>
      </w:r>
      <w:r>
        <w:rPr>
          <w:rFonts w:cs="Arial"/>
          <w:rtl/>
        </w:rPr>
        <w:t>"</w:t>
      </w:r>
      <w:r>
        <w:rPr>
          <w:rFonts w:cs="Arial" w:hint="cs"/>
          <w:rtl/>
        </w:rPr>
        <w:t xml:space="preserve">י </w:t>
      </w:r>
      <w:r w:rsidRPr="005E7C1B">
        <w:rPr>
          <w:rFonts w:cs="Arial" w:hint="cs"/>
          <w:sz w:val="16"/>
          <w:szCs w:val="16"/>
          <w:rtl/>
        </w:rPr>
        <w:t>(בהגשע</w:t>
      </w:r>
      <w:r w:rsidRPr="005E7C1B">
        <w:rPr>
          <w:rFonts w:cs="Arial"/>
          <w:sz w:val="16"/>
          <w:szCs w:val="16"/>
          <w:rtl/>
        </w:rPr>
        <w:t>"</w:t>
      </w:r>
      <w:r w:rsidRPr="005E7C1B">
        <w:rPr>
          <w:rFonts w:cs="Arial" w:hint="cs"/>
          <w:sz w:val="16"/>
          <w:szCs w:val="16"/>
          <w:rtl/>
        </w:rPr>
        <w:t>ד</w:t>
      </w:r>
      <w:r w:rsidRPr="005E7C1B">
        <w:rPr>
          <w:rFonts w:cs="Arial"/>
          <w:sz w:val="10"/>
          <w:szCs w:val="10"/>
          <w:rtl/>
        </w:rPr>
        <w:t xml:space="preserve"> </w:t>
      </w:r>
      <w:r w:rsidRPr="00DB22EB">
        <w:rPr>
          <w:rFonts w:cs="Arial" w:hint="cs"/>
          <w:sz w:val="16"/>
          <w:szCs w:val="16"/>
          <w:rtl/>
        </w:rPr>
        <w:t xml:space="preserve">סי' מ </w:t>
      </w:r>
      <w:r w:rsidRPr="00DB22EB">
        <w:rPr>
          <w:rFonts w:cs="Arial"/>
          <w:sz w:val="16"/>
          <w:szCs w:val="16"/>
          <w:rtl/>
        </w:rPr>
        <w:t>סק</w:t>
      </w:r>
      <w:r w:rsidRPr="00DB22EB">
        <w:rPr>
          <w:rFonts w:cs="Arial" w:hint="cs"/>
          <w:sz w:val="16"/>
          <w:szCs w:val="16"/>
          <w:rtl/>
        </w:rPr>
        <w:t>"</w:t>
      </w:r>
      <w:r w:rsidRPr="00DB22EB">
        <w:rPr>
          <w:rFonts w:cs="Arial"/>
          <w:sz w:val="16"/>
          <w:szCs w:val="16"/>
          <w:rtl/>
        </w:rPr>
        <w:t>ב)</w:t>
      </w:r>
      <w:r>
        <w:rPr>
          <w:rFonts w:cs="Arial" w:hint="cs"/>
          <w:rtl/>
        </w:rPr>
        <w:t>-</w:t>
      </w:r>
      <w:r>
        <w:rPr>
          <w:rFonts w:cs="Arial"/>
          <w:rtl/>
        </w:rPr>
        <w:t xml:space="preserve"> רגלים שלא נחרכו להסיר השער מעליהם וכן רגלים של אווזא </w:t>
      </w:r>
      <w:r w:rsidRPr="00DA4BDB">
        <w:rPr>
          <w:rFonts w:cs="Arial" w:hint="cs"/>
          <w:sz w:val="16"/>
          <w:szCs w:val="16"/>
          <w:rtl/>
        </w:rPr>
        <w:t>(</w:t>
      </w:r>
      <w:r w:rsidRPr="00DA4BDB">
        <w:rPr>
          <w:rFonts w:cs="Arial"/>
          <w:sz w:val="16"/>
          <w:szCs w:val="16"/>
          <w:rtl/>
        </w:rPr>
        <w:t>אע</w:t>
      </w:r>
      <w:r w:rsidRPr="00DA4BDB">
        <w:rPr>
          <w:rFonts w:cs="Arial" w:hint="cs"/>
          <w:sz w:val="16"/>
          <w:szCs w:val="16"/>
          <w:rtl/>
        </w:rPr>
        <w:t>"</w:t>
      </w:r>
      <w:r w:rsidRPr="00DA4BDB">
        <w:rPr>
          <w:rFonts w:cs="Arial"/>
          <w:sz w:val="16"/>
          <w:szCs w:val="16"/>
          <w:rtl/>
        </w:rPr>
        <w:t>ג דחשיבי טפי מרגלים של בהמה דקה שהם כחושים ולא רגיל אינש יקירא לאכלינהו מ"מ</w:t>
      </w:r>
      <w:r>
        <w:rPr>
          <w:rFonts w:cs="Arial" w:hint="cs"/>
          <w:sz w:val="16"/>
          <w:szCs w:val="16"/>
          <w:rtl/>
        </w:rPr>
        <w:t>-)</w:t>
      </w:r>
      <w:r>
        <w:rPr>
          <w:rFonts w:cs="Arial"/>
          <w:rtl/>
        </w:rPr>
        <w:t xml:space="preserve"> אם לא הוחרכו עדיין להסיר עורן מעליהן כמו שרגילין דמו כולן לתרנגולת בנוצתה</w:t>
      </w:r>
      <w:r>
        <w:rPr>
          <w:rFonts w:cs="Arial" w:hint="cs"/>
          <w:sz w:val="16"/>
          <w:szCs w:val="16"/>
          <w:rtl/>
        </w:rPr>
        <w:t xml:space="preserve"> {ובטלים}</w:t>
      </w:r>
      <w:r>
        <w:rPr>
          <w:rFonts w:cs="Arial" w:hint="cs"/>
          <w:rtl/>
        </w:rPr>
        <w:t>,</w:t>
      </w:r>
      <w:r>
        <w:rPr>
          <w:rFonts w:cs="Arial"/>
          <w:rtl/>
        </w:rPr>
        <w:t xml:space="preserve"> אבל רגלים שהוסר שערן אע</w:t>
      </w:r>
      <w:r>
        <w:rPr>
          <w:rFonts w:cs="Arial" w:hint="cs"/>
          <w:rtl/>
        </w:rPr>
        <w:t>"</w:t>
      </w:r>
      <w:r>
        <w:rPr>
          <w:rFonts w:cs="Arial"/>
          <w:rtl/>
        </w:rPr>
        <w:t>פ שלא נטלו טלפיהן אפשר לקצצן כולן ולא חשיב מחוסר מעשה כולי האי</w:t>
      </w:r>
      <w:r>
        <w:rPr>
          <w:rFonts w:cs="Arial" w:hint="cs"/>
          <w:rtl/>
        </w:rPr>
        <w:t xml:space="preserve"> ולא בטלים</w:t>
      </w:r>
      <w:r>
        <w:rPr>
          <w:rStyle w:val="a7"/>
          <w:rFonts w:cs="Arial"/>
          <w:rtl/>
        </w:rPr>
        <w:footnoteReference w:id="1982"/>
      </w:r>
      <w:r>
        <w:rPr>
          <w:rFonts w:cs="Arial" w:hint="cs"/>
          <w:rtl/>
        </w:rPr>
        <w:t>.</w:t>
      </w:r>
      <w:r w:rsidRPr="00D26AA9">
        <w:rPr>
          <w:rFonts w:cs="Arial"/>
          <w:rtl/>
        </w:rPr>
        <w:t xml:space="preserve"> </w:t>
      </w:r>
      <w:r w:rsidRPr="004140C7">
        <w:rPr>
          <w:rFonts w:cs="Arial" w:hint="cs"/>
          <w:color w:val="00B0F0"/>
          <w:rtl/>
        </w:rPr>
        <w:t>(וכ"פ הרמ"א)</w:t>
      </w:r>
    </w:p>
    <w:p w14:paraId="53CDCBEE" w14:textId="77777777" w:rsidR="002C39F4" w:rsidRPr="003C4B4B" w:rsidRDefault="002C39F4" w:rsidP="0032102C">
      <w:pPr>
        <w:pStyle w:val="a8"/>
        <w:numPr>
          <w:ilvl w:val="0"/>
          <w:numId w:val="204"/>
        </w:numPr>
      </w:pPr>
      <w:r>
        <w:rPr>
          <w:rFonts w:cs="Arial" w:hint="cs"/>
          <w:rtl/>
        </w:rPr>
        <w:t xml:space="preserve">או"ה </w:t>
      </w:r>
      <w:r w:rsidRPr="00DA4BDB">
        <w:rPr>
          <w:rFonts w:cs="Arial" w:hint="cs"/>
          <w:sz w:val="16"/>
          <w:szCs w:val="16"/>
          <w:rtl/>
        </w:rPr>
        <w:t>(</w:t>
      </w:r>
      <w:r w:rsidRPr="00DA4BDB">
        <w:rPr>
          <w:rFonts w:cs="Arial"/>
          <w:sz w:val="16"/>
          <w:szCs w:val="16"/>
          <w:rtl/>
        </w:rPr>
        <w:t>כלל כה דכ</w:t>
      </w:r>
      <w:r w:rsidRPr="00DA4BDB">
        <w:rPr>
          <w:rFonts w:cs="Arial" w:hint="cs"/>
          <w:sz w:val="16"/>
          <w:szCs w:val="16"/>
          <w:rtl/>
        </w:rPr>
        <w:t>"</w:t>
      </w:r>
      <w:r w:rsidRPr="00DA4BDB">
        <w:rPr>
          <w:rFonts w:cs="Arial"/>
          <w:sz w:val="16"/>
          <w:szCs w:val="16"/>
          <w:rtl/>
        </w:rPr>
        <w:t>ב)</w:t>
      </w:r>
      <w:r>
        <w:rPr>
          <w:rFonts w:cs="Arial" w:hint="cs"/>
          <w:rtl/>
        </w:rPr>
        <w:t xml:space="preserve">- </w:t>
      </w:r>
      <w:r w:rsidRPr="00DA4BDB">
        <w:rPr>
          <w:rFonts w:cs="Arial"/>
          <w:rtl/>
        </w:rPr>
        <w:t>רגלים של עוף</w:t>
      </w:r>
      <w:r>
        <w:rPr>
          <w:rStyle w:val="a7"/>
          <w:rFonts w:cs="Arial"/>
          <w:rtl/>
        </w:rPr>
        <w:footnoteReference w:id="1983"/>
      </w:r>
      <w:r w:rsidRPr="00DA4BDB">
        <w:rPr>
          <w:rFonts w:cs="Arial"/>
          <w:rtl/>
        </w:rPr>
        <w:t xml:space="preserve"> לא מקרי ראוי להתכבד</w:t>
      </w:r>
      <w:r>
        <w:rPr>
          <w:rFonts w:cs="Arial" w:hint="cs"/>
          <w:rtl/>
        </w:rPr>
        <w:t>,</w:t>
      </w:r>
      <w:r w:rsidRPr="00DA4BDB">
        <w:rPr>
          <w:rFonts w:cs="Arial"/>
          <w:rtl/>
        </w:rPr>
        <w:t xml:space="preserve"> וכן אין דרכן למוכרן במנין ובטלים</w:t>
      </w:r>
      <w:r>
        <w:rPr>
          <w:rFonts w:cs="Arial" w:hint="cs"/>
          <w:rtl/>
        </w:rPr>
        <w:t>.</w:t>
      </w:r>
      <w:r w:rsidRPr="00DA4BDB">
        <w:rPr>
          <w:rFonts w:cs="Arial"/>
          <w:rtl/>
        </w:rPr>
        <w:t xml:space="preserve"> </w:t>
      </w:r>
      <w:r w:rsidRPr="002E4D69">
        <w:rPr>
          <w:rFonts w:cs="Arial"/>
          <w:rtl/>
        </w:rPr>
        <w:t>רגלים של בהמה גסה מקרי שפיר ראוי להתכבד</w:t>
      </w:r>
      <w:r>
        <w:rPr>
          <w:rFonts w:cs="Arial" w:hint="cs"/>
          <w:rtl/>
        </w:rPr>
        <w:t>,</w:t>
      </w:r>
      <w:r w:rsidRPr="002E4D69">
        <w:rPr>
          <w:rFonts w:cs="Arial"/>
          <w:rtl/>
        </w:rPr>
        <w:t xml:space="preserve"> ואפילו רגל של בהמה דקה אינן בטלים אע</w:t>
      </w:r>
      <w:r>
        <w:rPr>
          <w:rFonts w:cs="Arial" w:hint="cs"/>
          <w:rtl/>
        </w:rPr>
        <w:t>"</w:t>
      </w:r>
      <w:r w:rsidRPr="002E4D69">
        <w:rPr>
          <w:rFonts w:cs="Arial"/>
          <w:rtl/>
        </w:rPr>
        <w:t>ג דאינן ראוים להתכבד מטעם דבר שבמנין אינן בטלים</w:t>
      </w:r>
      <w:r>
        <w:rPr>
          <w:rStyle w:val="a7"/>
          <w:rFonts w:cs="Arial"/>
          <w:rtl/>
        </w:rPr>
        <w:footnoteReference w:id="1984"/>
      </w:r>
      <w:r>
        <w:rPr>
          <w:rFonts w:cs="Arial" w:hint="cs"/>
          <w:rtl/>
        </w:rPr>
        <w:t>.</w:t>
      </w:r>
    </w:p>
    <w:p w14:paraId="19155AAE" w14:textId="77777777" w:rsidR="002C39F4" w:rsidRPr="00DA4BDB" w:rsidRDefault="002C39F4" w:rsidP="002C39F4">
      <w:pPr>
        <w:rPr>
          <w:rFonts w:cs="Arial"/>
          <w:u w:val="single"/>
          <w:rtl/>
        </w:rPr>
      </w:pPr>
      <w:r>
        <w:rPr>
          <w:rFonts w:cs="Arial" w:hint="cs"/>
          <w:u w:val="single"/>
          <w:rtl/>
        </w:rPr>
        <w:t>ראש של בעלי חיים:</w:t>
      </w:r>
      <w:r w:rsidRPr="00DA4BDB">
        <w:rPr>
          <w:rFonts w:cs="Arial" w:hint="cs"/>
          <w:sz w:val="16"/>
          <w:szCs w:val="16"/>
          <w:rtl/>
        </w:rPr>
        <w:t xml:space="preserve"> </w:t>
      </w:r>
      <w:r>
        <w:rPr>
          <w:rFonts w:cs="Arial" w:hint="cs"/>
          <w:sz w:val="16"/>
          <w:szCs w:val="16"/>
          <w:rtl/>
        </w:rPr>
        <w:t xml:space="preserve">  (ב"י, </w:t>
      </w:r>
      <w:r w:rsidRPr="00DA4BDB">
        <w:rPr>
          <w:rFonts w:cs="Arial" w:hint="cs"/>
          <w:sz w:val="16"/>
          <w:szCs w:val="16"/>
          <w:rtl/>
        </w:rPr>
        <w:t xml:space="preserve">דרכ"מ </w:t>
      </w:r>
      <w:r>
        <w:rPr>
          <w:rFonts w:cs="Arial" w:hint="cs"/>
          <w:sz w:val="16"/>
          <w:szCs w:val="16"/>
          <w:rtl/>
        </w:rPr>
        <w:t>[</w:t>
      </w:r>
      <w:r w:rsidRPr="00DA4BDB">
        <w:rPr>
          <w:rFonts w:cs="Arial" w:hint="cs"/>
          <w:sz w:val="16"/>
          <w:szCs w:val="16"/>
          <w:rtl/>
        </w:rPr>
        <w:t>אות א*</w:t>
      </w:r>
      <w:r>
        <w:rPr>
          <w:rFonts w:cs="Arial" w:hint="cs"/>
          <w:sz w:val="16"/>
          <w:szCs w:val="16"/>
          <w:rtl/>
        </w:rPr>
        <w:t>], וט"ז [סק"ח])</w:t>
      </w:r>
    </w:p>
    <w:p w14:paraId="63448A4B" w14:textId="77777777" w:rsidR="002C39F4" w:rsidRDefault="002C39F4" w:rsidP="0032102C">
      <w:pPr>
        <w:pStyle w:val="a8"/>
        <w:numPr>
          <w:ilvl w:val="0"/>
          <w:numId w:val="205"/>
        </w:numPr>
      </w:pPr>
      <w:r>
        <w:rPr>
          <w:rFonts w:cs="Arial" w:hint="cs"/>
          <w:rtl/>
        </w:rPr>
        <w:t xml:space="preserve">או"ה </w:t>
      </w:r>
      <w:r w:rsidRPr="00DA4BDB">
        <w:rPr>
          <w:rFonts w:cs="Arial" w:hint="cs"/>
          <w:sz w:val="16"/>
          <w:szCs w:val="16"/>
          <w:rtl/>
        </w:rPr>
        <w:t>(</w:t>
      </w:r>
      <w:r w:rsidRPr="00DA4BDB">
        <w:rPr>
          <w:rFonts w:cs="Arial"/>
          <w:sz w:val="16"/>
          <w:szCs w:val="16"/>
          <w:rtl/>
        </w:rPr>
        <w:t>כלל כה דכ</w:t>
      </w:r>
      <w:r w:rsidRPr="00DA4BDB">
        <w:rPr>
          <w:rFonts w:cs="Arial" w:hint="cs"/>
          <w:sz w:val="16"/>
          <w:szCs w:val="16"/>
          <w:rtl/>
        </w:rPr>
        <w:t>"</w:t>
      </w:r>
      <w:r w:rsidRPr="00DA4BDB">
        <w:rPr>
          <w:rFonts w:cs="Arial"/>
          <w:sz w:val="16"/>
          <w:szCs w:val="16"/>
          <w:rtl/>
        </w:rPr>
        <w:t>ב)</w:t>
      </w:r>
      <w:r>
        <w:rPr>
          <w:rFonts w:cs="Arial" w:hint="cs"/>
          <w:rtl/>
        </w:rPr>
        <w:t xml:space="preserve">- </w:t>
      </w:r>
      <w:r w:rsidRPr="00DA4BDB">
        <w:rPr>
          <w:rFonts w:cs="Arial"/>
          <w:rtl/>
        </w:rPr>
        <w:t xml:space="preserve">ראש של עוף לא מקרי </w:t>
      </w:r>
      <w:r>
        <w:rPr>
          <w:rFonts w:cs="Arial" w:hint="cs"/>
          <w:rtl/>
        </w:rPr>
        <w:t>חה"ל,</w:t>
      </w:r>
      <w:r w:rsidRPr="00DA4BDB">
        <w:rPr>
          <w:rFonts w:cs="Arial"/>
          <w:rtl/>
        </w:rPr>
        <w:t xml:space="preserve"> </w:t>
      </w:r>
      <w:r>
        <w:rPr>
          <w:rFonts w:cs="Arial" w:hint="cs"/>
          <w:rtl/>
        </w:rPr>
        <w:t xml:space="preserve">אבל </w:t>
      </w:r>
      <w:r w:rsidRPr="002E4D69">
        <w:rPr>
          <w:rFonts w:cs="Arial"/>
          <w:rtl/>
        </w:rPr>
        <w:t xml:space="preserve">ראש בהמה גסה או דקה מקרי </w:t>
      </w:r>
      <w:r>
        <w:rPr>
          <w:rFonts w:cs="Arial" w:hint="cs"/>
          <w:rtl/>
        </w:rPr>
        <w:t xml:space="preserve">חה"ל. </w:t>
      </w:r>
      <w:r w:rsidRPr="004140C7">
        <w:rPr>
          <w:rFonts w:cs="Arial" w:hint="cs"/>
          <w:color w:val="00B0F0"/>
          <w:rtl/>
        </w:rPr>
        <w:t>(וכ"פ הרמ"א)</w:t>
      </w:r>
    </w:p>
    <w:p w14:paraId="577A4B37" w14:textId="77777777" w:rsidR="002C39F4" w:rsidRDefault="002C39F4" w:rsidP="0032102C">
      <w:pPr>
        <w:pStyle w:val="a8"/>
        <w:numPr>
          <w:ilvl w:val="0"/>
          <w:numId w:val="205"/>
        </w:numPr>
        <w:rPr>
          <w:rtl/>
        </w:rPr>
      </w:pPr>
      <w:r w:rsidRPr="0099615B">
        <w:rPr>
          <w:rFonts w:cs="Arial"/>
          <w:rtl/>
        </w:rPr>
        <w:t xml:space="preserve">רש"ל </w:t>
      </w:r>
      <w:r w:rsidRPr="0099615B">
        <w:rPr>
          <w:rFonts w:cs="Arial" w:hint="cs"/>
          <w:sz w:val="16"/>
          <w:szCs w:val="16"/>
          <w:rtl/>
        </w:rPr>
        <w:t>(</w:t>
      </w:r>
      <w:r>
        <w:rPr>
          <w:rFonts w:cs="Arial" w:hint="cs"/>
          <w:sz w:val="16"/>
          <w:szCs w:val="16"/>
          <w:rtl/>
        </w:rPr>
        <w:t xml:space="preserve">חולין פ"ז </w:t>
      </w:r>
      <w:r w:rsidRPr="0099615B">
        <w:rPr>
          <w:rFonts w:cs="Arial"/>
          <w:sz w:val="16"/>
          <w:szCs w:val="16"/>
          <w:rtl/>
        </w:rPr>
        <w:t>סי</w:t>
      </w:r>
      <w:r w:rsidRPr="0099615B">
        <w:rPr>
          <w:rFonts w:cs="Arial" w:hint="cs"/>
          <w:sz w:val="16"/>
          <w:szCs w:val="16"/>
          <w:rtl/>
        </w:rPr>
        <w:t>'</w:t>
      </w:r>
      <w:r w:rsidRPr="0099615B">
        <w:rPr>
          <w:rFonts w:cs="Arial"/>
          <w:sz w:val="16"/>
          <w:szCs w:val="16"/>
          <w:rtl/>
        </w:rPr>
        <w:t xml:space="preserve"> נג</w:t>
      </w:r>
      <w:r w:rsidRPr="0099615B">
        <w:rPr>
          <w:rFonts w:cs="Arial" w:hint="cs"/>
          <w:sz w:val="16"/>
          <w:szCs w:val="16"/>
          <w:rtl/>
        </w:rPr>
        <w:t>)</w:t>
      </w:r>
      <w:r>
        <w:rPr>
          <w:rFonts w:cs="Arial" w:hint="cs"/>
          <w:rtl/>
        </w:rPr>
        <w:t xml:space="preserve">- </w:t>
      </w:r>
      <w:r w:rsidRPr="0099615B">
        <w:rPr>
          <w:rFonts w:cs="Arial"/>
          <w:rtl/>
        </w:rPr>
        <w:t>ראש של בהמה לא חשיב רק ראש של עגל</w:t>
      </w:r>
      <w:r>
        <w:rPr>
          <w:rStyle w:val="a7"/>
          <w:rFonts w:cs="Arial"/>
          <w:rtl/>
        </w:rPr>
        <w:footnoteReference w:id="1985"/>
      </w:r>
      <w:r>
        <w:rPr>
          <w:rFonts w:cs="Arial" w:hint="cs"/>
          <w:rtl/>
        </w:rPr>
        <w:t>.</w:t>
      </w:r>
    </w:p>
    <w:p w14:paraId="09A4735F" w14:textId="77777777" w:rsidR="002C39F4" w:rsidRPr="006C52B0" w:rsidRDefault="002C39F4" w:rsidP="002C39F4">
      <w:pPr>
        <w:rPr>
          <w:u w:val="single"/>
        </w:rPr>
      </w:pPr>
      <w:r w:rsidRPr="006C52B0">
        <w:rPr>
          <w:rFonts w:cs="Arial"/>
          <w:u w:val="single"/>
          <w:rtl/>
        </w:rPr>
        <w:t>חתיכה שלא ניקרה מגידים ו</w:t>
      </w:r>
      <w:r w:rsidRPr="006C52B0">
        <w:rPr>
          <w:rFonts w:cs="Arial" w:hint="cs"/>
          <w:u w:val="single"/>
          <w:rtl/>
        </w:rPr>
        <w:t>מ</w:t>
      </w:r>
      <w:r w:rsidRPr="006C52B0">
        <w:rPr>
          <w:rFonts w:cs="Arial"/>
          <w:u w:val="single"/>
          <w:rtl/>
        </w:rPr>
        <w:t>חלבה</w:t>
      </w:r>
      <w:r w:rsidRPr="006C52B0">
        <w:rPr>
          <w:rFonts w:cs="Arial" w:hint="cs"/>
          <w:u w:val="single"/>
          <w:rtl/>
        </w:rPr>
        <w:t>:</w:t>
      </w:r>
    </w:p>
    <w:p w14:paraId="04EAB6B1" w14:textId="77777777" w:rsidR="002C39F4" w:rsidRPr="00E74B04" w:rsidRDefault="002C39F4" w:rsidP="0032102C">
      <w:pPr>
        <w:pStyle w:val="a8"/>
        <w:numPr>
          <w:ilvl w:val="0"/>
          <w:numId w:val="205"/>
        </w:numPr>
        <w:rPr>
          <w:rtl/>
        </w:rPr>
      </w:pPr>
      <w:r w:rsidRPr="006C52B0">
        <w:rPr>
          <w:rFonts w:cs="Arial" w:hint="cs"/>
          <w:rtl/>
        </w:rPr>
        <w:t xml:space="preserve">דרכ"מ </w:t>
      </w:r>
      <w:r w:rsidRPr="006C52B0">
        <w:rPr>
          <w:rFonts w:cs="Arial" w:hint="cs"/>
          <w:sz w:val="16"/>
          <w:szCs w:val="16"/>
          <w:rtl/>
        </w:rPr>
        <w:t>(אות א*)</w:t>
      </w:r>
      <w:r w:rsidRPr="006C52B0">
        <w:rPr>
          <w:rFonts w:cs="Arial" w:hint="cs"/>
          <w:rtl/>
        </w:rPr>
        <w:t xml:space="preserve">- </w:t>
      </w:r>
      <w:r w:rsidRPr="006C52B0">
        <w:rPr>
          <w:rFonts w:cs="Arial"/>
          <w:rtl/>
        </w:rPr>
        <w:t xml:space="preserve">מצאתי כתוב </w:t>
      </w:r>
      <w:r>
        <w:rPr>
          <w:rFonts w:cs="Arial" w:hint="cs"/>
          <w:rtl/>
        </w:rPr>
        <w:t>'</w:t>
      </w:r>
      <w:r w:rsidRPr="006C52B0">
        <w:rPr>
          <w:rFonts w:cs="Arial"/>
          <w:rtl/>
        </w:rPr>
        <w:t>חתיכה שלא ניקרה מגידים וחלבה מקרי ראויה להתכבד דהא ראוי לגוי</w:t>
      </w:r>
      <w:r w:rsidRPr="006C52B0">
        <w:rPr>
          <w:rFonts w:cs="Arial" w:hint="cs"/>
          <w:rtl/>
        </w:rPr>
        <w:t xml:space="preserve">', </w:t>
      </w:r>
      <w:r w:rsidRPr="006C52B0">
        <w:rPr>
          <w:rFonts w:cs="Arial"/>
          <w:rtl/>
        </w:rPr>
        <w:t>ואין אנו צריכים לטעם זה דהא אפילו באיסור הנאה אמרינן דין חתיכה הראויה להתכבד</w:t>
      </w:r>
      <w:r w:rsidRPr="006C52B0">
        <w:rPr>
          <w:rFonts w:cs="Arial" w:hint="cs"/>
          <w:rtl/>
        </w:rPr>
        <w:t>.</w:t>
      </w:r>
    </w:p>
    <w:p w14:paraId="3B6F5A1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9E05AF5" w14:textId="77777777" w:rsidR="002C39F4" w:rsidRDefault="002C39F4" w:rsidP="002C39F4">
      <w:pPr>
        <w:rPr>
          <w:rFonts w:asciiTheme="minorBidi" w:hAnsiTheme="minorBidi"/>
          <w:rtl/>
        </w:rPr>
      </w:pPr>
      <w:r w:rsidRPr="003024E5">
        <w:rPr>
          <w:rFonts w:asciiTheme="minorBidi" w:hAnsiTheme="minorBidi"/>
          <w:rtl/>
        </w:rPr>
        <w:t>תרנגולת בנוצתה שנתערבה באחרות בטלה</w:t>
      </w:r>
      <w:r>
        <w:rPr>
          <w:rStyle w:val="a7"/>
          <w:rFonts w:asciiTheme="minorBidi" w:hAnsiTheme="minorBidi"/>
          <w:rtl/>
        </w:rPr>
        <w:footnoteReference w:id="1986"/>
      </w:r>
      <w:r>
        <w:rPr>
          <w:rFonts w:asciiTheme="minorBidi" w:hAnsiTheme="minorBidi" w:hint="cs"/>
          <w:rtl/>
        </w:rPr>
        <w:t>,</w:t>
      </w:r>
      <w:r w:rsidRPr="003024E5">
        <w:rPr>
          <w:rFonts w:asciiTheme="minorBidi" w:hAnsiTheme="minorBidi"/>
          <w:rtl/>
        </w:rPr>
        <w:t xml:space="preserve"> שהרי אינה ראויה להתכבד לפני האורחים כמות שהיא</w:t>
      </w:r>
      <w:r>
        <w:rPr>
          <w:rFonts w:asciiTheme="minorBidi" w:hAnsiTheme="minorBidi" w:hint="cs"/>
          <w:rtl/>
        </w:rPr>
        <w:t>,</w:t>
      </w:r>
      <w:r w:rsidRPr="003024E5">
        <w:rPr>
          <w:rFonts w:asciiTheme="minorBidi" w:hAnsiTheme="minorBidi"/>
          <w:rtl/>
        </w:rPr>
        <w:t xml:space="preserve"> ואף על פי שאחר שנתערבה הסירו הנוצה</w:t>
      </w:r>
      <w:r>
        <w:rPr>
          <w:rStyle w:val="a7"/>
          <w:rFonts w:asciiTheme="minorBidi" w:hAnsiTheme="minorBidi"/>
          <w:rtl/>
        </w:rPr>
        <w:footnoteReference w:id="1987"/>
      </w:r>
      <w:r>
        <w:rPr>
          <w:rFonts w:asciiTheme="minorBidi" w:hAnsiTheme="minorBidi" w:hint="cs"/>
          <w:rtl/>
        </w:rPr>
        <w:t>,</w:t>
      </w:r>
      <w:r w:rsidRPr="003024E5">
        <w:rPr>
          <w:rFonts w:asciiTheme="minorBidi" w:hAnsiTheme="minorBidi"/>
          <w:rtl/>
        </w:rPr>
        <w:t xml:space="preserve"> וכן לא חשיבה ראויה להתכבד אלא אם כן היא מבושלת</w:t>
      </w:r>
      <w:r>
        <w:rPr>
          <w:rFonts w:asciiTheme="minorBidi" w:hAnsiTheme="minorBidi" w:hint="cs"/>
          <w:rtl/>
        </w:rPr>
        <w:t>,</w:t>
      </w:r>
      <w:r w:rsidRPr="003024E5">
        <w:rPr>
          <w:rFonts w:asciiTheme="minorBidi" w:hAnsiTheme="minorBidi"/>
          <w:rtl/>
        </w:rPr>
        <w:t xml:space="preserve"> וכן כבש שלם</w:t>
      </w:r>
      <w:r>
        <w:rPr>
          <w:rStyle w:val="a7"/>
          <w:rFonts w:asciiTheme="minorBidi" w:hAnsiTheme="minorBidi"/>
          <w:rtl/>
        </w:rPr>
        <w:footnoteReference w:id="1988"/>
      </w:r>
      <w:r w:rsidRPr="003024E5">
        <w:rPr>
          <w:rFonts w:asciiTheme="minorBidi" w:hAnsiTheme="minorBidi"/>
          <w:rtl/>
        </w:rPr>
        <w:t xml:space="preserve"> או חתיכה גדולה יותר מדאי לא חשיבה ראויה להתכבד שאין דרך ליתן לפני האורח כבש שלם או חתיכה גדולה יותר מדאי</w:t>
      </w:r>
      <w:r>
        <w:rPr>
          <w:rFonts w:asciiTheme="minorBidi" w:hAnsiTheme="minorBidi" w:hint="cs"/>
          <w:rtl/>
        </w:rPr>
        <w:t>,</w:t>
      </w:r>
      <w:r w:rsidRPr="003024E5">
        <w:rPr>
          <w:rFonts w:asciiTheme="minorBidi" w:hAnsiTheme="minorBidi"/>
          <w:rtl/>
        </w:rPr>
        <w:t xml:space="preserve"> ויש חולקים בכל זה. </w:t>
      </w:r>
      <w:r w:rsidRPr="006C52B0">
        <w:rPr>
          <w:rFonts w:asciiTheme="minorBidi" w:hAnsiTheme="minorBidi"/>
          <w:sz w:val="18"/>
          <w:szCs w:val="18"/>
          <w:rtl/>
        </w:rPr>
        <w:t>הגה: וכן נוהגין, מלבד תרנגולת בנוצתה</w:t>
      </w:r>
      <w:r>
        <w:rPr>
          <w:rStyle w:val="a7"/>
          <w:rFonts w:asciiTheme="minorBidi" w:hAnsiTheme="minorBidi"/>
          <w:sz w:val="18"/>
          <w:szCs w:val="18"/>
          <w:rtl/>
        </w:rPr>
        <w:footnoteReference w:id="1989"/>
      </w:r>
      <w:r w:rsidRPr="006C52B0">
        <w:rPr>
          <w:rFonts w:asciiTheme="minorBidi" w:hAnsiTheme="minorBidi"/>
          <w:sz w:val="18"/>
          <w:szCs w:val="18"/>
          <w:rtl/>
        </w:rPr>
        <w:t xml:space="preserve"> דמחוסרת מעשה גדול דנוהגים בה שהיא בטילה </w:t>
      </w:r>
      <w:r w:rsidRPr="006C52B0">
        <w:rPr>
          <w:rFonts w:asciiTheme="minorBidi" w:hAnsiTheme="minorBidi"/>
          <w:sz w:val="16"/>
          <w:szCs w:val="16"/>
          <w:rtl/>
        </w:rPr>
        <w:t>(טור בשם י"א</w:t>
      </w:r>
      <w:r w:rsidRPr="006C52B0">
        <w:rPr>
          <w:rFonts w:asciiTheme="minorBidi" w:hAnsiTheme="minorBidi" w:hint="cs"/>
          <w:sz w:val="16"/>
          <w:szCs w:val="16"/>
          <w:rtl/>
        </w:rPr>
        <w:t>,</w:t>
      </w:r>
      <w:r w:rsidRPr="006C52B0">
        <w:rPr>
          <w:rFonts w:asciiTheme="minorBidi" w:hAnsiTheme="minorBidi"/>
          <w:sz w:val="16"/>
          <w:szCs w:val="16"/>
          <w:rtl/>
        </w:rPr>
        <w:t xml:space="preserve"> מרדכי </w:t>
      </w:r>
      <w:r w:rsidRPr="006C52B0">
        <w:rPr>
          <w:rFonts w:asciiTheme="minorBidi" w:hAnsiTheme="minorBidi" w:hint="cs"/>
          <w:sz w:val="16"/>
          <w:szCs w:val="16"/>
          <w:rtl/>
        </w:rPr>
        <w:t>ו</w:t>
      </w:r>
      <w:r w:rsidRPr="006C52B0">
        <w:rPr>
          <w:rFonts w:asciiTheme="minorBidi" w:hAnsiTheme="minorBidi"/>
          <w:sz w:val="16"/>
          <w:szCs w:val="16"/>
          <w:rtl/>
        </w:rPr>
        <w:t>ש</w:t>
      </w:r>
      <w:r w:rsidRPr="006C52B0">
        <w:rPr>
          <w:rFonts w:asciiTheme="minorBidi" w:hAnsiTheme="minorBidi" w:hint="cs"/>
          <w:sz w:val="16"/>
          <w:szCs w:val="16"/>
          <w:rtl/>
        </w:rPr>
        <w:t>ע</w:t>
      </w:r>
      <w:r w:rsidRPr="006C52B0">
        <w:rPr>
          <w:rFonts w:asciiTheme="minorBidi" w:hAnsiTheme="minorBidi"/>
          <w:sz w:val="16"/>
          <w:szCs w:val="16"/>
          <w:rtl/>
        </w:rPr>
        <w:t>"ד)</w:t>
      </w:r>
      <w:r w:rsidRPr="006C52B0">
        <w:rPr>
          <w:rFonts w:asciiTheme="minorBidi" w:hAnsiTheme="minorBidi"/>
          <w:sz w:val="18"/>
          <w:szCs w:val="18"/>
          <w:rtl/>
        </w:rPr>
        <w:t>. וכן רגלים או ראש שלא נחרכו משערן</w:t>
      </w:r>
      <w:r>
        <w:rPr>
          <w:rFonts w:asciiTheme="minorBidi" w:hAnsiTheme="minorBidi" w:hint="cs"/>
          <w:sz w:val="18"/>
          <w:szCs w:val="18"/>
          <w:rtl/>
        </w:rPr>
        <w:t>,</w:t>
      </w:r>
      <w:r w:rsidRPr="006C52B0">
        <w:rPr>
          <w:rFonts w:asciiTheme="minorBidi" w:hAnsiTheme="minorBidi"/>
          <w:sz w:val="18"/>
          <w:szCs w:val="18"/>
          <w:rtl/>
        </w:rPr>
        <w:t xml:space="preserve"> אבל אם כבר נחרכו</w:t>
      </w:r>
      <w:r>
        <w:rPr>
          <w:rStyle w:val="a7"/>
          <w:rFonts w:asciiTheme="minorBidi" w:hAnsiTheme="minorBidi"/>
          <w:sz w:val="18"/>
          <w:szCs w:val="18"/>
          <w:rtl/>
        </w:rPr>
        <w:footnoteReference w:id="1990"/>
      </w:r>
      <w:r w:rsidRPr="006C52B0">
        <w:rPr>
          <w:rFonts w:asciiTheme="minorBidi" w:hAnsiTheme="minorBidi"/>
          <w:sz w:val="18"/>
          <w:szCs w:val="18"/>
          <w:rtl/>
        </w:rPr>
        <w:t xml:space="preserve"> חשיבי ח</w:t>
      </w:r>
      <w:r>
        <w:rPr>
          <w:rFonts w:asciiTheme="minorBidi" w:hAnsiTheme="minorBidi" w:hint="cs"/>
          <w:sz w:val="18"/>
          <w:szCs w:val="18"/>
          <w:rtl/>
        </w:rPr>
        <w:t>ה"ל</w:t>
      </w:r>
      <w:r w:rsidRPr="006C52B0">
        <w:rPr>
          <w:rFonts w:asciiTheme="minorBidi" w:hAnsiTheme="minorBidi"/>
          <w:sz w:val="18"/>
          <w:szCs w:val="18"/>
          <w:rtl/>
        </w:rPr>
        <w:t xml:space="preserve"> אפילו לא נמלחו עדיין</w:t>
      </w:r>
      <w:r>
        <w:rPr>
          <w:rFonts w:asciiTheme="minorBidi" w:hAnsiTheme="minorBidi" w:hint="cs"/>
          <w:sz w:val="18"/>
          <w:szCs w:val="18"/>
          <w:rtl/>
        </w:rPr>
        <w:t>,</w:t>
      </w:r>
      <w:r w:rsidRPr="006C52B0">
        <w:rPr>
          <w:rFonts w:asciiTheme="minorBidi" w:hAnsiTheme="minorBidi"/>
          <w:sz w:val="18"/>
          <w:szCs w:val="18"/>
          <w:rtl/>
        </w:rPr>
        <w:t xml:space="preserve"> ואפי</w:t>
      </w:r>
      <w:r>
        <w:rPr>
          <w:rFonts w:asciiTheme="minorBidi" w:hAnsiTheme="minorBidi" w:hint="cs"/>
          <w:sz w:val="18"/>
          <w:szCs w:val="18"/>
          <w:rtl/>
        </w:rPr>
        <w:t>לו</w:t>
      </w:r>
      <w:r w:rsidRPr="006C52B0">
        <w:rPr>
          <w:rFonts w:asciiTheme="minorBidi" w:hAnsiTheme="minorBidi"/>
          <w:sz w:val="18"/>
          <w:szCs w:val="18"/>
          <w:rtl/>
        </w:rPr>
        <w:t xml:space="preserve"> כבש שלם אינו בטל </w:t>
      </w:r>
      <w:r w:rsidRPr="006C52B0">
        <w:rPr>
          <w:rFonts w:asciiTheme="minorBidi" w:hAnsiTheme="minorBidi"/>
          <w:sz w:val="16"/>
          <w:szCs w:val="16"/>
          <w:rtl/>
        </w:rPr>
        <w:t>(הגש</w:t>
      </w:r>
      <w:r w:rsidRPr="006C52B0">
        <w:rPr>
          <w:rFonts w:asciiTheme="minorBidi" w:hAnsiTheme="minorBidi" w:hint="cs"/>
          <w:sz w:val="16"/>
          <w:szCs w:val="16"/>
          <w:rtl/>
        </w:rPr>
        <w:t>ע</w:t>
      </w:r>
      <w:r w:rsidRPr="006C52B0">
        <w:rPr>
          <w:rFonts w:asciiTheme="minorBidi" w:hAnsiTheme="minorBidi"/>
          <w:sz w:val="16"/>
          <w:szCs w:val="16"/>
          <w:rtl/>
        </w:rPr>
        <w:t>"ד)</w:t>
      </w:r>
      <w:r w:rsidRPr="006C52B0">
        <w:rPr>
          <w:rFonts w:asciiTheme="minorBidi" w:hAnsiTheme="minorBidi"/>
          <w:sz w:val="18"/>
          <w:szCs w:val="18"/>
          <w:rtl/>
        </w:rPr>
        <w:t>. מיהו רגלים של עופות מלבד רגלי אווז</w:t>
      </w:r>
      <w:r>
        <w:rPr>
          <w:rStyle w:val="a7"/>
          <w:rFonts w:asciiTheme="minorBidi" w:hAnsiTheme="minorBidi"/>
          <w:sz w:val="18"/>
          <w:szCs w:val="18"/>
          <w:rtl/>
        </w:rPr>
        <w:footnoteReference w:id="1991"/>
      </w:r>
      <w:r>
        <w:rPr>
          <w:rFonts w:asciiTheme="minorBidi" w:hAnsiTheme="minorBidi" w:hint="cs"/>
          <w:sz w:val="18"/>
          <w:szCs w:val="18"/>
          <w:rtl/>
        </w:rPr>
        <w:t>,</w:t>
      </w:r>
      <w:r w:rsidRPr="006C52B0">
        <w:rPr>
          <w:rFonts w:asciiTheme="minorBidi" w:hAnsiTheme="minorBidi"/>
          <w:sz w:val="18"/>
          <w:szCs w:val="18"/>
          <w:rtl/>
        </w:rPr>
        <w:t xml:space="preserve"> וכן רגלי בהמה דקה במדינות אלו לא חשיבי כלל ובטלים</w:t>
      </w:r>
      <w:r>
        <w:rPr>
          <w:rFonts w:asciiTheme="minorBidi" w:hAnsiTheme="minorBidi" w:hint="cs"/>
          <w:sz w:val="18"/>
          <w:szCs w:val="18"/>
          <w:rtl/>
        </w:rPr>
        <w:t>.</w:t>
      </w:r>
      <w:r w:rsidRPr="006C52B0">
        <w:rPr>
          <w:rFonts w:asciiTheme="minorBidi" w:hAnsiTheme="minorBidi"/>
          <w:sz w:val="18"/>
          <w:szCs w:val="18"/>
          <w:rtl/>
        </w:rPr>
        <w:t xml:space="preserve"> ראש של עופות אינו חשוב ובטל</w:t>
      </w:r>
      <w:r w:rsidRPr="006C52B0">
        <w:rPr>
          <w:rFonts w:asciiTheme="minorBidi" w:hAnsiTheme="minorBidi"/>
          <w:sz w:val="16"/>
          <w:szCs w:val="16"/>
          <w:rtl/>
        </w:rPr>
        <w:t xml:space="preserve"> (ארוך)</w:t>
      </w:r>
      <w:r w:rsidRPr="006C52B0">
        <w:rPr>
          <w:rFonts w:asciiTheme="minorBidi" w:hAnsiTheme="minorBidi"/>
          <w:sz w:val="18"/>
          <w:szCs w:val="18"/>
          <w:rtl/>
        </w:rPr>
        <w:t>.</w:t>
      </w:r>
      <w:r w:rsidRPr="003024E5">
        <w:rPr>
          <w:rFonts w:asciiTheme="minorBidi" w:hAnsiTheme="minorBidi"/>
          <w:rtl/>
        </w:rPr>
        <w:t xml:space="preserve"> </w:t>
      </w:r>
    </w:p>
    <w:p w14:paraId="6F0E35BA" w14:textId="77777777" w:rsidR="002C39F4" w:rsidRDefault="002C39F4" w:rsidP="002C39F4">
      <w:pPr>
        <w:rPr>
          <w:rFonts w:asciiTheme="minorBidi" w:hAnsiTheme="minorBidi" w:cs="Arial"/>
          <w:rtl/>
        </w:rPr>
      </w:pPr>
      <w:r w:rsidRPr="00F11EAD">
        <w:rPr>
          <w:rFonts w:asciiTheme="minorBidi" w:hAnsiTheme="minorBidi" w:hint="cs"/>
          <w:u w:val="single"/>
          <w:rtl/>
        </w:rPr>
        <w:t>חתיכה שאינה מנוקת:</w:t>
      </w:r>
      <w:r w:rsidRPr="00F11EAD">
        <w:rPr>
          <w:sz w:val="16"/>
          <w:szCs w:val="16"/>
          <w:rtl/>
        </w:rPr>
        <w:t xml:space="preserve"> </w:t>
      </w:r>
      <w:r w:rsidRPr="00F11EAD">
        <w:rPr>
          <w:rFonts w:asciiTheme="minorBidi" w:hAnsiTheme="minorBidi" w:cs="Arial"/>
          <w:sz w:val="16"/>
          <w:szCs w:val="16"/>
          <w:rtl/>
        </w:rPr>
        <w:t>(</w:t>
      </w:r>
      <w:r w:rsidRPr="00F11EAD">
        <w:rPr>
          <w:rFonts w:asciiTheme="minorBidi" w:hAnsiTheme="minorBidi" w:cs="Arial" w:hint="cs"/>
          <w:sz w:val="16"/>
          <w:szCs w:val="16"/>
          <w:rtl/>
        </w:rPr>
        <w:t>פת"ש סק"</w:t>
      </w:r>
      <w:r w:rsidRPr="00F11EAD">
        <w:rPr>
          <w:rFonts w:asciiTheme="minorBidi" w:hAnsiTheme="minorBidi" w:cs="Arial"/>
          <w:sz w:val="16"/>
          <w:szCs w:val="16"/>
          <w:rtl/>
        </w:rPr>
        <w:t>ד)</w:t>
      </w:r>
      <w:r w:rsidRPr="00F11EAD">
        <w:rPr>
          <w:rFonts w:asciiTheme="minorBidi" w:hAnsiTheme="minorBidi" w:cs="Arial"/>
          <w:rtl/>
        </w:rPr>
        <w:t xml:space="preserve"> </w:t>
      </w:r>
    </w:p>
    <w:p w14:paraId="0F3020C7" w14:textId="77777777" w:rsidR="002C39F4" w:rsidRDefault="002C39F4" w:rsidP="0032102C">
      <w:pPr>
        <w:pStyle w:val="a8"/>
        <w:numPr>
          <w:ilvl w:val="0"/>
          <w:numId w:val="265"/>
        </w:numPr>
        <w:rPr>
          <w:rFonts w:asciiTheme="minorBidi" w:hAnsiTheme="minorBidi"/>
        </w:rPr>
      </w:pPr>
      <w:r w:rsidRPr="00F11EAD">
        <w:rPr>
          <w:rFonts w:asciiTheme="minorBidi" w:hAnsiTheme="minorBidi" w:cs="Arial"/>
          <w:rtl/>
        </w:rPr>
        <w:t xml:space="preserve">נו"ב </w:t>
      </w:r>
      <w:r w:rsidRPr="00F11EAD">
        <w:rPr>
          <w:rFonts w:asciiTheme="minorBidi" w:hAnsiTheme="minorBidi" w:cs="Arial" w:hint="cs"/>
          <w:sz w:val="16"/>
          <w:szCs w:val="16"/>
          <w:rtl/>
        </w:rPr>
        <w:t>(</w:t>
      </w:r>
      <w:r w:rsidRPr="00F11EAD">
        <w:rPr>
          <w:rFonts w:asciiTheme="minorBidi" w:hAnsiTheme="minorBidi" w:cs="Arial"/>
          <w:sz w:val="16"/>
          <w:szCs w:val="16"/>
          <w:rtl/>
        </w:rPr>
        <w:t>י</w:t>
      </w:r>
      <w:r w:rsidRPr="00F11EAD">
        <w:rPr>
          <w:rFonts w:asciiTheme="minorBidi" w:hAnsiTheme="minorBidi" w:cs="Arial" w:hint="cs"/>
          <w:sz w:val="16"/>
          <w:szCs w:val="16"/>
          <w:rtl/>
        </w:rPr>
        <w:t>ו</w:t>
      </w:r>
      <w:r w:rsidRPr="00F11EAD">
        <w:rPr>
          <w:rFonts w:asciiTheme="minorBidi" w:hAnsiTheme="minorBidi" w:cs="Arial"/>
          <w:sz w:val="16"/>
          <w:szCs w:val="16"/>
          <w:rtl/>
        </w:rPr>
        <w:t>"ד סי' טז)</w:t>
      </w:r>
      <w:r w:rsidRPr="00F11EAD">
        <w:rPr>
          <w:rFonts w:asciiTheme="minorBidi" w:hAnsiTheme="minorBidi" w:cs="Arial" w:hint="cs"/>
          <w:rtl/>
        </w:rPr>
        <w:t xml:space="preserve">- </w:t>
      </w:r>
      <w:r w:rsidRPr="00F11EAD">
        <w:rPr>
          <w:rFonts w:asciiTheme="minorBidi" w:hAnsiTheme="minorBidi" w:cs="Arial"/>
          <w:rtl/>
        </w:rPr>
        <w:t xml:space="preserve">חתיכה שאינה מנוקרת לא הר"ל כיון דאיכא טירחא ומה שראויה </w:t>
      </w:r>
      <w:r w:rsidRPr="00F11EAD">
        <w:rPr>
          <w:rFonts w:asciiTheme="minorBidi" w:hAnsiTheme="minorBidi" w:cs="Arial" w:hint="cs"/>
          <w:rtl/>
        </w:rPr>
        <w:t>לגוי</w:t>
      </w:r>
      <w:r w:rsidRPr="00F11EAD">
        <w:rPr>
          <w:rFonts w:asciiTheme="minorBidi" w:hAnsiTheme="minorBidi" w:cs="Arial"/>
          <w:rtl/>
        </w:rPr>
        <w:t xml:space="preserve"> לא מיקרי חהר"ל</w:t>
      </w:r>
      <w:r>
        <w:rPr>
          <w:rStyle w:val="a7"/>
          <w:rFonts w:asciiTheme="minorBidi" w:hAnsiTheme="minorBidi" w:cs="Arial"/>
          <w:rtl/>
        </w:rPr>
        <w:footnoteReference w:id="1992"/>
      </w:r>
      <w:r w:rsidRPr="00F11EAD">
        <w:rPr>
          <w:rFonts w:asciiTheme="minorBidi" w:hAnsiTheme="minorBidi" w:cs="Arial" w:hint="cs"/>
          <w:rtl/>
        </w:rPr>
        <w:t>.</w:t>
      </w:r>
    </w:p>
    <w:p w14:paraId="44661DAD" w14:textId="77777777" w:rsidR="002C39F4" w:rsidRPr="00F11EAD" w:rsidRDefault="002C39F4" w:rsidP="002C39F4">
      <w:pPr>
        <w:rPr>
          <w:rFonts w:asciiTheme="minorBidi" w:hAnsiTheme="minorBidi"/>
          <w:rtl/>
        </w:rPr>
      </w:pPr>
    </w:p>
    <w:p w14:paraId="1C8D5635" w14:textId="77777777" w:rsidR="002C39F4" w:rsidRPr="00E74B0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שומן הכנתא.</w:t>
      </w:r>
    </w:p>
    <w:p w14:paraId="7530F95B" w14:textId="77777777" w:rsidR="002C39F4" w:rsidRPr="006C52B0" w:rsidRDefault="002C39F4" w:rsidP="002C39F4">
      <w:pPr>
        <w:rPr>
          <w:rFonts w:cs="Arial"/>
          <w:sz w:val="16"/>
          <w:szCs w:val="16"/>
          <w:rtl/>
        </w:rPr>
      </w:pPr>
      <w:r w:rsidRPr="006C52B0">
        <w:rPr>
          <w:rFonts w:cs="Arial"/>
          <w:u w:val="single"/>
          <w:rtl/>
        </w:rPr>
        <w:t>הדרא דכנתא</w:t>
      </w:r>
      <w:r w:rsidRPr="006C52B0">
        <w:rPr>
          <w:rFonts w:cs="Arial" w:hint="cs"/>
          <w:u w:val="single"/>
          <w:rtl/>
        </w:rPr>
        <w:t>:</w:t>
      </w:r>
      <w:r>
        <w:rPr>
          <w:rFonts w:cs="Arial" w:hint="cs"/>
          <w:sz w:val="16"/>
          <w:szCs w:val="16"/>
          <w:rtl/>
        </w:rPr>
        <w:t xml:space="preserve">  (ב"י ודרכ"מ [אות א*])</w:t>
      </w:r>
    </w:p>
    <w:p w14:paraId="72DB0A8C" w14:textId="77777777" w:rsidR="002C39F4" w:rsidRPr="00E74B04" w:rsidRDefault="002C39F4" w:rsidP="0032102C">
      <w:pPr>
        <w:pStyle w:val="a8"/>
        <w:numPr>
          <w:ilvl w:val="0"/>
          <w:numId w:val="205"/>
        </w:numPr>
        <w:rPr>
          <w:rtl/>
        </w:rPr>
      </w:pPr>
      <w:r w:rsidRPr="006C52B0">
        <w:rPr>
          <w:rFonts w:cs="Arial"/>
          <w:rtl/>
        </w:rPr>
        <w:t>הגש</w:t>
      </w:r>
      <w:r>
        <w:rPr>
          <w:rFonts w:cs="Arial" w:hint="cs"/>
          <w:rtl/>
        </w:rPr>
        <w:t>ע</w:t>
      </w:r>
      <w:r w:rsidRPr="006C52B0">
        <w:rPr>
          <w:rFonts w:cs="Arial"/>
          <w:rtl/>
        </w:rPr>
        <w:t>"ד</w:t>
      </w:r>
      <w:r w:rsidRPr="006C52B0">
        <w:rPr>
          <w:rFonts w:cs="Arial"/>
          <w:sz w:val="16"/>
          <w:szCs w:val="16"/>
          <w:rtl/>
        </w:rPr>
        <w:t xml:space="preserve"> </w:t>
      </w:r>
      <w:r>
        <w:rPr>
          <w:rFonts w:cs="Arial" w:hint="cs"/>
          <w:sz w:val="16"/>
          <w:szCs w:val="16"/>
          <w:rtl/>
        </w:rPr>
        <w:t>(</w:t>
      </w:r>
      <w:r w:rsidRPr="006C52B0">
        <w:rPr>
          <w:rFonts w:cs="Arial"/>
          <w:sz w:val="16"/>
          <w:szCs w:val="16"/>
          <w:rtl/>
        </w:rPr>
        <w:t>סי' מ סק"ג)</w:t>
      </w:r>
      <w:r>
        <w:rPr>
          <w:rFonts w:cs="Arial" w:hint="cs"/>
          <w:rtl/>
        </w:rPr>
        <w:t xml:space="preserve"> ואו"ה </w:t>
      </w:r>
      <w:r>
        <w:rPr>
          <w:rFonts w:cs="Arial" w:hint="cs"/>
          <w:sz w:val="16"/>
          <w:szCs w:val="16"/>
          <w:rtl/>
        </w:rPr>
        <w:t>(כלל כה דכ"ב)</w:t>
      </w:r>
      <w:r>
        <w:rPr>
          <w:rFonts w:cs="Arial" w:hint="cs"/>
          <w:rtl/>
        </w:rPr>
        <w:t xml:space="preserve">- </w:t>
      </w:r>
      <w:r w:rsidRPr="006C52B0">
        <w:rPr>
          <w:rFonts w:cs="Arial"/>
          <w:rtl/>
        </w:rPr>
        <w:t>הדרא דכנתא אינו ראוי להתכבד</w:t>
      </w:r>
      <w:r>
        <w:rPr>
          <w:rFonts w:cs="Arial" w:hint="cs"/>
          <w:rtl/>
        </w:rPr>
        <w:t>,</w:t>
      </w:r>
      <w:r w:rsidRPr="006C52B0">
        <w:rPr>
          <w:rFonts w:cs="Arial"/>
          <w:rtl/>
        </w:rPr>
        <w:t xml:space="preserve"> דאין דרך לתת לאורחים הדרא דכנתא בקערה ולא עבידי אינשי דאכלי שומן בעיניה</w:t>
      </w:r>
      <w:r>
        <w:rPr>
          <w:rFonts w:cs="Arial" w:hint="cs"/>
          <w:rtl/>
        </w:rPr>
        <w:t>.</w:t>
      </w:r>
      <w:r>
        <w:rPr>
          <w:rFonts w:hint="cs"/>
          <w:rtl/>
        </w:rPr>
        <w:t xml:space="preserve"> </w:t>
      </w:r>
      <w:r w:rsidRPr="006C52B0">
        <w:rPr>
          <w:rFonts w:hint="cs"/>
          <w:color w:val="E36C0A" w:themeColor="accent6" w:themeShade="BF"/>
          <w:rtl/>
        </w:rPr>
        <w:t>(וכ"פ בש</w:t>
      </w:r>
      <w:r>
        <w:rPr>
          <w:rFonts w:hint="cs"/>
          <w:color w:val="E36C0A" w:themeColor="accent6" w:themeShade="BF"/>
          <w:rtl/>
        </w:rPr>
        <w:t>ו</w:t>
      </w:r>
      <w:r w:rsidRPr="006C52B0">
        <w:rPr>
          <w:rFonts w:hint="cs"/>
          <w:color w:val="E36C0A" w:themeColor="accent6" w:themeShade="BF"/>
          <w:rtl/>
        </w:rPr>
        <w:t>"ע)</w:t>
      </w:r>
    </w:p>
    <w:p w14:paraId="58308BAD" w14:textId="77777777" w:rsidR="002C39F4" w:rsidRPr="002E4D69" w:rsidRDefault="002C39F4" w:rsidP="002C39F4">
      <w:pPr>
        <w:rPr>
          <w:rFonts w:cs="Arial"/>
          <w:u w:val="single"/>
          <w:rtl/>
        </w:rPr>
      </w:pPr>
      <w:r>
        <w:rPr>
          <w:rFonts w:cs="Arial" w:hint="cs"/>
          <w:u w:val="single"/>
          <w:rtl/>
        </w:rPr>
        <w:t>עור שומן אווז</w:t>
      </w:r>
      <w:r w:rsidRPr="002E4D69">
        <w:rPr>
          <w:rFonts w:cs="Arial" w:hint="cs"/>
          <w:u w:val="single"/>
          <w:rtl/>
        </w:rPr>
        <w:t>:</w:t>
      </w:r>
      <w:r w:rsidRPr="002E4D69">
        <w:rPr>
          <w:rFonts w:cs="Arial" w:hint="cs"/>
          <w:sz w:val="16"/>
          <w:szCs w:val="16"/>
          <w:rtl/>
        </w:rPr>
        <w:t xml:space="preserve">   (דרכ"מ אות א*)</w:t>
      </w:r>
    </w:p>
    <w:p w14:paraId="596B5E90" w14:textId="77777777" w:rsidR="002C39F4" w:rsidRPr="006C52B0" w:rsidRDefault="002C39F4" w:rsidP="0032102C">
      <w:pPr>
        <w:pStyle w:val="a8"/>
        <w:numPr>
          <w:ilvl w:val="0"/>
          <w:numId w:val="205"/>
        </w:numPr>
      </w:pPr>
      <w:r w:rsidRPr="002E4D69">
        <w:rPr>
          <w:rFonts w:cs="Arial" w:hint="cs"/>
          <w:rtl/>
        </w:rPr>
        <w:t xml:space="preserve">או"ה </w:t>
      </w:r>
      <w:r w:rsidRPr="002E4D69">
        <w:rPr>
          <w:rFonts w:cs="Arial" w:hint="cs"/>
          <w:sz w:val="16"/>
          <w:szCs w:val="16"/>
          <w:rtl/>
        </w:rPr>
        <w:t>(</w:t>
      </w:r>
      <w:r w:rsidRPr="002E4D69">
        <w:rPr>
          <w:rFonts w:cs="Arial"/>
          <w:sz w:val="16"/>
          <w:szCs w:val="16"/>
          <w:rtl/>
        </w:rPr>
        <w:t>כלל כה דכ</w:t>
      </w:r>
      <w:r w:rsidRPr="002E4D69">
        <w:rPr>
          <w:rFonts w:cs="Arial" w:hint="cs"/>
          <w:sz w:val="16"/>
          <w:szCs w:val="16"/>
          <w:rtl/>
        </w:rPr>
        <w:t>"</w:t>
      </w:r>
      <w:r>
        <w:rPr>
          <w:rFonts w:cs="Arial" w:hint="cs"/>
          <w:sz w:val="16"/>
          <w:szCs w:val="16"/>
          <w:rtl/>
        </w:rPr>
        <w:t>ג</w:t>
      </w:r>
      <w:r w:rsidRPr="002E4D69">
        <w:rPr>
          <w:rFonts w:cs="Arial"/>
          <w:sz w:val="16"/>
          <w:szCs w:val="16"/>
          <w:rtl/>
        </w:rPr>
        <w:t>)</w:t>
      </w:r>
      <w:r w:rsidRPr="002E4D69">
        <w:rPr>
          <w:rFonts w:cs="Arial" w:hint="cs"/>
          <w:rtl/>
        </w:rPr>
        <w:t xml:space="preserve">- </w:t>
      </w:r>
      <w:r w:rsidRPr="002E4D69">
        <w:rPr>
          <w:rFonts w:cs="Arial"/>
          <w:rtl/>
        </w:rPr>
        <w:t>עור שומן של אווז אם נטרפה אחת ונתערבה באחרות הוי חתיכה הראויה להתכבד ואינה בטילה</w:t>
      </w:r>
      <w:r>
        <w:rPr>
          <w:rFonts w:cs="Arial" w:hint="cs"/>
          <w:rtl/>
        </w:rPr>
        <w:t>,</w:t>
      </w:r>
      <w:r w:rsidRPr="002E4D69">
        <w:rPr>
          <w:rFonts w:cs="Arial"/>
          <w:rtl/>
        </w:rPr>
        <w:t xml:space="preserve"> ומיהו אם יכולין להכיר שהוא מן הטריפה כל האחרות מותרין</w:t>
      </w:r>
      <w:r>
        <w:rPr>
          <w:rStyle w:val="a7"/>
          <w:rFonts w:cs="Arial"/>
          <w:rtl/>
        </w:rPr>
        <w:footnoteReference w:id="1993"/>
      </w:r>
      <w:r>
        <w:rPr>
          <w:rFonts w:cs="Arial" w:hint="cs"/>
          <w:rtl/>
        </w:rPr>
        <w:t>.</w:t>
      </w:r>
      <w:r w:rsidRPr="00427971">
        <w:rPr>
          <w:rFonts w:hint="cs"/>
          <w:color w:val="00B0F0"/>
          <w:rtl/>
        </w:rPr>
        <w:t xml:space="preserve"> (וכ"פ הרמ"א)</w:t>
      </w:r>
    </w:p>
    <w:p w14:paraId="071797A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F2287C3" w14:textId="77777777" w:rsidR="002C39F4" w:rsidRDefault="002C39F4" w:rsidP="002C39F4">
      <w:pPr>
        <w:rPr>
          <w:rFonts w:asciiTheme="minorBidi" w:hAnsiTheme="minorBidi"/>
          <w:rtl/>
        </w:rPr>
      </w:pPr>
      <w:r w:rsidRPr="003024E5">
        <w:rPr>
          <w:rFonts w:asciiTheme="minorBidi" w:hAnsiTheme="minorBidi"/>
          <w:rtl/>
        </w:rPr>
        <w:t>שומן הכנתא אינו ראוי להתכבד</w:t>
      </w:r>
      <w:r>
        <w:rPr>
          <w:rStyle w:val="a7"/>
          <w:rFonts w:asciiTheme="minorBidi" w:hAnsiTheme="minorBidi"/>
          <w:rtl/>
        </w:rPr>
        <w:footnoteReference w:id="1994"/>
      </w:r>
      <w:r w:rsidRPr="003024E5">
        <w:rPr>
          <w:rFonts w:asciiTheme="minorBidi" w:hAnsiTheme="minorBidi"/>
          <w:rtl/>
        </w:rPr>
        <w:t xml:space="preserve">. </w:t>
      </w:r>
      <w:r w:rsidRPr="006C52B0">
        <w:rPr>
          <w:rFonts w:asciiTheme="minorBidi" w:hAnsiTheme="minorBidi" w:hint="cs"/>
          <w:sz w:val="18"/>
          <w:szCs w:val="18"/>
          <w:rtl/>
        </w:rPr>
        <w:t xml:space="preserve">[הגה] </w:t>
      </w:r>
      <w:r w:rsidRPr="006C52B0">
        <w:rPr>
          <w:rFonts w:asciiTheme="minorBidi" w:hAnsiTheme="minorBidi"/>
          <w:sz w:val="18"/>
          <w:szCs w:val="18"/>
          <w:rtl/>
        </w:rPr>
        <w:t>אבל עור שומן אווז מקרי ראוי להתכבד ואינו בטל</w:t>
      </w:r>
      <w:r>
        <w:rPr>
          <w:rStyle w:val="a7"/>
          <w:rFonts w:asciiTheme="minorBidi" w:hAnsiTheme="minorBidi"/>
          <w:sz w:val="18"/>
          <w:szCs w:val="18"/>
          <w:rtl/>
        </w:rPr>
        <w:footnoteReference w:id="1995"/>
      </w:r>
      <w:r w:rsidRPr="006C52B0">
        <w:rPr>
          <w:rFonts w:asciiTheme="minorBidi" w:hAnsiTheme="minorBidi"/>
          <w:sz w:val="18"/>
          <w:szCs w:val="18"/>
          <w:rtl/>
        </w:rPr>
        <w:t xml:space="preserve"> (</w:t>
      </w:r>
      <w:r>
        <w:rPr>
          <w:rFonts w:asciiTheme="minorBidi" w:hAnsiTheme="minorBidi" w:hint="cs"/>
          <w:sz w:val="18"/>
          <w:szCs w:val="18"/>
          <w:rtl/>
        </w:rPr>
        <w:t>ארוך</w:t>
      </w:r>
      <w:r w:rsidRPr="006C52B0">
        <w:rPr>
          <w:rFonts w:asciiTheme="minorBidi" w:hAnsiTheme="minorBidi"/>
          <w:sz w:val="18"/>
          <w:szCs w:val="18"/>
          <w:rtl/>
        </w:rPr>
        <w:t>).</w:t>
      </w:r>
      <w:r w:rsidRPr="003024E5">
        <w:rPr>
          <w:rFonts w:asciiTheme="minorBidi" w:hAnsiTheme="minorBidi"/>
          <w:rtl/>
        </w:rPr>
        <w:t xml:space="preserve"> </w:t>
      </w:r>
    </w:p>
    <w:p w14:paraId="5ABF1B5B" w14:textId="77777777" w:rsidR="002C39F4" w:rsidRDefault="002C39F4" w:rsidP="002C39F4">
      <w:pPr>
        <w:rPr>
          <w:rtl/>
        </w:rPr>
      </w:pPr>
      <w:r w:rsidRPr="00744EE6">
        <w:rPr>
          <w:rFonts w:hint="cs"/>
          <w:u w:val="single"/>
          <w:rtl/>
        </w:rPr>
        <w:t xml:space="preserve">מה </w:t>
      </w:r>
      <w:r>
        <w:rPr>
          <w:rFonts w:hint="cs"/>
          <w:u w:val="single"/>
          <w:rtl/>
        </w:rPr>
        <w:t xml:space="preserve">הדין אם </w:t>
      </w:r>
      <w:r w:rsidRPr="00744EE6">
        <w:rPr>
          <w:rFonts w:hint="cs"/>
          <w:u w:val="single"/>
          <w:rtl/>
        </w:rPr>
        <w:t>עור</w:t>
      </w:r>
      <w:r>
        <w:rPr>
          <w:rFonts w:hint="cs"/>
          <w:u w:val="single"/>
          <w:rtl/>
        </w:rPr>
        <w:t xml:space="preserve"> האווז</w:t>
      </w:r>
      <w:r w:rsidRPr="00744EE6">
        <w:rPr>
          <w:rFonts w:hint="cs"/>
          <w:u w:val="single"/>
          <w:rtl/>
        </w:rPr>
        <w:t xml:space="preserve"> חתוך לרצועות:</w:t>
      </w:r>
      <w:r>
        <w:rPr>
          <w:rFonts w:hint="cs"/>
          <w:rtl/>
        </w:rPr>
        <w:t xml:space="preserve"> </w:t>
      </w:r>
    </w:p>
    <w:p w14:paraId="708951E4" w14:textId="77777777" w:rsidR="002C39F4" w:rsidRPr="00744EE6" w:rsidRDefault="002C39F4" w:rsidP="0032102C">
      <w:pPr>
        <w:pStyle w:val="a8"/>
        <w:numPr>
          <w:ilvl w:val="0"/>
          <w:numId w:val="206"/>
        </w:numPr>
        <w:rPr>
          <w:rFonts w:asciiTheme="minorBidi" w:hAnsiTheme="minorBidi"/>
        </w:rPr>
      </w:pPr>
      <w:r w:rsidRPr="00744EE6">
        <w:rPr>
          <w:rFonts w:hint="cs"/>
          <w:rtl/>
        </w:rPr>
        <w:t xml:space="preserve">הערות </w:t>
      </w:r>
      <w:r>
        <w:rPr>
          <w:rFonts w:hint="cs"/>
          <w:rtl/>
        </w:rPr>
        <w:t>או"ה</w:t>
      </w:r>
      <w:r>
        <w:rPr>
          <w:rFonts w:cs="Arial" w:hint="cs"/>
          <w:rtl/>
        </w:rPr>
        <w:t xml:space="preserve">- </w:t>
      </w:r>
      <w:r w:rsidRPr="00744EE6">
        <w:rPr>
          <w:rFonts w:cs="Arial"/>
          <w:rtl/>
        </w:rPr>
        <w:t>אם נחתך לרצועות בטיל חשיבותה</w:t>
      </w:r>
      <w:r w:rsidRPr="00744EE6">
        <w:rPr>
          <w:rFonts w:cs="Arial" w:hint="cs"/>
          <w:rtl/>
        </w:rPr>
        <w:t>.</w:t>
      </w:r>
    </w:p>
    <w:p w14:paraId="5F177DE1" w14:textId="77777777" w:rsidR="002C39F4" w:rsidRDefault="002C39F4" w:rsidP="0032102C">
      <w:pPr>
        <w:pStyle w:val="a8"/>
        <w:numPr>
          <w:ilvl w:val="0"/>
          <w:numId w:val="206"/>
        </w:numPr>
        <w:rPr>
          <w:rFonts w:asciiTheme="minorBidi" w:hAnsiTheme="minorBidi"/>
        </w:rPr>
      </w:pPr>
      <w:r w:rsidRPr="00744EE6">
        <w:rPr>
          <w:rFonts w:cs="Arial" w:hint="cs"/>
          <w:rtl/>
        </w:rPr>
        <w:t xml:space="preserve">ט"ז </w:t>
      </w:r>
      <w:r w:rsidRPr="00744EE6">
        <w:rPr>
          <w:rFonts w:cs="Arial" w:hint="cs"/>
          <w:sz w:val="16"/>
          <w:szCs w:val="16"/>
          <w:rtl/>
        </w:rPr>
        <w:t>(סק"י)</w:t>
      </w:r>
      <w:r>
        <w:rPr>
          <w:rFonts w:cs="Arial" w:hint="cs"/>
          <w:rtl/>
        </w:rPr>
        <w:t xml:space="preserve">- </w:t>
      </w:r>
      <w:r w:rsidRPr="00744EE6">
        <w:rPr>
          <w:rFonts w:cs="Arial"/>
          <w:rtl/>
        </w:rPr>
        <w:t xml:space="preserve">עיקר כיבוד בעור האווז </w:t>
      </w:r>
      <w:r w:rsidRPr="00744EE6">
        <w:rPr>
          <w:rFonts w:cs="Arial" w:hint="cs"/>
          <w:rtl/>
        </w:rPr>
        <w:t xml:space="preserve">הוא </w:t>
      </w:r>
      <w:r w:rsidRPr="00744EE6">
        <w:rPr>
          <w:rFonts w:cs="Arial"/>
          <w:rtl/>
        </w:rPr>
        <w:t>אחר שחותכין אותו לחתיכות לטגנם</w:t>
      </w:r>
      <w:r w:rsidRPr="00744EE6">
        <w:rPr>
          <w:rFonts w:cs="Arial" w:hint="cs"/>
          <w:rtl/>
        </w:rPr>
        <w:t>,</w:t>
      </w:r>
      <w:r w:rsidRPr="00744EE6">
        <w:rPr>
          <w:rFonts w:cs="Arial"/>
          <w:rtl/>
        </w:rPr>
        <w:t xml:space="preserve"> עינינו רואות שמכבדין בכל מקום באותן החתיכו</w:t>
      </w:r>
      <w:r>
        <w:rPr>
          <w:rFonts w:cs="Arial" w:hint="cs"/>
          <w:rtl/>
        </w:rPr>
        <w:t>ת</w:t>
      </w:r>
      <w:r w:rsidRPr="00744EE6">
        <w:rPr>
          <w:rFonts w:cs="Arial"/>
          <w:rtl/>
        </w:rPr>
        <w:t xml:space="preserve"> המטוגנות בפני אנשים חשובים</w:t>
      </w:r>
      <w:r>
        <w:rPr>
          <w:rFonts w:cs="Arial" w:hint="cs"/>
          <w:rtl/>
        </w:rPr>
        <w:t>,</w:t>
      </w:r>
      <w:r w:rsidRPr="00744EE6">
        <w:rPr>
          <w:rFonts w:cs="Arial"/>
          <w:rtl/>
        </w:rPr>
        <w:t xml:space="preserve"> ע"כ ודאי הוה חתיכה הראויה להתכבד אפי' בנחתכה</w:t>
      </w:r>
      <w:r>
        <w:rPr>
          <w:rStyle w:val="a7"/>
          <w:rFonts w:cs="Arial"/>
          <w:rtl/>
        </w:rPr>
        <w:footnoteReference w:id="1996"/>
      </w:r>
      <w:r>
        <w:rPr>
          <w:rFonts w:cs="Arial" w:hint="cs"/>
          <w:rtl/>
        </w:rPr>
        <w:t>.</w:t>
      </w:r>
    </w:p>
    <w:p w14:paraId="234509DD" w14:textId="77777777" w:rsidR="002C39F4" w:rsidRPr="00744EE6" w:rsidRDefault="002C39F4" w:rsidP="002C39F4">
      <w:pPr>
        <w:rPr>
          <w:rFonts w:asciiTheme="minorBidi" w:hAnsiTheme="minorBidi"/>
          <w:rtl/>
        </w:rPr>
      </w:pPr>
    </w:p>
    <w:p w14:paraId="2A98370E"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בני מעיים.</w:t>
      </w:r>
    </w:p>
    <w:p w14:paraId="2C84F0C6" w14:textId="77777777" w:rsidR="002C39F4" w:rsidRPr="00646ACB" w:rsidRDefault="002C39F4" w:rsidP="002C39F4">
      <w:pPr>
        <w:rPr>
          <w:rtl/>
        </w:rPr>
      </w:pPr>
      <w:r w:rsidRPr="00646ACB">
        <w:rPr>
          <w:rFonts w:cs="Arial" w:hint="cs"/>
          <w:b/>
          <w:bCs/>
          <w:rtl/>
        </w:rPr>
        <w:t xml:space="preserve">נדרים נד ע"ב: </w:t>
      </w:r>
      <w:r w:rsidRPr="00646ACB">
        <w:rPr>
          <w:rFonts w:cs="Arial"/>
          <w:u w:val="single"/>
          <w:rtl/>
        </w:rPr>
        <w:t>וכן היה רשב"ג אומר</w:t>
      </w:r>
      <w:r>
        <w:rPr>
          <w:rStyle w:val="a7"/>
          <w:rFonts w:cs="Arial"/>
          <w:u w:val="single"/>
          <w:rtl/>
        </w:rPr>
        <w:footnoteReference w:id="1997"/>
      </w:r>
      <w:r w:rsidRPr="00646ACB">
        <w:rPr>
          <w:rFonts w:cs="Arial"/>
          <w:rtl/>
        </w:rPr>
        <w:t>: קרביים לאו בשר ואוכליהן לאו בר אינש</w:t>
      </w:r>
      <w:r>
        <w:rPr>
          <w:rFonts w:cs="Arial" w:hint="cs"/>
          <w:rtl/>
        </w:rPr>
        <w:t xml:space="preserve">. </w:t>
      </w:r>
      <w:r w:rsidRPr="00646ACB">
        <w:rPr>
          <w:rFonts w:cs="Arial"/>
          <w:rtl/>
        </w:rPr>
        <w:t>אוכליהן כבשר, לענין זביני לאו בר אינש.</w:t>
      </w:r>
    </w:p>
    <w:p w14:paraId="0315A9DC" w14:textId="77777777" w:rsidR="002C39F4" w:rsidRPr="00427971" w:rsidRDefault="002C39F4" w:rsidP="002C39F4">
      <w:pPr>
        <w:rPr>
          <w:rFonts w:cs="Arial"/>
          <w:u w:val="single"/>
          <w:rtl/>
        </w:rPr>
      </w:pPr>
      <w:r w:rsidRPr="00427971">
        <w:rPr>
          <w:rFonts w:cs="Arial" w:hint="cs"/>
          <w:u w:val="single"/>
          <w:rtl/>
        </w:rPr>
        <w:t>בני מעיים:</w:t>
      </w:r>
    </w:p>
    <w:p w14:paraId="71220CCC" w14:textId="77777777" w:rsidR="002C39F4" w:rsidRPr="00E74B04" w:rsidRDefault="002C39F4" w:rsidP="0032102C">
      <w:pPr>
        <w:pStyle w:val="a8"/>
        <w:numPr>
          <w:ilvl w:val="0"/>
          <w:numId w:val="205"/>
        </w:numPr>
        <w:rPr>
          <w:rtl/>
        </w:rPr>
      </w:pPr>
      <w:r w:rsidRPr="00427971">
        <w:rPr>
          <w:rFonts w:cs="Arial" w:hint="cs"/>
          <w:rtl/>
        </w:rPr>
        <w:t>טור</w:t>
      </w:r>
      <w:r w:rsidRPr="00427971">
        <w:rPr>
          <w:rFonts w:cs="Arial" w:hint="cs"/>
          <w:sz w:val="16"/>
          <w:szCs w:val="16"/>
          <w:rtl/>
        </w:rPr>
        <w:t xml:space="preserve"> (</w:t>
      </w:r>
      <w:r w:rsidRPr="00427971">
        <w:rPr>
          <w:rFonts w:cs="Arial"/>
          <w:sz w:val="16"/>
          <w:szCs w:val="16"/>
          <w:rtl/>
        </w:rPr>
        <w:t>סי</w:t>
      </w:r>
      <w:r w:rsidRPr="00427971">
        <w:rPr>
          <w:rFonts w:cs="Arial" w:hint="cs"/>
          <w:sz w:val="16"/>
          <w:szCs w:val="16"/>
          <w:rtl/>
        </w:rPr>
        <w:t>'</w:t>
      </w:r>
      <w:r w:rsidRPr="00427971">
        <w:rPr>
          <w:rFonts w:cs="Arial"/>
          <w:sz w:val="16"/>
          <w:szCs w:val="16"/>
          <w:rtl/>
        </w:rPr>
        <w:t xml:space="preserve"> ק</w:t>
      </w:r>
      <w:r w:rsidRPr="00427971">
        <w:rPr>
          <w:rFonts w:cs="Arial" w:hint="cs"/>
          <w:sz w:val="16"/>
          <w:szCs w:val="16"/>
          <w:rtl/>
        </w:rPr>
        <w:t>י)</w:t>
      </w:r>
      <w:r>
        <w:rPr>
          <w:rFonts w:cs="Arial" w:hint="cs"/>
          <w:rtl/>
        </w:rPr>
        <w:t>-</w:t>
      </w:r>
      <w:r w:rsidRPr="00427971">
        <w:rPr>
          <w:rFonts w:cs="Arial" w:hint="cs"/>
          <w:rtl/>
        </w:rPr>
        <w:t xml:space="preserve"> </w:t>
      </w:r>
      <w:r w:rsidRPr="00427971">
        <w:rPr>
          <w:rFonts w:cs="Arial"/>
          <w:rtl/>
        </w:rPr>
        <w:t>ה"ר יהודה הורה על קרקבן טריפה שנתערב באחרים דלא הוי ראוי להתכבד</w:t>
      </w:r>
      <w:r>
        <w:rPr>
          <w:rFonts w:cs="Arial" w:hint="cs"/>
          <w:rtl/>
        </w:rPr>
        <w:t>,</w:t>
      </w:r>
      <w:r w:rsidRPr="00427971">
        <w:rPr>
          <w:rFonts w:cs="Arial"/>
          <w:rtl/>
        </w:rPr>
        <w:t xml:space="preserve"> כדאמרינן </w:t>
      </w:r>
      <w:r w:rsidRPr="00427971">
        <w:rPr>
          <w:rFonts w:cs="Arial"/>
          <w:sz w:val="16"/>
          <w:szCs w:val="16"/>
          <w:rtl/>
        </w:rPr>
        <w:t xml:space="preserve">(נדרים נד:) </w:t>
      </w:r>
      <w:r w:rsidRPr="00427971">
        <w:rPr>
          <w:rFonts w:cs="Arial"/>
          <w:rtl/>
        </w:rPr>
        <w:t>בני מעים אוכליהן לאו אינשי</w:t>
      </w:r>
      <w:r w:rsidRPr="00427971">
        <w:rPr>
          <w:rFonts w:cs="Arial" w:hint="cs"/>
          <w:rtl/>
        </w:rPr>
        <w:t>,</w:t>
      </w:r>
      <w:r w:rsidRPr="00427971">
        <w:rPr>
          <w:rFonts w:cs="Arial"/>
          <w:rtl/>
        </w:rPr>
        <w:t xml:space="preserve"> ולפי זה הוא הדין נמי בכל המעים</w:t>
      </w:r>
      <w:r>
        <w:rPr>
          <w:rStyle w:val="a7"/>
          <w:rFonts w:cs="Arial"/>
          <w:rtl/>
        </w:rPr>
        <w:footnoteReference w:id="1998"/>
      </w:r>
      <w:r w:rsidRPr="00427971">
        <w:rPr>
          <w:rFonts w:cs="Arial" w:hint="cs"/>
          <w:rtl/>
        </w:rPr>
        <w:t>.</w:t>
      </w:r>
      <w:r w:rsidRPr="00427971">
        <w:rPr>
          <w:rFonts w:cs="Arial"/>
          <w:rtl/>
        </w:rPr>
        <w:t xml:space="preserve"> </w:t>
      </w:r>
      <w:r w:rsidRPr="006C52B0">
        <w:rPr>
          <w:rFonts w:hint="cs"/>
          <w:color w:val="E36C0A" w:themeColor="accent6" w:themeShade="BF"/>
          <w:rtl/>
        </w:rPr>
        <w:t>(וכ"פ בש</w:t>
      </w:r>
      <w:r>
        <w:rPr>
          <w:rFonts w:hint="cs"/>
          <w:color w:val="E36C0A" w:themeColor="accent6" w:themeShade="BF"/>
          <w:rtl/>
        </w:rPr>
        <w:t>ו</w:t>
      </w:r>
      <w:r w:rsidRPr="006C52B0">
        <w:rPr>
          <w:rFonts w:hint="cs"/>
          <w:color w:val="E36C0A" w:themeColor="accent6" w:themeShade="BF"/>
          <w:rtl/>
        </w:rPr>
        <w:t>"ע)</w:t>
      </w:r>
    </w:p>
    <w:p w14:paraId="4251F0F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C94F749" w14:textId="77777777" w:rsidR="002C39F4" w:rsidRDefault="002C39F4" w:rsidP="002C39F4">
      <w:pPr>
        <w:rPr>
          <w:rFonts w:asciiTheme="minorBidi" w:hAnsiTheme="minorBidi"/>
          <w:rtl/>
        </w:rPr>
      </w:pPr>
      <w:r w:rsidRPr="003024E5">
        <w:rPr>
          <w:rFonts w:asciiTheme="minorBidi" w:hAnsiTheme="minorBidi"/>
          <w:rtl/>
        </w:rPr>
        <w:t xml:space="preserve">קורקבן וכן שאר בני מעיים אינם ראויים להתכבד. </w:t>
      </w:r>
    </w:p>
    <w:p w14:paraId="59DF8C07" w14:textId="77777777" w:rsidR="002C39F4" w:rsidRPr="003E0009" w:rsidRDefault="002C39F4" w:rsidP="002C39F4">
      <w:pPr>
        <w:rPr>
          <w:rFonts w:asciiTheme="minorBidi" w:hAnsiTheme="minorBidi" w:cs="Arial"/>
          <w:u w:val="single"/>
          <w:rtl/>
        </w:rPr>
      </w:pPr>
      <w:r w:rsidRPr="003E0009">
        <w:rPr>
          <w:rFonts w:asciiTheme="minorBidi" w:hAnsiTheme="minorBidi" w:cs="Arial"/>
          <w:u w:val="single"/>
          <w:rtl/>
        </w:rPr>
        <w:t>קורקבן של אווז</w:t>
      </w:r>
      <w:r w:rsidRPr="003E0009">
        <w:rPr>
          <w:rFonts w:asciiTheme="minorBidi" w:hAnsiTheme="minorBidi" w:cs="Arial" w:hint="cs"/>
          <w:u w:val="single"/>
          <w:rtl/>
        </w:rPr>
        <w:t>:</w:t>
      </w:r>
    </w:p>
    <w:p w14:paraId="700BC095" w14:textId="77777777" w:rsidR="002C39F4" w:rsidRPr="003E0009" w:rsidRDefault="002C39F4" w:rsidP="0032102C">
      <w:pPr>
        <w:pStyle w:val="a8"/>
        <w:numPr>
          <w:ilvl w:val="0"/>
          <w:numId w:val="207"/>
        </w:numPr>
        <w:rPr>
          <w:rFonts w:asciiTheme="minorBidi" w:hAnsiTheme="minorBidi"/>
        </w:rPr>
      </w:pPr>
      <w:r w:rsidRPr="003E0009">
        <w:rPr>
          <w:rFonts w:asciiTheme="minorBidi" w:hAnsiTheme="minorBidi" w:cs="Arial" w:hint="cs"/>
          <w:rtl/>
        </w:rPr>
        <w:t xml:space="preserve">ש"ך </w:t>
      </w:r>
      <w:r w:rsidRPr="003E0009">
        <w:rPr>
          <w:rFonts w:asciiTheme="minorBidi" w:hAnsiTheme="minorBidi" w:cs="Arial" w:hint="cs"/>
          <w:sz w:val="16"/>
          <w:szCs w:val="16"/>
          <w:rtl/>
        </w:rPr>
        <w:t>(סקי"ד)</w:t>
      </w:r>
      <w:r w:rsidRPr="003E0009">
        <w:rPr>
          <w:rFonts w:asciiTheme="minorBidi" w:hAnsiTheme="minorBidi" w:cs="Arial" w:hint="cs"/>
          <w:rtl/>
        </w:rPr>
        <w:t xml:space="preserve">- </w:t>
      </w:r>
      <w:r w:rsidRPr="003E0009">
        <w:rPr>
          <w:rFonts w:asciiTheme="minorBidi" w:hAnsiTheme="minorBidi" w:cs="Arial"/>
          <w:rtl/>
        </w:rPr>
        <w:t>מסתימת לשון המחבר משמע אפי' קורקבן של אווז</w:t>
      </w:r>
      <w:r>
        <w:rPr>
          <w:rFonts w:asciiTheme="minorBidi" w:hAnsiTheme="minorBidi" w:cs="Arial" w:hint="cs"/>
          <w:rtl/>
        </w:rPr>
        <w:t>,</w:t>
      </w:r>
      <w:r w:rsidRPr="003E0009">
        <w:rPr>
          <w:rFonts w:asciiTheme="minorBidi" w:hAnsiTheme="minorBidi" w:cs="Arial"/>
          <w:rtl/>
        </w:rPr>
        <w:t xml:space="preserve"> וכן משמע מדברי שאר פוסקים</w:t>
      </w:r>
      <w:r>
        <w:rPr>
          <w:rFonts w:asciiTheme="minorBidi" w:hAnsiTheme="minorBidi" w:cs="Arial" w:hint="cs"/>
          <w:rtl/>
        </w:rPr>
        <w:t>.</w:t>
      </w:r>
    </w:p>
    <w:p w14:paraId="0DE7FE61" w14:textId="77777777" w:rsidR="002C39F4" w:rsidRPr="007C6FDB" w:rsidRDefault="002C39F4" w:rsidP="0032102C">
      <w:pPr>
        <w:pStyle w:val="a8"/>
        <w:numPr>
          <w:ilvl w:val="0"/>
          <w:numId w:val="207"/>
        </w:numPr>
        <w:rPr>
          <w:rFonts w:asciiTheme="minorBidi" w:hAnsiTheme="minorBidi"/>
          <w:rtl/>
        </w:rPr>
      </w:pPr>
      <w:r w:rsidRPr="003E0009">
        <w:rPr>
          <w:rFonts w:asciiTheme="minorBidi" w:hAnsiTheme="minorBidi" w:cs="Arial"/>
          <w:rtl/>
        </w:rPr>
        <w:t>רש"ל</w:t>
      </w:r>
      <w:r w:rsidRPr="003E0009">
        <w:rPr>
          <w:rFonts w:asciiTheme="minorBidi" w:hAnsiTheme="minorBidi" w:cs="Arial"/>
          <w:sz w:val="16"/>
          <w:szCs w:val="16"/>
          <w:rtl/>
        </w:rPr>
        <w:t xml:space="preserve"> </w:t>
      </w:r>
      <w:r w:rsidRPr="003E0009">
        <w:rPr>
          <w:rFonts w:asciiTheme="minorBidi" w:hAnsiTheme="minorBidi" w:cs="Arial" w:hint="cs"/>
          <w:sz w:val="16"/>
          <w:szCs w:val="16"/>
          <w:rtl/>
        </w:rPr>
        <w:t>(</w:t>
      </w:r>
      <w:r w:rsidRPr="003E0009">
        <w:rPr>
          <w:rFonts w:asciiTheme="minorBidi" w:hAnsiTheme="minorBidi" w:cs="Arial"/>
          <w:sz w:val="16"/>
          <w:szCs w:val="16"/>
          <w:rtl/>
        </w:rPr>
        <w:t>או"ש</w:t>
      </w:r>
      <w:r>
        <w:rPr>
          <w:rFonts w:asciiTheme="minorBidi" w:hAnsiTheme="minorBidi" w:cs="Arial" w:hint="cs"/>
          <w:sz w:val="16"/>
          <w:szCs w:val="16"/>
          <w:rtl/>
        </w:rPr>
        <w:t>,</w:t>
      </w:r>
      <w:r w:rsidRPr="003E0009">
        <w:rPr>
          <w:rFonts w:asciiTheme="minorBidi" w:hAnsiTheme="minorBidi" w:cs="Arial"/>
          <w:sz w:val="16"/>
          <w:szCs w:val="16"/>
          <w:rtl/>
        </w:rPr>
        <w:t xml:space="preserve"> וב</w:t>
      </w:r>
      <w:r>
        <w:rPr>
          <w:rFonts w:asciiTheme="minorBidi" w:hAnsiTheme="minorBidi" w:cs="Arial" w:hint="cs"/>
          <w:sz w:val="16"/>
          <w:szCs w:val="16"/>
          <w:rtl/>
        </w:rPr>
        <w:t>יש"ש</w:t>
      </w:r>
      <w:r w:rsidRPr="003E0009">
        <w:rPr>
          <w:rFonts w:asciiTheme="minorBidi" w:hAnsiTheme="minorBidi" w:cs="Arial"/>
          <w:sz w:val="16"/>
          <w:szCs w:val="16"/>
          <w:rtl/>
        </w:rPr>
        <w:t xml:space="preserve"> פג"ה סי' </w:t>
      </w:r>
      <w:r w:rsidRPr="003E0009">
        <w:rPr>
          <w:rFonts w:asciiTheme="minorBidi" w:hAnsiTheme="minorBidi" w:cs="Arial" w:hint="cs"/>
          <w:sz w:val="16"/>
          <w:szCs w:val="16"/>
          <w:rtl/>
        </w:rPr>
        <w:t>נ)</w:t>
      </w:r>
      <w:r>
        <w:rPr>
          <w:rFonts w:asciiTheme="minorBidi" w:hAnsiTheme="minorBidi" w:cs="Arial" w:hint="cs"/>
          <w:rtl/>
        </w:rPr>
        <w:t>-</w:t>
      </w:r>
      <w:r w:rsidRPr="003E0009">
        <w:rPr>
          <w:rFonts w:asciiTheme="minorBidi" w:hAnsiTheme="minorBidi" w:cs="Arial"/>
          <w:rtl/>
        </w:rPr>
        <w:t xml:space="preserve"> נראה לי שברוב מקומות שראיתי שהקורקבן של אווז חשיב ראוי להתכבד ומאחר שכ' הרמב"ם שהכל תלוי לפי הזמן ודאי חשוב קורקבן אווז חשיב ולא בטיל</w:t>
      </w:r>
      <w:r>
        <w:rPr>
          <w:rStyle w:val="a7"/>
          <w:rFonts w:asciiTheme="minorBidi" w:hAnsiTheme="minorBidi" w:cs="Arial"/>
          <w:rtl/>
        </w:rPr>
        <w:footnoteReference w:id="1999"/>
      </w:r>
      <w:r w:rsidRPr="003E0009">
        <w:rPr>
          <w:rFonts w:asciiTheme="minorBidi" w:hAnsiTheme="minorBidi" w:cs="Arial" w:hint="cs"/>
          <w:rtl/>
        </w:rPr>
        <w:t>.</w:t>
      </w:r>
      <w:r>
        <w:rPr>
          <w:rFonts w:asciiTheme="minorBidi" w:hAnsiTheme="minorBidi" w:hint="cs"/>
          <w:rtl/>
        </w:rPr>
        <w:t xml:space="preserve"> </w:t>
      </w:r>
    </w:p>
    <w:p w14:paraId="18169899" w14:textId="77777777" w:rsidR="002C39F4" w:rsidRDefault="002C39F4" w:rsidP="002C39F4">
      <w:pPr>
        <w:rPr>
          <w:rFonts w:asciiTheme="minorBidi" w:hAnsiTheme="minorBidi" w:cs="Arial"/>
          <w:rtl/>
        </w:rPr>
      </w:pPr>
      <w:r w:rsidRPr="00341152">
        <w:rPr>
          <w:rFonts w:asciiTheme="minorBidi" w:hAnsiTheme="minorBidi" w:cs="Arial" w:hint="cs"/>
          <w:u w:val="single"/>
          <w:rtl/>
        </w:rPr>
        <w:t>חזה אווז:</w:t>
      </w:r>
      <w:r>
        <w:rPr>
          <w:rFonts w:asciiTheme="minorBidi" w:hAnsiTheme="minorBidi" w:cs="Arial" w:hint="cs"/>
          <w:sz w:val="16"/>
          <w:szCs w:val="16"/>
          <w:rtl/>
        </w:rPr>
        <w:t xml:space="preserve">   (ט"ז סקי"א)</w:t>
      </w:r>
    </w:p>
    <w:p w14:paraId="35E8D264" w14:textId="77777777" w:rsidR="002C39F4" w:rsidRDefault="002C39F4" w:rsidP="0032102C">
      <w:pPr>
        <w:pStyle w:val="a8"/>
        <w:numPr>
          <w:ilvl w:val="0"/>
          <w:numId w:val="208"/>
        </w:numPr>
        <w:rPr>
          <w:rFonts w:asciiTheme="minorBidi" w:hAnsiTheme="minorBidi" w:cs="Arial"/>
        </w:rPr>
      </w:pPr>
      <w:r w:rsidRPr="003E0009">
        <w:rPr>
          <w:rFonts w:asciiTheme="minorBidi" w:hAnsiTheme="minorBidi" w:cs="Arial"/>
          <w:rtl/>
        </w:rPr>
        <w:t>רש"ל</w:t>
      </w:r>
      <w:r w:rsidRPr="003E0009">
        <w:rPr>
          <w:rFonts w:asciiTheme="minorBidi" w:hAnsiTheme="minorBidi" w:cs="Arial"/>
          <w:sz w:val="16"/>
          <w:szCs w:val="16"/>
          <w:rtl/>
        </w:rPr>
        <w:t xml:space="preserve"> </w:t>
      </w:r>
      <w:r w:rsidRPr="003E0009">
        <w:rPr>
          <w:rFonts w:asciiTheme="minorBidi" w:hAnsiTheme="minorBidi" w:cs="Arial" w:hint="cs"/>
          <w:sz w:val="16"/>
          <w:szCs w:val="16"/>
          <w:rtl/>
        </w:rPr>
        <w:t>(</w:t>
      </w:r>
      <w:r w:rsidRPr="003E0009">
        <w:rPr>
          <w:rFonts w:asciiTheme="minorBidi" w:hAnsiTheme="minorBidi" w:cs="Arial"/>
          <w:sz w:val="16"/>
          <w:szCs w:val="16"/>
          <w:rtl/>
        </w:rPr>
        <w:t xml:space="preserve">או"ש ובספרו פג"ה סי' </w:t>
      </w:r>
      <w:r w:rsidRPr="003E0009">
        <w:rPr>
          <w:rFonts w:asciiTheme="minorBidi" w:hAnsiTheme="minorBidi" w:cs="Arial" w:hint="cs"/>
          <w:sz w:val="16"/>
          <w:szCs w:val="16"/>
          <w:rtl/>
        </w:rPr>
        <w:t>נ)</w:t>
      </w:r>
      <w:r>
        <w:rPr>
          <w:rFonts w:asciiTheme="minorBidi" w:hAnsiTheme="minorBidi" w:cs="Arial" w:hint="cs"/>
          <w:rtl/>
        </w:rPr>
        <w:t>-</w:t>
      </w:r>
      <w:r w:rsidRPr="003E0009">
        <w:rPr>
          <w:rFonts w:asciiTheme="minorBidi" w:hAnsiTheme="minorBidi" w:cs="Arial"/>
          <w:rtl/>
        </w:rPr>
        <w:t xml:space="preserve"> </w:t>
      </w:r>
      <w:r w:rsidRPr="00341152">
        <w:rPr>
          <w:rFonts w:asciiTheme="minorBidi" w:hAnsiTheme="minorBidi" w:cs="Arial"/>
          <w:rtl/>
        </w:rPr>
        <w:t>חכמי קראקא הורו על בשר אווז שעל החזה שקורין ביל"ק אע</w:t>
      </w:r>
      <w:r>
        <w:rPr>
          <w:rFonts w:asciiTheme="minorBidi" w:hAnsiTheme="minorBidi" w:cs="Arial" w:hint="cs"/>
          <w:rtl/>
        </w:rPr>
        <w:t>"</w:t>
      </w:r>
      <w:r w:rsidRPr="00341152">
        <w:rPr>
          <w:rFonts w:asciiTheme="minorBidi" w:hAnsiTheme="minorBidi" w:cs="Arial"/>
          <w:rtl/>
        </w:rPr>
        <w:t>פ שהופשטה האווז אעפ"כ נקרא הביל"ק ראוי לכבד</w:t>
      </w:r>
      <w:r>
        <w:rPr>
          <w:rFonts w:asciiTheme="minorBidi" w:hAnsiTheme="minorBidi" w:cs="Arial" w:hint="cs"/>
          <w:rtl/>
        </w:rPr>
        <w:t>,</w:t>
      </w:r>
      <w:r w:rsidRPr="00341152">
        <w:rPr>
          <w:rFonts w:asciiTheme="minorBidi" w:hAnsiTheme="minorBidi" w:cs="Arial"/>
          <w:rtl/>
        </w:rPr>
        <w:t xml:space="preserve"> ולי נראה דשלא כדין הורו</w:t>
      </w:r>
      <w:r>
        <w:rPr>
          <w:rFonts w:asciiTheme="minorBidi" w:hAnsiTheme="minorBidi" w:cs="Arial" w:hint="cs"/>
          <w:rtl/>
        </w:rPr>
        <w:t>,</w:t>
      </w:r>
      <w:r w:rsidRPr="00341152">
        <w:rPr>
          <w:rFonts w:asciiTheme="minorBidi" w:hAnsiTheme="minorBidi" w:cs="Arial"/>
          <w:rtl/>
        </w:rPr>
        <w:t xml:space="preserve"> אע</w:t>
      </w:r>
      <w:r>
        <w:rPr>
          <w:rFonts w:asciiTheme="minorBidi" w:hAnsiTheme="minorBidi" w:cs="Arial" w:hint="cs"/>
          <w:rtl/>
        </w:rPr>
        <w:t>"</w:t>
      </w:r>
      <w:r w:rsidRPr="00341152">
        <w:rPr>
          <w:rFonts w:asciiTheme="minorBidi" w:hAnsiTheme="minorBidi" w:cs="Arial"/>
          <w:rtl/>
        </w:rPr>
        <w:t>פ שהאמת במקומות הללו שראוי לכבד לפני אורחים בצלייה מ"מ מאחר שהופשט האווז וניטל תפארתה בטל ממנה החשיבות</w:t>
      </w:r>
      <w:r>
        <w:rPr>
          <w:rFonts w:asciiTheme="minorBidi" w:hAnsiTheme="minorBidi" w:cs="Arial" w:hint="cs"/>
          <w:rtl/>
        </w:rPr>
        <w:t>,</w:t>
      </w:r>
      <w:r w:rsidRPr="00341152">
        <w:rPr>
          <w:rFonts w:asciiTheme="minorBidi" w:hAnsiTheme="minorBidi" w:cs="Arial"/>
          <w:rtl/>
        </w:rPr>
        <w:t xml:space="preserve"> וקצת דומה לבריה שנטל ממנה מעט בטל חשיבותה</w:t>
      </w:r>
      <w:r>
        <w:rPr>
          <w:rFonts w:asciiTheme="minorBidi" w:hAnsiTheme="minorBidi" w:cs="Arial" w:hint="cs"/>
          <w:rtl/>
        </w:rPr>
        <w:t>,</w:t>
      </w:r>
      <w:r w:rsidRPr="00341152">
        <w:rPr>
          <w:rFonts w:asciiTheme="minorBidi" w:hAnsiTheme="minorBidi" w:cs="Arial"/>
          <w:rtl/>
        </w:rPr>
        <w:t xml:space="preserve"> וכן כאן בטל חשיבותה מאחר דכשלא היתה מופשטת היתה חשובה ביותר</w:t>
      </w:r>
      <w:r>
        <w:rPr>
          <w:rFonts w:asciiTheme="minorBidi" w:hAnsiTheme="minorBidi" w:cs="Arial" w:hint="cs"/>
          <w:rtl/>
        </w:rPr>
        <w:t>.</w:t>
      </w:r>
    </w:p>
    <w:p w14:paraId="3FDC11A2" w14:textId="77777777" w:rsidR="002C39F4" w:rsidRDefault="002C39F4" w:rsidP="0032102C">
      <w:pPr>
        <w:pStyle w:val="a8"/>
        <w:numPr>
          <w:ilvl w:val="0"/>
          <w:numId w:val="208"/>
        </w:numPr>
        <w:rPr>
          <w:rFonts w:asciiTheme="minorBidi" w:hAnsiTheme="minorBidi" w:cs="Arial"/>
        </w:rPr>
      </w:pPr>
      <w:r>
        <w:rPr>
          <w:rFonts w:asciiTheme="minorBidi" w:hAnsiTheme="minorBidi" w:cs="Arial" w:hint="cs"/>
          <w:rtl/>
        </w:rPr>
        <w:t xml:space="preserve">ט"ז </w:t>
      </w:r>
      <w:r w:rsidRPr="00341152">
        <w:rPr>
          <w:rFonts w:asciiTheme="minorBidi" w:hAnsiTheme="minorBidi" w:cs="Arial" w:hint="cs"/>
          <w:sz w:val="16"/>
          <w:szCs w:val="16"/>
          <w:rtl/>
        </w:rPr>
        <w:t>(סקי"א)</w:t>
      </w:r>
      <w:r>
        <w:rPr>
          <w:rFonts w:asciiTheme="minorBidi" w:hAnsiTheme="minorBidi" w:cs="Arial" w:hint="cs"/>
          <w:rtl/>
        </w:rPr>
        <w:t xml:space="preserve">- </w:t>
      </w:r>
      <w:r>
        <w:rPr>
          <w:rStyle w:val="a7"/>
          <w:rFonts w:asciiTheme="minorBidi" w:hAnsiTheme="minorBidi" w:cs="Arial"/>
          <w:rtl/>
        </w:rPr>
        <w:footnoteReference w:id="2000"/>
      </w:r>
      <w:r w:rsidRPr="00341152">
        <w:rPr>
          <w:rFonts w:asciiTheme="minorBidi" w:hAnsiTheme="minorBidi" w:cs="Arial"/>
          <w:rtl/>
        </w:rPr>
        <w:t>כל חתיכה הראויה לכבד עכשיו חשיבא היא אע</w:t>
      </w:r>
      <w:r>
        <w:rPr>
          <w:rFonts w:asciiTheme="minorBidi" w:hAnsiTheme="minorBidi" w:cs="Arial" w:hint="cs"/>
          <w:rtl/>
        </w:rPr>
        <w:t>"</w:t>
      </w:r>
      <w:r w:rsidRPr="00341152">
        <w:rPr>
          <w:rFonts w:asciiTheme="minorBidi" w:hAnsiTheme="minorBidi" w:cs="Arial"/>
          <w:rtl/>
        </w:rPr>
        <w:t xml:space="preserve">פ שהיתה חשובה יותר. </w:t>
      </w:r>
      <w:r>
        <w:rPr>
          <w:rFonts w:asciiTheme="minorBidi" w:hAnsiTheme="minorBidi" w:cs="Arial" w:hint="cs"/>
          <w:rtl/>
        </w:rPr>
        <w:t xml:space="preserve"> </w:t>
      </w:r>
    </w:p>
    <w:p w14:paraId="789D3C61" w14:textId="77777777" w:rsidR="002C39F4" w:rsidRPr="00341152" w:rsidRDefault="002C39F4" w:rsidP="002C39F4">
      <w:pPr>
        <w:rPr>
          <w:rFonts w:asciiTheme="minorBidi" w:hAnsiTheme="minorBidi" w:cs="Arial"/>
          <w:sz w:val="16"/>
          <w:szCs w:val="16"/>
        </w:rPr>
      </w:pPr>
      <w:r>
        <w:rPr>
          <w:rFonts w:asciiTheme="minorBidi" w:hAnsiTheme="minorBidi" w:cs="Arial" w:hint="cs"/>
          <w:u w:val="single"/>
          <w:rtl/>
        </w:rPr>
        <w:t>כבד אווז:</w:t>
      </w:r>
      <w:r>
        <w:rPr>
          <w:rFonts w:asciiTheme="minorBidi" w:hAnsiTheme="minorBidi" w:cs="Arial" w:hint="cs"/>
          <w:sz w:val="16"/>
          <w:szCs w:val="16"/>
          <w:rtl/>
        </w:rPr>
        <w:t xml:space="preserve">   (ט"ז סקי"א)</w:t>
      </w:r>
    </w:p>
    <w:p w14:paraId="43224ED9" w14:textId="77777777" w:rsidR="002C39F4" w:rsidRPr="00341152" w:rsidRDefault="002C39F4" w:rsidP="0032102C">
      <w:pPr>
        <w:pStyle w:val="a8"/>
        <w:numPr>
          <w:ilvl w:val="0"/>
          <w:numId w:val="208"/>
        </w:numPr>
        <w:rPr>
          <w:rFonts w:asciiTheme="minorBidi" w:hAnsiTheme="minorBidi" w:cs="Arial"/>
          <w:rtl/>
        </w:rPr>
      </w:pPr>
      <w:r w:rsidRPr="00341152">
        <w:rPr>
          <w:rFonts w:asciiTheme="minorBidi" w:hAnsiTheme="minorBidi" w:cs="Arial"/>
          <w:rtl/>
        </w:rPr>
        <w:t>לבוש</w:t>
      </w:r>
      <w:r>
        <w:rPr>
          <w:rFonts w:asciiTheme="minorBidi" w:hAnsiTheme="minorBidi" w:cs="Arial" w:hint="cs"/>
          <w:rtl/>
        </w:rPr>
        <w:t>-</w:t>
      </w:r>
      <w:r w:rsidRPr="00341152">
        <w:rPr>
          <w:rFonts w:asciiTheme="minorBidi" w:hAnsiTheme="minorBidi" w:cs="Arial"/>
          <w:rtl/>
        </w:rPr>
        <w:t xml:space="preserve"> אותן כבדים של אווזות שנהפכו ללובן מכח השומן ודאי חשובין הם ולא בטלי</w:t>
      </w:r>
      <w:r w:rsidRPr="00341152">
        <w:rPr>
          <w:rFonts w:asciiTheme="minorBidi" w:hAnsiTheme="minorBidi" w:cs="Arial" w:hint="cs"/>
          <w:rtl/>
        </w:rPr>
        <w:t>.</w:t>
      </w:r>
    </w:p>
    <w:p w14:paraId="1637AD2E" w14:textId="77777777" w:rsidR="002C39F4" w:rsidRPr="003024E5" w:rsidRDefault="002C39F4" w:rsidP="002C39F4">
      <w:pPr>
        <w:rPr>
          <w:rFonts w:asciiTheme="minorBidi" w:hAnsiTheme="minorBidi"/>
          <w:rtl/>
        </w:rPr>
      </w:pPr>
    </w:p>
    <w:p w14:paraId="70FB8916"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בריה שנחתכה או נתרסקה.</w:t>
      </w:r>
    </w:p>
    <w:p w14:paraId="7CC706DA" w14:textId="77777777" w:rsidR="002C39F4" w:rsidRDefault="002C39F4" w:rsidP="002C39F4">
      <w:pPr>
        <w:rPr>
          <w:rFonts w:cs="Arial"/>
          <w:rtl/>
        </w:rPr>
      </w:pPr>
      <w:r w:rsidRPr="00B007F5">
        <w:rPr>
          <w:rFonts w:cs="Arial"/>
          <w:b/>
          <w:bCs/>
          <w:rtl/>
        </w:rPr>
        <w:t>תוספת</w:t>
      </w:r>
      <w:r w:rsidRPr="00B007F5">
        <w:rPr>
          <w:rFonts w:cs="Arial" w:hint="cs"/>
          <w:b/>
          <w:bCs/>
          <w:rtl/>
        </w:rPr>
        <w:t>א</w:t>
      </w:r>
      <w:r w:rsidRPr="00B007F5">
        <w:rPr>
          <w:rFonts w:cs="Arial"/>
          <w:b/>
          <w:bCs/>
          <w:sz w:val="16"/>
          <w:szCs w:val="16"/>
          <w:rtl/>
        </w:rPr>
        <w:t xml:space="preserve"> (ליברמן)</w:t>
      </w:r>
      <w:r w:rsidRPr="00B007F5">
        <w:rPr>
          <w:rFonts w:cs="Arial"/>
          <w:b/>
          <w:bCs/>
          <w:rtl/>
        </w:rPr>
        <w:t xml:space="preserve"> תרומות פ</w:t>
      </w:r>
      <w:r w:rsidRPr="00B007F5">
        <w:rPr>
          <w:rFonts w:cs="Arial" w:hint="cs"/>
          <w:b/>
          <w:bCs/>
          <w:rtl/>
        </w:rPr>
        <w:t>"</w:t>
      </w:r>
      <w:r w:rsidRPr="00B007F5">
        <w:rPr>
          <w:rFonts w:cs="Arial"/>
          <w:b/>
          <w:bCs/>
          <w:rtl/>
        </w:rPr>
        <w:t>ח</w:t>
      </w:r>
      <w:r w:rsidRPr="00B007F5">
        <w:rPr>
          <w:rFonts w:cs="Arial" w:hint="cs"/>
          <w:b/>
          <w:bCs/>
          <w:rtl/>
        </w:rPr>
        <w:t xml:space="preserve"> ה"כ: </w:t>
      </w:r>
      <w:r w:rsidRPr="00EF50AB">
        <w:rPr>
          <w:rFonts w:cs="Arial"/>
          <w:rtl/>
        </w:rPr>
        <w:t>ח</w:t>
      </w:r>
      <w:r>
        <w:rPr>
          <w:rFonts w:cs="Arial" w:hint="cs"/>
          <w:rtl/>
        </w:rPr>
        <w:t>ַ</w:t>
      </w:r>
      <w:r w:rsidRPr="00EF50AB">
        <w:rPr>
          <w:rFonts w:cs="Arial"/>
          <w:rtl/>
        </w:rPr>
        <w:t>ת</w:t>
      </w:r>
      <w:r>
        <w:rPr>
          <w:rFonts w:cs="Arial" w:hint="cs"/>
          <w:rtl/>
        </w:rPr>
        <w:t>ִ</w:t>
      </w:r>
      <w:r w:rsidRPr="00EF50AB">
        <w:rPr>
          <w:rFonts w:cs="Arial"/>
          <w:rtl/>
        </w:rPr>
        <w:t>כ</w:t>
      </w:r>
      <w:r>
        <w:rPr>
          <w:rFonts w:cs="Arial" w:hint="cs"/>
          <w:rtl/>
        </w:rPr>
        <w:t>ָ</w:t>
      </w:r>
      <w:r w:rsidRPr="00EF50AB">
        <w:rPr>
          <w:rFonts w:cs="Arial"/>
          <w:rtl/>
        </w:rPr>
        <w:t>ה אסורה שנתערבה בחתכות אפלו הן אלף כולן אסורות</w:t>
      </w:r>
      <w:r>
        <w:rPr>
          <w:rFonts w:cs="Arial" w:hint="cs"/>
          <w:rtl/>
        </w:rPr>
        <w:t>,</w:t>
      </w:r>
      <w:r w:rsidRPr="00EF50AB">
        <w:rPr>
          <w:rFonts w:cs="Arial"/>
          <w:rtl/>
        </w:rPr>
        <w:t xml:space="preserve"> הרוטב בנותן טעם</w:t>
      </w:r>
      <w:r>
        <w:rPr>
          <w:rFonts w:cs="Arial" w:hint="cs"/>
          <w:rtl/>
        </w:rPr>
        <w:t>,</w:t>
      </w:r>
      <w:r w:rsidRPr="00EF50AB">
        <w:rPr>
          <w:rFonts w:cs="Arial"/>
          <w:rtl/>
        </w:rPr>
        <w:t xml:space="preserve"> אם נמחה הרי זה בנותן טעם</w:t>
      </w:r>
      <w:r>
        <w:rPr>
          <w:rFonts w:cs="Arial" w:hint="cs"/>
          <w:rtl/>
        </w:rPr>
        <w:t>.</w:t>
      </w:r>
    </w:p>
    <w:p w14:paraId="7A5ECEC1" w14:textId="77777777" w:rsidR="002C39F4" w:rsidRDefault="002C39F4" w:rsidP="002C39F4">
      <w:pPr>
        <w:rPr>
          <w:rFonts w:cs="Arial"/>
          <w:rtl/>
        </w:rPr>
      </w:pPr>
      <w:r>
        <w:rPr>
          <w:rFonts w:cs="Arial" w:hint="cs"/>
          <w:b/>
          <w:bCs/>
          <w:rtl/>
        </w:rPr>
        <w:t xml:space="preserve">מכות טז ע"ב: </w:t>
      </w:r>
      <w:r w:rsidRPr="00EF50AB">
        <w:rPr>
          <w:rFonts w:cs="Arial"/>
          <w:u w:val="single"/>
          <w:rtl/>
        </w:rPr>
        <w:t>אמר רבא בר רב הונא</w:t>
      </w:r>
      <w:r w:rsidRPr="00EF50AB">
        <w:rPr>
          <w:rFonts w:cs="Arial"/>
          <w:rtl/>
        </w:rPr>
        <w:t>: ריסק תשעה נמלים והביא אחד חי והשלימן לכזית - לוקה ו', ה' משום בריה, ואחד משום כזית נבילה.</w:t>
      </w:r>
    </w:p>
    <w:p w14:paraId="222EC22B" w14:textId="77777777" w:rsidR="002C39F4" w:rsidRDefault="002C39F4" w:rsidP="002C39F4">
      <w:pPr>
        <w:rPr>
          <w:rFonts w:cs="Arial"/>
          <w:rtl/>
        </w:rPr>
      </w:pPr>
      <w:r>
        <w:rPr>
          <w:rFonts w:cs="Arial" w:hint="cs"/>
          <w:b/>
          <w:bCs/>
          <w:rtl/>
        </w:rPr>
        <w:t xml:space="preserve">גיטין נד ע"א: </w:t>
      </w:r>
      <w:r w:rsidRPr="00B007F5">
        <w:rPr>
          <w:rFonts w:cs="Arial"/>
          <w:rtl/>
        </w:rPr>
        <w:t>תניא:</w:t>
      </w:r>
      <w:r w:rsidRPr="00B007F5">
        <w:rPr>
          <w:rtl/>
        </w:rPr>
        <w:t xml:space="preserve"> </w:t>
      </w:r>
      <w:r w:rsidRPr="00B007F5">
        <w:rPr>
          <w:rFonts w:cs="Arial"/>
          <w:rtl/>
        </w:rPr>
        <w:t>נפלו ונתפצעו</w:t>
      </w:r>
      <w:r>
        <w:rPr>
          <w:rStyle w:val="a7"/>
          <w:rFonts w:cs="Arial"/>
          <w:rtl/>
        </w:rPr>
        <w:footnoteReference w:id="2001"/>
      </w:r>
      <w:r w:rsidRPr="00B007F5">
        <w:rPr>
          <w:rFonts w:cs="Arial"/>
          <w:rtl/>
        </w:rPr>
        <w:t xml:space="preserve">, אחד שוגג ואחד מזיד - לא יעלו, </w:t>
      </w:r>
      <w:r w:rsidRPr="00B12ED2">
        <w:rPr>
          <w:rFonts w:cs="Arial"/>
          <w:u w:val="single"/>
          <w:rtl/>
        </w:rPr>
        <w:t>דברי ר"מ ורבי יהודה</w:t>
      </w:r>
      <w:r>
        <w:rPr>
          <w:rFonts w:cs="Arial" w:hint="cs"/>
          <w:rtl/>
        </w:rPr>
        <w:t>,</w:t>
      </w:r>
      <w:r w:rsidRPr="00B007F5">
        <w:rPr>
          <w:rFonts w:cs="Arial"/>
          <w:rtl/>
        </w:rPr>
        <w:t xml:space="preserve"> </w:t>
      </w:r>
      <w:r w:rsidRPr="00B12ED2">
        <w:rPr>
          <w:rFonts w:cs="Arial"/>
          <w:u w:val="single"/>
          <w:rtl/>
        </w:rPr>
        <w:t>רבי יוסי ור' שמעון אומרים</w:t>
      </w:r>
      <w:r w:rsidRPr="00B007F5">
        <w:rPr>
          <w:rFonts w:cs="Arial"/>
          <w:rtl/>
        </w:rPr>
        <w:t>: בשוגג - יעלו, במזיד - לא יעלו</w:t>
      </w:r>
      <w:r>
        <w:rPr>
          <w:rFonts w:cs="Arial" w:hint="cs"/>
          <w:rtl/>
        </w:rPr>
        <w:t>.</w:t>
      </w:r>
      <w:r w:rsidRPr="00EB24F9">
        <w:rPr>
          <w:rFonts w:cs="Arial"/>
          <w:rtl/>
        </w:rPr>
        <w:t xml:space="preserve"> </w:t>
      </w:r>
    </w:p>
    <w:p w14:paraId="76DBAF6E" w14:textId="77777777" w:rsidR="002C39F4" w:rsidRPr="00B007F5" w:rsidRDefault="002C39F4" w:rsidP="002C39F4">
      <w:pPr>
        <w:rPr>
          <w:rFonts w:cs="Arial"/>
          <w:u w:val="single"/>
          <w:rtl/>
        </w:rPr>
      </w:pPr>
      <w:r w:rsidRPr="00B007F5">
        <w:rPr>
          <w:rFonts w:cs="Arial" w:hint="cs"/>
          <w:u w:val="single"/>
          <w:rtl/>
        </w:rPr>
        <w:t>בריה</w:t>
      </w:r>
      <w:r>
        <w:rPr>
          <w:rFonts w:cs="Arial" w:hint="cs"/>
          <w:u w:val="single"/>
          <w:rtl/>
        </w:rPr>
        <w:t xml:space="preserve">/חה"ל </w:t>
      </w:r>
      <w:r w:rsidRPr="00B007F5">
        <w:rPr>
          <w:rFonts w:cs="Arial" w:hint="cs"/>
          <w:u w:val="single"/>
          <w:rtl/>
        </w:rPr>
        <w:t>שנחתכה</w:t>
      </w:r>
      <w:r>
        <w:rPr>
          <w:rFonts w:cs="Arial" w:hint="cs"/>
          <w:u w:val="single"/>
          <w:rtl/>
        </w:rPr>
        <w:t xml:space="preserve"> או </w:t>
      </w:r>
      <w:r w:rsidRPr="00B007F5">
        <w:rPr>
          <w:rFonts w:cs="Arial" w:hint="cs"/>
          <w:u w:val="single"/>
          <w:rtl/>
        </w:rPr>
        <w:t>נתרסקה:</w:t>
      </w:r>
    </w:p>
    <w:p w14:paraId="64E5F78F" w14:textId="77777777" w:rsidR="002C39F4" w:rsidRDefault="002C39F4" w:rsidP="0032102C">
      <w:pPr>
        <w:pStyle w:val="a8"/>
        <w:numPr>
          <w:ilvl w:val="0"/>
          <w:numId w:val="208"/>
        </w:numPr>
        <w:rPr>
          <w:rFonts w:cs="Arial"/>
        </w:rPr>
      </w:pPr>
      <w:r w:rsidRPr="00EF50AB">
        <w:rPr>
          <w:rFonts w:cs="Arial" w:hint="cs"/>
          <w:rtl/>
        </w:rPr>
        <w:t>רי"ף</w:t>
      </w:r>
      <w:r>
        <w:rPr>
          <w:rFonts w:cs="Arial" w:hint="cs"/>
          <w:rtl/>
        </w:rPr>
        <w:t xml:space="preserve"> רמב"ן </w:t>
      </w:r>
      <w:r w:rsidRPr="00EF50AB">
        <w:rPr>
          <w:rFonts w:cs="Arial"/>
          <w:rtl/>
        </w:rPr>
        <w:t>רשב"א רא"ש</w:t>
      </w:r>
      <w:r w:rsidRPr="008358ED">
        <w:rPr>
          <w:rFonts w:cs="Arial"/>
          <w:rtl/>
        </w:rPr>
        <w:t xml:space="preserve"> </w:t>
      </w:r>
      <w:r w:rsidRPr="00EF50AB">
        <w:rPr>
          <w:rFonts w:cs="Arial"/>
          <w:rtl/>
        </w:rPr>
        <w:t>ור"ן</w:t>
      </w:r>
      <w:r>
        <w:rPr>
          <w:rStyle w:val="a7"/>
          <w:rFonts w:cs="Arial"/>
          <w:rtl/>
        </w:rPr>
        <w:footnoteReference w:id="2002"/>
      </w:r>
      <w:r>
        <w:rPr>
          <w:rFonts w:cs="Arial" w:hint="cs"/>
          <w:rtl/>
        </w:rPr>
        <w:t xml:space="preserve">- </w:t>
      </w:r>
      <w:r w:rsidRPr="00EF50AB">
        <w:rPr>
          <w:rFonts w:cs="Arial"/>
          <w:rtl/>
        </w:rPr>
        <w:t>נתרסק או נתחתך ממנו קצת</w:t>
      </w:r>
      <w:r>
        <w:rPr>
          <w:rStyle w:val="a7"/>
          <w:rFonts w:cs="Arial"/>
          <w:rtl/>
        </w:rPr>
        <w:footnoteReference w:id="2003"/>
      </w:r>
      <w:r w:rsidRPr="00EF50AB">
        <w:rPr>
          <w:rFonts w:cs="Arial"/>
          <w:rtl/>
        </w:rPr>
        <w:t xml:space="preserve"> תו לא איקרי בריה ובטל ברוב</w:t>
      </w:r>
      <w:r>
        <w:rPr>
          <w:rFonts w:cs="Arial" w:hint="cs"/>
          <w:rtl/>
        </w:rPr>
        <w:t>...</w:t>
      </w:r>
      <w:r w:rsidRPr="00EF50AB">
        <w:rPr>
          <w:rFonts w:cs="Arial"/>
          <w:rtl/>
        </w:rPr>
        <w:t xml:space="preserve"> וכן בחתיכה ראויה להתכבד אם נפרסה אחר שנפלה לקדרה בטלה חשיבותה ובטלה</w:t>
      </w:r>
      <w:r>
        <w:rPr>
          <w:rStyle w:val="a7"/>
          <w:rFonts w:cs="Arial"/>
          <w:rtl/>
        </w:rPr>
        <w:footnoteReference w:id="2004"/>
      </w:r>
      <w:r w:rsidRPr="00EF50AB">
        <w:rPr>
          <w:rFonts w:cs="Arial"/>
          <w:rtl/>
        </w:rPr>
        <w:t xml:space="preserve"> כשאר איסורין</w:t>
      </w:r>
      <w:r>
        <w:rPr>
          <w:rFonts w:cs="Arial" w:hint="cs"/>
          <w:sz w:val="16"/>
          <w:szCs w:val="16"/>
          <w:rtl/>
        </w:rPr>
        <w:t xml:space="preserve"> (ל' הרא"ש)</w:t>
      </w:r>
      <w:r w:rsidRPr="00EF50AB">
        <w:rPr>
          <w:rFonts w:cs="Arial" w:hint="cs"/>
          <w:rtl/>
        </w:rPr>
        <w:t>.</w:t>
      </w:r>
      <w:r w:rsidRPr="00EB24F9">
        <w:rPr>
          <w:rFonts w:cs="Arial" w:hint="cs"/>
          <w:color w:val="E36C0A" w:themeColor="accent6" w:themeShade="BF"/>
          <w:rtl/>
        </w:rPr>
        <w:t xml:space="preserve"> (וכ"פ בשו"ע)</w:t>
      </w:r>
    </w:p>
    <w:p w14:paraId="655718AA" w14:textId="77777777" w:rsidR="002C39F4" w:rsidRPr="007857DD" w:rsidRDefault="002C39F4" w:rsidP="002C39F4">
      <w:pPr>
        <w:ind w:left="360"/>
        <w:rPr>
          <w:rFonts w:cs="Arial"/>
          <w:u w:val="dotted"/>
        </w:rPr>
      </w:pPr>
      <w:r>
        <w:rPr>
          <w:rFonts w:cs="Arial" w:hint="cs"/>
          <w:u w:val="dotted"/>
          <w:rtl/>
        </w:rPr>
        <w:t xml:space="preserve">ומה הדין אם לאחר שנחתכה החתיכה הראויה להתכבד עדיין יש בה שיעור לכבד אורחים:  </w:t>
      </w:r>
    </w:p>
    <w:p w14:paraId="595A2B4A" w14:textId="77777777" w:rsidR="002C39F4" w:rsidRPr="00EF50AB" w:rsidRDefault="002C39F4" w:rsidP="0032102C">
      <w:pPr>
        <w:pStyle w:val="a8"/>
        <w:numPr>
          <w:ilvl w:val="0"/>
          <w:numId w:val="208"/>
        </w:numPr>
        <w:rPr>
          <w:rFonts w:cs="Arial"/>
          <w:rtl/>
        </w:rPr>
      </w:pPr>
      <w:r>
        <w:rPr>
          <w:rFonts w:cs="Arial" w:hint="cs"/>
          <w:rtl/>
        </w:rPr>
        <w:t>או</w:t>
      </w:r>
      <w:r>
        <w:rPr>
          <w:rFonts w:cs="Arial"/>
          <w:rtl/>
        </w:rPr>
        <w:t>"</w:t>
      </w:r>
      <w:r>
        <w:rPr>
          <w:rFonts w:cs="Arial" w:hint="cs"/>
          <w:rtl/>
        </w:rPr>
        <w:t xml:space="preserve">ה </w:t>
      </w:r>
      <w:r>
        <w:rPr>
          <w:rFonts w:cs="Arial" w:hint="cs"/>
          <w:sz w:val="16"/>
          <w:szCs w:val="16"/>
          <w:rtl/>
        </w:rPr>
        <w:t>(כלל כה ד"ה)</w:t>
      </w:r>
      <w:r>
        <w:rPr>
          <w:rFonts w:cs="Arial" w:hint="cs"/>
          <w:rtl/>
        </w:rPr>
        <w:t xml:space="preserve">- </w:t>
      </w:r>
      <w:r w:rsidRPr="009275AC">
        <w:rPr>
          <w:rFonts w:cs="Arial"/>
          <w:rtl/>
        </w:rPr>
        <w:t>הא דאמרינן שאם נחתך אבר אחד מנמלה בטילה חשיבותה ה"מ בקטנה אבל שרץ גדול שישאר בו עדיין שיהא ראוי להתכבד לפני אורחים אפילו באלף לא בטיל דאע"פ דבטל מתורת בריה מ"מ יש בו משום ראוי להתכבד</w:t>
      </w:r>
      <w:r>
        <w:rPr>
          <w:rFonts w:cs="Arial" w:hint="cs"/>
          <w:rtl/>
        </w:rPr>
        <w:t>,</w:t>
      </w:r>
      <w:r w:rsidRPr="009275AC">
        <w:rPr>
          <w:rFonts w:cs="Arial"/>
          <w:rtl/>
        </w:rPr>
        <w:t xml:space="preserve"> דאל</w:t>
      </w:r>
      <w:r>
        <w:rPr>
          <w:rFonts w:cs="Arial" w:hint="cs"/>
          <w:rtl/>
        </w:rPr>
        <w:t>"</w:t>
      </w:r>
      <w:r w:rsidRPr="009275AC">
        <w:rPr>
          <w:rFonts w:cs="Arial"/>
          <w:rtl/>
        </w:rPr>
        <w:t>כ דבר הנוצר באיסורו הוי קל מנבילה שכל חתיכה ממנה הראוי להתכבד אינה בטלה לעולם</w:t>
      </w:r>
      <w:r>
        <w:rPr>
          <w:rFonts w:cs="Arial" w:hint="cs"/>
          <w:rtl/>
        </w:rPr>
        <w:t>. (וכ"פ בת"ח</w:t>
      </w:r>
      <w:r>
        <w:rPr>
          <w:rFonts w:cs="Arial" w:hint="cs"/>
          <w:sz w:val="16"/>
          <w:szCs w:val="16"/>
          <w:rtl/>
        </w:rPr>
        <w:t xml:space="preserve"> [כלל מ ד"ה]</w:t>
      </w:r>
      <w:r>
        <w:rPr>
          <w:rFonts w:cs="Arial" w:hint="cs"/>
          <w:rtl/>
        </w:rPr>
        <w:t>)</w:t>
      </w:r>
    </w:p>
    <w:p w14:paraId="733BA78C" w14:textId="77777777" w:rsidR="002C39F4" w:rsidRPr="00EB24F9" w:rsidRDefault="002C39F4" w:rsidP="002C39F4">
      <w:pPr>
        <w:rPr>
          <w:rFonts w:cs="Arial"/>
          <w:u w:val="single"/>
        </w:rPr>
      </w:pPr>
      <w:r>
        <w:rPr>
          <w:rFonts w:cs="Arial" w:hint="cs"/>
          <w:u w:val="single"/>
          <w:rtl/>
        </w:rPr>
        <w:t xml:space="preserve">בריה </w:t>
      </w:r>
      <w:r w:rsidRPr="00EB24F9">
        <w:rPr>
          <w:rFonts w:cs="Arial"/>
          <w:u w:val="single"/>
          <w:rtl/>
        </w:rPr>
        <w:t>של</w:t>
      </w:r>
      <w:r>
        <w:rPr>
          <w:rFonts w:cs="Arial" w:hint="cs"/>
          <w:u w:val="single"/>
          <w:rtl/>
        </w:rPr>
        <w:t>מה</w:t>
      </w:r>
      <w:r w:rsidRPr="00EB24F9">
        <w:rPr>
          <w:rFonts w:cs="Arial"/>
          <w:u w:val="single"/>
          <w:rtl/>
        </w:rPr>
        <w:t xml:space="preserve"> לגמרי רק שנפל ממנ</w:t>
      </w:r>
      <w:r>
        <w:rPr>
          <w:rFonts w:cs="Arial" w:hint="cs"/>
          <w:u w:val="single"/>
          <w:rtl/>
        </w:rPr>
        <w:t>ה</w:t>
      </w:r>
      <w:r w:rsidRPr="00EB24F9">
        <w:rPr>
          <w:rFonts w:cs="Arial"/>
          <w:u w:val="single"/>
          <w:rtl/>
        </w:rPr>
        <w:t xml:space="preserve"> קצת על ידי בישול</w:t>
      </w:r>
      <w:r w:rsidRPr="00EB24F9">
        <w:rPr>
          <w:rFonts w:cs="Arial" w:hint="cs"/>
          <w:u w:val="single"/>
          <w:rtl/>
        </w:rPr>
        <w:t>:</w:t>
      </w:r>
    </w:p>
    <w:p w14:paraId="529794C1" w14:textId="77777777" w:rsidR="002C39F4" w:rsidRPr="00EB24F9" w:rsidRDefault="002C39F4" w:rsidP="0032102C">
      <w:pPr>
        <w:pStyle w:val="a8"/>
        <w:numPr>
          <w:ilvl w:val="0"/>
          <w:numId w:val="208"/>
        </w:numPr>
        <w:rPr>
          <w:rFonts w:cs="Arial"/>
          <w:rtl/>
        </w:rPr>
      </w:pPr>
      <w:r w:rsidRPr="00B007F5">
        <w:rPr>
          <w:rFonts w:cs="Arial"/>
          <w:rtl/>
        </w:rPr>
        <w:t xml:space="preserve">מהרא"י </w:t>
      </w:r>
      <w:r w:rsidRPr="00EB24F9">
        <w:rPr>
          <w:rFonts w:cs="Arial" w:hint="cs"/>
          <w:sz w:val="16"/>
          <w:szCs w:val="16"/>
          <w:rtl/>
        </w:rPr>
        <w:t>(בהגשע"ד</w:t>
      </w:r>
      <w:r w:rsidRPr="00EB24F9">
        <w:rPr>
          <w:rFonts w:cs="Arial"/>
          <w:sz w:val="16"/>
          <w:szCs w:val="16"/>
          <w:rtl/>
        </w:rPr>
        <w:t xml:space="preserve"> סי' נ ד"ה ויש מפרשי</w:t>
      </w:r>
      <w:r w:rsidRPr="00EB24F9">
        <w:rPr>
          <w:rFonts w:cs="Arial" w:hint="cs"/>
          <w:sz w:val="16"/>
          <w:szCs w:val="16"/>
          <w:rtl/>
        </w:rPr>
        <w:t>ם)</w:t>
      </w:r>
      <w:r>
        <w:rPr>
          <w:rFonts w:cs="Arial" w:hint="cs"/>
          <w:rtl/>
        </w:rPr>
        <w:t xml:space="preserve">- </w:t>
      </w:r>
      <w:r w:rsidRPr="00B007F5">
        <w:rPr>
          <w:rFonts w:cs="Arial"/>
          <w:rtl/>
        </w:rPr>
        <w:t>יראה דאם הוא שלם לגמרי רק שנפל ממנו קצת על ידי בישול כמו שרגילות הוא להתפרפר ודאי חשיב בריה</w:t>
      </w:r>
      <w:r>
        <w:rPr>
          <w:rStyle w:val="a7"/>
          <w:rFonts w:cs="Arial"/>
          <w:rtl/>
        </w:rPr>
        <w:footnoteReference w:id="2005"/>
      </w:r>
      <w:r>
        <w:rPr>
          <w:rFonts w:cs="Arial" w:hint="cs"/>
          <w:rtl/>
        </w:rPr>
        <w:t>,</w:t>
      </w:r>
      <w:r w:rsidRPr="005E7C1B">
        <w:rPr>
          <w:rFonts w:cs="Arial"/>
          <w:rtl/>
        </w:rPr>
        <w:t xml:space="preserve"> </w:t>
      </w:r>
      <w:r w:rsidRPr="00B007F5">
        <w:rPr>
          <w:rFonts w:cs="Arial"/>
          <w:rtl/>
        </w:rPr>
        <w:t>אבל אם נפרד ממנו קצת מגופו ושדרתו וכל שכן ראשו אפילו רובו שלם יש לסמוך אשאר דעות דכתבו להתיר</w:t>
      </w:r>
      <w:r>
        <w:rPr>
          <w:rFonts w:cs="Arial" w:hint="cs"/>
          <w:rtl/>
        </w:rPr>
        <w:t xml:space="preserve">. </w:t>
      </w:r>
    </w:p>
    <w:p w14:paraId="1C32835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8E632B1" w14:textId="77777777" w:rsidR="002C39F4" w:rsidRDefault="002C39F4" w:rsidP="002C39F4">
      <w:pPr>
        <w:rPr>
          <w:rFonts w:asciiTheme="minorBidi" w:hAnsiTheme="minorBidi"/>
          <w:rtl/>
        </w:rPr>
      </w:pPr>
      <w:r w:rsidRPr="003024E5">
        <w:rPr>
          <w:rFonts w:asciiTheme="minorBidi" w:hAnsiTheme="minorBidi"/>
          <w:rtl/>
        </w:rPr>
        <w:t>הא דבריה וחתיכה הראויה להתכבד לא בטלי דוקא בעודם שלמים, אבל אם נחתכו או נתרסקו עד שנאבדה צורתן בטלי דתו לא חשיבי</w:t>
      </w:r>
      <w:r>
        <w:rPr>
          <w:rFonts w:asciiTheme="minorBidi" w:hAnsiTheme="minorBidi" w:hint="cs"/>
          <w:rtl/>
        </w:rPr>
        <w:t>,</w:t>
      </w:r>
      <w:r w:rsidRPr="003024E5">
        <w:rPr>
          <w:rFonts w:asciiTheme="minorBidi" w:hAnsiTheme="minorBidi"/>
          <w:rtl/>
        </w:rPr>
        <w:t xml:space="preserve"> ואפילו אם נתרסקו לאחר שנתערבו עם ההיתר. </w:t>
      </w:r>
      <w:r w:rsidRPr="00341152">
        <w:rPr>
          <w:rFonts w:asciiTheme="minorBidi" w:hAnsiTheme="minorBidi" w:hint="cs"/>
          <w:sz w:val="18"/>
          <w:szCs w:val="18"/>
          <w:rtl/>
        </w:rPr>
        <w:t xml:space="preserve">[הגה] </w:t>
      </w:r>
      <w:r w:rsidRPr="00341152">
        <w:rPr>
          <w:rFonts w:asciiTheme="minorBidi" w:hAnsiTheme="minorBidi"/>
          <w:sz w:val="18"/>
          <w:szCs w:val="18"/>
          <w:rtl/>
        </w:rPr>
        <w:t>ואפילו לאחר שנודע התערובת (הגש</w:t>
      </w:r>
      <w:r w:rsidRPr="00341152">
        <w:rPr>
          <w:rFonts w:asciiTheme="minorBidi" w:hAnsiTheme="minorBidi" w:hint="cs"/>
          <w:sz w:val="18"/>
          <w:szCs w:val="18"/>
          <w:rtl/>
        </w:rPr>
        <w:t>ע</w:t>
      </w:r>
      <w:r w:rsidRPr="00341152">
        <w:rPr>
          <w:rFonts w:asciiTheme="minorBidi" w:hAnsiTheme="minorBidi"/>
          <w:sz w:val="18"/>
          <w:szCs w:val="18"/>
          <w:rtl/>
        </w:rPr>
        <w:t>"ד וד"ע לאפוקי או"ה).</w:t>
      </w:r>
      <w:r w:rsidRPr="003024E5">
        <w:rPr>
          <w:rFonts w:asciiTheme="minorBidi" w:hAnsiTheme="minorBidi"/>
          <w:rtl/>
        </w:rPr>
        <w:t xml:space="preserve"> והוא שנתרסקו שלא במתכוין לבטל האיסור, אבל אם נתכוין לכך אסור למרסק אם הוא שלו</w:t>
      </w:r>
      <w:r>
        <w:rPr>
          <w:rFonts w:asciiTheme="minorBidi" w:hAnsiTheme="minorBidi" w:hint="cs"/>
          <w:rtl/>
        </w:rPr>
        <w:t>,</w:t>
      </w:r>
      <w:r w:rsidRPr="003024E5">
        <w:rPr>
          <w:rFonts w:asciiTheme="minorBidi" w:hAnsiTheme="minorBidi"/>
          <w:rtl/>
        </w:rPr>
        <w:t xml:space="preserve"> וכן למי שנתרסק בשבילו. </w:t>
      </w:r>
      <w:r w:rsidRPr="00341152">
        <w:rPr>
          <w:rFonts w:asciiTheme="minorBidi" w:hAnsiTheme="minorBidi" w:hint="cs"/>
          <w:sz w:val="18"/>
          <w:szCs w:val="18"/>
          <w:rtl/>
        </w:rPr>
        <w:t xml:space="preserve">[הגה] </w:t>
      </w:r>
      <w:r w:rsidRPr="00341152">
        <w:rPr>
          <w:rFonts w:asciiTheme="minorBidi" w:hAnsiTheme="minorBidi"/>
          <w:sz w:val="18"/>
          <w:szCs w:val="18"/>
          <w:rtl/>
        </w:rPr>
        <w:t>ואין חילוק בין נתערבו במינם או שלא במינם</w:t>
      </w:r>
      <w:r>
        <w:rPr>
          <w:rStyle w:val="a7"/>
          <w:rFonts w:asciiTheme="minorBidi" w:hAnsiTheme="minorBidi"/>
          <w:sz w:val="18"/>
          <w:szCs w:val="18"/>
          <w:rtl/>
        </w:rPr>
        <w:footnoteReference w:id="2006"/>
      </w:r>
      <w:r w:rsidRPr="00341152">
        <w:rPr>
          <w:rFonts w:asciiTheme="minorBidi" w:hAnsiTheme="minorBidi"/>
          <w:sz w:val="18"/>
          <w:szCs w:val="18"/>
          <w:rtl/>
        </w:rPr>
        <w:t xml:space="preserve"> (ד"ע ומשמעות הפוסקים ולאפוקי או"ה).</w:t>
      </w:r>
    </w:p>
    <w:p w14:paraId="12339B14" w14:textId="77777777" w:rsidR="002C39F4" w:rsidRPr="003024E5" w:rsidRDefault="002C39F4" w:rsidP="002C39F4">
      <w:pPr>
        <w:rPr>
          <w:rFonts w:asciiTheme="minorBidi" w:hAnsiTheme="minorBidi"/>
          <w:rtl/>
        </w:rPr>
      </w:pPr>
    </w:p>
    <w:p w14:paraId="60D0FB85"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נחתכה חתיכה ואין ידוע אם היא חתיכת האיסור או לא.</w:t>
      </w:r>
    </w:p>
    <w:p w14:paraId="4C4E126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A25DC20" w14:textId="77777777" w:rsidR="002C39F4" w:rsidRDefault="002C39F4" w:rsidP="002C39F4">
      <w:pPr>
        <w:rPr>
          <w:rFonts w:asciiTheme="minorBidi" w:hAnsiTheme="minorBidi"/>
          <w:rtl/>
        </w:rPr>
      </w:pPr>
      <w:r w:rsidRPr="003024E5">
        <w:rPr>
          <w:rFonts w:asciiTheme="minorBidi" w:hAnsiTheme="minorBidi"/>
          <w:rtl/>
        </w:rPr>
        <w:t>אם נחתכה חתיכה אחת אין תולין לומר של איסור נחתך ומתבטל ויהיו כולן מותרות, אלא אותה שנחתכה בלבד מותרת ממה נפשך</w:t>
      </w:r>
      <w:r>
        <w:rPr>
          <w:rFonts w:asciiTheme="minorBidi" w:hAnsiTheme="minorBidi" w:hint="cs"/>
          <w:rtl/>
        </w:rPr>
        <w:t>,</w:t>
      </w:r>
      <w:r w:rsidRPr="003024E5">
        <w:rPr>
          <w:rFonts w:asciiTheme="minorBidi" w:hAnsiTheme="minorBidi"/>
          <w:rtl/>
        </w:rPr>
        <w:t xml:space="preserve"> אם היא של איסור אף כולן מותרות ואם אינה של איסור הרי היא מותרת</w:t>
      </w:r>
      <w:r>
        <w:rPr>
          <w:rStyle w:val="a7"/>
          <w:rFonts w:asciiTheme="minorBidi" w:hAnsiTheme="minorBidi"/>
          <w:rtl/>
        </w:rPr>
        <w:footnoteReference w:id="2007"/>
      </w:r>
      <w:r>
        <w:rPr>
          <w:rFonts w:asciiTheme="minorBidi" w:hAnsiTheme="minorBidi" w:hint="cs"/>
          <w:rtl/>
        </w:rPr>
        <w:t>,</w:t>
      </w:r>
      <w:r w:rsidRPr="003024E5">
        <w:rPr>
          <w:rFonts w:asciiTheme="minorBidi" w:hAnsiTheme="minorBidi"/>
          <w:rtl/>
        </w:rPr>
        <w:t xml:space="preserve"> ואפילו נחתכו רובן אין תולין לומר שהאיסור מהרוב שנחתכו</w:t>
      </w:r>
      <w:r>
        <w:rPr>
          <w:rStyle w:val="a7"/>
          <w:rFonts w:asciiTheme="minorBidi" w:hAnsiTheme="minorBidi"/>
          <w:rtl/>
        </w:rPr>
        <w:footnoteReference w:id="2008"/>
      </w:r>
      <w:r w:rsidRPr="003024E5">
        <w:rPr>
          <w:rFonts w:asciiTheme="minorBidi" w:hAnsiTheme="minorBidi"/>
          <w:rtl/>
        </w:rPr>
        <w:t>, אלא כל הנחתכות מותרות והשלימות אסורות.</w:t>
      </w:r>
      <w:r>
        <w:rPr>
          <w:rFonts w:asciiTheme="minorBidi" w:hAnsiTheme="minorBidi" w:hint="cs"/>
          <w:rtl/>
        </w:rPr>
        <w:t xml:space="preserve"> </w:t>
      </w:r>
      <w:r>
        <w:rPr>
          <w:rFonts w:asciiTheme="minorBidi" w:hAnsiTheme="minorBidi" w:hint="cs"/>
          <w:sz w:val="16"/>
          <w:szCs w:val="16"/>
          <w:rtl/>
        </w:rPr>
        <w:t>{</w:t>
      </w:r>
      <w:r w:rsidRPr="00CE763B">
        <w:rPr>
          <w:rFonts w:cs="Arial"/>
          <w:sz w:val="16"/>
          <w:szCs w:val="16"/>
          <w:rtl/>
        </w:rPr>
        <w:t xml:space="preserve">רא"ש </w:t>
      </w:r>
      <w:r w:rsidRPr="00CE763B">
        <w:rPr>
          <w:rFonts w:cs="Arial" w:hint="cs"/>
          <w:sz w:val="14"/>
          <w:szCs w:val="14"/>
          <w:rtl/>
        </w:rPr>
        <w:t>(ס</w:t>
      </w:r>
      <w:r w:rsidRPr="00CE763B">
        <w:rPr>
          <w:rFonts w:cs="Arial"/>
          <w:sz w:val="14"/>
          <w:szCs w:val="14"/>
          <w:rtl/>
        </w:rPr>
        <w:t>י' לה</w:t>
      </w:r>
      <w:r w:rsidRPr="00CE763B">
        <w:rPr>
          <w:rFonts w:cs="Arial" w:hint="cs"/>
          <w:sz w:val="14"/>
          <w:szCs w:val="14"/>
          <w:rtl/>
        </w:rPr>
        <w:t>)</w:t>
      </w:r>
      <w:r w:rsidRPr="00CE763B">
        <w:rPr>
          <w:rFonts w:cs="Arial"/>
          <w:sz w:val="16"/>
          <w:szCs w:val="16"/>
          <w:rtl/>
        </w:rPr>
        <w:t xml:space="preserve"> ור"ן </w:t>
      </w:r>
      <w:r w:rsidRPr="00CE763B">
        <w:rPr>
          <w:rFonts w:cs="Arial"/>
          <w:sz w:val="14"/>
          <w:szCs w:val="14"/>
          <w:rtl/>
        </w:rPr>
        <w:t>(חולין לו:</w:t>
      </w:r>
      <w:r w:rsidRPr="00CE763B">
        <w:rPr>
          <w:rFonts w:cs="Arial" w:hint="cs"/>
          <w:sz w:val="14"/>
          <w:szCs w:val="14"/>
          <w:rtl/>
        </w:rPr>
        <w:t>)</w:t>
      </w:r>
      <w:r>
        <w:rPr>
          <w:rFonts w:cs="Arial" w:hint="cs"/>
          <w:sz w:val="16"/>
          <w:szCs w:val="16"/>
          <w:rtl/>
        </w:rPr>
        <w:t>}</w:t>
      </w:r>
      <w:r>
        <w:rPr>
          <w:rFonts w:asciiTheme="minorBidi" w:hAnsiTheme="minorBidi" w:hint="cs"/>
          <w:sz w:val="16"/>
          <w:szCs w:val="16"/>
          <w:rtl/>
        </w:rPr>
        <w:t xml:space="preserve"> </w:t>
      </w:r>
      <w:r w:rsidRPr="003024E5">
        <w:rPr>
          <w:rFonts w:asciiTheme="minorBidi" w:hAnsiTheme="minorBidi"/>
          <w:rtl/>
        </w:rPr>
        <w:t xml:space="preserve"> </w:t>
      </w:r>
    </w:p>
    <w:p w14:paraId="497AB37B" w14:textId="77777777" w:rsidR="002C39F4" w:rsidRPr="003024E5" w:rsidRDefault="002C39F4" w:rsidP="002C39F4">
      <w:pPr>
        <w:rPr>
          <w:rFonts w:asciiTheme="minorBidi" w:hAnsiTheme="minorBidi"/>
          <w:rtl/>
        </w:rPr>
      </w:pPr>
    </w:p>
    <w:p w14:paraId="03445931" w14:textId="77777777" w:rsidR="002C39F4" w:rsidRDefault="002C39F4" w:rsidP="002C39F4">
      <w:pPr>
        <w:pStyle w:val="2"/>
        <w:rPr>
          <w:rFonts w:asciiTheme="minorBidi" w:hAnsiTheme="minorBidi"/>
          <w:rtl/>
        </w:rPr>
      </w:pPr>
      <w:r w:rsidRPr="00B21CC4">
        <w:rPr>
          <w:rFonts w:asciiTheme="minorBidi" w:hAnsiTheme="minorBidi"/>
          <w:rtl/>
        </w:rPr>
        <w:t>סעיף ח: קורקבן שנמצא נקוב ונתערבה אותה תרנגולת עם אחרות.</w:t>
      </w:r>
    </w:p>
    <w:p w14:paraId="701E68AA" w14:textId="77777777" w:rsidR="002C39F4" w:rsidRPr="00B21CC4" w:rsidRDefault="002C39F4" w:rsidP="002C39F4">
      <w:pPr>
        <w:rPr>
          <w:rtl/>
        </w:rPr>
      </w:pPr>
      <w:r w:rsidRPr="00B21CC4">
        <w:rPr>
          <w:rFonts w:cs="Arial"/>
          <w:b/>
          <w:bCs/>
          <w:rtl/>
        </w:rPr>
        <w:t>תוספתא</w:t>
      </w:r>
      <w:r w:rsidRPr="00B21CC4">
        <w:rPr>
          <w:rFonts w:cs="Arial"/>
          <w:b/>
          <w:bCs/>
          <w:sz w:val="16"/>
          <w:szCs w:val="16"/>
          <w:rtl/>
        </w:rPr>
        <w:t xml:space="preserve"> (צוקרמאנדל)</w:t>
      </w:r>
      <w:r>
        <w:rPr>
          <w:rFonts w:cs="Arial" w:hint="cs"/>
          <w:b/>
          <w:bCs/>
          <w:rtl/>
        </w:rPr>
        <w:t xml:space="preserve"> </w:t>
      </w:r>
      <w:r w:rsidRPr="00B21CC4">
        <w:rPr>
          <w:rFonts w:cs="Arial"/>
          <w:b/>
          <w:bCs/>
          <w:rtl/>
        </w:rPr>
        <w:t>עבודה זרה פ</w:t>
      </w:r>
      <w:r w:rsidRPr="00B21CC4">
        <w:rPr>
          <w:rFonts w:cs="Arial" w:hint="cs"/>
          <w:b/>
          <w:bCs/>
          <w:rtl/>
        </w:rPr>
        <w:t>"</w:t>
      </w:r>
      <w:r w:rsidRPr="00B21CC4">
        <w:rPr>
          <w:rFonts w:cs="Arial"/>
          <w:b/>
          <w:bCs/>
          <w:rtl/>
        </w:rPr>
        <w:t xml:space="preserve">ד </w:t>
      </w:r>
      <w:r w:rsidRPr="00B21CC4">
        <w:rPr>
          <w:rFonts w:cs="Arial" w:hint="cs"/>
          <w:b/>
          <w:bCs/>
          <w:rtl/>
        </w:rPr>
        <w:t xml:space="preserve">הי"א: </w:t>
      </w:r>
      <w:r w:rsidRPr="00B21CC4">
        <w:rPr>
          <w:rFonts w:cs="Arial"/>
          <w:rtl/>
        </w:rPr>
        <w:t>חתיכה שיש בה סימן בין בכולה בין במקצתה ואפילו באחד מן מאה הרי זו מותרת</w:t>
      </w:r>
      <w:r>
        <w:rPr>
          <w:rFonts w:cs="Arial" w:hint="cs"/>
          <w:rtl/>
        </w:rPr>
        <w:t>,</w:t>
      </w:r>
      <w:r w:rsidRPr="00B21CC4">
        <w:rPr>
          <w:rFonts w:cs="Arial"/>
          <w:rtl/>
        </w:rPr>
        <w:t xml:space="preserve"> ומעשה שהביאו גרבין של חתיכות ממין אחד בעכו מלא ולא נמצא סימן אלא באחת מהן ובא מעשה לפני חכמ' והתירו כולן</w:t>
      </w:r>
      <w:r>
        <w:rPr>
          <w:rFonts w:hint="cs"/>
          <w:rtl/>
        </w:rPr>
        <w:t>.</w:t>
      </w:r>
    </w:p>
    <w:p w14:paraId="59A246FB" w14:textId="77777777" w:rsidR="002C39F4" w:rsidRPr="00B21CC4" w:rsidRDefault="002C39F4" w:rsidP="002C39F4">
      <w:pPr>
        <w:rPr>
          <w:rtl/>
        </w:rPr>
      </w:pPr>
      <w:r>
        <w:rPr>
          <w:rFonts w:cs="Arial" w:hint="cs"/>
          <w:b/>
          <w:bCs/>
          <w:rtl/>
        </w:rPr>
        <w:t xml:space="preserve">עבודה זרה מ ע"א: </w:t>
      </w:r>
      <w:r w:rsidRPr="00B21CC4">
        <w:rPr>
          <w:rFonts w:cs="Arial"/>
          <w:rtl/>
        </w:rPr>
        <w:t>בדגים - כל שיש לו סנפיר וקשקשת</w:t>
      </w:r>
      <w:r>
        <w:rPr>
          <w:rFonts w:cs="Arial" w:hint="cs"/>
          <w:rtl/>
        </w:rPr>
        <w:t xml:space="preserve">... </w:t>
      </w:r>
      <w:r w:rsidRPr="00B21CC4">
        <w:rPr>
          <w:rFonts w:cs="Arial"/>
          <w:u w:val="single"/>
          <w:rtl/>
        </w:rPr>
        <w:t>אמר רב פפא</w:t>
      </w:r>
      <w:r>
        <w:rPr>
          <w:rFonts w:cs="Arial" w:hint="cs"/>
          <w:rtl/>
        </w:rPr>
        <w:t>:</w:t>
      </w:r>
      <w:r w:rsidRPr="00B21CC4">
        <w:rPr>
          <w:rFonts w:cs="Arial"/>
          <w:rtl/>
        </w:rPr>
        <w:t xml:space="preserve"> הלכתא</w:t>
      </w:r>
      <w:r>
        <w:rPr>
          <w:rFonts w:cs="Arial" w:hint="cs"/>
          <w:rtl/>
        </w:rPr>
        <w:t>,</w:t>
      </w:r>
      <w:r w:rsidRPr="00B21CC4">
        <w:rPr>
          <w:rFonts w:cs="Arial"/>
          <w:rtl/>
        </w:rPr>
        <w:t xml:space="preserve"> עד שיהא ראש ושדרה ניכר של כל אחת ואחת. מיתיבי: חתיכות שיש בהן סימן, בין בכולן בין במקצתן, ואפילו באחד ממאה שבהן - כולן מותרות, ומעשה בעובד כוכבים אחד שהביא גרב של חתיכות ונמצא סימן באחת מהן, והתיר רשב"ג את הגרב כולו! </w:t>
      </w:r>
      <w:r w:rsidRPr="00B21CC4">
        <w:rPr>
          <w:rFonts w:cs="Arial"/>
          <w:u w:val="single"/>
          <w:rtl/>
        </w:rPr>
        <w:t>תרגמה רב פפא</w:t>
      </w:r>
      <w:r w:rsidRPr="00B21CC4">
        <w:rPr>
          <w:rFonts w:cs="Arial"/>
          <w:rtl/>
        </w:rPr>
        <w:t>: כשחתיכות שוות</w:t>
      </w:r>
      <w:r>
        <w:rPr>
          <w:rStyle w:val="a7"/>
          <w:rFonts w:cs="Arial"/>
          <w:rtl/>
        </w:rPr>
        <w:footnoteReference w:id="2009"/>
      </w:r>
      <w:r w:rsidRPr="00B21CC4">
        <w:rPr>
          <w:rFonts w:cs="Arial"/>
          <w:rtl/>
        </w:rPr>
        <w:t>. א"ה מאי למימרא? מהו דתימא ניחוש דלמא אתרמי, קמ"ל.</w:t>
      </w:r>
      <w:r w:rsidRPr="00851A4F">
        <w:rPr>
          <w:rtl/>
        </w:rPr>
        <w:t xml:space="preserve"> </w:t>
      </w:r>
      <w:r>
        <w:rPr>
          <w:rFonts w:cs="Arial" w:hint="cs"/>
          <w:sz w:val="16"/>
          <w:szCs w:val="16"/>
          <w:rtl/>
        </w:rPr>
        <w:t>(</w:t>
      </w:r>
      <w:r w:rsidRPr="00851A4F">
        <w:rPr>
          <w:rFonts w:cs="Arial"/>
          <w:sz w:val="16"/>
          <w:szCs w:val="16"/>
          <w:rtl/>
        </w:rPr>
        <w:t>וכתבתי פירושה בסימן פג (קל. ד"ה מצא)</w:t>
      </w:r>
      <w:r>
        <w:rPr>
          <w:rFonts w:hint="cs"/>
          <w:sz w:val="16"/>
          <w:szCs w:val="16"/>
          <w:rtl/>
        </w:rPr>
        <w:t>, ב"י</w:t>
      </w:r>
      <w:r w:rsidRPr="00851A4F">
        <w:rPr>
          <w:rFonts w:hint="cs"/>
          <w:sz w:val="16"/>
          <w:szCs w:val="16"/>
          <w:rtl/>
        </w:rPr>
        <w:t>)</w:t>
      </w:r>
    </w:p>
    <w:p w14:paraId="4189FA74" w14:textId="77777777" w:rsidR="002C39F4" w:rsidRPr="00B21CC4" w:rsidRDefault="002C39F4" w:rsidP="002C39F4">
      <w:pPr>
        <w:rPr>
          <w:rFonts w:cs="Arial"/>
          <w:u w:val="single"/>
          <w:rtl/>
        </w:rPr>
      </w:pPr>
      <w:r w:rsidRPr="00B21CC4">
        <w:rPr>
          <w:rFonts w:asciiTheme="minorBidi" w:hAnsiTheme="minorBidi"/>
          <w:u w:val="single"/>
          <w:rtl/>
        </w:rPr>
        <w:t>קורקבן שנמצא נקוב ונתערבה אותה תרנגולת עם אחרות</w:t>
      </w:r>
      <w:r w:rsidRPr="00B21CC4">
        <w:rPr>
          <w:rFonts w:cs="Arial" w:hint="cs"/>
          <w:u w:val="single"/>
          <w:rtl/>
        </w:rPr>
        <w:t>:</w:t>
      </w:r>
    </w:p>
    <w:p w14:paraId="655A03DD" w14:textId="77777777" w:rsidR="002C39F4" w:rsidRPr="00B21CC4" w:rsidRDefault="002C39F4" w:rsidP="0032102C">
      <w:pPr>
        <w:pStyle w:val="a8"/>
        <w:numPr>
          <w:ilvl w:val="0"/>
          <w:numId w:val="208"/>
        </w:numPr>
      </w:pPr>
      <w:r>
        <w:rPr>
          <w:rFonts w:cs="Arial" w:hint="cs"/>
          <w:rtl/>
        </w:rPr>
        <w:t>או"ז</w:t>
      </w:r>
      <w:r>
        <w:rPr>
          <w:rStyle w:val="a7"/>
          <w:rFonts w:cs="Arial"/>
          <w:rtl/>
        </w:rPr>
        <w:footnoteReference w:id="2010"/>
      </w:r>
      <w:r>
        <w:rPr>
          <w:rFonts w:cs="Arial" w:hint="cs"/>
          <w:rtl/>
        </w:rPr>
        <w:t xml:space="preserve"> </w:t>
      </w:r>
      <w:r>
        <w:rPr>
          <w:rFonts w:cs="Arial" w:hint="cs"/>
          <w:sz w:val="16"/>
          <w:szCs w:val="16"/>
          <w:rtl/>
        </w:rPr>
        <w:t>(הל' טרפות סי' תה)</w:t>
      </w:r>
      <w:r w:rsidRPr="00B21CC4">
        <w:rPr>
          <w:rFonts w:cs="Arial" w:hint="cs"/>
          <w:rtl/>
        </w:rPr>
        <w:t>-</w:t>
      </w:r>
      <w:r w:rsidRPr="00B21CC4">
        <w:rPr>
          <w:rFonts w:cs="Arial"/>
          <w:rtl/>
        </w:rPr>
        <w:t xml:space="preserve"> </w:t>
      </w:r>
      <w:r w:rsidRPr="005B3890">
        <w:rPr>
          <w:rFonts w:cs="Arial"/>
          <w:rtl/>
        </w:rPr>
        <w:t>מעשה בא לפני ר' בקורקבן תרנגולת שניקב והוסר ממנה</w:t>
      </w:r>
      <w:r>
        <w:rPr>
          <w:rFonts w:cs="Arial" w:hint="cs"/>
          <w:rtl/>
        </w:rPr>
        <w:t>,</w:t>
      </w:r>
      <w:r w:rsidRPr="005B3890">
        <w:rPr>
          <w:rFonts w:cs="Arial"/>
          <w:rtl/>
        </w:rPr>
        <w:t xml:space="preserve"> ונתערבה אותה התרנגולת טריפה בכשירות</w:t>
      </w:r>
      <w:r>
        <w:rPr>
          <w:rFonts w:cs="Arial" w:hint="cs"/>
          <w:rtl/>
        </w:rPr>
        <w:t>,</w:t>
      </w:r>
      <w:r w:rsidRPr="005B3890">
        <w:rPr>
          <w:rFonts w:cs="Arial"/>
          <w:rtl/>
        </w:rPr>
        <w:t xml:space="preserve"> והביאום לפני ר'</w:t>
      </w:r>
      <w:r>
        <w:rPr>
          <w:rFonts w:cs="Arial" w:hint="cs"/>
          <w:rtl/>
        </w:rPr>
        <w:t>,</w:t>
      </w:r>
      <w:r w:rsidRPr="005B3890">
        <w:rPr>
          <w:rFonts w:cs="Arial"/>
          <w:rtl/>
        </w:rPr>
        <w:t xml:space="preserve"> והביאו גם הקורקבנין</w:t>
      </w:r>
      <w:r>
        <w:rPr>
          <w:rFonts w:cs="Arial" w:hint="cs"/>
          <w:rtl/>
        </w:rPr>
        <w:t>,</w:t>
      </w:r>
      <w:r w:rsidRPr="005B3890">
        <w:rPr>
          <w:rFonts w:cs="Arial"/>
          <w:rtl/>
        </w:rPr>
        <w:t xml:space="preserve"> ודמינהו לשומן שבקרקבנין אל שומן התרנגולת של מקום חבור הקרקבנין ואידמי לגמרי</w:t>
      </w:r>
      <w:r>
        <w:rPr>
          <w:rFonts w:cs="Arial" w:hint="cs"/>
          <w:rtl/>
        </w:rPr>
        <w:t>,</w:t>
      </w:r>
      <w:r w:rsidRPr="005B3890">
        <w:rPr>
          <w:rFonts w:cs="Arial"/>
          <w:rtl/>
        </w:rPr>
        <w:t xml:space="preserve"> והכשיר ר' את התרנגולו' אחרות ע"י כן עכ"ל התשובה</w:t>
      </w:r>
      <w:r>
        <w:rPr>
          <w:rStyle w:val="a7"/>
          <w:rFonts w:cs="Arial"/>
          <w:rtl/>
        </w:rPr>
        <w:footnoteReference w:id="2011"/>
      </w:r>
      <w:r>
        <w:rPr>
          <w:rFonts w:cs="Arial" w:hint="cs"/>
          <w:sz w:val="16"/>
          <w:szCs w:val="16"/>
          <w:rtl/>
        </w:rPr>
        <w:t xml:space="preserve"> (ל' האו"ז)</w:t>
      </w:r>
      <w:r w:rsidRPr="005B3890">
        <w:rPr>
          <w:rFonts w:cs="Arial"/>
          <w:rtl/>
        </w:rPr>
        <w:t xml:space="preserve">. </w:t>
      </w:r>
      <w:r w:rsidRPr="00A541B5">
        <w:rPr>
          <w:rFonts w:hint="cs"/>
          <w:color w:val="E36C0A" w:themeColor="accent6" w:themeShade="BF"/>
          <w:rtl/>
        </w:rPr>
        <w:t>(וכ"פ בשו"ע)</w:t>
      </w:r>
      <w:r>
        <w:rPr>
          <w:rFonts w:hint="cs"/>
          <w:rtl/>
        </w:rPr>
        <w:t xml:space="preserve"> </w:t>
      </w:r>
      <w:r w:rsidRPr="00A541B5">
        <w:rPr>
          <w:rFonts w:hint="cs"/>
          <w:color w:val="00B0F0"/>
          <w:rtl/>
        </w:rPr>
        <w:t>(וכ"פ הרמ"א)</w:t>
      </w:r>
    </w:p>
    <w:p w14:paraId="4953195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3FEFEB6" w14:textId="77777777" w:rsidR="002C39F4" w:rsidRDefault="002C39F4" w:rsidP="002C39F4">
      <w:pPr>
        <w:rPr>
          <w:rFonts w:asciiTheme="minorBidi" w:hAnsiTheme="minorBidi"/>
          <w:rtl/>
        </w:rPr>
      </w:pPr>
      <w:r w:rsidRPr="003024E5">
        <w:rPr>
          <w:rFonts w:asciiTheme="minorBidi" w:hAnsiTheme="minorBidi"/>
          <w:rtl/>
        </w:rPr>
        <w:t>קורקבן שנמצא נקוב ונתערבה אותה תרנגולת עם אחרות, מדמין שומן שבקורקבן לשומן התרנגולת של מקום חיבור הקורקבן, ואם דומים לגמרי מכשירים האחרות.</w:t>
      </w:r>
      <w:r w:rsidRPr="00B21CC4">
        <w:rPr>
          <w:rFonts w:asciiTheme="minorBidi" w:hAnsiTheme="minorBidi"/>
          <w:sz w:val="18"/>
          <w:szCs w:val="18"/>
          <w:rtl/>
        </w:rPr>
        <w:t xml:space="preserve"> </w:t>
      </w:r>
      <w:r w:rsidRPr="00B21CC4">
        <w:rPr>
          <w:rFonts w:asciiTheme="minorBidi" w:hAnsiTheme="minorBidi" w:hint="cs"/>
          <w:sz w:val="18"/>
          <w:szCs w:val="18"/>
          <w:rtl/>
        </w:rPr>
        <w:t xml:space="preserve">[הגה] </w:t>
      </w:r>
      <w:r w:rsidRPr="00B21CC4">
        <w:rPr>
          <w:rFonts w:asciiTheme="minorBidi" w:hAnsiTheme="minorBidi"/>
          <w:sz w:val="18"/>
          <w:szCs w:val="18"/>
          <w:rtl/>
        </w:rPr>
        <w:t>וכן כל כיוצא בזה.</w:t>
      </w:r>
      <w:r w:rsidRPr="003024E5">
        <w:rPr>
          <w:rFonts w:asciiTheme="minorBidi" w:hAnsiTheme="minorBidi"/>
          <w:rtl/>
        </w:rPr>
        <w:t xml:space="preserve"> </w:t>
      </w:r>
    </w:p>
    <w:p w14:paraId="387E4E21" w14:textId="77777777" w:rsidR="002C39F4" w:rsidRPr="003024E5" w:rsidRDefault="002C39F4" w:rsidP="002C39F4">
      <w:pPr>
        <w:rPr>
          <w:rFonts w:asciiTheme="minorBidi" w:hAnsiTheme="minorBidi"/>
          <w:rtl/>
        </w:rPr>
      </w:pPr>
    </w:p>
    <w:p w14:paraId="608822CD" w14:textId="77777777" w:rsidR="002C39F4" w:rsidRDefault="002C39F4" w:rsidP="002C39F4">
      <w:pPr>
        <w:pStyle w:val="2"/>
        <w:rPr>
          <w:rFonts w:asciiTheme="minorBidi" w:hAnsiTheme="minorBidi"/>
          <w:rtl/>
        </w:rPr>
      </w:pPr>
      <w:r w:rsidRPr="003024E5">
        <w:rPr>
          <w:rFonts w:asciiTheme="minorBidi" w:hAnsiTheme="minorBidi"/>
          <w:rtl/>
        </w:rPr>
        <w:t>סעיף ט</w:t>
      </w:r>
      <w:r>
        <w:rPr>
          <w:rFonts w:asciiTheme="minorBidi" w:hAnsiTheme="minorBidi" w:hint="cs"/>
          <w:rtl/>
        </w:rPr>
        <w:t xml:space="preserve">: </w:t>
      </w:r>
      <w:r w:rsidRPr="00E74B04">
        <w:rPr>
          <w:rFonts w:cs="Arial"/>
          <w:rtl/>
        </w:rPr>
        <w:t xml:space="preserve">ראש כבש </w:t>
      </w:r>
      <w:r>
        <w:rPr>
          <w:rFonts w:cs="Arial" w:hint="cs"/>
          <w:rtl/>
        </w:rPr>
        <w:t>ש</w:t>
      </w:r>
      <w:r w:rsidRPr="00E74B04">
        <w:rPr>
          <w:rFonts w:cs="Arial"/>
          <w:rtl/>
        </w:rPr>
        <w:t>נמצא טריפה ולא נודע מאיזה כבש הוא</w:t>
      </w:r>
      <w:r>
        <w:rPr>
          <w:rFonts w:asciiTheme="minorBidi" w:hAnsiTheme="minorBidi" w:hint="cs"/>
          <w:rtl/>
        </w:rPr>
        <w:t>.</w:t>
      </w:r>
    </w:p>
    <w:p w14:paraId="61ABF201" w14:textId="77777777" w:rsidR="002C39F4" w:rsidRPr="00851A4F" w:rsidRDefault="002C39F4" w:rsidP="002C39F4">
      <w:pPr>
        <w:rPr>
          <w:rFonts w:cs="Arial"/>
          <w:u w:val="single"/>
          <w:rtl/>
        </w:rPr>
      </w:pPr>
      <w:r w:rsidRPr="00851A4F">
        <w:rPr>
          <w:rFonts w:cs="Arial"/>
          <w:u w:val="single"/>
          <w:rtl/>
        </w:rPr>
        <w:t xml:space="preserve">ראש כבש </w:t>
      </w:r>
      <w:r>
        <w:rPr>
          <w:rFonts w:cs="Arial" w:hint="cs"/>
          <w:u w:val="single"/>
          <w:rtl/>
        </w:rPr>
        <w:t>ש</w:t>
      </w:r>
      <w:r w:rsidRPr="00851A4F">
        <w:rPr>
          <w:rFonts w:cs="Arial"/>
          <w:u w:val="single"/>
          <w:rtl/>
        </w:rPr>
        <w:t>נמצא טריפה ולא נודע מאיזה כבש הוא</w:t>
      </w:r>
      <w:r>
        <w:rPr>
          <w:rFonts w:cs="Arial" w:hint="cs"/>
          <w:u w:val="single"/>
          <w:rtl/>
        </w:rPr>
        <w:t>:</w:t>
      </w:r>
    </w:p>
    <w:p w14:paraId="1C7000E8" w14:textId="77777777" w:rsidR="002C39F4" w:rsidRPr="00E74B04" w:rsidRDefault="002C39F4" w:rsidP="0032102C">
      <w:pPr>
        <w:pStyle w:val="a8"/>
        <w:numPr>
          <w:ilvl w:val="0"/>
          <w:numId w:val="208"/>
        </w:numPr>
        <w:rPr>
          <w:rtl/>
        </w:rPr>
      </w:pPr>
      <w:r w:rsidRPr="00A541B5">
        <w:rPr>
          <w:rFonts w:cs="Arial" w:hint="cs"/>
          <w:rtl/>
        </w:rPr>
        <w:t>תרוה"ד</w:t>
      </w:r>
      <w:r w:rsidRPr="00A541B5">
        <w:rPr>
          <w:rFonts w:cs="Arial"/>
          <w:rtl/>
        </w:rPr>
        <w:t xml:space="preserve"> </w:t>
      </w:r>
      <w:r w:rsidRPr="00A541B5">
        <w:rPr>
          <w:rFonts w:cs="Arial" w:hint="cs"/>
          <w:sz w:val="16"/>
          <w:szCs w:val="16"/>
          <w:rtl/>
        </w:rPr>
        <w:t xml:space="preserve">(סי' </w:t>
      </w:r>
      <w:r w:rsidRPr="00A541B5">
        <w:rPr>
          <w:rFonts w:cs="Arial"/>
          <w:sz w:val="16"/>
          <w:szCs w:val="16"/>
          <w:rtl/>
        </w:rPr>
        <w:t>קעט</w:t>
      </w:r>
      <w:r w:rsidRPr="00A541B5">
        <w:rPr>
          <w:rFonts w:cs="Arial" w:hint="cs"/>
          <w:sz w:val="16"/>
          <w:szCs w:val="16"/>
          <w:rtl/>
        </w:rPr>
        <w:t>)</w:t>
      </w:r>
      <w:r w:rsidRPr="00A541B5">
        <w:rPr>
          <w:rFonts w:cs="Arial" w:hint="cs"/>
          <w:rtl/>
        </w:rPr>
        <w:t>-</w:t>
      </w:r>
      <w:r w:rsidRPr="00A541B5">
        <w:rPr>
          <w:rFonts w:cs="Arial"/>
          <w:rtl/>
        </w:rPr>
        <w:t xml:space="preserve"> ראש כבש נמצא טריפה ולא נודע מאיזה כבש הוא</w:t>
      </w:r>
      <w:r w:rsidRPr="00A541B5">
        <w:rPr>
          <w:rFonts w:cs="Arial" w:hint="cs"/>
          <w:rtl/>
        </w:rPr>
        <w:t>,</w:t>
      </w:r>
      <w:r w:rsidRPr="00A541B5">
        <w:rPr>
          <w:rFonts w:cs="Arial"/>
          <w:rtl/>
        </w:rPr>
        <w:t xml:space="preserve"> והקיפו </w:t>
      </w:r>
      <w:r w:rsidRPr="00A541B5">
        <w:rPr>
          <w:rFonts w:cs="Arial" w:hint="cs"/>
          <w:sz w:val="16"/>
          <w:szCs w:val="16"/>
          <w:rtl/>
        </w:rPr>
        <w:t xml:space="preserve">{דימו} </w:t>
      </w:r>
      <w:r w:rsidRPr="00A541B5">
        <w:rPr>
          <w:rFonts w:cs="Arial"/>
          <w:rtl/>
        </w:rPr>
        <w:t>הראש לצוארו של אחד</w:t>
      </w:r>
      <w:r w:rsidRPr="00851A4F">
        <w:rPr>
          <w:rFonts w:cs="Arial"/>
          <w:rtl/>
        </w:rPr>
        <w:t xml:space="preserve"> מהכבשים ונמצאו החתיכות דומים ומכוונים יפה</w:t>
      </w:r>
      <w:r>
        <w:rPr>
          <w:rFonts w:cs="Arial" w:hint="cs"/>
          <w:rtl/>
        </w:rPr>
        <w:t>,</w:t>
      </w:r>
      <w:r w:rsidRPr="00851A4F">
        <w:rPr>
          <w:rFonts w:cs="Arial"/>
          <w:rtl/>
        </w:rPr>
        <w:t xml:space="preserve"> יש לסמוך על זה להתיר האחרים</w:t>
      </w:r>
      <w:r>
        <w:rPr>
          <w:rStyle w:val="a7"/>
          <w:rFonts w:cs="Arial"/>
          <w:rtl/>
        </w:rPr>
        <w:footnoteReference w:id="2012"/>
      </w:r>
      <w:r w:rsidRPr="00851A4F">
        <w:rPr>
          <w:rFonts w:cs="Arial" w:hint="cs"/>
          <w:rtl/>
        </w:rPr>
        <w:t>.</w:t>
      </w:r>
      <w:r>
        <w:rPr>
          <w:rFonts w:cs="Arial" w:hint="cs"/>
          <w:rtl/>
        </w:rPr>
        <w:t xml:space="preserve"> </w:t>
      </w:r>
      <w:r w:rsidRPr="00A541B5">
        <w:rPr>
          <w:rFonts w:hint="cs"/>
          <w:color w:val="E36C0A" w:themeColor="accent6" w:themeShade="BF"/>
          <w:rtl/>
        </w:rPr>
        <w:t>(וכ"פ בשו"ע)</w:t>
      </w:r>
    </w:p>
    <w:p w14:paraId="0FDF976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FBF2893" w14:textId="77777777" w:rsidR="002C39F4" w:rsidRDefault="002C39F4" w:rsidP="002C39F4">
      <w:pPr>
        <w:rPr>
          <w:rFonts w:asciiTheme="minorBidi" w:hAnsiTheme="minorBidi"/>
          <w:rtl/>
        </w:rPr>
      </w:pPr>
      <w:r w:rsidRPr="003024E5">
        <w:rPr>
          <w:rFonts w:asciiTheme="minorBidi" w:hAnsiTheme="minorBidi"/>
          <w:rtl/>
        </w:rPr>
        <w:t>ראש כבש שנמצא טריפה ולא נודע מאיזה כבש הוא, והקיפו הראש לצוארו של אחד מהכבשים ונמצאו החתיכות דומות ומכוונות יפה, יש לסמוך על זה להתיר האחרות.</w:t>
      </w:r>
    </w:p>
    <w:p w14:paraId="33845C0E" w14:textId="77777777" w:rsidR="002C39F4" w:rsidRPr="000853AF" w:rsidRDefault="002C39F4" w:rsidP="002C39F4">
      <w:pPr>
        <w:rPr>
          <w:rFonts w:asciiTheme="minorBidi" w:hAnsiTheme="minorBidi" w:cs="Arial"/>
          <w:rtl/>
        </w:rPr>
      </w:pPr>
      <w:r w:rsidRPr="00182097">
        <w:rPr>
          <w:rFonts w:asciiTheme="minorBidi" w:hAnsiTheme="minorBidi" w:cs="Arial" w:hint="cs"/>
          <w:u w:val="single"/>
          <w:rtl/>
        </w:rPr>
        <w:t xml:space="preserve">האם צריך </w:t>
      </w:r>
      <w:r>
        <w:rPr>
          <w:rFonts w:asciiTheme="minorBidi" w:hAnsiTheme="minorBidi" w:cs="Arial" w:hint="cs"/>
          <w:u w:val="single"/>
          <w:rtl/>
        </w:rPr>
        <w:t xml:space="preserve">גם </w:t>
      </w:r>
      <w:r w:rsidRPr="00182097">
        <w:rPr>
          <w:rFonts w:asciiTheme="minorBidi" w:hAnsiTheme="minorBidi" w:cs="Arial" w:hint="cs"/>
          <w:u w:val="single"/>
          <w:rtl/>
        </w:rPr>
        <w:t>שיהי</w:t>
      </w:r>
      <w:r>
        <w:rPr>
          <w:rFonts w:asciiTheme="minorBidi" w:hAnsiTheme="minorBidi" w:cs="Arial" w:hint="cs"/>
          <w:u w:val="single"/>
          <w:rtl/>
        </w:rPr>
        <w:t>ה</w:t>
      </w:r>
      <w:r w:rsidRPr="00182097">
        <w:rPr>
          <w:rFonts w:asciiTheme="minorBidi" w:hAnsiTheme="minorBidi" w:cs="Arial" w:hint="cs"/>
          <w:u w:val="single"/>
          <w:rtl/>
        </w:rPr>
        <w:t xml:space="preserve"> הראש שווה ומתחבר יפה</w:t>
      </w:r>
      <w:r>
        <w:rPr>
          <w:rFonts w:asciiTheme="minorBidi" w:hAnsiTheme="minorBidi" w:cs="Arial" w:hint="cs"/>
          <w:u w:val="single"/>
          <w:rtl/>
        </w:rPr>
        <w:t xml:space="preserve"> וגם</w:t>
      </w:r>
      <w:r w:rsidRPr="00182097">
        <w:rPr>
          <w:rFonts w:asciiTheme="minorBidi" w:hAnsiTheme="minorBidi" w:cs="Arial" w:hint="cs"/>
          <w:u w:val="single"/>
          <w:rtl/>
        </w:rPr>
        <w:t xml:space="preserve"> שיהיה מתאים </w:t>
      </w:r>
      <w:r>
        <w:rPr>
          <w:rFonts w:asciiTheme="minorBidi" w:hAnsiTheme="minorBidi" w:cs="Arial" w:hint="cs"/>
          <w:u w:val="single"/>
          <w:rtl/>
        </w:rPr>
        <w:t>מבחינת ה</w:t>
      </w:r>
      <w:r w:rsidRPr="00182097">
        <w:rPr>
          <w:rFonts w:asciiTheme="minorBidi" w:hAnsiTheme="minorBidi" w:cs="Arial" w:hint="cs"/>
          <w:u w:val="single"/>
          <w:rtl/>
        </w:rPr>
        <w:t>מראה</w:t>
      </w:r>
      <w:r>
        <w:rPr>
          <w:rFonts w:asciiTheme="minorBidi" w:hAnsiTheme="minorBidi" w:cs="Arial" w:hint="cs"/>
          <w:u w:val="single"/>
          <w:rtl/>
        </w:rPr>
        <w:t xml:space="preserve"> או שבאחד מהם סגי</w:t>
      </w:r>
      <w:r w:rsidRPr="00182097">
        <w:rPr>
          <w:rFonts w:asciiTheme="minorBidi" w:hAnsiTheme="minorBidi" w:cs="Arial" w:hint="cs"/>
          <w:u w:val="single"/>
          <w:rtl/>
        </w:rPr>
        <w:t>:</w:t>
      </w:r>
    </w:p>
    <w:p w14:paraId="77CC57F4" w14:textId="77777777" w:rsidR="002C39F4" w:rsidRPr="00182097" w:rsidRDefault="002C39F4" w:rsidP="0032102C">
      <w:pPr>
        <w:pStyle w:val="a8"/>
        <w:numPr>
          <w:ilvl w:val="0"/>
          <w:numId w:val="208"/>
        </w:numPr>
        <w:rPr>
          <w:rFonts w:asciiTheme="minorBidi" w:hAnsiTheme="minorBidi" w:cs="Arial"/>
          <w:rtl/>
        </w:rPr>
      </w:pPr>
      <w:r w:rsidRPr="00182097">
        <w:rPr>
          <w:rFonts w:asciiTheme="minorBidi" w:hAnsiTheme="minorBidi" w:cs="Arial" w:hint="cs"/>
          <w:rtl/>
        </w:rPr>
        <w:t xml:space="preserve">ב"ח </w:t>
      </w:r>
      <w:r w:rsidRPr="00182097">
        <w:rPr>
          <w:rFonts w:asciiTheme="minorBidi" w:hAnsiTheme="minorBidi" w:cs="Arial" w:hint="cs"/>
          <w:sz w:val="16"/>
          <w:szCs w:val="16"/>
          <w:rtl/>
        </w:rPr>
        <w:t>(הביאו הש"ך שם)</w:t>
      </w:r>
      <w:r w:rsidRPr="000853AF">
        <w:rPr>
          <w:rFonts w:asciiTheme="minorBidi" w:hAnsiTheme="minorBidi" w:cs="Arial" w:hint="cs"/>
          <w:rtl/>
        </w:rPr>
        <w:t xml:space="preserve"> </w:t>
      </w:r>
      <w:r>
        <w:rPr>
          <w:rFonts w:asciiTheme="minorBidi" w:hAnsiTheme="minorBidi" w:cs="Arial" w:hint="cs"/>
          <w:rtl/>
        </w:rPr>
        <w:t>ו</w:t>
      </w:r>
      <w:r w:rsidRPr="00182097">
        <w:rPr>
          <w:rFonts w:asciiTheme="minorBidi" w:hAnsiTheme="minorBidi" w:cs="Arial" w:hint="cs"/>
          <w:rtl/>
        </w:rPr>
        <w:t xml:space="preserve">ט"ז </w:t>
      </w:r>
      <w:r w:rsidRPr="00182097">
        <w:rPr>
          <w:rFonts w:asciiTheme="minorBidi" w:hAnsiTheme="minorBidi" w:cs="Arial" w:hint="cs"/>
          <w:sz w:val="16"/>
          <w:szCs w:val="16"/>
          <w:rtl/>
        </w:rPr>
        <w:t>(סקט"ו)</w:t>
      </w:r>
      <w:r w:rsidRPr="00182097">
        <w:rPr>
          <w:rFonts w:asciiTheme="minorBidi" w:hAnsiTheme="minorBidi" w:cs="Arial" w:hint="cs"/>
          <w:rtl/>
        </w:rPr>
        <w:t>- בעינן שיתחברו יפה וגם שיהיה נראה מתוך חיתוכן שהוא אחד</w:t>
      </w:r>
      <w:r>
        <w:rPr>
          <w:rStyle w:val="a7"/>
          <w:rFonts w:asciiTheme="minorBidi" w:hAnsiTheme="minorBidi" w:cs="Arial"/>
          <w:rtl/>
        </w:rPr>
        <w:footnoteReference w:id="2013"/>
      </w:r>
      <w:r w:rsidRPr="00182097">
        <w:rPr>
          <w:rFonts w:asciiTheme="minorBidi" w:hAnsiTheme="minorBidi" w:cs="Arial" w:hint="cs"/>
          <w:rtl/>
        </w:rPr>
        <w:t>.</w:t>
      </w:r>
    </w:p>
    <w:p w14:paraId="755727CB" w14:textId="77777777" w:rsidR="002C39F4" w:rsidRPr="00182097" w:rsidRDefault="002C39F4" w:rsidP="0032102C">
      <w:pPr>
        <w:pStyle w:val="a8"/>
        <w:numPr>
          <w:ilvl w:val="0"/>
          <w:numId w:val="208"/>
        </w:numPr>
        <w:rPr>
          <w:rFonts w:asciiTheme="minorBidi" w:hAnsiTheme="minorBidi" w:cs="Arial"/>
          <w:rtl/>
        </w:rPr>
      </w:pPr>
      <w:r w:rsidRPr="00182097">
        <w:rPr>
          <w:rFonts w:asciiTheme="minorBidi" w:hAnsiTheme="minorBidi" w:cs="Arial" w:hint="cs"/>
          <w:rtl/>
        </w:rPr>
        <w:t>ש"ך</w:t>
      </w:r>
      <w:r>
        <w:rPr>
          <w:rStyle w:val="a7"/>
          <w:rFonts w:asciiTheme="minorBidi" w:hAnsiTheme="minorBidi" w:cs="Arial"/>
          <w:rtl/>
        </w:rPr>
        <w:footnoteReference w:id="2014"/>
      </w:r>
      <w:r w:rsidRPr="00182097">
        <w:rPr>
          <w:rFonts w:asciiTheme="minorBidi" w:hAnsiTheme="minorBidi" w:cs="Arial" w:hint="cs"/>
          <w:rtl/>
        </w:rPr>
        <w:t xml:space="preserve"> </w:t>
      </w:r>
      <w:r w:rsidRPr="00182097">
        <w:rPr>
          <w:rFonts w:asciiTheme="minorBidi" w:hAnsiTheme="minorBidi" w:cs="Arial" w:hint="cs"/>
          <w:sz w:val="16"/>
          <w:szCs w:val="16"/>
          <w:rtl/>
        </w:rPr>
        <w:t>(סי' פג סק"ד)</w:t>
      </w:r>
      <w:r w:rsidRPr="00182097">
        <w:rPr>
          <w:rFonts w:asciiTheme="minorBidi" w:hAnsiTheme="minorBidi" w:cs="Arial" w:hint="cs"/>
          <w:rtl/>
        </w:rPr>
        <w:t xml:space="preserve">- </w:t>
      </w:r>
      <w:r w:rsidRPr="00182097">
        <w:rPr>
          <w:rFonts w:asciiTheme="minorBidi" w:hAnsiTheme="minorBidi" w:cs="Arial"/>
          <w:rtl/>
        </w:rPr>
        <w:t>משמע מדברי המחבר דאם הם רק מתאימו</w:t>
      </w:r>
      <w:r w:rsidRPr="00182097">
        <w:rPr>
          <w:rFonts w:asciiTheme="minorBidi" w:hAnsiTheme="minorBidi" w:cs="Arial" w:hint="cs"/>
          <w:rtl/>
        </w:rPr>
        <w:t>ת</w:t>
      </w:r>
      <w:r w:rsidRPr="00182097">
        <w:rPr>
          <w:rFonts w:asciiTheme="minorBidi" w:hAnsiTheme="minorBidi" w:cs="Arial"/>
          <w:rtl/>
        </w:rPr>
        <w:t xml:space="preserve"> דהיינו שמתחברות יפה מותר וא"צ שיהא נראה מתוך חיתוכן שהכל הוא א'</w:t>
      </w:r>
      <w:r>
        <w:rPr>
          <w:rFonts w:asciiTheme="minorBidi" w:hAnsiTheme="minorBidi" w:cs="Arial" w:hint="cs"/>
          <w:rtl/>
        </w:rPr>
        <w:t xml:space="preserve">. </w:t>
      </w:r>
    </w:p>
    <w:p w14:paraId="2B9E9633" w14:textId="77777777" w:rsidR="002C39F4" w:rsidRDefault="002C39F4" w:rsidP="002C39F4">
      <w:pPr>
        <w:rPr>
          <w:rFonts w:asciiTheme="minorBidi" w:hAnsiTheme="minorBidi" w:cs="Arial"/>
          <w:rtl/>
        </w:rPr>
      </w:pPr>
      <w:r w:rsidRPr="00182097">
        <w:rPr>
          <w:rFonts w:asciiTheme="minorBidi" w:hAnsiTheme="minorBidi" w:cs="Arial" w:hint="cs"/>
          <w:u w:val="single"/>
          <w:rtl/>
        </w:rPr>
        <w:t>דימוי בזמן הזה:</w:t>
      </w:r>
    </w:p>
    <w:p w14:paraId="7DF4FB50" w14:textId="77777777" w:rsidR="002C39F4" w:rsidRPr="00182097" w:rsidRDefault="002C39F4" w:rsidP="0032102C">
      <w:pPr>
        <w:pStyle w:val="a8"/>
        <w:numPr>
          <w:ilvl w:val="0"/>
          <w:numId w:val="209"/>
        </w:numPr>
        <w:rPr>
          <w:rFonts w:asciiTheme="minorBidi" w:hAnsiTheme="minorBidi"/>
        </w:rPr>
      </w:pPr>
      <w:r w:rsidRPr="00182097">
        <w:rPr>
          <w:rFonts w:asciiTheme="minorBidi" w:hAnsiTheme="minorBidi" w:cs="Arial"/>
          <w:rtl/>
        </w:rPr>
        <w:t>או"ה</w:t>
      </w:r>
      <w:r w:rsidRPr="00182097">
        <w:rPr>
          <w:rFonts w:asciiTheme="minorBidi" w:hAnsiTheme="minorBidi" w:cs="Arial"/>
          <w:sz w:val="16"/>
          <w:szCs w:val="16"/>
          <w:rtl/>
        </w:rPr>
        <w:t xml:space="preserve"> </w:t>
      </w:r>
      <w:r w:rsidRPr="00182097">
        <w:rPr>
          <w:rFonts w:asciiTheme="minorBidi" w:hAnsiTheme="minorBidi" w:cs="Arial" w:hint="cs"/>
          <w:sz w:val="16"/>
          <w:szCs w:val="16"/>
          <w:rtl/>
        </w:rPr>
        <w:t>(</w:t>
      </w:r>
      <w:r w:rsidRPr="00182097">
        <w:rPr>
          <w:rFonts w:asciiTheme="minorBidi" w:hAnsiTheme="minorBidi" w:cs="Arial"/>
          <w:sz w:val="16"/>
          <w:szCs w:val="16"/>
          <w:rtl/>
        </w:rPr>
        <w:t>כלל נב</w:t>
      </w:r>
      <w:r w:rsidRPr="00182097">
        <w:rPr>
          <w:rFonts w:asciiTheme="minorBidi" w:hAnsiTheme="minorBidi" w:cs="Arial" w:hint="cs"/>
          <w:sz w:val="16"/>
          <w:szCs w:val="16"/>
          <w:rtl/>
        </w:rPr>
        <w:t>)</w:t>
      </w:r>
      <w:r>
        <w:rPr>
          <w:rFonts w:asciiTheme="minorBidi" w:hAnsiTheme="minorBidi" w:cs="Arial" w:hint="cs"/>
          <w:rtl/>
        </w:rPr>
        <w:t>-</w:t>
      </w:r>
      <w:r w:rsidRPr="00182097">
        <w:rPr>
          <w:rFonts w:asciiTheme="minorBidi" w:hAnsiTheme="minorBidi" w:cs="Arial"/>
          <w:rtl/>
        </w:rPr>
        <w:t xml:space="preserve"> עתה שאין אנו בקיאין כל כך אין לנו להתיר בכה"ג אם לא שיהיה הפרש גדול וניכר </w:t>
      </w:r>
      <w:r w:rsidRPr="00182097">
        <w:rPr>
          <w:rFonts w:asciiTheme="minorBidi" w:hAnsiTheme="minorBidi" w:cs="Arial" w:hint="cs"/>
          <w:rtl/>
        </w:rPr>
        <w:t>לכל.</w:t>
      </w:r>
      <w:r w:rsidRPr="00182097">
        <w:rPr>
          <w:rFonts w:asciiTheme="minorBidi" w:hAnsiTheme="minorBidi" w:cs="Arial"/>
          <w:rtl/>
        </w:rPr>
        <w:t xml:space="preserve"> </w:t>
      </w:r>
    </w:p>
    <w:p w14:paraId="3A5A35A2" w14:textId="77777777" w:rsidR="002C39F4" w:rsidRPr="00AB4ACE" w:rsidRDefault="002C39F4" w:rsidP="0032102C">
      <w:pPr>
        <w:pStyle w:val="a8"/>
        <w:numPr>
          <w:ilvl w:val="0"/>
          <w:numId w:val="209"/>
        </w:numPr>
        <w:rPr>
          <w:rFonts w:asciiTheme="minorBidi" w:hAnsiTheme="minorBidi"/>
          <w:rtl/>
        </w:rPr>
        <w:sectPr w:rsidR="002C39F4" w:rsidRPr="00AB4ACE" w:rsidSect="004C5A3C">
          <w:footnotePr>
            <w:numRestart w:val="eachPage"/>
          </w:footnotePr>
          <w:pgSz w:w="11906" w:h="16838"/>
          <w:pgMar w:top="720" w:right="1134" w:bottom="720" w:left="1134" w:header="0" w:footer="0" w:gutter="0"/>
          <w:cols w:space="720"/>
          <w:bidi/>
          <w:rtlGutter/>
          <w:docGrid w:linePitch="360"/>
        </w:sectPr>
      </w:pPr>
      <w:r>
        <w:rPr>
          <w:rFonts w:asciiTheme="minorBidi" w:hAnsiTheme="minorBidi" w:cs="Arial" w:hint="cs"/>
          <w:rtl/>
        </w:rPr>
        <w:t xml:space="preserve">ב"ח- </w:t>
      </w:r>
      <w:r w:rsidRPr="00182097">
        <w:rPr>
          <w:rFonts w:asciiTheme="minorBidi" w:hAnsiTheme="minorBidi" w:cs="Arial"/>
          <w:rtl/>
        </w:rPr>
        <w:t>קבלתי מחכם אחד שקיבל מפי חכמים אם נמצא מים בראש כבש א'</w:t>
      </w:r>
      <w:r>
        <w:rPr>
          <w:rFonts w:asciiTheme="minorBidi" w:hAnsiTheme="minorBidi" w:cs="Arial" w:hint="cs"/>
          <w:rtl/>
        </w:rPr>
        <w:t>,</w:t>
      </w:r>
      <w:r w:rsidRPr="00182097">
        <w:rPr>
          <w:rFonts w:asciiTheme="minorBidi" w:hAnsiTheme="minorBidi" w:cs="Arial"/>
          <w:rtl/>
        </w:rPr>
        <w:t xml:space="preserve"> דמיטרפא ביה</w:t>
      </w:r>
      <w:r>
        <w:rPr>
          <w:rFonts w:asciiTheme="minorBidi" w:hAnsiTheme="minorBidi" w:cs="Arial" w:hint="cs"/>
          <w:rtl/>
        </w:rPr>
        <w:t>,</w:t>
      </w:r>
      <w:r w:rsidRPr="00182097">
        <w:rPr>
          <w:rFonts w:asciiTheme="minorBidi" w:hAnsiTheme="minorBidi" w:cs="Arial"/>
          <w:rtl/>
        </w:rPr>
        <w:t xml:space="preserve"> ולא נודע מאיזה כבש הוא</w:t>
      </w:r>
      <w:r>
        <w:rPr>
          <w:rFonts w:asciiTheme="minorBidi" w:hAnsiTheme="minorBidi" w:cs="Arial" w:hint="cs"/>
          <w:rtl/>
        </w:rPr>
        <w:t>,</w:t>
      </w:r>
      <w:r w:rsidRPr="00182097">
        <w:rPr>
          <w:rFonts w:asciiTheme="minorBidi" w:hAnsiTheme="minorBidi" w:cs="Arial"/>
          <w:rtl/>
        </w:rPr>
        <w:t xml:space="preserve"> יש לבדוק בחוט השדרה של הכבשים וכל כבש שנמצא בו מים במוח שבראש יהיה מים בחוט הנמשך מהמוח לשדרה</w:t>
      </w:r>
      <w:r>
        <w:rPr>
          <w:rFonts w:asciiTheme="minorBidi" w:hAnsiTheme="minorBidi" w:cs="Arial" w:hint="cs"/>
          <w:rtl/>
        </w:rPr>
        <w:t>,</w:t>
      </w:r>
      <w:r w:rsidRPr="00182097">
        <w:rPr>
          <w:rFonts w:asciiTheme="minorBidi" w:hAnsiTheme="minorBidi" w:cs="Arial"/>
          <w:rtl/>
        </w:rPr>
        <w:t xml:space="preserve"> ותולין שהראש הוא מאותו כבש להתיר האחרות</w:t>
      </w:r>
      <w:r>
        <w:rPr>
          <w:rStyle w:val="a7"/>
          <w:rFonts w:asciiTheme="minorBidi" w:hAnsiTheme="minorBidi" w:cs="Arial"/>
          <w:rtl/>
        </w:rPr>
        <w:footnoteReference w:id="2015"/>
      </w:r>
      <w:r>
        <w:rPr>
          <w:rFonts w:asciiTheme="minorBidi" w:hAnsiTheme="minorBidi" w:cs="Arial" w:hint="cs"/>
          <w:rtl/>
        </w:rPr>
        <w:t>.</w:t>
      </w:r>
    </w:p>
    <w:p w14:paraId="31C84E36"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קב: דין דבר שיש לו מתירין, ובו ד' סעיפים. </w:t>
      </w:r>
    </w:p>
    <w:p w14:paraId="6C6D3698"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דבר שיש לו מתירין.</w:t>
      </w:r>
    </w:p>
    <w:p w14:paraId="34D46246" w14:textId="77777777" w:rsidR="002C39F4" w:rsidRDefault="002C39F4" w:rsidP="002C39F4">
      <w:pPr>
        <w:rPr>
          <w:rFonts w:cs="Arial"/>
          <w:rtl/>
        </w:rPr>
      </w:pPr>
      <w:r>
        <w:rPr>
          <w:rFonts w:cs="Arial" w:hint="cs"/>
          <w:b/>
          <w:bCs/>
          <w:rtl/>
        </w:rPr>
        <w:t xml:space="preserve">ביצה ג ע"ב: </w:t>
      </w:r>
      <w:r w:rsidRPr="00125C3E">
        <w:rPr>
          <w:rFonts w:cs="Arial"/>
          <w:rtl/>
        </w:rPr>
        <w:t>מיתיבי: אחד ביצה שנולדה בשבת ואחד ביצה שנולדה ביום טוב אין מטלטלין אותה לא לכסות בה את הכלי ולא לסמוך בה כרעי המטה</w:t>
      </w:r>
      <w:r>
        <w:rPr>
          <w:rFonts w:cs="Arial" w:hint="cs"/>
          <w:rtl/>
        </w:rPr>
        <w:t>,</w:t>
      </w:r>
      <w:r w:rsidRPr="00125C3E">
        <w:rPr>
          <w:rFonts w:cs="Arial"/>
          <w:rtl/>
        </w:rPr>
        <w:t xml:space="preserve"> אבל כופה עליה את הכלי בשביל שלא תשבר</w:t>
      </w:r>
      <w:r>
        <w:rPr>
          <w:rFonts w:cs="Arial" w:hint="cs"/>
          <w:rtl/>
        </w:rPr>
        <w:t>,</w:t>
      </w:r>
      <w:r w:rsidRPr="00125C3E">
        <w:rPr>
          <w:rFonts w:cs="Arial"/>
          <w:rtl/>
        </w:rPr>
        <w:t xml:space="preserve"> וספיקא אסורה</w:t>
      </w:r>
      <w:r>
        <w:rPr>
          <w:rFonts w:cs="Arial" w:hint="cs"/>
          <w:rtl/>
        </w:rPr>
        <w:t>,</w:t>
      </w:r>
      <w:r w:rsidRPr="00125C3E">
        <w:rPr>
          <w:rFonts w:cs="Arial"/>
          <w:rtl/>
        </w:rPr>
        <w:t xml:space="preserve"> ואם נתערבה באלף כולן אסורות.</w:t>
      </w:r>
      <w:r>
        <w:rPr>
          <w:rFonts w:cs="Arial" w:hint="cs"/>
          <w:rtl/>
        </w:rPr>
        <w:t>..</w:t>
      </w:r>
      <w:r w:rsidRPr="000B3719">
        <w:rPr>
          <w:rtl/>
        </w:rPr>
        <w:t xml:space="preserve"> </w:t>
      </w:r>
      <w:r w:rsidRPr="001C7C7C">
        <w:rPr>
          <w:rFonts w:cs="Arial" w:hint="cs"/>
          <w:sz w:val="14"/>
          <w:szCs w:val="14"/>
          <w:rtl/>
        </w:rPr>
        <w:t>(ד.)</w:t>
      </w:r>
      <w:r>
        <w:rPr>
          <w:rFonts w:cs="Arial" w:hint="cs"/>
          <w:rtl/>
        </w:rPr>
        <w:t xml:space="preserve"> </w:t>
      </w:r>
      <w:r w:rsidRPr="000B3719">
        <w:rPr>
          <w:rFonts w:cs="Arial"/>
          <w:u w:val="single"/>
          <w:rtl/>
        </w:rPr>
        <w:t>רב אשי אמר</w:t>
      </w:r>
      <w:r w:rsidRPr="000B3719">
        <w:rPr>
          <w:rFonts w:cs="Arial"/>
          <w:rtl/>
        </w:rPr>
        <w:t>: לעולם ספק יום טוב ספק חול הוי דבר שיש לו מתירין, וכל דבר שיש לו מתירין - אפילו בדרבנן לא בטיל</w:t>
      </w:r>
      <w:r>
        <w:rPr>
          <w:rStyle w:val="a7"/>
          <w:rFonts w:cs="Arial"/>
          <w:rtl/>
        </w:rPr>
        <w:footnoteReference w:id="2016"/>
      </w:r>
      <w:r w:rsidRPr="000B3719">
        <w:rPr>
          <w:rFonts w:cs="Arial"/>
          <w:rtl/>
        </w:rPr>
        <w:t>.</w:t>
      </w:r>
      <w:r w:rsidRPr="00916BBA">
        <w:rPr>
          <w:rFonts w:cs="Arial" w:hint="cs"/>
          <w:sz w:val="16"/>
          <w:szCs w:val="16"/>
          <w:rtl/>
        </w:rPr>
        <w:t xml:space="preserve"> (וכן פסקו כל הפוסקים ד</w:t>
      </w:r>
      <w:r w:rsidRPr="00916BBA">
        <w:rPr>
          <w:rFonts w:cs="Arial"/>
          <w:sz w:val="16"/>
          <w:szCs w:val="16"/>
          <w:rtl/>
        </w:rPr>
        <w:t>דבר שיש לו מתירין אפילו באלף לא בטיל ודוקא מין במינו</w:t>
      </w:r>
      <w:r>
        <w:rPr>
          <w:rFonts w:cs="Arial" w:hint="cs"/>
          <w:sz w:val="16"/>
          <w:szCs w:val="16"/>
          <w:rtl/>
        </w:rPr>
        <w:t>,</w:t>
      </w:r>
      <w:r w:rsidRPr="00916BBA">
        <w:rPr>
          <w:rFonts w:cs="Arial"/>
          <w:sz w:val="16"/>
          <w:szCs w:val="16"/>
          <w:rtl/>
        </w:rPr>
        <w:t xml:space="preserve"> אבל בשאי</w:t>
      </w:r>
      <w:r>
        <w:rPr>
          <w:rFonts w:cs="Arial" w:hint="cs"/>
          <w:sz w:val="16"/>
          <w:szCs w:val="16"/>
          <w:rtl/>
        </w:rPr>
        <w:t>נו</w:t>
      </w:r>
      <w:r w:rsidRPr="00916BBA">
        <w:rPr>
          <w:rFonts w:cs="Arial"/>
          <w:sz w:val="16"/>
          <w:szCs w:val="16"/>
          <w:rtl/>
        </w:rPr>
        <w:t xml:space="preserve"> מינו בטיל</w:t>
      </w:r>
      <w:r w:rsidRPr="00916BBA">
        <w:rPr>
          <w:rFonts w:cs="Arial" w:hint="cs"/>
          <w:sz w:val="16"/>
          <w:szCs w:val="16"/>
          <w:rtl/>
        </w:rPr>
        <w:t>)</w:t>
      </w:r>
    </w:p>
    <w:p w14:paraId="52CAF769" w14:textId="77777777" w:rsidR="002C39F4" w:rsidRDefault="002C39F4" w:rsidP="002C39F4">
      <w:pPr>
        <w:rPr>
          <w:rFonts w:cs="Arial"/>
          <w:rtl/>
        </w:rPr>
      </w:pPr>
      <w:r w:rsidRPr="00EF36A4">
        <w:rPr>
          <w:rFonts w:cs="Arial"/>
          <w:b/>
          <w:bCs/>
          <w:rtl/>
        </w:rPr>
        <w:t>ירושלמי</w:t>
      </w:r>
      <w:r w:rsidRPr="00EF36A4">
        <w:rPr>
          <w:rFonts w:cs="Arial"/>
          <w:b/>
          <w:bCs/>
          <w:sz w:val="16"/>
          <w:szCs w:val="16"/>
          <w:rtl/>
        </w:rPr>
        <w:t xml:space="preserve"> (וילנא)</w:t>
      </w:r>
      <w:r w:rsidRPr="00EF36A4">
        <w:rPr>
          <w:rFonts w:cs="Arial"/>
          <w:b/>
          <w:bCs/>
          <w:rtl/>
        </w:rPr>
        <w:t xml:space="preserve"> נדרים פ</w:t>
      </w:r>
      <w:r w:rsidRPr="00EF36A4">
        <w:rPr>
          <w:rFonts w:cs="Arial" w:hint="cs"/>
          <w:b/>
          <w:bCs/>
          <w:rtl/>
        </w:rPr>
        <w:t>"</w:t>
      </w:r>
      <w:r w:rsidRPr="00EF36A4">
        <w:rPr>
          <w:rFonts w:cs="Arial"/>
          <w:b/>
          <w:bCs/>
          <w:rtl/>
        </w:rPr>
        <w:t>ו</w:t>
      </w:r>
      <w:r w:rsidRPr="00EF36A4">
        <w:rPr>
          <w:rFonts w:cs="Arial" w:hint="cs"/>
          <w:b/>
          <w:bCs/>
          <w:rtl/>
        </w:rPr>
        <w:t xml:space="preserve"> ה"ד:</w:t>
      </w:r>
      <w:r>
        <w:rPr>
          <w:rFonts w:cs="Arial" w:hint="cs"/>
          <w:rtl/>
        </w:rPr>
        <w:t xml:space="preserve"> </w:t>
      </w:r>
      <w:r w:rsidRPr="00EF36A4">
        <w:rPr>
          <w:rFonts w:cs="Arial"/>
          <w:rtl/>
        </w:rPr>
        <w:t>תנינן תמן שהנודר מן הדבר ונתערב באחר אם יש בו בנותן טעם הרי זה אסור.</w:t>
      </w:r>
    </w:p>
    <w:p w14:paraId="4F826B22" w14:textId="77777777" w:rsidR="002C39F4" w:rsidRDefault="002C39F4" w:rsidP="002C39F4">
      <w:pPr>
        <w:rPr>
          <w:rFonts w:cs="Arial"/>
          <w:rtl/>
        </w:rPr>
      </w:pPr>
      <w:r>
        <w:rPr>
          <w:rFonts w:cs="Arial" w:hint="cs"/>
          <w:b/>
          <w:bCs/>
          <w:rtl/>
        </w:rPr>
        <w:t xml:space="preserve">נדרים נב ע"א: </w:t>
      </w:r>
      <w:r w:rsidRPr="0023218C">
        <w:rPr>
          <w:rFonts w:cs="Arial" w:hint="cs"/>
          <w:u w:val="double"/>
          <w:rtl/>
        </w:rPr>
        <w:t>מתני':</w:t>
      </w:r>
      <w:r w:rsidRPr="0023218C">
        <w:rPr>
          <w:rFonts w:cs="Arial" w:hint="cs"/>
          <w:rtl/>
        </w:rPr>
        <w:t>...</w:t>
      </w:r>
      <w:r>
        <w:rPr>
          <w:rFonts w:cs="Arial" w:hint="cs"/>
          <w:b/>
          <w:bCs/>
          <w:rtl/>
        </w:rPr>
        <w:t xml:space="preserve"> </w:t>
      </w:r>
      <w:r w:rsidRPr="00D629F8">
        <w:rPr>
          <w:rFonts w:cs="Arial"/>
          <w:u w:val="single"/>
          <w:rtl/>
        </w:rPr>
        <w:t>אמר רבי יהודה</w:t>
      </w:r>
      <w:r w:rsidRPr="00D629F8">
        <w:rPr>
          <w:rFonts w:cs="Arial"/>
          <w:rtl/>
        </w:rPr>
        <w:t xml:space="preserve">: מעשה ואסר עלינו רבי טרפון בביצים שנתבשלו עמו. </w:t>
      </w:r>
      <w:r w:rsidRPr="00D629F8">
        <w:rPr>
          <w:rFonts w:cs="Arial"/>
          <w:u w:val="single"/>
          <w:rtl/>
        </w:rPr>
        <w:t>אמרו לו</w:t>
      </w:r>
      <w:r w:rsidRPr="00D629F8">
        <w:rPr>
          <w:rFonts w:cs="Arial"/>
          <w:rtl/>
        </w:rPr>
        <w:t>: כן הדבר, אימתי? בזמן שיאמר בשר זה עלי, שהנודר מן הדבר ונתערב באחר, אם יש בו בנותן טעם - אסור.</w:t>
      </w:r>
    </w:p>
    <w:p w14:paraId="5954D815" w14:textId="77777777" w:rsidR="002C39F4" w:rsidRDefault="002C39F4" w:rsidP="002C39F4">
      <w:pPr>
        <w:rPr>
          <w:rFonts w:cs="Arial"/>
          <w:sz w:val="16"/>
          <w:szCs w:val="16"/>
          <w:rtl/>
        </w:rPr>
      </w:pPr>
      <w:r w:rsidRPr="000B3719">
        <w:rPr>
          <w:rFonts w:cs="Arial" w:hint="cs"/>
          <w:u w:val="single"/>
          <w:rtl/>
        </w:rPr>
        <w:t xml:space="preserve">ביצה </w:t>
      </w:r>
      <w:r w:rsidRPr="0095181D">
        <w:rPr>
          <w:rFonts w:cs="Arial" w:hint="cs"/>
          <w:b/>
          <w:bCs/>
          <w:u w:val="single"/>
          <w:rtl/>
        </w:rPr>
        <w:t>שספק</w:t>
      </w:r>
      <w:r w:rsidRPr="000B3719">
        <w:rPr>
          <w:rFonts w:cs="Arial" w:hint="cs"/>
          <w:u w:val="single"/>
          <w:rtl/>
        </w:rPr>
        <w:t xml:space="preserve"> אם נולדה ביו"ט</w:t>
      </w:r>
      <w:r w:rsidRPr="008C4E09">
        <w:rPr>
          <w:rFonts w:cs="Arial" w:hint="cs"/>
          <w:sz w:val="16"/>
          <w:szCs w:val="16"/>
          <w:u w:val="single"/>
          <w:rtl/>
        </w:rPr>
        <w:t xml:space="preserve"> (</w:t>
      </w:r>
      <w:r>
        <w:rPr>
          <w:rFonts w:cs="Arial" w:hint="cs"/>
          <w:sz w:val="16"/>
          <w:szCs w:val="16"/>
          <w:u w:val="single"/>
          <w:rtl/>
        </w:rPr>
        <w:t xml:space="preserve">שאסורה </w:t>
      </w:r>
      <w:r w:rsidRPr="008C4E09">
        <w:rPr>
          <w:rFonts w:cs="Arial" w:hint="cs"/>
          <w:sz w:val="16"/>
          <w:szCs w:val="16"/>
          <w:u w:val="single"/>
          <w:rtl/>
        </w:rPr>
        <w:t>לכו"ע</w:t>
      </w:r>
      <w:r>
        <w:rPr>
          <w:rFonts w:cs="Arial" w:hint="cs"/>
          <w:sz w:val="16"/>
          <w:szCs w:val="16"/>
          <w:u w:val="single"/>
          <w:rtl/>
        </w:rPr>
        <w:t>, כדאמר רב אשי</w:t>
      </w:r>
      <w:r w:rsidRPr="008C4E09">
        <w:rPr>
          <w:rFonts w:cs="Arial" w:hint="cs"/>
          <w:sz w:val="16"/>
          <w:szCs w:val="16"/>
          <w:u w:val="single"/>
          <w:rtl/>
        </w:rPr>
        <w:t>)</w:t>
      </w:r>
      <w:r>
        <w:rPr>
          <w:rFonts w:cs="Arial" w:hint="cs"/>
          <w:u w:val="single"/>
          <w:rtl/>
        </w:rPr>
        <w:t xml:space="preserve"> - מה הדין במקרים הבאים:</w:t>
      </w:r>
      <w:r>
        <w:rPr>
          <w:rFonts w:cs="Arial" w:hint="cs"/>
          <w:sz w:val="16"/>
          <w:szCs w:val="16"/>
          <w:rtl/>
        </w:rPr>
        <w:t xml:space="preserve"> </w:t>
      </w:r>
    </w:p>
    <w:p w14:paraId="26F28A94" w14:textId="77777777" w:rsidR="002C39F4" w:rsidRPr="00D72B75" w:rsidRDefault="002C39F4" w:rsidP="002C39F4">
      <w:pPr>
        <w:ind w:left="360"/>
        <w:rPr>
          <w:rFonts w:cs="Arial"/>
          <w:sz w:val="16"/>
          <w:szCs w:val="16"/>
          <w:u w:val="dotted"/>
          <w:rtl/>
        </w:rPr>
      </w:pPr>
      <w:r w:rsidRPr="00D72B75">
        <w:rPr>
          <w:rFonts w:cs="Arial"/>
          <w:u w:val="dotted"/>
          <w:rtl/>
        </w:rPr>
        <w:t>נתערבה באחרות</w:t>
      </w:r>
      <w:r w:rsidRPr="00D72B75">
        <w:rPr>
          <w:rFonts w:cs="Arial" w:hint="cs"/>
          <w:u w:val="dotted"/>
          <w:rtl/>
        </w:rPr>
        <w:t>:</w:t>
      </w:r>
      <w:r w:rsidRPr="008C4E09">
        <w:rPr>
          <w:rFonts w:cs="Arial" w:hint="cs"/>
          <w:sz w:val="16"/>
          <w:szCs w:val="16"/>
          <w:rtl/>
        </w:rPr>
        <w:t xml:space="preserve"> </w:t>
      </w:r>
      <w:r>
        <w:rPr>
          <w:rFonts w:cs="Arial" w:hint="cs"/>
          <w:sz w:val="16"/>
          <w:szCs w:val="16"/>
          <w:rtl/>
        </w:rPr>
        <w:t xml:space="preserve">  (טור וב"י [או"ח סי' תקיג סע' א-ב])</w:t>
      </w:r>
    </w:p>
    <w:p w14:paraId="41BB074A" w14:textId="77777777" w:rsidR="002C39F4" w:rsidRDefault="002C39F4" w:rsidP="0032102C">
      <w:pPr>
        <w:pStyle w:val="a8"/>
        <w:numPr>
          <w:ilvl w:val="0"/>
          <w:numId w:val="210"/>
        </w:numPr>
        <w:rPr>
          <w:rFonts w:cs="Arial"/>
        </w:rPr>
      </w:pPr>
      <w:r w:rsidRPr="00A25FBA">
        <w:rPr>
          <w:rFonts w:cs="Arial" w:hint="cs"/>
          <w:rtl/>
        </w:rPr>
        <w:t xml:space="preserve">רמב"ם </w:t>
      </w:r>
      <w:r>
        <w:rPr>
          <w:rFonts w:cs="Arial" w:hint="cs"/>
          <w:sz w:val="16"/>
          <w:szCs w:val="16"/>
          <w:rtl/>
        </w:rPr>
        <w:t xml:space="preserve">(להב' הה"מ) </w:t>
      </w:r>
      <w:r w:rsidRPr="00A25FBA">
        <w:rPr>
          <w:rFonts w:cs="Arial" w:hint="cs"/>
          <w:rtl/>
        </w:rPr>
        <w:t>ו</w:t>
      </w:r>
      <w:r w:rsidRPr="00A25FBA">
        <w:rPr>
          <w:rFonts w:cs="Arial"/>
          <w:rtl/>
        </w:rPr>
        <w:t>רשב"א</w:t>
      </w:r>
      <w:r>
        <w:rPr>
          <w:rStyle w:val="a7"/>
          <w:rFonts w:cs="Arial"/>
          <w:rtl/>
        </w:rPr>
        <w:footnoteReference w:id="2017"/>
      </w:r>
      <w:r w:rsidRPr="00A25FBA">
        <w:rPr>
          <w:rFonts w:cs="Arial" w:hint="cs"/>
          <w:rtl/>
        </w:rPr>
        <w:t xml:space="preserve">- </w:t>
      </w:r>
      <w:r w:rsidRPr="00A25FBA">
        <w:rPr>
          <w:rFonts w:cs="Arial"/>
          <w:rtl/>
        </w:rPr>
        <w:t>כולן מותרות</w:t>
      </w:r>
      <w:r w:rsidRPr="00A25FBA">
        <w:rPr>
          <w:rFonts w:cs="Arial" w:hint="cs"/>
          <w:rtl/>
        </w:rPr>
        <w:t>,</w:t>
      </w:r>
      <w:r w:rsidRPr="00A25FBA">
        <w:rPr>
          <w:rFonts w:cs="Arial"/>
          <w:rtl/>
        </w:rPr>
        <w:t xml:space="preserve"> וכי קתני נתערבה באלף כולן אסורות אודאי קאי</w:t>
      </w:r>
      <w:r>
        <w:rPr>
          <w:rStyle w:val="a7"/>
          <w:rFonts w:cs="Arial"/>
          <w:rtl/>
        </w:rPr>
        <w:footnoteReference w:id="2018"/>
      </w:r>
      <w:r w:rsidRPr="00A25FBA">
        <w:rPr>
          <w:rFonts w:cs="Arial" w:hint="cs"/>
          <w:rtl/>
        </w:rPr>
        <w:t>.</w:t>
      </w:r>
    </w:p>
    <w:p w14:paraId="3F136C36" w14:textId="77777777" w:rsidR="002C39F4" w:rsidRDefault="002C39F4" w:rsidP="0032102C">
      <w:pPr>
        <w:pStyle w:val="a8"/>
        <w:numPr>
          <w:ilvl w:val="0"/>
          <w:numId w:val="210"/>
        </w:numPr>
        <w:rPr>
          <w:rFonts w:cs="Arial"/>
        </w:rPr>
      </w:pPr>
      <w:r w:rsidRPr="00A25FBA">
        <w:rPr>
          <w:rFonts w:cs="Arial" w:hint="cs"/>
          <w:rtl/>
        </w:rPr>
        <w:t xml:space="preserve">ראבי"ה </w:t>
      </w:r>
      <w:r>
        <w:rPr>
          <w:rFonts w:cs="Arial" w:hint="cs"/>
          <w:rtl/>
        </w:rPr>
        <w:t xml:space="preserve">מהר"ם רא"ש </w:t>
      </w:r>
      <w:r w:rsidRPr="00A25FBA">
        <w:rPr>
          <w:rFonts w:cs="Arial" w:hint="cs"/>
          <w:rtl/>
        </w:rPr>
        <w:t>שע"ד</w:t>
      </w:r>
      <w:r w:rsidRPr="00A25FBA">
        <w:rPr>
          <w:rFonts w:cs="Arial"/>
          <w:rtl/>
        </w:rPr>
        <w:t xml:space="preserve"> </w:t>
      </w:r>
      <w:r>
        <w:rPr>
          <w:rFonts w:cs="Arial" w:hint="cs"/>
          <w:rtl/>
        </w:rPr>
        <w:t>וטור</w:t>
      </w:r>
      <w:r>
        <w:rPr>
          <w:rStyle w:val="a7"/>
          <w:rFonts w:cs="Arial"/>
          <w:rtl/>
        </w:rPr>
        <w:footnoteReference w:id="2019"/>
      </w:r>
      <w:r w:rsidRPr="00A25FBA">
        <w:rPr>
          <w:rFonts w:cs="Arial" w:hint="cs"/>
          <w:rtl/>
        </w:rPr>
        <w:t xml:space="preserve">- </w:t>
      </w:r>
      <w:r>
        <w:rPr>
          <w:rFonts w:cs="Arial" w:hint="cs"/>
          <w:rtl/>
        </w:rPr>
        <w:t xml:space="preserve">אפילו נתערבה באלף </w:t>
      </w:r>
      <w:r w:rsidRPr="00A25FBA">
        <w:rPr>
          <w:rFonts w:cs="Arial" w:hint="cs"/>
          <w:rtl/>
        </w:rPr>
        <w:t>כולן אסורות</w:t>
      </w:r>
      <w:r>
        <w:rPr>
          <w:rStyle w:val="a7"/>
          <w:rFonts w:cs="Arial"/>
          <w:rtl/>
        </w:rPr>
        <w:footnoteReference w:id="2020"/>
      </w:r>
      <w:r w:rsidRPr="00A25FBA">
        <w:rPr>
          <w:rFonts w:cs="Arial" w:hint="cs"/>
          <w:rtl/>
        </w:rPr>
        <w:t>.</w:t>
      </w:r>
      <w:r w:rsidRPr="00C71586">
        <w:rPr>
          <w:rFonts w:cs="Arial" w:hint="cs"/>
          <w:color w:val="E36C0A" w:themeColor="accent6" w:themeShade="BF"/>
          <w:rtl/>
        </w:rPr>
        <w:t xml:space="preserve"> (וכ"פ בשו"ע</w:t>
      </w:r>
      <w:r>
        <w:rPr>
          <w:rFonts w:cs="Arial" w:hint="cs"/>
          <w:color w:val="E36C0A" w:themeColor="accent6" w:themeShade="BF"/>
          <w:sz w:val="16"/>
          <w:szCs w:val="16"/>
          <w:rtl/>
        </w:rPr>
        <w:t xml:space="preserve"> </w:t>
      </w:r>
      <w:r>
        <w:rPr>
          <w:rFonts w:cs="Arial" w:hint="cs"/>
          <w:color w:val="000000" w:themeColor="text1"/>
          <w:sz w:val="16"/>
          <w:szCs w:val="16"/>
          <w:rtl/>
        </w:rPr>
        <w:t>[כאן]</w:t>
      </w:r>
      <w:r w:rsidRPr="00C71586">
        <w:rPr>
          <w:rFonts w:cs="Arial" w:hint="cs"/>
          <w:color w:val="E36C0A" w:themeColor="accent6" w:themeShade="BF"/>
          <w:rtl/>
        </w:rPr>
        <w:t>)</w:t>
      </w:r>
      <w:r>
        <w:rPr>
          <w:rFonts w:cs="Arial" w:hint="cs"/>
          <w:rtl/>
        </w:rPr>
        <w:t xml:space="preserve"> </w:t>
      </w:r>
    </w:p>
    <w:p w14:paraId="672B34A6" w14:textId="77777777" w:rsidR="002C39F4" w:rsidRDefault="002C39F4" w:rsidP="002C39F4">
      <w:pPr>
        <w:ind w:left="360"/>
        <w:rPr>
          <w:rFonts w:cs="Arial"/>
          <w:rtl/>
        </w:rPr>
      </w:pPr>
      <w:r w:rsidRPr="008C4E09">
        <w:rPr>
          <w:rFonts w:cs="Arial" w:hint="cs"/>
          <w:u w:val="dotted"/>
          <w:rtl/>
        </w:rPr>
        <w:t>נתערבה בתבשיל:</w:t>
      </w:r>
      <w:r w:rsidRPr="008C4E09">
        <w:rPr>
          <w:rFonts w:cs="Arial" w:hint="cs"/>
          <w:sz w:val="16"/>
          <w:szCs w:val="16"/>
          <w:rtl/>
        </w:rPr>
        <w:t xml:space="preserve">   </w:t>
      </w:r>
      <w:r>
        <w:rPr>
          <w:rFonts w:cs="Arial" w:hint="cs"/>
          <w:sz w:val="16"/>
          <w:szCs w:val="16"/>
          <w:rtl/>
        </w:rPr>
        <w:t>(ב"י [או"ח סי' תקיג סע' ג]</w:t>
      </w:r>
      <w:r w:rsidRPr="007C7DF8">
        <w:rPr>
          <w:rFonts w:cs="Arial" w:hint="cs"/>
          <w:sz w:val="16"/>
          <w:szCs w:val="16"/>
          <w:rtl/>
        </w:rPr>
        <w:t xml:space="preserve"> </w:t>
      </w:r>
      <w:r>
        <w:rPr>
          <w:rFonts w:cs="Arial" w:hint="cs"/>
          <w:sz w:val="16"/>
          <w:szCs w:val="16"/>
          <w:rtl/>
        </w:rPr>
        <w:t>ודרכ"מ [אות א-ב])</w:t>
      </w:r>
    </w:p>
    <w:p w14:paraId="7F8FA6C2" w14:textId="77777777" w:rsidR="002C39F4" w:rsidRDefault="002C39F4" w:rsidP="0032102C">
      <w:pPr>
        <w:pStyle w:val="a8"/>
        <w:numPr>
          <w:ilvl w:val="0"/>
          <w:numId w:val="211"/>
        </w:numPr>
        <w:rPr>
          <w:rFonts w:cs="Arial"/>
        </w:rPr>
      </w:pPr>
      <w:r>
        <w:rPr>
          <w:rFonts w:cs="Arial" w:hint="cs"/>
          <w:rtl/>
        </w:rPr>
        <w:t xml:space="preserve">סמ"ג </w:t>
      </w:r>
      <w:r>
        <w:rPr>
          <w:rFonts w:cs="Arial" w:hint="cs"/>
          <w:sz w:val="16"/>
          <w:szCs w:val="16"/>
          <w:rtl/>
        </w:rPr>
        <w:t xml:space="preserve">(כ"כ האו"ה בשמו) </w:t>
      </w:r>
      <w:r w:rsidRPr="00EF36A4">
        <w:rPr>
          <w:rFonts w:cs="Arial"/>
          <w:rtl/>
        </w:rPr>
        <w:t xml:space="preserve">כל בו </w:t>
      </w:r>
      <w:r w:rsidRPr="00EF36A4">
        <w:rPr>
          <w:rFonts w:cs="Arial"/>
          <w:sz w:val="16"/>
          <w:szCs w:val="16"/>
          <w:rtl/>
        </w:rPr>
        <w:t>(סי' נח יט.)</w:t>
      </w:r>
      <w:r>
        <w:rPr>
          <w:rFonts w:cs="Arial" w:hint="cs"/>
          <w:rtl/>
        </w:rPr>
        <w:t xml:space="preserve"> ואו"ה </w:t>
      </w:r>
      <w:r>
        <w:rPr>
          <w:rFonts w:cs="Arial" w:hint="cs"/>
          <w:sz w:val="16"/>
          <w:szCs w:val="16"/>
          <w:rtl/>
        </w:rPr>
        <w:t>(כלל כה דכ"א)</w:t>
      </w:r>
      <w:r>
        <w:rPr>
          <w:rFonts w:cs="Arial" w:hint="cs"/>
          <w:rtl/>
        </w:rPr>
        <w:t>-</w:t>
      </w:r>
      <w:r w:rsidRPr="00EF36A4">
        <w:rPr>
          <w:rFonts w:cs="Arial"/>
          <w:rtl/>
        </w:rPr>
        <w:t xml:space="preserve"> </w:t>
      </w:r>
      <w:r w:rsidRPr="00AA20B2">
        <w:rPr>
          <w:rFonts w:cs="Arial"/>
          <w:rtl/>
        </w:rPr>
        <w:t>ביצה שנולדה ביו</w:t>
      </w:r>
      <w:r w:rsidRPr="00AA20B2">
        <w:rPr>
          <w:rFonts w:cs="Arial" w:hint="cs"/>
          <w:rtl/>
        </w:rPr>
        <w:t>"</w:t>
      </w:r>
      <w:r w:rsidRPr="00AA20B2">
        <w:rPr>
          <w:rFonts w:cs="Arial"/>
          <w:rtl/>
        </w:rPr>
        <w:t xml:space="preserve">ט שנתבשלה </w:t>
      </w:r>
      <w:r w:rsidRPr="00EF36A4">
        <w:rPr>
          <w:rFonts w:cs="Arial"/>
          <w:rtl/>
        </w:rPr>
        <w:t>בשוגג בו ביום עם בשר ותבשיל הכל מותר</w:t>
      </w:r>
      <w:r>
        <w:rPr>
          <w:rStyle w:val="a7"/>
          <w:rFonts w:cs="Arial"/>
          <w:rtl/>
        </w:rPr>
        <w:footnoteReference w:id="2021"/>
      </w:r>
      <w:r>
        <w:rPr>
          <w:rFonts w:cs="Arial" w:hint="cs"/>
          <w:rtl/>
        </w:rPr>
        <w:t>,</w:t>
      </w:r>
      <w:r w:rsidRPr="00EF36A4">
        <w:rPr>
          <w:rFonts w:cs="Arial"/>
          <w:rtl/>
        </w:rPr>
        <w:t xml:space="preserve"> חוץ מן הביצה שמניח עד למחר</w:t>
      </w:r>
      <w:r>
        <w:rPr>
          <w:rStyle w:val="a7"/>
          <w:rFonts w:cs="Arial"/>
          <w:rtl/>
        </w:rPr>
        <w:footnoteReference w:id="2022"/>
      </w:r>
      <w:r>
        <w:rPr>
          <w:rFonts w:cs="Arial" w:hint="cs"/>
          <w:rtl/>
        </w:rPr>
        <w:t xml:space="preserve">. </w:t>
      </w:r>
      <w:r w:rsidRPr="00C71586">
        <w:rPr>
          <w:rFonts w:cs="Arial" w:hint="cs"/>
          <w:color w:val="E36C0A" w:themeColor="accent6" w:themeShade="BF"/>
          <w:rtl/>
        </w:rPr>
        <w:t>(וכ"פ בשו"ע</w:t>
      </w:r>
      <w:r>
        <w:rPr>
          <w:rFonts w:cs="Arial" w:hint="cs"/>
          <w:sz w:val="16"/>
          <w:szCs w:val="16"/>
          <w:rtl/>
        </w:rPr>
        <w:t xml:space="preserve"> [או"ח סי' תקיג ס"ג]</w:t>
      </w:r>
      <w:r w:rsidRPr="00C71586">
        <w:rPr>
          <w:rFonts w:cs="Arial" w:hint="cs"/>
          <w:color w:val="E36C0A" w:themeColor="accent6" w:themeShade="BF"/>
          <w:rtl/>
        </w:rPr>
        <w:t>)</w:t>
      </w:r>
      <w:r>
        <w:rPr>
          <w:rFonts w:cs="Arial" w:hint="cs"/>
          <w:rtl/>
        </w:rPr>
        <w:t xml:space="preserve"> </w:t>
      </w:r>
    </w:p>
    <w:p w14:paraId="44FD543E" w14:textId="77777777" w:rsidR="002C39F4" w:rsidRPr="00AC4C2A" w:rsidRDefault="002C39F4" w:rsidP="002C39F4">
      <w:pPr>
        <w:ind w:left="360"/>
        <w:rPr>
          <w:rFonts w:cs="Arial"/>
        </w:rPr>
      </w:pPr>
      <w:r w:rsidRPr="008C4E09">
        <w:rPr>
          <w:rFonts w:cs="Arial" w:hint="cs"/>
          <w:u w:val="dotted"/>
          <w:rtl/>
        </w:rPr>
        <w:t>נתערבה בתבשיל</w:t>
      </w:r>
      <w:r>
        <w:rPr>
          <w:rFonts w:cs="Arial" w:hint="cs"/>
          <w:u w:val="dotted"/>
          <w:rtl/>
        </w:rPr>
        <w:t xml:space="preserve"> שאינו מינו</w:t>
      </w:r>
      <w:r w:rsidRPr="008C4E09">
        <w:rPr>
          <w:rFonts w:cs="Arial" w:hint="cs"/>
          <w:u w:val="dotted"/>
          <w:rtl/>
        </w:rPr>
        <w:t>:</w:t>
      </w:r>
      <w:r w:rsidRPr="008C4E09">
        <w:rPr>
          <w:rFonts w:cs="Arial" w:hint="cs"/>
          <w:sz w:val="16"/>
          <w:szCs w:val="16"/>
          <w:rtl/>
        </w:rPr>
        <w:t xml:space="preserve">   </w:t>
      </w:r>
      <w:r>
        <w:rPr>
          <w:rFonts w:cs="Arial" w:hint="cs"/>
          <w:sz w:val="16"/>
          <w:szCs w:val="16"/>
          <w:rtl/>
        </w:rPr>
        <w:t>(ב"י [כאן {סע' ד} ובאו"ח סי' תקיג סע' ג]</w:t>
      </w:r>
      <w:r w:rsidRPr="007C7DF8">
        <w:rPr>
          <w:rFonts w:cs="Arial" w:hint="cs"/>
          <w:sz w:val="16"/>
          <w:szCs w:val="16"/>
          <w:rtl/>
        </w:rPr>
        <w:t xml:space="preserve"> </w:t>
      </w:r>
      <w:r>
        <w:rPr>
          <w:rFonts w:cs="Arial" w:hint="cs"/>
          <w:sz w:val="16"/>
          <w:szCs w:val="16"/>
          <w:rtl/>
        </w:rPr>
        <w:t>ודרכ"מ [אות א-ב])</w:t>
      </w:r>
    </w:p>
    <w:p w14:paraId="45959A6D" w14:textId="77777777" w:rsidR="002C39F4" w:rsidRPr="00AC4C2A" w:rsidRDefault="002C39F4" w:rsidP="0032102C">
      <w:pPr>
        <w:pStyle w:val="a8"/>
        <w:numPr>
          <w:ilvl w:val="0"/>
          <w:numId w:val="211"/>
        </w:numPr>
        <w:rPr>
          <w:rFonts w:cs="Arial"/>
          <w:rtl/>
        </w:rPr>
      </w:pPr>
      <w:r>
        <w:rPr>
          <w:rFonts w:cs="Arial" w:hint="cs"/>
          <w:rtl/>
        </w:rPr>
        <w:t xml:space="preserve">ר"ת </w:t>
      </w:r>
      <w:r w:rsidRPr="00D629F8">
        <w:rPr>
          <w:rFonts w:cs="Arial"/>
          <w:rtl/>
        </w:rPr>
        <w:t>רמב"ם רשב"א ר"ן</w:t>
      </w:r>
      <w:r w:rsidRPr="006D2742">
        <w:rPr>
          <w:rFonts w:cs="Arial"/>
          <w:rtl/>
        </w:rPr>
        <w:t xml:space="preserve"> </w:t>
      </w:r>
      <w:r>
        <w:rPr>
          <w:rFonts w:cs="Arial"/>
          <w:rtl/>
        </w:rPr>
        <w:t>או"ה</w:t>
      </w:r>
      <w:r>
        <w:rPr>
          <w:rFonts w:cs="Arial" w:hint="cs"/>
          <w:rtl/>
        </w:rPr>
        <w:t xml:space="preserve"> ורי"ו</w:t>
      </w:r>
      <w:r>
        <w:rPr>
          <w:rStyle w:val="a7"/>
          <w:rFonts w:cs="Arial"/>
          <w:rtl/>
        </w:rPr>
        <w:footnoteReference w:id="2023"/>
      </w:r>
      <w:r>
        <w:rPr>
          <w:rFonts w:cs="Arial" w:hint="cs"/>
          <w:rtl/>
        </w:rPr>
        <w:t>-</w:t>
      </w:r>
      <w:r w:rsidRPr="00D629F8">
        <w:rPr>
          <w:rFonts w:cs="Arial" w:hint="cs"/>
          <w:rtl/>
        </w:rPr>
        <w:t xml:space="preserve"> </w:t>
      </w:r>
      <w:r w:rsidRPr="00D629F8">
        <w:rPr>
          <w:rFonts w:cs="Arial"/>
          <w:rtl/>
        </w:rPr>
        <w:t>הא דדבר שיש לו מתירין אפי</w:t>
      </w:r>
      <w:r>
        <w:rPr>
          <w:rFonts w:cs="Arial" w:hint="cs"/>
          <w:rtl/>
        </w:rPr>
        <w:t>לו</w:t>
      </w:r>
      <w:r w:rsidRPr="00D629F8">
        <w:rPr>
          <w:rFonts w:cs="Arial"/>
          <w:rtl/>
        </w:rPr>
        <w:t xml:space="preserve"> באלף לא בטיל דוקא במינו אבל שלא במינו בטיל</w:t>
      </w:r>
      <w:r>
        <w:rPr>
          <w:rFonts w:cs="Arial" w:hint="cs"/>
          <w:sz w:val="16"/>
          <w:szCs w:val="16"/>
          <w:rtl/>
        </w:rPr>
        <w:t xml:space="preserve"> (כמפורש בנדרים ובירושלמי לעיל)</w:t>
      </w:r>
      <w:r w:rsidRPr="00D629F8">
        <w:rPr>
          <w:rFonts w:cs="Arial" w:hint="cs"/>
          <w:rtl/>
        </w:rPr>
        <w:t>.</w:t>
      </w:r>
      <w:r w:rsidRPr="00D629F8">
        <w:rPr>
          <w:rFonts w:cs="Arial"/>
          <w:rtl/>
        </w:rPr>
        <w:t xml:space="preserve"> </w:t>
      </w:r>
      <w:r w:rsidRPr="00C71586">
        <w:rPr>
          <w:rFonts w:cs="Arial" w:hint="cs"/>
          <w:color w:val="E36C0A" w:themeColor="accent6" w:themeShade="BF"/>
          <w:rtl/>
        </w:rPr>
        <w:t>(וכ"פ בשו"ע</w:t>
      </w:r>
      <w:r>
        <w:rPr>
          <w:rFonts w:cs="Arial" w:hint="cs"/>
          <w:color w:val="E36C0A" w:themeColor="accent6" w:themeShade="BF"/>
          <w:sz w:val="16"/>
          <w:szCs w:val="16"/>
          <w:rtl/>
        </w:rPr>
        <w:t xml:space="preserve"> </w:t>
      </w:r>
      <w:r>
        <w:rPr>
          <w:rFonts w:cs="Arial" w:hint="cs"/>
          <w:color w:val="000000" w:themeColor="text1"/>
          <w:sz w:val="16"/>
          <w:szCs w:val="16"/>
          <w:rtl/>
        </w:rPr>
        <w:t>[כאן]</w:t>
      </w:r>
      <w:r w:rsidRPr="00C71586">
        <w:rPr>
          <w:rFonts w:cs="Arial" w:hint="cs"/>
          <w:color w:val="E36C0A" w:themeColor="accent6" w:themeShade="BF"/>
          <w:rtl/>
        </w:rPr>
        <w:t>)</w:t>
      </w:r>
      <w:r>
        <w:rPr>
          <w:rFonts w:cs="Arial" w:hint="cs"/>
          <w:rtl/>
        </w:rPr>
        <w:t xml:space="preserve"> </w:t>
      </w:r>
    </w:p>
    <w:p w14:paraId="17522184" w14:textId="77777777" w:rsidR="002C39F4" w:rsidRDefault="002C39F4" w:rsidP="002C39F4">
      <w:pPr>
        <w:ind w:left="360"/>
        <w:rPr>
          <w:rFonts w:cs="Arial"/>
          <w:rtl/>
        </w:rPr>
      </w:pPr>
      <w:r w:rsidRPr="001A24AF">
        <w:rPr>
          <w:rFonts w:cs="Arial" w:hint="cs"/>
          <w:u w:val="dotted"/>
          <w:rtl/>
        </w:rPr>
        <w:t>נתערבה בתבשיל</w:t>
      </w:r>
      <w:r>
        <w:rPr>
          <w:rFonts w:cs="Arial" w:hint="cs"/>
          <w:u w:val="dotted"/>
          <w:rtl/>
        </w:rPr>
        <w:t xml:space="preserve"> שאינו מינו </w:t>
      </w:r>
      <w:r>
        <w:rPr>
          <w:rFonts w:cs="Arial"/>
          <w:u w:val="dotted"/>
          <w:rtl/>
        </w:rPr>
        <w:t>–</w:t>
      </w:r>
      <w:r>
        <w:rPr>
          <w:rFonts w:cs="Arial" w:hint="cs"/>
          <w:u w:val="dotted"/>
          <w:rtl/>
        </w:rPr>
        <w:t xml:space="preserve"> אך נותנת חזותא וטעמא</w:t>
      </w:r>
      <w:r w:rsidRPr="001A24AF">
        <w:rPr>
          <w:rFonts w:cs="Arial" w:hint="cs"/>
          <w:u w:val="dotted"/>
          <w:rtl/>
        </w:rPr>
        <w:t>:</w:t>
      </w:r>
      <w:r w:rsidRPr="001A24AF">
        <w:rPr>
          <w:rFonts w:cs="Arial" w:hint="cs"/>
          <w:sz w:val="16"/>
          <w:szCs w:val="16"/>
          <w:rtl/>
        </w:rPr>
        <w:t xml:space="preserve"> </w:t>
      </w:r>
      <w:r>
        <w:rPr>
          <w:rFonts w:cs="Arial" w:hint="cs"/>
          <w:sz w:val="16"/>
          <w:szCs w:val="16"/>
          <w:rtl/>
        </w:rPr>
        <w:t xml:space="preserve">  (טור [או"ח סי' תקיג, ויו"ד סי' קב] וב"י [או"ח סי' תקיג סע' ג])</w:t>
      </w:r>
    </w:p>
    <w:p w14:paraId="44DC773B" w14:textId="77777777" w:rsidR="002C39F4" w:rsidRDefault="002C39F4" w:rsidP="0032102C">
      <w:pPr>
        <w:pStyle w:val="a8"/>
        <w:numPr>
          <w:ilvl w:val="0"/>
          <w:numId w:val="211"/>
        </w:numPr>
        <w:rPr>
          <w:rFonts w:cs="Arial"/>
        </w:rPr>
      </w:pPr>
      <w:r w:rsidRPr="00A25FBA">
        <w:rPr>
          <w:rFonts w:cs="Arial" w:hint="cs"/>
          <w:rtl/>
        </w:rPr>
        <w:t xml:space="preserve">ראבי"ה </w:t>
      </w:r>
      <w:r>
        <w:rPr>
          <w:rFonts w:cs="Arial" w:hint="cs"/>
          <w:rtl/>
        </w:rPr>
        <w:t xml:space="preserve">מהר"ם </w:t>
      </w:r>
      <w:r w:rsidRPr="00A25FBA">
        <w:rPr>
          <w:rFonts w:cs="Arial" w:hint="cs"/>
          <w:rtl/>
        </w:rPr>
        <w:t>שע"ד</w:t>
      </w:r>
      <w:r w:rsidRPr="00A25FBA">
        <w:rPr>
          <w:rFonts w:cs="Arial"/>
          <w:rtl/>
        </w:rPr>
        <w:t xml:space="preserve"> </w:t>
      </w:r>
      <w:r w:rsidRPr="00182097">
        <w:rPr>
          <w:rFonts w:cs="Arial"/>
          <w:rtl/>
        </w:rPr>
        <w:t xml:space="preserve">מהרא"י </w:t>
      </w:r>
      <w:r>
        <w:rPr>
          <w:rFonts w:cs="Arial" w:hint="cs"/>
          <w:rtl/>
        </w:rPr>
        <w:t>ואו</w:t>
      </w:r>
      <w:r>
        <w:rPr>
          <w:rFonts w:cs="Arial"/>
          <w:rtl/>
        </w:rPr>
        <w:t>"</w:t>
      </w:r>
      <w:r>
        <w:rPr>
          <w:rFonts w:cs="Arial" w:hint="cs"/>
          <w:rtl/>
        </w:rPr>
        <w:t>ה</w:t>
      </w:r>
      <w:r>
        <w:rPr>
          <w:rStyle w:val="a7"/>
          <w:rFonts w:cs="Arial"/>
          <w:rtl/>
        </w:rPr>
        <w:footnoteReference w:id="2024"/>
      </w:r>
      <w:r w:rsidRPr="00A25FBA">
        <w:rPr>
          <w:rFonts w:cs="Arial" w:hint="cs"/>
          <w:rtl/>
        </w:rPr>
        <w:t xml:space="preserve">- </w:t>
      </w:r>
      <w:r w:rsidRPr="00A25FBA">
        <w:rPr>
          <w:rFonts w:cs="Arial"/>
          <w:rtl/>
        </w:rPr>
        <w:t>קבלתי מרבותי שאם ל</w:t>
      </w:r>
      <w:r>
        <w:rPr>
          <w:rFonts w:cs="Arial" w:hint="cs"/>
          <w:rtl/>
        </w:rPr>
        <w:t>י</w:t>
      </w:r>
      <w:r w:rsidRPr="00A25FBA">
        <w:rPr>
          <w:rFonts w:cs="Arial"/>
          <w:rtl/>
        </w:rPr>
        <w:t>בנו בביצה שנולד</w:t>
      </w:r>
      <w:r>
        <w:rPr>
          <w:rFonts w:cs="Arial" w:hint="cs"/>
          <w:rtl/>
        </w:rPr>
        <w:t>ה</w:t>
      </w:r>
      <w:r w:rsidRPr="00A25FBA">
        <w:rPr>
          <w:rFonts w:cs="Arial"/>
          <w:rtl/>
        </w:rPr>
        <w:t xml:space="preserve"> בי</w:t>
      </w:r>
      <w:r>
        <w:rPr>
          <w:rFonts w:cs="Arial" w:hint="cs"/>
          <w:rtl/>
        </w:rPr>
        <w:t>ו"</w:t>
      </w:r>
      <w:r w:rsidRPr="00A25FBA">
        <w:rPr>
          <w:rFonts w:cs="Arial"/>
          <w:rtl/>
        </w:rPr>
        <w:t>ט</w:t>
      </w:r>
      <w:r>
        <w:rPr>
          <w:rStyle w:val="a7"/>
          <w:rFonts w:cs="Arial"/>
          <w:rtl/>
        </w:rPr>
        <w:footnoteReference w:id="2025"/>
      </w:r>
      <w:r w:rsidRPr="00A25FBA">
        <w:rPr>
          <w:rFonts w:cs="Arial"/>
          <w:rtl/>
        </w:rPr>
        <w:t xml:space="preserve"> את המרק דלא משערינן ליה בששים, חדא דלחזותא ולטעמא היא דעביד ולא בטיל</w:t>
      </w:r>
      <w:r>
        <w:rPr>
          <w:rStyle w:val="a7"/>
          <w:rFonts w:cs="Arial"/>
          <w:rtl/>
        </w:rPr>
        <w:footnoteReference w:id="2026"/>
      </w:r>
      <w:r w:rsidRPr="00A25FBA">
        <w:rPr>
          <w:rFonts w:cs="Arial"/>
          <w:rtl/>
        </w:rPr>
        <w:t>,</w:t>
      </w:r>
      <w:r w:rsidRPr="00E7403F">
        <w:rPr>
          <w:rStyle w:val="a7"/>
          <w:rFonts w:cs="Arial"/>
          <w:rtl/>
        </w:rPr>
        <w:t xml:space="preserve"> </w:t>
      </w:r>
      <w:r w:rsidRPr="00A25FBA">
        <w:rPr>
          <w:rFonts w:cs="Arial"/>
          <w:rtl/>
        </w:rPr>
        <w:t>ותו דבר שיש לו מתירין הוא ואפילו באלף לא בטיל, וכן כל ירק העשוי להטעים</w:t>
      </w:r>
      <w:r>
        <w:rPr>
          <w:rFonts w:cs="Arial" w:hint="cs"/>
          <w:rtl/>
        </w:rPr>
        <w:t xml:space="preserve"> </w:t>
      </w:r>
      <w:r w:rsidRPr="00A25FBA">
        <w:rPr>
          <w:rFonts w:cs="Arial" w:hint="cs"/>
          <w:sz w:val="16"/>
          <w:szCs w:val="16"/>
          <w:rtl/>
        </w:rPr>
        <w:t>(ל' ראבי"ה)</w:t>
      </w:r>
      <w:r w:rsidRPr="00D629F8">
        <w:rPr>
          <w:rFonts w:cs="Arial" w:hint="cs"/>
          <w:rtl/>
        </w:rPr>
        <w:t>.</w:t>
      </w:r>
      <w:r w:rsidRPr="00C71586">
        <w:rPr>
          <w:rFonts w:cs="Arial" w:hint="cs"/>
          <w:color w:val="00B0F0"/>
          <w:rtl/>
        </w:rPr>
        <w:t xml:space="preserve"> </w:t>
      </w:r>
      <w:r w:rsidRPr="00C71586">
        <w:rPr>
          <w:rFonts w:cs="Arial" w:hint="cs"/>
          <w:color w:val="E36C0A" w:themeColor="accent6" w:themeShade="BF"/>
          <w:rtl/>
        </w:rPr>
        <w:t>(וכ"פ בשו"ע</w:t>
      </w:r>
      <w:r>
        <w:rPr>
          <w:rFonts w:cs="Arial" w:hint="cs"/>
          <w:sz w:val="16"/>
          <w:szCs w:val="16"/>
          <w:rtl/>
        </w:rPr>
        <w:t xml:space="preserve"> [או"ח תקיג סע' ג]</w:t>
      </w:r>
      <w:r w:rsidRPr="00C71586">
        <w:rPr>
          <w:rFonts w:cs="Arial" w:hint="cs"/>
          <w:color w:val="E36C0A" w:themeColor="accent6" w:themeShade="BF"/>
          <w:rtl/>
        </w:rPr>
        <w:t>)</w:t>
      </w:r>
      <w:r w:rsidRPr="00D72B75">
        <w:rPr>
          <w:rFonts w:cs="Arial" w:hint="cs"/>
          <w:color w:val="00B0F0"/>
          <w:rtl/>
        </w:rPr>
        <w:t xml:space="preserve"> </w:t>
      </w:r>
      <w:r w:rsidRPr="00C71586">
        <w:rPr>
          <w:rFonts w:cs="Arial" w:hint="cs"/>
          <w:color w:val="00B0F0"/>
          <w:rtl/>
        </w:rPr>
        <w:t>(וכ"פ הרמ"א</w:t>
      </w:r>
      <w:r>
        <w:rPr>
          <w:rFonts w:cs="Arial" w:hint="cs"/>
          <w:sz w:val="16"/>
          <w:szCs w:val="16"/>
          <w:rtl/>
        </w:rPr>
        <w:t xml:space="preserve"> [כאן]</w:t>
      </w:r>
      <w:r w:rsidRPr="00C71586">
        <w:rPr>
          <w:rFonts w:cs="Arial" w:hint="cs"/>
          <w:color w:val="00B0F0"/>
          <w:rtl/>
        </w:rPr>
        <w:t>)</w:t>
      </w:r>
    </w:p>
    <w:p w14:paraId="58D6E7B3" w14:textId="77777777" w:rsidR="002C39F4" w:rsidRDefault="002C39F4" w:rsidP="0032102C">
      <w:pPr>
        <w:pStyle w:val="a8"/>
        <w:numPr>
          <w:ilvl w:val="0"/>
          <w:numId w:val="211"/>
        </w:numPr>
        <w:rPr>
          <w:rFonts w:cs="Arial"/>
        </w:rPr>
      </w:pPr>
      <w:r>
        <w:rPr>
          <w:rFonts w:hint="cs"/>
          <w:rtl/>
        </w:rPr>
        <w:t xml:space="preserve">(ר"ת וסיעתו </w:t>
      </w:r>
      <w:r w:rsidRPr="00D66EDC">
        <w:rPr>
          <w:rFonts w:hint="cs"/>
          <w:sz w:val="16"/>
          <w:szCs w:val="16"/>
          <w:rtl/>
        </w:rPr>
        <w:t>להב' הטור</w:t>
      </w:r>
      <w:r>
        <w:rPr>
          <w:rFonts w:hint="cs"/>
          <w:rtl/>
        </w:rPr>
        <w:t xml:space="preserve">)- </w:t>
      </w:r>
      <w:r>
        <w:rPr>
          <w:rFonts w:cs="Arial" w:hint="cs"/>
          <w:rtl/>
        </w:rPr>
        <w:t xml:space="preserve">אם נתערב בשאינו מינו </w:t>
      </w:r>
      <w:r w:rsidRPr="00182097">
        <w:rPr>
          <w:rFonts w:cs="Arial"/>
          <w:rtl/>
        </w:rPr>
        <w:t xml:space="preserve">התבשיל מותר אם יש בו </w:t>
      </w:r>
      <w:r w:rsidRPr="008C4E09">
        <w:rPr>
          <w:rFonts w:cs="Arial" w:hint="cs"/>
          <w:rtl/>
        </w:rPr>
        <w:t>ששים אפי' באה הביצה ליתן חזותא וטעמא</w:t>
      </w:r>
      <w:r>
        <w:rPr>
          <w:rFonts w:cs="Arial" w:hint="cs"/>
          <w:rtl/>
        </w:rPr>
        <w:t>,</w:t>
      </w:r>
      <w:r w:rsidRPr="00182097">
        <w:rPr>
          <w:rFonts w:cs="Arial"/>
          <w:rtl/>
        </w:rPr>
        <w:t xml:space="preserve"> כיון שלא כיון לבטל</w:t>
      </w:r>
      <w:r>
        <w:rPr>
          <w:rFonts w:cs="Arial" w:hint="cs"/>
          <w:rtl/>
        </w:rPr>
        <w:t xml:space="preserve">, דקיי"ל </w:t>
      </w:r>
      <w:r w:rsidRPr="00182097">
        <w:rPr>
          <w:rFonts w:cs="Arial"/>
          <w:rtl/>
        </w:rPr>
        <w:t xml:space="preserve">דדבר שיש לו מתירין </w:t>
      </w:r>
      <w:r>
        <w:rPr>
          <w:rFonts w:cs="Arial" w:hint="cs"/>
          <w:rtl/>
        </w:rPr>
        <w:t>ש</w:t>
      </w:r>
      <w:r w:rsidRPr="00182097">
        <w:rPr>
          <w:rFonts w:cs="Arial"/>
          <w:rtl/>
        </w:rPr>
        <w:t>נתערב בשאינו מינו טעמו בטל ב</w:t>
      </w:r>
      <w:r>
        <w:rPr>
          <w:rFonts w:cs="Arial" w:hint="cs"/>
          <w:rtl/>
        </w:rPr>
        <w:t>ששים</w:t>
      </w:r>
      <w:r>
        <w:rPr>
          <w:rStyle w:val="a7"/>
          <w:rFonts w:cs="Arial"/>
          <w:rtl/>
        </w:rPr>
        <w:footnoteReference w:id="2027"/>
      </w:r>
      <w:r w:rsidRPr="001A24AF">
        <w:rPr>
          <w:rFonts w:cs="Arial" w:hint="cs"/>
          <w:rtl/>
        </w:rPr>
        <w:t>.</w:t>
      </w:r>
      <w:r>
        <w:rPr>
          <w:rFonts w:cs="Arial" w:hint="cs"/>
          <w:rtl/>
        </w:rPr>
        <w:t xml:space="preserve"> </w:t>
      </w:r>
    </w:p>
    <w:p w14:paraId="4783B2FE" w14:textId="77777777" w:rsidR="002C39F4" w:rsidRPr="00B408D6" w:rsidRDefault="002C39F4" w:rsidP="002C39F4">
      <w:pPr>
        <w:rPr>
          <w:rFonts w:cs="Arial"/>
          <w:u w:val="dotted"/>
        </w:rPr>
      </w:pPr>
      <w:r w:rsidRPr="00D66EDC">
        <w:rPr>
          <w:rFonts w:cs="Arial" w:hint="cs"/>
          <w:u w:val="single"/>
          <w:rtl/>
        </w:rPr>
        <w:t xml:space="preserve">דברים הצריכים זה לזה </w:t>
      </w:r>
      <w:r w:rsidRPr="00D66EDC">
        <w:rPr>
          <w:rFonts w:cs="Arial"/>
          <w:u w:val="single"/>
          <w:rtl/>
        </w:rPr>
        <w:t>–</w:t>
      </w:r>
      <w:r w:rsidRPr="00D66EDC">
        <w:rPr>
          <w:rFonts w:cs="Arial" w:hint="cs"/>
          <w:u w:val="single"/>
          <w:rtl/>
        </w:rPr>
        <w:t xml:space="preserve"> האם חשיבי מין במינו:</w:t>
      </w:r>
      <w:r w:rsidRPr="001F1490">
        <w:rPr>
          <w:rFonts w:cs="Arial" w:hint="cs"/>
          <w:sz w:val="16"/>
          <w:szCs w:val="16"/>
          <w:rtl/>
        </w:rPr>
        <w:t xml:space="preserve"> </w:t>
      </w:r>
      <w:r>
        <w:rPr>
          <w:rFonts w:cs="Arial" w:hint="cs"/>
          <w:sz w:val="16"/>
          <w:szCs w:val="16"/>
          <w:rtl/>
        </w:rPr>
        <w:t xml:space="preserve"> (ב"י [כאן])</w:t>
      </w:r>
    </w:p>
    <w:p w14:paraId="22768282" w14:textId="77777777" w:rsidR="002C39F4" w:rsidRDefault="002C39F4" w:rsidP="0032102C">
      <w:pPr>
        <w:pStyle w:val="a8"/>
        <w:numPr>
          <w:ilvl w:val="0"/>
          <w:numId w:val="211"/>
        </w:numPr>
        <w:rPr>
          <w:rFonts w:cs="Arial"/>
        </w:rPr>
      </w:pPr>
      <w:r>
        <w:rPr>
          <w:rFonts w:cs="Arial" w:hint="cs"/>
          <w:rtl/>
        </w:rPr>
        <w:t>תוס'</w:t>
      </w:r>
      <w:r>
        <w:rPr>
          <w:rFonts w:cs="Arial" w:hint="cs"/>
          <w:sz w:val="16"/>
          <w:szCs w:val="16"/>
          <w:rtl/>
        </w:rPr>
        <w:t xml:space="preserve"> (בתירוץ השני)</w:t>
      </w:r>
      <w:r>
        <w:rPr>
          <w:rFonts w:cs="Arial" w:hint="cs"/>
          <w:rtl/>
        </w:rPr>
        <w:t xml:space="preserve"> רי"ו</w:t>
      </w:r>
      <w:r w:rsidRPr="00EF36A4">
        <w:rPr>
          <w:rFonts w:cs="Arial"/>
          <w:rtl/>
        </w:rPr>
        <w:t xml:space="preserve"> </w:t>
      </w:r>
      <w:r>
        <w:rPr>
          <w:rFonts w:cs="Arial" w:hint="cs"/>
          <w:rtl/>
        </w:rPr>
        <w:t>ו</w:t>
      </w:r>
      <w:r w:rsidRPr="00182097">
        <w:rPr>
          <w:rFonts w:cs="Arial"/>
          <w:rtl/>
        </w:rPr>
        <w:t>ר"ן</w:t>
      </w:r>
      <w:r>
        <w:rPr>
          <w:rStyle w:val="a7"/>
          <w:rFonts w:cs="Arial"/>
          <w:rtl/>
        </w:rPr>
        <w:footnoteReference w:id="2028"/>
      </w:r>
      <w:r>
        <w:rPr>
          <w:rFonts w:cs="Arial" w:hint="cs"/>
          <w:rtl/>
        </w:rPr>
        <w:t xml:space="preserve">- </w:t>
      </w:r>
      <w:r w:rsidRPr="00EF36A4">
        <w:rPr>
          <w:rFonts w:cs="Arial"/>
          <w:rtl/>
        </w:rPr>
        <w:t>כל דבר שצריך זה לזה כגון מים ומלח בעיסה חשוב מין במינו ואם אחד אסור ויש לו מתירין ונתערב בחבירו היתר אפילו נתערבו אח</w:t>
      </w:r>
      <w:r>
        <w:rPr>
          <w:rFonts w:cs="Arial" w:hint="cs"/>
          <w:rtl/>
        </w:rPr>
        <w:t>"</w:t>
      </w:r>
      <w:r w:rsidRPr="00EF36A4">
        <w:rPr>
          <w:rFonts w:cs="Arial"/>
          <w:rtl/>
        </w:rPr>
        <w:t>כ באלף לא בטלי</w:t>
      </w:r>
      <w:r w:rsidRPr="00F45841">
        <w:rPr>
          <w:rStyle w:val="a7"/>
          <w:rFonts w:cs="Arial"/>
          <w:rtl/>
        </w:rPr>
        <w:footnoteReference w:id="2029"/>
      </w:r>
      <w:r>
        <w:rPr>
          <w:rFonts w:cs="Arial" w:hint="cs"/>
          <w:sz w:val="16"/>
          <w:szCs w:val="16"/>
          <w:rtl/>
        </w:rPr>
        <w:t xml:space="preserve"> (ל' הב"י)</w:t>
      </w:r>
      <w:r>
        <w:rPr>
          <w:rFonts w:cs="Arial" w:hint="cs"/>
          <w:rtl/>
        </w:rPr>
        <w:t xml:space="preserve">. </w:t>
      </w:r>
    </w:p>
    <w:p w14:paraId="37796C9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8480C56" w14:textId="77777777" w:rsidR="002C39F4" w:rsidRDefault="002C39F4" w:rsidP="002C39F4">
      <w:pPr>
        <w:rPr>
          <w:rFonts w:asciiTheme="minorBidi" w:hAnsiTheme="minorBidi"/>
          <w:rtl/>
        </w:rPr>
      </w:pPr>
      <w:r w:rsidRPr="003024E5">
        <w:rPr>
          <w:rFonts w:asciiTheme="minorBidi" w:hAnsiTheme="minorBidi"/>
          <w:rtl/>
        </w:rPr>
        <w:t>כל דבר שיש לו מתירין כגון ביצה שנולדה ביום טוב שראויה למחר אם נתערבה באחרות בין שלימה</w:t>
      </w:r>
      <w:r>
        <w:rPr>
          <w:rStyle w:val="a7"/>
          <w:rFonts w:asciiTheme="minorBidi" w:hAnsiTheme="minorBidi"/>
          <w:rtl/>
        </w:rPr>
        <w:footnoteReference w:id="2030"/>
      </w:r>
      <w:r w:rsidRPr="003024E5">
        <w:rPr>
          <w:rFonts w:asciiTheme="minorBidi" w:hAnsiTheme="minorBidi"/>
          <w:rtl/>
        </w:rPr>
        <w:t xml:space="preserve"> בין טרופה אינה בטלה אפילו באלף</w:t>
      </w:r>
      <w:r>
        <w:rPr>
          <w:rFonts w:asciiTheme="minorBidi" w:hAnsiTheme="minorBidi" w:hint="cs"/>
          <w:rtl/>
        </w:rPr>
        <w:t>,</w:t>
      </w:r>
      <w:r w:rsidRPr="003024E5">
        <w:rPr>
          <w:rFonts w:asciiTheme="minorBidi" w:hAnsiTheme="minorBidi"/>
          <w:rtl/>
        </w:rPr>
        <w:t xml:space="preserve"> ואפילו ספק נולדה ביום טוב ונתערבה באחרות</w:t>
      </w:r>
      <w:r>
        <w:rPr>
          <w:rFonts w:asciiTheme="minorBidi" w:hAnsiTheme="minorBidi" w:hint="cs"/>
          <w:rtl/>
        </w:rPr>
        <w:t>,</w:t>
      </w:r>
      <w:r w:rsidRPr="003024E5">
        <w:rPr>
          <w:rFonts w:asciiTheme="minorBidi" w:hAnsiTheme="minorBidi"/>
          <w:rtl/>
        </w:rPr>
        <w:t xml:space="preserve"> אסורות</w:t>
      </w:r>
      <w:r>
        <w:rPr>
          <w:rStyle w:val="a7"/>
          <w:rFonts w:asciiTheme="minorBidi" w:hAnsiTheme="minorBidi"/>
          <w:rtl/>
        </w:rPr>
        <w:footnoteReference w:id="2031"/>
      </w:r>
      <w:r>
        <w:rPr>
          <w:rFonts w:asciiTheme="minorBidi" w:hAnsiTheme="minorBidi" w:hint="cs"/>
          <w:rtl/>
        </w:rPr>
        <w:t>,</w:t>
      </w:r>
      <w:r w:rsidRPr="003024E5">
        <w:rPr>
          <w:rFonts w:asciiTheme="minorBidi" w:hAnsiTheme="minorBidi"/>
          <w:rtl/>
        </w:rPr>
        <w:t xml:space="preserve"> ואם נתערבה בשאינה מינה בטלה ב</w:t>
      </w:r>
      <w:r>
        <w:rPr>
          <w:rFonts w:asciiTheme="minorBidi" w:hAnsiTheme="minorBidi" w:hint="cs"/>
          <w:rtl/>
        </w:rPr>
        <w:t>ששים</w:t>
      </w:r>
      <w:r>
        <w:rPr>
          <w:rStyle w:val="a7"/>
          <w:rFonts w:asciiTheme="minorBidi" w:hAnsiTheme="minorBidi"/>
          <w:rtl/>
        </w:rPr>
        <w:footnoteReference w:id="2032"/>
      </w:r>
      <w:r w:rsidRPr="003024E5">
        <w:rPr>
          <w:rFonts w:asciiTheme="minorBidi" w:hAnsiTheme="minorBidi"/>
          <w:rtl/>
        </w:rPr>
        <w:t xml:space="preserve">. </w:t>
      </w:r>
      <w:r w:rsidRPr="00094AC9">
        <w:rPr>
          <w:rFonts w:asciiTheme="minorBidi" w:hAnsiTheme="minorBidi"/>
          <w:sz w:val="18"/>
          <w:szCs w:val="18"/>
          <w:rtl/>
        </w:rPr>
        <w:t xml:space="preserve">הגה: מיהו אם לבנו בה מאכל או נתנו בקדירה לתקן הקדירה כגון שמלאוה בתרנגולת אינה בטלה </w:t>
      </w:r>
      <w:r w:rsidRPr="00D667C8">
        <w:rPr>
          <w:rFonts w:asciiTheme="minorBidi" w:hAnsiTheme="minorBidi"/>
          <w:sz w:val="14"/>
          <w:szCs w:val="14"/>
          <w:rtl/>
        </w:rPr>
        <w:t>(הגש</w:t>
      </w:r>
      <w:r w:rsidRPr="00D667C8">
        <w:rPr>
          <w:rFonts w:asciiTheme="minorBidi" w:hAnsiTheme="minorBidi" w:hint="cs"/>
          <w:sz w:val="14"/>
          <w:szCs w:val="14"/>
          <w:rtl/>
        </w:rPr>
        <w:t>ע</w:t>
      </w:r>
      <w:r w:rsidRPr="00D667C8">
        <w:rPr>
          <w:rFonts w:asciiTheme="minorBidi" w:hAnsiTheme="minorBidi"/>
          <w:sz w:val="14"/>
          <w:szCs w:val="14"/>
          <w:rtl/>
        </w:rPr>
        <w:t xml:space="preserve">"ד וארוך) </w:t>
      </w:r>
      <w:r w:rsidRPr="00094AC9">
        <w:rPr>
          <w:rFonts w:asciiTheme="minorBidi" w:hAnsiTheme="minorBidi"/>
          <w:sz w:val="18"/>
          <w:szCs w:val="18"/>
          <w:rtl/>
        </w:rPr>
        <w:t>ועי</w:t>
      </w:r>
      <w:r>
        <w:rPr>
          <w:rFonts w:asciiTheme="minorBidi" w:hAnsiTheme="minorBidi" w:hint="cs"/>
          <w:sz w:val="18"/>
          <w:szCs w:val="18"/>
          <w:rtl/>
        </w:rPr>
        <w:t>'</w:t>
      </w:r>
      <w:r w:rsidRPr="00094AC9">
        <w:rPr>
          <w:rFonts w:asciiTheme="minorBidi" w:hAnsiTheme="minorBidi"/>
          <w:sz w:val="18"/>
          <w:szCs w:val="18"/>
          <w:rtl/>
        </w:rPr>
        <w:t xml:space="preserve"> בא</w:t>
      </w:r>
      <w:r>
        <w:rPr>
          <w:rFonts w:asciiTheme="minorBidi" w:hAnsiTheme="minorBidi" w:hint="cs"/>
          <w:sz w:val="18"/>
          <w:szCs w:val="18"/>
          <w:rtl/>
        </w:rPr>
        <w:t>ו</w:t>
      </w:r>
      <w:r w:rsidRPr="00094AC9">
        <w:rPr>
          <w:rFonts w:asciiTheme="minorBidi" w:hAnsiTheme="minorBidi"/>
          <w:sz w:val="18"/>
          <w:szCs w:val="18"/>
          <w:rtl/>
        </w:rPr>
        <w:t>"ח סי</w:t>
      </w:r>
      <w:r>
        <w:rPr>
          <w:rFonts w:asciiTheme="minorBidi" w:hAnsiTheme="minorBidi" w:hint="cs"/>
          <w:sz w:val="18"/>
          <w:szCs w:val="18"/>
          <w:rtl/>
        </w:rPr>
        <w:t>'</w:t>
      </w:r>
      <w:r w:rsidRPr="00094AC9">
        <w:rPr>
          <w:rFonts w:asciiTheme="minorBidi" w:hAnsiTheme="minorBidi"/>
          <w:sz w:val="18"/>
          <w:szCs w:val="18"/>
          <w:rtl/>
        </w:rPr>
        <w:t xml:space="preserve"> תקיג.</w:t>
      </w:r>
      <w:r w:rsidRPr="003024E5">
        <w:rPr>
          <w:rFonts w:asciiTheme="minorBidi" w:hAnsiTheme="minorBidi"/>
          <w:rtl/>
        </w:rPr>
        <w:t xml:space="preserve"> </w:t>
      </w:r>
    </w:p>
    <w:p w14:paraId="0F0E2885" w14:textId="77777777" w:rsidR="002C39F4" w:rsidRDefault="002C39F4" w:rsidP="002C39F4">
      <w:pPr>
        <w:rPr>
          <w:rFonts w:asciiTheme="minorBidi" w:hAnsiTheme="minorBidi" w:cs="Arial"/>
          <w:rtl/>
        </w:rPr>
      </w:pPr>
      <w:r w:rsidRPr="0097636C">
        <w:rPr>
          <w:rFonts w:asciiTheme="minorBidi" w:hAnsiTheme="minorBidi" w:cs="Arial"/>
          <w:u w:val="single"/>
          <w:rtl/>
        </w:rPr>
        <w:t>דבר שיש לו מתירין שנתערב ואח"כ פירש אחד מהם –</w:t>
      </w:r>
      <w:r w:rsidRPr="0097636C">
        <w:rPr>
          <w:rFonts w:asciiTheme="minorBidi" w:hAnsiTheme="minorBidi" w:cs="Arial" w:hint="cs"/>
          <w:u w:val="single"/>
          <w:rtl/>
        </w:rPr>
        <w:t xml:space="preserve"> האם </w:t>
      </w:r>
      <w:r w:rsidRPr="0097636C">
        <w:rPr>
          <w:rFonts w:asciiTheme="minorBidi" w:hAnsiTheme="minorBidi" w:cs="Arial"/>
          <w:u w:val="single"/>
          <w:rtl/>
        </w:rPr>
        <w:t xml:space="preserve">אמרינן </w:t>
      </w:r>
      <w:r w:rsidRPr="0097636C">
        <w:rPr>
          <w:rFonts w:asciiTheme="minorBidi" w:hAnsiTheme="minorBidi" w:cs="Arial" w:hint="cs"/>
          <w:u w:val="single"/>
          <w:rtl/>
        </w:rPr>
        <w:t xml:space="preserve">בהאי </w:t>
      </w:r>
      <w:r w:rsidRPr="0097636C">
        <w:rPr>
          <w:rFonts w:asciiTheme="minorBidi" w:hAnsiTheme="minorBidi" w:cs="Arial"/>
          <w:u w:val="single"/>
          <w:rtl/>
        </w:rPr>
        <w:t xml:space="preserve">כל דפריש </w:t>
      </w:r>
      <w:r w:rsidRPr="0097636C">
        <w:rPr>
          <w:rFonts w:asciiTheme="minorBidi" w:hAnsiTheme="minorBidi" w:cs="Arial" w:hint="cs"/>
          <w:u w:val="single"/>
          <w:rtl/>
        </w:rPr>
        <w:t>וכו'</w:t>
      </w:r>
      <w:r>
        <w:rPr>
          <w:rFonts w:asciiTheme="minorBidi" w:hAnsiTheme="minorBidi" w:cs="Arial" w:hint="cs"/>
          <w:u w:val="single"/>
          <w:rtl/>
        </w:rPr>
        <w:t>:</w:t>
      </w:r>
      <w:r w:rsidRPr="0097636C">
        <w:rPr>
          <w:rFonts w:asciiTheme="minorBidi" w:hAnsiTheme="minorBidi" w:cs="Arial" w:hint="cs"/>
          <w:sz w:val="16"/>
          <w:szCs w:val="16"/>
          <w:rtl/>
        </w:rPr>
        <w:t xml:space="preserve">   </w:t>
      </w:r>
      <w:r w:rsidRPr="0097636C">
        <w:rPr>
          <w:rFonts w:asciiTheme="minorBidi" w:hAnsiTheme="minorBidi" w:cs="Arial"/>
          <w:sz w:val="16"/>
          <w:szCs w:val="16"/>
          <w:rtl/>
        </w:rPr>
        <w:t>(</w:t>
      </w:r>
      <w:r w:rsidRPr="0097636C">
        <w:rPr>
          <w:rFonts w:asciiTheme="minorBidi" w:hAnsiTheme="minorBidi" w:cs="Arial" w:hint="cs"/>
          <w:sz w:val="16"/>
          <w:szCs w:val="16"/>
          <w:rtl/>
        </w:rPr>
        <w:t>פת"ש סק"</w:t>
      </w:r>
      <w:r w:rsidRPr="0097636C">
        <w:rPr>
          <w:rFonts w:asciiTheme="minorBidi" w:hAnsiTheme="minorBidi" w:cs="Arial"/>
          <w:sz w:val="16"/>
          <w:szCs w:val="16"/>
          <w:rtl/>
        </w:rPr>
        <w:t>א)</w:t>
      </w:r>
    </w:p>
    <w:p w14:paraId="2D3531A9" w14:textId="77777777" w:rsidR="002C39F4" w:rsidRPr="0097636C" w:rsidRDefault="002C39F4" w:rsidP="0032102C">
      <w:pPr>
        <w:pStyle w:val="a8"/>
        <w:numPr>
          <w:ilvl w:val="0"/>
          <w:numId w:val="211"/>
        </w:numPr>
        <w:rPr>
          <w:rFonts w:asciiTheme="minorBidi" w:hAnsiTheme="minorBidi"/>
        </w:rPr>
      </w:pPr>
      <w:r w:rsidRPr="0097636C">
        <w:rPr>
          <w:rFonts w:asciiTheme="minorBidi" w:hAnsiTheme="minorBidi" w:cs="Arial"/>
          <w:rtl/>
        </w:rPr>
        <w:t xml:space="preserve">מג"א </w:t>
      </w:r>
      <w:r w:rsidRPr="0097636C">
        <w:rPr>
          <w:rFonts w:asciiTheme="minorBidi" w:hAnsiTheme="minorBidi" w:cs="Arial" w:hint="cs"/>
          <w:sz w:val="16"/>
          <w:szCs w:val="16"/>
          <w:rtl/>
        </w:rPr>
        <w:t>(</w:t>
      </w:r>
      <w:r w:rsidRPr="0097636C">
        <w:rPr>
          <w:rFonts w:asciiTheme="minorBidi" w:hAnsiTheme="minorBidi" w:cs="Arial"/>
          <w:sz w:val="16"/>
          <w:szCs w:val="16"/>
          <w:rtl/>
        </w:rPr>
        <w:t>סי</w:t>
      </w:r>
      <w:r w:rsidRPr="0097636C">
        <w:rPr>
          <w:rFonts w:asciiTheme="minorBidi" w:hAnsiTheme="minorBidi" w:cs="Arial" w:hint="cs"/>
          <w:sz w:val="16"/>
          <w:szCs w:val="16"/>
          <w:rtl/>
        </w:rPr>
        <w:t>'</w:t>
      </w:r>
      <w:r w:rsidRPr="0097636C">
        <w:rPr>
          <w:rFonts w:asciiTheme="minorBidi" w:hAnsiTheme="minorBidi" w:cs="Arial"/>
          <w:sz w:val="16"/>
          <w:szCs w:val="16"/>
          <w:rtl/>
        </w:rPr>
        <w:t xml:space="preserve"> תקיג סקי"ג</w:t>
      </w:r>
      <w:r w:rsidRPr="0097636C">
        <w:rPr>
          <w:rFonts w:asciiTheme="minorBidi" w:hAnsiTheme="minorBidi" w:cs="Arial" w:hint="cs"/>
          <w:sz w:val="16"/>
          <w:szCs w:val="16"/>
          <w:rtl/>
        </w:rPr>
        <w:t>)</w:t>
      </w:r>
      <w:r w:rsidRPr="0097636C">
        <w:rPr>
          <w:rFonts w:asciiTheme="minorBidi" w:hAnsiTheme="minorBidi" w:cs="Arial"/>
          <w:sz w:val="16"/>
          <w:szCs w:val="16"/>
          <w:rtl/>
        </w:rPr>
        <w:t xml:space="preserve"> </w:t>
      </w:r>
      <w:r>
        <w:rPr>
          <w:rFonts w:asciiTheme="minorBidi" w:hAnsiTheme="minorBidi" w:cs="Arial" w:hint="cs"/>
          <w:rtl/>
        </w:rPr>
        <w:t>צ"צ</w:t>
      </w:r>
      <w:r w:rsidRPr="0097636C">
        <w:rPr>
          <w:rFonts w:asciiTheme="minorBidi" w:hAnsiTheme="minorBidi" w:cs="Arial"/>
          <w:rtl/>
        </w:rPr>
        <w:t xml:space="preserve"> </w:t>
      </w:r>
      <w:r w:rsidRPr="0097636C">
        <w:rPr>
          <w:rFonts w:asciiTheme="minorBidi" w:hAnsiTheme="minorBidi" w:cs="Arial" w:hint="cs"/>
          <w:sz w:val="16"/>
          <w:szCs w:val="16"/>
          <w:rtl/>
        </w:rPr>
        <w:t>(</w:t>
      </w:r>
      <w:r w:rsidRPr="0097636C">
        <w:rPr>
          <w:rFonts w:asciiTheme="minorBidi" w:hAnsiTheme="minorBidi" w:cs="Arial"/>
          <w:sz w:val="16"/>
          <w:szCs w:val="16"/>
          <w:rtl/>
        </w:rPr>
        <w:t>סי</w:t>
      </w:r>
      <w:r w:rsidRPr="0097636C">
        <w:rPr>
          <w:rFonts w:asciiTheme="minorBidi" w:hAnsiTheme="minorBidi" w:cs="Arial" w:hint="cs"/>
          <w:sz w:val="16"/>
          <w:szCs w:val="16"/>
          <w:rtl/>
        </w:rPr>
        <w:t>'</w:t>
      </w:r>
      <w:r w:rsidRPr="0097636C">
        <w:rPr>
          <w:rFonts w:asciiTheme="minorBidi" w:hAnsiTheme="minorBidi" w:cs="Arial"/>
          <w:sz w:val="16"/>
          <w:szCs w:val="16"/>
          <w:rtl/>
        </w:rPr>
        <w:t xml:space="preserve"> סט</w:t>
      </w:r>
      <w:r w:rsidRPr="0097636C">
        <w:rPr>
          <w:rFonts w:asciiTheme="minorBidi" w:hAnsiTheme="minorBidi" w:cs="Arial" w:hint="cs"/>
          <w:sz w:val="16"/>
          <w:szCs w:val="16"/>
          <w:rtl/>
        </w:rPr>
        <w:t>)</w:t>
      </w:r>
      <w:r w:rsidRPr="0097636C">
        <w:rPr>
          <w:rFonts w:asciiTheme="minorBidi" w:hAnsiTheme="minorBidi" w:cs="Arial"/>
          <w:sz w:val="16"/>
          <w:szCs w:val="16"/>
          <w:rtl/>
        </w:rPr>
        <w:t xml:space="preserve"> </w:t>
      </w:r>
      <w:r>
        <w:rPr>
          <w:rFonts w:asciiTheme="minorBidi" w:hAnsiTheme="minorBidi" w:cs="Arial" w:hint="cs"/>
          <w:rtl/>
        </w:rPr>
        <w:t>ו</w:t>
      </w:r>
      <w:r w:rsidRPr="0097636C">
        <w:rPr>
          <w:rFonts w:asciiTheme="minorBidi" w:hAnsiTheme="minorBidi" w:cs="Arial"/>
          <w:rtl/>
        </w:rPr>
        <w:t xml:space="preserve">סידורו של שבת </w:t>
      </w:r>
      <w:r w:rsidRPr="0097636C">
        <w:rPr>
          <w:rFonts w:asciiTheme="minorBidi" w:hAnsiTheme="minorBidi" w:cs="Arial" w:hint="cs"/>
          <w:sz w:val="16"/>
          <w:szCs w:val="16"/>
          <w:rtl/>
        </w:rPr>
        <w:t xml:space="preserve">(בשו"ת שבסוף הספר </w:t>
      </w:r>
      <w:r w:rsidRPr="0097636C">
        <w:rPr>
          <w:rFonts w:asciiTheme="minorBidi" w:hAnsiTheme="minorBidi" w:cs="Arial"/>
          <w:sz w:val="16"/>
          <w:szCs w:val="16"/>
          <w:rtl/>
        </w:rPr>
        <w:t>תשו</w:t>
      </w:r>
      <w:r w:rsidRPr="0097636C">
        <w:rPr>
          <w:rFonts w:asciiTheme="minorBidi" w:hAnsiTheme="minorBidi" w:cs="Arial" w:hint="cs"/>
          <w:sz w:val="16"/>
          <w:szCs w:val="16"/>
          <w:rtl/>
        </w:rPr>
        <w:t>'</w:t>
      </w:r>
      <w:r w:rsidRPr="0097636C">
        <w:rPr>
          <w:rFonts w:asciiTheme="minorBidi" w:hAnsiTheme="minorBidi" w:cs="Arial"/>
          <w:sz w:val="16"/>
          <w:szCs w:val="16"/>
          <w:rtl/>
        </w:rPr>
        <w:t xml:space="preserve"> ג</w:t>
      </w:r>
      <w:r w:rsidRPr="0097636C">
        <w:rPr>
          <w:rFonts w:asciiTheme="minorBidi" w:hAnsiTheme="minorBidi" w:cs="Arial" w:hint="cs"/>
          <w:sz w:val="16"/>
          <w:szCs w:val="16"/>
          <w:rtl/>
        </w:rPr>
        <w:t>)</w:t>
      </w:r>
      <w:r>
        <w:rPr>
          <w:rFonts w:asciiTheme="minorBidi" w:hAnsiTheme="minorBidi" w:cs="Arial" w:hint="cs"/>
          <w:rtl/>
        </w:rPr>
        <w:t>-</w:t>
      </w:r>
      <w:r w:rsidRPr="0097636C">
        <w:rPr>
          <w:rFonts w:asciiTheme="minorBidi" w:hAnsiTheme="minorBidi" w:cs="Arial"/>
          <w:rtl/>
        </w:rPr>
        <w:t xml:space="preserve"> אף בכה"ג לא אמרינן כל דפריש כו' וזה הוא ג"כ בכלל דבר שיש לו מתירין</w:t>
      </w:r>
      <w:r>
        <w:rPr>
          <w:rFonts w:asciiTheme="minorBidi" w:hAnsiTheme="minorBidi" w:cs="Arial" w:hint="cs"/>
          <w:rtl/>
        </w:rPr>
        <w:t>.</w:t>
      </w:r>
      <w:r w:rsidRPr="0097636C">
        <w:rPr>
          <w:rFonts w:asciiTheme="minorBidi" w:hAnsiTheme="minorBidi" w:cs="Arial"/>
          <w:rtl/>
        </w:rPr>
        <w:t xml:space="preserve"> </w:t>
      </w:r>
    </w:p>
    <w:p w14:paraId="6CBEF4D6" w14:textId="77777777" w:rsidR="002C39F4" w:rsidRPr="0097636C" w:rsidRDefault="002C39F4" w:rsidP="0032102C">
      <w:pPr>
        <w:pStyle w:val="a8"/>
        <w:numPr>
          <w:ilvl w:val="0"/>
          <w:numId w:val="211"/>
        </w:numPr>
        <w:rPr>
          <w:rFonts w:asciiTheme="minorBidi" w:hAnsiTheme="minorBidi"/>
          <w:rtl/>
        </w:rPr>
      </w:pPr>
      <w:r w:rsidRPr="0097636C">
        <w:rPr>
          <w:rFonts w:asciiTheme="minorBidi" w:hAnsiTheme="minorBidi" w:cs="Arial"/>
          <w:rtl/>
        </w:rPr>
        <w:t>חוות יאיר</w:t>
      </w:r>
      <w:r w:rsidRPr="0097636C">
        <w:rPr>
          <w:rFonts w:asciiTheme="minorBidi" w:hAnsiTheme="minorBidi" w:cs="Arial"/>
          <w:sz w:val="16"/>
          <w:szCs w:val="16"/>
          <w:rtl/>
        </w:rPr>
        <w:t xml:space="preserve"> </w:t>
      </w:r>
      <w:r w:rsidRPr="0097636C">
        <w:rPr>
          <w:rFonts w:asciiTheme="minorBidi" w:hAnsiTheme="minorBidi" w:cs="Arial" w:hint="cs"/>
          <w:sz w:val="16"/>
          <w:szCs w:val="16"/>
          <w:rtl/>
        </w:rPr>
        <w:t>(</w:t>
      </w:r>
      <w:r w:rsidRPr="0097636C">
        <w:rPr>
          <w:rFonts w:asciiTheme="minorBidi" w:hAnsiTheme="minorBidi" w:cs="Arial"/>
          <w:sz w:val="16"/>
          <w:szCs w:val="16"/>
          <w:rtl/>
        </w:rPr>
        <w:t>סי</w:t>
      </w:r>
      <w:r w:rsidRPr="0097636C">
        <w:rPr>
          <w:rFonts w:asciiTheme="minorBidi" w:hAnsiTheme="minorBidi" w:cs="Arial" w:hint="cs"/>
          <w:sz w:val="16"/>
          <w:szCs w:val="16"/>
          <w:rtl/>
        </w:rPr>
        <w:t>'</w:t>
      </w:r>
      <w:r w:rsidRPr="0097636C">
        <w:rPr>
          <w:rFonts w:asciiTheme="minorBidi" w:hAnsiTheme="minorBidi" w:cs="Arial"/>
          <w:sz w:val="16"/>
          <w:szCs w:val="16"/>
          <w:rtl/>
        </w:rPr>
        <w:t xml:space="preserve"> קלג)</w:t>
      </w:r>
      <w:r w:rsidRPr="0097636C">
        <w:rPr>
          <w:rFonts w:asciiTheme="minorBidi" w:hAnsiTheme="minorBidi" w:cs="Arial" w:hint="cs"/>
          <w:sz w:val="16"/>
          <w:szCs w:val="16"/>
          <w:rtl/>
        </w:rPr>
        <w:t xml:space="preserve"> </w:t>
      </w:r>
      <w:r>
        <w:rPr>
          <w:rFonts w:asciiTheme="minorBidi" w:hAnsiTheme="minorBidi" w:cs="Arial" w:hint="cs"/>
          <w:rtl/>
        </w:rPr>
        <w:t>ו</w:t>
      </w:r>
      <w:r w:rsidRPr="0097636C">
        <w:rPr>
          <w:rFonts w:asciiTheme="minorBidi" w:hAnsiTheme="minorBidi" w:cs="Arial"/>
          <w:rtl/>
        </w:rPr>
        <w:t xml:space="preserve">צל"ח </w:t>
      </w:r>
      <w:r w:rsidRPr="0097636C">
        <w:rPr>
          <w:rFonts w:asciiTheme="minorBidi" w:hAnsiTheme="minorBidi" w:cs="Arial" w:hint="cs"/>
          <w:sz w:val="16"/>
          <w:szCs w:val="16"/>
          <w:rtl/>
        </w:rPr>
        <w:t>(</w:t>
      </w:r>
      <w:r w:rsidRPr="0097636C">
        <w:rPr>
          <w:rFonts w:asciiTheme="minorBidi" w:hAnsiTheme="minorBidi" w:cs="Arial"/>
          <w:sz w:val="16"/>
          <w:szCs w:val="16"/>
          <w:rtl/>
        </w:rPr>
        <w:t>ביצה י</w:t>
      </w:r>
      <w:r w:rsidRPr="0097636C">
        <w:rPr>
          <w:rFonts w:asciiTheme="minorBidi" w:hAnsiTheme="minorBidi" w:cs="Arial" w:hint="cs"/>
          <w:sz w:val="16"/>
          <w:szCs w:val="16"/>
          <w:rtl/>
        </w:rPr>
        <w:t>:</w:t>
      </w:r>
      <w:r w:rsidRPr="0097636C">
        <w:rPr>
          <w:rFonts w:asciiTheme="minorBidi" w:hAnsiTheme="minorBidi" w:cs="Arial"/>
          <w:sz w:val="16"/>
          <w:szCs w:val="16"/>
          <w:rtl/>
        </w:rPr>
        <w:t xml:space="preserve"> ד"ה והואיל</w:t>
      </w:r>
      <w:r w:rsidRPr="0097636C">
        <w:rPr>
          <w:rFonts w:asciiTheme="minorBidi" w:hAnsiTheme="minorBidi" w:cs="Arial" w:hint="cs"/>
          <w:sz w:val="16"/>
          <w:szCs w:val="16"/>
          <w:rtl/>
        </w:rPr>
        <w:t>)</w:t>
      </w:r>
      <w:r>
        <w:rPr>
          <w:rFonts w:asciiTheme="minorBidi" w:hAnsiTheme="minorBidi" w:cs="Arial" w:hint="cs"/>
          <w:rtl/>
        </w:rPr>
        <w:t>-</w:t>
      </w:r>
      <w:r w:rsidRPr="0097636C">
        <w:rPr>
          <w:rFonts w:asciiTheme="minorBidi" w:hAnsiTheme="minorBidi" w:cs="Arial"/>
          <w:rtl/>
        </w:rPr>
        <w:t xml:space="preserve"> אמרינן בדבר שיל"מ כל דפריש מר"פ</w:t>
      </w:r>
      <w:r>
        <w:rPr>
          <w:rFonts w:asciiTheme="minorBidi" w:hAnsiTheme="minorBidi" w:cs="Arial" w:hint="cs"/>
          <w:rtl/>
        </w:rPr>
        <w:t>.</w:t>
      </w:r>
      <w:r w:rsidRPr="0097636C">
        <w:rPr>
          <w:rFonts w:asciiTheme="minorBidi" w:hAnsiTheme="minorBidi" w:cs="Arial"/>
          <w:rtl/>
        </w:rPr>
        <w:t xml:space="preserve"> </w:t>
      </w:r>
    </w:p>
    <w:p w14:paraId="74C3AAC7" w14:textId="77777777" w:rsidR="002C39F4" w:rsidRPr="003024E5" w:rsidRDefault="002C39F4" w:rsidP="002C39F4">
      <w:pPr>
        <w:rPr>
          <w:rFonts w:asciiTheme="minorBidi" w:hAnsiTheme="minorBidi"/>
          <w:rtl/>
        </w:rPr>
      </w:pPr>
    </w:p>
    <w:p w14:paraId="117B8A02"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דבר איסור שלא בטוח שיש לו מתירין.</w:t>
      </w:r>
    </w:p>
    <w:p w14:paraId="4B6A2FFD" w14:textId="77777777" w:rsidR="002C39F4" w:rsidRPr="00CF42BE" w:rsidRDefault="002C39F4" w:rsidP="002C39F4">
      <w:pPr>
        <w:rPr>
          <w:rFonts w:cs="Arial"/>
          <w:u w:val="single"/>
          <w:rtl/>
        </w:rPr>
      </w:pPr>
      <w:r w:rsidRPr="00CF42BE">
        <w:rPr>
          <w:rFonts w:cs="Arial" w:hint="cs"/>
          <w:u w:val="single"/>
          <w:rtl/>
        </w:rPr>
        <w:t xml:space="preserve">דבר </w:t>
      </w:r>
      <w:r>
        <w:rPr>
          <w:rFonts w:cs="Arial" w:hint="cs"/>
          <w:u w:val="single"/>
          <w:rtl/>
        </w:rPr>
        <w:t xml:space="preserve">איסור </w:t>
      </w:r>
      <w:r w:rsidRPr="00CF42BE">
        <w:rPr>
          <w:rFonts w:cs="Arial" w:hint="cs"/>
          <w:u w:val="single"/>
          <w:rtl/>
        </w:rPr>
        <w:t>שלא בטוח שיש לו מתירין:</w:t>
      </w:r>
    </w:p>
    <w:p w14:paraId="43BFDEC4" w14:textId="77777777" w:rsidR="002C39F4" w:rsidRDefault="002C39F4" w:rsidP="0032102C">
      <w:pPr>
        <w:pStyle w:val="a8"/>
        <w:numPr>
          <w:ilvl w:val="0"/>
          <w:numId w:val="211"/>
        </w:numPr>
        <w:rPr>
          <w:rtl/>
        </w:rPr>
      </w:pPr>
      <w:r w:rsidRPr="00CF42BE">
        <w:rPr>
          <w:rFonts w:cs="Arial" w:hint="cs"/>
          <w:rtl/>
        </w:rPr>
        <w:t xml:space="preserve">רשב"א </w:t>
      </w:r>
      <w:r w:rsidRPr="00CF42BE">
        <w:rPr>
          <w:rFonts w:cs="Arial" w:hint="cs"/>
          <w:sz w:val="16"/>
          <w:szCs w:val="16"/>
          <w:rtl/>
        </w:rPr>
        <w:t>(תוה"ק</w:t>
      </w:r>
      <w:r w:rsidRPr="00CF42BE">
        <w:rPr>
          <w:rFonts w:cs="Arial"/>
          <w:sz w:val="16"/>
          <w:szCs w:val="16"/>
          <w:rtl/>
        </w:rPr>
        <w:t xml:space="preserve"> ב"ד ש"א ח.)</w:t>
      </w:r>
      <w:r>
        <w:rPr>
          <w:rFonts w:cs="Arial" w:hint="cs"/>
          <w:rtl/>
        </w:rPr>
        <w:t xml:space="preserve"> וטור</w:t>
      </w:r>
      <w:r w:rsidRPr="00CF42BE">
        <w:rPr>
          <w:rFonts w:cs="Arial" w:hint="cs"/>
          <w:rtl/>
        </w:rPr>
        <w:t>-</w:t>
      </w:r>
      <w:r>
        <w:rPr>
          <w:rFonts w:cs="Arial" w:hint="cs"/>
          <w:rtl/>
        </w:rPr>
        <w:t xml:space="preserve"> </w:t>
      </w:r>
      <w:r w:rsidRPr="00CF42BE">
        <w:rPr>
          <w:rFonts w:cs="Arial"/>
          <w:rtl/>
        </w:rPr>
        <w:t>לא אמרו דבר שיש לו מתירין אלא כשהמתיר עתיד לבא על כל פנים</w:t>
      </w:r>
      <w:r>
        <w:rPr>
          <w:rFonts w:cs="Arial" w:hint="cs"/>
          <w:rtl/>
        </w:rPr>
        <w:t>,</w:t>
      </w:r>
      <w:r w:rsidRPr="00CF42BE">
        <w:rPr>
          <w:rFonts w:cs="Arial"/>
          <w:rtl/>
        </w:rPr>
        <w:t xml:space="preserve"> כביצה שנולדה ביו</w:t>
      </w:r>
      <w:r>
        <w:rPr>
          <w:rFonts w:cs="Arial" w:hint="cs"/>
          <w:rtl/>
        </w:rPr>
        <w:t>"</w:t>
      </w:r>
      <w:r w:rsidRPr="00CF42BE">
        <w:rPr>
          <w:rFonts w:cs="Arial"/>
          <w:rtl/>
        </w:rPr>
        <w:t>ט שנתערבה באחרות שהיא מותרת לערב על כל פנים</w:t>
      </w:r>
      <w:r>
        <w:rPr>
          <w:rFonts w:cs="Arial" w:hint="cs"/>
          <w:rtl/>
        </w:rPr>
        <w:t>,</w:t>
      </w:r>
      <w:r w:rsidRPr="00CF42BE">
        <w:rPr>
          <w:rFonts w:cs="Arial"/>
          <w:rtl/>
        </w:rPr>
        <w:t xml:space="preserve"> וכן אם המתיר בידו לעשותו בלא הפסד</w:t>
      </w:r>
      <w:r>
        <w:rPr>
          <w:rFonts w:cs="Arial" w:hint="cs"/>
          <w:rtl/>
        </w:rPr>
        <w:t>,</w:t>
      </w:r>
      <w:r w:rsidRPr="00CF42BE">
        <w:rPr>
          <w:rFonts w:cs="Arial"/>
          <w:rtl/>
        </w:rPr>
        <w:t xml:space="preserve"> כטבל שנתערב בפירות מעושרים ויש בידו עוד טבלים אחרים שהרי יכול הוא להפריש על הטבל שנתערב מן הטבל שלפניו שעדיין עתיד לתקנו</w:t>
      </w:r>
      <w:r>
        <w:rPr>
          <w:rFonts w:cs="Arial" w:hint="cs"/>
          <w:rtl/>
        </w:rPr>
        <w:t>,</w:t>
      </w:r>
      <w:r w:rsidRPr="00CF42BE">
        <w:rPr>
          <w:rFonts w:cs="Arial"/>
          <w:rtl/>
        </w:rPr>
        <w:t xml:space="preserve"> וכן כל כיוצא בזה</w:t>
      </w:r>
      <w:r>
        <w:rPr>
          <w:rFonts w:cs="Arial" w:hint="cs"/>
          <w:rtl/>
        </w:rPr>
        <w:t>,</w:t>
      </w:r>
      <w:r w:rsidRPr="00CF42BE">
        <w:rPr>
          <w:rFonts w:cs="Arial"/>
          <w:rtl/>
        </w:rPr>
        <w:t xml:space="preserve"> אבל במה שאינו בידו ואינו ודאי שיבא המתיר אינו בדין דבר שיש לו מתירין</w:t>
      </w:r>
      <w:r>
        <w:rPr>
          <w:rFonts w:cs="Arial" w:hint="cs"/>
          <w:rtl/>
        </w:rPr>
        <w:t>,</w:t>
      </w:r>
      <w:r w:rsidRPr="00CF42BE">
        <w:rPr>
          <w:rFonts w:cs="Arial"/>
          <w:rtl/>
        </w:rPr>
        <w:t xml:space="preserve"> לפיכך ביצה של ספק טריפה שנתערבה באחרות אע</w:t>
      </w:r>
      <w:r>
        <w:rPr>
          <w:rFonts w:cs="Arial" w:hint="cs"/>
          <w:rtl/>
        </w:rPr>
        <w:t>"</w:t>
      </w:r>
      <w:r w:rsidRPr="00CF42BE">
        <w:rPr>
          <w:rFonts w:cs="Arial"/>
          <w:rtl/>
        </w:rPr>
        <w:t>פ שאפשר שתטעון עוד התרנגולת ויותרו כולם או שתחיה התרנגולת שנים עשר חדש אין זה כדין דבר שיש לו מתירין</w:t>
      </w:r>
      <w:r>
        <w:rPr>
          <w:rFonts w:cs="Arial" w:hint="cs"/>
          <w:rtl/>
        </w:rPr>
        <w:t>,</w:t>
      </w:r>
      <w:r w:rsidRPr="00CF42BE">
        <w:rPr>
          <w:rFonts w:cs="Arial"/>
          <w:rtl/>
        </w:rPr>
        <w:t xml:space="preserve"> לפי שאין המתיר בפנינו ודאי ואינו בידו לפיכך בטל הוא כביצה אסורה שנתערבה באחרות</w:t>
      </w:r>
      <w:r>
        <w:rPr>
          <w:rFonts w:cs="Arial" w:hint="cs"/>
          <w:rtl/>
        </w:rPr>
        <w:t>,</w:t>
      </w:r>
      <w:r w:rsidRPr="00CF42BE">
        <w:rPr>
          <w:rFonts w:cs="Arial"/>
          <w:rtl/>
        </w:rPr>
        <w:t xml:space="preserve"> וכן כל כיוצא בזה</w:t>
      </w:r>
      <w:r>
        <w:rPr>
          <w:rFonts w:cs="Arial" w:hint="cs"/>
          <w:sz w:val="16"/>
          <w:szCs w:val="16"/>
          <w:rtl/>
        </w:rPr>
        <w:t xml:space="preserve"> (ל' הרשב"א)</w:t>
      </w:r>
      <w:r w:rsidRPr="00CF42BE">
        <w:rPr>
          <w:rFonts w:cs="Arial" w:hint="cs"/>
          <w:rtl/>
        </w:rPr>
        <w:t>.</w:t>
      </w:r>
      <w:r>
        <w:rPr>
          <w:rFonts w:hint="cs"/>
          <w:rtl/>
        </w:rPr>
        <w:t xml:space="preserve"> </w:t>
      </w:r>
      <w:r w:rsidRPr="00C71586">
        <w:rPr>
          <w:rFonts w:cs="Arial" w:hint="cs"/>
          <w:color w:val="E36C0A" w:themeColor="accent6" w:themeShade="BF"/>
          <w:rtl/>
        </w:rPr>
        <w:t>(וכ"</w:t>
      </w:r>
      <w:r>
        <w:rPr>
          <w:rFonts w:cs="Arial" w:hint="cs"/>
          <w:color w:val="E36C0A" w:themeColor="accent6" w:themeShade="BF"/>
          <w:rtl/>
        </w:rPr>
        <w:t>ס</w:t>
      </w:r>
      <w:r w:rsidRPr="00C71586">
        <w:rPr>
          <w:rFonts w:cs="Arial" w:hint="cs"/>
          <w:color w:val="E36C0A" w:themeColor="accent6" w:themeShade="BF"/>
          <w:rtl/>
        </w:rPr>
        <w:t xml:space="preserve"> בשו"ע</w:t>
      </w:r>
      <w:r>
        <w:rPr>
          <w:rFonts w:cs="Arial" w:hint="cs"/>
          <w:color w:val="E36C0A" w:themeColor="accent6" w:themeShade="BF"/>
          <w:rtl/>
        </w:rPr>
        <w:t>)</w:t>
      </w:r>
    </w:p>
    <w:p w14:paraId="32D1E796" w14:textId="77777777" w:rsidR="002C39F4" w:rsidRDefault="002C39F4" w:rsidP="002C39F4">
      <w:pPr>
        <w:rPr>
          <w:rtl/>
        </w:rPr>
      </w:pPr>
      <w:r w:rsidRPr="0016006D">
        <w:rPr>
          <w:rFonts w:hint="cs"/>
          <w:u w:val="single"/>
          <w:rtl/>
        </w:rPr>
        <w:t>ספק ספיקא בדבר שיש לו מתירין:</w:t>
      </w:r>
      <w:r w:rsidRPr="00870A82">
        <w:rPr>
          <w:rFonts w:hint="cs"/>
          <w:sz w:val="16"/>
          <w:szCs w:val="16"/>
          <w:rtl/>
        </w:rPr>
        <w:t xml:space="preserve">  </w:t>
      </w:r>
      <w:r w:rsidRPr="00870A82">
        <w:rPr>
          <w:sz w:val="16"/>
          <w:szCs w:val="16"/>
          <w:rtl/>
        </w:rPr>
        <w:t>(</w:t>
      </w:r>
      <w:r w:rsidRPr="00870A82">
        <w:rPr>
          <w:rFonts w:hint="cs"/>
          <w:sz w:val="16"/>
          <w:szCs w:val="16"/>
          <w:rtl/>
        </w:rPr>
        <w:t xml:space="preserve">דרכ"מ אות </w:t>
      </w:r>
      <w:r w:rsidRPr="00870A82">
        <w:rPr>
          <w:sz w:val="16"/>
          <w:szCs w:val="16"/>
          <w:rtl/>
        </w:rPr>
        <w:t>ב)</w:t>
      </w:r>
    </w:p>
    <w:p w14:paraId="39AE2BED" w14:textId="77777777" w:rsidR="002C39F4" w:rsidRDefault="002C39F4" w:rsidP="0032102C">
      <w:pPr>
        <w:pStyle w:val="a8"/>
        <w:numPr>
          <w:ilvl w:val="0"/>
          <w:numId w:val="212"/>
        </w:numPr>
        <w:rPr>
          <w:rtl/>
        </w:rPr>
      </w:pPr>
      <w:r>
        <w:rPr>
          <w:rFonts w:hint="cs"/>
          <w:rtl/>
        </w:rPr>
        <w:t>ר"ן</w:t>
      </w:r>
      <w:r>
        <w:rPr>
          <w:rtl/>
        </w:rPr>
        <w:t xml:space="preserve"> </w:t>
      </w:r>
      <w:r w:rsidRPr="0016006D">
        <w:rPr>
          <w:sz w:val="16"/>
          <w:szCs w:val="16"/>
          <w:rtl/>
        </w:rPr>
        <w:t>(</w:t>
      </w:r>
      <w:r w:rsidRPr="0016006D">
        <w:rPr>
          <w:rFonts w:hint="cs"/>
          <w:sz w:val="16"/>
          <w:szCs w:val="16"/>
          <w:rtl/>
        </w:rPr>
        <w:t xml:space="preserve">ביצה </w:t>
      </w:r>
      <w:r w:rsidRPr="0016006D">
        <w:rPr>
          <w:sz w:val="16"/>
          <w:szCs w:val="16"/>
          <w:rtl/>
        </w:rPr>
        <w:t>יג. ד"ה אין הלכה)</w:t>
      </w:r>
      <w:r>
        <w:rPr>
          <w:rFonts w:hint="cs"/>
          <w:rtl/>
        </w:rPr>
        <w:t xml:space="preserve">- </w:t>
      </w:r>
      <w:r>
        <w:rPr>
          <w:rtl/>
        </w:rPr>
        <w:t>ס</w:t>
      </w:r>
      <w:r>
        <w:rPr>
          <w:rFonts w:hint="cs"/>
          <w:rtl/>
        </w:rPr>
        <w:t>פק ספיקא</w:t>
      </w:r>
      <w:r>
        <w:rPr>
          <w:rtl/>
        </w:rPr>
        <w:t xml:space="preserve"> מותר בדשיל"מ</w:t>
      </w:r>
      <w:r>
        <w:rPr>
          <w:rFonts w:hint="cs"/>
          <w:rtl/>
        </w:rPr>
        <w:t>,</w:t>
      </w:r>
      <w:r>
        <w:rPr>
          <w:rtl/>
        </w:rPr>
        <w:t xml:space="preserve"> כגון ספק ביצה בי"ט שני</w:t>
      </w:r>
      <w:r>
        <w:rPr>
          <w:rStyle w:val="a7"/>
          <w:rtl/>
        </w:rPr>
        <w:footnoteReference w:id="2033"/>
      </w:r>
      <w:r>
        <w:rPr>
          <w:rFonts w:hint="cs"/>
          <w:rtl/>
        </w:rPr>
        <w:t>.</w:t>
      </w:r>
    </w:p>
    <w:p w14:paraId="69D7F30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C93E5EF" w14:textId="77777777" w:rsidR="002C39F4" w:rsidRDefault="002C39F4" w:rsidP="002C39F4">
      <w:pPr>
        <w:rPr>
          <w:rFonts w:asciiTheme="minorBidi" w:hAnsiTheme="minorBidi"/>
          <w:rtl/>
        </w:rPr>
      </w:pPr>
      <w:r w:rsidRPr="003024E5">
        <w:rPr>
          <w:rFonts w:asciiTheme="minorBidi" w:hAnsiTheme="minorBidi"/>
          <w:rtl/>
        </w:rPr>
        <w:t>יש מי שאומר</w:t>
      </w:r>
      <w:r>
        <w:rPr>
          <w:rStyle w:val="a7"/>
          <w:rFonts w:asciiTheme="minorBidi" w:hAnsiTheme="minorBidi"/>
          <w:rtl/>
        </w:rPr>
        <w:footnoteReference w:id="2034"/>
      </w:r>
      <w:r w:rsidRPr="003024E5">
        <w:rPr>
          <w:rFonts w:asciiTheme="minorBidi" w:hAnsiTheme="minorBidi"/>
          <w:rtl/>
        </w:rPr>
        <w:t xml:space="preserve"> שלא אמרו דבר שיש לו מתירין אלא כשהמתיר עתיד לבא על כל פנים או אם המתיר בידו לעשותו בלא הפסד, אבל דבר שאינו בידו ואינו ודאי שיבא המתיר אינו בדין דבר שיש לו מתירין</w:t>
      </w:r>
      <w:r>
        <w:rPr>
          <w:rFonts w:asciiTheme="minorBidi" w:hAnsiTheme="minorBidi" w:hint="cs"/>
          <w:rtl/>
        </w:rPr>
        <w:t>,</w:t>
      </w:r>
      <w:r w:rsidRPr="003024E5">
        <w:rPr>
          <w:rFonts w:asciiTheme="minorBidi" w:hAnsiTheme="minorBidi"/>
          <w:rtl/>
        </w:rPr>
        <w:t xml:space="preserve"> לפיכך ביצה של ספק טריפה שנתערבה באחרות אינו בדין דבר שיש לו מתירין לפי שאין המתיר בודאי ואינו בידו. </w:t>
      </w:r>
    </w:p>
    <w:p w14:paraId="70E8BBBE" w14:textId="77777777" w:rsidR="002C39F4" w:rsidRPr="003024E5" w:rsidRDefault="002C39F4" w:rsidP="002C39F4">
      <w:pPr>
        <w:rPr>
          <w:rFonts w:asciiTheme="minorBidi" w:hAnsiTheme="minorBidi"/>
          <w:rtl/>
        </w:rPr>
      </w:pPr>
    </w:p>
    <w:p w14:paraId="2B775186"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דבר שיש לו מתירין ע"י הוצאת ממון.</w:t>
      </w:r>
    </w:p>
    <w:p w14:paraId="1B7F51EE" w14:textId="77777777" w:rsidR="002C39F4" w:rsidRPr="00662092" w:rsidRDefault="002C39F4" w:rsidP="002C39F4">
      <w:pPr>
        <w:rPr>
          <w:rFonts w:cs="Arial"/>
          <w:u w:val="single"/>
          <w:rtl/>
        </w:rPr>
      </w:pPr>
      <w:r w:rsidRPr="00662092">
        <w:rPr>
          <w:rFonts w:cs="Arial"/>
          <w:u w:val="single"/>
          <w:rtl/>
        </w:rPr>
        <w:t xml:space="preserve">כלי שנאסר </w:t>
      </w:r>
      <w:r>
        <w:rPr>
          <w:rFonts w:cs="Arial" w:hint="cs"/>
          <w:u w:val="single"/>
          <w:rtl/>
        </w:rPr>
        <w:t xml:space="preserve">ע"י </w:t>
      </w:r>
      <w:r w:rsidRPr="00662092">
        <w:rPr>
          <w:rFonts w:cs="Arial"/>
          <w:u w:val="single"/>
          <w:rtl/>
        </w:rPr>
        <w:t xml:space="preserve">בליעת איסור </w:t>
      </w:r>
      <w:r>
        <w:rPr>
          <w:rFonts w:cs="Arial" w:hint="cs"/>
          <w:u w:val="single"/>
          <w:rtl/>
        </w:rPr>
        <w:t>ו</w:t>
      </w:r>
      <w:r w:rsidRPr="00662092">
        <w:rPr>
          <w:rFonts w:cs="Arial"/>
          <w:u w:val="single"/>
          <w:rtl/>
        </w:rPr>
        <w:t xml:space="preserve">נתערב </w:t>
      </w:r>
      <w:r>
        <w:rPr>
          <w:rFonts w:cs="Arial" w:hint="cs"/>
          <w:u w:val="single"/>
          <w:rtl/>
        </w:rPr>
        <w:t xml:space="preserve">הכלי </w:t>
      </w:r>
      <w:r w:rsidRPr="00662092">
        <w:rPr>
          <w:rFonts w:cs="Arial"/>
          <w:u w:val="single"/>
          <w:rtl/>
        </w:rPr>
        <w:t>ב</w:t>
      </w:r>
      <w:r>
        <w:rPr>
          <w:rFonts w:cs="Arial" w:hint="cs"/>
          <w:u w:val="single"/>
          <w:rtl/>
        </w:rPr>
        <w:t>כלים א</w:t>
      </w:r>
      <w:r w:rsidRPr="00662092">
        <w:rPr>
          <w:rFonts w:cs="Arial"/>
          <w:u w:val="single"/>
          <w:rtl/>
        </w:rPr>
        <w:t>חרים ואינו ניכר</w:t>
      </w:r>
      <w:r>
        <w:rPr>
          <w:rFonts w:cs="Arial" w:hint="cs"/>
          <w:u w:val="single"/>
          <w:rtl/>
        </w:rPr>
        <w:t>:</w:t>
      </w:r>
      <w:r w:rsidRPr="00662092">
        <w:rPr>
          <w:rFonts w:cs="Arial"/>
          <w:u w:val="single"/>
          <w:rtl/>
        </w:rPr>
        <w:t xml:space="preserve"> </w:t>
      </w:r>
    </w:p>
    <w:p w14:paraId="7E76DF8A" w14:textId="77777777" w:rsidR="002C39F4" w:rsidRDefault="002C39F4" w:rsidP="0032102C">
      <w:pPr>
        <w:pStyle w:val="a8"/>
        <w:numPr>
          <w:ilvl w:val="0"/>
          <w:numId w:val="211"/>
        </w:numPr>
      </w:pPr>
      <w:r w:rsidRPr="00662092">
        <w:rPr>
          <w:rFonts w:cs="Arial"/>
          <w:rtl/>
        </w:rPr>
        <w:t xml:space="preserve">רשב"א </w:t>
      </w:r>
      <w:r w:rsidRPr="00662092">
        <w:rPr>
          <w:rFonts w:cs="Arial"/>
          <w:sz w:val="16"/>
          <w:szCs w:val="16"/>
          <w:rtl/>
        </w:rPr>
        <w:t>(תוה"ק ב"ד סוף ש"ד לח.)</w:t>
      </w:r>
      <w:r>
        <w:rPr>
          <w:rFonts w:cs="Arial" w:hint="cs"/>
          <w:rtl/>
        </w:rPr>
        <w:t xml:space="preserve"> וטור </w:t>
      </w:r>
      <w:r w:rsidRPr="00662092">
        <w:rPr>
          <w:rFonts w:cs="Arial" w:hint="cs"/>
          <w:sz w:val="16"/>
          <w:szCs w:val="16"/>
          <w:rtl/>
        </w:rPr>
        <w:t>(ס"ס קכב)</w:t>
      </w:r>
      <w:r w:rsidRPr="00662092">
        <w:rPr>
          <w:rFonts w:cs="Arial" w:hint="cs"/>
          <w:rtl/>
        </w:rPr>
        <w:t>-</w:t>
      </w:r>
      <w:r w:rsidRPr="00662092">
        <w:rPr>
          <w:rFonts w:cs="Arial"/>
          <w:rtl/>
        </w:rPr>
        <w:t xml:space="preserve"> כלי שנאסר בבליעות איסור שנתערב באחרים ואינו ניכר בטל ברוב</w:t>
      </w:r>
      <w:r w:rsidRPr="00662092">
        <w:rPr>
          <w:rFonts w:cs="Arial" w:hint="cs"/>
          <w:rtl/>
        </w:rPr>
        <w:t>,</w:t>
      </w:r>
      <w:r w:rsidRPr="00662092">
        <w:rPr>
          <w:rFonts w:cs="Arial"/>
          <w:rtl/>
        </w:rPr>
        <w:t xml:space="preserve"> ואע</w:t>
      </w:r>
      <w:r w:rsidRPr="00662092">
        <w:rPr>
          <w:rFonts w:cs="Arial" w:hint="cs"/>
          <w:rtl/>
        </w:rPr>
        <w:t>"</w:t>
      </w:r>
      <w:r w:rsidRPr="00662092">
        <w:rPr>
          <w:rFonts w:cs="Arial"/>
          <w:rtl/>
        </w:rPr>
        <w:t>פ</w:t>
      </w:r>
      <w:r w:rsidRPr="00662092">
        <w:rPr>
          <w:rFonts w:cs="Arial" w:hint="cs"/>
          <w:rtl/>
        </w:rPr>
        <w:t xml:space="preserve"> </w:t>
      </w:r>
      <w:r w:rsidRPr="00662092">
        <w:rPr>
          <w:rFonts w:cs="Arial"/>
          <w:rtl/>
        </w:rPr>
        <w:t>שאפשר להגעילו</w:t>
      </w:r>
      <w:r>
        <w:rPr>
          <w:rFonts w:cs="Arial" w:hint="cs"/>
          <w:rtl/>
        </w:rPr>
        <w:t>,</w:t>
      </w:r>
      <w:r w:rsidRPr="00662092">
        <w:rPr>
          <w:rFonts w:cs="Arial"/>
          <w:rtl/>
        </w:rPr>
        <w:t xml:space="preserve"> ולהחזירו להכשירו עי</w:t>
      </w:r>
      <w:r>
        <w:rPr>
          <w:rFonts w:cs="Arial" w:hint="cs"/>
          <w:rtl/>
        </w:rPr>
        <w:t>"</w:t>
      </w:r>
      <w:r w:rsidRPr="00662092">
        <w:rPr>
          <w:rFonts w:cs="Arial"/>
          <w:rtl/>
        </w:rPr>
        <w:t>כ</w:t>
      </w:r>
      <w:r>
        <w:rPr>
          <w:rFonts w:cs="Arial" w:hint="cs"/>
          <w:rtl/>
        </w:rPr>
        <w:t>,</w:t>
      </w:r>
      <w:r w:rsidRPr="00662092">
        <w:rPr>
          <w:rFonts w:cs="Arial"/>
          <w:rtl/>
        </w:rPr>
        <w:t xml:space="preserve"> אין דנין אותו כדבר שיש לו מתירין לאסור כולם עד שיגעילם אלא הרי הוא כאיסור יבש שנתערב ביבש ובטל ברוב</w:t>
      </w:r>
      <w:r>
        <w:rPr>
          <w:rFonts w:cs="Arial" w:hint="cs"/>
          <w:rtl/>
        </w:rPr>
        <w:t>,</w:t>
      </w:r>
      <w:r w:rsidRPr="00662092">
        <w:rPr>
          <w:rFonts w:cs="Arial"/>
          <w:rtl/>
        </w:rPr>
        <w:t xml:space="preserve"> שכל שאין מתירין שלו באין מאליהן וצריך לפזר מעותיו ולהוציא הוצאות במתירין אינו בכלל שיש לו מתירין</w:t>
      </w:r>
      <w:r>
        <w:rPr>
          <w:rStyle w:val="a7"/>
          <w:rFonts w:cs="Arial"/>
          <w:rtl/>
        </w:rPr>
        <w:footnoteReference w:id="2035"/>
      </w:r>
      <w:r>
        <w:rPr>
          <w:rFonts w:cs="Arial" w:hint="cs"/>
          <w:rtl/>
        </w:rPr>
        <w:t>.</w:t>
      </w:r>
      <w:r>
        <w:rPr>
          <w:rFonts w:hint="cs"/>
          <w:rtl/>
        </w:rPr>
        <w:t xml:space="preserve"> </w:t>
      </w:r>
      <w:r w:rsidRPr="00C71586">
        <w:rPr>
          <w:rFonts w:cs="Arial" w:hint="cs"/>
          <w:color w:val="E36C0A" w:themeColor="accent6" w:themeShade="BF"/>
          <w:rtl/>
        </w:rPr>
        <w:t>(וכ"</w:t>
      </w:r>
      <w:r>
        <w:rPr>
          <w:rFonts w:cs="Arial" w:hint="cs"/>
          <w:color w:val="E36C0A" w:themeColor="accent6" w:themeShade="BF"/>
          <w:rtl/>
        </w:rPr>
        <w:t>פ</w:t>
      </w:r>
      <w:r w:rsidRPr="00C71586">
        <w:rPr>
          <w:rFonts w:cs="Arial" w:hint="cs"/>
          <w:color w:val="E36C0A" w:themeColor="accent6" w:themeShade="BF"/>
          <w:rtl/>
        </w:rPr>
        <w:t xml:space="preserve"> בשו"ע</w:t>
      </w:r>
      <w:r>
        <w:rPr>
          <w:rFonts w:cs="Arial" w:hint="cs"/>
          <w:color w:val="E36C0A" w:themeColor="accent6" w:themeShade="BF"/>
          <w:rtl/>
        </w:rPr>
        <w:t xml:space="preserve">) </w:t>
      </w:r>
      <w:r>
        <w:rPr>
          <w:rFonts w:hint="cs"/>
          <w:color w:val="00B0F0"/>
          <w:rtl/>
        </w:rPr>
        <w:t>(וכ"פ הרמ"א)</w:t>
      </w:r>
    </w:p>
    <w:p w14:paraId="316AA74C" w14:textId="77777777" w:rsidR="002C39F4" w:rsidRPr="00182097" w:rsidRDefault="002C39F4" w:rsidP="0032102C">
      <w:pPr>
        <w:pStyle w:val="a8"/>
        <w:numPr>
          <w:ilvl w:val="0"/>
          <w:numId w:val="211"/>
        </w:numPr>
        <w:rPr>
          <w:rtl/>
        </w:rPr>
      </w:pPr>
      <w:r w:rsidRPr="00BE3C31">
        <w:rPr>
          <w:rFonts w:cs="Arial"/>
          <w:rtl/>
        </w:rPr>
        <w:t xml:space="preserve">מהרי"ל </w:t>
      </w:r>
      <w:r w:rsidRPr="00436D1A">
        <w:rPr>
          <w:rFonts w:cs="Arial" w:hint="cs"/>
          <w:sz w:val="16"/>
          <w:szCs w:val="16"/>
          <w:rtl/>
        </w:rPr>
        <w:t>(</w:t>
      </w:r>
      <w:r w:rsidRPr="00436D1A">
        <w:rPr>
          <w:rFonts w:cs="Arial"/>
          <w:sz w:val="16"/>
          <w:szCs w:val="16"/>
          <w:rtl/>
        </w:rPr>
        <w:t>סי</w:t>
      </w:r>
      <w:r w:rsidRPr="00436D1A">
        <w:rPr>
          <w:rFonts w:cs="Arial" w:hint="cs"/>
          <w:sz w:val="16"/>
          <w:szCs w:val="16"/>
          <w:rtl/>
        </w:rPr>
        <w:t>'</w:t>
      </w:r>
      <w:r w:rsidRPr="00436D1A">
        <w:rPr>
          <w:rFonts w:cs="Arial"/>
          <w:sz w:val="16"/>
          <w:szCs w:val="16"/>
          <w:rtl/>
        </w:rPr>
        <w:t xml:space="preserve"> קצד</w:t>
      </w:r>
      <w:r w:rsidRPr="00436D1A">
        <w:rPr>
          <w:rFonts w:cs="Arial" w:hint="cs"/>
          <w:sz w:val="16"/>
          <w:szCs w:val="16"/>
          <w:rtl/>
        </w:rPr>
        <w:t>)</w:t>
      </w:r>
      <w:r>
        <w:rPr>
          <w:rFonts w:cs="Arial" w:hint="cs"/>
          <w:rtl/>
        </w:rPr>
        <w:t xml:space="preserve">- </w:t>
      </w:r>
      <w:r w:rsidRPr="00BE3C31">
        <w:rPr>
          <w:rFonts w:cs="Arial"/>
          <w:rtl/>
        </w:rPr>
        <w:t xml:space="preserve">ההוצאה להגעילו </w:t>
      </w:r>
      <w:r>
        <w:rPr>
          <w:rFonts w:cs="Arial" w:hint="cs"/>
          <w:rtl/>
        </w:rPr>
        <w:t xml:space="preserve">חשיב </w:t>
      </w:r>
      <w:r w:rsidRPr="00BE3C31">
        <w:rPr>
          <w:rFonts w:cs="Arial"/>
          <w:rtl/>
        </w:rPr>
        <w:t>הפסד מועט</w:t>
      </w:r>
      <w:r>
        <w:rPr>
          <w:rFonts w:cs="Arial" w:hint="cs"/>
          <w:rtl/>
        </w:rPr>
        <w:t>, הילכך הוי דבר שיש לו מתירין וצריך להגעילו</w:t>
      </w:r>
      <w:r>
        <w:rPr>
          <w:rStyle w:val="a7"/>
          <w:rFonts w:cs="Arial"/>
          <w:rtl/>
        </w:rPr>
        <w:footnoteReference w:id="2036"/>
      </w:r>
      <w:r>
        <w:rPr>
          <w:rFonts w:cs="Arial" w:hint="cs"/>
          <w:rtl/>
        </w:rPr>
        <w:t>,</w:t>
      </w:r>
      <w:r w:rsidRPr="00BE3C31">
        <w:rPr>
          <w:rFonts w:cs="Arial"/>
          <w:rtl/>
        </w:rPr>
        <w:t xml:space="preserve"> </w:t>
      </w:r>
      <w:r>
        <w:rPr>
          <w:rFonts w:cs="Arial" w:hint="cs"/>
          <w:rtl/>
        </w:rPr>
        <w:t>וכמו ב</w:t>
      </w:r>
      <w:r w:rsidRPr="00BE3C31">
        <w:rPr>
          <w:rFonts w:cs="Arial"/>
          <w:rtl/>
        </w:rPr>
        <w:t xml:space="preserve">מעשר שני </w:t>
      </w:r>
      <w:r>
        <w:rPr>
          <w:rFonts w:cs="Arial" w:hint="cs"/>
          <w:rtl/>
        </w:rPr>
        <w:t>ד</w:t>
      </w:r>
      <w:r w:rsidRPr="00BE3C31">
        <w:rPr>
          <w:rFonts w:cs="Arial"/>
          <w:rtl/>
        </w:rPr>
        <w:t>יש לו מתירין ע"י העלאה לירושלים</w:t>
      </w:r>
      <w:r>
        <w:rPr>
          <w:rFonts w:cs="Arial" w:hint="cs"/>
          <w:sz w:val="16"/>
          <w:szCs w:val="16"/>
          <w:rtl/>
        </w:rPr>
        <w:t xml:space="preserve"> </w:t>
      </w:r>
      <w:r w:rsidRPr="00436D1A">
        <w:rPr>
          <w:rFonts w:cs="Arial"/>
          <w:sz w:val="16"/>
          <w:szCs w:val="16"/>
          <w:rtl/>
        </w:rPr>
        <w:t>(</w:t>
      </w:r>
      <w:r w:rsidRPr="00436D1A">
        <w:rPr>
          <w:rFonts w:cs="Arial" w:hint="cs"/>
          <w:sz w:val="16"/>
          <w:szCs w:val="16"/>
          <w:rtl/>
        </w:rPr>
        <w:t xml:space="preserve">ב"מ </w:t>
      </w:r>
      <w:r>
        <w:rPr>
          <w:rFonts w:cs="Arial" w:hint="cs"/>
          <w:sz w:val="16"/>
          <w:szCs w:val="16"/>
          <w:rtl/>
        </w:rPr>
        <w:t>[</w:t>
      </w:r>
      <w:r w:rsidRPr="00436D1A">
        <w:rPr>
          <w:rFonts w:cs="Arial"/>
          <w:sz w:val="16"/>
          <w:szCs w:val="16"/>
          <w:rtl/>
        </w:rPr>
        <w:t>נג</w:t>
      </w:r>
      <w:r w:rsidRPr="00436D1A">
        <w:rPr>
          <w:rFonts w:cs="Arial" w:hint="cs"/>
          <w:sz w:val="16"/>
          <w:szCs w:val="16"/>
          <w:rtl/>
        </w:rPr>
        <w:t>.</w:t>
      </w:r>
      <w:r>
        <w:rPr>
          <w:rFonts w:cs="Arial" w:hint="cs"/>
          <w:sz w:val="16"/>
          <w:szCs w:val="16"/>
          <w:rtl/>
        </w:rPr>
        <w:t>]</w:t>
      </w:r>
      <w:r w:rsidRPr="00436D1A">
        <w:rPr>
          <w:rFonts w:cs="Arial"/>
          <w:sz w:val="16"/>
          <w:szCs w:val="16"/>
          <w:rtl/>
        </w:rPr>
        <w:t xml:space="preserve"> ונדרים</w:t>
      </w:r>
      <w:r w:rsidRPr="00436D1A">
        <w:rPr>
          <w:rFonts w:cs="Arial" w:hint="cs"/>
          <w:sz w:val="16"/>
          <w:szCs w:val="16"/>
          <w:rtl/>
        </w:rPr>
        <w:t xml:space="preserve"> </w:t>
      </w:r>
      <w:r>
        <w:rPr>
          <w:rFonts w:cs="Arial" w:hint="cs"/>
          <w:sz w:val="16"/>
          <w:szCs w:val="16"/>
          <w:rtl/>
        </w:rPr>
        <w:t>[</w:t>
      </w:r>
      <w:r w:rsidRPr="00436D1A">
        <w:rPr>
          <w:rFonts w:cs="Arial" w:hint="cs"/>
          <w:sz w:val="16"/>
          <w:szCs w:val="16"/>
          <w:rtl/>
        </w:rPr>
        <w:t>נח.</w:t>
      </w:r>
      <w:r>
        <w:rPr>
          <w:rFonts w:cs="Arial" w:hint="cs"/>
          <w:sz w:val="16"/>
          <w:szCs w:val="16"/>
          <w:rtl/>
        </w:rPr>
        <w:t>]</w:t>
      </w:r>
      <w:r w:rsidRPr="00436D1A">
        <w:rPr>
          <w:rFonts w:cs="Arial" w:hint="cs"/>
          <w:sz w:val="16"/>
          <w:szCs w:val="16"/>
          <w:rtl/>
        </w:rPr>
        <w:t>)</w:t>
      </w:r>
      <w:r>
        <w:rPr>
          <w:rFonts w:hint="cs"/>
          <w:rtl/>
        </w:rPr>
        <w:t>.</w:t>
      </w:r>
      <w:r>
        <w:rPr>
          <w:rtl/>
        </w:rPr>
        <w:tab/>
      </w:r>
    </w:p>
    <w:p w14:paraId="63A0D35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BD7B9EC" w14:textId="77777777" w:rsidR="002C39F4" w:rsidRDefault="002C39F4" w:rsidP="002C39F4">
      <w:pPr>
        <w:rPr>
          <w:rFonts w:asciiTheme="minorBidi" w:hAnsiTheme="minorBidi"/>
          <w:rtl/>
        </w:rPr>
      </w:pPr>
      <w:r w:rsidRPr="003024E5">
        <w:rPr>
          <w:rFonts w:asciiTheme="minorBidi" w:hAnsiTheme="minorBidi"/>
          <w:rtl/>
        </w:rPr>
        <w:t>כלי שנאסר בבליעת איסור</w:t>
      </w:r>
      <w:r>
        <w:rPr>
          <w:rFonts w:asciiTheme="minorBidi" w:hAnsiTheme="minorBidi" w:hint="cs"/>
          <w:rtl/>
        </w:rPr>
        <w:t>,</w:t>
      </w:r>
      <w:r w:rsidRPr="003024E5">
        <w:rPr>
          <w:rFonts w:asciiTheme="minorBidi" w:hAnsiTheme="minorBidi"/>
          <w:rtl/>
        </w:rPr>
        <w:t xml:space="preserve"> שנתערב באחרים ואינו ניכר, בטל ברוב</w:t>
      </w:r>
      <w:r>
        <w:rPr>
          <w:rStyle w:val="a7"/>
          <w:rFonts w:asciiTheme="minorBidi" w:hAnsiTheme="minorBidi"/>
          <w:rtl/>
        </w:rPr>
        <w:footnoteReference w:id="2037"/>
      </w:r>
      <w:r w:rsidRPr="003024E5">
        <w:rPr>
          <w:rFonts w:asciiTheme="minorBidi" w:hAnsiTheme="minorBidi"/>
          <w:rtl/>
        </w:rPr>
        <w:t xml:space="preserve"> ואין דנין אותו כדבר שיש לו מתירין </w:t>
      </w:r>
      <w:r w:rsidRPr="00662092">
        <w:rPr>
          <w:rFonts w:asciiTheme="minorBidi" w:hAnsiTheme="minorBidi" w:hint="cs"/>
          <w:sz w:val="18"/>
          <w:szCs w:val="18"/>
          <w:rtl/>
        </w:rPr>
        <w:t xml:space="preserve">[הגה] </w:t>
      </w:r>
      <w:r w:rsidRPr="00662092">
        <w:rPr>
          <w:rFonts w:asciiTheme="minorBidi" w:hAnsiTheme="minorBidi"/>
          <w:sz w:val="18"/>
          <w:szCs w:val="18"/>
          <w:rtl/>
        </w:rPr>
        <w:t>לפי שצריך להוציא עליו הוצאות להגעילו, וכל כיוצא בזה.</w:t>
      </w:r>
      <w:r w:rsidRPr="003024E5">
        <w:rPr>
          <w:rFonts w:asciiTheme="minorBidi" w:hAnsiTheme="minorBidi"/>
          <w:rtl/>
        </w:rPr>
        <w:t xml:space="preserve"> </w:t>
      </w:r>
    </w:p>
    <w:p w14:paraId="0E045101" w14:textId="77777777" w:rsidR="002C39F4" w:rsidRPr="003024E5" w:rsidRDefault="002C39F4" w:rsidP="002C39F4">
      <w:pPr>
        <w:rPr>
          <w:rFonts w:asciiTheme="minorBidi" w:hAnsiTheme="minorBidi"/>
          <w:rtl/>
        </w:rPr>
      </w:pPr>
    </w:p>
    <w:p w14:paraId="56A444AA" w14:textId="77777777" w:rsidR="002C39F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דבר שיש לו מתירין אך כשיגיע זמן היתרו כבר לא יהיה ראוי לאכילה.</w:t>
      </w:r>
    </w:p>
    <w:p w14:paraId="76EB1B86" w14:textId="77777777" w:rsidR="002C39F4" w:rsidRPr="00303E39" w:rsidRDefault="002C39F4" w:rsidP="002C39F4">
      <w:pPr>
        <w:rPr>
          <w:rFonts w:cs="Arial"/>
          <w:u w:val="single"/>
          <w:rtl/>
        </w:rPr>
      </w:pPr>
      <w:r w:rsidRPr="00303E39">
        <w:rPr>
          <w:rFonts w:cs="Arial" w:hint="cs"/>
          <w:u w:val="single"/>
          <w:rtl/>
        </w:rPr>
        <w:t xml:space="preserve">דבר שיש לו מתירין </w:t>
      </w:r>
      <w:r w:rsidRPr="00303E39">
        <w:rPr>
          <w:rFonts w:asciiTheme="minorBidi" w:hAnsiTheme="minorBidi" w:hint="cs"/>
          <w:u w:val="single"/>
          <w:rtl/>
        </w:rPr>
        <w:t>אך כשיגיע זמן היתרו כבר לא יהיה ראוי לאכילה</w:t>
      </w:r>
      <w:r w:rsidRPr="00303E39">
        <w:rPr>
          <w:rFonts w:cs="Arial" w:hint="cs"/>
          <w:u w:val="single"/>
          <w:rtl/>
        </w:rPr>
        <w:t>:</w:t>
      </w:r>
    </w:p>
    <w:p w14:paraId="348BE7DB" w14:textId="77777777" w:rsidR="002C39F4" w:rsidRDefault="002C39F4" w:rsidP="0032102C">
      <w:pPr>
        <w:pStyle w:val="a8"/>
        <w:numPr>
          <w:ilvl w:val="0"/>
          <w:numId w:val="213"/>
        </w:numPr>
        <w:rPr>
          <w:rFonts w:cs="Arial"/>
        </w:rPr>
      </w:pPr>
      <w:r w:rsidRPr="00B943CF">
        <w:rPr>
          <w:rFonts w:cs="Arial"/>
          <w:rtl/>
        </w:rPr>
        <w:t xml:space="preserve">ר"ת מרדכי רשב"א </w:t>
      </w:r>
      <w:r w:rsidRPr="00B943CF">
        <w:rPr>
          <w:rFonts w:cs="Arial" w:hint="cs"/>
          <w:rtl/>
        </w:rPr>
        <w:t>ו</w:t>
      </w:r>
      <w:r w:rsidRPr="00B943CF">
        <w:rPr>
          <w:rFonts w:cs="Arial"/>
          <w:rtl/>
        </w:rPr>
        <w:t>ר"ן</w:t>
      </w:r>
      <w:r>
        <w:rPr>
          <w:rStyle w:val="a7"/>
          <w:rFonts w:cs="Arial"/>
          <w:rtl/>
        </w:rPr>
        <w:footnoteReference w:id="2038"/>
      </w:r>
      <w:r>
        <w:rPr>
          <w:rFonts w:cs="Arial" w:hint="cs"/>
          <w:rtl/>
        </w:rPr>
        <w:t xml:space="preserve">- </w:t>
      </w:r>
      <w:r w:rsidRPr="00B943CF">
        <w:rPr>
          <w:rFonts w:cs="Arial"/>
          <w:rtl/>
        </w:rPr>
        <w:t>לא שייך דבר שיש לו מתירין היכא שהמאכל מתקלקל</w:t>
      </w:r>
      <w:r w:rsidRPr="00B943CF">
        <w:rPr>
          <w:rFonts w:cs="Arial" w:hint="cs"/>
          <w:sz w:val="16"/>
          <w:szCs w:val="16"/>
          <w:rtl/>
        </w:rPr>
        <w:t xml:space="preserve"> (ל' המרדכי)</w:t>
      </w:r>
      <w:r w:rsidRPr="00B943CF">
        <w:rPr>
          <w:rFonts w:cs="Arial"/>
          <w:rtl/>
        </w:rPr>
        <w:t>.</w:t>
      </w:r>
      <w:r w:rsidRPr="00303E39">
        <w:rPr>
          <w:rFonts w:cs="Arial" w:hint="cs"/>
          <w:color w:val="E36C0A" w:themeColor="accent6" w:themeShade="BF"/>
          <w:rtl/>
        </w:rPr>
        <w:t xml:space="preserve"> </w:t>
      </w:r>
      <w:r w:rsidRPr="00C71586">
        <w:rPr>
          <w:rFonts w:cs="Arial" w:hint="cs"/>
          <w:color w:val="E36C0A" w:themeColor="accent6" w:themeShade="BF"/>
          <w:rtl/>
        </w:rPr>
        <w:t>(וכ"</w:t>
      </w:r>
      <w:r>
        <w:rPr>
          <w:rFonts w:cs="Arial" w:hint="cs"/>
          <w:color w:val="E36C0A" w:themeColor="accent6" w:themeShade="BF"/>
          <w:rtl/>
        </w:rPr>
        <w:t>ס</w:t>
      </w:r>
      <w:r w:rsidRPr="00C71586">
        <w:rPr>
          <w:rFonts w:cs="Arial" w:hint="cs"/>
          <w:color w:val="E36C0A" w:themeColor="accent6" w:themeShade="BF"/>
          <w:rtl/>
        </w:rPr>
        <w:t xml:space="preserve"> בשו"ע</w:t>
      </w:r>
      <w:r>
        <w:rPr>
          <w:rFonts w:cs="Arial" w:hint="cs"/>
          <w:color w:val="E36C0A" w:themeColor="accent6" w:themeShade="BF"/>
          <w:rtl/>
        </w:rPr>
        <w:t>)</w:t>
      </w:r>
    </w:p>
    <w:p w14:paraId="764A7FEB" w14:textId="77777777" w:rsidR="002C39F4" w:rsidRPr="00E805BF" w:rsidRDefault="002C39F4" w:rsidP="002C39F4">
      <w:pPr>
        <w:rPr>
          <w:rFonts w:cs="Arial"/>
        </w:rPr>
      </w:pPr>
      <w:r w:rsidRPr="00B943CF">
        <w:rPr>
          <w:rFonts w:cs="Arial" w:hint="cs"/>
          <w:u w:val="single"/>
          <w:rtl/>
        </w:rPr>
        <w:t xml:space="preserve">דבר </w:t>
      </w:r>
      <w:r>
        <w:rPr>
          <w:rFonts w:cs="Arial" w:hint="cs"/>
          <w:u w:val="single"/>
          <w:rtl/>
        </w:rPr>
        <w:t>שיש לו מתירין אך הוא חוזר לאיסורו</w:t>
      </w:r>
      <w:r w:rsidRPr="00B943CF">
        <w:rPr>
          <w:rFonts w:cs="Arial" w:hint="cs"/>
          <w:u w:val="single"/>
          <w:rtl/>
        </w:rPr>
        <w:t>:</w:t>
      </w:r>
    </w:p>
    <w:p w14:paraId="231A3F87" w14:textId="77777777" w:rsidR="002C39F4" w:rsidRDefault="002C39F4" w:rsidP="0032102C">
      <w:pPr>
        <w:pStyle w:val="a8"/>
        <w:numPr>
          <w:ilvl w:val="0"/>
          <w:numId w:val="213"/>
        </w:numPr>
        <w:rPr>
          <w:rFonts w:cs="Arial"/>
        </w:rPr>
      </w:pPr>
      <w:r w:rsidRPr="00B943CF">
        <w:rPr>
          <w:rFonts w:cs="Arial"/>
          <w:rtl/>
        </w:rPr>
        <w:t xml:space="preserve">רבינו חיים </w:t>
      </w:r>
      <w:r w:rsidRPr="00B46392">
        <w:rPr>
          <w:rFonts w:cs="Arial" w:hint="cs"/>
          <w:sz w:val="16"/>
          <w:szCs w:val="16"/>
          <w:rtl/>
        </w:rPr>
        <w:t>(כן שמע ממנו הר"ש מפליזא, הביאו המרדכי [</w:t>
      </w:r>
      <w:r w:rsidRPr="00B943CF">
        <w:rPr>
          <w:rFonts w:cs="Arial" w:hint="cs"/>
          <w:sz w:val="16"/>
          <w:szCs w:val="16"/>
          <w:rtl/>
        </w:rPr>
        <w:t xml:space="preserve">פסחים </w:t>
      </w:r>
      <w:r w:rsidRPr="00B943CF">
        <w:rPr>
          <w:rFonts w:cs="Arial"/>
          <w:sz w:val="16"/>
          <w:szCs w:val="16"/>
          <w:rtl/>
        </w:rPr>
        <w:t>סי' תקעג</w:t>
      </w:r>
      <w:r>
        <w:rPr>
          <w:rFonts w:cs="Arial" w:hint="cs"/>
          <w:sz w:val="16"/>
          <w:szCs w:val="16"/>
          <w:rtl/>
        </w:rPr>
        <w:t>]</w:t>
      </w:r>
      <w:r w:rsidRPr="00B943CF">
        <w:rPr>
          <w:rFonts w:cs="Arial"/>
          <w:sz w:val="16"/>
          <w:szCs w:val="16"/>
          <w:rtl/>
        </w:rPr>
        <w:t>)</w:t>
      </w:r>
      <w:r w:rsidRPr="00B943CF">
        <w:rPr>
          <w:rFonts w:cs="Arial" w:hint="cs"/>
          <w:rtl/>
        </w:rPr>
        <w:t>-</w:t>
      </w:r>
      <w:r w:rsidRPr="00B943CF">
        <w:rPr>
          <w:rFonts w:cs="Arial"/>
          <w:rtl/>
        </w:rPr>
        <w:t xml:space="preserve"> דבר החוזר לאיסורו מאליו כגון חמץ שחוזר לשנה הבאה לאיסורו לא שייך לומר דבר שיש לו מתירין.</w:t>
      </w:r>
    </w:p>
    <w:p w14:paraId="4103D9E9" w14:textId="77777777" w:rsidR="002C39F4" w:rsidRPr="00B943CF" w:rsidRDefault="002C39F4" w:rsidP="002C39F4">
      <w:pPr>
        <w:ind w:left="360"/>
        <w:rPr>
          <w:rFonts w:cs="Arial"/>
          <w:u w:val="dotted"/>
        </w:rPr>
      </w:pPr>
      <w:r>
        <w:rPr>
          <w:rFonts w:cs="Arial" w:hint="cs"/>
          <w:u w:val="dotted"/>
          <w:rtl/>
        </w:rPr>
        <w:t xml:space="preserve">האם </w:t>
      </w:r>
      <w:r w:rsidRPr="00B943CF">
        <w:rPr>
          <w:rFonts w:cs="Arial" w:hint="cs"/>
          <w:u w:val="dotted"/>
          <w:rtl/>
        </w:rPr>
        <w:t>חמץ שנפל לתבשיל</w:t>
      </w:r>
      <w:r>
        <w:rPr>
          <w:rFonts w:cs="Arial" w:hint="cs"/>
          <w:u w:val="dotted"/>
          <w:rtl/>
        </w:rPr>
        <w:t xml:space="preserve"> חשיב דבר שיש לו מתירין</w:t>
      </w:r>
      <w:r w:rsidRPr="00B943CF">
        <w:rPr>
          <w:rFonts w:cs="Arial" w:hint="cs"/>
          <w:u w:val="dotted"/>
          <w:rtl/>
        </w:rPr>
        <w:t>:</w:t>
      </w:r>
    </w:p>
    <w:p w14:paraId="4BCB9E81" w14:textId="77777777" w:rsidR="002C39F4" w:rsidRDefault="002C39F4" w:rsidP="0032102C">
      <w:pPr>
        <w:pStyle w:val="a8"/>
        <w:numPr>
          <w:ilvl w:val="0"/>
          <w:numId w:val="213"/>
        </w:numPr>
        <w:rPr>
          <w:rFonts w:cs="Arial"/>
        </w:rPr>
      </w:pPr>
      <w:r w:rsidRPr="00B943CF">
        <w:rPr>
          <w:rFonts w:cs="Arial"/>
          <w:rtl/>
        </w:rPr>
        <w:t xml:space="preserve">רבינו חיים </w:t>
      </w:r>
      <w:r w:rsidRPr="00B46392">
        <w:rPr>
          <w:rFonts w:cs="Arial" w:hint="cs"/>
          <w:sz w:val="16"/>
          <w:szCs w:val="16"/>
          <w:rtl/>
        </w:rPr>
        <w:t>(</w:t>
      </w:r>
      <w:r>
        <w:rPr>
          <w:rFonts w:cs="Arial" w:hint="cs"/>
          <w:sz w:val="16"/>
          <w:szCs w:val="16"/>
          <w:rtl/>
        </w:rPr>
        <w:t>שם</w:t>
      </w:r>
      <w:r w:rsidRPr="00B46392">
        <w:rPr>
          <w:rFonts w:cs="Arial" w:hint="cs"/>
          <w:sz w:val="16"/>
          <w:szCs w:val="16"/>
          <w:rtl/>
        </w:rPr>
        <w:t>)</w:t>
      </w:r>
      <w:r>
        <w:rPr>
          <w:rFonts w:cs="Arial" w:hint="cs"/>
          <w:rtl/>
        </w:rPr>
        <w:t>-</w:t>
      </w:r>
      <w:r w:rsidRPr="00E805BF">
        <w:rPr>
          <w:rFonts w:cs="Arial"/>
          <w:rtl/>
        </w:rPr>
        <w:t xml:space="preserve"> </w:t>
      </w:r>
      <w:r w:rsidRPr="00B943CF">
        <w:rPr>
          <w:rFonts w:cs="Arial"/>
          <w:rtl/>
        </w:rPr>
        <w:t xml:space="preserve">לא שייך </w:t>
      </w:r>
      <w:r>
        <w:rPr>
          <w:rFonts w:cs="Arial" w:hint="cs"/>
          <w:rtl/>
        </w:rPr>
        <w:t xml:space="preserve">ביה </w:t>
      </w:r>
      <w:r w:rsidRPr="00B943CF">
        <w:rPr>
          <w:rFonts w:cs="Arial"/>
          <w:rtl/>
        </w:rPr>
        <w:t>דבר שיש לו מתירין</w:t>
      </w:r>
      <w:r w:rsidRPr="00B943CF">
        <w:rPr>
          <w:rFonts w:cs="Arial" w:hint="cs"/>
          <w:rtl/>
        </w:rPr>
        <w:t xml:space="preserve"> </w:t>
      </w:r>
      <w:r>
        <w:rPr>
          <w:rFonts w:cs="Arial" w:hint="cs"/>
          <w:rtl/>
        </w:rPr>
        <w:t>כיון ד</w:t>
      </w:r>
      <w:r w:rsidRPr="00B943CF">
        <w:rPr>
          <w:rFonts w:cs="Arial"/>
          <w:rtl/>
        </w:rPr>
        <w:t>חוזר לאיסורו מאליו לשנה הבאה</w:t>
      </w:r>
      <w:r>
        <w:rPr>
          <w:rFonts w:cs="Arial" w:hint="cs"/>
          <w:rtl/>
        </w:rPr>
        <w:t>.</w:t>
      </w:r>
    </w:p>
    <w:p w14:paraId="5D8C930D" w14:textId="77777777" w:rsidR="002C39F4" w:rsidRDefault="002C39F4" w:rsidP="0032102C">
      <w:pPr>
        <w:pStyle w:val="a8"/>
        <w:numPr>
          <w:ilvl w:val="0"/>
          <w:numId w:val="213"/>
        </w:numPr>
        <w:rPr>
          <w:rFonts w:cs="Arial"/>
        </w:rPr>
      </w:pPr>
      <w:r>
        <w:rPr>
          <w:rFonts w:cs="Arial" w:hint="cs"/>
          <w:rtl/>
        </w:rPr>
        <w:t xml:space="preserve">ר"ת מרדכי </w:t>
      </w:r>
      <w:r w:rsidRPr="00E805BF">
        <w:rPr>
          <w:rFonts w:cs="Arial"/>
          <w:rtl/>
        </w:rPr>
        <w:t>רשב"א</w:t>
      </w:r>
      <w:r w:rsidRPr="00E805BF">
        <w:rPr>
          <w:rFonts w:cs="Arial"/>
          <w:sz w:val="16"/>
          <w:szCs w:val="16"/>
          <w:rtl/>
        </w:rPr>
        <w:t xml:space="preserve"> </w:t>
      </w:r>
      <w:r w:rsidRPr="00E805BF">
        <w:rPr>
          <w:rFonts w:cs="Arial" w:hint="cs"/>
          <w:rtl/>
        </w:rPr>
        <w:t>ו</w:t>
      </w:r>
      <w:r w:rsidRPr="00E805BF">
        <w:rPr>
          <w:rFonts w:cs="Arial"/>
          <w:rtl/>
        </w:rPr>
        <w:t>ר"ן</w:t>
      </w:r>
      <w:r>
        <w:rPr>
          <w:rFonts w:cs="Arial" w:hint="cs"/>
          <w:rtl/>
        </w:rPr>
        <w:t>-</w:t>
      </w:r>
      <w:r w:rsidRPr="00E805BF">
        <w:rPr>
          <w:rFonts w:cs="Arial"/>
          <w:rtl/>
        </w:rPr>
        <w:t xml:space="preserve"> הא דאמרינן דבר שיש לו מתירין אפילו באלף לא בטיל דוקא כגון ביצה שאם ימתין לה לערב לא תפסד</w:t>
      </w:r>
      <w:r>
        <w:rPr>
          <w:rFonts w:cs="Arial" w:hint="cs"/>
          <w:rtl/>
        </w:rPr>
        <w:t>,</w:t>
      </w:r>
      <w:r w:rsidRPr="00E805BF">
        <w:rPr>
          <w:rFonts w:cs="Arial"/>
          <w:rtl/>
        </w:rPr>
        <w:t xml:space="preserve"> אבל חמץ בפסח בתבשיל כגון חביץ קדרה שאם ימתינו לו לאחר הפסח תפסד ותעבור צורתו לית ביה משום דבר שיש לו מתירין אבל בפת שאינו מתפסד בהמתנתו מדינא אוסר בכל שהוא</w:t>
      </w:r>
      <w:r w:rsidRPr="00E805BF">
        <w:rPr>
          <w:rFonts w:cs="Arial" w:hint="cs"/>
          <w:rtl/>
        </w:rPr>
        <w:t>.</w:t>
      </w:r>
    </w:p>
    <w:p w14:paraId="74F251E8" w14:textId="77777777" w:rsidR="002C39F4" w:rsidRPr="00E805BF" w:rsidRDefault="002C39F4" w:rsidP="0032102C">
      <w:pPr>
        <w:pStyle w:val="a8"/>
        <w:numPr>
          <w:ilvl w:val="0"/>
          <w:numId w:val="213"/>
        </w:numPr>
        <w:rPr>
          <w:rFonts w:cs="Arial"/>
          <w:rtl/>
        </w:rPr>
      </w:pPr>
      <w:r w:rsidRPr="00E805BF">
        <w:rPr>
          <w:rFonts w:cs="Arial"/>
          <w:rtl/>
        </w:rPr>
        <w:t>רמב"</w:t>
      </w:r>
      <w:r w:rsidRPr="00E805BF">
        <w:rPr>
          <w:rFonts w:cs="Arial" w:hint="cs"/>
          <w:rtl/>
        </w:rPr>
        <w:t>ם</w:t>
      </w:r>
      <w:r w:rsidRPr="00E805BF">
        <w:rPr>
          <w:rFonts w:cs="Arial" w:hint="cs"/>
          <w:sz w:val="16"/>
          <w:szCs w:val="16"/>
          <w:rtl/>
        </w:rPr>
        <w:t xml:space="preserve"> (</w:t>
      </w:r>
      <w:r>
        <w:rPr>
          <w:rFonts w:cs="Arial"/>
          <w:sz w:val="16"/>
          <w:szCs w:val="16"/>
          <w:rtl/>
        </w:rPr>
        <w:t>הלמ"א</w:t>
      </w:r>
      <w:r w:rsidRPr="00E805BF">
        <w:rPr>
          <w:rFonts w:cs="Arial" w:hint="cs"/>
          <w:sz w:val="16"/>
          <w:szCs w:val="16"/>
          <w:rtl/>
        </w:rPr>
        <w:t xml:space="preserve"> פט"ו </w:t>
      </w:r>
      <w:r w:rsidRPr="00E805BF">
        <w:rPr>
          <w:rFonts w:cs="Arial"/>
          <w:sz w:val="16"/>
          <w:szCs w:val="16"/>
          <w:rtl/>
        </w:rPr>
        <w:t>ה"ט)</w:t>
      </w:r>
      <w:r>
        <w:rPr>
          <w:rFonts w:cs="Arial" w:hint="cs"/>
          <w:rtl/>
        </w:rPr>
        <w:t>-</w:t>
      </w:r>
      <w:r w:rsidRPr="00E805BF">
        <w:rPr>
          <w:rFonts w:cs="Arial"/>
          <w:rtl/>
        </w:rPr>
        <w:t xml:space="preserve"> חמץ בפסח מיקרי דבר שיש לו מתירין</w:t>
      </w:r>
      <w:r>
        <w:rPr>
          <w:rFonts w:cs="Arial" w:hint="cs"/>
          <w:rtl/>
        </w:rPr>
        <w:t>. (וכ"פ רש"ל</w:t>
      </w:r>
      <w:r>
        <w:rPr>
          <w:rFonts w:cs="Arial" w:hint="cs"/>
          <w:sz w:val="16"/>
          <w:szCs w:val="16"/>
          <w:rtl/>
        </w:rPr>
        <w:t xml:space="preserve"> [חולין פ"ח סי' פז]</w:t>
      </w:r>
      <w:r>
        <w:rPr>
          <w:rFonts w:cs="Arial" w:hint="cs"/>
          <w:rtl/>
        </w:rPr>
        <w:t>)</w:t>
      </w:r>
    </w:p>
    <w:p w14:paraId="0F3D189C" w14:textId="77777777" w:rsidR="002C39F4" w:rsidRPr="0003345E" w:rsidRDefault="002C39F4" w:rsidP="002C39F4">
      <w:pPr>
        <w:rPr>
          <w:rFonts w:cs="Arial"/>
        </w:rPr>
      </w:pPr>
      <w:r w:rsidRPr="0003345E">
        <w:rPr>
          <w:rFonts w:cs="Arial" w:hint="cs"/>
          <w:u w:val="single"/>
          <w:rtl/>
        </w:rPr>
        <w:t xml:space="preserve">דבר שיש לו מתירין </w:t>
      </w:r>
      <w:r>
        <w:rPr>
          <w:rFonts w:cs="Arial" w:hint="cs"/>
          <w:u w:val="single"/>
          <w:rtl/>
        </w:rPr>
        <w:t>שנימוח בתבשיל</w:t>
      </w:r>
      <w:r w:rsidRPr="008211F3">
        <w:rPr>
          <w:rFonts w:cs="Arial" w:hint="cs"/>
          <w:sz w:val="16"/>
          <w:szCs w:val="16"/>
          <w:u w:val="single"/>
          <w:rtl/>
        </w:rPr>
        <w:t xml:space="preserve"> (היינו </w:t>
      </w:r>
      <w:r>
        <w:rPr>
          <w:rFonts w:cs="Arial" w:hint="cs"/>
          <w:sz w:val="16"/>
          <w:szCs w:val="16"/>
          <w:u w:val="single"/>
          <w:rtl/>
        </w:rPr>
        <w:t>שנתן טעם אבל לא נתן מראה</w:t>
      </w:r>
      <w:r w:rsidRPr="008211F3">
        <w:rPr>
          <w:rFonts w:cs="Arial" w:hint="cs"/>
          <w:sz w:val="16"/>
          <w:szCs w:val="16"/>
          <w:u w:val="single"/>
          <w:rtl/>
        </w:rPr>
        <w:t>)</w:t>
      </w:r>
      <w:r w:rsidRPr="0003345E">
        <w:rPr>
          <w:rFonts w:cs="Arial" w:hint="cs"/>
          <w:u w:val="single"/>
          <w:rtl/>
        </w:rPr>
        <w:t>:</w:t>
      </w:r>
      <w:r w:rsidRPr="0003345E">
        <w:rPr>
          <w:rFonts w:cs="Arial" w:hint="cs"/>
          <w:sz w:val="16"/>
          <w:szCs w:val="16"/>
          <w:rtl/>
        </w:rPr>
        <w:t xml:space="preserve">   (ב"י [כאן] ודרכ"מ [או"ח סי' תקיג אות א])</w:t>
      </w:r>
    </w:p>
    <w:p w14:paraId="35E5DEBB" w14:textId="77777777" w:rsidR="002C39F4" w:rsidRDefault="002C39F4" w:rsidP="0032102C">
      <w:pPr>
        <w:pStyle w:val="a8"/>
        <w:numPr>
          <w:ilvl w:val="0"/>
          <w:numId w:val="213"/>
        </w:numPr>
        <w:rPr>
          <w:rFonts w:cs="Arial"/>
          <w:u w:val="single"/>
        </w:rPr>
      </w:pPr>
      <w:r w:rsidRPr="009F4D96">
        <w:rPr>
          <w:rFonts w:cs="Arial"/>
          <w:rtl/>
        </w:rPr>
        <w:t xml:space="preserve">רבינו חיים </w:t>
      </w:r>
      <w:r w:rsidRPr="009F4D96">
        <w:rPr>
          <w:rFonts w:cs="Arial" w:hint="cs"/>
          <w:sz w:val="16"/>
          <w:szCs w:val="16"/>
          <w:rtl/>
        </w:rPr>
        <w:t>(</w:t>
      </w:r>
      <w:r>
        <w:rPr>
          <w:rFonts w:cs="Arial" w:hint="cs"/>
          <w:sz w:val="16"/>
          <w:szCs w:val="16"/>
          <w:rtl/>
        </w:rPr>
        <w:t>שם</w:t>
      </w:r>
      <w:r w:rsidRPr="009F4D96">
        <w:rPr>
          <w:rFonts w:cs="Arial"/>
          <w:sz w:val="16"/>
          <w:szCs w:val="16"/>
          <w:rtl/>
        </w:rPr>
        <w:t>)</w:t>
      </w:r>
      <w:r>
        <w:rPr>
          <w:rFonts w:cs="Arial" w:hint="cs"/>
          <w:rtl/>
        </w:rPr>
        <w:t xml:space="preserve"> </w:t>
      </w:r>
      <w:r w:rsidRPr="00916BBA">
        <w:rPr>
          <w:rFonts w:cs="Arial"/>
          <w:rtl/>
        </w:rPr>
        <w:t>מהרי"ח</w:t>
      </w:r>
      <w:r>
        <w:rPr>
          <w:rFonts w:cs="Arial" w:hint="cs"/>
          <w:rtl/>
        </w:rPr>
        <w:t xml:space="preserve"> </w:t>
      </w:r>
      <w:r w:rsidRPr="006D2742">
        <w:rPr>
          <w:rFonts w:cs="Arial"/>
          <w:sz w:val="16"/>
          <w:szCs w:val="16"/>
          <w:rtl/>
        </w:rPr>
        <w:t>(</w:t>
      </w:r>
      <w:r>
        <w:rPr>
          <w:rFonts w:cs="Arial" w:hint="cs"/>
          <w:sz w:val="16"/>
          <w:szCs w:val="16"/>
          <w:rtl/>
        </w:rPr>
        <w:t>הג</w:t>
      </w:r>
      <w:r>
        <w:rPr>
          <w:rFonts w:cs="Arial"/>
          <w:sz w:val="16"/>
          <w:szCs w:val="16"/>
          <w:rtl/>
        </w:rPr>
        <w:t>"</w:t>
      </w:r>
      <w:r>
        <w:rPr>
          <w:rFonts w:cs="Arial" w:hint="cs"/>
          <w:sz w:val="16"/>
          <w:szCs w:val="16"/>
          <w:rtl/>
        </w:rPr>
        <w:t xml:space="preserve">א </w:t>
      </w:r>
      <w:r w:rsidRPr="006D2742">
        <w:rPr>
          <w:rFonts w:cs="Arial"/>
          <w:sz w:val="16"/>
          <w:szCs w:val="16"/>
          <w:rtl/>
        </w:rPr>
        <w:t xml:space="preserve">ע"ז סי' </w:t>
      </w:r>
      <w:r>
        <w:rPr>
          <w:rFonts w:cs="Arial" w:hint="cs"/>
          <w:sz w:val="16"/>
          <w:szCs w:val="16"/>
          <w:rtl/>
        </w:rPr>
        <w:t xml:space="preserve">פ"ה </w:t>
      </w:r>
      <w:r w:rsidRPr="006D2742">
        <w:rPr>
          <w:rFonts w:cs="Arial"/>
          <w:sz w:val="16"/>
          <w:szCs w:val="16"/>
          <w:rtl/>
        </w:rPr>
        <w:t>כט)</w:t>
      </w:r>
      <w:r>
        <w:rPr>
          <w:rFonts w:hint="cs"/>
          <w:rtl/>
        </w:rPr>
        <w:t xml:space="preserve"> ו</w:t>
      </w:r>
      <w:r>
        <w:rPr>
          <w:rtl/>
        </w:rPr>
        <w:t xml:space="preserve">או"ה </w:t>
      </w:r>
      <w:r w:rsidRPr="009F4D96">
        <w:rPr>
          <w:rFonts w:hint="cs"/>
          <w:sz w:val="16"/>
          <w:szCs w:val="16"/>
          <w:rtl/>
        </w:rPr>
        <w:t>(</w:t>
      </w:r>
      <w:r w:rsidRPr="009F4D96">
        <w:rPr>
          <w:sz w:val="16"/>
          <w:szCs w:val="16"/>
          <w:rtl/>
        </w:rPr>
        <w:t>ככ</w:t>
      </w:r>
      <w:r>
        <w:rPr>
          <w:rFonts w:hint="cs"/>
          <w:sz w:val="16"/>
          <w:szCs w:val="16"/>
          <w:rtl/>
        </w:rPr>
        <w:t>"</w:t>
      </w:r>
      <w:r w:rsidRPr="009F4D96">
        <w:rPr>
          <w:sz w:val="16"/>
          <w:szCs w:val="16"/>
          <w:rtl/>
        </w:rPr>
        <w:t>ה דכ</w:t>
      </w:r>
      <w:r>
        <w:rPr>
          <w:rFonts w:hint="cs"/>
          <w:sz w:val="16"/>
          <w:szCs w:val="16"/>
          <w:rtl/>
        </w:rPr>
        <w:t>"</w:t>
      </w:r>
      <w:r w:rsidRPr="009F4D96">
        <w:rPr>
          <w:sz w:val="16"/>
          <w:szCs w:val="16"/>
          <w:rtl/>
        </w:rPr>
        <w:t>א)</w:t>
      </w:r>
      <w:r w:rsidRPr="009F4D96">
        <w:rPr>
          <w:rFonts w:cs="Arial" w:hint="cs"/>
          <w:rtl/>
        </w:rPr>
        <w:t>-</w:t>
      </w:r>
      <w:r w:rsidRPr="009F4D96">
        <w:rPr>
          <w:rFonts w:cs="Arial"/>
          <w:rtl/>
        </w:rPr>
        <w:t xml:space="preserve"> </w:t>
      </w:r>
      <w:r w:rsidRPr="006A0051">
        <w:rPr>
          <w:rFonts w:cs="Arial"/>
          <w:rtl/>
        </w:rPr>
        <w:t>דבר שאינו בעין כי אם טעמא בעלמא</w:t>
      </w:r>
      <w:r>
        <w:rPr>
          <w:rFonts w:cs="Arial" w:hint="cs"/>
          <w:rtl/>
        </w:rPr>
        <w:t xml:space="preserve"> - בטל</w:t>
      </w:r>
      <w:r>
        <w:rPr>
          <w:rStyle w:val="a7"/>
          <w:rFonts w:cs="Arial"/>
          <w:rtl/>
        </w:rPr>
        <w:footnoteReference w:id="2039"/>
      </w:r>
      <w:r>
        <w:rPr>
          <w:rFonts w:cs="Arial" w:hint="cs"/>
          <w:rtl/>
        </w:rPr>
        <w:t>.</w:t>
      </w:r>
      <w:r w:rsidRPr="009F4D96">
        <w:rPr>
          <w:rFonts w:cs="Arial" w:hint="cs"/>
          <w:color w:val="00B0F0"/>
          <w:rtl/>
        </w:rPr>
        <w:t xml:space="preserve"> </w:t>
      </w:r>
      <w:r w:rsidRPr="00C71586">
        <w:rPr>
          <w:rFonts w:cs="Arial" w:hint="cs"/>
          <w:color w:val="00B0F0"/>
          <w:rtl/>
        </w:rPr>
        <w:t>(וכ"פ הרמ"א)</w:t>
      </w:r>
    </w:p>
    <w:p w14:paraId="4E9E7F67" w14:textId="77777777" w:rsidR="002C39F4" w:rsidRPr="009F4D96" w:rsidRDefault="002C39F4" w:rsidP="0032102C">
      <w:pPr>
        <w:pStyle w:val="a8"/>
        <w:numPr>
          <w:ilvl w:val="0"/>
          <w:numId w:val="213"/>
        </w:numPr>
        <w:rPr>
          <w:rFonts w:cs="Arial"/>
          <w:u w:val="single"/>
          <w:rtl/>
        </w:rPr>
      </w:pPr>
      <w:r>
        <w:rPr>
          <w:rtl/>
        </w:rPr>
        <w:t xml:space="preserve">ר"ן </w:t>
      </w:r>
      <w:r w:rsidRPr="00870A82">
        <w:rPr>
          <w:rFonts w:hint="cs"/>
          <w:sz w:val="16"/>
          <w:szCs w:val="16"/>
          <w:rtl/>
        </w:rPr>
        <w:t>(</w:t>
      </w:r>
      <w:r>
        <w:rPr>
          <w:rFonts w:hint="cs"/>
          <w:sz w:val="16"/>
          <w:szCs w:val="16"/>
          <w:rtl/>
        </w:rPr>
        <w:t>נדרים נב. ד"ה וקשיא להו</w:t>
      </w:r>
      <w:r w:rsidRPr="00870A82">
        <w:rPr>
          <w:rFonts w:hint="cs"/>
          <w:sz w:val="16"/>
          <w:szCs w:val="16"/>
          <w:rtl/>
        </w:rPr>
        <w:t>)</w:t>
      </w:r>
      <w:r>
        <w:rPr>
          <w:rFonts w:hint="cs"/>
          <w:rtl/>
        </w:rPr>
        <w:t>-</w:t>
      </w:r>
      <w:r>
        <w:rPr>
          <w:rtl/>
        </w:rPr>
        <w:t xml:space="preserve"> </w:t>
      </w:r>
      <w:r>
        <w:rPr>
          <w:rFonts w:hint="cs"/>
          <w:rtl/>
        </w:rPr>
        <w:t>אפילו אין בו אלא טעמו אינו בטל</w:t>
      </w:r>
      <w:r>
        <w:rPr>
          <w:rStyle w:val="a7"/>
          <w:rtl/>
        </w:rPr>
        <w:footnoteReference w:id="2040"/>
      </w:r>
      <w:r>
        <w:rPr>
          <w:rtl/>
        </w:rPr>
        <w:t>.</w:t>
      </w:r>
      <w:r w:rsidRPr="003A24CA">
        <w:rPr>
          <w:rFonts w:cs="Arial" w:hint="cs"/>
          <w:rtl/>
        </w:rPr>
        <w:t xml:space="preserve"> (וכ"פ הש"ך</w:t>
      </w:r>
      <w:r>
        <w:rPr>
          <w:rStyle w:val="a7"/>
          <w:rFonts w:cs="Arial"/>
          <w:rtl/>
        </w:rPr>
        <w:footnoteReference w:id="2041"/>
      </w:r>
      <w:r w:rsidRPr="003A24CA">
        <w:rPr>
          <w:rFonts w:cs="Arial" w:hint="cs"/>
          <w:rtl/>
        </w:rPr>
        <w:t>)</w:t>
      </w:r>
    </w:p>
    <w:p w14:paraId="318A7998" w14:textId="77777777" w:rsidR="002C39F4" w:rsidRPr="00870A82" w:rsidRDefault="002C39F4" w:rsidP="002C39F4">
      <w:pPr>
        <w:rPr>
          <w:u w:val="single"/>
          <w:rtl/>
        </w:rPr>
      </w:pPr>
      <w:r>
        <w:rPr>
          <w:rFonts w:hint="cs"/>
          <w:u w:val="single"/>
          <w:rtl/>
        </w:rPr>
        <w:t>איסור ש</w:t>
      </w:r>
      <w:r w:rsidRPr="00870A82">
        <w:rPr>
          <w:u w:val="single"/>
          <w:rtl/>
        </w:rPr>
        <w:t>אי</w:t>
      </w:r>
      <w:r>
        <w:rPr>
          <w:rFonts w:hint="cs"/>
          <w:u w:val="single"/>
          <w:rtl/>
        </w:rPr>
        <w:t>נו</w:t>
      </w:r>
      <w:r w:rsidRPr="00870A82">
        <w:rPr>
          <w:u w:val="single"/>
          <w:rtl/>
        </w:rPr>
        <w:t xml:space="preserve"> אסור מחמת עצמו</w:t>
      </w:r>
      <w:r w:rsidRPr="00FA307C">
        <w:rPr>
          <w:rFonts w:hint="cs"/>
          <w:u w:val="single"/>
          <w:rtl/>
        </w:rPr>
        <w:t xml:space="preserve"> </w:t>
      </w:r>
      <w:r>
        <w:rPr>
          <w:rFonts w:hint="cs"/>
          <w:u w:val="single"/>
          <w:rtl/>
        </w:rPr>
        <w:t>ו</w:t>
      </w:r>
      <w:r w:rsidRPr="00870A82">
        <w:rPr>
          <w:rFonts w:hint="cs"/>
          <w:u w:val="single"/>
          <w:rtl/>
        </w:rPr>
        <w:t>יש לו מתירין:</w:t>
      </w:r>
      <w:r w:rsidRPr="00870A82">
        <w:rPr>
          <w:rFonts w:hint="cs"/>
          <w:sz w:val="16"/>
          <w:szCs w:val="16"/>
          <w:rtl/>
        </w:rPr>
        <w:t xml:space="preserve">  </w:t>
      </w:r>
      <w:r w:rsidRPr="00870A82">
        <w:rPr>
          <w:sz w:val="16"/>
          <w:szCs w:val="16"/>
          <w:rtl/>
        </w:rPr>
        <w:t>(</w:t>
      </w:r>
      <w:r w:rsidRPr="00870A82">
        <w:rPr>
          <w:rFonts w:hint="cs"/>
          <w:sz w:val="16"/>
          <w:szCs w:val="16"/>
          <w:rtl/>
        </w:rPr>
        <w:t xml:space="preserve">דרכ"מ אות </w:t>
      </w:r>
      <w:r w:rsidRPr="00870A82">
        <w:rPr>
          <w:sz w:val="16"/>
          <w:szCs w:val="16"/>
          <w:rtl/>
        </w:rPr>
        <w:t>ב)</w:t>
      </w:r>
    </w:p>
    <w:p w14:paraId="28679AA1" w14:textId="77777777" w:rsidR="002C39F4" w:rsidRDefault="002C39F4" w:rsidP="0032102C">
      <w:pPr>
        <w:pStyle w:val="a8"/>
        <w:numPr>
          <w:ilvl w:val="0"/>
          <w:numId w:val="211"/>
        </w:numPr>
        <w:rPr>
          <w:rtl/>
        </w:rPr>
      </w:pPr>
      <w:r>
        <w:rPr>
          <w:rFonts w:hint="cs"/>
          <w:rtl/>
        </w:rPr>
        <w:t xml:space="preserve">(תרוה"ד </w:t>
      </w:r>
      <w:r w:rsidRPr="003A24CA">
        <w:rPr>
          <w:rFonts w:hint="cs"/>
          <w:sz w:val="14"/>
          <w:szCs w:val="14"/>
          <w:rtl/>
        </w:rPr>
        <w:t xml:space="preserve">[סי' קע] </w:t>
      </w:r>
      <w:r>
        <w:rPr>
          <w:rFonts w:hint="cs"/>
          <w:sz w:val="16"/>
          <w:szCs w:val="16"/>
          <w:rtl/>
        </w:rPr>
        <w:t>להב' הדרכ"מ</w:t>
      </w:r>
      <w:r>
        <w:rPr>
          <w:rFonts w:hint="cs"/>
          <w:rtl/>
        </w:rPr>
        <w:t xml:space="preserve">)- </w:t>
      </w:r>
      <w:r>
        <w:rPr>
          <w:rtl/>
        </w:rPr>
        <w:t>חתיכה שלא נמלחה ג' ימים שאסורה בבישול אם נתערבה באחרות בטילה ולא אמרינן דהוי דשיל"מ הואיל ושרי לצלי</w:t>
      </w:r>
      <w:r>
        <w:rPr>
          <w:rFonts w:hint="cs"/>
          <w:rtl/>
        </w:rPr>
        <w:t>,</w:t>
      </w:r>
      <w:r>
        <w:rPr>
          <w:rtl/>
        </w:rPr>
        <w:t xml:space="preserve"> דלא מקרי דשיל"מ אא"כ הותר לאותו דבר שהיה אסורה תחלה משא"כ כאן דלצלי לא נאסר מעולם</w:t>
      </w:r>
      <w:r w:rsidRPr="0016006D">
        <w:rPr>
          <w:rtl/>
        </w:rPr>
        <w:t xml:space="preserve"> </w:t>
      </w:r>
      <w:r>
        <w:rPr>
          <w:rFonts w:hint="cs"/>
          <w:rtl/>
        </w:rPr>
        <w:t xml:space="preserve">הילכך </w:t>
      </w:r>
      <w:r>
        <w:rPr>
          <w:rtl/>
        </w:rPr>
        <w:t>חתיכה זו שלא מלחה לא הוי איסורה מעצמה ולכן יש לה ביטול</w:t>
      </w:r>
      <w:r>
        <w:rPr>
          <w:rStyle w:val="a7"/>
          <w:rtl/>
        </w:rPr>
        <w:footnoteReference w:id="2042"/>
      </w:r>
      <w:r>
        <w:rPr>
          <w:rFonts w:hint="cs"/>
          <w:rtl/>
        </w:rPr>
        <w:t xml:space="preserve">. </w:t>
      </w:r>
      <w:r w:rsidRPr="00C71586">
        <w:rPr>
          <w:rFonts w:cs="Arial" w:hint="cs"/>
          <w:color w:val="00B0F0"/>
          <w:rtl/>
        </w:rPr>
        <w:t>(וכ"פ הרמ"א)</w:t>
      </w:r>
      <w:r>
        <w:rPr>
          <w:rFonts w:hint="cs"/>
          <w:rtl/>
        </w:rPr>
        <w:t xml:space="preserve"> </w:t>
      </w:r>
    </w:p>
    <w:p w14:paraId="29A3E73C" w14:textId="77777777" w:rsidR="002C39F4" w:rsidRDefault="002C39F4" w:rsidP="0032102C">
      <w:pPr>
        <w:pStyle w:val="a8"/>
        <w:numPr>
          <w:ilvl w:val="0"/>
          <w:numId w:val="211"/>
        </w:numPr>
        <w:rPr>
          <w:rtl/>
        </w:rPr>
      </w:pPr>
      <w:r>
        <w:rPr>
          <w:rFonts w:hint="cs"/>
          <w:rtl/>
        </w:rPr>
        <w:t xml:space="preserve">(רי"ף </w:t>
      </w:r>
      <w:r>
        <w:rPr>
          <w:rFonts w:hint="cs"/>
          <w:sz w:val="14"/>
          <w:szCs w:val="14"/>
          <w:rtl/>
        </w:rPr>
        <w:t>[לב.]</w:t>
      </w:r>
      <w:r>
        <w:rPr>
          <w:rFonts w:hint="cs"/>
          <w:sz w:val="16"/>
          <w:szCs w:val="16"/>
          <w:rtl/>
        </w:rPr>
        <w:t xml:space="preserve"> להב' הר"ן</w:t>
      </w:r>
      <w:r>
        <w:rPr>
          <w:rFonts w:hint="cs"/>
          <w:rtl/>
        </w:rPr>
        <w:t xml:space="preserve">) </w:t>
      </w:r>
      <w:r>
        <w:rPr>
          <w:rtl/>
        </w:rPr>
        <w:t xml:space="preserve">ר"ן </w:t>
      </w:r>
      <w:r w:rsidRPr="00870A82">
        <w:rPr>
          <w:rFonts w:hint="cs"/>
          <w:sz w:val="16"/>
          <w:szCs w:val="16"/>
          <w:rtl/>
        </w:rPr>
        <w:t>(נדרים נב.)</w:t>
      </w:r>
      <w:r w:rsidRPr="003A24CA">
        <w:rPr>
          <w:rFonts w:hint="cs"/>
          <w:rtl/>
        </w:rPr>
        <w:t xml:space="preserve"> </w:t>
      </w:r>
      <w:r>
        <w:rPr>
          <w:rFonts w:hint="cs"/>
          <w:rtl/>
        </w:rPr>
        <w:t xml:space="preserve">(ותרוה"ד </w:t>
      </w:r>
      <w:r>
        <w:rPr>
          <w:rFonts w:hint="cs"/>
          <w:sz w:val="16"/>
          <w:szCs w:val="16"/>
          <w:rtl/>
        </w:rPr>
        <w:t>להב' הט"ז והש"ך</w:t>
      </w:r>
      <w:r>
        <w:rPr>
          <w:rFonts w:hint="cs"/>
          <w:rtl/>
        </w:rPr>
        <w:t>)-</w:t>
      </w:r>
      <w:r>
        <w:rPr>
          <w:rtl/>
        </w:rPr>
        <w:t xml:space="preserve"> אף דבר שאין איסורו מחמת עצמו אם יש לו מתירין אוסרין באלף</w:t>
      </w:r>
      <w:r>
        <w:rPr>
          <w:rStyle w:val="a7"/>
          <w:rtl/>
        </w:rPr>
        <w:footnoteReference w:id="2043"/>
      </w:r>
      <w:r>
        <w:rPr>
          <w:rFonts w:hint="cs"/>
          <w:rtl/>
        </w:rPr>
        <w:t xml:space="preserve">, הילכך </w:t>
      </w:r>
      <w:r>
        <w:rPr>
          <w:rtl/>
        </w:rPr>
        <w:t xml:space="preserve">חתיכה שלא נמלחה ג' ימים שאסורה בבישול אם נתערבה באחרות </w:t>
      </w:r>
      <w:r>
        <w:rPr>
          <w:rFonts w:hint="cs"/>
          <w:rtl/>
        </w:rPr>
        <w:t xml:space="preserve">אינה </w:t>
      </w:r>
      <w:r>
        <w:rPr>
          <w:rtl/>
        </w:rPr>
        <w:t>בטילה</w:t>
      </w:r>
      <w:r>
        <w:rPr>
          <w:rFonts w:hint="cs"/>
          <w:rtl/>
        </w:rPr>
        <w:t xml:space="preserve"> דהוי דשיל"מ. (וכ"פ רש"ל </w:t>
      </w:r>
      <w:r>
        <w:rPr>
          <w:rFonts w:hint="cs"/>
          <w:sz w:val="16"/>
          <w:szCs w:val="16"/>
          <w:rtl/>
        </w:rPr>
        <w:t xml:space="preserve">[חולין פ"ח סי' פו] </w:t>
      </w:r>
      <w:r>
        <w:rPr>
          <w:rFonts w:hint="cs"/>
          <w:rtl/>
        </w:rPr>
        <w:t>ט"ז</w:t>
      </w:r>
      <w:r>
        <w:rPr>
          <w:rFonts w:hint="cs"/>
          <w:sz w:val="16"/>
          <w:szCs w:val="16"/>
          <w:rtl/>
        </w:rPr>
        <w:t xml:space="preserve"> [סק"י]</w:t>
      </w:r>
      <w:r>
        <w:rPr>
          <w:rFonts w:hint="cs"/>
          <w:rtl/>
        </w:rPr>
        <w:t xml:space="preserve"> וש"ך</w:t>
      </w:r>
      <w:r>
        <w:rPr>
          <w:rFonts w:hint="cs"/>
          <w:sz w:val="16"/>
          <w:szCs w:val="16"/>
          <w:rtl/>
        </w:rPr>
        <w:t xml:space="preserve"> [סק"י]</w:t>
      </w:r>
      <w:r>
        <w:rPr>
          <w:rFonts w:hint="cs"/>
          <w:rtl/>
        </w:rPr>
        <w:t>)</w:t>
      </w:r>
    </w:p>
    <w:p w14:paraId="0FEAACFC" w14:textId="77777777" w:rsidR="002C39F4" w:rsidRPr="004E2888" w:rsidRDefault="002C39F4" w:rsidP="002C39F4">
      <w:pPr>
        <w:rPr>
          <w:u w:val="single"/>
          <w:rtl/>
        </w:rPr>
      </w:pPr>
      <w:r w:rsidRPr="004E2888">
        <w:rPr>
          <w:u w:val="single"/>
          <w:rtl/>
        </w:rPr>
        <w:t>דבר שלא היה ניכר האיסור פעם אחת בפני עצמו</w:t>
      </w:r>
      <w:r>
        <w:rPr>
          <w:rFonts w:hint="cs"/>
          <w:u w:val="single"/>
          <w:rtl/>
        </w:rPr>
        <w:t>:</w:t>
      </w:r>
      <w:r w:rsidRPr="00870A82">
        <w:rPr>
          <w:rFonts w:hint="cs"/>
          <w:sz w:val="16"/>
          <w:szCs w:val="16"/>
          <w:rtl/>
        </w:rPr>
        <w:t xml:space="preserve">  </w:t>
      </w:r>
      <w:r w:rsidRPr="00870A82">
        <w:rPr>
          <w:sz w:val="16"/>
          <w:szCs w:val="16"/>
          <w:rtl/>
        </w:rPr>
        <w:t>(</w:t>
      </w:r>
      <w:r w:rsidRPr="00870A82">
        <w:rPr>
          <w:rFonts w:hint="cs"/>
          <w:sz w:val="16"/>
          <w:szCs w:val="16"/>
          <w:rtl/>
        </w:rPr>
        <w:t xml:space="preserve">דרכ"מ אות </w:t>
      </w:r>
      <w:r w:rsidRPr="00870A82">
        <w:rPr>
          <w:sz w:val="16"/>
          <w:szCs w:val="16"/>
          <w:rtl/>
        </w:rPr>
        <w:t>ב)</w:t>
      </w:r>
    </w:p>
    <w:p w14:paraId="38FAFE43" w14:textId="77777777" w:rsidR="002C39F4" w:rsidRDefault="002C39F4" w:rsidP="0032102C">
      <w:pPr>
        <w:pStyle w:val="a8"/>
        <w:numPr>
          <w:ilvl w:val="0"/>
          <w:numId w:val="211"/>
        </w:numPr>
        <w:rPr>
          <w:rtl/>
        </w:rPr>
      </w:pPr>
      <w:r>
        <w:rPr>
          <w:rtl/>
        </w:rPr>
        <w:t xml:space="preserve">או"ה </w:t>
      </w:r>
      <w:r w:rsidRPr="004E2888">
        <w:rPr>
          <w:sz w:val="16"/>
          <w:szCs w:val="16"/>
          <w:rtl/>
        </w:rPr>
        <w:t>(כלל כה ד</w:t>
      </w:r>
      <w:r>
        <w:rPr>
          <w:rFonts w:hint="cs"/>
          <w:sz w:val="16"/>
          <w:szCs w:val="16"/>
          <w:rtl/>
        </w:rPr>
        <w:t>"</w:t>
      </w:r>
      <w:r w:rsidRPr="004E2888">
        <w:rPr>
          <w:sz w:val="16"/>
          <w:szCs w:val="16"/>
          <w:rtl/>
        </w:rPr>
        <w:t>כ)</w:t>
      </w:r>
      <w:r>
        <w:rPr>
          <w:rFonts w:hint="cs"/>
          <w:rtl/>
        </w:rPr>
        <w:t>-</w:t>
      </w:r>
      <w:r>
        <w:rPr>
          <w:rtl/>
        </w:rPr>
        <w:t xml:space="preserve"> </w:t>
      </w:r>
      <w:r w:rsidRPr="003F6C20">
        <w:rPr>
          <w:rFonts w:cs="Arial"/>
          <w:rtl/>
        </w:rPr>
        <w:t>דבר שאין ניכר כ"א בפני עצמו אלא תחלת ביאתן לעולם הוי ע"י תערובת לא נקרא דשיל"מ</w:t>
      </w:r>
      <w:r>
        <w:rPr>
          <w:rStyle w:val="a7"/>
          <w:rtl/>
        </w:rPr>
        <w:footnoteReference w:id="2044"/>
      </w:r>
      <w:r>
        <w:rPr>
          <w:rFonts w:hint="cs"/>
          <w:rtl/>
        </w:rPr>
        <w:t>.</w:t>
      </w:r>
      <w:r w:rsidRPr="00A37785">
        <w:rPr>
          <w:rFonts w:cs="Arial" w:hint="cs"/>
          <w:color w:val="00B0F0"/>
          <w:rtl/>
        </w:rPr>
        <w:t xml:space="preserve"> </w:t>
      </w:r>
      <w:r w:rsidRPr="00C71586">
        <w:rPr>
          <w:rFonts w:cs="Arial" w:hint="cs"/>
          <w:color w:val="00B0F0"/>
          <w:rtl/>
        </w:rPr>
        <w:t>(וכ"פ הרמ"א)</w:t>
      </w:r>
    </w:p>
    <w:p w14:paraId="0FF92B75" w14:textId="77777777" w:rsidR="002C39F4" w:rsidRPr="00E805BF" w:rsidRDefault="002C39F4" w:rsidP="002C39F4">
      <w:pPr>
        <w:rPr>
          <w:rFonts w:cs="Arial"/>
          <w:u w:val="single"/>
          <w:rtl/>
        </w:rPr>
      </w:pPr>
      <w:r w:rsidRPr="00E805BF">
        <w:rPr>
          <w:rFonts w:cs="Arial"/>
          <w:u w:val="single"/>
          <w:rtl/>
        </w:rPr>
        <w:t>דבר שיש לו מתירין שהוא אסור לזה ומותר לזה</w:t>
      </w:r>
      <w:r>
        <w:rPr>
          <w:rFonts w:cs="Arial" w:hint="cs"/>
          <w:u w:val="single"/>
          <w:rtl/>
        </w:rPr>
        <w:t>:</w:t>
      </w:r>
      <w:r w:rsidRPr="00E805BF">
        <w:rPr>
          <w:rFonts w:cs="Arial"/>
          <w:u w:val="single"/>
          <w:rtl/>
        </w:rPr>
        <w:t xml:space="preserve"> </w:t>
      </w:r>
    </w:p>
    <w:p w14:paraId="6504D62F" w14:textId="77777777" w:rsidR="002C39F4" w:rsidRPr="00E805BF" w:rsidRDefault="002C39F4" w:rsidP="0032102C">
      <w:pPr>
        <w:pStyle w:val="a8"/>
        <w:numPr>
          <w:ilvl w:val="0"/>
          <w:numId w:val="214"/>
        </w:numPr>
        <w:rPr>
          <w:rFonts w:cs="Arial"/>
          <w:rtl/>
        </w:rPr>
      </w:pPr>
      <w:r w:rsidRPr="00E805BF">
        <w:rPr>
          <w:rFonts w:cs="Arial" w:hint="cs"/>
          <w:rtl/>
        </w:rPr>
        <w:t>רי"ו</w:t>
      </w:r>
      <w:r w:rsidRPr="00E805BF">
        <w:rPr>
          <w:rFonts w:cs="Arial"/>
          <w:rtl/>
        </w:rPr>
        <w:t xml:space="preserve"> </w:t>
      </w:r>
      <w:r w:rsidRPr="00E805BF">
        <w:rPr>
          <w:rFonts w:cs="Arial"/>
          <w:sz w:val="16"/>
          <w:szCs w:val="16"/>
          <w:rtl/>
        </w:rPr>
        <w:t>(נט"ו אות כט קמ ע"ג)</w:t>
      </w:r>
      <w:r w:rsidRPr="00E805BF">
        <w:rPr>
          <w:rFonts w:cs="Arial"/>
          <w:rtl/>
        </w:rPr>
        <w:t xml:space="preserve"> בשם הרמ"ה</w:t>
      </w:r>
      <w:r w:rsidRPr="00E805BF">
        <w:rPr>
          <w:rFonts w:cs="Arial" w:hint="cs"/>
          <w:rtl/>
        </w:rPr>
        <w:t>-</w:t>
      </w:r>
      <w:r w:rsidRPr="00E805BF">
        <w:rPr>
          <w:rFonts w:cs="Arial"/>
          <w:rtl/>
        </w:rPr>
        <w:t xml:space="preserve"> דבר שיש לו מתירין שהוא אסור לזה ומותר לזה ואין לו מתירין למי שהוא אסור לו פירוש כגון המבשל בשבת וכיוצא בו לאו דבר שיש לו מתירין הוא ובטל</w:t>
      </w:r>
      <w:r w:rsidRPr="00E805BF">
        <w:rPr>
          <w:rFonts w:cs="Arial"/>
          <w:sz w:val="16"/>
          <w:szCs w:val="16"/>
          <w:rtl/>
        </w:rPr>
        <w:t xml:space="preserve"> (</w:t>
      </w:r>
      <w:r>
        <w:rPr>
          <w:rFonts w:cs="Arial" w:hint="cs"/>
          <w:sz w:val="16"/>
          <w:szCs w:val="16"/>
          <w:rtl/>
        </w:rPr>
        <w:t xml:space="preserve">עי' </w:t>
      </w:r>
      <w:r w:rsidRPr="00E805BF">
        <w:rPr>
          <w:rFonts w:cs="Arial"/>
          <w:sz w:val="16"/>
          <w:szCs w:val="16"/>
          <w:rtl/>
        </w:rPr>
        <w:t>יבמות פב.)</w:t>
      </w:r>
      <w:r w:rsidRPr="00E805BF">
        <w:rPr>
          <w:rFonts w:cs="Arial" w:hint="cs"/>
          <w:rtl/>
        </w:rPr>
        <w:t>.</w:t>
      </w:r>
      <w:r w:rsidRPr="00E805BF">
        <w:rPr>
          <w:rFonts w:cs="Arial"/>
          <w:rtl/>
        </w:rPr>
        <w:t xml:space="preserve"> </w:t>
      </w:r>
      <w:r w:rsidRPr="00C71586">
        <w:rPr>
          <w:rFonts w:cs="Arial" w:hint="cs"/>
          <w:color w:val="00B0F0"/>
          <w:rtl/>
        </w:rPr>
        <w:t>(וכ"פ הרמ"א)</w:t>
      </w:r>
    </w:p>
    <w:p w14:paraId="0599A923" w14:textId="77777777" w:rsidR="002C39F4" w:rsidRPr="0016006D" w:rsidRDefault="002C39F4" w:rsidP="002C39F4">
      <w:pPr>
        <w:rPr>
          <w:u w:val="single"/>
          <w:rtl/>
        </w:rPr>
      </w:pPr>
      <w:r w:rsidRPr="0016006D">
        <w:rPr>
          <w:u w:val="single"/>
          <w:rtl/>
        </w:rPr>
        <w:t xml:space="preserve">נדר מיין </w:t>
      </w:r>
      <w:r w:rsidRPr="0016006D">
        <w:rPr>
          <w:rFonts w:hint="cs"/>
          <w:u w:val="single"/>
          <w:rtl/>
        </w:rPr>
        <w:t>מסויים</w:t>
      </w:r>
      <w:r w:rsidRPr="0016006D">
        <w:rPr>
          <w:u w:val="single"/>
          <w:rtl/>
        </w:rPr>
        <w:t xml:space="preserve"> ונפל ממנו טיפה לחבית גדולה</w:t>
      </w:r>
      <w:r w:rsidRPr="0016006D">
        <w:rPr>
          <w:rFonts w:hint="cs"/>
          <w:u w:val="single"/>
          <w:rtl/>
        </w:rPr>
        <w:t>:</w:t>
      </w:r>
      <w:r w:rsidRPr="00870A82">
        <w:rPr>
          <w:rFonts w:hint="cs"/>
          <w:sz w:val="16"/>
          <w:szCs w:val="16"/>
          <w:rtl/>
        </w:rPr>
        <w:t xml:space="preserve">  </w:t>
      </w:r>
      <w:r w:rsidRPr="00870A82">
        <w:rPr>
          <w:sz w:val="16"/>
          <w:szCs w:val="16"/>
          <w:rtl/>
        </w:rPr>
        <w:t>(</w:t>
      </w:r>
      <w:r w:rsidRPr="00870A82">
        <w:rPr>
          <w:rFonts w:hint="cs"/>
          <w:sz w:val="16"/>
          <w:szCs w:val="16"/>
          <w:rtl/>
        </w:rPr>
        <w:t xml:space="preserve">דרכ"מ אות </w:t>
      </w:r>
      <w:r w:rsidRPr="00870A82">
        <w:rPr>
          <w:sz w:val="16"/>
          <w:szCs w:val="16"/>
          <w:rtl/>
        </w:rPr>
        <w:t>ב)</w:t>
      </w:r>
    </w:p>
    <w:p w14:paraId="72FA51F1" w14:textId="77777777" w:rsidR="002C39F4" w:rsidRDefault="002C39F4" w:rsidP="0032102C">
      <w:pPr>
        <w:pStyle w:val="a8"/>
        <w:numPr>
          <w:ilvl w:val="0"/>
          <w:numId w:val="212"/>
        </w:numPr>
        <w:rPr>
          <w:rtl/>
        </w:rPr>
      </w:pPr>
      <w:r>
        <w:rPr>
          <w:rFonts w:hint="cs"/>
          <w:rtl/>
        </w:rPr>
        <w:t xml:space="preserve">רמב"ם </w:t>
      </w:r>
      <w:r>
        <w:rPr>
          <w:rtl/>
        </w:rPr>
        <w:t xml:space="preserve">ר"ן </w:t>
      </w:r>
      <w:r>
        <w:rPr>
          <w:rFonts w:hint="cs"/>
          <w:rtl/>
        </w:rPr>
        <w:t>ואו</w:t>
      </w:r>
      <w:r>
        <w:rPr>
          <w:rtl/>
        </w:rPr>
        <w:t>"</w:t>
      </w:r>
      <w:r>
        <w:rPr>
          <w:rFonts w:hint="cs"/>
          <w:rtl/>
        </w:rPr>
        <w:t>ה</w:t>
      </w:r>
      <w:r>
        <w:rPr>
          <w:rStyle w:val="a7"/>
          <w:rtl/>
        </w:rPr>
        <w:footnoteReference w:id="2045"/>
      </w:r>
      <w:r>
        <w:rPr>
          <w:rFonts w:hint="cs"/>
          <w:rtl/>
        </w:rPr>
        <w:t xml:space="preserve">- </w:t>
      </w:r>
      <w:r w:rsidRPr="0016006D">
        <w:rPr>
          <w:rFonts w:cs="Arial"/>
          <w:rtl/>
        </w:rPr>
        <w:t>נתערב יין זה שאסרו על עצמו ביין אחר אפילו טיפה בחבית נאסר הכל, מפני שיש לו להשאל על נדרו נעשה כדבר שיש לו מתירין שאינו בטל במינו</w:t>
      </w:r>
      <w:r>
        <w:rPr>
          <w:rFonts w:hint="cs"/>
          <w:sz w:val="16"/>
          <w:szCs w:val="16"/>
          <w:rtl/>
        </w:rPr>
        <w:t xml:space="preserve"> (ל' הרמב"ם)</w:t>
      </w:r>
      <w:r>
        <w:rPr>
          <w:rFonts w:hint="cs"/>
          <w:rtl/>
        </w:rPr>
        <w:t>.</w:t>
      </w:r>
      <w:r>
        <w:rPr>
          <w:rtl/>
        </w:rPr>
        <w:t xml:space="preserve"> </w:t>
      </w:r>
      <w:r>
        <w:rPr>
          <w:rFonts w:hint="cs"/>
          <w:color w:val="00B0F0"/>
          <w:rtl/>
        </w:rPr>
        <w:t>(וכ"פ הרמ"א)</w:t>
      </w:r>
    </w:p>
    <w:p w14:paraId="08268D87" w14:textId="77777777" w:rsidR="002C39F4" w:rsidRPr="006B2B8E" w:rsidRDefault="002C39F4" w:rsidP="002C39F4">
      <w:pPr>
        <w:rPr>
          <w:rFonts w:cs="Arial"/>
          <w:sz w:val="16"/>
          <w:szCs w:val="16"/>
          <w:rtl/>
        </w:rPr>
      </w:pPr>
      <w:r w:rsidRPr="006B2B8E">
        <w:rPr>
          <w:rFonts w:cs="Arial" w:hint="cs"/>
          <w:u w:val="single"/>
          <w:rtl/>
        </w:rPr>
        <w:t xml:space="preserve">שכר </w:t>
      </w:r>
      <w:r>
        <w:rPr>
          <w:rFonts w:cs="Arial" w:hint="cs"/>
          <w:u w:val="single"/>
          <w:rtl/>
        </w:rPr>
        <w:t xml:space="preserve">שעורים </w:t>
      </w:r>
      <w:r w:rsidRPr="006B2B8E">
        <w:rPr>
          <w:rFonts w:cs="Arial" w:hint="cs"/>
          <w:u w:val="single"/>
          <w:rtl/>
        </w:rPr>
        <w:t>שספק אם הוא מהתבואה החדשה:</w:t>
      </w:r>
      <w:r>
        <w:rPr>
          <w:rFonts w:cs="Arial" w:hint="cs"/>
          <w:sz w:val="16"/>
          <w:szCs w:val="16"/>
          <w:rtl/>
        </w:rPr>
        <w:t xml:space="preserve">  (ב"י [בבדה"ב])</w:t>
      </w:r>
    </w:p>
    <w:p w14:paraId="4A103B00" w14:textId="77777777" w:rsidR="002C39F4" w:rsidRPr="006B2B8E" w:rsidRDefault="002C39F4" w:rsidP="0032102C">
      <w:pPr>
        <w:pStyle w:val="a8"/>
        <w:numPr>
          <w:ilvl w:val="0"/>
          <w:numId w:val="214"/>
        </w:numPr>
        <w:rPr>
          <w:rFonts w:cs="Arial"/>
          <w:rtl/>
        </w:rPr>
      </w:pPr>
      <w:r w:rsidRPr="006B2B8E">
        <w:rPr>
          <w:rFonts w:cs="Arial"/>
          <w:rtl/>
        </w:rPr>
        <w:t>רא</w:t>
      </w:r>
      <w:r w:rsidRPr="006B2B8E">
        <w:rPr>
          <w:rFonts w:cs="Arial" w:hint="cs"/>
          <w:rtl/>
        </w:rPr>
        <w:t>"ש</w:t>
      </w:r>
      <w:r w:rsidRPr="006B2B8E">
        <w:rPr>
          <w:rFonts w:cs="Arial"/>
          <w:sz w:val="16"/>
          <w:szCs w:val="16"/>
          <w:rtl/>
        </w:rPr>
        <w:t xml:space="preserve"> </w:t>
      </w:r>
      <w:r w:rsidRPr="006B2B8E">
        <w:rPr>
          <w:rFonts w:cs="Arial" w:hint="cs"/>
          <w:sz w:val="16"/>
          <w:szCs w:val="16"/>
          <w:rtl/>
        </w:rPr>
        <w:t>(</w:t>
      </w:r>
      <w:r w:rsidRPr="006B2B8E">
        <w:rPr>
          <w:rFonts w:cs="Arial"/>
          <w:sz w:val="16"/>
          <w:szCs w:val="16"/>
          <w:rtl/>
        </w:rPr>
        <w:t>כלל ב סי' א)</w:t>
      </w:r>
      <w:r>
        <w:rPr>
          <w:rFonts w:cs="Arial" w:hint="cs"/>
          <w:rtl/>
        </w:rPr>
        <w:t>-</w:t>
      </w:r>
      <w:r w:rsidRPr="006B2B8E">
        <w:rPr>
          <w:rFonts w:cs="Arial"/>
          <w:rtl/>
        </w:rPr>
        <w:t xml:space="preserve"> מצאתי כתוב בשם הר"מ מה שאנו שותים שכר יש אומרים משום ספק ספיקא</w:t>
      </w:r>
      <w:r w:rsidRPr="006B2B8E">
        <w:rPr>
          <w:rFonts w:cs="Arial" w:hint="cs"/>
          <w:rtl/>
        </w:rPr>
        <w:t>,</w:t>
      </w:r>
      <w:r w:rsidRPr="006B2B8E">
        <w:rPr>
          <w:rFonts w:cs="Arial"/>
          <w:rtl/>
        </w:rPr>
        <w:t xml:space="preserve"> ספק חדש ספק ישן ואם תמצי לומר חדש שמא השריש קודם לעומר</w:t>
      </w:r>
      <w:r w:rsidRPr="006B2B8E">
        <w:rPr>
          <w:rFonts w:cs="Arial" w:hint="cs"/>
          <w:rtl/>
        </w:rPr>
        <w:t>,</w:t>
      </w:r>
      <w:r w:rsidRPr="006B2B8E">
        <w:rPr>
          <w:rFonts w:cs="Arial"/>
          <w:rtl/>
        </w:rPr>
        <w:t xml:space="preserve"> ואני אומר דבר שיש לו מתירין אפילו ספק ספיקא אסור אלא להכי שרי דבטל בששים</w:t>
      </w:r>
      <w:r w:rsidRPr="006B2B8E">
        <w:rPr>
          <w:rFonts w:cs="Arial" w:hint="cs"/>
          <w:rtl/>
        </w:rPr>
        <w:t>,</w:t>
      </w:r>
      <w:r w:rsidRPr="006B2B8E">
        <w:rPr>
          <w:rFonts w:cs="Arial"/>
          <w:rtl/>
        </w:rPr>
        <w:t xml:space="preserve"> והא דאמרינן אפילו באלף לא בטיל הני מילי מין במינו כדאיתא בירושלמי דשביעית </w:t>
      </w:r>
      <w:r w:rsidRPr="006B2B8E">
        <w:rPr>
          <w:rFonts w:cs="Arial"/>
          <w:sz w:val="16"/>
          <w:szCs w:val="16"/>
          <w:rtl/>
        </w:rPr>
        <w:t>(פ"ו ה"ג)</w:t>
      </w:r>
      <w:r w:rsidRPr="006B2B8E">
        <w:rPr>
          <w:rFonts w:cs="Arial" w:hint="cs"/>
          <w:rtl/>
        </w:rPr>
        <w:t>,</w:t>
      </w:r>
      <w:r w:rsidRPr="006B2B8E">
        <w:rPr>
          <w:rFonts w:cs="Arial"/>
          <w:rtl/>
        </w:rPr>
        <w:t xml:space="preserve"> והא דאמרינן גבי יו</w:t>
      </w:r>
      <w:r w:rsidRPr="006B2B8E">
        <w:rPr>
          <w:rFonts w:cs="Arial" w:hint="cs"/>
          <w:rtl/>
        </w:rPr>
        <w:t>"</w:t>
      </w:r>
      <w:r w:rsidRPr="006B2B8E">
        <w:rPr>
          <w:rFonts w:cs="Arial"/>
          <w:rtl/>
        </w:rPr>
        <w:t xml:space="preserve">ט </w:t>
      </w:r>
      <w:r w:rsidRPr="006B2B8E">
        <w:rPr>
          <w:rFonts w:cs="Arial"/>
          <w:sz w:val="16"/>
          <w:szCs w:val="16"/>
          <w:rtl/>
        </w:rPr>
        <w:t>(ביצה לז.)</w:t>
      </w:r>
      <w:r w:rsidRPr="006B2B8E">
        <w:rPr>
          <w:rFonts w:cs="Arial"/>
          <w:rtl/>
        </w:rPr>
        <w:t xml:space="preserve"> שאלה מים ומלח לעיסתה אע</w:t>
      </w:r>
      <w:r w:rsidRPr="006B2B8E">
        <w:rPr>
          <w:rFonts w:cs="Arial" w:hint="cs"/>
          <w:rtl/>
        </w:rPr>
        <w:t>"</w:t>
      </w:r>
      <w:r w:rsidRPr="006B2B8E">
        <w:rPr>
          <w:rFonts w:cs="Arial"/>
          <w:rtl/>
        </w:rPr>
        <w:t>ג דשאינו מינו לא בטיל שאני התם דלטעמא עבידא וטעמא לא בטיל</w:t>
      </w:r>
      <w:r>
        <w:rPr>
          <w:rStyle w:val="a7"/>
          <w:rFonts w:cs="Arial"/>
          <w:rtl/>
        </w:rPr>
        <w:footnoteReference w:id="2046"/>
      </w:r>
      <w:r w:rsidRPr="006B2B8E">
        <w:rPr>
          <w:rFonts w:cs="Arial"/>
          <w:rtl/>
        </w:rPr>
        <w:t>.</w:t>
      </w:r>
    </w:p>
    <w:p w14:paraId="6BB4495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E6F50DE" w14:textId="77777777" w:rsidR="002C39F4" w:rsidRDefault="002C39F4" w:rsidP="002C39F4">
      <w:pPr>
        <w:rPr>
          <w:rFonts w:asciiTheme="minorBidi" w:hAnsiTheme="minorBidi"/>
          <w:rtl/>
        </w:rPr>
      </w:pPr>
      <w:r w:rsidRPr="003024E5">
        <w:rPr>
          <w:rFonts w:asciiTheme="minorBidi" w:hAnsiTheme="minorBidi"/>
          <w:rtl/>
        </w:rPr>
        <w:t xml:space="preserve">יש מי שאומר דלא שייך דבר שיש לו מתירין היכא שהמאכל מתקלקל. </w:t>
      </w:r>
      <w:r w:rsidRPr="00052608">
        <w:rPr>
          <w:rFonts w:asciiTheme="minorBidi" w:hAnsiTheme="minorBidi"/>
          <w:sz w:val="18"/>
          <w:szCs w:val="18"/>
          <w:rtl/>
        </w:rPr>
        <w:t>הגה: הא דדבר שיש לו מתירין אינו בטל היינו דוקא אם האיסור בעין או שיש עדיין ממשות האיסור בתערובת, אבל טעמו בטל</w:t>
      </w:r>
      <w:r>
        <w:rPr>
          <w:rStyle w:val="a7"/>
          <w:rFonts w:asciiTheme="minorBidi" w:hAnsiTheme="minorBidi"/>
          <w:sz w:val="18"/>
          <w:szCs w:val="18"/>
          <w:rtl/>
        </w:rPr>
        <w:footnoteReference w:id="2047"/>
      </w:r>
      <w:r w:rsidRPr="00052608">
        <w:rPr>
          <w:rFonts w:asciiTheme="minorBidi" w:hAnsiTheme="minorBidi"/>
          <w:sz w:val="18"/>
          <w:szCs w:val="18"/>
          <w:rtl/>
        </w:rPr>
        <w:t xml:space="preserve"> </w:t>
      </w:r>
      <w:r w:rsidRPr="005A2ABD">
        <w:rPr>
          <w:rFonts w:asciiTheme="minorBidi" w:hAnsiTheme="minorBidi"/>
          <w:sz w:val="16"/>
          <w:szCs w:val="16"/>
          <w:rtl/>
        </w:rPr>
        <w:t>(טור א</w:t>
      </w:r>
      <w:r w:rsidRPr="005A2ABD">
        <w:rPr>
          <w:rFonts w:asciiTheme="minorBidi" w:hAnsiTheme="minorBidi" w:hint="cs"/>
          <w:sz w:val="16"/>
          <w:szCs w:val="16"/>
          <w:rtl/>
        </w:rPr>
        <w:t>ו</w:t>
      </w:r>
      <w:r w:rsidRPr="005A2ABD">
        <w:rPr>
          <w:rFonts w:asciiTheme="minorBidi" w:hAnsiTheme="minorBidi"/>
          <w:sz w:val="16"/>
          <w:szCs w:val="16"/>
          <w:rtl/>
        </w:rPr>
        <w:t>"ח סי' תקיג ובארוך והג"א ומהרא"י בשם מהרי"ח)</w:t>
      </w:r>
      <w:r w:rsidRPr="00052608">
        <w:rPr>
          <w:rFonts w:asciiTheme="minorBidi" w:hAnsiTheme="minorBidi"/>
          <w:sz w:val="18"/>
          <w:szCs w:val="18"/>
          <w:rtl/>
        </w:rPr>
        <w:t>. וכן אם אין איסורו מחמת עצמו בטל</w:t>
      </w:r>
      <w:r>
        <w:rPr>
          <w:rFonts w:asciiTheme="minorBidi" w:hAnsiTheme="minorBidi" w:hint="cs"/>
          <w:sz w:val="18"/>
          <w:szCs w:val="18"/>
          <w:rtl/>
        </w:rPr>
        <w:t>,</w:t>
      </w:r>
      <w:r w:rsidRPr="00052608">
        <w:rPr>
          <w:rFonts w:asciiTheme="minorBidi" w:hAnsiTheme="minorBidi"/>
          <w:sz w:val="18"/>
          <w:szCs w:val="18"/>
          <w:rtl/>
        </w:rPr>
        <w:t xml:space="preserve"> ולכן חתיכה שלא נמלחה תוך ג' ימים, אע</w:t>
      </w:r>
      <w:r>
        <w:rPr>
          <w:rFonts w:asciiTheme="minorBidi" w:hAnsiTheme="minorBidi" w:hint="cs"/>
          <w:sz w:val="18"/>
          <w:szCs w:val="18"/>
          <w:rtl/>
        </w:rPr>
        <w:t>"</w:t>
      </w:r>
      <w:r w:rsidRPr="00052608">
        <w:rPr>
          <w:rFonts w:asciiTheme="minorBidi" w:hAnsiTheme="minorBidi"/>
          <w:sz w:val="18"/>
          <w:szCs w:val="18"/>
          <w:rtl/>
        </w:rPr>
        <w:t>פ שי"א דמקרי דבר שיש לו מתירין הואיל ומותרת לצלי</w:t>
      </w:r>
      <w:r>
        <w:rPr>
          <w:rStyle w:val="a7"/>
          <w:rFonts w:asciiTheme="minorBidi" w:hAnsiTheme="minorBidi"/>
          <w:sz w:val="18"/>
          <w:szCs w:val="18"/>
          <w:rtl/>
        </w:rPr>
        <w:footnoteReference w:id="2048"/>
      </w:r>
      <w:r w:rsidRPr="00052608">
        <w:rPr>
          <w:rFonts w:asciiTheme="minorBidi" w:hAnsiTheme="minorBidi"/>
          <w:sz w:val="18"/>
          <w:szCs w:val="18"/>
          <w:rtl/>
        </w:rPr>
        <w:t>, אפילו הכי בטילה, דאין איסורה אלא מחמת דם הבלוע בה</w:t>
      </w:r>
      <w:r>
        <w:rPr>
          <w:rStyle w:val="a7"/>
          <w:rFonts w:asciiTheme="minorBidi" w:hAnsiTheme="minorBidi"/>
          <w:sz w:val="18"/>
          <w:szCs w:val="18"/>
          <w:rtl/>
        </w:rPr>
        <w:footnoteReference w:id="2049"/>
      </w:r>
      <w:r w:rsidRPr="00052608">
        <w:rPr>
          <w:rFonts w:asciiTheme="minorBidi" w:hAnsiTheme="minorBidi"/>
          <w:sz w:val="18"/>
          <w:szCs w:val="18"/>
          <w:rtl/>
        </w:rPr>
        <w:t>. כל איסור שלא היה ניכר קודם שנתערב הוא בטל אע</w:t>
      </w:r>
      <w:r>
        <w:rPr>
          <w:rFonts w:asciiTheme="minorBidi" w:hAnsiTheme="minorBidi" w:hint="cs"/>
          <w:sz w:val="18"/>
          <w:szCs w:val="18"/>
          <w:rtl/>
        </w:rPr>
        <w:t>"</w:t>
      </w:r>
      <w:r w:rsidRPr="00052608">
        <w:rPr>
          <w:rFonts w:asciiTheme="minorBidi" w:hAnsiTheme="minorBidi"/>
          <w:sz w:val="18"/>
          <w:szCs w:val="18"/>
          <w:rtl/>
        </w:rPr>
        <w:t>פ שהוא דבר שיש לו מתירין</w:t>
      </w:r>
      <w:r>
        <w:rPr>
          <w:rStyle w:val="a7"/>
          <w:rFonts w:asciiTheme="minorBidi" w:hAnsiTheme="minorBidi"/>
          <w:sz w:val="18"/>
          <w:szCs w:val="18"/>
          <w:rtl/>
        </w:rPr>
        <w:footnoteReference w:id="2050"/>
      </w:r>
      <w:r w:rsidRPr="00052608">
        <w:rPr>
          <w:rFonts w:asciiTheme="minorBidi" w:hAnsiTheme="minorBidi"/>
          <w:sz w:val="18"/>
          <w:szCs w:val="18"/>
          <w:rtl/>
        </w:rPr>
        <w:t xml:space="preserve"> </w:t>
      </w:r>
      <w:r w:rsidRPr="005A2ABD">
        <w:rPr>
          <w:rFonts w:asciiTheme="minorBidi" w:hAnsiTheme="minorBidi"/>
          <w:sz w:val="16"/>
          <w:szCs w:val="16"/>
          <w:rtl/>
        </w:rPr>
        <w:t>(ארוך בשם סמ"ג ומרדכי)</w:t>
      </w:r>
      <w:r w:rsidRPr="00052608">
        <w:rPr>
          <w:rFonts w:asciiTheme="minorBidi" w:hAnsiTheme="minorBidi"/>
          <w:sz w:val="18"/>
          <w:szCs w:val="18"/>
          <w:rtl/>
        </w:rPr>
        <w:t>. מי שנדר מדבר אחד ונתערב אח"כ, לדידיה מקרי דבר שיש לו מתירין דהא אפשר לשאול על נדרו</w:t>
      </w:r>
      <w:r>
        <w:rPr>
          <w:rFonts w:asciiTheme="minorBidi" w:hAnsiTheme="minorBidi" w:hint="cs"/>
          <w:sz w:val="16"/>
          <w:szCs w:val="16"/>
          <w:rtl/>
        </w:rPr>
        <w:t xml:space="preserve"> </w:t>
      </w:r>
      <w:r w:rsidRPr="005A2ABD">
        <w:rPr>
          <w:rFonts w:asciiTheme="minorBidi" w:hAnsiTheme="minorBidi"/>
          <w:sz w:val="16"/>
          <w:szCs w:val="16"/>
          <w:rtl/>
        </w:rPr>
        <w:t>(שם</w:t>
      </w:r>
      <w:r>
        <w:rPr>
          <w:rFonts w:asciiTheme="minorBidi" w:hAnsiTheme="minorBidi" w:hint="cs"/>
          <w:sz w:val="16"/>
          <w:szCs w:val="16"/>
          <w:rtl/>
        </w:rPr>
        <w:t>,</w:t>
      </w:r>
      <w:r w:rsidRPr="005A2ABD">
        <w:rPr>
          <w:rFonts w:asciiTheme="minorBidi" w:hAnsiTheme="minorBidi"/>
          <w:sz w:val="16"/>
          <w:szCs w:val="16"/>
          <w:rtl/>
        </w:rPr>
        <w:t xml:space="preserve"> </w:t>
      </w:r>
      <w:r>
        <w:rPr>
          <w:rFonts w:asciiTheme="minorBidi" w:hAnsiTheme="minorBidi" w:hint="cs"/>
          <w:sz w:val="16"/>
          <w:szCs w:val="16"/>
          <w:rtl/>
        </w:rPr>
        <w:t>ו</w:t>
      </w:r>
      <w:r w:rsidRPr="005A2ABD">
        <w:rPr>
          <w:rFonts w:asciiTheme="minorBidi" w:hAnsiTheme="minorBidi" w:hint="cs"/>
          <w:sz w:val="16"/>
          <w:szCs w:val="16"/>
          <w:rtl/>
        </w:rPr>
        <w:t>רמב"ם</w:t>
      </w:r>
      <w:r w:rsidRPr="005A2ABD">
        <w:rPr>
          <w:rFonts w:asciiTheme="minorBidi" w:hAnsiTheme="minorBidi"/>
          <w:sz w:val="16"/>
          <w:szCs w:val="16"/>
          <w:rtl/>
        </w:rPr>
        <w:t xml:space="preserve"> ר"ן ואו"ה)</w:t>
      </w:r>
      <w:r w:rsidRPr="00052608">
        <w:rPr>
          <w:rFonts w:asciiTheme="minorBidi" w:hAnsiTheme="minorBidi"/>
          <w:sz w:val="18"/>
          <w:szCs w:val="18"/>
          <w:rtl/>
        </w:rPr>
        <w:t>. דבר שיש לו היתר וחוזר ונאסר, כגון חמץ בפסח, לא מקרי דבר שיש לו מתירין</w:t>
      </w:r>
      <w:r>
        <w:rPr>
          <w:rStyle w:val="a7"/>
          <w:rFonts w:asciiTheme="minorBidi" w:hAnsiTheme="minorBidi"/>
          <w:sz w:val="18"/>
          <w:szCs w:val="18"/>
          <w:rtl/>
        </w:rPr>
        <w:footnoteReference w:id="2051"/>
      </w:r>
      <w:r w:rsidRPr="00052608">
        <w:rPr>
          <w:rFonts w:asciiTheme="minorBidi" w:hAnsiTheme="minorBidi"/>
          <w:sz w:val="18"/>
          <w:szCs w:val="18"/>
          <w:rtl/>
        </w:rPr>
        <w:t xml:space="preserve"> </w:t>
      </w:r>
      <w:r w:rsidRPr="005A2ABD">
        <w:rPr>
          <w:rFonts w:asciiTheme="minorBidi" w:hAnsiTheme="minorBidi"/>
          <w:sz w:val="16"/>
          <w:szCs w:val="16"/>
          <w:rtl/>
        </w:rPr>
        <w:t>(מרדכי)</w:t>
      </w:r>
      <w:r>
        <w:rPr>
          <w:rFonts w:asciiTheme="minorBidi" w:hAnsiTheme="minorBidi" w:hint="cs"/>
          <w:sz w:val="18"/>
          <w:szCs w:val="18"/>
          <w:rtl/>
        </w:rPr>
        <w:t>,</w:t>
      </w:r>
      <w:r w:rsidRPr="00052608">
        <w:rPr>
          <w:rFonts w:asciiTheme="minorBidi" w:hAnsiTheme="minorBidi"/>
          <w:sz w:val="18"/>
          <w:szCs w:val="18"/>
          <w:rtl/>
        </w:rPr>
        <w:t xml:space="preserve"> ויש חולקין בזה</w:t>
      </w:r>
      <w:r>
        <w:rPr>
          <w:rStyle w:val="a7"/>
          <w:rFonts w:asciiTheme="minorBidi" w:hAnsiTheme="minorBidi"/>
          <w:sz w:val="18"/>
          <w:szCs w:val="18"/>
          <w:rtl/>
        </w:rPr>
        <w:footnoteReference w:id="2052"/>
      </w:r>
      <w:r w:rsidRPr="00052608">
        <w:rPr>
          <w:rFonts w:asciiTheme="minorBidi" w:hAnsiTheme="minorBidi"/>
          <w:sz w:val="18"/>
          <w:szCs w:val="18"/>
          <w:rtl/>
        </w:rPr>
        <w:t xml:space="preserve"> </w:t>
      </w:r>
      <w:r w:rsidRPr="005A2ABD">
        <w:rPr>
          <w:rFonts w:asciiTheme="minorBidi" w:hAnsiTheme="minorBidi"/>
          <w:sz w:val="16"/>
          <w:szCs w:val="16"/>
          <w:rtl/>
        </w:rPr>
        <w:t>(רמב"ם</w:t>
      </w:r>
      <w:r w:rsidRPr="005A2ABD">
        <w:rPr>
          <w:rFonts w:asciiTheme="minorBidi" w:hAnsiTheme="minorBidi" w:hint="cs"/>
          <w:sz w:val="16"/>
          <w:szCs w:val="16"/>
          <w:rtl/>
        </w:rPr>
        <w:t>)</w:t>
      </w:r>
      <w:r>
        <w:rPr>
          <w:rFonts w:asciiTheme="minorBidi" w:hAnsiTheme="minorBidi" w:hint="cs"/>
          <w:sz w:val="18"/>
          <w:szCs w:val="18"/>
          <w:rtl/>
        </w:rPr>
        <w:t>.</w:t>
      </w:r>
      <w:r w:rsidRPr="00052608">
        <w:rPr>
          <w:rFonts w:asciiTheme="minorBidi" w:hAnsiTheme="minorBidi"/>
          <w:sz w:val="18"/>
          <w:szCs w:val="18"/>
          <w:rtl/>
        </w:rPr>
        <w:t xml:space="preserve"> ולא מקרי דבר שיש לו מתירין אא"כ הותר למי שנאסר, אבל אם נשאר לאחד לעולם אסור אע</w:t>
      </w:r>
      <w:r>
        <w:rPr>
          <w:rFonts w:asciiTheme="minorBidi" w:hAnsiTheme="minorBidi" w:hint="cs"/>
          <w:sz w:val="18"/>
          <w:szCs w:val="18"/>
          <w:rtl/>
        </w:rPr>
        <w:t>"</w:t>
      </w:r>
      <w:r w:rsidRPr="00052608">
        <w:rPr>
          <w:rFonts w:asciiTheme="minorBidi" w:hAnsiTheme="minorBidi"/>
          <w:sz w:val="18"/>
          <w:szCs w:val="18"/>
          <w:rtl/>
        </w:rPr>
        <w:t>ג שמותר לאחרים</w:t>
      </w:r>
      <w:r>
        <w:rPr>
          <w:rFonts w:asciiTheme="minorBidi" w:hAnsiTheme="minorBidi" w:hint="cs"/>
          <w:sz w:val="18"/>
          <w:szCs w:val="18"/>
          <w:rtl/>
        </w:rPr>
        <w:t>,</w:t>
      </w:r>
      <w:r w:rsidRPr="00052608">
        <w:rPr>
          <w:rFonts w:asciiTheme="minorBidi" w:hAnsiTheme="minorBidi"/>
          <w:sz w:val="18"/>
          <w:szCs w:val="18"/>
          <w:rtl/>
        </w:rPr>
        <w:t xml:space="preserve"> כגון המבשל בשבת</w:t>
      </w:r>
      <w:r>
        <w:rPr>
          <w:rStyle w:val="a7"/>
          <w:rFonts w:asciiTheme="minorBidi" w:hAnsiTheme="minorBidi"/>
          <w:sz w:val="18"/>
          <w:szCs w:val="18"/>
          <w:rtl/>
        </w:rPr>
        <w:footnoteReference w:id="2053"/>
      </w:r>
      <w:r w:rsidRPr="00052608">
        <w:rPr>
          <w:rFonts w:asciiTheme="minorBidi" w:hAnsiTheme="minorBidi"/>
          <w:sz w:val="18"/>
          <w:szCs w:val="18"/>
          <w:rtl/>
        </w:rPr>
        <w:t xml:space="preserve">, לא מקרי דבר שיש לו מתירין </w:t>
      </w:r>
      <w:r w:rsidRPr="005A2ABD">
        <w:rPr>
          <w:rFonts w:asciiTheme="minorBidi" w:hAnsiTheme="minorBidi"/>
          <w:sz w:val="16"/>
          <w:szCs w:val="16"/>
          <w:rtl/>
        </w:rPr>
        <w:t>(ב"י בשם ר</w:t>
      </w:r>
      <w:r w:rsidRPr="005A2ABD">
        <w:rPr>
          <w:rFonts w:asciiTheme="minorBidi" w:hAnsiTheme="minorBidi" w:hint="cs"/>
          <w:sz w:val="16"/>
          <w:szCs w:val="16"/>
          <w:rtl/>
        </w:rPr>
        <w:t>י"ו</w:t>
      </w:r>
      <w:r w:rsidRPr="005A2ABD">
        <w:rPr>
          <w:rFonts w:asciiTheme="minorBidi" w:hAnsiTheme="minorBidi"/>
          <w:sz w:val="16"/>
          <w:szCs w:val="16"/>
          <w:rtl/>
        </w:rPr>
        <w:t>)</w:t>
      </w:r>
      <w:r w:rsidRPr="00052608">
        <w:rPr>
          <w:rFonts w:asciiTheme="minorBidi" w:hAnsiTheme="minorBidi"/>
          <w:sz w:val="18"/>
          <w:szCs w:val="18"/>
          <w:rtl/>
        </w:rPr>
        <w:t>.</w:t>
      </w:r>
      <w:r>
        <w:rPr>
          <w:rFonts w:asciiTheme="minorBidi" w:hAnsiTheme="minorBidi" w:hint="cs"/>
          <w:rtl/>
        </w:rPr>
        <w:t xml:space="preserve"> </w:t>
      </w:r>
    </w:p>
    <w:p w14:paraId="0F7E5DFF" w14:textId="77777777" w:rsidR="002C39F4" w:rsidRDefault="002C39F4" w:rsidP="002C39F4">
      <w:pPr>
        <w:rPr>
          <w:rFonts w:asciiTheme="minorBidi" w:hAnsiTheme="minorBidi"/>
          <w:rtl/>
        </w:rPr>
      </w:pPr>
    </w:p>
    <w:p w14:paraId="7DE8B129" w14:textId="77777777" w:rsidR="002C39F4" w:rsidRPr="003024E5" w:rsidRDefault="002C39F4" w:rsidP="002C39F4">
      <w:pPr>
        <w:rPr>
          <w:rFonts w:asciiTheme="minorBidi" w:hAnsiTheme="minorBidi"/>
          <w:rtl/>
        </w:rPr>
      </w:pPr>
    </w:p>
    <w:p w14:paraId="62E17491" w14:textId="77777777" w:rsidR="002C39F4" w:rsidRPr="003024E5" w:rsidRDefault="002C39F4" w:rsidP="002C39F4">
      <w:pPr>
        <w:rPr>
          <w:rFonts w:asciiTheme="minorBidi" w:hAnsiTheme="minorBidi"/>
          <w:rtl/>
        </w:rPr>
      </w:pPr>
    </w:p>
    <w:p w14:paraId="7E41D67C" w14:textId="77777777" w:rsidR="002C39F4" w:rsidRPr="003024E5" w:rsidRDefault="002C39F4" w:rsidP="002C39F4">
      <w:pPr>
        <w:rPr>
          <w:rFonts w:asciiTheme="minorBidi" w:hAnsiTheme="minorBidi"/>
          <w:rtl/>
        </w:rPr>
      </w:pPr>
    </w:p>
    <w:p w14:paraId="3ECE3DE5" w14:textId="77777777" w:rsidR="002C39F4" w:rsidRPr="003024E5" w:rsidRDefault="002C39F4" w:rsidP="002C39F4">
      <w:pPr>
        <w:rPr>
          <w:rFonts w:asciiTheme="minorBidi" w:hAnsiTheme="minorBidi"/>
          <w:rtl/>
        </w:rPr>
      </w:pPr>
    </w:p>
    <w:p w14:paraId="092954EF" w14:textId="77777777" w:rsidR="002C39F4" w:rsidRPr="003024E5" w:rsidRDefault="002C39F4" w:rsidP="002C39F4">
      <w:pPr>
        <w:rPr>
          <w:rFonts w:asciiTheme="minorBidi" w:hAnsiTheme="minorBidi"/>
          <w:rtl/>
        </w:rPr>
      </w:pPr>
    </w:p>
    <w:p w14:paraId="11AC0708" w14:textId="77777777" w:rsidR="002C39F4" w:rsidRPr="003024E5" w:rsidRDefault="002C39F4" w:rsidP="002C39F4">
      <w:pPr>
        <w:rPr>
          <w:rFonts w:asciiTheme="minorBidi" w:hAnsiTheme="minorBidi"/>
          <w:rtl/>
        </w:rPr>
      </w:pPr>
    </w:p>
    <w:p w14:paraId="0F9665D9"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17CDE231"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קג: דין נותן טעם לפגם, ובו ז' סעיפים. </w:t>
      </w:r>
    </w:p>
    <w:p w14:paraId="506B39A8"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דבר שטעמו פוגם.</w:t>
      </w:r>
    </w:p>
    <w:p w14:paraId="3C8FC34A" w14:textId="77777777" w:rsidR="002C39F4" w:rsidRPr="00B7414A" w:rsidRDefault="002C39F4" w:rsidP="002C39F4">
      <w:pPr>
        <w:rPr>
          <w:rFonts w:cs="Arial"/>
          <w:rtl/>
        </w:rPr>
      </w:pPr>
      <w:r>
        <w:rPr>
          <w:rFonts w:cs="Arial" w:hint="cs"/>
          <w:b/>
          <w:bCs/>
          <w:rtl/>
        </w:rPr>
        <w:t>עבודה זרה סה ע"ב:</w:t>
      </w:r>
      <w:r>
        <w:rPr>
          <w:rFonts w:cs="Arial" w:hint="cs"/>
          <w:rtl/>
        </w:rPr>
        <w:t xml:space="preserve"> </w:t>
      </w:r>
      <w:r w:rsidRPr="002D197B">
        <w:rPr>
          <w:rFonts w:cs="Arial"/>
          <w:u w:val="double"/>
          <w:rtl/>
        </w:rPr>
        <w:t>מתני'</w:t>
      </w:r>
      <w:r w:rsidRPr="002D197B">
        <w:rPr>
          <w:rFonts w:cs="Arial" w:hint="cs"/>
          <w:u w:val="double"/>
          <w:rtl/>
        </w:rPr>
        <w:t>:</w:t>
      </w:r>
      <w:r w:rsidRPr="002D197B">
        <w:rPr>
          <w:rFonts w:cs="Arial"/>
          <w:rtl/>
        </w:rPr>
        <w:t xml:space="preserve"> זה הכלל: כל שבהנאתו בנותן טעם - אסור, כל שאין בהנאתו בנותן טעם - מותר, כגון חומץ שנפל ע"ג גריסין</w:t>
      </w:r>
      <w:r>
        <w:rPr>
          <w:rStyle w:val="a7"/>
          <w:rFonts w:cs="Arial"/>
          <w:rtl/>
        </w:rPr>
        <w:footnoteReference w:id="2054"/>
      </w:r>
      <w:r>
        <w:rPr>
          <w:rFonts w:cs="Arial" w:hint="cs"/>
          <w:rtl/>
        </w:rPr>
        <w:t xml:space="preserve">.      </w:t>
      </w:r>
      <w:r w:rsidRPr="002D197B">
        <w:rPr>
          <w:rFonts w:cs="Arial" w:hint="cs"/>
          <w:u w:val="double"/>
          <w:rtl/>
        </w:rPr>
        <w:t>גמ'</w:t>
      </w:r>
      <w:r w:rsidRPr="002D197B">
        <w:rPr>
          <w:rFonts w:cs="Arial" w:hint="cs"/>
          <w:sz w:val="14"/>
          <w:szCs w:val="14"/>
          <w:u w:val="double"/>
          <w:rtl/>
        </w:rPr>
        <w:t>(סז.)</w:t>
      </w:r>
      <w:r w:rsidRPr="002D197B">
        <w:rPr>
          <w:rFonts w:cs="Arial" w:hint="cs"/>
          <w:u w:val="double"/>
          <w:rtl/>
        </w:rPr>
        <w:t>:</w:t>
      </w:r>
      <w:r>
        <w:rPr>
          <w:rFonts w:cs="Arial" w:hint="cs"/>
          <w:rtl/>
        </w:rPr>
        <w:t xml:space="preserve"> </w:t>
      </w:r>
      <w:r w:rsidRPr="002D197B">
        <w:rPr>
          <w:rFonts w:cs="Arial"/>
          <w:rtl/>
        </w:rPr>
        <w:t xml:space="preserve">זה הכלל: כל שבהנאתו בנותן טעם כו'. </w:t>
      </w:r>
      <w:r w:rsidRPr="00257AA2">
        <w:rPr>
          <w:rFonts w:cs="Arial"/>
          <w:u w:val="single"/>
          <w:rtl/>
        </w:rPr>
        <w:t>אמר רב יהודה אמר שמואל</w:t>
      </w:r>
      <w:r w:rsidRPr="002D197B">
        <w:rPr>
          <w:rFonts w:cs="Arial"/>
          <w:rtl/>
        </w:rPr>
        <w:t>: הכי הלכתא</w:t>
      </w:r>
      <w:r>
        <w:rPr>
          <w:rStyle w:val="a7"/>
          <w:rFonts w:cs="Arial"/>
          <w:rtl/>
        </w:rPr>
        <w:footnoteReference w:id="2055"/>
      </w:r>
      <w:r w:rsidRPr="002D197B">
        <w:rPr>
          <w:rFonts w:cs="Arial"/>
          <w:rtl/>
        </w:rPr>
        <w:t>.</w:t>
      </w:r>
      <w:r>
        <w:rPr>
          <w:rFonts w:cs="Arial" w:hint="cs"/>
          <w:rtl/>
        </w:rPr>
        <w:t>..</w:t>
      </w:r>
      <w:r w:rsidRPr="002D197B">
        <w:rPr>
          <w:rFonts w:cs="Arial"/>
          <w:rtl/>
        </w:rPr>
        <w:t xml:space="preserve"> </w:t>
      </w:r>
      <w:r w:rsidRPr="00257AA2">
        <w:rPr>
          <w:rFonts w:cs="Arial"/>
          <w:u w:val="single"/>
          <w:rtl/>
        </w:rPr>
        <w:t>אמר ריש לקיש</w:t>
      </w:r>
      <w:r>
        <w:rPr>
          <w:rFonts w:cs="Arial" w:hint="cs"/>
          <w:rtl/>
        </w:rPr>
        <w:t>:</w:t>
      </w:r>
      <w:r w:rsidRPr="002D197B">
        <w:rPr>
          <w:rFonts w:cs="Arial"/>
          <w:rtl/>
        </w:rPr>
        <w:t xml:space="preserve"> נותן טעם לפגם שאמרו, לא שיאמרו</w:t>
      </w:r>
      <w:r>
        <w:rPr>
          <w:rStyle w:val="a7"/>
          <w:rFonts w:cs="Arial"/>
          <w:rtl/>
        </w:rPr>
        <w:footnoteReference w:id="2056"/>
      </w:r>
      <w:r w:rsidRPr="002D197B">
        <w:rPr>
          <w:rFonts w:cs="Arial"/>
          <w:rtl/>
        </w:rPr>
        <w:t>: קדירה זו חסירה מלח, יתירה מלח, חסירה תבלין, יתירה תבלין, אלא כל שאין חסירה</w:t>
      </w:r>
      <w:r>
        <w:rPr>
          <w:rStyle w:val="a7"/>
          <w:rFonts w:cs="Arial"/>
          <w:rtl/>
        </w:rPr>
        <w:footnoteReference w:id="2057"/>
      </w:r>
      <w:r w:rsidRPr="002D197B">
        <w:rPr>
          <w:rFonts w:cs="Arial"/>
          <w:rtl/>
        </w:rPr>
        <w:t xml:space="preserve"> כלום ואינה נאכלת מפני זה. </w:t>
      </w:r>
      <w:r w:rsidRPr="00257AA2">
        <w:rPr>
          <w:rFonts w:cs="Arial"/>
          <w:u w:val="dotted"/>
          <w:rtl/>
        </w:rPr>
        <w:t>ואיכא דאמרי</w:t>
      </w:r>
      <w:r w:rsidRPr="002D197B">
        <w:rPr>
          <w:rFonts w:cs="Arial"/>
          <w:rtl/>
        </w:rPr>
        <w:t xml:space="preserve">, </w:t>
      </w:r>
      <w:r w:rsidRPr="00257AA2">
        <w:rPr>
          <w:rFonts w:cs="Arial"/>
          <w:u w:val="single"/>
          <w:rtl/>
        </w:rPr>
        <w:t>אמר ריש לקיש</w:t>
      </w:r>
      <w:r w:rsidRPr="002D197B">
        <w:rPr>
          <w:rFonts w:cs="Arial"/>
          <w:rtl/>
        </w:rPr>
        <w:t>: נותן טעם לפגם שאמרו, אין אומרין</w:t>
      </w:r>
      <w:r>
        <w:rPr>
          <w:rStyle w:val="a7"/>
          <w:rFonts w:cs="Arial"/>
          <w:rtl/>
        </w:rPr>
        <w:footnoteReference w:id="2058"/>
      </w:r>
      <w:r w:rsidRPr="002D197B">
        <w:rPr>
          <w:rFonts w:cs="Arial"/>
          <w:rtl/>
        </w:rPr>
        <w:t>: קדירה זו חסירה מלח, יתירה מלח, חסירה תבלין, יתירה תבלין, אלא השתא מיהא הא פגמה.</w:t>
      </w:r>
      <w:r>
        <w:rPr>
          <w:rFonts w:cs="Arial" w:hint="cs"/>
          <w:rtl/>
        </w:rPr>
        <w:t>..</w:t>
      </w:r>
      <w:r w:rsidRPr="002D197B">
        <w:rPr>
          <w:rFonts w:cs="Arial"/>
          <w:rtl/>
        </w:rPr>
        <w:t xml:space="preserve"> </w:t>
      </w:r>
      <w:r w:rsidRPr="004F27FD">
        <w:rPr>
          <w:rFonts w:cs="Arial" w:hint="cs"/>
          <w:sz w:val="14"/>
          <w:szCs w:val="14"/>
          <w:rtl/>
        </w:rPr>
        <w:t>(סז:)</w:t>
      </w:r>
      <w:r w:rsidRPr="004F27FD">
        <w:rPr>
          <w:rtl/>
        </w:rPr>
        <w:t xml:space="preserve"> </w:t>
      </w:r>
      <w:r w:rsidRPr="002D197B">
        <w:rPr>
          <w:rFonts w:cs="Arial"/>
          <w:rtl/>
        </w:rPr>
        <w:t>והלכתא כלישנא בתרא דריש לקיש.</w:t>
      </w:r>
      <w:r>
        <w:rPr>
          <w:rFonts w:cs="Arial" w:hint="cs"/>
          <w:rtl/>
        </w:rPr>
        <w:t xml:space="preserve">.. </w:t>
      </w:r>
      <w:r w:rsidRPr="002D197B">
        <w:rPr>
          <w:rFonts w:cs="Arial"/>
          <w:rtl/>
        </w:rPr>
        <w:t>דתניא: לא תאכלו כל נבלה לגר אשר בשעריך - כל הראויה לגר קרויה נבילה,</w:t>
      </w:r>
      <w:r>
        <w:rPr>
          <w:rFonts w:cs="Arial" w:hint="cs"/>
          <w:rtl/>
        </w:rPr>
        <w:t xml:space="preserve"> </w:t>
      </w:r>
      <w:r w:rsidRPr="004F27FD">
        <w:rPr>
          <w:rFonts w:cs="Arial" w:hint="cs"/>
          <w:sz w:val="14"/>
          <w:szCs w:val="14"/>
          <w:rtl/>
        </w:rPr>
        <w:t>(סח.)</w:t>
      </w:r>
      <w:r w:rsidRPr="004F27FD">
        <w:rPr>
          <w:rFonts w:cs="Arial" w:hint="cs"/>
          <w:rtl/>
        </w:rPr>
        <w:t xml:space="preserve"> </w:t>
      </w:r>
      <w:r w:rsidRPr="002D197B">
        <w:rPr>
          <w:rFonts w:cs="Arial"/>
          <w:rtl/>
        </w:rPr>
        <w:t>שאין ראויה לגר</w:t>
      </w:r>
      <w:r>
        <w:rPr>
          <w:rStyle w:val="a7"/>
          <w:rFonts w:cs="Arial"/>
          <w:rtl/>
        </w:rPr>
        <w:footnoteReference w:id="2059"/>
      </w:r>
      <w:r w:rsidRPr="002D197B">
        <w:rPr>
          <w:rFonts w:cs="Arial"/>
          <w:rtl/>
        </w:rPr>
        <w:t xml:space="preserve"> אינה קרויה נבלה. </w:t>
      </w:r>
      <w:r>
        <w:rPr>
          <w:rFonts w:cs="Arial" w:hint="cs"/>
          <w:sz w:val="16"/>
          <w:szCs w:val="16"/>
          <w:rtl/>
        </w:rPr>
        <w:t>(</w:t>
      </w:r>
      <w:r w:rsidRPr="00B7414A">
        <w:rPr>
          <w:rFonts w:cs="Arial"/>
          <w:sz w:val="16"/>
          <w:szCs w:val="16"/>
          <w:rtl/>
        </w:rPr>
        <w:t>והרא"ש כתב בפרק אין מעמידין (ע"ז סי' לד ולה) דאפילו משובח בתחלה ואח"כ נפגם מותר והביא כמה ראיות לדבר</w:t>
      </w:r>
      <w:r>
        <w:rPr>
          <w:rFonts w:cs="Arial" w:hint="cs"/>
          <w:sz w:val="16"/>
          <w:szCs w:val="16"/>
          <w:rtl/>
        </w:rPr>
        <w:t>,</w:t>
      </w:r>
      <w:r w:rsidRPr="00B7414A">
        <w:rPr>
          <w:rFonts w:cs="Arial"/>
          <w:sz w:val="16"/>
          <w:szCs w:val="16"/>
          <w:rtl/>
        </w:rPr>
        <w:t xml:space="preserve"> וכן היא הסכמת כל הפוסקים</w:t>
      </w:r>
      <w:r>
        <w:rPr>
          <w:rFonts w:cs="Arial" w:hint="cs"/>
          <w:sz w:val="16"/>
          <w:szCs w:val="16"/>
          <w:rtl/>
        </w:rPr>
        <w:t xml:space="preserve">, ב"י. וכ' הטור דאפילו בפני עצמו </w:t>
      </w:r>
      <w:r w:rsidRPr="00A4014C">
        <w:rPr>
          <w:rFonts w:cs="Arial"/>
          <w:sz w:val="16"/>
          <w:szCs w:val="16"/>
          <w:rtl/>
        </w:rPr>
        <w:t>הוא מוטעם ומשובח</w:t>
      </w:r>
      <w:r>
        <w:rPr>
          <w:rFonts w:cs="Arial" w:hint="cs"/>
          <w:sz w:val="16"/>
          <w:szCs w:val="16"/>
          <w:rtl/>
        </w:rPr>
        <w:t xml:space="preserve"> מקרי נטל"פ. וכ"פ באו"ה (כלל לב ד"ב). </w:t>
      </w:r>
      <w:r w:rsidRPr="00A4014C">
        <w:rPr>
          <w:rFonts w:cs="Arial" w:hint="cs"/>
          <w:color w:val="E36C0A" w:themeColor="accent6" w:themeShade="BF"/>
          <w:sz w:val="16"/>
          <w:szCs w:val="16"/>
          <w:rtl/>
        </w:rPr>
        <w:t>וכ"פ בשו"ע</w:t>
      </w:r>
      <w:r>
        <w:rPr>
          <w:rFonts w:cs="Arial" w:hint="cs"/>
          <w:sz w:val="16"/>
          <w:szCs w:val="16"/>
          <w:rtl/>
        </w:rPr>
        <w:t>)</w:t>
      </w:r>
      <w:r>
        <w:rPr>
          <w:rFonts w:cs="Arial" w:hint="cs"/>
          <w:rtl/>
        </w:rPr>
        <w:t xml:space="preserve"> </w:t>
      </w:r>
    </w:p>
    <w:p w14:paraId="7243BEE1" w14:textId="77777777" w:rsidR="002C39F4" w:rsidRDefault="002C39F4" w:rsidP="002C39F4">
      <w:pPr>
        <w:rPr>
          <w:rFonts w:cs="Arial"/>
          <w:rtl/>
        </w:rPr>
      </w:pPr>
      <w:r>
        <w:rPr>
          <w:rFonts w:cs="Arial" w:hint="cs"/>
          <w:u w:val="single"/>
          <w:rtl/>
        </w:rPr>
        <w:t>בריה/תרומה וכדומה ש</w:t>
      </w:r>
      <w:r w:rsidRPr="003C0A0B">
        <w:rPr>
          <w:rFonts w:cs="Arial" w:hint="cs"/>
          <w:u w:val="single"/>
          <w:rtl/>
        </w:rPr>
        <w:t>נת</w:t>
      </w:r>
      <w:r>
        <w:rPr>
          <w:rFonts w:cs="Arial" w:hint="cs"/>
          <w:u w:val="single"/>
          <w:rtl/>
        </w:rPr>
        <w:t>נו</w:t>
      </w:r>
      <w:r w:rsidRPr="003C0A0B">
        <w:rPr>
          <w:rFonts w:cs="Arial" w:hint="cs"/>
          <w:u w:val="single"/>
          <w:rtl/>
        </w:rPr>
        <w:t xml:space="preserve"> טעם לפגם:</w:t>
      </w:r>
      <w:r w:rsidRPr="00D07769">
        <w:rPr>
          <w:rFonts w:cs="Arial" w:hint="cs"/>
          <w:sz w:val="16"/>
          <w:szCs w:val="16"/>
          <w:rtl/>
        </w:rPr>
        <w:t xml:space="preserve"> </w:t>
      </w:r>
      <w:r>
        <w:rPr>
          <w:rFonts w:cs="Arial" w:hint="cs"/>
          <w:sz w:val="16"/>
          <w:szCs w:val="16"/>
          <w:rtl/>
        </w:rPr>
        <w:t xml:space="preserve">(טור [או"ח </w:t>
      </w:r>
      <w:r w:rsidRPr="00D07769">
        <w:rPr>
          <w:rFonts w:cs="Arial" w:hint="cs"/>
          <w:sz w:val="16"/>
          <w:szCs w:val="16"/>
          <w:rtl/>
        </w:rPr>
        <w:t>סי' תמז</w:t>
      </w:r>
      <w:r>
        <w:rPr>
          <w:rFonts w:cs="Arial" w:hint="cs"/>
          <w:sz w:val="16"/>
          <w:szCs w:val="16"/>
          <w:rtl/>
        </w:rPr>
        <w:t xml:space="preserve">] </w:t>
      </w:r>
      <w:r w:rsidRPr="00D07769">
        <w:rPr>
          <w:rFonts w:cs="Arial" w:hint="cs"/>
          <w:sz w:val="16"/>
          <w:szCs w:val="16"/>
          <w:rtl/>
        </w:rPr>
        <w:t>ב"י</w:t>
      </w:r>
      <w:r>
        <w:rPr>
          <w:rFonts w:cs="Arial" w:hint="cs"/>
          <w:sz w:val="16"/>
          <w:szCs w:val="16"/>
          <w:rtl/>
        </w:rPr>
        <w:t xml:space="preserve"> [כאן סע' ב</w:t>
      </w:r>
      <w:r>
        <w:rPr>
          <w:rFonts w:cs="Arial" w:hint="cs"/>
          <w:sz w:val="14"/>
          <w:szCs w:val="14"/>
          <w:rtl/>
        </w:rPr>
        <w:t>(ב)</w:t>
      </w:r>
      <w:r>
        <w:rPr>
          <w:rFonts w:cs="Arial" w:hint="cs"/>
          <w:sz w:val="16"/>
          <w:szCs w:val="16"/>
          <w:rtl/>
        </w:rPr>
        <w:t>, וב</w:t>
      </w:r>
      <w:r w:rsidRPr="00D07769">
        <w:rPr>
          <w:rFonts w:cs="Arial" w:hint="cs"/>
          <w:sz w:val="16"/>
          <w:szCs w:val="16"/>
          <w:rtl/>
        </w:rPr>
        <w:t>או"ח</w:t>
      </w:r>
      <w:r>
        <w:rPr>
          <w:rFonts w:cs="Arial" w:hint="cs"/>
          <w:sz w:val="16"/>
          <w:szCs w:val="16"/>
          <w:rtl/>
        </w:rPr>
        <w:t xml:space="preserve"> סי' תמז סע' י] ודרכ"מ [כאן אות ג]</w:t>
      </w:r>
      <w:r w:rsidRPr="00D07769">
        <w:rPr>
          <w:rFonts w:cs="Arial" w:hint="cs"/>
          <w:sz w:val="16"/>
          <w:szCs w:val="16"/>
          <w:rtl/>
        </w:rPr>
        <w:t>)</w:t>
      </w:r>
    </w:p>
    <w:p w14:paraId="2BFEA524" w14:textId="77777777" w:rsidR="002C39F4" w:rsidRPr="00D07769" w:rsidRDefault="002C39F4" w:rsidP="0032102C">
      <w:pPr>
        <w:pStyle w:val="a8"/>
        <w:numPr>
          <w:ilvl w:val="0"/>
          <w:numId w:val="215"/>
        </w:numPr>
      </w:pPr>
      <w:r>
        <w:rPr>
          <w:rFonts w:cs="Arial" w:hint="cs"/>
          <w:rtl/>
        </w:rPr>
        <w:t xml:space="preserve">רש"י ר"ת ר"י תוס' ר' </w:t>
      </w:r>
      <w:r w:rsidRPr="00D07769">
        <w:rPr>
          <w:rFonts w:cs="Arial"/>
          <w:rtl/>
        </w:rPr>
        <w:t xml:space="preserve">יהודה מפרי"ש </w:t>
      </w:r>
      <w:r>
        <w:rPr>
          <w:rFonts w:cs="Arial" w:hint="cs"/>
          <w:rtl/>
        </w:rPr>
        <w:t>ו</w:t>
      </w:r>
      <w:r w:rsidRPr="00D07769">
        <w:rPr>
          <w:rFonts w:cs="Arial"/>
          <w:rtl/>
        </w:rPr>
        <w:t>רא"ש</w:t>
      </w:r>
      <w:r>
        <w:rPr>
          <w:rStyle w:val="a7"/>
          <w:rtl/>
        </w:rPr>
        <w:footnoteReference w:id="2060"/>
      </w:r>
      <w:r>
        <w:rPr>
          <w:rFonts w:hint="cs"/>
          <w:rtl/>
        </w:rPr>
        <w:t>-</w:t>
      </w:r>
      <w:r w:rsidRPr="00D07769">
        <w:rPr>
          <w:rFonts w:cs="Arial"/>
          <w:rtl/>
        </w:rPr>
        <w:t xml:space="preserve"> נותן טעם לפגם </w:t>
      </w:r>
      <w:r>
        <w:rPr>
          <w:rFonts w:cs="Arial" w:hint="cs"/>
          <w:rtl/>
        </w:rPr>
        <w:t xml:space="preserve">מותר </w:t>
      </w:r>
      <w:r w:rsidRPr="00D07769">
        <w:rPr>
          <w:rFonts w:cs="Arial"/>
          <w:rtl/>
        </w:rPr>
        <w:t>אפילו בדברים שאיסורן במשהו</w:t>
      </w:r>
      <w:r>
        <w:rPr>
          <w:rFonts w:cs="Arial" w:hint="cs"/>
          <w:rtl/>
        </w:rPr>
        <w:t>.</w:t>
      </w:r>
      <w:r>
        <w:rPr>
          <w:rFonts w:hint="cs"/>
          <w:rtl/>
        </w:rPr>
        <w:t xml:space="preserve"> </w:t>
      </w:r>
    </w:p>
    <w:p w14:paraId="63122307" w14:textId="77777777" w:rsidR="002C39F4" w:rsidRPr="000D00C9" w:rsidRDefault="002C39F4" w:rsidP="0032102C">
      <w:pPr>
        <w:pStyle w:val="a8"/>
        <w:numPr>
          <w:ilvl w:val="0"/>
          <w:numId w:val="215"/>
        </w:numPr>
      </w:pPr>
      <w:r>
        <w:rPr>
          <w:rFonts w:cs="Arial" w:hint="cs"/>
          <w:rtl/>
        </w:rPr>
        <w:t>י"א רשב"ם רא"ם ו</w:t>
      </w:r>
      <w:r w:rsidRPr="00D07769">
        <w:rPr>
          <w:rFonts w:cs="Arial"/>
          <w:rtl/>
        </w:rPr>
        <w:t>רשב"</w:t>
      </w:r>
      <w:r>
        <w:rPr>
          <w:rFonts w:cs="Arial" w:hint="cs"/>
          <w:rtl/>
        </w:rPr>
        <w:t>א</w:t>
      </w:r>
      <w:r>
        <w:rPr>
          <w:rStyle w:val="a7"/>
          <w:rFonts w:cs="Arial"/>
          <w:rtl/>
        </w:rPr>
        <w:footnoteReference w:id="2061"/>
      </w:r>
      <w:r>
        <w:rPr>
          <w:rFonts w:cs="Arial" w:hint="cs"/>
          <w:rtl/>
        </w:rPr>
        <w:t>-</w:t>
      </w:r>
      <w:r w:rsidRPr="00D07769">
        <w:rPr>
          <w:rFonts w:cs="Arial"/>
          <w:rtl/>
        </w:rPr>
        <w:t xml:space="preserve"> כל איסורין שהן במשהו לא אמרינן בהו דנותן טעם לפגם מותר</w:t>
      </w:r>
      <w:r>
        <w:rPr>
          <w:rStyle w:val="a7"/>
          <w:rFonts w:cs="Arial"/>
          <w:rtl/>
        </w:rPr>
        <w:footnoteReference w:id="2062"/>
      </w:r>
      <w:r>
        <w:rPr>
          <w:rFonts w:cs="Arial" w:hint="cs"/>
          <w:rtl/>
        </w:rPr>
        <w:t>.</w:t>
      </w:r>
      <w:r w:rsidRPr="00D07769">
        <w:rPr>
          <w:rFonts w:cs="Arial"/>
          <w:rtl/>
        </w:rPr>
        <w:t xml:space="preserve"> </w:t>
      </w:r>
    </w:p>
    <w:p w14:paraId="49D6B249" w14:textId="77777777" w:rsidR="002C39F4" w:rsidRDefault="002C39F4" w:rsidP="0032102C">
      <w:pPr>
        <w:pStyle w:val="a8"/>
        <w:numPr>
          <w:ilvl w:val="0"/>
          <w:numId w:val="215"/>
        </w:numPr>
      </w:pPr>
      <w:r w:rsidRPr="003C0A0B">
        <w:rPr>
          <w:rFonts w:cs="Arial"/>
          <w:rtl/>
        </w:rPr>
        <w:t>א</w:t>
      </w:r>
      <w:r>
        <w:rPr>
          <w:rFonts w:cs="Arial" w:hint="cs"/>
          <w:rtl/>
        </w:rPr>
        <w:t>"</w:t>
      </w:r>
      <w:r w:rsidRPr="003C0A0B">
        <w:rPr>
          <w:rFonts w:cs="Arial"/>
          <w:rtl/>
        </w:rPr>
        <w:t>ח בשם ה"ר שם טוב פלכו</w:t>
      </w:r>
      <w:r>
        <w:rPr>
          <w:rFonts w:cs="Arial" w:hint="cs"/>
          <w:sz w:val="16"/>
          <w:szCs w:val="16"/>
          <w:rtl/>
        </w:rPr>
        <w:t xml:space="preserve"> (הביאו הב"י כאן)</w:t>
      </w:r>
      <w:r w:rsidRPr="003C0A0B">
        <w:rPr>
          <w:rFonts w:cs="Arial" w:hint="cs"/>
          <w:rtl/>
        </w:rPr>
        <w:t>-</w:t>
      </w:r>
      <w:r w:rsidRPr="003C0A0B">
        <w:rPr>
          <w:rFonts w:cs="Arial"/>
          <w:rtl/>
        </w:rPr>
        <w:t xml:space="preserve"> אין אומרים נ"ט לפגם מותר אלא באיסור שהוא בטל בששים אבל איסור שצריך שיעור גדול מזה כגון בריה או תרומה אפילו פגום אסור</w:t>
      </w:r>
      <w:r w:rsidRPr="003C0A0B">
        <w:rPr>
          <w:rFonts w:cs="Arial" w:hint="cs"/>
          <w:rtl/>
        </w:rPr>
        <w:t>.</w:t>
      </w:r>
    </w:p>
    <w:p w14:paraId="4C828631" w14:textId="77777777" w:rsidR="002C39F4" w:rsidRDefault="002C39F4" w:rsidP="0032102C">
      <w:pPr>
        <w:pStyle w:val="a8"/>
        <w:numPr>
          <w:ilvl w:val="0"/>
          <w:numId w:val="215"/>
        </w:numPr>
      </w:pPr>
      <w:r>
        <w:rPr>
          <w:rFonts w:cs="Arial"/>
          <w:rtl/>
        </w:rPr>
        <w:t>או"ה</w:t>
      </w:r>
      <w:r w:rsidRPr="00B2199F">
        <w:rPr>
          <w:rFonts w:cs="Arial"/>
          <w:rtl/>
        </w:rPr>
        <w:t xml:space="preserve"> </w:t>
      </w:r>
      <w:r w:rsidRPr="000D0C58">
        <w:rPr>
          <w:rFonts w:cs="Arial" w:hint="cs"/>
          <w:sz w:val="16"/>
          <w:szCs w:val="16"/>
          <w:rtl/>
        </w:rPr>
        <w:t>(</w:t>
      </w:r>
      <w:r w:rsidRPr="000D0C58">
        <w:rPr>
          <w:rFonts w:cs="Arial"/>
          <w:sz w:val="16"/>
          <w:szCs w:val="16"/>
          <w:rtl/>
        </w:rPr>
        <w:t>כלל לב ד</w:t>
      </w:r>
      <w:r>
        <w:rPr>
          <w:rFonts w:cs="Arial" w:hint="cs"/>
          <w:sz w:val="16"/>
          <w:szCs w:val="16"/>
          <w:rtl/>
        </w:rPr>
        <w:t>"</w:t>
      </w:r>
      <w:r w:rsidRPr="000D0C58">
        <w:rPr>
          <w:rFonts w:cs="Arial"/>
          <w:sz w:val="16"/>
          <w:szCs w:val="16"/>
          <w:rtl/>
        </w:rPr>
        <w:t>ו)</w:t>
      </w:r>
      <w:r>
        <w:rPr>
          <w:rFonts w:cs="Arial" w:hint="cs"/>
          <w:rtl/>
        </w:rPr>
        <w:t xml:space="preserve">- </w:t>
      </w:r>
      <w:r w:rsidRPr="00B2199F">
        <w:rPr>
          <w:rFonts w:cs="Arial"/>
          <w:rtl/>
        </w:rPr>
        <w:t>אפילו בריה או שאר דברים חשובים אם הם</w:t>
      </w:r>
      <w:r>
        <w:rPr>
          <w:rFonts w:cs="Arial" w:hint="cs"/>
          <w:rtl/>
        </w:rPr>
        <w:t xml:space="preserve"> </w:t>
      </w:r>
      <w:r w:rsidRPr="00B2199F">
        <w:rPr>
          <w:rFonts w:cs="Arial"/>
          <w:rtl/>
        </w:rPr>
        <w:t>פגומים הם בטילים שפיר ברוב דמאחר שהאיסור פגום בטל חשיבותן</w:t>
      </w:r>
      <w:r>
        <w:rPr>
          <w:rFonts w:cs="Arial" w:hint="cs"/>
          <w:rtl/>
        </w:rPr>
        <w:t>,</w:t>
      </w:r>
      <w:r w:rsidRPr="00B2199F">
        <w:rPr>
          <w:rFonts w:cs="Arial"/>
          <w:rtl/>
        </w:rPr>
        <w:t xml:space="preserve"> אבל אם הם חשובין בעצמן</w:t>
      </w:r>
      <w:r>
        <w:rPr>
          <w:rFonts w:cs="Arial" w:hint="cs"/>
          <w:sz w:val="16"/>
          <w:szCs w:val="16"/>
          <w:rtl/>
        </w:rPr>
        <w:t xml:space="preserve"> </w:t>
      </w:r>
      <w:r w:rsidRPr="00B2199F">
        <w:rPr>
          <w:rFonts w:cs="Arial"/>
          <w:rtl/>
        </w:rPr>
        <w:t>אלא שנותנים טעם לפגם במאכל שנתערב בו אינן בטילין אם אינן מכירן כאילו היו נ"ט לשבח</w:t>
      </w:r>
      <w:r>
        <w:rPr>
          <w:rFonts w:hint="cs"/>
          <w:rtl/>
        </w:rPr>
        <w:t>.</w:t>
      </w:r>
      <w:r w:rsidRPr="0089779A">
        <w:rPr>
          <w:rFonts w:hint="cs"/>
          <w:color w:val="00B0F0"/>
          <w:rtl/>
        </w:rPr>
        <w:t xml:space="preserve"> (וכ"פ הרמ"א)</w:t>
      </w:r>
    </w:p>
    <w:p w14:paraId="4662E050" w14:textId="77777777" w:rsidR="002C39F4" w:rsidRDefault="002C39F4" w:rsidP="0032102C">
      <w:pPr>
        <w:pStyle w:val="a8"/>
        <w:numPr>
          <w:ilvl w:val="1"/>
          <w:numId w:val="215"/>
        </w:numPr>
      </w:pPr>
      <w:r>
        <w:rPr>
          <w:rFonts w:cs="Arial" w:hint="cs"/>
          <w:rtl/>
        </w:rPr>
        <w:t>ב"י</w:t>
      </w:r>
      <w:r>
        <w:rPr>
          <w:rFonts w:cs="Arial" w:hint="cs"/>
          <w:sz w:val="16"/>
          <w:szCs w:val="16"/>
          <w:rtl/>
        </w:rPr>
        <w:t xml:space="preserve"> (או"ח שם)</w:t>
      </w:r>
      <w:r>
        <w:rPr>
          <w:rFonts w:cs="Arial" w:hint="cs"/>
          <w:rtl/>
        </w:rPr>
        <w:t xml:space="preserve">- </w:t>
      </w:r>
      <w:r w:rsidRPr="00D07769">
        <w:rPr>
          <w:rFonts w:cs="Arial"/>
          <w:rtl/>
        </w:rPr>
        <w:t>לענין הלכה כיון דרבו המתירין הכי נקטינן</w:t>
      </w:r>
      <w:r>
        <w:rPr>
          <w:rFonts w:cs="Arial" w:hint="cs"/>
          <w:rtl/>
        </w:rPr>
        <w:t>.</w:t>
      </w:r>
    </w:p>
    <w:p w14:paraId="5A44471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867F1A9" w14:textId="77777777" w:rsidR="002C39F4" w:rsidRDefault="002C39F4" w:rsidP="002C39F4">
      <w:pPr>
        <w:rPr>
          <w:rFonts w:asciiTheme="minorBidi" w:hAnsiTheme="minorBidi"/>
          <w:sz w:val="18"/>
          <w:szCs w:val="18"/>
          <w:rtl/>
        </w:rPr>
      </w:pPr>
      <w:r w:rsidRPr="003024E5">
        <w:rPr>
          <w:rFonts w:asciiTheme="minorBidi" w:hAnsiTheme="minorBidi"/>
          <w:rtl/>
        </w:rPr>
        <w:t>כל דבר שטעמו פגום אינו אוסר תערובתו</w:t>
      </w:r>
      <w:r>
        <w:rPr>
          <w:rStyle w:val="a7"/>
          <w:rFonts w:asciiTheme="minorBidi" w:hAnsiTheme="minorBidi"/>
          <w:rtl/>
        </w:rPr>
        <w:footnoteReference w:id="2063"/>
      </w:r>
      <w:r>
        <w:rPr>
          <w:rFonts w:asciiTheme="minorBidi" w:hAnsiTheme="minorBidi" w:hint="cs"/>
          <w:rtl/>
        </w:rPr>
        <w:t>,</w:t>
      </w:r>
      <w:r w:rsidRPr="003024E5">
        <w:rPr>
          <w:rFonts w:asciiTheme="minorBidi" w:hAnsiTheme="minorBidi"/>
          <w:rtl/>
        </w:rPr>
        <w:t xml:space="preserve"> ואפילו אין טעמו פגום מחמת עצמו, שבפני עצמו הוא מוטעם ומשובח אלא שפוגם תערובתו, מותר. </w:t>
      </w:r>
      <w:r w:rsidRPr="00257AA2">
        <w:rPr>
          <w:rFonts w:asciiTheme="minorBidi" w:hAnsiTheme="minorBidi"/>
          <w:sz w:val="18"/>
          <w:szCs w:val="18"/>
          <w:rtl/>
        </w:rPr>
        <w:t>הגה: מיהו דברים החשובים כבריה או כיוצא בה אם אינן פגומים בעצמן</w:t>
      </w:r>
      <w:r>
        <w:rPr>
          <w:rStyle w:val="a7"/>
          <w:rFonts w:asciiTheme="minorBidi" w:hAnsiTheme="minorBidi"/>
          <w:sz w:val="18"/>
          <w:szCs w:val="18"/>
          <w:rtl/>
        </w:rPr>
        <w:footnoteReference w:id="2064"/>
      </w:r>
      <w:r w:rsidRPr="00257AA2">
        <w:rPr>
          <w:rFonts w:asciiTheme="minorBidi" w:hAnsiTheme="minorBidi"/>
          <w:sz w:val="18"/>
          <w:szCs w:val="18"/>
          <w:rtl/>
        </w:rPr>
        <w:t xml:space="preserve"> אע</w:t>
      </w:r>
      <w:r>
        <w:rPr>
          <w:rFonts w:asciiTheme="minorBidi" w:hAnsiTheme="minorBidi" w:hint="cs"/>
          <w:sz w:val="18"/>
          <w:szCs w:val="18"/>
          <w:rtl/>
        </w:rPr>
        <w:t>"</w:t>
      </w:r>
      <w:r w:rsidRPr="00257AA2">
        <w:rPr>
          <w:rFonts w:asciiTheme="minorBidi" w:hAnsiTheme="minorBidi"/>
          <w:sz w:val="18"/>
          <w:szCs w:val="18"/>
          <w:rtl/>
        </w:rPr>
        <w:t>פ שפוגמין התבשיל אינן בטלים</w:t>
      </w:r>
      <w:r>
        <w:rPr>
          <w:rStyle w:val="a7"/>
          <w:rFonts w:asciiTheme="minorBidi" w:hAnsiTheme="minorBidi"/>
          <w:sz w:val="18"/>
          <w:szCs w:val="18"/>
          <w:rtl/>
        </w:rPr>
        <w:footnoteReference w:id="2065"/>
      </w:r>
      <w:r w:rsidRPr="00257AA2">
        <w:rPr>
          <w:rFonts w:asciiTheme="minorBidi" w:hAnsiTheme="minorBidi"/>
          <w:sz w:val="18"/>
          <w:szCs w:val="18"/>
          <w:rtl/>
        </w:rPr>
        <w:t xml:space="preserve"> אפילו באלף (ארוך). </w:t>
      </w:r>
    </w:p>
    <w:p w14:paraId="16AE8BA2" w14:textId="77777777" w:rsidR="002C39F4" w:rsidRDefault="002C39F4" w:rsidP="002C39F4">
      <w:pPr>
        <w:rPr>
          <w:rFonts w:asciiTheme="minorBidi" w:hAnsiTheme="minorBidi"/>
          <w:rtl/>
        </w:rPr>
      </w:pPr>
    </w:p>
    <w:p w14:paraId="412F71E9"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שיעור הנותן טעם לפגם.</w:t>
      </w:r>
    </w:p>
    <w:p w14:paraId="5431C9FD" w14:textId="77777777" w:rsidR="002C39F4" w:rsidRPr="004A5DD7" w:rsidRDefault="002C39F4" w:rsidP="002C39F4">
      <w:pPr>
        <w:rPr>
          <w:rtl/>
        </w:rPr>
      </w:pPr>
      <w:r>
        <w:rPr>
          <w:rFonts w:cs="Arial" w:hint="cs"/>
          <w:b/>
          <w:bCs/>
          <w:rtl/>
        </w:rPr>
        <w:t>עבודה זרה סז ע"א:</w:t>
      </w:r>
      <w:r>
        <w:rPr>
          <w:rFonts w:cs="Arial" w:hint="cs"/>
          <w:rtl/>
        </w:rPr>
        <w:t xml:space="preserve"> </w:t>
      </w:r>
      <w:r w:rsidRPr="00257AA2">
        <w:rPr>
          <w:rFonts w:cs="Arial"/>
          <w:u w:val="single"/>
          <w:rtl/>
        </w:rPr>
        <w:t>אמר ריש לקיש</w:t>
      </w:r>
      <w:r>
        <w:rPr>
          <w:rFonts w:cs="Arial" w:hint="cs"/>
          <w:rtl/>
        </w:rPr>
        <w:t>:</w:t>
      </w:r>
      <w:r w:rsidRPr="002D197B">
        <w:rPr>
          <w:rFonts w:cs="Arial"/>
          <w:rtl/>
        </w:rPr>
        <w:t xml:space="preserve"> נותן טעם לפגם שאמרו, לא שיאמרו</w:t>
      </w:r>
      <w:r>
        <w:rPr>
          <w:rStyle w:val="a7"/>
          <w:rFonts w:cs="Arial"/>
          <w:rtl/>
        </w:rPr>
        <w:footnoteReference w:id="2066"/>
      </w:r>
      <w:r w:rsidRPr="002D197B">
        <w:rPr>
          <w:rFonts w:cs="Arial"/>
          <w:rtl/>
        </w:rPr>
        <w:t>: קדירה זו חסירה מלח, יתירה מלח, חסירה תבלין, יתירה תבלין, אלא כל שאין חסירה</w:t>
      </w:r>
      <w:r>
        <w:rPr>
          <w:rStyle w:val="a7"/>
          <w:rFonts w:cs="Arial"/>
          <w:rtl/>
        </w:rPr>
        <w:footnoteReference w:id="2067"/>
      </w:r>
      <w:r w:rsidRPr="002D197B">
        <w:rPr>
          <w:rFonts w:cs="Arial"/>
          <w:rtl/>
        </w:rPr>
        <w:t xml:space="preserve"> כלום ואינה נאכלת מפני זה. </w:t>
      </w:r>
      <w:r w:rsidRPr="00257AA2">
        <w:rPr>
          <w:rFonts w:cs="Arial"/>
          <w:u w:val="dotted"/>
          <w:rtl/>
        </w:rPr>
        <w:t>ואיכא דאמרי</w:t>
      </w:r>
      <w:r w:rsidRPr="002D197B">
        <w:rPr>
          <w:rFonts w:cs="Arial"/>
          <w:rtl/>
        </w:rPr>
        <w:t xml:space="preserve">, </w:t>
      </w:r>
      <w:r w:rsidRPr="00257AA2">
        <w:rPr>
          <w:rFonts w:cs="Arial"/>
          <w:u w:val="single"/>
          <w:rtl/>
        </w:rPr>
        <w:t>אמר ריש לקיש</w:t>
      </w:r>
      <w:r w:rsidRPr="002D197B">
        <w:rPr>
          <w:rFonts w:cs="Arial"/>
          <w:rtl/>
        </w:rPr>
        <w:t>: נותן טעם לפגם שאמרו, אין אומרין</w:t>
      </w:r>
      <w:r>
        <w:rPr>
          <w:rStyle w:val="a7"/>
          <w:rFonts w:cs="Arial"/>
          <w:rtl/>
        </w:rPr>
        <w:footnoteReference w:id="2068"/>
      </w:r>
      <w:r w:rsidRPr="002D197B">
        <w:rPr>
          <w:rFonts w:cs="Arial"/>
          <w:rtl/>
        </w:rPr>
        <w:t>: קדירה זו חסירה מלח, יתירה מלח, חסירה תבלין, יתירה תבלין, אלא השתא מיהא הא פגמה.</w:t>
      </w:r>
      <w:r>
        <w:rPr>
          <w:rFonts w:cs="Arial" w:hint="cs"/>
          <w:rtl/>
        </w:rPr>
        <w:t>..</w:t>
      </w:r>
      <w:r w:rsidRPr="002D197B">
        <w:rPr>
          <w:rFonts w:cs="Arial"/>
          <w:rtl/>
        </w:rPr>
        <w:t xml:space="preserve"> </w:t>
      </w:r>
      <w:r w:rsidRPr="004F27FD">
        <w:rPr>
          <w:rFonts w:cs="Arial" w:hint="cs"/>
          <w:sz w:val="14"/>
          <w:szCs w:val="14"/>
          <w:rtl/>
        </w:rPr>
        <w:t>(סז:)</w:t>
      </w:r>
      <w:r w:rsidRPr="004F27FD">
        <w:rPr>
          <w:rtl/>
        </w:rPr>
        <w:t xml:space="preserve"> </w:t>
      </w:r>
      <w:r w:rsidRPr="002D197B">
        <w:rPr>
          <w:rFonts w:cs="Arial"/>
          <w:rtl/>
        </w:rPr>
        <w:t>והלכתא כלישנא בתרא דריש לקיש.</w:t>
      </w:r>
    </w:p>
    <w:p w14:paraId="151EE0A7" w14:textId="77777777" w:rsidR="002C39F4" w:rsidRPr="00370BC3" w:rsidRDefault="002C39F4" w:rsidP="002C39F4">
      <w:pPr>
        <w:rPr>
          <w:rFonts w:cs="Arial"/>
          <w:u w:val="single"/>
          <w:rtl/>
        </w:rPr>
      </w:pPr>
      <w:r>
        <w:rPr>
          <w:rFonts w:cs="Arial" w:hint="cs"/>
          <w:u w:val="single"/>
          <w:rtl/>
        </w:rPr>
        <w:t>כמה טעם פגום צריך האיסור ליתן בתערובת כדי שלא יאסור</w:t>
      </w:r>
      <w:r w:rsidRPr="00370BC3">
        <w:rPr>
          <w:rFonts w:cs="Arial" w:hint="cs"/>
          <w:u w:val="single"/>
          <w:rtl/>
        </w:rPr>
        <w:t>:</w:t>
      </w:r>
    </w:p>
    <w:p w14:paraId="5C9D362A" w14:textId="77777777" w:rsidR="002C39F4" w:rsidRDefault="002C39F4" w:rsidP="0032102C">
      <w:pPr>
        <w:pStyle w:val="a8"/>
        <w:numPr>
          <w:ilvl w:val="0"/>
          <w:numId w:val="214"/>
        </w:numPr>
        <w:rPr>
          <w:rFonts w:cs="Arial"/>
        </w:rPr>
      </w:pPr>
      <w:r w:rsidRPr="00370BC3">
        <w:rPr>
          <w:rFonts w:cs="Arial"/>
          <w:rtl/>
        </w:rPr>
        <w:t xml:space="preserve">רש"י </w:t>
      </w:r>
      <w:r w:rsidRPr="00370BC3">
        <w:rPr>
          <w:rFonts w:cs="Arial"/>
          <w:sz w:val="16"/>
          <w:szCs w:val="16"/>
          <w:rtl/>
        </w:rPr>
        <w:t>(ע"ז סז. ד"ה כל שאינה חסירה)</w:t>
      </w:r>
      <w:r w:rsidRPr="00370BC3">
        <w:rPr>
          <w:rFonts w:cs="Arial" w:hint="cs"/>
          <w:sz w:val="16"/>
          <w:szCs w:val="16"/>
          <w:rtl/>
        </w:rPr>
        <w:t xml:space="preserve"> </w:t>
      </w:r>
      <w:r w:rsidRPr="00370BC3">
        <w:rPr>
          <w:rFonts w:cs="Arial"/>
          <w:rtl/>
        </w:rPr>
        <w:t xml:space="preserve">רשב"א </w:t>
      </w:r>
      <w:r w:rsidRPr="000F3512">
        <w:rPr>
          <w:rFonts w:cs="Arial"/>
          <w:sz w:val="16"/>
          <w:szCs w:val="16"/>
          <w:rtl/>
        </w:rPr>
        <w:t xml:space="preserve">(תוה"א ב"ד ש"א יט., קצר טו.) </w:t>
      </w:r>
      <w:r>
        <w:rPr>
          <w:rFonts w:cs="Arial" w:hint="cs"/>
          <w:rtl/>
        </w:rPr>
        <w:t>טור</w:t>
      </w:r>
      <w:r w:rsidRPr="000F3512">
        <w:rPr>
          <w:rFonts w:cs="Arial"/>
          <w:rtl/>
        </w:rPr>
        <w:t xml:space="preserve"> </w:t>
      </w:r>
      <w:r w:rsidRPr="00370BC3">
        <w:rPr>
          <w:rFonts w:cs="Arial"/>
          <w:rtl/>
        </w:rPr>
        <w:t xml:space="preserve">ור"ן </w:t>
      </w:r>
      <w:r w:rsidRPr="000F3512">
        <w:rPr>
          <w:rFonts w:cs="Arial"/>
          <w:sz w:val="16"/>
          <w:szCs w:val="16"/>
          <w:rtl/>
        </w:rPr>
        <w:t>(לב</w:t>
      </w:r>
      <w:r>
        <w:rPr>
          <w:rFonts w:cs="Arial" w:hint="cs"/>
          <w:sz w:val="16"/>
          <w:szCs w:val="16"/>
          <w:rtl/>
        </w:rPr>
        <w:t>.</w:t>
      </w:r>
      <w:r w:rsidRPr="000F3512">
        <w:rPr>
          <w:rFonts w:cs="Arial"/>
          <w:sz w:val="16"/>
          <w:szCs w:val="16"/>
          <w:rtl/>
        </w:rPr>
        <w:t>)</w:t>
      </w:r>
      <w:r>
        <w:rPr>
          <w:rFonts w:cs="Arial" w:hint="cs"/>
          <w:rtl/>
        </w:rPr>
        <w:t xml:space="preserve">- </w:t>
      </w:r>
      <w:r w:rsidRPr="00370BC3">
        <w:rPr>
          <w:rFonts w:cs="Arial"/>
          <w:rtl/>
        </w:rPr>
        <w:t>פגם זה אין צריך שיפגום לגמרי עד שיהא קץ לאכלו אלא אפילו פוגם קצת אינו אוסר תערובתו</w:t>
      </w:r>
      <w:r>
        <w:rPr>
          <w:rStyle w:val="a7"/>
          <w:rFonts w:cs="Arial"/>
          <w:rtl/>
        </w:rPr>
        <w:footnoteReference w:id="2069"/>
      </w:r>
      <w:r w:rsidRPr="00370BC3">
        <w:rPr>
          <w:rFonts w:cs="Arial"/>
          <w:rtl/>
        </w:rPr>
        <w:t>.</w:t>
      </w:r>
    </w:p>
    <w:p w14:paraId="1633DEC0" w14:textId="77777777" w:rsidR="002C39F4" w:rsidRPr="00795394" w:rsidRDefault="002C39F4" w:rsidP="002C39F4">
      <w:pPr>
        <w:rPr>
          <w:rFonts w:cs="Arial"/>
          <w:u w:val="single"/>
          <w:rtl/>
        </w:rPr>
      </w:pPr>
      <w:r>
        <w:rPr>
          <w:rFonts w:cs="Arial" w:hint="cs"/>
          <w:u w:val="single"/>
          <w:rtl/>
        </w:rPr>
        <w:t>כמה יהיה מן האיסור ועדיין יהיה מותר משום נטל"פ</w:t>
      </w:r>
      <w:r w:rsidRPr="00795394">
        <w:rPr>
          <w:rFonts w:cs="Arial" w:hint="cs"/>
          <w:u w:val="single"/>
          <w:rtl/>
        </w:rPr>
        <w:t>:</w:t>
      </w:r>
    </w:p>
    <w:p w14:paraId="5EF51808" w14:textId="77777777" w:rsidR="002C39F4" w:rsidRDefault="002C39F4" w:rsidP="0032102C">
      <w:pPr>
        <w:pStyle w:val="a8"/>
        <w:numPr>
          <w:ilvl w:val="0"/>
          <w:numId w:val="214"/>
        </w:numPr>
        <w:rPr>
          <w:rFonts w:cs="Arial"/>
        </w:rPr>
      </w:pPr>
      <w:r w:rsidRPr="00370BC3">
        <w:rPr>
          <w:rFonts w:cs="Arial"/>
          <w:rtl/>
        </w:rPr>
        <w:t xml:space="preserve">רשב"א </w:t>
      </w:r>
      <w:r w:rsidRPr="000F3512">
        <w:rPr>
          <w:rFonts w:cs="Arial"/>
          <w:sz w:val="16"/>
          <w:szCs w:val="16"/>
          <w:rtl/>
        </w:rPr>
        <w:t>(תוה"א ב"ד ש"א יט.</w:t>
      </w:r>
      <w:r>
        <w:rPr>
          <w:rFonts w:cs="Arial" w:hint="cs"/>
          <w:sz w:val="16"/>
          <w:szCs w:val="16"/>
          <w:rtl/>
        </w:rPr>
        <w:t>-כ:, וב</w:t>
      </w:r>
      <w:r w:rsidRPr="003C0A0B">
        <w:rPr>
          <w:rFonts w:cs="Arial" w:hint="cs"/>
          <w:sz w:val="16"/>
          <w:szCs w:val="16"/>
          <w:rtl/>
        </w:rPr>
        <w:t>תו</w:t>
      </w:r>
      <w:r w:rsidRPr="003C0A0B">
        <w:rPr>
          <w:rFonts w:cs="Arial"/>
          <w:sz w:val="16"/>
          <w:szCs w:val="16"/>
          <w:rtl/>
        </w:rPr>
        <w:t>ה</w:t>
      </w:r>
      <w:r w:rsidRPr="003C0A0B">
        <w:rPr>
          <w:rFonts w:cs="Arial" w:hint="cs"/>
          <w:sz w:val="16"/>
          <w:szCs w:val="16"/>
          <w:rtl/>
        </w:rPr>
        <w:t>"</w:t>
      </w:r>
      <w:r w:rsidRPr="003C0A0B">
        <w:rPr>
          <w:rFonts w:cs="Arial"/>
          <w:sz w:val="16"/>
          <w:szCs w:val="16"/>
          <w:rtl/>
        </w:rPr>
        <w:t>ק</w:t>
      </w:r>
      <w:r w:rsidRPr="003C0A0B">
        <w:rPr>
          <w:rFonts w:cs="Arial" w:hint="cs"/>
          <w:sz w:val="16"/>
          <w:szCs w:val="16"/>
          <w:rtl/>
        </w:rPr>
        <w:t xml:space="preserve"> </w:t>
      </w:r>
      <w:r w:rsidRPr="003C0A0B">
        <w:rPr>
          <w:rFonts w:cs="Arial"/>
          <w:sz w:val="16"/>
          <w:szCs w:val="16"/>
          <w:rtl/>
        </w:rPr>
        <w:t>ב"ד ש"א טו.</w:t>
      </w:r>
      <w:r>
        <w:rPr>
          <w:rFonts w:cs="Arial" w:hint="cs"/>
          <w:sz w:val="16"/>
          <w:szCs w:val="16"/>
          <w:rtl/>
        </w:rPr>
        <w:t>)</w:t>
      </w:r>
      <w:r>
        <w:rPr>
          <w:rFonts w:cs="Arial" w:hint="cs"/>
          <w:rtl/>
        </w:rPr>
        <w:t xml:space="preserve"> וטור</w:t>
      </w:r>
      <w:r w:rsidRPr="00370BC3">
        <w:rPr>
          <w:rFonts w:cs="Arial" w:hint="cs"/>
          <w:rtl/>
        </w:rPr>
        <w:t>-</w:t>
      </w:r>
      <w:r>
        <w:rPr>
          <w:rFonts w:cs="Arial" w:hint="cs"/>
          <w:rtl/>
        </w:rPr>
        <w:t xml:space="preserve"> </w:t>
      </w:r>
      <w:r w:rsidRPr="00370BC3">
        <w:rPr>
          <w:rFonts w:cs="Arial"/>
          <w:rtl/>
        </w:rPr>
        <w:t xml:space="preserve">דוקא </w:t>
      </w:r>
      <w:r>
        <w:rPr>
          <w:rFonts w:cs="Arial" w:hint="cs"/>
          <w:rtl/>
        </w:rPr>
        <w:t>כ</w:t>
      </w:r>
      <w:r w:rsidRPr="00370BC3">
        <w:rPr>
          <w:rFonts w:cs="Arial"/>
          <w:rtl/>
        </w:rPr>
        <w:t>שנתערב איסור מועט עם היתר מרובה</w:t>
      </w:r>
      <w:r>
        <w:rPr>
          <w:rFonts w:cs="Arial" w:hint="cs"/>
          <w:rtl/>
        </w:rPr>
        <w:t>,</w:t>
      </w:r>
      <w:r w:rsidRPr="00370BC3">
        <w:rPr>
          <w:rFonts w:cs="Arial"/>
          <w:rtl/>
        </w:rPr>
        <w:t xml:space="preserve"> אבל איסור מרובה לתוך היתר מועט ואפילו מחצה על מחצה מסתברא שאין אומרין בזה נותן טעם לפגם מותר עד שיפגם לגמרי כנבלה עד לגר</w:t>
      </w:r>
      <w:r>
        <w:rPr>
          <w:rStyle w:val="a7"/>
          <w:rFonts w:cs="Arial"/>
          <w:rtl/>
        </w:rPr>
        <w:footnoteReference w:id="2070"/>
      </w:r>
      <w:r>
        <w:rPr>
          <w:rFonts w:cs="Arial" w:hint="cs"/>
          <w:rtl/>
        </w:rPr>
        <w:t>...</w:t>
      </w:r>
      <w:r w:rsidRPr="00370BC3">
        <w:rPr>
          <w:rFonts w:cs="Arial"/>
          <w:rtl/>
        </w:rPr>
        <w:t xml:space="preserve"> ונראה שאפילו נפל לתוך היתר מועט והכירו זורקו והרוטב מותר לפי שאין כאן אלא טעמו ולא ממשו</w:t>
      </w:r>
      <w:r>
        <w:rPr>
          <w:rStyle w:val="a7"/>
          <w:rFonts w:cs="Arial"/>
          <w:rtl/>
        </w:rPr>
        <w:footnoteReference w:id="2071"/>
      </w:r>
      <w:r>
        <w:rPr>
          <w:rFonts w:cs="Arial" w:hint="cs"/>
          <w:rtl/>
        </w:rPr>
        <w:t xml:space="preserve"> </w:t>
      </w:r>
      <w:r>
        <w:rPr>
          <w:rFonts w:cs="Arial" w:hint="cs"/>
          <w:sz w:val="16"/>
          <w:szCs w:val="16"/>
          <w:rtl/>
        </w:rPr>
        <w:t>(ל' הרשב"א בארוך)</w:t>
      </w:r>
      <w:r>
        <w:rPr>
          <w:rFonts w:cs="Arial" w:hint="cs"/>
          <w:rtl/>
        </w:rPr>
        <w:t>.</w:t>
      </w:r>
      <w:r w:rsidRPr="00677A47">
        <w:rPr>
          <w:rFonts w:cs="Arial"/>
          <w:rtl/>
        </w:rPr>
        <w:t xml:space="preserve"> </w:t>
      </w:r>
      <w:r w:rsidRPr="003C0A0B">
        <w:rPr>
          <w:rFonts w:cs="Arial"/>
          <w:rtl/>
        </w:rPr>
        <w:t>אבל צירו של איסור וכ"ש כשנתערב בו גופו של איסור אינו מותר עד שירבה ההיתר או עד שיפגום לגמרי שאינו ראוי לגר</w:t>
      </w:r>
      <w:r>
        <w:rPr>
          <w:rFonts w:cs="Arial" w:hint="cs"/>
          <w:sz w:val="16"/>
          <w:szCs w:val="16"/>
          <w:rtl/>
        </w:rPr>
        <w:t xml:space="preserve"> (ל' הרשב"א בקצר)</w:t>
      </w:r>
      <w:r>
        <w:rPr>
          <w:rFonts w:cs="Arial" w:hint="cs"/>
          <w:rtl/>
        </w:rPr>
        <w:t>.</w:t>
      </w:r>
    </w:p>
    <w:p w14:paraId="7BA7D227" w14:textId="77777777" w:rsidR="002C39F4" w:rsidRDefault="002C39F4" w:rsidP="0032102C">
      <w:pPr>
        <w:pStyle w:val="a8"/>
        <w:numPr>
          <w:ilvl w:val="0"/>
          <w:numId w:val="214"/>
        </w:numPr>
        <w:rPr>
          <w:rtl/>
        </w:rPr>
      </w:pPr>
      <w:r w:rsidRPr="00370BC3">
        <w:rPr>
          <w:rFonts w:cs="Arial"/>
          <w:rtl/>
        </w:rPr>
        <w:t xml:space="preserve">ר"ן </w:t>
      </w:r>
      <w:r w:rsidRPr="005649C6">
        <w:rPr>
          <w:rFonts w:cs="Arial"/>
          <w:sz w:val="16"/>
          <w:szCs w:val="16"/>
          <w:rtl/>
        </w:rPr>
        <w:t>(לב:)</w:t>
      </w:r>
      <w:r w:rsidRPr="00370BC3">
        <w:rPr>
          <w:rFonts w:cs="Arial" w:hint="cs"/>
          <w:rtl/>
        </w:rPr>
        <w:t xml:space="preserve">- </w:t>
      </w:r>
      <w:r>
        <w:rPr>
          <w:rStyle w:val="a7"/>
          <w:rFonts w:cs="Arial"/>
          <w:rtl/>
        </w:rPr>
        <w:footnoteReference w:id="2072"/>
      </w:r>
      <w:r w:rsidRPr="00370BC3">
        <w:rPr>
          <w:rFonts w:cs="Arial"/>
          <w:rtl/>
        </w:rPr>
        <w:t>אם הגדיל איסור מדתו של היתר עד שיהא משביח יותר כשאוכלו בגודל מדתו ממה שהוא פוגם בהפסד טעמו אסור עד שיפסל מלאכול לאדם כנבלה</w:t>
      </w:r>
      <w:r>
        <w:rPr>
          <w:rFonts w:cs="Arial" w:hint="cs"/>
          <w:rtl/>
        </w:rPr>
        <w:t>,</w:t>
      </w:r>
      <w:r w:rsidRPr="00370BC3">
        <w:rPr>
          <w:rFonts w:cs="Arial"/>
          <w:rtl/>
        </w:rPr>
        <w:t xml:space="preserve"> וכי אמרינן דבפגם כל שהוא סגי היינו כשפוסל יותר בקלקול טעמו ממה שמשביח בגודל מדתו</w:t>
      </w:r>
      <w:r>
        <w:rPr>
          <w:rStyle w:val="a7"/>
          <w:rFonts w:cs="Arial"/>
          <w:rtl/>
        </w:rPr>
        <w:footnoteReference w:id="2073"/>
      </w:r>
      <w:r>
        <w:rPr>
          <w:rFonts w:cs="Arial" w:hint="cs"/>
          <w:rtl/>
        </w:rPr>
        <w:t>.</w:t>
      </w:r>
      <w:r>
        <w:rPr>
          <w:rFonts w:hint="cs"/>
          <w:rtl/>
        </w:rPr>
        <w:t xml:space="preserve"> </w:t>
      </w:r>
      <w:r w:rsidRPr="00E931F1">
        <w:rPr>
          <w:rFonts w:hint="cs"/>
          <w:color w:val="E36C0A" w:themeColor="accent6" w:themeShade="BF"/>
          <w:rtl/>
        </w:rPr>
        <w:t>(וכ"פ בשו"ע)</w:t>
      </w:r>
    </w:p>
    <w:p w14:paraId="70362DE8" w14:textId="77777777" w:rsidR="002C39F4" w:rsidRPr="000D00C9" w:rsidRDefault="002C39F4" w:rsidP="0032102C">
      <w:pPr>
        <w:pStyle w:val="a8"/>
        <w:numPr>
          <w:ilvl w:val="0"/>
          <w:numId w:val="214"/>
        </w:numPr>
      </w:pPr>
      <w:r>
        <w:rPr>
          <w:rFonts w:cs="Arial" w:hint="cs"/>
          <w:rtl/>
        </w:rPr>
        <w:t>או</w:t>
      </w:r>
      <w:r>
        <w:rPr>
          <w:rFonts w:cs="Arial"/>
          <w:rtl/>
        </w:rPr>
        <w:t>"</w:t>
      </w:r>
      <w:r>
        <w:rPr>
          <w:rFonts w:cs="Arial" w:hint="cs"/>
          <w:rtl/>
        </w:rPr>
        <w:t>ה</w:t>
      </w:r>
      <w:r w:rsidRPr="00B2199F">
        <w:rPr>
          <w:rFonts w:cs="Arial"/>
          <w:rtl/>
        </w:rPr>
        <w:t xml:space="preserve"> </w:t>
      </w:r>
      <w:r w:rsidRPr="00631103">
        <w:rPr>
          <w:rFonts w:cs="Arial" w:hint="cs"/>
          <w:sz w:val="16"/>
          <w:szCs w:val="16"/>
          <w:rtl/>
        </w:rPr>
        <w:t>(</w:t>
      </w:r>
      <w:r w:rsidRPr="00631103">
        <w:rPr>
          <w:rFonts w:cs="Arial"/>
          <w:sz w:val="16"/>
          <w:szCs w:val="16"/>
          <w:rtl/>
        </w:rPr>
        <w:t>כלל לב ד</w:t>
      </w:r>
      <w:r>
        <w:rPr>
          <w:rFonts w:cs="Arial" w:hint="cs"/>
          <w:sz w:val="16"/>
          <w:szCs w:val="16"/>
          <w:rtl/>
        </w:rPr>
        <w:t>"</w:t>
      </w:r>
      <w:r w:rsidRPr="00631103">
        <w:rPr>
          <w:rFonts w:cs="Arial"/>
          <w:sz w:val="16"/>
          <w:szCs w:val="16"/>
          <w:rtl/>
        </w:rPr>
        <w:t>ו)</w:t>
      </w:r>
      <w:r>
        <w:rPr>
          <w:rFonts w:cs="Arial" w:hint="cs"/>
          <w:rtl/>
        </w:rPr>
        <w:t>-</w:t>
      </w:r>
      <w:r w:rsidRPr="00B2199F">
        <w:rPr>
          <w:rFonts w:cs="Arial"/>
          <w:rtl/>
        </w:rPr>
        <w:t xml:space="preserve"> איסור הפוגם שנתבטל ברוב ונמחה שאין איסורו קיים</w:t>
      </w:r>
      <w:r>
        <w:rPr>
          <w:rFonts w:cs="Arial" w:hint="cs"/>
          <w:rtl/>
        </w:rPr>
        <w:t>,</w:t>
      </w:r>
      <w:r w:rsidRPr="00B2199F">
        <w:rPr>
          <w:rFonts w:cs="Arial"/>
          <w:rtl/>
        </w:rPr>
        <w:t xml:space="preserve"> בין במינו ובין שלא במינו שרי</w:t>
      </w:r>
      <w:r>
        <w:rPr>
          <w:rFonts w:cs="Arial" w:hint="cs"/>
          <w:rtl/>
        </w:rPr>
        <w:t>,</w:t>
      </w:r>
      <w:r w:rsidRPr="00B2199F">
        <w:rPr>
          <w:rFonts w:cs="Arial"/>
          <w:rtl/>
        </w:rPr>
        <w:t xml:space="preserve"> אבל בשאינו מינו ועדיין איסורו קיים אינו בטל ברוב אלא בעינן דוקא ס' דמין בשאינו מינו אינו בטל מדאו</w:t>
      </w:r>
      <w:r>
        <w:rPr>
          <w:rFonts w:cs="Arial" w:hint="cs"/>
          <w:rtl/>
        </w:rPr>
        <w:t>'</w:t>
      </w:r>
      <w:r>
        <w:rPr>
          <w:rStyle w:val="a7"/>
          <w:rFonts w:cs="Arial"/>
          <w:rtl/>
        </w:rPr>
        <w:footnoteReference w:id="2074"/>
      </w:r>
      <w:r>
        <w:rPr>
          <w:rFonts w:cs="Arial" w:hint="cs"/>
          <w:rtl/>
        </w:rPr>
        <w:t>.</w:t>
      </w:r>
    </w:p>
    <w:p w14:paraId="698C1457" w14:textId="77777777" w:rsidR="002C39F4" w:rsidRPr="00E75B46" w:rsidRDefault="002C39F4" w:rsidP="002C39F4">
      <w:pPr>
        <w:rPr>
          <w:rFonts w:cs="Arial"/>
          <w:rtl/>
        </w:rPr>
      </w:pPr>
      <w:r w:rsidRPr="00E75B46">
        <w:rPr>
          <w:rFonts w:cs="Arial" w:hint="cs"/>
          <w:b/>
          <w:bCs/>
          <w:rtl/>
        </w:rPr>
        <w:t>עבודה זרה ס</w:t>
      </w:r>
      <w:r>
        <w:rPr>
          <w:rFonts w:cs="Arial" w:hint="cs"/>
          <w:b/>
          <w:bCs/>
          <w:rtl/>
        </w:rPr>
        <w:t>ז</w:t>
      </w:r>
      <w:r w:rsidRPr="00E75B46">
        <w:rPr>
          <w:rFonts w:cs="Arial" w:hint="cs"/>
          <w:b/>
          <w:bCs/>
          <w:rtl/>
        </w:rPr>
        <w:t xml:space="preserve"> ע"</w:t>
      </w:r>
      <w:r>
        <w:rPr>
          <w:rFonts w:cs="Arial" w:hint="cs"/>
          <w:b/>
          <w:bCs/>
          <w:rtl/>
        </w:rPr>
        <w:t>א</w:t>
      </w:r>
      <w:r w:rsidRPr="00E75B46">
        <w:rPr>
          <w:rFonts w:cs="Arial" w:hint="cs"/>
          <w:b/>
          <w:bCs/>
          <w:rtl/>
        </w:rPr>
        <w:t>:</w:t>
      </w:r>
      <w:r w:rsidRPr="00E75B46">
        <w:rPr>
          <w:rFonts w:cs="Arial" w:hint="cs"/>
          <w:rtl/>
        </w:rPr>
        <w:t xml:space="preserve"> </w:t>
      </w:r>
      <w:r w:rsidRPr="00E75B46">
        <w:rPr>
          <w:rFonts w:cs="Arial"/>
          <w:rtl/>
        </w:rPr>
        <w:t xml:space="preserve">זה הכלל: כל שבהנאתו בנותן טעם כו'. </w:t>
      </w:r>
      <w:r w:rsidRPr="00E75B46">
        <w:rPr>
          <w:rFonts w:cs="Arial"/>
          <w:u w:val="single"/>
          <w:rtl/>
        </w:rPr>
        <w:t>אמר רב יהודה אמר שמואל</w:t>
      </w:r>
      <w:r w:rsidRPr="00E75B46">
        <w:rPr>
          <w:rFonts w:cs="Arial"/>
          <w:rtl/>
        </w:rPr>
        <w:t xml:space="preserve">: הכי הלכתא. </w:t>
      </w:r>
      <w:r w:rsidRPr="00E75B46">
        <w:rPr>
          <w:rFonts w:cs="Arial"/>
          <w:u w:val="single"/>
          <w:rtl/>
        </w:rPr>
        <w:t>ואמר רב יהודה אמר שמואל</w:t>
      </w:r>
      <w:r w:rsidRPr="00E75B46">
        <w:rPr>
          <w:rFonts w:cs="Arial"/>
          <w:rtl/>
        </w:rPr>
        <w:t>: לא שנו אלא שנפל לתוך גריסין רותחין</w:t>
      </w:r>
      <w:r>
        <w:rPr>
          <w:rStyle w:val="a7"/>
          <w:rFonts w:cs="Arial"/>
          <w:rtl/>
        </w:rPr>
        <w:footnoteReference w:id="2075"/>
      </w:r>
      <w:r w:rsidRPr="00E75B46">
        <w:rPr>
          <w:rFonts w:cs="Arial"/>
          <w:rtl/>
        </w:rPr>
        <w:t>, אבל נפל לתוך גריסין צוננין והרתיחן, נעשה כמי שהשביח ולבסוף פגם ואסור</w:t>
      </w:r>
      <w:r>
        <w:rPr>
          <w:rStyle w:val="a7"/>
          <w:rFonts w:cs="Arial"/>
          <w:rtl/>
        </w:rPr>
        <w:footnoteReference w:id="2076"/>
      </w:r>
      <w:r w:rsidRPr="00E75B46">
        <w:rPr>
          <w:rFonts w:cs="Arial"/>
          <w:rtl/>
        </w:rPr>
        <w:t xml:space="preserve">. </w:t>
      </w:r>
      <w:r w:rsidRPr="00E75B46">
        <w:rPr>
          <w:rFonts w:cs="Arial"/>
          <w:u w:val="single"/>
          <w:rtl/>
        </w:rPr>
        <w:t>וכן כי אתא רבין אמר רבה בר בר חנה אמר ר' יוחנן</w:t>
      </w:r>
      <w:r w:rsidRPr="00E75B46">
        <w:rPr>
          <w:rFonts w:cs="Arial"/>
          <w:rtl/>
        </w:rPr>
        <w:t xml:space="preserve">: לא שנו אלא שנפל לתוך גריסין רותחין, אבל נפל לתוך גריסין צוננין והרתיחן, נעשה כמי שהשביח ולבסוף פגם ואסור. </w:t>
      </w:r>
      <w:r w:rsidRPr="00E75B46">
        <w:rPr>
          <w:rFonts w:cs="Arial"/>
          <w:u w:val="single"/>
          <w:rtl/>
        </w:rPr>
        <w:t>וכן כי אתא רב דימי</w:t>
      </w:r>
      <w:r w:rsidRPr="00E75B46">
        <w:rPr>
          <w:rFonts w:cs="Arial"/>
          <w:rtl/>
        </w:rPr>
        <w:t xml:space="preserve"> כו'</w:t>
      </w:r>
      <w:r w:rsidRPr="00E75B46">
        <w:rPr>
          <w:rFonts w:cs="Arial" w:hint="cs"/>
          <w:rtl/>
        </w:rPr>
        <w:t>,</w:t>
      </w:r>
      <w:r w:rsidRPr="00E75B46">
        <w:rPr>
          <w:rFonts w:cs="Arial"/>
          <w:rtl/>
        </w:rPr>
        <w:t xml:space="preserve"> וכך היו עושין</w:t>
      </w:r>
      <w:r>
        <w:rPr>
          <w:rStyle w:val="a7"/>
          <w:rFonts w:cs="Arial"/>
          <w:rtl/>
        </w:rPr>
        <w:footnoteReference w:id="2077"/>
      </w:r>
      <w:r w:rsidRPr="00E75B46">
        <w:rPr>
          <w:rFonts w:cs="Arial"/>
          <w:rtl/>
        </w:rPr>
        <w:t xml:space="preserve"> בערבי שבתות בציפורי, וקוראין אותם שחליים.</w:t>
      </w:r>
    </w:p>
    <w:p w14:paraId="3DF53F92" w14:textId="77777777" w:rsidR="002C39F4" w:rsidRPr="00C62D13" w:rsidRDefault="002C39F4" w:rsidP="002C39F4">
      <w:pPr>
        <w:rPr>
          <w:rFonts w:cs="Arial"/>
          <w:u w:val="single"/>
          <w:rtl/>
        </w:rPr>
      </w:pPr>
      <w:r>
        <w:rPr>
          <w:rFonts w:cs="Arial" w:hint="cs"/>
          <w:u w:val="single"/>
          <w:rtl/>
        </w:rPr>
        <w:t>איסור שה</w:t>
      </w:r>
      <w:r w:rsidRPr="00C62D13">
        <w:rPr>
          <w:rFonts w:cs="Arial"/>
          <w:u w:val="single"/>
          <w:rtl/>
        </w:rPr>
        <w:t>שביח ולבסוף פגם או פגם ולבסוף השביח</w:t>
      </w:r>
      <w:r w:rsidRPr="00C62D13">
        <w:rPr>
          <w:rFonts w:cs="Arial" w:hint="cs"/>
          <w:u w:val="single"/>
          <w:rtl/>
        </w:rPr>
        <w:t>:</w:t>
      </w:r>
      <w:r w:rsidRPr="00C62D13">
        <w:rPr>
          <w:rFonts w:cs="Arial"/>
          <w:u w:val="single"/>
          <w:rtl/>
        </w:rPr>
        <w:t xml:space="preserve"> </w:t>
      </w:r>
    </w:p>
    <w:p w14:paraId="0494A872" w14:textId="77777777" w:rsidR="002C39F4" w:rsidRPr="00B2199F" w:rsidRDefault="002C39F4" w:rsidP="0032102C">
      <w:pPr>
        <w:pStyle w:val="a8"/>
        <w:numPr>
          <w:ilvl w:val="0"/>
          <w:numId w:val="215"/>
        </w:numPr>
        <w:rPr>
          <w:rtl/>
        </w:rPr>
      </w:pPr>
      <w:r w:rsidRPr="00C62D13">
        <w:rPr>
          <w:rFonts w:cs="Arial"/>
          <w:rtl/>
        </w:rPr>
        <w:t xml:space="preserve">רמב"ם </w:t>
      </w:r>
      <w:r w:rsidRPr="00E75B46">
        <w:rPr>
          <w:rFonts w:cs="Arial"/>
          <w:sz w:val="16"/>
          <w:szCs w:val="16"/>
          <w:rtl/>
        </w:rPr>
        <w:t xml:space="preserve">(פט"ו הכ"א) </w:t>
      </w:r>
      <w:r w:rsidRPr="00C62D13">
        <w:rPr>
          <w:rFonts w:cs="Arial"/>
          <w:rtl/>
        </w:rPr>
        <w:t xml:space="preserve">רשב"א </w:t>
      </w:r>
      <w:r>
        <w:rPr>
          <w:rFonts w:hint="cs"/>
          <w:rtl/>
        </w:rPr>
        <w:t xml:space="preserve">וטור- </w:t>
      </w:r>
      <w:r w:rsidRPr="005616E5">
        <w:rPr>
          <w:rFonts w:cs="Arial"/>
          <w:rtl/>
        </w:rPr>
        <w:t xml:space="preserve">בד"א </w:t>
      </w:r>
      <w:r>
        <w:rPr>
          <w:rFonts w:cs="Arial" w:hint="cs"/>
          <w:sz w:val="16"/>
          <w:szCs w:val="16"/>
          <w:rtl/>
        </w:rPr>
        <w:t>{שאינו אוסר תערובתו}</w:t>
      </w:r>
      <w:r>
        <w:rPr>
          <w:rFonts w:cs="Arial" w:hint="cs"/>
          <w:rtl/>
        </w:rPr>
        <w:t xml:space="preserve">, </w:t>
      </w:r>
      <w:r w:rsidRPr="005616E5">
        <w:rPr>
          <w:rFonts w:cs="Arial"/>
          <w:rtl/>
        </w:rPr>
        <w:t>שפוגם מתחלתו ועד סופו</w:t>
      </w:r>
      <w:r>
        <w:rPr>
          <w:rFonts w:cs="Arial" w:hint="cs"/>
          <w:rtl/>
        </w:rPr>
        <w:t>,</w:t>
      </w:r>
      <w:r w:rsidRPr="005616E5">
        <w:rPr>
          <w:rFonts w:cs="Arial"/>
          <w:rtl/>
        </w:rPr>
        <w:t xml:space="preserve"> אבל השביחו ולבסוף פוגם או פוגם ולבסוף השביח</w:t>
      </w:r>
      <w:r>
        <w:rPr>
          <w:rFonts w:cs="Arial" w:hint="cs"/>
          <w:rtl/>
        </w:rPr>
        <w:t>,</w:t>
      </w:r>
      <w:r w:rsidRPr="005616E5">
        <w:rPr>
          <w:rFonts w:cs="Arial"/>
          <w:rtl/>
        </w:rPr>
        <w:t xml:space="preserve"> כגון שנפל לתוך גריסין צונן והשביחן</w:t>
      </w:r>
      <w:r>
        <w:rPr>
          <w:rFonts w:cs="Arial" w:hint="cs"/>
          <w:rtl/>
        </w:rPr>
        <w:t>,</w:t>
      </w:r>
      <w:r w:rsidRPr="005616E5">
        <w:rPr>
          <w:rFonts w:cs="Arial"/>
          <w:rtl/>
        </w:rPr>
        <w:t xml:space="preserve"> והרתיחן ופגמו</w:t>
      </w:r>
      <w:r>
        <w:rPr>
          <w:rFonts w:cs="Arial" w:hint="cs"/>
          <w:rtl/>
        </w:rPr>
        <w:t>,</w:t>
      </w:r>
      <w:r w:rsidRPr="005616E5">
        <w:rPr>
          <w:rFonts w:cs="Arial"/>
          <w:rtl/>
        </w:rPr>
        <w:t xml:space="preserve"> אסור</w:t>
      </w:r>
      <w:r>
        <w:rPr>
          <w:rStyle w:val="a7"/>
          <w:rFonts w:cs="Arial"/>
          <w:rtl/>
        </w:rPr>
        <w:footnoteReference w:id="2078"/>
      </w:r>
      <w:r>
        <w:rPr>
          <w:rFonts w:cs="Arial" w:hint="cs"/>
          <w:sz w:val="16"/>
          <w:szCs w:val="16"/>
          <w:rtl/>
        </w:rPr>
        <w:t xml:space="preserve"> (ל' הטור)</w:t>
      </w:r>
      <w:r>
        <w:rPr>
          <w:rFonts w:cs="Arial" w:hint="cs"/>
          <w:rtl/>
        </w:rPr>
        <w:t>.</w:t>
      </w:r>
    </w:p>
    <w:p w14:paraId="560EE02D" w14:textId="77777777" w:rsidR="002C39F4" w:rsidRPr="00A5424B" w:rsidRDefault="002C39F4" w:rsidP="002C39F4">
      <w:pPr>
        <w:rPr>
          <w:rFonts w:cs="Arial"/>
          <w:u w:val="single"/>
        </w:rPr>
      </w:pPr>
      <w:r w:rsidRPr="00A5424B">
        <w:rPr>
          <w:rFonts w:cs="Arial" w:hint="cs"/>
          <w:u w:val="single"/>
          <w:rtl/>
        </w:rPr>
        <w:t xml:space="preserve">נטל"פ שנפל לקדירה </w:t>
      </w:r>
      <w:r w:rsidRPr="00A5424B">
        <w:rPr>
          <w:rFonts w:cs="Arial"/>
          <w:u w:val="single"/>
          <w:rtl/>
        </w:rPr>
        <w:t>–</w:t>
      </w:r>
      <w:r w:rsidRPr="00A5424B">
        <w:rPr>
          <w:rFonts w:cs="Arial" w:hint="cs"/>
          <w:u w:val="single"/>
          <w:rtl/>
        </w:rPr>
        <w:t xml:space="preserve"> מה דין הקדירה</w:t>
      </w:r>
      <w:r>
        <w:rPr>
          <w:rFonts w:cs="Arial" w:hint="cs"/>
          <w:sz w:val="16"/>
          <w:szCs w:val="16"/>
          <w:u w:val="single"/>
          <w:rtl/>
        </w:rPr>
        <w:t xml:space="preserve"> (ועוד דינים)</w:t>
      </w:r>
      <w:r w:rsidRPr="00A5424B">
        <w:rPr>
          <w:rFonts w:cs="Arial" w:hint="cs"/>
          <w:u w:val="single"/>
          <w:rtl/>
        </w:rPr>
        <w:t>:</w:t>
      </w:r>
      <w:r>
        <w:rPr>
          <w:rFonts w:cs="Arial" w:hint="cs"/>
          <w:sz w:val="16"/>
          <w:szCs w:val="16"/>
          <w:rtl/>
        </w:rPr>
        <w:t xml:space="preserve">  (דרכ"מ אות א)</w:t>
      </w:r>
    </w:p>
    <w:p w14:paraId="13BAF21F" w14:textId="77777777" w:rsidR="002C39F4" w:rsidRPr="006208E4" w:rsidRDefault="002C39F4" w:rsidP="0032102C">
      <w:pPr>
        <w:pStyle w:val="a8"/>
        <w:numPr>
          <w:ilvl w:val="0"/>
          <w:numId w:val="217"/>
        </w:numPr>
        <w:rPr>
          <w:rFonts w:cs="Arial"/>
        </w:rPr>
      </w:pPr>
      <w:r>
        <w:rPr>
          <w:rFonts w:hint="cs"/>
          <w:rtl/>
        </w:rPr>
        <w:t>או</w:t>
      </w:r>
      <w:r>
        <w:rPr>
          <w:rtl/>
        </w:rPr>
        <w:t>"</w:t>
      </w:r>
      <w:r>
        <w:rPr>
          <w:rFonts w:hint="cs"/>
          <w:rtl/>
        </w:rPr>
        <w:t>ה</w:t>
      </w:r>
      <w:r>
        <w:rPr>
          <w:rtl/>
        </w:rPr>
        <w:t xml:space="preserve"> </w:t>
      </w:r>
      <w:r w:rsidRPr="00A5424B">
        <w:rPr>
          <w:rFonts w:hint="cs"/>
          <w:sz w:val="16"/>
          <w:szCs w:val="16"/>
          <w:rtl/>
        </w:rPr>
        <w:t>(</w:t>
      </w:r>
      <w:r w:rsidRPr="00A5424B">
        <w:rPr>
          <w:sz w:val="16"/>
          <w:szCs w:val="16"/>
          <w:rtl/>
        </w:rPr>
        <w:t>כלל לב)</w:t>
      </w:r>
      <w:r>
        <w:rPr>
          <w:rFonts w:hint="cs"/>
          <w:rtl/>
        </w:rPr>
        <w:t>-</w:t>
      </w:r>
      <w:r>
        <w:rPr>
          <w:rtl/>
        </w:rPr>
        <w:t xml:space="preserve"> דוקא במאכל מותר נטל</w:t>
      </w:r>
      <w:r>
        <w:rPr>
          <w:rFonts w:hint="cs"/>
          <w:rtl/>
        </w:rPr>
        <w:t>"פ</w:t>
      </w:r>
      <w:r>
        <w:rPr>
          <w:rtl/>
        </w:rPr>
        <w:t xml:space="preserve"> אבל הקדרה אסורה דבקדירה נותן האיסור טעם ואם בישל בו אח"כ תוך מע"ל דבר שהאיסור נותן בו טעם לשבח נאסר התבשיל השני</w:t>
      </w:r>
      <w:r w:rsidRPr="00A5424B">
        <w:rPr>
          <w:sz w:val="16"/>
          <w:szCs w:val="16"/>
          <w:rtl/>
        </w:rPr>
        <w:t xml:space="preserve"> </w:t>
      </w:r>
      <w:r>
        <w:rPr>
          <w:rFonts w:hint="cs"/>
          <w:sz w:val="16"/>
          <w:szCs w:val="16"/>
          <w:rtl/>
        </w:rPr>
        <w:t>(</w:t>
      </w:r>
      <w:r w:rsidRPr="00A5424B">
        <w:rPr>
          <w:sz w:val="16"/>
          <w:szCs w:val="16"/>
          <w:rtl/>
        </w:rPr>
        <w:t>דין יב</w:t>
      </w:r>
      <w:r>
        <w:rPr>
          <w:rFonts w:hint="cs"/>
          <w:sz w:val="16"/>
          <w:szCs w:val="16"/>
          <w:rtl/>
        </w:rPr>
        <w:t>)</w:t>
      </w:r>
      <w:r>
        <w:rPr>
          <w:rFonts w:hint="cs"/>
          <w:rtl/>
        </w:rPr>
        <w:t xml:space="preserve">. </w:t>
      </w:r>
      <w:r>
        <w:rPr>
          <w:rtl/>
        </w:rPr>
        <w:t>ואפילו לא נפל האיסור הפוגם בעצמו לקדירה אלא שבישל בה תבשיל שנפל לתוכו איסור פגום הקדירה אסורה</w:t>
      </w:r>
      <w:r>
        <w:rPr>
          <w:rFonts w:hint="cs"/>
          <w:rtl/>
        </w:rPr>
        <w:t>,</w:t>
      </w:r>
      <w:r>
        <w:rPr>
          <w:rtl/>
        </w:rPr>
        <w:t xml:space="preserve"> אבל אם תחב כף שניער בו איסור פגום לתבשיל שבקדרה הקדרה נמי שרי הואיל והתבשיל שרי דה"ל נ"ט בנ"ט דהיתרא דהרי גם כאן הכף נ"ט פגום לתבשיל ומתבשיל לקדרה ועדיין הטעם פגום</w:t>
      </w:r>
      <w:r>
        <w:rPr>
          <w:rFonts w:hint="cs"/>
          <w:rtl/>
        </w:rPr>
        <w:t xml:space="preserve"> </w:t>
      </w:r>
      <w:r>
        <w:rPr>
          <w:rFonts w:hint="cs"/>
          <w:sz w:val="16"/>
          <w:szCs w:val="16"/>
          <w:rtl/>
        </w:rPr>
        <w:t>(</w:t>
      </w:r>
      <w:r w:rsidRPr="00A5424B">
        <w:rPr>
          <w:sz w:val="16"/>
          <w:szCs w:val="16"/>
          <w:rtl/>
        </w:rPr>
        <w:t>דין י</w:t>
      </w:r>
      <w:r>
        <w:rPr>
          <w:rFonts w:hint="cs"/>
          <w:sz w:val="16"/>
          <w:szCs w:val="16"/>
          <w:rtl/>
        </w:rPr>
        <w:t>ג)</w:t>
      </w:r>
      <w:r>
        <w:rPr>
          <w:rFonts w:hint="cs"/>
          <w:rtl/>
        </w:rPr>
        <w:t>.</w:t>
      </w:r>
      <w:r w:rsidRPr="00A5424B">
        <w:rPr>
          <w:rtl/>
        </w:rPr>
        <w:t xml:space="preserve"> </w:t>
      </w:r>
      <w:r>
        <w:rPr>
          <w:rFonts w:hint="cs"/>
          <w:rtl/>
        </w:rPr>
        <w:t xml:space="preserve">אבל </w:t>
      </w:r>
      <w:r>
        <w:rPr>
          <w:rtl/>
        </w:rPr>
        <w:t>יורה שמתיכים בו דבש אע</w:t>
      </w:r>
      <w:r>
        <w:rPr>
          <w:rFonts w:hint="cs"/>
          <w:rtl/>
        </w:rPr>
        <w:t>"</w:t>
      </w:r>
      <w:r>
        <w:rPr>
          <w:rtl/>
        </w:rPr>
        <w:t>פ שיש בו רגלי הדבורים אפ"ה היורה מותר דאין טעם ברגלי הדבורים לאסור היורה</w:t>
      </w:r>
      <w:r>
        <w:rPr>
          <w:rFonts w:hint="cs"/>
          <w:rtl/>
        </w:rPr>
        <w:t xml:space="preserve"> </w:t>
      </w:r>
      <w:r>
        <w:rPr>
          <w:rFonts w:hint="cs"/>
          <w:sz w:val="16"/>
          <w:szCs w:val="16"/>
          <w:rtl/>
        </w:rPr>
        <w:t>(</w:t>
      </w:r>
      <w:r w:rsidRPr="00A5424B">
        <w:rPr>
          <w:sz w:val="16"/>
          <w:szCs w:val="16"/>
          <w:rtl/>
        </w:rPr>
        <w:t>דין י</w:t>
      </w:r>
      <w:r>
        <w:rPr>
          <w:rFonts w:hint="cs"/>
          <w:sz w:val="16"/>
          <w:szCs w:val="16"/>
          <w:rtl/>
        </w:rPr>
        <w:t>ז)</w:t>
      </w:r>
      <w:r>
        <w:rPr>
          <w:rFonts w:hint="cs"/>
          <w:rtl/>
        </w:rPr>
        <w:t>.</w:t>
      </w:r>
      <w:r>
        <w:rPr>
          <w:rFonts w:cs="Arial" w:hint="cs"/>
          <w:rtl/>
        </w:rPr>
        <w:t xml:space="preserve"> </w:t>
      </w:r>
      <w:r w:rsidRPr="00A5424B">
        <w:rPr>
          <w:rFonts w:cs="Arial" w:hint="cs"/>
          <w:color w:val="00B0F0"/>
          <w:rtl/>
        </w:rPr>
        <w:t>(וכ"פ הרמ"א)</w:t>
      </w:r>
    </w:p>
    <w:p w14:paraId="05E7459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465596C" w14:textId="77777777" w:rsidR="002C39F4" w:rsidRPr="0023182F" w:rsidRDefault="002C39F4" w:rsidP="002C39F4">
      <w:pPr>
        <w:rPr>
          <w:rFonts w:asciiTheme="minorBidi" w:hAnsiTheme="minorBidi"/>
          <w:rtl/>
        </w:rPr>
      </w:pPr>
      <w:r w:rsidRPr="003024E5">
        <w:rPr>
          <w:rFonts w:asciiTheme="minorBidi" w:hAnsiTheme="minorBidi"/>
          <w:rtl/>
        </w:rPr>
        <w:t>פגם זה אין צריך שיפגום לגמרי עד שיהא קץ לאכלו אלא אפילו פוגם קצת אינו אוסר תערובתו</w:t>
      </w:r>
      <w:r>
        <w:rPr>
          <w:rFonts w:asciiTheme="minorBidi" w:hAnsiTheme="minorBidi" w:hint="cs"/>
          <w:rtl/>
        </w:rPr>
        <w:t>.</w:t>
      </w:r>
      <w:r w:rsidRPr="003024E5">
        <w:rPr>
          <w:rFonts w:asciiTheme="minorBidi" w:hAnsiTheme="minorBidi"/>
          <w:rtl/>
        </w:rPr>
        <w:t xml:space="preserve"> ויש מי שאומר דהיינו דוקא כשנתערב איסור מועט עם היתר מרובה אבל איסור מרובה</w:t>
      </w:r>
      <w:r>
        <w:rPr>
          <w:rStyle w:val="a7"/>
          <w:rFonts w:asciiTheme="minorBidi" w:hAnsiTheme="minorBidi"/>
          <w:rtl/>
        </w:rPr>
        <w:footnoteReference w:id="2079"/>
      </w:r>
      <w:r w:rsidRPr="003024E5">
        <w:rPr>
          <w:rFonts w:asciiTheme="minorBidi" w:hAnsiTheme="minorBidi"/>
          <w:rtl/>
        </w:rPr>
        <w:t xml:space="preserve"> לתוך היתר מועט ואפילו מחצה על מחצה אין אומרים נותן טעם לפגם מותר עד שיפגום לגמרי שאינו ראוי למאכל אדם</w:t>
      </w:r>
      <w:r>
        <w:rPr>
          <w:rFonts w:asciiTheme="minorBidi" w:hAnsiTheme="minorBidi" w:hint="cs"/>
          <w:rtl/>
        </w:rPr>
        <w:t>,</w:t>
      </w:r>
      <w:r w:rsidRPr="003024E5">
        <w:rPr>
          <w:rFonts w:asciiTheme="minorBidi" w:hAnsiTheme="minorBidi"/>
          <w:rtl/>
        </w:rPr>
        <w:t xml:space="preserve"> ואם אין שם ממשות של איסור אלא טעמו בלבד אפילו איסור מרובה והיתר מועט מותר אם פוגם קצת</w:t>
      </w:r>
      <w:r>
        <w:rPr>
          <w:rFonts w:asciiTheme="minorBidi" w:hAnsiTheme="minorBidi" w:hint="cs"/>
          <w:rtl/>
        </w:rPr>
        <w:t>.</w:t>
      </w:r>
      <w:r w:rsidRPr="003024E5">
        <w:rPr>
          <w:rFonts w:asciiTheme="minorBidi" w:hAnsiTheme="minorBidi"/>
          <w:rtl/>
        </w:rPr>
        <w:t xml:space="preserve"> ויש מי שחוכך לומר שאם הגדיל האיסור מדתו של היתר עד שהוא משביח יותר כשאוכלו בגודל מדתו ממה שהוא פוגם בהפסד טעמו אסור עד שיפסל מלאכול אדם</w:t>
      </w:r>
      <w:r>
        <w:rPr>
          <w:rFonts w:asciiTheme="minorBidi" w:hAnsiTheme="minorBidi" w:hint="cs"/>
          <w:rtl/>
        </w:rPr>
        <w:t>.</w:t>
      </w:r>
      <w:r w:rsidRPr="003024E5">
        <w:rPr>
          <w:rFonts w:asciiTheme="minorBidi" w:hAnsiTheme="minorBidi"/>
          <w:rtl/>
        </w:rPr>
        <w:t xml:space="preserve"> </w:t>
      </w:r>
      <w:r>
        <w:rPr>
          <w:rStyle w:val="a7"/>
          <w:rFonts w:asciiTheme="minorBidi" w:hAnsiTheme="minorBidi"/>
          <w:rtl/>
        </w:rPr>
        <w:footnoteReference w:id="2080"/>
      </w:r>
      <w:r w:rsidRPr="003024E5">
        <w:rPr>
          <w:rFonts w:asciiTheme="minorBidi" w:hAnsiTheme="minorBidi"/>
          <w:rtl/>
        </w:rPr>
        <w:t>במה דברים אמורים שפוגם מתחלתו ועד סופו</w:t>
      </w:r>
      <w:r>
        <w:rPr>
          <w:rStyle w:val="a7"/>
          <w:rFonts w:asciiTheme="minorBidi" w:hAnsiTheme="minorBidi"/>
          <w:rtl/>
        </w:rPr>
        <w:footnoteReference w:id="2081"/>
      </w:r>
      <w:r w:rsidRPr="003024E5">
        <w:rPr>
          <w:rFonts w:asciiTheme="minorBidi" w:hAnsiTheme="minorBidi"/>
          <w:rtl/>
        </w:rPr>
        <w:t xml:space="preserve"> אבל אם השביח ולבסוף פוגם או פוגם ולבסוף השביח</w:t>
      </w:r>
      <w:r>
        <w:rPr>
          <w:rStyle w:val="a7"/>
          <w:rFonts w:asciiTheme="minorBidi" w:hAnsiTheme="minorBidi"/>
          <w:rtl/>
        </w:rPr>
        <w:footnoteReference w:id="2082"/>
      </w:r>
      <w:r w:rsidRPr="003024E5">
        <w:rPr>
          <w:rFonts w:asciiTheme="minorBidi" w:hAnsiTheme="minorBidi"/>
          <w:rtl/>
        </w:rPr>
        <w:t xml:space="preserve"> אסור. </w:t>
      </w:r>
      <w:r w:rsidRPr="00CF45F2">
        <w:rPr>
          <w:rFonts w:asciiTheme="minorBidi" w:hAnsiTheme="minorBidi"/>
          <w:sz w:val="18"/>
          <w:szCs w:val="18"/>
          <w:rtl/>
        </w:rPr>
        <w:t>הגה: י"א אע</w:t>
      </w:r>
      <w:r>
        <w:rPr>
          <w:rFonts w:asciiTheme="minorBidi" w:hAnsiTheme="minorBidi" w:hint="cs"/>
          <w:sz w:val="18"/>
          <w:szCs w:val="18"/>
          <w:rtl/>
        </w:rPr>
        <w:t>"</w:t>
      </w:r>
      <w:r w:rsidRPr="00CF45F2">
        <w:rPr>
          <w:rFonts w:asciiTheme="minorBidi" w:hAnsiTheme="minorBidi"/>
          <w:sz w:val="18"/>
          <w:szCs w:val="18"/>
          <w:rtl/>
        </w:rPr>
        <w:t>ג דהאיסור נטל</w:t>
      </w:r>
      <w:r>
        <w:rPr>
          <w:rFonts w:asciiTheme="minorBidi" w:hAnsiTheme="minorBidi" w:hint="cs"/>
          <w:sz w:val="18"/>
          <w:szCs w:val="18"/>
          <w:rtl/>
        </w:rPr>
        <w:t>"</w:t>
      </w:r>
      <w:r w:rsidRPr="00CF45F2">
        <w:rPr>
          <w:rFonts w:asciiTheme="minorBidi" w:hAnsiTheme="minorBidi"/>
          <w:sz w:val="18"/>
          <w:szCs w:val="18"/>
          <w:rtl/>
        </w:rPr>
        <w:t>פ והמאכל מותר מ"מ הקדרה אסורה</w:t>
      </w:r>
      <w:r>
        <w:rPr>
          <w:rFonts w:asciiTheme="minorBidi" w:hAnsiTheme="minorBidi" w:hint="cs"/>
          <w:sz w:val="18"/>
          <w:szCs w:val="18"/>
          <w:rtl/>
        </w:rPr>
        <w:t>,</w:t>
      </w:r>
      <w:r w:rsidRPr="00CF45F2">
        <w:rPr>
          <w:rFonts w:asciiTheme="minorBidi" w:hAnsiTheme="minorBidi"/>
          <w:sz w:val="18"/>
          <w:szCs w:val="18"/>
          <w:rtl/>
        </w:rPr>
        <w:t xml:space="preserve"> ואם בשלו בה אח"כ תוך מע</w:t>
      </w:r>
      <w:r>
        <w:rPr>
          <w:rFonts w:asciiTheme="minorBidi" w:hAnsiTheme="minorBidi" w:hint="cs"/>
          <w:sz w:val="18"/>
          <w:szCs w:val="18"/>
          <w:rtl/>
        </w:rPr>
        <w:t>"</w:t>
      </w:r>
      <w:r w:rsidRPr="00CF45F2">
        <w:rPr>
          <w:rFonts w:asciiTheme="minorBidi" w:hAnsiTheme="minorBidi"/>
          <w:sz w:val="18"/>
          <w:szCs w:val="18"/>
          <w:rtl/>
        </w:rPr>
        <w:t>ל תבשיל שהאיסור הראשון נותן בו טעם לשבח נאסר התבשיל השני</w:t>
      </w:r>
      <w:r>
        <w:rPr>
          <w:rStyle w:val="a7"/>
          <w:rFonts w:asciiTheme="minorBidi" w:hAnsiTheme="minorBidi"/>
          <w:sz w:val="18"/>
          <w:szCs w:val="18"/>
          <w:rtl/>
        </w:rPr>
        <w:footnoteReference w:id="2083"/>
      </w:r>
      <w:r w:rsidRPr="00CF45F2">
        <w:rPr>
          <w:rFonts w:asciiTheme="minorBidi" w:hAnsiTheme="minorBidi"/>
          <w:sz w:val="18"/>
          <w:szCs w:val="18"/>
          <w:rtl/>
        </w:rPr>
        <w:t xml:space="preserve"> אם לא היה בו ס' נגד האיסור הראשון</w:t>
      </w:r>
      <w:r>
        <w:rPr>
          <w:rStyle w:val="a7"/>
          <w:rFonts w:asciiTheme="minorBidi" w:hAnsiTheme="minorBidi"/>
          <w:sz w:val="18"/>
          <w:szCs w:val="18"/>
          <w:rtl/>
        </w:rPr>
        <w:footnoteReference w:id="2084"/>
      </w:r>
      <w:r>
        <w:rPr>
          <w:rFonts w:asciiTheme="minorBidi" w:hAnsiTheme="minorBidi" w:hint="cs"/>
          <w:sz w:val="18"/>
          <w:szCs w:val="18"/>
          <w:rtl/>
        </w:rPr>
        <w:t>,</w:t>
      </w:r>
      <w:r w:rsidRPr="00CF45F2">
        <w:rPr>
          <w:rFonts w:asciiTheme="minorBidi" w:hAnsiTheme="minorBidi"/>
          <w:sz w:val="18"/>
          <w:szCs w:val="18"/>
          <w:rtl/>
        </w:rPr>
        <w:t xml:space="preserve"> אבל אם נערו התבשיל הראשון בכף ותחבו אח"כ הכף לתבשיל שני שהוא ג"כ פוגם לא נאסרה הקדרה</w:t>
      </w:r>
      <w:r>
        <w:rPr>
          <w:rStyle w:val="a7"/>
          <w:rFonts w:asciiTheme="minorBidi" w:hAnsiTheme="minorBidi"/>
          <w:sz w:val="18"/>
          <w:szCs w:val="18"/>
          <w:rtl/>
        </w:rPr>
        <w:footnoteReference w:id="2085"/>
      </w:r>
      <w:r>
        <w:rPr>
          <w:rFonts w:asciiTheme="minorBidi" w:hAnsiTheme="minorBidi" w:hint="cs"/>
          <w:sz w:val="18"/>
          <w:szCs w:val="18"/>
          <w:rtl/>
        </w:rPr>
        <w:t>,</w:t>
      </w:r>
      <w:r w:rsidRPr="00CF45F2">
        <w:rPr>
          <w:rFonts w:asciiTheme="minorBidi" w:hAnsiTheme="minorBidi"/>
          <w:sz w:val="18"/>
          <w:szCs w:val="18"/>
          <w:rtl/>
        </w:rPr>
        <w:t xml:space="preserve"> וכן בדבר שאין לו טעם כלל כגון היורה שמתיכין בו הדבש אע</w:t>
      </w:r>
      <w:r>
        <w:rPr>
          <w:rFonts w:asciiTheme="minorBidi" w:hAnsiTheme="minorBidi" w:hint="cs"/>
          <w:sz w:val="18"/>
          <w:szCs w:val="18"/>
          <w:rtl/>
        </w:rPr>
        <w:t>"</w:t>
      </w:r>
      <w:r w:rsidRPr="00CF45F2">
        <w:rPr>
          <w:rFonts w:asciiTheme="minorBidi" w:hAnsiTheme="minorBidi"/>
          <w:sz w:val="18"/>
          <w:szCs w:val="18"/>
          <w:rtl/>
        </w:rPr>
        <w:t>פ שיש שם רגלי הדבורים לא נאסרה היורה וכל כיוצא בזה</w:t>
      </w:r>
      <w:r>
        <w:rPr>
          <w:rFonts w:asciiTheme="minorBidi" w:hAnsiTheme="minorBidi" w:hint="cs"/>
          <w:sz w:val="18"/>
          <w:szCs w:val="18"/>
          <w:rtl/>
        </w:rPr>
        <w:t xml:space="preserve"> </w:t>
      </w:r>
      <w:r w:rsidRPr="00CF45F2">
        <w:rPr>
          <w:rFonts w:asciiTheme="minorBidi" w:hAnsiTheme="minorBidi"/>
          <w:sz w:val="14"/>
          <w:szCs w:val="14"/>
          <w:rtl/>
        </w:rPr>
        <w:t>(א</w:t>
      </w:r>
      <w:r>
        <w:rPr>
          <w:rFonts w:asciiTheme="minorBidi" w:hAnsiTheme="minorBidi" w:hint="cs"/>
          <w:sz w:val="14"/>
          <w:szCs w:val="14"/>
          <w:rtl/>
        </w:rPr>
        <w:t>ו"ה</w:t>
      </w:r>
      <w:r w:rsidRPr="00CF45F2">
        <w:rPr>
          <w:rFonts w:asciiTheme="minorBidi" w:hAnsiTheme="minorBidi"/>
          <w:sz w:val="14"/>
          <w:szCs w:val="14"/>
          <w:rtl/>
        </w:rPr>
        <w:t>)</w:t>
      </w:r>
      <w:r w:rsidRPr="00CF45F2">
        <w:rPr>
          <w:rFonts w:asciiTheme="minorBidi" w:hAnsiTheme="minorBidi"/>
          <w:sz w:val="18"/>
          <w:szCs w:val="18"/>
          <w:rtl/>
        </w:rPr>
        <w:t>.</w:t>
      </w:r>
      <w:r w:rsidRPr="003024E5">
        <w:rPr>
          <w:rFonts w:asciiTheme="minorBidi" w:hAnsiTheme="minorBidi"/>
          <w:rtl/>
        </w:rPr>
        <w:t xml:space="preserve"> </w:t>
      </w:r>
    </w:p>
    <w:p w14:paraId="0F24341E" w14:textId="77777777" w:rsidR="002C39F4" w:rsidRDefault="002C39F4" w:rsidP="002C39F4">
      <w:pPr>
        <w:rPr>
          <w:rFonts w:asciiTheme="minorBidi" w:hAnsiTheme="minorBidi" w:cs="Arial"/>
          <w:rtl/>
        </w:rPr>
      </w:pPr>
      <w:r w:rsidRPr="00C703E7">
        <w:rPr>
          <w:rFonts w:asciiTheme="minorBidi" w:hAnsiTheme="minorBidi" w:cs="Arial"/>
          <w:u w:val="single"/>
          <w:rtl/>
        </w:rPr>
        <w:t>בישלו בקדירת איסור תבשיל שהאיסור נותן ב</w:t>
      </w:r>
      <w:r w:rsidRPr="00C703E7">
        <w:rPr>
          <w:rFonts w:asciiTheme="minorBidi" w:hAnsiTheme="minorBidi" w:cs="Arial" w:hint="cs"/>
          <w:u w:val="single"/>
          <w:rtl/>
        </w:rPr>
        <w:t>ו</w:t>
      </w:r>
      <w:r w:rsidRPr="00C703E7">
        <w:rPr>
          <w:rFonts w:asciiTheme="minorBidi" w:hAnsiTheme="minorBidi" w:cs="Arial"/>
          <w:u w:val="single"/>
          <w:rtl/>
        </w:rPr>
        <w:t xml:space="preserve"> טעם לשבח ואח"כ בישלו בה תבשיל שהאיסור הראשון נטל</w:t>
      </w:r>
      <w:r w:rsidRPr="00C703E7">
        <w:rPr>
          <w:rFonts w:asciiTheme="minorBidi" w:hAnsiTheme="minorBidi" w:cs="Arial" w:hint="cs"/>
          <w:u w:val="single"/>
          <w:rtl/>
        </w:rPr>
        <w:t>"</w:t>
      </w:r>
      <w:r w:rsidRPr="00C703E7">
        <w:rPr>
          <w:rFonts w:asciiTheme="minorBidi" w:hAnsiTheme="minorBidi" w:cs="Arial"/>
          <w:u w:val="single"/>
          <w:rtl/>
        </w:rPr>
        <w:t>פ</w:t>
      </w:r>
      <w:r w:rsidRPr="00C703E7">
        <w:rPr>
          <w:rFonts w:asciiTheme="minorBidi" w:hAnsiTheme="minorBidi" w:cs="Arial" w:hint="cs"/>
          <w:u w:val="single"/>
          <w:rtl/>
        </w:rPr>
        <w:t>:</w:t>
      </w:r>
      <w:r w:rsidRPr="00C703E7">
        <w:rPr>
          <w:rFonts w:asciiTheme="minorBidi" w:hAnsiTheme="minorBidi" w:cs="Arial"/>
          <w:rtl/>
        </w:rPr>
        <w:t xml:space="preserve"> </w:t>
      </w:r>
      <w:r w:rsidRPr="00C703E7">
        <w:rPr>
          <w:rFonts w:asciiTheme="minorBidi" w:hAnsiTheme="minorBidi" w:cs="Arial"/>
          <w:sz w:val="16"/>
          <w:szCs w:val="16"/>
          <w:rtl/>
        </w:rPr>
        <w:t>(</w:t>
      </w:r>
      <w:r w:rsidRPr="00C703E7">
        <w:rPr>
          <w:rFonts w:asciiTheme="minorBidi" w:hAnsiTheme="minorBidi" w:cs="Arial" w:hint="cs"/>
          <w:sz w:val="16"/>
          <w:szCs w:val="16"/>
          <w:rtl/>
        </w:rPr>
        <w:t>פת"ש</w:t>
      </w:r>
      <w:r w:rsidRPr="00C703E7">
        <w:rPr>
          <w:rFonts w:asciiTheme="minorBidi" w:hAnsiTheme="minorBidi" w:cs="Arial"/>
          <w:sz w:val="16"/>
          <w:szCs w:val="16"/>
          <w:rtl/>
        </w:rPr>
        <w:t>)</w:t>
      </w:r>
      <w:r w:rsidRPr="00C703E7">
        <w:rPr>
          <w:rFonts w:asciiTheme="minorBidi" w:hAnsiTheme="minorBidi" w:cs="Arial"/>
          <w:rtl/>
        </w:rPr>
        <w:t xml:space="preserve"> </w:t>
      </w:r>
    </w:p>
    <w:p w14:paraId="7AF018FE" w14:textId="77777777" w:rsidR="002C39F4" w:rsidRPr="00C703E7" w:rsidRDefault="002C39F4" w:rsidP="0032102C">
      <w:pPr>
        <w:pStyle w:val="a8"/>
        <w:numPr>
          <w:ilvl w:val="0"/>
          <w:numId w:val="217"/>
        </w:numPr>
        <w:rPr>
          <w:rFonts w:asciiTheme="minorBidi" w:hAnsiTheme="minorBidi"/>
        </w:rPr>
      </w:pPr>
      <w:r w:rsidRPr="00C703E7">
        <w:rPr>
          <w:rFonts w:asciiTheme="minorBidi" w:hAnsiTheme="minorBidi" w:cs="Arial"/>
          <w:rtl/>
        </w:rPr>
        <w:t xml:space="preserve">כנסת יחזקאל </w:t>
      </w:r>
      <w:r w:rsidRPr="00C703E7">
        <w:rPr>
          <w:rFonts w:asciiTheme="minorBidi" w:hAnsiTheme="minorBidi" w:cs="Arial" w:hint="cs"/>
          <w:sz w:val="16"/>
          <w:szCs w:val="16"/>
          <w:rtl/>
        </w:rPr>
        <w:t>(</w:t>
      </w:r>
      <w:r w:rsidRPr="00C703E7">
        <w:rPr>
          <w:rFonts w:asciiTheme="minorBidi" w:hAnsiTheme="minorBidi" w:cs="Arial"/>
          <w:sz w:val="16"/>
          <w:szCs w:val="16"/>
          <w:rtl/>
        </w:rPr>
        <w:t>סי</w:t>
      </w:r>
      <w:r w:rsidRPr="00C703E7">
        <w:rPr>
          <w:rFonts w:asciiTheme="minorBidi" w:hAnsiTheme="minorBidi" w:cs="Arial" w:hint="cs"/>
          <w:sz w:val="16"/>
          <w:szCs w:val="16"/>
          <w:rtl/>
        </w:rPr>
        <w:t>'</w:t>
      </w:r>
      <w:r w:rsidRPr="00C703E7">
        <w:rPr>
          <w:rFonts w:asciiTheme="minorBidi" w:hAnsiTheme="minorBidi" w:cs="Arial"/>
          <w:sz w:val="16"/>
          <w:szCs w:val="16"/>
          <w:rtl/>
        </w:rPr>
        <w:t xml:space="preserve"> כא</w:t>
      </w:r>
      <w:r w:rsidRPr="00C703E7">
        <w:rPr>
          <w:rFonts w:asciiTheme="minorBidi" w:hAnsiTheme="minorBidi" w:cs="Arial" w:hint="cs"/>
          <w:sz w:val="16"/>
          <w:szCs w:val="16"/>
          <w:rtl/>
        </w:rPr>
        <w:t>)</w:t>
      </w:r>
      <w:r w:rsidRPr="00C703E7">
        <w:rPr>
          <w:rFonts w:asciiTheme="minorBidi" w:hAnsiTheme="minorBidi" w:cs="Arial" w:hint="cs"/>
          <w:rtl/>
        </w:rPr>
        <w:t>-</w:t>
      </w:r>
      <w:r w:rsidRPr="00C703E7">
        <w:rPr>
          <w:rFonts w:asciiTheme="minorBidi" w:hAnsiTheme="minorBidi" w:cs="Arial"/>
          <w:rtl/>
        </w:rPr>
        <w:t xml:space="preserve"> נאסר התבשיל השני דכיון שהתבשיל הראשון נאסר מקודם ונ"נ א"כ עתה שבישל בה התבשיל הב' נתן התבשיל הראשון טעם בתבשיל הב' כיון שתבשיל ראשון אינו פוגם בתבשיל הב'</w:t>
      </w:r>
      <w:r>
        <w:rPr>
          <w:rFonts w:asciiTheme="minorBidi" w:hAnsiTheme="minorBidi" w:cs="Arial" w:hint="cs"/>
          <w:rtl/>
        </w:rPr>
        <w:t>.</w:t>
      </w:r>
      <w:r w:rsidRPr="00C703E7">
        <w:rPr>
          <w:rFonts w:asciiTheme="minorBidi" w:hAnsiTheme="minorBidi" w:cs="Arial"/>
          <w:rtl/>
        </w:rPr>
        <w:t xml:space="preserve"> </w:t>
      </w:r>
    </w:p>
    <w:p w14:paraId="67FBCE05" w14:textId="77777777" w:rsidR="002C39F4" w:rsidRDefault="002C39F4" w:rsidP="0032102C">
      <w:pPr>
        <w:pStyle w:val="a8"/>
        <w:numPr>
          <w:ilvl w:val="0"/>
          <w:numId w:val="217"/>
        </w:numPr>
        <w:rPr>
          <w:rFonts w:asciiTheme="minorBidi" w:hAnsiTheme="minorBidi"/>
        </w:rPr>
      </w:pPr>
      <w:r w:rsidRPr="00C703E7">
        <w:rPr>
          <w:rFonts w:asciiTheme="minorBidi" w:hAnsiTheme="minorBidi" w:cs="Arial"/>
          <w:rtl/>
        </w:rPr>
        <w:t xml:space="preserve">גבעת שאול </w:t>
      </w:r>
      <w:r w:rsidRPr="00C703E7">
        <w:rPr>
          <w:rFonts w:asciiTheme="minorBidi" w:hAnsiTheme="minorBidi" w:cs="Arial" w:hint="cs"/>
          <w:sz w:val="16"/>
          <w:szCs w:val="16"/>
          <w:rtl/>
        </w:rPr>
        <w:t>(</w:t>
      </w:r>
      <w:r w:rsidRPr="00C703E7">
        <w:rPr>
          <w:rFonts w:asciiTheme="minorBidi" w:hAnsiTheme="minorBidi" w:cs="Arial"/>
          <w:sz w:val="16"/>
          <w:szCs w:val="16"/>
          <w:rtl/>
        </w:rPr>
        <w:t>סי' יח</w:t>
      </w:r>
      <w:r w:rsidRPr="00C703E7">
        <w:rPr>
          <w:rFonts w:asciiTheme="minorBidi" w:hAnsiTheme="minorBidi" w:cs="Arial" w:hint="cs"/>
          <w:sz w:val="16"/>
          <w:szCs w:val="16"/>
          <w:rtl/>
        </w:rPr>
        <w:t xml:space="preserve">) </w:t>
      </w:r>
      <w:r>
        <w:rPr>
          <w:rFonts w:asciiTheme="minorBidi" w:hAnsiTheme="minorBidi" w:cs="Arial" w:hint="cs"/>
          <w:rtl/>
        </w:rPr>
        <w:t>ופת"ש</w:t>
      </w:r>
      <w:r w:rsidRPr="00C703E7">
        <w:rPr>
          <w:rFonts w:asciiTheme="minorBidi" w:hAnsiTheme="minorBidi" w:cs="Arial" w:hint="cs"/>
          <w:sz w:val="16"/>
          <w:szCs w:val="16"/>
          <w:rtl/>
        </w:rPr>
        <w:t xml:space="preserve"> (סק"ב)</w:t>
      </w:r>
      <w:r>
        <w:rPr>
          <w:rFonts w:asciiTheme="minorBidi" w:hAnsiTheme="minorBidi" w:cs="Arial" w:hint="cs"/>
          <w:rtl/>
        </w:rPr>
        <w:t>-</w:t>
      </w:r>
      <w:r w:rsidRPr="00C703E7">
        <w:rPr>
          <w:rFonts w:asciiTheme="minorBidi" w:hAnsiTheme="minorBidi" w:cs="Arial"/>
          <w:rtl/>
        </w:rPr>
        <w:t xml:space="preserve"> תבשיל שני שרי דאין הנאסר חמור מהאוסר</w:t>
      </w:r>
      <w:r>
        <w:rPr>
          <w:rFonts w:asciiTheme="minorBidi" w:hAnsiTheme="minorBidi" w:cs="Arial" w:hint="cs"/>
          <w:rtl/>
        </w:rPr>
        <w:t>.</w:t>
      </w:r>
    </w:p>
    <w:p w14:paraId="421B787F" w14:textId="77777777" w:rsidR="002C39F4" w:rsidRPr="00C703E7" w:rsidRDefault="002C39F4" w:rsidP="002C39F4">
      <w:pPr>
        <w:rPr>
          <w:rFonts w:asciiTheme="minorBidi" w:hAnsiTheme="minorBidi"/>
          <w:rtl/>
        </w:rPr>
      </w:pPr>
    </w:p>
    <w:p w14:paraId="32EA8272"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לא היה בכח האיסור לפגום לבד.</w:t>
      </w:r>
    </w:p>
    <w:p w14:paraId="699B0EE0" w14:textId="77777777" w:rsidR="002C39F4" w:rsidRDefault="002C39F4" w:rsidP="002C39F4">
      <w:pPr>
        <w:rPr>
          <w:rFonts w:cs="Arial"/>
          <w:rtl/>
        </w:rPr>
      </w:pPr>
      <w:r>
        <w:rPr>
          <w:rFonts w:cs="Arial" w:hint="cs"/>
          <w:b/>
          <w:bCs/>
          <w:rtl/>
        </w:rPr>
        <w:t>עבודה זרה סז ע"א:</w:t>
      </w:r>
      <w:r>
        <w:rPr>
          <w:rFonts w:cs="Arial" w:hint="cs"/>
          <w:rtl/>
        </w:rPr>
        <w:t xml:space="preserve"> </w:t>
      </w:r>
      <w:r w:rsidRPr="00257AA2">
        <w:rPr>
          <w:rFonts w:cs="Arial"/>
          <w:u w:val="single"/>
          <w:rtl/>
        </w:rPr>
        <w:t>אמר ריש לקיש</w:t>
      </w:r>
      <w:r>
        <w:rPr>
          <w:rFonts w:cs="Arial" w:hint="cs"/>
          <w:rtl/>
        </w:rPr>
        <w:t>:</w:t>
      </w:r>
      <w:r w:rsidRPr="002D197B">
        <w:rPr>
          <w:rFonts w:cs="Arial"/>
          <w:rtl/>
        </w:rPr>
        <w:t xml:space="preserve"> נותן טעם לפגם שאמרו, לא שיאמרו: קדירה זו חסירה מלח, יתירה מלח, חסירה תבלין, יתירה תבלין, אלא כל שאין חסירה כלום ואינה נאכלת מפני זה. </w:t>
      </w:r>
      <w:r w:rsidRPr="00257AA2">
        <w:rPr>
          <w:rFonts w:cs="Arial"/>
          <w:u w:val="dotted"/>
          <w:rtl/>
        </w:rPr>
        <w:t>ואיכא דאמרי</w:t>
      </w:r>
      <w:r w:rsidRPr="002D197B">
        <w:rPr>
          <w:rFonts w:cs="Arial"/>
          <w:rtl/>
        </w:rPr>
        <w:t xml:space="preserve">, </w:t>
      </w:r>
      <w:r w:rsidRPr="00257AA2">
        <w:rPr>
          <w:rFonts w:cs="Arial"/>
          <w:u w:val="single"/>
          <w:rtl/>
        </w:rPr>
        <w:t>אמר ריש לקיש</w:t>
      </w:r>
      <w:r w:rsidRPr="002D197B">
        <w:rPr>
          <w:rFonts w:cs="Arial"/>
          <w:rtl/>
        </w:rPr>
        <w:t>: נותן טעם לפגם שאמרו, אין אומרין: קדירה זו חסירה מלח, יתירה מלח, חסירה תבלין, יתירה תבלין, אלא השתא מיהא הא פגמה</w:t>
      </w:r>
      <w:r w:rsidRPr="00572BE8">
        <w:rPr>
          <w:rStyle w:val="a7"/>
          <w:rFonts w:cs="Arial"/>
          <w:rtl/>
        </w:rPr>
        <w:footnoteReference w:id="2086"/>
      </w:r>
      <w:r w:rsidRPr="00572BE8">
        <w:rPr>
          <w:rFonts w:cs="Arial"/>
          <w:rtl/>
        </w:rPr>
        <w:t>.</w:t>
      </w:r>
      <w:r w:rsidRPr="00572BE8">
        <w:rPr>
          <w:rFonts w:cs="Arial" w:hint="cs"/>
          <w:rtl/>
        </w:rPr>
        <w:t>..</w:t>
      </w:r>
      <w:r w:rsidRPr="00572BE8">
        <w:rPr>
          <w:rFonts w:cs="Arial"/>
          <w:rtl/>
        </w:rPr>
        <w:t xml:space="preserve"> </w:t>
      </w:r>
      <w:r w:rsidRPr="00572BE8">
        <w:rPr>
          <w:rFonts w:cs="Arial" w:hint="cs"/>
          <w:sz w:val="14"/>
          <w:szCs w:val="14"/>
          <w:rtl/>
        </w:rPr>
        <w:t>(סז:)</w:t>
      </w:r>
      <w:r w:rsidRPr="002D197B">
        <w:rPr>
          <w:rtl/>
        </w:rPr>
        <w:t xml:space="preserve"> </w:t>
      </w:r>
      <w:r w:rsidRPr="002D197B">
        <w:rPr>
          <w:rFonts w:cs="Arial"/>
          <w:rtl/>
        </w:rPr>
        <w:t>והלכתא כלישנא בתרא דריש לקיש.</w:t>
      </w:r>
    </w:p>
    <w:p w14:paraId="7C96A1C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9CA5465" w14:textId="77777777" w:rsidR="002C39F4" w:rsidRDefault="002C39F4" w:rsidP="002C39F4">
      <w:pPr>
        <w:rPr>
          <w:rFonts w:asciiTheme="minorBidi" w:hAnsiTheme="minorBidi"/>
          <w:rtl/>
        </w:rPr>
      </w:pPr>
      <w:r w:rsidRPr="003024E5">
        <w:rPr>
          <w:rFonts w:asciiTheme="minorBidi" w:hAnsiTheme="minorBidi"/>
          <w:rtl/>
        </w:rPr>
        <w:t>אפילו אין כח באיסור לבדו לפגום אלא על ידי דבר אחר שמסייעו</w:t>
      </w:r>
      <w:r>
        <w:rPr>
          <w:rFonts w:asciiTheme="minorBidi" w:hAnsiTheme="minorBidi" w:hint="cs"/>
          <w:rtl/>
        </w:rPr>
        <w:t>,</w:t>
      </w:r>
      <w:r w:rsidRPr="003024E5">
        <w:rPr>
          <w:rFonts w:asciiTheme="minorBidi" w:hAnsiTheme="minorBidi"/>
          <w:rtl/>
        </w:rPr>
        <w:t xml:space="preserve"> כגון שנפל איסור לקדירה שיש בה מלח או תבלין </w:t>
      </w:r>
      <w:r>
        <w:rPr>
          <w:rStyle w:val="a7"/>
          <w:rFonts w:asciiTheme="minorBidi" w:hAnsiTheme="minorBidi"/>
          <w:rtl/>
        </w:rPr>
        <w:footnoteReference w:id="2087"/>
      </w:r>
      <w:r w:rsidRPr="003024E5">
        <w:rPr>
          <w:rFonts w:asciiTheme="minorBidi" w:hAnsiTheme="minorBidi"/>
          <w:rtl/>
        </w:rPr>
        <w:t>מדוכין ואלמלא המלח והתבלין שבה לא היה כח באיסור לפגום, אפילו הכי מותר</w:t>
      </w:r>
      <w:r>
        <w:rPr>
          <w:rStyle w:val="a7"/>
          <w:rFonts w:asciiTheme="minorBidi" w:hAnsiTheme="minorBidi"/>
          <w:rtl/>
        </w:rPr>
        <w:footnoteReference w:id="2088"/>
      </w:r>
      <w:r w:rsidRPr="003024E5">
        <w:rPr>
          <w:rFonts w:asciiTheme="minorBidi" w:hAnsiTheme="minorBidi"/>
          <w:rtl/>
        </w:rPr>
        <w:t xml:space="preserve">. </w:t>
      </w:r>
    </w:p>
    <w:p w14:paraId="22148A93" w14:textId="77777777" w:rsidR="002C39F4" w:rsidRPr="003024E5" w:rsidRDefault="002C39F4" w:rsidP="002C39F4">
      <w:pPr>
        <w:rPr>
          <w:rFonts w:asciiTheme="minorBidi" w:hAnsiTheme="minorBidi"/>
          <w:rtl/>
        </w:rPr>
      </w:pPr>
    </w:p>
    <w:p w14:paraId="0914E1C1" w14:textId="77777777" w:rsidR="002C39F4" w:rsidRPr="00504E6D"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שמן ודבש של גוים.</w:t>
      </w:r>
    </w:p>
    <w:p w14:paraId="01254D02" w14:textId="77777777" w:rsidR="002C39F4" w:rsidRDefault="002C39F4" w:rsidP="002C39F4">
      <w:pPr>
        <w:rPr>
          <w:rFonts w:cs="Arial"/>
          <w:rtl/>
        </w:rPr>
      </w:pPr>
      <w:r>
        <w:rPr>
          <w:rFonts w:cs="Arial" w:hint="cs"/>
          <w:b/>
          <w:bCs/>
          <w:rtl/>
        </w:rPr>
        <w:t xml:space="preserve">עבודה זרה לח ע"ב: </w:t>
      </w:r>
      <w:r w:rsidRPr="00F431A3">
        <w:rPr>
          <w:rFonts w:cs="Arial"/>
          <w:rtl/>
        </w:rPr>
        <w:t>ת"ר: הקפריסין והקפלוטות והמטליא והחמין והקליות שלהן</w:t>
      </w:r>
      <w:r>
        <w:rPr>
          <w:rFonts w:cs="Arial" w:hint="cs"/>
          <w:rtl/>
        </w:rPr>
        <w:t xml:space="preserve"> -</w:t>
      </w:r>
      <w:r w:rsidRPr="00F431A3">
        <w:rPr>
          <w:rFonts w:cs="Arial"/>
          <w:rtl/>
        </w:rPr>
        <w:t xml:space="preserve"> מותרין</w:t>
      </w:r>
      <w:r>
        <w:rPr>
          <w:rFonts w:cs="Arial" w:hint="cs"/>
          <w:rtl/>
        </w:rPr>
        <w:t>...</w:t>
      </w:r>
      <w:r w:rsidRPr="00F431A3">
        <w:rPr>
          <w:rFonts w:cs="Arial"/>
          <w:rtl/>
        </w:rPr>
        <w:t xml:space="preserve"> שמן</w:t>
      </w:r>
      <w:r>
        <w:rPr>
          <w:rFonts w:cs="Arial" w:hint="cs"/>
          <w:rtl/>
        </w:rPr>
        <w:t xml:space="preserve"> -</w:t>
      </w:r>
      <w:r w:rsidRPr="00F431A3">
        <w:rPr>
          <w:rFonts w:cs="Arial"/>
          <w:rtl/>
        </w:rPr>
        <w:t xml:space="preserve"> רבי יהודה הנשיא ובית דינו נמנו עליו והתירוהו.</w:t>
      </w:r>
      <w:r>
        <w:rPr>
          <w:rFonts w:cs="Arial" w:hint="cs"/>
          <w:rtl/>
        </w:rPr>
        <w:t>..</w:t>
      </w:r>
      <w:r w:rsidRPr="00F431A3">
        <w:rPr>
          <w:rtl/>
        </w:rPr>
        <w:t xml:space="preserve"> </w:t>
      </w:r>
      <w:r w:rsidRPr="00F431A3">
        <w:rPr>
          <w:rFonts w:cs="Arial"/>
          <w:u w:val="single"/>
          <w:rtl/>
        </w:rPr>
        <w:t>אמר רב ששת</w:t>
      </w:r>
      <w:r w:rsidRPr="00F431A3">
        <w:rPr>
          <w:rFonts w:cs="Arial"/>
          <w:rtl/>
        </w:rPr>
        <w:t xml:space="preserve">: האי מישחא שליקא דארמאי - אסור. </w:t>
      </w:r>
      <w:r w:rsidRPr="00F431A3">
        <w:rPr>
          <w:rFonts w:cs="Arial"/>
          <w:u w:val="single"/>
          <w:rtl/>
        </w:rPr>
        <w:t>אמר רב ספרא</w:t>
      </w:r>
      <w:r w:rsidRPr="00F431A3">
        <w:rPr>
          <w:rFonts w:cs="Arial"/>
          <w:rtl/>
        </w:rPr>
        <w:t>: למאי ניחוש לה? אי משום איערובי - מיסרא סרי</w:t>
      </w:r>
      <w:r>
        <w:rPr>
          <w:rStyle w:val="a7"/>
          <w:rFonts w:cs="Arial"/>
          <w:rtl/>
        </w:rPr>
        <w:footnoteReference w:id="2089"/>
      </w:r>
      <w:r w:rsidRPr="00F431A3">
        <w:rPr>
          <w:rFonts w:cs="Arial"/>
          <w:rtl/>
        </w:rPr>
        <w:t>, אי משום בישולי עובדי כוכבים - נאכל הוא כמו שהוא חי, אי משום גיעולי עובדי כוכבים - נותן טעם לפגם הוא ומותר.</w:t>
      </w:r>
      <w:r>
        <w:rPr>
          <w:rFonts w:cs="Arial" w:hint="cs"/>
          <w:rtl/>
        </w:rPr>
        <w:t xml:space="preserve">..    </w:t>
      </w:r>
      <w:r w:rsidRPr="00F431A3">
        <w:rPr>
          <w:rFonts w:cs="Arial"/>
          <w:u w:val="double"/>
          <w:rtl/>
        </w:rPr>
        <w:t>מתני'</w:t>
      </w:r>
      <w:r>
        <w:rPr>
          <w:rFonts w:cs="Arial" w:hint="cs"/>
          <w:sz w:val="14"/>
          <w:szCs w:val="14"/>
          <w:u w:val="double"/>
          <w:rtl/>
        </w:rPr>
        <w:t>(לט:)</w:t>
      </w:r>
      <w:r w:rsidRPr="00F431A3">
        <w:rPr>
          <w:rFonts w:cs="Arial" w:hint="cs"/>
          <w:u w:val="double"/>
          <w:rtl/>
        </w:rPr>
        <w:t>:</w:t>
      </w:r>
      <w:r w:rsidRPr="00F431A3">
        <w:rPr>
          <w:rFonts w:cs="Arial"/>
          <w:rtl/>
        </w:rPr>
        <w:t xml:space="preserve"> ואלו מותרין באכילה: חלב שחלבו עובד כוכבים וישראל רואהו, והדבש</w:t>
      </w:r>
      <w:r>
        <w:rPr>
          <w:rFonts w:cs="Arial" w:hint="cs"/>
          <w:rtl/>
        </w:rPr>
        <w:t xml:space="preserve">...    </w:t>
      </w:r>
      <w:r w:rsidRPr="00F431A3">
        <w:rPr>
          <w:rFonts w:cs="Arial" w:hint="cs"/>
          <w:u w:val="double"/>
          <w:rtl/>
        </w:rPr>
        <w:t>גמ':</w:t>
      </w:r>
      <w:r>
        <w:rPr>
          <w:rFonts w:cs="Arial" w:hint="cs"/>
          <w:rtl/>
        </w:rPr>
        <w:t xml:space="preserve"> </w:t>
      </w:r>
      <w:r w:rsidRPr="00F431A3">
        <w:rPr>
          <w:rFonts w:cs="Arial"/>
          <w:rtl/>
        </w:rPr>
        <w:t>והדבש. דבש למאי ניחוש לה? אי משום איערובי - מיסרא סרי, אי משום בישולי עובדי כוכבים - נאכל כמו שהוא חי, אי משום גיעולי עובדי כוכבים נותן טעם לפגם הוא ומותר.</w:t>
      </w:r>
    </w:p>
    <w:p w14:paraId="0F07F96E" w14:textId="77777777" w:rsidR="002C39F4" w:rsidRPr="006208E4" w:rsidRDefault="002C39F4" w:rsidP="002C39F4">
      <w:pPr>
        <w:rPr>
          <w:rFonts w:cs="Arial"/>
          <w:u w:val="single"/>
          <w:rtl/>
        </w:rPr>
      </w:pPr>
      <w:r w:rsidRPr="006208E4">
        <w:rPr>
          <w:rFonts w:cs="Arial"/>
          <w:u w:val="single"/>
          <w:rtl/>
        </w:rPr>
        <w:t xml:space="preserve">מה שאמרו גבי שמן </w:t>
      </w:r>
      <w:r w:rsidRPr="006208E4">
        <w:rPr>
          <w:rFonts w:cs="Arial"/>
          <w:sz w:val="16"/>
          <w:szCs w:val="16"/>
          <w:u w:val="single"/>
          <w:rtl/>
        </w:rPr>
        <w:t xml:space="preserve">(לח:) </w:t>
      </w:r>
      <w:r w:rsidRPr="006208E4">
        <w:rPr>
          <w:rFonts w:cs="Arial"/>
          <w:u w:val="single"/>
          <w:rtl/>
        </w:rPr>
        <w:t xml:space="preserve">וגבי דבש </w:t>
      </w:r>
      <w:r w:rsidRPr="006208E4">
        <w:rPr>
          <w:rFonts w:cs="Arial"/>
          <w:sz w:val="16"/>
          <w:szCs w:val="16"/>
          <w:u w:val="single"/>
          <w:rtl/>
        </w:rPr>
        <w:t xml:space="preserve">(לט:) </w:t>
      </w:r>
      <w:r w:rsidRPr="006208E4">
        <w:rPr>
          <w:rFonts w:cs="Arial" w:hint="cs"/>
          <w:u w:val="single"/>
          <w:rtl/>
        </w:rPr>
        <w:t>'</w:t>
      </w:r>
      <w:r w:rsidRPr="006208E4">
        <w:rPr>
          <w:rFonts w:cs="Arial"/>
          <w:u w:val="single"/>
          <w:rtl/>
        </w:rPr>
        <w:t>למאי ניחוש ליה אי משום איערובי מיסרא סרי</w:t>
      </w:r>
      <w:r w:rsidRPr="006208E4">
        <w:rPr>
          <w:rFonts w:cs="Arial" w:hint="cs"/>
          <w:u w:val="single"/>
          <w:rtl/>
        </w:rPr>
        <w:t>'</w:t>
      </w:r>
      <w:r>
        <w:rPr>
          <w:rFonts w:cs="Arial" w:hint="cs"/>
          <w:u w:val="single"/>
          <w:rtl/>
        </w:rPr>
        <w:t xml:space="preserve"> </w:t>
      </w:r>
      <w:r w:rsidRPr="006208E4">
        <w:rPr>
          <w:rFonts w:cs="Arial" w:hint="cs"/>
          <w:u w:val="single"/>
          <w:rtl/>
        </w:rPr>
        <w:t>- באיזו תערובת מדובר:</w:t>
      </w:r>
      <w:r w:rsidRPr="006208E4">
        <w:rPr>
          <w:rFonts w:cs="Arial"/>
          <w:u w:val="single"/>
          <w:rtl/>
        </w:rPr>
        <w:t xml:space="preserve"> </w:t>
      </w:r>
    </w:p>
    <w:p w14:paraId="3FF8B12D" w14:textId="77777777" w:rsidR="002C39F4" w:rsidRDefault="002C39F4" w:rsidP="0032102C">
      <w:pPr>
        <w:pStyle w:val="a8"/>
        <w:numPr>
          <w:ilvl w:val="0"/>
          <w:numId w:val="217"/>
        </w:numPr>
        <w:rPr>
          <w:rFonts w:cs="Arial"/>
        </w:rPr>
      </w:pPr>
      <w:r w:rsidRPr="006208E4">
        <w:rPr>
          <w:rFonts w:cs="Arial"/>
          <w:rtl/>
        </w:rPr>
        <w:t xml:space="preserve">רמב"ם </w:t>
      </w:r>
      <w:r w:rsidRPr="006208E4">
        <w:rPr>
          <w:rFonts w:cs="Arial"/>
          <w:sz w:val="16"/>
          <w:szCs w:val="16"/>
          <w:rtl/>
        </w:rPr>
        <w:t>(</w:t>
      </w:r>
      <w:r>
        <w:rPr>
          <w:rFonts w:cs="Arial" w:hint="cs"/>
          <w:sz w:val="16"/>
          <w:szCs w:val="16"/>
          <w:rtl/>
        </w:rPr>
        <w:t>הל</w:t>
      </w:r>
      <w:r w:rsidRPr="006208E4">
        <w:rPr>
          <w:rFonts w:cs="Arial" w:hint="cs"/>
          <w:sz w:val="16"/>
          <w:szCs w:val="16"/>
          <w:rtl/>
        </w:rPr>
        <w:t>מ</w:t>
      </w:r>
      <w:r>
        <w:rPr>
          <w:rFonts w:cs="Arial" w:hint="cs"/>
          <w:sz w:val="16"/>
          <w:szCs w:val="16"/>
          <w:rtl/>
        </w:rPr>
        <w:t>"</w:t>
      </w:r>
      <w:r w:rsidRPr="006208E4">
        <w:rPr>
          <w:rFonts w:cs="Arial" w:hint="cs"/>
          <w:sz w:val="16"/>
          <w:szCs w:val="16"/>
          <w:rtl/>
        </w:rPr>
        <w:t xml:space="preserve">א </w:t>
      </w:r>
      <w:r w:rsidRPr="006208E4">
        <w:rPr>
          <w:rFonts w:cs="Arial"/>
          <w:sz w:val="16"/>
          <w:szCs w:val="16"/>
          <w:rtl/>
        </w:rPr>
        <w:t>פי"ז הכ"ב</w:t>
      </w:r>
      <w:r w:rsidRPr="006208E4">
        <w:rPr>
          <w:rFonts w:cs="Arial" w:hint="cs"/>
          <w:sz w:val="16"/>
          <w:szCs w:val="16"/>
          <w:rtl/>
        </w:rPr>
        <w:t>-</w:t>
      </w:r>
      <w:r w:rsidRPr="006208E4">
        <w:rPr>
          <w:rFonts w:cs="Arial"/>
          <w:sz w:val="16"/>
          <w:szCs w:val="16"/>
          <w:rtl/>
        </w:rPr>
        <w:t>כג)</w:t>
      </w:r>
      <w:r>
        <w:rPr>
          <w:rFonts w:cs="Arial" w:hint="cs"/>
          <w:rtl/>
        </w:rPr>
        <w:t xml:space="preserve">- </w:t>
      </w:r>
      <w:r w:rsidRPr="006208E4">
        <w:rPr>
          <w:rFonts w:cs="Arial"/>
          <w:rtl/>
        </w:rPr>
        <w:t>שמן של גוים מותר</w:t>
      </w:r>
      <w:r>
        <w:rPr>
          <w:rFonts w:cs="Arial" w:hint="cs"/>
          <w:rtl/>
        </w:rPr>
        <w:t>,</w:t>
      </w:r>
      <w:r w:rsidRPr="006208E4">
        <w:rPr>
          <w:rFonts w:cs="Arial"/>
          <w:rtl/>
        </w:rPr>
        <w:t xml:space="preserve"> ואפילו נתבשל אינו נאסר מפני גיעולי גוים</w:t>
      </w:r>
      <w:r>
        <w:rPr>
          <w:rFonts w:cs="Arial" w:hint="cs"/>
          <w:rtl/>
        </w:rPr>
        <w:t>,</w:t>
      </w:r>
      <w:r w:rsidRPr="006208E4">
        <w:rPr>
          <w:rFonts w:cs="Arial"/>
          <w:rtl/>
        </w:rPr>
        <w:t xml:space="preserve"> מפני </w:t>
      </w:r>
      <w:r w:rsidRPr="006208E4">
        <w:rPr>
          <w:rFonts w:cs="Arial"/>
          <w:b/>
          <w:bCs/>
          <w:rtl/>
        </w:rPr>
        <w:t>שהבשר</w:t>
      </w:r>
      <w:r w:rsidRPr="006208E4">
        <w:rPr>
          <w:rFonts w:cs="Arial"/>
          <w:rtl/>
        </w:rPr>
        <w:t xml:space="preserve"> פוגם את השמן ומסריחו</w:t>
      </w:r>
      <w:r w:rsidRPr="006208E4">
        <w:rPr>
          <w:rFonts w:cs="Arial" w:hint="cs"/>
          <w:rtl/>
        </w:rPr>
        <w:t>,</w:t>
      </w:r>
      <w:r w:rsidRPr="006208E4">
        <w:rPr>
          <w:rFonts w:cs="Arial"/>
          <w:rtl/>
        </w:rPr>
        <w:t xml:space="preserve"> וכן דבש של גוים שנתבשל ועשו ממנו מיני מתיקה מותר מטעם זה</w:t>
      </w:r>
      <w:r>
        <w:rPr>
          <w:rStyle w:val="a7"/>
          <w:rFonts w:cs="Arial"/>
          <w:rtl/>
        </w:rPr>
        <w:footnoteReference w:id="2090"/>
      </w:r>
      <w:r w:rsidRPr="006208E4">
        <w:rPr>
          <w:rFonts w:cs="Arial" w:hint="cs"/>
          <w:rtl/>
        </w:rPr>
        <w:t>.</w:t>
      </w:r>
    </w:p>
    <w:p w14:paraId="42B1E3E0" w14:textId="77777777" w:rsidR="002C39F4" w:rsidRDefault="002C39F4" w:rsidP="0032102C">
      <w:pPr>
        <w:pStyle w:val="a8"/>
        <w:numPr>
          <w:ilvl w:val="0"/>
          <w:numId w:val="217"/>
        </w:numPr>
        <w:rPr>
          <w:rFonts w:cs="Arial"/>
        </w:rPr>
      </w:pPr>
      <w:r w:rsidRPr="006208E4">
        <w:rPr>
          <w:rFonts w:cs="Arial"/>
          <w:rtl/>
        </w:rPr>
        <w:t xml:space="preserve">רש"י </w:t>
      </w:r>
      <w:r w:rsidRPr="006208E4">
        <w:rPr>
          <w:rFonts w:cs="Arial"/>
          <w:sz w:val="16"/>
          <w:szCs w:val="16"/>
          <w:rtl/>
        </w:rPr>
        <w:t>(</w:t>
      </w:r>
      <w:r w:rsidRPr="006208E4">
        <w:rPr>
          <w:rFonts w:cs="Arial" w:hint="cs"/>
          <w:sz w:val="16"/>
          <w:szCs w:val="16"/>
          <w:rtl/>
        </w:rPr>
        <w:t xml:space="preserve">לח: </w:t>
      </w:r>
      <w:r w:rsidRPr="006208E4">
        <w:rPr>
          <w:rFonts w:cs="Arial"/>
          <w:sz w:val="16"/>
          <w:szCs w:val="16"/>
          <w:rtl/>
        </w:rPr>
        <w:t xml:space="preserve">ד"ה איערובי, </w:t>
      </w:r>
      <w:r w:rsidRPr="006208E4">
        <w:rPr>
          <w:rFonts w:cs="Arial" w:hint="cs"/>
          <w:sz w:val="16"/>
          <w:szCs w:val="16"/>
          <w:rtl/>
        </w:rPr>
        <w:t xml:space="preserve">לט: </w:t>
      </w:r>
      <w:r w:rsidRPr="006208E4">
        <w:rPr>
          <w:rFonts w:cs="Arial"/>
          <w:sz w:val="16"/>
          <w:szCs w:val="16"/>
          <w:rtl/>
        </w:rPr>
        <w:t>ד"ה איערובי)</w:t>
      </w:r>
      <w:r>
        <w:rPr>
          <w:rFonts w:cs="Arial" w:hint="cs"/>
          <w:rtl/>
        </w:rPr>
        <w:t xml:space="preserve">- </w:t>
      </w:r>
      <w:r w:rsidRPr="006208E4">
        <w:rPr>
          <w:rFonts w:cs="Arial"/>
          <w:rtl/>
        </w:rPr>
        <w:t>שמא נתערב בו יין</w:t>
      </w:r>
      <w:r>
        <w:rPr>
          <w:rFonts w:cs="Arial" w:hint="cs"/>
          <w:rtl/>
        </w:rPr>
        <w:t>.</w:t>
      </w:r>
    </w:p>
    <w:p w14:paraId="3D7FE656" w14:textId="77777777" w:rsidR="002C39F4" w:rsidRPr="004B51CD" w:rsidRDefault="002C39F4" w:rsidP="002C39F4">
      <w:pPr>
        <w:ind w:left="360"/>
        <w:rPr>
          <w:rFonts w:cs="Arial"/>
          <w:u w:val="dotted"/>
        </w:rPr>
      </w:pPr>
      <w:r w:rsidRPr="004B51CD">
        <w:rPr>
          <w:rFonts w:cs="Arial" w:hint="cs"/>
          <w:u w:val="dotted"/>
          <w:rtl/>
        </w:rPr>
        <w:t>האם בשר נותן טעם לפגם בשמן/דבש:</w:t>
      </w:r>
    </w:p>
    <w:p w14:paraId="6EB44289" w14:textId="77777777" w:rsidR="002C39F4" w:rsidRDefault="002C39F4" w:rsidP="0032102C">
      <w:pPr>
        <w:pStyle w:val="a8"/>
        <w:numPr>
          <w:ilvl w:val="0"/>
          <w:numId w:val="217"/>
        </w:numPr>
        <w:rPr>
          <w:rFonts w:cs="Arial"/>
        </w:rPr>
      </w:pPr>
      <w:r>
        <w:rPr>
          <w:rFonts w:cs="Arial" w:hint="cs"/>
          <w:rtl/>
        </w:rPr>
        <w:t xml:space="preserve">רמב"ם </w:t>
      </w:r>
      <w:r w:rsidRPr="004B51CD">
        <w:rPr>
          <w:rFonts w:cs="Arial" w:hint="cs"/>
          <w:sz w:val="16"/>
          <w:szCs w:val="16"/>
          <w:rtl/>
        </w:rPr>
        <w:t>(שם)</w:t>
      </w:r>
      <w:r>
        <w:rPr>
          <w:rFonts w:cs="Arial" w:hint="cs"/>
          <w:rtl/>
        </w:rPr>
        <w:t>- בשר נותן טעם לפגם בשמן ודבש.</w:t>
      </w:r>
      <w:r w:rsidRPr="00BB3FE0">
        <w:rPr>
          <w:rFonts w:cs="Arial" w:hint="cs"/>
          <w:color w:val="E36C0A" w:themeColor="accent6" w:themeShade="BF"/>
          <w:rtl/>
        </w:rPr>
        <w:t xml:space="preserve"> (וכ"פ בשו"ע)</w:t>
      </w:r>
    </w:p>
    <w:p w14:paraId="1469850C" w14:textId="77777777" w:rsidR="002C39F4" w:rsidRPr="000E6FE9" w:rsidRDefault="002C39F4" w:rsidP="0032102C">
      <w:pPr>
        <w:pStyle w:val="a8"/>
        <w:numPr>
          <w:ilvl w:val="0"/>
          <w:numId w:val="217"/>
        </w:numPr>
        <w:rPr>
          <w:rFonts w:cs="Arial"/>
        </w:rPr>
      </w:pPr>
      <w:r w:rsidRPr="006208E4">
        <w:rPr>
          <w:rFonts w:cs="Arial"/>
          <w:rtl/>
        </w:rPr>
        <w:t xml:space="preserve">מרדכי </w:t>
      </w:r>
      <w:r w:rsidRPr="006208E4">
        <w:rPr>
          <w:rFonts w:cs="Arial"/>
          <w:sz w:val="16"/>
          <w:szCs w:val="16"/>
          <w:rtl/>
        </w:rPr>
        <w:t>(פסחים סי' תקסב</w:t>
      </w:r>
      <w:r w:rsidRPr="006208E4">
        <w:rPr>
          <w:rFonts w:cs="Arial" w:hint="cs"/>
          <w:sz w:val="16"/>
          <w:szCs w:val="16"/>
          <w:rtl/>
        </w:rPr>
        <w:t>, וב</w:t>
      </w:r>
      <w:r w:rsidRPr="006208E4">
        <w:rPr>
          <w:rFonts w:cs="Arial"/>
          <w:sz w:val="16"/>
          <w:szCs w:val="16"/>
          <w:rtl/>
        </w:rPr>
        <w:t>ע"ז סי' תתלו)</w:t>
      </w:r>
      <w:r>
        <w:rPr>
          <w:rFonts w:cs="Arial" w:hint="cs"/>
          <w:rtl/>
        </w:rPr>
        <w:t xml:space="preserve">- </w:t>
      </w:r>
      <w:r w:rsidRPr="006208E4">
        <w:rPr>
          <w:rFonts w:cs="Arial"/>
          <w:rtl/>
        </w:rPr>
        <w:t>בא מעשה לפני ר"י שבשלו דבש במחבת של בשר בת יומא והריקוהו חם בקדרה של חלב בת יומא והתירה משום דהשמנונית בדבש הוי נותן טעם לפגם לגמרי אפילו מעורב בו שמנונית של גיעולי גוים בעין או מבשר בחלב הוי נותן טעם לפגם בו</w:t>
      </w:r>
      <w:r>
        <w:rPr>
          <w:rFonts w:hint="cs"/>
          <w:rtl/>
        </w:rPr>
        <w:t>.</w:t>
      </w:r>
    </w:p>
    <w:p w14:paraId="2F21D9D4" w14:textId="77777777" w:rsidR="002C39F4" w:rsidRPr="00BB3FE0" w:rsidRDefault="002C39F4" w:rsidP="002C39F4">
      <w:pPr>
        <w:ind w:left="360"/>
        <w:rPr>
          <w:rFonts w:cs="Arial"/>
          <w:sz w:val="16"/>
          <w:szCs w:val="16"/>
        </w:rPr>
      </w:pPr>
      <w:r>
        <w:rPr>
          <w:rFonts w:cs="Arial" w:hint="cs"/>
          <w:u w:val="dotted"/>
          <w:rtl/>
        </w:rPr>
        <w:t>וקשה, דהרי העולם מבשלים דבש עם הבשר והוא משובח מאוד</w:t>
      </w:r>
      <w:r>
        <w:rPr>
          <w:rFonts w:cs="Arial" w:hint="cs"/>
          <w:sz w:val="16"/>
          <w:szCs w:val="16"/>
          <w:u w:val="dotted"/>
          <w:rtl/>
        </w:rPr>
        <w:t xml:space="preserve"> (ל' הב"י)</w:t>
      </w:r>
      <w:r>
        <w:rPr>
          <w:rFonts w:cs="Arial" w:hint="cs"/>
          <w:u w:val="dotted"/>
          <w:rtl/>
        </w:rPr>
        <w:t>:</w:t>
      </w:r>
      <w:r>
        <w:rPr>
          <w:rFonts w:cs="Arial" w:hint="cs"/>
          <w:sz w:val="16"/>
          <w:szCs w:val="16"/>
          <w:rtl/>
        </w:rPr>
        <w:t xml:space="preserve">   (ב"י ודרכ"מ [אות א])</w:t>
      </w:r>
    </w:p>
    <w:p w14:paraId="40AE63E5" w14:textId="77777777" w:rsidR="002C39F4" w:rsidRPr="004B51CD" w:rsidRDefault="002C39F4" w:rsidP="0032102C">
      <w:pPr>
        <w:pStyle w:val="a8"/>
        <w:numPr>
          <w:ilvl w:val="0"/>
          <w:numId w:val="217"/>
        </w:numPr>
        <w:rPr>
          <w:rFonts w:cs="Arial"/>
        </w:rPr>
      </w:pPr>
      <w:r>
        <w:rPr>
          <w:rFonts w:cs="Arial" w:hint="cs"/>
          <w:rtl/>
        </w:rPr>
        <w:t xml:space="preserve">ב"י- </w:t>
      </w:r>
      <w:r w:rsidRPr="006208E4">
        <w:rPr>
          <w:rFonts w:cs="Arial"/>
          <w:rtl/>
        </w:rPr>
        <w:t>שמא י"ל שעל ידי התבלין והבצלים הוא משביח אבל אילו היו בשר ודבש לבדם היו פוגמין ובעובדא דר"י לא היה שם אלא דבש בטעם הבלוע במחבת לבד</w:t>
      </w:r>
      <w:r w:rsidRPr="006208E4">
        <w:rPr>
          <w:rFonts w:cs="Arial" w:hint="cs"/>
          <w:rtl/>
        </w:rPr>
        <w:t>.</w:t>
      </w:r>
    </w:p>
    <w:p w14:paraId="7D3B25C6" w14:textId="77777777" w:rsidR="002C39F4" w:rsidRPr="000E6FE9" w:rsidRDefault="002C39F4" w:rsidP="0032102C">
      <w:pPr>
        <w:pStyle w:val="a8"/>
        <w:numPr>
          <w:ilvl w:val="0"/>
          <w:numId w:val="217"/>
        </w:numPr>
        <w:rPr>
          <w:rFonts w:cs="Arial"/>
        </w:rPr>
      </w:pPr>
      <w:r>
        <w:rPr>
          <w:rtl/>
        </w:rPr>
        <w:t>מהרי"ל</w:t>
      </w:r>
      <w:r w:rsidRPr="004B51CD">
        <w:rPr>
          <w:sz w:val="16"/>
          <w:szCs w:val="16"/>
          <w:rtl/>
        </w:rPr>
        <w:t xml:space="preserve"> (החדשות סי' פא)</w:t>
      </w:r>
      <w:r>
        <w:rPr>
          <w:rFonts w:hint="cs"/>
          <w:rtl/>
        </w:rPr>
        <w:t xml:space="preserve">- </w:t>
      </w:r>
      <w:r>
        <w:rPr>
          <w:rtl/>
        </w:rPr>
        <w:t>תשובת ר"י מיירי במשקה הנעשה מדבש אבל בדבש עצמו יכול להיות דהוי לשבח</w:t>
      </w:r>
      <w:r>
        <w:rPr>
          <w:rStyle w:val="a7"/>
          <w:rFonts w:cs="Arial"/>
          <w:rtl/>
        </w:rPr>
        <w:footnoteReference w:id="2091"/>
      </w:r>
      <w:r>
        <w:rPr>
          <w:rFonts w:hint="cs"/>
          <w:rtl/>
        </w:rPr>
        <w:t>.</w:t>
      </w:r>
    </w:p>
    <w:p w14:paraId="6125181C" w14:textId="77777777" w:rsidR="002C39F4" w:rsidRPr="006208E4" w:rsidRDefault="002C39F4" w:rsidP="0032102C">
      <w:pPr>
        <w:pStyle w:val="a8"/>
        <w:numPr>
          <w:ilvl w:val="0"/>
          <w:numId w:val="217"/>
        </w:numPr>
        <w:rPr>
          <w:rFonts w:cs="Arial"/>
        </w:rPr>
      </w:pPr>
      <w:r>
        <w:rPr>
          <w:rFonts w:cs="Arial" w:hint="cs"/>
          <w:rtl/>
        </w:rPr>
        <w:t>ב"ח</w:t>
      </w:r>
      <w:r>
        <w:rPr>
          <w:rFonts w:cs="Arial" w:hint="cs"/>
          <w:sz w:val="16"/>
          <w:szCs w:val="16"/>
          <w:rtl/>
        </w:rPr>
        <w:t xml:space="preserve"> (עמ' ערה דיבור ראשון)</w:t>
      </w:r>
      <w:r>
        <w:rPr>
          <w:rFonts w:cs="Arial" w:hint="cs"/>
          <w:rtl/>
        </w:rPr>
        <w:t>- כשעיקר התבשיל מבשר הוא משביח משא"כ שמנונית מעט שפוגם.</w:t>
      </w:r>
    </w:p>
    <w:p w14:paraId="671ADBB0" w14:textId="77777777" w:rsidR="002C39F4" w:rsidRPr="00A5424B" w:rsidRDefault="002C39F4" w:rsidP="002C39F4">
      <w:pPr>
        <w:rPr>
          <w:rFonts w:cs="Arial"/>
          <w:sz w:val="16"/>
          <w:szCs w:val="16"/>
        </w:rPr>
      </w:pPr>
      <w:r w:rsidRPr="00A5424B">
        <w:rPr>
          <w:rFonts w:cs="Arial"/>
          <w:u w:val="single"/>
          <w:rtl/>
        </w:rPr>
        <w:t>תבשיל שנפל בו איסור פגום ונפל אותו תבשיל לקדרה אחרת ובאותו תבשיל היה האיסור לשבח</w:t>
      </w:r>
      <w:r w:rsidRPr="00A5424B">
        <w:rPr>
          <w:rFonts w:cs="Arial" w:hint="cs"/>
          <w:u w:val="single"/>
          <w:rtl/>
        </w:rPr>
        <w:t>:</w:t>
      </w:r>
      <w:r>
        <w:rPr>
          <w:rFonts w:cs="Arial" w:hint="cs"/>
          <w:sz w:val="16"/>
          <w:szCs w:val="16"/>
          <w:rtl/>
        </w:rPr>
        <w:t xml:space="preserve">  (דרכ"מ אות א)</w:t>
      </w:r>
    </w:p>
    <w:p w14:paraId="0C6ACFE6" w14:textId="77777777" w:rsidR="002C39F4" w:rsidRPr="00A5424B" w:rsidRDefault="002C39F4" w:rsidP="0032102C">
      <w:pPr>
        <w:pStyle w:val="a8"/>
        <w:numPr>
          <w:ilvl w:val="0"/>
          <w:numId w:val="217"/>
        </w:numPr>
        <w:rPr>
          <w:rFonts w:cs="Arial"/>
          <w:rtl/>
        </w:rPr>
      </w:pPr>
      <w:r>
        <w:rPr>
          <w:rFonts w:hint="cs"/>
          <w:rtl/>
        </w:rPr>
        <w:t>או</w:t>
      </w:r>
      <w:r>
        <w:rPr>
          <w:rtl/>
        </w:rPr>
        <w:t>"</w:t>
      </w:r>
      <w:r>
        <w:rPr>
          <w:rFonts w:hint="cs"/>
          <w:rtl/>
        </w:rPr>
        <w:t>ה</w:t>
      </w:r>
      <w:r>
        <w:rPr>
          <w:rtl/>
        </w:rPr>
        <w:t xml:space="preserve"> </w:t>
      </w:r>
      <w:r w:rsidRPr="00A5424B">
        <w:rPr>
          <w:rFonts w:hint="cs"/>
          <w:sz w:val="16"/>
          <w:szCs w:val="16"/>
          <w:rtl/>
        </w:rPr>
        <w:t>(</w:t>
      </w:r>
      <w:r w:rsidRPr="00A5424B">
        <w:rPr>
          <w:sz w:val="16"/>
          <w:szCs w:val="16"/>
          <w:rtl/>
        </w:rPr>
        <w:t>כלל לב ד</w:t>
      </w:r>
      <w:r>
        <w:rPr>
          <w:rFonts w:hint="cs"/>
          <w:sz w:val="16"/>
          <w:szCs w:val="16"/>
          <w:rtl/>
        </w:rPr>
        <w:t>ט"ו</w:t>
      </w:r>
      <w:r w:rsidRPr="00A5424B">
        <w:rPr>
          <w:sz w:val="16"/>
          <w:szCs w:val="16"/>
          <w:rtl/>
        </w:rPr>
        <w:t>)</w:t>
      </w:r>
      <w:r>
        <w:rPr>
          <w:rFonts w:hint="cs"/>
          <w:rtl/>
        </w:rPr>
        <w:t>-</w:t>
      </w:r>
      <w:r>
        <w:rPr>
          <w:rtl/>
        </w:rPr>
        <w:t xml:space="preserve"> </w:t>
      </w:r>
      <w:r w:rsidRPr="00A5424B">
        <w:rPr>
          <w:rFonts w:cs="Arial"/>
          <w:rtl/>
        </w:rPr>
        <w:t>אילו היה האיסור בעין אין צריך בקדרה שניה רק ס' נגד האיסור שבקדרה דלא שייך לומר דהקדרה הראשון נעשית נבלה דהא משרי שרי</w:t>
      </w:r>
      <w:r>
        <w:rPr>
          <w:rFonts w:cs="Arial" w:hint="cs"/>
          <w:rtl/>
        </w:rPr>
        <w:t>.</w:t>
      </w:r>
      <w:r w:rsidRPr="00A5424B">
        <w:rPr>
          <w:rFonts w:cs="Arial"/>
          <w:rtl/>
        </w:rPr>
        <w:t xml:space="preserve"> </w:t>
      </w:r>
      <w:r>
        <w:rPr>
          <w:rFonts w:cs="Arial" w:hint="cs"/>
          <w:rtl/>
        </w:rPr>
        <w:t>(וכ"כ הט"ז</w:t>
      </w:r>
      <w:r>
        <w:rPr>
          <w:rFonts w:cs="Arial" w:hint="cs"/>
          <w:sz w:val="16"/>
          <w:szCs w:val="16"/>
          <w:rtl/>
        </w:rPr>
        <w:t xml:space="preserve"> [ססק"ו]</w:t>
      </w:r>
      <w:r>
        <w:rPr>
          <w:rFonts w:cs="Arial" w:hint="cs"/>
          <w:rtl/>
        </w:rPr>
        <w:t>)</w:t>
      </w:r>
    </w:p>
    <w:p w14:paraId="78B65FAD" w14:textId="77777777" w:rsidR="002C39F4" w:rsidRPr="00E443FB" w:rsidRDefault="002C39F4" w:rsidP="002C39F4">
      <w:pPr>
        <w:rPr>
          <w:rFonts w:cs="Arial"/>
          <w:rtl/>
        </w:rPr>
      </w:pPr>
      <w:r w:rsidRPr="00E443FB">
        <w:rPr>
          <w:rFonts w:cs="Arial" w:hint="cs"/>
          <w:b/>
          <w:bCs/>
          <w:rtl/>
        </w:rPr>
        <w:t xml:space="preserve">ירושלמי </w:t>
      </w:r>
      <w:r w:rsidRPr="00E443FB">
        <w:rPr>
          <w:rFonts w:cs="Arial" w:hint="cs"/>
          <w:b/>
          <w:bCs/>
          <w:sz w:val="16"/>
          <w:szCs w:val="16"/>
          <w:rtl/>
        </w:rPr>
        <w:t xml:space="preserve">(וילנא) </w:t>
      </w:r>
      <w:r w:rsidRPr="00E443FB">
        <w:rPr>
          <w:rFonts w:cs="Arial" w:hint="cs"/>
          <w:b/>
          <w:bCs/>
          <w:rtl/>
        </w:rPr>
        <w:t>תרומות פ"י ה"ד:</w:t>
      </w:r>
      <w:r>
        <w:rPr>
          <w:rFonts w:cs="Arial" w:hint="cs"/>
          <w:rtl/>
        </w:rPr>
        <w:t xml:space="preserve"> </w:t>
      </w:r>
      <w:r w:rsidRPr="00E443FB">
        <w:rPr>
          <w:rFonts w:cs="Arial"/>
          <w:rtl/>
        </w:rPr>
        <w:t>הדא אמרה לא לשבח ולא לפגם אסור</w:t>
      </w:r>
      <w:r>
        <w:rPr>
          <w:rFonts w:cs="Arial" w:hint="cs"/>
          <w:rtl/>
        </w:rPr>
        <w:t>.</w:t>
      </w:r>
    </w:p>
    <w:p w14:paraId="078167BD" w14:textId="77777777" w:rsidR="002C39F4" w:rsidRPr="00A5424B" w:rsidRDefault="002C39F4" w:rsidP="002C39F4">
      <w:pPr>
        <w:rPr>
          <w:rFonts w:cs="Arial"/>
          <w:u w:val="single"/>
          <w:rtl/>
        </w:rPr>
      </w:pPr>
      <w:r w:rsidRPr="00A5424B">
        <w:rPr>
          <w:rFonts w:cs="Arial" w:hint="cs"/>
          <w:u w:val="single"/>
          <w:rtl/>
        </w:rPr>
        <w:t>דבר ש</w:t>
      </w:r>
      <w:r w:rsidRPr="00A5424B">
        <w:rPr>
          <w:rFonts w:cs="Arial"/>
          <w:u w:val="single"/>
          <w:rtl/>
        </w:rPr>
        <w:t>אינו נותן טעם לא לפגם ולא לשבח</w:t>
      </w:r>
      <w:r w:rsidRPr="00A5424B">
        <w:rPr>
          <w:rFonts w:cs="Arial" w:hint="cs"/>
          <w:u w:val="single"/>
          <w:rtl/>
        </w:rPr>
        <w:t>:</w:t>
      </w:r>
    </w:p>
    <w:p w14:paraId="0A7562C1" w14:textId="77777777" w:rsidR="002C39F4" w:rsidRPr="00A5424B" w:rsidRDefault="002C39F4" w:rsidP="0032102C">
      <w:pPr>
        <w:pStyle w:val="a8"/>
        <w:numPr>
          <w:ilvl w:val="0"/>
          <w:numId w:val="217"/>
        </w:numPr>
        <w:rPr>
          <w:rFonts w:cs="Arial"/>
          <w:rtl/>
        </w:rPr>
      </w:pPr>
      <w:r>
        <w:rPr>
          <w:rFonts w:cs="Arial" w:hint="cs"/>
          <w:rtl/>
        </w:rPr>
        <w:t>הג</w:t>
      </w:r>
      <w:r>
        <w:rPr>
          <w:rFonts w:cs="Arial"/>
          <w:rtl/>
        </w:rPr>
        <w:t>"</w:t>
      </w:r>
      <w:r>
        <w:rPr>
          <w:rFonts w:cs="Arial" w:hint="cs"/>
          <w:rtl/>
        </w:rPr>
        <w:t>א</w:t>
      </w:r>
      <w:r w:rsidRPr="00A5424B">
        <w:rPr>
          <w:rFonts w:cs="Arial" w:hint="cs"/>
          <w:rtl/>
        </w:rPr>
        <w:t xml:space="preserve"> </w:t>
      </w:r>
      <w:r w:rsidRPr="00A5424B">
        <w:rPr>
          <w:rFonts w:cs="Arial" w:hint="cs"/>
          <w:sz w:val="16"/>
          <w:szCs w:val="16"/>
          <w:rtl/>
        </w:rPr>
        <w:t>(</w:t>
      </w:r>
      <w:r w:rsidRPr="00A5424B">
        <w:rPr>
          <w:rFonts w:cs="Arial"/>
          <w:sz w:val="16"/>
          <w:szCs w:val="16"/>
          <w:rtl/>
        </w:rPr>
        <w:t>פרק בתרא דע"ז סי' ט)</w:t>
      </w:r>
      <w:r w:rsidRPr="00A5424B">
        <w:rPr>
          <w:rFonts w:cs="Arial" w:hint="cs"/>
          <w:rtl/>
        </w:rPr>
        <w:t>-</w:t>
      </w:r>
      <w:r w:rsidRPr="00A5424B">
        <w:rPr>
          <w:rFonts w:cs="Arial"/>
          <w:rtl/>
        </w:rPr>
        <w:t xml:space="preserve"> אם אינו נותן טעם לא לפגם ולא לשבח אסור</w:t>
      </w:r>
      <w:r>
        <w:rPr>
          <w:rStyle w:val="a7"/>
          <w:rFonts w:cs="Arial"/>
          <w:rtl/>
        </w:rPr>
        <w:footnoteReference w:id="2092"/>
      </w:r>
      <w:r w:rsidRPr="00A5424B">
        <w:rPr>
          <w:rFonts w:cs="Arial"/>
          <w:rtl/>
        </w:rPr>
        <w:t xml:space="preserve">. </w:t>
      </w:r>
      <w:r>
        <w:rPr>
          <w:rFonts w:cs="Arial" w:hint="cs"/>
          <w:rtl/>
        </w:rPr>
        <w:t xml:space="preserve">(וכ"פ הש"ך </w:t>
      </w:r>
      <w:r>
        <w:rPr>
          <w:rFonts w:cs="Arial" w:hint="cs"/>
          <w:sz w:val="16"/>
          <w:szCs w:val="16"/>
          <w:rtl/>
        </w:rPr>
        <w:t>[סק"ב]</w:t>
      </w:r>
      <w:r>
        <w:rPr>
          <w:rFonts w:cs="Arial" w:hint="cs"/>
          <w:rtl/>
        </w:rPr>
        <w:t>)</w:t>
      </w:r>
    </w:p>
    <w:p w14:paraId="545A3637" w14:textId="77777777" w:rsidR="002C39F4" w:rsidRPr="00BB3FE0" w:rsidRDefault="002C39F4" w:rsidP="002C39F4">
      <w:pPr>
        <w:rPr>
          <w:rFonts w:cs="Arial"/>
          <w:u w:val="single"/>
          <w:rtl/>
        </w:rPr>
      </w:pPr>
      <w:r w:rsidRPr="00BB3FE0">
        <w:rPr>
          <w:rFonts w:cs="Arial"/>
          <w:u w:val="single"/>
          <w:rtl/>
        </w:rPr>
        <w:t>חלב ובשר נבילה שנפלו ביין</w:t>
      </w:r>
      <w:r w:rsidRPr="00BB3FE0">
        <w:rPr>
          <w:rFonts w:cs="Arial" w:hint="cs"/>
          <w:u w:val="single"/>
          <w:rtl/>
        </w:rPr>
        <w:t>:</w:t>
      </w:r>
    </w:p>
    <w:p w14:paraId="23DECD59" w14:textId="77777777" w:rsidR="002C39F4" w:rsidRPr="00B2199F" w:rsidRDefault="002C39F4" w:rsidP="0032102C">
      <w:pPr>
        <w:pStyle w:val="a8"/>
        <w:numPr>
          <w:ilvl w:val="0"/>
          <w:numId w:val="217"/>
        </w:numPr>
        <w:rPr>
          <w:rtl/>
        </w:rPr>
      </w:pPr>
      <w:r>
        <w:rPr>
          <w:rFonts w:cs="Arial" w:hint="cs"/>
          <w:rtl/>
        </w:rPr>
        <w:t>הג</w:t>
      </w:r>
      <w:r>
        <w:rPr>
          <w:rFonts w:cs="Arial"/>
          <w:rtl/>
        </w:rPr>
        <w:t>"</w:t>
      </w:r>
      <w:r>
        <w:rPr>
          <w:rFonts w:cs="Arial" w:hint="cs"/>
          <w:rtl/>
        </w:rPr>
        <w:t>א</w:t>
      </w:r>
      <w:r w:rsidRPr="00BB3FE0">
        <w:rPr>
          <w:rFonts w:cs="Arial" w:hint="cs"/>
          <w:rtl/>
        </w:rPr>
        <w:t xml:space="preserve"> </w:t>
      </w:r>
      <w:r w:rsidRPr="00BB3FE0">
        <w:rPr>
          <w:rFonts w:cs="Arial" w:hint="cs"/>
          <w:sz w:val="16"/>
          <w:szCs w:val="16"/>
          <w:rtl/>
        </w:rPr>
        <w:t>(</w:t>
      </w:r>
      <w:r w:rsidRPr="00BB3FE0">
        <w:rPr>
          <w:rFonts w:cs="Arial"/>
          <w:sz w:val="16"/>
          <w:szCs w:val="16"/>
          <w:rtl/>
        </w:rPr>
        <w:t>פרק בתרא דע"ז</w:t>
      </w:r>
      <w:r w:rsidRPr="00BB3FE0">
        <w:rPr>
          <w:rFonts w:cs="Arial" w:hint="cs"/>
          <w:sz w:val="16"/>
          <w:szCs w:val="16"/>
          <w:rtl/>
        </w:rPr>
        <w:t xml:space="preserve"> סי' י ויא)</w:t>
      </w:r>
      <w:r w:rsidRPr="00BB3FE0">
        <w:rPr>
          <w:rFonts w:cs="Arial" w:hint="cs"/>
          <w:rtl/>
        </w:rPr>
        <w:t>-</w:t>
      </w:r>
      <w:r w:rsidRPr="00BB3FE0">
        <w:rPr>
          <w:rFonts w:cs="Arial"/>
          <w:rtl/>
        </w:rPr>
        <w:t xml:space="preserve"> חלב ובשר נבילה שנפלו ביין ודאי פוגמין</w:t>
      </w:r>
      <w:r w:rsidRPr="00BB3FE0">
        <w:rPr>
          <w:rFonts w:cs="Arial" w:hint="cs"/>
          <w:rtl/>
        </w:rPr>
        <w:t>.</w:t>
      </w:r>
      <w:r>
        <w:rPr>
          <w:rFonts w:hint="cs"/>
          <w:rtl/>
        </w:rPr>
        <w:t xml:space="preserve"> </w:t>
      </w:r>
      <w:r w:rsidRPr="00BB3FE0">
        <w:rPr>
          <w:rFonts w:hint="cs"/>
          <w:color w:val="00B0F0"/>
          <w:rtl/>
        </w:rPr>
        <w:t>(וכ"פ הרמ"א)</w:t>
      </w:r>
    </w:p>
    <w:p w14:paraId="3578A25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FF93A6C" w14:textId="77777777" w:rsidR="002C39F4" w:rsidRDefault="002C39F4" w:rsidP="002C39F4">
      <w:pPr>
        <w:rPr>
          <w:rFonts w:asciiTheme="minorBidi" w:hAnsiTheme="minorBidi"/>
          <w:rtl/>
        </w:rPr>
      </w:pPr>
      <w:r w:rsidRPr="003024E5">
        <w:rPr>
          <w:rFonts w:asciiTheme="minorBidi" w:hAnsiTheme="minorBidi"/>
          <w:rtl/>
        </w:rPr>
        <w:t xml:space="preserve">שמן ודבש של </w:t>
      </w:r>
      <w:r>
        <w:rPr>
          <w:rFonts w:asciiTheme="minorBidi" w:hAnsiTheme="minorBidi" w:hint="cs"/>
          <w:rtl/>
        </w:rPr>
        <w:t>גוים</w:t>
      </w:r>
      <w:r w:rsidRPr="003024E5">
        <w:rPr>
          <w:rFonts w:asciiTheme="minorBidi" w:hAnsiTheme="minorBidi"/>
          <w:rtl/>
        </w:rPr>
        <w:t xml:space="preserve"> אף על פי שהם מבושלים מותרים מפני שהבשר פוגם את השמן ומסריחו, וכן לדבש</w:t>
      </w:r>
      <w:r>
        <w:rPr>
          <w:rStyle w:val="a7"/>
          <w:rFonts w:asciiTheme="minorBidi" w:hAnsiTheme="minorBidi"/>
          <w:rtl/>
        </w:rPr>
        <w:footnoteReference w:id="2093"/>
      </w:r>
      <w:r w:rsidRPr="003024E5">
        <w:rPr>
          <w:rFonts w:asciiTheme="minorBidi" w:hAnsiTheme="minorBidi"/>
          <w:rtl/>
        </w:rPr>
        <w:t xml:space="preserve">. </w:t>
      </w:r>
      <w:r w:rsidRPr="0003345E">
        <w:rPr>
          <w:rFonts w:asciiTheme="minorBidi" w:hAnsiTheme="minorBidi"/>
          <w:sz w:val="18"/>
          <w:szCs w:val="18"/>
          <w:rtl/>
        </w:rPr>
        <w:t>הגה: וי</w:t>
      </w:r>
      <w:r>
        <w:rPr>
          <w:rFonts w:asciiTheme="minorBidi" w:hAnsiTheme="minorBidi" w:hint="cs"/>
          <w:sz w:val="18"/>
          <w:szCs w:val="18"/>
          <w:rtl/>
        </w:rPr>
        <w:t>"א</w:t>
      </w:r>
      <w:r w:rsidRPr="0003345E">
        <w:rPr>
          <w:rFonts w:asciiTheme="minorBidi" w:hAnsiTheme="minorBidi"/>
          <w:sz w:val="18"/>
          <w:szCs w:val="18"/>
          <w:rtl/>
        </w:rPr>
        <w:t xml:space="preserve"> דבשר אינו פוגם דבש עצמו רק משקה הנעשה מדבש </w:t>
      </w:r>
      <w:r w:rsidRPr="00426CD3">
        <w:rPr>
          <w:rFonts w:asciiTheme="minorBidi" w:hAnsiTheme="minorBidi"/>
          <w:sz w:val="14"/>
          <w:szCs w:val="14"/>
          <w:rtl/>
        </w:rPr>
        <w:t>(מהרי"ל)</w:t>
      </w:r>
      <w:r>
        <w:rPr>
          <w:rFonts w:asciiTheme="minorBidi" w:hAnsiTheme="minorBidi" w:hint="cs"/>
          <w:sz w:val="18"/>
          <w:szCs w:val="18"/>
          <w:rtl/>
        </w:rPr>
        <w:t>,</w:t>
      </w:r>
      <w:r w:rsidRPr="0003345E">
        <w:rPr>
          <w:rFonts w:asciiTheme="minorBidi" w:hAnsiTheme="minorBidi"/>
          <w:sz w:val="18"/>
          <w:szCs w:val="18"/>
          <w:rtl/>
        </w:rPr>
        <w:t xml:space="preserve"> ובמקום שאין הפסד גדול יש להחמיר</w:t>
      </w:r>
      <w:r>
        <w:rPr>
          <w:rStyle w:val="a7"/>
          <w:rFonts w:asciiTheme="minorBidi" w:hAnsiTheme="minorBidi"/>
          <w:sz w:val="18"/>
          <w:szCs w:val="18"/>
          <w:rtl/>
        </w:rPr>
        <w:footnoteReference w:id="2094"/>
      </w:r>
      <w:r w:rsidRPr="0003345E">
        <w:rPr>
          <w:rFonts w:asciiTheme="minorBidi" w:hAnsiTheme="minorBidi"/>
          <w:sz w:val="18"/>
          <w:szCs w:val="18"/>
          <w:rtl/>
        </w:rPr>
        <w:t>. בשר או חלב ביין הוי לפגם ומותר</w:t>
      </w:r>
      <w:r>
        <w:rPr>
          <w:rFonts w:asciiTheme="minorBidi" w:hAnsiTheme="minorBidi" w:hint="cs"/>
          <w:sz w:val="18"/>
          <w:szCs w:val="18"/>
          <w:rtl/>
        </w:rPr>
        <w:t xml:space="preserve"> </w:t>
      </w:r>
      <w:r w:rsidRPr="00426CD3">
        <w:rPr>
          <w:rFonts w:asciiTheme="minorBidi" w:hAnsiTheme="minorBidi"/>
          <w:sz w:val="14"/>
          <w:szCs w:val="14"/>
          <w:rtl/>
        </w:rPr>
        <w:t>(הג"א)</w:t>
      </w:r>
      <w:r w:rsidRPr="0003345E">
        <w:rPr>
          <w:rFonts w:asciiTheme="minorBidi" w:hAnsiTheme="minorBidi"/>
          <w:sz w:val="18"/>
          <w:szCs w:val="18"/>
          <w:rtl/>
        </w:rPr>
        <w:t>.</w:t>
      </w:r>
      <w:r w:rsidRPr="003024E5">
        <w:rPr>
          <w:rFonts w:asciiTheme="minorBidi" w:hAnsiTheme="minorBidi"/>
          <w:rtl/>
        </w:rPr>
        <w:t xml:space="preserve"> </w:t>
      </w:r>
    </w:p>
    <w:p w14:paraId="4743385F" w14:textId="77777777" w:rsidR="002C39F4" w:rsidRPr="003024E5" w:rsidRDefault="002C39F4" w:rsidP="002C39F4">
      <w:pPr>
        <w:rPr>
          <w:rFonts w:asciiTheme="minorBidi" w:hAnsiTheme="minorBidi"/>
          <w:rtl/>
        </w:rPr>
      </w:pPr>
    </w:p>
    <w:p w14:paraId="78D66728"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קדירה שאינה בת יומא.</w:t>
      </w:r>
    </w:p>
    <w:p w14:paraId="544050C8" w14:textId="77777777" w:rsidR="002C39F4" w:rsidRDefault="002C39F4" w:rsidP="002C39F4">
      <w:pPr>
        <w:rPr>
          <w:rFonts w:cs="Arial"/>
          <w:rtl/>
        </w:rPr>
      </w:pPr>
      <w:r>
        <w:rPr>
          <w:rFonts w:cs="Arial" w:hint="cs"/>
          <w:b/>
          <w:bCs/>
          <w:rtl/>
        </w:rPr>
        <w:t xml:space="preserve">עבודה זרה עה ע"ב: </w:t>
      </w:r>
      <w:r w:rsidRPr="00AB4ACE">
        <w:rPr>
          <w:rFonts w:cs="Arial"/>
          <w:rtl/>
        </w:rPr>
        <w:t xml:space="preserve">ולמאן דאמר נותן טעם לפגם - מותר, גיעולי עובדי כוכבים דאסר רחמנא היכי משכחת לה? </w:t>
      </w:r>
      <w:r w:rsidRPr="00AB4ACE">
        <w:rPr>
          <w:rFonts w:cs="Arial"/>
          <w:u w:val="single"/>
          <w:rtl/>
        </w:rPr>
        <w:t>אמר רב חייא בריה דרב הונא</w:t>
      </w:r>
      <w:r w:rsidRPr="00AB4ACE">
        <w:rPr>
          <w:rFonts w:cs="Arial"/>
          <w:rtl/>
        </w:rPr>
        <w:t>: לא אסרה תורה אלא קדירה</w:t>
      </w:r>
      <w:r>
        <w:rPr>
          <w:rFonts w:cs="Arial" w:hint="cs"/>
          <w:rtl/>
        </w:rPr>
        <w:t xml:space="preserve"> </w:t>
      </w:r>
      <w:r w:rsidRPr="00426CD3">
        <w:rPr>
          <w:rFonts w:cs="Arial" w:hint="cs"/>
          <w:sz w:val="14"/>
          <w:szCs w:val="14"/>
          <w:rtl/>
        </w:rPr>
        <w:t>(עו.)</w:t>
      </w:r>
      <w:r>
        <w:rPr>
          <w:rFonts w:cs="Arial" w:hint="cs"/>
          <w:sz w:val="14"/>
          <w:szCs w:val="14"/>
          <w:rtl/>
        </w:rPr>
        <w:t xml:space="preserve"> </w:t>
      </w:r>
      <w:r w:rsidRPr="00AB4ACE">
        <w:rPr>
          <w:rFonts w:cs="Arial"/>
          <w:rtl/>
        </w:rPr>
        <w:t>בת יומא, דלאו נותן טעם לפגם הוא. מכאן ואילך לישתרי! גזירה קדירה שאינה בת יומא משום קדירה בת יומא.</w:t>
      </w:r>
    </w:p>
    <w:p w14:paraId="4267EE2F" w14:textId="77777777" w:rsidR="002C39F4" w:rsidRPr="00965779" w:rsidRDefault="002C39F4" w:rsidP="002C39F4">
      <w:pPr>
        <w:rPr>
          <w:rFonts w:cs="Arial"/>
          <w:u w:val="single"/>
          <w:rtl/>
        </w:rPr>
      </w:pPr>
      <w:r w:rsidRPr="00965779">
        <w:rPr>
          <w:rFonts w:cs="Arial" w:hint="cs"/>
          <w:u w:val="single"/>
          <w:rtl/>
        </w:rPr>
        <w:t xml:space="preserve">מהי קדרה </w:t>
      </w:r>
      <w:r w:rsidRPr="00965779">
        <w:rPr>
          <w:rFonts w:cs="Arial" w:hint="cs"/>
          <w:b/>
          <w:bCs/>
          <w:u w:val="single"/>
          <w:rtl/>
        </w:rPr>
        <w:t>שאינה</w:t>
      </w:r>
      <w:r>
        <w:rPr>
          <w:rFonts w:cs="Arial" w:hint="cs"/>
          <w:u w:val="single"/>
          <w:rtl/>
        </w:rPr>
        <w:t xml:space="preserve"> </w:t>
      </w:r>
      <w:r w:rsidRPr="00965779">
        <w:rPr>
          <w:rFonts w:cs="Arial" w:hint="cs"/>
          <w:u w:val="single"/>
          <w:rtl/>
        </w:rPr>
        <w:t>בת יומא:</w:t>
      </w:r>
    </w:p>
    <w:p w14:paraId="28295FA3" w14:textId="77777777" w:rsidR="002C39F4" w:rsidRPr="00A8763A" w:rsidRDefault="002C39F4" w:rsidP="0032102C">
      <w:pPr>
        <w:pStyle w:val="a8"/>
        <w:numPr>
          <w:ilvl w:val="0"/>
          <w:numId w:val="217"/>
        </w:numPr>
        <w:rPr>
          <w:rFonts w:cs="Arial"/>
          <w:rtl/>
        </w:rPr>
      </w:pPr>
      <w:r w:rsidRPr="00A8763A">
        <w:rPr>
          <w:rFonts w:cs="Arial" w:hint="cs"/>
          <w:rtl/>
        </w:rPr>
        <w:t xml:space="preserve">רש"י ר"ת </w:t>
      </w:r>
      <w:r>
        <w:rPr>
          <w:rFonts w:cs="Arial" w:hint="cs"/>
          <w:rtl/>
        </w:rPr>
        <w:t>ו</w:t>
      </w:r>
      <w:r w:rsidRPr="00A8763A">
        <w:rPr>
          <w:rFonts w:cs="Arial"/>
          <w:rtl/>
        </w:rPr>
        <w:t>ר"ן</w:t>
      </w:r>
      <w:r>
        <w:rPr>
          <w:rStyle w:val="a7"/>
          <w:rFonts w:cs="Arial"/>
          <w:rtl/>
        </w:rPr>
        <w:footnoteReference w:id="2095"/>
      </w:r>
      <w:r w:rsidRPr="00A8763A">
        <w:rPr>
          <w:rFonts w:cs="Arial" w:hint="cs"/>
          <w:rtl/>
        </w:rPr>
        <w:t xml:space="preserve">- </w:t>
      </w:r>
      <w:r w:rsidRPr="00A8763A">
        <w:rPr>
          <w:rFonts w:cs="Arial"/>
          <w:rtl/>
        </w:rPr>
        <w:t>כל תבשיל שלן לילה אחד נפגם טעמו ועובר צורתו</w:t>
      </w:r>
      <w:r w:rsidRPr="00A8763A">
        <w:rPr>
          <w:rFonts w:cs="Arial" w:hint="cs"/>
          <w:sz w:val="14"/>
          <w:szCs w:val="14"/>
          <w:rtl/>
        </w:rPr>
        <w:t xml:space="preserve"> (ל' רש"י [סז:])</w:t>
      </w:r>
      <w:r w:rsidRPr="00A8763A">
        <w:rPr>
          <w:rFonts w:cs="Arial" w:hint="cs"/>
          <w:rtl/>
        </w:rPr>
        <w:t xml:space="preserve">, </w:t>
      </w:r>
      <w:r w:rsidRPr="00A8763A">
        <w:rPr>
          <w:rFonts w:cs="Arial"/>
          <w:rtl/>
        </w:rPr>
        <w:t>ולא בעינן מעת לעת</w:t>
      </w:r>
      <w:r>
        <w:rPr>
          <w:rStyle w:val="a7"/>
          <w:rFonts w:cs="Arial"/>
          <w:rtl/>
        </w:rPr>
        <w:footnoteReference w:id="2096"/>
      </w:r>
      <w:r w:rsidRPr="00A8763A">
        <w:rPr>
          <w:rFonts w:cs="Arial" w:hint="cs"/>
          <w:rtl/>
        </w:rPr>
        <w:t>.</w:t>
      </w:r>
    </w:p>
    <w:p w14:paraId="5646AC88" w14:textId="77777777" w:rsidR="002C39F4" w:rsidRDefault="002C39F4" w:rsidP="0032102C">
      <w:pPr>
        <w:pStyle w:val="a8"/>
        <w:numPr>
          <w:ilvl w:val="0"/>
          <w:numId w:val="217"/>
        </w:numPr>
        <w:rPr>
          <w:rtl/>
        </w:rPr>
      </w:pPr>
      <w:r w:rsidRPr="00A8763A">
        <w:rPr>
          <w:rFonts w:cs="Arial" w:hint="cs"/>
          <w:rtl/>
        </w:rPr>
        <w:t>רשב"ם</w:t>
      </w:r>
      <w:r w:rsidRPr="00A8763A">
        <w:rPr>
          <w:rFonts w:cs="Arial"/>
          <w:rtl/>
        </w:rPr>
        <w:t xml:space="preserve"> </w:t>
      </w:r>
      <w:r>
        <w:rPr>
          <w:rFonts w:cs="Arial" w:hint="cs"/>
          <w:rtl/>
        </w:rPr>
        <w:t>ר"י</w:t>
      </w:r>
      <w:r>
        <w:rPr>
          <w:rFonts w:cs="Arial" w:hint="cs"/>
          <w:sz w:val="16"/>
          <w:szCs w:val="16"/>
          <w:rtl/>
        </w:rPr>
        <w:t xml:space="preserve"> </w:t>
      </w:r>
      <w:r>
        <w:rPr>
          <w:rFonts w:cs="Arial" w:hint="cs"/>
          <w:rtl/>
        </w:rPr>
        <w:t>סה"ת</w:t>
      </w:r>
      <w:r w:rsidRPr="00A8763A">
        <w:rPr>
          <w:rFonts w:cs="Arial"/>
          <w:rtl/>
        </w:rPr>
        <w:t xml:space="preserve"> </w:t>
      </w:r>
      <w:r>
        <w:rPr>
          <w:rFonts w:cs="Arial" w:hint="cs"/>
          <w:rtl/>
        </w:rPr>
        <w:t>רא"ש</w:t>
      </w:r>
      <w:r>
        <w:rPr>
          <w:rStyle w:val="a7"/>
          <w:rFonts w:cs="Arial"/>
          <w:rtl/>
        </w:rPr>
        <w:footnoteReference w:id="2097"/>
      </w:r>
      <w:r>
        <w:rPr>
          <w:rFonts w:cs="Arial" w:hint="cs"/>
          <w:rtl/>
        </w:rPr>
        <w:t xml:space="preserve"> וטור</w:t>
      </w:r>
      <w:r>
        <w:rPr>
          <w:rStyle w:val="a7"/>
          <w:rFonts w:cs="Arial"/>
          <w:rtl/>
        </w:rPr>
        <w:footnoteReference w:id="2098"/>
      </w:r>
      <w:r w:rsidRPr="00A8763A">
        <w:rPr>
          <w:rFonts w:cs="Arial" w:hint="cs"/>
          <w:rtl/>
        </w:rPr>
        <w:t xml:space="preserve">- </w:t>
      </w:r>
      <w:r w:rsidRPr="00A8763A">
        <w:rPr>
          <w:rFonts w:cs="Arial"/>
          <w:rtl/>
        </w:rPr>
        <w:t>ששהתה מעת לעת</w:t>
      </w:r>
      <w:r>
        <w:rPr>
          <w:rStyle w:val="a7"/>
          <w:rFonts w:cs="Arial"/>
          <w:rtl/>
        </w:rPr>
        <w:footnoteReference w:id="2099"/>
      </w:r>
      <w:r>
        <w:rPr>
          <w:rFonts w:cs="Arial" w:hint="cs"/>
          <w:rtl/>
        </w:rPr>
        <w:t>.</w:t>
      </w:r>
      <w:r>
        <w:rPr>
          <w:rFonts w:hint="cs"/>
          <w:rtl/>
        </w:rPr>
        <w:t xml:space="preserve"> </w:t>
      </w:r>
      <w:r w:rsidRPr="00F27D11">
        <w:rPr>
          <w:rFonts w:hint="cs"/>
          <w:color w:val="E36C0A" w:themeColor="accent6" w:themeShade="BF"/>
          <w:rtl/>
        </w:rPr>
        <w:t>(וכ"פ בשו"ע)</w:t>
      </w:r>
    </w:p>
    <w:p w14:paraId="7055BFB6" w14:textId="77777777" w:rsidR="002C39F4" w:rsidRDefault="002C39F4" w:rsidP="002C39F4">
      <w:pPr>
        <w:rPr>
          <w:rFonts w:cs="Arial"/>
          <w:rtl/>
        </w:rPr>
      </w:pPr>
      <w:r>
        <w:rPr>
          <w:rFonts w:cs="Arial" w:hint="cs"/>
          <w:b/>
          <w:bCs/>
          <w:rtl/>
        </w:rPr>
        <w:t xml:space="preserve">עבודה זרה עה ע"ב: </w:t>
      </w:r>
      <w:r w:rsidRPr="00EC743C">
        <w:rPr>
          <w:rFonts w:cs="Arial"/>
          <w:rtl/>
        </w:rPr>
        <w:t>וכולן שנשתמש בהן עד שלא יטביל ושלא יגעיל ושלא ילבן</w:t>
      </w:r>
      <w:r>
        <w:rPr>
          <w:rFonts w:cs="Arial" w:hint="cs"/>
          <w:rtl/>
        </w:rPr>
        <w:t>...</w:t>
      </w:r>
      <w:r w:rsidRPr="00EC743C">
        <w:rPr>
          <w:rFonts w:cs="Arial"/>
          <w:rtl/>
        </w:rPr>
        <w:t xml:space="preserve"> מותר</w:t>
      </w:r>
      <w:r>
        <w:rPr>
          <w:rFonts w:cs="Arial" w:hint="cs"/>
          <w:rtl/>
        </w:rPr>
        <w:t xml:space="preserve">.... </w:t>
      </w:r>
      <w:r w:rsidRPr="00EC743C">
        <w:rPr>
          <w:rFonts w:cs="Arial"/>
          <w:rtl/>
        </w:rPr>
        <w:t xml:space="preserve">כמאן דאמר נותן טעם לפגם - מותר. </w:t>
      </w:r>
      <w:r>
        <w:rPr>
          <w:rFonts w:cs="Arial" w:hint="cs"/>
          <w:rtl/>
        </w:rPr>
        <w:t xml:space="preserve"> </w:t>
      </w:r>
    </w:p>
    <w:p w14:paraId="24A88EF2" w14:textId="77777777" w:rsidR="002C39F4" w:rsidRPr="003B66B6" w:rsidRDefault="002C39F4" w:rsidP="002C39F4">
      <w:pPr>
        <w:rPr>
          <w:rFonts w:cs="Arial"/>
          <w:u w:val="single"/>
        </w:rPr>
      </w:pPr>
      <w:r>
        <w:rPr>
          <w:rFonts w:cs="Arial" w:hint="cs"/>
          <w:u w:val="single"/>
          <w:rtl/>
        </w:rPr>
        <w:t xml:space="preserve">קדירה שנתבשל בה איסור ואינה בת יומא </w:t>
      </w:r>
      <w:r>
        <w:rPr>
          <w:rFonts w:cs="Arial"/>
          <w:u w:val="single"/>
          <w:rtl/>
        </w:rPr>
        <w:t>–</w:t>
      </w:r>
      <w:r>
        <w:rPr>
          <w:rFonts w:cs="Arial" w:hint="cs"/>
          <w:u w:val="single"/>
          <w:rtl/>
        </w:rPr>
        <w:t xml:space="preserve"> ובישל בה בלא הדחה:</w:t>
      </w:r>
      <w:r w:rsidRPr="003B66B6">
        <w:rPr>
          <w:rFonts w:cs="Arial"/>
          <w:rtl/>
        </w:rPr>
        <w:t xml:space="preserve"> </w:t>
      </w:r>
    </w:p>
    <w:p w14:paraId="7180AE0E" w14:textId="77777777" w:rsidR="002C39F4" w:rsidRPr="003B66B6" w:rsidRDefault="002C39F4" w:rsidP="0032102C">
      <w:pPr>
        <w:pStyle w:val="a8"/>
        <w:numPr>
          <w:ilvl w:val="0"/>
          <w:numId w:val="218"/>
        </w:numPr>
      </w:pPr>
      <w:r w:rsidRPr="003B66B6">
        <w:rPr>
          <w:rFonts w:cs="Arial"/>
          <w:rtl/>
        </w:rPr>
        <w:t xml:space="preserve">רמב"ם </w:t>
      </w:r>
      <w:r w:rsidRPr="003B66B6">
        <w:rPr>
          <w:rFonts w:cs="Arial" w:hint="cs"/>
          <w:sz w:val="16"/>
          <w:szCs w:val="16"/>
          <w:rtl/>
        </w:rPr>
        <w:t>(</w:t>
      </w:r>
      <w:r w:rsidRPr="003B66B6">
        <w:rPr>
          <w:rFonts w:cs="Arial"/>
          <w:sz w:val="16"/>
          <w:szCs w:val="16"/>
          <w:rtl/>
        </w:rPr>
        <w:t xml:space="preserve">פי"ז </w:t>
      </w:r>
      <w:r>
        <w:rPr>
          <w:rFonts w:cs="Arial"/>
          <w:sz w:val="16"/>
          <w:szCs w:val="16"/>
          <w:rtl/>
        </w:rPr>
        <w:t>מהלמ"א</w:t>
      </w:r>
      <w:r w:rsidRPr="003B66B6">
        <w:rPr>
          <w:rFonts w:cs="Arial" w:hint="cs"/>
          <w:sz w:val="16"/>
          <w:szCs w:val="16"/>
          <w:rtl/>
        </w:rPr>
        <w:t xml:space="preserve"> </w:t>
      </w:r>
      <w:r w:rsidRPr="003B66B6">
        <w:rPr>
          <w:rFonts w:cs="Arial"/>
          <w:sz w:val="16"/>
          <w:szCs w:val="16"/>
          <w:rtl/>
        </w:rPr>
        <w:t>ה"ד</w:t>
      </w:r>
      <w:r w:rsidRPr="003B66B6">
        <w:rPr>
          <w:rFonts w:cs="Arial" w:hint="cs"/>
          <w:sz w:val="16"/>
          <w:szCs w:val="16"/>
          <w:rtl/>
        </w:rPr>
        <w:t>)</w:t>
      </w:r>
      <w:r w:rsidRPr="00871E7E">
        <w:rPr>
          <w:rFonts w:cs="Arial"/>
          <w:rtl/>
        </w:rPr>
        <w:t xml:space="preserve"> </w:t>
      </w:r>
      <w:r>
        <w:rPr>
          <w:rFonts w:cs="Arial" w:hint="cs"/>
          <w:rtl/>
        </w:rPr>
        <w:t>ו</w:t>
      </w:r>
      <w:r w:rsidRPr="003B66B6">
        <w:rPr>
          <w:rFonts w:cs="Arial"/>
          <w:rtl/>
        </w:rPr>
        <w:t>ר</w:t>
      </w:r>
      <w:r>
        <w:rPr>
          <w:rFonts w:cs="Arial" w:hint="cs"/>
          <w:rtl/>
        </w:rPr>
        <w:t>מב"ן</w:t>
      </w:r>
      <w:r w:rsidRPr="003B66B6">
        <w:rPr>
          <w:rFonts w:cs="Arial"/>
          <w:rtl/>
        </w:rPr>
        <w:t xml:space="preserve"> </w:t>
      </w:r>
      <w:r w:rsidRPr="003B66B6">
        <w:rPr>
          <w:rFonts w:cs="Arial" w:hint="cs"/>
          <w:sz w:val="16"/>
          <w:szCs w:val="16"/>
          <w:rtl/>
        </w:rPr>
        <w:t>(</w:t>
      </w:r>
      <w:r>
        <w:rPr>
          <w:rFonts w:cs="Arial" w:hint="cs"/>
          <w:sz w:val="16"/>
          <w:szCs w:val="16"/>
          <w:rtl/>
        </w:rPr>
        <w:t>עה:</w:t>
      </w:r>
      <w:r w:rsidRPr="003B66B6">
        <w:rPr>
          <w:rFonts w:cs="Arial"/>
          <w:sz w:val="16"/>
          <w:szCs w:val="16"/>
          <w:rtl/>
        </w:rPr>
        <w:t xml:space="preserve"> ד"ה </w:t>
      </w:r>
      <w:r>
        <w:rPr>
          <w:rFonts w:cs="Arial" w:hint="cs"/>
          <w:sz w:val="16"/>
          <w:szCs w:val="16"/>
          <w:rtl/>
        </w:rPr>
        <w:t>מדיחן</w:t>
      </w:r>
      <w:r w:rsidRPr="003B66B6">
        <w:rPr>
          <w:rFonts w:cs="Arial"/>
          <w:sz w:val="16"/>
          <w:szCs w:val="16"/>
          <w:rtl/>
        </w:rPr>
        <w:t>)</w:t>
      </w:r>
      <w:r>
        <w:rPr>
          <w:rFonts w:cs="Arial" w:hint="cs"/>
          <w:rtl/>
        </w:rPr>
        <w:t xml:space="preserve">- </w:t>
      </w:r>
      <w:r w:rsidRPr="003B66B6">
        <w:rPr>
          <w:rFonts w:cs="Arial"/>
          <w:rtl/>
        </w:rPr>
        <w:t>כולן שנשתמש בהן עד שלא הרתיח או עד שלא הדיח</w:t>
      </w:r>
      <w:r>
        <w:rPr>
          <w:rStyle w:val="a7"/>
          <w:rFonts w:cs="Arial"/>
          <w:rtl/>
        </w:rPr>
        <w:footnoteReference w:id="2100"/>
      </w:r>
      <w:r w:rsidRPr="003B66B6">
        <w:rPr>
          <w:rFonts w:cs="Arial"/>
          <w:rtl/>
        </w:rPr>
        <w:t xml:space="preserve"> ועד שלא הלבין ועד שלא הטביל מותר שכל השומן שבהן נותן טעם לפגם הוא כמו שביארנו</w:t>
      </w:r>
      <w:r>
        <w:rPr>
          <w:rFonts w:cs="Arial" w:hint="cs"/>
          <w:sz w:val="16"/>
          <w:szCs w:val="16"/>
          <w:rtl/>
        </w:rPr>
        <w:t xml:space="preserve"> (ל' הרמב"ם)</w:t>
      </w:r>
      <w:r>
        <w:rPr>
          <w:rFonts w:cs="Arial" w:hint="cs"/>
          <w:rtl/>
        </w:rPr>
        <w:t>.</w:t>
      </w:r>
    </w:p>
    <w:p w14:paraId="70A24E9C" w14:textId="77777777" w:rsidR="002C39F4" w:rsidRPr="00B2199F" w:rsidRDefault="002C39F4" w:rsidP="0032102C">
      <w:pPr>
        <w:pStyle w:val="a8"/>
        <w:numPr>
          <w:ilvl w:val="0"/>
          <w:numId w:val="218"/>
        </w:numPr>
        <w:rPr>
          <w:rtl/>
        </w:rPr>
      </w:pPr>
      <w:r w:rsidRPr="003B66B6">
        <w:rPr>
          <w:rFonts w:cs="Arial"/>
          <w:rtl/>
        </w:rPr>
        <w:t xml:space="preserve">רשב"א </w:t>
      </w:r>
      <w:r w:rsidRPr="003B66B6">
        <w:rPr>
          <w:rFonts w:cs="Arial" w:hint="cs"/>
          <w:sz w:val="16"/>
          <w:szCs w:val="16"/>
          <w:rtl/>
        </w:rPr>
        <w:t>(</w:t>
      </w:r>
      <w:r>
        <w:rPr>
          <w:rFonts w:cs="Arial" w:hint="cs"/>
          <w:sz w:val="16"/>
          <w:szCs w:val="16"/>
          <w:rtl/>
        </w:rPr>
        <w:t>תוה"א ב"ד ש"ד לה ג</w:t>
      </w:r>
      <w:r w:rsidRPr="003B66B6">
        <w:rPr>
          <w:rFonts w:cs="Arial" w:hint="cs"/>
          <w:sz w:val="16"/>
          <w:szCs w:val="16"/>
          <w:rtl/>
        </w:rPr>
        <w:t>)</w:t>
      </w:r>
      <w:r>
        <w:rPr>
          <w:rFonts w:cs="Arial" w:hint="cs"/>
          <w:rtl/>
        </w:rPr>
        <w:t xml:space="preserve"> וטור</w:t>
      </w:r>
      <w:r>
        <w:rPr>
          <w:rFonts w:cs="Arial" w:hint="cs"/>
          <w:sz w:val="16"/>
          <w:szCs w:val="16"/>
          <w:rtl/>
        </w:rPr>
        <w:t xml:space="preserve"> (סי' קכב)</w:t>
      </w:r>
      <w:r>
        <w:rPr>
          <w:rFonts w:cs="Arial" w:hint="cs"/>
          <w:rtl/>
        </w:rPr>
        <w:t xml:space="preserve">- </w:t>
      </w:r>
      <w:r w:rsidRPr="003B66B6">
        <w:rPr>
          <w:rFonts w:cs="Arial"/>
          <w:rtl/>
        </w:rPr>
        <w:t xml:space="preserve">אסור. </w:t>
      </w:r>
      <w:r w:rsidRPr="00F27D11">
        <w:rPr>
          <w:rFonts w:hint="cs"/>
          <w:color w:val="E36C0A" w:themeColor="accent6" w:themeShade="BF"/>
          <w:rtl/>
        </w:rPr>
        <w:t>(וכ"ס בשו"ע</w:t>
      </w:r>
      <w:r>
        <w:rPr>
          <w:rFonts w:hint="cs"/>
          <w:color w:val="E36C0A" w:themeColor="accent6" w:themeShade="BF"/>
          <w:sz w:val="16"/>
          <w:szCs w:val="16"/>
          <w:rtl/>
        </w:rPr>
        <w:t xml:space="preserve"> </w:t>
      </w:r>
      <w:r w:rsidRPr="00871E7E">
        <w:rPr>
          <w:rFonts w:hint="cs"/>
          <w:sz w:val="16"/>
          <w:szCs w:val="16"/>
          <w:rtl/>
        </w:rPr>
        <w:t>[</w:t>
      </w:r>
      <w:r>
        <w:rPr>
          <w:rFonts w:hint="cs"/>
          <w:sz w:val="16"/>
          <w:szCs w:val="16"/>
          <w:rtl/>
        </w:rPr>
        <w:t>כאן</w:t>
      </w:r>
      <w:r w:rsidRPr="00871E7E">
        <w:rPr>
          <w:rFonts w:hint="cs"/>
          <w:sz w:val="16"/>
          <w:szCs w:val="16"/>
          <w:rtl/>
        </w:rPr>
        <w:t xml:space="preserve"> </w:t>
      </w:r>
      <w:r>
        <w:rPr>
          <w:rFonts w:hint="cs"/>
          <w:sz w:val="16"/>
          <w:szCs w:val="16"/>
          <w:rtl/>
        </w:rPr>
        <w:t>ו</w:t>
      </w:r>
      <w:r w:rsidRPr="00871E7E">
        <w:rPr>
          <w:rFonts w:hint="cs"/>
          <w:sz w:val="16"/>
          <w:szCs w:val="16"/>
          <w:rtl/>
        </w:rPr>
        <w:t>בסי' קכב]</w:t>
      </w:r>
      <w:r w:rsidRPr="00F27D11">
        <w:rPr>
          <w:rFonts w:hint="cs"/>
          <w:color w:val="E36C0A" w:themeColor="accent6" w:themeShade="BF"/>
          <w:rtl/>
        </w:rPr>
        <w:t>)</w:t>
      </w:r>
      <w:r>
        <w:rPr>
          <w:rFonts w:hint="cs"/>
          <w:rtl/>
        </w:rPr>
        <w:t xml:space="preserve"> (וכ"פ ת"ח רש"ל לבוש ט"ז וש"ך</w:t>
      </w:r>
      <w:r>
        <w:rPr>
          <w:rStyle w:val="a7"/>
          <w:rtl/>
        </w:rPr>
        <w:footnoteReference w:id="2101"/>
      </w:r>
      <w:r>
        <w:rPr>
          <w:rFonts w:hint="cs"/>
          <w:rtl/>
        </w:rPr>
        <w:t xml:space="preserve">) </w:t>
      </w:r>
    </w:p>
    <w:p w14:paraId="1DAEBCD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39076C6" w14:textId="77777777" w:rsidR="002C39F4" w:rsidRDefault="002C39F4" w:rsidP="002C39F4">
      <w:pPr>
        <w:rPr>
          <w:rFonts w:asciiTheme="minorBidi" w:hAnsiTheme="minorBidi"/>
          <w:rtl/>
        </w:rPr>
      </w:pPr>
      <w:r w:rsidRPr="003024E5">
        <w:rPr>
          <w:rFonts w:asciiTheme="minorBidi" w:hAnsiTheme="minorBidi"/>
          <w:rtl/>
        </w:rPr>
        <w:t>כל קדרה שאינה בת יומא חשיבה טעמה לפגם ואינה אוסרת</w:t>
      </w:r>
      <w:r>
        <w:rPr>
          <w:rFonts w:asciiTheme="minorBidi" w:hAnsiTheme="minorBidi" w:hint="cs"/>
          <w:rtl/>
        </w:rPr>
        <w:t>,</w:t>
      </w:r>
      <w:r w:rsidRPr="003024E5">
        <w:rPr>
          <w:rFonts w:asciiTheme="minorBidi" w:hAnsiTheme="minorBidi"/>
          <w:rtl/>
        </w:rPr>
        <w:t xml:space="preserve"> ונקראת בת יומא כל זמן שלא שהתה מעת לעת אחר שנתבשל בה האיסור, וכיון שעבר עליה מעת לעת אחר שנתבשל בה האיסור אינה נקראת בת יומא</w:t>
      </w:r>
      <w:r>
        <w:rPr>
          <w:rFonts w:asciiTheme="minorBidi" w:hAnsiTheme="minorBidi" w:hint="cs"/>
          <w:rtl/>
        </w:rPr>
        <w:t>,</w:t>
      </w:r>
      <w:r w:rsidRPr="003024E5">
        <w:rPr>
          <w:rFonts w:asciiTheme="minorBidi" w:hAnsiTheme="minorBidi"/>
          <w:rtl/>
        </w:rPr>
        <w:t xml:space="preserve"> ואם בישל בה כשאינה בת יומא התבשיל מותר דהוי נותן טעם לפגם</w:t>
      </w:r>
      <w:r>
        <w:rPr>
          <w:rFonts w:asciiTheme="minorBidi" w:hAnsiTheme="minorBidi" w:hint="cs"/>
          <w:rtl/>
        </w:rPr>
        <w:t>,</w:t>
      </w:r>
      <w:r w:rsidRPr="003024E5">
        <w:rPr>
          <w:rFonts w:asciiTheme="minorBidi" w:hAnsiTheme="minorBidi"/>
          <w:rtl/>
        </w:rPr>
        <w:t xml:space="preserve"> והוא שתהיה מודחת שלא יהא שומן על פניה שאם לא הדיחה אוסר והרי היא כחתיכת איסור שלא נפגמה</w:t>
      </w:r>
      <w:r>
        <w:rPr>
          <w:rStyle w:val="a7"/>
          <w:rFonts w:asciiTheme="minorBidi" w:hAnsiTheme="minorBidi"/>
          <w:rtl/>
        </w:rPr>
        <w:footnoteReference w:id="2102"/>
      </w:r>
      <w:r>
        <w:rPr>
          <w:rFonts w:asciiTheme="minorBidi" w:hAnsiTheme="minorBidi" w:hint="cs"/>
          <w:rtl/>
        </w:rPr>
        <w:t>,</w:t>
      </w:r>
      <w:r w:rsidRPr="003024E5">
        <w:rPr>
          <w:rFonts w:asciiTheme="minorBidi" w:hAnsiTheme="minorBidi"/>
          <w:rtl/>
        </w:rPr>
        <w:t xml:space="preserve"> ויש מתירין אפילו בישל בה קודם שהדיחה.</w:t>
      </w:r>
      <w:r w:rsidRPr="00AB4ACE">
        <w:rPr>
          <w:rFonts w:asciiTheme="minorBidi" w:hAnsiTheme="minorBidi"/>
          <w:sz w:val="18"/>
          <w:szCs w:val="18"/>
          <w:rtl/>
        </w:rPr>
        <w:t xml:space="preserve"> הגה: ואם יש ס' נגד מה שדבוק עליו לכולי עלמא שרי מאחר דהקדירה אינה בת יומא</w:t>
      </w:r>
      <w:r>
        <w:rPr>
          <w:rStyle w:val="a7"/>
          <w:rFonts w:asciiTheme="minorBidi" w:hAnsiTheme="minorBidi"/>
          <w:sz w:val="18"/>
          <w:szCs w:val="18"/>
          <w:rtl/>
        </w:rPr>
        <w:footnoteReference w:id="2103"/>
      </w:r>
      <w:r>
        <w:rPr>
          <w:rFonts w:asciiTheme="minorBidi" w:hAnsiTheme="minorBidi" w:hint="cs"/>
          <w:sz w:val="18"/>
          <w:szCs w:val="18"/>
          <w:rtl/>
        </w:rPr>
        <w:t>,</w:t>
      </w:r>
      <w:r w:rsidRPr="00AB4ACE">
        <w:rPr>
          <w:rFonts w:asciiTheme="minorBidi" w:hAnsiTheme="minorBidi"/>
          <w:sz w:val="18"/>
          <w:szCs w:val="18"/>
          <w:rtl/>
        </w:rPr>
        <w:t xml:space="preserve"> והכי נהוג (או"ה).</w:t>
      </w:r>
      <w:r w:rsidRPr="003024E5">
        <w:rPr>
          <w:rFonts w:asciiTheme="minorBidi" w:hAnsiTheme="minorBidi"/>
          <w:rtl/>
        </w:rPr>
        <w:t xml:space="preserve"> </w:t>
      </w:r>
    </w:p>
    <w:p w14:paraId="682979DF" w14:textId="77777777" w:rsidR="002C39F4" w:rsidRPr="003024E5" w:rsidRDefault="002C39F4" w:rsidP="002C39F4">
      <w:pPr>
        <w:rPr>
          <w:rFonts w:asciiTheme="minorBidi" w:hAnsiTheme="minorBidi"/>
          <w:rtl/>
        </w:rPr>
      </w:pPr>
    </w:p>
    <w:p w14:paraId="1A354817"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דבר חריף שנתבשל בקדרה שאינה בת יומא.</w:t>
      </w:r>
    </w:p>
    <w:p w14:paraId="091B594D" w14:textId="77777777" w:rsidR="002C39F4" w:rsidRDefault="002C39F4" w:rsidP="002C39F4">
      <w:pPr>
        <w:rPr>
          <w:rFonts w:cs="Arial"/>
          <w:rtl/>
        </w:rPr>
      </w:pPr>
      <w:r w:rsidRPr="00DE597B">
        <w:rPr>
          <w:rFonts w:cs="Arial" w:hint="cs"/>
          <w:u w:val="single"/>
          <w:rtl/>
        </w:rPr>
        <w:t>דבר חריף שנתבשל בקדרה שאינה בת יומא:</w:t>
      </w:r>
    </w:p>
    <w:p w14:paraId="793D8243" w14:textId="77777777" w:rsidR="002C39F4" w:rsidRPr="00604474" w:rsidRDefault="002C39F4" w:rsidP="0032102C">
      <w:pPr>
        <w:pStyle w:val="a8"/>
        <w:numPr>
          <w:ilvl w:val="0"/>
          <w:numId w:val="219"/>
        </w:numPr>
      </w:pPr>
      <w:r w:rsidRPr="00DE597B">
        <w:rPr>
          <w:rFonts w:cs="Arial"/>
          <w:rtl/>
        </w:rPr>
        <w:t xml:space="preserve">אגור </w:t>
      </w:r>
      <w:r w:rsidRPr="00DE597B">
        <w:rPr>
          <w:rFonts w:cs="Arial"/>
          <w:sz w:val="16"/>
          <w:szCs w:val="16"/>
          <w:rtl/>
        </w:rPr>
        <w:t xml:space="preserve">(סי' אלף רנט) </w:t>
      </w:r>
      <w:r w:rsidRPr="00DE597B">
        <w:rPr>
          <w:rFonts w:cs="Arial"/>
          <w:rtl/>
        </w:rPr>
        <w:t xml:space="preserve">בשם המרדכי </w:t>
      </w:r>
      <w:r w:rsidRPr="00DE597B">
        <w:rPr>
          <w:rFonts w:cs="Arial"/>
          <w:sz w:val="16"/>
          <w:szCs w:val="16"/>
          <w:rtl/>
        </w:rPr>
        <w:t>(ע"ז סי' תתלה)</w:t>
      </w:r>
      <w:r w:rsidRPr="00DE597B">
        <w:rPr>
          <w:rFonts w:cs="Arial" w:hint="cs"/>
          <w:rtl/>
        </w:rPr>
        <w:t xml:space="preserve">- </w:t>
      </w:r>
      <w:r w:rsidRPr="00DE597B">
        <w:rPr>
          <w:rFonts w:cs="Arial"/>
          <w:rtl/>
        </w:rPr>
        <w:t>אם שמו פלפלין בקדרה של איסור שאינה בת יומא הכל אסור דחורפיה מחליא ליה לשבח</w:t>
      </w:r>
      <w:r w:rsidRPr="00604474">
        <w:rPr>
          <w:rStyle w:val="a7"/>
          <w:rFonts w:cs="Arial"/>
          <w:rtl/>
        </w:rPr>
        <w:footnoteReference w:id="2104"/>
      </w:r>
      <w:r>
        <w:rPr>
          <w:rFonts w:cs="Arial" w:hint="cs"/>
          <w:rtl/>
        </w:rPr>
        <w:t>.</w:t>
      </w:r>
      <w:r w:rsidRPr="00375D0A">
        <w:rPr>
          <w:rFonts w:cs="Arial" w:hint="cs"/>
          <w:color w:val="E36C0A" w:themeColor="accent6" w:themeShade="BF"/>
          <w:rtl/>
        </w:rPr>
        <w:t xml:space="preserve"> </w:t>
      </w:r>
      <w:r w:rsidRPr="005029EA">
        <w:rPr>
          <w:rFonts w:hint="cs"/>
          <w:color w:val="00B0F0"/>
          <w:rtl/>
        </w:rPr>
        <w:t>(וכ"פ הרמ"א</w:t>
      </w:r>
      <w:r w:rsidRPr="005029EA">
        <w:rPr>
          <w:rFonts w:hint="cs"/>
          <w:color w:val="00B0F0"/>
          <w:sz w:val="16"/>
          <w:szCs w:val="16"/>
          <w:rtl/>
        </w:rPr>
        <w:t xml:space="preserve"> </w:t>
      </w:r>
      <w:r>
        <w:rPr>
          <w:rFonts w:hint="cs"/>
          <w:sz w:val="16"/>
          <w:szCs w:val="16"/>
          <w:rtl/>
        </w:rPr>
        <w:t>[בסי' צה סע' ב ועוד]</w:t>
      </w:r>
      <w:r w:rsidRPr="005029EA">
        <w:rPr>
          <w:rFonts w:hint="cs"/>
          <w:color w:val="00B0F0"/>
          <w:rtl/>
        </w:rPr>
        <w:t>)</w:t>
      </w:r>
      <w:r>
        <w:rPr>
          <w:rFonts w:hint="cs"/>
          <w:color w:val="00B0F0"/>
          <w:rtl/>
        </w:rPr>
        <w:t xml:space="preserve"> </w:t>
      </w:r>
      <w:r>
        <w:rPr>
          <w:rFonts w:hint="cs"/>
          <w:rtl/>
        </w:rPr>
        <w:t>(וכ"פ הש"ך</w:t>
      </w:r>
      <w:r>
        <w:rPr>
          <w:rFonts w:hint="cs"/>
          <w:sz w:val="16"/>
          <w:szCs w:val="16"/>
          <w:rtl/>
        </w:rPr>
        <w:t xml:space="preserve"> [סי' צו סקי"ט ועוד]</w:t>
      </w:r>
      <w:r>
        <w:rPr>
          <w:rFonts w:hint="cs"/>
          <w:rtl/>
        </w:rPr>
        <w:t>)</w:t>
      </w:r>
    </w:p>
    <w:p w14:paraId="47BB336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3AF17EE" w14:textId="77777777" w:rsidR="002C39F4" w:rsidRDefault="002C39F4" w:rsidP="002C39F4">
      <w:pPr>
        <w:rPr>
          <w:rFonts w:asciiTheme="minorBidi" w:hAnsiTheme="minorBidi"/>
          <w:rtl/>
        </w:rPr>
      </w:pPr>
      <w:r w:rsidRPr="003024E5">
        <w:rPr>
          <w:rFonts w:asciiTheme="minorBidi" w:hAnsiTheme="minorBidi"/>
          <w:rtl/>
        </w:rPr>
        <w:t>יש מי שאומר שאם שמו פלפלין בקדרה של איסור שאינה בת יומא</w:t>
      </w:r>
      <w:r>
        <w:rPr>
          <w:rFonts w:asciiTheme="minorBidi" w:hAnsiTheme="minorBidi" w:hint="cs"/>
          <w:rtl/>
        </w:rPr>
        <w:t xml:space="preserve"> </w:t>
      </w:r>
      <w:r w:rsidRPr="003024E5">
        <w:rPr>
          <w:rFonts w:asciiTheme="minorBidi" w:hAnsiTheme="minorBidi"/>
          <w:rtl/>
        </w:rPr>
        <w:t>הכל אסור דחורפיה משויא ליה לשבח</w:t>
      </w:r>
      <w:r>
        <w:rPr>
          <w:rStyle w:val="a7"/>
          <w:rFonts w:asciiTheme="minorBidi" w:hAnsiTheme="minorBidi"/>
          <w:rtl/>
        </w:rPr>
        <w:footnoteReference w:id="2105"/>
      </w:r>
      <w:r w:rsidRPr="003024E5">
        <w:rPr>
          <w:rFonts w:asciiTheme="minorBidi" w:hAnsiTheme="minorBidi"/>
          <w:rtl/>
        </w:rPr>
        <w:t xml:space="preserve">. </w:t>
      </w:r>
    </w:p>
    <w:p w14:paraId="1F3603CB" w14:textId="77777777" w:rsidR="002C39F4" w:rsidRDefault="002C39F4" w:rsidP="002C39F4">
      <w:pPr>
        <w:rPr>
          <w:rFonts w:asciiTheme="minorBidi" w:hAnsiTheme="minorBidi"/>
          <w:rtl/>
        </w:rPr>
      </w:pPr>
    </w:p>
    <w:p w14:paraId="763C3FCF"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קדרה שנתבשלו בה בשר וחלב יחד ובתוך מעל"ע בושל בה מים.</w:t>
      </w:r>
    </w:p>
    <w:p w14:paraId="0068E9D4" w14:textId="77777777" w:rsidR="002C39F4" w:rsidRPr="00F949D3" w:rsidRDefault="002C39F4" w:rsidP="002C39F4">
      <w:pPr>
        <w:rPr>
          <w:u w:val="single"/>
          <w:rtl/>
        </w:rPr>
      </w:pPr>
      <w:r w:rsidRPr="00F949D3">
        <w:rPr>
          <w:rFonts w:hint="cs"/>
          <w:u w:val="single"/>
          <w:rtl/>
        </w:rPr>
        <w:t xml:space="preserve">קדרה שנתבשל בה </w:t>
      </w:r>
      <w:r w:rsidRPr="00431062">
        <w:rPr>
          <w:rFonts w:hint="cs"/>
          <w:b/>
          <w:bCs/>
          <w:u w:val="single"/>
          <w:rtl/>
        </w:rPr>
        <w:t>איסור</w:t>
      </w:r>
      <w:r>
        <w:rPr>
          <w:rStyle w:val="a7"/>
          <w:u w:val="single"/>
          <w:rtl/>
        </w:rPr>
        <w:footnoteReference w:id="2106"/>
      </w:r>
      <w:r w:rsidRPr="00F949D3">
        <w:rPr>
          <w:rFonts w:hint="cs"/>
          <w:u w:val="single"/>
          <w:rtl/>
        </w:rPr>
        <w:t xml:space="preserve"> ובתוך מעת לעת חממו בה מים:</w:t>
      </w:r>
    </w:p>
    <w:p w14:paraId="53DF26C8" w14:textId="77777777" w:rsidR="002C39F4" w:rsidRPr="00B0373E" w:rsidRDefault="002C39F4" w:rsidP="0032102C">
      <w:pPr>
        <w:pStyle w:val="a8"/>
        <w:numPr>
          <w:ilvl w:val="0"/>
          <w:numId w:val="219"/>
        </w:numPr>
        <w:rPr>
          <w:rFonts w:cs="Arial"/>
          <w:rtl/>
        </w:rPr>
      </w:pPr>
      <w:r w:rsidRPr="00B0373E">
        <w:rPr>
          <w:rFonts w:cs="Arial" w:hint="cs"/>
          <w:rtl/>
        </w:rPr>
        <w:t>סה"ת</w:t>
      </w:r>
      <w:r w:rsidRPr="00B0373E">
        <w:rPr>
          <w:rFonts w:cs="Arial"/>
          <w:rtl/>
        </w:rPr>
        <w:t xml:space="preserve"> </w:t>
      </w:r>
      <w:r w:rsidRPr="00B0373E">
        <w:rPr>
          <w:rFonts w:cs="Arial"/>
          <w:sz w:val="16"/>
          <w:szCs w:val="16"/>
          <w:rtl/>
        </w:rPr>
        <w:t>(סי' עה)</w:t>
      </w:r>
      <w:r w:rsidRPr="00B0373E">
        <w:rPr>
          <w:rFonts w:cs="Arial" w:hint="cs"/>
          <w:rtl/>
        </w:rPr>
        <w:t xml:space="preserve"> וטור-</w:t>
      </w:r>
      <w:r w:rsidRPr="00B0373E">
        <w:rPr>
          <w:rFonts w:cs="Arial"/>
          <w:rtl/>
        </w:rPr>
        <w:t xml:space="preserve"> שוה המים לבדן כמו האיסור עצמו</w:t>
      </w:r>
      <w:r w:rsidRPr="00B0373E">
        <w:rPr>
          <w:rFonts w:cs="Arial" w:hint="cs"/>
          <w:rtl/>
        </w:rPr>
        <w:t>,</w:t>
      </w:r>
      <w:r w:rsidRPr="00B0373E">
        <w:rPr>
          <w:rFonts w:cs="Arial"/>
          <w:rtl/>
        </w:rPr>
        <w:t xml:space="preserve"> דכל המים נעשו נבלה כיון שלא היה בהם ששים לבטל פליטת הכלי דבדידיה משערי</w:t>
      </w:r>
      <w:r w:rsidRPr="00B0373E">
        <w:rPr>
          <w:rFonts w:cs="Arial" w:hint="cs"/>
          <w:rtl/>
        </w:rPr>
        <w:t>נן</w:t>
      </w:r>
      <w:r w:rsidRPr="00B0373E">
        <w:rPr>
          <w:rFonts w:cs="Arial"/>
          <w:rtl/>
        </w:rPr>
        <w:t xml:space="preserve"> וחזרו ונבלעו</w:t>
      </w:r>
      <w:r w:rsidRPr="00B0373E">
        <w:rPr>
          <w:rFonts w:cs="Arial" w:hint="cs"/>
          <w:sz w:val="16"/>
          <w:szCs w:val="16"/>
          <w:rtl/>
        </w:rPr>
        <w:t xml:space="preserve"> </w:t>
      </w:r>
      <w:bookmarkStart w:id="8" w:name="_Hlk512258036"/>
      <w:r w:rsidRPr="00B0373E">
        <w:rPr>
          <w:rFonts w:cs="Arial" w:hint="cs"/>
          <w:sz w:val="16"/>
          <w:szCs w:val="16"/>
          <w:rtl/>
        </w:rPr>
        <w:t>(ל' סה"ת)</w:t>
      </w:r>
      <w:bookmarkEnd w:id="8"/>
      <w:r w:rsidRPr="00B0373E">
        <w:rPr>
          <w:rFonts w:cs="Arial" w:hint="cs"/>
          <w:rtl/>
        </w:rPr>
        <w:t>.</w:t>
      </w:r>
    </w:p>
    <w:p w14:paraId="32DFAC69" w14:textId="77777777" w:rsidR="002C39F4" w:rsidRDefault="002C39F4" w:rsidP="0032102C">
      <w:pPr>
        <w:pStyle w:val="a8"/>
        <w:numPr>
          <w:ilvl w:val="0"/>
          <w:numId w:val="219"/>
        </w:numPr>
        <w:rPr>
          <w:rFonts w:cs="Arial"/>
        </w:rPr>
      </w:pPr>
      <w:r w:rsidRPr="00F949D3">
        <w:rPr>
          <w:rFonts w:cs="Arial"/>
          <w:rtl/>
        </w:rPr>
        <w:t>סמ"ק</w:t>
      </w:r>
      <w:r w:rsidRPr="00F949D3">
        <w:rPr>
          <w:rFonts w:cs="Arial"/>
          <w:sz w:val="16"/>
          <w:szCs w:val="16"/>
          <w:rtl/>
        </w:rPr>
        <w:t xml:space="preserve"> (סי' ריג)</w:t>
      </w:r>
      <w:r w:rsidRPr="00F949D3">
        <w:rPr>
          <w:rFonts w:cs="Arial" w:hint="cs"/>
          <w:rtl/>
        </w:rPr>
        <w:t>-</w:t>
      </w:r>
      <w:r w:rsidRPr="00F949D3">
        <w:rPr>
          <w:rFonts w:cs="Arial"/>
          <w:rtl/>
        </w:rPr>
        <w:t xml:space="preserve"> </w:t>
      </w:r>
      <w:r>
        <w:rPr>
          <w:rStyle w:val="a7"/>
          <w:rFonts w:cs="Arial"/>
          <w:rtl/>
        </w:rPr>
        <w:footnoteReference w:id="2107"/>
      </w:r>
      <w:r w:rsidRPr="00F949D3">
        <w:rPr>
          <w:rFonts w:cs="Arial"/>
          <w:rtl/>
        </w:rPr>
        <w:t>יש הרבה מקילים בדין זה אחר שאין בגוף האיסור בן יומו אין להחשיבו כבן יומו</w:t>
      </w:r>
      <w:r w:rsidRPr="00F949D3">
        <w:rPr>
          <w:rFonts w:cs="Arial" w:hint="cs"/>
          <w:rtl/>
        </w:rPr>
        <w:t>.</w:t>
      </w:r>
    </w:p>
    <w:p w14:paraId="49E613A2" w14:textId="77777777" w:rsidR="002C39F4" w:rsidRPr="00F949D3" w:rsidRDefault="002C39F4" w:rsidP="0032102C">
      <w:pPr>
        <w:pStyle w:val="a8"/>
        <w:numPr>
          <w:ilvl w:val="1"/>
          <w:numId w:val="219"/>
        </w:numPr>
        <w:rPr>
          <w:rFonts w:cs="Arial"/>
          <w:rtl/>
        </w:rPr>
      </w:pPr>
      <w:r w:rsidRPr="00F949D3">
        <w:rPr>
          <w:rFonts w:cs="Arial" w:hint="cs"/>
          <w:rtl/>
        </w:rPr>
        <w:t xml:space="preserve">ב"י- </w:t>
      </w:r>
      <w:r w:rsidRPr="00F949D3">
        <w:rPr>
          <w:rFonts w:cs="Arial"/>
          <w:rtl/>
        </w:rPr>
        <w:t>לי נראה להתיר מפני שכבר כתבתי בסי</w:t>
      </w:r>
      <w:r>
        <w:rPr>
          <w:rFonts w:cs="Arial" w:hint="cs"/>
          <w:rtl/>
        </w:rPr>
        <w:t>'</w:t>
      </w:r>
      <w:r w:rsidRPr="00F949D3">
        <w:rPr>
          <w:rFonts w:cs="Arial"/>
          <w:rtl/>
        </w:rPr>
        <w:t xml:space="preserve"> צב </w:t>
      </w:r>
      <w:r w:rsidRPr="006D6622">
        <w:rPr>
          <w:rFonts w:cs="Arial"/>
          <w:sz w:val="16"/>
          <w:szCs w:val="16"/>
          <w:rtl/>
        </w:rPr>
        <w:t xml:space="preserve">(קמו: ד"ה ולענין הלכה) </w:t>
      </w:r>
      <w:r w:rsidRPr="00F949D3">
        <w:rPr>
          <w:rFonts w:cs="Arial"/>
          <w:rtl/>
        </w:rPr>
        <w:t>שדעת רוב הפוסקים בעלי הוראה מסכמת לדעת רבינו אפרים דלא אמרינן ח</w:t>
      </w:r>
      <w:r>
        <w:rPr>
          <w:rFonts w:cs="Arial" w:hint="cs"/>
          <w:rtl/>
        </w:rPr>
        <w:t>ענ"נ</w:t>
      </w:r>
      <w:r w:rsidRPr="00F949D3">
        <w:rPr>
          <w:rFonts w:cs="Arial"/>
          <w:rtl/>
        </w:rPr>
        <w:t xml:space="preserve"> אלא בבשר בחלב אבל לא בשאר איסורין</w:t>
      </w:r>
      <w:r>
        <w:rPr>
          <w:rFonts w:cs="Arial" w:hint="cs"/>
          <w:rtl/>
        </w:rPr>
        <w:t>,</w:t>
      </w:r>
      <w:r w:rsidRPr="00F949D3">
        <w:rPr>
          <w:rFonts w:cs="Arial"/>
          <w:rtl/>
        </w:rPr>
        <w:t xml:space="preserve"> ולפי דבריהם בקדרה בלועת איסור אפילו הוחמו בה מים בתוך מעל</w:t>
      </w:r>
      <w:r>
        <w:rPr>
          <w:rFonts w:cs="Arial" w:hint="cs"/>
          <w:rtl/>
        </w:rPr>
        <w:t>"</w:t>
      </w:r>
      <w:r w:rsidRPr="00F949D3">
        <w:rPr>
          <w:rFonts w:cs="Arial"/>
          <w:rtl/>
        </w:rPr>
        <w:t>ע לית לן בה ולעולם חשבינן המעת לעת מעת שבישל בה האיסור</w:t>
      </w:r>
      <w:r>
        <w:rPr>
          <w:rFonts w:cs="Arial" w:hint="cs"/>
          <w:rtl/>
        </w:rPr>
        <w:t xml:space="preserve">. </w:t>
      </w:r>
      <w:r w:rsidRPr="00A66BA9">
        <w:rPr>
          <w:rFonts w:cs="Arial" w:hint="cs"/>
          <w:color w:val="E36C0A" w:themeColor="accent6" w:themeShade="BF"/>
          <w:rtl/>
        </w:rPr>
        <w:t xml:space="preserve">(וכ"פ בשו"ע </w:t>
      </w:r>
      <w:r>
        <w:rPr>
          <w:rFonts w:cs="Arial" w:hint="cs"/>
          <w:sz w:val="16"/>
          <w:szCs w:val="16"/>
          <w:rtl/>
        </w:rPr>
        <w:t>[סי' קכב ס"ד]</w:t>
      </w:r>
      <w:r w:rsidRPr="00A66BA9">
        <w:rPr>
          <w:rFonts w:cs="Arial" w:hint="cs"/>
          <w:color w:val="E36C0A" w:themeColor="accent6" w:themeShade="BF"/>
          <w:rtl/>
        </w:rPr>
        <w:t>)</w:t>
      </w:r>
      <w:r>
        <w:rPr>
          <w:rFonts w:cs="Arial" w:hint="cs"/>
          <w:rtl/>
        </w:rPr>
        <w:t xml:space="preserve"> (וכ"פ הדרכ"מ</w:t>
      </w:r>
      <w:r>
        <w:rPr>
          <w:rStyle w:val="a7"/>
          <w:rFonts w:cs="Arial"/>
          <w:rtl/>
        </w:rPr>
        <w:footnoteReference w:id="2108"/>
      </w:r>
      <w:r>
        <w:rPr>
          <w:rFonts w:cs="Arial" w:hint="cs"/>
          <w:rtl/>
        </w:rPr>
        <w:t xml:space="preserve"> </w:t>
      </w:r>
      <w:r>
        <w:rPr>
          <w:rFonts w:cs="Arial" w:hint="cs"/>
          <w:sz w:val="16"/>
          <w:szCs w:val="16"/>
          <w:rtl/>
        </w:rPr>
        <w:t>[אות ב]</w:t>
      </w:r>
      <w:r>
        <w:rPr>
          <w:rFonts w:cs="Arial" w:hint="cs"/>
          <w:rtl/>
        </w:rPr>
        <w:t>)</w:t>
      </w:r>
    </w:p>
    <w:p w14:paraId="1A8BFF60" w14:textId="77777777" w:rsidR="002C39F4" w:rsidRPr="00784243" w:rsidRDefault="002C39F4" w:rsidP="002C39F4">
      <w:pPr>
        <w:ind w:left="360"/>
        <w:rPr>
          <w:u w:val="dotted"/>
        </w:rPr>
      </w:pPr>
      <w:r>
        <w:rPr>
          <w:rFonts w:hint="cs"/>
          <w:u w:val="dotted"/>
          <w:rtl/>
        </w:rPr>
        <w:t>מה הדין אם בישלו</w:t>
      </w:r>
      <w:r w:rsidRPr="00784243">
        <w:rPr>
          <w:rFonts w:hint="cs"/>
          <w:u w:val="dotted"/>
          <w:rtl/>
        </w:rPr>
        <w:t xml:space="preserve"> בה </w:t>
      </w:r>
      <w:r w:rsidRPr="00784243">
        <w:rPr>
          <w:rFonts w:hint="cs"/>
          <w:b/>
          <w:bCs/>
          <w:u w:val="dotted"/>
          <w:rtl/>
        </w:rPr>
        <w:t>בשר וחלב ביחד</w:t>
      </w:r>
      <w:r>
        <w:rPr>
          <w:rFonts w:hint="cs"/>
          <w:b/>
          <w:bCs/>
          <w:sz w:val="16"/>
          <w:szCs w:val="16"/>
          <w:u w:val="dotted"/>
          <w:rtl/>
        </w:rPr>
        <w:t xml:space="preserve"> (או בזה אחר זה בתוך מעל"ע)</w:t>
      </w:r>
      <w:r w:rsidRPr="00784243">
        <w:rPr>
          <w:rFonts w:hint="cs"/>
          <w:u w:val="dotted"/>
          <w:rtl/>
        </w:rPr>
        <w:t xml:space="preserve"> ובתוך מעת לעת חממו בה מים:</w:t>
      </w:r>
    </w:p>
    <w:p w14:paraId="07D0D155" w14:textId="77777777" w:rsidR="002C39F4" w:rsidRPr="006D6622" w:rsidRDefault="002C39F4" w:rsidP="0032102C">
      <w:pPr>
        <w:pStyle w:val="a8"/>
        <w:numPr>
          <w:ilvl w:val="0"/>
          <w:numId w:val="219"/>
        </w:numPr>
        <w:rPr>
          <w:rFonts w:cs="Arial"/>
        </w:rPr>
      </w:pPr>
      <w:r>
        <w:rPr>
          <w:rFonts w:cs="Arial" w:hint="cs"/>
          <w:rtl/>
        </w:rPr>
        <w:t xml:space="preserve">(סמ"ק </w:t>
      </w:r>
      <w:r>
        <w:rPr>
          <w:rFonts w:cs="Arial" w:hint="cs"/>
          <w:sz w:val="16"/>
          <w:szCs w:val="16"/>
          <w:rtl/>
        </w:rPr>
        <w:t>להב' הב"י</w:t>
      </w:r>
      <w:r>
        <w:rPr>
          <w:rFonts w:cs="Arial" w:hint="cs"/>
          <w:rtl/>
        </w:rPr>
        <w:t xml:space="preserve">)- </w:t>
      </w:r>
      <w:r>
        <w:rPr>
          <w:rStyle w:val="a7"/>
          <w:rFonts w:cs="Arial"/>
          <w:rtl/>
        </w:rPr>
        <w:footnoteReference w:id="2109"/>
      </w:r>
      <w:r w:rsidRPr="00F949D3">
        <w:rPr>
          <w:rFonts w:cs="Arial"/>
          <w:rtl/>
        </w:rPr>
        <w:t>כיון שאין שם גוף האיסור עצמו לא חמיר כולי האי לאסור הכלי להצריך למנות לו מעת לעת משעה שהוחמו בה המים</w:t>
      </w:r>
      <w:r>
        <w:rPr>
          <w:rFonts w:cs="Arial" w:hint="cs"/>
          <w:rtl/>
        </w:rPr>
        <w:t>.</w:t>
      </w:r>
    </w:p>
    <w:p w14:paraId="70FB59FB" w14:textId="77777777" w:rsidR="002C39F4" w:rsidRDefault="002C39F4" w:rsidP="0032102C">
      <w:pPr>
        <w:pStyle w:val="a8"/>
        <w:numPr>
          <w:ilvl w:val="0"/>
          <w:numId w:val="219"/>
        </w:numPr>
        <w:rPr>
          <w:rFonts w:cs="Arial"/>
        </w:rPr>
      </w:pPr>
      <w:r w:rsidRPr="00F949D3">
        <w:rPr>
          <w:rFonts w:cs="Arial" w:hint="cs"/>
          <w:rtl/>
        </w:rPr>
        <w:t xml:space="preserve">ב"י- </w:t>
      </w:r>
      <w:r w:rsidRPr="00F949D3">
        <w:rPr>
          <w:rFonts w:cs="Arial"/>
          <w:rtl/>
        </w:rPr>
        <w:t>לדברי הכל חשיב כאילו חזר ונתבשל בה האיסור ומונין מעת לעת משעה שהוחמו המים</w:t>
      </w:r>
      <w:r>
        <w:rPr>
          <w:rFonts w:cs="Arial" w:hint="cs"/>
          <w:rtl/>
        </w:rPr>
        <w:t>,</w:t>
      </w:r>
      <w:r w:rsidRPr="00F949D3">
        <w:rPr>
          <w:rFonts w:cs="Arial"/>
          <w:rtl/>
        </w:rPr>
        <w:t xml:space="preserve"> דהא כו</w:t>
      </w:r>
      <w:r>
        <w:rPr>
          <w:rFonts w:cs="Arial" w:hint="cs"/>
          <w:rtl/>
        </w:rPr>
        <w:t xml:space="preserve">"ע </w:t>
      </w:r>
      <w:r w:rsidRPr="00F949D3">
        <w:rPr>
          <w:rFonts w:cs="Arial"/>
          <w:rtl/>
        </w:rPr>
        <w:t>מודו שהמים נעשו חתיכת נבלה</w:t>
      </w:r>
      <w:r>
        <w:rPr>
          <w:rFonts w:cs="Arial" w:hint="cs"/>
          <w:rtl/>
        </w:rPr>
        <w:t>,</w:t>
      </w:r>
      <w:r w:rsidRPr="00F949D3">
        <w:rPr>
          <w:rFonts w:cs="Arial"/>
          <w:rtl/>
        </w:rPr>
        <w:t xml:space="preserve"> דבבשר בחלב לדברי הכל חתיכה עצמה נעשית נבלה</w:t>
      </w:r>
      <w:r w:rsidRPr="00F949D3">
        <w:rPr>
          <w:rFonts w:cs="Arial" w:hint="cs"/>
          <w:rtl/>
        </w:rPr>
        <w:t xml:space="preserve">. </w:t>
      </w:r>
      <w:r w:rsidRPr="00F949D3">
        <w:rPr>
          <w:rFonts w:cs="Arial"/>
          <w:rtl/>
        </w:rPr>
        <w:t>ונ</w:t>
      </w:r>
      <w:r>
        <w:rPr>
          <w:rFonts w:cs="Arial" w:hint="cs"/>
          <w:rtl/>
        </w:rPr>
        <w:t>"</w:t>
      </w:r>
      <w:r w:rsidRPr="00F949D3">
        <w:rPr>
          <w:rFonts w:cs="Arial"/>
          <w:rtl/>
        </w:rPr>
        <w:t>ל דאם כבר עבר עליו לילה אחת קודם שהוחמו המים אפילו בבלועה מבשר בחלב אין מונין מעת לעת אלא משעה שבשלו בה האיסור</w:t>
      </w:r>
      <w:r>
        <w:rPr>
          <w:rStyle w:val="a7"/>
          <w:rFonts w:cs="Arial"/>
          <w:rtl/>
        </w:rPr>
        <w:footnoteReference w:id="2110"/>
      </w:r>
      <w:r>
        <w:rPr>
          <w:rFonts w:cs="Arial" w:hint="cs"/>
          <w:rtl/>
        </w:rPr>
        <w:t>,</w:t>
      </w:r>
      <w:r w:rsidRPr="00F949D3">
        <w:rPr>
          <w:rFonts w:cs="Arial"/>
          <w:rtl/>
        </w:rPr>
        <w:t xml:space="preserve"> כיון דאיכא רבוותא דסברי שכבר אינה בת יומא</w:t>
      </w:r>
      <w:r>
        <w:rPr>
          <w:rStyle w:val="a7"/>
          <w:rFonts w:cs="Arial"/>
          <w:rtl/>
        </w:rPr>
        <w:footnoteReference w:id="2111"/>
      </w:r>
      <w:r>
        <w:rPr>
          <w:rFonts w:cs="Arial" w:hint="cs"/>
          <w:rtl/>
        </w:rPr>
        <w:t xml:space="preserve">. (וכ"פ הדרכ"מ </w:t>
      </w:r>
      <w:r>
        <w:rPr>
          <w:rFonts w:cs="Arial" w:hint="cs"/>
          <w:sz w:val="16"/>
          <w:szCs w:val="16"/>
          <w:rtl/>
        </w:rPr>
        <w:t>[אות ב]</w:t>
      </w:r>
      <w:r>
        <w:rPr>
          <w:rFonts w:cs="Arial" w:hint="cs"/>
          <w:rtl/>
        </w:rPr>
        <w:t>)(וכ"כ הט"ז</w:t>
      </w:r>
      <w:r>
        <w:rPr>
          <w:rFonts w:cs="Arial" w:hint="cs"/>
          <w:sz w:val="16"/>
          <w:szCs w:val="16"/>
          <w:rtl/>
        </w:rPr>
        <w:t xml:space="preserve"> [סק"י]</w:t>
      </w:r>
      <w:r>
        <w:rPr>
          <w:rFonts w:cs="Arial" w:hint="cs"/>
          <w:rtl/>
        </w:rPr>
        <w:t>)</w:t>
      </w:r>
    </w:p>
    <w:p w14:paraId="75B7E38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AA16B52" w14:textId="77777777" w:rsidR="002C39F4" w:rsidRPr="003024E5" w:rsidRDefault="002C39F4" w:rsidP="002C39F4">
      <w:pPr>
        <w:rPr>
          <w:rFonts w:asciiTheme="minorBidi" w:hAnsiTheme="minorBidi"/>
          <w:rtl/>
        </w:rPr>
      </w:pPr>
      <w:r w:rsidRPr="003024E5">
        <w:rPr>
          <w:rFonts w:asciiTheme="minorBidi" w:hAnsiTheme="minorBidi"/>
          <w:rtl/>
        </w:rPr>
        <w:t xml:space="preserve">קדרה שהיא בלועה מבשר וחלב שנתבשלו בה ביחד או בזה אחר זה וקודם שעבר לילה אחת הוחמו בה מים חשיבה בת יומא עד שתשהה מעת לעת משעה שהוחמו בה המים. </w:t>
      </w:r>
      <w:r w:rsidRPr="00AB4ACE">
        <w:rPr>
          <w:rFonts w:asciiTheme="minorBidi" w:hAnsiTheme="minorBidi"/>
          <w:sz w:val="18"/>
          <w:szCs w:val="18"/>
          <w:rtl/>
        </w:rPr>
        <w:t>הגה: אבל אם עברה לילה</w:t>
      </w:r>
      <w:r>
        <w:rPr>
          <w:rStyle w:val="a7"/>
          <w:rFonts w:asciiTheme="minorBidi" w:hAnsiTheme="minorBidi"/>
          <w:sz w:val="18"/>
          <w:szCs w:val="18"/>
          <w:rtl/>
        </w:rPr>
        <w:footnoteReference w:id="2112"/>
      </w:r>
      <w:r>
        <w:rPr>
          <w:rFonts w:asciiTheme="minorBidi" w:hAnsiTheme="minorBidi" w:hint="cs"/>
          <w:sz w:val="18"/>
          <w:szCs w:val="18"/>
          <w:rtl/>
        </w:rPr>
        <w:t xml:space="preserve"> </w:t>
      </w:r>
      <w:r w:rsidRPr="00AB4ACE">
        <w:rPr>
          <w:rFonts w:asciiTheme="minorBidi" w:hAnsiTheme="minorBidi"/>
          <w:sz w:val="18"/>
          <w:szCs w:val="18"/>
          <w:rtl/>
        </w:rPr>
        <w:t>מותר</w:t>
      </w:r>
      <w:r>
        <w:rPr>
          <w:rFonts w:asciiTheme="minorBidi" w:hAnsiTheme="minorBidi" w:hint="cs"/>
          <w:sz w:val="18"/>
          <w:szCs w:val="18"/>
          <w:rtl/>
        </w:rPr>
        <w:t xml:space="preserve"> </w:t>
      </w:r>
      <w:r w:rsidRPr="006D6622">
        <w:rPr>
          <w:rFonts w:asciiTheme="minorBidi" w:hAnsiTheme="minorBidi"/>
          <w:sz w:val="16"/>
          <w:szCs w:val="16"/>
          <w:rtl/>
        </w:rPr>
        <w:t>(ב"י</w:t>
      </w:r>
      <w:r>
        <w:rPr>
          <w:rFonts w:asciiTheme="minorBidi" w:hAnsiTheme="minorBidi" w:hint="cs"/>
          <w:sz w:val="16"/>
          <w:szCs w:val="16"/>
          <w:rtl/>
        </w:rPr>
        <w:t>)</w:t>
      </w:r>
      <w:r>
        <w:rPr>
          <w:rFonts w:asciiTheme="minorBidi" w:hAnsiTheme="minorBidi" w:hint="cs"/>
          <w:sz w:val="18"/>
          <w:szCs w:val="18"/>
          <w:rtl/>
        </w:rPr>
        <w:t>,</w:t>
      </w:r>
      <w:r w:rsidRPr="00AB4ACE">
        <w:rPr>
          <w:rFonts w:asciiTheme="minorBidi" w:hAnsiTheme="minorBidi"/>
          <w:sz w:val="18"/>
          <w:szCs w:val="18"/>
          <w:rtl/>
        </w:rPr>
        <w:t xml:space="preserve"> וכן אם עברה לילה בין בישול בשר לחלב אע</w:t>
      </w:r>
      <w:r>
        <w:rPr>
          <w:rFonts w:asciiTheme="minorBidi" w:hAnsiTheme="minorBidi" w:hint="cs"/>
          <w:sz w:val="18"/>
          <w:szCs w:val="18"/>
          <w:rtl/>
        </w:rPr>
        <w:t>"</w:t>
      </w:r>
      <w:r w:rsidRPr="00AB4ACE">
        <w:rPr>
          <w:rFonts w:asciiTheme="minorBidi" w:hAnsiTheme="minorBidi"/>
          <w:sz w:val="18"/>
          <w:szCs w:val="18"/>
          <w:rtl/>
        </w:rPr>
        <w:t>ג דאח"כ הוחמו המים מיד נמי דינא הכי</w:t>
      </w:r>
      <w:r>
        <w:rPr>
          <w:rFonts w:asciiTheme="minorBidi" w:hAnsiTheme="minorBidi" w:hint="cs"/>
          <w:sz w:val="18"/>
          <w:szCs w:val="18"/>
          <w:rtl/>
        </w:rPr>
        <w:t>,</w:t>
      </w:r>
      <w:r w:rsidRPr="00AB4ACE">
        <w:rPr>
          <w:rFonts w:asciiTheme="minorBidi" w:hAnsiTheme="minorBidi"/>
          <w:sz w:val="18"/>
          <w:szCs w:val="18"/>
          <w:rtl/>
        </w:rPr>
        <w:t xml:space="preserve"> וה"ה בכל האיסורים לפי מאי דקיימא לן בכל האיסורים חתיכה נעשית נבלה </w:t>
      </w:r>
      <w:r>
        <w:rPr>
          <w:rFonts w:asciiTheme="minorBidi" w:hAnsiTheme="minorBidi" w:hint="cs"/>
          <w:sz w:val="16"/>
          <w:szCs w:val="16"/>
          <w:rtl/>
        </w:rPr>
        <w:t>(</w:t>
      </w:r>
      <w:r w:rsidRPr="006D6622">
        <w:rPr>
          <w:rFonts w:asciiTheme="minorBidi" w:hAnsiTheme="minorBidi"/>
          <w:sz w:val="16"/>
          <w:szCs w:val="16"/>
          <w:rtl/>
        </w:rPr>
        <w:t>סברת הרב)</w:t>
      </w:r>
      <w:r w:rsidRPr="00AB4ACE">
        <w:rPr>
          <w:rFonts w:asciiTheme="minorBidi" w:hAnsiTheme="minorBidi"/>
          <w:sz w:val="18"/>
          <w:szCs w:val="18"/>
          <w:rtl/>
        </w:rPr>
        <w:t>. וע"ל סי</w:t>
      </w:r>
      <w:r>
        <w:rPr>
          <w:rFonts w:asciiTheme="minorBidi" w:hAnsiTheme="minorBidi" w:hint="cs"/>
          <w:sz w:val="18"/>
          <w:szCs w:val="18"/>
          <w:rtl/>
        </w:rPr>
        <w:t>'</w:t>
      </w:r>
      <w:r w:rsidRPr="00AB4ACE">
        <w:rPr>
          <w:rFonts w:asciiTheme="minorBidi" w:hAnsiTheme="minorBidi"/>
          <w:sz w:val="18"/>
          <w:szCs w:val="18"/>
          <w:rtl/>
        </w:rPr>
        <w:t xml:space="preserve"> צב. ובמקום הפסד</w:t>
      </w:r>
      <w:r>
        <w:rPr>
          <w:rStyle w:val="a7"/>
          <w:rFonts w:asciiTheme="minorBidi" w:hAnsiTheme="minorBidi"/>
          <w:sz w:val="18"/>
          <w:szCs w:val="18"/>
          <w:rtl/>
        </w:rPr>
        <w:footnoteReference w:id="2113"/>
      </w:r>
      <w:r w:rsidRPr="00AB4ACE">
        <w:rPr>
          <w:rFonts w:asciiTheme="minorBidi" w:hAnsiTheme="minorBidi"/>
          <w:sz w:val="18"/>
          <w:szCs w:val="18"/>
          <w:rtl/>
        </w:rPr>
        <w:t xml:space="preserve"> יש להתיר בכה"ג</w:t>
      </w:r>
      <w:r>
        <w:rPr>
          <w:rStyle w:val="a7"/>
          <w:rFonts w:asciiTheme="minorBidi" w:hAnsiTheme="minorBidi"/>
          <w:sz w:val="18"/>
          <w:szCs w:val="18"/>
          <w:rtl/>
        </w:rPr>
        <w:footnoteReference w:id="2114"/>
      </w:r>
      <w:r w:rsidRPr="00AB4ACE">
        <w:rPr>
          <w:rFonts w:asciiTheme="minorBidi" w:hAnsiTheme="minorBidi"/>
          <w:sz w:val="18"/>
          <w:szCs w:val="18"/>
          <w:rtl/>
        </w:rPr>
        <w:t xml:space="preserve"> בשאר איסורים בכל ענין, רק שיהיה מעת לעת מזמן בישול האיסור</w:t>
      </w:r>
      <w:r>
        <w:rPr>
          <w:rStyle w:val="a7"/>
          <w:rFonts w:asciiTheme="minorBidi" w:hAnsiTheme="minorBidi"/>
          <w:sz w:val="18"/>
          <w:szCs w:val="18"/>
          <w:rtl/>
        </w:rPr>
        <w:footnoteReference w:id="2115"/>
      </w:r>
      <w:r w:rsidRPr="00AB4ACE">
        <w:rPr>
          <w:rFonts w:asciiTheme="minorBidi" w:hAnsiTheme="minorBidi"/>
          <w:sz w:val="18"/>
          <w:szCs w:val="18"/>
          <w:rtl/>
        </w:rPr>
        <w:t>.</w:t>
      </w:r>
    </w:p>
    <w:p w14:paraId="0D9EED34" w14:textId="77777777" w:rsidR="002C39F4" w:rsidRPr="00D82BE1" w:rsidRDefault="002C39F4" w:rsidP="002C39F4">
      <w:pPr>
        <w:rPr>
          <w:rFonts w:asciiTheme="minorBidi" w:hAnsiTheme="minorBidi"/>
          <w:color w:val="FF0000"/>
          <w:rtl/>
        </w:rPr>
        <w:sectPr w:rsidR="002C39F4" w:rsidRPr="00D82BE1" w:rsidSect="004C5A3C">
          <w:footnotePr>
            <w:numRestart w:val="eachPage"/>
          </w:footnotePr>
          <w:pgSz w:w="11906" w:h="16838"/>
          <w:pgMar w:top="720" w:right="1134" w:bottom="720" w:left="1134" w:header="0" w:footer="0" w:gutter="0"/>
          <w:cols w:space="720"/>
          <w:bidi/>
          <w:rtlGutter/>
          <w:docGrid w:linePitch="360"/>
        </w:sectPr>
      </w:pPr>
      <w:r w:rsidRPr="00D82BE1">
        <w:rPr>
          <w:rFonts w:asciiTheme="minorBidi" w:hAnsiTheme="minorBidi" w:hint="cs"/>
          <w:color w:val="FF0000"/>
          <w:rtl/>
        </w:rPr>
        <w:t>צריך לקרוא (פעם ראשונה) בהדף אחרון לט"ז ובקונטרס אחרון להש"ך</w:t>
      </w:r>
    </w:p>
    <w:p w14:paraId="24FE9126"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קד: דין עכבר שנמצא ביין או בשכר, ובו ג' סעיפים. </w:t>
      </w:r>
    </w:p>
    <w:p w14:paraId="55132D8E"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עכבר שנפל לשמן או חומץ.</w:t>
      </w:r>
    </w:p>
    <w:p w14:paraId="5BC776C1" w14:textId="77777777" w:rsidR="002C39F4" w:rsidRPr="007F32A1" w:rsidRDefault="002C39F4" w:rsidP="002C39F4">
      <w:pPr>
        <w:rPr>
          <w:rFonts w:cs="Arial"/>
          <w:rtl/>
        </w:rPr>
      </w:pPr>
      <w:r>
        <w:rPr>
          <w:rFonts w:cs="Arial" w:hint="cs"/>
          <w:b/>
          <w:bCs/>
          <w:rtl/>
        </w:rPr>
        <w:t xml:space="preserve">עבודה זרה סח ע"ב: </w:t>
      </w:r>
      <w:r w:rsidRPr="00721FB8">
        <w:rPr>
          <w:rFonts w:cs="Arial"/>
          <w:rtl/>
        </w:rPr>
        <w:t>ההוא עכברא דנפל לחביתא דשיכרא, אסריה רב לההוא שיכרא</w:t>
      </w:r>
      <w:r>
        <w:rPr>
          <w:rFonts w:cs="Arial" w:hint="cs"/>
          <w:rtl/>
        </w:rPr>
        <w:t>.</w:t>
      </w:r>
      <w:r w:rsidRPr="00C81257">
        <w:rPr>
          <w:rtl/>
        </w:rPr>
        <w:t xml:space="preserve"> </w:t>
      </w:r>
      <w:r w:rsidRPr="00C81257">
        <w:rPr>
          <w:rFonts w:cs="Arial"/>
          <w:rtl/>
        </w:rPr>
        <w:t xml:space="preserve">אמרוה רבנן קמיה דרב ששת, נימא קסבר: נט"ל אסור! </w:t>
      </w:r>
      <w:r w:rsidRPr="00C81257">
        <w:rPr>
          <w:rFonts w:cs="Arial"/>
          <w:u w:val="single"/>
          <w:rtl/>
        </w:rPr>
        <w:t>אמר להו רב ששת</w:t>
      </w:r>
      <w:r>
        <w:rPr>
          <w:rFonts w:cs="Arial" w:hint="cs"/>
          <w:rtl/>
        </w:rPr>
        <w:t>:</w:t>
      </w:r>
      <w:r w:rsidRPr="00C81257">
        <w:rPr>
          <w:rFonts w:cs="Arial"/>
          <w:rtl/>
        </w:rPr>
        <w:t xml:space="preserve"> בעלמא סבר רב נט"ל מותר, והכא חידוש הוא, דהא מימאס מאיס ובדילי אינשי מיניה ואפילו הכי אסריה רחמנא, הלכך נט"ל נמי אסור.</w:t>
      </w:r>
      <w:r>
        <w:rPr>
          <w:rFonts w:cs="Arial" w:hint="cs"/>
          <w:rtl/>
        </w:rPr>
        <w:t xml:space="preserve">.. </w:t>
      </w:r>
      <w:r w:rsidRPr="00C81257">
        <w:rPr>
          <w:rFonts w:cs="Arial"/>
          <w:u w:val="single"/>
          <w:rtl/>
        </w:rPr>
        <w:t>מתקיף לה רב שימי מנהרדעא</w:t>
      </w:r>
      <w:r w:rsidRPr="00C81257">
        <w:rPr>
          <w:rFonts w:cs="Arial"/>
          <w:rtl/>
        </w:rPr>
        <w:t xml:space="preserve">: ומי מאיס? והלא עולה על שלחן של מלכים! </w:t>
      </w:r>
      <w:r w:rsidRPr="00C81257">
        <w:rPr>
          <w:rFonts w:cs="Arial"/>
          <w:u w:val="single"/>
          <w:rtl/>
        </w:rPr>
        <w:t>אמר רב שימי מנהרדעא</w:t>
      </w:r>
      <w:r w:rsidRPr="00C81257">
        <w:rPr>
          <w:rFonts w:cs="Arial"/>
          <w:rtl/>
        </w:rPr>
        <w:t>, לא קשיא: הא בדדברא, הא בדמתא</w:t>
      </w:r>
      <w:r>
        <w:rPr>
          <w:rStyle w:val="a7"/>
          <w:rFonts w:cs="Arial"/>
          <w:rtl/>
        </w:rPr>
        <w:footnoteReference w:id="2116"/>
      </w:r>
      <w:r w:rsidRPr="00C81257">
        <w:rPr>
          <w:rFonts w:cs="Arial"/>
          <w:rtl/>
        </w:rPr>
        <w:t>.</w:t>
      </w:r>
      <w:r w:rsidRPr="00721FB8">
        <w:rPr>
          <w:rFonts w:cs="Arial"/>
          <w:rtl/>
        </w:rPr>
        <w:t xml:space="preserve"> </w:t>
      </w:r>
      <w:r w:rsidRPr="00721FB8">
        <w:rPr>
          <w:rFonts w:cs="Arial"/>
          <w:u w:val="single"/>
          <w:rtl/>
        </w:rPr>
        <w:t>אמר רבא</w:t>
      </w:r>
      <w:r w:rsidRPr="00721FB8">
        <w:rPr>
          <w:rFonts w:cs="Arial"/>
          <w:rtl/>
        </w:rPr>
        <w:t xml:space="preserve">, הלכתא: נותן טעם לפגם </w:t>
      </w:r>
      <w:r>
        <w:rPr>
          <w:rFonts w:cs="Arial"/>
          <w:rtl/>
        </w:rPr>
        <w:t>–</w:t>
      </w:r>
      <w:r w:rsidRPr="00721FB8">
        <w:rPr>
          <w:rFonts w:cs="Arial"/>
          <w:rtl/>
        </w:rPr>
        <w:t xml:space="preserve"> מותר</w:t>
      </w:r>
      <w:r>
        <w:rPr>
          <w:rFonts w:cs="Arial" w:hint="cs"/>
          <w:rtl/>
        </w:rPr>
        <w:t>,</w:t>
      </w:r>
      <w:r w:rsidRPr="00721FB8">
        <w:rPr>
          <w:rFonts w:cs="Arial"/>
          <w:rtl/>
        </w:rPr>
        <w:t xml:space="preserve"> ועכברא בשיכרא לא ידענא מאי טעמא דרב, אי משום דקסבר: נותן טעם לפגם - אסור, ולית הלכתא כוותיה, אי משום דקסבר: נותן טעם לפגם - מותר, ועכברא בשיכרא אשבוחי משבח. איבעיא להו</w:t>
      </w:r>
      <w:r>
        <w:rPr>
          <w:rFonts w:cs="Arial" w:hint="cs"/>
          <w:rtl/>
        </w:rPr>
        <w:t xml:space="preserve">: </w:t>
      </w:r>
      <w:r w:rsidRPr="000461C1">
        <w:rPr>
          <w:rFonts w:cs="Arial" w:hint="cs"/>
          <w:sz w:val="14"/>
          <w:szCs w:val="14"/>
          <w:rtl/>
        </w:rPr>
        <w:t>(סט.)</w:t>
      </w:r>
      <w:r w:rsidRPr="00721FB8">
        <w:rPr>
          <w:rFonts w:cs="Arial"/>
          <w:rtl/>
        </w:rPr>
        <w:t xml:space="preserve"> נפל לגו חלא, מאי</w:t>
      </w:r>
      <w:r>
        <w:rPr>
          <w:rStyle w:val="a7"/>
          <w:rFonts w:cs="Arial"/>
          <w:rtl/>
        </w:rPr>
        <w:footnoteReference w:id="2117"/>
      </w:r>
      <w:r w:rsidRPr="00721FB8">
        <w:rPr>
          <w:rFonts w:cs="Arial"/>
          <w:rtl/>
        </w:rPr>
        <w:t xml:space="preserve">? </w:t>
      </w:r>
      <w:r w:rsidRPr="00721FB8">
        <w:rPr>
          <w:rFonts w:cs="Arial"/>
          <w:u w:val="single"/>
          <w:rtl/>
        </w:rPr>
        <w:t>א"ל רב הילל לרב אשי</w:t>
      </w:r>
      <w:r w:rsidRPr="00721FB8">
        <w:rPr>
          <w:rFonts w:cs="Arial"/>
          <w:rtl/>
        </w:rPr>
        <w:t xml:space="preserve">: הוה עובדא בי רב כהנא, ואסר רב כהנא. </w:t>
      </w:r>
      <w:r w:rsidRPr="00E15EB4">
        <w:rPr>
          <w:rFonts w:cs="Arial"/>
          <w:u w:val="single"/>
          <w:rtl/>
        </w:rPr>
        <w:t>א"ל</w:t>
      </w:r>
      <w:r w:rsidRPr="00721FB8">
        <w:rPr>
          <w:rFonts w:cs="Arial"/>
          <w:rtl/>
        </w:rPr>
        <w:t>: ההוא אימרטוטי אימרטט</w:t>
      </w:r>
      <w:r>
        <w:rPr>
          <w:rStyle w:val="a7"/>
          <w:rFonts w:cs="Arial"/>
          <w:rtl/>
        </w:rPr>
        <w:footnoteReference w:id="2118"/>
      </w:r>
      <w:r w:rsidRPr="00721FB8">
        <w:rPr>
          <w:rFonts w:cs="Arial"/>
          <w:rtl/>
        </w:rPr>
        <w:t>.</w:t>
      </w:r>
      <w:r>
        <w:rPr>
          <w:rFonts w:cs="Arial" w:hint="cs"/>
          <w:rtl/>
        </w:rPr>
        <w:t xml:space="preserve">.. </w:t>
      </w:r>
      <w:r w:rsidRPr="00721FB8">
        <w:rPr>
          <w:rFonts w:cs="Arial"/>
          <w:rtl/>
        </w:rPr>
        <w:t>והלכתא: אידי ואידי בשיתין</w:t>
      </w:r>
      <w:r>
        <w:rPr>
          <w:rStyle w:val="a7"/>
          <w:rFonts w:cs="Arial"/>
          <w:rtl/>
        </w:rPr>
        <w:footnoteReference w:id="2119"/>
      </w:r>
      <w:r w:rsidRPr="00721FB8">
        <w:rPr>
          <w:rFonts w:cs="Arial"/>
          <w:rtl/>
        </w:rPr>
        <w:t>, וכן כל איסורין שבתורה.</w:t>
      </w:r>
      <w:r>
        <w:rPr>
          <w:rFonts w:cs="Arial" w:hint="cs"/>
          <w:rtl/>
        </w:rPr>
        <w:t xml:space="preserve"> </w:t>
      </w:r>
      <w:r>
        <w:rPr>
          <w:rFonts w:cs="Arial" w:hint="cs"/>
          <w:sz w:val="16"/>
          <w:szCs w:val="16"/>
          <w:rtl/>
        </w:rPr>
        <w:t>(ו</w:t>
      </w:r>
      <w:r w:rsidRPr="007F32A1">
        <w:rPr>
          <w:rFonts w:cs="Arial"/>
          <w:sz w:val="16"/>
          <w:szCs w:val="16"/>
          <w:rtl/>
        </w:rPr>
        <w:t>כתבו הרי"ף (לב:) והרא"ש (פ"ה סי' יא) דחיישינן דילמא אשבוחי אשבח בחלא ובשכרא</w:t>
      </w:r>
      <w:r>
        <w:rPr>
          <w:rFonts w:cs="Arial" w:hint="cs"/>
          <w:sz w:val="16"/>
          <w:szCs w:val="16"/>
          <w:rtl/>
        </w:rPr>
        <w:t>,</w:t>
      </w:r>
      <w:r w:rsidRPr="007F32A1">
        <w:rPr>
          <w:rFonts w:cs="Arial"/>
          <w:sz w:val="16"/>
          <w:szCs w:val="16"/>
          <w:rtl/>
        </w:rPr>
        <w:t xml:space="preserve"> וכ</w:t>
      </w:r>
      <w:r w:rsidRPr="007F32A1">
        <w:rPr>
          <w:rFonts w:cs="Arial" w:hint="cs"/>
          <w:sz w:val="16"/>
          <w:szCs w:val="16"/>
          <w:rtl/>
        </w:rPr>
        <w:t>"</w:t>
      </w:r>
      <w:r w:rsidRPr="007F32A1">
        <w:rPr>
          <w:rFonts w:cs="Arial"/>
          <w:sz w:val="16"/>
          <w:szCs w:val="16"/>
          <w:rtl/>
        </w:rPr>
        <w:t xml:space="preserve">כ הרמב"ם </w:t>
      </w:r>
      <w:r w:rsidRPr="007F32A1">
        <w:rPr>
          <w:rFonts w:cs="Arial" w:hint="cs"/>
          <w:sz w:val="16"/>
          <w:szCs w:val="16"/>
          <w:rtl/>
        </w:rPr>
        <w:t>(</w:t>
      </w:r>
      <w:r w:rsidRPr="007F32A1">
        <w:rPr>
          <w:rFonts w:cs="Arial"/>
          <w:sz w:val="16"/>
          <w:szCs w:val="16"/>
          <w:rtl/>
        </w:rPr>
        <w:t xml:space="preserve">בפט"ו </w:t>
      </w:r>
      <w:r>
        <w:rPr>
          <w:rFonts w:cs="Arial"/>
          <w:sz w:val="16"/>
          <w:szCs w:val="16"/>
          <w:rtl/>
        </w:rPr>
        <w:t>מהלמ"א</w:t>
      </w:r>
      <w:r w:rsidRPr="007F32A1">
        <w:rPr>
          <w:rFonts w:cs="Arial" w:hint="cs"/>
          <w:sz w:val="16"/>
          <w:szCs w:val="16"/>
          <w:rtl/>
        </w:rPr>
        <w:t xml:space="preserve"> </w:t>
      </w:r>
      <w:r w:rsidRPr="007F32A1">
        <w:rPr>
          <w:rFonts w:cs="Arial"/>
          <w:sz w:val="16"/>
          <w:szCs w:val="16"/>
          <w:rtl/>
        </w:rPr>
        <w:t>הל"א)</w:t>
      </w:r>
      <w:r w:rsidRPr="007F32A1">
        <w:rPr>
          <w:rFonts w:cs="Arial" w:hint="cs"/>
          <w:sz w:val="16"/>
          <w:szCs w:val="16"/>
          <w:rtl/>
        </w:rPr>
        <w:t>,</w:t>
      </w:r>
      <w:r w:rsidRPr="007F32A1">
        <w:rPr>
          <w:rFonts w:cs="Arial"/>
          <w:sz w:val="16"/>
          <w:szCs w:val="16"/>
          <w:rtl/>
        </w:rPr>
        <w:t xml:space="preserve"> וכ</w:t>
      </w:r>
      <w:r w:rsidRPr="007F32A1">
        <w:rPr>
          <w:rFonts w:cs="Arial" w:hint="cs"/>
          <w:sz w:val="16"/>
          <w:szCs w:val="16"/>
          <w:rtl/>
        </w:rPr>
        <w:t>'</w:t>
      </w:r>
      <w:r w:rsidRPr="007F32A1">
        <w:rPr>
          <w:rFonts w:cs="Arial"/>
          <w:sz w:val="16"/>
          <w:szCs w:val="16"/>
          <w:rtl/>
        </w:rPr>
        <w:t xml:space="preserve"> הרא"ש (שם) תימה</w:t>
      </w:r>
      <w:r>
        <w:rPr>
          <w:rFonts w:cs="Arial" w:hint="cs"/>
          <w:sz w:val="16"/>
          <w:szCs w:val="16"/>
          <w:rtl/>
        </w:rPr>
        <w:t>,</w:t>
      </w:r>
      <w:r w:rsidRPr="007F32A1">
        <w:rPr>
          <w:rFonts w:cs="Arial"/>
          <w:sz w:val="16"/>
          <w:szCs w:val="16"/>
          <w:rtl/>
        </w:rPr>
        <w:t xml:space="preserve"> דהאי שכרא וחלא צונן הם למה נאסרו בנפילת עכבר וכי אם נפל זבוב ביין צונן אסור</w:t>
      </w:r>
      <w:r>
        <w:rPr>
          <w:rFonts w:cs="Arial" w:hint="cs"/>
          <w:sz w:val="16"/>
          <w:szCs w:val="16"/>
          <w:rtl/>
        </w:rPr>
        <w:t>,</w:t>
      </w:r>
      <w:r w:rsidRPr="007F32A1">
        <w:rPr>
          <w:rFonts w:cs="Arial"/>
          <w:sz w:val="16"/>
          <w:szCs w:val="16"/>
          <w:rtl/>
        </w:rPr>
        <w:t xml:space="preserve"> וי"ל ששהה בו זמן מרובה והוה ליה כמין כבוש ונפלט טעמו בשכר ובחומץ</w:t>
      </w:r>
      <w:r w:rsidRPr="007F32A1">
        <w:rPr>
          <w:rFonts w:cs="Arial" w:hint="cs"/>
          <w:sz w:val="16"/>
          <w:szCs w:val="16"/>
          <w:rtl/>
        </w:rPr>
        <w:t>,</w:t>
      </w:r>
      <w:r w:rsidRPr="007F32A1">
        <w:rPr>
          <w:rFonts w:cs="Arial"/>
          <w:sz w:val="16"/>
          <w:szCs w:val="16"/>
          <w:rtl/>
        </w:rPr>
        <w:t xml:space="preserve"> ולא פירשו התוספות כמה יעמוד בשכר ובחומץ דנחשביה כבוש כמבושל</w:t>
      </w:r>
      <w:r>
        <w:rPr>
          <w:rFonts w:cs="Arial" w:hint="cs"/>
          <w:sz w:val="16"/>
          <w:szCs w:val="16"/>
          <w:rtl/>
        </w:rPr>
        <w:t>,</w:t>
      </w:r>
      <w:r w:rsidRPr="007F32A1">
        <w:rPr>
          <w:rFonts w:cs="Arial"/>
          <w:sz w:val="16"/>
          <w:szCs w:val="16"/>
          <w:rtl/>
        </w:rPr>
        <w:t xml:space="preserve"> ושמעתי בשם ריצב"א דאם שהה בתוכו יום שלם מעת לעת נקרא כבוש ובולע ופולט כמבושל</w:t>
      </w:r>
      <w:r>
        <w:rPr>
          <w:rFonts w:cs="Arial" w:hint="cs"/>
          <w:sz w:val="16"/>
          <w:szCs w:val="16"/>
          <w:rtl/>
        </w:rPr>
        <w:t>, ע"כ</w:t>
      </w:r>
      <w:r w:rsidRPr="007F32A1">
        <w:rPr>
          <w:rFonts w:cs="Arial"/>
          <w:sz w:val="16"/>
          <w:szCs w:val="16"/>
          <w:rtl/>
        </w:rPr>
        <w:t xml:space="preserve">. </w:t>
      </w:r>
      <w:r>
        <w:rPr>
          <w:rFonts w:cs="Arial" w:hint="cs"/>
          <w:sz w:val="16"/>
          <w:szCs w:val="16"/>
          <w:rtl/>
        </w:rPr>
        <w:t xml:space="preserve">ולכן </w:t>
      </w:r>
      <w:r w:rsidRPr="000D3051">
        <w:rPr>
          <w:rFonts w:cs="Arial"/>
          <w:sz w:val="16"/>
          <w:szCs w:val="16"/>
          <w:rtl/>
        </w:rPr>
        <w:t>אפילו הסירו שלם צריך ששים כנגדו לבטל טעמו שפלט</w:t>
      </w:r>
      <w:r>
        <w:rPr>
          <w:rFonts w:cs="Arial" w:hint="cs"/>
          <w:sz w:val="16"/>
          <w:szCs w:val="16"/>
          <w:rtl/>
        </w:rPr>
        <w:t xml:space="preserve">, טור. </w:t>
      </w:r>
      <w:r w:rsidRPr="007F32A1">
        <w:rPr>
          <w:rFonts w:cs="Arial"/>
          <w:sz w:val="16"/>
          <w:szCs w:val="16"/>
          <w:rtl/>
        </w:rPr>
        <w:t>ועוד אכתוב בדין כבוש הרי הוא כמבושל בסימן קה</w:t>
      </w:r>
      <w:r w:rsidRPr="007F32A1">
        <w:rPr>
          <w:rFonts w:cs="Arial" w:hint="cs"/>
          <w:sz w:val="16"/>
          <w:szCs w:val="16"/>
          <w:rtl/>
        </w:rPr>
        <w:t>, ב"י)</w:t>
      </w:r>
    </w:p>
    <w:p w14:paraId="0E239F9C" w14:textId="77777777" w:rsidR="002C39F4" w:rsidRPr="00FB0C7E" w:rsidRDefault="002C39F4" w:rsidP="002C39F4">
      <w:pPr>
        <w:rPr>
          <w:rFonts w:cs="Arial"/>
          <w:u w:val="single"/>
          <w:rtl/>
        </w:rPr>
      </w:pPr>
      <w:r w:rsidRPr="00FB0C7E">
        <w:rPr>
          <w:rFonts w:cs="Arial" w:hint="cs"/>
          <w:u w:val="single"/>
          <w:rtl/>
        </w:rPr>
        <w:t xml:space="preserve">עכבר </w:t>
      </w:r>
      <w:r>
        <w:rPr>
          <w:rFonts w:cs="Arial" w:hint="cs"/>
          <w:u w:val="single"/>
          <w:rtl/>
        </w:rPr>
        <w:t>שנפל לשכר/חומץ ו</w:t>
      </w:r>
      <w:r w:rsidRPr="00FB0C7E">
        <w:rPr>
          <w:rFonts w:cs="Arial" w:hint="cs"/>
          <w:u w:val="single"/>
          <w:rtl/>
        </w:rPr>
        <w:t xml:space="preserve">נחתך לחתיכות דקות: </w:t>
      </w:r>
    </w:p>
    <w:p w14:paraId="07AEE0D1" w14:textId="77777777" w:rsidR="002C39F4" w:rsidRDefault="002C39F4" w:rsidP="0032102C">
      <w:pPr>
        <w:pStyle w:val="a8"/>
        <w:numPr>
          <w:ilvl w:val="0"/>
          <w:numId w:val="221"/>
        </w:numPr>
        <w:rPr>
          <w:rFonts w:cs="Arial"/>
        </w:rPr>
      </w:pPr>
      <w:r>
        <w:rPr>
          <w:rFonts w:cs="Arial"/>
          <w:rtl/>
        </w:rPr>
        <w:t xml:space="preserve">מרדכי </w:t>
      </w:r>
      <w:r w:rsidRPr="00FB0C7E">
        <w:rPr>
          <w:rFonts w:cs="Arial"/>
          <w:sz w:val="16"/>
          <w:szCs w:val="16"/>
          <w:rtl/>
        </w:rPr>
        <w:t xml:space="preserve">(סי' תתנה) </w:t>
      </w:r>
      <w:r>
        <w:rPr>
          <w:rFonts w:cs="Arial"/>
          <w:rtl/>
        </w:rPr>
        <w:t>הגה</w:t>
      </w:r>
      <w:r>
        <w:rPr>
          <w:rFonts w:cs="Arial" w:hint="cs"/>
          <w:rtl/>
        </w:rPr>
        <w:t xml:space="preserve">"מ </w:t>
      </w:r>
      <w:r w:rsidRPr="00FB0C7E">
        <w:rPr>
          <w:rFonts w:cs="Arial" w:hint="cs"/>
          <w:sz w:val="16"/>
          <w:szCs w:val="16"/>
          <w:rtl/>
        </w:rPr>
        <w:t>(</w:t>
      </w:r>
      <w:r w:rsidRPr="00FB0C7E">
        <w:rPr>
          <w:rFonts w:cs="Arial"/>
          <w:sz w:val="16"/>
          <w:szCs w:val="16"/>
          <w:rtl/>
        </w:rPr>
        <w:t>פט"ו ד</w:t>
      </w:r>
      <w:r w:rsidRPr="00FB0C7E">
        <w:rPr>
          <w:rFonts w:cs="Arial" w:hint="cs"/>
          <w:sz w:val="16"/>
          <w:szCs w:val="16"/>
          <w:rtl/>
        </w:rPr>
        <w:t>"ק</w:t>
      </w:r>
      <w:r w:rsidRPr="00FB0C7E">
        <w:rPr>
          <w:rFonts w:cs="Arial"/>
          <w:sz w:val="16"/>
          <w:szCs w:val="16"/>
          <w:rtl/>
        </w:rPr>
        <w:t xml:space="preserve"> אות לא)</w:t>
      </w:r>
      <w:r w:rsidRPr="00FB0C7E">
        <w:rPr>
          <w:rFonts w:cs="Arial" w:hint="cs"/>
          <w:sz w:val="16"/>
          <w:szCs w:val="16"/>
          <w:rtl/>
        </w:rPr>
        <w:t xml:space="preserve"> </w:t>
      </w:r>
      <w:r>
        <w:rPr>
          <w:rFonts w:cs="Arial" w:hint="cs"/>
          <w:rtl/>
        </w:rPr>
        <w:t>ו</w:t>
      </w:r>
      <w:r w:rsidRPr="00FB0C7E">
        <w:rPr>
          <w:rFonts w:cs="Arial" w:hint="cs"/>
          <w:rtl/>
        </w:rPr>
        <w:t xml:space="preserve">טור- </w:t>
      </w:r>
      <w:r w:rsidRPr="00FB0C7E">
        <w:rPr>
          <w:rFonts w:cs="Arial"/>
          <w:rtl/>
        </w:rPr>
        <w:t>אם נחתך בתוכו לחתיכות דקות ויכול לסננו במסננת בענין שלא ישאר ממנו בתוכו כלום טעמו בטל בששים</w:t>
      </w:r>
      <w:r>
        <w:rPr>
          <w:rFonts w:cs="Arial" w:hint="cs"/>
          <w:sz w:val="16"/>
          <w:szCs w:val="16"/>
          <w:rtl/>
        </w:rPr>
        <w:t xml:space="preserve"> (טור)</w:t>
      </w:r>
      <w:r>
        <w:rPr>
          <w:rFonts w:cs="Arial" w:hint="cs"/>
          <w:rtl/>
        </w:rPr>
        <w:t xml:space="preserve">, </w:t>
      </w:r>
      <w:r w:rsidRPr="00FB0C7E">
        <w:rPr>
          <w:rFonts w:cs="Arial"/>
          <w:rtl/>
        </w:rPr>
        <w:t>ו</w:t>
      </w:r>
      <w:r>
        <w:rPr>
          <w:rFonts w:cs="Arial" w:hint="cs"/>
          <w:rtl/>
        </w:rPr>
        <w:t>יסנן</w:t>
      </w:r>
      <w:r w:rsidRPr="00FB0C7E">
        <w:rPr>
          <w:rFonts w:cs="Arial"/>
          <w:rtl/>
        </w:rPr>
        <w:t xml:space="preserve"> במסננת של בגד שלא יעבור מן העכבר כלום</w:t>
      </w:r>
      <w:r>
        <w:rPr>
          <w:rFonts w:cs="Arial" w:hint="cs"/>
          <w:sz w:val="16"/>
          <w:szCs w:val="16"/>
          <w:rtl/>
        </w:rPr>
        <w:t xml:space="preserve"> (מרדכי)</w:t>
      </w:r>
      <w:r>
        <w:rPr>
          <w:rFonts w:cs="Arial" w:hint="cs"/>
          <w:rtl/>
        </w:rPr>
        <w:t>.</w:t>
      </w:r>
      <w:r w:rsidRPr="00FB0C7E">
        <w:rPr>
          <w:rFonts w:cs="Arial"/>
          <w:rtl/>
        </w:rPr>
        <w:t xml:space="preserve"> </w:t>
      </w:r>
    </w:p>
    <w:p w14:paraId="5AF36DCB" w14:textId="77777777" w:rsidR="002C39F4" w:rsidRPr="000D3051" w:rsidRDefault="002C39F4" w:rsidP="002C39F4">
      <w:pPr>
        <w:ind w:left="360"/>
        <w:rPr>
          <w:rFonts w:cs="Arial"/>
          <w:sz w:val="16"/>
          <w:szCs w:val="16"/>
        </w:rPr>
      </w:pPr>
      <w:r>
        <w:rPr>
          <w:rFonts w:cs="Arial" w:hint="cs"/>
          <w:u w:val="dotted"/>
          <w:rtl/>
        </w:rPr>
        <w:t>ומה הדין אם נתחתך בענין שאינו יכול לבררו/לסננו:</w:t>
      </w:r>
      <w:r>
        <w:rPr>
          <w:rFonts w:cs="Arial" w:hint="cs"/>
          <w:sz w:val="16"/>
          <w:szCs w:val="16"/>
          <w:rtl/>
        </w:rPr>
        <w:t xml:space="preserve">  (ב"י ודרכ"מ [אות א])</w:t>
      </w:r>
    </w:p>
    <w:p w14:paraId="47C7E39B" w14:textId="77777777" w:rsidR="002C39F4" w:rsidRDefault="002C39F4" w:rsidP="0032102C">
      <w:pPr>
        <w:pStyle w:val="a8"/>
        <w:numPr>
          <w:ilvl w:val="0"/>
          <w:numId w:val="221"/>
        </w:numPr>
        <w:rPr>
          <w:rFonts w:cs="Arial"/>
        </w:rPr>
      </w:pPr>
      <w:r>
        <w:rPr>
          <w:rFonts w:cs="Arial"/>
          <w:rtl/>
        </w:rPr>
        <w:t xml:space="preserve">מרדכי </w:t>
      </w:r>
      <w:r w:rsidRPr="00FB0C7E">
        <w:rPr>
          <w:rFonts w:cs="Arial"/>
          <w:sz w:val="16"/>
          <w:szCs w:val="16"/>
          <w:rtl/>
        </w:rPr>
        <w:t xml:space="preserve">(סי' תתנה) </w:t>
      </w:r>
      <w:r>
        <w:rPr>
          <w:rFonts w:cs="Arial"/>
          <w:rtl/>
        </w:rPr>
        <w:t>הגה</w:t>
      </w:r>
      <w:r>
        <w:rPr>
          <w:rFonts w:cs="Arial" w:hint="cs"/>
          <w:rtl/>
        </w:rPr>
        <w:t xml:space="preserve">"מ </w:t>
      </w:r>
      <w:r w:rsidRPr="00FB0C7E">
        <w:rPr>
          <w:rFonts w:cs="Arial" w:hint="cs"/>
          <w:sz w:val="16"/>
          <w:szCs w:val="16"/>
          <w:rtl/>
        </w:rPr>
        <w:t>(</w:t>
      </w:r>
      <w:r w:rsidRPr="00FB0C7E">
        <w:rPr>
          <w:rFonts w:cs="Arial"/>
          <w:sz w:val="16"/>
          <w:szCs w:val="16"/>
          <w:rtl/>
        </w:rPr>
        <w:t>פט"ו ד</w:t>
      </w:r>
      <w:r w:rsidRPr="00FB0C7E">
        <w:rPr>
          <w:rFonts w:cs="Arial" w:hint="cs"/>
          <w:sz w:val="16"/>
          <w:szCs w:val="16"/>
          <w:rtl/>
        </w:rPr>
        <w:t>"ק</w:t>
      </w:r>
      <w:r w:rsidRPr="00FB0C7E">
        <w:rPr>
          <w:rFonts w:cs="Arial"/>
          <w:sz w:val="16"/>
          <w:szCs w:val="16"/>
          <w:rtl/>
        </w:rPr>
        <w:t xml:space="preserve"> אות לא)</w:t>
      </w:r>
      <w:r w:rsidRPr="00FB0C7E">
        <w:rPr>
          <w:rFonts w:cs="Arial" w:hint="cs"/>
          <w:sz w:val="16"/>
          <w:szCs w:val="16"/>
          <w:rtl/>
        </w:rPr>
        <w:t xml:space="preserve"> </w:t>
      </w:r>
      <w:r>
        <w:rPr>
          <w:rFonts w:cs="Arial" w:hint="cs"/>
          <w:rtl/>
        </w:rPr>
        <w:t>ו</w:t>
      </w:r>
      <w:r w:rsidRPr="00FB0C7E">
        <w:rPr>
          <w:rFonts w:cs="Arial" w:hint="cs"/>
          <w:rtl/>
        </w:rPr>
        <w:t xml:space="preserve">טור- </w:t>
      </w:r>
      <w:r w:rsidRPr="009430EF">
        <w:rPr>
          <w:rFonts w:cs="Arial"/>
          <w:rtl/>
        </w:rPr>
        <w:t>אם נתחתך בענין שאינו יכול לבררו</w:t>
      </w:r>
      <w:r>
        <w:rPr>
          <w:rStyle w:val="a7"/>
          <w:rFonts w:cs="Arial"/>
          <w:rtl/>
        </w:rPr>
        <w:footnoteReference w:id="2120"/>
      </w:r>
      <w:r w:rsidRPr="009430EF">
        <w:rPr>
          <w:rFonts w:cs="Arial"/>
          <w:rtl/>
        </w:rPr>
        <w:t xml:space="preserve"> הכל אסור</w:t>
      </w:r>
      <w:r>
        <w:rPr>
          <w:rFonts w:cs="Arial" w:hint="cs"/>
          <w:rtl/>
        </w:rPr>
        <w:t>.</w:t>
      </w:r>
    </w:p>
    <w:p w14:paraId="5A73897F" w14:textId="77777777" w:rsidR="002C39F4" w:rsidRDefault="002C39F4" w:rsidP="0032102C">
      <w:pPr>
        <w:pStyle w:val="a8"/>
        <w:numPr>
          <w:ilvl w:val="0"/>
          <w:numId w:val="221"/>
        </w:numPr>
        <w:rPr>
          <w:rFonts w:cs="Arial"/>
        </w:rPr>
      </w:pPr>
      <w:r>
        <w:rPr>
          <w:rFonts w:cs="Arial" w:hint="cs"/>
          <w:rtl/>
        </w:rPr>
        <w:t>או</w:t>
      </w:r>
      <w:r>
        <w:rPr>
          <w:rFonts w:cs="Arial"/>
          <w:rtl/>
        </w:rPr>
        <w:t>"</w:t>
      </w:r>
      <w:r>
        <w:rPr>
          <w:rFonts w:cs="Arial" w:hint="cs"/>
          <w:rtl/>
        </w:rPr>
        <w:t>ה</w:t>
      </w:r>
      <w:r w:rsidRPr="009430EF">
        <w:rPr>
          <w:rFonts w:cs="Arial"/>
          <w:rtl/>
        </w:rPr>
        <w:t xml:space="preserve"> </w:t>
      </w:r>
      <w:r w:rsidRPr="0006386A">
        <w:rPr>
          <w:rFonts w:cs="Arial" w:hint="cs"/>
          <w:sz w:val="16"/>
          <w:szCs w:val="16"/>
          <w:rtl/>
        </w:rPr>
        <w:t>(</w:t>
      </w:r>
      <w:r w:rsidRPr="0006386A">
        <w:rPr>
          <w:rFonts w:cs="Arial"/>
          <w:sz w:val="16"/>
          <w:szCs w:val="16"/>
          <w:rtl/>
        </w:rPr>
        <w:t>כלל לב סוף ד</w:t>
      </w:r>
      <w:r w:rsidRPr="0006386A">
        <w:rPr>
          <w:rFonts w:cs="Arial" w:hint="cs"/>
          <w:sz w:val="16"/>
          <w:szCs w:val="16"/>
          <w:rtl/>
        </w:rPr>
        <w:t>"</w:t>
      </w:r>
      <w:r w:rsidRPr="0006386A">
        <w:rPr>
          <w:rFonts w:cs="Arial"/>
          <w:sz w:val="16"/>
          <w:szCs w:val="16"/>
          <w:rtl/>
        </w:rPr>
        <w:t>ט וד</w:t>
      </w:r>
      <w:r w:rsidRPr="0006386A">
        <w:rPr>
          <w:rFonts w:cs="Arial" w:hint="cs"/>
          <w:sz w:val="16"/>
          <w:szCs w:val="16"/>
          <w:rtl/>
        </w:rPr>
        <w:t>"</w:t>
      </w:r>
      <w:r w:rsidRPr="0006386A">
        <w:rPr>
          <w:rFonts w:cs="Arial"/>
          <w:sz w:val="16"/>
          <w:szCs w:val="16"/>
          <w:rtl/>
        </w:rPr>
        <w:t>י)</w:t>
      </w:r>
      <w:r>
        <w:rPr>
          <w:rFonts w:cs="Arial" w:hint="cs"/>
          <w:rtl/>
        </w:rPr>
        <w:t>-</w:t>
      </w:r>
      <w:r w:rsidRPr="009430EF">
        <w:rPr>
          <w:rFonts w:cs="Arial"/>
          <w:rtl/>
        </w:rPr>
        <w:t xml:space="preserve"> </w:t>
      </w:r>
      <w:r>
        <w:rPr>
          <w:rFonts w:cs="Arial" w:hint="cs"/>
          <w:rtl/>
        </w:rPr>
        <w:t xml:space="preserve">יש </w:t>
      </w:r>
      <w:r w:rsidRPr="009430EF">
        <w:rPr>
          <w:rFonts w:cs="Arial"/>
          <w:rtl/>
        </w:rPr>
        <w:t>חיל</w:t>
      </w:r>
      <w:r>
        <w:rPr>
          <w:rFonts w:cs="Arial" w:hint="cs"/>
          <w:rtl/>
        </w:rPr>
        <w:t>ו</w:t>
      </w:r>
      <w:r w:rsidRPr="009430EF">
        <w:rPr>
          <w:rFonts w:cs="Arial"/>
          <w:rtl/>
        </w:rPr>
        <w:t>ק בין משקה דאפשר לסננו ולכן אסור קודם הסינון דהוי כדשיל"</w:t>
      </w:r>
      <w:r>
        <w:rPr>
          <w:rFonts w:cs="Arial" w:hint="cs"/>
          <w:rtl/>
        </w:rPr>
        <w:t>מ,</w:t>
      </w:r>
      <w:r w:rsidRPr="009430EF">
        <w:rPr>
          <w:rFonts w:cs="Arial"/>
          <w:rtl/>
        </w:rPr>
        <w:t xml:space="preserve"> </w:t>
      </w:r>
      <w:r>
        <w:rPr>
          <w:rFonts w:cs="Arial" w:hint="cs"/>
          <w:rtl/>
        </w:rPr>
        <w:t xml:space="preserve">לבין </w:t>
      </w:r>
      <w:r w:rsidRPr="009430EF">
        <w:rPr>
          <w:rFonts w:cs="Arial"/>
          <w:rtl/>
        </w:rPr>
        <w:t xml:space="preserve">מאכל </w:t>
      </w:r>
      <w:r>
        <w:rPr>
          <w:rFonts w:cs="Arial" w:hint="cs"/>
          <w:rtl/>
        </w:rPr>
        <w:t>ד</w:t>
      </w:r>
      <w:r w:rsidRPr="009430EF">
        <w:rPr>
          <w:rFonts w:cs="Arial"/>
          <w:rtl/>
        </w:rPr>
        <w:t>מותר אפילו אם יש לחוש שנשאר בו איסור</w:t>
      </w:r>
      <w:r>
        <w:rPr>
          <w:rFonts w:cs="Arial" w:hint="cs"/>
          <w:rtl/>
        </w:rPr>
        <w:t>,</w:t>
      </w:r>
      <w:r w:rsidRPr="009430EF">
        <w:rPr>
          <w:rFonts w:cs="Arial"/>
          <w:rtl/>
        </w:rPr>
        <w:t xml:space="preserve"> כמו בשאר איסורין</w:t>
      </w:r>
      <w:r>
        <w:rPr>
          <w:rFonts w:cs="Arial" w:hint="cs"/>
          <w:rtl/>
        </w:rPr>
        <w:t>.</w:t>
      </w:r>
    </w:p>
    <w:p w14:paraId="1D6EC553" w14:textId="77777777" w:rsidR="002C39F4" w:rsidRPr="002A55DF" w:rsidRDefault="002C39F4" w:rsidP="002C39F4">
      <w:pPr>
        <w:ind w:left="360"/>
        <w:rPr>
          <w:rFonts w:cs="Arial"/>
          <w:u w:val="dotted"/>
        </w:rPr>
      </w:pPr>
      <w:r w:rsidRPr="002A55DF">
        <w:rPr>
          <w:rFonts w:cs="Arial" w:hint="cs"/>
          <w:u w:val="dotted"/>
          <w:rtl/>
        </w:rPr>
        <w:t xml:space="preserve">האם הדין כך </w:t>
      </w:r>
      <w:r>
        <w:rPr>
          <w:rFonts w:cs="Arial" w:hint="cs"/>
          <w:sz w:val="16"/>
          <w:szCs w:val="16"/>
          <w:u w:val="dotted"/>
          <w:rtl/>
        </w:rPr>
        <w:t>(שכשנחתך ואינו יכול לסננו - אסור)</w:t>
      </w:r>
      <w:r>
        <w:rPr>
          <w:rFonts w:cs="Arial" w:hint="cs"/>
          <w:u w:val="dotted"/>
          <w:rtl/>
        </w:rPr>
        <w:t xml:space="preserve"> </w:t>
      </w:r>
      <w:r w:rsidRPr="002A55DF">
        <w:rPr>
          <w:rFonts w:cs="Arial" w:hint="cs"/>
          <w:u w:val="dotted"/>
          <w:rtl/>
        </w:rPr>
        <w:t>דוקא בשרץ או גם בשאר איסורין:</w:t>
      </w:r>
    </w:p>
    <w:p w14:paraId="3D94C21E" w14:textId="77777777" w:rsidR="002C39F4" w:rsidRDefault="002C39F4" w:rsidP="0032102C">
      <w:pPr>
        <w:pStyle w:val="a8"/>
        <w:numPr>
          <w:ilvl w:val="0"/>
          <w:numId w:val="221"/>
        </w:numPr>
        <w:rPr>
          <w:rFonts w:cs="Arial"/>
        </w:rPr>
      </w:pPr>
      <w:r>
        <w:rPr>
          <w:rFonts w:cs="Arial" w:hint="cs"/>
          <w:rtl/>
        </w:rPr>
        <w:t xml:space="preserve">ר"ן </w:t>
      </w:r>
      <w:r w:rsidRPr="00E15EB4">
        <w:rPr>
          <w:rFonts w:cs="Arial"/>
          <w:sz w:val="16"/>
          <w:szCs w:val="16"/>
          <w:rtl/>
        </w:rPr>
        <w:t>(לב: ד"ה ההוא אימרטוטי)</w:t>
      </w:r>
      <w:r>
        <w:rPr>
          <w:rFonts w:cs="Arial" w:hint="cs"/>
          <w:rtl/>
        </w:rPr>
        <w:t>-</w:t>
      </w:r>
      <w:r w:rsidRPr="00E15EB4">
        <w:rPr>
          <w:rFonts w:cs="Arial"/>
          <w:rtl/>
        </w:rPr>
        <w:t xml:space="preserve"> </w:t>
      </w:r>
      <w:r w:rsidRPr="0041687A">
        <w:rPr>
          <w:rFonts w:cs="Arial" w:hint="cs"/>
          <w:rtl/>
        </w:rPr>
        <w:t>אין הבדל בין שרץ לשאר איסורין</w:t>
      </w:r>
      <w:r>
        <w:rPr>
          <w:rFonts w:cs="Arial" w:hint="cs"/>
          <w:rtl/>
        </w:rPr>
        <w:t>,</w:t>
      </w:r>
      <w:r w:rsidRPr="0041687A">
        <w:rPr>
          <w:rFonts w:cs="Arial" w:hint="cs"/>
          <w:rtl/>
        </w:rPr>
        <w:t xml:space="preserve"> </w:t>
      </w:r>
      <w:r>
        <w:rPr>
          <w:rFonts w:cs="Arial" w:hint="cs"/>
          <w:rtl/>
        </w:rPr>
        <w:t>ד</w:t>
      </w:r>
      <w:r w:rsidRPr="0041687A">
        <w:rPr>
          <w:rFonts w:cs="Arial"/>
          <w:rtl/>
        </w:rPr>
        <w:t>אף בשאר איסורין יש לחוש לפחות מכזית</w:t>
      </w:r>
      <w:r>
        <w:rPr>
          <w:rFonts w:cs="Arial" w:hint="cs"/>
          <w:rtl/>
        </w:rPr>
        <w:t>,</w:t>
      </w:r>
      <w:r w:rsidRPr="0041687A">
        <w:rPr>
          <w:rFonts w:cs="Arial"/>
          <w:rtl/>
        </w:rPr>
        <w:t xml:space="preserve"> דהא קי"ל כר' יוחנן דאמר בפרק בתרא דיומא</w:t>
      </w:r>
      <w:r w:rsidRPr="0041687A">
        <w:rPr>
          <w:rFonts w:cs="Arial"/>
          <w:sz w:val="16"/>
          <w:szCs w:val="16"/>
          <w:rtl/>
        </w:rPr>
        <w:t xml:space="preserve"> (עג</w:t>
      </w:r>
      <w:r w:rsidRPr="0041687A">
        <w:rPr>
          <w:rFonts w:cs="Arial" w:hint="cs"/>
          <w:sz w:val="16"/>
          <w:szCs w:val="16"/>
          <w:rtl/>
        </w:rPr>
        <w:t>:</w:t>
      </w:r>
      <w:r w:rsidRPr="0041687A">
        <w:rPr>
          <w:rFonts w:cs="Arial"/>
          <w:sz w:val="16"/>
          <w:szCs w:val="16"/>
          <w:rtl/>
        </w:rPr>
        <w:t xml:space="preserve">) </w:t>
      </w:r>
      <w:r w:rsidRPr="0041687A">
        <w:rPr>
          <w:rFonts w:cs="Arial"/>
          <w:rtl/>
        </w:rPr>
        <w:t>דחצי שיעור אסור מן התורה</w:t>
      </w:r>
      <w:r>
        <w:rPr>
          <w:rFonts w:cs="Arial" w:hint="cs"/>
          <w:rtl/>
        </w:rPr>
        <w:t>. (וכ"כ ב"י רש"ל</w:t>
      </w:r>
      <w:r>
        <w:rPr>
          <w:rStyle w:val="a7"/>
          <w:rFonts w:cs="Arial"/>
          <w:rtl/>
        </w:rPr>
        <w:footnoteReference w:id="2121"/>
      </w:r>
      <w:r>
        <w:rPr>
          <w:rFonts w:cs="Arial" w:hint="cs"/>
          <w:rtl/>
        </w:rPr>
        <w:t xml:space="preserve"> ט"ז ופר"ח)</w:t>
      </w:r>
    </w:p>
    <w:p w14:paraId="0EE7BEE3" w14:textId="77777777" w:rsidR="002C39F4" w:rsidRDefault="002C39F4" w:rsidP="0032102C">
      <w:pPr>
        <w:pStyle w:val="a8"/>
        <w:numPr>
          <w:ilvl w:val="0"/>
          <w:numId w:val="221"/>
        </w:numPr>
        <w:rPr>
          <w:rFonts w:cs="Arial"/>
        </w:rPr>
      </w:pPr>
      <w:r>
        <w:rPr>
          <w:rFonts w:cs="Arial" w:hint="cs"/>
          <w:rtl/>
        </w:rPr>
        <w:t xml:space="preserve">(טור </w:t>
      </w:r>
      <w:r w:rsidRPr="002A55DF">
        <w:rPr>
          <w:rFonts w:cs="Arial" w:hint="cs"/>
          <w:sz w:val="16"/>
          <w:szCs w:val="16"/>
          <w:rtl/>
        </w:rPr>
        <w:t>להב' הש"ך</w:t>
      </w:r>
      <w:r>
        <w:rPr>
          <w:rFonts w:cs="Arial" w:hint="cs"/>
          <w:sz w:val="14"/>
          <w:szCs w:val="14"/>
          <w:rtl/>
        </w:rPr>
        <w:t xml:space="preserve"> [סק"ב]</w:t>
      </w:r>
      <w:r>
        <w:rPr>
          <w:rFonts w:cs="Arial" w:hint="cs"/>
          <w:rtl/>
        </w:rPr>
        <w:t>) ואו</w:t>
      </w:r>
      <w:r>
        <w:rPr>
          <w:rFonts w:cs="Arial"/>
          <w:rtl/>
        </w:rPr>
        <w:t>"</w:t>
      </w:r>
      <w:r>
        <w:rPr>
          <w:rFonts w:cs="Arial" w:hint="cs"/>
          <w:rtl/>
        </w:rPr>
        <w:t>ה</w:t>
      </w:r>
      <w:r w:rsidRPr="009430EF">
        <w:rPr>
          <w:rFonts w:cs="Arial"/>
          <w:rtl/>
        </w:rPr>
        <w:t xml:space="preserve"> </w:t>
      </w:r>
      <w:r w:rsidRPr="0006386A">
        <w:rPr>
          <w:rFonts w:cs="Arial" w:hint="cs"/>
          <w:sz w:val="16"/>
          <w:szCs w:val="16"/>
          <w:rtl/>
        </w:rPr>
        <w:t>(</w:t>
      </w:r>
      <w:r w:rsidRPr="0006386A">
        <w:rPr>
          <w:rFonts w:cs="Arial"/>
          <w:sz w:val="16"/>
          <w:szCs w:val="16"/>
          <w:rtl/>
        </w:rPr>
        <w:t>כלל לב ד</w:t>
      </w:r>
      <w:r w:rsidRPr="0006386A">
        <w:rPr>
          <w:rFonts w:cs="Arial" w:hint="cs"/>
          <w:sz w:val="16"/>
          <w:szCs w:val="16"/>
          <w:rtl/>
        </w:rPr>
        <w:t>"</w:t>
      </w:r>
      <w:r w:rsidRPr="0006386A">
        <w:rPr>
          <w:rFonts w:cs="Arial"/>
          <w:sz w:val="16"/>
          <w:szCs w:val="16"/>
          <w:rtl/>
        </w:rPr>
        <w:t>ט</w:t>
      </w:r>
      <w:r>
        <w:rPr>
          <w:rFonts w:cs="Arial" w:hint="cs"/>
          <w:sz w:val="16"/>
          <w:szCs w:val="16"/>
          <w:rtl/>
        </w:rPr>
        <w:t>-י</w:t>
      </w:r>
      <w:r w:rsidRPr="0006386A">
        <w:rPr>
          <w:rFonts w:cs="Arial"/>
          <w:sz w:val="16"/>
          <w:szCs w:val="16"/>
          <w:rtl/>
        </w:rPr>
        <w:t>)</w:t>
      </w:r>
      <w:r>
        <w:rPr>
          <w:rFonts w:cs="Arial" w:hint="cs"/>
          <w:rtl/>
        </w:rPr>
        <w:t>-</w:t>
      </w:r>
      <w:r w:rsidRPr="009430EF">
        <w:rPr>
          <w:rFonts w:cs="Arial"/>
          <w:rtl/>
        </w:rPr>
        <w:t xml:space="preserve"> אין לחוש רק בשרץ דיש לחוש שמא ישאר בו כעדשה שהוא שיעור טומאתו הואיל ותחלת ברייתו הוי כעדשה מקרי בריה</w:t>
      </w:r>
      <w:r>
        <w:rPr>
          <w:rStyle w:val="a7"/>
          <w:rFonts w:cs="Arial"/>
          <w:rtl/>
        </w:rPr>
        <w:footnoteReference w:id="2122"/>
      </w:r>
      <w:r w:rsidRPr="009430EF">
        <w:rPr>
          <w:rFonts w:cs="Arial"/>
          <w:rtl/>
        </w:rPr>
        <w:t xml:space="preserve"> ואינו בטל משא"כ בשאר איסורין</w:t>
      </w:r>
      <w:r>
        <w:rPr>
          <w:rStyle w:val="a7"/>
          <w:rFonts w:cs="Arial"/>
          <w:rtl/>
        </w:rPr>
        <w:footnoteReference w:id="2123"/>
      </w:r>
      <w:r>
        <w:rPr>
          <w:rFonts w:cs="Arial" w:hint="cs"/>
          <w:sz w:val="16"/>
          <w:szCs w:val="16"/>
          <w:rtl/>
        </w:rPr>
        <w:t>(ל' הדרכ"מ)</w:t>
      </w:r>
      <w:r>
        <w:rPr>
          <w:rFonts w:cs="Arial" w:hint="cs"/>
          <w:rtl/>
        </w:rPr>
        <w:t>.</w:t>
      </w:r>
      <w:r w:rsidRPr="00995D20">
        <w:rPr>
          <w:rFonts w:cs="Arial" w:hint="cs"/>
          <w:color w:val="00B0F0"/>
          <w:rtl/>
        </w:rPr>
        <w:t xml:space="preserve"> (וכ"פ הרמ"א)</w:t>
      </w:r>
      <w:r>
        <w:rPr>
          <w:rFonts w:cs="Arial" w:hint="cs"/>
          <w:color w:val="00B0F0"/>
          <w:rtl/>
        </w:rPr>
        <w:t xml:space="preserve"> </w:t>
      </w:r>
      <w:r>
        <w:rPr>
          <w:rFonts w:cs="Arial" w:hint="cs"/>
          <w:rtl/>
        </w:rPr>
        <w:t>(וכ"פ הש"ך</w:t>
      </w:r>
      <w:r>
        <w:rPr>
          <w:rFonts w:cs="Arial" w:hint="cs"/>
          <w:sz w:val="16"/>
          <w:szCs w:val="16"/>
          <w:rtl/>
        </w:rPr>
        <w:t xml:space="preserve"> [סק"ב]</w:t>
      </w:r>
      <w:r>
        <w:rPr>
          <w:rFonts w:cs="Arial" w:hint="cs"/>
          <w:rtl/>
        </w:rPr>
        <w:t>)</w:t>
      </w:r>
    </w:p>
    <w:p w14:paraId="6B92B09A" w14:textId="77777777" w:rsidR="002C39F4" w:rsidRPr="00FB0C7E" w:rsidRDefault="002C39F4" w:rsidP="002C39F4">
      <w:pPr>
        <w:rPr>
          <w:rFonts w:cs="Arial"/>
          <w:u w:val="single"/>
          <w:rtl/>
        </w:rPr>
      </w:pPr>
      <w:r w:rsidRPr="00FB0C7E">
        <w:rPr>
          <w:rFonts w:cs="Arial" w:hint="cs"/>
          <w:u w:val="single"/>
          <w:rtl/>
        </w:rPr>
        <w:t>עכבר שנפל לשמן ונימוח:</w:t>
      </w:r>
    </w:p>
    <w:p w14:paraId="758DEF3D" w14:textId="77777777" w:rsidR="002C39F4" w:rsidRDefault="002C39F4" w:rsidP="0032102C">
      <w:pPr>
        <w:pStyle w:val="a8"/>
        <w:numPr>
          <w:ilvl w:val="0"/>
          <w:numId w:val="221"/>
        </w:numPr>
        <w:rPr>
          <w:rtl/>
        </w:rPr>
      </w:pPr>
      <w:r w:rsidRPr="00FB0C7E">
        <w:rPr>
          <w:rFonts w:cs="Arial"/>
          <w:rtl/>
        </w:rPr>
        <w:t>גאון</w:t>
      </w:r>
      <w:r w:rsidRPr="00FB0C7E">
        <w:rPr>
          <w:rFonts w:cs="Arial"/>
          <w:sz w:val="16"/>
          <w:szCs w:val="16"/>
          <w:rtl/>
        </w:rPr>
        <w:t xml:space="preserve"> (</w:t>
      </w:r>
      <w:r>
        <w:rPr>
          <w:rFonts w:cs="Arial" w:hint="cs"/>
          <w:sz w:val="16"/>
          <w:szCs w:val="16"/>
          <w:rtl/>
        </w:rPr>
        <w:t xml:space="preserve">כ"כ בשמו הר"ן </w:t>
      </w:r>
      <w:r w:rsidRPr="00566A4A">
        <w:rPr>
          <w:rFonts w:cs="Arial" w:hint="cs"/>
          <w:sz w:val="14"/>
          <w:szCs w:val="14"/>
          <w:rtl/>
        </w:rPr>
        <w:t xml:space="preserve">[חולין </w:t>
      </w:r>
      <w:r w:rsidRPr="00566A4A">
        <w:rPr>
          <w:rFonts w:cs="Arial"/>
          <w:sz w:val="14"/>
          <w:szCs w:val="14"/>
          <w:rtl/>
        </w:rPr>
        <w:t>לו:</w:t>
      </w:r>
      <w:r>
        <w:rPr>
          <w:rFonts w:cs="Arial" w:hint="cs"/>
          <w:sz w:val="14"/>
          <w:szCs w:val="14"/>
          <w:rtl/>
        </w:rPr>
        <w:t>]</w:t>
      </w:r>
      <w:r w:rsidRPr="00FB0C7E">
        <w:rPr>
          <w:rFonts w:cs="Arial"/>
          <w:sz w:val="16"/>
          <w:szCs w:val="16"/>
          <w:rtl/>
        </w:rPr>
        <w:t>)</w:t>
      </w:r>
      <w:r>
        <w:rPr>
          <w:rFonts w:cs="Arial" w:hint="cs"/>
          <w:rtl/>
        </w:rPr>
        <w:t xml:space="preserve"> ו</w:t>
      </w:r>
      <w:r w:rsidRPr="00FB0C7E">
        <w:rPr>
          <w:rFonts w:cs="Arial"/>
          <w:rtl/>
        </w:rPr>
        <w:t xml:space="preserve">רא"ש </w:t>
      </w:r>
      <w:r w:rsidRPr="00FB0C7E">
        <w:rPr>
          <w:rFonts w:cs="Arial"/>
          <w:sz w:val="16"/>
          <w:szCs w:val="16"/>
          <w:rtl/>
        </w:rPr>
        <w:t>(פג"ה סי' לה)</w:t>
      </w:r>
      <w:r w:rsidRPr="00FB0C7E">
        <w:rPr>
          <w:rFonts w:cs="Arial" w:hint="cs"/>
          <w:rtl/>
        </w:rPr>
        <w:t>-</w:t>
      </w:r>
      <w:r>
        <w:rPr>
          <w:rFonts w:cs="Arial" w:hint="cs"/>
          <w:rtl/>
        </w:rPr>
        <w:t xml:space="preserve"> </w:t>
      </w:r>
      <w:r w:rsidRPr="00FB0C7E">
        <w:rPr>
          <w:rFonts w:cs="Arial"/>
          <w:rtl/>
        </w:rPr>
        <w:t xml:space="preserve">אם נמוח בשמן רותח משערים ליה </w:t>
      </w:r>
      <w:r>
        <w:rPr>
          <w:rFonts w:cs="Arial" w:hint="cs"/>
          <w:rtl/>
        </w:rPr>
        <w:t>בס'</w:t>
      </w:r>
      <w:r w:rsidRPr="00FB0C7E">
        <w:rPr>
          <w:rFonts w:cs="Arial"/>
          <w:rtl/>
        </w:rPr>
        <w:t xml:space="preserve"> ומותר</w:t>
      </w:r>
      <w:r>
        <w:rPr>
          <w:rStyle w:val="a7"/>
          <w:rFonts w:cs="Arial"/>
          <w:rtl/>
        </w:rPr>
        <w:footnoteReference w:id="2124"/>
      </w:r>
      <w:r>
        <w:rPr>
          <w:rFonts w:cs="Arial" w:hint="cs"/>
          <w:rtl/>
        </w:rPr>
        <w:t>.</w:t>
      </w:r>
      <w:r w:rsidRPr="00FB0C7E">
        <w:rPr>
          <w:rFonts w:cs="Arial"/>
          <w:rtl/>
        </w:rPr>
        <w:t xml:space="preserve"> </w:t>
      </w:r>
    </w:p>
    <w:p w14:paraId="611FFB8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302754B" w14:textId="77777777" w:rsidR="002C39F4" w:rsidRDefault="002C39F4" w:rsidP="002C39F4">
      <w:pPr>
        <w:rPr>
          <w:rFonts w:asciiTheme="minorBidi" w:hAnsiTheme="minorBidi"/>
          <w:rtl/>
        </w:rPr>
      </w:pPr>
      <w:r w:rsidRPr="003024E5">
        <w:rPr>
          <w:rFonts w:asciiTheme="minorBidi" w:hAnsiTheme="minorBidi"/>
          <w:rtl/>
        </w:rPr>
        <w:t>עכברא דדברא נותן טעם לשבח הוא שהרי עולה על שלחן מלכים</w:t>
      </w:r>
      <w:r>
        <w:rPr>
          <w:rStyle w:val="a7"/>
          <w:rFonts w:asciiTheme="minorBidi" w:hAnsiTheme="minorBidi"/>
          <w:rtl/>
        </w:rPr>
        <w:footnoteReference w:id="2125"/>
      </w:r>
      <w:r>
        <w:rPr>
          <w:rFonts w:asciiTheme="minorBidi" w:hAnsiTheme="minorBidi" w:hint="cs"/>
          <w:rtl/>
        </w:rPr>
        <w:t>,</w:t>
      </w:r>
      <w:r w:rsidRPr="003024E5">
        <w:rPr>
          <w:rFonts w:asciiTheme="minorBidi" w:hAnsiTheme="minorBidi"/>
          <w:rtl/>
        </w:rPr>
        <w:t xml:space="preserve"> אבל עכברא דמתא מספקא לן אם משביח בשכר וחומץ או אם הוא פוגם</w:t>
      </w:r>
      <w:r>
        <w:rPr>
          <w:rFonts w:asciiTheme="minorBidi" w:hAnsiTheme="minorBidi" w:hint="cs"/>
          <w:rtl/>
        </w:rPr>
        <w:t>,</w:t>
      </w:r>
      <w:r w:rsidRPr="003024E5">
        <w:rPr>
          <w:rFonts w:asciiTheme="minorBidi" w:hAnsiTheme="minorBidi"/>
          <w:rtl/>
        </w:rPr>
        <w:t xml:space="preserve"> ולפיכך אם נפל לשכר או לחומץ</w:t>
      </w:r>
      <w:r>
        <w:rPr>
          <w:rStyle w:val="a7"/>
          <w:rFonts w:asciiTheme="minorBidi" w:hAnsiTheme="minorBidi"/>
          <w:rtl/>
        </w:rPr>
        <w:footnoteReference w:id="2126"/>
      </w:r>
      <w:r w:rsidRPr="003024E5">
        <w:rPr>
          <w:rFonts w:asciiTheme="minorBidi" w:hAnsiTheme="minorBidi"/>
          <w:rtl/>
        </w:rPr>
        <w:t xml:space="preserve"> בצונן והסירו שלם אם לא שהה בתוכו מעת לעת מותר</w:t>
      </w:r>
      <w:r>
        <w:rPr>
          <w:rFonts w:asciiTheme="minorBidi" w:hAnsiTheme="minorBidi" w:hint="cs"/>
          <w:rtl/>
        </w:rPr>
        <w:t>,</w:t>
      </w:r>
      <w:r w:rsidRPr="003024E5">
        <w:rPr>
          <w:rFonts w:asciiTheme="minorBidi" w:hAnsiTheme="minorBidi"/>
          <w:rtl/>
        </w:rPr>
        <w:t xml:space="preserve"> אבל אם היה רותח</w:t>
      </w:r>
      <w:r>
        <w:rPr>
          <w:rFonts w:asciiTheme="minorBidi" w:hAnsiTheme="minorBidi" w:hint="cs"/>
          <w:rtl/>
        </w:rPr>
        <w:t>,</w:t>
      </w:r>
      <w:r w:rsidRPr="003024E5">
        <w:rPr>
          <w:rFonts w:asciiTheme="minorBidi" w:hAnsiTheme="minorBidi"/>
          <w:rtl/>
        </w:rPr>
        <w:t xml:space="preserve"> או אפילו צונן ושהה בתוכו מעת לעת</w:t>
      </w:r>
      <w:r>
        <w:rPr>
          <w:rFonts w:asciiTheme="minorBidi" w:hAnsiTheme="minorBidi" w:hint="cs"/>
          <w:rtl/>
        </w:rPr>
        <w:t>,</w:t>
      </w:r>
      <w:r w:rsidRPr="003024E5">
        <w:rPr>
          <w:rFonts w:asciiTheme="minorBidi" w:hAnsiTheme="minorBidi"/>
          <w:rtl/>
        </w:rPr>
        <w:t xml:space="preserve"> בין שהסירו שלם</w:t>
      </w:r>
      <w:r>
        <w:rPr>
          <w:rFonts w:asciiTheme="minorBidi" w:hAnsiTheme="minorBidi" w:hint="cs"/>
          <w:rtl/>
        </w:rPr>
        <w:t>,</w:t>
      </w:r>
      <w:r w:rsidRPr="003024E5">
        <w:rPr>
          <w:rFonts w:asciiTheme="minorBidi" w:hAnsiTheme="minorBidi"/>
          <w:rtl/>
        </w:rPr>
        <w:t xml:space="preserve"> בין שנחתך לחתיכות דקות ויכול לסננו במסננת בענין שלא ישאר ממנו בתוכו כלום</w:t>
      </w:r>
      <w:r>
        <w:rPr>
          <w:rFonts w:asciiTheme="minorBidi" w:hAnsiTheme="minorBidi" w:hint="cs"/>
          <w:rtl/>
        </w:rPr>
        <w:t>,</w:t>
      </w:r>
      <w:r w:rsidRPr="003024E5">
        <w:rPr>
          <w:rFonts w:asciiTheme="minorBidi" w:hAnsiTheme="minorBidi"/>
          <w:rtl/>
        </w:rPr>
        <w:t xml:space="preserve"> בין שנימוח בתוכו לגמרי ונעשה כולו משקה ולא נשתייר ממנו שום ממשות</w:t>
      </w:r>
      <w:r>
        <w:rPr>
          <w:rFonts w:asciiTheme="minorBidi" w:hAnsiTheme="minorBidi" w:hint="cs"/>
          <w:rtl/>
        </w:rPr>
        <w:t>,</w:t>
      </w:r>
      <w:r w:rsidRPr="003024E5">
        <w:rPr>
          <w:rFonts w:asciiTheme="minorBidi" w:hAnsiTheme="minorBidi"/>
          <w:rtl/>
        </w:rPr>
        <w:t xml:space="preserve"> ניתר על ידי שיהא ששים בהיתר כנגד העכבר</w:t>
      </w:r>
      <w:r>
        <w:rPr>
          <w:rFonts w:asciiTheme="minorBidi" w:hAnsiTheme="minorBidi" w:hint="cs"/>
          <w:rtl/>
        </w:rPr>
        <w:t>,</w:t>
      </w:r>
      <w:r w:rsidRPr="003024E5">
        <w:rPr>
          <w:rFonts w:asciiTheme="minorBidi" w:hAnsiTheme="minorBidi"/>
          <w:rtl/>
        </w:rPr>
        <w:t xml:space="preserve"> ואם נחתך לחתיכות דקות והוא בענין שאינו יכול לסננו כגון שנתערב השכר או החומץ במאכל עב הכל אסור ואין שם ביטול דחיישינן שמא יפגע בממשו של איסור ולא ירגיש. </w:t>
      </w:r>
      <w:r w:rsidRPr="00D65851">
        <w:rPr>
          <w:rFonts w:asciiTheme="minorBidi" w:hAnsiTheme="minorBidi"/>
          <w:sz w:val="18"/>
          <w:szCs w:val="18"/>
          <w:rtl/>
        </w:rPr>
        <w:t>הגה: ודוקא בשרץ יש לחוש אם נשאר שם שלא יוכל להוציאו, אבל בשאר איסורין אין לחוש</w:t>
      </w:r>
      <w:r>
        <w:rPr>
          <w:rStyle w:val="a7"/>
          <w:rFonts w:asciiTheme="minorBidi" w:hAnsiTheme="minorBidi"/>
          <w:sz w:val="18"/>
          <w:szCs w:val="18"/>
          <w:rtl/>
        </w:rPr>
        <w:footnoteReference w:id="2127"/>
      </w:r>
      <w:r w:rsidRPr="00D65851">
        <w:rPr>
          <w:rFonts w:asciiTheme="minorBidi" w:hAnsiTheme="minorBidi"/>
          <w:sz w:val="18"/>
          <w:szCs w:val="18"/>
          <w:rtl/>
        </w:rPr>
        <w:t xml:space="preserve"> (כ</w:t>
      </w:r>
      <w:r>
        <w:rPr>
          <w:rFonts w:asciiTheme="minorBidi" w:hAnsiTheme="minorBidi" w:hint="cs"/>
          <w:sz w:val="18"/>
          <w:szCs w:val="18"/>
          <w:rtl/>
        </w:rPr>
        <w:t>"</w:t>
      </w:r>
      <w:r w:rsidRPr="00D65851">
        <w:rPr>
          <w:rFonts w:asciiTheme="minorBidi" w:hAnsiTheme="minorBidi"/>
          <w:sz w:val="18"/>
          <w:szCs w:val="18"/>
          <w:rtl/>
        </w:rPr>
        <w:t xml:space="preserve">מ בארוך כלל ל"ב). </w:t>
      </w:r>
    </w:p>
    <w:p w14:paraId="305A77A4" w14:textId="77777777" w:rsidR="002C39F4" w:rsidRPr="003024E5" w:rsidRDefault="002C39F4" w:rsidP="002C39F4">
      <w:pPr>
        <w:rPr>
          <w:rFonts w:asciiTheme="minorBidi" w:hAnsiTheme="minorBidi"/>
          <w:rtl/>
        </w:rPr>
      </w:pPr>
    </w:p>
    <w:p w14:paraId="19ACADAA"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עכבר שנפל ליין או שמן.</w:t>
      </w:r>
    </w:p>
    <w:p w14:paraId="108F197E" w14:textId="77777777" w:rsidR="002C39F4" w:rsidRPr="007851FA" w:rsidRDefault="002C39F4" w:rsidP="002C39F4">
      <w:pPr>
        <w:rPr>
          <w:rFonts w:cs="Arial"/>
          <w:sz w:val="16"/>
          <w:szCs w:val="16"/>
          <w:rtl/>
        </w:rPr>
      </w:pPr>
      <w:r w:rsidRPr="00DF3C8F">
        <w:rPr>
          <w:rFonts w:hint="cs"/>
          <w:u w:val="single"/>
          <w:rtl/>
        </w:rPr>
        <w:t>עכבר ש</w:t>
      </w:r>
      <w:r w:rsidRPr="00DF3C8F">
        <w:rPr>
          <w:rFonts w:cs="Arial"/>
          <w:u w:val="single"/>
          <w:rtl/>
        </w:rPr>
        <w:t xml:space="preserve">נפל ליין </w:t>
      </w:r>
      <w:r w:rsidRPr="00DF3C8F">
        <w:rPr>
          <w:rFonts w:cs="Arial" w:hint="cs"/>
          <w:u w:val="single"/>
          <w:rtl/>
        </w:rPr>
        <w:t xml:space="preserve">או </w:t>
      </w:r>
      <w:r w:rsidRPr="00DF3C8F">
        <w:rPr>
          <w:rFonts w:cs="Arial"/>
          <w:u w:val="single"/>
          <w:rtl/>
        </w:rPr>
        <w:t>שמן</w:t>
      </w:r>
      <w:r w:rsidRPr="00DF3C8F">
        <w:rPr>
          <w:rFonts w:cs="Arial" w:hint="cs"/>
          <w:u w:val="single"/>
          <w:rtl/>
        </w:rPr>
        <w:t>:</w:t>
      </w:r>
      <w:r>
        <w:rPr>
          <w:rFonts w:cs="Arial" w:hint="cs"/>
          <w:sz w:val="16"/>
          <w:szCs w:val="16"/>
          <w:rtl/>
        </w:rPr>
        <w:t xml:space="preserve">  (ב"י ודרכ"מ [אות ב])</w:t>
      </w:r>
    </w:p>
    <w:p w14:paraId="5CD1BC3B" w14:textId="77777777" w:rsidR="002C39F4" w:rsidRDefault="002C39F4" w:rsidP="0032102C">
      <w:pPr>
        <w:pStyle w:val="a8"/>
        <w:numPr>
          <w:ilvl w:val="0"/>
          <w:numId w:val="221"/>
        </w:numPr>
        <w:rPr>
          <w:rFonts w:cs="Arial"/>
        </w:rPr>
      </w:pPr>
      <w:r w:rsidRPr="00566A4A">
        <w:rPr>
          <w:rFonts w:cs="Arial"/>
          <w:rtl/>
        </w:rPr>
        <w:t xml:space="preserve">רמב"ם </w:t>
      </w:r>
      <w:r>
        <w:rPr>
          <w:rFonts w:cs="Arial" w:hint="cs"/>
          <w:rtl/>
        </w:rPr>
        <w:t xml:space="preserve">רבותינו הצרפתים </w:t>
      </w:r>
      <w:r w:rsidRPr="009430EF">
        <w:rPr>
          <w:rFonts w:cs="Arial"/>
          <w:rtl/>
        </w:rPr>
        <w:t xml:space="preserve">רשב"א </w:t>
      </w:r>
      <w:r w:rsidRPr="00566A4A">
        <w:rPr>
          <w:rFonts w:cs="Arial" w:hint="cs"/>
          <w:rtl/>
        </w:rPr>
        <w:t>טור</w:t>
      </w:r>
      <w:r>
        <w:rPr>
          <w:rFonts w:cs="Arial" w:hint="cs"/>
          <w:rtl/>
        </w:rPr>
        <w:t xml:space="preserve"> </w:t>
      </w:r>
      <w:r w:rsidRPr="009430EF">
        <w:rPr>
          <w:rFonts w:cs="Arial"/>
          <w:rtl/>
        </w:rPr>
        <w:t>ר"ן</w:t>
      </w:r>
      <w:r>
        <w:rPr>
          <w:rStyle w:val="a7"/>
          <w:rFonts w:cs="Arial"/>
          <w:rtl/>
        </w:rPr>
        <w:footnoteReference w:id="2128"/>
      </w:r>
      <w:r w:rsidRPr="009430EF">
        <w:rPr>
          <w:rFonts w:cs="Arial"/>
          <w:rtl/>
        </w:rPr>
        <w:t xml:space="preserve"> </w:t>
      </w:r>
      <w:r>
        <w:rPr>
          <w:rFonts w:cs="Arial" w:hint="cs"/>
          <w:rtl/>
        </w:rPr>
        <w:t>ו</w:t>
      </w:r>
      <w:r>
        <w:rPr>
          <w:rFonts w:cs="Arial"/>
          <w:rtl/>
        </w:rPr>
        <w:t>או"ה</w:t>
      </w:r>
      <w:r>
        <w:rPr>
          <w:rStyle w:val="a7"/>
          <w:rFonts w:cs="Arial"/>
          <w:rtl/>
        </w:rPr>
        <w:footnoteReference w:id="2129"/>
      </w:r>
      <w:r>
        <w:rPr>
          <w:rFonts w:cs="Arial" w:hint="cs"/>
          <w:rtl/>
        </w:rPr>
        <w:t xml:space="preserve">- </w:t>
      </w:r>
      <w:r w:rsidRPr="00566A4A">
        <w:rPr>
          <w:rFonts w:cs="Arial"/>
          <w:rtl/>
        </w:rPr>
        <w:t>אם נפל ליין או לשמן או לדבש מותר ואפי</w:t>
      </w:r>
      <w:r>
        <w:rPr>
          <w:rFonts w:cs="Arial" w:hint="cs"/>
          <w:rtl/>
        </w:rPr>
        <w:t>לו</w:t>
      </w:r>
      <w:r w:rsidRPr="00566A4A">
        <w:rPr>
          <w:rFonts w:cs="Arial"/>
          <w:rtl/>
        </w:rPr>
        <w:t xml:space="preserve"> נתן טעם מפני שטעמו פוגם, שכל אלו צריכין להיותן מבושמים</w:t>
      </w:r>
      <w:r>
        <w:rPr>
          <w:rStyle w:val="a7"/>
          <w:rFonts w:cs="Arial"/>
          <w:rtl/>
        </w:rPr>
        <w:footnoteReference w:id="2130"/>
      </w:r>
      <w:r w:rsidRPr="00566A4A">
        <w:rPr>
          <w:rFonts w:cs="Arial"/>
          <w:rtl/>
        </w:rPr>
        <w:t xml:space="preserve"> וזה מסריחן ומפסיד טעמן</w:t>
      </w:r>
      <w:r w:rsidRPr="00566A4A">
        <w:rPr>
          <w:rFonts w:cs="Arial" w:hint="cs"/>
          <w:sz w:val="16"/>
          <w:szCs w:val="16"/>
          <w:rtl/>
        </w:rPr>
        <w:t xml:space="preserve"> (ל' הרמב"ם)</w:t>
      </w:r>
      <w:r w:rsidRPr="00566A4A">
        <w:rPr>
          <w:rFonts w:cs="Arial"/>
          <w:rtl/>
        </w:rPr>
        <w:t>.</w:t>
      </w:r>
      <w:r>
        <w:rPr>
          <w:rFonts w:cs="Arial" w:hint="cs"/>
          <w:color w:val="E36C0A" w:themeColor="accent6" w:themeShade="BF"/>
          <w:rtl/>
        </w:rPr>
        <w:t xml:space="preserve"> </w:t>
      </w:r>
      <w:r w:rsidRPr="00D40815">
        <w:rPr>
          <w:rFonts w:cs="Arial" w:hint="cs"/>
          <w:color w:val="E36C0A" w:themeColor="accent6" w:themeShade="BF"/>
          <w:rtl/>
        </w:rPr>
        <w:t>(וכ"פ בשו"ע)</w:t>
      </w:r>
    </w:p>
    <w:p w14:paraId="752F0BE1" w14:textId="77777777" w:rsidR="002C39F4" w:rsidRDefault="002C39F4" w:rsidP="0032102C">
      <w:pPr>
        <w:pStyle w:val="a8"/>
        <w:numPr>
          <w:ilvl w:val="0"/>
          <w:numId w:val="221"/>
        </w:numPr>
        <w:rPr>
          <w:rFonts w:cs="Arial"/>
        </w:rPr>
      </w:pPr>
      <w:r>
        <w:rPr>
          <w:rFonts w:cs="Arial" w:hint="cs"/>
          <w:rtl/>
        </w:rPr>
        <w:t xml:space="preserve">רא"ש </w:t>
      </w:r>
      <w:r w:rsidRPr="007851FA">
        <w:rPr>
          <w:rFonts w:cs="Arial"/>
          <w:sz w:val="16"/>
          <w:szCs w:val="16"/>
          <w:rtl/>
        </w:rPr>
        <w:t>(</w:t>
      </w:r>
      <w:r>
        <w:rPr>
          <w:rFonts w:cs="Arial" w:hint="cs"/>
          <w:sz w:val="16"/>
          <w:szCs w:val="16"/>
          <w:rtl/>
        </w:rPr>
        <w:t xml:space="preserve">בתשו' </w:t>
      </w:r>
      <w:r w:rsidRPr="007851FA">
        <w:rPr>
          <w:rFonts w:cs="Arial"/>
          <w:sz w:val="16"/>
          <w:szCs w:val="16"/>
          <w:rtl/>
        </w:rPr>
        <w:t>כלל כ סי</w:t>
      </w:r>
      <w:r w:rsidRPr="007851FA">
        <w:rPr>
          <w:rFonts w:cs="Arial" w:hint="cs"/>
          <w:sz w:val="16"/>
          <w:szCs w:val="16"/>
          <w:rtl/>
        </w:rPr>
        <w:t>'</w:t>
      </w:r>
      <w:r w:rsidRPr="007851FA">
        <w:rPr>
          <w:rFonts w:cs="Arial"/>
          <w:sz w:val="16"/>
          <w:szCs w:val="16"/>
          <w:rtl/>
        </w:rPr>
        <w:t xml:space="preserve"> א</w:t>
      </w:r>
      <w:r>
        <w:rPr>
          <w:rFonts w:cs="Arial" w:hint="cs"/>
          <w:sz w:val="16"/>
          <w:szCs w:val="16"/>
          <w:rtl/>
        </w:rPr>
        <w:t xml:space="preserve">, ובע"ז </w:t>
      </w:r>
      <w:r w:rsidRPr="007F32A1">
        <w:rPr>
          <w:rFonts w:cs="Arial"/>
          <w:sz w:val="16"/>
          <w:szCs w:val="16"/>
          <w:rtl/>
        </w:rPr>
        <w:t>פ"ה סי' יא</w:t>
      </w:r>
      <w:r w:rsidRPr="007851FA">
        <w:rPr>
          <w:rFonts w:cs="Arial"/>
          <w:sz w:val="16"/>
          <w:szCs w:val="16"/>
          <w:rtl/>
        </w:rPr>
        <w:t>)</w:t>
      </w:r>
      <w:r w:rsidRPr="00D40815">
        <w:rPr>
          <w:rFonts w:cs="Arial"/>
          <w:rtl/>
        </w:rPr>
        <w:t xml:space="preserve"> </w:t>
      </w:r>
      <w:r>
        <w:rPr>
          <w:rFonts w:cs="Arial" w:hint="cs"/>
          <w:rtl/>
        </w:rPr>
        <w:t>ו</w:t>
      </w:r>
      <w:r w:rsidRPr="00DF3E74">
        <w:rPr>
          <w:rFonts w:cs="Arial"/>
          <w:rtl/>
        </w:rPr>
        <w:t xml:space="preserve">אגור </w:t>
      </w:r>
      <w:r w:rsidRPr="007851FA">
        <w:rPr>
          <w:rFonts w:cs="Arial"/>
          <w:sz w:val="16"/>
          <w:szCs w:val="16"/>
          <w:rtl/>
        </w:rPr>
        <w:t>(סי' אלף ערה)</w:t>
      </w:r>
      <w:r>
        <w:rPr>
          <w:rFonts w:cs="Arial" w:hint="cs"/>
          <w:rtl/>
        </w:rPr>
        <w:t xml:space="preserve">- </w:t>
      </w:r>
      <w:r w:rsidRPr="007851FA">
        <w:rPr>
          <w:rFonts w:cs="Arial"/>
          <w:rtl/>
        </w:rPr>
        <w:t>אין חילוק בין שאר משקים לשכרא וחלא דבכולהו איכא למיחש דילמא אשבוחי משבח</w:t>
      </w:r>
      <w:r>
        <w:rPr>
          <w:rFonts w:cs="Arial" w:hint="cs"/>
          <w:sz w:val="16"/>
          <w:szCs w:val="16"/>
          <w:rtl/>
        </w:rPr>
        <w:t xml:space="preserve"> (הלכך בעינן ביטול בששים)</w:t>
      </w:r>
      <w:r>
        <w:rPr>
          <w:rFonts w:cs="Arial" w:hint="cs"/>
          <w:rtl/>
        </w:rPr>
        <w:t>.</w:t>
      </w:r>
    </w:p>
    <w:p w14:paraId="28E7BEE2" w14:textId="77777777" w:rsidR="002C39F4" w:rsidRDefault="002C39F4" w:rsidP="0032102C">
      <w:pPr>
        <w:pStyle w:val="a8"/>
        <w:numPr>
          <w:ilvl w:val="0"/>
          <w:numId w:val="221"/>
        </w:numPr>
        <w:rPr>
          <w:rFonts w:cs="Arial"/>
        </w:rPr>
      </w:pPr>
      <w:r>
        <w:rPr>
          <w:rFonts w:cs="Arial" w:hint="cs"/>
          <w:rtl/>
        </w:rPr>
        <w:t>גאון</w:t>
      </w:r>
      <w:r>
        <w:rPr>
          <w:rStyle w:val="a7"/>
          <w:rFonts w:cs="Arial"/>
          <w:rtl/>
        </w:rPr>
        <w:footnoteReference w:id="2131"/>
      </w:r>
      <w:r>
        <w:rPr>
          <w:rFonts w:cs="Arial" w:hint="cs"/>
          <w:rtl/>
        </w:rPr>
        <w:t xml:space="preserve"> </w:t>
      </w:r>
      <w:r w:rsidRPr="00FB0C7E">
        <w:rPr>
          <w:rFonts w:cs="Arial"/>
          <w:sz w:val="16"/>
          <w:szCs w:val="16"/>
          <w:rtl/>
        </w:rPr>
        <w:t>(</w:t>
      </w:r>
      <w:r>
        <w:rPr>
          <w:rFonts w:cs="Arial" w:hint="cs"/>
          <w:sz w:val="16"/>
          <w:szCs w:val="16"/>
          <w:rtl/>
        </w:rPr>
        <w:t xml:space="preserve">הביאו הר"ן </w:t>
      </w:r>
      <w:r w:rsidRPr="00566A4A">
        <w:rPr>
          <w:rFonts w:cs="Arial" w:hint="cs"/>
          <w:sz w:val="14"/>
          <w:szCs w:val="14"/>
          <w:rtl/>
        </w:rPr>
        <w:t xml:space="preserve">[חולין </w:t>
      </w:r>
      <w:r w:rsidRPr="00566A4A">
        <w:rPr>
          <w:rFonts w:cs="Arial"/>
          <w:sz w:val="14"/>
          <w:szCs w:val="14"/>
          <w:rtl/>
        </w:rPr>
        <w:t>לו:</w:t>
      </w:r>
      <w:r>
        <w:rPr>
          <w:rFonts w:cs="Arial" w:hint="cs"/>
          <w:sz w:val="14"/>
          <w:szCs w:val="14"/>
          <w:rtl/>
        </w:rPr>
        <w:t>]</w:t>
      </w:r>
      <w:r w:rsidRPr="00FB0C7E">
        <w:rPr>
          <w:rFonts w:cs="Arial"/>
          <w:sz w:val="16"/>
          <w:szCs w:val="16"/>
          <w:rtl/>
        </w:rPr>
        <w:t>)</w:t>
      </w:r>
      <w:r>
        <w:rPr>
          <w:rFonts w:cs="Arial" w:hint="cs"/>
          <w:rtl/>
        </w:rPr>
        <w:t xml:space="preserve">- </w:t>
      </w:r>
      <w:r w:rsidRPr="007851FA">
        <w:rPr>
          <w:rFonts w:cs="Arial"/>
          <w:rtl/>
        </w:rPr>
        <w:t>חלא ושכרא לאו דוקא אלא הוא הדין לשמן</w:t>
      </w:r>
      <w:r>
        <w:rPr>
          <w:rFonts w:cs="Arial" w:hint="cs"/>
          <w:rtl/>
        </w:rPr>
        <w:t xml:space="preserve">. </w:t>
      </w:r>
    </w:p>
    <w:p w14:paraId="5D92BF96" w14:textId="77777777" w:rsidR="002C39F4" w:rsidRPr="00EC01CE" w:rsidRDefault="002C39F4" w:rsidP="002C39F4">
      <w:pPr>
        <w:rPr>
          <w:rFonts w:cs="Arial"/>
          <w:u w:val="single"/>
        </w:rPr>
      </w:pPr>
      <w:r w:rsidRPr="00EC01CE">
        <w:rPr>
          <w:rFonts w:cs="Arial"/>
          <w:u w:val="single"/>
          <w:rtl/>
        </w:rPr>
        <w:t>עכבר הנמצא בשומן אווזים</w:t>
      </w:r>
      <w:r w:rsidRPr="00EC01CE">
        <w:rPr>
          <w:rFonts w:cs="Arial" w:hint="cs"/>
          <w:u w:val="single"/>
          <w:rtl/>
        </w:rPr>
        <w:t>:</w:t>
      </w:r>
    </w:p>
    <w:p w14:paraId="61CCD560" w14:textId="77777777" w:rsidR="002C39F4" w:rsidRPr="00300138" w:rsidRDefault="002C39F4" w:rsidP="0032102C">
      <w:pPr>
        <w:pStyle w:val="a8"/>
        <w:numPr>
          <w:ilvl w:val="0"/>
          <w:numId w:val="221"/>
        </w:numPr>
        <w:rPr>
          <w:rFonts w:cs="Arial"/>
        </w:rPr>
      </w:pPr>
      <w:r>
        <w:rPr>
          <w:rFonts w:cs="Arial" w:hint="cs"/>
          <w:rtl/>
        </w:rPr>
        <w:t xml:space="preserve">רא"ש </w:t>
      </w:r>
      <w:r w:rsidRPr="007851FA">
        <w:rPr>
          <w:rFonts w:cs="Arial"/>
          <w:sz w:val="16"/>
          <w:szCs w:val="16"/>
          <w:rtl/>
        </w:rPr>
        <w:t>(כלל כ סי</w:t>
      </w:r>
      <w:r w:rsidRPr="007851FA">
        <w:rPr>
          <w:rFonts w:cs="Arial" w:hint="cs"/>
          <w:sz w:val="16"/>
          <w:szCs w:val="16"/>
          <w:rtl/>
        </w:rPr>
        <w:t>'</w:t>
      </w:r>
      <w:r w:rsidRPr="007851FA">
        <w:rPr>
          <w:rFonts w:cs="Arial"/>
          <w:sz w:val="16"/>
          <w:szCs w:val="16"/>
          <w:rtl/>
        </w:rPr>
        <w:t xml:space="preserve"> א</w:t>
      </w:r>
      <w:r>
        <w:rPr>
          <w:rFonts w:cs="Arial" w:hint="cs"/>
          <w:sz w:val="16"/>
          <w:szCs w:val="16"/>
          <w:rtl/>
        </w:rPr>
        <w:t>)</w:t>
      </w:r>
      <w:r>
        <w:rPr>
          <w:rFonts w:cs="Arial" w:hint="cs"/>
          <w:rtl/>
        </w:rPr>
        <w:t>-</w:t>
      </w:r>
      <w:r w:rsidRPr="00EC01CE">
        <w:rPr>
          <w:rFonts w:cs="Arial"/>
          <w:rtl/>
        </w:rPr>
        <w:t xml:space="preserve"> ששאלת על העכבר הנמצא בשומן אווזים ולא אימרטט אך שערותיה נפלו ממנה. אם שפכו מידי יום יום שומן בקדירה כשטגנו עוד האווזות אם יש להסתפק שהיה העכבר בתוכו ושפכו עליו שומן רותח אז הכל אסור כי השומן שנאסר אז נתבלבל בכל הקדירה. ואם ידוע שלא שפכו עליו שומן רותח אם השומן הוא רך שהעכבר מתנענע בקדירה ממקום למקום אז הכל אסור אע</w:t>
      </w:r>
      <w:r>
        <w:rPr>
          <w:rFonts w:cs="Arial" w:hint="cs"/>
          <w:rtl/>
        </w:rPr>
        <w:t>"</w:t>
      </w:r>
      <w:r w:rsidRPr="00EC01CE">
        <w:rPr>
          <w:rFonts w:cs="Arial"/>
          <w:rtl/>
        </w:rPr>
        <w:t>ג דהוא צונן, כיון דשהא בתוכו זמן ארוך קיי"ל כבוש הרי הוא כמבושל ואוסר כל סביבותיו. ואם הוא קשה אז יטלו סביב העכבר כדי נטילה והשאר מותר אם יש בשומן ס' לבטל העכבר, וכדי נטילה הוא שיעור אצבע</w:t>
      </w:r>
      <w:r>
        <w:rPr>
          <w:rStyle w:val="a7"/>
          <w:rFonts w:cs="Arial"/>
          <w:rtl/>
        </w:rPr>
        <w:footnoteReference w:id="2132"/>
      </w:r>
      <w:r w:rsidRPr="00EC01CE">
        <w:rPr>
          <w:rFonts w:cs="Arial"/>
          <w:rtl/>
        </w:rPr>
        <w:t xml:space="preserve">. </w:t>
      </w:r>
    </w:p>
    <w:p w14:paraId="0A22B5B2" w14:textId="77777777" w:rsidR="002C39F4" w:rsidRPr="00DC59AF" w:rsidRDefault="002C39F4" w:rsidP="0032102C">
      <w:pPr>
        <w:pStyle w:val="a8"/>
        <w:numPr>
          <w:ilvl w:val="0"/>
          <w:numId w:val="221"/>
        </w:numPr>
        <w:rPr>
          <w:rFonts w:cs="Arial"/>
          <w:rtl/>
        </w:rPr>
      </w:pPr>
      <w:r>
        <w:rPr>
          <w:rFonts w:cs="Arial"/>
          <w:rtl/>
        </w:rPr>
        <w:t>או"ה</w:t>
      </w:r>
      <w:r w:rsidRPr="00300138">
        <w:rPr>
          <w:rFonts w:cs="Arial"/>
          <w:sz w:val="16"/>
          <w:szCs w:val="16"/>
          <w:rtl/>
        </w:rPr>
        <w:t xml:space="preserve"> </w:t>
      </w:r>
      <w:r w:rsidRPr="00300138">
        <w:rPr>
          <w:rFonts w:cs="Arial" w:hint="cs"/>
          <w:sz w:val="16"/>
          <w:szCs w:val="16"/>
          <w:rtl/>
        </w:rPr>
        <w:t>(</w:t>
      </w:r>
      <w:r w:rsidRPr="00300138">
        <w:rPr>
          <w:rFonts w:cs="Arial"/>
          <w:sz w:val="16"/>
          <w:szCs w:val="16"/>
          <w:rtl/>
        </w:rPr>
        <w:t>כלל ל ד</w:t>
      </w:r>
      <w:r w:rsidRPr="00300138">
        <w:rPr>
          <w:rFonts w:cs="Arial" w:hint="cs"/>
          <w:sz w:val="16"/>
          <w:szCs w:val="16"/>
          <w:rtl/>
        </w:rPr>
        <w:t>"</w:t>
      </w:r>
      <w:r w:rsidRPr="00300138">
        <w:rPr>
          <w:rFonts w:cs="Arial"/>
          <w:sz w:val="16"/>
          <w:szCs w:val="16"/>
          <w:rtl/>
        </w:rPr>
        <w:t>ז)</w:t>
      </w:r>
      <w:r>
        <w:rPr>
          <w:rFonts w:cs="Arial" w:hint="cs"/>
          <w:rtl/>
        </w:rPr>
        <w:t xml:space="preserve">- </w:t>
      </w:r>
      <w:r w:rsidRPr="00DF3E74">
        <w:rPr>
          <w:rFonts w:cs="Arial"/>
          <w:rtl/>
        </w:rPr>
        <w:t>כשבא לפנינו קשה שיש לספק שמא כשנפל שם היה רך או אפילו אם היה רך בודאי</w:t>
      </w:r>
      <w:r>
        <w:rPr>
          <w:rFonts w:cs="Arial" w:hint="cs"/>
          <w:rtl/>
        </w:rPr>
        <w:t xml:space="preserve"> -</w:t>
      </w:r>
      <w:r w:rsidRPr="00DF3E74">
        <w:rPr>
          <w:rFonts w:cs="Arial"/>
          <w:rtl/>
        </w:rPr>
        <w:t xml:space="preserve"> אפ"ה מותר</w:t>
      </w:r>
      <w:r>
        <w:rPr>
          <w:rFonts w:cs="Arial" w:hint="cs"/>
          <w:rtl/>
        </w:rPr>
        <w:t>,</w:t>
      </w:r>
      <w:r w:rsidRPr="00DF3E74">
        <w:rPr>
          <w:rFonts w:cs="Arial"/>
          <w:rtl/>
        </w:rPr>
        <w:t xml:space="preserve"> דאמרינן שמא נתקשה קודם שיעור כבישה ולא נאסר</w:t>
      </w:r>
      <w:r>
        <w:rPr>
          <w:rFonts w:cs="Arial" w:hint="cs"/>
          <w:rtl/>
        </w:rPr>
        <w:t>,</w:t>
      </w:r>
      <w:r w:rsidRPr="00DF3E74">
        <w:rPr>
          <w:rFonts w:cs="Arial"/>
          <w:rtl/>
        </w:rPr>
        <w:t xml:space="preserve"> דאחזוקי איסור לא מחזיקינן הואיל ובא לפנינו כך לא צריך אלא נטילה</w:t>
      </w:r>
      <w:r>
        <w:rPr>
          <w:rStyle w:val="a7"/>
          <w:rFonts w:cs="Arial"/>
          <w:rtl/>
        </w:rPr>
        <w:footnoteReference w:id="2133"/>
      </w:r>
      <w:r>
        <w:rPr>
          <w:rFonts w:cs="Arial" w:hint="cs"/>
          <w:rtl/>
        </w:rPr>
        <w:t>.</w:t>
      </w:r>
    </w:p>
    <w:p w14:paraId="70A11DC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FFFD991" w14:textId="77777777" w:rsidR="002C39F4" w:rsidRDefault="002C39F4" w:rsidP="002C39F4">
      <w:pPr>
        <w:rPr>
          <w:rFonts w:asciiTheme="minorBidi" w:hAnsiTheme="minorBidi"/>
          <w:rtl/>
        </w:rPr>
      </w:pPr>
      <w:r w:rsidRPr="003024E5">
        <w:rPr>
          <w:rFonts w:asciiTheme="minorBidi" w:hAnsiTheme="minorBidi"/>
          <w:rtl/>
        </w:rPr>
        <w:t>אם נפל ליין ושמן או לשאר משקין</w:t>
      </w:r>
      <w:r>
        <w:rPr>
          <w:rStyle w:val="a7"/>
          <w:rFonts w:asciiTheme="minorBidi" w:hAnsiTheme="minorBidi"/>
          <w:rtl/>
        </w:rPr>
        <w:footnoteReference w:id="2134"/>
      </w:r>
      <w:r w:rsidRPr="003024E5">
        <w:rPr>
          <w:rFonts w:asciiTheme="minorBidi" w:hAnsiTheme="minorBidi"/>
          <w:rtl/>
        </w:rPr>
        <w:t xml:space="preserve"> פוגם בודאי ואין צריך </w:t>
      </w:r>
      <w:r>
        <w:rPr>
          <w:rFonts w:asciiTheme="minorBidi" w:hAnsiTheme="minorBidi" w:hint="cs"/>
          <w:rtl/>
        </w:rPr>
        <w:t>ששים</w:t>
      </w:r>
      <w:r w:rsidRPr="003024E5">
        <w:rPr>
          <w:rFonts w:asciiTheme="minorBidi" w:hAnsiTheme="minorBidi"/>
          <w:rtl/>
        </w:rPr>
        <w:t xml:space="preserve"> לבטל פליטתו. </w:t>
      </w:r>
      <w:r w:rsidRPr="00D65851">
        <w:rPr>
          <w:rFonts w:asciiTheme="minorBidi" w:hAnsiTheme="minorBidi"/>
          <w:sz w:val="18"/>
          <w:szCs w:val="18"/>
          <w:rtl/>
        </w:rPr>
        <w:t>הגה: ולפי זה אם נפל לשומן נמי דינא הכי</w:t>
      </w:r>
      <w:r>
        <w:rPr>
          <w:rStyle w:val="a7"/>
          <w:rFonts w:asciiTheme="minorBidi" w:hAnsiTheme="minorBidi"/>
          <w:sz w:val="18"/>
          <w:szCs w:val="18"/>
          <w:rtl/>
        </w:rPr>
        <w:footnoteReference w:id="2135"/>
      </w:r>
      <w:r>
        <w:rPr>
          <w:rFonts w:asciiTheme="minorBidi" w:hAnsiTheme="minorBidi" w:hint="cs"/>
          <w:sz w:val="18"/>
          <w:szCs w:val="18"/>
          <w:rtl/>
        </w:rPr>
        <w:t>,</w:t>
      </w:r>
      <w:r w:rsidRPr="00D65851">
        <w:rPr>
          <w:rFonts w:asciiTheme="minorBidi" w:hAnsiTheme="minorBidi"/>
          <w:sz w:val="18"/>
          <w:szCs w:val="18"/>
          <w:rtl/>
        </w:rPr>
        <w:t xml:space="preserve"> ויש מחמירין בשומן ואפילו אם הוא קשה לפנינ</w:t>
      </w:r>
      <w:r>
        <w:rPr>
          <w:rFonts w:asciiTheme="minorBidi" w:hAnsiTheme="minorBidi" w:hint="cs"/>
          <w:sz w:val="18"/>
          <w:szCs w:val="18"/>
          <w:rtl/>
        </w:rPr>
        <w:t>ו</w:t>
      </w:r>
      <w:r w:rsidRPr="00D65851">
        <w:rPr>
          <w:rFonts w:asciiTheme="minorBidi" w:hAnsiTheme="minorBidi"/>
          <w:sz w:val="18"/>
          <w:szCs w:val="18"/>
          <w:rtl/>
        </w:rPr>
        <w:t xml:space="preserve"> אם שפכו מדי יום יום שומן בקדירה ויש לספק שמא העכבר היה שם כשעירו עליו שומן רותח הכל אסור אפילו יש ס' בשומן נגד כל העכבר</w:t>
      </w:r>
      <w:r>
        <w:rPr>
          <w:rStyle w:val="a7"/>
          <w:rFonts w:asciiTheme="minorBidi" w:hAnsiTheme="minorBidi"/>
          <w:sz w:val="18"/>
          <w:szCs w:val="18"/>
          <w:rtl/>
        </w:rPr>
        <w:footnoteReference w:id="2136"/>
      </w:r>
      <w:r>
        <w:rPr>
          <w:rFonts w:asciiTheme="minorBidi" w:hAnsiTheme="minorBidi" w:hint="cs"/>
          <w:sz w:val="18"/>
          <w:szCs w:val="18"/>
          <w:rtl/>
        </w:rPr>
        <w:t>,</w:t>
      </w:r>
      <w:r w:rsidRPr="00D65851">
        <w:rPr>
          <w:rFonts w:asciiTheme="minorBidi" w:hAnsiTheme="minorBidi"/>
          <w:sz w:val="18"/>
          <w:szCs w:val="18"/>
          <w:rtl/>
        </w:rPr>
        <w:t xml:space="preserve"> ואם לא עירו עליו או שעירו עליו וידוע שלא היה שם העכבר כשעירו עליו והשומן בא לפנינו כשהוא קשה</w:t>
      </w:r>
      <w:r>
        <w:rPr>
          <w:rStyle w:val="a7"/>
          <w:rFonts w:asciiTheme="minorBidi" w:hAnsiTheme="minorBidi"/>
          <w:sz w:val="18"/>
          <w:szCs w:val="18"/>
          <w:rtl/>
        </w:rPr>
        <w:footnoteReference w:id="2137"/>
      </w:r>
      <w:r w:rsidRPr="00D65851">
        <w:rPr>
          <w:rFonts w:asciiTheme="minorBidi" w:hAnsiTheme="minorBidi"/>
          <w:sz w:val="18"/>
          <w:szCs w:val="18"/>
          <w:rtl/>
        </w:rPr>
        <w:t xml:space="preserve"> וכן נמצא העכבר עליו סגי ליה בנטילת מקום ולא מחזקינן איסור שמא היה השומן רך כשנפל שם דכבוש הוי כמבושל</w:t>
      </w:r>
      <w:r>
        <w:rPr>
          <w:rFonts w:asciiTheme="minorBidi" w:hAnsiTheme="minorBidi" w:hint="cs"/>
          <w:sz w:val="18"/>
          <w:szCs w:val="18"/>
          <w:rtl/>
        </w:rPr>
        <w:t xml:space="preserve"> </w:t>
      </w:r>
      <w:r w:rsidRPr="00935612">
        <w:rPr>
          <w:rFonts w:asciiTheme="minorBidi" w:hAnsiTheme="minorBidi"/>
          <w:sz w:val="16"/>
          <w:szCs w:val="16"/>
          <w:rtl/>
        </w:rPr>
        <w:t>(רא"ש הג</w:t>
      </w:r>
      <w:r w:rsidRPr="00935612">
        <w:rPr>
          <w:rFonts w:asciiTheme="minorBidi" w:hAnsiTheme="minorBidi" w:hint="cs"/>
          <w:sz w:val="16"/>
          <w:szCs w:val="16"/>
          <w:rtl/>
        </w:rPr>
        <w:t>ה"</w:t>
      </w:r>
      <w:r w:rsidRPr="00935612">
        <w:rPr>
          <w:rFonts w:asciiTheme="minorBidi" w:hAnsiTheme="minorBidi"/>
          <w:sz w:val="16"/>
          <w:szCs w:val="16"/>
          <w:rtl/>
        </w:rPr>
        <w:t>מ הגמ</w:t>
      </w:r>
      <w:r w:rsidRPr="00935612">
        <w:rPr>
          <w:rFonts w:asciiTheme="minorBidi" w:hAnsiTheme="minorBidi" w:hint="cs"/>
          <w:sz w:val="16"/>
          <w:szCs w:val="16"/>
          <w:rtl/>
        </w:rPr>
        <w:t>"</w:t>
      </w:r>
      <w:r w:rsidRPr="00935612">
        <w:rPr>
          <w:rFonts w:asciiTheme="minorBidi" w:hAnsiTheme="minorBidi"/>
          <w:sz w:val="16"/>
          <w:szCs w:val="16"/>
          <w:rtl/>
        </w:rPr>
        <w:t>ר הגש</w:t>
      </w:r>
      <w:r w:rsidRPr="00935612">
        <w:rPr>
          <w:rFonts w:asciiTheme="minorBidi" w:hAnsiTheme="minorBidi" w:hint="cs"/>
          <w:sz w:val="16"/>
          <w:szCs w:val="16"/>
          <w:rtl/>
        </w:rPr>
        <w:t>ע</w:t>
      </w:r>
      <w:r w:rsidRPr="00935612">
        <w:rPr>
          <w:rFonts w:asciiTheme="minorBidi" w:hAnsiTheme="minorBidi"/>
          <w:sz w:val="16"/>
          <w:szCs w:val="16"/>
          <w:rtl/>
        </w:rPr>
        <w:t>"ד ובארוך)</w:t>
      </w:r>
      <w:r w:rsidRPr="00D65851">
        <w:rPr>
          <w:rFonts w:asciiTheme="minorBidi" w:hAnsiTheme="minorBidi"/>
          <w:sz w:val="18"/>
          <w:szCs w:val="18"/>
          <w:rtl/>
        </w:rPr>
        <w:t>, דמותר מכח ספק ספיקא</w:t>
      </w:r>
      <w:r>
        <w:rPr>
          <w:rFonts w:asciiTheme="minorBidi" w:hAnsiTheme="minorBidi" w:hint="cs"/>
          <w:sz w:val="18"/>
          <w:szCs w:val="18"/>
          <w:rtl/>
        </w:rPr>
        <w:t>,</w:t>
      </w:r>
      <w:r w:rsidRPr="00D65851">
        <w:rPr>
          <w:rFonts w:asciiTheme="minorBidi" w:hAnsiTheme="minorBidi"/>
          <w:sz w:val="18"/>
          <w:szCs w:val="18"/>
          <w:rtl/>
        </w:rPr>
        <w:t xml:space="preserve"> ספק נפל שם כשהיה קשה ואם תמצא לומר כשהיה רך שמא נתקשה קודם שיעור כבישה. ובמקום שהשומן מאוס לאכול</w:t>
      </w:r>
      <w:r>
        <w:rPr>
          <w:rStyle w:val="a7"/>
          <w:rFonts w:asciiTheme="minorBidi" w:hAnsiTheme="minorBidi"/>
          <w:sz w:val="18"/>
          <w:szCs w:val="18"/>
          <w:rtl/>
        </w:rPr>
        <w:footnoteReference w:id="2138"/>
      </w:r>
      <w:r w:rsidRPr="00D65851">
        <w:rPr>
          <w:rFonts w:asciiTheme="minorBidi" w:hAnsiTheme="minorBidi"/>
          <w:sz w:val="18"/>
          <w:szCs w:val="18"/>
          <w:rtl/>
        </w:rPr>
        <w:t xml:space="preserve"> אסור להדליקו ג"כ בבית הכנסת משום הקריבהו נא לפחתך </w:t>
      </w:r>
      <w:r w:rsidRPr="00935612">
        <w:rPr>
          <w:rFonts w:asciiTheme="minorBidi" w:hAnsiTheme="minorBidi"/>
          <w:sz w:val="16"/>
          <w:szCs w:val="16"/>
          <w:rtl/>
        </w:rPr>
        <w:t>(מלאכי א ח</w:t>
      </w:r>
      <w:r w:rsidRPr="00935612">
        <w:rPr>
          <w:rFonts w:asciiTheme="minorBidi" w:hAnsiTheme="minorBidi" w:hint="cs"/>
          <w:sz w:val="16"/>
          <w:szCs w:val="16"/>
          <w:rtl/>
        </w:rPr>
        <w:t>,</w:t>
      </w:r>
      <w:r w:rsidRPr="00935612">
        <w:rPr>
          <w:rFonts w:asciiTheme="minorBidi" w:hAnsiTheme="minorBidi"/>
          <w:sz w:val="16"/>
          <w:szCs w:val="16"/>
          <w:rtl/>
        </w:rPr>
        <w:t xml:space="preserve"> ר"ן בשם גאון ורשב"א ור</w:t>
      </w:r>
      <w:r w:rsidRPr="00935612">
        <w:rPr>
          <w:rFonts w:asciiTheme="minorBidi" w:hAnsiTheme="minorBidi" w:hint="cs"/>
          <w:sz w:val="16"/>
          <w:szCs w:val="16"/>
          <w:rtl/>
        </w:rPr>
        <w:t>י"ו</w:t>
      </w:r>
      <w:r w:rsidRPr="00935612">
        <w:rPr>
          <w:rFonts w:asciiTheme="minorBidi" w:hAnsiTheme="minorBidi"/>
          <w:sz w:val="16"/>
          <w:szCs w:val="16"/>
          <w:rtl/>
        </w:rPr>
        <w:t xml:space="preserve"> ואו"ה בשם מרדכי והמחבר בא</w:t>
      </w:r>
      <w:r w:rsidRPr="00935612">
        <w:rPr>
          <w:rFonts w:asciiTheme="minorBidi" w:hAnsiTheme="minorBidi" w:hint="cs"/>
          <w:sz w:val="16"/>
          <w:szCs w:val="16"/>
          <w:rtl/>
        </w:rPr>
        <w:t>ו</w:t>
      </w:r>
      <w:r w:rsidRPr="00935612">
        <w:rPr>
          <w:rFonts w:asciiTheme="minorBidi" w:hAnsiTheme="minorBidi"/>
          <w:sz w:val="16"/>
          <w:szCs w:val="16"/>
          <w:rtl/>
        </w:rPr>
        <w:t>"ח סי' קנד סי"ב)</w:t>
      </w:r>
      <w:r>
        <w:rPr>
          <w:rFonts w:asciiTheme="minorBidi" w:hAnsiTheme="minorBidi" w:hint="cs"/>
          <w:sz w:val="18"/>
          <w:szCs w:val="18"/>
          <w:rtl/>
        </w:rPr>
        <w:t>. ו</w:t>
      </w:r>
      <w:r w:rsidRPr="00D65851">
        <w:rPr>
          <w:rFonts w:asciiTheme="minorBidi" w:hAnsiTheme="minorBidi"/>
          <w:sz w:val="18"/>
          <w:szCs w:val="18"/>
          <w:rtl/>
        </w:rPr>
        <w:t>במקום הפסד גדול יש לסמוך אדברי המקילין</w:t>
      </w:r>
      <w:r>
        <w:rPr>
          <w:rStyle w:val="a7"/>
          <w:rFonts w:asciiTheme="minorBidi" w:hAnsiTheme="minorBidi"/>
          <w:sz w:val="18"/>
          <w:szCs w:val="18"/>
          <w:rtl/>
        </w:rPr>
        <w:footnoteReference w:id="2139"/>
      </w:r>
      <w:r w:rsidRPr="00D65851">
        <w:rPr>
          <w:rFonts w:asciiTheme="minorBidi" w:hAnsiTheme="minorBidi"/>
          <w:sz w:val="18"/>
          <w:szCs w:val="18"/>
          <w:rtl/>
        </w:rPr>
        <w:t>.</w:t>
      </w:r>
      <w:r>
        <w:rPr>
          <w:rFonts w:asciiTheme="minorBidi" w:hAnsiTheme="minorBidi" w:hint="cs"/>
          <w:rtl/>
        </w:rPr>
        <w:t xml:space="preserve"> </w:t>
      </w:r>
    </w:p>
    <w:p w14:paraId="454A8922" w14:textId="77777777" w:rsidR="002C39F4" w:rsidRPr="003024E5" w:rsidRDefault="002C39F4" w:rsidP="002C39F4">
      <w:pPr>
        <w:rPr>
          <w:rFonts w:asciiTheme="minorBidi" w:hAnsiTheme="minorBidi"/>
          <w:rtl/>
        </w:rPr>
      </w:pPr>
    </w:p>
    <w:p w14:paraId="577BC820"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w:t>
      </w:r>
      <w:r w:rsidRPr="00F6458D">
        <w:rPr>
          <w:rFonts w:cs="Arial"/>
          <w:rtl/>
        </w:rPr>
        <w:t xml:space="preserve"> </w:t>
      </w:r>
      <w:r w:rsidRPr="009430EF">
        <w:rPr>
          <w:rFonts w:cs="Arial"/>
          <w:rtl/>
        </w:rPr>
        <w:t>דברים המאוסים שנפשו של אדם קצה בהן כנמלים וכזבובים</w:t>
      </w:r>
      <w:r>
        <w:rPr>
          <w:rFonts w:asciiTheme="minorBidi" w:hAnsiTheme="minorBidi" w:hint="cs"/>
          <w:rtl/>
        </w:rPr>
        <w:t>.</w:t>
      </w:r>
    </w:p>
    <w:p w14:paraId="42B9473F" w14:textId="77777777" w:rsidR="002C39F4" w:rsidRPr="00F6458D" w:rsidRDefault="002C39F4" w:rsidP="002C39F4">
      <w:pPr>
        <w:rPr>
          <w:rFonts w:cs="Arial"/>
          <w:u w:val="single"/>
          <w:rtl/>
        </w:rPr>
      </w:pPr>
      <w:r w:rsidRPr="00F6458D">
        <w:rPr>
          <w:rFonts w:cs="Arial"/>
          <w:u w:val="single"/>
          <w:rtl/>
        </w:rPr>
        <w:t>דברים המאוסים שנפשו של אדם קצה בהן כנמלים וכזבובים</w:t>
      </w:r>
      <w:r>
        <w:rPr>
          <w:rFonts w:cs="Arial" w:hint="cs"/>
          <w:u w:val="single"/>
          <w:rtl/>
        </w:rPr>
        <w:t xml:space="preserve"> ויתושין שכל אדם בדיל מהן למיאוסן</w:t>
      </w:r>
      <w:r w:rsidRPr="00F6458D">
        <w:rPr>
          <w:rFonts w:cs="Arial" w:hint="cs"/>
          <w:u w:val="single"/>
          <w:rtl/>
        </w:rPr>
        <w:t>:</w:t>
      </w:r>
    </w:p>
    <w:p w14:paraId="58EF0AA3" w14:textId="77777777" w:rsidR="002C39F4" w:rsidRDefault="002C39F4" w:rsidP="0032102C">
      <w:pPr>
        <w:pStyle w:val="a8"/>
        <w:numPr>
          <w:ilvl w:val="0"/>
          <w:numId w:val="223"/>
        </w:numPr>
      </w:pPr>
      <w:r w:rsidRPr="00F6458D">
        <w:rPr>
          <w:rFonts w:cs="Arial"/>
          <w:rtl/>
        </w:rPr>
        <w:t>רשב"א</w:t>
      </w:r>
      <w:r w:rsidRPr="00F6458D">
        <w:rPr>
          <w:rFonts w:cs="Arial" w:hint="cs"/>
          <w:rtl/>
        </w:rPr>
        <w:t xml:space="preserve"> </w:t>
      </w:r>
      <w:r>
        <w:rPr>
          <w:rFonts w:cs="Arial" w:hint="cs"/>
          <w:rtl/>
        </w:rPr>
        <w:t xml:space="preserve">ר"פ </w:t>
      </w:r>
      <w:r w:rsidRPr="00F6458D">
        <w:rPr>
          <w:rFonts w:cs="Arial" w:hint="cs"/>
          <w:rtl/>
        </w:rPr>
        <w:t>טור</w:t>
      </w:r>
      <w:r>
        <w:rPr>
          <w:rFonts w:cs="Arial" w:hint="cs"/>
          <w:rtl/>
        </w:rPr>
        <w:t xml:space="preserve"> ו</w:t>
      </w:r>
      <w:r w:rsidRPr="009430EF">
        <w:rPr>
          <w:rFonts w:cs="Arial"/>
          <w:rtl/>
        </w:rPr>
        <w:t>ר"ן</w:t>
      </w:r>
      <w:r>
        <w:rPr>
          <w:rStyle w:val="a7"/>
          <w:rFonts w:cs="Arial"/>
          <w:rtl/>
        </w:rPr>
        <w:footnoteReference w:id="2140"/>
      </w:r>
      <w:r w:rsidRPr="00F6458D">
        <w:rPr>
          <w:rFonts w:cs="Arial" w:hint="cs"/>
          <w:rtl/>
        </w:rPr>
        <w:t>-</w:t>
      </w:r>
      <w:r w:rsidRPr="00F6458D">
        <w:rPr>
          <w:rFonts w:cs="Arial"/>
          <w:rtl/>
        </w:rPr>
        <w:t xml:space="preserve"> אפי' נתערבו בתבשיל ונמחה גופן לתוכו אם ההיתר רבה עליו מותרין ומ</w:t>
      </w:r>
      <w:r>
        <w:rPr>
          <w:rFonts w:cs="Arial" w:hint="cs"/>
          <w:rtl/>
        </w:rPr>
        <w:t>"מ</w:t>
      </w:r>
      <w:r w:rsidRPr="00F6458D">
        <w:rPr>
          <w:rFonts w:cs="Arial"/>
          <w:rtl/>
        </w:rPr>
        <w:t xml:space="preserve"> כל שאפשר לבדוק ולהעביר במסננת בודק ומסנן</w:t>
      </w:r>
      <w:r>
        <w:rPr>
          <w:rStyle w:val="a7"/>
          <w:rFonts w:cs="Arial"/>
          <w:rtl/>
        </w:rPr>
        <w:footnoteReference w:id="2141"/>
      </w:r>
      <w:r w:rsidRPr="00F6458D">
        <w:rPr>
          <w:rFonts w:cs="Arial" w:hint="cs"/>
          <w:sz w:val="16"/>
          <w:szCs w:val="16"/>
          <w:rtl/>
        </w:rPr>
        <w:t xml:space="preserve"> (ל' הטור בשם הרשב"א)</w:t>
      </w:r>
      <w:r w:rsidRPr="00F6458D">
        <w:rPr>
          <w:rFonts w:cs="Arial" w:hint="cs"/>
          <w:rtl/>
        </w:rPr>
        <w:t>.</w:t>
      </w:r>
      <w:r w:rsidRPr="00A647A0">
        <w:rPr>
          <w:rFonts w:hint="cs"/>
          <w:color w:val="E36C0A" w:themeColor="accent6" w:themeShade="BF"/>
          <w:rtl/>
        </w:rPr>
        <w:t xml:space="preserve"> (וכ"פ בשו"ע)</w:t>
      </w:r>
      <w:r>
        <w:rPr>
          <w:rFonts w:hint="cs"/>
          <w:rtl/>
        </w:rPr>
        <w:t xml:space="preserve"> </w:t>
      </w:r>
      <w:r w:rsidRPr="00A647A0">
        <w:rPr>
          <w:rFonts w:hint="cs"/>
          <w:color w:val="00B0F0"/>
          <w:rtl/>
        </w:rPr>
        <w:t>(וכ"פ הרמ"א</w:t>
      </w:r>
      <w:r w:rsidRPr="00A647A0">
        <w:rPr>
          <w:rFonts w:hint="cs"/>
          <w:color w:val="00B0F0"/>
          <w:sz w:val="16"/>
          <w:szCs w:val="16"/>
          <w:rtl/>
        </w:rPr>
        <w:t xml:space="preserve"> </w:t>
      </w:r>
      <w:r>
        <w:rPr>
          <w:rFonts w:hint="cs"/>
          <w:sz w:val="16"/>
          <w:szCs w:val="16"/>
          <w:rtl/>
        </w:rPr>
        <w:t>[בסי' קז סע' ב]</w:t>
      </w:r>
      <w:r w:rsidRPr="00A647A0">
        <w:rPr>
          <w:rFonts w:hint="cs"/>
          <w:color w:val="00B0F0"/>
          <w:rtl/>
        </w:rPr>
        <w:t>)</w:t>
      </w:r>
    </w:p>
    <w:p w14:paraId="6577E561" w14:textId="77777777" w:rsidR="002C39F4" w:rsidRPr="00BA5C70" w:rsidRDefault="002C39F4" w:rsidP="0032102C">
      <w:pPr>
        <w:pStyle w:val="a8"/>
        <w:numPr>
          <w:ilvl w:val="0"/>
          <w:numId w:val="223"/>
        </w:numPr>
        <w:rPr>
          <w:rtl/>
        </w:rPr>
      </w:pPr>
      <w:r>
        <w:rPr>
          <w:rFonts w:cs="Arial" w:hint="cs"/>
          <w:rtl/>
        </w:rPr>
        <w:t>מה</w:t>
      </w:r>
      <w:r w:rsidRPr="00186585">
        <w:rPr>
          <w:rFonts w:cs="Arial"/>
          <w:rtl/>
        </w:rPr>
        <w:t>ר"</w:t>
      </w:r>
      <w:r>
        <w:rPr>
          <w:rFonts w:cs="Arial" w:hint="cs"/>
          <w:rtl/>
        </w:rPr>
        <w:t>ם</w:t>
      </w:r>
      <w:r>
        <w:rPr>
          <w:rFonts w:cs="Arial" w:hint="cs"/>
          <w:sz w:val="16"/>
          <w:szCs w:val="16"/>
          <w:rtl/>
        </w:rPr>
        <w:t xml:space="preserve"> </w:t>
      </w:r>
      <w:r w:rsidRPr="00186585">
        <w:rPr>
          <w:rFonts w:cs="Arial"/>
          <w:rtl/>
        </w:rPr>
        <w:t>רא"</w:t>
      </w:r>
      <w:r>
        <w:rPr>
          <w:rFonts w:cs="Arial" w:hint="cs"/>
          <w:rtl/>
        </w:rPr>
        <w:t>ש שע"ד</w:t>
      </w:r>
      <w:r w:rsidRPr="00186585">
        <w:rPr>
          <w:rFonts w:cs="Arial"/>
          <w:rtl/>
        </w:rPr>
        <w:t xml:space="preserve"> </w:t>
      </w:r>
      <w:r>
        <w:rPr>
          <w:rFonts w:cs="Arial" w:hint="cs"/>
          <w:rtl/>
        </w:rPr>
        <w:t>ואו</w:t>
      </w:r>
      <w:r>
        <w:rPr>
          <w:rFonts w:cs="Arial"/>
          <w:rtl/>
        </w:rPr>
        <w:t>"</w:t>
      </w:r>
      <w:r>
        <w:rPr>
          <w:rFonts w:cs="Arial" w:hint="cs"/>
          <w:rtl/>
        </w:rPr>
        <w:t>ה</w:t>
      </w:r>
      <w:r>
        <w:rPr>
          <w:rStyle w:val="a7"/>
          <w:rFonts w:cs="Arial"/>
          <w:rtl/>
        </w:rPr>
        <w:footnoteReference w:id="2142"/>
      </w:r>
      <w:r>
        <w:rPr>
          <w:rFonts w:cs="Arial" w:hint="cs"/>
          <w:rtl/>
        </w:rPr>
        <w:t xml:space="preserve">- </w:t>
      </w:r>
      <w:r w:rsidRPr="00186585">
        <w:rPr>
          <w:rFonts w:cs="Arial"/>
          <w:rtl/>
        </w:rPr>
        <w:t xml:space="preserve">זבוב אוסר בפליטתו עד </w:t>
      </w:r>
      <w:r>
        <w:rPr>
          <w:rFonts w:cs="Arial" w:hint="cs"/>
          <w:rtl/>
        </w:rPr>
        <w:t>ס'</w:t>
      </w:r>
      <w:r w:rsidRPr="00186585">
        <w:rPr>
          <w:rFonts w:cs="Arial"/>
          <w:rtl/>
        </w:rPr>
        <w:t xml:space="preserve"> כשאר האיסורים ואינו </w:t>
      </w:r>
      <w:r>
        <w:rPr>
          <w:rFonts w:cs="Arial" w:hint="cs"/>
          <w:rtl/>
        </w:rPr>
        <w:t>חילוק</w:t>
      </w:r>
      <w:r w:rsidRPr="00186585">
        <w:rPr>
          <w:rFonts w:cs="Arial"/>
          <w:rtl/>
        </w:rPr>
        <w:t xml:space="preserve"> בין שאר איסורים למידי דבדילי אינשי מיניה מחמת מיאוסו</w:t>
      </w:r>
      <w:r>
        <w:rPr>
          <w:rStyle w:val="a7"/>
          <w:rFonts w:cs="Arial"/>
          <w:rtl/>
        </w:rPr>
        <w:footnoteReference w:id="2143"/>
      </w:r>
      <w:r>
        <w:rPr>
          <w:rFonts w:cs="Arial" w:hint="cs"/>
          <w:rtl/>
        </w:rPr>
        <w:t>.</w:t>
      </w:r>
      <w:r>
        <w:rPr>
          <w:rFonts w:hint="cs"/>
          <w:rtl/>
        </w:rPr>
        <w:t xml:space="preserve"> (וכ"פ הש"ך</w:t>
      </w:r>
      <w:r>
        <w:rPr>
          <w:rFonts w:hint="cs"/>
          <w:sz w:val="16"/>
          <w:szCs w:val="16"/>
          <w:rtl/>
        </w:rPr>
        <w:t xml:space="preserve"> [סי' קז סק"ז]</w:t>
      </w:r>
      <w:r>
        <w:rPr>
          <w:rFonts w:hint="cs"/>
          <w:rtl/>
        </w:rPr>
        <w:t>)</w:t>
      </w:r>
    </w:p>
    <w:p w14:paraId="43A7B618" w14:textId="77777777" w:rsidR="002C39F4" w:rsidRPr="00BA5C70" w:rsidRDefault="002C39F4" w:rsidP="002C39F4">
      <w:pPr>
        <w:ind w:left="360"/>
        <w:rPr>
          <w:rFonts w:cs="Arial"/>
          <w:u w:val="dotted"/>
          <w:rtl/>
        </w:rPr>
      </w:pPr>
      <w:r w:rsidRPr="00BA5C70">
        <w:rPr>
          <w:rFonts w:cs="Arial" w:hint="cs"/>
          <w:u w:val="dotted"/>
          <w:rtl/>
        </w:rPr>
        <w:t xml:space="preserve">ומה הדין אם </w:t>
      </w:r>
      <w:r>
        <w:rPr>
          <w:rFonts w:cs="Arial" w:hint="cs"/>
          <w:u w:val="dotted"/>
          <w:rtl/>
        </w:rPr>
        <w:t>יש באיסור שבתערובת כזית בכדי אכילת פרס</w:t>
      </w:r>
      <w:r w:rsidRPr="00BA5C70">
        <w:rPr>
          <w:rFonts w:cs="Arial" w:hint="cs"/>
          <w:u w:val="dotted"/>
          <w:rtl/>
        </w:rPr>
        <w:t>:</w:t>
      </w:r>
    </w:p>
    <w:p w14:paraId="14019A3A" w14:textId="77777777" w:rsidR="002C39F4" w:rsidRPr="001D295D" w:rsidRDefault="002C39F4" w:rsidP="0032102C">
      <w:pPr>
        <w:pStyle w:val="a8"/>
        <w:numPr>
          <w:ilvl w:val="0"/>
          <w:numId w:val="223"/>
        </w:numPr>
        <w:rPr>
          <w:rFonts w:cs="Arial"/>
          <w:rtl/>
        </w:rPr>
      </w:pPr>
      <w:r w:rsidRPr="00186585">
        <w:rPr>
          <w:rFonts w:cs="Arial"/>
          <w:rtl/>
        </w:rPr>
        <w:t xml:space="preserve">רשב"א </w:t>
      </w:r>
      <w:r w:rsidRPr="00186585">
        <w:rPr>
          <w:rFonts w:cs="Arial" w:hint="cs"/>
          <w:sz w:val="16"/>
          <w:szCs w:val="16"/>
          <w:rtl/>
        </w:rPr>
        <w:t>(להב' הב"י)</w:t>
      </w:r>
      <w:r w:rsidRPr="001D295D">
        <w:rPr>
          <w:rFonts w:cs="Arial"/>
          <w:rtl/>
        </w:rPr>
        <w:t xml:space="preserve"> </w:t>
      </w:r>
      <w:r>
        <w:rPr>
          <w:rFonts w:cs="Arial" w:hint="cs"/>
          <w:rtl/>
        </w:rPr>
        <w:t>ו</w:t>
      </w:r>
      <w:r w:rsidRPr="009430EF">
        <w:rPr>
          <w:rFonts w:cs="Arial"/>
          <w:rtl/>
        </w:rPr>
        <w:t>ר"ן</w:t>
      </w:r>
      <w:r>
        <w:rPr>
          <w:rStyle w:val="a7"/>
          <w:rFonts w:cs="Arial"/>
          <w:rtl/>
        </w:rPr>
        <w:footnoteReference w:id="2144"/>
      </w:r>
      <w:r w:rsidRPr="009430EF">
        <w:rPr>
          <w:rFonts w:cs="Arial"/>
          <w:rtl/>
        </w:rPr>
        <w:t xml:space="preserve"> </w:t>
      </w:r>
      <w:r w:rsidRPr="00BA5C70">
        <w:rPr>
          <w:rFonts w:cs="Arial"/>
          <w:sz w:val="16"/>
          <w:szCs w:val="16"/>
          <w:rtl/>
        </w:rPr>
        <w:t>(ע"ז לב: ד"ה ההוא עכברא)</w:t>
      </w:r>
      <w:r w:rsidRPr="00186585">
        <w:rPr>
          <w:rFonts w:cs="Arial" w:hint="cs"/>
          <w:rtl/>
        </w:rPr>
        <w:t xml:space="preserve">- </w:t>
      </w:r>
      <w:r w:rsidRPr="00186585">
        <w:rPr>
          <w:rFonts w:cs="Arial"/>
          <w:rtl/>
        </w:rPr>
        <w:t>אם נמחה לגמרי לתוך ההיתר אע</w:t>
      </w:r>
      <w:r w:rsidRPr="00186585">
        <w:rPr>
          <w:rFonts w:cs="Arial" w:hint="cs"/>
          <w:rtl/>
        </w:rPr>
        <w:t>"</w:t>
      </w:r>
      <w:r w:rsidRPr="00186585">
        <w:rPr>
          <w:rFonts w:cs="Arial"/>
          <w:rtl/>
        </w:rPr>
        <w:t>פ שיש בו כזית בכדי אכילת פרס מותר</w:t>
      </w:r>
      <w:r>
        <w:rPr>
          <w:rFonts w:cs="Arial" w:hint="cs"/>
          <w:sz w:val="16"/>
          <w:szCs w:val="16"/>
          <w:rtl/>
        </w:rPr>
        <w:t xml:space="preserve"> (ל' הרשב"א)</w:t>
      </w:r>
      <w:r>
        <w:rPr>
          <w:rStyle w:val="a7"/>
          <w:rFonts w:cs="Arial"/>
          <w:rtl/>
        </w:rPr>
        <w:footnoteReference w:id="2145"/>
      </w:r>
      <w:r w:rsidRPr="00186585">
        <w:rPr>
          <w:rFonts w:cs="Arial" w:hint="cs"/>
          <w:rtl/>
        </w:rPr>
        <w:t>.</w:t>
      </w:r>
      <w:r w:rsidRPr="00186585">
        <w:rPr>
          <w:rFonts w:cs="Arial"/>
          <w:rtl/>
        </w:rPr>
        <w:t xml:space="preserve"> </w:t>
      </w:r>
      <w:r w:rsidRPr="001D295D">
        <w:rPr>
          <w:rFonts w:cs="Arial" w:hint="cs"/>
          <w:color w:val="E36C0A" w:themeColor="accent6" w:themeShade="BF"/>
          <w:rtl/>
        </w:rPr>
        <w:t>(וכ"</w:t>
      </w:r>
      <w:r>
        <w:rPr>
          <w:rFonts w:cs="Arial" w:hint="cs"/>
          <w:color w:val="E36C0A" w:themeColor="accent6" w:themeShade="BF"/>
          <w:rtl/>
        </w:rPr>
        <w:t>ס</w:t>
      </w:r>
      <w:r w:rsidRPr="001D295D">
        <w:rPr>
          <w:rFonts w:cs="Arial" w:hint="cs"/>
          <w:color w:val="E36C0A" w:themeColor="accent6" w:themeShade="BF"/>
          <w:rtl/>
        </w:rPr>
        <w:t xml:space="preserve"> בשו"ע)</w:t>
      </w:r>
      <w:r>
        <w:rPr>
          <w:rFonts w:cs="Arial" w:hint="cs"/>
          <w:color w:val="E36C0A" w:themeColor="accent6" w:themeShade="BF"/>
          <w:rtl/>
        </w:rPr>
        <w:t xml:space="preserve"> </w:t>
      </w:r>
      <w:r>
        <w:rPr>
          <w:rFonts w:cs="Arial" w:hint="cs"/>
          <w:rtl/>
        </w:rPr>
        <w:t xml:space="preserve">(וכ"פ ש"ך </w:t>
      </w:r>
      <w:r>
        <w:rPr>
          <w:rFonts w:cs="Arial" w:hint="cs"/>
          <w:sz w:val="16"/>
          <w:szCs w:val="16"/>
          <w:rtl/>
        </w:rPr>
        <w:t xml:space="preserve">[סק"ט] </w:t>
      </w:r>
      <w:r>
        <w:rPr>
          <w:rFonts w:cs="Arial" w:hint="cs"/>
          <w:rtl/>
        </w:rPr>
        <w:t>ופר"ח</w:t>
      </w:r>
      <w:r>
        <w:rPr>
          <w:rFonts w:cs="Arial" w:hint="cs"/>
          <w:sz w:val="16"/>
          <w:szCs w:val="16"/>
          <w:rtl/>
        </w:rPr>
        <w:t xml:space="preserve"> [סק"י]</w:t>
      </w:r>
      <w:r>
        <w:rPr>
          <w:rFonts w:cs="Arial" w:hint="cs"/>
          <w:rtl/>
        </w:rPr>
        <w:t>)</w:t>
      </w:r>
    </w:p>
    <w:p w14:paraId="1C865EF1" w14:textId="77777777" w:rsidR="002C39F4" w:rsidRPr="00186585" w:rsidRDefault="002C39F4" w:rsidP="002C39F4">
      <w:pPr>
        <w:rPr>
          <w:rFonts w:cs="Arial"/>
          <w:u w:val="single"/>
          <w:rtl/>
        </w:rPr>
      </w:pPr>
      <w:r w:rsidRPr="00186585">
        <w:rPr>
          <w:rFonts w:cs="Arial"/>
          <w:u w:val="single"/>
          <w:rtl/>
        </w:rPr>
        <w:t>קדרה של מרק שנפל בה יתוש ולא נמצא</w:t>
      </w:r>
      <w:r w:rsidRPr="00186585">
        <w:rPr>
          <w:rFonts w:cs="Arial" w:hint="cs"/>
          <w:u w:val="single"/>
          <w:rtl/>
        </w:rPr>
        <w:t>:</w:t>
      </w:r>
    </w:p>
    <w:p w14:paraId="69F4FC0B" w14:textId="77777777" w:rsidR="002C39F4" w:rsidRPr="00BA5C70" w:rsidRDefault="002C39F4" w:rsidP="0032102C">
      <w:pPr>
        <w:pStyle w:val="a8"/>
        <w:numPr>
          <w:ilvl w:val="0"/>
          <w:numId w:val="223"/>
        </w:numPr>
      </w:pPr>
      <w:r w:rsidRPr="00BA5C70">
        <w:rPr>
          <w:rFonts w:cs="Arial"/>
          <w:rtl/>
        </w:rPr>
        <w:t xml:space="preserve">רשב"א </w:t>
      </w:r>
      <w:r w:rsidRPr="00BA5C70">
        <w:rPr>
          <w:rFonts w:cs="Arial"/>
          <w:sz w:val="16"/>
          <w:szCs w:val="16"/>
          <w:rtl/>
        </w:rPr>
        <w:t>(ח"א סי' קא)</w:t>
      </w:r>
      <w:r w:rsidRPr="00662B31">
        <w:rPr>
          <w:rFonts w:cs="Arial"/>
          <w:rtl/>
        </w:rPr>
        <w:t xml:space="preserve"> </w:t>
      </w:r>
      <w:r>
        <w:rPr>
          <w:rFonts w:cs="Arial" w:hint="cs"/>
          <w:rtl/>
        </w:rPr>
        <w:t>ו</w:t>
      </w:r>
      <w:r w:rsidRPr="00186585">
        <w:rPr>
          <w:rFonts w:cs="Arial"/>
          <w:rtl/>
        </w:rPr>
        <w:t xml:space="preserve">ריב"ש </w:t>
      </w:r>
      <w:r w:rsidRPr="005C27CF">
        <w:rPr>
          <w:rFonts w:cs="Arial"/>
          <w:sz w:val="16"/>
          <w:szCs w:val="16"/>
          <w:rtl/>
        </w:rPr>
        <w:t>(סי' תמט)</w:t>
      </w:r>
      <w:r w:rsidRPr="00BA5C70">
        <w:rPr>
          <w:rFonts w:cs="Arial" w:hint="cs"/>
          <w:rtl/>
        </w:rPr>
        <w:t xml:space="preserve">- שאלת </w:t>
      </w:r>
      <w:r w:rsidRPr="00BA5C70">
        <w:rPr>
          <w:rFonts w:cs="Arial"/>
          <w:rtl/>
        </w:rPr>
        <w:t>קדרה של מרק שנפל בה יתוש ולא נמצא</w:t>
      </w:r>
      <w:r>
        <w:rPr>
          <w:rFonts w:cs="Arial" w:hint="cs"/>
          <w:rtl/>
        </w:rPr>
        <w:t>,</w:t>
      </w:r>
      <w:r w:rsidRPr="00BA5C70">
        <w:rPr>
          <w:rFonts w:cs="Arial"/>
          <w:rtl/>
        </w:rPr>
        <w:t xml:space="preserve"> אם פירש מהמרק בכף או בקערה</w:t>
      </w:r>
      <w:r w:rsidRPr="00186585">
        <w:rPr>
          <w:rFonts w:cs="Arial"/>
          <w:rtl/>
        </w:rPr>
        <w:t xml:space="preserve"> וראה שאינו שם אע</w:t>
      </w:r>
      <w:r>
        <w:rPr>
          <w:rFonts w:cs="Arial" w:hint="cs"/>
          <w:rtl/>
        </w:rPr>
        <w:t>"</w:t>
      </w:r>
      <w:r w:rsidRPr="00186585">
        <w:rPr>
          <w:rFonts w:cs="Arial"/>
          <w:rtl/>
        </w:rPr>
        <w:t>פ שהמרק שבקדרה אסור שאין ביטול לבריה מה שבכף או בקערה מותר או אסור ואת"ל מותר נדון בו להתיר את הקדרה עצמה אע</w:t>
      </w:r>
      <w:r>
        <w:rPr>
          <w:rFonts w:cs="Arial" w:hint="cs"/>
          <w:rtl/>
        </w:rPr>
        <w:t>"</w:t>
      </w:r>
      <w:r w:rsidRPr="00186585">
        <w:rPr>
          <w:rFonts w:cs="Arial"/>
          <w:rtl/>
        </w:rPr>
        <w:t>פ שבלועה מאותו מרק או לא. תשובה. ברור הוא שאין הבריה אוסרת בכל שהוא מחמת פליטתה אלא מחמת ממשה</w:t>
      </w:r>
      <w:r>
        <w:rPr>
          <w:rFonts w:cs="Arial" w:hint="cs"/>
          <w:rtl/>
        </w:rPr>
        <w:t xml:space="preserve">, </w:t>
      </w:r>
      <w:r w:rsidRPr="00186585">
        <w:rPr>
          <w:rFonts w:cs="Arial"/>
          <w:rtl/>
        </w:rPr>
        <w:t>והוא שתהיה שלימה ושלא נפסדה צורתה</w:t>
      </w:r>
      <w:r>
        <w:rPr>
          <w:rFonts w:cs="Arial" w:hint="cs"/>
          <w:rtl/>
        </w:rPr>
        <w:t>,</w:t>
      </w:r>
      <w:r w:rsidRPr="00186585">
        <w:rPr>
          <w:rFonts w:cs="Arial"/>
          <w:rtl/>
        </w:rPr>
        <w:t xml:space="preserve"> הא אם נחתך ממנה אבר או אפילו היא שלימה ונתרסקה ונפסדה צורתה </w:t>
      </w:r>
      <w:r>
        <w:rPr>
          <w:rFonts w:cs="Arial" w:hint="cs"/>
          <w:rtl/>
        </w:rPr>
        <w:t xml:space="preserve">- </w:t>
      </w:r>
      <w:r w:rsidRPr="00186585">
        <w:rPr>
          <w:rFonts w:cs="Arial"/>
          <w:rtl/>
        </w:rPr>
        <w:t>אבד שמה והוי כשאר איסורין ובטלה</w:t>
      </w:r>
      <w:r>
        <w:rPr>
          <w:rFonts w:cs="Arial" w:hint="cs"/>
          <w:rtl/>
        </w:rPr>
        <w:t>,</w:t>
      </w:r>
      <w:r w:rsidRPr="00186585">
        <w:rPr>
          <w:rFonts w:cs="Arial"/>
          <w:rtl/>
        </w:rPr>
        <w:t xml:space="preserve"> ומעתה מה שנבדק מן המרק ובידוע שאין בו גוף הבריה כמו שנפל שם מותר ואין כאן משום ספק</w:t>
      </w:r>
      <w:r>
        <w:rPr>
          <w:rFonts w:cs="Arial" w:hint="cs"/>
          <w:rtl/>
        </w:rPr>
        <w:t>,</w:t>
      </w:r>
      <w:r w:rsidRPr="00186585">
        <w:rPr>
          <w:rFonts w:cs="Arial"/>
          <w:rtl/>
        </w:rPr>
        <w:t xml:space="preserve"> והקדרה עצמה מותרת בידוע שלא בלעה את הבריה כמו שהיא ולא תפלטנה כמו שהיא</w:t>
      </w:r>
      <w:r>
        <w:rPr>
          <w:rStyle w:val="a7"/>
          <w:rFonts w:cs="Arial"/>
          <w:rtl/>
        </w:rPr>
        <w:footnoteReference w:id="2146"/>
      </w:r>
      <w:r w:rsidRPr="00186585">
        <w:rPr>
          <w:rFonts w:cs="Arial"/>
          <w:rtl/>
        </w:rPr>
        <w:t xml:space="preserve">. </w:t>
      </w:r>
    </w:p>
    <w:p w14:paraId="7676308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F31630C" w14:textId="77777777" w:rsidR="002C39F4" w:rsidRPr="003024E5" w:rsidRDefault="002C39F4" w:rsidP="002C39F4">
      <w:pPr>
        <w:rPr>
          <w:rFonts w:asciiTheme="minorBidi" w:hAnsiTheme="minorBidi"/>
          <w:rtl/>
        </w:rPr>
      </w:pPr>
      <w:r w:rsidRPr="003024E5">
        <w:rPr>
          <w:rFonts w:asciiTheme="minorBidi" w:hAnsiTheme="minorBidi"/>
          <w:rtl/>
        </w:rPr>
        <w:t>דברים המאוסים שנפשו של אדם קצה בהם כנמלים וזבובים ויתושים שכל אדם בודל מהם למיאוסן אפילו נתערבו בתבשיל ונמחה גופן לתוכו אם ההיתר רבה עליו מותרים</w:t>
      </w:r>
      <w:r>
        <w:rPr>
          <w:rFonts w:asciiTheme="minorBidi" w:hAnsiTheme="minorBidi" w:hint="cs"/>
          <w:rtl/>
        </w:rPr>
        <w:t>,</w:t>
      </w:r>
      <w:r w:rsidRPr="003024E5">
        <w:rPr>
          <w:rFonts w:asciiTheme="minorBidi" w:hAnsiTheme="minorBidi"/>
          <w:rtl/>
        </w:rPr>
        <w:t xml:space="preserve"> ומכל מקום כל שאפשר לבדוק ולהעביר במסננת בודק ומסנן. </w:t>
      </w:r>
      <w:r>
        <w:rPr>
          <w:rFonts w:asciiTheme="minorBidi" w:hAnsiTheme="minorBidi" w:hint="cs"/>
          <w:sz w:val="18"/>
          <w:szCs w:val="18"/>
          <w:rtl/>
        </w:rPr>
        <w:t xml:space="preserve">[הגה] </w:t>
      </w:r>
      <w:r w:rsidRPr="00D65851">
        <w:rPr>
          <w:rFonts w:asciiTheme="minorBidi" w:hAnsiTheme="minorBidi"/>
          <w:sz w:val="18"/>
          <w:szCs w:val="18"/>
          <w:rtl/>
        </w:rPr>
        <w:t>מיהו בחלא ושכר יש לחוש כמו בעכבר (ב"י לדעת הרשב"א).</w:t>
      </w:r>
    </w:p>
    <w:p w14:paraId="14B18453" w14:textId="77777777" w:rsidR="002C39F4" w:rsidRPr="003024E5" w:rsidRDefault="002C39F4" w:rsidP="002C39F4">
      <w:pPr>
        <w:rPr>
          <w:rFonts w:asciiTheme="minorBidi" w:hAnsiTheme="minorBidi"/>
          <w:rtl/>
        </w:rPr>
      </w:pPr>
    </w:p>
    <w:p w14:paraId="792E2A22" w14:textId="77777777" w:rsidR="002C39F4" w:rsidRPr="003024E5" w:rsidRDefault="002C39F4" w:rsidP="002C39F4">
      <w:pPr>
        <w:rPr>
          <w:rFonts w:asciiTheme="minorBidi" w:hAnsiTheme="minorBidi"/>
          <w:rtl/>
        </w:rPr>
      </w:pPr>
    </w:p>
    <w:p w14:paraId="7B134D37" w14:textId="77777777" w:rsidR="002C39F4" w:rsidRPr="003024E5" w:rsidRDefault="002C39F4" w:rsidP="002C39F4">
      <w:pPr>
        <w:rPr>
          <w:rFonts w:asciiTheme="minorBidi" w:hAnsiTheme="minorBidi"/>
          <w:rtl/>
        </w:rPr>
      </w:pPr>
    </w:p>
    <w:p w14:paraId="2E86225B"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6AE0BBC5" w14:textId="77777777" w:rsidR="002C39F4" w:rsidRPr="003024E5" w:rsidRDefault="002C39F4" w:rsidP="002C39F4">
      <w:pPr>
        <w:pStyle w:val="1"/>
        <w:rPr>
          <w:rFonts w:asciiTheme="minorBidi" w:hAnsiTheme="minorBidi"/>
          <w:rtl/>
        </w:rPr>
      </w:pPr>
      <w:bookmarkStart w:id="9" w:name="_Hlk507497608"/>
      <w:r w:rsidRPr="003024E5">
        <w:rPr>
          <w:rFonts w:asciiTheme="minorBidi" w:hAnsiTheme="minorBidi"/>
          <w:rtl/>
        </w:rPr>
        <w:t xml:space="preserve">סימן קה: דין איסור שנפל לתוך היתר, ובו י"ד סעיפים. </w:t>
      </w:r>
    </w:p>
    <w:p w14:paraId="4A90760B" w14:textId="77777777" w:rsidR="002C39F4" w:rsidRPr="00794D7C"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כבוש.</w:t>
      </w:r>
    </w:p>
    <w:p w14:paraId="230D590B" w14:textId="77777777" w:rsidR="002C39F4" w:rsidRDefault="002C39F4" w:rsidP="002C39F4">
      <w:pPr>
        <w:rPr>
          <w:rFonts w:cs="Arial"/>
          <w:rtl/>
        </w:rPr>
      </w:pPr>
      <w:r>
        <w:rPr>
          <w:rFonts w:cs="Arial" w:hint="cs"/>
          <w:b/>
          <w:bCs/>
          <w:rtl/>
        </w:rPr>
        <w:t>חולין צז ע"ב</w:t>
      </w:r>
      <w:r>
        <w:rPr>
          <w:rStyle w:val="a7"/>
          <w:rFonts w:cs="Arial"/>
          <w:b/>
          <w:bCs/>
          <w:rtl/>
        </w:rPr>
        <w:footnoteReference w:id="2147"/>
      </w:r>
      <w:r>
        <w:rPr>
          <w:rFonts w:cs="Arial" w:hint="cs"/>
          <w:b/>
          <w:bCs/>
          <w:rtl/>
        </w:rPr>
        <w:t xml:space="preserve">: </w:t>
      </w:r>
      <w:r w:rsidRPr="00620623">
        <w:rPr>
          <w:rFonts w:cs="Arial"/>
          <w:rtl/>
        </w:rPr>
        <w:t xml:space="preserve">מליח </w:t>
      </w:r>
      <w:r>
        <w:rPr>
          <w:rFonts w:cs="Arial" w:hint="cs"/>
          <w:rtl/>
        </w:rPr>
        <w:t xml:space="preserve">- </w:t>
      </w:r>
      <w:r w:rsidRPr="00620623">
        <w:rPr>
          <w:rFonts w:cs="Arial"/>
          <w:rtl/>
        </w:rPr>
        <w:t>הרי הוא כרותח</w:t>
      </w:r>
      <w:r>
        <w:rPr>
          <w:rFonts w:cs="Arial" w:hint="cs"/>
          <w:rtl/>
        </w:rPr>
        <w:t>,</w:t>
      </w:r>
      <w:r w:rsidRPr="00620623">
        <w:rPr>
          <w:rFonts w:cs="Arial"/>
          <w:rtl/>
        </w:rPr>
        <w:t xml:space="preserve"> כבוש </w:t>
      </w:r>
      <w:r>
        <w:rPr>
          <w:rFonts w:cs="Arial" w:hint="cs"/>
          <w:rtl/>
        </w:rPr>
        <w:t xml:space="preserve">- </w:t>
      </w:r>
      <w:r w:rsidRPr="00620623">
        <w:rPr>
          <w:rFonts w:cs="Arial"/>
          <w:rtl/>
        </w:rPr>
        <w:t>הרי הוא כמבושל</w:t>
      </w:r>
      <w:r>
        <w:rPr>
          <w:rFonts w:cs="Arial" w:hint="cs"/>
          <w:rtl/>
        </w:rPr>
        <w:t>.</w:t>
      </w:r>
    </w:p>
    <w:p w14:paraId="521DB4B1" w14:textId="77777777" w:rsidR="002C39F4" w:rsidRPr="00794D7C" w:rsidRDefault="002C39F4" w:rsidP="002C39F4">
      <w:pPr>
        <w:rPr>
          <w:rFonts w:cs="Arial"/>
          <w:u w:val="single"/>
          <w:rtl/>
        </w:rPr>
      </w:pPr>
      <w:r w:rsidRPr="00794D7C">
        <w:rPr>
          <w:rFonts w:cs="Arial" w:hint="cs"/>
          <w:u w:val="single"/>
          <w:rtl/>
        </w:rPr>
        <w:t>עד כמה כבישה אוסרת:</w:t>
      </w:r>
    </w:p>
    <w:p w14:paraId="58A9BEE5" w14:textId="77777777" w:rsidR="002C39F4" w:rsidRDefault="002C39F4" w:rsidP="0032102C">
      <w:pPr>
        <w:pStyle w:val="a8"/>
        <w:numPr>
          <w:ilvl w:val="0"/>
          <w:numId w:val="224"/>
        </w:numPr>
      </w:pPr>
      <w:r w:rsidRPr="00E255E4">
        <w:rPr>
          <w:rFonts w:cs="Arial"/>
          <w:rtl/>
        </w:rPr>
        <w:t xml:space="preserve">רשב"א </w:t>
      </w:r>
      <w:r w:rsidRPr="00794D7C">
        <w:rPr>
          <w:rFonts w:cs="Arial"/>
          <w:sz w:val="16"/>
          <w:szCs w:val="16"/>
          <w:rtl/>
        </w:rPr>
        <w:t>(תוה"ק ב"ד ש"א ד.)</w:t>
      </w:r>
      <w:r w:rsidRPr="00794D7C">
        <w:rPr>
          <w:rFonts w:cs="Arial" w:hint="cs"/>
          <w:sz w:val="16"/>
          <w:szCs w:val="16"/>
          <w:rtl/>
        </w:rPr>
        <w:t xml:space="preserve"> </w:t>
      </w:r>
      <w:r>
        <w:rPr>
          <w:rFonts w:cs="Arial" w:hint="cs"/>
          <w:rtl/>
        </w:rPr>
        <w:t>וטור</w:t>
      </w:r>
      <w:r>
        <w:rPr>
          <w:rFonts w:cs="Arial" w:hint="cs"/>
          <w:sz w:val="16"/>
          <w:szCs w:val="16"/>
          <w:rtl/>
        </w:rPr>
        <w:t xml:space="preserve"> (כ"כ בשמו הב"י)</w:t>
      </w:r>
      <w:r>
        <w:rPr>
          <w:rFonts w:cs="Arial" w:hint="cs"/>
          <w:rtl/>
        </w:rPr>
        <w:t>-</w:t>
      </w:r>
      <w:r w:rsidRPr="00E255E4">
        <w:rPr>
          <w:rFonts w:cs="Arial"/>
          <w:rtl/>
        </w:rPr>
        <w:t xml:space="preserve"> כל הכבושים הרי הם כמבושלים</w:t>
      </w:r>
      <w:r>
        <w:rPr>
          <w:rFonts w:cs="Arial" w:hint="cs"/>
          <w:rtl/>
        </w:rPr>
        <w:t>,</w:t>
      </w:r>
      <w:r w:rsidRPr="00E255E4">
        <w:rPr>
          <w:rFonts w:cs="Arial"/>
          <w:rtl/>
        </w:rPr>
        <w:t xml:space="preserve"> כלומר לענין שטעם האיסור מתפשט בכולו כדרך שמתפשט בבישול</w:t>
      </w:r>
      <w:r>
        <w:rPr>
          <w:rFonts w:cs="Arial" w:hint="cs"/>
          <w:rtl/>
        </w:rPr>
        <w:t xml:space="preserve">. </w:t>
      </w:r>
      <w:r w:rsidRPr="00D26443">
        <w:rPr>
          <w:rFonts w:hint="cs"/>
          <w:color w:val="E36C0A" w:themeColor="accent6" w:themeShade="BF"/>
          <w:rtl/>
        </w:rPr>
        <w:t>(וכ"פ בשו"ע)</w:t>
      </w:r>
    </w:p>
    <w:p w14:paraId="030D33CF" w14:textId="77777777" w:rsidR="002C39F4" w:rsidRDefault="002C39F4" w:rsidP="002C39F4">
      <w:pPr>
        <w:rPr>
          <w:rFonts w:cs="Arial"/>
          <w:rtl/>
        </w:rPr>
      </w:pPr>
      <w:r w:rsidRPr="003F59F4">
        <w:rPr>
          <w:rFonts w:cs="Arial" w:hint="cs"/>
          <w:u w:val="single"/>
          <w:rtl/>
        </w:rPr>
        <w:t>מהו גדר כבוש:</w:t>
      </w:r>
    </w:p>
    <w:p w14:paraId="2C892CCB" w14:textId="77777777" w:rsidR="002C39F4" w:rsidRPr="002E1134" w:rsidRDefault="002C39F4" w:rsidP="0032102C">
      <w:pPr>
        <w:pStyle w:val="a8"/>
        <w:numPr>
          <w:ilvl w:val="0"/>
          <w:numId w:val="223"/>
        </w:numPr>
        <w:rPr>
          <w:rFonts w:cs="Arial"/>
          <w:rtl/>
        </w:rPr>
      </w:pPr>
      <w:r w:rsidRPr="002E1134">
        <w:rPr>
          <w:rFonts w:cs="Arial" w:hint="cs"/>
          <w:rtl/>
        </w:rPr>
        <w:t xml:space="preserve">ריצב"א </w:t>
      </w:r>
      <w:r w:rsidRPr="00620623">
        <w:rPr>
          <w:rFonts w:cs="Arial"/>
          <w:rtl/>
        </w:rPr>
        <w:t xml:space="preserve">ריב"א </w:t>
      </w:r>
      <w:r w:rsidRPr="002E1134">
        <w:rPr>
          <w:rFonts w:cs="Arial"/>
          <w:rtl/>
        </w:rPr>
        <w:t xml:space="preserve">רא"ש </w:t>
      </w:r>
      <w:r>
        <w:rPr>
          <w:rFonts w:cs="Arial" w:hint="cs"/>
          <w:rtl/>
        </w:rPr>
        <w:t>וטור</w:t>
      </w:r>
      <w:r>
        <w:rPr>
          <w:rStyle w:val="a7"/>
          <w:rFonts w:cs="Arial"/>
          <w:rtl/>
        </w:rPr>
        <w:footnoteReference w:id="2148"/>
      </w:r>
      <w:r w:rsidRPr="002E1134">
        <w:rPr>
          <w:rFonts w:cs="Arial" w:hint="cs"/>
          <w:rtl/>
        </w:rPr>
        <w:t>-</w:t>
      </w:r>
      <w:r w:rsidRPr="002E1134">
        <w:rPr>
          <w:rFonts w:cs="Arial"/>
          <w:rtl/>
        </w:rPr>
        <w:t xml:space="preserve"> אם שהה בתוכו יום שלם מע"ל נקרא כבוש ובולע ופולט כמבושל</w:t>
      </w:r>
      <w:r>
        <w:rPr>
          <w:rStyle w:val="a7"/>
          <w:rFonts w:cs="Arial"/>
          <w:rtl/>
        </w:rPr>
        <w:footnoteReference w:id="2149"/>
      </w:r>
      <w:r w:rsidRPr="002E1134">
        <w:rPr>
          <w:rFonts w:cs="Arial" w:hint="cs"/>
          <w:rtl/>
        </w:rPr>
        <w:t>.</w:t>
      </w:r>
      <w:r>
        <w:rPr>
          <w:rFonts w:hint="cs"/>
          <w:color w:val="E36C0A" w:themeColor="accent6" w:themeShade="BF"/>
          <w:rtl/>
        </w:rPr>
        <w:t xml:space="preserve"> </w:t>
      </w:r>
      <w:r w:rsidRPr="00D26443">
        <w:rPr>
          <w:rFonts w:hint="cs"/>
          <w:color w:val="E36C0A" w:themeColor="accent6" w:themeShade="BF"/>
          <w:rtl/>
        </w:rPr>
        <w:t>(וכ"פ בשו"ע)</w:t>
      </w:r>
    </w:p>
    <w:p w14:paraId="2588421D" w14:textId="77777777" w:rsidR="002C39F4" w:rsidRDefault="002C39F4" w:rsidP="0032102C">
      <w:pPr>
        <w:pStyle w:val="a8"/>
        <w:numPr>
          <w:ilvl w:val="0"/>
          <w:numId w:val="223"/>
        </w:numPr>
        <w:rPr>
          <w:rFonts w:cs="Arial"/>
        </w:rPr>
      </w:pPr>
      <w:r w:rsidRPr="002E1134">
        <w:rPr>
          <w:rFonts w:cs="Arial"/>
          <w:rtl/>
        </w:rPr>
        <w:t>ר"ת</w:t>
      </w:r>
      <w:r w:rsidRPr="002E1134">
        <w:rPr>
          <w:rFonts w:cs="Arial" w:hint="cs"/>
          <w:rtl/>
        </w:rPr>
        <w:t xml:space="preserve"> </w:t>
      </w:r>
      <w:r>
        <w:rPr>
          <w:rFonts w:cs="Arial" w:hint="cs"/>
          <w:rtl/>
        </w:rPr>
        <w:t>ו</w:t>
      </w:r>
      <w:r w:rsidRPr="002E1134">
        <w:rPr>
          <w:rFonts w:cs="Arial"/>
          <w:rtl/>
        </w:rPr>
        <w:t>ראבי"</w:t>
      </w:r>
      <w:r>
        <w:rPr>
          <w:rFonts w:cs="Arial" w:hint="cs"/>
          <w:rtl/>
        </w:rPr>
        <w:t>ה</w:t>
      </w:r>
      <w:r>
        <w:rPr>
          <w:rStyle w:val="a7"/>
          <w:rFonts w:cs="Arial"/>
          <w:rtl/>
        </w:rPr>
        <w:footnoteReference w:id="2150"/>
      </w:r>
      <w:r>
        <w:rPr>
          <w:rFonts w:cs="Arial" w:hint="cs"/>
          <w:rtl/>
        </w:rPr>
        <w:t xml:space="preserve">- </w:t>
      </w:r>
      <w:r w:rsidRPr="002E1134">
        <w:rPr>
          <w:rFonts w:cs="Arial"/>
          <w:rtl/>
        </w:rPr>
        <w:t>נראה דכבוש מיקרי ששהה כבר ג' ימים בדבר לח ואז הוי כמבושל ופולט טעם וקולט טעם</w:t>
      </w:r>
      <w:r>
        <w:rPr>
          <w:rStyle w:val="a7"/>
          <w:rFonts w:cs="Arial"/>
          <w:rtl/>
        </w:rPr>
        <w:footnoteReference w:id="2151"/>
      </w:r>
      <w:r>
        <w:rPr>
          <w:rFonts w:cs="Arial" w:hint="cs"/>
          <w:rtl/>
        </w:rPr>
        <w:t>.</w:t>
      </w:r>
      <w:r w:rsidRPr="002E1134">
        <w:rPr>
          <w:rFonts w:cs="Arial"/>
          <w:rtl/>
        </w:rPr>
        <w:t xml:space="preserve"> </w:t>
      </w:r>
      <w:r>
        <w:rPr>
          <w:rFonts w:cs="Arial" w:hint="cs"/>
          <w:rtl/>
        </w:rPr>
        <w:t xml:space="preserve"> </w:t>
      </w:r>
    </w:p>
    <w:p w14:paraId="775D1F42" w14:textId="77777777" w:rsidR="002C39F4" w:rsidRDefault="002C39F4" w:rsidP="0032102C">
      <w:pPr>
        <w:pStyle w:val="a8"/>
        <w:numPr>
          <w:ilvl w:val="0"/>
          <w:numId w:val="223"/>
        </w:numPr>
        <w:rPr>
          <w:rFonts w:cs="Arial"/>
        </w:rPr>
      </w:pPr>
      <w:r w:rsidRPr="00BA5D46">
        <w:rPr>
          <w:rFonts w:cs="Arial"/>
          <w:rtl/>
        </w:rPr>
        <w:t xml:space="preserve">רשב"א </w:t>
      </w:r>
      <w:r w:rsidRPr="00BA5D46">
        <w:rPr>
          <w:rFonts w:cs="Arial"/>
          <w:sz w:val="16"/>
          <w:szCs w:val="16"/>
          <w:rtl/>
        </w:rPr>
        <w:t>(ח"א סי' תקיד)</w:t>
      </w:r>
      <w:r w:rsidRPr="00BA5D46">
        <w:rPr>
          <w:rFonts w:cs="Arial" w:hint="cs"/>
          <w:rtl/>
        </w:rPr>
        <w:t xml:space="preserve">- כל </w:t>
      </w:r>
      <w:r>
        <w:rPr>
          <w:rFonts w:cs="Arial" w:hint="cs"/>
          <w:rtl/>
        </w:rPr>
        <w:t>שנפל</w:t>
      </w:r>
      <w:r w:rsidRPr="00BA5D46">
        <w:rPr>
          <w:rFonts w:cs="Arial"/>
          <w:rtl/>
        </w:rPr>
        <w:t xml:space="preserve"> </w:t>
      </w:r>
      <w:r>
        <w:rPr>
          <w:rFonts w:cs="Arial" w:hint="cs"/>
          <w:rtl/>
        </w:rPr>
        <w:t xml:space="preserve">לדבר שיש </w:t>
      </w:r>
      <w:r w:rsidRPr="00BA5D46">
        <w:rPr>
          <w:rFonts w:cs="Arial"/>
          <w:rtl/>
        </w:rPr>
        <w:t xml:space="preserve">לו קיוהא </w:t>
      </w:r>
      <w:r w:rsidRPr="00BA5D46">
        <w:rPr>
          <w:rFonts w:cs="Arial" w:hint="cs"/>
          <w:sz w:val="16"/>
          <w:szCs w:val="16"/>
          <w:rtl/>
        </w:rPr>
        <w:t xml:space="preserve">{חמיצות קצת} </w:t>
      </w:r>
      <w:r w:rsidRPr="00BA5D46">
        <w:rPr>
          <w:rFonts w:cs="Arial"/>
          <w:rtl/>
        </w:rPr>
        <w:t>הוי ככבוש</w:t>
      </w:r>
      <w:r w:rsidRPr="00BA5D46">
        <w:rPr>
          <w:rFonts w:cs="Arial" w:hint="cs"/>
          <w:rtl/>
        </w:rPr>
        <w:t>, ו</w:t>
      </w:r>
      <w:r>
        <w:rPr>
          <w:rFonts w:cs="Arial" w:hint="cs"/>
          <w:rtl/>
        </w:rPr>
        <w:t>כן</w:t>
      </w:r>
      <w:r w:rsidRPr="00BA5D46">
        <w:rPr>
          <w:rFonts w:cs="Arial"/>
          <w:rtl/>
        </w:rPr>
        <w:t xml:space="preserve"> בדברים החריפין כמלח וחומץ וכיוצא באלו</w:t>
      </w:r>
      <w:r w:rsidRPr="00BA5D46">
        <w:rPr>
          <w:rFonts w:cs="Arial" w:hint="cs"/>
          <w:rtl/>
        </w:rPr>
        <w:t>,</w:t>
      </w:r>
      <w:r w:rsidRPr="00BA5D46">
        <w:rPr>
          <w:rFonts w:cs="Arial"/>
          <w:rtl/>
        </w:rPr>
        <w:t xml:space="preserve"> </w:t>
      </w:r>
      <w:r w:rsidRPr="00BA5D46">
        <w:rPr>
          <w:rFonts w:cs="Arial" w:hint="cs"/>
          <w:rtl/>
        </w:rPr>
        <w:t xml:space="preserve">אבל </w:t>
      </w:r>
      <w:r w:rsidRPr="00BA5D46">
        <w:rPr>
          <w:rFonts w:cs="Arial"/>
          <w:rtl/>
        </w:rPr>
        <w:t xml:space="preserve">צונן לתוך צונן </w:t>
      </w:r>
      <w:r w:rsidRPr="00BA5D46">
        <w:rPr>
          <w:rFonts w:cs="Arial" w:hint="cs"/>
          <w:rtl/>
        </w:rPr>
        <w:t xml:space="preserve">אמר שמואל </w:t>
      </w:r>
      <w:r w:rsidRPr="00BA5D46">
        <w:rPr>
          <w:rFonts w:cs="Arial"/>
          <w:rtl/>
        </w:rPr>
        <w:t>דברי הכל מותר</w:t>
      </w:r>
      <w:r w:rsidRPr="00BA5D46">
        <w:rPr>
          <w:rFonts w:cs="Arial" w:hint="cs"/>
          <w:sz w:val="16"/>
          <w:szCs w:val="16"/>
          <w:rtl/>
        </w:rPr>
        <w:t xml:space="preserve"> (חולין קיא:)</w:t>
      </w:r>
      <w:r w:rsidRPr="00BA5D46">
        <w:rPr>
          <w:rFonts w:cs="Arial"/>
          <w:rtl/>
        </w:rPr>
        <w:t xml:space="preserve"> ולא נתן שיעור לשהיית זה בתוך זה.</w:t>
      </w:r>
    </w:p>
    <w:p w14:paraId="4A85272E" w14:textId="77777777" w:rsidR="002C39F4" w:rsidRDefault="002C39F4" w:rsidP="0032102C">
      <w:pPr>
        <w:pStyle w:val="a8"/>
        <w:numPr>
          <w:ilvl w:val="0"/>
          <w:numId w:val="223"/>
        </w:numPr>
        <w:rPr>
          <w:rFonts w:cs="Arial"/>
        </w:rPr>
      </w:pPr>
      <w:r w:rsidRPr="002E1134">
        <w:rPr>
          <w:rFonts w:cs="Arial"/>
          <w:rtl/>
        </w:rPr>
        <w:t xml:space="preserve">רש"י </w:t>
      </w:r>
      <w:r w:rsidRPr="002E1134">
        <w:rPr>
          <w:rFonts w:cs="Arial"/>
          <w:sz w:val="16"/>
          <w:szCs w:val="16"/>
          <w:rtl/>
        </w:rPr>
        <w:t>(פסחים עו. ד"ה כבוש בחומץ)</w:t>
      </w:r>
      <w:r>
        <w:rPr>
          <w:rFonts w:cs="Arial" w:hint="cs"/>
          <w:rtl/>
        </w:rPr>
        <w:t>-</w:t>
      </w:r>
      <w:r w:rsidRPr="002E1134">
        <w:rPr>
          <w:rFonts w:cs="Arial"/>
          <w:rtl/>
        </w:rPr>
        <w:t xml:space="preserve"> כבוש </w:t>
      </w:r>
      <w:r>
        <w:rPr>
          <w:rFonts w:cs="Arial" w:hint="cs"/>
          <w:rtl/>
        </w:rPr>
        <w:t xml:space="preserve">היינו כבוש </w:t>
      </w:r>
      <w:r w:rsidRPr="002E1134">
        <w:rPr>
          <w:rFonts w:cs="Arial"/>
          <w:rtl/>
        </w:rPr>
        <w:t>בחומץ אבל בלא חומץ אינו כמבושל</w:t>
      </w:r>
      <w:r>
        <w:rPr>
          <w:rStyle w:val="a7"/>
          <w:rFonts w:cs="Arial"/>
          <w:rtl/>
        </w:rPr>
        <w:footnoteReference w:id="2152"/>
      </w:r>
      <w:r>
        <w:rPr>
          <w:rFonts w:cs="Arial" w:hint="cs"/>
          <w:rtl/>
        </w:rPr>
        <w:t xml:space="preserve">. </w:t>
      </w:r>
    </w:p>
    <w:p w14:paraId="713CE174" w14:textId="77777777" w:rsidR="002C39F4" w:rsidRPr="00095F70" w:rsidRDefault="002C39F4" w:rsidP="0032102C">
      <w:pPr>
        <w:pStyle w:val="a8"/>
        <w:numPr>
          <w:ilvl w:val="1"/>
          <w:numId w:val="223"/>
        </w:numPr>
        <w:rPr>
          <w:rFonts w:cs="Arial"/>
          <w:rtl/>
        </w:rPr>
      </w:pPr>
      <w:r w:rsidRPr="00095F70">
        <w:rPr>
          <w:rFonts w:hint="cs"/>
          <w:rtl/>
        </w:rPr>
        <w:t xml:space="preserve">ב"י- </w:t>
      </w:r>
      <w:r w:rsidRPr="00095F70">
        <w:rPr>
          <w:rtl/>
        </w:rPr>
        <w:t>דברי</w:t>
      </w:r>
      <w:r w:rsidRPr="00095F70">
        <w:rPr>
          <w:rFonts w:cs="Arial"/>
          <w:rtl/>
        </w:rPr>
        <w:t xml:space="preserve"> הרא"ש שכתב בשם ריצב"א נלע"ד דברים של טעם ועיקר</w:t>
      </w:r>
      <w:r w:rsidRPr="00095F70">
        <w:rPr>
          <w:rFonts w:cs="Arial" w:hint="cs"/>
          <w:rtl/>
        </w:rPr>
        <w:t>.</w:t>
      </w:r>
      <w:r>
        <w:rPr>
          <w:rFonts w:cs="Arial" w:hint="cs"/>
          <w:rtl/>
        </w:rPr>
        <w:t xml:space="preserve"> </w:t>
      </w:r>
    </w:p>
    <w:p w14:paraId="47A225DD" w14:textId="77777777" w:rsidR="002C39F4" w:rsidRDefault="002C39F4" w:rsidP="002C39F4">
      <w:pPr>
        <w:rPr>
          <w:rFonts w:cs="Arial"/>
          <w:rtl/>
        </w:rPr>
      </w:pPr>
      <w:r>
        <w:rPr>
          <w:rFonts w:cs="Arial" w:hint="cs"/>
          <w:u w:val="single"/>
          <w:rtl/>
        </w:rPr>
        <w:t xml:space="preserve">חתיכה שנפלה </w:t>
      </w:r>
      <w:r w:rsidRPr="00A54042">
        <w:rPr>
          <w:rFonts w:cs="Arial" w:hint="cs"/>
          <w:u w:val="single"/>
          <w:rtl/>
        </w:rPr>
        <w:t>לציר</w:t>
      </w:r>
      <w:r>
        <w:rPr>
          <w:rFonts w:cs="Arial" w:hint="cs"/>
          <w:sz w:val="16"/>
          <w:szCs w:val="16"/>
          <w:u w:val="single"/>
          <w:rtl/>
        </w:rPr>
        <w:t xml:space="preserve"> </w:t>
      </w:r>
      <w:r>
        <w:rPr>
          <w:rFonts w:cs="Arial" w:hint="cs"/>
          <w:u w:val="single"/>
          <w:rtl/>
        </w:rPr>
        <w:t xml:space="preserve"> </w:t>
      </w:r>
      <w:r>
        <w:rPr>
          <w:rFonts w:cs="Arial"/>
          <w:u w:val="single"/>
          <w:rtl/>
        </w:rPr>
        <w:t>–</w:t>
      </w:r>
      <w:r>
        <w:rPr>
          <w:rFonts w:cs="Arial" w:hint="cs"/>
          <w:u w:val="single"/>
          <w:rtl/>
        </w:rPr>
        <w:t xml:space="preserve"> מתי מקרי כבוש</w:t>
      </w:r>
      <w:r w:rsidRPr="00E255E4">
        <w:rPr>
          <w:rFonts w:cs="Arial" w:hint="cs"/>
          <w:u w:val="single"/>
          <w:rtl/>
        </w:rPr>
        <w:t>:</w:t>
      </w:r>
    </w:p>
    <w:p w14:paraId="3293598A" w14:textId="77777777" w:rsidR="002C39F4" w:rsidRDefault="002C39F4" w:rsidP="0032102C">
      <w:pPr>
        <w:pStyle w:val="a8"/>
        <w:numPr>
          <w:ilvl w:val="0"/>
          <w:numId w:val="224"/>
        </w:numPr>
      </w:pPr>
      <w:r w:rsidRPr="00E255E4">
        <w:rPr>
          <w:rFonts w:cs="Arial"/>
          <w:rtl/>
        </w:rPr>
        <w:t>רא"ש</w:t>
      </w:r>
      <w:r w:rsidRPr="00BA5D46">
        <w:rPr>
          <w:rFonts w:cs="Arial"/>
          <w:sz w:val="16"/>
          <w:szCs w:val="16"/>
          <w:rtl/>
        </w:rPr>
        <w:t xml:space="preserve"> (</w:t>
      </w:r>
      <w:r w:rsidRPr="00BA5D46">
        <w:rPr>
          <w:rFonts w:cs="Arial" w:hint="cs"/>
          <w:sz w:val="16"/>
          <w:szCs w:val="16"/>
          <w:rtl/>
        </w:rPr>
        <w:t>פכ"ה ס"</w:t>
      </w:r>
      <w:r w:rsidRPr="00BA5D46">
        <w:rPr>
          <w:rFonts w:cs="Arial"/>
          <w:sz w:val="16"/>
          <w:szCs w:val="16"/>
          <w:rtl/>
        </w:rPr>
        <w:t>ס מט)</w:t>
      </w:r>
      <w:r>
        <w:rPr>
          <w:rFonts w:cs="Arial" w:hint="cs"/>
          <w:rtl/>
        </w:rPr>
        <w:t xml:space="preserve">- </w:t>
      </w:r>
      <w:r w:rsidRPr="00E255E4">
        <w:rPr>
          <w:rFonts w:cs="Arial"/>
          <w:rtl/>
        </w:rPr>
        <w:t>שיעורו הוי כאילו נתנו על האור כדי שירתיח ויתחיל לבשל</w:t>
      </w:r>
      <w:r>
        <w:rPr>
          <w:rFonts w:cs="Arial" w:hint="cs"/>
          <w:rtl/>
        </w:rPr>
        <w:t>,</w:t>
      </w:r>
      <w:r w:rsidRPr="00E255E4">
        <w:rPr>
          <w:rFonts w:cs="Arial"/>
          <w:rtl/>
        </w:rPr>
        <w:t xml:space="preserve"> אם נכבש בתוך הציר כשיעור זה נאסר כל מה שבתוך הציר</w:t>
      </w:r>
      <w:r>
        <w:rPr>
          <w:rFonts w:cs="Arial" w:hint="cs"/>
          <w:rtl/>
        </w:rPr>
        <w:t>,</w:t>
      </w:r>
      <w:r w:rsidRPr="00E255E4">
        <w:rPr>
          <w:rFonts w:cs="Arial"/>
          <w:rtl/>
        </w:rPr>
        <w:t xml:space="preserve"> ובפחות משיעור זה לא נאסר אלא כדי קליפה כדין מליח הרי הוא כרותח</w:t>
      </w:r>
      <w:r>
        <w:rPr>
          <w:rStyle w:val="a7"/>
          <w:rFonts w:cs="Arial"/>
          <w:rtl/>
        </w:rPr>
        <w:footnoteReference w:id="2153"/>
      </w:r>
      <w:r>
        <w:rPr>
          <w:rFonts w:cs="Arial" w:hint="cs"/>
          <w:rtl/>
        </w:rPr>
        <w:t>.</w:t>
      </w:r>
      <w:r w:rsidRPr="00E255E4">
        <w:rPr>
          <w:rFonts w:cs="Arial"/>
          <w:rtl/>
        </w:rPr>
        <w:t xml:space="preserve"> </w:t>
      </w:r>
      <w:r w:rsidRPr="00D26443">
        <w:rPr>
          <w:rFonts w:hint="cs"/>
          <w:color w:val="E36C0A" w:themeColor="accent6" w:themeShade="BF"/>
          <w:rtl/>
        </w:rPr>
        <w:t>(וכ"פ בשו"ע)</w:t>
      </w:r>
    </w:p>
    <w:p w14:paraId="59DEDD32" w14:textId="77777777" w:rsidR="002C39F4" w:rsidRPr="00AF54FC" w:rsidRDefault="002C39F4" w:rsidP="0032102C">
      <w:pPr>
        <w:pStyle w:val="a8"/>
        <w:numPr>
          <w:ilvl w:val="0"/>
          <w:numId w:val="224"/>
        </w:numPr>
      </w:pPr>
      <w:r w:rsidRPr="00AF54FC">
        <w:rPr>
          <w:rFonts w:cs="Arial"/>
          <w:rtl/>
        </w:rPr>
        <w:t>הרב הברצלוני</w:t>
      </w:r>
      <w:r>
        <w:rPr>
          <w:rFonts w:cs="Arial" w:hint="cs"/>
          <w:sz w:val="16"/>
          <w:szCs w:val="16"/>
          <w:rtl/>
        </w:rPr>
        <w:t xml:space="preserve"> (כ"כ הרא"ש בשמו)</w:t>
      </w:r>
      <w:r>
        <w:rPr>
          <w:rFonts w:cs="Arial" w:hint="cs"/>
          <w:rtl/>
        </w:rPr>
        <w:t>-</w:t>
      </w:r>
      <w:r w:rsidRPr="00AF54FC">
        <w:rPr>
          <w:rFonts w:cs="Arial"/>
          <w:rtl/>
        </w:rPr>
        <w:t xml:space="preserve"> צריך שישהה כשיעור צלייה</w:t>
      </w:r>
      <w:r>
        <w:rPr>
          <w:rFonts w:cs="Arial" w:hint="cs"/>
          <w:rtl/>
        </w:rPr>
        <w:t>.</w:t>
      </w:r>
    </w:p>
    <w:p w14:paraId="55D8ADBD" w14:textId="77777777" w:rsidR="002C39F4" w:rsidRDefault="002C39F4" w:rsidP="0032102C">
      <w:pPr>
        <w:pStyle w:val="a8"/>
        <w:numPr>
          <w:ilvl w:val="0"/>
          <w:numId w:val="224"/>
        </w:numPr>
      </w:pPr>
      <w:r w:rsidRPr="00AF54FC">
        <w:rPr>
          <w:rFonts w:cs="Arial"/>
          <w:rtl/>
        </w:rPr>
        <w:t>ר"</w:t>
      </w:r>
      <w:r>
        <w:rPr>
          <w:rFonts w:cs="Arial" w:hint="cs"/>
          <w:rtl/>
        </w:rPr>
        <w:t>ת</w:t>
      </w:r>
      <w:r>
        <w:rPr>
          <w:rFonts w:cs="Arial" w:hint="cs"/>
          <w:sz w:val="16"/>
          <w:szCs w:val="16"/>
          <w:rtl/>
        </w:rPr>
        <w:t xml:space="preserve"> (כ"כ הרא"ש בשמו)</w:t>
      </w:r>
      <w:r>
        <w:rPr>
          <w:rFonts w:cs="Arial" w:hint="cs"/>
          <w:rtl/>
        </w:rPr>
        <w:t xml:space="preserve">- </w:t>
      </w:r>
      <w:r w:rsidRPr="00AF54FC">
        <w:rPr>
          <w:rFonts w:cs="Arial"/>
          <w:rtl/>
        </w:rPr>
        <w:t>נאסר מיד.</w:t>
      </w:r>
      <w:r>
        <w:rPr>
          <w:rFonts w:hint="cs"/>
          <w:rtl/>
        </w:rPr>
        <w:t xml:space="preserve"> </w:t>
      </w:r>
    </w:p>
    <w:p w14:paraId="748E1F0C" w14:textId="77777777" w:rsidR="002C39F4" w:rsidRPr="00BA5D46" w:rsidRDefault="002C39F4" w:rsidP="002C39F4">
      <w:r>
        <w:rPr>
          <w:rFonts w:cs="Arial" w:hint="cs"/>
          <w:b/>
          <w:bCs/>
          <w:rtl/>
        </w:rPr>
        <w:t>פסחים מד ע"ב</w:t>
      </w:r>
      <w:r>
        <w:rPr>
          <w:rStyle w:val="a7"/>
          <w:rFonts w:cs="Arial"/>
          <w:b/>
          <w:bCs/>
          <w:rtl/>
        </w:rPr>
        <w:footnoteReference w:id="2154"/>
      </w:r>
      <w:r>
        <w:rPr>
          <w:rFonts w:cs="Arial" w:hint="cs"/>
          <w:b/>
          <w:bCs/>
          <w:rtl/>
        </w:rPr>
        <w:t xml:space="preserve">: </w:t>
      </w:r>
      <w:r w:rsidRPr="005C5D30">
        <w:rPr>
          <w:rFonts w:cs="Arial"/>
          <w:rtl/>
        </w:rPr>
        <w:t>מבשר בחלב לא גמרינן, דחידוש הוא. ומאי חידוש? אילימא דהאי לחודיה והאי לחודיה שרי, ובהדי הדדי אסור - כלאים נמי, האי לחודיה והאי לחודיה שרי, ובהדדי אסור! אלא: דאי תרו ליה כולי יומא בחלבא - שרי, בשיל ליה בשולי - אסור.</w:t>
      </w:r>
    </w:p>
    <w:p w14:paraId="0B4A0513" w14:textId="77777777" w:rsidR="002C39F4" w:rsidRPr="00794D7C" w:rsidRDefault="002C39F4" w:rsidP="002C39F4">
      <w:pPr>
        <w:rPr>
          <w:sz w:val="16"/>
          <w:szCs w:val="16"/>
        </w:rPr>
      </w:pPr>
      <w:r w:rsidRPr="00794D7C">
        <w:rPr>
          <w:rFonts w:hint="cs"/>
          <w:u w:val="single"/>
          <w:rtl/>
        </w:rPr>
        <w:t xml:space="preserve">כבוש </w:t>
      </w:r>
      <w:r>
        <w:rPr>
          <w:rFonts w:hint="cs"/>
          <w:u w:val="single"/>
          <w:rtl/>
        </w:rPr>
        <w:t xml:space="preserve">כמבושל </w:t>
      </w:r>
      <w:r w:rsidRPr="00794D7C">
        <w:rPr>
          <w:rFonts w:hint="cs"/>
          <w:u w:val="single"/>
          <w:rtl/>
        </w:rPr>
        <w:t>בבשר וחלב</w:t>
      </w:r>
      <w:r>
        <w:rPr>
          <w:rFonts w:hint="cs"/>
          <w:u w:val="single"/>
          <w:rtl/>
        </w:rPr>
        <w:t xml:space="preserve"> </w:t>
      </w:r>
      <w:r>
        <w:rPr>
          <w:u w:val="single"/>
          <w:rtl/>
        </w:rPr>
        <w:t>–</w:t>
      </w:r>
      <w:r>
        <w:rPr>
          <w:rFonts w:hint="cs"/>
          <w:u w:val="single"/>
          <w:rtl/>
        </w:rPr>
        <w:t xml:space="preserve"> דאורייתא או דרבנן</w:t>
      </w:r>
      <w:r w:rsidRPr="00794D7C">
        <w:rPr>
          <w:rFonts w:hint="cs"/>
          <w:u w:val="single"/>
          <w:rtl/>
        </w:rPr>
        <w:t>:</w:t>
      </w:r>
      <w:r>
        <w:rPr>
          <w:rFonts w:hint="cs"/>
          <w:sz w:val="16"/>
          <w:szCs w:val="16"/>
          <w:rtl/>
        </w:rPr>
        <w:t xml:space="preserve">  (ב"י [בדה"ב])</w:t>
      </w:r>
    </w:p>
    <w:p w14:paraId="31B16B2B" w14:textId="77777777" w:rsidR="002C39F4" w:rsidRDefault="002C39F4" w:rsidP="0032102C">
      <w:pPr>
        <w:pStyle w:val="a8"/>
        <w:numPr>
          <w:ilvl w:val="0"/>
          <w:numId w:val="224"/>
        </w:numPr>
      </w:pPr>
      <w:r>
        <w:rPr>
          <w:rFonts w:cs="Arial" w:hint="cs"/>
          <w:rtl/>
        </w:rPr>
        <w:t>או"ה</w:t>
      </w:r>
      <w:r>
        <w:rPr>
          <w:rFonts w:cs="Arial" w:hint="cs"/>
          <w:sz w:val="16"/>
          <w:szCs w:val="16"/>
          <w:rtl/>
        </w:rPr>
        <w:t xml:space="preserve"> (שם)</w:t>
      </w:r>
      <w:r>
        <w:rPr>
          <w:rFonts w:cs="Arial" w:hint="cs"/>
          <w:rtl/>
        </w:rPr>
        <w:t xml:space="preserve">- </w:t>
      </w:r>
      <w:r w:rsidRPr="00794D7C">
        <w:rPr>
          <w:rFonts w:cs="Arial"/>
          <w:rtl/>
        </w:rPr>
        <w:t xml:space="preserve">כבוש בשר בחלב הוי דרבנן וספיקא דרבנן לקולא. </w:t>
      </w:r>
      <w:r w:rsidRPr="00AF54FC">
        <w:rPr>
          <w:rFonts w:hint="cs"/>
          <w:color w:val="00B0F0"/>
          <w:rtl/>
        </w:rPr>
        <w:t>(וכ"פ הרמ"א)</w:t>
      </w:r>
    </w:p>
    <w:p w14:paraId="7E690C1C" w14:textId="77777777" w:rsidR="002C39F4" w:rsidRDefault="002C39F4" w:rsidP="0032102C">
      <w:pPr>
        <w:pStyle w:val="a8"/>
        <w:numPr>
          <w:ilvl w:val="0"/>
          <w:numId w:val="224"/>
        </w:numPr>
      </w:pPr>
      <w:r>
        <w:rPr>
          <w:rFonts w:cs="Arial" w:hint="cs"/>
          <w:rtl/>
        </w:rPr>
        <w:t xml:space="preserve">מרדכי </w:t>
      </w:r>
      <w:r w:rsidRPr="00062BC4">
        <w:rPr>
          <w:rFonts w:cs="Arial" w:hint="cs"/>
          <w:sz w:val="16"/>
          <w:szCs w:val="16"/>
          <w:rtl/>
        </w:rPr>
        <w:t>(ע"ז תתכח)</w:t>
      </w:r>
      <w:r>
        <w:rPr>
          <w:rFonts w:cs="Arial" w:hint="cs"/>
          <w:rtl/>
        </w:rPr>
        <w:t xml:space="preserve"> הג"א </w:t>
      </w:r>
      <w:r>
        <w:rPr>
          <w:rFonts w:cs="Arial" w:hint="cs"/>
          <w:sz w:val="16"/>
          <w:szCs w:val="16"/>
          <w:rtl/>
        </w:rPr>
        <w:t>(ע"ז סי' ל)</w:t>
      </w:r>
      <w:r>
        <w:rPr>
          <w:rFonts w:cs="Arial" w:hint="cs"/>
          <w:rtl/>
        </w:rPr>
        <w:t xml:space="preserve"> ואגור</w:t>
      </w:r>
      <w:r w:rsidRPr="00062BC4">
        <w:rPr>
          <w:rFonts w:cs="Arial" w:hint="cs"/>
          <w:sz w:val="16"/>
          <w:szCs w:val="16"/>
          <w:rtl/>
        </w:rPr>
        <w:t xml:space="preserve"> (או"ה סי' אלף רנד)</w:t>
      </w:r>
      <w:r>
        <w:rPr>
          <w:rFonts w:cs="Arial" w:hint="cs"/>
          <w:rtl/>
        </w:rPr>
        <w:t xml:space="preserve">- </w:t>
      </w:r>
      <w:r w:rsidRPr="00062BC4">
        <w:rPr>
          <w:rFonts w:cs="Arial"/>
          <w:rtl/>
        </w:rPr>
        <w:t>יש להוכיח דאם נאסר בשר בחלב ע"י מליחה או ע"י כיבוש דדוקא באכילה אסור ולא בהנאה ויש דוחין הלכך המתיר בהנאה אין מוחין בידו כל כמה דלא אשכחן ראיה לאיסור</w:t>
      </w:r>
      <w:r>
        <w:rPr>
          <w:rFonts w:cs="Arial" w:hint="cs"/>
          <w:sz w:val="16"/>
          <w:szCs w:val="16"/>
          <w:rtl/>
        </w:rPr>
        <w:t xml:space="preserve"> (ל' המרדכי)</w:t>
      </w:r>
      <w:r w:rsidRPr="00062BC4">
        <w:rPr>
          <w:rFonts w:cs="Arial"/>
          <w:rtl/>
        </w:rPr>
        <w:t>.</w:t>
      </w:r>
    </w:p>
    <w:p w14:paraId="1F0296EB" w14:textId="77777777" w:rsidR="002C39F4" w:rsidRPr="00062BC4" w:rsidRDefault="002C39F4" w:rsidP="0032102C">
      <w:pPr>
        <w:pStyle w:val="a8"/>
        <w:numPr>
          <w:ilvl w:val="0"/>
          <w:numId w:val="224"/>
        </w:numPr>
      </w:pPr>
      <w:r>
        <w:rPr>
          <w:rFonts w:cs="Arial" w:hint="cs"/>
          <w:rtl/>
        </w:rPr>
        <w:t>רי"ו</w:t>
      </w:r>
      <w:r w:rsidRPr="00E255E4">
        <w:rPr>
          <w:rFonts w:cs="Arial"/>
          <w:rtl/>
        </w:rPr>
        <w:t xml:space="preserve"> </w:t>
      </w:r>
      <w:r w:rsidRPr="00794D7C">
        <w:rPr>
          <w:rFonts w:cs="Arial"/>
          <w:sz w:val="16"/>
          <w:szCs w:val="16"/>
          <w:rtl/>
        </w:rPr>
        <w:t>(נט"ו אות כט קלט:)</w:t>
      </w:r>
      <w:r>
        <w:rPr>
          <w:rFonts w:cs="Arial" w:hint="cs"/>
          <w:rtl/>
        </w:rPr>
        <w:t>-</w:t>
      </w:r>
      <w:r w:rsidRPr="00E255E4">
        <w:rPr>
          <w:rFonts w:cs="Arial"/>
          <w:rtl/>
        </w:rPr>
        <w:t xml:space="preserve"> כבוש הרי הוא כמבושל זולתי בשר וחלב דאפילו תרי ליה כולי יומא שרי</w:t>
      </w:r>
      <w:r>
        <w:rPr>
          <w:rStyle w:val="a7"/>
          <w:rFonts w:cs="Arial"/>
          <w:rtl/>
        </w:rPr>
        <w:footnoteReference w:id="2155"/>
      </w:r>
      <w:r>
        <w:rPr>
          <w:rFonts w:cs="Arial" w:hint="cs"/>
          <w:rtl/>
        </w:rPr>
        <w:t>.</w:t>
      </w:r>
      <w:r w:rsidRPr="00E255E4">
        <w:rPr>
          <w:rFonts w:cs="Arial"/>
          <w:rtl/>
        </w:rPr>
        <w:t xml:space="preserve"> </w:t>
      </w:r>
    </w:p>
    <w:p w14:paraId="41647BE1" w14:textId="77777777" w:rsidR="002C39F4" w:rsidRPr="00F62A0B" w:rsidRDefault="002C39F4" w:rsidP="002C39F4">
      <w:pPr>
        <w:rPr>
          <w:sz w:val="16"/>
          <w:szCs w:val="16"/>
        </w:rPr>
      </w:pPr>
      <w:r w:rsidRPr="00F62A0B">
        <w:rPr>
          <w:rFonts w:hint="cs"/>
          <w:u w:val="single"/>
          <w:rtl/>
        </w:rPr>
        <w:t>כבוש כמבושל</w:t>
      </w:r>
      <w:r>
        <w:rPr>
          <w:rFonts w:hint="cs"/>
          <w:u w:val="single"/>
          <w:rtl/>
        </w:rPr>
        <w:t xml:space="preserve"> בשאר איסורין -</w:t>
      </w:r>
      <w:r w:rsidRPr="00F62A0B">
        <w:rPr>
          <w:rFonts w:hint="cs"/>
          <w:u w:val="single"/>
          <w:rtl/>
        </w:rPr>
        <w:t xml:space="preserve"> </w:t>
      </w:r>
      <w:r>
        <w:rPr>
          <w:rFonts w:hint="cs"/>
          <w:u w:val="single"/>
          <w:rtl/>
        </w:rPr>
        <w:t>מ</w:t>
      </w:r>
      <w:r w:rsidRPr="00F62A0B">
        <w:rPr>
          <w:rFonts w:hint="cs"/>
          <w:u w:val="single"/>
          <w:rtl/>
        </w:rPr>
        <w:t xml:space="preserve">דאורייתא או </w:t>
      </w:r>
      <w:r>
        <w:rPr>
          <w:rFonts w:hint="cs"/>
          <w:u w:val="single"/>
          <w:rtl/>
        </w:rPr>
        <w:t>מ</w:t>
      </w:r>
      <w:r w:rsidRPr="00F62A0B">
        <w:rPr>
          <w:rFonts w:hint="cs"/>
          <w:u w:val="single"/>
          <w:rtl/>
        </w:rPr>
        <w:t>דרבנן:</w:t>
      </w:r>
      <w:r>
        <w:rPr>
          <w:rFonts w:hint="cs"/>
          <w:sz w:val="16"/>
          <w:szCs w:val="16"/>
          <w:rtl/>
        </w:rPr>
        <w:t xml:space="preserve">   (דרכ"מ אות א)</w:t>
      </w:r>
    </w:p>
    <w:p w14:paraId="46F13DA8" w14:textId="77777777" w:rsidR="002C39F4" w:rsidRDefault="002C39F4" w:rsidP="0032102C">
      <w:pPr>
        <w:pStyle w:val="a8"/>
        <w:numPr>
          <w:ilvl w:val="0"/>
          <w:numId w:val="224"/>
        </w:numPr>
      </w:pPr>
      <w:r>
        <w:rPr>
          <w:rFonts w:cs="Arial" w:hint="cs"/>
          <w:rtl/>
        </w:rPr>
        <w:t>או</w:t>
      </w:r>
      <w:r>
        <w:rPr>
          <w:rFonts w:cs="Arial"/>
          <w:rtl/>
        </w:rPr>
        <w:t>"</w:t>
      </w:r>
      <w:r>
        <w:rPr>
          <w:rFonts w:cs="Arial" w:hint="cs"/>
          <w:rtl/>
        </w:rPr>
        <w:t>ה</w:t>
      </w:r>
      <w:r w:rsidRPr="00794D7C">
        <w:rPr>
          <w:rFonts w:cs="Arial"/>
          <w:rtl/>
        </w:rPr>
        <w:t xml:space="preserve"> </w:t>
      </w:r>
      <w:r w:rsidRPr="00794D7C">
        <w:rPr>
          <w:rFonts w:cs="Arial" w:hint="cs"/>
          <w:sz w:val="16"/>
          <w:szCs w:val="16"/>
          <w:rtl/>
        </w:rPr>
        <w:t>(</w:t>
      </w:r>
      <w:r w:rsidRPr="00794D7C">
        <w:rPr>
          <w:rFonts w:cs="Arial"/>
          <w:sz w:val="16"/>
          <w:szCs w:val="16"/>
          <w:rtl/>
        </w:rPr>
        <w:t>כלל ל ד</w:t>
      </w:r>
      <w:r w:rsidRPr="00794D7C">
        <w:rPr>
          <w:rFonts w:cs="Arial" w:hint="cs"/>
          <w:sz w:val="16"/>
          <w:szCs w:val="16"/>
          <w:rtl/>
        </w:rPr>
        <w:t>"</w:t>
      </w:r>
      <w:r w:rsidRPr="00794D7C">
        <w:rPr>
          <w:rFonts w:cs="Arial"/>
          <w:sz w:val="16"/>
          <w:szCs w:val="16"/>
          <w:rtl/>
        </w:rPr>
        <w:t>א)</w:t>
      </w:r>
      <w:r>
        <w:rPr>
          <w:rFonts w:cs="Arial" w:hint="cs"/>
          <w:rtl/>
        </w:rPr>
        <w:t>-</w:t>
      </w:r>
      <w:r w:rsidRPr="00794D7C">
        <w:rPr>
          <w:rFonts w:cs="Arial"/>
          <w:rtl/>
        </w:rPr>
        <w:t xml:space="preserve"> כל כבוש כמבושל דאו</w:t>
      </w:r>
      <w:r>
        <w:rPr>
          <w:rFonts w:cs="Arial" w:hint="cs"/>
          <w:rtl/>
        </w:rPr>
        <w:t>',</w:t>
      </w:r>
      <w:r w:rsidRPr="00794D7C">
        <w:rPr>
          <w:rFonts w:cs="Arial"/>
          <w:rtl/>
        </w:rPr>
        <w:t xml:space="preserve"> ולכן ספק אם נכבש יום שלם ספיקו דאו</w:t>
      </w:r>
      <w:r>
        <w:rPr>
          <w:rFonts w:cs="Arial" w:hint="cs"/>
          <w:rtl/>
        </w:rPr>
        <w:t>'</w:t>
      </w:r>
      <w:r w:rsidRPr="00794D7C">
        <w:rPr>
          <w:rFonts w:cs="Arial"/>
          <w:rtl/>
        </w:rPr>
        <w:t xml:space="preserve"> לחומרא</w:t>
      </w:r>
      <w:r>
        <w:rPr>
          <w:rFonts w:cs="Arial" w:hint="cs"/>
          <w:rtl/>
        </w:rPr>
        <w:t>.</w:t>
      </w:r>
      <w:r w:rsidRPr="00794D7C">
        <w:rPr>
          <w:rFonts w:cs="Arial"/>
          <w:rtl/>
        </w:rPr>
        <w:t xml:space="preserve"> </w:t>
      </w:r>
      <w:r w:rsidRPr="00AF54FC">
        <w:rPr>
          <w:rFonts w:hint="cs"/>
          <w:color w:val="00B0F0"/>
          <w:rtl/>
        </w:rPr>
        <w:t>(וכ"פ הרמ"א)</w:t>
      </w:r>
    </w:p>
    <w:p w14:paraId="2FD7247C" w14:textId="77777777" w:rsidR="002C39F4" w:rsidRPr="00F62A0B" w:rsidRDefault="002C39F4" w:rsidP="002C39F4">
      <w:pPr>
        <w:rPr>
          <w:sz w:val="16"/>
          <w:szCs w:val="16"/>
        </w:rPr>
      </w:pPr>
      <w:r>
        <w:rPr>
          <w:rFonts w:hint="cs"/>
          <w:u w:val="single"/>
          <w:rtl/>
        </w:rPr>
        <w:t>חתיכת בשר שנכבשה בחלב אך מקצתה בחלב ומקצתה חוץ לחלב</w:t>
      </w:r>
      <w:r w:rsidRPr="00F62A0B">
        <w:rPr>
          <w:rFonts w:hint="cs"/>
          <w:u w:val="single"/>
          <w:rtl/>
        </w:rPr>
        <w:t>:</w:t>
      </w:r>
      <w:r w:rsidRPr="00F62A0B">
        <w:rPr>
          <w:rFonts w:hint="cs"/>
          <w:sz w:val="16"/>
          <w:szCs w:val="16"/>
          <w:rtl/>
        </w:rPr>
        <w:t xml:space="preserve">   (דרכ"מ אות א)</w:t>
      </w:r>
    </w:p>
    <w:p w14:paraId="6B9F6357" w14:textId="77777777" w:rsidR="002C39F4" w:rsidRPr="00794D7C" w:rsidRDefault="002C39F4" w:rsidP="0032102C">
      <w:pPr>
        <w:pStyle w:val="a8"/>
        <w:numPr>
          <w:ilvl w:val="0"/>
          <w:numId w:val="224"/>
        </w:numPr>
      </w:pPr>
      <w:r>
        <w:rPr>
          <w:rFonts w:cs="Arial" w:hint="cs"/>
          <w:rtl/>
        </w:rPr>
        <w:t>או</w:t>
      </w:r>
      <w:r>
        <w:rPr>
          <w:rFonts w:cs="Arial"/>
          <w:rtl/>
        </w:rPr>
        <w:t>"</w:t>
      </w:r>
      <w:r>
        <w:rPr>
          <w:rFonts w:cs="Arial" w:hint="cs"/>
          <w:rtl/>
        </w:rPr>
        <w:t>ה</w:t>
      </w:r>
      <w:r w:rsidRPr="00794D7C">
        <w:rPr>
          <w:rFonts w:cs="Arial"/>
          <w:rtl/>
        </w:rPr>
        <w:t xml:space="preserve"> </w:t>
      </w:r>
      <w:r w:rsidRPr="00794D7C">
        <w:rPr>
          <w:rFonts w:cs="Arial"/>
          <w:sz w:val="16"/>
          <w:szCs w:val="16"/>
          <w:rtl/>
        </w:rPr>
        <w:t>(</w:t>
      </w:r>
      <w:r w:rsidRPr="00794D7C">
        <w:rPr>
          <w:rFonts w:cs="Arial" w:hint="cs"/>
          <w:sz w:val="16"/>
          <w:szCs w:val="16"/>
          <w:rtl/>
        </w:rPr>
        <w:t xml:space="preserve">כלל ל </w:t>
      </w:r>
      <w:r w:rsidRPr="00794D7C">
        <w:rPr>
          <w:rFonts w:cs="Arial"/>
          <w:sz w:val="16"/>
          <w:szCs w:val="16"/>
          <w:rtl/>
        </w:rPr>
        <w:t>ד</w:t>
      </w:r>
      <w:r w:rsidRPr="00794D7C">
        <w:rPr>
          <w:rFonts w:cs="Arial" w:hint="cs"/>
          <w:sz w:val="16"/>
          <w:szCs w:val="16"/>
          <w:rtl/>
        </w:rPr>
        <w:t>"</w:t>
      </w:r>
      <w:r w:rsidRPr="00794D7C">
        <w:rPr>
          <w:rFonts w:cs="Arial"/>
          <w:sz w:val="16"/>
          <w:szCs w:val="16"/>
          <w:rtl/>
        </w:rPr>
        <w:t>ד)</w:t>
      </w:r>
      <w:r>
        <w:rPr>
          <w:rFonts w:cs="Arial" w:hint="cs"/>
          <w:rtl/>
        </w:rPr>
        <w:t xml:space="preserve">- </w:t>
      </w:r>
      <w:r w:rsidRPr="00794D7C">
        <w:rPr>
          <w:rFonts w:cs="Arial"/>
          <w:rtl/>
        </w:rPr>
        <w:t xml:space="preserve">מה שבתוכה אסור ומה שבחוץ מותר דאין חלב מפעפע למעלה בצונן. </w:t>
      </w:r>
      <w:r>
        <w:rPr>
          <w:rFonts w:hint="cs"/>
          <w:rtl/>
        </w:rPr>
        <w:t>(וכ"פ בת"ח)</w:t>
      </w:r>
    </w:p>
    <w:p w14:paraId="5CB2E695" w14:textId="77777777" w:rsidR="002C39F4" w:rsidRPr="00DF3E74" w:rsidRDefault="002C39F4" w:rsidP="0032102C">
      <w:pPr>
        <w:pStyle w:val="a8"/>
        <w:numPr>
          <w:ilvl w:val="0"/>
          <w:numId w:val="224"/>
        </w:numPr>
        <w:rPr>
          <w:rtl/>
        </w:rPr>
      </w:pPr>
      <w:r w:rsidRPr="00794D7C">
        <w:rPr>
          <w:rFonts w:cs="Arial"/>
          <w:rtl/>
        </w:rPr>
        <w:t xml:space="preserve">מהרי"ש </w:t>
      </w:r>
      <w:r w:rsidRPr="00794D7C">
        <w:rPr>
          <w:rFonts w:cs="Arial" w:hint="cs"/>
          <w:sz w:val="16"/>
          <w:szCs w:val="16"/>
          <w:rtl/>
        </w:rPr>
        <w:t>(כ"כ בשמו ב</w:t>
      </w:r>
      <w:r w:rsidRPr="00794D7C">
        <w:rPr>
          <w:rFonts w:cs="Arial"/>
          <w:sz w:val="16"/>
          <w:szCs w:val="16"/>
          <w:rtl/>
        </w:rPr>
        <w:t>הגה</w:t>
      </w:r>
      <w:r>
        <w:rPr>
          <w:rFonts w:cs="Arial" w:hint="cs"/>
          <w:sz w:val="16"/>
          <w:szCs w:val="16"/>
          <w:rtl/>
        </w:rPr>
        <w:t>ות</w:t>
      </w:r>
      <w:r w:rsidRPr="00794D7C">
        <w:rPr>
          <w:rFonts w:cs="Arial"/>
          <w:sz w:val="16"/>
          <w:szCs w:val="16"/>
          <w:rtl/>
        </w:rPr>
        <w:t xml:space="preserve"> </w:t>
      </w:r>
      <w:r w:rsidRPr="00794D7C">
        <w:rPr>
          <w:rFonts w:cs="Arial" w:hint="cs"/>
          <w:sz w:val="16"/>
          <w:szCs w:val="16"/>
          <w:rtl/>
        </w:rPr>
        <w:t xml:space="preserve">או"ה </w:t>
      </w:r>
      <w:r w:rsidRPr="00F62A0B">
        <w:rPr>
          <w:rFonts w:cs="Arial" w:hint="cs"/>
          <w:sz w:val="14"/>
          <w:szCs w:val="14"/>
          <w:rtl/>
        </w:rPr>
        <w:t>[</w:t>
      </w:r>
      <w:r>
        <w:rPr>
          <w:rFonts w:cs="Arial" w:hint="cs"/>
          <w:sz w:val="14"/>
          <w:szCs w:val="14"/>
          <w:rtl/>
        </w:rPr>
        <w:t>ב</w:t>
      </w:r>
      <w:r w:rsidRPr="00F62A0B">
        <w:rPr>
          <w:rFonts w:cs="Arial"/>
          <w:sz w:val="14"/>
          <w:szCs w:val="14"/>
          <w:rtl/>
        </w:rPr>
        <w:t>סוף הספר</w:t>
      </w:r>
      <w:r>
        <w:rPr>
          <w:rFonts w:cs="Arial" w:hint="cs"/>
          <w:sz w:val="14"/>
          <w:szCs w:val="14"/>
          <w:rtl/>
        </w:rPr>
        <w:t>,</w:t>
      </w:r>
      <w:r w:rsidRPr="00F62A0B">
        <w:rPr>
          <w:rFonts w:cs="Arial"/>
          <w:sz w:val="14"/>
          <w:szCs w:val="14"/>
          <w:rtl/>
        </w:rPr>
        <w:t xml:space="preserve"> </w:t>
      </w:r>
      <w:r>
        <w:rPr>
          <w:rFonts w:cs="Arial" w:hint="cs"/>
          <w:sz w:val="14"/>
          <w:szCs w:val="14"/>
          <w:rtl/>
        </w:rPr>
        <w:t>ל</w:t>
      </w:r>
      <w:r w:rsidRPr="00F62A0B">
        <w:rPr>
          <w:rFonts w:cs="Arial"/>
          <w:sz w:val="14"/>
          <w:szCs w:val="14"/>
          <w:rtl/>
        </w:rPr>
        <w:t>שער ל ד</w:t>
      </w:r>
      <w:r w:rsidRPr="00F62A0B">
        <w:rPr>
          <w:rFonts w:cs="Arial" w:hint="cs"/>
          <w:sz w:val="14"/>
          <w:szCs w:val="14"/>
          <w:rtl/>
        </w:rPr>
        <w:t>"</w:t>
      </w:r>
      <w:r w:rsidRPr="00F62A0B">
        <w:rPr>
          <w:rFonts w:cs="Arial"/>
          <w:sz w:val="14"/>
          <w:szCs w:val="14"/>
          <w:rtl/>
        </w:rPr>
        <w:t>ב</w:t>
      </w:r>
      <w:r>
        <w:rPr>
          <w:rFonts w:cs="Arial" w:hint="cs"/>
          <w:sz w:val="14"/>
          <w:szCs w:val="14"/>
          <w:rtl/>
        </w:rPr>
        <w:t>]</w:t>
      </w:r>
      <w:r w:rsidRPr="00794D7C">
        <w:rPr>
          <w:rFonts w:cs="Arial"/>
          <w:sz w:val="16"/>
          <w:szCs w:val="16"/>
          <w:rtl/>
        </w:rPr>
        <w:t>)</w:t>
      </w:r>
      <w:r>
        <w:rPr>
          <w:rFonts w:cs="Arial" w:hint="cs"/>
          <w:rtl/>
        </w:rPr>
        <w:t xml:space="preserve">- </w:t>
      </w:r>
      <w:r w:rsidRPr="00794D7C">
        <w:rPr>
          <w:rFonts w:cs="Arial"/>
          <w:rtl/>
        </w:rPr>
        <w:t>כולה אסור</w:t>
      </w:r>
      <w:r>
        <w:rPr>
          <w:rFonts w:cs="Arial" w:hint="cs"/>
          <w:rtl/>
        </w:rPr>
        <w:t>ה</w:t>
      </w:r>
      <w:r w:rsidRPr="00794D7C">
        <w:rPr>
          <w:rFonts w:cs="Arial"/>
          <w:rtl/>
        </w:rPr>
        <w:t xml:space="preserve"> דכבוש כמבושל ומתפשט שפיר בכולו אפילו ע"י צונן</w:t>
      </w:r>
      <w:r>
        <w:rPr>
          <w:rFonts w:cs="Arial" w:hint="cs"/>
          <w:rtl/>
        </w:rPr>
        <w:t>.</w:t>
      </w:r>
      <w:r w:rsidRPr="00794D7C">
        <w:rPr>
          <w:rFonts w:cs="Arial"/>
          <w:rtl/>
        </w:rPr>
        <w:t xml:space="preserve"> </w:t>
      </w:r>
    </w:p>
    <w:p w14:paraId="5644C43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7281C8B" w14:textId="77777777" w:rsidR="002C39F4" w:rsidRDefault="002C39F4" w:rsidP="002C39F4">
      <w:pPr>
        <w:rPr>
          <w:rFonts w:asciiTheme="minorBidi" w:hAnsiTheme="minorBidi"/>
          <w:rtl/>
        </w:rPr>
      </w:pPr>
      <w:r w:rsidRPr="003024E5">
        <w:rPr>
          <w:rFonts w:asciiTheme="minorBidi" w:hAnsiTheme="minorBidi"/>
          <w:rtl/>
        </w:rPr>
        <w:t>איסור שנשרה עם היתר מעת לעת בצונן מקרי כבוש והרי הוא כמבושל ונאסר כולו</w:t>
      </w:r>
      <w:r>
        <w:rPr>
          <w:rFonts w:asciiTheme="minorBidi" w:hAnsiTheme="minorBidi" w:hint="cs"/>
          <w:rtl/>
        </w:rPr>
        <w:t>,</w:t>
      </w:r>
      <w:r w:rsidRPr="003024E5">
        <w:rPr>
          <w:rFonts w:asciiTheme="minorBidi" w:hAnsiTheme="minorBidi"/>
          <w:rtl/>
        </w:rPr>
        <w:t xml:space="preserve"> אבל פחות מכאן בהדחה סגי. </w:t>
      </w:r>
      <w:r w:rsidRPr="00794D7C">
        <w:rPr>
          <w:rFonts w:asciiTheme="minorBidi" w:hAnsiTheme="minorBidi"/>
          <w:sz w:val="18"/>
          <w:szCs w:val="18"/>
          <w:rtl/>
        </w:rPr>
        <w:t>הגה: וכל מקום דאמרינן כבוש כמבושל אפילו מה שחוץ לכבישה אסור דעל ידי הכבישה שלמטה מפעפע למעלה כמו בבישול</w:t>
      </w:r>
      <w:r>
        <w:rPr>
          <w:rFonts w:asciiTheme="minorBidi" w:hAnsiTheme="minorBidi" w:hint="cs"/>
          <w:sz w:val="18"/>
          <w:szCs w:val="18"/>
          <w:rtl/>
        </w:rPr>
        <w:t>,</w:t>
      </w:r>
      <w:r w:rsidRPr="00794D7C">
        <w:rPr>
          <w:rFonts w:asciiTheme="minorBidi" w:hAnsiTheme="minorBidi"/>
          <w:sz w:val="18"/>
          <w:szCs w:val="18"/>
          <w:rtl/>
        </w:rPr>
        <w:t xml:space="preserve"> ויש מקילין במה שבחוץ</w:t>
      </w:r>
      <w:r>
        <w:rPr>
          <w:rStyle w:val="a7"/>
          <w:rFonts w:asciiTheme="minorBidi" w:hAnsiTheme="minorBidi"/>
          <w:sz w:val="18"/>
          <w:szCs w:val="18"/>
          <w:rtl/>
        </w:rPr>
        <w:footnoteReference w:id="2156"/>
      </w:r>
      <w:r w:rsidRPr="00794D7C">
        <w:rPr>
          <w:rFonts w:asciiTheme="minorBidi" w:hAnsiTheme="minorBidi"/>
          <w:sz w:val="18"/>
          <w:szCs w:val="18"/>
          <w:rtl/>
        </w:rPr>
        <w:t xml:space="preserve"> (ארו</w:t>
      </w:r>
      <w:r>
        <w:rPr>
          <w:rFonts w:asciiTheme="minorBidi" w:hAnsiTheme="minorBidi" w:hint="cs"/>
          <w:sz w:val="18"/>
          <w:szCs w:val="18"/>
          <w:rtl/>
        </w:rPr>
        <w:t>ך</w:t>
      </w:r>
      <w:r w:rsidRPr="00794D7C">
        <w:rPr>
          <w:rFonts w:asciiTheme="minorBidi" w:hAnsiTheme="minorBidi"/>
          <w:sz w:val="18"/>
          <w:szCs w:val="18"/>
          <w:rtl/>
        </w:rPr>
        <w:t>). וספק כבוש אסור</w:t>
      </w:r>
      <w:r>
        <w:rPr>
          <w:rStyle w:val="a7"/>
          <w:rFonts w:asciiTheme="minorBidi" w:hAnsiTheme="minorBidi"/>
          <w:sz w:val="18"/>
          <w:szCs w:val="18"/>
          <w:rtl/>
        </w:rPr>
        <w:footnoteReference w:id="2157"/>
      </w:r>
      <w:r w:rsidRPr="00794D7C">
        <w:rPr>
          <w:rFonts w:asciiTheme="minorBidi" w:hAnsiTheme="minorBidi"/>
          <w:sz w:val="18"/>
          <w:szCs w:val="18"/>
          <w:rtl/>
        </w:rPr>
        <w:t xml:space="preserve">, מלבד בבשר עם חלב דאזלינן לקולא, דמן התורה אינו אסורה רק בבשול ממש (שם ורש"ל). </w:t>
      </w:r>
      <w:r w:rsidRPr="00D26443">
        <w:rPr>
          <w:rFonts w:asciiTheme="minorBidi" w:hAnsiTheme="minorBidi"/>
          <w:rtl/>
        </w:rPr>
        <w:t>ואם הוא כבוש בתוך ציר או בתוך חומץ</w:t>
      </w:r>
      <w:r>
        <w:rPr>
          <w:rStyle w:val="a7"/>
          <w:rFonts w:cs="Arial"/>
          <w:rtl/>
        </w:rPr>
        <w:footnoteReference w:id="2158"/>
      </w:r>
      <w:r w:rsidRPr="00D26443">
        <w:rPr>
          <w:rFonts w:asciiTheme="minorBidi" w:hAnsiTheme="minorBidi"/>
          <w:rtl/>
        </w:rPr>
        <w:t xml:space="preserve"> אם שהה כדי שיתננו על האור וירתיח ויתחיל להתבשל הרי הוא כמבושל</w:t>
      </w:r>
      <w:r w:rsidRPr="00D26443">
        <w:rPr>
          <w:rFonts w:asciiTheme="minorBidi" w:hAnsiTheme="minorBidi" w:hint="cs"/>
          <w:rtl/>
        </w:rPr>
        <w:t>,</w:t>
      </w:r>
      <w:r w:rsidRPr="00D26443">
        <w:rPr>
          <w:rFonts w:asciiTheme="minorBidi" w:hAnsiTheme="minorBidi"/>
          <w:rtl/>
        </w:rPr>
        <w:t xml:space="preserve"> ובפחות משיעור זה לא נאסר אלא כדי קליפה</w:t>
      </w:r>
      <w:r>
        <w:rPr>
          <w:rStyle w:val="a7"/>
          <w:rFonts w:asciiTheme="minorBidi" w:hAnsiTheme="minorBidi"/>
          <w:rtl/>
        </w:rPr>
        <w:footnoteReference w:id="2159"/>
      </w:r>
      <w:r>
        <w:rPr>
          <w:rFonts w:asciiTheme="minorBidi" w:hAnsiTheme="minorBidi" w:hint="cs"/>
          <w:rtl/>
        </w:rPr>
        <w:t>.</w:t>
      </w:r>
      <w:r w:rsidRPr="00794D7C">
        <w:rPr>
          <w:rFonts w:asciiTheme="minorBidi" w:hAnsiTheme="minorBidi"/>
          <w:sz w:val="18"/>
          <w:szCs w:val="18"/>
          <w:rtl/>
        </w:rPr>
        <w:t xml:space="preserve"> </w:t>
      </w:r>
      <w:r>
        <w:rPr>
          <w:rFonts w:asciiTheme="minorBidi" w:hAnsiTheme="minorBidi" w:hint="cs"/>
          <w:sz w:val="18"/>
          <w:szCs w:val="18"/>
          <w:rtl/>
        </w:rPr>
        <w:t xml:space="preserve">[הגה] </w:t>
      </w:r>
      <w:r w:rsidRPr="00794D7C">
        <w:rPr>
          <w:rFonts w:asciiTheme="minorBidi" w:hAnsiTheme="minorBidi"/>
          <w:sz w:val="18"/>
          <w:szCs w:val="18"/>
          <w:rtl/>
        </w:rPr>
        <w:t>וע</w:t>
      </w:r>
      <w:r>
        <w:rPr>
          <w:rFonts w:asciiTheme="minorBidi" w:hAnsiTheme="minorBidi" w:hint="cs"/>
          <w:sz w:val="18"/>
          <w:szCs w:val="18"/>
          <w:rtl/>
        </w:rPr>
        <w:t>יין לעיל</w:t>
      </w:r>
      <w:r w:rsidRPr="00794D7C">
        <w:rPr>
          <w:rFonts w:asciiTheme="minorBidi" w:hAnsiTheme="minorBidi"/>
          <w:sz w:val="18"/>
          <w:szCs w:val="18"/>
          <w:rtl/>
        </w:rPr>
        <w:t xml:space="preserve"> סימן ע' מדין בשר שנפל לציר.</w:t>
      </w:r>
      <w:r w:rsidRPr="003024E5">
        <w:rPr>
          <w:rFonts w:asciiTheme="minorBidi" w:hAnsiTheme="minorBidi"/>
          <w:rtl/>
        </w:rPr>
        <w:t xml:space="preserve"> </w:t>
      </w:r>
    </w:p>
    <w:p w14:paraId="48DBBA91" w14:textId="77777777" w:rsidR="002C39F4" w:rsidRPr="008C2790" w:rsidRDefault="002C39F4" w:rsidP="002C39F4">
      <w:pPr>
        <w:rPr>
          <w:rFonts w:asciiTheme="minorBidi" w:hAnsiTheme="minorBidi"/>
          <w:u w:val="single"/>
          <w:rtl/>
        </w:rPr>
      </w:pPr>
      <w:r w:rsidRPr="008C2790">
        <w:rPr>
          <w:rFonts w:asciiTheme="minorBidi" w:hAnsiTheme="minorBidi" w:cs="Arial"/>
          <w:u w:val="single"/>
          <w:rtl/>
        </w:rPr>
        <w:t>חלב תפל ששהה מעל</w:t>
      </w:r>
      <w:r>
        <w:rPr>
          <w:rFonts w:asciiTheme="minorBidi" w:hAnsiTheme="minorBidi" w:cs="Arial" w:hint="cs"/>
          <w:u w:val="single"/>
          <w:rtl/>
        </w:rPr>
        <w:t>"ע</w:t>
      </w:r>
      <w:r w:rsidRPr="008C2790">
        <w:rPr>
          <w:rFonts w:asciiTheme="minorBidi" w:hAnsiTheme="minorBidi" w:cs="Arial"/>
          <w:u w:val="single"/>
          <w:rtl/>
        </w:rPr>
        <w:t xml:space="preserve"> בקערה מודחת של בשר בת יומא</w:t>
      </w:r>
      <w:r w:rsidRPr="008C2790">
        <w:rPr>
          <w:rFonts w:asciiTheme="minorBidi" w:hAnsiTheme="minorBidi" w:hint="cs"/>
          <w:u w:val="single"/>
          <w:rtl/>
        </w:rPr>
        <w:t>:</w:t>
      </w:r>
    </w:p>
    <w:p w14:paraId="30911DC0" w14:textId="77777777" w:rsidR="002C39F4" w:rsidRDefault="002C39F4" w:rsidP="0032102C">
      <w:pPr>
        <w:pStyle w:val="a8"/>
        <w:numPr>
          <w:ilvl w:val="0"/>
          <w:numId w:val="225"/>
        </w:numPr>
        <w:rPr>
          <w:rFonts w:asciiTheme="minorBidi" w:hAnsiTheme="minorBidi"/>
        </w:rPr>
      </w:pPr>
      <w:r>
        <w:rPr>
          <w:rFonts w:asciiTheme="minorBidi" w:hAnsiTheme="minorBidi" w:hint="cs"/>
          <w:rtl/>
        </w:rPr>
        <w:t>או</w:t>
      </w:r>
      <w:r>
        <w:rPr>
          <w:rFonts w:asciiTheme="minorBidi" w:hAnsiTheme="minorBidi"/>
          <w:rtl/>
        </w:rPr>
        <w:t>"</w:t>
      </w:r>
      <w:r>
        <w:rPr>
          <w:rFonts w:asciiTheme="minorBidi" w:hAnsiTheme="minorBidi" w:hint="cs"/>
          <w:rtl/>
        </w:rPr>
        <w:t>ה</w:t>
      </w:r>
      <w:r>
        <w:rPr>
          <w:rFonts w:asciiTheme="minorBidi" w:hAnsiTheme="minorBidi" w:hint="cs"/>
          <w:sz w:val="16"/>
          <w:szCs w:val="16"/>
          <w:rtl/>
        </w:rPr>
        <w:t xml:space="preserve"> (כלל ל' ד"ט, וכן בכלל לג ד"ג)</w:t>
      </w:r>
      <w:r>
        <w:rPr>
          <w:rFonts w:asciiTheme="minorBidi" w:hAnsiTheme="minorBidi" w:hint="cs"/>
          <w:rtl/>
        </w:rPr>
        <w:t>-</w:t>
      </w:r>
      <w:r w:rsidRPr="008C2790">
        <w:rPr>
          <w:rFonts w:asciiTheme="minorBidi" w:hAnsiTheme="minorBidi" w:cs="Arial"/>
          <w:rtl/>
        </w:rPr>
        <w:t xml:space="preserve"> אסורים אפי' בדיעבד וה"ה לשאר היתר ששרוי בכלי של איסור בן יומו</w:t>
      </w:r>
      <w:r>
        <w:rPr>
          <w:rFonts w:asciiTheme="minorBidi" w:hAnsiTheme="minorBidi" w:cs="Arial" w:hint="cs"/>
          <w:rtl/>
        </w:rPr>
        <w:t>.</w:t>
      </w:r>
    </w:p>
    <w:p w14:paraId="4A2F16C1" w14:textId="77777777" w:rsidR="002C39F4" w:rsidRDefault="002C39F4" w:rsidP="0032102C">
      <w:pPr>
        <w:pStyle w:val="a8"/>
        <w:numPr>
          <w:ilvl w:val="0"/>
          <w:numId w:val="225"/>
        </w:numPr>
        <w:rPr>
          <w:rFonts w:asciiTheme="minorBidi" w:hAnsiTheme="minorBidi"/>
        </w:rPr>
      </w:pPr>
      <w:r>
        <w:rPr>
          <w:rFonts w:asciiTheme="minorBidi" w:hAnsiTheme="minorBidi" w:hint="cs"/>
          <w:rtl/>
        </w:rPr>
        <w:t>ש"ך</w:t>
      </w:r>
      <w:r w:rsidRPr="008041FA">
        <w:rPr>
          <w:rFonts w:asciiTheme="minorBidi" w:hAnsiTheme="minorBidi" w:hint="cs"/>
          <w:rtl/>
        </w:rPr>
        <w:t xml:space="preserve"> </w:t>
      </w:r>
      <w:r w:rsidRPr="008C2790">
        <w:rPr>
          <w:rFonts w:asciiTheme="minorBidi" w:hAnsiTheme="minorBidi" w:hint="cs"/>
          <w:sz w:val="16"/>
          <w:szCs w:val="16"/>
          <w:rtl/>
        </w:rPr>
        <w:t>(סק"ב)</w:t>
      </w:r>
      <w:r>
        <w:rPr>
          <w:rFonts w:asciiTheme="minorBidi" w:hAnsiTheme="minorBidi" w:hint="cs"/>
          <w:rtl/>
        </w:rPr>
        <w:t>-</w:t>
      </w:r>
      <w:r w:rsidRPr="008C2790">
        <w:rPr>
          <w:rtl/>
        </w:rPr>
        <w:t xml:space="preserve"> </w:t>
      </w:r>
      <w:r w:rsidRPr="008C2790">
        <w:rPr>
          <w:rFonts w:asciiTheme="minorBidi" w:hAnsiTheme="minorBidi" w:cs="Arial"/>
          <w:rtl/>
        </w:rPr>
        <w:t>כיון דלא נעשה כבוש אלא אחר מעל</w:t>
      </w:r>
      <w:r>
        <w:rPr>
          <w:rFonts w:asciiTheme="minorBidi" w:hAnsiTheme="minorBidi" w:cs="Arial" w:hint="cs"/>
          <w:rtl/>
        </w:rPr>
        <w:t>"ע</w:t>
      </w:r>
      <w:r w:rsidRPr="008C2790">
        <w:rPr>
          <w:rFonts w:asciiTheme="minorBidi" w:hAnsiTheme="minorBidi" w:cs="Arial"/>
          <w:rtl/>
        </w:rPr>
        <w:t xml:space="preserve"> א"כ אחר מעל</w:t>
      </w:r>
      <w:r>
        <w:rPr>
          <w:rFonts w:asciiTheme="minorBidi" w:hAnsiTheme="minorBidi" w:cs="Arial" w:hint="cs"/>
          <w:rtl/>
        </w:rPr>
        <w:t>"ע</w:t>
      </w:r>
      <w:r w:rsidRPr="008C2790">
        <w:rPr>
          <w:rFonts w:asciiTheme="minorBidi" w:hAnsiTheme="minorBidi" w:cs="Arial"/>
          <w:rtl/>
        </w:rPr>
        <w:t xml:space="preserve"> נטל"פ</w:t>
      </w:r>
      <w:r>
        <w:rPr>
          <w:rFonts w:asciiTheme="minorBidi" w:hAnsiTheme="minorBidi" w:cs="Arial" w:hint="cs"/>
          <w:rtl/>
        </w:rPr>
        <w:t xml:space="preserve">, </w:t>
      </w:r>
      <w:r w:rsidRPr="008C2790">
        <w:rPr>
          <w:rFonts w:asciiTheme="minorBidi" w:hAnsiTheme="minorBidi" w:cs="Arial"/>
          <w:rtl/>
        </w:rPr>
        <w:t>וגם בלא"ה הא יש פוסקים דלא הוי כבוש אלא בג' ימים וגם בלא"ה הרבה פוסקים דלינת לילה פוגמת</w:t>
      </w:r>
      <w:r>
        <w:rPr>
          <w:rFonts w:asciiTheme="minorBidi" w:hAnsiTheme="minorBidi" w:cs="Arial" w:hint="cs"/>
          <w:rtl/>
        </w:rPr>
        <w:t>.</w:t>
      </w:r>
    </w:p>
    <w:p w14:paraId="0B88D94F" w14:textId="77777777" w:rsidR="002C39F4" w:rsidRPr="00A04B58" w:rsidRDefault="002C39F4" w:rsidP="002C39F4">
      <w:pPr>
        <w:rPr>
          <w:rFonts w:asciiTheme="minorBidi" w:hAnsiTheme="minorBidi"/>
          <w:color w:val="000000" w:themeColor="text1"/>
          <w:rtl/>
        </w:rPr>
      </w:pPr>
      <w:r w:rsidRPr="00A04B58">
        <w:rPr>
          <w:rFonts w:asciiTheme="minorBidi" w:hAnsiTheme="minorBidi" w:hint="cs"/>
          <w:color w:val="000000" w:themeColor="text1"/>
          <w:u w:val="single"/>
          <w:rtl/>
        </w:rPr>
        <w:t>האם איסור שנכבש בכלי אוסר את הכלי:</w:t>
      </w:r>
    </w:p>
    <w:p w14:paraId="1C057475" w14:textId="77777777" w:rsidR="002C39F4" w:rsidRPr="00A04B58" w:rsidRDefault="002C39F4" w:rsidP="0032102C">
      <w:pPr>
        <w:pStyle w:val="a8"/>
        <w:numPr>
          <w:ilvl w:val="0"/>
          <w:numId w:val="225"/>
        </w:numPr>
        <w:rPr>
          <w:rFonts w:asciiTheme="minorBidi" w:hAnsiTheme="minorBidi"/>
          <w:color w:val="000000" w:themeColor="text1"/>
        </w:rPr>
      </w:pPr>
      <w:r w:rsidRPr="00A04B58">
        <w:rPr>
          <w:rFonts w:asciiTheme="minorBidi" w:hAnsiTheme="minorBidi" w:hint="cs"/>
          <w:color w:val="000000" w:themeColor="text1"/>
          <w:rtl/>
        </w:rPr>
        <w:t>או</w:t>
      </w:r>
      <w:r w:rsidRPr="00A04B58">
        <w:rPr>
          <w:rFonts w:asciiTheme="minorBidi" w:hAnsiTheme="minorBidi"/>
          <w:color w:val="000000" w:themeColor="text1"/>
          <w:rtl/>
        </w:rPr>
        <w:t>"</w:t>
      </w:r>
      <w:r w:rsidRPr="00A04B58">
        <w:rPr>
          <w:rFonts w:asciiTheme="minorBidi" w:hAnsiTheme="minorBidi" w:hint="cs"/>
          <w:color w:val="000000" w:themeColor="text1"/>
          <w:rtl/>
        </w:rPr>
        <w:t>ה</w:t>
      </w:r>
      <w:r w:rsidRPr="00A04B58">
        <w:rPr>
          <w:rFonts w:asciiTheme="minorBidi" w:hAnsiTheme="minorBidi" w:hint="cs"/>
          <w:color w:val="000000" w:themeColor="text1"/>
          <w:sz w:val="16"/>
          <w:szCs w:val="16"/>
          <w:rtl/>
        </w:rPr>
        <w:t xml:space="preserve"> (כלל ב ד"ח)</w:t>
      </w:r>
      <w:r w:rsidRPr="00A04B58">
        <w:rPr>
          <w:rFonts w:asciiTheme="minorBidi" w:hAnsiTheme="minorBidi" w:hint="cs"/>
          <w:color w:val="000000" w:themeColor="text1"/>
          <w:rtl/>
        </w:rPr>
        <w:t>-</w:t>
      </w:r>
      <w:r w:rsidRPr="00A04B58">
        <w:rPr>
          <w:rFonts w:asciiTheme="minorBidi" w:hAnsiTheme="minorBidi" w:cs="Arial" w:hint="cs"/>
          <w:color w:val="000000" w:themeColor="text1"/>
          <w:rtl/>
        </w:rPr>
        <w:t xml:space="preserve"> </w:t>
      </w:r>
      <w:r w:rsidRPr="00A04B58">
        <w:rPr>
          <w:rFonts w:asciiTheme="minorBidi" w:hAnsiTheme="minorBidi" w:cs="Arial"/>
          <w:color w:val="000000" w:themeColor="text1"/>
          <w:rtl/>
        </w:rPr>
        <w:t>אם שהה בתוכה שיעור כבישה ודאי אף הכלי אסור אף בדיעבד וצריך ששים נגד כולו אם הוא של עץ וכ"ש של חרס</w:t>
      </w:r>
      <w:r>
        <w:rPr>
          <w:rFonts w:asciiTheme="minorBidi" w:hAnsiTheme="minorBidi" w:cs="Arial" w:hint="cs"/>
          <w:color w:val="000000" w:themeColor="text1"/>
          <w:rtl/>
        </w:rPr>
        <w:t>,</w:t>
      </w:r>
      <w:r w:rsidRPr="00A04B58">
        <w:rPr>
          <w:rFonts w:asciiTheme="minorBidi" w:hAnsiTheme="minorBidi" w:cs="Arial"/>
          <w:color w:val="000000" w:themeColor="text1"/>
          <w:rtl/>
        </w:rPr>
        <w:t xml:space="preserve"> דקי</w:t>
      </w:r>
      <w:r>
        <w:rPr>
          <w:rFonts w:asciiTheme="minorBidi" w:hAnsiTheme="minorBidi" w:cs="Arial" w:hint="cs"/>
          <w:color w:val="000000" w:themeColor="text1"/>
          <w:rtl/>
        </w:rPr>
        <w:t>י"</w:t>
      </w:r>
      <w:r w:rsidRPr="00A04B58">
        <w:rPr>
          <w:rFonts w:asciiTheme="minorBidi" w:hAnsiTheme="minorBidi" w:cs="Arial"/>
          <w:color w:val="000000" w:themeColor="text1"/>
          <w:rtl/>
        </w:rPr>
        <w:t xml:space="preserve">ל כבוש כמבושל ואפילו בכלים </w:t>
      </w:r>
      <w:r w:rsidRPr="00A04B58">
        <w:rPr>
          <w:rFonts w:asciiTheme="minorBidi" w:hAnsiTheme="minorBidi" w:cs="Arial" w:hint="cs"/>
          <w:color w:val="000000" w:themeColor="text1"/>
          <w:sz w:val="16"/>
          <w:szCs w:val="16"/>
          <w:rtl/>
        </w:rPr>
        <w:t>(</w:t>
      </w:r>
      <w:r w:rsidRPr="00A04B58">
        <w:rPr>
          <w:rFonts w:asciiTheme="minorBidi" w:hAnsiTheme="minorBidi" w:cs="Arial"/>
          <w:color w:val="000000" w:themeColor="text1"/>
          <w:sz w:val="16"/>
          <w:szCs w:val="16"/>
          <w:rtl/>
        </w:rPr>
        <w:t>ולא דמי לחבית דיין נסך דשרי בסמ"ק לשום בו שכר לכתחילה דביין נסך הקילו</w:t>
      </w:r>
      <w:r>
        <w:rPr>
          <w:rFonts w:asciiTheme="minorBidi" w:hAnsiTheme="minorBidi" w:cs="Arial" w:hint="cs"/>
          <w:color w:val="000000" w:themeColor="text1"/>
          <w:sz w:val="16"/>
          <w:szCs w:val="16"/>
          <w:rtl/>
        </w:rPr>
        <w:t>)</w:t>
      </w:r>
      <w:r w:rsidRPr="00A04B58">
        <w:rPr>
          <w:rFonts w:asciiTheme="minorBidi" w:hAnsiTheme="minorBidi" w:cs="Arial"/>
          <w:color w:val="000000" w:themeColor="text1"/>
          <w:rtl/>
        </w:rPr>
        <w:t>. אמנם בשל מתכת אין מצריכין ששים נגדו בדיעבד אלא כשנאסר ע"י רותחין. אך לכתחלה מותר לשרות בו פעם אחרת אע</w:t>
      </w:r>
      <w:r>
        <w:rPr>
          <w:rFonts w:asciiTheme="minorBidi" w:hAnsiTheme="minorBidi" w:cs="Arial" w:hint="cs"/>
          <w:color w:val="000000" w:themeColor="text1"/>
          <w:rtl/>
        </w:rPr>
        <w:t>"</w:t>
      </w:r>
      <w:r w:rsidRPr="00A04B58">
        <w:rPr>
          <w:rFonts w:asciiTheme="minorBidi" w:hAnsiTheme="minorBidi" w:cs="Arial"/>
          <w:color w:val="000000" w:themeColor="text1"/>
          <w:rtl/>
        </w:rPr>
        <w:t>פ ששכחו בו הבשר מע"ל דהא אין שורין בו הבשר השני מע"ל ובפחות משיעור זה אינו מפליט כלל אפי' באיסור צלול</w:t>
      </w:r>
      <w:r w:rsidRPr="00A04B58">
        <w:rPr>
          <w:rFonts w:asciiTheme="minorBidi" w:hAnsiTheme="minorBidi" w:hint="cs"/>
          <w:color w:val="000000" w:themeColor="text1"/>
          <w:rtl/>
        </w:rPr>
        <w:t>.</w:t>
      </w:r>
    </w:p>
    <w:p w14:paraId="18516E4B" w14:textId="77777777" w:rsidR="002C39F4" w:rsidRPr="00A04B58" w:rsidRDefault="002C39F4" w:rsidP="0032102C">
      <w:pPr>
        <w:pStyle w:val="a8"/>
        <w:numPr>
          <w:ilvl w:val="0"/>
          <w:numId w:val="225"/>
        </w:numPr>
        <w:rPr>
          <w:rFonts w:asciiTheme="minorBidi" w:hAnsiTheme="minorBidi"/>
          <w:color w:val="000000" w:themeColor="text1"/>
        </w:rPr>
      </w:pPr>
      <w:r w:rsidRPr="00A04B58">
        <w:rPr>
          <w:rFonts w:asciiTheme="minorBidi" w:hAnsiTheme="minorBidi" w:hint="cs"/>
          <w:color w:val="000000" w:themeColor="text1"/>
          <w:rtl/>
        </w:rPr>
        <w:t xml:space="preserve">ט"ז </w:t>
      </w:r>
      <w:r w:rsidRPr="00A04B58">
        <w:rPr>
          <w:rFonts w:asciiTheme="minorBidi" w:hAnsiTheme="minorBidi" w:hint="cs"/>
          <w:color w:val="000000" w:themeColor="text1"/>
          <w:sz w:val="16"/>
          <w:szCs w:val="16"/>
          <w:rtl/>
        </w:rPr>
        <w:t>(סק"א)</w:t>
      </w:r>
      <w:r w:rsidRPr="00A04B58">
        <w:rPr>
          <w:rFonts w:asciiTheme="minorBidi" w:hAnsiTheme="minorBidi" w:hint="cs"/>
          <w:color w:val="000000" w:themeColor="text1"/>
          <w:rtl/>
        </w:rPr>
        <w:t>-</w:t>
      </w:r>
      <w:r w:rsidRPr="00A04B58">
        <w:rPr>
          <w:rtl/>
        </w:rPr>
        <w:t xml:space="preserve"> </w:t>
      </w:r>
      <w:r w:rsidRPr="00A04B58">
        <w:rPr>
          <w:rFonts w:asciiTheme="minorBidi" w:hAnsiTheme="minorBidi" w:cs="Arial"/>
          <w:b/>
          <w:bCs/>
          <w:color w:val="000000" w:themeColor="text1"/>
          <w:rtl/>
        </w:rPr>
        <w:t>בכל</w:t>
      </w:r>
      <w:r w:rsidRPr="00A04B58">
        <w:rPr>
          <w:rFonts w:asciiTheme="minorBidi" w:hAnsiTheme="minorBidi" w:cs="Arial"/>
          <w:color w:val="000000" w:themeColor="text1"/>
          <w:rtl/>
        </w:rPr>
        <w:t xml:space="preserve"> הכלים אין לאסור אותם בדיעבד ע"י שנשרה בם איסור מע"ל</w:t>
      </w:r>
      <w:r>
        <w:rPr>
          <w:rStyle w:val="a7"/>
          <w:rFonts w:asciiTheme="minorBidi" w:hAnsiTheme="minorBidi" w:cs="Arial"/>
          <w:color w:val="000000" w:themeColor="text1"/>
          <w:rtl/>
        </w:rPr>
        <w:footnoteReference w:id="2160"/>
      </w:r>
      <w:r>
        <w:rPr>
          <w:rFonts w:asciiTheme="minorBidi" w:hAnsiTheme="minorBidi" w:cs="Arial" w:hint="cs"/>
          <w:color w:val="000000" w:themeColor="text1"/>
          <w:rtl/>
        </w:rPr>
        <w:t>.</w:t>
      </w:r>
    </w:p>
    <w:p w14:paraId="0700F928" w14:textId="77777777" w:rsidR="002C39F4" w:rsidRPr="0018464C" w:rsidRDefault="002C39F4" w:rsidP="002C39F4">
      <w:pPr>
        <w:rPr>
          <w:rFonts w:asciiTheme="minorBidi" w:hAnsiTheme="minorBidi"/>
          <w:sz w:val="16"/>
          <w:szCs w:val="16"/>
          <w:rtl/>
        </w:rPr>
      </w:pPr>
      <w:r w:rsidRPr="0018464C">
        <w:rPr>
          <w:rFonts w:asciiTheme="minorBidi" w:hAnsiTheme="minorBidi" w:hint="cs"/>
          <w:u w:val="single"/>
          <w:rtl/>
        </w:rPr>
        <w:t>האם כל דבר מקבל טעם ע"י כבישה:</w:t>
      </w:r>
      <w:r>
        <w:rPr>
          <w:rFonts w:asciiTheme="minorBidi" w:hAnsiTheme="minorBidi" w:hint="cs"/>
          <w:sz w:val="16"/>
          <w:szCs w:val="16"/>
          <w:rtl/>
        </w:rPr>
        <w:t xml:space="preserve">  (פת"ש סק"ג)</w:t>
      </w:r>
    </w:p>
    <w:p w14:paraId="4B633910" w14:textId="77777777" w:rsidR="002C39F4" w:rsidRPr="0018464C" w:rsidRDefault="002C39F4" w:rsidP="0032102C">
      <w:pPr>
        <w:pStyle w:val="a8"/>
        <w:numPr>
          <w:ilvl w:val="0"/>
          <w:numId w:val="266"/>
        </w:numPr>
        <w:rPr>
          <w:rFonts w:asciiTheme="minorBidi" w:hAnsiTheme="minorBidi"/>
        </w:rPr>
      </w:pPr>
      <w:r w:rsidRPr="0018464C">
        <w:rPr>
          <w:rFonts w:asciiTheme="minorBidi" w:hAnsiTheme="minorBidi" w:cs="Arial"/>
          <w:rtl/>
        </w:rPr>
        <w:t xml:space="preserve">נו"ב </w:t>
      </w:r>
      <w:r w:rsidRPr="0018464C">
        <w:rPr>
          <w:rFonts w:asciiTheme="minorBidi" w:hAnsiTheme="minorBidi" w:cs="Arial" w:hint="cs"/>
          <w:sz w:val="16"/>
          <w:szCs w:val="16"/>
          <w:rtl/>
        </w:rPr>
        <w:t>(</w:t>
      </w:r>
      <w:r w:rsidRPr="0018464C">
        <w:rPr>
          <w:rFonts w:asciiTheme="minorBidi" w:hAnsiTheme="minorBidi" w:cs="Arial"/>
          <w:sz w:val="16"/>
          <w:szCs w:val="16"/>
          <w:rtl/>
        </w:rPr>
        <w:t>י</w:t>
      </w:r>
      <w:r w:rsidRPr="0018464C">
        <w:rPr>
          <w:rFonts w:asciiTheme="minorBidi" w:hAnsiTheme="minorBidi" w:cs="Arial" w:hint="cs"/>
          <w:sz w:val="16"/>
          <w:szCs w:val="16"/>
          <w:rtl/>
        </w:rPr>
        <w:t>ו</w:t>
      </w:r>
      <w:r w:rsidRPr="0018464C">
        <w:rPr>
          <w:rFonts w:asciiTheme="minorBidi" w:hAnsiTheme="minorBidi" w:cs="Arial"/>
          <w:sz w:val="16"/>
          <w:szCs w:val="16"/>
          <w:rtl/>
        </w:rPr>
        <w:t>"ד סי</w:t>
      </w:r>
      <w:r w:rsidRPr="0018464C">
        <w:rPr>
          <w:rFonts w:asciiTheme="minorBidi" w:hAnsiTheme="minorBidi" w:cs="Arial" w:hint="cs"/>
          <w:sz w:val="16"/>
          <w:szCs w:val="16"/>
          <w:rtl/>
        </w:rPr>
        <w:t>'</w:t>
      </w:r>
      <w:r w:rsidRPr="0018464C">
        <w:rPr>
          <w:rFonts w:asciiTheme="minorBidi" w:hAnsiTheme="minorBidi" w:cs="Arial"/>
          <w:sz w:val="16"/>
          <w:szCs w:val="16"/>
          <w:rtl/>
        </w:rPr>
        <w:t xml:space="preserve"> כו)</w:t>
      </w:r>
      <w:r w:rsidRPr="0018464C">
        <w:rPr>
          <w:rFonts w:asciiTheme="minorBidi" w:hAnsiTheme="minorBidi" w:cs="Arial" w:hint="cs"/>
          <w:rtl/>
        </w:rPr>
        <w:t>-</w:t>
      </w:r>
      <w:r w:rsidRPr="0018464C">
        <w:rPr>
          <w:rFonts w:asciiTheme="minorBidi" w:hAnsiTheme="minorBidi" w:cs="Arial"/>
          <w:rtl/>
        </w:rPr>
        <w:t xml:space="preserve"> הא דכבוש כמבושל אינו כלל לכל הדברים אלא דוקא אותם המפורשים במשניות דשביעית ותרומות וכן בשר טבעו להיות נותן טעם בכבוש אבל יש דברים שאין טבעם לבלוע בכבוש ומש</w:t>
      </w:r>
      <w:r>
        <w:rPr>
          <w:rFonts w:asciiTheme="minorBidi" w:hAnsiTheme="minorBidi" w:cs="Arial" w:hint="cs"/>
          <w:rtl/>
        </w:rPr>
        <w:t xml:space="preserve">ום </w:t>
      </w:r>
      <w:r w:rsidRPr="0018464C">
        <w:rPr>
          <w:rFonts w:asciiTheme="minorBidi" w:hAnsiTheme="minorBidi" w:cs="Arial"/>
          <w:rtl/>
        </w:rPr>
        <w:t>ה</w:t>
      </w:r>
      <w:r>
        <w:rPr>
          <w:rFonts w:asciiTheme="minorBidi" w:hAnsiTheme="minorBidi" w:cs="Arial" w:hint="cs"/>
          <w:rtl/>
        </w:rPr>
        <w:t>כי</w:t>
      </w:r>
      <w:r w:rsidRPr="0018464C">
        <w:rPr>
          <w:rFonts w:asciiTheme="minorBidi" w:hAnsiTheme="minorBidi" w:cs="Arial"/>
          <w:rtl/>
        </w:rPr>
        <w:t xml:space="preserve"> אותם המינים שאין מפורשים שנאסרים בכבוש דאיכא למימר שמא אין טבעם לבלוע בכבוש יש מקום להקל בספק כבוש</w:t>
      </w:r>
      <w:r w:rsidRPr="0018464C">
        <w:rPr>
          <w:rFonts w:asciiTheme="minorBidi" w:hAnsiTheme="minorBidi" w:cs="Arial" w:hint="cs"/>
          <w:rtl/>
        </w:rPr>
        <w:t>.</w:t>
      </w:r>
    </w:p>
    <w:p w14:paraId="38910A3B" w14:textId="77777777" w:rsidR="002C39F4" w:rsidRPr="0018464C" w:rsidRDefault="002C39F4" w:rsidP="002C39F4">
      <w:pPr>
        <w:rPr>
          <w:rFonts w:asciiTheme="minorBidi" w:hAnsiTheme="minorBidi"/>
          <w:rtl/>
        </w:rPr>
      </w:pPr>
    </w:p>
    <w:p w14:paraId="2F425718" w14:textId="77777777" w:rsidR="002C39F4" w:rsidRPr="00AE53F9"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הפלטה והבלעה בכלי שני.</w:t>
      </w:r>
    </w:p>
    <w:p w14:paraId="1F140F82" w14:textId="77777777" w:rsidR="002C39F4" w:rsidRDefault="002C39F4" w:rsidP="002C39F4">
      <w:pPr>
        <w:rPr>
          <w:rFonts w:cs="Arial"/>
          <w:rtl/>
        </w:rPr>
      </w:pPr>
      <w:r w:rsidRPr="009D5C51">
        <w:rPr>
          <w:rFonts w:cs="Arial" w:hint="cs"/>
          <w:u w:val="single"/>
          <w:rtl/>
        </w:rPr>
        <w:t xml:space="preserve">איסור שנפל לתבשיל </w:t>
      </w:r>
      <w:r>
        <w:rPr>
          <w:rFonts w:cs="Arial" w:hint="cs"/>
          <w:u w:val="single"/>
          <w:rtl/>
        </w:rPr>
        <w:t>חם שהיד סולדת בו:</w:t>
      </w:r>
    </w:p>
    <w:p w14:paraId="5FA3B542" w14:textId="77777777" w:rsidR="002C39F4" w:rsidRPr="009D5C51" w:rsidRDefault="002C39F4" w:rsidP="0032102C">
      <w:pPr>
        <w:pStyle w:val="a8"/>
        <w:numPr>
          <w:ilvl w:val="0"/>
          <w:numId w:val="226"/>
        </w:numPr>
        <w:rPr>
          <w:rFonts w:cs="Arial"/>
          <w:rtl/>
        </w:rPr>
      </w:pPr>
      <w:r>
        <w:rPr>
          <w:rFonts w:cs="Arial" w:hint="cs"/>
          <w:rtl/>
        </w:rPr>
        <w:t xml:space="preserve">רשב"א </w:t>
      </w:r>
      <w:r w:rsidRPr="007528F1">
        <w:rPr>
          <w:rFonts w:cs="Arial" w:hint="cs"/>
          <w:sz w:val="16"/>
          <w:szCs w:val="16"/>
          <w:rtl/>
        </w:rPr>
        <w:t>(תוה"ק ב"ד ש"</w:t>
      </w:r>
      <w:r>
        <w:rPr>
          <w:rFonts w:cs="Arial" w:hint="cs"/>
          <w:sz w:val="16"/>
          <w:szCs w:val="16"/>
          <w:rtl/>
        </w:rPr>
        <w:t>א ה:</w:t>
      </w:r>
      <w:r w:rsidRPr="007528F1">
        <w:rPr>
          <w:rFonts w:cs="Arial"/>
          <w:sz w:val="16"/>
          <w:szCs w:val="16"/>
          <w:rtl/>
        </w:rPr>
        <w:t>)</w:t>
      </w:r>
      <w:r>
        <w:rPr>
          <w:rFonts w:cs="Arial" w:hint="cs"/>
          <w:rtl/>
        </w:rPr>
        <w:t xml:space="preserve"> ו</w:t>
      </w:r>
      <w:r w:rsidRPr="009D5C51">
        <w:rPr>
          <w:rFonts w:cs="Arial" w:hint="cs"/>
          <w:rtl/>
        </w:rPr>
        <w:t xml:space="preserve">טור- </w:t>
      </w:r>
      <w:r w:rsidRPr="009D5C51">
        <w:rPr>
          <w:rFonts w:cs="Arial"/>
          <w:rtl/>
        </w:rPr>
        <w:t>אוסר כמו מבושל</w:t>
      </w:r>
      <w:r>
        <w:rPr>
          <w:rStyle w:val="a7"/>
          <w:rFonts w:cs="Arial"/>
          <w:rtl/>
        </w:rPr>
        <w:footnoteReference w:id="2161"/>
      </w:r>
      <w:r w:rsidRPr="009D5C51">
        <w:rPr>
          <w:rFonts w:cs="Arial"/>
          <w:rtl/>
        </w:rPr>
        <w:t xml:space="preserve">. </w:t>
      </w:r>
    </w:p>
    <w:p w14:paraId="266D864F" w14:textId="77777777" w:rsidR="002C39F4" w:rsidRPr="001B7D67" w:rsidRDefault="002C39F4" w:rsidP="002C39F4">
      <w:pPr>
        <w:rPr>
          <w:rFonts w:cs="Arial"/>
          <w:rtl/>
        </w:rPr>
      </w:pPr>
      <w:r>
        <w:rPr>
          <w:rFonts w:cs="Arial" w:hint="cs"/>
          <w:u w:val="single"/>
          <w:rtl/>
        </w:rPr>
        <w:t>היתר</w:t>
      </w:r>
      <w:r w:rsidRPr="001B7D67">
        <w:rPr>
          <w:rFonts w:cs="Arial" w:hint="cs"/>
          <w:u w:val="single"/>
          <w:rtl/>
        </w:rPr>
        <w:t xml:space="preserve"> שנפל </w:t>
      </w:r>
      <w:r>
        <w:rPr>
          <w:rFonts w:cs="Arial" w:hint="cs"/>
          <w:u w:val="single"/>
          <w:rtl/>
        </w:rPr>
        <w:t xml:space="preserve">לתוך איסור שבכלי שני </w:t>
      </w:r>
      <w:r w:rsidRPr="008643A7">
        <w:rPr>
          <w:rFonts w:cs="Arial" w:hint="cs"/>
          <w:sz w:val="16"/>
          <w:szCs w:val="16"/>
          <w:u w:val="single"/>
          <w:rtl/>
        </w:rPr>
        <w:t>(</w:t>
      </w:r>
      <w:r>
        <w:rPr>
          <w:rFonts w:cs="Arial" w:hint="cs"/>
          <w:sz w:val="16"/>
          <w:szCs w:val="16"/>
          <w:u w:val="single"/>
          <w:rtl/>
        </w:rPr>
        <w:t>וכן היתר שעירו עליו איס)</w:t>
      </w:r>
      <w:r w:rsidRPr="001B7D67">
        <w:rPr>
          <w:rFonts w:cs="Arial" w:hint="cs"/>
          <w:u w:val="single"/>
          <w:rtl/>
        </w:rPr>
        <w:t>:</w:t>
      </w:r>
    </w:p>
    <w:p w14:paraId="52C65CAA" w14:textId="77777777" w:rsidR="002C39F4" w:rsidRDefault="002C39F4" w:rsidP="0032102C">
      <w:pPr>
        <w:pStyle w:val="a8"/>
        <w:numPr>
          <w:ilvl w:val="0"/>
          <w:numId w:val="226"/>
        </w:numPr>
        <w:rPr>
          <w:rFonts w:cs="Arial"/>
        </w:rPr>
      </w:pPr>
      <w:r w:rsidRPr="007528F1">
        <w:rPr>
          <w:rFonts w:cs="Arial"/>
          <w:rtl/>
        </w:rPr>
        <w:t>יש אומרי</w:t>
      </w:r>
      <w:r>
        <w:rPr>
          <w:rFonts w:cs="Arial" w:hint="cs"/>
          <w:rtl/>
        </w:rPr>
        <w:t xml:space="preserve">ם </w:t>
      </w:r>
      <w:r w:rsidRPr="007528F1">
        <w:rPr>
          <w:rFonts w:cs="Arial" w:hint="cs"/>
          <w:sz w:val="16"/>
          <w:szCs w:val="16"/>
          <w:rtl/>
        </w:rPr>
        <w:t>(הביא</w:t>
      </w:r>
      <w:r>
        <w:rPr>
          <w:rFonts w:cs="Arial" w:hint="cs"/>
          <w:sz w:val="16"/>
          <w:szCs w:val="16"/>
          <w:rtl/>
        </w:rPr>
        <w:t>ם</w:t>
      </w:r>
      <w:r w:rsidRPr="007528F1">
        <w:rPr>
          <w:rFonts w:cs="Arial" w:hint="cs"/>
          <w:sz w:val="16"/>
          <w:szCs w:val="16"/>
          <w:rtl/>
        </w:rPr>
        <w:t xml:space="preserve"> הרשב"א</w:t>
      </w:r>
      <w:r>
        <w:rPr>
          <w:rFonts w:cs="Arial" w:hint="cs"/>
          <w:sz w:val="14"/>
          <w:szCs w:val="14"/>
          <w:rtl/>
        </w:rPr>
        <w:t xml:space="preserve"> [בתוה"א]</w:t>
      </w:r>
      <w:r w:rsidRPr="007528F1">
        <w:rPr>
          <w:rFonts w:cs="Arial" w:hint="cs"/>
          <w:sz w:val="16"/>
          <w:szCs w:val="16"/>
          <w:rtl/>
        </w:rPr>
        <w:t>)</w:t>
      </w:r>
      <w:r>
        <w:rPr>
          <w:rFonts w:cs="Arial" w:hint="cs"/>
          <w:rtl/>
        </w:rPr>
        <w:t xml:space="preserve">- </w:t>
      </w:r>
      <w:r>
        <w:rPr>
          <w:rFonts w:cs="Arial"/>
          <w:rtl/>
        </w:rPr>
        <w:t>אין ראוי להפליט ולהבליע אלא כלי ראשון</w:t>
      </w:r>
      <w:r>
        <w:rPr>
          <w:rFonts w:cs="Arial" w:hint="cs"/>
          <w:rtl/>
        </w:rPr>
        <w:t>,</w:t>
      </w:r>
      <w:r>
        <w:rPr>
          <w:rFonts w:cs="Arial"/>
          <w:rtl/>
        </w:rPr>
        <w:t xml:space="preserve"> דכלי שני אינו מבשל</w:t>
      </w:r>
      <w:r>
        <w:rPr>
          <w:rFonts w:cs="Arial" w:hint="cs"/>
          <w:rtl/>
        </w:rPr>
        <w:t>,</w:t>
      </w:r>
      <w:r>
        <w:rPr>
          <w:rFonts w:cs="Arial"/>
          <w:rtl/>
        </w:rPr>
        <w:t xml:space="preserve"> וכן עירוי דכלי ראשון</w:t>
      </w:r>
      <w:r>
        <w:rPr>
          <w:rFonts w:cs="Arial" w:hint="cs"/>
          <w:rtl/>
        </w:rPr>
        <w:t>,</w:t>
      </w:r>
      <w:r>
        <w:rPr>
          <w:rFonts w:cs="Arial"/>
          <w:rtl/>
        </w:rPr>
        <w:t xml:space="preserve"> וכל שאינו מבשל אינו מפליט ומבליע</w:t>
      </w:r>
      <w:r>
        <w:rPr>
          <w:rFonts w:cs="Arial" w:hint="cs"/>
          <w:rtl/>
        </w:rPr>
        <w:t xml:space="preserve">... </w:t>
      </w:r>
      <w:r>
        <w:rPr>
          <w:rFonts w:cs="Arial"/>
          <w:rtl/>
        </w:rPr>
        <w:t>ובהדחה בעלמא סגי ליה ואפילו שניהם חמין</w:t>
      </w:r>
      <w:r>
        <w:rPr>
          <w:rStyle w:val="a7"/>
          <w:rFonts w:cs="Arial"/>
          <w:rtl/>
        </w:rPr>
        <w:footnoteReference w:id="2162"/>
      </w:r>
      <w:r>
        <w:rPr>
          <w:rFonts w:cs="Arial" w:hint="cs"/>
          <w:rtl/>
        </w:rPr>
        <w:t>.</w:t>
      </w:r>
    </w:p>
    <w:p w14:paraId="1EDDC90A" w14:textId="77777777" w:rsidR="002C39F4" w:rsidRDefault="002C39F4" w:rsidP="0032102C">
      <w:pPr>
        <w:pStyle w:val="a8"/>
        <w:numPr>
          <w:ilvl w:val="0"/>
          <w:numId w:val="226"/>
        </w:numPr>
        <w:rPr>
          <w:rFonts w:cs="Arial"/>
        </w:rPr>
      </w:pPr>
      <w:r>
        <w:rPr>
          <w:rFonts w:cs="Arial" w:hint="cs"/>
          <w:rtl/>
        </w:rPr>
        <w:t xml:space="preserve">רשב"א </w:t>
      </w:r>
      <w:r w:rsidRPr="007528F1">
        <w:rPr>
          <w:rFonts w:cs="Arial" w:hint="cs"/>
          <w:sz w:val="16"/>
          <w:szCs w:val="16"/>
          <w:rtl/>
        </w:rPr>
        <w:t>(תוה"ק ב"ד ש"</w:t>
      </w:r>
      <w:r>
        <w:rPr>
          <w:rFonts w:cs="Arial" w:hint="cs"/>
          <w:sz w:val="16"/>
          <w:szCs w:val="16"/>
          <w:rtl/>
        </w:rPr>
        <w:t>א</w:t>
      </w:r>
      <w:r w:rsidRPr="007528F1">
        <w:rPr>
          <w:rFonts w:cs="Arial"/>
          <w:sz w:val="16"/>
          <w:szCs w:val="16"/>
          <w:rtl/>
        </w:rPr>
        <w:t>)</w:t>
      </w:r>
      <w:r>
        <w:rPr>
          <w:rFonts w:cs="Arial" w:hint="cs"/>
          <w:rtl/>
        </w:rPr>
        <w:t xml:space="preserve">- </w:t>
      </w:r>
      <w:r w:rsidRPr="008643A7">
        <w:rPr>
          <w:rFonts w:cs="Arial"/>
          <w:rtl/>
        </w:rPr>
        <w:t>אין הבליעה והפליטה תלוין בבישול, ולפיכך חוששין לכל חום שע"י האש ואפילו אין היד סולדת בו</w:t>
      </w:r>
      <w:r>
        <w:rPr>
          <w:rFonts w:cs="Arial" w:hint="cs"/>
          <w:rtl/>
        </w:rPr>
        <w:t xml:space="preserve"> </w:t>
      </w:r>
      <w:r w:rsidRPr="008643A7">
        <w:rPr>
          <w:rFonts w:cs="Arial" w:hint="cs"/>
          <w:sz w:val="14"/>
          <w:szCs w:val="14"/>
          <w:rtl/>
        </w:rPr>
        <w:t xml:space="preserve">(עמ' </w:t>
      </w:r>
      <w:r w:rsidRPr="008643A7">
        <w:rPr>
          <w:rFonts w:cs="Arial"/>
          <w:sz w:val="14"/>
          <w:szCs w:val="14"/>
          <w:rtl/>
        </w:rPr>
        <w:t>ב.</w:t>
      </w:r>
      <w:r w:rsidRPr="008643A7">
        <w:rPr>
          <w:rFonts w:cs="Arial" w:hint="cs"/>
          <w:sz w:val="14"/>
          <w:szCs w:val="14"/>
          <w:rtl/>
        </w:rPr>
        <w:t>)</w:t>
      </w:r>
      <w:r>
        <w:rPr>
          <w:rFonts w:cs="Arial" w:hint="cs"/>
          <w:rtl/>
        </w:rPr>
        <w:t>...</w:t>
      </w:r>
      <w:r w:rsidRPr="008643A7">
        <w:rPr>
          <w:rFonts w:cs="Arial"/>
          <w:rtl/>
        </w:rPr>
        <w:t xml:space="preserve"> </w:t>
      </w:r>
      <w:r w:rsidRPr="009531C7">
        <w:rPr>
          <w:rFonts w:cs="Arial"/>
          <w:rtl/>
        </w:rPr>
        <w:t>עבר מעל האש ונפל איסור חם על איסור חם אוסר הכל</w:t>
      </w:r>
      <w:r>
        <w:rPr>
          <w:rFonts w:cs="Arial" w:hint="cs"/>
          <w:rtl/>
        </w:rPr>
        <w:t>,</w:t>
      </w:r>
      <w:r w:rsidRPr="009531C7">
        <w:rPr>
          <w:rFonts w:cs="Arial"/>
          <w:rtl/>
        </w:rPr>
        <w:t xml:space="preserve"> היה אחד חם ואחד צונן ונפל האחד על חברו התחתון גובר לעולם</w:t>
      </w:r>
      <w:r>
        <w:rPr>
          <w:rFonts w:cs="Arial" w:hint="cs"/>
          <w:rtl/>
        </w:rPr>
        <w:t>...</w:t>
      </w:r>
      <w:r w:rsidRPr="009531C7">
        <w:rPr>
          <w:rFonts w:cs="Arial"/>
          <w:rtl/>
        </w:rPr>
        <w:t xml:space="preserve"> נפל חם לתוך צונן אינו אוסר אלא כדי קליפה, ואם נפל צונן לתוך חם הכל אסור</w:t>
      </w:r>
      <w:r>
        <w:rPr>
          <w:rFonts w:cs="Arial" w:hint="cs"/>
          <w:rtl/>
        </w:rPr>
        <w:t xml:space="preserve"> </w:t>
      </w:r>
      <w:r w:rsidRPr="008643A7">
        <w:rPr>
          <w:rFonts w:cs="Arial" w:hint="cs"/>
          <w:sz w:val="14"/>
          <w:szCs w:val="14"/>
          <w:rtl/>
        </w:rPr>
        <w:t>(עמ' ה:)</w:t>
      </w:r>
      <w:r>
        <w:rPr>
          <w:rFonts w:cs="Arial" w:hint="cs"/>
          <w:rtl/>
        </w:rPr>
        <w:t>.</w:t>
      </w:r>
      <w:r w:rsidRPr="007528F1">
        <w:rPr>
          <w:rFonts w:cs="Arial"/>
          <w:rtl/>
        </w:rPr>
        <w:t xml:space="preserve"> </w:t>
      </w:r>
      <w:r>
        <w:rPr>
          <w:rFonts w:cs="Arial" w:hint="cs"/>
          <w:rtl/>
        </w:rPr>
        <w:t>(וכ"פ הש"ך</w:t>
      </w:r>
      <w:r>
        <w:rPr>
          <w:rFonts w:cs="Arial" w:hint="cs"/>
          <w:sz w:val="16"/>
          <w:szCs w:val="16"/>
          <w:rtl/>
        </w:rPr>
        <w:t xml:space="preserve"> [סק"ה]</w:t>
      </w:r>
      <w:r>
        <w:rPr>
          <w:rFonts w:cs="Arial" w:hint="cs"/>
          <w:rtl/>
        </w:rPr>
        <w:t>)</w:t>
      </w:r>
    </w:p>
    <w:p w14:paraId="3D7651F6" w14:textId="77777777" w:rsidR="002C39F4" w:rsidRPr="008A296D" w:rsidRDefault="002C39F4" w:rsidP="0032102C">
      <w:pPr>
        <w:pStyle w:val="a8"/>
        <w:numPr>
          <w:ilvl w:val="0"/>
          <w:numId w:val="226"/>
        </w:numPr>
        <w:rPr>
          <w:rFonts w:cs="Arial"/>
        </w:rPr>
      </w:pPr>
      <w:r>
        <w:rPr>
          <w:rFonts w:cs="Arial"/>
          <w:rtl/>
        </w:rPr>
        <w:t xml:space="preserve">ר"ן </w:t>
      </w:r>
      <w:r w:rsidRPr="00094F89">
        <w:rPr>
          <w:rFonts w:cs="Arial"/>
          <w:sz w:val="16"/>
          <w:szCs w:val="16"/>
          <w:rtl/>
        </w:rPr>
        <w:t>(</w:t>
      </w:r>
      <w:r w:rsidRPr="00094F89">
        <w:rPr>
          <w:rFonts w:cs="Arial" w:hint="cs"/>
          <w:sz w:val="16"/>
          <w:szCs w:val="16"/>
          <w:rtl/>
        </w:rPr>
        <w:t xml:space="preserve">חולין </w:t>
      </w:r>
      <w:r w:rsidRPr="00094F89">
        <w:rPr>
          <w:rFonts w:cs="Arial"/>
          <w:sz w:val="16"/>
          <w:szCs w:val="16"/>
          <w:rtl/>
        </w:rPr>
        <w:t>מא: ד"ה גרסי'</w:t>
      </w:r>
      <w:r w:rsidRPr="00094F89">
        <w:rPr>
          <w:rFonts w:cs="Arial" w:hint="cs"/>
          <w:sz w:val="16"/>
          <w:szCs w:val="16"/>
          <w:rtl/>
        </w:rPr>
        <w:t>, להב' הדרכ"מ [אות ד]</w:t>
      </w:r>
      <w:r w:rsidRPr="00094F89">
        <w:rPr>
          <w:rFonts w:cs="Arial"/>
          <w:sz w:val="16"/>
          <w:szCs w:val="16"/>
          <w:rtl/>
        </w:rPr>
        <w:t>)</w:t>
      </w:r>
      <w:r>
        <w:rPr>
          <w:rFonts w:cs="Arial" w:hint="cs"/>
          <w:rtl/>
        </w:rPr>
        <w:t>-</w:t>
      </w:r>
      <w:r>
        <w:rPr>
          <w:rFonts w:cs="Arial"/>
          <w:rtl/>
        </w:rPr>
        <w:t xml:space="preserve"> </w:t>
      </w:r>
      <w:r>
        <w:rPr>
          <w:rFonts w:cs="Arial" w:hint="cs"/>
          <w:rtl/>
        </w:rPr>
        <w:t xml:space="preserve">הא דאמרינן תתאה גבר הוא </w:t>
      </w:r>
      <w:r>
        <w:rPr>
          <w:rFonts w:cs="Arial"/>
          <w:rtl/>
        </w:rPr>
        <w:t>דוקא כשנטלו מן האש אבל עדיין הוא בכ</w:t>
      </w:r>
      <w:r>
        <w:rPr>
          <w:rFonts w:cs="Arial" w:hint="cs"/>
          <w:rtl/>
        </w:rPr>
        <w:t xml:space="preserve">לי </w:t>
      </w:r>
      <w:r>
        <w:rPr>
          <w:rFonts w:cs="Arial"/>
          <w:rtl/>
        </w:rPr>
        <w:t>ר</w:t>
      </w:r>
      <w:r>
        <w:rPr>
          <w:rFonts w:cs="Arial" w:hint="cs"/>
          <w:rtl/>
        </w:rPr>
        <w:t>אשון,</w:t>
      </w:r>
      <w:r>
        <w:rPr>
          <w:rFonts w:cs="Arial"/>
          <w:rtl/>
        </w:rPr>
        <w:t xml:space="preserve"> אבל אם שמוהו כבר בכ</w:t>
      </w:r>
      <w:r>
        <w:rPr>
          <w:rFonts w:cs="Arial" w:hint="cs"/>
          <w:rtl/>
        </w:rPr>
        <w:t xml:space="preserve">לי </w:t>
      </w:r>
      <w:r>
        <w:rPr>
          <w:rFonts w:cs="Arial"/>
          <w:rtl/>
        </w:rPr>
        <w:t>ש</w:t>
      </w:r>
      <w:r>
        <w:rPr>
          <w:rFonts w:cs="Arial" w:hint="cs"/>
          <w:rtl/>
        </w:rPr>
        <w:t>ני</w:t>
      </w:r>
      <w:r>
        <w:rPr>
          <w:rFonts w:cs="Arial"/>
          <w:rtl/>
        </w:rPr>
        <w:t xml:space="preserve"> ודאי אינו אוסר כלל</w:t>
      </w:r>
      <w:r>
        <w:rPr>
          <w:rStyle w:val="a7"/>
          <w:rFonts w:cs="Arial"/>
          <w:rtl/>
        </w:rPr>
        <w:footnoteReference w:id="2163"/>
      </w:r>
      <w:r>
        <w:rPr>
          <w:rFonts w:cs="Arial" w:hint="cs"/>
          <w:rtl/>
        </w:rPr>
        <w:t>, וכן</w:t>
      </w:r>
      <w:r>
        <w:rPr>
          <w:rFonts w:cs="Arial"/>
          <w:rtl/>
        </w:rPr>
        <w:t xml:space="preserve"> דבר עב כגון חתיכת בשר שהניחו בכ</w:t>
      </w:r>
      <w:r>
        <w:rPr>
          <w:rFonts w:cs="Arial" w:hint="cs"/>
          <w:rtl/>
        </w:rPr>
        <w:t xml:space="preserve">לי </w:t>
      </w:r>
      <w:r>
        <w:rPr>
          <w:rFonts w:cs="Arial"/>
          <w:rtl/>
        </w:rPr>
        <w:t>ש</w:t>
      </w:r>
      <w:r>
        <w:rPr>
          <w:rFonts w:cs="Arial" w:hint="cs"/>
          <w:rtl/>
        </w:rPr>
        <w:t>ני</w:t>
      </w:r>
      <w:r>
        <w:rPr>
          <w:rFonts w:cs="Arial"/>
          <w:rtl/>
        </w:rPr>
        <w:t xml:space="preserve"> דלא גרע דבר שהוא גוש מדבר לח</w:t>
      </w:r>
      <w:r>
        <w:rPr>
          <w:rStyle w:val="a7"/>
          <w:rFonts w:cs="Arial"/>
          <w:rtl/>
        </w:rPr>
        <w:footnoteReference w:id="2164"/>
      </w:r>
      <w:r>
        <w:rPr>
          <w:rFonts w:cs="Arial" w:hint="cs"/>
          <w:rtl/>
        </w:rPr>
        <w:t>.</w:t>
      </w:r>
      <w:r w:rsidRPr="00094F89">
        <w:rPr>
          <w:rFonts w:cs="Arial"/>
          <w:color w:val="00B0F0"/>
          <w:rtl/>
        </w:rPr>
        <w:t xml:space="preserve"> </w:t>
      </w:r>
      <w:r w:rsidRPr="00094F89">
        <w:rPr>
          <w:rFonts w:cs="Arial" w:hint="cs"/>
          <w:color w:val="00B0F0"/>
          <w:rtl/>
        </w:rPr>
        <w:t xml:space="preserve">(וכ"פ הרמ"א </w:t>
      </w:r>
      <w:r>
        <w:rPr>
          <w:rFonts w:cs="Arial" w:hint="cs"/>
          <w:sz w:val="16"/>
          <w:szCs w:val="16"/>
          <w:rtl/>
        </w:rPr>
        <w:t>[סע' ג]</w:t>
      </w:r>
      <w:r w:rsidRPr="00094F89">
        <w:rPr>
          <w:rFonts w:cs="Arial" w:hint="cs"/>
          <w:color w:val="00B0F0"/>
          <w:rtl/>
        </w:rPr>
        <w:t>)</w:t>
      </w:r>
    </w:p>
    <w:p w14:paraId="7F330F39" w14:textId="77777777" w:rsidR="002C39F4" w:rsidRPr="00724E23" w:rsidRDefault="002C39F4" w:rsidP="002C39F4">
      <w:pPr>
        <w:rPr>
          <w:rFonts w:cs="Arial"/>
          <w:sz w:val="16"/>
          <w:szCs w:val="16"/>
          <w:u w:val="single"/>
          <w:rtl/>
        </w:rPr>
      </w:pPr>
      <w:r w:rsidRPr="00FD71E7">
        <w:rPr>
          <w:rFonts w:cs="Arial" w:hint="cs"/>
          <w:u w:val="single"/>
          <w:rtl/>
        </w:rPr>
        <w:t xml:space="preserve">טיפת </w:t>
      </w:r>
      <w:r w:rsidRPr="00DE7965">
        <w:rPr>
          <w:rFonts w:cs="Arial"/>
          <w:u w:val="single"/>
          <w:rtl/>
        </w:rPr>
        <w:t>ח</w:t>
      </w:r>
      <w:r w:rsidRPr="00DE7965">
        <w:rPr>
          <w:rFonts w:cs="Arial" w:hint="cs"/>
          <w:u w:val="single"/>
          <w:rtl/>
        </w:rPr>
        <w:t>ֵ</w:t>
      </w:r>
      <w:r w:rsidRPr="00DE7965">
        <w:rPr>
          <w:rFonts w:cs="Arial"/>
          <w:u w:val="single"/>
          <w:rtl/>
        </w:rPr>
        <w:t>ל</w:t>
      </w:r>
      <w:r w:rsidRPr="00DE7965">
        <w:rPr>
          <w:rFonts w:cs="Arial" w:hint="cs"/>
          <w:u w:val="single"/>
          <w:rtl/>
        </w:rPr>
        <w:t>ֶ</w:t>
      </w:r>
      <w:r w:rsidRPr="00DE7965">
        <w:rPr>
          <w:rFonts w:cs="Arial"/>
          <w:u w:val="single"/>
          <w:rtl/>
        </w:rPr>
        <w:t xml:space="preserve">ב </w:t>
      </w:r>
      <w:r>
        <w:rPr>
          <w:rFonts w:cs="Arial" w:hint="cs"/>
          <w:u w:val="single"/>
          <w:rtl/>
        </w:rPr>
        <w:t xml:space="preserve">רותחת </w:t>
      </w:r>
      <w:r w:rsidRPr="00FD71E7">
        <w:rPr>
          <w:rFonts w:cs="Arial" w:hint="cs"/>
          <w:u w:val="single"/>
          <w:rtl/>
        </w:rPr>
        <w:t>שנפלה על סכין:</w:t>
      </w:r>
      <w:r w:rsidRPr="00724E23">
        <w:rPr>
          <w:rFonts w:cs="Arial" w:hint="cs"/>
          <w:sz w:val="16"/>
          <w:szCs w:val="16"/>
          <w:rtl/>
        </w:rPr>
        <w:t xml:space="preserve">   (דרכ"מ אות ג)</w:t>
      </w:r>
    </w:p>
    <w:p w14:paraId="64DBFB23" w14:textId="77777777" w:rsidR="002C39F4" w:rsidRPr="00920499" w:rsidRDefault="002C39F4" w:rsidP="0032102C">
      <w:pPr>
        <w:pStyle w:val="a8"/>
        <w:numPr>
          <w:ilvl w:val="0"/>
          <w:numId w:val="227"/>
        </w:numPr>
        <w:rPr>
          <w:rFonts w:cs="Arial"/>
        </w:rPr>
      </w:pPr>
      <w:r w:rsidRPr="00FD71E7">
        <w:rPr>
          <w:rFonts w:cs="Arial"/>
          <w:rtl/>
        </w:rPr>
        <w:t>מהר"</w:t>
      </w:r>
      <w:r>
        <w:rPr>
          <w:rFonts w:cs="Arial" w:hint="cs"/>
          <w:rtl/>
        </w:rPr>
        <w:t xml:space="preserve">ם </w:t>
      </w:r>
      <w:r w:rsidRPr="00920499">
        <w:rPr>
          <w:rFonts w:cs="Arial"/>
          <w:sz w:val="16"/>
          <w:szCs w:val="16"/>
          <w:rtl/>
        </w:rPr>
        <w:t>(</w:t>
      </w:r>
      <w:r>
        <w:rPr>
          <w:rFonts w:cs="Arial" w:hint="cs"/>
          <w:sz w:val="16"/>
          <w:szCs w:val="16"/>
          <w:rtl/>
        </w:rPr>
        <w:t xml:space="preserve">כ"כ מהרא"י בשמו </w:t>
      </w:r>
      <w:r w:rsidRPr="00920499">
        <w:rPr>
          <w:rFonts w:cs="Arial" w:hint="cs"/>
          <w:sz w:val="16"/>
          <w:szCs w:val="16"/>
          <w:rtl/>
        </w:rPr>
        <w:t xml:space="preserve">בשערים </w:t>
      </w:r>
      <w:r w:rsidRPr="00920499">
        <w:rPr>
          <w:rFonts w:cs="Arial"/>
          <w:sz w:val="16"/>
          <w:szCs w:val="16"/>
          <w:rtl/>
        </w:rPr>
        <w:t>סוף שער כא)</w:t>
      </w:r>
      <w:r>
        <w:rPr>
          <w:rFonts w:cs="Arial" w:hint="cs"/>
          <w:rtl/>
        </w:rPr>
        <w:t xml:space="preserve"> ואו</w:t>
      </w:r>
      <w:r>
        <w:rPr>
          <w:rFonts w:cs="Arial"/>
          <w:rtl/>
        </w:rPr>
        <w:t>"</w:t>
      </w:r>
      <w:r>
        <w:rPr>
          <w:rFonts w:cs="Arial" w:hint="cs"/>
          <w:rtl/>
        </w:rPr>
        <w:t>ה</w:t>
      </w:r>
      <w:r w:rsidRPr="00FD71E7">
        <w:rPr>
          <w:rFonts w:cs="Arial"/>
          <w:rtl/>
        </w:rPr>
        <w:t xml:space="preserve"> </w:t>
      </w:r>
      <w:r w:rsidRPr="00920499">
        <w:rPr>
          <w:rFonts w:cs="Arial" w:hint="cs"/>
          <w:sz w:val="16"/>
          <w:szCs w:val="16"/>
          <w:rtl/>
        </w:rPr>
        <w:t>(</w:t>
      </w:r>
      <w:r w:rsidRPr="00920499">
        <w:rPr>
          <w:rFonts w:cs="Arial"/>
          <w:sz w:val="16"/>
          <w:szCs w:val="16"/>
          <w:rtl/>
        </w:rPr>
        <w:t>כלל נח דין ו-</w:t>
      </w:r>
      <w:r w:rsidRPr="00920499">
        <w:rPr>
          <w:rFonts w:cs="Arial" w:hint="cs"/>
          <w:sz w:val="16"/>
          <w:szCs w:val="16"/>
          <w:rtl/>
        </w:rPr>
        <w:t>ז</w:t>
      </w:r>
      <w:r w:rsidRPr="00920499">
        <w:rPr>
          <w:rFonts w:cs="Arial"/>
          <w:sz w:val="16"/>
          <w:szCs w:val="16"/>
          <w:rtl/>
        </w:rPr>
        <w:t>)</w:t>
      </w:r>
      <w:r w:rsidRPr="00920499">
        <w:rPr>
          <w:rFonts w:cs="Arial" w:hint="cs"/>
          <w:rtl/>
        </w:rPr>
        <w:t xml:space="preserve">- </w:t>
      </w:r>
      <w:r w:rsidRPr="00920499">
        <w:rPr>
          <w:rFonts w:cs="Arial"/>
          <w:rtl/>
        </w:rPr>
        <w:t>אם נפלה טיפת חלב רותחת על סכין או על כלי אחר שהוא צונן א"צ רק לגרר במקום שנפלה הטיפה הואיל ופסקה הטיפה מן הקדרה כשנפלה עליה</w:t>
      </w:r>
      <w:r>
        <w:rPr>
          <w:rFonts w:cs="Arial" w:hint="cs"/>
          <w:rtl/>
        </w:rPr>
        <w:t>,</w:t>
      </w:r>
      <w:r w:rsidRPr="00920499">
        <w:rPr>
          <w:rFonts w:cs="Arial"/>
          <w:rtl/>
        </w:rPr>
        <w:t xml:space="preserve"> והאי דאמרינן עירוי ככ"ר היינו כשנפלה עליו בקילוח אבל כה"ג לא</w:t>
      </w:r>
      <w:r>
        <w:rPr>
          <w:rFonts w:cs="Arial" w:hint="cs"/>
          <w:rtl/>
        </w:rPr>
        <w:t>,</w:t>
      </w:r>
      <w:r w:rsidRPr="00920499">
        <w:rPr>
          <w:rFonts w:cs="Arial"/>
          <w:rtl/>
        </w:rPr>
        <w:t xml:space="preserve"> ודוקא שנפלה על הקתא אבל נפלה על הברזל של סכין נועצה י' פעמים בקרקע ודיו</w:t>
      </w:r>
      <w:r w:rsidRPr="00920499">
        <w:rPr>
          <w:rFonts w:cs="Arial" w:hint="cs"/>
          <w:rtl/>
        </w:rPr>
        <w:t>.</w:t>
      </w:r>
      <w:r w:rsidRPr="00920499">
        <w:rPr>
          <w:rFonts w:cs="Arial"/>
          <w:rtl/>
        </w:rPr>
        <w:t xml:space="preserve"> </w:t>
      </w:r>
      <w:r>
        <w:rPr>
          <w:rFonts w:cs="Arial" w:hint="cs"/>
          <w:rtl/>
        </w:rPr>
        <w:t xml:space="preserve">(וכ"פ הדרכ"מ </w:t>
      </w:r>
      <w:r>
        <w:rPr>
          <w:rFonts w:cs="Arial" w:hint="cs"/>
          <w:sz w:val="16"/>
          <w:szCs w:val="16"/>
          <w:rtl/>
        </w:rPr>
        <w:t>[כאן אות ג, ובסי' צד אות ב]</w:t>
      </w:r>
      <w:r>
        <w:rPr>
          <w:rFonts w:cs="Arial" w:hint="cs"/>
          <w:rtl/>
        </w:rPr>
        <w:t xml:space="preserve">) </w:t>
      </w:r>
    </w:p>
    <w:p w14:paraId="663E4A40" w14:textId="77777777" w:rsidR="002C39F4" w:rsidRDefault="002C39F4" w:rsidP="0032102C">
      <w:pPr>
        <w:pStyle w:val="a8"/>
        <w:numPr>
          <w:ilvl w:val="0"/>
          <w:numId w:val="227"/>
        </w:numPr>
        <w:rPr>
          <w:rFonts w:cs="Arial"/>
        </w:rPr>
      </w:pPr>
      <w:r>
        <w:rPr>
          <w:rFonts w:cs="Arial" w:hint="cs"/>
          <w:rtl/>
        </w:rPr>
        <w:t>ר"פ</w:t>
      </w:r>
      <w:r w:rsidRPr="00FD71E7">
        <w:rPr>
          <w:rFonts w:cs="Arial"/>
          <w:rtl/>
        </w:rPr>
        <w:t xml:space="preserve"> </w:t>
      </w:r>
      <w:r w:rsidRPr="00920499">
        <w:rPr>
          <w:rFonts w:cs="Arial"/>
          <w:sz w:val="16"/>
          <w:szCs w:val="16"/>
          <w:rtl/>
        </w:rPr>
        <w:t>(הגהות סמ"ק סי' רה אות יד, ס</w:t>
      </w:r>
      <w:r>
        <w:rPr>
          <w:rFonts w:cs="Arial" w:hint="cs"/>
          <w:sz w:val="16"/>
          <w:szCs w:val="16"/>
          <w:rtl/>
        </w:rPr>
        <w:t>י'</w:t>
      </w:r>
      <w:r w:rsidRPr="00920499">
        <w:rPr>
          <w:rFonts w:cs="Arial"/>
          <w:sz w:val="16"/>
          <w:szCs w:val="16"/>
          <w:rtl/>
        </w:rPr>
        <w:t xml:space="preserve"> ריג אות ב) </w:t>
      </w:r>
      <w:r>
        <w:rPr>
          <w:rFonts w:cs="Arial" w:hint="cs"/>
          <w:rtl/>
        </w:rPr>
        <w:t>ו</w:t>
      </w:r>
      <w:r w:rsidRPr="00FD71E7">
        <w:rPr>
          <w:rFonts w:cs="Arial"/>
          <w:rtl/>
        </w:rPr>
        <w:t>הגמ</w:t>
      </w:r>
      <w:r>
        <w:rPr>
          <w:rFonts w:cs="Arial" w:hint="cs"/>
          <w:rtl/>
        </w:rPr>
        <w:t>"ר</w:t>
      </w:r>
      <w:r w:rsidRPr="00FD71E7">
        <w:rPr>
          <w:rFonts w:cs="Arial"/>
          <w:rtl/>
        </w:rPr>
        <w:t xml:space="preserve"> </w:t>
      </w:r>
      <w:r w:rsidRPr="00920499">
        <w:rPr>
          <w:rFonts w:cs="Arial" w:hint="cs"/>
          <w:sz w:val="16"/>
          <w:szCs w:val="16"/>
          <w:rtl/>
        </w:rPr>
        <w:t xml:space="preserve">(חולין </w:t>
      </w:r>
      <w:r w:rsidRPr="00920499">
        <w:rPr>
          <w:rFonts w:cs="Arial"/>
          <w:sz w:val="16"/>
          <w:szCs w:val="16"/>
          <w:rtl/>
        </w:rPr>
        <w:t>סי' תשמח)</w:t>
      </w:r>
      <w:r>
        <w:rPr>
          <w:rFonts w:cs="Arial" w:hint="cs"/>
          <w:rtl/>
        </w:rPr>
        <w:t xml:space="preserve">- </w:t>
      </w:r>
      <w:r w:rsidRPr="00FD71E7">
        <w:rPr>
          <w:rFonts w:cs="Arial"/>
          <w:rtl/>
        </w:rPr>
        <w:t>אם נפל טיפת חלב רותח על להב הסכין כולו אסור דחם מקצתו חם כולו</w:t>
      </w:r>
      <w:r>
        <w:rPr>
          <w:rFonts w:cs="Arial" w:hint="cs"/>
          <w:rtl/>
        </w:rPr>
        <w:t>.</w:t>
      </w:r>
      <w:r w:rsidRPr="00FD71E7">
        <w:rPr>
          <w:rFonts w:cs="Arial"/>
          <w:rtl/>
        </w:rPr>
        <w:t xml:space="preserve"> </w:t>
      </w:r>
    </w:p>
    <w:p w14:paraId="7EB35F99" w14:textId="77777777" w:rsidR="002C39F4" w:rsidRPr="005259BC" w:rsidRDefault="002C39F4" w:rsidP="0032102C">
      <w:pPr>
        <w:pStyle w:val="a8"/>
        <w:numPr>
          <w:ilvl w:val="0"/>
          <w:numId w:val="116"/>
        </w:numPr>
        <w:rPr>
          <w:rFonts w:cs="Arial"/>
          <w:rtl/>
        </w:rPr>
      </w:pPr>
      <w:r>
        <w:rPr>
          <w:rFonts w:cs="Arial"/>
          <w:rtl/>
        </w:rPr>
        <w:t>תרוה</w:t>
      </w:r>
      <w:r>
        <w:rPr>
          <w:rFonts w:cs="Arial" w:hint="cs"/>
          <w:rtl/>
        </w:rPr>
        <w:t>"</w:t>
      </w:r>
      <w:r>
        <w:rPr>
          <w:rFonts w:cs="Arial"/>
          <w:rtl/>
        </w:rPr>
        <w:t xml:space="preserve">ד </w:t>
      </w:r>
      <w:r w:rsidRPr="00FE35CA">
        <w:rPr>
          <w:rFonts w:cs="Arial" w:hint="cs"/>
          <w:sz w:val="16"/>
          <w:szCs w:val="16"/>
          <w:rtl/>
        </w:rPr>
        <w:t>(</w:t>
      </w:r>
      <w:r w:rsidRPr="00FE35CA">
        <w:rPr>
          <w:rFonts w:cs="Arial"/>
          <w:sz w:val="16"/>
          <w:szCs w:val="16"/>
          <w:rtl/>
        </w:rPr>
        <w:t>סי</w:t>
      </w:r>
      <w:r w:rsidRPr="00FE35CA">
        <w:rPr>
          <w:rFonts w:cs="Arial" w:hint="cs"/>
          <w:sz w:val="16"/>
          <w:szCs w:val="16"/>
          <w:rtl/>
        </w:rPr>
        <w:t>'</w:t>
      </w:r>
      <w:r w:rsidRPr="00FE35CA">
        <w:rPr>
          <w:rFonts w:cs="Arial"/>
          <w:sz w:val="16"/>
          <w:szCs w:val="16"/>
          <w:rtl/>
        </w:rPr>
        <w:t xml:space="preserve"> קעו</w:t>
      </w:r>
      <w:r>
        <w:rPr>
          <w:rFonts w:cs="Arial" w:hint="cs"/>
          <w:sz w:val="16"/>
          <w:szCs w:val="16"/>
          <w:rtl/>
        </w:rPr>
        <w:t>, וכ"כ בהגשע"ד [סי' נה ד"ה אין צריך] בשם מהרא"י</w:t>
      </w:r>
      <w:r w:rsidRPr="00FE35CA">
        <w:rPr>
          <w:rFonts w:cs="Arial" w:hint="cs"/>
          <w:sz w:val="16"/>
          <w:szCs w:val="16"/>
          <w:rtl/>
        </w:rPr>
        <w:t>)</w:t>
      </w:r>
      <w:r>
        <w:rPr>
          <w:rFonts w:cs="Arial" w:hint="cs"/>
          <w:rtl/>
        </w:rPr>
        <w:t xml:space="preserve">- </w:t>
      </w:r>
      <w:r w:rsidRPr="00FE35CA">
        <w:rPr>
          <w:rFonts w:cs="Arial"/>
          <w:rtl/>
        </w:rPr>
        <w:t>יראה דיש לח</w:t>
      </w:r>
      <w:r>
        <w:rPr>
          <w:rFonts w:cs="Arial"/>
          <w:rtl/>
        </w:rPr>
        <w:t>וש ולהצריך הגעלה כה"ג, וא</w:t>
      </w:r>
      <w:r>
        <w:rPr>
          <w:rFonts w:cs="Arial" w:hint="cs"/>
          <w:rtl/>
        </w:rPr>
        <w:t>ע"ג</w:t>
      </w:r>
      <w:r w:rsidRPr="00FE35CA">
        <w:rPr>
          <w:rFonts w:cs="Arial"/>
          <w:rtl/>
        </w:rPr>
        <w:t xml:space="preserve"> דמצאתי הועתק בשם תשובת מהר"ם שאם נפלה טיפה רותח על סכין או כלי אחד שהוא צונן א"צ רק לגרר במקום שנפלה הטיפ</w:t>
      </w:r>
      <w:r>
        <w:rPr>
          <w:rFonts w:cs="Arial"/>
          <w:rtl/>
        </w:rPr>
        <w:t>ה הואיל ופסקה הטיפה כשנפלה עליו</w:t>
      </w:r>
      <w:r>
        <w:rPr>
          <w:rFonts w:cs="Arial" w:hint="cs"/>
          <w:rtl/>
        </w:rPr>
        <w:t>,</w:t>
      </w:r>
      <w:r w:rsidRPr="00FE35CA">
        <w:rPr>
          <w:rFonts w:cs="Arial"/>
          <w:rtl/>
        </w:rPr>
        <w:t xml:space="preserve"> והא דאמרינן עירוי ככלי ראשון היינו דווק</w:t>
      </w:r>
      <w:r>
        <w:rPr>
          <w:rFonts w:cs="Arial"/>
          <w:rtl/>
        </w:rPr>
        <w:t>א כשנפלה בקלוח אבל בכה"ג לא</w:t>
      </w:r>
      <w:r>
        <w:rPr>
          <w:rStyle w:val="a7"/>
          <w:rFonts w:cs="Arial"/>
          <w:rtl/>
        </w:rPr>
        <w:footnoteReference w:id="2165"/>
      </w:r>
      <w:r>
        <w:rPr>
          <w:rFonts w:cs="Arial"/>
          <w:rtl/>
        </w:rPr>
        <w:t xml:space="preserve"> ע"כ</w:t>
      </w:r>
      <w:r>
        <w:rPr>
          <w:rFonts w:cs="Arial" w:hint="cs"/>
          <w:rtl/>
        </w:rPr>
        <w:t>.</w:t>
      </w:r>
      <w:r w:rsidRPr="00FE35CA">
        <w:rPr>
          <w:rFonts w:cs="Arial"/>
          <w:rtl/>
        </w:rPr>
        <w:t xml:space="preserve"> מהכא הוי משמע דבנ"ד נמי הוי סגי בגרירה, אמנם נראה לחלק דהתם איירי </w:t>
      </w:r>
      <w:r>
        <w:rPr>
          <w:rFonts w:cs="Arial" w:hint="cs"/>
          <w:rtl/>
        </w:rPr>
        <w:t>ב</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sidRPr="00FE35CA">
        <w:rPr>
          <w:rFonts w:cs="Arial"/>
          <w:rtl/>
        </w:rPr>
        <w:t xml:space="preserve"> רותח שנרתח בקדירה אצל האש, אבל </w:t>
      </w:r>
      <w:r>
        <w:rPr>
          <w:rFonts w:cs="Arial"/>
          <w:rtl/>
        </w:rPr>
        <w:t>נדון דידן חשיב רותח ע</w:t>
      </w:r>
      <w:r>
        <w:rPr>
          <w:rFonts w:cs="Arial" w:hint="cs"/>
          <w:rtl/>
        </w:rPr>
        <w:t>"</w:t>
      </w:r>
      <w:r>
        <w:rPr>
          <w:rFonts w:cs="Arial"/>
          <w:rtl/>
        </w:rPr>
        <w:t xml:space="preserve">י האור </w:t>
      </w:r>
      <w:r>
        <w:rPr>
          <w:rFonts w:cs="Arial" w:hint="cs"/>
          <w:sz w:val="16"/>
          <w:szCs w:val="16"/>
          <w:rtl/>
        </w:rPr>
        <w:t>(</w:t>
      </w:r>
      <w:r w:rsidRPr="00E20186">
        <w:rPr>
          <w:rFonts w:cs="Arial"/>
          <w:sz w:val="16"/>
          <w:szCs w:val="16"/>
          <w:rtl/>
        </w:rPr>
        <w:t>והכי מוכח בתוס' פ</w:t>
      </w:r>
      <w:r w:rsidRPr="00E20186">
        <w:rPr>
          <w:rFonts w:cs="Arial" w:hint="cs"/>
          <w:sz w:val="16"/>
          <w:szCs w:val="16"/>
          <w:rtl/>
        </w:rPr>
        <w:t>"</w:t>
      </w:r>
      <w:r w:rsidRPr="00E20186">
        <w:rPr>
          <w:rFonts w:cs="Arial"/>
          <w:sz w:val="16"/>
          <w:szCs w:val="16"/>
          <w:rtl/>
        </w:rPr>
        <w:t>ק דחולין ובאשירי פ"ב דע"ז דכתבו בשם הרמב"ם דסכינים של נכרים צריכין ליבון מפני שרגילין לתקן בהם נר הדולק בו חלב, אלמא חשיב כה"ג רותח ותשמישו ע</w:t>
      </w:r>
      <w:r w:rsidRPr="00E20186">
        <w:rPr>
          <w:rFonts w:cs="Arial" w:hint="cs"/>
          <w:sz w:val="16"/>
          <w:szCs w:val="16"/>
          <w:rtl/>
        </w:rPr>
        <w:t>"</w:t>
      </w:r>
      <w:r w:rsidRPr="00E20186">
        <w:rPr>
          <w:rFonts w:cs="Arial"/>
          <w:sz w:val="16"/>
          <w:szCs w:val="16"/>
          <w:rtl/>
        </w:rPr>
        <w:t>י האור דרותח הוא טפי מרותח דכלי ראשון</w:t>
      </w:r>
      <w:r w:rsidRPr="00E20186">
        <w:rPr>
          <w:rFonts w:cs="Arial" w:hint="cs"/>
          <w:sz w:val="16"/>
          <w:szCs w:val="16"/>
          <w:rtl/>
        </w:rPr>
        <w:t>,</w:t>
      </w:r>
      <w:r w:rsidRPr="00E20186">
        <w:rPr>
          <w:rFonts w:cs="Arial"/>
          <w:sz w:val="16"/>
          <w:szCs w:val="16"/>
          <w:rtl/>
        </w:rPr>
        <w:t xml:space="preserve"> והא קמן דהך סגי בהגעלה והך בעי ליבון, וא"כ לענין נדון דידן נמי יש לחלק ולומר</w:t>
      </w:r>
      <w:r>
        <w:rPr>
          <w:rFonts w:cs="Arial" w:hint="cs"/>
          <w:sz w:val="16"/>
          <w:szCs w:val="16"/>
          <w:rtl/>
        </w:rPr>
        <w:t>-)</w:t>
      </w:r>
      <w:r w:rsidRPr="00E20186">
        <w:rPr>
          <w:rFonts w:cs="Arial"/>
          <w:sz w:val="16"/>
          <w:szCs w:val="16"/>
          <w:rtl/>
        </w:rPr>
        <w:t xml:space="preserve"> </w:t>
      </w:r>
      <w:r w:rsidRPr="00FE35CA">
        <w:rPr>
          <w:rFonts w:cs="Arial"/>
          <w:rtl/>
        </w:rPr>
        <w:t>דנהי נמי דמתקררת הטיפה כשפסקה מכלי ראשון וסגי ב</w:t>
      </w:r>
      <w:r>
        <w:rPr>
          <w:rFonts w:cs="Arial"/>
          <w:rtl/>
        </w:rPr>
        <w:t>גרירה, אבל טפה שנפלה מרותח ע</w:t>
      </w:r>
      <w:r>
        <w:rPr>
          <w:rFonts w:cs="Arial" w:hint="cs"/>
          <w:rtl/>
        </w:rPr>
        <w:t>"</w:t>
      </w:r>
      <w:r w:rsidRPr="00FE35CA">
        <w:rPr>
          <w:rFonts w:cs="Arial"/>
          <w:rtl/>
        </w:rPr>
        <w:t>י</w:t>
      </w:r>
      <w:r>
        <w:rPr>
          <w:rFonts w:cs="Arial"/>
          <w:rtl/>
        </w:rPr>
        <w:t xml:space="preserve"> האור דרתח טפי אינה מתקררת כ</w:t>
      </w:r>
      <w:r>
        <w:rPr>
          <w:rFonts w:cs="Arial" w:hint="cs"/>
          <w:rtl/>
        </w:rPr>
        <w:t>"</w:t>
      </w:r>
      <w:r>
        <w:rPr>
          <w:rFonts w:cs="Arial"/>
          <w:rtl/>
        </w:rPr>
        <w:t>כ</w:t>
      </w:r>
      <w:r w:rsidRPr="00FE35CA">
        <w:rPr>
          <w:rFonts w:cs="Arial"/>
          <w:rtl/>
        </w:rPr>
        <w:t xml:space="preserve"> בנפילתה ופסקה שלא תחשוב כרותח דכלי ראשון אלא דיינינן לה דלכל הפחות עדיין הוא רות</w:t>
      </w:r>
      <w:r>
        <w:rPr>
          <w:rFonts w:cs="Arial"/>
          <w:rtl/>
        </w:rPr>
        <w:t>ח כעירוי מכלי ראשון דבעי הגעלה</w:t>
      </w:r>
      <w:r>
        <w:rPr>
          <w:rFonts w:cs="Arial" w:hint="cs"/>
          <w:rtl/>
        </w:rPr>
        <w:t>,</w:t>
      </w:r>
      <w:r w:rsidRPr="00FE35CA">
        <w:rPr>
          <w:rFonts w:cs="Arial"/>
          <w:rtl/>
        </w:rPr>
        <w:t xml:space="preserve"> א</w:t>
      </w:r>
      <w:r>
        <w:rPr>
          <w:rFonts w:cs="Arial"/>
          <w:rtl/>
        </w:rPr>
        <w:t>כן נראה דאותן נרות שמתקנין ע</w:t>
      </w:r>
      <w:r>
        <w:rPr>
          <w:rFonts w:cs="Arial" w:hint="cs"/>
          <w:rtl/>
        </w:rPr>
        <w:t>"</w:t>
      </w:r>
      <w:r>
        <w:rPr>
          <w:rFonts w:cs="Arial"/>
          <w:rtl/>
        </w:rPr>
        <w:t>י שה</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Pr>
          <w:rFonts w:cs="Arial"/>
          <w:rtl/>
        </w:rPr>
        <w:t xml:space="preserve"> קרוש</w:t>
      </w:r>
      <w:r w:rsidRPr="00FE35CA">
        <w:rPr>
          <w:rFonts w:cs="Arial"/>
          <w:rtl/>
        </w:rPr>
        <w:t xml:space="preserve"> וכרוך סביב הפתילה כמו שעושין פתילה של שעוה, אם אותו נר דולק ונופלת טיפה על הכלי אין צריך רק גרירה שהרי ידוע ומורגש שטיפה רותחת שנופלת מכלי ראשון על בשר האדם שרפתו הרבה יותר מטיפה</w:t>
      </w:r>
      <w:r>
        <w:rPr>
          <w:rFonts w:cs="Arial"/>
          <w:rtl/>
        </w:rPr>
        <w:t xml:space="preserve"> הנופלת מנר של </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Pr>
          <w:rFonts w:cs="Arial"/>
          <w:rtl/>
        </w:rPr>
        <w:t xml:space="preserve"> שסביב הפתילה</w:t>
      </w:r>
      <w:r>
        <w:rPr>
          <w:rFonts w:cs="Arial" w:hint="cs"/>
          <w:rtl/>
        </w:rPr>
        <w:t>,</w:t>
      </w:r>
      <w:r w:rsidRPr="00FE35CA">
        <w:rPr>
          <w:rFonts w:cs="Arial"/>
          <w:rtl/>
        </w:rPr>
        <w:t xml:space="preserve"> והטעם הוא שה</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sidRPr="00FE35CA">
        <w:rPr>
          <w:rFonts w:cs="Arial"/>
          <w:rtl/>
        </w:rPr>
        <w:t xml:space="preserve"> הכרוך סביב הפתילה ברתיחה מועטת נמחה ה</w:t>
      </w:r>
      <w:r>
        <w:rPr>
          <w:rFonts w:cs="Arial"/>
          <w:rtl/>
        </w:rPr>
        <w:t>וא שנופל ומטפטף ממנו</w:t>
      </w:r>
      <w:r>
        <w:rPr>
          <w:rStyle w:val="a7"/>
          <w:rFonts w:cs="Arial"/>
          <w:rtl/>
        </w:rPr>
        <w:footnoteReference w:id="2166"/>
      </w:r>
      <w:r w:rsidRPr="00FE35CA">
        <w:rPr>
          <w:rFonts w:cs="Arial"/>
          <w:rtl/>
        </w:rPr>
        <w:t>.</w:t>
      </w:r>
      <w:r>
        <w:rPr>
          <w:rFonts w:cs="Arial" w:hint="cs"/>
          <w:rtl/>
        </w:rPr>
        <w:t xml:space="preserve"> </w:t>
      </w:r>
      <w:r w:rsidRPr="00E20186">
        <w:rPr>
          <w:rFonts w:cs="Arial" w:hint="cs"/>
          <w:color w:val="E36C0A" w:themeColor="accent6" w:themeShade="BF"/>
          <w:rtl/>
        </w:rPr>
        <w:t>(וכ"פ בשו"ע</w:t>
      </w:r>
      <w:r>
        <w:rPr>
          <w:rFonts w:cs="Arial" w:hint="cs"/>
          <w:color w:val="E36C0A" w:themeColor="accent6" w:themeShade="BF"/>
          <w:sz w:val="16"/>
          <w:szCs w:val="16"/>
          <w:rtl/>
        </w:rPr>
        <w:t xml:space="preserve"> </w:t>
      </w:r>
      <w:r>
        <w:rPr>
          <w:rFonts w:cs="Arial" w:hint="cs"/>
          <w:color w:val="000000" w:themeColor="text1"/>
          <w:sz w:val="16"/>
          <w:szCs w:val="16"/>
          <w:rtl/>
        </w:rPr>
        <w:t>[בסי' צב סע' ט]</w:t>
      </w:r>
      <w:r w:rsidRPr="00E20186">
        <w:rPr>
          <w:rFonts w:cs="Arial" w:hint="cs"/>
          <w:color w:val="E36C0A" w:themeColor="accent6" w:themeShade="BF"/>
          <w:rtl/>
        </w:rPr>
        <w:t>)</w:t>
      </w:r>
    </w:p>
    <w:p w14:paraId="4267756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610D8C0" w14:textId="77777777" w:rsidR="002C39F4" w:rsidRDefault="002C39F4" w:rsidP="002C39F4">
      <w:pPr>
        <w:rPr>
          <w:rFonts w:asciiTheme="minorBidi" w:hAnsiTheme="minorBidi"/>
          <w:rtl/>
        </w:rPr>
      </w:pPr>
      <w:r w:rsidRPr="003024E5">
        <w:rPr>
          <w:rFonts w:asciiTheme="minorBidi" w:hAnsiTheme="minorBidi"/>
          <w:rtl/>
        </w:rPr>
        <w:t>חום של כלי ראשון שהיד סולדת בו</w:t>
      </w:r>
      <w:r>
        <w:rPr>
          <w:rStyle w:val="a7"/>
          <w:rFonts w:cs="Arial"/>
          <w:rtl/>
        </w:rPr>
        <w:footnoteReference w:id="2167"/>
      </w:r>
      <w:r w:rsidRPr="003024E5">
        <w:rPr>
          <w:rFonts w:asciiTheme="minorBidi" w:hAnsiTheme="minorBidi"/>
          <w:rtl/>
        </w:rPr>
        <w:t xml:space="preserve"> מבשל ואוסר כולו</w:t>
      </w:r>
      <w:r>
        <w:rPr>
          <w:rFonts w:asciiTheme="minorBidi" w:hAnsiTheme="minorBidi" w:hint="cs"/>
          <w:rtl/>
        </w:rPr>
        <w:t>,</w:t>
      </w:r>
      <w:r w:rsidRPr="003024E5">
        <w:rPr>
          <w:rFonts w:asciiTheme="minorBidi" w:hAnsiTheme="minorBidi"/>
          <w:rtl/>
        </w:rPr>
        <w:t xml:space="preserve"> אבל חום של כלי שני אינו מבשל</w:t>
      </w:r>
      <w:r>
        <w:rPr>
          <w:rFonts w:asciiTheme="minorBidi" w:hAnsiTheme="minorBidi" w:hint="cs"/>
          <w:rtl/>
        </w:rPr>
        <w:t>,</w:t>
      </w:r>
      <w:r w:rsidRPr="003024E5">
        <w:rPr>
          <w:rFonts w:asciiTheme="minorBidi" w:hAnsiTheme="minorBidi"/>
          <w:rtl/>
        </w:rPr>
        <w:t xml:space="preserve"> ויש אומרים שגם כן אינו מפליט ואינו מבליע</w:t>
      </w:r>
      <w:r>
        <w:rPr>
          <w:rFonts w:asciiTheme="minorBidi" w:hAnsiTheme="minorBidi" w:hint="cs"/>
          <w:rtl/>
        </w:rPr>
        <w:t>,</w:t>
      </w:r>
      <w:r w:rsidRPr="003024E5">
        <w:rPr>
          <w:rFonts w:asciiTheme="minorBidi" w:hAnsiTheme="minorBidi"/>
          <w:rtl/>
        </w:rPr>
        <w:t xml:space="preserve"> וי</w:t>
      </w:r>
      <w:r>
        <w:rPr>
          <w:rFonts w:asciiTheme="minorBidi" w:hAnsiTheme="minorBidi" w:hint="cs"/>
          <w:rtl/>
        </w:rPr>
        <w:t>ש אומרים</w:t>
      </w:r>
      <w:r w:rsidRPr="003024E5">
        <w:rPr>
          <w:rFonts w:asciiTheme="minorBidi" w:hAnsiTheme="minorBidi"/>
          <w:rtl/>
        </w:rPr>
        <w:t xml:space="preserve"> דמכל מקום הוא מפליט ומבליע ואוסר כדי קליפה</w:t>
      </w:r>
      <w:r>
        <w:rPr>
          <w:rFonts w:asciiTheme="minorBidi" w:hAnsiTheme="minorBidi" w:hint="cs"/>
          <w:rtl/>
        </w:rPr>
        <w:t>,</w:t>
      </w:r>
      <w:r w:rsidRPr="003024E5">
        <w:rPr>
          <w:rFonts w:asciiTheme="minorBidi" w:hAnsiTheme="minorBidi"/>
          <w:rtl/>
        </w:rPr>
        <w:t xml:space="preserve"> וראוי לחוש ליזהר בדבר לכתחלה</w:t>
      </w:r>
      <w:r>
        <w:rPr>
          <w:rStyle w:val="a7"/>
          <w:rFonts w:asciiTheme="minorBidi" w:hAnsiTheme="minorBidi"/>
          <w:rtl/>
        </w:rPr>
        <w:footnoteReference w:id="2168"/>
      </w:r>
      <w:r>
        <w:rPr>
          <w:rFonts w:asciiTheme="minorBidi" w:hAnsiTheme="minorBidi" w:hint="cs"/>
          <w:rtl/>
        </w:rPr>
        <w:t>,</w:t>
      </w:r>
      <w:r w:rsidRPr="003024E5">
        <w:rPr>
          <w:rFonts w:asciiTheme="minorBidi" w:hAnsiTheme="minorBidi"/>
          <w:rtl/>
        </w:rPr>
        <w:t xml:space="preserve"> אבל בדיעבד מותר בלא קליפה ובהדחה בעלמא סגי</w:t>
      </w:r>
      <w:r>
        <w:rPr>
          <w:rStyle w:val="a7"/>
          <w:rFonts w:asciiTheme="minorBidi" w:hAnsiTheme="minorBidi" w:cs="Arial"/>
          <w:rtl/>
        </w:rPr>
        <w:footnoteReference w:id="2169"/>
      </w:r>
      <w:r w:rsidRPr="003024E5">
        <w:rPr>
          <w:rFonts w:asciiTheme="minorBidi" w:hAnsiTheme="minorBidi"/>
          <w:rtl/>
        </w:rPr>
        <w:t xml:space="preserve">. </w:t>
      </w:r>
      <w:r w:rsidRPr="00724E23">
        <w:rPr>
          <w:rFonts w:asciiTheme="minorBidi" w:hAnsiTheme="minorBidi" w:hint="cs"/>
          <w:sz w:val="18"/>
          <w:szCs w:val="18"/>
          <w:rtl/>
        </w:rPr>
        <w:t xml:space="preserve">[הגה] </w:t>
      </w:r>
      <w:r w:rsidRPr="00724E23">
        <w:rPr>
          <w:rFonts w:asciiTheme="minorBidi" w:hAnsiTheme="minorBidi"/>
          <w:sz w:val="18"/>
          <w:szCs w:val="18"/>
          <w:rtl/>
        </w:rPr>
        <w:t>ועיין לעיל סי</w:t>
      </w:r>
      <w:r>
        <w:rPr>
          <w:rFonts w:asciiTheme="minorBidi" w:hAnsiTheme="minorBidi" w:hint="cs"/>
          <w:sz w:val="18"/>
          <w:szCs w:val="18"/>
          <w:rtl/>
        </w:rPr>
        <w:t>'</w:t>
      </w:r>
      <w:r w:rsidRPr="00724E23">
        <w:rPr>
          <w:rFonts w:asciiTheme="minorBidi" w:hAnsiTheme="minorBidi"/>
          <w:sz w:val="18"/>
          <w:szCs w:val="18"/>
          <w:rtl/>
        </w:rPr>
        <w:t xml:space="preserve"> סח צב וצה נתבארו דיני כלי שני ועירוי.</w:t>
      </w:r>
      <w:r w:rsidRPr="003024E5">
        <w:rPr>
          <w:rFonts w:asciiTheme="minorBidi" w:hAnsiTheme="minorBidi"/>
          <w:rtl/>
        </w:rPr>
        <w:t xml:space="preserve"> </w:t>
      </w:r>
    </w:p>
    <w:p w14:paraId="1F5804C9" w14:textId="77777777" w:rsidR="002C39F4" w:rsidRPr="00A1015D" w:rsidRDefault="002C39F4" w:rsidP="002C39F4">
      <w:pPr>
        <w:rPr>
          <w:rFonts w:asciiTheme="minorBidi" w:hAnsiTheme="minorBidi"/>
          <w:rtl/>
        </w:rPr>
      </w:pPr>
    </w:p>
    <w:p w14:paraId="0EBC4DFE"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תתאה גבר.</w:t>
      </w:r>
    </w:p>
    <w:p w14:paraId="6908BAE0" w14:textId="77777777" w:rsidR="002C39F4" w:rsidRDefault="002C39F4" w:rsidP="002C39F4">
      <w:pPr>
        <w:rPr>
          <w:rFonts w:cs="Arial"/>
          <w:rtl/>
        </w:rPr>
      </w:pPr>
      <w:r>
        <w:rPr>
          <w:rFonts w:cs="Arial" w:hint="cs"/>
          <w:b/>
          <w:bCs/>
          <w:rtl/>
        </w:rPr>
        <w:t xml:space="preserve">פסחים עה ע"ב: </w:t>
      </w:r>
      <w:r>
        <w:rPr>
          <w:rFonts w:cs="Arial"/>
          <w:rtl/>
        </w:rPr>
        <w:t>איתמר: חם לתוך חם</w:t>
      </w:r>
      <w:r>
        <w:rPr>
          <w:rFonts w:cs="Arial" w:hint="cs"/>
          <w:rtl/>
        </w:rPr>
        <w:t xml:space="preserve"> </w:t>
      </w:r>
      <w:r w:rsidRPr="007C3926">
        <w:rPr>
          <w:rFonts w:cs="Arial"/>
          <w:rtl/>
        </w:rPr>
        <w:t>- דברי הכל</w:t>
      </w:r>
      <w:r w:rsidRPr="0037178B">
        <w:rPr>
          <w:rFonts w:cs="Arial" w:hint="cs"/>
          <w:sz w:val="14"/>
          <w:szCs w:val="14"/>
          <w:rtl/>
        </w:rPr>
        <w:t xml:space="preserve"> (עו.)</w:t>
      </w:r>
      <w:r>
        <w:rPr>
          <w:rFonts w:cs="Arial"/>
          <w:rtl/>
        </w:rPr>
        <w:t xml:space="preserve"> אסור. צונן לתוך צונן</w:t>
      </w:r>
      <w:r>
        <w:rPr>
          <w:rFonts w:cs="Arial" w:hint="cs"/>
          <w:rtl/>
        </w:rPr>
        <w:t xml:space="preserve"> </w:t>
      </w:r>
      <w:r w:rsidRPr="007C3926">
        <w:rPr>
          <w:rFonts w:cs="Arial"/>
          <w:rtl/>
        </w:rPr>
        <w:t>- דברי הכל מו</w:t>
      </w:r>
      <w:r>
        <w:rPr>
          <w:rFonts w:cs="Arial"/>
          <w:rtl/>
        </w:rPr>
        <w:t>תר. חם לתוך צונן, וצונן לתוך חם</w:t>
      </w:r>
      <w:r>
        <w:rPr>
          <w:rFonts w:cs="Arial" w:hint="cs"/>
          <w:rtl/>
        </w:rPr>
        <w:t>,</w:t>
      </w:r>
      <w:r w:rsidRPr="007C3926">
        <w:rPr>
          <w:rFonts w:cs="Arial"/>
          <w:rtl/>
        </w:rPr>
        <w:t xml:space="preserve"> </w:t>
      </w:r>
      <w:r w:rsidRPr="006D7551">
        <w:rPr>
          <w:rFonts w:cs="Arial"/>
          <w:u w:val="single"/>
          <w:rtl/>
        </w:rPr>
        <w:t>רב אמר</w:t>
      </w:r>
      <w:r w:rsidRPr="007C3926">
        <w:rPr>
          <w:rFonts w:cs="Arial"/>
          <w:rtl/>
        </w:rPr>
        <w:t>: ע</w:t>
      </w:r>
      <w:r>
        <w:rPr>
          <w:rFonts w:cs="Arial"/>
          <w:rtl/>
        </w:rPr>
        <w:t xml:space="preserve">ילאה גבר, </w:t>
      </w:r>
      <w:r w:rsidRPr="006D7551">
        <w:rPr>
          <w:rFonts w:cs="Arial"/>
          <w:u w:val="single"/>
          <w:rtl/>
        </w:rPr>
        <w:t>ושמואל אמר</w:t>
      </w:r>
      <w:r>
        <w:rPr>
          <w:rFonts w:cs="Arial"/>
          <w:rtl/>
        </w:rPr>
        <w:t>: תתאה גבר.</w:t>
      </w:r>
      <w:r>
        <w:rPr>
          <w:rFonts w:cs="Arial" w:hint="cs"/>
          <w:rtl/>
        </w:rPr>
        <w:t xml:space="preserve">.. </w:t>
      </w:r>
      <w:r>
        <w:rPr>
          <w:rFonts w:cs="Arial"/>
          <w:rtl/>
        </w:rPr>
        <w:t>תניא כוותיה דשמואל: חם לתוך חם</w:t>
      </w:r>
      <w:r>
        <w:rPr>
          <w:rFonts w:cs="Arial" w:hint="cs"/>
          <w:rtl/>
        </w:rPr>
        <w:t xml:space="preserve"> </w:t>
      </w:r>
      <w:r>
        <w:rPr>
          <w:rFonts w:cs="Arial"/>
          <w:rtl/>
        </w:rPr>
        <w:t>- אסור, וכן צונן שנתן לתוך חם</w:t>
      </w:r>
      <w:r>
        <w:rPr>
          <w:rFonts w:cs="Arial" w:hint="cs"/>
          <w:rtl/>
        </w:rPr>
        <w:t xml:space="preserve"> </w:t>
      </w:r>
      <w:r w:rsidRPr="007C3926">
        <w:rPr>
          <w:rFonts w:cs="Arial"/>
          <w:rtl/>
        </w:rPr>
        <w:t>- אסו</w:t>
      </w:r>
      <w:r>
        <w:rPr>
          <w:rFonts w:cs="Arial"/>
          <w:rtl/>
        </w:rPr>
        <w:t>ר. חם לתוך צונן וצונן לתוך צונן</w:t>
      </w:r>
      <w:r>
        <w:rPr>
          <w:rFonts w:cs="Arial" w:hint="cs"/>
          <w:rtl/>
        </w:rPr>
        <w:t xml:space="preserve"> </w:t>
      </w:r>
      <w:r w:rsidRPr="007C3926">
        <w:rPr>
          <w:rFonts w:cs="Arial"/>
          <w:rtl/>
        </w:rPr>
        <w:t xml:space="preserve">- מדיח. </w:t>
      </w:r>
      <w:r>
        <w:rPr>
          <w:rFonts w:cs="Arial"/>
          <w:rtl/>
        </w:rPr>
        <w:t>חם לתוך צונן מדיח</w:t>
      </w:r>
      <w:r>
        <w:rPr>
          <w:rFonts w:cs="Arial" w:hint="cs"/>
          <w:rtl/>
        </w:rPr>
        <w:t>?</w:t>
      </w:r>
      <w:r>
        <w:rPr>
          <w:rFonts w:cs="Arial"/>
          <w:rtl/>
        </w:rPr>
        <w:t xml:space="preserve"> כיון דחם הוא</w:t>
      </w:r>
      <w:r w:rsidRPr="007C3926">
        <w:rPr>
          <w:rFonts w:cs="Arial"/>
          <w:rtl/>
        </w:rPr>
        <w:t xml:space="preserve"> א</w:t>
      </w:r>
      <w:r>
        <w:rPr>
          <w:rFonts w:cs="Arial"/>
          <w:rtl/>
        </w:rPr>
        <w:t>דמיקר ליה</w:t>
      </w:r>
      <w:r>
        <w:rPr>
          <w:rStyle w:val="a7"/>
          <w:rFonts w:cs="Arial"/>
          <w:rtl/>
        </w:rPr>
        <w:footnoteReference w:id="2170"/>
      </w:r>
      <w:r>
        <w:rPr>
          <w:rFonts w:cs="Arial"/>
          <w:rtl/>
        </w:rPr>
        <w:t xml:space="preserve"> אי אפשר דלא בלע פורתא</w:t>
      </w:r>
      <w:r w:rsidRPr="007C3926">
        <w:rPr>
          <w:rFonts w:cs="Arial"/>
          <w:rtl/>
        </w:rPr>
        <w:t xml:space="preserve"> קליפה מיה</w:t>
      </w:r>
      <w:r>
        <w:rPr>
          <w:rFonts w:cs="Arial"/>
          <w:rtl/>
        </w:rPr>
        <w:t>א ניבעי! אלא אימא: חם לתוך צונן</w:t>
      </w:r>
      <w:r>
        <w:rPr>
          <w:rFonts w:cs="Arial" w:hint="cs"/>
          <w:rtl/>
        </w:rPr>
        <w:t xml:space="preserve"> </w:t>
      </w:r>
      <w:r>
        <w:rPr>
          <w:rFonts w:cs="Arial"/>
          <w:rtl/>
        </w:rPr>
        <w:t>- קולף, צונן לתוך צונן</w:t>
      </w:r>
      <w:r>
        <w:rPr>
          <w:rFonts w:cs="Arial" w:hint="cs"/>
          <w:rtl/>
        </w:rPr>
        <w:t xml:space="preserve"> </w:t>
      </w:r>
      <w:r w:rsidRPr="007C3926">
        <w:rPr>
          <w:rFonts w:cs="Arial"/>
          <w:rtl/>
        </w:rPr>
        <w:t xml:space="preserve">- מדיח. תניא אידך: בשר רותח שנפל לתוך </w:t>
      </w:r>
      <w:r>
        <w:rPr>
          <w:rFonts w:cs="Arial"/>
          <w:rtl/>
        </w:rPr>
        <w:t>חלב רותח, וכן צונן שנפל לתוך חם</w:t>
      </w:r>
      <w:r>
        <w:rPr>
          <w:rFonts w:cs="Arial" w:hint="cs"/>
          <w:rtl/>
        </w:rPr>
        <w:t xml:space="preserve"> </w:t>
      </w:r>
      <w:r w:rsidRPr="007C3926">
        <w:rPr>
          <w:rFonts w:cs="Arial"/>
          <w:rtl/>
        </w:rPr>
        <w:t>- אסור</w:t>
      </w:r>
      <w:r>
        <w:rPr>
          <w:rFonts w:cs="Arial"/>
          <w:rtl/>
        </w:rPr>
        <w:t>. חם לתוך צונן, וצונן לתוך צונן</w:t>
      </w:r>
      <w:r>
        <w:rPr>
          <w:rFonts w:cs="Arial" w:hint="cs"/>
          <w:rtl/>
        </w:rPr>
        <w:t xml:space="preserve"> </w:t>
      </w:r>
      <w:r>
        <w:rPr>
          <w:rFonts w:cs="Arial"/>
          <w:rtl/>
        </w:rPr>
        <w:t>- מדיח</w:t>
      </w:r>
      <w:r>
        <w:rPr>
          <w:rFonts w:cs="Arial" w:hint="cs"/>
          <w:rtl/>
        </w:rPr>
        <w:t>,</w:t>
      </w:r>
      <w:r w:rsidRPr="007C3926">
        <w:rPr>
          <w:rFonts w:cs="Arial"/>
          <w:rtl/>
        </w:rPr>
        <w:t xml:space="preserve"> </w:t>
      </w:r>
      <w:r>
        <w:rPr>
          <w:rFonts w:cs="Arial"/>
          <w:rtl/>
        </w:rPr>
        <w:t>חם לתוך צונן מדיח? כיון דחם הוא</w:t>
      </w:r>
      <w:r w:rsidRPr="007C3926">
        <w:rPr>
          <w:rFonts w:cs="Arial"/>
          <w:rtl/>
        </w:rPr>
        <w:t xml:space="preserve"> א</w:t>
      </w:r>
      <w:r>
        <w:rPr>
          <w:rFonts w:cs="Arial"/>
          <w:rtl/>
        </w:rPr>
        <w:t>דמיקר ליה אי אפשר דלא בלע פורתא</w:t>
      </w:r>
      <w:r w:rsidRPr="007C3926">
        <w:rPr>
          <w:rFonts w:cs="Arial"/>
          <w:rtl/>
        </w:rPr>
        <w:t xml:space="preserve"> קליפה מיהא ניבעי! אלא אימא: חם ל</w:t>
      </w:r>
      <w:r>
        <w:rPr>
          <w:rFonts w:cs="Arial"/>
          <w:rtl/>
        </w:rPr>
        <w:t>תוך צונן</w:t>
      </w:r>
      <w:r>
        <w:rPr>
          <w:rFonts w:cs="Arial" w:hint="cs"/>
          <w:rtl/>
        </w:rPr>
        <w:t xml:space="preserve"> </w:t>
      </w:r>
      <w:r>
        <w:rPr>
          <w:rFonts w:cs="Arial"/>
          <w:rtl/>
        </w:rPr>
        <w:t>- קולף, צונן לתוך צונן</w:t>
      </w:r>
      <w:r>
        <w:rPr>
          <w:rFonts w:cs="Arial" w:hint="cs"/>
          <w:rtl/>
        </w:rPr>
        <w:t xml:space="preserve"> </w:t>
      </w:r>
      <w:r w:rsidRPr="007C3926">
        <w:rPr>
          <w:rFonts w:cs="Arial"/>
          <w:rtl/>
        </w:rPr>
        <w:t xml:space="preserve">- מדיח. </w:t>
      </w:r>
      <w:r w:rsidRPr="006D7551">
        <w:rPr>
          <w:rFonts w:cs="Arial" w:hint="cs"/>
          <w:sz w:val="16"/>
          <w:szCs w:val="16"/>
          <w:rtl/>
        </w:rPr>
        <w:t>(</w:t>
      </w:r>
      <w:r w:rsidRPr="006D7551">
        <w:rPr>
          <w:rFonts w:cs="Arial"/>
          <w:sz w:val="16"/>
          <w:szCs w:val="16"/>
          <w:rtl/>
        </w:rPr>
        <w:t>ואע</w:t>
      </w:r>
      <w:r w:rsidRPr="006D7551">
        <w:rPr>
          <w:rFonts w:cs="Arial" w:hint="cs"/>
          <w:sz w:val="16"/>
          <w:szCs w:val="16"/>
          <w:rtl/>
        </w:rPr>
        <w:t>"</w:t>
      </w:r>
      <w:r w:rsidRPr="006D7551">
        <w:rPr>
          <w:rFonts w:cs="Arial"/>
          <w:sz w:val="16"/>
          <w:szCs w:val="16"/>
          <w:rtl/>
        </w:rPr>
        <w:t>פ דהלכתא כרב באיסורי בהא הלכתא כשמואל דהא תניא תרתי מתניתא כוותיה</w:t>
      </w:r>
      <w:r>
        <w:rPr>
          <w:rFonts w:cs="Arial" w:hint="cs"/>
          <w:sz w:val="16"/>
          <w:szCs w:val="16"/>
          <w:rtl/>
        </w:rPr>
        <w:t xml:space="preserve">, רש"י </w:t>
      </w:r>
      <w:r>
        <w:rPr>
          <w:rFonts w:cs="Arial" w:hint="cs"/>
          <w:sz w:val="14"/>
          <w:szCs w:val="14"/>
          <w:rtl/>
        </w:rPr>
        <w:t>(ד"ה ושמואל אמר)</w:t>
      </w:r>
      <w:r>
        <w:rPr>
          <w:rFonts w:cs="Arial" w:hint="cs"/>
          <w:sz w:val="16"/>
          <w:szCs w:val="16"/>
          <w:rtl/>
        </w:rPr>
        <w:t>.</w:t>
      </w:r>
      <w:r>
        <w:rPr>
          <w:rFonts w:cs="Arial"/>
          <w:sz w:val="16"/>
          <w:szCs w:val="16"/>
          <w:rtl/>
        </w:rPr>
        <w:t xml:space="preserve"> וכ</w:t>
      </w:r>
      <w:r>
        <w:rPr>
          <w:rFonts w:cs="Arial" w:hint="cs"/>
          <w:sz w:val="16"/>
          <w:szCs w:val="16"/>
          <w:rtl/>
        </w:rPr>
        <w:t>"פ</w:t>
      </w:r>
      <w:r w:rsidRPr="006D7551">
        <w:rPr>
          <w:rFonts w:cs="Arial"/>
          <w:sz w:val="16"/>
          <w:szCs w:val="16"/>
          <w:rtl/>
        </w:rPr>
        <w:t xml:space="preserve"> כל הפוסקים</w:t>
      </w:r>
      <w:r>
        <w:rPr>
          <w:rFonts w:cs="Arial" w:hint="cs"/>
          <w:sz w:val="16"/>
          <w:szCs w:val="16"/>
          <w:rtl/>
        </w:rPr>
        <w:t>. וכ' הר"ן</w:t>
      </w:r>
      <w:r>
        <w:rPr>
          <w:rFonts w:hint="cs"/>
          <w:rtl/>
        </w:rPr>
        <w:t xml:space="preserve"> </w:t>
      </w:r>
      <w:r w:rsidRPr="001E5FF6">
        <w:rPr>
          <w:rFonts w:cs="Arial"/>
          <w:sz w:val="14"/>
          <w:szCs w:val="14"/>
          <w:rtl/>
        </w:rPr>
        <w:t>(מא: ד"ה גרסינן)</w:t>
      </w:r>
      <w:r>
        <w:rPr>
          <w:rFonts w:cs="Arial" w:hint="cs"/>
          <w:sz w:val="16"/>
          <w:szCs w:val="16"/>
          <w:rtl/>
        </w:rPr>
        <w:t xml:space="preserve"> ד</w:t>
      </w:r>
      <w:r w:rsidRPr="001E5FF6">
        <w:rPr>
          <w:rFonts w:cs="Arial"/>
          <w:sz w:val="16"/>
          <w:szCs w:val="16"/>
          <w:rtl/>
        </w:rPr>
        <w:t>פלוגתייהו דרב ושמואל בשנטלו מן האור אלא שעדיין הוא חם שאילו האחד מהם על האור כולהו מודו דכחם בתוך חם דמי</w:t>
      </w:r>
      <w:r>
        <w:rPr>
          <w:rFonts w:cs="Arial" w:hint="cs"/>
          <w:sz w:val="16"/>
          <w:szCs w:val="16"/>
          <w:rtl/>
        </w:rPr>
        <w:t>)</w:t>
      </w:r>
      <w:r>
        <w:rPr>
          <w:rFonts w:cs="Arial"/>
          <w:rtl/>
        </w:rPr>
        <w:t xml:space="preserve"> </w:t>
      </w:r>
      <w:r>
        <w:rPr>
          <w:rFonts w:cs="Arial" w:hint="cs"/>
          <w:rtl/>
        </w:rPr>
        <w:t xml:space="preserve"> </w:t>
      </w:r>
    </w:p>
    <w:p w14:paraId="0EF606A9" w14:textId="77777777" w:rsidR="002C39F4" w:rsidRDefault="002C39F4" w:rsidP="002C39F4">
      <w:pPr>
        <w:rPr>
          <w:rFonts w:cs="Arial"/>
          <w:rtl/>
        </w:rPr>
      </w:pPr>
      <w:r w:rsidRPr="00094F89">
        <w:rPr>
          <w:rFonts w:cs="Arial"/>
          <w:u w:val="single"/>
          <w:rtl/>
        </w:rPr>
        <w:t>הניח איסור חם לתוך קערה</w:t>
      </w:r>
      <w:r w:rsidRPr="00094F89">
        <w:rPr>
          <w:rFonts w:cs="Arial" w:hint="cs"/>
          <w:u w:val="single"/>
          <w:rtl/>
        </w:rPr>
        <w:t>:</w:t>
      </w:r>
      <w:r w:rsidRPr="00094F89">
        <w:rPr>
          <w:rFonts w:cs="Arial"/>
          <w:rtl/>
        </w:rPr>
        <w:t xml:space="preserve"> </w:t>
      </w:r>
      <w:r>
        <w:rPr>
          <w:rFonts w:cs="Arial" w:hint="cs"/>
          <w:rtl/>
        </w:rPr>
        <w:t xml:space="preserve"> </w:t>
      </w:r>
      <w:r w:rsidRPr="00094F89">
        <w:rPr>
          <w:rFonts w:cs="Arial" w:hint="cs"/>
          <w:sz w:val="16"/>
          <w:szCs w:val="16"/>
          <w:rtl/>
        </w:rPr>
        <w:t xml:space="preserve">  </w:t>
      </w:r>
      <w:r w:rsidRPr="00094F89">
        <w:rPr>
          <w:rFonts w:cs="Arial"/>
          <w:sz w:val="16"/>
          <w:szCs w:val="16"/>
          <w:rtl/>
        </w:rPr>
        <w:t>(</w:t>
      </w:r>
      <w:r w:rsidRPr="00094F89">
        <w:rPr>
          <w:rFonts w:cs="Arial" w:hint="cs"/>
          <w:sz w:val="16"/>
          <w:szCs w:val="16"/>
          <w:rtl/>
        </w:rPr>
        <w:t xml:space="preserve">דרכ"מ אות </w:t>
      </w:r>
      <w:r w:rsidRPr="00094F89">
        <w:rPr>
          <w:rFonts w:cs="Arial"/>
          <w:sz w:val="16"/>
          <w:szCs w:val="16"/>
          <w:rtl/>
        </w:rPr>
        <w:t>ה)</w:t>
      </w:r>
    </w:p>
    <w:p w14:paraId="0F6A285C" w14:textId="77777777" w:rsidR="002C39F4" w:rsidRDefault="002C39F4" w:rsidP="0032102C">
      <w:pPr>
        <w:pStyle w:val="a8"/>
        <w:numPr>
          <w:ilvl w:val="0"/>
          <w:numId w:val="228"/>
        </w:numPr>
        <w:rPr>
          <w:rtl/>
        </w:rPr>
      </w:pPr>
      <w:r>
        <w:rPr>
          <w:rFonts w:cs="Arial" w:hint="cs"/>
          <w:rtl/>
        </w:rPr>
        <w:t>או</w:t>
      </w:r>
      <w:r>
        <w:rPr>
          <w:rFonts w:cs="Arial"/>
          <w:rtl/>
        </w:rPr>
        <w:t>"</w:t>
      </w:r>
      <w:r>
        <w:rPr>
          <w:rFonts w:cs="Arial" w:hint="cs"/>
          <w:rtl/>
        </w:rPr>
        <w:t>ה</w:t>
      </w:r>
      <w:r w:rsidRPr="00094F89">
        <w:rPr>
          <w:rFonts w:cs="Arial"/>
          <w:rtl/>
        </w:rPr>
        <w:t xml:space="preserve"> </w:t>
      </w:r>
      <w:r w:rsidRPr="00094F89">
        <w:rPr>
          <w:rFonts w:cs="Arial" w:hint="cs"/>
          <w:sz w:val="16"/>
          <w:szCs w:val="16"/>
          <w:rtl/>
        </w:rPr>
        <w:t>(כלל</w:t>
      </w:r>
      <w:r w:rsidRPr="00094F89">
        <w:rPr>
          <w:rFonts w:cs="Arial"/>
          <w:sz w:val="16"/>
          <w:szCs w:val="16"/>
          <w:rtl/>
        </w:rPr>
        <w:t xml:space="preserve"> לו דין ה</w:t>
      </w:r>
      <w:r>
        <w:rPr>
          <w:rFonts w:cs="Arial" w:hint="cs"/>
          <w:sz w:val="16"/>
          <w:szCs w:val="16"/>
          <w:rtl/>
        </w:rPr>
        <w:t xml:space="preserve"> ודין ז</w:t>
      </w:r>
      <w:r w:rsidRPr="00094F89">
        <w:rPr>
          <w:rFonts w:cs="Arial"/>
          <w:sz w:val="16"/>
          <w:szCs w:val="16"/>
          <w:rtl/>
        </w:rPr>
        <w:t>)</w:t>
      </w:r>
      <w:r w:rsidRPr="00094F89">
        <w:rPr>
          <w:rFonts w:cs="Arial" w:hint="cs"/>
          <w:rtl/>
        </w:rPr>
        <w:t>-</w:t>
      </w:r>
      <w:r w:rsidRPr="00094F89">
        <w:rPr>
          <w:rFonts w:cs="Arial"/>
          <w:rtl/>
        </w:rPr>
        <w:t xml:space="preserve"> דינו כמו שאר חם לתוך צונן</w:t>
      </w:r>
      <w:r>
        <w:rPr>
          <w:rFonts w:cs="Arial" w:hint="cs"/>
          <w:rtl/>
        </w:rPr>
        <w:t>,</w:t>
      </w:r>
      <w:r w:rsidRPr="00094F89">
        <w:rPr>
          <w:rFonts w:cs="Arial"/>
          <w:rtl/>
        </w:rPr>
        <w:t xml:space="preserve"> וכן אם הניח בשר חם לתוך קערה חולבת הבשר צריך קליפה וגם הקערה צריכה קליפה במקום שנגע בבשר או יגעילנה</w:t>
      </w:r>
      <w:r>
        <w:rPr>
          <w:rFonts w:cs="Arial" w:hint="cs"/>
          <w:rtl/>
        </w:rPr>
        <w:t>, ו</w:t>
      </w:r>
      <w:r w:rsidRPr="00FB6079">
        <w:rPr>
          <w:rFonts w:cs="Arial"/>
          <w:rtl/>
        </w:rPr>
        <w:t>דוקא שהוא בקערה</w:t>
      </w:r>
      <w:r>
        <w:rPr>
          <w:rFonts w:cs="Arial" w:hint="cs"/>
          <w:rtl/>
        </w:rPr>
        <w:t>,</w:t>
      </w:r>
      <w:r w:rsidRPr="00BB15BB">
        <w:rPr>
          <w:rFonts w:cs="Arial"/>
          <w:rtl/>
        </w:rPr>
        <w:t xml:space="preserve"> שאין שם דוחקא דסכינא</w:t>
      </w:r>
      <w:r>
        <w:rPr>
          <w:rFonts w:cs="Arial" w:hint="cs"/>
          <w:rtl/>
        </w:rPr>
        <w:t>,</w:t>
      </w:r>
      <w:r w:rsidRPr="00BB15BB">
        <w:rPr>
          <w:rFonts w:cs="Arial"/>
          <w:rtl/>
        </w:rPr>
        <w:t xml:space="preserve"> אבל אם חתכו בשר רותח בסכין חולבת בן יומו הכל אסור אם אין ס' כנגד הסכין</w:t>
      </w:r>
      <w:r w:rsidRPr="00BB15BB">
        <w:rPr>
          <w:rFonts w:cs="Arial" w:hint="cs"/>
          <w:rtl/>
        </w:rPr>
        <w:t>,</w:t>
      </w:r>
      <w:r w:rsidRPr="00BB15BB">
        <w:rPr>
          <w:rFonts w:cs="Arial"/>
          <w:rtl/>
        </w:rPr>
        <w:t xml:space="preserve"> ואם אינה ב</w:t>
      </w:r>
      <w:r w:rsidRPr="00BB15BB">
        <w:rPr>
          <w:rFonts w:cs="Arial" w:hint="cs"/>
          <w:rtl/>
        </w:rPr>
        <w:t xml:space="preserve">ת </w:t>
      </w:r>
      <w:r w:rsidRPr="00BB15BB">
        <w:rPr>
          <w:rFonts w:cs="Arial"/>
          <w:rtl/>
        </w:rPr>
        <w:t>י</w:t>
      </w:r>
      <w:r w:rsidRPr="00BB15BB">
        <w:rPr>
          <w:rFonts w:cs="Arial" w:hint="cs"/>
          <w:rtl/>
        </w:rPr>
        <w:t>ומא</w:t>
      </w:r>
      <w:r w:rsidRPr="00BB15BB">
        <w:rPr>
          <w:rFonts w:cs="Arial"/>
          <w:rtl/>
        </w:rPr>
        <w:t xml:space="preserve"> צריך קליפה אפילו הצונן משום דבודאי יש שמנונית על הסכין אם אינו יודע בבירור שלא היה בו שמנונית</w:t>
      </w:r>
      <w:r>
        <w:rPr>
          <w:rStyle w:val="a7"/>
          <w:rFonts w:cs="Arial"/>
          <w:rtl/>
        </w:rPr>
        <w:footnoteReference w:id="2171"/>
      </w:r>
      <w:r w:rsidRPr="00BB15BB">
        <w:rPr>
          <w:rFonts w:cs="Arial" w:hint="cs"/>
          <w:rtl/>
        </w:rPr>
        <w:t>.</w:t>
      </w:r>
    </w:p>
    <w:p w14:paraId="769B1647" w14:textId="77777777" w:rsidR="002C39F4" w:rsidRDefault="002C39F4" w:rsidP="002C39F4">
      <w:pPr>
        <w:rPr>
          <w:rFonts w:cs="Arial"/>
          <w:rtl/>
        </w:rPr>
      </w:pPr>
      <w:r w:rsidRPr="00EE1C0E">
        <w:rPr>
          <w:rFonts w:cs="Arial" w:hint="cs"/>
          <w:u w:val="single"/>
          <w:rtl/>
        </w:rPr>
        <w:t>שפיכת שמן כשר</w:t>
      </w:r>
      <w:r>
        <w:rPr>
          <w:rFonts w:cs="Arial" w:hint="cs"/>
          <w:u w:val="single"/>
          <w:rtl/>
        </w:rPr>
        <w:t xml:space="preserve"> מכלי כשר</w:t>
      </w:r>
      <w:r w:rsidRPr="00EE1C0E">
        <w:rPr>
          <w:rFonts w:cs="Arial" w:hint="cs"/>
          <w:u w:val="single"/>
          <w:rtl/>
        </w:rPr>
        <w:t xml:space="preserve"> לנר דולק ובו איסור:</w:t>
      </w:r>
      <w:r w:rsidRPr="00094F89">
        <w:rPr>
          <w:rFonts w:cs="Arial"/>
          <w:rtl/>
        </w:rPr>
        <w:t xml:space="preserve"> </w:t>
      </w:r>
      <w:r>
        <w:rPr>
          <w:rFonts w:cs="Arial" w:hint="cs"/>
          <w:rtl/>
        </w:rPr>
        <w:t xml:space="preserve"> </w:t>
      </w:r>
      <w:r w:rsidRPr="00094F89">
        <w:rPr>
          <w:rFonts w:cs="Arial" w:hint="cs"/>
          <w:sz w:val="16"/>
          <w:szCs w:val="16"/>
          <w:rtl/>
        </w:rPr>
        <w:t xml:space="preserve">  </w:t>
      </w:r>
      <w:r w:rsidRPr="00094F89">
        <w:rPr>
          <w:rFonts w:cs="Arial"/>
          <w:sz w:val="16"/>
          <w:szCs w:val="16"/>
          <w:rtl/>
        </w:rPr>
        <w:t>(</w:t>
      </w:r>
      <w:r w:rsidRPr="00094F89">
        <w:rPr>
          <w:rFonts w:cs="Arial" w:hint="cs"/>
          <w:sz w:val="16"/>
          <w:szCs w:val="16"/>
          <w:rtl/>
        </w:rPr>
        <w:t xml:space="preserve">דרכ"מ אות </w:t>
      </w:r>
      <w:r w:rsidRPr="00094F89">
        <w:rPr>
          <w:rFonts w:cs="Arial"/>
          <w:sz w:val="16"/>
          <w:szCs w:val="16"/>
          <w:rtl/>
        </w:rPr>
        <w:t>ה)</w:t>
      </w:r>
    </w:p>
    <w:p w14:paraId="36B29F39" w14:textId="77777777" w:rsidR="002C39F4" w:rsidRDefault="002C39F4" w:rsidP="0032102C">
      <w:pPr>
        <w:pStyle w:val="a8"/>
        <w:numPr>
          <w:ilvl w:val="0"/>
          <w:numId w:val="228"/>
        </w:numPr>
        <w:rPr>
          <w:rFonts w:cs="Arial"/>
        </w:rPr>
      </w:pPr>
      <w:r w:rsidRPr="00EE1C0E">
        <w:rPr>
          <w:rFonts w:cs="Arial"/>
          <w:rtl/>
        </w:rPr>
        <w:t xml:space="preserve">מרדכי </w:t>
      </w:r>
      <w:r w:rsidRPr="00EE1C0E">
        <w:rPr>
          <w:rFonts w:cs="Arial"/>
          <w:sz w:val="16"/>
          <w:szCs w:val="16"/>
          <w:rtl/>
        </w:rPr>
        <w:t>(</w:t>
      </w:r>
      <w:r w:rsidRPr="00EE1C0E">
        <w:rPr>
          <w:rFonts w:cs="Arial" w:hint="cs"/>
          <w:sz w:val="16"/>
          <w:szCs w:val="16"/>
          <w:rtl/>
        </w:rPr>
        <w:t xml:space="preserve">חולין </w:t>
      </w:r>
      <w:r w:rsidRPr="00EE1C0E">
        <w:rPr>
          <w:rFonts w:cs="Arial"/>
          <w:sz w:val="16"/>
          <w:szCs w:val="16"/>
          <w:rtl/>
        </w:rPr>
        <w:t>סי' תשטו)</w:t>
      </w:r>
      <w:r w:rsidRPr="00EE1C0E">
        <w:rPr>
          <w:rFonts w:cs="Arial" w:hint="cs"/>
          <w:rtl/>
        </w:rPr>
        <w:t xml:space="preserve">- </w:t>
      </w:r>
      <w:r w:rsidRPr="00EE1C0E">
        <w:rPr>
          <w:rFonts w:cs="Arial"/>
          <w:rtl/>
        </w:rPr>
        <w:t>אסור לשפוך מכלי כשר שיש בו שומן כשר לתוך נר דולק ובו חלב או שומן טריפה</w:t>
      </w:r>
      <w:r w:rsidRPr="00EE1C0E">
        <w:rPr>
          <w:rFonts w:cs="Arial" w:hint="cs"/>
          <w:rtl/>
        </w:rPr>
        <w:t>,</w:t>
      </w:r>
      <w:r w:rsidRPr="00EE1C0E">
        <w:rPr>
          <w:rFonts w:cs="Arial"/>
          <w:rtl/>
        </w:rPr>
        <w:t xml:space="preserve"> דתנן פ"ה דמסכת מכשירין </w:t>
      </w:r>
      <w:r w:rsidRPr="00EE1C0E">
        <w:rPr>
          <w:rFonts w:cs="Arial"/>
          <w:sz w:val="16"/>
          <w:szCs w:val="16"/>
          <w:rtl/>
        </w:rPr>
        <w:t xml:space="preserve">(מ"י) </w:t>
      </w:r>
      <w:r w:rsidRPr="00EE1C0E">
        <w:rPr>
          <w:rFonts w:cs="Arial" w:hint="cs"/>
          <w:rtl/>
        </w:rPr>
        <w:t>"</w:t>
      </w:r>
      <w:r w:rsidRPr="00EE1C0E">
        <w:rPr>
          <w:rFonts w:cs="Arial"/>
          <w:rtl/>
        </w:rPr>
        <w:t>המערה מחם לחם</w:t>
      </w:r>
      <w:r w:rsidRPr="00EE1C0E">
        <w:rPr>
          <w:rFonts w:cs="Arial" w:hint="cs"/>
          <w:rtl/>
        </w:rPr>
        <w:t>,</w:t>
      </w:r>
      <w:r w:rsidRPr="00EE1C0E">
        <w:rPr>
          <w:rFonts w:cs="Arial"/>
          <w:rtl/>
        </w:rPr>
        <w:t xml:space="preserve"> מצונן לצונן</w:t>
      </w:r>
      <w:r>
        <w:rPr>
          <w:rFonts w:cs="Arial" w:hint="cs"/>
          <w:rtl/>
        </w:rPr>
        <w:t xml:space="preserve"> </w:t>
      </w:r>
      <w:r w:rsidRPr="00EE1C0E">
        <w:rPr>
          <w:rFonts w:cs="Arial" w:hint="cs"/>
          <w:rtl/>
        </w:rPr>
        <w:t>-</w:t>
      </w:r>
      <w:r w:rsidRPr="00EE1C0E">
        <w:rPr>
          <w:rFonts w:cs="Arial"/>
          <w:rtl/>
        </w:rPr>
        <w:t xml:space="preserve"> טהור</w:t>
      </w:r>
      <w:r w:rsidRPr="00EE1C0E">
        <w:rPr>
          <w:rFonts w:cs="Arial" w:hint="cs"/>
          <w:rtl/>
        </w:rPr>
        <w:t>,</w:t>
      </w:r>
      <w:r w:rsidRPr="00EE1C0E">
        <w:rPr>
          <w:rFonts w:cs="Arial"/>
          <w:rtl/>
        </w:rPr>
        <w:t xml:space="preserve"> מצונן לחם</w:t>
      </w:r>
      <w:r>
        <w:rPr>
          <w:rFonts w:cs="Arial" w:hint="cs"/>
          <w:rtl/>
        </w:rPr>
        <w:t xml:space="preserve"> </w:t>
      </w:r>
      <w:r w:rsidRPr="00EE1C0E">
        <w:rPr>
          <w:rFonts w:cs="Arial" w:hint="cs"/>
          <w:rtl/>
        </w:rPr>
        <w:t>-</w:t>
      </w:r>
      <w:r w:rsidRPr="00EE1C0E">
        <w:rPr>
          <w:rFonts w:cs="Arial"/>
          <w:rtl/>
        </w:rPr>
        <w:t xml:space="preserve"> טמא</w:t>
      </w:r>
      <w:r w:rsidRPr="00EE1C0E">
        <w:rPr>
          <w:rFonts w:cs="Arial" w:hint="cs"/>
          <w:rtl/>
        </w:rPr>
        <w:t>,</w:t>
      </w:r>
      <w:r w:rsidRPr="00EE1C0E">
        <w:rPr>
          <w:rFonts w:cs="Arial"/>
          <w:rtl/>
        </w:rPr>
        <w:t xml:space="preserve"> רבי שמעון אומר</w:t>
      </w:r>
      <w:r w:rsidRPr="00EE1C0E">
        <w:rPr>
          <w:rFonts w:cs="Arial" w:hint="cs"/>
          <w:rtl/>
        </w:rPr>
        <w:t xml:space="preserve"> אף</w:t>
      </w:r>
      <w:r w:rsidRPr="00EE1C0E">
        <w:rPr>
          <w:rFonts w:cs="Arial"/>
          <w:rtl/>
        </w:rPr>
        <w:t xml:space="preserve"> המערה מחם לחם</w:t>
      </w:r>
      <w:r w:rsidRPr="00EE1C0E">
        <w:rPr>
          <w:rFonts w:cs="Arial" w:hint="cs"/>
          <w:rtl/>
        </w:rPr>
        <w:t>,</w:t>
      </w:r>
      <w:r w:rsidRPr="00EE1C0E">
        <w:rPr>
          <w:rFonts w:cs="Arial"/>
          <w:rtl/>
        </w:rPr>
        <w:t xml:space="preserve"> </w:t>
      </w:r>
      <w:r w:rsidRPr="00EE1C0E">
        <w:rPr>
          <w:rFonts w:cs="Arial" w:hint="cs"/>
          <w:rtl/>
        </w:rPr>
        <w:t>ו</w:t>
      </w:r>
      <w:r w:rsidRPr="00EE1C0E">
        <w:rPr>
          <w:rFonts w:cs="Arial"/>
          <w:rtl/>
        </w:rPr>
        <w:t>כחו של תחתון יפה משל עליון</w:t>
      </w:r>
      <w:r w:rsidRPr="00EE1C0E">
        <w:rPr>
          <w:rFonts w:cs="Arial" w:hint="cs"/>
          <w:rtl/>
        </w:rPr>
        <w:t>",</w:t>
      </w:r>
      <w:r w:rsidRPr="00EE1C0E">
        <w:rPr>
          <w:rFonts w:cs="Arial"/>
          <w:rtl/>
        </w:rPr>
        <w:t xml:space="preserve"> אלמא </w:t>
      </w:r>
      <w:r w:rsidRPr="00EE1C0E">
        <w:rPr>
          <w:rFonts w:cs="Arial" w:hint="cs"/>
          <w:rtl/>
        </w:rPr>
        <w:t>דכו</w:t>
      </w:r>
      <w:r>
        <w:rPr>
          <w:rFonts w:cs="Arial" w:hint="cs"/>
          <w:rtl/>
        </w:rPr>
        <w:t>"</w:t>
      </w:r>
      <w:r w:rsidRPr="00EE1C0E">
        <w:rPr>
          <w:rFonts w:cs="Arial"/>
          <w:rtl/>
        </w:rPr>
        <w:t>ע צונן לתוך חם</w:t>
      </w:r>
      <w:r>
        <w:rPr>
          <w:rFonts w:cs="Arial" w:hint="cs"/>
          <w:rtl/>
        </w:rPr>
        <w:t xml:space="preserve"> </w:t>
      </w:r>
      <w:r w:rsidRPr="00EE1C0E">
        <w:rPr>
          <w:rFonts w:cs="Arial" w:hint="cs"/>
          <w:rtl/>
        </w:rPr>
        <w:t>-</w:t>
      </w:r>
      <w:r w:rsidRPr="00EE1C0E">
        <w:rPr>
          <w:rFonts w:cs="Arial"/>
          <w:rtl/>
        </w:rPr>
        <w:t xml:space="preserve"> טמא</w:t>
      </w:r>
      <w:r w:rsidRPr="00EE1C0E">
        <w:rPr>
          <w:rFonts w:cs="Arial" w:hint="cs"/>
          <w:rtl/>
        </w:rPr>
        <w:t>,</w:t>
      </w:r>
      <w:r w:rsidRPr="00EE1C0E">
        <w:rPr>
          <w:rFonts w:cs="Arial"/>
          <w:rtl/>
        </w:rPr>
        <w:t xml:space="preserve"> וה"ה לאיסור והיתר</w:t>
      </w:r>
      <w:r w:rsidRPr="00EE1C0E">
        <w:rPr>
          <w:rFonts w:cs="Arial" w:hint="cs"/>
          <w:rtl/>
        </w:rPr>
        <w:t>.</w:t>
      </w:r>
    </w:p>
    <w:p w14:paraId="7D932A3D" w14:textId="77777777" w:rsidR="002C39F4" w:rsidRDefault="002C39F4" w:rsidP="0032102C">
      <w:pPr>
        <w:pStyle w:val="a8"/>
        <w:numPr>
          <w:ilvl w:val="0"/>
          <w:numId w:val="228"/>
        </w:numPr>
        <w:rPr>
          <w:rFonts w:cs="Arial"/>
        </w:rPr>
      </w:pPr>
      <w:r w:rsidRPr="00BF0648">
        <w:rPr>
          <w:rFonts w:asciiTheme="minorBidi" w:hAnsiTheme="minorBidi"/>
          <w:rtl/>
        </w:rPr>
        <w:t>מהרי"ל ו</w:t>
      </w:r>
      <w:r>
        <w:rPr>
          <w:rFonts w:asciiTheme="minorBidi" w:hAnsiTheme="minorBidi" w:hint="cs"/>
          <w:rtl/>
        </w:rPr>
        <w:t>תרוה"ד</w:t>
      </w:r>
      <w:r>
        <w:rPr>
          <w:rStyle w:val="a7"/>
          <w:rFonts w:asciiTheme="minorBidi" w:hAnsiTheme="minorBidi"/>
          <w:rtl/>
        </w:rPr>
        <w:footnoteReference w:id="2172"/>
      </w:r>
      <w:r>
        <w:rPr>
          <w:rFonts w:asciiTheme="minorBidi" w:hAnsiTheme="minorBidi" w:hint="cs"/>
          <w:rtl/>
        </w:rPr>
        <w:t>-</w:t>
      </w:r>
      <w:r w:rsidRPr="00F96D63">
        <w:rPr>
          <w:rFonts w:cs="Arial"/>
          <w:rtl/>
        </w:rPr>
        <w:t xml:space="preserve"> לא שייך ניצוק אלא לגבי יי"נ ולענין טומאה וטהרה, ומשום דהני מילי תולין בנגיעה ולא בנתינת טעם</w:t>
      </w:r>
      <w:r>
        <w:rPr>
          <w:rFonts w:cs="Arial" w:hint="cs"/>
          <w:rtl/>
        </w:rPr>
        <w:t>,</w:t>
      </w:r>
      <w:r w:rsidRPr="00F96D63">
        <w:rPr>
          <w:rFonts w:cs="Arial"/>
          <w:rtl/>
        </w:rPr>
        <w:t xml:space="preserve"> יי"נ אסור במגע וטמא נמי במגע, וטהרה אשכחן נמי ע"י מגע כגון בהשקה וע"י עירוב מקוואות בקליפת השום, אבל שאר איסורין דלא תלו אלא בנתינת טעם אין נצוק אסור בהן</w:t>
      </w:r>
      <w:r>
        <w:rPr>
          <w:rFonts w:cs="Arial" w:hint="cs"/>
          <w:rtl/>
        </w:rPr>
        <w:t>,</w:t>
      </w:r>
      <w:r w:rsidRPr="00F96D63">
        <w:rPr>
          <w:rFonts w:cs="Arial"/>
          <w:rtl/>
        </w:rPr>
        <w:t xml:space="preserve"> וגדולה מזו אמרינן גבי כלי מתכת דחם מקצתו חם כולו ואעפ"כ פסקו רבותינו דלא אמר מוליך בליעתו בכולו</w:t>
      </w:r>
      <w:r>
        <w:rPr>
          <w:rFonts w:cs="Arial" w:hint="cs"/>
          <w:rtl/>
        </w:rPr>
        <w:t>...</w:t>
      </w:r>
      <w:r w:rsidRPr="00F96D63">
        <w:rPr>
          <w:rFonts w:cs="Arial"/>
          <w:rtl/>
        </w:rPr>
        <w:t xml:space="preserve"> והשתא ק"ו אפי' כלי מתכות דחבור גמור הוא יותר מן הקילוח דמשקין אפ"ה אינו מוליך בליעה מצד זה לצד זה, וכ"ש האי. ופסק המרדכי דלעיל אינו לפני שהייתי יכול לדקדק בו מה טעמו אבל אינו משום נצוק</w:t>
      </w:r>
      <w:r>
        <w:rPr>
          <w:rFonts w:cs="Arial" w:hint="cs"/>
          <w:sz w:val="16"/>
          <w:szCs w:val="16"/>
          <w:rtl/>
        </w:rPr>
        <w:t xml:space="preserve"> (ל' תרוה"ד)</w:t>
      </w:r>
      <w:r>
        <w:rPr>
          <w:rFonts w:cs="Arial" w:hint="cs"/>
          <w:rtl/>
        </w:rPr>
        <w:t>.</w:t>
      </w:r>
    </w:p>
    <w:p w14:paraId="11C872E1" w14:textId="77777777" w:rsidR="002C39F4" w:rsidRPr="00BF0648" w:rsidRDefault="002C39F4" w:rsidP="0032102C">
      <w:pPr>
        <w:pStyle w:val="a8"/>
        <w:numPr>
          <w:ilvl w:val="0"/>
          <w:numId w:val="228"/>
        </w:numPr>
        <w:rPr>
          <w:rFonts w:cs="Arial"/>
          <w:rtl/>
        </w:rPr>
      </w:pPr>
      <w:r>
        <w:rPr>
          <w:rFonts w:cs="Arial" w:hint="cs"/>
          <w:rtl/>
        </w:rPr>
        <w:t>או</w:t>
      </w:r>
      <w:r>
        <w:rPr>
          <w:rFonts w:cs="Arial"/>
          <w:rtl/>
        </w:rPr>
        <w:t>"</w:t>
      </w:r>
      <w:r>
        <w:rPr>
          <w:rFonts w:cs="Arial" w:hint="cs"/>
          <w:rtl/>
        </w:rPr>
        <w:t>ה</w:t>
      </w:r>
      <w:r w:rsidRPr="006266EC">
        <w:rPr>
          <w:rFonts w:cs="Arial" w:hint="cs"/>
          <w:sz w:val="16"/>
          <w:szCs w:val="16"/>
          <w:rtl/>
        </w:rPr>
        <w:t xml:space="preserve"> (כלל כט ד"ו)</w:t>
      </w:r>
      <w:r>
        <w:rPr>
          <w:rFonts w:cs="Arial" w:hint="cs"/>
          <w:rtl/>
        </w:rPr>
        <w:t xml:space="preserve">- דוקא לכתחילה אסור, אבל בדיעבד אין לחוש. </w:t>
      </w:r>
      <w:r w:rsidRPr="00827E92">
        <w:rPr>
          <w:rFonts w:cs="Arial" w:hint="cs"/>
          <w:color w:val="00B0F0"/>
          <w:rtl/>
        </w:rPr>
        <w:t>(וכ"פ הרמ"א)</w:t>
      </w:r>
    </w:p>
    <w:p w14:paraId="51EBDA0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0176860" w14:textId="77777777" w:rsidR="002C39F4" w:rsidRDefault="002C39F4" w:rsidP="002C39F4">
      <w:pPr>
        <w:rPr>
          <w:rFonts w:asciiTheme="minorBidi" w:hAnsiTheme="minorBidi"/>
          <w:rtl/>
        </w:rPr>
      </w:pPr>
      <w:r w:rsidRPr="003024E5">
        <w:rPr>
          <w:rFonts w:asciiTheme="minorBidi" w:hAnsiTheme="minorBidi"/>
          <w:rtl/>
        </w:rPr>
        <w:t>נפל איסור חם לתוך היתר חם דכלי ראשון</w:t>
      </w:r>
      <w:r>
        <w:rPr>
          <w:rFonts w:asciiTheme="minorBidi" w:hAnsiTheme="minorBidi" w:hint="cs"/>
          <w:rtl/>
        </w:rPr>
        <w:t>,</w:t>
      </w:r>
      <w:r w:rsidRPr="003024E5">
        <w:rPr>
          <w:rFonts w:asciiTheme="minorBidi" w:hAnsiTheme="minorBidi"/>
          <w:rtl/>
        </w:rPr>
        <w:t xml:space="preserve"> או אפילו איסור צונן לתוך היתר חם</w:t>
      </w:r>
      <w:r>
        <w:rPr>
          <w:rFonts w:asciiTheme="minorBidi" w:hAnsiTheme="minorBidi" w:hint="cs"/>
          <w:rtl/>
        </w:rPr>
        <w:t>,</w:t>
      </w:r>
      <w:r w:rsidRPr="003024E5">
        <w:rPr>
          <w:rFonts w:asciiTheme="minorBidi" w:hAnsiTheme="minorBidi"/>
          <w:rtl/>
        </w:rPr>
        <w:t xml:space="preserve"> הכל אסור</w:t>
      </w:r>
      <w:r>
        <w:rPr>
          <w:rStyle w:val="a7"/>
          <w:rFonts w:asciiTheme="minorBidi" w:hAnsiTheme="minorBidi"/>
          <w:rtl/>
        </w:rPr>
        <w:footnoteReference w:id="2173"/>
      </w:r>
      <w:r>
        <w:rPr>
          <w:rFonts w:asciiTheme="minorBidi" w:hAnsiTheme="minorBidi" w:hint="cs"/>
          <w:rtl/>
        </w:rPr>
        <w:t>,</w:t>
      </w:r>
      <w:r w:rsidRPr="003024E5">
        <w:rPr>
          <w:rFonts w:asciiTheme="minorBidi" w:hAnsiTheme="minorBidi"/>
          <w:rtl/>
        </w:rPr>
        <w:t xml:space="preserve"> דתתאה גבר על העליון ומחממו עד שמפליט בתחתון</w:t>
      </w:r>
      <w:r>
        <w:rPr>
          <w:rFonts w:asciiTheme="minorBidi" w:hAnsiTheme="minorBidi" w:hint="cs"/>
          <w:rtl/>
        </w:rPr>
        <w:t>,</w:t>
      </w:r>
      <w:r w:rsidRPr="003024E5">
        <w:rPr>
          <w:rFonts w:asciiTheme="minorBidi" w:hAnsiTheme="minorBidi"/>
          <w:rtl/>
        </w:rPr>
        <w:t xml:space="preserve"> ואין צריך לומר דהיתר צונן לתוך איסור חם שהכל אסור</w:t>
      </w:r>
      <w:r>
        <w:rPr>
          <w:rFonts w:asciiTheme="minorBidi" w:hAnsiTheme="minorBidi" w:hint="cs"/>
          <w:rtl/>
        </w:rPr>
        <w:t>,</w:t>
      </w:r>
      <w:r w:rsidRPr="003024E5">
        <w:rPr>
          <w:rFonts w:asciiTheme="minorBidi" w:hAnsiTheme="minorBidi"/>
          <w:rtl/>
        </w:rPr>
        <w:t xml:space="preserve"> אבל אם העליון חם והתחתון צונן אינו אוסר אלא כדי קליפה אפילו אם העליון החם איסור</w:t>
      </w:r>
      <w:r>
        <w:rPr>
          <w:rStyle w:val="a7"/>
          <w:rFonts w:asciiTheme="minorBidi" w:hAnsiTheme="minorBidi"/>
          <w:rtl/>
        </w:rPr>
        <w:footnoteReference w:id="2174"/>
      </w:r>
      <w:r w:rsidRPr="003024E5">
        <w:rPr>
          <w:rFonts w:asciiTheme="minorBidi" w:hAnsiTheme="minorBidi"/>
          <w:rtl/>
        </w:rPr>
        <w:t xml:space="preserve">. </w:t>
      </w:r>
      <w:r w:rsidRPr="00D85FBD">
        <w:rPr>
          <w:rFonts w:asciiTheme="minorBidi" w:hAnsiTheme="minorBidi"/>
          <w:sz w:val="18"/>
          <w:szCs w:val="18"/>
          <w:rtl/>
        </w:rPr>
        <w:t>הגה: וכל זה לא מיירי אלא בחום כלי ראשון, כגון מיד שהסירו מן האש מניחו עם ההיתר</w:t>
      </w:r>
      <w:r>
        <w:rPr>
          <w:rFonts w:asciiTheme="minorBidi" w:hAnsiTheme="minorBidi" w:hint="cs"/>
          <w:sz w:val="18"/>
          <w:szCs w:val="18"/>
          <w:rtl/>
        </w:rPr>
        <w:t>,</w:t>
      </w:r>
      <w:r w:rsidRPr="00D85FBD">
        <w:rPr>
          <w:rFonts w:asciiTheme="minorBidi" w:hAnsiTheme="minorBidi"/>
          <w:sz w:val="18"/>
          <w:szCs w:val="18"/>
          <w:rtl/>
        </w:rPr>
        <w:t xml:space="preserve"> אבל אם כבר מונח בכל</w:t>
      </w:r>
      <w:r>
        <w:rPr>
          <w:rFonts w:asciiTheme="minorBidi" w:hAnsiTheme="minorBidi" w:hint="cs"/>
          <w:sz w:val="18"/>
          <w:szCs w:val="18"/>
          <w:rtl/>
        </w:rPr>
        <w:t>י</w:t>
      </w:r>
      <w:r w:rsidRPr="00D85FBD">
        <w:rPr>
          <w:rFonts w:asciiTheme="minorBidi" w:hAnsiTheme="minorBidi"/>
          <w:sz w:val="18"/>
          <w:szCs w:val="18"/>
          <w:rtl/>
        </w:rPr>
        <w:t xml:space="preserve"> שני ואח</w:t>
      </w:r>
      <w:r>
        <w:rPr>
          <w:rFonts w:asciiTheme="minorBidi" w:hAnsiTheme="minorBidi" w:hint="cs"/>
          <w:sz w:val="18"/>
          <w:szCs w:val="18"/>
          <w:rtl/>
        </w:rPr>
        <w:t>"</w:t>
      </w:r>
      <w:r w:rsidRPr="00D85FBD">
        <w:rPr>
          <w:rFonts w:asciiTheme="minorBidi" w:hAnsiTheme="minorBidi"/>
          <w:sz w:val="18"/>
          <w:szCs w:val="18"/>
          <w:rtl/>
        </w:rPr>
        <w:t>כ מניח ההיתר אצלו או עליו אינו אוסר כלל דכלי שני אינו אוסר כמו שנתבאר (</w:t>
      </w:r>
      <w:r>
        <w:rPr>
          <w:rFonts w:asciiTheme="minorBidi" w:hAnsiTheme="minorBidi" w:hint="cs"/>
          <w:sz w:val="18"/>
          <w:szCs w:val="18"/>
          <w:rtl/>
        </w:rPr>
        <w:t>כ"</w:t>
      </w:r>
      <w:r w:rsidRPr="00D85FBD">
        <w:rPr>
          <w:rFonts w:asciiTheme="minorBidi" w:hAnsiTheme="minorBidi"/>
          <w:sz w:val="18"/>
          <w:szCs w:val="18"/>
          <w:rtl/>
        </w:rPr>
        <w:t>מ מ</w:t>
      </w:r>
      <w:r>
        <w:rPr>
          <w:rFonts w:asciiTheme="minorBidi" w:hAnsiTheme="minorBidi" w:hint="cs"/>
          <w:sz w:val="18"/>
          <w:szCs w:val="18"/>
          <w:rtl/>
        </w:rPr>
        <w:t xml:space="preserve">ד' </w:t>
      </w:r>
      <w:r w:rsidRPr="00D85FBD">
        <w:rPr>
          <w:rFonts w:asciiTheme="minorBidi" w:hAnsiTheme="minorBidi"/>
          <w:sz w:val="18"/>
          <w:szCs w:val="18"/>
          <w:rtl/>
        </w:rPr>
        <w:t>הר"ן). ואם הניחה זה אצל זה אם שניהם חמים מחום כלי ראשון הכל אסור</w:t>
      </w:r>
      <w:r>
        <w:rPr>
          <w:rFonts w:asciiTheme="minorBidi" w:hAnsiTheme="minorBidi" w:hint="cs"/>
          <w:sz w:val="18"/>
          <w:szCs w:val="18"/>
          <w:rtl/>
        </w:rPr>
        <w:t>,</w:t>
      </w:r>
      <w:r w:rsidRPr="00D85FBD">
        <w:rPr>
          <w:rFonts w:asciiTheme="minorBidi" w:hAnsiTheme="minorBidi"/>
          <w:sz w:val="18"/>
          <w:szCs w:val="18"/>
          <w:rtl/>
        </w:rPr>
        <w:t xml:space="preserve"> ואם האחד צונן ההיתר צריך קליפה</w:t>
      </w:r>
      <w:r>
        <w:rPr>
          <w:rStyle w:val="a7"/>
          <w:rFonts w:asciiTheme="minorBidi" w:hAnsiTheme="minorBidi"/>
          <w:sz w:val="18"/>
          <w:szCs w:val="18"/>
          <w:rtl/>
        </w:rPr>
        <w:footnoteReference w:id="2175"/>
      </w:r>
      <w:r w:rsidRPr="00D85FBD">
        <w:rPr>
          <w:rFonts w:asciiTheme="minorBidi" w:hAnsiTheme="minorBidi"/>
          <w:sz w:val="18"/>
          <w:szCs w:val="18"/>
          <w:rtl/>
        </w:rPr>
        <w:t xml:space="preserve"> במקום שנגע (ארוך כלל כט ד"ב והגש</w:t>
      </w:r>
      <w:r>
        <w:rPr>
          <w:rFonts w:asciiTheme="minorBidi" w:hAnsiTheme="minorBidi" w:hint="cs"/>
          <w:sz w:val="18"/>
          <w:szCs w:val="18"/>
          <w:rtl/>
        </w:rPr>
        <w:t>ע</w:t>
      </w:r>
      <w:r w:rsidRPr="00D85FBD">
        <w:rPr>
          <w:rFonts w:asciiTheme="minorBidi" w:hAnsiTheme="minorBidi"/>
          <w:sz w:val="18"/>
          <w:szCs w:val="18"/>
          <w:rtl/>
        </w:rPr>
        <w:t>"ד). איסור שהניחו בכלי היתר או להיפך אמרינן ביה גם כן דין תתאה גבר כמו ב</w:t>
      </w:r>
      <w:r>
        <w:rPr>
          <w:rFonts w:asciiTheme="minorBidi" w:hAnsiTheme="minorBidi" w:hint="cs"/>
          <w:sz w:val="18"/>
          <w:szCs w:val="18"/>
          <w:rtl/>
        </w:rPr>
        <w:t>שתי</w:t>
      </w:r>
      <w:r w:rsidRPr="00D85FBD">
        <w:rPr>
          <w:rFonts w:asciiTheme="minorBidi" w:hAnsiTheme="minorBidi"/>
          <w:sz w:val="18"/>
          <w:szCs w:val="18"/>
          <w:rtl/>
        </w:rPr>
        <w:t xml:space="preserve"> חתיכות (שם כלל לו). ועיין לעיל סי</w:t>
      </w:r>
      <w:r>
        <w:rPr>
          <w:rFonts w:asciiTheme="minorBidi" w:hAnsiTheme="minorBidi" w:hint="cs"/>
          <w:sz w:val="18"/>
          <w:szCs w:val="18"/>
          <w:rtl/>
        </w:rPr>
        <w:t>'</w:t>
      </w:r>
      <w:r w:rsidRPr="00D85FBD">
        <w:rPr>
          <w:rFonts w:asciiTheme="minorBidi" w:hAnsiTheme="minorBidi"/>
          <w:sz w:val="18"/>
          <w:szCs w:val="18"/>
          <w:rtl/>
        </w:rPr>
        <w:t xml:space="preserve"> צד אם חתך בשר בסכין חולבת. אסור לערות מכלי שיש בו שומן כשר לנר דולק שיש בו חלב או שומן איסור</w:t>
      </w:r>
      <w:r>
        <w:rPr>
          <w:rStyle w:val="a7"/>
          <w:rFonts w:asciiTheme="minorBidi" w:hAnsiTheme="minorBidi"/>
          <w:sz w:val="18"/>
          <w:szCs w:val="18"/>
          <w:rtl/>
        </w:rPr>
        <w:footnoteReference w:id="2176"/>
      </w:r>
      <w:r w:rsidRPr="00D85FBD">
        <w:rPr>
          <w:rFonts w:asciiTheme="minorBidi" w:hAnsiTheme="minorBidi"/>
          <w:sz w:val="18"/>
          <w:szCs w:val="18"/>
          <w:rtl/>
        </w:rPr>
        <w:t xml:space="preserve"> (מרדכי</w:t>
      </w:r>
      <w:r>
        <w:rPr>
          <w:rFonts w:asciiTheme="minorBidi" w:hAnsiTheme="minorBidi" w:hint="cs"/>
          <w:sz w:val="18"/>
          <w:szCs w:val="18"/>
          <w:rtl/>
        </w:rPr>
        <w:t>)</w:t>
      </w:r>
      <w:r w:rsidRPr="00D85FBD">
        <w:rPr>
          <w:rFonts w:asciiTheme="minorBidi" w:hAnsiTheme="minorBidi"/>
          <w:sz w:val="18"/>
          <w:szCs w:val="18"/>
          <w:rtl/>
        </w:rPr>
        <w:t>, ובדיעבד אין לחוש (ארוך).</w:t>
      </w:r>
    </w:p>
    <w:p w14:paraId="7D0C090E" w14:textId="77777777" w:rsidR="002C39F4" w:rsidRPr="003024E5" w:rsidRDefault="002C39F4" w:rsidP="002C39F4">
      <w:pPr>
        <w:rPr>
          <w:rFonts w:asciiTheme="minorBidi" w:hAnsiTheme="minorBidi"/>
          <w:rtl/>
        </w:rPr>
      </w:pPr>
    </w:p>
    <w:p w14:paraId="51C46AA7" w14:textId="77777777" w:rsidR="002C39F4" w:rsidRPr="00B4599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איסור שנפל על צלי.</w:t>
      </w:r>
    </w:p>
    <w:p w14:paraId="773C5936" w14:textId="77777777" w:rsidR="002C39F4" w:rsidRDefault="002C39F4" w:rsidP="002C39F4">
      <w:pPr>
        <w:rPr>
          <w:rFonts w:cs="Arial"/>
          <w:rtl/>
        </w:rPr>
      </w:pPr>
      <w:r w:rsidRPr="00B92E7B">
        <w:rPr>
          <w:rFonts w:cs="Arial" w:hint="cs"/>
          <w:b/>
          <w:bCs/>
          <w:rtl/>
        </w:rPr>
        <w:t xml:space="preserve">חולין </w:t>
      </w:r>
      <w:r w:rsidRPr="00B92E7B">
        <w:rPr>
          <w:rFonts w:cs="Arial"/>
          <w:b/>
          <w:bCs/>
          <w:rtl/>
        </w:rPr>
        <w:t>צו</w:t>
      </w:r>
      <w:r w:rsidRPr="00B92E7B">
        <w:rPr>
          <w:rFonts w:cs="Arial" w:hint="cs"/>
          <w:b/>
          <w:bCs/>
          <w:rtl/>
        </w:rPr>
        <w:t xml:space="preserve"> ע"ב:</w:t>
      </w:r>
      <w:r>
        <w:rPr>
          <w:rFonts w:cs="Arial"/>
          <w:rtl/>
        </w:rPr>
        <w:t xml:space="preserve"> </w:t>
      </w:r>
      <w:r w:rsidRPr="00B92E7B">
        <w:rPr>
          <w:rFonts w:cs="Arial"/>
          <w:u w:val="double"/>
          <w:rtl/>
        </w:rPr>
        <w:t>מתני'</w:t>
      </w:r>
      <w:r>
        <w:rPr>
          <w:rFonts w:cs="Arial" w:hint="cs"/>
          <w:rtl/>
        </w:rPr>
        <w:t>:</w:t>
      </w:r>
      <w:r w:rsidRPr="00B92E7B">
        <w:rPr>
          <w:rFonts w:cs="Arial"/>
          <w:rtl/>
        </w:rPr>
        <w:t xml:space="preserve"> ירך שנתבשל בה גיד הנשה, אם יש בה בנותן טעם - הרי זו אסורה.</w:t>
      </w:r>
      <w:r>
        <w:rPr>
          <w:rFonts w:cs="Arial" w:hint="cs"/>
          <w:rtl/>
        </w:rPr>
        <w:t>.</w:t>
      </w:r>
      <w:r w:rsidRPr="00B92E7B">
        <w:rPr>
          <w:rFonts w:cs="Arial"/>
          <w:rtl/>
        </w:rPr>
        <w:t>.</w:t>
      </w:r>
      <w:r>
        <w:rPr>
          <w:rFonts w:cs="Arial" w:hint="cs"/>
          <w:rtl/>
        </w:rPr>
        <w:t xml:space="preserve">     </w:t>
      </w:r>
      <w:r w:rsidRPr="00B92E7B">
        <w:rPr>
          <w:rFonts w:cs="Arial"/>
          <w:u w:val="double"/>
          <w:rtl/>
        </w:rPr>
        <w:t>גמ'</w:t>
      </w:r>
      <w:r>
        <w:rPr>
          <w:rFonts w:cs="Arial" w:hint="cs"/>
          <w:rtl/>
        </w:rPr>
        <w:t>:</w:t>
      </w:r>
      <w:r w:rsidRPr="00B92E7B">
        <w:rPr>
          <w:rFonts w:cs="Arial"/>
          <w:rtl/>
        </w:rPr>
        <w:t xml:space="preserve"> </w:t>
      </w:r>
      <w:r w:rsidRPr="00B92E7B">
        <w:rPr>
          <w:rFonts w:cs="Arial"/>
          <w:u w:val="single"/>
          <w:rtl/>
        </w:rPr>
        <w:t>אמר שמואל</w:t>
      </w:r>
      <w:r w:rsidRPr="00B92E7B">
        <w:rPr>
          <w:rFonts w:cs="Arial"/>
          <w:rtl/>
        </w:rPr>
        <w:t>: לא שנו אלא שנתבשל בה, אבל נצלה בה - קולף ואוכל עד שמגיע לגיד</w:t>
      </w:r>
      <w:r>
        <w:rPr>
          <w:rStyle w:val="a7"/>
          <w:rFonts w:cs="Arial"/>
          <w:rtl/>
        </w:rPr>
        <w:footnoteReference w:id="2177"/>
      </w:r>
      <w:r w:rsidRPr="00B92E7B">
        <w:rPr>
          <w:rFonts w:cs="Arial"/>
          <w:rtl/>
        </w:rPr>
        <w:t>.</w:t>
      </w:r>
      <w:r>
        <w:rPr>
          <w:rFonts w:cs="Arial" w:hint="cs"/>
          <w:rtl/>
        </w:rPr>
        <w:t xml:space="preserve"> </w:t>
      </w:r>
    </w:p>
    <w:p w14:paraId="613776EF" w14:textId="77777777" w:rsidR="002C39F4" w:rsidRPr="002107FC" w:rsidRDefault="002C39F4" w:rsidP="002C39F4">
      <w:pPr>
        <w:rPr>
          <w:rFonts w:cs="Arial"/>
          <w:u w:val="single"/>
          <w:rtl/>
        </w:rPr>
      </w:pPr>
      <w:r>
        <w:rPr>
          <w:rFonts w:cs="Arial" w:hint="cs"/>
          <w:u w:val="single"/>
          <w:rtl/>
        </w:rPr>
        <w:t xml:space="preserve">ירך </w:t>
      </w:r>
      <w:r w:rsidRPr="00F16609">
        <w:rPr>
          <w:rFonts w:cs="Arial" w:hint="cs"/>
          <w:b/>
          <w:bCs/>
          <w:u w:val="single"/>
          <w:rtl/>
        </w:rPr>
        <w:t>שנצלה</w:t>
      </w:r>
      <w:r>
        <w:rPr>
          <w:rFonts w:cs="Arial" w:hint="cs"/>
          <w:u w:val="single"/>
          <w:rtl/>
        </w:rPr>
        <w:t xml:space="preserve"> עם גיד הנשה - </w:t>
      </w:r>
      <w:r w:rsidRPr="002107FC">
        <w:rPr>
          <w:rFonts w:cs="Arial" w:hint="cs"/>
          <w:u w:val="single"/>
          <w:rtl/>
        </w:rPr>
        <w:t xml:space="preserve">האם </w:t>
      </w:r>
      <w:r w:rsidRPr="002107FC">
        <w:rPr>
          <w:rFonts w:cs="Arial"/>
          <w:u w:val="single"/>
          <w:rtl/>
        </w:rPr>
        <w:t>קולף ואוכל עד שמגיע לגיד</w:t>
      </w:r>
      <w:r w:rsidRPr="002107FC">
        <w:rPr>
          <w:rFonts w:cs="Arial" w:hint="cs"/>
          <w:u w:val="single"/>
          <w:rtl/>
        </w:rPr>
        <w:t xml:space="preserve"> ממש או שצריך להרחיק מעט:</w:t>
      </w:r>
    </w:p>
    <w:p w14:paraId="27DA94A7" w14:textId="77777777" w:rsidR="002C39F4" w:rsidRPr="002107FC" w:rsidRDefault="002C39F4" w:rsidP="0032102C">
      <w:pPr>
        <w:pStyle w:val="a8"/>
        <w:numPr>
          <w:ilvl w:val="0"/>
          <w:numId w:val="229"/>
        </w:numPr>
        <w:rPr>
          <w:rFonts w:cs="Arial"/>
          <w:rtl/>
        </w:rPr>
      </w:pPr>
      <w:r w:rsidRPr="002107FC">
        <w:rPr>
          <w:rFonts w:cs="Arial"/>
          <w:rtl/>
        </w:rPr>
        <w:t>תוס</w:t>
      </w:r>
      <w:r w:rsidRPr="002107FC">
        <w:rPr>
          <w:rFonts w:cs="Arial" w:hint="cs"/>
          <w:rtl/>
        </w:rPr>
        <w:t>'</w:t>
      </w:r>
      <w:r w:rsidRPr="002107FC">
        <w:rPr>
          <w:rFonts w:cs="Arial"/>
          <w:rtl/>
        </w:rPr>
        <w:t xml:space="preserve"> </w:t>
      </w:r>
      <w:r w:rsidRPr="002107FC">
        <w:rPr>
          <w:rFonts w:cs="Arial"/>
          <w:sz w:val="16"/>
          <w:szCs w:val="16"/>
          <w:rtl/>
        </w:rPr>
        <w:t xml:space="preserve">(ד"ה עד שמגיע) </w:t>
      </w:r>
      <w:r w:rsidRPr="002107FC">
        <w:rPr>
          <w:rFonts w:cs="Arial"/>
          <w:rtl/>
        </w:rPr>
        <w:t xml:space="preserve">ורא"ש </w:t>
      </w:r>
      <w:r w:rsidRPr="002107FC">
        <w:rPr>
          <w:rFonts w:cs="Arial"/>
          <w:sz w:val="16"/>
          <w:szCs w:val="16"/>
          <w:rtl/>
        </w:rPr>
        <w:t>(פ"ז סי' כד)</w:t>
      </w:r>
      <w:r w:rsidRPr="002107FC">
        <w:rPr>
          <w:rFonts w:cs="Arial" w:hint="cs"/>
          <w:rtl/>
        </w:rPr>
        <w:t>-</w:t>
      </w:r>
      <w:r w:rsidRPr="002107FC">
        <w:rPr>
          <w:rFonts w:cs="Arial"/>
          <w:rtl/>
        </w:rPr>
        <w:t xml:space="preserve"> צריך להניח כדי קליפה סמוך</w:t>
      </w:r>
      <w:r w:rsidRPr="002107FC">
        <w:rPr>
          <w:rFonts w:cs="Arial" w:hint="cs"/>
          <w:rtl/>
        </w:rPr>
        <w:t>,</w:t>
      </w:r>
      <w:r w:rsidRPr="002107FC">
        <w:rPr>
          <w:rFonts w:cs="Arial"/>
          <w:rtl/>
        </w:rPr>
        <w:t xml:space="preserve"> ואפילו כדי נטילה דהיינו כעובי אצבע צריך להניח</w:t>
      </w:r>
      <w:r>
        <w:rPr>
          <w:rFonts w:cs="Arial" w:hint="cs"/>
          <w:rtl/>
        </w:rPr>
        <w:t>,</w:t>
      </w:r>
      <w:r w:rsidRPr="002107FC">
        <w:rPr>
          <w:rFonts w:cs="Arial"/>
          <w:rtl/>
        </w:rPr>
        <w:t xml:space="preserve"> כדאמרינן פכ"צ </w:t>
      </w:r>
      <w:r w:rsidRPr="002107FC">
        <w:rPr>
          <w:rFonts w:cs="Arial"/>
          <w:sz w:val="16"/>
          <w:szCs w:val="16"/>
          <w:rtl/>
        </w:rPr>
        <w:t xml:space="preserve">(פסחים עה:) </w:t>
      </w:r>
      <w:r w:rsidRPr="002107FC">
        <w:rPr>
          <w:rFonts w:cs="Arial"/>
          <w:rtl/>
        </w:rPr>
        <w:t>נטף מרוטבו על החרס וחזר אליו יטול את מקומו ולא סגי בקליפה</w:t>
      </w:r>
      <w:r w:rsidRPr="002107FC">
        <w:rPr>
          <w:rFonts w:cs="Arial" w:hint="cs"/>
          <w:rtl/>
        </w:rPr>
        <w:t>,</w:t>
      </w:r>
      <w:r w:rsidRPr="002107FC">
        <w:rPr>
          <w:rFonts w:cs="Arial"/>
          <w:rtl/>
        </w:rPr>
        <w:t xml:space="preserve"> אם לא נחלק דטעם דרוטב מפעפע ומתפשט יותר מגיד</w:t>
      </w:r>
      <w:r w:rsidRPr="002107FC">
        <w:rPr>
          <w:rFonts w:cs="Arial" w:hint="cs"/>
          <w:rtl/>
        </w:rPr>
        <w:t>,</w:t>
      </w:r>
      <w:r w:rsidRPr="002107FC">
        <w:rPr>
          <w:rFonts w:cs="Arial"/>
          <w:rtl/>
        </w:rPr>
        <w:t xml:space="preserve"> ומיהו לא אשכחן בשום מקום דסגי לצלי בקליפה הילכך לצלי בעי נטילה כיון שלא מצינו מפורש בו קליפה</w:t>
      </w:r>
      <w:r w:rsidRPr="002107FC">
        <w:rPr>
          <w:rFonts w:cs="Arial" w:hint="cs"/>
          <w:rtl/>
        </w:rPr>
        <w:t>.</w:t>
      </w:r>
      <w:r w:rsidRPr="002107FC">
        <w:rPr>
          <w:rFonts w:cs="Arial"/>
          <w:rtl/>
        </w:rPr>
        <w:t xml:space="preserve"> </w:t>
      </w:r>
      <w:r w:rsidRPr="00355A35">
        <w:rPr>
          <w:rFonts w:cs="Arial" w:hint="cs"/>
          <w:color w:val="E36C0A" w:themeColor="accent6" w:themeShade="BF"/>
          <w:rtl/>
        </w:rPr>
        <w:t>(וכ"פ בשו"ע)</w:t>
      </w:r>
    </w:p>
    <w:p w14:paraId="07859EBE" w14:textId="77777777" w:rsidR="002C39F4" w:rsidRPr="002107FC" w:rsidRDefault="002C39F4" w:rsidP="0032102C">
      <w:pPr>
        <w:pStyle w:val="a8"/>
        <w:numPr>
          <w:ilvl w:val="0"/>
          <w:numId w:val="229"/>
        </w:numPr>
        <w:rPr>
          <w:rFonts w:cs="Arial"/>
          <w:rtl/>
        </w:rPr>
      </w:pPr>
      <w:r w:rsidRPr="002107FC">
        <w:rPr>
          <w:rFonts w:cs="Arial"/>
          <w:rtl/>
        </w:rPr>
        <w:t xml:space="preserve">ר"ן </w:t>
      </w:r>
      <w:r w:rsidRPr="002107FC">
        <w:rPr>
          <w:rFonts w:cs="Arial"/>
          <w:sz w:val="16"/>
          <w:szCs w:val="16"/>
          <w:rtl/>
        </w:rPr>
        <w:t>(לד: ד"ה וירך שנצלה)</w:t>
      </w:r>
      <w:r w:rsidRPr="002107FC">
        <w:rPr>
          <w:rFonts w:cs="Arial" w:hint="cs"/>
          <w:rtl/>
        </w:rPr>
        <w:t xml:space="preserve">- </w:t>
      </w:r>
      <w:r w:rsidRPr="002107FC">
        <w:rPr>
          <w:rFonts w:cs="Arial"/>
          <w:rtl/>
        </w:rPr>
        <w:t>צריך לשייר כדי קליפה או כדי נטילת מקום</w:t>
      </w:r>
      <w:r w:rsidRPr="002107FC">
        <w:rPr>
          <w:rFonts w:cs="Arial" w:hint="cs"/>
          <w:rtl/>
        </w:rPr>
        <w:t xml:space="preserve"> </w:t>
      </w:r>
      <w:r w:rsidRPr="002107FC">
        <w:rPr>
          <w:rFonts w:cs="Arial" w:hint="cs"/>
          <w:sz w:val="16"/>
          <w:szCs w:val="16"/>
          <w:rtl/>
        </w:rPr>
        <w:t>(</w:t>
      </w:r>
      <w:r w:rsidRPr="002107FC">
        <w:rPr>
          <w:rFonts w:cs="Arial"/>
          <w:sz w:val="16"/>
          <w:szCs w:val="16"/>
          <w:rtl/>
        </w:rPr>
        <w:t>שהוא יותר מעט מן קליפה</w:t>
      </w:r>
      <w:r w:rsidRPr="002107FC">
        <w:rPr>
          <w:rFonts w:cs="Arial" w:hint="cs"/>
          <w:sz w:val="16"/>
          <w:szCs w:val="16"/>
          <w:rtl/>
        </w:rPr>
        <w:t>)</w:t>
      </w:r>
      <w:r w:rsidRPr="002107FC">
        <w:rPr>
          <w:rFonts w:cs="Arial" w:hint="cs"/>
          <w:rtl/>
        </w:rPr>
        <w:t>.</w:t>
      </w:r>
      <w:r w:rsidRPr="002107FC">
        <w:rPr>
          <w:rFonts w:cs="Arial"/>
          <w:rtl/>
        </w:rPr>
        <w:t xml:space="preserve"> </w:t>
      </w:r>
    </w:p>
    <w:p w14:paraId="2C278ADC" w14:textId="77777777" w:rsidR="002C39F4" w:rsidRPr="002107FC" w:rsidRDefault="002C39F4" w:rsidP="0032102C">
      <w:pPr>
        <w:pStyle w:val="a8"/>
        <w:numPr>
          <w:ilvl w:val="0"/>
          <w:numId w:val="229"/>
        </w:numPr>
        <w:rPr>
          <w:rFonts w:cs="Arial"/>
          <w:rtl/>
        </w:rPr>
      </w:pPr>
      <w:r w:rsidRPr="002107FC">
        <w:rPr>
          <w:rFonts w:cs="Arial"/>
          <w:rtl/>
        </w:rPr>
        <w:t xml:space="preserve">רשב"א </w:t>
      </w:r>
      <w:r w:rsidRPr="002107FC">
        <w:rPr>
          <w:rFonts w:cs="Arial" w:hint="cs"/>
          <w:sz w:val="16"/>
          <w:szCs w:val="16"/>
          <w:rtl/>
        </w:rPr>
        <w:t>(תוה"ק</w:t>
      </w:r>
      <w:r w:rsidRPr="002107FC">
        <w:rPr>
          <w:rFonts w:cs="Arial"/>
          <w:sz w:val="16"/>
          <w:szCs w:val="16"/>
          <w:rtl/>
        </w:rPr>
        <w:t xml:space="preserve"> ב"ד ש"א ג.</w:t>
      </w:r>
      <w:r>
        <w:rPr>
          <w:rFonts w:cs="Arial" w:hint="cs"/>
          <w:sz w:val="16"/>
          <w:szCs w:val="16"/>
          <w:rtl/>
        </w:rPr>
        <w:t>-ד.</w:t>
      </w:r>
      <w:r w:rsidRPr="002107FC">
        <w:rPr>
          <w:rFonts w:cs="Arial"/>
          <w:sz w:val="16"/>
          <w:szCs w:val="16"/>
          <w:rtl/>
        </w:rPr>
        <w:t>)</w:t>
      </w:r>
      <w:r w:rsidRPr="002107FC">
        <w:rPr>
          <w:rFonts w:cs="Arial" w:hint="cs"/>
          <w:rtl/>
        </w:rPr>
        <w:t xml:space="preserve">- </w:t>
      </w:r>
      <w:r w:rsidRPr="002107FC">
        <w:rPr>
          <w:rFonts w:cs="Arial"/>
          <w:rtl/>
        </w:rPr>
        <w:t>אין שמנו של גיד וקנוקנות וקרומות מפעפעין בין בצלי בין במליחה ואינן אוסרים אלא כדי קליפה בלבד</w:t>
      </w:r>
      <w:r>
        <w:rPr>
          <w:rStyle w:val="a7"/>
          <w:rFonts w:cs="Arial"/>
          <w:rtl/>
        </w:rPr>
        <w:footnoteReference w:id="2178"/>
      </w:r>
      <w:r>
        <w:rPr>
          <w:rFonts w:cs="Arial" w:hint="cs"/>
          <w:rtl/>
        </w:rPr>
        <w:t>... ו</w:t>
      </w:r>
      <w:r w:rsidRPr="002107FC">
        <w:rPr>
          <w:rFonts w:cs="Arial"/>
          <w:rtl/>
        </w:rPr>
        <w:t>החלב והשומן מפעפעים ולפיכך אפילו ע"י צלי ואפילו ע"י מליחה אוסרין הכל עד שיהא בהיתר ששים כנגד כל האיסור</w:t>
      </w:r>
      <w:r>
        <w:rPr>
          <w:rFonts w:cs="Arial" w:hint="cs"/>
          <w:rtl/>
        </w:rPr>
        <w:t xml:space="preserve">... </w:t>
      </w:r>
      <w:r w:rsidRPr="002107FC">
        <w:rPr>
          <w:rFonts w:cs="Arial"/>
          <w:rtl/>
        </w:rPr>
        <w:t>בד"א בגדי שמן אבל בכחוש אע</w:t>
      </w:r>
      <w:r>
        <w:rPr>
          <w:rFonts w:cs="Arial" w:hint="cs"/>
          <w:rtl/>
        </w:rPr>
        <w:t>"</w:t>
      </w:r>
      <w:r w:rsidRPr="002107FC">
        <w:rPr>
          <w:rFonts w:cs="Arial"/>
          <w:rtl/>
        </w:rPr>
        <w:t>פ שאין בגדי ששים כנגד החלב שבו אינו אסור אלא כדי קליפה</w:t>
      </w:r>
      <w:r>
        <w:rPr>
          <w:rFonts w:cs="Arial" w:hint="cs"/>
          <w:rtl/>
        </w:rPr>
        <w:t>,</w:t>
      </w:r>
      <w:r w:rsidRPr="002107FC">
        <w:rPr>
          <w:rFonts w:cs="Arial"/>
          <w:rtl/>
        </w:rPr>
        <w:t xml:space="preserve"> וי"א שצריך נטילת מקום</w:t>
      </w:r>
      <w:r>
        <w:rPr>
          <w:rFonts w:cs="Arial" w:hint="cs"/>
          <w:rtl/>
        </w:rPr>
        <w:t>,</w:t>
      </w:r>
      <w:r w:rsidRPr="002107FC">
        <w:rPr>
          <w:rFonts w:cs="Arial"/>
          <w:rtl/>
        </w:rPr>
        <w:t xml:space="preserve"> והראשון נ"ל עיקר אלא שיש לחוש לדברי המחמירין באיסורין של תורה</w:t>
      </w:r>
      <w:r>
        <w:rPr>
          <w:rStyle w:val="a7"/>
          <w:rFonts w:cs="Arial"/>
          <w:rtl/>
        </w:rPr>
        <w:footnoteReference w:id="2179"/>
      </w:r>
      <w:r>
        <w:rPr>
          <w:rFonts w:cs="Arial" w:hint="cs"/>
          <w:rtl/>
        </w:rPr>
        <w:t>.</w:t>
      </w:r>
    </w:p>
    <w:p w14:paraId="0406D75E" w14:textId="77777777" w:rsidR="002C39F4" w:rsidRDefault="002C39F4" w:rsidP="0032102C">
      <w:pPr>
        <w:pStyle w:val="a8"/>
        <w:numPr>
          <w:ilvl w:val="0"/>
          <w:numId w:val="229"/>
        </w:numPr>
      </w:pPr>
      <w:r w:rsidRPr="002107FC">
        <w:rPr>
          <w:rFonts w:cs="Arial"/>
          <w:rtl/>
        </w:rPr>
        <w:t>רמב"ם</w:t>
      </w:r>
      <w:r w:rsidRPr="002107FC">
        <w:rPr>
          <w:rFonts w:cs="Arial"/>
          <w:sz w:val="16"/>
          <w:szCs w:val="16"/>
          <w:rtl/>
        </w:rPr>
        <w:t xml:space="preserve"> </w:t>
      </w:r>
      <w:r w:rsidRPr="002107FC">
        <w:rPr>
          <w:rFonts w:cs="Arial" w:hint="cs"/>
          <w:sz w:val="16"/>
          <w:szCs w:val="16"/>
          <w:rtl/>
        </w:rPr>
        <w:t>(</w:t>
      </w:r>
      <w:r w:rsidRPr="002107FC">
        <w:rPr>
          <w:rFonts w:cs="Arial"/>
          <w:sz w:val="16"/>
          <w:szCs w:val="16"/>
          <w:rtl/>
        </w:rPr>
        <w:t>פט"ו הל"ב</w:t>
      </w:r>
      <w:r w:rsidRPr="002107FC">
        <w:rPr>
          <w:rFonts w:cs="Arial" w:hint="cs"/>
          <w:sz w:val="16"/>
          <w:szCs w:val="16"/>
          <w:rtl/>
        </w:rPr>
        <w:t>, להב' הב"י</w:t>
      </w:r>
      <w:r w:rsidRPr="002107FC">
        <w:rPr>
          <w:rFonts w:cs="Arial"/>
          <w:sz w:val="16"/>
          <w:szCs w:val="16"/>
          <w:rtl/>
        </w:rPr>
        <w:t>)</w:t>
      </w:r>
      <w:r w:rsidRPr="002107FC">
        <w:rPr>
          <w:rFonts w:cs="Arial" w:hint="cs"/>
          <w:rtl/>
        </w:rPr>
        <w:t>-</w:t>
      </w:r>
      <w:r w:rsidRPr="002107FC">
        <w:rPr>
          <w:rFonts w:cs="Arial"/>
          <w:rtl/>
        </w:rPr>
        <w:t xml:space="preserve"> </w:t>
      </w:r>
      <w:r>
        <w:rPr>
          <w:rStyle w:val="a7"/>
          <w:rFonts w:cs="Arial"/>
          <w:rtl/>
        </w:rPr>
        <w:footnoteReference w:id="2180"/>
      </w:r>
      <w:r w:rsidRPr="002107FC">
        <w:rPr>
          <w:rFonts w:cs="Arial"/>
          <w:rtl/>
        </w:rPr>
        <w:t>שומן הגיד וחוטין וקרומות האסורים משום חלב קי"ל דאין מפעפעין הילכך אוכל והולך עד שמגיע לדבר האסור ומשליכו</w:t>
      </w:r>
      <w:r>
        <w:rPr>
          <w:rFonts w:cs="Arial" w:hint="cs"/>
          <w:sz w:val="16"/>
          <w:szCs w:val="16"/>
          <w:rtl/>
        </w:rPr>
        <w:t xml:space="preserve"> (ל' הב"י)</w:t>
      </w:r>
      <w:r>
        <w:rPr>
          <w:rStyle w:val="a7"/>
          <w:rFonts w:cs="Arial"/>
          <w:rtl/>
        </w:rPr>
        <w:footnoteReference w:id="2181"/>
      </w:r>
      <w:r w:rsidRPr="002107FC">
        <w:rPr>
          <w:rFonts w:cs="Arial" w:hint="cs"/>
          <w:rtl/>
        </w:rPr>
        <w:t>.</w:t>
      </w:r>
      <w:r w:rsidRPr="002107FC">
        <w:rPr>
          <w:rFonts w:cs="Arial"/>
          <w:rtl/>
        </w:rPr>
        <w:t xml:space="preserve"> </w:t>
      </w:r>
    </w:p>
    <w:p w14:paraId="1580E287" w14:textId="77777777" w:rsidR="002C39F4" w:rsidRDefault="002C39F4" w:rsidP="002C39F4">
      <w:r>
        <w:rPr>
          <w:rFonts w:cs="Arial" w:hint="cs"/>
          <w:b/>
          <w:bCs/>
          <w:rtl/>
        </w:rPr>
        <w:t xml:space="preserve">פסחים עה ע"ב: </w:t>
      </w:r>
      <w:r w:rsidRPr="00B45994">
        <w:rPr>
          <w:rFonts w:cs="Arial"/>
          <w:u w:val="double"/>
          <w:rtl/>
        </w:rPr>
        <w:t>משנה</w:t>
      </w:r>
      <w:r w:rsidRPr="00B45994">
        <w:rPr>
          <w:rFonts w:cs="Arial" w:hint="cs"/>
          <w:u w:val="double"/>
          <w:rtl/>
        </w:rPr>
        <w:t>:</w:t>
      </w:r>
      <w:r w:rsidRPr="00B45994">
        <w:rPr>
          <w:rFonts w:cs="Arial"/>
          <w:rtl/>
        </w:rPr>
        <w:t xml:space="preserve"> נגע בחרסו של תנור</w:t>
      </w:r>
      <w:r>
        <w:rPr>
          <w:rStyle w:val="a7"/>
          <w:rFonts w:cs="Arial"/>
          <w:rtl/>
        </w:rPr>
        <w:footnoteReference w:id="2182"/>
      </w:r>
      <w:r w:rsidRPr="00B45994">
        <w:rPr>
          <w:rFonts w:cs="Arial"/>
          <w:rtl/>
        </w:rPr>
        <w:t xml:space="preserve"> - יקלוף</w:t>
      </w:r>
      <w:r>
        <w:rPr>
          <w:rStyle w:val="a7"/>
          <w:rFonts w:cs="Arial"/>
          <w:rtl/>
        </w:rPr>
        <w:footnoteReference w:id="2183"/>
      </w:r>
      <w:r w:rsidRPr="00B45994">
        <w:rPr>
          <w:rFonts w:cs="Arial"/>
          <w:rtl/>
        </w:rPr>
        <w:t xml:space="preserve"> את מקומו. נטף</w:t>
      </w:r>
      <w:r>
        <w:rPr>
          <w:rStyle w:val="a7"/>
          <w:rFonts w:cs="Arial"/>
          <w:rtl/>
        </w:rPr>
        <w:footnoteReference w:id="2184"/>
      </w:r>
      <w:r w:rsidRPr="00B45994">
        <w:rPr>
          <w:rFonts w:cs="Arial"/>
          <w:rtl/>
        </w:rPr>
        <w:t xml:space="preserve"> מרוטבו על החרס וחזר אליו</w:t>
      </w:r>
      <w:r>
        <w:rPr>
          <w:rStyle w:val="a7"/>
          <w:rFonts w:cs="Arial"/>
          <w:rtl/>
        </w:rPr>
        <w:footnoteReference w:id="2185"/>
      </w:r>
      <w:r w:rsidRPr="00B45994">
        <w:rPr>
          <w:rFonts w:cs="Arial"/>
          <w:rtl/>
        </w:rPr>
        <w:t xml:space="preserve"> - יטול את מקומו</w:t>
      </w:r>
      <w:r>
        <w:rPr>
          <w:rStyle w:val="a7"/>
          <w:rFonts w:cs="Arial"/>
          <w:rtl/>
        </w:rPr>
        <w:footnoteReference w:id="2186"/>
      </w:r>
      <w:r w:rsidRPr="00B45994">
        <w:rPr>
          <w:rFonts w:cs="Arial"/>
          <w:rtl/>
        </w:rPr>
        <w:t>.</w:t>
      </w:r>
    </w:p>
    <w:p w14:paraId="0C7F236C" w14:textId="77777777" w:rsidR="002C39F4" w:rsidRPr="00E11394" w:rsidRDefault="002C39F4" w:rsidP="002C39F4">
      <w:pPr>
        <w:rPr>
          <w:u w:val="single"/>
        </w:rPr>
      </w:pPr>
      <w:r w:rsidRPr="00E11394">
        <w:rPr>
          <w:rFonts w:cs="Arial"/>
          <w:u w:val="single"/>
          <w:rtl/>
        </w:rPr>
        <w:t xml:space="preserve">איסור </w:t>
      </w:r>
      <w:r w:rsidRPr="00E11394">
        <w:rPr>
          <w:rFonts w:cs="Arial" w:hint="cs"/>
          <w:sz w:val="16"/>
          <w:szCs w:val="16"/>
          <w:u w:val="single"/>
          <w:rtl/>
        </w:rPr>
        <w:t>(בין חם ובין קר)</w:t>
      </w:r>
      <w:r w:rsidRPr="00E11394">
        <w:rPr>
          <w:rFonts w:cs="Arial"/>
          <w:u w:val="single"/>
          <w:rtl/>
        </w:rPr>
        <w:t xml:space="preserve"> שנפל על צלי שאצל האש</w:t>
      </w:r>
      <w:r>
        <w:rPr>
          <w:rFonts w:cs="Arial" w:hint="cs"/>
          <w:sz w:val="16"/>
          <w:szCs w:val="16"/>
          <w:u w:val="single"/>
          <w:rtl/>
        </w:rPr>
        <w:t xml:space="preserve"> (דתתאה גבר)</w:t>
      </w:r>
      <w:r w:rsidRPr="00E11394">
        <w:rPr>
          <w:rFonts w:cs="Arial" w:hint="cs"/>
          <w:u w:val="single"/>
          <w:rtl/>
        </w:rPr>
        <w:t>:</w:t>
      </w:r>
    </w:p>
    <w:p w14:paraId="047E9990" w14:textId="77777777" w:rsidR="002C39F4" w:rsidRDefault="002C39F4" w:rsidP="0032102C">
      <w:pPr>
        <w:pStyle w:val="a8"/>
        <w:numPr>
          <w:ilvl w:val="0"/>
          <w:numId w:val="229"/>
        </w:numPr>
        <w:rPr>
          <w:rtl/>
        </w:rPr>
      </w:pPr>
      <w:r>
        <w:rPr>
          <w:rFonts w:cs="Arial" w:hint="cs"/>
          <w:rtl/>
        </w:rPr>
        <w:t xml:space="preserve">טור- </w:t>
      </w:r>
      <w:r w:rsidRPr="00E11394">
        <w:rPr>
          <w:rFonts w:cs="Arial"/>
          <w:rtl/>
        </w:rPr>
        <w:t>אינו אוסר כולו אלא כדי נטילה שהוא כעובי רוחב אצבע</w:t>
      </w:r>
      <w:r>
        <w:rPr>
          <w:rFonts w:hint="cs"/>
          <w:rtl/>
        </w:rPr>
        <w:t>.</w:t>
      </w:r>
      <w:r w:rsidRPr="00355A35">
        <w:rPr>
          <w:rFonts w:cs="Arial" w:hint="cs"/>
          <w:color w:val="E36C0A" w:themeColor="accent6" w:themeShade="BF"/>
          <w:rtl/>
        </w:rPr>
        <w:t xml:space="preserve"> (וכ"פ בשו"ע)</w:t>
      </w:r>
    </w:p>
    <w:p w14:paraId="07D5ED0D" w14:textId="77777777" w:rsidR="002C39F4" w:rsidRDefault="002C39F4" w:rsidP="0032102C">
      <w:pPr>
        <w:pStyle w:val="a8"/>
        <w:numPr>
          <w:ilvl w:val="0"/>
          <w:numId w:val="229"/>
        </w:numPr>
      </w:pPr>
      <w:r w:rsidRPr="00E11394">
        <w:rPr>
          <w:rFonts w:cs="Arial"/>
          <w:rtl/>
        </w:rPr>
        <w:t>הגה</w:t>
      </w:r>
      <w:r w:rsidRPr="00E11394">
        <w:rPr>
          <w:rFonts w:cs="Arial" w:hint="cs"/>
          <w:rtl/>
        </w:rPr>
        <w:t>"מ</w:t>
      </w:r>
      <w:r w:rsidRPr="00E11394">
        <w:rPr>
          <w:rFonts w:cs="Arial"/>
          <w:rtl/>
        </w:rPr>
        <w:t xml:space="preserve"> </w:t>
      </w:r>
      <w:r w:rsidRPr="00E11394">
        <w:rPr>
          <w:rFonts w:cs="Arial"/>
          <w:sz w:val="16"/>
          <w:szCs w:val="16"/>
          <w:rtl/>
        </w:rPr>
        <w:t>(</w:t>
      </w:r>
      <w:r w:rsidRPr="00E11394">
        <w:rPr>
          <w:rFonts w:cs="Arial" w:hint="cs"/>
          <w:sz w:val="16"/>
          <w:szCs w:val="16"/>
          <w:rtl/>
        </w:rPr>
        <w:t>פט"ו ד"ק</w:t>
      </w:r>
      <w:r w:rsidRPr="00E11394">
        <w:rPr>
          <w:rFonts w:cs="Arial"/>
          <w:sz w:val="16"/>
          <w:szCs w:val="16"/>
          <w:rtl/>
        </w:rPr>
        <w:t xml:space="preserve"> הל"ב) </w:t>
      </w:r>
      <w:r w:rsidRPr="00E11394">
        <w:rPr>
          <w:rFonts w:cs="Arial"/>
          <w:rtl/>
        </w:rPr>
        <w:t>בשם ר</w:t>
      </w:r>
      <w:r w:rsidRPr="00E11394">
        <w:rPr>
          <w:rFonts w:cs="Arial" w:hint="cs"/>
          <w:rtl/>
        </w:rPr>
        <w:t>"פ</w:t>
      </w:r>
      <w:r w:rsidRPr="00E11394">
        <w:rPr>
          <w:rFonts w:cs="Arial"/>
          <w:rtl/>
        </w:rPr>
        <w:t xml:space="preserve"> </w:t>
      </w:r>
      <w:r w:rsidRPr="00E11394">
        <w:rPr>
          <w:rFonts w:cs="Arial" w:hint="cs"/>
          <w:sz w:val="16"/>
          <w:szCs w:val="16"/>
          <w:rtl/>
        </w:rPr>
        <w:t xml:space="preserve">(הגהות </w:t>
      </w:r>
      <w:r w:rsidRPr="00E11394">
        <w:rPr>
          <w:rFonts w:cs="Arial"/>
          <w:sz w:val="16"/>
          <w:szCs w:val="16"/>
          <w:rtl/>
        </w:rPr>
        <w:t>סמ"ק סי' רה הג"ה אות יב)</w:t>
      </w:r>
      <w:r w:rsidRPr="00E11394">
        <w:rPr>
          <w:rFonts w:cs="Arial" w:hint="cs"/>
          <w:rtl/>
        </w:rPr>
        <w:t xml:space="preserve">- </w:t>
      </w:r>
      <w:r w:rsidRPr="00E11394">
        <w:rPr>
          <w:rFonts w:cs="Arial"/>
          <w:rtl/>
        </w:rPr>
        <w:t>סגי בנטילת מקום אם אין בו שומן</w:t>
      </w:r>
      <w:r>
        <w:rPr>
          <w:rFonts w:cs="Arial" w:hint="cs"/>
          <w:rtl/>
        </w:rPr>
        <w:t>,</w:t>
      </w:r>
      <w:r w:rsidRPr="00E11394">
        <w:rPr>
          <w:rFonts w:cs="Arial"/>
          <w:rtl/>
        </w:rPr>
        <w:t xml:space="preserve"> מיהו אין להקל בזה דפעמים יש בו שומן ולאו אדעתיה</w:t>
      </w:r>
      <w:r>
        <w:rPr>
          <w:rStyle w:val="a7"/>
          <w:rFonts w:cs="Arial"/>
          <w:rtl/>
        </w:rPr>
        <w:footnoteReference w:id="2187"/>
      </w:r>
      <w:r w:rsidRPr="00E11394">
        <w:rPr>
          <w:rFonts w:cs="Arial" w:hint="cs"/>
          <w:rtl/>
        </w:rPr>
        <w:t>,</w:t>
      </w:r>
      <w:r w:rsidRPr="00E11394">
        <w:rPr>
          <w:rFonts w:cs="Arial"/>
          <w:rtl/>
        </w:rPr>
        <w:t xml:space="preserve"> ומיהו אפילו בלא שומן יש לאסור כולו</w:t>
      </w:r>
      <w:r>
        <w:rPr>
          <w:rFonts w:cs="Arial" w:hint="cs"/>
          <w:rtl/>
        </w:rPr>
        <w:t>,</w:t>
      </w:r>
      <w:r w:rsidRPr="00E11394">
        <w:rPr>
          <w:rFonts w:cs="Arial"/>
          <w:rtl/>
        </w:rPr>
        <w:t xml:space="preserve"> והא דסגי בנטילת מקום במתניתין </w:t>
      </w:r>
      <w:r w:rsidRPr="00E11394">
        <w:rPr>
          <w:rFonts w:cs="Arial"/>
          <w:sz w:val="16"/>
          <w:szCs w:val="16"/>
          <w:rtl/>
        </w:rPr>
        <w:t xml:space="preserve">(פסחים עה:) </w:t>
      </w:r>
      <w:r w:rsidRPr="00E11394">
        <w:rPr>
          <w:rFonts w:cs="Arial"/>
          <w:rtl/>
        </w:rPr>
        <w:t>דנטף מרוטבו על החרס זהו משום דאין הרוטב נופל על כולו אלא טיפה בעלמא הוא דנפל אבל גבי תתאה גבר חתיכת האיסור נוגעת בכולה ולכך אוסרת דמפעפעת בכולה</w:t>
      </w:r>
      <w:r>
        <w:rPr>
          <w:rStyle w:val="a7"/>
          <w:rFonts w:cs="Arial"/>
          <w:rtl/>
        </w:rPr>
        <w:footnoteReference w:id="2188"/>
      </w:r>
      <w:r w:rsidRPr="00E11394">
        <w:rPr>
          <w:rFonts w:cs="Arial" w:hint="cs"/>
          <w:rtl/>
        </w:rPr>
        <w:t>.</w:t>
      </w:r>
    </w:p>
    <w:p w14:paraId="34F3C6FE" w14:textId="77777777" w:rsidR="002C39F4" w:rsidRPr="002D16A1" w:rsidRDefault="002C39F4" w:rsidP="0032102C">
      <w:pPr>
        <w:pStyle w:val="a8"/>
        <w:numPr>
          <w:ilvl w:val="0"/>
          <w:numId w:val="229"/>
        </w:numPr>
        <w:rPr>
          <w:rtl/>
        </w:rPr>
      </w:pPr>
      <w:r>
        <w:rPr>
          <w:rFonts w:cs="Arial" w:hint="cs"/>
          <w:rtl/>
        </w:rPr>
        <w:t xml:space="preserve">שע"ד </w:t>
      </w:r>
      <w:r w:rsidRPr="005827D8">
        <w:rPr>
          <w:rFonts w:cs="Arial" w:hint="cs"/>
          <w:sz w:val="16"/>
          <w:szCs w:val="16"/>
          <w:rtl/>
        </w:rPr>
        <w:t>(סי' כג)</w:t>
      </w:r>
      <w:r>
        <w:rPr>
          <w:rFonts w:cs="Arial" w:hint="cs"/>
          <w:rtl/>
        </w:rPr>
        <w:t xml:space="preserve">- </w:t>
      </w:r>
      <w:r w:rsidRPr="005827D8">
        <w:rPr>
          <w:rFonts w:cs="Arial"/>
          <w:rtl/>
        </w:rPr>
        <w:t>אם למטה בשר כשירה חם ועליה בשר נבילה צונן</w:t>
      </w:r>
      <w:r w:rsidRPr="005827D8">
        <w:rPr>
          <w:rFonts w:cs="Arial"/>
          <w:sz w:val="16"/>
          <w:szCs w:val="16"/>
          <w:rtl/>
        </w:rPr>
        <w:t xml:space="preserve"> </w:t>
      </w:r>
      <w:r>
        <w:rPr>
          <w:rFonts w:cs="Arial" w:hint="cs"/>
          <w:sz w:val="16"/>
          <w:szCs w:val="16"/>
          <w:rtl/>
        </w:rPr>
        <w:t>(</w:t>
      </w:r>
      <w:r w:rsidRPr="005827D8">
        <w:rPr>
          <w:rFonts w:cs="Arial"/>
          <w:sz w:val="16"/>
          <w:szCs w:val="16"/>
          <w:rtl/>
        </w:rPr>
        <w:t>אפילו חי ואפילו אינו מלוח</w:t>
      </w:r>
      <w:r w:rsidRPr="005827D8">
        <w:rPr>
          <w:rFonts w:cs="Arial" w:hint="cs"/>
          <w:sz w:val="16"/>
          <w:szCs w:val="16"/>
          <w:rtl/>
        </w:rPr>
        <w:t>)</w:t>
      </w:r>
      <w:r w:rsidRPr="005827D8">
        <w:rPr>
          <w:rFonts w:cs="Arial"/>
          <w:rtl/>
        </w:rPr>
        <w:t xml:space="preserve"> הבשר שלמטה נאסרת לפי שחום התחתון מפליט העליון וא</w:t>
      </w:r>
      <w:r>
        <w:rPr>
          <w:rFonts w:cs="Arial" w:hint="cs"/>
          <w:rtl/>
        </w:rPr>
        <w:t>ח"</w:t>
      </w:r>
      <w:r w:rsidRPr="005827D8">
        <w:rPr>
          <w:rFonts w:cs="Arial"/>
          <w:rtl/>
        </w:rPr>
        <w:t>כ בולע</w:t>
      </w:r>
      <w:r>
        <w:rPr>
          <w:rFonts w:cs="Arial" w:hint="cs"/>
          <w:rtl/>
        </w:rPr>
        <w:t>... ד</w:t>
      </w:r>
      <w:r w:rsidRPr="005827D8">
        <w:rPr>
          <w:rFonts w:cs="Arial"/>
          <w:rtl/>
        </w:rPr>
        <w:t>בשר חם ע</w:t>
      </w:r>
      <w:r>
        <w:rPr>
          <w:rFonts w:cs="Arial" w:hint="cs"/>
          <w:rtl/>
        </w:rPr>
        <w:t>"</w:t>
      </w:r>
      <w:r w:rsidRPr="005827D8">
        <w:rPr>
          <w:rFonts w:cs="Arial"/>
          <w:rtl/>
        </w:rPr>
        <w:t>י צלייה או ע</w:t>
      </w:r>
      <w:r>
        <w:rPr>
          <w:rFonts w:cs="Arial" w:hint="cs"/>
          <w:rtl/>
        </w:rPr>
        <w:t>"</w:t>
      </w:r>
      <w:r w:rsidRPr="005827D8">
        <w:rPr>
          <w:rFonts w:cs="Arial"/>
          <w:rtl/>
        </w:rPr>
        <w:t>י בישול מפליט חבירו</w:t>
      </w:r>
      <w:r>
        <w:rPr>
          <w:rFonts w:cs="Arial" w:hint="cs"/>
          <w:rtl/>
        </w:rPr>
        <w:t xml:space="preserve">, </w:t>
      </w:r>
      <w:r w:rsidRPr="005827D8">
        <w:rPr>
          <w:rFonts w:cs="Arial"/>
          <w:rtl/>
        </w:rPr>
        <w:t>וכ"ש אם בשר נבילה למטה רותחת ושחוטה צוננת עליה דנאסרה דתתאי גבר. ואם הצונן למטה, בין נבילה בין שחוטה, ועליה החמה רותחת, השחוטה כשירה</w:t>
      </w:r>
      <w:r>
        <w:rPr>
          <w:rFonts w:cs="Arial" w:hint="cs"/>
          <w:rtl/>
        </w:rPr>
        <w:t>...</w:t>
      </w:r>
      <w:r w:rsidRPr="005827D8">
        <w:rPr>
          <w:rFonts w:cs="Arial"/>
          <w:rtl/>
        </w:rPr>
        <w:t xml:space="preserve"> ומיהו קליפה בעי כשהחם למעלה וצונן למטה.</w:t>
      </w:r>
      <w:r>
        <w:rPr>
          <w:rFonts w:hint="cs"/>
          <w:rtl/>
        </w:rPr>
        <w:t xml:space="preserve"> (וכ"פ רש"ל</w:t>
      </w:r>
      <w:r>
        <w:rPr>
          <w:rStyle w:val="a7"/>
          <w:rtl/>
        </w:rPr>
        <w:footnoteReference w:id="2189"/>
      </w:r>
      <w:r>
        <w:rPr>
          <w:rFonts w:hint="cs"/>
          <w:rtl/>
        </w:rPr>
        <w:t>)</w:t>
      </w:r>
    </w:p>
    <w:p w14:paraId="0725CBC1" w14:textId="77777777" w:rsidR="002C39F4" w:rsidRDefault="002C39F4" w:rsidP="002C39F4">
      <w:pPr>
        <w:rPr>
          <w:rtl/>
        </w:rPr>
      </w:pPr>
      <w:r w:rsidRPr="00772E6C">
        <w:rPr>
          <w:rFonts w:hint="cs"/>
          <w:u w:val="single"/>
          <w:rtl/>
        </w:rPr>
        <w:t>איסור שנפל על חתיכה שבקדרה:</w:t>
      </w:r>
    </w:p>
    <w:p w14:paraId="5006578C" w14:textId="77777777" w:rsidR="002C39F4" w:rsidRDefault="002C39F4" w:rsidP="0032102C">
      <w:pPr>
        <w:pStyle w:val="a8"/>
        <w:numPr>
          <w:ilvl w:val="0"/>
          <w:numId w:val="230"/>
        </w:numPr>
        <w:rPr>
          <w:rtl/>
        </w:rPr>
      </w:pPr>
      <w:r w:rsidRPr="002107FC">
        <w:rPr>
          <w:rFonts w:cs="Arial"/>
          <w:rtl/>
        </w:rPr>
        <w:t xml:space="preserve">רשב"א </w:t>
      </w:r>
      <w:r w:rsidRPr="002107FC">
        <w:rPr>
          <w:rFonts w:cs="Arial" w:hint="cs"/>
          <w:sz w:val="16"/>
          <w:szCs w:val="16"/>
          <w:rtl/>
        </w:rPr>
        <w:t>(</w:t>
      </w:r>
      <w:r>
        <w:rPr>
          <w:rFonts w:cs="Arial" w:hint="cs"/>
          <w:sz w:val="16"/>
          <w:szCs w:val="16"/>
          <w:rtl/>
        </w:rPr>
        <w:t>שם יז.</w:t>
      </w:r>
      <w:r w:rsidRPr="002107FC">
        <w:rPr>
          <w:rFonts w:cs="Arial"/>
          <w:sz w:val="16"/>
          <w:szCs w:val="16"/>
          <w:rtl/>
        </w:rPr>
        <w:t>)</w:t>
      </w:r>
      <w:r>
        <w:rPr>
          <w:rFonts w:hint="cs"/>
          <w:rtl/>
        </w:rPr>
        <w:t xml:space="preserve"> וטור- </w:t>
      </w:r>
      <w:r w:rsidRPr="00772E6C">
        <w:rPr>
          <w:rFonts w:cs="Arial"/>
          <w:rtl/>
        </w:rPr>
        <w:t>אם נפל איסור על חתיכה שבקדרה שהיא חוץ לרוטב ולא ניער הקדרה ולא כיסה אותה אינו אוסר אלא כדי נטילה</w:t>
      </w:r>
      <w:r>
        <w:rPr>
          <w:rStyle w:val="a7"/>
          <w:rFonts w:cs="Arial"/>
          <w:rtl/>
        </w:rPr>
        <w:footnoteReference w:id="2190"/>
      </w:r>
      <w:r>
        <w:rPr>
          <w:rFonts w:cs="Arial" w:hint="cs"/>
          <w:rtl/>
        </w:rPr>
        <w:t>,</w:t>
      </w:r>
      <w:r w:rsidRPr="00772E6C">
        <w:rPr>
          <w:rFonts w:cs="Arial"/>
          <w:rtl/>
        </w:rPr>
        <w:t xml:space="preserve"> אבל אם היא ברוטב לרש"י כולה ולר"י אפי' מקצתה כדפרישית לעיל</w:t>
      </w:r>
      <w:r>
        <w:rPr>
          <w:rFonts w:cs="Arial" w:hint="cs"/>
          <w:sz w:val="16"/>
          <w:szCs w:val="16"/>
          <w:rtl/>
        </w:rPr>
        <w:t xml:space="preserve"> {סי' צב}</w:t>
      </w:r>
      <w:r w:rsidRPr="00772E6C">
        <w:rPr>
          <w:rFonts w:cs="Arial"/>
          <w:rtl/>
        </w:rPr>
        <w:t xml:space="preserve"> או אפי' כולה חוץ לרוטב וניער או כיסה הקדרה הרוטב מפעפע הטעם ומערבו ונבלע בכולו</w:t>
      </w:r>
      <w:r>
        <w:rPr>
          <w:rFonts w:cs="Arial" w:hint="cs"/>
          <w:sz w:val="16"/>
          <w:szCs w:val="16"/>
          <w:rtl/>
        </w:rPr>
        <w:t xml:space="preserve"> (ל' הטור)</w:t>
      </w:r>
      <w:r w:rsidRPr="00772E6C">
        <w:rPr>
          <w:rFonts w:cs="Arial" w:hint="cs"/>
          <w:rtl/>
        </w:rPr>
        <w:t>.</w:t>
      </w:r>
      <w:r w:rsidRPr="00355A35">
        <w:rPr>
          <w:rFonts w:cs="Arial" w:hint="cs"/>
          <w:color w:val="E36C0A" w:themeColor="accent6" w:themeShade="BF"/>
          <w:rtl/>
        </w:rPr>
        <w:t xml:space="preserve"> (וכ"פ בשו"ע)</w:t>
      </w:r>
    </w:p>
    <w:p w14:paraId="1E5964B0" w14:textId="77777777" w:rsidR="002C39F4" w:rsidRPr="00E11394" w:rsidRDefault="002C39F4" w:rsidP="002C39F4">
      <w:pPr>
        <w:ind w:left="360"/>
        <w:rPr>
          <w:rFonts w:cs="Arial"/>
          <w:u w:val="dotted"/>
          <w:rtl/>
        </w:rPr>
      </w:pPr>
      <w:r w:rsidRPr="00E11394">
        <w:rPr>
          <w:rFonts w:cs="Arial" w:hint="cs"/>
          <w:u w:val="dotted"/>
          <w:rtl/>
        </w:rPr>
        <w:t xml:space="preserve">צלי שעושים בתנור בתוך מחבת עם </w:t>
      </w:r>
      <w:r>
        <w:rPr>
          <w:rFonts w:cs="Arial" w:hint="cs"/>
          <w:u w:val="dotted"/>
          <w:rtl/>
        </w:rPr>
        <w:t xml:space="preserve">מעט </w:t>
      </w:r>
      <w:r w:rsidRPr="00E11394">
        <w:rPr>
          <w:rFonts w:cs="Arial" w:hint="cs"/>
          <w:u w:val="dotted"/>
          <w:rtl/>
        </w:rPr>
        <w:t>מים:</w:t>
      </w:r>
    </w:p>
    <w:p w14:paraId="66786AB5" w14:textId="77777777" w:rsidR="002C39F4" w:rsidRPr="00E11394" w:rsidRDefault="002C39F4" w:rsidP="0032102C">
      <w:pPr>
        <w:pStyle w:val="a8"/>
        <w:numPr>
          <w:ilvl w:val="0"/>
          <w:numId w:val="230"/>
        </w:numPr>
        <w:rPr>
          <w:rFonts w:cs="Arial"/>
          <w:rtl/>
        </w:rPr>
      </w:pPr>
      <w:r w:rsidRPr="00E11394">
        <w:rPr>
          <w:rFonts w:cs="Arial" w:hint="cs"/>
          <w:rtl/>
        </w:rPr>
        <w:t xml:space="preserve">ב"י- </w:t>
      </w:r>
      <w:r w:rsidRPr="00E11394">
        <w:rPr>
          <w:rFonts w:cs="Arial"/>
          <w:rtl/>
        </w:rPr>
        <w:t>לענין צלי שאנו נוהגין לעשות בתנור בתוך מחבת ונותנין בה מעט מים ורוב החתיכה היא חוץ לרוטב הדבר פשוט דלר"י דינו כמבושל ולרש"י דינו כצלי</w:t>
      </w:r>
      <w:r w:rsidRPr="00E11394">
        <w:rPr>
          <w:rFonts w:cs="Arial" w:hint="cs"/>
          <w:rtl/>
        </w:rPr>
        <w:t>.</w:t>
      </w:r>
    </w:p>
    <w:p w14:paraId="34A2997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CE7344A" w14:textId="77777777" w:rsidR="002C39F4" w:rsidRDefault="002C39F4" w:rsidP="002C39F4">
      <w:pPr>
        <w:rPr>
          <w:rFonts w:asciiTheme="minorBidi" w:hAnsiTheme="minorBidi"/>
          <w:rtl/>
        </w:rPr>
      </w:pPr>
      <w:r w:rsidRPr="003024E5">
        <w:rPr>
          <w:rFonts w:asciiTheme="minorBidi" w:hAnsiTheme="minorBidi"/>
          <w:rtl/>
        </w:rPr>
        <w:t>במה דברים אמורים, כשנפל לתוך התבשיל, מפני שהרוטב מוליך פליטת האיסור ומערבו בכל התבשיל</w:t>
      </w:r>
      <w:r>
        <w:rPr>
          <w:rFonts w:asciiTheme="minorBidi" w:hAnsiTheme="minorBidi" w:hint="cs"/>
          <w:rtl/>
        </w:rPr>
        <w:t>,</w:t>
      </w:r>
      <w:r w:rsidRPr="003024E5">
        <w:rPr>
          <w:rFonts w:asciiTheme="minorBidi" w:hAnsiTheme="minorBidi"/>
          <w:rtl/>
        </w:rPr>
        <w:t xml:space="preserve"> אבל איסור בין חם בין קר שנפל על הצלי שאצל האש אינו אוסר אלא כדי נטילה שהוא כעובי רוחב אצבע</w:t>
      </w:r>
      <w:r>
        <w:rPr>
          <w:rFonts w:asciiTheme="minorBidi" w:hAnsiTheme="minorBidi" w:hint="cs"/>
          <w:rtl/>
        </w:rPr>
        <w:t>,</w:t>
      </w:r>
      <w:r w:rsidRPr="003024E5">
        <w:rPr>
          <w:rFonts w:asciiTheme="minorBidi" w:hAnsiTheme="minorBidi"/>
          <w:rtl/>
        </w:rPr>
        <w:t xml:space="preserve"> לפיכך ירך שצלאו בגידו או חתיכת איסור שצלאה עם חתיכת היתר ונוגע זה בזה צריך להסיר כדי נטילה</w:t>
      </w:r>
      <w:r>
        <w:rPr>
          <w:rStyle w:val="a7"/>
          <w:rFonts w:asciiTheme="minorBidi" w:hAnsiTheme="minorBidi"/>
          <w:rtl/>
        </w:rPr>
        <w:footnoteReference w:id="2191"/>
      </w:r>
      <w:r w:rsidRPr="003024E5">
        <w:rPr>
          <w:rFonts w:asciiTheme="minorBidi" w:hAnsiTheme="minorBidi"/>
          <w:rtl/>
        </w:rPr>
        <w:t xml:space="preserve"> סביב הגיד וכן מן החתיכה מקום שנגעה בחתיכת איסור. וכן אם נפל איסור על חתיכה שבקדרה שהיא חוץ לרוטב ולא ניער הקדרה ולא כיסה אותה אינו אוסר אלא כדי נטילה</w:t>
      </w:r>
      <w:r>
        <w:rPr>
          <w:rFonts w:asciiTheme="minorBidi" w:hAnsiTheme="minorBidi" w:hint="cs"/>
          <w:rtl/>
        </w:rPr>
        <w:t>,</w:t>
      </w:r>
      <w:r w:rsidRPr="003024E5">
        <w:rPr>
          <w:rFonts w:asciiTheme="minorBidi" w:hAnsiTheme="minorBidi"/>
          <w:rtl/>
        </w:rPr>
        <w:t xml:space="preserve"> אבל אם היא ברוטב, לרש"י כולה ולר"י אפילו מקצתה, או אפילו כולה חוץ לרוטב וניער או כיסה הקדרה הרוטב מפעפע הטעם ומערבו ונכנס בכולו. </w:t>
      </w:r>
    </w:p>
    <w:p w14:paraId="2CCDD998" w14:textId="77777777" w:rsidR="002C39F4" w:rsidRPr="003024E5" w:rsidRDefault="002C39F4" w:rsidP="002C39F4">
      <w:pPr>
        <w:rPr>
          <w:rFonts w:asciiTheme="minorBidi" w:hAnsiTheme="minorBidi"/>
          <w:rtl/>
        </w:rPr>
      </w:pPr>
    </w:p>
    <w:p w14:paraId="70216678"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איסור שנפל על חתיכה שמנה.</w:t>
      </w:r>
    </w:p>
    <w:p w14:paraId="4C650A05" w14:textId="77777777" w:rsidR="002C39F4" w:rsidRDefault="002C39F4" w:rsidP="002C39F4">
      <w:pPr>
        <w:rPr>
          <w:rFonts w:cs="Arial"/>
          <w:rtl/>
        </w:rPr>
      </w:pPr>
      <w:r w:rsidRPr="00B92E7B">
        <w:rPr>
          <w:rFonts w:cs="Arial" w:hint="cs"/>
          <w:b/>
          <w:bCs/>
          <w:rtl/>
        </w:rPr>
        <w:t xml:space="preserve">חולין </w:t>
      </w:r>
      <w:r w:rsidRPr="00B92E7B">
        <w:rPr>
          <w:rFonts w:cs="Arial"/>
          <w:b/>
          <w:bCs/>
          <w:rtl/>
        </w:rPr>
        <w:t>צו</w:t>
      </w:r>
      <w:r w:rsidRPr="00B92E7B">
        <w:rPr>
          <w:rFonts w:cs="Arial" w:hint="cs"/>
          <w:b/>
          <w:bCs/>
          <w:rtl/>
        </w:rPr>
        <w:t xml:space="preserve"> ע"ב:</w:t>
      </w:r>
      <w:r>
        <w:rPr>
          <w:rFonts w:cs="Arial"/>
          <w:rtl/>
        </w:rPr>
        <w:t xml:space="preserve"> </w:t>
      </w:r>
      <w:r w:rsidRPr="00B92E7B">
        <w:rPr>
          <w:rFonts w:cs="Arial"/>
          <w:u w:val="double"/>
          <w:rtl/>
        </w:rPr>
        <w:t>מתני'</w:t>
      </w:r>
      <w:r>
        <w:rPr>
          <w:rFonts w:cs="Arial" w:hint="cs"/>
          <w:rtl/>
        </w:rPr>
        <w:t>:</w:t>
      </w:r>
      <w:r w:rsidRPr="00B92E7B">
        <w:rPr>
          <w:rFonts w:cs="Arial"/>
          <w:rtl/>
        </w:rPr>
        <w:t xml:space="preserve"> ירך שנתבשל בה גיד הנשה, אם יש בה בנותן טעם - הרי זו אסורה.</w:t>
      </w:r>
      <w:r>
        <w:rPr>
          <w:rFonts w:cs="Arial" w:hint="cs"/>
          <w:rtl/>
        </w:rPr>
        <w:t>.</w:t>
      </w:r>
      <w:r w:rsidRPr="00B92E7B">
        <w:rPr>
          <w:rFonts w:cs="Arial"/>
          <w:rtl/>
        </w:rPr>
        <w:t>.</w:t>
      </w:r>
      <w:r>
        <w:rPr>
          <w:rFonts w:cs="Arial" w:hint="cs"/>
          <w:rtl/>
        </w:rPr>
        <w:t xml:space="preserve">     </w:t>
      </w:r>
      <w:r w:rsidRPr="00B92E7B">
        <w:rPr>
          <w:rFonts w:cs="Arial"/>
          <w:u w:val="double"/>
          <w:rtl/>
        </w:rPr>
        <w:t>גמ'</w:t>
      </w:r>
      <w:r>
        <w:rPr>
          <w:rFonts w:cs="Arial" w:hint="cs"/>
          <w:rtl/>
        </w:rPr>
        <w:t>:</w:t>
      </w:r>
      <w:r w:rsidRPr="00B92E7B">
        <w:rPr>
          <w:rFonts w:cs="Arial"/>
          <w:rtl/>
        </w:rPr>
        <w:t xml:space="preserve"> </w:t>
      </w:r>
      <w:r w:rsidRPr="00B92E7B">
        <w:rPr>
          <w:rFonts w:cs="Arial"/>
          <w:u w:val="single"/>
          <w:rtl/>
        </w:rPr>
        <w:t>אמר שמואל</w:t>
      </w:r>
      <w:r w:rsidRPr="00B92E7B">
        <w:rPr>
          <w:rFonts w:cs="Arial"/>
          <w:rtl/>
        </w:rPr>
        <w:t>: לא שנו אלא שנתבשל בה, אבל נצלה בה - קולף ואוכל עד שמגיע לגיד.</w:t>
      </w:r>
      <w:r>
        <w:rPr>
          <w:rFonts w:cs="Arial" w:hint="cs"/>
          <w:rtl/>
        </w:rPr>
        <w:t xml:space="preserve"> </w:t>
      </w:r>
      <w:r w:rsidRPr="00304D78">
        <w:rPr>
          <w:rFonts w:cs="Arial"/>
          <w:rtl/>
        </w:rPr>
        <w:t xml:space="preserve">איני, </w:t>
      </w:r>
      <w:r w:rsidRPr="00304D78">
        <w:rPr>
          <w:rFonts w:cs="Arial"/>
          <w:u w:val="single"/>
          <w:rtl/>
        </w:rPr>
        <w:t>והאמר רב הונא</w:t>
      </w:r>
      <w:r w:rsidRPr="00304D78">
        <w:rPr>
          <w:rFonts w:cs="Arial"/>
          <w:rtl/>
        </w:rPr>
        <w:t>: גדי שצלאו בחלבו - אסור לאכול אפילו מראש אזנו</w:t>
      </w:r>
      <w:r>
        <w:rPr>
          <w:rStyle w:val="a7"/>
          <w:rFonts w:cs="Arial"/>
          <w:rtl/>
        </w:rPr>
        <w:footnoteReference w:id="2192"/>
      </w:r>
      <w:r w:rsidRPr="00304D78">
        <w:rPr>
          <w:rFonts w:cs="Arial"/>
          <w:rtl/>
        </w:rPr>
        <w:t>!</w:t>
      </w:r>
      <w:r w:rsidRPr="00304D78">
        <w:rPr>
          <w:rtl/>
        </w:rPr>
        <w:t xml:space="preserve"> </w:t>
      </w:r>
      <w:r w:rsidRPr="00210853">
        <w:rPr>
          <w:rFonts w:cs="Arial" w:hint="cs"/>
          <w:sz w:val="14"/>
          <w:szCs w:val="14"/>
          <w:rtl/>
        </w:rPr>
        <w:t>(צז.)</w:t>
      </w:r>
      <w:r w:rsidRPr="00210853">
        <w:rPr>
          <w:rFonts w:cs="Arial" w:hint="cs"/>
          <w:rtl/>
        </w:rPr>
        <w:t xml:space="preserve"> </w:t>
      </w:r>
      <w:r w:rsidRPr="00304D78">
        <w:rPr>
          <w:rFonts w:cs="Arial"/>
          <w:rtl/>
        </w:rPr>
        <w:t>שאני חלב - דמפעפע</w:t>
      </w:r>
      <w:r>
        <w:rPr>
          <w:rStyle w:val="a7"/>
          <w:rFonts w:cs="Arial"/>
          <w:rtl/>
        </w:rPr>
        <w:footnoteReference w:id="2193"/>
      </w:r>
      <w:r w:rsidRPr="00304D78">
        <w:rPr>
          <w:rFonts w:cs="Arial"/>
          <w:rtl/>
        </w:rPr>
        <w:t xml:space="preserve">; ובחלב אסור? </w:t>
      </w:r>
      <w:r w:rsidRPr="00304D78">
        <w:rPr>
          <w:rFonts w:cs="Arial"/>
          <w:u w:val="single"/>
          <w:rtl/>
        </w:rPr>
        <w:t>והאמר רבה בר בר חנה</w:t>
      </w:r>
      <w:r w:rsidRPr="00304D78">
        <w:rPr>
          <w:rFonts w:cs="Arial"/>
          <w:rtl/>
        </w:rPr>
        <w:t>: עובדא הוה קמיה דר' יוחנן בכנישתא דמעון, בגדי שצלאו בחלבו, ואתו ושיילוה לרבי יוחנן, ואמר קולף ואוכל עד שמגיע לחלבו! ההוא - כחוש הוה</w:t>
      </w:r>
      <w:r>
        <w:rPr>
          <w:rStyle w:val="a7"/>
          <w:rFonts w:cs="Arial"/>
          <w:rtl/>
        </w:rPr>
        <w:footnoteReference w:id="2194"/>
      </w:r>
      <w:r w:rsidRPr="00304D78">
        <w:rPr>
          <w:rFonts w:cs="Arial"/>
          <w:rtl/>
        </w:rPr>
        <w:t xml:space="preserve">, </w:t>
      </w:r>
      <w:r w:rsidRPr="00E36F51">
        <w:rPr>
          <w:rFonts w:cs="Arial"/>
          <w:u w:val="single"/>
          <w:rtl/>
        </w:rPr>
        <w:t>רב הונא בר יהודה אמר</w:t>
      </w:r>
      <w:r w:rsidRPr="00304D78">
        <w:rPr>
          <w:rFonts w:cs="Arial"/>
          <w:rtl/>
        </w:rPr>
        <w:t xml:space="preserve">: כוליא בחלבה הוה </w:t>
      </w:r>
      <w:r>
        <w:rPr>
          <w:rFonts w:cs="Arial" w:hint="cs"/>
          <w:rtl/>
        </w:rPr>
        <w:t>-</w:t>
      </w:r>
      <w:r w:rsidRPr="00304D78">
        <w:rPr>
          <w:rFonts w:cs="Arial"/>
          <w:rtl/>
        </w:rPr>
        <w:t xml:space="preserve"> ושריא</w:t>
      </w:r>
      <w:r>
        <w:rPr>
          <w:rStyle w:val="a7"/>
          <w:rFonts w:cs="Arial"/>
          <w:rtl/>
        </w:rPr>
        <w:footnoteReference w:id="2195"/>
      </w:r>
      <w:r>
        <w:rPr>
          <w:rFonts w:cs="Arial" w:hint="cs"/>
          <w:rtl/>
        </w:rPr>
        <w:t>.</w:t>
      </w:r>
    </w:p>
    <w:p w14:paraId="5B3E488B" w14:textId="77777777" w:rsidR="002C39F4" w:rsidRPr="00E36F51" w:rsidRDefault="002C39F4" w:rsidP="002C39F4">
      <w:pPr>
        <w:rPr>
          <w:rFonts w:cs="Arial"/>
          <w:u w:val="single"/>
          <w:rtl/>
        </w:rPr>
      </w:pPr>
      <w:r>
        <w:rPr>
          <w:rFonts w:cs="Arial" w:hint="cs"/>
          <w:u w:val="single"/>
          <w:rtl/>
        </w:rPr>
        <w:t xml:space="preserve">גדי שמן שצלאו בחלבו - </w:t>
      </w:r>
      <w:r w:rsidRPr="00E36F51">
        <w:rPr>
          <w:rFonts w:cs="Arial" w:hint="cs"/>
          <w:u w:val="single"/>
          <w:rtl/>
        </w:rPr>
        <w:t>מה הדין אם יש ששים בגדי לבטל החלב:</w:t>
      </w:r>
    </w:p>
    <w:p w14:paraId="7F71D775" w14:textId="77777777" w:rsidR="002C39F4" w:rsidRPr="00166187" w:rsidRDefault="002C39F4" w:rsidP="0032102C">
      <w:pPr>
        <w:pStyle w:val="a8"/>
        <w:numPr>
          <w:ilvl w:val="0"/>
          <w:numId w:val="230"/>
        </w:numPr>
        <w:rPr>
          <w:rFonts w:cs="Arial"/>
          <w:rtl/>
        </w:rPr>
      </w:pPr>
      <w:r w:rsidRPr="00166187">
        <w:rPr>
          <w:rFonts w:cs="Arial"/>
          <w:rtl/>
        </w:rPr>
        <w:t xml:space="preserve">רמב"ם </w:t>
      </w:r>
      <w:r w:rsidRPr="00166187">
        <w:rPr>
          <w:rFonts w:cs="Arial" w:hint="cs"/>
          <w:sz w:val="16"/>
          <w:szCs w:val="16"/>
          <w:rtl/>
        </w:rPr>
        <w:t>(</w:t>
      </w:r>
      <w:r w:rsidRPr="00166187">
        <w:rPr>
          <w:rFonts w:cs="Arial"/>
          <w:sz w:val="16"/>
          <w:szCs w:val="16"/>
          <w:rtl/>
        </w:rPr>
        <w:t>פט"ו הל"ב)</w:t>
      </w:r>
      <w:r w:rsidRPr="0030209F">
        <w:rPr>
          <w:rFonts w:cs="Arial"/>
          <w:rtl/>
        </w:rPr>
        <w:t xml:space="preserve"> </w:t>
      </w:r>
      <w:r w:rsidRPr="00620623">
        <w:rPr>
          <w:rFonts w:cs="Arial"/>
          <w:rtl/>
        </w:rPr>
        <w:t xml:space="preserve">רשב"א </w:t>
      </w:r>
      <w:r w:rsidRPr="0030209F">
        <w:rPr>
          <w:rFonts w:cs="Arial"/>
          <w:sz w:val="16"/>
          <w:szCs w:val="16"/>
          <w:rtl/>
        </w:rPr>
        <w:t>(ב"ד ש"א ד: וכא.)</w:t>
      </w:r>
      <w:r>
        <w:rPr>
          <w:rFonts w:cs="Arial" w:hint="cs"/>
          <w:rtl/>
        </w:rPr>
        <w:t xml:space="preserve"> ומרדכי </w:t>
      </w:r>
      <w:r>
        <w:rPr>
          <w:rFonts w:cs="Arial" w:hint="cs"/>
          <w:sz w:val="16"/>
          <w:szCs w:val="16"/>
          <w:rtl/>
        </w:rPr>
        <w:t>(חולין סי' תרצה)</w:t>
      </w:r>
      <w:r>
        <w:rPr>
          <w:rFonts w:cs="Arial" w:hint="cs"/>
          <w:rtl/>
        </w:rPr>
        <w:t xml:space="preserve">- </w:t>
      </w:r>
      <w:r w:rsidRPr="00166187">
        <w:rPr>
          <w:rFonts w:cs="Arial"/>
          <w:rtl/>
        </w:rPr>
        <w:t>הא דאמרינן אסור לאכול מראש אזנו היינו כשאין בגדי ששים לבטל החלב אבל אם יש בבשר הגדי ששים לבטל החלב</w:t>
      </w:r>
      <w:r>
        <w:rPr>
          <w:rFonts w:cs="Arial" w:hint="cs"/>
          <w:rtl/>
        </w:rPr>
        <w:t>,</w:t>
      </w:r>
      <w:r w:rsidRPr="00166187">
        <w:rPr>
          <w:rFonts w:cs="Arial"/>
          <w:rtl/>
        </w:rPr>
        <w:t xml:space="preserve"> כגון שאינו שמן וכמות חלבו מועט</w:t>
      </w:r>
      <w:r>
        <w:rPr>
          <w:rFonts w:cs="Arial" w:hint="cs"/>
          <w:rtl/>
        </w:rPr>
        <w:t>,</w:t>
      </w:r>
      <w:r w:rsidRPr="00166187">
        <w:rPr>
          <w:rFonts w:cs="Arial"/>
          <w:rtl/>
        </w:rPr>
        <w:t xml:space="preserve"> קולף ואוכל עד שמגיע לחלב כדאורי ר' יוחנן</w:t>
      </w:r>
      <w:r>
        <w:rPr>
          <w:rFonts w:cs="Arial" w:hint="cs"/>
          <w:sz w:val="16"/>
          <w:szCs w:val="16"/>
          <w:rtl/>
        </w:rPr>
        <w:t xml:space="preserve"> (ל' הב"י בשם הרמב"ם)</w:t>
      </w:r>
      <w:r w:rsidRPr="00166187">
        <w:rPr>
          <w:rFonts w:cs="Arial" w:hint="cs"/>
          <w:rtl/>
        </w:rPr>
        <w:t>.</w:t>
      </w:r>
      <w:r w:rsidRPr="008C32FD">
        <w:rPr>
          <w:rFonts w:cs="Arial"/>
          <w:color w:val="E36C0A" w:themeColor="accent6" w:themeShade="BF"/>
          <w:rtl/>
        </w:rPr>
        <w:t xml:space="preserve"> </w:t>
      </w:r>
      <w:r w:rsidRPr="008C32FD">
        <w:rPr>
          <w:rFonts w:hint="cs"/>
          <w:color w:val="E36C0A" w:themeColor="accent6" w:themeShade="BF"/>
          <w:rtl/>
        </w:rPr>
        <w:t>(וכ"פ בשו"ע)</w:t>
      </w:r>
    </w:p>
    <w:p w14:paraId="4D6390F9" w14:textId="77777777" w:rsidR="002C39F4" w:rsidRPr="00FA5829" w:rsidRDefault="002C39F4" w:rsidP="0032102C">
      <w:pPr>
        <w:pStyle w:val="a8"/>
        <w:numPr>
          <w:ilvl w:val="0"/>
          <w:numId w:val="230"/>
        </w:numPr>
        <w:rPr>
          <w:rFonts w:cs="Arial"/>
          <w:rtl/>
        </w:rPr>
      </w:pPr>
      <w:r w:rsidRPr="00166187">
        <w:rPr>
          <w:rFonts w:cs="Arial"/>
          <w:rtl/>
        </w:rPr>
        <w:t xml:space="preserve">רא"ה </w:t>
      </w:r>
      <w:r w:rsidRPr="00166187">
        <w:rPr>
          <w:rFonts w:cs="Arial"/>
          <w:sz w:val="16"/>
          <w:szCs w:val="16"/>
          <w:rtl/>
        </w:rPr>
        <w:t>(בדה</w:t>
      </w:r>
      <w:r w:rsidRPr="00166187">
        <w:rPr>
          <w:rFonts w:cs="Arial" w:hint="cs"/>
          <w:sz w:val="16"/>
          <w:szCs w:val="16"/>
          <w:rtl/>
        </w:rPr>
        <w:t>"ב</w:t>
      </w:r>
      <w:r w:rsidRPr="00166187">
        <w:rPr>
          <w:rFonts w:cs="Arial"/>
          <w:sz w:val="16"/>
          <w:szCs w:val="16"/>
          <w:rtl/>
        </w:rPr>
        <w:t xml:space="preserve"> ב"ד ש"א כא.)</w:t>
      </w:r>
      <w:r w:rsidRPr="00166187">
        <w:rPr>
          <w:rFonts w:cs="Arial" w:hint="cs"/>
          <w:rtl/>
        </w:rPr>
        <w:t xml:space="preserve">- </w:t>
      </w:r>
      <w:r w:rsidRPr="00166187">
        <w:rPr>
          <w:rFonts w:cs="Arial"/>
          <w:rtl/>
        </w:rPr>
        <w:t>אין חלב מפעפע מתבטל בצלי לעולם</w:t>
      </w:r>
      <w:r>
        <w:rPr>
          <w:rFonts w:cs="Arial" w:hint="cs"/>
          <w:rtl/>
        </w:rPr>
        <w:t>,</w:t>
      </w:r>
      <w:r w:rsidRPr="00166187">
        <w:rPr>
          <w:rFonts w:cs="Arial"/>
          <w:rtl/>
        </w:rPr>
        <w:t xml:space="preserve"> דבקדירה הוא שמתבטל מפני שהרוטב מוליך האיסור בשוה</w:t>
      </w:r>
      <w:r>
        <w:rPr>
          <w:rFonts w:cs="Arial" w:hint="cs"/>
          <w:rtl/>
        </w:rPr>
        <w:t>,</w:t>
      </w:r>
      <w:r w:rsidRPr="00166187">
        <w:rPr>
          <w:rFonts w:cs="Arial"/>
          <w:rtl/>
        </w:rPr>
        <w:t xml:space="preserve"> אבל בצלי שהוא מפעפע מעצמו אפשר שהרבה ממנו מתכנס במקום אחד הלכך אפילו בששים לא בטיל</w:t>
      </w:r>
      <w:r>
        <w:rPr>
          <w:rStyle w:val="a7"/>
          <w:rFonts w:cs="Arial"/>
          <w:rtl/>
        </w:rPr>
        <w:footnoteReference w:id="2196"/>
      </w:r>
      <w:r w:rsidRPr="00166187">
        <w:rPr>
          <w:rFonts w:cs="Arial" w:hint="cs"/>
          <w:rtl/>
        </w:rPr>
        <w:t>.</w:t>
      </w:r>
      <w:r w:rsidRPr="00166187">
        <w:rPr>
          <w:rFonts w:cs="Arial"/>
          <w:rtl/>
        </w:rPr>
        <w:t xml:space="preserve"> </w:t>
      </w:r>
    </w:p>
    <w:p w14:paraId="7FBD88D4" w14:textId="77777777" w:rsidR="002C39F4" w:rsidRDefault="002C39F4" w:rsidP="002C39F4">
      <w:pPr>
        <w:rPr>
          <w:rFonts w:cs="Arial"/>
          <w:rtl/>
        </w:rPr>
      </w:pPr>
      <w:r w:rsidRPr="00FA5829">
        <w:rPr>
          <w:rFonts w:cs="Arial"/>
          <w:u w:val="single"/>
          <w:rtl/>
        </w:rPr>
        <w:t>טחול שנצלה בלי ניקור</w:t>
      </w:r>
      <w:r w:rsidRPr="00FA5829">
        <w:rPr>
          <w:rFonts w:cs="Arial" w:hint="cs"/>
          <w:u w:val="single"/>
          <w:rtl/>
        </w:rPr>
        <w:t>:</w:t>
      </w:r>
    </w:p>
    <w:p w14:paraId="25372E32" w14:textId="77777777" w:rsidR="002C39F4" w:rsidRPr="00FA5829" w:rsidRDefault="002C39F4" w:rsidP="0032102C">
      <w:pPr>
        <w:pStyle w:val="a8"/>
        <w:numPr>
          <w:ilvl w:val="0"/>
          <w:numId w:val="232"/>
        </w:numPr>
        <w:rPr>
          <w:rFonts w:cs="Arial"/>
          <w:rtl/>
        </w:rPr>
      </w:pPr>
      <w:r w:rsidRPr="00FA5829">
        <w:rPr>
          <w:rFonts w:cs="Arial"/>
          <w:rtl/>
        </w:rPr>
        <w:t xml:space="preserve">אגור </w:t>
      </w:r>
      <w:r w:rsidRPr="00FA5829">
        <w:rPr>
          <w:rFonts w:cs="Arial"/>
          <w:sz w:val="16"/>
          <w:szCs w:val="16"/>
          <w:rtl/>
        </w:rPr>
        <w:t xml:space="preserve">(סי' אלף קעו) </w:t>
      </w:r>
      <w:r w:rsidRPr="00FA5829">
        <w:rPr>
          <w:rFonts w:cs="Arial"/>
          <w:rtl/>
        </w:rPr>
        <w:t>בשם מהר"י מולן</w:t>
      </w:r>
      <w:r w:rsidRPr="00FA5829">
        <w:rPr>
          <w:rFonts w:cs="Arial" w:hint="cs"/>
          <w:rtl/>
        </w:rPr>
        <w:t>-</w:t>
      </w:r>
      <w:r w:rsidRPr="00FA5829">
        <w:rPr>
          <w:rFonts w:cs="Arial"/>
          <w:rtl/>
        </w:rPr>
        <w:t xml:space="preserve"> צריך ששים כנגד מה שעל הדד שחייבים עליו כרת וצריך נמי כדי נטילה דילמא אינו מפעפע</w:t>
      </w:r>
      <w:r>
        <w:rPr>
          <w:rFonts w:cs="Arial" w:hint="cs"/>
          <w:rtl/>
        </w:rPr>
        <w:t>.</w:t>
      </w:r>
    </w:p>
    <w:p w14:paraId="50F3ED55" w14:textId="77777777" w:rsidR="002C39F4" w:rsidRDefault="002C39F4" w:rsidP="002C39F4">
      <w:pPr>
        <w:rPr>
          <w:rFonts w:cs="Arial"/>
          <w:rtl/>
        </w:rPr>
      </w:pPr>
      <w:r w:rsidRPr="00FA5829">
        <w:rPr>
          <w:rFonts w:cs="Arial"/>
          <w:u w:val="single"/>
          <w:rtl/>
        </w:rPr>
        <w:t>דבר שיש לו פעפוע שנפל למקום ידוע מן החתיכה</w:t>
      </w:r>
      <w:r>
        <w:rPr>
          <w:rFonts w:cs="Arial" w:hint="cs"/>
          <w:u w:val="single"/>
          <w:rtl/>
        </w:rPr>
        <w:t xml:space="preserve"> ויש בה ששים כנגדו</w:t>
      </w:r>
      <w:r w:rsidRPr="00FA5829">
        <w:rPr>
          <w:rFonts w:cs="Arial" w:hint="cs"/>
          <w:u w:val="single"/>
          <w:rtl/>
        </w:rPr>
        <w:t>:</w:t>
      </w:r>
    </w:p>
    <w:p w14:paraId="38E4C66C" w14:textId="77777777" w:rsidR="002C39F4" w:rsidRDefault="002C39F4" w:rsidP="0032102C">
      <w:pPr>
        <w:pStyle w:val="a8"/>
        <w:numPr>
          <w:ilvl w:val="0"/>
          <w:numId w:val="232"/>
        </w:numPr>
      </w:pPr>
      <w:r w:rsidRPr="00FA5829">
        <w:rPr>
          <w:rFonts w:cs="Arial"/>
          <w:rtl/>
        </w:rPr>
        <w:t>רשב"א</w:t>
      </w:r>
      <w:r w:rsidRPr="00FA5829">
        <w:rPr>
          <w:rFonts w:cs="Arial" w:hint="cs"/>
          <w:rtl/>
        </w:rPr>
        <w:t xml:space="preserve"> </w:t>
      </w:r>
      <w:r w:rsidRPr="00FA5829">
        <w:rPr>
          <w:rFonts w:cs="Arial" w:hint="cs"/>
          <w:sz w:val="16"/>
          <w:szCs w:val="16"/>
          <w:rtl/>
        </w:rPr>
        <w:t>(</w:t>
      </w:r>
      <w:r w:rsidRPr="00FA5829">
        <w:rPr>
          <w:rFonts w:cs="Arial"/>
          <w:sz w:val="16"/>
          <w:szCs w:val="16"/>
          <w:rtl/>
        </w:rPr>
        <w:t>תוה</w:t>
      </w:r>
      <w:r w:rsidRPr="00FA5829">
        <w:rPr>
          <w:rFonts w:cs="Arial" w:hint="cs"/>
          <w:sz w:val="16"/>
          <w:szCs w:val="16"/>
          <w:rtl/>
        </w:rPr>
        <w:t>"</w:t>
      </w:r>
      <w:r>
        <w:rPr>
          <w:rFonts w:cs="Arial" w:hint="cs"/>
          <w:sz w:val="16"/>
          <w:szCs w:val="16"/>
          <w:rtl/>
        </w:rPr>
        <w:t>ק</w:t>
      </w:r>
      <w:r w:rsidRPr="00FA5829">
        <w:rPr>
          <w:rFonts w:cs="Arial"/>
          <w:sz w:val="16"/>
          <w:szCs w:val="16"/>
          <w:rtl/>
        </w:rPr>
        <w:t xml:space="preserve"> ב"ד ש"א </w:t>
      </w:r>
      <w:r>
        <w:rPr>
          <w:rFonts w:cs="Arial" w:hint="cs"/>
          <w:sz w:val="16"/>
          <w:szCs w:val="16"/>
          <w:rtl/>
        </w:rPr>
        <w:t>יז:</w:t>
      </w:r>
      <w:r w:rsidRPr="00FA5829">
        <w:rPr>
          <w:rFonts w:cs="Arial"/>
          <w:sz w:val="16"/>
          <w:szCs w:val="16"/>
          <w:rtl/>
        </w:rPr>
        <w:t>)</w:t>
      </w:r>
      <w:r w:rsidRPr="00FA5829">
        <w:rPr>
          <w:rFonts w:cs="Arial" w:hint="cs"/>
          <w:rtl/>
        </w:rPr>
        <w:t xml:space="preserve">- </w:t>
      </w:r>
      <w:r w:rsidRPr="00FF0A0A">
        <w:rPr>
          <w:rFonts w:cs="Arial"/>
          <w:rtl/>
        </w:rPr>
        <w:t>כל איסור מפעפע חם שנפל על גבי היתר חם</w:t>
      </w:r>
      <w:r>
        <w:rPr>
          <w:rStyle w:val="a7"/>
          <w:rFonts w:cs="Arial"/>
          <w:rtl/>
        </w:rPr>
        <w:footnoteReference w:id="2197"/>
      </w:r>
      <w:r w:rsidRPr="00FF0A0A">
        <w:rPr>
          <w:rFonts w:cs="Arial"/>
          <w:rtl/>
        </w:rPr>
        <w:t xml:space="preserve"> אע</w:t>
      </w:r>
      <w:r w:rsidRPr="00FF0A0A">
        <w:rPr>
          <w:rFonts w:cs="Arial" w:hint="cs"/>
          <w:rtl/>
        </w:rPr>
        <w:t>"</w:t>
      </w:r>
      <w:r w:rsidRPr="00FF0A0A">
        <w:rPr>
          <w:rFonts w:cs="Arial"/>
          <w:rtl/>
        </w:rPr>
        <w:t>פ שיש בהיתר ששים לבטלו צריך ליטול ממקום שנפל שם האיסור קליפה עבה ביותר והוא הנקרא בכל מקום נטילת מקום</w:t>
      </w:r>
      <w:r>
        <w:rPr>
          <w:rStyle w:val="a7"/>
          <w:rFonts w:cs="Arial"/>
          <w:rtl/>
        </w:rPr>
        <w:footnoteReference w:id="2198"/>
      </w:r>
      <w:r w:rsidRPr="00FF0A0A">
        <w:rPr>
          <w:rFonts w:cs="Arial" w:hint="cs"/>
          <w:rtl/>
        </w:rPr>
        <w:t>.</w:t>
      </w:r>
      <w:r w:rsidRPr="008C32FD">
        <w:rPr>
          <w:rFonts w:cs="Arial"/>
          <w:color w:val="E36C0A" w:themeColor="accent6" w:themeShade="BF"/>
          <w:rtl/>
        </w:rPr>
        <w:t xml:space="preserve"> </w:t>
      </w:r>
      <w:r w:rsidRPr="008C32FD">
        <w:rPr>
          <w:rFonts w:hint="cs"/>
          <w:color w:val="E36C0A" w:themeColor="accent6" w:themeShade="BF"/>
          <w:rtl/>
        </w:rPr>
        <w:t>(וכ"פ בשו"ע)</w:t>
      </w:r>
      <w:r>
        <w:rPr>
          <w:rFonts w:hint="cs"/>
          <w:rtl/>
        </w:rPr>
        <w:t xml:space="preserve"> </w:t>
      </w:r>
      <w:r w:rsidRPr="00DA25FD">
        <w:rPr>
          <w:rFonts w:hint="cs"/>
          <w:color w:val="00B0F0"/>
          <w:rtl/>
        </w:rPr>
        <w:t>(וכ"פ הרמ"א)</w:t>
      </w:r>
    </w:p>
    <w:p w14:paraId="3B9CF055" w14:textId="77777777" w:rsidR="002C39F4" w:rsidRDefault="002C39F4" w:rsidP="0032102C">
      <w:pPr>
        <w:pStyle w:val="a8"/>
        <w:numPr>
          <w:ilvl w:val="0"/>
          <w:numId w:val="232"/>
        </w:numPr>
        <w:rPr>
          <w:rtl/>
        </w:rPr>
      </w:pPr>
      <w:r w:rsidRPr="002107FC">
        <w:rPr>
          <w:rFonts w:cs="Arial"/>
          <w:rtl/>
        </w:rPr>
        <w:t>רמב"ם</w:t>
      </w:r>
      <w:r w:rsidRPr="002107FC">
        <w:rPr>
          <w:rFonts w:cs="Arial"/>
          <w:sz w:val="16"/>
          <w:szCs w:val="16"/>
          <w:rtl/>
        </w:rPr>
        <w:t xml:space="preserve"> </w:t>
      </w:r>
      <w:r w:rsidRPr="002107FC">
        <w:rPr>
          <w:rFonts w:cs="Arial" w:hint="cs"/>
          <w:sz w:val="16"/>
          <w:szCs w:val="16"/>
          <w:rtl/>
        </w:rPr>
        <w:t>(</w:t>
      </w:r>
      <w:r w:rsidRPr="002107FC">
        <w:rPr>
          <w:rFonts w:cs="Arial"/>
          <w:sz w:val="16"/>
          <w:szCs w:val="16"/>
          <w:rtl/>
        </w:rPr>
        <w:t>פט"ו הל"ב</w:t>
      </w:r>
      <w:r w:rsidRPr="002107FC">
        <w:rPr>
          <w:rFonts w:cs="Arial" w:hint="cs"/>
          <w:sz w:val="16"/>
          <w:szCs w:val="16"/>
          <w:rtl/>
        </w:rPr>
        <w:t>, להב' הב"י</w:t>
      </w:r>
      <w:r w:rsidRPr="002107FC">
        <w:rPr>
          <w:rFonts w:cs="Arial"/>
          <w:sz w:val="16"/>
          <w:szCs w:val="16"/>
          <w:rtl/>
        </w:rPr>
        <w:t>)</w:t>
      </w:r>
      <w:r>
        <w:rPr>
          <w:rFonts w:cs="Arial" w:hint="cs"/>
          <w:rtl/>
        </w:rPr>
        <w:t xml:space="preserve"> ומהרא</w:t>
      </w:r>
      <w:r>
        <w:rPr>
          <w:rFonts w:cs="Arial"/>
          <w:rtl/>
        </w:rPr>
        <w:t>"</w:t>
      </w:r>
      <w:r>
        <w:rPr>
          <w:rFonts w:cs="Arial" w:hint="cs"/>
          <w:rtl/>
        </w:rPr>
        <w:t xml:space="preserve">י </w:t>
      </w:r>
      <w:r w:rsidRPr="005E7C1B">
        <w:rPr>
          <w:rFonts w:cs="Arial" w:hint="cs"/>
          <w:sz w:val="16"/>
          <w:szCs w:val="16"/>
          <w:rtl/>
        </w:rPr>
        <w:t>(בהגשע</w:t>
      </w:r>
      <w:r w:rsidRPr="005E7C1B">
        <w:rPr>
          <w:rFonts w:cs="Arial"/>
          <w:sz w:val="16"/>
          <w:szCs w:val="16"/>
          <w:rtl/>
        </w:rPr>
        <w:t>"</w:t>
      </w:r>
      <w:r w:rsidRPr="005E7C1B">
        <w:rPr>
          <w:rFonts w:cs="Arial" w:hint="cs"/>
          <w:sz w:val="16"/>
          <w:szCs w:val="16"/>
          <w:rtl/>
        </w:rPr>
        <w:t>ד</w:t>
      </w:r>
      <w:r w:rsidRPr="005E7C1B">
        <w:rPr>
          <w:rFonts w:cs="Arial" w:hint="cs"/>
          <w:sz w:val="10"/>
          <w:szCs w:val="10"/>
          <w:rtl/>
        </w:rPr>
        <w:t xml:space="preserve"> </w:t>
      </w:r>
      <w:r>
        <w:rPr>
          <w:rFonts w:cs="Arial" w:hint="cs"/>
          <w:sz w:val="16"/>
          <w:szCs w:val="16"/>
          <w:rtl/>
        </w:rPr>
        <w:t>סי' לח אות ד)</w:t>
      </w:r>
      <w:r w:rsidRPr="002107FC">
        <w:rPr>
          <w:rFonts w:cs="Arial" w:hint="cs"/>
          <w:rtl/>
        </w:rPr>
        <w:t>-</w:t>
      </w:r>
      <w:r w:rsidRPr="002107FC">
        <w:rPr>
          <w:rFonts w:cs="Arial"/>
          <w:rtl/>
        </w:rPr>
        <w:t xml:space="preserve"> א"צ נטילת מקום ולא קליפה</w:t>
      </w:r>
      <w:r>
        <w:rPr>
          <w:rFonts w:cs="Arial" w:hint="cs"/>
          <w:rtl/>
        </w:rPr>
        <w:t>, אלא משליך את האיסור ואוכל את השאר</w:t>
      </w:r>
      <w:r w:rsidRPr="002107FC">
        <w:rPr>
          <w:rFonts w:cs="Arial" w:hint="cs"/>
          <w:rtl/>
        </w:rPr>
        <w:t>.</w:t>
      </w:r>
    </w:p>
    <w:p w14:paraId="0EBCB138" w14:textId="77777777" w:rsidR="002C39F4" w:rsidRPr="00A54C4F" w:rsidRDefault="002C39F4" w:rsidP="002C39F4">
      <w:pPr>
        <w:rPr>
          <w:rFonts w:cs="Arial"/>
          <w:u w:val="single"/>
          <w:rtl/>
        </w:rPr>
      </w:pPr>
      <w:r w:rsidRPr="00A54C4F">
        <w:rPr>
          <w:rFonts w:cs="Arial"/>
          <w:u w:val="single"/>
          <w:rtl/>
        </w:rPr>
        <w:t xml:space="preserve">חתיכת איסור </w:t>
      </w:r>
      <w:r w:rsidRPr="00A54C4F">
        <w:rPr>
          <w:rFonts w:cs="Arial"/>
          <w:b/>
          <w:bCs/>
          <w:u w:val="single"/>
          <w:rtl/>
        </w:rPr>
        <w:t>כחוש</w:t>
      </w:r>
      <w:r w:rsidRPr="00A54C4F">
        <w:rPr>
          <w:rFonts w:cs="Arial"/>
          <w:u w:val="single"/>
          <w:rtl/>
        </w:rPr>
        <w:t xml:space="preserve"> </w:t>
      </w:r>
      <w:r w:rsidRPr="00A54C4F">
        <w:rPr>
          <w:rFonts w:cs="Arial" w:hint="cs"/>
          <w:u w:val="single"/>
          <w:rtl/>
        </w:rPr>
        <w:t xml:space="preserve">שנצלתה יחד עם </w:t>
      </w:r>
      <w:r w:rsidRPr="00A54C4F">
        <w:rPr>
          <w:rFonts w:cs="Arial"/>
          <w:u w:val="single"/>
          <w:rtl/>
        </w:rPr>
        <w:t>חתיכת היתר</w:t>
      </w:r>
      <w:r>
        <w:rPr>
          <w:rFonts w:cs="Arial" w:hint="cs"/>
          <w:u w:val="single"/>
          <w:rtl/>
        </w:rPr>
        <w:t xml:space="preserve"> שמנה</w:t>
      </w:r>
      <w:r w:rsidRPr="00A54C4F">
        <w:rPr>
          <w:rFonts w:cs="Arial" w:hint="cs"/>
          <w:u w:val="single"/>
          <w:rtl/>
        </w:rPr>
        <w:t>:</w:t>
      </w:r>
      <w:r w:rsidRPr="00A54C4F">
        <w:rPr>
          <w:rFonts w:cs="Arial"/>
          <w:u w:val="single"/>
          <w:rtl/>
        </w:rPr>
        <w:t xml:space="preserve"> </w:t>
      </w:r>
    </w:p>
    <w:p w14:paraId="77E757A1" w14:textId="77777777" w:rsidR="002C39F4" w:rsidRPr="00A54C4F" w:rsidRDefault="002C39F4" w:rsidP="0032102C">
      <w:pPr>
        <w:pStyle w:val="a8"/>
        <w:numPr>
          <w:ilvl w:val="0"/>
          <w:numId w:val="231"/>
        </w:numPr>
        <w:rPr>
          <w:rFonts w:cs="Arial"/>
          <w:rtl/>
        </w:rPr>
      </w:pPr>
      <w:r w:rsidRPr="00A54C4F">
        <w:rPr>
          <w:rFonts w:cs="Arial" w:hint="cs"/>
          <w:rtl/>
        </w:rPr>
        <w:t xml:space="preserve">טור- </w:t>
      </w:r>
      <w:r w:rsidRPr="00A54C4F">
        <w:rPr>
          <w:rFonts w:cs="Arial"/>
          <w:rtl/>
        </w:rPr>
        <w:t>האיסור מפעפע בכולו</w:t>
      </w:r>
      <w:r>
        <w:rPr>
          <w:rStyle w:val="a7"/>
          <w:rFonts w:cs="Arial"/>
          <w:rtl/>
        </w:rPr>
        <w:footnoteReference w:id="2199"/>
      </w:r>
      <w:r w:rsidRPr="00A54C4F">
        <w:rPr>
          <w:rFonts w:cs="Arial" w:hint="cs"/>
          <w:rtl/>
        </w:rPr>
        <w:t xml:space="preserve">. </w:t>
      </w:r>
      <w:r w:rsidRPr="008C32FD">
        <w:rPr>
          <w:rFonts w:hint="cs"/>
          <w:color w:val="E36C0A" w:themeColor="accent6" w:themeShade="BF"/>
          <w:rtl/>
        </w:rPr>
        <w:t>(וכ"פ בשו"ע)</w:t>
      </w:r>
    </w:p>
    <w:p w14:paraId="0119B4B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236F326" w14:textId="77777777" w:rsidR="002C39F4" w:rsidRDefault="002C39F4" w:rsidP="002C39F4">
      <w:pPr>
        <w:rPr>
          <w:rFonts w:asciiTheme="minorBidi" w:hAnsiTheme="minorBidi"/>
          <w:rtl/>
        </w:rPr>
      </w:pPr>
      <w:r w:rsidRPr="003024E5">
        <w:rPr>
          <w:rFonts w:asciiTheme="minorBidi" w:hAnsiTheme="minorBidi"/>
          <w:rtl/>
        </w:rPr>
        <w:t>במה דברים אמורים שאין הצלי אוסר אלא כדי נטילה</w:t>
      </w:r>
      <w:r>
        <w:rPr>
          <w:rFonts w:asciiTheme="minorBidi" w:hAnsiTheme="minorBidi" w:hint="cs"/>
          <w:rtl/>
        </w:rPr>
        <w:t>,</w:t>
      </w:r>
      <w:r w:rsidRPr="003024E5">
        <w:rPr>
          <w:rFonts w:asciiTheme="minorBidi" w:hAnsiTheme="minorBidi"/>
          <w:rtl/>
        </w:rPr>
        <w:t xml:space="preserve"> בירך עם גידו וכיוצא בו דבר כחוש שאין בו כח לפעפע בכל החתיכה</w:t>
      </w:r>
      <w:r>
        <w:rPr>
          <w:rFonts w:asciiTheme="minorBidi" w:hAnsiTheme="minorBidi" w:hint="cs"/>
          <w:rtl/>
        </w:rPr>
        <w:t>,</w:t>
      </w:r>
      <w:r w:rsidRPr="003024E5">
        <w:rPr>
          <w:rFonts w:asciiTheme="minorBidi" w:hAnsiTheme="minorBidi"/>
          <w:rtl/>
        </w:rPr>
        <w:t xml:space="preserve"> אבל גדי שמן שצלאו בחלבו אם אין בכל הגדי ששים כנגד כל החלב שבו אסור לאכול אפילו מראש אזנו שכיון שהוא שמן מפעפע בכולו</w:t>
      </w:r>
      <w:r>
        <w:rPr>
          <w:rFonts w:asciiTheme="minorBidi" w:hAnsiTheme="minorBidi" w:hint="cs"/>
          <w:rtl/>
        </w:rPr>
        <w:t>,</w:t>
      </w:r>
      <w:r w:rsidRPr="003024E5">
        <w:rPr>
          <w:rFonts w:asciiTheme="minorBidi" w:hAnsiTheme="minorBidi"/>
          <w:rtl/>
        </w:rPr>
        <w:t xml:space="preserve"> אבל אם הוא כחוש אף על פי שאין בו </w:t>
      </w:r>
      <w:r>
        <w:rPr>
          <w:rFonts w:asciiTheme="minorBidi" w:hAnsiTheme="minorBidi" w:hint="cs"/>
          <w:rtl/>
        </w:rPr>
        <w:t>ששים</w:t>
      </w:r>
      <w:r w:rsidRPr="003024E5">
        <w:rPr>
          <w:rFonts w:asciiTheme="minorBidi" w:hAnsiTheme="minorBidi"/>
          <w:rtl/>
        </w:rPr>
        <w:t xml:space="preserve"> כנגד כל החלב שבו אינו אוסר אלא כדי נטילה שהחלב של בהמה כחושה כחוש הוא בטבעו ואינו מפעפע</w:t>
      </w:r>
      <w:r>
        <w:rPr>
          <w:rFonts w:asciiTheme="minorBidi" w:hAnsiTheme="minorBidi" w:hint="cs"/>
          <w:rtl/>
        </w:rPr>
        <w:t>.</w:t>
      </w:r>
      <w:r w:rsidRPr="003024E5">
        <w:rPr>
          <w:rFonts w:asciiTheme="minorBidi" w:hAnsiTheme="minorBidi"/>
          <w:rtl/>
        </w:rPr>
        <w:t xml:space="preserve"> ואפילו חתיכת האיסור כחושה וחתיכת היתר שנצלית עמה שמנה האיסור מפעפע בכולה</w:t>
      </w:r>
      <w:r>
        <w:rPr>
          <w:rStyle w:val="a7"/>
          <w:rFonts w:asciiTheme="minorBidi" w:hAnsiTheme="minorBidi"/>
          <w:rtl/>
        </w:rPr>
        <w:footnoteReference w:id="2200"/>
      </w:r>
      <w:r>
        <w:rPr>
          <w:rFonts w:asciiTheme="minorBidi" w:hAnsiTheme="minorBidi" w:hint="cs"/>
          <w:rtl/>
        </w:rPr>
        <w:t>.</w:t>
      </w:r>
      <w:r w:rsidRPr="003024E5">
        <w:rPr>
          <w:rFonts w:asciiTheme="minorBidi" w:hAnsiTheme="minorBidi"/>
          <w:rtl/>
        </w:rPr>
        <w:t xml:space="preserve"> וכל דבר שיש לו פעפוע שנפל למקום ידוע מהחתיכה בצלי אף על פי שיש בחתיכה </w:t>
      </w:r>
      <w:r>
        <w:rPr>
          <w:rFonts w:asciiTheme="minorBidi" w:hAnsiTheme="minorBidi" w:hint="cs"/>
          <w:rtl/>
        </w:rPr>
        <w:t>ששים</w:t>
      </w:r>
      <w:r w:rsidRPr="003024E5">
        <w:rPr>
          <w:rFonts w:asciiTheme="minorBidi" w:hAnsiTheme="minorBidi"/>
          <w:rtl/>
        </w:rPr>
        <w:t xml:space="preserve"> לבטל האיסור צריך נטילת מקום</w:t>
      </w:r>
      <w:r>
        <w:rPr>
          <w:rStyle w:val="a7"/>
          <w:rFonts w:asciiTheme="minorBidi" w:hAnsiTheme="minorBidi"/>
          <w:rtl/>
        </w:rPr>
        <w:footnoteReference w:id="2201"/>
      </w:r>
      <w:r w:rsidRPr="00950A8F">
        <w:rPr>
          <w:rFonts w:asciiTheme="minorBidi" w:hAnsiTheme="minorBidi"/>
          <w:sz w:val="18"/>
          <w:szCs w:val="18"/>
          <w:rtl/>
        </w:rPr>
        <w:t xml:space="preserve">. הגה: וכל מבושל בלא רוטב או אפוי דינו כצלי בכל דבר </w:t>
      </w:r>
      <w:r w:rsidRPr="00950A8F">
        <w:rPr>
          <w:rFonts w:asciiTheme="minorBidi" w:hAnsiTheme="minorBidi"/>
          <w:sz w:val="16"/>
          <w:szCs w:val="16"/>
          <w:rtl/>
        </w:rPr>
        <w:t>(טור וב"י)</w:t>
      </w:r>
      <w:r w:rsidRPr="00950A8F">
        <w:rPr>
          <w:rFonts w:asciiTheme="minorBidi" w:hAnsiTheme="minorBidi"/>
          <w:sz w:val="18"/>
          <w:szCs w:val="18"/>
          <w:rtl/>
        </w:rPr>
        <w:t xml:space="preserve">. וי"א דאין אנו בקיאין איזה מיקרי כחוש או שמן ויש לאסור בכל ענין עד דאיכא ס' </w:t>
      </w:r>
      <w:r w:rsidRPr="00950A8F">
        <w:rPr>
          <w:rFonts w:asciiTheme="minorBidi" w:hAnsiTheme="minorBidi"/>
          <w:sz w:val="16"/>
          <w:szCs w:val="16"/>
          <w:rtl/>
        </w:rPr>
        <w:t>(הגש</w:t>
      </w:r>
      <w:r>
        <w:rPr>
          <w:rFonts w:asciiTheme="minorBidi" w:hAnsiTheme="minorBidi" w:hint="cs"/>
          <w:sz w:val="16"/>
          <w:szCs w:val="16"/>
          <w:rtl/>
        </w:rPr>
        <w:t>ע</w:t>
      </w:r>
      <w:r w:rsidRPr="00950A8F">
        <w:rPr>
          <w:rFonts w:asciiTheme="minorBidi" w:hAnsiTheme="minorBidi"/>
          <w:sz w:val="16"/>
          <w:szCs w:val="16"/>
          <w:rtl/>
        </w:rPr>
        <w:t>"ד והג</w:t>
      </w:r>
      <w:r>
        <w:rPr>
          <w:rFonts w:asciiTheme="minorBidi" w:hAnsiTheme="minorBidi" w:hint="cs"/>
          <w:sz w:val="16"/>
          <w:szCs w:val="16"/>
          <w:rtl/>
        </w:rPr>
        <w:t>ה</w:t>
      </w:r>
      <w:r w:rsidRPr="00950A8F">
        <w:rPr>
          <w:rFonts w:asciiTheme="minorBidi" w:hAnsiTheme="minorBidi"/>
          <w:sz w:val="16"/>
          <w:szCs w:val="16"/>
          <w:rtl/>
        </w:rPr>
        <w:t>"מ פט"ו ואו"ה וסמ"ק ואגור בשם מהרי"ל)</w:t>
      </w:r>
      <w:r>
        <w:rPr>
          <w:rFonts w:asciiTheme="minorBidi" w:hAnsiTheme="minorBidi" w:hint="cs"/>
          <w:sz w:val="18"/>
          <w:szCs w:val="18"/>
          <w:rtl/>
        </w:rPr>
        <w:t>,</w:t>
      </w:r>
      <w:r w:rsidRPr="00950A8F">
        <w:rPr>
          <w:rFonts w:asciiTheme="minorBidi" w:hAnsiTheme="minorBidi"/>
          <w:sz w:val="18"/>
          <w:szCs w:val="18"/>
          <w:rtl/>
        </w:rPr>
        <w:t xml:space="preserve"> ואפילו איכא ס' צריך נטילת מקום </w:t>
      </w:r>
      <w:r w:rsidRPr="00950A8F">
        <w:rPr>
          <w:rFonts w:asciiTheme="minorBidi" w:hAnsiTheme="minorBidi"/>
          <w:sz w:val="16"/>
          <w:szCs w:val="16"/>
          <w:rtl/>
        </w:rPr>
        <w:t>(ארוך)</w:t>
      </w:r>
      <w:r w:rsidRPr="00950A8F">
        <w:rPr>
          <w:rFonts w:asciiTheme="minorBidi" w:hAnsiTheme="minorBidi"/>
          <w:sz w:val="18"/>
          <w:szCs w:val="18"/>
          <w:rtl/>
        </w:rPr>
        <w:t>, והכי נהוג. ודווקא באיסור חלב או שאר איסור דשייך בו שמנונית</w:t>
      </w:r>
      <w:r>
        <w:rPr>
          <w:rStyle w:val="a7"/>
          <w:rFonts w:asciiTheme="minorBidi" w:hAnsiTheme="minorBidi"/>
          <w:sz w:val="18"/>
          <w:szCs w:val="18"/>
          <w:rtl/>
        </w:rPr>
        <w:footnoteReference w:id="2202"/>
      </w:r>
      <w:r w:rsidRPr="00950A8F">
        <w:rPr>
          <w:rFonts w:asciiTheme="minorBidi" w:hAnsiTheme="minorBidi"/>
          <w:sz w:val="18"/>
          <w:szCs w:val="18"/>
          <w:rtl/>
        </w:rPr>
        <w:t>, אבל באיסור דלא שייך ביה שמנונית</w:t>
      </w:r>
      <w:r>
        <w:rPr>
          <w:rStyle w:val="a7"/>
          <w:rFonts w:asciiTheme="minorBidi" w:hAnsiTheme="minorBidi"/>
          <w:sz w:val="18"/>
          <w:szCs w:val="18"/>
          <w:rtl/>
        </w:rPr>
        <w:footnoteReference w:id="2203"/>
      </w:r>
      <w:r w:rsidRPr="00950A8F">
        <w:rPr>
          <w:rFonts w:asciiTheme="minorBidi" w:hAnsiTheme="minorBidi"/>
          <w:sz w:val="18"/>
          <w:szCs w:val="18"/>
          <w:rtl/>
        </w:rPr>
        <w:t xml:space="preserve"> והוא בודאי כחוש אינו אוסר רק כדי נטילה</w:t>
      </w:r>
      <w:r>
        <w:rPr>
          <w:rStyle w:val="a7"/>
          <w:rFonts w:asciiTheme="minorBidi" w:hAnsiTheme="minorBidi"/>
          <w:sz w:val="18"/>
          <w:szCs w:val="18"/>
          <w:rtl/>
        </w:rPr>
        <w:footnoteReference w:id="2204"/>
      </w:r>
      <w:r w:rsidRPr="00950A8F">
        <w:rPr>
          <w:rFonts w:asciiTheme="minorBidi" w:hAnsiTheme="minorBidi"/>
          <w:sz w:val="18"/>
          <w:szCs w:val="18"/>
          <w:rtl/>
        </w:rPr>
        <w:t xml:space="preserve"> </w:t>
      </w:r>
      <w:r w:rsidRPr="00950A8F">
        <w:rPr>
          <w:rFonts w:asciiTheme="minorBidi" w:hAnsiTheme="minorBidi"/>
          <w:sz w:val="16"/>
          <w:szCs w:val="16"/>
          <w:rtl/>
        </w:rPr>
        <w:t>(כך משמע בב"י)</w:t>
      </w:r>
      <w:r w:rsidRPr="00950A8F">
        <w:rPr>
          <w:rFonts w:asciiTheme="minorBidi" w:hAnsiTheme="minorBidi"/>
          <w:sz w:val="18"/>
          <w:szCs w:val="18"/>
          <w:rtl/>
        </w:rPr>
        <w:t>.</w:t>
      </w:r>
      <w:r w:rsidRPr="003024E5">
        <w:rPr>
          <w:rFonts w:asciiTheme="minorBidi" w:hAnsiTheme="minorBidi"/>
          <w:rtl/>
        </w:rPr>
        <w:t xml:space="preserve"> </w:t>
      </w:r>
    </w:p>
    <w:p w14:paraId="211ADFC2" w14:textId="77777777" w:rsidR="002C39F4" w:rsidRPr="003024E5" w:rsidRDefault="002C39F4" w:rsidP="002C39F4">
      <w:pPr>
        <w:rPr>
          <w:rFonts w:asciiTheme="minorBidi" w:hAnsiTheme="minorBidi"/>
          <w:rtl/>
        </w:rPr>
      </w:pPr>
    </w:p>
    <w:p w14:paraId="1F06EA73"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איסור שיש לו פעפוע שנפל על צלי ואחד מהם צונן.</w:t>
      </w:r>
    </w:p>
    <w:p w14:paraId="675CF080" w14:textId="77777777" w:rsidR="002C39F4" w:rsidRPr="006D0EEE" w:rsidRDefault="002C39F4" w:rsidP="002C39F4">
      <w:pPr>
        <w:rPr>
          <w:u w:val="single"/>
          <w:rtl/>
        </w:rPr>
      </w:pPr>
      <w:r>
        <w:rPr>
          <w:rFonts w:hint="cs"/>
          <w:u w:val="single"/>
          <w:rtl/>
        </w:rPr>
        <w:t>איסור</w:t>
      </w:r>
      <w:r w:rsidRPr="006D0EEE">
        <w:rPr>
          <w:rFonts w:hint="cs"/>
          <w:u w:val="single"/>
          <w:rtl/>
        </w:rPr>
        <w:t xml:space="preserve"> שיש לו פעפוע </w:t>
      </w:r>
      <w:r>
        <w:rPr>
          <w:rFonts w:hint="cs"/>
          <w:u w:val="single"/>
          <w:rtl/>
        </w:rPr>
        <w:t>שנפל על צלי</w:t>
      </w:r>
      <w:r w:rsidRPr="006D0EEE">
        <w:rPr>
          <w:rFonts w:hint="cs"/>
          <w:u w:val="single"/>
          <w:rtl/>
        </w:rPr>
        <w:t>:</w:t>
      </w:r>
    </w:p>
    <w:p w14:paraId="73835D93" w14:textId="77777777" w:rsidR="002C39F4" w:rsidRDefault="002C39F4" w:rsidP="0032102C">
      <w:pPr>
        <w:pStyle w:val="a8"/>
        <w:numPr>
          <w:ilvl w:val="0"/>
          <w:numId w:val="231"/>
        </w:numPr>
      </w:pPr>
      <w:r w:rsidRPr="006D0EEE">
        <w:rPr>
          <w:rFonts w:cs="Arial"/>
          <w:rtl/>
        </w:rPr>
        <w:t xml:space="preserve">רשב"א </w:t>
      </w:r>
      <w:r w:rsidRPr="006D0EEE">
        <w:rPr>
          <w:rFonts w:cs="Arial"/>
          <w:sz w:val="16"/>
          <w:szCs w:val="16"/>
          <w:rtl/>
        </w:rPr>
        <w:t xml:space="preserve">(תוה"ק </w:t>
      </w:r>
      <w:r>
        <w:rPr>
          <w:rFonts w:cs="Arial" w:hint="cs"/>
          <w:sz w:val="16"/>
          <w:szCs w:val="16"/>
          <w:rtl/>
        </w:rPr>
        <w:t>ב"ד ש"א</w:t>
      </w:r>
      <w:r w:rsidRPr="006D0EEE">
        <w:rPr>
          <w:rFonts w:cs="Arial"/>
          <w:sz w:val="16"/>
          <w:szCs w:val="16"/>
          <w:rtl/>
        </w:rPr>
        <w:t xml:space="preserve"> ה:)</w:t>
      </w:r>
      <w:r w:rsidRPr="006D0EEE">
        <w:rPr>
          <w:rFonts w:cs="Arial" w:hint="cs"/>
          <w:rtl/>
        </w:rPr>
        <w:t>-</w:t>
      </w:r>
      <w:r w:rsidRPr="006D0EEE">
        <w:rPr>
          <w:rFonts w:cs="Arial"/>
          <w:rtl/>
        </w:rPr>
        <w:t xml:space="preserve"> כבר ביארנו שאיסור מפעפע אפילו בצלי</w:t>
      </w:r>
      <w:r>
        <w:rPr>
          <w:rStyle w:val="a7"/>
          <w:rFonts w:cs="Arial"/>
          <w:rtl/>
        </w:rPr>
        <w:footnoteReference w:id="2205"/>
      </w:r>
      <w:r w:rsidRPr="006D0EEE">
        <w:rPr>
          <w:rFonts w:cs="Arial"/>
          <w:rtl/>
        </w:rPr>
        <w:t xml:space="preserve"> אוסר הכל</w:t>
      </w:r>
      <w:r>
        <w:rPr>
          <w:rFonts w:cs="Arial" w:hint="cs"/>
          <w:sz w:val="16"/>
          <w:szCs w:val="16"/>
          <w:rtl/>
        </w:rPr>
        <w:t xml:space="preserve"> {אם אין ששים כנגדו}</w:t>
      </w:r>
      <w:r>
        <w:rPr>
          <w:rFonts w:cs="Arial" w:hint="cs"/>
          <w:rtl/>
        </w:rPr>
        <w:t>,</w:t>
      </w:r>
      <w:r w:rsidRPr="006D0EEE">
        <w:rPr>
          <w:rFonts w:cs="Arial"/>
          <w:rtl/>
        </w:rPr>
        <w:t xml:space="preserve"> היה אחד חם ואחד צונן ונפל האחד על חבירו התחתון גובר לעולם כמו שביארנו למעלה</w:t>
      </w:r>
      <w:r>
        <w:rPr>
          <w:rFonts w:cs="Arial" w:hint="cs"/>
          <w:rtl/>
        </w:rPr>
        <w:t>,</w:t>
      </w:r>
      <w:r w:rsidRPr="006D0EEE">
        <w:rPr>
          <w:rFonts w:cs="Arial"/>
          <w:rtl/>
        </w:rPr>
        <w:t xml:space="preserve"> ולפיכך נפל חם לתוך צונן אינו אוסר אלא כדי קליפה</w:t>
      </w:r>
      <w:r>
        <w:rPr>
          <w:rFonts w:cs="Arial" w:hint="cs"/>
          <w:rtl/>
        </w:rPr>
        <w:t>,</w:t>
      </w:r>
      <w:r w:rsidRPr="006D0EEE">
        <w:rPr>
          <w:rFonts w:cs="Arial"/>
          <w:rtl/>
        </w:rPr>
        <w:t xml:space="preserve"> ואם נפל צונן לתוך חם הכל אסו</w:t>
      </w:r>
      <w:r w:rsidRPr="006D0EEE">
        <w:rPr>
          <w:rFonts w:cs="Arial" w:hint="cs"/>
          <w:rtl/>
        </w:rPr>
        <w:t>ר</w:t>
      </w:r>
      <w:r>
        <w:rPr>
          <w:rStyle w:val="a7"/>
          <w:rFonts w:cs="Arial"/>
          <w:rtl/>
        </w:rPr>
        <w:footnoteReference w:id="2206"/>
      </w:r>
      <w:r w:rsidRPr="006D0EEE">
        <w:rPr>
          <w:rFonts w:cs="Arial" w:hint="cs"/>
          <w:rtl/>
        </w:rPr>
        <w:t>.</w:t>
      </w:r>
      <w:r>
        <w:rPr>
          <w:rFonts w:hint="cs"/>
          <w:color w:val="E36C0A" w:themeColor="accent6" w:themeShade="BF"/>
          <w:rtl/>
        </w:rPr>
        <w:t xml:space="preserve"> </w:t>
      </w:r>
      <w:r w:rsidRPr="008C32FD">
        <w:rPr>
          <w:rFonts w:hint="cs"/>
          <w:color w:val="E36C0A" w:themeColor="accent6" w:themeShade="BF"/>
          <w:rtl/>
        </w:rPr>
        <w:t>(וכ"פ בשו"ע)</w:t>
      </w:r>
    </w:p>
    <w:p w14:paraId="11A9D30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B1097EB" w14:textId="77777777" w:rsidR="002C39F4" w:rsidRDefault="002C39F4" w:rsidP="002C39F4">
      <w:pPr>
        <w:rPr>
          <w:rFonts w:asciiTheme="minorBidi" w:hAnsiTheme="minorBidi"/>
          <w:rtl/>
        </w:rPr>
      </w:pPr>
      <w:r w:rsidRPr="003024E5">
        <w:rPr>
          <w:rFonts w:asciiTheme="minorBidi" w:hAnsiTheme="minorBidi"/>
          <w:rtl/>
        </w:rPr>
        <w:t>דבר שיש לו פעפוע בצלי אם היה אחד חם ואחד צונן התחתון גובר</w:t>
      </w:r>
      <w:r>
        <w:rPr>
          <w:rFonts w:asciiTheme="minorBidi" w:hAnsiTheme="minorBidi" w:hint="cs"/>
          <w:rtl/>
        </w:rPr>
        <w:t>,</w:t>
      </w:r>
      <w:r w:rsidRPr="003024E5">
        <w:rPr>
          <w:rFonts w:asciiTheme="minorBidi" w:hAnsiTheme="minorBidi"/>
          <w:rtl/>
        </w:rPr>
        <w:t xml:space="preserve"> לפיכך אם נפל חם על צונן אינו אוסר אלא כדי קליפה</w:t>
      </w:r>
      <w:r>
        <w:rPr>
          <w:rFonts w:asciiTheme="minorBidi" w:hAnsiTheme="minorBidi" w:hint="cs"/>
          <w:rtl/>
        </w:rPr>
        <w:t>,</w:t>
      </w:r>
      <w:r w:rsidRPr="003024E5">
        <w:rPr>
          <w:rFonts w:asciiTheme="minorBidi" w:hAnsiTheme="minorBidi"/>
          <w:rtl/>
        </w:rPr>
        <w:t xml:space="preserve"> ואם נפל צונן על חם אם אין בהיתר </w:t>
      </w:r>
      <w:r>
        <w:rPr>
          <w:rFonts w:asciiTheme="minorBidi" w:hAnsiTheme="minorBidi" w:hint="cs"/>
          <w:rtl/>
        </w:rPr>
        <w:t>ששים</w:t>
      </w:r>
      <w:r w:rsidRPr="003024E5">
        <w:rPr>
          <w:rFonts w:asciiTheme="minorBidi" w:hAnsiTheme="minorBidi"/>
          <w:rtl/>
        </w:rPr>
        <w:t xml:space="preserve"> כנגד האיסור הכל אסור. </w:t>
      </w:r>
    </w:p>
    <w:p w14:paraId="06A0E1F3" w14:textId="77777777" w:rsidR="002C39F4" w:rsidRPr="003024E5" w:rsidRDefault="002C39F4" w:rsidP="002C39F4">
      <w:pPr>
        <w:rPr>
          <w:rFonts w:asciiTheme="minorBidi" w:hAnsiTheme="minorBidi"/>
          <w:rtl/>
        </w:rPr>
      </w:pPr>
    </w:p>
    <w:p w14:paraId="6508D701"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חתיכה שאינה אסורה מחמת עצמה שנגעה בחתיכת היתר.</w:t>
      </w:r>
    </w:p>
    <w:p w14:paraId="1F2D3641" w14:textId="77777777" w:rsidR="002C39F4" w:rsidRDefault="002C39F4" w:rsidP="002C39F4">
      <w:pPr>
        <w:rPr>
          <w:rFonts w:cs="Arial"/>
          <w:rtl/>
        </w:rPr>
      </w:pPr>
      <w:r w:rsidRPr="00B84186">
        <w:rPr>
          <w:rFonts w:cs="Arial" w:hint="cs"/>
          <w:u w:val="single"/>
          <w:rtl/>
        </w:rPr>
        <w:t>חתיכה שאינה אסורה מחמת עצמה שנגעה בחתיכת היתר:</w:t>
      </w:r>
    </w:p>
    <w:p w14:paraId="24871CE1" w14:textId="77777777" w:rsidR="002C39F4" w:rsidRDefault="002C39F4" w:rsidP="0032102C">
      <w:pPr>
        <w:pStyle w:val="a8"/>
        <w:numPr>
          <w:ilvl w:val="0"/>
          <w:numId w:val="231"/>
        </w:numPr>
        <w:rPr>
          <w:rFonts w:cs="Arial"/>
        </w:rPr>
      </w:pPr>
      <w:r w:rsidRPr="00A0540D">
        <w:rPr>
          <w:rFonts w:cs="Arial"/>
          <w:rtl/>
        </w:rPr>
        <w:t xml:space="preserve">רשב"א </w:t>
      </w:r>
      <w:r w:rsidRPr="00A0540D">
        <w:rPr>
          <w:rFonts w:cs="Arial" w:hint="cs"/>
          <w:sz w:val="16"/>
          <w:szCs w:val="16"/>
          <w:rtl/>
        </w:rPr>
        <w:t>(תוה"ק</w:t>
      </w:r>
      <w:r w:rsidRPr="00A0540D">
        <w:rPr>
          <w:rFonts w:cs="Arial"/>
          <w:sz w:val="16"/>
          <w:szCs w:val="16"/>
          <w:rtl/>
        </w:rPr>
        <w:t xml:space="preserve"> ב"ד ש"א י.)</w:t>
      </w:r>
      <w:r w:rsidRPr="00A0540D">
        <w:rPr>
          <w:rFonts w:cs="Arial" w:hint="cs"/>
          <w:rtl/>
        </w:rPr>
        <w:t>-</w:t>
      </w:r>
      <w:r w:rsidRPr="00A0540D">
        <w:rPr>
          <w:rFonts w:cs="Arial"/>
          <w:rtl/>
        </w:rPr>
        <w:t xml:space="preserve"> חתיכה שנאסרה מחמת שקבלה טעם ממקום אחר אינה אוסרת חברותיה אע</w:t>
      </w:r>
      <w:r w:rsidRPr="00A0540D">
        <w:rPr>
          <w:rFonts w:cs="Arial" w:hint="cs"/>
          <w:rtl/>
        </w:rPr>
        <w:t>"</w:t>
      </w:r>
      <w:r w:rsidRPr="00A0540D">
        <w:rPr>
          <w:rFonts w:cs="Arial"/>
          <w:rtl/>
        </w:rPr>
        <w:t>פ שנוגעות בהם כששתיהן חמות ואפילו נצלו שתיהן כאחד ונוגעות זו בזו בשעה שהן על גב האש</w:t>
      </w:r>
      <w:r w:rsidRPr="00A0540D">
        <w:rPr>
          <w:rFonts w:cs="Arial" w:hint="cs"/>
          <w:rtl/>
        </w:rPr>
        <w:t>,</w:t>
      </w:r>
      <w:r w:rsidRPr="00A0540D">
        <w:rPr>
          <w:rFonts w:cs="Arial"/>
          <w:rtl/>
        </w:rPr>
        <w:t xml:space="preserve"> שהדבר הבלוע אינו יוצא מחתיכה לחתיכה אלא ע"י רוטב</w:t>
      </w:r>
      <w:r w:rsidRPr="00A0540D">
        <w:rPr>
          <w:rFonts w:cs="Arial" w:hint="cs"/>
          <w:rtl/>
        </w:rPr>
        <w:t>,</w:t>
      </w:r>
      <w:r w:rsidRPr="00A0540D">
        <w:rPr>
          <w:rFonts w:cs="Arial"/>
          <w:rtl/>
        </w:rPr>
        <w:t xml:space="preserve"> שאם אי אתה אומר כן אין לך קליפה</w:t>
      </w:r>
      <w:r w:rsidRPr="00A0540D">
        <w:rPr>
          <w:rFonts w:cs="Arial" w:hint="cs"/>
          <w:rtl/>
        </w:rPr>
        <w:t>,</w:t>
      </w:r>
      <w:r w:rsidRPr="00A0540D">
        <w:rPr>
          <w:rFonts w:cs="Arial"/>
          <w:rtl/>
        </w:rPr>
        <w:t xml:space="preserve"> שהקליפה אוסרת קליפה הסמוכה לה וכן לעולם</w:t>
      </w:r>
      <w:r w:rsidRPr="00A0540D">
        <w:rPr>
          <w:rFonts w:cs="Arial" w:hint="cs"/>
          <w:rtl/>
        </w:rPr>
        <w:t>,</w:t>
      </w:r>
      <w:r w:rsidRPr="00A0540D">
        <w:rPr>
          <w:rFonts w:cs="Arial"/>
          <w:rtl/>
        </w:rPr>
        <w:t xml:space="preserve"> ואפילו היתה חתיכת ההיתר שמנה ושומן שבה מפעפע</w:t>
      </w:r>
      <w:r w:rsidRPr="00A0540D">
        <w:rPr>
          <w:rFonts w:cs="Arial" w:hint="cs"/>
          <w:rtl/>
        </w:rPr>
        <w:t>,</w:t>
      </w:r>
      <w:r w:rsidRPr="00A0540D">
        <w:rPr>
          <w:rFonts w:cs="Arial"/>
          <w:rtl/>
        </w:rPr>
        <w:t xml:space="preserve"> לפי שאין השומן של היתר מוליך עמו את האיסור אלא במקום שהאיסור יכול להלוך בטבעו</w:t>
      </w:r>
      <w:r>
        <w:rPr>
          <w:rStyle w:val="a7"/>
          <w:rFonts w:cs="Arial"/>
          <w:rtl/>
        </w:rPr>
        <w:footnoteReference w:id="2207"/>
      </w:r>
      <w:r w:rsidRPr="00A0540D">
        <w:rPr>
          <w:rFonts w:cs="Arial" w:hint="cs"/>
          <w:rtl/>
        </w:rPr>
        <w:t>.</w:t>
      </w:r>
      <w:r w:rsidRPr="00A0540D">
        <w:rPr>
          <w:rFonts w:cs="Arial"/>
          <w:rtl/>
        </w:rPr>
        <w:t xml:space="preserve"> </w:t>
      </w:r>
    </w:p>
    <w:p w14:paraId="6E6B9F3B" w14:textId="77777777" w:rsidR="002C39F4" w:rsidRPr="00A0540D" w:rsidRDefault="002C39F4" w:rsidP="002C39F4">
      <w:pPr>
        <w:ind w:left="360"/>
        <w:rPr>
          <w:rFonts w:cs="Arial"/>
          <w:u w:val="dotted"/>
        </w:rPr>
      </w:pPr>
      <w:r w:rsidRPr="00A0540D">
        <w:rPr>
          <w:rFonts w:cs="Arial" w:hint="cs"/>
          <w:u w:val="dotted"/>
          <w:rtl/>
        </w:rPr>
        <w:t xml:space="preserve">מה הדין בחתיכה שאינה אסורה מחמת עצמה אך נאסרה מבליעת דבר מפעפע: </w:t>
      </w:r>
    </w:p>
    <w:p w14:paraId="31C87CD1" w14:textId="77777777" w:rsidR="002C39F4" w:rsidRDefault="002C39F4" w:rsidP="0032102C">
      <w:pPr>
        <w:pStyle w:val="a8"/>
        <w:numPr>
          <w:ilvl w:val="0"/>
          <w:numId w:val="231"/>
        </w:numPr>
        <w:rPr>
          <w:rFonts w:cs="Arial"/>
        </w:rPr>
      </w:pPr>
      <w:r w:rsidRPr="00A0540D">
        <w:rPr>
          <w:rFonts w:cs="Arial"/>
          <w:rtl/>
        </w:rPr>
        <w:t>רשב"א</w:t>
      </w:r>
      <w:r w:rsidRPr="00A0540D">
        <w:rPr>
          <w:rFonts w:cs="Arial" w:hint="cs"/>
          <w:rtl/>
        </w:rPr>
        <w:t xml:space="preserve"> </w:t>
      </w:r>
      <w:r w:rsidRPr="00A0540D">
        <w:rPr>
          <w:rFonts w:cs="Arial" w:hint="cs"/>
          <w:sz w:val="16"/>
          <w:szCs w:val="16"/>
          <w:rtl/>
        </w:rPr>
        <w:t xml:space="preserve">(בארוך ובקצר </w:t>
      </w:r>
      <w:r w:rsidRPr="00A0540D">
        <w:rPr>
          <w:rFonts w:cs="Arial"/>
          <w:sz w:val="16"/>
          <w:szCs w:val="16"/>
          <w:rtl/>
        </w:rPr>
        <w:t>ב"ד ש"א י.</w:t>
      </w:r>
      <w:r w:rsidRPr="00A0540D">
        <w:rPr>
          <w:rFonts w:cs="Arial" w:hint="cs"/>
          <w:sz w:val="16"/>
          <w:szCs w:val="16"/>
          <w:rtl/>
        </w:rPr>
        <w:t>, הביאו הטור)</w:t>
      </w:r>
      <w:r w:rsidRPr="00A0540D">
        <w:rPr>
          <w:rFonts w:cs="Arial" w:hint="cs"/>
          <w:rtl/>
        </w:rPr>
        <w:t>-</w:t>
      </w:r>
      <w:r w:rsidRPr="00A0540D">
        <w:rPr>
          <w:rFonts w:cs="Arial"/>
          <w:rtl/>
        </w:rPr>
        <w:t xml:space="preserve"> בד"א כשבלע איסור שאינה מפעפע אבל בלע מן הדברים המפעפעים בטבען כגון שומן אוסרת חבירתה בין בצלי בין נוגעות זו בזו חום בחום</w:t>
      </w:r>
      <w:r>
        <w:rPr>
          <w:rStyle w:val="a7"/>
          <w:rFonts w:cs="Arial"/>
          <w:rtl/>
        </w:rPr>
        <w:footnoteReference w:id="2208"/>
      </w:r>
      <w:r>
        <w:rPr>
          <w:rFonts w:cs="Arial" w:hint="cs"/>
          <w:rtl/>
        </w:rPr>
        <w:t>,</w:t>
      </w:r>
      <w:r w:rsidRPr="00A0540D">
        <w:rPr>
          <w:rFonts w:cs="Arial"/>
          <w:rtl/>
        </w:rPr>
        <w:t xml:space="preserve"> שהאיסור הבלוע בעצמה מפעפע ויוצא מחתיכה לחתיכה</w:t>
      </w:r>
      <w:r>
        <w:rPr>
          <w:rStyle w:val="a7"/>
          <w:rFonts w:cs="Arial"/>
          <w:rtl/>
        </w:rPr>
        <w:footnoteReference w:id="2209"/>
      </w:r>
      <w:r>
        <w:rPr>
          <w:rFonts w:cs="Arial" w:hint="cs"/>
          <w:sz w:val="16"/>
          <w:szCs w:val="16"/>
          <w:rtl/>
        </w:rPr>
        <w:t xml:space="preserve"> (ל' הטור)</w:t>
      </w:r>
      <w:r w:rsidRPr="00A0540D">
        <w:rPr>
          <w:rFonts w:cs="Arial" w:hint="cs"/>
          <w:rtl/>
        </w:rPr>
        <w:t>.</w:t>
      </w:r>
    </w:p>
    <w:p w14:paraId="7369246E" w14:textId="77777777" w:rsidR="002C39F4" w:rsidRPr="00E62918" w:rsidRDefault="002C39F4" w:rsidP="002C39F4">
      <w:pPr>
        <w:rPr>
          <w:rFonts w:cs="Arial"/>
          <w:sz w:val="16"/>
          <w:szCs w:val="16"/>
        </w:rPr>
      </w:pPr>
      <w:r w:rsidRPr="00C22C77">
        <w:rPr>
          <w:rFonts w:cs="Arial" w:hint="cs"/>
          <w:u w:val="single"/>
          <w:rtl/>
        </w:rPr>
        <w:t>האם אמרינן בכלי '</w:t>
      </w:r>
      <w:r w:rsidRPr="00C22C77">
        <w:rPr>
          <w:rFonts w:cs="Arial"/>
          <w:u w:val="single"/>
          <w:rtl/>
        </w:rPr>
        <w:t>אין הנאסר יכול לאסור אלא במקום שהאיסור יכול לילך לשם</w:t>
      </w:r>
      <w:r w:rsidRPr="00C22C77">
        <w:rPr>
          <w:rFonts w:cs="Arial" w:hint="cs"/>
          <w:u w:val="single"/>
          <w:rtl/>
        </w:rPr>
        <w:t>':</w:t>
      </w:r>
      <w:r>
        <w:rPr>
          <w:rFonts w:cs="Arial" w:hint="cs"/>
          <w:sz w:val="16"/>
          <w:szCs w:val="16"/>
          <w:rtl/>
        </w:rPr>
        <w:t xml:space="preserve">   (דרכ"מ אות כ)</w:t>
      </w:r>
    </w:p>
    <w:p w14:paraId="23A78D3E" w14:textId="77777777" w:rsidR="002C39F4" w:rsidRPr="00C22C77" w:rsidRDefault="002C39F4" w:rsidP="0032102C">
      <w:pPr>
        <w:pStyle w:val="a8"/>
        <w:numPr>
          <w:ilvl w:val="0"/>
          <w:numId w:val="231"/>
        </w:numPr>
        <w:rPr>
          <w:rFonts w:cs="Arial"/>
          <w:rtl/>
        </w:rPr>
      </w:pPr>
      <w:r w:rsidRPr="00C22C77">
        <w:rPr>
          <w:rFonts w:cs="Arial"/>
          <w:rtl/>
        </w:rPr>
        <w:t>ר"י מאיברא</w:t>
      </w:r>
      <w:r w:rsidRPr="00C22C77">
        <w:rPr>
          <w:rFonts w:cs="Arial"/>
          <w:sz w:val="16"/>
          <w:szCs w:val="16"/>
          <w:rtl/>
        </w:rPr>
        <w:t xml:space="preserve"> </w:t>
      </w:r>
      <w:r w:rsidRPr="00C22C77">
        <w:rPr>
          <w:rFonts w:cs="Arial" w:hint="cs"/>
          <w:sz w:val="16"/>
          <w:szCs w:val="16"/>
          <w:rtl/>
        </w:rPr>
        <w:t>(</w:t>
      </w:r>
      <w:r w:rsidRPr="00C22C77">
        <w:rPr>
          <w:rFonts w:cs="Arial"/>
          <w:sz w:val="16"/>
          <w:szCs w:val="16"/>
          <w:rtl/>
        </w:rPr>
        <w:t>בהגשע</w:t>
      </w:r>
      <w:r w:rsidRPr="00C22C77">
        <w:rPr>
          <w:rFonts w:cs="Arial" w:hint="cs"/>
          <w:sz w:val="16"/>
          <w:szCs w:val="16"/>
          <w:rtl/>
        </w:rPr>
        <w:t>"</w:t>
      </w:r>
      <w:r w:rsidRPr="00C22C77">
        <w:rPr>
          <w:rFonts w:cs="Arial"/>
          <w:sz w:val="16"/>
          <w:szCs w:val="16"/>
          <w:rtl/>
        </w:rPr>
        <w:t>ד סי' נז אות ג)</w:t>
      </w:r>
      <w:r>
        <w:rPr>
          <w:rFonts w:cs="Arial" w:hint="cs"/>
          <w:rtl/>
        </w:rPr>
        <w:t xml:space="preserve"> ואו</w:t>
      </w:r>
      <w:r>
        <w:rPr>
          <w:rFonts w:cs="Arial"/>
          <w:rtl/>
        </w:rPr>
        <w:t>"</w:t>
      </w:r>
      <w:r>
        <w:rPr>
          <w:rFonts w:cs="Arial" w:hint="cs"/>
          <w:rtl/>
        </w:rPr>
        <w:t>ה</w:t>
      </w:r>
      <w:r>
        <w:rPr>
          <w:rStyle w:val="a7"/>
          <w:rFonts w:cs="Arial"/>
          <w:rtl/>
        </w:rPr>
        <w:footnoteReference w:id="2210"/>
      </w:r>
      <w:r w:rsidRPr="00C22C77">
        <w:rPr>
          <w:rFonts w:cs="Arial" w:hint="cs"/>
          <w:sz w:val="16"/>
          <w:szCs w:val="16"/>
          <w:rtl/>
        </w:rPr>
        <w:t xml:space="preserve"> (כלל לו דין ה)</w:t>
      </w:r>
      <w:r>
        <w:rPr>
          <w:rFonts w:cs="Arial" w:hint="cs"/>
          <w:rtl/>
        </w:rPr>
        <w:t xml:space="preserve">- </w:t>
      </w:r>
      <w:r w:rsidRPr="00C22C77">
        <w:rPr>
          <w:rFonts w:cs="Arial"/>
          <w:rtl/>
        </w:rPr>
        <w:t>לא אמרינן סברא זו דאין הנאסר יכול לאסור אלא במקום שהאיסור יכול לילך לשם אלא במאכל שיש לו טעם מעצמו</w:t>
      </w:r>
      <w:r w:rsidRPr="00C22C77">
        <w:rPr>
          <w:rFonts w:cs="Arial" w:hint="cs"/>
          <w:rtl/>
        </w:rPr>
        <w:t>,</w:t>
      </w:r>
      <w:r w:rsidRPr="00C22C77">
        <w:rPr>
          <w:rFonts w:cs="Arial"/>
          <w:rtl/>
        </w:rPr>
        <w:t xml:space="preserve"> אמנם כלי שאין לו פליטה מעצמו פולט שפיר מה שבלע אף בלא רוטב</w:t>
      </w:r>
      <w:r w:rsidRPr="00C22C77">
        <w:rPr>
          <w:rFonts w:cs="Arial" w:hint="cs"/>
          <w:rtl/>
        </w:rPr>
        <w:t>,</w:t>
      </w:r>
      <w:r w:rsidRPr="00C22C77">
        <w:rPr>
          <w:rFonts w:cs="Arial"/>
          <w:rtl/>
        </w:rPr>
        <w:t xml:space="preserve"> וראיה מדגים שעלו בקערה דמותר מטעם דהוי נ"ט בר נ"ט ולא התיר מטעם דאין הנבלע בקערה הולך בדגים בלא רוטב</w:t>
      </w:r>
      <w:r>
        <w:rPr>
          <w:rStyle w:val="a7"/>
          <w:rFonts w:cs="Arial"/>
          <w:rtl/>
        </w:rPr>
        <w:footnoteReference w:id="2211"/>
      </w:r>
      <w:r w:rsidRPr="00C22C77">
        <w:rPr>
          <w:rFonts w:cs="Arial" w:hint="cs"/>
          <w:rtl/>
        </w:rPr>
        <w:t xml:space="preserve">. </w:t>
      </w:r>
      <w:r w:rsidRPr="00E62918">
        <w:rPr>
          <w:rFonts w:cs="Arial" w:hint="cs"/>
          <w:color w:val="00B0F0"/>
          <w:rtl/>
        </w:rPr>
        <w:t>(וכ"פ הרמ"א)</w:t>
      </w:r>
    </w:p>
    <w:p w14:paraId="6DE251F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E6F9E1E" w14:textId="77777777" w:rsidR="002C39F4" w:rsidRDefault="002C39F4" w:rsidP="002C39F4">
      <w:pPr>
        <w:rPr>
          <w:rFonts w:asciiTheme="minorBidi" w:hAnsiTheme="minorBidi"/>
          <w:rtl/>
        </w:rPr>
      </w:pPr>
      <w:r w:rsidRPr="003024E5">
        <w:rPr>
          <w:rFonts w:asciiTheme="minorBidi" w:hAnsiTheme="minorBidi"/>
          <w:rtl/>
        </w:rPr>
        <w:t>הא דחתיכת איסור אוסרת חברתה בנגיעתה דוקא כשאיסורה מחמת עצמה כגון נבילה או בשר בחלב</w:t>
      </w:r>
      <w:r>
        <w:rPr>
          <w:rStyle w:val="a7"/>
          <w:rFonts w:asciiTheme="minorBidi" w:hAnsiTheme="minorBidi"/>
          <w:rtl/>
        </w:rPr>
        <w:footnoteReference w:id="2212"/>
      </w:r>
      <w:r w:rsidRPr="003024E5">
        <w:rPr>
          <w:rFonts w:asciiTheme="minorBidi" w:hAnsiTheme="minorBidi"/>
          <w:rtl/>
        </w:rPr>
        <w:t>, אבל אם אין בה איסור אלא מה שבלע ממקום אחר אינו אוסרת אחרת הנוגעת בה אפילו אם נצלו יחד</w:t>
      </w:r>
      <w:r>
        <w:rPr>
          <w:rStyle w:val="a7"/>
          <w:rFonts w:asciiTheme="minorBidi" w:hAnsiTheme="minorBidi"/>
          <w:rtl/>
        </w:rPr>
        <w:footnoteReference w:id="2213"/>
      </w:r>
      <w:r>
        <w:rPr>
          <w:rFonts w:asciiTheme="minorBidi" w:hAnsiTheme="minorBidi" w:hint="cs"/>
          <w:rtl/>
        </w:rPr>
        <w:t>,</w:t>
      </w:r>
      <w:r w:rsidRPr="003024E5">
        <w:rPr>
          <w:rFonts w:asciiTheme="minorBidi" w:hAnsiTheme="minorBidi"/>
          <w:rtl/>
        </w:rPr>
        <w:t xml:space="preserve"> במה דברים אמורים כשבלעה איסור שאינו מפעפע</w:t>
      </w:r>
      <w:r>
        <w:rPr>
          <w:rStyle w:val="a7"/>
          <w:rFonts w:asciiTheme="minorBidi" w:hAnsiTheme="minorBidi"/>
          <w:rtl/>
        </w:rPr>
        <w:footnoteReference w:id="2214"/>
      </w:r>
      <w:r w:rsidRPr="003024E5">
        <w:rPr>
          <w:rFonts w:asciiTheme="minorBidi" w:hAnsiTheme="minorBidi"/>
          <w:rtl/>
        </w:rPr>
        <w:t>, אבל בלעה מן הדברים המפעפעים בטבען כגון שומן אוסרת חברתה</w:t>
      </w:r>
      <w:r>
        <w:rPr>
          <w:rStyle w:val="a7"/>
          <w:rFonts w:asciiTheme="minorBidi" w:hAnsiTheme="minorBidi"/>
          <w:rtl/>
        </w:rPr>
        <w:footnoteReference w:id="2215"/>
      </w:r>
      <w:r w:rsidRPr="003024E5">
        <w:rPr>
          <w:rFonts w:asciiTheme="minorBidi" w:hAnsiTheme="minorBidi"/>
          <w:rtl/>
        </w:rPr>
        <w:t xml:space="preserve"> בין בצלי בין בנוגעת זו בזו חם בחם או בתחתונה חמה ועליונה צוננת</w:t>
      </w:r>
      <w:r>
        <w:rPr>
          <w:rStyle w:val="a7"/>
          <w:rFonts w:asciiTheme="minorBidi" w:hAnsiTheme="minorBidi"/>
          <w:rtl/>
        </w:rPr>
        <w:footnoteReference w:id="2216"/>
      </w:r>
      <w:r w:rsidRPr="003024E5">
        <w:rPr>
          <w:rFonts w:asciiTheme="minorBidi" w:hAnsiTheme="minorBidi"/>
          <w:rtl/>
        </w:rPr>
        <w:t xml:space="preserve">, שהאיסור הבלוע בעצמה מפעפע ויוצא מחתיכה לחתיכה. </w:t>
      </w:r>
      <w:r w:rsidRPr="00E62918">
        <w:rPr>
          <w:rFonts w:asciiTheme="minorBidi" w:hAnsiTheme="minorBidi"/>
          <w:sz w:val="18"/>
          <w:szCs w:val="18"/>
          <w:rtl/>
        </w:rPr>
        <w:t>הגה: וכל זה בב' חתיכות, אבל כלי שבלע איסור אוסר היתר שנוגע בו</w:t>
      </w:r>
      <w:r>
        <w:rPr>
          <w:rStyle w:val="a7"/>
          <w:rFonts w:asciiTheme="minorBidi" w:hAnsiTheme="minorBidi"/>
          <w:sz w:val="18"/>
          <w:szCs w:val="18"/>
          <w:rtl/>
        </w:rPr>
        <w:footnoteReference w:id="2217"/>
      </w:r>
      <w:r w:rsidRPr="00E62918">
        <w:rPr>
          <w:rFonts w:asciiTheme="minorBidi" w:hAnsiTheme="minorBidi"/>
          <w:sz w:val="18"/>
          <w:szCs w:val="18"/>
          <w:rtl/>
        </w:rPr>
        <w:t xml:space="preserve"> אפילו באיסור שאינו שמן</w:t>
      </w:r>
      <w:r>
        <w:rPr>
          <w:rStyle w:val="a7"/>
          <w:rFonts w:asciiTheme="minorBidi" w:hAnsiTheme="minorBidi"/>
          <w:sz w:val="18"/>
          <w:szCs w:val="18"/>
          <w:rtl/>
        </w:rPr>
        <w:footnoteReference w:id="2218"/>
      </w:r>
      <w:r w:rsidRPr="00E62918">
        <w:rPr>
          <w:rFonts w:asciiTheme="minorBidi" w:hAnsiTheme="minorBidi"/>
          <w:sz w:val="18"/>
          <w:szCs w:val="18"/>
          <w:rtl/>
        </w:rPr>
        <w:t xml:space="preserve">. </w:t>
      </w:r>
    </w:p>
    <w:p w14:paraId="3B11A4AA" w14:textId="77777777" w:rsidR="002C39F4" w:rsidRPr="003024E5" w:rsidRDefault="002C39F4" w:rsidP="002C39F4">
      <w:pPr>
        <w:rPr>
          <w:rFonts w:asciiTheme="minorBidi" w:hAnsiTheme="minorBidi"/>
          <w:rtl/>
        </w:rPr>
      </w:pPr>
    </w:p>
    <w:p w14:paraId="2EE6D757" w14:textId="77777777" w:rsidR="002C39F4" w:rsidRDefault="002C39F4" w:rsidP="002C39F4">
      <w:pPr>
        <w:pStyle w:val="2"/>
        <w:rPr>
          <w:rFonts w:asciiTheme="minorBidi" w:hAnsiTheme="minorBidi"/>
          <w:rtl/>
        </w:rPr>
      </w:pPr>
      <w:r w:rsidRPr="003024E5">
        <w:rPr>
          <w:rFonts w:asciiTheme="minorBidi" w:hAnsiTheme="minorBidi"/>
          <w:rtl/>
        </w:rPr>
        <w:t>סעיף ח</w:t>
      </w:r>
      <w:r>
        <w:rPr>
          <w:rFonts w:asciiTheme="minorBidi" w:hAnsiTheme="minorBidi" w:hint="cs"/>
          <w:rtl/>
        </w:rPr>
        <w:t>: כליה שצלאה בחלבה.</w:t>
      </w:r>
    </w:p>
    <w:p w14:paraId="68DFE651" w14:textId="77777777" w:rsidR="002C39F4" w:rsidRDefault="002C39F4" w:rsidP="002C39F4">
      <w:pPr>
        <w:rPr>
          <w:rFonts w:cs="Arial"/>
          <w:rtl/>
        </w:rPr>
      </w:pPr>
      <w:r w:rsidRPr="00B92E7B">
        <w:rPr>
          <w:rFonts w:cs="Arial" w:hint="cs"/>
          <w:b/>
          <w:bCs/>
          <w:rtl/>
        </w:rPr>
        <w:t xml:space="preserve">חולין </w:t>
      </w:r>
      <w:r w:rsidRPr="00B92E7B">
        <w:rPr>
          <w:rFonts w:cs="Arial"/>
          <w:b/>
          <w:bCs/>
          <w:rtl/>
        </w:rPr>
        <w:t>צו</w:t>
      </w:r>
      <w:r w:rsidRPr="00B92E7B">
        <w:rPr>
          <w:rFonts w:cs="Arial" w:hint="cs"/>
          <w:b/>
          <w:bCs/>
          <w:rtl/>
        </w:rPr>
        <w:t xml:space="preserve"> ע"ב:</w:t>
      </w:r>
      <w:r>
        <w:rPr>
          <w:rFonts w:cs="Arial"/>
          <w:rtl/>
        </w:rPr>
        <w:t xml:space="preserve"> </w:t>
      </w:r>
      <w:r w:rsidRPr="00B92E7B">
        <w:rPr>
          <w:rFonts w:cs="Arial"/>
          <w:u w:val="single"/>
          <w:rtl/>
        </w:rPr>
        <w:t>אמר שמואל</w:t>
      </w:r>
      <w:r w:rsidRPr="00B92E7B">
        <w:rPr>
          <w:rFonts w:cs="Arial"/>
          <w:rtl/>
        </w:rPr>
        <w:t>: לא שנו אלא שנתבשל בה, אבל נצלה בה - קולף ואוכל עד שמגיע לגיד.</w:t>
      </w:r>
      <w:r>
        <w:rPr>
          <w:rFonts w:cs="Arial" w:hint="cs"/>
          <w:rtl/>
        </w:rPr>
        <w:t xml:space="preserve"> </w:t>
      </w:r>
      <w:r w:rsidRPr="00304D78">
        <w:rPr>
          <w:rFonts w:cs="Arial"/>
          <w:rtl/>
        </w:rPr>
        <w:t xml:space="preserve">איני, </w:t>
      </w:r>
      <w:r w:rsidRPr="00304D78">
        <w:rPr>
          <w:rFonts w:cs="Arial"/>
          <w:u w:val="single"/>
          <w:rtl/>
        </w:rPr>
        <w:t>והאמר רב הונא</w:t>
      </w:r>
      <w:r w:rsidRPr="00304D78">
        <w:rPr>
          <w:rFonts w:cs="Arial"/>
          <w:rtl/>
        </w:rPr>
        <w:t>: גדי שצלאו בחלבו - אסור לאכול אפילו מראש אזנו!</w:t>
      </w:r>
      <w:r w:rsidRPr="00304D78">
        <w:rPr>
          <w:rtl/>
        </w:rPr>
        <w:t xml:space="preserve"> </w:t>
      </w:r>
      <w:r w:rsidRPr="00057046">
        <w:rPr>
          <w:rFonts w:cs="Arial" w:hint="cs"/>
          <w:sz w:val="14"/>
          <w:szCs w:val="14"/>
          <w:rtl/>
        </w:rPr>
        <w:t>(צז.)</w:t>
      </w:r>
      <w:r>
        <w:rPr>
          <w:rFonts w:cs="Arial" w:hint="cs"/>
          <w:rtl/>
        </w:rPr>
        <w:t xml:space="preserve"> </w:t>
      </w:r>
      <w:r w:rsidRPr="00304D78">
        <w:rPr>
          <w:rFonts w:cs="Arial"/>
          <w:rtl/>
        </w:rPr>
        <w:t xml:space="preserve">שאני חלב - דמפעפע; ובחלב אסור? </w:t>
      </w:r>
      <w:r w:rsidRPr="00304D78">
        <w:rPr>
          <w:rFonts w:cs="Arial"/>
          <w:u w:val="single"/>
          <w:rtl/>
        </w:rPr>
        <w:t>והאמר רבה בר בר חנה</w:t>
      </w:r>
      <w:r w:rsidRPr="00304D78">
        <w:rPr>
          <w:rFonts w:cs="Arial"/>
          <w:rtl/>
        </w:rPr>
        <w:t xml:space="preserve">: עובדא הוה קמיה דר' יוחנן בכנישתא דמעון, בגדי שצלאו בחלבו, ואתו ושיילוה לרבי יוחנן, ואמר קולף ואוכל עד שמגיע לחלבו! ההוא - כחוש הוה, </w:t>
      </w:r>
      <w:r w:rsidRPr="00E36F51">
        <w:rPr>
          <w:rFonts w:cs="Arial"/>
          <w:u w:val="single"/>
          <w:rtl/>
        </w:rPr>
        <w:t>רב הונא בר יהודה אמר</w:t>
      </w:r>
      <w:r w:rsidRPr="00304D78">
        <w:rPr>
          <w:rFonts w:cs="Arial"/>
          <w:rtl/>
        </w:rPr>
        <w:t xml:space="preserve">: כוליא בחלבה הוה </w:t>
      </w:r>
      <w:r>
        <w:rPr>
          <w:rFonts w:cs="Arial" w:hint="cs"/>
          <w:rtl/>
        </w:rPr>
        <w:t>-</w:t>
      </w:r>
      <w:r w:rsidRPr="00304D78">
        <w:rPr>
          <w:rFonts w:cs="Arial"/>
          <w:rtl/>
        </w:rPr>
        <w:t xml:space="preserve"> ושריא</w:t>
      </w:r>
      <w:r>
        <w:rPr>
          <w:rStyle w:val="a7"/>
          <w:rFonts w:cs="Arial"/>
          <w:rtl/>
        </w:rPr>
        <w:footnoteReference w:id="2219"/>
      </w:r>
      <w:r>
        <w:rPr>
          <w:rFonts w:cs="Arial" w:hint="cs"/>
          <w:rtl/>
        </w:rPr>
        <w:t>.</w:t>
      </w:r>
      <w:r w:rsidRPr="002E47B9">
        <w:rPr>
          <w:rtl/>
        </w:rPr>
        <w:t xml:space="preserve"> </w:t>
      </w:r>
      <w:r w:rsidRPr="002E47B9">
        <w:rPr>
          <w:rFonts w:cs="Arial"/>
          <w:u w:val="single"/>
          <w:rtl/>
        </w:rPr>
        <w:t>רבין בר רב אדא אמר</w:t>
      </w:r>
      <w:r w:rsidRPr="002E47B9">
        <w:rPr>
          <w:rFonts w:cs="Arial"/>
          <w:rtl/>
        </w:rPr>
        <w:t>: כילכית</w:t>
      </w:r>
      <w:r>
        <w:rPr>
          <w:rStyle w:val="a7"/>
          <w:rFonts w:cs="Arial"/>
          <w:rtl/>
        </w:rPr>
        <w:footnoteReference w:id="2220"/>
      </w:r>
      <w:r w:rsidRPr="002E47B9">
        <w:rPr>
          <w:rFonts w:cs="Arial"/>
          <w:rtl/>
        </w:rPr>
        <w:t xml:space="preserve"> באילפס</w:t>
      </w:r>
      <w:r>
        <w:rPr>
          <w:rStyle w:val="a7"/>
          <w:rFonts w:cs="Arial"/>
          <w:rtl/>
        </w:rPr>
        <w:footnoteReference w:id="2221"/>
      </w:r>
      <w:r w:rsidRPr="002E47B9">
        <w:rPr>
          <w:rFonts w:cs="Arial"/>
          <w:rtl/>
        </w:rPr>
        <w:t xml:space="preserve"> הוה, ואתו שיילוה לרבי יוחנן, ואמר להו: ליטעמיה קפילא ארמאה.</w:t>
      </w:r>
    </w:p>
    <w:p w14:paraId="709396BA" w14:textId="77777777" w:rsidR="002C39F4" w:rsidRPr="00662B6D" w:rsidRDefault="002C39F4" w:rsidP="002C39F4">
      <w:pPr>
        <w:rPr>
          <w:sz w:val="16"/>
          <w:szCs w:val="16"/>
          <w:rtl/>
        </w:rPr>
      </w:pPr>
      <w:r w:rsidRPr="007834DE">
        <w:rPr>
          <w:rFonts w:cs="Arial"/>
          <w:u w:val="single"/>
          <w:rtl/>
        </w:rPr>
        <w:t>כלי</w:t>
      </w:r>
      <w:r>
        <w:rPr>
          <w:rFonts w:cs="Arial" w:hint="cs"/>
          <w:u w:val="single"/>
          <w:rtl/>
        </w:rPr>
        <w:t>ה</w:t>
      </w:r>
      <w:r w:rsidRPr="007834DE">
        <w:rPr>
          <w:rFonts w:cs="Arial"/>
          <w:u w:val="single"/>
          <w:rtl/>
        </w:rPr>
        <w:t xml:space="preserve"> שצלא</w:t>
      </w:r>
      <w:r>
        <w:rPr>
          <w:rFonts w:cs="Arial" w:hint="cs"/>
          <w:u w:val="single"/>
          <w:rtl/>
        </w:rPr>
        <w:t>ה</w:t>
      </w:r>
      <w:r w:rsidRPr="007834DE">
        <w:rPr>
          <w:rFonts w:cs="Arial"/>
          <w:u w:val="single"/>
          <w:rtl/>
        </w:rPr>
        <w:t xml:space="preserve"> בחלב</w:t>
      </w:r>
      <w:r>
        <w:rPr>
          <w:rFonts w:cs="Arial" w:hint="cs"/>
          <w:u w:val="single"/>
          <w:rtl/>
        </w:rPr>
        <w:t>ה</w:t>
      </w:r>
      <w:r w:rsidRPr="007834DE">
        <w:rPr>
          <w:rFonts w:cs="Arial" w:hint="cs"/>
          <w:u w:val="single"/>
          <w:rtl/>
        </w:rPr>
        <w:t>:</w:t>
      </w:r>
      <w:r>
        <w:rPr>
          <w:rFonts w:hint="cs"/>
          <w:sz w:val="16"/>
          <w:szCs w:val="16"/>
          <w:rtl/>
        </w:rPr>
        <w:t xml:space="preserve">  (ב"י ודרכ"מ [אות ט])</w:t>
      </w:r>
    </w:p>
    <w:p w14:paraId="690A4D96" w14:textId="77777777" w:rsidR="002C39F4" w:rsidRDefault="002C39F4" w:rsidP="0032102C">
      <w:pPr>
        <w:pStyle w:val="a8"/>
        <w:numPr>
          <w:ilvl w:val="0"/>
          <w:numId w:val="231"/>
        </w:numPr>
        <w:rPr>
          <w:rFonts w:cs="Arial"/>
        </w:rPr>
      </w:pPr>
      <w:r w:rsidRPr="007834DE">
        <w:rPr>
          <w:rFonts w:cs="Arial"/>
          <w:rtl/>
        </w:rPr>
        <w:t xml:space="preserve">רא"ש </w:t>
      </w:r>
      <w:r w:rsidRPr="007834DE">
        <w:rPr>
          <w:rFonts w:cs="Arial"/>
          <w:sz w:val="16"/>
          <w:szCs w:val="16"/>
          <w:rtl/>
        </w:rPr>
        <w:t>(פ"ז סוף סי' כד)</w:t>
      </w:r>
      <w:r w:rsidRPr="007834DE">
        <w:rPr>
          <w:rFonts w:cs="Arial" w:hint="cs"/>
          <w:sz w:val="16"/>
          <w:szCs w:val="16"/>
          <w:rtl/>
        </w:rPr>
        <w:t xml:space="preserve"> </w:t>
      </w:r>
      <w:r w:rsidRPr="007834DE">
        <w:rPr>
          <w:rFonts w:cs="Arial" w:hint="cs"/>
          <w:rtl/>
        </w:rPr>
        <w:t>וטור-</w:t>
      </w:r>
      <w:r w:rsidRPr="007834DE">
        <w:rPr>
          <w:rFonts w:cs="Arial"/>
          <w:rtl/>
        </w:rPr>
        <w:t xml:space="preserve"> ו</w:t>
      </w:r>
      <w:r>
        <w:rPr>
          <w:rFonts w:cs="Arial" w:hint="cs"/>
          <w:rtl/>
        </w:rPr>
        <w:t>נ</w:t>
      </w:r>
      <w:r w:rsidRPr="007834DE">
        <w:rPr>
          <w:rFonts w:cs="Arial"/>
          <w:rtl/>
        </w:rPr>
        <w:t xml:space="preserve">ראה שגם כדי קליפה אוסר בכוליא שהחלב מובלע בקרום כדאמרינן לעיל </w:t>
      </w:r>
      <w:r w:rsidRPr="007834DE">
        <w:rPr>
          <w:rFonts w:cs="Arial"/>
          <w:sz w:val="16"/>
          <w:szCs w:val="16"/>
          <w:rtl/>
        </w:rPr>
        <w:t xml:space="preserve">(צג.) </w:t>
      </w:r>
      <w:r w:rsidRPr="007834DE">
        <w:rPr>
          <w:rFonts w:cs="Arial"/>
          <w:rtl/>
        </w:rPr>
        <w:t>תלתא קרומי הוו</w:t>
      </w:r>
      <w:r w:rsidRPr="007834DE">
        <w:rPr>
          <w:rFonts w:cs="Arial" w:hint="cs"/>
          <w:rtl/>
        </w:rPr>
        <w:t>,</w:t>
      </w:r>
      <w:r w:rsidRPr="007834DE">
        <w:rPr>
          <w:rFonts w:cs="Arial"/>
          <w:rtl/>
        </w:rPr>
        <w:t xml:space="preserve"> ומיהו בקליפה סגי דבר מועט הוא ואינו מתפשט כ"כ</w:t>
      </w:r>
      <w:r>
        <w:rPr>
          <w:rStyle w:val="a7"/>
          <w:rFonts w:cs="Arial"/>
          <w:rtl/>
        </w:rPr>
        <w:footnoteReference w:id="2222"/>
      </w:r>
      <w:r w:rsidRPr="007834DE">
        <w:rPr>
          <w:rFonts w:cs="Arial" w:hint="cs"/>
          <w:rtl/>
        </w:rPr>
        <w:t>.</w:t>
      </w:r>
      <w:r>
        <w:rPr>
          <w:rFonts w:cs="Arial" w:hint="cs"/>
          <w:rtl/>
        </w:rPr>
        <w:t xml:space="preserve"> </w:t>
      </w:r>
      <w:r w:rsidRPr="00042B57">
        <w:rPr>
          <w:rFonts w:cs="Arial" w:hint="cs"/>
          <w:color w:val="E36C0A" w:themeColor="accent6" w:themeShade="BF"/>
          <w:rtl/>
        </w:rPr>
        <w:t>(וכ"פ בשו"ע)</w:t>
      </w:r>
    </w:p>
    <w:p w14:paraId="4B4F629C" w14:textId="77777777" w:rsidR="002C39F4" w:rsidRPr="007834DE" w:rsidRDefault="002C39F4" w:rsidP="0032102C">
      <w:pPr>
        <w:pStyle w:val="a8"/>
        <w:numPr>
          <w:ilvl w:val="0"/>
          <w:numId w:val="231"/>
        </w:numPr>
        <w:rPr>
          <w:rFonts w:cs="Arial"/>
          <w:rtl/>
        </w:rPr>
      </w:pPr>
      <w:r w:rsidRPr="00620623">
        <w:rPr>
          <w:rFonts w:cs="Arial"/>
          <w:rtl/>
        </w:rPr>
        <w:t xml:space="preserve">רשב"א </w:t>
      </w:r>
      <w:r w:rsidRPr="00FA5829">
        <w:rPr>
          <w:rFonts w:cs="Arial" w:hint="cs"/>
          <w:sz w:val="16"/>
          <w:szCs w:val="16"/>
          <w:rtl/>
        </w:rPr>
        <w:t>(</w:t>
      </w:r>
      <w:r w:rsidRPr="00FA5829">
        <w:rPr>
          <w:rFonts w:cs="Arial"/>
          <w:sz w:val="16"/>
          <w:szCs w:val="16"/>
          <w:rtl/>
        </w:rPr>
        <w:t>תוה</w:t>
      </w:r>
      <w:r w:rsidRPr="00FA5829">
        <w:rPr>
          <w:rFonts w:cs="Arial" w:hint="cs"/>
          <w:sz w:val="16"/>
          <w:szCs w:val="16"/>
          <w:rtl/>
        </w:rPr>
        <w:t>"א</w:t>
      </w:r>
      <w:r w:rsidRPr="00FA5829">
        <w:rPr>
          <w:rFonts w:cs="Arial"/>
          <w:sz w:val="16"/>
          <w:szCs w:val="16"/>
          <w:rtl/>
        </w:rPr>
        <w:t xml:space="preserve"> ב"ד ש"א ד:)</w:t>
      </w:r>
      <w:r>
        <w:rPr>
          <w:rFonts w:cs="Arial" w:hint="cs"/>
          <w:rtl/>
        </w:rPr>
        <w:t xml:space="preserve">- </w:t>
      </w:r>
      <w:r w:rsidRPr="00620623">
        <w:rPr>
          <w:rFonts w:cs="Arial"/>
          <w:rtl/>
        </w:rPr>
        <w:t>כל הקרומות האסורין משום תרבא אם נמלחו או נצלו עם הבשר קולף ואוכל עד שמגיע להם</w:t>
      </w:r>
      <w:r>
        <w:rPr>
          <w:rStyle w:val="a7"/>
          <w:rFonts w:cs="Arial"/>
          <w:rtl/>
        </w:rPr>
        <w:footnoteReference w:id="2223"/>
      </w:r>
      <w:r>
        <w:rPr>
          <w:rFonts w:cs="Arial" w:hint="cs"/>
          <w:rtl/>
        </w:rPr>
        <w:t>,</w:t>
      </w:r>
      <w:r w:rsidRPr="00620623">
        <w:rPr>
          <w:rFonts w:cs="Arial"/>
          <w:rtl/>
        </w:rPr>
        <w:t xml:space="preserve"> וכן דעת הרמב"ם והרמב"ן ז"ל</w:t>
      </w:r>
      <w:r>
        <w:rPr>
          <w:rFonts w:cs="Arial" w:hint="cs"/>
          <w:rtl/>
        </w:rPr>
        <w:t>,</w:t>
      </w:r>
      <w:r w:rsidRPr="00620623">
        <w:rPr>
          <w:rFonts w:cs="Arial"/>
          <w:rtl/>
        </w:rPr>
        <w:t xml:space="preserve"> ויש לי ללמוד עליהם מדאמרינן כוליא בחלבא הוה</w:t>
      </w:r>
      <w:r>
        <w:rPr>
          <w:rFonts w:cs="Arial" w:hint="cs"/>
          <w:rtl/>
        </w:rPr>
        <w:t>,</w:t>
      </w:r>
      <w:r w:rsidRPr="00620623">
        <w:rPr>
          <w:rFonts w:cs="Arial"/>
          <w:rtl/>
        </w:rPr>
        <w:t xml:space="preserve"> אלמא חוטים שבכוליא וקרום שעליה המפסיק בינה ובין החלב שעליה אינה אוסרת אותה</w:t>
      </w:r>
      <w:r>
        <w:rPr>
          <w:rFonts w:cs="Arial" w:hint="cs"/>
          <w:rtl/>
        </w:rPr>
        <w:t>,</w:t>
      </w:r>
      <w:r w:rsidRPr="00620623">
        <w:rPr>
          <w:rFonts w:cs="Arial"/>
          <w:rtl/>
        </w:rPr>
        <w:t xml:space="preserve"> ולא עוד אלא אפילו היה ע"ג הקרום חלב גמור הקרום חוצץ ומציל את הכוליא מלבלוע את החלב שעליו</w:t>
      </w:r>
      <w:r>
        <w:rPr>
          <w:rFonts w:cs="Arial" w:hint="cs"/>
          <w:rtl/>
        </w:rPr>
        <w:t>.</w:t>
      </w:r>
    </w:p>
    <w:p w14:paraId="3F86E2D3" w14:textId="77777777" w:rsidR="002C39F4" w:rsidRDefault="002C39F4" w:rsidP="0032102C">
      <w:pPr>
        <w:pStyle w:val="a8"/>
        <w:numPr>
          <w:ilvl w:val="0"/>
          <w:numId w:val="231"/>
        </w:numPr>
        <w:rPr>
          <w:rFonts w:cs="Arial"/>
        </w:rPr>
      </w:pPr>
      <w:r w:rsidRPr="007834DE">
        <w:rPr>
          <w:rFonts w:cs="Arial"/>
          <w:rtl/>
        </w:rPr>
        <w:t>ר</w:t>
      </w:r>
      <w:r w:rsidRPr="007834DE">
        <w:rPr>
          <w:rFonts w:cs="Arial" w:hint="cs"/>
          <w:rtl/>
        </w:rPr>
        <w:t>י"ו</w:t>
      </w:r>
      <w:r w:rsidRPr="007834DE">
        <w:rPr>
          <w:rFonts w:cs="Arial"/>
          <w:rtl/>
        </w:rPr>
        <w:t xml:space="preserve"> </w:t>
      </w:r>
      <w:r w:rsidRPr="007834DE">
        <w:rPr>
          <w:rFonts w:cs="Arial"/>
          <w:sz w:val="16"/>
          <w:szCs w:val="16"/>
          <w:rtl/>
        </w:rPr>
        <w:t xml:space="preserve">(נט"ו אות יב קכז:) </w:t>
      </w:r>
      <w:r>
        <w:rPr>
          <w:rFonts w:cs="Arial" w:hint="cs"/>
          <w:rtl/>
        </w:rPr>
        <w:t xml:space="preserve">בשם </w:t>
      </w:r>
      <w:r w:rsidRPr="007834DE">
        <w:rPr>
          <w:rFonts w:cs="Arial"/>
          <w:rtl/>
        </w:rPr>
        <w:t>י"מ</w:t>
      </w:r>
      <w:r>
        <w:rPr>
          <w:rFonts w:cs="Arial" w:hint="cs"/>
          <w:rtl/>
        </w:rPr>
        <w:t>-</w:t>
      </w:r>
      <w:r w:rsidRPr="007834DE">
        <w:rPr>
          <w:rFonts w:cs="Arial"/>
          <w:rtl/>
        </w:rPr>
        <w:t xml:space="preserve"> אם צלאה בחלב שעליה ודאי אסורה הכוליא שאין כח בקרום להפסיק אבל מיירי שצלאה בלובן שבתוכה שאין בו כח לפעפע בכל הכוליא אלא בכדי קליפה</w:t>
      </w:r>
      <w:r w:rsidRPr="007834DE">
        <w:rPr>
          <w:rFonts w:cs="Arial" w:hint="cs"/>
          <w:rtl/>
        </w:rPr>
        <w:t>,</w:t>
      </w:r>
      <w:r w:rsidRPr="007834DE">
        <w:rPr>
          <w:rFonts w:cs="Arial"/>
          <w:rtl/>
        </w:rPr>
        <w:t xml:space="preserve"> וכן אם צלאה בקרום שעליה לא עם החלב שעליה אינו מפעפע כ"כ ואינו אוסר אלא כדי קליפה כמו כל שאר קרומות</w:t>
      </w:r>
      <w:r>
        <w:rPr>
          <w:rStyle w:val="a7"/>
          <w:rFonts w:cs="Arial"/>
          <w:rtl/>
        </w:rPr>
        <w:footnoteReference w:id="2224"/>
      </w:r>
      <w:r w:rsidRPr="007834DE">
        <w:rPr>
          <w:rFonts w:cs="Arial" w:hint="cs"/>
          <w:rtl/>
        </w:rPr>
        <w:t>.</w:t>
      </w:r>
      <w:r w:rsidRPr="007834DE">
        <w:rPr>
          <w:rFonts w:cs="Arial"/>
          <w:rtl/>
        </w:rPr>
        <w:t xml:space="preserve"> </w:t>
      </w:r>
    </w:p>
    <w:p w14:paraId="34B87E90" w14:textId="77777777" w:rsidR="002C39F4" w:rsidRPr="00662B6D" w:rsidRDefault="002C39F4" w:rsidP="0032102C">
      <w:pPr>
        <w:pStyle w:val="a8"/>
        <w:numPr>
          <w:ilvl w:val="0"/>
          <w:numId w:val="231"/>
        </w:numPr>
        <w:rPr>
          <w:rFonts w:cs="Arial"/>
          <w:rtl/>
        </w:rPr>
      </w:pPr>
      <w:r>
        <w:rPr>
          <w:rFonts w:cs="Arial" w:hint="cs"/>
          <w:rtl/>
        </w:rPr>
        <w:t xml:space="preserve">ר"פ </w:t>
      </w:r>
      <w:r w:rsidRPr="002E47B9">
        <w:rPr>
          <w:rFonts w:cs="Arial" w:hint="cs"/>
          <w:sz w:val="16"/>
          <w:szCs w:val="16"/>
          <w:rtl/>
        </w:rPr>
        <w:t>(הגה' סמ"ק סי' רד אות ג)</w:t>
      </w:r>
      <w:r>
        <w:rPr>
          <w:rFonts w:cs="Arial" w:hint="cs"/>
          <w:rtl/>
        </w:rPr>
        <w:t xml:space="preserve"> ומהרא"י </w:t>
      </w:r>
      <w:r w:rsidRPr="00662B6D">
        <w:rPr>
          <w:rFonts w:cs="Arial" w:hint="cs"/>
          <w:sz w:val="16"/>
          <w:szCs w:val="16"/>
          <w:rtl/>
        </w:rPr>
        <w:t xml:space="preserve">(תרוה"ד </w:t>
      </w:r>
      <w:r w:rsidRPr="00042B57">
        <w:rPr>
          <w:rFonts w:cs="Arial" w:hint="cs"/>
          <w:sz w:val="14"/>
          <w:szCs w:val="14"/>
          <w:rtl/>
        </w:rPr>
        <w:t xml:space="preserve">[סי' צח] </w:t>
      </w:r>
      <w:r w:rsidRPr="00662B6D">
        <w:rPr>
          <w:rFonts w:cs="Arial" w:hint="cs"/>
          <w:sz w:val="16"/>
          <w:szCs w:val="16"/>
          <w:rtl/>
        </w:rPr>
        <w:t xml:space="preserve">ובהגשע"ד </w:t>
      </w:r>
      <w:r w:rsidRPr="00042B57">
        <w:rPr>
          <w:rFonts w:cs="Arial" w:hint="cs"/>
          <w:sz w:val="14"/>
          <w:szCs w:val="14"/>
          <w:rtl/>
        </w:rPr>
        <w:t>[סי' לז אות ג]</w:t>
      </w:r>
      <w:r w:rsidRPr="00662B6D">
        <w:rPr>
          <w:rFonts w:cs="Arial" w:hint="cs"/>
          <w:sz w:val="16"/>
          <w:szCs w:val="16"/>
          <w:rtl/>
        </w:rPr>
        <w:t>)</w:t>
      </w:r>
      <w:r>
        <w:rPr>
          <w:rFonts w:cs="Arial" w:hint="cs"/>
          <w:rtl/>
        </w:rPr>
        <w:t>- הכוליא אסורה</w:t>
      </w:r>
      <w:r>
        <w:rPr>
          <w:rStyle w:val="a7"/>
          <w:rFonts w:cs="Arial"/>
          <w:rtl/>
        </w:rPr>
        <w:footnoteReference w:id="2225"/>
      </w:r>
      <w:r>
        <w:rPr>
          <w:rFonts w:cs="Arial" w:hint="cs"/>
          <w:rtl/>
        </w:rPr>
        <w:t xml:space="preserve">. </w:t>
      </w:r>
      <w:r w:rsidRPr="00042B57">
        <w:rPr>
          <w:rFonts w:cs="Arial" w:hint="cs"/>
          <w:color w:val="00B0F0"/>
          <w:rtl/>
        </w:rPr>
        <w:t>(וכ"פ הרמ"א)</w:t>
      </w:r>
    </w:p>
    <w:p w14:paraId="24DC1FD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BBE90E4" w14:textId="77777777" w:rsidR="002C39F4" w:rsidRDefault="002C39F4" w:rsidP="002C39F4">
      <w:pPr>
        <w:rPr>
          <w:rFonts w:asciiTheme="minorBidi" w:hAnsiTheme="minorBidi"/>
          <w:rtl/>
        </w:rPr>
      </w:pPr>
      <w:r w:rsidRPr="003024E5">
        <w:rPr>
          <w:rFonts w:asciiTheme="minorBidi" w:hAnsiTheme="minorBidi"/>
          <w:rtl/>
        </w:rPr>
        <w:t xml:space="preserve">כוליא שצלאו בחלבו אינו אוסר אלא כדי קליפה, שהקרום מפסיק. </w:t>
      </w:r>
      <w:r w:rsidRPr="003240E8">
        <w:rPr>
          <w:rFonts w:asciiTheme="minorBidi" w:hAnsiTheme="minorBidi"/>
          <w:sz w:val="18"/>
          <w:szCs w:val="18"/>
          <w:rtl/>
        </w:rPr>
        <w:t>הגה: ויש אוסרים, וכן נוהגין ואין לשנות, ודינו כשאר חלב הנצלה עם בשר, ואם נתבשל כך הכוליא נעשית נבלה וצריך ששים נגד כולה</w:t>
      </w:r>
      <w:r>
        <w:rPr>
          <w:rStyle w:val="a7"/>
          <w:rFonts w:asciiTheme="minorBidi" w:hAnsiTheme="minorBidi"/>
          <w:sz w:val="18"/>
          <w:szCs w:val="18"/>
          <w:rtl/>
        </w:rPr>
        <w:footnoteReference w:id="2226"/>
      </w:r>
      <w:r w:rsidRPr="003240E8">
        <w:rPr>
          <w:rFonts w:asciiTheme="minorBidi" w:hAnsiTheme="minorBidi"/>
          <w:sz w:val="18"/>
          <w:szCs w:val="18"/>
          <w:rtl/>
        </w:rPr>
        <w:t>, וה"ה בקרום שעל היותרת (סמ"ק והגש</w:t>
      </w:r>
      <w:r>
        <w:rPr>
          <w:rFonts w:asciiTheme="minorBidi" w:hAnsiTheme="minorBidi" w:hint="cs"/>
          <w:sz w:val="18"/>
          <w:szCs w:val="18"/>
          <w:rtl/>
        </w:rPr>
        <w:t>ע</w:t>
      </w:r>
      <w:r w:rsidRPr="003240E8">
        <w:rPr>
          <w:rFonts w:asciiTheme="minorBidi" w:hAnsiTheme="minorBidi"/>
          <w:sz w:val="18"/>
          <w:szCs w:val="18"/>
          <w:rtl/>
        </w:rPr>
        <w:t>"ד ו</w:t>
      </w:r>
      <w:r>
        <w:rPr>
          <w:rFonts w:asciiTheme="minorBidi" w:hAnsiTheme="minorBidi"/>
          <w:sz w:val="18"/>
          <w:szCs w:val="18"/>
          <w:rtl/>
        </w:rPr>
        <w:t>הג"א</w:t>
      </w:r>
      <w:r w:rsidRPr="003240E8">
        <w:rPr>
          <w:rFonts w:asciiTheme="minorBidi" w:hAnsiTheme="minorBidi"/>
          <w:sz w:val="18"/>
          <w:szCs w:val="18"/>
          <w:rtl/>
        </w:rPr>
        <w:t>).</w:t>
      </w:r>
      <w:r w:rsidRPr="003024E5">
        <w:rPr>
          <w:rFonts w:asciiTheme="minorBidi" w:hAnsiTheme="minorBidi"/>
          <w:rtl/>
        </w:rPr>
        <w:t xml:space="preserve"> </w:t>
      </w:r>
    </w:p>
    <w:p w14:paraId="48C93220" w14:textId="77777777" w:rsidR="002C39F4" w:rsidRPr="003024E5" w:rsidRDefault="002C39F4" w:rsidP="002C39F4">
      <w:pPr>
        <w:rPr>
          <w:rFonts w:asciiTheme="minorBidi" w:hAnsiTheme="minorBidi"/>
          <w:rtl/>
        </w:rPr>
      </w:pPr>
    </w:p>
    <w:p w14:paraId="6994D169" w14:textId="77777777" w:rsidR="002C39F4" w:rsidRDefault="002C39F4" w:rsidP="002C39F4">
      <w:pPr>
        <w:pStyle w:val="2"/>
        <w:rPr>
          <w:rFonts w:asciiTheme="minorBidi" w:hAnsiTheme="minorBidi"/>
          <w:rtl/>
        </w:rPr>
      </w:pPr>
      <w:r w:rsidRPr="003024E5">
        <w:rPr>
          <w:rFonts w:asciiTheme="minorBidi" w:hAnsiTheme="minorBidi"/>
          <w:rtl/>
        </w:rPr>
        <w:t>סעיף ט</w:t>
      </w:r>
      <w:r>
        <w:rPr>
          <w:rFonts w:asciiTheme="minorBidi" w:hAnsiTheme="minorBidi" w:hint="cs"/>
          <w:rtl/>
        </w:rPr>
        <w:t xml:space="preserve">: מליח כרותח. </w:t>
      </w:r>
    </w:p>
    <w:p w14:paraId="0D32968B" w14:textId="77777777" w:rsidR="002C39F4" w:rsidRPr="00753E34" w:rsidRDefault="002C39F4" w:rsidP="002C39F4">
      <w:pPr>
        <w:rPr>
          <w:rtl/>
        </w:rPr>
      </w:pPr>
      <w:r>
        <w:rPr>
          <w:rFonts w:cs="Arial" w:hint="cs"/>
          <w:b/>
          <w:bCs/>
          <w:rtl/>
        </w:rPr>
        <w:t xml:space="preserve">חולין צז ע"ב: </w:t>
      </w:r>
      <w:r w:rsidRPr="00824F80">
        <w:rPr>
          <w:rFonts w:cs="Arial"/>
          <w:rtl/>
        </w:rPr>
        <w:t>הנהו אטמהתא</w:t>
      </w:r>
      <w:r>
        <w:rPr>
          <w:rStyle w:val="a7"/>
          <w:rFonts w:cs="Arial"/>
          <w:rtl/>
        </w:rPr>
        <w:footnoteReference w:id="2227"/>
      </w:r>
      <w:r w:rsidRPr="00824F80">
        <w:rPr>
          <w:rFonts w:cs="Arial"/>
          <w:rtl/>
        </w:rPr>
        <w:t xml:space="preserve"> דאימליחו בי ריש גלותא בגידא נשיא, </w:t>
      </w:r>
      <w:r w:rsidRPr="00824F80">
        <w:rPr>
          <w:rFonts w:cs="Arial"/>
          <w:u w:val="single"/>
          <w:rtl/>
        </w:rPr>
        <w:t>רבינא</w:t>
      </w:r>
      <w:r>
        <w:rPr>
          <w:rFonts w:cs="Arial" w:hint="cs"/>
          <w:u w:val="single"/>
          <w:rtl/>
        </w:rPr>
        <w:t xml:space="preserve"> </w:t>
      </w:r>
      <w:r w:rsidRPr="00824F80">
        <w:rPr>
          <w:rFonts w:cs="Arial"/>
          <w:rtl/>
        </w:rPr>
        <w:t>- אסר</w:t>
      </w:r>
      <w:r>
        <w:rPr>
          <w:rStyle w:val="a7"/>
          <w:rFonts w:cs="Arial"/>
          <w:rtl/>
        </w:rPr>
        <w:footnoteReference w:id="2228"/>
      </w:r>
      <w:r w:rsidRPr="00824F80">
        <w:rPr>
          <w:rFonts w:cs="Arial"/>
          <w:rtl/>
        </w:rPr>
        <w:t xml:space="preserve">, </w:t>
      </w:r>
      <w:r w:rsidRPr="00824F80">
        <w:rPr>
          <w:rFonts w:cs="Arial"/>
          <w:u w:val="single"/>
          <w:rtl/>
        </w:rPr>
        <w:t>רב אחא בר רב אשי</w:t>
      </w:r>
      <w:r>
        <w:rPr>
          <w:rFonts w:cs="Arial" w:hint="cs"/>
          <w:rtl/>
        </w:rPr>
        <w:t xml:space="preserve"> </w:t>
      </w:r>
      <w:r w:rsidRPr="00824F80">
        <w:rPr>
          <w:rFonts w:cs="Arial"/>
          <w:rtl/>
        </w:rPr>
        <w:t xml:space="preserve">- שרי; אתו שיילוה למר בר רב אשי, </w:t>
      </w:r>
      <w:r w:rsidRPr="00824F80">
        <w:rPr>
          <w:rFonts w:cs="Arial"/>
          <w:u w:val="single"/>
          <w:rtl/>
        </w:rPr>
        <w:t>אמר להו</w:t>
      </w:r>
      <w:r w:rsidRPr="00824F80">
        <w:rPr>
          <w:rFonts w:cs="Arial"/>
          <w:rtl/>
        </w:rPr>
        <w:t xml:space="preserve">: אבא שרי. </w:t>
      </w:r>
      <w:r w:rsidRPr="00824F80">
        <w:rPr>
          <w:rFonts w:cs="Arial"/>
          <w:u w:val="single"/>
          <w:rtl/>
        </w:rPr>
        <w:t>א"ל רב אחא בר רב לרבינא</w:t>
      </w:r>
      <w:r w:rsidRPr="00824F80">
        <w:rPr>
          <w:rFonts w:cs="Arial"/>
          <w:rtl/>
        </w:rPr>
        <w:t>, מאי דעתיך, דאמר שמואל מליח הרי הוא כרותח, כבוש הרי הוא כמבושל, והאמר שמואל לא שנו אלא שנתבשל בה אבל נצלה בה קולף ואוכל עד שמגיע לגיד! וכ"ת מאי כרותח דקאמר</w:t>
      </w:r>
      <w:r>
        <w:rPr>
          <w:rFonts w:cs="Arial" w:hint="cs"/>
          <w:rtl/>
        </w:rPr>
        <w:t xml:space="preserve"> </w:t>
      </w:r>
      <w:r w:rsidRPr="00824F80">
        <w:rPr>
          <w:rFonts w:cs="Arial"/>
          <w:rtl/>
        </w:rPr>
        <w:t xml:space="preserve">- כרותח דמבושל, והא מדקאמר כבוש הרי הוא כמבושל, מכלל דרותח דצלי קאמר! קשיא. </w:t>
      </w:r>
      <w:r w:rsidRPr="00753E34">
        <w:rPr>
          <w:rFonts w:cs="Arial" w:hint="cs"/>
          <w:sz w:val="16"/>
          <w:szCs w:val="16"/>
          <w:rtl/>
        </w:rPr>
        <w:t>(מכאן ש</w:t>
      </w:r>
      <w:r w:rsidRPr="00753E34">
        <w:rPr>
          <w:rFonts w:cs="Arial"/>
          <w:sz w:val="16"/>
          <w:szCs w:val="16"/>
          <w:rtl/>
        </w:rPr>
        <w:t>מלוח שהוא מלוח עד שאינו נאכל מחמת מלחו דינו כרותח ומפליט</w:t>
      </w:r>
      <w:r w:rsidRPr="00753E34">
        <w:rPr>
          <w:rFonts w:cs="Arial" w:hint="cs"/>
          <w:sz w:val="16"/>
          <w:szCs w:val="16"/>
          <w:rtl/>
        </w:rPr>
        <w:t xml:space="preserve">, </w:t>
      </w:r>
      <w:r>
        <w:rPr>
          <w:rFonts w:cs="Arial" w:hint="cs"/>
          <w:sz w:val="16"/>
          <w:szCs w:val="16"/>
          <w:rtl/>
        </w:rPr>
        <w:t xml:space="preserve">ע"פ </w:t>
      </w:r>
      <w:r w:rsidRPr="00753E34">
        <w:rPr>
          <w:rFonts w:cs="Arial" w:hint="cs"/>
          <w:sz w:val="16"/>
          <w:szCs w:val="16"/>
          <w:rtl/>
        </w:rPr>
        <w:t>טור</w:t>
      </w:r>
      <w:r>
        <w:rPr>
          <w:rFonts w:cs="Arial" w:hint="cs"/>
          <w:sz w:val="16"/>
          <w:szCs w:val="16"/>
          <w:rtl/>
        </w:rPr>
        <w:t>)</w:t>
      </w:r>
      <w:r>
        <w:rPr>
          <w:rFonts w:hint="cs"/>
          <w:rtl/>
        </w:rPr>
        <w:t xml:space="preserve"> </w:t>
      </w:r>
    </w:p>
    <w:p w14:paraId="68C60D76" w14:textId="77777777" w:rsidR="002C39F4" w:rsidRDefault="002C39F4" w:rsidP="002C39F4">
      <w:pPr>
        <w:rPr>
          <w:rFonts w:cs="Arial"/>
          <w:rtl/>
        </w:rPr>
      </w:pPr>
      <w:r w:rsidRPr="008235DE">
        <w:rPr>
          <w:rFonts w:cs="Arial" w:hint="cs"/>
          <w:u w:val="single"/>
          <w:rtl/>
        </w:rPr>
        <w:t>חתיכ</w:t>
      </w:r>
      <w:r>
        <w:rPr>
          <w:rFonts w:cs="Arial" w:hint="cs"/>
          <w:u w:val="single"/>
          <w:rtl/>
        </w:rPr>
        <w:t xml:space="preserve">ה </w:t>
      </w:r>
      <w:r w:rsidRPr="003E3CF5">
        <w:rPr>
          <w:rFonts w:cs="Arial" w:hint="cs"/>
          <w:b/>
          <w:bCs/>
          <w:u w:val="single"/>
          <w:rtl/>
        </w:rPr>
        <w:t>כחושה</w:t>
      </w:r>
      <w:r>
        <w:rPr>
          <w:rFonts w:cs="Arial" w:hint="cs"/>
          <w:u w:val="single"/>
          <w:rtl/>
        </w:rPr>
        <w:t xml:space="preserve"> שנוגעת/דבוקה באיסור </w:t>
      </w:r>
      <w:r w:rsidRPr="0083493D">
        <w:rPr>
          <w:rFonts w:cs="Arial" w:hint="cs"/>
          <w:b/>
          <w:bCs/>
          <w:u w:val="single"/>
          <w:rtl/>
        </w:rPr>
        <w:t>כחוש</w:t>
      </w:r>
      <w:r>
        <w:rPr>
          <w:rFonts w:cs="Arial" w:hint="cs"/>
          <w:u w:val="single"/>
          <w:rtl/>
        </w:rPr>
        <w:t xml:space="preserve"> מלוח:</w:t>
      </w:r>
      <w:r>
        <w:rPr>
          <w:rFonts w:cs="Arial" w:hint="cs"/>
          <w:rtl/>
        </w:rPr>
        <w:t xml:space="preserve"> </w:t>
      </w:r>
    </w:p>
    <w:p w14:paraId="10FF6633" w14:textId="77777777" w:rsidR="002C39F4" w:rsidRPr="00C40F00" w:rsidRDefault="002C39F4" w:rsidP="0032102C">
      <w:pPr>
        <w:pStyle w:val="a8"/>
        <w:numPr>
          <w:ilvl w:val="0"/>
          <w:numId w:val="233"/>
        </w:numPr>
        <w:rPr>
          <w:rFonts w:cs="Arial"/>
        </w:rPr>
      </w:pPr>
      <w:r w:rsidRPr="008235DE">
        <w:rPr>
          <w:rFonts w:cs="Arial"/>
          <w:rtl/>
        </w:rPr>
        <w:t xml:space="preserve">רשב"א רא"ש </w:t>
      </w:r>
      <w:r>
        <w:rPr>
          <w:rFonts w:cs="Arial" w:hint="cs"/>
          <w:rtl/>
        </w:rPr>
        <w:t xml:space="preserve">טור </w:t>
      </w:r>
      <w:r w:rsidRPr="008235DE">
        <w:rPr>
          <w:rFonts w:cs="Arial"/>
          <w:rtl/>
        </w:rPr>
        <w:t>ור"ן</w:t>
      </w:r>
      <w:r>
        <w:rPr>
          <w:rStyle w:val="a7"/>
          <w:rFonts w:cs="Arial"/>
          <w:rtl/>
        </w:rPr>
        <w:footnoteReference w:id="2229"/>
      </w:r>
      <w:r>
        <w:rPr>
          <w:rFonts w:cs="Arial" w:hint="cs"/>
          <w:rtl/>
        </w:rPr>
        <w:t>-</w:t>
      </w:r>
      <w:r w:rsidRPr="008235DE">
        <w:rPr>
          <w:rFonts w:cs="Arial"/>
          <w:rtl/>
        </w:rPr>
        <w:t xml:space="preserve"> אין להחמיר ברותח דמליח יותר מכדי קליפה</w:t>
      </w:r>
      <w:r>
        <w:rPr>
          <w:rFonts w:cs="Arial" w:hint="cs"/>
          <w:rtl/>
        </w:rPr>
        <w:t>.</w:t>
      </w:r>
      <w:r w:rsidRPr="008235DE">
        <w:rPr>
          <w:rFonts w:cs="Arial"/>
          <w:rtl/>
        </w:rPr>
        <w:t xml:space="preserve"> </w:t>
      </w:r>
    </w:p>
    <w:p w14:paraId="31006F72" w14:textId="77777777" w:rsidR="002C39F4" w:rsidRDefault="002C39F4" w:rsidP="0032102C">
      <w:pPr>
        <w:pStyle w:val="a8"/>
        <w:numPr>
          <w:ilvl w:val="0"/>
          <w:numId w:val="233"/>
        </w:numPr>
        <w:rPr>
          <w:rFonts w:cs="Arial"/>
        </w:rPr>
      </w:pPr>
      <w:r w:rsidRPr="008235DE">
        <w:rPr>
          <w:rFonts w:cs="Arial"/>
          <w:rtl/>
        </w:rPr>
        <w:t xml:space="preserve">רא"ה </w:t>
      </w:r>
      <w:r w:rsidRPr="008235DE">
        <w:rPr>
          <w:rFonts w:cs="Arial"/>
          <w:sz w:val="16"/>
          <w:szCs w:val="16"/>
          <w:rtl/>
        </w:rPr>
        <w:t>(ב"ד ש"א ע:)</w:t>
      </w:r>
      <w:r>
        <w:rPr>
          <w:rFonts w:cs="Arial" w:hint="cs"/>
          <w:rtl/>
        </w:rPr>
        <w:t>-</w:t>
      </w:r>
      <w:r w:rsidRPr="008235DE">
        <w:rPr>
          <w:rFonts w:cs="Arial"/>
          <w:rtl/>
        </w:rPr>
        <w:t xml:space="preserve"> </w:t>
      </w:r>
      <w:r>
        <w:rPr>
          <w:rFonts w:cs="Arial" w:hint="cs"/>
          <w:rtl/>
        </w:rPr>
        <w:t xml:space="preserve">כדי </w:t>
      </w:r>
      <w:r w:rsidRPr="008235DE">
        <w:rPr>
          <w:rFonts w:cs="Arial"/>
          <w:rtl/>
        </w:rPr>
        <w:t>נטילת מקום</w:t>
      </w:r>
      <w:r>
        <w:rPr>
          <w:rFonts w:cs="Arial" w:hint="cs"/>
          <w:rtl/>
        </w:rPr>
        <w:t xml:space="preserve">. </w:t>
      </w:r>
    </w:p>
    <w:p w14:paraId="78C035BD" w14:textId="77777777" w:rsidR="002C39F4" w:rsidRDefault="002C39F4" w:rsidP="0032102C">
      <w:pPr>
        <w:pStyle w:val="a8"/>
        <w:numPr>
          <w:ilvl w:val="0"/>
          <w:numId w:val="233"/>
        </w:numPr>
        <w:rPr>
          <w:rFonts w:cs="Arial"/>
        </w:rPr>
      </w:pPr>
      <w:r w:rsidRPr="007D1324">
        <w:rPr>
          <w:rFonts w:cs="Arial"/>
          <w:rtl/>
        </w:rPr>
        <w:t>מהרי"ו אגור בשם מהרי</w:t>
      </w:r>
      <w:r>
        <w:rPr>
          <w:rFonts w:cs="Arial" w:hint="cs"/>
          <w:rtl/>
        </w:rPr>
        <w:t>"ל</w:t>
      </w:r>
      <w:r w:rsidRPr="007D1324">
        <w:rPr>
          <w:rFonts w:cs="Arial"/>
          <w:rtl/>
        </w:rPr>
        <w:t xml:space="preserve"> מהרא"י </w:t>
      </w:r>
      <w:r>
        <w:rPr>
          <w:rFonts w:cs="Arial" w:hint="cs"/>
          <w:rtl/>
        </w:rPr>
        <w:t>ואו"ה</w:t>
      </w:r>
      <w:r>
        <w:rPr>
          <w:rStyle w:val="a7"/>
          <w:rFonts w:cs="Arial"/>
          <w:rtl/>
        </w:rPr>
        <w:footnoteReference w:id="2230"/>
      </w:r>
      <w:r>
        <w:rPr>
          <w:rFonts w:cs="Arial" w:hint="cs"/>
          <w:rtl/>
        </w:rPr>
        <w:t>- רותח ד</w:t>
      </w:r>
      <w:r w:rsidRPr="007D1324">
        <w:rPr>
          <w:rFonts w:cs="Arial"/>
          <w:rtl/>
        </w:rPr>
        <w:t xml:space="preserve">מליחה </w:t>
      </w:r>
      <w:r>
        <w:rPr>
          <w:rFonts w:cs="Arial" w:hint="cs"/>
          <w:rtl/>
        </w:rPr>
        <w:t xml:space="preserve">משערים </w:t>
      </w:r>
      <w:r w:rsidRPr="007D1324">
        <w:rPr>
          <w:rFonts w:cs="Arial"/>
          <w:rtl/>
        </w:rPr>
        <w:t>ב</w:t>
      </w:r>
      <w:r>
        <w:rPr>
          <w:rFonts w:cs="Arial" w:hint="cs"/>
          <w:rtl/>
        </w:rPr>
        <w:t>ששים</w:t>
      </w:r>
      <w:r>
        <w:rPr>
          <w:rStyle w:val="a7"/>
          <w:rFonts w:cs="Arial"/>
          <w:rtl/>
        </w:rPr>
        <w:footnoteReference w:id="2231"/>
      </w:r>
      <w:r>
        <w:rPr>
          <w:rFonts w:cs="Arial" w:hint="cs"/>
          <w:rtl/>
        </w:rPr>
        <w:t>.</w:t>
      </w:r>
      <w:r w:rsidRPr="007D1324">
        <w:rPr>
          <w:rFonts w:cs="Arial"/>
          <w:rtl/>
        </w:rPr>
        <w:t xml:space="preserve"> </w:t>
      </w:r>
    </w:p>
    <w:p w14:paraId="00DA7EE3" w14:textId="77777777" w:rsidR="002C39F4" w:rsidRPr="004146BD" w:rsidRDefault="002C39F4" w:rsidP="0032102C">
      <w:pPr>
        <w:pStyle w:val="a8"/>
        <w:numPr>
          <w:ilvl w:val="0"/>
          <w:numId w:val="233"/>
        </w:numPr>
        <w:rPr>
          <w:rFonts w:cs="Arial"/>
        </w:rPr>
      </w:pPr>
      <w:r w:rsidRPr="00217279">
        <w:rPr>
          <w:rFonts w:cs="Arial"/>
          <w:rtl/>
        </w:rPr>
        <w:t>רמב"ן</w:t>
      </w:r>
      <w:r>
        <w:rPr>
          <w:rStyle w:val="a7"/>
          <w:rFonts w:cs="Arial"/>
          <w:rtl/>
        </w:rPr>
        <w:footnoteReference w:id="2232"/>
      </w:r>
      <w:r w:rsidRPr="00217279">
        <w:rPr>
          <w:rFonts w:cs="Arial"/>
          <w:rtl/>
        </w:rPr>
        <w:t xml:space="preserve"> </w:t>
      </w:r>
      <w:r w:rsidRPr="008A5D0A">
        <w:rPr>
          <w:rFonts w:cs="Arial"/>
          <w:sz w:val="16"/>
          <w:szCs w:val="16"/>
          <w:rtl/>
        </w:rPr>
        <w:t>(צז. ד"ה ההוא כחוש)</w:t>
      </w:r>
      <w:r>
        <w:rPr>
          <w:rFonts w:cs="Arial" w:hint="cs"/>
          <w:rtl/>
        </w:rPr>
        <w:t xml:space="preserve">- </w:t>
      </w:r>
      <w:r w:rsidRPr="00217279">
        <w:rPr>
          <w:rFonts w:cs="Arial"/>
          <w:rtl/>
        </w:rPr>
        <w:t>במליחה אפילו חלב שמן אינו מפעפע</w:t>
      </w:r>
      <w:r>
        <w:rPr>
          <w:rStyle w:val="a7"/>
          <w:rFonts w:cs="Arial"/>
          <w:rtl/>
        </w:rPr>
        <w:footnoteReference w:id="2233"/>
      </w:r>
      <w:r w:rsidRPr="004146BD">
        <w:rPr>
          <w:rFonts w:cs="Arial" w:hint="cs"/>
          <w:rtl/>
        </w:rPr>
        <w:t xml:space="preserve">.      </w:t>
      </w:r>
    </w:p>
    <w:p w14:paraId="59427B3E" w14:textId="77777777" w:rsidR="002C39F4" w:rsidRPr="008A5D0A" w:rsidRDefault="002C39F4" w:rsidP="002C39F4">
      <w:pPr>
        <w:rPr>
          <w:rFonts w:cs="Arial"/>
          <w:sz w:val="16"/>
          <w:szCs w:val="16"/>
        </w:rPr>
      </w:pPr>
      <w:r>
        <w:rPr>
          <w:rFonts w:cs="Arial" w:hint="cs"/>
          <w:u w:val="single"/>
          <w:rtl/>
        </w:rPr>
        <w:t xml:space="preserve">חתיכה </w:t>
      </w:r>
      <w:r>
        <w:rPr>
          <w:rFonts w:cs="Arial" w:hint="cs"/>
          <w:b/>
          <w:bCs/>
          <w:u w:val="single"/>
          <w:rtl/>
        </w:rPr>
        <w:t>כחושה</w:t>
      </w:r>
      <w:r>
        <w:rPr>
          <w:rFonts w:cs="Arial" w:hint="cs"/>
          <w:u w:val="single"/>
          <w:rtl/>
        </w:rPr>
        <w:t xml:space="preserve"> שנוגעת/דבוקה באיסור </w:t>
      </w:r>
      <w:r>
        <w:rPr>
          <w:rFonts w:cs="Arial" w:hint="cs"/>
          <w:b/>
          <w:bCs/>
          <w:u w:val="single"/>
          <w:rtl/>
        </w:rPr>
        <w:t xml:space="preserve">שמן </w:t>
      </w:r>
      <w:r>
        <w:rPr>
          <w:rFonts w:cs="Arial" w:hint="cs"/>
          <w:u w:val="single"/>
          <w:rtl/>
        </w:rPr>
        <w:t>מלוח</w:t>
      </w:r>
      <w:r>
        <w:rPr>
          <w:rStyle w:val="a7"/>
          <w:rFonts w:cs="Arial"/>
          <w:u w:val="single"/>
          <w:rtl/>
        </w:rPr>
        <w:footnoteReference w:id="2234"/>
      </w:r>
      <w:r>
        <w:rPr>
          <w:rFonts w:cs="Arial" w:hint="cs"/>
          <w:u w:val="single"/>
          <w:rtl/>
        </w:rPr>
        <w:t xml:space="preserve"> </w:t>
      </w:r>
      <w:r>
        <w:rPr>
          <w:rFonts w:cs="Arial" w:hint="cs"/>
          <w:sz w:val="16"/>
          <w:szCs w:val="16"/>
          <w:u w:val="single"/>
          <w:rtl/>
        </w:rPr>
        <w:t>(כגון חתיכה שנמלחה בחלבה)</w:t>
      </w:r>
      <w:r w:rsidRPr="003E3CF5">
        <w:rPr>
          <w:rFonts w:cs="Arial" w:hint="cs"/>
          <w:u w:val="single"/>
          <w:rtl/>
        </w:rPr>
        <w:t>:</w:t>
      </w:r>
      <w:r w:rsidRPr="008A5D0A">
        <w:rPr>
          <w:rFonts w:cs="Arial" w:hint="cs"/>
          <w:sz w:val="16"/>
          <w:szCs w:val="16"/>
          <w:rtl/>
        </w:rPr>
        <w:t xml:space="preserve">   (ר"ן</w:t>
      </w:r>
      <w:r w:rsidRPr="00284687">
        <w:rPr>
          <w:rFonts w:cs="Arial" w:hint="cs"/>
          <w:color w:val="FF0000"/>
          <w:sz w:val="14"/>
          <w:szCs w:val="14"/>
          <w:rtl/>
        </w:rPr>
        <w:t xml:space="preserve"> </w:t>
      </w:r>
      <w:r>
        <w:rPr>
          <w:rFonts w:cs="Arial" w:hint="cs"/>
          <w:sz w:val="16"/>
          <w:szCs w:val="16"/>
          <w:rtl/>
        </w:rPr>
        <w:t>וב"י)</w:t>
      </w:r>
    </w:p>
    <w:p w14:paraId="667EDCE1" w14:textId="77777777" w:rsidR="002C39F4" w:rsidRDefault="002C39F4" w:rsidP="0032102C">
      <w:pPr>
        <w:pStyle w:val="a8"/>
        <w:numPr>
          <w:ilvl w:val="0"/>
          <w:numId w:val="234"/>
        </w:numPr>
        <w:rPr>
          <w:rFonts w:cs="Arial"/>
        </w:rPr>
      </w:pPr>
      <w:r w:rsidRPr="00217279">
        <w:rPr>
          <w:rFonts w:cs="Arial"/>
          <w:rtl/>
        </w:rPr>
        <w:t xml:space="preserve">רמב"ן </w:t>
      </w:r>
      <w:r w:rsidRPr="008A5D0A">
        <w:rPr>
          <w:rFonts w:cs="Arial"/>
          <w:sz w:val="16"/>
          <w:szCs w:val="16"/>
          <w:rtl/>
        </w:rPr>
        <w:t>(צז. ד"ה ההוא כחוש)</w:t>
      </w:r>
      <w:r>
        <w:rPr>
          <w:rFonts w:cs="Arial" w:hint="cs"/>
          <w:rtl/>
        </w:rPr>
        <w:t xml:space="preserve">- </w:t>
      </w:r>
      <w:r w:rsidRPr="00217279">
        <w:rPr>
          <w:rFonts w:cs="Arial"/>
          <w:rtl/>
        </w:rPr>
        <w:t>במליחה אפילו חלב שמן אינו מפעפע</w:t>
      </w:r>
      <w:r>
        <w:rPr>
          <w:rStyle w:val="a7"/>
          <w:rFonts w:cs="Arial"/>
          <w:rtl/>
        </w:rPr>
        <w:footnoteReference w:id="2235"/>
      </w:r>
      <w:r>
        <w:rPr>
          <w:rFonts w:cs="Arial" w:hint="cs"/>
          <w:rtl/>
        </w:rPr>
        <w:t>.</w:t>
      </w:r>
      <w:r w:rsidRPr="00217279">
        <w:rPr>
          <w:rFonts w:cs="Arial"/>
          <w:rtl/>
        </w:rPr>
        <w:t xml:space="preserve"> </w:t>
      </w:r>
    </w:p>
    <w:p w14:paraId="2BEC8380" w14:textId="77777777" w:rsidR="002C39F4" w:rsidRDefault="002C39F4" w:rsidP="0032102C">
      <w:pPr>
        <w:pStyle w:val="a8"/>
        <w:numPr>
          <w:ilvl w:val="0"/>
          <w:numId w:val="234"/>
        </w:numPr>
        <w:rPr>
          <w:rFonts w:cs="Arial"/>
        </w:rPr>
      </w:pPr>
      <w:r w:rsidRPr="00217279">
        <w:rPr>
          <w:rFonts w:cs="Arial"/>
          <w:rtl/>
        </w:rPr>
        <w:t>רשב"א</w:t>
      </w:r>
      <w:r>
        <w:rPr>
          <w:rFonts w:cs="Arial" w:hint="cs"/>
          <w:rtl/>
        </w:rPr>
        <w:t xml:space="preserve"> </w:t>
      </w:r>
      <w:r w:rsidRPr="008A5D0A">
        <w:rPr>
          <w:rFonts w:cs="Arial" w:hint="cs"/>
          <w:sz w:val="16"/>
          <w:szCs w:val="16"/>
          <w:rtl/>
        </w:rPr>
        <w:t>(תוה"א</w:t>
      </w:r>
      <w:r w:rsidRPr="008A5D0A">
        <w:rPr>
          <w:rFonts w:cs="Arial"/>
          <w:sz w:val="16"/>
          <w:szCs w:val="16"/>
          <w:rtl/>
        </w:rPr>
        <w:t xml:space="preserve"> ב"ד ש"א ה.)</w:t>
      </w:r>
      <w:r>
        <w:rPr>
          <w:rFonts w:cs="Arial" w:hint="cs"/>
          <w:rtl/>
        </w:rPr>
        <w:t xml:space="preserve"> טור</w:t>
      </w:r>
      <w:r>
        <w:rPr>
          <w:rStyle w:val="a7"/>
          <w:rFonts w:cs="Arial"/>
          <w:rtl/>
        </w:rPr>
        <w:footnoteReference w:id="2236"/>
      </w:r>
      <w:r>
        <w:rPr>
          <w:rFonts w:cs="Arial" w:hint="cs"/>
          <w:rtl/>
        </w:rPr>
        <w:t xml:space="preserve"> ור"ן</w:t>
      </w:r>
      <w:r>
        <w:rPr>
          <w:rFonts w:cs="Arial" w:hint="cs"/>
          <w:sz w:val="16"/>
          <w:szCs w:val="16"/>
          <w:rtl/>
        </w:rPr>
        <w:t xml:space="preserve"> (לד:)</w:t>
      </w:r>
      <w:r>
        <w:rPr>
          <w:rFonts w:cs="Arial" w:hint="cs"/>
          <w:rtl/>
        </w:rPr>
        <w:t xml:space="preserve">- </w:t>
      </w:r>
      <w:r w:rsidRPr="00217279">
        <w:rPr>
          <w:rFonts w:cs="Arial"/>
          <w:rtl/>
        </w:rPr>
        <w:t>כל דמפעפע בצלי מפעפע במליחה</w:t>
      </w:r>
      <w:r>
        <w:rPr>
          <w:rFonts w:cs="Arial" w:hint="cs"/>
          <w:rtl/>
        </w:rPr>
        <w:t>,</w:t>
      </w:r>
      <w:r w:rsidRPr="008A5D0A">
        <w:rPr>
          <w:rFonts w:cs="Arial" w:hint="cs"/>
          <w:rtl/>
        </w:rPr>
        <w:t xml:space="preserve"> </w:t>
      </w:r>
      <w:r>
        <w:rPr>
          <w:rFonts w:cs="Arial" w:hint="cs"/>
          <w:rtl/>
        </w:rPr>
        <w:t xml:space="preserve">ודין </w:t>
      </w:r>
      <w:r w:rsidRPr="00217279">
        <w:rPr>
          <w:rFonts w:cs="Arial"/>
          <w:rtl/>
        </w:rPr>
        <w:t xml:space="preserve">מליחה </w:t>
      </w:r>
      <w:r>
        <w:rPr>
          <w:rFonts w:cs="Arial" w:hint="cs"/>
          <w:rtl/>
        </w:rPr>
        <w:t xml:space="preserve">שוה </w:t>
      </w:r>
      <w:r w:rsidRPr="00217279">
        <w:rPr>
          <w:rFonts w:cs="Arial"/>
          <w:rtl/>
        </w:rPr>
        <w:t xml:space="preserve">לצלי </w:t>
      </w:r>
      <w:r>
        <w:rPr>
          <w:rFonts w:cs="Arial" w:hint="cs"/>
          <w:rtl/>
        </w:rPr>
        <w:t>ב</w:t>
      </w:r>
      <w:r w:rsidRPr="00217279">
        <w:rPr>
          <w:rFonts w:cs="Arial"/>
          <w:rtl/>
        </w:rPr>
        <w:t>כל דבר</w:t>
      </w:r>
      <w:r>
        <w:rPr>
          <w:rFonts w:cs="Arial" w:hint="cs"/>
          <w:sz w:val="16"/>
          <w:szCs w:val="16"/>
          <w:rtl/>
        </w:rPr>
        <w:t xml:space="preserve"> {היינו דצריך ששים}</w:t>
      </w:r>
      <w:r>
        <w:rPr>
          <w:rFonts w:cs="Arial" w:hint="cs"/>
          <w:rtl/>
        </w:rPr>
        <w:t>,</w:t>
      </w:r>
      <w:r w:rsidRPr="00217279">
        <w:rPr>
          <w:rFonts w:cs="Arial"/>
          <w:rtl/>
        </w:rPr>
        <w:t xml:space="preserve"> </w:t>
      </w:r>
      <w:r>
        <w:rPr>
          <w:rFonts w:cs="Arial" w:hint="cs"/>
          <w:rtl/>
        </w:rPr>
        <w:t>ו</w:t>
      </w:r>
      <w:r w:rsidRPr="00217279">
        <w:rPr>
          <w:rFonts w:cs="Arial"/>
          <w:rtl/>
        </w:rPr>
        <w:t>אדרבה יותר יש לומר דמפעפע במליחה מבצלי מפני המוהל היוצא מן הבשר ע"י מליחה והוא כעין רוטב להוליך את האיסור ולפשטו בכל</w:t>
      </w:r>
      <w:r>
        <w:rPr>
          <w:rFonts w:cs="Arial" w:hint="cs"/>
          <w:sz w:val="16"/>
          <w:szCs w:val="16"/>
          <w:rtl/>
        </w:rPr>
        <w:t xml:space="preserve"> (דברי הרשב"א)</w:t>
      </w:r>
      <w:r>
        <w:rPr>
          <w:rStyle w:val="a7"/>
          <w:rFonts w:cs="Arial"/>
          <w:rtl/>
        </w:rPr>
        <w:footnoteReference w:id="2237"/>
      </w:r>
      <w:r>
        <w:rPr>
          <w:rFonts w:cs="Arial" w:hint="cs"/>
          <w:rtl/>
        </w:rPr>
        <w:t>.</w:t>
      </w:r>
      <w:r w:rsidRPr="00217279">
        <w:rPr>
          <w:rFonts w:cs="Arial"/>
          <w:rtl/>
        </w:rPr>
        <w:t xml:space="preserve"> </w:t>
      </w:r>
    </w:p>
    <w:p w14:paraId="2B7D7E39" w14:textId="77777777" w:rsidR="002C39F4" w:rsidRDefault="002C39F4" w:rsidP="0032102C">
      <w:pPr>
        <w:pStyle w:val="a8"/>
        <w:numPr>
          <w:ilvl w:val="0"/>
          <w:numId w:val="234"/>
        </w:numPr>
        <w:rPr>
          <w:rFonts w:cs="Arial"/>
        </w:rPr>
      </w:pPr>
      <w:r w:rsidRPr="007D1324">
        <w:rPr>
          <w:rFonts w:cs="Arial"/>
          <w:rtl/>
        </w:rPr>
        <w:t xml:space="preserve">מהרי"ו אגור בשם מהר"י מולין מהרא"י </w:t>
      </w:r>
      <w:r>
        <w:rPr>
          <w:rFonts w:cs="Arial" w:hint="cs"/>
          <w:rtl/>
        </w:rPr>
        <w:t>ואו"ה</w:t>
      </w:r>
      <w:r>
        <w:rPr>
          <w:rStyle w:val="a7"/>
          <w:rFonts w:cs="Arial"/>
          <w:rtl/>
        </w:rPr>
        <w:footnoteReference w:id="2238"/>
      </w:r>
      <w:r>
        <w:rPr>
          <w:rFonts w:cs="Arial" w:hint="cs"/>
          <w:rtl/>
        </w:rPr>
        <w:t>- רותח ד</w:t>
      </w:r>
      <w:r w:rsidRPr="007D1324">
        <w:rPr>
          <w:rFonts w:cs="Arial"/>
          <w:rtl/>
        </w:rPr>
        <w:t xml:space="preserve">מליחה </w:t>
      </w:r>
      <w:r>
        <w:rPr>
          <w:rFonts w:cs="Arial" w:hint="cs"/>
          <w:rtl/>
        </w:rPr>
        <w:t xml:space="preserve">משערים </w:t>
      </w:r>
      <w:r w:rsidRPr="007D1324">
        <w:rPr>
          <w:rFonts w:cs="Arial"/>
          <w:rtl/>
        </w:rPr>
        <w:t>ב</w:t>
      </w:r>
      <w:r>
        <w:rPr>
          <w:rFonts w:cs="Arial" w:hint="cs"/>
          <w:rtl/>
        </w:rPr>
        <w:t>ששים.</w:t>
      </w:r>
      <w:r w:rsidRPr="007D1324">
        <w:rPr>
          <w:rFonts w:cs="Arial"/>
          <w:rtl/>
        </w:rPr>
        <w:t xml:space="preserve"> </w:t>
      </w:r>
    </w:p>
    <w:p w14:paraId="08601771" w14:textId="77777777" w:rsidR="002C39F4" w:rsidRDefault="002C39F4" w:rsidP="0032102C">
      <w:pPr>
        <w:pStyle w:val="a8"/>
        <w:numPr>
          <w:ilvl w:val="0"/>
          <w:numId w:val="234"/>
        </w:numPr>
        <w:rPr>
          <w:rFonts w:cs="Arial"/>
        </w:rPr>
      </w:pPr>
      <w:r w:rsidRPr="00B1234F">
        <w:rPr>
          <w:rFonts w:cs="Arial"/>
          <w:rtl/>
        </w:rPr>
        <w:t xml:space="preserve">ראבי"ה </w:t>
      </w:r>
      <w:r w:rsidRPr="00B1234F">
        <w:rPr>
          <w:rFonts w:cs="Arial"/>
          <w:sz w:val="16"/>
          <w:szCs w:val="16"/>
          <w:rtl/>
        </w:rPr>
        <w:t>(סי' אלף קיב ד"ה ועוד)</w:t>
      </w:r>
      <w:r w:rsidRPr="00B1234F">
        <w:rPr>
          <w:rFonts w:cs="Arial" w:hint="cs"/>
          <w:rtl/>
        </w:rPr>
        <w:t xml:space="preserve">- </w:t>
      </w:r>
      <w:r w:rsidRPr="00B1234F">
        <w:rPr>
          <w:rFonts w:cs="Arial"/>
          <w:rtl/>
        </w:rPr>
        <w:t>ביטול בששים לא שייך גבי מליחה דאין האיסור עובר בכל אלא נשאר במקומו ולפיכך צריך קליפה</w:t>
      </w:r>
      <w:r w:rsidRPr="00B1234F">
        <w:rPr>
          <w:rFonts w:cs="Arial" w:hint="cs"/>
          <w:rtl/>
        </w:rPr>
        <w:t>,</w:t>
      </w:r>
      <w:r w:rsidRPr="00B1234F">
        <w:rPr>
          <w:rFonts w:cs="Arial"/>
          <w:rtl/>
        </w:rPr>
        <w:t xml:space="preserve"> ובקליפה מיהא סגי ליה</w:t>
      </w:r>
      <w:r>
        <w:rPr>
          <w:rStyle w:val="a7"/>
          <w:rFonts w:cs="Arial"/>
          <w:rtl/>
        </w:rPr>
        <w:footnoteReference w:id="2239"/>
      </w:r>
      <w:r w:rsidRPr="00B1234F">
        <w:rPr>
          <w:rFonts w:cs="Arial"/>
          <w:rtl/>
        </w:rPr>
        <w:t xml:space="preserve">. </w:t>
      </w:r>
    </w:p>
    <w:p w14:paraId="69700F82" w14:textId="77777777" w:rsidR="002C39F4" w:rsidRPr="00CC5BED" w:rsidRDefault="002C39F4" w:rsidP="0032102C">
      <w:pPr>
        <w:pStyle w:val="a8"/>
        <w:numPr>
          <w:ilvl w:val="1"/>
          <w:numId w:val="234"/>
        </w:numPr>
        <w:rPr>
          <w:rFonts w:cs="Arial"/>
          <w:rtl/>
        </w:rPr>
      </w:pPr>
      <w:r>
        <w:rPr>
          <w:rFonts w:cs="Arial" w:hint="cs"/>
          <w:rtl/>
        </w:rPr>
        <w:t xml:space="preserve">ב"י- </w:t>
      </w:r>
      <w:r w:rsidRPr="00284687">
        <w:rPr>
          <w:rFonts w:cs="Arial"/>
          <w:rtl/>
        </w:rPr>
        <w:t>ולענין הלכה כיון דרובא דהנך רבוותא סברי דמליחה בששים</w:t>
      </w:r>
      <w:r>
        <w:rPr>
          <w:rFonts w:cs="Arial" w:hint="cs"/>
          <w:rtl/>
        </w:rPr>
        <w:t>,</w:t>
      </w:r>
      <w:r w:rsidRPr="00284687">
        <w:rPr>
          <w:rFonts w:cs="Arial"/>
          <w:rtl/>
        </w:rPr>
        <w:t xml:space="preserve"> וגם הרשב"א והר"ן ורבינו סבורים כן</w:t>
      </w:r>
      <w:r>
        <w:rPr>
          <w:rFonts w:cs="Arial" w:hint="cs"/>
          <w:rtl/>
        </w:rPr>
        <w:t>,</w:t>
      </w:r>
      <w:r w:rsidRPr="00284687">
        <w:rPr>
          <w:rFonts w:cs="Arial"/>
          <w:rtl/>
        </w:rPr>
        <w:t xml:space="preserve"> הכי נקטינן</w:t>
      </w:r>
      <w:r>
        <w:rPr>
          <w:rStyle w:val="a7"/>
          <w:rFonts w:cs="Arial"/>
          <w:rtl/>
        </w:rPr>
        <w:footnoteReference w:id="2240"/>
      </w:r>
      <w:r>
        <w:rPr>
          <w:rFonts w:cs="Arial" w:hint="cs"/>
          <w:rtl/>
        </w:rPr>
        <w:t>..</w:t>
      </w:r>
      <w:r w:rsidRPr="00284687">
        <w:rPr>
          <w:rFonts w:cs="Arial"/>
          <w:rtl/>
        </w:rPr>
        <w:t>.</w:t>
      </w:r>
      <w:r w:rsidRPr="00DE7A23">
        <w:rPr>
          <w:rFonts w:cs="Arial"/>
          <w:rtl/>
        </w:rPr>
        <w:t xml:space="preserve"> </w:t>
      </w:r>
      <w:r>
        <w:rPr>
          <w:rFonts w:cs="Arial" w:hint="cs"/>
          <w:rtl/>
        </w:rPr>
        <w:t>ו</w:t>
      </w:r>
      <w:r w:rsidRPr="00284687">
        <w:rPr>
          <w:rFonts w:cs="Arial"/>
          <w:rtl/>
        </w:rPr>
        <w:t>אע"פ שהוא בטל בששים צריך ליטול ממקום שנפל שם האיסור כדי נטילת מקום</w:t>
      </w:r>
      <w:r>
        <w:rPr>
          <w:rFonts w:cs="Arial" w:hint="cs"/>
          <w:rtl/>
        </w:rPr>
        <w:t xml:space="preserve">... </w:t>
      </w:r>
      <w:r w:rsidRPr="00CC5BED">
        <w:rPr>
          <w:rFonts w:cs="Arial"/>
          <w:rtl/>
        </w:rPr>
        <w:t>וכבר נתבאר שכל זה דוקא בחלב ממש אע</w:t>
      </w:r>
      <w:r w:rsidRPr="00CC5BED">
        <w:rPr>
          <w:rFonts w:cs="Arial" w:hint="cs"/>
          <w:rtl/>
        </w:rPr>
        <w:t>"</w:t>
      </w:r>
      <w:r w:rsidRPr="00CC5BED">
        <w:rPr>
          <w:rFonts w:cs="Arial"/>
          <w:rtl/>
        </w:rPr>
        <w:t>פ שהבשר שנצלה או נמלח עמו הוא כחוש</w:t>
      </w:r>
      <w:r>
        <w:rPr>
          <w:rFonts w:cs="Arial" w:hint="cs"/>
          <w:rtl/>
        </w:rPr>
        <w:t>,</w:t>
      </w:r>
      <w:r w:rsidRPr="00CC5BED">
        <w:rPr>
          <w:rFonts w:cs="Arial"/>
          <w:rtl/>
        </w:rPr>
        <w:t xml:space="preserve"> אבל שומן גיד וקנוקנות שבו וקרומות אינם מפעפעים ובקליפה סגי להו</w:t>
      </w:r>
      <w:r w:rsidRPr="00CC5BED">
        <w:rPr>
          <w:rFonts w:cs="Arial" w:hint="cs"/>
          <w:rtl/>
        </w:rPr>
        <w:t>,</w:t>
      </w:r>
      <w:r w:rsidRPr="00CC5BED">
        <w:rPr>
          <w:rFonts w:cs="Arial"/>
          <w:rtl/>
        </w:rPr>
        <w:t xml:space="preserve"> והוא שהבשר שנמלח עמם לא היה שמן</w:t>
      </w:r>
      <w:r w:rsidRPr="00CC5BED">
        <w:rPr>
          <w:rFonts w:cs="Arial" w:hint="cs"/>
          <w:rtl/>
        </w:rPr>
        <w:t>,</w:t>
      </w:r>
      <w:r w:rsidRPr="00CC5BED">
        <w:rPr>
          <w:rFonts w:cs="Arial"/>
          <w:rtl/>
        </w:rPr>
        <w:t xml:space="preserve"> אבל אם היה שמן מפעפע האיסור על ידו ודינו כחלב גמור להתבטל בס' ולהצריכו לדעת הרשב"א כדי קליפה בשומן גיד דהוי ודאי דרבנן</w:t>
      </w:r>
      <w:r>
        <w:rPr>
          <w:rFonts w:cs="Arial" w:hint="cs"/>
          <w:rtl/>
        </w:rPr>
        <w:t>,</w:t>
      </w:r>
      <w:r w:rsidRPr="00CC5BED">
        <w:rPr>
          <w:rFonts w:cs="Arial"/>
          <w:rtl/>
        </w:rPr>
        <w:t xml:space="preserve"> ובקרומות דמספקא לן אי הוו דאו</w:t>
      </w:r>
      <w:r>
        <w:rPr>
          <w:rFonts w:cs="Arial" w:hint="cs"/>
          <w:rtl/>
        </w:rPr>
        <w:t>'</w:t>
      </w:r>
      <w:r w:rsidRPr="00CC5BED">
        <w:rPr>
          <w:rFonts w:cs="Arial"/>
          <w:rtl/>
        </w:rPr>
        <w:t xml:space="preserve"> איפשר דנטילת מקום נמי בעו</w:t>
      </w:r>
      <w:r w:rsidRPr="00CC5BED">
        <w:rPr>
          <w:rFonts w:cs="Arial" w:hint="cs"/>
          <w:rtl/>
        </w:rPr>
        <w:t>.</w:t>
      </w:r>
    </w:p>
    <w:p w14:paraId="0B0FD6AE" w14:textId="77777777" w:rsidR="002C39F4" w:rsidRPr="00CC5BED" w:rsidRDefault="002C39F4" w:rsidP="002C39F4">
      <w:pPr>
        <w:ind w:left="360"/>
        <w:rPr>
          <w:rFonts w:cs="Arial"/>
          <w:u w:val="dotted"/>
          <w:rtl/>
        </w:rPr>
      </w:pPr>
      <w:r w:rsidRPr="004146BD">
        <w:rPr>
          <w:rFonts w:cs="Arial"/>
          <w:u w:val="dotted"/>
          <w:rtl/>
        </w:rPr>
        <w:t>כל זה בחתיכה עצמה שהיה החלב דבוק</w:t>
      </w:r>
      <w:r>
        <w:rPr>
          <w:rFonts w:cs="Arial" w:hint="cs"/>
          <w:u w:val="dotted"/>
          <w:rtl/>
        </w:rPr>
        <w:t xml:space="preserve"> בה </w:t>
      </w:r>
      <w:r>
        <w:rPr>
          <w:rFonts w:cs="Arial"/>
          <w:u w:val="dotted"/>
          <w:rtl/>
        </w:rPr>
        <w:t>–</w:t>
      </w:r>
      <w:r w:rsidRPr="004146BD">
        <w:rPr>
          <w:rFonts w:cs="Arial"/>
          <w:u w:val="dotted"/>
          <w:rtl/>
        </w:rPr>
        <w:t xml:space="preserve"> </w:t>
      </w:r>
      <w:r>
        <w:rPr>
          <w:rFonts w:cs="Arial" w:hint="cs"/>
          <w:u w:val="dotted"/>
          <w:rtl/>
        </w:rPr>
        <w:t>אבל מהדין</w:t>
      </w:r>
      <w:r w:rsidRPr="004146BD">
        <w:rPr>
          <w:rFonts w:cs="Arial"/>
          <w:u w:val="dotted"/>
          <w:rtl/>
        </w:rPr>
        <w:t xml:space="preserve"> שאר </w:t>
      </w:r>
      <w:r>
        <w:rPr>
          <w:rFonts w:cs="Arial" w:hint="cs"/>
          <w:u w:val="dotted"/>
          <w:rtl/>
        </w:rPr>
        <w:t>ה</w:t>
      </w:r>
      <w:r w:rsidRPr="004146BD">
        <w:rPr>
          <w:rFonts w:cs="Arial"/>
          <w:u w:val="dotted"/>
          <w:rtl/>
        </w:rPr>
        <w:t>חתיכות שנמלחו יחד</w:t>
      </w:r>
      <w:r>
        <w:rPr>
          <w:rFonts w:cs="Arial" w:hint="cs"/>
          <w:u w:val="dotted"/>
          <w:rtl/>
        </w:rPr>
        <w:t xml:space="preserve"> עמה</w:t>
      </w:r>
      <w:r>
        <w:rPr>
          <w:rFonts w:cs="Arial" w:hint="cs"/>
          <w:sz w:val="16"/>
          <w:szCs w:val="16"/>
          <w:u w:val="dotted"/>
          <w:rtl/>
        </w:rPr>
        <w:t xml:space="preserve"> (ע"פ ל' הב"י)</w:t>
      </w:r>
      <w:r w:rsidRPr="00CC5BED">
        <w:rPr>
          <w:rFonts w:cs="Arial" w:hint="cs"/>
          <w:u w:val="dotted"/>
          <w:rtl/>
        </w:rPr>
        <w:t>:</w:t>
      </w:r>
      <w:r w:rsidRPr="00CC5BED">
        <w:rPr>
          <w:rFonts w:cs="Arial"/>
          <w:u w:val="dotted"/>
          <w:rtl/>
        </w:rPr>
        <w:t xml:space="preserve"> </w:t>
      </w:r>
    </w:p>
    <w:p w14:paraId="79AB8CA0" w14:textId="77777777" w:rsidR="002C39F4" w:rsidRDefault="002C39F4" w:rsidP="0032102C">
      <w:pPr>
        <w:pStyle w:val="a8"/>
        <w:numPr>
          <w:ilvl w:val="0"/>
          <w:numId w:val="235"/>
        </w:numPr>
        <w:rPr>
          <w:rFonts w:cs="Arial"/>
        </w:rPr>
      </w:pPr>
      <w:r w:rsidRPr="00CC5BED">
        <w:rPr>
          <w:rFonts w:cs="Arial"/>
          <w:rtl/>
        </w:rPr>
        <w:t xml:space="preserve">מרדכי </w:t>
      </w:r>
      <w:r w:rsidRPr="00CC5BED">
        <w:rPr>
          <w:rFonts w:cs="Arial"/>
          <w:sz w:val="16"/>
          <w:szCs w:val="16"/>
          <w:rtl/>
        </w:rPr>
        <w:t xml:space="preserve">(סי' תרפג) </w:t>
      </w:r>
      <w:r w:rsidRPr="00CC5BED">
        <w:rPr>
          <w:rFonts w:cs="Arial" w:hint="cs"/>
          <w:rtl/>
        </w:rPr>
        <w:t>בשם</w:t>
      </w:r>
      <w:r w:rsidRPr="00CC5BED">
        <w:rPr>
          <w:rFonts w:cs="Arial"/>
          <w:rtl/>
        </w:rPr>
        <w:t xml:space="preserve"> </w:t>
      </w:r>
      <w:r>
        <w:rPr>
          <w:rFonts w:cs="Arial" w:hint="cs"/>
          <w:rtl/>
        </w:rPr>
        <w:t>מ</w:t>
      </w:r>
      <w:r w:rsidRPr="00CC5BED">
        <w:rPr>
          <w:rFonts w:cs="Arial"/>
          <w:rtl/>
        </w:rPr>
        <w:t xml:space="preserve">הר"ם </w:t>
      </w:r>
      <w:r w:rsidRPr="00CC5BED">
        <w:rPr>
          <w:rFonts w:cs="Arial"/>
          <w:sz w:val="16"/>
          <w:szCs w:val="16"/>
          <w:rtl/>
        </w:rPr>
        <w:t>(שו"ת ד"פ ח"ד סי' תקטז ותריז)</w:t>
      </w:r>
      <w:r w:rsidRPr="00CC5BED">
        <w:rPr>
          <w:rFonts w:cs="Arial" w:hint="cs"/>
          <w:rtl/>
        </w:rPr>
        <w:t xml:space="preserve">- </w:t>
      </w:r>
      <w:r w:rsidRPr="00CC5BED">
        <w:rPr>
          <w:rFonts w:cs="Arial"/>
          <w:rtl/>
        </w:rPr>
        <w:t>אם אין בכל אחת מהם בפני עצמה ששים לבטל החלב אסורות</w:t>
      </w:r>
      <w:r>
        <w:rPr>
          <w:rFonts w:cs="Arial" w:hint="cs"/>
          <w:rtl/>
        </w:rPr>
        <w:t>,</w:t>
      </w:r>
      <w:r w:rsidRPr="00CC5BED">
        <w:rPr>
          <w:rFonts w:cs="Arial"/>
          <w:rtl/>
        </w:rPr>
        <w:t xml:space="preserve"> ואין מצטרפות ביחד לבטל החלב כיון דאין חלב מפעפע מחתיכה לחתיכה בלא רוטב כמו שהוכחנו מטפת חלב </w:t>
      </w:r>
      <w:r w:rsidRPr="00CC5BED">
        <w:rPr>
          <w:rFonts w:cs="Arial"/>
          <w:sz w:val="16"/>
          <w:szCs w:val="16"/>
          <w:rtl/>
        </w:rPr>
        <w:t xml:space="preserve">(חולין קח.) </w:t>
      </w:r>
      <w:r w:rsidRPr="00CC5BED">
        <w:rPr>
          <w:rFonts w:cs="Arial"/>
          <w:rtl/>
        </w:rPr>
        <w:t>אם לא ניער וכסה</w:t>
      </w:r>
      <w:r w:rsidRPr="00CC5BED">
        <w:rPr>
          <w:rFonts w:cs="Arial" w:hint="cs"/>
          <w:rtl/>
        </w:rPr>
        <w:t>,</w:t>
      </w:r>
      <w:r w:rsidRPr="00CC5BED">
        <w:rPr>
          <w:rFonts w:cs="Arial"/>
          <w:rtl/>
        </w:rPr>
        <w:t xml:space="preserve"> ואם יש ספק באותן חתיכות באי זו חתיכה נגע החלב ויש שם חתיכות הרבה דאיכא לאסתפוקי דילמא בהא נגע או בהא נגע כולו מותר דחד בתרי בטלי ואפילו הם חתיכות הראויות להתכבד</w:t>
      </w:r>
      <w:r>
        <w:rPr>
          <w:rFonts w:cs="Arial" w:hint="cs"/>
          <w:rtl/>
        </w:rPr>
        <w:t>,</w:t>
      </w:r>
      <w:r w:rsidRPr="00CC5BED">
        <w:rPr>
          <w:rFonts w:cs="Arial"/>
          <w:rtl/>
        </w:rPr>
        <w:t xml:space="preserve"> משום דכשאין איסור חתיכה מחמת עצמה אלא מחמת דבר הבלוע בה אפילו הכיר תחלה אי זו היא שנגעה בו ונאסרה ושוב נתערבה בשתים ולא מינכרא בטלה ברוב</w:t>
      </w:r>
      <w:r>
        <w:rPr>
          <w:rFonts w:cs="Arial" w:hint="cs"/>
          <w:rtl/>
        </w:rPr>
        <w:t>,</w:t>
      </w:r>
      <w:r w:rsidRPr="00CC5BED">
        <w:rPr>
          <w:rFonts w:cs="Arial"/>
          <w:rtl/>
        </w:rPr>
        <w:t xml:space="preserve"> כ"ש היכא דלא ידע מעולם אי זו נגעה ואיזו לא נגעה דשרו כולהו מספיקא דאכל חדא איכא למימר דילמא הא לא נגעה</w:t>
      </w:r>
      <w:r>
        <w:rPr>
          <w:rStyle w:val="a7"/>
          <w:rFonts w:cs="Arial"/>
          <w:rtl/>
        </w:rPr>
        <w:footnoteReference w:id="2241"/>
      </w:r>
      <w:r w:rsidRPr="00CC5BED">
        <w:rPr>
          <w:rFonts w:cs="Arial" w:hint="cs"/>
          <w:rtl/>
        </w:rPr>
        <w:t>.</w:t>
      </w:r>
      <w:r>
        <w:rPr>
          <w:rFonts w:cs="Arial" w:hint="cs"/>
          <w:rtl/>
        </w:rPr>
        <w:t xml:space="preserve"> </w:t>
      </w:r>
      <w:r w:rsidRPr="009B56E4">
        <w:rPr>
          <w:rFonts w:cs="Arial" w:hint="cs"/>
          <w:color w:val="E36C0A" w:themeColor="accent6" w:themeShade="BF"/>
          <w:rtl/>
        </w:rPr>
        <w:t>(וכ"פ בשו"ע)</w:t>
      </w:r>
    </w:p>
    <w:p w14:paraId="453ED7E7" w14:textId="77777777" w:rsidR="002C39F4" w:rsidRDefault="002C39F4" w:rsidP="0032102C">
      <w:pPr>
        <w:pStyle w:val="a8"/>
        <w:numPr>
          <w:ilvl w:val="0"/>
          <w:numId w:val="235"/>
        </w:numPr>
        <w:rPr>
          <w:rFonts w:cs="Arial"/>
        </w:rPr>
      </w:pPr>
      <w:r w:rsidRPr="00BF1AF0">
        <w:rPr>
          <w:rFonts w:cs="Arial"/>
          <w:rtl/>
        </w:rPr>
        <w:t xml:space="preserve">רבינו נתנאל </w:t>
      </w:r>
      <w:r w:rsidRPr="00A71D24">
        <w:rPr>
          <w:rFonts w:cs="Arial" w:hint="cs"/>
          <w:sz w:val="16"/>
          <w:szCs w:val="16"/>
          <w:rtl/>
        </w:rPr>
        <w:t>(הביאו ה</w:t>
      </w:r>
      <w:r w:rsidRPr="00A71D24">
        <w:rPr>
          <w:rFonts w:cs="Arial"/>
          <w:sz w:val="16"/>
          <w:szCs w:val="16"/>
          <w:rtl/>
        </w:rPr>
        <w:t>מרדכי פג"ה סי' תרפא</w:t>
      </w:r>
      <w:r w:rsidRPr="00A71D24">
        <w:rPr>
          <w:rFonts w:cs="Arial" w:hint="cs"/>
          <w:sz w:val="16"/>
          <w:szCs w:val="16"/>
          <w:rtl/>
        </w:rPr>
        <w:t>)</w:t>
      </w:r>
      <w:r>
        <w:rPr>
          <w:rFonts w:cs="Arial" w:hint="cs"/>
          <w:rtl/>
        </w:rPr>
        <w:t xml:space="preserve">- </w:t>
      </w:r>
      <w:r w:rsidRPr="00BF1AF0">
        <w:rPr>
          <w:rFonts w:cs="Arial"/>
          <w:rtl/>
        </w:rPr>
        <w:t xml:space="preserve">אם אין בחתיכת בשר ס' מחלבה אך עם שאר החתיכות יש ששים מן החלב </w:t>
      </w:r>
      <w:r>
        <w:rPr>
          <w:rFonts w:cs="Arial" w:hint="cs"/>
          <w:rtl/>
        </w:rPr>
        <w:t>יש</w:t>
      </w:r>
      <w:r w:rsidRPr="00BF1AF0">
        <w:rPr>
          <w:rFonts w:cs="Arial"/>
          <w:rtl/>
        </w:rPr>
        <w:t xml:space="preserve"> </w:t>
      </w:r>
      <w:r>
        <w:rPr>
          <w:rFonts w:cs="Arial" w:hint="cs"/>
          <w:rtl/>
        </w:rPr>
        <w:t>לה</w:t>
      </w:r>
      <w:r w:rsidRPr="00BF1AF0">
        <w:rPr>
          <w:rFonts w:cs="Arial"/>
          <w:rtl/>
        </w:rPr>
        <w:t>חמיר ו</w:t>
      </w:r>
      <w:r>
        <w:rPr>
          <w:rFonts w:cs="Arial" w:hint="cs"/>
          <w:rtl/>
        </w:rPr>
        <w:t>ל</w:t>
      </w:r>
      <w:r w:rsidRPr="00BF1AF0">
        <w:rPr>
          <w:rFonts w:cs="Arial"/>
          <w:rtl/>
        </w:rPr>
        <w:t>אס</w:t>
      </w:r>
      <w:r>
        <w:rPr>
          <w:rFonts w:cs="Arial" w:hint="cs"/>
          <w:rtl/>
        </w:rPr>
        <w:t>ו</w:t>
      </w:r>
      <w:r w:rsidRPr="00BF1AF0">
        <w:rPr>
          <w:rFonts w:cs="Arial"/>
          <w:rtl/>
        </w:rPr>
        <w:t>ר החתיכה שיש בה החלב אפילו יש בשאר החתיכות ששים מן החלב</w:t>
      </w:r>
      <w:r>
        <w:rPr>
          <w:rFonts w:cs="Arial" w:hint="cs"/>
          <w:rtl/>
        </w:rPr>
        <w:t>,</w:t>
      </w:r>
      <w:r w:rsidRPr="00BF1AF0">
        <w:rPr>
          <w:rFonts w:cs="Arial"/>
          <w:rtl/>
        </w:rPr>
        <w:t xml:space="preserve"> שמא אין חלב מפעפע מחתיכה לחתיכה ואין בהם ששים לבטלו</w:t>
      </w:r>
      <w:r w:rsidRPr="00BF1AF0">
        <w:rPr>
          <w:rFonts w:cs="Arial" w:hint="cs"/>
          <w:rtl/>
        </w:rPr>
        <w:t>,</w:t>
      </w:r>
      <w:r w:rsidRPr="00BF1AF0">
        <w:rPr>
          <w:rFonts w:cs="Arial"/>
          <w:rtl/>
        </w:rPr>
        <w:t xml:space="preserve"> אבל אם נוגע החלב בחתיכה אחרת מצטרפת אותה חתיכה עצמה לבטלה דכה"ג לא קרי פעפוע מחתיכה לחתיכה דכיון שנגע בה הוי כאילו דבוק בה</w:t>
      </w:r>
      <w:r>
        <w:rPr>
          <w:rFonts w:cs="Arial" w:hint="cs"/>
          <w:rtl/>
        </w:rPr>
        <w:t>.</w:t>
      </w:r>
      <w:r w:rsidRPr="00A71D24">
        <w:rPr>
          <w:rFonts w:cs="Arial"/>
          <w:rtl/>
        </w:rPr>
        <w:t xml:space="preserve"> </w:t>
      </w:r>
    </w:p>
    <w:p w14:paraId="16ED8379" w14:textId="77777777" w:rsidR="002C39F4" w:rsidRDefault="002C39F4" w:rsidP="0032102C">
      <w:pPr>
        <w:pStyle w:val="a8"/>
        <w:numPr>
          <w:ilvl w:val="0"/>
          <w:numId w:val="235"/>
        </w:numPr>
        <w:rPr>
          <w:rFonts w:cs="Arial"/>
        </w:rPr>
      </w:pPr>
      <w:r w:rsidRPr="00A71D24">
        <w:rPr>
          <w:rFonts w:cs="Arial"/>
          <w:rtl/>
        </w:rPr>
        <w:t>או</w:t>
      </w:r>
      <w:r w:rsidRPr="00A71D24">
        <w:rPr>
          <w:rFonts w:cs="Arial" w:hint="cs"/>
          <w:rtl/>
        </w:rPr>
        <w:t>"ז</w:t>
      </w:r>
      <w:r w:rsidRPr="00A71D24">
        <w:rPr>
          <w:rFonts w:cs="Arial"/>
          <w:rtl/>
        </w:rPr>
        <w:t xml:space="preserve"> </w:t>
      </w:r>
      <w:r w:rsidRPr="00A71D24">
        <w:rPr>
          <w:rFonts w:cs="Arial"/>
          <w:sz w:val="16"/>
          <w:szCs w:val="16"/>
          <w:rtl/>
        </w:rPr>
        <w:t>(ח"א סי' תנג</w:t>
      </w:r>
      <w:r w:rsidRPr="00A71D24">
        <w:rPr>
          <w:rFonts w:cs="Arial" w:hint="cs"/>
          <w:sz w:val="16"/>
          <w:szCs w:val="16"/>
          <w:rtl/>
        </w:rPr>
        <w:t xml:space="preserve">, הביאו </w:t>
      </w:r>
      <w:r w:rsidRPr="00A71D24">
        <w:rPr>
          <w:rFonts w:cs="Arial"/>
          <w:sz w:val="16"/>
          <w:szCs w:val="16"/>
          <w:rtl/>
        </w:rPr>
        <w:t>המרדכי שם סי' תרפ</w:t>
      </w:r>
      <w:r w:rsidRPr="00A71D24">
        <w:rPr>
          <w:rFonts w:cs="Arial" w:hint="cs"/>
          <w:sz w:val="16"/>
          <w:szCs w:val="16"/>
          <w:rtl/>
        </w:rPr>
        <w:t>, וכ' שכן שמע ממנו)</w:t>
      </w:r>
      <w:r w:rsidRPr="00A71D24">
        <w:rPr>
          <w:rFonts w:cs="Arial" w:hint="cs"/>
          <w:rtl/>
        </w:rPr>
        <w:t xml:space="preserve">- </w:t>
      </w:r>
      <w:r w:rsidRPr="00A71D24">
        <w:rPr>
          <w:rFonts w:cs="Arial"/>
          <w:rtl/>
        </w:rPr>
        <w:t>אם אין בחתיכה שבה החלב לבטלו בס' ח</w:t>
      </w:r>
      <w:r>
        <w:rPr>
          <w:rFonts w:cs="Arial" w:hint="cs"/>
          <w:rtl/>
        </w:rPr>
        <w:t>ענ"נ</w:t>
      </w:r>
      <w:r w:rsidRPr="00A71D24">
        <w:rPr>
          <w:rFonts w:cs="Arial"/>
          <w:rtl/>
        </w:rPr>
        <w:t xml:space="preserve"> ואוסרת שאר החתיכות בששים כנגד כל החתיכה שהחלב דבוק בה</w:t>
      </w:r>
      <w:r>
        <w:rPr>
          <w:rStyle w:val="a7"/>
          <w:rFonts w:cs="Arial"/>
          <w:rtl/>
        </w:rPr>
        <w:footnoteReference w:id="2242"/>
      </w:r>
      <w:r w:rsidRPr="00A71D24">
        <w:rPr>
          <w:rFonts w:cs="Arial" w:hint="cs"/>
          <w:rtl/>
        </w:rPr>
        <w:t>.</w:t>
      </w:r>
      <w:r>
        <w:rPr>
          <w:rFonts w:cs="Arial" w:hint="cs"/>
          <w:rtl/>
        </w:rPr>
        <w:t xml:space="preserve"> </w:t>
      </w:r>
      <w:r w:rsidRPr="003469DD">
        <w:rPr>
          <w:rFonts w:cs="Arial" w:hint="cs"/>
          <w:color w:val="00B0F0"/>
          <w:rtl/>
        </w:rPr>
        <w:t xml:space="preserve">(וכ"פ הרמ"א </w:t>
      </w:r>
      <w:r w:rsidRPr="003469DD">
        <w:rPr>
          <w:rFonts w:cs="Arial" w:hint="cs"/>
          <w:sz w:val="16"/>
          <w:szCs w:val="16"/>
          <w:rtl/>
        </w:rPr>
        <w:t>[וכ"פ בדרכ"מ</w:t>
      </w:r>
      <w:r w:rsidRPr="003469DD">
        <w:rPr>
          <w:rStyle w:val="a7"/>
          <w:rFonts w:cs="Arial"/>
          <w:rtl/>
        </w:rPr>
        <w:footnoteReference w:id="2243"/>
      </w:r>
      <w:r w:rsidRPr="003469DD">
        <w:rPr>
          <w:rFonts w:cs="Arial" w:hint="cs"/>
          <w:sz w:val="10"/>
          <w:szCs w:val="10"/>
          <w:rtl/>
        </w:rPr>
        <w:t xml:space="preserve"> </w:t>
      </w:r>
      <w:r w:rsidRPr="0044669A">
        <w:rPr>
          <w:rFonts w:cs="Arial" w:hint="cs"/>
          <w:sz w:val="16"/>
          <w:szCs w:val="16"/>
          <w:rtl/>
        </w:rPr>
        <w:t>אות יב</w:t>
      </w:r>
      <w:r>
        <w:rPr>
          <w:rFonts w:cs="Arial" w:hint="cs"/>
          <w:sz w:val="16"/>
          <w:szCs w:val="16"/>
          <w:rtl/>
        </w:rPr>
        <w:t>]</w:t>
      </w:r>
      <w:r w:rsidRPr="003469DD">
        <w:rPr>
          <w:rFonts w:cs="Arial" w:hint="cs"/>
          <w:color w:val="00B0F0"/>
          <w:rtl/>
        </w:rPr>
        <w:t>)</w:t>
      </w:r>
    </w:p>
    <w:p w14:paraId="30D98888" w14:textId="77777777" w:rsidR="002C39F4" w:rsidRPr="0044669A" w:rsidRDefault="002C39F4" w:rsidP="0032102C">
      <w:pPr>
        <w:pStyle w:val="a8"/>
        <w:numPr>
          <w:ilvl w:val="1"/>
          <w:numId w:val="235"/>
        </w:numPr>
        <w:rPr>
          <w:rFonts w:cs="Arial"/>
          <w:rtl/>
        </w:rPr>
      </w:pPr>
      <w:r>
        <w:rPr>
          <w:rFonts w:hint="cs"/>
          <w:rtl/>
        </w:rPr>
        <w:t>ב"י-</w:t>
      </w:r>
      <w:r w:rsidRPr="00A71D24">
        <w:rPr>
          <w:rFonts w:cs="Arial"/>
          <w:rtl/>
        </w:rPr>
        <w:t xml:space="preserve"> </w:t>
      </w:r>
      <w:r>
        <w:rPr>
          <w:rFonts w:cs="Arial"/>
          <w:rtl/>
        </w:rPr>
        <w:t>נלע"ד דכמהר"ם דסבר אינו מפעפע מחתיכה לחתיכה נקטינן</w:t>
      </w:r>
      <w:r>
        <w:rPr>
          <w:rFonts w:cs="Arial" w:hint="cs"/>
          <w:rtl/>
        </w:rPr>
        <w:t>,</w:t>
      </w:r>
      <w:r>
        <w:rPr>
          <w:rFonts w:cs="Arial"/>
          <w:rtl/>
        </w:rPr>
        <w:t xml:space="preserve"> שהוא יותר מפורסם מרבינו נתנאל</w:t>
      </w:r>
      <w:r>
        <w:rPr>
          <w:rFonts w:cs="Arial" w:hint="cs"/>
          <w:rtl/>
        </w:rPr>
        <w:t>,</w:t>
      </w:r>
      <w:r>
        <w:rPr>
          <w:rFonts w:cs="Arial"/>
          <w:rtl/>
        </w:rPr>
        <w:t xml:space="preserve"> ועוד דלא שבקינן מאי דפשיטא ליה למהר"ם משום מאי דמספקא לרבינו נתנאל</w:t>
      </w:r>
      <w:r w:rsidRPr="0044669A">
        <w:rPr>
          <w:rFonts w:cs="Arial" w:hint="cs"/>
          <w:rtl/>
        </w:rPr>
        <w:t>.</w:t>
      </w:r>
      <w:r>
        <w:rPr>
          <w:rFonts w:cs="Arial" w:hint="cs"/>
          <w:rtl/>
        </w:rPr>
        <w:t xml:space="preserve">  </w:t>
      </w:r>
    </w:p>
    <w:p w14:paraId="24579F80" w14:textId="77777777" w:rsidR="002C39F4" w:rsidRPr="00802AD7" w:rsidRDefault="002C39F4" w:rsidP="002C39F4">
      <w:pPr>
        <w:rPr>
          <w:rFonts w:cs="Arial"/>
          <w:u w:val="single"/>
          <w:rtl/>
        </w:rPr>
      </w:pPr>
      <w:r w:rsidRPr="00802AD7">
        <w:rPr>
          <w:rFonts w:cs="Arial"/>
          <w:u w:val="single"/>
          <w:rtl/>
        </w:rPr>
        <w:t xml:space="preserve">חתיכת בשר </w:t>
      </w:r>
      <w:r w:rsidRPr="00802AD7">
        <w:rPr>
          <w:rFonts w:cs="Arial" w:hint="cs"/>
          <w:u w:val="single"/>
          <w:rtl/>
        </w:rPr>
        <w:t xml:space="preserve">שנמלחה </w:t>
      </w:r>
      <w:r w:rsidRPr="00802AD7">
        <w:rPr>
          <w:rFonts w:cs="Arial"/>
          <w:u w:val="single"/>
          <w:rtl/>
        </w:rPr>
        <w:t>עם חלב</w:t>
      </w:r>
      <w:r w:rsidRPr="00802AD7">
        <w:rPr>
          <w:rFonts w:cs="Arial" w:hint="cs"/>
          <w:u w:val="single"/>
          <w:rtl/>
        </w:rPr>
        <w:t>ה</w:t>
      </w:r>
      <w:r>
        <w:rPr>
          <w:rFonts w:cs="Arial" w:hint="cs"/>
          <w:sz w:val="16"/>
          <w:szCs w:val="16"/>
          <w:u w:val="single"/>
          <w:rtl/>
        </w:rPr>
        <w:t xml:space="preserve"> (וכגון שחלבה כחוש)</w:t>
      </w:r>
      <w:r>
        <w:rPr>
          <w:rFonts w:cs="Arial" w:hint="cs"/>
          <w:u w:val="single"/>
          <w:rtl/>
        </w:rPr>
        <w:t xml:space="preserve"> -</w:t>
      </w:r>
      <w:r w:rsidRPr="00802AD7">
        <w:rPr>
          <w:rFonts w:cs="Arial"/>
          <w:u w:val="single"/>
          <w:rtl/>
        </w:rPr>
        <w:t xml:space="preserve"> </w:t>
      </w:r>
      <w:r w:rsidRPr="00802AD7">
        <w:rPr>
          <w:rFonts w:cs="Arial" w:hint="cs"/>
          <w:u w:val="single"/>
          <w:rtl/>
        </w:rPr>
        <w:t>האם צריך לאחר הני</w:t>
      </w:r>
      <w:r w:rsidRPr="00802AD7">
        <w:rPr>
          <w:rFonts w:cs="Arial"/>
          <w:u w:val="single"/>
          <w:rtl/>
        </w:rPr>
        <w:t>ק</w:t>
      </w:r>
      <w:r w:rsidRPr="00802AD7">
        <w:rPr>
          <w:rFonts w:cs="Arial" w:hint="cs"/>
          <w:u w:val="single"/>
          <w:rtl/>
        </w:rPr>
        <w:t>ו</w:t>
      </w:r>
      <w:r w:rsidRPr="00802AD7">
        <w:rPr>
          <w:rFonts w:cs="Arial"/>
          <w:u w:val="single"/>
          <w:rtl/>
        </w:rPr>
        <w:t xml:space="preserve">ר </w:t>
      </w:r>
      <w:r w:rsidRPr="00802AD7">
        <w:rPr>
          <w:rFonts w:cs="Arial" w:hint="cs"/>
          <w:u w:val="single"/>
          <w:rtl/>
        </w:rPr>
        <w:t xml:space="preserve">של החלב </w:t>
      </w:r>
      <w:r w:rsidRPr="00802AD7">
        <w:rPr>
          <w:rFonts w:cs="Arial"/>
          <w:u w:val="single"/>
          <w:rtl/>
        </w:rPr>
        <w:t>לחזור למלוח</w:t>
      </w:r>
      <w:r w:rsidRPr="00802AD7">
        <w:rPr>
          <w:rFonts w:cs="Arial" w:hint="cs"/>
          <w:u w:val="single"/>
          <w:rtl/>
        </w:rPr>
        <w:t>:</w:t>
      </w:r>
    </w:p>
    <w:p w14:paraId="508EC006" w14:textId="77777777" w:rsidR="002C39F4" w:rsidRDefault="002C39F4" w:rsidP="002C39F4">
      <w:pPr>
        <w:pStyle w:val="a8"/>
        <w:numPr>
          <w:ilvl w:val="0"/>
          <w:numId w:val="92"/>
        </w:numPr>
        <w:rPr>
          <w:rtl/>
        </w:rPr>
      </w:pPr>
      <w:r w:rsidRPr="00802AD7">
        <w:rPr>
          <w:rFonts w:cs="Arial" w:hint="cs"/>
          <w:rtl/>
        </w:rPr>
        <w:t xml:space="preserve">ב"י- </w:t>
      </w:r>
      <w:r w:rsidRPr="00802AD7">
        <w:rPr>
          <w:rFonts w:cs="Arial"/>
          <w:rtl/>
        </w:rPr>
        <w:t>שמעתי שהיו נוהגות הנשים כשנמלח חתיכת בשר עם חלב שבו לנקרו ולחזור למלוח הבשר ונ"ל שאין טעם בדבר דלמה לא תעלה מליחה ראשונה דאטו החלב שבה מעכבה מלפלוט דמה וסבור הייתי שטעם מי שהורה להן כן שאיפשר מפני שע"י שגוררין החלב נמצא שמגלה מקום בבשר שלא נגע בו המלח תחלה</w:t>
      </w:r>
      <w:r w:rsidRPr="00802AD7">
        <w:rPr>
          <w:rFonts w:cs="Arial" w:hint="cs"/>
          <w:rtl/>
        </w:rPr>
        <w:t>,</w:t>
      </w:r>
      <w:r w:rsidRPr="00802AD7">
        <w:rPr>
          <w:rFonts w:cs="Arial"/>
          <w:rtl/>
        </w:rPr>
        <w:t xml:space="preserve"> ואח"כ ראיתי שטעם זה אין לו שחר דא"כ חתיכה שנמלחה יהא אסור לחתכה לשתים והרי מעשים בכל יום חותכים הבשר אחר מליחתו לכמה חתיכות ולא פקפק אדם בדבר מעולם וכך מבואר בדברי תשובת הרשב"א </w:t>
      </w:r>
      <w:r w:rsidRPr="00802AD7">
        <w:rPr>
          <w:rFonts w:cs="Arial"/>
          <w:sz w:val="16"/>
          <w:szCs w:val="16"/>
          <w:rtl/>
        </w:rPr>
        <w:t xml:space="preserve">(ח"א סי' רסה) </w:t>
      </w:r>
      <w:r w:rsidRPr="00802AD7">
        <w:rPr>
          <w:rFonts w:cs="Arial"/>
          <w:rtl/>
        </w:rPr>
        <w:t>להתיר ובשר שחותכים דק דק לפשטידא יוכיח הילכך אין להם על מה שיסמוכו כלל</w:t>
      </w:r>
      <w:r w:rsidRPr="00802AD7">
        <w:rPr>
          <w:rFonts w:cs="Arial" w:hint="cs"/>
          <w:rtl/>
        </w:rPr>
        <w:t>.</w:t>
      </w:r>
    </w:p>
    <w:p w14:paraId="0F698DCF" w14:textId="77777777" w:rsidR="002C39F4" w:rsidRPr="00A71D24" w:rsidRDefault="002C39F4" w:rsidP="002C39F4">
      <w:pPr>
        <w:rPr>
          <w:rFonts w:cs="Arial"/>
          <w:u w:val="single"/>
          <w:rtl/>
        </w:rPr>
      </w:pPr>
      <w:r w:rsidRPr="00A71D24">
        <w:rPr>
          <w:rFonts w:cs="Arial"/>
          <w:u w:val="single"/>
          <w:rtl/>
        </w:rPr>
        <w:t xml:space="preserve">חתיכה </w:t>
      </w:r>
      <w:r w:rsidRPr="00A71D24">
        <w:rPr>
          <w:rFonts w:cs="Arial" w:hint="cs"/>
          <w:u w:val="single"/>
          <w:rtl/>
        </w:rPr>
        <w:t xml:space="preserve">שמנה </w:t>
      </w:r>
      <w:r w:rsidRPr="00A71D24">
        <w:rPr>
          <w:rFonts w:cs="Arial"/>
          <w:u w:val="single"/>
          <w:rtl/>
        </w:rPr>
        <w:t>שנפלה מקצתה לתוך הציר</w:t>
      </w:r>
      <w:r w:rsidRPr="00A71D24">
        <w:rPr>
          <w:rFonts w:cs="Arial" w:hint="cs"/>
          <w:u w:val="single"/>
          <w:rtl/>
        </w:rPr>
        <w:t>:</w:t>
      </w:r>
    </w:p>
    <w:p w14:paraId="5F71F9B1" w14:textId="77777777" w:rsidR="002C39F4" w:rsidRPr="007931F2" w:rsidRDefault="002C39F4" w:rsidP="002C39F4">
      <w:pPr>
        <w:pStyle w:val="a8"/>
        <w:numPr>
          <w:ilvl w:val="0"/>
          <w:numId w:val="92"/>
        </w:numPr>
        <w:rPr>
          <w:rFonts w:cs="Arial"/>
          <w:rtl/>
        </w:rPr>
      </w:pPr>
      <w:r>
        <w:rPr>
          <w:rFonts w:cs="Arial"/>
          <w:rtl/>
        </w:rPr>
        <w:t xml:space="preserve">תוס' </w:t>
      </w:r>
      <w:r w:rsidRPr="007931F2">
        <w:rPr>
          <w:rFonts w:cs="Arial"/>
          <w:sz w:val="16"/>
          <w:szCs w:val="16"/>
          <w:rtl/>
        </w:rPr>
        <w:t xml:space="preserve">(צו: ד"ה אפילו) </w:t>
      </w:r>
      <w:r>
        <w:rPr>
          <w:rFonts w:cs="Arial"/>
          <w:rtl/>
        </w:rPr>
        <w:t xml:space="preserve">רא"ש </w:t>
      </w:r>
      <w:r w:rsidRPr="007931F2">
        <w:rPr>
          <w:rFonts w:cs="Arial" w:hint="cs"/>
          <w:sz w:val="16"/>
          <w:szCs w:val="16"/>
          <w:rtl/>
        </w:rPr>
        <w:t>(</w:t>
      </w:r>
      <w:r w:rsidRPr="007931F2">
        <w:rPr>
          <w:rFonts w:cs="Arial"/>
          <w:sz w:val="16"/>
          <w:szCs w:val="16"/>
          <w:rtl/>
        </w:rPr>
        <w:t>פג"ה סי' כד)</w:t>
      </w:r>
      <w:r>
        <w:rPr>
          <w:rFonts w:cs="Arial" w:hint="cs"/>
          <w:rtl/>
        </w:rPr>
        <w:t xml:space="preserve"> ו</w:t>
      </w:r>
      <w:r w:rsidRPr="00A71D24">
        <w:rPr>
          <w:rFonts w:cs="Arial" w:hint="cs"/>
          <w:rtl/>
        </w:rPr>
        <w:t xml:space="preserve">טור- </w:t>
      </w:r>
      <w:r w:rsidRPr="00A71D24">
        <w:rPr>
          <w:rFonts w:cs="Arial"/>
          <w:rtl/>
        </w:rPr>
        <w:t>חתיכה שנפלה מקצתה לתוך הציר שאנו אומרים מה שבציר אסור והשאר מותר</w:t>
      </w:r>
      <w:r>
        <w:rPr>
          <w:rFonts w:cs="Arial" w:hint="cs"/>
          <w:rtl/>
        </w:rPr>
        <w:t xml:space="preserve"> -</w:t>
      </w:r>
      <w:r w:rsidRPr="00A71D24">
        <w:rPr>
          <w:rFonts w:cs="Arial"/>
          <w:rtl/>
        </w:rPr>
        <w:t xml:space="preserve"> אפי' אם יש בה שומן אין הציר מפעפע על ידה לקצתה שחוץ לציר</w:t>
      </w:r>
      <w:r>
        <w:rPr>
          <w:rStyle w:val="a7"/>
          <w:rFonts w:cs="Arial"/>
          <w:rtl/>
        </w:rPr>
        <w:footnoteReference w:id="2244"/>
      </w:r>
      <w:r w:rsidRPr="00A71D24">
        <w:rPr>
          <w:rFonts w:cs="Arial"/>
          <w:rtl/>
        </w:rPr>
        <w:t xml:space="preserve"> כיון שהציר עצמו אינו מפעפע למעלה</w:t>
      </w:r>
      <w:r>
        <w:rPr>
          <w:rFonts w:cs="Arial" w:hint="cs"/>
          <w:sz w:val="16"/>
          <w:szCs w:val="16"/>
          <w:rtl/>
        </w:rPr>
        <w:t xml:space="preserve"> (ל' הטור)</w:t>
      </w:r>
      <w:r>
        <w:rPr>
          <w:rStyle w:val="a7"/>
          <w:rFonts w:cs="Arial"/>
          <w:rtl/>
        </w:rPr>
        <w:footnoteReference w:id="2245"/>
      </w:r>
      <w:r w:rsidRPr="00A71D24">
        <w:rPr>
          <w:rFonts w:cs="Arial" w:hint="cs"/>
          <w:rtl/>
        </w:rPr>
        <w:t>.</w:t>
      </w:r>
    </w:p>
    <w:p w14:paraId="3284DDA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E394902" w14:textId="77777777" w:rsidR="002C39F4" w:rsidRDefault="002C39F4" w:rsidP="002C39F4">
      <w:pPr>
        <w:rPr>
          <w:rFonts w:asciiTheme="minorBidi" w:hAnsiTheme="minorBidi"/>
          <w:rtl/>
        </w:rPr>
      </w:pPr>
      <w:r w:rsidRPr="003024E5">
        <w:rPr>
          <w:rFonts w:asciiTheme="minorBidi" w:hAnsiTheme="minorBidi"/>
          <w:rtl/>
        </w:rPr>
        <w:t>מליח שאינו נאכל מחמת מלחו</w:t>
      </w:r>
      <w:r>
        <w:rPr>
          <w:rStyle w:val="a7"/>
          <w:rFonts w:asciiTheme="minorBidi" w:hAnsiTheme="minorBidi"/>
          <w:rtl/>
        </w:rPr>
        <w:footnoteReference w:id="2246"/>
      </w:r>
      <w:r w:rsidRPr="003024E5">
        <w:rPr>
          <w:rFonts w:asciiTheme="minorBidi" w:hAnsiTheme="minorBidi"/>
          <w:rtl/>
        </w:rPr>
        <w:t xml:space="preserve"> דינו כרותח ומפליט לאסור כדי קליפה אם הוא שומן הגיד וקנוקנות שבו</w:t>
      </w:r>
      <w:r>
        <w:rPr>
          <w:rFonts w:asciiTheme="minorBidi" w:hAnsiTheme="minorBidi" w:hint="cs"/>
          <w:rtl/>
        </w:rPr>
        <w:t>,</w:t>
      </w:r>
      <w:r w:rsidRPr="003024E5">
        <w:rPr>
          <w:rFonts w:asciiTheme="minorBidi" w:hAnsiTheme="minorBidi"/>
          <w:rtl/>
        </w:rPr>
        <w:t xml:space="preserve"> והקרומות יש להחמיר ולהצריכם נטילת מקום</w:t>
      </w:r>
      <w:r>
        <w:rPr>
          <w:rStyle w:val="a7"/>
          <w:rFonts w:asciiTheme="minorBidi" w:hAnsiTheme="minorBidi"/>
          <w:rtl/>
        </w:rPr>
        <w:footnoteReference w:id="2247"/>
      </w:r>
      <w:r>
        <w:rPr>
          <w:rFonts w:asciiTheme="minorBidi" w:hAnsiTheme="minorBidi" w:hint="cs"/>
          <w:rtl/>
        </w:rPr>
        <w:t>,</w:t>
      </w:r>
      <w:r w:rsidRPr="003024E5">
        <w:rPr>
          <w:rFonts w:asciiTheme="minorBidi" w:hAnsiTheme="minorBidi"/>
          <w:rtl/>
        </w:rPr>
        <w:t xml:space="preserve"> ואם הוא חלב ממש צריך ששים לבטלו</w:t>
      </w:r>
      <w:r>
        <w:rPr>
          <w:rFonts w:asciiTheme="minorBidi" w:hAnsiTheme="minorBidi" w:hint="cs"/>
          <w:rtl/>
        </w:rPr>
        <w:t>,</w:t>
      </w:r>
      <w:r w:rsidRPr="003024E5">
        <w:rPr>
          <w:rFonts w:asciiTheme="minorBidi" w:hAnsiTheme="minorBidi"/>
          <w:rtl/>
        </w:rPr>
        <w:t xml:space="preserve"> ואם הבשר שנמלח עמו הוא שמן אפילו בשומן הגיד וקנוקנות שבו צריך </w:t>
      </w:r>
      <w:r>
        <w:rPr>
          <w:rFonts w:asciiTheme="minorBidi" w:hAnsiTheme="minorBidi" w:hint="cs"/>
          <w:rtl/>
        </w:rPr>
        <w:t>ששים</w:t>
      </w:r>
      <w:r w:rsidRPr="003024E5">
        <w:rPr>
          <w:rFonts w:asciiTheme="minorBidi" w:hAnsiTheme="minorBidi"/>
          <w:rtl/>
        </w:rPr>
        <w:t xml:space="preserve"> לבטלו וליטול ממקום שנגע כדי נטילת מקום ולפחות קליפה</w:t>
      </w:r>
      <w:r>
        <w:rPr>
          <w:rFonts w:asciiTheme="minorBidi" w:hAnsiTheme="minorBidi" w:hint="cs"/>
          <w:rtl/>
        </w:rPr>
        <w:t>,</w:t>
      </w:r>
      <w:r w:rsidRPr="003024E5">
        <w:rPr>
          <w:rFonts w:asciiTheme="minorBidi" w:hAnsiTheme="minorBidi"/>
          <w:rtl/>
        </w:rPr>
        <w:t xml:space="preserve"> וכל זה לענין חתיכה עצמה שהיה החלב דבוק בה</w:t>
      </w:r>
      <w:r>
        <w:rPr>
          <w:rStyle w:val="a7"/>
          <w:rFonts w:asciiTheme="minorBidi" w:hAnsiTheme="minorBidi"/>
          <w:rtl/>
        </w:rPr>
        <w:footnoteReference w:id="2248"/>
      </w:r>
      <w:r>
        <w:rPr>
          <w:rFonts w:asciiTheme="minorBidi" w:hAnsiTheme="minorBidi" w:hint="cs"/>
          <w:rtl/>
        </w:rPr>
        <w:t>,</w:t>
      </w:r>
      <w:r w:rsidRPr="003024E5">
        <w:rPr>
          <w:rFonts w:asciiTheme="minorBidi" w:hAnsiTheme="minorBidi"/>
          <w:rtl/>
        </w:rPr>
        <w:t xml:space="preserve"> ולענין שאר חתיכות שנמלחו יחד</w:t>
      </w:r>
      <w:r>
        <w:rPr>
          <w:rStyle w:val="a7"/>
          <w:rFonts w:asciiTheme="minorBidi" w:hAnsiTheme="minorBidi"/>
          <w:rtl/>
        </w:rPr>
        <w:footnoteReference w:id="2249"/>
      </w:r>
      <w:r w:rsidRPr="003024E5">
        <w:rPr>
          <w:rFonts w:asciiTheme="minorBidi" w:hAnsiTheme="minorBidi"/>
          <w:rtl/>
        </w:rPr>
        <w:t xml:space="preserve"> אם אין בכל אחת מהם בפני עצמה ששים לבטל החלב אסורות ואין מצטרפין ביחד לבטל החלב דאין חלב מפעפע מחתיכה לחתיכה בלא רוטב</w:t>
      </w:r>
      <w:r>
        <w:rPr>
          <w:rFonts w:asciiTheme="minorBidi" w:hAnsiTheme="minorBidi" w:hint="cs"/>
          <w:rtl/>
        </w:rPr>
        <w:t>,</w:t>
      </w:r>
      <w:r w:rsidRPr="003024E5">
        <w:rPr>
          <w:rFonts w:asciiTheme="minorBidi" w:hAnsiTheme="minorBidi"/>
          <w:rtl/>
        </w:rPr>
        <w:t xml:space="preserve"> ואם אין ידוע אם נגע בכולן, כולן אסורות</w:t>
      </w:r>
      <w:r>
        <w:rPr>
          <w:rFonts w:asciiTheme="minorBidi" w:hAnsiTheme="minorBidi" w:hint="cs"/>
          <w:rtl/>
        </w:rPr>
        <w:t>,</w:t>
      </w:r>
      <w:r w:rsidRPr="003024E5">
        <w:rPr>
          <w:rFonts w:asciiTheme="minorBidi" w:hAnsiTheme="minorBidi"/>
          <w:rtl/>
        </w:rPr>
        <w:t xml:space="preserve"> ואם ידוע שלא נגע אלא באחת ואין ידוע איזו היא כולן מותרות דחד בתרי בטיל</w:t>
      </w:r>
      <w:r>
        <w:rPr>
          <w:rStyle w:val="a7"/>
          <w:rFonts w:asciiTheme="minorBidi" w:hAnsiTheme="minorBidi"/>
          <w:rtl/>
        </w:rPr>
        <w:footnoteReference w:id="2250"/>
      </w:r>
      <w:r w:rsidRPr="003024E5">
        <w:rPr>
          <w:rFonts w:asciiTheme="minorBidi" w:hAnsiTheme="minorBidi"/>
          <w:rtl/>
        </w:rPr>
        <w:t xml:space="preserve"> אפי</w:t>
      </w:r>
      <w:r>
        <w:rPr>
          <w:rFonts w:asciiTheme="minorBidi" w:hAnsiTheme="minorBidi" w:hint="cs"/>
          <w:rtl/>
        </w:rPr>
        <w:t>לו</w:t>
      </w:r>
      <w:r w:rsidRPr="003024E5">
        <w:rPr>
          <w:rFonts w:asciiTheme="minorBidi" w:hAnsiTheme="minorBidi"/>
          <w:rtl/>
        </w:rPr>
        <w:t xml:space="preserve"> הן חתיכות הראויות להתכבד</w:t>
      </w:r>
      <w:r>
        <w:rPr>
          <w:rStyle w:val="a7"/>
          <w:rFonts w:asciiTheme="minorBidi" w:hAnsiTheme="minorBidi"/>
          <w:rtl/>
        </w:rPr>
        <w:footnoteReference w:id="2251"/>
      </w:r>
      <w:r w:rsidRPr="003024E5">
        <w:rPr>
          <w:rFonts w:asciiTheme="minorBidi" w:hAnsiTheme="minorBidi"/>
          <w:rtl/>
        </w:rPr>
        <w:t xml:space="preserve">. </w:t>
      </w:r>
      <w:r w:rsidRPr="00AE490B">
        <w:rPr>
          <w:rFonts w:asciiTheme="minorBidi" w:hAnsiTheme="minorBidi"/>
          <w:sz w:val="18"/>
          <w:szCs w:val="18"/>
          <w:rtl/>
        </w:rPr>
        <w:t>הגה: וי"א דכל מליחה אינה אוסרת רק כדי קליפה</w:t>
      </w:r>
      <w:r>
        <w:rPr>
          <w:rFonts w:asciiTheme="minorBidi" w:hAnsiTheme="minorBidi" w:hint="cs"/>
          <w:sz w:val="18"/>
          <w:szCs w:val="18"/>
          <w:rtl/>
        </w:rPr>
        <w:t>,</w:t>
      </w:r>
      <w:r w:rsidRPr="00AE490B">
        <w:rPr>
          <w:rFonts w:asciiTheme="minorBidi" w:hAnsiTheme="minorBidi"/>
          <w:sz w:val="18"/>
          <w:szCs w:val="18"/>
          <w:rtl/>
        </w:rPr>
        <w:t xml:space="preserve"> ולפי שאין אנו בקיאין בין בשר שמן לכחוש, נוהגין לשער בכל מליחה בס' כמו בבישול </w:t>
      </w:r>
      <w:r w:rsidRPr="006F2B87">
        <w:rPr>
          <w:rFonts w:asciiTheme="minorBidi" w:hAnsiTheme="minorBidi"/>
          <w:sz w:val="16"/>
          <w:szCs w:val="16"/>
          <w:rtl/>
        </w:rPr>
        <w:t>(מהרי"ב ארוך הגש</w:t>
      </w:r>
      <w:r w:rsidRPr="006F2B87">
        <w:rPr>
          <w:rFonts w:asciiTheme="minorBidi" w:hAnsiTheme="minorBidi" w:hint="cs"/>
          <w:sz w:val="16"/>
          <w:szCs w:val="16"/>
          <w:rtl/>
        </w:rPr>
        <w:t>ע</w:t>
      </w:r>
      <w:r w:rsidRPr="006F2B87">
        <w:rPr>
          <w:rFonts w:asciiTheme="minorBidi" w:hAnsiTheme="minorBidi"/>
          <w:sz w:val="16"/>
          <w:szCs w:val="16"/>
          <w:rtl/>
        </w:rPr>
        <w:t xml:space="preserve">"ד </w:t>
      </w:r>
      <w:r w:rsidRPr="006F2B87">
        <w:rPr>
          <w:rFonts w:asciiTheme="minorBidi" w:hAnsiTheme="minorBidi" w:hint="cs"/>
          <w:sz w:val="16"/>
          <w:szCs w:val="16"/>
          <w:rtl/>
        </w:rPr>
        <w:t>ו</w:t>
      </w:r>
      <w:r w:rsidRPr="006F2B87">
        <w:rPr>
          <w:rFonts w:asciiTheme="minorBidi" w:hAnsiTheme="minorBidi"/>
          <w:sz w:val="16"/>
          <w:szCs w:val="16"/>
          <w:rtl/>
        </w:rPr>
        <w:t>מרדכי בשם א</w:t>
      </w:r>
      <w:r w:rsidRPr="006F2B87">
        <w:rPr>
          <w:rFonts w:asciiTheme="minorBidi" w:hAnsiTheme="minorBidi" w:hint="cs"/>
          <w:sz w:val="16"/>
          <w:szCs w:val="16"/>
          <w:rtl/>
        </w:rPr>
        <w:t>ו</w:t>
      </w:r>
      <w:r w:rsidRPr="006F2B87">
        <w:rPr>
          <w:rFonts w:asciiTheme="minorBidi" w:hAnsiTheme="minorBidi"/>
          <w:sz w:val="16"/>
          <w:szCs w:val="16"/>
          <w:rtl/>
        </w:rPr>
        <w:t>"ז)</w:t>
      </w:r>
      <w:r w:rsidRPr="00AE490B">
        <w:rPr>
          <w:rFonts w:asciiTheme="minorBidi" w:hAnsiTheme="minorBidi"/>
          <w:sz w:val="18"/>
          <w:szCs w:val="18"/>
          <w:rtl/>
        </w:rPr>
        <w:t>, דאם איכא ס' בין הכל ביחד נגד כל החתיכה שהחלב דבוק בה, אז הכל שרי מלבד אותה חתיכה שהאיסור דבוק בה</w:t>
      </w:r>
      <w:r>
        <w:rPr>
          <w:rFonts w:asciiTheme="minorBidi" w:hAnsiTheme="minorBidi" w:hint="cs"/>
          <w:sz w:val="16"/>
          <w:szCs w:val="16"/>
          <w:rtl/>
        </w:rPr>
        <w:t xml:space="preserve"> (או"ז)</w:t>
      </w:r>
      <w:r w:rsidRPr="00AE490B">
        <w:rPr>
          <w:rFonts w:asciiTheme="minorBidi" w:hAnsiTheme="minorBidi"/>
          <w:sz w:val="18"/>
          <w:szCs w:val="18"/>
          <w:rtl/>
        </w:rPr>
        <w:t xml:space="preserve">, מיהו אותה החתיכה שהאיסור נגע בה צריך קליפה מעט </w:t>
      </w:r>
      <w:r w:rsidRPr="006F2B87">
        <w:rPr>
          <w:rFonts w:asciiTheme="minorBidi" w:hAnsiTheme="minorBidi"/>
          <w:sz w:val="16"/>
          <w:szCs w:val="16"/>
          <w:rtl/>
        </w:rPr>
        <w:t>(רשב"א)</w:t>
      </w:r>
      <w:r w:rsidRPr="00AE490B">
        <w:rPr>
          <w:rFonts w:asciiTheme="minorBidi" w:hAnsiTheme="minorBidi"/>
          <w:sz w:val="18"/>
          <w:szCs w:val="18"/>
          <w:rtl/>
        </w:rPr>
        <w:t>. ואם אינו יודע איזה נגע הכל שרי</w:t>
      </w:r>
      <w:r>
        <w:rPr>
          <w:rStyle w:val="a7"/>
          <w:rFonts w:asciiTheme="minorBidi" w:hAnsiTheme="minorBidi"/>
          <w:sz w:val="18"/>
          <w:szCs w:val="18"/>
          <w:rtl/>
        </w:rPr>
        <w:footnoteReference w:id="2252"/>
      </w:r>
      <w:r w:rsidRPr="00AE490B">
        <w:rPr>
          <w:rFonts w:asciiTheme="minorBidi" w:hAnsiTheme="minorBidi"/>
          <w:sz w:val="18"/>
          <w:szCs w:val="18"/>
          <w:rtl/>
        </w:rPr>
        <w:t xml:space="preserve"> </w:t>
      </w:r>
      <w:r w:rsidRPr="006F2B87">
        <w:rPr>
          <w:rFonts w:asciiTheme="minorBidi" w:hAnsiTheme="minorBidi"/>
          <w:sz w:val="16"/>
          <w:szCs w:val="16"/>
          <w:rtl/>
        </w:rPr>
        <w:t>(</w:t>
      </w:r>
      <w:r>
        <w:rPr>
          <w:rFonts w:asciiTheme="minorBidi" w:hAnsiTheme="minorBidi" w:hint="cs"/>
          <w:sz w:val="16"/>
          <w:szCs w:val="16"/>
          <w:rtl/>
        </w:rPr>
        <w:t>מהר"ם</w:t>
      </w:r>
      <w:r w:rsidRPr="006F2B87">
        <w:rPr>
          <w:rFonts w:asciiTheme="minorBidi" w:hAnsiTheme="minorBidi"/>
          <w:sz w:val="16"/>
          <w:szCs w:val="16"/>
          <w:rtl/>
        </w:rPr>
        <w:t>)</w:t>
      </w:r>
      <w:r w:rsidRPr="00AE490B">
        <w:rPr>
          <w:rFonts w:asciiTheme="minorBidi" w:hAnsiTheme="minorBidi"/>
          <w:sz w:val="18"/>
          <w:szCs w:val="18"/>
          <w:rtl/>
        </w:rPr>
        <w:t>. ואם אין ס', הכל אסור</w:t>
      </w:r>
      <w:r>
        <w:rPr>
          <w:rFonts w:asciiTheme="minorBidi" w:hAnsiTheme="minorBidi" w:hint="cs"/>
          <w:sz w:val="18"/>
          <w:szCs w:val="18"/>
          <w:rtl/>
        </w:rPr>
        <w:t xml:space="preserve"> </w:t>
      </w:r>
      <w:r>
        <w:rPr>
          <w:rFonts w:asciiTheme="minorBidi" w:hAnsiTheme="minorBidi" w:hint="cs"/>
          <w:sz w:val="16"/>
          <w:szCs w:val="16"/>
          <w:rtl/>
        </w:rPr>
        <w:t>(או"ז)</w:t>
      </w:r>
      <w:r w:rsidRPr="00AE490B">
        <w:rPr>
          <w:rFonts w:asciiTheme="minorBidi" w:hAnsiTheme="minorBidi"/>
          <w:sz w:val="18"/>
          <w:szCs w:val="18"/>
          <w:rtl/>
        </w:rPr>
        <w:t>. ואין לשנות המנהג, ואע</w:t>
      </w:r>
      <w:r>
        <w:rPr>
          <w:rFonts w:asciiTheme="minorBidi" w:hAnsiTheme="minorBidi" w:hint="cs"/>
          <w:sz w:val="18"/>
          <w:szCs w:val="18"/>
          <w:rtl/>
        </w:rPr>
        <w:t>"</w:t>
      </w:r>
      <w:r w:rsidRPr="00AE490B">
        <w:rPr>
          <w:rFonts w:asciiTheme="minorBidi" w:hAnsiTheme="minorBidi"/>
          <w:sz w:val="18"/>
          <w:szCs w:val="18"/>
          <w:rtl/>
        </w:rPr>
        <w:t>פ שיש בזה קצת קולא</w:t>
      </w:r>
      <w:r>
        <w:rPr>
          <w:rStyle w:val="a7"/>
          <w:rFonts w:asciiTheme="minorBidi" w:hAnsiTheme="minorBidi"/>
          <w:sz w:val="18"/>
          <w:szCs w:val="18"/>
          <w:rtl/>
        </w:rPr>
        <w:footnoteReference w:id="2253"/>
      </w:r>
      <w:r w:rsidRPr="00AE490B">
        <w:rPr>
          <w:rFonts w:asciiTheme="minorBidi" w:hAnsiTheme="minorBidi"/>
          <w:sz w:val="18"/>
          <w:szCs w:val="18"/>
          <w:rtl/>
        </w:rPr>
        <w:t xml:space="preserve"> אם היה האיסור שמן ומפעפע, מ"מ יש לסמוך בכה</w:t>
      </w:r>
      <w:r>
        <w:rPr>
          <w:rFonts w:asciiTheme="minorBidi" w:hAnsiTheme="minorBidi" w:hint="cs"/>
          <w:sz w:val="18"/>
          <w:szCs w:val="18"/>
          <w:rtl/>
        </w:rPr>
        <w:t>"</w:t>
      </w:r>
      <w:r w:rsidRPr="00AE490B">
        <w:rPr>
          <w:rFonts w:asciiTheme="minorBidi" w:hAnsiTheme="minorBidi"/>
          <w:sz w:val="18"/>
          <w:szCs w:val="18"/>
          <w:rtl/>
        </w:rPr>
        <w:t>ג אדברי המקילין וסבירא להו דאין אוסר במליחה רק כדי קליפה, כדי שלא נצטרך לשער בין איסור שמן לכחוש, כי אין אנו בקיאין. וכל זה באיסור ששייך בו שמנונית, כגון חלב או ציר ו</w:t>
      </w:r>
      <w:r>
        <w:rPr>
          <w:rFonts w:asciiTheme="minorBidi" w:hAnsiTheme="minorBidi" w:hint="cs"/>
          <w:sz w:val="18"/>
          <w:szCs w:val="18"/>
          <w:rtl/>
        </w:rPr>
        <w:t>כ</w:t>
      </w:r>
      <w:r w:rsidRPr="00AE490B">
        <w:rPr>
          <w:rFonts w:asciiTheme="minorBidi" w:hAnsiTheme="minorBidi"/>
          <w:sz w:val="18"/>
          <w:szCs w:val="18"/>
          <w:rtl/>
        </w:rPr>
        <w:t>ה</w:t>
      </w:r>
      <w:r>
        <w:rPr>
          <w:rFonts w:asciiTheme="minorBidi" w:hAnsiTheme="minorBidi" w:hint="cs"/>
          <w:sz w:val="18"/>
          <w:szCs w:val="18"/>
          <w:rtl/>
        </w:rPr>
        <w:t>"</w:t>
      </w:r>
      <w:r w:rsidRPr="00AE490B">
        <w:rPr>
          <w:rFonts w:asciiTheme="minorBidi" w:hAnsiTheme="minorBidi"/>
          <w:sz w:val="18"/>
          <w:szCs w:val="18"/>
          <w:rtl/>
        </w:rPr>
        <w:t>ג, אבל באיסור שאין בו שמנונית כלל כגון חמץ בפסח, לכו</w:t>
      </w:r>
      <w:r>
        <w:rPr>
          <w:rFonts w:asciiTheme="minorBidi" w:hAnsiTheme="minorBidi" w:hint="cs"/>
          <w:sz w:val="18"/>
          <w:szCs w:val="18"/>
          <w:rtl/>
        </w:rPr>
        <w:t>"ע</w:t>
      </w:r>
      <w:r w:rsidRPr="00AE490B">
        <w:rPr>
          <w:rFonts w:asciiTheme="minorBidi" w:hAnsiTheme="minorBidi"/>
          <w:sz w:val="18"/>
          <w:szCs w:val="18"/>
          <w:rtl/>
        </w:rPr>
        <w:t xml:space="preserve"> מליחה אינה אוסרת רק כדי קליפה </w:t>
      </w:r>
      <w:r w:rsidRPr="006F2B87">
        <w:rPr>
          <w:rFonts w:asciiTheme="minorBidi" w:hAnsiTheme="minorBidi"/>
          <w:sz w:val="16"/>
          <w:szCs w:val="16"/>
          <w:rtl/>
        </w:rPr>
        <w:t>(סברת הרב ממשמעות פוסקים הנ"ל)</w:t>
      </w:r>
      <w:r w:rsidRPr="00AE490B">
        <w:rPr>
          <w:rFonts w:asciiTheme="minorBidi" w:hAnsiTheme="minorBidi"/>
          <w:sz w:val="18"/>
          <w:szCs w:val="18"/>
          <w:rtl/>
        </w:rPr>
        <w:t>. ועיין באו"ח הלכות חמץ כיצד נוהגין. וע"ל סי</w:t>
      </w:r>
      <w:r>
        <w:rPr>
          <w:rFonts w:asciiTheme="minorBidi" w:hAnsiTheme="minorBidi" w:hint="cs"/>
          <w:sz w:val="18"/>
          <w:szCs w:val="18"/>
          <w:rtl/>
        </w:rPr>
        <w:t>'</w:t>
      </w:r>
      <w:r w:rsidRPr="00AE490B">
        <w:rPr>
          <w:rFonts w:asciiTheme="minorBidi" w:hAnsiTheme="minorBidi"/>
          <w:sz w:val="18"/>
          <w:szCs w:val="18"/>
          <w:rtl/>
        </w:rPr>
        <w:t xml:space="preserve"> סד אם הקרומים או חוטים של חלב נמלחו עם בשר. י"א דבהפסד מרובה יש להתיר במליחה ע"י קליפה, אע</w:t>
      </w:r>
      <w:r>
        <w:rPr>
          <w:rFonts w:asciiTheme="minorBidi" w:hAnsiTheme="minorBidi" w:hint="cs"/>
          <w:sz w:val="18"/>
          <w:szCs w:val="18"/>
          <w:rtl/>
        </w:rPr>
        <w:t>"</w:t>
      </w:r>
      <w:r w:rsidRPr="00AE490B">
        <w:rPr>
          <w:rFonts w:asciiTheme="minorBidi" w:hAnsiTheme="minorBidi"/>
          <w:sz w:val="18"/>
          <w:szCs w:val="18"/>
          <w:rtl/>
        </w:rPr>
        <w:t>ג שכבר נהגו לשער כל מליחה בס' אפילו באיסור כחוש</w:t>
      </w:r>
      <w:r>
        <w:rPr>
          <w:rFonts w:asciiTheme="minorBidi" w:hAnsiTheme="minorBidi" w:hint="cs"/>
          <w:sz w:val="18"/>
          <w:szCs w:val="18"/>
          <w:rtl/>
        </w:rPr>
        <w:t>,</w:t>
      </w:r>
      <w:r w:rsidRPr="00AE490B">
        <w:rPr>
          <w:rFonts w:asciiTheme="minorBidi" w:hAnsiTheme="minorBidi"/>
          <w:sz w:val="18"/>
          <w:szCs w:val="18"/>
          <w:rtl/>
        </w:rPr>
        <w:t xml:space="preserve"> ויש לסמוך על זה באיסור כחוש, שאינו אלא מנהג לשער בס' </w:t>
      </w:r>
      <w:r w:rsidRPr="006F2B87">
        <w:rPr>
          <w:rFonts w:asciiTheme="minorBidi" w:hAnsiTheme="minorBidi"/>
          <w:sz w:val="16"/>
          <w:szCs w:val="16"/>
          <w:rtl/>
        </w:rPr>
        <w:t>(לפי סברת הרמב"ם והנמשכים אחריו ומהר"ם פדווא</w:t>
      </w:r>
      <w:r w:rsidRPr="006F2B87">
        <w:rPr>
          <w:rFonts w:asciiTheme="minorBidi" w:hAnsiTheme="minorBidi" w:hint="cs"/>
          <w:sz w:val="16"/>
          <w:szCs w:val="16"/>
          <w:rtl/>
        </w:rPr>
        <w:t>ה</w:t>
      </w:r>
      <w:r w:rsidRPr="006F2B87">
        <w:rPr>
          <w:rFonts w:asciiTheme="minorBidi" w:hAnsiTheme="minorBidi"/>
          <w:sz w:val="16"/>
          <w:szCs w:val="16"/>
          <w:rtl/>
        </w:rPr>
        <w:t xml:space="preserve"> בתשובה להרב סי</w:t>
      </w:r>
      <w:r w:rsidRPr="006F2B87">
        <w:rPr>
          <w:rFonts w:asciiTheme="minorBidi" w:hAnsiTheme="minorBidi" w:hint="cs"/>
          <w:sz w:val="16"/>
          <w:szCs w:val="16"/>
          <w:rtl/>
        </w:rPr>
        <w:t>'</w:t>
      </w:r>
      <w:r w:rsidRPr="006F2B87">
        <w:rPr>
          <w:rFonts w:asciiTheme="minorBidi" w:hAnsiTheme="minorBidi"/>
          <w:sz w:val="16"/>
          <w:szCs w:val="16"/>
          <w:rtl/>
        </w:rPr>
        <w:t xml:space="preserve"> צ)</w:t>
      </w:r>
      <w:r>
        <w:rPr>
          <w:rFonts w:asciiTheme="minorBidi" w:hAnsiTheme="minorBidi" w:hint="cs"/>
          <w:sz w:val="18"/>
          <w:szCs w:val="18"/>
          <w:rtl/>
        </w:rPr>
        <w:t>,</w:t>
      </w:r>
      <w:r w:rsidRPr="00AE490B">
        <w:rPr>
          <w:rFonts w:asciiTheme="minorBidi" w:hAnsiTheme="minorBidi"/>
          <w:sz w:val="18"/>
          <w:szCs w:val="18"/>
          <w:rtl/>
        </w:rPr>
        <w:t xml:space="preserve"> אבל לא באיסור שמן שמדינא צריך ס'.</w:t>
      </w:r>
      <w:r w:rsidRPr="003024E5">
        <w:rPr>
          <w:rFonts w:asciiTheme="minorBidi" w:hAnsiTheme="minorBidi"/>
          <w:rtl/>
        </w:rPr>
        <w:t xml:space="preserve"> </w:t>
      </w:r>
    </w:p>
    <w:p w14:paraId="66B2A1AC" w14:textId="77777777" w:rsidR="002C39F4" w:rsidRPr="003024E5" w:rsidRDefault="002C39F4" w:rsidP="002C39F4">
      <w:pPr>
        <w:rPr>
          <w:rFonts w:asciiTheme="minorBidi" w:hAnsiTheme="minorBidi"/>
          <w:rtl/>
        </w:rPr>
      </w:pPr>
    </w:p>
    <w:p w14:paraId="6DF13C6B" w14:textId="77777777" w:rsidR="002C39F4" w:rsidRDefault="002C39F4" w:rsidP="002C39F4">
      <w:pPr>
        <w:pStyle w:val="2"/>
        <w:rPr>
          <w:rFonts w:asciiTheme="minorBidi" w:hAnsiTheme="minorBidi"/>
          <w:rtl/>
        </w:rPr>
      </w:pPr>
      <w:r w:rsidRPr="003024E5">
        <w:rPr>
          <w:rFonts w:asciiTheme="minorBidi" w:hAnsiTheme="minorBidi"/>
          <w:rtl/>
        </w:rPr>
        <w:t>סעיף י</w:t>
      </w:r>
      <w:r>
        <w:rPr>
          <w:rFonts w:asciiTheme="minorBidi" w:hAnsiTheme="minorBidi" w:hint="cs"/>
          <w:rtl/>
        </w:rPr>
        <w:t>: היתר מלוח ואיסור תפל.</w:t>
      </w:r>
    </w:p>
    <w:p w14:paraId="5AA7B52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EDD82BD" w14:textId="77777777" w:rsidR="002C39F4" w:rsidRDefault="002C39F4" w:rsidP="002C39F4">
      <w:pPr>
        <w:rPr>
          <w:rFonts w:asciiTheme="minorBidi" w:hAnsiTheme="minorBidi"/>
          <w:rtl/>
        </w:rPr>
      </w:pPr>
      <w:r w:rsidRPr="003024E5">
        <w:rPr>
          <w:rFonts w:asciiTheme="minorBidi" w:hAnsiTheme="minorBidi"/>
          <w:rtl/>
        </w:rPr>
        <w:t>במה דברים אמורים כשהאיסור וההיתר שניהם מלוחים ואפילו איסור מליח וההיתר תפל</w:t>
      </w:r>
      <w:r>
        <w:rPr>
          <w:rFonts w:asciiTheme="minorBidi" w:hAnsiTheme="minorBidi" w:hint="cs"/>
          <w:rtl/>
        </w:rPr>
        <w:t>,</w:t>
      </w:r>
      <w:r w:rsidRPr="003024E5">
        <w:rPr>
          <w:rFonts w:asciiTheme="minorBidi" w:hAnsiTheme="minorBidi"/>
          <w:rtl/>
        </w:rPr>
        <w:t xml:space="preserve"> אבל אם ההיתר מלוח והאיסור תפל אינו צריך אלא הדחה</w:t>
      </w:r>
      <w:r>
        <w:rPr>
          <w:rStyle w:val="a7"/>
          <w:rFonts w:asciiTheme="minorBidi" w:hAnsiTheme="minorBidi"/>
          <w:rtl/>
        </w:rPr>
        <w:footnoteReference w:id="2254"/>
      </w:r>
      <w:r w:rsidRPr="003024E5">
        <w:rPr>
          <w:rFonts w:asciiTheme="minorBidi" w:hAnsiTheme="minorBidi"/>
          <w:rtl/>
        </w:rPr>
        <w:t xml:space="preserve">. </w:t>
      </w:r>
      <w:r w:rsidRPr="00414EFF">
        <w:rPr>
          <w:rFonts w:asciiTheme="minorBidi" w:hAnsiTheme="minorBidi" w:hint="cs"/>
          <w:sz w:val="18"/>
          <w:szCs w:val="18"/>
          <w:rtl/>
        </w:rPr>
        <w:t xml:space="preserve">[הגה] </w:t>
      </w:r>
      <w:r w:rsidRPr="00414EFF">
        <w:rPr>
          <w:rFonts w:asciiTheme="minorBidi" w:hAnsiTheme="minorBidi"/>
          <w:sz w:val="18"/>
          <w:szCs w:val="18"/>
          <w:rtl/>
        </w:rPr>
        <w:t>וע</w:t>
      </w:r>
      <w:r>
        <w:rPr>
          <w:rFonts w:asciiTheme="minorBidi" w:hAnsiTheme="minorBidi" w:hint="cs"/>
          <w:sz w:val="18"/>
          <w:szCs w:val="18"/>
          <w:rtl/>
        </w:rPr>
        <w:t xml:space="preserve">יין </w:t>
      </w:r>
      <w:r w:rsidRPr="00414EFF">
        <w:rPr>
          <w:rFonts w:asciiTheme="minorBidi" w:hAnsiTheme="minorBidi"/>
          <w:sz w:val="18"/>
          <w:szCs w:val="18"/>
          <w:rtl/>
        </w:rPr>
        <w:t>ל</w:t>
      </w:r>
      <w:r>
        <w:rPr>
          <w:rFonts w:asciiTheme="minorBidi" w:hAnsiTheme="minorBidi" w:hint="cs"/>
          <w:sz w:val="18"/>
          <w:szCs w:val="18"/>
          <w:rtl/>
        </w:rPr>
        <w:t>עיל</w:t>
      </w:r>
      <w:r w:rsidRPr="00414EFF">
        <w:rPr>
          <w:rFonts w:asciiTheme="minorBidi" w:hAnsiTheme="minorBidi"/>
          <w:sz w:val="18"/>
          <w:szCs w:val="18"/>
          <w:rtl/>
        </w:rPr>
        <w:t xml:space="preserve"> סי</w:t>
      </w:r>
      <w:r>
        <w:rPr>
          <w:rFonts w:asciiTheme="minorBidi" w:hAnsiTheme="minorBidi" w:hint="cs"/>
          <w:sz w:val="18"/>
          <w:szCs w:val="18"/>
          <w:rtl/>
        </w:rPr>
        <w:t>'</w:t>
      </w:r>
      <w:r w:rsidRPr="00414EFF">
        <w:rPr>
          <w:rFonts w:asciiTheme="minorBidi" w:hAnsiTheme="minorBidi"/>
          <w:sz w:val="18"/>
          <w:szCs w:val="18"/>
          <w:rtl/>
        </w:rPr>
        <w:t xml:space="preserve"> ע</w:t>
      </w:r>
      <w:r w:rsidRPr="00414EFF">
        <w:rPr>
          <w:rFonts w:asciiTheme="minorBidi" w:hAnsiTheme="minorBidi" w:hint="cs"/>
          <w:sz w:val="18"/>
          <w:szCs w:val="18"/>
          <w:rtl/>
        </w:rPr>
        <w:t>.</w:t>
      </w:r>
      <w:r w:rsidRPr="00414EFF">
        <w:rPr>
          <w:rFonts w:asciiTheme="minorBidi" w:hAnsiTheme="minorBidi"/>
          <w:sz w:val="18"/>
          <w:szCs w:val="18"/>
          <w:rtl/>
        </w:rPr>
        <w:t xml:space="preserve"> ויש אוסרין אם נוגעין זה בזה, ויש להקל במקום הפסד. </w:t>
      </w:r>
    </w:p>
    <w:p w14:paraId="42ED8A3D" w14:textId="77777777" w:rsidR="002C39F4" w:rsidRPr="003024E5" w:rsidRDefault="002C39F4" w:rsidP="002C39F4">
      <w:pPr>
        <w:rPr>
          <w:rFonts w:asciiTheme="minorBidi" w:hAnsiTheme="minorBidi"/>
          <w:rtl/>
        </w:rPr>
      </w:pPr>
    </w:p>
    <w:p w14:paraId="2DDD307C" w14:textId="77777777" w:rsidR="002C39F4" w:rsidRDefault="002C39F4" w:rsidP="002C39F4">
      <w:pPr>
        <w:pStyle w:val="2"/>
        <w:rPr>
          <w:rFonts w:asciiTheme="minorBidi" w:hAnsiTheme="minorBidi"/>
          <w:rtl/>
        </w:rPr>
      </w:pPr>
      <w:r w:rsidRPr="003024E5">
        <w:rPr>
          <w:rFonts w:asciiTheme="minorBidi" w:hAnsiTheme="minorBidi"/>
          <w:rtl/>
        </w:rPr>
        <w:t>סעיף יא</w:t>
      </w:r>
      <w:r>
        <w:rPr>
          <w:rFonts w:asciiTheme="minorBidi" w:hAnsiTheme="minorBidi" w:hint="cs"/>
          <w:rtl/>
        </w:rPr>
        <w:t>: ההיתר למטה והאיסור למעלה.</w:t>
      </w:r>
    </w:p>
    <w:p w14:paraId="1999D539" w14:textId="77777777" w:rsidR="002C39F4" w:rsidRPr="00913D93" w:rsidRDefault="002C39F4" w:rsidP="002C39F4">
      <w:pPr>
        <w:rPr>
          <w:rFonts w:cs="Arial"/>
          <w:u w:val="single"/>
          <w:rtl/>
        </w:rPr>
      </w:pPr>
      <w:r w:rsidRPr="00913D93">
        <w:rPr>
          <w:rFonts w:hint="cs"/>
          <w:u w:val="single"/>
          <w:rtl/>
        </w:rPr>
        <w:t>האם יש חילוק בין כשההיתר התפל למטה לבין כשהאיסור המליח למטה:</w:t>
      </w:r>
    </w:p>
    <w:p w14:paraId="3D95ACD2" w14:textId="77777777" w:rsidR="002C39F4" w:rsidRPr="00913D93" w:rsidRDefault="002C39F4" w:rsidP="002C39F4">
      <w:pPr>
        <w:pStyle w:val="a8"/>
        <w:numPr>
          <w:ilvl w:val="0"/>
          <w:numId w:val="92"/>
        </w:numPr>
        <w:rPr>
          <w:rFonts w:cs="Arial"/>
          <w:rtl/>
        </w:rPr>
      </w:pPr>
      <w:r w:rsidRPr="00913D93">
        <w:rPr>
          <w:rFonts w:cs="Arial"/>
          <w:rtl/>
        </w:rPr>
        <w:t>רשב"א</w:t>
      </w:r>
      <w:r>
        <w:rPr>
          <w:rStyle w:val="a7"/>
          <w:rFonts w:cs="Arial"/>
          <w:rtl/>
        </w:rPr>
        <w:footnoteReference w:id="2255"/>
      </w:r>
      <w:r w:rsidRPr="00913D93">
        <w:rPr>
          <w:rFonts w:cs="Arial" w:hint="cs"/>
          <w:rtl/>
        </w:rPr>
        <w:t>-</w:t>
      </w:r>
      <w:r w:rsidRPr="00913D93">
        <w:rPr>
          <w:rFonts w:cs="Arial"/>
          <w:rtl/>
        </w:rPr>
        <w:t xml:space="preserve"> </w:t>
      </w:r>
      <w:r>
        <w:rPr>
          <w:rFonts w:cs="Arial"/>
          <w:rtl/>
        </w:rPr>
        <w:t>דברים אלו שאמרנו יראה לי דוקא בשהיה הטמא המלוח למטה והטהור הטפל למעלה לפי שהתחתון גובר ומחמם את העליון ומבליעו אבל אם היה הטהור התפל למטה והטמא המלוח למעלה אינו אוסר את התחתון אלא כדי קליפה</w:t>
      </w:r>
      <w:r>
        <w:rPr>
          <w:rFonts w:cs="Arial" w:hint="cs"/>
          <w:rtl/>
        </w:rPr>
        <w:t>,</w:t>
      </w:r>
      <w:r>
        <w:rPr>
          <w:rFonts w:cs="Arial"/>
          <w:rtl/>
        </w:rPr>
        <w:t xml:space="preserve"> ובד"א כשהיה הטמא שמן לפי שהשומן מפעפע ואפי' ע"י צלי ואפילו ע"י מליחה ונבלע בכל ההיתר ואוסר את כולו אא</w:t>
      </w:r>
      <w:r>
        <w:rPr>
          <w:rFonts w:cs="Arial" w:hint="cs"/>
          <w:rtl/>
        </w:rPr>
        <w:t>"</w:t>
      </w:r>
      <w:r>
        <w:rPr>
          <w:rFonts w:cs="Arial"/>
          <w:rtl/>
        </w:rPr>
        <w:t>כ יש בו ס' של היתר כנגד כל האיסור</w:t>
      </w:r>
      <w:r>
        <w:rPr>
          <w:rFonts w:cs="Arial" w:hint="cs"/>
          <w:rtl/>
        </w:rPr>
        <w:t>,</w:t>
      </w:r>
      <w:r>
        <w:rPr>
          <w:rFonts w:cs="Arial"/>
          <w:rtl/>
        </w:rPr>
        <w:t xml:space="preserve"> אבל אם אין הטמא שמן אע</w:t>
      </w:r>
      <w:r>
        <w:rPr>
          <w:rFonts w:cs="Arial" w:hint="cs"/>
          <w:rtl/>
        </w:rPr>
        <w:t>"</w:t>
      </w:r>
      <w:r>
        <w:rPr>
          <w:rFonts w:cs="Arial"/>
          <w:rtl/>
        </w:rPr>
        <w:t>פ שהוא למטה והטהור למעלה אינו אוסר אלא כדי קליפה לפי שאין בו כח לפעפע לא ע"י צלי ולא ע"י מליחה לפי שאין המליח כרותח של מבושל אלא כרותח של צלי</w:t>
      </w:r>
      <w:r>
        <w:rPr>
          <w:rStyle w:val="a7"/>
          <w:rFonts w:cs="Arial"/>
          <w:rtl/>
        </w:rPr>
        <w:footnoteReference w:id="2256"/>
      </w:r>
      <w:r w:rsidRPr="00913D93">
        <w:rPr>
          <w:rFonts w:cs="Arial" w:hint="cs"/>
          <w:rtl/>
        </w:rPr>
        <w:t>.</w:t>
      </w:r>
      <w:r w:rsidRPr="002C4273">
        <w:rPr>
          <w:rFonts w:cs="Arial"/>
          <w:color w:val="E36C0A" w:themeColor="accent6" w:themeShade="BF"/>
          <w:rtl/>
        </w:rPr>
        <w:t xml:space="preserve"> </w:t>
      </w:r>
      <w:r w:rsidRPr="002C4273">
        <w:rPr>
          <w:rFonts w:cs="Arial" w:hint="cs"/>
          <w:color w:val="E36C0A" w:themeColor="accent6" w:themeShade="BF"/>
          <w:rtl/>
        </w:rPr>
        <w:t>(וכ"פ בשו"ע)</w:t>
      </w:r>
    </w:p>
    <w:p w14:paraId="3213C836" w14:textId="77777777" w:rsidR="002C39F4" w:rsidRDefault="002C39F4" w:rsidP="002C39F4">
      <w:pPr>
        <w:pStyle w:val="a8"/>
        <w:numPr>
          <w:ilvl w:val="0"/>
          <w:numId w:val="92"/>
        </w:numPr>
      </w:pPr>
      <w:r w:rsidRPr="002C4273">
        <w:rPr>
          <w:rFonts w:cs="Arial"/>
          <w:rtl/>
        </w:rPr>
        <w:t>ר"י תוס</w:t>
      </w:r>
      <w:r w:rsidRPr="002C4273">
        <w:rPr>
          <w:rFonts w:cs="Arial" w:hint="cs"/>
          <w:rtl/>
        </w:rPr>
        <w:t>'</w:t>
      </w:r>
      <w:r w:rsidRPr="002C4273">
        <w:rPr>
          <w:rFonts w:cs="Arial"/>
          <w:rtl/>
        </w:rPr>
        <w:t xml:space="preserve"> ס</w:t>
      </w:r>
      <w:r w:rsidRPr="002C4273">
        <w:rPr>
          <w:rFonts w:cs="Arial" w:hint="cs"/>
          <w:rtl/>
        </w:rPr>
        <w:t>ה"ת</w:t>
      </w:r>
      <w:r w:rsidRPr="002C4273">
        <w:rPr>
          <w:rFonts w:cs="Arial"/>
          <w:sz w:val="16"/>
          <w:szCs w:val="16"/>
          <w:rtl/>
        </w:rPr>
        <w:t xml:space="preserve"> </w:t>
      </w:r>
      <w:r w:rsidRPr="002C4273">
        <w:rPr>
          <w:rFonts w:cs="Arial"/>
          <w:rtl/>
        </w:rPr>
        <w:t>רא"ש הגה</w:t>
      </w:r>
      <w:r w:rsidRPr="002C4273">
        <w:rPr>
          <w:rFonts w:cs="Arial" w:hint="cs"/>
          <w:rtl/>
        </w:rPr>
        <w:t xml:space="preserve">"מ </w:t>
      </w:r>
      <w:r w:rsidRPr="002C4273">
        <w:rPr>
          <w:rFonts w:cs="Arial"/>
          <w:rtl/>
        </w:rPr>
        <w:t>בשם סמ"ק</w:t>
      </w:r>
      <w:r w:rsidRPr="002C4273">
        <w:rPr>
          <w:rFonts w:cs="Arial" w:hint="cs"/>
          <w:sz w:val="16"/>
          <w:szCs w:val="16"/>
          <w:rtl/>
        </w:rPr>
        <w:t xml:space="preserve"> </w:t>
      </w:r>
      <w:r w:rsidRPr="002C4273">
        <w:rPr>
          <w:rFonts w:cs="Arial" w:hint="cs"/>
          <w:rtl/>
        </w:rPr>
        <w:t>וטור</w:t>
      </w:r>
      <w:r w:rsidRPr="002C4273">
        <w:rPr>
          <w:rStyle w:val="a7"/>
          <w:rFonts w:cs="Arial"/>
          <w:rtl/>
        </w:rPr>
        <w:footnoteReference w:id="2257"/>
      </w:r>
      <w:r w:rsidRPr="002C4273">
        <w:rPr>
          <w:rFonts w:cs="Arial" w:hint="cs"/>
          <w:rtl/>
        </w:rPr>
        <w:t xml:space="preserve">- </w:t>
      </w:r>
      <w:r w:rsidRPr="002C4273">
        <w:rPr>
          <w:rFonts w:cs="Arial"/>
          <w:rtl/>
        </w:rPr>
        <w:t>אין חילוק</w:t>
      </w:r>
      <w:r>
        <w:rPr>
          <w:rFonts w:cs="Arial" w:hint="cs"/>
          <w:rtl/>
        </w:rPr>
        <w:t>,</w:t>
      </w:r>
      <w:r w:rsidRPr="002C4273">
        <w:rPr>
          <w:rFonts w:cs="Arial"/>
          <w:rtl/>
        </w:rPr>
        <w:t xml:space="preserve"> דכיון שהוא חם ע"י מליחה אין חילוק בין תתאה </w:t>
      </w:r>
      <w:r w:rsidRPr="00913D93">
        <w:rPr>
          <w:rFonts w:cs="Arial"/>
          <w:rtl/>
        </w:rPr>
        <w:t>לעילאה אלא בכל ענין שהאיסור מלוח מבליע בהיתר התפל</w:t>
      </w:r>
      <w:r>
        <w:rPr>
          <w:rStyle w:val="a7"/>
          <w:rFonts w:cs="Arial"/>
          <w:rtl/>
        </w:rPr>
        <w:footnoteReference w:id="2258"/>
      </w:r>
      <w:r>
        <w:rPr>
          <w:rFonts w:cs="Arial" w:hint="cs"/>
          <w:rtl/>
        </w:rPr>
        <w:t xml:space="preserve">, </w:t>
      </w:r>
      <w:r w:rsidRPr="002C4273">
        <w:rPr>
          <w:rFonts w:cs="Arial"/>
          <w:rtl/>
        </w:rPr>
        <w:t>ומ"מ אין אוסר כולו שאין כח שע"י המלח להבליע אלא כדי קליפה</w:t>
      </w:r>
      <w:r>
        <w:rPr>
          <w:rStyle w:val="a7"/>
          <w:rFonts w:cs="Arial"/>
          <w:rtl/>
        </w:rPr>
        <w:footnoteReference w:id="2259"/>
      </w:r>
      <w:r>
        <w:rPr>
          <w:rFonts w:cs="Arial" w:hint="cs"/>
          <w:rtl/>
        </w:rPr>
        <w:t>,</w:t>
      </w:r>
      <w:r w:rsidRPr="002C4273">
        <w:rPr>
          <w:rFonts w:cs="Arial"/>
          <w:rtl/>
        </w:rPr>
        <w:t xml:space="preserve"> וכשהאיסור תפל הכל מותר ואפי' קליפה לא בעי</w:t>
      </w:r>
      <w:r>
        <w:rPr>
          <w:rStyle w:val="a7"/>
          <w:rFonts w:cs="Arial"/>
          <w:rtl/>
        </w:rPr>
        <w:footnoteReference w:id="2260"/>
      </w:r>
      <w:r w:rsidRPr="002C4273">
        <w:rPr>
          <w:rFonts w:cs="Arial" w:hint="cs"/>
          <w:sz w:val="16"/>
          <w:szCs w:val="16"/>
          <w:rtl/>
        </w:rPr>
        <w:t xml:space="preserve"> (ל' הטור)</w:t>
      </w:r>
      <w:r w:rsidRPr="002C4273">
        <w:rPr>
          <w:rFonts w:cs="Arial" w:hint="cs"/>
          <w:rtl/>
        </w:rPr>
        <w:t>.</w:t>
      </w:r>
      <w:r>
        <w:rPr>
          <w:rFonts w:hint="cs"/>
          <w:rtl/>
        </w:rPr>
        <w:t xml:space="preserve"> </w:t>
      </w:r>
      <w:r w:rsidRPr="002C4273">
        <w:rPr>
          <w:rFonts w:hint="cs"/>
          <w:color w:val="00B0F0"/>
          <w:rtl/>
        </w:rPr>
        <w:t>(וכ"פ הרמ"א)</w:t>
      </w:r>
    </w:p>
    <w:p w14:paraId="3BF483E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E74146C" w14:textId="77777777" w:rsidR="002C39F4" w:rsidRDefault="002C39F4" w:rsidP="002C39F4">
      <w:pPr>
        <w:rPr>
          <w:rFonts w:asciiTheme="minorBidi" w:hAnsiTheme="minorBidi"/>
          <w:rtl/>
        </w:rPr>
      </w:pPr>
      <w:r w:rsidRPr="003024E5">
        <w:rPr>
          <w:rFonts w:asciiTheme="minorBidi" w:hAnsiTheme="minorBidi"/>
          <w:rtl/>
        </w:rPr>
        <w:t>זה שאמרנו באיסור מליח והיתר תפל שאם הוא שמן אוסר עד שיהא בו ששים לבטלו דוקא כשהיה האיסור המליח למטה וההיתר תפל למעלה משום דתתאה גבר</w:t>
      </w:r>
      <w:r>
        <w:rPr>
          <w:rFonts w:asciiTheme="minorBidi" w:hAnsiTheme="minorBidi" w:hint="cs"/>
          <w:rtl/>
        </w:rPr>
        <w:t>,</w:t>
      </w:r>
      <w:r w:rsidRPr="003024E5">
        <w:rPr>
          <w:rFonts w:asciiTheme="minorBidi" w:hAnsiTheme="minorBidi"/>
          <w:rtl/>
        </w:rPr>
        <w:t xml:space="preserve"> אבל אם היה ההיתר תפל למטה והאיסור המליח למעלה אינו אוסר אלא כדי קליפה. </w:t>
      </w:r>
      <w:r w:rsidRPr="0044669A">
        <w:rPr>
          <w:rFonts w:asciiTheme="minorBidi" w:hAnsiTheme="minorBidi"/>
          <w:sz w:val="18"/>
          <w:szCs w:val="18"/>
          <w:rtl/>
        </w:rPr>
        <w:t>הגה: ויש חולקין ואומרים דבמליח אין חילוק אם הוא למעלה או למטה</w:t>
      </w:r>
      <w:r>
        <w:rPr>
          <w:rStyle w:val="a7"/>
          <w:rFonts w:asciiTheme="minorBidi" w:hAnsiTheme="minorBidi"/>
          <w:sz w:val="18"/>
          <w:szCs w:val="18"/>
          <w:rtl/>
        </w:rPr>
        <w:footnoteReference w:id="2261"/>
      </w:r>
      <w:r w:rsidRPr="0044669A">
        <w:rPr>
          <w:rFonts w:asciiTheme="minorBidi" w:hAnsiTheme="minorBidi"/>
          <w:sz w:val="18"/>
          <w:szCs w:val="18"/>
          <w:rtl/>
        </w:rPr>
        <w:t xml:space="preserve"> </w:t>
      </w:r>
      <w:r w:rsidRPr="0044669A">
        <w:rPr>
          <w:rFonts w:asciiTheme="minorBidi" w:hAnsiTheme="minorBidi"/>
          <w:sz w:val="16"/>
          <w:szCs w:val="16"/>
          <w:rtl/>
        </w:rPr>
        <w:t>(תוס</w:t>
      </w:r>
      <w:r w:rsidRPr="0044669A">
        <w:rPr>
          <w:rFonts w:asciiTheme="minorBidi" w:hAnsiTheme="minorBidi" w:hint="cs"/>
          <w:sz w:val="16"/>
          <w:szCs w:val="16"/>
          <w:rtl/>
        </w:rPr>
        <w:t>'</w:t>
      </w:r>
      <w:r w:rsidRPr="0044669A">
        <w:rPr>
          <w:rFonts w:asciiTheme="minorBidi" w:hAnsiTheme="minorBidi"/>
          <w:sz w:val="16"/>
          <w:szCs w:val="16"/>
          <w:rtl/>
        </w:rPr>
        <w:t xml:space="preserve"> ורא"ש וסמ"ק וטור והגה</w:t>
      </w:r>
      <w:r w:rsidRPr="0044669A">
        <w:rPr>
          <w:rFonts w:asciiTheme="minorBidi" w:hAnsiTheme="minorBidi" w:hint="cs"/>
          <w:sz w:val="16"/>
          <w:szCs w:val="16"/>
          <w:rtl/>
        </w:rPr>
        <w:t>"</w:t>
      </w:r>
      <w:r w:rsidRPr="0044669A">
        <w:rPr>
          <w:rFonts w:asciiTheme="minorBidi" w:hAnsiTheme="minorBidi"/>
          <w:sz w:val="16"/>
          <w:szCs w:val="16"/>
          <w:rtl/>
        </w:rPr>
        <w:t>מ)</w:t>
      </w:r>
      <w:r>
        <w:rPr>
          <w:rFonts w:asciiTheme="minorBidi" w:hAnsiTheme="minorBidi" w:hint="cs"/>
          <w:sz w:val="18"/>
          <w:szCs w:val="18"/>
          <w:rtl/>
        </w:rPr>
        <w:t>,</w:t>
      </w:r>
      <w:r w:rsidRPr="0044669A">
        <w:rPr>
          <w:rFonts w:asciiTheme="minorBidi" w:hAnsiTheme="minorBidi"/>
          <w:sz w:val="18"/>
          <w:szCs w:val="18"/>
          <w:rtl/>
        </w:rPr>
        <w:t xml:space="preserve"> והכי נהוג.</w:t>
      </w:r>
      <w:r w:rsidRPr="003024E5">
        <w:rPr>
          <w:rFonts w:asciiTheme="minorBidi" w:hAnsiTheme="minorBidi"/>
          <w:rtl/>
        </w:rPr>
        <w:t xml:space="preserve"> </w:t>
      </w:r>
    </w:p>
    <w:p w14:paraId="36404A3A" w14:textId="77777777" w:rsidR="002C39F4" w:rsidRPr="003024E5" w:rsidRDefault="002C39F4" w:rsidP="002C39F4">
      <w:pPr>
        <w:rPr>
          <w:rFonts w:asciiTheme="minorBidi" w:hAnsiTheme="minorBidi"/>
          <w:rtl/>
        </w:rPr>
      </w:pPr>
    </w:p>
    <w:p w14:paraId="5B6C687D" w14:textId="77777777" w:rsidR="002C39F4" w:rsidRDefault="002C39F4" w:rsidP="002C39F4">
      <w:pPr>
        <w:pStyle w:val="2"/>
        <w:rPr>
          <w:rFonts w:asciiTheme="minorBidi" w:hAnsiTheme="minorBidi"/>
          <w:rtl/>
        </w:rPr>
      </w:pPr>
      <w:r w:rsidRPr="003024E5">
        <w:rPr>
          <w:rFonts w:asciiTheme="minorBidi" w:hAnsiTheme="minorBidi"/>
          <w:rtl/>
        </w:rPr>
        <w:t>סעיף יב</w:t>
      </w:r>
      <w:r>
        <w:rPr>
          <w:rFonts w:asciiTheme="minorBidi" w:hAnsiTheme="minorBidi" w:hint="cs"/>
          <w:rtl/>
        </w:rPr>
        <w:t>: מליחה בכלים.</w:t>
      </w:r>
    </w:p>
    <w:p w14:paraId="68F15FF2" w14:textId="77777777" w:rsidR="002C39F4" w:rsidRDefault="002C39F4" w:rsidP="002C39F4">
      <w:pPr>
        <w:rPr>
          <w:rtl/>
        </w:rPr>
      </w:pPr>
      <w:r w:rsidRPr="00FD7423">
        <w:rPr>
          <w:rFonts w:hint="cs"/>
          <w:u w:val="single"/>
          <w:rtl/>
        </w:rPr>
        <w:t>מליחה בכלים:</w:t>
      </w:r>
    </w:p>
    <w:p w14:paraId="0EFAAD45" w14:textId="77777777" w:rsidR="002C39F4" w:rsidRPr="00504A0A" w:rsidRDefault="002C39F4" w:rsidP="0032102C">
      <w:pPr>
        <w:pStyle w:val="a8"/>
        <w:numPr>
          <w:ilvl w:val="0"/>
          <w:numId w:val="170"/>
        </w:numPr>
      </w:pPr>
      <w:r>
        <w:rPr>
          <w:rFonts w:hint="cs"/>
          <w:rtl/>
        </w:rPr>
        <w:t>טור-</w:t>
      </w:r>
      <w:r w:rsidRPr="00FD7423">
        <w:rPr>
          <w:rFonts w:cs="Arial"/>
          <w:rtl/>
        </w:rPr>
        <w:t xml:space="preserve"> לא שייך מליחה אלא באוכלים ולא בכלי</w:t>
      </w:r>
      <w:r>
        <w:rPr>
          <w:rFonts w:cs="Arial" w:hint="cs"/>
          <w:rtl/>
        </w:rPr>
        <w:t>.</w:t>
      </w:r>
      <w:r w:rsidRPr="00FD7423">
        <w:rPr>
          <w:rFonts w:cs="Arial"/>
          <w:rtl/>
        </w:rPr>
        <w:t xml:space="preserve"> </w:t>
      </w:r>
    </w:p>
    <w:p w14:paraId="41D5E830" w14:textId="77777777" w:rsidR="002C39F4" w:rsidRPr="00504A0A" w:rsidRDefault="002C39F4" w:rsidP="002C39F4">
      <w:pPr>
        <w:ind w:left="360"/>
        <w:rPr>
          <w:u w:val="dotted"/>
        </w:rPr>
      </w:pPr>
      <w:r w:rsidRPr="00504A0A">
        <w:rPr>
          <w:rFonts w:cs="Arial"/>
          <w:u w:val="dotted"/>
          <w:rtl/>
        </w:rPr>
        <w:t xml:space="preserve">גבינות שנעשו בדפוסי </w:t>
      </w:r>
      <w:r w:rsidRPr="00504A0A">
        <w:rPr>
          <w:rFonts w:cs="Arial" w:hint="cs"/>
          <w:u w:val="dotted"/>
          <w:rtl/>
        </w:rPr>
        <w:t>הגוים:</w:t>
      </w:r>
    </w:p>
    <w:p w14:paraId="46395526" w14:textId="77777777" w:rsidR="002C39F4" w:rsidRDefault="002C39F4" w:rsidP="0032102C">
      <w:pPr>
        <w:pStyle w:val="a8"/>
        <w:numPr>
          <w:ilvl w:val="0"/>
          <w:numId w:val="170"/>
        </w:numPr>
      </w:pPr>
      <w:r w:rsidRPr="00620623">
        <w:rPr>
          <w:rFonts w:cs="Arial"/>
          <w:rtl/>
        </w:rPr>
        <w:t xml:space="preserve">מרדכי רא"ש </w:t>
      </w:r>
      <w:r>
        <w:rPr>
          <w:rFonts w:cs="Arial" w:hint="cs"/>
          <w:rtl/>
        </w:rPr>
        <w:t>טור ומהרא"י</w:t>
      </w:r>
      <w:r>
        <w:rPr>
          <w:rStyle w:val="a7"/>
          <w:rFonts w:cs="Arial"/>
          <w:rtl/>
        </w:rPr>
        <w:footnoteReference w:id="2262"/>
      </w:r>
      <w:r>
        <w:rPr>
          <w:rFonts w:cs="Arial" w:hint="cs"/>
          <w:rtl/>
        </w:rPr>
        <w:t xml:space="preserve">- </w:t>
      </w:r>
      <w:r w:rsidRPr="00FD7423">
        <w:rPr>
          <w:rFonts w:cs="Arial"/>
          <w:rtl/>
        </w:rPr>
        <w:t>גבינות שנעשו בדפוסי הנכרים אע</w:t>
      </w:r>
      <w:r w:rsidRPr="00FD7423">
        <w:rPr>
          <w:rFonts w:cs="Arial" w:hint="cs"/>
          <w:rtl/>
        </w:rPr>
        <w:t>"</w:t>
      </w:r>
      <w:r w:rsidRPr="00FD7423">
        <w:rPr>
          <w:rFonts w:cs="Arial"/>
          <w:rtl/>
        </w:rPr>
        <w:t>פ שנמלחו לתוכן לא אמרינן מליח כרותח ויהיו אסורין אלא כמו איסור תפל והיתר מליח ומותר</w:t>
      </w:r>
      <w:r>
        <w:rPr>
          <w:rFonts w:cs="Arial" w:hint="cs"/>
          <w:sz w:val="16"/>
          <w:szCs w:val="16"/>
          <w:rtl/>
        </w:rPr>
        <w:t xml:space="preserve"> (ל' הטור)</w:t>
      </w:r>
      <w:r>
        <w:rPr>
          <w:rStyle w:val="a7"/>
          <w:rFonts w:cs="Arial"/>
          <w:rtl/>
        </w:rPr>
        <w:footnoteReference w:id="2263"/>
      </w:r>
      <w:r>
        <w:rPr>
          <w:rFonts w:hint="cs"/>
          <w:rtl/>
        </w:rPr>
        <w:t xml:space="preserve">. </w:t>
      </w:r>
      <w:r w:rsidRPr="00F92184">
        <w:rPr>
          <w:rFonts w:hint="cs"/>
          <w:color w:val="E36C0A" w:themeColor="accent6" w:themeShade="BF"/>
          <w:rtl/>
        </w:rPr>
        <w:t>(וכ"פ בשו"ע)</w:t>
      </w:r>
      <w:r w:rsidRPr="00955D48">
        <w:rPr>
          <w:rFonts w:hint="cs"/>
          <w:color w:val="00B0F0"/>
          <w:rtl/>
        </w:rPr>
        <w:t xml:space="preserve"> (וכ"פ הרמ"א)</w:t>
      </w:r>
    </w:p>
    <w:p w14:paraId="2084793C" w14:textId="77777777" w:rsidR="002C39F4" w:rsidRDefault="002C39F4" w:rsidP="0032102C">
      <w:pPr>
        <w:pStyle w:val="a8"/>
        <w:numPr>
          <w:ilvl w:val="0"/>
          <w:numId w:val="170"/>
        </w:numPr>
      </w:pPr>
      <w:r w:rsidRPr="00620623">
        <w:rPr>
          <w:rFonts w:cs="Arial"/>
          <w:rtl/>
        </w:rPr>
        <w:t>תוס</w:t>
      </w:r>
      <w:r>
        <w:rPr>
          <w:rFonts w:cs="Arial" w:hint="cs"/>
          <w:rtl/>
        </w:rPr>
        <w:t>'</w:t>
      </w:r>
      <w:r w:rsidRPr="00620623">
        <w:rPr>
          <w:rFonts w:cs="Arial"/>
          <w:rtl/>
        </w:rPr>
        <w:t xml:space="preserve"> </w:t>
      </w:r>
      <w:r w:rsidRPr="00F92184">
        <w:rPr>
          <w:rFonts w:cs="Arial"/>
          <w:sz w:val="16"/>
          <w:szCs w:val="16"/>
          <w:rtl/>
        </w:rPr>
        <w:t>(קיג. ד"ה טהור מליח</w:t>
      </w:r>
      <w:r>
        <w:rPr>
          <w:rFonts w:cs="Arial" w:hint="cs"/>
          <w:sz w:val="16"/>
          <w:szCs w:val="16"/>
          <w:rtl/>
        </w:rPr>
        <w:t>, כ"כ בשמו הב"י</w:t>
      </w:r>
      <w:r w:rsidRPr="00F92184">
        <w:rPr>
          <w:rFonts w:cs="Arial"/>
          <w:sz w:val="16"/>
          <w:szCs w:val="16"/>
          <w:rtl/>
        </w:rPr>
        <w:t>)</w:t>
      </w:r>
      <w:r>
        <w:rPr>
          <w:rFonts w:hint="cs"/>
          <w:rtl/>
        </w:rPr>
        <w:t>- מותר לכתחילה.</w:t>
      </w:r>
    </w:p>
    <w:p w14:paraId="152BB1E4" w14:textId="77777777" w:rsidR="002C39F4" w:rsidRDefault="002C39F4" w:rsidP="0032102C">
      <w:pPr>
        <w:pStyle w:val="a8"/>
        <w:numPr>
          <w:ilvl w:val="0"/>
          <w:numId w:val="170"/>
        </w:numPr>
      </w:pPr>
      <w:r w:rsidRPr="00504A0A">
        <w:rPr>
          <w:rFonts w:cs="Arial"/>
          <w:rtl/>
        </w:rPr>
        <w:t>ראבי"ה</w:t>
      </w:r>
      <w:r w:rsidRPr="00F92184">
        <w:rPr>
          <w:rFonts w:cs="Arial"/>
          <w:sz w:val="16"/>
          <w:szCs w:val="16"/>
          <w:rtl/>
        </w:rPr>
        <w:t xml:space="preserve"> (חולין סי' אלף קכג</w:t>
      </w:r>
      <w:r w:rsidRPr="00F92184">
        <w:rPr>
          <w:rFonts w:cs="Arial" w:hint="cs"/>
          <w:sz w:val="16"/>
          <w:szCs w:val="16"/>
          <w:rtl/>
        </w:rPr>
        <w:t>, הביאו המרדכי</w:t>
      </w:r>
      <w:r w:rsidRPr="00F92184">
        <w:rPr>
          <w:rFonts w:cs="Arial"/>
          <w:sz w:val="16"/>
          <w:szCs w:val="16"/>
          <w:rtl/>
        </w:rPr>
        <w:t>)</w:t>
      </w:r>
      <w:r>
        <w:rPr>
          <w:rFonts w:cs="Arial" w:hint="cs"/>
          <w:rtl/>
        </w:rPr>
        <w:t xml:space="preserve"> ואו"ה </w:t>
      </w:r>
      <w:r>
        <w:rPr>
          <w:rFonts w:cs="Arial" w:hint="cs"/>
          <w:sz w:val="16"/>
          <w:szCs w:val="16"/>
          <w:rtl/>
        </w:rPr>
        <w:t>(כלל ג ד"ז)</w:t>
      </w:r>
      <w:r>
        <w:rPr>
          <w:rFonts w:cs="Arial" w:hint="cs"/>
          <w:rtl/>
        </w:rPr>
        <w:t>-</w:t>
      </w:r>
      <w:r w:rsidRPr="00504A0A">
        <w:rPr>
          <w:rFonts w:cs="Arial"/>
          <w:rtl/>
        </w:rPr>
        <w:t xml:space="preserve"> אס</w:t>
      </w:r>
      <w:r>
        <w:rPr>
          <w:rFonts w:cs="Arial" w:hint="cs"/>
          <w:rtl/>
        </w:rPr>
        <w:t>ו</w:t>
      </w:r>
      <w:r w:rsidRPr="00504A0A">
        <w:rPr>
          <w:rFonts w:cs="Arial"/>
          <w:rtl/>
        </w:rPr>
        <w:t>ר אפילו בדיעבד אם הם בני יומן</w:t>
      </w:r>
      <w:r>
        <w:rPr>
          <w:rStyle w:val="a7"/>
          <w:rFonts w:cs="Arial"/>
          <w:rtl/>
        </w:rPr>
        <w:footnoteReference w:id="2264"/>
      </w:r>
      <w:r>
        <w:rPr>
          <w:rFonts w:cs="Arial" w:hint="cs"/>
          <w:rtl/>
        </w:rPr>
        <w:t>.</w:t>
      </w:r>
      <w:r w:rsidRPr="00504A0A">
        <w:rPr>
          <w:rFonts w:cs="Arial"/>
          <w:rtl/>
        </w:rPr>
        <w:t xml:space="preserve"> </w:t>
      </w:r>
    </w:p>
    <w:p w14:paraId="4854290E" w14:textId="77777777" w:rsidR="002C39F4" w:rsidRDefault="002C39F4" w:rsidP="002C39F4">
      <w:pPr>
        <w:rPr>
          <w:rFonts w:cs="Arial"/>
          <w:rtl/>
        </w:rPr>
      </w:pPr>
      <w:r w:rsidRPr="00504A0A">
        <w:rPr>
          <w:rFonts w:cs="Arial" w:hint="cs"/>
          <w:u w:val="single"/>
          <w:rtl/>
        </w:rPr>
        <w:t>מליחת בשר בכלי שהגוים מכניסים בו יין לקיום:</w:t>
      </w:r>
    </w:p>
    <w:p w14:paraId="5FB7E4E3" w14:textId="77777777" w:rsidR="002C39F4" w:rsidRDefault="002C39F4" w:rsidP="0032102C">
      <w:pPr>
        <w:pStyle w:val="a8"/>
        <w:numPr>
          <w:ilvl w:val="0"/>
          <w:numId w:val="170"/>
        </w:numPr>
        <w:rPr>
          <w:rFonts w:cs="Arial"/>
        </w:rPr>
      </w:pPr>
      <w:r w:rsidRPr="00504A0A">
        <w:rPr>
          <w:rFonts w:cs="Arial"/>
          <w:rtl/>
        </w:rPr>
        <w:t>א</w:t>
      </w:r>
      <w:r w:rsidRPr="00504A0A">
        <w:rPr>
          <w:rFonts w:cs="Arial" w:hint="cs"/>
          <w:rtl/>
        </w:rPr>
        <w:t>"</w:t>
      </w:r>
      <w:r w:rsidRPr="00504A0A">
        <w:rPr>
          <w:rFonts w:cs="Arial"/>
          <w:rtl/>
        </w:rPr>
        <w:t xml:space="preserve">ח </w:t>
      </w:r>
      <w:r w:rsidRPr="00504A0A">
        <w:rPr>
          <w:rFonts w:cs="Arial"/>
          <w:sz w:val="16"/>
          <w:szCs w:val="16"/>
          <w:rtl/>
        </w:rPr>
        <w:t xml:space="preserve">(סי' צט) </w:t>
      </w:r>
      <w:r w:rsidRPr="00504A0A">
        <w:rPr>
          <w:rFonts w:cs="Arial"/>
          <w:rtl/>
        </w:rPr>
        <w:t xml:space="preserve">בשם </w:t>
      </w:r>
      <w:r>
        <w:rPr>
          <w:rFonts w:cs="Arial" w:hint="cs"/>
          <w:rtl/>
        </w:rPr>
        <w:t>ה</w:t>
      </w:r>
      <w:r w:rsidRPr="00504A0A">
        <w:rPr>
          <w:rFonts w:cs="Arial"/>
          <w:rtl/>
        </w:rPr>
        <w:t xml:space="preserve">רשב"א </w:t>
      </w:r>
      <w:r w:rsidRPr="00504A0A">
        <w:rPr>
          <w:rFonts w:cs="Arial"/>
          <w:sz w:val="16"/>
          <w:szCs w:val="16"/>
          <w:rtl/>
        </w:rPr>
        <w:t>(ח"א סי</w:t>
      </w:r>
      <w:r>
        <w:rPr>
          <w:rFonts w:cs="Arial" w:hint="cs"/>
          <w:sz w:val="16"/>
          <w:szCs w:val="16"/>
          <w:rtl/>
        </w:rPr>
        <w:t>'</w:t>
      </w:r>
      <w:r w:rsidRPr="00504A0A">
        <w:rPr>
          <w:rFonts w:cs="Arial"/>
          <w:sz w:val="16"/>
          <w:szCs w:val="16"/>
          <w:rtl/>
        </w:rPr>
        <w:t xml:space="preserve"> שפה)</w:t>
      </w:r>
      <w:r>
        <w:rPr>
          <w:rFonts w:cs="Arial" w:hint="cs"/>
          <w:rtl/>
        </w:rPr>
        <w:t>-</w:t>
      </w:r>
      <w:r w:rsidRPr="00504A0A">
        <w:rPr>
          <w:rFonts w:cs="Arial"/>
          <w:rtl/>
        </w:rPr>
        <w:t xml:space="preserve"> מותר למלוח בשר בכלי שמכניסים בו הגויים יין לקיום מכמה טעמים</w:t>
      </w:r>
      <w:r>
        <w:rPr>
          <w:rFonts w:cs="Arial" w:hint="cs"/>
          <w:rtl/>
        </w:rPr>
        <w:t>,</w:t>
      </w:r>
      <w:r w:rsidRPr="00504A0A">
        <w:rPr>
          <w:rFonts w:cs="Arial"/>
          <w:rtl/>
        </w:rPr>
        <w:t xml:space="preserve"> חדא שאין זה מפליט</w:t>
      </w:r>
      <w:r>
        <w:rPr>
          <w:rFonts w:cs="Arial" w:hint="cs"/>
          <w:rtl/>
        </w:rPr>
        <w:t>,</w:t>
      </w:r>
      <w:r w:rsidRPr="00504A0A">
        <w:rPr>
          <w:rFonts w:cs="Arial"/>
          <w:rtl/>
        </w:rPr>
        <w:t xml:space="preserve"> ועוד שא</w:t>
      </w:r>
      <w:r>
        <w:rPr>
          <w:rFonts w:cs="Arial" w:hint="cs"/>
          <w:rtl/>
        </w:rPr>
        <w:t xml:space="preserve">"א </w:t>
      </w:r>
      <w:r w:rsidRPr="00504A0A">
        <w:rPr>
          <w:rFonts w:cs="Arial"/>
          <w:rtl/>
        </w:rPr>
        <w:t>שיפליט כ</w:t>
      </w:r>
      <w:r>
        <w:rPr>
          <w:rFonts w:cs="Arial" w:hint="cs"/>
          <w:rtl/>
        </w:rPr>
        <w:t>"</w:t>
      </w:r>
      <w:r w:rsidRPr="00504A0A">
        <w:rPr>
          <w:rFonts w:cs="Arial"/>
          <w:rtl/>
        </w:rPr>
        <w:t>כ שיבא לידי נתינת טעם</w:t>
      </w:r>
      <w:r>
        <w:rPr>
          <w:rFonts w:cs="Arial" w:hint="cs"/>
          <w:rtl/>
        </w:rPr>
        <w:t>,</w:t>
      </w:r>
      <w:r w:rsidRPr="00504A0A">
        <w:rPr>
          <w:rFonts w:cs="Arial"/>
          <w:rtl/>
        </w:rPr>
        <w:t xml:space="preserve"> ועוד דאגב דטריד למיפלט דמא לא בלע</w:t>
      </w:r>
      <w:r>
        <w:rPr>
          <w:rFonts w:cs="Arial" w:hint="cs"/>
          <w:rtl/>
        </w:rPr>
        <w:t>,</w:t>
      </w:r>
      <w:r w:rsidRPr="00504A0A">
        <w:rPr>
          <w:rFonts w:cs="Arial"/>
          <w:rtl/>
        </w:rPr>
        <w:t xml:space="preserve"> ועוד דלא בלע אלא דבר המסתבך כשומן או ציר</w:t>
      </w:r>
      <w:r>
        <w:rPr>
          <w:rStyle w:val="a7"/>
          <w:rFonts w:cs="Arial"/>
          <w:rtl/>
        </w:rPr>
        <w:footnoteReference w:id="2265"/>
      </w:r>
      <w:r w:rsidRPr="00504A0A">
        <w:rPr>
          <w:rFonts w:cs="Arial"/>
          <w:rtl/>
        </w:rPr>
        <w:t xml:space="preserve"> אבל דם דשריק וא"נ פליטת יין לא</w:t>
      </w:r>
      <w:r>
        <w:rPr>
          <w:rFonts w:cs="Arial" w:hint="cs"/>
          <w:rtl/>
        </w:rPr>
        <w:t>.</w:t>
      </w:r>
      <w:r w:rsidRPr="00504A0A">
        <w:rPr>
          <w:rFonts w:cs="Arial"/>
          <w:rtl/>
        </w:rPr>
        <w:t xml:space="preserve"> </w:t>
      </w:r>
      <w:r w:rsidRPr="00B54A8D">
        <w:rPr>
          <w:rFonts w:hint="cs"/>
          <w:color w:val="00B0F0"/>
          <w:rtl/>
        </w:rPr>
        <w:t>(וכ"פ הרמ"א)</w:t>
      </w:r>
    </w:p>
    <w:p w14:paraId="2CD4BA66" w14:textId="77777777" w:rsidR="002C39F4" w:rsidRPr="00955D48" w:rsidRDefault="002C39F4" w:rsidP="002C39F4">
      <w:pPr>
        <w:ind w:left="360"/>
        <w:rPr>
          <w:rFonts w:cs="Arial"/>
          <w:sz w:val="16"/>
          <w:szCs w:val="16"/>
        </w:rPr>
      </w:pPr>
      <w:r w:rsidRPr="00955D48">
        <w:rPr>
          <w:rFonts w:cs="Arial" w:hint="cs"/>
          <w:u w:val="dotted"/>
          <w:rtl/>
        </w:rPr>
        <w:t xml:space="preserve">האם יש חילוק בין כשמולח בכלי של איסור מנוקב לבין כשמולח בכלי </w:t>
      </w:r>
      <w:r>
        <w:rPr>
          <w:rFonts w:cs="Arial" w:hint="cs"/>
          <w:u w:val="dotted"/>
          <w:rtl/>
        </w:rPr>
        <w:t xml:space="preserve">של </w:t>
      </w:r>
      <w:r w:rsidRPr="00955D48">
        <w:rPr>
          <w:rFonts w:cs="Arial" w:hint="cs"/>
          <w:u w:val="dotted"/>
          <w:rtl/>
        </w:rPr>
        <w:t>איסור שאינו מנוקב:</w:t>
      </w:r>
      <w:r>
        <w:rPr>
          <w:rFonts w:cs="Arial" w:hint="cs"/>
          <w:sz w:val="16"/>
          <w:szCs w:val="16"/>
          <w:rtl/>
        </w:rPr>
        <w:t xml:space="preserve">   (דרכ"מ אות טו)</w:t>
      </w:r>
    </w:p>
    <w:p w14:paraId="77FF9E0A" w14:textId="77777777" w:rsidR="002C39F4" w:rsidRDefault="002C39F4" w:rsidP="0032102C">
      <w:pPr>
        <w:pStyle w:val="a8"/>
        <w:numPr>
          <w:ilvl w:val="0"/>
          <w:numId w:val="170"/>
        </w:numPr>
        <w:rPr>
          <w:rFonts w:cs="Arial"/>
        </w:rPr>
      </w:pPr>
      <w:r>
        <w:rPr>
          <w:rFonts w:cs="Arial" w:hint="cs"/>
          <w:rtl/>
        </w:rPr>
        <w:t xml:space="preserve">דרכ"מ </w:t>
      </w:r>
      <w:r w:rsidRPr="00955D48">
        <w:rPr>
          <w:rFonts w:cs="Arial"/>
          <w:sz w:val="16"/>
          <w:szCs w:val="16"/>
          <w:rtl/>
        </w:rPr>
        <w:t>(</w:t>
      </w:r>
      <w:r w:rsidRPr="00955D48">
        <w:rPr>
          <w:rFonts w:cs="Arial" w:hint="cs"/>
          <w:sz w:val="16"/>
          <w:szCs w:val="16"/>
          <w:rtl/>
        </w:rPr>
        <w:t xml:space="preserve">אות </w:t>
      </w:r>
      <w:r w:rsidRPr="00955D48">
        <w:rPr>
          <w:rFonts w:cs="Arial"/>
          <w:sz w:val="16"/>
          <w:szCs w:val="16"/>
          <w:rtl/>
        </w:rPr>
        <w:t>טו)</w:t>
      </w:r>
      <w:r>
        <w:rPr>
          <w:rFonts w:cs="Arial" w:hint="cs"/>
          <w:rtl/>
        </w:rPr>
        <w:t>-</w:t>
      </w:r>
      <w:r w:rsidRPr="00955D48">
        <w:rPr>
          <w:rFonts w:cs="Arial"/>
          <w:rtl/>
        </w:rPr>
        <w:t xml:space="preserve"> נ"ל ללמוד מכאן</w:t>
      </w:r>
      <w:r>
        <w:rPr>
          <w:rFonts w:cs="Arial" w:hint="cs"/>
          <w:sz w:val="16"/>
          <w:szCs w:val="16"/>
          <w:rtl/>
        </w:rPr>
        <w:t xml:space="preserve"> {מדברי הא"ח בשם הרשב"א הנ"ל}</w:t>
      </w:r>
      <w:r w:rsidRPr="00955D48">
        <w:rPr>
          <w:rFonts w:cs="Arial"/>
          <w:rtl/>
        </w:rPr>
        <w:t xml:space="preserve"> דאין חילוק בין כלי נקוב לשאינו נקוב דלעולם אין כח מלח להפליט מכלים</w:t>
      </w:r>
      <w:r>
        <w:rPr>
          <w:rFonts w:cs="Arial" w:hint="cs"/>
          <w:rtl/>
        </w:rPr>
        <w:t>,</w:t>
      </w:r>
      <w:r w:rsidRPr="00955D48">
        <w:rPr>
          <w:rFonts w:cs="Arial"/>
          <w:rtl/>
        </w:rPr>
        <w:t xml:space="preserve"> וכן משמע ג"כ מדברי המחברים שכתבו דמותר ליתן בחלב מלח שהיה בקערה של בשר</w:t>
      </w:r>
      <w:r>
        <w:rPr>
          <w:rFonts w:cs="Arial" w:hint="cs"/>
          <w:rtl/>
        </w:rPr>
        <w:t>,</w:t>
      </w:r>
      <w:r w:rsidRPr="00955D48">
        <w:rPr>
          <w:rFonts w:cs="Arial"/>
          <w:rtl/>
        </w:rPr>
        <w:t xml:space="preserve"> וסתם קערות אינם מנוקבים</w:t>
      </w:r>
      <w:r>
        <w:rPr>
          <w:rFonts w:cs="Arial" w:hint="cs"/>
          <w:rtl/>
        </w:rPr>
        <w:t xml:space="preserve">. </w:t>
      </w:r>
      <w:r w:rsidRPr="00955D48">
        <w:rPr>
          <w:rFonts w:cs="Arial" w:hint="cs"/>
          <w:color w:val="00B0F0"/>
          <w:rtl/>
        </w:rPr>
        <w:t>(וכ"פ בהג</w:t>
      </w:r>
      <w:r>
        <w:rPr>
          <w:rFonts w:cs="Arial" w:hint="cs"/>
          <w:color w:val="00B0F0"/>
          <w:rtl/>
        </w:rPr>
        <w:t>"</w:t>
      </w:r>
      <w:r w:rsidRPr="00955D48">
        <w:rPr>
          <w:rFonts w:cs="Arial" w:hint="cs"/>
          <w:color w:val="00B0F0"/>
          <w:rtl/>
        </w:rPr>
        <w:t>ה)</w:t>
      </w:r>
    </w:p>
    <w:p w14:paraId="245ECE4F" w14:textId="77777777" w:rsidR="002C39F4" w:rsidRPr="00504A0A" w:rsidRDefault="002C39F4" w:rsidP="0032102C">
      <w:pPr>
        <w:pStyle w:val="a8"/>
        <w:numPr>
          <w:ilvl w:val="0"/>
          <w:numId w:val="170"/>
        </w:numPr>
        <w:rPr>
          <w:rFonts w:cs="Arial"/>
          <w:rtl/>
        </w:rPr>
      </w:pPr>
      <w:r>
        <w:rPr>
          <w:rFonts w:cs="Arial"/>
          <w:rtl/>
        </w:rPr>
        <w:t>או"ה</w:t>
      </w:r>
      <w:r w:rsidRPr="00955D48">
        <w:rPr>
          <w:rFonts w:cs="Arial"/>
          <w:rtl/>
        </w:rPr>
        <w:t xml:space="preserve"> </w:t>
      </w:r>
      <w:r w:rsidRPr="00955D48">
        <w:rPr>
          <w:rFonts w:cs="Arial"/>
          <w:sz w:val="16"/>
          <w:szCs w:val="16"/>
          <w:rtl/>
        </w:rPr>
        <w:t>(כלל ג דין א וב)</w:t>
      </w:r>
      <w:r>
        <w:rPr>
          <w:rFonts w:cs="Arial" w:hint="cs"/>
          <w:rtl/>
        </w:rPr>
        <w:t>-</w:t>
      </w:r>
      <w:r w:rsidRPr="00955D48">
        <w:rPr>
          <w:rFonts w:cs="Arial"/>
          <w:rtl/>
        </w:rPr>
        <w:t xml:space="preserve"> הא דאין מליחה לכלים היינו בכלי מנוקב אבל אם אינו מנוקב אסור</w:t>
      </w:r>
      <w:r>
        <w:rPr>
          <w:rStyle w:val="a7"/>
          <w:rFonts w:cs="Arial"/>
          <w:rtl/>
        </w:rPr>
        <w:footnoteReference w:id="2266"/>
      </w:r>
      <w:r>
        <w:rPr>
          <w:rFonts w:cs="Arial" w:hint="cs"/>
          <w:rtl/>
        </w:rPr>
        <w:t>.</w:t>
      </w:r>
    </w:p>
    <w:p w14:paraId="641D7D18" w14:textId="77777777" w:rsidR="002C39F4" w:rsidRPr="00FD7423" w:rsidRDefault="002C39F4" w:rsidP="002C39F4">
      <w:pPr>
        <w:rPr>
          <w:rFonts w:cs="Arial"/>
          <w:u w:val="single"/>
          <w:rtl/>
        </w:rPr>
      </w:pPr>
      <w:r w:rsidRPr="00FD7423">
        <w:rPr>
          <w:rFonts w:cs="Arial"/>
          <w:u w:val="single"/>
          <w:rtl/>
        </w:rPr>
        <w:t>מעשה בשפחה גויה שמלחה טומאה בקערה</w:t>
      </w:r>
      <w:r w:rsidRPr="00FD7423">
        <w:rPr>
          <w:rFonts w:cs="Arial" w:hint="cs"/>
          <w:u w:val="single"/>
          <w:rtl/>
        </w:rPr>
        <w:t>:</w:t>
      </w:r>
    </w:p>
    <w:p w14:paraId="5A54FE19" w14:textId="77777777" w:rsidR="002C39F4" w:rsidRPr="002D16A1" w:rsidRDefault="002C39F4" w:rsidP="0032102C">
      <w:pPr>
        <w:pStyle w:val="a8"/>
        <w:numPr>
          <w:ilvl w:val="0"/>
          <w:numId w:val="236"/>
        </w:numPr>
        <w:rPr>
          <w:rtl/>
        </w:rPr>
      </w:pPr>
      <w:r w:rsidRPr="00FD7423">
        <w:rPr>
          <w:rFonts w:cs="Arial"/>
          <w:rtl/>
        </w:rPr>
        <w:t xml:space="preserve">אגור </w:t>
      </w:r>
      <w:r w:rsidRPr="00FD7423">
        <w:rPr>
          <w:rFonts w:cs="Arial"/>
          <w:sz w:val="16"/>
          <w:szCs w:val="16"/>
          <w:rtl/>
        </w:rPr>
        <w:t xml:space="preserve">(סי' אלף קצז) </w:t>
      </w:r>
      <w:r w:rsidRPr="00FD7423">
        <w:rPr>
          <w:rFonts w:cs="Arial"/>
          <w:rtl/>
        </w:rPr>
        <w:t>בשם אשירי</w:t>
      </w:r>
      <w:r w:rsidRPr="00FD7423">
        <w:rPr>
          <w:rFonts w:cs="Arial" w:hint="cs"/>
          <w:rtl/>
        </w:rPr>
        <w:t>-</w:t>
      </w:r>
      <w:r w:rsidRPr="00FD7423">
        <w:rPr>
          <w:rFonts w:cs="Arial"/>
          <w:rtl/>
        </w:rPr>
        <w:t xml:space="preserve"> מעשה בשפחה גויה שמלחה טומאה בקערה ואחר שהסירה הטומאה מהקערה הכניסה אותה קערה במים רותחים שהיו במחבת על האש ומאותם המים נתנו בקמח ולשו עיסה ולא היו ששים לבטל הקערה שהיתה בת יומא</w:t>
      </w:r>
      <w:r>
        <w:rPr>
          <w:rFonts w:cs="Arial" w:hint="cs"/>
          <w:rtl/>
        </w:rPr>
        <w:t>,</w:t>
      </w:r>
      <w:r w:rsidRPr="00FD7423">
        <w:rPr>
          <w:rFonts w:cs="Arial"/>
          <w:rtl/>
        </w:rPr>
        <w:t xml:space="preserve"> ועתה אם נאמר דקמא קמא בטיל מה שנתנו בעיסה בטל גם לרבינו אפרים דאמר לא אמרינן חתיכה עצמה נעשית נבלה אלא בבשר בחלב</w:t>
      </w:r>
      <w:r>
        <w:rPr>
          <w:rFonts w:cs="Arial" w:hint="cs"/>
          <w:rtl/>
        </w:rPr>
        <w:t>,</w:t>
      </w:r>
      <w:r w:rsidRPr="00FD7423">
        <w:rPr>
          <w:rFonts w:cs="Arial"/>
          <w:rtl/>
        </w:rPr>
        <w:t xml:space="preserve"> א"כ לא בעינן לא בעיסה ולא במים אלא כנגד מה שבלוע מהטומאה בקערה</w:t>
      </w:r>
      <w:r>
        <w:rPr>
          <w:rFonts w:cs="Arial" w:hint="cs"/>
          <w:rtl/>
        </w:rPr>
        <w:t>,</w:t>
      </w:r>
      <w:r w:rsidRPr="00FD7423">
        <w:rPr>
          <w:rFonts w:cs="Arial"/>
          <w:rtl/>
        </w:rPr>
        <w:t xml:space="preserve"> ואף לפר"י ור"ת אין דומה המליחה בקערה לכבוש וסגי בס' כנגד הקליפה שבלעה הקערה דה"ל כרותח דצלי ולא בעי רק כדי קליפה</w:t>
      </w:r>
      <w:r>
        <w:rPr>
          <w:rFonts w:cs="Arial" w:hint="cs"/>
          <w:rtl/>
        </w:rPr>
        <w:t>.</w:t>
      </w:r>
    </w:p>
    <w:p w14:paraId="09A4F30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80B32C0" w14:textId="77777777" w:rsidR="002C39F4" w:rsidRDefault="002C39F4" w:rsidP="002C39F4">
      <w:pPr>
        <w:rPr>
          <w:rFonts w:asciiTheme="minorBidi" w:hAnsiTheme="minorBidi"/>
          <w:rtl/>
        </w:rPr>
      </w:pPr>
      <w:r w:rsidRPr="003024E5">
        <w:rPr>
          <w:rFonts w:asciiTheme="minorBidi" w:hAnsiTheme="minorBidi"/>
          <w:rtl/>
        </w:rPr>
        <w:t xml:space="preserve">גבינות שנעשו בדפוסי </w:t>
      </w:r>
      <w:r>
        <w:rPr>
          <w:rFonts w:asciiTheme="minorBidi" w:hAnsiTheme="minorBidi" w:hint="cs"/>
          <w:rtl/>
        </w:rPr>
        <w:t>גו</w:t>
      </w:r>
      <w:r w:rsidRPr="003024E5">
        <w:rPr>
          <w:rFonts w:asciiTheme="minorBidi" w:hAnsiTheme="minorBidi"/>
          <w:rtl/>
        </w:rPr>
        <w:t xml:space="preserve">ים אף על פי שנמלחו בתוכן מותרים. </w:t>
      </w:r>
      <w:r w:rsidRPr="002C79A5">
        <w:rPr>
          <w:rFonts w:asciiTheme="minorBidi" w:hAnsiTheme="minorBidi"/>
          <w:sz w:val="18"/>
          <w:szCs w:val="18"/>
          <w:rtl/>
        </w:rPr>
        <w:t>הגה: וה"ה אם נמלח היתר בשאר כלי איסור (רשב"א), ואפילו אינו מנוקב (ד"ע), דאין מליח כרותח כל כך להפליט מן הכלי מה שבלע בתוכו</w:t>
      </w:r>
      <w:r>
        <w:rPr>
          <w:rStyle w:val="a7"/>
          <w:rFonts w:asciiTheme="minorBidi" w:hAnsiTheme="minorBidi"/>
          <w:sz w:val="18"/>
          <w:szCs w:val="18"/>
          <w:rtl/>
        </w:rPr>
        <w:footnoteReference w:id="2267"/>
      </w:r>
      <w:r>
        <w:rPr>
          <w:rFonts w:asciiTheme="minorBidi" w:hAnsiTheme="minorBidi" w:hint="cs"/>
          <w:sz w:val="18"/>
          <w:szCs w:val="18"/>
          <w:rtl/>
        </w:rPr>
        <w:t>,</w:t>
      </w:r>
      <w:r w:rsidRPr="002C79A5">
        <w:rPr>
          <w:rFonts w:asciiTheme="minorBidi" w:hAnsiTheme="minorBidi"/>
          <w:sz w:val="18"/>
          <w:szCs w:val="18"/>
          <w:rtl/>
        </w:rPr>
        <w:t xml:space="preserve"> ודוקא בדיעבד אבל לכתחלה אסור (מרדכי והגש</w:t>
      </w:r>
      <w:r w:rsidRPr="002C79A5">
        <w:rPr>
          <w:rFonts w:asciiTheme="minorBidi" w:hAnsiTheme="minorBidi" w:hint="cs"/>
          <w:sz w:val="18"/>
          <w:szCs w:val="18"/>
          <w:rtl/>
        </w:rPr>
        <w:t>ע</w:t>
      </w:r>
      <w:r w:rsidRPr="002C79A5">
        <w:rPr>
          <w:rFonts w:asciiTheme="minorBidi" w:hAnsiTheme="minorBidi"/>
          <w:sz w:val="18"/>
          <w:szCs w:val="18"/>
          <w:rtl/>
        </w:rPr>
        <w:t>"ד).</w:t>
      </w:r>
      <w:r w:rsidRPr="003024E5">
        <w:rPr>
          <w:rFonts w:asciiTheme="minorBidi" w:hAnsiTheme="minorBidi"/>
          <w:rtl/>
        </w:rPr>
        <w:t xml:space="preserve"> </w:t>
      </w:r>
    </w:p>
    <w:p w14:paraId="00A6AADF" w14:textId="77777777" w:rsidR="002C39F4" w:rsidRPr="003024E5" w:rsidRDefault="002C39F4" w:rsidP="002C39F4">
      <w:pPr>
        <w:rPr>
          <w:rFonts w:asciiTheme="minorBidi" w:hAnsiTheme="minorBidi"/>
          <w:rtl/>
        </w:rPr>
      </w:pPr>
    </w:p>
    <w:p w14:paraId="14F5EC8E" w14:textId="77777777" w:rsidR="002C39F4" w:rsidRDefault="002C39F4" w:rsidP="002C39F4">
      <w:pPr>
        <w:pStyle w:val="2"/>
        <w:rPr>
          <w:rFonts w:asciiTheme="minorBidi" w:hAnsiTheme="minorBidi"/>
          <w:rtl/>
        </w:rPr>
      </w:pPr>
      <w:r w:rsidRPr="003024E5">
        <w:rPr>
          <w:rFonts w:asciiTheme="minorBidi" w:hAnsiTheme="minorBidi"/>
          <w:rtl/>
        </w:rPr>
        <w:t>סעיף יג</w:t>
      </w:r>
      <w:r>
        <w:rPr>
          <w:rFonts w:asciiTheme="minorBidi" w:hAnsiTheme="minorBidi" w:hint="cs"/>
          <w:rtl/>
        </w:rPr>
        <w:t>: מלח או תבלין הנמצאים בכלי של בשר ורוצה להשתמש בו בחלב.</w:t>
      </w:r>
    </w:p>
    <w:p w14:paraId="3980B843" w14:textId="77777777" w:rsidR="002C39F4" w:rsidRPr="00955D48" w:rsidRDefault="002C39F4" w:rsidP="002C39F4">
      <w:pPr>
        <w:rPr>
          <w:sz w:val="16"/>
          <w:szCs w:val="16"/>
        </w:rPr>
      </w:pPr>
      <w:r w:rsidRPr="008E2066">
        <w:rPr>
          <w:rFonts w:hint="cs"/>
          <w:u w:val="single"/>
          <w:rtl/>
        </w:rPr>
        <w:t>מלח הנתון בקערה של בשר</w:t>
      </w:r>
      <w:r>
        <w:rPr>
          <w:rFonts w:hint="cs"/>
          <w:u w:val="single"/>
          <w:rtl/>
        </w:rPr>
        <w:t xml:space="preserve"> </w:t>
      </w:r>
      <w:r>
        <w:rPr>
          <w:u w:val="single"/>
          <w:rtl/>
        </w:rPr>
        <w:t>–</w:t>
      </w:r>
      <w:r>
        <w:rPr>
          <w:rFonts w:hint="cs"/>
          <w:u w:val="single"/>
          <w:rtl/>
        </w:rPr>
        <w:t xml:space="preserve"> מהו ליתנו בחלב</w:t>
      </w:r>
      <w:r w:rsidRPr="008E2066">
        <w:rPr>
          <w:rFonts w:hint="cs"/>
          <w:u w:val="single"/>
          <w:rtl/>
        </w:rPr>
        <w:t>:</w:t>
      </w:r>
      <w:r>
        <w:rPr>
          <w:rFonts w:hint="cs"/>
          <w:sz w:val="16"/>
          <w:szCs w:val="16"/>
          <w:rtl/>
        </w:rPr>
        <w:t xml:space="preserve">  (ב"י ודרכ"מ אות יד ואות יז)</w:t>
      </w:r>
    </w:p>
    <w:p w14:paraId="1A29BBEB" w14:textId="77777777" w:rsidR="002C39F4" w:rsidRDefault="002C39F4" w:rsidP="0032102C">
      <w:pPr>
        <w:pStyle w:val="a8"/>
        <w:numPr>
          <w:ilvl w:val="0"/>
          <w:numId w:val="170"/>
        </w:numPr>
      </w:pPr>
      <w:r w:rsidRPr="00620623">
        <w:rPr>
          <w:rFonts w:cs="Arial"/>
          <w:rtl/>
        </w:rPr>
        <w:t xml:space="preserve">רא"ה </w:t>
      </w:r>
      <w:r>
        <w:rPr>
          <w:rFonts w:cs="Arial" w:hint="cs"/>
          <w:rtl/>
        </w:rPr>
        <w:t xml:space="preserve">מרדכי </w:t>
      </w:r>
      <w:r w:rsidRPr="00620623">
        <w:rPr>
          <w:rFonts w:cs="Arial"/>
          <w:rtl/>
        </w:rPr>
        <w:t>רא"ש</w:t>
      </w:r>
      <w:r>
        <w:rPr>
          <w:rFonts w:cs="Arial" w:hint="cs"/>
          <w:rtl/>
        </w:rPr>
        <w:t xml:space="preserve"> וטור</w:t>
      </w:r>
      <w:r>
        <w:rPr>
          <w:rStyle w:val="a7"/>
          <w:rFonts w:cs="Arial"/>
          <w:rtl/>
        </w:rPr>
        <w:footnoteReference w:id="2268"/>
      </w:r>
      <w:r>
        <w:rPr>
          <w:rFonts w:cs="Arial" w:hint="cs"/>
          <w:rtl/>
        </w:rPr>
        <w:t xml:space="preserve">- </w:t>
      </w:r>
      <w:r w:rsidRPr="00FD7423">
        <w:rPr>
          <w:rFonts w:cs="Arial"/>
          <w:rtl/>
        </w:rPr>
        <w:t>מלח שהוא בקערה של בשר מותר ליתנו בחלב</w:t>
      </w:r>
      <w:r>
        <w:rPr>
          <w:rStyle w:val="a7"/>
          <w:rFonts w:cs="Arial"/>
          <w:rtl/>
        </w:rPr>
        <w:footnoteReference w:id="2269"/>
      </w:r>
      <w:r>
        <w:rPr>
          <w:rFonts w:cs="Arial" w:hint="cs"/>
          <w:sz w:val="16"/>
          <w:szCs w:val="16"/>
          <w:rtl/>
        </w:rPr>
        <w:t xml:space="preserve"> (ל' הטור)</w:t>
      </w:r>
      <w:r w:rsidRPr="00FD7423">
        <w:rPr>
          <w:rFonts w:cs="Arial" w:hint="cs"/>
          <w:rtl/>
        </w:rPr>
        <w:t>.</w:t>
      </w:r>
      <w:r>
        <w:rPr>
          <w:rFonts w:hint="cs"/>
          <w:color w:val="E36C0A" w:themeColor="accent6" w:themeShade="BF"/>
          <w:rtl/>
        </w:rPr>
        <w:t xml:space="preserve"> </w:t>
      </w:r>
      <w:r w:rsidRPr="00B54A8D">
        <w:rPr>
          <w:rFonts w:hint="cs"/>
          <w:color w:val="E36C0A" w:themeColor="accent6" w:themeShade="BF"/>
          <w:rtl/>
        </w:rPr>
        <w:t>(וכ"פ בשו"ע)</w:t>
      </w:r>
      <w:r>
        <w:rPr>
          <w:rFonts w:hint="cs"/>
          <w:color w:val="E36C0A" w:themeColor="accent6" w:themeShade="BF"/>
          <w:rtl/>
        </w:rPr>
        <w:t xml:space="preserve"> </w:t>
      </w:r>
    </w:p>
    <w:p w14:paraId="4E1AF2CC" w14:textId="77777777" w:rsidR="002C39F4" w:rsidRDefault="002C39F4" w:rsidP="0032102C">
      <w:pPr>
        <w:pStyle w:val="a8"/>
        <w:numPr>
          <w:ilvl w:val="0"/>
          <w:numId w:val="170"/>
        </w:numPr>
        <w:rPr>
          <w:rtl/>
        </w:rPr>
      </w:pPr>
      <w:r w:rsidRPr="008E2066">
        <w:rPr>
          <w:rFonts w:cs="Arial"/>
          <w:rtl/>
        </w:rPr>
        <w:t>תוס</w:t>
      </w:r>
      <w:r>
        <w:rPr>
          <w:rFonts w:cs="Arial" w:hint="cs"/>
          <w:rtl/>
        </w:rPr>
        <w:t>'</w:t>
      </w:r>
      <w:r w:rsidRPr="008E2066">
        <w:rPr>
          <w:rFonts w:cs="Arial"/>
          <w:rtl/>
        </w:rPr>
        <w:t xml:space="preserve"> </w:t>
      </w:r>
      <w:r w:rsidRPr="00E36013">
        <w:rPr>
          <w:rFonts w:cs="Arial"/>
          <w:sz w:val="16"/>
          <w:szCs w:val="16"/>
          <w:rtl/>
        </w:rPr>
        <w:t>(</w:t>
      </w:r>
      <w:r w:rsidRPr="00E36013">
        <w:rPr>
          <w:rFonts w:cs="Arial" w:hint="cs"/>
          <w:sz w:val="16"/>
          <w:szCs w:val="16"/>
          <w:rtl/>
        </w:rPr>
        <w:t xml:space="preserve">חולין </w:t>
      </w:r>
      <w:r w:rsidRPr="00E36013">
        <w:rPr>
          <w:rFonts w:cs="Arial"/>
          <w:sz w:val="16"/>
          <w:szCs w:val="16"/>
          <w:rtl/>
        </w:rPr>
        <w:t xml:space="preserve">קיג. ד"ה טהור) </w:t>
      </w:r>
      <w:r w:rsidRPr="008E2066">
        <w:rPr>
          <w:rFonts w:cs="Arial"/>
          <w:rtl/>
        </w:rPr>
        <w:t xml:space="preserve">וסמ"ג </w:t>
      </w:r>
      <w:r w:rsidRPr="00E36013">
        <w:rPr>
          <w:rFonts w:cs="Arial"/>
          <w:sz w:val="16"/>
          <w:szCs w:val="16"/>
          <w:rtl/>
        </w:rPr>
        <w:t>(לאוין קלז מח א)</w:t>
      </w:r>
      <w:r>
        <w:rPr>
          <w:rFonts w:cs="Arial" w:hint="cs"/>
          <w:rtl/>
        </w:rPr>
        <w:t xml:space="preserve">- </w:t>
      </w:r>
      <w:r w:rsidRPr="008E2066">
        <w:rPr>
          <w:rFonts w:cs="Arial"/>
          <w:rtl/>
        </w:rPr>
        <w:t>המחמיר תע"ב</w:t>
      </w:r>
      <w:r>
        <w:rPr>
          <w:rFonts w:cs="Arial" w:hint="cs"/>
          <w:rtl/>
        </w:rPr>
        <w:t>.</w:t>
      </w:r>
      <w:r w:rsidRPr="00B54A8D">
        <w:rPr>
          <w:rFonts w:hint="cs"/>
          <w:color w:val="00B0F0"/>
          <w:rtl/>
        </w:rPr>
        <w:t xml:space="preserve"> (וכ"פ הרמ"א)</w:t>
      </w:r>
    </w:p>
    <w:p w14:paraId="7AE1606F" w14:textId="77777777" w:rsidR="002C39F4" w:rsidRPr="00E36013" w:rsidRDefault="002C39F4" w:rsidP="0032102C">
      <w:pPr>
        <w:pStyle w:val="a8"/>
        <w:numPr>
          <w:ilvl w:val="0"/>
          <w:numId w:val="170"/>
        </w:numPr>
      </w:pPr>
      <w:r>
        <w:rPr>
          <w:rFonts w:cs="Arial" w:hint="cs"/>
          <w:rtl/>
        </w:rPr>
        <w:t>או</w:t>
      </w:r>
      <w:r>
        <w:rPr>
          <w:rFonts w:cs="Arial"/>
          <w:rtl/>
        </w:rPr>
        <w:t>"</w:t>
      </w:r>
      <w:r>
        <w:rPr>
          <w:rFonts w:cs="Arial" w:hint="cs"/>
          <w:rtl/>
        </w:rPr>
        <w:t xml:space="preserve">ה </w:t>
      </w:r>
      <w:r w:rsidRPr="00955D48">
        <w:rPr>
          <w:rFonts w:cs="Arial" w:hint="cs"/>
          <w:sz w:val="16"/>
          <w:szCs w:val="16"/>
          <w:rtl/>
        </w:rPr>
        <w:t>(כלל ג ד"ו)</w:t>
      </w:r>
      <w:r>
        <w:rPr>
          <w:rFonts w:cs="Arial" w:hint="cs"/>
          <w:rtl/>
        </w:rPr>
        <w:t xml:space="preserve">- </w:t>
      </w:r>
      <w:r w:rsidRPr="00955D48">
        <w:rPr>
          <w:rFonts w:cs="Arial"/>
          <w:rtl/>
        </w:rPr>
        <w:t>טוב להחמיר לכתחלה דילמא היה שומן בקערה אבל בדיעבד פשיטא דמותר</w:t>
      </w:r>
      <w:r>
        <w:rPr>
          <w:rStyle w:val="a7"/>
          <w:rFonts w:cs="Arial"/>
          <w:rtl/>
        </w:rPr>
        <w:footnoteReference w:id="2270"/>
      </w:r>
      <w:r w:rsidRPr="00E36013">
        <w:rPr>
          <w:rFonts w:cs="Arial" w:hint="cs"/>
          <w:rtl/>
        </w:rPr>
        <w:t>.</w:t>
      </w:r>
    </w:p>
    <w:p w14:paraId="333D8AD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B045882" w14:textId="77777777" w:rsidR="002C39F4" w:rsidRDefault="002C39F4" w:rsidP="002C39F4">
      <w:pPr>
        <w:rPr>
          <w:rFonts w:asciiTheme="minorBidi" w:hAnsiTheme="minorBidi"/>
          <w:rtl/>
        </w:rPr>
      </w:pPr>
      <w:r w:rsidRPr="003024E5">
        <w:rPr>
          <w:rFonts w:asciiTheme="minorBidi" w:hAnsiTheme="minorBidi"/>
          <w:rtl/>
        </w:rPr>
        <w:t>מלח או תבלין שהם בקערה של בשר מותר ליתנם בחלב</w:t>
      </w:r>
      <w:r>
        <w:rPr>
          <w:rStyle w:val="a7"/>
          <w:rFonts w:asciiTheme="minorBidi" w:hAnsiTheme="minorBidi"/>
          <w:rtl/>
        </w:rPr>
        <w:footnoteReference w:id="2271"/>
      </w:r>
      <w:r w:rsidRPr="003024E5">
        <w:rPr>
          <w:rFonts w:asciiTheme="minorBidi" w:hAnsiTheme="minorBidi"/>
          <w:rtl/>
        </w:rPr>
        <w:t xml:space="preserve">. </w:t>
      </w:r>
      <w:r w:rsidRPr="002C79A5">
        <w:rPr>
          <w:rFonts w:asciiTheme="minorBidi" w:hAnsiTheme="minorBidi"/>
          <w:sz w:val="18"/>
          <w:szCs w:val="18"/>
          <w:rtl/>
        </w:rPr>
        <w:t>הגה: וה"ה אם היו בכלי איסור, דמאחר שהם יבשים אינן בולעים מן הכלי</w:t>
      </w:r>
      <w:r>
        <w:rPr>
          <w:rStyle w:val="a7"/>
          <w:rFonts w:asciiTheme="minorBidi" w:hAnsiTheme="minorBidi"/>
          <w:sz w:val="18"/>
          <w:szCs w:val="18"/>
          <w:rtl/>
        </w:rPr>
        <w:footnoteReference w:id="2272"/>
      </w:r>
      <w:r>
        <w:rPr>
          <w:rFonts w:asciiTheme="minorBidi" w:hAnsiTheme="minorBidi" w:hint="cs"/>
          <w:sz w:val="18"/>
          <w:szCs w:val="18"/>
          <w:rtl/>
        </w:rPr>
        <w:t>,</w:t>
      </w:r>
      <w:r w:rsidRPr="002C79A5">
        <w:rPr>
          <w:rFonts w:asciiTheme="minorBidi" w:hAnsiTheme="minorBidi"/>
          <w:sz w:val="18"/>
          <w:szCs w:val="18"/>
          <w:rtl/>
        </w:rPr>
        <w:t xml:space="preserve"> רק שהכלי הוא נקי</w:t>
      </w:r>
      <w:r>
        <w:rPr>
          <w:rStyle w:val="a7"/>
          <w:rFonts w:asciiTheme="minorBidi" w:hAnsiTheme="minorBidi"/>
          <w:sz w:val="18"/>
          <w:szCs w:val="18"/>
          <w:rtl/>
        </w:rPr>
        <w:footnoteReference w:id="2273"/>
      </w:r>
      <w:r w:rsidRPr="002C79A5">
        <w:rPr>
          <w:rFonts w:asciiTheme="minorBidi" w:hAnsiTheme="minorBidi"/>
          <w:sz w:val="18"/>
          <w:szCs w:val="18"/>
          <w:rtl/>
        </w:rPr>
        <w:t xml:space="preserve"> ואין איסור דבוק בו </w:t>
      </w:r>
      <w:r w:rsidRPr="00E073BE">
        <w:rPr>
          <w:rFonts w:asciiTheme="minorBidi" w:hAnsiTheme="minorBidi"/>
          <w:sz w:val="16"/>
          <w:szCs w:val="16"/>
          <w:rtl/>
        </w:rPr>
        <w:t>(הגש</w:t>
      </w:r>
      <w:r w:rsidRPr="00E073BE">
        <w:rPr>
          <w:rFonts w:asciiTheme="minorBidi" w:hAnsiTheme="minorBidi" w:hint="cs"/>
          <w:sz w:val="16"/>
          <w:szCs w:val="16"/>
          <w:rtl/>
        </w:rPr>
        <w:t>ע</w:t>
      </w:r>
      <w:r w:rsidRPr="00E073BE">
        <w:rPr>
          <w:rFonts w:asciiTheme="minorBidi" w:hAnsiTheme="minorBidi"/>
          <w:sz w:val="16"/>
          <w:szCs w:val="16"/>
          <w:rtl/>
        </w:rPr>
        <w:t xml:space="preserve">"ד </w:t>
      </w:r>
      <w:r w:rsidRPr="00E073BE">
        <w:rPr>
          <w:rFonts w:asciiTheme="minorBidi" w:hAnsiTheme="minorBidi" w:hint="cs"/>
          <w:sz w:val="16"/>
          <w:szCs w:val="16"/>
          <w:rtl/>
        </w:rPr>
        <w:t>ו</w:t>
      </w:r>
      <w:r w:rsidRPr="00E073BE">
        <w:rPr>
          <w:rFonts w:asciiTheme="minorBidi" w:hAnsiTheme="minorBidi"/>
          <w:sz w:val="16"/>
          <w:szCs w:val="16"/>
          <w:rtl/>
        </w:rPr>
        <w:t>א"ח בשם הרא"ה)</w:t>
      </w:r>
      <w:r w:rsidRPr="002C79A5">
        <w:rPr>
          <w:rFonts w:asciiTheme="minorBidi" w:hAnsiTheme="minorBidi"/>
          <w:sz w:val="18"/>
          <w:szCs w:val="18"/>
          <w:rtl/>
        </w:rPr>
        <w:t>. והמחמיר לכתחלה תבא עליו ברכה</w:t>
      </w:r>
      <w:r w:rsidRPr="00E073BE">
        <w:rPr>
          <w:rFonts w:asciiTheme="minorBidi" w:hAnsiTheme="minorBidi"/>
          <w:sz w:val="16"/>
          <w:szCs w:val="16"/>
          <w:rtl/>
        </w:rPr>
        <w:t xml:space="preserve"> (ארוך וסמ"ג ועי' לעיל ס"ס צה)</w:t>
      </w:r>
      <w:r w:rsidRPr="002C79A5">
        <w:rPr>
          <w:rFonts w:asciiTheme="minorBidi" w:hAnsiTheme="minorBidi"/>
          <w:sz w:val="18"/>
          <w:szCs w:val="18"/>
          <w:rtl/>
        </w:rPr>
        <w:t xml:space="preserve">. </w:t>
      </w:r>
    </w:p>
    <w:p w14:paraId="50C45D79" w14:textId="77777777" w:rsidR="002C39F4" w:rsidRDefault="002C39F4" w:rsidP="002C39F4">
      <w:pPr>
        <w:rPr>
          <w:rFonts w:asciiTheme="minorBidi" w:hAnsiTheme="minorBidi" w:cs="Arial"/>
          <w:rtl/>
        </w:rPr>
      </w:pPr>
      <w:r w:rsidRPr="00E073BE">
        <w:rPr>
          <w:rFonts w:asciiTheme="minorBidi" w:hAnsiTheme="minorBidi" w:cs="Arial" w:hint="cs"/>
          <w:u w:val="single"/>
          <w:rtl/>
        </w:rPr>
        <w:t>מלח</w:t>
      </w:r>
      <w:r>
        <w:rPr>
          <w:rFonts w:asciiTheme="minorBidi" w:hAnsiTheme="minorBidi" w:cs="Arial" w:hint="cs"/>
          <w:u w:val="single"/>
          <w:rtl/>
        </w:rPr>
        <w:t>/</w:t>
      </w:r>
      <w:r w:rsidRPr="00E073BE">
        <w:rPr>
          <w:rFonts w:asciiTheme="minorBidi" w:hAnsiTheme="minorBidi" w:cs="Arial" w:hint="cs"/>
          <w:u w:val="single"/>
          <w:rtl/>
        </w:rPr>
        <w:t xml:space="preserve">תבלין </w:t>
      </w:r>
      <w:r w:rsidRPr="00E073BE">
        <w:rPr>
          <w:rFonts w:asciiTheme="minorBidi" w:hAnsiTheme="minorBidi" w:cs="Arial" w:hint="cs"/>
          <w:b/>
          <w:bCs/>
          <w:u w:val="single"/>
          <w:rtl/>
        </w:rPr>
        <w:t>לח</w:t>
      </w:r>
      <w:r w:rsidRPr="00E073BE">
        <w:rPr>
          <w:rFonts w:asciiTheme="minorBidi" w:hAnsiTheme="minorBidi" w:cs="Arial" w:hint="cs"/>
          <w:u w:val="single"/>
          <w:rtl/>
        </w:rPr>
        <w:t xml:space="preserve"> שהי</w:t>
      </w:r>
      <w:r>
        <w:rPr>
          <w:rFonts w:asciiTheme="minorBidi" w:hAnsiTheme="minorBidi" w:cs="Arial" w:hint="cs"/>
          <w:u w:val="single"/>
          <w:rtl/>
        </w:rPr>
        <w:t>ה</w:t>
      </w:r>
      <w:r w:rsidRPr="00E073BE">
        <w:rPr>
          <w:rFonts w:asciiTheme="minorBidi" w:hAnsiTheme="minorBidi" w:cs="Arial" w:hint="cs"/>
          <w:u w:val="single"/>
          <w:rtl/>
        </w:rPr>
        <w:t xml:space="preserve"> בקערת בשר </w:t>
      </w:r>
      <w:r w:rsidRPr="00E073BE">
        <w:rPr>
          <w:rFonts w:asciiTheme="minorBidi" w:hAnsiTheme="minorBidi" w:cs="Arial"/>
          <w:u w:val="single"/>
          <w:rtl/>
        </w:rPr>
        <w:t>–</w:t>
      </w:r>
      <w:r w:rsidRPr="00E073BE">
        <w:rPr>
          <w:rFonts w:asciiTheme="minorBidi" w:hAnsiTheme="minorBidi" w:cs="Arial" w:hint="cs"/>
          <w:u w:val="single"/>
          <w:rtl/>
        </w:rPr>
        <w:t xml:space="preserve"> האם מותר לי</w:t>
      </w:r>
      <w:r>
        <w:rPr>
          <w:rFonts w:asciiTheme="minorBidi" w:hAnsiTheme="minorBidi" w:cs="Arial" w:hint="cs"/>
          <w:u w:val="single"/>
          <w:rtl/>
        </w:rPr>
        <w:t>ת</w:t>
      </w:r>
      <w:r w:rsidRPr="00E073BE">
        <w:rPr>
          <w:rFonts w:asciiTheme="minorBidi" w:hAnsiTheme="minorBidi" w:cs="Arial" w:hint="cs"/>
          <w:u w:val="single"/>
          <w:rtl/>
        </w:rPr>
        <w:t>נם בחלב:</w:t>
      </w:r>
    </w:p>
    <w:p w14:paraId="1842DA87" w14:textId="77777777" w:rsidR="002C39F4" w:rsidRPr="00E073BE" w:rsidRDefault="002C39F4" w:rsidP="0032102C">
      <w:pPr>
        <w:pStyle w:val="a8"/>
        <w:numPr>
          <w:ilvl w:val="0"/>
          <w:numId w:val="171"/>
        </w:numPr>
        <w:rPr>
          <w:rFonts w:asciiTheme="minorBidi" w:hAnsiTheme="minorBidi"/>
          <w:rtl/>
        </w:rPr>
      </w:pPr>
      <w:r w:rsidRPr="00E073BE">
        <w:rPr>
          <w:rFonts w:asciiTheme="minorBidi" w:hAnsiTheme="minorBidi" w:cs="Arial" w:hint="cs"/>
          <w:rtl/>
        </w:rPr>
        <w:t xml:space="preserve">ש"ך </w:t>
      </w:r>
      <w:r w:rsidRPr="00E073BE">
        <w:rPr>
          <w:rFonts w:asciiTheme="minorBidi" w:hAnsiTheme="minorBidi" w:cs="Arial" w:hint="cs"/>
          <w:sz w:val="16"/>
          <w:szCs w:val="16"/>
          <w:rtl/>
        </w:rPr>
        <w:t>(סקמ"ד)</w:t>
      </w:r>
      <w:r>
        <w:rPr>
          <w:rFonts w:asciiTheme="minorBidi" w:hAnsiTheme="minorBidi" w:cs="Arial" w:hint="cs"/>
          <w:rtl/>
        </w:rPr>
        <w:t xml:space="preserve"> ופר"ח </w:t>
      </w:r>
      <w:r>
        <w:rPr>
          <w:rFonts w:asciiTheme="minorBidi" w:hAnsiTheme="minorBidi" w:cs="Arial" w:hint="cs"/>
          <w:sz w:val="16"/>
          <w:szCs w:val="16"/>
          <w:rtl/>
        </w:rPr>
        <w:t>(סקנ"ו)</w:t>
      </w:r>
      <w:r w:rsidRPr="00E073BE">
        <w:rPr>
          <w:rFonts w:asciiTheme="minorBidi" w:hAnsiTheme="minorBidi" w:cs="Arial" w:hint="cs"/>
          <w:rtl/>
        </w:rPr>
        <w:t>-</w:t>
      </w:r>
      <w:r w:rsidRPr="00E073BE">
        <w:rPr>
          <w:rFonts w:asciiTheme="minorBidi" w:hAnsiTheme="minorBidi" w:cs="Arial"/>
          <w:rtl/>
        </w:rPr>
        <w:t xml:space="preserve"> בדיעבד אפי' הוא לח מותר מטעם דאין מליחה לכלים</w:t>
      </w:r>
      <w:r>
        <w:rPr>
          <w:rFonts w:asciiTheme="minorBidi" w:hAnsiTheme="minorBidi" w:cs="Arial" w:hint="cs"/>
          <w:rtl/>
        </w:rPr>
        <w:t xml:space="preserve"> </w:t>
      </w:r>
      <w:r>
        <w:rPr>
          <w:rFonts w:asciiTheme="minorBidi" w:hAnsiTheme="minorBidi" w:cs="Arial" w:hint="cs"/>
          <w:sz w:val="16"/>
          <w:szCs w:val="16"/>
          <w:rtl/>
        </w:rPr>
        <w:t xml:space="preserve">(אפי' בכלי חרס, ש"ך [סי' סט ס"ק ס"ז] בשם </w:t>
      </w:r>
      <w:r w:rsidRPr="00E073BE">
        <w:rPr>
          <w:rFonts w:asciiTheme="minorBidi" w:hAnsiTheme="minorBidi" w:cs="Arial"/>
          <w:sz w:val="16"/>
          <w:szCs w:val="16"/>
          <w:rtl/>
        </w:rPr>
        <w:t>האו"ה</w:t>
      </w:r>
      <w:r>
        <w:rPr>
          <w:rFonts w:asciiTheme="minorBidi" w:hAnsiTheme="minorBidi" w:cs="Arial" w:hint="cs"/>
          <w:sz w:val="16"/>
          <w:szCs w:val="16"/>
          <w:rtl/>
        </w:rPr>
        <w:t>)</w:t>
      </w:r>
      <w:r>
        <w:rPr>
          <w:rFonts w:asciiTheme="minorBidi" w:hAnsiTheme="minorBidi" w:cs="Arial" w:hint="cs"/>
          <w:rtl/>
        </w:rPr>
        <w:t>.</w:t>
      </w:r>
    </w:p>
    <w:p w14:paraId="57C63247" w14:textId="77777777" w:rsidR="002C39F4" w:rsidRPr="00E073BE" w:rsidRDefault="002C39F4" w:rsidP="0032102C">
      <w:pPr>
        <w:pStyle w:val="a8"/>
        <w:numPr>
          <w:ilvl w:val="0"/>
          <w:numId w:val="171"/>
        </w:numPr>
        <w:rPr>
          <w:rFonts w:asciiTheme="minorBidi" w:hAnsiTheme="minorBidi"/>
        </w:rPr>
      </w:pPr>
      <w:r w:rsidRPr="00E073BE">
        <w:rPr>
          <w:rFonts w:asciiTheme="minorBidi" w:hAnsiTheme="minorBidi" w:cs="Arial"/>
          <w:rtl/>
        </w:rPr>
        <w:t xml:space="preserve">תפל"מ </w:t>
      </w:r>
      <w:r w:rsidRPr="00E073BE">
        <w:rPr>
          <w:rFonts w:asciiTheme="minorBidi" w:hAnsiTheme="minorBidi" w:cs="Arial"/>
          <w:sz w:val="16"/>
          <w:szCs w:val="16"/>
          <w:rtl/>
        </w:rPr>
        <w:t>(סי' סט</w:t>
      </w:r>
      <w:r>
        <w:rPr>
          <w:rFonts w:asciiTheme="minorBidi" w:hAnsiTheme="minorBidi" w:cs="Arial" w:hint="cs"/>
          <w:sz w:val="16"/>
          <w:szCs w:val="16"/>
          <w:rtl/>
        </w:rPr>
        <w:t xml:space="preserve"> ד"ה עוד בב"י</w:t>
      </w:r>
      <w:r w:rsidRPr="00E073BE">
        <w:rPr>
          <w:rFonts w:asciiTheme="minorBidi" w:hAnsiTheme="minorBidi" w:cs="Arial"/>
          <w:sz w:val="16"/>
          <w:szCs w:val="16"/>
          <w:rtl/>
        </w:rPr>
        <w:t>)</w:t>
      </w:r>
      <w:r>
        <w:rPr>
          <w:rFonts w:asciiTheme="minorBidi" w:hAnsiTheme="minorBidi" w:cs="Arial" w:hint="cs"/>
          <w:rtl/>
        </w:rPr>
        <w:t xml:space="preserve">- </w:t>
      </w:r>
      <w:r w:rsidRPr="00E073BE">
        <w:rPr>
          <w:rFonts w:asciiTheme="minorBidi" w:hAnsiTheme="minorBidi" w:cs="Arial"/>
          <w:rtl/>
        </w:rPr>
        <w:t>צ"ע לדינא די"ל דוקא בבלע שע"י מליחה אבל בבלע ע"י בישול יוצא במליחה</w:t>
      </w:r>
      <w:r>
        <w:rPr>
          <w:rFonts w:asciiTheme="minorBidi" w:hAnsiTheme="minorBidi" w:cs="Arial" w:hint="cs"/>
          <w:rtl/>
        </w:rPr>
        <w:t>.</w:t>
      </w:r>
    </w:p>
    <w:p w14:paraId="6983A156" w14:textId="77777777" w:rsidR="002C39F4" w:rsidRPr="00E073BE" w:rsidRDefault="002C39F4" w:rsidP="0032102C">
      <w:pPr>
        <w:pStyle w:val="a8"/>
        <w:numPr>
          <w:ilvl w:val="0"/>
          <w:numId w:val="171"/>
        </w:numPr>
        <w:rPr>
          <w:rFonts w:asciiTheme="minorBidi" w:hAnsiTheme="minorBidi"/>
          <w:rtl/>
        </w:rPr>
      </w:pPr>
      <w:r w:rsidRPr="00E073BE">
        <w:rPr>
          <w:rFonts w:asciiTheme="minorBidi" w:hAnsiTheme="minorBidi" w:cs="Arial"/>
          <w:rtl/>
        </w:rPr>
        <w:t>באר שבע</w:t>
      </w:r>
      <w:r w:rsidRPr="00E073BE">
        <w:rPr>
          <w:rFonts w:asciiTheme="minorBidi" w:hAnsiTheme="minorBidi" w:cs="Arial"/>
          <w:sz w:val="16"/>
          <w:szCs w:val="16"/>
          <w:rtl/>
        </w:rPr>
        <w:t xml:space="preserve"> </w:t>
      </w:r>
      <w:r w:rsidRPr="00E073BE">
        <w:rPr>
          <w:rFonts w:asciiTheme="minorBidi" w:hAnsiTheme="minorBidi" w:cs="Arial" w:hint="cs"/>
          <w:sz w:val="16"/>
          <w:szCs w:val="16"/>
          <w:rtl/>
        </w:rPr>
        <w:t>(</w:t>
      </w:r>
      <w:r w:rsidRPr="00E073BE">
        <w:rPr>
          <w:rFonts w:asciiTheme="minorBidi" w:hAnsiTheme="minorBidi" w:cs="Arial"/>
          <w:sz w:val="16"/>
          <w:szCs w:val="16"/>
          <w:rtl/>
        </w:rPr>
        <w:t>חולין קיא</w:t>
      </w:r>
      <w:r w:rsidRPr="00E073BE">
        <w:rPr>
          <w:rFonts w:asciiTheme="minorBidi" w:hAnsiTheme="minorBidi" w:cs="Arial" w:hint="cs"/>
          <w:sz w:val="16"/>
          <w:szCs w:val="16"/>
          <w:rtl/>
        </w:rPr>
        <w:t>:</w:t>
      </w:r>
      <w:r>
        <w:rPr>
          <w:rFonts w:asciiTheme="minorBidi" w:hAnsiTheme="minorBidi" w:cs="Arial" w:hint="cs"/>
          <w:sz w:val="16"/>
          <w:szCs w:val="16"/>
          <w:rtl/>
        </w:rPr>
        <w:t xml:space="preserve"> ד"ה עוד בב"י</w:t>
      </w:r>
      <w:r w:rsidRPr="00E073BE">
        <w:rPr>
          <w:rFonts w:asciiTheme="minorBidi" w:hAnsiTheme="minorBidi" w:cs="Arial"/>
          <w:sz w:val="16"/>
          <w:szCs w:val="16"/>
          <w:rtl/>
        </w:rPr>
        <w:t>)</w:t>
      </w:r>
      <w:r>
        <w:rPr>
          <w:rFonts w:asciiTheme="minorBidi" w:hAnsiTheme="minorBidi" w:cs="Arial" w:hint="cs"/>
          <w:rtl/>
        </w:rPr>
        <w:t xml:space="preserve">- </w:t>
      </w:r>
      <w:r w:rsidRPr="00E073BE">
        <w:rPr>
          <w:rFonts w:asciiTheme="minorBidi" w:hAnsiTheme="minorBidi" w:cs="Arial"/>
          <w:rtl/>
        </w:rPr>
        <w:t>דוקא בכלי עץ אמרינן דאין מליחה להפליט אבל לא בכ</w:t>
      </w:r>
      <w:r>
        <w:rPr>
          <w:rFonts w:asciiTheme="minorBidi" w:hAnsiTheme="minorBidi" w:cs="Arial" w:hint="cs"/>
          <w:rtl/>
        </w:rPr>
        <w:t xml:space="preserve">לי </w:t>
      </w:r>
      <w:r w:rsidRPr="00E073BE">
        <w:rPr>
          <w:rFonts w:asciiTheme="minorBidi" w:hAnsiTheme="minorBidi" w:cs="Arial"/>
          <w:rtl/>
        </w:rPr>
        <w:t>ח</w:t>
      </w:r>
      <w:r>
        <w:rPr>
          <w:rFonts w:asciiTheme="minorBidi" w:hAnsiTheme="minorBidi" w:cs="Arial" w:hint="cs"/>
          <w:rtl/>
        </w:rPr>
        <w:t>רס.</w:t>
      </w:r>
    </w:p>
    <w:p w14:paraId="79D14E62" w14:textId="77777777" w:rsidR="002C39F4" w:rsidRPr="003024E5" w:rsidRDefault="002C39F4" w:rsidP="002C39F4">
      <w:pPr>
        <w:rPr>
          <w:rFonts w:asciiTheme="minorBidi" w:hAnsiTheme="minorBidi"/>
          <w:rtl/>
        </w:rPr>
      </w:pPr>
    </w:p>
    <w:p w14:paraId="6DB90640" w14:textId="77777777" w:rsidR="002C39F4" w:rsidRDefault="002C39F4" w:rsidP="002C39F4">
      <w:pPr>
        <w:pStyle w:val="2"/>
        <w:rPr>
          <w:rFonts w:asciiTheme="minorBidi" w:hAnsiTheme="minorBidi"/>
          <w:rtl/>
        </w:rPr>
      </w:pPr>
      <w:r w:rsidRPr="003024E5">
        <w:rPr>
          <w:rFonts w:asciiTheme="minorBidi" w:hAnsiTheme="minorBidi"/>
          <w:rtl/>
        </w:rPr>
        <w:t>סעיף יד</w:t>
      </w:r>
      <w:r>
        <w:rPr>
          <w:rFonts w:asciiTheme="minorBidi" w:hAnsiTheme="minorBidi" w:hint="cs"/>
          <w:rtl/>
        </w:rPr>
        <w:t>: מלח הבלוע מדם.</w:t>
      </w:r>
    </w:p>
    <w:p w14:paraId="6E31C0CE" w14:textId="77777777" w:rsidR="002C39F4" w:rsidRPr="004E5DA6" w:rsidRDefault="002C39F4" w:rsidP="002C39F4">
      <w:pPr>
        <w:rPr>
          <w:rFonts w:cs="Arial"/>
          <w:sz w:val="16"/>
          <w:szCs w:val="16"/>
          <w:rtl/>
        </w:rPr>
      </w:pPr>
      <w:r w:rsidRPr="006A4960">
        <w:rPr>
          <w:rFonts w:cs="Arial"/>
          <w:u w:val="single"/>
          <w:rtl/>
        </w:rPr>
        <w:t>מלח הבלוע מדם או מאיסור ונתנוהו בקדרה</w:t>
      </w:r>
      <w:r w:rsidRPr="006A4960">
        <w:rPr>
          <w:rFonts w:cs="Arial" w:hint="cs"/>
          <w:u w:val="single"/>
          <w:rtl/>
        </w:rPr>
        <w:t>:</w:t>
      </w:r>
      <w:r>
        <w:rPr>
          <w:rFonts w:cs="Arial" w:hint="cs"/>
          <w:sz w:val="16"/>
          <w:szCs w:val="16"/>
          <w:rtl/>
        </w:rPr>
        <w:t xml:space="preserve">  (טור ב"י ודרכ"מ [אות כא])</w:t>
      </w:r>
    </w:p>
    <w:p w14:paraId="05BE8CE9" w14:textId="77777777" w:rsidR="002C39F4" w:rsidRDefault="002C39F4" w:rsidP="0032102C">
      <w:pPr>
        <w:pStyle w:val="a8"/>
        <w:numPr>
          <w:ilvl w:val="0"/>
          <w:numId w:val="237"/>
        </w:numPr>
      </w:pPr>
      <w:r>
        <w:rPr>
          <w:rFonts w:cs="Arial" w:hint="cs"/>
          <w:rtl/>
        </w:rPr>
        <w:t>תוס' סה</w:t>
      </w:r>
      <w:r w:rsidRPr="006A4960">
        <w:rPr>
          <w:rFonts w:cs="Arial" w:hint="cs"/>
          <w:rtl/>
        </w:rPr>
        <w:t>"ת</w:t>
      </w:r>
      <w:r w:rsidRPr="006A4960">
        <w:rPr>
          <w:rFonts w:cs="Arial"/>
          <w:rtl/>
        </w:rPr>
        <w:t xml:space="preserve"> </w:t>
      </w:r>
      <w:r>
        <w:rPr>
          <w:rFonts w:cs="Arial"/>
          <w:rtl/>
        </w:rPr>
        <w:t>שע</w:t>
      </w:r>
      <w:r>
        <w:rPr>
          <w:rFonts w:cs="Arial" w:hint="cs"/>
          <w:rtl/>
        </w:rPr>
        <w:t>"ד טור ו</w:t>
      </w:r>
      <w:r>
        <w:rPr>
          <w:rFonts w:cs="Arial"/>
          <w:rtl/>
        </w:rPr>
        <w:t>מהרא"י</w:t>
      </w:r>
      <w:r>
        <w:rPr>
          <w:rStyle w:val="a7"/>
          <w:rFonts w:cs="Arial"/>
          <w:rtl/>
        </w:rPr>
        <w:footnoteReference w:id="2274"/>
      </w:r>
      <w:r w:rsidRPr="006A4960">
        <w:rPr>
          <w:rFonts w:cs="Arial" w:hint="cs"/>
          <w:rtl/>
        </w:rPr>
        <w:t>-</w:t>
      </w:r>
      <w:r w:rsidRPr="006A4960">
        <w:rPr>
          <w:rFonts w:cs="Arial"/>
          <w:rtl/>
        </w:rPr>
        <w:t xml:space="preserve"> מלח הבלוע מדם או מאיסור ונתנוהו בקדרה</w:t>
      </w:r>
      <w:r>
        <w:rPr>
          <w:rFonts w:cs="Arial" w:hint="cs"/>
          <w:rtl/>
        </w:rPr>
        <w:t>,</w:t>
      </w:r>
      <w:r w:rsidRPr="006A4960">
        <w:rPr>
          <w:rFonts w:cs="Arial"/>
          <w:rtl/>
        </w:rPr>
        <w:t xml:space="preserve"> אם יש בקדרה ששים כנגד כל המלח הכל מותר א</w:t>
      </w:r>
      <w:r>
        <w:rPr>
          <w:rFonts w:cs="Arial" w:hint="cs"/>
          <w:rtl/>
        </w:rPr>
        <w:t>ע"</w:t>
      </w:r>
      <w:r w:rsidRPr="006A4960">
        <w:rPr>
          <w:rFonts w:cs="Arial"/>
          <w:rtl/>
        </w:rPr>
        <w:t>פ שהמלח שנעשה נבלה נתן טעם בקדרה וטעם אפילו באלף לא בטיל</w:t>
      </w:r>
      <w:r>
        <w:rPr>
          <w:rFonts w:cs="Arial" w:hint="cs"/>
          <w:rtl/>
        </w:rPr>
        <w:t>,</w:t>
      </w:r>
      <w:r w:rsidRPr="006A4960">
        <w:rPr>
          <w:rFonts w:cs="Arial"/>
          <w:rtl/>
        </w:rPr>
        <w:t xml:space="preserve"> דאין חמור יותר מאילו היה כולו דם או איסור הבלוע בו</w:t>
      </w:r>
      <w:r>
        <w:rPr>
          <w:rStyle w:val="a7"/>
          <w:rFonts w:cs="Arial"/>
          <w:rtl/>
        </w:rPr>
        <w:footnoteReference w:id="2275"/>
      </w:r>
      <w:r>
        <w:rPr>
          <w:rFonts w:cs="Arial" w:hint="cs"/>
          <w:sz w:val="16"/>
          <w:szCs w:val="16"/>
          <w:rtl/>
        </w:rPr>
        <w:t xml:space="preserve"> (ל' סה"ת)</w:t>
      </w:r>
      <w:r>
        <w:rPr>
          <w:rFonts w:cs="Arial" w:hint="cs"/>
          <w:rtl/>
        </w:rPr>
        <w:t>.</w:t>
      </w:r>
      <w:r>
        <w:rPr>
          <w:rFonts w:hint="cs"/>
          <w:rtl/>
        </w:rPr>
        <w:t xml:space="preserve"> </w:t>
      </w:r>
    </w:p>
    <w:p w14:paraId="7A3073AC" w14:textId="77777777" w:rsidR="002C39F4" w:rsidRDefault="002C39F4" w:rsidP="0032102C">
      <w:pPr>
        <w:pStyle w:val="a8"/>
        <w:numPr>
          <w:ilvl w:val="0"/>
          <w:numId w:val="237"/>
        </w:numPr>
      </w:pPr>
      <w:r>
        <w:rPr>
          <w:rFonts w:cs="Arial" w:hint="cs"/>
          <w:rtl/>
        </w:rPr>
        <w:t>הש"ר</w:t>
      </w:r>
      <w:r w:rsidRPr="002D16A1">
        <w:rPr>
          <w:rFonts w:cs="Arial"/>
          <w:rtl/>
        </w:rPr>
        <w:t xml:space="preserve"> מקוצי וריב"א</w:t>
      </w:r>
      <w:r>
        <w:rPr>
          <w:rFonts w:cs="Arial" w:hint="cs"/>
          <w:rtl/>
        </w:rPr>
        <w:t xml:space="preserve"> </w:t>
      </w:r>
      <w:r w:rsidRPr="007341EC">
        <w:rPr>
          <w:rFonts w:cs="Arial" w:hint="cs"/>
          <w:sz w:val="16"/>
          <w:szCs w:val="16"/>
          <w:rtl/>
        </w:rPr>
        <w:t>(הביא</w:t>
      </w:r>
      <w:r>
        <w:rPr>
          <w:rFonts w:cs="Arial" w:hint="cs"/>
          <w:sz w:val="16"/>
          <w:szCs w:val="16"/>
          <w:rtl/>
        </w:rPr>
        <w:t>ו</w:t>
      </w:r>
      <w:r w:rsidRPr="007341EC">
        <w:rPr>
          <w:rFonts w:cs="Arial" w:hint="cs"/>
          <w:sz w:val="16"/>
          <w:szCs w:val="16"/>
          <w:rtl/>
        </w:rPr>
        <w:t>ם</w:t>
      </w:r>
      <w:r w:rsidRPr="007341EC">
        <w:rPr>
          <w:rFonts w:cs="Arial"/>
          <w:sz w:val="16"/>
          <w:szCs w:val="16"/>
          <w:rtl/>
        </w:rPr>
        <w:t xml:space="preserve"> </w:t>
      </w:r>
      <w:r w:rsidRPr="007341EC">
        <w:rPr>
          <w:rFonts w:cs="Arial" w:hint="cs"/>
          <w:sz w:val="16"/>
          <w:szCs w:val="16"/>
          <w:rtl/>
        </w:rPr>
        <w:t>ה</w:t>
      </w:r>
      <w:r w:rsidRPr="007341EC">
        <w:rPr>
          <w:rFonts w:cs="Arial"/>
          <w:sz w:val="16"/>
          <w:szCs w:val="16"/>
          <w:rtl/>
        </w:rPr>
        <w:t xml:space="preserve">סמ"ג </w:t>
      </w:r>
      <w:r w:rsidRPr="007341EC">
        <w:rPr>
          <w:rFonts w:cs="Arial" w:hint="cs"/>
          <w:sz w:val="16"/>
          <w:szCs w:val="16"/>
          <w:rtl/>
        </w:rPr>
        <w:t>[</w:t>
      </w:r>
      <w:r w:rsidRPr="007341EC">
        <w:rPr>
          <w:rFonts w:cs="Arial"/>
          <w:sz w:val="16"/>
          <w:szCs w:val="16"/>
          <w:rtl/>
        </w:rPr>
        <w:t>לאוין קמא נא סוע"ד</w:t>
      </w:r>
      <w:r w:rsidRPr="007341EC">
        <w:rPr>
          <w:rFonts w:cs="Arial" w:hint="cs"/>
          <w:sz w:val="16"/>
          <w:szCs w:val="16"/>
          <w:rtl/>
        </w:rPr>
        <w:t>] והטור</w:t>
      </w:r>
      <w:r w:rsidRPr="007341EC">
        <w:rPr>
          <w:rFonts w:cs="Arial"/>
          <w:sz w:val="16"/>
          <w:szCs w:val="16"/>
          <w:rtl/>
        </w:rPr>
        <w:t>)</w:t>
      </w:r>
      <w:r>
        <w:rPr>
          <w:rFonts w:cs="Arial" w:hint="cs"/>
          <w:rtl/>
        </w:rPr>
        <w:t>-</w:t>
      </w:r>
      <w:r w:rsidRPr="002D16A1">
        <w:rPr>
          <w:rFonts w:cs="Arial"/>
          <w:rtl/>
        </w:rPr>
        <w:t xml:space="preserve"> כיון שהמלח נימוח עם הדם ומתערב בכל הקדרה ומוליך איסורו עמו צריך לשער כאילו היה הדם כולו מלח</w:t>
      </w:r>
      <w:r>
        <w:rPr>
          <w:rFonts w:cs="Arial" w:hint="cs"/>
          <w:rtl/>
        </w:rPr>
        <w:t>.</w:t>
      </w:r>
    </w:p>
    <w:p w14:paraId="2FD2940F" w14:textId="77777777" w:rsidR="002C39F4" w:rsidRDefault="002C39F4" w:rsidP="0032102C">
      <w:pPr>
        <w:pStyle w:val="a8"/>
        <w:numPr>
          <w:ilvl w:val="0"/>
          <w:numId w:val="237"/>
        </w:numPr>
      </w:pPr>
      <w:r>
        <w:rPr>
          <w:rFonts w:cs="Arial"/>
          <w:rtl/>
        </w:rPr>
        <w:t xml:space="preserve">רשב"א </w:t>
      </w:r>
      <w:r w:rsidRPr="00E121EF">
        <w:rPr>
          <w:rFonts w:cs="Arial"/>
          <w:sz w:val="16"/>
          <w:szCs w:val="16"/>
          <w:rtl/>
        </w:rPr>
        <w:t>(תוה"ק ב"ד ש"א ו.)</w:t>
      </w:r>
      <w:r>
        <w:rPr>
          <w:rFonts w:cs="Arial" w:hint="cs"/>
          <w:rtl/>
        </w:rPr>
        <w:t xml:space="preserve">- </w:t>
      </w:r>
      <w:r>
        <w:rPr>
          <w:rFonts w:cs="Arial"/>
          <w:rtl/>
        </w:rPr>
        <w:t>הפרש יש בין בשר בחלב לשאר האיסורין שנתנו טעם בחתיכה של היתר</w:t>
      </w:r>
      <w:r>
        <w:rPr>
          <w:rFonts w:cs="Arial" w:hint="cs"/>
          <w:rtl/>
        </w:rPr>
        <w:t>,</w:t>
      </w:r>
      <w:r>
        <w:rPr>
          <w:rFonts w:cs="Arial"/>
          <w:rtl/>
        </w:rPr>
        <w:t xml:space="preserve"> שהבשר שנאסר מחמת החלב שנתן בו טעם אין רואין אותו כחלב שאסרו אלא הכל כבשר בחלב וחלב בבשר כמו שביארנו</w:t>
      </w:r>
      <w:r>
        <w:rPr>
          <w:rFonts w:cs="Arial" w:hint="cs"/>
          <w:rtl/>
        </w:rPr>
        <w:t>,</w:t>
      </w:r>
      <w:r>
        <w:rPr>
          <w:rFonts w:cs="Arial"/>
          <w:rtl/>
        </w:rPr>
        <w:t xml:space="preserve"> אבל בשאר האיסורין רואין אותו כדבר שאסרו</w:t>
      </w:r>
      <w:r>
        <w:rPr>
          <w:rFonts w:cs="Arial" w:hint="cs"/>
          <w:rtl/>
        </w:rPr>
        <w:t>,</w:t>
      </w:r>
      <w:r>
        <w:rPr>
          <w:rFonts w:cs="Arial"/>
          <w:rtl/>
        </w:rPr>
        <w:t xml:space="preserve"> ולפיכך מלח שנאסר מחמת דם או מחמת ציר של נבלה ונפל לקדרה ויש בקדרה ששים כנגד ממשה של מלח אע</w:t>
      </w:r>
      <w:r>
        <w:rPr>
          <w:rFonts w:cs="Arial" w:hint="cs"/>
          <w:rtl/>
        </w:rPr>
        <w:t>"</w:t>
      </w:r>
      <w:r>
        <w:rPr>
          <w:rFonts w:cs="Arial"/>
          <w:rtl/>
        </w:rPr>
        <w:t>פ שטעם המלח נטעם ונרגש בקדרה וטעם אינו בטל אפילו כן מותר</w:t>
      </w:r>
      <w:r>
        <w:rPr>
          <w:rFonts w:cs="Arial" w:hint="cs"/>
          <w:rtl/>
        </w:rPr>
        <w:t>,</w:t>
      </w:r>
      <w:r>
        <w:rPr>
          <w:rFonts w:cs="Arial"/>
          <w:rtl/>
        </w:rPr>
        <w:t xml:space="preserve"> לפי שאין רואין את המלח כמלח אסור מחמת עצמו וכמלח של ע"ז אלא כדם או ציר הנבלה שאסרוה</w:t>
      </w:r>
      <w:r>
        <w:rPr>
          <w:rStyle w:val="a7"/>
          <w:rFonts w:cs="Arial"/>
          <w:rtl/>
        </w:rPr>
        <w:footnoteReference w:id="2276"/>
      </w:r>
      <w:r>
        <w:rPr>
          <w:rFonts w:cs="Arial" w:hint="cs"/>
          <w:rtl/>
        </w:rPr>
        <w:t>.</w:t>
      </w:r>
      <w:r w:rsidRPr="005C7499">
        <w:rPr>
          <w:rFonts w:hint="cs"/>
          <w:color w:val="E36C0A" w:themeColor="accent6" w:themeShade="BF"/>
          <w:rtl/>
        </w:rPr>
        <w:t xml:space="preserve"> </w:t>
      </w:r>
    </w:p>
    <w:p w14:paraId="3C86BF9E" w14:textId="77777777" w:rsidR="002C39F4" w:rsidRDefault="002C39F4" w:rsidP="0032102C">
      <w:pPr>
        <w:pStyle w:val="a8"/>
        <w:numPr>
          <w:ilvl w:val="1"/>
          <w:numId w:val="237"/>
        </w:numPr>
      </w:pPr>
      <w:r>
        <w:rPr>
          <w:rFonts w:hint="cs"/>
          <w:rtl/>
        </w:rPr>
        <w:t>נמצא שלד' כל הפוסקים הנ"ל אם יש ששים בקדרה כנגד המלח שרי.</w:t>
      </w:r>
      <w:r w:rsidRPr="004E689C">
        <w:rPr>
          <w:rFonts w:hint="cs"/>
          <w:color w:val="00B0F0"/>
          <w:rtl/>
        </w:rPr>
        <w:t xml:space="preserve"> </w:t>
      </w:r>
      <w:r w:rsidRPr="005C7499">
        <w:rPr>
          <w:rFonts w:hint="cs"/>
          <w:color w:val="E36C0A" w:themeColor="accent6" w:themeShade="BF"/>
          <w:rtl/>
        </w:rPr>
        <w:t>(וכ"פ בשו"ע)</w:t>
      </w:r>
      <w:r w:rsidRPr="004E5DA6">
        <w:rPr>
          <w:rFonts w:hint="cs"/>
          <w:color w:val="00B0F0"/>
          <w:rtl/>
        </w:rPr>
        <w:t xml:space="preserve"> (וכ"פ הרמ"א)</w:t>
      </w:r>
    </w:p>
    <w:p w14:paraId="1871E4C5" w14:textId="77777777" w:rsidR="002C39F4" w:rsidRPr="00A35445" w:rsidRDefault="002C39F4" w:rsidP="002C39F4">
      <w:pPr>
        <w:ind w:left="360"/>
        <w:rPr>
          <w:u w:val="dotted"/>
        </w:rPr>
      </w:pPr>
      <w:r w:rsidRPr="00A35445">
        <w:rPr>
          <w:rFonts w:cs="Arial" w:hint="cs"/>
          <w:u w:val="dotted"/>
          <w:rtl/>
        </w:rPr>
        <w:t>ומה הדין אם ה</w:t>
      </w:r>
      <w:r w:rsidRPr="00A35445">
        <w:rPr>
          <w:rFonts w:cs="Arial"/>
          <w:u w:val="dotted"/>
          <w:rtl/>
        </w:rPr>
        <w:t xml:space="preserve">מלח </w:t>
      </w:r>
      <w:r w:rsidRPr="00A35445">
        <w:rPr>
          <w:rFonts w:cs="Arial" w:hint="cs"/>
          <w:u w:val="dotted"/>
          <w:rtl/>
        </w:rPr>
        <w:t xml:space="preserve">לא </w:t>
      </w:r>
      <w:r w:rsidRPr="00A35445">
        <w:rPr>
          <w:rFonts w:cs="Arial"/>
          <w:u w:val="dotted"/>
          <w:rtl/>
        </w:rPr>
        <w:t xml:space="preserve">בלוע מאיסור </w:t>
      </w:r>
      <w:r w:rsidRPr="00A35445">
        <w:rPr>
          <w:rFonts w:cs="Arial" w:hint="cs"/>
          <w:u w:val="dotted"/>
          <w:rtl/>
        </w:rPr>
        <w:t>אלא מבשר ורוצים ליתנו בחלב</w:t>
      </w:r>
      <w:r w:rsidRPr="00A35445">
        <w:rPr>
          <w:rFonts w:cs="Arial" w:hint="cs"/>
          <w:sz w:val="16"/>
          <w:szCs w:val="16"/>
          <w:u w:val="dotted"/>
          <w:rtl/>
        </w:rPr>
        <w:t xml:space="preserve"> (וכן הפוך)</w:t>
      </w:r>
      <w:r w:rsidRPr="00A35445">
        <w:rPr>
          <w:rFonts w:cs="Arial" w:hint="cs"/>
          <w:u w:val="dotted"/>
          <w:rtl/>
        </w:rPr>
        <w:t>:</w:t>
      </w:r>
    </w:p>
    <w:p w14:paraId="64622145" w14:textId="77777777" w:rsidR="002C39F4" w:rsidRDefault="002C39F4" w:rsidP="0032102C">
      <w:pPr>
        <w:pStyle w:val="a8"/>
        <w:numPr>
          <w:ilvl w:val="0"/>
          <w:numId w:val="237"/>
        </w:numPr>
      </w:pPr>
      <w:r>
        <w:rPr>
          <w:rFonts w:cs="Arial" w:hint="cs"/>
          <w:rtl/>
        </w:rPr>
        <w:t>סה"ת</w:t>
      </w:r>
      <w:r>
        <w:rPr>
          <w:rFonts w:cs="Arial" w:hint="cs"/>
          <w:sz w:val="16"/>
          <w:szCs w:val="16"/>
          <w:rtl/>
        </w:rPr>
        <w:t xml:space="preserve"> (שם)</w:t>
      </w:r>
      <w:r>
        <w:rPr>
          <w:rFonts w:cs="Arial" w:hint="cs"/>
          <w:rtl/>
        </w:rPr>
        <w:t xml:space="preserve">- </w:t>
      </w:r>
      <w:r>
        <w:rPr>
          <w:rFonts w:cs="Arial" w:hint="cs"/>
          <w:sz w:val="16"/>
          <w:szCs w:val="16"/>
          <w:rtl/>
        </w:rPr>
        <w:t xml:space="preserve">{הא דאמרנו לעיל} </w:t>
      </w:r>
      <w:r w:rsidRPr="006A4960">
        <w:rPr>
          <w:rFonts w:cs="Arial"/>
          <w:rtl/>
        </w:rPr>
        <w:t>היינו במלח או תבלין הבלועין מאיסור ממש אבל אם הם בלועים מבשר היתר ונתנום בחלב או איפכא א"צ ששים במלח או בתבלין כי אם ששים מן הבלועה שם מטפת חלב או של שמנונית כיון שלא היו בלועים מאיסור</w:t>
      </w:r>
      <w:r>
        <w:rPr>
          <w:rStyle w:val="a7"/>
          <w:rFonts w:cs="Arial"/>
          <w:rtl/>
        </w:rPr>
        <w:footnoteReference w:id="2277"/>
      </w:r>
      <w:r>
        <w:rPr>
          <w:rFonts w:cs="Arial" w:hint="cs"/>
          <w:rtl/>
        </w:rPr>
        <w:t>.</w:t>
      </w:r>
    </w:p>
    <w:p w14:paraId="23A34DC1" w14:textId="77777777" w:rsidR="002C39F4" w:rsidRPr="00A35445" w:rsidRDefault="002C39F4" w:rsidP="002C39F4">
      <w:pPr>
        <w:rPr>
          <w:rFonts w:cs="Arial"/>
          <w:u w:val="single"/>
          <w:rtl/>
        </w:rPr>
      </w:pPr>
      <w:r w:rsidRPr="00A35445">
        <w:rPr>
          <w:rFonts w:cs="Arial" w:hint="cs"/>
          <w:u w:val="single"/>
          <w:rtl/>
        </w:rPr>
        <w:t>דבר דעביד לטעמ</w:t>
      </w:r>
      <w:r>
        <w:rPr>
          <w:rFonts w:cs="Arial" w:hint="cs"/>
          <w:u w:val="single"/>
          <w:rtl/>
        </w:rPr>
        <w:t>יה</w:t>
      </w:r>
      <w:r w:rsidRPr="00A35445">
        <w:rPr>
          <w:rFonts w:cs="Arial" w:hint="cs"/>
          <w:u w:val="single"/>
          <w:rtl/>
        </w:rPr>
        <w:t>:</w:t>
      </w:r>
      <w:r w:rsidRPr="00A35445">
        <w:rPr>
          <w:rFonts w:cs="Arial" w:hint="cs"/>
          <w:sz w:val="16"/>
          <w:szCs w:val="16"/>
          <w:rtl/>
        </w:rPr>
        <w:t xml:space="preserve"> </w:t>
      </w:r>
      <w:r>
        <w:rPr>
          <w:rFonts w:cs="Arial" w:hint="cs"/>
          <w:sz w:val="16"/>
          <w:szCs w:val="16"/>
          <w:rtl/>
        </w:rPr>
        <w:t xml:space="preserve">   (דרכ"מ [אות כא])</w:t>
      </w:r>
    </w:p>
    <w:p w14:paraId="4AEA97FD" w14:textId="77777777" w:rsidR="002C39F4" w:rsidRDefault="002C39F4" w:rsidP="0032102C">
      <w:pPr>
        <w:pStyle w:val="a8"/>
        <w:numPr>
          <w:ilvl w:val="0"/>
          <w:numId w:val="237"/>
        </w:numPr>
        <w:rPr>
          <w:rFonts w:cs="Arial"/>
        </w:rPr>
      </w:pPr>
      <w:r w:rsidRPr="00A35445">
        <w:rPr>
          <w:rFonts w:cs="Arial" w:hint="cs"/>
          <w:rtl/>
        </w:rPr>
        <w:t xml:space="preserve">או"ה </w:t>
      </w:r>
      <w:r w:rsidRPr="00A35445">
        <w:rPr>
          <w:rFonts w:cs="Arial"/>
          <w:rtl/>
        </w:rPr>
        <w:t xml:space="preserve">ארוך </w:t>
      </w:r>
      <w:r w:rsidRPr="00A35445">
        <w:rPr>
          <w:rFonts w:cs="Arial" w:hint="cs"/>
          <w:sz w:val="16"/>
          <w:szCs w:val="16"/>
          <w:rtl/>
        </w:rPr>
        <w:t>(</w:t>
      </w:r>
      <w:r w:rsidRPr="00A35445">
        <w:rPr>
          <w:rFonts w:cs="Arial"/>
          <w:sz w:val="16"/>
          <w:szCs w:val="16"/>
          <w:rtl/>
        </w:rPr>
        <w:t>כלל כה ד</w:t>
      </w:r>
      <w:r>
        <w:rPr>
          <w:rFonts w:cs="Arial" w:hint="cs"/>
          <w:sz w:val="16"/>
          <w:szCs w:val="16"/>
          <w:rtl/>
        </w:rPr>
        <w:t>"</w:t>
      </w:r>
      <w:r w:rsidRPr="00A35445">
        <w:rPr>
          <w:rFonts w:cs="Arial"/>
          <w:sz w:val="16"/>
          <w:szCs w:val="16"/>
          <w:rtl/>
        </w:rPr>
        <w:t>ו)</w:t>
      </w:r>
      <w:r>
        <w:rPr>
          <w:rFonts w:cs="Arial" w:hint="cs"/>
          <w:rtl/>
        </w:rPr>
        <w:t>-</w:t>
      </w:r>
      <w:r w:rsidRPr="00A35445">
        <w:rPr>
          <w:rFonts w:cs="Arial"/>
          <w:rtl/>
        </w:rPr>
        <w:t xml:space="preserve"> כל דבר דעביד לטעמיה אפילו באלף לא בטל בין במינו בין בשלא במינו</w:t>
      </w:r>
      <w:r>
        <w:rPr>
          <w:rFonts w:cs="Arial" w:hint="cs"/>
          <w:rtl/>
        </w:rPr>
        <w:t>,</w:t>
      </w:r>
      <w:r w:rsidRPr="00A35445">
        <w:rPr>
          <w:rFonts w:cs="Arial"/>
          <w:rtl/>
        </w:rPr>
        <w:t xml:space="preserve"> ודוקא שנותן טעם באותו קדרה שנפל לתוכו</w:t>
      </w:r>
      <w:r>
        <w:rPr>
          <w:rFonts w:cs="Arial" w:hint="cs"/>
          <w:rtl/>
        </w:rPr>
        <w:t>,</w:t>
      </w:r>
      <w:r w:rsidRPr="00A35445">
        <w:rPr>
          <w:rFonts w:cs="Arial"/>
          <w:rtl/>
        </w:rPr>
        <w:t xml:space="preserve"> אבל אי נפל לקדרה ואינו נותן טעם באותה קדרה אע</w:t>
      </w:r>
      <w:r>
        <w:rPr>
          <w:rFonts w:cs="Arial" w:hint="cs"/>
          <w:rtl/>
        </w:rPr>
        <w:t>"</w:t>
      </w:r>
      <w:r w:rsidRPr="00A35445">
        <w:rPr>
          <w:rFonts w:cs="Arial"/>
          <w:rtl/>
        </w:rPr>
        <w:t>פ שרגילין ליתן לטעם בשאר תבשילין שרי</w:t>
      </w:r>
      <w:r>
        <w:rPr>
          <w:rFonts w:cs="Arial" w:hint="cs"/>
          <w:rtl/>
        </w:rPr>
        <w:t>,</w:t>
      </w:r>
      <w:r w:rsidRPr="00A35445">
        <w:rPr>
          <w:rFonts w:cs="Arial"/>
          <w:rtl/>
        </w:rPr>
        <w:t xml:space="preserve"> וכן אי נפל דבר דעביד לטעמיה בדבר דעביד לטעמיה מתבטל שפיר דהא באותו תבשיל אינו נ"ט</w:t>
      </w:r>
      <w:r>
        <w:rPr>
          <w:rStyle w:val="a7"/>
          <w:rFonts w:cs="Arial"/>
          <w:rtl/>
        </w:rPr>
        <w:footnoteReference w:id="2278"/>
      </w:r>
      <w:r>
        <w:rPr>
          <w:rFonts w:cs="Arial" w:hint="cs"/>
          <w:rtl/>
        </w:rPr>
        <w:t>.</w:t>
      </w:r>
    </w:p>
    <w:p w14:paraId="24D5AB90" w14:textId="77777777" w:rsidR="002C39F4" w:rsidRPr="00A35445" w:rsidRDefault="002C39F4" w:rsidP="0032102C">
      <w:pPr>
        <w:pStyle w:val="a8"/>
        <w:numPr>
          <w:ilvl w:val="0"/>
          <w:numId w:val="237"/>
        </w:numPr>
        <w:rPr>
          <w:rFonts w:cs="Arial"/>
          <w:rtl/>
        </w:rPr>
      </w:pPr>
      <w:r w:rsidRPr="00A35445">
        <w:rPr>
          <w:rFonts w:cs="Arial"/>
          <w:rtl/>
        </w:rPr>
        <w:t>ב</w:t>
      </w:r>
      <w:r>
        <w:rPr>
          <w:rFonts w:cs="Arial" w:hint="cs"/>
          <w:rtl/>
        </w:rPr>
        <w:t>"</w:t>
      </w:r>
      <w:r w:rsidRPr="00A35445">
        <w:rPr>
          <w:rFonts w:cs="Arial"/>
          <w:rtl/>
        </w:rPr>
        <w:t xml:space="preserve">י </w:t>
      </w:r>
      <w:r w:rsidRPr="00A35445">
        <w:rPr>
          <w:rFonts w:cs="Arial" w:hint="cs"/>
          <w:sz w:val="16"/>
          <w:szCs w:val="16"/>
          <w:rtl/>
        </w:rPr>
        <w:t>(</w:t>
      </w:r>
      <w:r w:rsidRPr="00A35445">
        <w:rPr>
          <w:rFonts w:cs="Arial"/>
          <w:sz w:val="16"/>
          <w:szCs w:val="16"/>
          <w:rtl/>
        </w:rPr>
        <w:t>סי</w:t>
      </w:r>
      <w:r w:rsidRPr="00A35445">
        <w:rPr>
          <w:rFonts w:cs="Arial" w:hint="cs"/>
          <w:sz w:val="16"/>
          <w:szCs w:val="16"/>
          <w:rtl/>
        </w:rPr>
        <w:t>'</w:t>
      </w:r>
      <w:r w:rsidRPr="00A35445">
        <w:rPr>
          <w:rFonts w:cs="Arial"/>
          <w:sz w:val="16"/>
          <w:szCs w:val="16"/>
          <w:rtl/>
        </w:rPr>
        <w:t xml:space="preserve"> קיב עמ' תצה דיבור ראשון)</w:t>
      </w:r>
      <w:r>
        <w:rPr>
          <w:rFonts w:cs="Arial" w:hint="cs"/>
          <w:rtl/>
        </w:rPr>
        <w:t>-</w:t>
      </w:r>
      <w:r w:rsidRPr="00A35445">
        <w:rPr>
          <w:rFonts w:cs="Arial"/>
          <w:rtl/>
        </w:rPr>
        <w:t xml:space="preserve"> דבר דעביד לטעמיה אפילו איסור דרבנן שאין לו עיקר מן התורה אין בטיל</w:t>
      </w:r>
      <w:r>
        <w:rPr>
          <w:rFonts w:cs="Arial" w:hint="cs"/>
          <w:rtl/>
        </w:rPr>
        <w:t>.</w:t>
      </w:r>
    </w:p>
    <w:p w14:paraId="3423874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20AACED" w14:textId="77777777" w:rsidR="002C39F4" w:rsidRDefault="002C39F4" w:rsidP="002C39F4">
      <w:pPr>
        <w:rPr>
          <w:rFonts w:asciiTheme="minorBidi" w:hAnsiTheme="minorBidi"/>
          <w:rtl/>
        </w:rPr>
        <w:sectPr w:rsidR="002C39F4" w:rsidSect="004C5A3C">
          <w:footerReference w:type="default" r:id="rId13"/>
          <w:footnotePr>
            <w:numRestart w:val="eachPage"/>
          </w:footnotePr>
          <w:pgSz w:w="11906" w:h="16838"/>
          <w:pgMar w:top="720" w:right="1134" w:bottom="720" w:left="1134" w:header="0" w:footer="0" w:gutter="0"/>
          <w:cols w:space="720"/>
          <w:bidi/>
          <w:rtlGutter/>
          <w:docGrid w:linePitch="360"/>
        </w:sectPr>
      </w:pPr>
      <w:r w:rsidRPr="003024E5">
        <w:rPr>
          <w:rFonts w:asciiTheme="minorBidi" w:hAnsiTheme="minorBidi"/>
          <w:rtl/>
        </w:rPr>
        <w:t xml:space="preserve">מלח הבלוע מדם כגון ממליחת בשר ונתנוהו בקדרה או שנתנו בקדרה בשר מלוח בלא הדחה אם יש </w:t>
      </w:r>
      <w:r>
        <w:rPr>
          <w:rFonts w:asciiTheme="minorBidi" w:hAnsiTheme="minorBidi" w:hint="cs"/>
          <w:rtl/>
        </w:rPr>
        <w:t>ששים</w:t>
      </w:r>
      <w:r w:rsidRPr="003024E5">
        <w:rPr>
          <w:rFonts w:asciiTheme="minorBidi" w:hAnsiTheme="minorBidi"/>
          <w:rtl/>
        </w:rPr>
        <w:t xml:space="preserve"> כנגד המלח מותר. </w:t>
      </w:r>
      <w:r w:rsidRPr="008F4D0F">
        <w:rPr>
          <w:rFonts w:asciiTheme="minorBidi" w:hAnsiTheme="minorBidi"/>
          <w:sz w:val="18"/>
          <w:szCs w:val="18"/>
          <w:rtl/>
        </w:rPr>
        <w:t>הגה: אע</w:t>
      </w:r>
      <w:r>
        <w:rPr>
          <w:rFonts w:asciiTheme="minorBidi" w:hAnsiTheme="minorBidi" w:hint="cs"/>
          <w:sz w:val="18"/>
          <w:szCs w:val="18"/>
          <w:rtl/>
        </w:rPr>
        <w:t>"</w:t>
      </w:r>
      <w:r w:rsidRPr="008F4D0F">
        <w:rPr>
          <w:rFonts w:asciiTheme="minorBidi" w:hAnsiTheme="minorBidi"/>
          <w:sz w:val="18"/>
          <w:szCs w:val="18"/>
          <w:rtl/>
        </w:rPr>
        <w:t>פ שהמלח עדיין נותן טעם בקדרה, מאחר שאין המלח אסור מחמת עצמו אלא מחמת דם שבתוכו, דכל מקום שאין האוסר יכול לילך שם אין הנאסר אוסר יותר מן האוסרו.</w:t>
      </w:r>
    </w:p>
    <w:p w14:paraId="7E98E805"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קו: דין היאך מבטלין בששים, ובו ב' סעיפים. </w:t>
      </w:r>
    </w:p>
    <w:p w14:paraId="4B0A058C"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חתיכה או מרק שבלעו איסור.</w:t>
      </w:r>
    </w:p>
    <w:p w14:paraId="5A839DE8" w14:textId="77777777" w:rsidR="002C39F4" w:rsidRPr="00B41BE4" w:rsidRDefault="002C39F4" w:rsidP="002C39F4">
      <w:pPr>
        <w:rPr>
          <w:u w:val="single"/>
          <w:rtl/>
        </w:rPr>
      </w:pPr>
      <w:r>
        <w:rPr>
          <w:rFonts w:hint="cs"/>
          <w:u w:val="single"/>
          <w:rtl/>
        </w:rPr>
        <w:t>ביטול</w:t>
      </w:r>
      <w:r w:rsidRPr="00B41BE4">
        <w:rPr>
          <w:rFonts w:hint="cs"/>
          <w:u w:val="single"/>
          <w:rtl/>
        </w:rPr>
        <w:t xml:space="preserve"> בששים</w:t>
      </w:r>
      <w:r>
        <w:rPr>
          <w:rFonts w:hint="cs"/>
          <w:u w:val="single"/>
          <w:rtl/>
        </w:rPr>
        <w:t xml:space="preserve"> של איסור שנתערב בדבר הנבלל</w:t>
      </w:r>
      <w:r>
        <w:rPr>
          <w:rFonts w:hint="cs"/>
          <w:sz w:val="16"/>
          <w:szCs w:val="16"/>
          <w:u w:val="single"/>
          <w:rtl/>
        </w:rPr>
        <w:t xml:space="preserve"> (כמרק)</w:t>
      </w:r>
      <w:r>
        <w:rPr>
          <w:rFonts w:hint="cs"/>
          <w:u w:val="single"/>
          <w:rtl/>
        </w:rPr>
        <w:t xml:space="preserve"> או בדבר שאינו נבלל</w:t>
      </w:r>
      <w:r>
        <w:rPr>
          <w:rFonts w:hint="cs"/>
          <w:sz w:val="16"/>
          <w:szCs w:val="16"/>
          <w:u w:val="single"/>
          <w:rtl/>
        </w:rPr>
        <w:t xml:space="preserve"> (כחתיכת בשר)</w:t>
      </w:r>
      <w:r w:rsidRPr="00B41BE4">
        <w:rPr>
          <w:rFonts w:hint="cs"/>
          <w:u w:val="single"/>
          <w:rtl/>
        </w:rPr>
        <w:t>:</w:t>
      </w:r>
    </w:p>
    <w:p w14:paraId="064DA327" w14:textId="77777777" w:rsidR="002C39F4" w:rsidRPr="004A641C" w:rsidRDefault="002C39F4" w:rsidP="0032102C">
      <w:pPr>
        <w:pStyle w:val="a8"/>
        <w:numPr>
          <w:ilvl w:val="0"/>
          <w:numId w:val="238"/>
        </w:numPr>
        <w:rPr>
          <w:rtl/>
        </w:rPr>
      </w:pPr>
      <w:r w:rsidRPr="00B41BE4">
        <w:rPr>
          <w:rFonts w:cs="Arial"/>
          <w:rtl/>
        </w:rPr>
        <w:t>רשב"א</w:t>
      </w:r>
      <w:r>
        <w:rPr>
          <w:rFonts w:cs="Arial" w:hint="cs"/>
          <w:rtl/>
        </w:rPr>
        <w:t xml:space="preserve"> </w:t>
      </w:r>
      <w:r w:rsidRPr="00B41BE4">
        <w:rPr>
          <w:rFonts w:cs="Arial"/>
          <w:sz w:val="16"/>
          <w:szCs w:val="16"/>
          <w:rtl/>
        </w:rPr>
        <w:t>(תוה"ק ב"ד ש"א ו:)</w:t>
      </w:r>
      <w:r w:rsidRPr="00B41BE4">
        <w:rPr>
          <w:rFonts w:cs="Arial" w:hint="cs"/>
          <w:rtl/>
        </w:rPr>
        <w:t>-</w:t>
      </w:r>
      <w:r w:rsidRPr="00B41BE4">
        <w:rPr>
          <w:rFonts w:cs="Arial"/>
          <w:rtl/>
        </w:rPr>
        <w:t xml:space="preserve"> אע</w:t>
      </w:r>
      <w:r w:rsidRPr="00B41BE4">
        <w:rPr>
          <w:rFonts w:cs="Arial" w:hint="cs"/>
          <w:rtl/>
        </w:rPr>
        <w:t>"</w:t>
      </w:r>
      <w:r w:rsidRPr="00B41BE4">
        <w:rPr>
          <w:rFonts w:cs="Arial"/>
          <w:rtl/>
        </w:rPr>
        <w:t xml:space="preserve">פ שאין חתיכה שבלעה איסור נעשית נבילה ואינה אוסרת אלא לפי חשבון האיסור שבה אעפ"כ כשנופלת לקדרה שיש בה </w:t>
      </w:r>
      <w:r>
        <w:rPr>
          <w:rFonts w:cs="Arial" w:hint="cs"/>
          <w:rtl/>
        </w:rPr>
        <w:t>ס'</w:t>
      </w:r>
      <w:r w:rsidRPr="00B41BE4">
        <w:rPr>
          <w:rFonts w:cs="Arial"/>
          <w:rtl/>
        </w:rPr>
        <w:t xml:space="preserve"> לבטל איסור הבלוע שבה אין החתיכה חוזרת לקדמותה להיתרה לפי שאיסור שבה אינו נפלט ממנה לגמרי</w:t>
      </w:r>
      <w:r>
        <w:rPr>
          <w:rStyle w:val="a7"/>
          <w:rFonts w:cs="Arial"/>
          <w:rtl/>
        </w:rPr>
        <w:footnoteReference w:id="2279"/>
      </w:r>
      <w:r w:rsidRPr="00B41BE4">
        <w:rPr>
          <w:rFonts w:cs="Arial"/>
          <w:rtl/>
        </w:rPr>
        <w:t xml:space="preserve"> ואינו נבלל לתוך ההיתר שבקדרה</w:t>
      </w:r>
      <w:r>
        <w:rPr>
          <w:rFonts w:cs="Arial" w:hint="cs"/>
          <w:rtl/>
        </w:rPr>
        <w:t>,</w:t>
      </w:r>
      <w:r w:rsidRPr="00B41BE4">
        <w:rPr>
          <w:rFonts w:cs="Arial"/>
          <w:rtl/>
        </w:rPr>
        <w:t xml:space="preserve"> משא"כ בדבר הנבלל ונימוח שאם נפל דם וכיוצא בו לתוך רוטב של היתר ואסרו מחמת מיעוטו וחזר ונתרבה הרוטב של היתר עד שיהא בין כולו ס' לבטל הדם כולו מותר שהכל נבלל ונתערב האיסור בתוך ההיתר</w:t>
      </w:r>
      <w:r>
        <w:rPr>
          <w:rStyle w:val="a7"/>
          <w:rFonts w:cs="Arial"/>
          <w:rtl/>
        </w:rPr>
        <w:footnoteReference w:id="2280"/>
      </w:r>
      <w:r>
        <w:rPr>
          <w:rFonts w:cs="Arial" w:hint="cs"/>
          <w:rtl/>
        </w:rPr>
        <w:t>.</w:t>
      </w:r>
      <w:r>
        <w:rPr>
          <w:rFonts w:cs="Arial" w:hint="cs"/>
          <w:color w:val="E36C0A" w:themeColor="accent6" w:themeShade="BF"/>
          <w:rtl/>
        </w:rPr>
        <w:t xml:space="preserve"> </w:t>
      </w:r>
      <w:r w:rsidRPr="00792852">
        <w:rPr>
          <w:rFonts w:cs="Arial" w:hint="cs"/>
          <w:color w:val="E36C0A" w:themeColor="accent6" w:themeShade="BF"/>
          <w:rtl/>
        </w:rPr>
        <w:t>(וכ"פ בשו"ע)</w:t>
      </w:r>
    </w:p>
    <w:p w14:paraId="6B78C8C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3BBBB03" w14:textId="77777777" w:rsidR="002C39F4" w:rsidRDefault="002C39F4" w:rsidP="002C39F4">
      <w:pPr>
        <w:rPr>
          <w:rFonts w:asciiTheme="minorBidi" w:hAnsiTheme="minorBidi"/>
          <w:rtl/>
        </w:rPr>
      </w:pPr>
      <w:r w:rsidRPr="003024E5">
        <w:rPr>
          <w:rFonts w:asciiTheme="minorBidi" w:hAnsiTheme="minorBidi"/>
          <w:rtl/>
        </w:rPr>
        <w:t xml:space="preserve">חתיכה שבלעה איסור ואין בה </w:t>
      </w:r>
      <w:r>
        <w:rPr>
          <w:rFonts w:asciiTheme="minorBidi" w:hAnsiTheme="minorBidi" w:hint="cs"/>
          <w:rtl/>
        </w:rPr>
        <w:t>ששים</w:t>
      </w:r>
      <w:r w:rsidRPr="003024E5">
        <w:rPr>
          <w:rFonts w:asciiTheme="minorBidi" w:hAnsiTheme="minorBidi"/>
          <w:rtl/>
        </w:rPr>
        <w:t xml:space="preserve"> לבטלו שנפלה לקדרה אינה אוסרת אלא לפי חשבון איסור שבה</w:t>
      </w:r>
      <w:r>
        <w:rPr>
          <w:rStyle w:val="a7"/>
          <w:rFonts w:asciiTheme="minorBidi" w:hAnsiTheme="minorBidi"/>
          <w:rtl/>
        </w:rPr>
        <w:footnoteReference w:id="2281"/>
      </w:r>
      <w:r w:rsidRPr="003024E5">
        <w:rPr>
          <w:rFonts w:asciiTheme="minorBidi" w:hAnsiTheme="minorBidi"/>
          <w:rtl/>
        </w:rPr>
        <w:t>, שאם יש במה שבקדרה מצורף עם החתיכה עצמה ששים כנגד איסור הבלוע בה מותר מה שבקדרה</w:t>
      </w:r>
      <w:r>
        <w:rPr>
          <w:rFonts w:asciiTheme="minorBidi" w:hAnsiTheme="minorBidi" w:hint="cs"/>
          <w:rtl/>
        </w:rPr>
        <w:t>,</w:t>
      </w:r>
      <w:r w:rsidRPr="003024E5">
        <w:rPr>
          <w:rFonts w:asciiTheme="minorBidi" w:hAnsiTheme="minorBidi"/>
          <w:rtl/>
        </w:rPr>
        <w:t xml:space="preserve"> אבל החתיכה עצמה אסורה</w:t>
      </w:r>
      <w:r>
        <w:rPr>
          <w:rStyle w:val="a7"/>
          <w:rFonts w:asciiTheme="minorBidi" w:hAnsiTheme="minorBidi"/>
          <w:rtl/>
        </w:rPr>
        <w:footnoteReference w:id="2282"/>
      </w:r>
      <w:r w:rsidRPr="003024E5">
        <w:rPr>
          <w:rFonts w:asciiTheme="minorBidi" w:hAnsiTheme="minorBidi"/>
          <w:rtl/>
        </w:rPr>
        <w:t xml:space="preserve"> לפי שאיסור שבה אינו נפלט ממנה לגמרי</w:t>
      </w:r>
      <w:r>
        <w:rPr>
          <w:rStyle w:val="a7"/>
          <w:rFonts w:asciiTheme="minorBidi" w:hAnsiTheme="minorBidi"/>
          <w:rtl/>
        </w:rPr>
        <w:footnoteReference w:id="2283"/>
      </w:r>
      <w:r>
        <w:rPr>
          <w:rFonts w:asciiTheme="minorBidi" w:hAnsiTheme="minorBidi" w:hint="cs"/>
          <w:rtl/>
        </w:rPr>
        <w:t>.</w:t>
      </w:r>
      <w:r w:rsidRPr="00A35445">
        <w:rPr>
          <w:rFonts w:asciiTheme="minorBidi" w:hAnsiTheme="minorBidi"/>
          <w:sz w:val="18"/>
          <w:szCs w:val="18"/>
          <w:rtl/>
        </w:rPr>
        <w:t xml:space="preserve"> </w:t>
      </w:r>
      <w:r>
        <w:rPr>
          <w:rFonts w:asciiTheme="minorBidi" w:hAnsiTheme="minorBidi" w:hint="cs"/>
          <w:sz w:val="18"/>
          <w:szCs w:val="18"/>
          <w:rtl/>
        </w:rPr>
        <w:t>[הגה]</w:t>
      </w:r>
      <w:r w:rsidRPr="00A35445">
        <w:rPr>
          <w:rFonts w:asciiTheme="minorBidi" w:hAnsiTheme="minorBidi"/>
          <w:sz w:val="18"/>
          <w:szCs w:val="18"/>
          <w:rtl/>
        </w:rPr>
        <w:t xml:space="preserve"> וכן עיקר, ודלא כמו שכתב לעיל סי</w:t>
      </w:r>
      <w:r>
        <w:rPr>
          <w:rFonts w:asciiTheme="minorBidi" w:hAnsiTheme="minorBidi" w:hint="cs"/>
          <w:sz w:val="18"/>
          <w:szCs w:val="18"/>
          <w:rtl/>
        </w:rPr>
        <w:t>'</w:t>
      </w:r>
      <w:r w:rsidRPr="00A35445">
        <w:rPr>
          <w:rFonts w:asciiTheme="minorBidi" w:hAnsiTheme="minorBidi"/>
          <w:sz w:val="18"/>
          <w:szCs w:val="18"/>
          <w:rtl/>
        </w:rPr>
        <w:t xml:space="preserve"> צב דאף אותה חתיכה מותרת. </w:t>
      </w:r>
      <w:r w:rsidRPr="003024E5">
        <w:rPr>
          <w:rFonts w:asciiTheme="minorBidi" w:hAnsiTheme="minorBidi"/>
          <w:rtl/>
        </w:rPr>
        <w:t>מה שאין כן בדבר הנבלל ונימוח שאם נפל דם וכיוצא בו לתוך רוטב של היתר ואסרו מחמת מיעוטו ואח</w:t>
      </w:r>
      <w:r>
        <w:rPr>
          <w:rFonts w:asciiTheme="minorBidi" w:hAnsiTheme="minorBidi" w:hint="cs"/>
          <w:rtl/>
        </w:rPr>
        <w:t xml:space="preserve">ר </w:t>
      </w:r>
      <w:r w:rsidRPr="003024E5">
        <w:rPr>
          <w:rFonts w:asciiTheme="minorBidi" w:hAnsiTheme="minorBidi"/>
          <w:rtl/>
        </w:rPr>
        <w:t>כ</w:t>
      </w:r>
      <w:r>
        <w:rPr>
          <w:rFonts w:asciiTheme="minorBidi" w:hAnsiTheme="minorBidi" w:hint="cs"/>
          <w:rtl/>
        </w:rPr>
        <w:t>ך</w:t>
      </w:r>
      <w:r w:rsidRPr="003024E5">
        <w:rPr>
          <w:rFonts w:asciiTheme="minorBidi" w:hAnsiTheme="minorBidi"/>
          <w:rtl/>
        </w:rPr>
        <w:t xml:space="preserve"> נתרבה הרוטב של היתר עד שיש בין כולו </w:t>
      </w:r>
      <w:r>
        <w:rPr>
          <w:rFonts w:asciiTheme="minorBidi" w:hAnsiTheme="minorBidi" w:hint="cs"/>
          <w:rtl/>
        </w:rPr>
        <w:t>ששים</w:t>
      </w:r>
      <w:r w:rsidRPr="003024E5">
        <w:rPr>
          <w:rFonts w:asciiTheme="minorBidi" w:hAnsiTheme="minorBidi"/>
          <w:rtl/>
        </w:rPr>
        <w:t xml:space="preserve"> לבטל הדם כולו מותר שהכל נבלל ונתערב. </w:t>
      </w:r>
      <w:r w:rsidRPr="00B41BE4">
        <w:rPr>
          <w:rFonts w:asciiTheme="minorBidi" w:hAnsiTheme="minorBidi"/>
          <w:sz w:val="18"/>
          <w:szCs w:val="18"/>
          <w:rtl/>
        </w:rPr>
        <w:t>הגה: ולפי מה שנוהגין לומר בכל האיסורים חתיכה נעשית נבלה</w:t>
      </w:r>
      <w:r>
        <w:rPr>
          <w:rStyle w:val="a7"/>
          <w:rFonts w:asciiTheme="minorBidi" w:hAnsiTheme="minorBidi"/>
          <w:sz w:val="18"/>
          <w:szCs w:val="18"/>
          <w:rtl/>
        </w:rPr>
        <w:footnoteReference w:id="2284"/>
      </w:r>
      <w:r w:rsidRPr="00B41BE4">
        <w:rPr>
          <w:rFonts w:asciiTheme="minorBidi" w:hAnsiTheme="minorBidi"/>
          <w:sz w:val="18"/>
          <w:szCs w:val="18"/>
          <w:rtl/>
        </w:rPr>
        <w:t xml:space="preserve"> אין חלוק בין דבר לח לדבר יבש אלא לענין זה דאם הנאסר כבר הוא דבר יבש ויש ס' כנגדו החתיכה הנאסרת תחלה נשארת באיסורה וצריך להסירה משם אם מכירה, ואם אינו מכירה בטילה אם אינה חתיכה הראויה להתכבד</w:t>
      </w:r>
      <w:r>
        <w:rPr>
          <w:rStyle w:val="a7"/>
          <w:rFonts w:asciiTheme="minorBidi" w:hAnsiTheme="minorBidi"/>
          <w:sz w:val="18"/>
          <w:szCs w:val="18"/>
          <w:rtl/>
        </w:rPr>
        <w:footnoteReference w:id="2285"/>
      </w:r>
      <w:r>
        <w:rPr>
          <w:rFonts w:asciiTheme="minorBidi" w:hAnsiTheme="minorBidi" w:hint="cs"/>
          <w:sz w:val="18"/>
          <w:szCs w:val="18"/>
          <w:rtl/>
        </w:rPr>
        <w:t>,</w:t>
      </w:r>
      <w:r w:rsidRPr="00B41BE4">
        <w:rPr>
          <w:rFonts w:asciiTheme="minorBidi" w:hAnsiTheme="minorBidi"/>
          <w:sz w:val="18"/>
          <w:szCs w:val="18"/>
          <w:rtl/>
        </w:rPr>
        <w:t xml:space="preserve"> ואם הוא דבר לח הכל מותר מאחר דאיכא ס' נגד מה שנאסרה תחילה</w:t>
      </w:r>
      <w:r>
        <w:rPr>
          <w:rFonts w:asciiTheme="minorBidi" w:hAnsiTheme="minorBidi" w:hint="cs"/>
          <w:sz w:val="18"/>
          <w:szCs w:val="18"/>
          <w:rtl/>
        </w:rPr>
        <w:t>,</w:t>
      </w:r>
      <w:r w:rsidRPr="00B41BE4">
        <w:rPr>
          <w:rFonts w:asciiTheme="minorBidi" w:hAnsiTheme="minorBidi"/>
          <w:sz w:val="18"/>
          <w:szCs w:val="18"/>
          <w:rtl/>
        </w:rPr>
        <w:t xml:space="preserve"> ועיין לעיל סי</w:t>
      </w:r>
      <w:r>
        <w:rPr>
          <w:rFonts w:asciiTheme="minorBidi" w:hAnsiTheme="minorBidi" w:hint="cs"/>
          <w:sz w:val="18"/>
          <w:szCs w:val="18"/>
          <w:rtl/>
        </w:rPr>
        <w:t>'</w:t>
      </w:r>
      <w:r w:rsidRPr="00B41BE4">
        <w:rPr>
          <w:rFonts w:asciiTheme="minorBidi" w:hAnsiTheme="minorBidi"/>
          <w:sz w:val="18"/>
          <w:szCs w:val="18"/>
          <w:rtl/>
        </w:rPr>
        <w:t xml:space="preserve"> צב וצט.</w:t>
      </w:r>
      <w:r w:rsidRPr="003024E5">
        <w:rPr>
          <w:rFonts w:asciiTheme="minorBidi" w:hAnsiTheme="minorBidi"/>
          <w:rtl/>
        </w:rPr>
        <w:t xml:space="preserve"> </w:t>
      </w:r>
    </w:p>
    <w:p w14:paraId="24021C76" w14:textId="77777777" w:rsidR="002C39F4" w:rsidRPr="003024E5" w:rsidRDefault="002C39F4" w:rsidP="002C39F4">
      <w:pPr>
        <w:rPr>
          <w:rFonts w:asciiTheme="minorBidi" w:hAnsiTheme="minorBidi"/>
          <w:rtl/>
        </w:rPr>
      </w:pPr>
    </w:p>
    <w:p w14:paraId="000AA174"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w:t>
      </w:r>
      <w:r w:rsidRPr="00B801D1">
        <w:rPr>
          <w:rFonts w:cs="Arial"/>
          <w:rtl/>
        </w:rPr>
        <w:t xml:space="preserve"> </w:t>
      </w:r>
      <w:r w:rsidRPr="00B41BE4">
        <w:rPr>
          <w:rFonts w:cs="Arial"/>
          <w:rtl/>
        </w:rPr>
        <w:t>חתיכה שיש בה חלב שנתבשלה בקדרה שיש בה ס' לבטל החלב</w:t>
      </w:r>
      <w:r>
        <w:rPr>
          <w:rFonts w:asciiTheme="minorBidi" w:hAnsiTheme="minorBidi" w:hint="cs"/>
          <w:rtl/>
        </w:rPr>
        <w:t>.</w:t>
      </w:r>
    </w:p>
    <w:p w14:paraId="32E096AA" w14:textId="77777777" w:rsidR="002C39F4" w:rsidRPr="00B801D1" w:rsidRDefault="002C39F4" w:rsidP="002C39F4">
      <w:pPr>
        <w:rPr>
          <w:rFonts w:cs="Arial"/>
          <w:u w:val="single"/>
          <w:rtl/>
        </w:rPr>
      </w:pPr>
      <w:r w:rsidRPr="00B801D1">
        <w:rPr>
          <w:rFonts w:cs="Arial"/>
          <w:u w:val="single"/>
          <w:rtl/>
        </w:rPr>
        <w:t xml:space="preserve">חתיכה שיש בה </w:t>
      </w:r>
      <w:r w:rsidRPr="002E4BA0">
        <w:rPr>
          <w:rFonts w:cs="Arial"/>
          <w:u w:val="single"/>
          <w:rtl/>
        </w:rPr>
        <w:t>ח</w:t>
      </w:r>
      <w:r w:rsidRPr="002E4BA0">
        <w:rPr>
          <w:rFonts w:cs="Arial" w:hint="cs"/>
          <w:u w:val="single"/>
          <w:rtl/>
        </w:rPr>
        <w:t>ֵ</w:t>
      </w:r>
      <w:r w:rsidRPr="002E4BA0">
        <w:rPr>
          <w:rFonts w:cs="Arial"/>
          <w:u w:val="single"/>
          <w:rtl/>
        </w:rPr>
        <w:t>ל</w:t>
      </w:r>
      <w:r w:rsidRPr="002E4BA0">
        <w:rPr>
          <w:rFonts w:cs="Arial" w:hint="cs"/>
          <w:u w:val="single"/>
          <w:rtl/>
        </w:rPr>
        <w:t>ֶ</w:t>
      </w:r>
      <w:r w:rsidRPr="002E4BA0">
        <w:rPr>
          <w:rFonts w:cs="Arial"/>
          <w:u w:val="single"/>
          <w:rtl/>
        </w:rPr>
        <w:t xml:space="preserve">ב </w:t>
      </w:r>
      <w:r w:rsidRPr="00B801D1">
        <w:rPr>
          <w:rFonts w:cs="Arial"/>
          <w:u w:val="single"/>
          <w:rtl/>
        </w:rPr>
        <w:t>שנתבשלה בקדרה שיש בה ס' לבטל החלב</w:t>
      </w:r>
      <w:r w:rsidRPr="00B801D1">
        <w:rPr>
          <w:rFonts w:cs="Arial" w:hint="cs"/>
          <w:u w:val="single"/>
          <w:rtl/>
        </w:rPr>
        <w:t>:</w:t>
      </w:r>
      <w:r w:rsidRPr="00B801D1">
        <w:rPr>
          <w:rFonts w:cs="Arial"/>
          <w:u w:val="single"/>
          <w:rtl/>
        </w:rPr>
        <w:t xml:space="preserve"> </w:t>
      </w:r>
    </w:p>
    <w:p w14:paraId="6D00C216" w14:textId="77777777" w:rsidR="002C39F4" w:rsidRPr="006F67AA" w:rsidRDefault="002C39F4" w:rsidP="0032102C">
      <w:pPr>
        <w:pStyle w:val="a8"/>
        <w:numPr>
          <w:ilvl w:val="0"/>
          <w:numId w:val="238"/>
        </w:numPr>
        <w:rPr>
          <w:rFonts w:cs="Arial"/>
          <w:rtl/>
        </w:rPr>
      </w:pPr>
      <w:r w:rsidRPr="00B801D1">
        <w:rPr>
          <w:rFonts w:cs="Arial"/>
          <w:rtl/>
        </w:rPr>
        <w:t xml:space="preserve">רשב"א </w:t>
      </w:r>
      <w:r w:rsidRPr="00B801D1">
        <w:rPr>
          <w:rFonts w:cs="Arial"/>
          <w:sz w:val="16"/>
          <w:szCs w:val="16"/>
          <w:rtl/>
        </w:rPr>
        <w:t>(תוה"ק ב"ד ש"א יג:)</w:t>
      </w:r>
      <w:r w:rsidRPr="00B801D1">
        <w:rPr>
          <w:rFonts w:cs="Arial" w:hint="cs"/>
          <w:rtl/>
        </w:rPr>
        <w:t xml:space="preserve">- </w:t>
      </w:r>
      <w:r w:rsidRPr="00B801D1">
        <w:rPr>
          <w:rFonts w:cs="Arial"/>
          <w:rtl/>
        </w:rPr>
        <w:t>חתיכה שיש בה ח</w:t>
      </w:r>
      <w:r>
        <w:rPr>
          <w:rFonts w:cs="Arial" w:hint="cs"/>
          <w:rtl/>
        </w:rPr>
        <w:t>ֵ</w:t>
      </w:r>
      <w:r w:rsidRPr="00B801D1">
        <w:rPr>
          <w:rFonts w:cs="Arial"/>
          <w:rtl/>
        </w:rPr>
        <w:t>ל</w:t>
      </w:r>
      <w:r>
        <w:rPr>
          <w:rFonts w:cs="Arial" w:hint="cs"/>
          <w:rtl/>
        </w:rPr>
        <w:t>ֶ</w:t>
      </w:r>
      <w:r w:rsidRPr="00B801D1">
        <w:rPr>
          <w:rFonts w:cs="Arial"/>
          <w:rtl/>
        </w:rPr>
        <w:t xml:space="preserve">ב שנתבשלה בקדרה שיש בה ס' לבטל </w:t>
      </w:r>
      <w:r>
        <w:rPr>
          <w:rFonts w:cs="Arial" w:hint="cs"/>
          <w:rtl/>
        </w:rPr>
        <w:t>ה</w:t>
      </w:r>
      <w:r w:rsidRPr="00B801D1">
        <w:rPr>
          <w:rFonts w:cs="Arial"/>
          <w:rtl/>
        </w:rPr>
        <w:t>ח</w:t>
      </w:r>
      <w:r>
        <w:rPr>
          <w:rFonts w:cs="Arial" w:hint="cs"/>
          <w:rtl/>
        </w:rPr>
        <w:t>ֵ</w:t>
      </w:r>
      <w:r w:rsidRPr="00B801D1">
        <w:rPr>
          <w:rFonts w:cs="Arial"/>
          <w:rtl/>
        </w:rPr>
        <w:t>ל</w:t>
      </w:r>
      <w:r>
        <w:rPr>
          <w:rFonts w:cs="Arial" w:hint="cs"/>
          <w:rtl/>
        </w:rPr>
        <w:t>ֶ</w:t>
      </w:r>
      <w:r w:rsidRPr="00B801D1">
        <w:rPr>
          <w:rFonts w:cs="Arial"/>
          <w:rtl/>
        </w:rPr>
        <w:t xml:space="preserve">ב צריך ליזהר שלא יסיר שום דבר מן הקדרה בעוד חתיכת האיסור בתוכה דשמא תשאר באחרונה בשעה שאין ס' לבטל </w:t>
      </w:r>
      <w:r>
        <w:rPr>
          <w:rFonts w:cs="Arial" w:hint="cs"/>
          <w:rtl/>
        </w:rPr>
        <w:t>ה</w:t>
      </w:r>
      <w:r w:rsidRPr="00B801D1">
        <w:rPr>
          <w:rFonts w:cs="Arial"/>
          <w:rtl/>
        </w:rPr>
        <w:t>ח</w:t>
      </w:r>
      <w:r>
        <w:rPr>
          <w:rFonts w:cs="Arial" w:hint="cs"/>
          <w:rtl/>
        </w:rPr>
        <w:t>ֵ</w:t>
      </w:r>
      <w:r w:rsidRPr="00B801D1">
        <w:rPr>
          <w:rFonts w:cs="Arial"/>
          <w:rtl/>
        </w:rPr>
        <w:t>ל</w:t>
      </w:r>
      <w:r>
        <w:rPr>
          <w:rFonts w:cs="Arial" w:hint="cs"/>
          <w:rtl/>
        </w:rPr>
        <w:t>ֶ</w:t>
      </w:r>
      <w:r w:rsidRPr="00B801D1">
        <w:rPr>
          <w:rFonts w:cs="Arial"/>
          <w:rtl/>
        </w:rPr>
        <w:t xml:space="preserve">ב תאסור מה שבקדרה וגם לא יוציאה תחילה </w:t>
      </w:r>
      <w:r>
        <w:rPr>
          <w:rFonts w:cs="Arial" w:hint="cs"/>
          <w:rtl/>
        </w:rPr>
        <w:t>שה</w:t>
      </w:r>
      <w:r w:rsidRPr="00B801D1">
        <w:rPr>
          <w:rFonts w:cs="Arial"/>
          <w:rtl/>
        </w:rPr>
        <w:t>ח</w:t>
      </w:r>
      <w:r>
        <w:rPr>
          <w:rFonts w:cs="Arial" w:hint="cs"/>
          <w:rtl/>
        </w:rPr>
        <w:t>ֵ</w:t>
      </w:r>
      <w:r w:rsidRPr="00B801D1">
        <w:rPr>
          <w:rFonts w:cs="Arial"/>
          <w:rtl/>
        </w:rPr>
        <w:t>ל</w:t>
      </w:r>
      <w:r>
        <w:rPr>
          <w:rFonts w:cs="Arial" w:hint="cs"/>
          <w:rtl/>
        </w:rPr>
        <w:t>ֶ</w:t>
      </w:r>
      <w:r w:rsidRPr="00B801D1">
        <w:rPr>
          <w:rFonts w:cs="Arial"/>
          <w:rtl/>
        </w:rPr>
        <w:t>ב שבה יאסור אותה</w:t>
      </w:r>
      <w:r>
        <w:rPr>
          <w:rFonts w:cs="Arial" w:hint="cs"/>
          <w:rtl/>
        </w:rPr>
        <w:t>,</w:t>
      </w:r>
      <w:r w:rsidRPr="00B801D1">
        <w:rPr>
          <w:rFonts w:cs="Arial"/>
          <w:rtl/>
        </w:rPr>
        <w:t xml:space="preserve"> ומה תקנתה שיניחנה עד שיצטנן התבשיל והקדרה</w:t>
      </w:r>
      <w:r>
        <w:rPr>
          <w:rStyle w:val="a7"/>
          <w:rFonts w:cs="Arial"/>
          <w:rtl/>
        </w:rPr>
        <w:footnoteReference w:id="2286"/>
      </w:r>
      <w:r w:rsidRPr="00B801D1">
        <w:rPr>
          <w:rFonts w:cs="Arial" w:hint="cs"/>
          <w:rtl/>
        </w:rPr>
        <w:t>.</w:t>
      </w:r>
      <w:r>
        <w:rPr>
          <w:rFonts w:cs="Arial" w:hint="cs"/>
          <w:rtl/>
        </w:rPr>
        <w:t xml:space="preserve"> </w:t>
      </w:r>
      <w:r w:rsidRPr="00792852">
        <w:rPr>
          <w:rFonts w:cs="Arial" w:hint="cs"/>
          <w:color w:val="E36C0A" w:themeColor="accent6" w:themeShade="BF"/>
          <w:rtl/>
        </w:rPr>
        <w:t>(וכ"פ בשו"ע)</w:t>
      </w:r>
    </w:p>
    <w:p w14:paraId="5122B4A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B799C2C" w14:textId="77777777" w:rsidR="002C39F4" w:rsidRPr="003024E5" w:rsidRDefault="002C39F4" w:rsidP="002C39F4">
      <w:pPr>
        <w:rPr>
          <w:rFonts w:asciiTheme="minorBidi" w:hAnsiTheme="minorBidi"/>
          <w:rtl/>
        </w:rPr>
      </w:pPr>
      <w:r w:rsidRPr="003024E5">
        <w:rPr>
          <w:rFonts w:asciiTheme="minorBidi" w:hAnsiTheme="minorBidi"/>
          <w:rtl/>
        </w:rPr>
        <w:t xml:space="preserve">חתיכה שיש בה </w:t>
      </w:r>
      <w:r w:rsidRPr="00B801D1">
        <w:rPr>
          <w:rFonts w:cs="Arial"/>
          <w:rtl/>
        </w:rPr>
        <w:t>ח</w:t>
      </w:r>
      <w:r>
        <w:rPr>
          <w:rFonts w:cs="Arial" w:hint="cs"/>
          <w:rtl/>
        </w:rPr>
        <w:t>ֵ</w:t>
      </w:r>
      <w:r w:rsidRPr="00B801D1">
        <w:rPr>
          <w:rFonts w:cs="Arial"/>
          <w:rtl/>
        </w:rPr>
        <w:t>ל</w:t>
      </w:r>
      <w:r>
        <w:rPr>
          <w:rFonts w:cs="Arial" w:hint="cs"/>
          <w:rtl/>
        </w:rPr>
        <w:t>ֶ</w:t>
      </w:r>
      <w:r w:rsidRPr="00B801D1">
        <w:rPr>
          <w:rFonts w:cs="Arial"/>
          <w:rtl/>
        </w:rPr>
        <w:t xml:space="preserve">ב </w:t>
      </w:r>
      <w:r w:rsidRPr="003024E5">
        <w:rPr>
          <w:rFonts w:asciiTheme="minorBidi" w:hAnsiTheme="minorBidi"/>
          <w:rtl/>
        </w:rPr>
        <w:t xml:space="preserve">שנתבשלה בקדירה שיש בה </w:t>
      </w:r>
      <w:r>
        <w:rPr>
          <w:rFonts w:asciiTheme="minorBidi" w:hAnsiTheme="minorBidi" w:hint="cs"/>
          <w:rtl/>
        </w:rPr>
        <w:t>ששים</w:t>
      </w:r>
      <w:r w:rsidRPr="003024E5">
        <w:rPr>
          <w:rFonts w:asciiTheme="minorBidi" w:hAnsiTheme="minorBidi"/>
          <w:rtl/>
        </w:rPr>
        <w:t xml:space="preserve"> לבטל </w:t>
      </w:r>
      <w:r>
        <w:rPr>
          <w:rFonts w:cs="Arial" w:hint="cs"/>
          <w:rtl/>
        </w:rPr>
        <w:t>ה</w:t>
      </w:r>
      <w:r w:rsidRPr="00B801D1">
        <w:rPr>
          <w:rFonts w:cs="Arial"/>
          <w:rtl/>
        </w:rPr>
        <w:t>ח</w:t>
      </w:r>
      <w:r>
        <w:rPr>
          <w:rFonts w:cs="Arial" w:hint="cs"/>
          <w:rtl/>
        </w:rPr>
        <w:t>ֵ</w:t>
      </w:r>
      <w:r w:rsidRPr="00B801D1">
        <w:rPr>
          <w:rFonts w:cs="Arial"/>
          <w:rtl/>
        </w:rPr>
        <w:t>ל</w:t>
      </w:r>
      <w:r>
        <w:rPr>
          <w:rFonts w:cs="Arial" w:hint="cs"/>
          <w:rtl/>
        </w:rPr>
        <w:t>ֶ</w:t>
      </w:r>
      <w:r w:rsidRPr="00B801D1">
        <w:rPr>
          <w:rFonts w:cs="Arial"/>
          <w:rtl/>
        </w:rPr>
        <w:t>ב</w:t>
      </w:r>
      <w:r>
        <w:rPr>
          <w:rStyle w:val="a7"/>
          <w:rFonts w:asciiTheme="minorBidi" w:hAnsiTheme="minorBidi"/>
          <w:rtl/>
        </w:rPr>
        <w:footnoteReference w:id="2287"/>
      </w:r>
      <w:r w:rsidRPr="003024E5">
        <w:rPr>
          <w:rFonts w:asciiTheme="minorBidi" w:hAnsiTheme="minorBidi"/>
          <w:rtl/>
        </w:rPr>
        <w:t xml:space="preserve"> צריך ליזהר שלא יסיר שום דבר מהקדירה בעוד חתיכת האיסור בתוכה דחיישינן שמא תשאר באחרונה בשעה שאין בקדרה </w:t>
      </w:r>
      <w:r>
        <w:rPr>
          <w:rFonts w:asciiTheme="minorBidi" w:hAnsiTheme="minorBidi" w:hint="cs"/>
          <w:rtl/>
        </w:rPr>
        <w:t>ששים</w:t>
      </w:r>
      <w:r w:rsidRPr="003024E5">
        <w:rPr>
          <w:rFonts w:asciiTheme="minorBidi" w:hAnsiTheme="minorBidi"/>
          <w:rtl/>
        </w:rPr>
        <w:t xml:space="preserve"> לבטל החלב וגם לא יוציאנה תחלה </w:t>
      </w:r>
      <w:r>
        <w:rPr>
          <w:rFonts w:cs="Arial" w:hint="cs"/>
          <w:rtl/>
        </w:rPr>
        <w:t>ש</w:t>
      </w:r>
      <w:r w:rsidRPr="00B801D1">
        <w:rPr>
          <w:rFonts w:cs="Arial"/>
          <w:rtl/>
        </w:rPr>
        <w:t>ח</w:t>
      </w:r>
      <w:r>
        <w:rPr>
          <w:rFonts w:cs="Arial" w:hint="cs"/>
          <w:rtl/>
        </w:rPr>
        <w:t>ֵ</w:t>
      </w:r>
      <w:r w:rsidRPr="00B801D1">
        <w:rPr>
          <w:rFonts w:cs="Arial"/>
          <w:rtl/>
        </w:rPr>
        <w:t>ל</w:t>
      </w:r>
      <w:r>
        <w:rPr>
          <w:rFonts w:cs="Arial" w:hint="cs"/>
          <w:rtl/>
        </w:rPr>
        <w:t>ֶ</w:t>
      </w:r>
      <w:r w:rsidRPr="00B801D1">
        <w:rPr>
          <w:rFonts w:cs="Arial"/>
          <w:rtl/>
        </w:rPr>
        <w:t xml:space="preserve">ב </w:t>
      </w:r>
      <w:r w:rsidRPr="003024E5">
        <w:rPr>
          <w:rFonts w:asciiTheme="minorBidi" w:hAnsiTheme="minorBidi"/>
          <w:rtl/>
        </w:rPr>
        <w:t>שבה יאסור אותה</w:t>
      </w:r>
      <w:r>
        <w:rPr>
          <w:rStyle w:val="a7"/>
          <w:rFonts w:asciiTheme="minorBidi" w:hAnsiTheme="minorBidi"/>
          <w:rtl/>
        </w:rPr>
        <w:footnoteReference w:id="2288"/>
      </w:r>
      <w:r>
        <w:rPr>
          <w:rFonts w:asciiTheme="minorBidi" w:hAnsiTheme="minorBidi" w:hint="cs"/>
          <w:rtl/>
        </w:rPr>
        <w:t>,</w:t>
      </w:r>
      <w:r w:rsidRPr="003024E5">
        <w:rPr>
          <w:rFonts w:asciiTheme="minorBidi" w:hAnsiTheme="minorBidi"/>
          <w:rtl/>
        </w:rPr>
        <w:t xml:space="preserve"> ומה תקנתה יניחנה עד שתצטנן הקדירה. </w:t>
      </w:r>
      <w:r w:rsidRPr="006F67AA">
        <w:rPr>
          <w:rFonts w:asciiTheme="minorBidi" w:hAnsiTheme="minorBidi"/>
          <w:sz w:val="18"/>
          <w:szCs w:val="18"/>
          <w:rtl/>
        </w:rPr>
        <w:t>הגה: ולפי מה דקיימא לן חתיכה נעשית נבלה</w:t>
      </w:r>
      <w:r>
        <w:rPr>
          <w:rStyle w:val="a7"/>
          <w:rFonts w:asciiTheme="minorBidi" w:hAnsiTheme="minorBidi"/>
          <w:sz w:val="18"/>
          <w:szCs w:val="18"/>
          <w:rtl/>
        </w:rPr>
        <w:footnoteReference w:id="2289"/>
      </w:r>
      <w:r w:rsidRPr="006F67AA">
        <w:rPr>
          <w:rFonts w:asciiTheme="minorBidi" w:hAnsiTheme="minorBidi"/>
          <w:sz w:val="18"/>
          <w:szCs w:val="18"/>
          <w:rtl/>
        </w:rPr>
        <w:t xml:space="preserve"> מסיר החתיכה האסורה משם והשאר מותר (ד"ע).</w:t>
      </w:r>
    </w:p>
    <w:p w14:paraId="43692996" w14:textId="77777777" w:rsidR="002C39F4" w:rsidRDefault="002C39F4" w:rsidP="002C39F4">
      <w:pPr>
        <w:rPr>
          <w:rFonts w:asciiTheme="minorBidi" w:hAnsiTheme="minorBidi" w:cs="Arial"/>
          <w:rtl/>
        </w:rPr>
      </w:pPr>
      <w:r w:rsidRPr="00146787">
        <w:rPr>
          <w:rFonts w:asciiTheme="minorBidi" w:hAnsiTheme="minorBidi" w:cs="Arial"/>
          <w:u w:val="single"/>
          <w:rtl/>
        </w:rPr>
        <w:t xml:space="preserve">איסור </w:t>
      </w:r>
      <w:r>
        <w:rPr>
          <w:rFonts w:asciiTheme="minorBidi" w:hAnsiTheme="minorBidi" w:cs="Arial" w:hint="cs"/>
          <w:u w:val="single"/>
          <w:rtl/>
        </w:rPr>
        <w:t>ש</w:t>
      </w:r>
      <w:r w:rsidRPr="00146787">
        <w:rPr>
          <w:rFonts w:asciiTheme="minorBidi" w:hAnsiTheme="minorBidi" w:cs="Arial"/>
          <w:u w:val="single"/>
          <w:rtl/>
        </w:rPr>
        <w:t>נתבשל בקדרה והיה ס'</w:t>
      </w:r>
      <w:r>
        <w:rPr>
          <w:rFonts w:asciiTheme="minorBidi" w:hAnsiTheme="minorBidi" w:cs="Arial" w:hint="cs"/>
          <w:u w:val="single"/>
          <w:rtl/>
        </w:rPr>
        <w:t>,</w:t>
      </w:r>
      <w:r w:rsidRPr="00146787">
        <w:rPr>
          <w:rFonts w:asciiTheme="minorBidi" w:hAnsiTheme="minorBidi" w:cs="Arial"/>
          <w:u w:val="single"/>
          <w:rtl/>
        </w:rPr>
        <w:t xml:space="preserve"> ואח"כ נצטנן התבשיל ונתמעט ההיתר </w:t>
      </w:r>
      <w:r>
        <w:rPr>
          <w:rFonts w:asciiTheme="minorBidi" w:hAnsiTheme="minorBidi" w:cs="Arial" w:hint="cs"/>
          <w:u w:val="single"/>
          <w:rtl/>
        </w:rPr>
        <w:t>ו</w:t>
      </w:r>
      <w:r w:rsidRPr="00146787">
        <w:rPr>
          <w:rFonts w:asciiTheme="minorBidi" w:hAnsiTheme="minorBidi" w:cs="Arial"/>
          <w:u w:val="single"/>
          <w:rtl/>
        </w:rPr>
        <w:t>עכשיו אין ס'</w:t>
      </w:r>
      <w:r w:rsidRPr="00146787">
        <w:rPr>
          <w:rFonts w:asciiTheme="minorBidi" w:hAnsiTheme="minorBidi" w:cs="Arial" w:hint="cs"/>
          <w:u w:val="single"/>
          <w:rtl/>
        </w:rPr>
        <w:t>:</w:t>
      </w:r>
      <w:r w:rsidRPr="0018464C">
        <w:rPr>
          <w:rFonts w:asciiTheme="minorBidi" w:hAnsiTheme="minorBidi" w:cs="Arial"/>
          <w:rtl/>
        </w:rPr>
        <w:t xml:space="preserve"> </w:t>
      </w:r>
      <w:r w:rsidRPr="00146787">
        <w:rPr>
          <w:rFonts w:asciiTheme="minorBidi" w:hAnsiTheme="minorBidi" w:cs="Arial"/>
          <w:sz w:val="16"/>
          <w:szCs w:val="16"/>
          <w:rtl/>
        </w:rPr>
        <w:t>(</w:t>
      </w:r>
      <w:r w:rsidRPr="00146787">
        <w:rPr>
          <w:rFonts w:asciiTheme="minorBidi" w:hAnsiTheme="minorBidi" w:cs="Arial" w:hint="cs"/>
          <w:sz w:val="16"/>
          <w:szCs w:val="16"/>
          <w:rtl/>
        </w:rPr>
        <w:t>פת"ש סק"</w:t>
      </w:r>
      <w:r w:rsidRPr="00146787">
        <w:rPr>
          <w:rFonts w:asciiTheme="minorBidi" w:hAnsiTheme="minorBidi" w:cs="Arial"/>
          <w:sz w:val="16"/>
          <w:szCs w:val="16"/>
          <w:rtl/>
        </w:rPr>
        <w:t>ב)</w:t>
      </w:r>
    </w:p>
    <w:p w14:paraId="346D4505" w14:textId="77777777" w:rsidR="002C39F4" w:rsidRPr="00146787" w:rsidRDefault="002C39F4" w:rsidP="0032102C">
      <w:pPr>
        <w:pStyle w:val="a8"/>
        <w:numPr>
          <w:ilvl w:val="0"/>
          <w:numId w:val="238"/>
        </w:numPr>
        <w:rPr>
          <w:rFonts w:asciiTheme="minorBidi" w:hAnsiTheme="minorBidi" w:cs="Arial"/>
          <w:rtl/>
        </w:rPr>
      </w:pPr>
      <w:r w:rsidRPr="00146787">
        <w:rPr>
          <w:rFonts w:asciiTheme="minorBidi" w:hAnsiTheme="minorBidi" w:cs="Arial"/>
          <w:rtl/>
        </w:rPr>
        <w:t xml:space="preserve">תפארת צבי </w:t>
      </w:r>
      <w:r w:rsidRPr="00146787">
        <w:rPr>
          <w:rFonts w:asciiTheme="minorBidi" w:hAnsiTheme="minorBidi" w:cs="Arial" w:hint="cs"/>
          <w:sz w:val="16"/>
          <w:szCs w:val="16"/>
          <w:rtl/>
        </w:rPr>
        <w:t>(</w:t>
      </w:r>
      <w:r w:rsidRPr="00146787">
        <w:rPr>
          <w:rFonts w:asciiTheme="minorBidi" w:hAnsiTheme="minorBidi" w:cs="Arial"/>
          <w:sz w:val="16"/>
          <w:szCs w:val="16"/>
          <w:rtl/>
        </w:rPr>
        <w:t>או"ח סי</w:t>
      </w:r>
      <w:r w:rsidRPr="00146787">
        <w:rPr>
          <w:rFonts w:asciiTheme="minorBidi" w:hAnsiTheme="minorBidi" w:cs="Arial" w:hint="cs"/>
          <w:sz w:val="16"/>
          <w:szCs w:val="16"/>
          <w:rtl/>
        </w:rPr>
        <w:t>'</w:t>
      </w:r>
      <w:r w:rsidRPr="00146787">
        <w:rPr>
          <w:rFonts w:asciiTheme="minorBidi" w:hAnsiTheme="minorBidi" w:cs="Arial"/>
          <w:sz w:val="16"/>
          <w:szCs w:val="16"/>
          <w:rtl/>
        </w:rPr>
        <w:t xml:space="preserve"> כד</w:t>
      </w:r>
      <w:r w:rsidRPr="00146787">
        <w:rPr>
          <w:rFonts w:asciiTheme="minorBidi" w:hAnsiTheme="minorBidi" w:cs="Arial" w:hint="cs"/>
          <w:sz w:val="16"/>
          <w:szCs w:val="16"/>
          <w:rtl/>
        </w:rPr>
        <w:t>)</w:t>
      </w:r>
      <w:r w:rsidRPr="00146787">
        <w:rPr>
          <w:rFonts w:asciiTheme="minorBidi" w:hAnsiTheme="minorBidi" w:cs="Arial" w:hint="cs"/>
          <w:rtl/>
        </w:rPr>
        <w:t xml:space="preserve">- </w:t>
      </w:r>
      <w:r w:rsidRPr="00146787">
        <w:rPr>
          <w:rFonts w:asciiTheme="minorBidi" w:hAnsiTheme="minorBidi" w:cs="Arial"/>
          <w:rtl/>
        </w:rPr>
        <w:t>אם נכבש כשיעור כבישה אוסר עתה התבשיל</w:t>
      </w:r>
      <w:r w:rsidRPr="00146787">
        <w:rPr>
          <w:rFonts w:asciiTheme="minorBidi" w:hAnsiTheme="minorBidi" w:cs="Arial" w:hint="cs"/>
          <w:rtl/>
        </w:rPr>
        <w:t>.</w:t>
      </w:r>
      <w:r w:rsidRPr="00146787">
        <w:rPr>
          <w:rFonts w:asciiTheme="minorBidi" w:hAnsiTheme="minorBidi" w:cs="Arial"/>
          <w:rtl/>
        </w:rPr>
        <w:t xml:space="preserve"> </w:t>
      </w:r>
    </w:p>
    <w:p w14:paraId="5EFDAF60" w14:textId="77777777" w:rsidR="002C39F4" w:rsidRPr="00146787" w:rsidRDefault="002C39F4" w:rsidP="0032102C">
      <w:pPr>
        <w:pStyle w:val="a8"/>
        <w:numPr>
          <w:ilvl w:val="0"/>
          <w:numId w:val="238"/>
        </w:numPr>
        <w:rPr>
          <w:rFonts w:asciiTheme="minorBidi" w:hAnsiTheme="minorBidi" w:cs="Arial"/>
          <w:rtl/>
        </w:rPr>
      </w:pPr>
      <w:r w:rsidRPr="00146787">
        <w:rPr>
          <w:rFonts w:asciiTheme="minorBidi" w:hAnsiTheme="minorBidi" w:cs="Arial" w:hint="cs"/>
          <w:rtl/>
        </w:rPr>
        <w:t xml:space="preserve">יש מי שאומר </w:t>
      </w:r>
      <w:r w:rsidRPr="00146787">
        <w:rPr>
          <w:rFonts w:asciiTheme="minorBidi" w:hAnsiTheme="minorBidi" w:cs="Arial" w:hint="cs"/>
          <w:sz w:val="16"/>
          <w:szCs w:val="16"/>
          <w:rtl/>
        </w:rPr>
        <w:t>(הביאו התפארת צבי שם)</w:t>
      </w:r>
      <w:r w:rsidRPr="00146787">
        <w:rPr>
          <w:rFonts w:asciiTheme="minorBidi" w:hAnsiTheme="minorBidi" w:cs="Arial" w:hint="cs"/>
          <w:rtl/>
        </w:rPr>
        <w:t>- מותר, ד</w:t>
      </w:r>
      <w:r w:rsidRPr="00146787">
        <w:rPr>
          <w:rFonts w:asciiTheme="minorBidi" w:hAnsiTheme="minorBidi" w:cs="Arial"/>
          <w:rtl/>
        </w:rPr>
        <w:t>אינו מוסיף בליעה יותר ע"י כביש</w:t>
      </w:r>
      <w:r w:rsidRPr="00146787">
        <w:rPr>
          <w:rFonts w:asciiTheme="minorBidi" w:hAnsiTheme="minorBidi" w:cs="Arial" w:hint="cs"/>
          <w:rtl/>
        </w:rPr>
        <w:t>ה.</w:t>
      </w:r>
    </w:p>
    <w:p w14:paraId="453DD88E" w14:textId="77777777" w:rsidR="002C39F4" w:rsidRPr="003024E5" w:rsidRDefault="002C39F4" w:rsidP="002C39F4">
      <w:pPr>
        <w:rPr>
          <w:rFonts w:asciiTheme="minorBidi" w:hAnsiTheme="minorBidi"/>
          <w:rtl/>
        </w:rPr>
      </w:pPr>
    </w:p>
    <w:p w14:paraId="70A9A1E4" w14:textId="77777777" w:rsidR="002C39F4" w:rsidRPr="003024E5" w:rsidRDefault="002C39F4" w:rsidP="002C39F4">
      <w:pPr>
        <w:rPr>
          <w:rFonts w:asciiTheme="minorBidi" w:hAnsiTheme="minorBidi"/>
          <w:rtl/>
        </w:rPr>
      </w:pPr>
    </w:p>
    <w:p w14:paraId="36B48DA8" w14:textId="77777777" w:rsidR="002C39F4" w:rsidRPr="003024E5" w:rsidRDefault="002C39F4" w:rsidP="002C39F4">
      <w:pPr>
        <w:rPr>
          <w:rFonts w:asciiTheme="minorBidi" w:hAnsiTheme="minorBidi"/>
          <w:rtl/>
        </w:rPr>
      </w:pPr>
    </w:p>
    <w:p w14:paraId="47AB3A2D" w14:textId="77777777" w:rsidR="002C39F4" w:rsidRPr="003024E5" w:rsidRDefault="002C39F4" w:rsidP="002C39F4">
      <w:pPr>
        <w:rPr>
          <w:rFonts w:asciiTheme="minorBidi" w:hAnsiTheme="minorBidi"/>
          <w:rtl/>
        </w:rPr>
      </w:pPr>
    </w:p>
    <w:p w14:paraId="0EE3A984" w14:textId="77777777" w:rsidR="002C39F4" w:rsidRPr="003024E5" w:rsidRDefault="002C39F4" w:rsidP="002C39F4">
      <w:pPr>
        <w:rPr>
          <w:rFonts w:asciiTheme="minorBidi" w:hAnsiTheme="minorBidi"/>
          <w:rtl/>
        </w:rPr>
      </w:pPr>
    </w:p>
    <w:p w14:paraId="4EEAE646"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2490E38C"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קז: דין המבשל ביצה, ודבר מיאוס הנמצא בתבשיל, ובו ב' סעיפים. </w:t>
      </w:r>
    </w:p>
    <w:p w14:paraId="65763CB6"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w:t>
      </w:r>
      <w:r w:rsidRPr="00742F58">
        <w:rPr>
          <w:rFonts w:cs="Arial"/>
          <w:rtl/>
        </w:rPr>
        <w:t xml:space="preserve"> </w:t>
      </w:r>
      <w:r>
        <w:rPr>
          <w:rFonts w:cs="Arial" w:hint="cs"/>
          <w:rtl/>
        </w:rPr>
        <w:t>בישול ביצים בקליפתן</w:t>
      </w:r>
      <w:r>
        <w:rPr>
          <w:rFonts w:asciiTheme="minorBidi" w:hAnsiTheme="minorBidi" w:hint="cs"/>
          <w:rtl/>
        </w:rPr>
        <w:t>.</w:t>
      </w:r>
    </w:p>
    <w:p w14:paraId="0403FD91" w14:textId="77777777" w:rsidR="002C39F4" w:rsidRPr="00742F58" w:rsidRDefault="002C39F4" w:rsidP="002C39F4">
      <w:pPr>
        <w:rPr>
          <w:rFonts w:cs="Arial"/>
          <w:u w:val="single"/>
          <w:rtl/>
        </w:rPr>
      </w:pPr>
      <w:r w:rsidRPr="00742F58">
        <w:rPr>
          <w:rFonts w:cs="Arial"/>
          <w:u w:val="single"/>
          <w:rtl/>
        </w:rPr>
        <w:t>דגים קטנים שנתבשלו ונמצא בהן דג טמא</w:t>
      </w:r>
      <w:r w:rsidRPr="00742F58">
        <w:rPr>
          <w:rFonts w:cs="Arial" w:hint="cs"/>
          <w:u w:val="single"/>
          <w:rtl/>
        </w:rPr>
        <w:t>:</w:t>
      </w:r>
    </w:p>
    <w:p w14:paraId="28236949" w14:textId="77777777" w:rsidR="002C39F4" w:rsidRDefault="002C39F4" w:rsidP="0032102C">
      <w:pPr>
        <w:pStyle w:val="a8"/>
        <w:numPr>
          <w:ilvl w:val="0"/>
          <w:numId w:val="238"/>
        </w:numPr>
        <w:rPr>
          <w:rFonts w:cs="Arial"/>
        </w:rPr>
      </w:pPr>
      <w:r>
        <w:rPr>
          <w:rFonts w:cs="Arial" w:hint="cs"/>
          <w:rtl/>
        </w:rPr>
        <w:t xml:space="preserve">י"א </w:t>
      </w:r>
      <w:r>
        <w:rPr>
          <w:rFonts w:cs="Arial" w:hint="cs"/>
          <w:sz w:val="16"/>
          <w:szCs w:val="16"/>
          <w:rtl/>
        </w:rPr>
        <w:t xml:space="preserve">(כ"כ הסמ"ג </w:t>
      </w:r>
      <w:r w:rsidRPr="006B1084">
        <w:rPr>
          <w:rFonts w:cs="Arial" w:hint="cs"/>
          <w:sz w:val="14"/>
          <w:szCs w:val="14"/>
          <w:rtl/>
        </w:rPr>
        <w:t>[</w:t>
      </w:r>
      <w:r w:rsidRPr="006B1084">
        <w:rPr>
          <w:rFonts w:cs="Arial"/>
          <w:sz w:val="14"/>
          <w:szCs w:val="14"/>
          <w:rtl/>
        </w:rPr>
        <w:t>לאוין</w:t>
      </w:r>
      <w:r w:rsidRPr="006B1084">
        <w:rPr>
          <w:rFonts w:cs="Arial" w:hint="cs"/>
          <w:sz w:val="14"/>
          <w:szCs w:val="14"/>
          <w:rtl/>
        </w:rPr>
        <w:t xml:space="preserve"> סי' קלב</w:t>
      </w:r>
      <w:r w:rsidRPr="006B1084">
        <w:rPr>
          <w:rFonts w:cs="Arial"/>
          <w:sz w:val="14"/>
          <w:szCs w:val="14"/>
          <w:rtl/>
        </w:rPr>
        <w:t xml:space="preserve"> מד</w:t>
      </w:r>
      <w:r w:rsidRPr="006B1084">
        <w:rPr>
          <w:rFonts w:cs="Arial" w:hint="cs"/>
          <w:sz w:val="14"/>
          <w:szCs w:val="14"/>
          <w:rtl/>
        </w:rPr>
        <w:t>. ד"ה שרביטי גוש"ש]</w:t>
      </w:r>
      <w:r>
        <w:rPr>
          <w:rFonts w:cs="Arial" w:hint="cs"/>
          <w:sz w:val="16"/>
          <w:szCs w:val="16"/>
          <w:rtl/>
        </w:rPr>
        <w:t xml:space="preserve"> והטור בשם 'יש אוסרין'</w:t>
      </w:r>
      <w:r w:rsidRPr="00742F58">
        <w:rPr>
          <w:rFonts w:cs="Arial"/>
          <w:sz w:val="16"/>
          <w:szCs w:val="16"/>
          <w:rtl/>
        </w:rPr>
        <w:t>)</w:t>
      </w:r>
      <w:r>
        <w:rPr>
          <w:rFonts w:cs="Arial" w:hint="cs"/>
          <w:rtl/>
        </w:rPr>
        <w:t>-</w:t>
      </w:r>
      <w:r w:rsidRPr="00742F58">
        <w:rPr>
          <w:rFonts w:cs="Arial"/>
          <w:rtl/>
        </w:rPr>
        <w:t xml:space="preserve"> אס</w:t>
      </w:r>
      <w:r>
        <w:rPr>
          <w:rFonts w:cs="Arial" w:hint="cs"/>
          <w:rtl/>
        </w:rPr>
        <w:t>ו</w:t>
      </w:r>
      <w:r w:rsidRPr="00742F58">
        <w:rPr>
          <w:rFonts w:cs="Arial"/>
          <w:rtl/>
        </w:rPr>
        <w:t>ר אפי' מכירו וזורקו ויש ס' לבטלו</w:t>
      </w:r>
      <w:r>
        <w:rPr>
          <w:rFonts w:cs="Arial" w:hint="cs"/>
          <w:rtl/>
        </w:rPr>
        <w:t>,</w:t>
      </w:r>
      <w:r w:rsidRPr="00742F58">
        <w:rPr>
          <w:rFonts w:cs="Arial"/>
          <w:rtl/>
        </w:rPr>
        <w:t xml:space="preserve"> לפי שכשמערה מים החמין לפעמים בסוף העירוי עם מעט </w:t>
      </w:r>
      <w:r>
        <w:rPr>
          <w:rFonts w:cs="Arial" w:hint="cs"/>
          <w:rtl/>
        </w:rPr>
        <w:t>(</w:t>
      </w:r>
      <w:r w:rsidRPr="00742F58">
        <w:rPr>
          <w:rFonts w:cs="Arial"/>
          <w:rtl/>
        </w:rPr>
        <w:t>מים</w:t>
      </w:r>
      <w:r>
        <w:rPr>
          <w:rStyle w:val="a7"/>
          <w:rFonts w:cs="Arial"/>
          <w:rtl/>
        </w:rPr>
        <w:footnoteReference w:id="2290"/>
      </w:r>
      <w:r>
        <w:rPr>
          <w:rFonts w:cs="Arial" w:hint="cs"/>
          <w:rtl/>
        </w:rPr>
        <w:t>) [חמין]</w:t>
      </w:r>
      <w:r w:rsidRPr="00742F58">
        <w:rPr>
          <w:rFonts w:cs="Arial"/>
          <w:rtl/>
        </w:rPr>
        <w:t xml:space="preserve"> ישאר הדג טמא עם </w:t>
      </w:r>
      <w:r>
        <w:rPr>
          <w:rFonts w:cs="Arial" w:hint="cs"/>
          <w:rtl/>
        </w:rPr>
        <w:t>עשרים</w:t>
      </w:r>
      <w:r w:rsidRPr="00742F58">
        <w:rPr>
          <w:rFonts w:cs="Arial"/>
          <w:rtl/>
        </w:rPr>
        <w:t xml:space="preserve"> או עם </w:t>
      </w:r>
      <w:r>
        <w:rPr>
          <w:rFonts w:cs="Arial" w:hint="cs"/>
          <w:rtl/>
        </w:rPr>
        <w:t>שלשים</w:t>
      </w:r>
      <w:r w:rsidRPr="00742F58">
        <w:rPr>
          <w:rFonts w:cs="Arial"/>
          <w:rtl/>
        </w:rPr>
        <w:t xml:space="preserve"> דגים ונאסרו וחוזרין המים ונוגעין לכל הדגים</w:t>
      </w:r>
      <w:r>
        <w:rPr>
          <w:rFonts w:cs="Arial" w:hint="cs"/>
          <w:rtl/>
        </w:rPr>
        <w:t xml:space="preserve"> </w:t>
      </w:r>
      <w:r>
        <w:rPr>
          <w:rFonts w:cs="Arial" w:hint="cs"/>
          <w:sz w:val="16"/>
          <w:szCs w:val="16"/>
          <w:rtl/>
        </w:rPr>
        <w:t>(לשון הטור בשם סמ"ג)</w:t>
      </w:r>
      <w:r>
        <w:rPr>
          <w:rFonts w:cs="Arial" w:hint="cs"/>
          <w:rtl/>
        </w:rPr>
        <w:t>.</w:t>
      </w:r>
    </w:p>
    <w:p w14:paraId="718AE58A" w14:textId="77777777" w:rsidR="002C39F4" w:rsidRDefault="002C39F4" w:rsidP="0032102C">
      <w:pPr>
        <w:pStyle w:val="a8"/>
        <w:numPr>
          <w:ilvl w:val="0"/>
          <w:numId w:val="238"/>
        </w:numPr>
        <w:rPr>
          <w:rFonts w:cs="Arial"/>
        </w:rPr>
      </w:pPr>
      <w:r>
        <w:rPr>
          <w:rFonts w:cs="Arial" w:hint="cs"/>
          <w:rtl/>
        </w:rPr>
        <w:t>י"א</w:t>
      </w:r>
      <w:r>
        <w:rPr>
          <w:rStyle w:val="a7"/>
          <w:rFonts w:cs="Arial"/>
          <w:rtl/>
        </w:rPr>
        <w:footnoteReference w:id="2291"/>
      </w:r>
      <w:r>
        <w:rPr>
          <w:rFonts w:cs="Arial" w:hint="cs"/>
          <w:rtl/>
        </w:rPr>
        <w:t xml:space="preserve"> </w:t>
      </w:r>
      <w:r>
        <w:rPr>
          <w:rFonts w:cs="Arial" w:hint="cs"/>
          <w:sz w:val="16"/>
          <w:szCs w:val="16"/>
          <w:rtl/>
        </w:rPr>
        <w:t>(כ"כ הסמ"ג והטור בשם 'יש מתירין'</w:t>
      </w:r>
      <w:r w:rsidRPr="00742F58">
        <w:rPr>
          <w:rFonts w:cs="Arial"/>
          <w:sz w:val="16"/>
          <w:szCs w:val="16"/>
          <w:rtl/>
        </w:rPr>
        <w:t>)</w:t>
      </w:r>
      <w:r>
        <w:rPr>
          <w:rFonts w:cs="Arial" w:hint="cs"/>
          <w:rtl/>
        </w:rPr>
        <w:t>- מותר</w:t>
      </w:r>
      <w:r w:rsidRPr="00742F58">
        <w:rPr>
          <w:rFonts w:cs="Arial"/>
          <w:rtl/>
        </w:rPr>
        <w:t xml:space="preserve"> מפני שאותם </w:t>
      </w:r>
      <w:r>
        <w:rPr>
          <w:rFonts w:cs="Arial" w:hint="cs"/>
          <w:rtl/>
        </w:rPr>
        <w:t>עשרים</w:t>
      </w:r>
      <w:r w:rsidRPr="00742F58">
        <w:rPr>
          <w:rFonts w:cs="Arial"/>
          <w:rtl/>
        </w:rPr>
        <w:t xml:space="preserve"> או </w:t>
      </w:r>
      <w:r>
        <w:rPr>
          <w:rFonts w:cs="Arial" w:hint="cs"/>
          <w:rtl/>
        </w:rPr>
        <w:t>שלשים</w:t>
      </w:r>
      <w:r w:rsidRPr="00742F58">
        <w:rPr>
          <w:rFonts w:cs="Arial"/>
          <w:rtl/>
        </w:rPr>
        <w:t xml:space="preserve"> שנשארים </w:t>
      </w:r>
      <w:r>
        <w:rPr>
          <w:rFonts w:cs="Arial" w:hint="cs"/>
          <w:rtl/>
        </w:rPr>
        <w:t xml:space="preserve">- </w:t>
      </w:r>
      <w:r w:rsidRPr="00742F58">
        <w:rPr>
          <w:rFonts w:cs="Arial"/>
          <w:rtl/>
        </w:rPr>
        <w:t>בטילין ברוב תערובות</w:t>
      </w:r>
      <w:r>
        <w:rPr>
          <w:rFonts w:cs="Arial" w:hint="cs"/>
          <w:rtl/>
        </w:rPr>
        <w:t>,</w:t>
      </w:r>
      <w:r w:rsidRPr="00742F58">
        <w:rPr>
          <w:rFonts w:cs="Arial"/>
          <w:rtl/>
        </w:rPr>
        <w:t xml:space="preserve"> כי לא שייך לומר בריה לא בטלה אלא בבריה שנאסרה מחמת עצמה ולא שנאסר מחמת בליעת איסור אחר</w:t>
      </w:r>
      <w:r>
        <w:rPr>
          <w:rFonts w:cs="Arial" w:hint="cs"/>
          <w:rtl/>
        </w:rPr>
        <w:t>,</w:t>
      </w:r>
      <w:r w:rsidRPr="00742F58">
        <w:rPr>
          <w:rFonts w:cs="Arial"/>
          <w:rtl/>
        </w:rPr>
        <w:t xml:space="preserve"> ואין חוזרין ואוסרין השאר שבמחבת אע</w:t>
      </w:r>
      <w:r>
        <w:rPr>
          <w:rFonts w:cs="Arial" w:hint="cs"/>
          <w:rtl/>
        </w:rPr>
        <w:t>"</w:t>
      </w:r>
      <w:r w:rsidRPr="00742F58">
        <w:rPr>
          <w:rFonts w:cs="Arial"/>
          <w:rtl/>
        </w:rPr>
        <w:t>פ שנוגעין בהן המים לפי שאיסור הנבלע ואין איסורו מחמת עצמ</w:t>
      </w:r>
      <w:r>
        <w:rPr>
          <w:rFonts w:cs="Arial" w:hint="cs"/>
          <w:rtl/>
        </w:rPr>
        <w:t>ו</w:t>
      </w:r>
      <w:r w:rsidRPr="00742F58">
        <w:rPr>
          <w:rFonts w:cs="Arial"/>
          <w:rtl/>
        </w:rPr>
        <w:t xml:space="preserve"> אינו חוזר ונבלע ביבש כי אם על ידי בישול</w:t>
      </w:r>
      <w:r>
        <w:rPr>
          <w:rStyle w:val="a7"/>
          <w:rFonts w:cs="Arial"/>
          <w:rtl/>
        </w:rPr>
        <w:footnoteReference w:id="2292"/>
      </w:r>
      <w:r>
        <w:rPr>
          <w:rFonts w:cs="Arial" w:hint="cs"/>
          <w:sz w:val="16"/>
          <w:szCs w:val="16"/>
          <w:rtl/>
        </w:rPr>
        <w:t xml:space="preserve"> (לשון הטור בשם סמ"ג)</w:t>
      </w:r>
      <w:r>
        <w:rPr>
          <w:rFonts w:cs="Arial" w:hint="cs"/>
          <w:rtl/>
        </w:rPr>
        <w:t>.</w:t>
      </w:r>
      <w:r w:rsidRPr="00BF419E">
        <w:rPr>
          <w:rFonts w:cs="Arial"/>
          <w:rtl/>
        </w:rPr>
        <w:t xml:space="preserve"> </w:t>
      </w:r>
      <w:r>
        <w:rPr>
          <w:rFonts w:hint="cs"/>
          <w:rtl/>
        </w:rPr>
        <w:t xml:space="preserve">(וכ"פ רש"ל </w:t>
      </w:r>
      <w:r>
        <w:rPr>
          <w:rFonts w:hint="cs"/>
          <w:sz w:val="16"/>
          <w:szCs w:val="16"/>
          <w:rtl/>
        </w:rPr>
        <w:t xml:space="preserve">[פג"ה סי' מד] </w:t>
      </w:r>
      <w:r>
        <w:rPr>
          <w:rFonts w:hint="cs"/>
          <w:rtl/>
        </w:rPr>
        <w:t>וט"ז</w:t>
      </w:r>
      <w:r>
        <w:rPr>
          <w:rStyle w:val="a7"/>
          <w:rtl/>
        </w:rPr>
        <w:footnoteReference w:id="2293"/>
      </w:r>
      <w:r>
        <w:rPr>
          <w:rFonts w:hint="cs"/>
          <w:sz w:val="16"/>
          <w:szCs w:val="16"/>
          <w:rtl/>
        </w:rPr>
        <w:t xml:space="preserve"> [סק"ד]</w:t>
      </w:r>
      <w:r>
        <w:rPr>
          <w:rFonts w:hint="cs"/>
          <w:rtl/>
        </w:rPr>
        <w:t>)</w:t>
      </w:r>
    </w:p>
    <w:p w14:paraId="7894DF08" w14:textId="77777777" w:rsidR="002C39F4" w:rsidRDefault="002C39F4" w:rsidP="0032102C">
      <w:pPr>
        <w:pStyle w:val="a8"/>
        <w:numPr>
          <w:ilvl w:val="0"/>
          <w:numId w:val="238"/>
        </w:numPr>
        <w:rPr>
          <w:rFonts w:cs="Arial"/>
        </w:rPr>
      </w:pPr>
      <w:r w:rsidRPr="00BC68ED">
        <w:rPr>
          <w:rFonts w:cs="Arial"/>
          <w:rtl/>
        </w:rPr>
        <w:t>ר</w:t>
      </w:r>
      <w:r>
        <w:rPr>
          <w:rFonts w:cs="Arial" w:hint="cs"/>
          <w:rtl/>
        </w:rPr>
        <w:t>בינו</w:t>
      </w:r>
      <w:r w:rsidRPr="00BC68ED">
        <w:rPr>
          <w:rFonts w:cs="Arial"/>
          <w:rtl/>
        </w:rPr>
        <w:t xml:space="preserve"> ש</w:t>
      </w:r>
      <w:r>
        <w:rPr>
          <w:rFonts w:cs="Arial" w:hint="cs"/>
          <w:rtl/>
        </w:rPr>
        <w:t>משון</w:t>
      </w:r>
      <w:r>
        <w:rPr>
          <w:rFonts w:cs="Arial" w:hint="cs"/>
          <w:sz w:val="16"/>
          <w:szCs w:val="16"/>
          <w:rtl/>
        </w:rPr>
        <w:t xml:space="preserve"> (כ"כ הסמ"ג בשמו)</w:t>
      </w:r>
      <w:r w:rsidRPr="006B1084">
        <w:rPr>
          <w:rFonts w:hint="cs"/>
          <w:rtl/>
        </w:rPr>
        <w:t xml:space="preserve"> </w:t>
      </w:r>
      <w:r>
        <w:rPr>
          <w:rFonts w:hint="cs"/>
          <w:rtl/>
        </w:rPr>
        <w:t>ומהרא"י</w:t>
      </w:r>
      <w:r>
        <w:rPr>
          <w:rFonts w:hint="cs"/>
          <w:sz w:val="16"/>
          <w:szCs w:val="16"/>
          <w:rtl/>
        </w:rPr>
        <w:t xml:space="preserve"> (בהגשע"ד סי' נא)</w:t>
      </w:r>
      <w:r>
        <w:rPr>
          <w:rFonts w:cs="Arial" w:hint="cs"/>
          <w:rtl/>
        </w:rPr>
        <w:t>-</w:t>
      </w:r>
      <w:r w:rsidRPr="00BC68ED">
        <w:rPr>
          <w:rFonts w:cs="Arial"/>
          <w:rtl/>
        </w:rPr>
        <w:t xml:space="preserve"> </w:t>
      </w:r>
      <w:r>
        <w:rPr>
          <w:rFonts w:cs="Arial" w:hint="cs"/>
          <w:rtl/>
        </w:rPr>
        <w:t xml:space="preserve">מותר, </w:t>
      </w:r>
      <w:r w:rsidRPr="00BC68ED">
        <w:rPr>
          <w:rFonts w:cs="Arial"/>
          <w:rtl/>
        </w:rPr>
        <w:t>שיש לנו לומר דאיסורה ברובה איתא</w:t>
      </w:r>
      <w:r>
        <w:rPr>
          <w:rFonts w:cs="Arial" w:hint="cs"/>
          <w:rtl/>
        </w:rPr>
        <w:t>...</w:t>
      </w:r>
      <w:r w:rsidRPr="00BC68ED">
        <w:rPr>
          <w:rFonts w:cs="Arial"/>
          <w:rtl/>
        </w:rPr>
        <w:t xml:space="preserve"> הילכך אין לתלות שבסוף העירוי עם מעט מים נשאר שם הדג הטמא</w:t>
      </w:r>
      <w:r>
        <w:rPr>
          <w:rStyle w:val="a7"/>
          <w:rFonts w:cs="Arial"/>
          <w:rtl/>
        </w:rPr>
        <w:footnoteReference w:id="2294"/>
      </w:r>
      <w:r>
        <w:rPr>
          <w:rFonts w:hint="cs"/>
          <w:sz w:val="16"/>
          <w:szCs w:val="16"/>
          <w:rtl/>
        </w:rPr>
        <w:t xml:space="preserve"> (ל' סמ"ג)</w:t>
      </w:r>
      <w:r>
        <w:rPr>
          <w:rFonts w:cs="Arial" w:hint="cs"/>
          <w:rtl/>
        </w:rPr>
        <w:t xml:space="preserve">. </w:t>
      </w:r>
      <w:r w:rsidRPr="006B1084">
        <w:rPr>
          <w:rFonts w:cs="Arial" w:hint="cs"/>
          <w:color w:val="00B0F0"/>
          <w:rtl/>
        </w:rPr>
        <w:t>(וכ"פ הרמ"א)</w:t>
      </w:r>
    </w:p>
    <w:p w14:paraId="023D3883" w14:textId="77777777" w:rsidR="002C39F4" w:rsidRDefault="002C39F4" w:rsidP="0032102C">
      <w:pPr>
        <w:pStyle w:val="a8"/>
        <w:numPr>
          <w:ilvl w:val="0"/>
          <w:numId w:val="238"/>
        </w:numPr>
        <w:rPr>
          <w:rFonts w:cs="Arial"/>
        </w:rPr>
      </w:pPr>
      <w:r>
        <w:rPr>
          <w:rFonts w:cs="Arial" w:hint="cs"/>
          <w:rtl/>
        </w:rPr>
        <w:t>סה"ת</w:t>
      </w:r>
      <w:r>
        <w:rPr>
          <w:rStyle w:val="a7"/>
          <w:rFonts w:cs="Arial"/>
          <w:rtl/>
        </w:rPr>
        <w:footnoteReference w:id="2295"/>
      </w:r>
      <w:r>
        <w:rPr>
          <w:rFonts w:cs="Arial" w:hint="cs"/>
          <w:sz w:val="16"/>
          <w:szCs w:val="16"/>
          <w:rtl/>
        </w:rPr>
        <w:t xml:space="preserve"> (סי' לה)</w:t>
      </w:r>
      <w:r>
        <w:rPr>
          <w:rFonts w:cs="Arial" w:hint="cs"/>
          <w:rtl/>
        </w:rPr>
        <w:t xml:space="preserve">- </w:t>
      </w:r>
      <w:r w:rsidRPr="00BB51B4">
        <w:rPr>
          <w:rFonts w:cs="Arial"/>
          <w:rtl/>
        </w:rPr>
        <w:t>ש</w:t>
      </w:r>
      <w:r>
        <w:rPr>
          <w:rFonts w:cs="Arial" w:hint="cs"/>
          <w:rtl/>
        </w:rPr>
        <w:t xml:space="preserve">מא </w:t>
      </w:r>
      <w:r w:rsidRPr="00BB51B4">
        <w:rPr>
          <w:rFonts w:cs="Arial"/>
          <w:rtl/>
        </w:rPr>
        <w:t>אסורין כולן אע</w:t>
      </w:r>
      <w:r>
        <w:rPr>
          <w:rFonts w:cs="Arial" w:hint="cs"/>
          <w:rtl/>
        </w:rPr>
        <w:t>"</w:t>
      </w:r>
      <w:r w:rsidRPr="00BB51B4">
        <w:rPr>
          <w:rFonts w:cs="Arial"/>
          <w:rtl/>
        </w:rPr>
        <w:t>פ שיש יותר מששים במים ובדגים אחרים</w:t>
      </w:r>
      <w:r>
        <w:rPr>
          <w:rFonts w:cs="Arial" w:hint="cs"/>
          <w:rtl/>
        </w:rPr>
        <w:t>,</w:t>
      </w:r>
      <w:r w:rsidRPr="00BB51B4">
        <w:rPr>
          <w:rFonts w:cs="Arial"/>
          <w:rtl/>
        </w:rPr>
        <w:t xml:space="preserve"> לפי כשעירה המים מכלי ראשון שמא בסוף העירוי שלא היה רק מעט מים שם היה הדג טמא ואסר כל הדגים שבכלי לפי שנתערבו אחרי כן ונאסרו המותרים בנגען אל האסורין בעודן רותחין</w:t>
      </w:r>
      <w:r>
        <w:rPr>
          <w:rFonts w:cs="Arial" w:hint="cs"/>
          <w:rtl/>
        </w:rPr>
        <w:t>,</w:t>
      </w:r>
      <w:r w:rsidRPr="00BB51B4">
        <w:rPr>
          <w:rFonts w:cs="Arial"/>
          <w:rtl/>
        </w:rPr>
        <w:t xml:space="preserve"> אע"פ שזרק כבר לחוץ את הדג טמא כשמצאו</w:t>
      </w:r>
      <w:r>
        <w:rPr>
          <w:rStyle w:val="a7"/>
          <w:rFonts w:cs="Arial"/>
          <w:rtl/>
        </w:rPr>
        <w:footnoteReference w:id="2296"/>
      </w:r>
      <w:r>
        <w:rPr>
          <w:rFonts w:cs="Arial" w:hint="cs"/>
          <w:rtl/>
        </w:rPr>
        <w:t>...</w:t>
      </w:r>
      <w:r w:rsidRPr="007619A8">
        <w:rPr>
          <w:rFonts w:cs="Arial"/>
          <w:rtl/>
        </w:rPr>
        <w:t xml:space="preserve"> ברם נראה לי דמותרין כולן כיון שיש רוב דגים חוץ למים אם כן האסורים שבתוך המים מועטין בטלים בהם, ואם משום שנגעו האסורין לכל השאר אין בכך כלום דלקמן פרשתי דדבר שאינו אסור מחמת עצמו אלא מחמת אסור אינו אוסר בנגיעה לדבר אחר אע</w:t>
      </w:r>
      <w:r>
        <w:rPr>
          <w:rFonts w:cs="Arial" w:hint="cs"/>
          <w:rtl/>
        </w:rPr>
        <w:t>"</w:t>
      </w:r>
      <w:r w:rsidRPr="007619A8">
        <w:rPr>
          <w:rFonts w:cs="Arial"/>
          <w:rtl/>
        </w:rPr>
        <w:t>פ ששניהם חמין אא</w:t>
      </w:r>
      <w:r>
        <w:rPr>
          <w:rFonts w:cs="Arial" w:hint="cs"/>
          <w:rtl/>
        </w:rPr>
        <w:t>"</w:t>
      </w:r>
      <w:r w:rsidRPr="007619A8">
        <w:rPr>
          <w:rFonts w:cs="Arial"/>
          <w:rtl/>
        </w:rPr>
        <w:t>כ ישנם במים רותחין שניהם יחד אחרי כן שאז מוליכין המים את הבליעה של איסור בשאר חתיכות</w:t>
      </w:r>
      <w:r>
        <w:rPr>
          <w:rFonts w:cs="Arial" w:hint="cs"/>
          <w:rtl/>
        </w:rPr>
        <w:t xml:space="preserve">... </w:t>
      </w:r>
      <w:r w:rsidRPr="007619A8">
        <w:rPr>
          <w:rFonts w:cs="Arial"/>
          <w:rtl/>
        </w:rPr>
        <w:t>ואי משום שהדג טמא עצמו מתגלגל ונוגע לאחרים בלא מים אין נוגע לרוב א</w:t>
      </w:r>
      <w:r>
        <w:rPr>
          <w:rFonts w:cs="Arial" w:hint="cs"/>
          <w:rtl/>
        </w:rPr>
        <w:t>"</w:t>
      </w:r>
      <w:r w:rsidRPr="007619A8">
        <w:rPr>
          <w:rFonts w:cs="Arial"/>
          <w:rtl/>
        </w:rPr>
        <w:t xml:space="preserve">כ המיעוט שנגע כיון שאין מכירן בטלים ברוב דלא שייך בהו טעמא דבריה לא בטלה כיון שאין אסורין מחמת עצמן. </w:t>
      </w:r>
    </w:p>
    <w:p w14:paraId="01AD9DC9" w14:textId="77777777" w:rsidR="002C39F4" w:rsidRPr="00032FB7" w:rsidRDefault="002C39F4" w:rsidP="002C39F4">
      <w:pPr>
        <w:ind w:left="360"/>
        <w:rPr>
          <w:rFonts w:cs="Arial"/>
          <w:u w:val="dotted"/>
          <w:rtl/>
        </w:rPr>
      </w:pPr>
      <w:r>
        <w:rPr>
          <w:rFonts w:cs="Arial" w:hint="cs"/>
          <w:u w:val="dotted"/>
          <w:rtl/>
        </w:rPr>
        <w:t>ומה הדין במקרה כנ"ל רק שעתה מדובר ב</w:t>
      </w:r>
      <w:r w:rsidRPr="00032FB7">
        <w:rPr>
          <w:rFonts w:cs="Arial"/>
          <w:u w:val="dotted"/>
          <w:rtl/>
        </w:rPr>
        <w:t>ביצים שנתבשלו ונמצא באחת מהם אפרוח או דם</w:t>
      </w:r>
      <w:r w:rsidRPr="00032FB7">
        <w:rPr>
          <w:rFonts w:cs="Arial" w:hint="cs"/>
          <w:u w:val="dotted"/>
          <w:rtl/>
        </w:rPr>
        <w:t>:</w:t>
      </w:r>
    </w:p>
    <w:p w14:paraId="7C8AD13B" w14:textId="77777777" w:rsidR="002C39F4" w:rsidRDefault="002C39F4" w:rsidP="0032102C">
      <w:pPr>
        <w:pStyle w:val="a8"/>
        <w:numPr>
          <w:ilvl w:val="0"/>
          <w:numId w:val="238"/>
        </w:numPr>
      </w:pPr>
      <w:r>
        <w:rPr>
          <w:rFonts w:cs="Arial" w:hint="cs"/>
          <w:rtl/>
        </w:rPr>
        <w:t>סה"ת</w:t>
      </w:r>
      <w:r>
        <w:rPr>
          <w:rFonts w:cs="Arial" w:hint="cs"/>
          <w:sz w:val="16"/>
          <w:szCs w:val="16"/>
          <w:rtl/>
        </w:rPr>
        <w:t xml:space="preserve"> (סי' לה)</w:t>
      </w:r>
      <w:r>
        <w:rPr>
          <w:rFonts w:cs="Arial" w:hint="cs"/>
          <w:rtl/>
        </w:rPr>
        <w:t xml:space="preserve"> ו</w:t>
      </w:r>
      <w:r w:rsidRPr="007B5324">
        <w:rPr>
          <w:rFonts w:cs="Arial"/>
          <w:rtl/>
        </w:rPr>
        <w:t>סמ"ג</w:t>
      </w:r>
      <w:r>
        <w:rPr>
          <w:rStyle w:val="a7"/>
          <w:rFonts w:cs="Arial"/>
          <w:rtl/>
        </w:rPr>
        <w:footnoteReference w:id="2297"/>
      </w:r>
      <w:r w:rsidRPr="007B5324">
        <w:rPr>
          <w:rFonts w:cs="Arial"/>
          <w:rtl/>
        </w:rPr>
        <w:t xml:space="preserve"> </w:t>
      </w:r>
      <w:r w:rsidRPr="007B5324">
        <w:rPr>
          <w:rFonts w:cs="Arial"/>
          <w:sz w:val="16"/>
          <w:szCs w:val="16"/>
          <w:rtl/>
        </w:rPr>
        <w:t>(לאוין קלב מד:)</w:t>
      </w:r>
      <w:r w:rsidRPr="007B5324">
        <w:rPr>
          <w:rFonts w:cs="Arial" w:hint="cs"/>
          <w:rtl/>
        </w:rPr>
        <w:t xml:space="preserve">- </w:t>
      </w:r>
      <w:r w:rsidRPr="007B5324">
        <w:rPr>
          <w:rFonts w:cs="Arial"/>
          <w:rtl/>
        </w:rPr>
        <w:t>הכל אסור</w:t>
      </w:r>
      <w:r>
        <w:rPr>
          <w:rFonts w:cs="Arial" w:hint="cs"/>
          <w:rtl/>
        </w:rPr>
        <w:t>,</w:t>
      </w:r>
      <w:r w:rsidRPr="007B5324">
        <w:rPr>
          <w:rFonts w:cs="Arial"/>
          <w:rtl/>
        </w:rPr>
        <w:t xml:space="preserve"> דאין רגילות לבשל ביצים כ"כ ביחד שהיא עשרים ביצים או שלשים שנאסרו בטלים בתערובת ברוב של היתר</w:t>
      </w:r>
      <w:r w:rsidRPr="007B5324">
        <w:rPr>
          <w:rFonts w:cs="Arial" w:hint="cs"/>
          <w:rtl/>
        </w:rPr>
        <w:t>,</w:t>
      </w:r>
      <w:r w:rsidRPr="007B5324">
        <w:rPr>
          <w:rFonts w:cs="Arial"/>
          <w:rtl/>
        </w:rPr>
        <w:t xml:space="preserve"> לכן </w:t>
      </w:r>
      <w:r>
        <w:rPr>
          <w:rFonts w:cs="Arial" w:hint="cs"/>
          <w:sz w:val="16"/>
          <w:szCs w:val="16"/>
          <w:rtl/>
        </w:rPr>
        <w:t xml:space="preserve">{אם נמצאה ביצה ויש ס' כנגדה </w:t>
      </w:r>
      <w:r>
        <w:rPr>
          <w:rFonts w:cs="Arial"/>
          <w:sz w:val="16"/>
          <w:szCs w:val="16"/>
          <w:rtl/>
        </w:rPr>
        <w:t>–</w:t>
      </w:r>
      <w:r>
        <w:rPr>
          <w:rFonts w:cs="Arial" w:hint="cs"/>
          <w:sz w:val="16"/>
          <w:szCs w:val="16"/>
          <w:rtl/>
        </w:rPr>
        <w:t xml:space="preserve"> לא יערה מהאלפס לתמחוי אלא-} </w:t>
      </w:r>
      <w:r w:rsidRPr="007B5324">
        <w:rPr>
          <w:rFonts w:cs="Arial"/>
          <w:rtl/>
        </w:rPr>
        <w:t>טוב להמתין עד שיצטנן קודם שיוציאם מן המים שנתבשלו שם</w:t>
      </w:r>
      <w:r>
        <w:rPr>
          <w:rFonts w:cs="Arial" w:hint="cs"/>
          <w:rtl/>
        </w:rPr>
        <w:t>,</w:t>
      </w:r>
      <w:r w:rsidRPr="007B5324">
        <w:rPr>
          <w:rFonts w:cs="Arial"/>
          <w:rtl/>
        </w:rPr>
        <w:t xml:space="preserve"> ואם רוצה למהר ישים מים צוננין עמהם לצננם תחלה</w:t>
      </w:r>
      <w:r>
        <w:rPr>
          <w:rFonts w:cs="Arial" w:hint="cs"/>
          <w:rtl/>
        </w:rPr>
        <w:t>.</w:t>
      </w:r>
      <w:r w:rsidRPr="007B5324">
        <w:rPr>
          <w:rFonts w:cs="Arial"/>
          <w:rtl/>
        </w:rPr>
        <w:t xml:space="preserve"> </w:t>
      </w:r>
      <w:r>
        <w:rPr>
          <w:rFonts w:hint="cs"/>
          <w:rtl/>
        </w:rPr>
        <w:t xml:space="preserve">(וכ"פ רש"ל </w:t>
      </w:r>
      <w:r>
        <w:rPr>
          <w:rFonts w:hint="cs"/>
          <w:sz w:val="16"/>
          <w:szCs w:val="16"/>
          <w:rtl/>
        </w:rPr>
        <w:t xml:space="preserve">[פג"ה סי' מד] </w:t>
      </w:r>
      <w:r>
        <w:rPr>
          <w:rFonts w:hint="cs"/>
          <w:rtl/>
        </w:rPr>
        <w:t>וט"ז</w:t>
      </w:r>
      <w:r>
        <w:rPr>
          <w:rFonts w:hint="cs"/>
          <w:sz w:val="16"/>
          <w:szCs w:val="16"/>
          <w:rtl/>
        </w:rPr>
        <w:t xml:space="preserve"> [סק"ד]</w:t>
      </w:r>
      <w:r>
        <w:rPr>
          <w:rFonts w:hint="cs"/>
          <w:rtl/>
        </w:rPr>
        <w:t>)</w:t>
      </w:r>
    </w:p>
    <w:p w14:paraId="7489B186" w14:textId="77777777" w:rsidR="002C39F4" w:rsidRDefault="002C39F4" w:rsidP="0032102C">
      <w:pPr>
        <w:pStyle w:val="a8"/>
        <w:numPr>
          <w:ilvl w:val="0"/>
          <w:numId w:val="238"/>
        </w:numPr>
      </w:pPr>
      <w:r>
        <w:rPr>
          <w:rFonts w:hint="cs"/>
          <w:rtl/>
        </w:rPr>
        <w:t xml:space="preserve">ר"ש </w:t>
      </w:r>
      <w:r>
        <w:rPr>
          <w:rFonts w:hint="cs"/>
          <w:sz w:val="16"/>
          <w:szCs w:val="16"/>
          <w:rtl/>
        </w:rPr>
        <w:t>(להב' הדרכ"מ</w:t>
      </w:r>
      <w:r>
        <w:rPr>
          <w:rFonts w:hint="cs"/>
          <w:sz w:val="10"/>
          <w:szCs w:val="10"/>
          <w:rtl/>
        </w:rPr>
        <w:t xml:space="preserve"> </w:t>
      </w:r>
      <w:r w:rsidRPr="00BF419E">
        <w:rPr>
          <w:rFonts w:hint="cs"/>
          <w:sz w:val="14"/>
          <w:szCs w:val="14"/>
          <w:rtl/>
        </w:rPr>
        <w:t>[אות</w:t>
      </w:r>
      <w:r>
        <w:rPr>
          <w:rFonts w:hint="cs"/>
          <w:sz w:val="14"/>
          <w:szCs w:val="14"/>
          <w:rtl/>
        </w:rPr>
        <w:t xml:space="preserve"> ב-ג]</w:t>
      </w:r>
      <w:r>
        <w:rPr>
          <w:rFonts w:hint="cs"/>
          <w:sz w:val="16"/>
          <w:szCs w:val="16"/>
          <w:rtl/>
        </w:rPr>
        <w:t>)</w:t>
      </w:r>
      <w:r>
        <w:rPr>
          <w:rFonts w:hint="cs"/>
          <w:rtl/>
        </w:rPr>
        <w:t xml:space="preserve"> ומהרא"י</w:t>
      </w:r>
      <w:r>
        <w:rPr>
          <w:rFonts w:hint="cs"/>
          <w:sz w:val="16"/>
          <w:szCs w:val="16"/>
          <w:rtl/>
        </w:rPr>
        <w:t xml:space="preserve"> (בהגשע"ד סי' נא)</w:t>
      </w:r>
      <w:r>
        <w:rPr>
          <w:rFonts w:hint="cs"/>
          <w:rtl/>
        </w:rPr>
        <w:t xml:space="preserve">- </w:t>
      </w:r>
      <w:r w:rsidRPr="00BF419E">
        <w:rPr>
          <w:rFonts w:cs="Arial"/>
          <w:rtl/>
        </w:rPr>
        <w:t>משום חששא אין לאסור מספק</w:t>
      </w:r>
      <w:r>
        <w:rPr>
          <w:rFonts w:cs="Arial" w:hint="cs"/>
          <w:sz w:val="16"/>
          <w:szCs w:val="16"/>
          <w:rtl/>
        </w:rPr>
        <w:t xml:space="preserve"> (ל' מהרא"י)</w:t>
      </w:r>
      <w:r>
        <w:rPr>
          <w:rStyle w:val="a7"/>
          <w:rFonts w:cs="Arial"/>
          <w:rtl/>
        </w:rPr>
        <w:footnoteReference w:id="2298"/>
      </w:r>
      <w:r>
        <w:rPr>
          <w:rFonts w:cs="Arial" w:hint="cs"/>
          <w:rtl/>
        </w:rPr>
        <w:t>.</w:t>
      </w:r>
      <w:r w:rsidRPr="00BF419E">
        <w:rPr>
          <w:rFonts w:cs="Arial"/>
          <w:rtl/>
        </w:rPr>
        <w:t xml:space="preserve"> </w:t>
      </w:r>
      <w:r w:rsidRPr="00191F81">
        <w:rPr>
          <w:rFonts w:hint="cs"/>
          <w:color w:val="00B0F0"/>
          <w:rtl/>
        </w:rPr>
        <w:t>(וכ"פ הרמ"א)</w:t>
      </w:r>
    </w:p>
    <w:p w14:paraId="616C4602" w14:textId="77777777" w:rsidR="002C39F4" w:rsidRPr="00C36D69" w:rsidRDefault="002C39F4" w:rsidP="002C39F4">
      <w:pPr>
        <w:ind w:left="360"/>
        <w:rPr>
          <w:u w:val="dotted"/>
        </w:rPr>
      </w:pPr>
      <w:r>
        <w:rPr>
          <w:rFonts w:hint="cs"/>
          <w:u w:val="dotted"/>
          <w:rtl/>
        </w:rPr>
        <w:t xml:space="preserve">לאוסרים </w:t>
      </w:r>
      <w:r>
        <w:rPr>
          <w:rFonts w:hint="cs"/>
          <w:sz w:val="16"/>
          <w:szCs w:val="16"/>
          <w:u w:val="dotted"/>
          <w:rtl/>
        </w:rPr>
        <w:t xml:space="preserve">(סה"ת וסיעתו) </w:t>
      </w:r>
      <w:r>
        <w:rPr>
          <w:rFonts w:hint="cs"/>
          <w:u w:val="dotted"/>
          <w:rtl/>
        </w:rPr>
        <w:t xml:space="preserve">- </w:t>
      </w:r>
      <w:r w:rsidRPr="00C36D69">
        <w:rPr>
          <w:rFonts w:hint="cs"/>
          <w:u w:val="dotted"/>
          <w:rtl/>
        </w:rPr>
        <w:t>האם המחבת שנתבשלו בה הביצים צריכה הגעלה:</w:t>
      </w:r>
    </w:p>
    <w:p w14:paraId="11C69CF6" w14:textId="77777777" w:rsidR="002C39F4" w:rsidRDefault="002C39F4" w:rsidP="0032102C">
      <w:pPr>
        <w:pStyle w:val="a8"/>
        <w:numPr>
          <w:ilvl w:val="0"/>
          <w:numId w:val="238"/>
        </w:numPr>
      </w:pPr>
      <w:r>
        <w:rPr>
          <w:rFonts w:cs="Arial" w:hint="cs"/>
          <w:rtl/>
        </w:rPr>
        <w:t>סמ"ג</w:t>
      </w:r>
      <w:r>
        <w:rPr>
          <w:rFonts w:cs="Arial" w:hint="cs"/>
          <w:sz w:val="16"/>
          <w:szCs w:val="16"/>
          <w:rtl/>
        </w:rPr>
        <w:t xml:space="preserve"> (שם)</w:t>
      </w:r>
      <w:r>
        <w:rPr>
          <w:rFonts w:cs="Arial" w:hint="cs"/>
          <w:rtl/>
        </w:rPr>
        <w:t xml:space="preserve">- </w:t>
      </w:r>
      <w:r w:rsidRPr="00BC68ED">
        <w:rPr>
          <w:rFonts w:cs="Arial"/>
          <w:rtl/>
        </w:rPr>
        <w:t>כתב מורי רבינו יהודה כי א</w:t>
      </w:r>
      <w:r>
        <w:rPr>
          <w:rFonts w:cs="Arial" w:hint="cs"/>
          <w:rtl/>
        </w:rPr>
        <w:t>ע</w:t>
      </w:r>
      <w:r w:rsidRPr="00BC68ED">
        <w:rPr>
          <w:rFonts w:cs="Arial"/>
          <w:rtl/>
        </w:rPr>
        <w:t>פ</w:t>
      </w:r>
      <w:r>
        <w:rPr>
          <w:rFonts w:cs="Arial" w:hint="cs"/>
          <w:rtl/>
        </w:rPr>
        <w:t>"</w:t>
      </w:r>
      <w:r w:rsidRPr="00BC68ED">
        <w:rPr>
          <w:rFonts w:cs="Arial"/>
          <w:rtl/>
        </w:rPr>
        <w:t xml:space="preserve">כ </w:t>
      </w:r>
      <w:r>
        <w:rPr>
          <w:rFonts w:cs="Arial" w:hint="cs"/>
          <w:sz w:val="16"/>
          <w:szCs w:val="16"/>
          <w:rtl/>
        </w:rPr>
        <w:t>{היינו אע"פ שאסר סה"ת את הביצים}</w:t>
      </w:r>
      <w:r>
        <w:rPr>
          <w:rFonts w:cs="Arial" w:hint="cs"/>
          <w:rtl/>
        </w:rPr>
        <w:t xml:space="preserve"> </w:t>
      </w:r>
      <w:r w:rsidRPr="00BC68ED">
        <w:rPr>
          <w:rFonts w:cs="Arial"/>
          <w:rtl/>
        </w:rPr>
        <w:t>לא היה מצריך רבינו יצחק</w:t>
      </w:r>
      <w:r>
        <w:rPr>
          <w:rFonts w:cs="Arial" w:hint="cs"/>
          <w:rtl/>
        </w:rPr>
        <w:t xml:space="preserve"> </w:t>
      </w:r>
      <w:r w:rsidRPr="00BC68ED">
        <w:rPr>
          <w:rFonts w:cs="Arial"/>
          <w:rtl/>
        </w:rPr>
        <w:t>להגעיל המחבת כי אמר בשביל ספק כזה אין לחוש שנשארו לבסוף אלא העמד המחבת בחזקת כשרות</w:t>
      </w:r>
      <w:r>
        <w:rPr>
          <w:rStyle w:val="a7"/>
          <w:rFonts w:cs="Arial"/>
          <w:rtl/>
        </w:rPr>
        <w:footnoteReference w:id="2299"/>
      </w:r>
      <w:r w:rsidRPr="00BC68ED">
        <w:rPr>
          <w:rFonts w:cs="Arial"/>
          <w:rtl/>
        </w:rPr>
        <w:t xml:space="preserve"> שהיתה מתחילה</w:t>
      </w:r>
      <w:r>
        <w:rPr>
          <w:rFonts w:cs="Arial" w:hint="cs"/>
          <w:rtl/>
        </w:rPr>
        <w:t xml:space="preserve"> </w:t>
      </w:r>
      <w:r>
        <w:rPr>
          <w:rFonts w:hint="cs"/>
          <w:sz w:val="16"/>
          <w:szCs w:val="16"/>
          <w:rtl/>
        </w:rPr>
        <w:t>(ל' סמ"ג)</w:t>
      </w:r>
      <w:r>
        <w:rPr>
          <w:rFonts w:hint="cs"/>
          <w:rtl/>
        </w:rPr>
        <w:t>.</w:t>
      </w:r>
      <w:r w:rsidRPr="00191F81">
        <w:rPr>
          <w:rFonts w:hint="cs"/>
          <w:color w:val="00B0F0"/>
          <w:rtl/>
        </w:rPr>
        <w:t xml:space="preserve"> (וכ"פ הרמ"א)</w:t>
      </w:r>
    </w:p>
    <w:p w14:paraId="0B8041DE" w14:textId="77777777" w:rsidR="002C39F4" w:rsidRPr="00445CF7" w:rsidRDefault="002C39F4" w:rsidP="002C39F4">
      <w:pPr>
        <w:rPr>
          <w:u w:val="single"/>
        </w:rPr>
      </w:pPr>
      <w:r w:rsidRPr="00445CF7">
        <w:rPr>
          <w:rFonts w:hint="cs"/>
          <w:u w:val="single"/>
          <w:rtl/>
        </w:rPr>
        <w:t>ק</w:t>
      </w:r>
      <w:r>
        <w:rPr>
          <w:rFonts w:hint="cs"/>
          <w:u w:val="single"/>
          <w:rtl/>
        </w:rPr>
        <w:t>י</w:t>
      </w:r>
      <w:r w:rsidRPr="00445CF7">
        <w:rPr>
          <w:rFonts w:hint="cs"/>
          <w:u w:val="single"/>
          <w:rtl/>
        </w:rPr>
        <w:t>לוף</w:t>
      </w:r>
      <w:r>
        <w:rPr>
          <w:rFonts w:hint="cs"/>
          <w:u w:val="single"/>
          <w:rtl/>
        </w:rPr>
        <w:t xml:space="preserve"> </w:t>
      </w:r>
      <w:r w:rsidRPr="00445CF7">
        <w:rPr>
          <w:rFonts w:hint="cs"/>
          <w:u w:val="single"/>
          <w:rtl/>
        </w:rPr>
        <w:t>ביצים לפני אכילה:</w:t>
      </w:r>
    </w:p>
    <w:p w14:paraId="526B937A" w14:textId="77777777" w:rsidR="002C39F4" w:rsidRPr="00C36D69" w:rsidRDefault="002C39F4" w:rsidP="0032102C">
      <w:pPr>
        <w:pStyle w:val="a8"/>
        <w:numPr>
          <w:ilvl w:val="0"/>
          <w:numId w:val="238"/>
        </w:numPr>
      </w:pPr>
      <w:r w:rsidRPr="00220D90">
        <w:rPr>
          <w:rFonts w:cs="Arial"/>
          <w:rtl/>
        </w:rPr>
        <w:t xml:space="preserve">כלבו </w:t>
      </w:r>
      <w:r w:rsidRPr="00813CDA">
        <w:rPr>
          <w:rFonts w:cs="Arial"/>
          <w:sz w:val="16"/>
          <w:szCs w:val="16"/>
          <w:rtl/>
        </w:rPr>
        <w:t xml:space="preserve">(סי' ק דף סו ע"ד) </w:t>
      </w:r>
      <w:r w:rsidRPr="00220D90">
        <w:rPr>
          <w:rFonts w:cs="Arial"/>
          <w:rtl/>
        </w:rPr>
        <w:t>בשם ר</w:t>
      </w:r>
      <w:r>
        <w:rPr>
          <w:rFonts w:cs="Arial" w:hint="cs"/>
          <w:rtl/>
        </w:rPr>
        <w:t xml:space="preserve">"פ- </w:t>
      </w:r>
      <w:r w:rsidRPr="00220D90">
        <w:rPr>
          <w:rFonts w:cs="Arial"/>
          <w:rtl/>
        </w:rPr>
        <w:t>טוב ליזהר שלא לאכול מן הביצים עד שיקלוף את כולן לדעת אם היה דם</w:t>
      </w:r>
      <w:r>
        <w:rPr>
          <w:rStyle w:val="a7"/>
          <w:rFonts w:cs="Arial"/>
          <w:rtl/>
        </w:rPr>
        <w:footnoteReference w:id="2300"/>
      </w:r>
      <w:r>
        <w:rPr>
          <w:rFonts w:cs="Arial" w:hint="cs"/>
          <w:rtl/>
        </w:rPr>
        <w:t>.</w:t>
      </w:r>
    </w:p>
    <w:p w14:paraId="0405812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2382967" w14:textId="77777777" w:rsidR="002C39F4" w:rsidRPr="00FA1B76" w:rsidRDefault="002C39F4" w:rsidP="002C39F4">
      <w:pPr>
        <w:rPr>
          <w:rFonts w:asciiTheme="minorBidi" w:hAnsiTheme="minorBidi"/>
          <w:rtl/>
        </w:rPr>
      </w:pPr>
      <w:r w:rsidRPr="003024E5">
        <w:rPr>
          <w:rFonts w:asciiTheme="minorBidi" w:hAnsiTheme="minorBidi"/>
          <w:rtl/>
        </w:rPr>
        <w:t>המבשל ביצים הרבה בקליפתן לא יוציאם</w:t>
      </w:r>
      <w:r>
        <w:rPr>
          <w:rStyle w:val="a7"/>
          <w:rFonts w:asciiTheme="minorBidi" w:hAnsiTheme="minorBidi"/>
          <w:rtl/>
        </w:rPr>
        <w:footnoteReference w:id="2301"/>
      </w:r>
      <w:r w:rsidRPr="003024E5">
        <w:rPr>
          <w:rFonts w:asciiTheme="minorBidi" w:hAnsiTheme="minorBidi"/>
          <w:rtl/>
        </w:rPr>
        <w:t xml:space="preserve"> מהמים שנתבשלו בהם עד שיצטננו או יתן עליהם מים צוננים לצננם ואחר כך יוציאם משום דחיישינן שמא ימצא באחת מהן אפרוח ואם היה מוציא מהם קודם שיצטננו שמא היתה נשאר אותה שיש בה אפרוח עם האחרונות והיתה אוסרתן לפי שלא היה נשאר שם ששים לבטלה. </w:t>
      </w:r>
      <w:r w:rsidRPr="006F67AA">
        <w:rPr>
          <w:rFonts w:asciiTheme="minorBidi" w:hAnsiTheme="minorBidi"/>
          <w:sz w:val="18"/>
          <w:szCs w:val="18"/>
          <w:rtl/>
        </w:rPr>
        <w:t>הגה: ואם לא עשה כן אלא עירה אותן לקערה ונמצא אחת מהן טרפה יש אוסרין הכל דחיישינן שמא הטרפה נשאר לבסוף ולא היה ששים בקדרה לבטל ונאסר מה שבקדרה וחוזר ואוסר כל מה שבקערה</w:t>
      </w:r>
      <w:r>
        <w:rPr>
          <w:rStyle w:val="a7"/>
          <w:rFonts w:asciiTheme="minorBidi" w:hAnsiTheme="minorBidi"/>
          <w:sz w:val="18"/>
          <w:szCs w:val="18"/>
          <w:rtl/>
        </w:rPr>
        <w:footnoteReference w:id="2302"/>
      </w:r>
      <w:r w:rsidRPr="006F67AA">
        <w:rPr>
          <w:rFonts w:asciiTheme="minorBidi" w:hAnsiTheme="minorBidi"/>
          <w:sz w:val="18"/>
          <w:szCs w:val="18"/>
          <w:rtl/>
        </w:rPr>
        <w:t xml:space="preserve"> (ב"י בשם סמ"ג ובארוך)</w:t>
      </w:r>
      <w:r>
        <w:rPr>
          <w:rFonts w:asciiTheme="minorBidi" w:hAnsiTheme="minorBidi" w:hint="cs"/>
          <w:sz w:val="18"/>
          <w:szCs w:val="18"/>
          <w:rtl/>
        </w:rPr>
        <w:t>,</w:t>
      </w:r>
      <w:r w:rsidRPr="006F67AA">
        <w:rPr>
          <w:rFonts w:asciiTheme="minorBidi" w:hAnsiTheme="minorBidi"/>
          <w:sz w:val="18"/>
          <w:szCs w:val="18"/>
          <w:rtl/>
        </w:rPr>
        <w:t xml:space="preserve"> וכן בדגים קטנים שנמצא דג טמא בקערה ולא עירה כולם בפעם אחת אל תוך הקערה</w:t>
      </w:r>
      <w:r>
        <w:rPr>
          <w:rStyle w:val="a7"/>
          <w:rFonts w:asciiTheme="minorBidi" w:hAnsiTheme="minorBidi"/>
          <w:sz w:val="18"/>
          <w:szCs w:val="18"/>
          <w:rtl/>
        </w:rPr>
        <w:footnoteReference w:id="2303"/>
      </w:r>
      <w:r w:rsidRPr="006F67AA">
        <w:rPr>
          <w:rFonts w:asciiTheme="minorBidi" w:hAnsiTheme="minorBidi"/>
          <w:sz w:val="18"/>
          <w:szCs w:val="18"/>
          <w:rtl/>
        </w:rPr>
        <w:t xml:space="preserve"> דאז יש לחוש שמא נשאר האיסור לבסוף</w:t>
      </w:r>
      <w:r>
        <w:rPr>
          <w:rFonts w:asciiTheme="minorBidi" w:hAnsiTheme="minorBidi" w:hint="cs"/>
          <w:sz w:val="18"/>
          <w:szCs w:val="18"/>
          <w:rtl/>
        </w:rPr>
        <w:t xml:space="preserve"> </w:t>
      </w:r>
      <w:r w:rsidRPr="006F67AA">
        <w:rPr>
          <w:rFonts w:asciiTheme="minorBidi" w:hAnsiTheme="minorBidi"/>
          <w:sz w:val="18"/>
          <w:szCs w:val="18"/>
          <w:rtl/>
        </w:rPr>
        <w:t>(טור בשם י"א)</w:t>
      </w:r>
      <w:r>
        <w:rPr>
          <w:rFonts w:asciiTheme="minorBidi" w:hAnsiTheme="minorBidi" w:hint="cs"/>
          <w:sz w:val="18"/>
          <w:szCs w:val="18"/>
          <w:rtl/>
        </w:rPr>
        <w:t>,</w:t>
      </w:r>
      <w:r w:rsidRPr="006F67AA">
        <w:rPr>
          <w:rFonts w:asciiTheme="minorBidi" w:hAnsiTheme="minorBidi"/>
          <w:sz w:val="18"/>
          <w:szCs w:val="18"/>
          <w:rtl/>
        </w:rPr>
        <w:t xml:space="preserve"> ויש מתירין בכל ענין דלא מחזקינן איסור לומר דנשאר האיסור בלא ס'</w:t>
      </w:r>
      <w:r>
        <w:rPr>
          <w:rStyle w:val="a7"/>
          <w:rFonts w:asciiTheme="minorBidi" w:hAnsiTheme="minorBidi"/>
          <w:sz w:val="18"/>
          <w:szCs w:val="18"/>
          <w:rtl/>
        </w:rPr>
        <w:footnoteReference w:id="2304"/>
      </w:r>
      <w:r w:rsidRPr="006F67AA">
        <w:rPr>
          <w:rFonts w:asciiTheme="minorBidi" w:hAnsiTheme="minorBidi"/>
          <w:sz w:val="18"/>
          <w:szCs w:val="18"/>
          <w:rtl/>
        </w:rPr>
        <w:t xml:space="preserve"> (ב</w:t>
      </w:r>
      <w:r>
        <w:rPr>
          <w:rFonts w:asciiTheme="minorBidi" w:hAnsiTheme="minorBidi" w:hint="cs"/>
          <w:sz w:val="18"/>
          <w:szCs w:val="18"/>
          <w:rtl/>
        </w:rPr>
        <w:t>"</w:t>
      </w:r>
      <w:r w:rsidRPr="006F67AA">
        <w:rPr>
          <w:rFonts w:asciiTheme="minorBidi" w:hAnsiTheme="minorBidi"/>
          <w:sz w:val="18"/>
          <w:szCs w:val="18"/>
          <w:rtl/>
        </w:rPr>
        <w:t>י בשם ר"ש)</w:t>
      </w:r>
      <w:r>
        <w:rPr>
          <w:rFonts w:asciiTheme="minorBidi" w:hAnsiTheme="minorBidi" w:hint="cs"/>
          <w:sz w:val="18"/>
          <w:szCs w:val="18"/>
          <w:rtl/>
        </w:rPr>
        <w:t>,</w:t>
      </w:r>
      <w:r w:rsidRPr="006F67AA">
        <w:rPr>
          <w:rFonts w:asciiTheme="minorBidi" w:hAnsiTheme="minorBidi"/>
          <w:sz w:val="18"/>
          <w:szCs w:val="18"/>
          <w:rtl/>
        </w:rPr>
        <w:t xml:space="preserve"> וכן עיקר. ואפילו לדעת האוסרים אין לאסור הכלים שנתבשלו בו דמעמידין הכלי על חזקתו (ב"י בשם סמ"ג והגה</w:t>
      </w:r>
      <w:r w:rsidRPr="006F67AA">
        <w:rPr>
          <w:rFonts w:asciiTheme="minorBidi" w:hAnsiTheme="minorBidi" w:hint="cs"/>
          <w:sz w:val="18"/>
          <w:szCs w:val="18"/>
          <w:rtl/>
        </w:rPr>
        <w:t>"</w:t>
      </w:r>
      <w:r w:rsidRPr="006F67AA">
        <w:rPr>
          <w:rFonts w:asciiTheme="minorBidi" w:hAnsiTheme="minorBidi"/>
          <w:sz w:val="18"/>
          <w:szCs w:val="18"/>
          <w:rtl/>
        </w:rPr>
        <w:t>מ).</w:t>
      </w:r>
      <w:r w:rsidRPr="003024E5">
        <w:rPr>
          <w:rFonts w:asciiTheme="minorBidi" w:hAnsiTheme="minorBidi"/>
          <w:rtl/>
        </w:rPr>
        <w:t xml:space="preserve"> </w:t>
      </w:r>
      <w:r w:rsidRPr="00445CF7">
        <w:rPr>
          <w:rFonts w:asciiTheme="minorBidi" w:hAnsiTheme="minorBidi" w:cs="Arial"/>
          <w:rtl/>
        </w:rPr>
        <w:t xml:space="preserve"> </w:t>
      </w:r>
    </w:p>
    <w:p w14:paraId="1F9940C4" w14:textId="77777777" w:rsidR="002C39F4" w:rsidRDefault="002C39F4" w:rsidP="002C39F4">
      <w:pPr>
        <w:rPr>
          <w:rFonts w:asciiTheme="minorBidi" w:hAnsiTheme="minorBidi" w:cs="Arial"/>
          <w:color w:val="FF0000"/>
          <w:rtl/>
        </w:rPr>
      </w:pPr>
      <w:r w:rsidRPr="00295F44">
        <w:rPr>
          <w:rFonts w:asciiTheme="minorBidi" w:hAnsiTheme="minorBidi" w:cs="Arial" w:hint="cs"/>
          <w:color w:val="FF0000"/>
          <w:rtl/>
        </w:rPr>
        <w:t>צריך לחזור על הש"ך (סק"א-ב) שוב</w:t>
      </w:r>
    </w:p>
    <w:p w14:paraId="55566BB4" w14:textId="77777777" w:rsidR="002C39F4" w:rsidRPr="00295F44" w:rsidRDefault="002C39F4" w:rsidP="002C39F4">
      <w:pPr>
        <w:rPr>
          <w:rFonts w:asciiTheme="minorBidi" w:hAnsiTheme="minorBidi" w:cs="Arial"/>
          <w:color w:val="FF0000"/>
          <w:rtl/>
        </w:rPr>
      </w:pPr>
    </w:p>
    <w:p w14:paraId="6F6EC3AF"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xml:space="preserve">: זבוב </w:t>
      </w:r>
      <w:r>
        <w:rPr>
          <w:rFonts w:asciiTheme="minorBidi" w:hAnsiTheme="minorBidi" w:hint="cs"/>
          <w:sz w:val="18"/>
          <w:szCs w:val="18"/>
          <w:rtl/>
        </w:rPr>
        <w:t>(וכיוצא בו)</w:t>
      </w:r>
      <w:r>
        <w:rPr>
          <w:rFonts w:asciiTheme="minorBidi" w:hAnsiTheme="minorBidi" w:hint="cs"/>
          <w:rtl/>
        </w:rPr>
        <w:t xml:space="preserve"> שנמצא בתבשיל והעלוהו עם הכף.</w:t>
      </w:r>
    </w:p>
    <w:p w14:paraId="075614FA" w14:textId="77777777" w:rsidR="002C39F4" w:rsidRPr="00295F44" w:rsidRDefault="002C39F4" w:rsidP="002C39F4">
      <w:pPr>
        <w:rPr>
          <w:rFonts w:cs="Arial"/>
          <w:u w:val="single"/>
          <w:rtl/>
        </w:rPr>
      </w:pPr>
      <w:r w:rsidRPr="00295F44">
        <w:rPr>
          <w:rFonts w:cs="Arial" w:hint="cs"/>
          <w:u w:val="single"/>
          <w:rtl/>
        </w:rPr>
        <w:t>זבוב שנמצא בתבשיל</w:t>
      </w:r>
      <w:r>
        <w:rPr>
          <w:rFonts w:cs="Arial" w:hint="cs"/>
          <w:u w:val="single"/>
          <w:rtl/>
        </w:rPr>
        <w:t xml:space="preserve"> בכלי ראשון והעלוהו עם הכף</w:t>
      </w:r>
      <w:r w:rsidRPr="00295F44">
        <w:rPr>
          <w:rFonts w:cs="Arial" w:hint="cs"/>
          <w:u w:val="single"/>
          <w:rtl/>
        </w:rPr>
        <w:t>:</w:t>
      </w:r>
    </w:p>
    <w:p w14:paraId="0C6F6CCD" w14:textId="77777777" w:rsidR="002C39F4" w:rsidRPr="00875E43" w:rsidRDefault="002C39F4" w:rsidP="0032102C">
      <w:pPr>
        <w:pStyle w:val="a8"/>
        <w:numPr>
          <w:ilvl w:val="0"/>
          <w:numId w:val="238"/>
        </w:numPr>
      </w:pPr>
      <w:r w:rsidRPr="00295F44">
        <w:rPr>
          <w:rFonts w:cs="Arial" w:hint="cs"/>
          <w:rtl/>
        </w:rPr>
        <w:t>שע"ד</w:t>
      </w:r>
      <w:r w:rsidRPr="00295F44">
        <w:rPr>
          <w:rFonts w:cs="Arial"/>
          <w:rtl/>
        </w:rPr>
        <w:t xml:space="preserve"> </w:t>
      </w:r>
      <w:r w:rsidRPr="00295F44">
        <w:rPr>
          <w:rFonts w:cs="Arial"/>
          <w:sz w:val="16"/>
          <w:szCs w:val="16"/>
          <w:rtl/>
        </w:rPr>
        <w:t xml:space="preserve">(בליקוטים עה. ד"ה והזבוב) </w:t>
      </w:r>
      <w:r w:rsidRPr="00295F44">
        <w:rPr>
          <w:rFonts w:cs="Arial"/>
          <w:rtl/>
        </w:rPr>
        <w:t>א</w:t>
      </w:r>
      <w:r w:rsidRPr="00295F44">
        <w:rPr>
          <w:rFonts w:cs="Arial" w:hint="cs"/>
          <w:rtl/>
        </w:rPr>
        <w:t>"</w:t>
      </w:r>
      <w:r w:rsidRPr="00295F44">
        <w:rPr>
          <w:rFonts w:cs="Arial"/>
          <w:rtl/>
        </w:rPr>
        <w:t xml:space="preserve">ח </w:t>
      </w:r>
      <w:r w:rsidRPr="00295F44">
        <w:rPr>
          <w:rFonts w:cs="Arial"/>
          <w:sz w:val="16"/>
          <w:szCs w:val="16"/>
          <w:rtl/>
        </w:rPr>
        <w:t>(</w:t>
      </w:r>
      <w:r>
        <w:rPr>
          <w:rFonts w:cs="Arial"/>
          <w:sz w:val="16"/>
          <w:szCs w:val="16"/>
          <w:rtl/>
        </w:rPr>
        <w:t>הלא"מ</w:t>
      </w:r>
      <w:r w:rsidRPr="00295F44">
        <w:rPr>
          <w:rFonts w:cs="Arial"/>
          <w:sz w:val="16"/>
          <w:szCs w:val="16"/>
          <w:rtl/>
        </w:rPr>
        <w:t xml:space="preserve"> סי' מא</w:t>
      </w:r>
      <w:r>
        <w:rPr>
          <w:rFonts w:cs="Arial" w:hint="cs"/>
          <w:sz w:val="16"/>
          <w:szCs w:val="16"/>
          <w:rtl/>
        </w:rPr>
        <w:t>, בשם ר"פ</w:t>
      </w:r>
      <w:r w:rsidRPr="00295F44">
        <w:rPr>
          <w:rFonts w:cs="Arial"/>
          <w:sz w:val="16"/>
          <w:szCs w:val="16"/>
          <w:rtl/>
        </w:rPr>
        <w:t xml:space="preserve">) </w:t>
      </w:r>
      <w:r w:rsidRPr="00295F44">
        <w:rPr>
          <w:rFonts w:cs="Arial" w:hint="cs"/>
          <w:rtl/>
        </w:rPr>
        <w:t>ו</w:t>
      </w:r>
      <w:r w:rsidRPr="00295F44">
        <w:rPr>
          <w:rFonts w:cs="Arial"/>
          <w:rtl/>
        </w:rPr>
        <w:t>רי</w:t>
      </w:r>
      <w:r w:rsidRPr="00295F44">
        <w:rPr>
          <w:rFonts w:cs="Arial" w:hint="cs"/>
          <w:rtl/>
        </w:rPr>
        <w:t>"</w:t>
      </w:r>
      <w:r w:rsidRPr="00295F44">
        <w:rPr>
          <w:rFonts w:cs="Arial"/>
          <w:rtl/>
        </w:rPr>
        <w:t xml:space="preserve">ו </w:t>
      </w:r>
      <w:r w:rsidRPr="00295F44">
        <w:rPr>
          <w:rFonts w:cs="Arial"/>
          <w:sz w:val="16"/>
          <w:szCs w:val="16"/>
          <w:rtl/>
        </w:rPr>
        <w:t xml:space="preserve">(נט"ו אות כט קמ ג) </w:t>
      </w:r>
      <w:r w:rsidRPr="00295F44">
        <w:rPr>
          <w:rFonts w:cs="Arial"/>
          <w:rtl/>
        </w:rPr>
        <w:t>בשם הר"מ</w:t>
      </w:r>
      <w:r w:rsidRPr="00295F44">
        <w:rPr>
          <w:rFonts w:cs="Arial" w:hint="cs"/>
          <w:rtl/>
        </w:rPr>
        <w:t xml:space="preserve">- </w:t>
      </w:r>
      <w:r w:rsidRPr="00295F44">
        <w:rPr>
          <w:rFonts w:cs="Arial"/>
          <w:rtl/>
        </w:rPr>
        <w:t>זבוב או נמלה</w:t>
      </w:r>
      <w:r>
        <w:rPr>
          <w:rStyle w:val="a7"/>
          <w:rFonts w:cs="Arial"/>
          <w:rtl/>
        </w:rPr>
        <w:footnoteReference w:id="2305"/>
      </w:r>
      <w:r w:rsidRPr="00295F44">
        <w:rPr>
          <w:rFonts w:cs="Arial"/>
          <w:rtl/>
        </w:rPr>
        <w:t xml:space="preserve"> שנמצא בקדירה והוציאוהו בכף צריך ליזהר שלא לחזור ולתחוב הכף בקדירה לפי שכבר נאסר הכף כשהוציאו בו הזבוב מהקדירה דשמא לא היה בו </w:t>
      </w:r>
      <w:r>
        <w:rPr>
          <w:rFonts w:cs="Arial" w:hint="cs"/>
          <w:rtl/>
        </w:rPr>
        <w:t>ס'</w:t>
      </w:r>
      <w:r w:rsidRPr="00295F44">
        <w:rPr>
          <w:rFonts w:cs="Arial"/>
          <w:rtl/>
        </w:rPr>
        <w:t xml:space="preserve"> כנגדו ואם יחזור ויתחבנו לקדירה אוסרה אם אין </w:t>
      </w:r>
      <w:r>
        <w:rPr>
          <w:rFonts w:cs="Arial" w:hint="cs"/>
          <w:rtl/>
        </w:rPr>
        <w:t>ס'</w:t>
      </w:r>
      <w:r w:rsidRPr="00295F44">
        <w:rPr>
          <w:rFonts w:cs="Arial"/>
          <w:rtl/>
        </w:rPr>
        <w:t xml:space="preserve"> כנגדו</w:t>
      </w:r>
      <w:r w:rsidRPr="00295F44">
        <w:rPr>
          <w:rFonts w:cs="Arial" w:hint="cs"/>
          <w:sz w:val="16"/>
          <w:szCs w:val="16"/>
          <w:rtl/>
        </w:rPr>
        <w:t xml:space="preserve"> (ל' הטור)</w:t>
      </w:r>
      <w:r w:rsidRPr="001463D2">
        <w:rPr>
          <w:rFonts w:cs="Arial"/>
          <w:rtl/>
        </w:rPr>
        <w:t>.</w:t>
      </w:r>
      <w:r w:rsidRPr="00875E43">
        <w:rPr>
          <w:rFonts w:cs="Arial"/>
          <w:rtl/>
        </w:rPr>
        <w:t xml:space="preserve"> </w:t>
      </w:r>
    </w:p>
    <w:p w14:paraId="29ADADDF" w14:textId="77777777" w:rsidR="002C39F4" w:rsidRDefault="002C39F4" w:rsidP="0032102C">
      <w:pPr>
        <w:pStyle w:val="a8"/>
        <w:numPr>
          <w:ilvl w:val="0"/>
          <w:numId w:val="238"/>
        </w:numPr>
      </w:pPr>
      <w:r w:rsidRPr="00220D90">
        <w:rPr>
          <w:rFonts w:cs="Arial"/>
          <w:rtl/>
        </w:rPr>
        <w:t xml:space="preserve">מרדכי </w:t>
      </w:r>
      <w:r w:rsidRPr="00E04B54">
        <w:rPr>
          <w:rFonts w:cs="Arial" w:hint="cs"/>
          <w:sz w:val="16"/>
          <w:szCs w:val="16"/>
          <w:rtl/>
        </w:rPr>
        <w:t>(</w:t>
      </w:r>
      <w:r w:rsidRPr="00E04B54">
        <w:rPr>
          <w:rFonts w:cs="Arial"/>
          <w:sz w:val="16"/>
          <w:szCs w:val="16"/>
          <w:rtl/>
        </w:rPr>
        <w:t>ע"ז</w:t>
      </w:r>
      <w:r w:rsidRPr="00E04B54">
        <w:rPr>
          <w:rFonts w:cs="Arial" w:hint="cs"/>
          <w:sz w:val="16"/>
          <w:szCs w:val="16"/>
          <w:rtl/>
        </w:rPr>
        <w:t xml:space="preserve"> </w:t>
      </w:r>
      <w:r w:rsidRPr="00E04B54">
        <w:rPr>
          <w:rFonts w:cs="Arial"/>
          <w:sz w:val="16"/>
          <w:szCs w:val="16"/>
          <w:rtl/>
        </w:rPr>
        <w:t>סי' תתנה)</w:t>
      </w:r>
      <w:r w:rsidRPr="00E04B54">
        <w:rPr>
          <w:rFonts w:cs="Arial" w:hint="cs"/>
          <w:sz w:val="16"/>
          <w:szCs w:val="16"/>
          <w:rtl/>
        </w:rPr>
        <w:t xml:space="preserve"> </w:t>
      </w:r>
      <w:r w:rsidRPr="00220D90">
        <w:rPr>
          <w:rFonts w:cs="Arial"/>
          <w:rtl/>
        </w:rPr>
        <w:t xml:space="preserve">רוקח </w:t>
      </w:r>
      <w:r w:rsidRPr="00E04B54">
        <w:rPr>
          <w:rFonts w:cs="Arial"/>
          <w:sz w:val="16"/>
          <w:szCs w:val="16"/>
          <w:rtl/>
        </w:rPr>
        <w:t xml:space="preserve">(סי' תסא) </w:t>
      </w:r>
      <w:r>
        <w:rPr>
          <w:rFonts w:cs="Arial" w:hint="cs"/>
          <w:rtl/>
        </w:rPr>
        <w:t>ו</w:t>
      </w:r>
      <w:r w:rsidRPr="00220D90">
        <w:rPr>
          <w:rFonts w:cs="Arial"/>
          <w:rtl/>
        </w:rPr>
        <w:t>ה</w:t>
      </w:r>
      <w:r>
        <w:rPr>
          <w:rFonts w:cs="Arial" w:hint="cs"/>
          <w:rtl/>
        </w:rPr>
        <w:t xml:space="preserve">גה"מ </w:t>
      </w:r>
      <w:r w:rsidRPr="00E04B54">
        <w:rPr>
          <w:rFonts w:cs="Arial" w:hint="cs"/>
          <w:sz w:val="16"/>
          <w:szCs w:val="16"/>
          <w:rtl/>
        </w:rPr>
        <w:t>(</w:t>
      </w:r>
      <w:r w:rsidRPr="00E04B54">
        <w:rPr>
          <w:rFonts w:cs="Arial"/>
          <w:sz w:val="16"/>
          <w:szCs w:val="16"/>
          <w:rtl/>
        </w:rPr>
        <w:t>פט"ו ד</w:t>
      </w:r>
      <w:r w:rsidRPr="00E04B54">
        <w:rPr>
          <w:rFonts w:cs="Arial" w:hint="cs"/>
          <w:sz w:val="16"/>
          <w:szCs w:val="16"/>
          <w:rtl/>
        </w:rPr>
        <w:t>"ק</w:t>
      </w:r>
      <w:r w:rsidRPr="00E04B54">
        <w:rPr>
          <w:rFonts w:cs="Arial"/>
          <w:sz w:val="16"/>
          <w:szCs w:val="16"/>
          <w:rtl/>
        </w:rPr>
        <w:t xml:space="preserve"> הל"א)</w:t>
      </w:r>
      <w:r>
        <w:rPr>
          <w:rFonts w:cs="Arial" w:hint="cs"/>
          <w:rtl/>
        </w:rPr>
        <w:t>- מותר אפי' אין ששים כנגד הזבוב כיון שהוא מאוס.</w:t>
      </w:r>
      <w:r w:rsidRPr="00E04B54">
        <w:rPr>
          <w:rFonts w:hint="cs"/>
          <w:color w:val="E36C0A" w:themeColor="accent6" w:themeShade="BF"/>
          <w:rtl/>
        </w:rPr>
        <w:t xml:space="preserve"> (וכ"פ בשו"ע)</w:t>
      </w:r>
      <w:r>
        <w:rPr>
          <w:rFonts w:hint="cs"/>
          <w:color w:val="00B0F0"/>
          <w:rtl/>
        </w:rPr>
        <w:t xml:space="preserve"> </w:t>
      </w:r>
      <w:r w:rsidRPr="00E04B54">
        <w:rPr>
          <w:rFonts w:hint="cs"/>
          <w:color w:val="00B0F0"/>
          <w:rtl/>
        </w:rPr>
        <w:t>(וכ"פ הרמ"א)</w:t>
      </w:r>
    </w:p>
    <w:p w14:paraId="06F3FCBC" w14:textId="77777777" w:rsidR="002C39F4" w:rsidRDefault="002C39F4" w:rsidP="0032102C">
      <w:pPr>
        <w:pStyle w:val="a8"/>
        <w:numPr>
          <w:ilvl w:val="0"/>
          <w:numId w:val="238"/>
        </w:numPr>
      </w:pPr>
      <w:r w:rsidRPr="00295F44">
        <w:rPr>
          <w:rFonts w:cs="Arial" w:hint="cs"/>
          <w:rtl/>
        </w:rPr>
        <w:t>טור</w:t>
      </w:r>
      <w:r w:rsidRPr="00217CE6">
        <w:rPr>
          <w:rFonts w:cs="Arial"/>
          <w:rtl/>
        </w:rPr>
        <w:t xml:space="preserve"> </w:t>
      </w:r>
      <w:r w:rsidRPr="00220D90">
        <w:rPr>
          <w:rFonts w:cs="Arial"/>
          <w:rtl/>
        </w:rPr>
        <w:t>מהר"ם פדאוו</w:t>
      </w:r>
      <w:r>
        <w:rPr>
          <w:rFonts w:cs="Arial" w:hint="cs"/>
          <w:rtl/>
        </w:rPr>
        <w:t>ה</w:t>
      </w:r>
      <w:r w:rsidRPr="00217CE6">
        <w:rPr>
          <w:rFonts w:cs="Arial"/>
          <w:sz w:val="16"/>
          <w:szCs w:val="16"/>
          <w:rtl/>
        </w:rPr>
        <w:t xml:space="preserve"> (סי' עט)</w:t>
      </w:r>
      <w:r w:rsidRPr="00E04B54">
        <w:rPr>
          <w:rFonts w:cs="Arial"/>
          <w:rtl/>
        </w:rPr>
        <w:t xml:space="preserve"> </w:t>
      </w:r>
      <w:r>
        <w:rPr>
          <w:rFonts w:cs="Arial" w:hint="cs"/>
          <w:rtl/>
        </w:rPr>
        <w:t>ו</w:t>
      </w:r>
      <w:r>
        <w:rPr>
          <w:rFonts w:cs="Arial"/>
          <w:rtl/>
        </w:rPr>
        <w:t>או"ה</w:t>
      </w:r>
      <w:r w:rsidRPr="00220D90">
        <w:rPr>
          <w:rFonts w:cs="Arial"/>
          <w:rtl/>
        </w:rPr>
        <w:t xml:space="preserve"> </w:t>
      </w:r>
      <w:r w:rsidRPr="00217CE6">
        <w:rPr>
          <w:rFonts w:cs="Arial" w:hint="cs"/>
          <w:sz w:val="16"/>
          <w:szCs w:val="16"/>
          <w:rtl/>
        </w:rPr>
        <w:t>(</w:t>
      </w:r>
      <w:r w:rsidRPr="00217CE6">
        <w:rPr>
          <w:rFonts w:cs="Arial"/>
          <w:sz w:val="16"/>
          <w:szCs w:val="16"/>
          <w:rtl/>
        </w:rPr>
        <w:t>כלל כז ד</w:t>
      </w:r>
      <w:r w:rsidRPr="00217CE6">
        <w:rPr>
          <w:rFonts w:cs="Arial" w:hint="cs"/>
          <w:sz w:val="16"/>
          <w:szCs w:val="16"/>
          <w:rtl/>
        </w:rPr>
        <w:t>"</w:t>
      </w:r>
      <w:r w:rsidRPr="00217CE6">
        <w:rPr>
          <w:rFonts w:cs="Arial"/>
          <w:sz w:val="16"/>
          <w:szCs w:val="16"/>
          <w:rtl/>
        </w:rPr>
        <w:t>א)</w:t>
      </w:r>
      <w:r>
        <w:rPr>
          <w:rFonts w:cs="Arial" w:hint="cs"/>
          <w:rtl/>
        </w:rPr>
        <w:t xml:space="preserve">- </w:t>
      </w:r>
      <w:r w:rsidRPr="00295F44">
        <w:rPr>
          <w:rFonts w:cs="Arial"/>
          <w:rtl/>
        </w:rPr>
        <w:t>אין לחוש כיון שידוע כמה הוא האיסור הבלוע בכף א"צ ס' כנגד כל הכף אלא כנגד הזבוב הבלוע בה</w:t>
      </w:r>
      <w:r>
        <w:rPr>
          <w:rFonts w:cs="Arial" w:hint="cs"/>
          <w:sz w:val="16"/>
          <w:szCs w:val="16"/>
          <w:rtl/>
        </w:rPr>
        <w:t xml:space="preserve"> (ל' הטור)</w:t>
      </w:r>
      <w:r>
        <w:rPr>
          <w:rStyle w:val="a7"/>
          <w:rFonts w:cs="Arial"/>
          <w:rtl/>
        </w:rPr>
        <w:footnoteReference w:id="2306"/>
      </w:r>
      <w:r w:rsidRPr="00295F44">
        <w:rPr>
          <w:rFonts w:cs="Arial" w:hint="cs"/>
          <w:rtl/>
        </w:rPr>
        <w:t>.</w:t>
      </w:r>
      <w:r>
        <w:rPr>
          <w:rFonts w:hint="cs"/>
          <w:rtl/>
        </w:rPr>
        <w:t xml:space="preserve"> (וכ"פ רש"ל</w:t>
      </w:r>
      <w:r>
        <w:rPr>
          <w:rFonts w:hint="cs"/>
          <w:sz w:val="16"/>
          <w:szCs w:val="16"/>
          <w:rtl/>
        </w:rPr>
        <w:t xml:space="preserve"> [פג"ה סי' מט]</w:t>
      </w:r>
      <w:r>
        <w:rPr>
          <w:rFonts w:hint="cs"/>
          <w:rtl/>
        </w:rPr>
        <w:t>)</w:t>
      </w:r>
    </w:p>
    <w:p w14:paraId="59337F07" w14:textId="77777777" w:rsidR="002C39F4" w:rsidRPr="001463D2" w:rsidRDefault="002C39F4" w:rsidP="002C39F4">
      <w:pPr>
        <w:ind w:left="360"/>
        <w:rPr>
          <w:u w:val="dotted"/>
        </w:rPr>
      </w:pPr>
      <w:r>
        <w:rPr>
          <w:rFonts w:hint="cs"/>
          <w:u w:val="dotted"/>
          <w:rtl/>
        </w:rPr>
        <w:t xml:space="preserve">לדעת האוסרים - </w:t>
      </w:r>
      <w:r w:rsidRPr="001463D2">
        <w:rPr>
          <w:rFonts w:hint="cs"/>
          <w:u w:val="dotted"/>
          <w:rtl/>
        </w:rPr>
        <w:t>מה הדין בכלי שני:</w:t>
      </w:r>
    </w:p>
    <w:p w14:paraId="279D1B5E" w14:textId="77777777" w:rsidR="002C39F4" w:rsidRPr="006F67AA" w:rsidRDefault="002C39F4" w:rsidP="0032102C">
      <w:pPr>
        <w:pStyle w:val="a8"/>
        <w:numPr>
          <w:ilvl w:val="0"/>
          <w:numId w:val="238"/>
        </w:numPr>
        <w:rPr>
          <w:rtl/>
        </w:rPr>
      </w:pPr>
      <w:r>
        <w:rPr>
          <w:rFonts w:cs="Arial" w:hint="cs"/>
          <w:rtl/>
        </w:rPr>
        <w:t xml:space="preserve">מהר"ם </w:t>
      </w:r>
      <w:r>
        <w:rPr>
          <w:rFonts w:cs="Arial" w:hint="cs"/>
          <w:sz w:val="16"/>
          <w:szCs w:val="16"/>
          <w:rtl/>
        </w:rPr>
        <w:t>(הביאוהו א"ח [שם] ורי"ו [שם])</w:t>
      </w:r>
      <w:r>
        <w:rPr>
          <w:rFonts w:cs="Arial" w:hint="cs"/>
          <w:rtl/>
        </w:rPr>
        <w:t xml:space="preserve">- </w:t>
      </w:r>
      <w:r w:rsidRPr="001463D2">
        <w:rPr>
          <w:rFonts w:cs="Arial"/>
          <w:rtl/>
        </w:rPr>
        <w:t>זבוב שנמצא בתמחוי שהוא כלי שני וסלקו ממנו בכף וערה באותה הכף לשאר קערות הכל מותר דשמא בכלי שני נפל וכלי שני אינו מבשל</w:t>
      </w:r>
      <w:r>
        <w:rPr>
          <w:rFonts w:cs="Arial" w:hint="cs"/>
          <w:rtl/>
        </w:rPr>
        <w:t>,</w:t>
      </w:r>
      <w:r w:rsidRPr="001463D2">
        <w:rPr>
          <w:rFonts w:cs="Arial"/>
          <w:rtl/>
        </w:rPr>
        <w:t xml:space="preserve"> ועוד דנהי דבריה לאו בטלה הני מלי היא גופה אבל אם נמצאת הבריה בקערה משליכין אותה והטעם בטל בס'</w:t>
      </w:r>
      <w:r>
        <w:rPr>
          <w:rFonts w:cs="Arial" w:hint="cs"/>
          <w:rtl/>
        </w:rPr>
        <w:t>,</w:t>
      </w:r>
      <w:r w:rsidRPr="001463D2">
        <w:rPr>
          <w:rFonts w:cs="Arial"/>
          <w:rtl/>
        </w:rPr>
        <w:t xml:space="preserve"> וא"כ אפילו היה כלי שני מבשל הכל מותר דמבטל הטעם בס'</w:t>
      </w:r>
      <w:r>
        <w:rPr>
          <w:rFonts w:cs="Arial" w:hint="cs"/>
          <w:rtl/>
        </w:rPr>
        <w:t>,</w:t>
      </w:r>
      <w:r w:rsidRPr="001463D2">
        <w:rPr>
          <w:rFonts w:cs="Arial"/>
          <w:rtl/>
        </w:rPr>
        <w:t xml:space="preserve"> ועוד י"ל דלמא לאחר שנתקרר התבשיל נפל וא"כ ספיקי טובא</w:t>
      </w:r>
      <w:r>
        <w:rPr>
          <w:rFonts w:cs="Arial" w:hint="cs"/>
          <w:sz w:val="16"/>
          <w:szCs w:val="16"/>
          <w:rtl/>
        </w:rPr>
        <w:t xml:space="preserve"> (ל' א"ח)</w:t>
      </w:r>
      <w:r>
        <w:rPr>
          <w:rFonts w:cs="Arial" w:hint="cs"/>
          <w:rtl/>
        </w:rPr>
        <w:t>.</w:t>
      </w:r>
      <w:r w:rsidRPr="001463D2">
        <w:rPr>
          <w:rFonts w:cs="Arial"/>
          <w:rtl/>
        </w:rPr>
        <w:t xml:space="preserve"> </w:t>
      </w:r>
    </w:p>
    <w:p w14:paraId="512FA73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C2F8A94" w14:textId="77777777" w:rsidR="002C39F4" w:rsidRPr="003024E5" w:rsidRDefault="002C39F4" w:rsidP="002C39F4">
      <w:pPr>
        <w:rPr>
          <w:rFonts w:asciiTheme="minorBidi" w:hAnsiTheme="minorBidi"/>
          <w:rtl/>
        </w:rPr>
      </w:pPr>
      <w:r w:rsidRPr="003024E5">
        <w:rPr>
          <w:rFonts w:asciiTheme="minorBidi" w:hAnsiTheme="minorBidi"/>
          <w:rtl/>
        </w:rPr>
        <w:t xml:space="preserve">זבוב וכיוצא בו מדברים המאוסים שנפשו של אדם קצה בהם שנמצא בתבשיל זורקן והתבשיל מותר שאין פליטת דברים אלו הפגומים אוסרת. </w:t>
      </w:r>
      <w:r w:rsidRPr="006F67AA">
        <w:rPr>
          <w:rFonts w:asciiTheme="minorBidi" w:hAnsiTheme="minorBidi"/>
          <w:sz w:val="18"/>
          <w:szCs w:val="18"/>
          <w:rtl/>
        </w:rPr>
        <w:t>הגה: וכן המנהג פשוט</w:t>
      </w:r>
      <w:r>
        <w:rPr>
          <w:rFonts w:asciiTheme="minorBidi" w:hAnsiTheme="minorBidi" w:hint="cs"/>
          <w:sz w:val="18"/>
          <w:szCs w:val="18"/>
          <w:rtl/>
        </w:rPr>
        <w:t>,</w:t>
      </w:r>
      <w:r w:rsidRPr="006F67AA">
        <w:rPr>
          <w:rFonts w:asciiTheme="minorBidi" w:hAnsiTheme="minorBidi"/>
          <w:sz w:val="18"/>
          <w:szCs w:val="18"/>
          <w:rtl/>
        </w:rPr>
        <w:t xml:space="preserve"> אע</w:t>
      </w:r>
      <w:r>
        <w:rPr>
          <w:rFonts w:asciiTheme="minorBidi" w:hAnsiTheme="minorBidi" w:hint="cs"/>
          <w:sz w:val="18"/>
          <w:szCs w:val="18"/>
          <w:rtl/>
        </w:rPr>
        <w:t>"</w:t>
      </w:r>
      <w:r w:rsidRPr="006F67AA">
        <w:rPr>
          <w:rFonts w:asciiTheme="minorBidi" w:hAnsiTheme="minorBidi"/>
          <w:sz w:val="18"/>
          <w:szCs w:val="18"/>
          <w:rtl/>
        </w:rPr>
        <w:t xml:space="preserve">ג דיש מחמירין דברי המקילין עיקר </w:t>
      </w:r>
      <w:r w:rsidRPr="005024F6">
        <w:rPr>
          <w:rFonts w:asciiTheme="minorBidi" w:hAnsiTheme="minorBidi"/>
          <w:sz w:val="16"/>
          <w:szCs w:val="16"/>
          <w:rtl/>
        </w:rPr>
        <w:t>(ב"י שפסק כרשב"א רוקח וטור סי' קד)</w:t>
      </w:r>
      <w:r>
        <w:rPr>
          <w:rFonts w:asciiTheme="minorBidi" w:hAnsiTheme="minorBidi" w:hint="cs"/>
          <w:sz w:val="18"/>
          <w:szCs w:val="18"/>
          <w:rtl/>
        </w:rPr>
        <w:t>,</w:t>
      </w:r>
      <w:r w:rsidRPr="006F67AA">
        <w:rPr>
          <w:rFonts w:asciiTheme="minorBidi" w:hAnsiTheme="minorBidi"/>
          <w:sz w:val="18"/>
          <w:szCs w:val="18"/>
          <w:rtl/>
        </w:rPr>
        <w:t xml:space="preserve"> ואין לשנות המנהג. ואם לקח עם הכף דג טמא מן הקדרה או שאר דבר שאינו פוגם אסור להחזיר הכף לקדרה</w:t>
      </w:r>
      <w:r>
        <w:rPr>
          <w:rStyle w:val="a7"/>
          <w:rFonts w:asciiTheme="minorBidi" w:hAnsiTheme="minorBidi"/>
          <w:sz w:val="18"/>
          <w:szCs w:val="18"/>
          <w:rtl/>
        </w:rPr>
        <w:footnoteReference w:id="2307"/>
      </w:r>
      <w:r>
        <w:rPr>
          <w:rFonts w:asciiTheme="minorBidi" w:hAnsiTheme="minorBidi" w:hint="cs"/>
          <w:sz w:val="18"/>
          <w:szCs w:val="18"/>
          <w:rtl/>
        </w:rPr>
        <w:t>,</w:t>
      </w:r>
      <w:r w:rsidRPr="006F67AA">
        <w:rPr>
          <w:rFonts w:asciiTheme="minorBidi" w:hAnsiTheme="minorBidi"/>
          <w:sz w:val="18"/>
          <w:szCs w:val="18"/>
          <w:rtl/>
        </w:rPr>
        <w:t xml:space="preserve"> ואם החזיר צריך ס' מן הקדרה נגד האיסור ולא נגד כל הכף</w:t>
      </w:r>
      <w:r>
        <w:rPr>
          <w:rStyle w:val="a7"/>
          <w:rFonts w:asciiTheme="minorBidi" w:hAnsiTheme="minorBidi"/>
          <w:sz w:val="18"/>
          <w:szCs w:val="18"/>
          <w:rtl/>
        </w:rPr>
        <w:footnoteReference w:id="2308"/>
      </w:r>
      <w:r w:rsidRPr="006F67AA">
        <w:rPr>
          <w:rFonts w:asciiTheme="minorBidi" w:hAnsiTheme="minorBidi"/>
          <w:sz w:val="18"/>
          <w:szCs w:val="18"/>
          <w:rtl/>
        </w:rPr>
        <w:t xml:space="preserve"> </w:t>
      </w:r>
      <w:r w:rsidRPr="005024F6">
        <w:rPr>
          <w:rFonts w:asciiTheme="minorBidi" w:hAnsiTheme="minorBidi"/>
          <w:sz w:val="16"/>
          <w:szCs w:val="16"/>
          <w:rtl/>
        </w:rPr>
        <w:t>(ד"ע)</w:t>
      </w:r>
      <w:r w:rsidRPr="006F67AA">
        <w:rPr>
          <w:rFonts w:asciiTheme="minorBidi" w:hAnsiTheme="minorBidi"/>
          <w:sz w:val="18"/>
          <w:szCs w:val="18"/>
          <w:rtl/>
        </w:rPr>
        <w:t>. אבל אם היה מעט מן התבשיל עם האיסור בכף והוחזר לקדירה</w:t>
      </w:r>
      <w:r>
        <w:rPr>
          <w:rStyle w:val="a7"/>
          <w:rFonts w:asciiTheme="minorBidi" w:hAnsiTheme="minorBidi"/>
          <w:sz w:val="18"/>
          <w:szCs w:val="18"/>
          <w:rtl/>
        </w:rPr>
        <w:footnoteReference w:id="2309"/>
      </w:r>
      <w:r w:rsidRPr="006F67AA">
        <w:rPr>
          <w:rFonts w:asciiTheme="minorBidi" w:hAnsiTheme="minorBidi"/>
          <w:sz w:val="18"/>
          <w:szCs w:val="18"/>
          <w:rtl/>
        </w:rPr>
        <w:t xml:space="preserve"> צריך ס' גם נגד מעט התבשיל דהרי נעשה נבילה בכף</w:t>
      </w:r>
      <w:r>
        <w:rPr>
          <w:rStyle w:val="a7"/>
          <w:rFonts w:asciiTheme="minorBidi" w:hAnsiTheme="minorBidi"/>
          <w:sz w:val="18"/>
          <w:szCs w:val="18"/>
          <w:rtl/>
        </w:rPr>
        <w:footnoteReference w:id="2310"/>
      </w:r>
      <w:r w:rsidRPr="006F67AA">
        <w:rPr>
          <w:rFonts w:asciiTheme="minorBidi" w:hAnsiTheme="minorBidi"/>
          <w:sz w:val="18"/>
          <w:szCs w:val="18"/>
          <w:rtl/>
        </w:rPr>
        <w:t xml:space="preserve"> </w:t>
      </w:r>
      <w:r w:rsidRPr="005024F6">
        <w:rPr>
          <w:rFonts w:asciiTheme="minorBidi" w:hAnsiTheme="minorBidi"/>
          <w:sz w:val="16"/>
          <w:szCs w:val="16"/>
          <w:rtl/>
        </w:rPr>
        <w:t>(ארוך כלל כז)</w:t>
      </w:r>
      <w:r w:rsidRPr="006F67AA">
        <w:rPr>
          <w:rFonts w:asciiTheme="minorBidi" w:hAnsiTheme="minorBidi"/>
          <w:sz w:val="18"/>
          <w:szCs w:val="18"/>
          <w:rtl/>
        </w:rPr>
        <w:t>.</w:t>
      </w:r>
    </w:p>
    <w:p w14:paraId="36E42B2E" w14:textId="77777777" w:rsidR="002C39F4" w:rsidRPr="003024E5" w:rsidRDefault="002C39F4" w:rsidP="002C39F4">
      <w:pPr>
        <w:rPr>
          <w:rFonts w:asciiTheme="minorBidi" w:hAnsiTheme="minorBidi"/>
          <w:rtl/>
        </w:rPr>
      </w:pPr>
    </w:p>
    <w:p w14:paraId="6A594E43" w14:textId="77777777" w:rsidR="002C39F4" w:rsidRPr="003024E5" w:rsidRDefault="002C39F4" w:rsidP="002C39F4">
      <w:pPr>
        <w:rPr>
          <w:rFonts w:asciiTheme="minorBidi" w:hAnsiTheme="minorBidi"/>
          <w:rtl/>
        </w:rPr>
      </w:pPr>
    </w:p>
    <w:p w14:paraId="7F1C5646" w14:textId="77777777" w:rsidR="002C39F4" w:rsidRPr="003024E5" w:rsidRDefault="002C39F4" w:rsidP="002C39F4">
      <w:pPr>
        <w:rPr>
          <w:rFonts w:asciiTheme="minorBidi" w:hAnsiTheme="minorBidi"/>
          <w:rtl/>
        </w:rPr>
      </w:pPr>
    </w:p>
    <w:p w14:paraId="7D26B7E2" w14:textId="77777777" w:rsidR="002C39F4" w:rsidRPr="003024E5" w:rsidRDefault="002C39F4" w:rsidP="002C39F4">
      <w:pPr>
        <w:rPr>
          <w:rFonts w:asciiTheme="minorBidi" w:hAnsiTheme="minorBidi"/>
          <w:rtl/>
        </w:rPr>
      </w:pPr>
    </w:p>
    <w:p w14:paraId="51694E10" w14:textId="77777777" w:rsidR="002C39F4" w:rsidRPr="003024E5" w:rsidRDefault="002C39F4" w:rsidP="002C39F4">
      <w:pPr>
        <w:rPr>
          <w:rFonts w:asciiTheme="minorBidi" w:hAnsiTheme="minorBidi"/>
          <w:rtl/>
        </w:rPr>
      </w:pPr>
    </w:p>
    <w:p w14:paraId="4FE4AA7B" w14:textId="77777777" w:rsidR="002C39F4" w:rsidRPr="003024E5" w:rsidRDefault="002C39F4" w:rsidP="002C39F4">
      <w:pPr>
        <w:rPr>
          <w:rFonts w:asciiTheme="minorBidi" w:hAnsiTheme="minorBidi"/>
          <w:rtl/>
        </w:rPr>
      </w:pPr>
    </w:p>
    <w:p w14:paraId="126D1564" w14:textId="77777777" w:rsidR="002C39F4" w:rsidRPr="003024E5" w:rsidRDefault="002C39F4" w:rsidP="002C39F4">
      <w:pPr>
        <w:rPr>
          <w:rFonts w:asciiTheme="minorBidi" w:hAnsiTheme="minorBidi"/>
          <w:rtl/>
        </w:rPr>
      </w:pPr>
    </w:p>
    <w:p w14:paraId="7DDA5599"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3C12B83B"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קח: שלא לאפות היתר ואיסור בתנור א', ובו ז' סעיפים. </w:t>
      </w:r>
    </w:p>
    <w:p w14:paraId="35328DC5"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ריחא בצלי.</w:t>
      </w:r>
    </w:p>
    <w:p w14:paraId="6F758C57" w14:textId="77777777" w:rsidR="002C39F4" w:rsidRDefault="002C39F4" w:rsidP="002C39F4">
      <w:pPr>
        <w:rPr>
          <w:rFonts w:cs="Arial"/>
          <w:rtl/>
        </w:rPr>
      </w:pPr>
      <w:r>
        <w:rPr>
          <w:rFonts w:cs="Arial" w:hint="cs"/>
          <w:b/>
          <w:bCs/>
          <w:rtl/>
        </w:rPr>
        <w:t xml:space="preserve">פסחים עו סוע"א: </w:t>
      </w:r>
      <w:r w:rsidRPr="00DE5D14">
        <w:rPr>
          <w:rFonts w:cs="Arial"/>
          <w:u w:val="single"/>
          <w:rtl/>
        </w:rPr>
        <w:t>אמר רב</w:t>
      </w:r>
      <w:r w:rsidRPr="00BB19A3">
        <w:rPr>
          <w:rFonts w:cs="Arial"/>
          <w:rtl/>
        </w:rPr>
        <w:t>:</w:t>
      </w:r>
      <w:r>
        <w:rPr>
          <w:rFonts w:cs="Arial" w:hint="cs"/>
          <w:rtl/>
        </w:rPr>
        <w:t xml:space="preserve"> </w:t>
      </w:r>
      <w:r w:rsidRPr="00BB19A3">
        <w:rPr>
          <w:rFonts w:cs="Arial"/>
          <w:rtl/>
        </w:rPr>
        <w:t>בשר שחוטה שמן</w:t>
      </w:r>
      <w:r>
        <w:rPr>
          <w:rFonts w:cs="Arial"/>
          <w:rtl/>
        </w:rPr>
        <w:t xml:space="preserve"> שצלאו עם בשר נבילה כחוש</w:t>
      </w:r>
      <w:r>
        <w:rPr>
          <w:rFonts w:cs="Arial" w:hint="cs"/>
          <w:rtl/>
        </w:rPr>
        <w:t xml:space="preserve"> -</w:t>
      </w:r>
      <w:r>
        <w:rPr>
          <w:rFonts w:cs="Arial"/>
          <w:rtl/>
        </w:rPr>
        <w:t xml:space="preserve"> אסור</w:t>
      </w:r>
      <w:r>
        <w:rPr>
          <w:rFonts w:cs="Arial" w:hint="cs"/>
          <w:rtl/>
        </w:rPr>
        <w:t>,</w:t>
      </w:r>
      <w:r>
        <w:rPr>
          <w:rFonts w:cs="Arial"/>
          <w:rtl/>
        </w:rPr>
        <w:t xml:space="preserve"> מאי טעמא</w:t>
      </w:r>
      <w:r>
        <w:rPr>
          <w:rFonts w:cs="Arial" w:hint="cs"/>
          <w:rtl/>
        </w:rPr>
        <w:t xml:space="preserve"> </w:t>
      </w:r>
      <w:r w:rsidRPr="00BB19A3">
        <w:rPr>
          <w:rFonts w:cs="Arial"/>
          <w:rtl/>
        </w:rPr>
        <w:t xml:space="preserve">- מפטמי מהדדי. </w:t>
      </w:r>
      <w:r w:rsidRPr="00DE5D14">
        <w:rPr>
          <w:rFonts w:cs="Arial"/>
          <w:u w:val="single"/>
          <w:rtl/>
        </w:rPr>
        <w:t>ולוי</w:t>
      </w:r>
      <w:r w:rsidRPr="00BB19A3">
        <w:rPr>
          <w:rFonts w:cs="Arial"/>
          <w:rtl/>
        </w:rPr>
        <w:t xml:space="preserve"> </w:t>
      </w:r>
      <w:r w:rsidRPr="00DE5D14">
        <w:rPr>
          <w:rFonts w:cs="Arial"/>
          <w:u w:val="single"/>
          <w:rtl/>
        </w:rPr>
        <w:t>אמר</w:t>
      </w:r>
      <w:r w:rsidRPr="00BB19A3">
        <w:rPr>
          <w:rFonts w:cs="Arial"/>
          <w:rtl/>
        </w:rPr>
        <w:t>: אפילו בשר שח</w:t>
      </w:r>
      <w:r>
        <w:rPr>
          <w:rFonts w:cs="Arial"/>
          <w:rtl/>
        </w:rPr>
        <w:t>וטה כחוש שצלאו עם בשר נבילה שמן</w:t>
      </w:r>
      <w:r>
        <w:rPr>
          <w:rFonts w:cs="Arial" w:hint="cs"/>
          <w:rtl/>
        </w:rPr>
        <w:t xml:space="preserve"> </w:t>
      </w:r>
      <w:r>
        <w:rPr>
          <w:rFonts w:cs="Arial"/>
          <w:rtl/>
        </w:rPr>
        <w:t>- מותר</w:t>
      </w:r>
      <w:r>
        <w:rPr>
          <w:rFonts w:cs="Arial" w:hint="cs"/>
          <w:rtl/>
        </w:rPr>
        <w:t>,</w:t>
      </w:r>
      <w:r>
        <w:rPr>
          <w:rFonts w:cs="Arial"/>
          <w:rtl/>
        </w:rPr>
        <w:t xml:space="preserve"> מאי טעמא</w:t>
      </w:r>
      <w:r>
        <w:rPr>
          <w:rFonts w:cs="Arial" w:hint="cs"/>
          <w:rtl/>
        </w:rPr>
        <w:t xml:space="preserve"> </w:t>
      </w:r>
      <w:r w:rsidRPr="00BB19A3">
        <w:rPr>
          <w:rFonts w:cs="Arial"/>
          <w:rtl/>
        </w:rPr>
        <w:t xml:space="preserve">- ריחא </w:t>
      </w:r>
      <w:r>
        <w:rPr>
          <w:rFonts w:cs="Arial"/>
          <w:rtl/>
        </w:rPr>
        <w:t>בעלמא הוא, וריחא לאו מילתא היא.</w:t>
      </w:r>
      <w:r>
        <w:rPr>
          <w:rFonts w:cs="Arial" w:hint="cs"/>
          <w:rtl/>
        </w:rPr>
        <w:t xml:space="preserve">.. </w:t>
      </w:r>
      <w:r w:rsidRPr="00DE5D14">
        <w:rPr>
          <w:rFonts w:cs="Arial"/>
          <w:u w:val="single"/>
          <w:rtl/>
        </w:rPr>
        <w:t>תני רב כהנא בריה דרב חיננא סבא</w:t>
      </w:r>
      <w:r w:rsidRPr="00BB19A3">
        <w:rPr>
          <w:rFonts w:cs="Arial"/>
          <w:rtl/>
        </w:rPr>
        <w:t xml:space="preserve">: פת שאפאה עם צלי בתנור - אסור לאכלה בכותחא. ההיא ביניתא דאיטווא בהדי בישרא - אסרה </w:t>
      </w:r>
      <w:r w:rsidRPr="00DE5D14">
        <w:rPr>
          <w:rFonts w:cs="Arial"/>
          <w:u w:val="single"/>
          <w:rtl/>
        </w:rPr>
        <w:t>רבא מפרזיקיא</w:t>
      </w:r>
      <w:r w:rsidRPr="00BB19A3">
        <w:rPr>
          <w:rFonts w:cs="Arial"/>
          <w:rtl/>
        </w:rPr>
        <w:t xml:space="preserve"> למיכליה בכותחא. </w:t>
      </w:r>
      <w:r w:rsidRPr="00DE5D14">
        <w:rPr>
          <w:rFonts w:cs="Arial"/>
          <w:u w:val="single"/>
          <w:rtl/>
        </w:rPr>
        <w:t>מר בר רב אשי אמר</w:t>
      </w:r>
      <w:r w:rsidRPr="00BB19A3">
        <w:rPr>
          <w:rFonts w:cs="Arial"/>
          <w:rtl/>
        </w:rPr>
        <w:t>: אפילו במילחא נמי אסורה, משום דקשיא לריחא ולדבר אחר.</w:t>
      </w:r>
      <w:r w:rsidRPr="00DE5D14">
        <w:rPr>
          <w:rFonts w:cs="Arial"/>
          <w:sz w:val="16"/>
          <w:szCs w:val="16"/>
          <w:rtl/>
        </w:rPr>
        <w:t xml:space="preserve"> </w:t>
      </w:r>
    </w:p>
    <w:p w14:paraId="0B95D447" w14:textId="77777777" w:rsidR="002C39F4" w:rsidRPr="00072B2D" w:rsidRDefault="002C39F4" w:rsidP="002C39F4">
      <w:pPr>
        <w:rPr>
          <w:rFonts w:cs="Arial"/>
          <w:sz w:val="16"/>
          <w:szCs w:val="16"/>
          <w:rtl/>
        </w:rPr>
      </w:pPr>
      <w:r>
        <w:rPr>
          <w:rFonts w:cs="Arial" w:hint="cs"/>
          <w:u w:val="single"/>
          <w:rtl/>
        </w:rPr>
        <w:t>האם אמרינן '</w:t>
      </w:r>
      <w:r w:rsidRPr="00586043">
        <w:rPr>
          <w:rFonts w:cs="Arial" w:hint="cs"/>
          <w:u w:val="single"/>
          <w:rtl/>
        </w:rPr>
        <w:t>ריחא</w:t>
      </w:r>
      <w:r>
        <w:rPr>
          <w:rFonts w:cs="Arial" w:hint="cs"/>
          <w:u w:val="single"/>
          <w:rtl/>
        </w:rPr>
        <w:t xml:space="preserve"> מילתא היא' בצלי או לאו</w:t>
      </w:r>
      <w:r w:rsidRPr="00586043">
        <w:rPr>
          <w:rFonts w:cs="Arial" w:hint="cs"/>
          <w:u w:val="single"/>
          <w:rtl/>
        </w:rPr>
        <w:t>:</w:t>
      </w:r>
      <w:r>
        <w:rPr>
          <w:rFonts w:cs="Arial" w:hint="cs"/>
          <w:sz w:val="16"/>
          <w:szCs w:val="16"/>
          <w:rtl/>
        </w:rPr>
        <w:t xml:space="preserve">  (הועתק מסי' צז)</w:t>
      </w:r>
    </w:p>
    <w:p w14:paraId="0DFD6636" w14:textId="77777777" w:rsidR="002C39F4" w:rsidRPr="00586043" w:rsidRDefault="002C39F4" w:rsidP="0032102C">
      <w:pPr>
        <w:pStyle w:val="a8"/>
        <w:numPr>
          <w:ilvl w:val="0"/>
          <w:numId w:val="139"/>
        </w:numPr>
        <w:rPr>
          <w:rFonts w:cs="Arial"/>
          <w:rtl/>
        </w:rPr>
      </w:pPr>
      <w:r>
        <w:rPr>
          <w:rFonts w:cs="Arial" w:hint="cs"/>
          <w:rtl/>
        </w:rPr>
        <w:t xml:space="preserve">בה"ג </w:t>
      </w:r>
      <w:r w:rsidRPr="00586043">
        <w:rPr>
          <w:rFonts w:cs="Arial"/>
          <w:rtl/>
        </w:rPr>
        <w:t>רי"ף</w:t>
      </w:r>
      <w:r w:rsidRPr="00586043">
        <w:rPr>
          <w:rFonts w:cs="Arial" w:hint="cs"/>
          <w:rtl/>
        </w:rPr>
        <w:t xml:space="preserve"> </w:t>
      </w:r>
      <w:r w:rsidRPr="00586043">
        <w:rPr>
          <w:rFonts w:cs="Arial"/>
          <w:rtl/>
        </w:rPr>
        <w:t>רש"י</w:t>
      </w:r>
      <w:r w:rsidRPr="00586043">
        <w:rPr>
          <w:rFonts w:cs="Arial" w:hint="cs"/>
          <w:rtl/>
        </w:rPr>
        <w:t xml:space="preserve"> </w:t>
      </w:r>
      <w:r w:rsidRPr="00586043">
        <w:rPr>
          <w:rFonts w:cs="Arial"/>
          <w:rtl/>
        </w:rPr>
        <w:t xml:space="preserve">רמב"ם </w:t>
      </w:r>
      <w:r>
        <w:rPr>
          <w:rFonts w:cs="Arial" w:hint="cs"/>
          <w:rtl/>
        </w:rPr>
        <w:t>ו</w:t>
      </w:r>
      <w:r w:rsidRPr="00586043">
        <w:rPr>
          <w:rFonts w:cs="Arial" w:hint="cs"/>
          <w:rtl/>
        </w:rPr>
        <w:t>רשב"</w:t>
      </w:r>
      <w:r>
        <w:rPr>
          <w:rFonts w:cs="Arial" w:hint="cs"/>
          <w:rtl/>
        </w:rPr>
        <w:t>א</w:t>
      </w:r>
      <w:r>
        <w:rPr>
          <w:rStyle w:val="a7"/>
          <w:rFonts w:cs="Arial"/>
          <w:rtl/>
        </w:rPr>
        <w:footnoteReference w:id="2311"/>
      </w:r>
      <w:r w:rsidRPr="00586043">
        <w:rPr>
          <w:rFonts w:cs="Arial" w:hint="cs"/>
          <w:rtl/>
        </w:rPr>
        <w:t xml:space="preserve">- </w:t>
      </w:r>
      <w:r w:rsidRPr="00586043">
        <w:rPr>
          <w:rFonts w:cs="Arial"/>
          <w:rtl/>
        </w:rPr>
        <w:t>ריחא לאו מילתא היא</w:t>
      </w:r>
      <w:r w:rsidRPr="00586043">
        <w:rPr>
          <w:rFonts w:cs="Arial" w:hint="cs"/>
          <w:rtl/>
        </w:rPr>
        <w:t>, כלוי.</w:t>
      </w:r>
      <w:r w:rsidRPr="00586043">
        <w:rPr>
          <w:rFonts w:cs="Arial"/>
          <w:rtl/>
        </w:rPr>
        <w:t xml:space="preserve"> </w:t>
      </w:r>
      <w:r w:rsidRPr="00804230">
        <w:rPr>
          <w:rFonts w:cs="Arial" w:hint="cs"/>
          <w:color w:val="E36C0A" w:themeColor="accent6" w:themeShade="BF"/>
          <w:rtl/>
        </w:rPr>
        <w:t>(וכ"פ בשו"ע)</w:t>
      </w:r>
      <w:r>
        <w:rPr>
          <w:rFonts w:cs="Arial" w:hint="cs"/>
          <w:color w:val="00B0F0"/>
          <w:rtl/>
        </w:rPr>
        <w:t xml:space="preserve"> </w:t>
      </w:r>
      <w:bookmarkStart w:id="10" w:name="_Hlk518574512"/>
      <w:r w:rsidRPr="00804230">
        <w:rPr>
          <w:rFonts w:cs="Arial" w:hint="cs"/>
          <w:color w:val="00B0F0"/>
          <w:rtl/>
        </w:rPr>
        <w:t>(וכ"פ הרמ"א)</w:t>
      </w:r>
      <w:bookmarkEnd w:id="10"/>
    </w:p>
    <w:p w14:paraId="4D46E4DB" w14:textId="77777777" w:rsidR="002C39F4" w:rsidRPr="00586043" w:rsidRDefault="002C39F4" w:rsidP="0032102C">
      <w:pPr>
        <w:pStyle w:val="a8"/>
        <w:numPr>
          <w:ilvl w:val="0"/>
          <w:numId w:val="139"/>
        </w:numPr>
        <w:rPr>
          <w:rFonts w:cs="Arial"/>
          <w:rtl/>
        </w:rPr>
      </w:pPr>
      <w:r w:rsidRPr="00586043">
        <w:rPr>
          <w:rFonts w:cs="Arial" w:hint="cs"/>
          <w:rtl/>
        </w:rPr>
        <w:t xml:space="preserve">ר"ת </w:t>
      </w:r>
      <w:r w:rsidRPr="00586043">
        <w:rPr>
          <w:rFonts w:cs="Arial" w:hint="cs"/>
          <w:sz w:val="16"/>
          <w:szCs w:val="16"/>
          <w:rtl/>
        </w:rPr>
        <w:t>(</w:t>
      </w:r>
      <w:r w:rsidRPr="00586043">
        <w:rPr>
          <w:rFonts w:cs="Arial"/>
          <w:sz w:val="16"/>
          <w:szCs w:val="16"/>
          <w:rtl/>
        </w:rPr>
        <w:t>תוס</w:t>
      </w:r>
      <w:r w:rsidRPr="00586043">
        <w:rPr>
          <w:rFonts w:cs="Arial" w:hint="cs"/>
          <w:sz w:val="16"/>
          <w:szCs w:val="16"/>
          <w:rtl/>
        </w:rPr>
        <w:t xml:space="preserve">' </w:t>
      </w:r>
      <w:r w:rsidRPr="00586043">
        <w:rPr>
          <w:rFonts w:cs="Arial"/>
          <w:sz w:val="16"/>
          <w:szCs w:val="16"/>
          <w:rtl/>
        </w:rPr>
        <w:t>ד"ה אסרה רבא)</w:t>
      </w:r>
      <w:r w:rsidRPr="00586043">
        <w:rPr>
          <w:rFonts w:cs="Arial" w:hint="cs"/>
          <w:sz w:val="16"/>
          <w:szCs w:val="16"/>
          <w:rtl/>
        </w:rPr>
        <w:t xml:space="preserve"> </w:t>
      </w:r>
      <w:r w:rsidRPr="00F524EE">
        <w:rPr>
          <w:rFonts w:cs="Arial"/>
          <w:rtl/>
        </w:rPr>
        <w:t>תוס</w:t>
      </w:r>
      <w:r w:rsidRPr="00F524EE">
        <w:rPr>
          <w:rFonts w:cs="Arial" w:hint="cs"/>
          <w:rtl/>
        </w:rPr>
        <w:t>'</w:t>
      </w:r>
      <w:r w:rsidRPr="00F524EE">
        <w:rPr>
          <w:rFonts w:cs="Arial"/>
          <w:rtl/>
        </w:rPr>
        <w:t xml:space="preserve"> (</w:t>
      </w:r>
      <w:r w:rsidRPr="00F524EE">
        <w:rPr>
          <w:rFonts w:cs="Arial" w:hint="cs"/>
          <w:rtl/>
        </w:rPr>
        <w:t xml:space="preserve">ע"ז </w:t>
      </w:r>
      <w:r w:rsidRPr="00F524EE">
        <w:rPr>
          <w:rFonts w:cs="Arial"/>
          <w:rtl/>
        </w:rPr>
        <w:t xml:space="preserve">סו: ד"ה רבא אמר) </w:t>
      </w:r>
      <w:r w:rsidRPr="00586043">
        <w:rPr>
          <w:rFonts w:cs="Arial" w:hint="cs"/>
          <w:rtl/>
        </w:rPr>
        <w:t>(ו</w:t>
      </w:r>
      <w:r w:rsidRPr="00586043">
        <w:rPr>
          <w:rFonts w:cs="Arial"/>
          <w:rtl/>
        </w:rPr>
        <w:t>רא"ש</w:t>
      </w:r>
      <w:r>
        <w:rPr>
          <w:rStyle w:val="a7"/>
          <w:rFonts w:cs="Arial"/>
          <w:rtl/>
        </w:rPr>
        <w:footnoteReference w:id="2312"/>
      </w:r>
      <w:r w:rsidRPr="00586043">
        <w:rPr>
          <w:rFonts w:cs="Arial"/>
          <w:sz w:val="16"/>
          <w:szCs w:val="16"/>
          <w:rtl/>
        </w:rPr>
        <w:t xml:space="preserve"> </w:t>
      </w:r>
      <w:r w:rsidRPr="00586043">
        <w:rPr>
          <w:rFonts w:cs="Arial" w:hint="cs"/>
          <w:sz w:val="16"/>
          <w:szCs w:val="16"/>
          <w:rtl/>
        </w:rPr>
        <w:t xml:space="preserve">להב' הטור </w:t>
      </w:r>
      <w:r w:rsidRPr="00586043">
        <w:rPr>
          <w:rFonts w:cs="Arial" w:hint="cs"/>
          <w:sz w:val="14"/>
          <w:szCs w:val="14"/>
          <w:rtl/>
        </w:rPr>
        <w:t>[</w:t>
      </w:r>
      <w:r w:rsidRPr="00586043">
        <w:rPr>
          <w:rFonts w:cs="Arial"/>
          <w:sz w:val="14"/>
          <w:szCs w:val="14"/>
          <w:rtl/>
        </w:rPr>
        <w:t>סי</w:t>
      </w:r>
      <w:r w:rsidRPr="00586043">
        <w:rPr>
          <w:rFonts w:cs="Arial" w:hint="cs"/>
          <w:sz w:val="14"/>
          <w:szCs w:val="14"/>
          <w:rtl/>
        </w:rPr>
        <w:t>'</w:t>
      </w:r>
      <w:r w:rsidRPr="00586043">
        <w:rPr>
          <w:rFonts w:cs="Arial"/>
          <w:sz w:val="14"/>
          <w:szCs w:val="14"/>
          <w:rtl/>
        </w:rPr>
        <w:t xml:space="preserve"> קח</w:t>
      </w:r>
      <w:r w:rsidRPr="00586043">
        <w:rPr>
          <w:rFonts w:cs="Arial" w:hint="cs"/>
          <w:sz w:val="14"/>
          <w:szCs w:val="14"/>
          <w:rtl/>
        </w:rPr>
        <w:t>]</w:t>
      </w:r>
      <w:r w:rsidRPr="00586043">
        <w:rPr>
          <w:rFonts w:cs="Arial" w:hint="cs"/>
          <w:rtl/>
        </w:rPr>
        <w:t xml:space="preserve">)- </w:t>
      </w:r>
      <w:r w:rsidRPr="00586043">
        <w:rPr>
          <w:rFonts w:cs="Arial"/>
          <w:rtl/>
        </w:rPr>
        <w:t>ריחא מילתא היא</w:t>
      </w:r>
      <w:r w:rsidRPr="00586043">
        <w:rPr>
          <w:rFonts w:cs="Arial" w:hint="cs"/>
          <w:rtl/>
        </w:rPr>
        <w:t>, כרב</w:t>
      </w:r>
      <w:r>
        <w:rPr>
          <w:rStyle w:val="a7"/>
          <w:rFonts w:cs="Arial"/>
          <w:rtl/>
        </w:rPr>
        <w:footnoteReference w:id="2313"/>
      </w:r>
      <w:r w:rsidRPr="00586043">
        <w:rPr>
          <w:rFonts w:cs="Arial"/>
          <w:rtl/>
        </w:rPr>
        <w:t>.</w:t>
      </w:r>
      <w:r>
        <w:rPr>
          <w:rFonts w:cs="Arial" w:hint="cs"/>
          <w:rtl/>
        </w:rPr>
        <w:t xml:space="preserve"> </w:t>
      </w:r>
    </w:p>
    <w:p w14:paraId="33C68B16" w14:textId="77777777" w:rsidR="002C39F4" w:rsidRPr="00C774D0" w:rsidRDefault="002C39F4" w:rsidP="002C39F4">
      <w:pPr>
        <w:ind w:left="360"/>
        <w:rPr>
          <w:rFonts w:cs="Arial"/>
          <w:u w:val="dotted"/>
          <w:rtl/>
        </w:rPr>
      </w:pPr>
      <w:r w:rsidRPr="00C774D0">
        <w:rPr>
          <w:rFonts w:cs="Arial"/>
          <w:u w:val="dotted"/>
          <w:rtl/>
        </w:rPr>
        <w:t>בשר שחוטה שצלאו עם בשר נבילה</w:t>
      </w:r>
      <w:r>
        <w:rPr>
          <w:rFonts w:cs="Arial" w:hint="cs"/>
          <w:u w:val="dotted"/>
          <w:rtl/>
        </w:rPr>
        <w:t xml:space="preserve"> - ולפחות אחד מהם שמן</w:t>
      </w:r>
      <w:r>
        <w:rPr>
          <w:rStyle w:val="a7"/>
          <w:rFonts w:cs="Arial"/>
          <w:u w:val="dotted"/>
          <w:rtl/>
        </w:rPr>
        <w:footnoteReference w:id="2314"/>
      </w:r>
      <w:r w:rsidRPr="00C774D0">
        <w:rPr>
          <w:rFonts w:cs="Arial" w:hint="cs"/>
          <w:u w:val="dotted"/>
          <w:rtl/>
        </w:rPr>
        <w:t>:</w:t>
      </w:r>
      <w:r>
        <w:rPr>
          <w:rFonts w:cs="Arial" w:hint="cs"/>
          <w:sz w:val="16"/>
          <w:szCs w:val="16"/>
          <w:rtl/>
        </w:rPr>
        <w:t xml:space="preserve">  (הועתק מסי' צז)</w:t>
      </w:r>
    </w:p>
    <w:p w14:paraId="62D2A98D" w14:textId="77777777" w:rsidR="002C39F4" w:rsidRPr="00586043" w:rsidRDefault="002C39F4" w:rsidP="0032102C">
      <w:pPr>
        <w:pStyle w:val="a8"/>
        <w:numPr>
          <w:ilvl w:val="0"/>
          <w:numId w:val="139"/>
        </w:numPr>
        <w:rPr>
          <w:rFonts w:cs="Arial"/>
          <w:rtl/>
        </w:rPr>
      </w:pPr>
      <w:r w:rsidRPr="00586043">
        <w:rPr>
          <w:rFonts w:cs="Arial" w:hint="cs"/>
          <w:rtl/>
        </w:rPr>
        <w:t xml:space="preserve">ר"ת </w:t>
      </w:r>
      <w:r w:rsidRPr="00586043">
        <w:rPr>
          <w:rFonts w:cs="Arial" w:hint="cs"/>
          <w:sz w:val="16"/>
          <w:szCs w:val="16"/>
          <w:rtl/>
        </w:rPr>
        <w:t>(</w:t>
      </w:r>
      <w:r w:rsidRPr="00586043">
        <w:rPr>
          <w:rFonts w:cs="Arial"/>
          <w:sz w:val="16"/>
          <w:szCs w:val="16"/>
          <w:rtl/>
        </w:rPr>
        <w:t>תוס</w:t>
      </w:r>
      <w:r w:rsidRPr="00586043">
        <w:rPr>
          <w:rFonts w:cs="Arial" w:hint="cs"/>
          <w:sz w:val="16"/>
          <w:szCs w:val="16"/>
          <w:rtl/>
        </w:rPr>
        <w:t xml:space="preserve">' </w:t>
      </w:r>
      <w:r w:rsidRPr="00586043">
        <w:rPr>
          <w:rFonts w:cs="Arial"/>
          <w:sz w:val="16"/>
          <w:szCs w:val="16"/>
          <w:rtl/>
        </w:rPr>
        <w:t>ד"ה אסרה רבא)</w:t>
      </w:r>
      <w:r w:rsidRPr="00586043">
        <w:rPr>
          <w:rFonts w:cs="Arial" w:hint="cs"/>
          <w:sz w:val="16"/>
          <w:szCs w:val="16"/>
          <w:rtl/>
        </w:rPr>
        <w:t xml:space="preserve"> </w:t>
      </w:r>
      <w:r w:rsidRPr="00586043">
        <w:rPr>
          <w:rFonts w:cs="Arial" w:hint="cs"/>
          <w:rtl/>
        </w:rPr>
        <w:t>(ו</w:t>
      </w:r>
      <w:r w:rsidRPr="00586043">
        <w:rPr>
          <w:rFonts w:cs="Arial"/>
          <w:rtl/>
        </w:rPr>
        <w:t>רא"ש</w:t>
      </w:r>
      <w:r>
        <w:rPr>
          <w:rStyle w:val="a7"/>
          <w:rFonts w:cs="Arial"/>
          <w:rtl/>
        </w:rPr>
        <w:footnoteReference w:id="2315"/>
      </w:r>
      <w:r w:rsidRPr="00586043">
        <w:rPr>
          <w:rFonts w:cs="Arial"/>
          <w:sz w:val="16"/>
          <w:szCs w:val="16"/>
          <w:rtl/>
        </w:rPr>
        <w:t xml:space="preserve"> </w:t>
      </w:r>
      <w:r w:rsidRPr="00586043">
        <w:rPr>
          <w:rFonts w:cs="Arial" w:hint="cs"/>
          <w:sz w:val="16"/>
          <w:szCs w:val="16"/>
          <w:rtl/>
        </w:rPr>
        <w:t xml:space="preserve">להב' הטור </w:t>
      </w:r>
      <w:r w:rsidRPr="00586043">
        <w:rPr>
          <w:rFonts w:cs="Arial" w:hint="cs"/>
          <w:sz w:val="14"/>
          <w:szCs w:val="14"/>
          <w:rtl/>
        </w:rPr>
        <w:t>[</w:t>
      </w:r>
      <w:r w:rsidRPr="00586043">
        <w:rPr>
          <w:rFonts w:cs="Arial"/>
          <w:sz w:val="14"/>
          <w:szCs w:val="14"/>
          <w:rtl/>
        </w:rPr>
        <w:t>סי</w:t>
      </w:r>
      <w:r w:rsidRPr="00586043">
        <w:rPr>
          <w:rFonts w:cs="Arial" w:hint="cs"/>
          <w:sz w:val="14"/>
          <w:szCs w:val="14"/>
          <w:rtl/>
        </w:rPr>
        <w:t>'</w:t>
      </w:r>
      <w:r w:rsidRPr="00586043">
        <w:rPr>
          <w:rFonts w:cs="Arial"/>
          <w:sz w:val="14"/>
          <w:szCs w:val="14"/>
          <w:rtl/>
        </w:rPr>
        <w:t xml:space="preserve"> קח</w:t>
      </w:r>
      <w:r w:rsidRPr="00586043">
        <w:rPr>
          <w:rFonts w:cs="Arial" w:hint="cs"/>
          <w:sz w:val="14"/>
          <w:szCs w:val="14"/>
          <w:rtl/>
        </w:rPr>
        <w:t>]</w:t>
      </w:r>
      <w:r w:rsidRPr="00586043">
        <w:rPr>
          <w:rFonts w:cs="Arial" w:hint="cs"/>
          <w:rtl/>
        </w:rPr>
        <w:t xml:space="preserve">)- </w:t>
      </w:r>
      <w:r>
        <w:rPr>
          <w:rFonts w:cs="Arial" w:hint="cs"/>
          <w:rtl/>
        </w:rPr>
        <w:t>אסור, ד</w:t>
      </w:r>
      <w:r w:rsidRPr="00586043">
        <w:rPr>
          <w:rFonts w:cs="Arial"/>
          <w:rtl/>
        </w:rPr>
        <w:t>ריחא מילתא היא</w:t>
      </w:r>
      <w:r w:rsidRPr="00C774D0">
        <w:rPr>
          <w:rFonts w:cs="Arial" w:hint="cs"/>
          <w:sz w:val="16"/>
          <w:szCs w:val="16"/>
          <w:rtl/>
        </w:rPr>
        <w:t xml:space="preserve"> </w:t>
      </w:r>
      <w:r>
        <w:rPr>
          <w:rFonts w:cs="Arial" w:hint="cs"/>
          <w:sz w:val="16"/>
          <w:szCs w:val="16"/>
          <w:rtl/>
        </w:rPr>
        <w:t>(</w:t>
      </w:r>
      <w:r w:rsidRPr="00C774D0">
        <w:rPr>
          <w:rFonts w:cs="Arial" w:hint="cs"/>
          <w:sz w:val="16"/>
          <w:szCs w:val="16"/>
          <w:rtl/>
        </w:rPr>
        <w:t>כרב)</w:t>
      </w:r>
      <w:r w:rsidRPr="00586043">
        <w:rPr>
          <w:rFonts w:cs="Arial"/>
          <w:rtl/>
        </w:rPr>
        <w:t>.</w:t>
      </w:r>
    </w:p>
    <w:p w14:paraId="46BF68E7" w14:textId="77777777" w:rsidR="002C39F4" w:rsidRPr="00E60643" w:rsidRDefault="002C39F4" w:rsidP="0032102C">
      <w:pPr>
        <w:pStyle w:val="a8"/>
        <w:numPr>
          <w:ilvl w:val="0"/>
          <w:numId w:val="139"/>
        </w:numPr>
        <w:rPr>
          <w:rFonts w:cs="Arial"/>
          <w:rtl/>
        </w:rPr>
      </w:pPr>
      <w:r w:rsidRPr="00586043">
        <w:rPr>
          <w:rFonts w:cs="Arial"/>
          <w:rtl/>
        </w:rPr>
        <w:t>רי"ף</w:t>
      </w:r>
      <w:r w:rsidRPr="00586043">
        <w:rPr>
          <w:rFonts w:cs="Arial" w:hint="cs"/>
          <w:rtl/>
        </w:rPr>
        <w:t xml:space="preserve"> </w:t>
      </w:r>
      <w:r w:rsidRPr="00586043">
        <w:rPr>
          <w:rFonts w:cs="Arial"/>
          <w:sz w:val="16"/>
          <w:szCs w:val="16"/>
          <w:rtl/>
        </w:rPr>
        <w:t xml:space="preserve">(לב:) </w:t>
      </w:r>
      <w:r w:rsidRPr="00586043">
        <w:rPr>
          <w:rFonts w:cs="Arial"/>
          <w:rtl/>
        </w:rPr>
        <w:t xml:space="preserve">רמב"ם </w:t>
      </w:r>
      <w:r w:rsidRPr="00586043">
        <w:rPr>
          <w:rFonts w:cs="Arial" w:hint="cs"/>
          <w:sz w:val="16"/>
          <w:szCs w:val="16"/>
          <w:rtl/>
        </w:rPr>
        <w:t>(</w:t>
      </w:r>
      <w:r w:rsidRPr="00586043">
        <w:rPr>
          <w:rFonts w:cs="Arial"/>
          <w:sz w:val="16"/>
          <w:szCs w:val="16"/>
          <w:rtl/>
        </w:rPr>
        <w:t>פט"ו הל"ג)</w:t>
      </w:r>
      <w:r>
        <w:rPr>
          <w:rFonts w:cs="Arial" w:hint="cs"/>
          <w:rtl/>
        </w:rPr>
        <w:t xml:space="preserve"> ו</w:t>
      </w:r>
      <w:r w:rsidRPr="00586043">
        <w:rPr>
          <w:rFonts w:cs="Arial" w:hint="cs"/>
          <w:rtl/>
        </w:rPr>
        <w:t>רשב"א</w:t>
      </w:r>
      <w:r>
        <w:rPr>
          <w:rStyle w:val="a7"/>
          <w:rFonts w:cs="Arial"/>
          <w:rtl/>
        </w:rPr>
        <w:footnoteReference w:id="2316"/>
      </w:r>
      <w:r w:rsidRPr="00586043">
        <w:rPr>
          <w:rFonts w:cs="Arial" w:hint="cs"/>
          <w:rtl/>
        </w:rPr>
        <w:t xml:space="preserve"> </w:t>
      </w:r>
      <w:r w:rsidRPr="00586043">
        <w:rPr>
          <w:rFonts w:cs="Arial" w:hint="cs"/>
          <w:sz w:val="16"/>
          <w:szCs w:val="16"/>
          <w:rtl/>
        </w:rPr>
        <w:t xml:space="preserve">(תוה"ק </w:t>
      </w:r>
      <w:r w:rsidRPr="00586043">
        <w:rPr>
          <w:rFonts w:cs="Arial"/>
          <w:sz w:val="16"/>
          <w:szCs w:val="16"/>
          <w:rtl/>
        </w:rPr>
        <w:t>ב"ד ש"א י.)</w:t>
      </w:r>
      <w:r w:rsidRPr="00586043">
        <w:rPr>
          <w:rFonts w:cs="Arial" w:hint="cs"/>
          <w:rtl/>
        </w:rPr>
        <w:t>-</w:t>
      </w:r>
      <w:r w:rsidRPr="00586043">
        <w:rPr>
          <w:rFonts w:cs="Arial"/>
          <w:rtl/>
        </w:rPr>
        <w:t xml:space="preserve"> </w:t>
      </w:r>
      <w:r>
        <w:rPr>
          <w:rFonts w:cs="Arial" w:hint="cs"/>
          <w:rtl/>
        </w:rPr>
        <w:t>מותר, דריחא לאו מילתא היא</w:t>
      </w:r>
      <w:r w:rsidRPr="00586043">
        <w:rPr>
          <w:rFonts w:cs="Arial" w:hint="cs"/>
          <w:rtl/>
        </w:rPr>
        <w:t xml:space="preserve"> </w:t>
      </w:r>
      <w:r w:rsidRPr="00C774D0">
        <w:rPr>
          <w:rFonts w:cs="Arial" w:hint="cs"/>
          <w:sz w:val="16"/>
          <w:szCs w:val="16"/>
          <w:rtl/>
        </w:rPr>
        <w:t>(</w:t>
      </w:r>
      <w:r w:rsidRPr="00C774D0">
        <w:rPr>
          <w:rFonts w:cs="Arial"/>
          <w:sz w:val="16"/>
          <w:szCs w:val="16"/>
          <w:rtl/>
        </w:rPr>
        <w:t>כלוי</w:t>
      </w:r>
      <w:r>
        <w:rPr>
          <w:rFonts w:cs="Arial" w:hint="cs"/>
          <w:sz w:val="16"/>
          <w:szCs w:val="16"/>
          <w:rtl/>
        </w:rPr>
        <w:t>)</w:t>
      </w:r>
      <w:r w:rsidRPr="00586043">
        <w:rPr>
          <w:rFonts w:cs="Arial" w:hint="cs"/>
          <w:rtl/>
        </w:rPr>
        <w:t>,</w:t>
      </w:r>
      <w:r w:rsidRPr="00586043">
        <w:rPr>
          <w:rFonts w:cs="Arial"/>
          <w:rtl/>
        </w:rPr>
        <w:t xml:space="preserve"> </w:t>
      </w:r>
      <w:r>
        <w:rPr>
          <w:rFonts w:cs="Arial" w:hint="cs"/>
          <w:rtl/>
        </w:rPr>
        <w:t>'</w:t>
      </w:r>
      <w:r w:rsidRPr="00586043">
        <w:rPr>
          <w:rFonts w:cs="Arial"/>
          <w:rtl/>
        </w:rPr>
        <w:t>ולוי לא קא שרי הכין אלא דיעבד דהא לוי שצלאו קאמר ולא אמר צולין לכתחלה</w:t>
      </w:r>
      <w:r>
        <w:rPr>
          <w:rFonts w:cs="Arial" w:hint="cs"/>
          <w:rtl/>
        </w:rPr>
        <w:t>'</w:t>
      </w:r>
      <w:r w:rsidRPr="00586043">
        <w:rPr>
          <w:rFonts w:cs="Arial" w:hint="cs"/>
          <w:sz w:val="16"/>
          <w:szCs w:val="16"/>
          <w:rtl/>
        </w:rPr>
        <w:t xml:space="preserve"> (ל' הרי"ף)</w:t>
      </w:r>
      <w:r w:rsidRPr="00586043">
        <w:rPr>
          <w:rFonts w:cs="Arial" w:hint="cs"/>
          <w:rtl/>
        </w:rPr>
        <w:t>, הלכך- '</w:t>
      </w:r>
      <w:r w:rsidRPr="00586043">
        <w:rPr>
          <w:rFonts w:cs="Arial"/>
          <w:rtl/>
        </w:rPr>
        <w:t>אין צולין בשר שחוטה עם בשר נבלה או בהמה טמאה בתנור אחד ואע</w:t>
      </w:r>
      <w:r w:rsidRPr="00586043">
        <w:rPr>
          <w:rFonts w:cs="Arial" w:hint="cs"/>
          <w:rtl/>
        </w:rPr>
        <w:t>"</w:t>
      </w:r>
      <w:r w:rsidRPr="00586043">
        <w:rPr>
          <w:rFonts w:cs="Arial"/>
          <w:rtl/>
        </w:rPr>
        <w:t>פ שאין נוגעין זה בזה ואם צלאן הרי זה מותר ואפילו היתה האסורה שמנה הרבה והמותרת רזה שהריח אינו אוסר</w:t>
      </w:r>
      <w:r>
        <w:rPr>
          <w:rFonts w:cs="Arial" w:hint="cs"/>
          <w:rtl/>
        </w:rPr>
        <w:t>,</w:t>
      </w:r>
      <w:r w:rsidRPr="00586043">
        <w:rPr>
          <w:rFonts w:cs="Arial"/>
          <w:rtl/>
        </w:rPr>
        <w:t xml:space="preserve"> אלא טעמו של איסור</w:t>
      </w:r>
      <w:r w:rsidRPr="00586043">
        <w:rPr>
          <w:rFonts w:cs="Arial" w:hint="cs"/>
          <w:rtl/>
        </w:rPr>
        <w:t>'</w:t>
      </w:r>
      <w:r w:rsidRPr="00586043">
        <w:rPr>
          <w:rFonts w:cs="Arial" w:hint="cs"/>
          <w:sz w:val="16"/>
          <w:szCs w:val="16"/>
          <w:rtl/>
        </w:rPr>
        <w:t xml:space="preserve"> (ל' הרמב"ם)</w:t>
      </w:r>
      <w:r w:rsidRPr="00586043">
        <w:rPr>
          <w:rFonts w:cs="Arial" w:hint="cs"/>
          <w:rtl/>
        </w:rPr>
        <w:t>.</w:t>
      </w:r>
      <w:r w:rsidRPr="00804230">
        <w:rPr>
          <w:rFonts w:cs="Arial" w:hint="cs"/>
          <w:color w:val="E36C0A" w:themeColor="accent6" w:themeShade="BF"/>
          <w:rtl/>
        </w:rPr>
        <w:t xml:space="preserve"> (וכ"פ בשו"ע)</w:t>
      </w:r>
    </w:p>
    <w:p w14:paraId="3828483A" w14:textId="77777777" w:rsidR="002C39F4" w:rsidRPr="005C0739" w:rsidRDefault="002C39F4" w:rsidP="0032102C">
      <w:pPr>
        <w:pStyle w:val="a8"/>
        <w:numPr>
          <w:ilvl w:val="1"/>
          <w:numId w:val="139"/>
        </w:numPr>
        <w:rPr>
          <w:rFonts w:cs="Arial"/>
        </w:rPr>
      </w:pPr>
      <w:r>
        <w:rPr>
          <w:rFonts w:cs="Arial" w:hint="cs"/>
          <w:rtl/>
        </w:rPr>
        <w:t>ב"י- ו</w:t>
      </w:r>
      <w:r w:rsidRPr="00586043">
        <w:rPr>
          <w:rFonts w:cs="Arial"/>
          <w:rtl/>
        </w:rPr>
        <w:t>לענין הלכה כיון שהרי"ף והרמב"ם ורוב המורים מסכימים לדעת אחת הכי נקטינן להתיר בדיעבד א</w:t>
      </w:r>
      <w:r>
        <w:rPr>
          <w:rFonts w:cs="Arial"/>
          <w:rtl/>
        </w:rPr>
        <w:t>בל לכתחלה אסור לצלותם בתנור צר</w:t>
      </w:r>
      <w:r>
        <w:rPr>
          <w:rStyle w:val="a7"/>
          <w:rFonts w:cs="Arial"/>
          <w:rtl/>
        </w:rPr>
        <w:footnoteReference w:id="2317"/>
      </w:r>
      <w:r>
        <w:rPr>
          <w:rFonts w:cs="Arial" w:hint="cs"/>
          <w:rtl/>
        </w:rPr>
        <w:t>.</w:t>
      </w:r>
      <w:r w:rsidRPr="005C0739">
        <w:rPr>
          <w:rFonts w:cs="Arial"/>
          <w:rtl/>
        </w:rPr>
        <w:t xml:space="preserve"> </w:t>
      </w:r>
    </w:p>
    <w:p w14:paraId="7C679888" w14:textId="77777777" w:rsidR="002C39F4" w:rsidRPr="008822B5" w:rsidRDefault="002C39F4" w:rsidP="002C39F4">
      <w:pPr>
        <w:rPr>
          <w:rFonts w:cs="Arial"/>
          <w:u w:val="single"/>
          <w:rtl/>
        </w:rPr>
      </w:pPr>
      <w:r w:rsidRPr="008822B5">
        <w:rPr>
          <w:rFonts w:cs="Arial"/>
          <w:u w:val="single"/>
          <w:rtl/>
        </w:rPr>
        <w:t>פת שאפאה</w:t>
      </w:r>
      <w:r w:rsidRPr="008822B5">
        <w:rPr>
          <w:rFonts w:cs="Arial" w:hint="cs"/>
          <w:u w:val="single"/>
          <w:rtl/>
        </w:rPr>
        <w:t xml:space="preserve"> </w:t>
      </w:r>
      <w:r w:rsidRPr="008822B5">
        <w:rPr>
          <w:rFonts w:cs="Arial"/>
          <w:u w:val="single"/>
          <w:rtl/>
        </w:rPr>
        <w:t>עם צלי</w:t>
      </w:r>
      <w:r w:rsidRPr="00F43EBD">
        <w:rPr>
          <w:rFonts w:cs="Arial"/>
          <w:sz w:val="16"/>
          <w:szCs w:val="16"/>
          <w:u w:val="single"/>
          <w:rtl/>
        </w:rPr>
        <w:t xml:space="preserve"> </w:t>
      </w:r>
      <w:r w:rsidRPr="00F43EBD">
        <w:rPr>
          <w:rFonts w:cs="Arial" w:hint="cs"/>
          <w:sz w:val="16"/>
          <w:szCs w:val="16"/>
          <w:u w:val="single"/>
          <w:rtl/>
        </w:rPr>
        <w:t xml:space="preserve">(או </w:t>
      </w:r>
      <w:r w:rsidRPr="00F43EBD">
        <w:rPr>
          <w:rFonts w:cs="Arial"/>
          <w:sz w:val="16"/>
          <w:szCs w:val="16"/>
          <w:u w:val="single"/>
          <w:rtl/>
        </w:rPr>
        <w:t>ביניתא דאיטויא בהדי בישרא</w:t>
      </w:r>
      <w:r w:rsidRPr="00F43EBD">
        <w:rPr>
          <w:rFonts w:cs="Arial" w:hint="cs"/>
          <w:sz w:val="16"/>
          <w:szCs w:val="16"/>
          <w:u w:val="single"/>
          <w:rtl/>
        </w:rPr>
        <w:t>)</w:t>
      </w:r>
      <w:r>
        <w:rPr>
          <w:rFonts w:cs="Arial" w:hint="cs"/>
          <w:u w:val="single"/>
          <w:rtl/>
        </w:rPr>
        <w:t xml:space="preserve"> בתנור</w:t>
      </w:r>
      <w:r w:rsidRPr="00F43EBD">
        <w:rPr>
          <w:rFonts w:cs="Arial" w:hint="cs"/>
          <w:b/>
          <w:bCs/>
          <w:u w:val="single"/>
          <w:rtl/>
        </w:rPr>
        <w:t xml:space="preserve"> קטן</w:t>
      </w:r>
      <w:r>
        <w:rPr>
          <w:rFonts w:cs="Arial" w:hint="cs"/>
          <w:u w:val="single"/>
          <w:rtl/>
        </w:rPr>
        <w:t xml:space="preserve"> </w:t>
      </w:r>
      <w:r>
        <w:rPr>
          <w:rFonts w:cs="Arial"/>
          <w:u w:val="single"/>
          <w:rtl/>
        </w:rPr>
        <w:t>–</w:t>
      </w:r>
      <w:r>
        <w:rPr>
          <w:rFonts w:cs="Arial" w:hint="cs"/>
          <w:u w:val="single"/>
          <w:rtl/>
        </w:rPr>
        <w:t xml:space="preserve"> מהו לאוכלו בכותח</w:t>
      </w:r>
      <w:r w:rsidRPr="008822B5">
        <w:rPr>
          <w:rFonts w:cs="Arial" w:hint="cs"/>
          <w:u w:val="single"/>
          <w:rtl/>
        </w:rPr>
        <w:t>:</w:t>
      </w:r>
      <w:r>
        <w:rPr>
          <w:rFonts w:cs="Arial" w:hint="cs"/>
          <w:sz w:val="16"/>
          <w:szCs w:val="16"/>
          <w:rtl/>
        </w:rPr>
        <w:t xml:space="preserve">  (הועתק מסי' צז)</w:t>
      </w:r>
    </w:p>
    <w:p w14:paraId="2D5393D7" w14:textId="77777777" w:rsidR="002C39F4" w:rsidRPr="008822B5" w:rsidRDefault="002C39F4" w:rsidP="0032102C">
      <w:pPr>
        <w:pStyle w:val="a8"/>
        <w:numPr>
          <w:ilvl w:val="0"/>
          <w:numId w:val="139"/>
        </w:numPr>
        <w:rPr>
          <w:rFonts w:cs="Arial"/>
        </w:rPr>
      </w:pPr>
      <w:r w:rsidRPr="00865737">
        <w:rPr>
          <w:rFonts w:cs="Arial"/>
          <w:rtl/>
        </w:rPr>
        <w:t>רי"ף</w:t>
      </w:r>
      <w:r w:rsidRPr="00865737">
        <w:rPr>
          <w:rFonts w:cs="Arial" w:hint="cs"/>
          <w:rtl/>
        </w:rPr>
        <w:t xml:space="preserve"> </w:t>
      </w:r>
      <w:r w:rsidRPr="00865737">
        <w:rPr>
          <w:rFonts w:cs="Arial"/>
          <w:sz w:val="16"/>
          <w:szCs w:val="16"/>
          <w:rtl/>
        </w:rPr>
        <w:t>(לב:)</w:t>
      </w:r>
      <w:r w:rsidRPr="0054371F">
        <w:rPr>
          <w:rFonts w:cs="Arial"/>
          <w:rtl/>
        </w:rPr>
        <w:t xml:space="preserve"> </w:t>
      </w:r>
      <w:r>
        <w:rPr>
          <w:rFonts w:cs="Arial" w:hint="cs"/>
          <w:rtl/>
        </w:rPr>
        <w:t>ו</w:t>
      </w:r>
      <w:r w:rsidRPr="00135581">
        <w:rPr>
          <w:rFonts w:cs="Arial"/>
          <w:rtl/>
        </w:rPr>
        <w:t xml:space="preserve">רמב"ם </w:t>
      </w:r>
      <w:r w:rsidRPr="00586043">
        <w:rPr>
          <w:rFonts w:cs="Arial" w:hint="cs"/>
          <w:sz w:val="16"/>
          <w:szCs w:val="16"/>
          <w:rtl/>
        </w:rPr>
        <w:t>(</w:t>
      </w:r>
      <w:r w:rsidRPr="00586043">
        <w:rPr>
          <w:rFonts w:cs="Arial"/>
          <w:sz w:val="16"/>
          <w:szCs w:val="16"/>
          <w:rtl/>
        </w:rPr>
        <w:t>פ</w:t>
      </w:r>
      <w:r w:rsidRPr="00586043">
        <w:rPr>
          <w:rFonts w:cs="Arial" w:hint="cs"/>
          <w:sz w:val="16"/>
          <w:szCs w:val="16"/>
          <w:rtl/>
        </w:rPr>
        <w:t>"</w:t>
      </w:r>
      <w:r w:rsidRPr="00586043">
        <w:rPr>
          <w:rFonts w:cs="Arial"/>
          <w:sz w:val="16"/>
          <w:szCs w:val="16"/>
          <w:rtl/>
        </w:rPr>
        <w:t>ט ה</w:t>
      </w:r>
      <w:r w:rsidRPr="00586043">
        <w:rPr>
          <w:rFonts w:cs="Arial" w:hint="cs"/>
          <w:sz w:val="16"/>
          <w:szCs w:val="16"/>
          <w:rtl/>
        </w:rPr>
        <w:t>כ</w:t>
      </w:r>
      <w:r w:rsidRPr="00586043">
        <w:rPr>
          <w:rFonts w:cs="Arial"/>
          <w:sz w:val="16"/>
          <w:szCs w:val="16"/>
          <w:rtl/>
        </w:rPr>
        <w:t>"ג)</w:t>
      </w:r>
      <w:r w:rsidRPr="00865737">
        <w:rPr>
          <w:rFonts w:cs="Arial" w:hint="cs"/>
          <w:rtl/>
        </w:rPr>
        <w:t>-</w:t>
      </w:r>
      <w:r w:rsidRPr="00865737">
        <w:rPr>
          <w:rFonts w:cs="Arial"/>
          <w:rtl/>
        </w:rPr>
        <w:t xml:space="preserve"> </w:t>
      </w:r>
      <w:r>
        <w:rPr>
          <w:rFonts w:cs="Arial" w:hint="cs"/>
          <w:rtl/>
        </w:rPr>
        <w:t>אסור לאוכלן</w:t>
      </w:r>
      <w:r w:rsidRPr="00C774D0">
        <w:rPr>
          <w:rFonts w:cs="Arial"/>
          <w:rtl/>
        </w:rPr>
        <w:t xml:space="preserve"> </w:t>
      </w:r>
      <w:r w:rsidRPr="00BB19A3">
        <w:rPr>
          <w:rFonts w:cs="Arial"/>
          <w:rtl/>
        </w:rPr>
        <w:t>בכותחא</w:t>
      </w:r>
      <w:r>
        <w:rPr>
          <w:rFonts w:cs="Arial" w:hint="cs"/>
          <w:rtl/>
        </w:rPr>
        <w:t xml:space="preserve"> גם לדעת לוי</w:t>
      </w:r>
      <w:r>
        <w:rPr>
          <w:rStyle w:val="a7"/>
          <w:rFonts w:cs="Arial"/>
          <w:rtl/>
        </w:rPr>
        <w:footnoteReference w:id="2318"/>
      </w:r>
      <w:r w:rsidRPr="008822B5">
        <w:rPr>
          <w:rFonts w:cs="Arial"/>
          <w:rtl/>
        </w:rPr>
        <w:t xml:space="preserve">. </w:t>
      </w:r>
      <w:r w:rsidRPr="008822B5">
        <w:rPr>
          <w:rFonts w:cs="Arial" w:hint="cs"/>
          <w:color w:val="E36C0A" w:themeColor="accent6" w:themeShade="BF"/>
          <w:rtl/>
        </w:rPr>
        <w:t>(וכ"פ בשו"ע</w:t>
      </w:r>
      <w:r>
        <w:rPr>
          <w:rFonts w:cs="Arial" w:hint="cs"/>
          <w:sz w:val="16"/>
          <w:szCs w:val="16"/>
          <w:rtl/>
        </w:rPr>
        <w:t xml:space="preserve"> [בסי' צז]</w:t>
      </w:r>
      <w:r w:rsidRPr="008822B5">
        <w:rPr>
          <w:rFonts w:cs="Arial" w:hint="cs"/>
          <w:color w:val="E36C0A" w:themeColor="accent6" w:themeShade="BF"/>
          <w:rtl/>
        </w:rPr>
        <w:t>)</w:t>
      </w:r>
      <w:r w:rsidRPr="009E0483">
        <w:rPr>
          <w:rFonts w:cs="Arial" w:hint="cs"/>
          <w:color w:val="00B0F0"/>
          <w:rtl/>
        </w:rPr>
        <w:t xml:space="preserve"> </w:t>
      </w:r>
      <w:r w:rsidRPr="00541475">
        <w:rPr>
          <w:rFonts w:cs="Arial" w:hint="cs"/>
          <w:color w:val="00B0F0"/>
          <w:rtl/>
        </w:rPr>
        <w:t>(וכ"פ הרמ"א)</w:t>
      </w:r>
    </w:p>
    <w:p w14:paraId="7A5B7173" w14:textId="77777777" w:rsidR="002C39F4" w:rsidRPr="00F373A0" w:rsidRDefault="002C39F4" w:rsidP="0032102C">
      <w:pPr>
        <w:pStyle w:val="a8"/>
        <w:numPr>
          <w:ilvl w:val="0"/>
          <w:numId w:val="139"/>
        </w:numPr>
        <w:rPr>
          <w:rFonts w:cs="Arial"/>
          <w:rtl/>
        </w:rPr>
      </w:pPr>
      <w:r w:rsidRPr="00135581">
        <w:rPr>
          <w:rFonts w:cs="Arial"/>
          <w:rtl/>
        </w:rPr>
        <w:t xml:space="preserve">ראבי"ה </w:t>
      </w:r>
      <w:r w:rsidRPr="00586043">
        <w:rPr>
          <w:rFonts w:cs="Arial"/>
          <w:sz w:val="16"/>
          <w:szCs w:val="16"/>
          <w:rtl/>
        </w:rPr>
        <w:t>(פסחים סי' תקז</w:t>
      </w:r>
      <w:r>
        <w:rPr>
          <w:rFonts w:cs="Arial" w:hint="cs"/>
          <w:sz w:val="16"/>
          <w:szCs w:val="16"/>
          <w:rtl/>
        </w:rPr>
        <w:t>,</w:t>
      </w:r>
      <w:r w:rsidRPr="00F373A0">
        <w:rPr>
          <w:rFonts w:cs="Arial" w:hint="cs"/>
          <w:sz w:val="16"/>
          <w:szCs w:val="16"/>
          <w:rtl/>
        </w:rPr>
        <w:t xml:space="preserve"> </w:t>
      </w:r>
      <w:r>
        <w:rPr>
          <w:rFonts w:cs="Arial" w:hint="cs"/>
          <w:sz w:val="16"/>
          <w:szCs w:val="16"/>
          <w:rtl/>
        </w:rPr>
        <w:t xml:space="preserve">הביאו המרדכי [חולין </w:t>
      </w:r>
      <w:r w:rsidRPr="00586043">
        <w:rPr>
          <w:rFonts w:cs="Arial" w:hint="cs"/>
          <w:sz w:val="16"/>
          <w:szCs w:val="16"/>
          <w:rtl/>
        </w:rPr>
        <w:t>סי' תרסה</w:t>
      </w:r>
      <w:r>
        <w:rPr>
          <w:rFonts w:cs="Arial" w:hint="cs"/>
          <w:sz w:val="16"/>
          <w:szCs w:val="16"/>
          <w:rtl/>
        </w:rPr>
        <w:t>]</w:t>
      </w:r>
      <w:r w:rsidRPr="00586043">
        <w:rPr>
          <w:rFonts w:cs="Arial"/>
          <w:sz w:val="16"/>
          <w:szCs w:val="16"/>
          <w:rtl/>
        </w:rPr>
        <w:t>)</w:t>
      </w:r>
      <w:r>
        <w:rPr>
          <w:rFonts w:cs="Arial" w:hint="cs"/>
          <w:rtl/>
        </w:rPr>
        <w:t>-</w:t>
      </w:r>
      <w:r w:rsidRPr="00135581">
        <w:rPr>
          <w:rFonts w:cs="Arial"/>
          <w:rtl/>
        </w:rPr>
        <w:t xml:space="preserve"> </w:t>
      </w:r>
      <w:r>
        <w:rPr>
          <w:rFonts w:cs="Arial" w:hint="cs"/>
          <w:rtl/>
        </w:rPr>
        <w:t>מותר לאוכלן בכותח גם לדעת רב</w:t>
      </w:r>
      <w:r>
        <w:rPr>
          <w:rStyle w:val="a7"/>
          <w:rFonts w:cs="Arial"/>
          <w:rtl/>
        </w:rPr>
        <w:footnoteReference w:id="2319"/>
      </w:r>
      <w:r>
        <w:rPr>
          <w:rFonts w:cs="Arial" w:hint="cs"/>
          <w:rtl/>
        </w:rPr>
        <w:t>.</w:t>
      </w:r>
    </w:p>
    <w:p w14:paraId="211C3A85" w14:textId="77777777" w:rsidR="002C39F4" w:rsidRDefault="002C39F4" w:rsidP="0032102C">
      <w:pPr>
        <w:pStyle w:val="a8"/>
        <w:numPr>
          <w:ilvl w:val="0"/>
          <w:numId w:val="139"/>
        </w:numPr>
        <w:rPr>
          <w:rFonts w:cs="Arial"/>
        </w:rPr>
      </w:pPr>
      <w:r w:rsidRPr="00586043">
        <w:rPr>
          <w:rFonts w:cs="Arial" w:hint="cs"/>
          <w:rtl/>
        </w:rPr>
        <w:t xml:space="preserve">רשב"א </w:t>
      </w:r>
      <w:r w:rsidRPr="00586043">
        <w:rPr>
          <w:rFonts w:cs="Arial" w:hint="cs"/>
          <w:sz w:val="16"/>
          <w:szCs w:val="16"/>
          <w:rtl/>
        </w:rPr>
        <w:t xml:space="preserve">(תוה"ק </w:t>
      </w:r>
      <w:r w:rsidRPr="00586043">
        <w:rPr>
          <w:rFonts w:cs="Arial"/>
          <w:sz w:val="16"/>
          <w:szCs w:val="16"/>
          <w:rtl/>
        </w:rPr>
        <w:t>ב"ד ש"א י.)</w:t>
      </w:r>
      <w:r w:rsidRPr="00586043">
        <w:rPr>
          <w:rFonts w:cs="Arial" w:hint="cs"/>
          <w:rtl/>
        </w:rPr>
        <w:t>-</w:t>
      </w:r>
      <w:r w:rsidRPr="00586043">
        <w:rPr>
          <w:rFonts w:cs="Arial"/>
          <w:rtl/>
        </w:rPr>
        <w:t xml:space="preserve"> </w:t>
      </w:r>
      <w:r>
        <w:rPr>
          <w:rFonts w:cs="Arial" w:hint="cs"/>
          <w:rtl/>
        </w:rPr>
        <w:t>לכתחילה אסור לצלותם בתנור אחד צר, ובדיעבד שרי לאוכלן בכותח</w:t>
      </w:r>
      <w:r>
        <w:rPr>
          <w:rStyle w:val="a7"/>
          <w:rFonts w:cs="Arial"/>
          <w:rtl/>
        </w:rPr>
        <w:footnoteReference w:id="2320"/>
      </w:r>
      <w:r>
        <w:rPr>
          <w:rFonts w:cs="Arial" w:hint="cs"/>
          <w:rtl/>
        </w:rPr>
        <w:t>.</w:t>
      </w:r>
    </w:p>
    <w:p w14:paraId="52FDCFF7" w14:textId="77777777" w:rsidR="002C39F4" w:rsidRPr="000124E5" w:rsidRDefault="002C39F4" w:rsidP="002C39F4">
      <w:pPr>
        <w:ind w:left="360"/>
        <w:rPr>
          <w:rFonts w:cs="Arial"/>
          <w:u w:val="dotted"/>
          <w:rtl/>
        </w:rPr>
      </w:pPr>
      <w:r>
        <w:rPr>
          <w:rFonts w:cs="Arial" w:hint="cs"/>
          <w:u w:val="dotted"/>
          <w:rtl/>
        </w:rPr>
        <w:t xml:space="preserve">לדעת האוסרים </w:t>
      </w:r>
      <w:r>
        <w:rPr>
          <w:rFonts w:cs="Arial"/>
          <w:u w:val="dotted"/>
          <w:rtl/>
        </w:rPr>
        <w:t>–</w:t>
      </w:r>
      <w:r>
        <w:rPr>
          <w:rFonts w:cs="Arial" w:hint="cs"/>
          <w:u w:val="dotted"/>
          <w:rtl/>
        </w:rPr>
        <w:t xml:space="preserve"> מה הדין כ</w:t>
      </w:r>
      <w:r w:rsidRPr="000124E5">
        <w:rPr>
          <w:rFonts w:cs="Arial" w:hint="cs"/>
          <w:u w:val="dotted"/>
          <w:rtl/>
        </w:rPr>
        <w:t xml:space="preserve">שאפה </w:t>
      </w:r>
      <w:r w:rsidRPr="000124E5">
        <w:rPr>
          <w:rFonts w:cs="Arial" w:hint="cs"/>
          <w:sz w:val="16"/>
          <w:szCs w:val="16"/>
          <w:u w:val="dotted"/>
          <w:rtl/>
        </w:rPr>
        <w:t>(כנ"ל</w:t>
      </w:r>
      <w:r>
        <w:rPr>
          <w:rFonts w:cs="Arial" w:hint="cs"/>
          <w:sz w:val="16"/>
          <w:szCs w:val="16"/>
          <w:u w:val="dotted"/>
          <w:rtl/>
        </w:rPr>
        <w:t>)</w:t>
      </w:r>
      <w:r w:rsidRPr="000124E5">
        <w:rPr>
          <w:rFonts w:cs="Arial" w:hint="cs"/>
          <w:u w:val="dotted"/>
          <w:rtl/>
        </w:rPr>
        <w:t xml:space="preserve"> בתנור</w:t>
      </w:r>
      <w:r w:rsidRPr="000124E5">
        <w:rPr>
          <w:rFonts w:cs="Arial" w:hint="cs"/>
          <w:b/>
          <w:bCs/>
          <w:u w:val="dotted"/>
          <w:rtl/>
        </w:rPr>
        <w:t xml:space="preserve"> גדול</w:t>
      </w:r>
      <w:r w:rsidRPr="000124E5">
        <w:rPr>
          <w:rFonts w:cs="Arial" w:hint="cs"/>
          <w:u w:val="dotted"/>
          <w:rtl/>
        </w:rPr>
        <w:t>:</w:t>
      </w:r>
      <w:r>
        <w:rPr>
          <w:rFonts w:cs="Arial" w:hint="cs"/>
          <w:sz w:val="16"/>
          <w:szCs w:val="16"/>
          <w:rtl/>
        </w:rPr>
        <w:t xml:space="preserve">  (הועתק מסי' צז, ודרכ"מ כאן [אות ג])</w:t>
      </w:r>
    </w:p>
    <w:p w14:paraId="6E2013CA" w14:textId="77777777" w:rsidR="002C39F4" w:rsidRDefault="002C39F4" w:rsidP="0032102C">
      <w:pPr>
        <w:pStyle w:val="a8"/>
        <w:numPr>
          <w:ilvl w:val="0"/>
          <w:numId w:val="139"/>
        </w:numPr>
        <w:rPr>
          <w:rFonts w:cs="Arial"/>
        </w:rPr>
      </w:pPr>
      <w:r w:rsidRPr="00C32AC9">
        <w:rPr>
          <w:rFonts w:cs="Arial"/>
          <w:rtl/>
        </w:rPr>
        <w:t>תוס</w:t>
      </w:r>
      <w:r w:rsidRPr="00C32AC9">
        <w:rPr>
          <w:rFonts w:cs="Arial" w:hint="cs"/>
          <w:rtl/>
        </w:rPr>
        <w:t>'</w:t>
      </w:r>
      <w:r w:rsidRPr="00C32AC9">
        <w:rPr>
          <w:rFonts w:cs="Arial"/>
          <w:rtl/>
        </w:rPr>
        <w:t xml:space="preserve"> </w:t>
      </w:r>
      <w:r w:rsidRPr="00C32AC9">
        <w:rPr>
          <w:rFonts w:cs="Arial"/>
          <w:sz w:val="16"/>
          <w:szCs w:val="16"/>
          <w:rtl/>
        </w:rPr>
        <w:t>(פסחים עו: ד"ה אסרה רבא)</w:t>
      </w:r>
      <w:r w:rsidRPr="00C32AC9">
        <w:rPr>
          <w:rFonts w:cs="Arial" w:hint="cs"/>
          <w:rtl/>
        </w:rPr>
        <w:t>-</w:t>
      </w:r>
      <w:r>
        <w:rPr>
          <w:rFonts w:cs="Arial" w:hint="cs"/>
          <w:rtl/>
        </w:rPr>
        <w:t xml:space="preserve"> </w:t>
      </w:r>
      <w:r w:rsidRPr="00F40B3A">
        <w:rPr>
          <w:rFonts w:cs="Arial"/>
          <w:rtl/>
        </w:rPr>
        <w:t>בתנורים גדולים שלנו נראה דמותר לאפות לחם עם אותו פשטיד"א הואיל ומכוסות היטב הוי כעין שתי קדרות</w:t>
      </w:r>
      <w:r>
        <w:rPr>
          <w:rFonts w:cs="Arial" w:hint="cs"/>
          <w:rtl/>
        </w:rPr>
        <w:t>,</w:t>
      </w:r>
      <w:r w:rsidRPr="00F40B3A">
        <w:rPr>
          <w:rFonts w:cs="Arial"/>
          <w:rtl/>
        </w:rPr>
        <w:t xml:space="preserve"> ואפי' פלדונ"ש שיש להרחיק</w:t>
      </w:r>
      <w:r>
        <w:rPr>
          <w:rStyle w:val="a7"/>
          <w:rFonts w:cs="Arial"/>
          <w:rtl/>
        </w:rPr>
        <w:footnoteReference w:id="2321"/>
      </w:r>
      <w:r w:rsidRPr="00F40B3A">
        <w:rPr>
          <w:rFonts w:cs="Arial"/>
          <w:rtl/>
        </w:rPr>
        <w:t xml:space="preserve"> אין נראה לרבי </w:t>
      </w:r>
      <w:r>
        <w:rPr>
          <w:rFonts w:cs="Arial" w:hint="cs"/>
          <w:sz w:val="16"/>
          <w:szCs w:val="16"/>
          <w:rtl/>
        </w:rPr>
        <w:t xml:space="preserve">{ר"י הזקן} </w:t>
      </w:r>
      <w:r w:rsidRPr="00F40B3A">
        <w:rPr>
          <w:rFonts w:cs="Arial"/>
          <w:rtl/>
        </w:rPr>
        <w:t>שיהא אסור שיש אויר מרובה בתנור וההבל מתפשט.</w:t>
      </w:r>
      <w:r w:rsidRPr="00F40B3A">
        <w:rPr>
          <w:rFonts w:cs="Arial" w:hint="cs"/>
          <w:rtl/>
        </w:rPr>
        <w:t xml:space="preserve"> </w:t>
      </w:r>
    </w:p>
    <w:p w14:paraId="5FA41D26" w14:textId="77777777" w:rsidR="002C39F4" w:rsidRPr="002E76B8" w:rsidRDefault="002C39F4" w:rsidP="0032102C">
      <w:pPr>
        <w:pStyle w:val="a8"/>
        <w:numPr>
          <w:ilvl w:val="0"/>
          <w:numId w:val="139"/>
        </w:numPr>
        <w:rPr>
          <w:rFonts w:cs="Arial"/>
        </w:rPr>
      </w:pPr>
      <w:r>
        <w:rPr>
          <w:rFonts w:cs="Arial"/>
          <w:rtl/>
        </w:rPr>
        <w:t>תוס</w:t>
      </w:r>
      <w:r>
        <w:rPr>
          <w:rFonts w:cs="Arial" w:hint="cs"/>
          <w:rtl/>
        </w:rPr>
        <w:t>'</w:t>
      </w:r>
      <w:r>
        <w:rPr>
          <w:rFonts w:cs="Arial"/>
          <w:rtl/>
        </w:rPr>
        <w:t xml:space="preserve"> </w:t>
      </w:r>
      <w:r w:rsidRPr="009E1435">
        <w:rPr>
          <w:rFonts w:cs="Arial"/>
          <w:sz w:val="16"/>
          <w:szCs w:val="16"/>
          <w:rtl/>
        </w:rPr>
        <w:t>(</w:t>
      </w:r>
      <w:r>
        <w:rPr>
          <w:rFonts w:cs="Arial" w:hint="cs"/>
          <w:sz w:val="16"/>
          <w:szCs w:val="16"/>
          <w:rtl/>
        </w:rPr>
        <w:t xml:space="preserve">ע"ז </w:t>
      </w:r>
      <w:r w:rsidRPr="009E1435">
        <w:rPr>
          <w:rFonts w:cs="Arial"/>
          <w:sz w:val="16"/>
          <w:szCs w:val="16"/>
          <w:rtl/>
        </w:rPr>
        <w:t xml:space="preserve">סו: ד"ה רבא אמר) </w:t>
      </w:r>
      <w:r>
        <w:rPr>
          <w:rFonts w:cs="Arial"/>
          <w:rtl/>
        </w:rPr>
        <w:t xml:space="preserve">ורא"ש </w:t>
      </w:r>
      <w:r>
        <w:rPr>
          <w:rFonts w:cs="Arial"/>
          <w:sz w:val="16"/>
          <w:szCs w:val="16"/>
          <w:rtl/>
        </w:rPr>
        <w:t>(</w:t>
      </w:r>
      <w:r w:rsidRPr="009E1435">
        <w:rPr>
          <w:rFonts w:cs="Arial"/>
          <w:sz w:val="16"/>
          <w:szCs w:val="16"/>
          <w:rtl/>
        </w:rPr>
        <w:t xml:space="preserve">ע"ז </w:t>
      </w:r>
      <w:r>
        <w:rPr>
          <w:rFonts w:cs="Arial"/>
          <w:sz w:val="16"/>
          <w:szCs w:val="16"/>
          <w:rtl/>
        </w:rPr>
        <w:t>פ</w:t>
      </w:r>
      <w:r>
        <w:rPr>
          <w:rFonts w:cs="Arial" w:hint="cs"/>
          <w:sz w:val="16"/>
          <w:szCs w:val="16"/>
          <w:rtl/>
        </w:rPr>
        <w:t>"ה</w:t>
      </w:r>
      <w:r w:rsidRPr="009E1435">
        <w:rPr>
          <w:rFonts w:cs="Arial"/>
          <w:sz w:val="16"/>
          <w:szCs w:val="16"/>
          <w:rtl/>
        </w:rPr>
        <w:t xml:space="preserve"> סי' ח</w:t>
      </w:r>
      <w:r>
        <w:rPr>
          <w:rFonts w:cs="Arial" w:hint="cs"/>
          <w:sz w:val="16"/>
          <w:szCs w:val="16"/>
          <w:rtl/>
        </w:rPr>
        <w:t xml:space="preserve">, </w:t>
      </w:r>
      <w:r>
        <w:rPr>
          <w:rFonts w:cs="Arial"/>
          <w:sz w:val="16"/>
          <w:szCs w:val="16"/>
          <w:rtl/>
        </w:rPr>
        <w:t>וכתבו רבינו בסי</w:t>
      </w:r>
      <w:r>
        <w:rPr>
          <w:rFonts w:cs="Arial" w:hint="cs"/>
          <w:sz w:val="16"/>
          <w:szCs w:val="16"/>
          <w:rtl/>
        </w:rPr>
        <w:t>'</w:t>
      </w:r>
      <w:r>
        <w:rPr>
          <w:rFonts w:cs="Arial"/>
          <w:sz w:val="16"/>
          <w:szCs w:val="16"/>
          <w:rtl/>
        </w:rPr>
        <w:t xml:space="preserve"> קח</w:t>
      </w:r>
      <w:r>
        <w:rPr>
          <w:rFonts w:cs="Arial" w:hint="cs"/>
          <w:sz w:val="16"/>
          <w:szCs w:val="16"/>
          <w:rtl/>
        </w:rPr>
        <w:t xml:space="preserve"> [</w:t>
      </w:r>
      <w:r>
        <w:rPr>
          <w:rFonts w:cs="Arial"/>
          <w:sz w:val="16"/>
          <w:szCs w:val="16"/>
          <w:rtl/>
        </w:rPr>
        <w:t>קסט.</w:t>
      </w:r>
      <w:r>
        <w:rPr>
          <w:rFonts w:cs="Arial" w:hint="cs"/>
          <w:sz w:val="16"/>
          <w:szCs w:val="16"/>
          <w:rtl/>
        </w:rPr>
        <w:t>]</w:t>
      </w:r>
      <w:r w:rsidRPr="009E1435">
        <w:rPr>
          <w:rFonts w:cs="Arial"/>
          <w:sz w:val="16"/>
          <w:szCs w:val="16"/>
          <w:rtl/>
        </w:rPr>
        <w:t>)</w:t>
      </w:r>
      <w:r>
        <w:rPr>
          <w:rFonts w:cs="Arial" w:hint="cs"/>
          <w:rtl/>
        </w:rPr>
        <w:t xml:space="preserve">- </w:t>
      </w:r>
      <w:r>
        <w:rPr>
          <w:rStyle w:val="a7"/>
          <w:rFonts w:cs="Arial"/>
          <w:rtl/>
        </w:rPr>
        <w:footnoteReference w:id="2322"/>
      </w:r>
      <w:r w:rsidRPr="002E76B8">
        <w:rPr>
          <w:rFonts w:cs="Arial"/>
          <w:rtl/>
        </w:rPr>
        <w:t>בתנורים גדולים שלנו אין לחוש לריחא</w:t>
      </w:r>
      <w:r>
        <w:rPr>
          <w:rStyle w:val="a7"/>
          <w:rFonts w:cs="Arial"/>
          <w:rtl/>
        </w:rPr>
        <w:footnoteReference w:id="2323"/>
      </w:r>
      <w:r>
        <w:rPr>
          <w:rFonts w:cs="Arial" w:hint="cs"/>
          <w:rtl/>
        </w:rPr>
        <w:t>,</w:t>
      </w:r>
      <w:r w:rsidRPr="002E76B8">
        <w:rPr>
          <w:rFonts w:cs="Arial"/>
          <w:rtl/>
        </w:rPr>
        <w:t xml:space="preserve"> ובלבד שלא יהא פי התנור סתום</w:t>
      </w:r>
      <w:r>
        <w:rPr>
          <w:rFonts w:cs="Arial" w:hint="cs"/>
          <w:sz w:val="16"/>
          <w:szCs w:val="16"/>
          <w:rtl/>
        </w:rPr>
        <w:t xml:space="preserve"> (ל' התוס'</w:t>
      </w:r>
      <w:r>
        <w:rPr>
          <w:rStyle w:val="a7"/>
          <w:rFonts w:cs="Arial"/>
          <w:sz w:val="16"/>
          <w:szCs w:val="16"/>
          <w:rtl/>
        </w:rPr>
        <w:footnoteReference w:id="2324"/>
      </w:r>
      <w:r>
        <w:rPr>
          <w:rFonts w:cs="Arial" w:hint="cs"/>
          <w:sz w:val="16"/>
          <w:szCs w:val="16"/>
          <w:rtl/>
        </w:rPr>
        <w:t>)</w:t>
      </w:r>
      <w:r>
        <w:rPr>
          <w:rFonts w:cs="Arial" w:hint="cs"/>
          <w:rtl/>
        </w:rPr>
        <w:t>.</w:t>
      </w:r>
      <w:r w:rsidRPr="002E76B8">
        <w:rPr>
          <w:rFonts w:cs="Arial" w:hint="cs"/>
          <w:color w:val="E36C0A" w:themeColor="accent6" w:themeShade="BF"/>
          <w:rtl/>
        </w:rPr>
        <w:t xml:space="preserve"> (וכ"פ בשו"ע)</w:t>
      </w:r>
      <w:r>
        <w:rPr>
          <w:rFonts w:cs="Arial" w:hint="cs"/>
          <w:rtl/>
        </w:rPr>
        <w:t xml:space="preserve"> </w:t>
      </w:r>
    </w:p>
    <w:p w14:paraId="35FF22E2" w14:textId="77777777" w:rsidR="002C39F4" w:rsidRPr="00F524EE" w:rsidRDefault="002C39F4" w:rsidP="0032102C">
      <w:pPr>
        <w:pStyle w:val="a8"/>
        <w:numPr>
          <w:ilvl w:val="0"/>
          <w:numId w:val="139"/>
        </w:numPr>
        <w:rPr>
          <w:rFonts w:cs="Arial"/>
        </w:rPr>
      </w:pPr>
      <w:r w:rsidRPr="00C32AC9">
        <w:rPr>
          <w:rFonts w:cs="Arial"/>
          <w:rtl/>
        </w:rPr>
        <w:t>ס</w:t>
      </w:r>
      <w:r>
        <w:rPr>
          <w:rFonts w:cs="Arial"/>
          <w:rtl/>
        </w:rPr>
        <w:t xml:space="preserve">מ"ג </w:t>
      </w:r>
      <w:r w:rsidRPr="00C32AC9">
        <w:rPr>
          <w:rFonts w:cs="Arial"/>
          <w:rtl/>
        </w:rPr>
        <w:t xml:space="preserve">סמ"ק </w:t>
      </w:r>
      <w:r>
        <w:rPr>
          <w:rFonts w:cs="Arial"/>
          <w:rtl/>
        </w:rPr>
        <w:t>רשב"א</w:t>
      </w:r>
      <w:r>
        <w:rPr>
          <w:rStyle w:val="a7"/>
          <w:rFonts w:cs="Arial"/>
          <w:rtl/>
        </w:rPr>
        <w:footnoteReference w:id="2325"/>
      </w:r>
      <w:r>
        <w:rPr>
          <w:rFonts w:cs="Arial" w:hint="cs"/>
          <w:rtl/>
        </w:rPr>
        <w:t xml:space="preserve"> ו</w:t>
      </w:r>
      <w:r w:rsidRPr="00C32AC9">
        <w:rPr>
          <w:rFonts w:cs="Arial"/>
          <w:rtl/>
        </w:rPr>
        <w:t>מרדכי</w:t>
      </w:r>
      <w:r>
        <w:rPr>
          <w:rStyle w:val="a7"/>
          <w:rFonts w:cs="Arial"/>
          <w:rtl/>
        </w:rPr>
        <w:footnoteReference w:id="2326"/>
      </w:r>
      <w:r w:rsidRPr="00C32AC9">
        <w:rPr>
          <w:rFonts w:cs="Arial" w:hint="cs"/>
          <w:rtl/>
        </w:rPr>
        <w:t>-</w:t>
      </w:r>
      <w:r>
        <w:rPr>
          <w:rFonts w:cs="Arial" w:hint="cs"/>
          <w:rtl/>
        </w:rPr>
        <w:t xml:space="preserve"> </w:t>
      </w:r>
      <w:r w:rsidRPr="00C32AC9">
        <w:rPr>
          <w:rFonts w:cs="Arial"/>
          <w:rtl/>
        </w:rPr>
        <w:t>אומר רבינו יעקב</w:t>
      </w:r>
      <w:r>
        <w:rPr>
          <w:rFonts w:cs="Arial" w:hint="cs"/>
          <w:sz w:val="16"/>
          <w:szCs w:val="16"/>
          <w:rtl/>
        </w:rPr>
        <w:t xml:space="preserve"> {ר"ת}</w:t>
      </w:r>
      <w:r>
        <w:rPr>
          <w:rFonts w:cs="Arial" w:hint="cs"/>
          <w:rtl/>
        </w:rPr>
        <w:t>,</w:t>
      </w:r>
      <w:r w:rsidRPr="00C32AC9">
        <w:rPr>
          <w:rFonts w:cs="Arial"/>
          <w:rtl/>
        </w:rPr>
        <w:t xml:space="preserve"> דוקא בתנורים קטנים דנפיש טעם פיטומייהו שהתנורים שבימי חכמים קטנים היו אבל בתנורים גדולים כעין שלנו מ</w:t>
      </w:r>
      <w:r>
        <w:rPr>
          <w:rFonts w:cs="Arial"/>
          <w:rtl/>
        </w:rPr>
        <w:t>ותר לאפות פת עם צ</w:t>
      </w:r>
      <w:r>
        <w:rPr>
          <w:rFonts w:cs="Arial" w:hint="cs"/>
          <w:rtl/>
        </w:rPr>
        <w:t>לי</w:t>
      </w:r>
      <w:r>
        <w:rPr>
          <w:rFonts w:cs="Arial" w:hint="cs"/>
          <w:sz w:val="16"/>
          <w:szCs w:val="16"/>
          <w:rtl/>
        </w:rPr>
        <w:t xml:space="preserve"> (ל' הסמ"ג)</w:t>
      </w:r>
      <w:r>
        <w:rPr>
          <w:rFonts w:hint="cs"/>
          <w:rtl/>
        </w:rPr>
        <w:t>.</w:t>
      </w:r>
    </w:p>
    <w:p w14:paraId="17E9F70B" w14:textId="77777777" w:rsidR="002C39F4" w:rsidRDefault="002C39F4" w:rsidP="0032102C">
      <w:pPr>
        <w:pStyle w:val="a8"/>
        <w:numPr>
          <w:ilvl w:val="0"/>
          <w:numId w:val="139"/>
        </w:numPr>
        <w:rPr>
          <w:rFonts w:cs="Arial"/>
        </w:rPr>
      </w:pPr>
      <w:r>
        <w:rPr>
          <w:rFonts w:cs="Arial"/>
          <w:rtl/>
        </w:rPr>
        <w:t xml:space="preserve">אגור </w:t>
      </w:r>
      <w:r w:rsidRPr="005C25AB">
        <w:rPr>
          <w:rFonts w:cs="Arial"/>
          <w:sz w:val="16"/>
          <w:szCs w:val="16"/>
          <w:rtl/>
        </w:rPr>
        <w:t xml:space="preserve">(סי' אלף רסב) </w:t>
      </w:r>
      <w:r>
        <w:rPr>
          <w:rFonts w:cs="Arial" w:hint="cs"/>
          <w:rtl/>
        </w:rPr>
        <w:t>בשם</w:t>
      </w:r>
      <w:r w:rsidRPr="00135581">
        <w:rPr>
          <w:rFonts w:cs="Arial"/>
          <w:rtl/>
        </w:rPr>
        <w:t xml:space="preserve"> מהר"י מולין </w:t>
      </w:r>
      <w:r w:rsidRPr="005C25AB">
        <w:rPr>
          <w:rFonts w:cs="Arial"/>
          <w:sz w:val="16"/>
          <w:szCs w:val="16"/>
          <w:rtl/>
        </w:rPr>
        <w:t>(שו"ת מהרי"ל החדשות סי' פג)</w:t>
      </w:r>
      <w:r>
        <w:rPr>
          <w:rFonts w:cs="Arial" w:hint="cs"/>
          <w:rtl/>
        </w:rPr>
        <w:t>-</w:t>
      </w:r>
      <w:r>
        <w:rPr>
          <w:rFonts w:cs="Arial"/>
          <w:rtl/>
        </w:rPr>
        <w:t xml:space="preserve"> </w:t>
      </w:r>
      <w:r w:rsidRPr="00135581">
        <w:rPr>
          <w:rFonts w:cs="Arial"/>
          <w:rtl/>
        </w:rPr>
        <w:t>פת ש</w:t>
      </w:r>
      <w:r>
        <w:rPr>
          <w:rFonts w:cs="Arial"/>
          <w:rtl/>
        </w:rPr>
        <w:t>נאפה עם צלי של גוי בדיעבד</w:t>
      </w:r>
      <w:r>
        <w:rPr>
          <w:rFonts w:cs="Arial" w:hint="cs"/>
          <w:rtl/>
        </w:rPr>
        <w:t xml:space="preserve">, </w:t>
      </w:r>
      <w:r w:rsidRPr="00135581">
        <w:rPr>
          <w:rFonts w:cs="Arial"/>
          <w:rtl/>
        </w:rPr>
        <w:t>רוב הפוסקים פסקו דריחא לאו מילתא היא בתנורים שלנו</w:t>
      </w:r>
      <w:r>
        <w:rPr>
          <w:rFonts w:cs="Arial" w:hint="cs"/>
          <w:rtl/>
        </w:rPr>
        <w:t>,</w:t>
      </w:r>
      <w:r w:rsidRPr="00135581">
        <w:rPr>
          <w:rFonts w:cs="Arial"/>
          <w:rtl/>
        </w:rPr>
        <w:t xml:space="preserve"> ואם יש פת אחרת דעתי נוטה דחשוב כמו לכתחלה ולמה תניח ההיתר ותאכל האיסור</w:t>
      </w:r>
      <w:r>
        <w:rPr>
          <w:rFonts w:cs="Arial" w:hint="cs"/>
          <w:rtl/>
        </w:rPr>
        <w:t>,</w:t>
      </w:r>
      <w:r w:rsidRPr="00135581">
        <w:rPr>
          <w:rFonts w:cs="Arial"/>
          <w:rtl/>
        </w:rPr>
        <w:t xml:space="preserve"> אבל אם יש דוחק למצוא פת</w:t>
      </w:r>
      <w:r>
        <w:rPr>
          <w:rFonts w:cs="Arial"/>
          <w:rtl/>
        </w:rPr>
        <w:t xml:space="preserve"> אחרת יש לסמוך על המתירים</w:t>
      </w:r>
      <w:r>
        <w:rPr>
          <w:rStyle w:val="a7"/>
          <w:rFonts w:cs="Arial"/>
          <w:rtl/>
        </w:rPr>
        <w:footnoteReference w:id="2327"/>
      </w:r>
      <w:r>
        <w:rPr>
          <w:rFonts w:cs="Arial" w:hint="cs"/>
          <w:rtl/>
        </w:rPr>
        <w:t xml:space="preserve">. </w:t>
      </w:r>
      <w:bookmarkStart w:id="11" w:name="_Hlk516587016"/>
      <w:r w:rsidRPr="00541475">
        <w:rPr>
          <w:rFonts w:cs="Arial" w:hint="cs"/>
          <w:color w:val="00B0F0"/>
          <w:rtl/>
        </w:rPr>
        <w:t>(וכ"פ הרמ"א)</w:t>
      </w:r>
      <w:bookmarkEnd w:id="11"/>
    </w:p>
    <w:p w14:paraId="05B72AA8" w14:textId="77777777" w:rsidR="002C39F4" w:rsidRPr="00C32AC9" w:rsidRDefault="002C39F4" w:rsidP="002C39F4">
      <w:pPr>
        <w:ind w:left="360"/>
        <w:rPr>
          <w:rFonts w:cs="Arial"/>
          <w:u w:val="dotted"/>
        </w:rPr>
      </w:pPr>
      <w:r w:rsidRPr="00C32AC9">
        <w:rPr>
          <w:rFonts w:cs="Arial" w:hint="cs"/>
          <w:u w:val="dotted"/>
          <w:rtl/>
        </w:rPr>
        <w:t>מהו תנור גדול:</w:t>
      </w:r>
      <w:r>
        <w:rPr>
          <w:rFonts w:cs="Arial" w:hint="cs"/>
          <w:sz w:val="16"/>
          <w:szCs w:val="16"/>
          <w:rtl/>
        </w:rPr>
        <w:t xml:space="preserve">  (הועתק מסי' צז, וט"ז [כאן])</w:t>
      </w:r>
    </w:p>
    <w:p w14:paraId="5EEC1159" w14:textId="77777777" w:rsidR="002C39F4" w:rsidRPr="007E7133" w:rsidRDefault="002C39F4" w:rsidP="0032102C">
      <w:pPr>
        <w:pStyle w:val="a8"/>
        <w:numPr>
          <w:ilvl w:val="0"/>
          <w:numId w:val="139"/>
        </w:numPr>
        <w:rPr>
          <w:rFonts w:cs="Arial"/>
          <w:rtl/>
        </w:rPr>
      </w:pPr>
      <w:r w:rsidRPr="00C32AC9">
        <w:rPr>
          <w:rFonts w:cs="Arial"/>
          <w:rtl/>
        </w:rPr>
        <w:t xml:space="preserve">סמ"ק </w:t>
      </w:r>
      <w:r w:rsidRPr="00C32AC9">
        <w:rPr>
          <w:rFonts w:cs="Arial"/>
          <w:sz w:val="16"/>
          <w:szCs w:val="16"/>
          <w:rtl/>
        </w:rPr>
        <w:t>(סו"ס ריג)</w:t>
      </w:r>
      <w:r>
        <w:rPr>
          <w:rFonts w:cs="Arial" w:hint="cs"/>
          <w:rtl/>
        </w:rPr>
        <w:t xml:space="preserve">- </w:t>
      </w:r>
      <w:r w:rsidRPr="00C32AC9">
        <w:rPr>
          <w:rFonts w:cs="Arial"/>
          <w:rtl/>
        </w:rPr>
        <w:t>פירשו לי רבותי המחזיק שנים עשר עש</w:t>
      </w:r>
      <w:r>
        <w:rPr>
          <w:rFonts w:cs="Arial"/>
          <w:rtl/>
        </w:rPr>
        <w:t>רונים של מצות זהו תנור גדול</w:t>
      </w:r>
      <w:r>
        <w:rPr>
          <w:rStyle w:val="a7"/>
          <w:rFonts w:cs="Arial"/>
          <w:rtl/>
        </w:rPr>
        <w:footnoteReference w:id="2328"/>
      </w:r>
      <w:r>
        <w:rPr>
          <w:rFonts w:cs="Arial" w:hint="cs"/>
          <w:rtl/>
        </w:rPr>
        <w:t>.</w:t>
      </w:r>
      <w:r w:rsidRPr="00D831EA">
        <w:rPr>
          <w:rFonts w:cs="Arial" w:hint="cs"/>
          <w:color w:val="E36C0A" w:themeColor="accent6" w:themeShade="BF"/>
          <w:rtl/>
        </w:rPr>
        <w:t xml:space="preserve"> (וכ"פ בשו"ע)</w:t>
      </w:r>
    </w:p>
    <w:p w14:paraId="21626484" w14:textId="77777777" w:rsidR="002C39F4" w:rsidRDefault="002C39F4" w:rsidP="0032102C">
      <w:pPr>
        <w:pStyle w:val="a8"/>
        <w:numPr>
          <w:ilvl w:val="0"/>
          <w:numId w:val="139"/>
        </w:numPr>
        <w:rPr>
          <w:rFonts w:cs="Arial"/>
        </w:rPr>
      </w:pPr>
      <w:r>
        <w:rPr>
          <w:rFonts w:cs="Arial"/>
          <w:rtl/>
        </w:rPr>
        <w:t xml:space="preserve">רשב"א </w:t>
      </w:r>
      <w:r w:rsidRPr="007E7133">
        <w:rPr>
          <w:rFonts w:cs="Arial"/>
          <w:sz w:val="16"/>
          <w:szCs w:val="16"/>
          <w:rtl/>
        </w:rPr>
        <w:t xml:space="preserve">(תוה"א ב"ד ש"א טו.) </w:t>
      </w:r>
      <w:r>
        <w:rPr>
          <w:rFonts w:cs="Arial"/>
          <w:rtl/>
        </w:rPr>
        <w:t>בשם ר</w:t>
      </w:r>
      <w:r>
        <w:rPr>
          <w:rFonts w:cs="Arial" w:hint="cs"/>
          <w:rtl/>
        </w:rPr>
        <w:t>"ת-</w:t>
      </w:r>
      <w:r>
        <w:rPr>
          <w:rFonts w:cs="Arial"/>
          <w:rtl/>
        </w:rPr>
        <w:t xml:space="preserve"> </w:t>
      </w:r>
      <w:r>
        <w:rPr>
          <w:rFonts w:cs="Arial" w:hint="cs"/>
          <w:rtl/>
        </w:rPr>
        <w:t>"</w:t>
      </w:r>
      <w:r>
        <w:rPr>
          <w:rFonts w:cs="Arial"/>
          <w:rtl/>
        </w:rPr>
        <w:t>דוקא בתנור שהוא מקום צר אבל במקום רחב מותר</w:t>
      </w:r>
      <w:r>
        <w:rPr>
          <w:rFonts w:cs="Arial" w:hint="cs"/>
          <w:rtl/>
        </w:rPr>
        <w:t>,</w:t>
      </w:r>
      <w:r>
        <w:rPr>
          <w:rFonts w:cs="Arial"/>
          <w:rtl/>
        </w:rPr>
        <w:t xml:space="preserve"> וכ</w:t>
      </w:r>
      <w:r>
        <w:rPr>
          <w:rFonts w:cs="Arial" w:hint="cs"/>
          <w:rtl/>
        </w:rPr>
        <w:t>"</w:t>
      </w:r>
      <w:r>
        <w:rPr>
          <w:rFonts w:cs="Arial"/>
          <w:rtl/>
        </w:rPr>
        <w:t xml:space="preserve">כ הרז"ה ז"ל </w:t>
      </w:r>
      <w:r w:rsidRPr="009E1435">
        <w:rPr>
          <w:rFonts w:cs="Arial"/>
          <w:sz w:val="16"/>
          <w:szCs w:val="16"/>
          <w:rtl/>
        </w:rPr>
        <w:t>(סוף פ</w:t>
      </w:r>
      <w:r w:rsidRPr="009E1435">
        <w:rPr>
          <w:rFonts w:cs="Arial" w:hint="cs"/>
          <w:sz w:val="16"/>
          <w:szCs w:val="16"/>
          <w:rtl/>
        </w:rPr>
        <w:t>כ"צ</w:t>
      </w:r>
      <w:r w:rsidRPr="009E1435">
        <w:rPr>
          <w:rFonts w:cs="Arial"/>
          <w:sz w:val="16"/>
          <w:szCs w:val="16"/>
          <w:rtl/>
        </w:rPr>
        <w:t>)</w:t>
      </w:r>
      <w:r>
        <w:rPr>
          <w:rFonts w:cs="Arial"/>
          <w:rtl/>
        </w:rPr>
        <w:t xml:space="preserve"> דיש מי שהתיר בפורני רחבה דהא שליט בה אוירא טובא</w:t>
      </w:r>
      <w:r>
        <w:rPr>
          <w:rStyle w:val="a7"/>
          <w:rFonts w:cs="Arial"/>
          <w:rtl/>
        </w:rPr>
        <w:footnoteReference w:id="2329"/>
      </w:r>
      <w:r>
        <w:rPr>
          <w:rFonts w:cs="Arial" w:hint="cs"/>
          <w:rtl/>
        </w:rPr>
        <w:t>"</w:t>
      </w:r>
      <w:r>
        <w:rPr>
          <w:rFonts w:cs="Arial"/>
          <w:rtl/>
        </w:rPr>
        <w:t>.</w:t>
      </w:r>
    </w:p>
    <w:p w14:paraId="56B6E5FB" w14:textId="77777777" w:rsidR="002C39F4" w:rsidRPr="00710F3F" w:rsidRDefault="002C39F4" w:rsidP="0032102C">
      <w:pPr>
        <w:pStyle w:val="a8"/>
        <w:numPr>
          <w:ilvl w:val="0"/>
          <w:numId w:val="139"/>
        </w:numPr>
        <w:rPr>
          <w:rFonts w:cs="Arial"/>
        </w:rPr>
      </w:pPr>
      <w:bookmarkStart w:id="12" w:name="_Hlk516586920"/>
      <w:r w:rsidRPr="007A3B04">
        <w:rPr>
          <w:rFonts w:cs="Arial"/>
          <w:rtl/>
        </w:rPr>
        <w:t xml:space="preserve">מהרא"י </w:t>
      </w:r>
      <w:r w:rsidRPr="004C1BC9">
        <w:rPr>
          <w:rFonts w:cs="Arial" w:hint="cs"/>
          <w:sz w:val="16"/>
          <w:szCs w:val="16"/>
          <w:rtl/>
        </w:rPr>
        <w:t xml:space="preserve">(בהגשע"ד </w:t>
      </w:r>
      <w:r w:rsidRPr="004C1BC9">
        <w:rPr>
          <w:rFonts w:cs="Arial" w:hint="cs"/>
          <w:sz w:val="14"/>
          <w:szCs w:val="14"/>
          <w:rtl/>
        </w:rPr>
        <w:t>[סי' לה אות ב]</w:t>
      </w:r>
      <w:r w:rsidRPr="004C1BC9">
        <w:rPr>
          <w:rFonts w:cs="Arial" w:hint="cs"/>
          <w:sz w:val="16"/>
          <w:szCs w:val="16"/>
          <w:rtl/>
        </w:rPr>
        <w:t>,</w:t>
      </w:r>
      <w:r w:rsidRPr="004C1BC9">
        <w:rPr>
          <w:rFonts w:cs="Arial"/>
          <w:sz w:val="16"/>
          <w:szCs w:val="16"/>
          <w:rtl/>
        </w:rPr>
        <w:t xml:space="preserve"> </w:t>
      </w:r>
      <w:r>
        <w:rPr>
          <w:rFonts w:cs="Arial" w:hint="cs"/>
          <w:sz w:val="16"/>
          <w:szCs w:val="16"/>
          <w:rtl/>
        </w:rPr>
        <w:t>ה</w:t>
      </w:r>
      <w:r w:rsidRPr="004C1BC9">
        <w:rPr>
          <w:rFonts w:cs="Arial" w:hint="cs"/>
          <w:sz w:val="16"/>
          <w:szCs w:val="16"/>
          <w:rtl/>
        </w:rPr>
        <w:t>ביאו</w:t>
      </w:r>
      <w:r>
        <w:rPr>
          <w:rFonts w:cs="Arial" w:hint="cs"/>
          <w:sz w:val="16"/>
          <w:szCs w:val="16"/>
          <w:rtl/>
        </w:rPr>
        <w:t>הו</w:t>
      </w:r>
      <w:r w:rsidRPr="004C1BC9">
        <w:rPr>
          <w:rFonts w:cs="Arial" w:hint="cs"/>
          <w:sz w:val="16"/>
          <w:szCs w:val="16"/>
          <w:rtl/>
        </w:rPr>
        <w:t xml:space="preserve"> </w:t>
      </w:r>
      <w:r w:rsidRPr="004C1BC9">
        <w:rPr>
          <w:rFonts w:cs="Arial"/>
          <w:sz w:val="16"/>
          <w:szCs w:val="16"/>
          <w:rtl/>
        </w:rPr>
        <w:t xml:space="preserve">רש"ל </w:t>
      </w:r>
      <w:r w:rsidRPr="004C1BC9">
        <w:rPr>
          <w:rFonts w:cs="Arial" w:hint="cs"/>
          <w:sz w:val="14"/>
          <w:szCs w:val="14"/>
          <w:rtl/>
        </w:rPr>
        <w:t>[</w:t>
      </w:r>
      <w:r w:rsidRPr="004C1BC9">
        <w:rPr>
          <w:rFonts w:cs="Arial"/>
          <w:sz w:val="14"/>
          <w:szCs w:val="14"/>
          <w:rtl/>
        </w:rPr>
        <w:t>סי</w:t>
      </w:r>
      <w:r w:rsidRPr="004C1BC9">
        <w:rPr>
          <w:rFonts w:cs="Arial" w:hint="cs"/>
          <w:sz w:val="14"/>
          <w:szCs w:val="14"/>
          <w:rtl/>
        </w:rPr>
        <w:t>'</w:t>
      </w:r>
      <w:r w:rsidRPr="004C1BC9">
        <w:rPr>
          <w:rFonts w:cs="Arial"/>
          <w:sz w:val="14"/>
          <w:szCs w:val="14"/>
          <w:rtl/>
        </w:rPr>
        <w:t xml:space="preserve"> יד</w:t>
      </w:r>
      <w:r w:rsidRPr="004C1BC9">
        <w:rPr>
          <w:rFonts w:cs="Arial" w:hint="cs"/>
          <w:sz w:val="14"/>
          <w:szCs w:val="14"/>
          <w:rtl/>
        </w:rPr>
        <w:t xml:space="preserve">] </w:t>
      </w:r>
      <w:r>
        <w:rPr>
          <w:rFonts w:cs="Arial" w:hint="cs"/>
          <w:sz w:val="16"/>
          <w:szCs w:val="16"/>
          <w:rtl/>
        </w:rPr>
        <w:t xml:space="preserve">וט"ז </w:t>
      </w:r>
      <w:r w:rsidRPr="004C1BC9">
        <w:rPr>
          <w:rFonts w:cs="Arial" w:hint="cs"/>
          <w:sz w:val="14"/>
          <w:szCs w:val="14"/>
          <w:rtl/>
        </w:rPr>
        <w:t>[סק"ב]</w:t>
      </w:r>
      <w:r w:rsidRPr="004C1BC9">
        <w:rPr>
          <w:rFonts w:cs="Arial" w:hint="cs"/>
          <w:sz w:val="16"/>
          <w:szCs w:val="16"/>
          <w:rtl/>
        </w:rPr>
        <w:t>)</w:t>
      </w:r>
      <w:r>
        <w:rPr>
          <w:rFonts w:cs="Arial" w:hint="cs"/>
          <w:rtl/>
        </w:rPr>
        <w:t>-</w:t>
      </w:r>
      <w:r w:rsidRPr="007A3B04">
        <w:rPr>
          <w:rFonts w:cs="Arial"/>
          <w:rtl/>
        </w:rPr>
        <w:t xml:space="preserve"> לפי דעת האשר"י דתלי טעמא משום דתנורים שלהם מכוסים הוו לא היה לנו להקפיד כשהתנור גדול קצת שיכול ההבל להתפשט </w:t>
      </w:r>
      <w:r>
        <w:rPr>
          <w:rFonts w:cs="Arial" w:hint="cs"/>
          <w:rtl/>
        </w:rPr>
        <w:t>א</w:t>
      </w:r>
      <w:r w:rsidRPr="007A3B04">
        <w:rPr>
          <w:rFonts w:cs="Arial"/>
          <w:rtl/>
        </w:rPr>
        <w:t>ע</w:t>
      </w:r>
      <w:r>
        <w:rPr>
          <w:rFonts w:cs="Arial" w:hint="cs"/>
          <w:rtl/>
        </w:rPr>
        <w:t>"</w:t>
      </w:r>
      <w:r w:rsidRPr="007A3B04">
        <w:rPr>
          <w:rFonts w:cs="Arial"/>
          <w:rtl/>
        </w:rPr>
        <w:t>פ שאינו מחזיק י"ב עשרונים</w:t>
      </w:r>
      <w:r>
        <w:rPr>
          <w:rFonts w:hint="cs"/>
          <w:rtl/>
        </w:rPr>
        <w:t>.</w:t>
      </w:r>
      <w:r>
        <w:rPr>
          <w:rFonts w:cs="Arial" w:hint="cs"/>
          <w:rtl/>
        </w:rPr>
        <w:t xml:space="preserve"> </w:t>
      </w:r>
    </w:p>
    <w:bookmarkEnd w:id="12"/>
    <w:p w14:paraId="41A1B9B5" w14:textId="77777777" w:rsidR="002C39F4" w:rsidRPr="003F6B7C" w:rsidRDefault="002C39F4" w:rsidP="002C39F4">
      <w:pPr>
        <w:rPr>
          <w:u w:val="single"/>
        </w:rPr>
      </w:pPr>
      <w:r w:rsidRPr="003F6B7C">
        <w:rPr>
          <w:rFonts w:hint="cs"/>
          <w:u w:val="single"/>
          <w:rtl/>
        </w:rPr>
        <w:t>אפיית בשר וחלב מכוסים</w:t>
      </w:r>
      <w:r>
        <w:rPr>
          <w:rFonts w:hint="cs"/>
          <w:u w:val="single"/>
          <w:rtl/>
        </w:rPr>
        <w:t xml:space="preserve"> בבצק</w:t>
      </w:r>
      <w:r w:rsidRPr="003F6B7C">
        <w:rPr>
          <w:rFonts w:hint="cs"/>
          <w:u w:val="single"/>
          <w:rtl/>
        </w:rPr>
        <w:t xml:space="preserve"> בתנור אחד:</w:t>
      </w:r>
    </w:p>
    <w:p w14:paraId="745E2154" w14:textId="77777777" w:rsidR="002C39F4" w:rsidRDefault="002C39F4" w:rsidP="0032102C">
      <w:pPr>
        <w:pStyle w:val="a8"/>
        <w:numPr>
          <w:ilvl w:val="0"/>
          <w:numId w:val="140"/>
        </w:numPr>
        <w:rPr>
          <w:rFonts w:cs="Arial"/>
        </w:rPr>
      </w:pPr>
      <w:r w:rsidRPr="00C32AC9">
        <w:rPr>
          <w:rFonts w:cs="Arial"/>
          <w:rtl/>
        </w:rPr>
        <w:t>תוס</w:t>
      </w:r>
      <w:r w:rsidRPr="00C32AC9">
        <w:rPr>
          <w:rFonts w:cs="Arial" w:hint="cs"/>
          <w:rtl/>
        </w:rPr>
        <w:t>'</w:t>
      </w:r>
      <w:r w:rsidRPr="00C32AC9">
        <w:rPr>
          <w:rFonts w:cs="Arial"/>
          <w:rtl/>
        </w:rPr>
        <w:t xml:space="preserve"> </w:t>
      </w:r>
      <w:r w:rsidRPr="00C32AC9">
        <w:rPr>
          <w:rFonts w:cs="Arial"/>
          <w:sz w:val="16"/>
          <w:szCs w:val="16"/>
          <w:rtl/>
        </w:rPr>
        <w:t>(פסחים עו: ד"ה אסרה רבא)</w:t>
      </w:r>
      <w:r w:rsidRPr="00C32AC9">
        <w:rPr>
          <w:rFonts w:cs="Arial" w:hint="cs"/>
          <w:rtl/>
        </w:rPr>
        <w:t>-</w:t>
      </w:r>
      <w:r>
        <w:rPr>
          <w:rFonts w:cs="Arial" w:hint="cs"/>
          <w:rtl/>
        </w:rPr>
        <w:t xml:space="preserve"> </w:t>
      </w:r>
      <w:r w:rsidRPr="00F40B3A">
        <w:rPr>
          <w:rFonts w:cs="Arial"/>
          <w:rtl/>
        </w:rPr>
        <w:t>בתנורים גדולים שלנו נראה דמותר לאפות לחם עם אותו פשטיד"א הואיל ומכוסות היטב הוי כעין שתי קדרות</w:t>
      </w:r>
      <w:r>
        <w:rPr>
          <w:rFonts w:cs="Arial" w:hint="cs"/>
          <w:rtl/>
        </w:rPr>
        <w:t>,</w:t>
      </w:r>
      <w:r w:rsidRPr="00F40B3A">
        <w:rPr>
          <w:rFonts w:cs="Arial"/>
          <w:rtl/>
        </w:rPr>
        <w:t xml:space="preserve"> ואפי' פלדונ"ש שיש להרחיק</w:t>
      </w:r>
      <w:r>
        <w:rPr>
          <w:rStyle w:val="a7"/>
          <w:rFonts w:cs="Arial"/>
          <w:rtl/>
        </w:rPr>
        <w:footnoteReference w:id="2330"/>
      </w:r>
      <w:r w:rsidRPr="00F40B3A">
        <w:rPr>
          <w:rFonts w:cs="Arial"/>
          <w:rtl/>
        </w:rPr>
        <w:t xml:space="preserve"> אין נראה לרבי </w:t>
      </w:r>
      <w:r>
        <w:rPr>
          <w:rFonts w:cs="Arial" w:hint="cs"/>
          <w:sz w:val="16"/>
          <w:szCs w:val="16"/>
          <w:rtl/>
        </w:rPr>
        <w:t xml:space="preserve">{ר"י הזקן} </w:t>
      </w:r>
      <w:r w:rsidRPr="00F40B3A">
        <w:rPr>
          <w:rFonts w:cs="Arial"/>
          <w:rtl/>
        </w:rPr>
        <w:t>שיהא אסור שיש אויר מרובה בתנור וההבל מתפשט.</w:t>
      </w:r>
    </w:p>
    <w:p w14:paraId="5A3185C8" w14:textId="77777777" w:rsidR="002C39F4" w:rsidRPr="001E4FB3" w:rsidRDefault="002C39F4" w:rsidP="0032102C">
      <w:pPr>
        <w:pStyle w:val="a8"/>
        <w:numPr>
          <w:ilvl w:val="0"/>
          <w:numId w:val="140"/>
        </w:numPr>
        <w:rPr>
          <w:rFonts w:cs="Arial"/>
        </w:rPr>
      </w:pPr>
      <w:r>
        <w:rPr>
          <w:rFonts w:cs="Arial" w:hint="cs"/>
          <w:rtl/>
        </w:rPr>
        <w:t>או"ה</w:t>
      </w:r>
      <w:r w:rsidRPr="001E4FB3">
        <w:rPr>
          <w:rFonts w:cs="Arial" w:hint="cs"/>
          <w:sz w:val="16"/>
          <w:szCs w:val="16"/>
          <w:rtl/>
        </w:rPr>
        <w:t xml:space="preserve"> (כלל לט די"א)</w:t>
      </w:r>
      <w:r>
        <w:rPr>
          <w:rFonts w:cs="Arial" w:hint="cs"/>
          <w:rtl/>
        </w:rPr>
        <w:t xml:space="preserve">- </w:t>
      </w:r>
      <w:r w:rsidRPr="001E4FB3">
        <w:rPr>
          <w:rFonts w:cs="Arial"/>
          <w:rtl/>
        </w:rPr>
        <w:t>פת עם פשטיד"א במחבת מותר בדיעבד בתנורין גדולים כדפרישית</w:t>
      </w:r>
      <w:r>
        <w:rPr>
          <w:rFonts w:cs="Arial" w:hint="cs"/>
          <w:rtl/>
        </w:rPr>
        <w:t>,</w:t>
      </w:r>
      <w:r w:rsidRPr="001E4FB3">
        <w:rPr>
          <w:rFonts w:cs="Arial"/>
          <w:rtl/>
        </w:rPr>
        <w:t xml:space="preserve"> או אפי' ב' מינים המפטמין כגון פשטיד"א עם פלאד"ן כשאחד מהם היה מכוסה</w:t>
      </w:r>
      <w:r>
        <w:rPr>
          <w:rFonts w:cs="Arial" w:hint="cs"/>
          <w:rtl/>
        </w:rPr>
        <w:t>,</w:t>
      </w:r>
      <w:r w:rsidRPr="001E4FB3">
        <w:rPr>
          <w:rFonts w:cs="Arial"/>
          <w:rtl/>
        </w:rPr>
        <w:t xml:space="preserve"> אבל פשטיד"א עם פלאד"ן ששניהם היו מגולין אפי' אם הן תוך מחבת וכ"ש צלי של היתר עם צלי של איסור בתנורין שלנו המכוסין למעלה אסור אפילו בדיעבד אפי' בתנורין הגדולין המחזיקין י"ב עשרונים דבכה"ג אמרינן ריחא מילתא היא</w:t>
      </w:r>
      <w:r>
        <w:rPr>
          <w:rStyle w:val="a7"/>
          <w:rtl/>
        </w:rPr>
        <w:footnoteReference w:id="2331"/>
      </w:r>
      <w:r>
        <w:rPr>
          <w:rFonts w:cs="Arial" w:hint="cs"/>
          <w:rtl/>
        </w:rPr>
        <w:t xml:space="preserve">. </w:t>
      </w:r>
    </w:p>
    <w:p w14:paraId="38E623A5" w14:textId="77777777" w:rsidR="002C39F4" w:rsidRPr="00985AC1" w:rsidRDefault="002C39F4" w:rsidP="002C39F4">
      <w:pPr>
        <w:rPr>
          <w:rFonts w:cs="Arial"/>
          <w:u w:val="single"/>
          <w:rtl/>
        </w:rPr>
      </w:pPr>
      <w:r w:rsidRPr="00985AC1">
        <w:rPr>
          <w:rFonts w:cs="Arial" w:hint="cs"/>
          <w:u w:val="single"/>
          <w:rtl/>
        </w:rPr>
        <w:t>אפיי</w:t>
      </w:r>
      <w:r>
        <w:rPr>
          <w:rFonts w:cs="Arial" w:hint="cs"/>
          <w:u w:val="single"/>
          <w:rtl/>
        </w:rPr>
        <w:t>ת בשר וחלב יחד</w:t>
      </w:r>
      <w:r w:rsidRPr="00985AC1">
        <w:rPr>
          <w:rFonts w:cs="Arial" w:hint="cs"/>
          <w:u w:val="single"/>
          <w:rtl/>
        </w:rPr>
        <w:t xml:space="preserve"> </w:t>
      </w:r>
      <w:r w:rsidRPr="00985AC1">
        <w:rPr>
          <w:rFonts w:cs="Arial"/>
          <w:u w:val="single"/>
          <w:rtl/>
        </w:rPr>
        <w:t>תחת מחבת</w:t>
      </w:r>
      <w:r w:rsidRPr="00985AC1">
        <w:rPr>
          <w:rFonts w:cs="Arial" w:hint="cs"/>
          <w:u w:val="single"/>
          <w:rtl/>
        </w:rPr>
        <w:t>:</w:t>
      </w:r>
      <w:r>
        <w:rPr>
          <w:rFonts w:cs="Arial" w:hint="cs"/>
          <w:sz w:val="16"/>
          <w:szCs w:val="16"/>
          <w:rtl/>
        </w:rPr>
        <w:t xml:space="preserve">    (דרכ"מ כאן [אות ג])</w:t>
      </w:r>
    </w:p>
    <w:p w14:paraId="6FF2508C" w14:textId="77777777" w:rsidR="002C39F4" w:rsidRDefault="002C39F4" w:rsidP="0032102C">
      <w:pPr>
        <w:pStyle w:val="a8"/>
        <w:numPr>
          <w:ilvl w:val="0"/>
          <w:numId w:val="140"/>
        </w:numPr>
      </w:pPr>
      <w:r w:rsidRPr="009E1435">
        <w:rPr>
          <w:rFonts w:cs="Arial"/>
          <w:rtl/>
        </w:rPr>
        <w:t>תוס</w:t>
      </w:r>
      <w:r w:rsidRPr="009E1435">
        <w:rPr>
          <w:rFonts w:cs="Arial" w:hint="cs"/>
          <w:rtl/>
        </w:rPr>
        <w:t>'</w:t>
      </w:r>
      <w:r w:rsidRPr="009E1435">
        <w:rPr>
          <w:rFonts w:cs="Arial"/>
          <w:rtl/>
        </w:rPr>
        <w:t xml:space="preserve"> </w:t>
      </w:r>
      <w:r w:rsidRPr="009E1435">
        <w:rPr>
          <w:rFonts w:cs="Arial"/>
          <w:sz w:val="16"/>
          <w:szCs w:val="16"/>
          <w:rtl/>
        </w:rPr>
        <w:t>(</w:t>
      </w:r>
      <w:r>
        <w:rPr>
          <w:rFonts w:cs="Arial" w:hint="cs"/>
          <w:sz w:val="16"/>
          <w:szCs w:val="16"/>
          <w:rtl/>
        </w:rPr>
        <w:t>ע"ז סו: ד"ה רבא אמר</w:t>
      </w:r>
      <w:r w:rsidRPr="009E1435">
        <w:rPr>
          <w:rFonts w:cs="Arial"/>
          <w:sz w:val="16"/>
          <w:szCs w:val="16"/>
          <w:rtl/>
        </w:rPr>
        <w:t>)</w:t>
      </w:r>
      <w:r w:rsidRPr="009E1435">
        <w:rPr>
          <w:rFonts w:cs="Arial" w:hint="cs"/>
          <w:rtl/>
        </w:rPr>
        <w:t xml:space="preserve">- </w:t>
      </w:r>
      <w:r w:rsidRPr="009E1435">
        <w:rPr>
          <w:rFonts w:cs="Arial"/>
          <w:rtl/>
        </w:rPr>
        <w:t>תחת המחבת שלנו שקורין טריפי"ד שאופין תחתיה פשטיד"א ריחא מילתא היא כמו בתנורים שלהם</w:t>
      </w:r>
      <w:r>
        <w:rPr>
          <w:rStyle w:val="a7"/>
          <w:rFonts w:cs="Arial"/>
          <w:rtl/>
        </w:rPr>
        <w:footnoteReference w:id="2332"/>
      </w:r>
      <w:r>
        <w:rPr>
          <w:rFonts w:cs="Arial" w:hint="cs"/>
          <w:sz w:val="16"/>
          <w:szCs w:val="16"/>
          <w:rtl/>
        </w:rPr>
        <w:t xml:space="preserve"> {היינו לר"ת}</w:t>
      </w:r>
      <w:r w:rsidRPr="009E1435">
        <w:rPr>
          <w:rFonts w:cs="Arial" w:hint="cs"/>
          <w:rtl/>
        </w:rPr>
        <w:t>.</w:t>
      </w:r>
      <w:r>
        <w:rPr>
          <w:rFonts w:cs="Arial" w:hint="cs"/>
          <w:rtl/>
        </w:rPr>
        <w:t xml:space="preserve"> </w:t>
      </w:r>
      <w:r w:rsidRPr="00541475">
        <w:rPr>
          <w:rFonts w:cs="Arial" w:hint="cs"/>
          <w:color w:val="00B0F0"/>
          <w:rtl/>
        </w:rPr>
        <w:t>(וכ"פ הרמ"א)</w:t>
      </w:r>
    </w:p>
    <w:p w14:paraId="3E09025F" w14:textId="77777777" w:rsidR="002C39F4" w:rsidRDefault="002C39F4" w:rsidP="002C39F4">
      <w:pPr>
        <w:ind w:left="360"/>
      </w:pPr>
      <w:r w:rsidRPr="001F77AB">
        <w:rPr>
          <w:rFonts w:cs="Arial" w:hint="cs"/>
          <w:u w:val="dotted"/>
          <w:rtl/>
        </w:rPr>
        <w:t>ומה הדין אם נאפו בזה אחר זה</w:t>
      </w:r>
      <w:r>
        <w:rPr>
          <w:rFonts w:cs="Arial" w:hint="cs"/>
          <w:u w:val="dotted"/>
          <w:rtl/>
        </w:rPr>
        <w:t>:</w:t>
      </w:r>
      <w:r>
        <w:rPr>
          <w:rFonts w:cs="Arial" w:hint="cs"/>
          <w:sz w:val="16"/>
          <w:szCs w:val="16"/>
          <w:rtl/>
        </w:rPr>
        <w:t xml:space="preserve">    (דרכ"מ כאן [אות ג])</w:t>
      </w:r>
    </w:p>
    <w:p w14:paraId="7AACC58F" w14:textId="77777777" w:rsidR="002C39F4" w:rsidRPr="001F77AB" w:rsidRDefault="002C39F4" w:rsidP="0032102C">
      <w:pPr>
        <w:pStyle w:val="a8"/>
        <w:numPr>
          <w:ilvl w:val="0"/>
          <w:numId w:val="240"/>
        </w:numPr>
        <w:rPr>
          <w:rFonts w:cs="Arial"/>
        </w:rPr>
      </w:pPr>
      <w:r>
        <w:rPr>
          <w:rFonts w:hint="cs"/>
          <w:rtl/>
        </w:rPr>
        <w:t xml:space="preserve">מרדכי </w:t>
      </w:r>
      <w:r>
        <w:rPr>
          <w:rFonts w:hint="cs"/>
          <w:sz w:val="16"/>
          <w:szCs w:val="16"/>
          <w:rtl/>
        </w:rPr>
        <w:t xml:space="preserve">(ע"ז, כ"כ האו"ה בשמו) </w:t>
      </w:r>
      <w:r>
        <w:rPr>
          <w:rtl/>
        </w:rPr>
        <w:t>תשו</w:t>
      </w:r>
      <w:r>
        <w:rPr>
          <w:rFonts w:hint="cs"/>
          <w:rtl/>
        </w:rPr>
        <w:t>'</w:t>
      </w:r>
      <w:r>
        <w:rPr>
          <w:rtl/>
        </w:rPr>
        <w:t xml:space="preserve"> מיימוני </w:t>
      </w:r>
      <w:r w:rsidRPr="000D2A3D">
        <w:rPr>
          <w:rFonts w:hint="cs"/>
          <w:sz w:val="16"/>
          <w:szCs w:val="16"/>
          <w:rtl/>
        </w:rPr>
        <w:t>(</w:t>
      </w:r>
      <w:r>
        <w:rPr>
          <w:rFonts w:hint="cs"/>
          <w:sz w:val="16"/>
          <w:szCs w:val="16"/>
          <w:rtl/>
        </w:rPr>
        <w:t>הל</w:t>
      </w:r>
      <w:r w:rsidRPr="000D2A3D">
        <w:rPr>
          <w:sz w:val="16"/>
          <w:szCs w:val="16"/>
          <w:rtl/>
        </w:rPr>
        <w:t>מ</w:t>
      </w:r>
      <w:r>
        <w:rPr>
          <w:rFonts w:hint="cs"/>
          <w:sz w:val="16"/>
          <w:szCs w:val="16"/>
          <w:rtl/>
        </w:rPr>
        <w:t>"</w:t>
      </w:r>
      <w:r w:rsidRPr="000D2A3D">
        <w:rPr>
          <w:sz w:val="16"/>
          <w:szCs w:val="16"/>
          <w:rtl/>
        </w:rPr>
        <w:t>א סי' ה)</w:t>
      </w:r>
      <w:r>
        <w:rPr>
          <w:rFonts w:hint="cs"/>
          <w:rtl/>
        </w:rPr>
        <w:t xml:space="preserve"> ואו"ה</w:t>
      </w:r>
      <w:r>
        <w:rPr>
          <w:rFonts w:hint="cs"/>
          <w:sz w:val="16"/>
          <w:szCs w:val="16"/>
          <w:rtl/>
        </w:rPr>
        <w:t xml:space="preserve"> (כלל לט די"ט)</w:t>
      </w:r>
      <w:r>
        <w:rPr>
          <w:rFonts w:hint="cs"/>
          <w:rtl/>
        </w:rPr>
        <w:t>-</w:t>
      </w:r>
      <w:r>
        <w:rPr>
          <w:rtl/>
        </w:rPr>
        <w:t xml:space="preserve"> אם אפו על כירה פשטיד"א וכפו עליו כלי של ברזל ושוב אפו תחתיו פלאדי"ן בלא ליבון או להיפך השיב ר"י להתיר כי לא מצינו פיטום וריחא מילתא בכלי שיחזור ויפטם לאוכל גם לדברי הפוסקים ריחא מילתא היא ואפילו בכלי בן יומו רק שלא יגע ממש</w:t>
      </w:r>
      <w:r>
        <w:rPr>
          <w:rStyle w:val="a7"/>
          <w:rtl/>
        </w:rPr>
        <w:footnoteReference w:id="2333"/>
      </w:r>
      <w:r>
        <w:rPr>
          <w:rFonts w:hint="cs"/>
          <w:rtl/>
        </w:rPr>
        <w:t>.</w:t>
      </w:r>
      <w:r>
        <w:rPr>
          <w:rtl/>
        </w:rPr>
        <w:t xml:space="preserve"> </w:t>
      </w:r>
      <w:r w:rsidRPr="00541475">
        <w:rPr>
          <w:rFonts w:cs="Arial" w:hint="cs"/>
          <w:color w:val="00B0F0"/>
          <w:rtl/>
        </w:rPr>
        <w:t>(וכ"פ הרמ"א)</w:t>
      </w:r>
    </w:p>
    <w:p w14:paraId="5123F0FD" w14:textId="77777777" w:rsidR="002C39F4" w:rsidRPr="00D6570B" w:rsidRDefault="002C39F4" w:rsidP="002C39F4">
      <w:pPr>
        <w:rPr>
          <w:rFonts w:cs="Arial"/>
          <w:u w:val="single"/>
          <w:rtl/>
        </w:rPr>
      </w:pPr>
      <w:bookmarkStart w:id="13" w:name="_Hlk516579527"/>
      <w:r>
        <w:rPr>
          <w:rFonts w:cs="Arial" w:hint="cs"/>
          <w:u w:val="single"/>
          <w:rtl/>
        </w:rPr>
        <w:t>ריחא בדבר חריף</w:t>
      </w:r>
      <w:r w:rsidRPr="00D6570B">
        <w:rPr>
          <w:rFonts w:cs="Arial" w:hint="cs"/>
          <w:u w:val="single"/>
          <w:rtl/>
        </w:rPr>
        <w:t>:</w:t>
      </w:r>
    </w:p>
    <w:p w14:paraId="6AE1056E" w14:textId="77777777" w:rsidR="002C39F4" w:rsidRDefault="002C39F4" w:rsidP="0032102C">
      <w:pPr>
        <w:pStyle w:val="a8"/>
        <w:numPr>
          <w:ilvl w:val="0"/>
          <w:numId w:val="141"/>
        </w:numPr>
        <w:rPr>
          <w:rFonts w:cs="Arial"/>
        </w:rPr>
      </w:pPr>
      <w:r w:rsidRPr="00D6570B">
        <w:rPr>
          <w:rFonts w:cs="Arial" w:hint="cs"/>
          <w:rtl/>
        </w:rPr>
        <w:t xml:space="preserve">ב"י בשם </w:t>
      </w:r>
      <w:r w:rsidRPr="00D6570B">
        <w:rPr>
          <w:rFonts w:cs="Arial"/>
          <w:rtl/>
        </w:rPr>
        <w:t xml:space="preserve">מצאתי כתוב </w:t>
      </w:r>
      <w:r w:rsidRPr="00D6570B">
        <w:rPr>
          <w:rFonts w:cs="Arial"/>
          <w:sz w:val="16"/>
          <w:szCs w:val="16"/>
          <w:rtl/>
        </w:rPr>
        <w:t>(</w:t>
      </w:r>
      <w:r>
        <w:rPr>
          <w:rFonts w:cs="Arial" w:hint="cs"/>
          <w:sz w:val="16"/>
          <w:szCs w:val="16"/>
          <w:rtl/>
        </w:rPr>
        <w:t xml:space="preserve">מהר"ם </w:t>
      </w:r>
      <w:r w:rsidRPr="003270DE">
        <w:rPr>
          <w:rFonts w:cs="Arial" w:hint="cs"/>
          <w:sz w:val="14"/>
          <w:szCs w:val="14"/>
          <w:rtl/>
        </w:rPr>
        <w:t xml:space="preserve">[ד"פ סי' כה] </w:t>
      </w:r>
      <w:r w:rsidRPr="00D6570B">
        <w:rPr>
          <w:rFonts w:cs="Arial"/>
          <w:sz w:val="16"/>
          <w:szCs w:val="16"/>
          <w:rtl/>
        </w:rPr>
        <w:t xml:space="preserve">רשב"א </w:t>
      </w:r>
      <w:r w:rsidRPr="003270DE">
        <w:rPr>
          <w:rFonts w:cs="Arial" w:hint="cs"/>
          <w:sz w:val="14"/>
          <w:szCs w:val="14"/>
          <w:rtl/>
        </w:rPr>
        <w:t>[</w:t>
      </w:r>
      <w:r w:rsidRPr="003270DE">
        <w:rPr>
          <w:rFonts w:cs="Arial"/>
          <w:sz w:val="14"/>
          <w:szCs w:val="14"/>
          <w:rtl/>
        </w:rPr>
        <w:t>ח"א סי' תתמט</w:t>
      </w:r>
      <w:r w:rsidRPr="003270DE">
        <w:rPr>
          <w:rFonts w:cs="Arial" w:hint="cs"/>
          <w:sz w:val="14"/>
          <w:szCs w:val="14"/>
          <w:rtl/>
        </w:rPr>
        <w:t xml:space="preserve">] </w:t>
      </w:r>
      <w:r>
        <w:rPr>
          <w:rFonts w:cs="Arial" w:hint="cs"/>
          <w:sz w:val="16"/>
          <w:szCs w:val="16"/>
          <w:rtl/>
        </w:rPr>
        <w:t>ו</w:t>
      </w:r>
      <w:r w:rsidRPr="00D6570B">
        <w:rPr>
          <w:rFonts w:cs="Arial"/>
          <w:sz w:val="16"/>
          <w:szCs w:val="16"/>
          <w:rtl/>
        </w:rPr>
        <w:t xml:space="preserve">מרדכי </w:t>
      </w:r>
      <w:r w:rsidRPr="003270DE">
        <w:rPr>
          <w:rFonts w:cs="Arial" w:hint="cs"/>
          <w:sz w:val="14"/>
          <w:szCs w:val="14"/>
          <w:rtl/>
        </w:rPr>
        <w:t>[</w:t>
      </w:r>
      <w:r w:rsidRPr="003270DE">
        <w:rPr>
          <w:rFonts w:cs="Arial"/>
          <w:sz w:val="14"/>
          <w:szCs w:val="14"/>
          <w:rtl/>
        </w:rPr>
        <w:t>חולין סי' תרסו</w:t>
      </w:r>
      <w:r w:rsidRPr="003270DE">
        <w:rPr>
          <w:rFonts w:cs="Arial" w:hint="cs"/>
          <w:sz w:val="14"/>
          <w:szCs w:val="14"/>
          <w:rtl/>
        </w:rPr>
        <w:t>]</w:t>
      </w:r>
      <w:r w:rsidRPr="00D6570B">
        <w:rPr>
          <w:rFonts w:cs="Arial"/>
          <w:sz w:val="16"/>
          <w:szCs w:val="16"/>
          <w:rtl/>
        </w:rPr>
        <w:t>)</w:t>
      </w:r>
      <w:r w:rsidRPr="00D6570B">
        <w:rPr>
          <w:rFonts w:cs="Arial" w:hint="cs"/>
          <w:rtl/>
        </w:rPr>
        <w:t>-</w:t>
      </w:r>
      <w:r w:rsidRPr="00D6570B">
        <w:rPr>
          <w:rFonts w:cs="Arial"/>
          <w:rtl/>
        </w:rPr>
        <w:t xml:space="preserve"> בצל שצלאו עם דבר אסור הואיל שהוא חריף שואב טובא</w:t>
      </w:r>
      <w:r>
        <w:rPr>
          <w:rFonts w:cs="Arial" w:hint="cs"/>
          <w:rtl/>
        </w:rPr>
        <w:t>,</w:t>
      </w:r>
      <w:r w:rsidRPr="00D6570B">
        <w:rPr>
          <w:rFonts w:cs="Arial"/>
          <w:rtl/>
        </w:rPr>
        <w:t xml:space="preserve"> מידי דהוה אפת חמה וחבית פתוחה דאפ</w:t>
      </w:r>
      <w:r>
        <w:rPr>
          <w:rFonts w:cs="Arial" w:hint="cs"/>
          <w:rtl/>
        </w:rPr>
        <w:t>י'</w:t>
      </w:r>
      <w:r w:rsidRPr="00D6570B">
        <w:rPr>
          <w:rFonts w:cs="Arial"/>
          <w:rtl/>
        </w:rPr>
        <w:t xml:space="preserve"> מ</w:t>
      </w:r>
      <w:r>
        <w:rPr>
          <w:rFonts w:cs="Arial" w:hint="cs"/>
          <w:rtl/>
        </w:rPr>
        <w:t>"</w:t>
      </w:r>
      <w:r w:rsidRPr="00D6570B">
        <w:rPr>
          <w:rFonts w:cs="Arial"/>
          <w:rtl/>
        </w:rPr>
        <w:t>ד ריחא לאו מילתא היא מודה הכא</w:t>
      </w:r>
      <w:r>
        <w:rPr>
          <w:rFonts w:cs="Arial" w:hint="cs"/>
          <w:rtl/>
        </w:rPr>
        <w:t xml:space="preserve"> </w:t>
      </w:r>
      <w:r>
        <w:rPr>
          <w:rFonts w:hint="cs"/>
          <w:sz w:val="16"/>
          <w:szCs w:val="16"/>
          <w:rtl/>
        </w:rPr>
        <w:t>(ל' הב"י)</w:t>
      </w:r>
      <w:r>
        <w:rPr>
          <w:rFonts w:hint="cs"/>
          <w:rtl/>
        </w:rPr>
        <w:t>,</w:t>
      </w:r>
      <w:r w:rsidRPr="00A44FA8">
        <w:rPr>
          <w:rFonts w:hint="cs"/>
          <w:rtl/>
        </w:rPr>
        <w:t xml:space="preserve"> </w:t>
      </w:r>
      <w:r>
        <w:rPr>
          <w:rFonts w:hint="cs"/>
          <w:rtl/>
        </w:rPr>
        <w:t>ו</w:t>
      </w:r>
      <w:r>
        <w:rPr>
          <w:rtl/>
        </w:rPr>
        <w:t>אם מכוסה בבצק מותר</w:t>
      </w:r>
      <w:r>
        <w:rPr>
          <w:rFonts w:hint="cs"/>
          <w:sz w:val="16"/>
          <w:szCs w:val="16"/>
          <w:rtl/>
        </w:rPr>
        <w:t xml:space="preserve"> (מרדכי)</w:t>
      </w:r>
      <w:r w:rsidRPr="00D6570B">
        <w:rPr>
          <w:rFonts w:cs="Arial" w:hint="cs"/>
          <w:rtl/>
        </w:rPr>
        <w:t>.</w:t>
      </w:r>
      <w:r w:rsidRPr="00D6570B">
        <w:rPr>
          <w:rFonts w:cs="Arial"/>
          <w:rtl/>
        </w:rPr>
        <w:t xml:space="preserve"> </w:t>
      </w:r>
      <w:r w:rsidRPr="00541475">
        <w:rPr>
          <w:rFonts w:cs="Arial" w:hint="cs"/>
          <w:color w:val="00B0F0"/>
          <w:rtl/>
        </w:rPr>
        <w:t>(וכ"פ הרמ"א)</w:t>
      </w:r>
      <w:r w:rsidRPr="00D6570B">
        <w:rPr>
          <w:rFonts w:cs="Arial"/>
          <w:rtl/>
        </w:rPr>
        <w:t xml:space="preserve"> </w:t>
      </w:r>
    </w:p>
    <w:p w14:paraId="559A3FE6" w14:textId="77777777" w:rsidR="002C39F4" w:rsidRPr="003270DE" w:rsidRDefault="002C39F4" w:rsidP="002C39F4">
      <w:pPr>
        <w:ind w:left="360"/>
        <w:rPr>
          <w:rFonts w:cs="Arial"/>
          <w:u w:val="dotted"/>
        </w:rPr>
      </w:pPr>
      <w:r>
        <w:rPr>
          <w:rFonts w:cs="Arial" w:hint="cs"/>
          <w:u w:val="dotted"/>
          <w:rtl/>
        </w:rPr>
        <w:t>מה הדין אם התנור גדול ופתוח</w:t>
      </w:r>
      <w:r w:rsidRPr="003270DE">
        <w:rPr>
          <w:rFonts w:cs="Arial" w:hint="cs"/>
          <w:u w:val="dotted"/>
          <w:rtl/>
        </w:rPr>
        <w:t>:</w:t>
      </w:r>
    </w:p>
    <w:p w14:paraId="19924CF9" w14:textId="77777777" w:rsidR="002C39F4" w:rsidRDefault="002C39F4" w:rsidP="0032102C">
      <w:pPr>
        <w:pStyle w:val="a8"/>
        <w:numPr>
          <w:ilvl w:val="0"/>
          <w:numId w:val="141"/>
        </w:numPr>
        <w:rPr>
          <w:rFonts w:cs="Arial"/>
        </w:rPr>
      </w:pPr>
      <w:r>
        <w:rPr>
          <w:rFonts w:cs="Arial" w:hint="cs"/>
          <w:rtl/>
        </w:rPr>
        <w:t xml:space="preserve">או"ה </w:t>
      </w:r>
      <w:r w:rsidRPr="00C71914">
        <w:rPr>
          <w:rFonts w:cs="Arial" w:hint="cs"/>
          <w:sz w:val="16"/>
          <w:szCs w:val="16"/>
          <w:rtl/>
        </w:rPr>
        <w:t xml:space="preserve">(כלל מ </w:t>
      </w:r>
      <w:r>
        <w:rPr>
          <w:rFonts w:cs="Arial" w:hint="cs"/>
          <w:sz w:val="16"/>
          <w:szCs w:val="16"/>
          <w:rtl/>
        </w:rPr>
        <w:t>ד"ג ו</w:t>
      </w:r>
      <w:r w:rsidRPr="00C71914">
        <w:rPr>
          <w:rFonts w:cs="Arial" w:hint="cs"/>
          <w:sz w:val="16"/>
          <w:szCs w:val="16"/>
          <w:rtl/>
        </w:rPr>
        <w:t>ד"כ</w:t>
      </w:r>
      <w:r>
        <w:rPr>
          <w:rFonts w:cs="Arial" w:hint="cs"/>
          <w:sz w:val="16"/>
          <w:szCs w:val="16"/>
          <w:rtl/>
        </w:rPr>
        <w:t>-כא</w:t>
      </w:r>
      <w:r w:rsidRPr="00C71914">
        <w:rPr>
          <w:rFonts w:cs="Arial" w:hint="cs"/>
          <w:sz w:val="16"/>
          <w:szCs w:val="16"/>
          <w:rtl/>
        </w:rPr>
        <w:t>)</w:t>
      </w:r>
      <w:r>
        <w:rPr>
          <w:rFonts w:cs="Arial" w:hint="cs"/>
          <w:rtl/>
        </w:rPr>
        <w:t xml:space="preserve">- </w:t>
      </w:r>
      <w:r w:rsidRPr="00C71914">
        <w:rPr>
          <w:rFonts w:cs="Arial"/>
          <w:rtl/>
        </w:rPr>
        <w:t>איסור חריף או שנעשה לריח ונאפה אפי' עם הפת ובתנורים גדולים בזה ודאי אמרינן ריחא מילתא היא אפי' בדיעבד ואפי' אם פי התנור פתוח בצידו כדאי' בגמרא תנור שהסיקוהו בכמון של תרומה וכו'</w:t>
      </w:r>
      <w:r>
        <w:rPr>
          <w:rStyle w:val="a7"/>
          <w:rFonts w:cs="Arial"/>
          <w:rtl/>
        </w:rPr>
        <w:footnoteReference w:id="2334"/>
      </w:r>
      <w:r>
        <w:rPr>
          <w:rFonts w:cs="Arial" w:hint="cs"/>
          <w:rtl/>
        </w:rPr>
        <w:t>,</w:t>
      </w:r>
      <w:r w:rsidRPr="0064636F">
        <w:rPr>
          <w:rFonts w:hint="cs"/>
          <w:rtl/>
        </w:rPr>
        <w:t xml:space="preserve"> </w:t>
      </w:r>
      <w:r>
        <w:rPr>
          <w:rFonts w:hint="cs"/>
          <w:rtl/>
        </w:rPr>
        <w:t xml:space="preserve">ואם הוא מכוסה בבצק </w:t>
      </w:r>
      <w:r>
        <w:rPr>
          <w:rtl/>
        </w:rPr>
        <w:t>טוב להחמיר לכתחלה</w:t>
      </w:r>
      <w:r>
        <w:rPr>
          <w:rFonts w:cs="Arial" w:hint="cs"/>
          <w:rtl/>
        </w:rPr>
        <w:t>.</w:t>
      </w:r>
      <w:r w:rsidRPr="005E5B03">
        <w:rPr>
          <w:rFonts w:cs="Arial" w:hint="cs"/>
          <w:color w:val="00B0F0"/>
          <w:rtl/>
        </w:rPr>
        <w:t xml:space="preserve"> (וכ"פ הרמ"א</w:t>
      </w:r>
      <w:r>
        <w:rPr>
          <w:rFonts w:cs="Arial" w:hint="cs"/>
          <w:color w:val="000000" w:themeColor="text1"/>
          <w:sz w:val="16"/>
          <w:szCs w:val="16"/>
          <w:rtl/>
        </w:rPr>
        <w:t xml:space="preserve"> [כאן,</w:t>
      </w:r>
      <w:r w:rsidRPr="005E5B03">
        <w:rPr>
          <w:rFonts w:cs="Arial" w:hint="cs"/>
          <w:sz w:val="16"/>
          <w:szCs w:val="16"/>
          <w:rtl/>
        </w:rPr>
        <w:t xml:space="preserve"> </w:t>
      </w:r>
      <w:r>
        <w:rPr>
          <w:rFonts w:cs="Arial" w:hint="cs"/>
          <w:sz w:val="16"/>
          <w:szCs w:val="16"/>
          <w:rtl/>
        </w:rPr>
        <w:t>וכן בת"ח כל"ו ד"ב</w:t>
      </w:r>
      <w:r>
        <w:rPr>
          <w:rFonts w:cs="Arial" w:hint="cs"/>
          <w:color w:val="000000" w:themeColor="text1"/>
          <w:sz w:val="16"/>
          <w:szCs w:val="16"/>
          <w:rtl/>
        </w:rPr>
        <w:t>]</w:t>
      </w:r>
      <w:r w:rsidRPr="005E5B03">
        <w:rPr>
          <w:rFonts w:cs="Arial" w:hint="cs"/>
          <w:color w:val="00B0F0"/>
          <w:rtl/>
        </w:rPr>
        <w:t xml:space="preserve">) </w:t>
      </w:r>
      <w:r>
        <w:rPr>
          <w:rFonts w:cs="Arial" w:hint="cs"/>
          <w:rtl/>
        </w:rPr>
        <w:t xml:space="preserve">(וכ"פ ט"ז </w:t>
      </w:r>
      <w:r>
        <w:rPr>
          <w:rFonts w:cs="Arial" w:hint="cs"/>
          <w:sz w:val="16"/>
          <w:szCs w:val="16"/>
          <w:rtl/>
        </w:rPr>
        <w:t xml:space="preserve">[סק"ה] </w:t>
      </w:r>
      <w:r>
        <w:rPr>
          <w:rFonts w:cs="Arial" w:hint="cs"/>
          <w:rtl/>
        </w:rPr>
        <w:t>ש"ך</w:t>
      </w:r>
      <w:r>
        <w:rPr>
          <w:rFonts w:cs="Arial" w:hint="cs"/>
          <w:sz w:val="16"/>
          <w:szCs w:val="16"/>
          <w:rtl/>
        </w:rPr>
        <w:t xml:space="preserve"> [סק"ט]</w:t>
      </w:r>
      <w:r>
        <w:rPr>
          <w:rFonts w:cs="Arial" w:hint="cs"/>
          <w:rtl/>
        </w:rPr>
        <w:t xml:space="preserve"> וח"ד</w:t>
      </w:r>
      <w:r>
        <w:rPr>
          <w:rFonts w:cs="Arial" w:hint="cs"/>
          <w:sz w:val="16"/>
          <w:szCs w:val="16"/>
          <w:rtl/>
        </w:rPr>
        <w:t xml:space="preserve"> [סק"ח]</w:t>
      </w:r>
      <w:r>
        <w:rPr>
          <w:rFonts w:cs="Arial" w:hint="cs"/>
          <w:rtl/>
        </w:rPr>
        <w:t>)</w:t>
      </w:r>
    </w:p>
    <w:p w14:paraId="1C9FADF2" w14:textId="77777777" w:rsidR="002C39F4" w:rsidRPr="00D6570B" w:rsidRDefault="002C39F4" w:rsidP="0032102C">
      <w:pPr>
        <w:pStyle w:val="a8"/>
        <w:numPr>
          <w:ilvl w:val="0"/>
          <w:numId w:val="141"/>
        </w:numPr>
        <w:rPr>
          <w:rFonts w:cs="Arial"/>
          <w:rtl/>
        </w:rPr>
      </w:pPr>
      <w:r w:rsidRPr="00C71914">
        <w:rPr>
          <w:rFonts w:cs="Arial"/>
          <w:rtl/>
        </w:rPr>
        <w:t>רש"ל</w:t>
      </w:r>
      <w:r w:rsidRPr="003270DE">
        <w:rPr>
          <w:rFonts w:cs="Arial"/>
          <w:sz w:val="16"/>
          <w:szCs w:val="16"/>
          <w:rtl/>
        </w:rPr>
        <w:t xml:space="preserve"> </w:t>
      </w:r>
      <w:r w:rsidRPr="003270DE">
        <w:rPr>
          <w:rFonts w:cs="Arial" w:hint="cs"/>
          <w:sz w:val="16"/>
          <w:szCs w:val="16"/>
          <w:rtl/>
        </w:rPr>
        <w:t>(</w:t>
      </w:r>
      <w:r w:rsidRPr="003270DE">
        <w:rPr>
          <w:rFonts w:cs="Arial"/>
          <w:sz w:val="16"/>
          <w:szCs w:val="16"/>
          <w:rtl/>
        </w:rPr>
        <w:t>בפ</w:t>
      </w:r>
      <w:r w:rsidRPr="003270DE">
        <w:rPr>
          <w:rFonts w:cs="Arial" w:hint="cs"/>
          <w:sz w:val="16"/>
          <w:szCs w:val="16"/>
          <w:rtl/>
        </w:rPr>
        <w:t>ג"ה</w:t>
      </w:r>
      <w:r w:rsidRPr="003270DE">
        <w:rPr>
          <w:rFonts w:cs="Arial"/>
          <w:sz w:val="16"/>
          <w:szCs w:val="16"/>
          <w:rtl/>
        </w:rPr>
        <w:t xml:space="preserve"> סי</w:t>
      </w:r>
      <w:r w:rsidRPr="003270DE">
        <w:rPr>
          <w:rFonts w:cs="Arial" w:hint="cs"/>
          <w:sz w:val="16"/>
          <w:szCs w:val="16"/>
          <w:rtl/>
        </w:rPr>
        <w:t>'</w:t>
      </w:r>
      <w:r w:rsidRPr="003270DE">
        <w:rPr>
          <w:rFonts w:cs="Arial"/>
          <w:sz w:val="16"/>
          <w:szCs w:val="16"/>
          <w:rtl/>
        </w:rPr>
        <w:t xml:space="preserve"> סו</w:t>
      </w:r>
      <w:r w:rsidRPr="003270DE">
        <w:rPr>
          <w:rFonts w:cs="Arial" w:hint="cs"/>
          <w:sz w:val="16"/>
          <w:szCs w:val="16"/>
          <w:rtl/>
        </w:rPr>
        <w:t>)</w:t>
      </w:r>
      <w:r>
        <w:rPr>
          <w:rFonts w:cs="Arial" w:hint="cs"/>
          <w:rtl/>
        </w:rPr>
        <w:t>-</w:t>
      </w:r>
      <w:r w:rsidRPr="00C71914">
        <w:rPr>
          <w:rFonts w:cs="Arial"/>
          <w:rtl/>
        </w:rPr>
        <w:t xml:space="preserve"> היינו דוקא בתנור קטן או גדול ומכוסה אבל בתנור גדול ופתוח לכ</w:t>
      </w:r>
      <w:r>
        <w:rPr>
          <w:rFonts w:cs="Arial" w:hint="cs"/>
          <w:rtl/>
        </w:rPr>
        <w:t>ו</w:t>
      </w:r>
      <w:r w:rsidRPr="00C71914">
        <w:rPr>
          <w:rFonts w:cs="Arial"/>
          <w:rtl/>
        </w:rPr>
        <w:t>"ע שרי</w:t>
      </w:r>
      <w:r>
        <w:rPr>
          <w:rFonts w:cs="Arial" w:hint="cs"/>
          <w:rtl/>
        </w:rPr>
        <w:t>.</w:t>
      </w:r>
      <w:r w:rsidRPr="00C71914">
        <w:rPr>
          <w:rFonts w:cs="Arial"/>
          <w:rtl/>
        </w:rPr>
        <w:t xml:space="preserve"> </w:t>
      </w:r>
      <w:r>
        <w:rPr>
          <w:rFonts w:cs="Arial" w:hint="cs"/>
          <w:rtl/>
        </w:rPr>
        <w:t>(וכ"פ ב"ח)</w:t>
      </w:r>
    </w:p>
    <w:bookmarkEnd w:id="13"/>
    <w:p w14:paraId="34E0ED50" w14:textId="77777777" w:rsidR="002C39F4" w:rsidRDefault="002C39F4" w:rsidP="002C39F4">
      <w:pPr>
        <w:rPr>
          <w:rFonts w:cs="Arial"/>
          <w:rtl/>
        </w:rPr>
      </w:pPr>
      <w:r w:rsidRPr="00F23469">
        <w:rPr>
          <w:rFonts w:cs="Arial" w:hint="cs"/>
          <w:u w:val="single"/>
          <w:rtl/>
        </w:rPr>
        <w:t>ריחא בפסח:</w:t>
      </w:r>
      <w:r>
        <w:rPr>
          <w:rFonts w:cs="Arial" w:hint="cs"/>
          <w:rtl/>
        </w:rPr>
        <w:t xml:space="preserve">   </w:t>
      </w:r>
      <w:r>
        <w:rPr>
          <w:rFonts w:cs="Arial" w:hint="cs"/>
          <w:sz w:val="16"/>
          <w:szCs w:val="16"/>
          <w:rtl/>
        </w:rPr>
        <w:t>(דרכ"מ כאן [אות ג])</w:t>
      </w:r>
    </w:p>
    <w:p w14:paraId="33FCEC15" w14:textId="77777777" w:rsidR="002C39F4" w:rsidRPr="00F23469" w:rsidRDefault="002C39F4" w:rsidP="0032102C">
      <w:pPr>
        <w:pStyle w:val="a8"/>
        <w:numPr>
          <w:ilvl w:val="0"/>
          <w:numId w:val="239"/>
        </w:numPr>
      </w:pPr>
      <w:r>
        <w:rPr>
          <w:rFonts w:cs="Arial" w:hint="cs"/>
          <w:rtl/>
        </w:rPr>
        <w:t xml:space="preserve">ר"פ </w:t>
      </w:r>
      <w:r w:rsidRPr="00F23469">
        <w:rPr>
          <w:rFonts w:cs="Arial" w:hint="cs"/>
          <w:sz w:val="16"/>
          <w:szCs w:val="16"/>
          <w:rtl/>
        </w:rPr>
        <w:t>(</w:t>
      </w:r>
      <w:r w:rsidRPr="00F23469">
        <w:rPr>
          <w:rFonts w:cs="Arial"/>
          <w:sz w:val="16"/>
          <w:szCs w:val="16"/>
          <w:rtl/>
        </w:rPr>
        <w:t>בהגהת סמ"ק הל</w:t>
      </w:r>
      <w:r w:rsidRPr="00F23469">
        <w:rPr>
          <w:rFonts w:cs="Arial" w:hint="cs"/>
          <w:sz w:val="16"/>
          <w:szCs w:val="16"/>
          <w:rtl/>
        </w:rPr>
        <w:t>'</w:t>
      </w:r>
      <w:r w:rsidRPr="00F23469">
        <w:rPr>
          <w:rFonts w:cs="Arial"/>
          <w:sz w:val="16"/>
          <w:szCs w:val="16"/>
          <w:rtl/>
        </w:rPr>
        <w:t xml:space="preserve"> חמץ ומצה סי' ריט אות ב)</w:t>
      </w:r>
      <w:r>
        <w:rPr>
          <w:rFonts w:cs="Arial" w:hint="cs"/>
          <w:rtl/>
        </w:rPr>
        <w:t xml:space="preserve">- </w:t>
      </w:r>
      <w:r w:rsidRPr="00F23469">
        <w:rPr>
          <w:rFonts w:cs="Arial"/>
          <w:rtl/>
        </w:rPr>
        <w:t>אע"ג דקיי"ל דריחא לאו מילתא היא היינו דוקא לענין דלא מחשב נתינת טעם</w:t>
      </w:r>
      <w:r>
        <w:rPr>
          <w:rFonts w:cs="Arial" w:hint="cs"/>
          <w:rtl/>
        </w:rPr>
        <w:t>,</w:t>
      </w:r>
      <w:r w:rsidRPr="00F23469">
        <w:rPr>
          <w:rFonts w:cs="Arial"/>
          <w:rtl/>
        </w:rPr>
        <w:t xml:space="preserve"> מ"מ משהו מיהו איכא</w:t>
      </w:r>
      <w:r>
        <w:rPr>
          <w:rFonts w:cs="Arial" w:hint="cs"/>
          <w:rtl/>
        </w:rPr>
        <w:t>,</w:t>
      </w:r>
      <w:r w:rsidRPr="00F23469">
        <w:rPr>
          <w:rFonts w:cs="Arial"/>
          <w:rtl/>
        </w:rPr>
        <w:t xml:space="preserve"> מיהו לא שייך ריחא אלא בתנור המכוסה למעלה</w:t>
      </w:r>
      <w:r>
        <w:rPr>
          <w:rFonts w:cs="Arial" w:hint="cs"/>
          <w:rtl/>
        </w:rPr>
        <w:t>, ולכן יש</w:t>
      </w:r>
      <w:r w:rsidRPr="00F23469">
        <w:rPr>
          <w:rFonts w:cs="Arial"/>
          <w:rtl/>
        </w:rPr>
        <w:t xml:space="preserve"> לאסור אפילו בדבר דלא שייך ביה ריחא כגון בחמץ עם מצה</w:t>
      </w:r>
      <w:r>
        <w:rPr>
          <w:rFonts w:cs="Arial" w:hint="cs"/>
          <w:rtl/>
        </w:rPr>
        <w:t>.</w:t>
      </w:r>
      <w:r w:rsidRPr="00F23469">
        <w:rPr>
          <w:rFonts w:cs="Arial"/>
          <w:rtl/>
        </w:rPr>
        <w:t xml:space="preserve"> </w:t>
      </w:r>
    </w:p>
    <w:p w14:paraId="08F9A930" w14:textId="77777777" w:rsidR="002C39F4" w:rsidRPr="00135581" w:rsidRDefault="002C39F4" w:rsidP="0032102C">
      <w:pPr>
        <w:pStyle w:val="a8"/>
        <w:numPr>
          <w:ilvl w:val="0"/>
          <w:numId w:val="239"/>
        </w:numPr>
        <w:rPr>
          <w:rtl/>
        </w:rPr>
      </w:pPr>
      <w:r>
        <w:rPr>
          <w:rFonts w:cs="Arial" w:hint="cs"/>
          <w:rtl/>
        </w:rPr>
        <w:t xml:space="preserve">מהרי"ל </w:t>
      </w:r>
      <w:r>
        <w:rPr>
          <w:rFonts w:cs="Arial" w:hint="cs"/>
          <w:sz w:val="16"/>
          <w:szCs w:val="16"/>
          <w:rtl/>
        </w:rPr>
        <w:t>(סי' קפו)</w:t>
      </w:r>
      <w:r>
        <w:rPr>
          <w:rFonts w:cs="Arial" w:hint="cs"/>
          <w:rtl/>
        </w:rPr>
        <w:t xml:space="preserve">- </w:t>
      </w:r>
      <w:r w:rsidRPr="00EC5E5D">
        <w:rPr>
          <w:rFonts w:cs="Arial"/>
          <w:rtl/>
        </w:rPr>
        <w:t>למ"ד ריחא לאו מילתא היא אין חילוק בין חמץ דאוסר במשהו לשאר איסורים</w:t>
      </w:r>
      <w:r>
        <w:rPr>
          <w:rStyle w:val="a7"/>
          <w:rFonts w:cs="Arial"/>
          <w:rtl/>
        </w:rPr>
        <w:footnoteReference w:id="2335"/>
      </w:r>
      <w:r>
        <w:rPr>
          <w:rFonts w:hint="cs"/>
          <w:rtl/>
        </w:rPr>
        <w:t>.</w:t>
      </w:r>
    </w:p>
    <w:p w14:paraId="6CDC5BD2" w14:textId="77777777" w:rsidR="002C39F4" w:rsidRDefault="002C39F4" w:rsidP="002C39F4">
      <w:pPr>
        <w:rPr>
          <w:rtl/>
        </w:rPr>
      </w:pPr>
      <w:r>
        <w:rPr>
          <w:rFonts w:hint="cs"/>
          <w:u w:val="single"/>
          <w:rtl/>
        </w:rPr>
        <w:t>ריחא כשהמאכלים מגולים</w:t>
      </w:r>
      <w:r w:rsidRPr="00EB642F">
        <w:rPr>
          <w:rFonts w:hint="cs"/>
          <w:u w:val="single"/>
          <w:rtl/>
        </w:rPr>
        <w:t>:</w:t>
      </w:r>
      <w:r>
        <w:rPr>
          <w:rFonts w:cs="Arial" w:hint="cs"/>
          <w:rtl/>
        </w:rPr>
        <w:t xml:space="preserve">   </w:t>
      </w:r>
      <w:r>
        <w:rPr>
          <w:rFonts w:cs="Arial" w:hint="cs"/>
          <w:sz w:val="16"/>
          <w:szCs w:val="16"/>
          <w:rtl/>
        </w:rPr>
        <w:t>(דרכ"מ כאן [אות ג])</w:t>
      </w:r>
    </w:p>
    <w:p w14:paraId="5CBB68C5" w14:textId="77777777" w:rsidR="002C39F4" w:rsidRDefault="002C39F4" w:rsidP="0032102C">
      <w:pPr>
        <w:pStyle w:val="a8"/>
        <w:numPr>
          <w:ilvl w:val="0"/>
          <w:numId w:val="241"/>
        </w:numPr>
      </w:pPr>
      <w:r>
        <w:rPr>
          <w:rFonts w:hint="cs"/>
          <w:rtl/>
        </w:rPr>
        <w:t>או</w:t>
      </w:r>
      <w:r>
        <w:rPr>
          <w:rtl/>
        </w:rPr>
        <w:t>"</w:t>
      </w:r>
      <w:r>
        <w:rPr>
          <w:rFonts w:hint="cs"/>
          <w:rtl/>
        </w:rPr>
        <w:t>ה</w:t>
      </w:r>
      <w:r w:rsidRPr="00EB642F">
        <w:rPr>
          <w:sz w:val="16"/>
          <w:szCs w:val="16"/>
          <w:rtl/>
        </w:rPr>
        <w:t xml:space="preserve"> (</w:t>
      </w:r>
      <w:r>
        <w:rPr>
          <w:rFonts w:hint="cs"/>
          <w:sz w:val="16"/>
          <w:szCs w:val="16"/>
          <w:rtl/>
        </w:rPr>
        <w:t xml:space="preserve">כלל לט </w:t>
      </w:r>
      <w:r w:rsidRPr="00EB642F">
        <w:rPr>
          <w:sz w:val="16"/>
          <w:szCs w:val="16"/>
          <w:rtl/>
        </w:rPr>
        <w:t>דין י-יג)</w:t>
      </w:r>
      <w:r>
        <w:rPr>
          <w:rFonts w:hint="cs"/>
          <w:rtl/>
        </w:rPr>
        <w:t>-</w:t>
      </w:r>
      <w:r>
        <w:rPr>
          <w:rtl/>
        </w:rPr>
        <w:t xml:space="preserve"> הא דמתירין ריחא מילתא דוקא שאפה פשטיד"א מכוסה בבצק עם פלאדי"ן או פשטיד"א שאינה מכוסה עם פלאדי"ן מכוסה בבצק</w:t>
      </w:r>
      <w:r>
        <w:rPr>
          <w:rFonts w:hint="cs"/>
          <w:rtl/>
        </w:rPr>
        <w:t>,</w:t>
      </w:r>
      <w:r>
        <w:rPr>
          <w:rtl/>
        </w:rPr>
        <w:t xml:space="preserve"> אבל אם שניהם מגולין או שצלה צלי איסור עם צלי של היתר לא מהני האי פתוח עד שיהיה פתוח מן הצד</w:t>
      </w:r>
      <w:r>
        <w:rPr>
          <w:rFonts w:hint="cs"/>
          <w:rtl/>
        </w:rPr>
        <w:t>,</w:t>
      </w:r>
      <w:r>
        <w:rPr>
          <w:rtl/>
        </w:rPr>
        <w:t xml:space="preserve"> דהוי כפת חמה וחבית פתוחה דלכו</w:t>
      </w:r>
      <w:r>
        <w:rPr>
          <w:rFonts w:hint="cs"/>
          <w:rtl/>
        </w:rPr>
        <w:t>"</w:t>
      </w:r>
      <w:r>
        <w:rPr>
          <w:rtl/>
        </w:rPr>
        <w:t>ע ריחא מילתא היא</w:t>
      </w:r>
      <w:r>
        <w:rPr>
          <w:rFonts w:hint="cs"/>
          <w:rtl/>
        </w:rPr>
        <w:t>,</w:t>
      </w:r>
      <w:r>
        <w:rPr>
          <w:rtl/>
        </w:rPr>
        <w:t xml:space="preserve"> ואפילו אם שניהם מכוסים בבצק אם משח הכיסוי בשומן או שלשו בשומן דינו כמגולה</w:t>
      </w:r>
      <w:r>
        <w:rPr>
          <w:rFonts w:hint="cs"/>
          <w:rtl/>
        </w:rPr>
        <w:t>,</w:t>
      </w:r>
      <w:r>
        <w:rPr>
          <w:rtl/>
        </w:rPr>
        <w:t xml:space="preserve"> ואין חילוק בין תנור של בית החורף שגבוה הרבה לשאר תנור</w:t>
      </w:r>
      <w:r>
        <w:rPr>
          <w:rFonts w:hint="cs"/>
          <w:rtl/>
        </w:rPr>
        <w:t>,</w:t>
      </w:r>
      <w:r>
        <w:rPr>
          <w:rtl/>
        </w:rPr>
        <w:t xml:space="preserve"> ואין חילוק בין הפסד מרובה למועט</w:t>
      </w:r>
      <w:r>
        <w:rPr>
          <w:rStyle w:val="a7"/>
          <w:rtl/>
        </w:rPr>
        <w:footnoteReference w:id="2336"/>
      </w:r>
      <w:r>
        <w:rPr>
          <w:rFonts w:hint="cs"/>
          <w:rtl/>
        </w:rPr>
        <w:t>.</w:t>
      </w:r>
    </w:p>
    <w:p w14:paraId="1CAF338C" w14:textId="77777777" w:rsidR="002C39F4" w:rsidRPr="00D6570B" w:rsidRDefault="002C39F4" w:rsidP="002C39F4">
      <w:pPr>
        <w:rPr>
          <w:rFonts w:cs="Arial"/>
          <w:u w:val="single"/>
          <w:rtl/>
        </w:rPr>
      </w:pPr>
      <w:bookmarkStart w:id="14" w:name="_Hlk516577579"/>
      <w:r w:rsidRPr="00D6570B">
        <w:rPr>
          <w:rFonts w:cs="Arial" w:hint="cs"/>
          <w:u w:val="single"/>
          <w:rtl/>
        </w:rPr>
        <w:t xml:space="preserve">'ריחא' </w:t>
      </w:r>
      <w:r>
        <w:rPr>
          <w:rFonts w:cs="Arial" w:hint="cs"/>
          <w:u w:val="single"/>
          <w:rtl/>
        </w:rPr>
        <w:t>בדם</w:t>
      </w:r>
      <w:r w:rsidRPr="00D6570B">
        <w:rPr>
          <w:rFonts w:cs="Arial" w:hint="cs"/>
          <w:u w:val="single"/>
          <w:rtl/>
        </w:rPr>
        <w:t>:</w:t>
      </w:r>
      <w:r>
        <w:rPr>
          <w:rFonts w:cs="Arial" w:hint="cs"/>
          <w:sz w:val="16"/>
          <w:szCs w:val="16"/>
          <w:rtl/>
        </w:rPr>
        <w:t xml:space="preserve">  (הועתק מסי' צז, ודרכ"מ [סי' קח אות ג])</w:t>
      </w:r>
    </w:p>
    <w:p w14:paraId="08593D82" w14:textId="77777777" w:rsidR="002C39F4" w:rsidRPr="00197C59" w:rsidRDefault="002C39F4" w:rsidP="0032102C">
      <w:pPr>
        <w:pStyle w:val="a8"/>
        <w:numPr>
          <w:ilvl w:val="0"/>
          <w:numId w:val="141"/>
        </w:numPr>
        <w:rPr>
          <w:rFonts w:cs="Arial"/>
        </w:rPr>
      </w:pPr>
      <w:r w:rsidRPr="00D6570B">
        <w:rPr>
          <w:rFonts w:cs="Arial"/>
          <w:rtl/>
        </w:rPr>
        <w:t>ת</w:t>
      </w:r>
      <w:r w:rsidRPr="00D6570B">
        <w:rPr>
          <w:rFonts w:cs="Arial" w:hint="cs"/>
          <w:rtl/>
        </w:rPr>
        <w:t>רו</w:t>
      </w:r>
      <w:r w:rsidRPr="00D6570B">
        <w:rPr>
          <w:rFonts w:cs="Arial"/>
          <w:rtl/>
        </w:rPr>
        <w:t xml:space="preserve">ה"ד </w:t>
      </w:r>
      <w:r w:rsidRPr="00D6570B">
        <w:rPr>
          <w:rFonts w:cs="Arial" w:hint="cs"/>
          <w:sz w:val="16"/>
          <w:szCs w:val="16"/>
          <w:rtl/>
        </w:rPr>
        <w:t>(</w:t>
      </w:r>
      <w:r w:rsidRPr="00D6570B">
        <w:rPr>
          <w:rFonts w:cs="Arial"/>
          <w:sz w:val="16"/>
          <w:szCs w:val="16"/>
          <w:rtl/>
        </w:rPr>
        <w:t>ח"ב סי' עו)</w:t>
      </w:r>
      <w:r>
        <w:rPr>
          <w:rFonts w:cs="Arial" w:hint="cs"/>
          <w:rtl/>
        </w:rPr>
        <w:t xml:space="preserve"> ומהר"י מינץ</w:t>
      </w:r>
      <w:r>
        <w:rPr>
          <w:rFonts w:cs="Arial" w:hint="cs"/>
          <w:sz w:val="16"/>
          <w:szCs w:val="16"/>
          <w:rtl/>
        </w:rPr>
        <w:t xml:space="preserve"> (סי' טו)</w:t>
      </w:r>
      <w:r w:rsidRPr="00D6570B">
        <w:rPr>
          <w:rFonts w:cs="Arial" w:hint="cs"/>
          <w:rtl/>
        </w:rPr>
        <w:t xml:space="preserve">- </w:t>
      </w:r>
      <w:r>
        <w:rPr>
          <w:rFonts w:cs="Arial"/>
          <w:rtl/>
        </w:rPr>
        <w:t>אפ</w:t>
      </w:r>
      <w:r>
        <w:rPr>
          <w:rFonts w:cs="Arial" w:hint="cs"/>
          <w:rtl/>
        </w:rPr>
        <w:t>ילו</w:t>
      </w:r>
      <w:r w:rsidRPr="00D6570B">
        <w:rPr>
          <w:rFonts w:cs="Arial"/>
          <w:rtl/>
        </w:rPr>
        <w:t xml:space="preserve"> למאן דאמר ריחא מילתא היא</w:t>
      </w:r>
      <w:r>
        <w:rPr>
          <w:rFonts w:cs="Arial" w:hint="cs"/>
          <w:rtl/>
        </w:rPr>
        <w:t>, כיון ד</w:t>
      </w:r>
      <w:r>
        <w:rPr>
          <w:rtl/>
        </w:rPr>
        <w:t>דם הוי כדבר כחוש שאינו מפטם לכן אם נצלה כבד</w:t>
      </w:r>
      <w:r>
        <w:rPr>
          <w:rStyle w:val="a7"/>
          <w:rtl/>
        </w:rPr>
        <w:footnoteReference w:id="2337"/>
      </w:r>
      <w:r>
        <w:rPr>
          <w:rtl/>
        </w:rPr>
        <w:t xml:space="preserve"> עם </w:t>
      </w:r>
      <w:r>
        <w:rPr>
          <w:rFonts w:hint="cs"/>
          <w:rtl/>
        </w:rPr>
        <w:t xml:space="preserve">חתיכת </w:t>
      </w:r>
      <w:r>
        <w:rPr>
          <w:rtl/>
        </w:rPr>
        <w:t xml:space="preserve">היתר </w:t>
      </w:r>
      <w:r>
        <w:rPr>
          <w:rFonts w:hint="cs"/>
          <w:rtl/>
        </w:rPr>
        <w:t xml:space="preserve">שמן </w:t>
      </w:r>
      <w:r>
        <w:rPr>
          <w:rtl/>
        </w:rPr>
        <w:t>אינו אוסר לכ</w:t>
      </w:r>
      <w:r>
        <w:rPr>
          <w:rFonts w:hint="cs"/>
          <w:rtl/>
        </w:rPr>
        <w:t>ו</w:t>
      </w:r>
      <w:r>
        <w:rPr>
          <w:rtl/>
        </w:rPr>
        <w:t>"ע</w:t>
      </w:r>
      <w:r w:rsidRPr="00D6570B">
        <w:rPr>
          <w:rFonts w:cs="Arial"/>
          <w:rtl/>
        </w:rPr>
        <w:t xml:space="preserve"> ואין כאן בית מיחוש</w:t>
      </w:r>
      <w:r>
        <w:rPr>
          <w:rStyle w:val="a7"/>
          <w:rFonts w:cs="Arial"/>
          <w:rtl/>
        </w:rPr>
        <w:footnoteReference w:id="2338"/>
      </w:r>
      <w:r>
        <w:rPr>
          <w:rFonts w:cs="Arial" w:hint="cs"/>
          <w:rtl/>
        </w:rPr>
        <w:t>.</w:t>
      </w:r>
      <w:r w:rsidRPr="00D6570B">
        <w:rPr>
          <w:rFonts w:cs="Arial"/>
          <w:rtl/>
        </w:rPr>
        <w:t xml:space="preserve"> </w:t>
      </w:r>
    </w:p>
    <w:bookmarkEnd w:id="14"/>
    <w:p w14:paraId="629947D1" w14:textId="77777777" w:rsidR="002C39F4" w:rsidRDefault="002C39F4" w:rsidP="002C39F4">
      <w:r>
        <w:rPr>
          <w:rFonts w:hint="cs"/>
          <w:u w:val="single"/>
          <w:rtl/>
        </w:rPr>
        <w:t>ריחא כשיש ששים בהיתר נגד האיסור</w:t>
      </w:r>
      <w:r w:rsidRPr="00EB642F">
        <w:rPr>
          <w:rFonts w:hint="cs"/>
          <w:u w:val="single"/>
          <w:rtl/>
        </w:rPr>
        <w:t>:</w:t>
      </w:r>
      <w:r>
        <w:rPr>
          <w:rFonts w:cs="Arial" w:hint="cs"/>
          <w:rtl/>
        </w:rPr>
        <w:t xml:space="preserve">   </w:t>
      </w:r>
      <w:r>
        <w:rPr>
          <w:rFonts w:cs="Arial" w:hint="cs"/>
          <w:sz w:val="16"/>
          <w:szCs w:val="16"/>
          <w:rtl/>
        </w:rPr>
        <w:t>(דרכ"מ כאן [אות ג])</w:t>
      </w:r>
    </w:p>
    <w:p w14:paraId="2D65017B" w14:textId="77777777" w:rsidR="002C39F4" w:rsidRDefault="002C39F4" w:rsidP="0032102C">
      <w:pPr>
        <w:pStyle w:val="a8"/>
        <w:numPr>
          <w:ilvl w:val="0"/>
          <w:numId w:val="241"/>
        </w:numPr>
      </w:pPr>
      <w:r>
        <w:rPr>
          <w:rFonts w:hint="cs"/>
          <w:rtl/>
        </w:rPr>
        <w:t>או</w:t>
      </w:r>
      <w:r>
        <w:rPr>
          <w:rtl/>
        </w:rPr>
        <w:t>"</w:t>
      </w:r>
      <w:r>
        <w:rPr>
          <w:rFonts w:hint="cs"/>
          <w:rtl/>
        </w:rPr>
        <w:t>ה</w:t>
      </w:r>
      <w:r w:rsidRPr="00EB642F">
        <w:rPr>
          <w:sz w:val="16"/>
          <w:szCs w:val="16"/>
          <w:rtl/>
        </w:rPr>
        <w:t xml:space="preserve"> (</w:t>
      </w:r>
      <w:r>
        <w:rPr>
          <w:rFonts w:hint="cs"/>
          <w:sz w:val="16"/>
          <w:szCs w:val="16"/>
          <w:rtl/>
        </w:rPr>
        <w:t xml:space="preserve">כלל לט </w:t>
      </w:r>
      <w:r w:rsidRPr="00EB642F">
        <w:rPr>
          <w:sz w:val="16"/>
          <w:szCs w:val="16"/>
          <w:rtl/>
        </w:rPr>
        <w:t>דין</w:t>
      </w:r>
      <w:r>
        <w:rPr>
          <w:rFonts w:hint="cs"/>
          <w:sz w:val="16"/>
          <w:szCs w:val="16"/>
          <w:rtl/>
        </w:rPr>
        <w:t xml:space="preserve"> יח)</w:t>
      </w:r>
      <w:r>
        <w:rPr>
          <w:rFonts w:hint="cs"/>
          <w:rtl/>
        </w:rPr>
        <w:t>-</w:t>
      </w:r>
      <w:r>
        <w:rPr>
          <w:rtl/>
        </w:rPr>
        <w:t xml:space="preserve"> הא דריחא מלתא היינו שאין ס' מן ההיתר נגד האיסור אבל בדאיכא ס' שרי</w:t>
      </w:r>
      <w:r>
        <w:rPr>
          <w:rFonts w:hint="cs"/>
          <w:rtl/>
        </w:rPr>
        <w:t>,</w:t>
      </w:r>
      <w:r>
        <w:rPr>
          <w:rtl/>
        </w:rPr>
        <w:t xml:space="preserve"> דלא גרע מאילו נתבשל בו</w:t>
      </w:r>
      <w:r>
        <w:rPr>
          <w:rFonts w:hint="cs"/>
          <w:rtl/>
        </w:rPr>
        <w:t>,</w:t>
      </w:r>
      <w:r>
        <w:rPr>
          <w:rtl/>
        </w:rPr>
        <w:t xml:space="preserve"> ומיהו בכל חתיכה צריך להיות ס' נגד הריח דאין מצטרף אחד לחבירו לבט</w:t>
      </w:r>
      <w:r>
        <w:rPr>
          <w:rFonts w:hint="cs"/>
          <w:rtl/>
        </w:rPr>
        <w:t>ל</w:t>
      </w:r>
      <w:r>
        <w:rPr>
          <w:rStyle w:val="a7"/>
          <w:rtl/>
        </w:rPr>
        <w:footnoteReference w:id="2339"/>
      </w:r>
      <w:r>
        <w:rPr>
          <w:rFonts w:hint="cs"/>
          <w:rtl/>
        </w:rPr>
        <w:t>.</w:t>
      </w:r>
    </w:p>
    <w:p w14:paraId="16F69C6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DDA2722" w14:textId="77777777" w:rsidR="002C39F4" w:rsidRDefault="002C39F4" w:rsidP="002C39F4">
      <w:pPr>
        <w:rPr>
          <w:rFonts w:asciiTheme="minorBidi" w:hAnsiTheme="minorBidi"/>
          <w:rtl/>
        </w:rPr>
      </w:pPr>
      <w:r w:rsidRPr="003024E5">
        <w:rPr>
          <w:rFonts w:asciiTheme="minorBidi" w:hAnsiTheme="minorBidi"/>
          <w:rtl/>
        </w:rPr>
        <w:t xml:space="preserve">אין צולין בשר כשרה עם בשר נבלה או של בהמה טמאה בתנור </w:t>
      </w:r>
      <w:r>
        <w:rPr>
          <w:rFonts w:asciiTheme="minorBidi" w:hAnsiTheme="minorBidi" w:hint="cs"/>
          <w:rtl/>
        </w:rPr>
        <w:t>אחד,</w:t>
      </w:r>
      <w:r w:rsidRPr="003024E5">
        <w:rPr>
          <w:rFonts w:asciiTheme="minorBidi" w:hAnsiTheme="minorBidi"/>
          <w:rtl/>
        </w:rPr>
        <w:t xml:space="preserve"> ואף על פי שאין נוגעים זה בזה</w:t>
      </w:r>
      <w:r>
        <w:rPr>
          <w:rFonts w:asciiTheme="minorBidi" w:hAnsiTheme="minorBidi" w:hint="cs"/>
          <w:rtl/>
        </w:rPr>
        <w:t>,</w:t>
      </w:r>
      <w:r w:rsidRPr="003024E5">
        <w:rPr>
          <w:rFonts w:asciiTheme="minorBidi" w:hAnsiTheme="minorBidi"/>
          <w:rtl/>
        </w:rPr>
        <w:t xml:space="preserve"> ואם צלאן הרי זה מותר</w:t>
      </w:r>
      <w:r>
        <w:rPr>
          <w:rStyle w:val="a7"/>
          <w:rFonts w:asciiTheme="minorBidi" w:hAnsiTheme="minorBidi"/>
          <w:rtl/>
        </w:rPr>
        <w:footnoteReference w:id="2340"/>
      </w:r>
      <w:r w:rsidRPr="003024E5">
        <w:rPr>
          <w:rFonts w:asciiTheme="minorBidi" w:hAnsiTheme="minorBidi"/>
          <w:rtl/>
        </w:rPr>
        <w:t xml:space="preserve"> ואפילו היתה האסורה שמינה הרבה והמותרת רזה. ואם התנור גדול שמחזיק </w:t>
      </w:r>
      <w:r>
        <w:rPr>
          <w:rFonts w:asciiTheme="minorBidi" w:hAnsiTheme="minorBidi" w:hint="cs"/>
          <w:rtl/>
        </w:rPr>
        <w:t>שנים עשר</w:t>
      </w:r>
      <w:r w:rsidRPr="003024E5">
        <w:rPr>
          <w:rFonts w:asciiTheme="minorBidi" w:hAnsiTheme="minorBidi"/>
          <w:rtl/>
        </w:rPr>
        <w:t xml:space="preserve"> עשרונים ופיו פתוח מותר לצלותם בו ובלבד שלא יגעו זה בזה</w:t>
      </w:r>
      <w:r>
        <w:rPr>
          <w:rFonts w:asciiTheme="minorBidi" w:hAnsiTheme="minorBidi" w:hint="cs"/>
          <w:rtl/>
        </w:rPr>
        <w:t>,</w:t>
      </w:r>
      <w:r w:rsidRPr="003024E5">
        <w:rPr>
          <w:rFonts w:asciiTheme="minorBidi" w:hAnsiTheme="minorBidi"/>
          <w:rtl/>
        </w:rPr>
        <w:t xml:space="preserve"> </w:t>
      </w:r>
      <w:r>
        <w:rPr>
          <w:rStyle w:val="a7"/>
          <w:rFonts w:asciiTheme="minorBidi" w:hAnsiTheme="minorBidi"/>
          <w:rtl/>
        </w:rPr>
        <w:footnoteReference w:id="2341"/>
      </w:r>
      <w:r w:rsidRPr="003024E5">
        <w:rPr>
          <w:rFonts w:asciiTheme="minorBidi" w:hAnsiTheme="minorBidi"/>
          <w:rtl/>
        </w:rPr>
        <w:t xml:space="preserve">ואם אחד מהם מכוסה בקערה או בבצק וכיוצא בו מותר לצלותם אפילו בתנור קטן ופיו סתום. </w:t>
      </w:r>
      <w:r w:rsidRPr="006F67AA">
        <w:rPr>
          <w:rFonts w:asciiTheme="minorBidi" w:hAnsiTheme="minorBidi"/>
          <w:sz w:val="18"/>
          <w:szCs w:val="18"/>
          <w:rtl/>
        </w:rPr>
        <w:t xml:space="preserve">הגה: וה"ה לבשר עם חלב נמי דינא הכי </w:t>
      </w:r>
      <w:r w:rsidRPr="001F77AB">
        <w:rPr>
          <w:rFonts w:asciiTheme="minorBidi" w:hAnsiTheme="minorBidi"/>
          <w:sz w:val="16"/>
          <w:szCs w:val="16"/>
          <w:rtl/>
        </w:rPr>
        <w:t>(טור סי</w:t>
      </w:r>
      <w:r w:rsidRPr="001F77AB">
        <w:rPr>
          <w:rFonts w:asciiTheme="minorBidi" w:hAnsiTheme="minorBidi" w:hint="cs"/>
          <w:sz w:val="16"/>
          <w:szCs w:val="16"/>
          <w:rtl/>
        </w:rPr>
        <w:t>'</w:t>
      </w:r>
      <w:r w:rsidRPr="001F77AB">
        <w:rPr>
          <w:rFonts w:asciiTheme="minorBidi" w:hAnsiTheme="minorBidi"/>
          <w:sz w:val="16"/>
          <w:szCs w:val="16"/>
          <w:rtl/>
        </w:rPr>
        <w:t xml:space="preserve"> צז)</w:t>
      </w:r>
      <w:r w:rsidRPr="006F67AA">
        <w:rPr>
          <w:rFonts w:asciiTheme="minorBidi" w:hAnsiTheme="minorBidi"/>
          <w:sz w:val="18"/>
          <w:szCs w:val="18"/>
          <w:rtl/>
        </w:rPr>
        <w:t>. ונוהגין להחמיר לכתחלה אפילו בתנור גדול</w:t>
      </w:r>
      <w:r>
        <w:rPr>
          <w:rFonts w:asciiTheme="minorBidi" w:hAnsiTheme="minorBidi" w:hint="cs"/>
          <w:sz w:val="18"/>
          <w:szCs w:val="18"/>
          <w:rtl/>
        </w:rPr>
        <w:t>,</w:t>
      </w:r>
      <w:r w:rsidRPr="006F67AA">
        <w:rPr>
          <w:rFonts w:asciiTheme="minorBidi" w:hAnsiTheme="minorBidi"/>
          <w:sz w:val="18"/>
          <w:szCs w:val="18"/>
          <w:rtl/>
        </w:rPr>
        <w:t xml:space="preserve"> ובדיעבד להקל אפילו בתנור קטן</w:t>
      </w:r>
      <w:r>
        <w:rPr>
          <w:rStyle w:val="a7"/>
          <w:rFonts w:asciiTheme="minorBidi" w:hAnsiTheme="minorBidi"/>
          <w:sz w:val="18"/>
          <w:szCs w:val="18"/>
          <w:rtl/>
        </w:rPr>
        <w:footnoteReference w:id="2342"/>
      </w:r>
      <w:r w:rsidRPr="006F67AA">
        <w:rPr>
          <w:rFonts w:asciiTheme="minorBidi" w:hAnsiTheme="minorBidi"/>
          <w:sz w:val="18"/>
          <w:szCs w:val="18"/>
          <w:rtl/>
        </w:rPr>
        <w:t>. ואם אפה פת עם בשר</w:t>
      </w:r>
      <w:r>
        <w:rPr>
          <w:rStyle w:val="a7"/>
          <w:rFonts w:asciiTheme="minorBidi" w:hAnsiTheme="minorBidi"/>
          <w:sz w:val="18"/>
          <w:szCs w:val="18"/>
          <w:rtl/>
        </w:rPr>
        <w:footnoteReference w:id="2343"/>
      </w:r>
      <w:r w:rsidRPr="006F67AA">
        <w:rPr>
          <w:rFonts w:asciiTheme="minorBidi" w:hAnsiTheme="minorBidi"/>
          <w:sz w:val="18"/>
          <w:szCs w:val="18"/>
          <w:rtl/>
        </w:rPr>
        <w:t xml:space="preserve"> אסור לאכלו עם חלב אם יש לו פת אחר </w:t>
      </w:r>
      <w:r w:rsidRPr="001F77AB">
        <w:rPr>
          <w:rFonts w:asciiTheme="minorBidi" w:hAnsiTheme="minorBidi"/>
          <w:sz w:val="16"/>
          <w:szCs w:val="16"/>
          <w:rtl/>
        </w:rPr>
        <w:t>(שם)</w:t>
      </w:r>
      <w:r>
        <w:rPr>
          <w:rFonts w:asciiTheme="minorBidi" w:hAnsiTheme="minorBidi" w:hint="cs"/>
          <w:sz w:val="18"/>
          <w:szCs w:val="18"/>
          <w:rtl/>
        </w:rPr>
        <w:t>,</w:t>
      </w:r>
      <w:r w:rsidRPr="006F67AA">
        <w:rPr>
          <w:rFonts w:asciiTheme="minorBidi" w:hAnsiTheme="minorBidi"/>
          <w:sz w:val="18"/>
          <w:szCs w:val="18"/>
          <w:rtl/>
        </w:rPr>
        <w:t xml:space="preserve"> וכן אם </w:t>
      </w:r>
      <w:r>
        <w:rPr>
          <w:rFonts w:asciiTheme="minorBidi" w:hAnsiTheme="minorBidi" w:hint="cs"/>
          <w:sz w:val="18"/>
          <w:szCs w:val="18"/>
          <w:rtl/>
        </w:rPr>
        <w:t>גוי</w:t>
      </w:r>
      <w:r w:rsidRPr="006F67AA">
        <w:rPr>
          <w:rFonts w:asciiTheme="minorBidi" w:hAnsiTheme="minorBidi"/>
          <w:sz w:val="18"/>
          <w:szCs w:val="18"/>
          <w:rtl/>
        </w:rPr>
        <w:t xml:space="preserve"> אפה פת עם איסור אסור לקנות אותו פת אם יש פת אחר, דכל זה מקרי לכתחלה. אבל אם אין לו פת אחר בריוח מותר בשניהם דזה מקרי לענין זה דיעבד</w:t>
      </w:r>
      <w:r>
        <w:rPr>
          <w:rStyle w:val="a7"/>
          <w:rFonts w:asciiTheme="minorBidi" w:hAnsiTheme="minorBidi"/>
          <w:sz w:val="18"/>
          <w:szCs w:val="18"/>
          <w:rtl/>
        </w:rPr>
        <w:footnoteReference w:id="2344"/>
      </w:r>
      <w:r w:rsidRPr="006F67AA">
        <w:rPr>
          <w:rFonts w:asciiTheme="minorBidi" w:hAnsiTheme="minorBidi"/>
          <w:sz w:val="18"/>
          <w:szCs w:val="18"/>
          <w:rtl/>
        </w:rPr>
        <w:t xml:space="preserve"> </w:t>
      </w:r>
      <w:r w:rsidRPr="001F77AB">
        <w:rPr>
          <w:rFonts w:asciiTheme="minorBidi" w:hAnsiTheme="minorBidi"/>
          <w:sz w:val="16"/>
          <w:szCs w:val="16"/>
          <w:rtl/>
        </w:rPr>
        <w:t>(אגור בשם ר"י מולין)</w:t>
      </w:r>
      <w:r w:rsidRPr="006F67AA">
        <w:rPr>
          <w:rFonts w:asciiTheme="minorBidi" w:hAnsiTheme="minorBidi"/>
          <w:sz w:val="18"/>
          <w:szCs w:val="18"/>
          <w:rtl/>
        </w:rPr>
        <w:t>. י"א דאין מתירין ריחא אפילו בדיעבד אא</w:t>
      </w:r>
      <w:r>
        <w:rPr>
          <w:rFonts w:asciiTheme="minorBidi" w:hAnsiTheme="minorBidi" w:hint="cs"/>
          <w:sz w:val="18"/>
          <w:szCs w:val="18"/>
          <w:rtl/>
        </w:rPr>
        <w:t>"</w:t>
      </w:r>
      <w:r w:rsidRPr="006F67AA">
        <w:rPr>
          <w:rFonts w:asciiTheme="minorBidi" w:hAnsiTheme="minorBidi"/>
          <w:sz w:val="18"/>
          <w:szCs w:val="18"/>
          <w:rtl/>
        </w:rPr>
        <w:t xml:space="preserve">כ התנור פתוח קצת מן הצד או למעלה במקום שהעשן יוצא </w:t>
      </w:r>
      <w:r w:rsidRPr="001F58C5">
        <w:rPr>
          <w:rFonts w:asciiTheme="minorBidi" w:hAnsiTheme="minorBidi"/>
          <w:sz w:val="16"/>
          <w:szCs w:val="16"/>
          <w:rtl/>
        </w:rPr>
        <w:t>(ארוך)</w:t>
      </w:r>
      <w:r w:rsidRPr="006F67AA">
        <w:rPr>
          <w:rFonts w:asciiTheme="minorBidi" w:hAnsiTheme="minorBidi"/>
          <w:sz w:val="18"/>
          <w:szCs w:val="18"/>
          <w:rtl/>
        </w:rPr>
        <w:t>. ובמקום הפסד</w:t>
      </w:r>
      <w:r>
        <w:rPr>
          <w:rStyle w:val="a7"/>
          <w:rFonts w:asciiTheme="minorBidi" w:hAnsiTheme="minorBidi"/>
          <w:sz w:val="18"/>
          <w:szCs w:val="18"/>
          <w:rtl/>
        </w:rPr>
        <w:footnoteReference w:id="2345"/>
      </w:r>
      <w:r w:rsidRPr="006F67AA">
        <w:rPr>
          <w:rFonts w:asciiTheme="minorBidi" w:hAnsiTheme="minorBidi"/>
          <w:sz w:val="18"/>
          <w:szCs w:val="18"/>
          <w:rtl/>
        </w:rPr>
        <w:t xml:space="preserve"> אין להחמיר בדיעבד אפילו סתום לגמרי</w:t>
      </w:r>
      <w:r>
        <w:rPr>
          <w:rFonts w:asciiTheme="minorBidi" w:hAnsiTheme="minorBidi" w:hint="cs"/>
          <w:sz w:val="18"/>
          <w:szCs w:val="18"/>
          <w:rtl/>
        </w:rPr>
        <w:t xml:space="preserve"> </w:t>
      </w:r>
      <w:r w:rsidRPr="001F77AB">
        <w:rPr>
          <w:rFonts w:asciiTheme="minorBidi" w:hAnsiTheme="minorBidi"/>
          <w:sz w:val="16"/>
          <w:szCs w:val="16"/>
          <w:rtl/>
        </w:rPr>
        <w:t>(כי כן נראה מהפוסקים וכ"פ ב"י)</w:t>
      </w:r>
      <w:r w:rsidRPr="006F67AA">
        <w:rPr>
          <w:rFonts w:asciiTheme="minorBidi" w:hAnsiTheme="minorBidi"/>
          <w:sz w:val="18"/>
          <w:szCs w:val="18"/>
          <w:rtl/>
        </w:rPr>
        <w:t>. ואם האיסור דבר חריף</w:t>
      </w:r>
      <w:r>
        <w:rPr>
          <w:rStyle w:val="a7"/>
          <w:rFonts w:asciiTheme="minorBidi" w:hAnsiTheme="minorBidi"/>
          <w:sz w:val="18"/>
          <w:szCs w:val="18"/>
          <w:rtl/>
        </w:rPr>
        <w:footnoteReference w:id="2346"/>
      </w:r>
      <w:r w:rsidRPr="006F67AA">
        <w:rPr>
          <w:rFonts w:asciiTheme="minorBidi" w:hAnsiTheme="minorBidi"/>
          <w:sz w:val="18"/>
          <w:szCs w:val="18"/>
          <w:rtl/>
        </w:rPr>
        <w:t>, וכל שכן אם ההיתר דבר חריף, ריחא מלתא היא ואפילו בדיעבד אסור אם שניהם מגולים</w:t>
      </w:r>
      <w:r>
        <w:rPr>
          <w:rStyle w:val="a7"/>
          <w:rFonts w:asciiTheme="minorBidi" w:hAnsiTheme="minorBidi"/>
          <w:sz w:val="18"/>
          <w:szCs w:val="18"/>
          <w:rtl/>
        </w:rPr>
        <w:footnoteReference w:id="2347"/>
      </w:r>
      <w:r>
        <w:rPr>
          <w:rFonts w:asciiTheme="minorBidi" w:hAnsiTheme="minorBidi" w:hint="cs"/>
          <w:sz w:val="18"/>
          <w:szCs w:val="18"/>
          <w:rtl/>
        </w:rPr>
        <w:t>,</w:t>
      </w:r>
      <w:r w:rsidRPr="006F67AA">
        <w:rPr>
          <w:rFonts w:asciiTheme="minorBidi" w:hAnsiTheme="minorBidi"/>
          <w:sz w:val="18"/>
          <w:szCs w:val="18"/>
          <w:rtl/>
        </w:rPr>
        <w:t xml:space="preserve"> אבל אם אחד מהם מכוסה אפילו בבצק בעלמא מותר </w:t>
      </w:r>
      <w:r w:rsidRPr="001F58C5">
        <w:rPr>
          <w:rFonts w:asciiTheme="minorBidi" w:hAnsiTheme="minorBidi"/>
          <w:sz w:val="16"/>
          <w:szCs w:val="16"/>
          <w:rtl/>
        </w:rPr>
        <w:t>(מרדכי ואו"ה)</w:t>
      </w:r>
      <w:r w:rsidRPr="006F67AA">
        <w:rPr>
          <w:rFonts w:asciiTheme="minorBidi" w:hAnsiTheme="minorBidi"/>
          <w:sz w:val="18"/>
          <w:szCs w:val="18"/>
          <w:rtl/>
        </w:rPr>
        <w:t xml:space="preserve">. אם אפו או צלו איסור והיתר תחת מחבת אחת מגולין אסור </w:t>
      </w:r>
      <w:r w:rsidRPr="001F77AB">
        <w:rPr>
          <w:rFonts w:asciiTheme="minorBidi" w:hAnsiTheme="minorBidi"/>
          <w:sz w:val="16"/>
          <w:szCs w:val="16"/>
          <w:rtl/>
        </w:rPr>
        <w:t>(תוס</w:t>
      </w:r>
      <w:r w:rsidRPr="001F77AB">
        <w:rPr>
          <w:rFonts w:asciiTheme="minorBidi" w:hAnsiTheme="minorBidi" w:hint="cs"/>
          <w:sz w:val="16"/>
          <w:szCs w:val="16"/>
          <w:rtl/>
        </w:rPr>
        <w:t>'</w:t>
      </w:r>
      <w:r w:rsidRPr="001F77AB">
        <w:rPr>
          <w:rFonts w:asciiTheme="minorBidi" w:hAnsiTheme="minorBidi"/>
          <w:sz w:val="16"/>
          <w:szCs w:val="16"/>
          <w:rtl/>
        </w:rPr>
        <w:t>)</w:t>
      </w:r>
      <w:r>
        <w:rPr>
          <w:rFonts w:asciiTheme="minorBidi" w:hAnsiTheme="minorBidi" w:hint="cs"/>
          <w:sz w:val="18"/>
          <w:szCs w:val="18"/>
          <w:rtl/>
        </w:rPr>
        <w:t>,</w:t>
      </w:r>
      <w:r w:rsidRPr="006F67AA">
        <w:rPr>
          <w:rFonts w:asciiTheme="minorBidi" w:hAnsiTheme="minorBidi"/>
          <w:sz w:val="18"/>
          <w:szCs w:val="18"/>
          <w:rtl/>
        </w:rPr>
        <w:t xml:space="preserve"> אפילו בדיעבד </w:t>
      </w:r>
      <w:r w:rsidRPr="001F77AB">
        <w:rPr>
          <w:rFonts w:asciiTheme="minorBidi" w:hAnsiTheme="minorBidi"/>
          <w:sz w:val="16"/>
          <w:szCs w:val="16"/>
          <w:rtl/>
        </w:rPr>
        <w:t>(שם בארוך)</w:t>
      </w:r>
      <w:r w:rsidRPr="006F67AA">
        <w:rPr>
          <w:rFonts w:asciiTheme="minorBidi" w:hAnsiTheme="minorBidi"/>
          <w:sz w:val="18"/>
          <w:szCs w:val="18"/>
          <w:rtl/>
        </w:rPr>
        <w:t>. וה"ה אם אפו בכה"ג פת עם בשר אסור לאכלו בחלב</w:t>
      </w:r>
      <w:r>
        <w:rPr>
          <w:rStyle w:val="a7"/>
          <w:rFonts w:asciiTheme="minorBidi" w:hAnsiTheme="minorBidi"/>
          <w:sz w:val="18"/>
          <w:szCs w:val="18"/>
          <w:rtl/>
        </w:rPr>
        <w:footnoteReference w:id="2348"/>
      </w:r>
      <w:r w:rsidRPr="006F67AA">
        <w:rPr>
          <w:rFonts w:asciiTheme="minorBidi" w:hAnsiTheme="minorBidi"/>
          <w:sz w:val="18"/>
          <w:szCs w:val="18"/>
          <w:rtl/>
        </w:rPr>
        <w:t xml:space="preserve"> </w:t>
      </w:r>
      <w:r w:rsidRPr="001F58C5">
        <w:rPr>
          <w:rFonts w:asciiTheme="minorBidi" w:hAnsiTheme="minorBidi"/>
          <w:sz w:val="16"/>
          <w:szCs w:val="16"/>
          <w:rtl/>
        </w:rPr>
        <w:t>(ש</w:t>
      </w:r>
      <w:r w:rsidRPr="001F58C5">
        <w:rPr>
          <w:rFonts w:asciiTheme="minorBidi" w:hAnsiTheme="minorBidi" w:hint="cs"/>
          <w:sz w:val="16"/>
          <w:szCs w:val="16"/>
          <w:rtl/>
        </w:rPr>
        <w:t>ע</w:t>
      </w:r>
      <w:r w:rsidRPr="001F58C5">
        <w:rPr>
          <w:rFonts w:asciiTheme="minorBidi" w:hAnsiTheme="minorBidi"/>
          <w:sz w:val="16"/>
          <w:szCs w:val="16"/>
          <w:rtl/>
        </w:rPr>
        <w:t>"ד ומהרא"י)</w:t>
      </w:r>
      <w:r>
        <w:rPr>
          <w:rFonts w:asciiTheme="minorBidi" w:hAnsiTheme="minorBidi" w:hint="cs"/>
          <w:sz w:val="18"/>
          <w:szCs w:val="18"/>
          <w:rtl/>
        </w:rPr>
        <w:t>,</w:t>
      </w:r>
      <w:r w:rsidRPr="006F67AA">
        <w:rPr>
          <w:rFonts w:asciiTheme="minorBidi" w:hAnsiTheme="minorBidi"/>
          <w:sz w:val="18"/>
          <w:szCs w:val="18"/>
          <w:rtl/>
        </w:rPr>
        <w:t xml:space="preserve"> אבל בזה אחר זה אין לחוש</w:t>
      </w:r>
      <w:r>
        <w:rPr>
          <w:rStyle w:val="a7"/>
          <w:rFonts w:asciiTheme="minorBidi" w:hAnsiTheme="minorBidi"/>
          <w:sz w:val="18"/>
          <w:szCs w:val="18"/>
          <w:rtl/>
        </w:rPr>
        <w:footnoteReference w:id="2349"/>
      </w:r>
      <w:r w:rsidRPr="006F67AA">
        <w:rPr>
          <w:rFonts w:asciiTheme="minorBidi" w:hAnsiTheme="minorBidi"/>
          <w:sz w:val="18"/>
          <w:szCs w:val="18"/>
          <w:rtl/>
        </w:rPr>
        <w:t xml:space="preserve"> </w:t>
      </w:r>
      <w:r w:rsidRPr="001F77AB">
        <w:rPr>
          <w:rFonts w:asciiTheme="minorBidi" w:hAnsiTheme="minorBidi"/>
          <w:sz w:val="16"/>
          <w:szCs w:val="16"/>
          <w:rtl/>
        </w:rPr>
        <w:t>(תשו</w:t>
      </w:r>
      <w:r w:rsidRPr="001F77AB">
        <w:rPr>
          <w:rFonts w:asciiTheme="minorBidi" w:hAnsiTheme="minorBidi" w:hint="cs"/>
          <w:sz w:val="16"/>
          <w:szCs w:val="16"/>
          <w:rtl/>
        </w:rPr>
        <w:t>'</w:t>
      </w:r>
      <w:r w:rsidRPr="001F77AB">
        <w:rPr>
          <w:rFonts w:asciiTheme="minorBidi" w:hAnsiTheme="minorBidi"/>
          <w:sz w:val="16"/>
          <w:szCs w:val="16"/>
          <w:rtl/>
        </w:rPr>
        <w:t xml:space="preserve"> מיי' ותשובת ר"י ואו"ה)</w:t>
      </w:r>
      <w:r w:rsidRPr="006F67AA">
        <w:rPr>
          <w:rFonts w:asciiTheme="minorBidi" w:hAnsiTheme="minorBidi"/>
          <w:sz w:val="18"/>
          <w:szCs w:val="18"/>
          <w:rtl/>
        </w:rPr>
        <w:t>, אא</w:t>
      </w:r>
      <w:r>
        <w:rPr>
          <w:rFonts w:asciiTheme="minorBidi" w:hAnsiTheme="minorBidi" w:hint="cs"/>
          <w:sz w:val="18"/>
          <w:szCs w:val="18"/>
          <w:rtl/>
        </w:rPr>
        <w:t>"</w:t>
      </w:r>
      <w:r w:rsidRPr="006F67AA">
        <w:rPr>
          <w:rFonts w:asciiTheme="minorBidi" w:hAnsiTheme="minorBidi"/>
          <w:sz w:val="18"/>
          <w:szCs w:val="18"/>
          <w:rtl/>
        </w:rPr>
        <w:t xml:space="preserve">כ הזיע המחבת משניהם דאז אסור אפילו בזה אחר זה אם היו שניהם מגולין דהוי ככיסוי של קדרה </w:t>
      </w:r>
      <w:r w:rsidRPr="001F77AB">
        <w:rPr>
          <w:rFonts w:asciiTheme="minorBidi" w:hAnsiTheme="minorBidi"/>
          <w:sz w:val="16"/>
          <w:szCs w:val="16"/>
          <w:rtl/>
        </w:rPr>
        <w:t>(ד"ע ממשמעות הרא"ש סי</w:t>
      </w:r>
      <w:r w:rsidRPr="001F77AB">
        <w:rPr>
          <w:rFonts w:asciiTheme="minorBidi" w:hAnsiTheme="minorBidi" w:hint="cs"/>
          <w:sz w:val="16"/>
          <w:szCs w:val="16"/>
          <w:rtl/>
        </w:rPr>
        <w:t xml:space="preserve">' </w:t>
      </w:r>
      <w:r w:rsidRPr="001F77AB">
        <w:rPr>
          <w:rFonts w:asciiTheme="minorBidi" w:hAnsiTheme="minorBidi"/>
          <w:sz w:val="16"/>
          <w:szCs w:val="16"/>
          <w:rtl/>
        </w:rPr>
        <w:t>צג, כדלעיל סי</w:t>
      </w:r>
      <w:r w:rsidRPr="001F77AB">
        <w:rPr>
          <w:rFonts w:asciiTheme="minorBidi" w:hAnsiTheme="minorBidi" w:hint="cs"/>
          <w:sz w:val="16"/>
          <w:szCs w:val="16"/>
          <w:rtl/>
        </w:rPr>
        <w:t>'</w:t>
      </w:r>
      <w:r w:rsidRPr="001F77AB">
        <w:rPr>
          <w:rFonts w:asciiTheme="minorBidi" w:hAnsiTheme="minorBidi"/>
          <w:sz w:val="16"/>
          <w:szCs w:val="16"/>
          <w:rtl/>
        </w:rPr>
        <w:t xml:space="preserve"> צג)</w:t>
      </w:r>
      <w:r w:rsidRPr="006F67AA">
        <w:rPr>
          <w:rFonts w:asciiTheme="minorBidi" w:hAnsiTheme="minorBidi"/>
          <w:sz w:val="18"/>
          <w:szCs w:val="18"/>
          <w:rtl/>
        </w:rPr>
        <w:t>. י"א דכל מקום דאמרינן ריחא מילתא ואוסר בדיעבד היינו דוקא דליכא ששים מן ההיתר נגד האיסור</w:t>
      </w:r>
      <w:r>
        <w:rPr>
          <w:rFonts w:asciiTheme="minorBidi" w:hAnsiTheme="minorBidi" w:hint="cs"/>
          <w:sz w:val="18"/>
          <w:szCs w:val="18"/>
          <w:rtl/>
        </w:rPr>
        <w:t>,</w:t>
      </w:r>
      <w:r w:rsidRPr="006F67AA">
        <w:rPr>
          <w:rFonts w:asciiTheme="minorBidi" w:hAnsiTheme="minorBidi"/>
          <w:sz w:val="18"/>
          <w:szCs w:val="18"/>
          <w:rtl/>
        </w:rPr>
        <w:t xml:space="preserve"> אבל בדאיכא ששים מן ההיתר </w:t>
      </w:r>
      <w:r>
        <w:rPr>
          <w:rFonts w:asciiTheme="minorBidi" w:hAnsiTheme="minorBidi" w:hint="cs"/>
          <w:sz w:val="16"/>
          <w:szCs w:val="16"/>
          <w:rtl/>
        </w:rPr>
        <w:t>(או"ה</w:t>
      </w:r>
      <w:r w:rsidRPr="001F58C5">
        <w:rPr>
          <w:rFonts w:asciiTheme="minorBidi" w:hAnsiTheme="minorBidi"/>
          <w:sz w:val="16"/>
          <w:szCs w:val="16"/>
          <w:rtl/>
        </w:rPr>
        <w:t>)</w:t>
      </w:r>
      <w:r>
        <w:rPr>
          <w:rFonts w:asciiTheme="minorBidi" w:hAnsiTheme="minorBidi" w:hint="cs"/>
          <w:sz w:val="18"/>
          <w:szCs w:val="18"/>
          <w:rtl/>
        </w:rPr>
        <w:t xml:space="preserve">, </w:t>
      </w:r>
      <w:r w:rsidRPr="006F67AA">
        <w:rPr>
          <w:rFonts w:asciiTheme="minorBidi" w:hAnsiTheme="minorBidi"/>
          <w:sz w:val="18"/>
          <w:szCs w:val="18"/>
          <w:rtl/>
        </w:rPr>
        <w:t>אפי' בכל מה שבתנור</w:t>
      </w:r>
      <w:r>
        <w:rPr>
          <w:rFonts w:asciiTheme="minorBidi" w:hAnsiTheme="minorBidi" w:hint="cs"/>
          <w:sz w:val="16"/>
          <w:szCs w:val="16"/>
          <w:rtl/>
        </w:rPr>
        <w:t xml:space="preserve"> </w:t>
      </w:r>
      <w:r w:rsidRPr="001F58C5">
        <w:rPr>
          <w:rFonts w:asciiTheme="minorBidi" w:hAnsiTheme="minorBidi"/>
          <w:sz w:val="16"/>
          <w:szCs w:val="16"/>
          <w:rtl/>
        </w:rPr>
        <w:t>(</w:t>
      </w:r>
      <w:r>
        <w:rPr>
          <w:rFonts w:asciiTheme="minorBidi" w:hAnsiTheme="minorBidi" w:hint="cs"/>
          <w:sz w:val="16"/>
          <w:szCs w:val="16"/>
          <w:rtl/>
        </w:rPr>
        <w:t>ד"ע)</w:t>
      </w:r>
      <w:r>
        <w:rPr>
          <w:rFonts w:asciiTheme="minorBidi" w:hAnsiTheme="minorBidi" w:hint="cs"/>
          <w:sz w:val="18"/>
          <w:szCs w:val="18"/>
          <w:rtl/>
        </w:rPr>
        <w:t>,</w:t>
      </w:r>
      <w:r w:rsidRPr="006F67AA">
        <w:rPr>
          <w:rFonts w:asciiTheme="minorBidi" w:hAnsiTheme="minorBidi"/>
          <w:sz w:val="18"/>
          <w:szCs w:val="18"/>
          <w:rtl/>
        </w:rPr>
        <w:t xml:space="preserve"> מבטל האיסור</w:t>
      </w:r>
      <w:r>
        <w:rPr>
          <w:rFonts w:asciiTheme="minorBidi" w:hAnsiTheme="minorBidi" w:hint="cs"/>
          <w:sz w:val="18"/>
          <w:szCs w:val="18"/>
          <w:rtl/>
        </w:rPr>
        <w:t>,</w:t>
      </w:r>
      <w:r w:rsidRPr="006F67AA">
        <w:rPr>
          <w:rFonts w:asciiTheme="minorBidi" w:hAnsiTheme="minorBidi"/>
          <w:sz w:val="18"/>
          <w:szCs w:val="18"/>
          <w:rtl/>
        </w:rPr>
        <w:t xml:space="preserve"> ולצורך הפסד יש לנהוג כן</w:t>
      </w:r>
      <w:r>
        <w:rPr>
          <w:rStyle w:val="a7"/>
          <w:rFonts w:asciiTheme="minorBidi" w:hAnsiTheme="minorBidi"/>
          <w:sz w:val="18"/>
          <w:szCs w:val="18"/>
          <w:rtl/>
        </w:rPr>
        <w:footnoteReference w:id="2350"/>
      </w:r>
      <w:r w:rsidRPr="006F67AA">
        <w:rPr>
          <w:rFonts w:asciiTheme="minorBidi" w:hAnsiTheme="minorBidi"/>
          <w:sz w:val="18"/>
          <w:szCs w:val="18"/>
          <w:rtl/>
        </w:rPr>
        <w:t>. י"א דאיסור האוסר במשהו</w:t>
      </w:r>
      <w:r>
        <w:rPr>
          <w:rFonts w:asciiTheme="minorBidi" w:hAnsiTheme="minorBidi" w:hint="cs"/>
          <w:sz w:val="18"/>
          <w:szCs w:val="18"/>
          <w:rtl/>
        </w:rPr>
        <w:t>,</w:t>
      </w:r>
      <w:r w:rsidRPr="006F67AA">
        <w:rPr>
          <w:rFonts w:asciiTheme="minorBidi" w:hAnsiTheme="minorBidi"/>
          <w:sz w:val="18"/>
          <w:szCs w:val="18"/>
          <w:rtl/>
        </w:rPr>
        <w:t xml:space="preserve"> כגון חמץ בפסח, ריחא מלתא ואוסר אפילו בדיעבד אם התנור קטן והוא סתום והאיסור וההיתר מגולין תוך התנור </w:t>
      </w:r>
      <w:r w:rsidRPr="001F58C5">
        <w:rPr>
          <w:rFonts w:asciiTheme="minorBidi" w:hAnsiTheme="minorBidi"/>
          <w:sz w:val="16"/>
          <w:szCs w:val="16"/>
          <w:rtl/>
        </w:rPr>
        <w:t>(ד</w:t>
      </w:r>
      <w:r w:rsidRPr="001F58C5">
        <w:rPr>
          <w:rFonts w:asciiTheme="minorBidi" w:hAnsiTheme="minorBidi" w:hint="cs"/>
          <w:sz w:val="16"/>
          <w:szCs w:val="16"/>
          <w:rtl/>
        </w:rPr>
        <w:t>רכ</w:t>
      </w:r>
      <w:r w:rsidRPr="001F58C5">
        <w:rPr>
          <w:rFonts w:asciiTheme="minorBidi" w:hAnsiTheme="minorBidi"/>
          <w:sz w:val="16"/>
          <w:szCs w:val="16"/>
          <w:rtl/>
        </w:rPr>
        <w:t>"מ בשם הגהת סמ"ק ובשם תוס</w:t>
      </w:r>
      <w:r w:rsidRPr="001F58C5">
        <w:rPr>
          <w:rFonts w:asciiTheme="minorBidi" w:hAnsiTheme="minorBidi" w:hint="cs"/>
          <w:sz w:val="16"/>
          <w:szCs w:val="16"/>
          <w:rtl/>
        </w:rPr>
        <w:t>'</w:t>
      </w:r>
      <w:r w:rsidRPr="001F58C5">
        <w:rPr>
          <w:rFonts w:asciiTheme="minorBidi" w:hAnsiTheme="minorBidi"/>
          <w:sz w:val="16"/>
          <w:szCs w:val="16"/>
          <w:rtl/>
        </w:rPr>
        <w:t>)</w:t>
      </w:r>
      <w:r>
        <w:rPr>
          <w:rFonts w:asciiTheme="minorBidi" w:hAnsiTheme="minorBidi" w:hint="cs"/>
          <w:sz w:val="18"/>
          <w:szCs w:val="18"/>
          <w:rtl/>
        </w:rPr>
        <w:t>,</w:t>
      </w:r>
      <w:r w:rsidRPr="006F67AA">
        <w:rPr>
          <w:rFonts w:asciiTheme="minorBidi" w:hAnsiTheme="minorBidi"/>
          <w:sz w:val="18"/>
          <w:szCs w:val="18"/>
          <w:rtl/>
        </w:rPr>
        <w:t xml:space="preserve"> ויש אומרים שאין לחלק </w:t>
      </w:r>
      <w:r w:rsidRPr="001F58C5">
        <w:rPr>
          <w:rFonts w:asciiTheme="minorBidi" w:hAnsiTheme="minorBidi"/>
          <w:sz w:val="16"/>
          <w:szCs w:val="16"/>
          <w:rtl/>
        </w:rPr>
        <w:t>(ד</w:t>
      </w:r>
      <w:r w:rsidRPr="001F58C5">
        <w:rPr>
          <w:rFonts w:asciiTheme="minorBidi" w:hAnsiTheme="minorBidi" w:hint="cs"/>
          <w:sz w:val="16"/>
          <w:szCs w:val="16"/>
          <w:rtl/>
        </w:rPr>
        <w:t>רכ</w:t>
      </w:r>
      <w:r w:rsidRPr="001F58C5">
        <w:rPr>
          <w:rFonts w:asciiTheme="minorBidi" w:hAnsiTheme="minorBidi"/>
          <w:sz w:val="16"/>
          <w:szCs w:val="16"/>
          <w:rtl/>
        </w:rPr>
        <w:t>"מ בשם מרדכי)</w:t>
      </w:r>
      <w:r w:rsidRPr="006F67AA">
        <w:rPr>
          <w:rFonts w:asciiTheme="minorBidi" w:hAnsiTheme="minorBidi"/>
          <w:sz w:val="18"/>
          <w:szCs w:val="18"/>
          <w:rtl/>
        </w:rPr>
        <w:t>. ובמקום הפסד יש לסמוך אדברי המקילין. ועיין לקמן</w:t>
      </w:r>
      <w:r>
        <w:rPr>
          <w:rFonts w:asciiTheme="minorBidi" w:hAnsiTheme="minorBidi" w:hint="cs"/>
          <w:sz w:val="18"/>
          <w:szCs w:val="18"/>
          <w:rtl/>
        </w:rPr>
        <w:t xml:space="preserve"> ס"ס</w:t>
      </w:r>
      <w:r w:rsidRPr="006F67AA">
        <w:rPr>
          <w:rFonts w:asciiTheme="minorBidi" w:hAnsiTheme="minorBidi"/>
          <w:sz w:val="18"/>
          <w:szCs w:val="18"/>
          <w:rtl/>
        </w:rPr>
        <w:t xml:space="preserve"> קיח אם יש להחמיר לכתחלה לשפות ב' קדירות וא' מהן של איסור על הכירה או לצלות איסור אצל היתר. </w:t>
      </w:r>
      <w:r>
        <w:rPr>
          <w:rFonts w:asciiTheme="minorBidi" w:hAnsiTheme="minorBidi" w:hint="cs"/>
          <w:rtl/>
        </w:rPr>
        <w:t xml:space="preserve"> </w:t>
      </w:r>
    </w:p>
    <w:p w14:paraId="051BFA6E" w14:textId="77777777" w:rsidR="002C39F4" w:rsidRPr="003024E5" w:rsidRDefault="002C39F4" w:rsidP="002C39F4">
      <w:pPr>
        <w:rPr>
          <w:rFonts w:asciiTheme="minorBidi" w:hAnsiTheme="minorBidi"/>
          <w:rtl/>
        </w:rPr>
      </w:pPr>
    </w:p>
    <w:p w14:paraId="1D62EE7B"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ריחא בקדרה.</w:t>
      </w:r>
    </w:p>
    <w:p w14:paraId="7763B813" w14:textId="77777777" w:rsidR="002C39F4" w:rsidRDefault="002C39F4" w:rsidP="002C39F4">
      <w:pPr>
        <w:rPr>
          <w:rtl/>
        </w:rPr>
      </w:pPr>
      <w:r w:rsidRPr="00EA4984">
        <w:rPr>
          <w:rFonts w:cs="Arial" w:hint="cs"/>
          <w:b/>
          <w:bCs/>
          <w:rtl/>
        </w:rPr>
        <w:t xml:space="preserve">פסחים עו </w:t>
      </w:r>
      <w:r>
        <w:rPr>
          <w:rFonts w:cs="Arial" w:hint="cs"/>
          <w:b/>
          <w:bCs/>
          <w:rtl/>
        </w:rPr>
        <w:t>סו</w:t>
      </w:r>
      <w:r w:rsidRPr="00EA4984">
        <w:rPr>
          <w:rFonts w:cs="Arial" w:hint="cs"/>
          <w:b/>
          <w:bCs/>
          <w:rtl/>
        </w:rPr>
        <w:t xml:space="preserve">ע"א: </w:t>
      </w:r>
      <w:r w:rsidRPr="00EA4984">
        <w:rPr>
          <w:rFonts w:cs="Arial" w:hint="cs"/>
          <w:u w:val="single"/>
          <w:rtl/>
        </w:rPr>
        <w:t>אמר רב:</w:t>
      </w:r>
      <w:r>
        <w:rPr>
          <w:rFonts w:cs="Arial" w:hint="cs"/>
          <w:rtl/>
        </w:rPr>
        <w:t xml:space="preserve"> </w:t>
      </w:r>
      <w:r w:rsidRPr="00EA4984">
        <w:rPr>
          <w:rFonts w:cs="Arial"/>
          <w:rtl/>
        </w:rPr>
        <w:t xml:space="preserve">בשר שחוטה שמן שצלאו עם בשר נבילה כחוש - אסור. מאי טעמא - מפטמי מהדדי. </w:t>
      </w:r>
      <w:r w:rsidRPr="00EA4984">
        <w:rPr>
          <w:rFonts w:cs="Arial"/>
          <w:u w:val="single"/>
          <w:rtl/>
        </w:rPr>
        <w:t>ולוי אמר</w:t>
      </w:r>
      <w:r>
        <w:rPr>
          <w:rFonts w:cs="Arial" w:hint="cs"/>
          <w:u w:val="single"/>
          <w:rtl/>
        </w:rPr>
        <w:t>:</w:t>
      </w:r>
      <w:r w:rsidRPr="00EA4984">
        <w:rPr>
          <w:rFonts w:cs="Arial"/>
          <w:rtl/>
        </w:rPr>
        <w:t xml:space="preserve"> אפילו בשר שחוטה כחוש שצלאו עם בשר נבילה שמן - מותר. מאי טעמא - ריחא בעלמא הוא, וריחא לאו מילתא היא. עביד לוי עובדא בי ריש גלותא בגדי ודבר אחר. מיתיבי: אין צולין שני פסחים כאחד מפני התערובת.</w:t>
      </w:r>
      <w:r>
        <w:rPr>
          <w:rFonts w:cs="Arial" w:hint="cs"/>
          <w:rtl/>
        </w:rPr>
        <w:t>..</w:t>
      </w:r>
      <w:r w:rsidRPr="00EA4984">
        <w:rPr>
          <w:rFonts w:cs="Arial"/>
          <w:rtl/>
        </w:rPr>
        <w:t xml:space="preserve"> על כרחיך מפני תערובת גופין הוא דאסור, אבל תערובת טעמים - שרי. לימא תיהוי תיובתיה דרב! </w:t>
      </w:r>
      <w:r w:rsidRPr="00EA4984">
        <w:rPr>
          <w:rFonts w:cs="Arial"/>
          <w:u w:val="single"/>
          <w:rtl/>
        </w:rPr>
        <w:t>אמר רבי ירמיה</w:t>
      </w:r>
      <w:r>
        <w:rPr>
          <w:rFonts w:cs="Arial" w:hint="cs"/>
          <w:u w:val="single"/>
          <w:rtl/>
        </w:rPr>
        <w:t>:</w:t>
      </w:r>
      <w:r>
        <w:rPr>
          <w:rFonts w:cs="Arial" w:hint="cs"/>
          <w:rtl/>
        </w:rPr>
        <w:t xml:space="preserve"> </w:t>
      </w:r>
      <w:r w:rsidRPr="00EA4984">
        <w:rPr>
          <w:rFonts w:cs="Arial"/>
          <w:rtl/>
        </w:rPr>
        <w:t>הכא במאי עסקינן - כגון שצלאו בשתי קדירות. בשתי קדירות סלקא דעתך</w:t>
      </w:r>
      <w:r>
        <w:rPr>
          <w:rStyle w:val="a7"/>
          <w:rFonts w:cs="Arial"/>
          <w:rtl/>
        </w:rPr>
        <w:footnoteReference w:id="2351"/>
      </w:r>
      <w:r w:rsidRPr="00EA4984">
        <w:rPr>
          <w:rFonts w:cs="Arial"/>
          <w:rtl/>
        </w:rPr>
        <w:t>? אלא אימא: כעין שתי קדירות</w:t>
      </w:r>
      <w:r>
        <w:rPr>
          <w:rStyle w:val="a7"/>
          <w:rFonts w:cs="Arial"/>
          <w:rtl/>
        </w:rPr>
        <w:footnoteReference w:id="2352"/>
      </w:r>
      <w:r w:rsidRPr="00EA4984">
        <w:rPr>
          <w:rFonts w:cs="Arial"/>
          <w:rtl/>
        </w:rPr>
        <w:t>. והכי קאמר: אין צולין שני פסחים כאחד מפני תערובת. מאי תערובת - תערובת טעמים. ואפילו כעין שתי קדירות דליכא תערובת טעמים - אסור משום תערובת גופין, ואפילו גדי וטלה.</w:t>
      </w:r>
    </w:p>
    <w:p w14:paraId="4799B779" w14:textId="77777777" w:rsidR="002C39F4" w:rsidRPr="00EA4984" w:rsidRDefault="002C39F4" w:rsidP="002C39F4">
      <w:pPr>
        <w:rPr>
          <w:rtl/>
        </w:rPr>
      </w:pPr>
      <w:r>
        <w:rPr>
          <w:rFonts w:cs="Arial" w:hint="cs"/>
          <w:b/>
          <w:bCs/>
          <w:rtl/>
        </w:rPr>
        <w:t xml:space="preserve">עבודה זרה יא ע"ב: </w:t>
      </w:r>
      <w:r w:rsidRPr="00582D7F">
        <w:rPr>
          <w:rFonts w:cs="Arial"/>
          <w:rtl/>
        </w:rPr>
        <w:t>לא הלכת לצור מימיך, וראית ישראל ועובד כוכבים</w:t>
      </w:r>
      <w:r w:rsidRPr="00582D7F">
        <w:rPr>
          <w:rtl/>
        </w:rPr>
        <w:t xml:space="preserve"> </w:t>
      </w:r>
      <w:r>
        <w:rPr>
          <w:rFonts w:cs="Arial" w:hint="cs"/>
          <w:sz w:val="14"/>
          <w:szCs w:val="14"/>
          <w:rtl/>
        </w:rPr>
        <w:t xml:space="preserve">(יב.) </w:t>
      </w:r>
      <w:r w:rsidRPr="00582D7F">
        <w:rPr>
          <w:rFonts w:cs="Arial"/>
          <w:rtl/>
        </w:rPr>
        <w:t>ששפתו שתי קדירות על גבי כירה אחת, ולא חשו להם חכמים?</w:t>
      </w:r>
      <w:r>
        <w:rPr>
          <w:rFonts w:hint="cs"/>
          <w:rtl/>
        </w:rPr>
        <w:t>.</w:t>
      </w:r>
    </w:p>
    <w:p w14:paraId="6F207F7C" w14:textId="77777777" w:rsidR="002C39F4" w:rsidRPr="005C25AB" w:rsidRDefault="002C39F4" w:rsidP="002C39F4">
      <w:pPr>
        <w:rPr>
          <w:rFonts w:cs="Arial"/>
          <w:u w:val="single"/>
          <w:rtl/>
        </w:rPr>
      </w:pPr>
      <w:r>
        <w:rPr>
          <w:rFonts w:cs="Arial" w:hint="cs"/>
          <w:u w:val="single"/>
          <w:rtl/>
        </w:rPr>
        <w:t xml:space="preserve">לרב </w:t>
      </w:r>
      <w:r>
        <w:rPr>
          <w:rFonts w:cs="Arial" w:hint="cs"/>
          <w:sz w:val="16"/>
          <w:szCs w:val="16"/>
          <w:u w:val="single"/>
          <w:rtl/>
        </w:rPr>
        <w:t>(דאמר ריחא מילתא היא)</w:t>
      </w:r>
      <w:r>
        <w:rPr>
          <w:rFonts w:cs="Arial" w:hint="cs"/>
          <w:u w:val="single"/>
          <w:rtl/>
        </w:rPr>
        <w:t xml:space="preserve"> - </w:t>
      </w:r>
      <w:r w:rsidRPr="005C25AB">
        <w:rPr>
          <w:rFonts w:cs="Arial" w:hint="cs"/>
          <w:u w:val="single"/>
          <w:rtl/>
        </w:rPr>
        <w:t xml:space="preserve">האם אמרינן 'ריחא מילתא היא' </w:t>
      </w:r>
      <w:r>
        <w:rPr>
          <w:rFonts w:cs="Arial" w:hint="cs"/>
          <w:u w:val="single"/>
          <w:rtl/>
        </w:rPr>
        <w:t>בשתי קדרות</w:t>
      </w:r>
      <w:r w:rsidRPr="005C25AB">
        <w:rPr>
          <w:rFonts w:cs="Arial" w:hint="cs"/>
          <w:u w:val="single"/>
          <w:rtl/>
        </w:rPr>
        <w:t>:</w:t>
      </w:r>
      <w:r>
        <w:rPr>
          <w:rFonts w:cs="Arial" w:hint="cs"/>
          <w:sz w:val="16"/>
          <w:szCs w:val="16"/>
          <w:rtl/>
        </w:rPr>
        <w:t xml:space="preserve">  (הועתק מסי' צז</w:t>
      </w:r>
      <w:r w:rsidRPr="00804230">
        <w:rPr>
          <w:rFonts w:cs="Arial" w:hint="cs"/>
          <w:sz w:val="16"/>
          <w:szCs w:val="16"/>
          <w:rtl/>
        </w:rPr>
        <w:t xml:space="preserve"> </w:t>
      </w:r>
      <w:r>
        <w:rPr>
          <w:rFonts w:cs="Arial" w:hint="cs"/>
          <w:sz w:val="16"/>
          <w:szCs w:val="16"/>
          <w:rtl/>
        </w:rPr>
        <w:t>ו</w:t>
      </w:r>
      <w:r w:rsidRPr="004F34E6">
        <w:rPr>
          <w:rFonts w:cs="Arial" w:hint="cs"/>
          <w:sz w:val="16"/>
          <w:szCs w:val="16"/>
          <w:rtl/>
        </w:rPr>
        <w:t xml:space="preserve">דרכ"מ [סי' קח אות </w:t>
      </w:r>
      <w:r w:rsidRPr="004F34E6">
        <w:rPr>
          <w:rFonts w:cs="Arial"/>
          <w:sz w:val="16"/>
          <w:szCs w:val="16"/>
          <w:rtl/>
        </w:rPr>
        <w:t>ב</w:t>
      </w:r>
      <w:r w:rsidRPr="004F34E6">
        <w:rPr>
          <w:rFonts w:cs="Arial" w:hint="cs"/>
          <w:sz w:val="16"/>
          <w:szCs w:val="16"/>
          <w:rtl/>
        </w:rPr>
        <w:t>]</w:t>
      </w:r>
      <w:r>
        <w:rPr>
          <w:rFonts w:cs="Arial" w:hint="cs"/>
          <w:sz w:val="16"/>
          <w:szCs w:val="16"/>
          <w:rtl/>
        </w:rPr>
        <w:t>)</w:t>
      </w:r>
    </w:p>
    <w:p w14:paraId="4CC7B2C7" w14:textId="77777777" w:rsidR="002C39F4" w:rsidRDefault="002C39F4" w:rsidP="0032102C">
      <w:pPr>
        <w:pStyle w:val="a8"/>
        <w:numPr>
          <w:ilvl w:val="0"/>
          <w:numId w:val="141"/>
        </w:numPr>
        <w:rPr>
          <w:rFonts w:cs="Arial"/>
        </w:rPr>
      </w:pPr>
      <w:r w:rsidRPr="00EF777D">
        <w:rPr>
          <w:rFonts w:cs="Arial"/>
          <w:rtl/>
        </w:rPr>
        <w:t>רשב"א</w:t>
      </w:r>
      <w:r>
        <w:rPr>
          <w:rFonts w:cs="Arial" w:hint="cs"/>
          <w:rtl/>
        </w:rPr>
        <w:t xml:space="preserve"> ו</w:t>
      </w:r>
      <w:r>
        <w:rPr>
          <w:rFonts w:cs="Arial"/>
          <w:rtl/>
        </w:rPr>
        <w:t xml:space="preserve">ר"ן </w:t>
      </w:r>
      <w:r w:rsidRPr="00EF777D">
        <w:rPr>
          <w:rFonts w:cs="Arial" w:hint="cs"/>
          <w:sz w:val="16"/>
          <w:szCs w:val="16"/>
          <w:rtl/>
        </w:rPr>
        <w:t>(</w:t>
      </w:r>
      <w:r w:rsidRPr="00EF777D">
        <w:rPr>
          <w:rFonts w:cs="Arial"/>
          <w:sz w:val="16"/>
          <w:szCs w:val="16"/>
          <w:rtl/>
        </w:rPr>
        <w:t>ע"ז ג.)</w:t>
      </w:r>
      <w:r>
        <w:rPr>
          <w:rFonts w:cs="Arial" w:hint="cs"/>
          <w:rtl/>
        </w:rPr>
        <w:t>-</w:t>
      </w:r>
      <w:r>
        <w:rPr>
          <w:rFonts w:cs="Arial"/>
          <w:rtl/>
        </w:rPr>
        <w:t xml:space="preserve"> </w:t>
      </w:r>
      <w:r w:rsidRPr="00EF777D">
        <w:rPr>
          <w:rFonts w:cs="Arial"/>
          <w:rtl/>
        </w:rPr>
        <w:t>לא אמרו ריחא מילתא היא אלא דוקא לצלי אבל לקדרה ליכא למיחש כלל</w:t>
      </w:r>
      <w:r>
        <w:rPr>
          <w:rStyle w:val="a7"/>
          <w:rFonts w:cs="Arial"/>
          <w:rtl/>
        </w:rPr>
        <w:footnoteReference w:id="2353"/>
      </w:r>
      <w:r>
        <w:rPr>
          <w:rFonts w:cs="Arial" w:hint="cs"/>
          <w:rtl/>
        </w:rPr>
        <w:t xml:space="preserve"> </w:t>
      </w:r>
      <w:r w:rsidRPr="00EF777D">
        <w:rPr>
          <w:rFonts w:cs="Arial" w:hint="cs"/>
          <w:sz w:val="16"/>
          <w:szCs w:val="16"/>
          <w:rtl/>
        </w:rPr>
        <w:t>(</w:t>
      </w:r>
      <w:r>
        <w:rPr>
          <w:rFonts w:cs="Arial" w:hint="cs"/>
          <w:sz w:val="16"/>
          <w:szCs w:val="16"/>
          <w:rtl/>
        </w:rPr>
        <w:t xml:space="preserve">ל' הרשב"א </w:t>
      </w:r>
      <w:r w:rsidRPr="005C0739">
        <w:rPr>
          <w:rFonts w:cs="Arial" w:hint="cs"/>
          <w:sz w:val="14"/>
          <w:szCs w:val="14"/>
          <w:rtl/>
        </w:rPr>
        <w:t>[</w:t>
      </w:r>
      <w:r w:rsidRPr="005C0739">
        <w:rPr>
          <w:rFonts w:cs="Arial"/>
          <w:sz w:val="14"/>
          <w:szCs w:val="14"/>
          <w:rtl/>
        </w:rPr>
        <w:t>תוה</w:t>
      </w:r>
      <w:r w:rsidRPr="005C0739">
        <w:rPr>
          <w:rFonts w:cs="Arial" w:hint="cs"/>
          <w:sz w:val="14"/>
          <w:szCs w:val="14"/>
          <w:rtl/>
        </w:rPr>
        <w:t>"</w:t>
      </w:r>
      <w:r w:rsidRPr="005C0739">
        <w:rPr>
          <w:rFonts w:cs="Arial"/>
          <w:sz w:val="14"/>
          <w:szCs w:val="14"/>
          <w:rtl/>
        </w:rPr>
        <w:t>א</w:t>
      </w:r>
      <w:r w:rsidRPr="005C0739">
        <w:rPr>
          <w:rFonts w:cs="Arial" w:hint="cs"/>
          <w:sz w:val="14"/>
          <w:szCs w:val="14"/>
          <w:rtl/>
        </w:rPr>
        <w:t xml:space="preserve"> </w:t>
      </w:r>
      <w:r w:rsidRPr="005C0739">
        <w:rPr>
          <w:rFonts w:cs="Arial"/>
          <w:sz w:val="14"/>
          <w:szCs w:val="14"/>
          <w:rtl/>
        </w:rPr>
        <w:t>ב"ד ש"א טו.</w:t>
      </w:r>
      <w:r w:rsidRPr="005C0739">
        <w:rPr>
          <w:rFonts w:cs="Arial" w:hint="cs"/>
          <w:sz w:val="14"/>
          <w:szCs w:val="14"/>
          <w:rtl/>
        </w:rPr>
        <w:t>]</w:t>
      </w:r>
      <w:r w:rsidRPr="00EF777D">
        <w:rPr>
          <w:rFonts w:cs="Arial"/>
          <w:sz w:val="16"/>
          <w:szCs w:val="16"/>
          <w:rtl/>
        </w:rPr>
        <w:t>)</w:t>
      </w:r>
      <w:r>
        <w:rPr>
          <w:rFonts w:cs="Arial" w:hint="cs"/>
          <w:rtl/>
        </w:rPr>
        <w:t>,</w:t>
      </w:r>
      <w:r w:rsidRPr="00EF777D">
        <w:rPr>
          <w:rFonts w:cs="Arial" w:hint="cs"/>
          <w:sz w:val="16"/>
          <w:szCs w:val="16"/>
          <w:rtl/>
        </w:rPr>
        <w:t xml:space="preserve"> </w:t>
      </w:r>
      <w:r w:rsidRPr="00EF777D">
        <w:rPr>
          <w:rFonts w:cs="Arial"/>
          <w:rtl/>
        </w:rPr>
        <w:t>ואם בא לבשלם בקדרה זה לעצמו וזה לעצמו אפילו בתנור במקום צר ואפילו פה הקדרה מגולה מותר אפילו לכתחלה שאין ריח המתבשלים גדול כ"כ</w:t>
      </w:r>
      <w:r>
        <w:rPr>
          <w:rStyle w:val="a7"/>
          <w:rFonts w:cs="Arial"/>
          <w:rtl/>
        </w:rPr>
        <w:footnoteReference w:id="2354"/>
      </w:r>
      <w:r>
        <w:rPr>
          <w:rFonts w:cs="Arial" w:hint="cs"/>
          <w:sz w:val="16"/>
          <w:szCs w:val="16"/>
          <w:rtl/>
        </w:rPr>
        <w:t xml:space="preserve"> </w:t>
      </w:r>
      <w:r w:rsidRPr="00EF777D">
        <w:rPr>
          <w:rFonts w:cs="Arial" w:hint="cs"/>
          <w:sz w:val="16"/>
          <w:szCs w:val="16"/>
          <w:rtl/>
        </w:rPr>
        <w:t>(</w:t>
      </w:r>
      <w:r>
        <w:rPr>
          <w:rFonts w:cs="Arial" w:hint="cs"/>
          <w:sz w:val="16"/>
          <w:szCs w:val="16"/>
          <w:rtl/>
        </w:rPr>
        <w:t>ל' הרשב"א</w:t>
      </w:r>
      <w:r w:rsidRPr="005C0739">
        <w:rPr>
          <w:rFonts w:cs="Arial" w:hint="cs"/>
          <w:sz w:val="14"/>
          <w:szCs w:val="14"/>
          <w:rtl/>
        </w:rPr>
        <w:t xml:space="preserve"> [</w:t>
      </w:r>
      <w:r w:rsidRPr="005C0739">
        <w:rPr>
          <w:rFonts w:cs="Arial"/>
          <w:sz w:val="14"/>
          <w:szCs w:val="14"/>
          <w:rtl/>
        </w:rPr>
        <w:t>תוה</w:t>
      </w:r>
      <w:r w:rsidRPr="005C0739">
        <w:rPr>
          <w:rFonts w:cs="Arial" w:hint="cs"/>
          <w:sz w:val="14"/>
          <w:szCs w:val="14"/>
          <w:rtl/>
        </w:rPr>
        <w:t>"</w:t>
      </w:r>
      <w:r w:rsidRPr="005C0739">
        <w:rPr>
          <w:rFonts w:cs="Arial"/>
          <w:sz w:val="14"/>
          <w:szCs w:val="14"/>
          <w:rtl/>
        </w:rPr>
        <w:t>ק</w:t>
      </w:r>
      <w:r w:rsidRPr="005C0739">
        <w:rPr>
          <w:rFonts w:cs="Arial"/>
          <w:sz w:val="12"/>
          <w:szCs w:val="12"/>
          <w:rtl/>
        </w:rPr>
        <w:t xml:space="preserve"> </w:t>
      </w:r>
      <w:r w:rsidRPr="00EF777D">
        <w:rPr>
          <w:rFonts w:cs="Arial"/>
          <w:sz w:val="14"/>
          <w:szCs w:val="14"/>
          <w:rtl/>
        </w:rPr>
        <w:t>שם י.</w:t>
      </w:r>
      <w:r w:rsidRPr="00EF777D">
        <w:rPr>
          <w:rFonts w:cs="Arial" w:hint="cs"/>
          <w:sz w:val="14"/>
          <w:szCs w:val="14"/>
          <w:rtl/>
        </w:rPr>
        <w:t>]</w:t>
      </w:r>
      <w:r>
        <w:rPr>
          <w:rFonts w:cs="Arial" w:hint="cs"/>
          <w:sz w:val="16"/>
          <w:szCs w:val="16"/>
          <w:rtl/>
        </w:rPr>
        <w:t>)</w:t>
      </w:r>
      <w:r>
        <w:rPr>
          <w:rFonts w:cs="Arial" w:hint="cs"/>
          <w:rtl/>
        </w:rPr>
        <w:t>.</w:t>
      </w:r>
      <w:r>
        <w:rPr>
          <w:rFonts w:cs="Arial"/>
          <w:rtl/>
        </w:rPr>
        <w:t xml:space="preserve"> </w:t>
      </w:r>
      <w:r w:rsidRPr="00804230">
        <w:rPr>
          <w:rFonts w:cs="Arial" w:hint="cs"/>
          <w:color w:val="E36C0A" w:themeColor="accent6" w:themeShade="BF"/>
          <w:rtl/>
        </w:rPr>
        <w:t>(וכ"פ בשו"ע)</w:t>
      </w:r>
    </w:p>
    <w:p w14:paraId="24226A84" w14:textId="77777777" w:rsidR="002C39F4" w:rsidRPr="00804230" w:rsidRDefault="002C39F4" w:rsidP="0032102C">
      <w:pPr>
        <w:pStyle w:val="a8"/>
        <w:numPr>
          <w:ilvl w:val="0"/>
          <w:numId w:val="141"/>
        </w:numPr>
        <w:rPr>
          <w:rFonts w:cs="Arial"/>
          <w:rtl/>
        </w:rPr>
      </w:pPr>
      <w:r>
        <w:rPr>
          <w:rFonts w:cs="Arial"/>
          <w:rtl/>
        </w:rPr>
        <w:t>או"ה</w:t>
      </w:r>
      <w:r w:rsidRPr="005C54C8">
        <w:rPr>
          <w:rFonts w:cs="Arial"/>
          <w:rtl/>
        </w:rPr>
        <w:t xml:space="preserve"> </w:t>
      </w:r>
      <w:r w:rsidRPr="00212A41">
        <w:rPr>
          <w:rFonts w:cs="Arial" w:hint="cs"/>
          <w:sz w:val="16"/>
          <w:szCs w:val="16"/>
          <w:rtl/>
        </w:rPr>
        <w:t>(</w:t>
      </w:r>
      <w:r w:rsidRPr="00212A41">
        <w:rPr>
          <w:rFonts w:cs="Arial"/>
          <w:sz w:val="16"/>
          <w:szCs w:val="16"/>
          <w:rtl/>
        </w:rPr>
        <w:t>כלל לט דכ</w:t>
      </w:r>
      <w:r w:rsidRPr="00212A41">
        <w:rPr>
          <w:rFonts w:cs="Arial" w:hint="cs"/>
          <w:sz w:val="16"/>
          <w:szCs w:val="16"/>
          <w:rtl/>
        </w:rPr>
        <w:t>"</w:t>
      </w:r>
      <w:r w:rsidRPr="00212A41">
        <w:rPr>
          <w:rFonts w:cs="Arial"/>
          <w:sz w:val="16"/>
          <w:szCs w:val="16"/>
          <w:rtl/>
        </w:rPr>
        <w:t>ב)</w:t>
      </w:r>
      <w:r>
        <w:rPr>
          <w:rFonts w:cs="Arial" w:hint="cs"/>
          <w:rtl/>
        </w:rPr>
        <w:t xml:space="preserve">- </w:t>
      </w:r>
      <w:r w:rsidRPr="005C54C8">
        <w:rPr>
          <w:rFonts w:cs="Arial"/>
          <w:rtl/>
        </w:rPr>
        <w:t>אף כשהתנור מגולה או ע"ג כירה אסור לבשל ב' קדרות זו בצד זו דחיישינן לניצוצות שנתזו מזו לזו אמנם בדיעבד אין לחו</w:t>
      </w:r>
      <w:r>
        <w:rPr>
          <w:rFonts w:cs="Arial" w:hint="cs"/>
          <w:rtl/>
        </w:rPr>
        <w:t>ש</w:t>
      </w:r>
      <w:r>
        <w:rPr>
          <w:rStyle w:val="a7"/>
          <w:rFonts w:cs="Arial"/>
          <w:rtl/>
        </w:rPr>
        <w:footnoteReference w:id="2355"/>
      </w:r>
      <w:r w:rsidRPr="00804230">
        <w:rPr>
          <w:rFonts w:cs="Arial" w:hint="cs"/>
          <w:rtl/>
        </w:rPr>
        <w:t>.</w:t>
      </w:r>
      <w:r w:rsidRPr="00804230">
        <w:rPr>
          <w:rFonts w:cs="Arial"/>
          <w:rtl/>
        </w:rPr>
        <w:t xml:space="preserve"> </w:t>
      </w:r>
      <w:r w:rsidRPr="00582D7F">
        <w:rPr>
          <w:rFonts w:cs="Arial" w:hint="cs"/>
          <w:color w:val="00B0F0"/>
          <w:rtl/>
        </w:rPr>
        <w:t>(וכ"פ הרמ"א</w:t>
      </w:r>
      <w:r w:rsidRPr="00582D7F">
        <w:rPr>
          <w:rFonts w:cs="Arial" w:hint="cs"/>
          <w:color w:val="00B0F0"/>
          <w:sz w:val="16"/>
          <w:szCs w:val="16"/>
          <w:rtl/>
        </w:rPr>
        <w:t xml:space="preserve"> </w:t>
      </w:r>
      <w:r>
        <w:rPr>
          <w:rFonts w:cs="Arial" w:hint="cs"/>
          <w:sz w:val="16"/>
          <w:szCs w:val="16"/>
          <w:rtl/>
        </w:rPr>
        <w:t>[בסי' קיח סי"א]</w:t>
      </w:r>
      <w:r w:rsidRPr="00582D7F">
        <w:rPr>
          <w:rFonts w:cs="Arial" w:hint="cs"/>
          <w:color w:val="00B0F0"/>
          <w:rtl/>
        </w:rPr>
        <w:t>)</w:t>
      </w:r>
    </w:p>
    <w:p w14:paraId="575D04D8" w14:textId="77777777" w:rsidR="002C39F4" w:rsidRDefault="002C39F4" w:rsidP="002C39F4">
      <w:pPr>
        <w:rPr>
          <w:rFonts w:cs="Arial"/>
          <w:rtl/>
        </w:rPr>
      </w:pPr>
      <w:r w:rsidRPr="00212A41">
        <w:rPr>
          <w:rFonts w:cs="Arial" w:hint="cs"/>
          <w:u w:val="single"/>
          <w:rtl/>
        </w:rPr>
        <w:t>הטמנה בשתי קדרות:</w:t>
      </w:r>
      <w:r>
        <w:rPr>
          <w:rFonts w:cs="Arial" w:hint="cs"/>
          <w:rtl/>
        </w:rPr>
        <w:t xml:space="preserve">   </w:t>
      </w:r>
      <w:r w:rsidRPr="004F34E6">
        <w:rPr>
          <w:rFonts w:cs="Arial"/>
          <w:sz w:val="16"/>
          <w:szCs w:val="16"/>
          <w:rtl/>
        </w:rPr>
        <w:t>(</w:t>
      </w:r>
      <w:r w:rsidRPr="004F34E6">
        <w:rPr>
          <w:rFonts w:cs="Arial" w:hint="cs"/>
          <w:sz w:val="16"/>
          <w:szCs w:val="16"/>
          <w:rtl/>
        </w:rPr>
        <w:t xml:space="preserve">דרכ"מ [סי' קח אות </w:t>
      </w:r>
      <w:r w:rsidRPr="004F34E6">
        <w:rPr>
          <w:rFonts w:cs="Arial"/>
          <w:sz w:val="16"/>
          <w:szCs w:val="16"/>
          <w:rtl/>
        </w:rPr>
        <w:t>ב</w:t>
      </w:r>
      <w:r w:rsidRPr="004F34E6">
        <w:rPr>
          <w:rFonts w:cs="Arial" w:hint="cs"/>
          <w:sz w:val="16"/>
          <w:szCs w:val="16"/>
          <w:rtl/>
        </w:rPr>
        <w:t>]</w:t>
      </w:r>
      <w:r w:rsidRPr="004F34E6">
        <w:rPr>
          <w:rFonts w:cs="Arial"/>
          <w:sz w:val="16"/>
          <w:szCs w:val="16"/>
          <w:rtl/>
        </w:rPr>
        <w:t xml:space="preserve">) </w:t>
      </w:r>
    </w:p>
    <w:p w14:paraId="268FC9D5" w14:textId="77777777" w:rsidR="002C39F4" w:rsidRPr="005C0739" w:rsidRDefault="002C39F4" w:rsidP="0032102C">
      <w:pPr>
        <w:pStyle w:val="a8"/>
        <w:numPr>
          <w:ilvl w:val="0"/>
          <w:numId w:val="242"/>
        </w:numPr>
        <w:rPr>
          <w:rtl/>
        </w:rPr>
      </w:pPr>
      <w:r w:rsidRPr="005C0739">
        <w:rPr>
          <w:rFonts w:cs="Arial"/>
          <w:rtl/>
        </w:rPr>
        <w:t xml:space="preserve">מהרי"ו </w:t>
      </w:r>
      <w:r w:rsidRPr="005C0739">
        <w:rPr>
          <w:rFonts w:cs="Arial" w:hint="cs"/>
          <w:sz w:val="16"/>
          <w:szCs w:val="16"/>
          <w:rtl/>
        </w:rPr>
        <w:t>(</w:t>
      </w:r>
      <w:r w:rsidRPr="005C0739">
        <w:rPr>
          <w:rFonts w:cs="Arial"/>
          <w:sz w:val="16"/>
          <w:szCs w:val="16"/>
          <w:rtl/>
        </w:rPr>
        <w:t>סי</w:t>
      </w:r>
      <w:r w:rsidRPr="005C0739">
        <w:rPr>
          <w:rFonts w:cs="Arial" w:hint="cs"/>
          <w:sz w:val="16"/>
          <w:szCs w:val="16"/>
          <w:rtl/>
        </w:rPr>
        <w:t>'</w:t>
      </w:r>
      <w:r w:rsidRPr="005C0739">
        <w:rPr>
          <w:rFonts w:cs="Arial"/>
          <w:sz w:val="16"/>
          <w:szCs w:val="16"/>
          <w:rtl/>
        </w:rPr>
        <w:t xml:space="preserve"> מד</w:t>
      </w:r>
      <w:r w:rsidRPr="005C0739">
        <w:rPr>
          <w:rFonts w:cs="Arial" w:hint="cs"/>
          <w:sz w:val="16"/>
          <w:szCs w:val="16"/>
          <w:rtl/>
        </w:rPr>
        <w:t xml:space="preserve">) </w:t>
      </w:r>
      <w:r>
        <w:rPr>
          <w:rFonts w:cs="Arial" w:hint="cs"/>
          <w:rtl/>
        </w:rPr>
        <w:t>ו</w:t>
      </w:r>
      <w:r w:rsidRPr="005C0739">
        <w:rPr>
          <w:rFonts w:cs="Arial" w:hint="cs"/>
          <w:rtl/>
        </w:rPr>
        <w:t>הגשע"ד</w:t>
      </w:r>
      <w:r>
        <w:rPr>
          <w:rStyle w:val="a7"/>
          <w:rFonts w:cs="Arial"/>
          <w:rtl/>
        </w:rPr>
        <w:footnoteReference w:id="2356"/>
      </w:r>
      <w:r w:rsidRPr="005C0739">
        <w:rPr>
          <w:rFonts w:cs="Arial" w:hint="cs"/>
          <w:rtl/>
        </w:rPr>
        <w:t xml:space="preserve"> </w:t>
      </w:r>
      <w:r w:rsidRPr="005C0739">
        <w:rPr>
          <w:rFonts w:cs="Arial"/>
          <w:sz w:val="16"/>
          <w:szCs w:val="16"/>
          <w:rtl/>
        </w:rPr>
        <w:t>(סי' לה, הובא בשערי בינה שם אות ה)</w:t>
      </w:r>
      <w:r w:rsidRPr="005C0739">
        <w:rPr>
          <w:rFonts w:cs="Arial" w:hint="cs"/>
          <w:rtl/>
        </w:rPr>
        <w:t xml:space="preserve">- </w:t>
      </w:r>
      <w:r w:rsidRPr="005C0739">
        <w:rPr>
          <w:rFonts w:cs="Arial"/>
          <w:rtl/>
        </w:rPr>
        <w:t>אסור להטמין תבשיל של בשר עם תבשיל של חלב דחיישינן שמא יזוב מאחד מהן תחת חבירו</w:t>
      </w:r>
      <w:r w:rsidRPr="005C0739">
        <w:rPr>
          <w:rFonts w:cs="Arial" w:hint="cs"/>
          <w:rtl/>
        </w:rPr>
        <w:t>,</w:t>
      </w:r>
      <w:r w:rsidRPr="005C0739">
        <w:rPr>
          <w:rFonts w:cs="Arial"/>
          <w:rtl/>
        </w:rPr>
        <w:t xml:space="preserve"> אמנם בדיעבד אין לחוש לזה כיון שהקדרות מכוסות</w:t>
      </w:r>
      <w:r w:rsidRPr="00212A41">
        <w:rPr>
          <w:rStyle w:val="a7"/>
          <w:rFonts w:cs="Arial"/>
          <w:rtl/>
        </w:rPr>
        <w:footnoteReference w:id="2357"/>
      </w:r>
      <w:r w:rsidRPr="005C0739">
        <w:rPr>
          <w:rFonts w:cs="Arial" w:hint="cs"/>
          <w:sz w:val="16"/>
          <w:szCs w:val="16"/>
          <w:rtl/>
        </w:rPr>
        <w:t xml:space="preserve"> (ל' מהרי"ו)</w:t>
      </w:r>
      <w:r w:rsidRPr="005C0739">
        <w:rPr>
          <w:rFonts w:cs="Arial"/>
          <w:rtl/>
        </w:rPr>
        <w:t>.</w:t>
      </w:r>
    </w:p>
    <w:p w14:paraId="753EB16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12922D4" w14:textId="77777777" w:rsidR="002C39F4" w:rsidRDefault="002C39F4" w:rsidP="002C39F4">
      <w:pPr>
        <w:rPr>
          <w:rFonts w:asciiTheme="minorBidi" w:hAnsiTheme="minorBidi"/>
          <w:rtl/>
        </w:rPr>
      </w:pPr>
      <w:r w:rsidRPr="003024E5">
        <w:rPr>
          <w:rFonts w:asciiTheme="minorBidi" w:hAnsiTheme="minorBidi"/>
          <w:rtl/>
        </w:rPr>
        <w:t>ב</w:t>
      </w:r>
      <w:r>
        <w:rPr>
          <w:rFonts w:asciiTheme="minorBidi" w:hAnsiTheme="minorBidi" w:hint="cs"/>
          <w:rtl/>
        </w:rPr>
        <w:t>מה דברים אמורים,</w:t>
      </w:r>
      <w:r w:rsidRPr="003024E5">
        <w:rPr>
          <w:rFonts w:asciiTheme="minorBidi" w:hAnsiTheme="minorBidi"/>
          <w:rtl/>
        </w:rPr>
        <w:t xml:space="preserve"> בצלי</w:t>
      </w:r>
      <w:r>
        <w:rPr>
          <w:rFonts w:asciiTheme="minorBidi" w:hAnsiTheme="minorBidi" w:hint="cs"/>
          <w:rtl/>
        </w:rPr>
        <w:t>,</w:t>
      </w:r>
      <w:r w:rsidRPr="003024E5">
        <w:rPr>
          <w:rFonts w:asciiTheme="minorBidi" w:hAnsiTheme="minorBidi"/>
          <w:rtl/>
        </w:rPr>
        <w:t xml:space="preserve"> אבל אם בא לבשלם בקדרה זה לעצמו וזה לעצמו אפילו בתנור קטן ופיו סתום מותר</w:t>
      </w:r>
      <w:r>
        <w:rPr>
          <w:rFonts w:asciiTheme="minorBidi" w:hAnsiTheme="minorBidi" w:hint="cs"/>
          <w:rtl/>
        </w:rPr>
        <w:t>,</w:t>
      </w:r>
      <w:r w:rsidRPr="003024E5">
        <w:rPr>
          <w:rFonts w:asciiTheme="minorBidi" w:hAnsiTheme="minorBidi"/>
          <w:rtl/>
        </w:rPr>
        <w:t xml:space="preserve"> ואף על פי שפי הקדרות מגולה</w:t>
      </w:r>
      <w:r>
        <w:rPr>
          <w:rStyle w:val="a7"/>
          <w:rFonts w:asciiTheme="minorBidi" w:hAnsiTheme="minorBidi"/>
          <w:rtl/>
        </w:rPr>
        <w:footnoteReference w:id="2358"/>
      </w:r>
      <w:r w:rsidRPr="003024E5">
        <w:rPr>
          <w:rFonts w:asciiTheme="minorBidi" w:hAnsiTheme="minorBidi"/>
          <w:rtl/>
        </w:rPr>
        <w:t xml:space="preserve">. </w:t>
      </w:r>
      <w:r w:rsidRPr="002724E3">
        <w:rPr>
          <w:rFonts w:asciiTheme="minorBidi" w:hAnsiTheme="minorBidi"/>
          <w:sz w:val="18"/>
          <w:szCs w:val="18"/>
          <w:rtl/>
        </w:rPr>
        <w:t>הגה: ודוקא שהתנור פתוח קצת</w:t>
      </w:r>
      <w:r>
        <w:rPr>
          <w:rStyle w:val="a7"/>
          <w:rFonts w:asciiTheme="minorBidi" w:hAnsiTheme="minorBidi"/>
          <w:sz w:val="18"/>
          <w:szCs w:val="18"/>
          <w:rtl/>
        </w:rPr>
        <w:footnoteReference w:id="2359"/>
      </w:r>
      <w:r w:rsidRPr="002724E3">
        <w:rPr>
          <w:rFonts w:asciiTheme="minorBidi" w:hAnsiTheme="minorBidi"/>
          <w:sz w:val="18"/>
          <w:szCs w:val="18"/>
          <w:rtl/>
        </w:rPr>
        <w:t xml:space="preserve">, אבל אם הוא סתום מכל הצדדים כדרך שמטמינים החמין לצורך שבת אסור </w:t>
      </w:r>
      <w:r w:rsidRPr="002724E3">
        <w:rPr>
          <w:rFonts w:asciiTheme="minorBidi" w:hAnsiTheme="minorBidi"/>
          <w:sz w:val="16"/>
          <w:szCs w:val="16"/>
          <w:rtl/>
        </w:rPr>
        <w:t>(מהרי"ו ואו"ה והגש</w:t>
      </w:r>
      <w:r w:rsidRPr="002724E3">
        <w:rPr>
          <w:rFonts w:asciiTheme="minorBidi" w:hAnsiTheme="minorBidi" w:hint="cs"/>
          <w:sz w:val="16"/>
          <w:szCs w:val="16"/>
          <w:rtl/>
        </w:rPr>
        <w:t>ע</w:t>
      </w:r>
      <w:r w:rsidRPr="002724E3">
        <w:rPr>
          <w:rFonts w:asciiTheme="minorBidi" w:hAnsiTheme="minorBidi"/>
          <w:sz w:val="16"/>
          <w:szCs w:val="16"/>
          <w:rtl/>
        </w:rPr>
        <w:t>"ד בשם מהר"ם)</w:t>
      </w:r>
      <w:r w:rsidRPr="002724E3">
        <w:rPr>
          <w:rFonts w:asciiTheme="minorBidi" w:hAnsiTheme="minorBidi"/>
          <w:sz w:val="18"/>
          <w:szCs w:val="18"/>
          <w:rtl/>
        </w:rPr>
        <w:t>. ואפי</w:t>
      </w:r>
      <w:r>
        <w:rPr>
          <w:rFonts w:asciiTheme="minorBidi" w:hAnsiTheme="minorBidi" w:hint="cs"/>
          <w:sz w:val="18"/>
          <w:szCs w:val="18"/>
          <w:rtl/>
        </w:rPr>
        <w:t>לו</w:t>
      </w:r>
      <w:r w:rsidRPr="002724E3">
        <w:rPr>
          <w:rFonts w:asciiTheme="minorBidi" w:hAnsiTheme="minorBidi"/>
          <w:sz w:val="18"/>
          <w:szCs w:val="18"/>
          <w:rtl/>
        </w:rPr>
        <w:t xml:space="preserve"> בדיעבד יש מחמירין ואוסרי</w:t>
      </w:r>
      <w:r>
        <w:rPr>
          <w:rFonts w:asciiTheme="minorBidi" w:hAnsiTheme="minorBidi" w:hint="cs"/>
          <w:sz w:val="18"/>
          <w:szCs w:val="18"/>
          <w:rtl/>
        </w:rPr>
        <w:t>ן</w:t>
      </w:r>
      <w:r w:rsidRPr="002724E3">
        <w:rPr>
          <w:rFonts w:asciiTheme="minorBidi" w:hAnsiTheme="minorBidi"/>
          <w:sz w:val="18"/>
          <w:szCs w:val="18"/>
          <w:rtl/>
        </w:rPr>
        <w:t xml:space="preserve"> אם האיסור וההיתר מגולה</w:t>
      </w:r>
      <w:r w:rsidRPr="002724E3">
        <w:rPr>
          <w:rFonts w:asciiTheme="minorBidi" w:hAnsiTheme="minorBidi"/>
          <w:sz w:val="16"/>
          <w:szCs w:val="16"/>
          <w:rtl/>
        </w:rPr>
        <w:t xml:space="preserve"> (</w:t>
      </w:r>
      <w:r w:rsidRPr="002724E3">
        <w:rPr>
          <w:rFonts w:asciiTheme="minorBidi" w:hAnsiTheme="minorBidi" w:hint="cs"/>
          <w:sz w:val="16"/>
          <w:szCs w:val="16"/>
          <w:rtl/>
        </w:rPr>
        <w:t>כ"</w:t>
      </w:r>
      <w:r w:rsidRPr="002724E3">
        <w:rPr>
          <w:rFonts w:asciiTheme="minorBidi" w:hAnsiTheme="minorBidi"/>
          <w:sz w:val="16"/>
          <w:szCs w:val="16"/>
          <w:rtl/>
        </w:rPr>
        <w:t>מ בהגש</w:t>
      </w:r>
      <w:r w:rsidRPr="002724E3">
        <w:rPr>
          <w:rFonts w:asciiTheme="minorBidi" w:hAnsiTheme="minorBidi" w:hint="cs"/>
          <w:sz w:val="16"/>
          <w:szCs w:val="16"/>
          <w:rtl/>
        </w:rPr>
        <w:t>ע</w:t>
      </w:r>
      <w:r w:rsidRPr="002724E3">
        <w:rPr>
          <w:rFonts w:asciiTheme="minorBidi" w:hAnsiTheme="minorBidi"/>
          <w:sz w:val="16"/>
          <w:szCs w:val="16"/>
          <w:rtl/>
        </w:rPr>
        <w:t>"ד)</w:t>
      </w:r>
      <w:r>
        <w:rPr>
          <w:rFonts w:asciiTheme="minorBidi" w:hAnsiTheme="minorBidi" w:hint="cs"/>
          <w:sz w:val="18"/>
          <w:szCs w:val="18"/>
          <w:rtl/>
        </w:rPr>
        <w:t>,</w:t>
      </w:r>
      <w:r w:rsidRPr="002724E3">
        <w:rPr>
          <w:rFonts w:asciiTheme="minorBidi" w:hAnsiTheme="minorBidi"/>
          <w:sz w:val="18"/>
          <w:szCs w:val="18"/>
          <w:rtl/>
        </w:rPr>
        <w:t xml:space="preserve"> ובמקום הפסד מרובה יש להקל</w:t>
      </w:r>
      <w:r>
        <w:rPr>
          <w:rStyle w:val="a7"/>
          <w:rFonts w:asciiTheme="minorBidi" w:hAnsiTheme="minorBidi"/>
          <w:sz w:val="18"/>
          <w:szCs w:val="18"/>
          <w:rtl/>
        </w:rPr>
        <w:footnoteReference w:id="2360"/>
      </w:r>
      <w:r w:rsidRPr="002724E3">
        <w:rPr>
          <w:rFonts w:asciiTheme="minorBidi" w:hAnsiTheme="minorBidi"/>
          <w:sz w:val="18"/>
          <w:szCs w:val="18"/>
          <w:rtl/>
        </w:rPr>
        <w:t>.</w:t>
      </w:r>
    </w:p>
    <w:p w14:paraId="2229C11C" w14:textId="77777777" w:rsidR="002C39F4" w:rsidRPr="003024E5" w:rsidRDefault="002C39F4" w:rsidP="002C39F4">
      <w:pPr>
        <w:rPr>
          <w:rFonts w:asciiTheme="minorBidi" w:hAnsiTheme="minorBidi"/>
          <w:rtl/>
        </w:rPr>
      </w:pPr>
    </w:p>
    <w:p w14:paraId="36E21B73"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שמנונית איסור שעל המרדה.</w:t>
      </w:r>
    </w:p>
    <w:p w14:paraId="1B43ECAC" w14:textId="77777777" w:rsidR="002C39F4" w:rsidRPr="00D6570B" w:rsidRDefault="002C39F4" w:rsidP="002C39F4">
      <w:pPr>
        <w:rPr>
          <w:rFonts w:cs="Arial"/>
          <w:u w:val="single"/>
          <w:rtl/>
        </w:rPr>
      </w:pPr>
      <w:r>
        <w:rPr>
          <w:rFonts w:cs="Arial"/>
          <w:u w:val="single"/>
          <w:rtl/>
        </w:rPr>
        <w:t xml:space="preserve">שמנונית איסור על </w:t>
      </w:r>
      <w:r w:rsidRPr="00D6570B">
        <w:rPr>
          <w:rFonts w:cs="Arial"/>
          <w:u w:val="single"/>
          <w:rtl/>
        </w:rPr>
        <w:t>מרדה</w:t>
      </w:r>
      <w:r w:rsidRPr="00D6570B">
        <w:rPr>
          <w:rFonts w:cs="Arial" w:hint="cs"/>
          <w:u w:val="single"/>
          <w:rtl/>
        </w:rPr>
        <w:t>:</w:t>
      </w:r>
      <w:r>
        <w:rPr>
          <w:rFonts w:cs="Arial" w:hint="cs"/>
          <w:sz w:val="16"/>
          <w:szCs w:val="16"/>
          <w:rtl/>
        </w:rPr>
        <w:t xml:space="preserve">  (הועתק מסי' צז)</w:t>
      </w:r>
    </w:p>
    <w:p w14:paraId="17DB5535" w14:textId="77777777" w:rsidR="002C39F4" w:rsidRPr="002724E3" w:rsidRDefault="002C39F4" w:rsidP="0032102C">
      <w:pPr>
        <w:pStyle w:val="a8"/>
        <w:numPr>
          <w:ilvl w:val="0"/>
          <w:numId w:val="141"/>
        </w:numPr>
        <w:rPr>
          <w:rFonts w:cs="Arial"/>
          <w:rtl/>
        </w:rPr>
      </w:pPr>
      <w:r w:rsidRPr="00D6570B">
        <w:rPr>
          <w:rFonts w:cs="Arial"/>
          <w:rtl/>
        </w:rPr>
        <w:t>תוס</w:t>
      </w:r>
      <w:r w:rsidRPr="00D6570B">
        <w:rPr>
          <w:rFonts w:cs="Arial" w:hint="cs"/>
          <w:rtl/>
        </w:rPr>
        <w:t>'</w:t>
      </w:r>
      <w:r w:rsidRPr="00D6570B">
        <w:rPr>
          <w:rFonts w:cs="Arial"/>
          <w:rtl/>
        </w:rPr>
        <w:t xml:space="preserve"> </w:t>
      </w:r>
      <w:r w:rsidRPr="005C25AB">
        <w:rPr>
          <w:rFonts w:cs="Arial" w:hint="cs"/>
          <w:sz w:val="16"/>
          <w:szCs w:val="16"/>
          <w:rtl/>
        </w:rPr>
        <w:t>(</w:t>
      </w:r>
      <w:r w:rsidRPr="005C25AB">
        <w:rPr>
          <w:rFonts w:cs="Arial"/>
          <w:sz w:val="16"/>
          <w:szCs w:val="16"/>
          <w:rtl/>
        </w:rPr>
        <w:t>ע"ז סו: ד"ה רבא אמר)</w:t>
      </w:r>
      <w:r>
        <w:rPr>
          <w:rFonts w:cs="Arial" w:hint="cs"/>
          <w:rtl/>
        </w:rPr>
        <w:t>-</w:t>
      </w:r>
      <w:r w:rsidRPr="00D6570B">
        <w:rPr>
          <w:rFonts w:cs="Arial"/>
          <w:rtl/>
        </w:rPr>
        <w:t xml:space="preserve"> אם שמנונית האיסור על המרדה שקורין פאלה אסור ליתן עליה היתר כל היום</w:t>
      </w:r>
      <w:r>
        <w:rPr>
          <w:rFonts w:cs="Arial" w:hint="cs"/>
          <w:rtl/>
        </w:rPr>
        <w:t>,</w:t>
      </w:r>
      <w:r w:rsidRPr="00D6570B">
        <w:rPr>
          <w:rFonts w:cs="Arial"/>
          <w:rtl/>
        </w:rPr>
        <w:t xml:space="preserve"> מיהו כשאינה בת יומא מותר להשתמש בה לכתחלה</w:t>
      </w:r>
      <w:r>
        <w:rPr>
          <w:rFonts w:cs="Arial" w:hint="cs"/>
          <w:rtl/>
        </w:rPr>
        <w:t>,</w:t>
      </w:r>
      <w:r w:rsidRPr="00D6570B">
        <w:rPr>
          <w:rFonts w:cs="Arial"/>
          <w:rtl/>
        </w:rPr>
        <w:t xml:space="preserve"> ולא גזרו שאינה בת יומא אטו בת יומא אפילו לכתחלה כיון דלא אפשר שהרי הגוי לא ישמע לו לעשות מרדה חדשה בכל פעם</w:t>
      </w:r>
      <w:r>
        <w:rPr>
          <w:rFonts w:cs="Arial"/>
          <w:rtl/>
        </w:rPr>
        <w:t xml:space="preserve"> ופעם שישפוך עליה של איסור</w:t>
      </w:r>
      <w:r>
        <w:rPr>
          <w:rStyle w:val="a7"/>
          <w:rFonts w:cs="Arial"/>
          <w:rtl/>
        </w:rPr>
        <w:footnoteReference w:id="2361"/>
      </w:r>
      <w:r>
        <w:rPr>
          <w:rFonts w:cs="Arial" w:hint="cs"/>
          <w:rtl/>
        </w:rPr>
        <w:t>.</w:t>
      </w:r>
    </w:p>
    <w:p w14:paraId="54609A1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905056E" w14:textId="77777777" w:rsidR="002C39F4" w:rsidRDefault="002C39F4" w:rsidP="002C39F4">
      <w:pPr>
        <w:rPr>
          <w:rFonts w:asciiTheme="minorBidi" w:hAnsiTheme="minorBidi"/>
          <w:rtl/>
        </w:rPr>
      </w:pPr>
      <w:r w:rsidRPr="003024E5">
        <w:rPr>
          <w:rFonts w:asciiTheme="minorBidi" w:hAnsiTheme="minorBidi"/>
          <w:rtl/>
        </w:rPr>
        <w:t>אם יש שמנונית של איסור על המרדה שקורין פאל"א אסור ליתן עליה היתר כל היום</w:t>
      </w:r>
      <w:r>
        <w:rPr>
          <w:rStyle w:val="a7"/>
          <w:rFonts w:asciiTheme="minorBidi" w:hAnsiTheme="minorBidi"/>
          <w:rtl/>
        </w:rPr>
        <w:footnoteReference w:id="2362"/>
      </w:r>
      <w:r>
        <w:rPr>
          <w:rFonts w:asciiTheme="minorBidi" w:hAnsiTheme="minorBidi" w:hint="cs"/>
          <w:rtl/>
        </w:rPr>
        <w:t>,</w:t>
      </w:r>
      <w:r w:rsidRPr="003024E5">
        <w:rPr>
          <w:rFonts w:asciiTheme="minorBidi" w:hAnsiTheme="minorBidi"/>
          <w:rtl/>
        </w:rPr>
        <w:t xml:space="preserve"> מיהו כשאינה בת יומא מותר להשתמש בה משום דאי אפשר בענין אחר. </w:t>
      </w:r>
      <w:r w:rsidRPr="006F67AA">
        <w:rPr>
          <w:rFonts w:asciiTheme="minorBidi" w:hAnsiTheme="minorBidi"/>
          <w:sz w:val="18"/>
          <w:szCs w:val="18"/>
          <w:rtl/>
        </w:rPr>
        <w:t>הגה: כל זמן שהיא בת יומא לא מהני בה הגעלה ולא קליפה בכלי אומנות</w:t>
      </w:r>
      <w:r>
        <w:rPr>
          <w:rStyle w:val="a7"/>
          <w:rFonts w:asciiTheme="minorBidi" w:hAnsiTheme="minorBidi"/>
          <w:sz w:val="18"/>
          <w:szCs w:val="18"/>
          <w:rtl/>
        </w:rPr>
        <w:footnoteReference w:id="2363"/>
      </w:r>
      <w:r w:rsidRPr="006F67AA">
        <w:rPr>
          <w:rFonts w:asciiTheme="minorBidi" w:hAnsiTheme="minorBidi"/>
          <w:sz w:val="18"/>
          <w:szCs w:val="18"/>
          <w:rtl/>
        </w:rPr>
        <w:t xml:space="preserve"> (ת</w:t>
      </w:r>
      <w:r>
        <w:rPr>
          <w:rFonts w:asciiTheme="minorBidi" w:hAnsiTheme="minorBidi" w:hint="cs"/>
          <w:sz w:val="18"/>
          <w:szCs w:val="18"/>
          <w:rtl/>
        </w:rPr>
        <w:t>רו</w:t>
      </w:r>
      <w:r w:rsidRPr="006F67AA">
        <w:rPr>
          <w:rFonts w:asciiTheme="minorBidi" w:hAnsiTheme="minorBidi"/>
          <w:sz w:val="18"/>
          <w:szCs w:val="18"/>
          <w:rtl/>
        </w:rPr>
        <w:t>ה</w:t>
      </w:r>
      <w:r>
        <w:rPr>
          <w:rFonts w:asciiTheme="minorBidi" w:hAnsiTheme="minorBidi" w:hint="cs"/>
          <w:sz w:val="18"/>
          <w:szCs w:val="18"/>
          <w:rtl/>
        </w:rPr>
        <w:t>"ד</w:t>
      </w:r>
      <w:r w:rsidRPr="006F67AA">
        <w:rPr>
          <w:rFonts w:asciiTheme="minorBidi" w:hAnsiTheme="minorBidi"/>
          <w:sz w:val="18"/>
          <w:szCs w:val="18"/>
          <w:rtl/>
        </w:rPr>
        <w:t xml:space="preserve"> סי</w:t>
      </w:r>
      <w:r>
        <w:rPr>
          <w:rFonts w:asciiTheme="minorBidi" w:hAnsiTheme="minorBidi" w:hint="cs"/>
          <w:sz w:val="18"/>
          <w:szCs w:val="18"/>
          <w:rtl/>
        </w:rPr>
        <w:t>'</w:t>
      </w:r>
      <w:r w:rsidRPr="006F67AA">
        <w:rPr>
          <w:rFonts w:asciiTheme="minorBidi" w:hAnsiTheme="minorBidi"/>
          <w:sz w:val="18"/>
          <w:szCs w:val="18"/>
          <w:rtl/>
        </w:rPr>
        <w:t xml:space="preserve"> קל והגש</w:t>
      </w:r>
      <w:r>
        <w:rPr>
          <w:rFonts w:asciiTheme="minorBidi" w:hAnsiTheme="minorBidi" w:hint="cs"/>
          <w:sz w:val="18"/>
          <w:szCs w:val="18"/>
          <w:rtl/>
        </w:rPr>
        <w:t>ע</w:t>
      </w:r>
      <w:r w:rsidRPr="006F67AA">
        <w:rPr>
          <w:rFonts w:asciiTheme="minorBidi" w:hAnsiTheme="minorBidi"/>
          <w:sz w:val="18"/>
          <w:szCs w:val="18"/>
          <w:rtl/>
        </w:rPr>
        <w:t xml:space="preserve">"ד ומרדכי). </w:t>
      </w:r>
    </w:p>
    <w:p w14:paraId="70AE1DF5" w14:textId="77777777" w:rsidR="002C39F4" w:rsidRPr="003024E5" w:rsidRDefault="002C39F4" w:rsidP="002C39F4">
      <w:pPr>
        <w:rPr>
          <w:rFonts w:asciiTheme="minorBidi" w:hAnsiTheme="minorBidi"/>
          <w:rtl/>
        </w:rPr>
      </w:pPr>
    </w:p>
    <w:p w14:paraId="62C02767" w14:textId="77777777" w:rsidR="002C39F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פת המונחת על חבית יין נסך.</w:t>
      </w:r>
    </w:p>
    <w:p w14:paraId="00B48DBD" w14:textId="77777777" w:rsidR="002C39F4" w:rsidRPr="00EF1888" w:rsidRDefault="002C39F4" w:rsidP="002C39F4">
      <w:pPr>
        <w:rPr>
          <w:rFonts w:cs="Arial"/>
          <w:rtl/>
        </w:rPr>
      </w:pPr>
      <w:r>
        <w:rPr>
          <w:rFonts w:cs="Arial" w:hint="cs"/>
          <w:b/>
          <w:bCs/>
          <w:rtl/>
        </w:rPr>
        <w:t xml:space="preserve">עבודה זרה סו ע"ב: </w:t>
      </w:r>
      <w:r w:rsidRPr="00EF1888">
        <w:rPr>
          <w:rFonts w:cs="Arial"/>
          <w:rtl/>
        </w:rPr>
        <w:t>האי בת תיהא</w:t>
      </w:r>
      <w:r>
        <w:rPr>
          <w:rStyle w:val="a7"/>
          <w:rFonts w:cs="Arial"/>
          <w:rtl/>
        </w:rPr>
        <w:footnoteReference w:id="2364"/>
      </w:r>
      <w:r w:rsidRPr="00EF1888">
        <w:rPr>
          <w:rFonts w:cs="Arial"/>
          <w:rtl/>
        </w:rPr>
        <w:t>, עובד כוכבים בדישראל</w:t>
      </w:r>
      <w:r>
        <w:rPr>
          <w:rFonts w:cs="Arial" w:hint="cs"/>
          <w:rtl/>
        </w:rPr>
        <w:t xml:space="preserve"> </w:t>
      </w:r>
      <w:r w:rsidRPr="00EF1888">
        <w:rPr>
          <w:rFonts w:cs="Arial"/>
          <w:rtl/>
        </w:rPr>
        <w:t>- ש"ד</w:t>
      </w:r>
      <w:r>
        <w:rPr>
          <w:rFonts w:cs="Arial" w:hint="cs"/>
          <w:rtl/>
        </w:rPr>
        <w:t>,</w:t>
      </w:r>
      <w:r w:rsidRPr="00EF1888">
        <w:rPr>
          <w:rFonts w:cs="Arial"/>
          <w:rtl/>
        </w:rPr>
        <w:t xml:space="preserve"> ישראל בדעובד כוכבים - </w:t>
      </w:r>
      <w:r w:rsidRPr="00EF1888">
        <w:rPr>
          <w:rFonts w:cs="Arial"/>
          <w:u w:val="single"/>
          <w:rtl/>
        </w:rPr>
        <w:t>אביי אמר</w:t>
      </w:r>
      <w:r w:rsidRPr="00EF1888">
        <w:rPr>
          <w:rFonts w:cs="Arial"/>
          <w:rtl/>
        </w:rPr>
        <w:t xml:space="preserve">: אסור, </w:t>
      </w:r>
      <w:r w:rsidRPr="00EF1888">
        <w:rPr>
          <w:rFonts w:cs="Arial"/>
          <w:u w:val="single"/>
          <w:rtl/>
        </w:rPr>
        <w:t>רבא</w:t>
      </w:r>
      <w:r w:rsidRPr="00EF1888">
        <w:rPr>
          <w:rFonts w:cs="Arial"/>
          <w:rtl/>
        </w:rPr>
        <w:t xml:space="preserve"> </w:t>
      </w:r>
      <w:r w:rsidRPr="00EF1888">
        <w:rPr>
          <w:rFonts w:cs="Arial"/>
          <w:u w:val="single"/>
          <w:rtl/>
        </w:rPr>
        <w:t>אמר</w:t>
      </w:r>
      <w:r w:rsidRPr="00EF1888">
        <w:rPr>
          <w:rFonts w:cs="Arial"/>
          <w:rtl/>
        </w:rPr>
        <w:t>: מותר. אביי אמר אסור, ריחא מילתא היא; רבא אמר מותר, ריחא לאו מילתא היא.</w:t>
      </w:r>
      <w:r>
        <w:rPr>
          <w:rFonts w:cs="Arial" w:hint="cs"/>
          <w:rtl/>
        </w:rPr>
        <w:t xml:space="preserve">.. </w:t>
      </w:r>
      <w:r w:rsidRPr="00EF1888">
        <w:rPr>
          <w:rFonts w:cs="Arial"/>
          <w:u w:val="single"/>
          <w:rtl/>
        </w:rPr>
        <w:t>אמר רב מרי</w:t>
      </w:r>
      <w:r>
        <w:rPr>
          <w:rFonts w:cs="Arial" w:hint="cs"/>
          <w:rtl/>
        </w:rPr>
        <w:t>:</w:t>
      </w:r>
      <w:r w:rsidRPr="00EF1888">
        <w:rPr>
          <w:rFonts w:cs="Arial"/>
          <w:rtl/>
        </w:rPr>
        <w:t xml:space="preserve"> כתנאי</w:t>
      </w:r>
      <w:r>
        <w:rPr>
          <w:rFonts w:cs="Arial" w:hint="cs"/>
          <w:rtl/>
        </w:rPr>
        <w:t>,</w:t>
      </w:r>
      <w:r w:rsidRPr="00EF1888">
        <w:rPr>
          <w:rFonts w:cs="Arial"/>
          <w:rtl/>
        </w:rPr>
        <w:t xml:space="preserve"> הרודה פת חמה ונתנה ע"פ חבית של יין של תרומה - </w:t>
      </w:r>
      <w:r w:rsidRPr="00EF1888">
        <w:rPr>
          <w:rFonts w:cs="Arial"/>
          <w:u w:val="single"/>
          <w:rtl/>
        </w:rPr>
        <w:t>ר"מ</w:t>
      </w:r>
      <w:r w:rsidRPr="00EF1888">
        <w:rPr>
          <w:rFonts w:cs="Arial"/>
          <w:rtl/>
        </w:rPr>
        <w:t xml:space="preserve"> אוסר</w:t>
      </w:r>
      <w:r>
        <w:rPr>
          <w:rStyle w:val="a7"/>
          <w:rFonts w:cs="Arial"/>
          <w:rtl/>
        </w:rPr>
        <w:footnoteReference w:id="2365"/>
      </w:r>
      <w:r w:rsidRPr="00EF1888">
        <w:rPr>
          <w:rFonts w:cs="Arial"/>
          <w:rtl/>
        </w:rPr>
        <w:t xml:space="preserve">, </w:t>
      </w:r>
      <w:r w:rsidRPr="00EF1888">
        <w:rPr>
          <w:rFonts w:cs="Arial"/>
          <w:u w:val="single"/>
          <w:rtl/>
        </w:rPr>
        <w:t>ור' יהודה</w:t>
      </w:r>
      <w:r w:rsidRPr="00EF1888">
        <w:rPr>
          <w:rFonts w:cs="Arial"/>
          <w:rtl/>
        </w:rPr>
        <w:t xml:space="preserve"> מתיר, </w:t>
      </w:r>
      <w:r w:rsidRPr="00EF1888">
        <w:rPr>
          <w:rFonts w:cs="Arial"/>
          <w:u w:val="single"/>
          <w:rtl/>
        </w:rPr>
        <w:t>רבי יוסי</w:t>
      </w:r>
      <w:r w:rsidRPr="00EF1888">
        <w:rPr>
          <w:rFonts w:cs="Arial"/>
          <w:rtl/>
        </w:rPr>
        <w:t xml:space="preserve"> מתיר בשל חיטין ואוסר בשל שעורים, מפני שהשעורים שואבות</w:t>
      </w:r>
      <w:r>
        <w:rPr>
          <w:rFonts w:cs="Arial" w:hint="cs"/>
          <w:rtl/>
        </w:rPr>
        <w:t>.</w:t>
      </w:r>
      <w:r w:rsidRPr="00EF1888">
        <w:rPr>
          <w:rFonts w:cs="Arial"/>
          <w:rtl/>
        </w:rPr>
        <w:t xml:space="preserve"> מאי לאו בהא קמיפלגי, דמר סבר: ריחא מילתא היא, ומר סבר: ריחא ולא כלום הוא</w:t>
      </w:r>
      <w:r>
        <w:rPr>
          <w:rFonts w:cs="Arial" w:hint="cs"/>
          <w:rtl/>
        </w:rPr>
        <w:t>.</w:t>
      </w:r>
      <w:r w:rsidRPr="00EF1888">
        <w:rPr>
          <w:rFonts w:cs="Arial"/>
          <w:rtl/>
        </w:rPr>
        <w:t xml:space="preserve"> לרבא ודאי תנאי היא</w:t>
      </w:r>
      <w:r>
        <w:rPr>
          <w:rStyle w:val="a7"/>
          <w:rFonts w:cs="Arial"/>
          <w:rtl/>
        </w:rPr>
        <w:footnoteReference w:id="2366"/>
      </w:r>
      <w:r w:rsidRPr="00EF1888">
        <w:rPr>
          <w:rFonts w:cs="Arial"/>
          <w:rtl/>
        </w:rPr>
        <w:t>, לאביי מי לימא תנאי היא</w:t>
      </w:r>
      <w:r>
        <w:rPr>
          <w:rStyle w:val="a7"/>
          <w:rFonts w:cs="Arial"/>
          <w:rtl/>
        </w:rPr>
        <w:footnoteReference w:id="2367"/>
      </w:r>
      <w:r w:rsidRPr="00EF1888">
        <w:rPr>
          <w:rFonts w:cs="Arial"/>
          <w:rtl/>
        </w:rPr>
        <w:t>? אמר לך אביי: לאו מי איתמר עלה, אמר רבה בר בר חנה אמר ר"ל: בפת חמה וחבית פתוחה</w:t>
      </w:r>
      <w:r>
        <w:rPr>
          <w:rFonts w:cs="Arial" w:hint="cs"/>
          <w:rtl/>
        </w:rPr>
        <w:t xml:space="preserve"> - </w:t>
      </w:r>
      <w:r w:rsidRPr="00EF1888">
        <w:rPr>
          <w:rFonts w:cs="Arial" w:hint="cs"/>
          <w:sz w:val="14"/>
          <w:szCs w:val="14"/>
          <w:rtl/>
        </w:rPr>
        <w:t>(סז.)</w:t>
      </w:r>
      <w:r w:rsidRPr="00EF1888">
        <w:rPr>
          <w:rFonts w:cs="Arial"/>
          <w:rtl/>
        </w:rPr>
        <w:t xml:space="preserve"> דברי הכל אסורה</w:t>
      </w:r>
      <w:r>
        <w:rPr>
          <w:rStyle w:val="a7"/>
          <w:rFonts w:cs="Arial"/>
          <w:rtl/>
        </w:rPr>
        <w:footnoteReference w:id="2368"/>
      </w:r>
      <w:r w:rsidRPr="00EF1888">
        <w:rPr>
          <w:rFonts w:cs="Arial"/>
          <w:rtl/>
        </w:rPr>
        <w:t>, בפת צוננת וחבית מגופה - דברי הכל מותרת, לא נחלקו אלא בפת חמה וחבית מגופה, בפת צוננת וחבית פתוחה, והא דידי</w:t>
      </w:r>
      <w:r>
        <w:rPr>
          <w:rStyle w:val="a7"/>
          <w:rFonts w:cs="Arial"/>
          <w:rtl/>
        </w:rPr>
        <w:footnoteReference w:id="2369"/>
      </w:r>
      <w:r w:rsidRPr="00EF1888">
        <w:rPr>
          <w:rFonts w:cs="Arial"/>
          <w:rtl/>
        </w:rPr>
        <w:t xml:space="preserve"> נמי כפת חמה וחבית פתוחה דמי.</w:t>
      </w:r>
      <w:r>
        <w:rPr>
          <w:rFonts w:cs="Arial" w:hint="cs"/>
          <w:rtl/>
        </w:rPr>
        <w:t xml:space="preserve"> </w:t>
      </w:r>
      <w:r w:rsidRPr="00EF1888">
        <w:rPr>
          <w:rFonts w:cs="Arial" w:hint="cs"/>
          <w:sz w:val="16"/>
          <w:szCs w:val="16"/>
          <w:rtl/>
        </w:rPr>
        <w:t>(</w:t>
      </w:r>
      <w:r w:rsidRPr="00EF1888">
        <w:rPr>
          <w:rFonts w:cs="Arial"/>
          <w:sz w:val="16"/>
          <w:szCs w:val="16"/>
          <w:rtl/>
        </w:rPr>
        <w:t>וכיון דקי"ל כרבי יוסי לגבי רבי מאיר ורבי יהודה בכולהו גווני שרי בר מפת חמה וחבית פתוחה</w:t>
      </w:r>
      <w:r>
        <w:rPr>
          <w:rFonts w:cs="Arial" w:hint="cs"/>
          <w:sz w:val="16"/>
          <w:szCs w:val="16"/>
          <w:rtl/>
        </w:rPr>
        <w:t>,</w:t>
      </w:r>
      <w:r w:rsidRPr="00EF1888">
        <w:rPr>
          <w:rFonts w:cs="Arial"/>
          <w:sz w:val="16"/>
          <w:szCs w:val="16"/>
          <w:rtl/>
        </w:rPr>
        <w:t xml:space="preserve"> ומיהו ה"מ בפת חטים אבל בפת שעורים אסור כדקאמר רבי יוסי</w:t>
      </w:r>
      <w:r>
        <w:rPr>
          <w:rFonts w:cs="Arial" w:hint="cs"/>
          <w:sz w:val="16"/>
          <w:szCs w:val="16"/>
          <w:rtl/>
        </w:rPr>
        <w:t>, ב"י)</w:t>
      </w:r>
    </w:p>
    <w:p w14:paraId="29AE2DA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A1B3186" w14:textId="77777777" w:rsidR="002C39F4" w:rsidRDefault="002C39F4" w:rsidP="002C39F4">
      <w:pPr>
        <w:rPr>
          <w:rFonts w:asciiTheme="minorBidi" w:hAnsiTheme="minorBidi"/>
          <w:rtl/>
        </w:rPr>
      </w:pPr>
      <w:r w:rsidRPr="003024E5">
        <w:rPr>
          <w:rFonts w:asciiTheme="minorBidi" w:hAnsiTheme="minorBidi"/>
          <w:rtl/>
        </w:rPr>
        <w:t>פת חמה שמונח</w:t>
      </w:r>
      <w:r>
        <w:rPr>
          <w:rFonts w:asciiTheme="minorBidi" w:hAnsiTheme="minorBidi" w:hint="cs"/>
          <w:rtl/>
        </w:rPr>
        <w:t>ת</w:t>
      </w:r>
      <w:r w:rsidRPr="003024E5">
        <w:rPr>
          <w:rFonts w:asciiTheme="minorBidi" w:hAnsiTheme="minorBidi"/>
          <w:rtl/>
        </w:rPr>
        <w:t xml:space="preserve"> על גבי חבית פתוחה של יין נסך</w:t>
      </w:r>
      <w:r>
        <w:rPr>
          <w:rStyle w:val="a7"/>
          <w:rFonts w:asciiTheme="minorBidi" w:hAnsiTheme="minorBidi"/>
          <w:rtl/>
        </w:rPr>
        <w:footnoteReference w:id="2370"/>
      </w:r>
      <w:r w:rsidRPr="003024E5">
        <w:rPr>
          <w:rFonts w:asciiTheme="minorBidi" w:hAnsiTheme="minorBidi"/>
          <w:rtl/>
        </w:rPr>
        <w:t xml:space="preserve"> אסורה</w:t>
      </w:r>
      <w:r>
        <w:rPr>
          <w:rStyle w:val="a7"/>
          <w:rFonts w:asciiTheme="minorBidi" w:hAnsiTheme="minorBidi"/>
          <w:rtl/>
        </w:rPr>
        <w:footnoteReference w:id="2371"/>
      </w:r>
      <w:r>
        <w:rPr>
          <w:rFonts w:asciiTheme="minorBidi" w:hAnsiTheme="minorBidi" w:hint="cs"/>
          <w:rtl/>
        </w:rPr>
        <w:t>,</w:t>
      </w:r>
      <w:r w:rsidRPr="003024E5">
        <w:rPr>
          <w:rFonts w:asciiTheme="minorBidi" w:hAnsiTheme="minorBidi"/>
          <w:rtl/>
        </w:rPr>
        <w:t xml:space="preserve"> </w:t>
      </w:r>
      <w:r w:rsidRPr="005C0739">
        <w:rPr>
          <w:rFonts w:asciiTheme="minorBidi" w:hAnsiTheme="minorBidi" w:hint="cs"/>
          <w:sz w:val="18"/>
          <w:szCs w:val="18"/>
          <w:rtl/>
        </w:rPr>
        <w:t xml:space="preserve">[הגה] </w:t>
      </w:r>
      <w:r w:rsidRPr="005C0739">
        <w:rPr>
          <w:rFonts w:asciiTheme="minorBidi" w:hAnsiTheme="minorBidi"/>
          <w:sz w:val="18"/>
          <w:szCs w:val="18"/>
          <w:rtl/>
        </w:rPr>
        <w:t>ודווקא אם מונחת נגד המגופה (ארוך)</w:t>
      </w:r>
      <w:r>
        <w:rPr>
          <w:rFonts w:asciiTheme="minorBidi" w:hAnsiTheme="minorBidi" w:hint="cs"/>
          <w:sz w:val="18"/>
          <w:szCs w:val="18"/>
          <w:rtl/>
        </w:rPr>
        <w:t>,</w:t>
      </w:r>
      <w:r w:rsidRPr="005C0739">
        <w:rPr>
          <w:rFonts w:asciiTheme="minorBidi" w:hAnsiTheme="minorBidi"/>
          <w:sz w:val="18"/>
          <w:szCs w:val="18"/>
          <w:rtl/>
        </w:rPr>
        <w:t xml:space="preserve"> </w:t>
      </w:r>
      <w:r w:rsidRPr="003024E5">
        <w:rPr>
          <w:rFonts w:asciiTheme="minorBidi" w:hAnsiTheme="minorBidi"/>
          <w:rtl/>
        </w:rPr>
        <w:t xml:space="preserve">אבל אם הפת צוננת אפילו אם החבית פתוחה או פת חמה וחבית מגופה </w:t>
      </w:r>
      <w:r w:rsidRPr="005C0739">
        <w:rPr>
          <w:rFonts w:asciiTheme="minorBidi" w:hAnsiTheme="minorBidi"/>
          <w:sz w:val="14"/>
          <w:szCs w:val="14"/>
          <w:rtl/>
        </w:rPr>
        <w:t>(פי' סתומה)</w:t>
      </w:r>
      <w:r w:rsidRPr="003024E5">
        <w:rPr>
          <w:rFonts w:asciiTheme="minorBidi" w:hAnsiTheme="minorBidi"/>
          <w:rtl/>
        </w:rPr>
        <w:t xml:space="preserve"> מותר</w:t>
      </w:r>
      <w:r>
        <w:rPr>
          <w:rFonts w:asciiTheme="minorBidi" w:hAnsiTheme="minorBidi" w:hint="cs"/>
          <w:rtl/>
        </w:rPr>
        <w:t>,</w:t>
      </w:r>
      <w:r w:rsidRPr="003024E5">
        <w:rPr>
          <w:rFonts w:asciiTheme="minorBidi" w:hAnsiTheme="minorBidi"/>
          <w:rtl/>
        </w:rPr>
        <w:t xml:space="preserve"> ואם היה פת שעורים אסור אם הפת חמה</w:t>
      </w:r>
      <w:r>
        <w:rPr>
          <w:rStyle w:val="a7"/>
          <w:rFonts w:asciiTheme="minorBidi" w:hAnsiTheme="minorBidi"/>
          <w:rtl/>
        </w:rPr>
        <w:footnoteReference w:id="2372"/>
      </w:r>
      <w:r w:rsidRPr="003024E5">
        <w:rPr>
          <w:rFonts w:asciiTheme="minorBidi" w:hAnsiTheme="minorBidi"/>
          <w:rtl/>
        </w:rPr>
        <w:t xml:space="preserve"> אפילו חבית מגופה. </w:t>
      </w:r>
    </w:p>
    <w:p w14:paraId="2047A155" w14:textId="77777777" w:rsidR="002C39F4" w:rsidRPr="003024E5" w:rsidRDefault="002C39F4" w:rsidP="002C39F4">
      <w:pPr>
        <w:rPr>
          <w:rFonts w:asciiTheme="minorBidi" w:hAnsiTheme="minorBidi"/>
          <w:rtl/>
        </w:rPr>
      </w:pPr>
    </w:p>
    <w:p w14:paraId="77050C2F"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שאיפת ריח יין נסך.</w:t>
      </w:r>
    </w:p>
    <w:p w14:paraId="17B16884" w14:textId="77777777" w:rsidR="002C39F4" w:rsidRDefault="002C39F4" w:rsidP="002C39F4">
      <w:pPr>
        <w:rPr>
          <w:rtl/>
        </w:rPr>
      </w:pPr>
      <w:r>
        <w:rPr>
          <w:rFonts w:cs="Arial" w:hint="cs"/>
          <w:b/>
          <w:bCs/>
          <w:rtl/>
        </w:rPr>
        <w:t xml:space="preserve">עבודה זרה סו ע"ב: </w:t>
      </w:r>
      <w:r w:rsidRPr="00EF1888">
        <w:rPr>
          <w:rFonts w:cs="Arial"/>
          <w:rtl/>
        </w:rPr>
        <w:t>האי בת תיהא</w:t>
      </w:r>
      <w:r>
        <w:rPr>
          <w:rStyle w:val="a7"/>
          <w:rFonts w:cs="Arial"/>
          <w:rtl/>
        </w:rPr>
        <w:footnoteReference w:id="2373"/>
      </w:r>
      <w:r w:rsidRPr="00EF1888">
        <w:rPr>
          <w:rFonts w:cs="Arial"/>
          <w:rtl/>
        </w:rPr>
        <w:t>, עובד כוכבים בדישראל</w:t>
      </w:r>
      <w:r>
        <w:rPr>
          <w:rFonts w:cs="Arial" w:hint="cs"/>
          <w:rtl/>
        </w:rPr>
        <w:t xml:space="preserve"> </w:t>
      </w:r>
      <w:r w:rsidRPr="00EF1888">
        <w:rPr>
          <w:rFonts w:cs="Arial"/>
          <w:rtl/>
        </w:rPr>
        <w:t>- ש"ד</w:t>
      </w:r>
      <w:r>
        <w:rPr>
          <w:rFonts w:cs="Arial" w:hint="cs"/>
          <w:rtl/>
        </w:rPr>
        <w:t>,</w:t>
      </w:r>
      <w:r w:rsidRPr="00EF1888">
        <w:rPr>
          <w:rFonts w:cs="Arial"/>
          <w:rtl/>
        </w:rPr>
        <w:t xml:space="preserve"> ישראל בדעובד כוכבים - </w:t>
      </w:r>
      <w:r w:rsidRPr="00EF1888">
        <w:rPr>
          <w:rFonts w:cs="Arial"/>
          <w:u w:val="single"/>
          <w:rtl/>
        </w:rPr>
        <w:t>אביי אמר</w:t>
      </w:r>
      <w:r w:rsidRPr="00EF1888">
        <w:rPr>
          <w:rFonts w:cs="Arial"/>
          <w:rtl/>
        </w:rPr>
        <w:t xml:space="preserve">: אסור, </w:t>
      </w:r>
      <w:r w:rsidRPr="00EF1888">
        <w:rPr>
          <w:rFonts w:cs="Arial"/>
          <w:u w:val="single"/>
          <w:rtl/>
        </w:rPr>
        <w:t>רבא</w:t>
      </w:r>
      <w:r w:rsidRPr="00EF1888">
        <w:rPr>
          <w:rFonts w:cs="Arial"/>
          <w:rtl/>
        </w:rPr>
        <w:t xml:space="preserve"> </w:t>
      </w:r>
      <w:r w:rsidRPr="00EF1888">
        <w:rPr>
          <w:rFonts w:cs="Arial"/>
          <w:u w:val="single"/>
          <w:rtl/>
        </w:rPr>
        <w:t>אמר</w:t>
      </w:r>
      <w:r w:rsidRPr="00EF1888">
        <w:rPr>
          <w:rFonts w:cs="Arial"/>
          <w:rtl/>
        </w:rPr>
        <w:t>: מותר. אביי אמר אסור, ריחא מילתא היא; רבא אמר מותר, ריחא לאו מילתא היא.</w:t>
      </w:r>
      <w:r>
        <w:rPr>
          <w:rFonts w:cs="Arial" w:hint="cs"/>
          <w:rtl/>
        </w:rPr>
        <w:t>.</w:t>
      </w:r>
      <w:r w:rsidRPr="00EF1888">
        <w:rPr>
          <w:rFonts w:cs="Arial"/>
          <w:rtl/>
        </w:rPr>
        <w:t>.</w:t>
      </w:r>
      <w:r w:rsidRPr="00111B39">
        <w:rPr>
          <w:rFonts w:cs="Arial" w:hint="cs"/>
          <w:sz w:val="16"/>
          <w:szCs w:val="16"/>
          <w:rtl/>
        </w:rPr>
        <w:t xml:space="preserve"> (</w:t>
      </w:r>
      <w:r w:rsidRPr="00111B39">
        <w:rPr>
          <w:rFonts w:cs="Arial"/>
          <w:sz w:val="16"/>
          <w:szCs w:val="16"/>
          <w:rtl/>
        </w:rPr>
        <w:t>והלכה כרבא דשרי וכן פסקו כל הפוסקים</w:t>
      </w:r>
      <w:r w:rsidRPr="00111B39">
        <w:rPr>
          <w:rFonts w:cs="Arial" w:hint="cs"/>
          <w:sz w:val="16"/>
          <w:szCs w:val="16"/>
          <w:rtl/>
        </w:rPr>
        <w:t>, ב"י</w:t>
      </w:r>
      <w:r w:rsidRPr="00F03958">
        <w:rPr>
          <w:rFonts w:cs="Arial" w:hint="cs"/>
          <w:sz w:val="16"/>
          <w:szCs w:val="16"/>
          <w:rtl/>
        </w:rPr>
        <w:t>. וכ' הטור ד</w:t>
      </w:r>
      <w:r w:rsidRPr="00F03958">
        <w:rPr>
          <w:rFonts w:cs="Arial"/>
          <w:sz w:val="16"/>
          <w:szCs w:val="16"/>
          <w:rtl/>
        </w:rPr>
        <w:t xml:space="preserve">נקב </w:t>
      </w:r>
      <w:r w:rsidRPr="00F03958">
        <w:rPr>
          <w:rFonts w:cs="Arial" w:hint="cs"/>
          <w:sz w:val="16"/>
          <w:szCs w:val="16"/>
          <w:rtl/>
        </w:rPr>
        <w:t xml:space="preserve">זה היו </w:t>
      </w:r>
      <w:r w:rsidRPr="00F03958">
        <w:rPr>
          <w:rFonts w:cs="Arial"/>
          <w:sz w:val="16"/>
          <w:szCs w:val="16"/>
          <w:rtl/>
        </w:rPr>
        <w:t>עושין בחבית להריח משם ביין אם הוא טוב</w:t>
      </w:r>
      <w:r w:rsidRPr="00F03958">
        <w:rPr>
          <w:rFonts w:cs="Arial" w:hint="cs"/>
          <w:sz w:val="16"/>
          <w:szCs w:val="16"/>
          <w:rtl/>
        </w:rPr>
        <w:t>.</w:t>
      </w:r>
      <w:r w:rsidRPr="00F03958">
        <w:rPr>
          <w:rFonts w:cs="Arial"/>
          <w:sz w:val="16"/>
          <w:szCs w:val="16"/>
          <w:rtl/>
        </w:rPr>
        <w:t xml:space="preserve"> </w:t>
      </w:r>
      <w:r w:rsidRPr="00F03958">
        <w:rPr>
          <w:rFonts w:cs="Arial" w:hint="cs"/>
          <w:sz w:val="16"/>
          <w:szCs w:val="16"/>
          <w:rtl/>
        </w:rPr>
        <w:t>וכ' הב"י דכן פירשו רש"י ו</w:t>
      </w:r>
      <w:r w:rsidRPr="00F03958">
        <w:rPr>
          <w:rFonts w:cs="Arial"/>
          <w:sz w:val="16"/>
          <w:szCs w:val="16"/>
          <w:rtl/>
        </w:rPr>
        <w:t xml:space="preserve">הערוך (ערך תה) שמהנקב שואפים ריח היין </w:t>
      </w:r>
      <w:r w:rsidRPr="00F03958">
        <w:rPr>
          <w:rFonts w:cs="Arial"/>
          <w:sz w:val="16"/>
          <w:szCs w:val="16"/>
          <w:u w:val="single"/>
          <w:rtl/>
        </w:rPr>
        <w:t>בפיהם</w:t>
      </w:r>
      <w:r w:rsidRPr="00F03958">
        <w:rPr>
          <w:rFonts w:cs="Arial"/>
          <w:sz w:val="16"/>
          <w:szCs w:val="16"/>
          <w:rtl/>
        </w:rPr>
        <w:t xml:space="preserve"> ויודעים אם הוא טוב</w:t>
      </w:r>
      <w:r w:rsidRPr="00F03958">
        <w:rPr>
          <w:rFonts w:cs="Arial" w:hint="cs"/>
          <w:sz w:val="16"/>
          <w:szCs w:val="16"/>
          <w:rtl/>
        </w:rPr>
        <w:t>,</w:t>
      </w:r>
      <w:r w:rsidRPr="00F03958">
        <w:rPr>
          <w:rFonts w:cs="Arial"/>
          <w:sz w:val="16"/>
          <w:szCs w:val="16"/>
          <w:rtl/>
        </w:rPr>
        <w:t xml:space="preserve"> וכ</w:t>
      </w:r>
      <w:r w:rsidRPr="00F03958">
        <w:rPr>
          <w:rFonts w:cs="Arial" w:hint="cs"/>
          <w:sz w:val="16"/>
          <w:szCs w:val="16"/>
          <w:rtl/>
        </w:rPr>
        <w:t>'</w:t>
      </w:r>
      <w:r w:rsidRPr="00F03958">
        <w:rPr>
          <w:rFonts w:cs="Arial"/>
          <w:sz w:val="16"/>
          <w:szCs w:val="16"/>
          <w:rtl/>
        </w:rPr>
        <w:t xml:space="preserve"> הרשב"א בתשובה (ח"ג סי</w:t>
      </w:r>
      <w:r w:rsidRPr="00F03958">
        <w:rPr>
          <w:rFonts w:cs="Arial" w:hint="cs"/>
          <w:sz w:val="16"/>
          <w:szCs w:val="16"/>
          <w:rtl/>
        </w:rPr>
        <w:t>'</w:t>
      </w:r>
      <w:r w:rsidRPr="00F03958">
        <w:rPr>
          <w:rFonts w:cs="Arial"/>
          <w:sz w:val="16"/>
          <w:szCs w:val="16"/>
          <w:rtl/>
        </w:rPr>
        <w:t xml:space="preserve"> רלד) שכך הם היו מפרשים ושכן פירש הרמב"ן ז"ל</w:t>
      </w:r>
      <w:r w:rsidRPr="00F03958">
        <w:rPr>
          <w:rFonts w:cs="Arial" w:hint="cs"/>
          <w:sz w:val="16"/>
          <w:szCs w:val="16"/>
          <w:rtl/>
        </w:rPr>
        <w:t>)</w:t>
      </w:r>
      <w:r w:rsidRPr="00F03958">
        <w:rPr>
          <w:rtl/>
        </w:rPr>
        <w:t xml:space="preserve"> </w:t>
      </w:r>
    </w:p>
    <w:p w14:paraId="0C034E5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5E251C0" w14:textId="77777777" w:rsidR="002C39F4" w:rsidRDefault="002C39F4" w:rsidP="002C39F4">
      <w:pPr>
        <w:rPr>
          <w:rFonts w:asciiTheme="minorBidi" w:hAnsiTheme="minorBidi"/>
          <w:rtl/>
        </w:rPr>
      </w:pPr>
      <w:r w:rsidRPr="003024E5">
        <w:rPr>
          <w:rFonts w:asciiTheme="minorBidi" w:hAnsiTheme="minorBidi"/>
          <w:rtl/>
        </w:rPr>
        <w:t xml:space="preserve">מותר לשאוף בפיו ריח יין נסך דרך נקב שבחבית, לידע אם הוא טוב. </w:t>
      </w:r>
      <w:r w:rsidRPr="005C0739">
        <w:rPr>
          <w:rFonts w:asciiTheme="minorBidi" w:hAnsiTheme="minorBidi"/>
          <w:sz w:val="18"/>
          <w:szCs w:val="18"/>
          <w:rtl/>
        </w:rPr>
        <w:t>הגה: אבל אסור לטועמו אף על פי שאינו בולעו</w:t>
      </w:r>
      <w:r>
        <w:rPr>
          <w:rStyle w:val="a7"/>
          <w:rFonts w:asciiTheme="minorBidi" w:hAnsiTheme="minorBidi"/>
          <w:sz w:val="18"/>
          <w:szCs w:val="18"/>
          <w:rtl/>
        </w:rPr>
        <w:footnoteReference w:id="2374"/>
      </w:r>
      <w:r w:rsidRPr="005C0739">
        <w:rPr>
          <w:rFonts w:asciiTheme="minorBidi" w:hAnsiTheme="minorBidi"/>
          <w:sz w:val="18"/>
          <w:szCs w:val="18"/>
          <w:rtl/>
        </w:rPr>
        <w:t xml:space="preserve"> </w:t>
      </w:r>
      <w:r w:rsidRPr="00F03958">
        <w:rPr>
          <w:rFonts w:asciiTheme="minorBidi" w:hAnsiTheme="minorBidi"/>
          <w:sz w:val="16"/>
          <w:szCs w:val="16"/>
          <w:rtl/>
        </w:rPr>
        <w:t>(ריב"ש סי</w:t>
      </w:r>
      <w:r w:rsidRPr="00F03958">
        <w:rPr>
          <w:rFonts w:asciiTheme="minorBidi" w:hAnsiTheme="minorBidi" w:hint="cs"/>
          <w:sz w:val="16"/>
          <w:szCs w:val="16"/>
          <w:rtl/>
        </w:rPr>
        <w:t>'</w:t>
      </w:r>
      <w:r w:rsidRPr="00F03958">
        <w:rPr>
          <w:rFonts w:asciiTheme="minorBidi" w:hAnsiTheme="minorBidi"/>
          <w:sz w:val="16"/>
          <w:szCs w:val="16"/>
          <w:rtl/>
        </w:rPr>
        <w:t xml:space="preserve"> רפח)</w:t>
      </w:r>
      <w:r w:rsidRPr="005C0739">
        <w:rPr>
          <w:rFonts w:asciiTheme="minorBidi" w:hAnsiTheme="minorBidi"/>
          <w:sz w:val="18"/>
          <w:szCs w:val="18"/>
          <w:rtl/>
        </w:rPr>
        <w:t>. ואסור לזלף יין נסך</w:t>
      </w:r>
      <w:r>
        <w:rPr>
          <w:rFonts w:asciiTheme="minorBidi" w:hAnsiTheme="minorBidi" w:hint="cs"/>
          <w:sz w:val="18"/>
          <w:szCs w:val="18"/>
          <w:rtl/>
        </w:rPr>
        <w:t>,</w:t>
      </w:r>
      <w:r w:rsidRPr="005C0739">
        <w:rPr>
          <w:rFonts w:asciiTheme="minorBidi" w:hAnsiTheme="minorBidi"/>
          <w:sz w:val="18"/>
          <w:szCs w:val="18"/>
          <w:rtl/>
        </w:rPr>
        <w:t xml:space="preserve"> שאסור בהנאה </w:t>
      </w:r>
      <w:r w:rsidRPr="00F03958">
        <w:rPr>
          <w:rFonts w:asciiTheme="minorBidi" w:hAnsiTheme="minorBidi"/>
          <w:sz w:val="16"/>
          <w:szCs w:val="16"/>
          <w:rtl/>
        </w:rPr>
        <w:t xml:space="preserve">(בשערים בשם </w:t>
      </w:r>
      <w:r>
        <w:rPr>
          <w:rFonts w:asciiTheme="minorBidi" w:hAnsiTheme="minorBidi"/>
          <w:sz w:val="16"/>
          <w:szCs w:val="16"/>
          <w:rtl/>
        </w:rPr>
        <w:t>הג"א</w:t>
      </w:r>
      <w:r w:rsidRPr="00F03958">
        <w:rPr>
          <w:rFonts w:asciiTheme="minorBidi" w:hAnsiTheme="minorBidi"/>
          <w:sz w:val="16"/>
          <w:szCs w:val="16"/>
          <w:rtl/>
        </w:rPr>
        <w:t xml:space="preserve"> ע"ז</w:t>
      </w:r>
      <w:r w:rsidRPr="00F03958">
        <w:rPr>
          <w:rFonts w:asciiTheme="minorBidi" w:hAnsiTheme="minorBidi" w:hint="cs"/>
          <w:sz w:val="16"/>
          <w:szCs w:val="16"/>
          <w:rtl/>
        </w:rPr>
        <w:t xml:space="preserve"> פ"ה סי' ח</w:t>
      </w:r>
      <w:r w:rsidRPr="00F03958">
        <w:rPr>
          <w:rFonts w:asciiTheme="minorBidi" w:hAnsiTheme="minorBidi"/>
          <w:sz w:val="16"/>
          <w:szCs w:val="16"/>
          <w:rtl/>
        </w:rPr>
        <w:t>)</w:t>
      </w:r>
      <w:r w:rsidRPr="005C0739">
        <w:rPr>
          <w:rFonts w:asciiTheme="minorBidi" w:hAnsiTheme="minorBidi"/>
          <w:sz w:val="18"/>
          <w:szCs w:val="18"/>
          <w:rtl/>
        </w:rPr>
        <w:t>. אבל מותר לזלף סתם יינם, דמותר בהנאה</w:t>
      </w:r>
      <w:r>
        <w:rPr>
          <w:rStyle w:val="a7"/>
          <w:rFonts w:asciiTheme="minorBidi" w:hAnsiTheme="minorBidi"/>
          <w:sz w:val="18"/>
          <w:szCs w:val="18"/>
          <w:rtl/>
        </w:rPr>
        <w:footnoteReference w:id="2375"/>
      </w:r>
      <w:r w:rsidRPr="005C0739">
        <w:rPr>
          <w:rFonts w:asciiTheme="minorBidi" w:hAnsiTheme="minorBidi"/>
          <w:sz w:val="18"/>
          <w:szCs w:val="18"/>
          <w:rtl/>
        </w:rPr>
        <w:t xml:space="preserve"> </w:t>
      </w:r>
      <w:r w:rsidRPr="00F03958">
        <w:rPr>
          <w:rFonts w:asciiTheme="minorBidi" w:hAnsiTheme="minorBidi"/>
          <w:sz w:val="16"/>
          <w:szCs w:val="16"/>
          <w:rtl/>
        </w:rPr>
        <w:t>(ארוך כלל לט</w:t>
      </w:r>
      <w:r w:rsidRPr="00F03958">
        <w:rPr>
          <w:rFonts w:asciiTheme="minorBidi" w:hAnsiTheme="minorBidi" w:hint="cs"/>
          <w:sz w:val="16"/>
          <w:szCs w:val="16"/>
          <w:rtl/>
        </w:rPr>
        <w:t xml:space="preserve"> דל"א</w:t>
      </w:r>
      <w:r w:rsidRPr="00F03958">
        <w:rPr>
          <w:rFonts w:asciiTheme="minorBidi" w:hAnsiTheme="minorBidi"/>
          <w:sz w:val="16"/>
          <w:szCs w:val="16"/>
          <w:rtl/>
        </w:rPr>
        <w:t>)</w:t>
      </w:r>
      <w:r w:rsidRPr="005C0739">
        <w:rPr>
          <w:rFonts w:asciiTheme="minorBidi" w:hAnsiTheme="minorBidi"/>
          <w:sz w:val="18"/>
          <w:szCs w:val="18"/>
          <w:rtl/>
        </w:rPr>
        <w:t>.</w:t>
      </w:r>
      <w:r w:rsidRPr="003024E5">
        <w:rPr>
          <w:rFonts w:asciiTheme="minorBidi" w:hAnsiTheme="minorBidi"/>
          <w:rtl/>
        </w:rPr>
        <w:t xml:space="preserve"> </w:t>
      </w:r>
    </w:p>
    <w:p w14:paraId="06671848" w14:textId="77777777" w:rsidR="002C39F4" w:rsidRPr="003024E5" w:rsidRDefault="002C39F4" w:rsidP="002C39F4">
      <w:pPr>
        <w:rPr>
          <w:rFonts w:asciiTheme="minorBidi" w:hAnsiTheme="minorBidi"/>
          <w:rtl/>
        </w:rPr>
      </w:pPr>
    </w:p>
    <w:p w14:paraId="3C1B3A6E" w14:textId="77777777" w:rsidR="002C39F4" w:rsidRPr="005C54C8"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בשמים שבתוך קנקני יין נסך.</w:t>
      </w:r>
    </w:p>
    <w:p w14:paraId="7B9D513E" w14:textId="77777777" w:rsidR="002C39F4" w:rsidRPr="00060E68" w:rsidRDefault="002C39F4" w:rsidP="002C39F4">
      <w:pPr>
        <w:rPr>
          <w:rFonts w:cs="Arial"/>
          <w:u w:val="single"/>
          <w:rtl/>
        </w:rPr>
      </w:pPr>
      <w:r w:rsidRPr="00060E68">
        <w:rPr>
          <w:rFonts w:asciiTheme="minorBidi" w:hAnsiTheme="minorBidi" w:hint="cs"/>
          <w:u w:val="single"/>
          <w:rtl/>
        </w:rPr>
        <w:t xml:space="preserve">האם </w:t>
      </w:r>
      <w:r w:rsidRPr="00060E68">
        <w:rPr>
          <w:rFonts w:asciiTheme="minorBidi" w:hAnsiTheme="minorBidi"/>
          <w:u w:val="single"/>
          <w:rtl/>
        </w:rPr>
        <w:t xml:space="preserve">מותר להריח </w:t>
      </w:r>
      <w:r w:rsidRPr="00060E68">
        <w:rPr>
          <w:rFonts w:asciiTheme="minorBidi" w:hAnsiTheme="minorBidi" w:hint="cs"/>
          <w:u w:val="single"/>
          <w:rtl/>
        </w:rPr>
        <w:t xml:space="preserve">בבשמים </w:t>
      </w:r>
      <w:r w:rsidRPr="00060E68">
        <w:rPr>
          <w:rFonts w:asciiTheme="minorBidi" w:hAnsiTheme="minorBidi"/>
          <w:u w:val="single"/>
          <w:rtl/>
        </w:rPr>
        <w:t>שמשימין בקנקני יין נסך</w:t>
      </w:r>
      <w:r w:rsidRPr="00060E68">
        <w:rPr>
          <w:rFonts w:cs="Arial" w:hint="cs"/>
          <w:u w:val="single"/>
          <w:rtl/>
        </w:rPr>
        <w:t>:</w:t>
      </w:r>
    </w:p>
    <w:p w14:paraId="5D42BC12" w14:textId="77777777" w:rsidR="002C39F4" w:rsidRPr="006F67AA" w:rsidRDefault="002C39F4" w:rsidP="0032102C">
      <w:pPr>
        <w:pStyle w:val="a8"/>
        <w:numPr>
          <w:ilvl w:val="0"/>
          <w:numId w:val="141"/>
        </w:numPr>
        <w:rPr>
          <w:rtl/>
        </w:rPr>
      </w:pPr>
      <w:r w:rsidRPr="00060E68">
        <w:rPr>
          <w:rFonts w:cs="Arial"/>
          <w:rtl/>
        </w:rPr>
        <w:t xml:space="preserve">רשב"א </w:t>
      </w:r>
      <w:r w:rsidRPr="00F03958">
        <w:rPr>
          <w:rFonts w:cs="Arial"/>
          <w:sz w:val="16"/>
          <w:szCs w:val="16"/>
          <w:rtl/>
        </w:rPr>
        <w:t>(ח"ג סי</w:t>
      </w:r>
      <w:r w:rsidRPr="00F03958">
        <w:rPr>
          <w:rFonts w:cs="Arial" w:hint="cs"/>
          <w:sz w:val="16"/>
          <w:szCs w:val="16"/>
          <w:rtl/>
        </w:rPr>
        <w:t>'</w:t>
      </w:r>
      <w:r w:rsidRPr="00F03958">
        <w:rPr>
          <w:rFonts w:cs="Arial"/>
          <w:sz w:val="16"/>
          <w:szCs w:val="16"/>
          <w:rtl/>
        </w:rPr>
        <w:t xml:space="preserve"> רלד)</w:t>
      </w:r>
      <w:r>
        <w:rPr>
          <w:rFonts w:cs="Arial" w:hint="cs"/>
          <w:rtl/>
        </w:rPr>
        <w:t>-</w:t>
      </w:r>
      <w:r w:rsidRPr="00060E68">
        <w:rPr>
          <w:rFonts w:cs="Arial"/>
          <w:rtl/>
        </w:rPr>
        <w:t xml:space="preserve"> שאלת</w:t>
      </w:r>
      <w:r>
        <w:rPr>
          <w:rFonts w:cs="Arial" w:hint="cs"/>
          <w:rtl/>
        </w:rPr>
        <w:t>,</w:t>
      </w:r>
      <w:r w:rsidRPr="00060E68">
        <w:rPr>
          <w:rFonts w:cs="Arial"/>
          <w:rtl/>
        </w:rPr>
        <w:t xml:space="preserve"> גוים הללו שמשימין פלפלין וזנגביל בתוך קנקני היין לתת טעם ביין אותם בשמים מהו להריח בהם כבת תיהא דישראל מותר ביינו של גוי. תשובה. מסתברא שמותר להריח בהם אפילו לכתחלה לפי שאין היין נותן בהם כח ואין עושין כן ליתן היין טעם בתבלין אלא אדרבא ליתן התבלין טעם ביין וגם זה שמריח בהם אינו מכוין לריח היין אלא לריח התבלין ומ"מ מסתברא דלבשמים דהבדלה אסור משום </w:t>
      </w:r>
      <w:r w:rsidRPr="00060E68">
        <w:rPr>
          <w:rFonts w:cs="Arial"/>
          <w:sz w:val="16"/>
          <w:szCs w:val="16"/>
          <w:rtl/>
        </w:rPr>
        <w:t xml:space="preserve">(מלאכי א, ח) </w:t>
      </w:r>
      <w:r w:rsidRPr="00060E68">
        <w:rPr>
          <w:rFonts w:cs="Arial"/>
          <w:rtl/>
        </w:rPr>
        <w:t>הקריבהו נא לפחתך</w:t>
      </w:r>
      <w:r w:rsidRPr="00060E68">
        <w:rPr>
          <w:rFonts w:cs="Arial" w:hint="cs"/>
          <w:rtl/>
        </w:rPr>
        <w:t>.</w:t>
      </w:r>
    </w:p>
    <w:p w14:paraId="6435E4D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297FD72" w14:textId="77777777" w:rsidR="002C39F4" w:rsidRDefault="002C39F4" w:rsidP="002C39F4">
      <w:pPr>
        <w:rPr>
          <w:rFonts w:asciiTheme="minorBidi" w:hAnsiTheme="minorBidi"/>
          <w:rtl/>
        </w:rPr>
      </w:pPr>
      <w:r w:rsidRPr="003024E5">
        <w:rPr>
          <w:rFonts w:asciiTheme="minorBidi" w:hAnsiTheme="minorBidi"/>
          <w:rtl/>
        </w:rPr>
        <w:t>שק של פלפלין וזנגביל שמשימין בקנקני יין נסך מותר להריח בהם</w:t>
      </w:r>
      <w:r>
        <w:rPr>
          <w:rFonts w:asciiTheme="minorBidi" w:hAnsiTheme="minorBidi" w:hint="cs"/>
          <w:rtl/>
        </w:rPr>
        <w:t>,</w:t>
      </w:r>
      <w:r w:rsidRPr="003024E5">
        <w:rPr>
          <w:rFonts w:asciiTheme="minorBidi" w:hAnsiTheme="minorBidi"/>
          <w:rtl/>
        </w:rPr>
        <w:t xml:space="preserve"> אבל לבשמים דהבדלה אסור</w:t>
      </w:r>
      <w:r>
        <w:rPr>
          <w:rStyle w:val="a7"/>
          <w:rFonts w:asciiTheme="minorBidi" w:hAnsiTheme="minorBidi"/>
          <w:rtl/>
        </w:rPr>
        <w:footnoteReference w:id="2376"/>
      </w:r>
      <w:r w:rsidRPr="003024E5">
        <w:rPr>
          <w:rFonts w:asciiTheme="minorBidi" w:hAnsiTheme="minorBidi"/>
          <w:rtl/>
        </w:rPr>
        <w:t xml:space="preserve">. </w:t>
      </w:r>
    </w:p>
    <w:p w14:paraId="1BE2B7E3" w14:textId="77777777" w:rsidR="002C39F4" w:rsidRPr="003024E5" w:rsidRDefault="002C39F4" w:rsidP="002C39F4">
      <w:pPr>
        <w:rPr>
          <w:rFonts w:asciiTheme="minorBidi" w:hAnsiTheme="minorBidi"/>
          <w:rtl/>
        </w:rPr>
      </w:pPr>
    </w:p>
    <w:p w14:paraId="63B53F28" w14:textId="77777777" w:rsidR="002C39F4" w:rsidRPr="00881CD6"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בשמים של גוים/איסור.</w:t>
      </w:r>
    </w:p>
    <w:p w14:paraId="3B44BB25" w14:textId="77777777" w:rsidR="002C39F4" w:rsidRDefault="002C39F4" w:rsidP="002C39F4">
      <w:pPr>
        <w:rPr>
          <w:rFonts w:asciiTheme="minorBidi" w:hAnsiTheme="minorBidi" w:cs="Arial"/>
          <w:rtl/>
        </w:rPr>
      </w:pPr>
      <w:r>
        <w:rPr>
          <w:rFonts w:asciiTheme="minorBidi" w:hAnsiTheme="minorBidi" w:cs="Arial" w:hint="cs"/>
          <w:b/>
          <w:bCs/>
          <w:rtl/>
        </w:rPr>
        <w:t xml:space="preserve">עבודה זרה יב ע"ב: </w:t>
      </w:r>
      <w:r w:rsidRPr="009670EC">
        <w:rPr>
          <w:rFonts w:asciiTheme="minorBidi" w:hAnsiTheme="minorBidi" w:cs="Arial"/>
          <w:u w:val="double"/>
          <w:rtl/>
        </w:rPr>
        <w:t>מתני'</w:t>
      </w:r>
      <w:r>
        <w:rPr>
          <w:rFonts w:asciiTheme="minorBidi" w:hAnsiTheme="minorBidi" w:cs="Arial" w:hint="cs"/>
          <w:rtl/>
        </w:rPr>
        <w:t>:</w:t>
      </w:r>
      <w:r w:rsidRPr="009670EC">
        <w:rPr>
          <w:rFonts w:asciiTheme="minorBidi" w:hAnsiTheme="minorBidi" w:cs="Arial"/>
          <w:rtl/>
        </w:rPr>
        <w:t xml:space="preserve"> עיר שיש בה עבודת כוכבים</w:t>
      </w:r>
      <w:r>
        <w:rPr>
          <w:rStyle w:val="a7"/>
          <w:rFonts w:asciiTheme="minorBidi" w:hAnsiTheme="minorBidi" w:cs="Arial"/>
          <w:rtl/>
        </w:rPr>
        <w:footnoteReference w:id="2377"/>
      </w:r>
      <w:r w:rsidRPr="009670EC">
        <w:rPr>
          <w:rFonts w:asciiTheme="minorBidi" w:hAnsiTheme="minorBidi" w:cs="Arial"/>
          <w:rtl/>
        </w:rPr>
        <w:t>, והיו בה חנויות מעוטרות</w:t>
      </w:r>
      <w:r>
        <w:rPr>
          <w:rStyle w:val="a7"/>
          <w:rFonts w:asciiTheme="minorBidi" w:hAnsiTheme="minorBidi" w:cs="Arial"/>
          <w:rtl/>
        </w:rPr>
        <w:footnoteReference w:id="2378"/>
      </w:r>
      <w:r w:rsidRPr="009670EC">
        <w:rPr>
          <w:rFonts w:asciiTheme="minorBidi" w:hAnsiTheme="minorBidi" w:cs="Arial"/>
          <w:rtl/>
        </w:rPr>
        <w:t xml:space="preserve"> ושאינן מעוטרות, זה היה מעשה בבית שאן, ואמרו חכמים: המעוטרות אסורות, ושאינן מעוטרות מותרות</w:t>
      </w:r>
      <w:r>
        <w:rPr>
          <w:rStyle w:val="a7"/>
          <w:rFonts w:asciiTheme="minorBidi" w:hAnsiTheme="minorBidi" w:cs="Arial"/>
          <w:rtl/>
        </w:rPr>
        <w:footnoteReference w:id="2379"/>
      </w:r>
      <w:r w:rsidRPr="009670EC">
        <w:rPr>
          <w:rFonts w:asciiTheme="minorBidi" w:hAnsiTheme="minorBidi" w:cs="Arial"/>
          <w:rtl/>
        </w:rPr>
        <w:t xml:space="preserve">. </w:t>
      </w:r>
      <w:r>
        <w:rPr>
          <w:rFonts w:asciiTheme="minorBidi" w:hAnsiTheme="minorBidi" w:cs="Arial" w:hint="cs"/>
          <w:rtl/>
        </w:rPr>
        <w:t xml:space="preserve">    </w:t>
      </w:r>
      <w:r w:rsidRPr="009670EC">
        <w:rPr>
          <w:rFonts w:asciiTheme="minorBidi" w:hAnsiTheme="minorBidi" w:cs="Arial"/>
          <w:u w:val="double"/>
          <w:rtl/>
        </w:rPr>
        <w:t>גמ'</w:t>
      </w:r>
      <w:r>
        <w:rPr>
          <w:rFonts w:asciiTheme="minorBidi" w:hAnsiTheme="minorBidi" w:cs="Arial" w:hint="cs"/>
          <w:rtl/>
        </w:rPr>
        <w:t>:</w:t>
      </w:r>
      <w:r w:rsidRPr="009670EC">
        <w:rPr>
          <w:rFonts w:asciiTheme="minorBidi" w:hAnsiTheme="minorBidi" w:cs="Arial"/>
          <w:rtl/>
        </w:rPr>
        <w:t xml:space="preserve"> </w:t>
      </w:r>
      <w:r w:rsidRPr="009670EC">
        <w:rPr>
          <w:rFonts w:asciiTheme="minorBidi" w:hAnsiTheme="minorBidi" w:cs="Arial"/>
          <w:u w:val="single"/>
          <w:rtl/>
        </w:rPr>
        <w:t>אמר רשב"ל</w:t>
      </w:r>
      <w:r w:rsidRPr="009670EC">
        <w:rPr>
          <w:rFonts w:asciiTheme="minorBidi" w:hAnsiTheme="minorBidi" w:cs="Arial"/>
          <w:rtl/>
        </w:rPr>
        <w:t>: לא שנו אלא מעוטרות בוורד והדס, דקא מתהני מריחא</w:t>
      </w:r>
      <w:r>
        <w:rPr>
          <w:rStyle w:val="a7"/>
          <w:rFonts w:asciiTheme="minorBidi" w:hAnsiTheme="minorBidi" w:cs="Arial"/>
          <w:rtl/>
        </w:rPr>
        <w:footnoteReference w:id="2380"/>
      </w:r>
      <w:r w:rsidRPr="009670EC">
        <w:rPr>
          <w:rFonts w:asciiTheme="minorBidi" w:hAnsiTheme="minorBidi" w:cs="Arial"/>
          <w:rtl/>
        </w:rPr>
        <w:t>, אבל מעוטרות בפירות</w:t>
      </w:r>
      <w:r>
        <w:rPr>
          <w:rStyle w:val="a7"/>
          <w:rFonts w:asciiTheme="minorBidi" w:hAnsiTheme="minorBidi" w:cs="Arial"/>
          <w:rtl/>
        </w:rPr>
        <w:footnoteReference w:id="2381"/>
      </w:r>
      <w:r w:rsidRPr="009670EC">
        <w:rPr>
          <w:rFonts w:asciiTheme="minorBidi" w:hAnsiTheme="minorBidi" w:cs="Arial"/>
          <w:rtl/>
        </w:rPr>
        <w:t xml:space="preserve"> - מותרות; מאי טעמא? דאמר קרא: לא ידבק בידך מאומה מן החרם, נהנה הוא דאסור</w:t>
      </w:r>
      <w:r>
        <w:rPr>
          <w:rStyle w:val="a7"/>
          <w:rFonts w:asciiTheme="minorBidi" w:hAnsiTheme="minorBidi" w:cs="Arial"/>
          <w:rtl/>
        </w:rPr>
        <w:footnoteReference w:id="2382"/>
      </w:r>
      <w:r w:rsidRPr="009670EC">
        <w:rPr>
          <w:rFonts w:asciiTheme="minorBidi" w:hAnsiTheme="minorBidi" w:cs="Arial"/>
          <w:rtl/>
        </w:rPr>
        <w:t>, אבל מהנה שרי</w:t>
      </w:r>
      <w:r>
        <w:rPr>
          <w:rStyle w:val="a7"/>
          <w:rFonts w:asciiTheme="minorBidi" w:hAnsiTheme="minorBidi" w:cs="Arial"/>
          <w:rtl/>
        </w:rPr>
        <w:footnoteReference w:id="2383"/>
      </w:r>
      <w:r w:rsidRPr="009670EC">
        <w:rPr>
          <w:rFonts w:asciiTheme="minorBidi" w:hAnsiTheme="minorBidi" w:cs="Arial"/>
          <w:rtl/>
        </w:rPr>
        <w:t>.</w:t>
      </w:r>
    </w:p>
    <w:p w14:paraId="56CC5D92" w14:textId="77777777" w:rsidR="002C39F4" w:rsidRDefault="002C39F4" w:rsidP="002C39F4">
      <w:pPr>
        <w:rPr>
          <w:rFonts w:asciiTheme="minorBidi" w:hAnsiTheme="minorBidi" w:cs="Arial"/>
          <w:rtl/>
        </w:rPr>
      </w:pPr>
      <w:r>
        <w:rPr>
          <w:rFonts w:asciiTheme="minorBidi" w:hAnsiTheme="minorBidi" w:cs="Arial" w:hint="cs"/>
          <w:b/>
          <w:bCs/>
          <w:rtl/>
        </w:rPr>
        <w:t xml:space="preserve">פסחים כה ע"ב: </w:t>
      </w:r>
      <w:r w:rsidRPr="000F0A81">
        <w:rPr>
          <w:rFonts w:asciiTheme="minorBidi" w:hAnsiTheme="minorBidi" w:cs="Arial"/>
          <w:rtl/>
        </w:rPr>
        <w:t xml:space="preserve">איתמר, הנאה הבאה לו לאדם בעל כרחו. </w:t>
      </w:r>
      <w:r w:rsidRPr="000F0A81">
        <w:rPr>
          <w:rFonts w:asciiTheme="minorBidi" w:hAnsiTheme="minorBidi" w:cs="Arial"/>
          <w:u w:val="single"/>
          <w:rtl/>
        </w:rPr>
        <w:t>אביי אמר</w:t>
      </w:r>
      <w:r w:rsidRPr="000F0A81">
        <w:rPr>
          <w:rFonts w:asciiTheme="minorBidi" w:hAnsiTheme="minorBidi" w:cs="Arial"/>
          <w:rtl/>
        </w:rPr>
        <w:t xml:space="preserve">: מותרת, </w:t>
      </w:r>
      <w:r w:rsidRPr="000F0A81">
        <w:rPr>
          <w:rFonts w:asciiTheme="minorBidi" w:hAnsiTheme="minorBidi" w:cs="Arial"/>
          <w:u w:val="single"/>
          <w:rtl/>
        </w:rPr>
        <w:t>ורבא אמר</w:t>
      </w:r>
      <w:r w:rsidRPr="000F0A81">
        <w:rPr>
          <w:rFonts w:asciiTheme="minorBidi" w:hAnsiTheme="minorBidi" w:cs="Arial"/>
          <w:rtl/>
        </w:rPr>
        <w:t>: אסורה.</w:t>
      </w:r>
      <w:r w:rsidRPr="000F0A81">
        <w:rPr>
          <w:rtl/>
        </w:rPr>
        <w:t xml:space="preserve"> </w:t>
      </w:r>
    </w:p>
    <w:p w14:paraId="792E8FCA" w14:textId="77777777" w:rsidR="002C39F4" w:rsidRPr="00060E68" w:rsidRDefault="002C39F4" w:rsidP="002C39F4">
      <w:pPr>
        <w:rPr>
          <w:rFonts w:cs="Arial"/>
          <w:u w:val="single"/>
          <w:rtl/>
        </w:rPr>
      </w:pPr>
      <w:r w:rsidRPr="00060E68">
        <w:rPr>
          <w:rFonts w:asciiTheme="minorBidi" w:hAnsiTheme="minorBidi" w:hint="cs"/>
          <w:u w:val="single"/>
          <w:rtl/>
        </w:rPr>
        <w:t xml:space="preserve">האם </w:t>
      </w:r>
      <w:r w:rsidRPr="00060E68">
        <w:rPr>
          <w:rFonts w:asciiTheme="minorBidi" w:hAnsiTheme="minorBidi"/>
          <w:u w:val="single"/>
          <w:rtl/>
        </w:rPr>
        <w:t xml:space="preserve">מותר להריח </w:t>
      </w:r>
      <w:r w:rsidRPr="00060E68">
        <w:rPr>
          <w:rFonts w:asciiTheme="minorBidi" w:hAnsiTheme="minorBidi" w:hint="cs"/>
          <w:u w:val="single"/>
          <w:rtl/>
        </w:rPr>
        <w:t xml:space="preserve">בבשמים </w:t>
      </w:r>
      <w:r w:rsidRPr="00060E68">
        <w:rPr>
          <w:rFonts w:cs="Arial"/>
          <w:u w:val="single"/>
          <w:rtl/>
        </w:rPr>
        <w:t>בשמים של ע"ז</w:t>
      </w:r>
      <w:r>
        <w:rPr>
          <w:rFonts w:cs="Arial" w:hint="cs"/>
          <w:u w:val="single"/>
          <w:rtl/>
        </w:rPr>
        <w:t>/</w:t>
      </w:r>
      <w:r w:rsidRPr="00060E68">
        <w:rPr>
          <w:rFonts w:cs="Arial"/>
          <w:u w:val="single"/>
          <w:rtl/>
        </w:rPr>
        <w:t>כלאי הכרם</w:t>
      </w:r>
      <w:r>
        <w:rPr>
          <w:rFonts w:cs="Arial" w:hint="cs"/>
          <w:u w:val="single"/>
          <w:rtl/>
        </w:rPr>
        <w:t>/</w:t>
      </w:r>
      <w:r w:rsidRPr="00060E68">
        <w:rPr>
          <w:rFonts w:cs="Arial"/>
          <w:u w:val="single"/>
          <w:rtl/>
        </w:rPr>
        <w:t>ערלה</w:t>
      </w:r>
      <w:r w:rsidRPr="00060E68">
        <w:rPr>
          <w:rFonts w:cs="Arial" w:hint="cs"/>
          <w:u w:val="single"/>
          <w:rtl/>
        </w:rPr>
        <w:t>:</w:t>
      </w:r>
    </w:p>
    <w:p w14:paraId="0A4F2BDA" w14:textId="77777777" w:rsidR="002C39F4" w:rsidRPr="00BC2E85" w:rsidRDefault="002C39F4" w:rsidP="0032102C">
      <w:pPr>
        <w:pStyle w:val="a8"/>
        <w:numPr>
          <w:ilvl w:val="0"/>
          <w:numId w:val="141"/>
        </w:numPr>
      </w:pPr>
      <w:r w:rsidRPr="00060E68">
        <w:rPr>
          <w:rFonts w:cs="Arial"/>
          <w:rtl/>
        </w:rPr>
        <w:t xml:space="preserve">רשב"א </w:t>
      </w:r>
      <w:r w:rsidRPr="00060E68">
        <w:rPr>
          <w:rFonts w:cs="Arial"/>
          <w:sz w:val="16"/>
          <w:szCs w:val="16"/>
          <w:rtl/>
        </w:rPr>
        <w:t>(ח"ג סי</w:t>
      </w:r>
      <w:r w:rsidRPr="00060E68">
        <w:rPr>
          <w:rFonts w:cs="Arial" w:hint="cs"/>
          <w:sz w:val="16"/>
          <w:szCs w:val="16"/>
          <w:rtl/>
        </w:rPr>
        <w:t>'</w:t>
      </w:r>
      <w:r w:rsidRPr="00060E68">
        <w:rPr>
          <w:rFonts w:cs="Arial"/>
          <w:sz w:val="16"/>
          <w:szCs w:val="16"/>
          <w:rtl/>
        </w:rPr>
        <w:t xml:space="preserve"> רלד)</w:t>
      </w:r>
      <w:r>
        <w:rPr>
          <w:rFonts w:cs="Arial" w:hint="cs"/>
          <w:rtl/>
        </w:rPr>
        <w:t xml:space="preserve"> וא"</w:t>
      </w:r>
      <w:r w:rsidRPr="00060E68">
        <w:rPr>
          <w:rFonts w:cs="Arial"/>
          <w:rtl/>
        </w:rPr>
        <w:t>ח</w:t>
      </w:r>
      <w:r>
        <w:rPr>
          <w:rStyle w:val="a7"/>
          <w:rFonts w:cs="Arial"/>
          <w:rtl/>
        </w:rPr>
        <w:footnoteReference w:id="2384"/>
      </w:r>
      <w:r w:rsidRPr="00060E68">
        <w:rPr>
          <w:rFonts w:cs="Arial"/>
          <w:rtl/>
        </w:rPr>
        <w:t xml:space="preserve"> </w:t>
      </w:r>
      <w:r w:rsidRPr="00BC2E85">
        <w:rPr>
          <w:rFonts w:cs="Arial"/>
          <w:sz w:val="16"/>
          <w:szCs w:val="16"/>
          <w:rtl/>
        </w:rPr>
        <w:t>(יין נסך סו"ס לא)</w:t>
      </w:r>
      <w:r>
        <w:rPr>
          <w:rFonts w:cs="Arial" w:hint="cs"/>
          <w:rtl/>
        </w:rPr>
        <w:t xml:space="preserve">- </w:t>
      </w:r>
      <w:r w:rsidRPr="00060E68">
        <w:rPr>
          <w:rFonts w:cs="Arial"/>
          <w:rtl/>
        </w:rPr>
        <w:t>בשמים של ע"ז ושל כלאי הכרם ושל ערלה אסרו להריח בהם דאסורים הן בהנאה</w:t>
      </w:r>
      <w:r>
        <w:rPr>
          <w:rFonts w:cs="Arial" w:hint="cs"/>
          <w:rtl/>
        </w:rPr>
        <w:t>,</w:t>
      </w:r>
      <w:r w:rsidRPr="00060E68">
        <w:rPr>
          <w:rFonts w:cs="Arial"/>
          <w:rtl/>
        </w:rPr>
        <w:t xml:space="preserve"> דכל שעשוין להריח בהן כורד והדס היינו פלוגתא דאביי ורבא דפרק כל שעה </w:t>
      </w:r>
      <w:r w:rsidRPr="00BC2E85">
        <w:rPr>
          <w:rFonts w:cs="Arial"/>
          <w:sz w:val="16"/>
          <w:szCs w:val="16"/>
          <w:rtl/>
        </w:rPr>
        <w:t>(</w:t>
      </w:r>
      <w:r w:rsidRPr="00BC2E85">
        <w:rPr>
          <w:rFonts w:cs="Arial" w:hint="cs"/>
          <w:sz w:val="16"/>
          <w:szCs w:val="16"/>
          <w:rtl/>
        </w:rPr>
        <w:t xml:space="preserve">פסחים </w:t>
      </w:r>
      <w:r w:rsidRPr="00BC2E85">
        <w:rPr>
          <w:rFonts w:cs="Arial"/>
          <w:sz w:val="16"/>
          <w:szCs w:val="16"/>
          <w:rtl/>
        </w:rPr>
        <w:t>כה:)</w:t>
      </w:r>
      <w:r>
        <w:rPr>
          <w:rFonts w:cs="Arial" w:hint="cs"/>
          <w:rtl/>
        </w:rPr>
        <w:t>,</w:t>
      </w:r>
      <w:r w:rsidRPr="00060E68">
        <w:rPr>
          <w:rFonts w:cs="Arial"/>
          <w:rtl/>
        </w:rPr>
        <w:t xml:space="preserve"> ולאביי נמי כל שמריח בהן לקלוט ריחן אסור דהיינו חנויות המעוטרות בורד והדס בפ"ק דע"ז </w:t>
      </w:r>
      <w:r w:rsidRPr="00BC2E85">
        <w:rPr>
          <w:rFonts w:cs="Arial"/>
          <w:rtl/>
        </w:rPr>
        <w:t>(יב:)</w:t>
      </w:r>
      <w:r w:rsidRPr="00BC2E85">
        <w:rPr>
          <w:rFonts w:cs="Arial" w:hint="cs"/>
          <w:sz w:val="10"/>
          <w:szCs w:val="10"/>
          <w:rtl/>
        </w:rPr>
        <w:t xml:space="preserve"> </w:t>
      </w:r>
      <w:r>
        <w:rPr>
          <w:rFonts w:cs="Arial" w:hint="cs"/>
          <w:sz w:val="16"/>
          <w:szCs w:val="16"/>
          <w:rtl/>
        </w:rPr>
        <w:t>(ל' רשב"א)</w:t>
      </w:r>
      <w:r>
        <w:rPr>
          <w:rFonts w:cs="Arial" w:hint="cs"/>
          <w:rtl/>
        </w:rPr>
        <w:t xml:space="preserve">. </w:t>
      </w:r>
    </w:p>
    <w:p w14:paraId="1A51FA3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5F9471B" w14:textId="77777777" w:rsidR="002C39F4" w:rsidRPr="003024E5" w:rsidRDefault="002C39F4" w:rsidP="002C39F4">
      <w:pPr>
        <w:rPr>
          <w:rFonts w:asciiTheme="minorBidi" w:hAnsiTheme="minorBidi"/>
          <w:rtl/>
        </w:rPr>
      </w:pPr>
      <w:r w:rsidRPr="003024E5">
        <w:rPr>
          <w:rFonts w:asciiTheme="minorBidi" w:hAnsiTheme="minorBidi"/>
          <w:rtl/>
        </w:rPr>
        <w:t xml:space="preserve">בשמים של </w:t>
      </w:r>
      <w:r>
        <w:rPr>
          <w:rFonts w:asciiTheme="minorBidi" w:hAnsiTheme="minorBidi" w:hint="cs"/>
          <w:rtl/>
        </w:rPr>
        <w:t>גוים</w:t>
      </w:r>
      <w:r w:rsidRPr="003024E5">
        <w:rPr>
          <w:rFonts w:asciiTheme="minorBidi" w:hAnsiTheme="minorBidi"/>
          <w:rtl/>
        </w:rPr>
        <w:t xml:space="preserve"> וכלאי הכרם וערלה אסור להריח בהם</w:t>
      </w:r>
      <w:r>
        <w:rPr>
          <w:rStyle w:val="a7"/>
          <w:rFonts w:asciiTheme="minorBidi" w:hAnsiTheme="minorBidi"/>
          <w:rtl/>
        </w:rPr>
        <w:footnoteReference w:id="2385"/>
      </w:r>
      <w:r w:rsidRPr="003024E5">
        <w:rPr>
          <w:rFonts w:asciiTheme="minorBidi" w:hAnsiTheme="minorBidi"/>
          <w:rtl/>
        </w:rPr>
        <w:t>.</w:t>
      </w:r>
    </w:p>
    <w:p w14:paraId="5729ADF3" w14:textId="77777777" w:rsidR="002C39F4" w:rsidRPr="003024E5" w:rsidRDefault="002C39F4" w:rsidP="002C39F4">
      <w:pPr>
        <w:rPr>
          <w:rFonts w:asciiTheme="minorBidi" w:hAnsiTheme="minorBidi"/>
          <w:rtl/>
        </w:rPr>
      </w:pPr>
    </w:p>
    <w:p w14:paraId="750326A1" w14:textId="77777777" w:rsidR="002C39F4" w:rsidRPr="003024E5" w:rsidRDefault="002C39F4" w:rsidP="002C39F4">
      <w:pPr>
        <w:rPr>
          <w:rFonts w:asciiTheme="minorBidi" w:hAnsiTheme="minorBidi"/>
          <w:rtl/>
        </w:rPr>
      </w:pPr>
    </w:p>
    <w:p w14:paraId="14EDE926" w14:textId="77777777" w:rsidR="002C39F4" w:rsidRPr="003024E5" w:rsidRDefault="002C39F4" w:rsidP="002C39F4">
      <w:pPr>
        <w:rPr>
          <w:rFonts w:asciiTheme="minorBidi" w:hAnsiTheme="minorBidi"/>
          <w:rtl/>
        </w:rPr>
      </w:pPr>
    </w:p>
    <w:p w14:paraId="0616179F" w14:textId="77777777" w:rsidR="002C39F4" w:rsidRPr="003024E5" w:rsidRDefault="002C39F4" w:rsidP="002C39F4">
      <w:pPr>
        <w:rPr>
          <w:rFonts w:asciiTheme="minorBidi" w:hAnsiTheme="minorBidi"/>
          <w:rtl/>
        </w:rPr>
      </w:pPr>
    </w:p>
    <w:p w14:paraId="1894E6D0" w14:textId="77777777" w:rsidR="002C39F4" w:rsidRPr="003024E5" w:rsidRDefault="002C39F4" w:rsidP="002C39F4">
      <w:pPr>
        <w:rPr>
          <w:rFonts w:asciiTheme="minorBidi" w:hAnsiTheme="minorBidi"/>
          <w:rtl/>
        </w:rPr>
      </w:pPr>
    </w:p>
    <w:p w14:paraId="236767F2" w14:textId="77777777" w:rsidR="002C39F4" w:rsidRPr="003024E5" w:rsidRDefault="002C39F4" w:rsidP="002C39F4">
      <w:pPr>
        <w:rPr>
          <w:rFonts w:asciiTheme="minorBidi" w:hAnsiTheme="minorBidi"/>
          <w:rtl/>
        </w:rPr>
      </w:pPr>
    </w:p>
    <w:p w14:paraId="510B7319" w14:textId="77777777" w:rsidR="002C39F4" w:rsidRPr="003024E5" w:rsidRDefault="002C39F4" w:rsidP="002C39F4">
      <w:pPr>
        <w:rPr>
          <w:rFonts w:asciiTheme="minorBidi" w:hAnsiTheme="minorBidi"/>
          <w:rtl/>
        </w:rPr>
      </w:pPr>
    </w:p>
    <w:p w14:paraId="3F4B6B29"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4B5ADF02"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קט: דין יבש ביבש שנתערב, ובו ב' סעיפים. </w:t>
      </w:r>
    </w:p>
    <w:p w14:paraId="782A24C4" w14:textId="77777777" w:rsidR="002C39F4" w:rsidRPr="00B55E7C"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xml:space="preserve">: חתיכה </w:t>
      </w:r>
      <w:r>
        <w:rPr>
          <w:rFonts w:asciiTheme="minorBidi" w:hAnsiTheme="minorBidi" w:hint="cs"/>
          <w:sz w:val="18"/>
          <w:szCs w:val="18"/>
          <w:rtl/>
        </w:rPr>
        <w:t>(</w:t>
      </w:r>
      <w:r w:rsidRPr="00E217C0">
        <w:rPr>
          <w:rFonts w:asciiTheme="minorBidi" w:hAnsiTheme="minorBidi" w:hint="cs"/>
          <w:sz w:val="18"/>
          <w:szCs w:val="18"/>
          <w:rtl/>
        </w:rPr>
        <w:t xml:space="preserve">שאינה בריה ואינה ראויה להתכבד) </w:t>
      </w:r>
      <w:r>
        <w:rPr>
          <w:rFonts w:asciiTheme="minorBidi" w:hAnsiTheme="minorBidi" w:hint="cs"/>
          <w:rtl/>
        </w:rPr>
        <w:t>שנתערבה באחרות.</w:t>
      </w:r>
    </w:p>
    <w:p w14:paraId="03D179A1" w14:textId="77777777" w:rsidR="002C39F4" w:rsidRDefault="002C39F4" w:rsidP="002C39F4">
      <w:pPr>
        <w:rPr>
          <w:rFonts w:cs="Arial"/>
          <w:rtl/>
        </w:rPr>
      </w:pPr>
      <w:r>
        <w:rPr>
          <w:rFonts w:cs="Arial" w:hint="cs"/>
          <w:b/>
          <w:bCs/>
          <w:rtl/>
        </w:rPr>
        <w:t xml:space="preserve">חולין צו ע"ב: </w:t>
      </w:r>
      <w:r w:rsidRPr="00733B74">
        <w:rPr>
          <w:rFonts w:cs="Arial"/>
          <w:u w:val="double"/>
          <w:rtl/>
        </w:rPr>
        <w:t>מתני'</w:t>
      </w:r>
      <w:r>
        <w:rPr>
          <w:rFonts w:cs="Arial" w:hint="cs"/>
          <w:rtl/>
        </w:rPr>
        <w:t>:</w:t>
      </w:r>
      <w:r w:rsidRPr="00733B74">
        <w:rPr>
          <w:rFonts w:cs="Arial"/>
          <w:rtl/>
        </w:rPr>
        <w:t xml:space="preserve"> </w:t>
      </w:r>
      <w:r w:rsidRPr="00B81749">
        <w:rPr>
          <w:rFonts w:cs="Arial"/>
          <w:rtl/>
        </w:rPr>
        <w:t>גיד הנשה שנתבשל עם הגידים, בזמן שמכירו - בנותן טעם, ואם לאו - כולן אסורין</w:t>
      </w:r>
      <w:r>
        <w:rPr>
          <w:rFonts w:cs="Arial" w:hint="cs"/>
          <w:rtl/>
        </w:rPr>
        <w:t>...</w:t>
      </w:r>
      <w:r w:rsidRPr="00B81749">
        <w:rPr>
          <w:rFonts w:cs="Arial"/>
          <w:rtl/>
        </w:rPr>
        <w:t xml:space="preserve"> וכן חתיכה של נבלה, וכן חתיכה של דג טמא שנתבשלה עם החתיכות, בזמן שמכירן - בנותן טעם, ואם לאו - כולן אסורות, והרוטב בנותן טעם.</w:t>
      </w:r>
      <w:r>
        <w:rPr>
          <w:rFonts w:cs="Arial" w:hint="cs"/>
          <w:rtl/>
        </w:rPr>
        <w:t xml:space="preserve">     </w:t>
      </w:r>
      <w:r w:rsidRPr="00733B74">
        <w:rPr>
          <w:rFonts w:cs="Arial" w:hint="cs"/>
          <w:u w:val="double"/>
          <w:rtl/>
        </w:rPr>
        <w:t>גמ'</w:t>
      </w:r>
      <w:r>
        <w:rPr>
          <w:rFonts w:cs="Arial" w:hint="cs"/>
          <w:sz w:val="14"/>
          <w:szCs w:val="14"/>
          <w:u w:val="double"/>
          <w:rtl/>
        </w:rPr>
        <w:t>(צט:)</w:t>
      </w:r>
      <w:r>
        <w:rPr>
          <w:rFonts w:cs="Arial" w:hint="cs"/>
          <w:rtl/>
        </w:rPr>
        <w:t>:</w:t>
      </w:r>
      <w:r w:rsidRPr="00733B74">
        <w:rPr>
          <w:rFonts w:cs="Arial"/>
          <w:rtl/>
        </w:rPr>
        <w:t xml:space="preserve"> גיד הנשה שנתבשל. וליבטול ברובא!</w:t>
      </w:r>
      <w:r>
        <w:rPr>
          <w:rFonts w:cs="Arial" w:hint="cs"/>
          <w:sz w:val="14"/>
          <w:szCs w:val="14"/>
          <w:rtl/>
        </w:rPr>
        <w:t xml:space="preserve"> (ק.)</w:t>
      </w:r>
      <w:r w:rsidRPr="00733B74">
        <w:rPr>
          <w:rtl/>
        </w:rPr>
        <w:t xml:space="preserve"> </w:t>
      </w:r>
      <w:r w:rsidRPr="00733B74">
        <w:rPr>
          <w:rFonts w:cs="Arial"/>
          <w:rtl/>
        </w:rPr>
        <w:t>בריה שאני</w:t>
      </w:r>
      <w:r>
        <w:rPr>
          <w:rFonts w:cs="Arial" w:hint="cs"/>
          <w:rtl/>
        </w:rPr>
        <w:t>...</w:t>
      </w:r>
      <w:r w:rsidRPr="00977786">
        <w:rPr>
          <w:rFonts w:cs="Arial"/>
          <w:rtl/>
        </w:rPr>
        <w:t xml:space="preserve"> </w:t>
      </w:r>
      <w:r w:rsidRPr="00B81749">
        <w:rPr>
          <w:rFonts w:cs="Arial"/>
          <w:rtl/>
        </w:rPr>
        <w:t>וכן חתיכה של נבלה וכו': ותבטיל ברובא!</w:t>
      </w:r>
      <w:r>
        <w:rPr>
          <w:rFonts w:cs="Arial" w:hint="cs"/>
          <w:rtl/>
        </w:rPr>
        <w:t xml:space="preserve">... </w:t>
      </w:r>
      <w:r w:rsidRPr="00B81749">
        <w:rPr>
          <w:rFonts w:cs="Arial"/>
          <w:rtl/>
        </w:rPr>
        <w:t>שאני חתיכה - הואיל וראויה להתכבד בה לפני האורחים.</w:t>
      </w:r>
      <w:r>
        <w:rPr>
          <w:rFonts w:cs="Arial" w:hint="cs"/>
          <w:rtl/>
        </w:rPr>
        <w:t xml:space="preserve"> </w:t>
      </w:r>
      <w:r w:rsidRPr="006571B3">
        <w:rPr>
          <w:rFonts w:cs="Arial" w:hint="cs"/>
          <w:sz w:val="16"/>
          <w:szCs w:val="16"/>
          <w:rtl/>
        </w:rPr>
        <w:t>(</w:t>
      </w:r>
      <w:r w:rsidRPr="006571B3">
        <w:rPr>
          <w:rFonts w:cs="Arial"/>
          <w:sz w:val="16"/>
          <w:szCs w:val="16"/>
          <w:rtl/>
        </w:rPr>
        <w:t>משמע דאי לאו טעמא דבריה וחתיכה הראויה להתכבד הוו בטלי ברוב</w:t>
      </w:r>
      <w:r w:rsidRPr="006571B3">
        <w:rPr>
          <w:rFonts w:cs="Arial" w:hint="cs"/>
          <w:sz w:val="16"/>
          <w:szCs w:val="16"/>
          <w:rtl/>
        </w:rPr>
        <w:t>,</w:t>
      </w:r>
      <w:r w:rsidRPr="006571B3">
        <w:rPr>
          <w:rFonts w:cs="Arial"/>
          <w:sz w:val="16"/>
          <w:szCs w:val="16"/>
          <w:rtl/>
        </w:rPr>
        <w:t xml:space="preserve"> וה"נ משמע בר"פ התערובות (זבחים עב.) ובריש ביצה (ג:)</w:t>
      </w:r>
      <w:r w:rsidRPr="006571B3">
        <w:rPr>
          <w:rFonts w:cs="Arial" w:hint="cs"/>
          <w:sz w:val="16"/>
          <w:szCs w:val="16"/>
          <w:rtl/>
        </w:rPr>
        <w:t>,</w:t>
      </w:r>
      <w:r w:rsidRPr="006571B3">
        <w:rPr>
          <w:rFonts w:cs="Arial"/>
          <w:sz w:val="16"/>
          <w:szCs w:val="16"/>
          <w:rtl/>
        </w:rPr>
        <w:t xml:space="preserve"> </w:t>
      </w:r>
      <w:r>
        <w:rPr>
          <w:rFonts w:cs="Arial" w:hint="cs"/>
          <w:sz w:val="16"/>
          <w:szCs w:val="16"/>
          <w:rtl/>
        </w:rPr>
        <w:t>ב"י)</w:t>
      </w:r>
    </w:p>
    <w:p w14:paraId="1633C3DF" w14:textId="77777777" w:rsidR="002C39F4" w:rsidRPr="006571B3" w:rsidRDefault="002C39F4" w:rsidP="002C39F4">
      <w:pPr>
        <w:rPr>
          <w:rFonts w:cs="Arial"/>
          <w:u w:val="single"/>
          <w:rtl/>
        </w:rPr>
      </w:pPr>
      <w:r w:rsidRPr="006571B3">
        <w:rPr>
          <w:rFonts w:cs="Arial" w:hint="cs"/>
          <w:u w:val="single"/>
          <w:rtl/>
        </w:rPr>
        <w:t xml:space="preserve">חתיכה </w:t>
      </w:r>
      <w:r w:rsidRPr="00932EAE">
        <w:rPr>
          <w:rFonts w:cs="Arial" w:hint="cs"/>
          <w:sz w:val="16"/>
          <w:szCs w:val="16"/>
          <w:u w:val="single"/>
          <w:rtl/>
        </w:rPr>
        <w:t xml:space="preserve">(שאינה בריה ואינה ראויה להתכבד) </w:t>
      </w:r>
      <w:r w:rsidRPr="006571B3">
        <w:rPr>
          <w:rFonts w:cs="Arial" w:hint="cs"/>
          <w:u w:val="single"/>
          <w:rtl/>
        </w:rPr>
        <w:t>שנתבטלה ברוב</w:t>
      </w:r>
      <w:r>
        <w:rPr>
          <w:rFonts w:cs="Arial" w:hint="cs"/>
          <w:u w:val="single"/>
          <w:rtl/>
        </w:rPr>
        <w:t xml:space="preserve"> והוי יבש ביבש</w:t>
      </w:r>
      <w:r w:rsidRPr="006571B3">
        <w:rPr>
          <w:rFonts w:cs="Arial" w:hint="cs"/>
          <w:u w:val="single"/>
          <w:rtl/>
        </w:rPr>
        <w:t>:</w:t>
      </w:r>
    </w:p>
    <w:p w14:paraId="5AEE0632" w14:textId="77777777" w:rsidR="002C39F4" w:rsidRPr="006571B3" w:rsidRDefault="002C39F4" w:rsidP="0032102C">
      <w:pPr>
        <w:pStyle w:val="a8"/>
        <w:numPr>
          <w:ilvl w:val="0"/>
          <w:numId w:val="243"/>
        </w:numPr>
        <w:rPr>
          <w:rFonts w:cs="Arial"/>
          <w:rtl/>
        </w:rPr>
      </w:pPr>
      <w:r w:rsidRPr="006571B3">
        <w:rPr>
          <w:rFonts w:cs="Arial"/>
          <w:rtl/>
        </w:rPr>
        <w:t>תוס</w:t>
      </w:r>
      <w:r w:rsidRPr="006571B3">
        <w:rPr>
          <w:rFonts w:cs="Arial" w:hint="cs"/>
          <w:rtl/>
        </w:rPr>
        <w:t>'</w:t>
      </w:r>
      <w:r w:rsidRPr="006571B3">
        <w:rPr>
          <w:rFonts w:cs="Arial"/>
          <w:rtl/>
        </w:rPr>
        <w:t xml:space="preserve"> </w:t>
      </w:r>
      <w:r>
        <w:rPr>
          <w:rFonts w:cs="Arial"/>
          <w:rtl/>
        </w:rPr>
        <w:t>סה</w:t>
      </w:r>
      <w:r>
        <w:rPr>
          <w:rFonts w:cs="Arial" w:hint="cs"/>
          <w:rtl/>
        </w:rPr>
        <w:t>"</w:t>
      </w:r>
      <w:r>
        <w:rPr>
          <w:rFonts w:cs="Arial"/>
          <w:rtl/>
        </w:rPr>
        <w:t>ת סמ"</w:t>
      </w:r>
      <w:r>
        <w:rPr>
          <w:rFonts w:cs="Arial" w:hint="cs"/>
          <w:rtl/>
        </w:rPr>
        <w:t xml:space="preserve">ג </w:t>
      </w:r>
      <w:r w:rsidRPr="006571B3">
        <w:rPr>
          <w:rFonts w:cs="Arial"/>
          <w:rtl/>
        </w:rPr>
        <w:t>רשב"א רא"ש ור"ן</w:t>
      </w:r>
      <w:r>
        <w:rPr>
          <w:rStyle w:val="a7"/>
          <w:rFonts w:cs="Arial"/>
          <w:rtl/>
        </w:rPr>
        <w:footnoteReference w:id="2386"/>
      </w:r>
      <w:r w:rsidRPr="006571B3">
        <w:rPr>
          <w:rFonts w:cs="Arial" w:hint="cs"/>
          <w:rtl/>
        </w:rPr>
        <w:t>-</w:t>
      </w:r>
      <w:r w:rsidRPr="006571B3">
        <w:rPr>
          <w:rFonts w:cs="Arial"/>
          <w:rtl/>
        </w:rPr>
        <w:t xml:space="preserve"> אפילו איסורא דרבנן ליכא</w:t>
      </w:r>
      <w:r>
        <w:rPr>
          <w:rStyle w:val="a7"/>
          <w:rFonts w:cs="Arial"/>
          <w:rtl/>
        </w:rPr>
        <w:footnoteReference w:id="2387"/>
      </w:r>
      <w:r w:rsidRPr="006571B3">
        <w:rPr>
          <w:rFonts w:cs="Arial"/>
          <w:rtl/>
        </w:rPr>
        <w:t xml:space="preserve"> </w:t>
      </w:r>
      <w:r>
        <w:rPr>
          <w:rFonts w:cs="Arial" w:hint="cs"/>
          <w:sz w:val="16"/>
          <w:szCs w:val="16"/>
          <w:rtl/>
        </w:rPr>
        <w:t>(</w:t>
      </w:r>
      <w:r w:rsidRPr="00053D4A">
        <w:rPr>
          <w:rFonts w:cs="Arial"/>
          <w:sz w:val="16"/>
          <w:szCs w:val="16"/>
          <w:rtl/>
        </w:rPr>
        <w:t xml:space="preserve">כדמשמע </w:t>
      </w:r>
      <w:r>
        <w:rPr>
          <w:rFonts w:cs="Arial" w:hint="cs"/>
          <w:sz w:val="16"/>
          <w:szCs w:val="16"/>
          <w:rtl/>
        </w:rPr>
        <w:t>לעיל, ב"י)</w:t>
      </w:r>
      <w:r w:rsidRPr="006571B3">
        <w:rPr>
          <w:rFonts w:cs="Arial" w:hint="cs"/>
          <w:rtl/>
        </w:rPr>
        <w:t>.</w:t>
      </w:r>
      <w:r w:rsidRPr="006571B3">
        <w:rPr>
          <w:rFonts w:cs="Arial"/>
          <w:rtl/>
        </w:rPr>
        <w:t xml:space="preserve"> </w:t>
      </w:r>
      <w:r w:rsidRPr="00732848">
        <w:rPr>
          <w:rFonts w:cs="Arial" w:hint="cs"/>
          <w:color w:val="E36C0A" w:themeColor="accent6" w:themeShade="BF"/>
          <w:rtl/>
        </w:rPr>
        <w:t>(וכ"פ בשו"ע)</w:t>
      </w:r>
    </w:p>
    <w:p w14:paraId="7870913D" w14:textId="77777777" w:rsidR="002C39F4" w:rsidRDefault="002C39F4" w:rsidP="0032102C">
      <w:pPr>
        <w:pStyle w:val="a8"/>
        <w:numPr>
          <w:ilvl w:val="0"/>
          <w:numId w:val="243"/>
        </w:numPr>
        <w:rPr>
          <w:rFonts w:cs="Arial"/>
        </w:rPr>
      </w:pPr>
      <w:r w:rsidRPr="006571B3">
        <w:rPr>
          <w:rFonts w:cs="Arial"/>
          <w:rtl/>
        </w:rPr>
        <w:t xml:space="preserve">ראב"ד </w:t>
      </w:r>
      <w:r w:rsidRPr="006571B3">
        <w:rPr>
          <w:rFonts w:cs="Arial"/>
          <w:sz w:val="16"/>
          <w:szCs w:val="16"/>
          <w:rtl/>
        </w:rPr>
        <w:t>(הב</w:t>
      </w:r>
      <w:r>
        <w:rPr>
          <w:rFonts w:cs="Arial" w:hint="cs"/>
          <w:sz w:val="16"/>
          <w:szCs w:val="16"/>
          <w:rtl/>
        </w:rPr>
        <w:t>י</w:t>
      </w:r>
      <w:r w:rsidRPr="006571B3">
        <w:rPr>
          <w:rFonts w:cs="Arial"/>
          <w:sz w:val="16"/>
          <w:szCs w:val="16"/>
          <w:rtl/>
        </w:rPr>
        <w:t>א</w:t>
      </w:r>
      <w:r>
        <w:rPr>
          <w:rFonts w:cs="Arial" w:hint="cs"/>
          <w:sz w:val="16"/>
          <w:szCs w:val="16"/>
          <w:rtl/>
        </w:rPr>
        <w:t>ו</w:t>
      </w:r>
      <w:r w:rsidRPr="006571B3">
        <w:rPr>
          <w:rFonts w:cs="Arial"/>
          <w:sz w:val="16"/>
          <w:szCs w:val="16"/>
          <w:rtl/>
        </w:rPr>
        <w:t xml:space="preserve"> </w:t>
      </w:r>
      <w:r>
        <w:rPr>
          <w:rFonts w:cs="Arial" w:hint="cs"/>
          <w:sz w:val="16"/>
          <w:szCs w:val="16"/>
          <w:rtl/>
        </w:rPr>
        <w:t>ה</w:t>
      </w:r>
      <w:r w:rsidRPr="006571B3">
        <w:rPr>
          <w:rFonts w:cs="Arial"/>
          <w:sz w:val="16"/>
          <w:szCs w:val="16"/>
          <w:rtl/>
        </w:rPr>
        <w:t>ר"ן שם בתחילת הדיבור)</w:t>
      </w:r>
      <w:r>
        <w:rPr>
          <w:rFonts w:cs="Arial" w:hint="cs"/>
          <w:rtl/>
        </w:rPr>
        <w:t xml:space="preserve"> ורמב"ם </w:t>
      </w:r>
      <w:r>
        <w:rPr>
          <w:rFonts w:cs="Arial" w:hint="cs"/>
          <w:sz w:val="16"/>
          <w:szCs w:val="16"/>
          <w:rtl/>
        </w:rPr>
        <w:t>(פט"ו ה"ד)</w:t>
      </w:r>
      <w:r>
        <w:rPr>
          <w:rFonts w:cs="Arial" w:hint="cs"/>
          <w:rtl/>
        </w:rPr>
        <w:t>- איסרוא דאו' ליכא, מיהו איסורא דרבנן איכא</w:t>
      </w:r>
      <w:r>
        <w:rPr>
          <w:rStyle w:val="a7"/>
          <w:rFonts w:cs="Arial"/>
          <w:rtl/>
        </w:rPr>
        <w:footnoteReference w:id="2388"/>
      </w:r>
      <w:r>
        <w:rPr>
          <w:rFonts w:cs="Arial" w:hint="cs"/>
          <w:rtl/>
        </w:rPr>
        <w:t>.</w:t>
      </w:r>
      <w:r w:rsidRPr="00053D4A">
        <w:rPr>
          <w:rFonts w:cs="Arial"/>
          <w:rtl/>
        </w:rPr>
        <w:t xml:space="preserve"> </w:t>
      </w:r>
    </w:p>
    <w:p w14:paraId="1180D2A4" w14:textId="77777777" w:rsidR="002C39F4" w:rsidRPr="005A0418" w:rsidRDefault="002C39F4" w:rsidP="002C39F4">
      <w:pPr>
        <w:ind w:left="360"/>
        <w:rPr>
          <w:rFonts w:cs="Arial"/>
          <w:sz w:val="16"/>
          <w:szCs w:val="16"/>
          <w:rtl/>
        </w:rPr>
      </w:pPr>
      <w:r w:rsidRPr="00B55E7C">
        <w:rPr>
          <w:rFonts w:cs="Arial" w:hint="cs"/>
          <w:u w:val="dotted"/>
          <w:rtl/>
        </w:rPr>
        <w:t xml:space="preserve">האם יש חילוק </w:t>
      </w:r>
      <w:r w:rsidRPr="00B55E7C">
        <w:rPr>
          <w:rFonts w:cs="Arial"/>
          <w:u w:val="dotted"/>
          <w:rtl/>
        </w:rPr>
        <w:t xml:space="preserve">בין נתערבה במינה </w:t>
      </w:r>
      <w:r w:rsidRPr="00B55E7C">
        <w:rPr>
          <w:rFonts w:cs="Arial" w:hint="cs"/>
          <w:u w:val="dotted"/>
          <w:rtl/>
        </w:rPr>
        <w:t>ו</w:t>
      </w:r>
      <w:r w:rsidRPr="00B55E7C">
        <w:rPr>
          <w:rFonts w:cs="Arial"/>
          <w:u w:val="dotted"/>
          <w:rtl/>
        </w:rPr>
        <w:t xml:space="preserve">בין </w:t>
      </w:r>
      <w:r w:rsidRPr="00B55E7C">
        <w:rPr>
          <w:rFonts w:cs="Arial" w:hint="cs"/>
          <w:u w:val="dotted"/>
          <w:rtl/>
        </w:rPr>
        <w:t xml:space="preserve">נתערבה </w:t>
      </w:r>
      <w:r>
        <w:rPr>
          <w:rFonts w:cs="Arial" w:hint="cs"/>
          <w:u w:val="dotted"/>
          <w:rtl/>
        </w:rPr>
        <w:t>ש</w:t>
      </w:r>
      <w:r w:rsidRPr="00B55E7C">
        <w:rPr>
          <w:rFonts w:cs="Arial"/>
          <w:u w:val="dotted"/>
          <w:rtl/>
        </w:rPr>
        <w:t>לא במינה</w:t>
      </w:r>
      <w:r w:rsidRPr="00B55E7C">
        <w:rPr>
          <w:rFonts w:cs="Arial" w:hint="cs"/>
          <w:u w:val="dotted"/>
          <w:rtl/>
        </w:rPr>
        <w:t>:</w:t>
      </w:r>
      <w:r>
        <w:rPr>
          <w:rFonts w:cs="Arial" w:hint="cs"/>
          <w:sz w:val="16"/>
          <w:szCs w:val="16"/>
          <w:rtl/>
        </w:rPr>
        <w:t xml:space="preserve">   (ב"י ודרכ"מ אות א)</w:t>
      </w:r>
    </w:p>
    <w:p w14:paraId="161D8C43" w14:textId="77777777" w:rsidR="002C39F4" w:rsidRDefault="002C39F4" w:rsidP="0032102C">
      <w:pPr>
        <w:pStyle w:val="a8"/>
        <w:numPr>
          <w:ilvl w:val="0"/>
          <w:numId w:val="141"/>
        </w:numPr>
        <w:rPr>
          <w:rFonts w:cs="Arial"/>
        </w:rPr>
      </w:pPr>
      <w:r>
        <w:rPr>
          <w:rFonts w:cs="Arial" w:hint="cs"/>
          <w:rtl/>
        </w:rPr>
        <w:t xml:space="preserve">סה"ת </w:t>
      </w:r>
      <w:r w:rsidRPr="00B55E7C">
        <w:rPr>
          <w:rFonts w:cs="Arial" w:hint="cs"/>
          <w:rtl/>
        </w:rPr>
        <w:t>טור</w:t>
      </w:r>
      <w:r w:rsidRPr="005A0418">
        <w:rPr>
          <w:rFonts w:cs="Arial" w:hint="cs"/>
          <w:rtl/>
        </w:rPr>
        <w:t xml:space="preserve"> </w:t>
      </w:r>
      <w:r>
        <w:rPr>
          <w:rFonts w:cs="Arial"/>
          <w:rtl/>
        </w:rPr>
        <w:t xml:space="preserve">ר"ן </w:t>
      </w:r>
      <w:r w:rsidRPr="006571B3">
        <w:rPr>
          <w:rFonts w:cs="Arial"/>
          <w:sz w:val="16"/>
          <w:szCs w:val="16"/>
          <w:rtl/>
        </w:rPr>
        <w:t>(חולין לו.</w:t>
      </w:r>
      <w:r>
        <w:rPr>
          <w:rFonts w:cs="Arial" w:hint="cs"/>
          <w:sz w:val="16"/>
          <w:szCs w:val="16"/>
          <w:rtl/>
        </w:rPr>
        <w:t>)</w:t>
      </w:r>
      <w:r w:rsidRPr="001620F9">
        <w:rPr>
          <w:rFonts w:cs="Arial"/>
          <w:rtl/>
        </w:rPr>
        <w:t xml:space="preserve"> </w:t>
      </w:r>
      <w:r>
        <w:rPr>
          <w:rFonts w:cs="Arial" w:hint="cs"/>
          <w:rtl/>
        </w:rPr>
        <w:t>ו</w:t>
      </w:r>
      <w:r>
        <w:rPr>
          <w:rFonts w:cs="Arial"/>
          <w:rtl/>
        </w:rPr>
        <w:t>או"ה</w:t>
      </w:r>
      <w:r w:rsidRPr="00471D1E">
        <w:rPr>
          <w:rFonts w:cs="Arial"/>
          <w:rtl/>
        </w:rPr>
        <w:t xml:space="preserve"> </w:t>
      </w:r>
      <w:r w:rsidRPr="001620F9">
        <w:rPr>
          <w:rFonts w:cs="Arial" w:hint="cs"/>
          <w:sz w:val="16"/>
          <w:szCs w:val="16"/>
          <w:rtl/>
        </w:rPr>
        <w:t>(</w:t>
      </w:r>
      <w:r w:rsidRPr="001620F9">
        <w:rPr>
          <w:rFonts w:cs="Arial"/>
          <w:sz w:val="16"/>
          <w:szCs w:val="16"/>
          <w:rtl/>
        </w:rPr>
        <w:t>כלל כו דין יא)</w:t>
      </w:r>
      <w:r w:rsidRPr="00B55E7C">
        <w:rPr>
          <w:rFonts w:cs="Arial" w:hint="cs"/>
          <w:rtl/>
        </w:rPr>
        <w:t xml:space="preserve">- </w:t>
      </w:r>
      <w:r>
        <w:rPr>
          <w:rStyle w:val="a7"/>
          <w:rFonts w:cs="Arial"/>
          <w:rtl/>
        </w:rPr>
        <w:footnoteReference w:id="2389"/>
      </w:r>
      <w:r w:rsidRPr="00B55E7C">
        <w:rPr>
          <w:rFonts w:cs="Arial"/>
          <w:rtl/>
        </w:rPr>
        <w:t>דוקא שנתערב במינה</w:t>
      </w:r>
      <w:r>
        <w:rPr>
          <w:rFonts w:cs="Arial" w:hint="cs"/>
          <w:rtl/>
        </w:rPr>
        <w:t>,</w:t>
      </w:r>
      <w:r w:rsidRPr="00B55E7C">
        <w:rPr>
          <w:rFonts w:cs="Arial"/>
          <w:rtl/>
        </w:rPr>
        <w:t xml:space="preserve"> אבל מין בשאינו מינו אפי' יבש ביבש צריך ששים</w:t>
      </w:r>
      <w:r>
        <w:rPr>
          <w:rFonts w:cs="Arial" w:hint="cs"/>
          <w:sz w:val="16"/>
          <w:szCs w:val="16"/>
          <w:rtl/>
        </w:rPr>
        <w:t xml:space="preserve"> {מדרבנן}</w:t>
      </w:r>
      <w:r w:rsidRPr="00B55E7C">
        <w:rPr>
          <w:rFonts w:cs="Arial"/>
          <w:rtl/>
        </w:rPr>
        <w:t xml:space="preserve"> כיון דאם יבשלם יתן בהם טעם</w:t>
      </w:r>
      <w:r>
        <w:rPr>
          <w:rStyle w:val="a7"/>
          <w:rFonts w:cs="Arial"/>
          <w:rtl/>
        </w:rPr>
        <w:footnoteReference w:id="2390"/>
      </w:r>
      <w:r>
        <w:rPr>
          <w:rFonts w:cs="Arial" w:hint="cs"/>
          <w:sz w:val="16"/>
          <w:szCs w:val="16"/>
          <w:rtl/>
        </w:rPr>
        <w:t xml:space="preserve"> (ל' הטור)</w:t>
      </w:r>
      <w:r>
        <w:rPr>
          <w:rFonts w:cs="Arial" w:hint="cs"/>
          <w:rtl/>
        </w:rPr>
        <w:t>.</w:t>
      </w:r>
      <w:r w:rsidRPr="00732848">
        <w:rPr>
          <w:rFonts w:cs="Arial" w:hint="cs"/>
          <w:color w:val="E36C0A" w:themeColor="accent6" w:themeShade="BF"/>
          <w:rtl/>
        </w:rPr>
        <w:t xml:space="preserve"> (וכ"פ בשו"ע)</w:t>
      </w:r>
      <w:r>
        <w:rPr>
          <w:rFonts w:cs="Arial" w:hint="cs"/>
          <w:color w:val="00B0F0"/>
          <w:rtl/>
        </w:rPr>
        <w:t xml:space="preserve"> </w:t>
      </w:r>
      <w:r w:rsidRPr="00732848">
        <w:rPr>
          <w:rFonts w:cs="Arial" w:hint="cs"/>
          <w:color w:val="00B0F0"/>
          <w:rtl/>
        </w:rPr>
        <w:t>(וכ"פ הרמ"א)</w:t>
      </w:r>
      <w:r>
        <w:rPr>
          <w:rFonts w:cs="Arial" w:hint="cs"/>
          <w:rtl/>
        </w:rPr>
        <w:t xml:space="preserve"> (וכ"פ הש"ך</w:t>
      </w:r>
      <w:r>
        <w:rPr>
          <w:rFonts w:cs="Arial" w:hint="cs"/>
          <w:sz w:val="16"/>
          <w:szCs w:val="16"/>
          <w:rtl/>
        </w:rPr>
        <w:t xml:space="preserve"> [סק"י]</w:t>
      </w:r>
      <w:r>
        <w:rPr>
          <w:rFonts w:cs="Arial" w:hint="cs"/>
          <w:rtl/>
        </w:rPr>
        <w:t>)</w:t>
      </w:r>
    </w:p>
    <w:p w14:paraId="069AA00A" w14:textId="77777777" w:rsidR="002C39F4" w:rsidRDefault="002C39F4" w:rsidP="0032102C">
      <w:pPr>
        <w:pStyle w:val="a8"/>
        <w:numPr>
          <w:ilvl w:val="0"/>
          <w:numId w:val="141"/>
        </w:numPr>
        <w:rPr>
          <w:rFonts w:cs="Arial"/>
        </w:rPr>
      </w:pPr>
      <w:r>
        <w:rPr>
          <w:rFonts w:cs="Arial" w:hint="cs"/>
          <w:rtl/>
        </w:rPr>
        <w:t xml:space="preserve">תוס' </w:t>
      </w:r>
      <w:r>
        <w:rPr>
          <w:rFonts w:cs="Arial" w:hint="cs"/>
          <w:sz w:val="16"/>
          <w:szCs w:val="16"/>
          <w:rtl/>
        </w:rPr>
        <w:t xml:space="preserve">(כ"כ בשמו </w:t>
      </w:r>
      <w:r w:rsidRPr="001620F9">
        <w:rPr>
          <w:rFonts w:cs="Arial"/>
          <w:sz w:val="16"/>
          <w:szCs w:val="16"/>
          <w:rtl/>
        </w:rPr>
        <w:t>מהרא"י</w:t>
      </w:r>
      <w:r w:rsidRPr="001620F9">
        <w:rPr>
          <w:rFonts w:cs="Arial" w:hint="cs"/>
          <w:sz w:val="14"/>
          <w:szCs w:val="14"/>
          <w:rtl/>
        </w:rPr>
        <w:t xml:space="preserve"> [הובא בהגשע"ד </w:t>
      </w:r>
      <w:r w:rsidRPr="001620F9">
        <w:rPr>
          <w:rFonts w:cs="Arial"/>
          <w:sz w:val="14"/>
          <w:szCs w:val="14"/>
          <w:rtl/>
        </w:rPr>
        <w:t xml:space="preserve">סי' לט אות </w:t>
      </w:r>
      <w:r w:rsidRPr="001620F9">
        <w:rPr>
          <w:rFonts w:cs="Arial" w:hint="cs"/>
          <w:sz w:val="14"/>
          <w:szCs w:val="14"/>
          <w:rtl/>
        </w:rPr>
        <w:t>טו</w:t>
      </w:r>
      <w:r w:rsidRPr="001620F9">
        <w:rPr>
          <w:rFonts w:cs="Arial"/>
          <w:sz w:val="14"/>
          <w:szCs w:val="14"/>
          <w:rtl/>
        </w:rPr>
        <w:t xml:space="preserve"> ד"ה ובי</w:t>
      </w:r>
      <w:r w:rsidRPr="001620F9">
        <w:rPr>
          <w:rFonts w:cs="Arial" w:hint="cs"/>
          <w:sz w:val="14"/>
          <w:szCs w:val="14"/>
          <w:rtl/>
        </w:rPr>
        <w:t>ו</w:t>
      </w:r>
      <w:r w:rsidRPr="001620F9">
        <w:rPr>
          <w:rFonts w:cs="Arial"/>
          <w:sz w:val="14"/>
          <w:szCs w:val="14"/>
          <w:rtl/>
        </w:rPr>
        <w:t>"ד</w:t>
      </w:r>
      <w:r w:rsidRPr="001620F9">
        <w:rPr>
          <w:rFonts w:cs="Arial" w:hint="cs"/>
          <w:sz w:val="14"/>
          <w:szCs w:val="14"/>
          <w:rtl/>
        </w:rPr>
        <w:t>]</w:t>
      </w:r>
      <w:r w:rsidRPr="005A0418">
        <w:rPr>
          <w:rFonts w:cs="Arial"/>
          <w:sz w:val="16"/>
          <w:szCs w:val="16"/>
          <w:rtl/>
        </w:rPr>
        <w:t>)</w:t>
      </w:r>
      <w:r>
        <w:rPr>
          <w:rFonts w:cs="Arial" w:hint="cs"/>
          <w:rtl/>
        </w:rPr>
        <w:t xml:space="preserve">- </w:t>
      </w:r>
      <w:r w:rsidRPr="001620F9">
        <w:rPr>
          <w:rFonts w:cs="Arial"/>
          <w:rtl/>
        </w:rPr>
        <w:t xml:space="preserve">מין בשאינו מינו בדבר יבש אפילו </w:t>
      </w:r>
      <w:r w:rsidRPr="001620F9">
        <w:rPr>
          <w:rFonts w:cs="Arial"/>
          <w:u w:val="single"/>
          <w:rtl/>
        </w:rPr>
        <w:t>מדאו</w:t>
      </w:r>
      <w:r w:rsidRPr="001620F9">
        <w:rPr>
          <w:rFonts w:cs="Arial" w:hint="cs"/>
          <w:u w:val="single"/>
          <w:rtl/>
        </w:rPr>
        <w:t>'</w:t>
      </w:r>
      <w:r w:rsidRPr="001620F9">
        <w:rPr>
          <w:rFonts w:cs="Arial"/>
          <w:rtl/>
        </w:rPr>
        <w:t xml:space="preserve"> לא בטל ברוב</w:t>
      </w:r>
      <w:r>
        <w:rPr>
          <w:rStyle w:val="a7"/>
          <w:rFonts w:cs="Arial"/>
          <w:rtl/>
        </w:rPr>
        <w:footnoteReference w:id="2391"/>
      </w:r>
      <w:r>
        <w:rPr>
          <w:rFonts w:cs="Arial" w:hint="cs"/>
          <w:rtl/>
        </w:rPr>
        <w:t>. (וכ"פ רש"ל</w:t>
      </w:r>
      <w:r>
        <w:rPr>
          <w:rFonts w:cs="Arial" w:hint="cs"/>
          <w:sz w:val="16"/>
          <w:szCs w:val="16"/>
          <w:rtl/>
        </w:rPr>
        <w:t xml:space="preserve"> [או"ש סי' לט אות ו, ובפג"ה פ"ז סי' מו]</w:t>
      </w:r>
      <w:r>
        <w:rPr>
          <w:rFonts w:cs="Arial" w:hint="cs"/>
          <w:rtl/>
        </w:rPr>
        <w:t>)</w:t>
      </w:r>
    </w:p>
    <w:p w14:paraId="74FA4DDC" w14:textId="77777777" w:rsidR="002C39F4" w:rsidRPr="001B1477" w:rsidRDefault="002C39F4" w:rsidP="002C39F4">
      <w:pPr>
        <w:ind w:left="360"/>
        <w:rPr>
          <w:rFonts w:cs="Arial"/>
          <w:u w:val="dotted"/>
          <w:rtl/>
        </w:rPr>
      </w:pPr>
      <w:r w:rsidRPr="001B1477">
        <w:rPr>
          <w:rFonts w:cs="Arial" w:hint="cs"/>
          <w:u w:val="dotted"/>
          <w:rtl/>
        </w:rPr>
        <w:t>למתירים</w:t>
      </w:r>
      <w:r w:rsidRPr="001B1477">
        <w:rPr>
          <w:rFonts w:cs="Arial" w:hint="cs"/>
          <w:sz w:val="16"/>
          <w:szCs w:val="16"/>
          <w:u w:val="dotted"/>
          <w:rtl/>
        </w:rPr>
        <w:t xml:space="preserve"> (תוס' רשב"א רא"ש וסיעתם) </w:t>
      </w:r>
      <w:r w:rsidRPr="001B1477">
        <w:rPr>
          <w:rFonts w:cs="Arial"/>
          <w:u w:val="dotted"/>
          <w:rtl/>
        </w:rPr>
        <w:t>–</w:t>
      </w:r>
      <w:r w:rsidRPr="001B1477">
        <w:rPr>
          <w:rFonts w:cs="Arial" w:hint="cs"/>
          <w:u w:val="dotted"/>
          <w:rtl/>
        </w:rPr>
        <w:t xml:space="preserve"> האם מותר לאדם אחד לאכול את כל החתיכות:</w:t>
      </w:r>
    </w:p>
    <w:p w14:paraId="4189F3E6" w14:textId="77777777" w:rsidR="002C39F4" w:rsidRPr="00065583" w:rsidRDefault="002C39F4" w:rsidP="0032102C">
      <w:pPr>
        <w:pStyle w:val="a8"/>
        <w:numPr>
          <w:ilvl w:val="0"/>
          <w:numId w:val="244"/>
        </w:numPr>
      </w:pPr>
      <w:r w:rsidRPr="001B316B">
        <w:rPr>
          <w:rFonts w:cs="Arial"/>
          <w:rtl/>
        </w:rPr>
        <w:t>תוס</w:t>
      </w:r>
      <w:r>
        <w:rPr>
          <w:rFonts w:cs="Arial" w:hint="cs"/>
          <w:rtl/>
        </w:rPr>
        <w:t>'</w:t>
      </w:r>
      <w:r w:rsidRPr="001B316B">
        <w:rPr>
          <w:rFonts w:cs="Arial"/>
          <w:rtl/>
        </w:rPr>
        <w:t xml:space="preserve"> </w:t>
      </w:r>
      <w:r w:rsidRPr="00065583">
        <w:rPr>
          <w:rFonts w:cs="Arial"/>
          <w:sz w:val="16"/>
          <w:szCs w:val="16"/>
          <w:rtl/>
        </w:rPr>
        <w:t>(</w:t>
      </w:r>
      <w:r w:rsidRPr="00065583">
        <w:rPr>
          <w:rFonts w:cs="Arial" w:hint="cs"/>
          <w:sz w:val="16"/>
          <w:szCs w:val="16"/>
          <w:rtl/>
        </w:rPr>
        <w:t xml:space="preserve">חולין </w:t>
      </w:r>
      <w:r w:rsidRPr="00065583">
        <w:rPr>
          <w:rFonts w:cs="Arial"/>
          <w:sz w:val="16"/>
          <w:szCs w:val="16"/>
          <w:rtl/>
        </w:rPr>
        <w:t>ק. ד"ה בריה שאני)</w:t>
      </w:r>
      <w:r>
        <w:rPr>
          <w:rFonts w:cs="Arial" w:hint="cs"/>
          <w:rtl/>
        </w:rPr>
        <w:t xml:space="preserve">- </w:t>
      </w:r>
      <w:r w:rsidRPr="00065583">
        <w:rPr>
          <w:rFonts w:cs="Arial"/>
          <w:rtl/>
        </w:rPr>
        <w:t>שמא לחד גברא היה אסור</w:t>
      </w:r>
      <w:r>
        <w:rPr>
          <w:rStyle w:val="a7"/>
          <w:rFonts w:cs="Arial"/>
          <w:rtl/>
        </w:rPr>
        <w:footnoteReference w:id="2392"/>
      </w:r>
      <w:r>
        <w:rPr>
          <w:rFonts w:cs="Arial" w:hint="cs"/>
          <w:rtl/>
        </w:rPr>
        <w:t>.</w:t>
      </w:r>
    </w:p>
    <w:p w14:paraId="645E8583" w14:textId="77777777" w:rsidR="002C39F4" w:rsidRDefault="002C39F4" w:rsidP="0032102C">
      <w:pPr>
        <w:pStyle w:val="a8"/>
        <w:numPr>
          <w:ilvl w:val="0"/>
          <w:numId w:val="244"/>
        </w:numPr>
        <w:rPr>
          <w:rtl/>
        </w:rPr>
      </w:pPr>
      <w:r w:rsidRPr="001B316B">
        <w:rPr>
          <w:rFonts w:cs="Arial"/>
          <w:rtl/>
        </w:rPr>
        <w:t xml:space="preserve">רא"ש </w:t>
      </w:r>
      <w:r>
        <w:rPr>
          <w:rFonts w:cs="Arial" w:hint="cs"/>
          <w:sz w:val="16"/>
          <w:szCs w:val="16"/>
          <w:rtl/>
        </w:rPr>
        <w:t>(להב' הב"י)</w:t>
      </w:r>
      <w:r>
        <w:rPr>
          <w:rFonts w:cs="Arial" w:hint="cs"/>
          <w:rtl/>
        </w:rPr>
        <w:t xml:space="preserve"> וטור- </w:t>
      </w:r>
      <w:r w:rsidRPr="001B316B">
        <w:rPr>
          <w:rFonts w:cs="Arial"/>
          <w:rtl/>
        </w:rPr>
        <w:t>ודאי מותר</w:t>
      </w:r>
      <w:r>
        <w:rPr>
          <w:rFonts w:cs="Arial" w:hint="cs"/>
          <w:rtl/>
        </w:rPr>
        <w:t xml:space="preserve"> לאדם אחד לאכלן,</w:t>
      </w:r>
      <w:r w:rsidRPr="001B316B">
        <w:rPr>
          <w:rFonts w:cs="Arial"/>
          <w:rtl/>
        </w:rPr>
        <w:t xml:space="preserve"> שהרי האיסור נתבטל ואין כאן איסור כלל</w:t>
      </w:r>
      <w:r w:rsidRPr="001B316B">
        <w:rPr>
          <w:rFonts w:cs="Arial" w:hint="cs"/>
          <w:rtl/>
        </w:rPr>
        <w:t>.</w:t>
      </w:r>
      <w:r w:rsidRPr="00732848">
        <w:rPr>
          <w:rFonts w:cs="Arial" w:hint="cs"/>
          <w:color w:val="E36C0A" w:themeColor="accent6" w:themeShade="BF"/>
          <w:rtl/>
        </w:rPr>
        <w:t xml:space="preserve"> (וכ"</w:t>
      </w:r>
      <w:r>
        <w:rPr>
          <w:rFonts w:cs="Arial" w:hint="cs"/>
          <w:color w:val="E36C0A" w:themeColor="accent6" w:themeShade="BF"/>
          <w:rtl/>
        </w:rPr>
        <w:t>ס</w:t>
      </w:r>
      <w:r w:rsidRPr="00732848">
        <w:rPr>
          <w:rFonts w:cs="Arial" w:hint="cs"/>
          <w:color w:val="E36C0A" w:themeColor="accent6" w:themeShade="BF"/>
          <w:rtl/>
        </w:rPr>
        <w:t xml:space="preserve"> בשו"ע)</w:t>
      </w:r>
    </w:p>
    <w:p w14:paraId="1934CCF5" w14:textId="77777777" w:rsidR="002C39F4" w:rsidRDefault="002C39F4" w:rsidP="0032102C">
      <w:pPr>
        <w:pStyle w:val="a8"/>
        <w:numPr>
          <w:ilvl w:val="0"/>
          <w:numId w:val="244"/>
        </w:numPr>
        <w:rPr>
          <w:rtl/>
        </w:rPr>
      </w:pPr>
      <w:r w:rsidRPr="00065583">
        <w:rPr>
          <w:rFonts w:cs="Arial"/>
          <w:rtl/>
        </w:rPr>
        <w:t>הגשע</w:t>
      </w:r>
      <w:r>
        <w:rPr>
          <w:rFonts w:cs="Arial" w:hint="cs"/>
          <w:rtl/>
        </w:rPr>
        <w:t>"</w:t>
      </w:r>
      <w:r w:rsidRPr="00065583">
        <w:rPr>
          <w:rFonts w:cs="Arial"/>
          <w:rtl/>
        </w:rPr>
        <w:t xml:space="preserve">ד </w:t>
      </w:r>
      <w:r w:rsidRPr="009D289C">
        <w:rPr>
          <w:rFonts w:cs="Arial"/>
          <w:sz w:val="16"/>
          <w:szCs w:val="16"/>
          <w:rtl/>
        </w:rPr>
        <w:t xml:space="preserve">(סי' לט </w:t>
      </w:r>
      <w:r>
        <w:rPr>
          <w:rFonts w:cs="Arial" w:hint="cs"/>
          <w:sz w:val="16"/>
          <w:szCs w:val="16"/>
          <w:rtl/>
        </w:rPr>
        <w:t>ד"</w:t>
      </w:r>
      <w:r w:rsidRPr="009D289C">
        <w:rPr>
          <w:rFonts w:cs="Arial"/>
          <w:sz w:val="16"/>
          <w:szCs w:val="16"/>
          <w:rtl/>
        </w:rPr>
        <w:t>ו)</w:t>
      </w:r>
      <w:r>
        <w:rPr>
          <w:rFonts w:cs="Arial" w:hint="cs"/>
          <w:rtl/>
        </w:rPr>
        <w:t xml:space="preserve"> ואו</w:t>
      </w:r>
      <w:r>
        <w:rPr>
          <w:rFonts w:cs="Arial"/>
          <w:rtl/>
        </w:rPr>
        <w:t>"</w:t>
      </w:r>
      <w:r>
        <w:rPr>
          <w:rFonts w:cs="Arial" w:hint="cs"/>
          <w:rtl/>
        </w:rPr>
        <w:t xml:space="preserve">ה </w:t>
      </w:r>
      <w:r w:rsidRPr="009D289C">
        <w:rPr>
          <w:rFonts w:cs="Arial" w:hint="cs"/>
          <w:sz w:val="16"/>
          <w:szCs w:val="16"/>
          <w:rtl/>
        </w:rPr>
        <w:t>(</w:t>
      </w:r>
      <w:r w:rsidRPr="009D289C">
        <w:rPr>
          <w:rFonts w:cs="Arial"/>
          <w:sz w:val="16"/>
          <w:szCs w:val="16"/>
          <w:rtl/>
        </w:rPr>
        <w:t>ככ</w:t>
      </w:r>
      <w:r>
        <w:rPr>
          <w:rFonts w:cs="Arial" w:hint="cs"/>
          <w:sz w:val="16"/>
          <w:szCs w:val="16"/>
          <w:rtl/>
        </w:rPr>
        <w:t>"</w:t>
      </w:r>
      <w:r w:rsidRPr="009D289C">
        <w:rPr>
          <w:rFonts w:cs="Arial"/>
          <w:sz w:val="16"/>
          <w:szCs w:val="16"/>
          <w:rtl/>
        </w:rPr>
        <w:t>ג</w:t>
      </w:r>
      <w:r w:rsidRPr="009D289C">
        <w:rPr>
          <w:rFonts w:cs="Arial" w:hint="cs"/>
          <w:sz w:val="16"/>
          <w:szCs w:val="16"/>
          <w:rtl/>
        </w:rPr>
        <w:t>,</w:t>
      </w:r>
      <w:r w:rsidRPr="009D289C">
        <w:rPr>
          <w:rFonts w:cs="Arial"/>
          <w:sz w:val="16"/>
          <w:szCs w:val="16"/>
          <w:rtl/>
        </w:rPr>
        <w:t xml:space="preserve"> עי' די</w:t>
      </w:r>
      <w:r>
        <w:rPr>
          <w:rFonts w:cs="Arial" w:hint="cs"/>
          <w:sz w:val="16"/>
          <w:szCs w:val="16"/>
          <w:rtl/>
        </w:rPr>
        <w:t>"</w:t>
      </w:r>
      <w:r w:rsidRPr="009D289C">
        <w:rPr>
          <w:rFonts w:cs="Arial"/>
          <w:sz w:val="16"/>
          <w:szCs w:val="16"/>
          <w:rtl/>
        </w:rPr>
        <w:t>א)</w:t>
      </w:r>
      <w:r>
        <w:rPr>
          <w:rFonts w:cs="Arial" w:hint="cs"/>
          <w:rtl/>
        </w:rPr>
        <w:t xml:space="preserve">- </w:t>
      </w:r>
      <w:r w:rsidRPr="00065583">
        <w:rPr>
          <w:rFonts w:cs="Arial"/>
          <w:rtl/>
        </w:rPr>
        <w:t>יראה דאע"ג דקי"ל דא"צ להשליך אחד אלא גבי תרומה מפני גזל כהן</w:t>
      </w:r>
      <w:r>
        <w:rPr>
          <w:rFonts w:cs="Arial" w:hint="cs"/>
          <w:rtl/>
        </w:rPr>
        <w:t>,</w:t>
      </w:r>
      <w:r w:rsidRPr="00065583">
        <w:rPr>
          <w:rFonts w:cs="Arial"/>
          <w:rtl/>
        </w:rPr>
        <w:t xml:space="preserve"> דוקא להשליך לאיבוד או לתת לגוי לא צריכ</w:t>
      </w:r>
      <w:r>
        <w:rPr>
          <w:rFonts w:cs="Arial" w:hint="cs"/>
          <w:rtl/>
        </w:rPr>
        <w:t>ינן</w:t>
      </w:r>
      <w:r w:rsidRPr="00065583">
        <w:rPr>
          <w:rFonts w:cs="Arial"/>
          <w:rtl/>
        </w:rPr>
        <w:t xml:space="preserve"> אבל להאכיל לשני בני אדם יש להחמיר</w:t>
      </w:r>
      <w:r>
        <w:rPr>
          <w:rFonts w:cs="Arial" w:hint="cs"/>
          <w:rtl/>
        </w:rPr>
        <w:t>,</w:t>
      </w:r>
      <w:r w:rsidRPr="00065583">
        <w:rPr>
          <w:rFonts w:cs="Arial"/>
          <w:rtl/>
        </w:rPr>
        <w:t xml:space="preserve"> דליכא פסידא כולי האי</w:t>
      </w:r>
      <w:r>
        <w:rPr>
          <w:rStyle w:val="a7"/>
          <w:rFonts w:cs="Arial"/>
          <w:rtl/>
        </w:rPr>
        <w:footnoteReference w:id="2393"/>
      </w:r>
      <w:r>
        <w:rPr>
          <w:rFonts w:cs="Arial" w:hint="cs"/>
          <w:rtl/>
        </w:rPr>
        <w:t xml:space="preserve">, </w:t>
      </w:r>
      <w:r w:rsidRPr="00065583">
        <w:rPr>
          <w:rFonts w:cs="Arial"/>
          <w:rtl/>
        </w:rPr>
        <w:t>ומ</w:t>
      </w:r>
      <w:r>
        <w:rPr>
          <w:rFonts w:cs="Arial" w:hint="cs"/>
          <w:rtl/>
        </w:rPr>
        <w:t>"</w:t>
      </w:r>
      <w:r w:rsidRPr="00065583">
        <w:rPr>
          <w:rFonts w:cs="Arial"/>
          <w:rtl/>
        </w:rPr>
        <w:t>מ הסומך על דברי רמב"ם ואשיר"י לאכלן כאחד לאדם אחד לא הפסיד</w:t>
      </w:r>
      <w:r>
        <w:rPr>
          <w:rFonts w:cs="Arial" w:hint="cs"/>
          <w:sz w:val="16"/>
          <w:szCs w:val="16"/>
          <w:rtl/>
        </w:rPr>
        <w:t xml:space="preserve"> (ל' הגשע"ד)</w:t>
      </w:r>
      <w:r>
        <w:rPr>
          <w:rFonts w:cs="Arial" w:hint="cs"/>
          <w:rtl/>
        </w:rPr>
        <w:t>.</w:t>
      </w:r>
      <w:r w:rsidRPr="00664CA2">
        <w:rPr>
          <w:rFonts w:cs="Arial" w:hint="cs"/>
          <w:color w:val="00B0F0"/>
          <w:rtl/>
        </w:rPr>
        <w:t xml:space="preserve"> </w:t>
      </w:r>
      <w:r w:rsidRPr="00732848">
        <w:rPr>
          <w:rFonts w:cs="Arial" w:hint="cs"/>
          <w:color w:val="00B0F0"/>
          <w:rtl/>
        </w:rPr>
        <w:t>(וכ"פ הרמ"א)</w:t>
      </w:r>
    </w:p>
    <w:p w14:paraId="19A788BB" w14:textId="77777777" w:rsidR="002C39F4" w:rsidRPr="001B1477" w:rsidRDefault="002C39F4" w:rsidP="002C39F4">
      <w:pPr>
        <w:ind w:left="360"/>
        <w:rPr>
          <w:rFonts w:cs="Arial"/>
          <w:u w:val="dotted"/>
          <w:rtl/>
        </w:rPr>
      </w:pPr>
      <w:r w:rsidRPr="001B1477">
        <w:rPr>
          <w:rFonts w:cs="Arial" w:hint="cs"/>
          <w:u w:val="dotted"/>
          <w:rtl/>
        </w:rPr>
        <w:t>למתירים</w:t>
      </w:r>
      <w:r w:rsidRPr="001B1477">
        <w:rPr>
          <w:rFonts w:cs="Arial" w:hint="cs"/>
          <w:sz w:val="16"/>
          <w:szCs w:val="16"/>
          <w:u w:val="dotted"/>
          <w:rtl/>
        </w:rPr>
        <w:t xml:space="preserve"> </w:t>
      </w:r>
      <w:r w:rsidRPr="001B1477">
        <w:rPr>
          <w:rFonts w:cs="Arial"/>
          <w:u w:val="dotted"/>
          <w:rtl/>
        </w:rPr>
        <w:t>–</w:t>
      </w:r>
      <w:r w:rsidRPr="001B1477">
        <w:rPr>
          <w:rFonts w:cs="Arial" w:hint="cs"/>
          <w:u w:val="dotted"/>
          <w:rtl/>
        </w:rPr>
        <w:t xml:space="preserve"> האם מותר לאכול/לבשל את כל החתיכות כאחד:</w:t>
      </w:r>
    </w:p>
    <w:p w14:paraId="4B352A7A" w14:textId="77777777" w:rsidR="002C39F4" w:rsidRDefault="002C39F4" w:rsidP="0032102C">
      <w:pPr>
        <w:pStyle w:val="a8"/>
        <w:numPr>
          <w:ilvl w:val="0"/>
          <w:numId w:val="243"/>
        </w:numPr>
        <w:rPr>
          <w:rFonts w:cs="Arial"/>
        </w:rPr>
      </w:pPr>
      <w:r w:rsidRPr="001B316B">
        <w:rPr>
          <w:rFonts w:cs="Arial"/>
          <w:rtl/>
        </w:rPr>
        <w:t xml:space="preserve">רא"ש </w:t>
      </w:r>
      <w:r w:rsidRPr="00065583">
        <w:rPr>
          <w:rFonts w:cs="Arial" w:hint="cs"/>
          <w:sz w:val="16"/>
          <w:szCs w:val="16"/>
          <w:rtl/>
        </w:rPr>
        <w:t>(</w:t>
      </w:r>
      <w:r w:rsidRPr="00065583">
        <w:rPr>
          <w:rFonts w:cs="Arial"/>
          <w:sz w:val="16"/>
          <w:szCs w:val="16"/>
          <w:rtl/>
        </w:rPr>
        <w:t xml:space="preserve">פג"ה סי' לז) </w:t>
      </w:r>
      <w:r w:rsidRPr="00065583">
        <w:rPr>
          <w:rFonts w:cs="Arial"/>
          <w:rtl/>
        </w:rPr>
        <w:t xml:space="preserve">סמ"ק </w:t>
      </w:r>
      <w:r w:rsidRPr="00065583">
        <w:rPr>
          <w:rFonts w:cs="Arial"/>
          <w:sz w:val="16"/>
          <w:szCs w:val="16"/>
          <w:rtl/>
        </w:rPr>
        <w:t>(סי' ריד)</w:t>
      </w:r>
      <w:r w:rsidRPr="00065583">
        <w:rPr>
          <w:rFonts w:cs="Arial" w:hint="cs"/>
          <w:sz w:val="16"/>
          <w:szCs w:val="16"/>
          <w:rtl/>
        </w:rPr>
        <w:t xml:space="preserve"> </w:t>
      </w:r>
      <w:r>
        <w:rPr>
          <w:rFonts w:cs="Arial" w:hint="cs"/>
          <w:rtl/>
        </w:rPr>
        <w:t xml:space="preserve">וטור- </w:t>
      </w:r>
      <w:r w:rsidRPr="001B316B">
        <w:rPr>
          <w:rFonts w:cs="Arial"/>
          <w:rtl/>
        </w:rPr>
        <w:t>מותר לאדם אחד לאכול כולם ביחד אע</w:t>
      </w:r>
      <w:r w:rsidRPr="001B316B">
        <w:rPr>
          <w:rFonts w:cs="Arial" w:hint="cs"/>
          <w:rtl/>
        </w:rPr>
        <w:t>"</w:t>
      </w:r>
      <w:r w:rsidRPr="001B316B">
        <w:rPr>
          <w:rFonts w:cs="Arial"/>
          <w:rtl/>
        </w:rPr>
        <w:t>פ שבודאי אוכל איסור</w:t>
      </w:r>
      <w:r>
        <w:rPr>
          <w:rStyle w:val="a7"/>
          <w:rFonts w:cs="Arial"/>
          <w:rtl/>
        </w:rPr>
        <w:footnoteReference w:id="2394"/>
      </w:r>
      <w:r>
        <w:rPr>
          <w:rFonts w:cs="Arial" w:hint="cs"/>
          <w:rtl/>
        </w:rPr>
        <w:t>,</w:t>
      </w:r>
      <w:r w:rsidRPr="001B316B">
        <w:rPr>
          <w:rFonts w:cs="Arial"/>
          <w:rtl/>
        </w:rPr>
        <w:t xml:space="preserve"> וכן מותר לאכול כל אחת ואחת בפני עצמה</w:t>
      </w:r>
      <w:r>
        <w:rPr>
          <w:rFonts w:cs="Arial" w:hint="cs"/>
          <w:sz w:val="16"/>
          <w:szCs w:val="16"/>
          <w:rtl/>
        </w:rPr>
        <w:t xml:space="preserve"> (ל' הטור)</w:t>
      </w:r>
      <w:r w:rsidRPr="001B316B">
        <w:rPr>
          <w:rFonts w:cs="Arial"/>
          <w:rtl/>
        </w:rPr>
        <w:t xml:space="preserve">. </w:t>
      </w:r>
      <w:r>
        <w:rPr>
          <w:rFonts w:cs="Arial" w:hint="cs"/>
          <w:rtl/>
        </w:rPr>
        <w:t>ו</w:t>
      </w:r>
      <w:r w:rsidRPr="00065583">
        <w:rPr>
          <w:rFonts w:cs="Arial"/>
          <w:rtl/>
        </w:rPr>
        <w:t>אפילו נתבשלו כולם יחד אפילו רוטב מותר מן הדין אחר שכבר נתבטלה</w:t>
      </w:r>
      <w:r>
        <w:rPr>
          <w:rFonts w:cs="Arial" w:hint="cs"/>
          <w:sz w:val="16"/>
          <w:szCs w:val="16"/>
          <w:rtl/>
        </w:rPr>
        <w:t xml:space="preserve"> (סמ"ק)</w:t>
      </w:r>
      <w:r w:rsidRPr="00065583">
        <w:rPr>
          <w:rFonts w:cs="Arial" w:hint="cs"/>
          <w:rtl/>
        </w:rPr>
        <w:t>.</w:t>
      </w:r>
    </w:p>
    <w:p w14:paraId="51AB5B2B" w14:textId="77777777" w:rsidR="002C39F4" w:rsidRPr="00065583" w:rsidRDefault="002C39F4" w:rsidP="0032102C">
      <w:pPr>
        <w:pStyle w:val="a8"/>
        <w:numPr>
          <w:ilvl w:val="0"/>
          <w:numId w:val="243"/>
        </w:numPr>
        <w:rPr>
          <w:rFonts w:cs="Arial"/>
          <w:rtl/>
        </w:rPr>
      </w:pPr>
      <w:r w:rsidRPr="00065583">
        <w:rPr>
          <w:rFonts w:cs="Arial"/>
          <w:rtl/>
        </w:rPr>
        <w:t>רשב"א</w:t>
      </w:r>
      <w:r>
        <w:rPr>
          <w:rFonts w:cs="Arial" w:hint="cs"/>
          <w:rtl/>
        </w:rPr>
        <w:t xml:space="preserve"> </w:t>
      </w:r>
      <w:r w:rsidRPr="00065583">
        <w:rPr>
          <w:rFonts w:cs="Arial"/>
          <w:sz w:val="16"/>
          <w:szCs w:val="16"/>
          <w:rtl/>
        </w:rPr>
        <w:t>(תוה"ק ב"ד ש"א יב:)</w:t>
      </w:r>
      <w:r>
        <w:rPr>
          <w:rFonts w:cs="Arial" w:hint="cs"/>
          <w:rtl/>
        </w:rPr>
        <w:t xml:space="preserve">- </w:t>
      </w:r>
      <w:r w:rsidRPr="00065583">
        <w:rPr>
          <w:rFonts w:cs="Arial"/>
          <w:rtl/>
        </w:rPr>
        <w:t>צריך לאכלם אחת אחת</w:t>
      </w:r>
      <w:r>
        <w:rPr>
          <w:rFonts w:cs="Arial" w:hint="cs"/>
          <w:rtl/>
        </w:rPr>
        <w:t>, וכן אין לבשלם כאחד</w:t>
      </w:r>
      <w:r>
        <w:rPr>
          <w:rStyle w:val="a7"/>
          <w:rFonts w:cs="Arial"/>
          <w:rtl/>
        </w:rPr>
        <w:footnoteReference w:id="2395"/>
      </w:r>
      <w:r>
        <w:rPr>
          <w:rFonts w:cs="Arial" w:hint="cs"/>
          <w:rtl/>
        </w:rPr>
        <w:t>.</w:t>
      </w:r>
      <w:r w:rsidRPr="00065583">
        <w:rPr>
          <w:rFonts w:cs="Arial"/>
          <w:rtl/>
        </w:rPr>
        <w:t xml:space="preserve"> </w:t>
      </w:r>
      <w:r w:rsidRPr="00732848">
        <w:rPr>
          <w:rFonts w:cs="Arial" w:hint="cs"/>
          <w:color w:val="E36C0A" w:themeColor="accent6" w:themeShade="BF"/>
          <w:rtl/>
        </w:rPr>
        <w:t>(וכ"</w:t>
      </w:r>
      <w:r>
        <w:rPr>
          <w:rFonts w:cs="Arial" w:hint="cs"/>
          <w:color w:val="E36C0A" w:themeColor="accent6" w:themeShade="BF"/>
          <w:rtl/>
        </w:rPr>
        <w:t>ס</w:t>
      </w:r>
      <w:r w:rsidRPr="00732848">
        <w:rPr>
          <w:rFonts w:cs="Arial" w:hint="cs"/>
          <w:color w:val="E36C0A" w:themeColor="accent6" w:themeShade="BF"/>
          <w:rtl/>
        </w:rPr>
        <w:t xml:space="preserve"> בשו"ע)</w:t>
      </w:r>
    </w:p>
    <w:p w14:paraId="35D55A16" w14:textId="77777777" w:rsidR="002C39F4" w:rsidRDefault="002C39F4" w:rsidP="0032102C">
      <w:pPr>
        <w:pStyle w:val="a8"/>
        <w:numPr>
          <w:ilvl w:val="0"/>
          <w:numId w:val="243"/>
        </w:numPr>
        <w:rPr>
          <w:rtl/>
        </w:rPr>
      </w:pPr>
      <w:r w:rsidRPr="00AD422C">
        <w:rPr>
          <w:rFonts w:cs="Arial" w:hint="cs"/>
          <w:rtl/>
        </w:rPr>
        <w:t>הגשע"ד</w:t>
      </w:r>
      <w:r w:rsidRPr="00AD422C">
        <w:rPr>
          <w:rFonts w:cs="Arial"/>
          <w:rtl/>
        </w:rPr>
        <w:t xml:space="preserve"> </w:t>
      </w:r>
      <w:r w:rsidRPr="00AD422C">
        <w:rPr>
          <w:rFonts w:cs="Arial"/>
          <w:sz w:val="16"/>
          <w:szCs w:val="16"/>
          <w:rtl/>
        </w:rPr>
        <w:t>(סי' לט אות א)</w:t>
      </w:r>
      <w:r>
        <w:rPr>
          <w:rFonts w:cs="Arial" w:hint="cs"/>
          <w:rtl/>
        </w:rPr>
        <w:t>-</w:t>
      </w:r>
      <w:r w:rsidRPr="00AD422C">
        <w:rPr>
          <w:rFonts w:cs="Arial"/>
          <w:rtl/>
        </w:rPr>
        <w:t xml:space="preserve"> לסמ"ג שכתב דיש להחמיר שלא לאכלן אדם א</w:t>
      </w:r>
      <w:r>
        <w:rPr>
          <w:rFonts w:cs="Arial" w:hint="cs"/>
          <w:rtl/>
        </w:rPr>
        <w:t>חד</w:t>
      </w:r>
      <w:r w:rsidRPr="00AD422C">
        <w:rPr>
          <w:rFonts w:cs="Arial"/>
          <w:rtl/>
        </w:rPr>
        <w:t xml:space="preserve"> יראה דה</w:t>
      </w:r>
      <w:r>
        <w:rPr>
          <w:rFonts w:cs="Arial" w:hint="cs"/>
          <w:rtl/>
        </w:rPr>
        <w:t>"</w:t>
      </w:r>
      <w:r w:rsidRPr="00AD422C">
        <w:rPr>
          <w:rFonts w:cs="Arial"/>
          <w:rtl/>
        </w:rPr>
        <w:t>ה שלא לבשלן בקדרה אחת אפילו להאכילם לשני בני אדם דהא הרוטב ודאי אסור מן התורה כדקי"ל טעם כעיקר דאו</w:t>
      </w:r>
      <w:r>
        <w:rPr>
          <w:rFonts w:cs="Arial" w:hint="cs"/>
          <w:rtl/>
        </w:rPr>
        <w:t>'</w:t>
      </w:r>
      <w:r w:rsidRPr="00AD422C">
        <w:rPr>
          <w:rFonts w:cs="Arial"/>
          <w:rtl/>
        </w:rPr>
        <w:t xml:space="preserve"> עד ששים כיון דלא בעי למימר שהאיסור נעשה היתר מדאסרינן לאדם אחד</w:t>
      </w:r>
      <w:r>
        <w:rPr>
          <w:rFonts w:cs="Arial" w:hint="cs"/>
          <w:rtl/>
        </w:rPr>
        <w:t>,</w:t>
      </w:r>
      <w:r w:rsidRPr="00AD422C">
        <w:rPr>
          <w:rFonts w:cs="Arial"/>
          <w:rtl/>
        </w:rPr>
        <w:t xml:space="preserve"> ויראה אע</w:t>
      </w:r>
      <w:r>
        <w:rPr>
          <w:rFonts w:cs="Arial" w:hint="cs"/>
          <w:rtl/>
        </w:rPr>
        <w:t>"</w:t>
      </w:r>
      <w:r w:rsidRPr="00AD422C">
        <w:rPr>
          <w:rFonts w:cs="Arial"/>
          <w:rtl/>
        </w:rPr>
        <w:t>ג דקי"ל דא"צ להשליך אחד דוקא להשליך לאיבוד או לתת לגוי לא צריכים אבל להאכיל לשני בני אדם יש להחמיר דליכא פסידא כולי האי</w:t>
      </w:r>
      <w:r w:rsidRPr="00AD422C">
        <w:rPr>
          <w:rFonts w:cs="Arial" w:hint="cs"/>
          <w:rtl/>
        </w:rPr>
        <w:t>.</w:t>
      </w:r>
    </w:p>
    <w:p w14:paraId="54EDD32F" w14:textId="77777777" w:rsidR="002C39F4" w:rsidRPr="009D289C" w:rsidRDefault="002C39F4" w:rsidP="002C39F4">
      <w:pPr>
        <w:ind w:left="360"/>
        <w:rPr>
          <w:rFonts w:cs="Arial"/>
          <w:u w:val="dotted"/>
          <w:rtl/>
        </w:rPr>
      </w:pPr>
      <w:r w:rsidRPr="001B1477">
        <w:rPr>
          <w:rFonts w:cs="Arial" w:hint="cs"/>
          <w:u w:val="dotted"/>
          <w:rtl/>
        </w:rPr>
        <w:t>למתירים</w:t>
      </w:r>
      <w:r w:rsidRPr="001B1477">
        <w:rPr>
          <w:rFonts w:cs="Arial" w:hint="cs"/>
          <w:sz w:val="16"/>
          <w:szCs w:val="16"/>
          <w:u w:val="dotted"/>
          <w:rtl/>
        </w:rPr>
        <w:t xml:space="preserve"> </w:t>
      </w:r>
      <w:r w:rsidRPr="001B1477">
        <w:rPr>
          <w:rFonts w:cs="Arial"/>
          <w:u w:val="dotted"/>
          <w:rtl/>
        </w:rPr>
        <w:t>–</w:t>
      </w:r>
      <w:r>
        <w:rPr>
          <w:rFonts w:cs="Arial" w:hint="cs"/>
          <w:u w:val="dotted"/>
          <w:rtl/>
        </w:rPr>
        <w:t xml:space="preserve"> </w:t>
      </w:r>
      <w:r w:rsidRPr="009D289C">
        <w:rPr>
          <w:rFonts w:cs="Arial" w:hint="cs"/>
          <w:u w:val="dotted"/>
          <w:rtl/>
        </w:rPr>
        <w:t>האם צריך להשליך חתיכה אחת כנגד האיסור</w:t>
      </w:r>
      <w:r>
        <w:rPr>
          <w:rFonts w:cs="Arial" w:hint="cs"/>
          <w:u w:val="dotted"/>
          <w:rtl/>
        </w:rPr>
        <w:t xml:space="preserve"> לפני שאוכל את כולם</w:t>
      </w:r>
      <w:r w:rsidRPr="009D289C">
        <w:rPr>
          <w:rFonts w:cs="Arial" w:hint="cs"/>
          <w:u w:val="dotted"/>
          <w:rtl/>
        </w:rPr>
        <w:t>:</w:t>
      </w:r>
    </w:p>
    <w:p w14:paraId="42CBA012" w14:textId="77777777" w:rsidR="002C39F4" w:rsidRDefault="002C39F4" w:rsidP="0032102C">
      <w:pPr>
        <w:pStyle w:val="a8"/>
        <w:numPr>
          <w:ilvl w:val="0"/>
          <w:numId w:val="243"/>
        </w:numPr>
      </w:pPr>
      <w:r>
        <w:rPr>
          <w:rFonts w:cs="Arial" w:hint="cs"/>
          <w:rtl/>
        </w:rPr>
        <w:t>סה"ת</w:t>
      </w:r>
      <w:r w:rsidRPr="00065583">
        <w:rPr>
          <w:rFonts w:cs="Arial"/>
          <w:rtl/>
        </w:rPr>
        <w:t xml:space="preserve"> </w:t>
      </w:r>
      <w:r w:rsidRPr="009D289C">
        <w:rPr>
          <w:rFonts w:cs="Arial"/>
          <w:sz w:val="16"/>
          <w:szCs w:val="16"/>
          <w:rtl/>
        </w:rPr>
        <w:t xml:space="preserve">(סי' נ ד"ה הלכך) </w:t>
      </w:r>
      <w:r w:rsidRPr="00065583">
        <w:rPr>
          <w:rFonts w:cs="Arial"/>
          <w:rtl/>
        </w:rPr>
        <w:t xml:space="preserve">סמ"ק </w:t>
      </w:r>
      <w:r w:rsidRPr="009D289C">
        <w:rPr>
          <w:rFonts w:cs="Arial"/>
          <w:sz w:val="16"/>
          <w:szCs w:val="16"/>
          <w:rtl/>
        </w:rPr>
        <w:t xml:space="preserve">(סי' ריד) </w:t>
      </w:r>
      <w:r w:rsidRPr="00065583">
        <w:rPr>
          <w:rFonts w:cs="Arial" w:hint="cs"/>
          <w:rtl/>
        </w:rPr>
        <w:t xml:space="preserve">טור- </w:t>
      </w:r>
      <w:r w:rsidRPr="00065583">
        <w:rPr>
          <w:rFonts w:cs="Arial"/>
          <w:rtl/>
        </w:rPr>
        <w:t>אין צריך להשליך אחד כנגד האיסור</w:t>
      </w:r>
      <w:r>
        <w:rPr>
          <w:rStyle w:val="a7"/>
          <w:rFonts w:cs="Arial"/>
          <w:rtl/>
        </w:rPr>
        <w:footnoteReference w:id="2396"/>
      </w:r>
      <w:r w:rsidRPr="00065583">
        <w:rPr>
          <w:rFonts w:cs="Arial"/>
          <w:rtl/>
        </w:rPr>
        <w:t>.</w:t>
      </w:r>
      <w:r>
        <w:rPr>
          <w:rFonts w:cs="Arial" w:hint="cs"/>
          <w:rtl/>
        </w:rPr>
        <w:t xml:space="preserve"> </w:t>
      </w:r>
      <w:r w:rsidRPr="00732848">
        <w:rPr>
          <w:rFonts w:cs="Arial" w:hint="cs"/>
          <w:color w:val="E36C0A" w:themeColor="accent6" w:themeShade="BF"/>
          <w:rtl/>
        </w:rPr>
        <w:t>(וכ"</w:t>
      </w:r>
      <w:r>
        <w:rPr>
          <w:rFonts w:cs="Arial" w:hint="cs"/>
          <w:color w:val="E36C0A" w:themeColor="accent6" w:themeShade="BF"/>
          <w:rtl/>
        </w:rPr>
        <w:t>ס</w:t>
      </w:r>
      <w:r w:rsidRPr="00732848">
        <w:rPr>
          <w:rFonts w:cs="Arial" w:hint="cs"/>
          <w:color w:val="E36C0A" w:themeColor="accent6" w:themeShade="BF"/>
          <w:rtl/>
        </w:rPr>
        <w:t xml:space="preserve"> בשו"ע)</w:t>
      </w:r>
      <w:r w:rsidRPr="00065583">
        <w:rPr>
          <w:rFonts w:cs="Arial"/>
          <w:rtl/>
        </w:rPr>
        <w:t xml:space="preserve"> </w:t>
      </w:r>
      <w:r w:rsidRPr="00B32B67">
        <w:rPr>
          <w:rFonts w:hint="cs"/>
          <w:color w:val="00B0F0"/>
          <w:rtl/>
        </w:rPr>
        <w:t>(וכ"פ הרמ"א)</w:t>
      </w:r>
    </w:p>
    <w:p w14:paraId="18C89EE5" w14:textId="77777777" w:rsidR="002C39F4" w:rsidRPr="00065583" w:rsidRDefault="002C39F4" w:rsidP="0032102C">
      <w:pPr>
        <w:pStyle w:val="a8"/>
        <w:numPr>
          <w:ilvl w:val="0"/>
          <w:numId w:val="243"/>
        </w:numPr>
      </w:pPr>
      <w:r w:rsidRPr="007E7974">
        <w:rPr>
          <w:rtl/>
        </w:rPr>
        <w:t>רש"י</w:t>
      </w:r>
      <w:r w:rsidRPr="007E7974">
        <w:rPr>
          <w:sz w:val="16"/>
          <w:szCs w:val="16"/>
          <w:rtl/>
        </w:rPr>
        <w:t xml:space="preserve"> (ע"ז עד. ד"ה תרתי)</w:t>
      </w:r>
      <w:r>
        <w:rPr>
          <w:rFonts w:hint="cs"/>
          <w:rtl/>
        </w:rPr>
        <w:t xml:space="preserve">- </w:t>
      </w:r>
      <w:r w:rsidRPr="007E7974">
        <w:rPr>
          <w:rtl/>
        </w:rPr>
        <w:t>שדי חדא לכלבים ואינך שרו באכילה</w:t>
      </w:r>
      <w:r>
        <w:rPr>
          <w:rFonts w:hint="cs"/>
          <w:rtl/>
        </w:rPr>
        <w:t>.</w:t>
      </w:r>
    </w:p>
    <w:p w14:paraId="63846E30" w14:textId="77777777" w:rsidR="002C39F4" w:rsidRPr="00190B5B" w:rsidRDefault="002C39F4" w:rsidP="002C39F4">
      <w:pPr>
        <w:ind w:left="360"/>
        <w:rPr>
          <w:rFonts w:cs="Arial"/>
          <w:u w:val="dotted"/>
          <w:rtl/>
        </w:rPr>
      </w:pPr>
      <w:r w:rsidRPr="001B1477">
        <w:rPr>
          <w:rFonts w:cs="Arial" w:hint="cs"/>
          <w:u w:val="dotted"/>
          <w:rtl/>
        </w:rPr>
        <w:t>למתירים</w:t>
      </w:r>
      <w:r w:rsidRPr="001B1477">
        <w:rPr>
          <w:rFonts w:cs="Arial" w:hint="cs"/>
          <w:sz w:val="16"/>
          <w:szCs w:val="16"/>
          <w:u w:val="dotted"/>
          <w:rtl/>
        </w:rPr>
        <w:t xml:space="preserve"> </w:t>
      </w:r>
      <w:r w:rsidRPr="001B1477">
        <w:rPr>
          <w:rFonts w:cs="Arial"/>
          <w:u w:val="dotted"/>
          <w:rtl/>
        </w:rPr>
        <w:t>–</w:t>
      </w:r>
      <w:r>
        <w:rPr>
          <w:rFonts w:cs="Arial" w:hint="cs"/>
          <w:u w:val="dotted"/>
          <w:rtl/>
        </w:rPr>
        <w:t xml:space="preserve"> </w:t>
      </w:r>
      <w:r w:rsidRPr="00190B5B">
        <w:rPr>
          <w:rFonts w:cs="Arial" w:hint="cs"/>
          <w:u w:val="dotted"/>
          <w:rtl/>
        </w:rPr>
        <w:t xml:space="preserve">מה הדין אם האיסור לא בטל אפי' במשהו </w:t>
      </w:r>
      <w:r w:rsidRPr="00190B5B">
        <w:rPr>
          <w:rFonts w:cs="Arial" w:hint="cs"/>
          <w:sz w:val="16"/>
          <w:szCs w:val="16"/>
          <w:u w:val="dotted"/>
          <w:rtl/>
        </w:rPr>
        <w:t xml:space="preserve">(כגון חמץ בפסח, עי' </w:t>
      </w:r>
      <w:r>
        <w:rPr>
          <w:rFonts w:cs="Arial" w:hint="cs"/>
          <w:sz w:val="16"/>
          <w:szCs w:val="16"/>
          <w:u w:val="dotted"/>
          <w:rtl/>
        </w:rPr>
        <w:t>ב</w:t>
      </w:r>
      <w:r w:rsidRPr="00190B5B">
        <w:rPr>
          <w:rFonts w:cs="Arial"/>
          <w:sz w:val="16"/>
          <w:szCs w:val="16"/>
          <w:u w:val="dotted"/>
          <w:rtl/>
        </w:rPr>
        <w:t>או</w:t>
      </w:r>
      <w:r w:rsidRPr="00190B5B">
        <w:rPr>
          <w:rFonts w:cs="Arial" w:hint="cs"/>
          <w:sz w:val="16"/>
          <w:szCs w:val="16"/>
          <w:u w:val="dotted"/>
          <w:rtl/>
        </w:rPr>
        <w:t>"</w:t>
      </w:r>
      <w:r w:rsidRPr="00190B5B">
        <w:rPr>
          <w:rFonts w:cs="Arial"/>
          <w:sz w:val="16"/>
          <w:szCs w:val="16"/>
          <w:u w:val="dotted"/>
          <w:rtl/>
        </w:rPr>
        <w:t>ח</w:t>
      </w:r>
      <w:r w:rsidRPr="00190B5B">
        <w:rPr>
          <w:rFonts w:cs="Arial" w:hint="cs"/>
          <w:sz w:val="16"/>
          <w:szCs w:val="16"/>
          <w:u w:val="dotted"/>
          <w:rtl/>
        </w:rPr>
        <w:t xml:space="preserve"> </w:t>
      </w:r>
      <w:r w:rsidRPr="00190B5B">
        <w:rPr>
          <w:rFonts w:cs="Arial"/>
          <w:sz w:val="16"/>
          <w:szCs w:val="16"/>
          <w:u w:val="dotted"/>
          <w:rtl/>
        </w:rPr>
        <w:t>סי</w:t>
      </w:r>
      <w:r w:rsidRPr="00190B5B">
        <w:rPr>
          <w:rFonts w:cs="Arial" w:hint="cs"/>
          <w:sz w:val="16"/>
          <w:szCs w:val="16"/>
          <w:u w:val="dotted"/>
          <w:rtl/>
        </w:rPr>
        <w:t>'</w:t>
      </w:r>
      <w:r w:rsidRPr="00190B5B">
        <w:rPr>
          <w:rFonts w:cs="Arial"/>
          <w:sz w:val="16"/>
          <w:szCs w:val="16"/>
          <w:u w:val="dotted"/>
          <w:rtl/>
        </w:rPr>
        <w:t xml:space="preserve"> תמז</w:t>
      </w:r>
      <w:r>
        <w:rPr>
          <w:rFonts w:cs="Arial" w:hint="cs"/>
          <w:sz w:val="16"/>
          <w:szCs w:val="16"/>
          <w:u w:val="dotted"/>
          <w:rtl/>
        </w:rPr>
        <w:t xml:space="preserve"> ביתר פירוט</w:t>
      </w:r>
      <w:r w:rsidRPr="00190B5B">
        <w:rPr>
          <w:rFonts w:cs="Arial" w:hint="cs"/>
          <w:sz w:val="16"/>
          <w:szCs w:val="16"/>
          <w:u w:val="dotted"/>
          <w:rtl/>
        </w:rPr>
        <w:t>)</w:t>
      </w:r>
      <w:r w:rsidRPr="00190B5B">
        <w:rPr>
          <w:rFonts w:cs="Arial" w:hint="cs"/>
          <w:u w:val="dotted"/>
          <w:rtl/>
        </w:rPr>
        <w:t>:</w:t>
      </w:r>
    </w:p>
    <w:p w14:paraId="6A840DB6" w14:textId="77777777" w:rsidR="002C39F4" w:rsidRDefault="002C39F4" w:rsidP="0032102C">
      <w:pPr>
        <w:pStyle w:val="a8"/>
        <w:numPr>
          <w:ilvl w:val="0"/>
          <w:numId w:val="141"/>
        </w:numPr>
        <w:rPr>
          <w:rFonts w:cs="Arial"/>
        </w:rPr>
      </w:pPr>
      <w:r w:rsidRPr="00B55E7C">
        <w:rPr>
          <w:rFonts w:cs="Arial"/>
          <w:rtl/>
        </w:rPr>
        <w:t>רא"ש</w:t>
      </w:r>
      <w:r>
        <w:rPr>
          <w:rFonts w:cs="Arial" w:hint="cs"/>
          <w:rtl/>
        </w:rPr>
        <w:t xml:space="preserve"> </w:t>
      </w:r>
      <w:r>
        <w:rPr>
          <w:rFonts w:cs="Arial" w:hint="cs"/>
          <w:sz w:val="16"/>
          <w:szCs w:val="16"/>
          <w:rtl/>
        </w:rPr>
        <w:t xml:space="preserve"> (כ"כ הטור בשמו)</w:t>
      </w:r>
      <w:r>
        <w:rPr>
          <w:rFonts w:cs="Arial" w:hint="cs"/>
          <w:rtl/>
        </w:rPr>
        <w:t xml:space="preserve"> וטור- </w:t>
      </w:r>
      <w:r w:rsidRPr="00B55E7C">
        <w:rPr>
          <w:rFonts w:cs="Arial"/>
          <w:rtl/>
        </w:rPr>
        <w:t>אפילו אם האיסור איסור הנאה כגון חמץ בפסח בטל ברוב כיון שהוא יבש ביבש</w:t>
      </w:r>
      <w:r>
        <w:rPr>
          <w:rFonts w:cs="Arial" w:hint="cs"/>
          <w:rtl/>
        </w:rPr>
        <w:t xml:space="preserve"> ולכן</w:t>
      </w:r>
      <w:r w:rsidRPr="00190B5B">
        <w:rPr>
          <w:rFonts w:cs="Arial"/>
          <w:rtl/>
        </w:rPr>
        <w:t xml:space="preserve"> </w:t>
      </w:r>
      <w:r w:rsidRPr="00B55E7C">
        <w:rPr>
          <w:rFonts w:cs="Arial"/>
          <w:rtl/>
        </w:rPr>
        <w:t>הכל</w:t>
      </w:r>
      <w:r>
        <w:rPr>
          <w:rFonts w:cs="Arial" w:hint="cs"/>
          <w:rtl/>
        </w:rPr>
        <w:t xml:space="preserve"> מותר</w:t>
      </w:r>
      <w:r w:rsidRPr="00B55E7C">
        <w:rPr>
          <w:rFonts w:cs="Arial"/>
          <w:rtl/>
        </w:rPr>
        <w:t xml:space="preserve"> ואפילו באכילה</w:t>
      </w:r>
      <w:r w:rsidRPr="00B55E7C">
        <w:rPr>
          <w:rFonts w:cs="Arial" w:hint="cs"/>
          <w:rtl/>
        </w:rPr>
        <w:t>.</w:t>
      </w:r>
    </w:p>
    <w:p w14:paraId="670EFCFF" w14:textId="77777777" w:rsidR="002C39F4" w:rsidRPr="00190B5B" w:rsidRDefault="002C39F4" w:rsidP="0032102C">
      <w:pPr>
        <w:pStyle w:val="a8"/>
        <w:numPr>
          <w:ilvl w:val="0"/>
          <w:numId w:val="141"/>
        </w:numPr>
        <w:rPr>
          <w:rFonts w:cs="Arial"/>
          <w:rtl/>
        </w:rPr>
      </w:pPr>
      <w:r w:rsidRPr="00190B5B">
        <w:rPr>
          <w:rFonts w:cs="Arial"/>
          <w:rtl/>
        </w:rPr>
        <w:t xml:space="preserve">רשב"א </w:t>
      </w:r>
      <w:r w:rsidRPr="00190B5B">
        <w:rPr>
          <w:rFonts w:cs="Arial"/>
          <w:sz w:val="16"/>
          <w:szCs w:val="16"/>
          <w:rtl/>
        </w:rPr>
        <w:t>(תוה"ק ב"ד ש"א יב:</w:t>
      </w:r>
      <w:r>
        <w:rPr>
          <w:rFonts w:cs="Arial" w:hint="cs"/>
          <w:sz w:val="16"/>
          <w:szCs w:val="16"/>
          <w:rtl/>
        </w:rPr>
        <w:t>,</w:t>
      </w:r>
      <w:r w:rsidRPr="00190B5B">
        <w:rPr>
          <w:rFonts w:cs="Arial"/>
          <w:sz w:val="16"/>
          <w:szCs w:val="16"/>
          <w:rtl/>
        </w:rPr>
        <w:t xml:space="preserve"> ושו"ת ח"א סי' תפה)</w:t>
      </w:r>
      <w:r>
        <w:rPr>
          <w:rFonts w:cs="Arial" w:hint="cs"/>
          <w:rtl/>
        </w:rPr>
        <w:t xml:space="preserve">- </w:t>
      </w:r>
      <w:r w:rsidRPr="00190B5B">
        <w:rPr>
          <w:rFonts w:cs="Arial"/>
          <w:rtl/>
        </w:rPr>
        <w:t>לא אמרו דיבש ביבש חד בתרי בטיל אלא באיסורי נותן טעם</w:t>
      </w:r>
      <w:r>
        <w:rPr>
          <w:rFonts w:cs="Arial" w:hint="cs"/>
          <w:rtl/>
        </w:rPr>
        <w:t>,</w:t>
      </w:r>
      <w:r w:rsidRPr="00190B5B">
        <w:rPr>
          <w:rFonts w:cs="Arial"/>
          <w:rtl/>
        </w:rPr>
        <w:t xml:space="preserve"> דכיון שאין איסורו אלא מחמת טעמו ואפשר לומר בכל אחד איני טועם עכשיו טעמו של איסור</w:t>
      </w:r>
      <w:r>
        <w:rPr>
          <w:rFonts w:cs="Arial" w:hint="cs"/>
          <w:rtl/>
        </w:rPr>
        <w:t>,</w:t>
      </w:r>
      <w:r w:rsidRPr="00190B5B">
        <w:rPr>
          <w:rFonts w:cs="Arial"/>
          <w:rtl/>
        </w:rPr>
        <w:t xml:space="preserve"> אבל בכל האיסורין שהחמירו בהם לאסרם למעלה מכדי נ"ט</w:t>
      </w:r>
      <w:r>
        <w:rPr>
          <w:rFonts w:cs="Arial" w:hint="cs"/>
          <w:rtl/>
        </w:rPr>
        <w:t>,</w:t>
      </w:r>
      <w:r w:rsidRPr="00190B5B">
        <w:rPr>
          <w:rFonts w:cs="Arial"/>
          <w:rtl/>
        </w:rPr>
        <w:t xml:space="preserve"> ר"ל למעלה מששים</w:t>
      </w:r>
      <w:r>
        <w:rPr>
          <w:rFonts w:cs="Arial" w:hint="cs"/>
          <w:rtl/>
        </w:rPr>
        <w:t>,</w:t>
      </w:r>
      <w:r w:rsidRPr="00190B5B">
        <w:rPr>
          <w:rFonts w:cs="Arial"/>
          <w:rtl/>
        </w:rPr>
        <w:t xml:space="preserve"> אין הפרש בין יבש לבלול</w:t>
      </w:r>
      <w:r>
        <w:rPr>
          <w:rFonts w:cs="Arial" w:hint="cs"/>
          <w:rtl/>
        </w:rPr>
        <w:t>,</w:t>
      </w:r>
      <w:r w:rsidRPr="00190B5B">
        <w:rPr>
          <w:rFonts w:cs="Arial"/>
          <w:rtl/>
        </w:rPr>
        <w:t xml:space="preserve"> שהרי לא מחמת טעמם בלבד אסרום אלא חומר שהחמירו באיסורין אלו ועד שיתערבו בשיעורים שהחמירו ונתנו להם אינם בטלים</w:t>
      </w:r>
      <w:r>
        <w:rPr>
          <w:rFonts w:cs="Arial" w:hint="cs"/>
          <w:rtl/>
        </w:rPr>
        <w:t>,</w:t>
      </w:r>
      <w:r w:rsidRPr="00190B5B">
        <w:rPr>
          <w:rFonts w:cs="Arial"/>
          <w:rtl/>
        </w:rPr>
        <w:t xml:space="preserve"> למה הדבר דומה לתרומה שנתערבה בחולין שאפילו יבש ביבש אינו עולה בפחות מק'</w:t>
      </w:r>
      <w:r>
        <w:rPr>
          <w:rFonts w:cs="Arial" w:hint="cs"/>
          <w:rtl/>
        </w:rPr>
        <w:t>,</w:t>
      </w:r>
      <w:r w:rsidRPr="00190B5B">
        <w:rPr>
          <w:rFonts w:cs="Arial"/>
          <w:rtl/>
        </w:rPr>
        <w:t xml:space="preserve"> ולפיכך ככר חמץ שנתערב בפסח עם ככרות של מצה אינו בטל לעולם ואפילו ככר קטן שאינו חשוב כככרות של נחתום או אפילו פחות מכן</w:t>
      </w:r>
      <w:r>
        <w:rPr>
          <w:rStyle w:val="a7"/>
          <w:rFonts w:cs="Arial"/>
          <w:rtl/>
        </w:rPr>
        <w:footnoteReference w:id="2397"/>
      </w:r>
      <w:r>
        <w:rPr>
          <w:rFonts w:cs="Arial" w:hint="cs"/>
          <w:rtl/>
        </w:rPr>
        <w:t>.</w:t>
      </w:r>
      <w:r w:rsidRPr="00190B5B">
        <w:rPr>
          <w:rFonts w:cs="Arial"/>
          <w:rtl/>
        </w:rPr>
        <w:t xml:space="preserve"> </w:t>
      </w:r>
      <w:r w:rsidRPr="00646147">
        <w:rPr>
          <w:rFonts w:cs="Arial" w:hint="cs"/>
          <w:color w:val="E36C0A" w:themeColor="accent6" w:themeShade="BF"/>
          <w:rtl/>
        </w:rPr>
        <w:t xml:space="preserve">(וכ"ס בשו"ע </w:t>
      </w:r>
      <w:r>
        <w:rPr>
          <w:rFonts w:cs="Arial" w:hint="cs"/>
          <w:sz w:val="16"/>
          <w:szCs w:val="16"/>
          <w:rtl/>
        </w:rPr>
        <w:t>[או"ח סי' תמז סע' ט]</w:t>
      </w:r>
      <w:r w:rsidRPr="00646147">
        <w:rPr>
          <w:rFonts w:cs="Arial" w:hint="cs"/>
          <w:color w:val="E36C0A" w:themeColor="accent6" w:themeShade="BF"/>
          <w:rtl/>
        </w:rPr>
        <w:t>)</w:t>
      </w:r>
    </w:p>
    <w:p w14:paraId="450CA278" w14:textId="77777777" w:rsidR="002C39F4" w:rsidRDefault="002C39F4" w:rsidP="0032102C">
      <w:pPr>
        <w:pStyle w:val="a8"/>
        <w:numPr>
          <w:ilvl w:val="0"/>
          <w:numId w:val="141"/>
        </w:numPr>
        <w:rPr>
          <w:rFonts w:cs="Arial"/>
        </w:rPr>
      </w:pPr>
      <w:r w:rsidRPr="00B55E7C">
        <w:rPr>
          <w:rFonts w:cs="Arial"/>
          <w:rtl/>
        </w:rPr>
        <w:t>רש"י</w:t>
      </w:r>
      <w:r>
        <w:rPr>
          <w:rFonts w:cs="Arial" w:hint="cs"/>
          <w:sz w:val="16"/>
          <w:szCs w:val="16"/>
          <w:rtl/>
        </w:rPr>
        <w:t xml:space="preserve"> (כ"כ הטור בשמו)</w:t>
      </w:r>
      <w:r>
        <w:rPr>
          <w:rFonts w:cs="Arial" w:hint="cs"/>
          <w:rtl/>
        </w:rPr>
        <w:t>-</w:t>
      </w:r>
      <w:r w:rsidRPr="00B55E7C">
        <w:rPr>
          <w:rFonts w:cs="Arial"/>
          <w:rtl/>
        </w:rPr>
        <w:t xml:space="preserve"> תערובת חמץ בפסח יבש ביבש </w:t>
      </w:r>
      <w:r>
        <w:rPr>
          <w:rFonts w:cs="Arial" w:hint="cs"/>
          <w:rtl/>
        </w:rPr>
        <w:t xml:space="preserve">אסור </w:t>
      </w:r>
      <w:r w:rsidRPr="00B55E7C">
        <w:rPr>
          <w:rFonts w:cs="Arial"/>
          <w:rtl/>
        </w:rPr>
        <w:t>באכילה ומ</w:t>
      </w:r>
      <w:r>
        <w:rPr>
          <w:rFonts w:cs="Arial" w:hint="cs"/>
          <w:rtl/>
        </w:rPr>
        <w:t>ו</w:t>
      </w:r>
      <w:r w:rsidRPr="00B55E7C">
        <w:rPr>
          <w:rFonts w:cs="Arial"/>
          <w:rtl/>
        </w:rPr>
        <w:t>תר בהנאה אלא שצריך להשליך אחד מהם לנהר</w:t>
      </w:r>
      <w:r>
        <w:rPr>
          <w:rFonts w:cs="Arial" w:hint="cs"/>
          <w:rtl/>
        </w:rPr>
        <w:t>.</w:t>
      </w:r>
    </w:p>
    <w:p w14:paraId="10C1BBA6" w14:textId="77777777" w:rsidR="002C39F4" w:rsidRPr="00190B5B" w:rsidRDefault="002C39F4" w:rsidP="0032102C">
      <w:pPr>
        <w:pStyle w:val="a8"/>
        <w:numPr>
          <w:ilvl w:val="0"/>
          <w:numId w:val="141"/>
        </w:numPr>
        <w:rPr>
          <w:rFonts w:cs="Arial"/>
        </w:rPr>
      </w:pPr>
      <w:r>
        <w:rPr>
          <w:rFonts w:cs="Arial" w:hint="cs"/>
          <w:rtl/>
        </w:rPr>
        <w:t>רי"ף</w:t>
      </w:r>
      <w:r>
        <w:rPr>
          <w:rFonts w:cs="Arial" w:hint="cs"/>
          <w:sz w:val="16"/>
          <w:szCs w:val="16"/>
          <w:rtl/>
        </w:rPr>
        <w:t xml:space="preserve"> (כ"כ הטור בשמו)</w:t>
      </w:r>
      <w:r>
        <w:rPr>
          <w:rFonts w:cs="Arial" w:hint="cs"/>
          <w:rtl/>
        </w:rPr>
        <w:t>-</w:t>
      </w:r>
      <w:r w:rsidRPr="00B55E7C">
        <w:rPr>
          <w:rFonts w:cs="Arial"/>
          <w:rtl/>
        </w:rPr>
        <w:t xml:space="preserve"> </w:t>
      </w:r>
      <w:r>
        <w:rPr>
          <w:rFonts w:cs="Arial" w:hint="cs"/>
          <w:rtl/>
        </w:rPr>
        <w:t xml:space="preserve">הכל </w:t>
      </w:r>
      <w:r w:rsidRPr="00B55E7C">
        <w:rPr>
          <w:rFonts w:cs="Arial"/>
          <w:rtl/>
        </w:rPr>
        <w:t>אס</w:t>
      </w:r>
      <w:r>
        <w:rPr>
          <w:rFonts w:cs="Arial" w:hint="cs"/>
          <w:rtl/>
        </w:rPr>
        <w:t>ו</w:t>
      </w:r>
      <w:r w:rsidRPr="00B55E7C">
        <w:rPr>
          <w:rFonts w:cs="Arial"/>
          <w:rtl/>
        </w:rPr>
        <w:t>ר ואפי' בהנאה</w:t>
      </w:r>
      <w:r>
        <w:rPr>
          <w:rFonts w:cs="Arial" w:hint="cs"/>
          <w:rtl/>
        </w:rPr>
        <w:t>.</w:t>
      </w:r>
    </w:p>
    <w:p w14:paraId="734891EA" w14:textId="77777777" w:rsidR="002C39F4" w:rsidRPr="00053D4A" w:rsidRDefault="002C39F4" w:rsidP="002C39F4">
      <w:pPr>
        <w:ind w:left="360"/>
        <w:rPr>
          <w:rFonts w:cs="Arial"/>
          <w:u w:val="dotted"/>
        </w:rPr>
      </w:pPr>
      <w:r>
        <w:rPr>
          <w:rFonts w:cs="Arial" w:hint="cs"/>
          <w:u w:val="dotted"/>
          <w:rtl/>
        </w:rPr>
        <w:t xml:space="preserve">לאוסרים </w:t>
      </w:r>
      <w:r>
        <w:rPr>
          <w:rFonts w:cs="Arial" w:hint="cs"/>
          <w:sz w:val="16"/>
          <w:szCs w:val="16"/>
          <w:u w:val="dotted"/>
          <w:rtl/>
        </w:rPr>
        <w:t xml:space="preserve">(ראב"ד ורמב"ם) </w:t>
      </w:r>
      <w:r>
        <w:rPr>
          <w:rFonts w:cs="Arial"/>
          <w:u w:val="dotted"/>
          <w:rtl/>
        </w:rPr>
        <w:t>–</w:t>
      </w:r>
      <w:r>
        <w:rPr>
          <w:rFonts w:cs="Arial" w:hint="cs"/>
          <w:u w:val="dotted"/>
          <w:rtl/>
        </w:rPr>
        <w:t xml:space="preserve"> מה הדין אם נפלה אחת מהחתיכות לים וכדו':</w:t>
      </w:r>
    </w:p>
    <w:p w14:paraId="4212AA34" w14:textId="77777777" w:rsidR="002C39F4" w:rsidRDefault="002C39F4" w:rsidP="0032102C">
      <w:pPr>
        <w:pStyle w:val="a8"/>
        <w:numPr>
          <w:ilvl w:val="0"/>
          <w:numId w:val="243"/>
        </w:numPr>
        <w:rPr>
          <w:rFonts w:cs="Arial"/>
        </w:rPr>
      </w:pPr>
      <w:r w:rsidRPr="00053D4A">
        <w:rPr>
          <w:rFonts w:cs="Arial"/>
          <w:rtl/>
        </w:rPr>
        <w:t xml:space="preserve">רשב"א </w:t>
      </w:r>
      <w:r w:rsidRPr="00053D4A">
        <w:rPr>
          <w:rFonts w:cs="Arial"/>
          <w:sz w:val="16"/>
          <w:szCs w:val="16"/>
          <w:rtl/>
        </w:rPr>
        <w:t>(ח"א סי' רעג)</w:t>
      </w:r>
      <w:r>
        <w:rPr>
          <w:rFonts w:cs="Arial" w:hint="cs"/>
          <w:rtl/>
        </w:rPr>
        <w:t xml:space="preserve">- </w:t>
      </w:r>
      <w:r w:rsidRPr="00053D4A">
        <w:rPr>
          <w:rFonts w:cs="Arial"/>
          <w:rtl/>
        </w:rPr>
        <w:t xml:space="preserve">אותם הסוברים לומר דאפילו יבש ביבש בכל האסורים אינו בטל בפחות מששים אמרו שאם נתערב יבש ביבש בפחות מששים אם נפל אחד מהם לים השאר מותרים </w:t>
      </w:r>
      <w:r>
        <w:rPr>
          <w:rFonts w:cs="Arial" w:hint="cs"/>
          <w:sz w:val="16"/>
          <w:szCs w:val="16"/>
          <w:rtl/>
        </w:rPr>
        <w:t>{</w:t>
      </w:r>
      <w:r w:rsidRPr="00053D4A">
        <w:rPr>
          <w:rFonts w:cs="Arial"/>
          <w:sz w:val="16"/>
          <w:szCs w:val="16"/>
          <w:rtl/>
        </w:rPr>
        <w:t>ועל פי מה שיתבאר בסימן שאחר זה (קעג:)</w:t>
      </w:r>
      <w:r>
        <w:rPr>
          <w:rFonts w:cs="Arial" w:hint="cs"/>
          <w:sz w:val="16"/>
          <w:szCs w:val="16"/>
          <w:rtl/>
        </w:rPr>
        <w:t>, ב"י}</w:t>
      </w:r>
      <w:r w:rsidRPr="00053D4A">
        <w:rPr>
          <w:rFonts w:cs="Arial" w:hint="cs"/>
          <w:rtl/>
        </w:rPr>
        <w:t>,</w:t>
      </w:r>
      <w:r w:rsidRPr="00053D4A">
        <w:rPr>
          <w:rFonts w:cs="Arial"/>
          <w:rtl/>
        </w:rPr>
        <w:t xml:space="preserve"> ויש מגדולי המורים חולקים בזה ואומרים שלא התירו בנפלה אחת מהן לים אלא בחומר התערובות כלומר בק"א כתרומה או באחד ומאתים כערלה או לאסור כל התערובות כשור הנסקל ויין נסך</w:t>
      </w:r>
      <w:r>
        <w:rPr>
          <w:rFonts w:cs="Arial" w:hint="cs"/>
          <w:rtl/>
        </w:rPr>
        <w:t>,</w:t>
      </w:r>
      <w:r w:rsidRPr="00053D4A">
        <w:rPr>
          <w:rFonts w:cs="Arial"/>
          <w:rtl/>
        </w:rPr>
        <w:t xml:space="preserve"> אבל כשנפלה לפחות מששים אע</w:t>
      </w:r>
      <w:r w:rsidRPr="00053D4A">
        <w:rPr>
          <w:rFonts w:cs="Arial" w:hint="cs"/>
          <w:rtl/>
        </w:rPr>
        <w:t>"</w:t>
      </w:r>
      <w:r w:rsidRPr="00053D4A">
        <w:rPr>
          <w:rFonts w:cs="Arial"/>
          <w:rtl/>
        </w:rPr>
        <w:t>פ שנפלה אחת מהן לים לא נתיר את השאר</w:t>
      </w:r>
      <w:r w:rsidRPr="00053D4A">
        <w:rPr>
          <w:rFonts w:cs="Arial" w:hint="cs"/>
          <w:rtl/>
        </w:rPr>
        <w:t>.</w:t>
      </w:r>
    </w:p>
    <w:p w14:paraId="611871D1" w14:textId="77777777" w:rsidR="002C39F4" w:rsidRPr="00053D4A" w:rsidRDefault="002C39F4" w:rsidP="002C39F4">
      <w:pPr>
        <w:rPr>
          <w:rFonts w:cs="Arial"/>
          <w:u w:val="single"/>
        </w:rPr>
      </w:pPr>
      <w:r w:rsidRPr="00053D4A">
        <w:rPr>
          <w:rFonts w:cs="Arial" w:hint="cs"/>
          <w:u w:val="single"/>
          <w:rtl/>
        </w:rPr>
        <w:t>מהו גדר 'יבש ביבש':</w:t>
      </w:r>
    </w:p>
    <w:p w14:paraId="01D35278" w14:textId="77777777" w:rsidR="002C39F4" w:rsidRPr="005A0418" w:rsidRDefault="002C39F4" w:rsidP="0032102C">
      <w:pPr>
        <w:pStyle w:val="a8"/>
        <w:numPr>
          <w:ilvl w:val="0"/>
          <w:numId w:val="243"/>
        </w:numPr>
        <w:rPr>
          <w:rFonts w:cs="Arial"/>
          <w:rtl/>
        </w:rPr>
      </w:pPr>
      <w:r w:rsidRPr="00053D4A">
        <w:rPr>
          <w:rFonts w:cs="Arial" w:hint="cs"/>
          <w:rtl/>
        </w:rPr>
        <w:t xml:space="preserve">ב"י- </w:t>
      </w:r>
      <w:r w:rsidRPr="00053D4A">
        <w:rPr>
          <w:rFonts w:cs="Arial"/>
          <w:rtl/>
        </w:rPr>
        <w:t>דע דהא דאמרינן יבש ביבש חד בתרי בטל היינו לאפוקי דבר לח או נמוח ומתפשט</w:t>
      </w:r>
      <w:r w:rsidRPr="00053D4A">
        <w:rPr>
          <w:rFonts w:cs="Arial" w:hint="cs"/>
          <w:rtl/>
        </w:rPr>
        <w:t>,</w:t>
      </w:r>
      <w:r w:rsidRPr="00053D4A">
        <w:rPr>
          <w:rFonts w:cs="Arial"/>
          <w:rtl/>
        </w:rPr>
        <w:t xml:space="preserve"> אבל כל דבר שהוא עומד בעצמו אלא שהוא מעורב עם אחרים אע</w:t>
      </w:r>
      <w:r w:rsidRPr="00053D4A">
        <w:rPr>
          <w:rFonts w:cs="Arial" w:hint="cs"/>
          <w:rtl/>
        </w:rPr>
        <w:t>"</w:t>
      </w:r>
      <w:r w:rsidRPr="00053D4A">
        <w:rPr>
          <w:rFonts w:cs="Arial"/>
          <w:rtl/>
        </w:rPr>
        <w:t>פ שהוא מבושל במים או משקים אחרים מקרי יבש ביבש</w:t>
      </w:r>
      <w:r w:rsidRPr="00053D4A">
        <w:rPr>
          <w:rFonts w:cs="Arial" w:hint="cs"/>
          <w:rtl/>
        </w:rPr>
        <w:t>,</w:t>
      </w:r>
      <w:r w:rsidRPr="00053D4A">
        <w:rPr>
          <w:rFonts w:cs="Arial"/>
          <w:rtl/>
        </w:rPr>
        <w:t xml:space="preserve"> דהא על חתיכה שנתבשלה עם שאר חתיכות מקשי ליבטיל ברובא כלומר חד בתרי וכדפרישנא</w:t>
      </w:r>
      <w:r w:rsidRPr="00053D4A">
        <w:rPr>
          <w:rFonts w:cs="Arial" w:hint="cs"/>
          <w:rtl/>
        </w:rPr>
        <w:t>,</w:t>
      </w:r>
      <w:r w:rsidRPr="00053D4A">
        <w:rPr>
          <w:rFonts w:cs="Arial"/>
          <w:rtl/>
        </w:rPr>
        <w:t xml:space="preserve"> וכ"כ הרשב"א</w:t>
      </w:r>
      <w:r w:rsidRPr="00053D4A">
        <w:rPr>
          <w:rFonts w:cs="Arial" w:hint="cs"/>
          <w:rtl/>
        </w:rPr>
        <w:t xml:space="preserve"> </w:t>
      </w:r>
      <w:r w:rsidRPr="00053D4A">
        <w:rPr>
          <w:rFonts w:cs="Arial"/>
          <w:sz w:val="16"/>
          <w:szCs w:val="16"/>
          <w:rtl/>
        </w:rPr>
        <w:t>(ח"א סי</w:t>
      </w:r>
      <w:r w:rsidRPr="00053D4A">
        <w:rPr>
          <w:rFonts w:cs="Arial" w:hint="cs"/>
          <w:sz w:val="16"/>
          <w:szCs w:val="16"/>
          <w:rtl/>
        </w:rPr>
        <w:t>'</w:t>
      </w:r>
      <w:r w:rsidRPr="00053D4A">
        <w:rPr>
          <w:rFonts w:cs="Arial"/>
          <w:sz w:val="16"/>
          <w:szCs w:val="16"/>
          <w:rtl/>
        </w:rPr>
        <w:t xml:space="preserve"> רפג ותכה</w:t>
      </w:r>
      <w:r>
        <w:rPr>
          <w:rFonts w:cs="Arial" w:hint="cs"/>
          <w:sz w:val="16"/>
          <w:szCs w:val="16"/>
          <w:rtl/>
        </w:rPr>
        <w:t xml:space="preserve">, </w:t>
      </w:r>
      <w:r w:rsidRPr="00053D4A">
        <w:rPr>
          <w:rFonts w:cs="Arial"/>
          <w:sz w:val="16"/>
          <w:szCs w:val="16"/>
          <w:rtl/>
        </w:rPr>
        <w:t>וכ</w:t>
      </w:r>
      <w:r>
        <w:rPr>
          <w:rFonts w:cs="Arial" w:hint="cs"/>
          <w:sz w:val="16"/>
          <w:szCs w:val="16"/>
          <w:rtl/>
        </w:rPr>
        <w:t>"ה</w:t>
      </w:r>
      <w:r w:rsidRPr="00053D4A">
        <w:rPr>
          <w:rFonts w:cs="Arial"/>
          <w:sz w:val="16"/>
          <w:szCs w:val="16"/>
          <w:rtl/>
        </w:rPr>
        <w:t xml:space="preserve"> בתשו</w:t>
      </w:r>
      <w:r>
        <w:rPr>
          <w:rFonts w:cs="Arial" w:hint="cs"/>
          <w:sz w:val="16"/>
          <w:szCs w:val="16"/>
          <w:rtl/>
        </w:rPr>
        <w:t>'</w:t>
      </w:r>
      <w:r w:rsidRPr="00053D4A">
        <w:rPr>
          <w:rFonts w:cs="Arial"/>
          <w:sz w:val="16"/>
          <w:szCs w:val="16"/>
          <w:rtl/>
        </w:rPr>
        <w:t xml:space="preserve"> להרמב"ן סי</w:t>
      </w:r>
      <w:r w:rsidRPr="00053D4A">
        <w:rPr>
          <w:rFonts w:cs="Arial" w:hint="cs"/>
          <w:sz w:val="16"/>
          <w:szCs w:val="16"/>
          <w:rtl/>
        </w:rPr>
        <w:t>'</w:t>
      </w:r>
      <w:r w:rsidRPr="00053D4A">
        <w:rPr>
          <w:rFonts w:cs="Arial"/>
          <w:sz w:val="16"/>
          <w:szCs w:val="16"/>
          <w:rtl/>
        </w:rPr>
        <w:t xml:space="preserve"> קפב</w:t>
      </w:r>
      <w:r w:rsidRPr="00053D4A">
        <w:rPr>
          <w:rFonts w:cs="Arial" w:hint="cs"/>
          <w:sz w:val="16"/>
          <w:szCs w:val="16"/>
          <w:rtl/>
        </w:rPr>
        <w:t>)</w:t>
      </w:r>
      <w:r w:rsidRPr="00053D4A">
        <w:rPr>
          <w:rFonts w:cs="Arial"/>
          <w:sz w:val="16"/>
          <w:szCs w:val="16"/>
          <w:rtl/>
        </w:rPr>
        <w:t xml:space="preserve"> </w:t>
      </w:r>
      <w:r w:rsidRPr="00053D4A">
        <w:rPr>
          <w:rFonts w:cs="Arial"/>
          <w:rtl/>
        </w:rPr>
        <w:t>וסה</w:t>
      </w:r>
      <w:r w:rsidRPr="00053D4A">
        <w:rPr>
          <w:rFonts w:cs="Arial" w:hint="cs"/>
          <w:rtl/>
        </w:rPr>
        <w:t>"</w:t>
      </w:r>
      <w:r w:rsidRPr="00053D4A">
        <w:rPr>
          <w:rFonts w:cs="Arial"/>
          <w:rtl/>
        </w:rPr>
        <w:t xml:space="preserve">ת </w:t>
      </w:r>
      <w:r w:rsidRPr="00053D4A">
        <w:rPr>
          <w:rFonts w:cs="Arial"/>
          <w:sz w:val="16"/>
          <w:szCs w:val="16"/>
          <w:rtl/>
        </w:rPr>
        <w:t>(סי' נ ד"ה הלכך)</w:t>
      </w:r>
      <w:r>
        <w:rPr>
          <w:rStyle w:val="a7"/>
          <w:rFonts w:cs="Arial"/>
          <w:rtl/>
        </w:rPr>
        <w:footnoteReference w:id="2398"/>
      </w:r>
      <w:r w:rsidRPr="00053D4A">
        <w:rPr>
          <w:rFonts w:cs="Arial" w:hint="cs"/>
          <w:rtl/>
        </w:rPr>
        <w:t>.</w:t>
      </w:r>
      <w:r w:rsidRPr="00053D4A">
        <w:rPr>
          <w:rFonts w:cs="Arial"/>
          <w:rtl/>
        </w:rPr>
        <w:t xml:space="preserve"> </w:t>
      </w:r>
    </w:p>
    <w:p w14:paraId="230F7C8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428B344" w14:textId="77777777" w:rsidR="002C39F4" w:rsidRDefault="002C39F4" w:rsidP="002C39F4">
      <w:pPr>
        <w:rPr>
          <w:rFonts w:asciiTheme="minorBidi" w:hAnsiTheme="minorBidi"/>
          <w:rtl/>
        </w:rPr>
      </w:pPr>
      <w:r w:rsidRPr="003024E5">
        <w:rPr>
          <w:rFonts w:asciiTheme="minorBidi" w:hAnsiTheme="minorBidi"/>
          <w:rtl/>
        </w:rPr>
        <w:t xml:space="preserve">חתיכה שאינה ראויה להתכבד שנתערבה באחרות מין במינו יבש ביבש, </w:t>
      </w:r>
      <w:r w:rsidRPr="00BC2E85">
        <w:rPr>
          <w:rFonts w:asciiTheme="minorBidi" w:hAnsiTheme="minorBidi" w:hint="cs"/>
          <w:sz w:val="18"/>
          <w:szCs w:val="18"/>
          <w:rtl/>
        </w:rPr>
        <w:t xml:space="preserve">[הגה] </w:t>
      </w:r>
      <w:r w:rsidRPr="00BC2E85">
        <w:rPr>
          <w:rFonts w:asciiTheme="minorBidi" w:hAnsiTheme="minorBidi"/>
          <w:sz w:val="18"/>
          <w:szCs w:val="18"/>
          <w:rtl/>
        </w:rPr>
        <w:t>דהיינו שאין נבלל</w:t>
      </w:r>
      <w:r>
        <w:rPr>
          <w:rStyle w:val="a7"/>
          <w:rFonts w:asciiTheme="minorBidi" w:hAnsiTheme="minorBidi"/>
          <w:sz w:val="18"/>
          <w:szCs w:val="18"/>
          <w:rtl/>
        </w:rPr>
        <w:footnoteReference w:id="2399"/>
      </w:r>
      <w:r w:rsidRPr="00BC2E85">
        <w:rPr>
          <w:rFonts w:asciiTheme="minorBidi" w:hAnsiTheme="minorBidi"/>
          <w:sz w:val="18"/>
          <w:szCs w:val="18"/>
          <w:rtl/>
        </w:rPr>
        <w:t xml:space="preserve"> והאיסור עומד בעצמו אלא שנתערב ואינו מכירו</w:t>
      </w:r>
      <w:r>
        <w:rPr>
          <w:rStyle w:val="a7"/>
          <w:rFonts w:asciiTheme="minorBidi" w:hAnsiTheme="minorBidi"/>
          <w:sz w:val="18"/>
          <w:szCs w:val="18"/>
          <w:rtl/>
        </w:rPr>
        <w:footnoteReference w:id="2400"/>
      </w:r>
      <w:r w:rsidRPr="00BC2E85">
        <w:rPr>
          <w:rFonts w:asciiTheme="minorBidi" w:hAnsiTheme="minorBidi"/>
          <w:sz w:val="18"/>
          <w:szCs w:val="18"/>
          <w:rtl/>
        </w:rPr>
        <w:t xml:space="preserve"> </w:t>
      </w:r>
      <w:r w:rsidRPr="00732848">
        <w:rPr>
          <w:rFonts w:asciiTheme="minorBidi" w:hAnsiTheme="minorBidi"/>
          <w:sz w:val="16"/>
          <w:szCs w:val="16"/>
          <w:rtl/>
        </w:rPr>
        <w:t>(ב"י רשב"א וסה"ת)</w:t>
      </w:r>
      <w:r>
        <w:rPr>
          <w:rFonts w:asciiTheme="minorBidi" w:hAnsiTheme="minorBidi" w:hint="cs"/>
          <w:rtl/>
        </w:rPr>
        <w:t xml:space="preserve"> </w:t>
      </w:r>
      <w:r w:rsidRPr="003024E5">
        <w:rPr>
          <w:rFonts w:asciiTheme="minorBidi" w:hAnsiTheme="minorBidi"/>
          <w:rtl/>
        </w:rPr>
        <w:t>חד בתרי בטיל</w:t>
      </w:r>
      <w:r>
        <w:rPr>
          <w:rStyle w:val="a7"/>
          <w:rFonts w:asciiTheme="minorBidi" w:hAnsiTheme="minorBidi"/>
          <w:rtl/>
        </w:rPr>
        <w:footnoteReference w:id="2401"/>
      </w:r>
      <w:r w:rsidRPr="003024E5">
        <w:rPr>
          <w:rFonts w:asciiTheme="minorBidi" w:hAnsiTheme="minorBidi"/>
          <w:rtl/>
        </w:rPr>
        <w:t xml:space="preserve"> ומותר לאכלן אדם אחד כל אחת בפני עצמה</w:t>
      </w:r>
      <w:r>
        <w:rPr>
          <w:rFonts w:asciiTheme="minorBidi" w:hAnsiTheme="minorBidi" w:hint="cs"/>
          <w:rtl/>
        </w:rPr>
        <w:t>,</w:t>
      </w:r>
      <w:r w:rsidRPr="003024E5">
        <w:rPr>
          <w:rFonts w:asciiTheme="minorBidi" w:hAnsiTheme="minorBidi"/>
          <w:rtl/>
        </w:rPr>
        <w:t xml:space="preserve"> אבל לא יאכל שלשתם יחד</w:t>
      </w:r>
      <w:r>
        <w:rPr>
          <w:rStyle w:val="a7"/>
          <w:rFonts w:asciiTheme="minorBidi" w:hAnsiTheme="minorBidi"/>
          <w:rtl/>
        </w:rPr>
        <w:footnoteReference w:id="2402"/>
      </w:r>
      <w:r>
        <w:rPr>
          <w:rFonts w:asciiTheme="minorBidi" w:hAnsiTheme="minorBidi" w:hint="cs"/>
          <w:rtl/>
        </w:rPr>
        <w:t>,</w:t>
      </w:r>
      <w:r w:rsidRPr="003024E5">
        <w:rPr>
          <w:rFonts w:asciiTheme="minorBidi" w:hAnsiTheme="minorBidi"/>
          <w:rtl/>
        </w:rPr>
        <w:t xml:space="preserve"> ויש מי שאוסר לאכלם אדם אחד אפילו זה אחר זה. </w:t>
      </w:r>
      <w:r w:rsidRPr="00BC2E85">
        <w:rPr>
          <w:rFonts w:asciiTheme="minorBidi" w:hAnsiTheme="minorBidi"/>
          <w:sz w:val="18"/>
          <w:szCs w:val="18"/>
          <w:rtl/>
        </w:rPr>
        <w:t>הגה: וכן יש לנהוג לכתחלה. ויש מחמירין להשליך אחד או ליתן ל</w:t>
      </w:r>
      <w:r>
        <w:rPr>
          <w:rFonts w:asciiTheme="minorBidi" w:hAnsiTheme="minorBidi" w:hint="cs"/>
          <w:sz w:val="18"/>
          <w:szCs w:val="18"/>
          <w:rtl/>
        </w:rPr>
        <w:t>גוי</w:t>
      </w:r>
      <w:r>
        <w:rPr>
          <w:rStyle w:val="a7"/>
          <w:rFonts w:asciiTheme="minorBidi" w:hAnsiTheme="minorBidi"/>
          <w:sz w:val="18"/>
          <w:szCs w:val="18"/>
          <w:rtl/>
        </w:rPr>
        <w:footnoteReference w:id="2403"/>
      </w:r>
      <w:r w:rsidRPr="00BC2E85">
        <w:rPr>
          <w:rFonts w:asciiTheme="minorBidi" w:hAnsiTheme="minorBidi"/>
          <w:sz w:val="18"/>
          <w:szCs w:val="18"/>
          <w:rtl/>
        </w:rPr>
        <w:t xml:space="preserve"> </w:t>
      </w:r>
      <w:r w:rsidRPr="00732848">
        <w:rPr>
          <w:rFonts w:asciiTheme="minorBidi" w:hAnsiTheme="minorBidi"/>
          <w:sz w:val="16"/>
          <w:szCs w:val="16"/>
          <w:rtl/>
        </w:rPr>
        <w:t>(הגש</w:t>
      </w:r>
      <w:r w:rsidRPr="00732848">
        <w:rPr>
          <w:rFonts w:asciiTheme="minorBidi" w:hAnsiTheme="minorBidi" w:hint="cs"/>
          <w:sz w:val="16"/>
          <w:szCs w:val="16"/>
          <w:rtl/>
        </w:rPr>
        <w:t>ע</w:t>
      </w:r>
      <w:r w:rsidRPr="00732848">
        <w:rPr>
          <w:rFonts w:asciiTheme="minorBidi" w:hAnsiTheme="minorBidi"/>
          <w:sz w:val="16"/>
          <w:szCs w:val="16"/>
          <w:rtl/>
        </w:rPr>
        <w:t>"ד בשם מוהר"ם ורש"י)</w:t>
      </w:r>
      <w:r>
        <w:rPr>
          <w:rFonts w:asciiTheme="minorBidi" w:hAnsiTheme="minorBidi" w:hint="cs"/>
          <w:sz w:val="18"/>
          <w:szCs w:val="18"/>
          <w:rtl/>
        </w:rPr>
        <w:t>,</w:t>
      </w:r>
      <w:r w:rsidRPr="00BC2E85">
        <w:rPr>
          <w:rFonts w:asciiTheme="minorBidi" w:hAnsiTheme="minorBidi"/>
          <w:sz w:val="18"/>
          <w:szCs w:val="18"/>
          <w:rtl/>
        </w:rPr>
        <w:t xml:space="preserve"> ואינו אלא חומרא בעלמא. וכל זה כשנתערב במינו</w:t>
      </w:r>
      <w:r>
        <w:rPr>
          <w:rFonts w:asciiTheme="minorBidi" w:hAnsiTheme="minorBidi" w:hint="cs"/>
          <w:sz w:val="18"/>
          <w:szCs w:val="18"/>
          <w:rtl/>
        </w:rPr>
        <w:t>,</w:t>
      </w:r>
      <w:r w:rsidRPr="00BC2E85">
        <w:rPr>
          <w:rFonts w:asciiTheme="minorBidi" w:hAnsiTheme="minorBidi"/>
          <w:sz w:val="18"/>
          <w:szCs w:val="18"/>
          <w:rtl/>
        </w:rPr>
        <w:t xml:space="preserve"> אבל שלא במינו</w:t>
      </w:r>
      <w:r>
        <w:rPr>
          <w:rStyle w:val="a7"/>
          <w:rFonts w:asciiTheme="minorBidi" w:hAnsiTheme="minorBidi"/>
          <w:sz w:val="18"/>
          <w:szCs w:val="18"/>
          <w:rtl/>
        </w:rPr>
        <w:footnoteReference w:id="2404"/>
      </w:r>
      <w:r w:rsidRPr="00BC2E85">
        <w:rPr>
          <w:rFonts w:asciiTheme="minorBidi" w:hAnsiTheme="minorBidi"/>
          <w:sz w:val="18"/>
          <w:szCs w:val="18"/>
          <w:rtl/>
        </w:rPr>
        <w:t xml:space="preserve"> ואינו מכירו אפילו יבש ביבש צריך ששים</w:t>
      </w:r>
      <w:r>
        <w:rPr>
          <w:rStyle w:val="a7"/>
          <w:rFonts w:asciiTheme="minorBidi" w:hAnsiTheme="minorBidi"/>
          <w:sz w:val="18"/>
          <w:szCs w:val="18"/>
          <w:rtl/>
        </w:rPr>
        <w:footnoteReference w:id="2405"/>
      </w:r>
      <w:r w:rsidRPr="00BC2E85">
        <w:rPr>
          <w:rFonts w:asciiTheme="minorBidi" w:hAnsiTheme="minorBidi"/>
          <w:sz w:val="18"/>
          <w:szCs w:val="18"/>
          <w:rtl/>
        </w:rPr>
        <w:t xml:space="preserve"> </w:t>
      </w:r>
      <w:r w:rsidRPr="00732848">
        <w:rPr>
          <w:rFonts w:asciiTheme="minorBidi" w:hAnsiTheme="minorBidi"/>
          <w:sz w:val="16"/>
          <w:szCs w:val="16"/>
          <w:rtl/>
        </w:rPr>
        <w:t xml:space="preserve">(טור בשם </w:t>
      </w:r>
      <w:r w:rsidRPr="00732848">
        <w:rPr>
          <w:rFonts w:asciiTheme="minorBidi" w:hAnsiTheme="minorBidi" w:hint="cs"/>
          <w:sz w:val="16"/>
          <w:szCs w:val="16"/>
          <w:rtl/>
        </w:rPr>
        <w:t>סה"ת</w:t>
      </w:r>
      <w:r w:rsidRPr="00732848">
        <w:rPr>
          <w:rFonts w:asciiTheme="minorBidi" w:hAnsiTheme="minorBidi"/>
          <w:sz w:val="16"/>
          <w:szCs w:val="16"/>
          <w:rtl/>
        </w:rPr>
        <w:t>)</w:t>
      </w:r>
      <w:r>
        <w:rPr>
          <w:rFonts w:asciiTheme="minorBidi" w:hAnsiTheme="minorBidi" w:hint="cs"/>
          <w:sz w:val="18"/>
          <w:szCs w:val="18"/>
          <w:rtl/>
        </w:rPr>
        <w:t>,</w:t>
      </w:r>
      <w:r w:rsidRPr="00BC2E85">
        <w:rPr>
          <w:rFonts w:asciiTheme="minorBidi" w:hAnsiTheme="minorBidi"/>
          <w:sz w:val="18"/>
          <w:szCs w:val="18"/>
          <w:rtl/>
        </w:rPr>
        <w:t xml:space="preserve"> ואין חילוק בכל זה בין אם האיסור מדרבנן או מדאו</w:t>
      </w:r>
      <w:r>
        <w:rPr>
          <w:rFonts w:asciiTheme="minorBidi" w:hAnsiTheme="minorBidi" w:hint="cs"/>
          <w:sz w:val="18"/>
          <w:szCs w:val="18"/>
          <w:rtl/>
        </w:rPr>
        <w:t>'</w:t>
      </w:r>
      <w:r w:rsidRPr="00BC2E85">
        <w:rPr>
          <w:rFonts w:asciiTheme="minorBidi" w:hAnsiTheme="minorBidi"/>
          <w:sz w:val="18"/>
          <w:szCs w:val="18"/>
          <w:rtl/>
        </w:rPr>
        <w:t xml:space="preserve"> </w:t>
      </w:r>
      <w:r w:rsidRPr="00732848">
        <w:rPr>
          <w:rFonts w:asciiTheme="minorBidi" w:hAnsiTheme="minorBidi"/>
          <w:sz w:val="16"/>
          <w:szCs w:val="16"/>
          <w:rtl/>
        </w:rPr>
        <w:t>(ב</w:t>
      </w:r>
      <w:r w:rsidRPr="00732848">
        <w:rPr>
          <w:rFonts w:asciiTheme="minorBidi" w:hAnsiTheme="minorBidi" w:hint="cs"/>
          <w:sz w:val="16"/>
          <w:szCs w:val="16"/>
          <w:rtl/>
        </w:rPr>
        <w:t>"</w:t>
      </w:r>
      <w:r w:rsidRPr="00732848">
        <w:rPr>
          <w:rFonts w:asciiTheme="minorBidi" w:hAnsiTheme="minorBidi"/>
          <w:sz w:val="16"/>
          <w:szCs w:val="16"/>
          <w:rtl/>
        </w:rPr>
        <w:t>י בשם הפוסקים דלא כהגש</w:t>
      </w:r>
      <w:r w:rsidRPr="00732848">
        <w:rPr>
          <w:rFonts w:asciiTheme="minorBidi" w:hAnsiTheme="minorBidi" w:hint="cs"/>
          <w:sz w:val="16"/>
          <w:szCs w:val="16"/>
          <w:rtl/>
        </w:rPr>
        <w:t>ע</w:t>
      </w:r>
      <w:r w:rsidRPr="00732848">
        <w:rPr>
          <w:rFonts w:asciiTheme="minorBidi" w:hAnsiTheme="minorBidi"/>
          <w:sz w:val="16"/>
          <w:szCs w:val="16"/>
          <w:rtl/>
        </w:rPr>
        <w:t>"ד)</w:t>
      </w:r>
      <w:r w:rsidRPr="00BC2E85">
        <w:rPr>
          <w:rFonts w:asciiTheme="minorBidi" w:hAnsiTheme="minorBidi"/>
          <w:sz w:val="18"/>
          <w:szCs w:val="18"/>
          <w:rtl/>
        </w:rPr>
        <w:t>. וע"ל סי</w:t>
      </w:r>
      <w:r>
        <w:rPr>
          <w:rFonts w:asciiTheme="minorBidi" w:hAnsiTheme="minorBidi" w:hint="cs"/>
          <w:sz w:val="18"/>
          <w:szCs w:val="18"/>
          <w:rtl/>
        </w:rPr>
        <w:t>'</w:t>
      </w:r>
      <w:r w:rsidRPr="00BC2E85">
        <w:rPr>
          <w:rFonts w:asciiTheme="minorBidi" w:hAnsiTheme="minorBidi"/>
          <w:sz w:val="18"/>
          <w:szCs w:val="18"/>
          <w:rtl/>
        </w:rPr>
        <w:t xml:space="preserve"> קכב אם נתערבו כלים ביחד.</w:t>
      </w:r>
      <w:r w:rsidRPr="003024E5">
        <w:rPr>
          <w:rFonts w:asciiTheme="minorBidi" w:hAnsiTheme="minorBidi"/>
          <w:rtl/>
        </w:rPr>
        <w:t xml:space="preserve"> </w:t>
      </w:r>
    </w:p>
    <w:p w14:paraId="487203FB" w14:textId="77777777" w:rsidR="002C39F4" w:rsidRPr="002309F8" w:rsidRDefault="002C39F4" w:rsidP="002C39F4">
      <w:pPr>
        <w:rPr>
          <w:rFonts w:asciiTheme="minorBidi" w:hAnsiTheme="minorBidi"/>
          <w:sz w:val="16"/>
          <w:szCs w:val="16"/>
          <w:rtl/>
        </w:rPr>
      </w:pPr>
      <w:r w:rsidRPr="00C273A0">
        <w:rPr>
          <w:rFonts w:asciiTheme="minorBidi" w:hAnsiTheme="minorBidi" w:hint="cs"/>
          <w:u w:val="single"/>
          <w:rtl/>
        </w:rPr>
        <w:t xml:space="preserve">ביטול יבש ביבש </w:t>
      </w:r>
      <w:r w:rsidRPr="00C273A0">
        <w:rPr>
          <w:rFonts w:asciiTheme="minorBidi" w:hAnsiTheme="minorBidi"/>
          <w:u w:val="single"/>
          <w:rtl/>
        </w:rPr>
        <w:t>–</w:t>
      </w:r>
      <w:r w:rsidRPr="00C273A0">
        <w:rPr>
          <w:rFonts w:asciiTheme="minorBidi" w:hAnsiTheme="minorBidi" w:hint="cs"/>
          <w:u w:val="single"/>
          <w:rtl/>
        </w:rPr>
        <w:t xml:space="preserve"> חד בתרי דוקא או שמספיק רוב:</w:t>
      </w:r>
      <w:r>
        <w:rPr>
          <w:rFonts w:asciiTheme="minorBidi" w:hAnsiTheme="minorBidi" w:hint="cs"/>
          <w:sz w:val="16"/>
          <w:szCs w:val="16"/>
          <w:rtl/>
        </w:rPr>
        <w:t xml:space="preserve">  (פת"ש סק"א)</w:t>
      </w:r>
    </w:p>
    <w:p w14:paraId="590F8A93" w14:textId="77777777" w:rsidR="002C39F4" w:rsidRPr="00C273A0" w:rsidRDefault="002C39F4" w:rsidP="0032102C">
      <w:pPr>
        <w:pStyle w:val="a8"/>
        <w:numPr>
          <w:ilvl w:val="0"/>
          <w:numId w:val="243"/>
        </w:numPr>
        <w:rPr>
          <w:rFonts w:asciiTheme="minorBidi" w:hAnsiTheme="minorBidi"/>
        </w:rPr>
      </w:pPr>
      <w:r w:rsidRPr="00C273A0">
        <w:rPr>
          <w:rFonts w:asciiTheme="minorBidi" w:hAnsiTheme="minorBidi" w:cs="Arial"/>
          <w:rtl/>
        </w:rPr>
        <w:t>פר"ח</w:t>
      </w:r>
      <w:r>
        <w:rPr>
          <w:rFonts w:asciiTheme="minorBidi" w:hAnsiTheme="minorBidi" w:cs="Arial" w:hint="cs"/>
          <w:rtl/>
        </w:rPr>
        <w:t xml:space="preserve"> </w:t>
      </w:r>
      <w:r w:rsidRPr="002309F8">
        <w:rPr>
          <w:rFonts w:asciiTheme="minorBidi" w:hAnsiTheme="minorBidi" w:cs="Arial" w:hint="cs"/>
          <w:sz w:val="16"/>
          <w:szCs w:val="16"/>
          <w:rtl/>
        </w:rPr>
        <w:t xml:space="preserve">(ססק"ד) </w:t>
      </w:r>
      <w:r>
        <w:rPr>
          <w:rFonts w:asciiTheme="minorBidi" w:hAnsiTheme="minorBidi" w:cs="Arial" w:hint="cs"/>
          <w:rtl/>
        </w:rPr>
        <w:t>ו</w:t>
      </w:r>
      <w:r w:rsidRPr="00C273A0">
        <w:rPr>
          <w:rFonts w:asciiTheme="minorBidi" w:hAnsiTheme="minorBidi" w:cs="Arial"/>
          <w:rtl/>
        </w:rPr>
        <w:t>חינוך בי</w:t>
      </w:r>
      <w:r>
        <w:rPr>
          <w:rFonts w:asciiTheme="minorBidi" w:hAnsiTheme="minorBidi" w:cs="Arial" w:hint="cs"/>
          <w:rtl/>
        </w:rPr>
        <w:t>ת יהודה</w:t>
      </w:r>
      <w:r w:rsidRPr="00C273A0">
        <w:rPr>
          <w:rFonts w:asciiTheme="minorBidi" w:hAnsiTheme="minorBidi" w:cs="Arial"/>
          <w:rtl/>
        </w:rPr>
        <w:t xml:space="preserve"> </w:t>
      </w:r>
      <w:r w:rsidRPr="002309F8">
        <w:rPr>
          <w:rFonts w:asciiTheme="minorBidi" w:hAnsiTheme="minorBidi" w:cs="Arial" w:hint="cs"/>
          <w:sz w:val="16"/>
          <w:szCs w:val="16"/>
          <w:rtl/>
        </w:rPr>
        <w:t>(</w:t>
      </w:r>
      <w:r w:rsidRPr="002309F8">
        <w:rPr>
          <w:rFonts w:asciiTheme="minorBidi" w:hAnsiTheme="minorBidi" w:cs="Arial"/>
          <w:sz w:val="16"/>
          <w:szCs w:val="16"/>
          <w:rtl/>
        </w:rPr>
        <w:t>סי</w:t>
      </w:r>
      <w:r w:rsidRPr="002309F8">
        <w:rPr>
          <w:rFonts w:asciiTheme="minorBidi" w:hAnsiTheme="minorBidi" w:cs="Arial" w:hint="cs"/>
          <w:sz w:val="16"/>
          <w:szCs w:val="16"/>
          <w:rtl/>
        </w:rPr>
        <w:t>'</w:t>
      </w:r>
      <w:r w:rsidRPr="002309F8">
        <w:rPr>
          <w:rFonts w:asciiTheme="minorBidi" w:hAnsiTheme="minorBidi" w:cs="Arial"/>
          <w:sz w:val="16"/>
          <w:szCs w:val="16"/>
          <w:rtl/>
        </w:rPr>
        <w:t xml:space="preserve"> פ</w:t>
      </w:r>
      <w:r w:rsidRPr="002309F8">
        <w:rPr>
          <w:rFonts w:asciiTheme="minorBidi" w:hAnsiTheme="minorBidi" w:cs="Arial" w:hint="cs"/>
          <w:sz w:val="16"/>
          <w:szCs w:val="16"/>
          <w:rtl/>
        </w:rPr>
        <w:t>)</w:t>
      </w:r>
      <w:r>
        <w:rPr>
          <w:rFonts w:asciiTheme="minorBidi" w:hAnsiTheme="minorBidi" w:cs="Arial" w:hint="cs"/>
          <w:rtl/>
        </w:rPr>
        <w:t>-</w:t>
      </w:r>
      <w:r w:rsidRPr="00C273A0">
        <w:rPr>
          <w:rFonts w:asciiTheme="minorBidi" w:hAnsiTheme="minorBidi" w:cs="Arial"/>
          <w:rtl/>
        </w:rPr>
        <w:t xml:space="preserve"> כל דהו טפי ממחצה סגי</w:t>
      </w:r>
      <w:r w:rsidRPr="002309F8">
        <w:rPr>
          <w:rFonts w:asciiTheme="minorBidi" w:hAnsiTheme="minorBidi" w:cs="Arial"/>
          <w:rtl/>
        </w:rPr>
        <w:t xml:space="preserve"> </w:t>
      </w:r>
      <w:r w:rsidRPr="00C273A0">
        <w:rPr>
          <w:rFonts w:asciiTheme="minorBidi" w:hAnsiTheme="minorBidi" w:cs="Arial"/>
          <w:rtl/>
        </w:rPr>
        <w:t>אף באיסור תורה</w:t>
      </w:r>
      <w:r>
        <w:rPr>
          <w:rFonts w:asciiTheme="minorBidi" w:hAnsiTheme="minorBidi" w:cs="Arial" w:hint="cs"/>
          <w:rtl/>
        </w:rPr>
        <w:t>.</w:t>
      </w:r>
      <w:r w:rsidRPr="00C273A0">
        <w:rPr>
          <w:rFonts w:asciiTheme="minorBidi" w:hAnsiTheme="minorBidi" w:cs="Arial"/>
          <w:rtl/>
        </w:rPr>
        <w:t xml:space="preserve"> </w:t>
      </w:r>
    </w:p>
    <w:p w14:paraId="444413CD" w14:textId="77777777" w:rsidR="002C39F4" w:rsidRDefault="002C39F4" w:rsidP="0032102C">
      <w:pPr>
        <w:pStyle w:val="a8"/>
        <w:numPr>
          <w:ilvl w:val="0"/>
          <w:numId w:val="243"/>
        </w:numPr>
        <w:rPr>
          <w:rFonts w:asciiTheme="minorBidi" w:hAnsiTheme="minorBidi"/>
        </w:rPr>
      </w:pPr>
      <w:r w:rsidRPr="00C273A0">
        <w:rPr>
          <w:rFonts w:asciiTheme="minorBidi" w:hAnsiTheme="minorBidi" w:cs="Arial"/>
          <w:rtl/>
        </w:rPr>
        <w:t>מנ</w:t>
      </w:r>
      <w:r>
        <w:rPr>
          <w:rFonts w:asciiTheme="minorBidi" w:hAnsiTheme="minorBidi" w:cs="Arial" w:hint="cs"/>
          <w:rtl/>
        </w:rPr>
        <w:t xml:space="preserve">חת יעקב </w:t>
      </w:r>
      <w:r w:rsidRPr="002309F8">
        <w:rPr>
          <w:rFonts w:asciiTheme="minorBidi" w:hAnsiTheme="minorBidi" w:cs="Arial" w:hint="cs"/>
          <w:sz w:val="16"/>
          <w:szCs w:val="16"/>
          <w:rtl/>
        </w:rPr>
        <w:t>(כלל לט אות א וכלל נא אות ו)</w:t>
      </w:r>
      <w:r>
        <w:rPr>
          <w:rFonts w:asciiTheme="minorBidi" w:hAnsiTheme="minorBidi" w:cs="Arial" w:hint="cs"/>
          <w:rtl/>
        </w:rPr>
        <w:t xml:space="preserve">- </w:t>
      </w:r>
      <w:r w:rsidRPr="00C273A0">
        <w:rPr>
          <w:rFonts w:asciiTheme="minorBidi" w:hAnsiTheme="minorBidi" w:cs="Arial"/>
          <w:rtl/>
        </w:rPr>
        <w:t>מדרבנן בעינן דוקא כפל</w:t>
      </w:r>
      <w:r>
        <w:rPr>
          <w:rStyle w:val="a7"/>
          <w:rFonts w:asciiTheme="minorBidi" w:hAnsiTheme="minorBidi" w:cs="Arial"/>
          <w:rtl/>
        </w:rPr>
        <w:footnoteReference w:id="2406"/>
      </w:r>
      <w:r>
        <w:rPr>
          <w:rFonts w:asciiTheme="minorBidi" w:hAnsiTheme="minorBidi" w:cs="Arial" w:hint="cs"/>
          <w:rtl/>
        </w:rPr>
        <w:t>.</w:t>
      </w:r>
    </w:p>
    <w:p w14:paraId="02B8769E" w14:textId="77777777" w:rsidR="002C39F4" w:rsidRPr="002309F8" w:rsidRDefault="002C39F4" w:rsidP="002C39F4">
      <w:pPr>
        <w:ind w:left="360"/>
        <w:rPr>
          <w:rFonts w:asciiTheme="minorBidi" w:hAnsiTheme="minorBidi"/>
          <w:u w:val="dotted"/>
        </w:rPr>
      </w:pPr>
      <w:r>
        <w:rPr>
          <w:rFonts w:asciiTheme="minorBidi" w:hAnsiTheme="minorBidi" w:hint="cs"/>
          <w:u w:val="dotted"/>
          <w:rtl/>
        </w:rPr>
        <w:t>צריך רוב במניין או רוב בכמות:</w:t>
      </w:r>
      <w:r>
        <w:rPr>
          <w:rFonts w:asciiTheme="minorBidi" w:hAnsiTheme="minorBidi" w:hint="cs"/>
          <w:sz w:val="16"/>
          <w:szCs w:val="16"/>
          <w:rtl/>
        </w:rPr>
        <w:t xml:space="preserve">  (פת"ש סק"א)</w:t>
      </w:r>
      <w:r>
        <w:rPr>
          <w:rFonts w:asciiTheme="minorBidi" w:hAnsiTheme="minorBidi" w:hint="cs"/>
          <w:u w:val="dotted"/>
          <w:rtl/>
        </w:rPr>
        <w:t xml:space="preserve"> </w:t>
      </w:r>
    </w:p>
    <w:p w14:paraId="79AB4863" w14:textId="77777777" w:rsidR="002C39F4" w:rsidRDefault="002C39F4" w:rsidP="0032102C">
      <w:pPr>
        <w:pStyle w:val="a8"/>
        <w:numPr>
          <w:ilvl w:val="0"/>
          <w:numId w:val="243"/>
        </w:numPr>
        <w:rPr>
          <w:rFonts w:asciiTheme="minorBidi" w:hAnsiTheme="minorBidi"/>
        </w:rPr>
      </w:pPr>
      <w:r w:rsidRPr="00C273A0">
        <w:rPr>
          <w:rFonts w:asciiTheme="minorBidi" w:hAnsiTheme="minorBidi" w:cs="Arial"/>
          <w:rtl/>
        </w:rPr>
        <w:t>חינוך בי</w:t>
      </w:r>
      <w:r>
        <w:rPr>
          <w:rFonts w:asciiTheme="minorBidi" w:hAnsiTheme="minorBidi" w:cs="Arial" w:hint="cs"/>
          <w:rtl/>
        </w:rPr>
        <w:t>ת יהודה</w:t>
      </w:r>
      <w:r w:rsidRPr="00C273A0">
        <w:rPr>
          <w:rFonts w:asciiTheme="minorBidi" w:hAnsiTheme="minorBidi" w:cs="Arial"/>
          <w:rtl/>
        </w:rPr>
        <w:t xml:space="preserve"> </w:t>
      </w:r>
      <w:r w:rsidRPr="002309F8">
        <w:rPr>
          <w:rFonts w:asciiTheme="minorBidi" w:hAnsiTheme="minorBidi" w:cs="Arial" w:hint="cs"/>
          <w:sz w:val="16"/>
          <w:szCs w:val="16"/>
          <w:rtl/>
        </w:rPr>
        <w:t>(</w:t>
      </w:r>
      <w:r w:rsidRPr="002309F8">
        <w:rPr>
          <w:rFonts w:asciiTheme="minorBidi" w:hAnsiTheme="minorBidi" w:cs="Arial"/>
          <w:sz w:val="16"/>
          <w:szCs w:val="16"/>
          <w:rtl/>
        </w:rPr>
        <w:t>סי</w:t>
      </w:r>
      <w:r w:rsidRPr="002309F8">
        <w:rPr>
          <w:rFonts w:asciiTheme="minorBidi" w:hAnsiTheme="minorBidi" w:cs="Arial" w:hint="cs"/>
          <w:sz w:val="16"/>
          <w:szCs w:val="16"/>
          <w:rtl/>
        </w:rPr>
        <w:t>'</w:t>
      </w:r>
      <w:r w:rsidRPr="002309F8">
        <w:rPr>
          <w:rFonts w:asciiTheme="minorBidi" w:hAnsiTheme="minorBidi" w:cs="Arial"/>
          <w:sz w:val="16"/>
          <w:szCs w:val="16"/>
          <w:rtl/>
        </w:rPr>
        <w:t xml:space="preserve"> פ</w:t>
      </w:r>
      <w:r w:rsidRPr="002309F8">
        <w:rPr>
          <w:rFonts w:asciiTheme="minorBidi" w:hAnsiTheme="minorBidi" w:cs="Arial" w:hint="cs"/>
          <w:sz w:val="16"/>
          <w:szCs w:val="16"/>
          <w:rtl/>
        </w:rPr>
        <w:t>)</w:t>
      </w:r>
      <w:r>
        <w:rPr>
          <w:rFonts w:asciiTheme="minorBidi" w:hAnsiTheme="minorBidi" w:cs="Arial" w:hint="cs"/>
          <w:rtl/>
        </w:rPr>
        <w:t>-</w:t>
      </w:r>
      <w:r w:rsidRPr="00C273A0">
        <w:rPr>
          <w:rFonts w:asciiTheme="minorBidi" w:hAnsiTheme="minorBidi" w:cs="Arial"/>
          <w:rtl/>
        </w:rPr>
        <w:t xml:space="preserve"> </w:t>
      </w:r>
      <w:r>
        <w:rPr>
          <w:rStyle w:val="a7"/>
          <w:rFonts w:asciiTheme="minorBidi" w:hAnsiTheme="minorBidi" w:cs="Arial"/>
          <w:rtl/>
        </w:rPr>
        <w:footnoteReference w:id="2407"/>
      </w:r>
      <w:r w:rsidRPr="00C273A0">
        <w:rPr>
          <w:rFonts w:asciiTheme="minorBidi" w:hAnsiTheme="minorBidi" w:cs="Arial"/>
          <w:rtl/>
        </w:rPr>
        <w:t>אם אחד אמר שיש לו בבית ז' חתיכות ו' היתר וא' איסור ואזל לעלמא ואנו מוצאין בערבוביא ז' חתיכות וא' מהם גדולה יותר מו' הנשארים לא אמרינן שתתבטל בששה ולא בס' אם הגדולה גדולה בכמות מכל הס'</w:t>
      </w:r>
      <w:r>
        <w:rPr>
          <w:rFonts w:asciiTheme="minorBidi" w:hAnsiTheme="minorBidi" w:cs="Arial" w:hint="cs"/>
          <w:rtl/>
        </w:rPr>
        <w:t>,</w:t>
      </w:r>
      <w:r w:rsidRPr="00C273A0">
        <w:rPr>
          <w:rFonts w:asciiTheme="minorBidi" w:hAnsiTheme="minorBidi" w:cs="Arial"/>
          <w:rtl/>
        </w:rPr>
        <w:t xml:space="preserve"> וכן אם אמר שיש לו חתיכה א' היתר של ז' ליטרות וששה חתיכות איסור כל אחד ליטרא א' ואזיל לעלמא ובתוך כך בא אחד וחתך הגדולה לז' חלקים ונתערבו בטלים ברוב</w:t>
      </w:r>
      <w:r>
        <w:rPr>
          <w:rStyle w:val="a7"/>
          <w:rFonts w:asciiTheme="minorBidi" w:hAnsiTheme="minorBidi" w:cs="Arial"/>
          <w:rtl/>
        </w:rPr>
        <w:footnoteReference w:id="2408"/>
      </w:r>
      <w:r>
        <w:rPr>
          <w:rFonts w:asciiTheme="minorBidi" w:hAnsiTheme="minorBidi" w:cs="Arial" w:hint="cs"/>
          <w:rtl/>
        </w:rPr>
        <w:t>.</w:t>
      </w:r>
    </w:p>
    <w:p w14:paraId="3B04F8A0" w14:textId="77777777" w:rsidR="002C39F4" w:rsidRPr="00646147" w:rsidRDefault="002C39F4" w:rsidP="002C39F4">
      <w:pPr>
        <w:rPr>
          <w:rFonts w:asciiTheme="minorBidi" w:hAnsiTheme="minorBidi"/>
          <w:rtl/>
        </w:rPr>
      </w:pPr>
    </w:p>
    <w:p w14:paraId="48C2E9DE"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יבש ביבש שנתבטל חד בתרי ובישלן.</w:t>
      </w:r>
    </w:p>
    <w:p w14:paraId="7892B805" w14:textId="77777777" w:rsidR="002C39F4" w:rsidRPr="00DA1E11" w:rsidRDefault="002C39F4" w:rsidP="002C39F4">
      <w:pPr>
        <w:rPr>
          <w:rFonts w:cs="Arial"/>
          <w:u w:val="single"/>
          <w:rtl/>
        </w:rPr>
      </w:pPr>
      <w:r>
        <w:rPr>
          <w:rFonts w:cs="Arial" w:hint="cs"/>
          <w:u w:val="single"/>
          <w:rtl/>
        </w:rPr>
        <w:t>תערובת יבש ביבש שנתבטל חד בתרי ובישלן</w:t>
      </w:r>
      <w:r w:rsidRPr="00DA1E11">
        <w:rPr>
          <w:rFonts w:cs="Arial" w:hint="cs"/>
          <w:u w:val="single"/>
          <w:rtl/>
        </w:rPr>
        <w:t>:</w:t>
      </w:r>
    </w:p>
    <w:p w14:paraId="2FAA97DF" w14:textId="77777777" w:rsidR="002C39F4" w:rsidRPr="00DA1E11" w:rsidRDefault="002C39F4" w:rsidP="0032102C">
      <w:pPr>
        <w:pStyle w:val="a8"/>
        <w:numPr>
          <w:ilvl w:val="0"/>
          <w:numId w:val="243"/>
        </w:numPr>
        <w:rPr>
          <w:rFonts w:cs="Arial"/>
          <w:rtl/>
        </w:rPr>
      </w:pPr>
      <w:r w:rsidRPr="00DA1E11">
        <w:rPr>
          <w:rFonts w:cs="Arial"/>
          <w:rtl/>
        </w:rPr>
        <w:t>רשב"א</w:t>
      </w:r>
      <w:r>
        <w:rPr>
          <w:rStyle w:val="a7"/>
          <w:rFonts w:cs="Arial"/>
          <w:rtl/>
        </w:rPr>
        <w:footnoteReference w:id="2409"/>
      </w:r>
      <w:r w:rsidRPr="00D15189">
        <w:rPr>
          <w:rFonts w:cs="Arial"/>
          <w:rtl/>
        </w:rPr>
        <w:t xml:space="preserve"> </w:t>
      </w:r>
      <w:r w:rsidRPr="00DA1E11">
        <w:rPr>
          <w:rFonts w:cs="Arial"/>
          <w:sz w:val="16"/>
          <w:szCs w:val="16"/>
          <w:rtl/>
        </w:rPr>
        <w:t>(ח"א סי</w:t>
      </w:r>
      <w:r>
        <w:rPr>
          <w:rFonts w:cs="Arial" w:hint="cs"/>
          <w:sz w:val="16"/>
          <w:szCs w:val="16"/>
          <w:rtl/>
        </w:rPr>
        <w:t>'</w:t>
      </w:r>
      <w:r w:rsidRPr="00DA1E11">
        <w:rPr>
          <w:rFonts w:cs="Arial"/>
          <w:sz w:val="16"/>
          <w:szCs w:val="16"/>
          <w:rtl/>
        </w:rPr>
        <w:t xml:space="preserve"> ערב)</w:t>
      </w:r>
      <w:r w:rsidRPr="00AD422C">
        <w:rPr>
          <w:rFonts w:cs="Arial"/>
          <w:rtl/>
        </w:rPr>
        <w:t xml:space="preserve"> </w:t>
      </w:r>
      <w:r>
        <w:rPr>
          <w:rFonts w:cs="Arial" w:hint="cs"/>
          <w:rtl/>
        </w:rPr>
        <w:t>ו</w:t>
      </w:r>
      <w:r>
        <w:rPr>
          <w:rFonts w:cs="Arial"/>
          <w:rtl/>
        </w:rPr>
        <w:t xml:space="preserve">ר"ן </w:t>
      </w:r>
      <w:r w:rsidRPr="00AD422C">
        <w:rPr>
          <w:rFonts w:cs="Arial"/>
          <w:sz w:val="16"/>
          <w:szCs w:val="16"/>
          <w:rtl/>
        </w:rPr>
        <w:t>(</w:t>
      </w:r>
      <w:r w:rsidRPr="00AD422C">
        <w:rPr>
          <w:rFonts w:cs="Arial" w:hint="cs"/>
          <w:sz w:val="16"/>
          <w:szCs w:val="16"/>
          <w:rtl/>
        </w:rPr>
        <w:t xml:space="preserve">חולין </w:t>
      </w:r>
      <w:r w:rsidRPr="00AD422C">
        <w:rPr>
          <w:rFonts w:cs="Arial"/>
          <w:sz w:val="16"/>
          <w:szCs w:val="16"/>
          <w:rtl/>
        </w:rPr>
        <w:t>לו. ד"ה גרסי' בגמ')</w:t>
      </w:r>
      <w:r>
        <w:rPr>
          <w:rFonts w:cs="Arial" w:hint="cs"/>
          <w:rtl/>
        </w:rPr>
        <w:t>-</w:t>
      </w:r>
      <w:r>
        <w:rPr>
          <w:rFonts w:cs="Arial"/>
          <w:rtl/>
        </w:rPr>
        <w:t xml:space="preserve"> לא שרינן ביטול יבש ביבש אלא לאכול כל אחד בפני עצמו אבל לבשלן כולן כאחד כל היכא דליכא ששים אסור</w:t>
      </w:r>
      <w:r>
        <w:rPr>
          <w:rFonts w:cs="Arial" w:hint="cs"/>
          <w:rtl/>
        </w:rPr>
        <w:t>,</w:t>
      </w:r>
      <w:r>
        <w:rPr>
          <w:rFonts w:cs="Arial"/>
          <w:rtl/>
        </w:rPr>
        <w:t xml:space="preserve"> דכיון דגזור רבנן בנ"ט במין במינו אי מבשל להו בהדדי יהבי טעמא ואסור</w:t>
      </w:r>
      <w:r>
        <w:rPr>
          <w:rFonts w:cs="Arial" w:hint="cs"/>
          <w:sz w:val="16"/>
          <w:szCs w:val="16"/>
          <w:rtl/>
        </w:rPr>
        <w:t xml:space="preserve"> (ל' הר"ן)</w:t>
      </w:r>
      <w:r>
        <w:rPr>
          <w:rFonts w:cs="Arial" w:hint="cs"/>
          <w:rtl/>
        </w:rPr>
        <w:t xml:space="preserve">. </w:t>
      </w:r>
      <w:r w:rsidRPr="0029527D">
        <w:rPr>
          <w:rFonts w:cs="Arial" w:hint="cs"/>
          <w:color w:val="E36C0A" w:themeColor="accent6" w:themeShade="BF"/>
          <w:rtl/>
        </w:rPr>
        <w:t>(וכ"פ בשו"ע)</w:t>
      </w:r>
    </w:p>
    <w:p w14:paraId="3E9109D2" w14:textId="77777777" w:rsidR="002C39F4" w:rsidRPr="001048DB" w:rsidRDefault="002C39F4" w:rsidP="0032102C">
      <w:pPr>
        <w:pStyle w:val="a8"/>
        <w:numPr>
          <w:ilvl w:val="0"/>
          <w:numId w:val="243"/>
        </w:numPr>
        <w:rPr>
          <w:rtl/>
        </w:rPr>
      </w:pPr>
      <w:r w:rsidRPr="00DA1E11">
        <w:rPr>
          <w:rFonts w:cs="Arial"/>
          <w:rtl/>
        </w:rPr>
        <w:t>רא"ש</w:t>
      </w:r>
      <w:r>
        <w:rPr>
          <w:rFonts w:cs="Arial" w:hint="cs"/>
          <w:rtl/>
        </w:rPr>
        <w:t xml:space="preserve"> </w:t>
      </w:r>
      <w:r w:rsidRPr="006C3952">
        <w:rPr>
          <w:rFonts w:cs="Arial"/>
          <w:sz w:val="16"/>
          <w:szCs w:val="16"/>
          <w:rtl/>
        </w:rPr>
        <w:t>(</w:t>
      </w:r>
      <w:r w:rsidRPr="006C3952">
        <w:rPr>
          <w:rFonts w:cs="Arial" w:hint="cs"/>
          <w:sz w:val="16"/>
          <w:szCs w:val="16"/>
          <w:rtl/>
        </w:rPr>
        <w:t xml:space="preserve">פג"ה </w:t>
      </w:r>
      <w:r w:rsidRPr="006C3952">
        <w:rPr>
          <w:rFonts w:cs="Arial"/>
          <w:sz w:val="16"/>
          <w:szCs w:val="16"/>
          <w:rtl/>
        </w:rPr>
        <w:t>סי' לז)</w:t>
      </w:r>
      <w:r>
        <w:rPr>
          <w:rFonts w:cs="Arial" w:hint="cs"/>
          <w:rtl/>
        </w:rPr>
        <w:t xml:space="preserve"> ורי"ו</w:t>
      </w:r>
      <w:r>
        <w:rPr>
          <w:rStyle w:val="a7"/>
          <w:rFonts w:cs="Arial"/>
          <w:rtl/>
        </w:rPr>
        <w:footnoteReference w:id="2410"/>
      </w:r>
      <w:r w:rsidRPr="001048DB">
        <w:rPr>
          <w:rStyle w:val="a7"/>
          <w:rFonts w:cs="Arial"/>
          <w:rtl/>
        </w:rPr>
        <w:t xml:space="preserve"> </w:t>
      </w:r>
      <w:r w:rsidRPr="003318D1">
        <w:rPr>
          <w:rFonts w:cs="Arial" w:hint="cs"/>
          <w:sz w:val="16"/>
          <w:szCs w:val="16"/>
          <w:rtl/>
        </w:rPr>
        <w:t>(</w:t>
      </w:r>
      <w:r w:rsidRPr="003318D1">
        <w:rPr>
          <w:rFonts w:cs="Arial"/>
          <w:sz w:val="16"/>
          <w:szCs w:val="16"/>
          <w:rtl/>
        </w:rPr>
        <w:t>ת</w:t>
      </w:r>
      <w:r w:rsidRPr="003318D1">
        <w:rPr>
          <w:rFonts w:cs="Arial" w:hint="cs"/>
          <w:sz w:val="16"/>
          <w:szCs w:val="16"/>
          <w:rtl/>
        </w:rPr>
        <w:t>א"</w:t>
      </w:r>
      <w:r w:rsidRPr="003318D1">
        <w:rPr>
          <w:rFonts w:cs="Arial"/>
          <w:sz w:val="16"/>
          <w:szCs w:val="16"/>
          <w:rtl/>
        </w:rPr>
        <w:t>ו</w:t>
      </w:r>
      <w:r w:rsidRPr="003318D1">
        <w:rPr>
          <w:rFonts w:cs="Arial" w:hint="cs"/>
          <w:sz w:val="16"/>
          <w:szCs w:val="16"/>
          <w:rtl/>
        </w:rPr>
        <w:t xml:space="preserve"> </w:t>
      </w:r>
      <w:r w:rsidRPr="003318D1">
        <w:rPr>
          <w:rFonts w:cs="Arial"/>
          <w:sz w:val="16"/>
          <w:szCs w:val="16"/>
          <w:rtl/>
        </w:rPr>
        <w:t>נט</w:t>
      </w:r>
      <w:r w:rsidRPr="003318D1">
        <w:rPr>
          <w:rFonts w:cs="Arial" w:hint="cs"/>
          <w:sz w:val="16"/>
          <w:szCs w:val="16"/>
          <w:rtl/>
        </w:rPr>
        <w:t>"</w:t>
      </w:r>
      <w:r w:rsidRPr="003318D1">
        <w:rPr>
          <w:rFonts w:cs="Arial"/>
          <w:sz w:val="16"/>
          <w:szCs w:val="16"/>
          <w:rtl/>
        </w:rPr>
        <w:t>ו אות כט קלט</w:t>
      </w:r>
      <w:r>
        <w:rPr>
          <w:rFonts w:cs="Arial" w:hint="cs"/>
          <w:sz w:val="16"/>
          <w:szCs w:val="16"/>
          <w:rtl/>
        </w:rPr>
        <w:t xml:space="preserve"> ג,</w:t>
      </w:r>
      <w:r w:rsidRPr="0029527D">
        <w:rPr>
          <w:rFonts w:cs="Arial" w:hint="cs"/>
          <w:sz w:val="16"/>
          <w:szCs w:val="16"/>
          <w:rtl/>
        </w:rPr>
        <w:t xml:space="preserve"> </w:t>
      </w:r>
      <w:r w:rsidRPr="00B56E8E">
        <w:rPr>
          <w:rFonts w:cs="Arial" w:hint="cs"/>
          <w:sz w:val="16"/>
          <w:szCs w:val="16"/>
          <w:rtl/>
        </w:rPr>
        <w:t>הביאו הב"י בבדה"ב</w:t>
      </w:r>
      <w:r w:rsidRPr="003318D1">
        <w:rPr>
          <w:rFonts w:cs="Arial" w:hint="cs"/>
          <w:sz w:val="16"/>
          <w:szCs w:val="16"/>
          <w:rtl/>
        </w:rPr>
        <w:t>)</w:t>
      </w:r>
      <w:r w:rsidRPr="00DA1E11">
        <w:rPr>
          <w:rFonts w:cs="Arial" w:hint="cs"/>
          <w:rtl/>
        </w:rPr>
        <w:t xml:space="preserve"> -</w:t>
      </w:r>
      <w:r w:rsidRPr="00DA1E11">
        <w:rPr>
          <w:rFonts w:cs="Arial"/>
          <w:rtl/>
        </w:rPr>
        <w:t xml:space="preserve"> אם לא נודע תערובתו קודם שנתבשל צריך ס' כנגד האיסור</w:t>
      </w:r>
      <w:r>
        <w:rPr>
          <w:rFonts w:cs="Arial" w:hint="cs"/>
          <w:rtl/>
        </w:rPr>
        <w:t>,</w:t>
      </w:r>
      <w:r w:rsidRPr="00DA1E11">
        <w:rPr>
          <w:rFonts w:cs="Arial"/>
          <w:rtl/>
        </w:rPr>
        <w:t xml:space="preserve"> ואם נודע תערובתו קודם שנתבשל גם הרוטב מותר כולו כמו החתיכות שנתערבו</w:t>
      </w:r>
      <w:r>
        <w:rPr>
          <w:rStyle w:val="a7"/>
          <w:rFonts w:cs="Arial"/>
          <w:rtl/>
        </w:rPr>
        <w:footnoteReference w:id="2411"/>
      </w:r>
      <w:r>
        <w:rPr>
          <w:rFonts w:cs="Arial" w:hint="cs"/>
          <w:sz w:val="16"/>
          <w:szCs w:val="16"/>
          <w:rtl/>
        </w:rPr>
        <w:t xml:space="preserve"> (ל' הטור)</w:t>
      </w:r>
      <w:r>
        <w:rPr>
          <w:rStyle w:val="a7"/>
          <w:rFonts w:cs="Arial"/>
          <w:rtl/>
        </w:rPr>
        <w:footnoteReference w:id="2412"/>
      </w:r>
      <w:r w:rsidRPr="00DA1E11">
        <w:rPr>
          <w:rFonts w:cs="Arial" w:hint="cs"/>
          <w:rtl/>
        </w:rPr>
        <w:t>.</w:t>
      </w:r>
    </w:p>
    <w:p w14:paraId="5D32A5E3" w14:textId="77777777" w:rsidR="002C39F4" w:rsidRPr="00AD422C" w:rsidRDefault="002C39F4" w:rsidP="002C39F4">
      <w:pPr>
        <w:ind w:left="360"/>
        <w:rPr>
          <w:u w:val="dotted"/>
        </w:rPr>
      </w:pPr>
      <w:r>
        <w:rPr>
          <w:rFonts w:hint="cs"/>
          <w:u w:val="dotted"/>
          <w:rtl/>
        </w:rPr>
        <w:t>ה</w:t>
      </w:r>
      <w:r w:rsidRPr="00AD422C">
        <w:rPr>
          <w:rFonts w:hint="cs"/>
          <w:u w:val="dotted"/>
          <w:rtl/>
        </w:rPr>
        <w:t>אם מותר לרבות על האיסור כדי ששים ולבשלם:</w:t>
      </w:r>
    </w:p>
    <w:p w14:paraId="7B12E52E" w14:textId="77777777" w:rsidR="002C39F4" w:rsidRPr="00AD422C" w:rsidRDefault="002C39F4" w:rsidP="0032102C">
      <w:pPr>
        <w:pStyle w:val="a8"/>
        <w:numPr>
          <w:ilvl w:val="0"/>
          <w:numId w:val="243"/>
        </w:numPr>
      </w:pPr>
      <w:r w:rsidRPr="00AD422C">
        <w:rPr>
          <w:rFonts w:cs="Arial"/>
          <w:rtl/>
        </w:rPr>
        <w:t xml:space="preserve">ר"ן </w:t>
      </w:r>
      <w:r w:rsidRPr="00AD422C">
        <w:rPr>
          <w:rFonts w:cs="Arial" w:hint="cs"/>
          <w:sz w:val="16"/>
          <w:szCs w:val="16"/>
          <w:rtl/>
        </w:rPr>
        <w:t xml:space="preserve">(שם) </w:t>
      </w:r>
      <w:r w:rsidRPr="00AD422C">
        <w:rPr>
          <w:rFonts w:cs="Arial" w:hint="cs"/>
          <w:rtl/>
        </w:rPr>
        <w:t xml:space="preserve">בשם </w:t>
      </w:r>
      <w:r w:rsidRPr="00AD422C">
        <w:rPr>
          <w:rFonts w:cs="Arial"/>
          <w:rtl/>
        </w:rPr>
        <w:t>הרא"ה</w:t>
      </w:r>
      <w:r w:rsidRPr="00AD422C">
        <w:rPr>
          <w:rFonts w:cs="Arial" w:hint="cs"/>
          <w:rtl/>
        </w:rPr>
        <w:t xml:space="preserve">- </w:t>
      </w:r>
      <w:r w:rsidRPr="00AD422C">
        <w:rPr>
          <w:rFonts w:cs="Arial"/>
          <w:rtl/>
        </w:rPr>
        <w:t>כל שנתבטל חד בתרי כיון שלאכול כל אחד בפ"ע מותר אם בא לבשלן כא</w:t>
      </w:r>
      <w:r>
        <w:rPr>
          <w:rFonts w:cs="Arial" w:hint="cs"/>
          <w:rtl/>
        </w:rPr>
        <w:t>חד</w:t>
      </w:r>
      <w:r w:rsidRPr="00AD422C">
        <w:rPr>
          <w:rFonts w:cs="Arial"/>
          <w:rtl/>
        </w:rPr>
        <w:t xml:space="preserve"> מרבה עליהן כדי שיעור </w:t>
      </w:r>
      <w:r>
        <w:rPr>
          <w:rFonts w:cs="Arial" w:hint="cs"/>
          <w:rtl/>
        </w:rPr>
        <w:t>ששים</w:t>
      </w:r>
      <w:r w:rsidRPr="00AD422C">
        <w:rPr>
          <w:rFonts w:cs="Arial"/>
          <w:rtl/>
        </w:rPr>
        <w:t xml:space="preserve"> ומבשלן לכתח</w:t>
      </w:r>
      <w:r>
        <w:rPr>
          <w:rFonts w:cs="Arial" w:hint="cs"/>
          <w:rtl/>
        </w:rPr>
        <w:t>ילה</w:t>
      </w:r>
      <w:r w:rsidRPr="00AD422C">
        <w:rPr>
          <w:rFonts w:cs="Arial" w:hint="cs"/>
          <w:rtl/>
        </w:rPr>
        <w:t>,</w:t>
      </w:r>
      <w:r w:rsidRPr="00AD422C">
        <w:rPr>
          <w:rFonts w:cs="Arial"/>
          <w:rtl/>
        </w:rPr>
        <w:t xml:space="preserve"> ומשום מבטל איסור ליכא כיון שכל א</w:t>
      </w:r>
      <w:r>
        <w:rPr>
          <w:rFonts w:cs="Arial" w:hint="cs"/>
          <w:rtl/>
        </w:rPr>
        <w:t>'</w:t>
      </w:r>
      <w:r w:rsidRPr="00AD422C">
        <w:rPr>
          <w:rFonts w:cs="Arial"/>
          <w:rtl/>
        </w:rPr>
        <w:t xml:space="preserve"> בפ"ע מותר אין כאן איסור</w:t>
      </w:r>
      <w:r w:rsidRPr="00AD422C">
        <w:rPr>
          <w:rFonts w:cs="Arial" w:hint="cs"/>
          <w:rtl/>
        </w:rPr>
        <w:t>.</w:t>
      </w:r>
      <w:r w:rsidRPr="00AD422C">
        <w:rPr>
          <w:rFonts w:cs="Arial"/>
          <w:rtl/>
        </w:rPr>
        <w:t xml:space="preserve"> </w:t>
      </w:r>
      <w:r w:rsidRPr="0029527D">
        <w:rPr>
          <w:rFonts w:cs="Arial" w:hint="cs"/>
          <w:color w:val="E36C0A" w:themeColor="accent6" w:themeShade="BF"/>
          <w:rtl/>
        </w:rPr>
        <w:t>(וכ"פ בשו"ע)</w:t>
      </w:r>
    </w:p>
    <w:p w14:paraId="1EEF0F3F" w14:textId="77777777" w:rsidR="002C39F4" w:rsidRDefault="002C39F4" w:rsidP="002C39F4">
      <w:pPr>
        <w:rPr>
          <w:rFonts w:cs="Arial"/>
          <w:rtl/>
        </w:rPr>
      </w:pPr>
      <w:r w:rsidRPr="00B56E8E">
        <w:rPr>
          <w:rFonts w:cs="Arial" w:hint="cs"/>
          <w:u w:val="single"/>
          <w:rtl/>
        </w:rPr>
        <w:t xml:space="preserve">איסור שנתבטל בתערובת </w:t>
      </w:r>
      <w:r>
        <w:rPr>
          <w:rFonts w:cs="Arial" w:hint="cs"/>
          <w:sz w:val="16"/>
          <w:szCs w:val="16"/>
          <w:u w:val="single"/>
          <w:rtl/>
        </w:rPr>
        <w:t>(כגון חתיכת איסור שנפלה לתוך שתי חתיכות היתר והוי יבש ביבש)</w:t>
      </w:r>
      <w:r>
        <w:rPr>
          <w:rFonts w:cs="Arial" w:hint="cs"/>
          <w:u w:val="single"/>
          <w:rtl/>
        </w:rPr>
        <w:t xml:space="preserve"> </w:t>
      </w:r>
      <w:r w:rsidRPr="00B56E8E">
        <w:rPr>
          <w:rFonts w:cs="Arial" w:hint="cs"/>
          <w:u w:val="single"/>
          <w:rtl/>
        </w:rPr>
        <w:t>ואח"כ נפל עוד איסור לתערובת:</w:t>
      </w:r>
      <w:r>
        <w:rPr>
          <w:rFonts w:cs="Arial" w:hint="cs"/>
          <w:rtl/>
        </w:rPr>
        <w:t xml:space="preserve"> </w:t>
      </w:r>
    </w:p>
    <w:p w14:paraId="5428AF57" w14:textId="77777777" w:rsidR="002C39F4" w:rsidRDefault="002C39F4" w:rsidP="0032102C">
      <w:pPr>
        <w:pStyle w:val="a8"/>
        <w:numPr>
          <w:ilvl w:val="0"/>
          <w:numId w:val="243"/>
        </w:numPr>
        <w:rPr>
          <w:rFonts w:cs="Arial"/>
        </w:rPr>
      </w:pPr>
      <w:r w:rsidRPr="00B56E8E">
        <w:rPr>
          <w:rFonts w:cs="Arial"/>
          <w:rtl/>
        </w:rPr>
        <w:t>רא"ש</w:t>
      </w:r>
      <w:r w:rsidRPr="00B56E8E">
        <w:rPr>
          <w:rFonts w:cs="Arial" w:hint="cs"/>
          <w:rtl/>
        </w:rPr>
        <w:t xml:space="preserve"> </w:t>
      </w:r>
      <w:r w:rsidRPr="00B56E8E">
        <w:rPr>
          <w:rFonts w:cs="Arial"/>
          <w:sz w:val="16"/>
          <w:szCs w:val="16"/>
          <w:rtl/>
        </w:rPr>
        <w:t>(</w:t>
      </w:r>
      <w:r w:rsidRPr="00B56E8E">
        <w:rPr>
          <w:rFonts w:cs="Arial" w:hint="cs"/>
          <w:sz w:val="16"/>
          <w:szCs w:val="16"/>
          <w:rtl/>
        </w:rPr>
        <w:t xml:space="preserve">פג"ה </w:t>
      </w:r>
      <w:r w:rsidRPr="00B56E8E">
        <w:rPr>
          <w:rFonts w:cs="Arial"/>
          <w:sz w:val="16"/>
          <w:szCs w:val="16"/>
          <w:rtl/>
        </w:rPr>
        <w:t>סי' לז)</w:t>
      </w:r>
      <w:r w:rsidRPr="00B56E8E">
        <w:rPr>
          <w:rFonts w:cs="Arial" w:hint="cs"/>
          <w:rtl/>
        </w:rPr>
        <w:t xml:space="preserve">- </w:t>
      </w:r>
      <w:r w:rsidRPr="00B56E8E">
        <w:rPr>
          <w:rFonts w:cs="Arial"/>
          <w:rtl/>
        </w:rPr>
        <w:t>אע</w:t>
      </w:r>
      <w:r w:rsidRPr="00B56E8E">
        <w:rPr>
          <w:rFonts w:cs="Arial" w:hint="cs"/>
          <w:rtl/>
        </w:rPr>
        <w:t>"</w:t>
      </w:r>
      <w:r w:rsidRPr="00B56E8E">
        <w:rPr>
          <w:rFonts w:cs="Arial"/>
          <w:rtl/>
        </w:rPr>
        <w:t>פ שמותר לאכול שלשתן כאחת וגם אם נתבשלו אינם אסורות</w:t>
      </w:r>
      <w:r w:rsidRPr="00B56E8E">
        <w:rPr>
          <w:rFonts w:cs="Arial" w:hint="cs"/>
          <w:rtl/>
        </w:rPr>
        <w:t>,</w:t>
      </w:r>
      <w:r w:rsidRPr="00B56E8E">
        <w:rPr>
          <w:rFonts w:cs="Arial"/>
          <w:rtl/>
        </w:rPr>
        <w:t xml:space="preserve"> מיהו אם נתוסף עליו איסור עד שנתרבה על ההיתר מצא מין את מינו וניעור</w:t>
      </w:r>
      <w:r w:rsidRPr="00B56E8E">
        <w:rPr>
          <w:rFonts w:cs="Arial" w:hint="cs"/>
          <w:rtl/>
        </w:rPr>
        <w:t>,</w:t>
      </w:r>
      <w:r w:rsidRPr="00B56E8E">
        <w:rPr>
          <w:rFonts w:cs="Arial"/>
          <w:rtl/>
        </w:rPr>
        <w:t xml:space="preserve"> וכן הדין בכל האיסורין שנתבטלו</w:t>
      </w:r>
      <w:r w:rsidRPr="00B56E8E">
        <w:rPr>
          <w:rFonts w:cs="Arial" w:hint="cs"/>
          <w:rtl/>
        </w:rPr>
        <w:t>,</w:t>
      </w:r>
      <w:r w:rsidRPr="00B56E8E">
        <w:rPr>
          <w:rFonts w:cs="Arial"/>
          <w:rtl/>
        </w:rPr>
        <w:t xml:space="preserve"> לא מיבעיא מין בשאינו מינו ביתר מששים ואח</w:t>
      </w:r>
      <w:r w:rsidRPr="00B56E8E">
        <w:rPr>
          <w:rFonts w:cs="Arial" w:hint="cs"/>
          <w:rtl/>
        </w:rPr>
        <w:t>"</w:t>
      </w:r>
      <w:r w:rsidRPr="00B56E8E">
        <w:rPr>
          <w:rFonts w:cs="Arial"/>
          <w:rtl/>
        </w:rPr>
        <w:t xml:space="preserve">כ נתוסף איסור שמצטרף עם הראשון לאסור </w:t>
      </w:r>
      <w:r w:rsidRPr="00B56E8E">
        <w:rPr>
          <w:rFonts w:cs="Arial" w:hint="cs"/>
          <w:sz w:val="16"/>
          <w:szCs w:val="16"/>
          <w:rtl/>
        </w:rPr>
        <w:t>(</w:t>
      </w:r>
      <w:r w:rsidRPr="00B56E8E">
        <w:rPr>
          <w:rFonts w:cs="Arial"/>
          <w:sz w:val="16"/>
          <w:szCs w:val="16"/>
          <w:rtl/>
        </w:rPr>
        <w:t>שהרי נצטרף יחד טעם האיסורים ונתן טעם בהיתר</w:t>
      </w:r>
      <w:r w:rsidRPr="00B56E8E">
        <w:rPr>
          <w:rFonts w:cs="Arial" w:hint="cs"/>
          <w:sz w:val="16"/>
          <w:szCs w:val="16"/>
          <w:rtl/>
        </w:rPr>
        <w:t>)</w:t>
      </w:r>
      <w:r w:rsidRPr="00B56E8E">
        <w:rPr>
          <w:rFonts w:cs="Arial"/>
          <w:rtl/>
        </w:rPr>
        <w:t xml:space="preserve"> וגם מין במינו בדבר לח ביותר מששים מצטרף האחרון עם הראשון </w:t>
      </w:r>
      <w:r w:rsidRPr="00B56E8E">
        <w:rPr>
          <w:rFonts w:cs="Arial" w:hint="cs"/>
          <w:sz w:val="16"/>
          <w:szCs w:val="16"/>
          <w:rtl/>
        </w:rPr>
        <w:t>(</w:t>
      </w:r>
      <w:r w:rsidRPr="00B56E8E">
        <w:rPr>
          <w:rFonts w:cs="Arial"/>
          <w:sz w:val="16"/>
          <w:szCs w:val="16"/>
          <w:rtl/>
        </w:rPr>
        <w:t>אע"ג דלא יהיב טעמא כי חכמים גזרו מין במינו אטו מין בשאינו מינו</w:t>
      </w:r>
      <w:r w:rsidRPr="00B56E8E">
        <w:rPr>
          <w:rFonts w:cs="Arial" w:hint="cs"/>
          <w:sz w:val="16"/>
          <w:szCs w:val="16"/>
          <w:rtl/>
        </w:rPr>
        <w:t>)</w:t>
      </w:r>
      <w:r w:rsidRPr="00B56E8E">
        <w:rPr>
          <w:rFonts w:cs="Arial" w:hint="cs"/>
          <w:rtl/>
        </w:rPr>
        <w:t>,</w:t>
      </w:r>
      <w:r w:rsidRPr="00B56E8E">
        <w:rPr>
          <w:rFonts w:cs="Arial"/>
          <w:rtl/>
        </w:rPr>
        <w:t xml:space="preserve"> אלא אפילו מין במינו בדבר יבש שנתבטל ברוב היתר אפילו מדרבנן ואח"כ נתוסף איסור מצא מין את מינו וניעור </w:t>
      </w:r>
      <w:r>
        <w:rPr>
          <w:rFonts w:cs="Arial" w:hint="cs"/>
          <w:sz w:val="16"/>
          <w:szCs w:val="16"/>
          <w:rtl/>
        </w:rPr>
        <w:t>(</w:t>
      </w:r>
      <w:r w:rsidRPr="00B56E8E">
        <w:rPr>
          <w:rFonts w:cs="Arial"/>
          <w:sz w:val="16"/>
          <w:szCs w:val="16"/>
          <w:rtl/>
        </w:rPr>
        <w:t>כדתנן בפ"ה דתרומות (מ"ח) סאה תרומה שנפלה למאה ולא הספיק להגביהה עד שנפלה אחרת הרי זו אסורה ורבי שמעון מתיר</w:t>
      </w:r>
      <w:r w:rsidRPr="00B56E8E">
        <w:rPr>
          <w:rFonts w:cs="Arial" w:hint="cs"/>
          <w:sz w:val="16"/>
          <w:szCs w:val="16"/>
          <w:rtl/>
        </w:rPr>
        <w:t>,</w:t>
      </w:r>
      <w:r w:rsidRPr="00B56E8E">
        <w:rPr>
          <w:rFonts w:cs="Arial"/>
          <w:sz w:val="16"/>
          <w:szCs w:val="16"/>
          <w:rtl/>
        </w:rPr>
        <w:t xml:space="preserve"> ואף רבי שמעון שמתיר לטעמיה דאית ליה כל העומד להרים כמורם דמי אבל בשאר איסורין דלא בעו הרמה מצטרפין יחד לאסור</w:t>
      </w:r>
      <w:r>
        <w:rPr>
          <w:rFonts w:cs="Arial" w:hint="cs"/>
          <w:sz w:val="16"/>
          <w:szCs w:val="16"/>
          <w:rtl/>
        </w:rPr>
        <w:t>)</w:t>
      </w:r>
      <w:r w:rsidRPr="00B56E8E">
        <w:rPr>
          <w:rFonts w:cs="Arial" w:hint="cs"/>
          <w:rtl/>
        </w:rPr>
        <w:t>,</w:t>
      </w:r>
      <w:r w:rsidRPr="00B56E8E">
        <w:rPr>
          <w:rFonts w:cs="Arial"/>
          <w:rtl/>
        </w:rPr>
        <w:t xml:space="preserve"> והטעם הנכון שבו משום דאף כי נתבטל האיסור ברוב היתר והותר לאכילה אם אח"כ הוכר האיסור מתוך ההיתר פשיטא שאסור לאוכלו</w:t>
      </w:r>
      <w:r>
        <w:rPr>
          <w:rStyle w:val="a7"/>
          <w:rFonts w:cs="Arial"/>
          <w:rtl/>
        </w:rPr>
        <w:footnoteReference w:id="2413"/>
      </w:r>
      <w:r w:rsidRPr="00B56E8E">
        <w:rPr>
          <w:rFonts w:cs="Arial" w:hint="cs"/>
          <w:rtl/>
        </w:rPr>
        <w:t>,</w:t>
      </w:r>
      <w:r w:rsidRPr="00B56E8E">
        <w:rPr>
          <w:rFonts w:cs="Arial"/>
          <w:rtl/>
        </w:rPr>
        <w:t xml:space="preserve"> וכאשר נתערב בו שוב איסור הכיר מין את מינו וניעור מביטולו וניתוסף עליו והוי כאילו הוכר האיסור </w:t>
      </w:r>
      <w:r w:rsidRPr="00B56E8E">
        <w:rPr>
          <w:rFonts w:cs="Arial" w:hint="cs"/>
          <w:sz w:val="16"/>
          <w:szCs w:val="16"/>
          <w:rtl/>
        </w:rPr>
        <w:t>(</w:t>
      </w:r>
      <w:r w:rsidRPr="00B56E8E">
        <w:rPr>
          <w:rFonts w:cs="Arial"/>
          <w:sz w:val="16"/>
          <w:szCs w:val="16"/>
          <w:rtl/>
        </w:rPr>
        <w:t>כך אנו אומרים אף בקדשים כדאיתא בפ"ב דזבחים (לא.)</w:t>
      </w:r>
      <w:r w:rsidRPr="00B56E8E">
        <w:rPr>
          <w:rFonts w:cs="Arial" w:hint="cs"/>
          <w:sz w:val="16"/>
          <w:szCs w:val="16"/>
          <w:rtl/>
        </w:rPr>
        <w:t>,</w:t>
      </w:r>
      <w:r w:rsidRPr="00B56E8E">
        <w:rPr>
          <w:rFonts w:cs="Arial"/>
          <w:sz w:val="16"/>
          <w:szCs w:val="16"/>
          <w:rtl/>
        </w:rPr>
        <w:t xml:space="preserve"> וכה"ג אמרינן גבי טומאה בפ"ג דבכורות (כב.)</w:t>
      </w:r>
      <w:r>
        <w:rPr>
          <w:rFonts w:cs="Arial" w:hint="cs"/>
          <w:sz w:val="16"/>
          <w:szCs w:val="16"/>
          <w:rtl/>
        </w:rPr>
        <w:t>)</w:t>
      </w:r>
      <w:r w:rsidRPr="00B56E8E">
        <w:rPr>
          <w:rFonts w:cs="Arial" w:hint="cs"/>
          <w:rtl/>
        </w:rPr>
        <w:t>.</w:t>
      </w:r>
    </w:p>
    <w:p w14:paraId="37DB7313" w14:textId="77777777" w:rsidR="002C39F4" w:rsidRPr="003318D1" w:rsidRDefault="002C39F4" w:rsidP="002C39F4">
      <w:pPr>
        <w:rPr>
          <w:rFonts w:cs="Arial"/>
          <w:u w:val="single"/>
          <w:rtl/>
        </w:rPr>
      </w:pPr>
      <w:r w:rsidRPr="003318D1">
        <w:rPr>
          <w:rFonts w:cs="Arial" w:hint="cs"/>
          <w:u w:val="single"/>
          <w:rtl/>
        </w:rPr>
        <w:t xml:space="preserve">נתערב חד בחד יבש ביבש </w:t>
      </w:r>
    </w:p>
    <w:p w14:paraId="78DA6AE7" w14:textId="77777777" w:rsidR="002C39F4" w:rsidRPr="003318D1" w:rsidRDefault="002C39F4" w:rsidP="0032102C">
      <w:pPr>
        <w:pStyle w:val="a8"/>
        <w:numPr>
          <w:ilvl w:val="0"/>
          <w:numId w:val="245"/>
        </w:numPr>
        <w:rPr>
          <w:rFonts w:cs="Arial"/>
          <w:rtl/>
        </w:rPr>
      </w:pPr>
      <w:r w:rsidRPr="003318D1">
        <w:rPr>
          <w:rFonts w:cs="Arial" w:hint="cs"/>
          <w:rtl/>
        </w:rPr>
        <w:t>הגשע"ד</w:t>
      </w:r>
      <w:r w:rsidRPr="003318D1">
        <w:rPr>
          <w:rFonts w:cs="Arial"/>
          <w:rtl/>
        </w:rPr>
        <w:t xml:space="preserve"> </w:t>
      </w:r>
      <w:r w:rsidRPr="003318D1">
        <w:rPr>
          <w:rFonts w:cs="Arial"/>
          <w:sz w:val="16"/>
          <w:szCs w:val="16"/>
          <w:rtl/>
        </w:rPr>
        <w:t>(סי' לט סק</w:t>
      </w:r>
      <w:r w:rsidRPr="003318D1">
        <w:rPr>
          <w:rFonts w:cs="Arial" w:hint="cs"/>
          <w:sz w:val="16"/>
          <w:szCs w:val="16"/>
          <w:rtl/>
        </w:rPr>
        <w:t>"</w:t>
      </w:r>
      <w:r w:rsidRPr="003318D1">
        <w:rPr>
          <w:rFonts w:cs="Arial"/>
          <w:sz w:val="16"/>
          <w:szCs w:val="16"/>
          <w:rtl/>
        </w:rPr>
        <w:t xml:space="preserve">ג) </w:t>
      </w:r>
      <w:r w:rsidRPr="003318D1">
        <w:rPr>
          <w:rFonts w:cs="Arial"/>
          <w:rtl/>
        </w:rPr>
        <w:t>בשם או</w:t>
      </w:r>
      <w:r w:rsidRPr="003318D1">
        <w:rPr>
          <w:rFonts w:cs="Arial" w:hint="cs"/>
          <w:rtl/>
        </w:rPr>
        <w:t>"</w:t>
      </w:r>
      <w:r w:rsidRPr="003318D1">
        <w:rPr>
          <w:rFonts w:cs="Arial"/>
          <w:rtl/>
        </w:rPr>
        <w:t xml:space="preserve">ז </w:t>
      </w:r>
      <w:r w:rsidRPr="003318D1">
        <w:rPr>
          <w:rFonts w:cs="Arial"/>
          <w:sz w:val="16"/>
          <w:szCs w:val="16"/>
          <w:rtl/>
        </w:rPr>
        <w:t>(ע"ז סי' רעא)</w:t>
      </w:r>
      <w:r w:rsidRPr="003318D1">
        <w:rPr>
          <w:rFonts w:cs="Arial" w:hint="cs"/>
          <w:rtl/>
        </w:rPr>
        <w:t>-</w:t>
      </w:r>
      <w:r w:rsidRPr="003318D1">
        <w:rPr>
          <w:rFonts w:cs="Arial"/>
          <w:rtl/>
        </w:rPr>
        <w:t xml:space="preserve"> אם הוא דבר יבש ולא אסור אלא מדרבנן אם נתערב אפילו חד בחד מותר באכילה בב' בני אדם</w:t>
      </w:r>
      <w:r>
        <w:rPr>
          <w:rStyle w:val="a7"/>
          <w:rFonts w:cs="Arial"/>
          <w:rtl/>
        </w:rPr>
        <w:footnoteReference w:id="2414"/>
      </w:r>
      <w:r>
        <w:rPr>
          <w:rFonts w:cs="Arial" w:hint="cs"/>
          <w:rtl/>
        </w:rPr>
        <w:t>.</w:t>
      </w:r>
      <w:r w:rsidRPr="003318D1">
        <w:rPr>
          <w:rFonts w:cs="Arial"/>
          <w:rtl/>
        </w:rPr>
        <w:t xml:space="preserve"> </w:t>
      </w:r>
    </w:p>
    <w:p w14:paraId="6E44194D" w14:textId="77777777" w:rsidR="002C39F4" w:rsidRPr="003318D1" w:rsidRDefault="002C39F4" w:rsidP="002C39F4">
      <w:pPr>
        <w:rPr>
          <w:rFonts w:cs="Arial"/>
          <w:u w:val="single"/>
          <w:rtl/>
        </w:rPr>
      </w:pPr>
      <w:r w:rsidRPr="003318D1">
        <w:rPr>
          <w:rFonts w:cs="Arial"/>
          <w:u w:val="single"/>
          <w:rtl/>
        </w:rPr>
        <w:t>דב</w:t>
      </w:r>
      <w:r>
        <w:rPr>
          <w:rFonts w:cs="Arial" w:hint="cs"/>
          <w:u w:val="single"/>
          <w:rtl/>
        </w:rPr>
        <w:t xml:space="preserve">ר </w:t>
      </w:r>
      <w:r w:rsidRPr="003318D1">
        <w:rPr>
          <w:rFonts w:cs="Arial"/>
          <w:u w:val="single"/>
          <w:rtl/>
        </w:rPr>
        <w:t xml:space="preserve">יבש </w:t>
      </w:r>
      <w:r>
        <w:rPr>
          <w:rFonts w:cs="Arial" w:hint="cs"/>
          <w:u w:val="single"/>
          <w:rtl/>
        </w:rPr>
        <w:t>ש</w:t>
      </w:r>
      <w:r w:rsidRPr="003318D1">
        <w:rPr>
          <w:rFonts w:cs="Arial"/>
          <w:u w:val="single"/>
          <w:rtl/>
        </w:rPr>
        <w:t xml:space="preserve">בטל חד בתרי </w:t>
      </w:r>
      <w:r>
        <w:rPr>
          <w:rFonts w:cs="Arial" w:hint="cs"/>
          <w:u w:val="single"/>
          <w:rtl/>
        </w:rPr>
        <w:t xml:space="preserve">- </w:t>
      </w:r>
      <w:r w:rsidRPr="003318D1">
        <w:rPr>
          <w:rFonts w:cs="Arial"/>
          <w:u w:val="single"/>
          <w:rtl/>
        </w:rPr>
        <w:t xml:space="preserve">בדבר </w:t>
      </w:r>
      <w:r>
        <w:rPr>
          <w:rFonts w:cs="Arial" w:hint="cs"/>
          <w:u w:val="single"/>
          <w:rtl/>
        </w:rPr>
        <w:t>קבוע:</w:t>
      </w:r>
    </w:p>
    <w:p w14:paraId="458B82B4" w14:textId="77777777" w:rsidR="002C39F4" w:rsidRPr="00BC2E85" w:rsidRDefault="002C39F4" w:rsidP="0032102C">
      <w:pPr>
        <w:pStyle w:val="a8"/>
        <w:numPr>
          <w:ilvl w:val="0"/>
          <w:numId w:val="245"/>
        </w:numPr>
        <w:rPr>
          <w:rtl/>
        </w:rPr>
      </w:pPr>
      <w:r w:rsidRPr="003318D1">
        <w:rPr>
          <w:rFonts w:cs="Arial" w:hint="cs"/>
          <w:rtl/>
        </w:rPr>
        <w:t xml:space="preserve">ב"י- </w:t>
      </w:r>
      <w:r w:rsidRPr="003318D1">
        <w:rPr>
          <w:rFonts w:cs="Arial"/>
          <w:rtl/>
        </w:rPr>
        <w:t xml:space="preserve">דע דהא דביבש בטל חד בתרי בדבר שאינו חשוב דוקא כשהאיסור אינו ניכר במקומו אבל אם האיסור ניכר במקומו כגון ט' חנויות מוכרות בשר שחוטה ואחת מוכרת בשר נבלה ולקחו מאחת מהם ואינו יודע מאי זו מהם לקח אסור ואפילו בחתיכה שאינה ראויה להתכבד דכל קבוע כמחצה על מחצה דמי וכתבו רבינו בסימן שאחר זה </w:t>
      </w:r>
      <w:r w:rsidRPr="004A56B9">
        <w:rPr>
          <w:rFonts w:cs="Arial"/>
          <w:sz w:val="16"/>
          <w:szCs w:val="16"/>
          <w:rtl/>
        </w:rPr>
        <w:t xml:space="preserve">(קעב:) </w:t>
      </w:r>
      <w:r w:rsidRPr="003318D1">
        <w:rPr>
          <w:rFonts w:cs="Arial"/>
          <w:rtl/>
        </w:rPr>
        <w:t>ושם יתבאר בס"ד</w:t>
      </w:r>
      <w:r w:rsidRPr="003318D1">
        <w:rPr>
          <w:rFonts w:cs="Arial" w:hint="cs"/>
          <w:rtl/>
        </w:rPr>
        <w:t>.</w:t>
      </w:r>
    </w:p>
    <w:p w14:paraId="1422043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809719F" w14:textId="77777777" w:rsidR="002C39F4" w:rsidRDefault="002C39F4" w:rsidP="002C39F4">
      <w:pPr>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r w:rsidRPr="003024E5">
        <w:rPr>
          <w:rFonts w:asciiTheme="minorBidi" w:hAnsiTheme="minorBidi"/>
          <w:rtl/>
        </w:rPr>
        <w:t>יבש ביבש שנתבטל חד בתרי אם בשלן כולן כאחד אפילו לאכול כל אחד בפני עצמו אסור אם אין שם ששים מפני שהרוטב בנותן טעם ונבלע בחתיכות</w:t>
      </w:r>
      <w:r>
        <w:rPr>
          <w:rStyle w:val="a7"/>
          <w:rFonts w:asciiTheme="minorBidi" w:hAnsiTheme="minorBidi"/>
          <w:rtl/>
        </w:rPr>
        <w:footnoteReference w:id="2415"/>
      </w:r>
      <w:r>
        <w:rPr>
          <w:rFonts w:asciiTheme="minorBidi" w:hAnsiTheme="minorBidi" w:hint="cs"/>
          <w:rtl/>
        </w:rPr>
        <w:t>,</w:t>
      </w:r>
      <w:r w:rsidRPr="003024E5">
        <w:rPr>
          <w:rFonts w:asciiTheme="minorBidi" w:hAnsiTheme="minorBidi"/>
          <w:rtl/>
        </w:rPr>
        <w:t xml:space="preserve"> ואם רוצה לבשלן יחד ואין שם </w:t>
      </w:r>
      <w:r>
        <w:rPr>
          <w:rFonts w:asciiTheme="minorBidi" w:hAnsiTheme="minorBidi" w:hint="cs"/>
          <w:rtl/>
        </w:rPr>
        <w:t>ששים</w:t>
      </w:r>
      <w:r w:rsidRPr="003024E5">
        <w:rPr>
          <w:rFonts w:asciiTheme="minorBidi" w:hAnsiTheme="minorBidi"/>
          <w:rtl/>
        </w:rPr>
        <w:t xml:space="preserve"> מותר להרבות עליהם כדי שיעור ששים ולבשלן ואין בו משום מבטל איסור. </w:t>
      </w:r>
      <w:r w:rsidRPr="00BC2E85">
        <w:rPr>
          <w:rFonts w:asciiTheme="minorBidi" w:hAnsiTheme="minorBidi"/>
          <w:sz w:val="18"/>
          <w:szCs w:val="18"/>
          <w:rtl/>
        </w:rPr>
        <w:t>הגה: וי"א דאם נודע התערובות קודם שנתבשלו ביחד הכל שרי דאין חוזרין ונאסרין מאחר שנתבטל ביבש (טור בשם הרא"ש ור</w:t>
      </w:r>
      <w:r>
        <w:rPr>
          <w:rFonts w:asciiTheme="minorBidi" w:hAnsiTheme="minorBidi" w:hint="cs"/>
          <w:sz w:val="18"/>
          <w:szCs w:val="18"/>
          <w:rtl/>
        </w:rPr>
        <w:t>י"ו</w:t>
      </w:r>
      <w:r w:rsidRPr="00BC2E85">
        <w:rPr>
          <w:rFonts w:asciiTheme="minorBidi" w:hAnsiTheme="minorBidi"/>
          <w:sz w:val="18"/>
          <w:szCs w:val="18"/>
          <w:rtl/>
        </w:rPr>
        <w:t xml:space="preserve"> בשם התוס</w:t>
      </w:r>
      <w:r>
        <w:rPr>
          <w:rFonts w:asciiTheme="minorBidi" w:hAnsiTheme="minorBidi" w:hint="cs"/>
          <w:sz w:val="18"/>
          <w:szCs w:val="18"/>
          <w:rtl/>
        </w:rPr>
        <w:t>'</w:t>
      </w:r>
      <w:r w:rsidRPr="00BC2E85">
        <w:rPr>
          <w:rFonts w:asciiTheme="minorBidi" w:hAnsiTheme="minorBidi"/>
          <w:sz w:val="18"/>
          <w:szCs w:val="18"/>
          <w:rtl/>
        </w:rPr>
        <w:t xml:space="preserve"> וכתב שכן עיקר)</w:t>
      </w:r>
      <w:r>
        <w:rPr>
          <w:rFonts w:asciiTheme="minorBidi" w:hAnsiTheme="minorBidi" w:hint="cs"/>
          <w:sz w:val="18"/>
          <w:szCs w:val="18"/>
          <w:rtl/>
        </w:rPr>
        <w:t>,</w:t>
      </w:r>
      <w:r w:rsidRPr="00BC2E85">
        <w:rPr>
          <w:rFonts w:asciiTheme="minorBidi" w:hAnsiTheme="minorBidi"/>
          <w:sz w:val="18"/>
          <w:szCs w:val="18"/>
          <w:rtl/>
        </w:rPr>
        <w:t xml:space="preserve"> ובמקום הפסד יש לסמוך אדברי המקילין ולהתיר.</w:t>
      </w:r>
      <w:bookmarkEnd w:id="9"/>
    </w:p>
    <w:p w14:paraId="1D58DC52"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קי: דין ספק טריפות שאירע בבשר, ובו י' סעיפים. </w:t>
      </w:r>
    </w:p>
    <w:p w14:paraId="7508FD7E"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ביטול דבר חשוב.</w:t>
      </w:r>
    </w:p>
    <w:p w14:paraId="74F1C474" w14:textId="77777777" w:rsidR="002C39F4" w:rsidRDefault="002C39F4" w:rsidP="002C39F4">
      <w:pPr>
        <w:rPr>
          <w:rFonts w:cs="Arial"/>
          <w:rtl/>
        </w:rPr>
      </w:pPr>
      <w:r>
        <w:rPr>
          <w:rFonts w:cs="Arial" w:hint="cs"/>
          <w:b/>
          <w:bCs/>
          <w:rtl/>
        </w:rPr>
        <w:t xml:space="preserve">זבחים עג ע"א: </w:t>
      </w:r>
      <w:r w:rsidRPr="007D49CD">
        <w:rPr>
          <w:rFonts w:cs="Arial"/>
          <w:u w:val="single"/>
          <w:rtl/>
        </w:rPr>
        <w:t>רב אשי אמר</w:t>
      </w:r>
      <w:r w:rsidRPr="007D49CD">
        <w:rPr>
          <w:rFonts w:cs="Arial"/>
          <w:rtl/>
        </w:rPr>
        <w:t>: אפי' תימא רבנן</w:t>
      </w:r>
      <w:r>
        <w:rPr>
          <w:rStyle w:val="a7"/>
          <w:rFonts w:cs="Arial"/>
          <w:rtl/>
        </w:rPr>
        <w:footnoteReference w:id="2416"/>
      </w:r>
      <w:r w:rsidRPr="007D49CD">
        <w:rPr>
          <w:rFonts w:cs="Arial"/>
          <w:rtl/>
        </w:rPr>
        <w:t xml:space="preserve">, בעלי חיים חשיבי ולא בטלי. </w:t>
      </w:r>
      <w:r w:rsidRPr="007D49CD">
        <w:rPr>
          <w:rFonts w:cs="Arial" w:hint="cs"/>
          <w:sz w:val="16"/>
          <w:szCs w:val="16"/>
          <w:rtl/>
        </w:rPr>
        <w:t>(</w:t>
      </w:r>
      <w:r>
        <w:rPr>
          <w:rFonts w:cs="Arial" w:hint="cs"/>
          <w:sz w:val="16"/>
          <w:szCs w:val="16"/>
          <w:rtl/>
        </w:rPr>
        <w:t xml:space="preserve">נתבאר </w:t>
      </w:r>
      <w:r w:rsidRPr="007D49CD">
        <w:rPr>
          <w:rFonts w:cs="Arial"/>
          <w:sz w:val="16"/>
          <w:szCs w:val="16"/>
          <w:rtl/>
        </w:rPr>
        <w:t>דלדברי הכל בעלי חיים חשיבי ולא בטלי</w:t>
      </w:r>
      <w:r>
        <w:rPr>
          <w:rFonts w:cs="Arial" w:hint="cs"/>
          <w:sz w:val="16"/>
          <w:szCs w:val="16"/>
          <w:rtl/>
        </w:rPr>
        <w:t xml:space="preserve">... </w:t>
      </w:r>
      <w:r w:rsidRPr="007D49CD">
        <w:rPr>
          <w:rFonts w:cs="Arial"/>
          <w:sz w:val="16"/>
          <w:szCs w:val="16"/>
          <w:rtl/>
        </w:rPr>
        <w:t>ונתבאר משפטם בסוף סימן נז</w:t>
      </w:r>
      <w:r>
        <w:rPr>
          <w:rFonts w:cs="Arial" w:hint="cs"/>
          <w:sz w:val="16"/>
          <w:szCs w:val="16"/>
          <w:rtl/>
        </w:rPr>
        <w:t>, ב"י)</w:t>
      </w:r>
      <w:r w:rsidRPr="007D49CD">
        <w:rPr>
          <w:rFonts w:cs="Arial"/>
          <w:sz w:val="16"/>
          <w:szCs w:val="16"/>
          <w:rtl/>
        </w:rPr>
        <w:t xml:space="preserve"> </w:t>
      </w:r>
    </w:p>
    <w:p w14:paraId="7A0A95BE" w14:textId="77777777" w:rsidR="002C39F4" w:rsidRDefault="002C39F4" w:rsidP="002C39F4">
      <w:pPr>
        <w:rPr>
          <w:rFonts w:cs="Arial"/>
          <w:rtl/>
        </w:rPr>
      </w:pPr>
      <w:r>
        <w:rPr>
          <w:rFonts w:cs="Arial" w:hint="cs"/>
          <w:b/>
          <w:bCs/>
          <w:rtl/>
        </w:rPr>
        <w:t>ביצה ג ע"ב</w:t>
      </w:r>
      <w:r>
        <w:rPr>
          <w:rStyle w:val="a7"/>
          <w:rFonts w:cs="Arial"/>
          <w:b/>
          <w:bCs/>
          <w:rtl/>
        </w:rPr>
        <w:footnoteReference w:id="2417"/>
      </w:r>
      <w:r>
        <w:rPr>
          <w:rFonts w:cs="Arial" w:hint="cs"/>
          <w:b/>
          <w:bCs/>
          <w:rtl/>
        </w:rPr>
        <w:t xml:space="preserve">: </w:t>
      </w:r>
      <w:r w:rsidRPr="00604B34">
        <w:rPr>
          <w:rFonts w:cs="Arial"/>
          <w:rtl/>
        </w:rPr>
        <w:t>תנן</w:t>
      </w:r>
      <w:r>
        <w:rPr>
          <w:rStyle w:val="a7"/>
          <w:rFonts w:cs="Arial"/>
          <w:rtl/>
        </w:rPr>
        <w:footnoteReference w:id="2418"/>
      </w:r>
      <w:r>
        <w:rPr>
          <w:rFonts w:cs="Arial" w:hint="cs"/>
          <w:rtl/>
        </w:rPr>
        <w:t>..</w:t>
      </w:r>
      <w:r w:rsidRPr="00604B34">
        <w:rPr>
          <w:rFonts w:cs="Arial"/>
          <w:rtl/>
        </w:rPr>
        <w:t xml:space="preserve">. שהיה </w:t>
      </w:r>
      <w:r w:rsidRPr="00BB17B3">
        <w:rPr>
          <w:rFonts w:cs="Arial"/>
          <w:u w:val="single"/>
          <w:rtl/>
        </w:rPr>
        <w:t>רבי מאיר אומר</w:t>
      </w:r>
      <w:r w:rsidRPr="00604B34">
        <w:rPr>
          <w:rFonts w:cs="Arial"/>
          <w:rtl/>
        </w:rPr>
        <w:t>: את שדרכו למנות מקדש, ו</w:t>
      </w:r>
      <w:r w:rsidRPr="00BB17B3">
        <w:rPr>
          <w:rFonts w:cs="Arial"/>
          <w:u w:val="single"/>
          <w:rtl/>
        </w:rPr>
        <w:t>חכמים אומרים</w:t>
      </w:r>
      <w:r w:rsidRPr="00604B34">
        <w:rPr>
          <w:rFonts w:cs="Arial"/>
          <w:rtl/>
        </w:rPr>
        <w:t xml:space="preserve">: אינו מקדש אלא ששה דברים בלבד. </w:t>
      </w:r>
      <w:r w:rsidRPr="00BB17B3">
        <w:rPr>
          <w:rFonts w:cs="Arial"/>
          <w:u w:val="single"/>
          <w:rtl/>
        </w:rPr>
        <w:t>רבי עקיבא אומר</w:t>
      </w:r>
      <w:r w:rsidRPr="00604B34">
        <w:rPr>
          <w:rFonts w:cs="Arial"/>
          <w:rtl/>
        </w:rPr>
        <w:t xml:space="preserve">: שבעה. ואלו הן: אגוזי פרך, ורמוני באדן, וחביות סתומות, וחלפי תרדין, וקלחי כרוב, ודלעת יונית. רבי עקיבא מוסיף אף ככרות של בעל הבית. הראוי לערלה - ערלה, הראוי לכלאי הכרם - כלאי הכרם. ואתמר עלה, </w:t>
      </w:r>
      <w:r w:rsidRPr="00BB17B3">
        <w:rPr>
          <w:rFonts w:cs="Arial"/>
          <w:u w:val="single"/>
          <w:rtl/>
        </w:rPr>
        <w:t>רבי יוחנן אמר</w:t>
      </w:r>
      <w:r w:rsidRPr="00604B34">
        <w:rPr>
          <w:rFonts w:cs="Arial"/>
          <w:rtl/>
        </w:rPr>
        <w:t xml:space="preserve">: את שדרכו למנות שנינו, </w:t>
      </w:r>
      <w:r w:rsidRPr="00BB17B3">
        <w:rPr>
          <w:rFonts w:cs="Arial"/>
          <w:u w:val="single"/>
          <w:rtl/>
        </w:rPr>
        <w:t>ורבי שמעון בן לקיש אמר</w:t>
      </w:r>
      <w:r w:rsidRPr="00604B34">
        <w:rPr>
          <w:rFonts w:cs="Arial"/>
          <w:rtl/>
        </w:rPr>
        <w:t>: כל שדרכו למנות שנינו</w:t>
      </w:r>
      <w:r>
        <w:rPr>
          <w:rStyle w:val="a7"/>
          <w:rFonts w:cs="Arial"/>
          <w:rtl/>
        </w:rPr>
        <w:footnoteReference w:id="2419"/>
      </w:r>
      <w:r w:rsidRPr="00604B34">
        <w:rPr>
          <w:rFonts w:cs="Arial"/>
          <w:rtl/>
        </w:rPr>
        <w:t>.</w:t>
      </w:r>
      <w:r>
        <w:rPr>
          <w:rFonts w:cs="Arial" w:hint="cs"/>
          <w:rtl/>
        </w:rPr>
        <w:t xml:space="preserve"> </w:t>
      </w:r>
    </w:p>
    <w:p w14:paraId="031F80C1" w14:textId="77777777" w:rsidR="002C39F4" w:rsidRPr="003A0359" w:rsidRDefault="002C39F4" w:rsidP="002C39F4">
      <w:pPr>
        <w:rPr>
          <w:rFonts w:cs="Arial"/>
          <w:u w:val="single"/>
          <w:rtl/>
        </w:rPr>
      </w:pPr>
      <w:r w:rsidRPr="003A0359">
        <w:rPr>
          <w:rFonts w:cs="Arial" w:hint="cs"/>
          <w:u w:val="single"/>
          <w:rtl/>
        </w:rPr>
        <w:t>כיצד נפסק:</w:t>
      </w:r>
    </w:p>
    <w:p w14:paraId="6A9B20C9" w14:textId="77777777" w:rsidR="002C39F4" w:rsidRDefault="002C39F4" w:rsidP="0032102C">
      <w:pPr>
        <w:pStyle w:val="a8"/>
        <w:numPr>
          <w:ilvl w:val="0"/>
          <w:numId w:val="248"/>
        </w:numPr>
        <w:rPr>
          <w:rFonts w:cs="Arial"/>
        </w:rPr>
      </w:pPr>
      <w:r>
        <w:rPr>
          <w:rFonts w:cs="Arial" w:hint="cs"/>
          <w:rtl/>
        </w:rPr>
        <w:t xml:space="preserve">ר"י </w:t>
      </w:r>
      <w:r w:rsidRPr="00DF493B">
        <w:rPr>
          <w:rFonts w:cs="Arial"/>
          <w:rtl/>
        </w:rPr>
        <w:t>ריצב"א</w:t>
      </w:r>
      <w:r>
        <w:rPr>
          <w:rFonts w:cs="Arial" w:hint="cs"/>
          <w:rtl/>
        </w:rPr>
        <w:t xml:space="preserve"> </w:t>
      </w:r>
      <w:r w:rsidRPr="00DF493B">
        <w:rPr>
          <w:rFonts w:cs="Arial" w:hint="cs"/>
          <w:rtl/>
        </w:rPr>
        <w:t>ו</w:t>
      </w:r>
      <w:r w:rsidRPr="00DF493B">
        <w:rPr>
          <w:rFonts w:cs="Arial"/>
          <w:rtl/>
        </w:rPr>
        <w:t>סמ"</w:t>
      </w:r>
      <w:r>
        <w:rPr>
          <w:rFonts w:cs="Arial" w:hint="cs"/>
          <w:rtl/>
        </w:rPr>
        <w:t>ק</w:t>
      </w:r>
      <w:r>
        <w:rPr>
          <w:rStyle w:val="a7"/>
          <w:rFonts w:cs="Arial"/>
          <w:rtl/>
        </w:rPr>
        <w:footnoteReference w:id="2420"/>
      </w:r>
      <w:r>
        <w:rPr>
          <w:rFonts w:cs="Arial" w:hint="cs"/>
          <w:rtl/>
        </w:rPr>
        <w:t>-</w:t>
      </w:r>
      <w:r w:rsidRPr="00DF493B">
        <w:rPr>
          <w:rFonts w:cs="Arial"/>
          <w:rtl/>
        </w:rPr>
        <w:t xml:space="preserve"> </w:t>
      </w:r>
      <w:r>
        <w:rPr>
          <w:rFonts w:cs="Arial" w:hint="cs"/>
          <w:rtl/>
        </w:rPr>
        <w:t>כרבי מאיר אליבא ד</w:t>
      </w:r>
      <w:r w:rsidRPr="00DF493B">
        <w:rPr>
          <w:rFonts w:cs="Arial"/>
          <w:rtl/>
        </w:rPr>
        <w:t>רבי יוחנן דאמר את</w:t>
      </w:r>
      <w:r>
        <w:rPr>
          <w:rStyle w:val="a7"/>
          <w:rFonts w:cs="Arial"/>
          <w:rtl/>
        </w:rPr>
        <w:footnoteReference w:id="2421"/>
      </w:r>
      <w:r w:rsidRPr="00DF493B">
        <w:rPr>
          <w:rFonts w:cs="Arial"/>
          <w:rtl/>
        </w:rPr>
        <w:t xml:space="preserve"> שדרכו לימנות שנינו</w:t>
      </w:r>
      <w:r>
        <w:rPr>
          <w:rStyle w:val="a7"/>
          <w:rFonts w:cs="Arial"/>
          <w:rtl/>
        </w:rPr>
        <w:footnoteReference w:id="2422"/>
      </w:r>
      <w:r w:rsidRPr="00DF493B">
        <w:rPr>
          <w:rFonts w:cs="Arial" w:hint="cs"/>
          <w:rtl/>
        </w:rPr>
        <w:t>.</w:t>
      </w:r>
      <w:r w:rsidRPr="00DF493B">
        <w:rPr>
          <w:rFonts w:cs="Arial"/>
          <w:rtl/>
        </w:rPr>
        <w:t xml:space="preserve"> </w:t>
      </w:r>
      <w:r w:rsidRPr="00D26B85">
        <w:rPr>
          <w:rFonts w:cs="Arial" w:hint="cs"/>
          <w:color w:val="00B0F0"/>
          <w:rtl/>
        </w:rPr>
        <w:t>(וכ"פ הרמ"א)</w:t>
      </w:r>
    </w:p>
    <w:p w14:paraId="5C45B376" w14:textId="77777777" w:rsidR="002C39F4" w:rsidRPr="00A92474" w:rsidRDefault="002C39F4" w:rsidP="0032102C">
      <w:pPr>
        <w:pStyle w:val="a8"/>
        <w:numPr>
          <w:ilvl w:val="0"/>
          <w:numId w:val="248"/>
        </w:numPr>
        <w:rPr>
          <w:rFonts w:cs="Arial"/>
        </w:rPr>
      </w:pPr>
      <w:r w:rsidRPr="003A0359">
        <w:rPr>
          <w:rFonts w:cs="Arial"/>
          <w:rtl/>
        </w:rPr>
        <w:t xml:space="preserve">רמב"ם </w:t>
      </w:r>
      <w:r w:rsidRPr="003A0359">
        <w:rPr>
          <w:rFonts w:cs="Arial" w:hint="cs"/>
          <w:sz w:val="16"/>
          <w:szCs w:val="16"/>
          <w:rtl/>
        </w:rPr>
        <w:t>(פט"</w:t>
      </w:r>
      <w:r>
        <w:rPr>
          <w:rFonts w:cs="Arial" w:hint="cs"/>
          <w:sz w:val="16"/>
          <w:szCs w:val="16"/>
          <w:rtl/>
        </w:rPr>
        <w:t>ז)</w:t>
      </w:r>
      <w:r>
        <w:rPr>
          <w:rFonts w:cs="Arial" w:hint="cs"/>
          <w:rtl/>
        </w:rPr>
        <w:t xml:space="preserve">- כחכמים עם ההוספה של רבי עקיבא </w:t>
      </w:r>
      <w:r w:rsidRPr="009777C7">
        <w:rPr>
          <w:rFonts w:cs="Arial" w:hint="cs"/>
          <w:sz w:val="16"/>
          <w:szCs w:val="16"/>
          <w:rtl/>
        </w:rPr>
        <w:t>(כך ש</w:t>
      </w:r>
      <w:r w:rsidRPr="009777C7">
        <w:rPr>
          <w:rFonts w:cs="Arial"/>
          <w:sz w:val="16"/>
          <w:szCs w:val="16"/>
          <w:rtl/>
        </w:rPr>
        <w:t>אפי</w:t>
      </w:r>
      <w:r w:rsidRPr="009777C7">
        <w:rPr>
          <w:rFonts w:cs="Arial" w:hint="cs"/>
          <w:sz w:val="16"/>
          <w:szCs w:val="16"/>
          <w:rtl/>
        </w:rPr>
        <w:t>לו</w:t>
      </w:r>
      <w:r w:rsidRPr="009777C7">
        <w:rPr>
          <w:rFonts w:cs="Arial"/>
          <w:sz w:val="16"/>
          <w:szCs w:val="16"/>
          <w:rtl/>
        </w:rPr>
        <w:t xml:space="preserve"> דבר שדרכו למנות לעולם</w:t>
      </w:r>
      <w:r>
        <w:rPr>
          <w:rFonts w:cs="Arial" w:hint="cs"/>
          <w:sz w:val="16"/>
          <w:szCs w:val="16"/>
          <w:rtl/>
        </w:rPr>
        <w:t xml:space="preserve"> -</w:t>
      </w:r>
      <w:r w:rsidRPr="009777C7">
        <w:rPr>
          <w:rFonts w:cs="Arial"/>
          <w:sz w:val="16"/>
          <w:szCs w:val="16"/>
          <w:rtl/>
        </w:rPr>
        <w:t xml:space="preserve"> בטל</w:t>
      </w:r>
      <w:r>
        <w:rPr>
          <w:rFonts w:cs="Arial" w:hint="cs"/>
          <w:sz w:val="16"/>
          <w:szCs w:val="16"/>
          <w:rtl/>
        </w:rPr>
        <w:t>)</w:t>
      </w:r>
      <w:r>
        <w:rPr>
          <w:rFonts w:cs="Arial" w:hint="cs"/>
          <w:rtl/>
        </w:rPr>
        <w:t>, ו-"</w:t>
      </w:r>
      <w:r w:rsidRPr="003A0359">
        <w:rPr>
          <w:rFonts w:cs="Arial"/>
          <w:rtl/>
        </w:rPr>
        <w:t>דבר חשוב שהוא אוסר במינו בכל שהוא</w:t>
      </w:r>
      <w:r>
        <w:rPr>
          <w:rFonts w:cs="Arial" w:hint="cs"/>
          <w:rtl/>
        </w:rPr>
        <w:t>,</w:t>
      </w:r>
      <w:r w:rsidRPr="003A0359">
        <w:rPr>
          <w:rFonts w:cs="Arial"/>
          <w:rtl/>
        </w:rPr>
        <w:t xml:space="preserve"> שבעה דברים</w:t>
      </w:r>
      <w:r>
        <w:rPr>
          <w:rFonts w:cs="Arial" w:hint="cs"/>
          <w:rtl/>
        </w:rPr>
        <w:t>,</w:t>
      </w:r>
      <w:r w:rsidRPr="003A0359">
        <w:rPr>
          <w:rFonts w:cs="Arial"/>
          <w:rtl/>
        </w:rPr>
        <w:t xml:space="preserve"> ואלו הן</w:t>
      </w:r>
      <w:r>
        <w:rPr>
          <w:rFonts w:cs="Arial" w:hint="cs"/>
          <w:rtl/>
        </w:rPr>
        <w:t>,</w:t>
      </w:r>
      <w:r w:rsidRPr="003A0359">
        <w:rPr>
          <w:rFonts w:cs="Arial"/>
          <w:rtl/>
        </w:rPr>
        <w:t xml:space="preserve"> אגוזי פרך ורמוני בדן וחביות סתומות וחלפות תרדין וקלחי כרוב ודלעת יוונית וככרות של בעל הבית</w:t>
      </w:r>
      <w:r>
        <w:rPr>
          <w:rFonts w:cs="Arial" w:hint="cs"/>
          <w:rtl/>
        </w:rPr>
        <w:t xml:space="preserve"> </w:t>
      </w:r>
      <w:r>
        <w:rPr>
          <w:rFonts w:cs="Arial" w:hint="cs"/>
          <w:sz w:val="16"/>
          <w:szCs w:val="16"/>
          <w:rtl/>
        </w:rPr>
        <w:t>(ה"ג)</w:t>
      </w:r>
      <w:r w:rsidRPr="003A0359">
        <w:rPr>
          <w:rFonts w:cs="Arial"/>
          <w:rtl/>
        </w:rPr>
        <w:t>.</w:t>
      </w:r>
      <w:r w:rsidRPr="003A0359">
        <w:rPr>
          <w:rtl/>
        </w:rPr>
        <w:t xml:space="preserve"> </w:t>
      </w:r>
      <w:r w:rsidRPr="003A0359">
        <w:rPr>
          <w:rFonts w:cs="Arial"/>
          <w:rtl/>
        </w:rPr>
        <w:t>וכן חתיכה</w:t>
      </w:r>
      <w:r w:rsidRPr="009E4284">
        <w:rPr>
          <w:rFonts w:cs="Arial" w:hint="cs"/>
          <w:rtl/>
        </w:rPr>
        <w:t>...</w:t>
      </w:r>
      <w:r w:rsidRPr="003A0359">
        <w:rPr>
          <w:rFonts w:cs="Arial"/>
          <w:rtl/>
        </w:rPr>
        <w:t xml:space="preserve"> שהרי מתכבד בה לפני האורחין</w:t>
      </w:r>
      <w:r>
        <w:rPr>
          <w:rFonts w:cs="Arial" w:hint="cs"/>
          <w:sz w:val="16"/>
          <w:szCs w:val="16"/>
          <w:rtl/>
        </w:rPr>
        <w:t xml:space="preserve"> (ה"ה)</w:t>
      </w:r>
      <w:r w:rsidRPr="003A0359">
        <w:rPr>
          <w:rFonts w:cs="Arial"/>
          <w:rtl/>
        </w:rPr>
        <w:t>.</w:t>
      </w:r>
      <w:r>
        <w:rPr>
          <w:rFonts w:cs="Arial" w:hint="cs"/>
          <w:rtl/>
        </w:rPr>
        <w:t>..</w:t>
      </w:r>
      <w:r w:rsidRPr="003A0359">
        <w:rPr>
          <w:rtl/>
        </w:rPr>
        <w:t xml:space="preserve"> </w:t>
      </w:r>
      <w:r w:rsidRPr="003A0359">
        <w:rPr>
          <w:rFonts w:cs="Arial"/>
          <w:rtl/>
        </w:rPr>
        <w:t>וכן גיד הנשה</w:t>
      </w:r>
      <w:r>
        <w:rPr>
          <w:rFonts w:cs="Arial" w:hint="cs"/>
          <w:rtl/>
        </w:rPr>
        <w:t>...</w:t>
      </w:r>
      <w:r w:rsidRPr="00ED6AAF">
        <w:rPr>
          <w:rtl/>
        </w:rPr>
        <w:t xml:space="preserve"> </w:t>
      </w:r>
      <w:r w:rsidRPr="00ED6AAF">
        <w:rPr>
          <w:rFonts w:cs="Arial"/>
          <w:rtl/>
        </w:rPr>
        <w:t>מפני שהוא בריה בפני עצמו</w:t>
      </w:r>
      <w:r>
        <w:rPr>
          <w:rFonts w:cs="Arial" w:hint="cs"/>
          <w:rtl/>
        </w:rPr>
        <w:t xml:space="preserve"> </w:t>
      </w:r>
      <w:r>
        <w:rPr>
          <w:rFonts w:cs="Arial" w:hint="cs"/>
          <w:sz w:val="16"/>
          <w:szCs w:val="16"/>
          <w:rtl/>
        </w:rPr>
        <w:t>(ה"ו)</w:t>
      </w:r>
      <w:r w:rsidRPr="003A0359">
        <w:rPr>
          <w:rFonts w:cs="Arial"/>
          <w:rtl/>
        </w:rPr>
        <w:t>.</w:t>
      </w:r>
      <w:r>
        <w:rPr>
          <w:rFonts w:cs="Arial" w:hint="cs"/>
          <w:rtl/>
        </w:rPr>
        <w:t>..</w:t>
      </w:r>
      <w:r w:rsidRPr="00ED6AAF">
        <w:rPr>
          <w:rFonts w:cs="Arial" w:hint="cs"/>
          <w:sz w:val="16"/>
          <w:szCs w:val="16"/>
          <w:rtl/>
        </w:rPr>
        <w:t xml:space="preserve"> </w:t>
      </w:r>
      <w:r w:rsidRPr="00ED6AAF">
        <w:rPr>
          <w:rFonts w:cs="Arial"/>
          <w:rtl/>
        </w:rPr>
        <w:t>וכן כל בעלי חיים</w:t>
      </w:r>
      <w:r w:rsidRPr="00ED6AAF">
        <w:rPr>
          <w:rtl/>
        </w:rPr>
        <w:t xml:space="preserve"> </w:t>
      </w:r>
      <w:r w:rsidRPr="00ED6AAF">
        <w:rPr>
          <w:rFonts w:cs="Arial"/>
          <w:rtl/>
        </w:rPr>
        <w:t>חשובין הן ואינם בטלין</w:t>
      </w:r>
      <w:r>
        <w:rPr>
          <w:rFonts w:cs="Arial" w:hint="cs"/>
          <w:rtl/>
        </w:rPr>
        <w:t xml:space="preserve">... </w:t>
      </w:r>
      <w:r w:rsidRPr="00ED6AAF">
        <w:rPr>
          <w:rFonts w:cs="Arial"/>
          <w:rtl/>
        </w:rPr>
        <w:t>אבל שאר הדברים אע</w:t>
      </w:r>
      <w:r>
        <w:rPr>
          <w:rFonts w:cs="Arial" w:hint="cs"/>
          <w:rtl/>
        </w:rPr>
        <w:t>"</w:t>
      </w:r>
      <w:r w:rsidRPr="00ED6AAF">
        <w:rPr>
          <w:rFonts w:cs="Arial"/>
          <w:rtl/>
        </w:rPr>
        <w:t xml:space="preserve">פ שדרכן לימנות הרי אלו עולין בשיעורן </w:t>
      </w:r>
      <w:r>
        <w:rPr>
          <w:rFonts w:cs="Arial" w:hint="cs"/>
          <w:sz w:val="16"/>
          <w:szCs w:val="16"/>
          <w:rtl/>
        </w:rPr>
        <w:t>(ה"ז)</w:t>
      </w:r>
      <w:r w:rsidRPr="003A0359">
        <w:rPr>
          <w:rFonts w:cs="Arial"/>
          <w:rtl/>
        </w:rPr>
        <w:t>.</w:t>
      </w:r>
      <w:r>
        <w:rPr>
          <w:rFonts w:cs="Arial" w:hint="cs"/>
          <w:rtl/>
        </w:rPr>
        <w:t>..</w:t>
      </w:r>
      <w:r w:rsidRPr="00ED6AAF">
        <w:rPr>
          <w:rtl/>
        </w:rPr>
        <w:t xml:space="preserve"> </w:t>
      </w:r>
      <w:r w:rsidRPr="00ED6AAF">
        <w:rPr>
          <w:rFonts w:cs="Arial"/>
          <w:rtl/>
        </w:rPr>
        <w:t xml:space="preserve">יראה לי שכל דבר שהוא חשוב אצל בני מקום מן המקומות, כגון אגוזי פרך ורמוני בדן בארץ ישראל באותן הזמנים, שהוא אוסר בכל שהוא לפי חשיבותו </w:t>
      </w:r>
      <w:r w:rsidRPr="00D26B85">
        <w:rPr>
          <w:rFonts w:cs="Arial"/>
          <w:u w:val="single"/>
          <w:rtl/>
        </w:rPr>
        <w:t>באותו מקום</w:t>
      </w:r>
      <w:r w:rsidRPr="00ED6AAF">
        <w:rPr>
          <w:rFonts w:cs="Arial"/>
          <w:rtl/>
        </w:rPr>
        <w:t xml:space="preserve"> ובאותו זמן, ולא הוזכרו אלו אלא לפי שהן אוסרין כל שהן בכל מקום, וה</w:t>
      </w:r>
      <w:r>
        <w:rPr>
          <w:rFonts w:cs="Arial" w:hint="cs"/>
          <w:rtl/>
        </w:rPr>
        <w:t>"</w:t>
      </w:r>
      <w:r w:rsidRPr="00ED6AAF">
        <w:rPr>
          <w:rFonts w:cs="Arial"/>
          <w:rtl/>
        </w:rPr>
        <w:t>ה לכל כיוצא בהן בשאר מקומות</w:t>
      </w:r>
      <w:r>
        <w:rPr>
          <w:rStyle w:val="a7"/>
          <w:rFonts w:cs="Arial"/>
          <w:rtl/>
        </w:rPr>
        <w:footnoteReference w:id="2423"/>
      </w:r>
      <w:r>
        <w:rPr>
          <w:rFonts w:cs="Arial" w:hint="cs"/>
          <w:rtl/>
        </w:rPr>
        <w:t>,</w:t>
      </w:r>
      <w:r w:rsidRPr="00ED6AAF">
        <w:rPr>
          <w:rFonts w:cs="Arial"/>
          <w:rtl/>
        </w:rPr>
        <w:t xml:space="preserve"> ודבר ברור הוא שכל איסורין האלו מדבריהם</w:t>
      </w:r>
      <w:r>
        <w:rPr>
          <w:rStyle w:val="a7"/>
          <w:rFonts w:cs="Arial"/>
          <w:rtl/>
        </w:rPr>
        <w:footnoteReference w:id="2424"/>
      </w:r>
      <w:r>
        <w:rPr>
          <w:rFonts w:cs="Arial" w:hint="cs"/>
          <w:sz w:val="16"/>
          <w:szCs w:val="16"/>
          <w:rtl/>
        </w:rPr>
        <w:t>(ה"ט)</w:t>
      </w:r>
      <w:r>
        <w:rPr>
          <w:rFonts w:cs="Arial" w:hint="cs"/>
          <w:rtl/>
        </w:rPr>
        <w:t xml:space="preserve">". </w:t>
      </w:r>
      <w:r w:rsidRPr="0029527D">
        <w:rPr>
          <w:rFonts w:cs="Arial" w:hint="cs"/>
          <w:color w:val="E36C0A" w:themeColor="accent6" w:themeShade="BF"/>
          <w:rtl/>
        </w:rPr>
        <w:t>(וכ"פ בשו"ע)</w:t>
      </w:r>
    </w:p>
    <w:p w14:paraId="79028AAF" w14:textId="77777777" w:rsidR="002C39F4" w:rsidRPr="001C0049" w:rsidRDefault="002C39F4" w:rsidP="002C39F4">
      <w:pPr>
        <w:rPr>
          <w:rFonts w:cs="Arial"/>
          <w:rtl/>
        </w:rPr>
      </w:pPr>
      <w:r w:rsidRPr="001C0049">
        <w:rPr>
          <w:rFonts w:cs="Arial" w:hint="cs"/>
          <w:u w:val="single"/>
          <w:rtl/>
        </w:rPr>
        <w:t>ביטול ביצה:</w:t>
      </w:r>
    </w:p>
    <w:p w14:paraId="718F4D16" w14:textId="77777777" w:rsidR="002C39F4" w:rsidRDefault="002C39F4" w:rsidP="0032102C">
      <w:pPr>
        <w:pStyle w:val="a8"/>
        <w:numPr>
          <w:ilvl w:val="0"/>
          <w:numId w:val="248"/>
        </w:numPr>
        <w:rPr>
          <w:rFonts w:cs="Arial"/>
        </w:rPr>
      </w:pPr>
      <w:r w:rsidRPr="003A0359">
        <w:rPr>
          <w:rFonts w:cs="Arial"/>
          <w:rtl/>
        </w:rPr>
        <w:t>ראב"ד</w:t>
      </w:r>
      <w:r>
        <w:rPr>
          <w:rStyle w:val="a7"/>
          <w:rFonts w:cs="Arial"/>
          <w:rtl/>
        </w:rPr>
        <w:footnoteReference w:id="2425"/>
      </w:r>
      <w:r>
        <w:rPr>
          <w:rFonts w:cs="Arial" w:hint="cs"/>
          <w:rtl/>
        </w:rPr>
        <w:t>- ביצה אינה בטילה בששים דחשיבא בריה</w:t>
      </w:r>
      <w:r>
        <w:rPr>
          <w:rStyle w:val="a7"/>
          <w:rFonts w:cs="Arial"/>
          <w:rtl/>
        </w:rPr>
        <w:footnoteReference w:id="2426"/>
      </w:r>
      <w:r>
        <w:rPr>
          <w:rFonts w:cs="Arial" w:hint="cs"/>
          <w:rtl/>
        </w:rPr>
        <w:t>,</w:t>
      </w:r>
      <w:r w:rsidRPr="003A0359">
        <w:rPr>
          <w:rFonts w:cs="Arial"/>
          <w:rtl/>
        </w:rPr>
        <w:t xml:space="preserve"> </w:t>
      </w:r>
      <w:r>
        <w:rPr>
          <w:rFonts w:cs="Arial" w:hint="cs"/>
          <w:rtl/>
        </w:rPr>
        <w:t xml:space="preserve">אבל אפ"ל שבטלה </w:t>
      </w:r>
      <w:r w:rsidRPr="003A0359">
        <w:rPr>
          <w:rFonts w:cs="Arial"/>
          <w:rtl/>
        </w:rPr>
        <w:t xml:space="preserve">באלף </w:t>
      </w:r>
      <w:r>
        <w:rPr>
          <w:rFonts w:cs="Arial" w:hint="cs"/>
          <w:rtl/>
        </w:rPr>
        <w:t>א</w:t>
      </w:r>
      <w:r w:rsidRPr="003A0359">
        <w:rPr>
          <w:rFonts w:cs="Arial"/>
          <w:rtl/>
        </w:rPr>
        <w:t>ו</w:t>
      </w:r>
      <w:r>
        <w:rPr>
          <w:rFonts w:cs="Arial" w:hint="cs"/>
          <w:rtl/>
        </w:rPr>
        <w:t xml:space="preserve"> </w:t>
      </w:r>
      <w:r w:rsidRPr="003A0359">
        <w:rPr>
          <w:rFonts w:cs="Arial"/>
          <w:rtl/>
        </w:rPr>
        <w:t>מאתים</w:t>
      </w:r>
      <w:r>
        <w:rPr>
          <w:rFonts w:cs="Arial" w:hint="cs"/>
          <w:rtl/>
        </w:rPr>
        <w:t>.</w:t>
      </w:r>
      <w:r w:rsidRPr="003A0359">
        <w:rPr>
          <w:rFonts w:cs="Arial"/>
          <w:rtl/>
        </w:rPr>
        <w:t xml:space="preserve"> </w:t>
      </w:r>
    </w:p>
    <w:p w14:paraId="218D4C64" w14:textId="77777777" w:rsidR="002C39F4" w:rsidRDefault="002C39F4" w:rsidP="0032102C">
      <w:pPr>
        <w:pStyle w:val="a8"/>
        <w:numPr>
          <w:ilvl w:val="0"/>
          <w:numId w:val="248"/>
        </w:numPr>
        <w:rPr>
          <w:rFonts w:cs="Arial"/>
        </w:rPr>
      </w:pPr>
      <w:r w:rsidRPr="003A0359">
        <w:rPr>
          <w:rFonts w:cs="Arial"/>
          <w:rtl/>
        </w:rPr>
        <w:t>רמב"ם</w:t>
      </w:r>
      <w:r>
        <w:rPr>
          <w:rFonts w:cs="Arial" w:hint="cs"/>
          <w:rtl/>
        </w:rPr>
        <w:t xml:space="preserve"> </w:t>
      </w:r>
      <w:r w:rsidRPr="001C0049">
        <w:rPr>
          <w:rFonts w:cs="Arial" w:hint="cs"/>
          <w:sz w:val="16"/>
          <w:szCs w:val="16"/>
          <w:rtl/>
        </w:rPr>
        <w:t>(</w:t>
      </w:r>
      <w:r>
        <w:rPr>
          <w:rFonts w:cs="Arial" w:hint="cs"/>
          <w:sz w:val="16"/>
          <w:szCs w:val="16"/>
          <w:rtl/>
        </w:rPr>
        <w:t>[</w:t>
      </w:r>
      <w:r w:rsidRPr="001C0049">
        <w:rPr>
          <w:rFonts w:cs="Arial"/>
          <w:sz w:val="16"/>
          <w:szCs w:val="16"/>
          <w:rtl/>
        </w:rPr>
        <w:t>פט"ו הי"ט</w:t>
      </w:r>
      <w:r>
        <w:rPr>
          <w:rFonts w:cs="Arial" w:hint="cs"/>
          <w:sz w:val="16"/>
          <w:szCs w:val="16"/>
          <w:rtl/>
        </w:rPr>
        <w:t>] להב' הב"י</w:t>
      </w:r>
      <w:r w:rsidRPr="001C0049">
        <w:rPr>
          <w:rFonts w:cs="Arial"/>
          <w:sz w:val="16"/>
          <w:szCs w:val="16"/>
          <w:rtl/>
        </w:rPr>
        <w:t>)</w:t>
      </w:r>
      <w:r>
        <w:rPr>
          <w:rFonts w:cs="Arial" w:hint="cs"/>
          <w:rtl/>
        </w:rPr>
        <w:t>-</w:t>
      </w:r>
      <w:r w:rsidRPr="009E0A55">
        <w:rPr>
          <w:rFonts w:cs="Arial" w:hint="cs"/>
          <w:rtl/>
        </w:rPr>
        <w:t xml:space="preserve"> </w:t>
      </w:r>
      <w:r>
        <w:rPr>
          <w:rFonts w:cs="Arial" w:hint="cs"/>
          <w:rtl/>
        </w:rPr>
        <w:t>ביצה אינה בטילה אפילו באלף דחשיבא בריה</w:t>
      </w:r>
      <w:r>
        <w:rPr>
          <w:rStyle w:val="a7"/>
          <w:rFonts w:cs="Arial"/>
          <w:rtl/>
        </w:rPr>
        <w:footnoteReference w:id="2427"/>
      </w:r>
      <w:r w:rsidRPr="003A0359">
        <w:rPr>
          <w:rFonts w:cs="Arial"/>
          <w:rtl/>
        </w:rPr>
        <w:t xml:space="preserve">. </w:t>
      </w:r>
    </w:p>
    <w:p w14:paraId="44B8547F" w14:textId="77777777" w:rsidR="002C39F4" w:rsidRPr="00DF493B" w:rsidRDefault="002C39F4" w:rsidP="0032102C">
      <w:pPr>
        <w:pStyle w:val="a8"/>
        <w:numPr>
          <w:ilvl w:val="0"/>
          <w:numId w:val="248"/>
        </w:numPr>
        <w:rPr>
          <w:rFonts w:cs="Arial"/>
          <w:rtl/>
        </w:rPr>
      </w:pPr>
      <w:r w:rsidRPr="001C0049">
        <w:rPr>
          <w:rFonts w:cs="Arial" w:hint="cs"/>
          <w:rtl/>
        </w:rPr>
        <w:t xml:space="preserve">סה"ת </w:t>
      </w:r>
      <w:r w:rsidRPr="001C0049">
        <w:rPr>
          <w:rFonts w:cs="Arial"/>
          <w:sz w:val="16"/>
          <w:szCs w:val="16"/>
          <w:rtl/>
        </w:rPr>
        <w:t>(</w:t>
      </w:r>
      <w:r w:rsidRPr="001C0049">
        <w:rPr>
          <w:rFonts w:cs="Arial" w:hint="cs"/>
          <w:sz w:val="16"/>
          <w:szCs w:val="16"/>
          <w:rtl/>
        </w:rPr>
        <w:t>סי' כז ו</w:t>
      </w:r>
      <w:r w:rsidRPr="001C0049">
        <w:rPr>
          <w:rFonts w:cs="Arial"/>
          <w:sz w:val="16"/>
          <w:szCs w:val="16"/>
          <w:rtl/>
        </w:rPr>
        <w:t>סי' נ)</w:t>
      </w:r>
      <w:r w:rsidRPr="00DB4D9F">
        <w:rPr>
          <w:rFonts w:cs="Arial" w:hint="cs"/>
          <w:rtl/>
        </w:rPr>
        <w:t xml:space="preserve"> </w:t>
      </w:r>
      <w:r>
        <w:rPr>
          <w:rFonts w:cs="Arial" w:hint="cs"/>
          <w:rtl/>
        </w:rPr>
        <w:t>בהעי"ט</w:t>
      </w:r>
      <w:r>
        <w:rPr>
          <w:rFonts w:cs="Arial" w:hint="cs"/>
          <w:sz w:val="16"/>
          <w:szCs w:val="16"/>
          <w:rtl/>
        </w:rPr>
        <w:t xml:space="preserve"> (ח"ב ש"א יא ע"ג)</w:t>
      </w:r>
      <w:r>
        <w:rPr>
          <w:rFonts w:cs="Arial" w:hint="cs"/>
          <w:rtl/>
        </w:rPr>
        <w:t xml:space="preserve"> ואו</w:t>
      </w:r>
      <w:r>
        <w:rPr>
          <w:rFonts w:cs="Arial"/>
          <w:rtl/>
        </w:rPr>
        <w:t>"</w:t>
      </w:r>
      <w:r>
        <w:rPr>
          <w:rFonts w:cs="Arial" w:hint="cs"/>
          <w:rtl/>
        </w:rPr>
        <w:t xml:space="preserve">ה </w:t>
      </w:r>
      <w:r>
        <w:rPr>
          <w:rFonts w:cs="Arial" w:hint="cs"/>
          <w:sz w:val="16"/>
          <w:szCs w:val="16"/>
          <w:rtl/>
        </w:rPr>
        <w:t>(כלל כה ד"ג)</w:t>
      </w:r>
      <w:r w:rsidRPr="001C0049">
        <w:rPr>
          <w:rFonts w:cs="Arial" w:hint="cs"/>
          <w:rtl/>
        </w:rPr>
        <w:t xml:space="preserve">- </w:t>
      </w:r>
      <w:r>
        <w:rPr>
          <w:rFonts w:cs="Arial" w:hint="cs"/>
          <w:rtl/>
        </w:rPr>
        <w:t>ביצה אינה</w:t>
      </w:r>
      <w:r w:rsidRPr="001C0049">
        <w:rPr>
          <w:rFonts w:cs="Arial" w:hint="cs"/>
          <w:rtl/>
        </w:rPr>
        <w:t xml:space="preserve"> בטלה </w:t>
      </w:r>
      <w:r>
        <w:rPr>
          <w:rFonts w:cs="Arial" w:hint="cs"/>
          <w:rtl/>
        </w:rPr>
        <w:t xml:space="preserve">אפי' באלף </w:t>
      </w:r>
      <w:r w:rsidRPr="001C0049">
        <w:rPr>
          <w:rFonts w:cs="Arial" w:hint="cs"/>
          <w:rtl/>
        </w:rPr>
        <w:t>דהוי דבר שבמנין</w:t>
      </w:r>
      <w:r w:rsidRPr="001C0049">
        <w:rPr>
          <w:rFonts w:cs="Arial"/>
          <w:rtl/>
        </w:rPr>
        <w:t xml:space="preserve"> </w:t>
      </w:r>
      <w:r w:rsidRPr="001C0049">
        <w:rPr>
          <w:rFonts w:cs="Arial" w:hint="cs"/>
          <w:rtl/>
        </w:rPr>
        <w:t>ו</w:t>
      </w:r>
      <w:r w:rsidRPr="001C0049">
        <w:rPr>
          <w:rFonts w:cs="Arial"/>
          <w:rtl/>
        </w:rPr>
        <w:t>כל דבר שמונין אותו בשום פעם אינו בטל</w:t>
      </w:r>
      <w:r>
        <w:rPr>
          <w:rStyle w:val="a7"/>
          <w:rFonts w:cs="Arial"/>
          <w:rtl/>
        </w:rPr>
        <w:footnoteReference w:id="2428"/>
      </w:r>
      <w:r w:rsidRPr="00DF493B">
        <w:rPr>
          <w:rFonts w:cs="Arial"/>
          <w:rtl/>
        </w:rPr>
        <w:t xml:space="preserve">. </w:t>
      </w:r>
      <w:r>
        <w:rPr>
          <w:rFonts w:cs="Arial" w:hint="cs"/>
          <w:rtl/>
        </w:rPr>
        <w:t xml:space="preserve">(וכ"פ רש"ל וב"ח) </w:t>
      </w:r>
    </w:p>
    <w:p w14:paraId="6E8E6081" w14:textId="77777777" w:rsidR="002C39F4" w:rsidRDefault="002C39F4" w:rsidP="0032102C">
      <w:pPr>
        <w:pStyle w:val="a8"/>
        <w:numPr>
          <w:ilvl w:val="0"/>
          <w:numId w:val="248"/>
        </w:numPr>
        <w:rPr>
          <w:rFonts w:cs="Arial"/>
        </w:rPr>
      </w:pPr>
      <w:r>
        <w:rPr>
          <w:rFonts w:cs="Arial" w:hint="cs"/>
          <w:rtl/>
        </w:rPr>
        <w:t xml:space="preserve">ר"י </w:t>
      </w:r>
      <w:r>
        <w:rPr>
          <w:rFonts w:cs="Arial" w:hint="cs"/>
          <w:sz w:val="16"/>
          <w:szCs w:val="16"/>
          <w:rtl/>
        </w:rPr>
        <w:t>(כ"כ הטור בשמו)</w:t>
      </w:r>
      <w:r>
        <w:rPr>
          <w:rFonts w:cs="Arial" w:hint="cs"/>
          <w:rtl/>
        </w:rPr>
        <w:t xml:space="preserve"> ו</w:t>
      </w:r>
      <w:r w:rsidRPr="00DF493B">
        <w:rPr>
          <w:rFonts w:cs="Arial" w:hint="cs"/>
          <w:rtl/>
        </w:rPr>
        <w:t>ריצב"א</w:t>
      </w:r>
      <w:r>
        <w:rPr>
          <w:rFonts w:cs="Arial" w:hint="cs"/>
          <w:rtl/>
        </w:rPr>
        <w:t xml:space="preserve"> </w:t>
      </w:r>
      <w:r>
        <w:rPr>
          <w:rFonts w:cs="Arial" w:hint="cs"/>
          <w:sz w:val="16"/>
          <w:szCs w:val="16"/>
          <w:rtl/>
        </w:rPr>
        <w:t>(שם)</w:t>
      </w:r>
      <w:r w:rsidRPr="00DF493B">
        <w:rPr>
          <w:rFonts w:cs="Arial" w:hint="cs"/>
          <w:rtl/>
        </w:rPr>
        <w:t>-</w:t>
      </w:r>
      <w:r w:rsidRPr="00DF493B">
        <w:rPr>
          <w:rFonts w:cs="Arial"/>
          <w:rtl/>
        </w:rPr>
        <w:t xml:space="preserve"> </w:t>
      </w:r>
      <w:r>
        <w:rPr>
          <w:rFonts w:cs="Arial" w:hint="cs"/>
          <w:rtl/>
        </w:rPr>
        <w:t>ביצה בטלה כיון דלא הוי דבר שבמנין</w:t>
      </w:r>
      <w:r>
        <w:rPr>
          <w:rStyle w:val="a7"/>
          <w:rFonts w:cs="Arial"/>
          <w:rtl/>
        </w:rPr>
        <w:footnoteReference w:id="2429"/>
      </w:r>
      <w:r>
        <w:rPr>
          <w:rFonts w:cs="Arial" w:hint="cs"/>
          <w:rtl/>
        </w:rPr>
        <w:t>. (וכ"פ ת"ח</w:t>
      </w:r>
      <w:r>
        <w:rPr>
          <w:rFonts w:cs="Arial" w:hint="cs"/>
          <w:sz w:val="16"/>
          <w:szCs w:val="16"/>
          <w:rtl/>
        </w:rPr>
        <w:t xml:space="preserve"> [כלל מב ד"א]</w:t>
      </w:r>
      <w:r>
        <w:rPr>
          <w:rFonts w:cs="Arial" w:hint="cs"/>
          <w:rtl/>
        </w:rPr>
        <w:t>)</w:t>
      </w:r>
    </w:p>
    <w:p w14:paraId="671922EE" w14:textId="77777777" w:rsidR="002C39F4" w:rsidRPr="009E0A55" w:rsidRDefault="002C39F4" w:rsidP="0032102C">
      <w:pPr>
        <w:pStyle w:val="a8"/>
        <w:numPr>
          <w:ilvl w:val="0"/>
          <w:numId w:val="248"/>
        </w:numPr>
        <w:rPr>
          <w:rFonts w:cs="Arial"/>
        </w:rPr>
      </w:pPr>
      <w:r w:rsidRPr="003A0359">
        <w:rPr>
          <w:rFonts w:cs="Arial"/>
          <w:rtl/>
        </w:rPr>
        <w:t>רמב"ן</w:t>
      </w:r>
      <w:r>
        <w:rPr>
          <w:rStyle w:val="a7"/>
          <w:rFonts w:cs="Arial"/>
          <w:rtl/>
        </w:rPr>
        <w:footnoteReference w:id="2430"/>
      </w:r>
      <w:r w:rsidRPr="003A0359">
        <w:rPr>
          <w:rFonts w:cs="Arial"/>
          <w:rtl/>
        </w:rPr>
        <w:t xml:space="preserve"> </w:t>
      </w:r>
      <w:r w:rsidRPr="002074CA">
        <w:rPr>
          <w:rFonts w:cs="Arial"/>
          <w:sz w:val="16"/>
          <w:szCs w:val="16"/>
          <w:rtl/>
        </w:rPr>
        <w:t>(חולין צז: ד"ה הא דאקשי')</w:t>
      </w:r>
      <w:r w:rsidRPr="003A0359">
        <w:rPr>
          <w:rFonts w:cs="Arial"/>
          <w:rtl/>
        </w:rPr>
        <w:t xml:space="preserve"> </w:t>
      </w:r>
      <w:r>
        <w:rPr>
          <w:rFonts w:cs="Arial" w:hint="cs"/>
          <w:rtl/>
        </w:rPr>
        <w:t>ורשב"א</w:t>
      </w:r>
      <w:r w:rsidRPr="003A0359">
        <w:rPr>
          <w:rFonts w:cs="Arial"/>
          <w:rtl/>
        </w:rPr>
        <w:t xml:space="preserve"> </w:t>
      </w:r>
      <w:r w:rsidRPr="002074CA">
        <w:rPr>
          <w:rFonts w:cs="Arial" w:hint="cs"/>
          <w:sz w:val="16"/>
          <w:szCs w:val="16"/>
          <w:rtl/>
        </w:rPr>
        <w:t>(</w:t>
      </w:r>
      <w:r w:rsidRPr="002074CA">
        <w:rPr>
          <w:rFonts w:cs="Arial"/>
          <w:sz w:val="16"/>
          <w:szCs w:val="16"/>
          <w:rtl/>
        </w:rPr>
        <w:t>ש"א ב"ד יד ע"ד</w:t>
      </w:r>
      <w:r>
        <w:rPr>
          <w:rFonts w:cs="Arial" w:hint="cs"/>
          <w:sz w:val="16"/>
          <w:szCs w:val="16"/>
          <w:rtl/>
        </w:rPr>
        <w:t>, להב' הב"י</w:t>
      </w:r>
      <w:r w:rsidRPr="002074CA">
        <w:rPr>
          <w:rFonts w:cs="Arial"/>
          <w:sz w:val="16"/>
          <w:szCs w:val="16"/>
          <w:rtl/>
        </w:rPr>
        <w:t>)</w:t>
      </w:r>
      <w:r>
        <w:rPr>
          <w:rFonts w:cs="Arial" w:hint="cs"/>
          <w:rtl/>
        </w:rPr>
        <w:t xml:space="preserve">- ביצה בטלה </w:t>
      </w:r>
      <w:r w:rsidRPr="009B0BE3">
        <w:rPr>
          <w:rFonts w:cs="Arial" w:hint="cs"/>
          <w:sz w:val="16"/>
          <w:szCs w:val="16"/>
          <w:rtl/>
        </w:rPr>
        <w:t>{בששים ואחת}</w:t>
      </w:r>
      <w:r>
        <w:rPr>
          <w:rFonts w:cs="Arial" w:hint="cs"/>
          <w:rtl/>
        </w:rPr>
        <w:t xml:space="preserve"> דלא חשיבא בריה</w:t>
      </w:r>
      <w:r>
        <w:rPr>
          <w:rStyle w:val="a7"/>
          <w:rFonts w:cs="Arial"/>
          <w:rtl/>
        </w:rPr>
        <w:footnoteReference w:id="2431"/>
      </w:r>
      <w:r>
        <w:rPr>
          <w:rFonts w:cs="Arial" w:hint="cs"/>
          <w:rtl/>
        </w:rPr>
        <w:t>.</w:t>
      </w:r>
    </w:p>
    <w:p w14:paraId="4A5DFE38" w14:textId="77777777" w:rsidR="002C39F4" w:rsidRPr="001C0049" w:rsidRDefault="002C39F4" w:rsidP="0032102C">
      <w:pPr>
        <w:pStyle w:val="a8"/>
        <w:numPr>
          <w:ilvl w:val="0"/>
          <w:numId w:val="247"/>
        </w:numPr>
        <w:rPr>
          <w:rFonts w:cs="Arial"/>
          <w:rtl/>
        </w:rPr>
      </w:pPr>
      <w:r w:rsidRPr="003A0359">
        <w:rPr>
          <w:rFonts w:cs="Arial"/>
          <w:rtl/>
        </w:rPr>
        <w:t xml:space="preserve"> </w:t>
      </w:r>
      <w:r>
        <w:rPr>
          <w:rFonts w:cs="Arial" w:hint="cs"/>
          <w:rtl/>
        </w:rPr>
        <w:t>ב"י- ו</w:t>
      </w:r>
      <w:r w:rsidRPr="003A0359">
        <w:rPr>
          <w:rFonts w:cs="Arial"/>
          <w:rtl/>
        </w:rPr>
        <w:t>הראשון נראה יותר</w:t>
      </w:r>
      <w:r>
        <w:rPr>
          <w:rFonts w:cs="Arial" w:hint="cs"/>
          <w:rtl/>
        </w:rPr>
        <w:t>,</w:t>
      </w:r>
      <w:r w:rsidRPr="003A0359">
        <w:rPr>
          <w:rFonts w:cs="Arial"/>
          <w:rtl/>
        </w:rPr>
        <w:t xml:space="preserve"> ולענין הלכה כיון שאיסור זה מדבריהם נקטינן כדעת הרמב"ם דמיקל</w:t>
      </w:r>
      <w:r>
        <w:rPr>
          <w:rStyle w:val="a7"/>
          <w:rFonts w:cs="Arial"/>
          <w:rtl/>
        </w:rPr>
        <w:footnoteReference w:id="2432"/>
      </w:r>
      <w:r>
        <w:rPr>
          <w:rFonts w:cs="Arial" w:hint="cs"/>
          <w:rtl/>
        </w:rPr>
        <w:t>.</w:t>
      </w:r>
    </w:p>
    <w:p w14:paraId="12EE8A8E" w14:textId="77777777" w:rsidR="002C39F4" w:rsidRPr="00872368" w:rsidRDefault="002C39F4" w:rsidP="002C39F4">
      <w:pPr>
        <w:rPr>
          <w:u w:val="single"/>
        </w:rPr>
      </w:pPr>
      <w:r w:rsidRPr="00872368">
        <w:rPr>
          <w:rFonts w:hint="cs"/>
          <w:u w:val="single"/>
          <w:rtl/>
        </w:rPr>
        <w:t>ביטול קורקבן:</w:t>
      </w:r>
    </w:p>
    <w:p w14:paraId="644625C0" w14:textId="77777777" w:rsidR="002C39F4" w:rsidRPr="00215F00" w:rsidRDefault="002C39F4" w:rsidP="0032102C">
      <w:pPr>
        <w:pStyle w:val="a8"/>
        <w:numPr>
          <w:ilvl w:val="0"/>
          <w:numId w:val="245"/>
        </w:numPr>
      </w:pPr>
      <w:r>
        <w:rPr>
          <w:rFonts w:cs="Arial" w:hint="cs"/>
          <w:rtl/>
        </w:rPr>
        <w:t>ריצב"א</w:t>
      </w:r>
      <w:r w:rsidRPr="001C0049">
        <w:rPr>
          <w:rFonts w:cs="Arial"/>
          <w:rtl/>
        </w:rPr>
        <w:t xml:space="preserve"> </w:t>
      </w:r>
      <w:r w:rsidRPr="00460C63">
        <w:rPr>
          <w:rFonts w:cs="Arial" w:hint="cs"/>
          <w:sz w:val="16"/>
          <w:szCs w:val="16"/>
          <w:rtl/>
        </w:rPr>
        <w:t>(</w:t>
      </w:r>
      <w:r>
        <w:rPr>
          <w:rFonts w:cs="Arial" w:hint="cs"/>
          <w:sz w:val="16"/>
          <w:szCs w:val="16"/>
          <w:rtl/>
        </w:rPr>
        <w:t>כ"כ הסמ"ג בשמו [</w:t>
      </w:r>
      <w:r w:rsidRPr="00460C63">
        <w:rPr>
          <w:rFonts w:cs="Arial"/>
          <w:sz w:val="16"/>
          <w:szCs w:val="16"/>
          <w:rtl/>
        </w:rPr>
        <w:t>סי</w:t>
      </w:r>
      <w:r w:rsidRPr="00460C63">
        <w:rPr>
          <w:rFonts w:cs="Arial" w:hint="cs"/>
          <w:sz w:val="16"/>
          <w:szCs w:val="16"/>
          <w:rtl/>
        </w:rPr>
        <w:t>'</w:t>
      </w:r>
      <w:r w:rsidRPr="00460C63">
        <w:rPr>
          <w:rFonts w:cs="Arial"/>
          <w:sz w:val="16"/>
          <w:szCs w:val="16"/>
          <w:rtl/>
        </w:rPr>
        <w:t xml:space="preserve"> קמא לאוין נב ע"ג</w:t>
      </w:r>
      <w:r>
        <w:rPr>
          <w:rFonts w:cs="Arial" w:hint="cs"/>
          <w:sz w:val="16"/>
          <w:szCs w:val="16"/>
          <w:rtl/>
        </w:rPr>
        <w:t>]</w:t>
      </w:r>
      <w:r w:rsidRPr="00460C63">
        <w:rPr>
          <w:rFonts w:cs="Arial"/>
          <w:sz w:val="16"/>
          <w:szCs w:val="16"/>
          <w:rtl/>
        </w:rPr>
        <w:t>)</w:t>
      </w:r>
      <w:r>
        <w:rPr>
          <w:rFonts w:cs="Arial" w:hint="cs"/>
          <w:rtl/>
        </w:rPr>
        <w:t xml:space="preserve"> ו</w:t>
      </w:r>
      <w:r w:rsidRPr="00872368">
        <w:rPr>
          <w:rFonts w:cs="Arial"/>
          <w:rtl/>
        </w:rPr>
        <w:t>ה"ר יהודה</w:t>
      </w:r>
      <w:r>
        <w:rPr>
          <w:rFonts w:cs="Arial" w:hint="cs"/>
          <w:sz w:val="16"/>
          <w:szCs w:val="16"/>
          <w:rtl/>
        </w:rPr>
        <w:t xml:space="preserve"> (כ"כ הטור בשמו)</w:t>
      </w:r>
      <w:r>
        <w:rPr>
          <w:rFonts w:cs="Arial" w:hint="cs"/>
          <w:rtl/>
        </w:rPr>
        <w:t xml:space="preserve">- </w:t>
      </w:r>
      <w:r w:rsidRPr="00872368">
        <w:rPr>
          <w:rFonts w:cs="Arial"/>
          <w:rtl/>
        </w:rPr>
        <w:t>קורקבן טריפה שנתערב באחרים בטל</w:t>
      </w:r>
      <w:r>
        <w:rPr>
          <w:rFonts w:cs="Arial" w:hint="cs"/>
          <w:rtl/>
        </w:rPr>
        <w:t>,</w:t>
      </w:r>
      <w:r w:rsidRPr="00872368">
        <w:rPr>
          <w:rFonts w:cs="Arial"/>
          <w:rtl/>
        </w:rPr>
        <w:t xml:space="preserve"> דלא הוי ראוי להתכבד כדאמרינן </w:t>
      </w:r>
      <w:r w:rsidRPr="009E4284">
        <w:rPr>
          <w:rFonts w:cs="Arial"/>
          <w:sz w:val="16"/>
          <w:szCs w:val="16"/>
          <w:rtl/>
        </w:rPr>
        <w:t>(נדרים נד</w:t>
      </w:r>
      <w:r w:rsidRPr="009E4284">
        <w:rPr>
          <w:rFonts w:cs="Arial" w:hint="cs"/>
          <w:sz w:val="16"/>
          <w:szCs w:val="16"/>
          <w:rtl/>
        </w:rPr>
        <w:t>:</w:t>
      </w:r>
      <w:r w:rsidRPr="009E4284">
        <w:rPr>
          <w:rFonts w:cs="Arial"/>
          <w:sz w:val="16"/>
          <w:szCs w:val="16"/>
          <w:rtl/>
        </w:rPr>
        <w:t xml:space="preserve">) </w:t>
      </w:r>
      <w:r w:rsidRPr="00872368">
        <w:rPr>
          <w:rFonts w:cs="Arial"/>
          <w:rtl/>
        </w:rPr>
        <w:t>בני מעים אוכליהן לאו בר אינש</w:t>
      </w:r>
      <w:r>
        <w:rPr>
          <w:rStyle w:val="a7"/>
          <w:rFonts w:cs="Arial"/>
          <w:rtl/>
        </w:rPr>
        <w:footnoteReference w:id="2433"/>
      </w:r>
      <w:r>
        <w:rPr>
          <w:rFonts w:cs="Arial" w:hint="cs"/>
          <w:sz w:val="16"/>
          <w:szCs w:val="16"/>
          <w:rtl/>
        </w:rPr>
        <w:t xml:space="preserve"> (ריצב"א וה"ר יהודה)</w:t>
      </w:r>
      <w:r>
        <w:rPr>
          <w:rFonts w:cs="Arial" w:hint="cs"/>
          <w:rtl/>
        </w:rPr>
        <w:t xml:space="preserve">, </w:t>
      </w:r>
      <w:r w:rsidRPr="00215F00">
        <w:rPr>
          <w:rFonts w:cs="Arial"/>
          <w:rtl/>
        </w:rPr>
        <w:t>ו</w:t>
      </w:r>
      <w:r>
        <w:rPr>
          <w:rFonts w:cs="Arial" w:hint="cs"/>
          <w:rtl/>
        </w:rPr>
        <w:t xml:space="preserve">גם </w:t>
      </w:r>
      <w:r w:rsidRPr="00215F00">
        <w:rPr>
          <w:rFonts w:cs="Arial"/>
          <w:rtl/>
        </w:rPr>
        <w:t>אין זה דבר שבמנין</w:t>
      </w:r>
      <w:r>
        <w:rPr>
          <w:rStyle w:val="a7"/>
          <w:rFonts w:cs="Arial"/>
          <w:rtl/>
        </w:rPr>
        <w:footnoteReference w:id="2434"/>
      </w:r>
      <w:r>
        <w:rPr>
          <w:rFonts w:cs="Arial" w:hint="cs"/>
          <w:sz w:val="16"/>
          <w:szCs w:val="16"/>
          <w:rtl/>
        </w:rPr>
        <w:t xml:space="preserve"> (ריצב"א)</w:t>
      </w:r>
      <w:r>
        <w:rPr>
          <w:rFonts w:cs="Arial" w:hint="cs"/>
          <w:rtl/>
        </w:rPr>
        <w:t>.</w:t>
      </w:r>
    </w:p>
    <w:p w14:paraId="7223317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B2E29C1" w14:textId="77777777" w:rsidR="002C39F4" w:rsidRDefault="002C39F4" w:rsidP="002C39F4">
      <w:pPr>
        <w:rPr>
          <w:rFonts w:asciiTheme="minorBidi" w:hAnsiTheme="minorBidi"/>
          <w:rtl/>
        </w:rPr>
      </w:pPr>
      <w:r w:rsidRPr="003024E5">
        <w:rPr>
          <w:rFonts w:asciiTheme="minorBidi" w:hAnsiTheme="minorBidi"/>
          <w:rtl/>
        </w:rPr>
        <w:t>דבר חשוב אוסר במינו</w:t>
      </w:r>
      <w:r>
        <w:rPr>
          <w:rStyle w:val="a7"/>
          <w:rFonts w:asciiTheme="minorBidi" w:hAnsiTheme="minorBidi"/>
          <w:rtl/>
        </w:rPr>
        <w:footnoteReference w:id="2435"/>
      </w:r>
      <w:r w:rsidRPr="003024E5">
        <w:rPr>
          <w:rFonts w:asciiTheme="minorBidi" w:hAnsiTheme="minorBidi"/>
          <w:rtl/>
        </w:rPr>
        <w:t xml:space="preserve"> בכל שהוא</w:t>
      </w:r>
      <w:r>
        <w:rPr>
          <w:rStyle w:val="a7"/>
          <w:rFonts w:asciiTheme="minorBidi" w:hAnsiTheme="minorBidi"/>
          <w:rtl/>
        </w:rPr>
        <w:footnoteReference w:id="2436"/>
      </w:r>
      <w:r w:rsidRPr="003024E5">
        <w:rPr>
          <w:rFonts w:asciiTheme="minorBidi" w:hAnsiTheme="minorBidi"/>
          <w:rtl/>
        </w:rPr>
        <w:t xml:space="preserve"> והם </w:t>
      </w:r>
      <w:r>
        <w:rPr>
          <w:rFonts w:asciiTheme="minorBidi" w:hAnsiTheme="minorBidi" w:hint="cs"/>
          <w:rtl/>
        </w:rPr>
        <w:t>שבעה</w:t>
      </w:r>
      <w:r w:rsidRPr="003024E5">
        <w:rPr>
          <w:rFonts w:asciiTheme="minorBidi" w:hAnsiTheme="minorBidi"/>
          <w:rtl/>
        </w:rPr>
        <w:t xml:space="preserve"> דברים ואלו הם</w:t>
      </w:r>
      <w:r>
        <w:rPr>
          <w:rFonts w:asciiTheme="minorBidi" w:hAnsiTheme="minorBidi" w:hint="cs"/>
          <w:rtl/>
        </w:rPr>
        <w:t>,</w:t>
      </w:r>
      <w:r w:rsidRPr="003024E5">
        <w:rPr>
          <w:rFonts w:asciiTheme="minorBidi" w:hAnsiTheme="minorBidi"/>
          <w:rtl/>
        </w:rPr>
        <w:t xml:space="preserve"> אגוזי פרך ורמוני בדן</w:t>
      </w:r>
      <w:r>
        <w:rPr>
          <w:rStyle w:val="a7"/>
          <w:rFonts w:asciiTheme="minorBidi" w:hAnsiTheme="minorBidi"/>
          <w:rtl/>
        </w:rPr>
        <w:footnoteReference w:id="2437"/>
      </w:r>
      <w:r w:rsidRPr="003024E5">
        <w:rPr>
          <w:rFonts w:asciiTheme="minorBidi" w:hAnsiTheme="minorBidi"/>
          <w:rtl/>
        </w:rPr>
        <w:t xml:space="preserve"> וחביות</w:t>
      </w:r>
      <w:r>
        <w:rPr>
          <w:rStyle w:val="a7"/>
          <w:rFonts w:asciiTheme="minorBidi" w:hAnsiTheme="minorBidi"/>
          <w:rtl/>
        </w:rPr>
        <w:footnoteReference w:id="2438"/>
      </w:r>
      <w:r w:rsidRPr="003024E5">
        <w:rPr>
          <w:rFonts w:asciiTheme="minorBidi" w:hAnsiTheme="minorBidi"/>
          <w:rtl/>
        </w:rPr>
        <w:t xml:space="preserve"> סתומות</w:t>
      </w:r>
      <w:r>
        <w:rPr>
          <w:rStyle w:val="a7"/>
          <w:rFonts w:asciiTheme="minorBidi" w:hAnsiTheme="minorBidi"/>
          <w:rtl/>
        </w:rPr>
        <w:footnoteReference w:id="2439"/>
      </w:r>
      <w:r w:rsidRPr="003024E5">
        <w:rPr>
          <w:rFonts w:asciiTheme="minorBidi" w:hAnsiTheme="minorBidi"/>
          <w:rtl/>
        </w:rPr>
        <w:t xml:space="preserve"> וחלפות תרדין וקלחי כרוב ודלעת יונית וככרות של בעל הבית</w:t>
      </w:r>
      <w:r>
        <w:rPr>
          <w:rStyle w:val="a7"/>
          <w:rFonts w:asciiTheme="minorBidi" w:hAnsiTheme="minorBidi"/>
          <w:rtl/>
        </w:rPr>
        <w:footnoteReference w:id="2440"/>
      </w:r>
      <w:r>
        <w:rPr>
          <w:rFonts w:asciiTheme="minorBidi" w:hAnsiTheme="minorBidi" w:hint="cs"/>
          <w:rtl/>
        </w:rPr>
        <w:t>,</w:t>
      </w:r>
      <w:r w:rsidRPr="003024E5">
        <w:rPr>
          <w:rFonts w:asciiTheme="minorBidi" w:hAnsiTheme="minorBidi"/>
          <w:rtl/>
        </w:rPr>
        <w:t xml:space="preserve"> וכן בעלי חיים</w:t>
      </w:r>
      <w:r>
        <w:rPr>
          <w:rStyle w:val="a7"/>
          <w:rFonts w:asciiTheme="minorBidi" w:hAnsiTheme="minorBidi"/>
          <w:rtl/>
        </w:rPr>
        <w:footnoteReference w:id="2441"/>
      </w:r>
      <w:r w:rsidRPr="003024E5">
        <w:rPr>
          <w:rFonts w:asciiTheme="minorBidi" w:hAnsiTheme="minorBidi"/>
          <w:rtl/>
        </w:rPr>
        <w:t xml:space="preserve"> חשובים הם ואינם בטלים</w:t>
      </w:r>
      <w:r>
        <w:rPr>
          <w:rFonts w:asciiTheme="minorBidi" w:hAnsiTheme="minorBidi" w:hint="cs"/>
          <w:rtl/>
        </w:rPr>
        <w:t>,</w:t>
      </w:r>
      <w:r w:rsidRPr="003024E5">
        <w:rPr>
          <w:rFonts w:asciiTheme="minorBidi" w:hAnsiTheme="minorBidi"/>
          <w:rtl/>
        </w:rPr>
        <w:t xml:space="preserve"> אבל שאר דברים אף על פי שדרכן למנות</w:t>
      </w:r>
      <w:r>
        <w:rPr>
          <w:rStyle w:val="a7"/>
          <w:rFonts w:asciiTheme="minorBidi" w:hAnsiTheme="minorBidi"/>
          <w:rtl/>
        </w:rPr>
        <w:footnoteReference w:id="2442"/>
      </w:r>
      <w:r w:rsidRPr="003024E5">
        <w:rPr>
          <w:rFonts w:asciiTheme="minorBidi" w:hAnsiTheme="minorBidi"/>
          <w:rtl/>
        </w:rPr>
        <w:t xml:space="preserve"> הרי אלו עולים בשיעורן. </w:t>
      </w:r>
      <w:r w:rsidRPr="004A56B9">
        <w:rPr>
          <w:rFonts w:asciiTheme="minorBidi" w:hAnsiTheme="minorBidi"/>
          <w:sz w:val="18"/>
          <w:szCs w:val="18"/>
          <w:rtl/>
        </w:rPr>
        <w:t>הגה: ויש אומרים דכל דבר שבמנין דהיינו שדרכו למנותו תמיד אינו בטל</w:t>
      </w:r>
      <w:r>
        <w:rPr>
          <w:rStyle w:val="a7"/>
          <w:rFonts w:asciiTheme="minorBidi" w:hAnsiTheme="minorBidi"/>
          <w:sz w:val="18"/>
          <w:szCs w:val="18"/>
          <w:rtl/>
        </w:rPr>
        <w:footnoteReference w:id="2443"/>
      </w:r>
      <w:r w:rsidRPr="004A56B9">
        <w:rPr>
          <w:rFonts w:asciiTheme="minorBidi" w:hAnsiTheme="minorBidi"/>
          <w:sz w:val="18"/>
          <w:szCs w:val="18"/>
          <w:rtl/>
        </w:rPr>
        <w:t xml:space="preserve"> (טור בשם ר"י וב"י)</w:t>
      </w:r>
      <w:r>
        <w:rPr>
          <w:rFonts w:asciiTheme="minorBidi" w:hAnsiTheme="minorBidi" w:hint="cs"/>
          <w:sz w:val="18"/>
          <w:szCs w:val="18"/>
          <w:rtl/>
        </w:rPr>
        <w:t>,</w:t>
      </w:r>
      <w:r w:rsidRPr="004A56B9">
        <w:rPr>
          <w:rFonts w:asciiTheme="minorBidi" w:hAnsiTheme="minorBidi"/>
          <w:sz w:val="18"/>
          <w:szCs w:val="18"/>
          <w:rtl/>
        </w:rPr>
        <w:t xml:space="preserve"> וכן נוהגין. הא דדבר חשוב אינו בטיל אינו אלא מדרבנן</w:t>
      </w:r>
      <w:r>
        <w:rPr>
          <w:rFonts w:asciiTheme="minorBidi" w:hAnsiTheme="minorBidi" w:hint="cs"/>
          <w:sz w:val="18"/>
          <w:szCs w:val="18"/>
          <w:rtl/>
        </w:rPr>
        <w:t>,</w:t>
      </w:r>
      <w:r w:rsidRPr="004A56B9">
        <w:rPr>
          <w:rFonts w:asciiTheme="minorBidi" w:hAnsiTheme="minorBidi"/>
          <w:sz w:val="18"/>
          <w:szCs w:val="18"/>
          <w:rtl/>
        </w:rPr>
        <w:t xml:space="preserve"> ואזלינן בספיקו</w:t>
      </w:r>
      <w:r>
        <w:rPr>
          <w:rStyle w:val="a7"/>
          <w:rFonts w:asciiTheme="minorBidi" w:hAnsiTheme="minorBidi"/>
          <w:sz w:val="18"/>
          <w:szCs w:val="18"/>
          <w:rtl/>
        </w:rPr>
        <w:footnoteReference w:id="2444"/>
      </w:r>
      <w:r w:rsidRPr="004A56B9">
        <w:rPr>
          <w:rFonts w:asciiTheme="minorBidi" w:hAnsiTheme="minorBidi"/>
          <w:sz w:val="18"/>
          <w:szCs w:val="18"/>
          <w:rtl/>
        </w:rPr>
        <w:t xml:space="preserve"> לקולא</w:t>
      </w:r>
      <w:r>
        <w:rPr>
          <w:rStyle w:val="a7"/>
          <w:rFonts w:asciiTheme="minorBidi" w:hAnsiTheme="minorBidi"/>
          <w:sz w:val="18"/>
          <w:szCs w:val="18"/>
          <w:rtl/>
        </w:rPr>
        <w:footnoteReference w:id="2445"/>
      </w:r>
      <w:r w:rsidRPr="004A56B9">
        <w:rPr>
          <w:rFonts w:asciiTheme="minorBidi" w:hAnsiTheme="minorBidi"/>
          <w:sz w:val="18"/>
          <w:szCs w:val="18"/>
          <w:rtl/>
        </w:rPr>
        <w:t xml:space="preserve">. </w:t>
      </w:r>
      <w:r w:rsidRPr="003024E5">
        <w:rPr>
          <w:rFonts w:asciiTheme="minorBidi" w:hAnsiTheme="minorBidi"/>
          <w:rtl/>
        </w:rPr>
        <w:t>כל דבר שהוא חשוב אצל בני מקום מהמקומות כגון אגוזי פרך ורמוני בדן בארץ ישראל באותם הזמנים הוא אוסר בכל שהוא לפי חשיבותו באותו מקום ובאותו זמן</w:t>
      </w:r>
      <w:r>
        <w:rPr>
          <w:rFonts w:asciiTheme="minorBidi" w:hAnsiTheme="minorBidi" w:hint="cs"/>
          <w:rtl/>
        </w:rPr>
        <w:t>,</w:t>
      </w:r>
      <w:r w:rsidRPr="003024E5">
        <w:rPr>
          <w:rFonts w:asciiTheme="minorBidi" w:hAnsiTheme="minorBidi"/>
          <w:rtl/>
        </w:rPr>
        <w:t xml:space="preserve"> ולא הוזכרו אלו אלא לפי שהן אוסרים בכל שהן בכל מקום</w:t>
      </w:r>
      <w:r>
        <w:rPr>
          <w:rFonts w:asciiTheme="minorBidi" w:hAnsiTheme="minorBidi" w:hint="cs"/>
          <w:rtl/>
        </w:rPr>
        <w:t>,</w:t>
      </w:r>
      <w:r w:rsidRPr="003024E5">
        <w:rPr>
          <w:rFonts w:asciiTheme="minorBidi" w:hAnsiTheme="minorBidi"/>
          <w:rtl/>
        </w:rPr>
        <w:t xml:space="preserve"> וה</w:t>
      </w:r>
      <w:r>
        <w:rPr>
          <w:rFonts w:asciiTheme="minorBidi" w:hAnsiTheme="minorBidi" w:hint="cs"/>
          <w:rtl/>
        </w:rPr>
        <w:t xml:space="preserve">וא </w:t>
      </w:r>
      <w:r w:rsidRPr="003024E5">
        <w:rPr>
          <w:rFonts w:asciiTheme="minorBidi" w:hAnsiTheme="minorBidi"/>
          <w:rtl/>
        </w:rPr>
        <w:t>ה</w:t>
      </w:r>
      <w:r>
        <w:rPr>
          <w:rFonts w:asciiTheme="minorBidi" w:hAnsiTheme="minorBidi" w:hint="cs"/>
          <w:rtl/>
        </w:rPr>
        <w:t>דין</w:t>
      </w:r>
      <w:r w:rsidRPr="003024E5">
        <w:rPr>
          <w:rFonts w:asciiTheme="minorBidi" w:hAnsiTheme="minorBidi"/>
          <w:rtl/>
        </w:rPr>
        <w:t xml:space="preserve"> בכל כיוצא בהן בשאר מקומות. </w:t>
      </w:r>
    </w:p>
    <w:p w14:paraId="4504A482" w14:textId="77777777" w:rsidR="002C39F4" w:rsidRPr="003024E5" w:rsidRDefault="002C39F4" w:rsidP="002C39F4">
      <w:pPr>
        <w:rPr>
          <w:rFonts w:asciiTheme="minorBidi" w:hAnsiTheme="minorBidi"/>
          <w:rtl/>
        </w:rPr>
      </w:pPr>
    </w:p>
    <w:p w14:paraId="5E27EF6F"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בעלי חיים שנתערבו באחרים ונשחטו.</w:t>
      </w:r>
    </w:p>
    <w:p w14:paraId="3D1957DB" w14:textId="77777777" w:rsidR="002C39F4" w:rsidRDefault="002C39F4" w:rsidP="002C39F4">
      <w:pPr>
        <w:rPr>
          <w:rFonts w:cs="Arial"/>
          <w:rtl/>
        </w:rPr>
      </w:pPr>
      <w:r>
        <w:rPr>
          <w:rFonts w:cs="Arial" w:hint="cs"/>
          <w:b/>
          <w:bCs/>
          <w:rtl/>
        </w:rPr>
        <w:t>משנה ערלה פ"ג מ"ח:</w:t>
      </w:r>
      <w:r>
        <w:rPr>
          <w:rFonts w:cs="Arial" w:hint="cs"/>
          <w:rtl/>
        </w:rPr>
        <w:t xml:space="preserve"> </w:t>
      </w:r>
      <w:r w:rsidRPr="0059228C">
        <w:rPr>
          <w:rFonts w:cs="Arial"/>
          <w:rtl/>
        </w:rPr>
        <w:t>כיצד</w:t>
      </w:r>
      <w:r>
        <w:rPr>
          <w:rFonts w:cs="Arial" w:hint="cs"/>
          <w:rtl/>
        </w:rPr>
        <w:t>,</w:t>
      </w:r>
      <w:r w:rsidRPr="0059228C">
        <w:rPr>
          <w:rFonts w:cs="Arial"/>
          <w:rtl/>
        </w:rPr>
        <w:t xml:space="preserve"> נתפצעו האגוזים נתפרדו הרמונים נתפתחו החביות נתחתכו הדלועים נתפרסו הככרות יעלו באחד ומאתים</w:t>
      </w:r>
      <w:r>
        <w:rPr>
          <w:rFonts w:cs="Arial" w:hint="cs"/>
          <w:rtl/>
        </w:rPr>
        <w:t>.</w:t>
      </w:r>
    </w:p>
    <w:p w14:paraId="104C40EE" w14:textId="77777777" w:rsidR="002C39F4" w:rsidRDefault="002C39F4" w:rsidP="002C39F4">
      <w:pPr>
        <w:rPr>
          <w:rFonts w:cs="Arial"/>
          <w:rtl/>
        </w:rPr>
      </w:pPr>
      <w:r>
        <w:rPr>
          <w:rFonts w:cs="Arial" w:hint="cs"/>
          <w:b/>
          <w:bCs/>
          <w:rtl/>
        </w:rPr>
        <w:t xml:space="preserve">גיטין נד ע"ב: </w:t>
      </w:r>
      <w:r>
        <w:rPr>
          <w:rFonts w:cs="Arial" w:hint="cs"/>
          <w:rtl/>
        </w:rPr>
        <w:t xml:space="preserve">תניא: </w:t>
      </w:r>
      <w:r w:rsidRPr="0059228C">
        <w:rPr>
          <w:rFonts w:cs="Arial"/>
          <w:rtl/>
        </w:rPr>
        <w:t xml:space="preserve">נפלו ונתפצעו, אחד שוגג ואחד מזיד - לא יעלו, </w:t>
      </w:r>
      <w:r w:rsidRPr="0059228C">
        <w:rPr>
          <w:rFonts w:cs="Arial"/>
          <w:u w:val="single"/>
          <w:rtl/>
        </w:rPr>
        <w:t>דברי ר"מ ורבי יהודה</w:t>
      </w:r>
      <w:r>
        <w:rPr>
          <w:rFonts w:cs="Arial" w:hint="cs"/>
          <w:rtl/>
        </w:rPr>
        <w:t>,</w:t>
      </w:r>
      <w:r w:rsidRPr="0059228C">
        <w:rPr>
          <w:rFonts w:cs="Arial"/>
          <w:rtl/>
        </w:rPr>
        <w:t xml:space="preserve"> </w:t>
      </w:r>
      <w:r w:rsidRPr="0059228C">
        <w:rPr>
          <w:rFonts w:cs="Arial"/>
          <w:u w:val="single"/>
          <w:rtl/>
        </w:rPr>
        <w:t>רבי יוסי ור' שמעון אומרים</w:t>
      </w:r>
      <w:r w:rsidRPr="0059228C">
        <w:rPr>
          <w:rFonts w:cs="Arial"/>
          <w:rtl/>
        </w:rPr>
        <w:t>: בשוגג - יעלו, במזיד - לא יעלו</w:t>
      </w:r>
      <w:r>
        <w:rPr>
          <w:rFonts w:cs="Arial" w:hint="cs"/>
          <w:rtl/>
        </w:rPr>
        <w:t>.</w:t>
      </w:r>
    </w:p>
    <w:p w14:paraId="5863B22B" w14:textId="77777777" w:rsidR="002C39F4" w:rsidRPr="007C1C62" w:rsidRDefault="002C39F4" w:rsidP="002C39F4">
      <w:pPr>
        <w:rPr>
          <w:rFonts w:cs="Arial"/>
          <w:u w:val="single"/>
          <w:rtl/>
        </w:rPr>
      </w:pPr>
      <w:r w:rsidRPr="007C1C62">
        <w:rPr>
          <w:rFonts w:cs="Arial" w:hint="cs"/>
          <w:u w:val="single"/>
          <w:rtl/>
        </w:rPr>
        <w:t>בעלי חיים שנתערבו באחרים ונשחטו:</w:t>
      </w:r>
    </w:p>
    <w:p w14:paraId="03B6EEF2" w14:textId="77777777" w:rsidR="002C39F4" w:rsidRPr="007C1C62" w:rsidRDefault="002C39F4" w:rsidP="0032102C">
      <w:pPr>
        <w:pStyle w:val="a8"/>
        <w:numPr>
          <w:ilvl w:val="0"/>
          <w:numId w:val="249"/>
        </w:numPr>
        <w:rPr>
          <w:rFonts w:cs="Arial"/>
          <w:rtl/>
        </w:rPr>
      </w:pPr>
      <w:r w:rsidRPr="007C1C62">
        <w:rPr>
          <w:rFonts w:cs="Arial"/>
          <w:rtl/>
        </w:rPr>
        <w:t>רשב"א</w:t>
      </w:r>
      <w:r w:rsidRPr="007C1C62">
        <w:rPr>
          <w:rFonts w:cs="Arial" w:hint="cs"/>
          <w:rtl/>
        </w:rPr>
        <w:t xml:space="preserve"> </w:t>
      </w:r>
      <w:r w:rsidRPr="007C1C62">
        <w:rPr>
          <w:rFonts w:cs="Arial" w:hint="cs"/>
          <w:sz w:val="16"/>
          <w:szCs w:val="16"/>
          <w:rtl/>
        </w:rPr>
        <w:t>(תוה"א</w:t>
      </w:r>
      <w:r w:rsidRPr="007C1C62">
        <w:rPr>
          <w:rFonts w:cs="Arial"/>
          <w:sz w:val="16"/>
          <w:szCs w:val="16"/>
          <w:rtl/>
        </w:rPr>
        <w:t xml:space="preserve"> ב"ד ש"א יד., </w:t>
      </w:r>
      <w:r w:rsidRPr="007C1C62">
        <w:rPr>
          <w:rFonts w:cs="Arial" w:hint="cs"/>
          <w:sz w:val="16"/>
          <w:szCs w:val="16"/>
          <w:rtl/>
        </w:rPr>
        <w:t>וב</w:t>
      </w:r>
      <w:r w:rsidRPr="007C1C62">
        <w:rPr>
          <w:rFonts w:cs="Arial"/>
          <w:sz w:val="16"/>
          <w:szCs w:val="16"/>
          <w:rtl/>
        </w:rPr>
        <w:t>קצר שם י:)</w:t>
      </w:r>
      <w:r>
        <w:rPr>
          <w:rFonts w:cs="Arial" w:hint="cs"/>
          <w:rtl/>
        </w:rPr>
        <w:t xml:space="preserve"> וטור- </w:t>
      </w:r>
      <w:r w:rsidRPr="007C1C62">
        <w:rPr>
          <w:rFonts w:cs="Arial"/>
          <w:rtl/>
        </w:rPr>
        <w:t>אם נשחטו בשוגג כולן מותרין שכבר בטל חשיבותן</w:t>
      </w:r>
      <w:r>
        <w:rPr>
          <w:rStyle w:val="a7"/>
          <w:rFonts w:cs="Arial"/>
          <w:rtl/>
        </w:rPr>
        <w:footnoteReference w:id="2446"/>
      </w:r>
      <w:r>
        <w:rPr>
          <w:rFonts w:cs="Arial" w:hint="cs"/>
          <w:rtl/>
        </w:rPr>
        <w:t>,</w:t>
      </w:r>
      <w:r w:rsidRPr="007C1C62">
        <w:rPr>
          <w:rFonts w:cs="Arial"/>
          <w:rtl/>
        </w:rPr>
        <w:t xml:space="preserve"> ואין קונסין שוגג אטו מזיד</w:t>
      </w:r>
      <w:r>
        <w:rPr>
          <w:rFonts w:cs="Arial" w:hint="cs"/>
          <w:rtl/>
        </w:rPr>
        <w:t>,</w:t>
      </w:r>
      <w:r w:rsidRPr="007C1C62">
        <w:rPr>
          <w:rFonts w:cs="Arial"/>
          <w:rtl/>
        </w:rPr>
        <w:t xml:space="preserve"> אבל במזיד כולן אסורות</w:t>
      </w:r>
      <w:r>
        <w:rPr>
          <w:rFonts w:cs="Arial" w:hint="cs"/>
          <w:rtl/>
        </w:rPr>
        <w:t>,</w:t>
      </w:r>
      <w:r w:rsidRPr="007C1C62">
        <w:rPr>
          <w:rFonts w:cs="Arial"/>
          <w:rtl/>
        </w:rPr>
        <w:t xml:space="preserve"> וכמו שאמרו נתפרדו הרמונים ונתפצעו האגוזים בשוגג יעלו במזיד לא יעלו</w:t>
      </w:r>
      <w:r>
        <w:rPr>
          <w:rStyle w:val="a7"/>
          <w:rFonts w:cs="Arial"/>
          <w:rtl/>
        </w:rPr>
        <w:footnoteReference w:id="2447"/>
      </w:r>
      <w:r w:rsidRPr="007C1C62">
        <w:rPr>
          <w:rFonts w:cs="Arial"/>
          <w:rtl/>
        </w:rPr>
        <w:t>.</w:t>
      </w:r>
    </w:p>
    <w:p w14:paraId="1BF96CC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ACF6809" w14:textId="77777777" w:rsidR="002C39F4" w:rsidRDefault="002C39F4" w:rsidP="002C39F4">
      <w:pPr>
        <w:rPr>
          <w:rFonts w:asciiTheme="minorBidi" w:hAnsiTheme="minorBidi"/>
          <w:rtl/>
        </w:rPr>
      </w:pPr>
      <w:r w:rsidRPr="003024E5">
        <w:rPr>
          <w:rFonts w:asciiTheme="minorBidi" w:hAnsiTheme="minorBidi"/>
          <w:rtl/>
        </w:rPr>
        <w:t>בעלי חיים שנתערבו באחר</w:t>
      </w:r>
      <w:r>
        <w:rPr>
          <w:rFonts w:asciiTheme="minorBidi" w:hAnsiTheme="minorBidi" w:hint="cs"/>
          <w:rtl/>
        </w:rPr>
        <w:t>ים</w:t>
      </w:r>
      <w:r w:rsidRPr="003024E5">
        <w:rPr>
          <w:rFonts w:asciiTheme="minorBidi" w:hAnsiTheme="minorBidi"/>
          <w:rtl/>
        </w:rPr>
        <w:t xml:space="preserve"> ונשחטו בטל חשיבותן ובטלין</w:t>
      </w:r>
      <w:r>
        <w:rPr>
          <w:rFonts w:asciiTheme="minorBidi" w:hAnsiTheme="minorBidi" w:hint="cs"/>
          <w:rtl/>
        </w:rPr>
        <w:t>,</w:t>
      </w:r>
      <w:r w:rsidRPr="003024E5">
        <w:rPr>
          <w:rFonts w:asciiTheme="minorBidi" w:hAnsiTheme="minorBidi"/>
          <w:rtl/>
        </w:rPr>
        <w:t xml:space="preserve"> והוא</w:t>
      </w:r>
      <w:r>
        <w:rPr>
          <w:rStyle w:val="a7"/>
          <w:rFonts w:asciiTheme="minorBidi" w:hAnsiTheme="minorBidi"/>
          <w:rtl/>
        </w:rPr>
        <w:footnoteReference w:id="2448"/>
      </w:r>
      <w:r w:rsidRPr="003024E5">
        <w:rPr>
          <w:rFonts w:asciiTheme="minorBidi" w:hAnsiTheme="minorBidi"/>
          <w:rtl/>
        </w:rPr>
        <w:t xml:space="preserve"> שנשחטו בשוגג</w:t>
      </w:r>
      <w:r>
        <w:rPr>
          <w:rStyle w:val="a7"/>
          <w:rFonts w:asciiTheme="minorBidi" w:hAnsiTheme="minorBidi"/>
          <w:rtl/>
        </w:rPr>
        <w:footnoteReference w:id="2449"/>
      </w:r>
      <w:r w:rsidRPr="003024E5">
        <w:rPr>
          <w:rFonts w:asciiTheme="minorBidi" w:hAnsiTheme="minorBidi"/>
          <w:rtl/>
        </w:rPr>
        <w:t>.</w:t>
      </w:r>
      <w:r w:rsidRPr="004A56B9">
        <w:rPr>
          <w:rFonts w:asciiTheme="minorBidi" w:hAnsiTheme="minorBidi"/>
          <w:sz w:val="18"/>
          <w:szCs w:val="18"/>
          <w:rtl/>
        </w:rPr>
        <w:t xml:space="preserve"> </w:t>
      </w:r>
      <w:r w:rsidRPr="004A56B9">
        <w:rPr>
          <w:rFonts w:asciiTheme="minorBidi" w:hAnsiTheme="minorBidi" w:hint="cs"/>
          <w:sz w:val="18"/>
          <w:szCs w:val="18"/>
          <w:rtl/>
        </w:rPr>
        <w:t xml:space="preserve">[הגה] </w:t>
      </w:r>
      <w:r w:rsidRPr="004A56B9">
        <w:rPr>
          <w:rFonts w:asciiTheme="minorBidi" w:hAnsiTheme="minorBidi"/>
          <w:sz w:val="18"/>
          <w:szCs w:val="18"/>
          <w:rtl/>
        </w:rPr>
        <w:t>ודוקא בעלי חיים קטנים</w:t>
      </w:r>
      <w:r>
        <w:rPr>
          <w:rStyle w:val="a7"/>
          <w:rFonts w:asciiTheme="minorBidi" w:hAnsiTheme="minorBidi"/>
          <w:sz w:val="18"/>
          <w:szCs w:val="18"/>
          <w:rtl/>
        </w:rPr>
        <w:footnoteReference w:id="2450"/>
      </w:r>
      <w:r w:rsidRPr="004A56B9">
        <w:rPr>
          <w:rFonts w:asciiTheme="minorBidi" w:hAnsiTheme="minorBidi"/>
          <w:sz w:val="18"/>
          <w:szCs w:val="18"/>
          <w:rtl/>
        </w:rPr>
        <w:t>, שאינם ראוים להתכבד לאחר שחיטתן (ארוך כ</w:t>
      </w:r>
      <w:r w:rsidRPr="004A56B9">
        <w:rPr>
          <w:rFonts w:asciiTheme="minorBidi" w:hAnsiTheme="minorBidi" w:hint="cs"/>
          <w:sz w:val="18"/>
          <w:szCs w:val="18"/>
          <w:rtl/>
        </w:rPr>
        <w:t>לל</w:t>
      </w:r>
      <w:r w:rsidRPr="004A56B9">
        <w:rPr>
          <w:rFonts w:asciiTheme="minorBidi" w:hAnsiTheme="minorBidi"/>
          <w:sz w:val="18"/>
          <w:szCs w:val="18"/>
          <w:rtl/>
        </w:rPr>
        <w:t xml:space="preserve"> כה</w:t>
      </w:r>
      <w:r>
        <w:rPr>
          <w:rFonts w:asciiTheme="minorBidi" w:hAnsiTheme="minorBidi" w:hint="cs"/>
          <w:sz w:val="18"/>
          <w:szCs w:val="18"/>
          <w:rtl/>
        </w:rPr>
        <w:t>, ע"ש סוף דין ה</w:t>
      </w:r>
      <w:r w:rsidRPr="004A56B9">
        <w:rPr>
          <w:rFonts w:asciiTheme="minorBidi" w:hAnsiTheme="minorBidi"/>
          <w:sz w:val="18"/>
          <w:szCs w:val="18"/>
          <w:rtl/>
        </w:rPr>
        <w:t>).</w:t>
      </w:r>
      <w:r w:rsidRPr="003024E5">
        <w:rPr>
          <w:rFonts w:asciiTheme="minorBidi" w:hAnsiTheme="minorBidi"/>
          <w:rtl/>
        </w:rPr>
        <w:t xml:space="preserve"> </w:t>
      </w:r>
    </w:p>
    <w:p w14:paraId="11D6F544" w14:textId="77777777" w:rsidR="002C39F4" w:rsidRPr="003024E5" w:rsidRDefault="002C39F4" w:rsidP="002C39F4">
      <w:pPr>
        <w:rPr>
          <w:rFonts w:asciiTheme="minorBidi" w:hAnsiTheme="minorBidi"/>
          <w:rtl/>
        </w:rPr>
      </w:pPr>
    </w:p>
    <w:p w14:paraId="7E8BFCED"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בשר שכשרותו בספק.</w:t>
      </w:r>
    </w:p>
    <w:p w14:paraId="5B731E63" w14:textId="77777777" w:rsidR="002C39F4" w:rsidRDefault="002C39F4" w:rsidP="002C39F4">
      <w:pPr>
        <w:rPr>
          <w:rtl/>
        </w:rPr>
      </w:pPr>
      <w:r>
        <w:rPr>
          <w:rFonts w:cs="Arial" w:hint="cs"/>
          <w:b/>
          <w:bCs/>
          <w:rtl/>
        </w:rPr>
        <w:t>חולין צה ע"א</w:t>
      </w:r>
      <w:r>
        <w:rPr>
          <w:rStyle w:val="a7"/>
          <w:rFonts w:cs="Arial"/>
          <w:b/>
          <w:bCs/>
          <w:rtl/>
        </w:rPr>
        <w:footnoteReference w:id="2451"/>
      </w:r>
      <w:r>
        <w:rPr>
          <w:rFonts w:cs="Arial" w:hint="cs"/>
          <w:b/>
          <w:bCs/>
          <w:rtl/>
        </w:rPr>
        <w:t xml:space="preserve">: </w:t>
      </w:r>
      <w:r w:rsidRPr="007615AA">
        <w:rPr>
          <w:rFonts w:cs="Arial"/>
          <w:u w:val="single"/>
          <w:rtl/>
        </w:rPr>
        <w:t>אמר רב</w:t>
      </w:r>
      <w:r w:rsidRPr="007615AA">
        <w:rPr>
          <w:rFonts w:cs="Arial"/>
          <w:rtl/>
        </w:rPr>
        <w:t xml:space="preserve">: בשר, כיון שנתעלם מן העין - אסור. מיתיבי, </w:t>
      </w:r>
      <w:r w:rsidRPr="007615AA">
        <w:rPr>
          <w:rFonts w:cs="Arial"/>
          <w:u w:val="single"/>
          <w:rtl/>
        </w:rPr>
        <w:t>רבי אומר</w:t>
      </w:r>
      <w:r w:rsidRPr="007615AA">
        <w:rPr>
          <w:rFonts w:cs="Arial"/>
          <w:rtl/>
        </w:rPr>
        <w:t>: מקולין וטבחי ישראל, בשר הנמצא ביד עובד כוכבים - מותר! נמצא ביד עובד כוכבים שאני</w:t>
      </w:r>
      <w:r>
        <w:rPr>
          <w:rFonts w:cs="Arial" w:hint="cs"/>
          <w:rtl/>
        </w:rPr>
        <w:t>,</w:t>
      </w:r>
      <w:r w:rsidRPr="007615AA">
        <w:rPr>
          <w:rFonts w:cs="Arial"/>
          <w:rtl/>
        </w:rPr>
        <w:t xml:space="preserve"> תא שמע: תשע חנויות כולן מוכרות בשר שחוטה, ואחת מוכרת בשר נבלה, ולקח מאחת מהן, ואינו יודע מאיזה מהן לקח - ספקו אסור</w:t>
      </w:r>
      <w:r>
        <w:rPr>
          <w:rStyle w:val="a7"/>
          <w:rFonts w:cs="Arial"/>
          <w:rtl/>
        </w:rPr>
        <w:footnoteReference w:id="2452"/>
      </w:r>
      <w:r w:rsidRPr="007615AA">
        <w:rPr>
          <w:rFonts w:cs="Arial"/>
          <w:rtl/>
        </w:rPr>
        <w:t>, ובנמצא - הלך אחר הרוב! הכא נמי: בנמצא ביד עובד כוכבים.</w:t>
      </w:r>
      <w:r w:rsidRPr="0024187A">
        <w:rPr>
          <w:rFonts w:hint="cs"/>
          <w:rtl/>
        </w:rPr>
        <w:t xml:space="preserve"> </w:t>
      </w:r>
    </w:p>
    <w:p w14:paraId="6A619367" w14:textId="77777777" w:rsidR="002C39F4" w:rsidRPr="00194730" w:rsidRDefault="002C39F4" w:rsidP="002C39F4">
      <w:pPr>
        <w:rPr>
          <w:rtl/>
        </w:rPr>
      </w:pPr>
      <w:r w:rsidRPr="005B4831">
        <w:rPr>
          <w:rFonts w:cs="Arial" w:hint="cs"/>
          <w:b/>
          <w:bCs/>
          <w:rtl/>
        </w:rPr>
        <w:t>ירושלמי</w:t>
      </w:r>
      <w:r>
        <w:rPr>
          <w:rFonts w:cs="Arial" w:hint="cs"/>
          <w:b/>
          <w:bCs/>
          <w:sz w:val="16"/>
          <w:szCs w:val="16"/>
          <w:rtl/>
        </w:rPr>
        <w:t xml:space="preserve"> (וילנא)</w:t>
      </w:r>
      <w:r w:rsidRPr="005B4831">
        <w:rPr>
          <w:rFonts w:cs="Arial" w:hint="cs"/>
          <w:b/>
          <w:bCs/>
          <w:rtl/>
        </w:rPr>
        <w:t xml:space="preserve"> שקלים פ"ז ה"ב:</w:t>
      </w:r>
      <w:r>
        <w:rPr>
          <w:rFonts w:cs="Arial" w:hint="cs"/>
          <w:rtl/>
        </w:rPr>
        <w:t xml:space="preserve"> </w:t>
      </w:r>
      <w:r w:rsidRPr="005B4831">
        <w:rPr>
          <w:rFonts w:cs="Arial"/>
          <w:rtl/>
        </w:rPr>
        <w:t>תשע חניות מוכרות בשר נבילה ואחת מוכרת בשר שחוטה</w:t>
      </w:r>
      <w:r>
        <w:rPr>
          <w:rFonts w:cs="Arial" w:hint="cs"/>
          <w:rtl/>
        </w:rPr>
        <w:t>,</w:t>
      </w:r>
      <w:r w:rsidRPr="005B4831">
        <w:rPr>
          <w:rFonts w:cs="Arial"/>
          <w:rtl/>
        </w:rPr>
        <w:t xml:space="preserve"> נתחלפו לו </w:t>
      </w:r>
      <w:r>
        <w:rPr>
          <w:rFonts w:cs="Arial"/>
          <w:rtl/>
        </w:rPr>
        <w:t>–</w:t>
      </w:r>
      <w:r>
        <w:rPr>
          <w:rFonts w:cs="Arial" w:hint="cs"/>
          <w:rtl/>
        </w:rPr>
        <w:t xml:space="preserve"> </w:t>
      </w:r>
      <w:r w:rsidRPr="005B4831">
        <w:rPr>
          <w:rFonts w:cs="Arial"/>
          <w:rtl/>
        </w:rPr>
        <w:t>חושש</w:t>
      </w:r>
      <w:r>
        <w:rPr>
          <w:rFonts w:cs="Arial" w:hint="cs"/>
          <w:rtl/>
        </w:rPr>
        <w:t>,</w:t>
      </w:r>
      <w:r w:rsidRPr="005B4831">
        <w:rPr>
          <w:rFonts w:cs="Arial"/>
          <w:rtl/>
        </w:rPr>
        <w:t xml:space="preserve"> ולנמצאת </w:t>
      </w:r>
      <w:r>
        <w:rPr>
          <w:rFonts w:cs="Arial" w:hint="cs"/>
          <w:rtl/>
        </w:rPr>
        <w:t xml:space="preserve">- </w:t>
      </w:r>
      <w:r w:rsidRPr="005B4831">
        <w:rPr>
          <w:rFonts w:cs="Arial"/>
          <w:rtl/>
        </w:rPr>
        <w:t>הולכין אחר הרוב</w:t>
      </w:r>
      <w:r>
        <w:rPr>
          <w:rFonts w:cs="Arial" w:hint="cs"/>
          <w:rtl/>
        </w:rPr>
        <w:t>.</w:t>
      </w:r>
      <w:r w:rsidRPr="005B4831">
        <w:rPr>
          <w:rFonts w:cs="Arial"/>
          <w:rtl/>
        </w:rPr>
        <w:t xml:space="preserve"> תשע חנויות מוכרות בשר שחוטה ואחת מוכרת בשר נבילה</w:t>
      </w:r>
      <w:r>
        <w:rPr>
          <w:rFonts w:cs="Arial" w:hint="cs"/>
          <w:rtl/>
        </w:rPr>
        <w:t>,</w:t>
      </w:r>
      <w:r w:rsidRPr="005B4831">
        <w:rPr>
          <w:rFonts w:cs="Arial"/>
          <w:rtl/>
        </w:rPr>
        <w:t xml:space="preserve"> נתחלפו לו </w:t>
      </w:r>
      <w:r>
        <w:rPr>
          <w:rFonts w:cs="Arial"/>
          <w:rtl/>
        </w:rPr>
        <w:t>–</w:t>
      </w:r>
      <w:r>
        <w:rPr>
          <w:rFonts w:cs="Arial" w:hint="cs"/>
          <w:rtl/>
        </w:rPr>
        <w:t xml:space="preserve"> </w:t>
      </w:r>
      <w:r w:rsidRPr="005B4831">
        <w:rPr>
          <w:rFonts w:cs="Arial"/>
          <w:rtl/>
        </w:rPr>
        <w:t>חושש</w:t>
      </w:r>
      <w:r>
        <w:rPr>
          <w:rFonts w:cs="Arial" w:hint="cs"/>
          <w:rtl/>
        </w:rPr>
        <w:t>,</w:t>
      </w:r>
      <w:r w:rsidRPr="005B4831">
        <w:rPr>
          <w:rFonts w:cs="Arial"/>
          <w:rtl/>
        </w:rPr>
        <w:t xml:space="preserve"> ולנמצאת </w:t>
      </w:r>
      <w:r>
        <w:rPr>
          <w:rFonts w:cs="Arial" w:hint="cs"/>
          <w:rtl/>
        </w:rPr>
        <w:t xml:space="preserve">- </w:t>
      </w:r>
      <w:r w:rsidRPr="005B4831">
        <w:rPr>
          <w:rFonts w:cs="Arial"/>
          <w:rtl/>
        </w:rPr>
        <w:t>הולכין אחר הרוב</w:t>
      </w:r>
      <w:r>
        <w:rPr>
          <w:rFonts w:cs="Arial" w:hint="cs"/>
          <w:rtl/>
        </w:rPr>
        <w:t>.</w:t>
      </w:r>
      <w:r w:rsidRPr="005B4831">
        <w:rPr>
          <w:rFonts w:cs="Arial"/>
          <w:rtl/>
        </w:rPr>
        <w:t xml:space="preserve"> </w:t>
      </w:r>
      <w:r w:rsidRPr="005B4831">
        <w:rPr>
          <w:rFonts w:cs="Arial"/>
          <w:u w:val="single"/>
          <w:rtl/>
        </w:rPr>
        <w:t>א"ר יוחנן</w:t>
      </w:r>
      <w:r w:rsidRPr="005B4831">
        <w:rPr>
          <w:rFonts w:cs="Arial" w:hint="cs"/>
          <w:u w:val="single"/>
          <w:rtl/>
        </w:rPr>
        <w:t>:</w:t>
      </w:r>
      <w:r>
        <w:rPr>
          <w:rFonts w:cs="Arial" w:hint="cs"/>
          <w:rtl/>
        </w:rPr>
        <w:t xml:space="preserve"> </w:t>
      </w:r>
      <w:r w:rsidRPr="005B4831">
        <w:rPr>
          <w:rFonts w:cs="Arial"/>
          <w:rtl/>
        </w:rPr>
        <w:t>הנמצא ביד גוי כנמצא בפלטיא</w:t>
      </w:r>
      <w:r>
        <w:rPr>
          <w:rFonts w:cs="Arial" w:hint="cs"/>
          <w:rtl/>
        </w:rPr>
        <w:t>.</w:t>
      </w:r>
      <w:r w:rsidRPr="005B4831">
        <w:rPr>
          <w:rFonts w:cs="Arial"/>
          <w:rtl/>
        </w:rPr>
        <w:t xml:space="preserve"> רבי לעזר בי רבי חגיי הוה מסמך לר' מנא חמא לחד ארמאי מקטע מן סוסיה ומפיק לברא אמר ליה</w:t>
      </w:r>
      <w:r>
        <w:rPr>
          <w:rFonts w:cs="Arial" w:hint="cs"/>
          <w:rtl/>
        </w:rPr>
        <w:t xml:space="preserve">: </w:t>
      </w:r>
      <w:r w:rsidRPr="005B4831">
        <w:rPr>
          <w:rFonts w:cs="Arial"/>
          <w:rtl/>
        </w:rPr>
        <w:t>הדא היא דאמר רבי יוחנן הנמצא ביד גוי כנמצא בפלטיא</w:t>
      </w:r>
      <w:r>
        <w:rPr>
          <w:rFonts w:cs="Arial" w:hint="cs"/>
          <w:rtl/>
        </w:rPr>
        <w:t>?</w:t>
      </w:r>
      <w:r w:rsidRPr="005B4831">
        <w:rPr>
          <w:rFonts w:cs="Arial"/>
          <w:rtl/>
        </w:rPr>
        <w:t xml:space="preserve"> א"ל</w:t>
      </w:r>
      <w:r>
        <w:rPr>
          <w:rFonts w:cs="Arial" w:hint="cs"/>
          <w:rtl/>
        </w:rPr>
        <w:t>:</w:t>
      </w:r>
      <w:r w:rsidRPr="005B4831">
        <w:rPr>
          <w:rFonts w:cs="Arial"/>
          <w:rtl/>
        </w:rPr>
        <w:t xml:space="preserve"> כן</w:t>
      </w:r>
      <w:r>
        <w:rPr>
          <w:rFonts w:cs="Arial" w:hint="cs"/>
          <w:rtl/>
        </w:rPr>
        <w:t>.</w:t>
      </w:r>
      <w:r w:rsidRPr="005B4831">
        <w:rPr>
          <w:rFonts w:cs="Arial"/>
          <w:rtl/>
        </w:rPr>
        <w:t xml:space="preserve"> </w:t>
      </w:r>
      <w:r w:rsidRPr="005B4831">
        <w:rPr>
          <w:rFonts w:cs="Arial"/>
          <w:u w:val="single"/>
          <w:rtl/>
        </w:rPr>
        <w:t>אמר רבי יוסי רבי</w:t>
      </w:r>
      <w:r>
        <w:rPr>
          <w:rFonts w:cs="Arial" w:hint="cs"/>
          <w:rtl/>
        </w:rPr>
        <w:t>:</w:t>
      </w:r>
      <w:r w:rsidRPr="005B4831">
        <w:rPr>
          <w:rFonts w:cs="Arial"/>
          <w:rtl/>
        </w:rPr>
        <w:t xml:space="preserve"> והן שראו אותו יוצא ממקולין של ישראל</w:t>
      </w:r>
      <w:r>
        <w:rPr>
          <w:rFonts w:cs="Arial" w:hint="cs"/>
          <w:rtl/>
        </w:rPr>
        <w:t>.</w:t>
      </w:r>
      <w:r w:rsidRPr="005B4831">
        <w:rPr>
          <w:rFonts w:cs="Arial"/>
          <w:rtl/>
        </w:rPr>
        <w:t xml:space="preserve"> חד בר נש בציפורין אזיל בעי מיזבון קופד מן טבחא ולא יהב ליה</w:t>
      </w:r>
      <w:r>
        <w:rPr>
          <w:rFonts w:cs="Arial" w:hint="cs"/>
          <w:rtl/>
        </w:rPr>
        <w:t>,</w:t>
      </w:r>
      <w:r w:rsidRPr="005B4831">
        <w:rPr>
          <w:rFonts w:cs="Arial"/>
          <w:rtl/>
        </w:rPr>
        <w:t xml:space="preserve"> אמר ליה לחד רומיי ואייתי ליה</w:t>
      </w:r>
      <w:r>
        <w:rPr>
          <w:rFonts w:cs="Arial" w:hint="cs"/>
          <w:rtl/>
        </w:rPr>
        <w:t>,</w:t>
      </w:r>
      <w:r w:rsidRPr="005B4831">
        <w:rPr>
          <w:rFonts w:cs="Arial"/>
          <w:rtl/>
        </w:rPr>
        <w:t xml:space="preserve"> אמר ליה לא נסבית</w:t>
      </w:r>
      <w:r>
        <w:rPr>
          <w:rFonts w:cs="Arial" w:hint="cs"/>
          <w:rtl/>
        </w:rPr>
        <w:t>,</w:t>
      </w:r>
      <w:r w:rsidRPr="005B4831">
        <w:rPr>
          <w:rFonts w:cs="Arial"/>
          <w:rtl/>
        </w:rPr>
        <w:t xml:space="preserve"> על כרחיה</w:t>
      </w:r>
      <w:r>
        <w:rPr>
          <w:rFonts w:cs="Arial" w:hint="cs"/>
          <w:rtl/>
        </w:rPr>
        <w:t>!</w:t>
      </w:r>
      <w:r w:rsidRPr="005B4831">
        <w:rPr>
          <w:rFonts w:cs="Arial"/>
          <w:rtl/>
        </w:rPr>
        <w:t xml:space="preserve"> אמר ליה ולאו</w:t>
      </w:r>
      <w:r>
        <w:rPr>
          <w:rFonts w:cs="Arial" w:hint="cs"/>
          <w:rtl/>
        </w:rPr>
        <w:t>,</w:t>
      </w:r>
      <w:r w:rsidRPr="005B4831">
        <w:rPr>
          <w:rFonts w:cs="Arial"/>
          <w:rtl/>
        </w:rPr>
        <w:t xml:space="preserve"> בשר דנבילה יהבית ליה</w:t>
      </w:r>
      <w:r>
        <w:rPr>
          <w:rFonts w:cs="Arial" w:hint="cs"/>
          <w:rtl/>
        </w:rPr>
        <w:t>!</w:t>
      </w:r>
      <w:r w:rsidRPr="005B4831">
        <w:rPr>
          <w:rFonts w:cs="Arial"/>
          <w:rtl/>
        </w:rPr>
        <w:t xml:space="preserve"> רבי ירמיה בשם ר' חנינה מעשה בא לפני ר'</w:t>
      </w:r>
      <w:r>
        <w:rPr>
          <w:rFonts w:cs="Arial" w:hint="cs"/>
          <w:rtl/>
        </w:rPr>
        <w:t>,</w:t>
      </w:r>
      <w:r w:rsidRPr="005B4831">
        <w:rPr>
          <w:rFonts w:cs="Arial"/>
          <w:rtl/>
        </w:rPr>
        <w:t xml:space="preserve"> ואמר</w:t>
      </w:r>
      <w:r>
        <w:rPr>
          <w:rFonts w:cs="Arial" w:hint="cs"/>
          <w:rtl/>
        </w:rPr>
        <w:t>:</w:t>
      </w:r>
      <w:r w:rsidRPr="005B4831">
        <w:rPr>
          <w:rFonts w:cs="Arial"/>
          <w:rtl/>
        </w:rPr>
        <w:t xml:space="preserve"> לא כולא מיניה מיסר מקולין דציפורין</w:t>
      </w:r>
      <w:r>
        <w:rPr>
          <w:rFonts w:cs="Arial" w:hint="cs"/>
          <w:rtl/>
        </w:rPr>
        <w:t>.</w:t>
      </w:r>
      <w:r w:rsidRPr="005B4831">
        <w:rPr>
          <w:rFonts w:cs="Arial"/>
          <w:rtl/>
        </w:rPr>
        <w:t xml:space="preserve"> רב נחת לתמן</w:t>
      </w:r>
      <w:r>
        <w:rPr>
          <w:rFonts w:cs="Arial" w:hint="cs"/>
          <w:rtl/>
        </w:rPr>
        <w:t>,</w:t>
      </w:r>
      <w:r w:rsidRPr="005B4831">
        <w:rPr>
          <w:rFonts w:cs="Arial"/>
          <w:rtl/>
        </w:rPr>
        <w:t xml:space="preserve"> חמתון מקילין וחמר עליהן</w:t>
      </w:r>
      <w:r>
        <w:rPr>
          <w:rFonts w:cs="Arial" w:hint="cs"/>
          <w:rtl/>
        </w:rPr>
        <w:t>,</w:t>
      </w:r>
      <w:r w:rsidRPr="005B4831">
        <w:rPr>
          <w:rFonts w:cs="Arial"/>
          <w:rtl/>
        </w:rPr>
        <w:t xml:space="preserve"> חד בר נש אזיל בעי משיזגה אסקופתיה בגו נהרא ואינשתה ואזיל ליה</w:t>
      </w:r>
      <w:r>
        <w:rPr>
          <w:rFonts w:cs="Arial" w:hint="cs"/>
          <w:rtl/>
        </w:rPr>
        <w:t>,</w:t>
      </w:r>
      <w:r w:rsidRPr="005B4831">
        <w:rPr>
          <w:rFonts w:cs="Arial"/>
          <w:rtl/>
        </w:rPr>
        <w:t xml:space="preserve"> חזר בעי מיסבינה</w:t>
      </w:r>
      <w:r>
        <w:rPr>
          <w:rFonts w:cs="Arial" w:hint="cs"/>
          <w:rtl/>
        </w:rPr>
        <w:t>,</w:t>
      </w:r>
      <w:r w:rsidRPr="005B4831">
        <w:rPr>
          <w:rFonts w:cs="Arial"/>
          <w:rtl/>
        </w:rPr>
        <w:t xml:space="preserve"> אמר ליה רב</w:t>
      </w:r>
      <w:r>
        <w:rPr>
          <w:rFonts w:cs="Arial" w:hint="cs"/>
          <w:rtl/>
        </w:rPr>
        <w:t>:</w:t>
      </w:r>
      <w:r w:rsidRPr="005B4831">
        <w:rPr>
          <w:rFonts w:cs="Arial"/>
          <w:rtl/>
        </w:rPr>
        <w:t xml:space="preserve"> אסור לך</w:t>
      </w:r>
      <w:r>
        <w:rPr>
          <w:rFonts w:cs="Arial" w:hint="cs"/>
          <w:rtl/>
        </w:rPr>
        <w:t>,</w:t>
      </w:r>
      <w:r w:rsidRPr="005B4831">
        <w:rPr>
          <w:rFonts w:cs="Arial"/>
          <w:rtl/>
        </w:rPr>
        <w:t xml:space="preserve"> דנא אמר</w:t>
      </w:r>
      <w:r>
        <w:rPr>
          <w:rFonts w:cs="Arial" w:hint="cs"/>
          <w:rtl/>
        </w:rPr>
        <w:t xml:space="preserve"> -</w:t>
      </w:r>
      <w:r w:rsidRPr="005B4831">
        <w:rPr>
          <w:rFonts w:cs="Arial"/>
          <w:rtl/>
        </w:rPr>
        <w:t xml:space="preserve"> ההיא שטף נהרא ואייתי חורי דנבילה תחתוי</w:t>
      </w:r>
      <w:r>
        <w:rPr>
          <w:rFonts w:cs="Arial" w:hint="cs"/>
          <w:rtl/>
        </w:rPr>
        <w:t>.</w:t>
      </w:r>
      <w:r w:rsidRPr="005B4831">
        <w:rPr>
          <w:rFonts w:cs="Arial"/>
          <w:rtl/>
        </w:rPr>
        <w:t xml:space="preserve"> חד בר נש הוה מהלך בשוק</w:t>
      </w:r>
      <w:r>
        <w:rPr>
          <w:rFonts w:cs="Arial" w:hint="cs"/>
          <w:rtl/>
        </w:rPr>
        <w:t>,</w:t>
      </w:r>
      <w:r w:rsidRPr="005B4831">
        <w:rPr>
          <w:rFonts w:cs="Arial"/>
          <w:rtl/>
        </w:rPr>
        <w:t xml:space="preserve"> טעין קופד</w:t>
      </w:r>
      <w:r>
        <w:rPr>
          <w:rFonts w:cs="Arial" w:hint="cs"/>
          <w:rtl/>
        </w:rPr>
        <w:t>,</w:t>
      </w:r>
      <w:r w:rsidRPr="005B4831">
        <w:rPr>
          <w:rFonts w:cs="Arial"/>
          <w:rtl/>
        </w:rPr>
        <w:t xml:space="preserve"> אתא דייתא וחטפתיה מיניה וטלקתיה</w:t>
      </w:r>
      <w:r>
        <w:rPr>
          <w:rFonts w:cs="Arial" w:hint="cs"/>
          <w:rtl/>
        </w:rPr>
        <w:t>,</w:t>
      </w:r>
      <w:r w:rsidRPr="005B4831">
        <w:rPr>
          <w:rFonts w:cs="Arial"/>
          <w:rtl/>
        </w:rPr>
        <w:t xml:space="preserve"> חזר בעי מיסבינה</w:t>
      </w:r>
      <w:r>
        <w:rPr>
          <w:rFonts w:cs="Arial" w:hint="cs"/>
          <w:rtl/>
        </w:rPr>
        <w:t>,</w:t>
      </w:r>
      <w:r w:rsidRPr="005B4831">
        <w:rPr>
          <w:rFonts w:cs="Arial"/>
          <w:rtl/>
        </w:rPr>
        <w:t xml:space="preserve"> אמר ליה רב</w:t>
      </w:r>
      <w:r>
        <w:rPr>
          <w:rFonts w:cs="Arial" w:hint="cs"/>
          <w:rtl/>
        </w:rPr>
        <w:t>:</w:t>
      </w:r>
      <w:r w:rsidRPr="005B4831">
        <w:rPr>
          <w:rFonts w:cs="Arial"/>
          <w:rtl/>
        </w:rPr>
        <w:t xml:space="preserve"> אסור לך</w:t>
      </w:r>
      <w:r>
        <w:rPr>
          <w:rFonts w:cs="Arial" w:hint="cs"/>
          <w:rtl/>
        </w:rPr>
        <w:t>,</w:t>
      </w:r>
      <w:r w:rsidRPr="005B4831">
        <w:rPr>
          <w:rFonts w:cs="Arial"/>
          <w:rtl/>
        </w:rPr>
        <w:t xml:space="preserve"> דנא אמר</w:t>
      </w:r>
      <w:r>
        <w:rPr>
          <w:rFonts w:cs="Arial" w:hint="cs"/>
          <w:rtl/>
        </w:rPr>
        <w:t xml:space="preserve"> -</w:t>
      </w:r>
      <w:r w:rsidRPr="005B4831">
        <w:rPr>
          <w:rFonts w:cs="Arial"/>
          <w:rtl/>
        </w:rPr>
        <w:t xml:space="preserve"> בשר דנבילה הוות טעינה וטלקתיה ונסבה ההוא אוחרנא</w:t>
      </w:r>
      <w:r>
        <w:rPr>
          <w:rFonts w:cs="Arial" w:hint="cs"/>
          <w:rtl/>
        </w:rPr>
        <w:t>.</w:t>
      </w:r>
    </w:p>
    <w:p w14:paraId="3C60D5A6" w14:textId="77777777" w:rsidR="002C39F4" w:rsidRPr="0024187A" w:rsidRDefault="002C39F4" w:rsidP="002C39F4">
      <w:pPr>
        <w:rPr>
          <w:rFonts w:cs="Arial"/>
          <w:u w:val="single"/>
          <w:rtl/>
        </w:rPr>
      </w:pPr>
      <w:r w:rsidRPr="0024187A">
        <w:rPr>
          <w:rFonts w:cs="Arial" w:hint="cs"/>
          <w:u w:val="single"/>
          <w:rtl/>
        </w:rPr>
        <w:t xml:space="preserve">ט' חנויות של בשר כשר וא' של בשר נבלה </w:t>
      </w:r>
      <w:r w:rsidRPr="0024187A">
        <w:rPr>
          <w:rFonts w:cs="Arial"/>
          <w:u w:val="single"/>
          <w:rtl/>
        </w:rPr>
        <w:t>–</w:t>
      </w:r>
      <w:r w:rsidRPr="0024187A">
        <w:rPr>
          <w:rFonts w:cs="Arial" w:hint="cs"/>
          <w:u w:val="single"/>
          <w:rtl/>
        </w:rPr>
        <w:t xml:space="preserve"> ולקח חתיכה </w:t>
      </w:r>
      <w:r w:rsidRPr="0024187A">
        <w:rPr>
          <w:rFonts w:cs="Arial" w:hint="cs"/>
          <w:b/>
          <w:bCs/>
          <w:u w:val="single"/>
          <w:rtl/>
        </w:rPr>
        <w:t>שאינה</w:t>
      </w:r>
      <w:r w:rsidRPr="0024187A">
        <w:rPr>
          <w:rFonts w:cs="Arial" w:hint="cs"/>
          <w:u w:val="single"/>
          <w:rtl/>
        </w:rPr>
        <w:t xml:space="preserve"> ראויה להתכבד </w:t>
      </w:r>
      <w:r w:rsidRPr="0024187A">
        <w:rPr>
          <w:rFonts w:cs="Arial"/>
          <w:u w:val="single"/>
          <w:rtl/>
        </w:rPr>
        <w:t>ואינו יודע מאי ז</w:t>
      </w:r>
      <w:r>
        <w:rPr>
          <w:rFonts w:cs="Arial" w:hint="cs"/>
          <w:u w:val="single"/>
          <w:rtl/>
        </w:rPr>
        <w:t>ו</w:t>
      </w:r>
      <w:r w:rsidRPr="0024187A">
        <w:rPr>
          <w:rFonts w:cs="Arial"/>
          <w:u w:val="single"/>
          <w:rtl/>
        </w:rPr>
        <w:t xml:space="preserve"> מהם לקח</w:t>
      </w:r>
      <w:r w:rsidRPr="0024187A">
        <w:rPr>
          <w:rFonts w:cs="Arial" w:hint="cs"/>
          <w:u w:val="single"/>
          <w:rtl/>
        </w:rPr>
        <w:t>:</w:t>
      </w:r>
    </w:p>
    <w:p w14:paraId="69F1051D" w14:textId="77777777" w:rsidR="002C39F4" w:rsidRDefault="002C39F4" w:rsidP="0032102C">
      <w:pPr>
        <w:pStyle w:val="a8"/>
        <w:numPr>
          <w:ilvl w:val="0"/>
          <w:numId w:val="249"/>
        </w:numPr>
      </w:pPr>
      <w:r w:rsidRPr="0024187A">
        <w:rPr>
          <w:rFonts w:cs="Arial"/>
          <w:rtl/>
        </w:rPr>
        <w:t xml:space="preserve">רשב"א </w:t>
      </w:r>
      <w:r w:rsidRPr="0024187A">
        <w:rPr>
          <w:rFonts w:cs="Arial" w:hint="cs"/>
          <w:sz w:val="16"/>
          <w:szCs w:val="16"/>
          <w:rtl/>
        </w:rPr>
        <w:t xml:space="preserve">(תוה"א </w:t>
      </w:r>
      <w:r w:rsidRPr="0024187A">
        <w:rPr>
          <w:rFonts w:cs="Arial"/>
          <w:sz w:val="16"/>
          <w:szCs w:val="16"/>
          <w:rtl/>
        </w:rPr>
        <w:t>ב"ד ש"ב כט:)</w:t>
      </w:r>
      <w:r w:rsidRPr="0024187A">
        <w:rPr>
          <w:rFonts w:cs="Arial" w:hint="cs"/>
          <w:sz w:val="16"/>
          <w:szCs w:val="16"/>
          <w:rtl/>
        </w:rPr>
        <w:t xml:space="preserve"> </w:t>
      </w:r>
      <w:r w:rsidRPr="0024187A">
        <w:rPr>
          <w:rFonts w:cs="Arial" w:hint="cs"/>
          <w:rtl/>
        </w:rPr>
        <w:t xml:space="preserve">וטור- </w:t>
      </w:r>
      <w:r w:rsidRPr="0024187A">
        <w:rPr>
          <w:rFonts w:cs="Arial"/>
          <w:rtl/>
        </w:rPr>
        <w:t>כיון שיש שם חנות אחת ידועה וניכרת שמוכרת בשר נבלה הרי אין הנבלה בטלה ברוב</w:t>
      </w:r>
      <w:r>
        <w:rPr>
          <w:rFonts w:cs="Arial" w:hint="cs"/>
          <w:rtl/>
        </w:rPr>
        <w:t>,</w:t>
      </w:r>
      <w:r w:rsidRPr="0024187A">
        <w:rPr>
          <w:rFonts w:cs="Arial"/>
          <w:rtl/>
        </w:rPr>
        <w:t xml:space="preserve"> ואע</w:t>
      </w:r>
      <w:r w:rsidRPr="0024187A">
        <w:rPr>
          <w:rFonts w:cs="Arial" w:hint="cs"/>
          <w:rtl/>
        </w:rPr>
        <w:t>"</w:t>
      </w:r>
      <w:r w:rsidRPr="0024187A">
        <w:rPr>
          <w:rFonts w:cs="Arial"/>
          <w:rtl/>
        </w:rPr>
        <w:t>פ שאין שם חתיכה הראויה להתכבד</w:t>
      </w:r>
      <w:r>
        <w:rPr>
          <w:rFonts w:cs="Arial" w:hint="cs"/>
          <w:rtl/>
        </w:rPr>
        <w:t>,</w:t>
      </w:r>
      <w:r w:rsidRPr="0024187A">
        <w:rPr>
          <w:rFonts w:cs="Arial"/>
          <w:rtl/>
        </w:rPr>
        <w:t xml:space="preserve"> משום שכל איסור שניכר ונודע מקומו והרי הוא קבוע בתוך ההיתר אינו בטל</w:t>
      </w:r>
      <w:r w:rsidRPr="0024187A">
        <w:rPr>
          <w:rFonts w:cs="Arial" w:hint="cs"/>
          <w:sz w:val="16"/>
          <w:szCs w:val="16"/>
          <w:rtl/>
        </w:rPr>
        <w:t xml:space="preserve"> (ל' הרשב"א)</w:t>
      </w:r>
      <w:r w:rsidRPr="0024187A">
        <w:rPr>
          <w:rFonts w:cs="Arial" w:hint="cs"/>
          <w:rtl/>
        </w:rPr>
        <w:t>.</w:t>
      </w:r>
    </w:p>
    <w:p w14:paraId="5E5E1222" w14:textId="77777777" w:rsidR="002C39F4" w:rsidRPr="00F047F6" w:rsidRDefault="002C39F4" w:rsidP="002C39F4">
      <w:pPr>
        <w:rPr>
          <w:rFonts w:cs="Arial"/>
          <w:rtl/>
        </w:rPr>
      </w:pPr>
      <w:r>
        <w:rPr>
          <w:rFonts w:cs="Arial" w:hint="cs"/>
          <w:u w:val="single"/>
          <w:rtl/>
        </w:rPr>
        <w:t xml:space="preserve">מצא בשר ביד גוי או מושלך בשוק או שמונח לפני החנויות ויש שם </w:t>
      </w:r>
      <w:r w:rsidRPr="0024187A">
        <w:rPr>
          <w:rFonts w:cs="Arial" w:hint="cs"/>
          <w:u w:val="single"/>
          <w:rtl/>
        </w:rPr>
        <w:t>ט' חנויות של בשר כשר וא' של בשר נבלה</w:t>
      </w:r>
      <w:r>
        <w:rPr>
          <w:rFonts w:cs="Arial" w:hint="cs"/>
          <w:u w:val="single"/>
          <w:rtl/>
        </w:rPr>
        <w:t>:</w:t>
      </w:r>
    </w:p>
    <w:p w14:paraId="59EA9212" w14:textId="77777777" w:rsidR="002C39F4" w:rsidRDefault="002C39F4" w:rsidP="0032102C">
      <w:pPr>
        <w:pStyle w:val="a8"/>
        <w:numPr>
          <w:ilvl w:val="0"/>
          <w:numId w:val="251"/>
        </w:numPr>
      </w:pPr>
      <w:r w:rsidRPr="0024187A">
        <w:rPr>
          <w:rFonts w:cs="Arial"/>
          <w:rtl/>
        </w:rPr>
        <w:t xml:space="preserve">רשב"א </w:t>
      </w:r>
      <w:r w:rsidRPr="0024187A">
        <w:rPr>
          <w:rFonts w:cs="Arial" w:hint="cs"/>
          <w:sz w:val="16"/>
          <w:szCs w:val="16"/>
          <w:rtl/>
        </w:rPr>
        <w:t>(</w:t>
      </w:r>
      <w:r>
        <w:rPr>
          <w:rFonts w:cs="Arial" w:hint="cs"/>
          <w:sz w:val="16"/>
          <w:szCs w:val="16"/>
          <w:rtl/>
        </w:rPr>
        <w:t>שם</w:t>
      </w:r>
      <w:r w:rsidRPr="008212F9">
        <w:rPr>
          <w:rFonts w:cs="Arial"/>
          <w:sz w:val="16"/>
          <w:szCs w:val="16"/>
          <w:rtl/>
        </w:rPr>
        <w:t xml:space="preserve"> </w:t>
      </w:r>
      <w:r>
        <w:rPr>
          <w:rFonts w:cs="Arial" w:hint="cs"/>
          <w:sz w:val="16"/>
          <w:szCs w:val="16"/>
          <w:rtl/>
        </w:rPr>
        <w:t>ובקצר</w:t>
      </w:r>
      <w:r w:rsidRPr="00F047F6">
        <w:rPr>
          <w:rFonts w:cs="Arial"/>
          <w:sz w:val="16"/>
          <w:szCs w:val="16"/>
          <w:rtl/>
        </w:rPr>
        <w:t xml:space="preserve"> ב"ד ש"ב כט:</w:t>
      </w:r>
      <w:r w:rsidRPr="0024187A">
        <w:rPr>
          <w:rFonts w:cs="Arial"/>
          <w:sz w:val="16"/>
          <w:szCs w:val="16"/>
          <w:rtl/>
        </w:rPr>
        <w:t>)</w:t>
      </w:r>
      <w:r w:rsidRPr="0024187A">
        <w:rPr>
          <w:rFonts w:cs="Arial" w:hint="cs"/>
          <w:sz w:val="16"/>
          <w:szCs w:val="16"/>
          <w:rtl/>
        </w:rPr>
        <w:t xml:space="preserve"> </w:t>
      </w:r>
      <w:r w:rsidRPr="0024187A">
        <w:rPr>
          <w:rFonts w:cs="Arial" w:hint="cs"/>
          <w:rtl/>
        </w:rPr>
        <w:t>ו</w:t>
      </w:r>
      <w:r w:rsidRPr="00FA0138">
        <w:rPr>
          <w:rFonts w:cs="Arial" w:hint="cs"/>
          <w:rtl/>
        </w:rPr>
        <w:t xml:space="preserve">טור- </w:t>
      </w:r>
      <w:r w:rsidRPr="005C08DD">
        <w:rPr>
          <w:rFonts w:cs="Arial"/>
          <w:rtl/>
        </w:rPr>
        <w:t>בשר הנמצא לפני חנ</w:t>
      </w:r>
      <w:r>
        <w:rPr>
          <w:rFonts w:cs="Arial" w:hint="cs"/>
          <w:rtl/>
        </w:rPr>
        <w:t>ו</w:t>
      </w:r>
      <w:r w:rsidRPr="005C08DD">
        <w:rPr>
          <w:rFonts w:cs="Arial"/>
          <w:rtl/>
        </w:rPr>
        <w:t xml:space="preserve">יות מותר אפילו בחתיכה הראויה להתכבד דכיון שלא פירש בפנינו לא נולד הספק במקום הקביעות ולכך אנו תולין אותו ברוב </w:t>
      </w:r>
      <w:r w:rsidRPr="008212F9">
        <w:rPr>
          <w:rFonts w:cs="Arial" w:hint="cs"/>
          <w:sz w:val="16"/>
          <w:szCs w:val="16"/>
          <w:rtl/>
        </w:rPr>
        <w:t>(</w:t>
      </w:r>
      <w:r w:rsidRPr="008212F9">
        <w:rPr>
          <w:rFonts w:cs="Arial"/>
          <w:sz w:val="16"/>
          <w:szCs w:val="16"/>
          <w:rtl/>
        </w:rPr>
        <w:t>אבל אם פירש לפנינו הוי כאילו היא עדיין במקום הקביעות ואסור</w:t>
      </w:r>
      <w:r>
        <w:rPr>
          <w:rFonts w:cs="Arial" w:hint="cs"/>
          <w:sz w:val="16"/>
          <w:szCs w:val="16"/>
          <w:rtl/>
        </w:rPr>
        <w:t>)</w:t>
      </w:r>
      <w:r>
        <w:rPr>
          <w:rFonts w:cs="Arial" w:hint="cs"/>
          <w:rtl/>
        </w:rPr>
        <w:t>...</w:t>
      </w:r>
      <w:r w:rsidRPr="005C08DD">
        <w:rPr>
          <w:rFonts w:cs="Arial"/>
          <w:rtl/>
        </w:rPr>
        <w:t xml:space="preserve"> לפיכך מצא בשר ביד </w:t>
      </w:r>
      <w:r>
        <w:rPr>
          <w:rFonts w:cs="Arial" w:hint="cs"/>
          <w:rtl/>
        </w:rPr>
        <w:t>גוי</w:t>
      </w:r>
      <w:r w:rsidRPr="005C08DD">
        <w:rPr>
          <w:rFonts w:cs="Arial"/>
          <w:rtl/>
        </w:rPr>
        <w:t xml:space="preserve"> אע</w:t>
      </w:r>
      <w:r>
        <w:rPr>
          <w:rFonts w:cs="Arial" w:hint="cs"/>
          <w:rtl/>
        </w:rPr>
        <w:t>"</w:t>
      </w:r>
      <w:r w:rsidRPr="005C08DD">
        <w:rPr>
          <w:rFonts w:cs="Arial"/>
          <w:rtl/>
        </w:rPr>
        <w:t>פ שהדבר ידוע שאין לוקחין בשר אלא מאותם מקולין והוא אינו יודע מאיזה לקח מותר דלאחר שפירש נולד בו הספק</w:t>
      </w:r>
      <w:r>
        <w:rPr>
          <w:rFonts w:cs="Arial" w:hint="cs"/>
          <w:rtl/>
        </w:rPr>
        <w:t>,</w:t>
      </w:r>
      <w:r w:rsidRPr="005C08DD">
        <w:rPr>
          <w:rFonts w:cs="Arial"/>
          <w:rtl/>
        </w:rPr>
        <w:t xml:space="preserve"> בד"א שלא ראו אותו יוצא מן המקולין אבל ראו אותו יוצא מן המקולין באותה שעה נולד הספק ונמצא שבמקום הקביעות נולד הספק ואסור</w:t>
      </w:r>
      <w:r>
        <w:rPr>
          <w:rStyle w:val="a7"/>
          <w:rFonts w:cs="Arial"/>
          <w:rtl/>
        </w:rPr>
        <w:footnoteReference w:id="2453"/>
      </w:r>
      <w:r>
        <w:rPr>
          <w:rFonts w:cs="Arial" w:hint="cs"/>
          <w:sz w:val="16"/>
          <w:szCs w:val="16"/>
          <w:rtl/>
        </w:rPr>
        <w:t xml:space="preserve"> (ל' הטור)</w:t>
      </w:r>
      <w:r>
        <w:rPr>
          <w:rStyle w:val="a7"/>
          <w:rFonts w:cs="Arial"/>
          <w:rtl/>
        </w:rPr>
        <w:footnoteReference w:id="2454"/>
      </w:r>
      <w:r w:rsidRPr="008212F9">
        <w:rPr>
          <w:rFonts w:cs="Arial" w:hint="cs"/>
          <w:rtl/>
        </w:rPr>
        <w:t>.</w:t>
      </w:r>
    </w:p>
    <w:p w14:paraId="16F28FB6" w14:textId="77777777" w:rsidR="002C39F4" w:rsidRDefault="002C39F4" w:rsidP="0032102C">
      <w:pPr>
        <w:pStyle w:val="a8"/>
        <w:numPr>
          <w:ilvl w:val="0"/>
          <w:numId w:val="251"/>
        </w:numPr>
        <w:rPr>
          <w:rFonts w:cs="Arial"/>
        </w:rPr>
      </w:pPr>
      <w:r w:rsidRPr="0068586A">
        <w:rPr>
          <w:rFonts w:cs="Arial"/>
          <w:rtl/>
        </w:rPr>
        <w:t xml:space="preserve">רמב"ם </w:t>
      </w:r>
      <w:r w:rsidRPr="0068586A">
        <w:rPr>
          <w:rFonts w:cs="Arial" w:hint="cs"/>
          <w:sz w:val="16"/>
          <w:szCs w:val="16"/>
          <w:rtl/>
        </w:rPr>
        <w:t>(</w:t>
      </w:r>
      <w:r w:rsidRPr="0068586A">
        <w:rPr>
          <w:rFonts w:cs="Arial"/>
          <w:sz w:val="16"/>
          <w:szCs w:val="16"/>
          <w:rtl/>
        </w:rPr>
        <w:t>פ"ח</w:t>
      </w:r>
      <w:r w:rsidRPr="0068586A">
        <w:rPr>
          <w:rFonts w:cs="Arial" w:hint="cs"/>
          <w:sz w:val="16"/>
          <w:szCs w:val="16"/>
          <w:rtl/>
        </w:rPr>
        <w:t xml:space="preserve"> </w:t>
      </w:r>
      <w:r w:rsidRPr="0068586A">
        <w:rPr>
          <w:rFonts w:cs="Arial"/>
          <w:sz w:val="16"/>
          <w:szCs w:val="16"/>
          <w:rtl/>
        </w:rPr>
        <w:t>הי"</w:t>
      </w:r>
      <w:r>
        <w:rPr>
          <w:rFonts w:cs="Arial" w:hint="cs"/>
          <w:sz w:val="16"/>
          <w:szCs w:val="16"/>
          <w:rtl/>
        </w:rPr>
        <w:t>א-יב</w:t>
      </w:r>
      <w:r w:rsidRPr="0068586A">
        <w:rPr>
          <w:rFonts w:cs="Arial"/>
          <w:sz w:val="16"/>
          <w:szCs w:val="16"/>
          <w:rtl/>
        </w:rPr>
        <w:t>)</w:t>
      </w:r>
      <w:r w:rsidRPr="0068586A">
        <w:rPr>
          <w:rFonts w:cs="Arial" w:hint="cs"/>
          <w:rtl/>
        </w:rPr>
        <w:t>-</w:t>
      </w:r>
      <w:r w:rsidRPr="0068586A">
        <w:rPr>
          <w:rFonts w:cs="Arial"/>
          <w:rtl/>
        </w:rPr>
        <w:t xml:space="preserve"> </w:t>
      </w:r>
      <w:r w:rsidRPr="005C08DD">
        <w:rPr>
          <w:rFonts w:cs="Arial"/>
          <w:rtl/>
        </w:rPr>
        <w:t>בשר הנמצא מושלך בשוק הלך אחר הרוב דכל דפריש מרובא פריש, אם היו רוב המוכרים עכו"ם אסור, ואם היו רוב המוכרים ישראל מותר. וכן בשר הנמצא ביד עכו"ם ואינו ידוע ממי לקח אם היו מוכרי הבשר ישראל מותר, זה הוא דין תורה, וכבר אסרו חכמים כל הבשר הנמצא בין בשוק בין ביד עכו"ם אע</w:t>
      </w:r>
      <w:r>
        <w:rPr>
          <w:rFonts w:cs="Arial" w:hint="cs"/>
          <w:rtl/>
        </w:rPr>
        <w:t>"</w:t>
      </w:r>
      <w:r w:rsidRPr="005C08DD">
        <w:rPr>
          <w:rFonts w:cs="Arial"/>
          <w:rtl/>
        </w:rPr>
        <w:t>פ שכל השוחטין וכל המוכרין ישראל</w:t>
      </w:r>
      <w:r>
        <w:rPr>
          <w:rStyle w:val="a7"/>
          <w:rFonts w:cs="Arial"/>
          <w:rtl/>
        </w:rPr>
        <w:footnoteReference w:id="2455"/>
      </w:r>
      <w:r w:rsidRPr="005C08DD">
        <w:rPr>
          <w:rFonts w:cs="Arial" w:hint="cs"/>
          <w:rtl/>
        </w:rPr>
        <w:t>.</w:t>
      </w:r>
      <w:r>
        <w:rPr>
          <w:rFonts w:cs="Arial" w:hint="cs"/>
          <w:rtl/>
        </w:rPr>
        <w:t xml:space="preserve"> </w:t>
      </w:r>
      <w:r w:rsidRPr="008212F9">
        <w:rPr>
          <w:rFonts w:cs="Arial" w:hint="cs"/>
          <w:color w:val="E36C0A" w:themeColor="accent6" w:themeShade="BF"/>
          <w:rtl/>
        </w:rPr>
        <w:t>(וכ"פ בשו"ע)</w:t>
      </w:r>
    </w:p>
    <w:p w14:paraId="7280046B" w14:textId="77777777" w:rsidR="002C39F4" w:rsidRPr="00FA0138" w:rsidRDefault="002C39F4" w:rsidP="002C39F4">
      <w:pPr>
        <w:rPr>
          <w:u w:val="single"/>
        </w:rPr>
      </w:pPr>
      <w:r>
        <w:rPr>
          <w:rFonts w:hint="cs"/>
          <w:u w:val="single"/>
          <w:rtl/>
        </w:rPr>
        <w:t>איסור</w:t>
      </w:r>
      <w:r w:rsidRPr="00FA0138">
        <w:rPr>
          <w:rFonts w:hint="cs"/>
          <w:u w:val="single"/>
          <w:rtl/>
        </w:rPr>
        <w:t xml:space="preserve"> חשוב שנתערב </w:t>
      </w:r>
      <w:r>
        <w:rPr>
          <w:rFonts w:hint="cs"/>
          <w:u w:val="single"/>
          <w:rtl/>
        </w:rPr>
        <w:t>ב</w:t>
      </w:r>
      <w:r w:rsidRPr="00FA0138">
        <w:rPr>
          <w:rFonts w:hint="cs"/>
          <w:u w:val="single"/>
          <w:rtl/>
        </w:rPr>
        <w:t xml:space="preserve">רוב היתר </w:t>
      </w:r>
      <w:r w:rsidRPr="00FA0138">
        <w:rPr>
          <w:u w:val="single"/>
          <w:rtl/>
        </w:rPr>
        <w:t>–</w:t>
      </w:r>
      <w:r w:rsidRPr="00FA0138">
        <w:rPr>
          <w:rFonts w:hint="cs"/>
          <w:u w:val="single"/>
          <w:rtl/>
        </w:rPr>
        <w:t xml:space="preserve"> מה הדין אם פירש אח</w:t>
      </w:r>
      <w:r>
        <w:rPr>
          <w:rFonts w:hint="cs"/>
          <w:u w:val="single"/>
          <w:rtl/>
        </w:rPr>
        <w:t>ד</w:t>
      </w:r>
      <w:r w:rsidRPr="00FA0138">
        <w:rPr>
          <w:rFonts w:hint="cs"/>
          <w:u w:val="single"/>
          <w:rtl/>
        </w:rPr>
        <w:t xml:space="preserve"> מהתערובת:</w:t>
      </w:r>
    </w:p>
    <w:p w14:paraId="34366BC4" w14:textId="77777777" w:rsidR="002C39F4" w:rsidRPr="0024187A" w:rsidRDefault="002C39F4" w:rsidP="0032102C">
      <w:pPr>
        <w:pStyle w:val="a8"/>
        <w:numPr>
          <w:ilvl w:val="0"/>
          <w:numId w:val="249"/>
        </w:numPr>
      </w:pPr>
      <w:r w:rsidRPr="0024187A">
        <w:rPr>
          <w:rFonts w:cs="Arial" w:hint="cs"/>
          <w:rtl/>
        </w:rPr>
        <w:t>ר"י</w:t>
      </w:r>
      <w:r>
        <w:rPr>
          <w:rFonts w:cs="Arial" w:hint="cs"/>
          <w:rtl/>
        </w:rPr>
        <w:t xml:space="preserve"> </w:t>
      </w:r>
      <w:r>
        <w:rPr>
          <w:rFonts w:cs="Arial" w:hint="cs"/>
          <w:sz w:val="16"/>
          <w:szCs w:val="16"/>
          <w:rtl/>
        </w:rPr>
        <w:t xml:space="preserve">(כ"כ הב"י בשמו) </w:t>
      </w:r>
      <w:r>
        <w:rPr>
          <w:rFonts w:cs="Arial" w:hint="cs"/>
          <w:rtl/>
        </w:rPr>
        <w:t>וטור</w:t>
      </w:r>
      <w:r>
        <w:rPr>
          <w:rStyle w:val="a7"/>
          <w:rFonts w:cs="Arial"/>
          <w:rtl/>
        </w:rPr>
        <w:footnoteReference w:id="2456"/>
      </w:r>
      <w:r w:rsidRPr="0024187A">
        <w:rPr>
          <w:rFonts w:cs="Arial" w:hint="cs"/>
          <w:rtl/>
        </w:rPr>
        <w:t xml:space="preserve">- </w:t>
      </w:r>
      <w:r w:rsidRPr="0024187A">
        <w:rPr>
          <w:rFonts w:cs="Arial"/>
          <w:rtl/>
        </w:rPr>
        <w:t xml:space="preserve">דבר חשוב אינו בטל </w:t>
      </w:r>
      <w:r>
        <w:rPr>
          <w:rFonts w:cs="Arial" w:hint="cs"/>
          <w:rtl/>
        </w:rPr>
        <w:t>ו</w:t>
      </w:r>
      <w:r w:rsidRPr="0024187A">
        <w:rPr>
          <w:rFonts w:cs="Arial"/>
          <w:rtl/>
        </w:rPr>
        <w:t>אפילו אם פירש אחד מהן מהתערובות אסור ולא אמרינן מרובא פריש</w:t>
      </w:r>
      <w:r>
        <w:rPr>
          <w:rFonts w:cs="Arial" w:hint="cs"/>
          <w:sz w:val="16"/>
          <w:szCs w:val="16"/>
          <w:rtl/>
        </w:rPr>
        <w:t xml:space="preserve"> (ל' הטור)</w:t>
      </w:r>
      <w:r>
        <w:rPr>
          <w:rFonts w:cs="Arial" w:hint="cs"/>
          <w:rtl/>
        </w:rPr>
        <w:t>.</w:t>
      </w:r>
      <w:r w:rsidRPr="0024187A">
        <w:rPr>
          <w:rFonts w:cs="Arial"/>
          <w:rtl/>
        </w:rPr>
        <w:t xml:space="preserve"> </w:t>
      </w:r>
    </w:p>
    <w:p w14:paraId="26D11173" w14:textId="77777777" w:rsidR="002C39F4" w:rsidRDefault="002C39F4" w:rsidP="0032102C">
      <w:pPr>
        <w:pStyle w:val="a8"/>
        <w:numPr>
          <w:ilvl w:val="0"/>
          <w:numId w:val="249"/>
        </w:numPr>
      </w:pPr>
      <w:r w:rsidRPr="0024187A">
        <w:rPr>
          <w:rFonts w:cs="Arial"/>
          <w:rtl/>
        </w:rPr>
        <w:t>ר"ת</w:t>
      </w:r>
      <w:r>
        <w:rPr>
          <w:rFonts w:cs="Arial" w:hint="cs"/>
          <w:rtl/>
        </w:rPr>
        <w:t xml:space="preserve"> </w:t>
      </w:r>
      <w:r>
        <w:rPr>
          <w:rFonts w:cs="Arial" w:hint="cs"/>
          <w:sz w:val="16"/>
          <w:szCs w:val="16"/>
          <w:rtl/>
        </w:rPr>
        <w:t>(כ"כ הרשב"א</w:t>
      </w:r>
      <w:r>
        <w:rPr>
          <w:rFonts w:cs="Arial" w:hint="cs"/>
          <w:sz w:val="14"/>
          <w:szCs w:val="14"/>
          <w:rtl/>
        </w:rPr>
        <w:t xml:space="preserve"> </w:t>
      </w:r>
      <w:r>
        <w:rPr>
          <w:rFonts w:cs="Arial" w:hint="cs"/>
          <w:sz w:val="16"/>
          <w:szCs w:val="16"/>
          <w:rtl/>
        </w:rPr>
        <w:t>והב"י בשמו)</w:t>
      </w:r>
      <w:r>
        <w:rPr>
          <w:rFonts w:cs="Arial" w:hint="cs"/>
          <w:rtl/>
        </w:rPr>
        <w:t xml:space="preserve"> ורשב"א</w:t>
      </w:r>
      <w:r w:rsidRPr="00F95BC5">
        <w:rPr>
          <w:rFonts w:cs="Arial" w:hint="cs"/>
          <w:sz w:val="16"/>
          <w:szCs w:val="16"/>
          <w:rtl/>
        </w:rPr>
        <w:t xml:space="preserve"> </w:t>
      </w:r>
      <w:r>
        <w:rPr>
          <w:rFonts w:cs="Arial" w:hint="cs"/>
          <w:sz w:val="16"/>
          <w:szCs w:val="16"/>
          <w:rtl/>
        </w:rPr>
        <w:t>(</w:t>
      </w:r>
      <w:r w:rsidRPr="00F95BC5">
        <w:rPr>
          <w:rFonts w:cs="Arial" w:hint="cs"/>
          <w:sz w:val="16"/>
          <w:szCs w:val="16"/>
          <w:rtl/>
        </w:rPr>
        <w:t>תוה"א ב"ד ש"ב ל.</w:t>
      </w:r>
      <w:r>
        <w:rPr>
          <w:rFonts w:cs="Arial" w:hint="cs"/>
          <w:sz w:val="16"/>
          <w:szCs w:val="16"/>
          <w:rtl/>
        </w:rPr>
        <w:t>)</w:t>
      </w:r>
      <w:r w:rsidRPr="00F95BC5">
        <w:rPr>
          <w:rFonts w:cs="Arial" w:hint="cs"/>
          <w:rtl/>
        </w:rPr>
        <w:t xml:space="preserve">- </w:t>
      </w:r>
      <w:r w:rsidRPr="00F95BC5">
        <w:rPr>
          <w:rFonts w:cs="Arial"/>
          <w:rtl/>
        </w:rPr>
        <w:t>כשפירש שלא בפנינו או שנתפזרו כולן ואפילו בפנינו כבר נתבטלה הקביעות ומותר</w:t>
      </w:r>
      <w:r>
        <w:rPr>
          <w:rFonts w:cs="Arial" w:hint="cs"/>
          <w:rtl/>
        </w:rPr>
        <w:t xml:space="preserve">... </w:t>
      </w:r>
      <w:r w:rsidRPr="00F95BC5">
        <w:rPr>
          <w:rFonts w:cs="Arial"/>
          <w:rtl/>
        </w:rPr>
        <w:t>דכל שפירש מעצמו מותר</w:t>
      </w:r>
      <w:r>
        <w:rPr>
          <w:rStyle w:val="a7"/>
          <w:rFonts w:cs="Arial"/>
          <w:rtl/>
        </w:rPr>
        <w:footnoteReference w:id="2457"/>
      </w:r>
      <w:r>
        <w:rPr>
          <w:rFonts w:cs="Arial" w:hint="cs"/>
          <w:rtl/>
        </w:rPr>
        <w:t>.</w:t>
      </w:r>
    </w:p>
    <w:p w14:paraId="3D973B0D" w14:textId="77777777" w:rsidR="002C39F4" w:rsidRDefault="002C39F4" w:rsidP="002C39F4">
      <w:pPr>
        <w:rPr>
          <w:rFonts w:cs="Arial"/>
          <w:sz w:val="16"/>
          <w:szCs w:val="16"/>
          <w:rtl/>
        </w:rPr>
      </w:pPr>
      <w:r w:rsidRPr="003346A4">
        <w:rPr>
          <w:rFonts w:cs="Arial" w:hint="cs"/>
          <w:u w:val="single"/>
          <w:rtl/>
        </w:rPr>
        <w:t>עשר חנויות ש</w:t>
      </w:r>
      <w:r>
        <w:rPr>
          <w:rFonts w:cs="Arial" w:hint="cs"/>
          <w:u w:val="single"/>
          <w:rtl/>
        </w:rPr>
        <w:t>מוכר</w:t>
      </w:r>
      <w:r w:rsidRPr="003346A4">
        <w:rPr>
          <w:rFonts w:cs="Arial" w:hint="cs"/>
          <w:u w:val="single"/>
          <w:rtl/>
        </w:rPr>
        <w:t xml:space="preserve">ות בשר כשר ולקח מאחת מהן </w:t>
      </w:r>
      <w:r>
        <w:rPr>
          <w:rFonts w:cs="Arial" w:hint="cs"/>
          <w:sz w:val="16"/>
          <w:szCs w:val="16"/>
          <w:u w:val="single"/>
          <w:rtl/>
        </w:rPr>
        <w:t>(ואינו יודע מאיזו)</w:t>
      </w:r>
      <w:r>
        <w:rPr>
          <w:rFonts w:cs="Arial" w:hint="cs"/>
          <w:u w:val="single"/>
          <w:rtl/>
        </w:rPr>
        <w:t xml:space="preserve"> </w:t>
      </w:r>
      <w:r w:rsidRPr="003346A4">
        <w:rPr>
          <w:rFonts w:cs="Arial" w:hint="cs"/>
          <w:u w:val="single"/>
          <w:rtl/>
        </w:rPr>
        <w:t>ועתה נתברר שאחת מהן מוכרת נבל</w:t>
      </w:r>
      <w:r>
        <w:rPr>
          <w:rFonts w:cs="Arial" w:hint="cs"/>
          <w:u w:val="single"/>
          <w:rtl/>
        </w:rPr>
        <w:t>ות</w:t>
      </w:r>
      <w:r w:rsidRPr="003346A4">
        <w:rPr>
          <w:rFonts w:cs="Arial" w:hint="cs"/>
          <w:u w:val="single"/>
          <w:rtl/>
        </w:rPr>
        <w:t>:</w:t>
      </w:r>
      <w:r>
        <w:rPr>
          <w:rFonts w:cs="Arial" w:hint="cs"/>
          <w:sz w:val="16"/>
          <w:szCs w:val="16"/>
          <w:rtl/>
        </w:rPr>
        <w:t xml:space="preserve">  (ש"ך סקי"ד)</w:t>
      </w:r>
    </w:p>
    <w:p w14:paraId="6DC12621" w14:textId="77777777" w:rsidR="002C39F4" w:rsidRDefault="002C39F4" w:rsidP="0032102C">
      <w:pPr>
        <w:pStyle w:val="a8"/>
        <w:numPr>
          <w:ilvl w:val="0"/>
          <w:numId w:val="251"/>
        </w:numPr>
        <w:rPr>
          <w:rFonts w:cs="Arial"/>
        </w:rPr>
      </w:pPr>
      <w:r w:rsidRPr="003346A4">
        <w:rPr>
          <w:rFonts w:cs="Arial"/>
          <w:rtl/>
        </w:rPr>
        <w:t xml:space="preserve">רא"ה </w:t>
      </w:r>
      <w:r w:rsidRPr="003346A4">
        <w:rPr>
          <w:rFonts w:cs="Arial" w:hint="cs"/>
          <w:sz w:val="16"/>
          <w:szCs w:val="16"/>
          <w:rtl/>
        </w:rPr>
        <w:t>(בדה"ב ב"ד ש"ב כט:)</w:t>
      </w:r>
      <w:r>
        <w:rPr>
          <w:rFonts w:cs="Arial" w:hint="cs"/>
          <w:rtl/>
        </w:rPr>
        <w:t xml:space="preserve">- </w:t>
      </w:r>
      <w:r w:rsidRPr="003346A4">
        <w:rPr>
          <w:rFonts w:cs="Arial"/>
          <w:rtl/>
        </w:rPr>
        <w:t>אם היו בעיר עשר חנויות מוחזקות לנו כולן בבשר שחוטה ולקח מאחת מהן ואינו יודע מאיזו היא ואח"כ נתברר לנו שא' מחנויות אלו בשר נבילה</w:t>
      </w:r>
      <w:r>
        <w:rPr>
          <w:rFonts w:cs="Arial" w:hint="cs"/>
          <w:rtl/>
        </w:rPr>
        <w:t xml:space="preserve"> -</w:t>
      </w:r>
      <w:r w:rsidRPr="003346A4">
        <w:rPr>
          <w:rFonts w:cs="Arial"/>
          <w:rtl/>
        </w:rPr>
        <w:t xml:space="preserve"> אסור</w:t>
      </w:r>
      <w:r>
        <w:rPr>
          <w:rFonts w:cs="Arial" w:hint="cs"/>
          <w:rtl/>
        </w:rPr>
        <w:t>,</w:t>
      </w:r>
      <w:r w:rsidRPr="003346A4">
        <w:rPr>
          <w:rFonts w:cs="Arial"/>
          <w:rtl/>
        </w:rPr>
        <w:t xml:space="preserve"> דלא דמי לפירש שאין תולדות הספק מצד עצמה אלא מצד ברירת החנויות שנתברר עכשיו שא' מהן אסורה</w:t>
      </w:r>
      <w:r>
        <w:rPr>
          <w:rFonts w:cs="Arial" w:hint="cs"/>
          <w:rtl/>
        </w:rPr>
        <w:t>,</w:t>
      </w:r>
      <w:r w:rsidRPr="003346A4">
        <w:rPr>
          <w:rFonts w:cs="Arial"/>
          <w:rtl/>
        </w:rPr>
        <w:t xml:space="preserve"> ומתוך כך נולד בה ספק על אותה שעה שהיה פירשה בידי הלוקח מהן</w:t>
      </w:r>
      <w:r>
        <w:rPr>
          <w:rFonts w:cs="Arial" w:hint="cs"/>
          <w:rtl/>
        </w:rPr>
        <w:t>,</w:t>
      </w:r>
      <w:r w:rsidRPr="003346A4">
        <w:rPr>
          <w:rFonts w:cs="Arial"/>
          <w:rtl/>
        </w:rPr>
        <w:t xml:space="preserve"> ואם כן ספק זה אינו מחודש אלא גילוי מילתא בעלמא הוא שתחלתה היה נעלם ממנו שהיה סבור שכולן מותרות</w:t>
      </w:r>
      <w:r>
        <w:rPr>
          <w:rFonts w:cs="Arial" w:hint="cs"/>
          <w:rtl/>
        </w:rPr>
        <w:t>,</w:t>
      </w:r>
      <w:r w:rsidRPr="003346A4">
        <w:rPr>
          <w:rFonts w:cs="Arial"/>
          <w:rtl/>
        </w:rPr>
        <w:t xml:space="preserve"> וכשנתברר שהיא אסורה איגלאי מילתא למפרע שבשעת מקח חתיכה זו כשפירשה מהן באותה שעה היה ספק שלה</w:t>
      </w:r>
      <w:r>
        <w:rPr>
          <w:rFonts w:cs="Arial" w:hint="cs"/>
          <w:rtl/>
        </w:rPr>
        <w:t>,</w:t>
      </w:r>
      <w:r w:rsidRPr="003346A4">
        <w:rPr>
          <w:rFonts w:cs="Arial"/>
          <w:rtl/>
        </w:rPr>
        <w:t xml:space="preserve"> וזה ברור</w:t>
      </w:r>
      <w:r>
        <w:rPr>
          <w:rStyle w:val="a7"/>
          <w:rFonts w:cs="Arial"/>
          <w:rtl/>
        </w:rPr>
        <w:footnoteReference w:id="2458"/>
      </w:r>
      <w:r>
        <w:rPr>
          <w:rFonts w:cs="Arial" w:hint="cs"/>
          <w:rtl/>
        </w:rPr>
        <w:t>.</w:t>
      </w:r>
      <w:r w:rsidRPr="003346A4">
        <w:rPr>
          <w:rFonts w:cs="Arial"/>
          <w:rtl/>
        </w:rPr>
        <w:t xml:space="preserve"> </w:t>
      </w:r>
    </w:p>
    <w:p w14:paraId="25E0B9F9" w14:textId="77777777" w:rsidR="002C39F4" w:rsidRPr="00827C60" w:rsidRDefault="002C39F4" w:rsidP="0032102C">
      <w:pPr>
        <w:pStyle w:val="a8"/>
        <w:numPr>
          <w:ilvl w:val="0"/>
          <w:numId w:val="251"/>
        </w:numPr>
        <w:rPr>
          <w:rFonts w:cs="Arial"/>
          <w:rtl/>
        </w:rPr>
      </w:pPr>
      <w:r>
        <w:rPr>
          <w:rFonts w:cs="Arial" w:hint="cs"/>
          <w:rtl/>
        </w:rPr>
        <w:t xml:space="preserve">תוס' </w:t>
      </w:r>
      <w:r>
        <w:rPr>
          <w:rFonts w:cs="Arial" w:hint="cs"/>
          <w:sz w:val="16"/>
          <w:szCs w:val="16"/>
          <w:rtl/>
        </w:rPr>
        <w:t>(כ"כ הר"ן בשמם)</w:t>
      </w:r>
      <w:r>
        <w:rPr>
          <w:rFonts w:cs="Arial" w:hint="cs"/>
          <w:rtl/>
        </w:rPr>
        <w:t xml:space="preserve"> ו</w:t>
      </w:r>
      <w:r w:rsidRPr="003346A4">
        <w:rPr>
          <w:rFonts w:cs="Arial"/>
          <w:rtl/>
        </w:rPr>
        <w:t xml:space="preserve">ר"ן </w:t>
      </w:r>
      <w:r>
        <w:rPr>
          <w:rFonts w:cs="Arial" w:hint="cs"/>
          <w:sz w:val="16"/>
          <w:szCs w:val="16"/>
          <w:rtl/>
        </w:rPr>
        <w:t>(חולין לג: ד"ה אמר רב)</w:t>
      </w:r>
      <w:r>
        <w:rPr>
          <w:rFonts w:cs="Arial" w:hint="cs"/>
          <w:rtl/>
        </w:rPr>
        <w:t xml:space="preserve">- </w:t>
      </w:r>
      <w:r w:rsidRPr="003346A4">
        <w:rPr>
          <w:rFonts w:cs="Arial"/>
          <w:rtl/>
        </w:rPr>
        <w:t>קבוע דט' חנויות לא מקרי קבוע אלא כשהיה האיסור נודע קודם שלקח</w:t>
      </w:r>
      <w:r>
        <w:rPr>
          <w:rFonts w:cs="Arial" w:hint="cs"/>
          <w:rtl/>
        </w:rPr>
        <w:t>,</w:t>
      </w:r>
      <w:r w:rsidRPr="003346A4">
        <w:rPr>
          <w:rFonts w:cs="Arial"/>
          <w:rtl/>
        </w:rPr>
        <w:t xml:space="preserve"> אבל אם לא נודע האיסור בשעה שלקח אע</w:t>
      </w:r>
      <w:r>
        <w:rPr>
          <w:rFonts w:cs="Arial" w:hint="cs"/>
          <w:rtl/>
        </w:rPr>
        <w:t>"</w:t>
      </w:r>
      <w:r w:rsidRPr="003346A4">
        <w:rPr>
          <w:rFonts w:cs="Arial"/>
          <w:rtl/>
        </w:rPr>
        <w:t>פ שלאחר שלקח נתגלה האיסור ונעשה קבוע לא אמרינן דלהוי קבוע למפרע</w:t>
      </w:r>
      <w:r>
        <w:rPr>
          <w:rFonts w:cs="Arial" w:hint="cs"/>
          <w:rtl/>
        </w:rPr>
        <w:t>,</w:t>
      </w:r>
      <w:r w:rsidRPr="003346A4">
        <w:rPr>
          <w:rFonts w:cs="Arial"/>
          <w:rtl/>
        </w:rPr>
        <w:t xml:space="preserve"> ונ"מ למי שלקח בשר מן המקולין ואח"כ נודע שהיתה טרפה ביניהם דשרי</w:t>
      </w:r>
      <w:r>
        <w:rPr>
          <w:rFonts w:cs="Arial" w:hint="cs"/>
          <w:rtl/>
        </w:rPr>
        <w:t>,</w:t>
      </w:r>
      <w:r w:rsidRPr="003346A4">
        <w:rPr>
          <w:rFonts w:cs="Arial"/>
          <w:rtl/>
        </w:rPr>
        <w:t xml:space="preserve"> דכיון דבשעה שלקח לא היה קבוע דדין קבוע שיהא כמחצה על מחצה חידוש הוא ואין לך בו אלא משעת חידושו ואילך כלומר משנעשה קבוע אבל למפרע לא</w:t>
      </w:r>
      <w:r>
        <w:rPr>
          <w:rStyle w:val="a7"/>
          <w:rFonts w:cs="Arial"/>
          <w:rtl/>
        </w:rPr>
        <w:footnoteReference w:id="2459"/>
      </w:r>
      <w:r>
        <w:rPr>
          <w:rFonts w:cs="Arial" w:hint="cs"/>
          <w:rtl/>
        </w:rPr>
        <w:t>.</w:t>
      </w:r>
      <w:r w:rsidRPr="003346A4">
        <w:rPr>
          <w:rFonts w:cs="Arial"/>
          <w:rtl/>
        </w:rPr>
        <w:t xml:space="preserve"> </w:t>
      </w:r>
    </w:p>
    <w:p w14:paraId="394B543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9EA4B6D" w14:textId="77777777" w:rsidR="002C39F4" w:rsidRDefault="002C39F4" w:rsidP="002C39F4">
      <w:pPr>
        <w:rPr>
          <w:rFonts w:asciiTheme="minorBidi" w:hAnsiTheme="minorBidi"/>
          <w:rtl/>
        </w:rPr>
      </w:pPr>
      <w:r>
        <w:rPr>
          <w:rFonts w:asciiTheme="minorBidi" w:hAnsiTheme="minorBidi" w:hint="cs"/>
          <w:rtl/>
        </w:rPr>
        <w:t>תשע</w:t>
      </w:r>
      <w:r w:rsidRPr="003024E5">
        <w:rPr>
          <w:rFonts w:asciiTheme="minorBidi" w:hAnsiTheme="minorBidi"/>
          <w:rtl/>
        </w:rPr>
        <w:t xml:space="preserve"> חנויות מוכרות בשר שחוטה ואחת מוכרת בשר נבילה</w:t>
      </w:r>
      <w:r>
        <w:rPr>
          <w:rFonts w:asciiTheme="minorBidi" w:hAnsiTheme="minorBidi" w:hint="cs"/>
          <w:rtl/>
        </w:rPr>
        <w:t>,</w:t>
      </w:r>
      <w:r w:rsidRPr="003024E5">
        <w:rPr>
          <w:rFonts w:asciiTheme="minorBidi" w:hAnsiTheme="minorBidi"/>
          <w:rtl/>
        </w:rPr>
        <w:t xml:space="preserve"> ולקח מאחת מהן ואין ידוע מאיזה מהן לקח</w:t>
      </w:r>
      <w:r>
        <w:rPr>
          <w:rFonts w:asciiTheme="minorBidi" w:hAnsiTheme="minorBidi" w:hint="cs"/>
          <w:rtl/>
        </w:rPr>
        <w:t>,</w:t>
      </w:r>
      <w:r w:rsidRPr="003024E5">
        <w:rPr>
          <w:rFonts w:asciiTheme="minorBidi" w:hAnsiTheme="minorBidi"/>
          <w:rtl/>
        </w:rPr>
        <w:t xml:space="preserve"> הרי זה אסור שכל קבוע כמחצה על מחצה דמי</w:t>
      </w:r>
      <w:r>
        <w:rPr>
          <w:rStyle w:val="a7"/>
          <w:rFonts w:asciiTheme="minorBidi" w:hAnsiTheme="minorBidi"/>
          <w:rtl/>
        </w:rPr>
        <w:footnoteReference w:id="2460"/>
      </w:r>
      <w:r>
        <w:rPr>
          <w:rFonts w:asciiTheme="minorBidi" w:hAnsiTheme="minorBidi" w:hint="cs"/>
          <w:rtl/>
        </w:rPr>
        <w:t>.</w:t>
      </w:r>
      <w:r w:rsidRPr="003024E5">
        <w:rPr>
          <w:rFonts w:asciiTheme="minorBidi" w:hAnsiTheme="minorBidi"/>
          <w:rtl/>
        </w:rPr>
        <w:t xml:space="preserve"> אבל בשר</w:t>
      </w:r>
      <w:r>
        <w:rPr>
          <w:rStyle w:val="a7"/>
          <w:rFonts w:asciiTheme="minorBidi" w:hAnsiTheme="minorBidi"/>
          <w:rtl/>
        </w:rPr>
        <w:footnoteReference w:id="2461"/>
      </w:r>
      <w:r w:rsidRPr="003024E5">
        <w:rPr>
          <w:rFonts w:asciiTheme="minorBidi" w:hAnsiTheme="minorBidi"/>
          <w:rtl/>
        </w:rPr>
        <w:t xml:space="preserve"> הנמצא בשוק או ביד </w:t>
      </w:r>
      <w:r>
        <w:rPr>
          <w:rFonts w:asciiTheme="minorBidi" w:hAnsiTheme="minorBidi" w:hint="cs"/>
          <w:rtl/>
        </w:rPr>
        <w:t>גוי</w:t>
      </w:r>
      <w:r>
        <w:rPr>
          <w:rStyle w:val="a7"/>
          <w:rFonts w:asciiTheme="minorBidi" w:hAnsiTheme="minorBidi"/>
          <w:rtl/>
        </w:rPr>
        <w:footnoteReference w:id="2462"/>
      </w:r>
      <w:r w:rsidRPr="003024E5">
        <w:rPr>
          <w:rFonts w:asciiTheme="minorBidi" w:hAnsiTheme="minorBidi"/>
          <w:rtl/>
        </w:rPr>
        <w:t xml:space="preserve"> מותר כיון שרוב החנויות מוכרות בשר שחוטה דכל דפריש</w:t>
      </w:r>
      <w:r>
        <w:rPr>
          <w:rStyle w:val="a7"/>
          <w:rFonts w:asciiTheme="minorBidi" w:hAnsiTheme="minorBidi"/>
          <w:rtl/>
        </w:rPr>
        <w:footnoteReference w:id="2463"/>
      </w:r>
      <w:r w:rsidRPr="003024E5">
        <w:rPr>
          <w:rFonts w:asciiTheme="minorBidi" w:hAnsiTheme="minorBidi"/>
          <w:rtl/>
        </w:rPr>
        <w:t xml:space="preserve"> מרובא פריש</w:t>
      </w:r>
      <w:r>
        <w:rPr>
          <w:rFonts w:asciiTheme="minorBidi" w:hAnsiTheme="minorBidi" w:hint="cs"/>
          <w:rtl/>
        </w:rPr>
        <w:t>,</w:t>
      </w:r>
      <w:r w:rsidRPr="003024E5">
        <w:rPr>
          <w:rFonts w:asciiTheme="minorBidi" w:hAnsiTheme="minorBidi"/>
          <w:rtl/>
        </w:rPr>
        <w:t xml:space="preserve"> זהו דין תורה, אבל חכמים אסרוהו</w:t>
      </w:r>
      <w:r>
        <w:rPr>
          <w:rStyle w:val="a7"/>
          <w:rFonts w:asciiTheme="minorBidi" w:hAnsiTheme="minorBidi"/>
          <w:rtl/>
        </w:rPr>
        <w:footnoteReference w:id="2464"/>
      </w:r>
      <w:r w:rsidRPr="003024E5">
        <w:rPr>
          <w:rFonts w:asciiTheme="minorBidi" w:hAnsiTheme="minorBidi"/>
          <w:rtl/>
        </w:rPr>
        <w:t xml:space="preserve"> אף על פי שכל השוחטים וכל המוכרים ישראל. </w:t>
      </w:r>
      <w:r w:rsidRPr="004A56B9">
        <w:rPr>
          <w:rFonts w:asciiTheme="minorBidi" w:hAnsiTheme="minorBidi"/>
          <w:sz w:val="18"/>
          <w:szCs w:val="18"/>
          <w:rtl/>
        </w:rPr>
        <w:t>הגה: וע</w:t>
      </w:r>
      <w:r>
        <w:rPr>
          <w:rFonts w:asciiTheme="minorBidi" w:hAnsiTheme="minorBidi" w:hint="cs"/>
          <w:sz w:val="18"/>
          <w:szCs w:val="18"/>
          <w:rtl/>
        </w:rPr>
        <w:t>"ל</w:t>
      </w:r>
      <w:r w:rsidRPr="004A56B9">
        <w:rPr>
          <w:rFonts w:asciiTheme="minorBidi" w:hAnsiTheme="minorBidi"/>
          <w:sz w:val="18"/>
          <w:szCs w:val="18"/>
          <w:rtl/>
        </w:rPr>
        <w:t xml:space="preserve"> סי</w:t>
      </w:r>
      <w:r>
        <w:rPr>
          <w:rFonts w:asciiTheme="minorBidi" w:hAnsiTheme="minorBidi" w:hint="cs"/>
          <w:sz w:val="18"/>
          <w:szCs w:val="18"/>
          <w:rtl/>
        </w:rPr>
        <w:t>'</w:t>
      </w:r>
      <w:r w:rsidRPr="004A56B9">
        <w:rPr>
          <w:rFonts w:asciiTheme="minorBidi" w:hAnsiTheme="minorBidi"/>
          <w:sz w:val="18"/>
          <w:szCs w:val="18"/>
          <w:rtl/>
        </w:rPr>
        <w:t xml:space="preserve"> סג. והא דאמרינן כל דפריש מרובא פריש</w:t>
      </w:r>
      <w:r>
        <w:rPr>
          <w:rFonts w:asciiTheme="minorBidi" w:hAnsiTheme="minorBidi" w:hint="cs"/>
          <w:sz w:val="18"/>
          <w:szCs w:val="18"/>
          <w:rtl/>
        </w:rPr>
        <w:t>,</w:t>
      </w:r>
      <w:r w:rsidRPr="004A56B9">
        <w:rPr>
          <w:rFonts w:asciiTheme="minorBidi" w:hAnsiTheme="minorBidi"/>
          <w:sz w:val="18"/>
          <w:szCs w:val="18"/>
          <w:rtl/>
        </w:rPr>
        <w:t xml:space="preserve"> היינו שלא פירש לפנינו אבל אם פירש לפנינו או שרואה כש</w:t>
      </w:r>
      <w:r>
        <w:rPr>
          <w:rFonts w:asciiTheme="minorBidi" w:hAnsiTheme="minorBidi" w:hint="cs"/>
          <w:sz w:val="18"/>
          <w:szCs w:val="18"/>
          <w:rtl/>
        </w:rPr>
        <w:t>הגו</w:t>
      </w:r>
      <w:r w:rsidRPr="004A56B9">
        <w:rPr>
          <w:rFonts w:asciiTheme="minorBidi" w:hAnsiTheme="minorBidi"/>
          <w:sz w:val="18"/>
          <w:szCs w:val="18"/>
          <w:rtl/>
        </w:rPr>
        <w:t>י לקחו הוי כאילו לקחו משם בידו</w:t>
      </w:r>
      <w:r>
        <w:rPr>
          <w:rStyle w:val="a7"/>
          <w:rFonts w:asciiTheme="minorBidi" w:hAnsiTheme="minorBidi"/>
          <w:sz w:val="18"/>
          <w:szCs w:val="18"/>
          <w:rtl/>
        </w:rPr>
        <w:footnoteReference w:id="2465"/>
      </w:r>
      <w:r w:rsidRPr="004A56B9">
        <w:rPr>
          <w:rFonts w:asciiTheme="minorBidi" w:hAnsiTheme="minorBidi"/>
          <w:sz w:val="18"/>
          <w:szCs w:val="18"/>
          <w:rtl/>
        </w:rPr>
        <w:t>.</w:t>
      </w:r>
      <w:r w:rsidRPr="003024E5">
        <w:rPr>
          <w:rFonts w:asciiTheme="minorBidi" w:hAnsiTheme="minorBidi"/>
          <w:rtl/>
        </w:rPr>
        <w:t xml:space="preserve"> </w:t>
      </w:r>
    </w:p>
    <w:p w14:paraId="4C5C43BA" w14:textId="77777777" w:rsidR="002C39F4" w:rsidRPr="003024E5" w:rsidRDefault="002C39F4" w:rsidP="002C39F4">
      <w:pPr>
        <w:rPr>
          <w:rFonts w:asciiTheme="minorBidi" w:hAnsiTheme="minorBidi"/>
          <w:rtl/>
        </w:rPr>
      </w:pPr>
    </w:p>
    <w:p w14:paraId="0A9F1A14" w14:textId="77777777" w:rsidR="002C39F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הלוקח מו הקבוע ונתערבה באחרות.</w:t>
      </w:r>
    </w:p>
    <w:p w14:paraId="14B82D23" w14:textId="77777777" w:rsidR="002C39F4" w:rsidRPr="0024187A" w:rsidRDefault="002C39F4" w:rsidP="002C39F4">
      <w:pPr>
        <w:rPr>
          <w:rFonts w:cs="Arial"/>
          <w:u w:val="single"/>
          <w:rtl/>
        </w:rPr>
      </w:pPr>
      <w:r w:rsidRPr="0024187A">
        <w:rPr>
          <w:rFonts w:cs="Arial" w:hint="cs"/>
          <w:u w:val="single"/>
          <w:rtl/>
        </w:rPr>
        <w:t xml:space="preserve">ט' חנויות של בשר כשר וא' של בשר נבלה </w:t>
      </w:r>
      <w:r>
        <w:rPr>
          <w:rFonts w:cs="Arial" w:hint="cs"/>
          <w:u w:val="single"/>
          <w:rtl/>
        </w:rPr>
        <w:t xml:space="preserve">וקנה חתיכה מאחת מהן </w:t>
      </w:r>
      <w:r w:rsidRPr="0024187A">
        <w:rPr>
          <w:rFonts w:cs="Arial"/>
          <w:u w:val="single"/>
          <w:rtl/>
        </w:rPr>
        <w:t>ואינו יודע מאיז</w:t>
      </w:r>
      <w:r>
        <w:rPr>
          <w:rFonts w:cs="Arial" w:hint="cs"/>
          <w:u w:val="single"/>
          <w:rtl/>
        </w:rPr>
        <w:t xml:space="preserve">ו </w:t>
      </w:r>
      <w:r>
        <w:rPr>
          <w:rFonts w:cs="Arial"/>
          <w:u w:val="single"/>
          <w:rtl/>
        </w:rPr>
        <w:t>–</w:t>
      </w:r>
      <w:r>
        <w:rPr>
          <w:rFonts w:cs="Arial" w:hint="cs"/>
          <w:u w:val="single"/>
          <w:rtl/>
        </w:rPr>
        <w:t xml:space="preserve"> ונתערבה בחתיכות כשרות</w:t>
      </w:r>
      <w:r w:rsidRPr="0024187A">
        <w:rPr>
          <w:rFonts w:cs="Arial" w:hint="cs"/>
          <w:u w:val="single"/>
          <w:rtl/>
        </w:rPr>
        <w:t>:</w:t>
      </w:r>
    </w:p>
    <w:p w14:paraId="78A85035" w14:textId="77777777" w:rsidR="002C39F4" w:rsidRDefault="002C39F4" w:rsidP="0032102C">
      <w:pPr>
        <w:pStyle w:val="a8"/>
        <w:numPr>
          <w:ilvl w:val="0"/>
          <w:numId w:val="252"/>
        </w:numPr>
      </w:pPr>
      <w:r w:rsidRPr="0024187A">
        <w:rPr>
          <w:rFonts w:cs="Arial"/>
          <w:rtl/>
        </w:rPr>
        <w:t>רשב"א</w:t>
      </w:r>
      <w:r>
        <w:rPr>
          <w:rStyle w:val="a7"/>
          <w:rFonts w:cs="Arial"/>
          <w:rtl/>
        </w:rPr>
        <w:footnoteReference w:id="2466"/>
      </w:r>
      <w:r w:rsidRPr="0024187A">
        <w:rPr>
          <w:rFonts w:cs="Arial"/>
          <w:rtl/>
        </w:rPr>
        <w:t xml:space="preserve"> </w:t>
      </w:r>
      <w:r w:rsidRPr="0024187A">
        <w:rPr>
          <w:rFonts w:cs="Arial" w:hint="cs"/>
          <w:sz w:val="16"/>
          <w:szCs w:val="16"/>
          <w:rtl/>
        </w:rPr>
        <w:t>(</w:t>
      </w:r>
      <w:r>
        <w:rPr>
          <w:rFonts w:cs="Arial" w:hint="cs"/>
          <w:sz w:val="16"/>
          <w:szCs w:val="16"/>
          <w:rtl/>
        </w:rPr>
        <w:t>תוה"ק</w:t>
      </w:r>
      <w:r w:rsidRPr="00F047F6">
        <w:rPr>
          <w:rFonts w:cs="Arial"/>
          <w:sz w:val="16"/>
          <w:szCs w:val="16"/>
          <w:rtl/>
        </w:rPr>
        <w:t xml:space="preserve"> ב"ד ש"ב כט:</w:t>
      </w:r>
      <w:r w:rsidRPr="0024187A">
        <w:rPr>
          <w:rFonts w:cs="Arial"/>
          <w:sz w:val="16"/>
          <w:szCs w:val="16"/>
          <w:rtl/>
        </w:rPr>
        <w:t>)</w:t>
      </w:r>
      <w:r w:rsidRPr="0024187A">
        <w:rPr>
          <w:rFonts w:cs="Arial" w:hint="cs"/>
          <w:sz w:val="16"/>
          <w:szCs w:val="16"/>
          <w:rtl/>
        </w:rPr>
        <w:t xml:space="preserve"> </w:t>
      </w:r>
      <w:r w:rsidRPr="0024187A">
        <w:rPr>
          <w:rFonts w:cs="Arial" w:hint="cs"/>
          <w:rtl/>
        </w:rPr>
        <w:t>ו</w:t>
      </w:r>
      <w:r w:rsidRPr="00FA0138">
        <w:rPr>
          <w:rFonts w:cs="Arial" w:hint="cs"/>
          <w:rtl/>
        </w:rPr>
        <w:t>טור-</w:t>
      </w:r>
      <w:r>
        <w:rPr>
          <w:rFonts w:cs="Arial" w:hint="cs"/>
          <w:rtl/>
        </w:rPr>
        <w:t xml:space="preserve"> </w:t>
      </w:r>
      <w:r w:rsidRPr="00DF1008">
        <w:rPr>
          <w:rFonts w:cs="Arial"/>
          <w:rtl/>
        </w:rPr>
        <w:t>יראה לי שלא אסרו</w:t>
      </w:r>
      <w:r w:rsidRPr="00793A7D">
        <w:rPr>
          <w:rFonts w:cs="Arial"/>
          <w:sz w:val="16"/>
          <w:szCs w:val="16"/>
          <w:rtl/>
        </w:rPr>
        <w:t xml:space="preserve"> </w:t>
      </w:r>
      <w:r w:rsidRPr="00793A7D">
        <w:rPr>
          <w:rFonts w:cs="Arial" w:hint="cs"/>
          <w:sz w:val="16"/>
          <w:szCs w:val="16"/>
          <w:rtl/>
        </w:rPr>
        <w:t xml:space="preserve">{בלוקח מן הקבוע} </w:t>
      </w:r>
      <w:r w:rsidRPr="00DF1008">
        <w:rPr>
          <w:rFonts w:cs="Arial"/>
          <w:rtl/>
        </w:rPr>
        <w:t>אלא בזמן שהוא בפני עצמו אבל נתערבה באחרות ואינה נכרת בטילה ברוב משום ספק ספיקא</w:t>
      </w:r>
      <w:r>
        <w:rPr>
          <w:rStyle w:val="a7"/>
          <w:rFonts w:cs="Arial"/>
          <w:rtl/>
        </w:rPr>
        <w:footnoteReference w:id="2467"/>
      </w:r>
      <w:r w:rsidRPr="00DF1008">
        <w:rPr>
          <w:rFonts w:cs="Arial" w:hint="cs"/>
          <w:rtl/>
        </w:rPr>
        <w:t>.</w:t>
      </w:r>
      <w:r>
        <w:rPr>
          <w:rFonts w:cs="Arial" w:hint="cs"/>
          <w:rtl/>
        </w:rPr>
        <w:t xml:space="preserve"> </w:t>
      </w:r>
      <w:r w:rsidRPr="008212F9">
        <w:rPr>
          <w:rFonts w:cs="Arial" w:hint="cs"/>
          <w:color w:val="E36C0A" w:themeColor="accent6" w:themeShade="BF"/>
          <w:rtl/>
        </w:rPr>
        <w:t>(וכ"פ בשו"ע)</w:t>
      </w:r>
      <w:r>
        <w:rPr>
          <w:rFonts w:hint="cs"/>
          <w:rtl/>
        </w:rPr>
        <w:t xml:space="preserve"> (וכ"פ רש"ל</w:t>
      </w:r>
      <w:r>
        <w:rPr>
          <w:rFonts w:hint="cs"/>
          <w:sz w:val="16"/>
          <w:szCs w:val="16"/>
          <w:rtl/>
        </w:rPr>
        <w:t xml:space="preserve"> [חולין פ"ז סי' כד]</w:t>
      </w:r>
      <w:r>
        <w:rPr>
          <w:rFonts w:hint="cs"/>
          <w:rtl/>
        </w:rPr>
        <w:t>)</w:t>
      </w:r>
    </w:p>
    <w:p w14:paraId="6C19FFCE" w14:textId="77777777" w:rsidR="002C39F4" w:rsidRPr="00A00CBC" w:rsidRDefault="002C39F4" w:rsidP="0032102C">
      <w:pPr>
        <w:pStyle w:val="a8"/>
        <w:numPr>
          <w:ilvl w:val="0"/>
          <w:numId w:val="252"/>
        </w:numPr>
        <w:rPr>
          <w:rtl/>
        </w:rPr>
      </w:pPr>
      <w:r>
        <w:rPr>
          <w:rFonts w:cs="Arial" w:hint="cs"/>
          <w:rtl/>
        </w:rPr>
        <w:t>או</w:t>
      </w:r>
      <w:r>
        <w:rPr>
          <w:rFonts w:cs="Arial"/>
          <w:rtl/>
        </w:rPr>
        <w:t>"</w:t>
      </w:r>
      <w:r>
        <w:rPr>
          <w:rFonts w:cs="Arial" w:hint="cs"/>
          <w:rtl/>
        </w:rPr>
        <w:t>ה</w:t>
      </w:r>
      <w:r w:rsidRPr="00676CBE">
        <w:rPr>
          <w:rFonts w:cs="Arial"/>
          <w:rtl/>
        </w:rPr>
        <w:t xml:space="preserve"> </w:t>
      </w:r>
      <w:r w:rsidRPr="00676CBE">
        <w:rPr>
          <w:rFonts w:cs="Arial" w:hint="cs"/>
          <w:sz w:val="16"/>
          <w:szCs w:val="16"/>
          <w:rtl/>
        </w:rPr>
        <w:t>(</w:t>
      </w:r>
      <w:r w:rsidRPr="00676CBE">
        <w:rPr>
          <w:rFonts w:cs="Arial"/>
          <w:sz w:val="16"/>
          <w:szCs w:val="16"/>
          <w:rtl/>
        </w:rPr>
        <w:t>כלל כה די</w:t>
      </w:r>
      <w:r w:rsidRPr="00676CBE">
        <w:rPr>
          <w:rFonts w:cs="Arial" w:hint="cs"/>
          <w:sz w:val="16"/>
          <w:szCs w:val="16"/>
          <w:rtl/>
        </w:rPr>
        <w:t>"</w:t>
      </w:r>
      <w:r w:rsidRPr="00676CBE">
        <w:rPr>
          <w:rFonts w:cs="Arial"/>
          <w:sz w:val="16"/>
          <w:szCs w:val="16"/>
          <w:rtl/>
        </w:rPr>
        <w:t>ב</w:t>
      </w:r>
      <w:r w:rsidRPr="00676CBE">
        <w:rPr>
          <w:rFonts w:cs="Arial" w:hint="cs"/>
          <w:sz w:val="16"/>
          <w:szCs w:val="16"/>
          <w:rtl/>
        </w:rPr>
        <w:t>, הביאו הדרכ"מ אות ה</w:t>
      </w:r>
      <w:r w:rsidRPr="00676CBE">
        <w:rPr>
          <w:rFonts w:cs="Arial"/>
          <w:sz w:val="16"/>
          <w:szCs w:val="16"/>
          <w:rtl/>
        </w:rPr>
        <w:t>)</w:t>
      </w:r>
      <w:r>
        <w:rPr>
          <w:rFonts w:cs="Arial" w:hint="cs"/>
          <w:rtl/>
        </w:rPr>
        <w:t xml:space="preserve">- </w:t>
      </w:r>
      <w:r w:rsidRPr="00676CBE">
        <w:rPr>
          <w:rFonts w:cs="Arial"/>
          <w:rtl/>
        </w:rPr>
        <w:t>הואיל ונעשה הספק לפנינו הוי איסור דאו</w:t>
      </w:r>
      <w:r>
        <w:rPr>
          <w:rFonts w:cs="Arial" w:hint="cs"/>
          <w:rtl/>
        </w:rPr>
        <w:t>'</w:t>
      </w:r>
      <w:r w:rsidRPr="00676CBE">
        <w:rPr>
          <w:rFonts w:cs="Arial"/>
          <w:rtl/>
        </w:rPr>
        <w:t xml:space="preserve"> </w:t>
      </w:r>
      <w:r w:rsidRPr="00676CBE">
        <w:rPr>
          <w:rFonts w:cs="Arial" w:hint="cs"/>
          <w:sz w:val="16"/>
          <w:szCs w:val="16"/>
          <w:rtl/>
        </w:rPr>
        <w:t>(</w:t>
      </w:r>
      <w:r w:rsidRPr="00676CBE">
        <w:rPr>
          <w:rFonts w:cs="Arial"/>
          <w:sz w:val="16"/>
          <w:szCs w:val="16"/>
          <w:rtl/>
        </w:rPr>
        <w:t>דכל שנעשה הספק במקום הקביעות הוי איסור דאו</w:t>
      </w:r>
      <w:r>
        <w:rPr>
          <w:rFonts w:cs="Arial" w:hint="cs"/>
          <w:sz w:val="16"/>
          <w:szCs w:val="16"/>
          <w:rtl/>
        </w:rPr>
        <w:t>'</w:t>
      </w:r>
      <w:r w:rsidRPr="00676CBE">
        <w:rPr>
          <w:rFonts w:cs="Arial"/>
          <w:sz w:val="16"/>
          <w:szCs w:val="16"/>
          <w:rtl/>
        </w:rPr>
        <w:t xml:space="preserve"> כדאיתא בתוס</w:t>
      </w:r>
      <w:r>
        <w:rPr>
          <w:rFonts w:cs="Arial" w:hint="cs"/>
          <w:sz w:val="16"/>
          <w:szCs w:val="16"/>
          <w:rtl/>
        </w:rPr>
        <w:t>'</w:t>
      </w:r>
      <w:r w:rsidRPr="00676CBE">
        <w:rPr>
          <w:rFonts w:cs="Arial"/>
          <w:sz w:val="16"/>
          <w:szCs w:val="16"/>
          <w:rtl/>
        </w:rPr>
        <w:t xml:space="preserve"> (פסחים ט: ד"ה היינו) ומרדכי פ"ק דפסחים</w:t>
      </w:r>
      <w:r>
        <w:rPr>
          <w:rFonts w:cs="Arial" w:hint="cs"/>
          <w:sz w:val="16"/>
          <w:szCs w:val="16"/>
          <w:rtl/>
        </w:rPr>
        <w:t>)</w:t>
      </w:r>
      <w:r>
        <w:rPr>
          <w:rFonts w:cs="Arial" w:hint="cs"/>
          <w:rtl/>
        </w:rPr>
        <w:t>,</w:t>
      </w:r>
      <w:r w:rsidRPr="00676CBE">
        <w:rPr>
          <w:rFonts w:cs="Arial"/>
          <w:rtl/>
        </w:rPr>
        <w:t xml:space="preserve"> א"כ הואיל והוא איסור דא</w:t>
      </w:r>
      <w:r>
        <w:rPr>
          <w:rFonts w:cs="Arial" w:hint="cs"/>
          <w:rtl/>
        </w:rPr>
        <w:t>ו'</w:t>
      </w:r>
      <w:r w:rsidRPr="00676CBE">
        <w:rPr>
          <w:rFonts w:cs="Arial"/>
          <w:rtl/>
        </w:rPr>
        <w:t xml:space="preserve"> לא מהני ביה ס"ס</w:t>
      </w:r>
      <w:r>
        <w:rPr>
          <w:rStyle w:val="a7"/>
          <w:rFonts w:cs="Arial"/>
          <w:rtl/>
        </w:rPr>
        <w:footnoteReference w:id="2468"/>
      </w:r>
      <w:r>
        <w:rPr>
          <w:rFonts w:cs="Arial" w:hint="cs"/>
          <w:rtl/>
        </w:rPr>
        <w:t>.</w:t>
      </w:r>
      <w:r w:rsidRPr="00676CBE">
        <w:rPr>
          <w:rFonts w:hint="cs"/>
          <w:color w:val="00B0F0"/>
          <w:rtl/>
        </w:rPr>
        <w:t xml:space="preserve"> (וכ"פ הרמ"א)</w:t>
      </w:r>
      <w:r>
        <w:rPr>
          <w:rFonts w:hint="cs"/>
          <w:rtl/>
        </w:rPr>
        <w:t xml:space="preserve"> (וכ"פ הב"ח)</w:t>
      </w:r>
    </w:p>
    <w:p w14:paraId="3C777A1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E93D916" w14:textId="77777777" w:rsidR="002C39F4" w:rsidRDefault="002C39F4" w:rsidP="002C39F4">
      <w:pPr>
        <w:rPr>
          <w:rFonts w:asciiTheme="minorBidi" w:hAnsiTheme="minorBidi"/>
          <w:rtl/>
        </w:rPr>
      </w:pPr>
      <w:r w:rsidRPr="003024E5">
        <w:rPr>
          <w:rFonts w:asciiTheme="minorBidi" w:hAnsiTheme="minorBidi"/>
          <w:rtl/>
        </w:rPr>
        <w:t>רוב חנויות מוכרות בשר שחוטה ומיעוט מוכרות בשר נבילה, לקח מאחת מהן ואינו יודע מאיזה מהן לקח ונתערבה באחרות ואינה ניכרת בטילה ברוב</w:t>
      </w:r>
      <w:r>
        <w:rPr>
          <w:rStyle w:val="a7"/>
          <w:rFonts w:asciiTheme="minorBidi" w:hAnsiTheme="minorBidi"/>
          <w:rtl/>
        </w:rPr>
        <w:footnoteReference w:id="2469"/>
      </w:r>
      <w:r w:rsidRPr="003024E5">
        <w:rPr>
          <w:rFonts w:asciiTheme="minorBidi" w:hAnsiTheme="minorBidi"/>
          <w:rtl/>
        </w:rPr>
        <w:t xml:space="preserve"> משום ספק ספיקא</w:t>
      </w:r>
      <w:r>
        <w:rPr>
          <w:rStyle w:val="a7"/>
          <w:rFonts w:asciiTheme="minorBidi" w:hAnsiTheme="minorBidi"/>
          <w:rtl/>
        </w:rPr>
        <w:footnoteReference w:id="2470"/>
      </w:r>
      <w:r w:rsidRPr="003024E5">
        <w:rPr>
          <w:rFonts w:asciiTheme="minorBidi" w:hAnsiTheme="minorBidi"/>
          <w:rtl/>
        </w:rPr>
        <w:t>.</w:t>
      </w:r>
      <w:r w:rsidRPr="004A56B9">
        <w:rPr>
          <w:rFonts w:asciiTheme="minorBidi" w:hAnsiTheme="minorBidi"/>
          <w:sz w:val="18"/>
          <w:szCs w:val="18"/>
          <w:rtl/>
        </w:rPr>
        <w:t xml:space="preserve"> הגה: ויש אוסרין בכה"ג</w:t>
      </w:r>
      <w:r>
        <w:rPr>
          <w:rStyle w:val="a7"/>
          <w:rFonts w:asciiTheme="minorBidi" w:hAnsiTheme="minorBidi"/>
          <w:sz w:val="18"/>
          <w:szCs w:val="18"/>
          <w:rtl/>
        </w:rPr>
        <w:footnoteReference w:id="2471"/>
      </w:r>
      <w:r w:rsidRPr="004A56B9">
        <w:rPr>
          <w:rFonts w:asciiTheme="minorBidi" w:hAnsiTheme="minorBidi"/>
          <w:sz w:val="18"/>
          <w:szCs w:val="18"/>
          <w:rtl/>
        </w:rPr>
        <w:t xml:space="preserve"> משום דכל מקום דאיסור במקומו הוי כמחצה על מחצה והואיל וספק הראשון אסור מן התורה</w:t>
      </w:r>
      <w:r>
        <w:rPr>
          <w:rStyle w:val="a7"/>
          <w:rFonts w:asciiTheme="minorBidi" w:hAnsiTheme="minorBidi"/>
          <w:sz w:val="18"/>
          <w:szCs w:val="18"/>
          <w:rtl/>
        </w:rPr>
        <w:footnoteReference w:id="2472"/>
      </w:r>
      <w:r w:rsidRPr="004A56B9">
        <w:rPr>
          <w:rFonts w:asciiTheme="minorBidi" w:hAnsiTheme="minorBidi"/>
          <w:sz w:val="18"/>
          <w:szCs w:val="18"/>
          <w:rtl/>
        </w:rPr>
        <w:t xml:space="preserve"> ואין כאן עוד ספיקא להתיר רק תערובת לא מקרי ספק ספיקא (ארוך כלל כה)</w:t>
      </w:r>
      <w:r>
        <w:rPr>
          <w:rFonts w:asciiTheme="minorBidi" w:hAnsiTheme="minorBidi" w:hint="cs"/>
          <w:sz w:val="18"/>
          <w:szCs w:val="18"/>
          <w:rtl/>
        </w:rPr>
        <w:t>,</w:t>
      </w:r>
      <w:r w:rsidRPr="004A56B9">
        <w:rPr>
          <w:rFonts w:asciiTheme="minorBidi" w:hAnsiTheme="minorBidi"/>
          <w:sz w:val="18"/>
          <w:szCs w:val="18"/>
          <w:rtl/>
        </w:rPr>
        <w:t xml:space="preserve"> והכי נהוג.</w:t>
      </w:r>
      <w:r w:rsidRPr="003024E5">
        <w:rPr>
          <w:rFonts w:asciiTheme="minorBidi" w:hAnsiTheme="minorBidi"/>
          <w:rtl/>
        </w:rPr>
        <w:t xml:space="preserve"> </w:t>
      </w:r>
    </w:p>
    <w:p w14:paraId="18FC1030" w14:textId="77777777" w:rsidR="002C39F4" w:rsidRPr="003024E5" w:rsidRDefault="002C39F4" w:rsidP="002C39F4">
      <w:pPr>
        <w:rPr>
          <w:rFonts w:asciiTheme="minorBidi" w:hAnsiTheme="minorBidi"/>
          <w:rtl/>
        </w:rPr>
      </w:pPr>
    </w:p>
    <w:p w14:paraId="1905CA32"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פירש מעצמו ונמצאה טריפה במקום ממנו לקח.</w:t>
      </w:r>
    </w:p>
    <w:p w14:paraId="0E2AA1F4" w14:textId="77777777" w:rsidR="002C39F4" w:rsidRPr="008C0A32" w:rsidRDefault="002C39F4" w:rsidP="002C39F4">
      <w:pPr>
        <w:rPr>
          <w:u w:val="single"/>
          <w:rtl/>
        </w:rPr>
      </w:pPr>
      <w:r w:rsidRPr="008C0A32">
        <w:rPr>
          <w:rFonts w:cs="Arial"/>
          <w:u w:val="single"/>
          <w:rtl/>
        </w:rPr>
        <w:t xml:space="preserve">לקח </w:t>
      </w:r>
      <w:r>
        <w:rPr>
          <w:rFonts w:cs="Arial" w:hint="cs"/>
          <w:u w:val="single"/>
          <w:rtl/>
        </w:rPr>
        <w:t xml:space="preserve">חתיכה </w:t>
      </w:r>
      <w:r>
        <w:rPr>
          <w:rFonts w:cs="Arial" w:hint="cs"/>
          <w:sz w:val="16"/>
          <w:szCs w:val="16"/>
          <w:u w:val="single"/>
          <w:rtl/>
        </w:rPr>
        <w:t xml:space="preserve">(ואפילו חה"ל) </w:t>
      </w:r>
      <w:r w:rsidRPr="008C0A32">
        <w:rPr>
          <w:rFonts w:cs="Arial"/>
          <w:u w:val="single"/>
          <w:rtl/>
        </w:rPr>
        <w:t>מהמקולין ואח"כ נמצא</w:t>
      </w:r>
      <w:r>
        <w:rPr>
          <w:rFonts w:cs="Arial" w:hint="cs"/>
          <w:u w:val="single"/>
          <w:rtl/>
        </w:rPr>
        <w:t xml:space="preserve"> שיש</w:t>
      </w:r>
      <w:r w:rsidRPr="008C0A32">
        <w:rPr>
          <w:rFonts w:cs="Arial"/>
          <w:u w:val="single"/>
          <w:rtl/>
        </w:rPr>
        <w:t xml:space="preserve"> טריפה במקולין ולא נודע</w:t>
      </w:r>
      <w:r w:rsidRPr="008C0A32">
        <w:rPr>
          <w:rFonts w:cs="Arial" w:hint="cs"/>
          <w:u w:val="single"/>
          <w:rtl/>
        </w:rPr>
        <w:t xml:space="preserve"> מק</w:t>
      </w:r>
      <w:r w:rsidRPr="008C0A32">
        <w:rPr>
          <w:rFonts w:cs="Arial"/>
          <w:u w:val="single"/>
          <w:rtl/>
        </w:rPr>
        <w:t>ו</w:t>
      </w:r>
      <w:r w:rsidRPr="008C0A32">
        <w:rPr>
          <w:rFonts w:cs="Arial" w:hint="cs"/>
          <w:u w:val="single"/>
          <w:rtl/>
        </w:rPr>
        <w:t>מה</w:t>
      </w:r>
      <w:r w:rsidRPr="006D6092">
        <w:rPr>
          <w:rFonts w:cs="Arial"/>
          <w:sz w:val="16"/>
          <w:szCs w:val="16"/>
          <w:u w:val="single"/>
          <w:rtl/>
        </w:rPr>
        <w:t xml:space="preserve"> </w:t>
      </w:r>
      <w:r w:rsidRPr="006D6092">
        <w:rPr>
          <w:rFonts w:cs="Arial" w:hint="cs"/>
          <w:sz w:val="16"/>
          <w:szCs w:val="16"/>
          <w:u w:val="single"/>
          <w:rtl/>
        </w:rPr>
        <w:t xml:space="preserve">(כך שגם </w:t>
      </w:r>
      <w:r w:rsidRPr="006D6092">
        <w:rPr>
          <w:rFonts w:cs="Arial"/>
          <w:sz w:val="16"/>
          <w:szCs w:val="16"/>
          <w:u w:val="single"/>
          <w:rtl/>
        </w:rPr>
        <w:t>הוא אינו יודע איז</w:t>
      </w:r>
      <w:r w:rsidRPr="006D6092">
        <w:rPr>
          <w:rFonts w:cs="Arial" w:hint="cs"/>
          <w:sz w:val="16"/>
          <w:szCs w:val="16"/>
          <w:u w:val="single"/>
          <w:rtl/>
        </w:rPr>
        <w:t>ו</w:t>
      </w:r>
      <w:r w:rsidRPr="006D6092">
        <w:rPr>
          <w:rFonts w:cs="Arial"/>
          <w:sz w:val="16"/>
          <w:szCs w:val="16"/>
          <w:u w:val="single"/>
          <w:rtl/>
        </w:rPr>
        <w:t xml:space="preserve"> לקח</w:t>
      </w:r>
      <w:r w:rsidRPr="006D6092">
        <w:rPr>
          <w:rFonts w:cs="Arial" w:hint="cs"/>
          <w:sz w:val="16"/>
          <w:szCs w:val="16"/>
          <w:u w:val="single"/>
          <w:rtl/>
        </w:rPr>
        <w:t>)</w:t>
      </w:r>
      <w:r w:rsidRPr="008C0A32">
        <w:rPr>
          <w:rFonts w:cs="Arial" w:hint="cs"/>
          <w:u w:val="single"/>
          <w:rtl/>
        </w:rPr>
        <w:t>:</w:t>
      </w:r>
    </w:p>
    <w:p w14:paraId="1493D38D" w14:textId="77777777" w:rsidR="002C39F4" w:rsidRDefault="002C39F4" w:rsidP="0032102C">
      <w:pPr>
        <w:pStyle w:val="a8"/>
        <w:numPr>
          <w:ilvl w:val="0"/>
          <w:numId w:val="253"/>
        </w:numPr>
        <w:rPr>
          <w:rFonts w:cs="Arial"/>
        </w:rPr>
      </w:pPr>
      <w:r>
        <w:rPr>
          <w:rFonts w:cs="Arial" w:hint="cs"/>
          <w:rtl/>
        </w:rPr>
        <w:t>ר"י ור"ש</w:t>
      </w:r>
      <w:r>
        <w:rPr>
          <w:rFonts w:cs="Arial" w:hint="cs"/>
          <w:sz w:val="16"/>
          <w:szCs w:val="16"/>
          <w:rtl/>
        </w:rPr>
        <w:t xml:space="preserve"> (כ"כ הרשב"א בשמם)</w:t>
      </w:r>
      <w:r>
        <w:rPr>
          <w:rFonts w:cs="Arial" w:hint="cs"/>
          <w:rtl/>
        </w:rPr>
        <w:t>-</w:t>
      </w:r>
      <w:r w:rsidRPr="00DA4805">
        <w:rPr>
          <w:rStyle w:val="a7"/>
          <w:rFonts w:cs="Arial"/>
          <w:rtl/>
        </w:rPr>
        <w:t xml:space="preserve"> </w:t>
      </w:r>
      <w:r>
        <w:rPr>
          <w:rStyle w:val="a7"/>
          <w:rFonts w:cs="Arial"/>
          <w:rtl/>
        </w:rPr>
        <w:footnoteReference w:id="2473"/>
      </w:r>
      <w:r w:rsidRPr="008C0A32">
        <w:rPr>
          <w:rFonts w:cs="Arial"/>
          <w:rtl/>
        </w:rPr>
        <w:t>אם לקח אדם מן המקולין חתיכה הראויה להתכבד ואח"כ נמצא טריפה במקולין אע</w:t>
      </w:r>
      <w:r w:rsidRPr="008C0A32">
        <w:rPr>
          <w:rFonts w:cs="Arial" w:hint="cs"/>
          <w:rtl/>
        </w:rPr>
        <w:t>"</w:t>
      </w:r>
      <w:r w:rsidRPr="008C0A32">
        <w:rPr>
          <w:rFonts w:cs="Arial"/>
          <w:rtl/>
        </w:rPr>
        <w:t>פ שלא נודע עד שפירשה זו וכשנולד הריעותא במקולין לא היתה זו בקבוע אפ"ה אסורה גזרה שמא יקח מן הקבוע הואיל ולא נודעו חתיכות הטריפות בין חתיכות ההיתר</w:t>
      </w:r>
      <w:r>
        <w:rPr>
          <w:rFonts w:cs="Arial" w:hint="cs"/>
          <w:sz w:val="16"/>
          <w:szCs w:val="16"/>
          <w:rtl/>
        </w:rPr>
        <w:t xml:space="preserve"> (ל' הרשב"א בשמם)</w:t>
      </w:r>
      <w:r>
        <w:rPr>
          <w:rStyle w:val="a7"/>
          <w:rFonts w:cs="Arial"/>
          <w:rtl/>
        </w:rPr>
        <w:footnoteReference w:id="2474"/>
      </w:r>
      <w:r>
        <w:rPr>
          <w:rFonts w:cs="Arial" w:hint="cs"/>
          <w:rtl/>
        </w:rPr>
        <w:t>.</w:t>
      </w:r>
    </w:p>
    <w:p w14:paraId="06278DC3" w14:textId="77777777" w:rsidR="002C39F4" w:rsidRPr="00F95BC5" w:rsidRDefault="002C39F4" w:rsidP="0032102C">
      <w:pPr>
        <w:pStyle w:val="a8"/>
        <w:numPr>
          <w:ilvl w:val="0"/>
          <w:numId w:val="253"/>
        </w:numPr>
        <w:rPr>
          <w:rFonts w:cs="Arial"/>
          <w:rtl/>
        </w:rPr>
      </w:pPr>
      <w:r w:rsidRPr="008C0A32">
        <w:rPr>
          <w:rFonts w:cs="Arial" w:hint="cs"/>
          <w:rtl/>
        </w:rPr>
        <w:t xml:space="preserve">רשב"א </w:t>
      </w:r>
      <w:r w:rsidRPr="008C0A32">
        <w:rPr>
          <w:rFonts w:cs="Arial" w:hint="cs"/>
          <w:sz w:val="16"/>
          <w:szCs w:val="16"/>
          <w:rtl/>
        </w:rPr>
        <w:t>(</w:t>
      </w:r>
      <w:r>
        <w:rPr>
          <w:rFonts w:cs="Arial" w:hint="cs"/>
          <w:sz w:val="16"/>
          <w:szCs w:val="16"/>
          <w:rtl/>
        </w:rPr>
        <w:t>כ"כ הטור בשמו</w:t>
      </w:r>
      <w:r w:rsidRPr="008C0A32">
        <w:rPr>
          <w:rFonts w:cs="Arial"/>
          <w:sz w:val="16"/>
          <w:szCs w:val="16"/>
          <w:rtl/>
        </w:rPr>
        <w:t>)</w:t>
      </w:r>
      <w:r>
        <w:rPr>
          <w:rFonts w:cs="Arial" w:hint="cs"/>
          <w:sz w:val="16"/>
          <w:szCs w:val="16"/>
          <w:rtl/>
        </w:rPr>
        <w:t xml:space="preserve"> </w:t>
      </w:r>
      <w:r>
        <w:rPr>
          <w:rFonts w:cs="Arial" w:hint="cs"/>
          <w:rtl/>
        </w:rPr>
        <w:t>וטור</w:t>
      </w:r>
      <w:r>
        <w:rPr>
          <w:rStyle w:val="a7"/>
          <w:rFonts w:cs="Arial"/>
          <w:rtl/>
        </w:rPr>
        <w:footnoteReference w:id="2475"/>
      </w:r>
      <w:r w:rsidRPr="008C0A32">
        <w:rPr>
          <w:rFonts w:cs="Arial" w:hint="cs"/>
          <w:rtl/>
        </w:rPr>
        <w:t>-</w:t>
      </w:r>
      <w:r>
        <w:rPr>
          <w:rFonts w:cs="Arial" w:hint="cs"/>
          <w:rtl/>
        </w:rPr>
        <w:t xml:space="preserve"> </w:t>
      </w:r>
      <w:r w:rsidRPr="00A00CBC">
        <w:rPr>
          <w:rFonts w:cs="Arial"/>
          <w:rtl/>
        </w:rPr>
        <w:t>כל מה שלקחו מהמקולין קודם שנמצאת הטריפה מותר שלא נפל בהן הספק בקבוע אלא לאחר שפירש</w:t>
      </w:r>
      <w:r>
        <w:rPr>
          <w:rFonts w:cs="Arial" w:hint="cs"/>
          <w:rtl/>
        </w:rPr>
        <w:t>,</w:t>
      </w:r>
      <w:r w:rsidRPr="00A00CBC">
        <w:rPr>
          <w:rFonts w:cs="Arial"/>
          <w:rtl/>
        </w:rPr>
        <w:t xml:space="preserve"> אבל אסור ליקח משם מכאן ואילך</w:t>
      </w:r>
      <w:r>
        <w:rPr>
          <w:rStyle w:val="a7"/>
          <w:rFonts w:cs="Arial"/>
          <w:rtl/>
        </w:rPr>
        <w:footnoteReference w:id="2476"/>
      </w:r>
      <w:r>
        <w:rPr>
          <w:rFonts w:cs="Arial" w:hint="cs"/>
          <w:sz w:val="16"/>
          <w:szCs w:val="16"/>
          <w:rtl/>
        </w:rPr>
        <w:t xml:space="preserve"> (ל' הטור בשם הרשב"א)</w:t>
      </w:r>
      <w:r>
        <w:rPr>
          <w:rFonts w:cs="Arial" w:hint="cs"/>
          <w:rtl/>
        </w:rPr>
        <w:t xml:space="preserve">. </w:t>
      </w:r>
      <w:r w:rsidRPr="00FF1C9D">
        <w:rPr>
          <w:rFonts w:cs="Arial" w:hint="cs"/>
          <w:color w:val="E36C0A" w:themeColor="accent6" w:themeShade="BF"/>
          <w:rtl/>
        </w:rPr>
        <w:t>(וכ"פ בשו"ע)</w:t>
      </w:r>
    </w:p>
    <w:p w14:paraId="36761488" w14:textId="77777777" w:rsidR="002C39F4" w:rsidRPr="00C473B0" w:rsidRDefault="002C39F4" w:rsidP="002C39F4">
      <w:pPr>
        <w:ind w:left="360"/>
        <w:rPr>
          <w:rFonts w:cs="Arial"/>
          <w:u w:val="dotted"/>
        </w:rPr>
      </w:pPr>
      <w:r>
        <w:rPr>
          <w:rFonts w:cs="Arial" w:hint="cs"/>
          <w:u w:val="dotted"/>
          <w:rtl/>
        </w:rPr>
        <w:t>ו</w:t>
      </w:r>
      <w:r w:rsidRPr="00762127">
        <w:rPr>
          <w:rFonts w:cs="Arial" w:hint="cs"/>
          <w:u w:val="dotted"/>
          <w:rtl/>
        </w:rPr>
        <w:t>מה</w:t>
      </w:r>
      <w:r>
        <w:rPr>
          <w:rFonts w:cs="Arial" w:hint="cs"/>
          <w:u w:val="dotted"/>
          <w:rtl/>
        </w:rPr>
        <w:t xml:space="preserve"> ה</w:t>
      </w:r>
      <w:r w:rsidRPr="00762127">
        <w:rPr>
          <w:rFonts w:cs="Arial" w:hint="cs"/>
          <w:u w:val="dotted"/>
          <w:rtl/>
        </w:rPr>
        <w:t>דין אם ל</w:t>
      </w:r>
      <w:r>
        <w:rPr>
          <w:rFonts w:cs="Arial" w:hint="cs"/>
          <w:u w:val="dotted"/>
          <w:rtl/>
        </w:rPr>
        <w:t>ו</w:t>
      </w:r>
      <w:r w:rsidRPr="00762127">
        <w:rPr>
          <w:rFonts w:cs="Arial" w:hint="cs"/>
          <w:u w:val="dotted"/>
          <w:rtl/>
        </w:rPr>
        <w:t xml:space="preserve">קח </w:t>
      </w:r>
      <w:r>
        <w:rPr>
          <w:rFonts w:cs="Arial" w:hint="cs"/>
          <w:u w:val="dotted"/>
          <w:rtl/>
        </w:rPr>
        <w:t xml:space="preserve">מן המקולין לאחר שנמצאה הטריפה </w:t>
      </w:r>
      <w:r w:rsidRPr="00762127">
        <w:rPr>
          <w:rFonts w:cs="Arial" w:hint="cs"/>
          <w:u w:val="dotted"/>
          <w:rtl/>
        </w:rPr>
        <w:t xml:space="preserve">חתיכה </w:t>
      </w:r>
      <w:r w:rsidRPr="00B46F9A">
        <w:rPr>
          <w:rFonts w:cs="Arial" w:hint="cs"/>
          <w:b/>
          <w:bCs/>
          <w:u w:val="dotted"/>
          <w:rtl/>
        </w:rPr>
        <w:t>שאינה</w:t>
      </w:r>
      <w:r w:rsidRPr="00762127">
        <w:rPr>
          <w:rFonts w:cs="Arial" w:hint="cs"/>
          <w:u w:val="dotted"/>
          <w:rtl/>
        </w:rPr>
        <w:t xml:space="preserve"> ראויה להתכבד:</w:t>
      </w:r>
    </w:p>
    <w:p w14:paraId="6AFE8310" w14:textId="77777777" w:rsidR="002C39F4" w:rsidRDefault="002C39F4" w:rsidP="0032102C">
      <w:pPr>
        <w:pStyle w:val="a8"/>
        <w:numPr>
          <w:ilvl w:val="0"/>
          <w:numId w:val="253"/>
        </w:numPr>
      </w:pPr>
      <w:r>
        <w:rPr>
          <w:rFonts w:cs="Arial" w:hint="cs"/>
          <w:rtl/>
        </w:rPr>
        <w:t>רשב"א</w:t>
      </w:r>
      <w:r w:rsidRPr="008C0A32">
        <w:rPr>
          <w:rFonts w:cs="Arial"/>
          <w:rtl/>
        </w:rPr>
        <w:t xml:space="preserve"> </w:t>
      </w:r>
      <w:r w:rsidRPr="00F76E86">
        <w:rPr>
          <w:rFonts w:cs="Arial"/>
          <w:sz w:val="16"/>
          <w:szCs w:val="16"/>
          <w:rtl/>
        </w:rPr>
        <w:t>(תוה"ק ב"ד ש"ב ל.)</w:t>
      </w:r>
      <w:r>
        <w:rPr>
          <w:rFonts w:cs="Arial" w:hint="cs"/>
          <w:rtl/>
        </w:rPr>
        <w:t>-</w:t>
      </w:r>
      <w:r w:rsidRPr="008C0A32">
        <w:rPr>
          <w:rFonts w:cs="Arial"/>
          <w:rtl/>
        </w:rPr>
        <w:t xml:space="preserve"> בד"א</w:t>
      </w:r>
      <w:r>
        <w:rPr>
          <w:rFonts w:cs="Arial" w:hint="cs"/>
          <w:sz w:val="16"/>
          <w:szCs w:val="16"/>
          <w:rtl/>
        </w:rPr>
        <w:t xml:space="preserve"> {לעיל}</w:t>
      </w:r>
      <w:r w:rsidRPr="008C0A32">
        <w:rPr>
          <w:rFonts w:cs="Arial"/>
          <w:rtl/>
        </w:rPr>
        <w:t xml:space="preserve"> בחתיכות החשובות הראויות להתכבד שאין להם ביטול מחמת חשיבותן כמו שביארנו ואע</w:t>
      </w:r>
      <w:r>
        <w:rPr>
          <w:rFonts w:cs="Arial" w:hint="cs"/>
          <w:rtl/>
        </w:rPr>
        <w:t>"</w:t>
      </w:r>
      <w:r w:rsidRPr="008C0A32">
        <w:rPr>
          <w:rFonts w:cs="Arial"/>
          <w:rtl/>
        </w:rPr>
        <w:t>פ שאין מקומן ניכר</w:t>
      </w:r>
      <w:r>
        <w:rPr>
          <w:rFonts w:cs="Arial" w:hint="cs"/>
          <w:rtl/>
        </w:rPr>
        <w:t>,</w:t>
      </w:r>
      <w:r w:rsidRPr="008C0A32">
        <w:rPr>
          <w:rFonts w:cs="Arial"/>
          <w:rtl/>
        </w:rPr>
        <w:t xml:space="preserve"> אבל שאר החתיכות מותרות דיבש ביבש מתבטל הוא ברוב כמו שביארנו</w:t>
      </w:r>
      <w:r>
        <w:rPr>
          <w:rFonts w:cs="Arial" w:hint="cs"/>
          <w:sz w:val="16"/>
          <w:szCs w:val="16"/>
          <w:rtl/>
        </w:rPr>
        <w:t xml:space="preserve"> (ל' הרשב"א)</w:t>
      </w:r>
      <w:r>
        <w:rPr>
          <w:rStyle w:val="a7"/>
          <w:rFonts w:cs="Arial"/>
          <w:rtl/>
        </w:rPr>
        <w:footnoteReference w:id="2477"/>
      </w:r>
      <w:r>
        <w:rPr>
          <w:rFonts w:cs="Arial" w:hint="cs"/>
          <w:rtl/>
        </w:rPr>
        <w:t>,</w:t>
      </w:r>
      <w:r w:rsidRPr="00C473B0">
        <w:rPr>
          <w:rFonts w:cs="Arial"/>
          <w:rtl/>
        </w:rPr>
        <w:t xml:space="preserve"> </w:t>
      </w:r>
      <w:r w:rsidRPr="00A00CBC">
        <w:rPr>
          <w:rFonts w:cs="Arial"/>
          <w:rtl/>
        </w:rPr>
        <w:t>וראוי להחמיר לאסור כל החתיכות שנשארו במקולין שאין הכל בקיאין בדברים אלו ואם אתה מתיר בשאינן חשובות קרוב הדבר לטעות וליקח אף מן החשובות</w:t>
      </w:r>
      <w:r>
        <w:rPr>
          <w:rStyle w:val="a7"/>
          <w:rFonts w:cs="Arial"/>
          <w:rtl/>
        </w:rPr>
        <w:footnoteReference w:id="2478"/>
      </w:r>
      <w:r>
        <w:rPr>
          <w:rFonts w:cs="Arial" w:hint="cs"/>
          <w:sz w:val="16"/>
          <w:szCs w:val="16"/>
          <w:rtl/>
        </w:rPr>
        <w:t xml:space="preserve"> (ל' הטור בשם הרשב"א)</w:t>
      </w:r>
      <w:r>
        <w:rPr>
          <w:rFonts w:cs="Arial" w:hint="cs"/>
          <w:rtl/>
        </w:rPr>
        <w:t xml:space="preserve">. </w:t>
      </w:r>
      <w:r w:rsidRPr="00FF1C9D">
        <w:rPr>
          <w:rFonts w:cs="Arial" w:hint="cs"/>
          <w:color w:val="E36C0A" w:themeColor="accent6" w:themeShade="BF"/>
          <w:rtl/>
        </w:rPr>
        <w:t>(וכ"פ בשו"ע)</w:t>
      </w:r>
    </w:p>
    <w:p w14:paraId="40F6FEF7" w14:textId="77777777" w:rsidR="002C39F4" w:rsidRPr="00657440" w:rsidRDefault="002C39F4" w:rsidP="0032102C">
      <w:pPr>
        <w:pStyle w:val="a8"/>
        <w:numPr>
          <w:ilvl w:val="0"/>
          <w:numId w:val="253"/>
        </w:numPr>
        <w:rPr>
          <w:rtl/>
        </w:rPr>
      </w:pPr>
      <w:r w:rsidRPr="008E0700">
        <w:rPr>
          <w:rFonts w:cs="Arial" w:hint="cs"/>
          <w:rtl/>
        </w:rPr>
        <w:t xml:space="preserve">טור- </w:t>
      </w:r>
      <w:r>
        <w:rPr>
          <w:rStyle w:val="a7"/>
          <w:rFonts w:cs="Arial"/>
          <w:rtl/>
        </w:rPr>
        <w:footnoteReference w:id="2479"/>
      </w:r>
      <w:r w:rsidRPr="008E0700">
        <w:rPr>
          <w:rFonts w:cs="Arial"/>
          <w:rtl/>
        </w:rPr>
        <w:t>כל קבוע כמחצה על מחצה דמי ואסור בכל דבר</w:t>
      </w:r>
      <w:r>
        <w:rPr>
          <w:rStyle w:val="a7"/>
          <w:rFonts w:cs="Arial"/>
          <w:rtl/>
        </w:rPr>
        <w:footnoteReference w:id="2480"/>
      </w:r>
      <w:r>
        <w:rPr>
          <w:rFonts w:cs="Arial" w:hint="cs"/>
          <w:rtl/>
        </w:rPr>
        <w:t>,</w:t>
      </w:r>
      <w:r w:rsidRPr="00657440">
        <w:rPr>
          <w:rFonts w:cs="Arial" w:hint="cs"/>
          <w:rtl/>
        </w:rPr>
        <w:t xml:space="preserve"> </w:t>
      </w:r>
      <w:r>
        <w:rPr>
          <w:rFonts w:cs="Arial" w:hint="cs"/>
          <w:rtl/>
        </w:rPr>
        <w:t>ו</w:t>
      </w:r>
      <w:r w:rsidRPr="00657440">
        <w:rPr>
          <w:rFonts w:cs="Arial"/>
          <w:rtl/>
        </w:rPr>
        <w:t>כ"כ א"א הרא"ש ז"ל דכל מה שלקחו קודם הספק הכל מותר</w:t>
      </w:r>
      <w:r>
        <w:rPr>
          <w:rStyle w:val="a7"/>
          <w:rFonts w:cs="Arial"/>
          <w:rtl/>
        </w:rPr>
        <w:footnoteReference w:id="2481"/>
      </w:r>
      <w:r w:rsidRPr="00657440">
        <w:rPr>
          <w:rFonts w:cs="Arial"/>
          <w:rtl/>
        </w:rPr>
        <w:t xml:space="preserve"> ולאחר שנודע הספק הכל אסור</w:t>
      </w:r>
      <w:r>
        <w:rPr>
          <w:rStyle w:val="a7"/>
          <w:rFonts w:cs="Arial"/>
          <w:rtl/>
        </w:rPr>
        <w:footnoteReference w:id="2482"/>
      </w:r>
      <w:r>
        <w:rPr>
          <w:rFonts w:cs="Arial" w:hint="cs"/>
          <w:rtl/>
        </w:rPr>
        <w:t>.</w:t>
      </w:r>
    </w:p>
    <w:p w14:paraId="5EA010D6" w14:textId="77777777" w:rsidR="002C39F4" w:rsidRPr="00AD04ED" w:rsidRDefault="002C39F4" w:rsidP="002C39F4">
      <w:pPr>
        <w:rPr>
          <w:rFonts w:cs="Arial"/>
          <w:sz w:val="16"/>
          <w:szCs w:val="16"/>
          <w:rtl/>
        </w:rPr>
      </w:pPr>
      <w:r w:rsidRPr="00AD04ED">
        <w:rPr>
          <w:rFonts w:cs="Arial" w:hint="cs"/>
          <w:u w:val="single"/>
          <w:rtl/>
        </w:rPr>
        <w:t>חתיכה שנמצאה ליד נבלה:</w:t>
      </w:r>
      <w:r>
        <w:rPr>
          <w:rFonts w:cs="Arial" w:hint="cs"/>
          <w:rtl/>
        </w:rPr>
        <w:t xml:space="preserve">   </w:t>
      </w:r>
      <w:r w:rsidRPr="00AD04ED">
        <w:rPr>
          <w:rFonts w:cs="Arial" w:hint="cs"/>
          <w:sz w:val="16"/>
          <w:szCs w:val="16"/>
          <w:rtl/>
        </w:rPr>
        <w:t>(בדה"ב)</w:t>
      </w:r>
    </w:p>
    <w:p w14:paraId="3DB2CA0B" w14:textId="77777777" w:rsidR="002C39F4" w:rsidRPr="004A56B9" w:rsidRDefault="002C39F4" w:rsidP="0032102C">
      <w:pPr>
        <w:pStyle w:val="a8"/>
        <w:numPr>
          <w:ilvl w:val="0"/>
          <w:numId w:val="254"/>
        </w:numPr>
        <w:rPr>
          <w:rtl/>
        </w:rPr>
      </w:pPr>
      <w:r w:rsidRPr="00AD04ED">
        <w:rPr>
          <w:rFonts w:cs="Arial" w:hint="cs"/>
          <w:rtl/>
        </w:rPr>
        <w:t>רי"ו</w:t>
      </w:r>
      <w:r w:rsidRPr="00AD04ED">
        <w:rPr>
          <w:rFonts w:cs="Arial"/>
          <w:rtl/>
        </w:rPr>
        <w:t xml:space="preserve"> </w:t>
      </w:r>
      <w:r w:rsidRPr="00AD04ED">
        <w:rPr>
          <w:rFonts w:cs="Arial"/>
          <w:sz w:val="16"/>
          <w:szCs w:val="16"/>
          <w:rtl/>
        </w:rPr>
        <w:t>(נט"ו אות כט קלח:)</w:t>
      </w:r>
      <w:r w:rsidRPr="00AD04ED">
        <w:rPr>
          <w:rFonts w:cs="Arial" w:hint="cs"/>
          <w:rtl/>
        </w:rPr>
        <w:t>-</w:t>
      </w:r>
      <w:r w:rsidRPr="00AD04ED">
        <w:rPr>
          <w:rFonts w:cs="Arial"/>
          <w:rtl/>
        </w:rPr>
        <w:t xml:space="preserve"> הא דאמרינן ובנמצא הלך אחר הרוב אפילו נמצא קרוב לנבילה</w:t>
      </w:r>
      <w:r w:rsidRPr="00AD04ED">
        <w:rPr>
          <w:rFonts w:cs="Arial" w:hint="cs"/>
          <w:rtl/>
        </w:rPr>
        <w:t>,</w:t>
      </w:r>
      <w:r w:rsidRPr="00AD04ED">
        <w:rPr>
          <w:rFonts w:cs="Arial"/>
          <w:rtl/>
        </w:rPr>
        <w:t xml:space="preserve"> דרוב וקרוב הלך אחר הרוב פשוט בפרק לא יחפור </w:t>
      </w:r>
      <w:r w:rsidRPr="00AD04ED">
        <w:rPr>
          <w:rFonts w:cs="Arial"/>
          <w:sz w:val="16"/>
          <w:szCs w:val="16"/>
          <w:rtl/>
        </w:rPr>
        <w:t>(</w:t>
      </w:r>
      <w:r w:rsidRPr="00AD04ED">
        <w:rPr>
          <w:rFonts w:cs="Arial" w:hint="cs"/>
          <w:sz w:val="16"/>
          <w:szCs w:val="16"/>
          <w:rtl/>
        </w:rPr>
        <w:t xml:space="preserve">ב"ב </w:t>
      </w:r>
      <w:r w:rsidRPr="00AD04ED">
        <w:rPr>
          <w:rFonts w:cs="Arial"/>
          <w:sz w:val="16"/>
          <w:szCs w:val="16"/>
          <w:rtl/>
        </w:rPr>
        <w:t>כג:)</w:t>
      </w:r>
      <w:r w:rsidRPr="00AD04ED">
        <w:rPr>
          <w:rFonts w:cs="Arial"/>
          <w:rtl/>
        </w:rPr>
        <w:t xml:space="preserve">. </w:t>
      </w:r>
    </w:p>
    <w:p w14:paraId="0EFDDBD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BE7AAC3" w14:textId="77777777" w:rsidR="002C39F4" w:rsidRDefault="002C39F4" w:rsidP="002C39F4">
      <w:pPr>
        <w:rPr>
          <w:rFonts w:asciiTheme="minorBidi" w:hAnsiTheme="minorBidi"/>
          <w:rtl/>
        </w:rPr>
      </w:pPr>
      <w:r w:rsidRPr="003024E5">
        <w:rPr>
          <w:rFonts w:asciiTheme="minorBidi" w:hAnsiTheme="minorBidi"/>
          <w:rtl/>
        </w:rPr>
        <w:t xml:space="preserve">מי שלקח בשר ממקולין </w:t>
      </w:r>
      <w:r w:rsidRPr="004A56B9">
        <w:rPr>
          <w:rFonts w:asciiTheme="minorBidi" w:hAnsiTheme="minorBidi"/>
          <w:sz w:val="16"/>
          <w:szCs w:val="16"/>
          <w:rtl/>
        </w:rPr>
        <w:t xml:space="preserve">(פי' בית המטבחיים) </w:t>
      </w:r>
      <w:r w:rsidRPr="003024E5">
        <w:rPr>
          <w:rFonts w:asciiTheme="minorBidi" w:hAnsiTheme="minorBidi"/>
          <w:rtl/>
        </w:rPr>
        <w:t>ואפילו חתיכה הראויה להתכבד ונמצאת טרפה במקולין ולא נודעו חתיכות הטריפה ואינו יודע מאיזו לקח כל מה שלקחו מהמקולין קודם שנמצאת הטרפה מותר, שלא נפל הספק בקבוע אלא לאחר שפירש וכיון שהרוב כשר מותר. אבל ליקח מכאן ואילך אסור, ואפילו חתיכה שאינה ראויה להתכבד</w:t>
      </w:r>
      <w:r>
        <w:rPr>
          <w:rStyle w:val="a7"/>
          <w:rFonts w:asciiTheme="minorBidi" w:hAnsiTheme="minorBidi"/>
          <w:rtl/>
        </w:rPr>
        <w:footnoteReference w:id="2483"/>
      </w:r>
      <w:r>
        <w:rPr>
          <w:rFonts w:asciiTheme="minorBidi" w:hAnsiTheme="minorBidi" w:hint="cs"/>
          <w:rtl/>
        </w:rPr>
        <w:t>,</w:t>
      </w:r>
      <w:r w:rsidRPr="003024E5">
        <w:rPr>
          <w:rFonts w:asciiTheme="minorBidi" w:hAnsiTheme="minorBidi"/>
          <w:rtl/>
        </w:rPr>
        <w:t xml:space="preserve"> שאין הכל בקיאין בזה ויטעו בין ראויה להתכבד לשאינה ראויה</w:t>
      </w:r>
      <w:r>
        <w:rPr>
          <w:rStyle w:val="a7"/>
          <w:rFonts w:asciiTheme="minorBidi" w:hAnsiTheme="minorBidi"/>
          <w:rtl/>
        </w:rPr>
        <w:footnoteReference w:id="2484"/>
      </w:r>
      <w:r w:rsidRPr="003024E5">
        <w:rPr>
          <w:rFonts w:asciiTheme="minorBidi" w:hAnsiTheme="minorBidi"/>
          <w:rtl/>
        </w:rPr>
        <w:t>.</w:t>
      </w:r>
      <w:r>
        <w:rPr>
          <w:rFonts w:asciiTheme="minorBidi" w:hAnsiTheme="minorBidi" w:hint="cs"/>
          <w:rtl/>
        </w:rPr>
        <w:t xml:space="preserve">  </w:t>
      </w:r>
      <w:r w:rsidRPr="003024E5">
        <w:rPr>
          <w:rFonts w:asciiTheme="minorBidi" w:hAnsiTheme="minorBidi"/>
          <w:rtl/>
        </w:rPr>
        <w:t xml:space="preserve"> </w:t>
      </w:r>
    </w:p>
    <w:p w14:paraId="418EC4A5" w14:textId="77777777" w:rsidR="002C39F4" w:rsidRPr="003024E5" w:rsidRDefault="002C39F4" w:rsidP="002C39F4">
      <w:pPr>
        <w:rPr>
          <w:rFonts w:asciiTheme="minorBidi" w:hAnsiTheme="minorBidi"/>
          <w:rtl/>
        </w:rPr>
      </w:pPr>
    </w:p>
    <w:p w14:paraId="1D1AC490"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דבר חשוב שנתערב ברוב היתר ופירש אחד מהרוב.</w:t>
      </w:r>
    </w:p>
    <w:p w14:paraId="26F37AE4" w14:textId="77777777" w:rsidR="002C39F4" w:rsidRPr="00227361" w:rsidRDefault="002C39F4" w:rsidP="002C39F4">
      <w:pPr>
        <w:rPr>
          <w:u w:val="single"/>
          <w:rtl/>
        </w:rPr>
      </w:pPr>
      <w:r w:rsidRPr="00227361">
        <w:rPr>
          <w:rFonts w:asciiTheme="minorBidi" w:hAnsiTheme="minorBidi"/>
          <w:u w:val="single"/>
          <w:rtl/>
        </w:rPr>
        <w:t>בעלי חיים</w:t>
      </w:r>
      <w:r w:rsidRPr="00227361">
        <w:rPr>
          <w:rFonts w:asciiTheme="minorBidi" w:hAnsiTheme="minorBidi"/>
          <w:sz w:val="16"/>
          <w:szCs w:val="16"/>
          <w:u w:val="single"/>
          <w:rtl/>
        </w:rPr>
        <w:t xml:space="preserve"> </w:t>
      </w:r>
      <w:r w:rsidRPr="00B4693A">
        <w:rPr>
          <w:rFonts w:asciiTheme="minorBidi" w:hAnsiTheme="minorBidi"/>
          <w:u w:val="single"/>
          <w:rtl/>
        </w:rPr>
        <w:t>ושאר דברים חשובים</w:t>
      </w:r>
      <w:r w:rsidRPr="00B4693A">
        <w:rPr>
          <w:rFonts w:asciiTheme="minorBidi" w:hAnsiTheme="minorBidi" w:hint="cs"/>
          <w:u w:val="single"/>
          <w:rtl/>
        </w:rPr>
        <w:t xml:space="preserve"> </w:t>
      </w:r>
      <w:r>
        <w:rPr>
          <w:rFonts w:asciiTheme="minorBidi" w:hAnsiTheme="minorBidi" w:hint="cs"/>
          <w:sz w:val="16"/>
          <w:szCs w:val="16"/>
          <w:u w:val="single"/>
          <w:rtl/>
        </w:rPr>
        <w:t>(</w:t>
      </w:r>
      <w:r w:rsidRPr="00227361">
        <w:rPr>
          <w:rFonts w:asciiTheme="minorBidi" w:hAnsiTheme="minorBidi" w:hint="cs"/>
          <w:sz w:val="16"/>
          <w:szCs w:val="16"/>
          <w:u w:val="single"/>
          <w:rtl/>
        </w:rPr>
        <w:t>ש</w:t>
      </w:r>
      <w:r w:rsidRPr="00227361">
        <w:rPr>
          <w:rFonts w:asciiTheme="minorBidi" w:hAnsiTheme="minorBidi"/>
          <w:sz w:val="16"/>
          <w:szCs w:val="16"/>
          <w:u w:val="single"/>
          <w:rtl/>
        </w:rPr>
        <w:t>אינם בטלים אפי</w:t>
      </w:r>
      <w:r w:rsidRPr="00227361">
        <w:rPr>
          <w:rFonts w:asciiTheme="minorBidi" w:hAnsiTheme="minorBidi" w:hint="cs"/>
          <w:sz w:val="16"/>
          <w:szCs w:val="16"/>
          <w:u w:val="single"/>
          <w:rtl/>
        </w:rPr>
        <w:t>לו</w:t>
      </w:r>
      <w:r w:rsidRPr="00227361">
        <w:rPr>
          <w:rFonts w:asciiTheme="minorBidi" w:hAnsiTheme="minorBidi"/>
          <w:sz w:val="16"/>
          <w:szCs w:val="16"/>
          <w:u w:val="single"/>
          <w:rtl/>
        </w:rPr>
        <w:t xml:space="preserve"> באלף</w:t>
      </w:r>
      <w:r w:rsidRPr="00227361">
        <w:rPr>
          <w:rFonts w:asciiTheme="minorBidi" w:hAnsiTheme="minorBidi" w:hint="cs"/>
          <w:sz w:val="16"/>
          <w:szCs w:val="16"/>
          <w:u w:val="single"/>
          <w:rtl/>
        </w:rPr>
        <w:t>)</w:t>
      </w:r>
      <w:r w:rsidRPr="00227361">
        <w:rPr>
          <w:rFonts w:asciiTheme="minorBidi" w:hAnsiTheme="minorBidi"/>
          <w:u w:val="single"/>
          <w:rtl/>
        </w:rPr>
        <w:t xml:space="preserve"> שנתערבו </w:t>
      </w:r>
      <w:r>
        <w:rPr>
          <w:rFonts w:asciiTheme="minorBidi" w:hAnsiTheme="minorBidi" w:hint="cs"/>
          <w:u w:val="single"/>
          <w:rtl/>
        </w:rPr>
        <w:t xml:space="preserve">בהיתר </w:t>
      </w:r>
      <w:r w:rsidRPr="00227361">
        <w:rPr>
          <w:rFonts w:asciiTheme="minorBidi" w:hAnsiTheme="minorBidi" w:hint="cs"/>
          <w:u w:val="single"/>
          <w:rtl/>
        </w:rPr>
        <w:t>ו</w:t>
      </w:r>
      <w:r w:rsidRPr="00227361">
        <w:rPr>
          <w:rFonts w:asciiTheme="minorBidi" w:hAnsiTheme="minorBidi"/>
          <w:u w:val="single"/>
          <w:rtl/>
        </w:rPr>
        <w:t>פירש אחד מן הרוב</w:t>
      </w:r>
      <w:r w:rsidRPr="00227361">
        <w:rPr>
          <w:rFonts w:asciiTheme="minorBidi" w:hAnsiTheme="minorBidi" w:hint="cs"/>
          <w:u w:val="single"/>
          <w:rtl/>
        </w:rPr>
        <w:t>:</w:t>
      </w:r>
    </w:p>
    <w:p w14:paraId="65BE479B" w14:textId="77777777" w:rsidR="002C39F4" w:rsidRPr="00267E0E" w:rsidRDefault="002C39F4" w:rsidP="0032102C">
      <w:pPr>
        <w:pStyle w:val="a8"/>
        <w:numPr>
          <w:ilvl w:val="0"/>
          <w:numId w:val="254"/>
        </w:numPr>
      </w:pPr>
      <w:r>
        <w:rPr>
          <w:rFonts w:cs="Arial" w:hint="cs"/>
          <w:rtl/>
        </w:rPr>
        <w:t xml:space="preserve">ר"י </w:t>
      </w:r>
      <w:r>
        <w:rPr>
          <w:rFonts w:cs="Arial" w:hint="cs"/>
          <w:sz w:val="16"/>
          <w:szCs w:val="16"/>
          <w:rtl/>
        </w:rPr>
        <w:t xml:space="preserve">(כ"כ בשמו הב"י </w:t>
      </w:r>
      <w:r w:rsidRPr="00227361">
        <w:rPr>
          <w:rFonts w:cs="Arial" w:hint="cs"/>
          <w:sz w:val="14"/>
          <w:szCs w:val="14"/>
          <w:rtl/>
        </w:rPr>
        <w:t>[כאן ולעיל]</w:t>
      </w:r>
      <w:r>
        <w:rPr>
          <w:rFonts w:cs="Arial" w:hint="cs"/>
          <w:sz w:val="16"/>
          <w:szCs w:val="16"/>
          <w:rtl/>
        </w:rPr>
        <w:t xml:space="preserve">) </w:t>
      </w:r>
      <w:r>
        <w:rPr>
          <w:rFonts w:cs="Arial"/>
          <w:rtl/>
        </w:rPr>
        <w:t xml:space="preserve">רא"ש </w:t>
      </w:r>
      <w:r w:rsidRPr="00227361">
        <w:rPr>
          <w:rFonts w:cs="Arial"/>
          <w:sz w:val="16"/>
          <w:szCs w:val="16"/>
          <w:rtl/>
        </w:rPr>
        <w:t>(פג"ה סי' כא)</w:t>
      </w:r>
      <w:r>
        <w:rPr>
          <w:rFonts w:hint="cs"/>
          <w:rtl/>
        </w:rPr>
        <w:t xml:space="preserve"> טור</w:t>
      </w:r>
      <w:r w:rsidRPr="00267E0E">
        <w:rPr>
          <w:rFonts w:cs="Arial" w:hint="cs"/>
          <w:rtl/>
        </w:rPr>
        <w:t xml:space="preserve"> </w:t>
      </w:r>
      <w:r>
        <w:rPr>
          <w:rFonts w:cs="Arial" w:hint="cs"/>
          <w:rtl/>
        </w:rPr>
        <w:t>ואו</w:t>
      </w:r>
      <w:r>
        <w:rPr>
          <w:rFonts w:cs="Arial"/>
          <w:rtl/>
        </w:rPr>
        <w:t>"</w:t>
      </w:r>
      <w:r>
        <w:rPr>
          <w:rFonts w:cs="Arial" w:hint="cs"/>
          <w:rtl/>
        </w:rPr>
        <w:t>ה</w:t>
      </w:r>
      <w:r>
        <w:rPr>
          <w:rFonts w:cs="Arial" w:hint="cs"/>
          <w:sz w:val="16"/>
          <w:szCs w:val="16"/>
          <w:rtl/>
        </w:rPr>
        <w:t xml:space="preserve"> (כלל כו די"א)</w:t>
      </w:r>
      <w:r>
        <w:rPr>
          <w:rFonts w:hint="cs"/>
          <w:rtl/>
        </w:rPr>
        <w:t xml:space="preserve">- </w:t>
      </w:r>
      <w:r w:rsidRPr="00227361">
        <w:rPr>
          <w:rFonts w:cs="Arial"/>
          <w:rtl/>
        </w:rPr>
        <w:t xml:space="preserve">הא דשרינן </w:t>
      </w:r>
      <w:r>
        <w:rPr>
          <w:rFonts w:cs="Arial" w:hint="cs"/>
          <w:sz w:val="16"/>
          <w:szCs w:val="16"/>
          <w:rtl/>
        </w:rPr>
        <w:t xml:space="preserve">{בסע' ג} </w:t>
      </w:r>
      <w:r w:rsidRPr="00227361">
        <w:rPr>
          <w:rFonts w:cs="Arial"/>
          <w:rtl/>
        </w:rPr>
        <w:t>כשפירש א</w:t>
      </w:r>
      <w:r>
        <w:rPr>
          <w:rFonts w:cs="Arial" w:hint="cs"/>
          <w:rtl/>
        </w:rPr>
        <w:t>חד</w:t>
      </w:r>
      <w:r w:rsidRPr="00227361">
        <w:rPr>
          <w:rFonts w:cs="Arial"/>
          <w:rtl/>
        </w:rPr>
        <w:t xml:space="preserve"> מהם מהרוב דוקא דומיא דט' חניות שהאיסור ידוע וניכר במקומו אבל בעלי חיים ושאר דברים חשובים שנתערבו בהיתר שאינן בטלים אפי' באלף אפי' אם פירש אחד מהן מן הרוב אסור דכיון שאין האיסור ניכר במקומו חיישינן שמא יקח מן הקבוע</w:t>
      </w:r>
      <w:r>
        <w:rPr>
          <w:rFonts w:hint="cs"/>
          <w:rtl/>
        </w:rPr>
        <w:t xml:space="preserve">... </w:t>
      </w:r>
      <w:r w:rsidRPr="00267E0E">
        <w:rPr>
          <w:rFonts w:cs="Arial" w:hint="cs"/>
          <w:rtl/>
        </w:rPr>
        <w:t>ו</w:t>
      </w:r>
      <w:r w:rsidRPr="00267E0E">
        <w:rPr>
          <w:rFonts w:cs="Arial"/>
          <w:rtl/>
        </w:rPr>
        <w:t>אפילו פירש ממילא נמי אסור</w:t>
      </w:r>
      <w:r w:rsidRPr="00267E0E">
        <w:rPr>
          <w:rFonts w:cs="Arial" w:hint="cs"/>
          <w:rtl/>
        </w:rPr>
        <w:t xml:space="preserve"> </w:t>
      </w:r>
      <w:r w:rsidRPr="00267E0E">
        <w:rPr>
          <w:rFonts w:hint="cs"/>
          <w:sz w:val="16"/>
          <w:szCs w:val="16"/>
          <w:rtl/>
        </w:rPr>
        <w:t>(ל' הטור)</w:t>
      </w:r>
      <w:r>
        <w:rPr>
          <w:rFonts w:hint="cs"/>
          <w:rtl/>
        </w:rPr>
        <w:t>.</w:t>
      </w:r>
      <w:r w:rsidRPr="00267E0E">
        <w:rPr>
          <w:rFonts w:cs="Arial" w:hint="cs"/>
          <w:rtl/>
        </w:rPr>
        <w:t xml:space="preserve"> (וכ"פ רש"ל</w:t>
      </w:r>
      <w:r>
        <w:rPr>
          <w:rStyle w:val="a7"/>
          <w:rFonts w:cs="Arial"/>
          <w:rtl/>
        </w:rPr>
        <w:footnoteReference w:id="2485"/>
      </w:r>
      <w:r w:rsidRPr="00267E0E">
        <w:rPr>
          <w:rFonts w:cs="Arial" w:hint="cs"/>
          <w:sz w:val="16"/>
          <w:szCs w:val="16"/>
          <w:rtl/>
        </w:rPr>
        <w:t xml:space="preserve"> [חולין פ"ז סי' כג]</w:t>
      </w:r>
      <w:r w:rsidRPr="00267E0E">
        <w:rPr>
          <w:rFonts w:cs="Arial" w:hint="cs"/>
          <w:rtl/>
        </w:rPr>
        <w:t>)</w:t>
      </w:r>
    </w:p>
    <w:p w14:paraId="4FCDE9C9" w14:textId="77777777" w:rsidR="002C39F4" w:rsidRDefault="002C39F4" w:rsidP="0032102C">
      <w:pPr>
        <w:pStyle w:val="a8"/>
        <w:numPr>
          <w:ilvl w:val="0"/>
          <w:numId w:val="254"/>
        </w:numPr>
        <w:rPr>
          <w:rFonts w:cs="Arial"/>
        </w:rPr>
      </w:pPr>
      <w:r>
        <w:rPr>
          <w:rFonts w:cs="Arial" w:hint="cs"/>
          <w:rtl/>
        </w:rPr>
        <w:t>שאילתות ר"ת ו</w:t>
      </w:r>
      <w:r w:rsidRPr="008C0A32">
        <w:rPr>
          <w:rFonts w:cs="Arial" w:hint="cs"/>
          <w:rtl/>
        </w:rPr>
        <w:t>רשב"א</w:t>
      </w:r>
      <w:r>
        <w:rPr>
          <w:rStyle w:val="a7"/>
          <w:rFonts w:cs="Arial"/>
          <w:rtl/>
        </w:rPr>
        <w:footnoteReference w:id="2486"/>
      </w:r>
      <w:r>
        <w:rPr>
          <w:rFonts w:cs="Arial" w:hint="cs"/>
          <w:rtl/>
        </w:rPr>
        <w:t xml:space="preserve">- אסור </w:t>
      </w:r>
      <w:r w:rsidRPr="00227361">
        <w:rPr>
          <w:rFonts w:cs="Arial"/>
          <w:rtl/>
        </w:rPr>
        <w:t>דוקא כשהפרישן במתכוין אבל אם פירש ממילא שרי</w:t>
      </w:r>
      <w:r>
        <w:rPr>
          <w:rFonts w:cs="Arial" w:hint="cs"/>
          <w:rtl/>
        </w:rPr>
        <w:t xml:space="preserve">. </w:t>
      </w:r>
      <w:r w:rsidRPr="00787805">
        <w:rPr>
          <w:rFonts w:cs="Arial" w:hint="cs"/>
          <w:color w:val="E36C0A" w:themeColor="accent6" w:themeShade="BF"/>
          <w:rtl/>
        </w:rPr>
        <w:t>(וכ"פ בשו"ע)</w:t>
      </w:r>
    </w:p>
    <w:p w14:paraId="298EB41D" w14:textId="77777777" w:rsidR="002C39F4" w:rsidRPr="00787805" w:rsidRDefault="002C39F4" w:rsidP="002C39F4">
      <w:pPr>
        <w:ind w:left="360"/>
        <w:rPr>
          <w:rFonts w:cs="Arial"/>
          <w:u w:val="dotted"/>
        </w:rPr>
      </w:pPr>
      <w:r>
        <w:rPr>
          <w:rFonts w:cs="Arial" w:hint="cs"/>
          <w:u w:val="dotted"/>
          <w:rtl/>
        </w:rPr>
        <w:t xml:space="preserve">לאוסרים - </w:t>
      </w:r>
      <w:r w:rsidRPr="00787805">
        <w:rPr>
          <w:rFonts w:cs="Arial" w:hint="cs"/>
          <w:u w:val="dotted"/>
          <w:rtl/>
        </w:rPr>
        <w:t>מה הדין אם פירש קודם שנודע התערובת:</w:t>
      </w:r>
    </w:p>
    <w:p w14:paraId="62A08C2F" w14:textId="77777777" w:rsidR="002C39F4" w:rsidRDefault="002C39F4" w:rsidP="0032102C">
      <w:pPr>
        <w:pStyle w:val="a8"/>
        <w:numPr>
          <w:ilvl w:val="0"/>
          <w:numId w:val="254"/>
        </w:numPr>
        <w:rPr>
          <w:rFonts w:cs="Arial"/>
        </w:rPr>
      </w:pPr>
      <w:r>
        <w:rPr>
          <w:rFonts w:cs="Arial" w:hint="cs"/>
          <w:rtl/>
        </w:rPr>
        <w:t>רשב"א</w:t>
      </w:r>
      <w:r>
        <w:rPr>
          <w:rStyle w:val="a7"/>
          <w:rFonts w:cs="Arial"/>
          <w:rtl/>
        </w:rPr>
        <w:footnoteReference w:id="2487"/>
      </w:r>
      <w:r>
        <w:rPr>
          <w:rFonts w:cs="Arial" w:hint="cs"/>
          <w:rtl/>
        </w:rPr>
        <w:t xml:space="preserve"> </w:t>
      </w:r>
      <w:r w:rsidRPr="008C0A32">
        <w:rPr>
          <w:rFonts w:cs="Arial" w:hint="cs"/>
          <w:sz w:val="16"/>
          <w:szCs w:val="16"/>
          <w:rtl/>
        </w:rPr>
        <w:t xml:space="preserve">(תוה"א </w:t>
      </w:r>
      <w:r w:rsidRPr="008C0A32">
        <w:rPr>
          <w:rFonts w:cs="Arial"/>
          <w:sz w:val="16"/>
          <w:szCs w:val="16"/>
          <w:rtl/>
        </w:rPr>
        <w:t>ב"ד ש"ב ל.)</w:t>
      </w:r>
      <w:r>
        <w:rPr>
          <w:rFonts w:cs="Arial" w:hint="cs"/>
          <w:sz w:val="16"/>
          <w:szCs w:val="16"/>
          <w:rtl/>
        </w:rPr>
        <w:t xml:space="preserve"> </w:t>
      </w:r>
      <w:r>
        <w:rPr>
          <w:rFonts w:cs="Arial"/>
          <w:rtl/>
        </w:rPr>
        <w:t xml:space="preserve">רא"ש </w:t>
      </w:r>
      <w:r>
        <w:rPr>
          <w:rFonts w:cs="Arial" w:hint="cs"/>
          <w:sz w:val="16"/>
          <w:szCs w:val="16"/>
          <w:rtl/>
        </w:rPr>
        <w:t xml:space="preserve">(בתשו' </w:t>
      </w:r>
      <w:r w:rsidRPr="00346692">
        <w:rPr>
          <w:rFonts w:cs="Arial"/>
          <w:sz w:val="16"/>
          <w:szCs w:val="16"/>
          <w:rtl/>
        </w:rPr>
        <w:t>כלל כ סי' יז)</w:t>
      </w:r>
      <w:r>
        <w:rPr>
          <w:rFonts w:cs="Arial" w:hint="cs"/>
          <w:rtl/>
        </w:rPr>
        <w:t xml:space="preserve"> וטור- </w:t>
      </w:r>
      <w:r w:rsidRPr="00227361">
        <w:rPr>
          <w:rFonts w:cs="Arial"/>
          <w:rtl/>
        </w:rPr>
        <w:t>ומיהו דוקא כשפירש אחר שנודע התערובות אבל אם פירש קודם שנודע התערובת מותרת</w:t>
      </w:r>
      <w:r>
        <w:rPr>
          <w:rFonts w:cs="Arial" w:hint="cs"/>
          <w:rtl/>
        </w:rPr>
        <w:t>,</w:t>
      </w:r>
      <w:r w:rsidRPr="00227361">
        <w:rPr>
          <w:rFonts w:cs="Arial"/>
          <w:rtl/>
        </w:rPr>
        <w:t xml:space="preserve"> דבהא לא שייך למיגזר שמא יקח מן הקבוע דהא אכתי כולם בחזקת היתר הם</w:t>
      </w:r>
      <w:r>
        <w:rPr>
          <w:rFonts w:cs="Arial" w:hint="cs"/>
          <w:rtl/>
        </w:rPr>
        <w:t>,</w:t>
      </w:r>
      <w:r w:rsidRPr="00227361">
        <w:rPr>
          <w:rFonts w:cs="Arial"/>
          <w:rtl/>
        </w:rPr>
        <w:t xml:space="preserve"> ואפילו אם פירש לפנינו מותר כיון שעדיין לא נולד הספק</w:t>
      </w:r>
      <w:r>
        <w:rPr>
          <w:rFonts w:cs="Arial" w:hint="cs"/>
          <w:rtl/>
        </w:rPr>
        <w:t>,</w:t>
      </w:r>
      <w:r w:rsidRPr="00227361">
        <w:rPr>
          <w:rFonts w:cs="Arial"/>
          <w:rtl/>
        </w:rPr>
        <w:t xml:space="preserve"> אם כן לא נולד הספק במקום הקביעות ותלינן דמרובא פירש</w:t>
      </w:r>
      <w:r>
        <w:rPr>
          <w:rFonts w:cs="Arial" w:hint="cs"/>
          <w:rtl/>
        </w:rPr>
        <w:t>,</w:t>
      </w:r>
      <w:r w:rsidRPr="00227361">
        <w:rPr>
          <w:rFonts w:cs="Arial"/>
          <w:rtl/>
        </w:rPr>
        <w:t xml:space="preserve"> דכל זמן שהן בחזקת היתר אין חילוק בין פירש בפנינו ובין פירש שלא בפנינו</w:t>
      </w:r>
      <w:r>
        <w:rPr>
          <w:rFonts w:hint="cs"/>
          <w:sz w:val="16"/>
          <w:szCs w:val="16"/>
          <w:rtl/>
        </w:rPr>
        <w:t xml:space="preserve"> (ל' הטור)</w:t>
      </w:r>
      <w:r>
        <w:rPr>
          <w:rFonts w:hint="cs"/>
          <w:rtl/>
        </w:rPr>
        <w:t>.</w:t>
      </w:r>
    </w:p>
    <w:p w14:paraId="442EC423" w14:textId="77777777" w:rsidR="002C39F4" w:rsidRDefault="002C39F4" w:rsidP="002C39F4">
      <w:pPr>
        <w:ind w:left="360"/>
        <w:rPr>
          <w:rFonts w:cs="Arial"/>
          <w:rtl/>
        </w:rPr>
      </w:pPr>
      <w:r w:rsidRPr="00186FFF">
        <w:rPr>
          <w:rFonts w:cs="Arial" w:hint="cs"/>
          <w:u w:val="dotted"/>
          <w:rtl/>
        </w:rPr>
        <w:t xml:space="preserve">לאוסרים </w:t>
      </w:r>
      <w:r w:rsidRPr="00186FFF">
        <w:rPr>
          <w:rFonts w:cs="Arial"/>
          <w:u w:val="dotted"/>
          <w:rtl/>
        </w:rPr>
        <w:t>–</w:t>
      </w:r>
      <w:r w:rsidRPr="00186FFF">
        <w:rPr>
          <w:rFonts w:cs="Arial" w:hint="cs"/>
          <w:u w:val="dotted"/>
          <w:rtl/>
        </w:rPr>
        <w:t xml:space="preserve"> מה הדין בספק איסור</w:t>
      </w:r>
      <w:r>
        <w:rPr>
          <w:rFonts w:cs="Arial" w:hint="cs"/>
          <w:u w:val="dotted"/>
          <w:rtl/>
        </w:rPr>
        <w:t>:</w:t>
      </w:r>
      <w:r>
        <w:rPr>
          <w:rFonts w:cs="Arial" w:hint="cs"/>
          <w:rtl/>
        </w:rPr>
        <w:t xml:space="preserve">   </w:t>
      </w:r>
      <w:r w:rsidRPr="00186FFF">
        <w:rPr>
          <w:rFonts w:cs="Arial"/>
          <w:sz w:val="16"/>
          <w:szCs w:val="16"/>
          <w:rtl/>
        </w:rPr>
        <w:t>(</w:t>
      </w:r>
      <w:r w:rsidRPr="00186FFF">
        <w:rPr>
          <w:rFonts w:cs="Arial" w:hint="cs"/>
          <w:sz w:val="16"/>
          <w:szCs w:val="16"/>
          <w:rtl/>
        </w:rPr>
        <w:t>פת"ש סק"</w:t>
      </w:r>
      <w:r w:rsidRPr="00186FFF">
        <w:rPr>
          <w:rFonts w:cs="Arial"/>
          <w:sz w:val="16"/>
          <w:szCs w:val="16"/>
          <w:rtl/>
        </w:rPr>
        <w:t>ו)</w:t>
      </w:r>
      <w:r w:rsidRPr="00186FFF">
        <w:rPr>
          <w:rFonts w:cs="Arial"/>
          <w:rtl/>
        </w:rPr>
        <w:t xml:space="preserve"> </w:t>
      </w:r>
    </w:p>
    <w:p w14:paraId="51273D1E" w14:textId="77777777" w:rsidR="002C39F4" w:rsidRPr="00186FFF" w:rsidRDefault="002C39F4" w:rsidP="0032102C">
      <w:pPr>
        <w:pStyle w:val="a8"/>
        <w:numPr>
          <w:ilvl w:val="0"/>
          <w:numId w:val="254"/>
        </w:numPr>
        <w:rPr>
          <w:rFonts w:cs="Arial"/>
          <w:rtl/>
        </w:rPr>
      </w:pPr>
      <w:r w:rsidRPr="00186FFF">
        <w:rPr>
          <w:rFonts w:cs="Arial"/>
          <w:rtl/>
        </w:rPr>
        <w:t xml:space="preserve">רדב"ז </w:t>
      </w:r>
      <w:r w:rsidRPr="00186FFF">
        <w:rPr>
          <w:rFonts w:cs="Arial" w:hint="cs"/>
          <w:sz w:val="16"/>
          <w:szCs w:val="16"/>
          <w:rtl/>
        </w:rPr>
        <w:t>(</w:t>
      </w:r>
      <w:r w:rsidRPr="00186FFF">
        <w:rPr>
          <w:rFonts w:cs="Arial"/>
          <w:sz w:val="16"/>
          <w:szCs w:val="16"/>
          <w:rtl/>
        </w:rPr>
        <w:t>החדשות סי' שעג)</w:t>
      </w:r>
      <w:r>
        <w:rPr>
          <w:rFonts w:cs="Arial" w:hint="cs"/>
          <w:rtl/>
        </w:rPr>
        <w:t>-</w:t>
      </w:r>
      <w:r w:rsidRPr="00186FFF">
        <w:rPr>
          <w:rFonts w:cs="Arial"/>
          <w:rtl/>
        </w:rPr>
        <w:t xml:space="preserve"> אף דלא קיי"ל כדעת ר"ת שהתיר אפילו ודאי דרוסה שנתערבה ע"י דניכבשינהו וכל דפריש מר"פ ולא גזרינן שמא יקח מן הקבוע היינו דוקא בודאי דרוסה אבל בספק דרוסה כגון דלא ידעינן אם דרס ביד או בשן ונתערב באחרות יש לפסוק כדבריו ולהתיר ע"י דניכבשינהו וכל דפריש מר"פ והשתים האחרונות אסורות ולא גזרינן בזה שמא יקח מן הקבוע דאפילו אם יקח הוי ס"ס שמא אינה זו ושמא אינה דרוסה ואף שכתב ר"י</w:t>
      </w:r>
      <w:r w:rsidRPr="00186FFF">
        <w:rPr>
          <w:rFonts w:cs="Arial"/>
          <w:sz w:val="16"/>
          <w:szCs w:val="16"/>
          <w:rtl/>
        </w:rPr>
        <w:t xml:space="preserve"> (הוא מ"ש המחבר סע</w:t>
      </w:r>
      <w:r w:rsidRPr="00186FFF">
        <w:rPr>
          <w:rFonts w:cs="Arial" w:hint="cs"/>
          <w:sz w:val="16"/>
          <w:szCs w:val="16"/>
          <w:rtl/>
        </w:rPr>
        <w:t>'</w:t>
      </w:r>
      <w:r w:rsidRPr="00186FFF">
        <w:rPr>
          <w:rFonts w:cs="Arial"/>
          <w:sz w:val="16"/>
          <w:szCs w:val="16"/>
          <w:rtl/>
        </w:rPr>
        <w:t xml:space="preserve"> ט)</w:t>
      </w:r>
      <w:r w:rsidRPr="00186FFF">
        <w:rPr>
          <w:rFonts w:cs="Arial"/>
          <w:rtl/>
        </w:rPr>
        <w:t xml:space="preserve"> דבכה"ג לאו ס"ס הוא היינו לענין ליקח מן התערובת אבל לגזור אפילו היכא דפריש מרובא משום דילמא אתי ליקח מן הקבוע זו חומרא גדולה והתורה חסה כו' ועל זו יש לסמוך למעשה</w:t>
      </w:r>
      <w:r>
        <w:rPr>
          <w:rFonts w:cs="Arial" w:hint="cs"/>
          <w:rtl/>
        </w:rPr>
        <w:t>.</w:t>
      </w:r>
      <w:r w:rsidRPr="00186FFF">
        <w:rPr>
          <w:rFonts w:cs="Arial"/>
          <w:rtl/>
        </w:rPr>
        <w:t xml:space="preserve"> </w:t>
      </w:r>
    </w:p>
    <w:p w14:paraId="69608FE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87D48E4" w14:textId="77777777" w:rsidR="002C39F4" w:rsidRDefault="002C39F4" w:rsidP="002C39F4">
      <w:pPr>
        <w:rPr>
          <w:rFonts w:asciiTheme="minorBidi" w:hAnsiTheme="minorBidi"/>
          <w:rtl/>
        </w:rPr>
      </w:pPr>
      <w:r w:rsidRPr="003024E5">
        <w:rPr>
          <w:rFonts w:asciiTheme="minorBidi" w:hAnsiTheme="minorBidi"/>
          <w:rtl/>
        </w:rPr>
        <w:t>בעלי חיים ושאר דברים החשובים שנתערבו בהיתר שאינם בטלים אפי</w:t>
      </w:r>
      <w:r>
        <w:rPr>
          <w:rFonts w:asciiTheme="minorBidi" w:hAnsiTheme="minorBidi" w:hint="cs"/>
          <w:rtl/>
        </w:rPr>
        <w:t>לו</w:t>
      </w:r>
      <w:r w:rsidRPr="003024E5">
        <w:rPr>
          <w:rFonts w:asciiTheme="minorBidi" w:hAnsiTheme="minorBidi"/>
          <w:rtl/>
        </w:rPr>
        <w:t xml:space="preserve"> באלף אפי</w:t>
      </w:r>
      <w:r>
        <w:rPr>
          <w:rFonts w:asciiTheme="minorBidi" w:hAnsiTheme="minorBidi" w:hint="cs"/>
          <w:rtl/>
        </w:rPr>
        <w:t>לו</w:t>
      </w:r>
      <w:r w:rsidRPr="003024E5">
        <w:rPr>
          <w:rFonts w:asciiTheme="minorBidi" w:hAnsiTheme="minorBidi"/>
          <w:rtl/>
        </w:rPr>
        <w:t xml:space="preserve"> אם פירש אחד מן הרוב אחר שנודע התערובות אסור</w:t>
      </w:r>
      <w:r>
        <w:rPr>
          <w:rStyle w:val="a7"/>
          <w:rFonts w:asciiTheme="minorBidi" w:hAnsiTheme="minorBidi"/>
          <w:rtl/>
        </w:rPr>
        <w:footnoteReference w:id="2488"/>
      </w:r>
      <w:r>
        <w:rPr>
          <w:rFonts w:asciiTheme="minorBidi" w:hAnsiTheme="minorBidi" w:hint="cs"/>
          <w:rtl/>
        </w:rPr>
        <w:t>,</w:t>
      </w:r>
      <w:r w:rsidRPr="003024E5">
        <w:rPr>
          <w:rFonts w:asciiTheme="minorBidi" w:hAnsiTheme="minorBidi"/>
          <w:rtl/>
        </w:rPr>
        <w:t xml:space="preserve"> והוא שהפרישו במתכוין, אבל אם פירש ממילא</w:t>
      </w:r>
      <w:r>
        <w:rPr>
          <w:rStyle w:val="a7"/>
          <w:rFonts w:asciiTheme="minorBidi" w:hAnsiTheme="minorBidi"/>
          <w:rtl/>
        </w:rPr>
        <w:footnoteReference w:id="2489"/>
      </w:r>
      <w:r w:rsidRPr="003024E5">
        <w:rPr>
          <w:rFonts w:asciiTheme="minorBidi" w:hAnsiTheme="minorBidi"/>
          <w:rtl/>
        </w:rPr>
        <w:t xml:space="preserve"> שרי</w:t>
      </w:r>
      <w:r>
        <w:rPr>
          <w:rStyle w:val="a7"/>
          <w:rFonts w:asciiTheme="minorBidi" w:hAnsiTheme="minorBidi"/>
          <w:rtl/>
        </w:rPr>
        <w:footnoteReference w:id="2490"/>
      </w:r>
      <w:r w:rsidRPr="003024E5">
        <w:rPr>
          <w:rFonts w:asciiTheme="minorBidi" w:hAnsiTheme="minorBidi"/>
          <w:rtl/>
        </w:rPr>
        <w:t xml:space="preserve">. </w:t>
      </w:r>
      <w:r w:rsidRPr="004A56B9">
        <w:rPr>
          <w:rFonts w:asciiTheme="minorBidi" w:hAnsiTheme="minorBidi"/>
          <w:sz w:val="18"/>
          <w:szCs w:val="18"/>
          <w:rtl/>
        </w:rPr>
        <w:t>הגה: והא דאסור אם הפרישו במתכוין היינו שלא פירש רק מעט ונשארו מקצת האיסורים במקומם, דאז חיישינן שמא יקח מן הקבוע גם כן</w:t>
      </w:r>
      <w:r>
        <w:rPr>
          <w:rFonts w:asciiTheme="minorBidi" w:hAnsiTheme="minorBidi" w:hint="cs"/>
          <w:sz w:val="18"/>
          <w:szCs w:val="18"/>
          <w:rtl/>
        </w:rPr>
        <w:t>,</w:t>
      </w:r>
      <w:r w:rsidRPr="004A56B9">
        <w:rPr>
          <w:rFonts w:asciiTheme="minorBidi" w:hAnsiTheme="minorBidi"/>
          <w:sz w:val="18"/>
          <w:szCs w:val="18"/>
          <w:rtl/>
        </w:rPr>
        <w:t xml:space="preserve"> אבל אם נתפרשו כולן ביחד ולא נשארו במקומן ובשעת עקירתן פירשו קצתן אותן שפירשו אז מותרים</w:t>
      </w:r>
      <w:r>
        <w:rPr>
          <w:rStyle w:val="a7"/>
          <w:rFonts w:asciiTheme="minorBidi" w:hAnsiTheme="minorBidi"/>
          <w:sz w:val="18"/>
          <w:szCs w:val="18"/>
          <w:rtl/>
        </w:rPr>
        <w:footnoteReference w:id="2491"/>
      </w:r>
      <w:r w:rsidRPr="00787805">
        <w:rPr>
          <w:rFonts w:asciiTheme="minorBidi" w:hAnsiTheme="minorBidi"/>
          <w:sz w:val="16"/>
          <w:szCs w:val="16"/>
          <w:rtl/>
        </w:rPr>
        <w:t xml:space="preserve"> (</w:t>
      </w:r>
      <w:r>
        <w:rPr>
          <w:rFonts w:asciiTheme="minorBidi" w:hAnsiTheme="minorBidi" w:hint="cs"/>
          <w:sz w:val="16"/>
          <w:szCs w:val="16"/>
          <w:rtl/>
        </w:rPr>
        <w:t xml:space="preserve">מחמיו </w:t>
      </w:r>
      <w:r>
        <w:rPr>
          <w:rFonts w:asciiTheme="minorBidi" w:hAnsiTheme="minorBidi"/>
          <w:sz w:val="16"/>
          <w:szCs w:val="16"/>
          <w:rtl/>
        </w:rPr>
        <w:t>הה</w:t>
      </w:r>
      <w:r>
        <w:rPr>
          <w:rFonts w:asciiTheme="minorBidi" w:hAnsiTheme="minorBidi" w:hint="cs"/>
          <w:sz w:val="16"/>
          <w:szCs w:val="16"/>
          <w:rtl/>
        </w:rPr>
        <w:t>"</w:t>
      </w:r>
      <w:r>
        <w:rPr>
          <w:rFonts w:asciiTheme="minorBidi" w:hAnsiTheme="minorBidi"/>
          <w:sz w:val="16"/>
          <w:szCs w:val="16"/>
          <w:rtl/>
        </w:rPr>
        <w:t>ר</w:t>
      </w:r>
      <w:r w:rsidRPr="00787805">
        <w:rPr>
          <w:rFonts w:asciiTheme="minorBidi" w:hAnsiTheme="minorBidi"/>
          <w:sz w:val="16"/>
          <w:szCs w:val="16"/>
          <w:rtl/>
        </w:rPr>
        <w:t xml:space="preserve"> שכנא)</w:t>
      </w:r>
      <w:r w:rsidRPr="004A56B9">
        <w:rPr>
          <w:rFonts w:asciiTheme="minorBidi" w:hAnsiTheme="minorBidi"/>
          <w:sz w:val="18"/>
          <w:szCs w:val="18"/>
          <w:rtl/>
        </w:rPr>
        <w:t xml:space="preserve">, רק שנים האחרונים אסורים </w:t>
      </w:r>
      <w:r>
        <w:rPr>
          <w:rFonts w:asciiTheme="minorBidi" w:hAnsiTheme="minorBidi"/>
          <w:sz w:val="16"/>
          <w:szCs w:val="16"/>
          <w:rtl/>
        </w:rPr>
        <w:t>(טור ס"ס נ</w:t>
      </w:r>
      <w:r w:rsidRPr="00787805">
        <w:rPr>
          <w:rFonts w:asciiTheme="minorBidi" w:hAnsiTheme="minorBidi"/>
          <w:sz w:val="16"/>
          <w:szCs w:val="16"/>
          <w:rtl/>
        </w:rPr>
        <w:t>ז)</w:t>
      </w:r>
      <w:r w:rsidRPr="004A56B9">
        <w:rPr>
          <w:rFonts w:asciiTheme="minorBidi" w:hAnsiTheme="minorBidi"/>
          <w:sz w:val="18"/>
          <w:szCs w:val="18"/>
          <w:rtl/>
        </w:rPr>
        <w:t>. ואם נתערבה תרנגולת טריפה בכשרות ונמצא ביצה ביניהם הביצה מותרת אע</w:t>
      </w:r>
      <w:r>
        <w:rPr>
          <w:rFonts w:asciiTheme="minorBidi" w:hAnsiTheme="minorBidi" w:hint="cs"/>
          <w:sz w:val="18"/>
          <w:szCs w:val="18"/>
          <w:rtl/>
        </w:rPr>
        <w:t>"</w:t>
      </w:r>
      <w:r w:rsidRPr="004A56B9">
        <w:rPr>
          <w:rFonts w:asciiTheme="minorBidi" w:hAnsiTheme="minorBidi"/>
          <w:sz w:val="18"/>
          <w:szCs w:val="18"/>
          <w:rtl/>
        </w:rPr>
        <w:t>ג דהתרנגולים חשובים ולא מתבטלין, לגבי ב</w:t>
      </w:r>
      <w:r>
        <w:rPr>
          <w:rFonts w:asciiTheme="minorBidi" w:hAnsiTheme="minorBidi"/>
          <w:sz w:val="18"/>
          <w:szCs w:val="18"/>
          <w:rtl/>
        </w:rPr>
        <w:t>יצה אזלינן בתר רובא</w:t>
      </w:r>
      <w:r>
        <w:rPr>
          <w:rStyle w:val="a7"/>
          <w:rFonts w:asciiTheme="minorBidi" w:hAnsiTheme="minorBidi"/>
          <w:sz w:val="18"/>
          <w:szCs w:val="18"/>
          <w:rtl/>
        </w:rPr>
        <w:footnoteReference w:id="2492"/>
      </w:r>
      <w:r w:rsidRPr="00787805">
        <w:rPr>
          <w:rFonts w:asciiTheme="minorBidi" w:hAnsiTheme="minorBidi"/>
          <w:sz w:val="16"/>
          <w:szCs w:val="16"/>
          <w:rtl/>
        </w:rPr>
        <w:t xml:space="preserve"> (ארוך כלל כו</w:t>
      </w:r>
      <w:r>
        <w:rPr>
          <w:rFonts w:asciiTheme="minorBidi" w:hAnsiTheme="minorBidi" w:hint="cs"/>
          <w:sz w:val="16"/>
          <w:szCs w:val="16"/>
          <w:rtl/>
        </w:rPr>
        <w:t xml:space="preserve"> ד"ד</w:t>
      </w:r>
      <w:r w:rsidRPr="00787805">
        <w:rPr>
          <w:rFonts w:asciiTheme="minorBidi" w:hAnsiTheme="minorBidi"/>
          <w:sz w:val="16"/>
          <w:szCs w:val="16"/>
          <w:rtl/>
        </w:rPr>
        <w:t>)</w:t>
      </w:r>
      <w:r w:rsidRPr="004A56B9">
        <w:rPr>
          <w:rFonts w:asciiTheme="minorBidi" w:hAnsiTheme="minorBidi"/>
          <w:sz w:val="18"/>
          <w:szCs w:val="18"/>
          <w:rtl/>
        </w:rPr>
        <w:t>.</w:t>
      </w:r>
    </w:p>
    <w:p w14:paraId="3962209B" w14:textId="77777777" w:rsidR="002C39F4" w:rsidRPr="003024E5" w:rsidRDefault="002C39F4" w:rsidP="002C39F4">
      <w:pPr>
        <w:rPr>
          <w:rFonts w:asciiTheme="minorBidi" w:hAnsiTheme="minorBidi"/>
          <w:rtl/>
        </w:rPr>
      </w:pPr>
      <w:r w:rsidRPr="003024E5">
        <w:rPr>
          <w:rFonts w:asciiTheme="minorBidi" w:hAnsiTheme="minorBidi"/>
          <w:rtl/>
        </w:rPr>
        <w:t xml:space="preserve"> </w:t>
      </w:r>
    </w:p>
    <w:p w14:paraId="0489A29E"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איסור חשוב שנתערב ברוב היתר - ואחד מהתערובת אבד מן העולם.</w:t>
      </w:r>
    </w:p>
    <w:p w14:paraId="2F3045BD" w14:textId="77777777" w:rsidR="002C39F4" w:rsidRDefault="002C39F4" w:rsidP="002C39F4">
      <w:pPr>
        <w:rPr>
          <w:rFonts w:cs="Arial"/>
          <w:rtl/>
        </w:rPr>
      </w:pPr>
      <w:r>
        <w:rPr>
          <w:rFonts w:cs="Arial" w:hint="cs"/>
          <w:b/>
          <w:bCs/>
          <w:rtl/>
        </w:rPr>
        <w:t xml:space="preserve">זבחים עד ע"א: </w:t>
      </w:r>
      <w:r w:rsidRPr="004E6272">
        <w:rPr>
          <w:rFonts w:cs="Arial"/>
          <w:u w:val="single"/>
          <w:rtl/>
        </w:rPr>
        <w:t>אמר ר"נ אמר רבה בר אבוה אמר רב</w:t>
      </w:r>
      <w:r w:rsidRPr="004E6272">
        <w:rPr>
          <w:rFonts w:cs="Arial"/>
          <w:rtl/>
        </w:rPr>
        <w:t>: טבעת של עבוד</w:t>
      </w:r>
      <w:r>
        <w:rPr>
          <w:rFonts w:cs="Arial" w:hint="cs"/>
          <w:rtl/>
        </w:rPr>
        <w:t>ה זרה</w:t>
      </w:r>
      <w:r>
        <w:rPr>
          <w:rStyle w:val="a7"/>
          <w:rFonts w:cs="Arial"/>
          <w:rtl/>
        </w:rPr>
        <w:footnoteReference w:id="2493"/>
      </w:r>
      <w:r w:rsidRPr="004E6272">
        <w:rPr>
          <w:rFonts w:cs="Arial"/>
          <w:rtl/>
        </w:rPr>
        <w:t xml:space="preserve"> שנתערבה במאה טבעות, ונפלה אחת מהם לים הגדול - הותרו כולן, </w:t>
      </w:r>
      <w:r>
        <w:rPr>
          <w:rFonts w:cs="Arial"/>
          <w:rtl/>
        </w:rPr>
        <w:t>דאמרינן: הך דנפל היינו דאיסורא.</w:t>
      </w:r>
      <w:r w:rsidRPr="004300FC">
        <w:rPr>
          <w:rtl/>
        </w:rPr>
        <w:t xml:space="preserve"> </w:t>
      </w:r>
      <w:r w:rsidRPr="004300FC">
        <w:rPr>
          <w:rFonts w:cs="Arial"/>
          <w:u w:val="single"/>
          <w:rtl/>
        </w:rPr>
        <w:t>איתיביה רבא לרב נחמן</w:t>
      </w:r>
      <w:r w:rsidRPr="004300FC">
        <w:rPr>
          <w:rFonts w:cs="Arial"/>
          <w:rtl/>
        </w:rPr>
        <w:t xml:space="preserve">: </w:t>
      </w:r>
      <w:r>
        <w:rPr>
          <w:rStyle w:val="a7"/>
          <w:rFonts w:cs="Arial"/>
          <w:rtl/>
        </w:rPr>
        <w:footnoteReference w:id="2494"/>
      </w:r>
      <w:r w:rsidRPr="004300FC">
        <w:rPr>
          <w:rFonts w:cs="Arial"/>
          <w:rtl/>
        </w:rPr>
        <w:t>אפילו אחת ברי</w:t>
      </w:r>
      <w:r>
        <w:rPr>
          <w:rFonts w:cs="Arial"/>
          <w:rtl/>
        </w:rPr>
        <w:t>בוא</w:t>
      </w:r>
      <w:r>
        <w:rPr>
          <w:rFonts w:cs="Arial" w:hint="cs"/>
          <w:rtl/>
        </w:rPr>
        <w:t xml:space="preserve"> </w:t>
      </w:r>
      <w:r>
        <w:rPr>
          <w:rFonts w:cs="Arial"/>
          <w:rtl/>
        </w:rPr>
        <w:t>- ימותו כולן</w:t>
      </w:r>
      <w:r>
        <w:rPr>
          <w:rFonts w:cs="Arial" w:hint="cs"/>
          <w:rtl/>
        </w:rPr>
        <w:t>.</w:t>
      </w:r>
      <w:r w:rsidRPr="004300FC">
        <w:rPr>
          <w:rFonts w:cs="Arial"/>
          <w:rtl/>
        </w:rPr>
        <w:t xml:space="preserve"> אמאי? נימא, דמית איסורא מית! </w:t>
      </w:r>
      <w:r w:rsidRPr="004300FC">
        <w:rPr>
          <w:rFonts w:cs="Arial"/>
          <w:u w:val="single"/>
          <w:rtl/>
        </w:rPr>
        <w:t>א"ל</w:t>
      </w:r>
      <w:r w:rsidRPr="004300FC">
        <w:rPr>
          <w:rFonts w:cs="Arial"/>
          <w:rtl/>
        </w:rPr>
        <w:t>: רב דאמר כר' אליעזר</w:t>
      </w:r>
      <w:r>
        <w:rPr>
          <w:rFonts w:cs="Arial" w:hint="cs"/>
          <w:rtl/>
        </w:rPr>
        <w:t>,</w:t>
      </w:r>
      <w:r w:rsidRPr="004300FC">
        <w:rPr>
          <w:rFonts w:cs="Arial"/>
          <w:rtl/>
        </w:rPr>
        <w:t xml:space="preserve"> דתנן, </w:t>
      </w:r>
      <w:r w:rsidRPr="004300FC">
        <w:rPr>
          <w:rFonts w:cs="Arial"/>
          <w:u w:val="single"/>
          <w:rtl/>
        </w:rPr>
        <w:t>רבי אליעזר אומר</w:t>
      </w:r>
      <w:r w:rsidRPr="004300FC">
        <w:rPr>
          <w:rFonts w:cs="Arial"/>
          <w:rtl/>
        </w:rPr>
        <w:t xml:space="preserve">: אם קרב הראש של אחד מהן, יקרבו כל הראשים כולן. </w:t>
      </w:r>
      <w:r>
        <w:rPr>
          <w:rFonts w:cs="Arial"/>
          <w:u w:val="single"/>
          <w:rtl/>
        </w:rPr>
        <w:t>והא אמר ר</w:t>
      </w:r>
      <w:r>
        <w:rPr>
          <w:rFonts w:cs="Arial" w:hint="cs"/>
          <w:u w:val="single"/>
          <w:rtl/>
        </w:rPr>
        <w:t>בי אלעזר</w:t>
      </w:r>
      <w:r w:rsidRPr="004300FC">
        <w:rPr>
          <w:rFonts w:cs="Arial"/>
          <w:rtl/>
        </w:rPr>
        <w:t xml:space="preserve">: לא התיר רבי אליעזר אלא שנים שנים, אבל אחד אחד לא! </w:t>
      </w:r>
      <w:r w:rsidRPr="004300FC">
        <w:rPr>
          <w:rFonts w:cs="Arial"/>
          <w:u w:val="single"/>
          <w:rtl/>
        </w:rPr>
        <w:t>א"ל</w:t>
      </w:r>
      <w:r w:rsidRPr="004300FC">
        <w:rPr>
          <w:rFonts w:cs="Arial"/>
          <w:rtl/>
        </w:rPr>
        <w:t>: אנא תרתי קאמינא</w:t>
      </w:r>
      <w:r>
        <w:rPr>
          <w:rStyle w:val="a7"/>
          <w:rFonts w:cs="Arial"/>
          <w:rtl/>
        </w:rPr>
        <w:footnoteReference w:id="2495"/>
      </w:r>
      <w:r w:rsidRPr="004300FC">
        <w:rPr>
          <w:rFonts w:cs="Arial"/>
          <w:rtl/>
        </w:rPr>
        <w:t>.</w:t>
      </w:r>
      <w:r>
        <w:rPr>
          <w:rFonts w:cs="Arial" w:hint="cs"/>
          <w:rtl/>
        </w:rPr>
        <w:t>..</w:t>
      </w:r>
      <w:r>
        <w:rPr>
          <w:rFonts w:cs="Arial" w:hint="cs"/>
          <w:sz w:val="14"/>
          <w:szCs w:val="14"/>
          <w:rtl/>
        </w:rPr>
        <w:t xml:space="preserve"> (עד:)</w:t>
      </w:r>
      <w:r>
        <w:rPr>
          <w:rFonts w:cs="Arial" w:hint="cs"/>
          <w:rtl/>
        </w:rPr>
        <w:t xml:space="preserve"> </w:t>
      </w:r>
      <w:r w:rsidRPr="004E6272">
        <w:rPr>
          <w:rFonts w:cs="Arial"/>
          <w:u w:val="single"/>
          <w:rtl/>
        </w:rPr>
        <w:t>אמר ר"ל</w:t>
      </w:r>
      <w:r w:rsidRPr="004E6272">
        <w:rPr>
          <w:rFonts w:cs="Arial"/>
          <w:rtl/>
        </w:rPr>
        <w:t>: חבית של תרומה שנתערבה במאה חביות, ונפלה אחת מהן לים המלח - הותרו כולן, דאמרינן: הך דנפל דאיסורא נפל.</w:t>
      </w:r>
      <w:r w:rsidRPr="00772DBB">
        <w:rPr>
          <w:rFonts w:cs="Arial"/>
          <w:rtl/>
        </w:rPr>
        <w:t xml:space="preserve"> ואיצטריך דר"נ ואיצטריך דר"ל, דאי מד</w:t>
      </w:r>
      <w:r>
        <w:rPr>
          <w:rFonts w:cs="Arial"/>
          <w:rtl/>
        </w:rPr>
        <w:t>ר"נ, הוה אמינא: ה"מ עבוד</w:t>
      </w:r>
      <w:r>
        <w:rPr>
          <w:rFonts w:cs="Arial" w:hint="cs"/>
          <w:rtl/>
        </w:rPr>
        <w:t>ה זרה</w:t>
      </w:r>
      <w:r w:rsidRPr="00772DBB">
        <w:rPr>
          <w:rFonts w:cs="Arial"/>
          <w:rtl/>
        </w:rPr>
        <w:t xml:space="preserve"> דאין לה מתירין, אבל תרומה דיש לה מתירין לא; ואי מדר"ל, ה"א: חבית דמינכרא נפילתה, אבל טבעת דלא מינכרא נפילה לא, צריכי. </w:t>
      </w:r>
      <w:r w:rsidRPr="00772DBB">
        <w:rPr>
          <w:rFonts w:cs="Arial"/>
          <w:u w:val="single"/>
          <w:rtl/>
        </w:rPr>
        <w:t>אמר רבה</w:t>
      </w:r>
      <w:r w:rsidRPr="00772DBB">
        <w:rPr>
          <w:rFonts w:cs="Arial"/>
          <w:rtl/>
        </w:rPr>
        <w:t>: לא התיר ר"ל אלא חב</w:t>
      </w:r>
      <w:r>
        <w:rPr>
          <w:rFonts w:cs="Arial"/>
          <w:rtl/>
        </w:rPr>
        <w:t>ית דמינכרא נפילתה, אבל תאינה</w:t>
      </w:r>
      <w:r>
        <w:rPr>
          <w:rStyle w:val="a7"/>
          <w:rFonts w:cs="Arial"/>
          <w:rtl/>
        </w:rPr>
        <w:footnoteReference w:id="2496"/>
      </w:r>
      <w:r>
        <w:rPr>
          <w:rFonts w:cs="Arial"/>
          <w:rtl/>
        </w:rPr>
        <w:t xml:space="preserve"> לא</w:t>
      </w:r>
      <w:r>
        <w:rPr>
          <w:rFonts w:cs="Arial" w:hint="cs"/>
          <w:rtl/>
        </w:rPr>
        <w:t>.</w:t>
      </w:r>
      <w:r w:rsidRPr="00772DBB">
        <w:rPr>
          <w:rFonts w:cs="Arial"/>
          <w:rtl/>
        </w:rPr>
        <w:t xml:space="preserve"> </w:t>
      </w:r>
      <w:r w:rsidRPr="00772DBB">
        <w:rPr>
          <w:rFonts w:cs="Arial"/>
          <w:u w:val="single"/>
          <w:rtl/>
        </w:rPr>
        <w:t>ורב יוסף אמר</w:t>
      </w:r>
      <w:r w:rsidRPr="00772DBB">
        <w:rPr>
          <w:rFonts w:cs="Arial"/>
          <w:rtl/>
        </w:rPr>
        <w:t>: אפילו תאינה, כנפילתה כך עלייתה</w:t>
      </w:r>
      <w:r>
        <w:rPr>
          <w:rStyle w:val="a7"/>
          <w:rFonts w:cs="Arial"/>
          <w:rtl/>
        </w:rPr>
        <w:footnoteReference w:id="2497"/>
      </w:r>
      <w:r w:rsidRPr="00772DBB">
        <w:rPr>
          <w:rFonts w:cs="Arial"/>
          <w:rtl/>
        </w:rPr>
        <w:t>.</w:t>
      </w:r>
    </w:p>
    <w:p w14:paraId="69F0424B" w14:textId="77777777" w:rsidR="002C39F4" w:rsidRDefault="002C39F4" w:rsidP="002C39F4">
      <w:pPr>
        <w:rPr>
          <w:rFonts w:cs="Arial"/>
          <w:rtl/>
        </w:rPr>
      </w:pPr>
      <w:r w:rsidRPr="00411517">
        <w:rPr>
          <w:rFonts w:cs="Arial"/>
          <w:b/>
          <w:bCs/>
          <w:rtl/>
        </w:rPr>
        <w:t xml:space="preserve">ירושלמי </w:t>
      </w:r>
      <w:r w:rsidRPr="00411517">
        <w:rPr>
          <w:rFonts w:cs="Arial"/>
          <w:b/>
          <w:bCs/>
          <w:sz w:val="16"/>
          <w:szCs w:val="16"/>
          <w:rtl/>
        </w:rPr>
        <w:t xml:space="preserve">(וילנא) </w:t>
      </w:r>
      <w:r w:rsidRPr="00411517">
        <w:rPr>
          <w:rFonts w:cs="Arial"/>
          <w:b/>
          <w:bCs/>
          <w:rtl/>
        </w:rPr>
        <w:t xml:space="preserve">תרומות </w:t>
      </w:r>
      <w:r w:rsidRPr="00411517">
        <w:rPr>
          <w:rFonts w:cs="Arial" w:hint="cs"/>
          <w:b/>
          <w:bCs/>
          <w:rtl/>
        </w:rPr>
        <w:t>פ"</w:t>
      </w:r>
      <w:r w:rsidRPr="00411517">
        <w:rPr>
          <w:rFonts w:cs="Arial"/>
          <w:b/>
          <w:bCs/>
          <w:rtl/>
        </w:rPr>
        <w:t>ד</w:t>
      </w:r>
      <w:r w:rsidRPr="00411517">
        <w:rPr>
          <w:rFonts w:cs="Arial" w:hint="cs"/>
          <w:b/>
          <w:bCs/>
          <w:rtl/>
        </w:rPr>
        <w:t xml:space="preserve"> ה"ז:</w:t>
      </w:r>
      <w:r>
        <w:rPr>
          <w:rFonts w:cs="Arial" w:hint="cs"/>
          <w:rtl/>
        </w:rPr>
        <w:t xml:space="preserve"> </w:t>
      </w:r>
      <w:r w:rsidRPr="00411517">
        <w:rPr>
          <w:rFonts w:cs="Arial"/>
          <w:rtl/>
        </w:rPr>
        <w:t>היו לפניו עשרים תאנים</w:t>
      </w:r>
      <w:r>
        <w:rPr>
          <w:rStyle w:val="a7"/>
          <w:rFonts w:cs="Arial"/>
          <w:rtl/>
        </w:rPr>
        <w:footnoteReference w:id="2498"/>
      </w:r>
      <w:r w:rsidRPr="00411517">
        <w:rPr>
          <w:rFonts w:cs="Arial"/>
          <w:rtl/>
        </w:rPr>
        <w:t xml:space="preserve"> ונפלה אחת לתוכן ואבדה אחת מהן</w:t>
      </w:r>
      <w:r>
        <w:rPr>
          <w:rFonts w:cs="Arial" w:hint="cs"/>
          <w:rtl/>
        </w:rPr>
        <w:t>,</w:t>
      </w:r>
      <w:r w:rsidRPr="00411517">
        <w:rPr>
          <w:rFonts w:cs="Arial"/>
          <w:rtl/>
        </w:rPr>
        <w:t xml:space="preserve"> </w:t>
      </w:r>
      <w:r w:rsidRPr="00411517">
        <w:rPr>
          <w:rFonts w:cs="Arial"/>
          <w:u w:val="single"/>
          <w:rtl/>
        </w:rPr>
        <w:t>ר"ש בן לקיש אומר</w:t>
      </w:r>
      <w:r>
        <w:rPr>
          <w:rFonts w:cs="Arial" w:hint="cs"/>
          <w:rtl/>
        </w:rPr>
        <w:t>:</w:t>
      </w:r>
      <w:r w:rsidRPr="00411517">
        <w:rPr>
          <w:rFonts w:cs="Arial"/>
          <w:rtl/>
        </w:rPr>
        <w:t xml:space="preserve"> ספיקן בטל ברוב</w:t>
      </w:r>
      <w:r>
        <w:rPr>
          <w:rStyle w:val="a7"/>
          <w:rFonts w:cs="Arial"/>
          <w:rtl/>
        </w:rPr>
        <w:footnoteReference w:id="2499"/>
      </w:r>
      <w:r>
        <w:rPr>
          <w:rFonts w:cs="Arial" w:hint="cs"/>
          <w:rtl/>
        </w:rPr>
        <w:t>,</w:t>
      </w:r>
      <w:r w:rsidRPr="00411517">
        <w:rPr>
          <w:rFonts w:cs="Arial"/>
          <w:rtl/>
        </w:rPr>
        <w:t xml:space="preserve"> </w:t>
      </w:r>
      <w:r w:rsidRPr="00411517">
        <w:rPr>
          <w:rFonts w:cs="Arial"/>
          <w:u w:val="single"/>
          <w:rtl/>
        </w:rPr>
        <w:t>רבי יוחנן אמר</w:t>
      </w:r>
      <w:r>
        <w:rPr>
          <w:rFonts w:cs="Arial" w:hint="cs"/>
          <w:rtl/>
        </w:rPr>
        <w:t>:</w:t>
      </w:r>
      <w:r w:rsidRPr="00411517">
        <w:rPr>
          <w:rFonts w:cs="Arial"/>
          <w:rtl/>
        </w:rPr>
        <w:t xml:space="preserve"> כולן נעשו הוכיח</w:t>
      </w:r>
      <w:r>
        <w:rPr>
          <w:rStyle w:val="a7"/>
          <w:rFonts w:cs="Arial"/>
          <w:rtl/>
        </w:rPr>
        <w:footnoteReference w:id="2500"/>
      </w:r>
      <w:r>
        <w:rPr>
          <w:rFonts w:cs="Arial" w:hint="cs"/>
          <w:rtl/>
        </w:rPr>
        <w:t>,</w:t>
      </w:r>
      <w:r w:rsidRPr="00411517">
        <w:rPr>
          <w:rFonts w:cs="Arial"/>
          <w:rtl/>
        </w:rPr>
        <w:t xml:space="preserve"> מודי רבי יוחנן שאם תרם מהן על מקום אחר</w:t>
      </w:r>
      <w:r>
        <w:rPr>
          <w:rStyle w:val="a7"/>
          <w:rFonts w:cs="Arial"/>
          <w:rtl/>
        </w:rPr>
        <w:footnoteReference w:id="2501"/>
      </w:r>
      <w:r w:rsidRPr="00411517">
        <w:rPr>
          <w:rFonts w:cs="Arial"/>
          <w:rtl/>
        </w:rPr>
        <w:t xml:space="preserve"> או שריבה ממקום אחר עליהן שספיקן בטל ברוב</w:t>
      </w:r>
      <w:r>
        <w:rPr>
          <w:rFonts w:cs="Arial" w:hint="cs"/>
          <w:rtl/>
        </w:rPr>
        <w:t>.</w:t>
      </w:r>
    </w:p>
    <w:p w14:paraId="412C20E5" w14:textId="77777777" w:rsidR="002C39F4" w:rsidRDefault="002C39F4" w:rsidP="002C39F4">
      <w:pPr>
        <w:rPr>
          <w:rFonts w:cs="Arial"/>
          <w:rtl/>
        </w:rPr>
      </w:pPr>
      <w:r w:rsidRPr="00772DBB">
        <w:rPr>
          <w:rFonts w:cs="Arial" w:hint="cs"/>
          <w:u w:val="single"/>
          <w:rtl/>
        </w:rPr>
        <w:t xml:space="preserve">איסור חשוב שנפל לרוב היתר </w:t>
      </w:r>
      <w:r w:rsidRPr="002C662A">
        <w:rPr>
          <w:rFonts w:cs="Arial" w:hint="cs"/>
          <w:b/>
          <w:bCs/>
          <w:u w:val="single"/>
          <w:rtl/>
        </w:rPr>
        <w:t>ונפל</w:t>
      </w:r>
      <w:r>
        <w:rPr>
          <w:rFonts w:cs="Arial" w:hint="cs"/>
          <w:u w:val="single"/>
          <w:rtl/>
        </w:rPr>
        <w:t xml:space="preserve"> </w:t>
      </w:r>
      <w:r w:rsidRPr="00772DBB">
        <w:rPr>
          <w:rFonts w:cs="Arial" w:hint="cs"/>
          <w:u w:val="single"/>
          <w:rtl/>
        </w:rPr>
        <w:t>מן התערובת אחד לים:</w:t>
      </w:r>
    </w:p>
    <w:p w14:paraId="54F6CF60" w14:textId="77777777" w:rsidR="002C39F4" w:rsidRPr="00757581" w:rsidRDefault="002C39F4" w:rsidP="0032102C">
      <w:pPr>
        <w:pStyle w:val="a8"/>
        <w:numPr>
          <w:ilvl w:val="0"/>
          <w:numId w:val="254"/>
        </w:numPr>
        <w:rPr>
          <w:color w:val="000000" w:themeColor="text1"/>
        </w:rPr>
      </w:pPr>
      <w:r w:rsidRPr="00757581">
        <w:rPr>
          <w:rFonts w:cs="Arial"/>
          <w:rtl/>
        </w:rPr>
        <w:t>רשב"א רא"ש ור"ן</w:t>
      </w:r>
      <w:r w:rsidRPr="00757581">
        <w:rPr>
          <w:rStyle w:val="a7"/>
          <w:rFonts w:cs="Arial"/>
          <w:rtl/>
        </w:rPr>
        <w:footnoteReference w:id="2502"/>
      </w:r>
      <w:r w:rsidRPr="00757581">
        <w:rPr>
          <w:rFonts w:cs="Arial" w:hint="cs"/>
          <w:rtl/>
        </w:rPr>
        <w:t>- מהגמרא הנ"ל נלמד</w:t>
      </w:r>
      <w:r w:rsidRPr="00757581">
        <w:rPr>
          <w:rFonts w:cs="Arial"/>
          <w:rtl/>
        </w:rPr>
        <w:t xml:space="preserve"> לכל איסורים שאינם בטלים מחמת חשיבותן</w:t>
      </w:r>
      <w:r w:rsidRPr="00757581">
        <w:rPr>
          <w:rStyle w:val="a7"/>
          <w:rFonts w:cs="Arial"/>
          <w:rtl/>
        </w:rPr>
        <w:footnoteReference w:id="2503"/>
      </w:r>
      <w:r w:rsidRPr="00757581">
        <w:rPr>
          <w:rFonts w:cs="Arial"/>
          <w:rtl/>
        </w:rPr>
        <w:t xml:space="preserve"> שנתערבו באחרים ונפל אחד מהם לים</w:t>
      </w:r>
      <w:r w:rsidRPr="00757581">
        <w:rPr>
          <w:rFonts w:cs="Arial" w:hint="cs"/>
          <w:rtl/>
        </w:rPr>
        <w:t xml:space="preserve"> -</w:t>
      </w:r>
      <w:r w:rsidRPr="00757581">
        <w:rPr>
          <w:rFonts w:cs="Arial"/>
          <w:rtl/>
        </w:rPr>
        <w:t xml:space="preserve"> הותרו כולן</w:t>
      </w:r>
      <w:r w:rsidRPr="00757581">
        <w:rPr>
          <w:rFonts w:cs="Arial" w:hint="cs"/>
          <w:rtl/>
        </w:rPr>
        <w:t xml:space="preserve">, </w:t>
      </w:r>
      <w:r w:rsidRPr="00757581">
        <w:rPr>
          <w:rFonts w:cs="Arial"/>
          <w:rtl/>
        </w:rPr>
        <w:t>משום דמדאו</w:t>
      </w:r>
      <w:r w:rsidRPr="00757581">
        <w:rPr>
          <w:rFonts w:cs="Arial" w:hint="cs"/>
          <w:rtl/>
        </w:rPr>
        <w:t>'</w:t>
      </w:r>
      <w:r w:rsidRPr="00757581">
        <w:rPr>
          <w:rFonts w:cs="Arial"/>
          <w:rtl/>
        </w:rPr>
        <w:t xml:space="preserve"> ברובא בטיל אע</w:t>
      </w:r>
      <w:r w:rsidRPr="00757581">
        <w:rPr>
          <w:rFonts w:cs="Arial" w:hint="cs"/>
          <w:rtl/>
        </w:rPr>
        <w:t>"</w:t>
      </w:r>
      <w:r w:rsidRPr="00757581">
        <w:rPr>
          <w:rFonts w:cs="Arial"/>
          <w:rtl/>
        </w:rPr>
        <w:t>פ שהוא דבר חשוב ורבנן הוא דאסרוהו</w:t>
      </w:r>
      <w:r w:rsidRPr="00757581">
        <w:rPr>
          <w:rFonts w:cs="Arial" w:hint="cs"/>
          <w:rtl/>
        </w:rPr>
        <w:t>,</w:t>
      </w:r>
      <w:r w:rsidRPr="00757581">
        <w:rPr>
          <w:rFonts w:cs="Arial"/>
          <w:rtl/>
        </w:rPr>
        <w:t xml:space="preserve"> הילכך כשנפל אחד מהם לים תלינן לקול</w:t>
      </w:r>
      <w:r w:rsidRPr="00757581">
        <w:rPr>
          <w:rFonts w:cs="Arial" w:hint="cs"/>
          <w:rtl/>
        </w:rPr>
        <w:t>א.</w:t>
      </w:r>
      <w:r w:rsidRPr="00757581">
        <w:rPr>
          <w:rFonts w:cs="Arial"/>
          <w:rtl/>
        </w:rPr>
        <w:t xml:space="preserve"> ולפ"ז אפילו לא נתערב הדבר החשוב אלא עם שנים</w:t>
      </w:r>
      <w:r w:rsidRPr="00757581">
        <w:rPr>
          <w:rStyle w:val="a7"/>
          <w:rFonts w:cs="Arial"/>
          <w:rtl/>
        </w:rPr>
        <w:footnoteReference w:id="2504"/>
      </w:r>
      <w:r w:rsidRPr="00757581">
        <w:rPr>
          <w:rFonts w:cs="Arial"/>
          <w:rtl/>
        </w:rPr>
        <w:t xml:space="preserve"> ואח"כ נפל אחד מהם לים הותרו השנים הנשארים </w:t>
      </w:r>
      <w:r w:rsidRPr="00757581">
        <w:rPr>
          <w:rFonts w:cs="Arial" w:hint="cs"/>
          <w:sz w:val="16"/>
          <w:szCs w:val="16"/>
          <w:rtl/>
        </w:rPr>
        <w:t>(ל' הב"י)</w:t>
      </w:r>
      <w:r w:rsidRPr="00757581">
        <w:rPr>
          <w:rFonts w:cs="Arial" w:hint="cs"/>
          <w:rtl/>
        </w:rPr>
        <w:t>,</w:t>
      </w:r>
      <w:r w:rsidRPr="00757581">
        <w:rPr>
          <w:rFonts w:cs="Arial"/>
          <w:rtl/>
        </w:rPr>
        <w:t xml:space="preserve"> והא דשרי כשנאבד אחד מהן דווקא כשאוכל הנשארות שתים שתים ביחד</w:t>
      </w:r>
      <w:r w:rsidRPr="00757581">
        <w:rPr>
          <w:rFonts w:cs="Arial" w:hint="cs"/>
          <w:rtl/>
        </w:rPr>
        <w:t>,</w:t>
      </w:r>
      <w:r w:rsidRPr="00757581">
        <w:rPr>
          <w:rFonts w:cs="Arial"/>
          <w:rtl/>
        </w:rPr>
        <w:t xml:space="preserve"> ד</w:t>
      </w:r>
      <w:r w:rsidRPr="00757581">
        <w:rPr>
          <w:rFonts w:cs="Arial" w:hint="cs"/>
          <w:rtl/>
        </w:rPr>
        <w:t>מ</w:t>
      </w:r>
      <w:r w:rsidRPr="00757581">
        <w:rPr>
          <w:rFonts w:cs="Arial"/>
          <w:rtl/>
        </w:rPr>
        <w:t>מה נפשך איכא חד</w:t>
      </w:r>
      <w:r w:rsidRPr="00757581">
        <w:rPr>
          <w:rFonts w:cs="Arial" w:hint="cs"/>
          <w:rtl/>
        </w:rPr>
        <w:t>א</w:t>
      </w:r>
      <w:r w:rsidRPr="00757581">
        <w:rPr>
          <w:rFonts w:cs="Arial"/>
          <w:rtl/>
        </w:rPr>
        <w:t xml:space="preserve"> דהיתירא</w:t>
      </w:r>
      <w:r w:rsidRPr="00757581">
        <w:rPr>
          <w:rFonts w:cs="Arial" w:hint="cs"/>
          <w:rtl/>
        </w:rPr>
        <w:t>,</w:t>
      </w:r>
      <w:r w:rsidRPr="00757581">
        <w:rPr>
          <w:rFonts w:cs="Arial"/>
          <w:rtl/>
        </w:rPr>
        <w:t xml:space="preserve"> אבל לאכול אחד אחד אסור</w:t>
      </w:r>
      <w:r w:rsidRPr="00757581">
        <w:rPr>
          <w:rStyle w:val="a7"/>
          <w:rFonts w:cs="Arial"/>
          <w:rtl/>
        </w:rPr>
        <w:footnoteReference w:id="2505"/>
      </w:r>
      <w:r w:rsidRPr="00757581">
        <w:rPr>
          <w:rFonts w:cs="Arial" w:hint="cs"/>
          <w:sz w:val="16"/>
          <w:szCs w:val="16"/>
          <w:rtl/>
        </w:rPr>
        <w:t xml:space="preserve"> (ל' הטור)</w:t>
      </w:r>
      <w:r w:rsidRPr="00757581">
        <w:rPr>
          <w:rFonts w:cs="Arial" w:hint="cs"/>
          <w:rtl/>
        </w:rPr>
        <w:t>.</w:t>
      </w:r>
      <w:r w:rsidRPr="00757581">
        <w:rPr>
          <w:color w:val="E36C0A" w:themeColor="accent6" w:themeShade="BF"/>
          <w:rtl/>
        </w:rPr>
        <w:t xml:space="preserve"> </w:t>
      </w:r>
      <w:r w:rsidRPr="00757581">
        <w:rPr>
          <w:rFonts w:hint="cs"/>
          <w:color w:val="E36C0A" w:themeColor="accent6" w:themeShade="BF"/>
          <w:rtl/>
        </w:rPr>
        <w:t>(וכ"פ בשו"ע)</w:t>
      </w:r>
    </w:p>
    <w:p w14:paraId="1B7E7C14" w14:textId="77777777" w:rsidR="002C39F4" w:rsidRPr="00757581" w:rsidRDefault="002C39F4" w:rsidP="0032102C">
      <w:pPr>
        <w:pStyle w:val="a8"/>
        <w:numPr>
          <w:ilvl w:val="0"/>
          <w:numId w:val="254"/>
        </w:numPr>
        <w:rPr>
          <w:color w:val="000000" w:themeColor="text1"/>
        </w:rPr>
      </w:pPr>
      <w:r w:rsidRPr="00757581">
        <w:rPr>
          <w:rFonts w:cs="Arial" w:hint="cs"/>
          <w:color w:val="000000" w:themeColor="text1"/>
          <w:rtl/>
        </w:rPr>
        <w:t>ראב"ד</w:t>
      </w:r>
      <w:r w:rsidRPr="00757581">
        <w:rPr>
          <w:rFonts w:cs="Arial" w:hint="cs"/>
          <w:color w:val="000000" w:themeColor="text1"/>
          <w:sz w:val="16"/>
          <w:szCs w:val="16"/>
          <w:rtl/>
        </w:rPr>
        <w:t xml:space="preserve"> (בהשגות, תרומות פט"ו ה"ב)</w:t>
      </w:r>
      <w:r w:rsidRPr="00757581">
        <w:rPr>
          <w:rFonts w:cs="Arial" w:hint="cs"/>
          <w:color w:val="000000" w:themeColor="text1"/>
          <w:rtl/>
        </w:rPr>
        <w:t xml:space="preserve">- </w:t>
      </w:r>
      <w:r w:rsidRPr="00757581">
        <w:rPr>
          <w:rFonts w:cs="Arial"/>
          <w:color w:val="000000" w:themeColor="text1"/>
          <w:rtl/>
        </w:rPr>
        <w:t>הלכה כר' יוחנן</w:t>
      </w:r>
      <w:r w:rsidRPr="00757581">
        <w:rPr>
          <w:rFonts w:cs="Arial" w:hint="cs"/>
          <w:color w:val="000000" w:themeColor="text1"/>
          <w:sz w:val="16"/>
          <w:szCs w:val="16"/>
          <w:rtl/>
        </w:rPr>
        <w:t xml:space="preserve"> {בירושלמי}</w:t>
      </w:r>
      <w:r w:rsidRPr="00757581">
        <w:rPr>
          <w:rFonts w:cs="Arial" w:hint="cs"/>
          <w:color w:val="000000" w:themeColor="text1"/>
          <w:rtl/>
        </w:rPr>
        <w:t>,</w:t>
      </w:r>
      <w:r w:rsidRPr="00757581">
        <w:rPr>
          <w:rFonts w:cs="Arial"/>
          <w:color w:val="000000" w:themeColor="text1"/>
          <w:rtl/>
        </w:rPr>
        <w:t xml:space="preserve"> ואע</w:t>
      </w:r>
      <w:r w:rsidRPr="00757581">
        <w:rPr>
          <w:rFonts w:cs="Arial" w:hint="cs"/>
          <w:color w:val="000000" w:themeColor="text1"/>
          <w:rtl/>
        </w:rPr>
        <w:t>"</w:t>
      </w:r>
      <w:r w:rsidRPr="00757581">
        <w:rPr>
          <w:rFonts w:cs="Arial"/>
          <w:color w:val="000000" w:themeColor="text1"/>
          <w:rtl/>
        </w:rPr>
        <w:t>ג דבגמרא דילן לא פליג</w:t>
      </w:r>
      <w:r w:rsidRPr="00757581">
        <w:rPr>
          <w:rFonts w:cs="Arial" w:hint="cs"/>
          <w:color w:val="000000" w:themeColor="text1"/>
          <w:rtl/>
        </w:rPr>
        <w:t>,</w:t>
      </w:r>
      <w:r w:rsidRPr="00757581">
        <w:rPr>
          <w:rFonts w:cs="Arial"/>
          <w:color w:val="000000" w:themeColor="text1"/>
          <w:rtl/>
        </w:rPr>
        <w:t xml:space="preserve"> כיון דמימריה דר"ל לא מיתקומא אלא כר"א ודלא כרבנן</w:t>
      </w:r>
      <w:r w:rsidRPr="00757581">
        <w:rPr>
          <w:rFonts w:cs="Arial" w:hint="cs"/>
          <w:color w:val="000000" w:themeColor="text1"/>
          <w:rtl/>
        </w:rPr>
        <w:t>,</w:t>
      </w:r>
      <w:r w:rsidRPr="00757581">
        <w:rPr>
          <w:rFonts w:cs="Arial"/>
          <w:color w:val="000000" w:themeColor="text1"/>
          <w:rtl/>
        </w:rPr>
        <w:t xml:space="preserve"> ורבי יוחנן פליג הכא</w:t>
      </w:r>
      <w:r w:rsidRPr="00757581">
        <w:rPr>
          <w:rFonts w:cs="Arial" w:hint="cs"/>
          <w:color w:val="000000" w:themeColor="text1"/>
          <w:rtl/>
        </w:rPr>
        <w:t>,</w:t>
      </w:r>
      <w:r w:rsidRPr="00757581">
        <w:rPr>
          <w:rFonts w:cs="Arial"/>
          <w:color w:val="000000" w:themeColor="text1"/>
          <w:rtl/>
        </w:rPr>
        <w:t xml:space="preserve"> ממילא אדחיא ליה</w:t>
      </w:r>
      <w:r w:rsidRPr="00757581">
        <w:rPr>
          <w:rFonts w:cs="Arial" w:hint="cs"/>
          <w:color w:val="000000" w:themeColor="text1"/>
          <w:rtl/>
        </w:rPr>
        <w:t>.</w:t>
      </w:r>
      <w:r w:rsidRPr="00757581">
        <w:rPr>
          <w:rFonts w:hint="cs"/>
          <w:color w:val="000000" w:themeColor="text1"/>
          <w:rtl/>
        </w:rPr>
        <w:t xml:space="preserve"> </w:t>
      </w:r>
    </w:p>
    <w:p w14:paraId="5E6ADBD0" w14:textId="77777777" w:rsidR="002C39F4" w:rsidRPr="00CF43EB" w:rsidRDefault="002C39F4" w:rsidP="002C39F4">
      <w:pPr>
        <w:ind w:left="360"/>
        <w:rPr>
          <w:color w:val="000000" w:themeColor="text1"/>
          <w:u w:val="dotted"/>
        </w:rPr>
      </w:pPr>
      <w:r w:rsidRPr="00CF43EB">
        <w:rPr>
          <w:rFonts w:hint="cs"/>
          <w:color w:val="000000" w:themeColor="text1"/>
          <w:u w:val="dotted"/>
          <w:rtl/>
        </w:rPr>
        <w:t>ה</w:t>
      </w:r>
      <w:r>
        <w:rPr>
          <w:rFonts w:hint="cs"/>
          <w:color w:val="000000" w:themeColor="text1"/>
          <w:u w:val="dotted"/>
          <w:rtl/>
        </w:rPr>
        <w:t>אם הדין כן</w:t>
      </w:r>
      <w:r w:rsidRPr="00CF43EB">
        <w:rPr>
          <w:rFonts w:hint="cs"/>
          <w:color w:val="000000" w:themeColor="text1"/>
          <w:u w:val="dotted"/>
          <w:rtl/>
        </w:rPr>
        <w:t xml:space="preserve"> דוקא בחבית</w:t>
      </w:r>
      <w:r>
        <w:rPr>
          <w:rFonts w:hint="cs"/>
          <w:color w:val="000000" w:themeColor="text1"/>
          <w:u w:val="dotted"/>
          <w:rtl/>
        </w:rPr>
        <w:t xml:space="preserve"> </w:t>
      </w:r>
      <w:r>
        <w:rPr>
          <w:rFonts w:hint="cs"/>
          <w:color w:val="000000" w:themeColor="text1"/>
          <w:sz w:val="16"/>
          <w:szCs w:val="16"/>
          <w:u w:val="dotted"/>
          <w:rtl/>
        </w:rPr>
        <w:t>(דמינכרא נפילתה)</w:t>
      </w:r>
      <w:r w:rsidRPr="00CF43EB">
        <w:rPr>
          <w:rFonts w:hint="cs"/>
          <w:color w:val="000000" w:themeColor="text1"/>
          <w:u w:val="dotted"/>
          <w:rtl/>
        </w:rPr>
        <w:t xml:space="preserve"> או גם בתא</w:t>
      </w:r>
      <w:r>
        <w:rPr>
          <w:rFonts w:hint="cs"/>
          <w:color w:val="000000" w:themeColor="text1"/>
          <w:u w:val="dotted"/>
          <w:rtl/>
        </w:rPr>
        <w:t>י</w:t>
      </w:r>
      <w:r w:rsidRPr="00CF43EB">
        <w:rPr>
          <w:rFonts w:hint="cs"/>
          <w:color w:val="000000" w:themeColor="text1"/>
          <w:u w:val="dotted"/>
          <w:rtl/>
        </w:rPr>
        <w:t>נה</w:t>
      </w:r>
      <w:r>
        <w:rPr>
          <w:rFonts w:hint="cs"/>
          <w:color w:val="000000" w:themeColor="text1"/>
          <w:sz w:val="16"/>
          <w:szCs w:val="16"/>
          <w:u w:val="dotted"/>
          <w:rtl/>
        </w:rPr>
        <w:t xml:space="preserve"> (דלא מינכרא נפילתה)</w:t>
      </w:r>
      <w:r w:rsidRPr="00CF43EB">
        <w:rPr>
          <w:rFonts w:hint="cs"/>
          <w:color w:val="000000" w:themeColor="text1"/>
          <w:u w:val="dotted"/>
          <w:rtl/>
        </w:rPr>
        <w:t>:</w:t>
      </w:r>
    </w:p>
    <w:p w14:paraId="447F9E84" w14:textId="77777777" w:rsidR="002C39F4" w:rsidRPr="00D16C4A" w:rsidRDefault="002C39F4" w:rsidP="0032102C">
      <w:pPr>
        <w:pStyle w:val="a8"/>
        <w:numPr>
          <w:ilvl w:val="0"/>
          <w:numId w:val="254"/>
        </w:numPr>
        <w:rPr>
          <w:color w:val="000000" w:themeColor="text1"/>
        </w:rPr>
      </w:pPr>
      <w:r w:rsidRPr="00D16C4A">
        <w:rPr>
          <w:rFonts w:cs="Arial"/>
          <w:color w:val="000000" w:themeColor="text1"/>
          <w:rtl/>
        </w:rPr>
        <w:t xml:space="preserve">רמב"ם </w:t>
      </w:r>
      <w:r w:rsidRPr="00D16C4A">
        <w:rPr>
          <w:rFonts w:cs="Arial"/>
          <w:color w:val="000000" w:themeColor="text1"/>
          <w:sz w:val="16"/>
          <w:szCs w:val="16"/>
          <w:rtl/>
        </w:rPr>
        <w:t>(תרומות פט"ו ה"ב)</w:t>
      </w:r>
      <w:r w:rsidRPr="00D16C4A">
        <w:rPr>
          <w:rFonts w:cs="Arial" w:hint="cs"/>
          <w:color w:val="000000" w:themeColor="text1"/>
          <w:rtl/>
        </w:rPr>
        <w:t xml:space="preserve">- </w:t>
      </w:r>
      <w:r w:rsidRPr="00D16C4A">
        <w:rPr>
          <w:rFonts w:cs="Arial"/>
          <w:color w:val="000000" w:themeColor="text1"/>
          <w:rtl/>
        </w:rPr>
        <w:t>חבית סתומה שנתערבה במאה חביות ונפלה א</w:t>
      </w:r>
      <w:r>
        <w:rPr>
          <w:rFonts w:cs="Arial" w:hint="cs"/>
          <w:color w:val="000000" w:themeColor="text1"/>
          <w:rtl/>
        </w:rPr>
        <w:t>חת</w:t>
      </w:r>
      <w:r w:rsidRPr="00D16C4A">
        <w:rPr>
          <w:rFonts w:cs="Arial"/>
          <w:color w:val="000000" w:themeColor="text1"/>
          <w:rtl/>
        </w:rPr>
        <w:t xml:space="preserve"> מהם לים הגדול הותרו כולן ואומרין של תרומה היא שנפלה, מה שאין כן בתאנה שנפלה למאה ונפלה אחת מהן לים הגדול</w:t>
      </w:r>
      <w:r w:rsidRPr="00D16C4A">
        <w:rPr>
          <w:rFonts w:cs="Arial" w:hint="cs"/>
          <w:color w:val="000000" w:themeColor="text1"/>
          <w:rtl/>
        </w:rPr>
        <w:t>,</w:t>
      </w:r>
      <w:r w:rsidRPr="00D16C4A">
        <w:rPr>
          <w:rFonts w:cs="Arial"/>
          <w:color w:val="000000" w:themeColor="text1"/>
          <w:rtl/>
        </w:rPr>
        <w:t xml:space="preserve"> אלא צריך להפריש אחת, לפי שהחבית נפילתה ניכרת</w:t>
      </w:r>
      <w:r>
        <w:rPr>
          <w:rFonts w:cs="Arial" w:hint="cs"/>
          <w:color w:val="000000" w:themeColor="text1"/>
          <w:rtl/>
        </w:rPr>
        <w:t>,</w:t>
      </w:r>
      <w:r w:rsidRPr="00D16C4A">
        <w:rPr>
          <w:rFonts w:cs="Arial"/>
          <w:color w:val="000000" w:themeColor="text1"/>
          <w:rtl/>
        </w:rPr>
        <w:t xml:space="preserve"> ותאנה וכיוצא בה אין נפילתה ניכרת</w:t>
      </w:r>
      <w:r w:rsidRPr="00D16C4A">
        <w:rPr>
          <w:rFonts w:cs="Arial" w:hint="cs"/>
          <w:color w:val="000000" w:themeColor="text1"/>
          <w:sz w:val="16"/>
          <w:szCs w:val="16"/>
          <w:rtl/>
        </w:rPr>
        <w:t xml:space="preserve"> (ל' הרמב"ם)</w:t>
      </w:r>
      <w:r w:rsidRPr="00D16C4A">
        <w:rPr>
          <w:rStyle w:val="a7"/>
          <w:rFonts w:cs="Arial"/>
          <w:color w:val="000000" w:themeColor="text1"/>
          <w:rtl/>
        </w:rPr>
        <w:footnoteReference w:id="2506"/>
      </w:r>
      <w:r w:rsidRPr="00D16C4A">
        <w:rPr>
          <w:rFonts w:cs="Arial" w:hint="cs"/>
          <w:color w:val="000000" w:themeColor="text1"/>
          <w:rtl/>
        </w:rPr>
        <w:t>, כרבה</w:t>
      </w:r>
      <w:r w:rsidRPr="00D16C4A">
        <w:rPr>
          <w:rFonts w:cs="Arial" w:hint="cs"/>
          <w:color w:val="000000" w:themeColor="text1"/>
          <w:sz w:val="16"/>
          <w:szCs w:val="16"/>
          <w:rtl/>
        </w:rPr>
        <w:t xml:space="preserve"> {י"ג רבא}</w:t>
      </w:r>
      <w:r w:rsidRPr="00D16C4A">
        <w:rPr>
          <w:rFonts w:cs="Arial"/>
          <w:color w:val="000000" w:themeColor="text1"/>
          <w:rtl/>
        </w:rPr>
        <w:t xml:space="preserve">. </w:t>
      </w:r>
      <w:r w:rsidRPr="00D16C4A">
        <w:rPr>
          <w:rFonts w:hint="cs"/>
          <w:color w:val="E36C0A" w:themeColor="accent6" w:themeShade="BF"/>
          <w:rtl/>
        </w:rPr>
        <w:t>(וכ"ס בשו"ע)</w:t>
      </w:r>
    </w:p>
    <w:p w14:paraId="6EF113A1" w14:textId="77777777" w:rsidR="002C39F4" w:rsidRPr="00D16C4A" w:rsidRDefault="002C39F4" w:rsidP="0032102C">
      <w:pPr>
        <w:pStyle w:val="a8"/>
        <w:numPr>
          <w:ilvl w:val="0"/>
          <w:numId w:val="254"/>
        </w:numPr>
        <w:rPr>
          <w:color w:val="000000" w:themeColor="text1"/>
          <w:rtl/>
        </w:rPr>
      </w:pPr>
      <w:r w:rsidRPr="00D16C4A">
        <w:rPr>
          <w:rFonts w:cs="Arial"/>
          <w:color w:val="000000" w:themeColor="text1"/>
          <w:rtl/>
        </w:rPr>
        <w:t>רשב"א</w:t>
      </w:r>
      <w:r w:rsidRPr="00D16C4A">
        <w:rPr>
          <w:rFonts w:cs="Arial" w:hint="cs"/>
          <w:color w:val="000000" w:themeColor="text1"/>
          <w:rtl/>
        </w:rPr>
        <w:t xml:space="preserve"> </w:t>
      </w:r>
      <w:r w:rsidRPr="00D16C4A">
        <w:rPr>
          <w:rFonts w:cs="Arial"/>
          <w:color w:val="000000" w:themeColor="text1"/>
          <w:sz w:val="16"/>
          <w:szCs w:val="16"/>
          <w:rtl/>
        </w:rPr>
        <w:t>(תוה"א ב"ד ש"ב כו.)</w:t>
      </w:r>
      <w:r w:rsidRPr="00D16C4A">
        <w:rPr>
          <w:rFonts w:cs="Arial" w:hint="cs"/>
          <w:color w:val="000000" w:themeColor="text1"/>
          <w:rtl/>
        </w:rPr>
        <w:t>- גם בתאינה, ד</w:t>
      </w:r>
      <w:r w:rsidRPr="00D16C4A">
        <w:rPr>
          <w:rFonts w:cs="Arial"/>
          <w:color w:val="000000" w:themeColor="text1"/>
          <w:rtl/>
        </w:rPr>
        <w:t>הלכה כדרב יוסף</w:t>
      </w:r>
      <w:r w:rsidRPr="00D16C4A">
        <w:rPr>
          <w:rStyle w:val="a7"/>
          <w:rFonts w:cs="Arial"/>
          <w:color w:val="000000" w:themeColor="text1"/>
          <w:rtl/>
        </w:rPr>
        <w:footnoteReference w:id="2507"/>
      </w:r>
      <w:r w:rsidRPr="00D16C4A">
        <w:rPr>
          <w:rFonts w:cs="Arial" w:hint="cs"/>
          <w:color w:val="000000" w:themeColor="text1"/>
          <w:rtl/>
        </w:rPr>
        <w:t>.</w:t>
      </w:r>
      <w:r w:rsidRPr="00D16C4A">
        <w:rPr>
          <w:rFonts w:hint="cs"/>
          <w:color w:val="000000" w:themeColor="text1"/>
          <w:rtl/>
        </w:rPr>
        <w:t xml:space="preserve"> </w:t>
      </w:r>
    </w:p>
    <w:p w14:paraId="318AF3FC" w14:textId="77777777" w:rsidR="002C39F4" w:rsidRPr="002C662A" w:rsidRDefault="002C39F4" w:rsidP="002C39F4">
      <w:pPr>
        <w:ind w:left="360"/>
        <w:rPr>
          <w:color w:val="000000" w:themeColor="text1"/>
          <w:u w:val="dotted"/>
        </w:rPr>
      </w:pPr>
      <w:r w:rsidRPr="002C662A">
        <w:rPr>
          <w:rFonts w:hint="cs"/>
          <w:color w:val="000000" w:themeColor="text1"/>
          <w:u w:val="dotted"/>
          <w:rtl/>
        </w:rPr>
        <w:t>מה הדין אם לא נפל לים</w:t>
      </w:r>
      <w:r>
        <w:rPr>
          <w:rFonts w:hint="cs"/>
          <w:color w:val="000000" w:themeColor="text1"/>
          <w:u w:val="dotted"/>
          <w:rtl/>
        </w:rPr>
        <w:t xml:space="preserve"> </w:t>
      </w:r>
      <w:r w:rsidRPr="002C662A">
        <w:rPr>
          <w:rFonts w:hint="cs"/>
          <w:color w:val="000000" w:themeColor="text1"/>
          <w:u w:val="dotted"/>
          <w:rtl/>
        </w:rPr>
        <w:t xml:space="preserve">אלא </w:t>
      </w:r>
      <w:r w:rsidRPr="00906A89">
        <w:rPr>
          <w:rFonts w:hint="cs"/>
          <w:b/>
          <w:bCs/>
          <w:color w:val="000000" w:themeColor="text1"/>
          <w:u w:val="dotted"/>
          <w:rtl/>
        </w:rPr>
        <w:t>נאכל</w:t>
      </w:r>
      <w:r w:rsidRPr="002C662A">
        <w:rPr>
          <w:rFonts w:hint="cs"/>
          <w:color w:val="000000" w:themeColor="text1"/>
          <w:u w:val="dotted"/>
          <w:rtl/>
        </w:rPr>
        <w:t xml:space="preserve"> </w:t>
      </w:r>
      <w:r>
        <w:rPr>
          <w:rFonts w:hint="cs"/>
          <w:color w:val="000000" w:themeColor="text1"/>
          <w:sz w:val="16"/>
          <w:szCs w:val="16"/>
          <w:u w:val="dotted"/>
          <w:rtl/>
        </w:rPr>
        <w:t xml:space="preserve">(ע"י אדם </w:t>
      </w:r>
      <w:r w:rsidRPr="00C3601A">
        <w:rPr>
          <w:rFonts w:hint="cs"/>
          <w:b/>
          <w:bCs/>
          <w:color w:val="000000" w:themeColor="text1"/>
          <w:sz w:val="16"/>
          <w:szCs w:val="16"/>
          <w:u w:val="dotted"/>
          <w:rtl/>
        </w:rPr>
        <w:t>אחר</w:t>
      </w:r>
      <w:r>
        <w:rPr>
          <w:rFonts w:hint="cs"/>
          <w:color w:val="000000" w:themeColor="text1"/>
          <w:sz w:val="16"/>
          <w:szCs w:val="16"/>
          <w:u w:val="dotted"/>
          <w:rtl/>
        </w:rPr>
        <w:t xml:space="preserve"> או ע"י בעל חיים)</w:t>
      </w:r>
      <w:r w:rsidRPr="002C662A">
        <w:rPr>
          <w:rFonts w:hint="cs"/>
          <w:color w:val="000000" w:themeColor="text1"/>
          <w:u w:val="dotted"/>
          <w:rtl/>
        </w:rPr>
        <w:t>:</w:t>
      </w:r>
    </w:p>
    <w:p w14:paraId="3ABEE4FC" w14:textId="77777777" w:rsidR="002C39F4" w:rsidRPr="00CF43EB" w:rsidRDefault="002C39F4" w:rsidP="0032102C">
      <w:pPr>
        <w:pStyle w:val="a8"/>
        <w:numPr>
          <w:ilvl w:val="0"/>
          <w:numId w:val="254"/>
        </w:numPr>
        <w:rPr>
          <w:color w:val="000000" w:themeColor="text1"/>
        </w:rPr>
      </w:pPr>
      <w:r w:rsidRPr="00D16C4A">
        <w:rPr>
          <w:rFonts w:cs="Arial"/>
          <w:rtl/>
        </w:rPr>
        <w:t xml:space="preserve">רשב"א </w:t>
      </w:r>
      <w:r w:rsidRPr="00D16C4A">
        <w:rPr>
          <w:rFonts w:cs="Arial" w:hint="cs"/>
          <w:sz w:val="16"/>
          <w:szCs w:val="16"/>
          <w:rtl/>
        </w:rPr>
        <w:t>(שם</w:t>
      </w:r>
      <w:r w:rsidRPr="00D16C4A">
        <w:rPr>
          <w:rFonts w:cs="Arial"/>
          <w:sz w:val="16"/>
          <w:szCs w:val="16"/>
          <w:rtl/>
        </w:rPr>
        <w:t xml:space="preserve">) </w:t>
      </w:r>
      <w:r w:rsidRPr="00D16C4A">
        <w:rPr>
          <w:rFonts w:cs="Arial" w:hint="cs"/>
          <w:rtl/>
        </w:rPr>
        <w:t>ו</w:t>
      </w:r>
      <w:r w:rsidRPr="00D16C4A">
        <w:rPr>
          <w:rFonts w:cs="Arial"/>
          <w:rtl/>
        </w:rPr>
        <w:t>רא"</w:t>
      </w:r>
      <w:r w:rsidRPr="00D16C4A">
        <w:rPr>
          <w:rFonts w:cs="Arial" w:hint="cs"/>
          <w:rtl/>
        </w:rPr>
        <w:t>ש</w:t>
      </w:r>
      <w:r w:rsidRPr="00D16C4A">
        <w:rPr>
          <w:rFonts w:cs="Arial"/>
          <w:rtl/>
        </w:rPr>
        <w:t xml:space="preserve"> </w:t>
      </w:r>
      <w:r w:rsidRPr="00D16C4A">
        <w:rPr>
          <w:rFonts w:cs="Arial"/>
          <w:sz w:val="16"/>
          <w:szCs w:val="16"/>
          <w:rtl/>
        </w:rPr>
        <w:t>(</w:t>
      </w:r>
      <w:r w:rsidRPr="00D16C4A">
        <w:rPr>
          <w:rFonts w:cs="Arial" w:hint="cs"/>
          <w:sz w:val="16"/>
          <w:szCs w:val="16"/>
          <w:rtl/>
        </w:rPr>
        <w:t>שם</w:t>
      </w:r>
      <w:r w:rsidRPr="00D16C4A">
        <w:rPr>
          <w:rFonts w:cs="Arial"/>
          <w:sz w:val="16"/>
          <w:szCs w:val="16"/>
          <w:rtl/>
        </w:rPr>
        <w:t>)</w:t>
      </w:r>
      <w:r w:rsidRPr="00D16C4A">
        <w:rPr>
          <w:rFonts w:cs="Arial" w:hint="cs"/>
          <w:rtl/>
        </w:rPr>
        <w:t xml:space="preserve">- </w:t>
      </w:r>
      <w:r w:rsidRPr="00D16C4A">
        <w:rPr>
          <w:rFonts w:cs="Arial"/>
          <w:rtl/>
        </w:rPr>
        <w:t>נפל לים דנקט רב נחמן לאו דוקא דה"ה לנאכל דליתיה בעולם</w:t>
      </w:r>
      <w:r w:rsidRPr="00D16C4A">
        <w:rPr>
          <w:rFonts w:cs="Arial" w:hint="cs"/>
          <w:rtl/>
        </w:rPr>
        <w:t>,</w:t>
      </w:r>
      <w:r w:rsidRPr="00D16C4A">
        <w:rPr>
          <w:rFonts w:cs="Arial"/>
          <w:rtl/>
        </w:rPr>
        <w:t xml:space="preserve"> והא דנקט ים</w:t>
      </w:r>
      <w:r>
        <w:rPr>
          <w:rFonts w:cs="Arial"/>
          <w:rtl/>
        </w:rPr>
        <w:t xml:space="preserve"> למעוטי פירש א</w:t>
      </w:r>
      <w:r>
        <w:rPr>
          <w:rFonts w:cs="Arial" w:hint="cs"/>
          <w:rtl/>
        </w:rPr>
        <w:t>'</w:t>
      </w:r>
      <w:r>
        <w:rPr>
          <w:rFonts w:cs="Arial"/>
          <w:rtl/>
        </w:rPr>
        <w:t xml:space="preserve"> מהם דלא שרי מש</w:t>
      </w:r>
      <w:r>
        <w:rPr>
          <w:rFonts w:cs="Arial" w:hint="cs"/>
          <w:rtl/>
        </w:rPr>
        <w:t>"</w:t>
      </w:r>
      <w:r>
        <w:rPr>
          <w:rFonts w:cs="Arial"/>
          <w:rtl/>
        </w:rPr>
        <w:t>ה התערובת</w:t>
      </w:r>
      <w:r>
        <w:rPr>
          <w:rFonts w:cs="Arial" w:hint="cs"/>
          <w:rtl/>
        </w:rPr>
        <w:t>,</w:t>
      </w:r>
      <w:r>
        <w:rPr>
          <w:rFonts w:cs="Arial"/>
          <w:rtl/>
        </w:rPr>
        <w:t xml:space="preserve"> אדרבה אנו אומרים איסורא לתוך רובא אשתאר</w:t>
      </w:r>
      <w:r>
        <w:rPr>
          <w:rStyle w:val="a7"/>
          <w:rFonts w:cs="Arial"/>
          <w:rtl/>
        </w:rPr>
        <w:footnoteReference w:id="2508"/>
      </w:r>
      <w:r>
        <w:rPr>
          <w:rFonts w:cs="Arial" w:hint="cs"/>
          <w:rtl/>
        </w:rPr>
        <w:t>.</w:t>
      </w:r>
      <w:r w:rsidRPr="00CF43EB">
        <w:rPr>
          <w:color w:val="E36C0A" w:themeColor="accent6" w:themeShade="BF"/>
          <w:rtl/>
        </w:rPr>
        <w:t xml:space="preserve"> </w:t>
      </w:r>
      <w:r w:rsidRPr="00CF43EB">
        <w:rPr>
          <w:rFonts w:hint="cs"/>
          <w:color w:val="E36C0A" w:themeColor="accent6" w:themeShade="BF"/>
          <w:rtl/>
        </w:rPr>
        <w:t>(וכ</w:t>
      </w:r>
      <w:r>
        <w:rPr>
          <w:rFonts w:hint="cs"/>
          <w:color w:val="E36C0A" w:themeColor="accent6" w:themeShade="BF"/>
          <w:rtl/>
        </w:rPr>
        <w:t>"</w:t>
      </w:r>
      <w:r w:rsidRPr="00CF43EB">
        <w:rPr>
          <w:rFonts w:hint="cs"/>
          <w:color w:val="E36C0A" w:themeColor="accent6" w:themeShade="BF"/>
          <w:rtl/>
        </w:rPr>
        <w:t>פ בשו"ע)</w:t>
      </w:r>
    </w:p>
    <w:p w14:paraId="48637A9A" w14:textId="77777777" w:rsidR="002C39F4" w:rsidRPr="00BC57A8" w:rsidRDefault="002C39F4" w:rsidP="002C39F4">
      <w:pPr>
        <w:rPr>
          <w:rFonts w:cs="Arial"/>
          <w:u w:val="single"/>
          <w:rtl/>
        </w:rPr>
      </w:pPr>
      <w:r>
        <w:rPr>
          <w:rFonts w:cs="Arial" w:hint="cs"/>
          <w:u w:val="single"/>
          <w:rtl/>
        </w:rPr>
        <w:t xml:space="preserve">עד כאן דיברנו במקרה שאחד מהתערובת נאבד מעצמו </w:t>
      </w:r>
      <w:r>
        <w:rPr>
          <w:rFonts w:cs="Arial" w:hint="cs"/>
          <w:sz w:val="16"/>
          <w:szCs w:val="16"/>
          <w:u w:val="single"/>
          <w:rtl/>
        </w:rPr>
        <w:t xml:space="preserve">(נפל מעצמו או </w:t>
      </w:r>
      <w:r w:rsidRPr="00492505">
        <w:rPr>
          <w:rFonts w:cs="Arial" w:hint="cs"/>
          <w:sz w:val="16"/>
          <w:szCs w:val="16"/>
          <w:u w:val="single"/>
          <w:rtl/>
        </w:rPr>
        <w:t>נאכל</w:t>
      </w:r>
      <w:r>
        <w:rPr>
          <w:rFonts w:cs="Arial" w:hint="cs"/>
          <w:sz w:val="16"/>
          <w:szCs w:val="16"/>
          <w:u w:val="single"/>
          <w:rtl/>
        </w:rPr>
        <w:t xml:space="preserve"> ע"י אחר או בע"ח)</w:t>
      </w:r>
      <w:r>
        <w:rPr>
          <w:rFonts w:cs="Arial" w:hint="cs"/>
          <w:u w:val="single"/>
          <w:rtl/>
        </w:rPr>
        <w:t xml:space="preserve"> </w:t>
      </w:r>
      <w:r>
        <w:rPr>
          <w:rFonts w:cs="Arial"/>
          <w:u w:val="single"/>
          <w:rtl/>
        </w:rPr>
        <w:t>–</w:t>
      </w:r>
      <w:r>
        <w:rPr>
          <w:rFonts w:cs="Arial" w:hint="cs"/>
          <w:u w:val="single"/>
          <w:rtl/>
        </w:rPr>
        <w:t xml:space="preserve"> אבל </w:t>
      </w:r>
      <w:r w:rsidRPr="00BC57A8">
        <w:rPr>
          <w:rFonts w:cs="Arial" w:hint="cs"/>
          <w:u w:val="single"/>
          <w:rtl/>
        </w:rPr>
        <w:t xml:space="preserve">מה הדין </w:t>
      </w:r>
      <w:r>
        <w:rPr>
          <w:rFonts w:cs="Arial" w:hint="cs"/>
          <w:u w:val="single"/>
          <w:rtl/>
        </w:rPr>
        <w:t>האדם האבידו</w:t>
      </w:r>
      <w:r w:rsidRPr="00BC57A8">
        <w:rPr>
          <w:rFonts w:cs="Arial" w:hint="cs"/>
          <w:u w:val="single"/>
          <w:rtl/>
        </w:rPr>
        <w:t>:</w:t>
      </w:r>
    </w:p>
    <w:p w14:paraId="2B6344BB" w14:textId="77777777" w:rsidR="002C39F4" w:rsidRPr="00D16C4A" w:rsidRDefault="002C39F4" w:rsidP="0032102C">
      <w:pPr>
        <w:pStyle w:val="a8"/>
        <w:numPr>
          <w:ilvl w:val="0"/>
          <w:numId w:val="255"/>
        </w:numPr>
      </w:pPr>
      <w:r w:rsidRPr="00D16C4A">
        <w:rPr>
          <w:rFonts w:cs="Arial"/>
          <w:rtl/>
        </w:rPr>
        <w:t>ר"י</w:t>
      </w:r>
      <w:r w:rsidRPr="00D16C4A">
        <w:rPr>
          <w:rFonts w:cs="Arial" w:hint="cs"/>
          <w:rtl/>
        </w:rPr>
        <w:t xml:space="preserve"> </w:t>
      </w:r>
      <w:r w:rsidRPr="00D16C4A">
        <w:rPr>
          <w:rFonts w:cs="Arial"/>
          <w:rtl/>
        </w:rPr>
        <w:t>תו</w:t>
      </w:r>
      <w:r w:rsidRPr="00D16C4A">
        <w:rPr>
          <w:rFonts w:cs="Arial" w:hint="cs"/>
          <w:rtl/>
        </w:rPr>
        <w:t>ס'</w:t>
      </w:r>
      <w:r w:rsidRPr="00D16C4A">
        <w:rPr>
          <w:rFonts w:cs="Arial"/>
          <w:rtl/>
        </w:rPr>
        <w:t xml:space="preserve"> ורא"ש</w:t>
      </w:r>
      <w:r w:rsidRPr="00D16C4A">
        <w:rPr>
          <w:rStyle w:val="a7"/>
          <w:rFonts w:cs="Arial"/>
          <w:rtl/>
        </w:rPr>
        <w:footnoteReference w:id="2509"/>
      </w:r>
      <w:r w:rsidRPr="00D16C4A">
        <w:rPr>
          <w:rFonts w:cs="Arial" w:hint="cs"/>
          <w:rtl/>
        </w:rPr>
        <w:t>-</w:t>
      </w:r>
      <w:r w:rsidRPr="00D16C4A">
        <w:rPr>
          <w:rFonts w:cs="Arial"/>
          <w:rtl/>
        </w:rPr>
        <w:t xml:space="preserve"> דוקא שנפלה מעצמה אבל אם הפילו</w:t>
      </w:r>
      <w:r w:rsidRPr="00D16C4A">
        <w:rPr>
          <w:rFonts w:cs="Arial" w:hint="cs"/>
          <w:rtl/>
        </w:rPr>
        <w:t>,</w:t>
      </w:r>
      <w:r w:rsidRPr="00D16C4A">
        <w:rPr>
          <w:rFonts w:cs="Arial"/>
          <w:rtl/>
        </w:rPr>
        <w:t xml:space="preserve"> אפילו שוגג</w:t>
      </w:r>
      <w:r w:rsidRPr="00D16C4A">
        <w:rPr>
          <w:rFonts w:cs="Arial" w:hint="cs"/>
          <w:rtl/>
        </w:rPr>
        <w:t>,</w:t>
      </w:r>
      <w:r w:rsidRPr="00D16C4A">
        <w:rPr>
          <w:rFonts w:cs="Arial"/>
          <w:rtl/>
        </w:rPr>
        <w:t xml:space="preserve"> אסור אטו מזיד</w:t>
      </w:r>
      <w:r w:rsidRPr="00D16C4A">
        <w:rPr>
          <w:rFonts w:cs="Arial" w:hint="cs"/>
          <w:rtl/>
        </w:rPr>
        <w:t>.</w:t>
      </w:r>
      <w:r w:rsidRPr="00D16C4A">
        <w:rPr>
          <w:color w:val="E36C0A" w:themeColor="accent6" w:themeShade="BF"/>
          <w:rtl/>
        </w:rPr>
        <w:t xml:space="preserve"> </w:t>
      </w:r>
      <w:r w:rsidRPr="00D16C4A">
        <w:rPr>
          <w:rFonts w:hint="cs"/>
          <w:color w:val="E36C0A" w:themeColor="accent6" w:themeShade="BF"/>
          <w:rtl/>
        </w:rPr>
        <w:t>(וכ"פ בשו"ע)</w:t>
      </w:r>
    </w:p>
    <w:p w14:paraId="1A508B29" w14:textId="77777777" w:rsidR="002C39F4" w:rsidRPr="00D16C4A" w:rsidRDefault="002C39F4" w:rsidP="0032102C">
      <w:pPr>
        <w:pStyle w:val="a8"/>
        <w:numPr>
          <w:ilvl w:val="0"/>
          <w:numId w:val="255"/>
        </w:numPr>
      </w:pPr>
      <w:r w:rsidRPr="00D16C4A">
        <w:rPr>
          <w:rFonts w:cs="Arial"/>
          <w:rtl/>
        </w:rPr>
        <w:t xml:space="preserve">רשב"א </w:t>
      </w:r>
      <w:r w:rsidRPr="00D16C4A">
        <w:rPr>
          <w:rFonts w:cs="Arial"/>
          <w:color w:val="000000" w:themeColor="text1"/>
          <w:sz w:val="16"/>
          <w:szCs w:val="16"/>
          <w:rtl/>
        </w:rPr>
        <w:t>(תוה"א ב"ד ש"ב כו.</w:t>
      </w:r>
      <w:r w:rsidRPr="00D16C4A">
        <w:rPr>
          <w:rFonts w:cs="Arial" w:hint="cs"/>
          <w:color w:val="000000" w:themeColor="text1"/>
          <w:sz w:val="16"/>
          <w:szCs w:val="16"/>
          <w:rtl/>
        </w:rPr>
        <w:t>, אהא דרב נחמן</w:t>
      </w:r>
      <w:r w:rsidRPr="00D16C4A">
        <w:rPr>
          <w:rFonts w:cs="Arial"/>
          <w:color w:val="000000" w:themeColor="text1"/>
          <w:sz w:val="16"/>
          <w:szCs w:val="16"/>
          <w:rtl/>
        </w:rPr>
        <w:t>)</w:t>
      </w:r>
      <w:r w:rsidRPr="00D16C4A">
        <w:rPr>
          <w:rFonts w:cs="Arial" w:hint="cs"/>
          <w:rtl/>
        </w:rPr>
        <w:t>-</w:t>
      </w:r>
      <w:r w:rsidRPr="00D16C4A">
        <w:rPr>
          <w:rFonts w:cs="Arial"/>
          <w:rtl/>
        </w:rPr>
        <w:t xml:space="preserve"> אפילו הפילה הוא שרי אם היה שוגג</w:t>
      </w:r>
      <w:r w:rsidRPr="00D16C4A">
        <w:rPr>
          <w:rFonts w:cs="Arial" w:hint="cs"/>
          <w:rtl/>
        </w:rPr>
        <w:t>,</w:t>
      </w:r>
      <w:r w:rsidRPr="00D16C4A">
        <w:rPr>
          <w:rFonts w:cs="Arial"/>
          <w:rtl/>
        </w:rPr>
        <w:t xml:space="preserve"> כדין מבטל איסור בידים</w:t>
      </w:r>
      <w:r w:rsidRPr="00D16C4A">
        <w:rPr>
          <w:rFonts w:cs="Arial" w:hint="cs"/>
          <w:rtl/>
        </w:rPr>
        <w:t>.</w:t>
      </w:r>
    </w:p>
    <w:p w14:paraId="1EF7537A" w14:textId="77777777" w:rsidR="002C39F4" w:rsidRDefault="002C39F4" w:rsidP="002C39F4">
      <w:pPr>
        <w:ind w:left="360"/>
      </w:pPr>
      <w:r>
        <w:rPr>
          <w:rFonts w:cs="Arial" w:hint="cs"/>
          <w:u w:val="dotted"/>
          <w:rtl/>
        </w:rPr>
        <w:t xml:space="preserve">ומה הדין </w:t>
      </w:r>
      <w:r w:rsidRPr="008B69CD">
        <w:rPr>
          <w:rFonts w:cs="Arial"/>
          <w:u w:val="dotted"/>
          <w:rtl/>
        </w:rPr>
        <w:t xml:space="preserve">אם </w:t>
      </w:r>
      <w:r>
        <w:rPr>
          <w:rFonts w:cs="Arial" w:hint="cs"/>
          <w:u w:val="dotted"/>
          <w:rtl/>
        </w:rPr>
        <w:t>אכלו או האכילו אחרים</w:t>
      </w:r>
      <w:r w:rsidRPr="008B69CD">
        <w:rPr>
          <w:rFonts w:cs="Arial" w:hint="cs"/>
          <w:u w:val="dotted"/>
          <w:rtl/>
        </w:rPr>
        <w:t>:</w:t>
      </w:r>
    </w:p>
    <w:p w14:paraId="114A2FE9" w14:textId="77777777" w:rsidR="002C39F4" w:rsidRDefault="002C39F4" w:rsidP="0032102C">
      <w:pPr>
        <w:pStyle w:val="a8"/>
        <w:numPr>
          <w:ilvl w:val="0"/>
          <w:numId w:val="255"/>
        </w:numPr>
      </w:pPr>
      <w:r w:rsidRPr="00D16C4A">
        <w:rPr>
          <w:rFonts w:cs="Arial" w:hint="cs"/>
          <w:rtl/>
        </w:rPr>
        <w:t xml:space="preserve">מהרא"י </w:t>
      </w:r>
      <w:r w:rsidRPr="00D16C4A">
        <w:rPr>
          <w:rFonts w:cs="Arial" w:hint="cs"/>
          <w:sz w:val="16"/>
          <w:szCs w:val="16"/>
          <w:rtl/>
        </w:rPr>
        <w:t xml:space="preserve">(בהגשע"ד </w:t>
      </w:r>
      <w:r w:rsidRPr="00D16C4A">
        <w:rPr>
          <w:rFonts w:cs="Arial"/>
          <w:sz w:val="16"/>
          <w:szCs w:val="16"/>
          <w:rtl/>
        </w:rPr>
        <w:t>סי' מה ד"ה ופירש ר"י</w:t>
      </w:r>
      <w:r w:rsidRPr="00D16C4A">
        <w:rPr>
          <w:rFonts w:cs="Arial" w:hint="cs"/>
          <w:sz w:val="16"/>
          <w:szCs w:val="16"/>
          <w:rtl/>
        </w:rPr>
        <w:t xml:space="preserve">, ובתרוה"ד </w:t>
      </w:r>
      <w:r w:rsidRPr="00D16C4A">
        <w:rPr>
          <w:rFonts w:cs="Arial"/>
          <w:sz w:val="16"/>
          <w:szCs w:val="16"/>
          <w:rtl/>
        </w:rPr>
        <w:t>סי</w:t>
      </w:r>
      <w:r w:rsidRPr="00D16C4A">
        <w:rPr>
          <w:rFonts w:cs="Arial" w:hint="cs"/>
          <w:sz w:val="16"/>
          <w:szCs w:val="16"/>
          <w:rtl/>
        </w:rPr>
        <w:t>'</w:t>
      </w:r>
      <w:r w:rsidRPr="00D16C4A">
        <w:rPr>
          <w:rFonts w:cs="Arial"/>
          <w:sz w:val="16"/>
          <w:szCs w:val="16"/>
          <w:rtl/>
        </w:rPr>
        <w:t xml:space="preserve"> קעה)</w:t>
      </w:r>
      <w:r w:rsidRPr="00D16C4A">
        <w:rPr>
          <w:rFonts w:cs="Arial" w:hint="cs"/>
          <w:rtl/>
        </w:rPr>
        <w:t xml:space="preserve">- </w:t>
      </w:r>
      <w:r w:rsidRPr="00D16C4A">
        <w:rPr>
          <w:rFonts w:cs="Arial"/>
          <w:rtl/>
        </w:rPr>
        <w:t>יראה דדוקא נקט ר"י הפילו שוגג, אבל אכלו שוגג ליכא</w:t>
      </w:r>
      <w:r w:rsidRPr="00FB35C9">
        <w:rPr>
          <w:rFonts w:cs="Arial"/>
          <w:rtl/>
        </w:rPr>
        <w:t xml:space="preserve"> למיקנסיה אטו מזיד</w:t>
      </w:r>
      <w:r>
        <w:rPr>
          <w:rFonts w:cs="Arial" w:hint="cs"/>
          <w:rtl/>
        </w:rPr>
        <w:t>,</w:t>
      </w:r>
      <w:r w:rsidRPr="00FB35C9">
        <w:rPr>
          <w:rFonts w:cs="Arial"/>
          <w:rtl/>
        </w:rPr>
        <w:t xml:space="preserve"> דודאי</w:t>
      </w:r>
      <w:r>
        <w:rPr>
          <w:rFonts w:cs="Arial"/>
          <w:rtl/>
        </w:rPr>
        <w:t xml:space="preserve"> לא יאכל אחד במזיד להתיר האחרות</w:t>
      </w:r>
      <w:r>
        <w:rPr>
          <w:rFonts w:cs="Arial" w:hint="cs"/>
          <w:rtl/>
        </w:rPr>
        <w:t>,</w:t>
      </w:r>
      <w:r w:rsidRPr="00FB35C9">
        <w:rPr>
          <w:rFonts w:cs="Arial"/>
          <w:rtl/>
        </w:rPr>
        <w:t xml:space="preserve"> דלפי דעת זו קאכיל ודאי איסור</w:t>
      </w:r>
      <w:r>
        <w:rPr>
          <w:rFonts w:cs="Arial" w:hint="cs"/>
          <w:rtl/>
        </w:rPr>
        <w:t>,</w:t>
      </w:r>
      <w:r w:rsidRPr="00FB35C9">
        <w:rPr>
          <w:rFonts w:cs="Arial"/>
          <w:rtl/>
        </w:rPr>
        <w:t xml:space="preserve"> שהרי בדעתו שהאיסור ילך לו</w:t>
      </w:r>
      <w:r>
        <w:rPr>
          <w:rFonts w:cs="Arial" w:hint="cs"/>
          <w:rtl/>
        </w:rPr>
        <w:t>,</w:t>
      </w:r>
      <w:r w:rsidRPr="00FB35C9">
        <w:rPr>
          <w:rFonts w:cs="Arial"/>
          <w:rtl/>
        </w:rPr>
        <w:t xml:space="preserve"> וטפי הוי שרי ליה למכלינהו כולן בספק</w:t>
      </w:r>
      <w:r>
        <w:rPr>
          <w:rFonts w:cs="Arial" w:hint="cs"/>
          <w:sz w:val="16"/>
          <w:szCs w:val="16"/>
          <w:rtl/>
        </w:rPr>
        <w:t xml:space="preserve"> (ל' מהרא"י בהגשע"ד)</w:t>
      </w:r>
      <w:r>
        <w:rPr>
          <w:rFonts w:cs="Arial" w:hint="cs"/>
          <w:rtl/>
        </w:rPr>
        <w:t>,</w:t>
      </w:r>
      <w:r w:rsidRPr="008B69CD">
        <w:rPr>
          <w:rFonts w:cs="Arial"/>
          <w:rtl/>
        </w:rPr>
        <w:t xml:space="preserve"> וכ</w:t>
      </w:r>
      <w:r>
        <w:rPr>
          <w:rFonts w:cs="Arial" w:hint="cs"/>
          <w:rtl/>
        </w:rPr>
        <w:t>ן</w:t>
      </w:r>
      <w:r w:rsidRPr="008B69CD">
        <w:rPr>
          <w:rFonts w:cs="Arial"/>
          <w:rtl/>
        </w:rPr>
        <w:t xml:space="preserve"> אם האכיל בשוגג אחת לבן ברית </w:t>
      </w:r>
      <w:r>
        <w:rPr>
          <w:rFonts w:cs="Arial"/>
          <w:rtl/>
        </w:rPr>
        <w:t>שרי האחרות ולא קנסינן כה</w:t>
      </w:r>
      <w:r>
        <w:rPr>
          <w:rFonts w:cs="Arial" w:hint="cs"/>
          <w:rtl/>
        </w:rPr>
        <w:t>"</w:t>
      </w:r>
      <w:r>
        <w:rPr>
          <w:rFonts w:cs="Arial"/>
          <w:rtl/>
        </w:rPr>
        <w:t>ג</w:t>
      </w:r>
      <w:r w:rsidRPr="008B69CD">
        <w:rPr>
          <w:rFonts w:cs="Arial"/>
          <w:rtl/>
        </w:rPr>
        <w:t xml:space="preserve"> שוגג אטו מזיד</w:t>
      </w:r>
      <w:r>
        <w:rPr>
          <w:rFonts w:cs="Arial" w:hint="cs"/>
          <w:rtl/>
        </w:rPr>
        <w:t>,</w:t>
      </w:r>
      <w:r w:rsidRPr="008B69CD">
        <w:rPr>
          <w:rFonts w:cs="Arial"/>
          <w:rtl/>
        </w:rPr>
        <w:t xml:space="preserve"> אבל האכיל לכלב או לגוי קנסינן אטו מזיד דומיא דהפילו</w:t>
      </w:r>
      <w:r>
        <w:rPr>
          <w:rStyle w:val="a7"/>
          <w:rFonts w:asciiTheme="minorBidi" w:hAnsiTheme="minorBidi"/>
          <w:rtl/>
        </w:rPr>
        <w:footnoteReference w:id="2510"/>
      </w:r>
      <w:r>
        <w:rPr>
          <w:rFonts w:cs="Arial" w:hint="cs"/>
          <w:sz w:val="16"/>
          <w:szCs w:val="16"/>
          <w:rtl/>
        </w:rPr>
        <w:t xml:space="preserve"> (ל' מהרא"י בתרוה"ד)</w:t>
      </w:r>
      <w:r>
        <w:rPr>
          <w:rFonts w:cs="Arial" w:hint="cs"/>
          <w:rtl/>
        </w:rPr>
        <w:t>.</w:t>
      </w:r>
      <w:r>
        <w:rPr>
          <w:rFonts w:hint="cs"/>
          <w:rtl/>
        </w:rPr>
        <w:t xml:space="preserve"> </w:t>
      </w:r>
      <w:r w:rsidRPr="008949BF">
        <w:rPr>
          <w:rFonts w:hint="cs"/>
          <w:color w:val="00B0F0"/>
          <w:rtl/>
        </w:rPr>
        <w:t>(וכ"פ הרמ"א)</w:t>
      </w:r>
    </w:p>
    <w:p w14:paraId="661CC726" w14:textId="77777777" w:rsidR="002C39F4" w:rsidRPr="008B69CD" w:rsidRDefault="002C39F4" w:rsidP="002C39F4">
      <w:pPr>
        <w:ind w:left="360"/>
        <w:rPr>
          <w:u w:val="dotted"/>
        </w:rPr>
      </w:pPr>
      <w:r>
        <w:rPr>
          <w:rFonts w:cs="Arial" w:hint="cs"/>
          <w:u w:val="dotted"/>
          <w:rtl/>
        </w:rPr>
        <w:t xml:space="preserve">ומה הדין </w:t>
      </w:r>
      <w:r w:rsidRPr="008B69CD">
        <w:rPr>
          <w:rFonts w:cs="Arial"/>
          <w:u w:val="dotted"/>
          <w:rtl/>
        </w:rPr>
        <w:t xml:space="preserve">אם </w:t>
      </w:r>
      <w:r>
        <w:rPr>
          <w:rFonts w:cs="Arial" w:hint="cs"/>
          <w:u w:val="dotted"/>
          <w:rtl/>
        </w:rPr>
        <w:t xml:space="preserve">האבידו </w:t>
      </w:r>
      <w:r w:rsidRPr="00492505">
        <w:rPr>
          <w:rFonts w:cs="Arial" w:hint="cs"/>
          <w:sz w:val="16"/>
          <w:szCs w:val="16"/>
          <w:u w:val="dotted"/>
          <w:rtl/>
        </w:rPr>
        <w:t>(אכלו/האכילו/</w:t>
      </w:r>
      <w:r w:rsidRPr="00492505">
        <w:rPr>
          <w:rFonts w:cs="Arial"/>
          <w:sz w:val="16"/>
          <w:szCs w:val="16"/>
          <w:u w:val="dotted"/>
          <w:rtl/>
        </w:rPr>
        <w:t>הפילו</w:t>
      </w:r>
      <w:r>
        <w:rPr>
          <w:rFonts w:cs="Arial" w:hint="cs"/>
          <w:sz w:val="16"/>
          <w:szCs w:val="16"/>
          <w:u w:val="dotted"/>
          <w:rtl/>
        </w:rPr>
        <w:t>/וכו')</w:t>
      </w:r>
      <w:r w:rsidRPr="008B69CD">
        <w:rPr>
          <w:rFonts w:cs="Arial"/>
          <w:u w:val="dotted"/>
          <w:rtl/>
        </w:rPr>
        <w:t xml:space="preserve"> קודם שנודע התערובת</w:t>
      </w:r>
      <w:r w:rsidRPr="008B69CD">
        <w:rPr>
          <w:rFonts w:cs="Arial" w:hint="cs"/>
          <w:u w:val="dotted"/>
          <w:rtl/>
        </w:rPr>
        <w:t>:</w:t>
      </w:r>
    </w:p>
    <w:p w14:paraId="7910DDE9" w14:textId="77777777" w:rsidR="002C39F4" w:rsidRDefault="002C39F4" w:rsidP="0032102C">
      <w:pPr>
        <w:pStyle w:val="a8"/>
        <w:numPr>
          <w:ilvl w:val="0"/>
          <w:numId w:val="254"/>
        </w:numPr>
        <w:rPr>
          <w:rFonts w:cs="Arial"/>
        </w:rPr>
      </w:pPr>
      <w:r w:rsidRPr="00D16C4A">
        <w:rPr>
          <w:rFonts w:cs="Arial"/>
          <w:rtl/>
        </w:rPr>
        <w:t xml:space="preserve">רא"ש </w:t>
      </w:r>
      <w:r w:rsidRPr="00D16C4A">
        <w:rPr>
          <w:rFonts w:cs="Arial"/>
          <w:sz w:val="16"/>
          <w:szCs w:val="16"/>
          <w:rtl/>
        </w:rPr>
        <w:t>(כלל כ דין יז)</w:t>
      </w:r>
      <w:r w:rsidRPr="00D16C4A">
        <w:rPr>
          <w:rFonts w:cs="Arial" w:hint="cs"/>
          <w:rtl/>
        </w:rPr>
        <w:t>-</w:t>
      </w:r>
      <w:r w:rsidRPr="00D16C4A">
        <w:rPr>
          <w:rFonts w:cs="Arial"/>
          <w:rtl/>
        </w:rPr>
        <w:t xml:space="preserve"> נראה כיון שנאכל קודם שנודע הספק</w:t>
      </w:r>
      <w:r w:rsidRPr="00D16C4A">
        <w:rPr>
          <w:rStyle w:val="a7"/>
          <w:rFonts w:cs="Arial"/>
          <w:rtl/>
        </w:rPr>
        <w:footnoteReference w:id="2511"/>
      </w:r>
      <w:r w:rsidRPr="00D16C4A">
        <w:rPr>
          <w:rFonts w:cs="Arial"/>
          <w:rtl/>
        </w:rPr>
        <w:t xml:space="preserve"> לא שייך למיקנסיה</w:t>
      </w:r>
      <w:r w:rsidRPr="00D16C4A">
        <w:rPr>
          <w:rFonts w:cs="Arial" w:hint="cs"/>
          <w:rtl/>
        </w:rPr>
        <w:t>,</w:t>
      </w:r>
      <w:r w:rsidRPr="00D16C4A">
        <w:rPr>
          <w:rFonts w:cs="Arial"/>
          <w:rtl/>
        </w:rPr>
        <w:t xml:space="preserve"> דלא שייך קנס אלא אחר שנודע</w:t>
      </w:r>
      <w:r w:rsidRPr="00C3601A">
        <w:rPr>
          <w:rFonts w:cs="Arial"/>
          <w:rtl/>
        </w:rPr>
        <w:t xml:space="preserve"> התערובת</w:t>
      </w:r>
      <w:r w:rsidRPr="00C3601A">
        <w:rPr>
          <w:rFonts w:cs="Arial" w:hint="cs"/>
          <w:rtl/>
        </w:rPr>
        <w:t>,</w:t>
      </w:r>
      <w:r w:rsidRPr="00C3601A">
        <w:rPr>
          <w:rFonts w:cs="Arial"/>
          <w:rtl/>
        </w:rPr>
        <w:t xml:space="preserve"> דקנסינן שוגג כגון ששכח אטו מזיד</w:t>
      </w:r>
      <w:r w:rsidRPr="00C3601A">
        <w:rPr>
          <w:rFonts w:cs="Arial" w:hint="cs"/>
          <w:rtl/>
        </w:rPr>
        <w:t>,</w:t>
      </w:r>
      <w:r w:rsidRPr="00C3601A">
        <w:rPr>
          <w:rFonts w:cs="Arial"/>
          <w:rtl/>
        </w:rPr>
        <w:t xml:space="preserve"> אבל קודם שנודע התערובת לא שייך למקנסיה אטו אחר שנודע התערובת</w:t>
      </w:r>
      <w:r w:rsidRPr="00C3601A">
        <w:rPr>
          <w:rFonts w:cs="Arial" w:hint="cs"/>
          <w:rtl/>
        </w:rPr>
        <w:t>,</w:t>
      </w:r>
      <w:r w:rsidRPr="00C3601A">
        <w:rPr>
          <w:rFonts w:cs="Arial"/>
          <w:rtl/>
        </w:rPr>
        <w:t xml:space="preserve"> דשמא לעולם לא יודע התערובת</w:t>
      </w:r>
      <w:r w:rsidRPr="00C3601A">
        <w:rPr>
          <w:rFonts w:cs="Arial" w:hint="cs"/>
          <w:rtl/>
        </w:rPr>
        <w:t>,</w:t>
      </w:r>
      <w:r w:rsidRPr="00C3601A">
        <w:rPr>
          <w:rFonts w:cs="Arial"/>
          <w:rtl/>
        </w:rPr>
        <w:t xml:space="preserve"> כללו של דבר כל זמן שעומד בחזקת היתר לא שייך למקנסיה</w:t>
      </w:r>
      <w:r w:rsidRPr="00C3601A">
        <w:rPr>
          <w:rFonts w:cs="Arial" w:hint="cs"/>
          <w:rtl/>
        </w:rPr>
        <w:t xml:space="preserve"> </w:t>
      </w:r>
      <w:r w:rsidRPr="00C3601A">
        <w:rPr>
          <w:rFonts w:cs="Arial" w:hint="cs"/>
          <w:sz w:val="16"/>
          <w:szCs w:val="16"/>
          <w:rtl/>
        </w:rPr>
        <w:t>(ל' הרא"ש)</w:t>
      </w:r>
      <w:r w:rsidRPr="00C3601A">
        <w:rPr>
          <w:rFonts w:cs="Arial" w:hint="cs"/>
          <w:rtl/>
        </w:rPr>
        <w:t>.</w:t>
      </w:r>
    </w:p>
    <w:p w14:paraId="171E1D12" w14:textId="77777777" w:rsidR="002C39F4" w:rsidRPr="00130C71" w:rsidRDefault="002C39F4" w:rsidP="002C39F4">
      <w:pPr>
        <w:rPr>
          <w:rFonts w:cs="Arial"/>
          <w:sz w:val="16"/>
          <w:szCs w:val="16"/>
        </w:rPr>
      </w:pPr>
      <w:r w:rsidRPr="00130C71">
        <w:rPr>
          <w:rFonts w:cs="Arial" w:hint="cs"/>
          <w:u w:val="single"/>
          <w:rtl/>
        </w:rPr>
        <w:t>ראש כבש שנמצא טרפה ולא נודע מאי</w:t>
      </w:r>
      <w:r>
        <w:rPr>
          <w:rFonts w:cs="Arial" w:hint="cs"/>
          <w:u w:val="single"/>
          <w:rtl/>
        </w:rPr>
        <w:t>ז</w:t>
      </w:r>
      <w:r w:rsidRPr="00130C71">
        <w:rPr>
          <w:rFonts w:cs="Arial" w:hint="cs"/>
          <w:u w:val="single"/>
          <w:rtl/>
        </w:rPr>
        <w:t>ה כבש הוא:</w:t>
      </w:r>
      <w:r>
        <w:rPr>
          <w:rFonts w:cs="Arial" w:hint="cs"/>
          <w:sz w:val="16"/>
          <w:szCs w:val="16"/>
          <w:rtl/>
        </w:rPr>
        <w:t xml:space="preserve">  (דרכ"מ אות ח)</w:t>
      </w:r>
    </w:p>
    <w:p w14:paraId="794E04E4" w14:textId="77777777" w:rsidR="002C39F4" w:rsidRPr="00C3601A" w:rsidRDefault="002C39F4" w:rsidP="0032102C">
      <w:pPr>
        <w:pStyle w:val="a8"/>
        <w:numPr>
          <w:ilvl w:val="0"/>
          <w:numId w:val="254"/>
        </w:numPr>
        <w:rPr>
          <w:rFonts w:cs="Arial"/>
          <w:rtl/>
        </w:rPr>
      </w:pPr>
      <w:r w:rsidRPr="00D16C4A">
        <w:rPr>
          <w:rFonts w:cs="Arial" w:hint="cs"/>
          <w:rtl/>
        </w:rPr>
        <w:t xml:space="preserve">תרוה"ד </w:t>
      </w:r>
      <w:r w:rsidRPr="00D16C4A">
        <w:rPr>
          <w:rFonts w:cs="Arial" w:hint="cs"/>
          <w:sz w:val="16"/>
          <w:szCs w:val="16"/>
          <w:rtl/>
        </w:rPr>
        <w:t>(סי'</w:t>
      </w:r>
      <w:r w:rsidRPr="00D16C4A">
        <w:rPr>
          <w:rFonts w:cs="Arial"/>
          <w:sz w:val="16"/>
          <w:szCs w:val="16"/>
          <w:rtl/>
        </w:rPr>
        <w:t xml:space="preserve"> קעט</w:t>
      </w:r>
      <w:r w:rsidRPr="00D16C4A">
        <w:rPr>
          <w:rFonts w:cs="Arial" w:hint="cs"/>
          <w:sz w:val="16"/>
          <w:szCs w:val="16"/>
          <w:rtl/>
        </w:rPr>
        <w:t>)</w:t>
      </w:r>
      <w:r w:rsidRPr="00D16C4A">
        <w:rPr>
          <w:rFonts w:cs="Arial" w:hint="cs"/>
          <w:rtl/>
        </w:rPr>
        <w:t xml:space="preserve">- </w:t>
      </w:r>
      <w:r w:rsidRPr="00D16C4A">
        <w:rPr>
          <w:rFonts w:cs="Arial"/>
          <w:rtl/>
        </w:rPr>
        <w:t>ראש כבש א</w:t>
      </w:r>
      <w:r w:rsidRPr="00D16C4A">
        <w:rPr>
          <w:rFonts w:cs="Arial" w:hint="cs"/>
          <w:rtl/>
        </w:rPr>
        <w:t>'</w:t>
      </w:r>
      <w:r w:rsidRPr="00D16C4A">
        <w:rPr>
          <w:rFonts w:cs="Arial"/>
          <w:rtl/>
        </w:rPr>
        <w:t xml:space="preserve"> נמצא טריפה ולא נודע מאיזה כבש הוא והקיפו הראש לצוואר של א</w:t>
      </w:r>
      <w:r w:rsidRPr="00D16C4A">
        <w:rPr>
          <w:rFonts w:cs="Arial" w:hint="cs"/>
          <w:rtl/>
        </w:rPr>
        <w:t>'</w:t>
      </w:r>
      <w:r w:rsidRPr="00D16C4A">
        <w:rPr>
          <w:rFonts w:cs="Arial"/>
          <w:rtl/>
        </w:rPr>
        <w:t xml:space="preserve"> ונמצאו</w:t>
      </w:r>
      <w:r w:rsidRPr="00130C71">
        <w:rPr>
          <w:rFonts w:cs="Arial"/>
          <w:rtl/>
        </w:rPr>
        <w:t xml:space="preserve"> החתיכות דומים ומכוונים יפה יש לסמוך ע"ז ולהתיר האחרים</w:t>
      </w:r>
      <w:r>
        <w:rPr>
          <w:rStyle w:val="a7"/>
          <w:rFonts w:cs="Arial"/>
          <w:rtl/>
        </w:rPr>
        <w:footnoteReference w:id="2512"/>
      </w:r>
      <w:r>
        <w:rPr>
          <w:rFonts w:cs="Arial" w:hint="cs"/>
          <w:rtl/>
        </w:rPr>
        <w:t xml:space="preserve">. </w:t>
      </w:r>
      <w:r w:rsidRPr="006D409E">
        <w:rPr>
          <w:rFonts w:cs="Arial" w:hint="cs"/>
          <w:color w:val="E36C0A" w:themeColor="accent6" w:themeShade="BF"/>
          <w:rtl/>
        </w:rPr>
        <w:t>(וכ"פ בשו"ע</w:t>
      </w:r>
      <w:r w:rsidRPr="006D409E">
        <w:rPr>
          <w:rFonts w:cs="Arial" w:hint="cs"/>
          <w:color w:val="E36C0A" w:themeColor="accent6" w:themeShade="BF"/>
          <w:sz w:val="16"/>
          <w:szCs w:val="16"/>
          <w:rtl/>
        </w:rPr>
        <w:t xml:space="preserve"> </w:t>
      </w:r>
      <w:r>
        <w:rPr>
          <w:rFonts w:cs="Arial" w:hint="cs"/>
          <w:sz w:val="16"/>
          <w:szCs w:val="16"/>
          <w:rtl/>
        </w:rPr>
        <w:t>[סי' קא סע' ט]</w:t>
      </w:r>
      <w:r w:rsidRPr="006D409E">
        <w:rPr>
          <w:rFonts w:cs="Arial" w:hint="cs"/>
          <w:color w:val="E36C0A" w:themeColor="accent6" w:themeShade="BF"/>
          <w:rtl/>
        </w:rPr>
        <w:t>)</w:t>
      </w:r>
    </w:p>
    <w:p w14:paraId="411E985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DC7F33D" w14:textId="77777777" w:rsidR="002C39F4" w:rsidRDefault="002C39F4" w:rsidP="002C39F4">
      <w:pPr>
        <w:rPr>
          <w:rFonts w:asciiTheme="minorBidi" w:hAnsiTheme="minorBidi"/>
          <w:rtl/>
        </w:rPr>
      </w:pPr>
      <w:r w:rsidRPr="003024E5">
        <w:rPr>
          <w:rFonts w:asciiTheme="minorBidi" w:hAnsiTheme="minorBidi"/>
          <w:rtl/>
        </w:rPr>
        <w:t>דבר שאינו בטל מחמת חשיבותו כגון בעלי חיים ובריה וחתיכה הראויה להתכבד ודבר שיש לו מתירין</w:t>
      </w:r>
      <w:r>
        <w:rPr>
          <w:rStyle w:val="a7"/>
          <w:rFonts w:asciiTheme="minorBidi" w:hAnsiTheme="minorBidi"/>
          <w:rtl/>
        </w:rPr>
        <w:footnoteReference w:id="2513"/>
      </w:r>
      <w:r w:rsidRPr="003024E5">
        <w:rPr>
          <w:rFonts w:asciiTheme="minorBidi" w:hAnsiTheme="minorBidi"/>
          <w:rtl/>
        </w:rPr>
        <w:t xml:space="preserve"> שנתערב באחרים ונאכל אחד מהם בשוגג </w:t>
      </w:r>
      <w:r w:rsidRPr="00C729EA">
        <w:rPr>
          <w:rFonts w:asciiTheme="minorBidi" w:hAnsiTheme="minorBidi" w:hint="cs"/>
          <w:sz w:val="18"/>
          <w:szCs w:val="18"/>
          <w:rtl/>
        </w:rPr>
        <w:t xml:space="preserve">[הגה] </w:t>
      </w:r>
      <w:r w:rsidRPr="00C729EA">
        <w:rPr>
          <w:rFonts w:asciiTheme="minorBidi" w:hAnsiTheme="minorBidi"/>
          <w:sz w:val="18"/>
          <w:szCs w:val="18"/>
          <w:rtl/>
        </w:rPr>
        <w:t>בין שאכלו עצמו בשוגג בין שאכלוהו אחרים בשוגג (ת</w:t>
      </w:r>
      <w:r>
        <w:rPr>
          <w:rFonts w:asciiTheme="minorBidi" w:hAnsiTheme="minorBidi" w:hint="cs"/>
          <w:sz w:val="18"/>
          <w:szCs w:val="18"/>
          <w:rtl/>
        </w:rPr>
        <w:t>רו</w:t>
      </w:r>
      <w:r w:rsidRPr="00C729EA">
        <w:rPr>
          <w:rFonts w:asciiTheme="minorBidi" w:hAnsiTheme="minorBidi"/>
          <w:sz w:val="18"/>
          <w:szCs w:val="18"/>
          <w:rtl/>
        </w:rPr>
        <w:t>ה</w:t>
      </w:r>
      <w:r>
        <w:rPr>
          <w:rFonts w:asciiTheme="minorBidi" w:hAnsiTheme="minorBidi" w:hint="cs"/>
          <w:sz w:val="18"/>
          <w:szCs w:val="18"/>
          <w:rtl/>
        </w:rPr>
        <w:t>"ד</w:t>
      </w:r>
      <w:r w:rsidRPr="00C729EA">
        <w:rPr>
          <w:rFonts w:asciiTheme="minorBidi" w:hAnsiTheme="minorBidi"/>
          <w:sz w:val="18"/>
          <w:szCs w:val="18"/>
          <w:rtl/>
        </w:rPr>
        <w:t xml:space="preserve">) </w:t>
      </w:r>
      <w:r w:rsidRPr="003024E5">
        <w:rPr>
          <w:rFonts w:asciiTheme="minorBidi" w:hAnsiTheme="minorBidi"/>
          <w:rtl/>
        </w:rPr>
        <w:t>או נפל מעצמו לים</w:t>
      </w:r>
      <w:r>
        <w:rPr>
          <w:rStyle w:val="a7"/>
          <w:rFonts w:asciiTheme="minorBidi" w:hAnsiTheme="minorBidi"/>
          <w:rtl/>
        </w:rPr>
        <w:footnoteReference w:id="2514"/>
      </w:r>
      <w:r w:rsidRPr="003024E5">
        <w:rPr>
          <w:rFonts w:asciiTheme="minorBidi" w:hAnsiTheme="minorBidi"/>
          <w:rtl/>
        </w:rPr>
        <w:t xml:space="preserve"> בענין שנאבד</w:t>
      </w:r>
      <w:r>
        <w:rPr>
          <w:rStyle w:val="a7"/>
          <w:rFonts w:asciiTheme="minorBidi" w:hAnsiTheme="minorBidi"/>
          <w:rtl/>
        </w:rPr>
        <w:footnoteReference w:id="2515"/>
      </w:r>
      <w:r w:rsidRPr="003024E5">
        <w:rPr>
          <w:rFonts w:asciiTheme="minorBidi" w:hAnsiTheme="minorBidi"/>
          <w:rtl/>
        </w:rPr>
        <w:t xml:space="preserve"> מן העולם</w:t>
      </w:r>
      <w:r>
        <w:rPr>
          <w:rFonts w:asciiTheme="minorBidi" w:hAnsiTheme="minorBidi" w:hint="cs"/>
          <w:rtl/>
        </w:rPr>
        <w:t>,</w:t>
      </w:r>
      <w:r w:rsidRPr="003024E5">
        <w:rPr>
          <w:rFonts w:asciiTheme="minorBidi" w:hAnsiTheme="minorBidi"/>
          <w:rtl/>
        </w:rPr>
        <w:t xml:space="preserve"> הותרו כל האחרים, שאנו תולין לומר האיסור הלך לו</w:t>
      </w:r>
      <w:r>
        <w:rPr>
          <w:rStyle w:val="a7"/>
          <w:rFonts w:asciiTheme="minorBidi" w:hAnsiTheme="minorBidi"/>
          <w:rtl/>
        </w:rPr>
        <w:footnoteReference w:id="2516"/>
      </w:r>
      <w:r>
        <w:rPr>
          <w:rFonts w:asciiTheme="minorBidi" w:hAnsiTheme="minorBidi" w:hint="cs"/>
          <w:rtl/>
        </w:rPr>
        <w:t>.</w:t>
      </w:r>
      <w:r w:rsidRPr="003024E5">
        <w:rPr>
          <w:rFonts w:asciiTheme="minorBidi" w:hAnsiTheme="minorBidi"/>
          <w:rtl/>
        </w:rPr>
        <w:t xml:space="preserve"> ודוקא כשאוכל הנשארות שתים שתים ביחד, דממה נפשך איכא חדא דהיתרא</w:t>
      </w:r>
      <w:r>
        <w:rPr>
          <w:rStyle w:val="a7"/>
          <w:rFonts w:asciiTheme="minorBidi" w:hAnsiTheme="minorBidi"/>
          <w:rtl/>
        </w:rPr>
        <w:footnoteReference w:id="2517"/>
      </w:r>
      <w:r w:rsidRPr="003024E5">
        <w:rPr>
          <w:rFonts w:asciiTheme="minorBidi" w:hAnsiTheme="minorBidi"/>
          <w:rtl/>
        </w:rPr>
        <w:t xml:space="preserve">, אבל לאוכלם אחת אחת אסור. </w:t>
      </w:r>
      <w:r w:rsidRPr="00C729EA">
        <w:rPr>
          <w:rFonts w:asciiTheme="minorBidi" w:hAnsiTheme="minorBidi"/>
          <w:sz w:val="18"/>
          <w:szCs w:val="18"/>
          <w:rtl/>
        </w:rPr>
        <w:t>הגה: ואפילו לאכלם שתים שתים אסור לאדם אחד לאכול את כולם</w:t>
      </w:r>
      <w:r>
        <w:rPr>
          <w:rStyle w:val="a7"/>
          <w:rFonts w:asciiTheme="minorBidi" w:hAnsiTheme="minorBidi"/>
          <w:sz w:val="18"/>
          <w:szCs w:val="18"/>
          <w:rtl/>
        </w:rPr>
        <w:footnoteReference w:id="2518"/>
      </w:r>
      <w:r>
        <w:rPr>
          <w:rFonts w:asciiTheme="minorBidi" w:hAnsiTheme="minorBidi" w:hint="cs"/>
          <w:sz w:val="18"/>
          <w:szCs w:val="18"/>
          <w:rtl/>
        </w:rPr>
        <w:t>,</w:t>
      </w:r>
      <w:r w:rsidRPr="00C729EA">
        <w:rPr>
          <w:rFonts w:asciiTheme="minorBidi" w:hAnsiTheme="minorBidi"/>
          <w:sz w:val="18"/>
          <w:szCs w:val="18"/>
          <w:rtl/>
        </w:rPr>
        <w:t xml:space="preserve"> ואפי</w:t>
      </w:r>
      <w:r>
        <w:rPr>
          <w:rFonts w:asciiTheme="minorBidi" w:hAnsiTheme="minorBidi" w:hint="cs"/>
          <w:sz w:val="18"/>
          <w:szCs w:val="18"/>
          <w:rtl/>
        </w:rPr>
        <w:t>לו</w:t>
      </w:r>
      <w:r w:rsidRPr="00C729EA">
        <w:rPr>
          <w:rFonts w:asciiTheme="minorBidi" w:hAnsiTheme="minorBidi"/>
          <w:sz w:val="18"/>
          <w:szCs w:val="18"/>
          <w:rtl/>
        </w:rPr>
        <w:t xml:space="preserve"> </w:t>
      </w:r>
      <w:r>
        <w:rPr>
          <w:rFonts w:asciiTheme="minorBidi" w:hAnsiTheme="minorBidi" w:hint="cs"/>
          <w:sz w:val="18"/>
          <w:szCs w:val="18"/>
          <w:rtl/>
        </w:rPr>
        <w:t>שני</w:t>
      </w:r>
      <w:r w:rsidRPr="00C729EA">
        <w:rPr>
          <w:rFonts w:asciiTheme="minorBidi" w:hAnsiTheme="minorBidi"/>
          <w:sz w:val="18"/>
          <w:szCs w:val="18"/>
          <w:rtl/>
        </w:rPr>
        <w:t xml:space="preserve"> בני אדם אין לאכלם כולם בבת אחת</w:t>
      </w:r>
      <w:r>
        <w:rPr>
          <w:rStyle w:val="a7"/>
          <w:rFonts w:asciiTheme="minorBidi" w:hAnsiTheme="minorBidi"/>
          <w:sz w:val="18"/>
          <w:szCs w:val="18"/>
          <w:rtl/>
        </w:rPr>
        <w:footnoteReference w:id="2519"/>
      </w:r>
      <w:r w:rsidRPr="00C729EA">
        <w:rPr>
          <w:rFonts w:asciiTheme="minorBidi" w:hAnsiTheme="minorBidi"/>
          <w:sz w:val="18"/>
          <w:szCs w:val="18"/>
          <w:rtl/>
        </w:rPr>
        <w:t xml:space="preserve"> (ב"י לדעת טור).</w:t>
      </w:r>
      <w:r w:rsidRPr="003024E5">
        <w:rPr>
          <w:rFonts w:asciiTheme="minorBidi" w:hAnsiTheme="minorBidi"/>
          <w:rtl/>
        </w:rPr>
        <w:t xml:space="preserve"> </w:t>
      </w:r>
    </w:p>
    <w:p w14:paraId="0ACB41A2" w14:textId="77777777" w:rsidR="002C39F4" w:rsidRPr="003024E5" w:rsidRDefault="002C39F4" w:rsidP="002C39F4">
      <w:pPr>
        <w:rPr>
          <w:rFonts w:asciiTheme="minorBidi" w:hAnsiTheme="minorBidi"/>
          <w:rtl/>
        </w:rPr>
      </w:pPr>
    </w:p>
    <w:p w14:paraId="32A1887E" w14:textId="77777777" w:rsidR="002C39F4" w:rsidRDefault="002C39F4" w:rsidP="002C39F4">
      <w:pPr>
        <w:pStyle w:val="2"/>
        <w:rPr>
          <w:rFonts w:asciiTheme="minorBidi" w:hAnsiTheme="minorBidi"/>
          <w:rtl/>
        </w:rPr>
      </w:pPr>
      <w:r w:rsidRPr="003024E5">
        <w:rPr>
          <w:rFonts w:asciiTheme="minorBidi" w:hAnsiTheme="minorBidi"/>
          <w:rtl/>
        </w:rPr>
        <w:t>סעיף ח</w:t>
      </w:r>
      <w:r>
        <w:rPr>
          <w:rFonts w:asciiTheme="minorBidi" w:hAnsiTheme="minorBidi" w:hint="cs"/>
          <w:rtl/>
        </w:rPr>
        <w:t xml:space="preserve">: איסור חשוב שנתערב ברוב היתר </w:t>
      </w:r>
      <w:r>
        <w:rPr>
          <w:rFonts w:asciiTheme="minorBidi" w:hAnsiTheme="minorBidi"/>
          <w:rtl/>
        </w:rPr>
        <w:t>–</w:t>
      </w:r>
      <w:r>
        <w:rPr>
          <w:rFonts w:asciiTheme="minorBidi" w:hAnsiTheme="minorBidi" w:hint="cs"/>
          <w:rtl/>
        </w:rPr>
        <w:t xml:space="preserve"> ואחד מהתערובת פרש ונתערב ברוב היתר.</w:t>
      </w:r>
    </w:p>
    <w:p w14:paraId="79FE1CCA" w14:textId="77777777" w:rsidR="002C39F4" w:rsidRDefault="002C39F4" w:rsidP="002C39F4">
      <w:pPr>
        <w:rPr>
          <w:rFonts w:cs="Arial"/>
          <w:rtl/>
        </w:rPr>
      </w:pPr>
      <w:r>
        <w:rPr>
          <w:rFonts w:cs="Arial" w:hint="cs"/>
          <w:b/>
          <w:bCs/>
          <w:rtl/>
        </w:rPr>
        <w:t xml:space="preserve">זבחים עד ע"א: </w:t>
      </w:r>
      <w:r w:rsidRPr="008066DC">
        <w:rPr>
          <w:rFonts w:cs="Arial"/>
          <w:u w:val="single"/>
          <w:rtl/>
        </w:rPr>
        <w:t>אמר רב</w:t>
      </w:r>
      <w:r w:rsidRPr="008066DC">
        <w:rPr>
          <w:rFonts w:cs="Arial"/>
          <w:rtl/>
        </w:rPr>
        <w:t>: טבעת של ע</w:t>
      </w:r>
      <w:r>
        <w:rPr>
          <w:rFonts w:cs="Arial" w:hint="cs"/>
          <w:rtl/>
        </w:rPr>
        <w:t xml:space="preserve">בודת כוכבים </w:t>
      </w:r>
      <w:r w:rsidRPr="008066DC">
        <w:rPr>
          <w:rFonts w:cs="Arial"/>
          <w:rtl/>
        </w:rPr>
        <w:t>שנתערבה במאה טבעות, ופרשו ארבעים למקום אחד וששים למקום אחר, פרשה אחת מארבעים - אינה אוסרת, אחת מששים - אוסרת; מאי שנא אחת מארבעים ד</w:t>
      </w:r>
      <w:r>
        <w:rPr>
          <w:rFonts w:cs="Arial"/>
          <w:rtl/>
        </w:rPr>
        <w:t>לא? דאמרינן: איסורא ברובא איתיה</w:t>
      </w:r>
      <w:r>
        <w:rPr>
          <w:rFonts w:cs="Arial" w:hint="cs"/>
          <w:rtl/>
        </w:rPr>
        <w:t>.</w:t>
      </w:r>
      <w:r w:rsidRPr="008066DC">
        <w:rPr>
          <w:rFonts w:cs="Arial"/>
          <w:rtl/>
        </w:rPr>
        <w:t xml:space="preserve"> אחת מששים נמי אמרינן: </w:t>
      </w:r>
      <w:r>
        <w:rPr>
          <w:rFonts w:cs="Arial"/>
          <w:rtl/>
        </w:rPr>
        <w:t>איסורא ברובא איתיה</w:t>
      </w:r>
      <w:r>
        <w:rPr>
          <w:rStyle w:val="a7"/>
          <w:rFonts w:cs="Arial"/>
          <w:rtl/>
        </w:rPr>
        <w:footnoteReference w:id="2520"/>
      </w:r>
      <w:r>
        <w:rPr>
          <w:rFonts w:cs="Arial"/>
          <w:rtl/>
        </w:rPr>
        <w:t>! אל</w:t>
      </w:r>
      <w:r>
        <w:rPr>
          <w:rFonts w:cs="Arial" w:hint="cs"/>
          <w:rtl/>
        </w:rPr>
        <w:t>א</w:t>
      </w:r>
      <w:r w:rsidRPr="008066DC">
        <w:rPr>
          <w:rFonts w:cs="Arial"/>
          <w:rtl/>
        </w:rPr>
        <w:t>, אם פרשו ארבעים כולן למקום אחד - אין אוסרות</w:t>
      </w:r>
      <w:r>
        <w:rPr>
          <w:rStyle w:val="a7"/>
          <w:rFonts w:cs="Arial"/>
          <w:rtl/>
        </w:rPr>
        <w:footnoteReference w:id="2521"/>
      </w:r>
      <w:r w:rsidRPr="008066DC">
        <w:rPr>
          <w:rFonts w:cs="Arial"/>
          <w:rtl/>
        </w:rPr>
        <w:t xml:space="preserve">, ששים למקום אחד - אוסרות. </w:t>
      </w:r>
      <w:r w:rsidRPr="008066DC">
        <w:rPr>
          <w:rFonts w:cs="Arial"/>
          <w:u w:val="single"/>
          <w:rtl/>
        </w:rPr>
        <w:t>כי אמריתה קמיה דשמואל, א"ל</w:t>
      </w:r>
      <w:r w:rsidRPr="008066DC">
        <w:rPr>
          <w:rFonts w:cs="Arial"/>
          <w:rtl/>
        </w:rPr>
        <w:t>: הנח לעבודת כוכבים, שספיקה וספק ספיקה אסורה עד סוף העולם. מיתיבי: ספק עבודת כוכבים אסורה, וספק ספיקה מותרת</w:t>
      </w:r>
      <w:r>
        <w:rPr>
          <w:rFonts w:cs="Arial" w:hint="cs"/>
          <w:rtl/>
        </w:rPr>
        <w:t>...</w:t>
      </w:r>
      <w:r>
        <w:rPr>
          <w:rFonts w:cs="Arial"/>
          <w:rtl/>
        </w:rPr>
        <w:t xml:space="preserve"> תנאי היא</w:t>
      </w:r>
      <w:r>
        <w:rPr>
          <w:rFonts w:cs="Arial" w:hint="cs"/>
          <w:rtl/>
        </w:rPr>
        <w:t>,</w:t>
      </w:r>
      <w:r w:rsidRPr="008066DC">
        <w:rPr>
          <w:rFonts w:cs="Arial"/>
          <w:rtl/>
        </w:rPr>
        <w:t xml:space="preserve"> דתניא, </w:t>
      </w:r>
      <w:r w:rsidRPr="008066DC">
        <w:rPr>
          <w:rFonts w:cs="Arial"/>
          <w:u w:val="single"/>
          <w:rtl/>
        </w:rPr>
        <w:t>ר' יהודה אומר</w:t>
      </w:r>
      <w:r w:rsidRPr="008066DC">
        <w:rPr>
          <w:rFonts w:cs="Arial"/>
          <w:rtl/>
        </w:rPr>
        <w:t>: רימוני באדן אוסרין בכל שהוא, כיצד? נפל אחד מהן לתו</w:t>
      </w:r>
      <w:r>
        <w:rPr>
          <w:rFonts w:cs="Arial"/>
          <w:rtl/>
        </w:rPr>
        <w:t>ך ריבוא ומריבוא לריבוא – אסורין</w:t>
      </w:r>
      <w:r>
        <w:rPr>
          <w:rFonts w:cs="Arial" w:hint="cs"/>
          <w:rtl/>
        </w:rPr>
        <w:t>,</w:t>
      </w:r>
      <w:r w:rsidRPr="008066DC">
        <w:rPr>
          <w:rFonts w:cs="Arial"/>
          <w:rtl/>
        </w:rPr>
        <w:t xml:space="preserve"> </w:t>
      </w:r>
      <w:r w:rsidRPr="008066DC">
        <w:rPr>
          <w:rFonts w:cs="Arial"/>
          <w:u w:val="single"/>
          <w:rtl/>
        </w:rPr>
        <w:t xml:space="preserve">ר"ש בן יהודה אומר </w:t>
      </w:r>
      <w:r w:rsidRPr="005F2E9D">
        <w:rPr>
          <w:rFonts w:cs="Arial"/>
          <w:u w:val="single"/>
          <w:rtl/>
        </w:rPr>
        <w:t>משום ר</w:t>
      </w:r>
      <w:r w:rsidRPr="008066DC">
        <w:rPr>
          <w:rFonts w:cs="Arial"/>
          <w:u w:val="single"/>
          <w:rtl/>
        </w:rPr>
        <w:t>"ש</w:t>
      </w:r>
      <w:r w:rsidRPr="008066DC">
        <w:rPr>
          <w:rFonts w:cs="Arial"/>
          <w:rtl/>
        </w:rPr>
        <w:t xml:space="preserve">: לריבוא - אסורין, </w:t>
      </w:r>
      <w:r>
        <w:rPr>
          <w:rFonts w:cs="Arial" w:hint="cs"/>
          <w:rtl/>
        </w:rPr>
        <w:t>[</w:t>
      </w:r>
      <w:r w:rsidRPr="008066DC">
        <w:rPr>
          <w:rFonts w:cs="Arial"/>
          <w:rtl/>
        </w:rPr>
        <w:t>ומריבוא</w:t>
      </w:r>
      <w:r>
        <w:rPr>
          <w:rStyle w:val="a7"/>
          <w:rFonts w:cs="Arial"/>
          <w:rtl/>
        </w:rPr>
        <w:footnoteReference w:id="2522"/>
      </w:r>
      <w:r>
        <w:rPr>
          <w:rFonts w:cs="Arial" w:hint="cs"/>
          <w:rtl/>
        </w:rPr>
        <w:t>]</w:t>
      </w:r>
      <w:r w:rsidRPr="008066DC">
        <w:rPr>
          <w:rFonts w:cs="Arial"/>
          <w:rtl/>
        </w:rPr>
        <w:t xml:space="preserve"> לשלשה ומשלשה למקום אחר - מותר.</w:t>
      </w:r>
      <w:r>
        <w:rPr>
          <w:rFonts w:cs="Arial" w:hint="cs"/>
          <w:rtl/>
        </w:rPr>
        <w:t xml:space="preserve"> </w:t>
      </w:r>
      <w:r w:rsidRPr="008066DC">
        <w:rPr>
          <w:rFonts w:cs="Arial"/>
          <w:rtl/>
        </w:rPr>
        <w:t>שמואל דאמר כמאן? אי כרבי יהודה, אפילו בשאר איסורים אסור! אי כר"ש, אפילו בעבודת כוכבים נמי שרי! וכי תימא, שאני ליה לר"ש בין עבודת כוכבים לשאר איסורים, אלא הא דתניא: ספק עבודת כוכבים אסורה, וספק ספיקה מותרת, מני? לא רבי יהודה ולא ר' שמ</w:t>
      </w:r>
      <w:r>
        <w:rPr>
          <w:rFonts w:cs="Arial"/>
          <w:rtl/>
        </w:rPr>
        <w:t>עון</w:t>
      </w:r>
      <w:r>
        <w:rPr>
          <w:rFonts w:cs="Arial" w:hint="cs"/>
          <w:rtl/>
        </w:rPr>
        <w:t>?</w:t>
      </w:r>
      <w:r w:rsidRPr="008066DC">
        <w:rPr>
          <w:rFonts w:cs="Arial"/>
          <w:rtl/>
        </w:rPr>
        <w:t xml:space="preserve"> לעולם רבי שמעון, ושמואל סבר לה כר' יהודה בחדא ופליג עליה בחדא. </w:t>
      </w:r>
      <w:r w:rsidRPr="005F2E9D">
        <w:rPr>
          <w:rFonts w:cs="Arial"/>
          <w:u w:val="single"/>
          <w:rtl/>
        </w:rPr>
        <w:t>אמר מר</w:t>
      </w:r>
      <w:r w:rsidRPr="008066DC">
        <w:rPr>
          <w:rFonts w:cs="Arial"/>
          <w:rtl/>
        </w:rPr>
        <w:t>: מריבוא לשלשה ומשלשה למקום אחר - מותר.</w:t>
      </w:r>
      <w:r w:rsidRPr="005F2E9D">
        <w:rPr>
          <w:rtl/>
        </w:rPr>
        <w:t xml:space="preserve"> </w:t>
      </w:r>
      <w:r w:rsidRPr="005F2E9D">
        <w:rPr>
          <w:rFonts w:cs="Arial"/>
          <w:rtl/>
        </w:rPr>
        <w:t>מ"ש שלשה? דאיכא רובא, שנים נמי איכא רובא! מאי ג' דקתני? תרתי והוא</w:t>
      </w:r>
      <w:r>
        <w:rPr>
          <w:rStyle w:val="a7"/>
          <w:rFonts w:cs="Arial"/>
          <w:rtl/>
        </w:rPr>
        <w:footnoteReference w:id="2523"/>
      </w:r>
      <w:r w:rsidRPr="005F2E9D">
        <w:rPr>
          <w:rFonts w:cs="Arial"/>
          <w:rtl/>
        </w:rPr>
        <w:t>. ואיבעית אימא: סבר לה כר' אליעזר</w:t>
      </w:r>
      <w:r>
        <w:rPr>
          <w:rStyle w:val="a7"/>
          <w:rFonts w:cs="Arial"/>
          <w:rtl/>
        </w:rPr>
        <w:footnoteReference w:id="2524"/>
      </w:r>
      <w:r w:rsidRPr="005F2E9D">
        <w:rPr>
          <w:rFonts w:cs="Arial"/>
          <w:rtl/>
        </w:rPr>
        <w:t>.</w:t>
      </w:r>
      <w:r>
        <w:rPr>
          <w:rFonts w:hint="cs"/>
          <w:rtl/>
        </w:rPr>
        <w:t xml:space="preserve"> </w:t>
      </w:r>
      <w:r w:rsidRPr="005F2E9D">
        <w:rPr>
          <w:rFonts w:hint="cs"/>
          <w:sz w:val="16"/>
          <w:szCs w:val="16"/>
          <w:rtl/>
        </w:rPr>
        <w:t>(</w:t>
      </w:r>
      <w:r w:rsidRPr="005F2E9D">
        <w:rPr>
          <w:rFonts w:cs="Arial"/>
          <w:sz w:val="16"/>
          <w:szCs w:val="16"/>
          <w:rtl/>
        </w:rPr>
        <w:t>וכתב הרשב"א (שם כד.) דאף בע"ז הלכה כרבי שמעון</w:t>
      </w:r>
      <w:r>
        <w:rPr>
          <w:rFonts w:cs="Arial" w:hint="cs"/>
          <w:sz w:val="16"/>
          <w:szCs w:val="16"/>
          <w:rtl/>
        </w:rPr>
        <w:t>,</w:t>
      </w:r>
      <w:r w:rsidRPr="005F2E9D">
        <w:rPr>
          <w:rFonts w:cs="Arial"/>
          <w:sz w:val="16"/>
          <w:szCs w:val="16"/>
          <w:rtl/>
        </w:rPr>
        <w:t xml:space="preserve"> דהא כל רב ושמואל הלכה כרב באיסורי</w:t>
      </w:r>
      <w:r w:rsidRPr="005F2E9D">
        <w:rPr>
          <w:rFonts w:cs="Arial" w:hint="cs"/>
          <w:sz w:val="16"/>
          <w:szCs w:val="16"/>
          <w:rtl/>
        </w:rPr>
        <w:t>,</w:t>
      </w:r>
      <w:r w:rsidRPr="005F2E9D">
        <w:rPr>
          <w:rFonts w:cs="Arial"/>
          <w:sz w:val="16"/>
          <w:szCs w:val="16"/>
          <w:rtl/>
        </w:rPr>
        <w:t xml:space="preserve"> ומ"מ בשאר איסורין לא נחלקו אלא כולהו סבירא להו כרבי שמעון</w:t>
      </w:r>
      <w:r w:rsidRPr="005F2E9D">
        <w:rPr>
          <w:rFonts w:cs="Arial" w:hint="cs"/>
          <w:sz w:val="16"/>
          <w:szCs w:val="16"/>
          <w:rtl/>
        </w:rPr>
        <w:t>,</w:t>
      </w:r>
      <w:r w:rsidRPr="005F2E9D">
        <w:rPr>
          <w:rFonts w:cs="Arial"/>
          <w:sz w:val="16"/>
          <w:szCs w:val="16"/>
          <w:rtl/>
        </w:rPr>
        <w:t xml:space="preserve"> וגם התוספות (זבחים עד: ד"ה ואי בעית אימא) פסקו כרב</w:t>
      </w:r>
      <w:r w:rsidRPr="005F2E9D">
        <w:rPr>
          <w:rFonts w:cs="Arial" w:hint="cs"/>
          <w:sz w:val="16"/>
          <w:szCs w:val="16"/>
          <w:rtl/>
        </w:rPr>
        <w:t>,</w:t>
      </w:r>
      <w:r w:rsidRPr="005F2E9D">
        <w:rPr>
          <w:rFonts w:cs="Arial"/>
          <w:sz w:val="16"/>
          <w:szCs w:val="16"/>
          <w:rtl/>
        </w:rPr>
        <w:t xml:space="preserve"> וכן בסמ"ג (לאוין קמ וקמ"א נב ע"ג)</w:t>
      </w:r>
      <w:r>
        <w:rPr>
          <w:rFonts w:cs="Arial" w:hint="cs"/>
          <w:sz w:val="16"/>
          <w:szCs w:val="16"/>
          <w:rtl/>
        </w:rPr>
        <w:t>, ב"י</w:t>
      </w:r>
      <w:r w:rsidRPr="005F2E9D">
        <w:rPr>
          <w:rFonts w:cs="Arial" w:hint="cs"/>
          <w:sz w:val="16"/>
          <w:szCs w:val="16"/>
          <w:rtl/>
        </w:rPr>
        <w:t>)</w:t>
      </w:r>
      <w:r w:rsidRPr="005F2E9D">
        <w:rPr>
          <w:rFonts w:cs="Arial"/>
          <w:sz w:val="16"/>
          <w:szCs w:val="16"/>
          <w:rtl/>
        </w:rPr>
        <w:t xml:space="preserve"> </w:t>
      </w:r>
    </w:p>
    <w:p w14:paraId="24A37B7A" w14:textId="77777777" w:rsidR="002C39F4" w:rsidRPr="008641AA" w:rsidRDefault="002C39F4" w:rsidP="002C39F4">
      <w:pPr>
        <w:rPr>
          <w:rFonts w:cs="Arial"/>
          <w:u w:val="single"/>
          <w:rtl/>
        </w:rPr>
      </w:pPr>
      <w:r>
        <w:rPr>
          <w:rFonts w:cs="Arial" w:hint="cs"/>
          <w:u w:val="single"/>
          <w:rtl/>
        </w:rPr>
        <w:t>ב</w:t>
      </w:r>
      <w:r w:rsidRPr="008641AA">
        <w:rPr>
          <w:rFonts w:cs="Arial" w:hint="cs"/>
          <w:u w:val="single"/>
          <w:rtl/>
        </w:rPr>
        <w:t xml:space="preserve">איזה מקרה מתיר רבי שמעון </w:t>
      </w:r>
      <w:r w:rsidRPr="008641AA">
        <w:rPr>
          <w:rFonts w:cs="Arial" w:hint="cs"/>
          <w:sz w:val="16"/>
          <w:szCs w:val="16"/>
          <w:u w:val="single"/>
          <w:rtl/>
        </w:rPr>
        <w:t>(דקיי"ל כוותיה)</w:t>
      </w:r>
      <w:r>
        <w:rPr>
          <w:rFonts w:cs="Arial" w:hint="cs"/>
          <w:u w:val="single"/>
          <w:rtl/>
        </w:rPr>
        <w:t xml:space="preserve"> את הרימוני בדן</w:t>
      </w:r>
      <w:r>
        <w:rPr>
          <w:rFonts w:cs="Arial" w:hint="cs"/>
          <w:sz w:val="16"/>
          <w:szCs w:val="16"/>
          <w:u w:val="single"/>
          <w:rtl/>
        </w:rPr>
        <w:t xml:space="preserve"> (ודכוותם)</w:t>
      </w:r>
      <w:r w:rsidRPr="008641AA">
        <w:rPr>
          <w:rFonts w:cs="Arial" w:hint="cs"/>
          <w:u w:val="single"/>
          <w:rtl/>
        </w:rPr>
        <w:t>:</w:t>
      </w:r>
      <w:r>
        <w:rPr>
          <w:rFonts w:cs="Arial" w:hint="cs"/>
          <w:sz w:val="16"/>
          <w:szCs w:val="16"/>
          <w:rtl/>
        </w:rPr>
        <w:t xml:space="preserve">  </w:t>
      </w:r>
    </w:p>
    <w:p w14:paraId="2EC4C82B" w14:textId="77777777" w:rsidR="002C39F4" w:rsidRDefault="002C39F4" w:rsidP="0032102C">
      <w:pPr>
        <w:pStyle w:val="a8"/>
        <w:numPr>
          <w:ilvl w:val="0"/>
          <w:numId w:val="254"/>
        </w:numPr>
        <w:rPr>
          <w:rFonts w:cs="Arial"/>
        </w:rPr>
      </w:pPr>
      <w:r w:rsidRPr="00906A89">
        <w:rPr>
          <w:rFonts w:cs="Arial"/>
          <w:rtl/>
        </w:rPr>
        <w:t xml:space="preserve">רש"י </w:t>
      </w:r>
      <w:r w:rsidRPr="00906A89">
        <w:rPr>
          <w:rFonts w:cs="Arial" w:hint="cs"/>
          <w:rtl/>
        </w:rPr>
        <w:t>ו</w:t>
      </w:r>
      <w:r w:rsidRPr="00906A89">
        <w:rPr>
          <w:rFonts w:cs="Arial"/>
          <w:rtl/>
        </w:rPr>
        <w:t>רמב"ם</w:t>
      </w:r>
      <w:r w:rsidRPr="00906A89">
        <w:rPr>
          <w:rFonts w:cs="Arial" w:hint="cs"/>
          <w:rtl/>
        </w:rPr>
        <w:t xml:space="preserve"> </w:t>
      </w:r>
      <w:r w:rsidRPr="00906A89">
        <w:rPr>
          <w:rFonts w:cs="Arial" w:hint="cs"/>
          <w:sz w:val="16"/>
          <w:szCs w:val="16"/>
          <w:rtl/>
        </w:rPr>
        <w:t xml:space="preserve">(פט"ז </w:t>
      </w:r>
      <w:r w:rsidRPr="00906A89">
        <w:rPr>
          <w:rFonts w:cs="Arial"/>
          <w:sz w:val="16"/>
          <w:szCs w:val="16"/>
          <w:rtl/>
        </w:rPr>
        <w:t>ה"</w:t>
      </w:r>
      <w:r w:rsidRPr="00906A89">
        <w:rPr>
          <w:rFonts w:cs="Arial" w:hint="cs"/>
          <w:sz w:val="16"/>
          <w:szCs w:val="16"/>
          <w:rtl/>
        </w:rPr>
        <w:t>ט-</w:t>
      </w:r>
      <w:r w:rsidRPr="00906A89">
        <w:rPr>
          <w:rFonts w:cs="Arial"/>
          <w:sz w:val="16"/>
          <w:szCs w:val="16"/>
          <w:rtl/>
        </w:rPr>
        <w:t>י)</w:t>
      </w:r>
      <w:r w:rsidRPr="00906A89">
        <w:rPr>
          <w:rFonts w:cs="Arial" w:hint="cs"/>
          <w:rtl/>
        </w:rPr>
        <w:t xml:space="preserve">- </w:t>
      </w:r>
      <w:r w:rsidRPr="00906A89">
        <w:rPr>
          <w:rFonts w:cs="Arial"/>
          <w:rtl/>
        </w:rPr>
        <w:t>כל דבר שהוא חשוב אצל בני מקום מן המקומות כגון אגוזי פרך ורמוני בדן</w:t>
      </w:r>
      <w:r w:rsidRPr="00906A89">
        <w:rPr>
          <w:rFonts w:cs="Arial" w:hint="cs"/>
          <w:rtl/>
        </w:rPr>
        <w:t xml:space="preserve">... </w:t>
      </w:r>
      <w:r w:rsidRPr="00906A89">
        <w:rPr>
          <w:rFonts w:cs="Arial"/>
          <w:rtl/>
        </w:rPr>
        <w:t>אוסר</w:t>
      </w:r>
      <w:r w:rsidRPr="001B6EA4">
        <w:rPr>
          <w:rFonts w:cs="Arial"/>
          <w:rtl/>
        </w:rPr>
        <w:t xml:space="preserve"> בכל שהוא</w:t>
      </w:r>
      <w:r>
        <w:rPr>
          <w:rFonts w:cs="Arial" w:hint="cs"/>
          <w:rtl/>
        </w:rPr>
        <w:t xml:space="preserve">... </w:t>
      </w:r>
      <w:r w:rsidRPr="001B6EA4">
        <w:rPr>
          <w:rFonts w:cs="Arial"/>
          <w:rtl/>
        </w:rPr>
        <w:t>נפל רמון אחד מן התערובת הזאת לשני רמונים אחרים מרמוני בדן, ונפל מן השלשה רמון אחד לרמונים אחרים הרי אלו האחרים</w:t>
      </w:r>
      <w:r>
        <w:rPr>
          <w:rStyle w:val="a7"/>
          <w:rFonts w:cs="Arial"/>
          <w:rtl/>
        </w:rPr>
        <w:footnoteReference w:id="2525"/>
      </w:r>
      <w:r w:rsidRPr="001B6EA4">
        <w:rPr>
          <w:rFonts w:cs="Arial"/>
          <w:rtl/>
        </w:rPr>
        <w:t xml:space="preserve"> מותרין שהרי הרמון של תערובת הראשונה בטל ברוב, ואם נפל מן התערובת הראשונה רמון לאלף כולן אסורין, לא נאמר בטל ברוב אלא להתיר ספק ספיקן שאם יפול מן התערובת השנייה למקום אחר אינו אוסר</w:t>
      </w:r>
      <w:r>
        <w:rPr>
          <w:rFonts w:cs="Arial" w:hint="cs"/>
          <w:rtl/>
        </w:rPr>
        <w:t>,</w:t>
      </w:r>
      <w:r w:rsidRPr="001B6EA4">
        <w:rPr>
          <w:rFonts w:cs="Arial"/>
          <w:rtl/>
        </w:rPr>
        <w:t xml:space="preserve"> וכן כל כיוצא בזה</w:t>
      </w:r>
      <w:r>
        <w:rPr>
          <w:rFonts w:cs="Arial" w:hint="cs"/>
          <w:sz w:val="16"/>
          <w:szCs w:val="16"/>
          <w:rtl/>
        </w:rPr>
        <w:t xml:space="preserve"> (ל' הרמב"ם)</w:t>
      </w:r>
      <w:r w:rsidRPr="001B6EA4">
        <w:rPr>
          <w:rFonts w:cs="Arial"/>
          <w:rtl/>
        </w:rPr>
        <w:t xml:space="preserve">. </w:t>
      </w:r>
      <w:r w:rsidRPr="00D1471D">
        <w:rPr>
          <w:rFonts w:cs="Arial" w:hint="cs"/>
          <w:color w:val="E36C0A" w:themeColor="accent6" w:themeShade="BF"/>
          <w:rtl/>
        </w:rPr>
        <w:t>(וכ"פ בשו"ע)</w:t>
      </w:r>
    </w:p>
    <w:p w14:paraId="4E3FF316" w14:textId="77777777" w:rsidR="002C39F4" w:rsidRDefault="002C39F4" w:rsidP="0032102C">
      <w:pPr>
        <w:pStyle w:val="a8"/>
        <w:numPr>
          <w:ilvl w:val="0"/>
          <w:numId w:val="254"/>
        </w:numPr>
        <w:rPr>
          <w:rFonts w:cs="Arial"/>
        </w:rPr>
      </w:pPr>
      <w:r w:rsidRPr="00906A89">
        <w:rPr>
          <w:rFonts w:cs="Arial" w:hint="cs"/>
          <w:rtl/>
        </w:rPr>
        <w:t>תוס'</w:t>
      </w:r>
      <w:r w:rsidRPr="00906A89">
        <w:rPr>
          <w:rStyle w:val="a7"/>
          <w:rFonts w:cs="Arial"/>
          <w:rtl/>
        </w:rPr>
        <w:footnoteReference w:id="2526"/>
      </w:r>
      <w:r w:rsidRPr="00906A89">
        <w:rPr>
          <w:rFonts w:cs="Arial" w:hint="cs"/>
          <w:rtl/>
        </w:rPr>
        <w:t xml:space="preserve"> </w:t>
      </w:r>
      <w:r w:rsidRPr="00906A89">
        <w:rPr>
          <w:rFonts w:cs="Arial" w:hint="cs"/>
          <w:sz w:val="16"/>
          <w:szCs w:val="16"/>
          <w:rtl/>
        </w:rPr>
        <w:t xml:space="preserve">(זבחים עד. ד"ה פירש) </w:t>
      </w:r>
      <w:r w:rsidRPr="00906A89">
        <w:rPr>
          <w:rFonts w:cs="Arial"/>
          <w:rtl/>
        </w:rPr>
        <w:t xml:space="preserve">רשב"א </w:t>
      </w:r>
      <w:r w:rsidRPr="00906A89">
        <w:rPr>
          <w:rFonts w:cs="Arial"/>
          <w:sz w:val="16"/>
          <w:szCs w:val="16"/>
          <w:rtl/>
        </w:rPr>
        <w:t>(תוה"א ב"ד ש"ב כד.)</w:t>
      </w:r>
      <w:r w:rsidRPr="00906A89">
        <w:rPr>
          <w:rFonts w:cs="Arial" w:hint="cs"/>
          <w:sz w:val="16"/>
          <w:szCs w:val="16"/>
          <w:rtl/>
        </w:rPr>
        <w:t xml:space="preserve"> </w:t>
      </w:r>
      <w:r w:rsidRPr="00906A89">
        <w:rPr>
          <w:rFonts w:cs="Arial" w:hint="cs"/>
          <w:rtl/>
        </w:rPr>
        <w:t>וטור-</w:t>
      </w:r>
      <w:r w:rsidRPr="00906A89">
        <w:rPr>
          <w:rFonts w:cs="Arial"/>
          <w:rtl/>
        </w:rPr>
        <w:t xml:space="preserve"> </w:t>
      </w:r>
      <w:r w:rsidRPr="00906A89">
        <w:rPr>
          <w:rFonts w:cs="Arial" w:hint="cs"/>
          <w:rtl/>
        </w:rPr>
        <w:t>ב</w:t>
      </w:r>
      <w:r w:rsidRPr="00906A89">
        <w:rPr>
          <w:rFonts w:cs="Arial"/>
          <w:rtl/>
        </w:rPr>
        <w:t xml:space="preserve">תערובת </w:t>
      </w:r>
      <w:r w:rsidRPr="00906A89">
        <w:rPr>
          <w:rFonts w:cs="Arial" w:hint="cs"/>
          <w:rtl/>
        </w:rPr>
        <w:t>ה</w:t>
      </w:r>
      <w:r w:rsidRPr="00906A89">
        <w:rPr>
          <w:rFonts w:cs="Arial"/>
          <w:rtl/>
        </w:rPr>
        <w:t>ראשו</w:t>
      </w:r>
      <w:r w:rsidRPr="00906A89">
        <w:rPr>
          <w:rFonts w:cs="Arial" w:hint="cs"/>
          <w:rtl/>
        </w:rPr>
        <w:t>ן</w:t>
      </w:r>
      <w:r w:rsidRPr="00906A89">
        <w:rPr>
          <w:rFonts w:cs="Arial"/>
          <w:rtl/>
        </w:rPr>
        <w:t xml:space="preserve"> אפילו הוא רבוא אסור</w:t>
      </w:r>
      <w:r w:rsidRPr="00906A89">
        <w:rPr>
          <w:rFonts w:cs="Arial" w:hint="cs"/>
          <w:rtl/>
        </w:rPr>
        <w:t>,</w:t>
      </w:r>
      <w:r w:rsidRPr="00906A89">
        <w:rPr>
          <w:rFonts w:cs="Arial"/>
          <w:rtl/>
        </w:rPr>
        <w:t xml:space="preserve"> אבל</w:t>
      </w:r>
      <w:r>
        <w:rPr>
          <w:rFonts w:cs="Arial"/>
          <w:rtl/>
        </w:rPr>
        <w:t xml:space="preserve"> בתערוב</w:t>
      </w:r>
      <w:r w:rsidRPr="008641AA">
        <w:rPr>
          <w:rFonts w:cs="Arial"/>
          <w:rtl/>
        </w:rPr>
        <w:t xml:space="preserve">ת </w:t>
      </w:r>
      <w:r>
        <w:rPr>
          <w:rFonts w:cs="Arial" w:hint="cs"/>
          <w:rtl/>
        </w:rPr>
        <w:t>ה</w:t>
      </w:r>
      <w:r w:rsidRPr="008641AA">
        <w:rPr>
          <w:rFonts w:cs="Arial"/>
          <w:rtl/>
        </w:rPr>
        <w:t>שני</w:t>
      </w:r>
      <w:r>
        <w:rPr>
          <w:rFonts w:cs="Arial" w:hint="cs"/>
          <w:rtl/>
        </w:rPr>
        <w:t>,</w:t>
      </w:r>
      <w:r w:rsidRPr="008641AA">
        <w:rPr>
          <w:rFonts w:cs="Arial"/>
          <w:rtl/>
        </w:rPr>
        <w:t xml:space="preserve"> כגון שנפל לג' ומג' פירש אחד ונתערב למקום אחר</w:t>
      </w:r>
      <w:r>
        <w:rPr>
          <w:rFonts w:cs="Arial" w:hint="cs"/>
          <w:rtl/>
        </w:rPr>
        <w:t>,</w:t>
      </w:r>
      <w:r w:rsidRPr="008641AA">
        <w:rPr>
          <w:rFonts w:cs="Arial"/>
          <w:rtl/>
        </w:rPr>
        <w:t xml:space="preserve"> מותר</w:t>
      </w:r>
      <w:r>
        <w:rPr>
          <w:rFonts w:cs="Arial" w:hint="cs"/>
          <w:rtl/>
        </w:rPr>
        <w:t>...</w:t>
      </w:r>
      <w:r w:rsidRPr="008641AA">
        <w:rPr>
          <w:rFonts w:cs="Arial"/>
          <w:rtl/>
        </w:rPr>
        <w:t xml:space="preserve"> </w:t>
      </w:r>
      <w:r>
        <w:rPr>
          <w:rFonts w:cs="Arial"/>
          <w:rtl/>
        </w:rPr>
        <w:t>הילכך חתיכת איסור חשובה שנפלה לתוך היתר ומאותן חתיכות נפלה אחת מהן לתוך חתיכות אחרות או לקדרה כל אותו תערובת מותר שאני אומר איסור לתוך הרוב נשאר</w:t>
      </w:r>
      <w:r>
        <w:rPr>
          <w:rFonts w:cs="Arial" w:hint="cs"/>
          <w:rtl/>
        </w:rPr>
        <w:t>,</w:t>
      </w:r>
      <w:r>
        <w:rPr>
          <w:rFonts w:cs="Arial"/>
          <w:rtl/>
        </w:rPr>
        <w:t xml:space="preserve"> וכן בכל האיסורין</w:t>
      </w:r>
      <w:r>
        <w:rPr>
          <w:rFonts w:cs="Arial" w:hint="cs"/>
          <w:rtl/>
        </w:rPr>
        <w:t>,</w:t>
      </w:r>
      <w:r>
        <w:rPr>
          <w:rFonts w:cs="Arial"/>
          <w:rtl/>
        </w:rPr>
        <w:t xml:space="preserve"> ואפילו באיסורים החמורים כחתיכה הראויה להתכבד ובריה כגיד הנשה ודבר שיש לו מתירין</w:t>
      </w:r>
      <w:r>
        <w:rPr>
          <w:rFonts w:cs="Arial" w:hint="cs"/>
          <w:rtl/>
        </w:rPr>
        <w:t>,</w:t>
      </w:r>
      <w:r>
        <w:rPr>
          <w:rFonts w:cs="Arial"/>
          <w:rtl/>
        </w:rPr>
        <w:t xml:space="preserve"> שהרי בטבעת ע"ז וברמוני בדן שאין להם ביטול אמרו כן</w:t>
      </w:r>
      <w:r>
        <w:rPr>
          <w:rFonts w:cs="Arial" w:hint="cs"/>
          <w:sz w:val="16"/>
          <w:szCs w:val="16"/>
          <w:rtl/>
        </w:rPr>
        <w:t xml:space="preserve"> (ל' הרשב"א)</w:t>
      </w:r>
      <w:r>
        <w:rPr>
          <w:rFonts w:cs="Arial"/>
          <w:rtl/>
        </w:rPr>
        <w:t>.</w:t>
      </w:r>
    </w:p>
    <w:p w14:paraId="065D6831" w14:textId="77777777" w:rsidR="002C39F4" w:rsidRPr="001B6EA4" w:rsidRDefault="002C39F4" w:rsidP="002C39F4">
      <w:pPr>
        <w:ind w:left="360"/>
        <w:rPr>
          <w:rFonts w:cs="Arial"/>
          <w:sz w:val="16"/>
          <w:szCs w:val="16"/>
        </w:rPr>
      </w:pPr>
      <w:r>
        <w:rPr>
          <w:rFonts w:cs="Arial" w:hint="cs"/>
          <w:u w:val="dotted"/>
          <w:rtl/>
        </w:rPr>
        <w:t xml:space="preserve">לפוסקים שמצריכים </w:t>
      </w:r>
      <w:r w:rsidRPr="00E76891">
        <w:rPr>
          <w:rFonts w:cs="Arial" w:hint="cs"/>
          <w:u w:val="dotted"/>
          <w:rtl/>
        </w:rPr>
        <w:t>ג' תערובות</w:t>
      </w:r>
      <w:r>
        <w:rPr>
          <w:rFonts w:cs="Arial" w:hint="cs"/>
          <w:u w:val="dotted"/>
          <w:rtl/>
        </w:rPr>
        <w:t xml:space="preserve"> - </w:t>
      </w:r>
      <w:r w:rsidRPr="001B6EA4">
        <w:rPr>
          <w:rFonts w:cs="Arial" w:hint="cs"/>
          <w:u w:val="dotted"/>
          <w:rtl/>
        </w:rPr>
        <w:t xml:space="preserve">מה דין התערובת הב' </w:t>
      </w:r>
      <w:r>
        <w:rPr>
          <w:rFonts w:cs="Arial" w:hint="cs"/>
          <w:u w:val="dotted"/>
          <w:rtl/>
        </w:rPr>
        <w:t xml:space="preserve">לאחר </w:t>
      </w:r>
      <w:r w:rsidRPr="001B6EA4">
        <w:rPr>
          <w:rFonts w:cs="Arial" w:hint="cs"/>
          <w:u w:val="dotted"/>
          <w:rtl/>
        </w:rPr>
        <w:t>ש</w:t>
      </w:r>
      <w:r>
        <w:rPr>
          <w:rFonts w:cs="Arial" w:hint="cs"/>
          <w:u w:val="dotted"/>
          <w:rtl/>
        </w:rPr>
        <w:t xml:space="preserve">נפל </w:t>
      </w:r>
      <w:r w:rsidRPr="001B6EA4">
        <w:rPr>
          <w:rFonts w:cs="Arial" w:hint="cs"/>
          <w:u w:val="dotted"/>
          <w:rtl/>
        </w:rPr>
        <w:t xml:space="preserve">ממנה רימון </w:t>
      </w:r>
      <w:r>
        <w:rPr>
          <w:rFonts w:cs="Arial" w:hint="cs"/>
          <w:u w:val="dotted"/>
          <w:rtl/>
        </w:rPr>
        <w:t xml:space="preserve">א' </w:t>
      </w:r>
      <w:r w:rsidRPr="001B6EA4">
        <w:rPr>
          <w:rFonts w:cs="Arial" w:hint="cs"/>
          <w:u w:val="dotted"/>
          <w:rtl/>
        </w:rPr>
        <w:t>לתערובת הג'</w:t>
      </w:r>
      <w:r w:rsidRPr="001B6EA4">
        <w:rPr>
          <w:rFonts w:cs="Arial" w:hint="cs"/>
          <w:sz w:val="16"/>
          <w:szCs w:val="16"/>
          <w:u w:val="dotted"/>
          <w:rtl/>
        </w:rPr>
        <w:t xml:space="preserve"> (שהותרה)</w:t>
      </w:r>
      <w:r w:rsidRPr="001B6EA4">
        <w:rPr>
          <w:rFonts w:cs="Arial" w:hint="cs"/>
          <w:u w:val="dotted"/>
          <w:rtl/>
        </w:rPr>
        <w:t>:</w:t>
      </w:r>
      <w:r>
        <w:rPr>
          <w:rFonts w:cs="Arial" w:hint="cs"/>
          <w:sz w:val="16"/>
          <w:szCs w:val="16"/>
          <w:rtl/>
        </w:rPr>
        <w:t xml:space="preserve">  </w:t>
      </w:r>
    </w:p>
    <w:p w14:paraId="4872C112" w14:textId="77777777" w:rsidR="002C39F4" w:rsidRDefault="002C39F4" w:rsidP="0032102C">
      <w:pPr>
        <w:pStyle w:val="a8"/>
        <w:numPr>
          <w:ilvl w:val="0"/>
          <w:numId w:val="254"/>
        </w:numPr>
        <w:rPr>
          <w:rFonts w:cs="Arial"/>
        </w:rPr>
      </w:pPr>
      <w:r w:rsidRPr="00906A89">
        <w:rPr>
          <w:rFonts w:cs="Arial" w:hint="cs"/>
          <w:rtl/>
        </w:rPr>
        <w:t xml:space="preserve">רש"י- </w:t>
      </w:r>
      <w:r w:rsidRPr="00906A89">
        <w:rPr>
          <w:rFonts w:cs="Arial"/>
          <w:rtl/>
        </w:rPr>
        <w:t>פירש אחד מאותו רבוא לג' רמונים ומן הג' פירש אחד למקום א</w:t>
      </w:r>
      <w:r w:rsidRPr="00906A89">
        <w:rPr>
          <w:rFonts w:cs="Arial"/>
          <w:color w:val="000000" w:themeColor="text1"/>
          <w:rtl/>
        </w:rPr>
        <w:t>חר מותר אף ג' האמצעים דספק</w:t>
      </w:r>
      <w:r w:rsidRPr="001B6EA4">
        <w:rPr>
          <w:rFonts w:cs="Arial"/>
          <w:color w:val="000000" w:themeColor="text1"/>
          <w:rtl/>
        </w:rPr>
        <w:t xml:space="preserve"> </w:t>
      </w:r>
      <w:r w:rsidRPr="008641AA">
        <w:rPr>
          <w:rFonts w:cs="Arial"/>
          <w:rtl/>
        </w:rPr>
        <w:t>ספיקא בטיל</w:t>
      </w:r>
      <w:r>
        <w:rPr>
          <w:rFonts w:cs="Arial" w:hint="cs"/>
          <w:sz w:val="16"/>
          <w:szCs w:val="16"/>
          <w:rtl/>
        </w:rPr>
        <w:t xml:space="preserve"> (ל' הב"י בשם רש"י)</w:t>
      </w:r>
      <w:r>
        <w:rPr>
          <w:rFonts w:cs="Arial" w:hint="cs"/>
          <w:rtl/>
        </w:rPr>
        <w:t>.</w:t>
      </w:r>
      <w:r w:rsidRPr="008641AA">
        <w:rPr>
          <w:rFonts w:cs="Arial"/>
          <w:rtl/>
        </w:rPr>
        <w:t xml:space="preserve"> </w:t>
      </w:r>
    </w:p>
    <w:p w14:paraId="75659BE3" w14:textId="77777777" w:rsidR="002C39F4" w:rsidRDefault="002C39F4" w:rsidP="0032102C">
      <w:pPr>
        <w:pStyle w:val="a8"/>
        <w:numPr>
          <w:ilvl w:val="0"/>
          <w:numId w:val="254"/>
        </w:numPr>
        <w:rPr>
          <w:rFonts w:cs="Arial"/>
        </w:rPr>
      </w:pPr>
      <w:r w:rsidRPr="00906A89">
        <w:rPr>
          <w:rFonts w:cs="Arial"/>
          <w:rtl/>
        </w:rPr>
        <w:t>רמב"ם</w:t>
      </w:r>
      <w:r w:rsidRPr="00906A89">
        <w:rPr>
          <w:rFonts w:cs="Arial" w:hint="cs"/>
          <w:sz w:val="16"/>
          <w:szCs w:val="16"/>
          <w:rtl/>
        </w:rPr>
        <w:t xml:space="preserve"> (כ"כ הדרכ"מ [אות ט] בשמו)</w:t>
      </w:r>
      <w:r w:rsidRPr="00906A89">
        <w:rPr>
          <w:rFonts w:cs="Arial" w:hint="cs"/>
          <w:rtl/>
        </w:rPr>
        <w:t>-</w:t>
      </w:r>
      <w:r w:rsidRPr="00906A89">
        <w:rPr>
          <w:rFonts w:cs="Arial"/>
          <w:rtl/>
        </w:rPr>
        <w:t xml:space="preserve"> תערובות השניה לעולם אסור</w:t>
      </w:r>
      <w:r w:rsidRPr="00906A89">
        <w:rPr>
          <w:rFonts w:cs="Arial" w:hint="cs"/>
          <w:rtl/>
        </w:rPr>
        <w:t>,</w:t>
      </w:r>
      <w:r w:rsidRPr="00906A89">
        <w:rPr>
          <w:rFonts w:cs="Arial"/>
          <w:rtl/>
        </w:rPr>
        <w:t xml:space="preserve"> ואף אותו שפירש ממנו</w:t>
      </w:r>
      <w:r w:rsidRPr="00906A89">
        <w:rPr>
          <w:rFonts w:cs="Arial" w:hint="cs"/>
          <w:rtl/>
        </w:rPr>
        <w:t>,</w:t>
      </w:r>
      <w:r w:rsidRPr="00906A89">
        <w:rPr>
          <w:rFonts w:cs="Arial"/>
          <w:rtl/>
        </w:rPr>
        <w:t xml:space="preserve"> עד שיתערב בתערובות</w:t>
      </w:r>
      <w:r w:rsidRPr="008F19D8">
        <w:rPr>
          <w:rFonts w:cs="Arial"/>
          <w:rtl/>
        </w:rPr>
        <w:t xml:space="preserve"> ג'</w:t>
      </w:r>
      <w:r>
        <w:rPr>
          <w:rFonts w:cs="Arial"/>
          <w:rtl/>
        </w:rPr>
        <w:t xml:space="preserve"> שאז התערוב</w:t>
      </w:r>
      <w:r w:rsidRPr="008F19D8">
        <w:rPr>
          <w:rFonts w:cs="Arial"/>
          <w:rtl/>
        </w:rPr>
        <w:t xml:space="preserve">ת </w:t>
      </w:r>
      <w:r>
        <w:rPr>
          <w:rFonts w:cs="Arial" w:hint="cs"/>
          <w:rtl/>
        </w:rPr>
        <w:t>ה</w:t>
      </w:r>
      <w:r w:rsidRPr="008F19D8">
        <w:rPr>
          <w:rFonts w:cs="Arial"/>
          <w:rtl/>
        </w:rPr>
        <w:t>ג' שרי</w:t>
      </w:r>
      <w:r>
        <w:rPr>
          <w:rFonts w:cs="Arial" w:hint="cs"/>
          <w:rtl/>
        </w:rPr>
        <w:t>.</w:t>
      </w:r>
      <w:r w:rsidRPr="00CA4AF5">
        <w:rPr>
          <w:rFonts w:cs="Arial" w:hint="cs"/>
          <w:color w:val="E36C0A" w:themeColor="accent6" w:themeShade="BF"/>
          <w:rtl/>
        </w:rPr>
        <w:t xml:space="preserve"> </w:t>
      </w:r>
      <w:r w:rsidRPr="00D1471D">
        <w:rPr>
          <w:rFonts w:cs="Arial" w:hint="cs"/>
          <w:color w:val="E36C0A" w:themeColor="accent6" w:themeShade="BF"/>
          <w:rtl/>
        </w:rPr>
        <w:t>(וכ"</w:t>
      </w:r>
      <w:r>
        <w:rPr>
          <w:rFonts w:cs="Arial" w:hint="cs"/>
          <w:color w:val="E36C0A" w:themeColor="accent6" w:themeShade="BF"/>
          <w:rtl/>
        </w:rPr>
        <w:t>ס</w:t>
      </w:r>
      <w:r w:rsidRPr="00D1471D">
        <w:rPr>
          <w:rFonts w:cs="Arial" w:hint="cs"/>
          <w:color w:val="E36C0A" w:themeColor="accent6" w:themeShade="BF"/>
          <w:rtl/>
        </w:rPr>
        <w:t xml:space="preserve"> בשו"ע)</w:t>
      </w:r>
    </w:p>
    <w:p w14:paraId="561A5730" w14:textId="77777777" w:rsidR="002C39F4" w:rsidRPr="00CC119B" w:rsidRDefault="002C39F4" w:rsidP="002C39F4">
      <w:pPr>
        <w:ind w:left="360"/>
        <w:rPr>
          <w:rFonts w:cs="Arial"/>
          <w:u w:val="dotted"/>
        </w:rPr>
      </w:pPr>
      <w:r w:rsidRPr="00CC119B">
        <w:rPr>
          <w:rFonts w:cs="Arial" w:hint="cs"/>
          <w:u w:val="dotted"/>
          <w:rtl/>
        </w:rPr>
        <w:t>האם מותר לאדם אחד לאכול את כל הג' שהותרו:</w:t>
      </w:r>
    </w:p>
    <w:p w14:paraId="4B8FB2DD" w14:textId="77777777" w:rsidR="002C39F4" w:rsidRPr="00CC119B" w:rsidRDefault="002C39F4" w:rsidP="0032102C">
      <w:pPr>
        <w:pStyle w:val="a8"/>
        <w:numPr>
          <w:ilvl w:val="0"/>
          <w:numId w:val="254"/>
        </w:numPr>
        <w:rPr>
          <w:rFonts w:cs="Arial"/>
        </w:rPr>
      </w:pPr>
      <w:r w:rsidRPr="00906A89">
        <w:rPr>
          <w:rFonts w:cs="Arial" w:hint="cs"/>
          <w:rtl/>
        </w:rPr>
        <w:t xml:space="preserve">תוס' </w:t>
      </w:r>
      <w:r w:rsidRPr="00906A89">
        <w:rPr>
          <w:rFonts w:cs="Arial" w:hint="cs"/>
          <w:sz w:val="16"/>
          <w:szCs w:val="16"/>
          <w:rtl/>
        </w:rPr>
        <w:t>(זבחים עד. ד"ה פירש)</w:t>
      </w:r>
      <w:r w:rsidRPr="00906A89">
        <w:rPr>
          <w:rFonts w:cs="Arial" w:hint="cs"/>
          <w:rtl/>
        </w:rPr>
        <w:t xml:space="preserve">- </w:t>
      </w:r>
      <w:r w:rsidRPr="00906A89">
        <w:rPr>
          <w:rFonts w:cs="Arial"/>
          <w:rtl/>
        </w:rPr>
        <w:t>מריבוא לג' ומג' לג' מותר אבל אסור ליהנות מג' הראשונים בבת אחת ומן השניים</w:t>
      </w:r>
      <w:r w:rsidRPr="00CA4AF5">
        <w:rPr>
          <w:rFonts w:cs="Arial"/>
          <w:rtl/>
        </w:rPr>
        <w:t xml:space="preserve"> שרי</w:t>
      </w:r>
      <w:r>
        <w:rPr>
          <w:rStyle w:val="a7"/>
          <w:rFonts w:cs="Arial"/>
          <w:rtl/>
        </w:rPr>
        <w:footnoteReference w:id="2527"/>
      </w:r>
      <w:r>
        <w:rPr>
          <w:rFonts w:cs="Arial" w:hint="cs"/>
          <w:rtl/>
        </w:rPr>
        <w:t xml:space="preserve">. (וכ"פ ט"ז </w:t>
      </w:r>
      <w:r>
        <w:rPr>
          <w:rFonts w:cs="Arial" w:hint="cs"/>
          <w:sz w:val="16"/>
          <w:szCs w:val="16"/>
          <w:rtl/>
        </w:rPr>
        <w:t xml:space="preserve">[סק"י] </w:t>
      </w:r>
      <w:r>
        <w:rPr>
          <w:rFonts w:cs="Arial" w:hint="cs"/>
          <w:rtl/>
        </w:rPr>
        <w:t xml:space="preserve">וש"ך </w:t>
      </w:r>
      <w:r>
        <w:rPr>
          <w:rFonts w:cs="Arial" w:hint="cs"/>
          <w:sz w:val="16"/>
          <w:szCs w:val="16"/>
          <w:rtl/>
        </w:rPr>
        <w:t>[סקנ"ג]</w:t>
      </w:r>
      <w:r>
        <w:rPr>
          <w:rFonts w:cs="Arial" w:hint="cs"/>
          <w:rtl/>
        </w:rPr>
        <w:t xml:space="preserve">) </w:t>
      </w:r>
    </w:p>
    <w:p w14:paraId="62CDADBC" w14:textId="77777777" w:rsidR="002C39F4" w:rsidRDefault="002C39F4" w:rsidP="0032102C">
      <w:pPr>
        <w:pStyle w:val="a8"/>
        <w:numPr>
          <w:ilvl w:val="0"/>
          <w:numId w:val="254"/>
        </w:numPr>
        <w:rPr>
          <w:rFonts w:cs="Arial"/>
        </w:rPr>
      </w:pPr>
      <w:r w:rsidRPr="00A826CA">
        <w:rPr>
          <w:rFonts w:cs="Arial" w:hint="cs"/>
          <w:rtl/>
        </w:rPr>
        <w:t xml:space="preserve">ב"י- </w:t>
      </w:r>
      <w:r w:rsidRPr="00A826CA">
        <w:rPr>
          <w:rFonts w:cs="Arial"/>
          <w:rtl/>
        </w:rPr>
        <w:t>משמע מדברי רש"י דהא דשרינן כשנתערבו המועטים באחרים הוי מטעם ס</w:t>
      </w:r>
      <w:r w:rsidRPr="00A826CA">
        <w:rPr>
          <w:rFonts w:cs="Arial" w:hint="cs"/>
          <w:rtl/>
        </w:rPr>
        <w:t>"</w:t>
      </w:r>
      <w:r w:rsidRPr="00A826CA">
        <w:rPr>
          <w:rFonts w:cs="Arial"/>
          <w:rtl/>
        </w:rPr>
        <w:t>ס שאני אומר שמא האיסור לא היה לתוך</w:t>
      </w:r>
      <w:r>
        <w:rPr>
          <w:rFonts w:cs="Arial"/>
          <w:rtl/>
        </w:rPr>
        <w:t xml:space="preserve"> אלו שנפלו כאן ואת"ל כאן היה זה שאני אוכל עכשיו לא זהו האיסור</w:t>
      </w:r>
      <w:r>
        <w:rPr>
          <w:rFonts w:cs="Arial" w:hint="cs"/>
          <w:rtl/>
        </w:rPr>
        <w:t>,</w:t>
      </w:r>
      <w:r>
        <w:rPr>
          <w:rFonts w:cs="Arial"/>
          <w:rtl/>
        </w:rPr>
        <w:t xml:space="preserve"> אבל כשנפל הרוב למקום אחר אין אומרין ספק ספיקא לקולא שאנו רואים כאילו היה האיסור בידוע לתוך הרוב</w:t>
      </w:r>
      <w:r>
        <w:rPr>
          <w:rFonts w:cs="Arial" w:hint="cs"/>
          <w:rtl/>
        </w:rPr>
        <w:t>,</w:t>
      </w:r>
      <w:r>
        <w:rPr>
          <w:rFonts w:cs="Arial"/>
          <w:rtl/>
        </w:rPr>
        <w:t xml:space="preserve"> ולפי זה נראה שאין יכול לאכלם כולם כאחד דא"כ ליכא אלא חד ספיקא ואסור</w:t>
      </w:r>
      <w:r>
        <w:rPr>
          <w:rFonts w:cs="Arial" w:hint="cs"/>
          <w:sz w:val="16"/>
          <w:szCs w:val="16"/>
          <w:rtl/>
        </w:rPr>
        <w:t xml:space="preserve"> (ל' הב"י)</w:t>
      </w:r>
      <w:r>
        <w:rPr>
          <w:rFonts w:cs="Arial" w:hint="cs"/>
          <w:rtl/>
        </w:rPr>
        <w:t xml:space="preserve">. </w:t>
      </w:r>
      <w:r w:rsidRPr="00BB32B0">
        <w:rPr>
          <w:rFonts w:cs="Arial" w:hint="cs"/>
          <w:color w:val="00B0F0"/>
          <w:rtl/>
        </w:rPr>
        <w:t>(וכ"פ הרמ"א</w:t>
      </w:r>
      <w:r>
        <w:rPr>
          <w:rStyle w:val="a7"/>
          <w:rFonts w:cs="Arial"/>
          <w:rtl/>
        </w:rPr>
        <w:footnoteReference w:id="2528"/>
      </w:r>
      <w:r w:rsidRPr="00BB32B0">
        <w:rPr>
          <w:rFonts w:cs="Arial" w:hint="cs"/>
          <w:color w:val="00B0F0"/>
          <w:rtl/>
        </w:rPr>
        <w:t>)</w:t>
      </w:r>
    </w:p>
    <w:p w14:paraId="078F0341" w14:textId="77777777" w:rsidR="002C39F4" w:rsidRPr="0054705E" w:rsidRDefault="002C39F4" w:rsidP="002C39F4">
      <w:pPr>
        <w:rPr>
          <w:rFonts w:cs="Arial"/>
          <w:u w:val="single"/>
          <w:rtl/>
        </w:rPr>
      </w:pPr>
      <w:r>
        <w:rPr>
          <w:rFonts w:cs="Arial" w:hint="cs"/>
          <w:u w:val="single"/>
          <w:rtl/>
        </w:rPr>
        <w:t xml:space="preserve">נתערב איסור חשוב ברוב ולאחמ"כ פירשו מיעוט </w:t>
      </w:r>
      <w:r w:rsidRPr="0054705E">
        <w:rPr>
          <w:rFonts w:cs="Arial" w:hint="cs"/>
          <w:u w:val="single"/>
          <w:rtl/>
        </w:rPr>
        <w:t xml:space="preserve">מהתערובת </w:t>
      </w:r>
      <w:r w:rsidRPr="00321E14">
        <w:rPr>
          <w:rFonts w:cs="Arial" w:hint="cs"/>
          <w:u w:val="single"/>
          <w:rtl/>
        </w:rPr>
        <w:t>ונשארו בפני עצמם</w:t>
      </w:r>
      <w:r w:rsidRPr="0054705E">
        <w:rPr>
          <w:rFonts w:cs="Arial" w:hint="cs"/>
          <w:sz w:val="16"/>
          <w:szCs w:val="16"/>
          <w:u w:val="single"/>
          <w:rtl/>
        </w:rPr>
        <w:t xml:space="preserve"> </w:t>
      </w:r>
      <w:r>
        <w:rPr>
          <w:rFonts w:cs="Arial" w:hint="cs"/>
          <w:sz w:val="16"/>
          <w:szCs w:val="16"/>
          <w:u w:val="single"/>
          <w:rtl/>
        </w:rPr>
        <w:t>(</w:t>
      </w:r>
      <w:r w:rsidRPr="0054705E">
        <w:rPr>
          <w:rFonts w:cs="Arial" w:hint="cs"/>
          <w:sz w:val="16"/>
          <w:szCs w:val="16"/>
          <w:u w:val="single"/>
          <w:rtl/>
        </w:rPr>
        <w:t>ו</w:t>
      </w:r>
      <w:r>
        <w:rPr>
          <w:rFonts w:cs="Arial" w:hint="cs"/>
          <w:sz w:val="16"/>
          <w:szCs w:val="16"/>
          <w:u w:val="single"/>
          <w:rtl/>
        </w:rPr>
        <w:t>לא התערבו</w:t>
      </w:r>
      <w:r w:rsidRPr="0054705E">
        <w:rPr>
          <w:rFonts w:cs="Arial" w:hint="cs"/>
          <w:sz w:val="16"/>
          <w:szCs w:val="16"/>
          <w:u w:val="single"/>
          <w:rtl/>
        </w:rPr>
        <w:t xml:space="preserve"> בתערובת אחרת</w:t>
      </w:r>
      <w:r>
        <w:rPr>
          <w:rFonts w:cs="Arial" w:hint="cs"/>
          <w:sz w:val="16"/>
          <w:szCs w:val="16"/>
          <w:u w:val="single"/>
          <w:rtl/>
        </w:rPr>
        <w:t>)</w:t>
      </w:r>
      <w:r w:rsidRPr="0054705E">
        <w:rPr>
          <w:rFonts w:cs="Arial" w:hint="cs"/>
          <w:u w:val="single"/>
          <w:rtl/>
        </w:rPr>
        <w:t>:</w:t>
      </w:r>
    </w:p>
    <w:p w14:paraId="147C950E" w14:textId="77777777" w:rsidR="002C39F4" w:rsidRPr="00906A89" w:rsidRDefault="002C39F4" w:rsidP="0032102C">
      <w:pPr>
        <w:pStyle w:val="a8"/>
        <w:numPr>
          <w:ilvl w:val="0"/>
          <w:numId w:val="256"/>
        </w:numPr>
        <w:rPr>
          <w:rFonts w:cs="Arial"/>
        </w:rPr>
      </w:pPr>
      <w:r w:rsidRPr="00906A89">
        <w:rPr>
          <w:rFonts w:cs="Arial" w:hint="cs"/>
          <w:rtl/>
        </w:rPr>
        <w:t xml:space="preserve">רש"י </w:t>
      </w:r>
      <w:r w:rsidRPr="00906A89">
        <w:rPr>
          <w:rFonts w:cs="Arial" w:hint="cs"/>
          <w:sz w:val="16"/>
          <w:szCs w:val="16"/>
          <w:rtl/>
        </w:rPr>
        <w:t>(כ"כ הב"י בשמו)</w:t>
      </w:r>
      <w:r w:rsidRPr="00906A89">
        <w:rPr>
          <w:rFonts w:cs="Arial" w:hint="cs"/>
          <w:rtl/>
        </w:rPr>
        <w:t xml:space="preserve">- </w:t>
      </w:r>
      <w:r w:rsidRPr="00906A89">
        <w:rPr>
          <w:rFonts w:cs="Arial"/>
          <w:rtl/>
        </w:rPr>
        <w:t>כל זמן שלא נתערבו עם אחרות אסורות לעולם</w:t>
      </w:r>
      <w:r w:rsidRPr="00906A89">
        <w:rPr>
          <w:rFonts w:cs="Arial" w:hint="cs"/>
          <w:rtl/>
        </w:rPr>
        <w:t>.</w:t>
      </w:r>
      <w:r w:rsidRPr="00906A89">
        <w:rPr>
          <w:rFonts w:cs="Arial" w:hint="cs"/>
          <w:color w:val="E36C0A" w:themeColor="accent6" w:themeShade="BF"/>
          <w:rtl/>
        </w:rPr>
        <w:t xml:space="preserve"> (וכ"פ בשו"ע)</w:t>
      </w:r>
    </w:p>
    <w:p w14:paraId="0A6EF5A8" w14:textId="77777777" w:rsidR="002C39F4" w:rsidRPr="00321E14" w:rsidRDefault="002C39F4" w:rsidP="0032102C">
      <w:pPr>
        <w:pStyle w:val="a8"/>
        <w:numPr>
          <w:ilvl w:val="0"/>
          <w:numId w:val="256"/>
        </w:numPr>
        <w:rPr>
          <w:rFonts w:cs="Arial"/>
          <w:u w:val="dotted"/>
          <w:rtl/>
        </w:rPr>
      </w:pPr>
      <w:r w:rsidRPr="00906A89">
        <w:rPr>
          <w:rFonts w:cs="Arial" w:hint="cs"/>
          <w:rtl/>
        </w:rPr>
        <w:t xml:space="preserve">רשב"א </w:t>
      </w:r>
      <w:r w:rsidRPr="00906A89">
        <w:rPr>
          <w:rFonts w:cs="Arial" w:hint="cs"/>
          <w:sz w:val="16"/>
          <w:szCs w:val="16"/>
          <w:rtl/>
        </w:rPr>
        <w:t>(תוה"א</w:t>
      </w:r>
      <w:r w:rsidRPr="00906A89">
        <w:rPr>
          <w:rFonts w:cs="Arial"/>
          <w:sz w:val="16"/>
          <w:szCs w:val="16"/>
          <w:rtl/>
        </w:rPr>
        <w:t xml:space="preserve"> ב"ד ש"ב כד:, ובקצר שם)</w:t>
      </w:r>
      <w:r w:rsidRPr="00906A89">
        <w:rPr>
          <w:rFonts w:hint="cs"/>
          <w:rtl/>
        </w:rPr>
        <w:t xml:space="preserve"> </w:t>
      </w:r>
      <w:r w:rsidRPr="00906A89">
        <w:rPr>
          <w:rFonts w:cs="Arial" w:hint="cs"/>
          <w:rtl/>
        </w:rPr>
        <w:t xml:space="preserve">וטור- </w:t>
      </w:r>
      <w:r w:rsidRPr="00906A89">
        <w:rPr>
          <w:rFonts w:cs="Arial"/>
          <w:rtl/>
        </w:rPr>
        <w:t>לא מיבעיא אם פירש א</w:t>
      </w:r>
      <w:r w:rsidRPr="00906A89">
        <w:rPr>
          <w:rFonts w:cs="Arial" w:hint="cs"/>
          <w:rtl/>
        </w:rPr>
        <w:t>'</w:t>
      </w:r>
      <w:r w:rsidRPr="00906A89">
        <w:rPr>
          <w:rFonts w:cs="Arial"/>
          <w:rtl/>
        </w:rPr>
        <w:t xml:space="preserve"> מהן אלא אפילו פירשו מהן הרבה אין להתיר</w:t>
      </w:r>
      <w:r w:rsidRPr="00321E14">
        <w:rPr>
          <w:rFonts w:cs="Arial"/>
          <w:rtl/>
        </w:rPr>
        <w:t xml:space="preserve"> הרוב הנשארות אלא המיעוט שפירשו מותרין</w:t>
      </w:r>
      <w:r>
        <w:rPr>
          <w:rStyle w:val="a7"/>
          <w:rFonts w:cs="Arial"/>
          <w:rtl/>
        </w:rPr>
        <w:footnoteReference w:id="2529"/>
      </w:r>
      <w:r w:rsidRPr="00321E14">
        <w:rPr>
          <w:rFonts w:cs="Arial"/>
          <w:rtl/>
        </w:rPr>
        <w:t xml:space="preserve"> שאנו תולין לומר האיסור ברוב והרוב אסור</w:t>
      </w:r>
      <w:r w:rsidRPr="00321E14">
        <w:rPr>
          <w:rFonts w:cs="Arial" w:hint="cs"/>
          <w:rtl/>
        </w:rPr>
        <w:t>,</w:t>
      </w:r>
      <w:r w:rsidRPr="00321E14">
        <w:rPr>
          <w:rFonts w:cs="Arial"/>
          <w:rtl/>
        </w:rPr>
        <w:t xml:space="preserve"> ואם כל הרוב נתערבו באחרים כולן אסורין כאילו נפל שם האיסור בידוע אבל אם המיעוט נפל למקום אחר מותר</w:t>
      </w:r>
      <w:r>
        <w:rPr>
          <w:rFonts w:cs="Arial" w:hint="cs"/>
          <w:sz w:val="16"/>
          <w:szCs w:val="16"/>
          <w:rtl/>
        </w:rPr>
        <w:t xml:space="preserve"> (ל' הטור)</w:t>
      </w:r>
      <w:r w:rsidRPr="00321E14">
        <w:rPr>
          <w:rFonts w:cs="Arial" w:hint="cs"/>
          <w:rtl/>
        </w:rPr>
        <w:t>.</w:t>
      </w:r>
    </w:p>
    <w:p w14:paraId="5DD2F104" w14:textId="77777777" w:rsidR="002C39F4" w:rsidRPr="00321E14" w:rsidRDefault="002C39F4" w:rsidP="002C39F4">
      <w:pPr>
        <w:rPr>
          <w:rFonts w:cs="Arial"/>
          <w:u w:val="single"/>
          <w:rtl/>
        </w:rPr>
      </w:pPr>
      <w:r>
        <w:rPr>
          <w:rFonts w:cs="Arial" w:hint="cs"/>
          <w:u w:val="single"/>
          <w:rtl/>
        </w:rPr>
        <w:t>איסור חשוב שנפל להיתר ו</w:t>
      </w:r>
      <w:r w:rsidRPr="00321E14">
        <w:rPr>
          <w:rFonts w:cs="Arial"/>
          <w:u w:val="single"/>
          <w:rtl/>
        </w:rPr>
        <w:t xml:space="preserve">פירשו מחצה על מחצה </w:t>
      </w:r>
      <w:r w:rsidRPr="00321E14">
        <w:rPr>
          <w:rFonts w:cs="Arial" w:hint="cs"/>
          <w:sz w:val="16"/>
          <w:szCs w:val="16"/>
          <w:u w:val="single"/>
          <w:rtl/>
        </w:rPr>
        <w:t>(</w:t>
      </w:r>
      <w:r w:rsidRPr="00321E14">
        <w:rPr>
          <w:rFonts w:cs="Arial"/>
          <w:sz w:val="16"/>
          <w:szCs w:val="16"/>
          <w:u w:val="single"/>
          <w:rtl/>
        </w:rPr>
        <w:t>כגון שפירשו נ' למקום אחד ונ' למקום אחר</w:t>
      </w:r>
      <w:r>
        <w:rPr>
          <w:rFonts w:cs="Arial" w:hint="cs"/>
          <w:sz w:val="16"/>
          <w:szCs w:val="16"/>
          <w:u w:val="single"/>
          <w:rtl/>
        </w:rPr>
        <w:t>)</w:t>
      </w:r>
      <w:r>
        <w:rPr>
          <w:rFonts w:cs="Arial" w:hint="cs"/>
          <w:u w:val="single"/>
          <w:rtl/>
        </w:rPr>
        <w:t>:</w:t>
      </w:r>
      <w:r w:rsidRPr="00321E14">
        <w:rPr>
          <w:rFonts w:cs="Arial"/>
          <w:u w:val="single"/>
          <w:rtl/>
        </w:rPr>
        <w:t xml:space="preserve"> </w:t>
      </w:r>
    </w:p>
    <w:p w14:paraId="00750F22" w14:textId="77777777" w:rsidR="002C39F4" w:rsidRPr="00004D73" w:rsidRDefault="002C39F4" w:rsidP="0032102C">
      <w:pPr>
        <w:pStyle w:val="a8"/>
        <w:numPr>
          <w:ilvl w:val="0"/>
          <w:numId w:val="257"/>
        </w:numPr>
        <w:rPr>
          <w:rFonts w:cs="Arial"/>
          <w:rtl/>
        </w:rPr>
      </w:pPr>
      <w:r w:rsidRPr="00906A89">
        <w:rPr>
          <w:rFonts w:cs="Arial"/>
          <w:rtl/>
        </w:rPr>
        <w:t xml:space="preserve">רשב"א </w:t>
      </w:r>
      <w:r w:rsidRPr="00906A89">
        <w:rPr>
          <w:rFonts w:cs="Arial"/>
          <w:sz w:val="16"/>
          <w:szCs w:val="16"/>
          <w:rtl/>
        </w:rPr>
        <w:t>(תוה"א ב"ד ש"ב כד:</w:t>
      </w:r>
      <w:r w:rsidRPr="00906A89">
        <w:rPr>
          <w:rFonts w:cs="Arial" w:hint="cs"/>
          <w:sz w:val="16"/>
          <w:szCs w:val="16"/>
          <w:rtl/>
        </w:rPr>
        <w:t>, כה:, ובקצר שם</w:t>
      </w:r>
      <w:r w:rsidRPr="00906A89">
        <w:rPr>
          <w:rFonts w:cs="Arial"/>
          <w:sz w:val="16"/>
          <w:szCs w:val="16"/>
          <w:rtl/>
        </w:rPr>
        <w:t xml:space="preserve">) </w:t>
      </w:r>
      <w:r w:rsidRPr="00906A89">
        <w:rPr>
          <w:rFonts w:cs="Arial" w:hint="cs"/>
          <w:rtl/>
        </w:rPr>
        <w:t>וטור-</w:t>
      </w:r>
      <w:r w:rsidRPr="00906A89">
        <w:rPr>
          <w:rFonts w:cs="Arial"/>
          <w:rtl/>
        </w:rPr>
        <w:t xml:space="preserve"> כולם מותרים</w:t>
      </w:r>
      <w:r w:rsidRPr="00906A89">
        <w:rPr>
          <w:rStyle w:val="a7"/>
          <w:rFonts w:cs="Arial"/>
          <w:rtl/>
        </w:rPr>
        <w:footnoteReference w:id="2530"/>
      </w:r>
      <w:r w:rsidRPr="00906A89">
        <w:rPr>
          <w:rFonts w:cs="Arial" w:hint="cs"/>
          <w:rtl/>
        </w:rPr>
        <w:t>,</w:t>
      </w:r>
      <w:r w:rsidRPr="00906A89">
        <w:rPr>
          <w:rFonts w:cs="Arial"/>
          <w:rtl/>
        </w:rPr>
        <w:t xml:space="preserve"> דהא איכא ס"ס</w:t>
      </w:r>
      <w:r w:rsidRPr="00906A89">
        <w:rPr>
          <w:rStyle w:val="a7"/>
          <w:rFonts w:cs="Arial"/>
          <w:rtl/>
        </w:rPr>
        <w:footnoteReference w:id="2531"/>
      </w:r>
      <w:r w:rsidRPr="00906A89">
        <w:rPr>
          <w:rFonts w:cs="Arial" w:hint="cs"/>
          <w:rtl/>
        </w:rPr>
        <w:t>,</w:t>
      </w:r>
      <w:r w:rsidRPr="00906A89">
        <w:rPr>
          <w:rFonts w:cs="Arial"/>
          <w:rtl/>
        </w:rPr>
        <w:t xml:space="preserve"> דהא דנקט רב יהודה פירשו מ'</w:t>
      </w:r>
      <w:r w:rsidRPr="00321E14">
        <w:rPr>
          <w:rFonts w:cs="Arial"/>
          <w:rtl/>
        </w:rPr>
        <w:t xml:space="preserve"> למקום אחד היינו משום דבעי למימר פירשו ס' לצד אחד כולן אסורין</w:t>
      </w:r>
      <w:r>
        <w:rPr>
          <w:rFonts w:cs="Arial" w:hint="cs"/>
          <w:sz w:val="16"/>
          <w:szCs w:val="16"/>
          <w:rtl/>
        </w:rPr>
        <w:t xml:space="preserve"> (ל' הרשב"א)</w:t>
      </w:r>
      <w:r>
        <w:rPr>
          <w:rFonts w:cs="Arial" w:hint="cs"/>
          <w:rtl/>
        </w:rPr>
        <w:t xml:space="preserve">. </w:t>
      </w:r>
      <w:r w:rsidRPr="00004D73">
        <w:rPr>
          <w:rFonts w:cs="Arial"/>
          <w:rtl/>
        </w:rPr>
        <w:t>ודוקא שתערובת הראשון היה מותר מן התורה</w:t>
      </w:r>
      <w:r>
        <w:rPr>
          <w:rStyle w:val="a7"/>
          <w:rFonts w:cs="Arial"/>
          <w:rtl/>
        </w:rPr>
        <w:footnoteReference w:id="2532"/>
      </w:r>
      <w:r>
        <w:rPr>
          <w:rFonts w:cs="Arial" w:hint="cs"/>
          <w:rtl/>
        </w:rPr>
        <w:t>,</w:t>
      </w:r>
      <w:r w:rsidRPr="00004D73">
        <w:rPr>
          <w:rFonts w:cs="Arial"/>
          <w:rtl/>
        </w:rPr>
        <w:t xml:space="preserve"> כגון שנתבטל ברוב</w:t>
      </w:r>
      <w:r>
        <w:rPr>
          <w:rFonts w:cs="Arial" w:hint="cs"/>
          <w:rtl/>
        </w:rPr>
        <w:t>,</w:t>
      </w:r>
      <w:r w:rsidRPr="00004D73">
        <w:rPr>
          <w:rFonts w:cs="Arial"/>
          <w:rtl/>
        </w:rPr>
        <w:t xml:space="preserve"> תולין להקל בספק ספיקא</w:t>
      </w:r>
      <w:r>
        <w:rPr>
          <w:rFonts w:cs="Arial" w:hint="cs"/>
          <w:rtl/>
        </w:rPr>
        <w:t>,</w:t>
      </w:r>
      <w:r w:rsidRPr="00004D73">
        <w:rPr>
          <w:rFonts w:cs="Arial"/>
          <w:rtl/>
        </w:rPr>
        <w:t xml:space="preserve"> אבל חתיכת איסור שנתערבה בחתיכת היתר ומאלו השנים נפל אחד מהם לתוך עשרה של היתר אין אומרים בזה ספק ספיקא להקל לפי שאנו רואין כל אחד מהשנים כגופו של איסור כל זמן שלא נתבטל האיסור ברוב</w:t>
      </w:r>
      <w:r>
        <w:rPr>
          <w:rStyle w:val="a7"/>
          <w:rFonts w:cs="Arial"/>
          <w:rtl/>
        </w:rPr>
        <w:footnoteReference w:id="2533"/>
      </w:r>
      <w:r>
        <w:rPr>
          <w:rFonts w:cs="Arial" w:hint="cs"/>
          <w:sz w:val="16"/>
          <w:szCs w:val="16"/>
          <w:rtl/>
        </w:rPr>
        <w:t xml:space="preserve"> (ל' הטור בשם הרשב"א)</w:t>
      </w:r>
      <w:r w:rsidRPr="00004D73">
        <w:rPr>
          <w:rFonts w:cs="Arial" w:hint="cs"/>
          <w:rtl/>
        </w:rPr>
        <w:t>.</w:t>
      </w:r>
    </w:p>
    <w:p w14:paraId="25D2355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C540D1E" w14:textId="77777777" w:rsidR="002C39F4" w:rsidRPr="0005519B" w:rsidRDefault="002C39F4" w:rsidP="002C39F4">
      <w:pPr>
        <w:rPr>
          <w:rFonts w:asciiTheme="minorBidi" w:hAnsiTheme="minorBidi"/>
          <w:rtl/>
        </w:rPr>
      </w:pPr>
      <w:r w:rsidRPr="003024E5">
        <w:rPr>
          <w:rFonts w:asciiTheme="minorBidi" w:hAnsiTheme="minorBidi"/>
          <w:rtl/>
        </w:rPr>
        <w:t>דבר שאינו בטל מחמת חשיבותו שנתערב באחרים</w:t>
      </w:r>
      <w:r>
        <w:rPr>
          <w:rFonts w:asciiTheme="minorBidi" w:hAnsiTheme="minorBidi" w:hint="cs"/>
          <w:rtl/>
        </w:rPr>
        <w:t>,</w:t>
      </w:r>
      <w:r w:rsidRPr="003024E5">
        <w:rPr>
          <w:rFonts w:asciiTheme="minorBidi" w:hAnsiTheme="minorBidi"/>
          <w:rtl/>
        </w:rPr>
        <w:t xml:space="preserve"> ונפל מהתערובת</w:t>
      </w:r>
      <w:r>
        <w:rPr>
          <w:rStyle w:val="a7"/>
          <w:rFonts w:asciiTheme="minorBidi" w:hAnsiTheme="minorBidi"/>
          <w:rtl/>
        </w:rPr>
        <w:footnoteReference w:id="2534"/>
      </w:r>
      <w:r w:rsidRPr="003024E5">
        <w:rPr>
          <w:rFonts w:asciiTheme="minorBidi" w:hAnsiTheme="minorBidi"/>
          <w:rtl/>
        </w:rPr>
        <w:t xml:space="preserve"> הזאת אחד לשנים אחרים</w:t>
      </w:r>
      <w:r>
        <w:rPr>
          <w:rFonts w:asciiTheme="minorBidi" w:hAnsiTheme="minorBidi" w:hint="cs"/>
          <w:rtl/>
        </w:rPr>
        <w:t>,</w:t>
      </w:r>
      <w:r w:rsidRPr="003024E5">
        <w:rPr>
          <w:rFonts w:asciiTheme="minorBidi" w:hAnsiTheme="minorBidi"/>
          <w:rtl/>
        </w:rPr>
        <w:t xml:space="preserve"> ונפל מן השלשה אחד לשנים אחרים</w:t>
      </w:r>
      <w:r>
        <w:rPr>
          <w:rFonts w:asciiTheme="minorBidi" w:hAnsiTheme="minorBidi" w:hint="cs"/>
          <w:rtl/>
        </w:rPr>
        <w:t>,</w:t>
      </w:r>
      <w:r w:rsidRPr="003024E5">
        <w:rPr>
          <w:rFonts w:asciiTheme="minorBidi" w:hAnsiTheme="minorBidi"/>
          <w:rtl/>
        </w:rPr>
        <w:t xml:space="preserve"> הרי אלו האחרים מותרים</w:t>
      </w:r>
      <w:r>
        <w:rPr>
          <w:rFonts w:asciiTheme="minorBidi" w:hAnsiTheme="minorBidi" w:hint="cs"/>
          <w:rtl/>
        </w:rPr>
        <w:t>,</w:t>
      </w:r>
      <w:r w:rsidRPr="003024E5">
        <w:rPr>
          <w:rFonts w:asciiTheme="minorBidi" w:hAnsiTheme="minorBidi"/>
          <w:rtl/>
        </w:rPr>
        <w:t xml:space="preserve"> שהרי האחד של תערובת הראשונה בטל ברוב</w:t>
      </w:r>
      <w:r>
        <w:rPr>
          <w:rFonts w:asciiTheme="minorBidi" w:hAnsiTheme="minorBidi" w:hint="cs"/>
          <w:rtl/>
        </w:rPr>
        <w:t>.</w:t>
      </w:r>
      <w:r w:rsidRPr="003024E5">
        <w:rPr>
          <w:rFonts w:asciiTheme="minorBidi" w:hAnsiTheme="minorBidi"/>
          <w:rtl/>
        </w:rPr>
        <w:t xml:space="preserve"> ואם נפל אחד מהתערובת הראשונה לאלף כולם אסורים</w:t>
      </w:r>
      <w:r>
        <w:rPr>
          <w:rStyle w:val="a7"/>
          <w:rFonts w:asciiTheme="minorBidi" w:hAnsiTheme="minorBidi"/>
          <w:rtl/>
        </w:rPr>
        <w:footnoteReference w:id="2535"/>
      </w:r>
      <w:r>
        <w:rPr>
          <w:rFonts w:asciiTheme="minorBidi" w:hAnsiTheme="minorBidi" w:hint="cs"/>
          <w:rtl/>
        </w:rPr>
        <w:t>,</w:t>
      </w:r>
      <w:r w:rsidRPr="003024E5">
        <w:rPr>
          <w:rFonts w:asciiTheme="minorBidi" w:hAnsiTheme="minorBidi"/>
          <w:rtl/>
        </w:rPr>
        <w:t xml:space="preserve"> ולא נאמר בטל ברוב אלא להתיר ספק ספיקן שאם יפול מן התערובת השניה למקום אחר אינו אוסר. </w:t>
      </w:r>
      <w:r w:rsidRPr="00C729EA">
        <w:rPr>
          <w:rFonts w:asciiTheme="minorBidi" w:hAnsiTheme="minorBidi"/>
          <w:sz w:val="18"/>
          <w:szCs w:val="18"/>
          <w:rtl/>
        </w:rPr>
        <w:t xml:space="preserve">הגה: </w:t>
      </w:r>
      <w:r>
        <w:rPr>
          <w:rFonts w:asciiTheme="minorBidi" w:hAnsiTheme="minorBidi" w:hint="cs"/>
          <w:sz w:val="18"/>
          <w:szCs w:val="18"/>
          <w:rtl/>
        </w:rPr>
        <w:t>ומ"מ</w:t>
      </w:r>
      <w:r w:rsidRPr="00C729EA">
        <w:rPr>
          <w:rFonts w:asciiTheme="minorBidi" w:hAnsiTheme="minorBidi"/>
          <w:sz w:val="18"/>
          <w:szCs w:val="18"/>
          <w:rtl/>
        </w:rPr>
        <w:t xml:space="preserve"> אין לאדם אחד לאכול את כולן</w:t>
      </w:r>
      <w:r>
        <w:rPr>
          <w:rStyle w:val="a7"/>
          <w:rFonts w:asciiTheme="minorBidi" w:hAnsiTheme="minorBidi"/>
          <w:sz w:val="18"/>
          <w:szCs w:val="18"/>
          <w:rtl/>
        </w:rPr>
        <w:footnoteReference w:id="2536"/>
      </w:r>
      <w:r>
        <w:rPr>
          <w:rFonts w:asciiTheme="minorBidi" w:hAnsiTheme="minorBidi" w:hint="cs"/>
          <w:sz w:val="18"/>
          <w:szCs w:val="18"/>
          <w:rtl/>
        </w:rPr>
        <w:t>.</w:t>
      </w:r>
      <w:r w:rsidRPr="00C729EA">
        <w:rPr>
          <w:rFonts w:asciiTheme="minorBidi" w:hAnsiTheme="minorBidi"/>
          <w:sz w:val="18"/>
          <w:szCs w:val="18"/>
          <w:rtl/>
        </w:rPr>
        <w:t xml:space="preserve"> ודוקא שהאיסור שנתערב הוא ודאי איסור</w:t>
      </w:r>
      <w:r>
        <w:rPr>
          <w:rStyle w:val="a7"/>
          <w:rFonts w:asciiTheme="minorBidi" w:hAnsiTheme="minorBidi"/>
          <w:sz w:val="18"/>
          <w:szCs w:val="18"/>
          <w:rtl/>
        </w:rPr>
        <w:footnoteReference w:id="2537"/>
      </w:r>
      <w:r>
        <w:rPr>
          <w:rFonts w:asciiTheme="minorBidi" w:hAnsiTheme="minorBidi" w:hint="cs"/>
          <w:sz w:val="18"/>
          <w:szCs w:val="18"/>
          <w:rtl/>
        </w:rPr>
        <w:t>,</w:t>
      </w:r>
      <w:r w:rsidRPr="00C729EA">
        <w:rPr>
          <w:rFonts w:asciiTheme="minorBidi" w:hAnsiTheme="minorBidi"/>
          <w:sz w:val="18"/>
          <w:szCs w:val="18"/>
          <w:rtl/>
        </w:rPr>
        <w:t xml:space="preserve"> אבל ספק איסור שנתערב ונפל מאותה תערובת למקום אח</w:t>
      </w:r>
      <w:r>
        <w:rPr>
          <w:rFonts w:asciiTheme="minorBidi" w:hAnsiTheme="minorBidi"/>
          <w:sz w:val="18"/>
          <w:szCs w:val="18"/>
          <w:rtl/>
        </w:rPr>
        <w:t>ר התערובת השנית שרי</w:t>
      </w:r>
      <w:r>
        <w:rPr>
          <w:rStyle w:val="a7"/>
          <w:rFonts w:asciiTheme="minorBidi" w:hAnsiTheme="minorBidi"/>
          <w:sz w:val="18"/>
          <w:szCs w:val="18"/>
          <w:rtl/>
        </w:rPr>
        <w:footnoteReference w:id="2538"/>
      </w:r>
      <w:r>
        <w:rPr>
          <w:rFonts w:asciiTheme="minorBidi" w:hAnsiTheme="minorBidi"/>
          <w:sz w:val="18"/>
          <w:szCs w:val="18"/>
          <w:rtl/>
        </w:rPr>
        <w:t xml:space="preserve"> (ארוך כלל כ</w:t>
      </w:r>
      <w:r>
        <w:rPr>
          <w:rFonts w:asciiTheme="minorBidi" w:hAnsiTheme="minorBidi" w:hint="cs"/>
          <w:sz w:val="18"/>
          <w:szCs w:val="18"/>
          <w:rtl/>
        </w:rPr>
        <w:t>ו</w:t>
      </w:r>
      <w:r w:rsidRPr="00C729EA">
        <w:rPr>
          <w:rFonts w:asciiTheme="minorBidi" w:hAnsiTheme="minorBidi"/>
          <w:sz w:val="18"/>
          <w:szCs w:val="18"/>
          <w:rtl/>
        </w:rPr>
        <w:t>). יש אומרים דדבר שיש לו מתירין אי</w:t>
      </w:r>
      <w:r>
        <w:rPr>
          <w:rFonts w:asciiTheme="minorBidi" w:hAnsiTheme="minorBidi"/>
          <w:sz w:val="18"/>
          <w:szCs w:val="18"/>
          <w:rtl/>
        </w:rPr>
        <w:t>ן להתיר מכח ספק ספיקא</w:t>
      </w:r>
      <w:r>
        <w:rPr>
          <w:rStyle w:val="a7"/>
          <w:rFonts w:asciiTheme="minorBidi" w:hAnsiTheme="minorBidi"/>
          <w:sz w:val="18"/>
          <w:szCs w:val="18"/>
          <w:rtl/>
        </w:rPr>
        <w:footnoteReference w:id="2539"/>
      </w:r>
      <w:r>
        <w:rPr>
          <w:rFonts w:asciiTheme="minorBidi" w:hAnsiTheme="minorBidi"/>
          <w:sz w:val="18"/>
          <w:szCs w:val="18"/>
          <w:rtl/>
        </w:rPr>
        <w:t xml:space="preserve"> (שם כלל כ</w:t>
      </w:r>
      <w:r w:rsidRPr="00C729EA">
        <w:rPr>
          <w:rFonts w:asciiTheme="minorBidi" w:hAnsiTheme="minorBidi"/>
          <w:sz w:val="18"/>
          <w:szCs w:val="18"/>
          <w:rtl/>
        </w:rPr>
        <w:t>ה), וטוב להחמיר</w:t>
      </w:r>
      <w:r>
        <w:rPr>
          <w:rStyle w:val="a7"/>
          <w:rFonts w:asciiTheme="minorBidi" w:hAnsiTheme="minorBidi"/>
          <w:sz w:val="18"/>
          <w:szCs w:val="18"/>
          <w:rtl/>
        </w:rPr>
        <w:footnoteReference w:id="2540"/>
      </w:r>
      <w:r w:rsidRPr="00C729EA">
        <w:rPr>
          <w:rFonts w:asciiTheme="minorBidi" w:hAnsiTheme="minorBidi"/>
          <w:sz w:val="18"/>
          <w:szCs w:val="18"/>
          <w:rtl/>
        </w:rPr>
        <w:t xml:space="preserve"> אם לא לצורך</w:t>
      </w:r>
      <w:r>
        <w:rPr>
          <w:rStyle w:val="a7"/>
          <w:rFonts w:asciiTheme="minorBidi" w:hAnsiTheme="minorBidi"/>
          <w:sz w:val="18"/>
          <w:szCs w:val="18"/>
          <w:rtl/>
        </w:rPr>
        <w:footnoteReference w:id="2541"/>
      </w:r>
      <w:r w:rsidRPr="00C729EA">
        <w:rPr>
          <w:rFonts w:asciiTheme="minorBidi" w:hAnsiTheme="minorBidi"/>
          <w:sz w:val="18"/>
          <w:szCs w:val="18"/>
          <w:rtl/>
        </w:rPr>
        <w:t xml:space="preserve"> מאחר שיש לו היתר בלאו הכי.</w:t>
      </w:r>
      <w:r w:rsidRPr="003024E5">
        <w:rPr>
          <w:rFonts w:asciiTheme="minorBidi" w:hAnsiTheme="minorBidi"/>
          <w:rtl/>
        </w:rPr>
        <w:t xml:space="preserve"> </w:t>
      </w:r>
      <w:r w:rsidRPr="00BB32B0">
        <w:rPr>
          <w:rFonts w:asciiTheme="minorBidi" w:hAnsiTheme="minorBidi" w:hint="cs"/>
          <w:color w:val="FF0000"/>
          <w:rtl/>
        </w:rPr>
        <w:t xml:space="preserve"> </w:t>
      </w:r>
    </w:p>
    <w:p w14:paraId="0F87E8B8" w14:textId="77777777" w:rsidR="002C39F4" w:rsidRPr="00BB32B0" w:rsidRDefault="002C39F4" w:rsidP="002C39F4">
      <w:pPr>
        <w:rPr>
          <w:rFonts w:asciiTheme="minorBidi" w:hAnsiTheme="minorBidi"/>
          <w:color w:val="FF0000"/>
          <w:rtl/>
        </w:rPr>
      </w:pPr>
    </w:p>
    <w:p w14:paraId="6BF78823" w14:textId="77777777" w:rsidR="002C39F4" w:rsidRDefault="002C39F4" w:rsidP="002C39F4">
      <w:pPr>
        <w:pStyle w:val="2"/>
        <w:rPr>
          <w:rFonts w:asciiTheme="minorBidi" w:hAnsiTheme="minorBidi"/>
          <w:rtl/>
        </w:rPr>
      </w:pPr>
      <w:r w:rsidRPr="003024E5">
        <w:rPr>
          <w:rFonts w:asciiTheme="minorBidi" w:hAnsiTheme="minorBidi"/>
          <w:rtl/>
        </w:rPr>
        <w:t>סעיף ט</w:t>
      </w:r>
      <w:r>
        <w:rPr>
          <w:rFonts w:asciiTheme="minorBidi" w:hAnsiTheme="minorBidi" w:hint="cs"/>
          <w:rtl/>
        </w:rPr>
        <w:t>: ספק ספיקא כשהספק הראשון בגופו.</w:t>
      </w:r>
    </w:p>
    <w:p w14:paraId="122E8C22" w14:textId="77777777" w:rsidR="002C39F4" w:rsidRPr="00DF3A21" w:rsidRDefault="002C39F4" w:rsidP="002C39F4">
      <w:pPr>
        <w:rPr>
          <w:u w:val="single"/>
          <w:rtl/>
        </w:rPr>
      </w:pPr>
      <w:r w:rsidRPr="00DF3A21">
        <w:rPr>
          <w:u w:val="single"/>
          <w:rtl/>
        </w:rPr>
        <w:t xml:space="preserve">ספק </w:t>
      </w:r>
      <w:r>
        <w:rPr>
          <w:rFonts w:hint="cs"/>
          <w:u w:val="single"/>
          <w:rtl/>
        </w:rPr>
        <w:t>ספיקא - כשהספק הראשון ב</w:t>
      </w:r>
      <w:r w:rsidRPr="00DF3A21">
        <w:rPr>
          <w:rFonts w:hint="cs"/>
          <w:u w:val="single"/>
          <w:rtl/>
        </w:rPr>
        <w:t>גופו</w:t>
      </w:r>
      <w:r w:rsidRPr="00DF3A21">
        <w:rPr>
          <w:rFonts w:hint="cs"/>
          <w:sz w:val="16"/>
          <w:szCs w:val="16"/>
          <w:u w:val="single"/>
          <w:rtl/>
        </w:rPr>
        <w:t xml:space="preserve"> (</w:t>
      </w:r>
      <w:r>
        <w:rPr>
          <w:rFonts w:hint="cs"/>
          <w:sz w:val="16"/>
          <w:szCs w:val="16"/>
          <w:u w:val="single"/>
          <w:rtl/>
        </w:rPr>
        <w:t xml:space="preserve">כגון ביצה שספק אם נולדה ביו"ט) </w:t>
      </w:r>
      <w:r>
        <w:rPr>
          <w:rFonts w:hint="cs"/>
          <w:u w:val="single"/>
          <w:rtl/>
        </w:rPr>
        <w:t>ולא מחמת תערובת</w:t>
      </w:r>
      <w:r w:rsidRPr="00FF04F9">
        <w:rPr>
          <w:rFonts w:hint="cs"/>
          <w:sz w:val="16"/>
          <w:szCs w:val="16"/>
          <w:u w:val="single"/>
          <w:rtl/>
        </w:rPr>
        <w:t xml:space="preserve"> (</w:t>
      </w:r>
      <w:r>
        <w:rPr>
          <w:rFonts w:hint="cs"/>
          <w:sz w:val="16"/>
          <w:szCs w:val="16"/>
          <w:u w:val="single"/>
          <w:rtl/>
        </w:rPr>
        <w:t xml:space="preserve">כגון </w:t>
      </w:r>
      <w:r w:rsidRPr="00FF04F9">
        <w:rPr>
          <w:rFonts w:hint="cs"/>
          <w:sz w:val="16"/>
          <w:szCs w:val="16"/>
          <w:u w:val="single"/>
          <w:rtl/>
        </w:rPr>
        <w:t>שמא זה האיסור שמא זה ההיתר)</w:t>
      </w:r>
      <w:r w:rsidRPr="00DF3A21">
        <w:rPr>
          <w:rFonts w:hint="cs"/>
          <w:u w:val="single"/>
          <w:rtl/>
        </w:rPr>
        <w:t>:</w:t>
      </w:r>
    </w:p>
    <w:p w14:paraId="1EC2B551" w14:textId="77777777" w:rsidR="002C39F4" w:rsidRPr="00906A89" w:rsidRDefault="002C39F4" w:rsidP="0032102C">
      <w:pPr>
        <w:pStyle w:val="a8"/>
        <w:numPr>
          <w:ilvl w:val="0"/>
          <w:numId w:val="257"/>
        </w:numPr>
        <w:rPr>
          <w:rFonts w:cs="Arial"/>
        </w:rPr>
      </w:pPr>
      <w:r w:rsidRPr="00906A89">
        <w:rPr>
          <w:rFonts w:hint="cs"/>
          <w:rtl/>
        </w:rPr>
        <w:t>ר"ת</w:t>
      </w:r>
      <w:r w:rsidRPr="00906A89">
        <w:rPr>
          <w:rFonts w:cs="Arial"/>
          <w:rtl/>
        </w:rPr>
        <w:t xml:space="preserve"> </w:t>
      </w:r>
      <w:r w:rsidRPr="00906A89">
        <w:rPr>
          <w:rFonts w:cs="Arial"/>
          <w:sz w:val="16"/>
          <w:szCs w:val="16"/>
          <w:rtl/>
        </w:rPr>
        <w:t>(</w:t>
      </w:r>
      <w:r w:rsidRPr="00906A89">
        <w:rPr>
          <w:rFonts w:cs="Arial" w:hint="cs"/>
          <w:sz w:val="16"/>
          <w:szCs w:val="16"/>
          <w:rtl/>
        </w:rPr>
        <w:t>ביצה ג:</w:t>
      </w:r>
      <w:r w:rsidRPr="00906A89">
        <w:rPr>
          <w:rFonts w:cs="Arial"/>
          <w:sz w:val="16"/>
          <w:szCs w:val="16"/>
          <w:rtl/>
        </w:rPr>
        <w:t xml:space="preserve"> תוד"ה ואחרות</w:t>
      </w:r>
      <w:r w:rsidRPr="00906A89">
        <w:rPr>
          <w:rFonts w:cs="Arial" w:hint="cs"/>
          <w:sz w:val="16"/>
          <w:szCs w:val="16"/>
          <w:rtl/>
        </w:rPr>
        <w:t>, וכ"כ הרשב"א בשמו</w:t>
      </w:r>
      <w:r w:rsidRPr="00906A89">
        <w:rPr>
          <w:rFonts w:cs="Arial"/>
          <w:sz w:val="16"/>
          <w:szCs w:val="16"/>
          <w:rtl/>
        </w:rPr>
        <w:t>)</w:t>
      </w:r>
      <w:r w:rsidRPr="00906A89">
        <w:rPr>
          <w:rFonts w:cs="Arial" w:hint="cs"/>
          <w:rtl/>
        </w:rPr>
        <w:t xml:space="preserve">- </w:t>
      </w:r>
      <w:r w:rsidRPr="00906A89">
        <w:rPr>
          <w:rStyle w:val="a7"/>
          <w:rFonts w:cs="Arial"/>
          <w:rtl/>
        </w:rPr>
        <w:footnoteReference w:id="2542"/>
      </w:r>
      <w:r w:rsidRPr="00906A89">
        <w:rPr>
          <w:rFonts w:cs="Arial"/>
          <w:rtl/>
        </w:rPr>
        <w:t>כל ס</w:t>
      </w:r>
      <w:r w:rsidRPr="00906A89">
        <w:rPr>
          <w:rFonts w:cs="Arial" w:hint="cs"/>
          <w:rtl/>
        </w:rPr>
        <w:t xml:space="preserve">פק </w:t>
      </w:r>
      <w:r w:rsidRPr="00906A89">
        <w:rPr>
          <w:rFonts w:cs="Arial"/>
          <w:rtl/>
        </w:rPr>
        <w:t>ס</w:t>
      </w:r>
      <w:r w:rsidRPr="00906A89">
        <w:rPr>
          <w:rFonts w:cs="Arial" w:hint="cs"/>
          <w:rtl/>
        </w:rPr>
        <w:t>פיקא</w:t>
      </w:r>
      <w:r w:rsidRPr="00906A89">
        <w:rPr>
          <w:rFonts w:cs="Arial"/>
          <w:rtl/>
        </w:rPr>
        <w:t xml:space="preserve"> מותר</w:t>
      </w:r>
      <w:r w:rsidRPr="00906A89">
        <w:rPr>
          <w:rFonts w:cs="Arial" w:hint="cs"/>
          <w:rtl/>
        </w:rPr>
        <w:t>.</w:t>
      </w:r>
    </w:p>
    <w:p w14:paraId="2EB2AA69" w14:textId="77777777" w:rsidR="002C39F4" w:rsidRDefault="002C39F4" w:rsidP="0032102C">
      <w:pPr>
        <w:pStyle w:val="a8"/>
        <w:numPr>
          <w:ilvl w:val="0"/>
          <w:numId w:val="257"/>
        </w:numPr>
        <w:rPr>
          <w:rFonts w:cs="Arial"/>
        </w:rPr>
      </w:pPr>
      <w:r w:rsidRPr="00906A89">
        <w:rPr>
          <w:rFonts w:cs="Arial" w:hint="cs"/>
          <w:rtl/>
        </w:rPr>
        <w:t xml:space="preserve">ר"י </w:t>
      </w:r>
      <w:r w:rsidRPr="00906A89">
        <w:rPr>
          <w:rFonts w:cs="Arial" w:hint="cs"/>
          <w:sz w:val="16"/>
          <w:szCs w:val="16"/>
          <w:rtl/>
        </w:rPr>
        <w:t>(בר שמואל)</w:t>
      </w:r>
      <w:r w:rsidRPr="00906A89">
        <w:rPr>
          <w:rFonts w:cs="Arial" w:hint="cs"/>
          <w:rtl/>
        </w:rPr>
        <w:t xml:space="preserve"> סה"ת</w:t>
      </w:r>
      <w:r w:rsidRPr="00906A89">
        <w:rPr>
          <w:rStyle w:val="a7"/>
          <w:rFonts w:cs="Arial"/>
          <w:rtl/>
        </w:rPr>
        <w:footnoteReference w:id="2543"/>
      </w:r>
      <w:r w:rsidRPr="00906A89">
        <w:rPr>
          <w:rFonts w:cs="Arial" w:hint="cs"/>
          <w:rtl/>
        </w:rPr>
        <w:t xml:space="preserve"> </w:t>
      </w:r>
      <w:r w:rsidRPr="00906A89">
        <w:rPr>
          <w:rFonts w:cs="Arial"/>
          <w:rtl/>
        </w:rPr>
        <w:t>רשב"א</w:t>
      </w:r>
      <w:r>
        <w:rPr>
          <w:rFonts w:cs="Arial" w:hint="cs"/>
          <w:rtl/>
        </w:rPr>
        <w:t xml:space="preserve"> </w:t>
      </w:r>
      <w:r w:rsidRPr="00906A89">
        <w:rPr>
          <w:rFonts w:cs="Arial" w:hint="cs"/>
          <w:rtl/>
        </w:rPr>
        <w:t>וטור</w:t>
      </w:r>
      <w:r>
        <w:rPr>
          <w:rStyle w:val="a7"/>
          <w:rFonts w:cs="Arial"/>
          <w:rtl/>
        </w:rPr>
        <w:footnoteReference w:id="2544"/>
      </w:r>
      <w:r w:rsidRPr="00906A89">
        <w:rPr>
          <w:rFonts w:cs="Arial" w:hint="cs"/>
          <w:rtl/>
        </w:rPr>
        <w:t xml:space="preserve">- </w:t>
      </w:r>
      <w:r w:rsidRPr="00906A89">
        <w:rPr>
          <w:rFonts w:cs="Arial"/>
          <w:rtl/>
        </w:rPr>
        <w:t>לא אמרו ס"ס להקל</w:t>
      </w:r>
      <w:r>
        <w:rPr>
          <w:rFonts w:cs="Arial"/>
          <w:rtl/>
        </w:rPr>
        <w:t xml:space="preserve"> אלא בשתי ספיקות הבאות מכח שתי תערובות</w:t>
      </w:r>
      <w:r>
        <w:rPr>
          <w:rFonts w:cs="Arial" w:hint="cs"/>
          <w:rtl/>
        </w:rPr>
        <w:t>,</w:t>
      </w:r>
      <w:r>
        <w:rPr>
          <w:rFonts w:cs="Arial"/>
          <w:rtl/>
        </w:rPr>
        <w:t xml:space="preserve"> כגון זו שאמרנו שנפלה טבעת של ע"ז לרבוא ומרבוא לרבוא שבכל חדא וחדא שבתערובת איכא תרי ספיקי דבכל חדא וחדא איכא למימר לא זו היא שנפלה כאן ואת"ל זו היא שנפלה כאן שמא לא זו שנפלה לרבוא ראשון</w:t>
      </w:r>
      <w:r>
        <w:rPr>
          <w:rFonts w:cs="Arial" w:hint="cs"/>
          <w:rtl/>
        </w:rPr>
        <w:t>,</w:t>
      </w:r>
      <w:r w:rsidRPr="00FF04F9">
        <w:rPr>
          <w:rFonts w:cs="Arial"/>
          <w:rtl/>
        </w:rPr>
        <w:t xml:space="preserve"> אבל בעלמא שאינו בא מכח שתי תערובות לא</w:t>
      </w:r>
      <w:r>
        <w:rPr>
          <w:rStyle w:val="a7"/>
          <w:rFonts w:cs="Arial"/>
          <w:rtl/>
        </w:rPr>
        <w:footnoteReference w:id="2545"/>
      </w:r>
      <w:r>
        <w:rPr>
          <w:rFonts w:cs="Arial" w:hint="cs"/>
          <w:rtl/>
        </w:rPr>
        <w:t>...</w:t>
      </w:r>
      <w:r w:rsidRPr="00060F93">
        <w:rPr>
          <w:rFonts w:cs="Arial"/>
          <w:rtl/>
        </w:rPr>
        <w:t xml:space="preserve"> ונ"מ לספק טריפה שנתערבה באחרות שאין מתירין אותם מכח ס"ס אא"כ היא חתיכה הראויה להתבטל מצד עצמה ברוב</w:t>
      </w:r>
      <w:r w:rsidRPr="00060F93">
        <w:rPr>
          <w:rFonts w:cs="Arial" w:hint="cs"/>
          <w:sz w:val="16"/>
          <w:szCs w:val="16"/>
          <w:rtl/>
        </w:rPr>
        <w:t xml:space="preserve"> (ל' הרשב"א)</w:t>
      </w:r>
      <w:r w:rsidRPr="00060F93">
        <w:rPr>
          <w:rFonts w:cs="Arial"/>
          <w:rtl/>
        </w:rPr>
        <w:t>.</w:t>
      </w:r>
      <w:r>
        <w:rPr>
          <w:rFonts w:cs="Arial" w:hint="cs"/>
          <w:rtl/>
        </w:rPr>
        <w:t xml:space="preserve"> </w:t>
      </w:r>
      <w:r w:rsidRPr="00CC5815">
        <w:rPr>
          <w:rFonts w:cs="Arial" w:hint="cs"/>
          <w:color w:val="E36C0A" w:themeColor="accent6" w:themeShade="BF"/>
          <w:rtl/>
        </w:rPr>
        <w:t>(וכ"פ בשו"ע)</w:t>
      </w:r>
    </w:p>
    <w:p w14:paraId="17404AA6" w14:textId="77777777" w:rsidR="002C39F4" w:rsidRPr="00FF04F9" w:rsidRDefault="002C39F4" w:rsidP="002C39F4">
      <w:pPr>
        <w:rPr>
          <w:rFonts w:cs="Arial"/>
          <w:u w:val="single"/>
          <w:rtl/>
        </w:rPr>
      </w:pPr>
      <w:r w:rsidRPr="00FF04F9">
        <w:rPr>
          <w:rFonts w:cs="Arial"/>
          <w:u w:val="single"/>
          <w:rtl/>
        </w:rPr>
        <w:t xml:space="preserve">ספק ספיקא </w:t>
      </w:r>
      <w:r w:rsidRPr="00FF04F9">
        <w:rPr>
          <w:rFonts w:cs="Arial" w:hint="cs"/>
          <w:u w:val="single"/>
          <w:rtl/>
        </w:rPr>
        <w:t>מחמת</w:t>
      </w:r>
      <w:r w:rsidRPr="00FF04F9">
        <w:rPr>
          <w:rFonts w:cs="Arial"/>
          <w:u w:val="single"/>
          <w:rtl/>
        </w:rPr>
        <w:t xml:space="preserve"> תערובות </w:t>
      </w:r>
      <w:r w:rsidRPr="00FF04F9">
        <w:rPr>
          <w:rFonts w:cs="Arial" w:hint="cs"/>
          <w:u w:val="single"/>
          <w:rtl/>
        </w:rPr>
        <w:t>-</w:t>
      </w:r>
      <w:r w:rsidRPr="00FF04F9">
        <w:rPr>
          <w:rFonts w:cs="Arial"/>
          <w:u w:val="single"/>
          <w:rtl/>
        </w:rPr>
        <w:t xml:space="preserve"> בדברים החשובי</w:t>
      </w:r>
      <w:r w:rsidRPr="00FF04F9">
        <w:rPr>
          <w:rFonts w:cs="Arial" w:hint="cs"/>
          <w:u w:val="single"/>
          <w:rtl/>
        </w:rPr>
        <w:t>ם:</w:t>
      </w:r>
    </w:p>
    <w:p w14:paraId="187C873E" w14:textId="77777777" w:rsidR="002C39F4" w:rsidRPr="007562DF" w:rsidRDefault="002C39F4" w:rsidP="0032102C">
      <w:pPr>
        <w:pStyle w:val="a8"/>
        <w:numPr>
          <w:ilvl w:val="0"/>
          <w:numId w:val="257"/>
        </w:numPr>
        <w:rPr>
          <w:rFonts w:cs="Arial"/>
          <w:rtl/>
        </w:rPr>
      </w:pPr>
      <w:r w:rsidRPr="007562DF">
        <w:rPr>
          <w:rFonts w:cs="Arial"/>
          <w:rtl/>
        </w:rPr>
        <w:t>י"א</w:t>
      </w:r>
      <w:r w:rsidRPr="007562DF">
        <w:rPr>
          <w:rStyle w:val="a7"/>
          <w:rFonts w:cs="Arial"/>
          <w:rtl/>
        </w:rPr>
        <w:footnoteReference w:id="2546"/>
      </w:r>
      <w:r w:rsidRPr="007562DF">
        <w:rPr>
          <w:rFonts w:cs="Arial" w:hint="cs"/>
          <w:rtl/>
        </w:rPr>
        <w:t xml:space="preserve">- </w:t>
      </w:r>
      <w:r w:rsidRPr="007562DF">
        <w:rPr>
          <w:rFonts w:cs="Arial"/>
          <w:rtl/>
        </w:rPr>
        <w:t>אפי</w:t>
      </w:r>
      <w:r w:rsidRPr="007562DF">
        <w:rPr>
          <w:rFonts w:cs="Arial" w:hint="cs"/>
          <w:rtl/>
        </w:rPr>
        <w:t>לו</w:t>
      </w:r>
      <w:r w:rsidRPr="007562DF">
        <w:rPr>
          <w:rFonts w:cs="Arial"/>
          <w:rtl/>
        </w:rPr>
        <w:t xml:space="preserve"> בספק ספיקא שע"י תערובות אין להתיר בדברים החשובין</w:t>
      </w:r>
      <w:r w:rsidRPr="007562DF">
        <w:rPr>
          <w:rFonts w:cs="Arial" w:hint="cs"/>
          <w:rtl/>
        </w:rPr>
        <w:t>,</w:t>
      </w:r>
      <w:r w:rsidRPr="007562DF">
        <w:rPr>
          <w:rFonts w:cs="Arial"/>
          <w:rtl/>
        </w:rPr>
        <w:t xml:space="preserve"> דכי היכי דמהניא להו חשיבותייהו</w:t>
      </w:r>
      <w:r w:rsidRPr="00FF04F9">
        <w:rPr>
          <w:rFonts w:cs="Arial"/>
          <w:rtl/>
        </w:rPr>
        <w:t xml:space="preserve"> </w:t>
      </w:r>
      <w:r w:rsidRPr="007562DF">
        <w:rPr>
          <w:rFonts w:cs="Arial"/>
          <w:rtl/>
        </w:rPr>
        <w:t>דלא בטילי אפילו באלף מהניא להו נמי שלא להתיר בה ספק ספיקא</w:t>
      </w:r>
      <w:r w:rsidRPr="007562DF">
        <w:rPr>
          <w:rFonts w:cs="Arial" w:hint="cs"/>
          <w:sz w:val="16"/>
          <w:szCs w:val="16"/>
          <w:rtl/>
        </w:rPr>
        <w:t xml:space="preserve"> (ל' הטור בשם י"א)</w:t>
      </w:r>
      <w:r w:rsidRPr="007562DF">
        <w:rPr>
          <w:rStyle w:val="a7"/>
          <w:rFonts w:cs="Arial"/>
          <w:rtl/>
        </w:rPr>
        <w:footnoteReference w:id="2547"/>
      </w:r>
      <w:r w:rsidRPr="007562DF">
        <w:rPr>
          <w:rFonts w:cs="Arial" w:hint="cs"/>
          <w:rtl/>
        </w:rPr>
        <w:t>.</w:t>
      </w:r>
    </w:p>
    <w:p w14:paraId="7C5D0D31" w14:textId="77777777" w:rsidR="002C39F4" w:rsidRPr="007562DF" w:rsidRDefault="002C39F4" w:rsidP="0032102C">
      <w:pPr>
        <w:pStyle w:val="a8"/>
        <w:numPr>
          <w:ilvl w:val="0"/>
          <w:numId w:val="257"/>
        </w:numPr>
      </w:pPr>
      <w:r w:rsidRPr="007562DF">
        <w:rPr>
          <w:rFonts w:cs="Arial" w:hint="cs"/>
          <w:rtl/>
        </w:rPr>
        <w:t xml:space="preserve">טור- </w:t>
      </w:r>
      <w:r w:rsidRPr="007562DF">
        <w:rPr>
          <w:rFonts w:cs="Arial"/>
          <w:rtl/>
        </w:rPr>
        <w:t>ספק ספיקא מותר בכל האסורים אפילו בע</w:t>
      </w:r>
      <w:r w:rsidRPr="007562DF">
        <w:rPr>
          <w:rFonts w:cs="Arial" w:hint="cs"/>
          <w:rtl/>
        </w:rPr>
        <w:t>"ז.</w:t>
      </w:r>
      <w:r w:rsidRPr="007562DF">
        <w:rPr>
          <w:rFonts w:hint="cs"/>
          <w:rtl/>
        </w:rPr>
        <w:t xml:space="preserve"> </w:t>
      </w:r>
    </w:p>
    <w:p w14:paraId="18D00F6F" w14:textId="77777777" w:rsidR="002C39F4" w:rsidRPr="007562DF" w:rsidRDefault="002C39F4" w:rsidP="0032102C">
      <w:pPr>
        <w:pStyle w:val="a8"/>
        <w:numPr>
          <w:ilvl w:val="0"/>
          <w:numId w:val="257"/>
        </w:numPr>
        <w:rPr>
          <w:rtl/>
        </w:rPr>
      </w:pPr>
      <w:r w:rsidRPr="007562DF">
        <w:rPr>
          <w:rFonts w:cs="Arial" w:hint="cs"/>
          <w:rtl/>
        </w:rPr>
        <w:t xml:space="preserve">או"ה </w:t>
      </w:r>
      <w:r w:rsidRPr="007562DF">
        <w:rPr>
          <w:rFonts w:cs="Arial" w:hint="cs"/>
          <w:sz w:val="16"/>
          <w:szCs w:val="16"/>
          <w:rtl/>
        </w:rPr>
        <w:t>(</w:t>
      </w:r>
      <w:r w:rsidRPr="007562DF">
        <w:rPr>
          <w:rFonts w:cs="Arial"/>
          <w:sz w:val="16"/>
          <w:szCs w:val="16"/>
          <w:rtl/>
        </w:rPr>
        <w:t>כלל כה ד</w:t>
      </w:r>
      <w:r w:rsidRPr="007562DF">
        <w:rPr>
          <w:rFonts w:cs="Arial" w:hint="cs"/>
          <w:sz w:val="16"/>
          <w:szCs w:val="16"/>
          <w:rtl/>
        </w:rPr>
        <w:t xml:space="preserve">ין ה ודין </w:t>
      </w:r>
      <w:r w:rsidRPr="007562DF">
        <w:rPr>
          <w:rFonts w:cs="Arial"/>
          <w:sz w:val="16"/>
          <w:szCs w:val="16"/>
          <w:rtl/>
        </w:rPr>
        <w:t>ז</w:t>
      </w:r>
      <w:r w:rsidRPr="007562DF">
        <w:rPr>
          <w:rFonts w:cs="Arial" w:hint="cs"/>
          <w:sz w:val="16"/>
          <w:szCs w:val="16"/>
          <w:rtl/>
        </w:rPr>
        <w:t>, הביאו הדרכ"מ אות יא</w:t>
      </w:r>
      <w:r w:rsidRPr="007562DF">
        <w:rPr>
          <w:rFonts w:cs="Arial"/>
          <w:sz w:val="16"/>
          <w:szCs w:val="16"/>
          <w:rtl/>
        </w:rPr>
        <w:t>)</w:t>
      </w:r>
      <w:r w:rsidRPr="007562DF">
        <w:rPr>
          <w:rFonts w:cs="Arial" w:hint="cs"/>
          <w:rtl/>
        </w:rPr>
        <w:t>-</w:t>
      </w:r>
      <w:r w:rsidRPr="007562DF">
        <w:rPr>
          <w:rFonts w:cs="Arial"/>
          <w:rtl/>
        </w:rPr>
        <w:t xml:space="preserve"> נהיגין להכשיר כל איסור ע"י ס"ס חוץ מדשיל"מ</w:t>
      </w:r>
      <w:r>
        <w:rPr>
          <w:rFonts w:hint="cs"/>
          <w:rtl/>
        </w:rPr>
        <w:t>.</w:t>
      </w:r>
    </w:p>
    <w:p w14:paraId="00ECC7E8" w14:textId="77777777" w:rsidR="002C39F4" w:rsidRDefault="002C39F4" w:rsidP="002C39F4">
      <w:pPr>
        <w:rPr>
          <w:rFonts w:cs="Arial"/>
          <w:rtl/>
        </w:rPr>
      </w:pPr>
      <w:r w:rsidRPr="007F0C01">
        <w:rPr>
          <w:rFonts w:cs="Arial" w:hint="cs"/>
          <w:u w:val="single"/>
          <w:rtl/>
        </w:rPr>
        <w:t xml:space="preserve">גבינות של גוים </w:t>
      </w:r>
      <w:r w:rsidRPr="007F0C01">
        <w:rPr>
          <w:rFonts w:cs="Arial"/>
          <w:u w:val="single"/>
          <w:rtl/>
        </w:rPr>
        <w:t>–</w:t>
      </w:r>
      <w:r w:rsidRPr="007F0C01">
        <w:rPr>
          <w:rFonts w:cs="Arial" w:hint="cs"/>
          <w:u w:val="single"/>
          <w:rtl/>
        </w:rPr>
        <w:t xml:space="preserve"> חשיב איסור דרבנן או ספק איסור דאו':</w:t>
      </w:r>
      <w:r>
        <w:rPr>
          <w:rFonts w:cs="Arial" w:hint="cs"/>
          <w:rtl/>
        </w:rPr>
        <w:t xml:space="preserve"> </w:t>
      </w:r>
      <w:r>
        <w:rPr>
          <w:rFonts w:cs="Arial" w:hint="cs"/>
          <w:sz w:val="16"/>
          <w:szCs w:val="16"/>
          <w:rtl/>
        </w:rPr>
        <w:t xml:space="preserve"> (דרכ"מ אות י)</w:t>
      </w:r>
      <w:r>
        <w:rPr>
          <w:rFonts w:cs="Arial" w:hint="cs"/>
          <w:rtl/>
        </w:rPr>
        <w:t xml:space="preserve"> </w:t>
      </w:r>
    </w:p>
    <w:p w14:paraId="16BDB3B3" w14:textId="77777777" w:rsidR="002C39F4" w:rsidRDefault="002C39F4" w:rsidP="0032102C">
      <w:pPr>
        <w:pStyle w:val="a8"/>
        <w:numPr>
          <w:ilvl w:val="0"/>
          <w:numId w:val="258"/>
        </w:numPr>
        <w:rPr>
          <w:rtl/>
        </w:rPr>
      </w:pPr>
      <w:r w:rsidRPr="007562DF">
        <w:rPr>
          <w:rFonts w:cs="Arial" w:hint="cs"/>
          <w:rtl/>
        </w:rPr>
        <w:t>או</w:t>
      </w:r>
      <w:r w:rsidRPr="007562DF">
        <w:rPr>
          <w:rFonts w:cs="Arial"/>
          <w:rtl/>
        </w:rPr>
        <w:t>"</w:t>
      </w:r>
      <w:r w:rsidRPr="007562DF">
        <w:rPr>
          <w:rFonts w:cs="Arial" w:hint="cs"/>
          <w:rtl/>
        </w:rPr>
        <w:t>ה</w:t>
      </w:r>
      <w:r w:rsidRPr="007562DF">
        <w:rPr>
          <w:rFonts w:cs="Arial"/>
          <w:rtl/>
        </w:rPr>
        <w:t xml:space="preserve"> </w:t>
      </w:r>
      <w:r w:rsidRPr="007562DF">
        <w:rPr>
          <w:rFonts w:cs="Arial" w:hint="cs"/>
          <w:sz w:val="16"/>
          <w:szCs w:val="16"/>
          <w:rtl/>
        </w:rPr>
        <w:t>(</w:t>
      </w:r>
      <w:r w:rsidRPr="007562DF">
        <w:rPr>
          <w:rFonts w:cs="Arial"/>
          <w:sz w:val="16"/>
          <w:szCs w:val="16"/>
          <w:rtl/>
        </w:rPr>
        <w:t>כלל כה דין יב)</w:t>
      </w:r>
      <w:r w:rsidRPr="007562DF">
        <w:rPr>
          <w:rFonts w:cs="Arial" w:hint="cs"/>
          <w:rtl/>
        </w:rPr>
        <w:t xml:space="preserve">- </w:t>
      </w:r>
      <w:r w:rsidRPr="007562DF">
        <w:rPr>
          <w:rFonts w:cs="Arial"/>
          <w:rtl/>
        </w:rPr>
        <w:t>גבינות של גוים אע</w:t>
      </w:r>
      <w:r w:rsidRPr="007562DF">
        <w:rPr>
          <w:rFonts w:cs="Arial" w:hint="cs"/>
          <w:rtl/>
        </w:rPr>
        <w:t>"</w:t>
      </w:r>
      <w:r w:rsidRPr="007562DF">
        <w:rPr>
          <w:rFonts w:cs="Arial"/>
          <w:rtl/>
        </w:rPr>
        <w:t>פ שעיקר איסורם אינו אלא מדברי סופרים שאסרוהו מכח ספק שמא</w:t>
      </w:r>
      <w:r w:rsidRPr="007F0C01">
        <w:rPr>
          <w:rFonts w:cs="Arial"/>
          <w:rtl/>
        </w:rPr>
        <w:t xml:space="preserve"> נתערב בו מחלב טמא מ"מ חשיב כגופו של איסור ודאי ואם נתערב באחרות אינו ניתר מטעם ס"ס לומר שמא לא נתערב בו דבר טמא ואת"ל שמא נתערב שמא אינו זה שאוכל</w:t>
      </w:r>
      <w:r w:rsidRPr="007F0C01">
        <w:rPr>
          <w:rFonts w:cs="Arial" w:hint="cs"/>
          <w:rtl/>
        </w:rPr>
        <w:t>.</w:t>
      </w:r>
    </w:p>
    <w:p w14:paraId="06A3982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D1098AC" w14:textId="77777777" w:rsidR="002C39F4" w:rsidRDefault="002C39F4" w:rsidP="002C39F4">
      <w:pPr>
        <w:rPr>
          <w:rFonts w:asciiTheme="minorBidi" w:hAnsiTheme="minorBidi"/>
          <w:rtl/>
        </w:rPr>
      </w:pPr>
      <w:r w:rsidRPr="003024E5">
        <w:rPr>
          <w:rFonts w:asciiTheme="minorBidi" w:hAnsiTheme="minorBidi"/>
          <w:rtl/>
        </w:rPr>
        <w:t>ספק טרפה שנתערב באחרות כולן אסורות עד שיהא בהיתר כדי לבטל האיסור אם הוא מדברים המתבטלים</w:t>
      </w:r>
      <w:r>
        <w:rPr>
          <w:rFonts w:asciiTheme="minorBidi" w:hAnsiTheme="minorBidi" w:hint="cs"/>
          <w:rtl/>
        </w:rPr>
        <w:t>,</w:t>
      </w:r>
      <w:r w:rsidRPr="003024E5">
        <w:rPr>
          <w:rFonts w:asciiTheme="minorBidi" w:hAnsiTheme="minorBidi"/>
          <w:rtl/>
        </w:rPr>
        <w:t xml:space="preserve"> שכיון שספק הראשון היה בגופו אין להתירו מספק ספיקא</w:t>
      </w:r>
      <w:r>
        <w:rPr>
          <w:rStyle w:val="a7"/>
          <w:rFonts w:asciiTheme="minorBidi" w:hAnsiTheme="minorBidi"/>
          <w:rtl/>
        </w:rPr>
        <w:footnoteReference w:id="2548"/>
      </w:r>
      <w:r w:rsidRPr="003024E5">
        <w:rPr>
          <w:rFonts w:asciiTheme="minorBidi" w:hAnsiTheme="minorBidi"/>
          <w:rtl/>
        </w:rPr>
        <w:t xml:space="preserve">. </w:t>
      </w:r>
      <w:r w:rsidRPr="00C729EA">
        <w:rPr>
          <w:rFonts w:asciiTheme="minorBidi" w:hAnsiTheme="minorBidi"/>
          <w:sz w:val="18"/>
          <w:szCs w:val="18"/>
          <w:rtl/>
        </w:rPr>
        <w:t>הגה: וי</w:t>
      </w:r>
      <w:r>
        <w:rPr>
          <w:rFonts w:asciiTheme="minorBidi" w:hAnsiTheme="minorBidi" w:hint="cs"/>
          <w:sz w:val="18"/>
          <w:szCs w:val="18"/>
          <w:rtl/>
        </w:rPr>
        <w:t>"א</w:t>
      </w:r>
      <w:r w:rsidRPr="00C729EA">
        <w:rPr>
          <w:rFonts w:asciiTheme="minorBidi" w:hAnsiTheme="minorBidi"/>
          <w:sz w:val="18"/>
          <w:szCs w:val="18"/>
          <w:rtl/>
        </w:rPr>
        <w:t xml:space="preserve"> הטעם דאסור הואיל והספק הוא איסור מדאו</w:t>
      </w:r>
      <w:r>
        <w:rPr>
          <w:rFonts w:asciiTheme="minorBidi" w:hAnsiTheme="minorBidi" w:hint="cs"/>
          <w:sz w:val="18"/>
          <w:szCs w:val="18"/>
          <w:rtl/>
        </w:rPr>
        <w:t>',</w:t>
      </w:r>
      <w:r w:rsidRPr="00C729EA">
        <w:rPr>
          <w:rFonts w:asciiTheme="minorBidi" w:hAnsiTheme="minorBidi"/>
          <w:sz w:val="18"/>
          <w:szCs w:val="18"/>
          <w:rtl/>
        </w:rPr>
        <w:t xml:space="preserve"> ולא נוכל לומר עוד </w:t>
      </w:r>
      <w:r>
        <w:rPr>
          <w:rFonts w:asciiTheme="minorBidi" w:hAnsiTheme="minorBidi" w:hint="cs"/>
          <w:sz w:val="18"/>
          <w:szCs w:val="18"/>
          <w:rtl/>
        </w:rPr>
        <w:t>'</w:t>
      </w:r>
      <w:r w:rsidRPr="00C729EA">
        <w:rPr>
          <w:rFonts w:asciiTheme="minorBidi" w:hAnsiTheme="minorBidi"/>
          <w:sz w:val="18"/>
          <w:szCs w:val="18"/>
          <w:rtl/>
        </w:rPr>
        <w:t>ספק שאין כאן איסור</w:t>
      </w:r>
      <w:r>
        <w:rPr>
          <w:rFonts w:asciiTheme="minorBidi" w:hAnsiTheme="minorBidi" w:hint="cs"/>
          <w:sz w:val="18"/>
          <w:szCs w:val="18"/>
          <w:rtl/>
        </w:rPr>
        <w:t>'</w:t>
      </w:r>
      <w:r w:rsidRPr="00C729EA">
        <w:rPr>
          <w:rFonts w:asciiTheme="minorBidi" w:hAnsiTheme="minorBidi"/>
          <w:sz w:val="18"/>
          <w:szCs w:val="18"/>
          <w:rtl/>
        </w:rPr>
        <w:t xml:space="preserve"> רק שנתערב באחרים</w:t>
      </w:r>
      <w:r>
        <w:rPr>
          <w:rFonts w:asciiTheme="minorBidi" w:hAnsiTheme="minorBidi" w:hint="cs"/>
          <w:sz w:val="18"/>
          <w:szCs w:val="18"/>
          <w:rtl/>
        </w:rPr>
        <w:t>,</w:t>
      </w:r>
      <w:r w:rsidRPr="00C729EA">
        <w:rPr>
          <w:rFonts w:asciiTheme="minorBidi" w:hAnsiTheme="minorBidi"/>
          <w:sz w:val="18"/>
          <w:szCs w:val="18"/>
          <w:rtl/>
        </w:rPr>
        <w:t xml:space="preserve"> לא מקרי ספק ספיקא</w:t>
      </w:r>
      <w:r>
        <w:rPr>
          <w:rStyle w:val="a7"/>
          <w:rFonts w:asciiTheme="minorBidi" w:hAnsiTheme="minorBidi"/>
          <w:sz w:val="18"/>
          <w:szCs w:val="18"/>
          <w:rtl/>
        </w:rPr>
        <w:footnoteReference w:id="2549"/>
      </w:r>
      <w:r w:rsidRPr="00C729EA">
        <w:rPr>
          <w:rFonts w:asciiTheme="minorBidi" w:hAnsiTheme="minorBidi"/>
          <w:sz w:val="18"/>
          <w:szCs w:val="18"/>
          <w:rtl/>
        </w:rPr>
        <w:t xml:space="preserve"> ואסור</w:t>
      </w:r>
      <w:r>
        <w:rPr>
          <w:rStyle w:val="a7"/>
          <w:rFonts w:asciiTheme="minorBidi" w:hAnsiTheme="minorBidi"/>
          <w:sz w:val="18"/>
          <w:szCs w:val="18"/>
          <w:rtl/>
        </w:rPr>
        <w:footnoteReference w:id="2550"/>
      </w:r>
      <w:r w:rsidRPr="00C729EA">
        <w:rPr>
          <w:rFonts w:asciiTheme="minorBidi" w:hAnsiTheme="minorBidi"/>
          <w:sz w:val="18"/>
          <w:szCs w:val="18"/>
          <w:rtl/>
        </w:rPr>
        <w:t xml:space="preserve"> </w:t>
      </w:r>
      <w:r w:rsidRPr="00D04617">
        <w:rPr>
          <w:rFonts w:asciiTheme="minorBidi" w:hAnsiTheme="minorBidi"/>
          <w:sz w:val="16"/>
          <w:szCs w:val="16"/>
          <w:rtl/>
        </w:rPr>
        <w:t>(</w:t>
      </w:r>
      <w:r w:rsidRPr="00D04617">
        <w:rPr>
          <w:rFonts w:asciiTheme="minorBidi" w:hAnsiTheme="minorBidi" w:hint="cs"/>
          <w:sz w:val="16"/>
          <w:szCs w:val="16"/>
          <w:rtl/>
        </w:rPr>
        <w:t>או"ה</w:t>
      </w:r>
      <w:r w:rsidRPr="00D04617">
        <w:rPr>
          <w:rFonts w:asciiTheme="minorBidi" w:hAnsiTheme="minorBidi"/>
          <w:sz w:val="16"/>
          <w:szCs w:val="16"/>
          <w:rtl/>
        </w:rPr>
        <w:t>)</w:t>
      </w:r>
      <w:r w:rsidRPr="00C729EA">
        <w:rPr>
          <w:rFonts w:asciiTheme="minorBidi" w:hAnsiTheme="minorBidi"/>
          <w:sz w:val="18"/>
          <w:szCs w:val="18"/>
          <w:rtl/>
        </w:rPr>
        <w:t xml:space="preserve">. אבל אם היו </w:t>
      </w:r>
      <w:r>
        <w:rPr>
          <w:rFonts w:asciiTheme="minorBidi" w:hAnsiTheme="minorBidi" w:hint="cs"/>
          <w:sz w:val="18"/>
          <w:szCs w:val="18"/>
          <w:rtl/>
        </w:rPr>
        <w:t>שני</w:t>
      </w:r>
      <w:r w:rsidRPr="00C729EA">
        <w:rPr>
          <w:rFonts w:asciiTheme="minorBidi" w:hAnsiTheme="minorBidi"/>
          <w:sz w:val="18"/>
          <w:szCs w:val="18"/>
          <w:rtl/>
        </w:rPr>
        <w:t xml:space="preserve"> ספיקות אם היה כאן איסור כלל ונודעו </w:t>
      </w:r>
      <w:r>
        <w:rPr>
          <w:rFonts w:asciiTheme="minorBidi" w:hAnsiTheme="minorBidi" w:hint="cs"/>
          <w:sz w:val="18"/>
          <w:szCs w:val="18"/>
          <w:rtl/>
        </w:rPr>
        <w:t>שני</w:t>
      </w:r>
      <w:r w:rsidRPr="00C729EA">
        <w:rPr>
          <w:rFonts w:asciiTheme="minorBidi" w:hAnsiTheme="minorBidi"/>
          <w:sz w:val="18"/>
          <w:szCs w:val="18"/>
          <w:rtl/>
        </w:rPr>
        <w:t xml:space="preserve"> הספיקות ביחד מתירים ספק ספיקא בכל מקום אפילו באיסור דאו</w:t>
      </w:r>
      <w:r>
        <w:rPr>
          <w:rFonts w:asciiTheme="minorBidi" w:hAnsiTheme="minorBidi" w:hint="cs"/>
          <w:sz w:val="18"/>
          <w:szCs w:val="18"/>
          <w:rtl/>
        </w:rPr>
        <w:t>'</w:t>
      </w:r>
      <w:r w:rsidRPr="00C729EA">
        <w:rPr>
          <w:rFonts w:asciiTheme="minorBidi" w:hAnsiTheme="minorBidi"/>
          <w:sz w:val="18"/>
          <w:szCs w:val="18"/>
          <w:rtl/>
        </w:rPr>
        <w:t xml:space="preserve"> וגופו של איסור</w:t>
      </w:r>
      <w:r>
        <w:rPr>
          <w:rFonts w:asciiTheme="minorBidi" w:hAnsiTheme="minorBidi" w:hint="cs"/>
          <w:sz w:val="18"/>
          <w:szCs w:val="18"/>
          <w:rtl/>
        </w:rPr>
        <w:t xml:space="preserve"> </w:t>
      </w:r>
      <w:r w:rsidRPr="00D04617">
        <w:rPr>
          <w:rFonts w:asciiTheme="minorBidi" w:hAnsiTheme="minorBidi" w:hint="cs"/>
          <w:sz w:val="16"/>
          <w:szCs w:val="16"/>
          <w:rtl/>
        </w:rPr>
        <w:t>(שם)</w:t>
      </w:r>
      <w:r>
        <w:rPr>
          <w:rFonts w:asciiTheme="minorBidi" w:hAnsiTheme="minorBidi" w:hint="cs"/>
          <w:sz w:val="18"/>
          <w:szCs w:val="18"/>
          <w:rtl/>
        </w:rPr>
        <w:t>,</w:t>
      </w:r>
      <w:r w:rsidRPr="00C729EA">
        <w:rPr>
          <w:rFonts w:asciiTheme="minorBidi" w:hAnsiTheme="minorBidi"/>
          <w:sz w:val="18"/>
          <w:szCs w:val="18"/>
          <w:rtl/>
        </w:rPr>
        <w:t xml:space="preserve"> ואפילו היה לו חזקת איסור</w:t>
      </w:r>
      <w:r>
        <w:rPr>
          <w:rFonts w:asciiTheme="minorBidi" w:hAnsiTheme="minorBidi" w:hint="cs"/>
          <w:sz w:val="18"/>
          <w:szCs w:val="18"/>
          <w:rtl/>
        </w:rPr>
        <w:t xml:space="preserve"> </w:t>
      </w:r>
      <w:r w:rsidRPr="00D04617">
        <w:rPr>
          <w:rFonts w:asciiTheme="minorBidi" w:hAnsiTheme="minorBidi" w:hint="cs"/>
          <w:sz w:val="16"/>
          <w:szCs w:val="16"/>
          <w:rtl/>
        </w:rPr>
        <w:t>(דרכ"מ בשם רשב"א ח"א סי' תא)</w:t>
      </w:r>
      <w:r>
        <w:rPr>
          <w:rFonts w:asciiTheme="minorBidi" w:hAnsiTheme="minorBidi" w:hint="cs"/>
          <w:sz w:val="18"/>
          <w:szCs w:val="18"/>
          <w:rtl/>
        </w:rPr>
        <w:t>,</w:t>
      </w:r>
      <w:r w:rsidRPr="00C729EA">
        <w:rPr>
          <w:rFonts w:asciiTheme="minorBidi" w:hAnsiTheme="minorBidi"/>
          <w:sz w:val="18"/>
          <w:szCs w:val="18"/>
          <w:rtl/>
        </w:rPr>
        <w:t xml:space="preserve"> כגון עוף שבחזקת איסור עומד ונשבר או נשמט גפו ספק מחיים או לאחר שחיטה, ואם תמצא לומר מחיים שמא לא נקבה הריאה</w:t>
      </w:r>
      <w:r>
        <w:rPr>
          <w:rFonts w:asciiTheme="minorBidi" w:hAnsiTheme="minorBidi" w:hint="cs"/>
          <w:sz w:val="18"/>
          <w:szCs w:val="18"/>
          <w:rtl/>
        </w:rPr>
        <w:t>,</w:t>
      </w:r>
      <w:r w:rsidRPr="00C729EA">
        <w:rPr>
          <w:rFonts w:asciiTheme="minorBidi" w:hAnsiTheme="minorBidi"/>
          <w:sz w:val="18"/>
          <w:szCs w:val="18"/>
          <w:rtl/>
        </w:rPr>
        <w:t xml:space="preserve"> יש להתיר מכח ספק ספיקא</w:t>
      </w:r>
      <w:r>
        <w:rPr>
          <w:rFonts w:asciiTheme="minorBidi" w:hAnsiTheme="minorBidi" w:hint="cs"/>
          <w:sz w:val="18"/>
          <w:szCs w:val="18"/>
          <w:rtl/>
        </w:rPr>
        <w:t xml:space="preserve"> </w:t>
      </w:r>
      <w:r w:rsidRPr="00D04617">
        <w:rPr>
          <w:rFonts w:asciiTheme="minorBidi" w:hAnsiTheme="minorBidi" w:hint="cs"/>
          <w:sz w:val="16"/>
          <w:szCs w:val="16"/>
          <w:rtl/>
        </w:rPr>
        <w:t>(דברי עצמו)</w:t>
      </w:r>
      <w:r>
        <w:rPr>
          <w:rFonts w:asciiTheme="minorBidi" w:hAnsiTheme="minorBidi" w:hint="cs"/>
          <w:sz w:val="18"/>
          <w:szCs w:val="18"/>
          <w:rtl/>
        </w:rPr>
        <w:t>,</w:t>
      </w:r>
      <w:r w:rsidRPr="00C729EA">
        <w:rPr>
          <w:rFonts w:asciiTheme="minorBidi" w:hAnsiTheme="minorBidi"/>
          <w:sz w:val="18"/>
          <w:szCs w:val="18"/>
          <w:rtl/>
        </w:rPr>
        <w:t xml:space="preserve"> אע</w:t>
      </w:r>
      <w:r>
        <w:rPr>
          <w:rFonts w:asciiTheme="minorBidi" w:hAnsiTheme="minorBidi" w:hint="cs"/>
          <w:sz w:val="18"/>
          <w:szCs w:val="18"/>
          <w:rtl/>
        </w:rPr>
        <w:t>"</w:t>
      </w:r>
      <w:r w:rsidRPr="00C729EA">
        <w:rPr>
          <w:rFonts w:asciiTheme="minorBidi" w:hAnsiTheme="minorBidi"/>
          <w:sz w:val="18"/>
          <w:szCs w:val="18"/>
          <w:rtl/>
        </w:rPr>
        <w:t>פ שיש לברר על ידי בדיקת הריאה אין לחוש</w:t>
      </w:r>
      <w:r>
        <w:rPr>
          <w:rFonts w:asciiTheme="minorBidi" w:hAnsiTheme="minorBidi" w:hint="cs"/>
          <w:sz w:val="18"/>
          <w:szCs w:val="18"/>
          <w:rtl/>
        </w:rPr>
        <w:t xml:space="preserve"> </w:t>
      </w:r>
      <w:r w:rsidRPr="00D04617">
        <w:rPr>
          <w:rFonts w:asciiTheme="minorBidi" w:hAnsiTheme="minorBidi" w:hint="cs"/>
          <w:sz w:val="16"/>
          <w:szCs w:val="16"/>
          <w:rtl/>
        </w:rPr>
        <w:t>(דרכ"מ בשם רשב"א ותרוה"ד)</w:t>
      </w:r>
      <w:r w:rsidRPr="00C729EA">
        <w:rPr>
          <w:rFonts w:asciiTheme="minorBidi" w:hAnsiTheme="minorBidi"/>
          <w:sz w:val="18"/>
          <w:szCs w:val="18"/>
          <w:rtl/>
        </w:rPr>
        <w:t>. וע</w:t>
      </w:r>
      <w:r>
        <w:rPr>
          <w:rFonts w:asciiTheme="minorBidi" w:hAnsiTheme="minorBidi" w:hint="cs"/>
          <w:sz w:val="18"/>
          <w:szCs w:val="18"/>
          <w:rtl/>
        </w:rPr>
        <w:t>"ל</w:t>
      </w:r>
      <w:r w:rsidRPr="00C729EA">
        <w:rPr>
          <w:rFonts w:asciiTheme="minorBidi" w:hAnsiTheme="minorBidi"/>
          <w:sz w:val="18"/>
          <w:szCs w:val="18"/>
          <w:rtl/>
        </w:rPr>
        <w:t xml:space="preserve"> סי</w:t>
      </w:r>
      <w:r>
        <w:rPr>
          <w:rFonts w:asciiTheme="minorBidi" w:hAnsiTheme="minorBidi" w:hint="cs"/>
          <w:sz w:val="18"/>
          <w:szCs w:val="18"/>
          <w:rtl/>
        </w:rPr>
        <w:t>'</w:t>
      </w:r>
      <w:r w:rsidRPr="00C729EA">
        <w:rPr>
          <w:rFonts w:asciiTheme="minorBidi" w:hAnsiTheme="minorBidi"/>
          <w:sz w:val="18"/>
          <w:szCs w:val="18"/>
          <w:rtl/>
        </w:rPr>
        <w:t xml:space="preserve"> נג.</w:t>
      </w:r>
      <w:r w:rsidRPr="003024E5">
        <w:rPr>
          <w:rFonts w:asciiTheme="minorBidi" w:hAnsiTheme="minorBidi"/>
          <w:rtl/>
        </w:rPr>
        <w:t xml:space="preserve"> </w:t>
      </w:r>
    </w:p>
    <w:p w14:paraId="10BDDCC9" w14:textId="77777777" w:rsidR="002C39F4" w:rsidRPr="003024E5" w:rsidRDefault="002C39F4" w:rsidP="002C39F4">
      <w:pPr>
        <w:rPr>
          <w:rFonts w:asciiTheme="minorBidi" w:hAnsiTheme="minorBidi"/>
          <w:rtl/>
        </w:rPr>
      </w:pPr>
    </w:p>
    <w:p w14:paraId="5ECBC22A" w14:textId="77777777" w:rsidR="002C39F4" w:rsidRPr="008453DF" w:rsidRDefault="002C39F4" w:rsidP="002C39F4">
      <w:pPr>
        <w:pStyle w:val="2"/>
        <w:rPr>
          <w:rFonts w:asciiTheme="minorBidi" w:hAnsiTheme="minorBidi"/>
          <w:rtl/>
        </w:rPr>
      </w:pPr>
      <w:r w:rsidRPr="008453DF">
        <w:rPr>
          <w:rFonts w:asciiTheme="minorBidi" w:hAnsiTheme="minorBidi"/>
          <w:rtl/>
        </w:rPr>
        <w:t>סעיף י: ריאה טריפה שנמצאת בין ריאות כשרות</w:t>
      </w:r>
      <w:r>
        <w:rPr>
          <w:rFonts w:asciiTheme="minorBidi" w:hAnsiTheme="minorBidi" w:hint="cs"/>
          <w:rtl/>
        </w:rPr>
        <w:t>.</w:t>
      </w:r>
    </w:p>
    <w:p w14:paraId="49E4B979" w14:textId="77777777" w:rsidR="002C39F4" w:rsidRPr="008453DF" w:rsidRDefault="002C39F4" w:rsidP="002C39F4">
      <w:pPr>
        <w:rPr>
          <w:rFonts w:cs="Arial"/>
          <w:u w:val="single"/>
          <w:rtl/>
        </w:rPr>
      </w:pPr>
      <w:r>
        <w:rPr>
          <w:rFonts w:cs="Arial" w:hint="cs"/>
          <w:u w:val="single"/>
          <w:rtl/>
        </w:rPr>
        <w:t>הרבה</w:t>
      </w:r>
      <w:r w:rsidRPr="008453DF">
        <w:rPr>
          <w:rFonts w:cs="Arial" w:hint="cs"/>
          <w:u w:val="single"/>
          <w:rtl/>
        </w:rPr>
        <w:t xml:space="preserve"> </w:t>
      </w:r>
      <w:r w:rsidRPr="008453DF">
        <w:rPr>
          <w:rFonts w:cs="Arial"/>
          <w:u w:val="single"/>
          <w:rtl/>
        </w:rPr>
        <w:t>בהמות שנשחטו ביום א</w:t>
      </w:r>
      <w:r w:rsidRPr="008453DF">
        <w:rPr>
          <w:rFonts w:cs="Arial" w:hint="cs"/>
          <w:u w:val="single"/>
          <w:rtl/>
        </w:rPr>
        <w:t>'</w:t>
      </w:r>
      <w:r w:rsidRPr="008453DF">
        <w:rPr>
          <w:rFonts w:cs="Arial"/>
          <w:u w:val="single"/>
          <w:rtl/>
        </w:rPr>
        <w:t xml:space="preserve"> ונמצאו מקצתן טרפות</w:t>
      </w:r>
      <w:r w:rsidRPr="008453DF">
        <w:rPr>
          <w:rFonts w:cs="Arial" w:hint="cs"/>
          <w:u w:val="single"/>
          <w:rtl/>
        </w:rPr>
        <w:t>,</w:t>
      </w:r>
      <w:r w:rsidRPr="008453DF">
        <w:rPr>
          <w:rFonts w:cs="Arial"/>
          <w:u w:val="single"/>
          <w:rtl/>
        </w:rPr>
        <w:t xml:space="preserve"> </w:t>
      </w:r>
      <w:r w:rsidRPr="008453DF">
        <w:rPr>
          <w:rFonts w:cs="Arial" w:hint="cs"/>
          <w:u w:val="single"/>
          <w:rtl/>
        </w:rPr>
        <w:t>וה</w:t>
      </w:r>
      <w:r w:rsidRPr="008453DF">
        <w:rPr>
          <w:rFonts w:cs="Arial"/>
          <w:u w:val="single"/>
          <w:rtl/>
        </w:rPr>
        <w:t xml:space="preserve">ריאות </w:t>
      </w:r>
      <w:r w:rsidRPr="008453DF">
        <w:rPr>
          <w:rFonts w:cs="Arial" w:hint="cs"/>
          <w:u w:val="single"/>
          <w:rtl/>
        </w:rPr>
        <w:t>ה</w:t>
      </w:r>
      <w:r w:rsidRPr="008453DF">
        <w:rPr>
          <w:rFonts w:cs="Arial"/>
          <w:u w:val="single"/>
          <w:rtl/>
        </w:rPr>
        <w:t>כשרות</w:t>
      </w:r>
      <w:r>
        <w:rPr>
          <w:rFonts w:cs="Arial" w:hint="cs"/>
          <w:u w:val="single"/>
          <w:rtl/>
        </w:rPr>
        <w:t xml:space="preserve"> נתלו על מוט א'</w:t>
      </w:r>
      <w:r w:rsidRPr="008453DF">
        <w:rPr>
          <w:rFonts w:cs="Arial" w:hint="cs"/>
          <w:u w:val="single"/>
          <w:rtl/>
        </w:rPr>
        <w:t xml:space="preserve"> </w:t>
      </w:r>
      <w:r w:rsidRPr="008453DF">
        <w:rPr>
          <w:rFonts w:cs="Arial"/>
          <w:u w:val="single"/>
          <w:rtl/>
        </w:rPr>
        <w:t>ו</w:t>
      </w:r>
      <w:r w:rsidRPr="008453DF">
        <w:rPr>
          <w:rFonts w:cs="Arial" w:hint="cs"/>
          <w:u w:val="single"/>
          <w:rtl/>
        </w:rPr>
        <w:t>נמצאה סירכה בא' מהן:</w:t>
      </w:r>
      <w:r w:rsidRPr="008453DF">
        <w:rPr>
          <w:rFonts w:cs="Arial"/>
          <w:u w:val="single"/>
          <w:rtl/>
        </w:rPr>
        <w:t xml:space="preserve"> </w:t>
      </w:r>
    </w:p>
    <w:p w14:paraId="66AC263B" w14:textId="77777777" w:rsidR="002C39F4" w:rsidRDefault="002C39F4" w:rsidP="0032102C">
      <w:pPr>
        <w:pStyle w:val="a8"/>
        <w:numPr>
          <w:ilvl w:val="0"/>
          <w:numId w:val="258"/>
        </w:numPr>
        <w:rPr>
          <w:rFonts w:cs="Arial"/>
        </w:rPr>
      </w:pPr>
      <w:r w:rsidRPr="007562DF">
        <w:rPr>
          <w:rFonts w:cs="Arial"/>
          <w:rtl/>
        </w:rPr>
        <w:t>רא"ש</w:t>
      </w:r>
      <w:r w:rsidRPr="007562DF">
        <w:rPr>
          <w:rFonts w:cs="Arial" w:hint="cs"/>
          <w:rtl/>
        </w:rPr>
        <w:t xml:space="preserve"> </w:t>
      </w:r>
      <w:r w:rsidRPr="007562DF">
        <w:rPr>
          <w:rFonts w:cs="Arial"/>
          <w:sz w:val="16"/>
          <w:szCs w:val="16"/>
          <w:rtl/>
        </w:rPr>
        <w:t>(כלל כ סי</w:t>
      </w:r>
      <w:r w:rsidRPr="007562DF">
        <w:rPr>
          <w:rFonts w:cs="Arial" w:hint="cs"/>
          <w:sz w:val="16"/>
          <w:szCs w:val="16"/>
          <w:rtl/>
        </w:rPr>
        <w:t>'</w:t>
      </w:r>
      <w:r w:rsidRPr="007562DF">
        <w:rPr>
          <w:rFonts w:cs="Arial"/>
          <w:sz w:val="16"/>
          <w:szCs w:val="16"/>
          <w:rtl/>
        </w:rPr>
        <w:t xml:space="preserve"> יז)</w:t>
      </w:r>
      <w:r w:rsidRPr="007562DF">
        <w:rPr>
          <w:rFonts w:cs="Arial" w:hint="cs"/>
          <w:rtl/>
        </w:rPr>
        <w:t>-</w:t>
      </w:r>
      <w:r w:rsidRPr="007562DF">
        <w:rPr>
          <w:rFonts w:cs="Arial"/>
          <w:rtl/>
        </w:rPr>
        <w:t xml:space="preserve"> </w:t>
      </w:r>
      <w:r w:rsidRPr="007562DF">
        <w:rPr>
          <w:rFonts w:cs="Arial" w:hint="cs"/>
          <w:rtl/>
        </w:rPr>
        <w:t xml:space="preserve">ששאלת </w:t>
      </w:r>
      <w:r w:rsidRPr="007562DF">
        <w:rPr>
          <w:rFonts w:cs="Arial"/>
          <w:rtl/>
        </w:rPr>
        <w:t>על בהמות הרבה שנשחטו ביום אחד ונמצאו מקצתן טרפות</w:t>
      </w:r>
      <w:r w:rsidRPr="007562DF">
        <w:rPr>
          <w:rFonts w:cs="Arial" w:hint="cs"/>
          <w:rtl/>
        </w:rPr>
        <w:t>,</w:t>
      </w:r>
      <w:r w:rsidRPr="007562DF">
        <w:rPr>
          <w:rFonts w:cs="Arial"/>
          <w:rtl/>
        </w:rPr>
        <w:t xml:space="preserve"> וכל הריאות כשרות</w:t>
      </w:r>
      <w:r w:rsidRPr="008453DF">
        <w:rPr>
          <w:rFonts w:cs="Arial"/>
          <w:rtl/>
        </w:rPr>
        <w:t xml:space="preserve"> היו תלויות במוט אחת ונמצאת ריאה אחת ביניהם שהיתה סרוכה מאונא לטרפשא</w:t>
      </w:r>
      <w:r>
        <w:rPr>
          <w:rFonts w:cs="Arial" w:hint="cs"/>
          <w:rtl/>
        </w:rPr>
        <w:t>,</w:t>
      </w:r>
      <w:r w:rsidRPr="008453DF">
        <w:rPr>
          <w:rFonts w:cs="Arial"/>
          <w:rtl/>
        </w:rPr>
        <w:t xml:space="preserve"> ועתה נולד ספק בכל הכבשים דאיכא למיחש שמא הבודק לא הרגיש באותה סירכא והכשירה שלא כדין ונמצאת טריפה מעורבת עם הכשרות</w:t>
      </w:r>
      <w:r>
        <w:rPr>
          <w:rFonts w:cs="Arial" w:hint="cs"/>
          <w:rtl/>
        </w:rPr>
        <w:t>,</w:t>
      </w:r>
      <w:r w:rsidRPr="008453DF">
        <w:rPr>
          <w:rFonts w:cs="Arial"/>
          <w:rtl/>
        </w:rPr>
        <w:t xml:space="preserve"> או שמא הבודק הרגיש בה והטריף הכבש אלא שאח"כ בשגגת הקצבים נתערבה ריאה הטריפה בין הכשרות</w:t>
      </w:r>
      <w:r w:rsidRPr="008453DF">
        <w:rPr>
          <w:rFonts w:cs="Arial" w:hint="cs"/>
          <w:rtl/>
        </w:rPr>
        <w:t>,</w:t>
      </w:r>
      <w:r w:rsidRPr="008453DF">
        <w:rPr>
          <w:rFonts w:cs="Arial"/>
          <w:rtl/>
        </w:rPr>
        <w:t xml:space="preserve"> ועוד כתבת ששאלו לקצבים</w:t>
      </w:r>
      <w:r>
        <w:rPr>
          <w:rFonts w:cs="Arial" w:hint="cs"/>
          <w:rtl/>
        </w:rPr>
        <w:t>,</w:t>
      </w:r>
      <w:r w:rsidRPr="008453DF">
        <w:rPr>
          <w:rFonts w:cs="Arial"/>
          <w:rtl/>
        </w:rPr>
        <w:t xml:space="preserve"> ואמרו שמעולם לא נתערבו הכשרות עם הטריפה</w:t>
      </w:r>
      <w:r w:rsidRPr="008453DF">
        <w:rPr>
          <w:rFonts w:cs="Arial" w:hint="cs"/>
          <w:rtl/>
        </w:rPr>
        <w:t>,</w:t>
      </w:r>
      <w:r w:rsidRPr="008453DF">
        <w:rPr>
          <w:rFonts w:cs="Arial"/>
          <w:rtl/>
        </w:rPr>
        <w:t xml:space="preserve"> הלשון הזה יש לפרש בב' דרכים</w:t>
      </w:r>
      <w:r w:rsidRPr="008453DF">
        <w:rPr>
          <w:rFonts w:cs="Arial" w:hint="cs"/>
          <w:rtl/>
        </w:rPr>
        <w:t>,</w:t>
      </w:r>
      <w:r w:rsidRPr="008453DF">
        <w:rPr>
          <w:rFonts w:cs="Arial"/>
          <w:rtl/>
        </w:rPr>
        <w:t xml:space="preserve"> הא' שאמרו הקצבים ח"ו לא יצאה שגגה זו מתחת ידינו לערב טרפה בין הכשרות אלא הבודק שגג ונתנה לנו בחזקת כשרה</w:t>
      </w:r>
      <w:r w:rsidRPr="008453DF">
        <w:rPr>
          <w:rFonts w:cs="Arial" w:hint="cs"/>
          <w:rtl/>
        </w:rPr>
        <w:t>,</w:t>
      </w:r>
      <w:r w:rsidRPr="008453DF">
        <w:rPr>
          <w:rFonts w:cs="Arial"/>
          <w:rtl/>
        </w:rPr>
        <w:t xml:space="preserve"> ועל דרך אחרת שלא שגגו הם ולא הבודק אלא שבשגגה נתערבה ריאה טרפה בין הכשרות</w:t>
      </w:r>
      <w:r w:rsidRPr="008453DF">
        <w:rPr>
          <w:rFonts w:cs="Arial" w:hint="cs"/>
          <w:rtl/>
        </w:rPr>
        <w:t>,</w:t>
      </w:r>
      <w:r w:rsidRPr="008453DF">
        <w:rPr>
          <w:rFonts w:cs="Arial"/>
          <w:rtl/>
        </w:rPr>
        <w:t xml:space="preserve"> ועוד כתבת ששאלו לבודק ואמר שהיה יודע באותה סירכא ובשגגה נתערבה אותה ריאה טריפה בין הכשרות ומעולם לא היתה ערבוביא בין הכבשים בנדון זה</w:t>
      </w:r>
      <w:r>
        <w:rPr>
          <w:rFonts w:cs="Arial" w:hint="cs"/>
          <w:rtl/>
        </w:rPr>
        <w:t>.</w:t>
      </w:r>
      <w:r w:rsidRPr="008453DF">
        <w:rPr>
          <w:rFonts w:cs="Arial"/>
          <w:rtl/>
        </w:rPr>
        <w:t xml:space="preserve"> כיון דאיכא לספוקי שמא הבודק לא השגיח בסירכא והכשיר שלא כדין או שמא בשגגת הקצבים נתערבה</w:t>
      </w:r>
      <w:r w:rsidRPr="008453DF">
        <w:rPr>
          <w:rFonts w:cs="Arial" w:hint="cs"/>
          <w:rtl/>
        </w:rPr>
        <w:t>,</w:t>
      </w:r>
      <w:r w:rsidRPr="008453DF">
        <w:rPr>
          <w:rFonts w:cs="Arial"/>
          <w:rtl/>
        </w:rPr>
        <w:t xml:space="preserve"> ואיכא למימר שמא ריאה טריפה היא שנתערבה וליכא ריעותא בין הכבשים</w:t>
      </w:r>
      <w:r>
        <w:rPr>
          <w:rFonts w:cs="Arial" w:hint="cs"/>
          <w:rtl/>
        </w:rPr>
        <w:t>,</w:t>
      </w:r>
      <w:r w:rsidRPr="008453DF">
        <w:rPr>
          <w:rFonts w:cs="Arial"/>
          <w:rtl/>
        </w:rPr>
        <w:t xml:space="preserve"> כיון דאיכא למימר הכי ואיכא למימר הכי</w:t>
      </w:r>
      <w:r>
        <w:rPr>
          <w:rFonts w:cs="Arial" w:hint="cs"/>
          <w:rtl/>
        </w:rPr>
        <w:t>-</w:t>
      </w:r>
      <w:r w:rsidRPr="008453DF">
        <w:rPr>
          <w:rFonts w:cs="Arial"/>
          <w:rtl/>
        </w:rPr>
        <w:t xml:space="preserve"> תלינן לקולא</w:t>
      </w:r>
      <w:r>
        <w:rPr>
          <w:rFonts w:cs="Arial" w:hint="cs"/>
          <w:rtl/>
        </w:rPr>
        <w:t>,</w:t>
      </w:r>
      <w:r w:rsidRPr="008453DF">
        <w:rPr>
          <w:rFonts w:cs="Arial"/>
          <w:rtl/>
        </w:rPr>
        <w:t xml:space="preserve"> דכיון שנשחטו הכבשים ונבדקו ויצאו בחזקת היתר מיד הבודק מוקמינן להו אחזקתייהו ולא אסרינן להו מספק</w:t>
      </w:r>
      <w:r>
        <w:rPr>
          <w:rFonts w:cs="Arial" w:hint="cs"/>
          <w:rtl/>
        </w:rPr>
        <w:t>,</w:t>
      </w:r>
      <w:r w:rsidRPr="008453DF">
        <w:rPr>
          <w:rFonts w:cs="Arial"/>
          <w:rtl/>
        </w:rPr>
        <w:t xml:space="preserve"> כדאמר רב הונא </w:t>
      </w:r>
      <w:r w:rsidRPr="00B04D99">
        <w:rPr>
          <w:rFonts w:cs="Arial"/>
          <w:sz w:val="16"/>
          <w:szCs w:val="16"/>
          <w:rtl/>
        </w:rPr>
        <w:t xml:space="preserve">(חולין ט.) </w:t>
      </w:r>
      <w:r w:rsidRPr="008453DF">
        <w:rPr>
          <w:rFonts w:cs="Arial"/>
          <w:rtl/>
        </w:rPr>
        <w:t>נשחטה בחזקת היתר עומדת עד שיודע במה נטרפה</w:t>
      </w:r>
      <w:r w:rsidRPr="008453DF">
        <w:rPr>
          <w:rFonts w:cs="Arial" w:hint="cs"/>
          <w:rtl/>
        </w:rPr>
        <w:t>,</w:t>
      </w:r>
      <w:r w:rsidRPr="008453DF">
        <w:rPr>
          <w:rFonts w:cs="Arial"/>
          <w:rtl/>
        </w:rPr>
        <w:t xml:space="preserve"> וכ"ש בנדון זה דהעמד בהמות בחזקת כשרות והעמד הבודק בחזקת צדיק שלא יצאה תקלה מתחת ידו והעמד הקצבים בחזקת כשרות אלא ריאה טריפה נתערבה בין הכשרות</w:t>
      </w:r>
      <w:r w:rsidRPr="008453DF">
        <w:rPr>
          <w:rFonts w:cs="Arial" w:hint="cs"/>
          <w:rtl/>
        </w:rPr>
        <w:t>,</w:t>
      </w:r>
      <w:r w:rsidRPr="008453DF">
        <w:rPr>
          <w:rFonts w:cs="Arial"/>
          <w:rtl/>
        </w:rPr>
        <w:t xml:space="preserve"> ואפילו באיסור אשת איש אמרינן בכולי תלמודא דכל ספק שנולד בה אוקמה בחזקת היתר</w:t>
      </w:r>
      <w:r w:rsidRPr="008453DF">
        <w:rPr>
          <w:rFonts w:cs="Arial" w:hint="cs"/>
          <w:rtl/>
        </w:rPr>
        <w:t>,</w:t>
      </w:r>
      <w:r w:rsidRPr="008453DF">
        <w:rPr>
          <w:rFonts w:cs="Arial"/>
          <w:rtl/>
        </w:rPr>
        <w:t xml:space="preserve"> ועוד כיון שהבודק אומר שידע באותה סירכה ובשגגה נתערבה הריאה הטרפה בכשרות ומעולם לא היתה ערבוביא בכבשים הרי נאמן הבודק להתיר</w:t>
      </w:r>
      <w:r>
        <w:rPr>
          <w:rFonts w:cs="Arial" w:hint="cs"/>
          <w:rtl/>
        </w:rPr>
        <w:t>,</w:t>
      </w:r>
      <w:r w:rsidRPr="008453DF">
        <w:rPr>
          <w:rFonts w:cs="Arial"/>
          <w:rtl/>
        </w:rPr>
        <w:t xml:space="preserve"> דכל מידי דלא איתחזק ביה איסורא נאמן עד אחד להתיר כדאמרינן בפרק האשה רבה </w:t>
      </w:r>
      <w:r w:rsidRPr="00B04D99">
        <w:rPr>
          <w:rFonts w:cs="Arial"/>
          <w:sz w:val="16"/>
          <w:szCs w:val="16"/>
          <w:rtl/>
        </w:rPr>
        <w:t>(יבמות פח.)</w:t>
      </w:r>
      <w:r w:rsidRPr="008453DF">
        <w:rPr>
          <w:rFonts w:cs="Arial" w:hint="cs"/>
          <w:rtl/>
        </w:rPr>
        <w:t>,</w:t>
      </w:r>
      <w:r w:rsidRPr="008453DF">
        <w:rPr>
          <w:rFonts w:cs="Arial"/>
          <w:rtl/>
        </w:rPr>
        <w:t xml:space="preserve"> כ"ש בנדון זה</w:t>
      </w:r>
      <w:r>
        <w:rPr>
          <w:rFonts w:cs="Arial" w:hint="cs"/>
          <w:rtl/>
        </w:rPr>
        <w:t>,</w:t>
      </w:r>
      <w:r w:rsidRPr="008453DF">
        <w:rPr>
          <w:rFonts w:cs="Arial"/>
          <w:rtl/>
        </w:rPr>
        <w:t xml:space="preserve"> שהוחזקו הבהמות בחזקת היתר ועד אחד מעיד על הספק הנולד דלאו כלום הו</w:t>
      </w:r>
      <w:r>
        <w:rPr>
          <w:rFonts w:cs="Arial"/>
          <w:rtl/>
        </w:rPr>
        <w:t>א</w:t>
      </w:r>
      <w:r>
        <w:rPr>
          <w:rFonts w:cs="Arial" w:hint="cs"/>
          <w:rtl/>
        </w:rPr>
        <w:t>,</w:t>
      </w:r>
      <w:r>
        <w:rPr>
          <w:rFonts w:cs="Arial"/>
          <w:rtl/>
        </w:rPr>
        <w:t xml:space="preserve"> שאין לפקפק בדבר ומותרות כולם</w:t>
      </w:r>
      <w:r>
        <w:rPr>
          <w:rFonts w:cs="Arial" w:hint="cs"/>
          <w:rtl/>
        </w:rPr>
        <w:t xml:space="preserve">. </w:t>
      </w:r>
      <w:r w:rsidRPr="00B04D99">
        <w:rPr>
          <w:rFonts w:cs="Arial" w:hint="cs"/>
          <w:color w:val="E36C0A" w:themeColor="accent6" w:themeShade="BF"/>
          <w:rtl/>
        </w:rPr>
        <w:t>(וכ"פ בשו"ע)</w:t>
      </w:r>
    </w:p>
    <w:p w14:paraId="75438603" w14:textId="77777777" w:rsidR="002C39F4" w:rsidRPr="008453DF" w:rsidRDefault="002C39F4" w:rsidP="002C39F4">
      <w:pPr>
        <w:rPr>
          <w:rFonts w:cs="Arial"/>
          <w:u w:val="single"/>
        </w:rPr>
      </w:pPr>
      <w:r>
        <w:rPr>
          <w:rFonts w:cs="Arial"/>
          <w:u w:val="single"/>
          <w:rtl/>
        </w:rPr>
        <w:t xml:space="preserve">כבש טריפה שנתערב עם כשרים </w:t>
      </w:r>
      <w:r>
        <w:rPr>
          <w:rFonts w:cs="Arial" w:hint="cs"/>
          <w:u w:val="single"/>
          <w:rtl/>
        </w:rPr>
        <w:t>ו</w:t>
      </w:r>
      <w:r w:rsidRPr="008453DF">
        <w:rPr>
          <w:rFonts w:cs="Arial"/>
          <w:u w:val="single"/>
          <w:rtl/>
        </w:rPr>
        <w:t>נאכל אחד מהכבשים</w:t>
      </w:r>
      <w:r w:rsidRPr="008453DF">
        <w:rPr>
          <w:rFonts w:cs="Arial" w:hint="cs"/>
          <w:u w:val="single"/>
          <w:rtl/>
        </w:rPr>
        <w:t>:</w:t>
      </w:r>
    </w:p>
    <w:p w14:paraId="3A792676" w14:textId="77777777" w:rsidR="002C39F4" w:rsidRDefault="002C39F4" w:rsidP="0032102C">
      <w:pPr>
        <w:pStyle w:val="a8"/>
        <w:numPr>
          <w:ilvl w:val="0"/>
          <w:numId w:val="258"/>
        </w:numPr>
        <w:rPr>
          <w:rFonts w:cs="Arial"/>
        </w:rPr>
      </w:pPr>
      <w:r w:rsidRPr="007562DF">
        <w:rPr>
          <w:rFonts w:cs="Arial" w:hint="cs"/>
          <w:rtl/>
        </w:rPr>
        <w:t>רא"ש</w:t>
      </w:r>
      <w:r w:rsidRPr="007562DF">
        <w:rPr>
          <w:rFonts w:cs="Arial" w:hint="cs"/>
          <w:sz w:val="16"/>
          <w:szCs w:val="16"/>
          <w:rtl/>
        </w:rPr>
        <w:t xml:space="preserve"> (שם)</w:t>
      </w:r>
      <w:r w:rsidRPr="007562DF">
        <w:rPr>
          <w:rFonts w:cs="Arial" w:hint="cs"/>
          <w:rtl/>
        </w:rPr>
        <w:t xml:space="preserve">- </w:t>
      </w:r>
      <w:r w:rsidRPr="007562DF">
        <w:rPr>
          <w:rFonts w:cs="Arial"/>
          <w:rtl/>
        </w:rPr>
        <w:t>כבש טריפה שנתערב עם כשרים אם נאכל אחד מהכבשים הותרו כולם</w:t>
      </w:r>
      <w:r w:rsidRPr="007562DF">
        <w:rPr>
          <w:rFonts w:cs="Arial" w:hint="cs"/>
          <w:rtl/>
        </w:rPr>
        <w:t>,</w:t>
      </w:r>
      <w:r w:rsidRPr="007562DF">
        <w:rPr>
          <w:rFonts w:cs="Arial"/>
          <w:rtl/>
        </w:rPr>
        <w:t xml:space="preserve"> ולא שיהא מותר לאכול</w:t>
      </w:r>
      <w:r>
        <w:rPr>
          <w:rFonts w:cs="Arial"/>
          <w:rtl/>
        </w:rPr>
        <w:t xml:space="preserve"> מכבש אחד</w:t>
      </w:r>
      <w:r w:rsidRPr="008453DF">
        <w:rPr>
          <w:rFonts w:cs="Arial"/>
          <w:rtl/>
        </w:rPr>
        <w:t xml:space="preserve"> מהם לבדו אלא משני כבשים בתערובת</w:t>
      </w:r>
      <w:r>
        <w:rPr>
          <w:rFonts w:cs="Arial" w:hint="cs"/>
          <w:rtl/>
        </w:rPr>
        <w:t>,</w:t>
      </w:r>
      <w:r w:rsidRPr="008453DF">
        <w:rPr>
          <w:rFonts w:cs="Arial"/>
          <w:rtl/>
        </w:rPr>
        <w:t xml:space="preserve"> וכל מה שנחתך מן הכבשים לחתיכות דקות שאין כל חתיכה ראויה להתכבד בין קודם שנולד הספק בין לאחר שנולד הספק הכל מותר</w:t>
      </w:r>
      <w:r>
        <w:rPr>
          <w:rFonts w:cs="Arial" w:hint="cs"/>
          <w:rtl/>
        </w:rPr>
        <w:t>...</w:t>
      </w:r>
      <w:r w:rsidRPr="008453DF">
        <w:rPr>
          <w:rFonts w:cs="Arial"/>
          <w:rtl/>
        </w:rPr>
        <w:t xml:space="preserve"> אבל חתיכה הראויה להתכבד שפירשה מן התערובת אסורה ולא אמרינן כל דפריש מרובא פריש</w:t>
      </w:r>
      <w:r>
        <w:rPr>
          <w:rFonts w:cs="Arial" w:hint="cs"/>
          <w:rtl/>
        </w:rPr>
        <w:t>,</w:t>
      </w:r>
      <w:r w:rsidRPr="008453DF">
        <w:rPr>
          <w:rFonts w:cs="Arial"/>
          <w:rtl/>
        </w:rPr>
        <w:t xml:space="preserve"> כדאמרינן בפרק התערובות </w:t>
      </w:r>
      <w:r w:rsidRPr="00B04D99">
        <w:rPr>
          <w:rFonts w:cs="Arial"/>
          <w:sz w:val="16"/>
          <w:szCs w:val="16"/>
          <w:rtl/>
        </w:rPr>
        <w:t xml:space="preserve">(זבחים עג:) </w:t>
      </w:r>
      <w:r w:rsidRPr="008453DF">
        <w:rPr>
          <w:rFonts w:cs="Arial"/>
          <w:rtl/>
        </w:rPr>
        <w:t>ונכבשינהו דניידי ונימא כל דפריש מרובא פריש ומשני שמא יקח מן הקבוע</w:t>
      </w:r>
      <w:r>
        <w:rPr>
          <w:rFonts w:cs="Arial" w:hint="cs"/>
          <w:rtl/>
        </w:rPr>
        <w:t>,</w:t>
      </w:r>
      <w:r w:rsidRPr="008453DF">
        <w:rPr>
          <w:rFonts w:cs="Arial"/>
          <w:rtl/>
        </w:rPr>
        <w:t xml:space="preserve"> והא דאמרינן </w:t>
      </w:r>
      <w:r w:rsidRPr="00B04D99">
        <w:rPr>
          <w:rFonts w:cs="Arial"/>
          <w:sz w:val="16"/>
          <w:szCs w:val="16"/>
          <w:rtl/>
        </w:rPr>
        <w:t xml:space="preserve">(חולין צה.) </w:t>
      </w:r>
      <w:r w:rsidRPr="008453DF">
        <w:rPr>
          <w:rFonts w:cs="Arial"/>
          <w:rtl/>
        </w:rPr>
        <w:t>גבי ט' חנויות ובנמצא הלך אחר הרוב שאני התם שהנבלה נמכרת במקום קביעו</w:t>
      </w:r>
      <w:r>
        <w:rPr>
          <w:rFonts w:cs="Arial"/>
          <w:rtl/>
        </w:rPr>
        <w:t>תה וליכא למיחש שמא יקח מן הקבוע</w:t>
      </w:r>
      <w:r>
        <w:rPr>
          <w:rFonts w:cs="Arial" w:hint="cs"/>
          <w:rtl/>
        </w:rPr>
        <w:t xml:space="preserve">, </w:t>
      </w:r>
      <w:r w:rsidRPr="008453DF">
        <w:rPr>
          <w:rFonts w:cs="Arial"/>
          <w:rtl/>
        </w:rPr>
        <w:t>ועוד כיון שפירש בפנינו לא אמרינן כל דפריש מרובא פריש ולהכי קאמר ונכבשינהו דניידי ולבתר הכי אמרינן כל דפריש מרובא פריש אבל אם פירש לפנינו לא אמרינן מרובא פריש</w:t>
      </w:r>
      <w:r>
        <w:rPr>
          <w:rFonts w:cs="Arial" w:hint="cs"/>
          <w:rtl/>
        </w:rPr>
        <w:t>,</w:t>
      </w:r>
      <w:r w:rsidRPr="008453DF">
        <w:rPr>
          <w:rFonts w:cs="Arial"/>
          <w:rtl/>
        </w:rPr>
        <w:t xml:space="preserve"> וכן צריך לפרש משום ההיא דפ"ק דפסחים</w:t>
      </w:r>
      <w:r w:rsidRPr="00B04D99">
        <w:rPr>
          <w:rFonts w:cs="Arial"/>
          <w:sz w:val="16"/>
          <w:szCs w:val="16"/>
          <w:rtl/>
        </w:rPr>
        <w:t xml:space="preserve"> (ט:) </w:t>
      </w:r>
      <w:r w:rsidRPr="008453DF">
        <w:rPr>
          <w:rFonts w:cs="Arial"/>
          <w:rtl/>
        </w:rPr>
        <w:t>ט' צבורים מצה ואחד חמץ ואתא עכבר ושקל כל קבוע כמחצה על מחצה</w:t>
      </w:r>
      <w:r>
        <w:rPr>
          <w:rFonts w:cs="Arial" w:hint="cs"/>
          <w:rtl/>
        </w:rPr>
        <w:t>,</w:t>
      </w:r>
      <w:r w:rsidRPr="008453DF">
        <w:rPr>
          <w:rFonts w:cs="Arial"/>
          <w:rtl/>
        </w:rPr>
        <w:t xml:space="preserve"> ו</w:t>
      </w:r>
      <w:r>
        <w:rPr>
          <w:rFonts w:cs="Arial"/>
          <w:rtl/>
        </w:rPr>
        <w:t>מאי שנא מט' חנויות דפג</w:t>
      </w:r>
      <w:r>
        <w:rPr>
          <w:rFonts w:cs="Arial" w:hint="cs"/>
          <w:rtl/>
        </w:rPr>
        <w:t>"</w:t>
      </w:r>
      <w:r>
        <w:rPr>
          <w:rFonts w:cs="Arial"/>
          <w:rtl/>
        </w:rPr>
        <w:t>ה</w:t>
      </w:r>
      <w:r w:rsidRPr="008453DF">
        <w:rPr>
          <w:rFonts w:cs="Arial"/>
          <w:rtl/>
        </w:rPr>
        <w:t xml:space="preserve"> דבנמצא הלך אחר הרוב</w:t>
      </w:r>
      <w:r>
        <w:rPr>
          <w:rFonts w:cs="Arial" w:hint="cs"/>
          <w:rtl/>
        </w:rPr>
        <w:t>,</w:t>
      </w:r>
      <w:r w:rsidRPr="008453DF">
        <w:rPr>
          <w:rFonts w:cs="Arial"/>
          <w:rtl/>
        </w:rPr>
        <w:t xml:space="preserve"> אלא ההיא דט' צבורין מיירי דשקל עכבר קמן כיון שנולד לנו הספק במקום הקביעות לא אמרינן כל דפריש מרובא פריש</w:t>
      </w:r>
      <w:r>
        <w:rPr>
          <w:rFonts w:cs="Arial" w:hint="cs"/>
          <w:rtl/>
        </w:rPr>
        <w:t>,</w:t>
      </w:r>
      <w:r w:rsidRPr="008453DF">
        <w:rPr>
          <w:rFonts w:cs="Arial"/>
          <w:rtl/>
        </w:rPr>
        <w:t xml:space="preserve"> הילכך בשר שלקח הישראל ממקום הקביעות אסור ולא אמרינן מרובא פריש</w:t>
      </w:r>
      <w:r>
        <w:rPr>
          <w:rFonts w:cs="Arial" w:hint="cs"/>
          <w:rtl/>
        </w:rPr>
        <w:t>,</w:t>
      </w:r>
      <w:r w:rsidRPr="008453DF">
        <w:rPr>
          <w:rFonts w:cs="Arial"/>
          <w:rtl/>
        </w:rPr>
        <w:t xml:space="preserve"> ונ"ל שמה שלקחו מן </w:t>
      </w:r>
      <w:r>
        <w:rPr>
          <w:rFonts w:cs="Arial"/>
          <w:rtl/>
        </w:rPr>
        <w:t>הבשר קודם שנולד הספק אפילו ח</w:t>
      </w:r>
      <w:r>
        <w:rPr>
          <w:rFonts w:cs="Arial" w:hint="cs"/>
          <w:rtl/>
        </w:rPr>
        <w:t>ה"ל</w:t>
      </w:r>
      <w:r w:rsidRPr="008453DF">
        <w:rPr>
          <w:rFonts w:cs="Arial"/>
          <w:rtl/>
        </w:rPr>
        <w:t xml:space="preserve"> מותרת דתלינן דמרובא פריש דלא אשכחן דאסר תלמודא משום גזירה שמא יקח מן הקבוע קודם שנולד הספק</w:t>
      </w:r>
      <w:r>
        <w:rPr>
          <w:rFonts w:cs="Arial" w:hint="cs"/>
          <w:rtl/>
        </w:rPr>
        <w:t>.</w:t>
      </w:r>
      <w:r w:rsidRPr="008453DF">
        <w:rPr>
          <w:rFonts w:cs="Arial"/>
          <w:rtl/>
        </w:rPr>
        <w:t xml:space="preserve"> </w:t>
      </w:r>
    </w:p>
    <w:p w14:paraId="54C562FE" w14:textId="77777777" w:rsidR="002C39F4" w:rsidRPr="00CB7CC7" w:rsidRDefault="002C39F4" w:rsidP="002C39F4">
      <w:pPr>
        <w:rPr>
          <w:rFonts w:cs="Arial"/>
          <w:u w:val="single"/>
        </w:rPr>
      </w:pPr>
      <w:r w:rsidRPr="00CB7CC7">
        <w:rPr>
          <w:rFonts w:cs="Arial" w:hint="cs"/>
          <w:u w:val="single"/>
          <w:rtl/>
        </w:rPr>
        <w:t xml:space="preserve">ג' כבשים שנשחטו </w:t>
      </w:r>
      <w:r w:rsidRPr="00CB7CC7">
        <w:rPr>
          <w:rFonts w:cs="Arial"/>
          <w:u w:val="single"/>
          <w:rtl/>
        </w:rPr>
        <w:t>וה</w:t>
      </w:r>
      <w:r w:rsidRPr="00CB7CC7">
        <w:rPr>
          <w:rFonts w:cs="Arial" w:hint="cs"/>
          <w:u w:val="single"/>
          <w:rtl/>
        </w:rPr>
        <w:t>ו</w:t>
      </w:r>
      <w:r w:rsidRPr="00CB7CC7">
        <w:rPr>
          <w:rFonts w:cs="Arial"/>
          <w:u w:val="single"/>
          <w:rtl/>
        </w:rPr>
        <w:t>כשיר</w:t>
      </w:r>
      <w:r w:rsidRPr="00CB7CC7">
        <w:rPr>
          <w:rFonts w:cs="Arial" w:hint="cs"/>
          <w:u w:val="single"/>
          <w:rtl/>
        </w:rPr>
        <w:t>ו,</w:t>
      </w:r>
      <w:r w:rsidRPr="00CB7CC7">
        <w:rPr>
          <w:rFonts w:cs="Arial"/>
          <w:u w:val="single"/>
          <w:rtl/>
        </w:rPr>
        <w:t xml:space="preserve"> והעל</w:t>
      </w:r>
      <w:r w:rsidRPr="00CB7CC7">
        <w:rPr>
          <w:rFonts w:cs="Arial" w:hint="cs"/>
          <w:u w:val="single"/>
          <w:rtl/>
        </w:rPr>
        <w:t>ם</w:t>
      </w:r>
      <w:r w:rsidRPr="00CB7CC7">
        <w:rPr>
          <w:rFonts w:cs="Arial"/>
          <w:u w:val="single"/>
          <w:rtl/>
        </w:rPr>
        <w:t xml:space="preserve"> גוי למגדל</w:t>
      </w:r>
      <w:r w:rsidRPr="00CB7CC7">
        <w:rPr>
          <w:rFonts w:cs="Arial" w:hint="cs"/>
          <w:u w:val="single"/>
          <w:rtl/>
        </w:rPr>
        <w:t>,</w:t>
      </w:r>
      <w:r w:rsidRPr="00CB7CC7">
        <w:rPr>
          <w:rFonts w:cs="Arial"/>
          <w:u w:val="single"/>
          <w:rtl/>
        </w:rPr>
        <w:t xml:space="preserve"> </w:t>
      </w:r>
      <w:r w:rsidRPr="00CB7CC7">
        <w:rPr>
          <w:rFonts w:cs="Arial" w:hint="cs"/>
          <w:u w:val="single"/>
          <w:rtl/>
        </w:rPr>
        <w:t>ונשאר</w:t>
      </w:r>
      <w:r>
        <w:rPr>
          <w:rFonts w:cs="Arial" w:hint="cs"/>
          <w:u w:val="single"/>
          <w:rtl/>
        </w:rPr>
        <w:t>ו</w:t>
      </w:r>
      <w:r w:rsidRPr="00CB7CC7">
        <w:rPr>
          <w:rFonts w:cs="Arial" w:hint="cs"/>
          <w:u w:val="single"/>
          <w:rtl/>
        </w:rPr>
        <w:t xml:space="preserve"> אצל</w:t>
      </w:r>
      <w:r w:rsidRPr="00CB7CC7">
        <w:rPr>
          <w:rFonts w:cs="Arial"/>
          <w:u w:val="single"/>
          <w:rtl/>
        </w:rPr>
        <w:t xml:space="preserve"> היהודי</w:t>
      </w:r>
      <w:r w:rsidRPr="00CB7CC7">
        <w:rPr>
          <w:rFonts w:cs="Arial" w:hint="cs"/>
          <w:u w:val="single"/>
          <w:rtl/>
        </w:rPr>
        <w:t xml:space="preserve"> הריאות וקצת מהכבש הג' ונמצא סירכא בא' מהן: </w:t>
      </w:r>
    </w:p>
    <w:p w14:paraId="33739A38" w14:textId="77777777" w:rsidR="002C39F4" w:rsidRPr="008453DF" w:rsidRDefault="002C39F4" w:rsidP="0032102C">
      <w:pPr>
        <w:pStyle w:val="a8"/>
        <w:numPr>
          <w:ilvl w:val="0"/>
          <w:numId w:val="258"/>
        </w:numPr>
        <w:rPr>
          <w:rFonts w:cs="Arial"/>
          <w:rtl/>
        </w:rPr>
      </w:pPr>
      <w:r w:rsidRPr="007562DF">
        <w:rPr>
          <w:rFonts w:cs="Arial" w:hint="cs"/>
          <w:rtl/>
        </w:rPr>
        <w:t>רשב"א</w:t>
      </w:r>
      <w:r w:rsidRPr="007562DF">
        <w:rPr>
          <w:rFonts w:cs="Arial"/>
          <w:rtl/>
        </w:rPr>
        <w:t xml:space="preserve"> </w:t>
      </w:r>
      <w:r w:rsidRPr="007562DF">
        <w:rPr>
          <w:rFonts w:cs="Arial"/>
          <w:sz w:val="16"/>
          <w:szCs w:val="16"/>
          <w:rtl/>
        </w:rPr>
        <w:t>(</w:t>
      </w:r>
      <w:r w:rsidRPr="007562DF">
        <w:rPr>
          <w:rFonts w:cs="Arial" w:hint="cs"/>
          <w:sz w:val="16"/>
          <w:szCs w:val="16"/>
          <w:rtl/>
        </w:rPr>
        <w:t xml:space="preserve">במיוחסות </w:t>
      </w:r>
      <w:r w:rsidRPr="007562DF">
        <w:rPr>
          <w:rFonts w:cs="Arial"/>
          <w:sz w:val="16"/>
          <w:szCs w:val="16"/>
          <w:rtl/>
        </w:rPr>
        <w:t>סי</w:t>
      </w:r>
      <w:r w:rsidRPr="007562DF">
        <w:rPr>
          <w:rFonts w:cs="Arial" w:hint="cs"/>
          <w:sz w:val="16"/>
          <w:szCs w:val="16"/>
          <w:rtl/>
        </w:rPr>
        <w:t>'</w:t>
      </w:r>
      <w:r w:rsidRPr="007562DF">
        <w:rPr>
          <w:rFonts w:cs="Arial"/>
          <w:sz w:val="16"/>
          <w:szCs w:val="16"/>
          <w:rtl/>
        </w:rPr>
        <w:t xml:space="preserve"> קפא)</w:t>
      </w:r>
      <w:r w:rsidRPr="007562DF">
        <w:rPr>
          <w:rFonts w:cs="Arial" w:hint="cs"/>
          <w:rtl/>
        </w:rPr>
        <w:t xml:space="preserve">- </w:t>
      </w:r>
      <w:r w:rsidRPr="007562DF">
        <w:rPr>
          <w:rFonts w:cs="Arial"/>
          <w:rtl/>
        </w:rPr>
        <w:t>על ענין שאירע ששחטו שלשה כבשים והכשירם הטבח והעלום הגוים למגדל ולא</w:t>
      </w:r>
      <w:r w:rsidRPr="008453DF">
        <w:rPr>
          <w:rFonts w:cs="Arial"/>
          <w:rtl/>
        </w:rPr>
        <w:t xml:space="preserve"> נשאר אצל היהודים אלא שלש הריאות ומקצת הכבש השלישי ואח"כ נמצאת סירכא באחת מהריאות</w:t>
      </w:r>
      <w:r>
        <w:rPr>
          <w:rFonts w:cs="Arial" w:hint="cs"/>
          <w:rtl/>
        </w:rPr>
        <w:t>.</w:t>
      </w:r>
      <w:r w:rsidRPr="008453DF">
        <w:rPr>
          <w:rFonts w:cs="Arial"/>
          <w:rtl/>
        </w:rPr>
        <w:t xml:space="preserve"> אם נתערבו הג' כבשים תחלה קודם פרישתם נראה שהם בטלים</w:t>
      </w:r>
      <w:r>
        <w:rPr>
          <w:rFonts w:cs="Arial" w:hint="cs"/>
          <w:rtl/>
        </w:rPr>
        <w:t>,</w:t>
      </w:r>
      <w:r w:rsidRPr="008453DF">
        <w:rPr>
          <w:rFonts w:cs="Arial"/>
          <w:rtl/>
        </w:rPr>
        <w:t xml:space="preserve"> ואין לנו לאסור מדין חתיכה הראויה להתכבד דבהמה שלימה אינה נקראת ראויה להתכבד</w:t>
      </w:r>
      <w:r>
        <w:rPr>
          <w:rFonts w:cs="Arial" w:hint="cs"/>
          <w:rtl/>
        </w:rPr>
        <w:t>,</w:t>
      </w:r>
      <w:r w:rsidRPr="008453DF">
        <w:rPr>
          <w:rFonts w:cs="Arial"/>
          <w:rtl/>
        </w:rPr>
        <w:t xml:space="preserve"> ואין לגזור שמא יקח מן הקבוע דכיון שנתבטלו לא שייך למימר הכי</w:t>
      </w:r>
      <w:r>
        <w:rPr>
          <w:rFonts w:cs="Arial" w:hint="cs"/>
          <w:rtl/>
        </w:rPr>
        <w:t>,</w:t>
      </w:r>
      <w:r w:rsidRPr="008453DF">
        <w:rPr>
          <w:rFonts w:cs="Arial"/>
          <w:rtl/>
        </w:rPr>
        <w:t xml:space="preserve"> ודוקא שפירש [ר"ל האי מקצת כבש הג'] קודם שנודע הטרפות במקומו</w:t>
      </w:r>
      <w:r>
        <w:rPr>
          <w:rFonts w:cs="Arial" w:hint="cs"/>
          <w:rtl/>
        </w:rPr>
        <w:t>,</w:t>
      </w:r>
      <w:r w:rsidRPr="008453DF">
        <w:rPr>
          <w:rFonts w:cs="Arial"/>
          <w:rtl/>
        </w:rPr>
        <w:t xml:space="preserve"> דאמרינן כל דפריש מרובא פריש</w:t>
      </w:r>
      <w:r>
        <w:rPr>
          <w:rFonts w:cs="Arial" w:hint="cs"/>
          <w:rtl/>
        </w:rPr>
        <w:t>,</w:t>
      </w:r>
      <w:r w:rsidRPr="008453DF">
        <w:rPr>
          <w:rFonts w:cs="Arial"/>
          <w:rtl/>
        </w:rPr>
        <w:t xml:space="preserve"> אבל אסור ליקח אחר שנודע האיסור וראיה מט' חנויות. ועדיין יש להתיר אם נתערבו יחד אחר שפירשו רובן כדאמרינן בפרק התערובות </w:t>
      </w:r>
      <w:r w:rsidRPr="00A80644">
        <w:rPr>
          <w:rFonts w:cs="Arial"/>
          <w:sz w:val="16"/>
          <w:szCs w:val="16"/>
          <w:rtl/>
        </w:rPr>
        <w:t>(זבחים עד.)</w:t>
      </w:r>
      <w:r>
        <w:rPr>
          <w:rFonts w:cs="Arial" w:hint="cs"/>
          <w:rtl/>
        </w:rPr>
        <w:t>,</w:t>
      </w:r>
      <w:r w:rsidRPr="008453DF">
        <w:rPr>
          <w:rFonts w:cs="Arial"/>
          <w:rtl/>
        </w:rPr>
        <w:t xml:space="preserve"> מיהו בנדון שלפנינו כיון שלא נשאר במקולין אלא חתיכה אחת או כבש אחד אין להתיר מדאמרינן בפרק הנזכר לא התיר רבי אליעזר אלא שנים שנים אבל חד חד לא</w:t>
      </w:r>
      <w:r>
        <w:rPr>
          <w:rFonts w:cs="Arial" w:hint="cs"/>
          <w:rtl/>
        </w:rPr>
        <w:t>,</w:t>
      </w:r>
      <w:r w:rsidRPr="008453DF">
        <w:rPr>
          <w:rFonts w:cs="Arial"/>
          <w:rtl/>
        </w:rPr>
        <w:t xml:space="preserve"> אכן אם לקח מן המקולין מקצת הכבש הנשאר ונתערב ברוב של היתר הכל מותר</w:t>
      </w:r>
      <w:r>
        <w:rPr>
          <w:rFonts w:cs="Arial" w:hint="cs"/>
          <w:rtl/>
        </w:rPr>
        <w:t>,</w:t>
      </w:r>
      <w:r w:rsidRPr="008453DF">
        <w:rPr>
          <w:rFonts w:cs="Arial"/>
          <w:rtl/>
        </w:rPr>
        <w:t xml:space="preserve"> וראיה מפרק התערובות</w:t>
      </w:r>
      <w:r>
        <w:rPr>
          <w:rFonts w:cs="Arial" w:hint="cs"/>
          <w:rtl/>
        </w:rPr>
        <w:t>.</w:t>
      </w:r>
      <w:r w:rsidRPr="008453DF">
        <w:rPr>
          <w:rFonts w:cs="Arial"/>
          <w:rtl/>
        </w:rPr>
        <w:t xml:space="preserve"> אכן אם לא נתערבו כלל אלא שהעלם למגדל קודם שנתערבו כולם</w:t>
      </w:r>
      <w:r>
        <w:rPr>
          <w:rFonts w:cs="Arial"/>
          <w:rtl/>
        </w:rPr>
        <w:t xml:space="preserve"> אסורים דלא שייך בהם ביטול</w:t>
      </w:r>
      <w:r>
        <w:rPr>
          <w:rFonts w:cs="Arial" w:hint="cs"/>
          <w:rtl/>
        </w:rPr>
        <w:t>.</w:t>
      </w:r>
    </w:p>
    <w:p w14:paraId="74F0180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9D7B664" w14:textId="77777777" w:rsidR="002C39F4" w:rsidRDefault="002C39F4" w:rsidP="002C39F4">
      <w:pPr>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r w:rsidRPr="003024E5">
        <w:rPr>
          <w:rFonts w:asciiTheme="minorBidi" w:hAnsiTheme="minorBidi"/>
          <w:rtl/>
        </w:rPr>
        <w:t>ריאה טריפה שנמצאת בין ריאות כשרות</w:t>
      </w:r>
      <w:r>
        <w:rPr>
          <w:rFonts w:asciiTheme="minorBidi" w:hAnsiTheme="minorBidi" w:hint="cs"/>
          <w:rtl/>
        </w:rPr>
        <w:t>,</w:t>
      </w:r>
      <w:r w:rsidRPr="003024E5">
        <w:rPr>
          <w:rFonts w:asciiTheme="minorBidi" w:hAnsiTheme="minorBidi"/>
          <w:rtl/>
        </w:rPr>
        <w:t xml:space="preserve"> ואמר הבודק שהיה יודע באותה סירכא ובשגגה נתערבה אותה ריאה טריפה בין הכשרות ולא היתה בכבשים ערבוביא</w:t>
      </w:r>
      <w:r>
        <w:rPr>
          <w:rFonts w:asciiTheme="minorBidi" w:hAnsiTheme="minorBidi" w:hint="cs"/>
          <w:rtl/>
        </w:rPr>
        <w:t>,</w:t>
      </w:r>
      <w:r w:rsidRPr="003024E5">
        <w:rPr>
          <w:rFonts w:asciiTheme="minorBidi" w:hAnsiTheme="minorBidi"/>
          <w:rtl/>
        </w:rPr>
        <w:t xml:space="preserve"> הכבשים מותרים</w:t>
      </w:r>
      <w:r>
        <w:rPr>
          <w:rFonts w:asciiTheme="minorBidi" w:hAnsiTheme="minorBidi" w:hint="cs"/>
          <w:rtl/>
        </w:rPr>
        <w:t>.</w:t>
      </w:r>
    </w:p>
    <w:p w14:paraId="237CE3FC"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קיא: דין כלים טריפות שנתערבו בכשרות, ובו ז' סעיפים. </w:t>
      </w:r>
    </w:p>
    <w:p w14:paraId="0943033B" w14:textId="77777777" w:rsidR="002C39F4" w:rsidRPr="00BA1DE9" w:rsidRDefault="002C39F4" w:rsidP="002C39F4">
      <w:pPr>
        <w:pStyle w:val="2"/>
        <w:rPr>
          <w:rFonts w:asciiTheme="minorBidi" w:hAnsiTheme="minorBidi"/>
          <w:rtl/>
        </w:rPr>
      </w:pPr>
      <w:r w:rsidRPr="00BA1DE9">
        <w:rPr>
          <w:rFonts w:asciiTheme="minorBidi" w:hAnsiTheme="minorBidi"/>
          <w:rtl/>
        </w:rPr>
        <w:t>סעיף א: איסור</w:t>
      </w:r>
      <w:r>
        <w:rPr>
          <w:rFonts w:asciiTheme="minorBidi" w:hAnsiTheme="minorBidi" w:hint="cs"/>
          <w:rtl/>
        </w:rPr>
        <w:t xml:space="preserve"> דרבנן</w:t>
      </w:r>
      <w:r w:rsidRPr="00BA1DE9">
        <w:rPr>
          <w:rFonts w:asciiTheme="minorBidi" w:hAnsiTheme="minorBidi"/>
          <w:rtl/>
        </w:rPr>
        <w:t xml:space="preserve"> שנפל ל</w:t>
      </w:r>
      <w:r>
        <w:rPr>
          <w:rFonts w:asciiTheme="minorBidi" w:hAnsiTheme="minorBidi" w:hint="cs"/>
          <w:rtl/>
        </w:rPr>
        <w:t xml:space="preserve">קדרה ואין ידוע לאיזו </w:t>
      </w:r>
      <w:r>
        <w:rPr>
          <w:rFonts w:asciiTheme="minorBidi" w:hAnsiTheme="minorBidi"/>
          <w:rtl/>
        </w:rPr>
        <w:t>–</w:t>
      </w:r>
      <w:r>
        <w:rPr>
          <w:rFonts w:asciiTheme="minorBidi" w:hAnsiTheme="minorBidi" w:hint="cs"/>
          <w:rtl/>
        </w:rPr>
        <w:t xml:space="preserve"> ואין ההיתר רבה על האיסור.</w:t>
      </w:r>
    </w:p>
    <w:p w14:paraId="6ADFA940" w14:textId="77777777" w:rsidR="002C39F4" w:rsidRDefault="002C39F4" w:rsidP="002C39F4">
      <w:pPr>
        <w:rPr>
          <w:rFonts w:cs="Arial"/>
          <w:rtl/>
        </w:rPr>
      </w:pPr>
      <w:r>
        <w:rPr>
          <w:rFonts w:cs="Arial" w:hint="cs"/>
          <w:b/>
          <w:bCs/>
          <w:rtl/>
        </w:rPr>
        <w:t xml:space="preserve">יבמות פא ע"א: </w:t>
      </w:r>
      <w:r w:rsidRPr="00153373">
        <w:rPr>
          <w:rFonts w:cs="Arial"/>
          <w:u w:val="double"/>
          <w:rtl/>
        </w:rPr>
        <w:t>מתני'</w:t>
      </w:r>
      <w:r w:rsidRPr="00153373">
        <w:rPr>
          <w:rFonts w:cs="Arial" w:hint="cs"/>
          <w:u w:val="double"/>
          <w:rtl/>
        </w:rPr>
        <w:t>:</w:t>
      </w:r>
      <w:r>
        <w:rPr>
          <w:rFonts w:cs="Arial"/>
          <w:rtl/>
        </w:rPr>
        <w:t xml:space="preserve"> </w:t>
      </w:r>
      <w:r w:rsidRPr="00A125E5">
        <w:rPr>
          <w:rFonts w:cs="Arial"/>
          <w:u w:val="single"/>
          <w:rtl/>
        </w:rPr>
        <w:t>רבי יוסי ור"ש אומרים</w:t>
      </w:r>
      <w:r w:rsidRPr="00153373">
        <w:rPr>
          <w:rFonts w:cs="Arial"/>
          <w:rtl/>
        </w:rPr>
        <w:t>: אנדרוגינוס כהן שנשא בת ישראל - מאכילה בתרומה.</w:t>
      </w:r>
      <w:r>
        <w:rPr>
          <w:rFonts w:cs="Arial" w:hint="cs"/>
          <w:rtl/>
        </w:rPr>
        <w:t>.</w:t>
      </w:r>
      <w:r w:rsidRPr="00153373">
        <w:rPr>
          <w:rFonts w:cs="Arial"/>
          <w:rtl/>
        </w:rPr>
        <w:t>.</w:t>
      </w:r>
      <w:r>
        <w:rPr>
          <w:rFonts w:cs="Arial" w:hint="cs"/>
          <w:rtl/>
        </w:rPr>
        <w:t xml:space="preserve">   </w:t>
      </w:r>
      <w:r w:rsidRPr="00153373">
        <w:rPr>
          <w:rFonts w:cs="Arial"/>
          <w:rtl/>
        </w:rPr>
        <w:t xml:space="preserve"> </w:t>
      </w:r>
      <w:r w:rsidRPr="00153373">
        <w:rPr>
          <w:rFonts w:cs="Arial"/>
          <w:u w:val="double"/>
          <w:rtl/>
        </w:rPr>
        <w:t>גמ'</w:t>
      </w:r>
      <w:r w:rsidRPr="00153373">
        <w:rPr>
          <w:rFonts w:cs="Arial" w:hint="cs"/>
          <w:u w:val="double"/>
          <w:rtl/>
        </w:rPr>
        <w:t>:</w:t>
      </w:r>
      <w:r>
        <w:rPr>
          <w:rFonts w:cs="Arial"/>
          <w:rtl/>
        </w:rPr>
        <w:t xml:space="preserve"> </w:t>
      </w:r>
      <w:r>
        <w:rPr>
          <w:rFonts w:cs="Arial" w:hint="cs"/>
          <w:rtl/>
        </w:rPr>
        <w:t xml:space="preserve"> </w:t>
      </w:r>
      <w:r w:rsidRPr="002A24D1">
        <w:rPr>
          <w:rFonts w:cs="Arial"/>
          <w:u w:val="single"/>
          <w:rtl/>
        </w:rPr>
        <w:t>אמר ר"ל</w:t>
      </w:r>
      <w:r w:rsidRPr="00153373">
        <w:rPr>
          <w:rFonts w:cs="Arial"/>
          <w:rtl/>
        </w:rPr>
        <w:t xml:space="preserve">: </w:t>
      </w:r>
      <w:r w:rsidRPr="002A24D1">
        <w:rPr>
          <w:rFonts w:cs="Arial"/>
          <w:rtl/>
        </w:rPr>
        <w:t xml:space="preserve">כשהוא מאכילה - מאכילה בתרומה בזה"ז דרבנן, ואין מאכילה בזמן חזה ושוק ואפילו בתרומה דרבנן, דלמא אתי לאוכלה בתרומה דאורייתא; </w:t>
      </w:r>
      <w:r w:rsidRPr="002A24D1">
        <w:rPr>
          <w:rFonts w:cs="Arial"/>
          <w:u w:val="single"/>
          <w:rtl/>
        </w:rPr>
        <w:t>ור' יוחנן אמר</w:t>
      </w:r>
      <w:r w:rsidRPr="002A24D1">
        <w:rPr>
          <w:rFonts w:cs="Arial"/>
          <w:rtl/>
        </w:rPr>
        <w:t>: אף מאכילה בחזה ושוק</w:t>
      </w:r>
      <w:r>
        <w:rPr>
          <w:rStyle w:val="a7"/>
          <w:rFonts w:cs="Arial"/>
          <w:rtl/>
        </w:rPr>
        <w:footnoteReference w:id="2551"/>
      </w:r>
      <w:r>
        <w:rPr>
          <w:rFonts w:cs="Arial" w:hint="cs"/>
          <w:rtl/>
        </w:rPr>
        <w:t xml:space="preserve">... </w:t>
      </w:r>
      <w:r>
        <w:rPr>
          <w:rFonts w:cs="Arial" w:hint="cs"/>
          <w:sz w:val="14"/>
          <w:szCs w:val="14"/>
          <w:rtl/>
        </w:rPr>
        <w:t>(פב.)</w:t>
      </w:r>
      <w:r>
        <w:rPr>
          <w:rFonts w:cs="Arial" w:hint="cs"/>
          <w:rtl/>
        </w:rPr>
        <w:t xml:space="preserve"> </w:t>
      </w:r>
      <w:r w:rsidRPr="002A24D1">
        <w:rPr>
          <w:rFonts w:cs="Arial"/>
          <w:rtl/>
        </w:rPr>
        <w:t xml:space="preserve">וסבר ר' יוחנן תרומה בזמן הזה דאורייתא? </w:t>
      </w:r>
      <w:r>
        <w:rPr>
          <w:rFonts w:cs="Arial" w:hint="cs"/>
          <w:rtl/>
        </w:rPr>
        <w:t>וה</w:t>
      </w:r>
      <w:r w:rsidRPr="007738D7">
        <w:rPr>
          <w:rFonts w:cs="Arial"/>
          <w:rtl/>
        </w:rPr>
        <w:t>תניא</w:t>
      </w:r>
      <w:r>
        <w:rPr>
          <w:rStyle w:val="a7"/>
          <w:rFonts w:cs="Arial"/>
          <w:rtl/>
        </w:rPr>
        <w:footnoteReference w:id="2552"/>
      </w:r>
      <w:r>
        <w:rPr>
          <w:rFonts w:cs="Arial"/>
          <w:rtl/>
        </w:rPr>
        <w:t>: שתי קופות</w:t>
      </w:r>
      <w:r>
        <w:rPr>
          <w:rFonts w:cs="Arial" w:hint="cs"/>
          <w:rtl/>
        </w:rPr>
        <w:t xml:space="preserve"> </w:t>
      </w:r>
      <w:r w:rsidRPr="007738D7">
        <w:rPr>
          <w:rFonts w:cs="Arial"/>
          <w:rtl/>
        </w:rPr>
        <w:t xml:space="preserve">- אחת של חולין </w:t>
      </w:r>
      <w:r>
        <w:rPr>
          <w:rFonts w:cs="Arial"/>
          <w:rtl/>
        </w:rPr>
        <w:t>ואחת של תרומה, ולפניהם שתי סאין</w:t>
      </w:r>
      <w:r>
        <w:rPr>
          <w:rFonts w:cs="Arial" w:hint="cs"/>
          <w:rtl/>
        </w:rPr>
        <w:t xml:space="preserve"> </w:t>
      </w:r>
      <w:r w:rsidRPr="007738D7">
        <w:rPr>
          <w:rFonts w:cs="Arial"/>
          <w:rtl/>
        </w:rPr>
        <w:t>- אחת של חולין וא</w:t>
      </w:r>
      <w:r>
        <w:rPr>
          <w:rFonts w:cs="Arial"/>
          <w:rtl/>
        </w:rPr>
        <w:t>חת של תרומה, ונפלו אלו בתוך אלו</w:t>
      </w:r>
      <w:r>
        <w:rPr>
          <w:rFonts w:cs="Arial" w:hint="cs"/>
          <w:rtl/>
        </w:rPr>
        <w:t xml:space="preserve"> </w:t>
      </w:r>
      <w:r w:rsidRPr="007738D7">
        <w:rPr>
          <w:rFonts w:cs="Arial"/>
          <w:rtl/>
        </w:rPr>
        <w:t xml:space="preserve">- הרי אלו מותרים, שאני אומר: תרומה לתוך תרומה נפלה, וחולין בתוך חולין נפלו; </w:t>
      </w:r>
      <w:r w:rsidRPr="002A24D1">
        <w:rPr>
          <w:rFonts w:cs="Arial"/>
          <w:u w:val="single"/>
          <w:rtl/>
        </w:rPr>
        <w:t>ואמר ריש לקיש</w:t>
      </w:r>
      <w:r w:rsidRPr="007738D7">
        <w:rPr>
          <w:rFonts w:cs="Arial"/>
          <w:rtl/>
        </w:rPr>
        <w:t xml:space="preserve">: והוא שרבו חולין על התרומה, </w:t>
      </w:r>
      <w:r w:rsidRPr="002A24D1">
        <w:rPr>
          <w:rFonts w:cs="Arial"/>
          <w:u w:val="single"/>
          <w:rtl/>
        </w:rPr>
        <w:t>ור' יוחנן אמר</w:t>
      </w:r>
      <w:r w:rsidRPr="007738D7">
        <w:rPr>
          <w:rFonts w:cs="Arial"/>
          <w:rtl/>
        </w:rPr>
        <w:t>: אף על פי שלא רבו חולין על התרומה</w:t>
      </w:r>
      <w:r>
        <w:rPr>
          <w:rStyle w:val="a7"/>
          <w:rFonts w:cs="Arial"/>
          <w:rtl/>
        </w:rPr>
        <w:footnoteReference w:id="2553"/>
      </w:r>
      <w:r w:rsidRPr="007738D7">
        <w:rPr>
          <w:rFonts w:cs="Arial"/>
          <w:rtl/>
        </w:rPr>
        <w:t>; בשלמא לריש לקיש, קסבר: בדרבנן נמי רבויא הוא דבעינן, אלא לרבי יוחנן קשיא</w:t>
      </w:r>
      <w:r>
        <w:rPr>
          <w:rStyle w:val="a7"/>
          <w:rFonts w:cs="Arial"/>
          <w:rtl/>
        </w:rPr>
        <w:footnoteReference w:id="2554"/>
      </w:r>
      <w:r w:rsidRPr="007738D7">
        <w:rPr>
          <w:rFonts w:cs="Arial"/>
          <w:rtl/>
        </w:rPr>
        <w:t>! הא מני</w:t>
      </w:r>
      <w:r>
        <w:rPr>
          <w:rStyle w:val="a7"/>
          <w:rFonts w:cs="Arial"/>
          <w:rtl/>
        </w:rPr>
        <w:footnoteReference w:id="2555"/>
      </w:r>
      <w:r w:rsidRPr="007738D7">
        <w:rPr>
          <w:rFonts w:cs="Arial"/>
          <w:rtl/>
        </w:rPr>
        <w:t>? רבנן היא,</w:t>
      </w:r>
      <w:r w:rsidRPr="007738D7">
        <w:rPr>
          <w:rtl/>
        </w:rPr>
        <w:t xml:space="preserve"> </w:t>
      </w:r>
      <w:r>
        <w:rPr>
          <w:rFonts w:cs="Arial" w:hint="cs"/>
          <w:sz w:val="14"/>
          <w:szCs w:val="14"/>
          <w:rtl/>
        </w:rPr>
        <w:t>(פב:)</w:t>
      </w:r>
      <w:r>
        <w:rPr>
          <w:rFonts w:cs="Arial" w:hint="cs"/>
          <w:rtl/>
        </w:rPr>
        <w:t xml:space="preserve"> </w:t>
      </w:r>
      <w:r w:rsidRPr="007738D7">
        <w:rPr>
          <w:rFonts w:cs="Arial"/>
          <w:rtl/>
        </w:rPr>
        <w:t>ואנא דאמרי כרבי יוסי</w:t>
      </w:r>
      <w:r>
        <w:rPr>
          <w:rStyle w:val="a7"/>
          <w:rFonts w:cs="Arial"/>
          <w:rtl/>
        </w:rPr>
        <w:footnoteReference w:id="2556"/>
      </w:r>
      <w:r w:rsidRPr="007738D7">
        <w:rPr>
          <w:rFonts w:cs="Arial"/>
          <w:rtl/>
        </w:rPr>
        <w:t>; דתניא בסדר עולם: אשר ירשו אבותיך וירשתה - ירושה ראשונה</w:t>
      </w:r>
      <w:r>
        <w:rPr>
          <w:rStyle w:val="a7"/>
          <w:rFonts w:cs="Arial"/>
          <w:rtl/>
        </w:rPr>
        <w:footnoteReference w:id="2557"/>
      </w:r>
      <w:r w:rsidRPr="007738D7">
        <w:rPr>
          <w:rFonts w:cs="Arial"/>
          <w:rtl/>
        </w:rPr>
        <w:t xml:space="preserve"> ושניה יש להן, ושלישית אין להן</w:t>
      </w:r>
      <w:r>
        <w:rPr>
          <w:rStyle w:val="a7"/>
          <w:rFonts w:cs="Arial"/>
          <w:rtl/>
        </w:rPr>
        <w:footnoteReference w:id="2558"/>
      </w:r>
      <w:r>
        <w:rPr>
          <w:rFonts w:cs="Arial" w:hint="cs"/>
          <w:rtl/>
        </w:rPr>
        <w:t>.</w:t>
      </w:r>
      <w:r w:rsidRPr="00A125E5">
        <w:rPr>
          <w:rtl/>
        </w:rPr>
        <w:t xml:space="preserve"> </w:t>
      </w:r>
      <w:r w:rsidRPr="006A30BB">
        <w:rPr>
          <w:rFonts w:cs="Arial"/>
          <w:u w:val="single"/>
          <w:rtl/>
        </w:rPr>
        <w:t>וא"ר יוחנן</w:t>
      </w:r>
      <w:r w:rsidRPr="006A30BB">
        <w:rPr>
          <w:rFonts w:cs="Arial"/>
          <w:rtl/>
        </w:rPr>
        <w:t xml:space="preserve">: מאן תנא סדר עולם? רבי יוסי. </w:t>
      </w:r>
      <w:r>
        <w:rPr>
          <w:rFonts w:cs="Arial" w:hint="cs"/>
          <w:sz w:val="16"/>
          <w:szCs w:val="16"/>
          <w:rtl/>
        </w:rPr>
        <w:t>(</w:t>
      </w:r>
      <w:r w:rsidRPr="00A125E5">
        <w:rPr>
          <w:rFonts w:cs="Arial"/>
          <w:sz w:val="16"/>
          <w:szCs w:val="16"/>
          <w:rtl/>
        </w:rPr>
        <w:t xml:space="preserve">הנה שבאיסורין שעיקרן של דבריהם </w:t>
      </w:r>
      <w:r>
        <w:rPr>
          <w:rFonts w:cs="Arial" w:hint="cs"/>
          <w:sz w:val="14"/>
          <w:szCs w:val="14"/>
          <w:rtl/>
        </w:rPr>
        <w:t xml:space="preserve">{כגון תרומה בזמה"ז} </w:t>
      </w:r>
      <w:r w:rsidRPr="00A125E5">
        <w:rPr>
          <w:rFonts w:cs="Arial"/>
          <w:sz w:val="16"/>
          <w:szCs w:val="16"/>
          <w:rtl/>
        </w:rPr>
        <w:t>הוא שאמרו כן</w:t>
      </w:r>
      <w:r w:rsidRPr="00A125E5">
        <w:rPr>
          <w:rFonts w:cs="Arial" w:hint="cs"/>
          <w:sz w:val="16"/>
          <w:szCs w:val="16"/>
          <w:rtl/>
        </w:rPr>
        <w:t>, ב"י)</w:t>
      </w:r>
    </w:p>
    <w:p w14:paraId="216CECA5" w14:textId="77777777" w:rsidR="002C39F4" w:rsidRPr="00A125E5" w:rsidRDefault="002C39F4" w:rsidP="002C39F4">
      <w:pPr>
        <w:rPr>
          <w:rFonts w:cs="Arial"/>
          <w:rtl/>
        </w:rPr>
      </w:pPr>
      <w:r>
        <w:rPr>
          <w:rFonts w:cs="Arial" w:hint="cs"/>
          <w:b/>
          <w:bCs/>
          <w:rtl/>
        </w:rPr>
        <w:t xml:space="preserve">פסחים מד ע"א: </w:t>
      </w:r>
      <w:r w:rsidRPr="002A24D1">
        <w:rPr>
          <w:rFonts w:cs="Arial"/>
          <w:rtl/>
        </w:rPr>
        <w:t>וכזי</w:t>
      </w:r>
      <w:r>
        <w:rPr>
          <w:rFonts w:cs="Arial"/>
          <w:rtl/>
        </w:rPr>
        <w:t>ת בכדי אכילת פרס דאורייתא היא? אמר ליה</w:t>
      </w:r>
      <w:r>
        <w:rPr>
          <w:rStyle w:val="a7"/>
          <w:rFonts w:cs="Arial"/>
          <w:rtl/>
        </w:rPr>
        <w:footnoteReference w:id="2559"/>
      </w:r>
      <w:r>
        <w:rPr>
          <w:rFonts w:cs="Arial"/>
          <w:rtl/>
        </w:rPr>
        <w:t>: אין.</w:t>
      </w:r>
      <w:r>
        <w:rPr>
          <w:rFonts w:cs="Arial" w:hint="cs"/>
          <w:rtl/>
        </w:rPr>
        <w:t>..</w:t>
      </w:r>
      <w:r w:rsidRPr="002A24D1">
        <w:rPr>
          <w:rFonts w:cs="Arial"/>
          <w:rtl/>
        </w:rPr>
        <w:t xml:space="preserve"> איתיביה: שתי קדירות, אחת של חולין ואחת של תרומה, ולפניהן שתי מדוכות, אחת של חולין ואחת של תרומה. ונפלו אלו לתוך אלו מותרין. שאני אומר: תרומה לתוך התרומה נפלה, וחולין לתוך חולין נפלו. ואי אמרת כזית בכדי אכילת פרס דאורייתא - אמאי אמ</w:t>
      </w:r>
      <w:r>
        <w:rPr>
          <w:rFonts w:cs="Arial"/>
          <w:rtl/>
        </w:rPr>
        <w:t>רינן שאני אומר</w:t>
      </w:r>
      <w:r>
        <w:rPr>
          <w:rStyle w:val="a7"/>
          <w:rFonts w:cs="Arial"/>
          <w:rtl/>
        </w:rPr>
        <w:footnoteReference w:id="2560"/>
      </w:r>
      <w:r>
        <w:rPr>
          <w:rFonts w:cs="Arial"/>
          <w:rtl/>
        </w:rPr>
        <w:t xml:space="preserve"> תרומה לתוך כו'?</w:t>
      </w:r>
      <w:r w:rsidRPr="002A24D1">
        <w:rPr>
          <w:rFonts w:cs="Arial"/>
          <w:rtl/>
        </w:rPr>
        <w:t xml:space="preserve"> אמר</w:t>
      </w:r>
      <w:r>
        <w:rPr>
          <w:rFonts w:cs="Arial"/>
          <w:rtl/>
        </w:rPr>
        <w:t xml:space="preserve"> ליה: הנח לתרומת תבלין דרבנן. </w:t>
      </w:r>
      <w:r w:rsidRPr="002A24D1">
        <w:rPr>
          <w:rFonts w:cs="Arial"/>
          <w:rtl/>
        </w:rPr>
        <w:t>איתיביה: שתי קופות, אחת של חולין ואחת של תרומה, ולפניהם שתי סאין אחת של חולין ואחת של תרומה, ונפלו אלו לתוך אלו - מותרין, שאני אומר: חולין לתוך חולין נפלו, תרומה לתוך תרומה נפלה. ואי אמרת כזית בכדי אכילת פרס דאו</w:t>
      </w:r>
      <w:r>
        <w:rPr>
          <w:rFonts w:cs="Arial"/>
          <w:rtl/>
        </w:rPr>
        <w:t>רייתא - אמאי אמרינן שאני אומר? אמר ליה: הנח לתרומה בזמן הזה</w:t>
      </w:r>
      <w:r w:rsidRPr="002A24D1">
        <w:rPr>
          <w:rFonts w:cs="Arial"/>
          <w:rtl/>
        </w:rPr>
        <w:t xml:space="preserve"> דרבנן. </w:t>
      </w:r>
      <w:r w:rsidRPr="00A125E5">
        <w:rPr>
          <w:rFonts w:cs="Arial" w:hint="cs"/>
          <w:sz w:val="16"/>
          <w:szCs w:val="16"/>
          <w:rtl/>
        </w:rPr>
        <w:t>(</w:t>
      </w:r>
      <w:r w:rsidRPr="00A125E5">
        <w:rPr>
          <w:rFonts w:cs="Arial"/>
          <w:sz w:val="16"/>
          <w:szCs w:val="16"/>
          <w:rtl/>
        </w:rPr>
        <w:t>אלמא מאן דמקשה מעיקרא ס"ד דאפילו בתרומה דאורייתא קאמר</w:t>
      </w:r>
      <w:r>
        <w:rPr>
          <w:rFonts w:cs="Arial" w:hint="cs"/>
          <w:sz w:val="16"/>
          <w:szCs w:val="16"/>
          <w:rtl/>
        </w:rPr>
        <w:t>,</w:t>
      </w:r>
      <w:r w:rsidRPr="00A125E5">
        <w:rPr>
          <w:rFonts w:cs="Arial"/>
          <w:sz w:val="16"/>
          <w:szCs w:val="16"/>
          <w:rtl/>
        </w:rPr>
        <w:t xml:space="preserve"> ואפ"ה למאי דס"ד דכזית בכדי אכילת פרס דרבנן הוה ניחא ליה</w:t>
      </w:r>
      <w:r>
        <w:rPr>
          <w:rFonts w:cs="Arial" w:hint="cs"/>
          <w:sz w:val="16"/>
          <w:szCs w:val="16"/>
          <w:rtl/>
        </w:rPr>
        <w:t>,</w:t>
      </w:r>
      <w:r w:rsidRPr="00A125E5">
        <w:rPr>
          <w:rFonts w:cs="Arial"/>
          <w:sz w:val="16"/>
          <w:szCs w:val="16"/>
          <w:rtl/>
        </w:rPr>
        <w:t xml:space="preserve"> משום דבאיסורים דאורייתא ושיעורא דרבנן שפיר אמרינן בהו שאני אומר דהא עכשיו אין כאן אלא איסור דרבנן</w:t>
      </w:r>
      <w:r>
        <w:rPr>
          <w:rFonts w:cs="Arial" w:hint="cs"/>
          <w:sz w:val="16"/>
          <w:szCs w:val="16"/>
          <w:rtl/>
        </w:rPr>
        <w:t>,</w:t>
      </w:r>
      <w:r w:rsidRPr="00A125E5">
        <w:rPr>
          <w:rFonts w:cs="Arial"/>
          <w:sz w:val="16"/>
          <w:szCs w:val="16"/>
          <w:rtl/>
        </w:rPr>
        <w:t xml:space="preserve"> שמעינן שאם היו שתי קדרות אחת של היתר ואחת של איסור ולפניהם שתי חתיכות אחת של היתר ואחת </w:t>
      </w:r>
      <w:r>
        <w:rPr>
          <w:rFonts w:cs="Arial"/>
          <w:sz w:val="16"/>
          <w:szCs w:val="16"/>
          <w:rtl/>
        </w:rPr>
        <w:t>של איסור דרבנן או איסור דאו</w:t>
      </w:r>
      <w:r>
        <w:rPr>
          <w:rFonts w:cs="Arial" w:hint="cs"/>
          <w:sz w:val="16"/>
          <w:szCs w:val="16"/>
          <w:rtl/>
        </w:rPr>
        <w:t>'</w:t>
      </w:r>
      <w:r w:rsidRPr="00A125E5">
        <w:rPr>
          <w:rFonts w:cs="Arial"/>
          <w:sz w:val="16"/>
          <w:szCs w:val="16"/>
          <w:rtl/>
        </w:rPr>
        <w:t xml:space="preserve"> ושיעורא דרבנן ונפלו אלו לתוך אלו אני אומר של איסור לתוך של איסור נפל ושל היתר לתוך של</w:t>
      </w:r>
      <w:r>
        <w:rPr>
          <w:rFonts w:cs="Arial"/>
          <w:sz w:val="16"/>
          <w:szCs w:val="16"/>
          <w:rtl/>
        </w:rPr>
        <w:t xml:space="preserve"> היתר נפל</w:t>
      </w:r>
      <w:r>
        <w:rPr>
          <w:rFonts w:cs="Arial" w:hint="cs"/>
          <w:sz w:val="16"/>
          <w:szCs w:val="16"/>
          <w:rtl/>
        </w:rPr>
        <w:t xml:space="preserve"> </w:t>
      </w:r>
      <w:r>
        <w:rPr>
          <w:rFonts w:cs="Arial"/>
          <w:sz w:val="16"/>
          <w:szCs w:val="16"/>
          <w:rtl/>
        </w:rPr>
        <w:t>ואע</w:t>
      </w:r>
      <w:r>
        <w:rPr>
          <w:rFonts w:cs="Arial" w:hint="cs"/>
          <w:sz w:val="16"/>
          <w:szCs w:val="16"/>
          <w:rtl/>
        </w:rPr>
        <w:t>"</w:t>
      </w:r>
      <w:r>
        <w:rPr>
          <w:rFonts w:cs="Arial"/>
          <w:sz w:val="16"/>
          <w:szCs w:val="16"/>
          <w:rtl/>
        </w:rPr>
        <w:t>פ</w:t>
      </w:r>
      <w:r w:rsidRPr="00A125E5">
        <w:rPr>
          <w:rFonts w:cs="Arial"/>
          <w:sz w:val="16"/>
          <w:szCs w:val="16"/>
          <w:rtl/>
        </w:rPr>
        <w:t xml:space="preserve"> שאין ההיתר רבה על האיסור</w:t>
      </w:r>
      <w:r>
        <w:rPr>
          <w:rFonts w:cs="Arial" w:hint="cs"/>
          <w:sz w:val="16"/>
          <w:szCs w:val="16"/>
          <w:rtl/>
        </w:rPr>
        <w:t>,</w:t>
      </w:r>
      <w:r>
        <w:rPr>
          <w:rFonts w:cs="Arial"/>
          <w:sz w:val="16"/>
          <w:szCs w:val="16"/>
          <w:rtl/>
        </w:rPr>
        <w:t xml:space="preserve"> כרבי יוחנן דאמר אע</w:t>
      </w:r>
      <w:r>
        <w:rPr>
          <w:rFonts w:cs="Arial" w:hint="cs"/>
          <w:sz w:val="16"/>
          <w:szCs w:val="16"/>
          <w:rtl/>
        </w:rPr>
        <w:t>"</w:t>
      </w:r>
      <w:r>
        <w:rPr>
          <w:rFonts w:cs="Arial"/>
          <w:sz w:val="16"/>
          <w:szCs w:val="16"/>
          <w:rtl/>
        </w:rPr>
        <w:t>פ</w:t>
      </w:r>
      <w:r w:rsidRPr="00A125E5">
        <w:rPr>
          <w:rFonts w:cs="Arial"/>
          <w:sz w:val="16"/>
          <w:szCs w:val="16"/>
          <w:rtl/>
        </w:rPr>
        <w:t xml:space="preserve"> שלא רבו</w:t>
      </w:r>
      <w:r>
        <w:rPr>
          <w:rFonts w:cs="Arial" w:hint="cs"/>
          <w:sz w:val="16"/>
          <w:szCs w:val="16"/>
          <w:rtl/>
        </w:rPr>
        <w:t>,</w:t>
      </w:r>
      <w:r>
        <w:rPr>
          <w:rFonts w:cs="Arial"/>
          <w:sz w:val="16"/>
          <w:szCs w:val="16"/>
          <w:rtl/>
        </w:rPr>
        <w:t xml:space="preserve"> וכ</w:t>
      </w:r>
      <w:r>
        <w:rPr>
          <w:rFonts w:cs="Arial" w:hint="cs"/>
          <w:sz w:val="16"/>
          <w:szCs w:val="16"/>
          <w:rtl/>
        </w:rPr>
        <w:t>"</w:t>
      </w:r>
      <w:r>
        <w:rPr>
          <w:rFonts w:cs="Arial"/>
          <w:sz w:val="16"/>
          <w:szCs w:val="16"/>
          <w:rtl/>
        </w:rPr>
        <w:t>ש</w:t>
      </w:r>
      <w:r w:rsidRPr="00A125E5">
        <w:rPr>
          <w:rFonts w:cs="Arial"/>
          <w:sz w:val="16"/>
          <w:szCs w:val="16"/>
          <w:rtl/>
        </w:rPr>
        <w:t xml:space="preserve"> כשאין שם אלא חתיכה אחת של איסור ונפלה לתוך אחת מהקדרות שיש לתלות להקל ולומר לתוך של איסור נפל</w:t>
      </w:r>
      <w:r>
        <w:rPr>
          <w:rFonts w:cs="Arial" w:hint="cs"/>
          <w:sz w:val="16"/>
          <w:szCs w:val="16"/>
          <w:rtl/>
        </w:rPr>
        <w:t>,</w:t>
      </w:r>
      <w:r w:rsidRPr="00A125E5">
        <w:rPr>
          <w:rFonts w:cs="Arial"/>
          <w:sz w:val="16"/>
          <w:szCs w:val="16"/>
          <w:rtl/>
        </w:rPr>
        <w:t xml:space="preserve"> שהרי לא ראינו כלום שנפל לתוך של היתר</w:t>
      </w:r>
      <w:r>
        <w:rPr>
          <w:rFonts w:cs="Arial" w:hint="cs"/>
          <w:sz w:val="16"/>
          <w:szCs w:val="16"/>
          <w:rtl/>
        </w:rPr>
        <w:t>,</w:t>
      </w:r>
      <w:r w:rsidRPr="00A125E5">
        <w:rPr>
          <w:rFonts w:cs="Arial"/>
          <w:sz w:val="16"/>
          <w:szCs w:val="16"/>
          <w:rtl/>
        </w:rPr>
        <w:t xml:space="preserve"> וכן שנינו במסכת תרומות (פ"ז מ"ה) שתי קופות אחת של חולין ואחת של תרומה ונפלה סאה תרומה לתוך אחת מהן ואין ידוע לאי זו מהם נפלה הרי אני אומר לתוך של תרומה נפלה</w:t>
      </w:r>
      <w:r>
        <w:rPr>
          <w:rFonts w:cs="Arial" w:hint="cs"/>
          <w:sz w:val="16"/>
          <w:szCs w:val="16"/>
          <w:rtl/>
        </w:rPr>
        <w:t>, ב"י)</w:t>
      </w:r>
    </w:p>
    <w:p w14:paraId="6ABF3B19" w14:textId="77777777" w:rsidR="002C39F4" w:rsidRPr="0072763C" w:rsidRDefault="002C39F4" w:rsidP="002C39F4">
      <w:pPr>
        <w:rPr>
          <w:rFonts w:cs="Arial"/>
          <w:rtl/>
        </w:rPr>
      </w:pPr>
      <w:r w:rsidRPr="0072763C">
        <w:rPr>
          <w:rFonts w:cs="Arial"/>
          <w:b/>
          <w:bCs/>
          <w:rtl/>
        </w:rPr>
        <w:t xml:space="preserve">תוספתא </w:t>
      </w:r>
      <w:r w:rsidRPr="0072763C">
        <w:rPr>
          <w:rFonts w:cs="Arial"/>
          <w:b/>
          <w:bCs/>
          <w:sz w:val="16"/>
          <w:szCs w:val="16"/>
          <w:rtl/>
        </w:rPr>
        <w:t xml:space="preserve">(ליברמן) </w:t>
      </w:r>
      <w:r w:rsidRPr="0072763C">
        <w:rPr>
          <w:rFonts w:cs="Arial"/>
          <w:b/>
          <w:bCs/>
          <w:rtl/>
        </w:rPr>
        <w:t>תרומות פ</w:t>
      </w:r>
      <w:r w:rsidRPr="0072763C">
        <w:rPr>
          <w:rFonts w:cs="Arial" w:hint="cs"/>
          <w:b/>
          <w:bCs/>
          <w:rtl/>
        </w:rPr>
        <w:t>"</w:t>
      </w:r>
      <w:r w:rsidRPr="0072763C">
        <w:rPr>
          <w:rFonts w:cs="Arial"/>
          <w:b/>
          <w:bCs/>
          <w:rtl/>
        </w:rPr>
        <w:t xml:space="preserve">ח </w:t>
      </w:r>
      <w:r w:rsidRPr="0072763C">
        <w:rPr>
          <w:rFonts w:cs="Arial" w:hint="cs"/>
          <w:b/>
          <w:bCs/>
          <w:rtl/>
        </w:rPr>
        <w:t>הי"ז:</w:t>
      </w:r>
      <w:r>
        <w:rPr>
          <w:rFonts w:cs="Arial" w:hint="cs"/>
          <w:rtl/>
        </w:rPr>
        <w:t xml:space="preserve"> </w:t>
      </w:r>
      <w:r w:rsidRPr="0072763C">
        <w:rPr>
          <w:rFonts w:cs="Arial"/>
          <w:rtl/>
        </w:rPr>
        <w:t xml:space="preserve">היו לפניו שתי מדוכות אחת של חולין ואחת של תרומה ולפניו קדרה אחת של חולין נתן מאחת מהן ואין ידוע מאי זה מהן </w:t>
      </w:r>
      <w:r>
        <w:rPr>
          <w:rFonts w:cs="Arial"/>
          <w:rtl/>
        </w:rPr>
        <w:t>נתן הריני או' מתוך של חולין נתן</w:t>
      </w:r>
      <w:r>
        <w:rPr>
          <w:rFonts w:cs="Arial" w:hint="cs"/>
          <w:rtl/>
        </w:rPr>
        <w:t xml:space="preserve">. </w:t>
      </w:r>
      <w:r w:rsidRPr="0072763C">
        <w:rPr>
          <w:rFonts w:cs="Arial" w:hint="cs"/>
          <w:sz w:val="16"/>
          <w:szCs w:val="16"/>
          <w:rtl/>
        </w:rPr>
        <w:t>(</w:t>
      </w:r>
      <w:r>
        <w:rPr>
          <w:rFonts w:cs="Arial" w:hint="cs"/>
          <w:sz w:val="16"/>
          <w:szCs w:val="16"/>
          <w:rtl/>
        </w:rPr>
        <w:t>מכאן פסק</w:t>
      </w:r>
      <w:r w:rsidRPr="0072763C">
        <w:rPr>
          <w:rFonts w:cs="Arial" w:hint="cs"/>
          <w:sz w:val="16"/>
          <w:szCs w:val="16"/>
          <w:rtl/>
        </w:rPr>
        <w:t xml:space="preserve"> הרשב"א- </w:t>
      </w:r>
      <w:r w:rsidRPr="0072763C">
        <w:rPr>
          <w:rFonts w:cs="Arial"/>
          <w:sz w:val="16"/>
          <w:szCs w:val="16"/>
          <w:rtl/>
        </w:rPr>
        <w:t>וכן הדין אם לא היתה כאן אלא קדרה אחת של בשר שחוטה ונפל בה אחת מאלו שתי החתיכות ואין ידו</w:t>
      </w:r>
      <w:r>
        <w:rPr>
          <w:rFonts w:cs="Arial"/>
          <w:sz w:val="16"/>
          <w:szCs w:val="16"/>
          <w:rtl/>
        </w:rPr>
        <w:t>ע אי זו אנו תולין דשל היתר נפלה</w:t>
      </w:r>
      <w:r>
        <w:rPr>
          <w:rFonts w:cs="Arial" w:hint="cs"/>
          <w:sz w:val="16"/>
          <w:szCs w:val="16"/>
          <w:rtl/>
        </w:rPr>
        <w:t>)</w:t>
      </w:r>
      <w:r w:rsidRPr="0072763C">
        <w:rPr>
          <w:rFonts w:cs="Arial"/>
          <w:sz w:val="16"/>
          <w:szCs w:val="16"/>
          <w:rtl/>
        </w:rPr>
        <w:t xml:space="preserve"> </w:t>
      </w:r>
    </w:p>
    <w:p w14:paraId="454B2106" w14:textId="77777777" w:rsidR="002C39F4" w:rsidRPr="0072763C" w:rsidRDefault="002C39F4" w:rsidP="002C39F4">
      <w:pPr>
        <w:rPr>
          <w:u w:val="single"/>
          <w:rtl/>
        </w:rPr>
      </w:pPr>
      <w:r w:rsidRPr="0072763C">
        <w:rPr>
          <w:rFonts w:hint="cs"/>
          <w:u w:val="single"/>
          <w:rtl/>
        </w:rPr>
        <w:t>איסור שנפל למקום אחד ואין ידוע לאיזה מקום נפל:</w:t>
      </w:r>
    </w:p>
    <w:p w14:paraId="6E3EAF14" w14:textId="77777777" w:rsidR="002C39F4" w:rsidRDefault="002C39F4" w:rsidP="0032102C">
      <w:pPr>
        <w:pStyle w:val="a8"/>
        <w:numPr>
          <w:ilvl w:val="0"/>
          <w:numId w:val="258"/>
        </w:numPr>
        <w:rPr>
          <w:rtl/>
        </w:rPr>
      </w:pPr>
      <w:r w:rsidRPr="007562DF">
        <w:rPr>
          <w:rFonts w:hint="cs"/>
          <w:rtl/>
        </w:rPr>
        <w:t xml:space="preserve">רשב"א </w:t>
      </w:r>
      <w:r w:rsidRPr="007562DF">
        <w:rPr>
          <w:rFonts w:cs="Arial"/>
          <w:sz w:val="16"/>
          <w:szCs w:val="16"/>
          <w:rtl/>
        </w:rPr>
        <w:t>(</w:t>
      </w:r>
      <w:r w:rsidRPr="007562DF">
        <w:rPr>
          <w:rFonts w:cs="Arial" w:hint="cs"/>
          <w:sz w:val="16"/>
          <w:szCs w:val="16"/>
          <w:rtl/>
        </w:rPr>
        <w:t>תוה"ק</w:t>
      </w:r>
      <w:r w:rsidRPr="007562DF">
        <w:rPr>
          <w:rFonts w:cs="Arial"/>
          <w:sz w:val="16"/>
          <w:szCs w:val="16"/>
          <w:rtl/>
        </w:rPr>
        <w:t xml:space="preserve"> ב"ד ש"ב כא:)</w:t>
      </w:r>
      <w:r w:rsidRPr="007562DF">
        <w:rPr>
          <w:rFonts w:cs="Arial"/>
          <w:rtl/>
        </w:rPr>
        <w:t xml:space="preserve"> </w:t>
      </w:r>
      <w:r w:rsidRPr="007562DF">
        <w:rPr>
          <w:rFonts w:cs="Arial" w:hint="cs"/>
          <w:rtl/>
        </w:rPr>
        <w:t>וטור</w:t>
      </w:r>
      <w:r w:rsidRPr="007562DF">
        <w:rPr>
          <w:rStyle w:val="a7"/>
          <w:rFonts w:cs="Arial"/>
          <w:rtl/>
        </w:rPr>
        <w:footnoteReference w:id="2561"/>
      </w:r>
      <w:r w:rsidRPr="007562DF">
        <w:rPr>
          <w:rFonts w:cs="Arial" w:hint="cs"/>
          <w:rtl/>
        </w:rPr>
        <w:t>-</w:t>
      </w:r>
      <w:r w:rsidRPr="007562DF">
        <w:rPr>
          <w:rFonts w:cs="Arial"/>
          <w:rtl/>
        </w:rPr>
        <w:t xml:space="preserve"> איסור שנפל למקום אחד ואין ידוע לאיזה מקום נפל יש בזה להקל</w:t>
      </w:r>
      <w:r w:rsidRPr="0072763C">
        <w:rPr>
          <w:rFonts w:cs="Arial"/>
          <w:rtl/>
        </w:rPr>
        <w:t xml:space="preserve"> ולהחמיר</w:t>
      </w:r>
      <w:r>
        <w:rPr>
          <w:rFonts w:cs="Arial" w:hint="cs"/>
          <w:rtl/>
        </w:rPr>
        <w:t>,</w:t>
      </w:r>
      <w:r w:rsidRPr="0072763C">
        <w:rPr>
          <w:rFonts w:cs="Arial"/>
          <w:rtl/>
        </w:rPr>
        <w:t xml:space="preserve"> כיצד</w:t>
      </w:r>
      <w:r>
        <w:rPr>
          <w:rFonts w:cs="Arial" w:hint="cs"/>
          <w:rtl/>
        </w:rPr>
        <w:t>,</w:t>
      </w:r>
      <w:r w:rsidRPr="0072763C">
        <w:rPr>
          <w:rFonts w:cs="Arial"/>
          <w:rtl/>
        </w:rPr>
        <w:t xml:space="preserve"> שתי קדרות אחת של היתר כגון בשר שחוטה</w:t>
      </w:r>
      <w:r>
        <w:rPr>
          <w:rFonts w:cs="Arial" w:hint="cs"/>
          <w:rtl/>
        </w:rPr>
        <w:t>,</w:t>
      </w:r>
      <w:r w:rsidRPr="0072763C">
        <w:rPr>
          <w:rFonts w:cs="Arial"/>
          <w:rtl/>
        </w:rPr>
        <w:t xml:space="preserve"> ואחת של איסור כגון בשר נבלה</w:t>
      </w:r>
      <w:r>
        <w:rPr>
          <w:rFonts w:cs="Arial" w:hint="cs"/>
          <w:rtl/>
        </w:rPr>
        <w:t>,</w:t>
      </w:r>
      <w:r w:rsidRPr="0072763C">
        <w:rPr>
          <w:rFonts w:cs="Arial"/>
          <w:rtl/>
        </w:rPr>
        <w:t xml:space="preserve"> ולפניהם ב' חתיכות אחת של היתר ואחת של איסור</w:t>
      </w:r>
      <w:r>
        <w:rPr>
          <w:rFonts w:cs="Arial" w:hint="cs"/>
          <w:rtl/>
        </w:rPr>
        <w:t>,</w:t>
      </w:r>
      <w:r w:rsidRPr="0072763C">
        <w:rPr>
          <w:rFonts w:cs="Arial"/>
          <w:rtl/>
        </w:rPr>
        <w:t xml:space="preserve"> אם החתיכה היה מאיסור דרבנן</w:t>
      </w:r>
      <w:r>
        <w:rPr>
          <w:rStyle w:val="a7"/>
          <w:rFonts w:cs="Arial"/>
          <w:rtl/>
        </w:rPr>
        <w:footnoteReference w:id="2562"/>
      </w:r>
      <w:r w:rsidRPr="0072763C">
        <w:rPr>
          <w:rFonts w:cs="Arial"/>
          <w:rtl/>
        </w:rPr>
        <w:t xml:space="preserve"> כגון שמנו של גיד הנשה</w:t>
      </w:r>
      <w:r>
        <w:rPr>
          <w:rFonts w:cs="Arial" w:hint="cs"/>
          <w:rtl/>
        </w:rPr>
        <w:t>,</w:t>
      </w:r>
      <w:r w:rsidRPr="0072763C">
        <w:rPr>
          <w:rFonts w:cs="Arial"/>
          <w:rtl/>
        </w:rPr>
        <w:t xml:space="preserve"> ונפלו אלו לתוך אלו מותרין</w:t>
      </w:r>
      <w:r>
        <w:rPr>
          <w:rFonts w:cs="Arial" w:hint="cs"/>
          <w:rtl/>
        </w:rPr>
        <w:t>,</w:t>
      </w:r>
      <w:r w:rsidRPr="0072763C">
        <w:rPr>
          <w:rFonts w:cs="Arial"/>
          <w:rtl/>
        </w:rPr>
        <w:t xml:space="preserve"> שאנו תולין לומר האיסור נפל לתוך האיסור וההיתר לתוך של היתר</w:t>
      </w:r>
      <w:r>
        <w:rPr>
          <w:rFonts w:cs="Arial" w:hint="cs"/>
          <w:rtl/>
        </w:rPr>
        <w:t>,</w:t>
      </w:r>
      <w:r w:rsidRPr="0072763C">
        <w:rPr>
          <w:rFonts w:cs="Arial"/>
          <w:rtl/>
        </w:rPr>
        <w:t xml:space="preserve"> ואפילו אם ההיתר שבקדרה אינו רבה על האיסור שלפניה</w:t>
      </w:r>
      <w:r>
        <w:rPr>
          <w:rFonts w:cs="Arial" w:hint="cs"/>
          <w:rtl/>
        </w:rPr>
        <w:t>.</w:t>
      </w:r>
      <w:r w:rsidRPr="0072763C">
        <w:rPr>
          <w:rFonts w:cs="Arial"/>
          <w:rtl/>
        </w:rPr>
        <w:t xml:space="preserve"> וכן הדין אם לא היה כאן אלא קדרה אחת של בשר שחוטה ונפל בה אחת מאלו שתי החתיכות ואין ידוע איזו אנו תולין דשל היתר נפל</w:t>
      </w:r>
      <w:r>
        <w:rPr>
          <w:rFonts w:cs="Arial" w:hint="cs"/>
          <w:rtl/>
        </w:rPr>
        <w:t>,</w:t>
      </w:r>
      <w:r w:rsidRPr="0072763C">
        <w:rPr>
          <w:rFonts w:cs="Arial"/>
          <w:rtl/>
        </w:rPr>
        <w:t xml:space="preserve"> אפי' אין ההיתר רבה על האיסור</w:t>
      </w:r>
      <w:r>
        <w:rPr>
          <w:rFonts w:cs="Arial" w:hint="cs"/>
          <w:rtl/>
        </w:rPr>
        <w:t>,</w:t>
      </w:r>
      <w:r w:rsidRPr="0072763C">
        <w:rPr>
          <w:rFonts w:cs="Arial"/>
          <w:rtl/>
        </w:rPr>
        <w:t xml:space="preserve"> או אם לא היה כאן אלא חתיכה אחת באיסור דרבנן ויש שתי קדרות אחת של היתר ואחת של איסור ואין ידוע לאיזה נפלה גם בזה תולין להקל</w:t>
      </w:r>
      <w:r w:rsidRPr="0072763C">
        <w:rPr>
          <w:rFonts w:cs="Arial" w:hint="cs"/>
          <w:sz w:val="16"/>
          <w:szCs w:val="16"/>
          <w:rtl/>
        </w:rPr>
        <w:t xml:space="preserve"> (ל' הטור בשם הרשב"א)</w:t>
      </w:r>
      <w:r w:rsidRPr="0072763C">
        <w:rPr>
          <w:rFonts w:cs="Arial" w:hint="cs"/>
          <w:rtl/>
        </w:rPr>
        <w:t>.</w:t>
      </w:r>
      <w:r>
        <w:rPr>
          <w:rFonts w:hint="cs"/>
          <w:rtl/>
        </w:rPr>
        <w:t xml:space="preserve"> </w:t>
      </w:r>
      <w:r w:rsidRPr="009D55B6">
        <w:rPr>
          <w:rFonts w:hint="cs"/>
          <w:color w:val="E36C0A" w:themeColor="accent6" w:themeShade="BF"/>
          <w:rtl/>
        </w:rPr>
        <w:t>(וכ"פ בשו"ע)</w:t>
      </w:r>
    </w:p>
    <w:p w14:paraId="75CF928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35B723" w14:textId="77777777" w:rsidR="002C39F4" w:rsidRDefault="002C39F4" w:rsidP="002C39F4">
      <w:pPr>
        <w:rPr>
          <w:rFonts w:asciiTheme="minorBidi" w:hAnsiTheme="minorBidi"/>
          <w:rtl/>
        </w:rPr>
      </w:pPr>
      <w:r w:rsidRPr="003024E5">
        <w:rPr>
          <w:rFonts w:asciiTheme="minorBidi" w:hAnsiTheme="minorBidi"/>
          <w:rtl/>
        </w:rPr>
        <w:t xml:space="preserve">שתי </w:t>
      </w:r>
      <w:r>
        <w:rPr>
          <w:rFonts w:asciiTheme="minorBidi" w:hAnsiTheme="minorBidi"/>
          <w:rtl/>
        </w:rPr>
        <w:t>קדרות אחת של היתר ואחת של איסור</w:t>
      </w:r>
      <w:r w:rsidRPr="003024E5">
        <w:rPr>
          <w:rFonts w:asciiTheme="minorBidi" w:hAnsiTheme="minorBidi"/>
          <w:rtl/>
        </w:rPr>
        <w:t xml:space="preserve"> ולפניו שתי ח</w:t>
      </w:r>
      <w:r>
        <w:rPr>
          <w:rFonts w:asciiTheme="minorBidi" w:hAnsiTheme="minorBidi"/>
          <w:rtl/>
        </w:rPr>
        <w:t>תיכות אחת של היתר ואחת של איסור</w:t>
      </w:r>
      <w:r>
        <w:rPr>
          <w:rFonts w:asciiTheme="minorBidi" w:hAnsiTheme="minorBidi" w:hint="cs"/>
          <w:rtl/>
        </w:rPr>
        <w:t>,</w:t>
      </w:r>
      <w:r w:rsidRPr="003024E5">
        <w:rPr>
          <w:rFonts w:asciiTheme="minorBidi" w:hAnsiTheme="minorBidi"/>
          <w:rtl/>
        </w:rPr>
        <w:t xml:space="preserve"> אם החתיכה היא מאיסור דרבנן כגון ש</w:t>
      </w:r>
      <w:r>
        <w:rPr>
          <w:rFonts w:asciiTheme="minorBidi" w:hAnsiTheme="minorBidi"/>
          <w:rtl/>
        </w:rPr>
        <w:t>ומנו של גיד</w:t>
      </w:r>
      <w:r>
        <w:rPr>
          <w:rStyle w:val="a7"/>
          <w:rFonts w:asciiTheme="minorBidi" w:hAnsiTheme="minorBidi"/>
          <w:rtl/>
        </w:rPr>
        <w:footnoteReference w:id="2563"/>
      </w:r>
      <w:r>
        <w:rPr>
          <w:rFonts w:asciiTheme="minorBidi" w:hAnsiTheme="minorBidi"/>
          <w:rtl/>
        </w:rPr>
        <w:t>, ונפלו אלו לתוך אלו</w:t>
      </w:r>
      <w:r w:rsidRPr="003024E5">
        <w:rPr>
          <w:rFonts w:asciiTheme="minorBidi" w:hAnsiTheme="minorBidi"/>
          <w:rtl/>
        </w:rPr>
        <w:t xml:space="preserve"> מותרים, שאנו תולים לומר האיסור נפל </w:t>
      </w:r>
      <w:r>
        <w:rPr>
          <w:rFonts w:asciiTheme="minorBidi" w:hAnsiTheme="minorBidi"/>
          <w:rtl/>
        </w:rPr>
        <w:t>לתוך האיסור וההיתר לתוך של היתר</w:t>
      </w:r>
      <w:r>
        <w:rPr>
          <w:rFonts w:asciiTheme="minorBidi" w:hAnsiTheme="minorBidi" w:hint="cs"/>
          <w:rtl/>
        </w:rPr>
        <w:t>,</w:t>
      </w:r>
      <w:r w:rsidRPr="003024E5">
        <w:rPr>
          <w:rFonts w:asciiTheme="minorBidi" w:hAnsiTheme="minorBidi"/>
          <w:rtl/>
        </w:rPr>
        <w:t xml:space="preserve"> ואפילו אם ההיתר שבקדרה אינה רבה על שלפניה. וכן הדין אם לא היה</w:t>
      </w:r>
      <w:r>
        <w:rPr>
          <w:rFonts w:asciiTheme="minorBidi" w:hAnsiTheme="minorBidi"/>
          <w:rtl/>
        </w:rPr>
        <w:t xml:space="preserve"> כאן אלא קדירה אחת של בשר שחוטה ונפל בה אחת מאלו השתי החתיכות ואין ידוע איזו היא</w:t>
      </w:r>
      <w:r w:rsidRPr="003024E5">
        <w:rPr>
          <w:rFonts w:asciiTheme="minorBidi" w:hAnsiTheme="minorBidi"/>
          <w:rtl/>
        </w:rPr>
        <w:t xml:space="preserve"> אנו תולין דשל היתר נפלה</w:t>
      </w:r>
      <w:r>
        <w:rPr>
          <w:rStyle w:val="a7"/>
          <w:rFonts w:asciiTheme="minorBidi" w:hAnsiTheme="minorBidi"/>
          <w:rtl/>
        </w:rPr>
        <w:footnoteReference w:id="2564"/>
      </w:r>
      <w:r>
        <w:rPr>
          <w:rFonts w:asciiTheme="minorBidi" w:hAnsiTheme="minorBidi"/>
          <w:rtl/>
        </w:rPr>
        <w:t>, אפילו אין ההיתר רבה על האיסור</w:t>
      </w:r>
      <w:r>
        <w:rPr>
          <w:rFonts w:asciiTheme="minorBidi" w:hAnsiTheme="minorBidi" w:hint="cs"/>
          <w:rtl/>
        </w:rPr>
        <w:t>.</w:t>
      </w:r>
      <w:r w:rsidRPr="003024E5">
        <w:rPr>
          <w:rFonts w:asciiTheme="minorBidi" w:hAnsiTheme="minorBidi"/>
          <w:rtl/>
        </w:rPr>
        <w:t xml:space="preserve"> או אם לא היה</w:t>
      </w:r>
      <w:r>
        <w:rPr>
          <w:rFonts w:asciiTheme="minorBidi" w:hAnsiTheme="minorBidi"/>
          <w:rtl/>
        </w:rPr>
        <w:t xml:space="preserve"> כאן אלא חתיכה אחת מאיסור דרבנן ויש שתי קדירות אחת של היתר ואחת של איסור</w:t>
      </w:r>
      <w:r w:rsidRPr="003024E5">
        <w:rPr>
          <w:rFonts w:asciiTheme="minorBidi" w:hAnsiTheme="minorBidi"/>
          <w:rtl/>
        </w:rPr>
        <w:t xml:space="preserve"> ואין ידוע לאיזו נפלה</w:t>
      </w:r>
      <w:r>
        <w:rPr>
          <w:rStyle w:val="a7"/>
          <w:rFonts w:asciiTheme="minorBidi" w:hAnsiTheme="minorBidi"/>
          <w:rtl/>
        </w:rPr>
        <w:footnoteReference w:id="2565"/>
      </w:r>
      <w:r w:rsidRPr="003024E5">
        <w:rPr>
          <w:rFonts w:asciiTheme="minorBidi" w:hAnsiTheme="minorBidi"/>
          <w:rtl/>
        </w:rPr>
        <w:t xml:space="preserve">, גם בזו תולין להקל. </w:t>
      </w:r>
    </w:p>
    <w:p w14:paraId="22BF8F0F" w14:textId="77777777" w:rsidR="002C39F4" w:rsidRPr="00186FFF" w:rsidRDefault="002C39F4" w:rsidP="002C39F4">
      <w:pPr>
        <w:rPr>
          <w:rFonts w:asciiTheme="minorBidi" w:hAnsiTheme="minorBidi" w:cs="Arial"/>
          <w:sz w:val="16"/>
          <w:szCs w:val="16"/>
          <w:rtl/>
        </w:rPr>
      </w:pPr>
      <w:r w:rsidRPr="00186FFF">
        <w:rPr>
          <w:rFonts w:asciiTheme="minorBidi" w:hAnsiTheme="minorBidi" w:cs="Arial" w:hint="cs"/>
          <w:u w:val="single"/>
          <w:rtl/>
        </w:rPr>
        <w:t xml:space="preserve">אחת מהקדירות אסורה מספק </w:t>
      </w:r>
      <w:r w:rsidRPr="00186FFF">
        <w:rPr>
          <w:rFonts w:asciiTheme="minorBidi" w:hAnsiTheme="minorBidi" w:cs="Arial"/>
          <w:u w:val="single"/>
          <w:rtl/>
        </w:rPr>
        <w:t>–</w:t>
      </w:r>
      <w:r w:rsidRPr="00186FFF">
        <w:rPr>
          <w:rFonts w:asciiTheme="minorBidi" w:hAnsiTheme="minorBidi" w:cs="Arial" w:hint="cs"/>
          <w:u w:val="single"/>
          <w:rtl/>
        </w:rPr>
        <w:t xml:space="preserve"> האם אפשר לתלות שנפל בה האיסור:</w:t>
      </w:r>
      <w:r>
        <w:rPr>
          <w:rFonts w:asciiTheme="minorBidi" w:hAnsiTheme="minorBidi" w:cs="Arial" w:hint="cs"/>
          <w:rtl/>
        </w:rPr>
        <w:t xml:space="preserve"> </w:t>
      </w:r>
      <w:r w:rsidRPr="00186FFF">
        <w:rPr>
          <w:rFonts w:asciiTheme="minorBidi" w:hAnsiTheme="minorBidi" w:cs="Arial"/>
          <w:sz w:val="16"/>
          <w:szCs w:val="16"/>
          <w:rtl/>
        </w:rPr>
        <w:t>(</w:t>
      </w:r>
      <w:r w:rsidRPr="00186FFF">
        <w:rPr>
          <w:rFonts w:asciiTheme="minorBidi" w:hAnsiTheme="minorBidi" w:cs="Arial" w:hint="cs"/>
          <w:sz w:val="16"/>
          <w:szCs w:val="16"/>
          <w:rtl/>
        </w:rPr>
        <w:t>פת"ש סק"</w:t>
      </w:r>
      <w:r w:rsidRPr="00186FFF">
        <w:rPr>
          <w:rFonts w:asciiTheme="minorBidi" w:hAnsiTheme="minorBidi" w:cs="Arial"/>
          <w:sz w:val="16"/>
          <w:szCs w:val="16"/>
          <w:rtl/>
        </w:rPr>
        <w:t xml:space="preserve">ב) </w:t>
      </w:r>
    </w:p>
    <w:p w14:paraId="29E00805" w14:textId="77777777" w:rsidR="002C39F4" w:rsidRPr="006F09CA" w:rsidRDefault="002C39F4" w:rsidP="0032102C">
      <w:pPr>
        <w:pStyle w:val="a8"/>
        <w:numPr>
          <w:ilvl w:val="0"/>
          <w:numId w:val="258"/>
        </w:numPr>
        <w:rPr>
          <w:rFonts w:asciiTheme="minorBidi" w:hAnsiTheme="minorBidi"/>
          <w:rtl/>
        </w:rPr>
      </w:pPr>
      <w:r w:rsidRPr="00186FFF">
        <w:rPr>
          <w:rFonts w:asciiTheme="minorBidi" w:hAnsiTheme="minorBidi" w:cs="Arial"/>
          <w:rtl/>
        </w:rPr>
        <w:t xml:space="preserve">שמן רוקח </w:t>
      </w:r>
      <w:r w:rsidRPr="00186FFF">
        <w:rPr>
          <w:rFonts w:asciiTheme="minorBidi" w:hAnsiTheme="minorBidi" w:cs="Arial" w:hint="cs"/>
          <w:sz w:val="16"/>
          <w:szCs w:val="16"/>
          <w:rtl/>
        </w:rPr>
        <w:t>(</w:t>
      </w:r>
      <w:r w:rsidRPr="00186FFF">
        <w:rPr>
          <w:rFonts w:asciiTheme="minorBidi" w:hAnsiTheme="minorBidi" w:cs="Arial"/>
          <w:sz w:val="16"/>
          <w:szCs w:val="16"/>
          <w:rtl/>
        </w:rPr>
        <w:t>ח"א סי' לז</w:t>
      </w:r>
      <w:r w:rsidRPr="00186FFF">
        <w:rPr>
          <w:rFonts w:asciiTheme="minorBidi" w:hAnsiTheme="minorBidi" w:cs="Arial" w:hint="cs"/>
          <w:sz w:val="16"/>
          <w:szCs w:val="16"/>
          <w:rtl/>
        </w:rPr>
        <w:t>,</w:t>
      </w:r>
      <w:r w:rsidRPr="00186FFF">
        <w:rPr>
          <w:rFonts w:asciiTheme="minorBidi" w:hAnsiTheme="minorBidi" w:cs="Arial"/>
          <w:sz w:val="16"/>
          <w:szCs w:val="16"/>
          <w:rtl/>
        </w:rPr>
        <w:t>לח</w:t>
      </w:r>
      <w:r w:rsidRPr="00186FFF">
        <w:rPr>
          <w:rFonts w:asciiTheme="minorBidi" w:hAnsiTheme="minorBidi" w:cs="Arial" w:hint="cs"/>
          <w:sz w:val="16"/>
          <w:szCs w:val="16"/>
          <w:rtl/>
        </w:rPr>
        <w:t>,</w:t>
      </w:r>
      <w:r w:rsidRPr="00186FFF">
        <w:rPr>
          <w:rFonts w:asciiTheme="minorBidi" w:hAnsiTheme="minorBidi" w:cs="Arial"/>
          <w:sz w:val="16"/>
          <w:szCs w:val="16"/>
          <w:rtl/>
        </w:rPr>
        <w:t>לט</w:t>
      </w:r>
      <w:r w:rsidRPr="00186FFF">
        <w:rPr>
          <w:rFonts w:asciiTheme="minorBidi" w:hAnsiTheme="minorBidi" w:cs="Arial" w:hint="cs"/>
          <w:sz w:val="16"/>
          <w:szCs w:val="16"/>
          <w:rtl/>
        </w:rPr>
        <w:t>)</w:t>
      </w:r>
      <w:r w:rsidRPr="00186FFF">
        <w:rPr>
          <w:rFonts w:asciiTheme="minorBidi" w:hAnsiTheme="minorBidi" w:cs="Arial" w:hint="cs"/>
          <w:rtl/>
        </w:rPr>
        <w:t xml:space="preserve">- </w:t>
      </w:r>
      <w:r w:rsidRPr="00186FFF">
        <w:rPr>
          <w:rFonts w:asciiTheme="minorBidi" w:hAnsiTheme="minorBidi" w:cs="Arial"/>
          <w:rtl/>
        </w:rPr>
        <w:t xml:space="preserve">אף אם אחת מהקדרות אינו אסור אלא מספק אפ"ה תולין בו ולכן כתב במעשה שהיו עומדים ג' קדרות של היתר ונפל איסור דרבנן לאחד מב' קדרות מהם ובקדרה שלישית עדיין לא היה שום ספק ואח"ז נפל איסור דרבנן לאחד מהקדרות ונולד לנו ספק בקדרה שלישית ועל אחד מהראשונות. דהב' קדרות הראשונות ודאי אסורים כדלקמן סעיף ה' והקדרה הג' מותר דתולין אותו בב' קדרות שנאסרו כבר אך אם לא נודע הספק הראשון עד אחר שנולד השני יש להתיישב בדבר ובהפ"מ יש להקל. </w:t>
      </w:r>
      <w:r>
        <w:rPr>
          <w:rFonts w:asciiTheme="minorBidi" w:hAnsiTheme="minorBidi" w:cs="Arial" w:hint="cs"/>
          <w:rtl/>
        </w:rPr>
        <w:t>ו</w:t>
      </w:r>
      <w:r w:rsidRPr="006F09CA">
        <w:rPr>
          <w:rFonts w:asciiTheme="minorBidi" w:hAnsiTheme="minorBidi" w:cs="Arial"/>
          <w:rtl/>
        </w:rPr>
        <w:t>אם לא נודע הספק הא' מהקדרות הנ"ל עד שנודע השני אז י"ל קצת דאף הא' מהראשונים אשר אין בה ספק בפעם שניה מותרת אך לא מלאו לבו להתיר בזה ע"ש טעמו:</w:t>
      </w:r>
    </w:p>
    <w:p w14:paraId="12A06BEE" w14:textId="77777777" w:rsidR="002C39F4" w:rsidRPr="003024E5" w:rsidRDefault="002C39F4" w:rsidP="002C39F4">
      <w:pPr>
        <w:rPr>
          <w:rFonts w:asciiTheme="minorBidi" w:hAnsiTheme="minorBidi"/>
          <w:rtl/>
        </w:rPr>
      </w:pPr>
    </w:p>
    <w:p w14:paraId="2F594135"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xml:space="preserve">: </w:t>
      </w:r>
      <w:r w:rsidRPr="00BA1DE9">
        <w:rPr>
          <w:rFonts w:asciiTheme="minorBidi" w:hAnsiTheme="minorBidi"/>
          <w:rtl/>
        </w:rPr>
        <w:t xml:space="preserve">איסור </w:t>
      </w:r>
      <w:r>
        <w:rPr>
          <w:rFonts w:asciiTheme="minorBidi" w:hAnsiTheme="minorBidi" w:hint="cs"/>
          <w:rtl/>
        </w:rPr>
        <w:t xml:space="preserve">דרבנן </w:t>
      </w:r>
      <w:r w:rsidRPr="00BA1DE9">
        <w:rPr>
          <w:rFonts w:asciiTheme="minorBidi" w:hAnsiTheme="minorBidi"/>
          <w:rtl/>
        </w:rPr>
        <w:t>שנפל ל</w:t>
      </w:r>
      <w:r>
        <w:rPr>
          <w:rFonts w:asciiTheme="minorBidi" w:hAnsiTheme="minorBidi" w:hint="cs"/>
          <w:rtl/>
        </w:rPr>
        <w:t xml:space="preserve">קדרה ואין ידוע לאיזו </w:t>
      </w:r>
      <w:r>
        <w:rPr>
          <w:rFonts w:asciiTheme="minorBidi" w:hAnsiTheme="minorBidi"/>
          <w:rtl/>
        </w:rPr>
        <w:t>–</w:t>
      </w:r>
      <w:r>
        <w:rPr>
          <w:rFonts w:asciiTheme="minorBidi" w:hAnsiTheme="minorBidi" w:hint="cs"/>
          <w:rtl/>
        </w:rPr>
        <w:t xml:space="preserve"> והאיסור רבה על ההיתר.</w:t>
      </w:r>
    </w:p>
    <w:p w14:paraId="0E276D7E" w14:textId="77777777" w:rsidR="002C39F4" w:rsidRDefault="002C39F4" w:rsidP="002C39F4">
      <w:pPr>
        <w:rPr>
          <w:rtl/>
        </w:rPr>
      </w:pPr>
      <w:r>
        <w:rPr>
          <w:rFonts w:cs="Arial" w:hint="cs"/>
          <w:b/>
          <w:bCs/>
          <w:rtl/>
        </w:rPr>
        <w:t xml:space="preserve">יבמות פב ע"א: </w:t>
      </w:r>
      <w:r w:rsidRPr="002A24D1">
        <w:rPr>
          <w:rFonts w:cs="Arial"/>
          <w:u w:val="single"/>
          <w:rtl/>
        </w:rPr>
        <w:t>ואמר ריש לקיש</w:t>
      </w:r>
      <w:r w:rsidRPr="007738D7">
        <w:rPr>
          <w:rFonts w:cs="Arial"/>
          <w:rtl/>
        </w:rPr>
        <w:t xml:space="preserve">: והוא שרבו חולין על התרומה, </w:t>
      </w:r>
      <w:r w:rsidRPr="002A24D1">
        <w:rPr>
          <w:rFonts w:cs="Arial"/>
          <w:u w:val="single"/>
          <w:rtl/>
        </w:rPr>
        <w:t>ור' יוחנן אמר</w:t>
      </w:r>
      <w:r w:rsidRPr="007738D7">
        <w:rPr>
          <w:rFonts w:cs="Arial"/>
          <w:rtl/>
        </w:rPr>
        <w:t>: אף על פי שלא רבו חולין על התרומה</w:t>
      </w:r>
      <w:r>
        <w:rPr>
          <w:rStyle w:val="a7"/>
          <w:rFonts w:cs="Arial"/>
          <w:rtl/>
        </w:rPr>
        <w:footnoteReference w:id="2566"/>
      </w:r>
      <w:r w:rsidRPr="007738D7">
        <w:rPr>
          <w:rFonts w:cs="Arial"/>
          <w:rtl/>
        </w:rPr>
        <w:t>; בשלמא לריש לקיש, קסבר: בדרבנן נמי רבויא הוא דבעינן, אלא לרבי יוחנן קשיא</w:t>
      </w:r>
      <w:r>
        <w:rPr>
          <w:rStyle w:val="a7"/>
          <w:rFonts w:cs="Arial"/>
          <w:rtl/>
        </w:rPr>
        <w:footnoteReference w:id="2567"/>
      </w:r>
      <w:r w:rsidRPr="007738D7">
        <w:rPr>
          <w:rFonts w:cs="Arial"/>
          <w:rtl/>
        </w:rPr>
        <w:t>! הא מני? רבנן היא</w:t>
      </w:r>
      <w:r>
        <w:rPr>
          <w:rStyle w:val="a7"/>
          <w:rFonts w:cs="Arial"/>
          <w:rtl/>
        </w:rPr>
        <w:footnoteReference w:id="2568"/>
      </w:r>
      <w:r w:rsidRPr="007738D7">
        <w:rPr>
          <w:rFonts w:cs="Arial"/>
          <w:rtl/>
        </w:rPr>
        <w:t>,</w:t>
      </w:r>
      <w:r w:rsidRPr="007738D7">
        <w:rPr>
          <w:rtl/>
        </w:rPr>
        <w:t xml:space="preserve"> </w:t>
      </w:r>
      <w:r>
        <w:rPr>
          <w:rFonts w:cs="Arial" w:hint="cs"/>
          <w:sz w:val="14"/>
          <w:szCs w:val="14"/>
          <w:rtl/>
        </w:rPr>
        <w:t>(פב:)</w:t>
      </w:r>
      <w:r>
        <w:rPr>
          <w:rFonts w:cs="Arial" w:hint="cs"/>
          <w:rtl/>
        </w:rPr>
        <w:t xml:space="preserve"> </w:t>
      </w:r>
      <w:r w:rsidRPr="007738D7">
        <w:rPr>
          <w:rFonts w:cs="Arial"/>
          <w:rtl/>
        </w:rPr>
        <w:t>ואנא דאמרי כרבי יוסי</w:t>
      </w:r>
      <w:r>
        <w:rPr>
          <w:rStyle w:val="a7"/>
          <w:rFonts w:cs="Arial"/>
          <w:rtl/>
        </w:rPr>
        <w:footnoteReference w:id="2569"/>
      </w:r>
      <w:r w:rsidRPr="007738D7">
        <w:rPr>
          <w:rFonts w:cs="Arial"/>
          <w:rtl/>
        </w:rPr>
        <w:t>; דתניא בסדר עולם: אשר ירשו אבותיך וירשתה - ירושה ראשונה</w:t>
      </w:r>
      <w:r>
        <w:rPr>
          <w:rStyle w:val="a7"/>
          <w:rFonts w:cs="Arial"/>
          <w:rtl/>
        </w:rPr>
        <w:footnoteReference w:id="2570"/>
      </w:r>
      <w:r w:rsidRPr="007738D7">
        <w:rPr>
          <w:rFonts w:cs="Arial"/>
          <w:rtl/>
        </w:rPr>
        <w:t xml:space="preserve"> ושניה יש להן, ושלישית אין להן</w:t>
      </w:r>
      <w:r>
        <w:rPr>
          <w:rStyle w:val="a7"/>
          <w:rFonts w:cs="Arial"/>
          <w:rtl/>
        </w:rPr>
        <w:footnoteReference w:id="2571"/>
      </w:r>
      <w:r>
        <w:rPr>
          <w:rFonts w:cs="Arial" w:hint="cs"/>
          <w:rtl/>
        </w:rPr>
        <w:t>.</w:t>
      </w:r>
      <w:r w:rsidRPr="00A125E5">
        <w:rPr>
          <w:rtl/>
        </w:rPr>
        <w:t xml:space="preserve"> </w:t>
      </w:r>
      <w:r w:rsidRPr="006A30BB">
        <w:rPr>
          <w:rFonts w:cs="Arial"/>
          <w:u w:val="single"/>
          <w:rtl/>
        </w:rPr>
        <w:t>וא"ר יוחנן</w:t>
      </w:r>
      <w:r w:rsidRPr="006A30BB">
        <w:rPr>
          <w:rFonts w:cs="Arial"/>
          <w:rtl/>
        </w:rPr>
        <w:t>: מאן תנא סדר עולם? רבי יוסי</w:t>
      </w:r>
      <w:r>
        <w:rPr>
          <w:rFonts w:hint="cs"/>
          <w:rtl/>
        </w:rPr>
        <w:t>.</w:t>
      </w:r>
      <w:r w:rsidRPr="00BA1DE9">
        <w:rPr>
          <w:rtl/>
        </w:rPr>
        <w:t xml:space="preserve"> </w:t>
      </w:r>
      <w:r w:rsidRPr="00BA1DE9">
        <w:rPr>
          <w:rFonts w:cs="Arial"/>
          <w:rtl/>
        </w:rPr>
        <w:t xml:space="preserve">וסבר רבי יוחנן בדרבנן לא בעינן רבויא? והא תנן: מקוה שיש בו ארבעים סאה מכוונות, נתן סאה ונטל סאה - כשר, </w:t>
      </w:r>
      <w:r w:rsidRPr="00344B52">
        <w:rPr>
          <w:rFonts w:cs="Arial"/>
          <w:u w:val="single"/>
          <w:rtl/>
        </w:rPr>
        <w:t>וא"ר יהודה בר שילא אמר ר' אסי א"ר יוחנן</w:t>
      </w:r>
      <w:r w:rsidRPr="00BA1DE9">
        <w:rPr>
          <w:rFonts w:cs="Arial"/>
          <w:rtl/>
        </w:rPr>
        <w:t>: עד רובו; מאי לאו דנשתייר רובו! לא, דלא נשקול רובו. ואיבעית אימא: שאני הכא, דאיכא למימר שאני אומר</w:t>
      </w:r>
      <w:r>
        <w:rPr>
          <w:rStyle w:val="a7"/>
          <w:rFonts w:cs="Arial"/>
          <w:rtl/>
        </w:rPr>
        <w:footnoteReference w:id="2572"/>
      </w:r>
      <w:r w:rsidRPr="00BA1DE9">
        <w:rPr>
          <w:rFonts w:cs="Arial"/>
          <w:rtl/>
        </w:rPr>
        <w:t>.</w:t>
      </w:r>
      <w:r w:rsidRPr="00344B52">
        <w:rPr>
          <w:rFonts w:cs="Arial"/>
          <w:rtl/>
        </w:rPr>
        <w:t xml:space="preserve"> </w:t>
      </w:r>
      <w:r>
        <w:rPr>
          <w:rFonts w:cs="Arial" w:hint="cs"/>
          <w:sz w:val="16"/>
          <w:szCs w:val="16"/>
          <w:rtl/>
        </w:rPr>
        <w:t>(</w:t>
      </w:r>
      <w:r w:rsidRPr="00344B52">
        <w:rPr>
          <w:rFonts w:cs="Arial"/>
          <w:sz w:val="16"/>
          <w:szCs w:val="16"/>
          <w:rtl/>
        </w:rPr>
        <w:t>שמעינא מהא דאקשינן לרבי יוחנן ממקוה דאע"ג דלא בעי לרבי יוחנן רבוייא</w:t>
      </w:r>
      <w:r>
        <w:rPr>
          <w:rFonts w:cs="Arial" w:hint="cs"/>
          <w:sz w:val="16"/>
          <w:szCs w:val="16"/>
          <w:rtl/>
        </w:rPr>
        <w:t>,</w:t>
      </w:r>
      <w:r w:rsidRPr="00344B52">
        <w:rPr>
          <w:rFonts w:cs="Arial"/>
          <w:sz w:val="16"/>
          <w:szCs w:val="16"/>
          <w:rtl/>
        </w:rPr>
        <w:t xml:space="preserve"> מ"מ שיהיו חולין כתרומה מיהא בעי</w:t>
      </w:r>
      <w:r>
        <w:rPr>
          <w:rFonts w:cs="Arial" w:hint="cs"/>
          <w:sz w:val="16"/>
          <w:szCs w:val="16"/>
          <w:rtl/>
        </w:rPr>
        <w:t>,</w:t>
      </w:r>
      <w:r w:rsidRPr="00344B52">
        <w:rPr>
          <w:rFonts w:cs="Arial"/>
          <w:sz w:val="16"/>
          <w:szCs w:val="16"/>
          <w:rtl/>
        </w:rPr>
        <w:t xml:space="preserve"> דאי לאו הכי לא אמרינן שאני אומר</w:t>
      </w:r>
      <w:r>
        <w:rPr>
          <w:rFonts w:cs="Arial" w:hint="cs"/>
          <w:sz w:val="16"/>
          <w:szCs w:val="16"/>
          <w:rtl/>
        </w:rPr>
        <w:t>, ב"י)</w:t>
      </w:r>
    </w:p>
    <w:p w14:paraId="19A02915" w14:textId="77777777" w:rsidR="002C39F4" w:rsidRPr="00344B52" w:rsidRDefault="002C39F4" w:rsidP="002C39F4">
      <w:pPr>
        <w:rPr>
          <w:rFonts w:cs="Arial"/>
          <w:u w:val="single"/>
          <w:rtl/>
        </w:rPr>
      </w:pPr>
      <w:r w:rsidRPr="00344B52">
        <w:rPr>
          <w:rFonts w:asciiTheme="minorBidi" w:hAnsiTheme="minorBidi"/>
          <w:u w:val="single"/>
          <w:rtl/>
        </w:rPr>
        <w:t>איסור שנפל ל</w:t>
      </w:r>
      <w:r w:rsidRPr="00344B52">
        <w:rPr>
          <w:rFonts w:asciiTheme="minorBidi" w:hAnsiTheme="minorBidi" w:hint="cs"/>
          <w:u w:val="single"/>
          <w:rtl/>
        </w:rPr>
        <w:t xml:space="preserve">קדרה ואין ידוע לאיזו </w:t>
      </w:r>
      <w:r w:rsidRPr="00344B52">
        <w:rPr>
          <w:rFonts w:asciiTheme="minorBidi" w:hAnsiTheme="minorBidi"/>
          <w:u w:val="single"/>
          <w:rtl/>
        </w:rPr>
        <w:t>–</w:t>
      </w:r>
      <w:r w:rsidRPr="00344B52">
        <w:rPr>
          <w:rFonts w:asciiTheme="minorBidi" w:hAnsiTheme="minorBidi" w:hint="cs"/>
          <w:u w:val="single"/>
          <w:rtl/>
        </w:rPr>
        <w:t xml:space="preserve"> והאיסור רבה על ההיתר</w:t>
      </w:r>
      <w:r w:rsidRPr="00344B52">
        <w:rPr>
          <w:rFonts w:cs="Arial" w:hint="cs"/>
          <w:u w:val="single"/>
          <w:rtl/>
        </w:rPr>
        <w:t>:</w:t>
      </w:r>
    </w:p>
    <w:p w14:paraId="3054C7D9" w14:textId="77777777" w:rsidR="002C39F4" w:rsidRPr="007562DF" w:rsidRDefault="002C39F4" w:rsidP="0032102C">
      <w:pPr>
        <w:pStyle w:val="a8"/>
        <w:numPr>
          <w:ilvl w:val="0"/>
          <w:numId w:val="258"/>
        </w:numPr>
      </w:pPr>
      <w:r w:rsidRPr="007562DF">
        <w:rPr>
          <w:rFonts w:cs="Arial" w:hint="cs"/>
          <w:rtl/>
        </w:rPr>
        <w:t>רשב"א</w:t>
      </w:r>
      <w:r w:rsidRPr="007562DF">
        <w:rPr>
          <w:rFonts w:cs="Arial" w:hint="cs"/>
          <w:sz w:val="16"/>
          <w:szCs w:val="16"/>
          <w:rtl/>
        </w:rPr>
        <w:t xml:space="preserve"> (</w:t>
      </w:r>
      <w:r w:rsidRPr="007562DF">
        <w:rPr>
          <w:rFonts w:cs="Arial" w:hint="cs"/>
          <w:sz w:val="14"/>
          <w:szCs w:val="14"/>
          <w:rtl/>
        </w:rPr>
        <w:t>[תוה"ק ב"ד ש"ב]</w:t>
      </w:r>
      <w:r w:rsidRPr="007562DF">
        <w:rPr>
          <w:rFonts w:cs="Arial" w:hint="cs"/>
          <w:sz w:val="16"/>
          <w:szCs w:val="16"/>
          <w:rtl/>
        </w:rPr>
        <w:t xml:space="preserve"> להב' הטור)</w:t>
      </w:r>
      <w:r w:rsidRPr="007562DF">
        <w:rPr>
          <w:rFonts w:cs="Arial" w:hint="cs"/>
          <w:rtl/>
        </w:rPr>
        <w:t xml:space="preserve"> וטור-</w:t>
      </w:r>
      <w:r w:rsidRPr="007562DF">
        <w:rPr>
          <w:rFonts w:hint="cs"/>
          <w:rtl/>
        </w:rPr>
        <w:t xml:space="preserve"> </w:t>
      </w:r>
      <w:r w:rsidRPr="007562DF">
        <w:rPr>
          <w:rFonts w:cs="Arial"/>
          <w:rtl/>
        </w:rPr>
        <w:t>בד</w:t>
      </w:r>
      <w:r w:rsidRPr="007562DF">
        <w:rPr>
          <w:rFonts w:cs="Arial" w:hint="cs"/>
          <w:rtl/>
        </w:rPr>
        <w:t>"</w:t>
      </w:r>
      <w:r w:rsidRPr="007562DF">
        <w:rPr>
          <w:rFonts w:cs="Arial"/>
          <w:rtl/>
        </w:rPr>
        <w:t>א שתולין בכל אלו להקל אפי' אין ההיתר רבה על האיסור שאין</w:t>
      </w:r>
      <w:r w:rsidRPr="00344B52">
        <w:rPr>
          <w:rFonts w:cs="Arial"/>
          <w:rtl/>
        </w:rPr>
        <w:t xml:space="preserve"> </w:t>
      </w:r>
      <w:r w:rsidRPr="007562DF">
        <w:rPr>
          <w:rFonts w:cs="Arial"/>
          <w:rtl/>
        </w:rPr>
        <w:t>האיסור גם כן רבה על ההיתר אבל אם האיסור רבה על ההיתר אין תולין כל כך להקל</w:t>
      </w:r>
      <w:r w:rsidRPr="007562DF">
        <w:rPr>
          <w:rFonts w:cs="Arial" w:hint="cs"/>
          <w:rtl/>
        </w:rPr>
        <w:t>.</w:t>
      </w:r>
      <w:r w:rsidRPr="007562DF">
        <w:rPr>
          <w:rFonts w:hint="cs"/>
          <w:rtl/>
        </w:rPr>
        <w:t xml:space="preserve"> </w:t>
      </w:r>
      <w:r w:rsidRPr="007562DF">
        <w:rPr>
          <w:rFonts w:hint="cs"/>
          <w:color w:val="E36C0A" w:themeColor="accent6" w:themeShade="BF"/>
          <w:rtl/>
        </w:rPr>
        <w:t>(וכ"פ בשו"ע)</w:t>
      </w:r>
    </w:p>
    <w:p w14:paraId="3F8392AB" w14:textId="77777777" w:rsidR="002C39F4" w:rsidRDefault="002C39F4" w:rsidP="0032102C">
      <w:pPr>
        <w:pStyle w:val="a8"/>
        <w:numPr>
          <w:ilvl w:val="0"/>
          <w:numId w:val="258"/>
        </w:numPr>
      </w:pPr>
      <w:r w:rsidRPr="007562DF">
        <w:rPr>
          <w:rFonts w:cs="Arial" w:hint="cs"/>
          <w:rtl/>
        </w:rPr>
        <w:t>רשב"א</w:t>
      </w:r>
      <w:r w:rsidRPr="007562DF">
        <w:rPr>
          <w:rFonts w:cs="Arial" w:hint="cs"/>
          <w:sz w:val="16"/>
          <w:szCs w:val="16"/>
          <w:rtl/>
        </w:rPr>
        <w:t xml:space="preserve"> (</w:t>
      </w:r>
      <w:r w:rsidRPr="007562DF">
        <w:rPr>
          <w:rFonts w:cs="Arial" w:hint="cs"/>
          <w:sz w:val="14"/>
          <w:szCs w:val="14"/>
          <w:rtl/>
        </w:rPr>
        <w:t>[תוה"א ב"ד ש"ב כב:]</w:t>
      </w:r>
      <w:r w:rsidRPr="007562DF">
        <w:rPr>
          <w:rFonts w:cs="Arial" w:hint="cs"/>
          <w:sz w:val="16"/>
          <w:szCs w:val="16"/>
          <w:rtl/>
        </w:rPr>
        <w:t xml:space="preserve"> להב' הש"ך </w:t>
      </w:r>
      <w:r w:rsidRPr="007562DF">
        <w:rPr>
          <w:rFonts w:cs="Arial" w:hint="cs"/>
          <w:sz w:val="14"/>
          <w:szCs w:val="14"/>
          <w:rtl/>
        </w:rPr>
        <w:t xml:space="preserve">[סק"ו] </w:t>
      </w:r>
      <w:r w:rsidRPr="007562DF">
        <w:rPr>
          <w:rFonts w:cs="Arial" w:hint="cs"/>
          <w:sz w:val="16"/>
          <w:szCs w:val="16"/>
          <w:rtl/>
        </w:rPr>
        <w:t>והפר"ח</w:t>
      </w:r>
      <w:r w:rsidRPr="007562DF">
        <w:rPr>
          <w:rFonts w:cs="Arial" w:hint="cs"/>
          <w:sz w:val="14"/>
          <w:szCs w:val="14"/>
          <w:rtl/>
        </w:rPr>
        <w:t xml:space="preserve"> [סק"ד]</w:t>
      </w:r>
      <w:r w:rsidRPr="007562DF">
        <w:rPr>
          <w:rFonts w:cs="Arial" w:hint="cs"/>
          <w:sz w:val="16"/>
          <w:szCs w:val="16"/>
          <w:rtl/>
        </w:rPr>
        <w:t>)</w:t>
      </w:r>
      <w:r w:rsidRPr="007562DF">
        <w:rPr>
          <w:rFonts w:hint="cs"/>
          <w:rtl/>
        </w:rPr>
        <w:t xml:space="preserve">- </w:t>
      </w:r>
      <w:r w:rsidRPr="007562DF">
        <w:rPr>
          <w:rFonts w:cs="Arial"/>
          <w:rtl/>
        </w:rPr>
        <w:t xml:space="preserve">דוקא בב' קדרות </w:t>
      </w:r>
      <w:r w:rsidRPr="007562DF">
        <w:rPr>
          <w:rFonts w:cs="Arial" w:hint="cs"/>
          <w:rtl/>
        </w:rPr>
        <w:t xml:space="preserve">אין אומרים ספק דרבנן לקולא </w:t>
      </w:r>
      <w:r w:rsidRPr="007562DF">
        <w:rPr>
          <w:rFonts w:cs="Arial"/>
          <w:rtl/>
        </w:rPr>
        <w:t>משום</w:t>
      </w:r>
      <w:r w:rsidRPr="005359ED">
        <w:rPr>
          <w:rFonts w:cs="Arial"/>
          <w:rtl/>
        </w:rPr>
        <w:t xml:space="preserve"> דבודאי נפל שם איסור אלא שאין ידוע לאיזו</w:t>
      </w:r>
      <w:r>
        <w:rPr>
          <w:rFonts w:cs="Arial" w:hint="cs"/>
          <w:rtl/>
        </w:rPr>
        <w:t>, ולפיכך</w:t>
      </w:r>
      <w:r w:rsidRPr="005359ED">
        <w:rPr>
          <w:rFonts w:cs="Arial"/>
          <w:rtl/>
        </w:rPr>
        <w:t xml:space="preserve"> בעינן חד בחד לר' יוחנן</w:t>
      </w:r>
      <w:r>
        <w:rPr>
          <w:rFonts w:cs="Arial" w:hint="cs"/>
          <w:rtl/>
        </w:rPr>
        <w:t>,</w:t>
      </w:r>
      <w:r>
        <w:rPr>
          <w:rFonts w:cs="Arial"/>
          <w:rtl/>
        </w:rPr>
        <w:t xml:space="preserve"> אבל בב' חתיכות וקדירה א' שי</w:t>
      </w:r>
      <w:r>
        <w:rPr>
          <w:rFonts w:cs="Arial" w:hint="cs"/>
          <w:rtl/>
        </w:rPr>
        <w:t xml:space="preserve">ש </w:t>
      </w:r>
      <w:r w:rsidRPr="005359ED">
        <w:rPr>
          <w:rFonts w:cs="Arial"/>
          <w:rtl/>
        </w:rPr>
        <w:t>ל</w:t>
      </w:r>
      <w:r>
        <w:rPr>
          <w:rFonts w:cs="Arial" w:hint="cs"/>
          <w:rtl/>
        </w:rPr>
        <w:t>ומר</w:t>
      </w:r>
      <w:r w:rsidRPr="005359ED">
        <w:rPr>
          <w:rFonts w:cs="Arial"/>
          <w:rtl/>
        </w:rPr>
        <w:t xml:space="preserve"> שלא נפל כלל האיסור לקדירה מותר אפילו האיסור רבה על ההיתר</w:t>
      </w:r>
      <w:r>
        <w:rPr>
          <w:rFonts w:cs="Arial" w:hint="cs"/>
          <w:sz w:val="16"/>
          <w:szCs w:val="16"/>
          <w:rtl/>
        </w:rPr>
        <w:t xml:space="preserve"> (ל' הש"ך)</w:t>
      </w:r>
      <w:r>
        <w:rPr>
          <w:rFonts w:cs="Arial" w:hint="cs"/>
          <w:rtl/>
        </w:rPr>
        <w:t>.</w:t>
      </w:r>
      <w:r w:rsidRPr="005359ED">
        <w:rPr>
          <w:rFonts w:cs="Arial"/>
          <w:rtl/>
        </w:rPr>
        <w:t xml:space="preserve"> </w:t>
      </w:r>
    </w:p>
    <w:p w14:paraId="359E84DC" w14:textId="77777777" w:rsidR="002C39F4" w:rsidRPr="005359ED" w:rsidRDefault="002C39F4" w:rsidP="0032102C">
      <w:pPr>
        <w:pStyle w:val="a8"/>
        <w:numPr>
          <w:ilvl w:val="0"/>
          <w:numId w:val="258"/>
        </w:numPr>
      </w:pPr>
      <w:r w:rsidRPr="007562DF">
        <w:rPr>
          <w:rtl/>
        </w:rPr>
        <w:t>רא</w:t>
      </w:r>
      <w:r w:rsidRPr="007562DF">
        <w:rPr>
          <w:rFonts w:hint="cs"/>
          <w:rtl/>
        </w:rPr>
        <w:t>"ה</w:t>
      </w:r>
      <w:r w:rsidRPr="007562DF">
        <w:rPr>
          <w:rFonts w:hint="cs"/>
          <w:sz w:val="16"/>
          <w:szCs w:val="16"/>
          <w:rtl/>
        </w:rPr>
        <w:t xml:space="preserve"> (בבדה"ב ב"ד ש"ב כב:)</w:t>
      </w:r>
      <w:r w:rsidRPr="007562DF">
        <w:rPr>
          <w:rFonts w:hint="cs"/>
          <w:rtl/>
        </w:rPr>
        <w:t>-</w:t>
      </w:r>
      <w:r w:rsidRPr="007562DF">
        <w:rPr>
          <w:rtl/>
        </w:rPr>
        <w:t xml:space="preserve"> </w:t>
      </w:r>
      <w:r w:rsidRPr="007562DF">
        <w:rPr>
          <w:rFonts w:cs="Arial"/>
          <w:rtl/>
        </w:rPr>
        <w:t xml:space="preserve">כיון דאמרינן בלישנא אחרינא דהוא לישנא בתרא והוא עיקר </w:t>
      </w:r>
      <w:r w:rsidRPr="007562DF">
        <w:rPr>
          <w:rFonts w:cs="Arial" w:hint="cs"/>
          <w:rtl/>
        </w:rPr>
        <w:t>'</w:t>
      </w:r>
      <w:r w:rsidRPr="007562DF">
        <w:rPr>
          <w:rFonts w:cs="Arial"/>
          <w:rtl/>
        </w:rPr>
        <w:t>שאני התם דאיכא</w:t>
      </w:r>
      <w:r w:rsidRPr="005359ED">
        <w:rPr>
          <w:rFonts w:cs="Arial"/>
          <w:rtl/>
        </w:rPr>
        <w:t xml:space="preserve"> למימר שאני אומר</w:t>
      </w:r>
      <w:r>
        <w:rPr>
          <w:rFonts w:cs="Arial" w:hint="cs"/>
          <w:rtl/>
        </w:rPr>
        <w:t>'</w:t>
      </w:r>
      <w:r w:rsidRPr="005359ED">
        <w:rPr>
          <w:rFonts w:cs="Arial"/>
          <w:rtl/>
        </w:rPr>
        <w:t xml:space="preserve"> לא בעינן לא רבייה ולא פלגא</w:t>
      </w:r>
      <w:r>
        <w:rPr>
          <w:rFonts w:cs="Arial" w:hint="cs"/>
          <w:rtl/>
        </w:rPr>
        <w:t>,</w:t>
      </w:r>
      <w:r w:rsidRPr="005359ED">
        <w:rPr>
          <w:rFonts w:cs="Arial"/>
          <w:rtl/>
        </w:rPr>
        <w:t xml:space="preserve"> דכיון דאיסורין דרבנן </w:t>
      </w:r>
      <w:r>
        <w:rPr>
          <w:rFonts w:cs="Arial" w:hint="cs"/>
          <w:rtl/>
        </w:rPr>
        <w:t xml:space="preserve">- </w:t>
      </w:r>
      <w:r w:rsidRPr="005359ED">
        <w:rPr>
          <w:rFonts w:cs="Arial"/>
          <w:rtl/>
        </w:rPr>
        <w:t>תולין להקל</w:t>
      </w:r>
      <w:r>
        <w:rPr>
          <w:rFonts w:cs="Arial" w:hint="cs"/>
          <w:rtl/>
        </w:rPr>
        <w:t xml:space="preserve"> </w:t>
      </w:r>
      <w:r w:rsidRPr="005359ED">
        <w:rPr>
          <w:rFonts w:cs="Arial"/>
          <w:rtl/>
        </w:rPr>
        <w:t>כל היכא דאיפשר לומר דלא נפל הכא איסורא כלל</w:t>
      </w:r>
      <w:r>
        <w:rPr>
          <w:rStyle w:val="a7"/>
          <w:rFonts w:cs="Arial"/>
          <w:rtl/>
        </w:rPr>
        <w:footnoteReference w:id="2573"/>
      </w:r>
      <w:r w:rsidRPr="005359ED">
        <w:rPr>
          <w:rFonts w:cs="Arial"/>
          <w:rtl/>
        </w:rPr>
        <w:t xml:space="preserve">. </w:t>
      </w:r>
      <w:r>
        <w:rPr>
          <w:rFonts w:hint="cs"/>
          <w:rtl/>
        </w:rPr>
        <w:t>(וכ"פ הפר"ח</w:t>
      </w:r>
      <w:r>
        <w:rPr>
          <w:rFonts w:hint="cs"/>
          <w:sz w:val="16"/>
          <w:szCs w:val="16"/>
          <w:rtl/>
        </w:rPr>
        <w:t xml:space="preserve"> [סק"ד]</w:t>
      </w:r>
      <w:r>
        <w:rPr>
          <w:rFonts w:hint="cs"/>
          <w:rtl/>
        </w:rPr>
        <w:t>)</w:t>
      </w:r>
    </w:p>
    <w:p w14:paraId="1D5BC47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48DBDB5" w14:textId="77777777" w:rsidR="002C39F4" w:rsidRDefault="002C39F4" w:rsidP="002C39F4">
      <w:pPr>
        <w:rPr>
          <w:rFonts w:asciiTheme="minorBidi" w:hAnsiTheme="minorBidi"/>
          <w:rtl/>
        </w:rPr>
      </w:pPr>
      <w:r w:rsidRPr="003024E5">
        <w:rPr>
          <w:rFonts w:asciiTheme="minorBidi" w:hAnsiTheme="minorBidi"/>
          <w:rtl/>
        </w:rPr>
        <w:t>במה דברים אמורים שתולין בכל אלו להקל אפילו אין ההיתר רבה על האיסור,</w:t>
      </w:r>
      <w:r>
        <w:rPr>
          <w:rFonts w:asciiTheme="minorBidi" w:hAnsiTheme="minorBidi"/>
          <w:rtl/>
        </w:rPr>
        <w:t xml:space="preserve"> שאין האיסור גם כן רבה על ההיתר</w:t>
      </w:r>
      <w:r>
        <w:rPr>
          <w:rFonts w:asciiTheme="minorBidi" w:hAnsiTheme="minorBidi" w:hint="cs"/>
          <w:rtl/>
        </w:rPr>
        <w:t>,</w:t>
      </w:r>
      <w:r>
        <w:rPr>
          <w:rFonts w:asciiTheme="minorBidi" w:hAnsiTheme="minorBidi"/>
          <w:rtl/>
        </w:rPr>
        <w:t xml:space="preserve"> אבל אם האיסור רבה על ההיתר</w:t>
      </w:r>
      <w:r w:rsidRPr="003024E5">
        <w:rPr>
          <w:rFonts w:asciiTheme="minorBidi" w:hAnsiTheme="minorBidi"/>
          <w:rtl/>
        </w:rPr>
        <w:t xml:space="preserve"> אין תולין להקל. </w:t>
      </w:r>
    </w:p>
    <w:p w14:paraId="2CB3C1D7" w14:textId="77777777" w:rsidR="002C39F4" w:rsidRPr="003024E5" w:rsidRDefault="002C39F4" w:rsidP="002C39F4">
      <w:pPr>
        <w:rPr>
          <w:rFonts w:asciiTheme="minorBidi" w:hAnsiTheme="minorBidi"/>
          <w:rtl/>
        </w:rPr>
      </w:pPr>
    </w:p>
    <w:p w14:paraId="07201CF7"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xml:space="preserve">: </w:t>
      </w:r>
      <w:r w:rsidRPr="00BA1DE9">
        <w:rPr>
          <w:rFonts w:asciiTheme="minorBidi" w:hAnsiTheme="minorBidi"/>
          <w:rtl/>
        </w:rPr>
        <w:t xml:space="preserve">איסור </w:t>
      </w:r>
      <w:r>
        <w:rPr>
          <w:rFonts w:asciiTheme="minorBidi" w:hAnsiTheme="minorBidi" w:hint="cs"/>
          <w:rtl/>
        </w:rPr>
        <w:t xml:space="preserve">דאורייתא </w:t>
      </w:r>
      <w:r w:rsidRPr="00BA1DE9">
        <w:rPr>
          <w:rFonts w:asciiTheme="minorBidi" w:hAnsiTheme="minorBidi"/>
          <w:rtl/>
        </w:rPr>
        <w:t>שנפל ל</w:t>
      </w:r>
      <w:r>
        <w:rPr>
          <w:rFonts w:asciiTheme="minorBidi" w:hAnsiTheme="minorBidi" w:hint="cs"/>
          <w:rtl/>
        </w:rPr>
        <w:t>קדרה ואין ידוע לאיזו.</w:t>
      </w:r>
    </w:p>
    <w:p w14:paraId="7603EA9F" w14:textId="77777777" w:rsidR="002C39F4" w:rsidRDefault="002C39F4" w:rsidP="002C39F4">
      <w:pPr>
        <w:rPr>
          <w:rtl/>
        </w:rPr>
      </w:pPr>
      <w:r>
        <w:rPr>
          <w:rFonts w:cs="Arial" w:hint="cs"/>
          <w:b/>
          <w:bCs/>
          <w:rtl/>
        </w:rPr>
        <w:t xml:space="preserve">פסחים מד ע"א: </w:t>
      </w:r>
      <w:r w:rsidRPr="002A24D1">
        <w:rPr>
          <w:rFonts w:cs="Arial"/>
          <w:rtl/>
        </w:rPr>
        <w:t>ואי אמרת כזית בכדי אכילת פרס דאורייתא - אמאי אמ</w:t>
      </w:r>
      <w:r>
        <w:rPr>
          <w:rFonts w:cs="Arial"/>
          <w:rtl/>
        </w:rPr>
        <w:t>רינן שאני אומר תרומה לתוך כו'?</w:t>
      </w:r>
      <w:r>
        <w:rPr>
          <w:rFonts w:hint="cs"/>
          <w:rtl/>
        </w:rPr>
        <w:t>.</w:t>
      </w:r>
    </w:p>
    <w:p w14:paraId="0F4CCD20" w14:textId="77777777" w:rsidR="002C39F4" w:rsidRPr="00344B52" w:rsidRDefault="002C39F4" w:rsidP="002C39F4">
      <w:pPr>
        <w:rPr>
          <w:rtl/>
        </w:rPr>
      </w:pPr>
      <w:r>
        <w:rPr>
          <w:rFonts w:cs="Arial" w:hint="cs"/>
          <w:b/>
          <w:bCs/>
          <w:rtl/>
        </w:rPr>
        <w:t xml:space="preserve">יבמות פא ע"א: </w:t>
      </w:r>
      <w:r w:rsidRPr="002A24D1">
        <w:rPr>
          <w:rFonts w:cs="Arial"/>
          <w:rtl/>
        </w:rPr>
        <w:t xml:space="preserve">וסבר ר' יוחנן תרומה בזמן הזה דאורייתא? </w:t>
      </w:r>
      <w:r>
        <w:rPr>
          <w:rFonts w:cs="Arial" w:hint="cs"/>
          <w:rtl/>
        </w:rPr>
        <w:t>וה</w:t>
      </w:r>
      <w:r w:rsidRPr="007738D7">
        <w:rPr>
          <w:rFonts w:cs="Arial"/>
          <w:rtl/>
        </w:rPr>
        <w:t>תניא</w:t>
      </w:r>
      <w:r>
        <w:rPr>
          <w:rFonts w:cs="Arial"/>
          <w:rtl/>
        </w:rPr>
        <w:t>: שתי קופות</w:t>
      </w:r>
      <w:r>
        <w:rPr>
          <w:rFonts w:cs="Arial" w:hint="cs"/>
          <w:rtl/>
        </w:rPr>
        <w:t>...</w:t>
      </w:r>
      <w:r w:rsidRPr="007738D7">
        <w:rPr>
          <w:rFonts w:cs="Arial"/>
          <w:rtl/>
        </w:rPr>
        <w:t xml:space="preserve"> שאני אומר</w:t>
      </w:r>
      <w:r>
        <w:rPr>
          <w:rFonts w:cs="Arial" w:hint="cs"/>
          <w:rtl/>
        </w:rPr>
        <w:t>...</w:t>
      </w:r>
      <w:r w:rsidRPr="007738D7">
        <w:rPr>
          <w:rFonts w:cs="Arial"/>
          <w:rtl/>
        </w:rPr>
        <w:t xml:space="preserve"> </w:t>
      </w:r>
      <w:r w:rsidRPr="002A24D1">
        <w:rPr>
          <w:rFonts w:cs="Arial"/>
          <w:u w:val="single"/>
          <w:rtl/>
        </w:rPr>
        <w:t>ואמר ריש לקיש</w:t>
      </w:r>
      <w:r w:rsidRPr="007738D7">
        <w:rPr>
          <w:rFonts w:cs="Arial"/>
          <w:rtl/>
        </w:rPr>
        <w:t xml:space="preserve">: והוא שרבו חולין על התרומה, </w:t>
      </w:r>
      <w:r w:rsidRPr="002A24D1">
        <w:rPr>
          <w:rFonts w:cs="Arial"/>
          <w:u w:val="single"/>
          <w:rtl/>
        </w:rPr>
        <w:t>ור' יוחנן אמר</w:t>
      </w:r>
      <w:r w:rsidRPr="007738D7">
        <w:rPr>
          <w:rFonts w:cs="Arial"/>
          <w:rtl/>
        </w:rPr>
        <w:t>: אף על פי שלא רבו חולין על התרומה</w:t>
      </w:r>
      <w:r>
        <w:rPr>
          <w:rStyle w:val="a7"/>
          <w:rFonts w:cs="Arial"/>
          <w:rtl/>
        </w:rPr>
        <w:footnoteReference w:id="2574"/>
      </w:r>
      <w:r w:rsidRPr="007738D7">
        <w:rPr>
          <w:rFonts w:cs="Arial"/>
          <w:rtl/>
        </w:rPr>
        <w:t>; בשלמא לריש לקיש, קסבר: בדרבנן נמי רבויא הוא דבעינן, אלא לרבי יוחנן קשיא</w:t>
      </w:r>
      <w:r>
        <w:rPr>
          <w:rStyle w:val="a7"/>
          <w:rFonts w:cs="Arial"/>
          <w:rtl/>
        </w:rPr>
        <w:footnoteReference w:id="2575"/>
      </w:r>
      <w:r w:rsidRPr="007738D7">
        <w:rPr>
          <w:rFonts w:cs="Arial"/>
          <w:rtl/>
        </w:rPr>
        <w:t>! הא מני</w:t>
      </w:r>
      <w:r>
        <w:rPr>
          <w:rStyle w:val="a7"/>
          <w:rFonts w:cs="Arial"/>
          <w:rtl/>
        </w:rPr>
        <w:footnoteReference w:id="2576"/>
      </w:r>
      <w:r w:rsidRPr="007738D7">
        <w:rPr>
          <w:rFonts w:cs="Arial"/>
          <w:rtl/>
        </w:rPr>
        <w:t>? רבנן היא</w:t>
      </w:r>
      <w:r>
        <w:rPr>
          <w:rFonts w:hint="cs"/>
          <w:rtl/>
        </w:rPr>
        <w:t>...</w:t>
      </w:r>
    </w:p>
    <w:p w14:paraId="106605BE" w14:textId="77777777" w:rsidR="002C39F4" w:rsidRDefault="002C39F4" w:rsidP="002C39F4">
      <w:pPr>
        <w:rPr>
          <w:rFonts w:asciiTheme="minorBidi" w:hAnsiTheme="minorBidi"/>
          <w:rtl/>
        </w:rPr>
      </w:pPr>
      <w:r w:rsidRPr="00344B52">
        <w:rPr>
          <w:rFonts w:asciiTheme="minorBidi" w:hAnsiTheme="minorBidi"/>
          <w:u w:val="single"/>
          <w:rtl/>
        </w:rPr>
        <w:t xml:space="preserve">איסור </w:t>
      </w:r>
      <w:r w:rsidRPr="00344B52">
        <w:rPr>
          <w:rFonts w:asciiTheme="minorBidi" w:hAnsiTheme="minorBidi" w:hint="cs"/>
          <w:u w:val="single"/>
          <w:rtl/>
        </w:rPr>
        <w:t xml:space="preserve">דאורייתא </w:t>
      </w:r>
      <w:r w:rsidRPr="00344B52">
        <w:rPr>
          <w:rFonts w:asciiTheme="minorBidi" w:hAnsiTheme="minorBidi"/>
          <w:u w:val="single"/>
          <w:rtl/>
        </w:rPr>
        <w:t>שנפל ל</w:t>
      </w:r>
      <w:r w:rsidRPr="00344B52">
        <w:rPr>
          <w:rFonts w:asciiTheme="minorBidi" w:hAnsiTheme="minorBidi" w:hint="cs"/>
          <w:u w:val="single"/>
          <w:rtl/>
        </w:rPr>
        <w:t>קדרה ואין ידוע לאיזו:</w:t>
      </w:r>
      <w:r>
        <w:rPr>
          <w:rFonts w:asciiTheme="minorBidi" w:hAnsiTheme="minorBidi" w:hint="cs"/>
          <w:rtl/>
        </w:rPr>
        <w:t xml:space="preserve"> </w:t>
      </w:r>
    </w:p>
    <w:p w14:paraId="34F6F795" w14:textId="77777777" w:rsidR="002C39F4" w:rsidRDefault="002C39F4" w:rsidP="0032102C">
      <w:pPr>
        <w:pStyle w:val="a8"/>
        <w:numPr>
          <w:ilvl w:val="0"/>
          <w:numId w:val="258"/>
        </w:numPr>
        <w:rPr>
          <w:rtl/>
        </w:rPr>
      </w:pPr>
      <w:r w:rsidRPr="00344B52">
        <w:rPr>
          <w:rFonts w:cs="Arial" w:hint="cs"/>
          <w:rtl/>
        </w:rPr>
        <w:t>רשב"א</w:t>
      </w:r>
      <w:r w:rsidRPr="00344B52">
        <w:rPr>
          <w:rFonts w:cs="Arial" w:hint="cs"/>
          <w:sz w:val="16"/>
          <w:szCs w:val="16"/>
          <w:rtl/>
        </w:rPr>
        <w:t xml:space="preserve"> (שם)</w:t>
      </w:r>
      <w:r w:rsidRPr="00344B52">
        <w:rPr>
          <w:rFonts w:cs="Arial" w:hint="cs"/>
          <w:rtl/>
        </w:rPr>
        <w:t xml:space="preserve"> וטור- </w:t>
      </w:r>
      <w:r w:rsidRPr="00344B52">
        <w:rPr>
          <w:rFonts w:cs="Arial"/>
          <w:rtl/>
        </w:rPr>
        <w:t>היה האיסור של תורה אין תולין להקל לומר לתוך האיסור נפל עד שיהא ההיתר רבה על האיסור כדי שיתבטל בתוכו מדברי תורה</w:t>
      </w:r>
      <w:r>
        <w:rPr>
          <w:rFonts w:hint="cs"/>
          <w:rtl/>
        </w:rPr>
        <w:t>.</w:t>
      </w:r>
      <w:r w:rsidRPr="009A1C18">
        <w:rPr>
          <w:rFonts w:hint="cs"/>
          <w:color w:val="E36C0A" w:themeColor="accent6" w:themeShade="BF"/>
          <w:rtl/>
        </w:rPr>
        <w:t xml:space="preserve"> </w:t>
      </w:r>
      <w:r w:rsidRPr="00FF65D7">
        <w:rPr>
          <w:rFonts w:hint="cs"/>
          <w:color w:val="E36C0A" w:themeColor="accent6" w:themeShade="BF"/>
          <w:rtl/>
        </w:rPr>
        <w:t>(וכ"פ בשו"ע)</w:t>
      </w:r>
    </w:p>
    <w:p w14:paraId="0184D36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FAE6903" w14:textId="77777777" w:rsidR="002C39F4" w:rsidRDefault="002C39F4" w:rsidP="002C39F4">
      <w:pPr>
        <w:rPr>
          <w:rFonts w:asciiTheme="minorBidi" w:hAnsiTheme="minorBidi"/>
          <w:rtl/>
        </w:rPr>
      </w:pPr>
      <w:r w:rsidRPr="003024E5">
        <w:rPr>
          <w:rFonts w:asciiTheme="minorBidi" w:hAnsiTheme="minorBidi"/>
          <w:rtl/>
        </w:rPr>
        <w:t>היה האיסור של תורה, אין תולין להקל לומר לתוך האיסור נפל, עד שיהא ההיתר רבה על האיסור</w:t>
      </w:r>
      <w:r>
        <w:rPr>
          <w:rStyle w:val="a7"/>
          <w:rFonts w:asciiTheme="minorBidi" w:hAnsiTheme="minorBidi"/>
          <w:rtl/>
        </w:rPr>
        <w:footnoteReference w:id="2577"/>
      </w:r>
      <w:r w:rsidRPr="003024E5">
        <w:rPr>
          <w:rFonts w:asciiTheme="minorBidi" w:hAnsiTheme="minorBidi"/>
          <w:rtl/>
        </w:rPr>
        <w:t>, כדי שיתבטל בתוכו מדברי תורה</w:t>
      </w:r>
      <w:r>
        <w:rPr>
          <w:rStyle w:val="a7"/>
          <w:rFonts w:asciiTheme="minorBidi" w:hAnsiTheme="minorBidi"/>
          <w:rtl/>
        </w:rPr>
        <w:footnoteReference w:id="2578"/>
      </w:r>
      <w:r w:rsidRPr="003024E5">
        <w:rPr>
          <w:rFonts w:asciiTheme="minorBidi" w:hAnsiTheme="minorBidi"/>
          <w:rtl/>
        </w:rPr>
        <w:t xml:space="preserve">. </w:t>
      </w:r>
    </w:p>
    <w:p w14:paraId="40FF6F15" w14:textId="77777777" w:rsidR="002C39F4" w:rsidRPr="003024E5" w:rsidRDefault="002C39F4" w:rsidP="002C39F4">
      <w:pPr>
        <w:rPr>
          <w:rFonts w:asciiTheme="minorBidi" w:hAnsiTheme="minorBidi"/>
          <w:rtl/>
        </w:rPr>
      </w:pPr>
    </w:p>
    <w:p w14:paraId="22555983" w14:textId="77777777" w:rsidR="002C39F4" w:rsidRPr="003032CD" w:rsidRDefault="002C39F4" w:rsidP="002C39F4">
      <w:pPr>
        <w:pStyle w:val="2"/>
        <w:rPr>
          <w:rFonts w:asciiTheme="minorBidi" w:hAnsiTheme="minorBidi"/>
          <w:rtl/>
        </w:rPr>
      </w:pPr>
      <w:r w:rsidRPr="003032CD">
        <w:rPr>
          <w:rFonts w:asciiTheme="minorBidi" w:hAnsiTheme="minorBidi"/>
          <w:rtl/>
        </w:rPr>
        <w:t xml:space="preserve">סעיף ד: איסור </w:t>
      </w:r>
      <w:r>
        <w:rPr>
          <w:rFonts w:asciiTheme="minorBidi" w:hAnsiTheme="minorBidi"/>
          <w:rtl/>
        </w:rPr>
        <w:t>דאו</w:t>
      </w:r>
      <w:r>
        <w:rPr>
          <w:rFonts w:asciiTheme="minorBidi" w:hAnsiTheme="minorBidi" w:hint="cs"/>
          <w:rtl/>
        </w:rPr>
        <w:t>'</w:t>
      </w:r>
      <w:r w:rsidRPr="003032CD">
        <w:rPr>
          <w:rFonts w:asciiTheme="minorBidi" w:hAnsiTheme="minorBidi"/>
          <w:rtl/>
        </w:rPr>
        <w:t xml:space="preserve"> שנפל לקדרה ואין ידוע לאיזו – והיה ההיתר רבה על האיסור.</w:t>
      </w:r>
    </w:p>
    <w:p w14:paraId="3F57CB1C" w14:textId="77777777" w:rsidR="002C39F4" w:rsidRDefault="002C39F4" w:rsidP="002C39F4">
      <w:pPr>
        <w:rPr>
          <w:rFonts w:asciiTheme="minorBidi" w:hAnsiTheme="minorBidi"/>
          <w:rtl/>
        </w:rPr>
      </w:pPr>
      <w:r w:rsidRPr="00344B52">
        <w:rPr>
          <w:rFonts w:asciiTheme="minorBidi" w:hAnsiTheme="minorBidi"/>
          <w:u w:val="single"/>
          <w:rtl/>
        </w:rPr>
        <w:t xml:space="preserve">איסור </w:t>
      </w:r>
      <w:r w:rsidRPr="00344B52">
        <w:rPr>
          <w:rFonts w:asciiTheme="minorBidi" w:hAnsiTheme="minorBidi" w:hint="cs"/>
          <w:u w:val="single"/>
          <w:rtl/>
        </w:rPr>
        <w:t xml:space="preserve">דאורייתא </w:t>
      </w:r>
      <w:r w:rsidRPr="00344B52">
        <w:rPr>
          <w:rFonts w:asciiTheme="minorBidi" w:hAnsiTheme="minorBidi"/>
          <w:u w:val="single"/>
          <w:rtl/>
        </w:rPr>
        <w:t>שנפל ל</w:t>
      </w:r>
      <w:r w:rsidRPr="00344B52">
        <w:rPr>
          <w:rFonts w:asciiTheme="minorBidi" w:hAnsiTheme="minorBidi" w:hint="cs"/>
          <w:u w:val="single"/>
          <w:rtl/>
        </w:rPr>
        <w:t>קדרה ואין ידוע לאיזו</w:t>
      </w:r>
      <w:r>
        <w:rPr>
          <w:rFonts w:asciiTheme="minorBidi" w:hAnsiTheme="minorBidi" w:hint="cs"/>
          <w:u w:val="single"/>
          <w:rtl/>
        </w:rPr>
        <w:t xml:space="preserve"> </w:t>
      </w:r>
      <w:r>
        <w:rPr>
          <w:rFonts w:asciiTheme="minorBidi" w:hAnsiTheme="minorBidi"/>
          <w:u w:val="single"/>
          <w:rtl/>
        </w:rPr>
        <w:t>–</w:t>
      </w:r>
      <w:r>
        <w:rPr>
          <w:rFonts w:asciiTheme="minorBidi" w:hAnsiTheme="minorBidi" w:hint="cs"/>
          <w:u w:val="single"/>
          <w:rtl/>
        </w:rPr>
        <w:t xml:space="preserve"> והיה ההיתר רבה על האיסור</w:t>
      </w:r>
      <w:r w:rsidRPr="00344B52">
        <w:rPr>
          <w:rFonts w:asciiTheme="minorBidi" w:hAnsiTheme="minorBidi" w:hint="cs"/>
          <w:u w:val="single"/>
          <w:rtl/>
        </w:rPr>
        <w:t>:</w:t>
      </w:r>
      <w:r>
        <w:rPr>
          <w:rFonts w:asciiTheme="minorBidi" w:hAnsiTheme="minorBidi" w:hint="cs"/>
          <w:rtl/>
        </w:rPr>
        <w:t xml:space="preserve"> </w:t>
      </w:r>
    </w:p>
    <w:p w14:paraId="2617C6D1" w14:textId="77777777" w:rsidR="002C39F4" w:rsidRDefault="002C39F4" w:rsidP="0032102C">
      <w:pPr>
        <w:pStyle w:val="a8"/>
        <w:numPr>
          <w:ilvl w:val="0"/>
          <w:numId w:val="258"/>
        </w:numPr>
        <w:rPr>
          <w:rtl/>
        </w:rPr>
      </w:pPr>
      <w:r w:rsidRPr="003032CD">
        <w:rPr>
          <w:rFonts w:cs="Arial" w:hint="cs"/>
          <w:rtl/>
        </w:rPr>
        <w:t>רשב"א</w:t>
      </w:r>
      <w:r w:rsidRPr="003032CD">
        <w:rPr>
          <w:rFonts w:cs="Arial" w:hint="cs"/>
          <w:sz w:val="16"/>
          <w:szCs w:val="16"/>
          <w:rtl/>
        </w:rPr>
        <w:t xml:space="preserve"> (שם)</w:t>
      </w:r>
      <w:r w:rsidRPr="003032CD">
        <w:rPr>
          <w:rFonts w:cs="Arial" w:hint="cs"/>
          <w:rtl/>
        </w:rPr>
        <w:t xml:space="preserve"> וטור- </w:t>
      </w:r>
      <w:r w:rsidRPr="003032CD">
        <w:rPr>
          <w:rFonts w:cs="Arial"/>
          <w:rtl/>
        </w:rPr>
        <w:t>היה ההיתר רבה על האיסור כדי שיתבטל בתוכו מדברי תורה תולין להקל</w:t>
      </w:r>
      <w:r>
        <w:rPr>
          <w:rStyle w:val="a7"/>
          <w:rFonts w:cs="Arial"/>
          <w:rtl/>
        </w:rPr>
        <w:footnoteReference w:id="2579"/>
      </w:r>
      <w:r w:rsidRPr="003032CD">
        <w:rPr>
          <w:rFonts w:cs="Arial" w:hint="cs"/>
          <w:rtl/>
        </w:rPr>
        <w:t>,</w:t>
      </w:r>
      <w:r w:rsidRPr="003032CD">
        <w:rPr>
          <w:rFonts w:cs="Arial"/>
          <w:rtl/>
        </w:rPr>
        <w:t xml:space="preserve"> כיצד</w:t>
      </w:r>
      <w:r w:rsidRPr="003032CD">
        <w:rPr>
          <w:rFonts w:cs="Arial" w:hint="cs"/>
          <w:rtl/>
        </w:rPr>
        <w:t>,</w:t>
      </w:r>
      <w:r w:rsidRPr="003032CD">
        <w:rPr>
          <w:rFonts w:cs="Arial"/>
          <w:rtl/>
        </w:rPr>
        <w:t xml:space="preserve"> שתי קדרות אחת של בשר שחוטה ואחת של בשר נבלה ונפל חתיכת נבלה לתוך אחת מהן</w:t>
      </w:r>
      <w:r>
        <w:rPr>
          <w:rFonts w:cs="Arial" w:hint="cs"/>
          <w:rtl/>
        </w:rPr>
        <w:t>,</w:t>
      </w:r>
      <w:r w:rsidRPr="003032CD">
        <w:rPr>
          <w:rFonts w:cs="Arial"/>
          <w:rtl/>
        </w:rPr>
        <w:t xml:space="preserve"> אם ההיתר שבקדרות ההיתר רבה קצת על חתיכת הנבלה תולין להקל</w:t>
      </w:r>
      <w:r>
        <w:rPr>
          <w:rFonts w:cs="Arial" w:hint="cs"/>
          <w:rtl/>
        </w:rPr>
        <w:t>,</w:t>
      </w:r>
      <w:r w:rsidRPr="003032CD">
        <w:rPr>
          <w:rFonts w:cs="Arial"/>
          <w:rtl/>
        </w:rPr>
        <w:t xml:space="preserve"> לפי שדבר תורה מין במינו בטל ברוב</w:t>
      </w:r>
      <w:r>
        <w:rPr>
          <w:rStyle w:val="a7"/>
          <w:rFonts w:cs="Arial"/>
          <w:rtl/>
        </w:rPr>
        <w:footnoteReference w:id="2580"/>
      </w:r>
      <w:r w:rsidRPr="003032CD">
        <w:rPr>
          <w:rFonts w:cs="Arial"/>
          <w:rtl/>
        </w:rPr>
        <w:t xml:space="preserve"> אלא שחכמים הצריכו ששים וכיון שאינו אלא דרבנן מקילינן</w:t>
      </w:r>
      <w:r>
        <w:rPr>
          <w:rFonts w:cs="Arial" w:hint="cs"/>
          <w:rtl/>
        </w:rPr>
        <w:t>,</w:t>
      </w:r>
      <w:r w:rsidRPr="003032CD">
        <w:rPr>
          <w:rFonts w:cs="Arial"/>
          <w:rtl/>
        </w:rPr>
        <w:t xml:space="preserve"> היו שתי הקדרות ממין אחד והאיסור ממין אחר אין תולין להקל עד שירבה ההיתר ששים על האיסור מפני שאין מתבטל מין בשאינו מינו דבר תורה בפחות מששים</w:t>
      </w:r>
      <w:r>
        <w:rPr>
          <w:rStyle w:val="a7"/>
          <w:rFonts w:cs="Arial"/>
          <w:rtl/>
        </w:rPr>
        <w:footnoteReference w:id="2581"/>
      </w:r>
      <w:r>
        <w:rPr>
          <w:rFonts w:cs="Arial" w:hint="cs"/>
          <w:rtl/>
        </w:rPr>
        <w:t>.</w:t>
      </w:r>
      <w:r w:rsidRPr="003032CD">
        <w:rPr>
          <w:rFonts w:cs="Arial"/>
          <w:rtl/>
        </w:rPr>
        <w:t xml:space="preserve"> יש מקילין להקל כל זמן שאין בו כזית בכדי אכילת פרס</w:t>
      </w:r>
      <w:r>
        <w:rPr>
          <w:rStyle w:val="a7"/>
          <w:rFonts w:cs="Arial"/>
          <w:rtl/>
        </w:rPr>
        <w:footnoteReference w:id="2582"/>
      </w:r>
      <w:r>
        <w:rPr>
          <w:rFonts w:hint="cs"/>
          <w:rtl/>
        </w:rPr>
        <w:t xml:space="preserve">. </w:t>
      </w:r>
    </w:p>
    <w:p w14:paraId="79330B0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639FF5A" w14:textId="77777777" w:rsidR="002C39F4" w:rsidRDefault="002C39F4" w:rsidP="002C39F4">
      <w:pPr>
        <w:rPr>
          <w:rFonts w:asciiTheme="minorBidi" w:hAnsiTheme="minorBidi"/>
          <w:rtl/>
        </w:rPr>
      </w:pPr>
      <w:r w:rsidRPr="003024E5">
        <w:rPr>
          <w:rFonts w:asciiTheme="minorBidi" w:hAnsiTheme="minorBidi"/>
          <w:rtl/>
        </w:rPr>
        <w:t>היה ההיתר רבה על האי</w:t>
      </w:r>
      <w:r>
        <w:rPr>
          <w:rFonts w:asciiTheme="minorBidi" w:hAnsiTheme="minorBidi"/>
          <w:rtl/>
        </w:rPr>
        <w:t>סור כדי שיתבטל בתוכו מדברי תורה תולין להקל</w:t>
      </w:r>
      <w:r>
        <w:rPr>
          <w:rFonts w:asciiTheme="minorBidi" w:hAnsiTheme="minorBidi" w:hint="cs"/>
          <w:rtl/>
        </w:rPr>
        <w:t>,</w:t>
      </w:r>
      <w:r w:rsidRPr="003024E5">
        <w:rPr>
          <w:rFonts w:asciiTheme="minorBidi" w:hAnsiTheme="minorBidi"/>
          <w:rtl/>
        </w:rPr>
        <w:t xml:space="preserve"> כיצד, שתי קדרו</w:t>
      </w:r>
      <w:r>
        <w:rPr>
          <w:rFonts w:asciiTheme="minorBidi" w:hAnsiTheme="minorBidi"/>
          <w:rtl/>
        </w:rPr>
        <w:t>ת אחת של בשר שחוטה ואחת של נבלה</w:t>
      </w:r>
      <w:r w:rsidRPr="003024E5">
        <w:rPr>
          <w:rFonts w:asciiTheme="minorBidi" w:hAnsiTheme="minorBidi"/>
          <w:rtl/>
        </w:rPr>
        <w:t xml:space="preserve"> ונפלה חתיכת נבלה לתוך אחת מהן, אם ההיתר שבקד</w:t>
      </w:r>
      <w:r>
        <w:rPr>
          <w:rFonts w:asciiTheme="minorBidi" w:hAnsiTheme="minorBidi"/>
          <w:rtl/>
        </w:rPr>
        <w:t>רת ההיתר רבה קצת על חתיכת הנבלה</w:t>
      </w:r>
      <w:r w:rsidRPr="003024E5">
        <w:rPr>
          <w:rFonts w:asciiTheme="minorBidi" w:hAnsiTheme="minorBidi"/>
          <w:rtl/>
        </w:rPr>
        <w:t xml:space="preserve"> תולין להקל, ל</w:t>
      </w:r>
      <w:r>
        <w:rPr>
          <w:rFonts w:asciiTheme="minorBidi" w:hAnsiTheme="minorBidi"/>
          <w:rtl/>
        </w:rPr>
        <w:t>פי שדבר תורה מין במינו בטל ברוב</w:t>
      </w:r>
      <w:r>
        <w:rPr>
          <w:rStyle w:val="a7"/>
          <w:rFonts w:asciiTheme="minorBidi" w:hAnsiTheme="minorBidi"/>
          <w:rtl/>
        </w:rPr>
        <w:footnoteReference w:id="2583"/>
      </w:r>
      <w:r w:rsidRPr="003024E5">
        <w:rPr>
          <w:rFonts w:asciiTheme="minorBidi" w:hAnsiTheme="minorBidi"/>
          <w:rtl/>
        </w:rPr>
        <w:t xml:space="preserve"> אלא שחכמים הצריכו</w:t>
      </w:r>
      <w:r>
        <w:rPr>
          <w:rFonts w:asciiTheme="minorBidi" w:hAnsiTheme="minorBidi"/>
          <w:rtl/>
        </w:rPr>
        <w:t xml:space="preserve"> ששים. היו שתי</w:t>
      </w:r>
      <w:r>
        <w:rPr>
          <w:rStyle w:val="a7"/>
          <w:rFonts w:asciiTheme="minorBidi" w:hAnsiTheme="minorBidi"/>
          <w:rtl/>
        </w:rPr>
        <w:footnoteReference w:id="2584"/>
      </w:r>
      <w:r>
        <w:rPr>
          <w:rFonts w:asciiTheme="minorBidi" w:hAnsiTheme="minorBidi"/>
          <w:rtl/>
        </w:rPr>
        <w:t xml:space="preserve"> הקדירות ממין אחד</w:t>
      </w:r>
      <w:r>
        <w:rPr>
          <w:rStyle w:val="a7"/>
          <w:rFonts w:asciiTheme="minorBidi" w:hAnsiTheme="minorBidi"/>
          <w:rtl/>
        </w:rPr>
        <w:footnoteReference w:id="2585"/>
      </w:r>
      <w:r>
        <w:rPr>
          <w:rFonts w:asciiTheme="minorBidi" w:hAnsiTheme="minorBidi"/>
          <w:rtl/>
        </w:rPr>
        <w:t xml:space="preserve"> והאיסור ממין אחר</w:t>
      </w:r>
      <w:r w:rsidRPr="003024E5">
        <w:rPr>
          <w:rFonts w:asciiTheme="minorBidi" w:hAnsiTheme="minorBidi"/>
          <w:rtl/>
        </w:rPr>
        <w:t xml:space="preserve"> אין תולין להקל עד שירבה ההיתר ששים על האיסור</w:t>
      </w:r>
      <w:r>
        <w:rPr>
          <w:rStyle w:val="a7"/>
          <w:rFonts w:asciiTheme="minorBidi" w:hAnsiTheme="minorBidi"/>
          <w:rtl/>
        </w:rPr>
        <w:footnoteReference w:id="2586"/>
      </w:r>
      <w:r w:rsidRPr="003024E5">
        <w:rPr>
          <w:rFonts w:asciiTheme="minorBidi" w:hAnsiTheme="minorBidi"/>
          <w:rtl/>
        </w:rPr>
        <w:t xml:space="preserve">. </w:t>
      </w:r>
    </w:p>
    <w:p w14:paraId="6A05FF60" w14:textId="77777777" w:rsidR="002C39F4" w:rsidRPr="003024E5" w:rsidRDefault="002C39F4" w:rsidP="002C39F4">
      <w:pPr>
        <w:rPr>
          <w:rFonts w:asciiTheme="minorBidi" w:hAnsiTheme="minorBidi"/>
          <w:rtl/>
        </w:rPr>
      </w:pPr>
    </w:p>
    <w:p w14:paraId="0323045C" w14:textId="77777777" w:rsidR="002C39F4" w:rsidRPr="002955BA" w:rsidRDefault="002C39F4" w:rsidP="002C39F4">
      <w:pPr>
        <w:pStyle w:val="2"/>
        <w:rPr>
          <w:rFonts w:asciiTheme="minorBidi" w:hAnsiTheme="minorBidi"/>
          <w:rtl/>
        </w:rPr>
      </w:pPr>
      <w:r w:rsidRPr="002955BA">
        <w:rPr>
          <w:rFonts w:asciiTheme="minorBidi" w:hAnsiTheme="minorBidi"/>
          <w:rtl/>
        </w:rPr>
        <w:t>סעיף ה</w:t>
      </w:r>
      <w:r w:rsidRPr="002955BA">
        <w:rPr>
          <w:rFonts w:asciiTheme="minorBidi" w:hAnsiTheme="minorBidi" w:hint="cs"/>
          <w:rtl/>
        </w:rPr>
        <w:t>:</w:t>
      </w:r>
      <w:r w:rsidRPr="002955BA">
        <w:rPr>
          <w:rFonts w:cs="Arial" w:hint="cs"/>
          <w:rtl/>
        </w:rPr>
        <w:t xml:space="preserve"> ב'</w:t>
      </w:r>
      <w:r w:rsidRPr="002955BA">
        <w:rPr>
          <w:rFonts w:cs="Arial"/>
          <w:rtl/>
        </w:rPr>
        <w:t xml:space="preserve"> קדירות של היתר ו</w:t>
      </w:r>
      <w:r w:rsidRPr="002955BA">
        <w:rPr>
          <w:rFonts w:cs="Arial" w:hint="cs"/>
          <w:rtl/>
        </w:rPr>
        <w:t>ב' חתיכות א' היתר וא' איסור</w:t>
      </w:r>
      <w:r w:rsidRPr="002955BA">
        <w:rPr>
          <w:rFonts w:cs="Arial"/>
          <w:rtl/>
        </w:rPr>
        <w:t xml:space="preserve"> ונפלה א</w:t>
      </w:r>
      <w:r w:rsidRPr="002955BA">
        <w:rPr>
          <w:rFonts w:cs="Arial" w:hint="cs"/>
          <w:rtl/>
        </w:rPr>
        <w:t xml:space="preserve">' </w:t>
      </w:r>
      <w:r w:rsidRPr="002955BA">
        <w:rPr>
          <w:rFonts w:cs="Arial"/>
          <w:rtl/>
        </w:rPr>
        <w:t>לתוך זו וא</w:t>
      </w:r>
      <w:r w:rsidRPr="002955BA">
        <w:rPr>
          <w:rFonts w:cs="Arial" w:hint="cs"/>
          <w:rtl/>
        </w:rPr>
        <w:t xml:space="preserve">' </w:t>
      </w:r>
      <w:r w:rsidRPr="002955BA">
        <w:rPr>
          <w:rFonts w:cs="Arial"/>
          <w:rtl/>
        </w:rPr>
        <w:t>לתוך זו</w:t>
      </w:r>
      <w:r>
        <w:rPr>
          <w:rFonts w:cs="Arial" w:hint="cs"/>
          <w:rtl/>
        </w:rPr>
        <w:t>.</w:t>
      </w:r>
    </w:p>
    <w:p w14:paraId="716AE1E9" w14:textId="77777777" w:rsidR="002C39F4" w:rsidRPr="00EB55F7" w:rsidRDefault="002C39F4" w:rsidP="002C39F4">
      <w:pPr>
        <w:rPr>
          <w:rFonts w:cs="Arial"/>
          <w:sz w:val="16"/>
          <w:szCs w:val="16"/>
          <w:rtl/>
        </w:rPr>
      </w:pPr>
      <w:r w:rsidRPr="00243533">
        <w:rPr>
          <w:rFonts w:cs="Arial" w:hint="cs"/>
          <w:b/>
          <w:bCs/>
          <w:rtl/>
        </w:rPr>
        <w:t>משנה תרומות פ"ד מ"י</w:t>
      </w:r>
      <w:r>
        <w:rPr>
          <w:rStyle w:val="a7"/>
          <w:rFonts w:cs="Arial"/>
          <w:b/>
          <w:bCs/>
          <w:rtl/>
        </w:rPr>
        <w:footnoteReference w:id="2587"/>
      </w:r>
      <w:r w:rsidRPr="00243533">
        <w:rPr>
          <w:rFonts w:cs="Arial" w:hint="cs"/>
          <w:b/>
          <w:bCs/>
          <w:rtl/>
        </w:rPr>
        <w:t>:</w:t>
      </w:r>
      <w:r>
        <w:rPr>
          <w:rFonts w:cs="Arial" w:hint="cs"/>
          <w:rtl/>
        </w:rPr>
        <w:t xml:space="preserve"> </w:t>
      </w:r>
      <w:r w:rsidRPr="00243533">
        <w:rPr>
          <w:rFonts w:cs="Arial"/>
          <w:rtl/>
        </w:rPr>
        <w:t>ובזו רבי אליעזר מקל ורבי יהושע מחמיר</w:t>
      </w:r>
      <w:r>
        <w:rPr>
          <w:rFonts w:cs="Arial" w:hint="cs"/>
          <w:rtl/>
        </w:rPr>
        <w:t>,</w:t>
      </w:r>
      <w:r w:rsidRPr="00243533">
        <w:rPr>
          <w:rFonts w:cs="Arial"/>
          <w:rtl/>
        </w:rPr>
        <w:t xml:space="preserve"> בדורס ליטרא קציעות ע"פ הכד ואינו יודע איזוהי</w:t>
      </w:r>
      <w:r>
        <w:rPr>
          <w:rFonts w:cs="Arial" w:hint="cs"/>
          <w:rtl/>
        </w:rPr>
        <w:t>,</w:t>
      </w:r>
      <w:r w:rsidRPr="00243533">
        <w:rPr>
          <w:rFonts w:cs="Arial"/>
          <w:rtl/>
        </w:rPr>
        <w:t xml:space="preserve"> </w:t>
      </w:r>
      <w:r w:rsidRPr="00243533">
        <w:rPr>
          <w:rFonts w:cs="Arial"/>
          <w:u w:val="single"/>
          <w:rtl/>
        </w:rPr>
        <w:t>רבי אליעזר אומר</w:t>
      </w:r>
      <w:r>
        <w:rPr>
          <w:rFonts w:cs="Arial" w:hint="cs"/>
          <w:rtl/>
        </w:rPr>
        <w:t>:</w:t>
      </w:r>
      <w:r w:rsidRPr="00243533">
        <w:rPr>
          <w:rFonts w:cs="Arial"/>
          <w:rtl/>
        </w:rPr>
        <w:t xml:space="preserve"> רואין אותן כאילו הם פרודות והתחתונות מעלות את העליונות</w:t>
      </w:r>
      <w:r>
        <w:rPr>
          <w:rFonts w:cs="Arial" w:hint="cs"/>
          <w:rtl/>
        </w:rPr>
        <w:t>,</w:t>
      </w:r>
      <w:r w:rsidRPr="00243533">
        <w:rPr>
          <w:rFonts w:cs="Arial"/>
          <w:rtl/>
        </w:rPr>
        <w:t xml:space="preserve"> </w:t>
      </w:r>
      <w:r w:rsidRPr="00243533">
        <w:rPr>
          <w:rFonts w:cs="Arial"/>
          <w:u w:val="single"/>
          <w:rtl/>
        </w:rPr>
        <w:t>רבי יהושע אומר</w:t>
      </w:r>
      <w:r>
        <w:rPr>
          <w:rFonts w:cs="Arial" w:hint="cs"/>
          <w:rtl/>
        </w:rPr>
        <w:t>:</w:t>
      </w:r>
      <w:r>
        <w:rPr>
          <w:rFonts w:cs="Arial"/>
          <w:rtl/>
        </w:rPr>
        <w:t xml:space="preserve"> לא תעלה עד שיהיו שם מאה כדים</w:t>
      </w:r>
      <w:r>
        <w:rPr>
          <w:rStyle w:val="a7"/>
          <w:rFonts w:cs="Arial"/>
          <w:rtl/>
        </w:rPr>
        <w:footnoteReference w:id="2588"/>
      </w:r>
      <w:r>
        <w:rPr>
          <w:rFonts w:cs="Arial" w:hint="cs"/>
          <w:rtl/>
        </w:rPr>
        <w:t>.</w:t>
      </w:r>
      <w:r>
        <w:rPr>
          <w:rFonts w:cs="Arial" w:hint="cs"/>
          <w:sz w:val="16"/>
          <w:szCs w:val="16"/>
          <w:rtl/>
        </w:rPr>
        <w:t xml:space="preserve"> (והלכה כרבי יהושע</w:t>
      </w:r>
      <w:r>
        <w:rPr>
          <w:rStyle w:val="a7"/>
          <w:rFonts w:cs="Arial"/>
          <w:sz w:val="16"/>
          <w:szCs w:val="16"/>
          <w:rtl/>
        </w:rPr>
        <w:footnoteReference w:id="2589"/>
      </w:r>
      <w:r>
        <w:rPr>
          <w:rFonts w:cs="Arial" w:hint="cs"/>
          <w:sz w:val="16"/>
          <w:szCs w:val="16"/>
          <w:rtl/>
        </w:rPr>
        <w:t>, רמב"ם (פהמ"ש))</w:t>
      </w:r>
    </w:p>
    <w:p w14:paraId="2C699318" w14:textId="77777777" w:rsidR="002C39F4" w:rsidRPr="00E748C7" w:rsidRDefault="002C39F4" w:rsidP="002C39F4">
      <w:pPr>
        <w:rPr>
          <w:u w:val="single"/>
          <w:rtl/>
        </w:rPr>
      </w:pPr>
      <w:r>
        <w:rPr>
          <w:rFonts w:cs="Arial" w:hint="cs"/>
          <w:u w:val="single"/>
          <w:rtl/>
        </w:rPr>
        <w:t>ב'</w:t>
      </w:r>
      <w:r w:rsidRPr="00E748C7">
        <w:rPr>
          <w:rFonts w:cs="Arial"/>
          <w:u w:val="single"/>
          <w:rtl/>
        </w:rPr>
        <w:t xml:space="preserve"> קדירות של היתר ולפניה</w:t>
      </w:r>
      <w:r>
        <w:rPr>
          <w:rFonts w:cs="Arial" w:hint="cs"/>
          <w:u w:val="single"/>
          <w:rtl/>
        </w:rPr>
        <w:t>ן</w:t>
      </w:r>
      <w:r w:rsidRPr="00E748C7">
        <w:rPr>
          <w:rFonts w:cs="Arial"/>
          <w:u w:val="single"/>
          <w:rtl/>
        </w:rPr>
        <w:t xml:space="preserve"> שתי חתיכות אחת של היתר ואחת של איסור ונפלה אחת לתוך זו ואחת לתוך זו</w:t>
      </w:r>
      <w:r w:rsidRPr="00E748C7">
        <w:rPr>
          <w:rFonts w:hint="cs"/>
          <w:u w:val="single"/>
          <w:rtl/>
        </w:rPr>
        <w:t>:</w:t>
      </w:r>
    </w:p>
    <w:p w14:paraId="693CDC67" w14:textId="77777777" w:rsidR="002C39F4" w:rsidRDefault="002C39F4" w:rsidP="0032102C">
      <w:pPr>
        <w:pStyle w:val="a8"/>
        <w:numPr>
          <w:ilvl w:val="0"/>
          <w:numId w:val="258"/>
        </w:numPr>
      </w:pPr>
      <w:r w:rsidRPr="00E748C7">
        <w:rPr>
          <w:rFonts w:cs="Arial" w:hint="cs"/>
          <w:rtl/>
        </w:rPr>
        <w:t>רשב"א</w:t>
      </w:r>
      <w:r w:rsidRPr="00E748C7">
        <w:rPr>
          <w:rFonts w:cs="Arial" w:hint="cs"/>
          <w:sz w:val="16"/>
          <w:szCs w:val="16"/>
          <w:rtl/>
        </w:rPr>
        <w:t xml:space="preserve"> (</w:t>
      </w:r>
      <w:r>
        <w:rPr>
          <w:rFonts w:cs="Arial" w:hint="cs"/>
          <w:sz w:val="16"/>
          <w:szCs w:val="16"/>
          <w:rtl/>
        </w:rPr>
        <w:t xml:space="preserve">בקצר </w:t>
      </w:r>
      <w:r w:rsidRPr="00E748C7">
        <w:rPr>
          <w:rFonts w:cs="Arial" w:hint="cs"/>
          <w:sz w:val="16"/>
          <w:szCs w:val="16"/>
          <w:rtl/>
        </w:rPr>
        <w:t>שם)</w:t>
      </w:r>
      <w:r w:rsidRPr="00E748C7">
        <w:rPr>
          <w:rFonts w:cs="Arial" w:hint="cs"/>
          <w:rtl/>
        </w:rPr>
        <w:t xml:space="preserve"> ו</w:t>
      </w:r>
      <w:r>
        <w:rPr>
          <w:rFonts w:cs="Arial" w:hint="cs"/>
          <w:rtl/>
        </w:rPr>
        <w:t>טור-</w:t>
      </w:r>
      <w:r w:rsidRPr="00E748C7">
        <w:rPr>
          <w:rFonts w:cs="Arial" w:hint="cs"/>
          <w:rtl/>
        </w:rPr>
        <w:t xml:space="preserve"> </w:t>
      </w:r>
      <w:r w:rsidRPr="00E748C7">
        <w:rPr>
          <w:rFonts w:cs="Arial"/>
          <w:rtl/>
        </w:rPr>
        <w:t>שתיהן אסורות אפילו באיסור דרבנן</w:t>
      </w:r>
      <w:r>
        <w:rPr>
          <w:rFonts w:cs="Arial" w:hint="cs"/>
          <w:rtl/>
        </w:rPr>
        <w:t>,</w:t>
      </w:r>
      <w:r w:rsidRPr="00E748C7">
        <w:rPr>
          <w:rFonts w:cs="Arial"/>
          <w:rtl/>
        </w:rPr>
        <w:t xml:space="preserve"> שא"א לתלות באחת יותר מבחבירתה</w:t>
      </w:r>
      <w:r w:rsidRPr="00E748C7">
        <w:rPr>
          <w:rFonts w:cs="Arial" w:hint="cs"/>
          <w:rtl/>
        </w:rPr>
        <w:t>,</w:t>
      </w:r>
      <w:r w:rsidRPr="00E748C7">
        <w:rPr>
          <w:rFonts w:cs="Arial"/>
          <w:rtl/>
        </w:rPr>
        <w:t xml:space="preserve"> בד"א כשאין בשום אחת מהן כדי לבטל האיסור</w:t>
      </w:r>
      <w:r>
        <w:rPr>
          <w:rStyle w:val="a7"/>
          <w:rFonts w:cs="Arial"/>
          <w:rtl/>
        </w:rPr>
        <w:footnoteReference w:id="2590"/>
      </w:r>
      <w:r>
        <w:rPr>
          <w:rFonts w:cs="Arial" w:hint="cs"/>
          <w:rtl/>
        </w:rPr>
        <w:t>.</w:t>
      </w:r>
      <w:r w:rsidRPr="00E748C7">
        <w:rPr>
          <w:rFonts w:cs="Arial"/>
          <w:rtl/>
        </w:rPr>
        <w:t xml:space="preserve"> </w:t>
      </w:r>
      <w:r w:rsidRPr="00C5148C">
        <w:rPr>
          <w:rFonts w:cs="Arial" w:hint="cs"/>
          <w:color w:val="E36C0A" w:themeColor="accent6" w:themeShade="BF"/>
          <w:rtl/>
        </w:rPr>
        <w:t>(וכ"פ בשו"ע)</w:t>
      </w:r>
    </w:p>
    <w:p w14:paraId="5EE04FB5" w14:textId="77777777" w:rsidR="002C39F4" w:rsidRPr="00EB55F7" w:rsidRDefault="002C39F4" w:rsidP="002C39F4">
      <w:pPr>
        <w:ind w:left="360"/>
        <w:rPr>
          <w:u w:val="dotted"/>
        </w:rPr>
      </w:pPr>
      <w:r w:rsidRPr="00EB55F7">
        <w:rPr>
          <w:rFonts w:hint="cs"/>
          <w:u w:val="dotted"/>
          <w:rtl/>
        </w:rPr>
        <w:t>ומה הדין אם שני הקדרות משל שני בני אדם:</w:t>
      </w:r>
    </w:p>
    <w:p w14:paraId="5E5EA8FF" w14:textId="77777777" w:rsidR="002C39F4" w:rsidRPr="004C74D4" w:rsidRDefault="002C39F4" w:rsidP="0032102C">
      <w:pPr>
        <w:pStyle w:val="a8"/>
        <w:numPr>
          <w:ilvl w:val="0"/>
          <w:numId w:val="258"/>
        </w:numPr>
        <w:rPr>
          <w:color w:val="000000" w:themeColor="text1"/>
        </w:rPr>
      </w:pPr>
      <w:r w:rsidRPr="00EB55F7">
        <w:rPr>
          <w:rFonts w:asciiTheme="minorBidi" w:hAnsiTheme="minorBidi" w:hint="cs"/>
          <w:rtl/>
        </w:rPr>
        <w:t>רמב"ן</w:t>
      </w:r>
      <w:r w:rsidRPr="00EB55F7">
        <w:rPr>
          <w:rFonts w:asciiTheme="minorBidi" w:hAnsiTheme="minorBidi" w:hint="cs"/>
          <w:sz w:val="16"/>
          <w:szCs w:val="16"/>
          <w:rtl/>
        </w:rPr>
        <w:t xml:space="preserve"> (הביא הרשב"א את דבריו)</w:t>
      </w:r>
      <w:r w:rsidRPr="00EB55F7">
        <w:rPr>
          <w:rFonts w:asciiTheme="minorBidi" w:hAnsiTheme="minorBidi" w:hint="cs"/>
          <w:rtl/>
        </w:rPr>
        <w:t xml:space="preserve">- </w:t>
      </w:r>
      <w:r w:rsidRPr="00EB55F7">
        <w:rPr>
          <w:rFonts w:asciiTheme="minorBidi" w:hAnsiTheme="minorBidi"/>
          <w:rtl/>
        </w:rPr>
        <w:t xml:space="preserve">אם היו חביות של </w:t>
      </w:r>
      <w:r w:rsidRPr="004C74D4">
        <w:rPr>
          <w:rFonts w:asciiTheme="minorBidi" w:hAnsiTheme="minorBidi" w:cs="Arial"/>
          <w:rtl/>
        </w:rPr>
        <w:t>ב' בני אדם ובאו לישאל בזה אחר זה אפילו אין בשום אחד מהן לבטל אנו מתירין לכל א' וא' ותולין דבשל חבירו נפל</w:t>
      </w:r>
      <w:r>
        <w:rPr>
          <w:rFonts w:asciiTheme="minorBidi" w:hAnsiTheme="minorBidi" w:cs="Arial" w:hint="cs"/>
          <w:sz w:val="16"/>
          <w:szCs w:val="16"/>
          <w:rtl/>
        </w:rPr>
        <w:t xml:space="preserve"> (ל' הש"ך בשם הרמב"ן)</w:t>
      </w:r>
      <w:r>
        <w:rPr>
          <w:rFonts w:asciiTheme="minorBidi" w:hAnsiTheme="minorBidi" w:cs="Arial" w:hint="cs"/>
          <w:rtl/>
        </w:rPr>
        <w:t xml:space="preserve">, </w:t>
      </w:r>
      <w:r w:rsidRPr="00EB55F7">
        <w:rPr>
          <w:rFonts w:asciiTheme="minorBidi" w:hAnsiTheme="minorBidi"/>
          <w:rtl/>
        </w:rPr>
        <w:t xml:space="preserve">דכל בדרבנן תולין להקל דומיא דשני </w:t>
      </w:r>
      <w:r w:rsidRPr="004C74D4">
        <w:rPr>
          <w:rFonts w:asciiTheme="minorBidi" w:hAnsiTheme="minorBidi"/>
          <w:color w:val="000000" w:themeColor="text1"/>
          <w:rtl/>
        </w:rPr>
        <w:t xml:space="preserve">שבילין </w:t>
      </w:r>
      <w:r w:rsidRPr="004C74D4">
        <w:rPr>
          <w:rFonts w:asciiTheme="minorBidi" w:hAnsiTheme="minorBidi"/>
          <w:color w:val="000000" w:themeColor="text1"/>
          <w:sz w:val="16"/>
          <w:szCs w:val="16"/>
          <w:rtl/>
        </w:rPr>
        <w:t>(נדה ס.)</w:t>
      </w:r>
      <w:r w:rsidRPr="004C74D4">
        <w:rPr>
          <w:rFonts w:asciiTheme="minorBidi" w:hAnsiTheme="minorBidi"/>
          <w:color w:val="000000" w:themeColor="text1"/>
          <w:rtl/>
        </w:rPr>
        <w:t>.</w:t>
      </w:r>
      <w:r w:rsidRPr="004C74D4">
        <w:rPr>
          <w:rFonts w:hint="cs"/>
          <w:color w:val="000000" w:themeColor="text1"/>
          <w:rtl/>
        </w:rPr>
        <w:t xml:space="preserve"> (וכ"פ הש"ך</w:t>
      </w:r>
      <w:r>
        <w:rPr>
          <w:rStyle w:val="a7"/>
          <w:color w:val="000000" w:themeColor="text1"/>
          <w:rtl/>
        </w:rPr>
        <w:footnoteReference w:id="2591"/>
      </w:r>
      <w:r w:rsidRPr="004C74D4">
        <w:rPr>
          <w:rFonts w:hint="cs"/>
          <w:color w:val="000000" w:themeColor="text1"/>
          <w:rtl/>
        </w:rPr>
        <w:t xml:space="preserve"> </w:t>
      </w:r>
      <w:r>
        <w:rPr>
          <w:rFonts w:hint="cs"/>
          <w:color w:val="000000" w:themeColor="text1"/>
          <w:sz w:val="16"/>
          <w:szCs w:val="16"/>
          <w:rtl/>
        </w:rPr>
        <w:t>[</w:t>
      </w:r>
      <w:r w:rsidRPr="004C74D4">
        <w:rPr>
          <w:rFonts w:hint="cs"/>
          <w:color w:val="000000" w:themeColor="text1"/>
          <w:sz w:val="16"/>
          <w:szCs w:val="16"/>
          <w:rtl/>
        </w:rPr>
        <w:t>סקי"ט]</w:t>
      </w:r>
      <w:r w:rsidRPr="004C74D4">
        <w:rPr>
          <w:rFonts w:hint="cs"/>
          <w:color w:val="000000" w:themeColor="text1"/>
          <w:rtl/>
        </w:rPr>
        <w:t>)</w:t>
      </w:r>
    </w:p>
    <w:p w14:paraId="70861B18" w14:textId="77777777" w:rsidR="002C39F4" w:rsidRDefault="002C39F4" w:rsidP="0032102C">
      <w:pPr>
        <w:pStyle w:val="a8"/>
        <w:numPr>
          <w:ilvl w:val="0"/>
          <w:numId w:val="258"/>
        </w:numPr>
      </w:pPr>
      <w:r w:rsidRPr="00E748C7">
        <w:rPr>
          <w:rFonts w:cs="Arial" w:hint="cs"/>
          <w:rtl/>
        </w:rPr>
        <w:t>רשב"א</w:t>
      </w:r>
      <w:r w:rsidRPr="00E748C7">
        <w:rPr>
          <w:rFonts w:cs="Arial" w:hint="cs"/>
          <w:sz w:val="16"/>
          <w:szCs w:val="16"/>
          <w:rtl/>
        </w:rPr>
        <w:t xml:space="preserve"> (</w:t>
      </w:r>
      <w:r>
        <w:rPr>
          <w:rFonts w:cs="Arial" w:hint="cs"/>
          <w:sz w:val="16"/>
          <w:szCs w:val="16"/>
          <w:rtl/>
        </w:rPr>
        <w:t xml:space="preserve">בקצר </w:t>
      </w:r>
      <w:r w:rsidRPr="00E748C7">
        <w:rPr>
          <w:rFonts w:cs="Arial" w:hint="cs"/>
          <w:sz w:val="16"/>
          <w:szCs w:val="16"/>
          <w:rtl/>
        </w:rPr>
        <w:t>שם</w:t>
      </w:r>
      <w:r>
        <w:rPr>
          <w:rFonts w:cs="Arial" w:hint="cs"/>
          <w:sz w:val="16"/>
          <w:szCs w:val="16"/>
          <w:rtl/>
        </w:rPr>
        <w:t xml:space="preserve"> ובארוך שם</w:t>
      </w:r>
      <w:r w:rsidRPr="00E748C7">
        <w:rPr>
          <w:rFonts w:cs="Arial" w:hint="cs"/>
          <w:sz w:val="16"/>
          <w:szCs w:val="16"/>
          <w:rtl/>
        </w:rPr>
        <w:t>)</w:t>
      </w:r>
      <w:r w:rsidRPr="00E748C7">
        <w:rPr>
          <w:rFonts w:cs="Arial" w:hint="cs"/>
          <w:rtl/>
        </w:rPr>
        <w:t xml:space="preserve"> ו</w:t>
      </w:r>
      <w:r>
        <w:rPr>
          <w:rFonts w:cs="Arial" w:hint="cs"/>
          <w:rtl/>
        </w:rPr>
        <w:t>טור-</w:t>
      </w:r>
      <w:r w:rsidRPr="00E748C7">
        <w:rPr>
          <w:rFonts w:cs="Arial" w:hint="cs"/>
          <w:rtl/>
        </w:rPr>
        <w:t xml:space="preserve"> </w:t>
      </w:r>
      <w:r w:rsidRPr="00E748C7">
        <w:rPr>
          <w:rFonts w:cs="Arial"/>
          <w:rtl/>
        </w:rPr>
        <w:t>אין חילוק בין אם שני הקדרות של אדם אחד או משל שני בני אדם</w:t>
      </w:r>
      <w:r>
        <w:rPr>
          <w:rFonts w:hint="cs"/>
          <w:rtl/>
        </w:rPr>
        <w:t>.</w:t>
      </w:r>
    </w:p>
    <w:p w14:paraId="63CA6D77" w14:textId="77777777" w:rsidR="002C39F4" w:rsidRDefault="002C39F4" w:rsidP="002C39F4">
      <w:r>
        <w:rPr>
          <w:rFonts w:cs="Arial" w:hint="cs"/>
          <w:b/>
          <w:bCs/>
          <w:rtl/>
        </w:rPr>
        <w:t xml:space="preserve">תוספתא </w:t>
      </w:r>
      <w:r>
        <w:rPr>
          <w:rFonts w:cs="Arial" w:hint="cs"/>
          <w:b/>
          <w:bCs/>
          <w:sz w:val="16"/>
          <w:szCs w:val="16"/>
          <w:rtl/>
        </w:rPr>
        <w:t xml:space="preserve">(ליברמן) </w:t>
      </w:r>
      <w:r>
        <w:rPr>
          <w:rFonts w:cs="Arial" w:hint="cs"/>
          <w:b/>
          <w:bCs/>
          <w:rtl/>
        </w:rPr>
        <w:t xml:space="preserve">תרומות פ"ו הי"ב: </w:t>
      </w:r>
      <w:r w:rsidRPr="000444DF">
        <w:rPr>
          <w:rFonts w:cs="Arial"/>
          <w:rtl/>
        </w:rPr>
        <w:t>בזו מאה ובזו אין מאה הריני או</w:t>
      </w:r>
      <w:r>
        <w:rPr>
          <w:rFonts w:cs="Arial" w:hint="cs"/>
          <w:rtl/>
        </w:rPr>
        <w:t>מר</w:t>
      </w:r>
      <w:r w:rsidRPr="000444DF">
        <w:rPr>
          <w:rFonts w:cs="Arial"/>
          <w:rtl/>
        </w:rPr>
        <w:t xml:space="preserve"> לתוך מאה נפלה</w:t>
      </w:r>
      <w:r>
        <w:rPr>
          <w:rFonts w:cs="Arial" w:hint="cs"/>
          <w:rtl/>
        </w:rPr>
        <w:t>.</w:t>
      </w:r>
      <w:r w:rsidRPr="000444DF">
        <w:rPr>
          <w:rFonts w:cs="Arial"/>
          <w:rtl/>
        </w:rPr>
        <w:t xml:space="preserve"> אחת מדומעת ואחת שאינה מדומעת הריני או</w:t>
      </w:r>
      <w:r>
        <w:rPr>
          <w:rFonts w:cs="Arial" w:hint="cs"/>
          <w:rtl/>
        </w:rPr>
        <w:t>מר</w:t>
      </w:r>
      <w:r w:rsidRPr="000444DF">
        <w:rPr>
          <w:rFonts w:cs="Arial"/>
          <w:rtl/>
        </w:rPr>
        <w:t xml:space="preserve"> לתוך מדומעת נפלו</w:t>
      </w:r>
      <w:r>
        <w:rPr>
          <w:rFonts w:hint="cs"/>
          <w:rtl/>
        </w:rPr>
        <w:t>.</w:t>
      </w:r>
    </w:p>
    <w:p w14:paraId="67D650E9" w14:textId="77777777" w:rsidR="002C39F4" w:rsidRPr="00B24B08" w:rsidRDefault="002C39F4" w:rsidP="002C39F4">
      <w:pPr>
        <w:rPr>
          <w:rFonts w:cs="Arial"/>
          <w:u w:val="single"/>
        </w:rPr>
      </w:pPr>
      <w:r w:rsidRPr="00B24B08">
        <w:rPr>
          <w:rFonts w:cs="Arial"/>
          <w:u w:val="single"/>
          <w:rtl/>
        </w:rPr>
        <w:t>שתי קדרות של היתר ונפל איסור לתוך אחת מהן</w:t>
      </w:r>
      <w:r w:rsidRPr="00B24B08">
        <w:rPr>
          <w:rFonts w:cs="Arial" w:hint="cs"/>
          <w:u w:val="single"/>
          <w:rtl/>
        </w:rPr>
        <w:t>:</w:t>
      </w:r>
    </w:p>
    <w:p w14:paraId="23EADCF4" w14:textId="77777777" w:rsidR="002C39F4" w:rsidRPr="00B24B08" w:rsidRDefault="002C39F4" w:rsidP="0032102C">
      <w:pPr>
        <w:pStyle w:val="a8"/>
        <w:numPr>
          <w:ilvl w:val="0"/>
          <w:numId w:val="258"/>
        </w:numPr>
        <w:rPr>
          <w:rFonts w:cs="Arial"/>
          <w:rtl/>
        </w:rPr>
      </w:pPr>
      <w:r>
        <w:rPr>
          <w:rFonts w:cs="Arial" w:hint="cs"/>
          <w:rtl/>
        </w:rPr>
        <w:t>רשב"א</w:t>
      </w:r>
      <w:r w:rsidRPr="00B24B08">
        <w:rPr>
          <w:rFonts w:cs="Arial"/>
          <w:rtl/>
        </w:rPr>
        <w:t xml:space="preserve"> </w:t>
      </w:r>
      <w:r w:rsidRPr="00B24B08">
        <w:rPr>
          <w:rFonts w:cs="Arial"/>
          <w:sz w:val="16"/>
          <w:szCs w:val="16"/>
          <w:rtl/>
        </w:rPr>
        <w:t>(תוה"א שם כג:</w:t>
      </w:r>
      <w:r>
        <w:rPr>
          <w:rFonts w:cs="Arial" w:hint="cs"/>
          <w:sz w:val="16"/>
          <w:szCs w:val="16"/>
          <w:rtl/>
        </w:rPr>
        <w:t>, וכ"כ בקצר שם</w:t>
      </w:r>
      <w:r w:rsidRPr="00B24B08">
        <w:rPr>
          <w:rFonts w:cs="Arial"/>
          <w:sz w:val="16"/>
          <w:szCs w:val="16"/>
          <w:rtl/>
        </w:rPr>
        <w:t>)</w:t>
      </w:r>
      <w:r>
        <w:rPr>
          <w:rFonts w:cs="Arial" w:hint="cs"/>
          <w:rtl/>
        </w:rPr>
        <w:t xml:space="preserve">- </w:t>
      </w:r>
      <w:r w:rsidRPr="00B24B08">
        <w:rPr>
          <w:rFonts w:cs="Arial"/>
          <w:rtl/>
        </w:rPr>
        <w:t>היו שתי קדרות של היתר ונפל איסור לתוך אחת מהן</w:t>
      </w:r>
      <w:r w:rsidRPr="00B24B08">
        <w:rPr>
          <w:rFonts w:cs="Arial" w:hint="cs"/>
          <w:rtl/>
        </w:rPr>
        <w:t>,</w:t>
      </w:r>
      <w:r w:rsidRPr="00B24B08">
        <w:rPr>
          <w:rFonts w:cs="Arial"/>
          <w:rtl/>
        </w:rPr>
        <w:t xml:space="preserve"> אם יש באחת מהן כדי להעלות האיסור ובשנייה אין שיעור להעלות גם בזה תולין להקל ואומרים לזו שיש בה שיעור כדי לבטל נפל</w:t>
      </w:r>
      <w:r w:rsidRPr="00B24B08">
        <w:rPr>
          <w:rFonts w:cs="Arial" w:hint="cs"/>
          <w:rtl/>
        </w:rPr>
        <w:t>,</w:t>
      </w:r>
      <w:r w:rsidRPr="00B24B08">
        <w:rPr>
          <w:rFonts w:cs="Arial"/>
          <w:rtl/>
        </w:rPr>
        <w:t xml:space="preserve"> ומן הטעם שכתבנו שאף כשאתה תולה בזו שיש בה כדי לבטל השאר נשאר הכל על היתרו כמו שהיה מתחלה</w:t>
      </w:r>
      <w:r w:rsidRPr="00B24B08">
        <w:rPr>
          <w:rFonts w:cs="Arial" w:hint="cs"/>
          <w:rtl/>
        </w:rPr>
        <w:t>,</w:t>
      </w:r>
      <w:r w:rsidRPr="00B24B08">
        <w:rPr>
          <w:rFonts w:cs="Arial"/>
          <w:rtl/>
        </w:rPr>
        <w:t xml:space="preserve"> ותניא בתוספתא דתרומות </w:t>
      </w:r>
      <w:r w:rsidRPr="00B24B08">
        <w:rPr>
          <w:rFonts w:cs="Arial"/>
          <w:sz w:val="16"/>
          <w:szCs w:val="16"/>
          <w:rtl/>
        </w:rPr>
        <w:t>(פ"ו הי"</w:t>
      </w:r>
      <w:r>
        <w:rPr>
          <w:rFonts w:cs="Arial" w:hint="cs"/>
          <w:sz w:val="16"/>
          <w:szCs w:val="16"/>
          <w:rtl/>
        </w:rPr>
        <w:t>ב</w:t>
      </w:r>
      <w:r w:rsidRPr="00B24B08">
        <w:rPr>
          <w:rFonts w:cs="Arial"/>
          <w:sz w:val="16"/>
          <w:szCs w:val="16"/>
          <w:rtl/>
        </w:rPr>
        <w:t xml:space="preserve">) </w:t>
      </w:r>
      <w:r w:rsidRPr="00B24B08">
        <w:rPr>
          <w:rFonts w:cs="Arial"/>
          <w:rtl/>
        </w:rPr>
        <w:t>בזו ק' ובזו אין ק' הריני אומר לתוך ק' נפלה</w:t>
      </w:r>
      <w:r w:rsidRPr="00B24B08">
        <w:rPr>
          <w:rFonts w:cs="Arial" w:hint="cs"/>
          <w:rtl/>
        </w:rPr>
        <w:t>.</w:t>
      </w:r>
      <w:r w:rsidRPr="00C5148C">
        <w:rPr>
          <w:rFonts w:cs="Arial" w:hint="cs"/>
          <w:color w:val="E36C0A" w:themeColor="accent6" w:themeShade="BF"/>
          <w:rtl/>
        </w:rPr>
        <w:t xml:space="preserve"> (וכ"פ בשו"ע)</w:t>
      </w:r>
    </w:p>
    <w:p w14:paraId="042B3C1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9ADABE2" w14:textId="77777777" w:rsidR="002C39F4" w:rsidRDefault="002C39F4" w:rsidP="002C39F4">
      <w:pPr>
        <w:rPr>
          <w:rFonts w:asciiTheme="minorBidi" w:hAnsiTheme="minorBidi"/>
          <w:rtl/>
        </w:rPr>
      </w:pPr>
      <w:r w:rsidRPr="003024E5">
        <w:rPr>
          <w:rFonts w:asciiTheme="minorBidi" w:hAnsiTheme="minorBidi"/>
          <w:rtl/>
        </w:rPr>
        <w:t>היו כאן שתי קדרות של היתר, ולפניהם שתי חתיכות, אחת של היתר ואחת של איסור, ונפלה אחת לתוך זו ואחת לתוך זו, אסורות שתיהן</w:t>
      </w:r>
      <w:r>
        <w:rPr>
          <w:rStyle w:val="a7"/>
          <w:rFonts w:asciiTheme="minorBidi" w:hAnsiTheme="minorBidi"/>
          <w:rtl/>
        </w:rPr>
        <w:footnoteReference w:id="2592"/>
      </w:r>
      <w:r w:rsidRPr="003024E5">
        <w:rPr>
          <w:rFonts w:asciiTheme="minorBidi" w:hAnsiTheme="minorBidi"/>
          <w:rtl/>
        </w:rPr>
        <w:t>, אפילו באיסור דרבנן, אם אין בשום אחת כדי לבטל האיסור</w:t>
      </w:r>
      <w:r>
        <w:rPr>
          <w:rStyle w:val="a7"/>
          <w:rFonts w:asciiTheme="minorBidi" w:hAnsiTheme="minorBidi"/>
          <w:rtl/>
        </w:rPr>
        <w:footnoteReference w:id="2593"/>
      </w:r>
      <w:r w:rsidRPr="003024E5">
        <w:rPr>
          <w:rFonts w:asciiTheme="minorBidi" w:hAnsiTheme="minorBidi"/>
          <w:rtl/>
        </w:rPr>
        <w:t>. אבל אם יש באחת מהן לבטל האיסור, שתיהן מותרות</w:t>
      </w:r>
      <w:r>
        <w:rPr>
          <w:rStyle w:val="a7"/>
          <w:rFonts w:asciiTheme="minorBidi" w:hAnsiTheme="minorBidi"/>
          <w:rtl/>
        </w:rPr>
        <w:footnoteReference w:id="2594"/>
      </w:r>
      <w:r w:rsidRPr="003024E5">
        <w:rPr>
          <w:rFonts w:asciiTheme="minorBidi" w:hAnsiTheme="minorBidi"/>
          <w:rtl/>
        </w:rPr>
        <w:t xml:space="preserve">. </w:t>
      </w:r>
    </w:p>
    <w:p w14:paraId="66A7A8EF" w14:textId="77777777" w:rsidR="002C39F4" w:rsidRPr="003024E5" w:rsidRDefault="002C39F4" w:rsidP="002C39F4">
      <w:pPr>
        <w:rPr>
          <w:rFonts w:asciiTheme="minorBidi" w:hAnsiTheme="minorBidi"/>
          <w:rtl/>
        </w:rPr>
      </w:pPr>
    </w:p>
    <w:p w14:paraId="4908BCA1"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xml:space="preserve">: שתי קדרות של היתר ונפל איסור לאחת מהן </w:t>
      </w:r>
      <w:r>
        <w:rPr>
          <w:rFonts w:asciiTheme="minorBidi" w:hAnsiTheme="minorBidi"/>
          <w:rtl/>
        </w:rPr>
        <w:t>–</w:t>
      </w:r>
      <w:r>
        <w:rPr>
          <w:rFonts w:asciiTheme="minorBidi" w:hAnsiTheme="minorBidi" w:hint="cs"/>
          <w:rtl/>
        </w:rPr>
        <w:t xml:space="preserve"> וידוע לאיזו נפל, וחזר ונפל ואין ידוע.</w:t>
      </w:r>
    </w:p>
    <w:p w14:paraId="6F39443A" w14:textId="77777777" w:rsidR="002C39F4" w:rsidRDefault="002C39F4" w:rsidP="002C39F4">
      <w:pPr>
        <w:rPr>
          <w:rFonts w:cs="Arial"/>
          <w:rtl/>
        </w:rPr>
      </w:pPr>
      <w:r w:rsidRPr="003E58A3">
        <w:rPr>
          <w:rFonts w:cs="Arial"/>
          <w:b/>
          <w:bCs/>
          <w:rtl/>
        </w:rPr>
        <w:t xml:space="preserve">תוספתא </w:t>
      </w:r>
      <w:r w:rsidRPr="003E58A3">
        <w:rPr>
          <w:rFonts w:cs="Arial"/>
          <w:b/>
          <w:bCs/>
          <w:sz w:val="16"/>
          <w:szCs w:val="16"/>
          <w:rtl/>
        </w:rPr>
        <w:t>(</w:t>
      </w:r>
      <w:r w:rsidRPr="003E58A3">
        <w:rPr>
          <w:rFonts w:cs="Arial" w:hint="cs"/>
          <w:b/>
          <w:bCs/>
          <w:sz w:val="16"/>
          <w:szCs w:val="16"/>
          <w:rtl/>
        </w:rPr>
        <w:t xml:space="preserve">ליברמן) </w:t>
      </w:r>
      <w:r w:rsidRPr="003E58A3">
        <w:rPr>
          <w:rFonts w:cs="Arial"/>
          <w:b/>
          <w:bCs/>
          <w:rtl/>
        </w:rPr>
        <w:t>תרומות פ"ו הי"</w:t>
      </w:r>
      <w:r w:rsidRPr="003E58A3">
        <w:rPr>
          <w:rFonts w:cs="Arial" w:hint="cs"/>
          <w:b/>
          <w:bCs/>
          <w:rtl/>
        </w:rPr>
        <w:t>ג:</w:t>
      </w:r>
      <w:r>
        <w:rPr>
          <w:rFonts w:cs="Arial" w:hint="cs"/>
          <w:b/>
          <w:bCs/>
          <w:rtl/>
        </w:rPr>
        <w:t xml:space="preserve"> </w:t>
      </w:r>
      <w:r w:rsidRPr="003E58A3">
        <w:rPr>
          <w:rFonts w:cs="Arial"/>
          <w:rtl/>
        </w:rPr>
        <w:t xml:space="preserve">שתי </w:t>
      </w:r>
      <w:r>
        <w:rPr>
          <w:rFonts w:cs="Arial"/>
          <w:rtl/>
        </w:rPr>
        <w:t xml:space="preserve">קופות בזו ארבעים סאה ובזו </w:t>
      </w:r>
      <w:r w:rsidRPr="003E58A3">
        <w:rPr>
          <w:rFonts w:cs="Arial"/>
          <w:rtl/>
        </w:rPr>
        <w:t>ארבעים סאה</w:t>
      </w:r>
      <w:r>
        <w:rPr>
          <w:rFonts w:cs="Arial" w:hint="cs"/>
          <w:rtl/>
        </w:rPr>
        <w:t>,</w:t>
      </w:r>
      <w:r w:rsidRPr="003E58A3">
        <w:rPr>
          <w:rFonts w:cs="Arial"/>
          <w:rtl/>
        </w:rPr>
        <w:t xml:space="preserve"> נפלה סאה של תרומה לתוך אחת מהן וידוע לאי זו מהן נפלה ואחר כך נפלה שנייה ואין ידוע לאי זה מקום נפלה</w:t>
      </w:r>
      <w:r>
        <w:rPr>
          <w:rFonts w:cs="Arial" w:hint="cs"/>
          <w:rtl/>
        </w:rPr>
        <w:t>,</w:t>
      </w:r>
      <w:r w:rsidRPr="003E58A3">
        <w:rPr>
          <w:rFonts w:cs="Arial"/>
          <w:rtl/>
        </w:rPr>
        <w:t xml:space="preserve"> הריני יכול לתלות ולומר למקום שנפלה ראשונה שם נפלה שנייה</w:t>
      </w:r>
      <w:r>
        <w:rPr>
          <w:rFonts w:cs="Arial" w:hint="cs"/>
          <w:rtl/>
        </w:rPr>
        <w:t>.</w:t>
      </w:r>
      <w:r w:rsidRPr="003E58A3">
        <w:rPr>
          <w:rFonts w:cs="Arial"/>
          <w:rtl/>
        </w:rPr>
        <w:t xml:space="preserve"> נפלה סאה תרומה לתוך אחת מהן ואין ידוע לאי זו מהן נפלה ואחר כך נפלה שנייה וידוע לאי זו מהן נפלה</w:t>
      </w:r>
      <w:r>
        <w:rPr>
          <w:rFonts w:cs="Arial" w:hint="cs"/>
          <w:rtl/>
        </w:rPr>
        <w:t>,</w:t>
      </w:r>
      <w:r w:rsidRPr="003E58A3">
        <w:rPr>
          <w:rFonts w:cs="Arial"/>
          <w:rtl/>
        </w:rPr>
        <w:t xml:space="preserve"> אינו יכול לתלות ולומר ל</w:t>
      </w:r>
      <w:r>
        <w:rPr>
          <w:rFonts w:cs="Arial"/>
          <w:rtl/>
        </w:rPr>
        <w:t>מקום שנפלה שנייה שם נפלה ראשונה</w:t>
      </w:r>
      <w:r>
        <w:rPr>
          <w:rFonts w:cs="Arial" w:hint="cs"/>
          <w:rtl/>
        </w:rPr>
        <w:t>.</w:t>
      </w:r>
    </w:p>
    <w:p w14:paraId="02FB59D0" w14:textId="77777777" w:rsidR="002C39F4" w:rsidRDefault="002C39F4" w:rsidP="002C39F4">
      <w:pPr>
        <w:rPr>
          <w:rFonts w:cs="Arial"/>
          <w:rtl/>
        </w:rPr>
      </w:pPr>
      <w:r w:rsidRPr="003E58A3">
        <w:rPr>
          <w:rFonts w:cs="Arial" w:hint="cs"/>
          <w:u w:val="single"/>
          <w:rtl/>
        </w:rPr>
        <w:t>שתי קדרות של היתר ונפל איסור לאחת מהן:</w:t>
      </w:r>
    </w:p>
    <w:p w14:paraId="7FB13409" w14:textId="77777777" w:rsidR="002C39F4" w:rsidRPr="003E58A3" w:rsidRDefault="002C39F4" w:rsidP="0032102C">
      <w:pPr>
        <w:pStyle w:val="a8"/>
        <w:numPr>
          <w:ilvl w:val="0"/>
          <w:numId w:val="258"/>
        </w:numPr>
        <w:rPr>
          <w:rtl/>
        </w:rPr>
      </w:pPr>
      <w:r w:rsidRPr="003E58A3">
        <w:rPr>
          <w:rFonts w:cs="Arial" w:hint="cs"/>
          <w:rtl/>
        </w:rPr>
        <w:t>רשב"א</w:t>
      </w:r>
      <w:r w:rsidRPr="003E58A3">
        <w:rPr>
          <w:rFonts w:cs="Arial" w:hint="cs"/>
          <w:sz w:val="16"/>
          <w:szCs w:val="16"/>
          <w:rtl/>
        </w:rPr>
        <w:t xml:space="preserve"> (בקצר שם)</w:t>
      </w:r>
      <w:r w:rsidRPr="003E58A3">
        <w:rPr>
          <w:rFonts w:cs="Arial" w:hint="cs"/>
          <w:rtl/>
        </w:rPr>
        <w:t xml:space="preserve"> וטור-</w:t>
      </w:r>
      <w:r>
        <w:rPr>
          <w:rFonts w:hint="cs"/>
          <w:rtl/>
        </w:rPr>
        <w:t xml:space="preserve"> </w:t>
      </w:r>
      <w:r w:rsidRPr="003E58A3">
        <w:rPr>
          <w:rFonts w:cs="Arial"/>
          <w:rtl/>
        </w:rPr>
        <w:t>היה כאן ב' קדרות של היתר ונפל איסור לתוך אחת מהן וידוע לאיזו נפל</w:t>
      </w:r>
      <w:r w:rsidRPr="003E58A3">
        <w:rPr>
          <w:rFonts w:cs="Arial" w:hint="cs"/>
          <w:rtl/>
        </w:rPr>
        <w:t>,</w:t>
      </w:r>
      <w:r w:rsidRPr="003E58A3">
        <w:rPr>
          <w:rFonts w:cs="Arial"/>
          <w:rtl/>
        </w:rPr>
        <w:t xml:space="preserve"> וחזר ונפל איסור לתוך אחת מהן ואין ידוע לאיזו נפל אני אומר למקום שנפל איסור הראשון נפל גם השני</w:t>
      </w:r>
      <w:r>
        <w:rPr>
          <w:rStyle w:val="a7"/>
          <w:rFonts w:cs="Arial"/>
          <w:rtl/>
        </w:rPr>
        <w:footnoteReference w:id="2595"/>
      </w:r>
      <w:r w:rsidRPr="003E58A3">
        <w:rPr>
          <w:rFonts w:cs="Arial" w:hint="cs"/>
          <w:rtl/>
        </w:rPr>
        <w:t>.</w:t>
      </w:r>
      <w:r w:rsidRPr="003E58A3">
        <w:rPr>
          <w:rFonts w:cs="Arial"/>
          <w:rtl/>
        </w:rPr>
        <w:t xml:space="preserve"> נפל האיסור לתוך אחת מהן ואין ידוע לאיזו נפל ואח"כ נפל איסור לתוך אחת מהן וידוע לאיזו נפל שתיהן אסורות ואין אומרים למקום שנפל איסור האחרון נפל גם הראשון</w:t>
      </w:r>
      <w:r>
        <w:rPr>
          <w:rStyle w:val="a7"/>
          <w:rFonts w:cs="Arial"/>
          <w:rtl/>
        </w:rPr>
        <w:footnoteReference w:id="2596"/>
      </w:r>
      <w:r w:rsidRPr="003E58A3">
        <w:rPr>
          <w:rFonts w:cs="Arial" w:hint="cs"/>
          <w:rtl/>
        </w:rPr>
        <w:t>.</w:t>
      </w:r>
      <w:r w:rsidRPr="00C5148C">
        <w:rPr>
          <w:rFonts w:cs="Arial" w:hint="cs"/>
          <w:color w:val="E36C0A" w:themeColor="accent6" w:themeShade="BF"/>
          <w:rtl/>
        </w:rPr>
        <w:t xml:space="preserve"> (וכ"פ בשו"ע)</w:t>
      </w:r>
      <w:r>
        <w:rPr>
          <w:rFonts w:hint="cs"/>
          <w:rtl/>
        </w:rPr>
        <w:t xml:space="preserve"> </w:t>
      </w:r>
    </w:p>
    <w:p w14:paraId="4C26354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0D7E1CD" w14:textId="77777777" w:rsidR="002C39F4" w:rsidRDefault="002C39F4" w:rsidP="002C39F4">
      <w:pPr>
        <w:rPr>
          <w:rFonts w:asciiTheme="minorBidi" w:hAnsiTheme="minorBidi"/>
          <w:rtl/>
        </w:rPr>
      </w:pPr>
      <w:r>
        <w:rPr>
          <w:rFonts w:asciiTheme="minorBidi" w:hAnsiTheme="minorBidi"/>
          <w:rtl/>
        </w:rPr>
        <w:t>היו כאן שתי קדירות של היתר</w:t>
      </w:r>
      <w:r w:rsidRPr="003024E5">
        <w:rPr>
          <w:rFonts w:asciiTheme="minorBidi" w:hAnsiTheme="minorBidi"/>
          <w:rtl/>
        </w:rPr>
        <w:t xml:space="preserve"> </w:t>
      </w:r>
      <w:r>
        <w:rPr>
          <w:rFonts w:asciiTheme="minorBidi" w:hAnsiTheme="minorBidi"/>
          <w:rtl/>
        </w:rPr>
        <w:t>ונפל איסור לתוך אחת מהן</w:t>
      </w:r>
      <w:r w:rsidRPr="003024E5">
        <w:rPr>
          <w:rFonts w:asciiTheme="minorBidi" w:hAnsiTheme="minorBidi"/>
          <w:rtl/>
        </w:rPr>
        <w:t xml:space="preserve"> וידוע לאיזו נפל</w:t>
      </w:r>
      <w:r>
        <w:rPr>
          <w:rStyle w:val="a7"/>
          <w:rFonts w:asciiTheme="minorBidi" w:hAnsiTheme="minorBidi"/>
          <w:rtl/>
        </w:rPr>
        <w:footnoteReference w:id="2597"/>
      </w:r>
      <w:r w:rsidRPr="003024E5">
        <w:rPr>
          <w:rFonts w:asciiTheme="minorBidi" w:hAnsiTheme="minorBidi"/>
          <w:rtl/>
        </w:rPr>
        <w:t>, וחזר ונפל איסור לתוך אחת מהן ואין ידוע לאיזו נפל, אני אומר למקום איסור הראשון נפל גם השני</w:t>
      </w:r>
      <w:r>
        <w:rPr>
          <w:rStyle w:val="a7"/>
          <w:rFonts w:asciiTheme="minorBidi" w:hAnsiTheme="minorBidi"/>
          <w:rtl/>
        </w:rPr>
        <w:footnoteReference w:id="2598"/>
      </w:r>
      <w:r w:rsidRPr="003024E5">
        <w:rPr>
          <w:rFonts w:asciiTheme="minorBidi" w:hAnsiTheme="minorBidi"/>
          <w:rtl/>
        </w:rPr>
        <w:t xml:space="preserve">. </w:t>
      </w:r>
      <w:r w:rsidRPr="00C729EA">
        <w:rPr>
          <w:rFonts w:asciiTheme="minorBidi" w:hAnsiTheme="minorBidi"/>
          <w:sz w:val="18"/>
          <w:szCs w:val="18"/>
          <w:rtl/>
        </w:rPr>
        <w:t xml:space="preserve">הגה: ודוקא שאין ס' לבטל האיסור שנפל שם, אבל אם היה ס' לבטל האיסור שנפל שם, הוי כאילו לא נפל שם איסור כלל (ב"י בשם הרשב"א). </w:t>
      </w:r>
      <w:r>
        <w:rPr>
          <w:rFonts w:asciiTheme="minorBidi" w:hAnsiTheme="minorBidi"/>
          <w:rtl/>
        </w:rPr>
        <w:t>אבל אם נפל איסור לתוך אחת מהן</w:t>
      </w:r>
      <w:r w:rsidRPr="003024E5">
        <w:rPr>
          <w:rFonts w:asciiTheme="minorBidi" w:hAnsiTheme="minorBidi"/>
          <w:rtl/>
        </w:rPr>
        <w:t xml:space="preserve"> ואין ידוע לאיזו נפל, ואחר כך נפל איסור לתוך אחת מהן וידוע לאיזו נפל, שתיהן אסורות</w:t>
      </w:r>
      <w:r>
        <w:rPr>
          <w:rStyle w:val="a7"/>
          <w:rFonts w:asciiTheme="minorBidi" w:hAnsiTheme="minorBidi"/>
          <w:rtl/>
        </w:rPr>
        <w:footnoteReference w:id="2599"/>
      </w:r>
      <w:r w:rsidRPr="003024E5">
        <w:rPr>
          <w:rFonts w:asciiTheme="minorBidi" w:hAnsiTheme="minorBidi"/>
          <w:rtl/>
        </w:rPr>
        <w:t xml:space="preserve">. </w:t>
      </w:r>
    </w:p>
    <w:p w14:paraId="24FE67F7" w14:textId="77777777" w:rsidR="002C39F4" w:rsidRPr="003024E5" w:rsidRDefault="002C39F4" w:rsidP="002C39F4">
      <w:pPr>
        <w:rPr>
          <w:rFonts w:asciiTheme="minorBidi" w:hAnsiTheme="minorBidi"/>
          <w:rtl/>
        </w:rPr>
      </w:pPr>
    </w:p>
    <w:p w14:paraId="4EE7372F" w14:textId="77777777" w:rsidR="002C39F4" w:rsidRPr="007414DF" w:rsidRDefault="002C39F4" w:rsidP="002C39F4">
      <w:pPr>
        <w:pStyle w:val="2"/>
        <w:rPr>
          <w:rFonts w:asciiTheme="minorBidi" w:hAnsiTheme="minorBidi"/>
          <w:rtl/>
        </w:rPr>
      </w:pPr>
      <w:r w:rsidRPr="007414DF">
        <w:rPr>
          <w:rFonts w:asciiTheme="minorBidi" w:hAnsiTheme="minorBidi"/>
          <w:rtl/>
        </w:rPr>
        <w:t>סעיף ז</w:t>
      </w:r>
      <w:r w:rsidRPr="007414DF">
        <w:rPr>
          <w:rFonts w:asciiTheme="minorBidi" w:hAnsiTheme="minorBidi" w:hint="cs"/>
          <w:rtl/>
        </w:rPr>
        <w:t>:</w:t>
      </w:r>
      <w:r w:rsidRPr="007414DF">
        <w:rPr>
          <w:rFonts w:cs="Arial" w:hint="cs"/>
          <w:rtl/>
        </w:rPr>
        <w:t xml:space="preserve"> שתי קדרות של היתר ונפל איסור לאחת מהן </w:t>
      </w:r>
      <w:r w:rsidRPr="007414DF">
        <w:rPr>
          <w:rFonts w:cs="Arial"/>
          <w:rtl/>
        </w:rPr>
        <w:t>–</w:t>
      </w:r>
      <w:r w:rsidRPr="007414DF">
        <w:rPr>
          <w:rFonts w:cs="Arial" w:hint="cs"/>
          <w:rtl/>
        </w:rPr>
        <w:t xml:space="preserve"> ויש בשתי הקדרות כדי לבטל האיסור</w:t>
      </w:r>
      <w:r>
        <w:rPr>
          <w:rFonts w:cs="Arial" w:hint="cs"/>
          <w:rtl/>
        </w:rPr>
        <w:t>.</w:t>
      </w:r>
    </w:p>
    <w:p w14:paraId="173CF8B8" w14:textId="77777777" w:rsidR="002C39F4" w:rsidRPr="007414DF" w:rsidRDefault="002C39F4" w:rsidP="002C39F4">
      <w:pPr>
        <w:rPr>
          <w:rFonts w:cs="Arial"/>
          <w:sz w:val="16"/>
          <w:szCs w:val="16"/>
          <w:u w:val="single"/>
          <w:rtl/>
        </w:rPr>
      </w:pPr>
      <w:r w:rsidRPr="00243533">
        <w:rPr>
          <w:rFonts w:cs="Arial" w:hint="cs"/>
          <w:b/>
          <w:bCs/>
          <w:rtl/>
        </w:rPr>
        <w:t>משנה תרומות פ"ד מ"י</w:t>
      </w:r>
      <w:r>
        <w:rPr>
          <w:rStyle w:val="a7"/>
          <w:rFonts w:cs="Arial"/>
          <w:b/>
          <w:bCs/>
          <w:rtl/>
        </w:rPr>
        <w:footnoteReference w:id="2600"/>
      </w:r>
      <w:r w:rsidRPr="00243533">
        <w:rPr>
          <w:rFonts w:cs="Arial" w:hint="cs"/>
          <w:b/>
          <w:bCs/>
          <w:rtl/>
        </w:rPr>
        <w:t>:</w:t>
      </w:r>
      <w:r>
        <w:rPr>
          <w:rFonts w:cs="Arial" w:hint="cs"/>
          <w:rtl/>
        </w:rPr>
        <w:t xml:space="preserve"> </w:t>
      </w:r>
      <w:r w:rsidRPr="00243533">
        <w:rPr>
          <w:rFonts w:cs="Arial"/>
          <w:rtl/>
        </w:rPr>
        <w:t>ובזו רבי אליעזר מקל ורבי יהושע מחמיר</w:t>
      </w:r>
      <w:r>
        <w:rPr>
          <w:rFonts w:cs="Arial" w:hint="cs"/>
          <w:rtl/>
        </w:rPr>
        <w:t>,</w:t>
      </w:r>
      <w:r w:rsidRPr="00243533">
        <w:rPr>
          <w:rFonts w:cs="Arial"/>
          <w:rtl/>
        </w:rPr>
        <w:t xml:space="preserve"> בדורס ליטרא קציעות ע"פ הכד ואינו יודע איזוהי</w:t>
      </w:r>
      <w:r>
        <w:rPr>
          <w:rFonts w:cs="Arial" w:hint="cs"/>
          <w:rtl/>
        </w:rPr>
        <w:t>,</w:t>
      </w:r>
      <w:r w:rsidRPr="00243533">
        <w:rPr>
          <w:rFonts w:cs="Arial"/>
          <w:rtl/>
        </w:rPr>
        <w:t xml:space="preserve"> </w:t>
      </w:r>
      <w:r w:rsidRPr="00243533">
        <w:rPr>
          <w:rFonts w:cs="Arial"/>
          <w:u w:val="single"/>
          <w:rtl/>
        </w:rPr>
        <w:t>רבי אליעזר אומר</w:t>
      </w:r>
      <w:r>
        <w:rPr>
          <w:rFonts w:cs="Arial" w:hint="cs"/>
          <w:rtl/>
        </w:rPr>
        <w:t>:</w:t>
      </w:r>
      <w:r w:rsidRPr="00243533">
        <w:rPr>
          <w:rFonts w:cs="Arial"/>
          <w:rtl/>
        </w:rPr>
        <w:t xml:space="preserve"> רואין אותן כאילו הם פרודות והתחתונות מעלות את העליונות</w:t>
      </w:r>
      <w:r>
        <w:rPr>
          <w:rFonts w:cs="Arial" w:hint="cs"/>
          <w:rtl/>
        </w:rPr>
        <w:t>,</w:t>
      </w:r>
      <w:r w:rsidRPr="00243533">
        <w:rPr>
          <w:rFonts w:cs="Arial"/>
          <w:rtl/>
        </w:rPr>
        <w:t xml:space="preserve"> </w:t>
      </w:r>
      <w:r w:rsidRPr="00243533">
        <w:rPr>
          <w:rFonts w:cs="Arial"/>
          <w:u w:val="single"/>
          <w:rtl/>
        </w:rPr>
        <w:t>רבי יהושע אומר</w:t>
      </w:r>
      <w:r>
        <w:rPr>
          <w:rFonts w:cs="Arial" w:hint="cs"/>
          <w:rtl/>
        </w:rPr>
        <w:t>:</w:t>
      </w:r>
      <w:r>
        <w:rPr>
          <w:rFonts w:cs="Arial"/>
          <w:rtl/>
        </w:rPr>
        <w:t xml:space="preserve"> לא תעלה </w:t>
      </w:r>
      <w:r w:rsidRPr="007414DF">
        <w:rPr>
          <w:rFonts w:cs="Arial"/>
          <w:rtl/>
        </w:rPr>
        <w:t>עד שיהיו שם מאה כדים</w:t>
      </w:r>
      <w:r w:rsidRPr="007414DF">
        <w:rPr>
          <w:rStyle w:val="a7"/>
          <w:rFonts w:cs="Arial"/>
          <w:rtl/>
        </w:rPr>
        <w:footnoteReference w:id="2601"/>
      </w:r>
      <w:r w:rsidRPr="007414DF">
        <w:rPr>
          <w:rFonts w:cs="Arial" w:hint="cs"/>
          <w:rtl/>
        </w:rPr>
        <w:t>.</w:t>
      </w:r>
      <w:r w:rsidRPr="007414DF">
        <w:rPr>
          <w:rFonts w:cs="Arial" w:hint="cs"/>
          <w:sz w:val="16"/>
          <w:szCs w:val="16"/>
          <w:rtl/>
        </w:rPr>
        <w:t xml:space="preserve"> (ומכאן דאפילו אין בכלי א' כדי לבטל האיסור רק בצירוף שאר הכלים, אפ"ה- מצטר</w:t>
      </w:r>
      <w:r>
        <w:rPr>
          <w:rFonts w:cs="Arial" w:hint="cs"/>
          <w:sz w:val="16"/>
          <w:szCs w:val="16"/>
          <w:rtl/>
        </w:rPr>
        <w:t>פ</w:t>
      </w:r>
      <w:r w:rsidRPr="007414DF">
        <w:rPr>
          <w:rFonts w:cs="Arial" w:hint="cs"/>
          <w:sz w:val="16"/>
          <w:szCs w:val="16"/>
          <w:rtl/>
        </w:rPr>
        <w:t xml:space="preserve">ין </w:t>
      </w:r>
      <w:r>
        <w:rPr>
          <w:rFonts w:cs="Arial" w:hint="cs"/>
          <w:sz w:val="16"/>
          <w:szCs w:val="16"/>
          <w:rtl/>
        </w:rPr>
        <w:t xml:space="preserve">כולם </w:t>
      </w:r>
      <w:r w:rsidRPr="007414DF">
        <w:rPr>
          <w:rFonts w:cs="Arial" w:hint="cs"/>
          <w:sz w:val="16"/>
          <w:szCs w:val="16"/>
          <w:rtl/>
        </w:rPr>
        <w:t>לבטל האיסור</w:t>
      </w:r>
      <w:r>
        <w:rPr>
          <w:rFonts w:cs="Arial" w:hint="cs"/>
          <w:sz w:val="16"/>
          <w:szCs w:val="16"/>
          <w:rtl/>
        </w:rPr>
        <w:t>, ע"פ רשב"א</w:t>
      </w:r>
      <w:r w:rsidRPr="007414DF">
        <w:rPr>
          <w:rFonts w:cs="Arial" w:hint="cs"/>
          <w:sz w:val="16"/>
          <w:szCs w:val="16"/>
          <w:rtl/>
        </w:rPr>
        <w:t>)</w:t>
      </w:r>
    </w:p>
    <w:p w14:paraId="191E5AE0" w14:textId="77777777" w:rsidR="002C39F4" w:rsidRDefault="002C39F4" w:rsidP="002C39F4">
      <w:pPr>
        <w:rPr>
          <w:rFonts w:cs="Arial"/>
          <w:rtl/>
        </w:rPr>
      </w:pPr>
      <w:r w:rsidRPr="003E58A3">
        <w:rPr>
          <w:rFonts w:cs="Arial" w:hint="cs"/>
          <w:u w:val="single"/>
          <w:rtl/>
        </w:rPr>
        <w:t>שתי קדרות של היתר ונפל איסור לאחת מהן</w:t>
      </w:r>
      <w:r>
        <w:rPr>
          <w:rFonts w:cs="Arial" w:hint="cs"/>
          <w:u w:val="single"/>
          <w:rtl/>
        </w:rPr>
        <w:t xml:space="preserve"> </w:t>
      </w:r>
      <w:r>
        <w:rPr>
          <w:rFonts w:cs="Arial"/>
          <w:u w:val="single"/>
          <w:rtl/>
        </w:rPr>
        <w:t>–</w:t>
      </w:r>
      <w:r>
        <w:rPr>
          <w:rFonts w:cs="Arial" w:hint="cs"/>
          <w:u w:val="single"/>
          <w:rtl/>
        </w:rPr>
        <w:t xml:space="preserve"> ויש בשתי הקדרות כדי לבטל האיסור</w:t>
      </w:r>
      <w:r w:rsidRPr="003E58A3">
        <w:rPr>
          <w:rFonts w:cs="Arial" w:hint="cs"/>
          <w:u w:val="single"/>
          <w:rtl/>
        </w:rPr>
        <w:t>:</w:t>
      </w:r>
    </w:p>
    <w:p w14:paraId="3C910769" w14:textId="77777777" w:rsidR="002C39F4" w:rsidRDefault="002C39F4" w:rsidP="0032102C">
      <w:pPr>
        <w:pStyle w:val="a8"/>
        <w:numPr>
          <w:ilvl w:val="0"/>
          <w:numId w:val="258"/>
        </w:numPr>
      </w:pPr>
      <w:r w:rsidRPr="007414DF">
        <w:rPr>
          <w:rFonts w:cs="Arial" w:hint="cs"/>
          <w:rtl/>
        </w:rPr>
        <w:t>רשב"א</w:t>
      </w:r>
      <w:r w:rsidRPr="007414DF">
        <w:rPr>
          <w:rFonts w:cs="Arial" w:hint="cs"/>
          <w:sz w:val="16"/>
          <w:szCs w:val="16"/>
          <w:rtl/>
        </w:rPr>
        <w:t xml:space="preserve"> (בקצר שם)</w:t>
      </w:r>
      <w:r w:rsidRPr="007414DF">
        <w:rPr>
          <w:rFonts w:cs="Arial" w:hint="cs"/>
          <w:rtl/>
        </w:rPr>
        <w:t xml:space="preserve"> וטור-</w:t>
      </w:r>
      <w:r>
        <w:rPr>
          <w:rFonts w:hint="cs"/>
          <w:rtl/>
        </w:rPr>
        <w:t xml:space="preserve"> </w:t>
      </w:r>
      <w:r w:rsidRPr="007414DF">
        <w:rPr>
          <w:rFonts w:cs="Arial"/>
          <w:rtl/>
        </w:rPr>
        <w:t>הי</w:t>
      </w:r>
      <w:r w:rsidRPr="007414DF">
        <w:rPr>
          <w:rFonts w:cs="Arial" w:hint="cs"/>
          <w:rtl/>
        </w:rPr>
        <w:t>ו</w:t>
      </w:r>
      <w:r w:rsidRPr="007414DF">
        <w:rPr>
          <w:rFonts w:cs="Arial"/>
          <w:rtl/>
        </w:rPr>
        <w:t xml:space="preserve"> כאן שתי קדרות של היתר ונפל איסור לתוך אחת מהן ואין ידוע לאיזו נפל ואין באחת כדי לבטל האיסור ויש בשתיהן כדי לבטלו שתיהן מצטרפין לבטלו</w:t>
      </w:r>
      <w:r w:rsidRPr="007414DF">
        <w:rPr>
          <w:rFonts w:cs="Arial" w:hint="cs"/>
          <w:rtl/>
        </w:rPr>
        <w:t>.</w:t>
      </w:r>
      <w:r>
        <w:rPr>
          <w:rFonts w:hint="cs"/>
          <w:rtl/>
        </w:rPr>
        <w:t xml:space="preserve"> </w:t>
      </w:r>
      <w:r w:rsidRPr="00C5148C">
        <w:rPr>
          <w:rFonts w:cs="Arial" w:hint="cs"/>
          <w:color w:val="E36C0A" w:themeColor="accent6" w:themeShade="BF"/>
          <w:rtl/>
        </w:rPr>
        <w:t>(וכ"פ בשו"ע)</w:t>
      </w:r>
    </w:p>
    <w:p w14:paraId="22D61E4A" w14:textId="77777777" w:rsidR="002C39F4" w:rsidRDefault="002C39F4" w:rsidP="0032102C">
      <w:pPr>
        <w:pStyle w:val="a8"/>
        <w:numPr>
          <w:ilvl w:val="0"/>
          <w:numId w:val="258"/>
        </w:numPr>
        <w:rPr>
          <w:rtl/>
        </w:rPr>
      </w:pPr>
      <w:r w:rsidRPr="004A4BE4">
        <w:rPr>
          <w:rFonts w:cs="Arial"/>
          <w:rtl/>
        </w:rPr>
        <w:t>רא"ה</w:t>
      </w:r>
      <w:r w:rsidRPr="004A4BE4">
        <w:rPr>
          <w:rFonts w:cs="Arial"/>
          <w:sz w:val="16"/>
          <w:szCs w:val="16"/>
          <w:rtl/>
        </w:rPr>
        <w:t xml:space="preserve"> </w:t>
      </w:r>
      <w:r w:rsidRPr="004A4BE4">
        <w:rPr>
          <w:rFonts w:cs="Arial" w:hint="cs"/>
          <w:sz w:val="16"/>
          <w:szCs w:val="16"/>
          <w:rtl/>
        </w:rPr>
        <w:t>(</w:t>
      </w:r>
      <w:r w:rsidRPr="004A4BE4">
        <w:rPr>
          <w:rFonts w:cs="Arial"/>
          <w:sz w:val="16"/>
          <w:szCs w:val="16"/>
          <w:rtl/>
        </w:rPr>
        <w:t>בד</w:t>
      </w:r>
      <w:r w:rsidRPr="004A4BE4">
        <w:rPr>
          <w:rFonts w:cs="Arial" w:hint="cs"/>
          <w:sz w:val="16"/>
          <w:szCs w:val="16"/>
          <w:rtl/>
        </w:rPr>
        <w:t>ה"ב ב"ד ש"ב כג.</w:t>
      </w:r>
      <w:r>
        <w:rPr>
          <w:rFonts w:cs="Arial" w:hint="cs"/>
          <w:sz w:val="16"/>
          <w:szCs w:val="16"/>
          <w:rtl/>
        </w:rPr>
        <w:t>, הביאו הש"ך סק"כ</w:t>
      </w:r>
      <w:r w:rsidRPr="004A4BE4">
        <w:rPr>
          <w:rFonts w:cs="Arial"/>
          <w:sz w:val="16"/>
          <w:szCs w:val="16"/>
          <w:rtl/>
        </w:rPr>
        <w:t>)</w:t>
      </w:r>
      <w:r>
        <w:rPr>
          <w:rFonts w:cs="Arial" w:hint="cs"/>
          <w:rtl/>
        </w:rPr>
        <w:t>-</w:t>
      </w:r>
      <w:r w:rsidRPr="004A4BE4">
        <w:rPr>
          <w:rFonts w:cs="Arial"/>
          <w:rtl/>
        </w:rPr>
        <w:t xml:space="preserve"> הא דאמרינן שתי קופות מצטרפות לא נאמרו קולות הללו אלא באיסורי דרבנן או באיסור תורה ושיעורי דרבנן וכן יבש ביבש דלית בה טעמא או לח ואית בה ס' </w:t>
      </w:r>
      <w:r w:rsidRPr="004A4BE4">
        <w:rPr>
          <w:rFonts w:cs="Arial"/>
          <w:sz w:val="16"/>
          <w:szCs w:val="16"/>
          <w:rtl/>
        </w:rPr>
        <w:t>(אלא דתרומה וכה"ג שיעורן יותר מס')</w:t>
      </w:r>
      <w:r>
        <w:rPr>
          <w:rFonts w:cs="Arial" w:hint="cs"/>
          <w:rtl/>
        </w:rPr>
        <w:t xml:space="preserve">, </w:t>
      </w:r>
      <w:r w:rsidRPr="004A4BE4">
        <w:rPr>
          <w:rFonts w:cs="Arial"/>
          <w:rtl/>
        </w:rPr>
        <w:t>אבל היכא דאית בה טעמא ודאי כל היכא דיהיב טעמא או שראוי ליתן טעם כגון לח בלח במין במינו ואין ס' לא אמרינן ביה הני קולי אפילו באיסורי דרבנן</w:t>
      </w:r>
      <w:r>
        <w:rPr>
          <w:rFonts w:cs="Arial" w:hint="cs"/>
          <w:rtl/>
        </w:rPr>
        <w:t>,</w:t>
      </w:r>
      <w:r w:rsidRPr="004A4BE4">
        <w:rPr>
          <w:rFonts w:cs="Arial"/>
          <w:rtl/>
        </w:rPr>
        <w:t xml:space="preserve"> ולא הוזכר דין זה בשום דבר שיש בו כדי ליתן טעם דטעמא לעולם לא</w:t>
      </w:r>
      <w:r>
        <w:rPr>
          <w:rFonts w:cs="Arial"/>
          <w:rtl/>
        </w:rPr>
        <w:t xml:space="preserve"> בטל או ראוי לנתינת טעם אע</w:t>
      </w:r>
      <w:r>
        <w:rPr>
          <w:rFonts w:cs="Arial" w:hint="cs"/>
          <w:rtl/>
        </w:rPr>
        <w:t>"</w:t>
      </w:r>
      <w:r>
        <w:rPr>
          <w:rFonts w:cs="Arial"/>
          <w:rtl/>
        </w:rPr>
        <w:t>ג</w:t>
      </w:r>
      <w:r w:rsidRPr="004A4BE4">
        <w:rPr>
          <w:rFonts w:cs="Arial"/>
          <w:rtl/>
        </w:rPr>
        <w:t xml:space="preserve"> דליכא טעמא כגון מין במינו</w:t>
      </w:r>
      <w:r>
        <w:rPr>
          <w:rFonts w:cs="Arial" w:hint="cs"/>
          <w:rtl/>
        </w:rPr>
        <w:t>.</w:t>
      </w:r>
    </w:p>
    <w:p w14:paraId="0B54B9E1" w14:textId="77777777" w:rsidR="002C39F4" w:rsidRPr="007414DF" w:rsidRDefault="002C39F4" w:rsidP="002C39F4">
      <w:pPr>
        <w:rPr>
          <w:rFonts w:cs="Arial"/>
          <w:rtl/>
        </w:rPr>
      </w:pPr>
      <w:r w:rsidRPr="003E58A3">
        <w:rPr>
          <w:rFonts w:cs="Arial"/>
          <w:b/>
          <w:bCs/>
          <w:rtl/>
        </w:rPr>
        <w:t xml:space="preserve">תוספתא </w:t>
      </w:r>
      <w:r w:rsidRPr="003E58A3">
        <w:rPr>
          <w:rFonts w:cs="Arial"/>
          <w:b/>
          <w:bCs/>
          <w:sz w:val="16"/>
          <w:szCs w:val="16"/>
          <w:rtl/>
        </w:rPr>
        <w:t>(</w:t>
      </w:r>
      <w:r w:rsidRPr="003E58A3">
        <w:rPr>
          <w:rFonts w:cs="Arial" w:hint="cs"/>
          <w:b/>
          <w:bCs/>
          <w:sz w:val="16"/>
          <w:szCs w:val="16"/>
          <w:rtl/>
        </w:rPr>
        <w:t xml:space="preserve">ליברמן) </w:t>
      </w:r>
      <w:r w:rsidRPr="003E58A3">
        <w:rPr>
          <w:rFonts w:cs="Arial"/>
          <w:b/>
          <w:bCs/>
          <w:rtl/>
        </w:rPr>
        <w:t>תרומות פ"ו הי"</w:t>
      </w:r>
      <w:r>
        <w:rPr>
          <w:rFonts w:cs="Arial" w:hint="cs"/>
          <w:b/>
          <w:bCs/>
          <w:rtl/>
        </w:rPr>
        <w:t>ב</w:t>
      </w:r>
      <w:r>
        <w:rPr>
          <w:rStyle w:val="a7"/>
          <w:rFonts w:cs="Arial"/>
          <w:b/>
          <w:bCs/>
          <w:rtl/>
        </w:rPr>
        <w:footnoteReference w:id="2602"/>
      </w:r>
      <w:r w:rsidRPr="003E58A3">
        <w:rPr>
          <w:rFonts w:cs="Arial" w:hint="cs"/>
          <w:b/>
          <w:bCs/>
          <w:rtl/>
        </w:rPr>
        <w:t>:</w:t>
      </w:r>
      <w:r>
        <w:rPr>
          <w:rFonts w:cs="Arial" w:hint="cs"/>
          <w:b/>
          <w:bCs/>
          <w:rtl/>
        </w:rPr>
        <w:t xml:space="preserve"> </w:t>
      </w:r>
      <w:r w:rsidRPr="007414DF">
        <w:rPr>
          <w:rFonts w:cs="Arial"/>
          <w:rtl/>
        </w:rPr>
        <w:t>שתי קופות בשתי מגורות</w:t>
      </w:r>
      <w:r>
        <w:rPr>
          <w:rStyle w:val="a7"/>
          <w:rFonts w:cs="Arial"/>
          <w:rtl/>
        </w:rPr>
        <w:footnoteReference w:id="2603"/>
      </w:r>
      <w:r>
        <w:rPr>
          <w:rFonts w:cs="Arial" w:hint="cs"/>
          <w:rtl/>
        </w:rPr>
        <w:t>,</w:t>
      </w:r>
      <w:r w:rsidRPr="007414DF">
        <w:rPr>
          <w:rFonts w:cs="Arial"/>
          <w:rtl/>
        </w:rPr>
        <w:t xml:space="preserve"> שתי מגורות בשתי ע</w:t>
      </w:r>
      <w:r>
        <w:rPr>
          <w:rFonts w:cs="Arial"/>
          <w:rtl/>
        </w:rPr>
        <w:t>ליות</w:t>
      </w:r>
      <w:r>
        <w:rPr>
          <w:rFonts w:cs="Arial" w:hint="cs"/>
          <w:rtl/>
        </w:rPr>
        <w:t>,</w:t>
      </w:r>
      <w:r>
        <w:rPr>
          <w:rFonts w:cs="Arial"/>
          <w:rtl/>
        </w:rPr>
        <w:t xml:space="preserve"> שתי מגורות בעליה אחת</w:t>
      </w:r>
      <w:r>
        <w:rPr>
          <w:rFonts w:cs="Arial" w:hint="cs"/>
          <w:rtl/>
        </w:rPr>
        <w:t>,</w:t>
      </w:r>
      <w:r>
        <w:rPr>
          <w:rFonts w:cs="Arial"/>
          <w:rtl/>
        </w:rPr>
        <w:t xml:space="preserve"> הרי א</w:t>
      </w:r>
      <w:r w:rsidRPr="007414DF">
        <w:rPr>
          <w:rFonts w:cs="Arial"/>
          <w:rtl/>
        </w:rPr>
        <w:t>לו יעלו</w:t>
      </w:r>
      <w:r>
        <w:rPr>
          <w:rFonts w:cs="Arial" w:hint="cs"/>
          <w:rtl/>
        </w:rPr>
        <w:t>,</w:t>
      </w:r>
      <w:r>
        <w:rPr>
          <w:rFonts w:cs="Arial"/>
          <w:rtl/>
        </w:rPr>
        <w:t xml:space="preserve"> </w:t>
      </w:r>
      <w:r w:rsidRPr="009A5122">
        <w:rPr>
          <w:rFonts w:cs="Arial"/>
          <w:u w:val="single"/>
          <w:rtl/>
        </w:rPr>
        <w:t>ר' יהודה או</w:t>
      </w:r>
      <w:r w:rsidRPr="009A5122">
        <w:rPr>
          <w:rFonts w:cs="Arial" w:hint="cs"/>
          <w:u w:val="single"/>
          <w:rtl/>
        </w:rPr>
        <w:t>מר</w:t>
      </w:r>
      <w:r>
        <w:rPr>
          <w:rFonts w:cs="Arial" w:hint="cs"/>
          <w:rtl/>
        </w:rPr>
        <w:t>:</w:t>
      </w:r>
      <w:r w:rsidRPr="007414DF">
        <w:rPr>
          <w:rFonts w:cs="Arial"/>
          <w:rtl/>
        </w:rPr>
        <w:t xml:space="preserve"> לא יעלו</w:t>
      </w:r>
      <w:r>
        <w:rPr>
          <w:rFonts w:cs="Arial" w:hint="cs"/>
          <w:rtl/>
        </w:rPr>
        <w:t>,</w:t>
      </w:r>
      <w:r w:rsidRPr="007414DF">
        <w:rPr>
          <w:rFonts w:cs="Arial"/>
          <w:rtl/>
        </w:rPr>
        <w:t xml:space="preserve"> </w:t>
      </w:r>
      <w:r w:rsidRPr="009A5122">
        <w:rPr>
          <w:rFonts w:cs="Arial"/>
          <w:u w:val="single"/>
          <w:rtl/>
        </w:rPr>
        <w:t>ר' שמעון או</w:t>
      </w:r>
      <w:r w:rsidRPr="009A5122">
        <w:rPr>
          <w:rFonts w:cs="Arial" w:hint="cs"/>
          <w:u w:val="single"/>
          <w:rtl/>
        </w:rPr>
        <w:t>מר</w:t>
      </w:r>
      <w:r>
        <w:rPr>
          <w:rFonts w:cs="Arial" w:hint="cs"/>
          <w:rtl/>
        </w:rPr>
        <w:t>:</w:t>
      </w:r>
      <w:r>
        <w:rPr>
          <w:rFonts w:cs="Arial"/>
          <w:rtl/>
        </w:rPr>
        <w:t xml:space="preserve"> אפי</w:t>
      </w:r>
      <w:r>
        <w:rPr>
          <w:rFonts w:cs="Arial" w:hint="cs"/>
          <w:rtl/>
        </w:rPr>
        <w:t>לו</w:t>
      </w:r>
      <w:r>
        <w:rPr>
          <w:rFonts w:cs="Arial"/>
          <w:rtl/>
        </w:rPr>
        <w:t xml:space="preserve"> הן בשתי עיירות מעלות זו</w:t>
      </w:r>
      <w:r w:rsidRPr="007414DF">
        <w:rPr>
          <w:rFonts w:cs="Arial"/>
          <w:rtl/>
        </w:rPr>
        <w:t xml:space="preserve"> את זו</w:t>
      </w:r>
      <w:r>
        <w:rPr>
          <w:rFonts w:cs="Arial" w:hint="cs"/>
          <w:rtl/>
        </w:rPr>
        <w:t xml:space="preserve">. </w:t>
      </w:r>
      <w:r w:rsidRPr="00E43D9D">
        <w:rPr>
          <w:rFonts w:cs="Arial" w:hint="cs"/>
          <w:sz w:val="16"/>
          <w:szCs w:val="16"/>
          <w:rtl/>
        </w:rPr>
        <w:t>(וקי"ל כת"ק, ב"י)</w:t>
      </w:r>
    </w:p>
    <w:p w14:paraId="4C6B9AAB" w14:textId="77777777" w:rsidR="002C39F4" w:rsidRDefault="002C39F4" w:rsidP="002C39F4">
      <w:pPr>
        <w:rPr>
          <w:rFonts w:cs="Arial"/>
          <w:rtl/>
        </w:rPr>
      </w:pPr>
      <w:r w:rsidRPr="003E58A3">
        <w:rPr>
          <w:rFonts w:cs="Arial" w:hint="cs"/>
          <w:u w:val="single"/>
          <w:rtl/>
        </w:rPr>
        <w:t>שתי קדרות של היתר ונפל איסור לאחת מהן</w:t>
      </w:r>
      <w:r>
        <w:rPr>
          <w:rFonts w:cs="Arial" w:hint="cs"/>
          <w:u w:val="single"/>
          <w:rtl/>
        </w:rPr>
        <w:t xml:space="preserve"> </w:t>
      </w:r>
      <w:r>
        <w:rPr>
          <w:rFonts w:cs="Arial"/>
          <w:u w:val="single"/>
          <w:rtl/>
        </w:rPr>
        <w:t>–</w:t>
      </w:r>
      <w:r>
        <w:rPr>
          <w:rFonts w:cs="Arial" w:hint="cs"/>
          <w:u w:val="single"/>
          <w:rtl/>
        </w:rPr>
        <w:t xml:space="preserve"> ויש בשתי הקדרות כדי לבטל האיסור אך א' בבית וא' בעליה</w:t>
      </w:r>
      <w:r w:rsidRPr="003E58A3">
        <w:rPr>
          <w:rFonts w:cs="Arial" w:hint="cs"/>
          <w:u w:val="single"/>
          <w:rtl/>
        </w:rPr>
        <w:t>:</w:t>
      </w:r>
    </w:p>
    <w:p w14:paraId="57197939" w14:textId="77777777" w:rsidR="002C39F4" w:rsidRPr="00E43D9D" w:rsidRDefault="002C39F4" w:rsidP="0032102C">
      <w:pPr>
        <w:pStyle w:val="a8"/>
        <w:numPr>
          <w:ilvl w:val="0"/>
          <w:numId w:val="258"/>
        </w:numPr>
      </w:pPr>
      <w:r w:rsidRPr="007414DF">
        <w:rPr>
          <w:rFonts w:cs="Arial" w:hint="cs"/>
          <w:rtl/>
        </w:rPr>
        <w:t>רשב"א</w:t>
      </w:r>
      <w:r w:rsidRPr="007414DF">
        <w:rPr>
          <w:rFonts w:cs="Arial" w:hint="cs"/>
          <w:sz w:val="16"/>
          <w:szCs w:val="16"/>
          <w:rtl/>
        </w:rPr>
        <w:t xml:space="preserve"> (בקצר</w:t>
      </w:r>
      <w:r>
        <w:rPr>
          <w:rFonts w:cs="Arial" w:hint="cs"/>
          <w:sz w:val="16"/>
          <w:szCs w:val="16"/>
          <w:rtl/>
        </w:rPr>
        <w:t xml:space="preserve"> ב"ד ש"ב כג:</w:t>
      </w:r>
      <w:r w:rsidRPr="007414DF">
        <w:rPr>
          <w:rFonts w:cs="Arial" w:hint="cs"/>
          <w:sz w:val="16"/>
          <w:szCs w:val="16"/>
          <w:rtl/>
        </w:rPr>
        <w:t>)</w:t>
      </w:r>
      <w:r w:rsidRPr="007414DF">
        <w:rPr>
          <w:rFonts w:cs="Arial" w:hint="cs"/>
          <w:rtl/>
        </w:rPr>
        <w:t xml:space="preserve"> וטור-</w:t>
      </w:r>
      <w:r>
        <w:rPr>
          <w:rFonts w:hint="cs"/>
          <w:rtl/>
        </w:rPr>
        <w:t xml:space="preserve"> </w:t>
      </w:r>
      <w:r w:rsidRPr="007414DF">
        <w:rPr>
          <w:rFonts w:cs="Arial"/>
          <w:rtl/>
        </w:rPr>
        <w:t>ולא עוד אלא אפילו היתה אחת בבית ואחת בעליה מצטרפין</w:t>
      </w:r>
      <w:r w:rsidRPr="007414DF">
        <w:rPr>
          <w:rFonts w:cs="Arial" w:hint="cs"/>
          <w:rtl/>
        </w:rPr>
        <w:t>,</w:t>
      </w:r>
      <w:r w:rsidRPr="007414DF">
        <w:rPr>
          <w:rFonts w:cs="Arial"/>
          <w:rtl/>
        </w:rPr>
        <w:t xml:space="preserve"> וה"ה אפילו למאה שכל שנכנס בספק מחמת איסור מצטרף לבטלו</w:t>
      </w:r>
      <w:r>
        <w:rPr>
          <w:rFonts w:cs="Arial" w:hint="cs"/>
          <w:rtl/>
        </w:rPr>
        <w:t>.</w:t>
      </w:r>
      <w:r w:rsidRPr="007414DF">
        <w:rPr>
          <w:rFonts w:cs="Arial"/>
          <w:rtl/>
        </w:rPr>
        <w:t xml:space="preserve"> </w:t>
      </w:r>
      <w:r w:rsidRPr="00C5148C">
        <w:rPr>
          <w:rFonts w:cs="Arial" w:hint="cs"/>
          <w:color w:val="E36C0A" w:themeColor="accent6" w:themeShade="BF"/>
          <w:rtl/>
        </w:rPr>
        <w:t>(וכ"פ בשו"ע)</w:t>
      </w:r>
    </w:p>
    <w:p w14:paraId="074C5727" w14:textId="77777777" w:rsidR="002C39F4" w:rsidRPr="00E43D9D" w:rsidRDefault="002C39F4" w:rsidP="002C39F4">
      <w:pPr>
        <w:ind w:left="360"/>
        <w:rPr>
          <w:u w:val="dotted"/>
        </w:rPr>
      </w:pPr>
      <w:r w:rsidRPr="00E43D9D">
        <w:rPr>
          <w:rFonts w:hint="cs"/>
          <w:u w:val="dotted"/>
          <w:rtl/>
        </w:rPr>
        <w:t>ומה הדין אם שתי הקדרות של שני בני אדם:</w:t>
      </w:r>
    </w:p>
    <w:p w14:paraId="16B825AC" w14:textId="77777777" w:rsidR="002C39F4" w:rsidRDefault="002C39F4" w:rsidP="0032102C">
      <w:pPr>
        <w:pStyle w:val="a8"/>
        <w:numPr>
          <w:ilvl w:val="0"/>
          <w:numId w:val="258"/>
        </w:numPr>
      </w:pPr>
      <w:r w:rsidRPr="00E43D9D">
        <w:rPr>
          <w:rFonts w:cs="Arial"/>
          <w:rtl/>
        </w:rPr>
        <w:t>ר</w:t>
      </w:r>
      <w:r w:rsidRPr="00E43D9D">
        <w:rPr>
          <w:rFonts w:cs="Arial" w:hint="cs"/>
          <w:rtl/>
        </w:rPr>
        <w:t>"</w:t>
      </w:r>
      <w:r w:rsidRPr="00E43D9D">
        <w:rPr>
          <w:rFonts w:cs="Arial"/>
          <w:rtl/>
        </w:rPr>
        <w:t xml:space="preserve">ש </w:t>
      </w:r>
      <w:r w:rsidRPr="0006765A">
        <w:rPr>
          <w:rFonts w:cs="Arial" w:hint="cs"/>
          <w:sz w:val="16"/>
          <w:szCs w:val="16"/>
          <w:rtl/>
        </w:rPr>
        <w:t>(</w:t>
      </w:r>
      <w:r w:rsidRPr="0006765A">
        <w:rPr>
          <w:rFonts w:cs="Arial"/>
          <w:sz w:val="16"/>
          <w:szCs w:val="16"/>
          <w:rtl/>
        </w:rPr>
        <w:t>תרומות פ"ד מי"ב)</w:t>
      </w:r>
      <w:r>
        <w:rPr>
          <w:rFonts w:cs="Arial" w:hint="cs"/>
          <w:rtl/>
        </w:rPr>
        <w:t xml:space="preserve"> </w:t>
      </w:r>
      <w:r w:rsidRPr="007414DF">
        <w:rPr>
          <w:rFonts w:cs="Arial" w:hint="cs"/>
          <w:rtl/>
        </w:rPr>
        <w:t>רשב"א</w:t>
      </w:r>
      <w:r w:rsidRPr="007414DF">
        <w:rPr>
          <w:rFonts w:cs="Arial" w:hint="cs"/>
          <w:sz w:val="16"/>
          <w:szCs w:val="16"/>
          <w:rtl/>
        </w:rPr>
        <w:t xml:space="preserve"> (</w:t>
      </w:r>
      <w:r>
        <w:rPr>
          <w:rFonts w:cs="Arial" w:hint="cs"/>
          <w:sz w:val="16"/>
          <w:szCs w:val="16"/>
          <w:rtl/>
        </w:rPr>
        <w:t>שם</w:t>
      </w:r>
      <w:r w:rsidRPr="007414DF">
        <w:rPr>
          <w:rFonts w:cs="Arial" w:hint="cs"/>
          <w:sz w:val="16"/>
          <w:szCs w:val="16"/>
          <w:rtl/>
        </w:rPr>
        <w:t>)</w:t>
      </w:r>
      <w:r w:rsidRPr="007414DF">
        <w:rPr>
          <w:rFonts w:cs="Arial" w:hint="cs"/>
          <w:rtl/>
        </w:rPr>
        <w:t xml:space="preserve"> וטור-</w:t>
      </w:r>
      <w:r>
        <w:rPr>
          <w:rFonts w:hint="cs"/>
          <w:rtl/>
        </w:rPr>
        <w:t xml:space="preserve"> </w:t>
      </w:r>
      <w:r w:rsidRPr="007414DF">
        <w:rPr>
          <w:rFonts w:cs="Arial"/>
          <w:rtl/>
        </w:rPr>
        <w:t>בד"א בשתיהן משל אדם אחד לפי שכל שהוא של אחד עתיד להתערב לפיכך רואים אותו כאילו כבר מעורב</w:t>
      </w:r>
      <w:r w:rsidRPr="007414DF">
        <w:rPr>
          <w:rFonts w:cs="Arial" w:hint="cs"/>
          <w:rtl/>
        </w:rPr>
        <w:t>,</w:t>
      </w:r>
      <w:r w:rsidRPr="007414DF">
        <w:rPr>
          <w:rFonts w:cs="Arial"/>
          <w:rtl/>
        </w:rPr>
        <w:t xml:space="preserve"> אבל אם הם של שני בני אדם אין מצטרפין</w:t>
      </w:r>
      <w:r>
        <w:rPr>
          <w:rStyle w:val="a7"/>
          <w:rFonts w:cs="Arial"/>
          <w:rtl/>
        </w:rPr>
        <w:footnoteReference w:id="2604"/>
      </w:r>
      <w:r w:rsidRPr="007414DF">
        <w:rPr>
          <w:rFonts w:cs="Arial"/>
          <w:rtl/>
        </w:rPr>
        <w:t xml:space="preserve"> לבטלו</w:t>
      </w:r>
      <w:r>
        <w:rPr>
          <w:rStyle w:val="a7"/>
          <w:rFonts w:cs="Arial"/>
          <w:rtl/>
        </w:rPr>
        <w:footnoteReference w:id="2605"/>
      </w:r>
      <w:r w:rsidRPr="007414DF">
        <w:rPr>
          <w:rFonts w:cs="Arial" w:hint="cs"/>
          <w:rtl/>
        </w:rPr>
        <w:t>.</w:t>
      </w:r>
      <w:r w:rsidRPr="00C5148C">
        <w:rPr>
          <w:rFonts w:cs="Arial" w:hint="cs"/>
          <w:color w:val="E36C0A" w:themeColor="accent6" w:themeShade="BF"/>
          <w:rtl/>
        </w:rPr>
        <w:t xml:space="preserve"> (וכ"פ בשו"ע)</w:t>
      </w:r>
    </w:p>
    <w:p w14:paraId="3189FB4C" w14:textId="77777777" w:rsidR="002C39F4" w:rsidRPr="00E43D9D" w:rsidRDefault="002C39F4" w:rsidP="0032102C">
      <w:pPr>
        <w:pStyle w:val="a8"/>
        <w:numPr>
          <w:ilvl w:val="0"/>
          <w:numId w:val="258"/>
        </w:numPr>
        <w:rPr>
          <w:rtl/>
        </w:rPr>
      </w:pPr>
      <w:r>
        <w:rPr>
          <w:rFonts w:cs="Arial"/>
          <w:rtl/>
        </w:rPr>
        <w:t>או"ה</w:t>
      </w:r>
      <w:r w:rsidRPr="003032CD">
        <w:rPr>
          <w:rFonts w:cs="Arial"/>
          <w:rtl/>
        </w:rPr>
        <w:t xml:space="preserve"> </w:t>
      </w:r>
      <w:r w:rsidRPr="00FE7171">
        <w:rPr>
          <w:rFonts w:cs="Arial" w:hint="cs"/>
          <w:sz w:val="16"/>
          <w:szCs w:val="16"/>
          <w:rtl/>
        </w:rPr>
        <w:t>(</w:t>
      </w:r>
      <w:r w:rsidRPr="00FE7171">
        <w:rPr>
          <w:rFonts w:cs="Arial"/>
          <w:sz w:val="16"/>
          <w:szCs w:val="16"/>
          <w:rtl/>
        </w:rPr>
        <w:t>כלל כו</w:t>
      </w:r>
      <w:r>
        <w:rPr>
          <w:rStyle w:val="a7"/>
          <w:rFonts w:cs="Arial"/>
          <w:sz w:val="16"/>
          <w:szCs w:val="16"/>
          <w:rtl/>
        </w:rPr>
        <w:footnoteReference w:id="2606"/>
      </w:r>
      <w:r w:rsidRPr="00FE7171">
        <w:rPr>
          <w:rFonts w:cs="Arial" w:hint="cs"/>
          <w:sz w:val="16"/>
          <w:szCs w:val="16"/>
          <w:rtl/>
        </w:rPr>
        <w:t>)</w:t>
      </w:r>
      <w:r w:rsidRPr="00FE7171">
        <w:rPr>
          <w:rFonts w:cs="Arial"/>
          <w:sz w:val="16"/>
          <w:szCs w:val="16"/>
          <w:rtl/>
        </w:rPr>
        <w:t xml:space="preserve"> </w:t>
      </w:r>
      <w:r>
        <w:rPr>
          <w:rFonts w:cs="Arial" w:hint="cs"/>
          <w:rtl/>
        </w:rPr>
        <w:t>בשם</w:t>
      </w:r>
      <w:r>
        <w:rPr>
          <w:rFonts w:cs="Arial"/>
          <w:rtl/>
        </w:rPr>
        <w:t xml:space="preserve"> מהר"ש</w:t>
      </w:r>
      <w:r>
        <w:rPr>
          <w:rFonts w:cs="Arial" w:hint="cs"/>
          <w:rtl/>
        </w:rPr>
        <w:t xml:space="preserve">- </w:t>
      </w:r>
      <w:r w:rsidRPr="003032CD">
        <w:rPr>
          <w:rFonts w:cs="Arial"/>
          <w:rtl/>
        </w:rPr>
        <w:t>אנן לא נהיגין לפסוק כן אפילו באדם אחד</w:t>
      </w:r>
      <w:r>
        <w:rPr>
          <w:rFonts w:cs="Arial" w:hint="cs"/>
          <w:rtl/>
        </w:rPr>
        <w:t>,</w:t>
      </w:r>
      <w:r w:rsidRPr="003032CD">
        <w:rPr>
          <w:rFonts w:cs="Arial"/>
          <w:rtl/>
        </w:rPr>
        <w:t xml:space="preserve"> ואפילו למאן דמתיר אין לאוכלו רק לאחר שעירב</w:t>
      </w:r>
      <w:r>
        <w:rPr>
          <w:rFonts w:cs="Arial"/>
          <w:rtl/>
        </w:rPr>
        <w:t>ו יחד שכבר נתבטל טעם האיסור</w:t>
      </w:r>
      <w:r>
        <w:rPr>
          <w:rStyle w:val="a7"/>
          <w:rFonts w:cs="Arial"/>
          <w:rtl/>
        </w:rPr>
        <w:footnoteReference w:id="2607"/>
      </w:r>
      <w:r w:rsidRPr="00681A71">
        <w:rPr>
          <w:rFonts w:cs="Arial"/>
          <w:rtl/>
        </w:rPr>
        <w:t>.</w:t>
      </w:r>
    </w:p>
    <w:p w14:paraId="157A54D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115D231" w14:textId="77777777" w:rsidR="002C39F4" w:rsidRPr="003024E5" w:rsidRDefault="002C39F4" w:rsidP="002C39F4">
      <w:pPr>
        <w:rPr>
          <w:rFonts w:asciiTheme="minorBidi" w:hAnsiTheme="minorBidi"/>
          <w:rtl/>
        </w:rPr>
      </w:pPr>
      <w:r>
        <w:rPr>
          <w:rFonts w:asciiTheme="minorBidi" w:hAnsiTheme="minorBidi"/>
          <w:rtl/>
        </w:rPr>
        <w:t>היו כאן שתי קדרות של היתר</w:t>
      </w:r>
      <w:r w:rsidRPr="003024E5">
        <w:rPr>
          <w:rFonts w:asciiTheme="minorBidi" w:hAnsiTheme="minorBidi"/>
          <w:rtl/>
        </w:rPr>
        <w:t xml:space="preserve"> ונפל איסור ל</w:t>
      </w:r>
      <w:r>
        <w:rPr>
          <w:rFonts w:asciiTheme="minorBidi" w:hAnsiTheme="minorBidi"/>
          <w:rtl/>
        </w:rPr>
        <w:t>תוך אחת מהן ואין ידוע לאיזו נפל ואין באחת כדי לבטל האיסור</w:t>
      </w:r>
      <w:r w:rsidRPr="003024E5">
        <w:rPr>
          <w:rFonts w:asciiTheme="minorBidi" w:hAnsiTheme="minorBidi"/>
          <w:rtl/>
        </w:rPr>
        <w:t xml:space="preserve"> ויש בשתיהן כדי לבטלו, שתיהן מצטרפות לבטלו</w:t>
      </w:r>
      <w:r>
        <w:rPr>
          <w:rStyle w:val="a7"/>
          <w:rFonts w:asciiTheme="minorBidi" w:hAnsiTheme="minorBidi"/>
          <w:rtl/>
        </w:rPr>
        <w:footnoteReference w:id="2608"/>
      </w:r>
      <w:r w:rsidRPr="003024E5">
        <w:rPr>
          <w:rFonts w:asciiTheme="minorBidi" w:hAnsiTheme="minorBidi"/>
          <w:rtl/>
        </w:rPr>
        <w:t>. ולא עוד אלא אפילו אחת בבית ואחת בעליה, מצטרפות. והוא הדין אפילו למאה. ב</w:t>
      </w:r>
      <w:r>
        <w:rPr>
          <w:rFonts w:asciiTheme="minorBidi" w:hAnsiTheme="minorBidi" w:hint="cs"/>
          <w:rtl/>
        </w:rPr>
        <w:t xml:space="preserve">מה דברים </w:t>
      </w:r>
      <w:r w:rsidRPr="003024E5">
        <w:rPr>
          <w:rFonts w:asciiTheme="minorBidi" w:hAnsiTheme="minorBidi"/>
          <w:rtl/>
        </w:rPr>
        <w:t>א</w:t>
      </w:r>
      <w:r>
        <w:rPr>
          <w:rFonts w:asciiTheme="minorBidi" w:hAnsiTheme="minorBidi" w:hint="cs"/>
          <w:rtl/>
        </w:rPr>
        <w:t>מורים</w:t>
      </w:r>
      <w:r w:rsidRPr="003024E5">
        <w:rPr>
          <w:rFonts w:asciiTheme="minorBidi" w:hAnsiTheme="minorBidi"/>
          <w:rtl/>
        </w:rPr>
        <w:t>, כששתיהן של אדם אחד, לפי</w:t>
      </w:r>
      <w:r>
        <w:rPr>
          <w:rFonts w:asciiTheme="minorBidi" w:hAnsiTheme="minorBidi"/>
          <w:rtl/>
        </w:rPr>
        <w:t xml:space="preserve"> שכל שהן של אדם אחד עתיד להתערב</w:t>
      </w:r>
      <w:r>
        <w:rPr>
          <w:rStyle w:val="a7"/>
          <w:rFonts w:asciiTheme="minorBidi" w:hAnsiTheme="minorBidi"/>
          <w:rtl/>
        </w:rPr>
        <w:footnoteReference w:id="2609"/>
      </w:r>
      <w:r>
        <w:rPr>
          <w:rFonts w:asciiTheme="minorBidi" w:hAnsiTheme="minorBidi" w:hint="cs"/>
          <w:rtl/>
        </w:rPr>
        <w:t>,</w:t>
      </w:r>
      <w:r>
        <w:rPr>
          <w:rFonts w:asciiTheme="minorBidi" w:hAnsiTheme="minorBidi"/>
          <w:rtl/>
        </w:rPr>
        <w:t xml:space="preserve"> אבל אם הם של שני בני אדם</w:t>
      </w:r>
      <w:r w:rsidRPr="003024E5">
        <w:rPr>
          <w:rFonts w:asciiTheme="minorBidi" w:hAnsiTheme="minorBidi"/>
          <w:rtl/>
        </w:rPr>
        <w:t xml:space="preserve"> אין מצטרפות. </w:t>
      </w:r>
      <w:r w:rsidRPr="00C729EA">
        <w:rPr>
          <w:rFonts w:asciiTheme="minorBidi" w:hAnsiTheme="minorBidi"/>
          <w:sz w:val="18"/>
          <w:szCs w:val="18"/>
          <w:rtl/>
        </w:rPr>
        <w:t xml:space="preserve">הגה: ויש </w:t>
      </w:r>
      <w:r>
        <w:rPr>
          <w:rFonts w:asciiTheme="minorBidi" w:hAnsiTheme="minorBidi"/>
          <w:sz w:val="18"/>
          <w:szCs w:val="18"/>
          <w:rtl/>
        </w:rPr>
        <w:t>מחמירים דאפילו באדם א' אין להקל</w:t>
      </w:r>
      <w:r>
        <w:rPr>
          <w:rFonts w:asciiTheme="minorBidi" w:hAnsiTheme="minorBidi" w:hint="cs"/>
          <w:sz w:val="18"/>
          <w:szCs w:val="18"/>
          <w:rtl/>
        </w:rPr>
        <w:t>.</w:t>
      </w:r>
      <w:r w:rsidRPr="00C729EA">
        <w:rPr>
          <w:rFonts w:asciiTheme="minorBidi" w:hAnsiTheme="minorBidi"/>
          <w:sz w:val="18"/>
          <w:szCs w:val="18"/>
          <w:rtl/>
        </w:rPr>
        <w:t xml:space="preserve"> ולצורך הפסד</w:t>
      </w:r>
      <w:r>
        <w:rPr>
          <w:rStyle w:val="a7"/>
          <w:rFonts w:asciiTheme="minorBidi" w:hAnsiTheme="minorBidi"/>
          <w:sz w:val="18"/>
          <w:szCs w:val="18"/>
          <w:rtl/>
        </w:rPr>
        <w:footnoteReference w:id="2610"/>
      </w:r>
      <w:r w:rsidRPr="00C729EA">
        <w:rPr>
          <w:rFonts w:asciiTheme="minorBidi" w:hAnsiTheme="minorBidi"/>
          <w:sz w:val="18"/>
          <w:szCs w:val="18"/>
          <w:rtl/>
        </w:rPr>
        <w:t xml:space="preserve"> יש להתיר באדם א'. ומיהו אין לאכלו אלא לאחר שיערבנו יחד</w:t>
      </w:r>
      <w:r>
        <w:rPr>
          <w:rStyle w:val="a7"/>
          <w:rFonts w:asciiTheme="minorBidi" w:hAnsiTheme="minorBidi"/>
          <w:sz w:val="18"/>
          <w:szCs w:val="18"/>
          <w:rtl/>
        </w:rPr>
        <w:footnoteReference w:id="2611"/>
      </w:r>
      <w:r w:rsidRPr="00C729EA">
        <w:rPr>
          <w:rFonts w:asciiTheme="minorBidi" w:hAnsiTheme="minorBidi"/>
          <w:sz w:val="18"/>
          <w:szCs w:val="18"/>
          <w:rtl/>
        </w:rPr>
        <w:t>, דא</w:t>
      </w:r>
      <w:r>
        <w:rPr>
          <w:rFonts w:asciiTheme="minorBidi" w:hAnsiTheme="minorBidi"/>
          <w:sz w:val="18"/>
          <w:szCs w:val="18"/>
          <w:rtl/>
        </w:rPr>
        <w:t>ז כבר נתבטל האיסור (בארוך כלל כ</w:t>
      </w:r>
      <w:r w:rsidRPr="00C729EA">
        <w:rPr>
          <w:rFonts w:asciiTheme="minorBidi" w:hAnsiTheme="minorBidi"/>
          <w:sz w:val="18"/>
          <w:szCs w:val="18"/>
          <w:rtl/>
        </w:rPr>
        <w:t>ו בשם מהרי"ש).</w:t>
      </w:r>
    </w:p>
    <w:p w14:paraId="0D2D4E9D" w14:textId="77777777" w:rsidR="002C39F4" w:rsidRPr="00691E30" w:rsidRDefault="002C39F4" w:rsidP="002C39F4">
      <w:pPr>
        <w:rPr>
          <w:rFonts w:cs="Arial"/>
          <w:u w:val="single"/>
          <w:rtl/>
        </w:rPr>
      </w:pPr>
      <w:r w:rsidRPr="00691E30">
        <w:rPr>
          <w:rFonts w:cs="Arial" w:hint="cs"/>
          <w:u w:val="single"/>
          <w:rtl/>
        </w:rPr>
        <w:t xml:space="preserve">הא דמועיל צירוף ב' הקדרות </w:t>
      </w:r>
      <w:r w:rsidRPr="00691E30">
        <w:rPr>
          <w:rFonts w:cs="Arial"/>
          <w:u w:val="single"/>
          <w:rtl/>
        </w:rPr>
        <w:t>–</w:t>
      </w:r>
      <w:r w:rsidRPr="00691E30">
        <w:rPr>
          <w:rFonts w:cs="Arial" w:hint="cs"/>
          <w:u w:val="single"/>
          <w:rtl/>
        </w:rPr>
        <w:t xml:space="preserve"> הוא דוקא למ"ד חנ"נ רק בבב"ח או גם למ"ד חנ"נ בכל האיסורים:</w:t>
      </w:r>
    </w:p>
    <w:p w14:paraId="1E2D81FA" w14:textId="77777777" w:rsidR="002C39F4" w:rsidRPr="00691E30" w:rsidRDefault="002C39F4" w:rsidP="0032102C">
      <w:pPr>
        <w:pStyle w:val="a8"/>
        <w:numPr>
          <w:ilvl w:val="0"/>
          <w:numId w:val="260"/>
        </w:numPr>
        <w:rPr>
          <w:rFonts w:cs="Arial"/>
          <w:rtl/>
        </w:rPr>
      </w:pPr>
      <w:r w:rsidRPr="00691E30">
        <w:rPr>
          <w:rFonts w:cs="Arial"/>
          <w:rtl/>
        </w:rPr>
        <w:t>ב"ח</w:t>
      </w:r>
      <w:r w:rsidRPr="00691E30">
        <w:rPr>
          <w:rFonts w:cs="Arial" w:hint="cs"/>
          <w:rtl/>
        </w:rPr>
        <w:t xml:space="preserve">- </w:t>
      </w:r>
      <w:r w:rsidRPr="00691E30">
        <w:rPr>
          <w:rFonts w:cs="Arial"/>
          <w:rtl/>
        </w:rPr>
        <w:t>היינו דוקא למ"ד דלא אמרינן חנ"נ רק בבשר וחלב ולא בשאר איסורים אבל לדידן דקי"ל חנ"נ בכל האיסורים אין מועיל צירוף אפי' נתערבו הקדרות אח"כ שוגג יחד</w:t>
      </w:r>
      <w:r>
        <w:rPr>
          <w:rStyle w:val="a7"/>
          <w:rFonts w:cs="Arial"/>
          <w:rtl/>
        </w:rPr>
        <w:footnoteReference w:id="2612"/>
      </w:r>
      <w:r w:rsidRPr="00691E30">
        <w:rPr>
          <w:rFonts w:cs="Arial" w:hint="cs"/>
          <w:rtl/>
        </w:rPr>
        <w:t>.</w:t>
      </w:r>
    </w:p>
    <w:p w14:paraId="52E01C5A" w14:textId="77777777" w:rsidR="002C39F4" w:rsidRPr="00A70D82" w:rsidRDefault="002C39F4" w:rsidP="0032102C">
      <w:pPr>
        <w:pStyle w:val="a8"/>
        <w:numPr>
          <w:ilvl w:val="0"/>
          <w:numId w:val="260"/>
        </w:numPr>
        <w:rPr>
          <w:rFonts w:cs="Arial"/>
        </w:rPr>
      </w:pPr>
      <w:r>
        <w:rPr>
          <w:rFonts w:cs="Arial" w:hint="cs"/>
          <w:rtl/>
        </w:rPr>
        <w:t>ט"ז</w:t>
      </w:r>
      <w:r>
        <w:rPr>
          <w:rFonts w:cs="Arial" w:hint="cs"/>
          <w:sz w:val="16"/>
          <w:szCs w:val="16"/>
          <w:rtl/>
        </w:rPr>
        <w:t xml:space="preserve"> (סק"י)</w:t>
      </w:r>
      <w:r>
        <w:rPr>
          <w:rFonts w:cs="Arial" w:hint="cs"/>
          <w:rtl/>
        </w:rPr>
        <w:t xml:space="preserve"> ו</w:t>
      </w:r>
      <w:r w:rsidRPr="00691E30">
        <w:rPr>
          <w:rFonts w:cs="Arial" w:hint="cs"/>
          <w:rtl/>
        </w:rPr>
        <w:t xml:space="preserve">ש"ך </w:t>
      </w:r>
      <w:r w:rsidRPr="004A4BE4">
        <w:rPr>
          <w:rFonts w:cs="Arial" w:hint="cs"/>
          <w:sz w:val="16"/>
          <w:szCs w:val="16"/>
          <w:rtl/>
        </w:rPr>
        <w:t>(סק</w:t>
      </w:r>
      <w:r w:rsidRPr="004A4BE4">
        <w:rPr>
          <w:rFonts w:cs="Arial"/>
          <w:sz w:val="16"/>
          <w:szCs w:val="16"/>
          <w:rtl/>
        </w:rPr>
        <w:t>י</w:t>
      </w:r>
      <w:r w:rsidRPr="004A4BE4">
        <w:rPr>
          <w:rFonts w:cs="Arial" w:hint="cs"/>
          <w:sz w:val="16"/>
          <w:szCs w:val="16"/>
          <w:rtl/>
        </w:rPr>
        <w:t>"</w:t>
      </w:r>
      <w:r w:rsidRPr="004A4BE4">
        <w:rPr>
          <w:rFonts w:cs="Arial"/>
          <w:sz w:val="16"/>
          <w:szCs w:val="16"/>
          <w:rtl/>
        </w:rPr>
        <w:t>ז</w:t>
      </w:r>
      <w:r w:rsidRPr="004A4BE4">
        <w:rPr>
          <w:rFonts w:cs="Arial" w:hint="cs"/>
          <w:sz w:val="16"/>
          <w:szCs w:val="16"/>
          <w:rtl/>
        </w:rPr>
        <w:t>)</w:t>
      </w:r>
      <w:r w:rsidRPr="00691E30">
        <w:rPr>
          <w:rFonts w:cs="Arial" w:hint="cs"/>
          <w:rtl/>
        </w:rPr>
        <w:t>-</w:t>
      </w:r>
      <w:r w:rsidRPr="00691E30">
        <w:rPr>
          <w:rFonts w:cs="Arial"/>
          <w:rtl/>
        </w:rPr>
        <w:t xml:space="preserve"> אפילו לפי מאי דקי"ל חנ"נ מצטרפים</w:t>
      </w:r>
      <w:r>
        <w:rPr>
          <w:rFonts w:cs="Arial" w:hint="cs"/>
          <w:rtl/>
        </w:rPr>
        <w:t>,</w:t>
      </w:r>
      <w:r w:rsidRPr="00691E30">
        <w:rPr>
          <w:rFonts w:cs="Arial"/>
          <w:rtl/>
        </w:rPr>
        <w:t xml:space="preserve"> דלא אמרינן חנ"נ אלא היכא דידוע להיכן נפל אבל כאן דלא ידענו להיכן נפל א"כ כל שנכנס הכל לספק והוא עתיד להתערב רואין אותו כאלו הוא כבר מעורב</w:t>
      </w:r>
      <w:r>
        <w:rPr>
          <w:rFonts w:cs="Arial" w:hint="cs"/>
          <w:rtl/>
        </w:rPr>
        <w:t>,</w:t>
      </w:r>
      <w:r w:rsidRPr="00691E30">
        <w:rPr>
          <w:rFonts w:cs="Arial"/>
          <w:rtl/>
        </w:rPr>
        <w:t xml:space="preserve"> כדכתב הטור מתה"ק</w:t>
      </w:r>
      <w:r>
        <w:rPr>
          <w:rFonts w:cs="Arial" w:hint="cs"/>
          <w:rtl/>
        </w:rPr>
        <w:t>,</w:t>
      </w:r>
      <w:r w:rsidRPr="00691E30">
        <w:rPr>
          <w:rFonts w:cs="Arial"/>
          <w:rtl/>
        </w:rPr>
        <w:t xml:space="preserve"> וא"כ כיון שרואין אותו כאלו הוא כבר מעורב קודם הנפילה הרי הוא כאלו נפל מתחלה לקדרה שיש בה לבטל האיסור</w:t>
      </w:r>
      <w:r>
        <w:rPr>
          <w:rFonts w:cs="Arial" w:hint="cs"/>
          <w:sz w:val="16"/>
          <w:szCs w:val="16"/>
          <w:rtl/>
        </w:rPr>
        <w:t xml:space="preserve"> (ל' הש"ך)</w:t>
      </w:r>
      <w:r>
        <w:rPr>
          <w:rFonts w:cs="Arial" w:hint="cs"/>
          <w:rtl/>
        </w:rPr>
        <w:t>.</w:t>
      </w:r>
    </w:p>
    <w:p w14:paraId="7AAC7BF0" w14:textId="77777777" w:rsidR="002C39F4" w:rsidRPr="00265C9A" w:rsidRDefault="002C39F4" w:rsidP="002C39F4">
      <w:pPr>
        <w:rPr>
          <w:rFonts w:asciiTheme="minorBidi" w:hAnsiTheme="minorBidi"/>
          <w:rtl/>
        </w:rPr>
      </w:pPr>
    </w:p>
    <w:p w14:paraId="461B9ED2" w14:textId="77777777" w:rsidR="002C39F4" w:rsidRPr="003024E5" w:rsidRDefault="002C39F4" w:rsidP="002C39F4">
      <w:pPr>
        <w:rPr>
          <w:rFonts w:asciiTheme="minorBidi" w:hAnsiTheme="minorBidi"/>
          <w:rtl/>
        </w:rPr>
      </w:pPr>
    </w:p>
    <w:p w14:paraId="2CA8C937" w14:textId="77777777" w:rsidR="002C39F4" w:rsidRPr="003024E5" w:rsidRDefault="002C39F4" w:rsidP="002C39F4">
      <w:pPr>
        <w:rPr>
          <w:rFonts w:asciiTheme="minorBidi" w:hAnsiTheme="minorBidi"/>
          <w:rtl/>
        </w:rPr>
      </w:pPr>
    </w:p>
    <w:p w14:paraId="623BFE2C" w14:textId="77777777" w:rsidR="002C39F4" w:rsidRPr="003024E5" w:rsidRDefault="002C39F4" w:rsidP="002C39F4">
      <w:pPr>
        <w:rPr>
          <w:rFonts w:asciiTheme="minorBidi" w:hAnsiTheme="minorBidi"/>
          <w:rtl/>
        </w:rPr>
      </w:pPr>
    </w:p>
    <w:p w14:paraId="3292CADB" w14:textId="77777777" w:rsidR="002C39F4" w:rsidRPr="003024E5" w:rsidRDefault="002C39F4" w:rsidP="002C39F4">
      <w:pPr>
        <w:rPr>
          <w:rFonts w:asciiTheme="minorBidi" w:hAnsiTheme="minorBidi"/>
          <w:rtl/>
        </w:rPr>
      </w:pPr>
    </w:p>
    <w:p w14:paraId="447D0A7A" w14:textId="77777777" w:rsidR="002C39F4" w:rsidRPr="003024E5" w:rsidRDefault="002C39F4" w:rsidP="002C39F4">
      <w:pPr>
        <w:rPr>
          <w:rFonts w:asciiTheme="minorBidi" w:hAnsiTheme="minorBidi"/>
          <w:rtl/>
        </w:rPr>
      </w:pPr>
    </w:p>
    <w:p w14:paraId="0C07B8C6" w14:textId="77777777" w:rsidR="002C39F4" w:rsidRDefault="002C39F4" w:rsidP="002C39F4"/>
    <w:p w14:paraId="1F483E3A" w14:textId="77777777" w:rsidR="002C39F4" w:rsidRDefault="002C39F4">
      <w:pPr>
        <w:rPr>
          <w:rtl/>
        </w:rPr>
        <w:sectPr w:rsidR="002C39F4" w:rsidSect="004C5A3C">
          <w:footerReference w:type="default" r:id="rId14"/>
          <w:footnotePr>
            <w:numRestart w:val="eachPage"/>
          </w:footnotePr>
          <w:pgSz w:w="11906" w:h="16838"/>
          <w:pgMar w:top="720" w:right="1134" w:bottom="720" w:left="1134" w:header="0" w:footer="0" w:gutter="0"/>
          <w:cols w:space="720"/>
          <w:bidi/>
          <w:rtlGutter/>
          <w:docGrid w:linePitch="360"/>
        </w:sectPr>
      </w:pPr>
    </w:p>
    <w:p w14:paraId="3187F6B0" w14:textId="77777777" w:rsidR="002C39F4" w:rsidRPr="00010124" w:rsidRDefault="002C39F4" w:rsidP="002C39F4">
      <w:pPr>
        <w:rPr>
          <w:b/>
          <w:bCs/>
          <w:sz w:val="36"/>
          <w:szCs w:val="36"/>
          <w:u w:val="single"/>
          <w:rtl/>
        </w:rPr>
      </w:pPr>
      <w:r>
        <w:rPr>
          <w:rFonts w:hint="cs"/>
          <w:b/>
          <w:bCs/>
          <w:sz w:val="36"/>
          <w:szCs w:val="36"/>
          <w:u w:val="single"/>
          <w:rtl/>
        </w:rPr>
        <w:t>בישולי גוים:</w:t>
      </w:r>
    </w:p>
    <w:p w14:paraId="480F7995"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קיב: דיני פת של </w:t>
      </w:r>
      <w:r>
        <w:rPr>
          <w:rFonts w:asciiTheme="minorBidi" w:hAnsiTheme="minorBidi"/>
          <w:rtl/>
        </w:rPr>
        <w:t>גוים</w:t>
      </w:r>
      <w:r w:rsidRPr="003024E5">
        <w:rPr>
          <w:rFonts w:asciiTheme="minorBidi" w:hAnsiTheme="minorBidi"/>
          <w:rtl/>
        </w:rPr>
        <w:t xml:space="preserve">, ובו ט"ז סעיפים. </w:t>
      </w:r>
    </w:p>
    <w:p w14:paraId="14B81316"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איסור פת של גוים.</w:t>
      </w:r>
    </w:p>
    <w:p w14:paraId="74C0F12E" w14:textId="77777777" w:rsidR="002C39F4" w:rsidRDefault="002C39F4" w:rsidP="002C39F4">
      <w:pPr>
        <w:rPr>
          <w:rFonts w:cs="Arial"/>
          <w:rtl/>
        </w:rPr>
      </w:pPr>
      <w:r>
        <w:rPr>
          <w:rFonts w:cs="Arial" w:hint="cs"/>
          <w:b/>
          <w:bCs/>
          <w:rtl/>
        </w:rPr>
        <w:t xml:space="preserve">עבודה זרה לה ע"ב: </w:t>
      </w:r>
      <w:r w:rsidRPr="00D0241C">
        <w:rPr>
          <w:rFonts w:cs="Arial"/>
          <w:u w:val="double"/>
          <w:rtl/>
        </w:rPr>
        <w:t>מתני'</w:t>
      </w:r>
      <w:r w:rsidRPr="00D0241C">
        <w:rPr>
          <w:rFonts w:cs="Arial" w:hint="cs"/>
          <w:u w:val="double"/>
          <w:rtl/>
        </w:rPr>
        <w:t>:</w:t>
      </w:r>
      <w:r w:rsidRPr="00D0241C">
        <w:rPr>
          <w:rFonts w:cs="Arial"/>
          <w:rtl/>
        </w:rPr>
        <w:t xml:space="preserve"> ואלו דברים של עובדי כוכבים אסורין ואין איסורן איסור הנאה: חלב שחלבו עובד כוכבים ואין ישראל רואהו, והפת והשמן שלהן. רבי ובית דינו התירו השמן. והשלקות, ו</w:t>
      </w:r>
      <w:r>
        <w:rPr>
          <w:rFonts w:cs="Arial"/>
          <w:rtl/>
        </w:rPr>
        <w:t>כבשין שדרכן לתת לתוכן יין וחומץ</w:t>
      </w:r>
      <w:r>
        <w:rPr>
          <w:rFonts w:cs="Arial" w:hint="cs"/>
          <w:rtl/>
        </w:rPr>
        <w:t>..</w:t>
      </w:r>
      <w:r w:rsidRPr="00D0241C">
        <w:rPr>
          <w:rFonts w:cs="Arial"/>
          <w:rtl/>
        </w:rPr>
        <w:t>.</w:t>
      </w:r>
      <w:r>
        <w:rPr>
          <w:rFonts w:cs="Arial" w:hint="cs"/>
          <w:rtl/>
        </w:rPr>
        <w:t xml:space="preserve">    </w:t>
      </w:r>
      <w:r w:rsidRPr="00F45AF1">
        <w:rPr>
          <w:rFonts w:cs="Arial" w:hint="cs"/>
          <w:u w:val="double"/>
          <w:rtl/>
        </w:rPr>
        <w:t>גמ'</w:t>
      </w:r>
      <w:r>
        <w:rPr>
          <w:rFonts w:cs="Arial" w:hint="cs"/>
          <w:sz w:val="14"/>
          <w:szCs w:val="14"/>
          <w:u w:val="double"/>
          <w:rtl/>
        </w:rPr>
        <w:t>(לו:)</w:t>
      </w:r>
      <w:r w:rsidRPr="00F45AF1">
        <w:rPr>
          <w:rFonts w:cs="Arial" w:hint="cs"/>
          <w:u w:val="double"/>
          <w:rtl/>
        </w:rPr>
        <w:t>:</w:t>
      </w:r>
      <w:r w:rsidRPr="00D0241C">
        <w:rPr>
          <w:rFonts w:cs="Arial"/>
          <w:rtl/>
        </w:rPr>
        <w:t xml:space="preserve"> </w:t>
      </w:r>
      <w:r w:rsidRPr="006B447A">
        <w:rPr>
          <w:rFonts w:cs="Arial"/>
          <w:u w:val="single"/>
          <w:rtl/>
        </w:rPr>
        <w:t>דכי אתא רב אחא בר אדא א"ר יצחק</w:t>
      </w:r>
      <w:r w:rsidRPr="006B447A">
        <w:rPr>
          <w:rFonts w:cs="Arial"/>
          <w:rtl/>
        </w:rPr>
        <w:t>: גזרו על פיתן משום שמנן; מאי אולמיה דשמן מפת? אלא, על פיתן ושמנן משום יינן, ועל יינן</w:t>
      </w:r>
      <w:r>
        <w:rPr>
          <w:rFonts w:cs="Arial"/>
          <w:rtl/>
        </w:rPr>
        <w:t xml:space="preserve"> משום בנותיהן</w:t>
      </w:r>
      <w:r>
        <w:rPr>
          <w:rFonts w:cs="Arial" w:hint="cs"/>
          <w:rtl/>
        </w:rPr>
        <w:t xml:space="preserve">... </w:t>
      </w:r>
      <w:r w:rsidRPr="006B447A">
        <w:rPr>
          <w:rFonts w:cs="Arial" w:hint="cs"/>
          <w:sz w:val="14"/>
          <w:szCs w:val="14"/>
          <w:rtl/>
        </w:rPr>
        <w:t>(לח:)</w:t>
      </w:r>
      <w:r>
        <w:rPr>
          <w:rFonts w:cs="Arial" w:hint="cs"/>
          <w:rtl/>
        </w:rPr>
        <w:t xml:space="preserve"> [פת, </w:t>
      </w:r>
      <w:r w:rsidRPr="00E51D3D">
        <w:rPr>
          <w:rFonts w:cs="Arial" w:hint="cs"/>
          <w:u w:val="single"/>
          <w:rtl/>
        </w:rPr>
        <w:t>א"ר אחי</w:t>
      </w:r>
      <w:r>
        <w:rPr>
          <w:rFonts w:cs="Arial" w:hint="cs"/>
          <w:rtl/>
        </w:rPr>
        <w:t>: שלש מלאכות יש בה, הילכך האי</w:t>
      </w:r>
      <w:r>
        <w:rPr>
          <w:rStyle w:val="a7"/>
          <w:rFonts w:cs="Arial"/>
          <w:rtl/>
        </w:rPr>
        <w:footnoteReference w:id="2613"/>
      </w:r>
      <w:r>
        <w:rPr>
          <w:rFonts w:cs="Arial" w:hint="cs"/>
          <w:rtl/>
        </w:rPr>
        <w:t>]</w:t>
      </w:r>
      <w:r>
        <w:rPr>
          <w:rFonts w:cs="Arial"/>
          <w:rtl/>
        </w:rPr>
        <w:t xml:space="preserve"> </w:t>
      </w:r>
      <w:r w:rsidRPr="00F45AF1">
        <w:rPr>
          <w:rFonts w:cs="Arial"/>
          <w:rtl/>
        </w:rPr>
        <w:t>ריפתא</w:t>
      </w:r>
      <w:r>
        <w:rPr>
          <w:rStyle w:val="a7"/>
          <w:rFonts w:cs="Arial"/>
          <w:rtl/>
        </w:rPr>
        <w:footnoteReference w:id="2614"/>
      </w:r>
      <w:r w:rsidRPr="00F45AF1">
        <w:rPr>
          <w:rFonts w:cs="Arial"/>
          <w:rtl/>
        </w:rPr>
        <w:t xml:space="preserve"> דשגר</w:t>
      </w:r>
      <w:r>
        <w:rPr>
          <w:rStyle w:val="a7"/>
          <w:rFonts w:cs="Arial"/>
          <w:rtl/>
        </w:rPr>
        <w:footnoteReference w:id="2615"/>
      </w:r>
      <w:r w:rsidRPr="00F45AF1">
        <w:rPr>
          <w:rFonts w:cs="Arial"/>
          <w:rtl/>
        </w:rPr>
        <w:t xml:space="preserve"> עובד כוכבים ואפה ישראל, א"נ שגר ישראל ואפה עובד כוכבים, א"נ שגר עובד כוכבים ואפה עובד כוכבים ואתא ישראל וחתה בה חתויי - שפיר דמי.</w:t>
      </w:r>
    </w:p>
    <w:p w14:paraId="28F168C6" w14:textId="77777777" w:rsidR="002C39F4" w:rsidRPr="00710BEA" w:rsidRDefault="002C39F4" w:rsidP="002C39F4">
      <w:pPr>
        <w:rPr>
          <w:sz w:val="16"/>
          <w:szCs w:val="16"/>
          <w:u w:val="single"/>
          <w:rtl/>
        </w:rPr>
      </w:pPr>
      <w:r>
        <w:rPr>
          <w:rFonts w:hint="cs"/>
          <w:u w:val="single"/>
          <w:rtl/>
        </w:rPr>
        <w:t>איזו פת התירו לישראל ע"י שיעשה אחת משלש מלאכות</w:t>
      </w:r>
      <w:r>
        <w:rPr>
          <w:rFonts w:hint="cs"/>
          <w:sz w:val="16"/>
          <w:szCs w:val="16"/>
          <w:u w:val="single"/>
          <w:rtl/>
        </w:rPr>
        <w:t xml:space="preserve"> (פת גוי שאפאה ישראל או פת ישראל שאפאה גוי)</w:t>
      </w:r>
      <w:r w:rsidRPr="005C4F96">
        <w:rPr>
          <w:rFonts w:hint="cs"/>
          <w:u w:val="single"/>
          <w:rtl/>
        </w:rPr>
        <w:t>:</w:t>
      </w:r>
    </w:p>
    <w:p w14:paraId="504D3F88" w14:textId="77777777" w:rsidR="002C39F4" w:rsidRPr="00EA1B19" w:rsidRDefault="002C39F4" w:rsidP="0032102C">
      <w:pPr>
        <w:pStyle w:val="a8"/>
        <w:numPr>
          <w:ilvl w:val="0"/>
          <w:numId w:val="267"/>
        </w:numPr>
        <w:rPr>
          <w:rFonts w:cs="Arial"/>
        </w:rPr>
      </w:pPr>
      <w:r w:rsidRPr="00F573F5">
        <w:rPr>
          <w:rFonts w:cs="Arial" w:hint="cs"/>
          <w:rtl/>
        </w:rPr>
        <w:t>מהר"ם</w:t>
      </w:r>
      <w:r>
        <w:rPr>
          <w:rStyle w:val="a7"/>
          <w:rFonts w:cs="Arial"/>
          <w:rtl/>
        </w:rPr>
        <w:footnoteReference w:id="2616"/>
      </w:r>
      <w:r w:rsidRPr="00F573F5">
        <w:rPr>
          <w:rFonts w:cs="Arial"/>
          <w:rtl/>
        </w:rPr>
        <w:t xml:space="preserve"> </w:t>
      </w:r>
      <w:r w:rsidRPr="00F573F5">
        <w:rPr>
          <w:rFonts w:cs="Arial" w:hint="cs"/>
          <w:sz w:val="16"/>
          <w:szCs w:val="16"/>
          <w:rtl/>
        </w:rPr>
        <w:t>(</w:t>
      </w:r>
      <w:r w:rsidRPr="00F573F5">
        <w:rPr>
          <w:rFonts w:cs="Arial"/>
          <w:sz w:val="16"/>
          <w:szCs w:val="16"/>
          <w:rtl/>
        </w:rPr>
        <w:t>ד"פ סי' לג</w:t>
      </w:r>
      <w:r>
        <w:rPr>
          <w:rFonts w:cs="Arial" w:hint="cs"/>
          <w:sz w:val="16"/>
          <w:szCs w:val="16"/>
          <w:rtl/>
        </w:rPr>
        <w:t>, וכ"כ המרדכי [סי' תתל] בשמו</w:t>
      </w:r>
      <w:r w:rsidRPr="00F573F5">
        <w:rPr>
          <w:rFonts w:cs="Arial"/>
          <w:sz w:val="16"/>
          <w:szCs w:val="16"/>
          <w:rtl/>
        </w:rPr>
        <w:t>)</w:t>
      </w:r>
      <w:r>
        <w:rPr>
          <w:rFonts w:cs="Arial" w:hint="cs"/>
          <w:rtl/>
        </w:rPr>
        <w:t xml:space="preserve"> שע"ד</w:t>
      </w:r>
      <w:r w:rsidRPr="00EA1B19">
        <w:rPr>
          <w:rFonts w:cs="Arial" w:hint="cs"/>
          <w:sz w:val="16"/>
          <w:szCs w:val="16"/>
          <w:rtl/>
        </w:rPr>
        <w:t xml:space="preserve"> (סי' עה) </w:t>
      </w:r>
      <w:r w:rsidRPr="00EA1B19">
        <w:rPr>
          <w:rFonts w:cs="Arial" w:hint="cs"/>
          <w:rtl/>
        </w:rPr>
        <w:t xml:space="preserve">טור </w:t>
      </w:r>
      <w:r w:rsidRPr="00EA1B19">
        <w:rPr>
          <w:rFonts w:cs="Arial" w:hint="cs"/>
          <w:sz w:val="16"/>
          <w:szCs w:val="16"/>
          <w:rtl/>
        </w:rPr>
        <w:t>(סע' ט, וכ"כ הב"י בשמו)</w:t>
      </w:r>
      <w:r w:rsidRPr="00EA1B19">
        <w:rPr>
          <w:rFonts w:cs="Arial" w:hint="cs"/>
          <w:rtl/>
        </w:rPr>
        <w:t xml:space="preserve"> ו</w:t>
      </w:r>
      <w:r w:rsidRPr="00EA1B19">
        <w:rPr>
          <w:rFonts w:cs="Arial"/>
          <w:rtl/>
        </w:rPr>
        <w:t xml:space="preserve">ר"ן </w:t>
      </w:r>
      <w:r w:rsidRPr="00EA1B19">
        <w:rPr>
          <w:rFonts w:cs="Arial"/>
          <w:sz w:val="16"/>
          <w:szCs w:val="16"/>
          <w:rtl/>
        </w:rPr>
        <w:t>(יג: ד"ה מתני'</w:t>
      </w:r>
      <w:r w:rsidRPr="00EA1B19">
        <w:rPr>
          <w:rFonts w:cs="Arial" w:hint="cs"/>
          <w:sz w:val="16"/>
          <w:szCs w:val="16"/>
          <w:rtl/>
        </w:rPr>
        <w:t>)</w:t>
      </w:r>
      <w:r w:rsidRPr="00EA1B19">
        <w:rPr>
          <w:rFonts w:cs="Arial" w:hint="cs"/>
          <w:rtl/>
        </w:rPr>
        <w:t>- פת של גוי אפילו נאפתה ע"י ישראל,</w:t>
      </w:r>
      <w:r w:rsidRPr="00EA1B19">
        <w:rPr>
          <w:rFonts w:cs="Arial"/>
          <w:rtl/>
        </w:rPr>
        <w:t xml:space="preserve"> כיון שהגוי לשו וערכו ומן הגוי הוא לוקחו</w:t>
      </w:r>
      <w:r>
        <w:rPr>
          <w:rFonts w:cs="Arial" w:hint="cs"/>
          <w:rtl/>
        </w:rPr>
        <w:t xml:space="preserve"> </w:t>
      </w:r>
      <w:r w:rsidRPr="00EA1B19">
        <w:rPr>
          <w:rFonts w:cs="Arial" w:hint="cs"/>
          <w:rtl/>
        </w:rPr>
        <w:t>-</w:t>
      </w:r>
      <w:r w:rsidRPr="00EA1B19">
        <w:rPr>
          <w:rFonts w:cs="Arial"/>
          <w:rtl/>
        </w:rPr>
        <w:t xml:space="preserve"> אסור</w:t>
      </w:r>
      <w:r>
        <w:rPr>
          <w:rStyle w:val="a7"/>
          <w:rFonts w:cs="Arial"/>
          <w:rtl/>
        </w:rPr>
        <w:footnoteReference w:id="2617"/>
      </w:r>
      <w:r w:rsidRPr="00EA1B19">
        <w:rPr>
          <w:rFonts w:cs="Arial" w:hint="cs"/>
          <w:rtl/>
        </w:rPr>
        <w:t>,</w:t>
      </w:r>
      <w:r w:rsidRPr="00EA1B19">
        <w:rPr>
          <w:rFonts w:cs="Arial"/>
          <w:rtl/>
        </w:rPr>
        <w:t xml:space="preserve"> ומשום חתנות</w:t>
      </w:r>
      <w:r w:rsidRPr="00EA1B19">
        <w:rPr>
          <w:rFonts w:cs="Arial" w:hint="cs"/>
          <w:rtl/>
        </w:rPr>
        <w:t>, ו</w:t>
      </w:r>
      <w:r w:rsidRPr="00EA1B19">
        <w:rPr>
          <w:rFonts w:cs="Arial"/>
          <w:rtl/>
        </w:rPr>
        <w:t>אין לו היתר ע"י חיתוי שיחת</w:t>
      </w:r>
      <w:r w:rsidRPr="00EA1B19">
        <w:rPr>
          <w:rFonts w:cs="Arial" w:hint="cs"/>
          <w:rtl/>
        </w:rPr>
        <w:t>ה</w:t>
      </w:r>
      <w:r w:rsidRPr="00EA1B19">
        <w:rPr>
          <w:rFonts w:cs="Arial"/>
          <w:rtl/>
        </w:rPr>
        <w:t xml:space="preserve"> ישראל בגחלים כי אין איסורו משום בישול אלא משום הפת עצמו</w:t>
      </w:r>
      <w:r>
        <w:rPr>
          <w:rStyle w:val="a7"/>
          <w:rFonts w:cs="Arial"/>
          <w:rtl/>
        </w:rPr>
        <w:footnoteReference w:id="2618"/>
      </w:r>
      <w:r w:rsidRPr="00EA1B19">
        <w:rPr>
          <w:rFonts w:cs="Arial" w:hint="cs"/>
          <w:rtl/>
        </w:rPr>
        <w:t>, אמנם יש מקומות שנהגו בו היתר</w:t>
      </w:r>
      <w:r w:rsidRPr="00EA1B19">
        <w:rPr>
          <w:rFonts w:cs="Arial" w:hint="cs"/>
          <w:sz w:val="16"/>
          <w:szCs w:val="16"/>
          <w:rtl/>
        </w:rPr>
        <w:t xml:space="preserve"> </w:t>
      </w:r>
      <w:r w:rsidRPr="00EA1B19">
        <w:rPr>
          <w:rFonts w:cs="Arial" w:hint="cs"/>
          <w:rtl/>
        </w:rPr>
        <w:t xml:space="preserve">וכמו שיתבאר לקמן. אבל פת של ישראל שנאפתה ע"י גוי </w:t>
      </w:r>
      <w:r w:rsidRPr="00EA1B19">
        <w:rPr>
          <w:rFonts w:cs="Arial"/>
          <w:rtl/>
        </w:rPr>
        <w:t>הוא בכלל איסור שלקות</w:t>
      </w:r>
      <w:r w:rsidRPr="00EA1B19">
        <w:rPr>
          <w:rFonts w:cs="Arial" w:hint="cs"/>
          <w:rtl/>
        </w:rPr>
        <w:t>,</w:t>
      </w:r>
      <w:r w:rsidRPr="00EA1B19">
        <w:rPr>
          <w:rFonts w:cs="Arial"/>
          <w:rtl/>
        </w:rPr>
        <w:t xml:space="preserve"> ובא</w:t>
      </w:r>
      <w:r w:rsidRPr="00EA1B19">
        <w:rPr>
          <w:rFonts w:cs="Arial" w:hint="cs"/>
          <w:rtl/>
        </w:rPr>
        <w:t>יסור שלקות</w:t>
      </w:r>
      <w:r w:rsidRPr="00EA1B19">
        <w:rPr>
          <w:rFonts w:cs="Arial"/>
          <w:rtl/>
        </w:rPr>
        <w:t xml:space="preserve"> לא נהגו היתר בשום מקום</w:t>
      </w:r>
      <w:r w:rsidRPr="00EA1B19">
        <w:rPr>
          <w:rFonts w:cs="Arial" w:hint="cs"/>
          <w:rtl/>
        </w:rPr>
        <w:t>,</w:t>
      </w:r>
      <w:r w:rsidRPr="00EA1B19">
        <w:rPr>
          <w:rFonts w:cs="Arial"/>
          <w:rtl/>
        </w:rPr>
        <w:t xml:space="preserve"> </w:t>
      </w:r>
      <w:r w:rsidRPr="00EA1B19">
        <w:rPr>
          <w:rFonts w:cs="Arial" w:hint="cs"/>
          <w:rtl/>
        </w:rPr>
        <w:t xml:space="preserve">אמנם </w:t>
      </w:r>
      <w:r w:rsidRPr="00EA1B19">
        <w:rPr>
          <w:rFonts w:cs="Arial"/>
          <w:rtl/>
        </w:rPr>
        <w:t xml:space="preserve">עלה קאמר </w:t>
      </w:r>
      <w:r w:rsidRPr="00EA1B19">
        <w:rPr>
          <w:rFonts w:cs="Arial" w:hint="cs"/>
          <w:rtl/>
        </w:rPr>
        <w:t xml:space="preserve">בגמ' </w:t>
      </w:r>
      <w:r w:rsidRPr="00EA1B19">
        <w:rPr>
          <w:rFonts w:cs="Arial"/>
          <w:rtl/>
        </w:rPr>
        <w:t>ג' מלאכות בפת היסק התנור וחתיית הגחלים והאפייה</w:t>
      </w:r>
      <w:r w:rsidRPr="00EA1B19">
        <w:rPr>
          <w:rFonts w:cs="Arial" w:hint="cs"/>
          <w:rtl/>
        </w:rPr>
        <w:t>,</w:t>
      </w:r>
      <w:r w:rsidRPr="00EA1B19">
        <w:rPr>
          <w:rFonts w:cs="Arial"/>
          <w:rtl/>
        </w:rPr>
        <w:t xml:space="preserve"> </w:t>
      </w:r>
      <w:r w:rsidRPr="00EA1B19">
        <w:rPr>
          <w:rFonts w:cs="Arial" w:hint="cs"/>
          <w:rtl/>
        </w:rPr>
        <w:t xml:space="preserve">היינו </w:t>
      </w:r>
      <w:r w:rsidRPr="00EA1B19">
        <w:rPr>
          <w:rFonts w:cs="Arial"/>
          <w:rtl/>
        </w:rPr>
        <w:t>שאם ישראל עשה א' מאלו אין בו משום בישולי גוים</w:t>
      </w:r>
      <w:r w:rsidRPr="00EA1B19">
        <w:rPr>
          <w:rFonts w:cs="Arial" w:hint="cs"/>
          <w:rtl/>
        </w:rPr>
        <w:t xml:space="preserve"> ומותר</w:t>
      </w:r>
      <w:r>
        <w:rPr>
          <w:rStyle w:val="a7"/>
          <w:rFonts w:cs="Arial"/>
          <w:rtl/>
        </w:rPr>
        <w:footnoteReference w:id="2619"/>
      </w:r>
      <w:r w:rsidRPr="00EA1B19">
        <w:rPr>
          <w:rFonts w:cs="Arial" w:hint="cs"/>
          <w:sz w:val="16"/>
          <w:szCs w:val="16"/>
          <w:rtl/>
        </w:rPr>
        <w:t xml:space="preserve"> (ע"פ הטור והר"ן)</w:t>
      </w:r>
      <w:r w:rsidRPr="00EA1B19">
        <w:rPr>
          <w:rFonts w:cs="Arial" w:hint="cs"/>
          <w:rtl/>
        </w:rPr>
        <w:t>.</w:t>
      </w:r>
    </w:p>
    <w:p w14:paraId="3E8B28D0" w14:textId="77777777" w:rsidR="002C39F4" w:rsidRDefault="002C39F4" w:rsidP="0032102C">
      <w:pPr>
        <w:pStyle w:val="a8"/>
        <w:numPr>
          <w:ilvl w:val="0"/>
          <w:numId w:val="267"/>
        </w:numPr>
        <w:rPr>
          <w:rFonts w:cs="Arial"/>
        </w:rPr>
      </w:pPr>
      <w:r>
        <w:rPr>
          <w:rFonts w:cs="Arial" w:hint="cs"/>
          <w:rtl/>
        </w:rPr>
        <w:t xml:space="preserve">רמב"ם </w:t>
      </w:r>
      <w:r w:rsidRPr="005C4F96">
        <w:rPr>
          <w:rFonts w:cs="Arial" w:hint="cs"/>
          <w:sz w:val="16"/>
          <w:szCs w:val="16"/>
          <w:rtl/>
        </w:rPr>
        <w:t xml:space="preserve">(פי"ז הי"ג) </w:t>
      </w:r>
      <w:r w:rsidRPr="006B447A">
        <w:rPr>
          <w:rFonts w:cs="Arial" w:hint="cs"/>
          <w:rtl/>
        </w:rPr>
        <w:t>רשב"א</w:t>
      </w:r>
      <w:r>
        <w:rPr>
          <w:rStyle w:val="a7"/>
          <w:rFonts w:cs="Arial"/>
          <w:rtl/>
        </w:rPr>
        <w:footnoteReference w:id="2620"/>
      </w:r>
      <w:r>
        <w:rPr>
          <w:rFonts w:cs="Arial"/>
          <w:rtl/>
        </w:rPr>
        <w:t xml:space="preserve"> </w:t>
      </w:r>
      <w:r w:rsidRPr="005C4F96">
        <w:rPr>
          <w:rFonts w:cs="Arial"/>
          <w:sz w:val="16"/>
          <w:szCs w:val="16"/>
          <w:rtl/>
        </w:rPr>
        <w:t>(ח"א סי</w:t>
      </w:r>
      <w:r w:rsidRPr="005C4F96">
        <w:rPr>
          <w:rFonts w:cs="Arial" w:hint="cs"/>
          <w:sz w:val="16"/>
          <w:szCs w:val="16"/>
          <w:rtl/>
        </w:rPr>
        <w:t>'</w:t>
      </w:r>
      <w:r w:rsidRPr="005C4F96">
        <w:rPr>
          <w:rFonts w:cs="Arial"/>
          <w:sz w:val="16"/>
          <w:szCs w:val="16"/>
          <w:rtl/>
        </w:rPr>
        <w:t xml:space="preserve"> רכח)</w:t>
      </w:r>
      <w:r>
        <w:rPr>
          <w:rFonts w:cs="Arial" w:hint="cs"/>
          <w:rtl/>
        </w:rPr>
        <w:t xml:space="preserve"> ואו"ה </w:t>
      </w:r>
      <w:r>
        <w:rPr>
          <w:rFonts w:cs="Arial" w:hint="cs"/>
          <w:sz w:val="16"/>
          <w:szCs w:val="16"/>
          <w:rtl/>
        </w:rPr>
        <w:t>(כלל מד ד"ד)</w:t>
      </w:r>
      <w:r w:rsidRPr="006B447A">
        <w:rPr>
          <w:rFonts w:cs="Arial" w:hint="cs"/>
          <w:rtl/>
        </w:rPr>
        <w:t>-</w:t>
      </w:r>
      <w:r w:rsidRPr="006B447A">
        <w:rPr>
          <w:rFonts w:cs="Arial"/>
          <w:rtl/>
        </w:rPr>
        <w:t xml:space="preserve"> הדליק העכו"ם את התנור ואפה בו ישראל, או שהדליק ישראל ואפה עכו"ם, או שהדליק העכו"ם ואפה העכו"ם ובא ישראל וניער האש מעט או כבשו לאש</w:t>
      </w:r>
      <w:r>
        <w:rPr>
          <w:rFonts w:cs="Arial" w:hint="cs"/>
          <w:rtl/>
        </w:rPr>
        <w:t>,</w:t>
      </w:r>
      <w:r w:rsidRPr="006B447A">
        <w:rPr>
          <w:rFonts w:cs="Arial"/>
          <w:rtl/>
        </w:rPr>
        <w:t xml:space="preserve"> הואיל ונשתתף במלאכת הפת הרי זו מותרת, ואפילו לא זרק אלא עץ לתוך התנור התיר כל הפת שבו, שאין הדבר אלא להיות היכר שהפת שלהן אסורה</w:t>
      </w:r>
      <w:r>
        <w:rPr>
          <w:rFonts w:cs="Arial" w:hint="cs"/>
          <w:sz w:val="16"/>
          <w:szCs w:val="16"/>
          <w:rtl/>
        </w:rPr>
        <w:t xml:space="preserve"> (ל' הרמב"ם)</w:t>
      </w:r>
      <w:r w:rsidRPr="006B447A">
        <w:rPr>
          <w:rFonts w:cs="Arial"/>
          <w:rtl/>
        </w:rPr>
        <w:t xml:space="preserve">. </w:t>
      </w:r>
    </w:p>
    <w:p w14:paraId="7BA97652" w14:textId="77777777" w:rsidR="002C39F4" w:rsidRPr="00A022DF" w:rsidRDefault="002C39F4" w:rsidP="0032102C">
      <w:pPr>
        <w:pStyle w:val="a8"/>
        <w:numPr>
          <w:ilvl w:val="1"/>
          <w:numId w:val="267"/>
        </w:numPr>
        <w:rPr>
          <w:color w:val="00B0F0"/>
        </w:rPr>
      </w:pPr>
      <w:r>
        <w:rPr>
          <w:rFonts w:cs="Arial" w:hint="cs"/>
          <w:rtl/>
        </w:rPr>
        <w:t xml:space="preserve">ב"י- </w:t>
      </w:r>
      <w:r w:rsidRPr="003E504D">
        <w:rPr>
          <w:rFonts w:cs="Arial"/>
          <w:rtl/>
        </w:rPr>
        <w:t>ולענין הלכה כיון שהרמב"ם והרשב"א מסכימים שלא לחלק בין פת ישראל לפת של נכרי דזה וזה מותרים ע"י אחת משלש מלאכות הכי נקטינן</w:t>
      </w:r>
      <w:r w:rsidRPr="003E504D">
        <w:rPr>
          <w:rFonts w:cs="Arial" w:hint="cs"/>
          <w:rtl/>
        </w:rPr>
        <w:t>.</w:t>
      </w:r>
      <w:r w:rsidRPr="00A022DF">
        <w:rPr>
          <w:rFonts w:hint="cs"/>
          <w:color w:val="E36C0A" w:themeColor="accent6" w:themeShade="BF"/>
          <w:rtl/>
        </w:rPr>
        <w:t xml:space="preserve"> </w:t>
      </w:r>
      <w:bookmarkStart w:id="15" w:name="_Hlk508874571"/>
      <w:r w:rsidRPr="00A022DF">
        <w:rPr>
          <w:rFonts w:hint="cs"/>
          <w:color w:val="E36C0A" w:themeColor="accent6" w:themeShade="BF"/>
          <w:rtl/>
        </w:rPr>
        <w:t xml:space="preserve">(וכ"פ בשו"ע) </w:t>
      </w:r>
      <w:bookmarkEnd w:id="15"/>
      <w:r w:rsidRPr="00A022DF">
        <w:rPr>
          <w:rFonts w:hint="cs"/>
          <w:color w:val="00B0F0"/>
          <w:rtl/>
        </w:rPr>
        <w:t>(וכ"פ הרמ"א</w:t>
      </w:r>
      <w:r>
        <w:rPr>
          <w:rFonts w:hint="cs"/>
          <w:color w:val="000000" w:themeColor="text1"/>
          <w:sz w:val="16"/>
          <w:szCs w:val="16"/>
          <w:rtl/>
        </w:rPr>
        <w:t xml:space="preserve"> [כ"כ הש"ך</w:t>
      </w:r>
      <w:r w:rsidRPr="007C2C9E">
        <w:rPr>
          <w:rFonts w:hint="cs"/>
          <w:color w:val="000000" w:themeColor="text1"/>
          <w:sz w:val="14"/>
          <w:szCs w:val="14"/>
          <w:rtl/>
        </w:rPr>
        <w:t xml:space="preserve"> </w:t>
      </w:r>
      <w:r>
        <w:rPr>
          <w:rFonts w:hint="cs"/>
          <w:color w:val="000000" w:themeColor="text1"/>
          <w:sz w:val="14"/>
          <w:szCs w:val="14"/>
          <w:rtl/>
        </w:rPr>
        <w:t>{</w:t>
      </w:r>
      <w:r w:rsidRPr="007C2C9E">
        <w:rPr>
          <w:rFonts w:hint="cs"/>
          <w:color w:val="000000" w:themeColor="text1"/>
          <w:sz w:val="14"/>
          <w:szCs w:val="14"/>
          <w:rtl/>
        </w:rPr>
        <w:t>סק"א</w:t>
      </w:r>
      <w:r>
        <w:rPr>
          <w:rFonts w:hint="cs"/>
          <w:color w:val="000000" w:themeColor="text1"/>
          <w:sz w:val="14"/>
          <w:szCs w:val="14"/>
          <w:rtl/>
        </w:rPr>
        <w:t>}</w:t>
      </w:r>
      <w:r w:rsidRPr="007C2C9E">
        <w:rPr>
          <w:rFonts w:hint="cs"/>
          <w:color w:val="000000" w:themeColor="text1"/>
          <w:sz w:val="14"/>
          <w:szCs w:val="14"/>
          <w:rtl/>
        </w:rPr>
        <w:t xml:space="preserve"> </w:t>
      </w:r>
      <w:r>
        <w:rPr>
          <w:rFonts w:hint="cs"/>
          <w:color w:val="000000" w:themeColor="text1"/>
          <w:sz w:val="16"/>
          <w:szCs w:val="16"/>
          <w:rtl/>
        </w:rPr>
        <w:t>בשמו]</w:t>
      </w:r>
      <w:r w:rsidRPr="00A022DF">
        <w:rPr>
          <w:rFonts w:hint="cs"/>
          <w:color w:val="00B0F0"/>
          <w:rtl/>
        </w:rPr>
        <w:t>)</w:t>
      </w:r>
    </w:p>
    <w:p w14:paraId="2F2D21EC" w14:textId="77777777" w:rsidR="002C39F4" w:rsidRPr="00D551CC" w:rsidRDefault="002C39F4" w:rsidP="002C39F4">
      <w:pPr>
        <w:ind w:left="360"/>
        <w:rPr>
          <w:rFonts w:cs="Arial"/>
          <w:u w:val="dotted"/>
          <w:rtl/>
        </w:rPr>
      </w:pPr>
      <w:r w:rsidRPr="00D551CC">
        <w:rPr>
          <w:rFonts w:cs="Arial" w:hint="cs"/>
          <w:u w:val="dotted"/>
          <w:rtl/>
        </w:rPr>
        <w:t>האם הגזרה שייכת גם בשאור של גוים:</w:t>
      </w:r>
      <w:r w:rsidRPr="007E2537">
        <w:rPr>
          <w:rFonts w:cs="Arial" w:hint="cs"/>
          <w:sz w:val="16"/>
          <w:szCs w:val="16"/>
          <w:rtl/>
        </w:rPr>
        <w:t xml:space="preserve"> </w:t>
      </w:r>
    </w:p>
    <w:p w14:paraId="717B3791" w14:textId="77777777" w:rsidR="002C39F4" w:rsidRDefault="002C39F4" w:rsidP="0032102C">
      <w:pPr>
        <w:pStyle w:val="a8"/>
        <w:numPr>
          <w:ilvl w:val="0"/>
          <w:numId w:val="268"/>
        </w:numPr>
        <w:rPr>
          <w:rFonts w:cs="Arial"/>
        </w:rPr>
      </w:pPr>
      <w:r>
        <w:rPr>
          <w:rFonts w:cs="Arial" w:hint="cs"/>
          <w:rtl/>
        </w:rPr>
        <w:t xml:space="preserve">טור </w:t>
      </w:r>
      <w:r>
        <w:rPr>
          <w:rFonts w:cs="Arial" w:hint="cs"/>
          <w:sz w:val="16"/>
          <w:szCs w:val="16"/>
          <w:rtl/>
        </w:rPr>
        <w:t>(סי' שכד, הביאו הב"י [בבדה"ב])</w:t>
      </w:r>
      <w:r>
        <w:rPr>
          <w:rFonts w:cs="Arial" w:hint="cs"/>
          <w:rtl/>
        </w:rPr>
        <w:t xml:space="preserve"> וב"י- </w:t>
      </w:r>
      <w:r w:rsidRPr="006B447A">
        <w:rPr>
          <w:rFonts w:cs="Arial"/>
          <w:rtl/>
        </w:rPr>
        <w:t>אפילו לדברי הר"ן אין לאסור ליקח שאור של גוים ולחמץ בו</w:t>
      </w:r>
      <w:r>
        <w:rPr>
          <w:rStyle w:val="a7"/>
          <w:rFonts w:cs="Arial"/>
          <w:rtl/>
        </w:rPr>
        <w:footnoteReference w:id="2621"/>
      </w:r>
      <w:r>
        <w:rPr>
          <w:rFonts w:cs="Arial" w:hint="cs"/>
          <w:rtl/>
        </w:rPr>
        <w:t>...</w:t>
      </w:r>
      <w:r w:rsidRPr="006B447A">
        <w:rPr>
          <w:rFonts w:cs="Arial"/>
          <w:rtl/>
        </w:rPr>
        <w:t xml:space="preserve"> </w:t>
      </w:r>
      <w:r>
        <w:rPr>
          <w:rFonts w:cs="Arial"/>
          <w:rtl/>
        </w:rPr>
        <w:t>ושרי לחמץ בו לכתחלה</w:t>
      </w:r>
      <w:r>
        <w:rPr>
          <w:rStyle w:val="a7"/>
          <w:rFonts w:cs="Arial"/>
          <w:rtl/>
        </w:rPr>
        <w:footnoteReference w:id="2622"/>
      </w:r>
      <w:r>
        <w:rPr>
          <w:rFonts w:cs="Arial" w:hint="cs"/>
          <w:rtl/>
        </w:rPr>
        <w:t>.</w:t>
      </w:r>
    </w:p>
    <w:p w14:paraId="1F0FB7E7" w14:textId="77777777" w:rsidR="002C39F4" w:rsidRDefault="002C39F4" w:rsidP="0032102C">
      <w:pPr>
        <w:pStyle w:val="a8"/>
        <w:numPr>
          <w:ilvl w:val="0"/>
          <w:numId w:val="268"/>
        </w:numPr>
        <w:rPr>
          <w:rFonts w:cs="Arial"/>
        </w:rPr>
      </w:pPr>
      <w:r w:rsidRPr="00293D43">
        <w:rPr>
          <w:rFonts w:cs="Arial" w:hint="cs"/>
          <w:rtl/>
        </w:rPr>
        <w:t>רי"ו</w:t>
      </w:r>
      <w:r w:rsidRPr="00293D43">
        <w:rPr>
          <w:rFonts w:cs="Arial"/>
          <w:rtl/>
        </w:rPr>
        <w:t xml:space="preserve"> </w:t>
      </w:r>
      <w:r w:rsidRPr="00293D43">
        <w:rPr>
          <w:rFonts w:cs="Arial" w:hint="cs"/>
          <w:sz w:val="16"/>
          <w:szCs w:val="16"/>
          <w:rtl/>
        </w:rPr>
        <w:t xml:space="preserve">(תא"ו </w:t>
      </w:r>
      <w:r w:rsidRPr="00293D43">
        <w:rPr>
          <w:rFonts w:cs="Arial"/>
          <w:sz w:val="16"/>
          <w:szCs w:val="16"/>
          <w:rtl/>
        </w:rPr>
        <w:t xml:space="preserve">נ"ה ח"ה מה. ע"ד) </w:t>
      </w:r>
      <w:r w:rsidRPr="00293D43">
        <w:rPr>
          <w:rFonts w:cs="Arial"/>
          <w:rtl/>
        </w:rPr>
        <w:t xml:space="preserve">בשם </w:t>
      </w:r>
      <w:r w:rsidRPr="00293D43">
        <w:rPr>
          <w:rFonts w:cs="Arial" w:hint="cs"/>
          <w:rtl/>
        </w:rPr>
        <w:t>ב</w:t>
      </w:r>
      <w:r w:rsidRPr="00293D43">
        <w:rPr>
          <w:rFonts w:cs="Arial"/>
          <w:rtl/>
        </w:rPr>
        <w:t>העי</w:t>
      </w:r>
      <w:r w:rsidRPr="00293D43">
        <w:rPr>
          <w:rFonts w:cs="Arial" w:hint="cs"/>
          <w:rtl/>
        </w:rPr>
        <w:t>"</w:t>
      </w:r>
      <w:r w:rsidRPr="00293D43">
        <w:rPr>
          <w:rFonts w:cs="Arial"/>
          <w:rtl/>
        </w:rPr>
        <w:t xml:space="preserve">ט </w:t>
      </w:r>
      <w:r w:rsidRPr="00293D43">
        <w:rPr>
          <w:rFonts w:cs="Arial"/>
          <w:sz w:val="16"/>
          <w:szCs w:val="16"/>
          <w:rtl/>
        </w:rPr>
        <w:t>(הל</w:t>
      </w:r>
      <w:r w:rsidRPr="00293D43">
        <w:rPr>
          <w:rFonts w:cs="Arial" w:hint="cs"/>
          <w:sz w:val="16"/>
          <w:szCs w:val="16"/>
          <w:rtl/>
        </w:rPr>
        <w:t>'</w:t>
      </w:r>
      <w:r w:rsidRPr="00293D43">
        <w:rPr>
          <w:rFonts w:cs="Arial"/>
          <w:sz w:val="16"/>
          <w:szCs w:val="16"/>
          <w:rtl/>
        </w:rPr>
        <w:t xml:space="preserve"> ביעור חמץ ח"ב קכו ע"ג)</w:t>
      </w:r>
      <w:r>
        <w:rPr>
          <w:rFonts w:cs="Arial" w:hint="cs"/>
          <w:rtl/>
        </w:rPr>
        <w:t xml:space="preserve">- </w:t>
      </w:r>
      <w:r w:rsidRPr="00293D43">
        <w:rPr>
          <w:rFonts w:cs="Arial"/>
          <w:rtl/>
        </w:rPr>
        <w:t xml:space="preserve">חמצן של כותים אסור עד לאחר ג' אפיות כדקתני התם </w:t>
      </w:r>
      <w:r w:rsidRPr="00293D43">
        <w:rPr>
          <w:rFonts w:cs="Arial"/>
          <w:sz w:val="16"/>
          <w:szCs w:val="16"/>
          <w:rtl/>
        </w:rPr>
        <w:t xml:space="preserve">(תוספתא פסחים פ"ב ה"א) </w:t>
      </w:r>
      <w:r w:rsidRPr="00293D43">
        <w:rPr>
          <w:rFonts w:cs="Arial"/>
          <w:rtl/>
        </w:rPr>
        <w:t>של נחתומין לאחר שלשה שבתות מפני שמבטל הוא</w:t>
      </w:r>
      <w:r>
        <w:rPr>
          <w:rStyle w:val="a7"/>
          <w:rFonts w:cs="Arial"/>
          <w:rtl/>
        </w:rPr>
        <w:footnoteReference w:id="2623"/>
      </w:r>
      <w:r w:rsidRPr="00293D43">
        <w:rPr>
          <w:rFonts w:cs="Arial" w:hint="cs"/>
          <w:rtl/>
        </w:rPr>
        <w:t>.</w:t>
      </w:r>
      <w:r w:rsidRPr="00293D43">
        <w:rPr>
          <w:rFonts w:cs="Arial"/>
          <w:rtl/>
        </w:rPr>
        <w:t xml:space="preserve"> </w:t>
      </w:r>
    </w:p>
    <w:p w14:paraId="390EE712" w14:textId="77777777" w:rsidR="002C39F4" w:rsidRPr="003E504D" w:rsidRDefault="002C39F4" w:rsidP="002C39F4">
      <w:pPr>
        <w:ind w:left="360"/>
        <w:rPr>
          <w:rFonts w:cs="Arial"/>
          <w:u w:val="dotted"/>
        </w:rPr>
      </w:pPr>
      <w:r>
        <w:rPr>
          <w:rFonts w:cs="Arial" w:hint="cs"/>
          <w:u w:val="dotted"/>
          <w:rtl/>
        </w:rPr>
        <w:t>לאוסרים</w:t>
      </w:r>
      <w:r>
        <w:rPr>
          <w:rFonts w:cs="Arial" w:hint="cs"/>
          <w:sz w:val="16"/>
          <w:szCs w:val="16"/>
          <w:u w:val="dotted"/>
          <w:rtl/>
        </w:rPr>
        <w:t xml:space="preserve"> (הר"ן וסיעתו)</w:t>
      </w:r>
      <w:r>
        <w:rPr>
          <w:rFonts w:cs="Arial" w:hint="cs"/>
          <w:u w:val="dotted"/>
          <w:rtl/>
        </w:rPr>
        <w:t xml:space="preserve"> - </w:t>
      </w:r>
      <w:r w:rsidRPr="003E504D">
        <w:rPr>
          <w:rFonts w:cs="Arial" w:hint="cs"/>
          <w:u w:val="dotted"/>
          <w:rtl/>
        </w:rPr>
        <w:t>מה הדין אם נתן הישראל קמחו לגוי כדי שילוש ו</w:t>
      </w:r>
      <w:r>
        <w:rPr>
          <w:rFonts w:cs="Arial" w:hint="cs"/>
          <w:u w:val="dotted"/>
          <w:rtl/>
        </w:rPr>
        <w:t>י</w:t>
      </w:r>
      <w:r w:rsidRPr="003E504D">
        <w:rPr>
          <w:rFonts w:cs="Arial" w:hint="cs"/>
          <w:u w:val="dotted"/>
          <w:rtl/>
        </w:rPr>
        <w:t>ערוך לו:</w:t>
      </w:r>
    </w:p>
    <w:p w14:paraId="0BC36254" w14:textId="77777777" w:rsidR="002C39F4" w:rsidRPr="00BA29CB" w:rsidRDefault="002C39F4" w:rsidP="0032102C">
      <w:pPr>
        <w:pStyle w:val="a8"/>
        <w:numPr>
          <w:ilvl w:val="0"/>
          <w:numId w:val="267"/>
        </w:numPr>
        <w:rPr>
          <w:rFonts w:cs="Arial"/>
        </w:rPr>
      </w:pPr>
      <w:r>
        <w:rPr>
          <w:rFonts w:cs="Arial" w:hint="cs"/>
          <w:rtl/>
        </w:rPr>
        <w:t>ב</w:t>
      </w:r>
      <w:r w:rsidRPr="003E504D">
        <w:rPr>
          <w:rFonts w:cs="Arial" w:hint="cs"/>
          <w:rtl/>
        </w:rPr>
        <w:t xml:space="preserve">"י- </w:t>
      </w:r>
      <w:r w:rsidRPr="003E504D">
        <w:rPr>
          <w:rFonts w:cs="Arial"/>
          <w:rtl/>
        </w:rPr>
        <w:t>נראה דלדעת הר"ן נמי מותר לישראל לתת קמחו לגוי ללוש ולערוך דע"כ לא אסר אלא כשהגוי לשו וערכו ואח"כ לקחו ישראל ממנו</w:t>
      </w:r>
      <w:r w:rsidRPr="003E504D">
        <w:rPr>
          <w:rFonts w:cs="Arial" w:hint="cs"/>
          <w:rtl/>
        </w:rPr>
        <w:t>,</w:t>
      </w:r>
      <w:r w:rsidRPr="003E504D">
        <w:rPr>
          <w:rFonts w:cs="Arial"/>
          <w:rtl/>
        </w:rPr>
        <w:t xml:space="preserve"> והכי דייק לישנא דהר"ן שכתב שהפת של גוים אפילו נתבשל ע"י ישראל כיון שהגוי לשו וערכו ומן הגוי הוא לוקחו אסור</w:t>
      </w:r>
      <w:r w:rsidRPr="003E504D">
        <w:rPr>
          <w:rFonts w:cs="Arial" w:hint="cs"/>
          <w:rtl/>
        </w:rPr>
        <w:t>,</w:t>
      </w:r>
      <w:r w:rsidRPr="003E504D">
        <w:rPr>
          <w:rFonts w:cs="Arial"/>
          <w:rtl/>
        </w:rPr>
        <w:t xml:space="preserve"> משמע דוקא כשלקחו מגוי הוא דמיתסר הא לאו הכי לא. </w:t>
      </w:r>
    </w:p>
    <w:p w14:paraId="619FDA40" w14:textId="77777777" w:rsidR="002C39F4" w:rsidRDefault="002C39F4" w:rsidP="002C39F4">
      <w:pPr>
        <w:rPr>
          <w:rFonts w:cs="Arial"/>
          <w:rtl/>
        </w:rPr>
      </w:pPr>
      <w:r w:rsidRPr="00BA29CB">
        <w:rPr>
          <w:rFonts w:cs="Arial" w:hint="cs"/>
          <w:u w:val="single"/>
          <w:rtl/>
        </w:rPr>
        <w:t>שתיה במסיבת גוים:</w:t>
      </w:r>
    </w:p>
    <w:p w14:paraId="4C84A9C2" w14:textId="77777777" w:rsidR="002C39F4" w:rsidRPr="00C347B4" w:rsidRDefault="002C39F4" w:rsidP="0032102C">
      <w:pPr>
        <w:pStyle w:val="a8"/>
        <w:numPr>
          <w:ilvl w:val="0"/>
          <w:numId w:val="267"/>
        </w:numPr>
        <w:rPr>
          <w:rFonts w:cs="Arial"/>
          <w:rtl/>
        </w:rPr>
      </w:pPr>
      <w:r w:rsidRPr="00C347B4">
        <w:rPr>
          <w:rFonts w:cs="Arial"/>
          <w:rtl/>
        </w:rPr>
        <w:t xml:space="preserve">רמב"ם </w:t>
      </w:r>
      <w:r w:rsidRPr="00C347B4">
        <w:rPr>
          <w:rFonts w:cs="Arial" w:hint="cs"/>
          <w:sz w:val="16"/>
          <w:szCs w:val="16"/>
          <w:rtl/>
        </w:rPr>
        <w:t>(</w:t>
      </w:r>
      <w:r w:rsidRPr="00C347B4">
        <w:rPr>
          <w:rFonts w:cs="Arial"/>
          <w:sz w:val="16"/>
          <w:szCs w:val="16"/>
          <w:rtl/>
        </w:rPr>
        <w:t>פי"ז ה"י)</w:t>
      </w:r>
      <w:r w:rsidRPr="00C347B4">
        <w:rPr>
          <w:rFonts w:cs="Arial" w:hint="cs"/>
          <w:rtl/>
        </w:rPr>
        <w:t xml:space="preserve"> וטור-</w:t>
      </w:r>
      <w:r w:rsidRPr="00C347B4">
        <w:rPr>
          <w:rFonts w:cs="Arial"/>
          <w:rtl/>
        </w:rPr>
        <w:t xml:space="preserve"> לא ישתה אדם במס</w:t>
      </w:r>
      <w:r w:rsidRPr="00C347B4">
        <w:rPr>
          <w:rFonts w:cs="Arial" w:hint="cs"/>
          <w:rtl/>
        </w:rPr>
        <w:t>י</w:t>
      </w:r>
      <w:r w:rsidRPr="00C347B4">
        <w:rPr>
          <w:rFonts w:cs="Arial"/>
          <w:rtl/>
        </w:rPr>
        <w:t>בה של גוים</w:t>
      </w:r>
      <w:r w:rsidRPr="00C347B4">
        <w:rPr>
          <w:rFonts w:cs="Arial" w:hint="cs"/>
          <w:rtl/>
        </w:rPr>
        <w:t>,</w:t>
      </w:r>
      <w:r w:rsidRPr="00C347B4">
        <w:rPr>
          <w:rFonts w:cs="Arial"/>
          <w:rtl/>
        </w:rPr>
        <w:t xml:space="preserve"> ואע</w:t>
      </w:r>
      <w:r w:rsidRPr="00C347B4">
        <w:rPr>
          <w:rFonts w:cs="Arial" w:hint="cs"/>
          <w:rtl/>
        </w:rPr>
        <w:t>"</w:t>
      </w:r>
      <w:r w:rsidRPr="00C347B4">
        <w:rPr>
          <w:rFonts w:cs="Arial"/>
          <w:rtl/>
        </w:rPr>
        <w:t>פ שהוא יין מבושל שאינו נאסר</w:t>
      </w:r>
      <w:r>
        <w:rPr>
          <w:rStyle w:val="a7"/>
          <w:rFonts w:cs="Arial"/>
          <w:rtl/>
        </w:rPr>
        <w:footnoteReference w:id="2624"/>
      </w:r>
      <w:r w:rsidRPr="00C347B4">
        <w:rPr>
          <w:rFonts w:cs="Arial"/>
          <w:rtl/>
        </w:rPr>
        <w:t xml:space="preserve"> או שהיה שותה מכליו לבדו</w:t>
      </w:r>
      <w:r>
        <w:rPr>
          <w:rStyle w:val="a7"/>
          <w:rFonts w:cs="Arial"/>
          <w:rtl/>
        </w:rPr>
        <w:footnoteReference w:id="2625"/>
      </w:r>
      <w:r w:rsidRPr="00C347B4">
        <w:rPr>
          <w:rFonts w:cs="Arial" w:hint="cs"/>
          <w:rtl/>
        </w:rPr>
        <w:t>,</w:t>
      </w:r>
      <w:r w:rsidRPr="00C347B4">
        <w:rPr>
          <w:rFonts w:cs="Arial"/>
          <w:rtl/>
        </w:rPr>
        <w:t xml:space="preserve"> ואם היה רוב המסיבה ישראל מותר</w:t>
      </w:r>
      <w:r>
        <w:rPr>
          <w:rStyle w:val="a7"/>
          <w:rFonts w:cs="Arial"/>
          <w:rtl/>
        </w:rPr>
        <w:footnoteReference w:id="2626"/>
      </w:r>
      <w:r w:rsidRPr="00C347B4">
        <w:rPr>
          <w:rFonts w:cs="Arial" w:hint="cs"/>
          <w:sz w:val="16"/>
          <w:szCs w:val="16"/>
          <w:rtl/>
        </w:rPr>
        <w:t xml:space="preserve"> (ל' הרמב"ם)</w:t>
      </w:r>
      <w:r w:rsidRPr="00C347B4">
        <w:rPr>
          <w:rFonts w:cs="Arial" w:hint="cs"/>
          <w:rtl/>
        </w:rPr>
        <w:t>.</w:t>
      </w:r>
      <w:r w:rsidRPr="00C347B4">
        <w:rPr>
          <w:rFonts w:cs="Arial"/>
          <w:rtl/>
        </w:rPr>
        <w:t xml:space="preserve"> וכל אלו הדברים אסרו משום חתנות</w:t>
      </w:r>
      <w:r w:rsidRPr="00C347B4">
        <w:rPr>
          <w:rFonts w:cs="Arial" w:hint="cs"/>
          <w:rtl/>
        </w:rPr>
        <w:t>,</w:t>
      </w:r>
      <w:r w:rsidRPr="00C347B4">
        <w:rPr>
          <w:rFonts w:cs="Arial"/>
          <w:rtl/>
        </w:rPr>
        <w:t xml:space="preserve"> פי</w:t>
      </w:r>
      <w:r w:rsidRPr="00C347B4">
        <w:rPr>
          <w:rFonts w:cs="Arial" w:hint="cs"/>
          <w:rtl/>
        </w:rPr>
        <w:t>רוש</w:t>
      </w:r>
      <w:r w:rsidRPr="00C347B4">
        <w:rPr>
          <w:rFonts w:cs="Arial"/>
          <w:rtl/>
        </w:rPr>
        <w:t xml:space="preserve"> שלא יבא להתחתן בהן</w:t>
      </w:r>
      <w:r w:rsidRPr="00C347B4">
        <w:rPr>
          <w:rFonts w:cs="Arial" w:hint="cs"/>
          <w:rtl/>
        </w:rPr>
        <w:t>,</w:t>
      </w:r>
      <w:r w:rsidRPr="00C347B4">
        <w:rPr>
          <w:rFonts w:cs="Arial"/>
          <w:rtl/>
        </w:rPr>
        <w:t xml:space="preserve"> שכל אלו מושכין לב האדם ואם יתקרב אליהם באחד מאלו יבא להתחתן בם</w:t>
      </w:r>
      <w:r w:rsidRPr="00C347B4">
        <w:rPr>
          <w:rFonts w:cs="Arial" w:hint="cs"/>
          <w:sz w:val="16"/>
          <w:szCs w:val="16"/>
          <w:rtl/>
        </w:rPr>
        <w:t xml:space="preserve"> (ל' הטור)</w:t>
      </w:r>
      <w:r w:rsidRPr="00C347B4">
        <w:rPr>
          <w:rFonts w:cs="Arial" w:hint="cs"/>
          <w:rtl/>
        </w:rPr>
        <w:t>.</w:t>
      </w:r>
    </w:p>
    <w:p w14:paraId="18714F85" w14:textId="77777777" w:rsidR="002C39F4" w:rsidRDefault="002C39F4" w:rsidP="002C39F4">
      <w:pPr>
        <w:rPr>
          <w:rFonts w:cs="Arial"/>
          <w:rtl/>
        </w:rPr>
      </w:pPr>
      <w:r w:rsidRPr="00D551CC">
        <w:rPr>
          <w:rFonts w:cs="Arial" w:hint="cs"/>
          <w:u w:val="single"/>
          <w:rtl/>
        </w:rPr>
        <w:t xml:space="preserve">פת </w:t>
      </w:r>
      <w:r>
        <w:rPr>
          <w:rFonts w:cs="Arial" w:hint="cs"/>
          <w:u w:val="single"/>
          <w:rtl/>
        </w:rPr>
        <w:t>גוי שאינה מחמשת מיני דגן</w:t>
      </w:r>
      <w:r w:rsidRPr="00D551CC">
        <w:rPr>
          <w:rFonts w:cs="Arial" w:hint="cs"/>
          <w:u w:val="single"/>
          <w:rtl/>
        </w:rPr>
        <w:t>:</w:t>
      </w:r>
    </w:p>
    <w:p w14:paraId="4E046533" w14:textId="77777777" w:rsidR="002C39F4" w:rsidRPr="00C347B4" w:rsidRDefault="002C39F4" w:rsidP="0032102C">
      <w:pPr>
        <w:pStyle w:val="a8"/>
        <w:numPr>
          <w:ilvl w:val="0"/>
          <w:numId w:val="267"/>
        </w:numPr>
        <w:rPr>
          <w:rFonts w:cs="Arial"/>
        </w:rPr>
      </w:pPr>
      <w:r w:rsidRPr="00C347B4">
        <w:rPr>
          <w:rFonts w:cs="Arial"/>
          <w:rtl/>
        </w:rPr>
        <w:t>רא"ש</w:t>
      </w:r>
      <w:r w:rsidRPr="00C347B4">
        <w:rPr>
          <w:rFonts w:cs="Arial" w:hint="cs"/>
          <w:rtl/>
        </w:rPr>
        <w:t xml:space="preserve"> </w:t>
      </w:r>
      <w:r w:rsidRPr="00C347B4">
        <w:rPr>
          <w:rFonts w:cs="Arial"/>
          <w:sz w:val="16"/>
          <w:szCs w:val="16"/>
          <w:rtl/>
        </w:rPr>
        <w:t>(</w:t>
      </w:r>
      <w:r w:rsidRPr="00C347B4">
        <w:rPr>
          <w:rFonts w:cs="Arial" w:hint="cs"/>
          <w:sz w:val="16"/>
          <w:szCs w:val="16"/>
          <w:rtl/>
        </w:rPr>
        <w:t xml:space="preserve">כלל יט </w:t>
      </w:r>
      <w:r w:rsidRPr="00C347B4">
        <w:rPr>
          <w:rFonts w:cs="Arial"/>
          <w:sz w:val="16"/>
          <w:szCs w:val="16"/>
          <w:rtl/>
        </w:rPr>
        <w:t>סי' כא</w:t>
      </w:r>
      <w:r w:rsidRPr="00C347B4">
        <w:rPr>
          <w:rFonts w:cs="Arial" w:hint="cs"/>
          <w:sz w:val="16"/>
          <w:szCs w:val="16"/>
          <w:rtl/>
        </w:rPr>
        <w:t>, הביאו הטור</w:t>
      </w:r>
      <w:r w:rsidRPr="00C347B4">
        <w:rPr>
          <w:rFonts w:cs="Arial"/>
          <w:sz w:val="16"/>
          <w:szCs w:val="16"/>
          <w:rtl/>
        </w:rPr>
        <w:t>)</w:t>
      </w:r>
      <w:r w:rsidRPr="00C347B4">
        <w:rPr>
          <w:rFonts w:cs="Arial" w:hint="cs"/>
          <w:rtl/>
        </w:rPr>
        <w:t xml:space="preserve">- </w:t>
      </w:r>
      <w:r w:rsidRPr="00C347B4">
        <w:rPr>
          <w:rFonts w:cs="Arial"/>
          <w:rtl/>
        </w:rPr>
        <w:t>לא אסרו אלא פת חטים ושעורין וכוסמין ושבולת שועל ושיפון אבל של קטנית ושל אורז ודוחן אינו בכלל פת סתם שאסרו</w:t>
      </w:r>
      <w:r w:rsidRPr="00C347B4">
        <w:rPr>
          <w:rFonts w:cs="Arial" w:hint="cs"/>
          <w:sz w:val="16"/>
          <w:szCs w:val="16"/>
          <w:rtl/>
        </w:rPr>
        <w:t xml:space="preserve"> (ל' הטור)</w:t>
      </w:r>
      <w:r w:rsidRPr="00C347B4">
        <w:rPr>
          <w:rFonts w:cs="Arial" w:hint="cs"/>
          <w:rtl/>
        </w:rPr>
        <w:t>.</w:t>
      </w:r>
      <w:r>
        <w:rPr>
          <w:rFonts w:hint="cs"/>
          <w:rtl/>
        </w:rPr>
        <w:t xml:space="preserve"> </w:t>
      </w:r>
      <w:r w:rsidRPr="00C347B4">
        <w:rPr>
          <w:rFonts w:hint="cs"/>
          <w:color w:val="E36C0A" w:themeColor="accent6" w:themeShade="BF"/>
          <w:rtl/>
        </w:rPr>
        <w:t>(וכ"פ בשו"ע)</w:t>
      </w:r>
    </w:p>
    <w:p w14:paraId="19AB4519" w14:textId="77777777" w:rsidR="002C39F4" w:rsidRPr="00A62F22" w:rsidRDefault="002C39F4" w:rsidP="002C39F4">
      <w:pPr>
        <w:ind w:left="360"/>
        <w:rPr>
          <w:u w:val="dotted"/>
        </w:rPr>
      </w:pPr>
      <w:r>
        <w:rPr>
          <w:rFonts w:hint="cs"/>
          <w:u w:val="dotted"/>
          <w:rtl/>
        </w:rPr>
        <w:t xml:space="preserve">האם פת זו אסורה מכל מקום משום </w:t>
      </w:r>
      <w:r w:rsidRPr="00C20B1B">
        <w:rPr>
          <w:rFonts w:hint="cs"/>
          <w:b/>
          <w:bCs/>
          <w:u w:val="dotted"/>
          <w:rtl/>
        </w:rPr>
        <w:t>בישולי</w:t>
      </w:r>
      <w:r>
        <w:rPr>
          <w:rFonts w:hint="cs"/>
          <w:u w:val="dotted"/>
          <w:rtl/>
        </w:rPr>
        <w:t xml:space="preserve"> גוים</w:t>
      </w:r>
      <w:r w:rsidRPr="00A62F22">
        <w:rPr>
          <w:rFonts w:hint="cs"/>
          <w:u w:val="dotted"/>
          <w:rtl/>
        </w:rPr>
        <w:t>:</w:t>
      </w:r>
    </w:p>
    <w:p w14:paraId="5A869551" w14:textId="77777777" w:rsidR="002C39F4" w:rsidRPr="00C347B4" w:rsidRDefault="002C39F4" w:rsidP="0032102C">
      <w:pPr>
        <w:pStyle w:val="a8"/>
        <w:numPr>
          <w:ilvl w:val="0"/>
          <w:numId w:val="267"/>
        </w:numPr>
        <w:rPr>
          <w:rFonts w:cs="Arial"/>
        </w:rPr>
      </w:pPr>
      <w:r w:rsidRPr="00C347B4">
        <w:rPr>
          <w:rFonts w:cs="Arial" w:hint="cs"/>
          <w:rtl/>
        </w:rPr>
        <w:t>(רא"ש</w:t>
      </w:r>
      <w:r w:rsidRPr="00C347B4">
        <w:rPr>
          <w:rFonts w:cs="Arial" w:hint="cs"/>
          <w:sz w:val="16"/>
          <w:szCs w:val="16"/>
          <w:rtl/>
        </w:rPr>
        <w:t xml:space="preserve"> כ"כ הטור בשמו</w:t>
      </w:r>
      <w:r w:rsidRPr="00C347B4">
        <w:rPr>
          <w:rFonts w:cs="Arial" w:hint="cs"/>
          <w:rtl/>
        </w:rPr>
        <w:t>) טור</w:t>
      </w:r>
      <w:r w:rsidRPr="00C347B4">
        <w:rPr>
          <w:rFonts w:cs="Arial"/>
          <w:rtl/>
        </w:rPr>
        <w:t xml:space="preserve"> </w:t>
      </w:r>
      <w:r w:rsidRPr="00C347B4">
        <w:rPr>
          <w:rFonts w:cs="Arial" w:hint="cs"/>
          <w:rtl/>
        </w:rPr>
        <w:t>ו</w:t>
      </w:r>
      <w:r w:rsidRPr="00C347B4">
        <w:rPr>
          <w:rFonts w:cs="Arial"/>
          <w:rtl/>
        </w:rPr>
        <w:t>ר</w:t>
      </w:r>
      <w:r w:rsidRPr="00C347B4">
        <w:rPr>
          <w:rFonts w:cs="Arial" w:hint="cs"/>
          <w:rtl/>
        </w:rPr>
        <w:t>י"ו</w:t>
      </w:r>
      <w:r>
        <w:rPr>
          <w:rStyle w:val="a7"/>
          <w:rFonts w:cs="Arial"/>
          <w:rtl/>
        </w:rPr>
        <w:footnoteReference w:id="2627"/>
      </w:r>
      <w:r w:rsidRPr="00C347B4">
        <w:rPr>
          <w:rFonts w:cs="Arial"/>
          <w:rtl/>
        </w:rPr>
        <w:t xml:space="preserve"> </w:t>
      </w:r>
      <w:r w:rsidRPr="00C347B4">
        <w:rPr>
          <w:rFonts w:cs="Arial"/>
          <w:sz w:val="16"/>
          <w:szCs w:val="16"/>
          <w:rtl/>
        </w:rPr>
        <w:t>(ני"ז ח"ז קסא:)</w:t>
      </w:r>
      <w:r w:rsidRPr="00C347B4">
        <w:rPr>
          <w:rFonts w:cs="Arial" w:hint="cs"/>
          <w:rtl/>
        </w:rPr>
        <w:t xml:space="preserve">- </w:t>
      </w:r>
      <w:r w:rsidRPr="00C347B4">
        <w:rPr>
          <w:rFonts w:cs="Arial"/>
          <w:rtl/>
        </w:rPr>
        <w:t>אינו חשוב להיות בו משום בישולי גוים</w:t>
      </w:r>
      <w:r w:rsidRPr="00C347B4">
        <w:rPr>
          <w:rFonts w:cs="Arial" w:hint="cs"/>
          <w:sz w:val="16"/>
          <w:szCs w:val="16"/>
          <w:rtl/>
        </w:rPr>
        <w:t xml:space="preserve"> (ל' הטור)</w:t>
      </w:r>
      <w:r w:rsidRPr="00C347B4">
        <w:rPr>
          <w:rFonts w:cs="Arial"/>
          <w:rtl/>
        </w:rPr>
        <w:t>.</w:t>
      </w:r>
    </w:p>
    <w:p w14:paraId="781B17F8" w14:textId="77777777" w:rsidR="002C39F4" w:rsidRPr="00C347B4" w:rsidRDefault="002C39F4" w:rsidP="0032102C">
      <w:pPr>
        <w:pStyle w:val="a8"/>
        <w:numPr>
          <w:ilvl w:val="0"/>
          <w:numId w:val="267"/>
        </w:numPr>
        <w:rPr>
          <w:rFonts w:cs="Arial"/>
        </w:rPr>
      </w:pPr>
      <w:r w:rsidRPr="00C347B4">
        <w:rPr>
          <w:rFonts w:cs="Arial"/>
          <w:rtl/>
        </w:rPr>
        <w:t xml:space="preserve">רא"ש </w:t>
      </w:r>
      <w:r w:rsidRPr="00C347B4">
        <w:rPr>
          <w:rFonts w:cs="Arial"/>
          <w:sz w:val="16"/>
          <w:szCs w:val="16"/>
          <w:rtl/>
        </w:rPr>
        <w:t>(כלל יט סי</w:t>
      </w:r>
      <w:r w:rsidRPr="00C347B4">
        <w:rPr>
          <w:rFonts w:cs="Arial" w:hint="cs"/>
          <w:sz w:val="16"/>
          <w:szCs w:val="16"/>
          <w:rtl/>
        </w:rPr>
        <w:t>'</w:t>
      </w:r>
      <w:r w:rsidRPr="00C347B4">
        <w:rPr>
          <w:rFonts w:cs="Arial"/>
          <w:sz w:val="16"/>
          <w:szCs w:val="16"/>
          <w:rtl/>
        </w:rPr>
        <w:t xml:space="preserve"> כא)</w:t>
      </w:r>
      <w:r w:rsidRPr="00C347B4">
        <w:rPr>
          <w:rFonts w:cs="Arial" w:hint="cs"/>
          <w:rtl/>
        </w:rPr>
        <w:t>-</w:t>
      </w:r>
      <w:r w:rsidRPr="00C347B4">
        <w:rPr>
          <w:rFonts w:cs="Arial"/>
          <w:rtl/>
        </w:rPr>
        <w:t xml:space="preserve"> דע כי אין בו משום פת של גוים שאינו בכלל פת סתם שאסרו חכמים משום חתנות דאינו חשיב ואפילו בבישולי גוים אם אינו עולה על שלחן מלכים מותר</w:t>
      </w:r>
      <w:r w:rsidRPr="00C347B4">
        <w:rPr>
          <w:rFonts w:cs="Arial" w:hint="cs"/>
          <w:sz w:val="16"/>
          <w:szCs w:val="16"/>
          <w:rtl/>
        </w:rPr>
        <w:t xml:space="preserve"> (ל' הרא"ש)</w:t>
      </w:r>
      <w:r>
        <w:rPr>
          <w:rStyle w:val="a7"/>
          <w:rFonts w:cs="Arial"/>
          <w:rtl/>
        </w:rPr>
        <w:footnoteReference w:id="2628"/>
      </w:r>
      <w:r>
        <w:rPr>
          <w:rFonts w:hint="cs"/>
          <w:rtl/>
        </w:rPr>
        <w:t>.</w:t>
      </w:r>
      <w:r w:rsidRPr="00C347B4">
        <w:rPr>
          <w:rFonts w:hint="cs"/>
          <w:color w:val="00B0F0"/>
          <w:rtl/>
        </w:rPr>
        <w:t xml:space="preserve"> (וכ"פ הרמ"א</w:t>
      </w:r>
      <w:r w:rsidRPr="003D122E">
        <w:rPr>
          <w:rStyle w:val="a7"/>
          <w:color w:val="000000" w:themeColor="text1"/>
          <w:rtl/>
        </w:rPr>
        <w:footnoteReference w:id="2629"/>
      </w:r>
      <w:r w:rsidRPr="00C347B4">
        <w:rPr>
          <w:rFonts w:hint="cs"/>
          <w:color w:val="00B0F0"/>
          <w:rtl/>
        </w:rPr>
        <w:t>)</w:t>
      </w:r>
    </w:p>
    <w:p w14:paraId="4273733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218C599" w14:textId="77777777" w:rsidR="002C39F4" w:rsidRDefault="002C39F4" w:rsidP="002C39F4">
      <w:pPr>
        <w:rPr>
          <w:rFonts w:asciiTheme="minorBidi" w:hAnsiTheme="minorBidi"/>
          <w:rtl/>
        </w:rPr>
      </w:pPr>
      <w:r w:rsidRPr="003024E5">
        <w:rPr>
          <w:rFonts w:asciiTheme="minorBidi" w:hAnsiTheme="minorBidi"/>
          <w:rtl/>
        </w:rPr>
        <w:t>אסרו חכמים לאכול פת של ע</w:t>
      </w:r>
      <w:r>
        <w:rPr>
          <w:rFonts w:asciiTheme="minorBidi" w:hAnsiTheme="minorBidi"/>
          <w:rtl/>
        </w:rPr>
        <w:t xml:space="preserve">ממים </w:t>
      </w:r>
      <w:r>
        <w:rPr>
          <w:rFonts w:asciiTheme="minorBidi" w:hAnsiTheme="minorBidi" w:hint="cs"/>
          <w:rtl/>
        </w:rPr>
        <w:t>[עובדי עבודה זרה]</w:t>
      </w:r>
      <w:r>
        <w:rPr>
          <w:rStyle w:val="a7"/>
          <w:rFonts w:asciiTheme="minorBidi" w:hAnsiTheme="minorBidi"/>
          <w:rtl/>
        </w:rPr>
        <w:footnoteReference w:id="2630"/>
      </w:r>
      <w:r>
        <w:rPr>
          <w:rFonts w:asciiTheme="minorBidi" w:hAnsiTheme="minorBidi"/>
          <w:rtl/>
        </w:rPr>
        <w:t>, משום חתנות</w:t>
      </w:r>
      <w:r>
        <w:rPr>
          <w:rStyle w:val="a7"/>
          <w:rFonts w:asciiTheme="minorBidi" w:hAnsiTheme="minorBidi"/>
          <w:rtl/>
        </w:rPr>
        <w:footnoteReference w:id="2631"/>
      </w:r>
      <w:r>
        <w:rPr>
          <w:rFonts w:asciiTheme="minorBidi" w:hAnsiTheme="minorBidi"/>
          <w:rtl/>
        </w:rPr>
        <w:t xml:space="preserve">. </w:t>
      </w:r>
      <w:r w:rsidRPr="0050419D">
        <w:rPr>
          <w:rFonts w:asciiTheme="minorBidi" w:hAnsiTheme="minorBidi" w:hint="cs"/>
          <w:sz w:val="18"/>
          <w:szCs w:val="18"/>
          <w:rtl/>
        </w:rPr>
        <w:t xml:space="preserve">[הגה] </w:t>
      </w:r>
      <w:r w:rsidRPr="0050419D">
        <w:rPr>
          <w:rFonts w:asciiTheme="minorBidi" w:hAnsiTheme="minorBidi"/>
          <w:sz w:val="18"/>
          <w:szCs w:val="18"/>
          <w:rtl/>
        </w:rPr>
        <w:t>ואפי</w:t>
      </w:r>
      <w:r>
        <w:rPr>
          <w:rFonts w:asciiTheme="minorBidi" w:hAnsiTheme="minorBidi"/>
          <w:sz w:val="18"/>
          <w:szCs w:val="18"/>
          <w:rtl/>
        </w:rPr>
        <w:t>לו במקום דליכא משום חתנות</w:t>
      </w:r>
      <w:r>
        <w:rPr>
          <w:rStyle w:val="a7"/>
          <w:rFonts w:asciiTheme="minorBidi" w:hAnsiTheme="minorBidi"/>
          <w:sz w:val="18"/>
          <w:szCs w:val="18"/>
          <w:rtl/>
        </w:rPr>
        <w:footnoteReference w:id="2632"/>
      </w:r>
      <w:r>
        <w:rPr>
          <w:rFonts w:asciiTheme="minorBidi" w:hAnsiTheme="minorBidi" w:hint="cs"/>
          <w:sz w:val="18"/>
          <w:szCs w:val="18"/>
          <w:rtl/>
        </w:rPr>
        <w:t xml:space="preserve"> </w:t>
      </w:r>
      <w:r w:rsidRPr="0050419D">
        <w:rPr>
          <w:rFonts w:asciiTheme="minorBidi" w:hAnsiTheme="minorBidi"/>
          <w:sz w:val="18"/>
          <w:szCs w:val="18"/>
          <w:rtl/>
        </w:rPr>
        <w:t>אסור</w:t>
      </w:r>
      <w:r>
        <w:rPr>
          <w:rFonts w:asciiTheme="minorBidi" w:hAnsiTheme="minorBidi"/>
          <w:sz w:val="18"/>
          <w:szCs w:val="18"/>
          <w:rtl/>
        </w:rPr>
        <w:t xml:space="preserve"> </w:t>
      </w:r>
      <w:r w:rsidRPr="007C2C9E">
        <w:rPr>
          <w:rFonts w:asciiTheme="minorBidi" w:hAnsiTheme="minorBidi"/>
          <w:sz w:val="16"/>
          <w:szCs w:val="16"/>
          <w:rtl/>
        </w:rPr>
        <w:t>(רשב"א סי</w:t>
      </w:r>
      <w:r w:rsidRPr="007C2C9E">
        <w:rPr>
          <w:rFonts w:asciiTheme="minorBidi" w:hAnsiTheme="minorBidi" w:hint="cs"/>
          <w:sz w:val="16"/>
          <w:szCs w:val="16"/>
          <w:rtl/>
        </w:rPr>
        <w:t>'</w:t>
      </w:r>
      <w:r w:rsidRPr="007C2C9E">
        <w:rPr>
          <w:rFonts w:asciiTheme="minorBidi" w:hAnsiTheme="minorBidi"/>
          <w:sz w:val="16"/>
          <w:szCs w:val="16"/>
          <w:rtl/>
        </w:rPr>
        <w:t xml:space="preserve"> רמח)</w:t>
      </w:r>
      <w:r w:rsidRPr="003024E5">
        <w:rPr>
          <w:rFonts w:asciiTheme="minorBidi" w:hAnsiTheme="minorBidi"/>
          <w:rtl/>
        </w:rPr>
        <w:t xml:space="preserve">. ולא אסרו אלא פת של חמשת מיני דגן, אבל פת של קטניות ושל אורז ודוחן, אינו בכלל פת סתם שאסרו. </w:t>
      </w:r>
      <w:r w:rsidRPr="0050419D">
        <w:rPr>
          <w:rFonts w:asciiTheme="minorBidi" w:hAnsiTheme="minorBidi"/>
          <w:sz w:val="18"/>
          <w:szCs w:val="18"/>
          <w:rtl/>
        </w:rPr>
        <w:t xml:space="preserve">הגה: וגם אינו אסור משום בישולי </w:t>
      </w:r>
      <w:r>
        <w:rPr>
          <w:rFonts w:asciiTheme="minorBidi" w:hAnsiTheme="minorBidi"/>
          <w:sz w:val="18"/>
          <w:szCs w:val="18"/>
          <w:rtl/>
        </w:rPr>
        <w:t>גוים</w:t>
      </w:r>
      <w:r w:rsidRPr="0050419D">
        <w:rPr>
          <w:rFonts w:asciiTheme="minorBidi" w:hAnsiTheme="minorBidi"/>
          <w:sz w:val="18"/>
          <w:szCs w:val="18"/>
          <w:rtl/>
        </w:rPr>
        <w:t xml:space="preserve"> אם אינו עולה על שלחן מלכים</w:t>
      </w:r>
      <w:r w:rsidRPr="007C2C9E">
        <w:rPr>
          <w:rFonts w:asciiTheme="minorBidi" w:hAnsiTheme="minorBidi"/>
          <w:sz w:val="16"/>
          <w:szCs w:val="16"/>
          <w:rtl/>
        </w:rPr>
        <w:t xml:space="preserve"> (טור וב"י בשם תשו' הרא"ש)</w:t>
      </w:r>
      <w:r w:rsidRPr="0050419D">
        <w:rPr>
          <w:rFonts w:asciiTheme="minorBidi" w:hAnsiTheme="minorBidi"/>
          <w:sz w:val="18"/>
          <w:szCs w:val="18"/>
          <w:rtl/>
        </w:rPr>
        <w:t>.</w:t>
      </w:r>
    </w:p>
    <w:p w14:paraId="6B6161A3" w14:textId="77777777" w:rsidR="002C39F4" w:rsidRDefault="002C39F4" w:rsidP="002C39F4">
      <w:pPr>
        <w:rPr>
          <w:rFonts w:asciiTheme="minorBidi" w:hAnsiTheme="minorBidi"/>
          <w:rtl/>
        </w:rPr>
      </w:pPr>
      <w:r w:rsidRPr="00B665E9">
        <w:rPr>
          <w:rFonts w:asciiTheme="minorBidi" w:hAnsiTheme="minorBidi" w:hint="cs"/>
          <w:u w:val="single"/>
          <w:rtl/>
        </w:rPr>
        <w:t>פת של מומר:</w:t>
      </w:r>
      <w:r w:rsidRPr="00B665E9">
        <w:rPr>
          <w:rFonts w:asciiTheme="minorBidi" w:hAnsiTheme="minorBidi" w:hint="cs"/>
          <w:sz w:val="16"/>
          <w:szCs w:val="16"/>
          <w:rtl/>
        </w:rPr>
        <w:t xml:space="preserve"> (פת"ש סק"א)</w:t>
      </w:r>
    </w:p>
    <w:p w14:paraId="11EB8901" w14:textId="77777777" w:rsidR="002C39F4" w:rsidRDefault="002C39F4" w:rsidP="0032102C">
      <w:pPr>
        <w:pStyle w:val="a8"/>
        <w:numPr>
          <w:ilvl w:val="0"/>
          <w:numId w:val="295"/>
        </w:numPr>
        <w:rPr>
          <w:rFonts w:asciiTheme="minorBidi" w:hAnsiTheme="minorBidi"/>
        </w:rPr>
      </w:pPr>
      <w:r w:rsidRPr="00B665E9">
        <w:rPr>
          <w:rFonts w:asciiTheme="minorBidi" w:hAnsiTheme="minorBidi" w:cs="Arial"/>
          <w:rtl/>
        </w:rPr>
        <w:t>תפא</w:t>
      </w:r>
      <w:r>
        <w:rPr>
          <w:rFonts w:asciiTheme="minorBidi" w:hAnsiTheme="minorBidi" w:cs="Arial" w:hint="cs"/>
          <w:rtl/>
        </w:rPr>
        <w:t>"ל</w:t>
      </w:r>
      <w:r w:rsidRPr="00B665E9">
        <w:rPr>
          <w:rFonts w:asciiTheme="minorBidi" w:hAnsiTheme="minorBidi" w:cs="Arial"/>
          <w:sz w:val="16"/>
          <w:szCs w:val="16"/>
          <w:rtl/>
        </w:rPr>
        <w:t xml:space="preserve"> </w:t>
      </w:r>
      <w:r w:rsidRPr="00B665E9">
        <w:rPr>
          <w:rFonts w:asciiTheme="minorBidi" w:hAnsiTheme="minorBidi" w:cs="Arial" w:hint="cs"/>
          <w:sz w:val="16"/>
          <w:szCs w:val="16"/>
          <w:rtl/>
        </w:rPr>
        <w:t>(</w:t>
      </w:r>
      <w:r w:rsidRPr="00B665E9">
        <w:rPr>
          <w:rFonts w:asciiTheme="minorBidi" w:hAnsiTheme="minorBidi" w:cs="Arial"/>
          <w:sz w:val="16"/>
          <w:szCs w:val="16"/>
          <w:rtl/>
        </w:rPr>
        <w:t>סי' קיג ס"ט</w:t>
      </w:r>
      <w:r w:rsidRPr="00B665E9">
        <w:rPr>
          <w:rFonts w:asciiTheme="minorBidi" w:hAnsiTheme="minorBidi" w:cs="Arial" w:hint="cs"/>
          <w:sz w:val="16"/>
          <w:szCs w:val="16"/>
          <w:rtl/>
        </w:rPr>
        <w:t>)</w:t>
      </w:r>
      <w:r w:rsidRPr="00B665E9">
        <w:rPr>
          <w:rFonts w:asciiTheme="minorBidi" w:hAnsiTheme="minorBidi" w:cs="Arial" w:hint="cs"/>
          <w:rtl/>
        </w:rPr>
        <w:t>-</w:t>
      </w:r>
      <w:r w:rsidRPr="00B665E9">
        <w:rPr>
          <w:rFonts w:asciiTheme="minorBidi" w:hAnsiTheme="minorBidi" w:cs="Arial"/>
          <w:rtl/>
        </w:rPr>
        <w:t xml:space="preserve"> פת של מומר שרי דמשום חתנות ליכא דאע"פ שחטא ישראל הוא ומותר לישא בתו</w:t>
      </w:r>
      <w:r>
        <w:rPr>
          <w:rStyle w:val="a7"/>
          <w:rFonts w:asciiTheme="minorBidi" w:hAnsiTheme="minorBidi" w:cs="Arial"/>
          <w:rtl/>
        </w:rPr>
        <w:footnoteReference w:id="2633"/>
      </w:r>
      <w:r w:rsidRPr="00B665E9">
        <w:rPr>
          <w:rFonts w:asciiTheme="minorBidi" w:hAnsiTheme="minorBidi" w:cs="Arial" w:hint="cs"/>
          <w:rtl/>
        </w:rPr>
        <w:t>.</w:t>
      </w:r>
    </w:p>
    <w:p w14:paraId="13F3964D" w14:textId="77777777" w:rsidR="002C39F4" w:rsidRPr="00B665E9" w:rsidRDefault="002C39F4" w:rsidP="002C39F4">
      <w:pPr>
        <w:rPr>
          <w:rFonts w:asciiTheme="minorBidi" w:hAnsiTheme="minorBidi"/>
          <w:rtl/>
        </w:rPr>
      </w:pPr>
    </w:p>
    <w:p w14:paraId="02D9BE86"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מנהג היתר בפת של גוים.</w:t>
      </w:r>
    </w:p>
    <w:p w14:paraId="766ED725" w14:textId="77777777" w:rsidR="002C39F4" w:rsidRDefault="002C39F4" w:rsidP="002C39F4">
      <w:pPr>
        <w:rPr>
          <w:rFonts w:cs="Arial"/>
          <w:rtl/>
        </w:rPr>
      </w:pPr>
      <w:r w:rsidRPr="00CC1BFF">
        <w:rPr>
          <w:rFonts w:cs="Arial"/>
          <w:b/>
          <w:bCs/>
          <w:rtl/>
        </w:rPr>
        <w:t xml:space="preserve">ירושלמי </w:t>
      </w:r>
      <w:r w:rsidRPr="00CC1BFF">
        <w:rPr>
          <w:rFonts w:cs="Arial"/>
          <w:b/>
          <w:bCs/>
          <w:sz w:val="16"/>
          <w:szCs w:val="16"/>
          <w:rtl/>
        </w:rPr>
        <w:t>(וילנא)</w:t>
      </w:r>
      <w:r w:rsidRPr="00CC1BFF">
        <w:rPr>
          <w:rFonts w:cs="Arial"/>
          <w:b/>
          <w:bCs/>
          <w:rtl/>
        </w:rPr>
        <w:t xml:space="preserve"> </w:t>
      </w:r>
      <w:r>
        <w:rPr>
          <w:rFonts w:cs="Arial" w:hint="cs"/>
          <w:b/>
          <w:bCs/>
          <w:rtl/>
        </w:rPr>
        <w:t>ע"ז</w:t>
      </w:r>
      <w:r w:rsidRPr="00CC1BFF">
        <w:rPr>
          <w:rFonts w:cs="Arial"/>
          <w:b/>
          <w:bCs/>
          <w:rtl/>
        </w:rPr>
        <w:t xml:space="preserve"> פ</w:t>
      </w:r>
      <w:r w:rsidRPr="00CC1BFF">
        <w:rPr>
          <w:rFonts w:cs="Arial" w:hint="cs"/>
          <w:b/>
          <w:bCs/>
          <w:rtl/>
        </w:rPr>
        <w:t>"</w:t>
      </w:r>
      <w:r>
        <w:rPr>
          <w:rFonts w:cs="Arial" w:hint="cs"/>
          <w:b/>
          <w:bCs/>
          <w:rtl/>
        </w:rPr>
        <w:t>ב</w:t>
      </w:r>
      <w:r w:rsidRPr="00CC1BFF">
        <w:rPr>
          <w:rFonts w:cs="Arial"/>
          <w:b/>
          <w:bCs/>
          <w:rtl/>
        </w:rPr>
        <w:t xml:space="preserve"> ה</w:t>
      </w:r>
      <w:r w:rsidRPr="00CC1BFF">
        <w:rPr>
          <w:rFonts w:cs="Arial" w:hint="cs"/>
          <w:b/>
          <w:bCs/>
          <w:rtl/>
        </w:rPr>
        <w:t>"</w:t>
      </w:r>
      <w:r>
        <w:rPr>
          <w:rFonts w:cs="Arial" w:hint="cs"/>
          <w:b/>
          <w:bCs/>
          <w:rtl/>
        </w:rPr>
        <w:t>ח</w:t>
      </w:r>
      <w:r>
        <w:rPr>
          <w:rStyle w:val="a7"/>
          <w:rFonts w:cs="Arial"/>
          <w:b/>
          <w:bCs/>
          <w:rtl/>
        </w:rPr>
        <w:footnoteReference w:id="2634"/>
      </w:r>
      <w:r w:rsidRPr="00CC1BFF">
        <w:rPr>
          <w:rFonts w:cs="Arial" w:hint="cs"/>
          <w:b/>
          <w:bCs/>
          <w:rtl/>
        </w:rPr>
        <w:t>:</w:t>
      </w:r>
      <w:r>
        <w:rPr>
          <w:rFonts w:cs="Arial" w:hint="cs"/>
          <w:rtl/>
        </w:rPr>
        <w:t xml:space="preserve"> </w:t>
      </w:r>
      <w:r w:rsidRPr="00CC1BFF">
        <w:rPr>
          <w:rFonts w:cs="Arial"/>
          <w:rtl/>
        </w:rPr>
        <w:t>פיתן</w:t>
      </w:r>
      <w:r>
        <w:rPr>
          <w:rFonts w:cs="Arial" w:hint="cs"/>
          <w:rtl/>
        </w:rPr>
        <w:t>,</w:t>
      </w:r>
      <w:r w:rsidRPr="00CC1BFF">
        <w:rPr>
          <w:rFonts w:cs="Arial"/>
          <w:rtl/>
        </w:rPr>
        <w:t xml:space="preserve"> </w:t>
      </w:r>
      <w:r w:rsidRPr="00BE259B">
        <w:rPr>
          <w:rFonts w:cs="Arial"/>
          <w:u w:val="single"/>
          <w:rtl/>
        </w:rPr>
        <w:t>רבי יעקב בר אחא בשם רבי יונתן</w:t>
      </w:r>
      <w:r>
        <w:rPr>
          <w:rFonts w:cs="Arial" w:hint="cs"/>
          <w:rtl/>
        </w:rPr>
        <w:t>:</w:t>
      </w:r>
      <w:r w:rsidRPr="00CC1BFF">
        <w:rPr>
          <w:rFonts w:cs="Arial"/>
          <w:rtl/>
        </w:rPr>
        <w:t xml:space="preserve"> פת מהלכות של עימעום היא</w:t>
      </w:r>
      <w:r>
        <w:rPr>
          <w:rFonts w:cs="Arial" w:hint="cs"/>
          <w:rtl/>
        </w:rPr>
        <w:t>.</w:t>
      </w:r>
      <w:r w:rsidRPr="00CC1BFF">
        <w:rPr>
          <w:rFonts w:cs="Arial"/>
          <w:rtl/>
        </w:rPr>
        <w:t xml:space="preserve"> כך אני אומר</w:t>
      </w:r>
      <w:r>
        <w:rPr>
          <w:rFonts w:cs="Arial" w:hint="cs"/>
          <w:rtl/>
        </w:rPr>
        <w:t>,</w:t>
      </w:r>
      <w:r w:rsidRPr="00CC1BFF">
        <w:rPr>
          <w:rFonts w:cs="Arial"/>
          <w:rtl/>
        </w:rPr>
        <w:t xml:space="preserve"> מקום שפת ישראל מצויה בדין הוא שתהא פת נ</w:t>
      </w:r>
      <w:r>
        <w:rPr>
          <w:rFonts w:cs="Arial"/>
          <w:rtl/>
        </w:rPr>
        <w:t>כרים אסורה ועימעמו עליה והתירוה</w:t>
      </w:r>
      <w:r>
        <w:rPr>
          <w:rFonts w:cs="Arial" w:hint="cs"/>
          <w:rtl/>
        </w:rPr>
        <w:t>,</w:t>
      </w:r>
      <w:r w:rsidRPr="00CC1BFF">
        <w:rPr>
          <w:rFonts w:cs="Arial"/>
          <w:rtl/>
        </w:rPr>
        <w:t xml:space="preserve"> או</w:t>
      </w:r>
      <w:r>
        <w:rPr>
          <w:rFonts w:cs="Arial" w:hint="cs"/>
          <w:rtl/>
        </w:rPr>
        <w:t>,</w:t>
      </w:r>
      <w:r w:rsidRPr="00CC1BFF">
        <w:rPr>
          <w:rFonts w:cs="Arial"/>
          <w:rtl/>
        </w:rPr>
        <w:t xml:space="preserve"> מקום שאין פת ישראל מצויה בדין הוא שתהא פת נכרים מותרת ועימעמו עליה ואסרוה. </w:t>
      </w:r>
      <w:r w:rsidRPr="00BE259B">
        <w:rPr>
          <w:rFonts w:cs="Arial"/>
          <w:u w:val="single"/>
          <w:rtl/>
        </w:rPr>
        <w:t>אמר רבי מנא</w:t>
      </w:r>
      <w:r>
        <w:rPr>
          <w:rFonts w:cs="Arial" w:hint="cs"/>
          <w:rtl/>
        </w:rPr>
        <w:t>:</w:t>
      </w:r>
      <w:r w:rsidRPr="00CC1BFF">
        <w:rPr>
          <w:rFonts w:cs="Arial"/>
          <w:rtl/>
        </w:rPr>
        <w:t xml:space="preserve"> וכי יש עימעום לאיסור</w:t>
      </w:r>
      <w:r>
        <w:rPr>
          <w:rFonts w:cs="Arial" w:hint="cs"/>
          <w:rtl/>
        </w:rPr>
        <w:t>.</w:t>
      </w:r>
      <w:r w:rsidRPr="00CC1BFF">
        <w:rPr>
          <w:rFonts w:cs="Arial"/>
          <w:rtl/>
        </w:rPr>
        <w:t xml:space="preserve"> ופת לא כתבשילי נכרים הוא</w:t>
      </w:r>
      <w:r>
        <w:rPr>
          <w:rFonts w:cs="Arial" w:hint="cs"/>
          <w:rtl/>
        </w:rPr>
        <w:t>.</w:t>
      </w:r>
      <w:r w:rsidRPr="00CC1BFF">
        <w:rPr>
          <w:rFonts w:cs="Arial"/>
          <w:rtl/>
        </w:rPr>
        <w:t xml:space="preserve"> כך אנו אומרים</w:t>
      </w:r>
      <w:r>
        <w:rPr>
          <w:rFonts w:cs="Arial" w:hint="cs"/>
          <w:rtl/>
        </w:rPr>
        <w:t>,</w:t>
      </w:r>
      <w:r w:rsidRPr="00CC1BFF">
        <w:rPr>
          <w:rFonts w:cs="Arial"/>
          <w:rtl/>
        </w:rPr>
        <w:t xml:space="preserve"> מקום שאין תבשילי ישראל מצוין בדין הוא שיהו תבשילי נכרים מותרים. אלא כיני</w:t>
      </w:r>
      <w:r>
        <w:rPr>
          <w:rFonts w:cs="Arial" w:hint="cs"/>
          <w:rtl/>
        </w:rPr>
        <w:t>,</w:t>
      </w:r>
      <w:r w:rsidRPr="00CC1BFF">
        <w:rPr>
          <w:rFonts w:cs="Arial"/>
          <w:rtl/>
        </w:rPr>
        <w:t xml:space="preserve"> מקום שאין פת ישראל מצויה בדין הוא שתהא פת נכרים אסורה ועי</w:t>
      </w:r>
      <w:r>
        <w:rPr>
          <w:rFonts w:cs="Arial"/>
          <w:rtl/>
        </w:rPr>
        <w:t>מעמו עליה והתירוה</w:t>
      </w:r>
      <w:r w:rsidRPr="00CC1BFF">
        <w:rPr>
          <w:rFonts w:cs="Arial"/>
          <w:rtl/>
        </w:rPr>
        <w:t xml:space="preserve"> מפני חיי נפש</w:t>
      </w:r>
      <w:r>
        <w:rPr>
          <w:rStyle w:val="a7"/>
          <w:rFonts w:cs="Arial"/>
          <w:rtl/>
        </w:rPr>
        <w:footnoteReference w:id="2635"/>
      </w:r>
      <w:r w:rsidRPr="00CC1BFF">
        <w:rPr>
          <w:rFonts w:cs="Arial"/>
          <w:rtl/>
        </w:rPr>
        <w:t xml:space="preserve">. </w:t>
      </w:r>
      <w:r w:rsidRPr="00BE259B">
        <w:rPr>
          <w:rFonts w:cs="Arial"/>
          <w:u w:val="single"/>
          <w:rtl/>
        </w:rPr>
        <w:t>רבנן דקיסרין בשם רבי יעקב בר אחא</w:t>
      </w:r>
      <w:r w:rsidRPr="00CC1BFF">
        <w:rPr>
          <w:rFonts w:cs="Arial"/>
          <w:rtl/>
        </w:rPr>
        <w:t xml:space="preserve"> כדברי מי שהוא מתיר ובלבד מן הפלטר</w:t>
      </w:r>
      <w:r>
        <w:rPr>
          <w:rFonts w:cs="Arial" w:hint="cs"/>
          <w:rtl/>
        </w:rPr>
        <w:t>,</w:t>
      </w:r>
      <w:r w:rsidRPr="00CC1BFF">
        <w:rPr>
          <w:rFonts w:cs="Arial"/>
          <w:rtl/>
        </w:rPr>
        <w:t xml:space="preserve"> ולא עבדין כן.</w:t>
      </w:r>
    </w:p>
    <w:p w14:paraId="154096B0" w14:textId="77777777" w:rsidR="002C39F4" w:rsidRDefault="002C39F4" w:rsidP="002C39F4">
      <w:pPr>
        <w:rPr>
          <w:rFonts w:cs="Arial"/>
          <w:rtl/>
        </w:rPr>
      </w:pPr>
      <w:r w:rsidRPr="00CC1BFF">
        <w:rPr>
          <w:rFonts w:cs="Arial"/>
          <w:b/>
          <w:bCs/>
          <w:rtl/>
        </w:rPr>
        <w:t xml:space="preserve">ירושלמי </w:t>
      </w:r>
      <w:r w:rsidRPr="00CC1BFF">
        <w:rPr>
          <w:rFonts w:cs="Arial"/>
          <w:b/>
          <w:bCs/>
          <w:sz w:val="16"/>
          <w:szCs w:val="16"/>
          <w:rtl/>
        </w:rPr>
        <w:t>(וילנא)</w:t>
      </w:r>
      <w:r w:rsidRPr="00CC1BFF">
        <w:rPr>
          <w:rFonts w:cs="Arial"/>
          <w:b/>
          <w:bCs/>
          <w:rtl/>
        </w:rPr>
        <w:t xml:space="preserve"> </w:t>
      </w:r>
      <w:r>
        <w:rPr>
          <w:rFonts w:cs="Arial" w:hint="cs"/>
          <w:b/>
          <w:bCs/>
          <w:rtl/>
        </w:rPr>
        <w:t>פסחים</w:t>
      </w:r>
      <w:r w:rsidRPr="00CC1BFF">
        <w:rPr>
          <w:rFonts w:cs="Arial"/>
          <w:b/>
          <w:bCs/>
          <w:rtl/>
        </w:rPr>
        <w:t xml:space="preserve"> פ</w:t>
      </w:r>
      <w:r w:rsidRPr="00CC1BFF">
        <w:rPr>
          <w:rFonts w:cs="Arial" w:hint="cs"/>
          <w:b/>
          <w:bCs/>
          <w:rtl/>
        </w:rPr>
        <w:t>"</w:t>
      </w:r>
      <w:r>
        <w:rPr>
          <w:rFonts w:cs="Arial" w:hint="cs"/>
          <w:b/>
          <w:bCs/>
          <w:rtl/>
        </w:rPr>
        <w:t>ב</w:t>
      </w:r>
      <w:r w:rsidRPr="00CC1BFF">
        <w:rPr>
          <w:rFonts w:cs="Arial"/>
          <w:b/>
          <w:bCs/>
          <w:rtl/>
        </w:rPr>
        <w:t xml:space="preserve"> ה</w:t>
      </w:r>
      <w:r w:rsidRPr="00CC1BFF">
        <w:rPr>
          <w:rFonts w:cs="Arial" w:hint="cs"/>
          <w:b/>
          <w:bCs/>
          <w:rtl/>
        </w:rPr>
        <w:t>"</w:t>
      </w:r>
      <w:r>
        <w:rPr>
          <w:rFonts w:cs="Arial" w:hint="cs"/>
          <w:b/>
          <w:bCs/>
          <w:rtl/>
        </w:rPr>
        <w:t>ב</w:t>
      </w:r>
      <w:r w:rsidRPr="00CC1BFF">
        <w:rPr>
          <w:rFonts w:cs="Arial" w:hint="cs"/>
          <w:b/>
          <w:bCs/>
          <w:rtl/>
        </w:rPr>
        <w:t>:</w:t>
      </w:r>
      <w:r>
        <w:rPr>
          <w:rFonts w:cs="Arial" w:hint="cs"/>
          <w:rtl/>
        </w:rPr>
        <w:t xml:space="preserve"> </w:t>
      </w:r>
      <w:r w:rsidRPr="004E2B05">
        <w:rPr>
          <w:rFonts w:cs="Arial"/>
          <w:u w:val="double"/>
          <w:rtl/>
        </w:rPr>
        <w:t>מתני'</w:t>
      </w:r>
      <w:r>
        <w:rPr>
          <w:rFonts w:cs="Arial" w:hint="cs"/>
          <w:rtl/>
        </w:rPr>
        <w:t>:</w:t>
      </w:r>
      <w:r w:rsidRPr="004E2B05">
        <w:rPr>
          <w:rFonts w:cs="Arial"/>
          <w:rtl/>
        </w:rPr>
        <w:t xml:space="preserve"> חמץ של עכו"ם שעבר עליו הפסח מותר בהנאה</w:t>
      </w:r>
      <w:r>
        <w:rPr>
          <w:rFonts w:cs="Arial" w:hint="cs"/>
          <w:rtl/>
        </w:rPr>
        <w:t>...</w:t>
      </w:r>
      <w:r w:rsidRPr="004E2B05">
        <w:rPr>
          <w:rFonts w:cs="Arial"/>
          <w:rtl/>
        </w:rPr>
        <w:t xml:space="preserve"> </w:t>
      </w:r>
      <w:r w:rsidRPr="004E2B05">
        <w:rPr>
          <w:rFonts w:cs="Arial"/>
          <w:u w:val="double"/>
          <w:rtl/>
        </w:rPr>
        <w:t>גמ'</w:t>
      </w:r>
      <w:r>
        <w:rPr>
          <w:rFonts w:cs="Arial" w:hint="cs"/>
          <w:rtl/>
        </w:rPr>
        <w:t>:</w:t>
      </w:r>
      <w:r w:rsidRPr="004E2B05">
        <w:rPr>
          <w:rFonts w:cs="Arial"/>
          <w:rtl/>
        </w:rPr>
        <w:t xml:space="preserve"> הא באכילה אסור. מתניתא במקום שלא נהגו לוכל פת עכו"ם אבל במקום שנהגו לאכול פת עכו"ם מותר אפילו באכילה.</w:t>
      </w:r>
    </w:p>
    <w:p w14:paraId="69E1AC3C" w14:textId="77777777" w:rsidR="002C39F4" w:rsidRDefault="002C39F4" w:rsidP="002C39F4">
      <w:pPr>
        <w:rPr>
          <w:rFonts w:cs="Arial"/>
          <w:rtl/>
        </w:rPr>
      </w:pPr>
      <w:r>
        <w:rPr>
          <w:rFonts w:cs="Arial" w:hint="cs"/>
          <w:b/>
          <w:bCs/>
          <w:rtl/>
        </w:rPr>
        <w:t xml:space="preserve">עבודה זרה לה ע"ב: </w:t>
      </w:r>
      <w:r w:rsidRPr="00BE259B">
        <w:rPr>
          <w:rFonts w:cs="Arial"/>
          <w:u w:val="single"/>
          <w:rtl/>
        </w:rPr>
        <w:t>א"ר כהנא א"ר יוחנן</w:t>
      </w:r>
      <w:r w:rsidRPr="00F25501">
        <w:rPr>
          <w:rFonts w:cs="Arial"/>
          <w:rtl/>
        </w:rPr>
        <w:t xml:space="preserve">: פת לא הותרה בב"ד. מכלל דאיכא מאן דשרי? אין, דכי אתא </w:t>
      </w:r>
      <w:r w:rsidRPr="00BE259B">
        <w:rPr>
          <w:rFonts w:cs="Arial"/>
          <w:u w:val="single"/>
          <w:rtl/>
        </w:rPr>
        <w:t>רב דימי</w:t>
      </w:r>
      <w:r w:rsidRPr="00F25501">
        <w:rPr>
          <w:rFonts w:cs="Arial"/>
          <w:rtl/>
        </w:rPr>
        <w:t xml:space="preserve"> </w:t>
      </w:r>
      <w:r w:rsidRPr="00BE259B">
        <w:rPr>
          <w:rFonts w:cs="Arial"/>
          <w:u w:val="single"/>
          <w:rtl/>
        </w:rPr>
        <w:t>אמר</w:t>
      </w:r>
      <w:r w:rsidRPr="00F25501">
        <w:rPr>
          <w:rFonts w:cs="Arial"/>
          <w:rtl/>
        </w:rPr>
        <w:t xml:space="preserve">: פעם אחת יצא רבי לשדה והביא עובד כוכבים לפניו פת פורני מאפה סאה, אמר רבי: כמה נאה פת זו, מה ראו חכמים לאוסרה; מה ראו חכמים? משום חתנות! אלא, מה ראו חכמים לאוסרה בשדה; כסבורין העם: התיר רבי הפת, ולא היא, רבי לא התיר את הפת. </w:t>
      </w:r>
      <w:r w:rsidRPr="00BE259B">
        <w:rPr>
          <w:rFonts w:cs="Arial"/>
          <w:u w:val="single"/>
          <w:rtl/>
        </w:rPr>
        <w:t>רב יוסף ואיתימא רב שמואל בר יהודה</w:t>
      </w:r>
      <w:r w:rsidRPr="001210D7">
        <w:rPr>
          <w:rFonts w:cs="Arial"/>
          <w:color w:val="000000" w:themeColor="text1"/>
          <w:u w:val="single"/>
          <w:rtl/>
        </w:rPr>
        <w:t xml:space="preserve"> אמר</w:t>
      </w:r>
      <w:r w:rsidRPr="00F25501">
        <w:rPr>
          <w:rFonts w:cs="Arial"/>
          <w:rtl/>
        </w:rPr>
        <w:t xml:space="preserve">: לא כך היה מעשה, אלא אמרו: פעם אחת הלך רבי למקום אחד וראה פת דחוק לתלמידים, אמר רבי: אין כאן פלטר? כסבורין העם לומר: פלטר עובד כוכבים, והוא לא אמר אלא פלטר ישראל. </w:t>
      </w:r>
      <w:r w:rsidRPr="00BE259B">
        <w:rPr>
          <w:rFonts w:cs="Arial"/>
          <w:u w:val="single"/>
          <w:rtl/>
        </w:rPr>
        <w:t>א"ר חלבו</w:t>
      </w:r>
      <w:r w:rsidRPr="00F25501">
        <w:rPr>
          <w:rFonts w:cs="Arial"/>
          <w:rtl/>
        </w:rPr>
        <w:t xml:space="preserve">: אפילו למ"ד פלטר עובד כוכבים, לא אמרן אלא דליכא פלטר ישראל, אבל במקום דאיכא פלטר ישראל לא. </w:t>
      </w:r>
      <w:r w:rsidRPr="00BE259B">
        <w:rPr>
          <w:rFonts w:cs="Arial"/>
          <w:u w:val="single"/>
          <w:rtl/>
        </w:rPr>
        <w:t>ורבי יוחנן אמר</w:t>
      </w:r>
      <w:r w:rsidRPr="00F25501">
        <w:rPr>
          <w:rFonts w:cs="Arial"/>
          <w:rtl/>
        </w:rPr>
        <w:t>: אפי' למ"ד פלטר עובד כוכבים, ה"מ בשדה, אבל בעיר לא, משום חתנות</w:t>
      </w:r>
      <w:r>
        <w:rPr>
          <w:rStyle w:val="a7"/>
          <w:rFonts w:cs="Arial"/>
          <w:rtl/>
        </w:rPr>
        <w:footnoteReference w:id="2636"/>
      </w:r>
      <w:r w:rsidRPr="00F25501">
        <w:rPr>
          <w:rFonts w:cs="Arial"/>
          <w:rtl/>
        </w:rPr>
        <w:t>. א</w:t>
      </w:r>
      <w:r>
        <w:rPr>
          <w:rFonts w:cs="Arial"/>
          <w:rtl/>
        </w:rPr>
        <w:t>יבו הוה מנכית ואכיל פת אבי מצרי</w:t>
      </w:r>
      <w:r>
        <w:rPr>
          <w:rFonts w:cs="Arial" w:hint="cs"/>
          <w:rtl/>
        </w:rPr>
        <w:t>.</w:t>
      </w:r>
      <w:r w:rsidRPr="00F25501">
        <w:rPr>
          <w:rFonts w:cs="Arial"/>
          <w:rtl/>
        </w:rPr>
        <w:t xml:space="preserve"> </w:t>
      </w:r>
      <w:r w:rsidRPr="00BE259B">
        <w:rPr>
          <w:rFonts w:cs="Arial"/>
          <w:u w:val="single"/>
          <w:rtl/>
        </w:rPr>
        <w:t>אמר להו רבא, ואיתימא רב נחמן בר יצחק</w:t>
      </w:r>
      <w:r w:rsidRPr="00F25501">
        <w:rPr>
          <w:rFonts w:cs="Arial"/>
          <w:rtl/>
        </w:rPr>
        <w:t xml:space="preserve">: לא תשתעו </w:t>
      </w:r>
      <w:r>
        <w:rPr>
          <w:rFonts w:cs="Arial"/>
          <w:rtl/>
        </w:rPr>
        <w:t>מיניה דאיבו דקאכיל לחמא דארמאי.</w:t>
      </w:r>
      <w:r>
        <w:rPr>
          <w:rFonts w:cs="Arial" w:hint="cs"/>
          <w:rtl/>
        </w:rPr>
        <w:t>..</w:t>
      </w:r>
      <w:r w:rsidRPr="004E2B05">
        <w:rPr>
          <w:rtl/>
        </w:rPr>
        <w:t xml:space="preserve"> </w:t>
      </w:r>
      <w:r>
        <w:rPr>
          <w:rFonts w:hint="cs"/>
          <w:sz w:val="14"/>
          <w:szCs w:val="14"/>
          <w:rtl/>
        </w:rPr>
        <w:t xml:space="preserve">(לז.) </w:t>
      </w:r>
      <w:r w:rsidRPr="004E2B05">
        <w:rPr>
          <w:rFonts w:cs="Arial"/>
          <w:rtl/>
        </w:rPr>
        <w:t xml:space="preserve">מיסתמיך ואזיל ר' יהודה נשיאה אכתפיה דרבי שמלאי שמעיה, </w:t>
      </w:r>
      <w:r w:rsidRPr="004E0944">
        <w:rPr>
          <w:rFonts w:cs="Arial"/>
          <w:u w:val="single"/>
          <w:rtl/>
        </w:rPr>
        <w:t>א"ל</w:t>
      </w:r>
      <w:r w:rsidRPr="004E2B05">
        <w:rPr>
          <w:rFonts w:cs="Arial"/>
          <w:rtl/>
        </w:rPr>
        <w:t xml:space="preserve">: שמלאי, לא היית אמש בבית המדרש כשהתרנו את השמן, </w:t>
      </w:r>
      <w:r w:rsidRPr="004E0944">
        <w:rPr>
          <w:rFonts w:cs="Arial"/>
          <w:u w:val="single"/>
          <w:rtl/>
        </w:rPr>
        <w:t>אמר לו</w:t>
      </w:r>
      <w:r w:rsidRPr="004E2B05">
        <w:rPr>
          <w:rFonts w:cs="Arial"/>
          <w:rtl/>
        </w:rPr>
        <w:t xml:space="preserve">: בימינו תתיר אף את הפת. </w:t>
      </w:r>
      <w:r w:rsidRPr="004E0944">
        <w:rPr>
          <w:rFonts w:cs="Arial"/>
          <w:u w:val="single"/>
          <w:rtl/>
        </w:rPr>
        <w:t>אמר לו</w:t>
      </w:r>
      <w:r w:rsidRPr="004E2B05">
        <w:rPr>
          <w:rFonts w:cs="Arial"/>
          <w:rtl/>
        </w:rPr>
        <w:t>: א"כ, קרו לן בית דינא שריא, דתנן: העיד רבי יוסי בן יועזר איש צרידה על אייל קמצא דכן, ועל משקה בית מטבחיא דכן, ועל דיקרב למיתא מסאב, וקרו ליה יוסף שריא</w:t>
      </w:r>
      <w:r>
        <w:rPr>
          <w:rStyle w:val="a7"/>
          <w:rFonts w:cs="Arial"/>
          <w:rtl/>
        </w:rPr>
        <w:footnoteReference w:id="2637"/>
      </w:r>
      <w:r>
        <w:rPr>
          <w:rFonts w:cs="Arial"/>
          <w:rtl/>
        </w:rPr>
        <w:t>.</w:t>
      </w:r>
      <w:r w:rsidRPr="009506B9">
        <w:rPr>
          <w:rFonts w:cs="Arial"/>
          <w:rtl/>
        </w:rPr>
        <w:t xml:space="preserve"> </w:t>
      </w:r>
    </w:p>
    <w:p w14:paraId="119972E2" w14:textId="77777777" w:rsidR="002C39F4" w:rsidRPr="004E2B05" w:rsidRDefault="002C39F4" w:rsidP="002C39F4">
      <w:pPr>
        <w:rPr>
          <w:rFonts w:cs="Arial"/>
          <w:u w:val="single"/>
          <w:rtl/>
        </w:rPr>
      </w:pPr>
      <w:r>
        <w:rPr>
          <w:rFonts w:cs="Arial" w:hint="cs"/>
          <w:u w:val="single"/>
          <w:rtl/>
        </w:rPr>
        <w:t xml:space="preserve">פת של </w:t>
      </w:r>
      <w:r w:rsidRPr="00C313EA">
        <w:rPr>
          <w:rFonts w:cs="Arial" w:hint="cs"/>
          <w:b/>
          <w:bCs/>
          <w:u w:val="single"/>
          <w:rtl/>
        </w:rPr>
        <w:t>פלטר</w:t>
      </w:r>
      <w:r>
        <w:rPr>
          <w:rFonts w:cs="Arial" w:hint="cs"/>
          <w:u w:val="single"/>
          <w:rtl/>
        </w:rPr>
        <w:t xml:space="preserve"> גוי - בזמן הזה</w:t>
      </w:r>
      <w:r w:rsidRPr="004E2B05">
        <w:rPr>
          <w:rFonts w:cs="Arial" w:hint="cs"/>
          <w:u w:val="single"/>
          <w:rtl/>
        </w:rPr>
        <w:t>:</w:t>
      </w:r>
    </w:p>
    <w:p w14:paraId="46D90FF5" w14:textId="77777777" w:rsidR="002C39F4" w:rsidRDefault="002C39F4" w:rsidP="0032102C">
      <w:pPr>
        <w:pStyle w:val="a8"/>
        <w:numPr>
          <w:ilvl w:val="0"/>
          <w:numId w:val="267"/>
        </w:numPr>
        <w:rPr>
          <w:rFonts w:cs="Arial"/>
        </w:rPr>
      </w:pPr>
      <w:r>
        <w:rPr>
          <w:rFonts w:cs="Arial"/>
          <w:rtl/>
        </w:rPr>
        <w:t>תוס'</w:t>
      </w:r>
      <w:r>
        <w:rPr>
          <w:rFonts w:cs="Arial" w:hint="cs"/>
          <w:rtl/>
        </w:rPr>
        <w:t xml:space="preserve"> </w:t>
      </w:r>
      <w:r w:rsidRPr="006146CD">
        <w:rPr>
          <w:rFonts w:cs="Arial" w:hint="cs"/>
          <w:sz w:val="16"/>
          <w:szCs w:val="16"/>
          <w:rtl/>
        </w:rPr>
        <w:t>(לה: ד"ה מכלל)</w:t>
      </w:r>
      <w:r>
        <w:rPr>
          <w:rFonts w:cs="Arial" w:hint="cs"/>
          <w:rtl/>
        </w:rPr>
        <w:t xml:space="preserve"> ורא"ש</w:t>
      </w:r>
      <w:r w:rsidRPr="004E2B05">
        <w:rPr>
          <w:rFonts w:cs="Arial"/>
          <w:rtl/>
        </w:rPr>
        <w:t xml:space="preserve"> </w:t>
      </w:r>
      <w:r w:rsidRPr="006146CD">
        <w:rPr>
          <w:rFonts w:cs="Arial"/>
          <w:sz w:val="16"/>
          <w:szCs w:val="16"/>
          <w:rtl/>
        </w:rPr>
        <w:t>(</w:t>
      </w:r>
      <w:r w:rsidRPr="006146CD">
        <w:rPr>
          <w:rFonts w:cs="Arial" w:hint="cs"/>
          <w:sz w:val="16"/>
          <w:szCs w:val="16"/>
          <w:rtl/>
        </w:rPr>
        <w:t xml:space="preserve">ע"ז פ"ב </w:t>
      </w:r>
      <w:r w:rsidRPr="006146CD">
        <w:rPr>
          <w:rFonts w:cs="Arial"/>
          <w:sz w:val="16"/>
          <w:szCs w:val="16"/>
          <w:rtl/>
        </w:rPr>
        <w:t>סי' כז)</w:t>
      </w:r>
      <w:r>
        <w:rPr>
          <w:rFonts w:cs="Arial" w:hint="cs"/>
          <w:rtl/>
        </w:rPr>
        <w:t>-</w:t>
      </w:r>
      <w:r w:rsidRPr="004E2B05">
        <w:rPr>
          <w:rtl/>
        </w:rPr>
        <w:t xml:space="preserve"> </w:t>
      </w:r>
      <w:r w:rsidRPr="004E2B05">
        <w:rPr>
          <w:rFonts w:cs="Arial"/>
          <w:rtl/>
        </w:rPr>
        <w:t>במקומות שנהגו בו היתר לא פשט שם איסורו</w:t>
      </w:r>
      <w:r>
        <w:rPr>
          <w:rStyle w:val="a7"/>
          <w:rFonts w:cs="Arial"/>
          <w:rtl/>
        </w:rPr>
        <w:footnoteReference w:id="2638"/>
      </w:r>
      <w:r>
        <w:rPr>
          <w:rFonts w:cs="Arial" w:hint="cs"/>
          <w:rtl/>
        </w:rPr>
        <w:t>...</w:t>
      </w:r>
      <w:r w:rsidRPr="004E2B05">
        <w:rPr>
          <w:rFonts w:cs="Arial"/>
          <w:rtl/>
        </w:rPr>
        <w:t xml:space="preserve"> ועל זה סמכו הגדולים שלא אסרו </w:t>
      </w:r>
      <w:r>
        <w:rPr>
          <w:rFonts w:cs="Arial"/>
          <w:rtl/>
        </w:rPr>
        <w:t>אותו לבני מדינתן שנוהגין בו הית</w:t>
      </w:r>
      <w:r>
        <w:rPr>
          <w:rFonts w:cs="Arial" w:hint="cs"/>
          <w:rtl/>
        </w:rPr>
        <w:t>ר,</w:t>
      </w:r>
      <w:r w:rsidRPr="004E2B05">
        <w:rPr>
          <w:rFonts w:cs="Arial"/>
          <w:rtl/>
        </w:rPr>
        <w:t xml:space="preserve"> כי אמרו שהם מאותן המקומות שלא פשט שם איסורו</w:t>
      </w:r>
      <w:r>
        <w:rPr>
          <w:rStyle w:val="a7"/>
          <w:rFonts w:cs="Arial"/>
          <w:rtl/>
        </w:rPr>
        <w:footnoteReference w:id="2639"/>
      </w:r>
      <w:r>
        <w:rPr>
          <w:rFonts w:cs="Arial" w:hint="cs"/>
          <w:sz w:val="16"/>
          <w:szCs w:val="16"/>
          <w:rtl/>
        </w:rPr>
        <w:t xml:space="preserve"> (ל' הרא"ש)</w:t>
      </w:r>
      <w:r>
        <w:rPr>
          <w:rFonts w:cs="Arial"/>
          <w:rtl/>
        </w:rPr>
        <w:t>.</w:t>
      </w:r>
      <w:r>
        <w:rPr>
          <w:rFonts w:cs="Arial" w:hint="cs"/>
          <w:rtl/>
        </w:rPr>
        <w:t xml:space="preserve"> מיהו דוקא במקום שלא מצוי שם פלטר ישראל</w:t>
      </w:r>
      <w:r>
        <w:rPr>
          <w:rFonts w:cs="Arial" w:hint="cs"/>
          <w:sz w:val="16"/>
          <w:szCs w:val="16"/>
          <w:rtl/>
        </w:rPr>
        <w:t xml:space="preserve"> (ע"פ דברי רא"ש טור וב"י)</w:t>
      </w:r>
      <w:r>
        <w:rPr>
          <w:rFonts w:cs="Arial" w:hint="cs"/>
          <w:rtl/>
        </w:rPr>
        <w:t>.</w:t>
      </w:r>
      <w:r w:rsidRPr="004E2B05">
        <w:rPr>
          <w:rFonts w:cs="Arial"/>
          <w:rtl/>
        </w:rPr>
        <w:t xml:space="preserve"> </w:t>
      </w:r>
      <w:r w:rsidRPr="002E7F6E">
        <w:rPr>
          <w:rFonts w:cs="Arial" w:hint="cs"/>
          <w:color w:val="E36C0A" w:themeColor="accent6" w:themeShade="BF"/>
          <w:rtl/>
        </w:rPr>
        <w:t>(וכ"פ בשו"ע)</w:t>
      </w:r>
    </w:p>
    <w:p w14:paraId="10460B44" w14:textId="77777777" w:rsidR="002C39F4" w:rsidRPr="001210D7" w:rsidRDefault="002C39F4" w:rsidP="0032102C">
      <w:pPr>
        <w:pStyle w:val="a8"/>
        <w:numPr>
          <w:ilvl w:val="0"/>
          <w:numId w:val="267"/>
        </w:numPr>
        <w:rPr>
          <w:rFonts w:cs="Arial"/>
        </w:rPr>
      </w:pPr>
      <w:r w:rsidRPr="004E2B05">
        <w:rPr>
          <w:rFonts w:cs="Arial"/>
          <w:rtl/>
        </w:rPr>
        <w:t xml:space="preserve">מרדכי </w:t>
      </w:r>
      <w:r>
        <w:rPr>
          <w:rFonts w:cs="Arial" w:hint="cs"/>
          <w:sz w:val="16"/>
          <w:szCs w:val="16"/>
          <w:rtl/>
        </w:rPr>
        <w:t>(סי' תתל, להב' הב"י)</w:t>
      </w:r>
      <w:r>
        <w:rPr>
          <w:rFonts w:cs="Arial" w:hint="cs"/>
          <w:rtl/>
        </w:rPr>
        <w:t xml:space="preserve">- </w:t>
      </w:r>
      <w:r w:rsidRPr="004E2B05">
        <w:rPr>
          <w:rFonts w:cs="Arial"/>
          <w:rtl/>
        </w:rPr>
        <w:t>אפילו במקום שפת של ישראל מצויה מותר דכיון שלא פשט האיסור במקומותינו אין צריך להמנות ולהתירו</w:t>
      </w:r>
      <w:r>
        <w:rPr>
          <w:rStyle w:val="a7"/>
          <w:rFonts w:cs="Arial"/>
          <w:rtl/>
        </w:rPr>
        <w:footnoteReference w:id="2640"/>
      </w:r>
      <w:r>
        <w:rPr>
          <w:rFonts w:cs="Arial"/>
          <w:rtl/>
        </w:rPr>
        <w:t>.</w:t>
      </w:r>
      <w:r>
        <w:rPr>
          <w:rFonts w:hint="cs"/>
          <w:color w:val="00B0F0"/>
          <w:rtl/>
        </w:rPr>
        <w:t xml:space="preserve"> </w:t>
      </w:r>
      <w:r w:rsidRPr="002E7F6E">
        <w:rPr>
          <w:rFonts w:hint="cs"/>
          <w:color w:val="00B0F0"/>
          <w:rtl/>
        </w:rPr>
        <w:t>(וכ"פ הרמ"א)</w:t>
      </w:r>
    </w:p>
    <w:p w14:paraId="6A2ADA56" w14:textId="77777777" w:rsidR="002C39F4" w:rsidRPr="009E0ADB" w:rsidRDefault="002C39F4" w:rsidP="0032102C">
      <w:pPr>
        <w:pStyle w:val="a8"/>
        <w:numPr>
          <w:ilvl w:val="0"/>
          <w:numId w:val="267"/>
        </w:numPr>
        <w:rPr>
          <w:rFonts w:cs="Arial"/>
        </w:rPr>
      </w:pPr>
      <w:r w:rsidRPr="00487235">
        <w:rPr>
          <w:rFonts w:cs="Arial"/>
          <w:rtl/>
        </w:rPr>
        <w:t>רשב"א</w:t>
      </w:r>
      <w:r w:rsidRPr="00487235">
        <w:rPr>
          <w:rFonts w:cs="Arial"/>
          <w:sz w:val="16"/>
          <w:szCs w:val="16"/>
          <w:rtl/>
        </w:rPr>
        <w:t xml:space="preserve"> </w:t>
      </w:r>
      <w:r w:rsidRPr="00487235">
        <w:rPr>
          <w:rFonts w:cs="Arial" w:hint="cs"/>
          <w:sz w:val="16"/>
          <w:szCs w:val="16"/>
          <w:rtl/>
        </w:rPr>
        <w:t>(</w:t>
      </w:r>
      <w:r w:rsidRPr="00487235">
        <w:rPr>
          <w:rFonts w:cs="Arial"/>
          <w:sz w:val="16"/>
          <w:szCs w:val="16"/>
          <w:rtl/>
        </w:rPr>
        <w:t>תוה"א ב"ג ש"ז צב</w:t>
      </w:r>
      <w:r w:rsidRPr="00487235">
        <w:rPr>
          <w:rFonts w:cs="Arial" w:hint="cs"/>
          <w:sz w:val="16"/>
          <w:szCs w:val="16"/>
          <w:rtl/>
        </w:rPr>
        <w:t>.</w:t>
      </w:r>
      <w:r w:rsidRPr="00487235">
        <w:rPr>
          <w:rFonts w:cs="Arial"/>
          <w:sz w:val="16"/>
          <w:szCs w:val="16"/>
          <w:rtl/>
        </w:rPr>
        <w:t>)</w:t>
      </w:r>
      <w:r>
        <w:rPr>
          <w:rFonts w:cs="Arial" w:hint="cs"/>
          <w:rtl/>
        </w:rPr>
        <w:t xml:space="preserve"> ו</w:t>
      </w:r>
      <w:r w:rsidRPr="001210D7">
        <w:rPr>
          <w:rFonts w:cs="Arial"/>
          <w:rtl/>
        </w:rPr>
        <w:t>ר"ן</w:t>
      </w:r>
      <w:r>
        <w:rPr>
          <w:rStyle w:val="a7"/>
          <w:rFonts w:cs="Arial"/>
          <w:rtl/>
        </w:rPr>
        <w:footnoteReference w:id="2641"/>
      </w:r>
      <w:r w:rsidRPr="001210D7">
        <w:rPr>
          <w:rFonts w:cs="Arial"/>
          <w:rtl/>
        </w:rPr>
        <w:t xml:space="preserve"> </w:t>
      </w:r>
      <w:r w:rsidRPr="001210D7">
        <w:rPr>
          <w:rFonts w:cs="Arial"/>
          <w:sz w:val="16"/>
          <w:szCs w:val="16"/>
          <w:rtl/>
        </w:rPr>
        <w:t>(יד. ד"ה רבי יוחנן)</w:t>
      </w:r>
      <w:r w:rsidRPr="001210D7">
        <w:rPr>
          <w:rFonts w:cs="Arial" w:hint="cs"/>
          <w:rtl/>
        </w:rPr>
        <w:t>-</w:t>
      </w:r>
      <w:r w:rsidRPr="001210D7">
        <w:rPr>
          <w:rFonts w:cs="Arial"/>
          <w:rtl/>
        </w:rPr>
        <w:t xml:space="preserve"> בשדה לעולם מותר</w:t>
      </w:r>
      <w:r>
        <w:rPr>
          <w:rStyle w:val="a7"/>
          <w:rFonts w:cs="Arial"/>
          <w:rtl/>
        </w:rPr>
        <w:footnoteReference w:id="2642"/>
      </w:r>
      <w:r w:rsidRPr="001210D7">
        <w:rPr>
          <w:rFonts w:cs="Arial"/>
          <w:rtl/>
        </w:rPr>
        <w:t xml:space="preserve"> ובעיר מותר כשאין שם פלטר ישראל</w:t>
      </w:r>
      <w:r>
        <w:rPr>
          <w:rFonts w:cs="Arial" w:hint="cs"/>
          <w:rtl/>
        </w:rPr>
        <w:t>, כרבי יוחנן וכר' חלבו, דלא פליגי</w:t>
      </w:r>
      <w:r w:rsidRPr="009E0ADB">
        <w:rPr>
          <w:rFonts w:cs="Arial"/>
          <w:rtl/>
        </w:rPr>
        <w:t>.</w:t>
      </w:r>
    </w:p>
    <w:p w14:paraId="0906FCA6" w14:textId="77777777" w:rsidR="002C39F4" w:rsidRDefault="002C39F4" w:rsidP="0032102C">
      <w:pPr>
        <w:pStyle w:val="a8"/>
        <w:numPr>
          <w:ilvl w:val="0"/>
          <w:numId w:val="267"/>
        </w:numPr>
        <w:rPr>
          <w:rFonts w:cs="Arial"/>
        </w:rPr>
      </w:pPr>
      <w:r>
        <w:rPr>
          <w:rFonts w:cs="Arial" w:hint="cs"/>
          <w:rtl/>
        </w:rPr>
        <w:t xml:space="preserve">י"א </w:t>
      </w:r>
      <w:r w:rsidRPr="00550461">
        <w:rPr>
          <w:rFonts w:cs="Arial" w:hint="cs"/>
          <w:sz w:val="16"/>
          <w:szCs w:val="16"/>
          <w:rtl/>
        </w:rPr>
        <w:t>(הביאם הטור)</w:t>
      </w:r>
      <w:r>
        <w:rPr>
          <w:rFonts w:cs="Arial" w:hint="cs"/>
          <w:rtl/>
        </w:rPr>
        <w:t xml:space="preserve">- </w:t>
      </w:r>
      <w:r>
        <w:rPr>
          <w:rFonts w:cs="Arial"/>
          <w:rtl/>
        </w:rPr>
        <w:t>אס</w:t>
      </w:r>
      <w:r>
        <w:rPr>
          <w:rFonts w:cs="Arial" w:hint="cs"/>
          <w:rtl/>
        </w:rPr>
        <w:t>ור</w:t>
      </w:r>
      <w:r>
        <w:rPr>
          <w:rFonts w:cs="Arial"/>
          <w:rtl/>
        </w:rPr>
        <w:t xml:space="preserve"> </w:t>
      </w:r>
      <w:r>
        <w:rPr>
          <w:rFonts w:cs="Arial" w:hint="cs"/>
          <w:rtl/>
        </w:rPr>
        <w:t>א</w:t>
      </w:r>
      <w:r w:rsidRPr="009506B9">
        <w:rPr>
          <w:rFonts w:cs="Arial"/>
          <w:rtl/>
        </w:rPr>
        <w:t>א"כ התענה ג' ימים ממש</w:t>
      </w:r>
      <w:r>
        <w:rPr>
          <w:rFonts w:cs="Arial" w:hint="cs"/>
          <w:rtl/>
        </w:rPr>
        <w:t xml:space="preserve">. </w:t>
      </w:r>
    </w:p>
    <w:p w14:paraId="6C1712E4" w14:textId="77777777" w:rsidR="002C39F4" w:rsidRPr="00C313EA" w:rsidRDefault="002C39F4" w:rsidP="002C39F4">
      <w:pPr>
        <w:rPr>
          <w:rFonts w:cs="Arial"/>
          <w:u w:val="single"/>
          <w:rtl/>
        </w:rPr>
      </w:pPr>
      <w:r w:rsidRPr="00C313EA">
        <w:rPr>
          <w:rFonts w:cs="Arial" w:hint="cs"/>
          <w:u w:val="single"/>
          <w:rtl/>
        </w:rPr>
        <w:t>פת</w:t>
      </w:r>
      <w:r>
        <w:rPr>
          <w:rFonts w:cs="Arial" w:hint="cs"/>
          <w:u w:val="single"/>
          <w:rtl/>
        </w:rPr>
        <w:t xml:space="preserve"> של</w:t>
      </w:r>
      <w:r w:rsidRPr="00C313EA">
        <w:rPr>
          <w:rFonts w:cs="Arial" w:hint="cs"/>
          <w:u w:val="single"/>
          <w:rtl/>
        </w:rPr>
        <w:t xml:space="preserve"> </w:t>
      </w:r>
      <w:r>
        <w:rPr>
          <w:rFonts w:cs="Arial" w:hint="cs"/>
          <w:b/>
          <w:bCs/>
          <w:u w:val="single"/>
          <w:rtl/>
        </w:rPr>
        <w:t>בעל הבית</w:t>
      </w:r>
      <w:r w:rsidRPr="00C313EA">
        <w:rPr>
          <w:rFonts w:cs="Arial" w:hint="cs"/>
          <w:u w:val="single"/>
          <w:rtl/>
        </w:rPr>
        <w:t xml:space="preserve"> גוי </w:t>
      </w:r>
      <w:r>
        <w:rPr>
          <w:rFonts w:cs="Arial" w:hint="cs"/>
          <w:u w:val="single"/>
          <w:rtl/>
        </w:rPr>
        <w:t xml:space="preserve">- </w:t>
      </w:r>
      <w:r w:rsidRPr="00C313EA">
        <w:rPr>
          <w:rFonts w:cs="Arial" w:hint="cs"/>
          <w:u w:val="single"/>
          <w:rtl/>
        </w:rPr>
        <w:t>ב</w:t>
      </w:r>
      <w:r>
        <w:rPr>
          <w:rFonts w:cs="Arial" w:hint="cs"/>
          <w:u w:val="single"/>
          <w:rtl/>
        </w:rPr>
        <w:t>ז</w:t>
      </w:r>
      <w:r w:rsidRPr="00C313EA">
        <w:rPr>
          <w:rFonts w:cs="Arial" w:hint="cs"/>
          <w:u w:val="single"/>
          <w:rtl/>
        </w:rPr>
        <w:t>מן הזה:</w:t>
      </w:r>
    </w:p>
    <w:p w14:paraId="4C3CA392" w14:textId="77777777" w:rsidR="002C39F4" w:rsidRDefault="002C39F4" w:rsidP="0032102C">
      <w:pPr>
        <w:pStyle w:val="a8"/>
        <w:numPr>
          <w:ilvl w:val="0"/>
          <w:numId w:val="267"/>
        </w:numPr>
        <w:rPr>
          <w:rFonts w:cs="Arial"/>
        </w:rPr>
      </w:pPr>
      <w:r w:rsidRPr="00487235">
        <w:rPr>
          <w:rFonts w:cs="Arial" w:hint="cs"/>
          <w:rtl/>
        </w:rPr>
        <w:t xml:space="preserve">רמב"ם </w:t>
      </w:r>
      <w:r w:rsidRPr="00487235">
        <w:rPr>
          <w:rFonts w:cs="Arial" w:hint="cs"/>
          <w:sz w:val="16"/>
          <w:szCs w:val="16"/>
          <w:rtl/>
        </w:rPr>
        <w:t>(פי"ז הי"ב)</w:t>
      </w:r>
      <w:r w:rsidRPr="00622AE4">
        <w:rPr>
          <w:rFonts w:cs="Arial"/>
          <w:rtl/>
        </w:rPr>
        <w:t xml:space="preserve"> </w:t>
      </w:r>
      <w:r w:rsidRPr="00487235">
        <w:rPr>
          <w:rFonts w:cs="Arial"/>
          <w:rtl/>
        </w:rPr>
        <w:t>רשב"א</w:t>
      </w:r>
      <w:r w:rsidRPr="00487235">
        <w:rPr>
          <w:rFonts w:cs="Arial"/>
          <w:sz w:val="16"/>
          <w:szCs w:val="16"/>
          <w:rtl/>
        </w:rPr>
        <w:t xml:space="preserve"> </w:t>
      </w:r>
      <w:r w:rsidRPr="00487235">
        <w:rPr>
          <w:rFonts w:cs="Arial" w:hint="cs"/>
          <w:sz w:val="16"/>
          <w:szCs w:val="16"/>
          <w:rtl/>
        </w:rPr>
        <w:t>(</w:t>
      </w:r>
      <w:r w:rsidRPr="00487235">
        <w:rPr>
          <w:rFonts w:cs="Arial"/>
          <w:sz w:val="16"/>
          <w:szCs w:val="16"/>
          <w:rtl/>
        </w:rPr>
        <w:t>תוה"א ב"ג ש"ז צב</w:t>
      </w:r>
      <w:r>
        <w:rPr>
          <w:rFonts w:cs="Arial" w:hint="cs"/>
          <w:sz w:val="16"/>
          <w:szCs w:val="16"/>
          <w:rtl/>
        </w:rPr>
        <w:t>:</w:t>
      </w:r>
      <w:r w:rsidRPr="00487235">
        <w:rPr>
          <w:rFonts w:cs="Arial"/>
          <w:sz w:val="16"/>
          <w:szCs w:val="16"/>
          <w:rtl/>
        </w:rPr>
        <w:t>)</w:t>
      </w:r>
      <w:r>
        <w:rPr>
          <w:rFonts w:cs="Arial" w:hint="cs"/>
          <w:rtl/>
        </w:rPr>
        <w:t xml:space="preserve"> ורא"ש</w:t>
      </w:r>
      <w:r>
        <w:rPr>
          <w:rFonts w:cs="Arial" w:hint="cs"/>
          <w:sz w:val="16"/>
          <w:szCs w:val="16"/>
          <w:rtl/>
        </w:rPr>
        <w:t xml:space="preserve"> (כלל יט סי' כ)</w:t>
      </w:r>
      <w:r w:rsidRPr="00487235">
        <w:rPr>
          <w:rFonts w:cs="Arial" w:hint="cs"/>
          <w:rtl/>
        </w:rPr>
        <w:t xml:space="preserve">- </w:t>
      </w:r>
      <w:r w:rsidRPr="00487235">
        <w:rPr>
          <w:rFonts w:cs="Arial"/>
          <w:rtl/>
        </w:rPr>
        <w:t>אע</w:t>
      </w:r>
      <w:r w:rsidRPr="00487235">
        <w:rPr>
          <w:rFonts w:cs="Arial" w:hint="cs"/>
          <w:rtl/>
        </w:rPr>
        <w:t>"</w:t>
      </w:r>
      <w:r w:rsidRPr="00487235">
        <w:rPr>
          <w:rFonts w:cs="Arial"/>
          <w:rtl/>
        </w:rPr>
        <w:t xml:space="preserve">פ שאסרו פת </w:t>
      </w:r>
      <w:r>
        <w:rPr>
          <w:rFonts w:cs="Arial" w:hint="cs"/>
          <w:rtl/>
        </w:rPr>
        <w:t>גוי</w:t>
      </w:r>
      <w:r w:rsidRPr="00487235">
        <w:rPr>
          <w:rFonts w:cs="Arial"/>
          <w:rtl/>
        </w:rPr>
        <w:t xml:space="preserve"> יש מקומות שמקילי</w:t>
      </w:r>
      <w:r>
        <w:rPr>
          <w:rFonts w:cs="Arial"/>
          <w:rtl/>
        </w:rPr>
        <w:t xml:space="preserve">ן בדבר ולוקחין פת הנחתום </w:t>
      </w:r>
      <w:r>
        <w:rPr>
          <w:rFonts w:cs="Arial" w:hint="cs"/>
          <w:rtl/>
        </w:rPr>
        <w:t>הגוי...</w:t>
      </w:r>
      <w:r w:rsidRPr="00487235">
        <w:rPr>
          <w:rFonts w:cs="Arial"/>
          <w:rtl/>
        </w:rPr>
        <w:t xml:space="preserve"> אבל פת בעלי בתים אין שם מי שמורה בה להקל שעיקר הגזירה משום חתנות ואם יאכל פת בעלי בתים יבוא לסעוד אצלן</w:t>
      </w:r>
      <w:r>
        <w:rPr>
          <w:rFonts w:cs="Arial" w:hint="cs"/>
          <w:sz w:val="16"/>
          <w:szCs w:val="16"/>
          <w:rtl/>
        </w:rPr>
        <w:t xml:space="preserve"> (ל' הרמב"ם)</w:t>
      </w:r>
      <w:r w:rsidRPr="00487235">
        <w:rPr>
          <w:rFonts w:cs="Arial"/>
          <w:rtl/>
        </w:rPr>
        <w:t>.</w:t>
      </w:r>
      <w:r>
        <w:rPr>
          <w:rFonts w:cs="Arial"/>
          <w:rtl/>
        </w:rPr>
        <w:t xml:space="preserve"> </w:t>
      </w:r>
      <w:r>
        <w:rPr>
          <w:rFonts w:cs="Arial" w:hint="cs"/>
          <w:rtl/>
        </w:rPr>
        <w:t>ו</w:t>
      </w:r>
      <w:r>
        <w:rPr>
          <w:rFonts w:cs="Arial"/>
          <w:rtl/>
        </w:rPr>
        <w:t>אפי</w:t>
      </w:r>
      <w:r>
        <w:rPr>
          <w:rFonts w:cs="Arial" w:hint="cs"/>
          <w:rtl/>
        </w:rPr>
        <w:t>לו</w:t>
      </w:r>
      <w:r>
        <w:rPr>
          <w:rFonts w:cs="Arial"/>
          <w:rtl/>
        </w:rPr>
        <w:t xml:space="preserve"> אם אין לו מה יאכל אסור</w:t>
      </w:r>
      <w:r>
        <w:rPr>
          <w:rStyle w:val="a7"/>
          <w:rFonts w:cs="Arial"/>
          <w:rtl/>
        </w:rPr>
        <w:footnoteReference w:id="2643"/>
      </w:r>
      <w:r>
        <w:rPr>
          <w:rFonts w:cs="Arial" w:hint="cs"/>
          <w:rtl/>
        </w:rPr>
        <w:t>, אא"כ משום סכנת נפש</w:t>
      </w:r>
      <w:r>
        <w:rPr>
          <w:rFonts w:cs="Arial" w:hint="cs"/>
          <w:sz w:val="16"/>
          <w:szCs w:val="16"/>
          <w:rtl/>
        </w:rPr>
        <w:t xml:space="preserve"> (ל' הרשב"א)</w:t>
      </w:r>
      <w:r>
        <w:rPr>
          <w:rFonts w:cs="Arial" w:hint="cs"/>
          <w:rtl/>
        </w:rPr>
        <w:t xml:space="preserve">. </w:t>
      </w:r>
      <w:r w:rsidRPr="002E7F6E">
        <w:rPr>
          <w:rFonts w:cs="Arial" w:hint="cs"/>
          <w:color w:val="E36C0A" w:themeColor="accent6" w:themeShade="BF"/>
          <w:rtl/>
        </w:rPr>
        <w:t>(וכ"פ בשו"ע)</w:t>
      </w:r>
    </w:p>
    <w:p w14:paraId="4D5C03DC" w14:textId="77777777" w:rsidR="002C39F4" w:rsidRDefault="002C39F4" w:rsidP="0032102C">
      <w:pPr>
        <w:pStyle w:val="a8"/>
        <w:numPr>
          <w:ilvl w:val="0"/>
          <w:numId w:val="267"/>
        </w:numPr>
        <w:rPr>
          <w:rFonts w:cs="Arial"/>
        </w:rPr>
      </w:pPr>
      <w:r>
        <w:rPr>
          <w:rFonts w:cs="Arial" w:hint="cs"/>
          <w:rtl/>
        </w:rPr>
        <w:t xml:space="preserve">טור בשם הרא"ש- </w:t>
      </w:r>
      <w:r w:rsidRPr="009506B9">
        <w:rPr>
          <w:rFonts w:cs="Arial"/>
          <w:rtl/>
        </w:rPr>
        <w:t xml:space="preserve">אין חילוק בין פת </w:t>
      </w:r>
      <w:r>
        <w:rPr>
          <w:rFonts w:cs="Arial"/>
          <w:rtl/>
        </w:rPr>
        <w:t>של בעל הבית לשל פלטר</w:t>
      </w:r>
      <w:r>
        <w:rPr>
          <w:rStyle w:val="a7"/>
          <w:rFonts w:cs="Arial"/>
          <w:rtl/>
        </w:rPr>
        <w:footnoteReference w:id="2644"/>
      </w:r>
      <w:r>
        <w:rPr>
          <w:rFonts w:cs="Arial" w:hint="cs"/>
          <w:rtl/>
        </w:rPr>
        <w:t>.</w:t>
      </w:r>
    </w:p>
    <w:p w14:paraId="5E0CF75F" w14:textId="77777777" w:rsidR="002C39F4" w:rsidRDefault="002C39F4" w:rsidP="0032102C">
      <w:pPr>
        <w:pStyle w:val="a8"/>
        <w:numPr>
          <w:ilvl w:val="0"/>
          <w:numId w:val="267"/>
        </w:numPr>
        <w:rPr>
          <w:rFonts w:cs="Arial"/>
        </w:rPr>
      </w:pPr>
      <w:r>
        <w:rPr>
          <w:rFonts w:cs="Arial" w:hint="cs"/>
          <w:rtl/>
        </w:rPr>
        <w:t xml:space="preserve">רא"ה </w:t>
      </w:r>
      <w:r>
        <w:rPr>
          <w:rFonts w:cs="Arial" w:hint="cs"/>
          <w:sz w:val="16"/>
          <w:szCs w:val="16"/>
          <w:rtl/>
        </w:rPr>
        <w:t>(בדה"ב ב"ג ש"ז צב:)</w:t>
      </w:r>
      <w:r>
        <w:rPr>
          <w:rFonts w:cs="Arial" w:hint="cs"/>
          <w:rtl/>
        </w:rPr>
        <w:t xml:space="preserve">- </w:t>
      </w:r>
      <w:r>
        <w:rPr>
          <w:rStyle w:val="a7"/>
          <w:rFonts w:cs="Arial"/>
          <w:rtl/>
        </w:rPr>
        <w:footnoteReference w:id="2645"/>
      </w:r>
      <w:r w:rsidRPr="00510944">
        <w:rPr>
          <w:rFonts w:cs="Arial"/>
          <w:rtl/>
        </w:rPr>
        <w:t>בשדה מותר ואפילו של בעלי בתים</w:t>
      </w:r>
      <w:r>
        <w:rPr>
          <w:rStyle w:val="a7"/>
          <w:rFonts w:cs="Arial"/>
          <w:rtl/>
        </w:rPr>
        <w:footnoteReference w:id="2646"/>
      </w:r>
      <w:r>
        <w:rPr>
          <w:rFonts w:cs="Arial" w:hint="cs"/>
          <w:rtl/>
        </w:rPr>
        <w:t>..</w:t>
      </w:r>
      <w:r w:rsidRPr="00510944">
        <w:rPr>
          <w:rFonts w:cs="Arial"/>
          <w:rtl/>
        </w:rPr>
        <w:t>. ואפילו ליטול מן העיר פת בעלי בתים במקום שיש פלטר ישראל ולילך בשדה ולאכלו שם מותר אלא שהוא דבר מכוער לתלמיד חכם</w:t>
      </w:r>
      <w:r>
        <w:rPr>
          <w:rStyle w:val="a7"/>
          <w:rFonts w:cs="Arial"/>
          <w:rtl/>
        </w:rPr>
        <w:footnoteReference w:id="2647"/>
      </w:r>
      <w:r>
        <w:rPr>
          <w:rFonts w:cs="Arial" w:hint="cs"/>
          <w:rtl/>
        </w:rPr>
        <w:t>.</w:t>
      </w:r>
    </w:p>
    <w:p w14:paraId="327AD94B" w14:textId="77777777" w:rsidR="002C39F4" w:rsidRPr="00550461" w:rsidRDefault="002C39F4" w:rsidP="002C39F4">
      <w:pPr>
        <w:rPr>
          <w:rFonts w:cs="Arial"/>
          <w:u w:val="single"/>
        </w:rPr>
      </w:pPr>
      <w:r w:rsidRPr="00550461">
        <w:rPr>
          <w:rFonts w:cs="Arial" w:hint="cs"/>
          <w:u w:val="single"/>
          <w:rtl/>
        </w:rPr>
        <w:t xml:space="preserve">פת </w:t>
      </w:r>
      <w:r>
        <w:rPr>
          <w:rFonts w:cs="Arial" w:hint="cs"/>
          <w:u w:val="single"/>
          <w:rtl/>
        </w:rPr>
        <w:t>גוי במקרים מיוחדים</w:t>
      </w:r>
      <w:r w:rsidRPr="00550461">
        <w:rPr>
          <w:rFonts w:cs="Arial" w:hint="cs"/>
          <w:u w:val="single"/>
          <w:rtl/>
        </w:rPr>
        <w:t>:</w:t>
      </w:r>
    </w:p>
    <w:p w14:paraId="2DEEEDA9" w14:textId="77777777" w:rsidR="002C39F4" w:rsidRDefault="002C39F4" w:rsidP="0032102C">
      <w:pPr>
        <w:pStyle w:val="a8"/>
        <w:numPr>
          <w:ilvl w:val="0"/>
          <w:numId w:val="267"/>
        </w:numPr>
        <w:rPr>
          <w:rFonts w:cs="Arial"/>
        </w:rPr>
      </w:pPr>
      <w:r w:rsidRPr="00C313EA">
        <w:rPr>
          <w:rFonts w:cs="Arial"/>
          <w:rtl/>
        </w:rPr>
        <w:t>גאוני</w:t>
      </w:r>
      <w:r>
        <w:rPr>
          <w:rFonts w:cs="Arial" w:hint="cs"/>
          <w:rtl/>
        </w:rPr>
        <w:t>ם</w:t>
      </w:r>
      <w:r>
        <w:rPr>
          <w:rStyle w:val="a7"/>
          <w:rFonts w:cs="Arial"/>
          <w:rtl/>
        </w:rPr>
        <w:footnoteReference w:id="2648"/>
      </w:r>
      <w:r>
        <w:rPr>
          <w:rFonts w:cs="Arial" w:hint="cs"/>
          <w:rtl/>
        </w:rPr>
        <w:t>-</w:t>
      </w:r>
      <w:r w:rsidRPr="00C313EA">
        <w:rPr>
          <w:rFonts w:cs="Arial"/>
          <w:rtl/>
        </w:rPr>
        <w:t xml:space="preserve"> מותר לאכול פת של גוים בשבת אם אין לו פת אחרת דבשבת אסור להתענות הילכך מותר</w:t>
      </w:r>
      <w:r>
        <w:rPr>
          <w:rStyle w:val="a7"/>
          <w:rFonts w:cs="Arial"/>
          <w:rtl/>
        </w:rPr>
        <w:footnoteReference w:id="2649"/>
      </w:r>
      <w:r>
        <w:rPr>
          <w:rFonts w:cs="Arial" w:hint="cs"/>
          <w:rtl/>
        </w:rPr>
        <w:t>.</w:t>
      </w:r>
    </w:p>
    <w:p w14:paraId="422036F3" w14:textId="77777777" w:rsidR="002C39F4" w:rsidRPr="002E7F6E" w:rsidRDefault="002C39F4" w:rsidP="002C39F4">
      <w:pPr>
        <w:rPr>
          <w:rFonts w:cs="Arial"/>
          <w:u w:val="single"/>
          <w:rtl/>
        </w:rPr>
      </w:pPr>
      <w:r>
        <w:rPr>
          <w:rFonts w:cs="Arial" w:hint="cs"/>
          <w:u w:val="single"/>
          <w:rtl/>
        </w:rPr>
        <w:t xml:space="preserve">איזו פת נקראת 'פת </w:t>
      </w:r>
      <w:r w:rsidRPr="002E7F6E">
        <w:rPr>
          <w:rFonts w:cs="Arial" w:hint="cs"/>
          <w:u w:val="single"/>
          <w:rtl/>
        </w:rPr>
        <w:t>פלטר</w:t>
      </w:r>
      <w:r>
        <w:rPr>
          <w:rFonts w:cs="Arial" w:hint="cs"/>
          <w:u w:val="single"/>
          <w:rtl/>
        </w:rPr>
        <w:t>'</w:t>
      </w:r>
      <w:r w:rsidRPr="002E7F6E">
        <w:rPr>
          <w:rFonts w:cs="Arial" w:hint="cs"/>
          <w:u w:val="single"/>
          <w:rtl/>
        </w:rPr>
        <w:t xml:space="preserve"> ו</w:t>
      </w:r>
      <w:r>
        <w:rPr>
          <w:rFonts w:cs="Arial" w:hint="cs"/>
          <w:u w:val="single"/>
          <w:rtl/>
        </w:rPr>
        <w:t xml:space="preserve">איזו 'פת </w:t>
      </w:r>
      <w:r w:rsidRPr="002E7F6E">
        <w:rPr>
          <w:rFonts w:cs="Arial" w:hint="cs"/>
          <w:u w:val="single"/>
          <w:rtl/>
        </w:rPr>
        <w:t>בעל הבית</w:t>
      </w:r>
      <w:r>
        <w:rPr>
          <w:rFonts w:cs="Arial" w:hint="cs"/>
          <w:u w:val="single"/>
          <w:rtl/>
        </w:rPr>
        <w:t>'</w:t>
      </w:r>
      <w:r w:rsidRPr="002E7F6E">
        <w:rPr>
          <w:rFonts w:cs="Arial" w:hint="cs"/>
          <w:u w:val="single"/>
          <w:rtl/>
        </w:rPr>
        <w:t>:</w:t>
      </w:r>
    </w:p>
    <w:p w14:paraId="68E8D7D9" w14:textId="77777777" w:rsidR="002C39F4" w:rsidRPr="00C347B4" w:rsidRDefault="002C39F4" w:rsidP="0032102C">
      <w:pPr>
        <w:pStyle w:val="a8"/>
        <w:numPr>
          <w:ilvl w:val="0"/>
          <w:numId w:val="267"/>
        </w:numPr>
        <w:rPr>
          <w:rFonts w:cs="Arial"/>
          <w:rtl/>
        </w:rPr>
      </w:pPr>
      <w:r w:rsidRPr="00C347B4">
        <w:rPr>
          <w:rFonts w:cs="Arial" w:hint="cs"/>
          <w:rtl/>
        </w:rPr>
        <w:t xml:space="preserve">ב"י- </w:t>
      </w:r>
      <w:r w:rsidRPr="00C347B4">
        <w:rPr>
          <w:rFonts w:cs="Arial"/>
          <w:rtl/>
        </w:rPr>
        <w:t>לכאורה היה נראה לומר דלא כל גוי העושה פת למכור בשוק מותר לקנות ממנו שהרי לא התירו אלא פלטר דהיינו מי שאומנותו בכך אבל לא בעל הבית שעושה פת באקראי למכור</w:t>
      </w:r>
      <w:r w:rsidRPr="00C347B4">
        <w:rPr>
          <w:rFonts w:cs="Arial" w:hint="cs"/>
          <w:rtl/>
        </w:rPr>
        <w:t>,</w:t>
      </w:r>
      <w:r w:rsidRPr="00C347B4">
        <w:rPr>
          <w:rFonts w:cs="Arial"/>
          <w:rtl/>
        </w:rPr>
        <w:t xml:space="preserve"> אבל מאחר שכתב הרשב"א שטעם היתר הפלטר הוא משום דעשוי למכור לכל אין בלקיחתו קירוב דעת משמע דכל שלא עשה הגוי פת זה לאכלו אלא למוכרו לכל מי שירצה לקנות אין בו משום קירוב דעת</w:t>
      </w:r>
      <w:r w:rsidRPr="00C347B4">
        <w:rPr>
          <w:rFonts w:cs="Arial" w:hint="cs"/>
          <w:rtl/>
        </w:rPr>
        <w:t>,</w:t>
      </w:r>
      <w:r w:rsidRPr="00C347B4">
        <w:rPr>
          <w:rFonts w:cs="Arial"/>
          <w:rtl/>
        </w:rPr>
        <w:t xml:space="preserve"> ואפילו לא היתה אומנותו בכך</w:t>
      </w:r>
      <w:r w:rsidRPr="00C347B4">
        <w:rPr>
          <w:rFonts w:cs="Arial" w:hint="cs"/>
          <w:rtl/>
        </w:rPr>
        <w:t>,</w:t>
      </w:r>
      <w:r w:rsidRPr="00C347B4">
        <w:rPr>
          <w:rFonts w:cs="Arial"/>
          <w:rtl/>
        </w:rPr>
        <w:t xml:space="preserve"> דלא חיישינן לקירוב דעת אלא כשעשה פת לעצמו ואח"כ מכרה או נתנה לישראל</w:t>
      </w:r>
      <w:r w:rsidRPr="00C347B4">
        <w:rPr>
          <w:rFonts w:cs="Arial" w:hint="cs"/>
          <w:rtl/>
        </w:rPr>
        <w:t>,</w:t>
      </w:r>
      <w:r w:rsidRPr="00C347B4">
        <w:rPr>
          <w:rFonts w:cs="Arial"/>
          <w:rtl/>
        </w:rPr>
        <w:t xml:space="preserve"> וכל כה</w:t>
      </w:r>
      <w:r w:rsidRPr="00C347B4">
        <w:rPr>
          <w:rFonts w:cs="Arial" w:hint="cs"/>
          <w:rtl/>
        </w:rPr>
        <w:t>"</w:t>
      </w:r>
      <w:r w:rsidRPr="00C347B4">
        <w:rPr>
          <w:rFonts w:cs="Arial"/>
          <w:rtl/>
        </w:rPr>
        <w:t>ג אפילו אם הוא פלטר קבוע ומומחה לרבים אסור</w:t>
      </w:r>
      <w:r w:rsidRPr="00C347B4">
        <w:rPr>
          <w:rFonts w:cs="Arial" w:hint="cs"/>
          <w:rtl/>
        </w:rPr>
        <w:t>,</w:t>
      </w:r>
      <w:r w:rsidRPr="00C347B4">
        <w:rPr>
          <w:rFonts w:cs="Arial"/>
          <w:rtl/>
        </w:rPr>
        <w:t xml:space="preserve"> דכל שעשאו לעצמו איכא משום אקרובי דעתא אע</w:t>
      </w:r>
      <w:r w:rsidRPr="00C347B4">
        <w:rPr>
          <w:rFonts w:cs="Arial" w:hint="cs"/>
          <w:rtl/>
        </w:rPr>
        <w:t>"</w:t>
      </w:r>
      <w:r w:rsidRPr="00C347B4">
        <w:rPr>
          <w:rFonts w:cs="Arial"/>
          <w:rtl/>
        </w:rPr>
        <w:t>פ שהוא פלטר דלדבר זה בעל הבית הוא</w:t>
      </w:r>
      <w:r>
        <w:rPr>
          <w:rStyle w:val="a7"/>
          <w:rFonts w:cs="Arial"/>
          <w:rtl/>
        </w:rPr>
        <w:footnoteReference w:id="2650"/>
      </w:r>
      <w:r w:rsidRPr="00C347B4">
        <w:rPr>
          <w:rFonts w:cs="Arial" w:hint="cs"/>
          <w:rtl/>
        </w:rPr>
        <w:t>.</w:t>
      </w:r>
      <w:r>
        <w:rPr>
          <w:rFonts w:hint="cs"/>
          <w:rtl/>
        </w:rPr>
        <w:t xml:space="preserve"> </w:t>
      </w:r>
      <w:r w:rsidRPr="00C347B4">
        <w:rPr>
          <w:rFonts w:hint="cs"/>
          <w:color w:val="00B0F0"/>
          <w:rtl/>
        </w:rPr>
        <w:t>(וכ"פ הרמ"א)</w:t>
      </w:r>
    </w:p>
    <w:p w14:paraId="47AD9C4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A519168" w14:textId="77777777" w:rsidR="002C39F4" w:rsidRDefault="002C39F4" w:rsidP="002C39F4">
      <w:pPr>
        <w:rPr>
          <w:rFonts w:asciiTheme="minorBidi" w:hAnsiTheme="minorBidi"/>
          <w:rtl/>
        </w:rPr>
      </w:pPr>
      <w:r w:rsidRPr="003024E5">
        <w:rPr>
          <w:rFonts w:asciiTheme="minorBidi" w:hAnsiTheme="minorBidi"/>
          <w:rtl/>
        </w:rPr>
        <w:t>יש מקומות שמקילין בדבר</w:t>
      </w:r>
      <w:r>
        <w:rPr>
          <w:rStyle w:val="a7"/>
          <w:rFonts w:asciiTheme="minorBidi" w:hAnsiTheme="minorBidi"/>
          <w:rtl/>
        </w:rPr>
        <w:footnoteReference w:id="2651"/>
      </w:r>
      <w:r w:rsidRPr="003024E5">
        <w:rPr>
          <w:rFonts w:asciiTheme="minorBidi" w:hAnsiTheme="minorBidi"/>
          <w:rtl/>
        </w:rPr>
        <w:t xml:space="preserve"> ולוקחים פת מנחתום ה</w:t>
      </w:r>
      <w:r>
        <w:rPr>
          <w:rFonts w:asciiTheme="minorBidi" w:hAnsiTheme="minorBidi"/>
          <w:rtl/>
        </w:rPr>
        <w:t>גוי</w:t>
      </w:r>
      <w:r>
        <w:rPr>
          <w:rStyle w:val="a7"/>
          <w:rFonts w:asciiTheme="minorBidi" w:hAnsiTheme="minorBidi"/>
          <w:rtl/>
        </w:rPr>
        <w:footnoteReference w:id="2652"/>
      </w:r>
      <w:r w:rsidRPr="003024E5">
        <w:rPr>
          <w:rFonts w:asciiTheme="minorBidi" w:hAnsiTheme="minorBidi"/>
          <w:rtl/>
        </w:rPr>
        <w:t xml:space="preserve"> במקום שאין שם נחתו</w:t>
      </w:r>
      <w:r>
        <w:rPr>
          <w:rFonts w:asciiTheme="minorBidi" w:hAnsiTheme="minorBidi"/>
          <w:rtl/>
        </w:rPr>
        <w:t xml:space="preserve">ם ישראל, מפני שהיא שעת הדחק. </w:t>
      </w:r>
      <w:r w:rsidRPr="0050419D">
        <w:rPr>
          <w:rFonts w:asciiTheme="minorBidi" w:hAnsiTheme="minorBidi" w:hint="cs"/>
          <w:sz w:val="18"/>
          <w:szCs w:val="18"/>
          <w:rtl/>
        </w:rPr>
        <w:t xml:space="preserve">[הגה] </w:t>
      </w:r>
      <w:r w:rsidRPr="0050419D">
        <w:rPr>
          <w:rFonts w:asciiTheme="minorBidi" w:hAnsiTheme="minorBidi"/>
          <w:sz w:val="18"/>
          <w:szCs w:val="18"/>
          <w:rtl/>
        </w:rPr>
        <w:t>וי"א ד</w:t>
      </w:r>
      <w:r>
        <w:rPr>
          <w:rFonts w:asciiTheme="minorBidi" w:hAnsiTheme="minorBidi"/>
          <w:sz w:val="18"/>
          <w:szCs w:val="18"/>
          <w:rtl/>
        </w:rPr>
        <w:t>אפילו במקום שפת ישראל מצוי</w:t>
      </w:r>
      <w:r w:rsidRPr="0050419D">
        <w:rPr>
          <w:rFonts w:asciiTheme="minorBidi" w:hAnsiTheme="minorBidi"/>
          <w:sz w:val="18"/>
          <w:szCs w:val="18"/>
          <w:rtl/>
        </w:rPr>
        <w:t xml:space="preserve"> שרי</w:t>
      </w:r>
      <w:r>
        <w:rPr>
          <w:rStyle w:val="a7"/>
          <w:rFonts w:asciiTheme="minorBidi" w:hAnsiTheme="minorBidi"/>
          <w:sz w:val="16"/>
          <w:szCs w:val="16"/>
          <w:rtl/>
        </w:rPr>
        <w:footnoteReference w:id="2653"/>
      </w:r>
      <w:r w:rsidRPr="002F0B75">
        <w:rPr>
          <w:rFonts w:asciiTheme="minorBidi" w:hAnsiTheme="minorBidi"/>
          <w:sz w:val="16"/>
          <w:szCs w:val="16"/>
          <w:rtl/>
        </w:rPr>
        <w:t xml:space="preserve"> (ב"י לדעת המרדכי וסמ"ק והג"א ומהרא"י ואו"ה)</w:t>
      </w:r>
      <w:r w:rsidRPr="0050419D">
        <w:rPr>
          <w:rFonts w:asciiTheme="minorBidi" w:hAnsiTheme="minorBidi"/>
          <w:sz w:val="18"/>
          <w:szCs w:val="18"/>
          <w:rtl/>
        </w:rPr>
        <w:t>.</w:t>
      </w:r>
      <w:r w:rsidRPr="003024E5">
        <w:rPr>
          <w:rFonts w:asciiTheme="minorBidi" w:hAnsiTheme="minorBidi"/>
          <w:rtl/>
        </w:rPr>
        <w:t xml:space="preserve"> אבל פת של בעלי בתים, אין שם מי שמורה בה להקל, שעיקר הגזירה משום חתנות, ואם יאכל פת בעלי בתים יבא לסעוד אצלם</w:t>
      </w:r>
      <w:r w:rsidRPr="0043600C">
        <w:rPr>
          <w:rStyle w:val="a7"/>
          <w:rFonts w:asciiTheme="minorBidi" w:hAnsiTheme="minorBidi"/>
          <w:rtl/>
        </w:rPr>
        <w:footnoteReference w:id="2654"/>
      </w:r>
      <w:r w:rsidRPr="003024E5">
        <w:rPr>
          <w:rFonts w:asciiTheme="minorBidi" w:hAnsiTheme="minorBidi"/>
          <w:rtl/>
        </w:rPr>
        <w:t xml:space="preserve">. </w:t>
      </w:r>
      <w:r>
        <w:rPr>
          <w:rFonts w:asciiTheme="minorBidi" w:hAnsiTheme="minorBidi"/>
          <w:sz w:val="18"/>
          <w:szCs w:val="18"/>
          <w:rtl/>
        </w:rPr>
        <w:t>הגה: ולא מקרי פת בעל הבית</w:t>
      </w:r>
      <w:r w:rsidRPr="0050419D">
        <w:rPr>
          <w:rFonts w:asciiTheme="minorBidi" w:hAnsiTheme="minorBidi"/>
          <w:sz w:val="18"/>
          <w:szCs w:val="18"/>
          <w:rtl/>
        </w:rPr>
        <w:t xml:space="preserve"> אלא אם עשאו לבני ביתו, אבל </w:t>
      </w:r>
      <w:r>
        <w:rPr>
          <w:rFonts w:asciiTheme="minorBidi" w:hAnsiTheme="minorBidi"/>
          <w:sz w:val="18"/>
          <w:szCs w:val="18"/>
          <w:rtl/>
        </w:rPr>
        <w:t>עשאו למכור מיקרי פלטר אע</w:t>
      </w:r>
      <w:r>
        <w:rPr>
          <w:rFonts w:asciiTheme="minorBidi" w:hAnsiTheme="minorBidi" w:hint="cs"/>
          <w:sz w:val="18"/>
          <w:szCs w:val="18"/>
          <w:rtl/>
        </w:rPr>
        <w:t>"</w:t>
      </w:r>
      <w:r>
        <w:rPr>
          <w:rFonts w:asciiTheme="minorBidi" w:hAnsiTheme="minorBidi"/>
          <w:sz w:val="18"/>
          <w:szCs w:val="18"/>
          <w:rtl/>
        </w:rPr>
        <w:t>פ</w:t>
      </w:r>
      <w:r w:rsidRPr="0050419D">
        <w:rPr>
          <w:rFonts w:asciiTheme="minorBidi" w:hAnsiTheme="minorBidi"/>
          <w:sz w:val="18"/>
          <w:szCs w:val="18"/>
          <w:rtl/>
        </w:rPr>
        <w:t xml:space="preserve"> שאין</w:t>
      </w:r>
      <w:r>
        <w:rPr>
          <w:rFonts w:asciiTheme="minorBidi" w:hAnsiTheme="minorBidi"/>
          <w:sz w:val="18"/>
          <w:szCs w:val="18"/>
          <w:rtl/>
        </w:rPr>
        <w:t xml:space="preserve"> דרכו בכך. וכן פלטר שעשאו לעצמו</w:t>
      </w:r>
      <w:r w:rsidRPr="0050419D">
        <w:rPr>
          <w:rFonts w:asciiTheme="minorBidi" w:hAnsiTheme="minorBidi"/>
          <w:sz w:val="18"/>
          <w:szCs w:val="18"/>
          <w:rtl/>
        </w:rPr>
        <w:t xml:space="preserve"> מקרי בעל הבית </w:t>
      </w:r>
      <w:r>
        <w:rPr>
          <w:rFonts w:asciiTheme="minorBidi" w:hAnsiTheme="minorBidi"/>
          <w:sz w:val="16"/>
          <w:szCs w:val="16"/>
          <w:rtl/>
        </w:rPr>
        <w:t>(כ</w:t>
      </w:r>
      <w:r>
        <w:rPr>
          <w:rFonts w:asciiTheme="minorBidi" w:hAnsiTheme="minorBidi" w:hint="cs"/>
          <w:sz w:val="16"/>
          <w:szCs w:val="16"/>
          <w:rtl/>
        </w:rPr>
        <w:t>"</w:t>
      </w:r>
      <w:r>
        <w:rPr>
          <w:rFonts w:asciiTheme="minorBidi" w:hAnsiTheme="minorBidi"/>
          <w:sz w:val="16"/>
          <w:szCs w:val="16"/>
          <w:rtl/>
        </w:rPr>
        <w:t>מ</w:t>
      </w:r>
      <w:r w:rsidRPr="002F0B75">
        <w:rPr>
          <w:rFonts w:asciiTheme="minorBidi" w:hAnsiTheme="minorBidi"/>
          <w:sz w:val="16"/>
          <w:szCs w:val="16"/>
          <w:rtl/>
        </w:rPr>
        <w:t xml:space="preserve"> בב"י)</w:t>
      </w:r>
      <w:r w:rsidRPr="0050419D">
        <w:rPr>
          <w:rFonts w:asciiTheme="minorBidi" w:hAnsiTheme="minorBidi"/>
          <w:sz w:val="18"/>
          <w:szCs w:val="18"/>
          <w:rtl/>
        </w:rPr>
        <w:t xml:space="preserve">. </w:t>
      </w:r>
    </w:p>
    <w:p w14:paraId="56442A68" w14:textId="77777777" w:rsidR="002C39F4" w:rsidRPr="003024E5" w:rsidRDefault="002C39F4" w:rsidP="002C39F4">
      <w:pPr>
        <w:rPr>
          <w:rFonts w:asciiTheme="minorBidi" w:hAnsiTheme="minorBidi"/>
          <w:rtl/>
        </w:rPr>
      </w:pPr>
    </w:p>
    <w:p w14:paraId="101BB9A4"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פלטר שהזמין את הישראל.</w:t>
      </w:r>
    </w:p>
    <w:p w14:paraId="12AD849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5C4A804" w14:textId="77777777" w:rsidR="002C39F4" w:rsidRDefault="002C39F4" w:rsidP="002C39F4">
      <w:pPr>
        <w:rPr>
          <w:rFonts w:asciiTheme="minorBidi" w:hAnsiTheme="minorBidi"/>
          <w:rtl/>
        </w:rPr>
      </w:pPr>
      <w:r w:rsidRPr="003024E5">
        <w:rPr>
          <w:rFonts w:asciiTheme="minorBidi" w:hAnsiTheme="minorBidi"/>
          <w:rtl/>
        </w:rPr>
        <w:t>י</w:t>
      </w:r>
      <w:r>
        <w:rPr>
          <w:rFonts w:asciiTheme="minorBidi" w:hAnsiTheme="minorBidi"/>
          <w:rtl/>
        </w:rPr>
        <w:t>ש מי שאומר שאם פלטר הזמין ישראל</w:t>
      </w:r>
      <w:r w:rsidRPr="003024E5">
        <w:rPr>
          <w:rFonts w:asciiTheme="minorBidi" w:hAnsiTheme="minorBidi"/>
          <w:rtl/>
        </w:rPr>
        <w:t xml:space="preserve"> הרי פתו כפת בעל הבית</w:t>
      </w:r>
      <w:r>
        <w:rPr>
          <w:rStyle w:val="a7"/>
          <w:rFonts w:asciiTheme="minorBidi" w:hAnsiTheme="minorBidi"/>
          <w:rtl/>
        </w:rPr>
        <w:footnoteReference w:id="2655"/>
      </w:r>
      <w:r w:rsidRPr="003024E5">
        <w:rPr>
          <w:rFonts w:asciiTheme="minorBidi" w:hAnsiTheme="minorBidi"/>
          <w:rtl/>
        </w:rPr>
        <w:t xml:space="preserve">. </w:t>
      </w:r>
    </w:p>
    <w:p w14:paraId="046E7168" w14:textId="77777777" w:rsidR="002C39F4" w:rsidRPr="003024E5" w:rsidRDefault="002C39F4" w:rsidP="002C39F4">
      <w:pPr>
        <w:rPr>
          <w:rFonts w:asciiTheme="minorBidi" w:hAnsiTheme="minorBidi"/>
          <w:rtl/>
        </w:rPr>
      </w:pPr>
    </w:p>
    <w:p w14:paraId="1C014EFE" w14:textId="77777777" w:rsidR="002C39F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מקום שפלטר ישראל מצוי לסירוגין.</w:t>
      </w:r>
    </w:p>
    <w:p w14:paraId="7940203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C1FE14D" w14:textId="77777777" w:rsidR="002C39F4" w:rsidRDefault="002C39F4" w:rsidP="002C39F4">
      <w:pPr>
        <w:rPr>
          <w:rFonts w:asciiTheme="minorBidi" w:hAnsiTheme="minorBidi"/>
          <w:rtl/>
        </w:rPr>
      </w:pPr>
      <w:r w:rsidRPr="003024E5">
        <w:rPr>
          <w:rFonts w:asciiTheme="minorBidi" w:hAnsiTheme="minorBidi"/>
          <w:rtl/>
        </w:rPr>
        <w:t xml:space="preserve">מקום שאין פלטר ישראל מצוי, לדעת המתירין ליקח פת מפלטר </w:t>
      </w:r>
      <w:r>
        <w:rPr>
          <w:rFonts w:asciiTheme="minorBidi" w:hAnsiTheme="minorBidi"/>
          <w:rtl/>
        </w:rPr>
        <w:t>גוי</w:t>
      </w:r>
      <w:r w:rsidRPr="003024E5">
        <w:rPr>
          <w:rFonts w:asciiTheme="minorBidi" w:hAnsiTheme="minorBidi"/>
          <w:rtl/>
        </w:rPr>
        <w:t xml:space="preserve">, אם הגיע שם פלטר ישראל הרי פת פלטר </w:t>
      </w:r>
      <w:r>
        <w:rPr>
          <w:rFonts w:asciiTheme="minorBidi" w:hAnsiTheme="minorBidi"/>
          <w:rtl/>
        </w:rPr>
        <w:t>גוי</w:t>
      </w:r>
      <w:r w:rsidRPr="003024E5">
        <w:rPr>
          <w:rFonts w:asciiTheme="minorBidi" w:hAnsiTheme="minorBidi"/>
          <w:rtl/>
        </w:rPr>
        <w:t xml:space="preserve"> אסורה</w:t>
      </w:r>
      <w:r>
        <w:rPr>
          <w:rStyle w:val="a7"/>
          <w:rFonts w:asciiTheme="minorBidi" w:hAnsiTheme="minorBidi"/>
          <w:rtl/>
        </w:rPr>
        <w:footnoteReference w:id="2656"/>
      </w:r>
      <w:r w:rsidRPr="003024E5">
        <w:rPr>
          <w:rFonts w:asciiTheme="minorBidi" w:hAnsiTheme="minorBidi"/>
          <w:rtl/>
        </w:rPr>
        <w:t xml:space="preserve"> עד שימכור פלטר ישראל פתו, ולאחר שכלה פת ישראל חוזר פתו של </w:t>
      </w:r>
      <w:r>
        <w:rPr>
          <w:rFonts w:asciiTheme="minorBidi" w:hAnsiTheme="minorBidi"/>
          <w:rtl/>
        </w:rPr>
        <w:t>גוי</w:t>
      </w:r>
      <w:r w:rsidRPr="003024E5">
        <w:rPr>
          <w:rFonts w:asciiTheme="minorBidi" w:hAnsiTheme="minorBidi"/>
          <w:rtl/>
        </w:rPr>
        <w:t xml:space="preserve"> להכשרו.</w:t>
      </w:r>
      <w:r w:rsidRPr="00B20FA4">
        <w:rPr>
          <w:rFonts w:asciiTheme="minorBidi" w:hAnsiTheme="minorBidi"/>
          <w:sz w:val="16"/>
          <w:szCs w:val="16"/>
          <w:rtl/>
        </w:rPr>
        <w:t xml:space="preserve"> </w:t>
      </w:r>
      <w:r w:rsidRPr="00B20FA4">
        <w:rPr>
          <w:rFonts w:asciiTheme="minorBidi" w:hAnsiTheme="minorBidi" w:hint="cs"/>
          <w:sz w:val="16"/>
          <w:szCs w:val="16"/>
          <w:rtl/>
        </w:rPr>
        <w:t xml:space="preserve">{א"ח בשם </w:t>
      </w:r>
      <w:r>
        <w:rPr>
          <w:rFonts w:asciiTheme="minorBidi" w:hAnsiTheme="minorBidi" w:hint="cs"/>
          <w:sz w:val="16"/>
          <w:szCs w:val="16"/>
          <w:rtl/>
        </w:rPr>
        <w:t xml:space="preserve">[שם] </w:t>
      </w:r>
      <w:r w:rsidRPr="00B20FA4">
        <w:rPr>
          <w:rFonts w:asciiTheme="minorBidi" w:hAnsiTheme="minorBidi" w:hint="cs"/>
          <w:sz w:val="16"/>
          <w:szCs w:val="16"/>
          <w:rtl/>
        </w:rPr>
        <w:t>הרא"ה</w:t>
      </w:r>
      <w:r>
        <w:rPr>
          <w:rFonts w:asciiTheme="minorBidi" w:hAnsiTheme="minorBidi" w:hint="cs"/>
          <w:sz w:val="16"/>
          <w:szCs w:val="16"/>
          <w:rtl/>
        </w:rPr>
        <w:t xml:space="preserve"> [שם]</w:t>
      </w:r>
      <w:r w:rsidRPr="00B20FA4">
        <w:rPr>
          <w:rFonts w:asciiTheme="minorBidi" w:hAnsiTheme="minorBidi" w:hint="cs"/>
          <w:sz w:val="16"/>
          <w:szCs w:val="16"/>
          <w:rtl/>
        </w:rPr>
        <w:t>}</w:t>
      </w:r>
    </w:p>
    <w:p w14:paraId="5E131738" w14:textId="77777777" w:rsidR="002C39F4" w:rsidRPr="003024E5" w:rsidRDefault="002C39F4" w:rsidP="002C39F4">
      <w:pPr>
        <w:rPr>
          <w:rFonts w:asciiTheme="minorBidi" w:hAnsiTheme="minorBidi"/>
          <w:rtl/>
        </w:rPr>
      </w:pPr>
    </w:p>
    <w:p w14:paraId="1D6EADCA"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פת של פלטר גוי שטעים יותר משל פלטר ישראל.</w:t>
      </w:r>
    </w:p>
    <w:p w14:paraId="3A0DEE2F" w14:textId="77777777" w:rsidR="002C39F4" w:rsidRPr="00C661C1" w:rsidRDefault="002C39F4" w:rsidP="002C39F4">
      <w:pPr>
        <w:rPr>
          <w:rFonts w:cs="Arial"/>
          <w:u w:val="single"/>
          <w:rtl/>
        </w:rPr>
      </w:pPr>
      <w:r w:rsidRPr="00C661C1">
        <w:rPr>
          <w:rFonts w:asciiTheme="minorBidi" w:hAnsiTheme="minorBidi" w:hint="cs"/>
          <w:u w:val="single"/>
          <w:rtl/>
        </w:rPr>
        <w:t>פת של פלטר גוי שטעים יותר משל פלטר ישראל</w:t>
      </w:r>
      <w:r w:rsidRPr="00C661C1">
        <w:rPr>
          <w:rFonts w:cs="Arial" w:hint="cs"/>
          <w:u w:val="single"/>
          <w:rtl/>
        </w:rPr>
        <w:t>:</w:t>
      </w:r>
    </w:p>
    <w:p w14:paraId="437745B5" w14:textId="77777777" w:rsidR="002C39F4" w:rsidRPr="00C661C1" w:rsidRDefault="002C39F4" w:rsidP="0032102C">
      <w:pPr>
        <w:pStyle w:val="a8"/>
        <w:numPr>
          <w:ilvl w:val="0"/>
          <w:numId w:val="267"/>
        </w:numPr>
        <w:rPr>
          <w:rFonts w:cs="Arial"/>
          <w:rtl/>
        </w:rPr>
      </w:pPr>
      <w:r w:rsidRPr="00C661C1">
        <w:rPr>
          <w:rFonts w:cs="Arial"/>
          <w:rtl/>
        </w:rPr>
        <w:t>ה"ר יונה</w:t>
      </w:r>
      <w:r>
        <w:rPr>
          <w:rFonts w:cs="Arial" w:hint="cs"/>
          <w:rtl/>
        </w:rPr>
        <w:t xml:space="preserve"> ורשב"א</w:t>
      </w:r>
      <w:r>
        <w:rPr>
          <w:rStyle w:val="a7"/>
          <w:rFonts w:cs="Arial"/>
          <w:rtl/>
        </w:rPr>
        <w:footnoteReference w:id="2657"/>
      </w:r>
      <w:r>
        <w:rPr>
          <w:rFonts w:cs="Arial" w:hint="cs"/>
          <w:rtl/>
        </w:rPr>
        <w:t>-</w:t>
      </w:r>
      <w:r w:rsidRPr="00C661C1">
        <w:rPr>
          <w:rFonts w:cs="Arial"/>
          <w:rtl/>
        </w:rPr>
        <w:t xml:space="preserve"> מי שיש בידו פת</w:t>
      </w:r>
      <w:r>
        <w:rPr>
          <w:rFonts w:cs="Arial" w:hint="cs"/>
          <w:rtl/>
        </w:rPr>
        <w:t>,</w:t>
      </w:r>
      <w:r w:rsidRPr="00C661C1">
        <w:rPr>
          <w:rFonts w:cs="Arial"/>
          <w:rtl/>
        </w:rPr>
        <w:t xml:space="preserve"> או שיש פלטר ישראל ויש פלטר גוי עושה פת יפה ממנו</w:t>
      </w:r>
      <w:r>
        <w:rPr>
          <w:rFonts w:cs="Arial" w:hint="cs"/>
          <w:rtl/>
        </w:rPr>
        <w:t>,</w:t>
      </w:r>
      <w:r w:rsidRPr="00C661C1">
        <w:rPr>
          <w:rFonts w:cs="Arial"/>
          <w:rtl/>
        </w:rPr>
        <w:t xml:space="preserve"> או ממין אחד שאין בידו של פלטר ישראל</w:t>
      </w:r>
      <w:r>
        <w:rPr>
          <w:rFonts w:cs="Arial" w:hint="cs"/>
          <w:rtl/>
        </w:rPr>
        <w:t>,</w:t>
      </w:r>
      <w:r w:rsidRPr="00C661C1">
        <w:rPr>
          <w:rFonts w:cs="Arial"/>
          <w:rtl/>
        </w:rPr>
        <w:t xml:space="preserve"> מותר לקנות מפלטר גוי</w:t>
      </w:r>
      <w:r>
        <w:rPr>
          <w:rFonts w:cs="Arial" w:hint="cs"/>
          <w:rtl/>
        </w:rPr>
        <w:t>,</w:t>
      </w:r>
      <w:r w:rsidRPr="00C661C1">
        <w:rPr>
          <w:rFonts w:cs="Arial"/>
          <w:rtl/>
        </w:rPr>
        <w:t xml:space="preserve"> דכיון שהותרה לגמרי הותרה כל היכא דליכא פלטר ישראל כמוהו דכיון שדעתו של זה נוחה יותר בפת פלטר זה מפני חשיבותו בעיניו הרי זה כפת דחוקה לו</w:t>
      </w:r>
      <w:r>
        <w:rPr>
          <w:rFonts w:cs="Arial" w:hint="cs"/>
          <w:rtl/>
        </w:rPr>
        <w:t>,</w:t>
      </w:r>
      <w:r>
        <w:rPr>
          <w:rFonts w:cs="Arial"/>
          <w:rtl/>
        </w:rPr>
        <w:t xml:space="preserve"> וכן נהגו</w:t>
      </w:r>
      <w:r>
        <w:rPr>
          <w:rFonts w:cs="Arial" w:hint="cs"/>
          <w:rtl/>
        </w:rPr>
        <w:t>,</w:t>
      </w:r>
      <w:r>
        <w:rPr>
          <w:rFonts w:cs="Arial"/>
          <w:rtl/>
        </w:rPr>
        <w:t xml:space="preserve"> וכן דעת מורי ז"ל</w:t>
      </w:r>
      <w:r>
        <w:rPr>
          <w:rStyle w:val="a7"/>
          <w:rFonts w:cs="Arial"/>
          <w:rtl/>
        </w:rPr>
        <w:footnoteReference w:id="2658"/>
      </w:r>
      <w:r>
        <w:rPr>
          <w:rFonts w:cs="Arial" w:hint="cs"/>
          <w:sz w:val="16"/>
          <w:szCs w:val="16"/>
          <w:rtl/>
        </w:rPr>
        <w:t xml:space="preserve"> (ל' הרשב"א)</w:t>
      </w:r>
      <w:r>
        <w:rPr>
          <w:rFonts w:cs="Arial" w:hint="cs"/>
          <w:rtl/>
        </w:rPr>
        <w:t xml:space="preserve">. </w:t>
      </w:r>
      <w:r w:rsidRPr="00333F58">
        <w:rPr>
          <w:rFonts w:cs="Arial" w:hint="cs"/>
          <w:color w:val="E36C0A" w:themeColor="accent6" w:themeShade="BF"/>
          <w:rtl/>
        </w:rPr>
        <w:t>(וכ"</w:t>
      </w:r>
      <w:r>
        <w:rPr>
          <w:rFonts w:cs="Arial" w:hint="cs"/>
          <w:color w:val="E36C0A" w:themeColor="accent6" w:themeShade="BF"/>
          <w:rtl/>
        </w:rPr>
        <w:t>כ</w:t>
      </w:r>
      <w:r w:rsidRPr="00333F58">
        <w:rPr>
          <w:rFonts w:cs="Arial" w:hint="cs"/>
          <w:color w:val="E36C0A" w:themeColor="accent6" w:themeShade="BF"/>
          <w:rtl/>
        </w:rPr>
        <w:t xml:space="preserve"> בשו"ע)</w:t>
      </w:r>
    </w:p>
    <w:p w14:paraId="51BA194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B68A18A" w14:textId="77777777" w:rsidR="002C39F4" w:rsidRDefault="002C39F4" w:rsidP="002C39F4">
      <w:pPr>
        <w:rPr>
          <w:rFonts w:asciiTheme="minorBidi" w:hAnsiTheme="minorBidi"/>
          <w:rtl/>
        </w:rPr>
      </w:pPr>
      <w:r w:rsidRPr="003024E5">
        <w:rPr>
          <w:rFonts w:asciiTheme="minorBidi" w:hAnsiTheme="minorBidi"/>
          <w:rtl/>
        </w:rPr>
        <w:t xml:space="preserve">יש אומרים שמי שיש בידו פת, או שיש פלטר ישראל, ויש פלטר </w:t>
      </w:r>
      <w:r>
        <w:rPr>
          <w:rFonts w:asciiTheme="minorBidi" w:hAnsiTheme="minorBidi"/>
          <w:rtl/>
        </w:rPr>
        <w:t>גוי</w:t>
      </w:r>
      <w:r w:rsidRPr="003024E5">
        <w:rPr>
          <w:rFonts w:asciiTheme="minorBidi" w:hAnsiTheme="minorBidi"/>
          <w:rtl/>
        </w:rPr>
        <w:t xml:space="preserve"> עושה פת יפה ממנו, או ממין אחר שאין בידו של פלטר ישראל, מותר לקנות מפלטר </w:t>
      </w:r>
      <w:r>
        <w:rPr>
          <w:rFonts w:asciiTheme="minorBidi" w:hAnsiTheme="minorBidi"/>
          <w:rtl/>
        </w:rPr>
        <w:t>גוי</w:t>
      </w:r>
      <w:r w:rsidRPr="003024E5">
        <w:rPr>
          <w:rFonts w:asciiTheme="minorBidi" w:hAnsiTheme="minorBidi"/>
          <w:rtl/>
        </w:rPr>
        <w:t xml:space="preserve"> במקום שנהגו היתר בפת של פלטר, דכיון דדעתו נוחה יותר בפת פלטר זה מפני חשיבותו בעיניו, הרי זה כפת דחוקה לו. </w:t>
      </w:r>
    </w:p>
    <w:p w14:paraId="280A28CA" w14:textId="77777777" w:rsidR="002C39F4" w:rsidRPr="003024E5" w:rsidRDefault="002C39F4" w:rsidP="002C39F4">
      <w:pPr>
        <w:rPr>
          <w:rFonts w:asciiTheme="minorBidi" w:hAnsiTheme="minorBidi"/>
          <w:rtl/>
        </w:rPr>
      </w:pPr>
    </w:p>
    <w:p w14:paraId="28CB9863"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פת שנילוש בביצים.</w:t>
      </w:r>
    </w:p>
    <w:p w14:paraId="25A1E0FD" w14:textId="77777777" w:rsidR="002C39F4" w:rsidRPr="00CF56C8" w:rsidRDefault="002C39F4" w:rsidP="002C39F4">
      <w:pPr>
        <w:rPr>
          <w:u w:val="single"/>
          <w:rtl/>
        </w:rPr>
      </w:pPr>
      <w:r w:rsidRPr="00CF56C8">
        <w:rPr>
          <w:u w:val="single"/>
          <w:rtl/>
        </w:rPr>
        <w:t xml:space="preserve">פת </w:t>
      </w:r>
      <w:r w:rsidRPr="00CF56C8">
        <w:rPr>
          <w:rFonts w:hint="cs"/>
          <w:u w:val="single"/>
          <w:rtl/>
        </w:rPr>
        <w:t>שנילוש בביצים:</w:t>
      </w:r>
    </w:p>
    <w:p w14:paraId="4E410747" w14:textId="77777777" w:rsidR="002C39F4" w:rsidRDefault="002C39F4" w:rsidP="0032102C">
      <w:pPr>
        <w:pStyle w:val="a8"/>
        <w:numPr>
          <w:ilvl w:val="0"/>
          <w:numId w:val="267"/>
        </w:numPr>
        <w:rPr>
          <w:rFonts w:cs="Arial"/>
        </w:rPr>
      </w:pPr>
      <w:r>
        <w:rPr>
          <w:rFonts w:cs="Arial"/>
          <w:rtl/>
        </w:rPr>
        <w:t>תוס</w:t>
      </w:r>
      <w:r>
        <w:rPr>
          <w:rFonts w:cs="Arial" w:hint="cs"/>
          <w:rtl/>
        </w:rPr>
        <w:t>'</w:t>
      </w:r>
      <w:r>
        <w:rPr>
          <w:rFonts w:cs="Arial"/>
          <w:rtl/>
        </w:rPr>
        <w:t xml:space="preserve"> </w:t>
      </w:r>
      <w:r w:rsidRPr="00592D51">
        <w:rPr>
          <w:rFonts w:cs="Arial"/>
          <w:sz w:val="16"/>
          <w:szCs w:val="16"/>
          <w:rtl/>
        </w:rPr>
        <w:t xml:space="preserve">(לח. ד"ה קמ"ל קימחא) </w:t>
      </w:r>
      <w:r w:rsidRPr="00CF56C8">
        <w:rPr>
          <w:rFonts w:cs="Arial"/>
          <w:rtl/>
        </w:rPr>
        <w:t xml:space="preserve">רשב"א </w:t>
      </w:r>
      <w:r w:rsidRPr="00592D51">
        <w:rPr>
          <w:rFonts w:cs="Arial"/>
          <w:sz w:val="16"/>
          <w:szCs w:val="16"/>
          <w:rtl/>
        </w:rPr>
        <w:t>(</w:t>
      </w:r>
      <w:r w:rsidRPr="00592D51">
        <w:rPr>
          <w:rFonts w:cs="Arial" w:hint="cs"/>
          <w:sz w:val="16"/>
          <w:szCs w:val="16"/>
          <w:rtl/>
        </w:rPr>
        <w:t>תוה"א</w:t>
      </w:r>
      <w:r w:rsidRPr="00592D51">
        <w:rPr>
          <w:rFonts w:cs="Arial"/>
          <w:sz w:val="16"/>
          <w:szCs w:val="16"/>
          <w:rtl/>
        </w:rPr>
        <w:t xml:space="preserve"> ב"ג ש"ז צה ע"ג) </w:t>
      </w:r>
      <w:r>
        <w:rPr>
          <w:rFonts w:cs="Arial"/>
          <w:rtl/>
        </w:rPr>
        <w:t xml:space="preserve">רא"ש </w:t>
      </w:r>
      <w:r w:rsidRPr="00592D51">
        <w:rPr>
          <w:rFonts w:cs="Arial"/>
          <w:sz w:val="16"/>
          <w:szCs w:val="16"/>
          <w:rtl/>
        </w:rPr>
        <w:t xml:space="preserve">(סי' כט) </w:t>
      </w:r>
      <w:r>
        <w:rPr>
          <w:rFonts w:cs="Arial" w:hint="cs"/>
          <w:rtl/>
        </w:rPr>
        <w:t xml:space="preserve">טור </w:t>
      </w:r>
      <w:r>
        <w:rPr>
          <w:rFonts w:cs="Arial"/>
          <w:rtl/>
        </w:rPr>
        <w:t xml:space="preserve">ור"ן </w:t>
      </w:r>
      <w:r w:rsidRPr="00592D51">
        <w:rPr>
          <w:rFonts w:cs="Arial"/>
          <w:sz w:val="16"/>
          <w:szCs w:val="16"/>
          <w:rtl/>
        </w:rPr>
        <w:t>(טו. סוף דיבור ראשון)</w:t>
      </w:r>
      <w:r>
        <w:rPr>
          <w:rFonts w:cs="Arial" w:hint="cs"/>
          <w:rtl/>
        </w:rPr>
        <w:t xml:space="preserve">- </w:t>
      </w:r>
      <w:r w:rsidRPr="00CF56C8">
        <w:rPr>
          <w:rFonts w:cs="Arial" w:hint="cs"/>
          <w:rtl/>
        </w:rPr>
        <w:t xml:space="preserve">טור- </w:t>
      </w:r>
      <w:r w:rsidRPr="00CF56C8">
        <w:rPr>
          <w:rFonts w:cs="Arial"/>
          <w:rtl/>
        </w:rPr>
        <w:t>פת של גוים</w:t>
      </w:r>
      <w:r>
        <w:rPr>
          <w:rFonts w:cs="Arial"/>
          <w:rtl/>
        </w:rPr>
        <w:t xml:space="preserve"> שנילוש בביצים אע</w:t>
      </w:r>
      <w:r>
        <w:rPr>
          <w:rFonts w:cs="Arial" w:hint="cs"/>
          <w:rtl/>
        </w:rPr>
        <w:t>"</w:t>
      </w:r>
      <w:r>
        <w:rPr>
          <w:rFonts w:cs="Arial"/>
          <w:rtl/>
        </w:rPr>
        <w:t>פ</w:t>
      </w:r>
      <w:r w:rsidRPr="00CF56C8">
        <w:rPr>
          <w:rFonts w:cs="Arial"/>
          <w:rtl/>
        </w:rPr>
        <w:t xml:space="preserve"> שיש בביצים משום בישולי גוים</w:t>
      </w:r>
      <w:r>
        <w:rPr>
          <w:rFonts w:cs="Arial" w:hint="cs"/>
          <w:rtl/>
        </w:rPr>
        <w:t>,</w:t>
      </w:r>
      <w:r w:rsidRPr="00CF56C8">
        <w:rPr>
          <w:rFonts w:cs="Arial"/>
          <w:rtl/>
        </w:rPr>
        <w:t xml:space="preserve"> ושלקות אסורין בכל המקומות</w:t>
      </w:r>
      <w:r>
        <w:rPr>
          <w:rFonts w:cs="Arial" w:hint="cs"/>
          <w:rtl/>
        </w:rPr>
        <w:t>,</w:t>
      </w:r>
      <w:r w:rsidRPr="00CF56C8">
        <w:rPr>
          <w:rFonts w:cs="Arial"/>
          <w:rtl/>
        </w:rPr>
        <w:t xml:space="preserve"> אפי' הכי מותר </w:t>
      </w:r>
      <w:r>
        <w:rPr>
          <w:rFonts w:cs="Arial" w:hint="cs"/>
          <w:sz w:val="16"/>
          <w:szCs w:val="16"/>
          <w:rtl/>
        </w:rPr>
        <w:t>(ל' הטור)</w:t>
      </w:r>
      <w:r w:rsidRPr="00592D51">
        <w:rPr>
          <w:rFonts w:cs="Arial" w:hint="cs"/>
          <w:rtl/>
        </w:rPr>
        <w:t>,</w:t>
      </w:r>
      <w:r w:rsidRPr="00592D51">
        <w:rPr>
          <w:rFonts w:cs="Arial"/>
          <w:rtl/>
        </w:rPr>
        <w:t xml:space="preserve"> דלמאי ניחוש להו</w:t>
      </w:r>
      <w:r w:rsidRPr="00592D51">
        <w:rPr>
          <w:rFonts w:cs="Arial" w:hint="cs"/>
          <w:rtl/>
        </w:rPr>
        <w:t>,</w:t>
      </w:r>
      <w:r w:rsidRPr="00592D51">
        <w:rPr>
          <w:rFonts w:cs="Arial"/>
          <w:rtl/>
        </w:rPr>
        <w:t xml:space="preserve"> אי משום דם </w:t>
      </w:r>
      <w:r w:rsidRPr="00592D51">
        <w:rPr>
          <w:rFonts w:cs="Arial" w:hint="cs"/>
          <w:rtl/>
        </w:rPr>
        <w:t xml:space="preserve">- </w:t>
      </w:r>
      <w:r w:rsidRPr="00592D51">
        <w:rPr>
          <w:rFonts w:cs="Arial"/>
          <w:rtl/>
        </w:rPr>
        <w:t>רוב ביצים שלנו אין בהם דם</w:t>
      </w:r>
      <w:r w:rsidRPr="00592D51">
        <w:rPr>
          <w:rFonts w:cs="Arial" w:hint="cs"/>
          <w:rtl/>
        </w:rPr>
        <w:t>,</w:t>
      </w:r>
      <w:r w:rsidRPr="00592D51">
        <w:rPr>
          <w:rFonts w:cs="Arial"/>
          <w:rtl/>
        </w:rPr>
        <w:t xml:space="preserve"> ואי משום ביצי עוף טמא </w:t>
      </w:r>
      <w:r w:rsidRPr="00592D51">
        <w:rPr>
          <w:rFonts w:cs="Arial" w:hint="cs"/>
          <w:rtl/>
        </w:rPr>
        <w:t xml:space="preserve">- </w:t>
      </w:r>
      <w:r w:rsidRPr="00592D51">
        <w:rPr>
          <w:rFonts w:cs="Arial"/>
          <w:rtl/>
        </w:rPr>
        <w:t>אינם מצוים בינינו</w:t>
      </w:r>
      <w:r w:rsidRPr="00592D51">
        <w:rPr>
          <w:rFonts w:cs="Arial" w:hint="cs"/>
          <w:rtl/>
        </w:rPr>
        <w:t>,</w:t>
      </w:r>
      <w:r w:rsidRPr="00592D51">
        <w:rPr>
          <w:rFonts w:cs="Arial"/>
          <w:rtl/>
        </w:rPr>
        <w:t xml:space="preserve"> ואי משום בישולי גוים </w:t>
      </w:r>
      <w:r w:rsidRPr="00592D51">
        <w:rPr>
          <w:rFonts w:cs="Arial" w:hint="cs"/>
          <w:rtl/>
        </w:rPr>
        <w:t xml:space="preserve">- </w:t>
      </w:r>
      <w:r w:rsidRPr="00592D51">
        <w:rPr>
          <w:rFonts w:cs="Arial"/>
          <w:rtl/>
        </w:rPr>
        <w:t>קימחא עיקר ובמקום שנהגו היתר בפת של פלטר שרו</w:t>
      </w:r>
      <w:r w:rsidRPr="00592D51">
        <w:rPr>
          <w:rFonts w:cs="Arial" w:hint="cs"/>
          <w:sz w:val="16"/>
          <w:szCs w:val="16"/>
          <w:rtl/>
        </w:rPr>
        <w:t xml:space="preserve"> (ל' הב"י</w:t>
      </w:r>
      <w:r>
        <w:rPr>
          <w:rFonts w:cs="Arial" w:hint="cs"/>
          <w:sz w:val="16"/>
          <w:szCs w:val="16"/>
          <w:rtl/>
        </w:rPr>
        <w:t xml:space="preserve"> בשם התוס' ושא"פ</w:t>
      </w:r>
      <w:r w:rsidRPr="00592D51">
        <w:rPr>
          <w:rFonts w:cs="Arial" w:hint="cs"/>
          <w:sz w:val="16"/>
          <w:szCs w:val="16"/>
          <w:rtl/>
        </w:rPr>
        <w:t>)</w:t>
      </w:r>
      <w:r w:rsidRPr="00592D51">
        <w:rPr>
          <w:rFonts w:cs="Arial" w:hint="cs"/>
          <w:rtl/>
        </w:rPr>
        <w:t>.</w:t>
      </w:r>
    </w:p>
    <w:p w14:paraId="2FC0FF91" w14:textId="77777777" w:rsidR="002C39F4" w:rsidRPr="00C52086" w:rsidRDefault="002C39F4" w:rsidP="002C39F4">
      <w:pPr>
        <w:ind w:left="360"/>
        <w:rPr>
          <w:rFonts w:cs="Arial"/>
          <w:u w:val="dotted"/>
        </w:rPr>
      </w:pPr>
      <w:r w:rsidRPr="00C52086">
        <w:rPr>
          <w:rFonts w:cs="Arial" w:hint="cs"/>
          <w:u w:val="dotted"/>
          <w:rtl/>
        </w:rPr>
        <w:t xml:space="preserve">ומה הדין אם </w:t>
      </w:r>
      <w:r>
        <w:rPr>
          <w:rFonts w:cs="Arial" w:hint="cs"/>
          <w:u w:val="dotted"/>
          <w:rtl/>
        </w:rPr>
        <w:t xml:space="preserve">הביצים </w:t>
      </w:r>
      <w:r w:rsidRPr="00C52086">
        <w:rPr>
          <w:rFonts w:cs="Arial" w:hint="cs"/>
          <w:u w:val="dotted"/>
          <w:rtl/>
        </w:rPr>
        <w:t>טוחות על פני הפת:</w:t>
      </w:r>
    </w:p>
    <w:p w14:paraId="1A19302D" w14:textId="77777777" w:rsidR="002C39F4" w:rsidRDefault="002C39F4" w:rsidP="0032102C">
      <w:pPr>
        <w:pStyle w:val="a8"/>
        <w:numPr>
          <w:ilvl w:val="0"/>
          <w:numId w:val="267"/>
        </w:numPr>
        <w:rPr>
          <w:rFonts w:cs="Arial"/>
        </w:rPr>
      </w:pPr>
      <w:r>
        <w:rPr>
          <w:rFonts w:cs="Arial" w:hint="cs"/>
          <w:rtl/>
        </w:rPr>
        <w:t xml:space="preserve">(תוס' </w:t>
      </w:r>
      <w:r>
        <w:rPr>
          <w:rFonts w:cs="Arial" w:hint="cs"/>
          <w:sz w:val="16"/>
          <w:szCs w:val="16"/>
          <w:rtl/>
        </w:rPr>
        <w:t>[שם]</w:t>
      </w:r>
      <w:r w:rsidRPr="00C52086">
        <w:rPr>
          <w:rFonts w:cs="Arial" w:hint="cs"/>
          <w:sz w:val="16"/>
          <w:szCs w:val="16"/>
          <w:rtl/>
        </w:rPr>
        <w:t xml:space="preserve"> </w:t>
      </w:r>
      <w:r>
        <w:rPr>
          <w:rFonts w:cs="Arial" w:hint="cs"/>
          <w:rtl/>
        </w:rPr>
        <w:t xml:space="preserve">רא"ש </w:t>
      </w:r>
      <w:r>
        <w:rPr>
          <w:rFonts w:cs="Arial" w:hint="cs"/>
          <w:sz w:val="16"/>
          <w:szCs w:val="16"/>
          <w:rtl/>
        </w:rPr>
        <w:t>[שם] להב' הב"י</w:t>
      </w:r>
      <w:r>
        <w:rPr>
          <w:rFonts w:cs="Arial" w:hint="cs"/>
          <w:rtl/>
        </w:rPr>
        <w:t xml:space="preserve">) </w:t>
      </w:r>
      <w:r w:rsidRPr="00CF56C8">
        <w:rPr>
          <w:rFonts w:cs="Arial"/>
          <w:rtl/>
        </w:rPr>
        <w:t xml:space="preserve">רשב"א </w:t>
      </w:r>
      <w:r>
        <w:rPr>
          <w:rFonts w:cs="Arial"/>
          <w:rtl/>
        </w:rPr>
        <w:t>ו</w:t>
      </w:r>
      <w:r w:rsidRPr="00CF56C8">
        <w:rPr>
          <w:rFonts w:cs="Arial"/>
          <w:rtl/>
        </w:rPr>
        <w:t>ר"ן</w:t>
      </w:r>
      <w:r>
        <w:rPr>
          <w:rStyle w:val="a7"/>
          <w:rFonts w:cs="Arial"/>
          <w:rtl/>
        </w:rPr>
        <w:footnoteReference w:id="2659"/>
      </w:r>
      <w:r>
        <w:rPr>
          <w:rFonts w:cs="Arial" w:hint="cs"/>
          <w:rtl/>
        </w:rPr>
        <w:t xml:space="preserve">- </w:t>
      </w:r>
      <w:r w:rsidRPr="00CF56C8">
        <w:rPr>
          <w:rFonts w:cs="Arial"/>
          <w:rtl/>
        </w:rPr>
        <w:t>הוא הדין אם היו הביצים</w:t>
      </w:r>
      <w:r>
        <w:rPr>
          <w:rFonts w:cs="Arial"/>
          <w:rtl/>
        </w:rPr>
        <w:t xml:space="preserve"> טוחין על פני הפת שרי</w:t>
      </w:r>
      <w:r>
        <w:rPr>
          <w:rStyle w:val="a7"/>
          <w:rFonts w:cs="Arial"/>
          <w:rtl/>
        </w:rPr>
        <w:footnoteReference w:id="2660"/>
      </w:r>
      <w:r>
        <w:rPr>
          <w:rFonts w:cs="Arial" w:hint="cs"/>
          <w:rtl/>
        </w:rPr>
        <w:t xml:space="preserve">. </w:t>
      </w:r>
      <w:r w:rsidRPr="00333F58">
        <w:rPr>
          <w:rFonts w:cs="Arial" w:hint="cs"/>
          <w:color w:val="E36C0A" w:themeColor="accent6" w:themeShade="BF"/>
          <w:rtl/>
        </w:rPr>
        <w:t>(וכ"פ בשו"ע)</w:t>
      </w:r>
    </w:p>
    <w:p w14:paraId="5359E14C" w14:textId="77777777" w:rsidR="002C39F4" w:rsidRPr="001D3151" w:rsidRDefault="002C39F4" w:rsidP="0032102C">
      <w:pPr>
        <w:pStyle w:val="a8"/>
        <w:numPr>
          <w:ilvl w:val="0"/>
          <w:numId w:val="267"/>
        </w:numPr>
        <w:rPr>
          <w:rFonts w:cs="Arial"/>
          <w:rtl/>
        </w:rPr>
      </w:pPr>
      <w:r>
        <w:rPr>
          <w:rFonts w:cs="Arial" w:hint="cs"/>
          <w:rtl/>
        </w:rPr>
        <w:t>(</w:t>
      </w:r>
      <w:r>
        <w:rPr>
          <w:rFonts w:cs="Arial"/>
          <w:rtl/>
        </w:rPr>
        <w:t>תוס</w:t>
      </w:r>
      <w:r>
        <w:rPr>
          <w:rFonts w:cs="Arial" w:hint="cs"/>
          <w:rtl/>
        </w:rPr>
        <w:t>'</w:t>
      </w:r>
      <w:r>
        <w:rPr>
          <w:rFonts w:cs="Arial"/>
          <w:rtl/>
        </w:rPr>
        <w:t xml:space="preserve"> </w:t>
      </w:r>
      <w:r w:rsidRPr="00592D51">
        <w:rPr>
          <w:rFonts w:cs="Arial"/>
          <w:rtl/>
        </w:rPr>
        <w:t>סמ"</w:t>
      </w:r>
      <w:r>
        <w:rPr>
          <w:rFonts w:cs="Arial" w:hint="cs"/>
          <w:rtl/>
        </w:rPr>
        <w:t xml:space="preserve">ג </w:t>
      </w:r>
      <w:r>
        <w:rPr>
          <w:rFonts w:cs="Arial"/>
          <w:rtl/>
        </w:rPr>
        <w:t>מרדכי</w:t>
      </w:r>
      <w:r>
        <w:rPr>
          <w:rFonts w:cs="Arial" w:hint="cs"/>
          <w:rtl/>
        </w:rPr>
        <w:t xml:space="preserve"> רא"ש</w:t>
      </w:r>
      <w:r w:rsidRPr="00592D51">
        <w:rPr>
          <w:rFonts w:cs="Arial"/>
          <w:rtl/>
        </w:rPr>
        <w:t xml:space="preserve"> </w:t>
      </w:r>
      <w:r>
        <w:rPr>
          <w:rFonts w:cs="Arial"/>
          <w:rtl/>
        </w:rPr>
        <w:t>הג"א</w:t>
      </w:r>
      <w:r>
        <w:rPr>
          <w:rFonts w:cs="Arial" w:hint="cs"/>
          <w:rtl/>
        </w:rPr>
        <w:t xml:space="preserve"> ואו</w:t>
      </w:r>
      <w:r>
        <w:rPr>
          <w:rFonts w:cs="Arial"/>
          <w:rtl/>
        </w:rPr>
        <w:t>"</w:t>
      </w:r>
      <w:r>
        <w:rPr>
          <w:rFonts w:cs="Arial" w:hint="cs"/>
          <w:rtl/>
        </w:rPr>
        <w:t>ה</w:t>
      </w:r>
      <w:r>
        <w:rPr>
          <w:rStyle w:val="a7"/>
          <w:rFonts w:cs="Arial"/>
          <w:rtl/>
        </w:rPr>
        <w:footnoteReference w:id="2661"/>
      </w:r>
      <w:r>
        <w:rPr>
          <w:rFonts w:cs="Arial" w:hint="cs"/>
          <w:rtl/>
        </w:rPr>
        <w:t xml:space="preserve"> </w:t>
      </w:r>
      <w:r w:rsidRPr="00C52086">
        <w:rPr>
          <w:rFonts w:cs="Arial" w:hint="cs"/>
          <w:sz w:val="16"/>
          <w:szCs w:val="16"/>
          <w:rtl/>
        </w:rPr>
        <w:t xml:space="preserve">להב' הדרכ"מ [אות </w:t>
      </w:r>
      <w:r w:rsidRPr="00C52086">
        <w:rPr>
          <w:rFonts w:cs="Arial"/>
          <w:sz w:val="16"/>
          <w:szCs w:val="16"/>
          <w:rtl/>
        </w:rPr>
        <w:t>ח</w:t>
      </w:r>
      <w:r w:rsidRPr="00C52086">
        <w:rPr>
          <w:rFonts w:cs="Arial" w:hint="cs"/>
          <w:sz w:val="16"/>
          <w:szCs w:val="16"/>
          <w:rtl/>
        </w:rPr>
        <w:t>]</w:t>
      </w:r>
      <w:r>
        <w:rPr>
          <w:rFonts w:cs="Arial"/>
          <w:rtl/>
        </w:rPr>
        <w:t>)</w:t>
      </w:r>
      <w:r>
        <w:rPr>
          <w:rFonts w:cs="Arial" w:hint="cs"/>
          <w:rtl/>
        </w:rPr>
        <w:t>-</w:t>
      </w:r>
      <w:r>
        <w:rPr>
          <w:rFonts w:cs="Arial"/>
          <w:rtl/>
        </w:rPr>
        <w:t xml:space="preserve"> </w:t>
      </w:r>
      <w:r w:rsidRPr="00592D51">
        <w:rPr>
          <w:rFonts w:cs="Arial"/>
          <w:rtl/>
        </w:rPr>
        <w:t>אם הביצים ניכרין בעין על הפת אסור</w:t>
      </w:r>
      <w:r>
        <w:rPr>
          <w:rStyle w:val="a7"/>
          <w:rFonts w:cs="Arial"/>
          <w:rtl/>
        </w:rPr>
        <w:footnoteReference w:id="2662"/>
      </w:r>
      <w:r>
        <w:rPr>
          <w:rFonts w:cs="Arial" w:hint="cs"/>
          <w:rtl/>
        </w:rPr>
        <w:t xml:space="preserve">. </w:t>
      </w:r>
      <w:r w:rsidRPr="001D3151">
        <w:rPr>
          <w:rFonts w:cs="Arial" w:hint="cs"/>
          <w:color w:val="00B0F0"/>
          <w:rtl/>
        </w:rPr>
        <w:t>(וכ"פ הרמ"א)</w:t>
      </w:r>
    </w:p>
    <w:p w14:paraId="3A250E3B" w14:textId="77777777" w:rsidR="002C39F4" w:rsidRPr="00893BD8" w:rsidRDefault="002C39F4" w:rsidP="002C39F4">
      <w:pPr>
        <w:rPr>
          <w:sz w:val="16"/>
          <w:szCs w:val="16"/>
        </w:rPr>
      </w:pPr>
      <w:r w:rsidRPr="00893BD8">
        <w:rPr>
          <w:rFonts w:hint="cs"/>
          <w:u w:val="single"/>
          <w:rtl/>
        </w:rPr>
        <w:t xml:space="preserve">ניילי"ש </w:t>
      </w:r>
      <w:r w:rsidRPr="00893BD8">
        <w:rPr>
          <w:rFonts w:hint="cs"/>
          <w:sz w:val="16"/>
          <w:szCs w:val="16"/>
          <w:u w:val="single"/>
          <w:rtl/>
        </w:rPr>
        <w:t>(</w:t>
      </w:r>
      <w:r>
        <w:rPr>
          <w:rFonts w:hint="cs"/>
          <w:sz w:val="16"/>
          <w:szCs w:val="16"/>
          <w:u w:val="single"/>
          <w:rtl/>
        </w:rPr>
        <w:t>דומה ל</w:t>
      </w:r>
      <w:r w:rsidRPr="00893BD8">
        <w:rPr>
          <w:rFonts w:hint="cs"/>
          <w:sz w:val="16"/>
          <w:szCs w:val="16"/>
          <w:u w:val="single"/>
          <w:rtl/>
        </w:rPr>
        <w:t>בלינצ'ס)</w:t>
      </w:r>
      <w:r w:rsidRPr="00893BD8">
        <w:rPr>
          <w:rFonts w:hint="cs"/>
          <w:u w:val="single"/>
          <w:rtl/>
        </w:rPr>
        <w:t xml:space="preserve"> </w:t>
      </w:r>
      <w:r>
        <w:rPr>
          <w:u w:val="single"/>
          <w:rtl/>
        </w:rPr>
        <w:t>–</w:t>
      </w:r>
      <w:r>
        <w:rPr>
          <w:rFonts w:hint="cs"/>
          <w:u w:val="single"/>
          <w:rtl/>
        </w:rPr>
        <w:t xml:space="preserve"> מהו </w:t>
      </w:r>
      <w:r w:rsidRPr="00893BD8">
        <w:rPr>
          <w:rFonts w:hint="cs"/>
          <w:u w:val="single"/>
          <w:rtl/>
        </w:rPr>
        <w:t>לעניין בישולי גוים:</w:t>
      </w:r>
      <w:r>
        <w:rPr>
          <w:rFonts w:hint="cs"/>
          <w:sz w:val="16"/>
          <w:szCs w:val="16"/>
          <w:rtl/>
        </w:rPr>
        <w:t xml:space="preserve">  (ב"י ב</w:t>
      </w:r>
      <w:r w:rsidRPr="00224925">
        <w:rPr>
          <w:rFonts w:hint="cs"/>
          <w:sz w:val="14"/>
          <w:szCs w:val="14"/>
          <w:rtl/>
        </w:rPr>
        <w:t>(ב)</w:t>
      </w:r>
      <w:r>
        <w:rPr>
          <w:rFonts w:hint="cs"/>
          <w:sz w:val="16"/>
          <w:szCs w:val="16"/>
          <w:rtl/>
        </w:rPr>
        <w:t xml:space="preserve"> דרכ"מ אות ג)</w:t>
      </w:r>
    </w:p>
    <w:p w14:paraId="3A9FBD4F" w14:textId="77777777" w:rsidR="002C39F4" w:rsidRPr="00C347B4" w:rsidRDefault="002C39F4" w:rsidP="0032102C">
      <w:pPr>
        <w:pStyle w:val="a8"/>
        <w:numPr>
          <w:ilvl w:val="0"/>
          <w:numId w:val="267"/>
        </w:numPr>
        <w:rPr>
          <w:rFonts w:cs="Arial"/>
        </w:rPr>
      </w:pPr>
      <w:r w:rsidRPr="00C347B4">
        <w:rPr>
          <w:rFonts w:cs="Arial"/>
          <w:rtl/>
        </w:rPr>
        <w:t>תוס</w:t>
      </w:r>
      <w:r w:rsidRPr="00C347B4">
        <w:rPr>
          <w:rFonts w:cs="Arial" w:hint="cs"/>
          <w:rtl/>
        </w:rPr>
        <w:t xml:space="preserve">' </w:t>
      </w:r>
      <w:r w:rsidRPr="00C347B4">
        <w:rPr>
          <w:rFonts w:cs="Arial"/>
          <w:sz w:val="16"/>
          <w:szCs w:val="16"/>
          <w:rtl/>
        </w:rPr>
        <w:t>(ביצה טז: ד"ה קמ"ל)</w:t>
      </w:r>
      <w:r>
        <w:rPr>
          <w:rFonts w:cs="Arial" w:hint="cs"/>
          <w:rtl/>
        </w:rPr>
        <w:t xml:space="preserve"> ואגור </w:t>
      </w:r>
      <w:r>
        <w:rPr>
          <w:rFonts w:cs="Arial" w:hint="cs"/>
          <w:sz w:val="16"/>
          <w:szCs w:val="16"/>
          <w:rtl/>
        </w:rPr>
        <w:t>(סי' אלף שח)</w:t>
      </w:r>
      <w:r w:rsidRPr="00C347B4">
        <w:rPr>
          <w:rFonts w:cs="Arial" w:hint="cs"/>
          <w:rtl/>
        </w:rPr>
        <w:t xml:space="preserve">- </w:t>
      </w:r>
      <w:r w:rsidRPr="00C347B4">
        <w:rPr>
          <w:rFonts w:cs="Arial"/>
          <w:rtl/>
        </w:rPr>
        <w:t>אותן ניליי"ש מדלא מברכין עלייהו ברכת המוציא יש בהן משום</w:t>
      </w:r>
      <w:r w:rsidRPr="00C347B4">
        <w:rPr>
          <w:rFonts w:cs="Arial" w:hint="cs"/>
          <w:rtl/>
        </w:rPr>
        <w:t xml:space="preserve"> </w:t>
      </w:r>
      <w:r w:rsidRPr="00C347B4">
        <w:rPr>
          <w:rFonts w:cs="Arial"/>
          <w:rtl/>
        </w:rPr>
        <w:t>בישולי נכרים</w:t>
      </w:r>
      <w:r>
        <w:rPr>
          <w:rStyle w:val="a7"/>
          <w:rFonts w:cs="Arial"/>
          <w:rtl/>
        </w:rPr>
        <w:footnoteReference w:id="2663"/>
      </w:r>
      <w:r>
        <w:rPr>
          <w:rFonts w:hint="cs"/>
          <w:rtl/>
        </w:rPr>
        <w:t xml:space="preserve">, ומיהו אומר </w:t>
      </w:r>
      <w:r w:rsidRPr="00C347B4">
        <w:rPr>
          <w:rFonts w:cs="Arial"/>
          <w:rtl/>
        </w:rPr>
        <w:t xml:space="preserve">הר"ר יחיאל </w:t>
      </w:r>
      <w:r>
        <w:rPr>
          <w:rFonts w:cs="Arial" w:hint="cs"/>
          <w:sz w:val="16"/>
          <w:szCs w:val="16"/>
          <w:rtl/>
        </w:rPr>
        <w:t>{</w:t>
      </w:r>
      <w:r w:rsidRPr="00C347B4">
        <w:rPr>
          <w:rFonts w:cs="Arial" w:hint="cs"/>
          <w:sz w:val="16"/>
          <w:szCs w:val="16"/>
          <w:rtl/>
        </w:rPr>
        <w:t>ר"י מפרי"ש</w:t>
      </w:r>
      <w:r>
        <w:rPr>
          <w:rFonts w:cs="Arial" w:hint="cs"/>
          <w:sz w:val="16"/>
          <w:szCs w:val="16"/>
          <w:rtl/>
        </w:rPr>
        <w:t>}</w:t>
      </w:r>
      <w:r w:rsidRPr="00C347B4">
        <w:rPr>
          <w:rFonts w:cs="Arial" w:hint="cs"/>
          <w:rtl/>
        </w:rPr>
        <w:t xml:space="preserve"> ד</w:t>
      </w:r>
      <w:r w:rsidRPr="00C347B4">
        <w:rPr>
          <w:rFonts w:cs="Arial"/>
          <w:rtl/>
        </w:rPr>
        <w:t>אין בהם משום בישולי נכרים</w:t>
      </w:r>
      <w:r w:rsidRPr="00C347B4">
        <w:rPr>
          <w:rFonts w:cs="Arial" w:hint="cs"/>
          <w:rtl/>
        </w:rPr>
        <w:t xml:space="preserve"> </w:t>
      </w:r>
      <w:r w:rsidRPr="00C347B4">
        <w:rPr>
          <w:rFonts w:cs="Arial"/>
          <w:rtl/>
        </w:rPr>
        <w:t>כיון דדרך אפיית פת עביד להו</w:t>
      </w:r>
      <w:r>
        <w:rPr>
          <w:rFonts w:cs="Arial" w:hint="cs"/>
          <w:rtl/>
        </w:rPr>
        <w:t>,</w:t>
      </w:r>
      <w:r w:rsidRPr="00C347B4">
        <w:rPr>
          <w:rFonts w:cs="Arial"/>
          <w:rtl/>
        </w:rPr>
        <w:t xml:space="preserve"> ועוד דאי קבע סעודתיה עלייהו מברך ברכת המוציא אלמא פת נינהו</w:t>
      </w:r>
      <w:r>
        <w:rPr>
          <w:rFonts w:cs="Arial" w:hint="cs"/>
          <w:sz w:val="16"/>
          <w:szCs w:val="16"/>
          <w:rtl/>
        </w:rPr>
        <w:t xml:space="preserve"> (ל' התוס')</w:t>
      </w:r>
      <w:r w:rsidRPr="00C347B4">
        <w:rPr>
          <w:rFonts w:cs="Arial"/>
          <w:rtl/>
        </w:rPr>
        <w:t>.</w:t>
      </w:r>
      <w:r w:rsidRPr="00510944">
        <w:rPr>
          <w:rFonts w:cs="Arial" w:hint="cs"/>
          <w:color w:val="00B0F0"/>
          <w:rtl/>
        </w:rPr>
        <w:t xml:space="preserve"> </w:t>
      </w:r>
      <w:r w:rsidRPr="001D3151">
        <w:rPr>
          <w:rFonts w:cs="Arial" w:hint="cs"/>
          <w:color w:val="00B0F0"/>
          <w:rtl/>
        </w:rPr>
        <w:t>(וכ"פ הרמ"א)</w:t>
      </w:r>
    </w:p>
    <w:p w14:paraId="1D2E4B4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40BAD61" w14:textId="77777777" w:rsidR="002C39F4" w:rsidRDefault="002C39F4" w:rsidP="002C39F4">
      <w:pPr>
        <w:rPr>
          <w:rFonts w:asciiTheme="minorBidi" w:hAnsiTheme="minorBidi"/>
          <w:rtl/>
        </w:rPr>
      </w:pPr>
      <w:r>
        <w:rPr>
          <w:rFonts w:asciiTheme="minorBidi" w:hAnsiTheme="minorBidi"/>
          <w:rtl/>
        </w:rPr>
        <w:t>במקום שנהגו היתר בפת של פלטר</w:t>
      </w:r>
      <w:r w:rsidRPr="003024E5">
        <w:rPr>
          <w:rFonts w:asciiTheme="minorBidi" w:hAnsiTheme="minorBidi"/>
          <w:rtl/>
        </w:rPr>
        <w:t xml:space="preserve"> אפילו הוא נלו</w:t>
      </w:r>
      <w:r>
        <w:rPr>
          <w:rFonts w:asciiTheme="minorBidi" w:hAnsiTheme="minorBidi"/>
          <w:rtl/>
        </w:rPr>
        <w:t>ש בבצים או שביצים טוחים על פניו</w:t>
      </w:r>
      <w:r w:rsidRPr="003024E5">
        <w:rPr>
          <w:rFonts w:asciiTheme="minorBidi" w:hAnsiTheme="minorBidi"/>
          <w:rtl/>
        </w:rPr>
        <w:t xml:space="preserve"> מותר. אבל אינפנד"ה שאפאה </w:t>
      </w:r>
      <w:r>
        <w:rPr>
          <w:rFonts w:asciiTheme="minorBidi" w:hAnsiTheme="minorBidi"/>
          <w:rtl/>
        </w:rPr>
        <w:t>גוי אסור לאכול מהפת שלה</w:t>
      </w:r>
      <w:r w:rsidRPr="003024E5">
        <w:rPr>
          <w:rFonts w:asciiTheme="minorBidi" w:hAnsiTheme="minorBidi"/>
          <w:rtl/>
        </w:rPr>
        <w:t xml:space="preserve"> </w:t>
      </w:r>
      <w:r w:rsidRPr="001D3151">
        <w:rPr>
          <w:rFonts w:asciiTheme="minorBidi" w:hAnsiTheme="minorBidi"/>
          <w:sz w:val="16"/>
          <w:szCs w:val="16"/>
          <w:rtl/>
        </w:rPr>
        <w:t>(ע"ל סי</w:t>
      </w:r>
      <w:r w:rsidRPr="001D3151">
        <w:rPr>
          <w:rFonts w:asciiTheme="minorBidi" w:hAnsiTheme="minorBidi" w:hint="cs"/>
          <w:sz w:val="16"/>
          <w:szCs w:val="16"/>
          <w:rtl/>
        </w:rPr>
        <w:t>'</w:t>
      </w:r>
      <w:r w:rsidRPr="001D3151">
        <w:rPr>
          <w:rFonts w:asciiTheme="minorBidi" w:hAnsiTheme="minorBidi"/>
          <w:sz w:val="16"/>
          <w:szCs w:val="16"/>
          <w:rtl/>
        </w:rPr>
        <w:t xml:space="preserve"> קיג ס"ג)</w:t>
      </w:r>
      <w:r w:rsidRPr="001D3151">
        <w:rPr>
          <w:rFonts w:asciiTheme="minorBidi" w:hAnsiTheme="minorBidi"/>
          <w:rtl/>
        </w:rPr>
        <w:t>.</w:t>
      </w:r>
      <w:r w:rsidRPr="0050419D">
        <w:rPr>
          <w:rFonts w:asciiTheme="minorBidi" w:hAnsiTheme="minorBidi"/>
          <w:sz w:val="18"/>
          <w:szCs w:val="18"/>
          <w:rtl/>
        </w:rPr>
        <w:t xml:space="preserve"> הגה:  ויש אוסרים בפת שביצים טוחים על פניו, מש</w:t>
      </w:r>
      <w:r>
        <w:rPr>
          <w:rFonts w:asciiTheme="minorBidi" w:hAnsiTheme="minorBidi"/>
          <w:sz w:val="18"/>
          <w:szCs w:val="18"/>
          <w:rtl/>
        </w:rPr>
        <w:t>ום שהן בעין ואינם בטלים לגבי פת</w:t>
      </w:r>
      <w:r w:rsidRPr="0050419D">
        <w:rPr>
          <w:rFonts w:asciiTheme="minorBidi" w:hAnsiTheme="minorBidi"/>
          <w:sz w:val="18"/>
          <w:szCs w:val="18"/>
          <w:rtl/>
        </w:rPr>
        <w:t xml:space="preserve"> ויש בהם משום בשולי </w:t>
      </w:r>
      <w:r>
        <w:rPr>
          <w:rFonts w:asciiTheme="minorBidi" w:hAnsiTheme="minorBidi"/>
          <w:sz w:val="18"/>
          <w:szCs w:val="18"/>
          <w:rtl/>
        </w:rPr>
        <w:t xml:space="preserve">גוים </w:t>
      </w:r>
      <w:r w:rsidRPr="001D3151">
        <w:rPr>
          <w:rFonts w:asciiTheme="minorBidi" w:hAnsiTheme="minorBidi"/>
          <w:sz w:val="16"/>
          <w:szCs w:val="16"/>
          <w:rtl/>
        </w:rPr>
        <w:t>(תוס</w:t>
      </w:r>
      <w:r w:rsidRPr="001D3151">
        <w:rPr>
          <w:rFonts w:asciiTheme="minorBidi" w:hAnsiTheme="minorBidi" w:hint="cs"/>
          <w:sz w:val="16"/>
          <w:szCs w:val="16"/>
          <w:rtl/>
        </w:rPr>
        <w:t>'</w:t>
      </w:r>
      <w:r w:rsidRPr="001D3151">
        <w:rPr>
          <w:rFonts w:asciiTheme="minorBidi" w:hAnsiTheme="minorBidi"/>
          <w:sz w:val="16"/>
          <w:szCs w:val="16"/>
          <w:rtl/>
        </w:rPr>
        <w:t xml:space="preserve"> סמ"ג </w:t>
      </w:r>
      <w:r>
        <w:rPr>
          <w:rFonts w:asciiTheme="minorBidi" w:hAnsiTheme="minorBidi"/>
          <w:sz w:val="16"/>
          <w:szCs w:val="16"/>
          <w:rtl/>
        </w:rPr>
        <w:t>הג"א</w:t>
      </w:r>
      <w:r w:rsidRPr="001D3151">
        <w:rPr>
          <w:rFonts w:asciiTheme="minorBidi" w:hAnsiTheme="minorBidi"/>
          <w:sz w:val="16"/>
          <w:szCs w:val="16"/>
          <w:rtl/>
        </w:rPr>
        <w:t xml:space="preserve"> מרדכי סמ"ק סי' רז </w:t>
      </w:r>
      <w:r w:rsidRPr="001D3151">
        <w:rPr>
          <w:rFonts w:asciiTheme="minorBidi" w:hAnsiTheme="minorBidi" w:hint="cs"/>
          <w:sz w:val="16"/>
          <w:szCs w:val="16"/>
          <w:rtl/>
        </w:rPr>
        <w:t>וה</w:t>
      </w:r>
      <w:r w:rsidRPr="001D3151">
        <w:rPr>
          <w:rFonts w:asciiTheme="minorBidi" w:hAnsiTheme="minorBidi"/>
          <w:sz w:val="16"/>
          <w:szCs w:val="16"/>
          <w:rtl/>
        </w:rPr>
        <w:t>ארוך)</w:t>
      </w:r>
      <w:r w:rsidRPr="0050419D">
        <w:rPr>
          <w:rFonts w:asciiTheme="minorBidi" w:hAnsiTheme="minorBidi"/>
          <w:sz w:val="18"/>
          <w:szCs w:val="18"/>
          <w:rtl/>
        </w:rPr>
        <w:t>. וכן נוהגין. ואותן נילו"ש שקורין קיכל</w:t>
      </w:r>
      <w:r>
        <w:rPr>
          <w:rFonts w:asciiTheme="minorBidi" w:hAnsiTheme="minorBidi"/>
          <w:sz w:val="18"/>
          <w:szCs w:val="18"/>
          <w:rtl/>
        </w:rPr>
        <w:t>י"ך או מיני מתיקה שקורין לעקי"ך</w:t>
      </w:r>
      <w:r w:rsidRPr="0050419D">
        <w:rPr>
          <w:rFonts w:asciiTheme="minorBidi" w:hAnsiTheme="minorBidi"/>
          <w:sz w:val="18"/>
          <w:szCs w:val="18"/>
          <w:rtl/>
        </w:rPr>
        <w:t xml:space="preserve"> הם בכלל פת</w:t>
      </w:r>
      <w:r>
        <w:rPr>
          <w:rStyle w:val="a7"/>
          <w:rFonts w:asciiTheme="minorBidi" w:hAnsiTheme="minorBidi"/>
          <w:sz w:val="18"/>
          <w:szCs w:val="18"/>
          <w:rtl/>
        </w:rPr>
        <w:footnoteReference w:id="2664"/>
      </w:r>
      <w:r w:rsidRPr="0050419D">
        <w:rPr>
          <w:rFonts w:asciiTheme="minorBidi" w:hAnsiTheme="minorBidi"/>
          <w:sz w:val="18"/>
          <w:szCs w:val="18"/>
          <w:rtl/>
        </w:rPr>
        <w:t xml:space="preserve"> ובמקום שנוהגים היתר בפת של </w:t>
      </w:r>
      <w:r>
        <w:rPr>
          <w:rFonts w:asciiTheme="minorBidi" w:hAnsiTheme="minorBidi"/>
          <w:sz w:val="18"/>
          <w:szCs w:val="18"/>
          <w:rtl/>
        </w:rPr>
        <w:t>גוי</w:t>
      </w:r>
      <w:r w:rsidRPr="0050419D">
        <w:rPr>
          <w:rFonts w:asciiTheme="minorBidi" w:hAnsiTheme="minorBidi"/>
          <w:sz w:val="18"/>
          <w:szCs w:val="18"/>
          <w:rtl/>
        </w:rPr>
        <w:t xml:space="preserve"> גם ה</w:t>
      </w:r>
      <w:r>
        <w:rPr>
          <w:rFonts w:asciiTheme="minorBidi" w:hAnsiTheme="minorBidi"/>
          <w:sz w:val="18"/>
          <w:szCs w:val="18"/>
          <w:rtl/>
        </w:rPr>
        <w:t>ם מותרים</w:t>
      </w:r>
      <w:r w:rsidRPr="0050419D">
        <w:rPr>
          <w:rFonts w:asciiTheme="minorBidi" w:hAnsiTheme="minorBidi"/>
          <w:sz w:val="18"/>
          <w:szCs w:val="18"/>
          <w:rtl/>
        </w:rPr>
        <w:t xml:space="preserve"> ולא אמרינן שיש בהם משום בשולי </w:t>
      </w:r>
      <w:r>
        <w:rPr>
          <w:rFonts w:asciiTheme="minorBidi" w:hAnsiTheme="minorBidi"/>
          <w:sz w:val="18"/>
          <w:szCs w:val="18"/>
          <w:rtl/>
        </w:rPr>
        <w:t>גוי</w:t>
      </w:r>
      <w:r>
        <w:rPr>
          <w:rStyle w:val="a7"/>
          <w:rFonts w:asciiTheme="minorBidi" w:hAnsiTheme="minorBidi"/>
          <w:sz w:val="18"/>
          <w:szCs w:val="18"/>
          <w:rtl/>
        </w:rPr>
        <w:footnoteReference w:id="2665"/>
      </w:r>
      <w:r w:rsidRPr="0050419D">
        <w:rPr>
          <w:rFonts w:asciiTheme="minorBidi" w:hAnsiTheme="minorBidi"/>
          <w:sz w:val="18"/>
          <w:szCs w:val="18"/>
          <w:rtl/>
        </w:rPr>
        <w:t xml:space="preserve">. ויש מיני נילו"ש שקורין קיכלי"ך שאופין אותם על ברזלים ומושחין הברזל בשעת אפייה בחלב או חזיר, באותן יש ליזהר </w:t>
      </w:r>
      <w:r>
        <w:rPr>
          <w:rFonts w:asciiTheme="minorBidi" w:hAnsiTheme="minorBidi"/>
          <w:sz w:val="18"/>
          <w:szCs w:val="18"/>
          <w:rtl/>
        </w:rPr>
        <w:t>ולאסרן</w:t>
      </w:r>
      <w:r>
        <w:rPr>
          <w:rFonts w:asciiTheme="minorBidi" w:hAnsiTheme="minorBidi" w:hint="cs"/>
          <w:sz w:val="16"/>
          <w:szCs w:val="16"/>
          <w:rtl/>
        </w:rPr>
        <w:t xml:space="preserve"> </w:t>
      </w:r>
      <w:r w:rsidRPr="001D3151">
        <w:rPr>
          <w:rFonts w:asciiTheme="minorBidi" w:hAnsiTheme="minorBidi"/>
          <w:sz w:val="16"/>
          <w:szCs w:val="16"/>
          <w:rtl/>
        </w:rPr>
        <w:t>(מהרא"י בה</w:t>
      </w:r>
      <w:r w:rsidRPr="001D3151">
        <w:rPr>
          <w:rFonts w:asciiTheme="minorBidi" w:hAnsiTheme="minorBidi" w:hint="cs"/>
          <w:sz w:val="16"/>
          <w:szCs w:val="16"/>
          <w:rtl/>
        </w:rPr>
        <w:t>ג</w:t>
      </w:r>
      <w:r w:rsidRPr="001D3151">
        <w:rPr>
          <w:rFonts w:asciiTheme="minorBidi" w:hAnsiTheme="minorBidi"/>
          <w:sz w:val="16"/>
          <w:szCs w:val="16"/>
          <w:rtl/>
        </w:rPr>
        <w:t>ש</w:t>
      </w:r>
      <w:r w:rsidRPr="001D3151">
        <w:rPr>
          <w:rFonts w:asciiTheme="minorBidi" w:hAnsiTheme="minorBidi" w:hint="cs"/>
          <w:sz w:val="16"/>
          <w:szCs w:val="16"/>
          <w:rtl/>
        </w:rPr>
        <w:t>ע</w:t>
      </w:r>
      <w:r w:rsidRPr="001D3151">
        <w:rPr>
          <w:rFonts w:asciiTheme="minorBidi" w:hAnsiTheme="minorBidi"/>
          <w:sz w:val="16"/>
          <w:szCs w:val="16"/>
          <w:rtl/>
        </w:rPr>
        <w:t>"ד ואגור בשם ר"י מפרי"ש)</w:t>
      </w:r>
      <w:r>
        <w:rPr>
          <w:rFonts w:asciiTheme="minorBidi" w:hAnsiTheme="minorBidi"/>
          <w:sz w:val="18"/>
          <w:szCs w:val="18"/>
          <w:rtl/>
        </w:rPr>
        <w:t>. וכן המנהג</w:t>
      </w:r>
      <w:r w:rsidRPr="0050419D">
        <w:rPr>
          <w:rFonts w:asciiTheme="minorBidi" w:hAnsiTheme="minorBidi"/>
          <w:sz w:val="18"/>
          <w:szCs w:val="18"/>
          <w:rtl/>
        </w:rPr>
        <w:t>.</w:t>
      </w:r>
      <w:r w:rsidRPr="003024E5">
        <w:rPr>
          <w:rFonts w:asciiTheme="minorBidi" w:hAnsiTheme="minorBidi"/>
          <w:rtl/>
        </w:rPr>
        <w:t xml:space="preserve"> </w:t>
      </w:r>
      <w:r>
        <w:rPr>
          <w:rFonts w:asciiTheme="minorBidi" w:hAnsiTheme="minorBidi" w:hint="cs"/>
          <w:rtl/>
        </w:rPr>
        <w:t xml:space="preserve"> </w:t>
      </w:r>
    </w:p>
    <w:p w14:paraId="1F072500" w14:textId="77777777" w:rsidR="002C39F4" w:rsidRPr="003024E5" w:rsidRDefault="002C39F4" w:rsidP="002C39F4">
      <w:pPr>
        <w:rPr>
          <w:rFonts w:asciiTheme="minorBidi" w:hAnsiTheme="minorBidi"/>
          <w:rtl/>
        </w:rPr>
      </w:pPr>
    </w:p>
    <w:p w14:paraId="702344C4"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פת פלטר שנמצאת בידו של בעה"ב</w:t>
      </w:r>
      <w:r w:rsidRPr="00510944">
        <w:rPr>
          <w:rFonts w:asciiTheme="minorBidi" w:hAnsiTheme="minorBidi" w:hint="cs"/>
          <w:sz w:val="18"/>
          <w:szCs w:val="18"/>
          <w:rtl/>
        </w:rPr>
        <w:t xml:space="preserve"> (וכן להפך)</w:t>
      </w:r>
      <w:r>
        <w:rPr>
          <w:rFonts w:asciiTheme="minorBidi" w:hAnsiTheme="minorBidi" w:hint="cs"/>
          <w:rtl/>
        </w:rPr>
        <w:t>.</w:t>
      </w:r>
    </w:p>
    <w:p w14:paraId="14121641" w14:textId="77777777" w:rsidR="002C39F4" w:rsidRPr="007E1FFE" w:rsidRDefault="002C39F4" w:rsidP="002C39F4">
      <w:pPr>
        <w:rPr>
          <w:u w:val="single"/>
          <w:rtl/>
        </w:rPr>
      </w:pPr>
      <w:r w:rsidRPr="007E1FFE">
        <w:rPr>
          <w:u w:val="single"/>
          <w:rtl/>
        </w:rPr>
        <w:t xml:space="preserve">פת </w:t>
      </w:r>
      <w:r w:rsidRPr="007E1FFE">
        <w:rPr>
          <w:rFonts w:hint="cs"/>
          <w:u w:val="single"/>
          <w:rtl/>
        </w:rPr>
        <w:t>פלטר שביד בעה"ב, וכן פת בעה"ב שביד פלטר:</w:t>
      </w:r>
    </w:p>
    <w:p w14:paraId="14EC899E" w14:textId="77777777" w:rsidR="002C39F4" w:rsidRDefault="002C39F4" w:rsidP="0032102C">
      <w:pPr>
        <w:pStyle w:val="a8"/>
        <w:numPr>
          <w:ilvl w:val="0"/>
          <w:numId w:val="270"/>
        </w:numPr>
      </w:pPr>
      <w:r w:rsidRPr="007E1FFE">
        <w:rPr>
          <w:rFonts w:cs="Arial" w:hint="cs"/>
          <w:rtl/>
        </w:rPr>
        <w:t>ראב</w:t>
      </w:r>
      <w:r w:rsidRPr="007E1FFE">
        <w:rPr>
          <w:rFonts w:cs="Arial"/>
          <w:rtl/>
        </w:rPr>
        <w:t>"ד רשב"א</w:t>
      </w:r>
      <w:r w:rsidRPr="007E1FFE">
        <w:rPr>
          <w:rFonts w:cs="Arial" w:hint="cs"/>
          <w:rtl/>
        </w:rPr>
        <w:t xml:space="preserve"> </w:t>
      </w:r>
      <w:r w:rsidRPr="007E1FFE">
        <w:rPr>
          <w:rFonts w:cs="Arial"/>
          <w:rtl/>
        </w:rPr>
        <w:t xml:space="preserve">רא"ש </w:t>
      </w:r>
      <w:r>
        <w:rPr>
          <w:rFonts w:hint="cs"/>
          <w:rtl/>
        </w:rPr>
        <w:t>טור</w:t>
      </w:r>
      <w:r w:rsidRPr="007E1FFE">
        <w:rPr>
          <w:rFonts w:cs="Arial"/>
          <w:rtl/>
        </w:rPr>
        <w:t xml:space="preserve"> ור"ן</w:t>
      </w:r>
      <w:r>
        <w:rPr>
          <w:rStyle w:val="a7"/>
          <w:rFonts w:cs="Arial"/>
          <w:rtl/>
        </w:rPr>
        <w:footnoteReference w:id="2666"/>
      </w:r>
      <w:r>
        <w:rPr>
          <w:rFonts w:hint="cs"/>
          <w:rtl/>
        </w:rPr>
        <w:t xml:space="preserve">- </w:t>
      </w:r>
      <w:r>
        <w:rPr>
          <w:rFonts w:cs="Arial"/>
          <w:rtl/>
        </w:rPr>
        <w:t>פת של בעה</w:t>
      </w:r>
      <w:r>
        <w:rPr>
          <w:rFonts w:cs="Arial" w:hint="cs"/>
          <w:rtl/>
        </w:rPr>
        <w:t>"</w:t>
      </w:r>
      <w:r>
        <w:rPr>
          <w:rFonts w:cs="Arial"/>
          <w:rtl/>
        </w:rPr>
        <w:t>ב</w:t>
      </w:r>
      <w:r w:rsidRPr="007E1FFE">
        <w:rPr>
          <w:rFonts w:cs="Arial"/>
          <w:rtl/>
        </w:rPr>
        <w:t xml:space="preserve"> אסורות לעולם אפ</w:t>
      </w:r>
      <w:r>
        <w:rPr>
          <w:rFonts w:cs="Arial"/>
          <w:rtl/>
        </w:rPr>
        <w:t>י</w:t>
      </w:r>
      <w:r>
        <w:rPr>
          <w:rFonts w:cs="Arial" w:hint="cs"/>
          <w:rtl/>
        </w:rPr>
        <w:t>'</w:t>
      </w:r>
      <w:r w:rsidRPr="007E1FFE">
        <w:rPr>
          <w:rFonts w:cs="Arial"/>
          <w:rtl/>
        </w:rPr>
        <w:t xml:space="preserve"> קנאה פלטר ממנו ואפילו שלחה לישראל לביתו וכן אפילו שלחה אותו הישראל לאחר אסורה לעולם</w:t>
      </w:r>
      <w:r>
        <w:rPr>
          <w:rFonts w:cs="Arial" w:hint="cs"/>
          <w:rtl/>
        </w:rPr>
        <w:t>,</w:t>
      </w:r>
      <w:r w:rsidRPr="007E1FFE">
        <w:rPr>
          <w:rFonts w:cs="Arial"/>
          <w:rtl/>
        </w:rPr>
        <w:t xml:space="preserve"> ושל פלט</w:t>
      </w:r>
      <w:r>
        <w:rPr>
          <w:rFonts w:cs="Arial"/>
          <w:rtl/>
        </w:rPr>
        <w:t>ר מותרת לעולם אפילו קנאה בעה</w:t>
      </w:r>
      <w:r>
        <w:rPr>
          <w:rFonts w:cs="Arial" w:hint="cs"/>
          <w:rtl/>
        </w:rPr>
        <w:t>"ב</w:t>
      </w:r>
      <w:r w:rsidRPr="007E1FFE">
        <w:rPr>
          <w:rFonts w:cs="Arial"/>
          <w:rtl/>
        </w:rPr>
        <w:t xml:space="preserve"> ממנו</w:t>
      </w:r>
      <w:r>
        <w:rPr>
          <w:rFonts w:cs="Arial" w:hint="cs"/>
          <w:rtl/>
        </w:rPr>
        <w:t>,</w:t>
      </w:r>
      <w:r w:rsidRPr="007E1FFE">
        <w:rPr>
          <w:rFonts w:cs="Arial"/>
          <w:rtl/>
        </w:rPr>
        <w:t xml:space="preserve"> שלא הלכו באיסור זה אחר מי שהפת בידו עכשיו אלא אחר מי שהיה לו בשעת אפייה</w:t>
      </w:r>
      <w:r>
        <w:rPr>
          <w:rFonts w:cs="Arial" w:hint="cs"/>
          <w:sz w:val="16"/>
          <w:szCs w:val="16"/>
          <w:rtl/>
        </w:rPr>
        <w:t xml:space="preserve"> (ל' הטור)</w:t>
      </w:r>
      <w:r>
        <w:rPr>
          <w:rStyle w:val="a7"/>
          <w:rFonts w:cs="Arial"/>
          <w:rtl/>
        </w:rPr>
        <w:footnoteReference w:id="2667"/>
      </w:r>
      <w:r w:rsidRPr="007E1FFE">
        <w:rPr>
          <w:rFonts w:cs="Arial"/>
          <w:rtl/>
        </w:rPr>
        <w:t>.</w:t>
      </w:r>
      <w:r w:rsidRPr="004D2534">
        <w:rPr>
          <w:rFonts w:cs="Arial" w:hint="cs"/>
          <w:color w:val="E36C0A" w:themeColor="accent6" w:themeShade="BF"/>
          <w:rtl/>
        </w:rPr>
        <w:t xml:space="preserve"> </w:t>
      </w:r>
      <w:r w:rsidRPr="00333F58">
        <w:rPr>
          <w:rFonts w:cs="Arial" w:hint="cs"/>
          <w:color w:val="E36C0A" w:themeColor="accent6" w:themeShade="BF"/>
          <w:rtl/>
        </w:rPr>
        <w:t>(וכ"פ בשו"ע)</w:t>
      </w:r>
    </w:p>
    <w:p w14:paraId="5168293F" w14:textId="77777777" w:rsidR="002C39F4" w:rsidRDefault="002C39F4" w:rsidP="0032102C">
      <w:pPr>
        <w:pStyle w:val="a8"/>
        <w:numPr>
          <w:ilvl w:val="0"/>
          <w:numId w:val="270"/>
        </w:numPr>
        <w:rPr>
          <w:rtl/>
        </w:rPr>
      </w:pPr>
      <w:r w:rsidRPr="00B20FA4">
        <w:rPr>
          <w:rFonts w:cs="Arial"/>
          <w:rtl/>
        </w:rPr>
        <w:t xml:space="preserve">רא"ה </w:t>
      </w:r>
      <w:r w:rsidRPr="0043600C">
        <w:rPr>
          <w:rFonts w:cs="Arial"/>
          <w:sz w:val="16"/>
          <w:szCs w:val="16"/>
          <w:rtl/>
        </w:rPr>
        <w:t>(בדה"ב שם צב:</w:t>
      </w:r>
      <w:r>
        <w:rPr>
          <w:rFonts w:cs="Arial" w:hint="cs"/>
          <w:sz w:val="16"/>
          <w:szCs w:val="16"/>
          <w:rtl/>
        </w:rPr>
        <w:t>-צג.</w:t>
      </w:r>
      <w:r w:rsidRPr="0043600C">
        <w:rPr>
          <w:rFonts w:cs="Arial"/>
          <w:sz w:val="16"/>
          <w:szCs w:val="16"/>
          <w:rtl/>
        </w:rPr>
        <w:t xml:space="preserve"> ד"ה ולענין</w:t>
      </w:r>
      <w:r>
        <w:rPr>
          <w:rFonts w:cs="Arial" w:hint="cs"/>
          <w:sz w:val="16"/>
          <w:szCs w:val="16"/>
          <w:rtl/>
        </w:rPr>
        <w:t>,</w:t>
      </w:r>
      <w:r w:rsidRPr="000E6BE0">
        <w:rPr>
          <w:rFonts w:cs="Arial" w:hint="cs"/>
          <w:sz w:val="16"/>
          <w:szCs w:val="16"/>
          <w:rtl/>
        </w:rPr>
        <w:t xml:space="preserve"> </w:t>
      </w:r>
      <w:r>
        <w:rPr>
          <w:rFonts w:cs="Arial" w:hint="cs"/>
          <w:sz w:val="16"/>
          <w:szCs w:val="16"/>
          <w:rtl/>
        </w:rPr>
        <w:t>וכ"כ הא"ח בשמו [</w:t>
      </w:r>
      <w:r w:rsidRPr="0043600C">
        <w:rPr>
          <w:rFonts w:cs="Arial"/>
          <w:sz w:val="16"/>
          <w:szCs w:val="16"/>
          <w:rtl/>
        </w:rPr>
        <w:t>הלא</w:t>
      </w:r>
      <w:r w:rsidRPr="0043600C">
        <w:rPr>
          <w:rFonts w:cs="Arial" w:hint="cs"/>
          <w:sz w:val="16"/>
          <w:szCs w:val="16"/>
          <w:rtl/>
        </w:rPr>
        <w:t>"מ</w:t>
      </w:r>
      <w:r w:rsidRPr="0043600C">
        <w:rPr>
          <w:rFonts w:cs="Arial"/>
          <w:sz w:val="16"/>
          <w:szCs w:val="16"/>
          <w:rtl/>
        </w:rPr>
        <w:t xml:space="preserve"> אות סג ד"ה הפת</w:t>
      </w:r>
      <w:r>
        <w:rPr>
          <w:rFonts w:cs="Arial" w:hint="cs"/>
          <w:sz w:val="16"/>
          <w:szCs w:val="16"/>
          <w:rtl/>
        </w:rPr>
        <w:t>]</w:t>
      </w:r>
      <w:r w:rsidRPr="0043600C">
        <w:rPr>
          <w:rFonts w:cs="Arial"/>
          <w:sz w:val="16"/>
          <w:szCs w:val="16"/>
          <w:rtl/>
        </w:rPr>
        <w:t>)</w:t>
      </w:r>
      <w:r>
        <w:rPr>
          <w:rFonts w:hint="cs"/>
          <w:rtl/>
        </w:rPr>
        <w:t xml:space="preserve">- </w:t>
      </w:r>
      <w:r>
        <w:rPr>
          <w:rStyle w:val="a7"/>
          <w:rFonts w:cs="Arial"/>
          <w:rtl/>
        </w:rPr>
        <w:footnoteReference w:id="2668"/>
      </w:r>
      <w:r w:rsidRPr="004D2534">
        <w:rPr>
          <w:rFonts w:cs="Arial"/>
          <w:rtl/>
        </w:rPr>
        <w:t>פת בעלי בתים ביד פלטר מותר ופת פלטר בידו של בעל הבית אסור</w:t>
      </w:r>
      <w:r>
        <w:rPr>
          <w:rFonts w:hint="cs"/>
          <w:rtl/>
        </w:rPr>
        <w:t xml:space="preserve">. </w:t>
      </w:r>
    </w:p>
    <w:p w14:paraId="24032E3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91146D5" w14:textId="77777777" w:rsidR="002C39F4" w:rsidRDefault="002C39F4" w:rsidP="002C39F4">
      <w:pPr>
        <w:rPr>
          <w:rFonts w:asciiTheme="minorBidi" w:hAnsiTheme="minorBidi"/>
          <w:rtl/>
        </w:rPr>
      </w:pPr>
      <w:r w:rsidRPr="003024E5">
        <w:rPr>
          <w:rFonts w:asciiTheme="minorBidi" w:hAnsiTheme="minorBidi"/>
          <w:rtl/>
        </w:rPr>
        <w:t>פת בעל הבית אסורה לעולם, אפילו קנאה פלטר</w:t>
      </w:r>
      <w:r>
        <w:rPr>
          <w:rFonts w:asciiTheme="minorBidi" w:hAnsiTheme="minorBidi"/>
          <w:rtl/>
        </w:rPr>
        <w:t xml:space="preserve"> ממנו, ואפילו שלחה לישראל לביתו</w:t>
      </w:r>
      <w:r>
        <w:rPr>
          <w:rFonts w:asciiTheme="minorBidi" w:hAnsiTheme="minorBidi" w:hint="cs"/>
          <w:rtl/>
        </w:rPr>
        <w:t>,</w:t>
      </w:r>
      <w:r w:rsidRPr="003024E5">
        <w:rPr>
          <w:rFonts w:asciiTheme="minorBidi" w:hAnsiTheme="minorBidi"/>
          <w:rtl/>
        </w:rPr>
        <w:t xml:space="preserve"> וכן אפילו שלחה אותו ישראל לא</w:t>
      </w:r>
      <w:r>
        <w:rPr>
          <w:rFonts w:asciiTheme="minorBidi" w:hAnsiTheme="minorBidi"/>
          <w:rtl/>
        </w:rPr>
        <w:t>חר, אסורה לעולם. ושל פלטר</w:t>
      </w:r>
      <w:r w:rsidRPr="003024E5">
        <w:rPr>
          <w:rFonts w:asciiTheme="minorBidi" w:hAnsiTheme="minorBidi"/>
          <w:rtl/>
        </w:rPr>
        <w:t xml:space="preserve"> מותרת לעולם, אפילו קנאה בעל הבית ממנו, שלא הלכו ב</w:t>
      </w:r>
      <w:r>
        <w:rPr>
          <w:rFonts w:asciiTheme="minorBidi" w:hAnsiTheme="minorBidi"/>
          <w:rtl/>
        </w:rPr>
        <w:t>איסור זה אחר מי שהפת בידו עכשיו</w:t>
      </w:r>
      <w:r w:rsidRPr="003024E5">
        <w:rPr>
          <w:rFonts w:asciiTheme="minorBidi" w:hAnsiTheme="minorBidi"/>
          <w:rtl/>
        </w:rPr>
        <w:t xml:space="preserve"> אלא אחר מי שהיה לו בשעת אפייה. </w:t>
      </w:r>
    </w:p>
    <w:p w14:paraId="16D7121A" w14:textId="77777777" w:rsidR="002C39F4" w:rsidRPr="003024E5" w:rsidRDefault="002C39F4" w:rsidP="002C39F4">
      <w:pPr>
        <w:rPr>
          <w:rFonts w:asciiTheme="minorBidi" w:hAnsiTheme="minorBidi"/>
          <w:rtl/>
        </w:rPr>
      </w:pPr>
    </w:p>
    <w:p w14:paraId="53DE362D" w14:textId="77777777" w:rsidR="002C39F4" w:rsidRDefault="002C39F4" w:rsidP="002C39F4">
      <w:pPr>
        <w:pStyle w:val="2"/>
        <w:rPr>
          <w:rFonts w:asciiTheme="minorBidi" w:hAnsiTheme="minorBidi"/>
          <w:rtl/>
        </w:rPr>
      </w:pPr>
      <w:r w:rsidRPr="003024E5">
        <w:rPr>
          <w:rFonts w:asciiTheme="minorBidi" w:hAnsiTheme="minorBidi"/>
          <w:rtl/>
        </w:rPr>
        <w:t>סעיף ח</w:t>
      </w:r>
      <w:r>
        <w:rPr>
          <w:rFonts w:asciiTheme="minorBidi" w:hAnsiTheme="minorBidi" w:hint="cs"/>
          <w:rtl/>
        </w:rPr>
        <w:t>: מקום שאין פלטר מצוי כלל.</w:t>
      </w:r>
    </w:p>
    <w:p w14:paraId="0ED1482C" w14:textId="77777777" w:rsidR="002C39F4" w:rsidRPr="00AB6CCE" w:rsidRDefault="002C39F4" w:rsidP="002C39F4">
      <w:pPr>
        <w:rPr>
          <w:rFonts w:cs="Arial"/>
          <w:u w:val="single"/>
          <w:rtl/>
        </w:rPr>
      </w:pPr>
      <w:r w:rsidRPr="00AB6CCE">
        <w:rPr>
          <w:rFonts w:cs="Arial"/>
          <w:u w:val="single"/>
          <w:rtl/>
        </w:rPr>
        <w:t xml:space="preserve">פת </w:t>
      </w:r>
      <w:r w:rsidRPr="00AD0AC4">
        <w:rPr>
          <w:rFonts w:cs="Arial" w:hint="cs"/>
          <w:b/>
          <w:bCs/>
          <w:u w:val="single"/>
          <w:rtl/>
        </w:rPr>
        <w:t>בעל הבית</w:t>
      </w:r>
      <w:r w:rsidRPr="00AB6CCE">
        <w:rPr>
          <w:rFonts w:cs="Arial" w:hint="cs"/>
          <w:u w:val="single"/>
          <w:rtl/>
        </w:rPr>
        <w:t xml:space="preserve"> במקום שאין פת מצוי כלל:</w:t>
      </w:r>
    </w:p>
    <w:p w14:paraId="0DCA8213" w14:textId="77777777" w:rsidR="002C39F4" w:rsidRDefault="002C39F4" w:rsidP="0032102C">
      <w:pPr>
        <w:pStyle w:val="a8"/>
        <w:numPr>
          <w:ilvl w:val="0"/>
          <w:numId w:val="267"/>
        </w:numPr>
        <w:rPr>
          <w:rFonts w:cs="Arial"/>
        </w:rPr>
      </w:pPr>
      <w:r>
        <w:rPr>
          <w:rFonts w:cs="Arial" w:hint="cs"/>
          <w:rtl/>
        </w:rPr>
        <w:t>מרדכי</w:t>
      </w:r>
      <w:r w:rsidRPr="00EE45E2">
        <w:rPr>
          <w:rFonts w:cs="Arial"/>
          <w:rtl/>
        </w:rPr>
        <w:t xml:space="preserve"> </w:t>
      </w:r>
      <w:r w:rsidRPr="00EE45E2">
        <w:rPr>
          <w:rFonts w:cs="Arial" w:hint="cs"/>
          <w:sz w:val="16"/>
          <w:szCs w:val="16"/>
          <w:rtl/>
        </w:rPr>
        <w:t>(סי' תתל)</w:t>
      </w:r>
      <w:r w:rsidRPr="00EE45E2">
        <w:rPr>
          <w:rFonts w:cs="Arial" w:hint="cs"/>
          <w:rtl/>
        </w:rPr>
        <w:t xml:space="preserve">- </w:t>
      </w:r>
      <w:r w:rsidRPr="00EE45E2">
        <w:rPr>
          <w:rFonts w:cs="Arial"/>
          <w:rtl/>
        </w:rPr>
        <w:t>מצאתי שה</w:t>
      </w:r>
      <w:r>
        <w:rPr>
          <w:rFonts w:cs="Arial"/>
          <w:rtl/>
        </w:rPr>
        <w:t>תיר רבינו שמריה פת של עכו</w:t>
      </w:r>
      <w:r>
        <w:rPr>
          <w:rFonts w:cs="Arial" w:hint="cs"/>
          <w:rtl/>
        </w:rPr>
        <w:t>"</w:t>
      </w:r>
      <w:r w:rsidRPr="00EE45E2">
        <w:rPr>
          <w:rFonts w:cs="Arial"/>
          <w:rtl/>
        </w:rPr>
        <w:t>ם</w:t>
      </w:r>
      <w:r>
        <w:rPr>
          <w:rStyle w:val="a7"/>
          <w:rFonts w:cs="Arial"/>
          <w:rtl/>
        </w:rPr>
        <w:footnoteReference w:id="2669"/>
      </w:r>
      <w:r w:rsidRPr="00EE45E2">
        <w:rPr>
          <w:rFonts w:cs="Arial"/>
          <w:rtl/>
        </w:rPr>
        <w:t xml:space="preserve"> למי שהולך בדרך</w:t>
      </w:r>
      <w:r>
        <w:rPr>
          <w:rFonts w:cs="Arial" w:hint="cs"/>
          <w:rtl/>
        </w:rPr>
        <w:t>,</w:t>
      </w:r>
      <w:r w:rsidRPr="00EE45E2">
        <w:rPr>
          <w:rFonts w:cs="Arial"/>
          <w:rtl/>
        </w:rPr>
        <w:t xml:space="preserve"> ועוד הביא ראיה מהא דתנן מאכילין את העניים דמאי ואת האכסניא דמאי ואע</w:t>
      </w:r>
      <w:r>
        <w:rPr>
          <w:rFonts w:cs="Arial" w:hint="cs"/>
          <w:rtl/>
        </w:rPr>
        <w:t>"</w:t>
      </w:r>
      <w:r w:rsidRPr="00EE45E2">
        <w:rPr>
          <w:rFonts w:cs="Arial"/>
          <w:rtl/>
        </w:rPr>
        <w:t>פ שיש בו איסור דרבנן</w:t>
      </w:r>
      <w:r w:rsidRPr="00EE45E2">
        <w:rPr>
          <w:rFonts w:cs="Arial" w:hint="cs"/>
          <w:sz w:val="16"/>
          <w:szCs w:val="16"/>
          <w:rtl/>
        </w:rPr>
        <w:t xml:space="preserve"> (ל' המרדכי)</w:t>
      </w:r>
      <w:r w:rsidRPr="00EE45E2">
        <w:rPr>
          <w:rFonts w:cs="Arial"/>
          <w:rtl/>
        </w:rPr>
        <w:t xml:space="preserve">. </w:t>
      </w:r>
    </w:p>
    <w:p w14:paraId="2CECCE52" w14:textId="77777777" w:rsidR="002C39F4" w:rsidRDefault="002C39F4" w:rsidP="0032102C">
      <w:pPr>
        <w:pStyle w:val="a8"/>
        <w:numPr>
          <w:ilvl w:val="0"/>
          <w:numId w:val="267"/>
        </w:numPr>
        <w:rPr>
          <w:rFonts w:cs="Arial"/>
        </w:rPr>
      </w:pPr>
      <w:r w:rsidRPr="00EE45E2">
        <w:rPr>
          <w:rFonts w:cs="Arial"/>
          <w:rtl/>
        </w:rPr>
        <w:t>א</w:t>
      </w:r>
      <w:r>
        <w:rPr>
          <w:rFonts w:cs="Arial" w:hint="cs"/>
          <w:rtl/>
        </w:rPr>
        <w:t>"</w:t>
      </w:r>
      <w:r w:rsidRPr="00EE45E2">
        <w:rPr>
          <w:rFonts w:cs="Arial"/>
          <w:rtl/>
        </w:rPr>
        <w:t xml:space="preserve">ח </w:t>
      </w:r>
      <w:r w:rsidRPr="00EE45E2">
        <w:rPr>
          <w:rFonts w:cs="Arial"/>
          <w:sz w:val="16"/>
          <w:szCs w:val="16"/>
          <w:rtl/>
        </w:rPr>
        <w:t>(הל</w:t>
      </w:r>
      <w:r>
        <w:rPr>
          <w:rFonts w:cs="Arial" w:hint="cs"/>
          <w:sz w:val="16"/>
          <w:szCs w:val="16"/>
          <w:rtl/>
        </w:rPr>
        <w:t>מ"א</w:t>
      </w:r>
      <w:r w:rsidRPr="00EE45E2">
        <w:rPr>
          <w:rFonts w:cs="Arial"/>
          <w:sz w:val="16"/>
          <w:szCs w:val="16"/>
          <w:rtl/>
        </w:rPr>
        <w:t xml:space="preserve"> אות סג ד"ה הפת) </w:t>
      </w:r>
      <w:r w:rsidRPr="00EE45E2">
        <w:rPr>
          <w:rFonts w:cs="Arial"/>
          <w:rtl/>
        </w:rPr>
        <w:t>בשם ה</w:t>
      </w:r>
      <w:r>
        <w:rPr>
          <w:rFonts w:cs="Arial"/>
          <w:rtl/>
        </w:rPr>
        <w:t xml:space="preserve">רא"ה </w:t>
      </w:r>
      <w:r w:rsidRPr="00EE45E2">
        <w:rPr>
          <w:rFonts w:cs="Arial"/>
          <w:sz w:val="16"/>
          <w:szCs w:val="16"/>
          <w:rtl/>
        </w:rPr>
        <w:t>(בדה"ב שם צב: ד"ה ולענין)</w:t>
      </w:r>
      <w:r>
        <w:rPr>
          <w:rFonts w:cs="Arial" w:hint="cs"/>
          <w:rtl/>
        </w:rPr>
        <w:t xml:space="preserve">- </w:t>
      </w:r>
      <w:r w:rsidRPr="00EE45E2">
        <w:rPr>
          <w:rFonts w:cs="Arial"/>
          <w:rtl/>
        </w:rPr>
        <w:t>כל מקום שאין פלטר מצוי כלל מותר אפילו פת של בעלי בתים ולילך ולאכלו בשדה חוץ לתחום</w:t>
      </w:r>
      <w:r>
        <w:rPr>
          <w:rFonts w:cs="Arial" w:hint="cs"/>
          <w:rtl/>
        </w:rPr>
        <w:t>,</w:t>
      </w:r>
      <w:r w:rsidRPr="00EE45E2">
        <w:rPr>
          <w:rFonts w:cs="Arial"/>
          <w:rtl/>
        </w:rPr>
        <w:t xml:space="preserve"> וכן בתוך התחום אין כאן איסור כיון שהוא חוץ לעיר שבעים אמה ושירים אלא שהוא מכוער לתלמיד חכם. וכפר קטן שאין בו פלטר ישראל ולא גוי הרי הוא כשדה ומותר לאכול פת של בעלי בתים שם</w:t>
      </w:r>
      <w:r>
        <w:rPr>
          <w:rStyle w:val="a7"/>
          <w:rFonts w:cs="Arial"/>
          <w:rtl/>
        </w:rPr>
        <w:footnoteReference w:id="2670"/>
      </w:r>
      <w:r w:rsidRPr="00EE45E2">
        <w:rPr>
          <w:rFonts w:cs="Arial" w:hint="cs"/>
          <w:rtl/>
        </w:rPr>
        <w:t>.</w:t>
      </w:r>
      <w:r>
        <w:rPr>
          <w:rFonts w:cs="Arial" w:hint="cs"/>
          <w:rtl/>
        </w:rPr>
        <w:t xml:space="preserve"> </w:t>
      </w:r>
      <w:r w:rsidRPr="00333F58">
        <w:rPr>
          <w:rFonts w:cs="Arial" w:hint="cs"/>
          <w:color w:val="E36C0A" w:themeColor="accent6" w:themeShade="BF"/>
          <w:rtl/>
        </w:rPr>
        <w:t>(וכ"</w:t>
      </w:r>
      <w:r>
        <w:rPr>
          <w:rFonts w:cs="Arial" w:hint="cs"/>
          <w:color w:val="E36C0A" w:themeColor="accent6" w:themeShade="BF"/>
          <w:rtl/>
        </w:rPr>
        <w:t>כ</w:t>
      </w:r>
      <w:r w:rsidRPr="00333F58">
        <w:rPr>
          <w:rFonts w:cs="Arial" w:hint="cs"/>
          <w:color w:val="E36C0A" w:themeColor="accent6" w:themeShade="BF"/>
          <w:rtl/>
        </w:rPr>
        <w:t xml:space="preserve"> בשו"ע)</w:t>
      </w:r>
      <w:r w:rsidRPr="00000834">
        <w:rPr>
          <w:rFonts w:cs="Arial" w:hint="cs"/>
          <w:color w:val="00B0F0"/>
          <w:rtl/>
        </w:rPr>
        <w:t xml:space="preserve"> (וכ"פ הרמ"א)</w:t>
      </w:r>
    </w:p>
    <w:p w14:paraId="13B3FB34" w14:textId="77777777" w:rsidR="002C39F4" w:rsidRPr="00B20FA4" w:rsidRDefault="002C39F4" w:rsidP="0032102C">
      <w:pPr>
        <w:pStyle w:val="a8"/>
        <w:numPr>
          <w:ilvl w:val="0"/>
          <w:numId w:val="267"/>
        </w:numPr>
        <w:rPr>
          <w:rFonts w:cs="Arial"/>
          <w:rtl/>
        </w:rPr>
      </w:pPr>
      <w:r w:rsidRPr="00487235">
        <w:rPr>
          <w:rFonts w:cs="Arial" w:hint="cs"/>
          <w:rtl/>
        </w:rPr>
        <w:t xml:space="preserve">רמב"ם </w:t>
      </w:r>
      <w:r w:rsidRPr="00487235">
        <w:rPr>
          <w:rFonts w:cs="Arial" w:hint="cs"/>
          <w:sz w:val="16"/>
          <w:szCs w:val="16"/>
          <w:rtl/>
        </w:rPr>
        <w:t>(פי"ז הי"ב)</w:t>
      </w:r>
      <w:r w:rsidRPr="00487235">
        <w:rPr>
          <w:rFonts w:cs="Arial" w:hint="cs"/>
          <w:rtl/>
        </w:rPr>
        <w:t xml:space="preserve">- </w:t>
      </w:r>
      <w:r w:rsidRPr="00487235">
        <w:rPr>
          <w:rFonts w:cs="Arial"/>
          <w:rtl/>
        </w:rPr>
        <w:t>אע</w:t>
      </w:r>
      <w:r w:rsidRPr="00487235">
        <w:rPr>
          <w:rFonts w:cs="Arial" w:hint="cs"/>
          <w:rtl/>
        </w:rPr>
        <w:t>"</w:t>
      </w:r>
      <w:r w:rsidRPr="00487235">
        <w:rPr>
          <w:rFonts w:cs="Arial"/>
          <w:rtl/>
        </w:rPr>
        <w:t xml:space="preserve">פ שאסרו פת עכו"ם יש מקומות שמקילין בדבר ולוקחין פת </w:t>
      </w:r>
      <w:r w:rsidRPr="00425251">
        <w:rPr>
          <w:rFonts w:cs="Arial"/>
          <w:b/>
          <w:bCs/>
          <w:rtl/>
        </w:rPr>
        <w:t>הנחתום</w:t>
      </w:r>
      <w:r w:rsidRPr="00487235">
        <w:rPr>
          <w:rFonts w:cs="Arial"/>
          <w:rtl/>
        </w:rPr>
        <w:t xml:space="preserve"> העכו"ם במקום שאין שם נחתום</w:t>
      </w:r>
      <w:r>
        <w:rPr>
          <w:rFonts w:cs="Arial"/>
          <w:rtl/>
        </w:rPr>
        <w:t xml:space="preserve"> ישראל ובשדה מפני שהוא שעת הדחק</w:t>
      </w:r>
      <w:r>
        <w:rPr>
          <w:rStyle w:val="a7"/>
          <w:rFonts w:cs="Arial"/>
          <w:rtl/>
        </w:rPr>
        <w:footnoteReference w:id="2671"/>
      </w:r>
      <w:r>
        <w:rPr>
          <w:rFonts w:cs="Arial" w:hint="cs"/>
          <w:rtl/>
        </w:rPr>
        <w:t xml:space="preserve">. </w:t>
      </w:r>
    </w:p>
    <w:p w14:paraId="7AB8C47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D5518FE" w14:textId="77777777" w:rsidR="002C39F4" w:rsidRDefault="002C39F4" w:rsidP="002C39F4">
      <w:pPr>
        <w:rPr>
          <w:rFonts w:asciiTheme="minorBidi" w:hAnsiTheme="minorBidi"/>
          <w:rtl/>
        </w:rPr>
      </w:pPr>
      <w:r w:rsidRPr="003024E5">
        <w:rPr>
          <w:rFonts w:asciiTheme="minorBidi" w:hAnsiTheme="minorBidi"/>
          <w:rtl/>
        </w:rPr>
        <w:t xml:space="preserve">יש מי שאומר דבמקום שאין פלטר מצוי </w:t>
      </w:r>
      <w:r>
        <w:rPr>
          <w:rFonts w:asciiTheme="minorBidi" w:hAnsiTheme="minorBidi"/>
          <w:rtl/>
        </w:rPr>
        <w:t xml:space="preserve">כלל, מותר אפילו של בעלי הבתים. </w:t>
      </w:r>
      <w:r w:rsidRPr="0050419D">
        <w:rPr>
          <w:rFonts w:asciiTheme="minorBidi" w:hAnsiTheme="minorBidi" w:hint="cs"/>
          <w:sz w:val="18"/>
          <w:szCs w:val="18"/>
          <w:rtl/>
        </w:rPr>
        <w:t xml:space="preserve">[הגה] </w:t>
      </w:r>
      <w:r w:rsidRPr="0050419D">
        <w:rPr>
          <w:rFonts w:asciiTheme="minorBidi" w:hAnsiTheme="minorBidi"/>
          <w:sz w:val="18"/>
          <w:szCs w:val="18"/>
          <w:rtl/>
        </w:rPr>
        <w:t>וא"צ להמתין על פת כשר</w:t>
      </w:r>
      <w:r>
        <w:rPr>
          <w:rStyle w:val="a7"/>
          <w:rFonts w:asciiTheme="minorBidi" w:hAnsiTheme="minorBidi"/>
          <w:sz w:val="18"/>
          <w:szCs w:val="18"/>
          <w:rtl/>
        </w:rPr>
        <w:footnoteReference w:id="2672"/>
      </w:r>
      <w:r w:rsidRPr="0050419D">
        <w:rPr>
          <w:rFonts w:asciiTheme="minorBidi" w:hAnsiTheme="minorBidi"/>
          <w:sz w:val="18"/>
          <w:szCs w:val="18"/>
          <w:rtl/>
        </w:rPr>
        <w:t>, וכן נוהגין.</w:t>
      </w:r>
      <w:r w:rsidRPr="003024E5">
        <w:rPr>
          <w:rFonts w:asciiTheme="minorBidi" w:hAnsiTheme="minorBidi"/>
          <w:rtl/>
        </w:rPr>
        <w:t xml:space="preserve"> </w:t>
      </w:r>
    </w:p>
    <w:p w14:paraId="64AC7827" w14:textId="77777777" w:rsidR="002C39F4" w:rsidRPr="003024E5" w:rsidRDefault="002C39F4" w:rsidP="002C39F4">
      <w:pPr>
        <w:rPr>
          <w:rFonts w:asciiTheme="minorBidi" w:hAnsiTheme="minorBidi"/>
          <w:rtl/>
        </w:rPr>
      </w:pPr>
    </w:p>
    <w:p w14:paraId="478A4CA1" w14:textId="77777777" w:rsidR="002C39F4" w:rsidRDefault="002C39F4" w:rsidP="002C39F4">
      <w:pPr>
        <w:pStyle w:val="2"/>
        <w:rPr>
          <w:rFonts w:asciiTheme="minorBidi" w:hAnsiTheme="minorBidi"/>
          <w:rtl/>
        </w:rPr>
      </w:pPr>
      <w:r w:rsidRPr="003024E5">
        <w:rPr>
          <w:rFonts w:asciiTheme="minorBidi" w:hAnsiTheme="minorBidi"/>
          <w:rtl/>
        </w:rPr>
        <w:t>סעיף ט</w:t>
      </w:r>
      <w:r>
        <w:rPr>
          <w:rFonts w:asciiTheme="minorBidi" w:hAnsiTheme="minorBidi" w:hint="cs"/>
          <w:rtl/>
        </w:rPr>
        <w:t>: התערבות ישראל באפיית הפת.</w:t>
      </w:r>
    </w:p>
    <w:p w14:paraId="1FAA9BE0" w14:textId="77777777" w:rsidR="002C39F4" w:rsidRPr="003E77AC" w:rsidRDefault="002C39F4" w:rsidP="002C39F4">
      <w:pPr>
        <w:rPr>
          <w:rFonts w:cs="Arial"/>
          <w:rtl/>
        </w:rPr>
      </w:pPr>
      <w:r>
        <w:rPr>
          <w:rFonts w:cs="Arial" w:hint="cs"/>
          <w:b/>
          <w:bCs/>
          <w:rtl/>
        </w:rPr>
        <w:t xml:space="preserve">עבודה זרה </w:t>
      </w:r>
      <w:r w:rsidRPr="003E77AC">
        <w:rPr>
          <w:rFonts w:cs="Arial"/>
          <w:b/>
          <w:bCs/>
          <w:rtl/>
        </w:rPr>
        <w:t>לח</w:t>
      </w:r>
      <w:r w:rsidRPr="003E77AC">
        <w:rPr>
          <w:rFonts w:cs="Arial" w:hint="cs"/>
          <w:b/>
          <w:bCs/>
          <w:rtl/>
        </w:rPr>
        <w:t xml:space="preserve"> ע"ב:</w:t>
      </w:r>
      <w:r>
        <w:rPr>
          <w:rFonts w:cs="Arial"/>
          <w:rtl/>
        </w:rPr>
        <w:t xml:space="preserve"> </w:t>
      </w:r>
      <w:r>
        <w:rPr>
          <w:rFonts w:cs="Arial" w:hint="cs"/>
          <w:rtl/>
        </w:rPr>
        <w:t xml:space="preserve">[פת, </w:t>
      </w:r>
      <w:r w:rsidRPr="00E51D3D">
        <w:rPr>
          <w:rFonts w:cs="Arial" w:hint="cs"/>
          <w:u w:val="single"/>
          <w:rtl/>
        </w:rPr>
        <w:t>א"ר אחי</w:t>
      </w:r>
      <w:r>
        <w:rPr>
          <w:rFonts w:cs="Arial" w:hint="cs"/>
          <w:rtl/>
        </w:rPr>
        <w:t>: שלש מלאכות יש בה, הילכך האי</w:t>
      </w:r>
      <w:r>
        <w:rPr>
          <w:rStyle w:val="a7"/>
          <w:rFonts w:cs="Arial"/>
          <w:rtl/>
        </w:rPr>
        <w:footnoteReference w:id="2673"/>
      </w:r>
      <w:r>
        <w:rPr>
          <w:rFonts w:cs="Arial" w:hint="cs"/>
          <w:rtl/>
        </w:rPr>
        <w:t>]</w:t>
      </w:r>
      <w:r>
        <w:rPr>
          <w:rFonts w:cs="Arial"/>
          <w:rtl/>
        </w:rPr>
        <w:t xml:space="preserve"> </w:t>
      </w:r>
      <w:r w:rsidRPr="00F45AF1">
        <w:rPr>
          <w:rFonts w:cs="Arial"/>
          <w:rtl/>
        </w:rPr>
        <w:t>ריפתא</w:t>
      </w:r>
      <w:r>
        <w:rPr>
          <w:rStyle w:val="a7"/>
          <w:rFonts w:cs="Arial"/>
          <w:rtl/>
        </w:rPr>
        <w:footnoteReference w:id="2674"/>
      </w:r>
      <w:r w:rsidRPr="00F45AF1">
        <w:rPr>
          <w:rFonts w:cs="Arial"/>
          <w:rtl/>
        </w:rPr>
        <w:t xml:space="preserve"> דשגר</w:t>
      </w:r>
      <w:r>
        <w:rPr>
          <w:rStyle w:val="a7"/>
          <w:rFonts w:cs="Arial"/>
          <w:rtl/>
        </w:rPr>
        <w:footnoteReference w:id="2675"/>
      </w:r>
      <w:r w:rsidRPr="00F45AF1">
        <w:rPr>
          <w:rFonts w:cs="Arial"/>
          <w:rtl/>
        </w:rPr>
        <w:t xml:space="preserve"> עובד כוכבים ואפה ישראל, א"נ שגר ישראל ואפה עובד כוכבים, א"נ שגר עובד כוכבים ואפה עובד כוכבים ואתא</w:t>
      </w:r>
      <w:r>
        <w:rPr>
          <w:rFonts w:cs="Arial"/>
          <w:rtl/>
        </w:rPr>
        <w:t xml:space="preserve"> ישראל וחתה בה חתויי</w:t>
      </w:r>
      <w:r>
        <w:rPr>
          <w:rStyle w:val="a7"/>
          <w:rFonts w:cs="Arial"/>
          <w:rtl/>
        </w:rPr>
        <w:footnoteReference w:id="2676"/>
      </w:r>
      <w:r>
        <w:rPr>
          <w:rFonts w:cs="Arial"/>
          <w:rtl/>
        </w:rPr>
        <w:t xml:space="preserve"> - שפיר דמי. </w:t>
      </w:r>
      <w:r w:rsidRPr="003E77AC">
        <w:rPr>
          <w:rFonts w:cs="Arial" w:hint="cs"/>
          <w:sz w:val="16"/>
          <w:szCs w:val="16"/>
          <w:rtl/>
        </w:rPr>
        <w:t>(</w:t>
      </w:r>
      <w:r w:rsidRPr="003E77AC">
        <w:rPr>
          <w:rFonts w:cs="Arial"/>
          <w:sz w:val="16"/>
          <w:szCs w:val="16"/>
          <w:rtl/>
        </w:rPr>
        <w:t>וכבר כתבתי בראש סי</w:t>
      </w:r>
      <w:r>
        <w:rPr>
          <w:rFonts w:cs="Arial" w:hint="cs"/>
          <w:sz w:val="16"/>
          <w:szCs w:val="16"/>
          <w:rtl/>
        </w:rPr>
        <w:t>'</w:t>
      </w:r>
      <w:r w:rsidRPr="003E77AC">
        <w:rPr>
          <w:rFonts w:cs="Arial"/>
          <w:sz w:val="16"/>
          <w:szCs w:val="16"/>
          <w:rtl/>
        </w:rPr>
        <w:t xml:space="preserve"> זה דנקטינן כדברי הרמב"ם והרשב"א דבפת גוים</w:t>
      </w:r>
      <w:r>
        <w:rPr>
          <w:rFonts w:cs="Arial" w:hint="cs"/>
          <w:sz w:val="12"/>
          <w:szCs w:val="12"/>
          <w:rtl/>
        </w:rPr>
        <w:t xml:space="preserve"> {לאפוקי פת ישראל שאפה גוי}</w:t>
      </w:r>
      <w:r w:rsidRPr="003E77AC">
        <w:rPr>
          <w:rFonts w:cs="Arial"/>
          <w:sz w:val="16"/>
          <w:szCs w:val="16"/>
          <w:rtl/>
        </w:rPr>
        <w:t xml:space="preserve"> נמי שרי ע"י אחת משלש מלאכות אלו</w:t>
      </w:r>
      <w:r>
        <w:rPr>
          <w:rFonts w:cs="Arial" w:hint="cs"/>
          <w:sz w:val="16"/>
          <w:szCs w:val="16"/>
          <w:rtl/>
        </w:rPr>
        <w:t xml:space="preserve">, ב"י. </w:t>
      </w:r>
      <w:r w:rsidRPr="003E77AC">
        <w:rPr>
          <w:rFonts w:cs="Arial" w:hint="cs"/>
          <w:color w:val="00B0F0"/>
          <w:sz w:val="16"/>
          <w:szCs w:val="16"/>
          <w:rtl/>
        </w:rPr>
        <w:t>וכ"פ הרמ"א</w:t>
      </w:r>
      <w:r>
        <w:rPr>
          <w:rFonts w:cs="Arial" w:hint="cs"/>
          <w:sz w:val="16"/>
          <w:szCs w:val="16"/>
          <w:rtl/>
        </w:rPr>
        <w:t>)</w:t>
      </w:r>
      <w:r>
        <w:rPr>
          <w:rFonts w:cs="Arial" w:hint="cs"/>
          <w:rtl/>
        </w:rPr>
        <w:t xml:space="preserve"> </w:t>
      </w:r>
    </w:p>
    <w:p w14:paraId="6F2A9C9D" w14:textId="77777777" w:rsidR="002C39F4" w:rsidRDefault="002C39F4" w:rsidP="002C39F4">
      <w:pPr>
        <w:rPr>
          <w:rFonts w:cs="Arial"/>
          <w:rtl/>
        </w:rPr>
      </w:pPr>
      <w:r w:rsidRPr="003E77AC">
        <w:rPr>
          <w:rFonts w:cs="Arial" w:hint="cs"/>
          <w:u w:val="single"/>
          <w:rtl/>
        </w:rPr>
        <w:t xml:space="preserve">האם השלכת קיסם או עץ קטן בתנור </w:t>
      </w:r>
      <w:r>
        <w:rPr>
          <w:rFonts w:cs="Arial" w:hint="cs"/>
          <w:u w:val="single"/>
          <w:rtl/>
        </w:rPr>
        <w:t>נחשב</w:t>
      </w:r>
      <w:r w:rsidRPr="003E77AC">
        <w:rPr>
          <w:rFonts w:cs="Arial" w:hint="cs"/>
          <w:u w:val="single"/>
          <w:rtl/>
        </w:rPr>
        <w:t xml:space="preserve"> כמלאכה שמתירה את הפת:</w:t>
      </w:r>
    </w:p>
    <w:p w14:paraId="50C734BC" w14:textId="77777777" w:rsidR="002C39F4" w:rsidRDefault="002C39F4" w:rsidP="0032102C">
      <w:pPr>
        <w:pStyle w:val="a8"/>
        <w:numPr>
          <w:ilvl w:val="0"/>
          <w:numId w:val="271"/>
        </w:numPr>
        <w:rPr>
          <w:rFonts w:cs="Arial"/>
        </w:rPr>
      </w:pPr>
      <w:r w:rsidRPr="003E77AC">
        <w:rPr>
          <w:rFonts w:cs="Arial" w:hint="cs"/>
          <w:rtl/>
        </w:rPr>
        <w:t xml:space="preserve">רא"ש </w:t>
      </w:r>
      <w:r w:rsidRPr="00F573F5">
        <w:rPr>
          <w:rFonts w:cs="Arial"/>
          <w:sz w:val="16"/>
          <w:szCs w:val="16"/>
          <w:rtl/>
        </w:rPr>
        <w:t>(פ"ב סי' לג)</w:t>
      </w:r>
      <w:r w:rsidRPr="003E77AC">
        <w:rPr>
          <w:rFonts w:cs="Arial" w:hint="cs"/>
          <w:rtl/>
        </w:rPr>
        <w:t>-</w:t>
      </w:r>
      <w:r w:rsidRPr="003E77AC">
        <w:rPr>
          <w:rFonts w:cs="Arial"/>
          <w:rtl/>
        </w:rPr>
        <w:t xml:space="preserve"> לכאורה מוכח בכולה שמעתין דבעינן שיהא ישראל מקרב הבישול</w:t>
      </w:r>
      <w:r>
        <w:rPr>
          <w:rFonts w:cs="Arial" w:hint="cs"/>
          <w:rtl/>
        </w:rPr>
        <w:t xml:space="preserve"> </w:t>
      </w:r>
      <w:r w:rsidRPr="003E77AC">
        <w:rPr>
          <w:rFonts w:cs="Arial"/>
          <w:rtl/>
        </w:rPr>
        <w:t>ותימה על מה שנהגו האידנא להקל בהשלכת קיסם לתנור</w:t>
      </w:r>
      <w:r>
        <w:rPr>
          <w:rStyle w:val="a7"/>
          <w:rFonts w:cs="Arial"/>
          <w:rtl/>
        </w:rPr>
        <w:footnoteReference w:id="2677"/>
      </w:r>
      <w:r>
        <w:rPr>
          <w:rFonts w:cs="Arial" w:hint="cs"/>
          <w:rtl/>
        </w:rPr>
        <w:t>...</w:t>
      </w:r>
      <w:r w:rsidRPr="003E77AC">
        <w:rPr>
          <w:rFonts w:cs="Arial"/>
          <w:rtl/>
        </w:rPr>
        <w:t xml:space="preserve"> </w:t>
      </w:r>
      <w:r>
        <w:rPr>
          <w:rFonts w:cs="Arial"/>
          <w:rtl/>
        </w:rPr>
        <w:t>והנח לישראל שיהיו שוגגין</w:t>
      </w:r>
      <w:r w:rsidRPr="003E77AC">
        <w:rPr>
          <w:rFonts w:cs="Arial" w:hint="cs"/>
          <w:rtl/>
        </w:rPr>
        <w:t>.</w:t>
      </w:r>
      <w:r w:rsidRPr="003E77AC">
        <w:rPr>
          <w:rFonts w:cs="Arial"/>
          <w:rtl/>
        </w:rPr>
        <w:t xml:space="preserve"> </w:t>
      </w:r>
      <w:r w:rsidRPr="003E77AC">
        <w:rPr>
          <w:rFonts w:cs="Arial" w:hint="cs"/>
          <w:rtl/>
        </w:rPr>
        <w:t xml:space="preserve"> </w:t>
      </w:r>
    </w:p>
    <w:p w14:paraId="053EFA53" w14:textId="77777777" w:rsidR="002C39F4" w:rsidRPr="007A0602" w:rsidRDefault="002C39F4" w:rsidP="0032102C">
      <w:pPr>
        <w:pStyle w:val="a8"/>
        <w:numPr>
          <w:ilvl w:val="0"/>
          <w:numId w:val="271"/>
        </w:numPr>
        <w:rPr>
          <w:rFonts w:cs="Arial"/>
        </w:rPr>
      </w:pPr>
      <w:r>
        <w:rPr>
          <w:rFonts w:cs="Arial" w:hint="cs"/>
          <w:rtl/>
        </w:rPr>
        <w:t xml:space="preserve">רי"ף </w:t>
      </w:r>
      <w:r>
        <w:rPr>
          <w:rFonts w:cs="Arial" w:hint="cs"/>
          <w:sz w:val="16"/>
          <w:szCs w:val="16"/>
          <w:rtl/>
        </w:rPr>
        <w:t>(כ"כ הרמב"ן בשמו)</w:t>
      </w:r>
      <w:r>
        <w:rPr>
          <w:rFonts w:cs="Arial" w:hint="cs"/>
          <w:rtl/>
        </w:rPr>
        <w:t xml:space="preserve"> ראב"ד </w:t>
      </w:r>
      <w:r>
        <w:rPr>
          <w:rFonts w:cs="Arial" w:hint="cs"/>
          <w:sz w:val="16"/>
          <w:szCs w:val="16"/>
          <w:rtl/>
        </w:rPr>
        <w:t>(כ"כ הרמב"ן בשמו)</w:t>
      </w:r>
      <w:r>
        <w:rPr>
          <w:rFonts w:cs="Arial" w:hint="cs"/>
          <w:rtl/>
        </w:rPr>
        <w:t xml:space="preserve"> ורמב"ן </w:t>
      </w:r>
      <w:r w:rsidRPr="00DD4DF2">
        <w:rPr>
          <w:rFonts w:cs="Arial" w:hint="cs"/>
          <w:sz w:val="16"/>
          <w:szCs w:val="16"/>
          <w:rtl/>
        </w:rPr>
        <w:t>(לה:)</w:t>
      </w:r>
      <w:r>
        <w:rPr>
          <w:rFonts w:cs="Arial" w:hint="cs"/>
          <w:rtl/>
        </w:rPr>
        <w:t xml:space="preserve">- </w:t>
      </w:r>
      <w:r w:rsidRPr="007A0602">
        <w:rPr>
          <w:rFonts w:cs="Arial"/>
          <w:rtl/>
        </w:rPr>
        <w:t>שגר גוי ואפה גוי וישראל מחתה הגחלים מותר, פי' משום דבהפוך הגחלים יוצא חומן</w:t>
      </w:r>
      <w:r>
        <w:rPr>
          <w:rFonts w:cs="Arial" w:hint="cs"/>
          <w:rtl/>
        </w:rPr>
        <w:t>,</w:t>
      </w:r>
      <w:r w:rsidRPr="00DD4DF2">
        <w:rPr>
          <w:rtl/>
        </w:rPr>
        <w:t xml:space="preserve"> </w:t>
      </w:r>
      <w:r w:rsidRPr="00DD4DF2">
        <w:rPr>
          <w:rFonts w:cs="Arial"/>
          <w:rtl/>
        </w:rPr>
        <w:t>כך פי' רש"י ז"ל</w:t>
      </w:r>
      <w:r>
        <w:rPr>
          <w:rFonts w:cs="Arial" w:hint="cs"/>
          <w:rtl/>
        </w:rPr>
        <w:t>,</w:t>
      </w:r>
      <w:r w:rsidRPr="00DD4DF2">
        <w:rPr>
          <w:rFonts w:cs="Arial"/>
          <w:rtl/>
        </w:rPr>
        <w:t xml:space="preserve"> </w:t>
      </w:r>
      <w:r w:rsidRPr="007A0602">
        <w:rPr>
          <w:rFonts w:cs="Arial"/>
          <w:rtl/>
        </w:rPr>
        <w:t xml:space="preserve">והו"ל </w:t>
      </w:r>
      <w:r>
        <w:rPr>
          <w:rFonts w:cs="Arial"/>
          <w:rtl/>
        </w:rPr>
        <w:t xml:space="preserve">כההיא דאמרינן בגמ' </w:t>
      </w:r>
      <w:r w:rsidRPr="00DD4DF2">
        <w:rPr>
          <w:rFonts w:cs="Arial"/>
          <w:sz w:val="16"/>
          <w:szCs w:val="16"/>
          <w:rtl/>
        </w:rPr>
        <w:t>(לח</w:t>
      </w:r>
      <w:r w:rsidRPr="00DD4DF2">
        <w:rPr>
          <w:rFonts w:cs="Arial" w:hint="cs"/>
          <w:sz w:val="16"/>
          <w:szCs w:val="16"/>
          <w:rtl/>
        </w:rPr>
        <w:t>.</w:t>
      </w:r>
      <w:r w:rsidRPr="00DD4DF2">
        <w:rPr>
          <w:rFonts w:cs="Arial"/>
          <w:sz w:val="16"/>
          <w:szCs w:val="16"/>
          <w:rtl/>
        </w:rPr>
        <w:t xml:space="preserve">) </w:t>
      </w:r>
      <w:r w:rsidRPr="007A0602">
        <w:rPr>
          <w:rFonts w:cs="Arial"/>
          <w:rtl/>
        </w:rPr>
        <w:t>דמעיקרא בשיל בתרתי שעי והשתא בשיל בחדא שעתא, ומעשיו של ישראל ניכרין בה שהרי גמר ויכירו שאם לא חתה בגחלים עדיין לא נגמר ומש"ה מותר, אבל אם הפך בהם מעט ולא הוציא מהם אור אלא היפוך בעלמא אסור שהרי הנחתו וגמרו ביד גוי, וזה כלל גדול</w:t>
      </w:r>
      <w:r>
        <w:rPr>
          <w:rFonts w:cs="Arial" w:hint="cs"/>
          <w:rtl/>
        </w:rPr>
        <w:t xml:space="preserve"> -</w:t>
      </w:r>
      <w:r w:rsidRPr="007A0602">
        <w:rPr>
          <w:rFonts w:cs="Arial"/>
          <w:rtl/>
        </w:rPr>
        <w:t xml:space="preserve"> כל שהנחתו וגמרו ביד גוי אסור, ולפיכך אני אומר שהזורק עץ בפורני של גוי כדי להתיר פתו משום בישולי גוים שאין</w:t>
      </w:r>
      <w:r>
        <w:rPr>
          <w:rFonts w:cs="Arial"/>
          <w:rtl/>
        </w:rPr>
        <w:t xml:space="preserve"> במעשיו ממש ואסור, דבלא עצו נמי</w:t>
      </w:r>
      <w:r>
        <w:rPr>
          <w:rFonts w:cs="Arial" w:hint="cs"/>
          <w:rtl/>
        </w:rPr>
        <w:t xml:space="preserve"> </w:t>
      </w:r>
      <w:r w:rsidRPr="007A0602">
        <w:rPr>
          <w:rFonts w:cs="Arial"/>
          <w:rtl/>
        </w:rPr>
        <w:t>מבשיל בחדא שעתא וע</w:t>
      </w:r>
      <w:r>
        <w:rPr>
          <w:rFonts w:cs="Arial"/>
          <w:rtl/>
        </w:rPr>
        <w:t>צו לא עבד ולא מידי</w:t>
      </w:r>
      <w:r>
        <w:rPr>
          <w:rStyle w:val="a7"/>
          <w:rFonts w:cs="Arial"/>
          <w:rtl/>
        </w:rPr>
        <w:footnoteReference w:id="2678"/>
      </w:r>
      <w:r>
        <w:rPr>
          <w:rFonts w:cs="Arial" w:hint="cs"/>
          <w:rtl/>
        </w:rPr>
        <w:t xml:space="preserve">... </w:t>
      </w:r>
      <w:r w:rsidRPr="007A0602">
        <w:rPr>
          <w:rFonts w:cs="Arial"/>
          <w:rtl/>
        </w:rPr>
        <w:t>ומיהו אי מייתי ישראל גחלים ומשים בתוך התנור או הפורני ומהן מדליקין את האש אפשר דהוא מותר</w:t>
      </w:r>
      <w:r>
        <w:rPr>
          <w:rStyle w:val="a7"/>
          <w:rFonts w:cs="Arial"/>
          <w:rtl/>
        </w:rPr>
        <w:footnoteReference w:id="2679"/>
      </w:r>
      <w:r w:rsidRPr="007A0602">
        <w:rPr>
          <w:rFonts w:cs="Arial"/>
          <w:rtl/>
        </w:rPr>
        <w:t xml:space="preserve"> שישראל שגריה לההוא תנורא כיון שהוא הביא שם עיקר האש</w:t>
      </w:r>
      <w:r>
        <w:rPr>
          <w:rFonts w:cs="Arial" w:hint="cs"/>
          <w:sz w:val="16"/>
          <w:szCs w:val="16"/>
          <w:rtl/>
        </w:rPr>
        <w:t xml:space="preserve"> (ל' הרמב"ן)</w:t>
      </w:r>
      <w:r w:rsidRPr="007A0602">
        <w:rPr>
          <w:rFonts w:cs="Arial"/>
          <w:rtl/>
        </w:rPr>
        <w:t>.</w:t>
      </w:r>
      <w:r>
        <w:rPr>
          <w:rFonts w:cs="Arial" w:hint="cs"/>
          <w:rtl/>
        </w:rPr>
        <w:t xml:space="preserve"> </w:t>
      </w:r>
    </w:p>
    <w:p w14:paraId="5C15F673" w14:textId="77777777" w:rsidR="002C39F4" w:rsidRDefault="002C39F4" w:rsidP="0032102C">
      <w:pPr>
        <w:pStyle w:val="a8"/>
        <w:numPr>
          <w:ilvl w:val="0"/>
          <w:numId w:val="271"/>
        </w:numPr>
        <w:rPr>
          <w:rFonts w:cs="Arial"/>
        </w:rPr>
      </w:pPr>
      <w:r>
        <w:rPr>
          <w:rFonts w:cs="Arial" w:hint="cs"/>
          <w:rtl/>
        </w:rPr>
        <w:t xml:space="preserve">ה"ר יונה </w:t>
      </w:r>
      <w:r>
        <w:rPr>
          <w:rFonts w:cs="Arial" w:hint="cs"/>
          <w:sz w:val="16"/>
          <w:szCs w:val="16"/>
          <w:rtl/>
        </w:rPr>
        <w:t>(כ"כ הרשב"א בשמו)</w:t>
      </w:r>
      <w:r>
        <w:rPr>
          <w:rFonts w:cs="Arial" w:hint="cs"/>
          <w:rtl/>
        </w:rPr>
        <w:t xml:space="preserve">- </w:t>
      </w:r>
      <w:r w:rsidRPr="003E77AC">
        <w:rPr>
          <w:rFonts w:cs="Arial"/>
          <w:rtl/>
        </w:rPr>
        <w:t>מדינא דתלמודא אין לנו להתיר בהשלכת קיסם בתנור דמלישנא דשלש מלאכות יש בפת משמע דבאחת משלש מלאכות אלו שנעשה ביד ישראל מותרת אבל השלכת העץ לתנור מיעוט מלאכה אחת היא שמסייע מעט לשגירת התנור</w:t>
      </w:r>
      <w:r>
        <w:rPr>
          <w:rFonts w:cs="Arial" w:hint="cs"/>
          <w:rtl/>
        </w:rPr>
        <w:t>,</w:t>
      </w:r>
      <w:r w:rsidRPr="003E77AC">
        <w:rPr>
          <w:rFonts w:cs="Arial"/>
          <w:rtl/>
        </w:rPr>
        <w:t xml:space="preserve"> אלא כך נראין הדברים דבמקומות שנהגו לאכול פת של גוים מן הפלטר היו מקילין בפת של ישראל בהשלכת קיסם לתנור להרחקה מהם ובמקומות שלא נהגו לאכול פת של </w:t>
      </w:r>
      <w:r>
        <w:rPr>
          <w:rFonts w:cs="Arial"/>
          <w:rtl/>
        </w:rPr>
        <w:t>גוים הצריכו אחת משלש מלאכות</w:t>
      </w:r>
      <w:r>
        <w:rPr>
          <w:rFonts w:cs="Arial" w:hint="cs"/>
          <w:rtl/>
        </w:rPr>
        <w:t>.</w:t>
      </w:r>
      <w:r w:rsidRPr="003E77AC">
        <w:rPr>
          <w:rFonts w:cs="Arial"/>
          <w:rtl/>
        </w:rPr>
        <w:t xml:space="preserve"> </w:t>
      </w:r>
      <w:r>
        <w:rPr>
          <w:rFonts w:cs="Arial" w:hint="cs"/>
          <w:rtl/>
        </w:rPr>
        <w:t xml:space="preserve"> </w:t>
      </w:r>
    </w:p>
    <w:p w14:paraId="519C91BD" w14:textId="77777777" w:rsidR="002C39F4" w:rsidRDefault="002C39F4" w:rsidP="0032102C">
      <w:pPr>
        <w:pStyle w:val="a8"/>
        <w:numPr>
          <w:ilvl w:val="0"/>
          <w:numId w:val="271"/>
        </w:numPr>
        <w:rPr>
          <w:rFonts w:cs="Arial"/>
        </w:rPr>
      </w:pPr>
      <w:r>
        <w:rPr>
          <w:rFonts w:cs="Arial" w:hint="cs"/>
          <w:rtl/>
        </w:rPr>
        <w:t xml:space="preserve">רמב"ם </w:t>
      </w:r>
      <w:r>
        <w:rPr>
          <w:rFonts w:cs="Arial" w:hint="cs"/>
          <w:sz w:val="16"/>
          <w:szCs w:val="16"/>
          <w:rtl/>
        </w:rPr>
        <w:t>(פי"ז הי"ג)</w:t>
      </w:r>
      <w:r w:rsidRPr="00641AA0">
        <w:rPr>
          <w:rFonts w:cs="Arial"/>
          <w:rtl/>
        </w:rPr>
        <w:t xml:space="preserve"> </w:t>
      </w:r>
      <w:r>
        <w:rPr>
          <w:rFonts w:cs="Arial" w:hint="cs"/>
          <w:rtl/>
        </w:rPr>
        <w:t>ו</w:t>
      </w:r>
      <w:r w:rsidRPr="003E77AC">
        <w:rPr>
          <w:rFonts w:cs="Arial"/>
          <w:rtl/>
        </w:rPr>
        <w:t xml:space="preserve">רשב"א </w:t>
      </w:r>
      <w:r w:rsidRPr="00641AA0">
        <w:rPr>
          <w:rFonts w:cs="Arial" w:hint="cs"/>
          <w:sz w:val="16"/>
          <w:szCs w:val="16"/>
          <w:rtl/>
        </w:rPr>
        <w:t>(תוה"א</w:t>
      </w:r>
      <w:r w:rsidRPr="00641AA0">
        <w:rPr>
          <w:rFonts w:cs="Arial"/>
          <w:sz w:val="16"/>
          <w:szCs w:val="16"/>
          <w:rtl/>
        </w:rPr>
        <w:t xml:space="preserve"> ב"ג ש"ז צג.)</w:t>
      </w:r>
      <w:r>
        <w:rPr>
          <w:rFonts w:cs="Arial" w:hint="cs"/>
          <w:rtl/>
        </w:rPr>
        <w:t xml:space="preserve">- </w:t>
      </w:r>
      <w:r w:rsidRPr="00F573F5">
        <w:rPr>
          <w:rFonts w:cs="Arial"/>
          <w:rtl/>
        </w:rPr>
        <w:t>אפילו לא זרק אלא עץ לתוך התנור התיר כל הפת שבו, שאין הדבר אלא להיות היכר שהפת שלהן אסורה</w:t>
      </w:r>
      <w:r>
        <w:rPr>
          <w:rFonts w:cs="Arial" w:hint="cs"/>
          <w:sz w:val="16"/>
          <w:szCs w:val="16"/>
          <w:rtl/>
        </w:rPr>
        <w:t xml:space="preserve"> (ל' הרמב"ם)</w:t>
      </w:r>
      <w:r w:rsidRPr="00F573F5">
        <w:rPr>
          <w:rFonts w:cs="Arial"/>
          <w:rtl/>
        </w:rPr>
        <w:t xml:space="preserve">. </w:t>
      </w:r>
      <w:r>
        <w:rPr>
          <w:rFonts w:cs="Arial" w:hint="cs"/>
          <w:rtl/>
        </w:rPr>
        <w:t>ו</w:t>
      </w:r>
      <w:r w:rsidRPr="003E77AC">
        <w:rPr>
          <w:rFonts w:cs="Arial"/>
          <w:rtl/>
        </w:rPr>
        <w:t>אין לך קיסם שאינו מוסיף בחום התנור ומקרב בישול</w:t>
      </w:r>
      <w:r>
        <w:rPr>
          <w:rFonts w:cs="Arial" w:hint="cs"/>
          <w:rtl/>
        </w:rPr>
        <w:t>,</w:t>
      </w:r>
      <w:r w:rsidRPr="003E77AC">
        <w:rPr>
          <w:rFonts w:cs="Arial"/>
          <w:rtl/>
        </w:rPr>
        <w:t xml:space="preserve"> וכל זה מקולותיו של</w:t>
      </w:r>
      <w:r>
        <w:rPr>
          <w:rFonts w:cs="Arial"/>
          <w:rtl/>
        </w:rPr>
        <w:t xml:space="preserve"> פת ומנהגן של ישראל תורה היא</w:t>
      </w:r>
      <w:r>
        <w:rPr>
          <w:rStyle w:val="a7"/>
          <w:rFonts w:cs="Arial"/>
          <w:rtl/>
        </w:rPr>
        <w:footnoteReference w:id="2680"/>
      </w:r>
      <w:r>
        <w:rPr>
          <w:rFonts w:cs="Arial" w:hint="cs"/>
          <w:sz w:val="16"/>
          <w:szCs w:val="16"/>
          <w:rtl/>
        </w:rPr>
        <w:t xml:space="preserve"> (ל' הרשב"א)</w:t>
      </w:r>
      <w:r>
        <w:rPr>
          <w:rFonts w:cs="Arial" w:hint="cs"/>
          <w:rtl/>
        </w:rPr>
        <w:t xml:space="preserve">. </w:t>
      </w:r>
      <w:r w:rsidRPr="00D55A7C">
        <w:rPr>
          <w:rFonts w:cs="Arial" w:hint="cs"/>
          <w:color w:val="E36C0A" w:themeColor="accent6" w:themeShade="BF"/>
          <w:rtl/>
        </w:rPr>
        <w:t>(וכ"פ בשו"ע)</w:t>
      </w:r>
    </w:p>
    <w:p w14:paraId="7E8FD214" w14:textId="77777777" w:rsidR="002C39F4" w:rsidRPr="003722F1" w:rsidRDefault="002C39F4" w:rsidP="002C39F4">
      <w:pPr>
        <w:rPr>
          <w:rFonts w:cs="Arial"/>
        </w:rPr>
      </w:pPr>
      <w:r w:rsidRPr="003E77AC">
        <w:rPr>
          <w:rFonts w:cs="Arial" w:hint="cs"/>
          <w:u w:val="single"/>
          <w:rtl/>
        </w:rPr>
        <w:t xml:space="preserve">האם </w:t>
      </w:r>
      <w:r>
        <w:rPr>
          <w:rFonts w:cs="Arial" w:hint="cs"/>
          <w:u w:val="single"/>
          <w:rtl/>
        </w:rPr>
        <w:t>נפיחה באש נחשבת</w:t>
      </w:r>
      <w:r w:rsidRPr="003E77AC">
        <w:rPr>
          <w:rFonts w:cs="Arial" w:hint="cs"/>
          <w:u w:val="single"/>
          <w:rtl/>
        </w:rPr>
        <w:t xml:space="preserve"> כמלאכה שמתירה את הפת:</w:t>
      </w:r>
    </w:p>
    <w:p w14:paraId="6E7B41F9" w14:textId="77777777" w:rsidR="002C39F4" w:rsidRPr="00D55A7C" w:rsidRDefault="002C39F4" w:rsidP="0032102C">
      <w:pPr>
        <w:pStyle w:val="a8"/>
        <w:numPr>
          <w:ilvl w:val="0"/>
          <w:numId w:val="271"/>
        </w:numPr>
        <w:rPr>
          <w:rFonts w:cs="Arial"/>
          <w:color w:val="000000" w:themeColor="text1"/>
          <w:rtl/>
        </w:rPr>
      </w:pPr>
      <w:r w:rsidRPr="00D55A7C">
        <w:rPr>
          <w:rFonts w:cs="Arial"/>
          <w:color w:val="000000" w:themeColor="text1"/>
          <w:rtl/>
        </w:rPr>
        <w:t xml:space="preserve">אגור </w:t>
      </w:r>
      <w:r w:rsidRPr="00D55A7C">
        <w:rPr>
          <w:rFonts w:cs="Arial"/>
          <w:color w:val="000000" w:themeColor="text1"/>
          <w:sz w:val="16"/>
          <w:szCs w:val="16"/>
          <w:rtl/>
        </w:rPr>
        <w:t xml:space="preserve">(סי' אלף שג) </w:t>
      </w:r>
      <w:r w:rsidRPr="00D55A7C">
        <w:rPr>
          <w:rFonts w:cs="Arial"/>
          <w:color w:val="000000" w:themeColor="text1"/>
          <w:rtl/>
        </w:rPr>
        <w:t>בשם מהר</w:t>
      </w:r>
      <w:r w:rsidRPr="00D55A7C">
        <w:rPr>
          <w:rFonts w:cs="Arial" w:hint="cs"/>
          <w:color w:val="000000" w:themeColor="text1"/>
          <w:rtl/>
        </w:rPr>
        <w:t>י</w:t>
      </w:r>
      <w:r w:rsidRPr="00D55A7C">
        <w:rPr>
          <w:rFonts w:cs="Arial"/>
          <w:color w:val="000000" w:themeColor="text1"/>
          <w:rtl/>
        </w:rPr>
        <w:t>"</w:t>
      </w:r>
      <w:r w:rsidRPr="00D55A7C">
        <w:rPr>
          <w:rFonts w:cs="Arial" w:hint="cs"/>
          <w:color w:val="000000" w:themeColor="text1"/>
          <w:rtl/>
        </w:rPr>
        <w:t>ל</w:t>
      </w:r>
      <w:r w:rsidRPr="00D55A7C">
        <w:rPr>
          <w:rFonts w:cs="Arial"/>
          <w:color w:val="000000" w:themeColor="text1"/>
          <w:rtl/>
        </w:rPr>
        <w:t xml:space="preserve"> </w:t>
      </w:r>
      <w:r w:rsidRPr="00D55A7C">
        <w:rPr>
          <w:rFonts w:cs="Arial"/>
          <w:color w:val="000000" w:themeColor="text1"/>
          <w:sz w:val="16"/>
          <w:szCs w:val="16"/>
          <w:rtl/>
        </w:rPr>
        <w:t>(שו"ת מהרי"ל סי' קצג)</w:t>
      </w:r>
      <w:r w:rsidRPr="00D55A7C">
        <w:rPr>
          <w:rFonts w:cs="Arial" w:hint="cs"/>
          <w:color w:val="000000" w:themeColor="text1"/>
          <w:rtl/>
        </w:rPr>
        <w:t xml:space="preserve">- </w:t>
      </w:r>
      <w:r w:rsidRPr="00D55A7C">
        <w:rPr>
          <w:rFonts w:cs="Arial"/>
          <w:color w:val="000000" w:themeColor="text1"/>
          <w:rtl/>
        </w:rPr>
        <w:t>אם נפח באש מועיל כחתוי</w:t>
      </w:r>
      <w:r w:rsidRPr="00D55A7C">
        <w:rPr>
          <w:rFonts w:cs="Arial" w:hint="cs"/>
          <w:color w:val="000000" w:themeColor="text1"/>
          <w:rtl/>
        </w:rPr>
        <w:t>.</w:t>
      </w:r>
      <w:r w:rsidRPr="00D55A7C">
        <w:rPr>
          <w:rFonts w:cs="Arial"/>
          <w:color w:val="000000" w:themeColor="text1"/>
          <w:rtl/>
        </w:rPr>
        <w:t xml:space="preserve"> </w:t>
      </w:r>
      <w:r w:rsidRPr="00D55A7C">
        <w:rPr>
          <w:rFonts w:cs="Arial" w:hint="cs"/>
          <w:color w:val="00B0F0"/>
          <w:rtl/>
        </w:rPr>
        <w:t>(</w:t>
      </w:r>
      <w:r w:rsidRPr="00D55A7C">
        <w:rPr>
          <w:rFonts w:cs="Arial"/>
          <w:color w:val="00B0F0"/>
          <w:rtl/>
        </w:rPr>
        <w:t>וכ</w:t>
      </w:r>
      <w:r w:rsidRPr="00D55A7C">
        <w:rPr>
          <w:rFonts w:cs="Arial" w:hint="cs"/>
          <w:color w:val="00B0F0"/>
          <w:rtl/>
        </w:rPr>
        <w:t>"פ הרמ"א)</w:t>
      </w:r>
    </w:p>
    <w:p w14:paraId="099EDF47" w14:textId="77777777" w:rsidR="002C39F4" w:rsidRPr="00710BEA" w:rsidRDefault="002C39F4" w:rsidP="002C39F4">
      <w:pPr>
        <w:rPr>
          <w:rFonts w:cs="Arial"/>
          <w:u w:val="single"/>
          <w:rtl/>
        </w:rPr>
      </w:pPr>
      <w:r>
        <w:rPr>
          <w:rFonts w:cs="Arial" w:hint="cs"/>
          <w:u w:val="single"/>
          <w:rtl/>
        </w:rPr>
        <w:t xml:space="preserve">גוי שיש לו תנור ובאים אליו אנשים כדי לאפות אצלו עיסתן  </w:t>
      </w:r>
      <w:r>
        <w:rPr>
          <w:rFonts w:cs="Arial"/>
          <w:u w:val="single"/>
          <w:rtl/>
        </w:rPr>
        <w:t>–</w:t>
      </w:r>
      <w:r>
        <w:rPr>
          <w:rFonts w:cs="Arial" w:hint="cs"/>
          <w:u w:val="single"/>
          <w:rtl/>
        </w:rPr>
        <w:t xml:space="preserve"> האם מותר לישראל לאפות אצלו את עיסתו</w:t>
      </w:r>
      <w:r w:rsidRPr="00710BEA">
        <w:rPr>
          <w:rFonts w:cs="Arial" w:hint="cs"/>
          <w:u w:val="single"/>
          <w:rtl/>
        </w:rPr>
        <w:t xml:space="preserve">: </w:t>
      </w:r>
    </w:p>
    <w:p w14:paraId="2EE856F9" w14:textId="77777777" w:rsidR="002C39F4" w:rsidRPr="00D55A7C" w:rsidRDefault="002C39F4" w:rsidP="0032102C">
      <w:pPr>
        <w:pStyle w:val="a8"/>
        <w:numPr>
          <w:ilvl w:val="0"/>
          <w:numId w:val="273"/>
        </w:numPr>
        <w:rPr>
          <w:rFonts w:cs="Arial"/>
          <w:rtl/>
        </w:rPr>
      </w:pPr>
      <w:r w:rsidRPr="00D55A7C">
        <w:rPr>
          <w:rFonts w:cs="Arial"/>
          <w:rtl/>
        </w:rPr>
        <w:t xml:space="preserve">רא"ה </w:t>
      </w:r>
      <w:r w:rsidRPr="00D55A7C">
        <w:rPr>
          <w:rFonts w:cs="Arial"/>
          <w:sz w:val="16"/>
          <w:szCs w:val="16"/>
          <w:rtl/>
        </w:rPr>
        <w:t>(בדה"ב ב"ג ש"ז צג:</w:t>
      </w:r>
      <w:r w:rsidRPr="00D55A7C">
        <w:rPr>
          <w:rFonts w:cs="Arial" w:hint="cs"/>
          <w:sz w:val="16"/>
          <w:szCs w:val="16"/>
          <w:rtl/>
        </w:rPr>
        <w:t>, הביאו הריב"ש</w:t>
      </w:r>
      <w:r w:rsidRPr="00D55A7C">
        <w:rPr>
          <w:rFonts w:cs="Arial"/>
          <w:sz w:val="16"/>
          <w:szCs w:val="16"/>
          <w:rtl/>
        </w:rPr>
        <w:t>)</w:t>
      </w:r>
      <w:r w:rsidRPr="00D55A7C">
        <w:rPr>
          <w:rFonts w:cs="Arial" w:hint="cs"/>
          <w:rtl/>
        </w:rPr>
        <w:t>-</w:t>
      </w:r>
      <w:r w:rsidRPr="00D55A7C">
        <w:rPr>
          <w:rFonts w:cs="Arial"/>
          <w:rtl/>
        </w:rPr>
        <w:t xml:space="preserve"> </w:t>
      </w:r>
      <w:r w:rsidRPr="00D55A7C">
        <w:rPr>
          <w:rFonts w:cs="Arial" w:hint="cs"/>
          <w:rtl/>
        </w:rPr>
        <w:t>יש</w:t>
      </w:r>
      <w:r w:rsidRPr="00D55A7C">
        <w:rPr>
          <w:rFonts w:cs="Arial"/>
          <w:rtl/>
        </w:rPr>
        <w:t xml:space="preserve"> להתיר הפת שלנו בפורני התנור הנעשה בשכר אף בלא השלכת קיסם</w:t>
      </w:r>
      <w:r w:rsidRPr="00D55A7C">
        <w:rPr>
          <w:rFonts w:cs="Arial" w:hint="cs"/>
          <w:rtl/>
        </w:rPr>
        <w:t>,</w:t>
      </w:r>
      <w:r w:rsidRPr="00D55A7C">
        <w:rPr>
          <w:rFonts w:cs="Arial"/>
          <w:rtl/>
        </w:rPr>
        <w:t xml:space="preserve"> דכיון דבשכר אופין לכל הבא אין בו משום חתנות כמו שהתירו פת פלטר מטעם זה</w:t>
      </w:r>
      <w:r>
        <w:rPr>
          <w:rFonts w:cs="Arial" w:hint="cs"/>
          <w:sz w:val="16"/>
          <w:szCs w:val="16"/>
          <w:rtl/>
        </w:rPr>
        <w:t xml:space="preserve"> (ל' ריב"ש בשם רא"ה)</w:t>
      </w:r>
      <w:r w:rsidRPr="00D55A7C">
        <w:rPr>
          <w:rFonts w:cs="Arial" w:hint="cs"/>
          <w:rtl/>
        </w:rPr>
        <w:t>.</w:t>
      </w:r>
      <w:r w:rsidRPr="00D55A7C">
        <w:rPr>
          <w:rFonts w:cs="Arial"/>
          <w:rtl/>
        </w:rPr>
        <w:t xml:space="preserve"> </w:t>
      </w:r>
    </w:p>
    <w:p w14:paraId="225D606E" w14:textId="77777777" w:rsidR="002C39F4" w:rsidRPr="00D55A7C" w:rsidRDefault="002C39F4" w:rsidP="0032102C">
      <w:pPr>
        <w:pStyle w:val="a8"/>
        <w:numPr>
          <w:ilvl w:val="0"/>
          <w:numId w:val="273"/>
        </w:numPr>
        <w:rPr>
          <w:rFonts w:cs="Arial"/>
          <w:rtl/>
        </w:rPr>
      </w:pPr>
      <w:r w:rsidRPr="00D55A7C">
        <w:rPr>
          <w:rFonts w:cs="Arial"/>
          <w:rtl/>
        </w:rPr>
        <w:t xml:space="preserve">ריב"ש </w:t>
      </w:r>
      <w:r w:rsidRPr="00D55A7C">
        <w:rPr>
          <w:rFonts w:cs="Arial"/>
          <w:sz w:val="16"/>
          <w:szCs w:val="16"/>
          <w:rtl/>
        </w:rPr>
        <w:t>(סי</w:t>
      </w:r>
      <w:r w:rsidRPr="00D55A7C">
        <w:rPr>
          <w:rFonts w:cs="Arial" w:hint="cs"/>
          <w:sz w:val="16"/>
          <w:szCs w:val="16"/>
          <w:rtl/>
        </w:rPr>
        <w:t>'</w:t>
      </w:r>
      <w:r w:rsidRPr="00D55A7C">
        <w:rPr>
          <w:rFonts w:cs="Arial"/>
          <w:sz w:val="16"/>
          <w:szCs w:val="16"/>
          <w:rtl/>
        </w:rPr>
        <w:t xml:space="preserve"> תקיד)</w:t>
      </w:r>
      <w:r w:rsidRPr="00D55A7C">
        <w:rPr>
          <w:rFonts w:cs="Arial" w:hint="cs"/>
          <w:rtl/>
        </w:rPr>
        <w:t xml:space="preserve">- </w:t>
      </w:r>
      <w:r w:rsidRPr="00D55A7C">
        <w:rPr>
          <w:rFonts w:cs="Arial"/>
          <w:rtl/>
        </w:rPr>
        <w:t>לא נהגו לסמוך על זה</w:t>
      </w:r>
      <w:r>
        <w:rPr>
          <w:rFonts w:cs="Arial" w:hint="cs"/>
          <w:rtl/>
        </w:rPr>
        <w:t>,</w:t>
      </w:r>
      <w:r w:rsidRPr="00D55A7C">
        <w:rPr>
          <w:rFonts w:cs="Arial"/>
          <w:rtl/>
        </w:rPr>
        <w:t xml:space="preserve"> אלא אף בשאופין בשכר מצריכים השלכת עץ לכתחלה</w:t>
      </w:r>
      <w:r>
        <w:rPr>
          <w:rStyle w:val="a7"/>
          <w:rFonts w:cs="Arial"/>
          <w:rtl/>
        </w:rPr>
        <w:footnoteReference w:id="2681"/>
      </w:r>
      <w:r>
        <w:rPr>
          <w:rFonts w:cs="Arial" w:hint="cs"/>
          <w:rtl/>
        </w:rPr>
        <w:t>.</w:t>
      </w:r>
      <w:r w:rsidRPr="00D55A7C">
        <w:rPr>
          <w:rFonts w:cs="Arial"/>
          <w:rtl/>
        </w:rPr>
        <w:t xml:space="preserve"> </w:t>
      </w:r>
    </w:p>
    <w:p w14:paraId="73492AD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8FE1E06" w14:textId="77777777" w:rsidR="002C39F4" w:rsidRDefault="002C39F4" w:rsidP="002C39F4">
      <w:pPr>
        <w:rPr>
          <w:rFonts w:asciiTheme="minorBidi" w:hAnsiTheme="minorBidi"/>
          <w:sz w:val="18"/>
          <w:szCs w:val="18"/>
          <w:rtl/>
        </w:rPr>
      </w:pPr>
      <w:r w:rsidRPr="003024E5">
        <w:rPr>
          <w:rFonts w:asciiTheme="minorBidi" w:hAnsiTheme="minorBidi"/>
          <w:rtl/>
        </w:rPr>
        <w:t xml:space="preserve">הדליק </w:t>
      </w:r>
      <w:r>
        <w:rPr>
          <w:rFonts w:asciiTheme="minorBidi" w:hAnsiTheme="minorBidi"/>
          <w:rtl/>
        </w:rPr>
        <w:t>גוי</w:t>
      </w:r>
      <w:r w:rsidRPr="003024E5">
        <w:rPr>
          <w:rFonts w:asciiTheme="minorBidi" w:hAnsiTheme="minorBidi"/>
          <w:rtl/>
        </w:rPr>
        <w:t xml:space="preserve"> התנור ואפה בו ישראל, או שהדליק ישראל ואפה </w:t>
      </w:r>
      <w:r>
        <w:rPr>
          <w:rFonts w:asciiTheme="minorBidi" w:hAnsiTheme="minorBidi"/>
          <w:rtl/>
        </w:rPr>
        <w:t>גוי</w:t>
      </w:r>
      <w:r w:rsidRPr="003024E5">
        <w:rPr>
          <w:rFonts w:asciiTheme="minorBidi" w:hAnsiTheme="minorBidi"/>
          <w:rtl/>
        </w:rPr>
        <w:t>, או שהדליק ה</w:t>
      </w:r>
      <w:r>
        <w:rPr>
          <w:rFonts w:asciiTheme="minorBidi" w:hAnsiTheme="minorBidi"/>
          <w:rtl/>
        </w:rPr>
        <w:t>גוי</w:t>
      </w:r>
      <w:r w:rsidRPr="003024E5">
        <w:rPr>
          <w:rFonts w:asciiTheme="minorBidi" w:hAnsiTheme="minorBidi"/>
          <w:rtl/>
        </w:rPr>
        <w:t xml:space="preserve"> ואפה ה</w:t>
      </w:r>
      <w:r>
        <w:rPr>
          <w:rFonts w:asciiTheme="minorBidi" w:hAnsiTheme="minorBidi"/>
          <w:rtl/>
        </w:rPr>
        <w:t>גוי</w:t>
      </w:r>
      <w:r w:rsidRPr="003024E5">
        <w:rPr>
          <w:rFonts w:asciiTheme="minorBidi" w:hAnsiTheme="minorBidi"/>
          <w:rtl/>
        </w:rPr>
        <w:t xml:space="preserve"> ובא ישראל וניער האש מעט, הרי זה מותר. ואפי</w:t>
      </w:r>
      <w:r>
        <w:rPr>
          <w:rFonts w:asciiTheme="minorBidi" w:hAnsiTheme="minorBidi"/>
          <w:rtl/>
        </w:rPr>
        <w:t>לו לא זרק אלא עץ אחד לתוך התנור</w:t>
      </w:r>
      <w:r w:rsidRPr="003024E5">
        <w:rPr>
          <w:rFonts w:asciiTheme="minorBidi" w:hAnsiTheme="minorBidi"/>
          <w:rtl/>
        </w:rPr>
        <w:t xml:space="preserve"> התיר כל הפת שבו, שאין הדבר אלא</w:t>
      </w:r>
      <w:r>
        <w:rPr>
          <w:rFonts w:asciiTheme="minorBidi" w:hAnsiTheme="minorBidi"/>
          <w:rtl/>
        </w:rPr>
        <w:t xml:space="preserve"> להיות היכר שהפת שלהן אסורה. </w:t>
      </w:r>
      <w:r w:rsidRPr="0050419D">
        <w:rPr>
          <w:rFonts w:asciiTheme="minorBidi" w:hAnsiTheme="minorBidi" w:hint="cs"/>
          <w:sz w:val="18"/>
          <w:szCs w:val="18"/>
          <w:rtl/>
        </w:rPr>
        <w:t xml:space="preserve">[הגה] </w:t>
      </w:r>
      <w:r w:rsidRPr="0050419D">
        <w:rPr>
          <w:rFonts w:asciiTheme="minorBidi" w:hAnsiTheme="minorBidi"/>
          <w:sz w:val="18"/>
          <w:szCs w:val="18"/>
          <w:rtl/>
        </w:rPr>
        <w:t>ואם נפח באש הוי כחיתוי</w:t>
      </w:r>
      <w:r>
        <w:rPr>
          <w:rFonts w:asciiTheme="minorBidi" w:hAnsiTheme="minorBidi"/>
          <w:sz w:val="18"/>
          <w:szCs w:val="18"/>
          <w:rtl/>
        </w:rPr>
        <w:t xml:space="preserve"> (טור סי</w:t>
      </w:r>
      <w:r>
        <w:rPr>
          <w:rFonts w:asciiTheme="minorBidi" w:hAnsiTheme="minorBidi" w:hint="cs"/>
          <w:sz w:val="18"/>
          <w:szCs w:val="18"/>
          <w:rtl/>
        </w:rPr>
        <w:t>'</w:t>
      </w:r>
      <w:r>
        <w:rPr>
          <w:rFonts w:asciiTheme="minorBidi" w:hAnsiTheme="minorBidi"/>
          <w:sz w:val="18"/>
          <w:szCs w:val="18"/>
          <w:rtl/>
        </w:rPr>
        <w:t xml:space="preserve"> קי</w:t>
      </w:r>
      <w:r w:rsidRPr="0050419D">
        <w:rPr>
          <w:rFonts w:asciiTheme="minorBidi" w:hAnsiTheme="minorBidi"/>
          <w:sz w:val="18"/>
          <w:szCs w:val="18"/>
          <w:rtl/>
        </w:rPr>
        <w:t>ג ו</w:t>
      </w:r>
      <w:r>
        <w:rPr>
          <w:rFonts w:asciiTheme="minorBidi" w:hAnsiTheme="minorBidi"/>
          <w:sz w:val="18"/>
          <w:szCs w:val="18"/>
          <w:rtl/>
        </w:rPr>
        <w:t>באגור בשם</w:t>
      </w:r>
      <w:r>
        <w:rPr>
          <w:rFonts w:asciiTheme="minorBidi" w:hAnsiTheme="minorBidi" w:hint="cs"/>
          <w:sz w:val="18"/>
          <w:szCs w:val="18"/>
          <w:rtl/>
        </w:rPr>
        <w:t xml:space="preserve"> </w:t>
      </w:r>
      <w:r>
        <w:rPr>
          <w:rFonts w:asciiTheme="minorBidi" w:hAnsiTheme="minorBidi"/>
          <w:sz w:val="18"/>
          <w:szCs w:val="18"/>
          <w:rtl/>
        </w:rPr>
        <w:t>מהרי"ל</w:t>
      </w:r>
      <w:r w:rsidRPr="0050419D">
        <w:rPr>
          <w:rFonts w:asciiTheme="minorBidi" w:hAnsiTheme="minorBidi"/>
          <w:sz w:val="18"/>
          <w:szCs w:val="18"/>
          <w:rtl/>
        </w:rPr>
        <w:t xml:space="preserve">). </w:t>
      </w:r>
    </w:p>
    <w:p w14:paraId="27D2BFCC" w14:textId="77777777" w:rsidR="002C39F4" w:rsidRPr="003024E5" w:rsidRDefault="002C39F4" w:rsidP="002C39F4">
      <w:pPr>
        <w:rPr>
          <w:rFonts w:asciiTheme="minorBidi" w:hAnsiTheme="minorBidi"/>
          <w:rtl/>
        </w:rPr>
      </w:pPr>
    </w:p>
    <w:p w14:paraId="5B14B300" w14:textId="77777777" w:rsidR="002C39F4" w:rsidRDefault="002C39F4" w:rsidP="002C39F4">
      <w:pPr>
        <w:pStyle w:val="2"/>
        <w:rPr>
          <w:rFonts w:asciiTheme="minorBidi" w:hAnsiTheme="minorBidi"/>
          <w:rtl/>
        </w:rPr>
      </w:pPr>
      <w:r w:rsidRPr="003024E5">
        <w:rPr>
          <w:rFonts w:asciiTheme="minorBidi" w:hAnsiTheme="minorBidi"/>
          <w:rtl/>
        </w:rPr>
        <w:t>סעיף י</w:t>
      </w:r>
      <w:r>
        <w:rPr>
          <w:rFonts w:asciiTheme="minorBidi" w:hAnsiTheme="minorBidi" w:hint="cs"/>
          <w:rtl/>
        </w:rPr>
        <w:t>: תנור שהוסק בעבר עם התערבות ישראל ועתה לא התערב.</w:t>
      </w:r>
    </w:p>
    <w:p w14:paraId="4423E230" w14:textId="77777777" w:rsidR="002C39F4" w:rsidRPr="005A2FF7" w:rsidRDefault="002C39F4" w:rsidP="002C39F4">
      <w:pPr>
        <w:rPr>
          <w:u w:val="single"/>
          <w:rtl/>
        </w:rPr>
      </w:pPr>
      <w:r w:rsidRPr="005A2FF7">
        <w:rPr>
          <w:u w:val="single"/>
          <w:rtl/>
        </w:rPr>
        <w:t xml:space="preserve">תנור </w:t>
      </w:r>
      <w:r w:rsidRPr="005A2FF7">
        <w:rPr>
          <w:rFonts w:hint="cs"/>
          <w:u w:val="single"/>
          <w:rtl/>
        </w:rPr>
        <w:t xml:space="preserve">שהוסק </w:t>
      </w:r>
      <w:r>
        <w:rPr>
          <w:rFonts w:hint="cs"/>
          <w:u w:val="single"/>
          <w:rtl/>
        </w:rPr>
        <w:t xml:space="preserve">ע"י גוי וישראל הטיל קיסם בתוכו </w:t>
      </w:r>
      <w:r>
        <w:rPr>
          <w:u w:val="single"/>
          <w:rtl/>
        </w:rPr>
        <w:t>–</w:t>
      </w:r>
      <w:r>
        <w:rPr>
          <w:rFonts w:hint="cs"/>
          <w:u w:val="single"/>
          <w:rtl/>
        </w:rPr>
        <w:t xml:space="preserve"> עד מתי מועיל מעשה הישראל</w:t>
      </w:r>
      <w:r w:rsidRPr="005A2FF7">
        <w:rPr>
          <w:rFonts w:hint="cs"/>
          <w:u w:val="single"/>
          <w:rtl/>
        </w:rPr>
        <w:t>:</w:t>
      </w:r>
      <w:r w:rsidRPr="001365B7">
        <w:rPr>
          <w:rFonts w:cs="Arial" w:hint="cs"/>
          <w:sz w:val="16"/>
          <w:szCs w:val="16"/>
          <w:rtl/>
        </w:rPr>
        <w:t xml:space="preserve"> </w:t>
      </w:r>
      <w:r>
        <w:rPr>
          <w:rFonts w:cs="Arial" w:hint="cs"/>
          <w:sz w:val="16"/>
          <w:szCs w:val="16"/>
          <w:rtl/>
        </w:rPr>
        <w:t xml:space="preserve">  (ב"י ו</w:t>
      </w:r>
      <w:r w:rsidRPr="005A2FF7">
        <w:rPr>
          <w:rFonts w:cs="Arial" w:hint="cs"/>
          <w:sz w:val="16"/>
          <w:szCs w:val="16"/>
          <w:rtl/>
        </w:rPr>
        <w:t xml:space="preserve">דרכ"מ </w:t>
      </w:r>
      <w:r>
        <w:rPr>
          <w:rFonts w:cs="Arial" w:hint="cs"/>
          <w:sz w:val="16"/>
          <w:szCs w:val="16"/>
          <w:rtl/>
        </w:rPr>
        <w:t>[</w:t>
      </w:r>
      <w:r w:rsidRPr="005A2FF7">
        <w:rPr>
          <w:rFonts w:cs="Arial" w:hint="cs"/>
          <w:sz w:val="16"/>
          <w:szCs w:val="16"/>
          <w:rtl/>
        </w:rPr>
        <w:t>אות י</w:t>
      </w:r>
      <w:r>
        <w:rPr>
          <w:rFonts w:cs="Arial" w:hint="cs"/>
          <w:sz w:val="16"/>
          <w:szCs w:val="16"/>
          <w:rtl/>
        </w:rPr>
        <w:t>]</w:t>
      </w:r>
      <w:r w:rsidRPr="005A2FF7">
        <w:rPr>
          <w:rFonts w:cs="Arial"/>
          <w:sz w:val="16"/>
          <w:szCs w:val="16"/>
          <w:rtl/>
        </w:rPr>
        <w:t>)</w:t>
      </w:r>
    </w:p>
    <w:p w14:paraId="2FA92773" w14:textId="77777777" w:rsidR="002C39F4" w:rsidRDefault="002C39F4" w:rsidP="0032102C">
      <w:pPr>
        <w:pStyle w:val="a8"/>
        <w:numPr>
          <w:ilvl w:val="0"/>
          <w:numId w:val="274"/>
        </w:numPr>
      </w:pPr>
      <w:r w:rsidRPr="005A2FF7">
        <w:rPr>
          <w:rFonts w:cs="Arial"/>
          <w:rtl/>
        </w:rPr>
        <w:t xml:space="preserve">מרדכי </w:t>
      </w:r>
      <w:r w:rsidRPr="005A2FF7">
        <w:rPr>
          <w:rFonts w:cs="Arial"/>
          <w:sz w:val="16"/>
          <w:szCs w:val="16"/>
          <w:rtl/>
        </w:rPr>
        <w:t>(</w:t>
      </w:r>
      <w:r>
        <w:rPr>
          <w:rFonts w:cs="Arial" w:hint="cs"/>
          <w:sz w:val="16"/>
          <w:szCs w:val="16"/>
          <w:rtl/>
        </w:rPr>
        <w:t xml:space="preserve">סי' </w:t>
      </w:r>
      <w:r w:rsidRPr="005A2FF7">
        <w:rPr>
          <w:rFonts w:cs="Arial" w:hint="cs"/>
          <w:sz w:val="16"/>
          <w:szCs w:val="16"/>
          <w:rtl/>
        </w:rPr>
        <w:t>תתל</w:t>
      </w:r>
      <w:r w:rsidRPr="005A2FF7">
        <w:rPr>
          <w:rFonts w:cs="Arial"/>
          <w:sz w:val="16"/>
          <w:szCs w:val="16"/>
          <w:rtl/>
        </w:rPr>
        <w:t>)</w:t>
      </w:r>
      <w:r w:rsidRPr="005A2FF7">
        <w:rPr>
          <w:rFonts w:cs="Arial" w:hint="cs"/>
          <w:rtl/>
        </w:rPr>
        <w:t>-</w:t>
      </w:r>
      <w:r w:rsidRPr="005A2FF7">
        <w:rPr>
          <w:rFonts w:cs="Arial"/>
          <w:rtl/>
        </w:rPr>
        <w:t xml:space="preserve"> מעשה בא לידי על תנור שאפו בו ישראל ג"פ ביום והכשירו התנור ע"י זריקת קיסם ובכל פעם שהיו אופין היו חוזרים להסיק התנור ולהכשיר</w:t>
      </w:r>
      <w:r>
        <w:rPr>
          <w:rFonts w:cs="Arial" w:hint="cs"/>
          <w:rtl/>
        </w:rPr>
        <w:t>,</w:t>
      </w:r>
      <w:r w:rsidRPr="005A2FF7">
        <w:rPr>
          <w:rFonts w:cs="Arial"/>
          <w:rtl/>
        </w:rPr>
        <w:t xml:space="preserve"> ובאפיה האחרונה לא הכשירו התנור</w:t>
      </w:r>
      <w:r>
        <w:rPr>
          <w:rFonts w:cs="Arial" w:hint="cs"/>
          <w:rtl/>
        </w:rPr>
        <w:t>,</w:t>
      </w:r>
      <w:r w:rsidRPr="005A2FF7">
        <w:rPr>
          <w:rFonts w:cs="Arial"/>
          <w:rtl/>
        </w:rPr>
        <w:t xml:space="preserve"> והוריתי דאפ</w:t>
      </w:r>
      <w:r>
        <w:rPr>
          <w:rFonts w:cs="Arial" w:hint="cs"/>
          <w:rtl/>
        </w:rPr>
        <w:t>"</w:t>
      </w:r>
      <w:r w:rsidRPr="005A2FF7">
        <w:rPr>
          <w:rFonts w:cs="Arial"/>
          <w:rtl/>
        </w:rPr>
        <w:t>ה פת שנאפה באחרונה מותרת</w:t>
      </w:r>
      <w:r>
        <w:rPr>
          <w:rFonts w:cs="Arial" w:hint="cs"/>
          <w:rtl/>
        </w:rPr>
        <w:t>,</w:t>
      </w:r>
      <w:r w:rsidRPr="005A2FF7">
        <w:rPr>
          <w:rFonts w:cs="Arial"/>
          <w:rtl/>
        </w:rPr>
        <w:t xml:space="preserve"> דכיון שהכשירו אותו בשאר הסיקות וגם באפיה האחרונה נשאר קצת בעין מן הגחלים הבוערות מן הסיקות הראשונות שהכשירו התנור ודאי מותר אע</w:t>
      </w:r>
      <w:r w:rsidRPr="005A2FF7">
        <w:rPr>
          <w:rFonts w:cs="Arial" w:hint="cs"/>
          <w:rtl/>
        </w:rPr>
        <w:t>"</w:t>
      </w:r>
      <w:r w:rsidRPr="005A2FF7">
        <w:rPr>
          <w:rFonts w:cs="Arial"/>
          <w:rtl/>
        </w:rPr>
        <w:t>פ שלא זרק הישראל קיסם באפיה אחרונה</w:t>
      </w:r>
      <w:r>
        <w:rPr>
          <w:rFonts w:cs="Arial" w:hint="cs"/>
          <w:rtl/>
        </w:rPr>
        <w:t>,</w:t>
      </w:r>
      <w:r w:rsidRPr="005A2FF7">
        <w:rPr>
          <w:rFonts w:cs="Arial"/>
          <w:rtl/>
        </w:rPr>
        <w:t xml:space="preserve"> דהא זריקת הקיסם אינה מעלה ואינה מורדת בתוך ההיסק ואפ</w:t>
      </w:r>
      <w:r>
        <w:rPr>
          <w:rFonts w:cs="Arial" w:hint="cs"/>
          <w:rtl/>
        </w:rPr>
        <w:t>"</w:t>
      </w:r>
      <w:r w:rsidRPr="005A2FF7">
        <w:rPr>
          <w:rFonts w:cs="Arial"/>
          <w:rtl/>
        </w:rPr>
        <w:t>ה אנו סומכין עליה כבני בבל</w:t>
      </w:r>
      <w:r>
        <w:rPr>
          <w:rFonts w:cs="Arial" w:hint="cs"/>
          <w:rtl/>
        </w:rPr>
        <w:t>,</w:t>
      </w:r>
      <w:r w:rsidRPr="005A2FF7">
        <w:rPr>
          <w:rFonts w:cs="Arial"/>
          <w:rtl/>
        </w:rPr>
        <w:t xml:space="preserve"> ה</w:t>
      </w:r>
      <w:r>
        <w:rPr>
          <w:rFonts w:cs="Arial" w:hint="cs"/>
          <w:rtl/>
        </w:rPr>
        <w:t>"ה</w:t>
      </w:r>
      <w:r w:rsidRPr="005A2FF7">
        <w:rPr>
          <w:rFonts w:cs="Arial"/>
          <w:rtl/>
        </w:rPr>
        <w:t xml:space="preserve"> נמי בהאי עובדא כיון דאיכא קצת גחלים משאר הסיקות שהכשיר בו התנור הפת מותרת</w:t>
      </w:r>
      <w:r w:rsidRPr="005A2FF7">
        <w:rPr>
          <w:rFonts w:cs="Arial" w:hint="cs"/>
          <w:rtl/>
        </w:rPr>
        <w:t>,</w:t>
      </w:r>
      <w:r w:rsidRPr="005A2FF7">
        <w:rPr>
          <w:rFonts w:cs="Arial"/>
          <w:rtl/>
        </w:rPr>
        <w:t xml:space="preserve"> מ</w:t>
      </w:r>
      <w:r w:rsidRPr="005A2FF7">
        <w:rPr>
          <w:rFonts w:cs="Arial" w:hint="cs"/>
          <w:rtl/>
        </w:rPr>
        <w:t>"</w:t>
      </w:r>
      <w:r w:rsidRPr="005A2FF7">
        <w:rPr>
          <w:rFonts w:cs="Arial"/>
          <w:rtl/>
        </w:rPr>
        <w:t>מ לא רציתי לעשות מעשה להתיר</w:t>
      </w:r>
      <w:r w:rsidRPr="005A2FF7">
        <w:rPr>
          <w:rFonts w:cs="Arial" w:hint="cs"/>
          <w:rtl/>
        </w:rPr>
        <w:t>.</w:t>
      </w:r>
      <w:r>
        <w:rPr>
          <w:rFonts w:hint="cs"/>
          <w:rtl/>
        </w:rPr>
        <w:t xml:space="preserve"> </w:t>
      </w:r>
      <w:r w:rsidRPr="00333F58">
        <w:rPr>
          <w:rFonts w:cs="Arial" w:hint="cs"/>
          <w:color w:val="E36C0A" w:themeColor="accent6" w:themeShade="BF"/>
          <w:rtl/>
        </w:rPr>
        <w:t>(וכ"</w:t>
      </w:r>
      <w:r>
        <w:rPr>
          <w:rFonts w:cs="Arial" w:hint="cs"/>
          <w:color w:val="E36C0A" w:themeColor="accent6" w:themeShade="BF"/>
          <w:rtl/>
        </w:rPr>
        <w:t>פ</w:t>
      </w:r>
      <w:r w:rsidRPr="00333F58">
        <w:rPr>
          <w:rFonts w:cs="Arial" w:hint="cs"/>
          <w:color w:val="E36C0A" w:themeColor="accent6" w:themeShade="BF"/>
          <w:rtl/>
        </w:rPr>
        <w:t xml:space="preserve"> בשו"ע)</w:t>
      </w:r>
    </w:p>
    <w:p w14:paraId="075B42B8" w14:textId="77777777" w:rsidR="002C39F4" w:rsidRPr="0050419D" w:rsidRDefault="002C39F4" w:rsidP="0032102C">
      <w:pPr>
        <w:pStyle w:val="a8"/>
        <w:numPr>
          <w:ilvl w:val="0"/>
          <w:numId w:val="274"/>
        </w:numPr>
        <w:rPr>
          <w:rtl/>
        </w:rPr>
      </w:pPr>
      <w:r>
        <w:rPr>
          <w:rFonts w:cs="Arial" w:hint="cs"/>
          <w:rtl/>
        </w:rPr>
        <w:t>או</w:t>
      </w:r>
      <w:r>
        <w:rPr>
          <w:rFonts w:cs="Arial"/>
          <w:rtl/>
        </w:rPr>
        <w:t>"</w:t>
      </w:r>
      <w:r>
        <w:rPr>
          <w:rFonts w:cs="Arial" w:hint="cs"/>
          <w:rtl/>
        </w:rPr>
        <w:t>ה</w:t>
      </w:r>
      <w:r w:rsidRPr="001453C5">
        <w:rPr>
          <w:rFonts w:cs="Arial"/>
          <w:rtl/>
        </w:rPr>
        <w:t xml:space="preserve"> </w:t>
      </w:r>
      <w:r w:rsidRPr="005A2FF7">
        <w:rPr>
          <w:rFonts w:cs="Arial" w:hint="cs"/>
          <w:sz w:val="16"/>
          <w:szCs w:val="16"/>
          <w:rtl/>
        </w:rPr>
        <w:t>(</w:t>
      </w:r>
      <w:r w:rsidRPr="005A2FF7">
        <w:rPr>
          <w:rFonts w:cs="Arial"/>
          <w:sz w:val="16"/>
          <w:szCs w:val="16"/>
          <w:rtl/>
        </w:rPr>
        <w:t>כלל מד ד</w:t>
      </w:r>
      <w:r>
        <w:rPr>
          <w:rFonts w:cs="Arial" w:hint="cs"/>
          <w:sz w:val="16"/>
          <w:szCs w:val="16"/>
          <w:rtl/>
        </w:rPr>
        <w:t>"</w:t>
      </w:r>
      <w:r w:rsidRPr="005A2FF7">
        <w:rPr>
          <w:rFonts w:cs="Arial"/>
          <w:sz w:val="16"/>
          <w:szCs w:val="16"/>
          <w:rtl/>
        </w:rPr>
        <w:t>י</w:t>
      </w:r>
      <w:r>
        <w:rPr>
          <w:rFonts w:cs="Arial" w:hint="cs"/>
          <w:sz w:val="16"/>
          <w:szCs w:val="16"/>
          <w:rtl/>
        </w:rPr>
        <w:t>)</w:t>
      </w:r>
      <w:r>
        <w:rPr>
          <w:rFonts w:cs="Arial" w:hint="cs"/>
          <w:rtl/>
        </w:rPr>
        <w:t>-</w:t>
      </w:r>
      <w:r w:rsidRPr="001453C5">
        <w:rPr>
          <w:rFonts w:cs="Arial"/>
          <w:rtl/>
        </w:rPr>
        <w:t xml:space="preserve"> אפילו עמד התנור פנוי בין היסק להיסק אם הוא עדיין תוך מל</w:t>
      </w:r>
      <w:r>
        <w:rPr>
          <w:rFonts w:cs="Arial" w:hint="cs"/>
          <w:rtl/>
        </w:rPr>
        <w:t>"</w:t>
      </w:r>
      <w:r w:rsidRPr="001453C5">
        <w:rPr>
          <w:rFonts w:cs="Arial"/>
          <w:rtl/>
        </w:rPr>
        <w:t>ע להיסק שהכשיר ישראל את התנור כל הפת מותר</w:t>
      </w:r>
      <w:r>
        <w:rPr>
          <w:rFonts w:cs="Arial" w:hint="cs"/>
          <w:rtl/>
        </w:rPr>
        <w:t>,</w:t>
      </w:r>
      <w:r w:rsidRPr="001453C5">
        <w:rPr>
          <w:rFonts w:cs="Arial"/>
          <w:rtl/>
        </w:rPr>
        <w:t xml:space="preserve"> דעדיין היסק ראשון מועיל לפת האחרון דחום הראשון מועיל גם עתה</w:t>
      </w:r>
      <w:r>
        <w:rPr>
          <w:rFonts w:cs="Arial" w:hint="cs"/>
          <w:rtl/>
        </w:rPr>
        <w:t>,</w:t>
      </w:r>
      <w:r w:rsidRPr="001453C5">
        <w:rPr>
          <w:rFonts w:cs="Arial"/>
          <w:rtl/>
        </w:rPr>
        <w:t xml:space="preserve"> דדבר הנראה לעינים שתנור נוח להתחמם אם הוסק גם אתמול</w:t>
      </w:r>
      <w:r>
        <w:rPr>
          <w:rFonts w:cs="Arial" w:hint="cs"/>
          <w:rtl/>
        </w:rPr>
        <w:t>,</w:t>
      </w:r>
      <w:r w:rsidRPr="001453C5">
        <w:rPr>
          <w:rFonts w:cs="Arial"/>
          <w:rtl/>
        </w:rPr>
        <w:t xml:space="preserve"> ואפילו לא הכשיר הישראל התנור רק ביום </w:t>
      </w:r>
      <w:r>
        <w:rPr>
          <w:rFonts w:cs="Arial" w:hint="cs"/>
          <w:rtl/>
        </w:rPr>
        <w:t>ראשון</w:t>
      </w:r>
      <w:r w:rsidRPr="001453C5">
        <w:rPr>
          <w:rFonts w:cs="Arial"/>
          <w:rtl/>
        </w:rPr>
        <w:t xml:space="preserve"> ובכל יום ויום אפה גוי פת שלא עמד התנור יום שלם בלתי היסק כל הפת</w:t>
      </w:r>
      <w:r>
        <w:rPr>
          <w:rFonts w:cs="Arial" w:hint="cs"/>
          <w:rtl/>
        </w:rPr>
        <w:t>,</w:t>
      </w:r>
      <w:r w:rsidRPr="001453C5">
        <w:rPr>
          <w:rFonts w:cs="Arial"/>
          <w:rtl/>
        </w:rPr>
        <w:t xml:space="preserve"> מותר מכח היסק הראשון</w:t>
      </w:r>
      <w:r>
        <w:rPr>
          <w:rFonts w:cs="Arial" w:hint="cs"/>
          <w:rtl/>
        </w:rPr>
        <w:t>.</w:t>
      </w:r>
      <w:r>
        <w:rPr>
          <w:rFonts w:hint="cs"/>
          <w:rtl/>
        </w:rPr>
        <w:t xml:space="preserve"> </w:t>
      </w:r>
      <w:r w:rsidRPr="005A2FF7">
        <w:rPr>
          <w:rFonts w:hint="cs"/>
          <w:color w:val="00B0F0"/>
          <w:rtl/>
        </w:rPr>
        <w:t>(וכ"פ הרמ"א)</w:t>
      </w:r>
    </w:p>
    <w:p w14:paraId="531B3B73" w14:textId="77777777" w:rsidR="002C39F4" w:rsidRDefault="002C39F4" w:rsidP="0032102C">
      <w:pPr>
        <w:pStyle w:val="a8"/>
        <w:numPr>
          <w:ilvl w:val="0"/>
          <w:numId w:val="274"/>
        </w:numPr>
        <w:rPr>
          <w:rtl/>
        </w:rPr>
      </w:pPr>
      <w:r w:rsidRPr="005A2FF7">
        <w:rPr>
          <w:rFonts w:cs="Arial"/>
          <w:rtl/>
        </w:rPr>
        <w:t xml:space="preserve">אגור </w:t>
      </w:r>
      <w:r w:rsidRPr="005A2FF7">
        <w:rPr>
          <w:rFonts w:cs="Arial"/>
          <w:sz w:val="16"/>
          <w:szCs w:val="16"/>
          <w:rtl/>
        </w:rPr>
        <w:t xml:space="preserve">(סי' אלף שא) </w:t>
      </w:r>
      <w:r w:rsidRPr="005A2FF7">
        <w:rPr>
          <w:rFonts w:cs="Arial"/>
          <w:rtl/>
        </w:rPr>
        <w:t>בשם התוס</w:t>
      </w:r>
      <w:r w:rsidRPr="005A2FF7">
        <w:rPr>
          <w:rFonts w:cs="Arial" w:hint="cs"/>
          <w:rtl/>
        </w:rPr>
        <w:t>'-</w:t>
      </w:r>
      <w:r w:rsidRPr="005A2FF7">
        <w:rPr>
          <w:rFonts w:cs="Arial"/>
          <w:rtl/>
        </w:rPr>
        <w:t xml:space="preserve"> אם הטיל ישראל קיסם בתנור מועיל כל ימי השבוע עד יום ראשון</w:t>
      </w:r>
      <w:r>
        <w:rPr>
          <w:rStyle w:val="a7"/>
          <w:rFonts w:cs="Arial"/>
          <w:rtl/>
        </w:rPr>
        <w:footnoteReference w:id="2682"/>
      </w:r>
      <w:r w:rsidRPr="005A2FF7">
        <w:rPr>
          <w:rFonts w:cs="Arial" w:hint="cs"/>
          <w:rtl/>
        </w:rPr>
        <w:t>.</w:t>
      </w:r>
    </w:p>
    <w:p w14:paraId="56C483D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C03B45D" w14:textId="77777777" w:rsidR="002C39F4" w:rsidRDefault="002C39F4" w:rsidP="002C39F4">
      <w:pPr>
        <w:rPr>
          <w:rFonts w:asciiTheme="minorBidi" w:hAnsiTheme="minorBidi"/>
          <w:rtl/>
        </w:rPr>
      </w:pPr>
      <w:r w:rsidRPr="003024E5">
        <w:rPr>
          <w:rFonts w:asciiTheme="minorBidi" w:hAnsiTheme="minorBidi"/>
          <w:rtl/>
        </w:rPr>
        <w:t xml:space="preserve">אם אפו בתנור על ידי </w:t>
      </w:r>
      <w:r>
        <w:rPr>
          <w:rFonts w:asciiTheme="minorBidi" w:hAnsiTheme="minorBidi"/>
          <w:rtl/>
        </w:rPr>
        <w:t xml:space="preserve">גוי </w:t>
      </w:r>
      <w:r>
        <w:rPr>
          <w:rFonts w:asciiTheme="minorBidi" w:hAnsiTheme="minorBidi" w:hint="cs"/>
          <w:rtl/>
        </w:rPr>
        <w:t>שלשה</w:t>
      </w:r>
      <w:r>
        <w:rPr>
          <w:rFonts w:asciiTheme="minorBidi" w:hAnsiTheme="minorBidi"/>
          <w:rtl/>
        </w:rPr>
        <w:t xml:space="preserve"> פעמים ביום א</w:t>
      </w:r>
      <w:r>
        <w:rPr>
          <w:rFonts w:asciiTheme="minorBidi" w:hAnsiTheme="minorBidi" w:hint="cs"/>
          <w:rtl/>
        </w:rPr>
        <w:t>חד</w:t>
      </w:r>
      <w:r>
        <w:rPr>
          <w:rFonts w:asciiTheme="minorBidi" w:hAnsiTheme="minorBidi"/>
          <w:rtl/>
        </w:rPr>
        <w:t xml:space="preserve"> והכשירו התנור על ידי קיסם ב</w:t>
      </w:r>
      <w:r>
        <w:rPr>
          <w:rFonts w:asciiTheme="minorBidi" w:hAnsiTheme="minorBidi" w:hint="cs"/>
          <w:rtl/>
        </w:rPr>
        <w:t>שני</w:t>
      </w:r>
      <w:r w:rsidRPr="003024E5">
        <w:rPr>
          <w:rFonts w:asciiTheme="minorBidi" w:hAnsiTheme="minorBidi"/>
          <w:rtl/>
        </w:rPr>
        <w:t xml:space="preserve"> הפעמים</w:t>
      </w:r>
      <w:r>
        <w:rPr>
          <w:rFonts w:asciiTheme="minorBidi" w:hAnsiTheme="minorBidi"/>
          <w:rtl/>
        </w:rPr>
        <w:t xml:space="preserve"> ובפעם השלישית לא הכשירו, מותר</w:t>
      </w:r>
      <w:r>
        <w:rPr>
          <w:rStyle w:val="a7"/>
          <w:rFonts w:asciiTheme="minorBidi" w:hAnsiTheme="minorBidi"/>
          <w:rtl/>
        </w:rPr>
        <w:footnoteReference w:id="2683"/>
      </w:r>
      <w:r w:rsidRPr="003024E5">
        <w:rPr>
          <w:rFonts w:asciiTheme="minorBidi" w:hAnsiTheme="minorBidi"/>
          <w:rtl/>
        </w:rPr>
        <w:t xml:space="preserve"> </w:t>
      </w:r>
      <w:r w:rsidRPr="0050419D">
        <w:rPr>
          <w:rFonts w:asciiTheme="minorBidi" w:hAnsiTheme="minorBidi"/>
          <w:sz w:val="18"/>
          <w:szCs w:val="18"/>
          <w:rtl/>
        </w:rPr>
        <w:t xml:space="preserve">(מרדכי). הגה: וי"א דאם הכשיר התנור פעם א' ולא עמד התנור מעת לעת בלא היסק </w:t>
      </w:r>
      <w:r>
        <w:rPr>
          <w:rFonts w:asciiTheme="minorBidi" w:hAnsiTheme="minorBidi"/>
          <w:sz w:val="18"/>
          <w:szCs w:val="18"/>
          <w:rtl/>
        </w:rPr>
        <w:t>אפילו אפאו בו כך כמה ימים</w:t>
      </w:r>
      <w:r w:rsidRPr="0050419D">
        <w:rPr>
          <w:rFonts w:asciiTheme="minorBidi" w:hAnsiTheme="minorBidi"/>
          <w:sz w:val="18"/>
          <w:szCs w:val="18"/>
          <w:rtl/>
        </w:rPr>
        <w:t xml:space="preserve"> הכל מ</w:t>
      </w:r>
      <w:r>
        <w:rPr>
          <w:rFonts w:asciiTheme="minorBidi" w:hAnsiTheme="minorBidi"/>
          <w:sz w:val="18"/>
          <w:szCs w:val="18"/>
          <w:rtl/>
        </w:rPr>
        <w:t>ותר מכח הכשר הראשון</w:t>
      </w:r>
      <w:r>
        <w:rPr>
          <w:rStyle w:val="a7"/>
          <w:rFonts w:asciiTheme="minorBidi" w:hAnsiTheme="minorBidi"/>
          <w:sz w:val="18"/>
          <w:szCs w:val="18"/>
          <w:rtl/>
        </w:rPr>
        <w:footnoteReference w:id="2684"/>
      </w:r>
      <w:r>
        <w:rPr>
          <w:rFonts w:asciiTheme="minorBidi" w:hAnsiTheme="minorBidi"/>
          <w:sz w:val="18"/>
          <w:szCs w:val="18"/>
          <w:rtl/>
        </w:rPr>
        <w:t xml:space="preserve"> (ארוך </w:t>
      </w:r>
      <w:r w:rsidRPr="0050419D">
        <w:rPr>
          <w:rFonts w:asciiTheme="minorBidi" w:hAnsiTheme="minorBidi"/>
          <w:sz w:val="18"/>
          <w:szCs w:val="18"/>
          <w:rtl/>
        </w:rPr>
        <w:t>ואגור). ויש לסמוך על זה.</w:t>
      </w:r>
    </w:p>
    <w:p w14:paraId="452B3006" w14:textId="77777777" w:rsidR="002C39F4" w:rsidRPr="003024E5" w:rsidRDefault="002C39F4" w:rsidP="002C39F4">
      <w:pPr>
        <w:rPr>
          <w:rFonts w:asciiTheme="minorBidi" w:hAnsiTheme="minorBidi"/>
          <w:rtl/>
        </w:rPr>
      </w:pPr>
    </w:p>
    <w:p w14:paraId="24DE20A9" w14:textId="77777777" w:rsidR="002C39F4" w:rsidRDefault="002C39F4" w:rsidP="002C39F4">
      <w:pPr>
        <w:pStyle w:val="2"/>
        <w:rPr>
          <w:rFonts w:asciiTheme="minorBidi" w:hAnsiTheme="minorBidi"/>
          <w:rtl/>
        </w:rPr>
      </w:pPr>
      <w:r w:rsidRPr="003024E5">
        <w:rPr>
          <w:rFonts w:asciiTheme="minorBidi" w:hAnsiTheme="minorBidi"/>
          <w:rtl/>
        </w:rPr>
        <w:t>סעיף יא</w:t>
      </w:r>
      <w:r>
        <w:rPr>
          <w:rFonts w:asciiTheme="minorBidi" w:hAnsiTheme="minorBidi" w:hint="cs"/>
          <w:rtl/>
        </w:rPr>
        <w:t>: מכירת פת עכו"ם לגוי.</w:t>
      </w:r>
    </w:p>
    <w:p w14:paraId="7897BBFF" w14:textId="77777777" w:rsidR="002C39F4" w:rsidRPr="00F573F5" w:rsidRDefault="002C39F4" w:rsidP="002C39F4">
      <w:pPr>
        <w:rPr>
          <w:rFonts w:cs="Arial"/>
          <w:u w:val="single"/>
          <w:rtl/>
        </w:rPr>
      </w:pPr>
      <w:r w:rsidRPr="00F573F5">
        <w:rPr>
          <w:rFonts w:cs="Arial" w:hint="cs"/>
          <w:u w:val="single"/>
          <w:rtl/>
        </w:rPr>
        <w:t xml:space="preserve">פת </w:t>
      </w:r>
      <w:r>
        <w:rPr>
          <w:rFonts w:cs="Arial" w:hint="cs"/>
          <w:u w:val="single"/>
          <w:rtl/>
        </w:rPr>
        <w:t xml:space="preserve">של ישראל שאפאה </w:t>
      </w:r>
      <w:r w:rsidRPr="00F573F5">
        <w:rPr>
          <w:rFonts w:cs="Arial" w:hint="cs"/>
          <w:u w:val="single"/>
          <w:rtl/>
        </w:rPr>
        <w:t>גוי:</w:t>
      </w:r>
    </w:p>
    <w:p w14:paraId="70142636" w14:textId="77777777" w:rsidR="002C39F4" w:rsidRDefault="002C39F4" w:rsidP="0032102C">
      <w:pPr>
        <w:pStyle w:val="a8"/>
        <w:numPr>
          <w:ilvl w:val="0"/>
          <w:numId w:val="272"/>
        </w:numPr>
        <w:rPr>
          <w:rFonts w:cs="Arial"/>
        </w:rPr>
      </w:pPr>
      <w:r w:rsidRPr="00F573F5">
        <w:rPr>
          <w:rFonts w:cs="Arial" w:hint="cs"/>
          <w:rtl/>
        </w:rPr>
        <w:t>מהר"ם</w:t>
      </w:r>
      <w:r w:rsidRPr="00F573F5">
        <w:rPr>
          <w:rFonts w:cs="Arial"/>
          <w:rtl/>
        </w:rPr>
        <w:t xml:space="preserve"> </w:t>
      </w:r>
      <w:r w:rsidRPr="00F573F5">
        <w:rPr>
          <w:rFonts w:cs="Arial" w:hint="cs"/>
          <w:sz w:val="16"/>
          <w:szCs w:val="16"/>
          <w:rtl/>
        </w:rPr>
        <w:t>(</w:t>
      </w:r>
      <w:r w:rsidRPr="00F573F5">
        <w:rPr>
          <w:rFonts w:cs="Arial"/>
          <w:sz w:val="16"/>
          <w:szCs w:val="16"/>
          <w:rtl/>
        </w:rPr>
        <w:t>ד"פ סי' לג</w:t>
      </w:r>
      <w:r>
        <w:rPr>
          <w:rFonts w:cs="Arial" w:hint="cs"/>
          <w:sz w:val="16"/>
          <w:szCs w:val="16"/>
          <w:rtl/>
        </w:rPr>
        <w:t>, וכ"כ המרדכי [סי' תתל] בשמו</w:t>
      </w:r>
      <w:r w:rsidRPr="00F573F5">
        <w:rPr>
          <w:rFonts w:cs="Arial"/>
          <w:sz w:val="16"/>
          <w:szCs w:val="16"/>
          <w:rtl/>
        </w:rPr>
        <w:t>)</w:t>
      </w:r>
      <w:r>
        <w:rPr>
          <w:rFonts w:cs="Arial" w:hint="cs"/>
          <w:rtl/>
        </w:rPr>
        <w:t xml:space="preserve"> ושע"ד </w:t>
      </w:r>
      <w:r>
        <w:rPr>
          <w:rFonts w:cs="Arial" w:hint="cs"/>
          <w:sz w:val="16"/>
          <w:szCs w:val="16"/>
          <w:rtl/>
        </w:rPr>
        <w:t>(סי' עה, כ"כ הדרכ"מ אות ו בשמו)</w:t>
      </w:r>
      <w:r w:rsidRPr="00F573F5">
        <w:rPr>
          <w:rFonts w:cs="Arial" w:hint="cs"/>
          <w:rtl/>
        </w:rPr>
        <w:t xml:space="preserve">- </w:t>
      </w:r>
      <w:r w:rsidRPr="00EA1B19">
        <w:rPr>
          <w:rFonts w:cs="Arial"/>
          <w:rtl/>
        </w:rPr>
        <w:t>אשר שאלת על פת של ישראל שאפאה גוי ולא חיתה ישראל בגחלים יודע לך חביבי שבצרפת אוסרי'</w:t>
      </w:r>
      <w:r>
        <w:rPr>
          <w:rFonts w:cs="Arial" w:hint="cs"/>
          <w:rtl/>
        </w:rPr>
        <w:t>,</w:t>
      </w:r>
      <w:r w:rsidRPr="00EA1B19">
        <w:rPr>
          <w:rFonts w:cs="Arial"/>
          <w:rtl/>
        </w:rPr>
        <w:t xml:space="preserve"> ואפי' לגוי אסור לזבוני דלמא אתי לזבוני לישראל</w:t>
      </w:r>
      <w:r>
        <w:rPr>
          <w:rStyle w:val="a7"/>
          <w:rFonts w:cs="Arial"/>
          <w:rtl/>
        </w:rPr>
        <w:footnoteReference w:id="2685"/>
      </w:r>
      <w:r>
        <w:rPr>
          <w:rFonts w:cs="Arial" w:hint="cs"/>
          <w:rtl/>
        </w:rPr>
        <w:t>,</w:t>
      </w:r>
      <w:r w:rsidRPr="00EA1B19">
        <w:rPr>
          <w:rFonts w:cs="Arial"/>
          <w:rtl/>
        </w:rPr>
        <w:t xml:space="preserve"> כדחיישי' בפ' כל שעה </w:t>
      </w:r>
      <w:r w:rsidRPr="00EA1B19">
        <w:rPr>
          <w:rFonts w:cs="Arial"/>
          <w:sz w:val="16"/>
          <w:szCs w:val="16"/>
          <w:rtl/>
        </w:rPr>
        <w:t>(</w:t>
      </w:r>
      <w:r w:rsidRPr="00EA1B19">
        <w:rPr>
          <w:rFonts w:cs="Arial" w:hint="cs"/>
          <w:sz w:val="16"/>
          <w:szCs w:val="16"/>
          <w:rtl/>
        </w:rPr>
        <w:t xml:space="preserve">פסחים </w:t>
      </w:r>
      <w:r w:rsidRPr="00EA1B19">
        <w:rPr>
          <w:rFonts w:cs="Arial"/>
          <w:sz w:val="16"/>
          <w:szCs w:val="16"/>
          <w:rtl/>
        </w:rPr>
        <w:t>מ</w:t>
      </w:r>
      <w:r w:rsidRPr="00EA1B19">
        <w:rPr>
          <w:rFonts w:cs="Arial" w:hint="cs"/>
          <w:sz w:val="16"/>
          <w:szCs w:val="16"/>
          <w:rtl/>
        </w:rPr>
        <w:t>:</w:t>
      </w:r>
      <w:r w:rsidRPr="00EA1B19">
        <w:rPr>
          <w:rFonts w:cs="Arial"/>
          <w:sz w:val="16"/>
          <w:szCs w:val="16"/>
          <w:rtl/>
        </w:rPr>
        <w:t xml:space="preserve">) </w:t>
      </w:r>
      <w:r w:rsidRPr="00EA1B19">
        <w:rPr>
          <w:rFonts w:cs="Arial"/>
          <w:rtl/>
        </w:rPr>
        <w:t>בההוא ארבע דטבע בחישתא ואסרה רבה לזבוני לגוים מה"ט</w:t>
      </w:r>
      <w:r>
        <w:rPr>
          <w:rStyle w:val="a7"/>
          <w:rFonts w:cs="Arial"/>
          <w:rtl/>
        </w:rPr>
        <w:footnoteReference w:id="2686"/>
      </w:r>
      <w:r>
        <w:rPr>
          <w:rFonts w:cs="Arial" w:hint="cs"/>
          <w:rtl/>
        </w:rPr>
        <w:t>...</w:t>
      </w:r>
      <w:r w:rsidRPr="00EA1B19">
        <w:rPr>
          <w:rFonts w:cs="Arial"/>
          <w:rtl/>
        </w:rPr>
        <w:t xml:space="preserve"> אבל ליתן לפועליו מותר</w:t>
      </w:r>
      <w:r w:rsidRPr="00EA1B19">
        <w:rPr>
          <w:rFonts w:cs="Arial" w:hint="cs"/>
          <w:rtl/>
        </w:rPr>
        <w:t>,</w:t>
      </w:r>
      <w:r w:rsidRPr="00EA1B19">
        <w:rPr>
          <w:rFonts w:cs="Arial"/>
          <w:rtl/>
        </w:rPr>
        <w:t xml:space="preserve"> ובכל ענין דליכא למיחש דלמא אתו לזבוני לישראל</w:t>
      </w:r>
      <w:r>
        <w:rPr>
          <w:rStyle w:val="a7"/>
          <w:rFonts w:cs="Arial"/>
          <w:rtl/>
        </w:rPr>
        <w:footnoteReference w:id="2687"/>
      </w:r>
      <w:r w:rsidRPr="00EA1B19">
        <w:rPr>
          <w:rFonts w:cs="Arial" w:hint="cs"/>
          <w:rtl/>
        </w:rPr>
        <w:t xml:space="preserve"> </w:t>
      </w:r>
      <w:r w:rsidRPr="00EA1B19">
        <w:rPr>
          <w:rFonts w:cs="Arial" w:hint="cs"/>
          <w:sz w:val="16"/>
          <w:szCs w:val="16"/>
          <w:rtl/>
        </w:rPr>
        <w:t>(ל' מהר"ם)</w:t>
      </w:r>
      <w:r w:rsidRPr="00EA1B19">
        <w:rPr>
          <w:rFonts w:cs="Arial"/>
          <w:rtl/>
        </w:rPr>
        <w:t>.</w:t>
      </w:r>
      <w:r>
        <w:rPr>
          <w:rFonts w:cs="Arial" w:hint="cs"/>
          <w:rtl/>
        </w:rPr>
        <w:t xml:space="preserve"> </w:t>
      </w:r>
    </w:p>
    <w:p w14:paraId="500ADA2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B5F0F36" w14:textId="77777777" w:rsidR="002C39F4" w:rsidRDefault="002C39F4" w:rsidP="002C39F4">
      <w:pPr>
        <w:rPr>
          <w:rFonts w:asciiTheme="minorBidi" w:hAnsiTheme="minorBidi"/>
          <w:rtl/>
        </w:rPr>
      </w:pPr>
      <w:r w:rsidRPr="003024E5">
        <w:rPr>
          <w:rFonts w:asciiTheme="minorBidi" w:hAnsiTheme="minorBidi"/>
          <w:rtl/>
        </w:rPr>
        <w:t xml:space="preserve">פת של ישראל שאפאה </w:t>
      </w:r>
      <w:r>
        <w:rPr>
          <w:rFonts w:asciiTheme="minorBidi" w:hAnsiTheme="minorBidi"/>
          <w:rtl/>
        </w:rPr>
        <w:t>גוי</w:t>
      </w:r>
      <w:r w:rsidRPr="003024E5">
        <w:rPr>
          <w:rFonts w:asciiTheme="minorBidi" w:hAnsiTheme="minorBidi"/>
          <w:rtl/>
        </w:rPr>
        <w:t xml:space="preserve"> בל</w:t>
      </w:r>
      <w:r>
        <w:rPr>
          <w:rFonts w:asciiTheme="minorBidi" w:hAnsiTheme="minorBidi"/>
          <w:rtl/>
        </w:rPr>
        <w:t>א חיתוי דישראל ובלא קיסם</w:t>
      </w:r>
      <w:r>
        <w:rPr>
          <w:rStyle w:val="a7"/>
          <w:rFonts w:asciiTheme="minorBidi" w:hAnsiTheme="minorBidi"/>
          <w:rtl/>
        </w:rPr>
        <w:footnoteReference w:id="2688"/>
      </w:r>
      <w:r>
        <w:rPr>
          <w:rFonts w:asciiTheme="minorBidi" w:hAnsiTheme="minorBidi"/>
          <w:rtl/>
        </w:rPr>
        <w:t xml:space="preserve"> אסור</w:t>
      </w:r>
      <w:r w:rsidRPr="00C43CF7">
        <w:rPr>
          <w:rFonts w:asciiTheme="minorBidi" w:hAnsiTheme="minorBidi"/>
          <w:sz w:val="18"/>
          <w:szCs w:val="18"/>
          <w:rtl/>
        </w:rPr>
        <w:t xml:space="preserve"> </w:t>
      </w:r>
      <w:r w:rsidRPr="00C43CF7">
        <w:rPr>
          <w:rFonts w:asciiTheme="minorBidi" w:hAnsiTheme="minorBidi" w:hint="cs"/>
          <w:sz w:val="18"/>
          <w:szCs w:val="18"/>
          <w:rtl/>
        </w:rPr>
        <w:t xml:space="preserve">[הגה] </w:t>
      </w:r>
      <w:r w:rsidRPr="00C43CF7">
        <w:rPr>
          <w:rFonts w:asciiTheme="minorBidi" w:hAnsiTheme="minorBidi"/>
          <w:sz w:val="18"/>
          <w:szCs w:val="18"/>
          <w:rtl/>
        </w:rPr>
        <w:t>ואסור</w:t>
      </w:r>
      <w:r w:rsidRPr="003024E5">
        <w:rPr>
          <w:rFonts w:asciiTheme="minorBidi" w:hAnsiTheme="minorBidi"/>
          <w:rtl/>
        </w:rPr>
        <w:t xml:space="preserve"> לזבוני ל</w:t>
      </w:r>
      <w:r>
        <w:rPr>
          <w:rFonts w:asciiTheme="minorBidi" w:hAnsiTheme="minorBidi"/>
          <w:rtl/>
        </w:rPr>
        <w:t>גוי</w:t>
      </w:r>
      <w:r w:rsidRPr="003024E5">
        <w:rPr>
          <w:rFonts w:asciiTheme="minorBidi" w:hAnsiTheme="minorBidi"/>
          <w:rtl/>
        </w:rPr>
        <w:t xml:space="preserve"> דילמא אתי לזב</w:t>
      </w:r>
      <w:r>
        <w:rPr>
          <w:rFonts w:asciiTheme="minorBidi" w:hAnsiTheme="minorBidi"/>
          <w:rtl/>
        </w:rPr>
        <w:t>וני לישראל</w:t>
      </w:r>
      <w:r>
        <w:rPr>
          <w:rFonts w:asciiTheme="minorBidi" w:hAnsiTheme="minorBidi" w:hint="cs"/>
          <w:rtl/>
        </w:rPr>
        <w:t>,</w:t>
      </w:r>
      <w:r>
        <w:rPr>
          <w:rFonts w:asciiTheme="minorBidi" w:hAnsiTheme="minorBidi"/>
          <w:rtl/>
        </w:rPr>
        <w:t xml:space="preserve"> ואם פיתת הלחם לשנים</w:t>
      </w:r>
      <w:r w:rsidRPr="003024E5">
        <w:rPr>
          <w:rFonts w:asciiTheme="minorBidi" w:hAnsiTheme="minorBidi"/>
          <w:rtl/>
        </w:rPr>
        <w:t xml:space="preserve"> מותר לזבוני ל</w:t>
      </w:r>
      <w:r>
        <w:rPr>
          <w:rFonts w:asciiTheme="minorBidi" w:hAnsiTheme="minorBidi"/>
          <w:rtl/>
        </w:rPr>
        <w:t>גוי</w:t>
      </w:r>
      <w:r w:rsidRPr="003024E5">
        <w:rPr>
          <w:rFonts w:asciiTheme="minorBidi" w:hAnsiTheme="minorBidi"/>
          <w:rtl/>
        </w:rPr>
        <w:t xml:space="preserve">. </w:t>
      </w:r>
      <w:r w:rsidRPr="0050419D">
        <w:rPr>
          <w:rFonts w:asciiTheme="minorBidi" w:hAnsiTheme="minorBidi"/>
          <w:sz w:val="18"/>
          <w:szCs w:val="18"/>
          <w:rtl/>
        </w:rPr>
        <w:t xml:space="preserve">הגה: וה"ה לכל פת של </w:t>
      </w:r>
      <w:r>
        <w:rPr>
          <w:rFonts w:asciiTheme="minorBidi" w:hAnsiTheme="minorBidi"/>
          <w:sz w:val="18"/>
          <w:szCs w:val="18"/>
          <w:rtl/>
        </w:rPr>
        <w:t>גוי שאסור</w:t>
      </w:r>
      <w:r>
        <w:rPr>
          <w:rFonts w:asciiTheme="minorBidi" w:hAnsiTheme="minorBidi" w:hint="cs"/>
          <w:sz w:val="18"/>
          <w:szCs w:val="18"/>
          <w:rtl/>
        </w:rPr>
        <w:t>,</w:t>
      </w:r>
      <w:r w:rsidRPr="0050419D">
        <w:rPr>
          <w:rFonts w:asciiTheme="minorBidi" w:hAnsiTheme="minorBidi"/>
          <w:sz w:val="18"/>
          <w:szCs w:val="18"/>
          <w:rtl/>
        </w:rPr>
        <w:t xml:space="preserve"> ולכן נהגו שלא לקנות חתיכות פת מן ה</w:t>
      </w:r>
      <w:r>
        <w:rPr>
          <w:rFonts w:asciiTheme="minorBidi" w:hAnsiTheme="minorBidi"/>
          <w:sz w:val="18"/>
          <w:szCs w:val="18"/>
          <w:rtl/>
        </w:rPr>
        <w:t>גוי</w:t>
      </w:r>
      <w:r w:rsidRPr="0050419D">
        <w:rPr>
          <w:rFonts w:asciiTheme="minorBidi" w:hAnsiTheme="minorBidi"/>
          <w:sz w:val="18"/>
          <w:szCs w:val="18"/>
          <w:rtl/>
        </w:rPr>
        <w:t xml:space="preserve"> דחיישינן שמא הוא פת איסור </w:t>
      </w:r>
      <w:r>
        <w:rPr>
          <w:rFonts w:asciiTheme="minorBidi" w:hAnsiTheme="minorBidi"/>
          <w:sz w:val="18"/>
          <w:szCs w:val="18"/>
          <w:rtl/>
        </w:rPr>
        <w:t>ומכרה לו ישראל כך (מרדכי ו</w:t>
      </w:r>
      <w:r>
        <w:rPr>
          <w:rFonts w:asciiTheme="minorBidi" w:hAnsiTheme="minorBidi" w:hint="cs"/>
          <w:sz w:val="18"/>
          <w:szCs w:val="18"/>
          <w:rtl/>
        </w:rPr>
        <w:t>ה</w:t>
      </w:r>
      <w:r w:rsidRPr="0050419D">
        <w:rPr>
          <w:rFonts w:asciiTheme="minorBidi" w:hAnsiTheme="minorBidi"/>
          <w:sz w:val="18"/>
          <w:szCs w:val="18"/>
          <w:rtl/>
        </w:rPr>
        <w:t>ארוך).</w:t>
      </w:r>
      <w:r w:rsidRPr="003024E5">
        <w:rPr>
          <w:rFonts w:asciiTheme="minorBidi" w:hAnsiTheme="minorBidi"/>
          <w:rtl/>
        </w:rPr>
        <w:t xml:space="preserve"> </w:t>
      </w:r>
    </w:p>
    <w:p w14:paraId="18D761B0" w14:textId="77777777" w:rsidR="002C39F4" w:rsidRPr="003024E5" w:rsidRDefault="002C39F4" w:rsidP="002C39F4">
      <w:pPr>
        <w:rPr>
          <w:rFonts w:asciiTheme="minorBidi" w:hAnsiTheme="minorBidi"/>
          <w:rtl/>
        </w:rPr>
      </w:pPr>
    </w:p>
    <w:p w14:paraId="19CB52F7" w14:textId="77777777" w:rsidR="002C39F4" w:rsidRDefault="002C39F4" w:rsidP="002C39F4">
      <w:pPr>
        <w:pStyle w:val="2"/>
        <w:rPr>
          <w:rFonts w:asciiTheme="minorBidi" w:hAnsiTheme="minorBidi"/>
          <w:rtl/>
        </w:rPr>
      </w:pPr>
      <w:r w:rsidRPr="003024E5">
        <w:rPr>
          <w:rFonts w:asciiTheme="minorBidi" w:hAnsiTheme="minorBidi"/>
          <w:rtl/>
        </w:rPr>
        <w:t>סעיף יב</w:t>
      </w:r>
      <w:r>
        <w:rPr>
          <w:rFonts w:asciiTheme="minorBidi" w:hAnsiTheme="minorBidi" w:hint="cs"/>
          <w:rtl/>
        </w:rPr>
        <w:t>: עד איזה שלב מועיל מעשה הישראל.</w:t>
      </w:r>
    </w:p>
    <w:p w14:paraId="283A7FC9" w14:textId="77777777" w:rsidR="002C39F4" w:rsidRPr="00C619A2" w:rsidRDefault="002C39F4" w:rsidP="002C39F4">
      <w:pPr>
        <w:rPr>
          <w:rFonts w:cs="Arial"/>
          <w:u w:val="single"/>
          <w:rtl/>
        </w:rPr>
      </w:pPr>
      <w:r w:rsidRPr="00C619A2">
        <w:rPr>
          <w:rFonts w:cs="Arial" w:hint="cs"/>
          <w:u w:val="single"/>
          <w:rtl/>
        </w:rPr>
        <w:t xml:space="preserve">שכח הישראל </w:t>
      </w:r>
      <w:r>
        <w:rPr>
          <w:rFonts w:cs="Arial" w:hint="cs"/>
          <w:u w:val="single"/>
          <w:rtl/>
        </w:rPr>
        <w:t>לעשות מעשה</w:t>
      </w:r>
      <w:r w:rsidRPr="00C619A2">
        <w:rPr>
          <w:rFonts w:cs="Arial" w:hint="cs"/>
          <w:u w:val="single"/>
          <w:rtl/>
        </w:rPr>
        <w:t xml:space="preserve"> באפיה </w:t>
      </w:r>
      <w:r w:rsidRPr="00C619A2">
        <w:rPr>
          <w:rFonts w:cs="Arial"/>
          <w:u w:val="single"/>
          <w:rtl/>
        </w:rPr>
        <w:t>–</w:t>
      </w:r>
      <w:r w:rsidRPr="00C619A2">
        <w:rPr>
          <w:rFonts w:cs="Arial" w:hint="cs"/>
          <w:u w:val="single"/>
          <w:rtl/>
        </w:rPr>
        <w:t xml:space="preserve"> עד איזה שלב יכול לעשות מעשה ויועיל:</w:t>
      </w:r>
    </w:p>
    <w:p w14:paraId="67450262" w14:textId="77777777" w:rsidR="002C39F4" w:rsidRPr="00C619A2" w:rsidRDefault="002C39F4" w:rsidP="0032102C">
      <w:pPr>
        <w:pStyle w:val="a8"/>
        <w:numPr>
          <w:ilvl w:val="0"/>
          <w:numId w:val="272"/>
        </w:numPr>
        <w:rPr>
          <w:rFonts w:cs="Arial"/>
          <w:rtl/>
        </w:rPr>
      </w:pPr>
      <w:r w:rsidRPr="00C619A2">
        <w:rPr>
          <w:rFonts w:cs="Arial"/>
          <w:rtl/>
        </w:rPr>
        <w:t xml:space="preserve">מרדכי </w:t>
      </w:r>
      <w:r w:rsidRPr="00C619A2">
        <w:rPr>
          <w:rFonts w:cs="Arial"/>
          <w:sz w:val="16"/>
          <w:szCs w:val="16"/>
          <w:rtl/>
        </w:rPr>
        <w:t>(סי' תתלא)</w:t>
      </w:r>
      <w:r w:rsidRPr="00C619A2">
        <w:rPr>
          <w:rFonts w:cs="Arial" w:hint="cs"/>
          <w:rtl/>
        </w:rPr>
        <w:t>-</w:t>
      </w:r>
      <w:r w:rsidRPr="00C619A2">
        <w:rPr>
          <w:rFonts w:cs="Arial"/>
          <w:rtl/>
        </w:rPr>
        <w:t xml:space="preserve"> אם נאפה הפת בתנור של גוי בלא חיתוי ובלא קיסם אפילו אם קרמו פני הפת בתנור מועיל חיתוי דישראל אחר כך כל זמן שהפת צריך לתנור ומשביח באפייתו עדיין</w:t>
      </w:r>
      <w:r>
        <w:rPr>
          <w:rFonts w:cs="Arial" w:hint="cs"/>
          <w:rtl/>
        </w:rPr>
        <w:t>,</w:t>
      </w:r>
      <w:r w:rsidRPr="00C619A2">
        <w:rPr>
          <w:rFonts w:cs="Arial"/>
          <w:rtl/>
        </w:rPr>
        <w:t xml:space="preserve"> דהוי גמרו ביד ישראל</w:t>
      </w:r>
      <w:r w:rsidRPr="00C619A2">
        <w:rPr>
          <w:rFonts w:cs="Arial" w:hint="cs"/>
          <w:rtl/>
        </w:rPr>
        <w:t>,</w:t>
      </w:r>
      <w:r w:rsidRPr="00C619A2">
        <w:rPr>
          <w:rFonts w:cs="Arial"/>
          <w:rtl/>
        </w:rPr>
        <w:t xml:space="preserve"> וכן תבשיל היה מועיל אף לאחר שנתבשל כמאכל בן דרוסאי</w:t>
      </w:r>
      <w:r w:rsidRPr="00C619A2">
        <w:rPr>
          <w:rFonts w:cs="Arial" w:hint="cs"/>
          <w:rtl/>
        </w:rPr>
        <w:t>,</w:t>
      </w:r>
      <w:r w:rsidRPr="00C619A2">
        <w:rPr>
          <w:rFonts w:cs="Arial"/>
          <w:rtl/>
        </w:rPr>
        <w:t xml:space="preserve"> אך רבינו יהודה כתב דחיתוי דישראל לא מהני לאחר שנתבשל כמאכל בן דרוסאי ביד גוים וכן לענין פת לא מהני לאחר שקרמו פניה. </w:t>
      </w:r>
    </w:p>
    <w:p w14:paraId="5D794490" w14:textId="77777777" w:rsidR="002C39F4" w:rsidRPr="0050419D" w:rsidRDefault="002C39F4" w:rsidP="0032102C">
      <w:pPr>
        <w:pStyle w:val="a8"/>
        <w:numPr>
          <w:ilvl w:val="0"/>
          <w:numId w:val="272"/>
        </w:numPr>
        <w:rPr>
          <w:rtl/>
        </w:rPr>
      </w:pPr>
      <w:r w:rsidRPr="00C619A2">
        <w:rPr>
          <w:rFonts w:cs="Arial"/>
          <w:rtl/>
        </w:rPr>
        <w:t>שע</w:t>
      </w:r>
      <w:r w:rsidRPr="00C619A2">
        <w:rPr>
          <w:rFonts w:cs="Arial" w:hint="cs"/>
          <w:rtl/>
        </w:rPr>
        <w:t>"</w:t>
      </w:r>
      <w:r w:rsidRPr="00C619A2">
        <w:rPr>
          <w:rFonts w:cs="Arial"/>
          <w:rtl/>
        </w:rPr>
        <w:t xml:space="preserve">ד </w:t>
      </w:r>
      <w:r w:rsidRPr="00C619A2">
        <w:rPr>
          <w:rFonts w:cs="Arial"/>
          <w:sz w:val="16"/>
          <w:szCs w:val="16"/>
          <w:rtl/>
        </w:rPr>
        <w:t>(סי' עה</w:t>
      </w:r>
      <w:r>
        <w:rPr>
          <w:rFonts w:cs="Arial" w:hint="cs"/>
          <w:sz w:val="16"/>
          <w:szCs w:val="16"/>
          <w:rtl/>
        </w:rPr>
        <w:t>, וכ"כ האגור [סי' אלף שב] בשמו</w:t>
      </w:r>
      <w:r w:rsidRPr="00C619A2">
        <w:rPr>
          <w:rFonts w:cs="Arial"/>
          <w:sz w:val="16"/>
          <w:szCs w:val="16"/>
          <w:rtl/>
        </w:rPr>
        <w:t>)</w:t>
      </w:r>
      <w:r>
        <w:rPr>
          <w:rFonts w:cs="Arial" w:hint="cs"/>
          <w:rtl/>
        </w:rPr>
        <w:t xml:space="preserve">- </w:t>
      </w:r>
      <w:r w:rsidRPr="00C619A2">
        <w:rPr>
          <w:rFonts w:cs="Arial"/>
          <w:rtl/>
        </w:rPr>
        <w:t xml:space="preserve">שמעתי דכל זמן דהוי הפת בתנור יכול להכשיר התנור כגון </w:t>
      </w:r>
      <w:r>
        <w:rPr>
          <w:rFonts w:cs="Arial" w:hint="cs"/>
          <w:sz w:val="16"/>
          <w:szCs w:val="16"/>
          <w:rtl/>
        </w:rPr>
        <w:t xml:space="preserve">{שיתן אש} </w:t>
      </w:r>
      <w:r w:rsidRPr="00C619A2">
        <w:rPr>
          <w:rFonts w:cs="Arial"/>
          <w:rtl/>
        </w:rPr>
        <w:t>בפי התנור כיון דהפת משביח</w:t>
      </w:r>
      <w:r>
        <w:rPr>
          <w:rFonts w:cs="Arial" w:hint="cs"/>
          <w:rtl/>
        </w:rPr>
        <w:t>..</w:t>
      </w:r>
      <w:r w:rsidRPr="00C619A2">
        <w:rPr>
          <w:rFonts w:cs="Arial"/>
          <w:rtl/>
        </w:rPr>
        <w:t>. ועוד שמעתי מרבותי אם שכח ולא הכשיר התנור וכבר הוציא הפת, אם יודע הישראל שהפת משביח מאש אם יחזיר אותו לתנור ח</w:t>
      </w:r>
      <w:r>
        <w:rPr>
          <w:rFonts w:cs="Arial"/>
          <w:rtl/>
        </w:rPr>
        <w:t>ם לאפות, יכשיר התנור ויחזיר הפת</w:t>
      </w:r>
      <w:r>
        <w:rPr>
          <w:rStyle w:val="a7"/>
          <w:rFonts w:cs="Arial"/>
          <w:rtl/>
        </w:rPr>
        <w:footnoteReference w:id="2689"/>
      </w:r>
      <w:r>
        <w:rPr>
          <w:rFonts w:cs="Arial" w:hint="cs"/>
          <w:rtl/>
        </w:rPr>
        <w:t>,</w:t>
      </w:r>
      <w:r w:rsidRPr="00C619A2">
        <w:rPr>
          <w:rFonts w:cs="Arial"/>
          <w:rtl/>
        </w:rPr>
        <w:t xml:space="preserve"> וכן פי' רבינו שי"ר מורי"ל</w:t>
      </w:r>
      <w:r>
        <w:rPr>
          <w:rStyle w:val="a7"/>
          <w:rFonts w:cs="Arial"/>
          <w:rtl/>
        </w:rPr>
        <w:footnoteReference w:id="2690"/>
      </w:r>
      <w:r w:rsidRPr="00C619A2">
        <w:rPr>
          <w:rFonts w:cs="Arial"/>
          <w:rtl/>
        </w:rPr>
        <w:t xml:space="preserve"> וגם עשה מעשה כן</w:t>
      </w:r>
      <w:r>
        <w:rPr>
          <w:rStyle w:val="a7"/>
          <w:rFonts w:cs="Arial"/>
          <w:rtl/>
        </w:rPr>
        <w:footnoteReference w:id="2691"/>
      </w:r>
      <w:r w:rsidRPr="00C619A2">
        <w:rPr>
          <w:rFonts w:cs="Arial"/>
          <w:rtl/>
        </w:rPr>
        <w:t>.</w:t>
      </w:r>
      <w:r>
        <w:rPr>
          <w:rFonts w:cs="Arial" w:hint="cs"/>
          <w:rtl/>
        </w:rPr>
        <w:t xml:space="preserve"> </w:t>
      </w:r>
      <w:r w:rsidRPr="00333F58">
        <w:rPr>
          <w:rFonts w:cs="Arial" w:hint="cs"/>
          <w:color w:val="E36C0A" w:themeColor="accent6" w:themeShade="BF"/>
          <w:rtl/>
        </w:rPr>
        <w:t>(וכ"</w:t>
      </w:r>
      <w:r>
        <w:rPr>
          <w:rFonts w:cs="Arial" w:hint="cs"/>
          <w:color w:val="E36C0A" w:themeColor="accent6" w:themeShade="BF"/>
          <w:rtl/>
        </w:rPr>
        <w:t>כ</w:t>
      </w:r>
      <w:r w:rsidRPr="00333F58">
        <w:rPr>
          <w:rFonts w:cs="Arial" w:hint="cs"/>
          <w:color w:val="E36C0A" w:themeColor="accent6" w:themeShade="BF"/>
          <w:rtl/>
        </w:rPr>
        <w:t xml:space="preserve"> בשו"ע)</w:t>
      </w:r>
    </w:p>
    <w:p w14:paraId="104835C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D4421F5" w14:textId="77777777" w:rsidR="002C39F4" w:rsidRDefault="002C39F4" w:rsidP="002C39F4">
      <w:pPr>
        <w:rPr>
          <w:rFonts w:asciiTheme="minorBidi" w:hAnsiTheme="minorBidi"/>
          <w:rtl/>
        </w:rPr>
      </w:pPr>
      <w:r w:rsidRPr="003024E5">
        <w:rPr>
          <w:rFonts w:asciiTheme="minorBidi" w:hAnsiTheme="minorBidi"/>
          <w:rtl/>
        </w:rPr>
        <w:t xml:space="preserve">אם אפה </w:t>
      </w:r>
      <w:r>
        <w:rPr>
          <w:rFonts w:asciiTheme="minorBidi" w:hAnsiTheme="minorBidi"/>
          <w:rtl/>
        </w:rPr>
        <w:t>גוי הפת בלא חיתוי ישראל ובלא קיסם אפילו קרמו פני הפת בתנור</w:t>
      </w:r>
      <w:r w:rsidRPr="003024E5">
        <w:rPr>
          <w:rFonts w:asciiTheme="minorBidi" w:hAnsiTheme="minorBidi"/>
          <w:rtl/>
        </w:rPr>
        <w:t xml:space="preserve"> מועיל חיתוי ישראל כל זמן שהפת צריך לתנור ומשב</w:t>
      </w:r>
      <w:r>
        <w:rPr>
          <w:rFonts w:asciiTheme="minorBidi" w:hAnsiTheme="minorBidi"/>
          <w:rtl/>
        </w:rPr>
        <w:t>יח באפייתו עדיין</w:t>
      </w:r>
      <w:r>
        <w:rPr>
          <w:rFonts w:asciiTheme="minorBidi" w:hAnsiTheme="minorBidi" w:hint="cs"/>
          <w:rtl/>
        </w:rPr>
        <w:t>,</w:t>
      </w:r>
      <w:r w:rsidRPr="003024E5">
        <w:rPr>
          <w:rFonts w:asciiTheme="minorBidi" w:hAnsiTheme="minorBidi"/>
          <w:rtl/>
        </w:rPr>
        <w:t xml:space="preserve"> ויש מי שאומר שאפילו הוציא הפת יש </w:t>
      </w:r>
      <w:r>
        <w:rPr>
          <w:rFonts w:asciiTheme="minorBidi" w:hAnsiTheme="minorBidi"/>
          <w:rtl/>
        </w:rPr>
        <w:t>תקנה להחזירו לתנור על ידי ישראל</w:t>
      </w:r>
      <w:r w:rsidRPr="003024E5">
        <w:rPr>
          <w:rFonts w:asciiTheme="minorBidi" w:hAnsiTheme="minorBidi"/>
          <w:rtl/>
        </w:rPr>
        <w:t xml:space="preserve"> אם הוא משביח. </w:t>
      </w:r>
    </w:p>
    <w:p w14:paraId="79D787D8" w14:textId="77777777" w:rsidR="002C39F4" w:rsidRPr="003024E5" w:rsidRDefault="002C39F4" w:rsidP="002C39F4">
      <w:pPr>
        <w:rPr>
          <w:rFonts w:asciiTheme="minorBidi" w:hAnsiTheme="minorBidi"/>
          <w:rtl/>
        </w:rPr>
      </w:pPr>
    </w:p>
    <w:p w14:paraId="5C83737C" w14:textId="77777777" w:rsidR="002C39F4" w:rsidRPr="002A004D" w:rsidRDefault="002C39F4" w:rsidP="002C39F4">
      <w:pPr>
        <w:pStyle w:val="2"/>
        <w:rPr>
          <w:rFonts w:asciiTheme="minorBidi" w:hAnsiTheme="minorBidi"/>
          <w:rtl/>
        </w:rPr>
      </w:pPr>
      <w:r w:rsidRPr="003024E5">
        <w:rPr>
          <w:rFonts w:asciiTheme="minorBidi" w:hAnsiTheme="minorBidi"/>
          <w:rtl/>
        </w:rPr>
        <w:t>סעיף יג</w:t>
      </w:r>
      <w:r>
        <w:rPr>
          <w:rFonts w:asciiTheme="minorBidi" w:hAnsiTheme="minorBidi" w:hint="cs"/>
          <w:rtl/>
        </w:rPr>
        <w:t xml:space="preserve">: </w:t>
      </w:r>
      <w:bookmarkStart w:id="16" w:name="_Hlk509321351"/>
      <w:r>
        <w:rPr>
          <w:rFonts w:asciiTheme="minorBidi" w:hAnsiTheme="minorBidi" w:hint="cs"/>
          <w:rtl/>
        </w:rPr>
        <w:t>ישראל שנזהר מפת עכו"ם שזימן ישראל אחר והביא עמו פת עכו"ם</w:t>
      </w:r>
      <w:bookmarkEnd w:id="16"/>
      <w:r>
        <w:rPr>
          <w:rFonts w:asciiTheme="minorBidi" w:hAnsiTheme="minorBidi" w:hint="cs"/>
          <w:rtl/>
        </w:rPr>
        <w:t>.</w:t>
      </w:r>
    </w:p>
    <w:p w14:paraId="39F24C5D" w14:textId="77777777" w:rsidR="002C39F4" w:rsidRPr="002A004D" w:rsidRDefault="002C39F4" w:rsidP="002C39F4">
      <w:pPr>
        <w:rPr>
          <w:rFonts w:cs="Arial"/>
          <w:u w:val="single"/>
          <w:rtl/>
        </w:rPr>
      </w:pPr>
      <w:r w:rsidRPr="002E1FDB">
        <w:rPr>
          <w:rFonts w:asciiTheme="minorBidi" w:hAnsiTheme="minorBidi" w:hint="cs"/>
          <w:u w:val="single"/>
          <w:rtl/>
        </w:rPr>
        <w:t xml:space="preserve">ישראל שנזהר מפת </w:t>
      </w:r>
      <w:r>
        <w:rPr>
          <w:rFonts w:asciiTheme="minorBidi" w:hAnsiTheme="minorBidi" w:hint="cs"/>
          <w:u w:val="single"/>
          <w:rtl/>
        </w:rPr>
        <w:t>גוי</w:t>
      </w:r>
      <w:r w:rsidRPr="002E1FDB">
        <w:rPr>
          <w:rFonts w:asciiTheme="minorBidi" w:hAnsiTheme="minorBidi" w:hint="cs"/>
          <w:u w:val="single"/>
          <w:rtl/>
        </w:rPr>
        <w:t xml:space="preserve"> שזימן ישראל אחר והביא עמו פת </w:t>
      </w:r>
      <w:r>
        <w:rPr>
          <w:rFonts w:asciiTheme="minorBidi" w:hAnsiTheme="minorBidi" w:hint="cs"/>
          <w:u w:val="single"/>
          <w:rtl/>
        </w:rPr>
        <w:t>גוי</w:t>
      </w:r>
      <w:r w:rsidRPr="002A004D">
        <w:rPr>
          <w:rFonts w:asciiTheme="minorBidi" w:hAnsiTheme="minorBidi" w:hint="cs"/>
          <w:u w:val="single"/>
          <w:rtl/>
        </w:rPr>
        <w:t xml:space="preserve">: </w:t>
      </w:r>
    </w:p>
    <w:p w14:paraId="1F687057" w14:textId="77777777" w:rsidR="002C39F4" w:rsidRPr="0050419D" w:rsidRDefault="002C39F4" w:rsidP="0032102C">
      <w:pPr>
        <w:pStyle w:val="a8"/>
        <w:numPr>
          <w:ilvl w:val="0"/>
          <w:numId w:val="275"/>
        </w:numPr>
        <w:rPr>
          <w:rtl/>
        </w:rPr>
      </w:pPr>
      <w:r w:rsidRPr="002A004D">
        <w:rPr>
          <w:rFonts w:cs="Arial"/>
          <w:rtl/>
        </w:rPr>
        <w:t xml:space="preserve">מרדכי </w:t>
      </w:r>
      <w:r w:rsidRPr="002A004D">
        <w:rPr>
          <w:rFonts w:cs="Arial"/>
          <w:sz w:val="16"/>
          <w:szCs w:val="16"/>
          <w:rtl/>
        </w:rPr>
        <w:t xml:space="preserve">(סי' תתל) </w:t>
      </w:r>
      <w:r w:rsidRPr="002A004D">
        <w:rPr>
          <w:rFonts w:cs="Arial"/>
          <w:rtl/>
        </w:rPr>
        <w:t xml:space="preserve">בשם ראבי"ה </w:t>
      </w:r>
      <w:r w:rsidRPr="002A004D">
        <w:rPr>
          <w:rFonts w:cs="Arial"/>
          <w:sz w:val="16"/>
          <w:szCs w:val="16"/>
          <w:rtl/>
        </w:rPr>
        <w:t>(ח"א ס</w:t>
      </w:r>
      <w:r w:rsidRPr="002A004D">
        <w:rPr>
          <w:rFonts w:cs="Arial" w:hint="cs"/>
          <w:sz w:val="16"/>
          <w:szCs w:val="16"/>
          <w:rtl/>
        </w:rPr>
        <w:t>"</w:t>
      </w:r>
      <w:r w:rsidRPr="002A004D">
        <w:rPr>
          <w:rFonts w:cs="Arial"/>
          <w:sz w:val="16"/>
          <w:szCs w:val="16"/>
          <w:rtl/>
        </w:rPr>
        <w:t>ס קיא)</w:t>
      </w:r>
      <w:r w:rsidRPr="002A004D">
        <w:rPr>
          <w:rFonts w:cs="Arial" w:hint="cs"/>
          <w:rtl/>
        </w:rPr>
        <w:t xml:space="preserve">- </w:t>
      </w:r>
      <w:r w:rsidRPr="002A004D">
        <w:rPr>
          <w:rFonts w:cs="Arial"/>
          <w:rtl/>
        </w:rPr>
        <w:t>אם היסב על השלחן אצל ישראל האוכל פת של גוים והבעל הב</w:t>
      </w:r>
      <w:r>
        <w:rPr>
          <w:rFonts w:cs="Arial" w:hint="cs"/>
          <w:rtl/>
        </w:rPr>
        <w:t>ית</w:t>
      </w:r>
      <w:r w:rsidRPr="002A004D">
        <w:rPr>
          <w:rFonts w:cs="Arial"/>
          <w:rtl/>
        </w:rPr>
        <w:t xml:space="preserve"> נזהר מפת של גוים כיון שמצוה זו מוטלת עליו לבצוע </w:t>
      </w:r>
      <w:r w:rsidRPr="002A004D">
        <w:rPr>
          <w:rFonts w:cs="Arial"/>
          <w:sz w:val="16"/>
          <w:szCs w:val="16"/>
          <w:rtl/>
        </w:rPr>
        <w:t xml:space="preserve">(ברכות מו.) </w:t>
      </w:r>
      <w:r w:rsidRPr="002A004D">
        <w:rPr>
          <w:rFonts w:cs="Arial"/>
          <w:rtl/>
        </w:rPr>
        <w:t xml:space="preserve">יבצע מן היפה כדקאמר בירושלמי </w:t>
      </w:r>
      <w:r w:rsidRPr="002A004D">
        <w:rPr>
          <w:rFonts w:cs="Arial"/>
          <w:sz w:val="16"/>
          <w:szCs w:val="16"/>
          <w:rtl/>
        </w:rPr>
        <w:t xml:space="preserve">(ברכות פ"ו ה"א) </w:t>
      </w:r>
      <w:r w:rsidRPr="002A004D">
        <w:rPr>
          <w:rFonts w:cs="Arial"/>
          <w:rtl/>
        </w:rPr>
        <w:t>גבי פת נקיה טמאה ופת קיבר טהורה וכיון שהותר לו לבצוע מותר בו כל אותה הסעודה</w:t>
      </w:r>
      <w:r w:rsidRPr="002A004D">
        <w:rPr>
          <w:rFonts w:cs="Arial" w:hint="cs"/>
          <w:rtl/>
        </w:rPr>
        <w:t>,</w:t>
      </w:r>
      <w:r w:rsidRPr="002A004D">
        <w:rPr>
          <w:rFonts w:cs="Arial"/>
          <w:rtl/>
        </w:rPr>
        <w:t xml:space="preserve"> וזכר לדבר מדאמרינן </w:t>
      </w:r>
      <w:r w:rsidRPr="002A004D">
        <w:rPr>
          <w:rFonts w:cs="Arial"/>
          <w:sz w:val="16"/>
          <w:szCs w:val="16"/>
          <w:rtl/>
        </w:rPr>
        <w:t xml:space="preserve">(יבמות ז:) </w:t>
      </w:r>
      <w:r w:rsidRPr="002A004D">
        <w:rPr>
          <w:rFonts w:cs="Arial"/>
          <w:rtl/>
        </w:rPr>
        <w:t>מתוך שהותר לצרעתו הותר לקירוייו</w:t>
      </w:r>
      <w:r w:rsidRPr="002A004D">
        <w:rPr>
          <w:rFonts w:cs="Arial" w:hint="cs"/>
          <w:rtl/>
        </w:rPr>
        <w:t>,</w:t>
      </w:r>
      <w:r w:rsidRPr="002A004D">
        <w:rPr>
          <w:rFonts w:cs="Arial"/>
          <w:rtl/>
        </w:rPr>
        <w:t xml:space="preserve"> ובפרק מי שהוציאוהו </w:t>
      </w:r>
      <w:r w:rsidRPr="002A004D">
        <w:rPr>
          <w:rFonts w:cs="Arial"/>
          <w:sz w:val="16"/>
          <w:szCs w:val="16"/>
          <w:rtl/>
        </w:rPr>
        <w:t xml:space="preserve">(עירובין מא:) </w:t>
      </w:r>
      <w:r w:rsidRPr="002A004D">
        <w:rPr>
          <w:rFonts w:cs="Arial"/>
          <w:rtl/>
        </w:rPr>
        <w:t>קאמר אם פקח הוא עייל לתחומא דלא אחמירו באיסורי דרבנן</w:t>
      </w:r>
      <w:r>
        <w:rPr>
          <w:rFonts w:cs="Arial" w:hint="cs"/>
          <w:rtl/>
        </w:rPr>
        <w:t>,</w:t>
      </w:r>
      <w:r w:rsidRPr="002A004D">
        <w:rPr>
          <w:rFonts w:cs="Arial"/>
          <w:rtl/>
        </w:rPr>
        <w:t xml:space="preserve"> דאין כבוד שמים ששוב יחדל משום איסור והוא כבר בצע</w:t>
      </w:r>
      <w:r w:rsidRPr="002A004D">
        <w:rPr>
          <w:rFonts w:cs="Arial" w:hint="cs"/>
          <w:rtl/>
        </w:rPr>
        <w:t>.</w:t>
      </w:r>
      <w:r w:rsidRPr="00311C67">
        <w:rPr>
          <w:rFonts w:cs="Arial" w:hint="cs"/>
          <w:color w:val="E36C0A" w:themeColor="accent6" w:themeShade="BF"/>
          <w:rtl/>
        </w:rPr>
        <w:t xml:space="preserve"> </w:t>
      </w:r>
      <w:r w:rsidRPr="00333F58">
        <w:rPr>
          <w:rFonts w:cs="Arial" w:hint="cs"/>
          <w:color w:val="E36C0A" w:themeColor="accent6" w:themeShade="BF"/>
          <w:rtl/>
        </w:rPr>
        <w:t>(וכ"</w:t>
      </w:r>
      <w:r>
        <w:rPr>
          <w:rFonts w:cs="Arial" w:hint="cs"/>
          <w:color w:val="E36C0A" w:themeColor="accent6" w:themeShade="BF"/>
          <w:rtl/>
        </w:rPr>
        <w:t>פ</w:t>
      </w:r>
      <w:r w:rsidRPr="00333F58">
        <w:rPr>
          <w:rFonts w:cs="Arial" w:hint="cs"/>
          <w:color w:val="E36C0A" w:themeColor="accent6" w:themeShade="BF"/>
          <w:rtl/>
        </w:rPr>
        <w:t xml:space="preserve"> בשו"ע)</w:t>
      </w:r>
    </w:p>
    <w:p w14:paraId="04AA8A4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D889DDE" w14:textId="77777777" w:rsidR="002C39F4" w:rsidRDefault="002C39F4" w:rsidP="002C39F4">
      <w:pPr>
        <w:rPr>
          <w:rFonts w:asciiTheme="minorBidi" w:hAnsiTheme="minorBidi"/>
          <w:rtl/>
        </w:rPr>
      </w:pPr>
      <w:r w:rsidRPr="003024E5">
        <w:rPr>
          <w:rFonts w:asciiTheme="minorBidi" w:hAnsiTheme="minorBidi"/>
          <w:rtl/>
        </w:rPr>
        <w:t xml:space="preserve">מי שאינו נזהר מפת של </w:t>
      </w:r>
      <w:r>
        <w:rPr>
          <w:rFonts w:asciiTheme="minorBidi" w:hAnsiTheme="minorBidi"/>
          <w:rtl/>
        </w:rPr>
        <w:t>גוי</w:t>
      </w:r>
      <w:r w:rsidRPr="003024E5">
        <w:rPr>
          <w:rFonts w:asciiTheme="minorBidi" w:hAnsiTheme="minorBidi"/>
          <w:rtl/>
        </w:rPr>
        <w:t xml:space="preserve"> שהיסב אצל בעל הבית הנזהר מפת של </w:t>
      </w:r>
      <w:r>
        <w:rPr>
          <w:rFonts w:asciiTheme="minorBidi" w:hAnsiTheme="minorBidi"/>
          <w:rtl/>
        </w:rPr>
        <w:t>גוי</w:t>
      </w:r>
      <w:r>
        <w:rPr>
          <w:rFonts w:asciiTheme="minorBidi" w:hAnsiTheme="minorBidi" w:hint="cs"/>
          <w:rtl/>
        </w:rPr>
        <w:t>,</w:t>
      </w:r>
      <w:r w:rsidRPr="003024E5">
        <w:rPr>
          <w:rFonts w:asciiTheme="minorBidi" w:hAnsiTheme="minorBidi"/>
          <w:rtl/>
        </w:rPr>
        <w:t xml:space="preserve"> ועל השלחן פת ישראל ופת של </w:t>
      </w:r>
      <w:r>
        <w:rPr>
          <w:rFonts w:asciiTheme="minorBidi" w:hAnsiTheme="minorBidi"/>
          <w:rtl/>
        </w:rPr>
        <w:t>גוי</w:t>
      </w:r>
      <w:r w:rsidRPr="003024E5">
        <w:rPr>
          <w:rFonts w:asciiTheme="minorBidi" w:hAnsiTheme="minorBidi"/>
          <w:rtl/>
        </w:rPr>
        <w:t xml:space="preserve"> היפה מ</w:t>
      </w:r>
      <w:r>
        <w:rPr>
          <w:rFonts w:asciiTheme="minorBidi" w:hAnsiTheme="minorBidi"/>
          <w:rtl/>
        </w:rPr>
        <w:t>של ישראל, יבצע בעל הבית מן היפה</w:t>
      </w:r>
      <w:r>
        <w:rPr>
          <w:rFonts w:asciiTheme="minorBidi" w:hAnsiTheme="minorBidi" w:hint="cs"/>
          <w:rtl/>
        </w:rPr>
        <w:t>,</w:t>
      </w:r>
      <w:r w:rsidRPr="003024E5">
        <w:rPr>
          <w:rFonts w:asciiTheme="minorBidi" w:hAnsiTheme="minorBidi"/>
          <w:rtl/>
        </w:rPr>
        <w:t xml:space="preserve"> ומותר בכל אותה סעודה בפת של </w:t>
      </w:r>
      <w:r>
        <w:rPr>
          <w:rFonts w:asciiTheme="minorBidi" w:hAnsiTheme="minorBidi"/>
          <w:rtl/>
        </w:rPr>
        <w:t>גוי</w:t>
      </w:r>
      <w:r>
        <w:rPr>
          <w:rStyle w:val="a7"/>
          <w:rFonts w:asciiTheme="minorBidi" w:hAnsiTheme="minorBidi"/>
          <w:rtl/>
        </w:rPr>
        <w:footnoteReference w:id="2692"/>
      </w:r>
      <w:r w:rsidRPr="003024E5">
        <w:rPr>
          <w:rFonts w:asciiTheme="minorBidi" w:hAnsiTheme="minorBidi"/>
          <w:rtl/>
        </w:rPr>
        <w:t xml:space="preserve">. </w:t>
      </w:r>
    </w:p>
    <w:p w14:paraId="1D1D04B9" w14:textId="77777777" w:rsidR="002C39F4" w:rsidRPr="003024E5" w:rsidRDefault="002C39F4" w:rsidP="002C39F4">
      <w:pPr>
        <w:rPr>
          <w:rFonts w:asciiTheme="minorBidi" w:hAnsiTheme="minorBidi"/>
          <w:rtl/>
        </w:rPr>
      </w:pPr>
    </w:p>
    <w:p w14:paraId="7D4AF416" w14:textId="77777777" w:rsidR="002C39F4" w:rsidRDefault="002C39F4" w:rsidP="002C39F4">
      <w:pPr>
        <w:pStyle w:val="2"/>
        <w:rPr>
          <w:rFonts w:asciiTheme="minorBidi" w:hAnsiTheme="minorBidi"/>
          <w:rtl/>
        </w:rPr>
      </w:pPr>
      <w:r w:rsidRPr="003024E5">
        <w:rPr>
          <w:rFonts w:asciiTheme="minorBidi" w:hAnsiTheme="minorBidi"/>
          <w:rtl/>
        </w:rPr>
        <w:t>סעיף יד</w:t>
      </w:r>
      <w:r>
        <w:rPr>
          <w:rFonts w:asciiTheme="minorBidi" w:hAnsiTheme="minorBidi" w:hint="cs"/>
          <w:rtl/>
        </w:rPr>
        <w:t>: כותח של גוים.</w:t>
      </w:r>
    </w:p>
    <w:p w14:paraId="3F82E9C0" w14:textId="77777777" w:rsidR="002C39F4" w:rsidRDefault="002C39F4" w:rsidP="002C39F4">
      <w:pPr>
        <w:rPr>
          <w:rFonts w:cs="Arial"/>
          <w:rtl/>
        </w:rPr>
      </w:pPr>
      <w:r w:rsidRPr="004C0F77">
        <w:rPr>
          <w:rFonts w:cs="Arial" w:hint="cs"/>
          <w:u w:val="single"/>
          <w:rtl/>
        </w:rPr>
        <w:t>כותח של גוים:</w:t>
      </w:r>
    </w:p>
    <w:p w14:paraId="1C4E4B09" w14:textId="77777777" w:rsidR="002C39F4" w:rsidRPr="002B5A15" w:rsidRDefault="002C39F4" w:rsidP="0032102C">
      <w:pPr>
        <w:pStyle w:val="a8"/>
        <w:numPr>
          <w:ilvl w:val="0"/>
          <w:numId w:val="275"/>
        </w:numPr>
        <w:rPr>
          <w:rFonts w:cs="Arial"/>
        </w:rPr>
      </w:pPr>
      <w:r w:rsidRPr="004C0F77">
        <w:rPr>
          <w:rFonts w:cs="Arial"/>
          <w:rtl/>
        </w:rPr>
        <w:t>גאונים</w:t>
      </w:r>
      <w:r w:rsidRPr="004C0F77">
        <w:rPr>
          <w:rFonts w:cs="Arial" w:hint="cs"/>
          <w:sz w:val="16"/>
          <w:szCs w:val="16"/>
          <w:rtl/>
        </w:rPr>
        <w:t xml:space="preserve"> (כ"כ הטור בשמם)</w:t>
      </w:r>
      <w:r w:rsidRPr="004C0F77">
        <w:rPr>
          <w:rFonts w:cs="Arial" w:hint="cs"/>
          <w:rtl/>
        </w:rPr>
        <w:t xml:space="preserve"> ר"ח </w:t>
      </w:r>
      <w:r w:rsidRPr="004C0F77">
        <w:rPr>
          <w:rFonts w:cs="Arial" w:hint="cs"/>
          <w:sz w:val="16"/>
          <w:szCs w:val="16"/>
          <w:rtl/>
        </w:rPr>
        <w:t>(</w:t>
      </w:r>
      <w:r w:rsidRPr="004C0F77">
        <w:rPr>
          <w:rFonts w:cs="Arial"/>
          <w:sz w:val="16"/>
          <w:szCs w:val="16"/>
          <w:rtl/>
        </w:rPr>
        <w:t>כ</w:t>
      </w:r>
      <w:r w:rsidRPr="004C0F77">
        <w:rPr>
          <w:rFonts w:cs="Arial" w:hint="cs"/>
          <w:sz w:val="16"/>
          <w:szCs w:val="16"/>
          <w:rtl/>
        </w:rPr>
        <w:t>"</w:t>
      </w:r>
      <w:r w:rsidRPr="004C0F77">
        <w:rPr>
          <w:rFonts w:cs="Arial"/>
          <w:sz w:val="16"/>
          <w:szCs w:val="16"/>
          <w:rtl/>
        </w:rPr>
        <w:t xml:space="preserve">כ הרשב"א </w:t>
      </w:r>
      <w:r w:rsidRPr="004C0F77">
        <w:rPr>
          <w:rFonts w:cs="Arial" w:hint="cs"/>
          <w:sz w:val="16"/>
          <w:szCs w:val="16"/>
          <w:rtl/>
        </w:rPr>
        <w:t>בשמו</w:t>
      </w:r>
      <w:r w:rsidRPr="004C0F77">
        <w:rPr>
          <w:rFonts w:cs="Arial" w:hint="cs"/>
          <w:sz w:val="14"/>
          <w:szCs w:val="14"/>
          <w:rtl/>
        </w:rPr>
        <w:t xml:space="preserve"> [</w:t>
      </w:r>
      <w:r w:rsidRPr="004C0F77">
        <w:rPr>
          <w:rFonts w:cs="Arial"/>
          <w:sz w:val="14"/>
          <w:szCs w:val="14"/>
          <w:rtl/>
        </w:rPr>
        <w:t>תוה"א ב"ג ש"ז צג.</w:t>
      </w:r>
      <w:r w:rsidRPr="004C0F77">
        <w:rPr>
          <w:rFonts w:cs="Arial" w:hint="cs"/>
          <w:sz w:val="14"/>
          <w:szCs w:val="14"/>
          <w:rtl/>
        </w:rPr>
        <w:t>]</w:t>
      </w:r>
      <w:r w:rsidRPr="004C0F77">
        <w:rPr>
          <w:rFonts w:cs="Arial"/>
          <w:sz w:val="16"/>
          <w:szCs w:val="16"/>
          <w:rtl/>
        </w:rPr>
        <w:t>)</w:t>
      </w:r>
      <w:r w:rsidRPr="004C0F77">
        <w:rPr>
          <w:rFonts w:cs="Arial" w:hint="cs"/>
          <w:sz w:val="16"/>
          <w:szCs w:val="16"/>
          <w:rtl/>
        </w:rPr>
        <w:t xml:space="preserve"> </w:t>
      </w:r>
      <w:r w:rsidRPr="004C0F77">
        <w:rPr>
          <w:rFonts w:cs="Arial" w:hint="cs"/>
          <w:rtl/>
        </w:rPr>
        <w:t xml:space="preserve">וטור- </w:t>
      </w:r>
      <w:r w:rsidRPr="004C0F77">
        <w:rPr>
          <w:rFonts w:cs="Arial"/>
          <w:rtl/>
        </w:rPr>
        <w:t>כותח של גוים מותר ואין חוששין לפת של גוים שבו</w:t>
      </w:r>
      <w:r>
        <w:rPr>
          <w:rStyle w:val="a7"/>
          <w:rFonts w:cs="Arial"/>
          <w:rtl/>
        </w:rPr>
        <w:footnoteReference w:id="2693"/>
      </w:r>
      <w:r>
        <w:rPr>
          <w:rFonts w:cs="Arial" w:hint="cs"/>
          <w:sz w:val="16"/>
          <w:szCs w:val="16"/>
          <w:rtl/>
        </w:rPr>
        <w:t xml:space="preserve"> (ל' הטור)</w:t>
      </w:r>
      <w:r>
        <w:rPr>
          <w:rFonts w:cs="Arial" w:hint="cs"/>
          <w:rtl/>
        </w:rPr>
        <w:t xml:space="preserve">. </w:t>
      </w:r>
    </w:p>
    <w:p w14:paraId="02A15B69" w14:textId="77777777" w:rsidR="002C39F4" w:rsidRDefault="002C39F4" w:rsidP="002C39F4">
      <w:pPr>
        <w:ind w:left="360"/>
        <w:rPr>
          <w:rFonts w:cs="Arial"/>
          <w:rtl/>
        </w:rPr>
      </w:pPr>
      <w:r w:rsidRPr="004C0F77">
        <w:rPr>
          <w:rFonts w:cs="Arial" w:hint="cs"/>
          <w:u w:val="dotted"/>
          <w:rtl/>
        </w:rPr>
        <w:t xml:space="preserve">האם מותר לערב </w:t>
      </w:r>
      <w:r>
        <w:rPr>
          <w:rFonts w:cs="Arial" w:hint="cs"/>
          <w:u w:val="dotted"/>
          <w:rtl/>
        </w:rPr>
        <w:t xml:space="preserve">לכתחילה </w:t>
      </w:r>
      <w:r w:rsidRPr="004C0F77">
        <w:rPr>
          <w:rFonts w:cs="Arial" w:hint="cs"/>
          <w:u w:val="dotted"/>
          <w:rtl/>
        </w:rPr>
        <w:t xml:space="preserve">פת </w:t>
      </w:r>
      <w:r>
        <w:rPr>
          <w:rFonts w:cs="Arial" w:hint="cs"/>
          <w:u w:val="dotted"/>
          <w:rtl/>
        </w:rPr>
        <w:t>גוי במאכל כל שהוא</w:t>
      </w:r>
      <w:r w:rsidRPr="004C0F77">
        <w:rPr>
          <w:rFonts w:cs="Arial" w:hint="cs"/>
          <w:u w:val="dotted"/>
          <w:rtl/>
        </w:rPr>
        <w:t>:</w:t>
      </w:r>
      <w:r>
        <w:rPr>
          <w:rFonts w:cs="Arial" w:hint="cs"/>
          <w:rtl/>
        </w:rPr>
        <w:t xml:space="preserve">  </w:t>
      </w:r>
      <w:r w:rsidRPr="004C0F77">
        <w:rPr>
          <w:rFonts w:cs="Arial" w:hint="cs"/>
          <w:sz w:val="16"/>
          <w:szCs w:val="16"/>
          <w:rtl/>
        </w:rPr>
        <w:t>(דרכ"מ אות ט)</w:t>
      </w:r>
    </w:p>
    <w:p w14:paraId="033C7509" w14:textId="77777777" w:rsidR="002C39F4" w:rsidRPr="004C0F77" w:rsidRDefault="002C39F4" w:rsidP="0032102C">
      <w:pPr>
        <w:pStyle w:val="a8"/>
        <w:numPr>
          <w:ilvl w:val="0"/>
          <w:numId w:val="275"/>
        </w:numPr>
        <w:rPr>
          <w:rFonts w:cs="Arial"/>
          <w:rtl/>
        </w:rPr>
      </w:pPr>
      <w:r w:rsidRPr="004C0F77">
        <w:rPr>
          <w:rFonts w:cs="Arial" w:hint="cs"/>
          <w:rtl/>
        </w:rPr>
        <w:t>הגשע"ד</w:t>
      </w:r>
      <w:r w:rsidRPr="004C0F77">
        <w:rPr>
          <w:rFonts w:cs="Arial"/>
          <w:rtl/>
        </w:rPr>
        <w:t xml:space="preserve"> </w:t>
      </w:r>
      <w:r w:rsidRPr="004C0F77">
        <w:rPr>
          <w:rFonts w:cs="Arial"/>
          <w:sz w:val="16"/>
          <w:szCs w:val="16"/>
          <w:rtl/>
        </w:rPr>
        <w:t>(סי' עה אות ג ד"ה אדם)</w:t>
      </w:r>
      <w:r>
        <w:rPr>
          <w:rFonts w:cs="Arial" w:hint="cs"/>
          <w:rtl/>
        </w:rPr>
        <w:t xml:space="preserve">- </w:t>
      </w:r>
      <w:r w:rsidRPr="004C0F77">
        <w:rPr>
          <w:rFonts w:cs="Arial"/>
          <w:rtl/>
        </w:rPr>
        <w:t xml:space="preserve">דוקא אם הוא מעורב בדיעבד אבל אסור לערבו לכתחלה דהוי כמערב בידים. </w:t>
      </w:r>
    </w:p>
    <w:p w14:paraId="41627BFD" w14:textId="77777777" w:rsidR="002C39F4" w:rsidRPr="00BE6670" w:rsidRDefault="002C39F4" w:rsidP="0032102C">
      <w:pPr>
        <w:pStyle w:val="a8"/>
        <w:numPr>
          <w:ilvl w:val="0"/>
          <w:numId w:val="275"/>
        </w:numPr>
        <w:rPr>
          <w:rFonts w:cs="Arial"/>
          <w:rtl/>
        </w:rPr>
      </w:pPr>
      <w:r w:rsidRPr="004C0F77">
        <w:rPr>
          <w:rFonts w:cs="Arial" w:hint="cs"/>
          <w:rtl/>
        </w:rPr>
        <w:t>נמוק"י</w:t>
      </w:r>
      <w:r w:rsidRPr="004C0F77">
        <w:rPr>
          <w:rFonts w:cs="Arial"/>
          <w:rtl/>
        </w:rPr>
        <w:t xml:space="preserve"> </w:t>
      </w:r>
      <w:r w:rsidRPr="000756B5">
        <w:rPr>
          <w:rFonts w:cs="Arial"/>
          <w:sz w:val="16"/>
          <w:szCs w:val="16"/>
          <w:rtl/>
        </w:rPr>
        <w:t>(יבמות כו. סוף דיבור ראשון</w:t>
      </w:r>
      <w:r w:rsidRPr="000756B5">
        <w:rPr>
          <w:rFonts w:cs="Arial" w:hint="cs"/>
          <w:sz w:val="16"/>
          <w:szCs w:val="16"/>
          <w:rtl/>
        </w:rPr>
        <w:t xml:space="preserve">) </w:t>
      </w:r>
      <w:r>
        <w:rPr>
          <w:rFonts w:cs="Arial" w:hint="cs"/>
          <w:rtl/>
        </w:rPr>
        <w:t>ו</w:t>
      </w:r>
      <w:r>
        <w:rPr>
          <w:rFonts w:cs="Arial"/>
          <w:rtl/>
        </w:rPr>
        <w:t>או"ה</w:t>
      </w:r>
      <w:r w:rsidRPr="004C0F77">
        <w:rPr>
          <w:rFonts w:cs="Arial"/>
          <w:rtl/>
        </w:rPr>
        <w:t xml:space="preserve"> </w:t>
      </w:r>
      <w:r w:rsidRPr="004C0F77">
        <w:rPr>
          <w:rFonts w:cs="Arial"/>
          <w:sz w:val="16"/>
          <w:szCs w:val="16"/>
          <w:rtl/>
        </w:rPr>
        <w:t>(כלל מג ד</w:t>
      </w:r>
      <w:r w:rsidRPr="004C0F77">
        <w:rPr>
          <w:rFonts w:cs="Arial" w:hint="cs"/>
          <w:sz w:val="16"/>
          <w:szCs w:val="16"/>
          <w:rtl/>
        </w:rPr>
        <w:t>"</w:t>
      </w:r>
      <w:r w:rsidRPr="004C0F77">
        <w:rPr>
          <w:rFonts w:cs="Arial"/>
          <w:sz w:val="16"/>
          <w:szCs w:val="16"/>
          <w:rtl/>
        </w:rPr>
        <w:t>ז)</w:t>
      </w:r>
      <w:r w:rsidRPr="004C0F77">
        <w:rPr>
          <w:rFonts w:cs="Arial" w:hint="cs"/>
          <w:rtl/>
        </w:rPr>
        <w:t xml:space="preserve">- </w:t>
      </w:r>
      <w:r w:rsidRPr="004C0F77">
        <w:rPr>
          <w:rFonts w:cs="Arial"/>
          <w:rtl/>
        </w:rPr>
        <w:t>פת של גוים שנתערב בטל ברובא בעלמא</w:t>
      </w:r>
      <w:r>
        <w:rPr>
          <w:rFonts w:cs="Arial" w:hint="cs"/>
          <w:rtl/>
        </w:rPr>
        <w:t>,</w:t>
      </w:r>
      <w:r w:rsidRPr="004C0F77">
        <w:rPr>
          <w:rFonts w:cs="Arial"/>
          <w:rtl/>
        </w:rPr>
        <w:t xml:space="preserve"> בין לח בין יבש בין דבר חשוב בין אינו חשוב</w:t>
      </w:r>
      <w:r>
        <w:rPr>
          <w:rFonts w:cs="Arial" w:hint="cs"/>
          <w:rtl/>
        </w:rPr>
        <w:t>,</w:t>
      </w:r>
      <w:r w:rsidRPr="00BE6670">
        <w:rPr>
          <w:rFonts w:cs="Arial"/>
          <w:rtl/>
        </w:rPr>
        <w:t xml:space="preserve"> אבל אסור לערבו לכתחלה</w:t>
      </w:r>
      <w:r>
        <w:rPr>
          <w:rStyle w:val="a7"/>
          <w:rFonts w:cs="Arial"/>
          <w:rtl/>
        </w:rPr>
        <w:footnoteReference w:id="2694"/>
      </w:r>
      <w:r w:rsidRPr="00BE6670">
        <w:rPr>
          <w:rFonts w:cs="Arial"/>
          <w:rtl/>
        </w:rPr>
        <w:t xml:space="preserve">. </w:t>
      </w:r>
      <w:r w:rsidRPr="00BE6670">
        <w:rPr>
          <w:rFonts w:cs="Arial" w:hint="cs"/>
          <w:color w:val="00B0F0"/>
          <w:rtl/>
        </w:rPr>
        <w:t>(וכ"פ הרמ"א)</w:t>
      </w:r>
    </w:p>
    <w:p w14:paraId="7A3B7FB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79F1D0B" w14:textId="77777777" w:rsidR="002C39F4" w:rsidRDefault="002C39F4" w:rsidP="002C39F4">
      <w:pPr>
        <w:rPr>
          <w:rFonts w:asciiTheme="minorBidi" w:hAnsiTheme="minorBidi"/>
          <w:rtl/>
        </w:rPr>
      </w:pPr>
      <w:r w:rsidRPr="003024E5">
        <w:rPr>
          <w:rFonts w:asciiTheme="minorBidi" w:hAnsiTheme="minorBidi"/>
          <w:rtl/>
        </w:rPr>
        <w:t xml:space="preserve">כותח של </w:t>
      </w:r>
      <w:r>
        <w:rPr>
          <w:rFonts w:asciiTheme="minorBidi" w:hAnsiTheme="minorBidi"/>
          <w:rtl/>
        </w:rPr>
        <w:t>גוי</w:t>
      </w:r>
      <w:r w:rsidRPr="003024E5">
        <w:rPr>
          <w:rFonts w:asciiTheme="minorBidi" w:hAnsiTheme="minorBidi"/>
          <w:rtl/>
        </w:rPr>
        <w:t xml:space="preserve"> מותר, ואין חוששין לפת </w:t>
      </w:r>
      <w:r>
        <w:rPr>
          <w:rFonts w:asciiTheme="minorBidi" w:hAnsiTheme="minorBidi"/>
          <w:rtl/>
        </w:rPr>
        <w:t>גוי</w:t>
      </w:r>
      <w:r w:rsidRPr="003024E5">
        <w:rPr>
          <w:rFonts w:asciiTheme="minorBidi" w:hAnsiTheme="minorBidi"/>
          <w:rtl/>
        </w:rPr>
        <w:t xml:space="preserve"> שבו. </w:t>
      </w:r>
      <w:r w:rsidRPr="0050419D">
        <w:rPr>
          <w:rFonts w:asciiTheme="minorBidi" w:hAnsiTheme="minorBidi"/>
          <w:sz w:val="18"/>
          <w:szCs w:val="18"/>
          <w:rtl/>
        </w:rPr>
        <w:t xml:space="preserve">הגה: וכן כל מקום שנתערבה פת של </w:t>
      </w:r>
      <w:r>
        <w:rPr>
          <w:rFonts w:asciiTheme="minorBidi" w:hAnsiTheme="minorBidi"/>
          <w:sz w:val="18"/>
          <w:szCs w:val="18"/>
          <w:rtl/>
        </w:rPr>
        <w:t>גוי</w:t>
      </w:r>
      <w:r w:rsidRPr="0050419D">
        <w:rPr>
          <w:rFonts w:asciiTheme="minorBidi" w:hAnsiTheme="minorBidi"/>
          <w:sz w:val="18"/>
          <w:szCs w:val="18"/>
          <w:rtl/>
        </w:rPr>
        <w:t xml:space="preserve"> בשאר מ</w:t>
      </w:r>
      <w:r>
        <w:rPr>
          <w:rFonts w:asciiTheme="minorBidi" w:hAnsiTheme="minorBidi"/>
          <w:sz w:val="18"/>
          <w:szCs w:val="18"/>
          <w:rtl/>
        </w:rPr>
        <w:t>אכל, בטל ברוב, בין בלח בין ביבש</w:t>
      </w:r>
      <w:r>
        <w:rPr>
          <w:rStyle w:val="a7"/>
          <w:rFonts w:asciiTheme="minorBidi" w:hAnsiTheme="minorBidi"/>
          <w:sz w:val="18"/>
          <w:szCs w:val="18"/>
          <w:rtl/>
        </w:rPr>
        <w:footnoteReference w:id="2695"/>
      </w:r>
      <w:r>
        <w:rPr>
          <w:rFonts w:asciiTheme="minorBidi" w:hAnsiTheme="minorBidi" w:hint="cs"/>
          <w:sz w:val="18"/>
          <w:szCs w:val="18"/>
          <w:rtl/>
        </w:rPr>
        <w:t>,</w:t>
      </w:r>
      <w:r w:rsidRPr="0050419D">
        <w:rPr>
          <w:rFonts w:asciiTheme="minorBidi" w:hAnsiTheme="minorBidi"/>
          <w:sz w:val="18"/>
          <w:szCs w:val="18"/>
          <w:rtl/>
        </w:rPr>
        <w:t xml:space="preserve"> אבל אסור לערב כדי לאכלו (ארוך). </w:t>
      </w:r>
    </w:p>
    <w:p w14:paraId="0E2A0431" w14:textId="77777777" w:rsidR="002C39F4" w:rsidRDefault="002C39F4" w:rsidP="002C39F4">
      <w:pPr>
        <w:rPr>
          <w:rFonts w:asciiTheme="minorBidi" w:hAnsiTheme="minorBidi" w:cs="Arial"/>
          <w:rtl/>
        </w:rPr>
      </w:pPr>
      <w:r w:rsidRPr="00B665E9">
        <w:rPr>
          <w:rFonts w:asciiTheme="minorBidi" w:hAnsiTheme="minorBidi" w:hint="cs"/>
          <w:u w:val="single"/>
          <w:rtl/>
        </w:rPr>
        <w:t xml:space="preserve">תבשיל של גוי שנתערב במיעוט ונפל לתבשיל אחר </w:t>
      </w:r>
      <w:r w:rsidRPr="00B665E9">
        <w:rPr>
          <w:rFonts w:asciiTheme="minorBidi" w:hAnsiTheme="minorBidi"/>
          <w:u w:val="single"/>
          <w:rtl/>
        </w:rPr>
        <w:t>–</w:t>
      </w:r>
      <w:r w:rsidRPr="00B665E9">
        <w:rPr>
          <w:rFonts w:asciiTheme="minorBidi" w:hAnsiTheme="minorBidi" w:hint="cs"/>
          <w:u w:val="single"/>
          <w:rtl/>
        </w:rPr>
        <w:t xml:space="preserve"> האם אמרינן בזה חנ"נ:</w:t>
      </w:r>
      <w:r>
        <w:rPr>
          <w:rFonts w:asciiTheme="minorBidi" w:hAnsiTheme="minorBidi" w:cs="Arial" w:hint="cs"/>
          <w:rtl/>
        </w:rPr>
        <w:t xml:space="preserve">   </w:t>
      </w:r>
      <w:r w:rsidRPr="00B665E9">
        <w:rPr>
          <w:rFonts w:asciiTheme="minorBidi" w:hAnsiTheme="minorBidi" w:cs="Arial"/>
          <w:sz w:val="16"/>
          <w:szCs w:val="16"/>
          <w:rtl/>
        </w:rPr>
        <w:t>(</w:t>
      </w:r>
      <w:r w:rsidRPr="00B665E9">
        <w:rPr>
          <w:rFonts w:asciiTheme="minorBidi" w:hAnsiTheme="minorBidi" w:cs="Arial" w:hint="cs"/>
          <w:sz w:val="16"/>
          <w:szCs w:val="16"/>
          <w:rtl/>
        </w:rPr>
        <w:t>פת"ש סק"</w:t>
      </w:r>
      <w:r w:rsidRPr="00B665E9">
        <w:rPr>
          <w:rFonts w:asciiTheme="minorBidi" w:hAnsiTheme="minorBidi" w:cs="Arial"/>
          <w:sz w:val="16"/>
          <w:szCs w:val="16"/>
          <w:rtl/>
        </w:rPr>
        <w:t>ה)</w:t>
      </w:r>
      <w:r w:rsidRPr="00B665E9">
        <w:rPr>
          <w:rFonts w:asciiTheme="minorBidi" w:hAnsiTheme="minorBidi" w:cs="Arial"/>
          <w:rtl/>
        </w:rPr>
        <w:t xml:space="preserve"> </w:t>
      </w:r>
    </w:p>
    <w:p w14:paraId="7CEF936E" w14:textId="77777777" w:rsidR="002C39F4" w:rsidRPr="00B665E9" w:rsidRDefault="002C39F4" w:rsidP="0032102C">
      <w:pPr>
        <w:pStyle w:val="a8"/>
        <w:numPr>
          <w:ilvl w:val="0"/>
          <w:numId w:val="296"/>
        </w:numPr>
        <w:rPr>
          <w:rFonts w:asciiTheme="minorBidi" w:hAnsiTheme="minorBidi"/>
          <w:u w:val="single"/>
        </w:rPr>
      </w:pPr>
      <w:r w:rsidRPr="00B665E9">
        <w:rPr>
          <w:rFonts w:asciiTheme="minorBidi" w:hAnsiTheme="minorBidi" w:cs="Arial"/>
          <w:rtl/>
        </w:rPr>
        <w:t xml:space="preserve">פמ"ג </w:t>
      </w:r>
      <w:r w:rsidRPr="00B665E9">
        <w:rPr>
          <w:rFonts w:asciiTheme="minorBidi" w:hAnsiTheme="minorBidi" w:cs="Arial" w:hint="cs"/>
          <w:sz w:val="16"/>
          <w:szCs w:val="16"/>
          <w:rtl/>
        </w:rPr>
        <w:t>(</w:t>
      </w:r>
      <w:r w:rsidRPr="00B665E9">
        <w:rPr>
          <w:rFonts w:asciiTheme="minorBidi" w:hAnsiTheme="minorBidi" w:cs="Arial"/>
          <w:sz w:val="16"/>
          <w:szCs w:val="16"/>
          <w:rtl/>
        </w:rPr>
        <w:t xml:space="preserve">או"ח בהנהגת הוראת או"ה סדר </w:t>
      </w:r>
      <w:r w:rsidRPr="00B665E9">
        <w:rPr>
          <w:rFonts w:asciiTheme="minorBidi" w:hAnsiTheme="minorBidi" w:cs="Arial" w:hint="cs"/>
          <w:sz w:val="16"/>
          <w:szCs w:val="16"/>
          <w:rtl/>
        </w:rPr>
        <w:t>ג'</w:t>
      </w:r>
      <w:r w:rsidRPr="00B665E9">
        <w:rPr>
          <w:rFonts w:asciiTheme="minorBidi" w:hAnsiTheme="minorBidi" w:cs="Arial"/>
          <w:sz w:val="16"/>
          <w:szCs w:val="16"/>
          <w:rtl/>
        </w:rPr>
        <w:t xml:space="preserve"> אות לז</w:t>
      </w:r>
      <w:r w:rsidRPr="00B665E9">
        <w:rPr>
          <w:rFonts w:asciiTheme="minorBidi" w:hAnsiTheme="minorBidi" w:cs="Arial" w:hint="cs"/>
          <w:sz w:val="16"/>
          <w:szCs w:val="16"/>
          <w:rtl/>
        </w:rPr>
        <w:t>)</w:t>
      </w:r>
      <w:r>
        <w:rPr>
          <w:rFonts w:asciiTheme="minorBidi" w:hAnsiTheme="minorBidi" w:cs="Arial" w:hint="cs"/>
          <w:rtl/>
        </w:rPr>
        <w:t>-</w:t>
      </w:r>
      <w:r w:rsidRPr="00B665E9">
        <w:rPr>
          <w:rFonts w:asciiTheme="minorBidi" w:hAnsiTheme="minorBidi" w:cs="Arial"/>
          <w:rtl/>
        </w:rPr>
        <w:t xml:space="preserve"> מסתברא דפת </w:t>
      </w:r>
      <w:r>
        <w:rPr>
          <w:rFonts w:asciiTheme="minorBidi" w:hAnsiTheme="minorBidi" w:cs="Arial" w:hint="cs"/>
          <w:rtl/>
        </w:rPr>
        <w:t>גוים</w:t>
      </w:r>
      <w:r w:rsidRPr="00B665E9">
        <w:rPr>
          <w:rFonts w:asciiTheme="minorBidi" w:hAnsiTheme="minorBidi" w:cs="Arial"/>
          <w:rtl/>
        </w:rPr>
        <w:t xml:space="preserve"> ובשולי </w:t>
      </w:r>
      <w:r>
        <w:rPr>
          <w:rFonts w:asciiTheme="minorBidi" w:hAnsiTheme="minorBidi" w:cs="Arial" w:hint="cs"/>
          <w:rtl/>
        </w:rPr>
        <w:t>גוים</w:t>
      </w:r>
      <w:r w:rsidRPr="00B665E9">
        <w:rPr>
          <w:rFonts w:asciiTheme="minorBidi" w:hAnsiTheme="minorBidi" w:cs="Arial"/>
          <w:rtl/>
        </w:rPr>
        <w:t xml:space="preserve"> וחמאה שלהם שנתערב לפחות מרוב ונאסר ואח"כ נפל לתבשיל אחר אין אומרים בו חנ"נ להצריך רוב נגד כל מה שנאסר בתחלה</w:t>
      </w:r>
      <w:r>
        <w:rPr>
          <w:rFonts w:asciiTheme="minorBidi" w:hAnsiTheme="minorBidi" w:cs="Arial" w:hint="cs"/>
          <w:rtl/>
        </w:rPr>
        <w:t>,</w:t>
      </w:r>
      <w:r w:rsidRPr="00B665E9">
        <w:rPr>
          <w:rFonts w:asciiTheme="minorBidi" w:hAnsiTheme="minorBidi" w:cs="Arial"/>
          <w:rtl/>
        </w:rPr>
        <w:t xml:space="preserve"> אע</w:t>
      </w:r>
      <w:r>
        <w:rPr>
          <w:rFonts w:asciiTheme="minorBidi" w:hAnsiTheme="minorBidi" w:cs="Arial" w:hint="cs"/>
          <w:rtl/>
        </w:rPr>
        <w:t>"</w:t>
      </w:r>
      <w:r w:rsidRPr="00B665E9">
        <w:rPr>
          <w:rFonts w:asciiTheme="minorBidi" w:hAnsiTheme="minorBidi" w:cs="Arial"/>
          <w:rtl/>
        </w:rPr>
        <w:t>ג דבשאר איסורי דרבנן אומרים חנ"נ ואף איסור דבוק כדמוכח בסי' עב בלב ושאר דוכתי משום לתא דבב"ח באלו שהקילו דא"צ ששים לא מיחלף בבשר בחלב</w:t>
      </w:r>
      <w:r>
        <w:rPr>
          <w:rFonts w:asciiTheme="minorBidi" w:hAnsiTheme="minorBidi" w:cs="Arial" w:hint="cs"/>
          <w:rtl/>
        </w:rPr>
        <w:t>.</w:t>
      </w:r>
    </w:p>
    <w:p w14:paraId="0DF7D5AE" w14:textId="77777777" w:rsidR="002C39F4" w:rsidRPr="00B665E9" w:rsidRDefault="002C39F4" w:rsidP="002C39F4">
      <w:pPr>
        <w:rPr>
          <w:rFonts w:asciiTheme="minorBidi" w:hAnsiTheme="minorBidi"/>
          <w:u w:val="single"/>
          <w:rtl/>
        </w:rPr>
      </w:pPr>
    </w:p>
    <w:p w14:paraId="77CD2B48" w14:textId="77777777" w:rsidR="002C39F4" w:rsidRDefault="002C39F4" w:rsidP="002C39F4">
      <w:pPr>
        <w:pStyle w:val="2"/>
        <w:rPr>
          <w:rFonts w:asciiTheme="minorBidi" w:hAnsiTheme="minorBidi"/>
          <w:rtl/>
        </w:rPr>
      </w:pPr>
      <w:r w:rsidRPr="003024E5">
        <w:rPr>
          <w:rFonts w:asciiTheme="minorBidi" w:hAnsiTheme="minorBidi"/>
          <w:rtl/>
        </w:rPr>
        <w:t>סעיף טו</w:t>
      </w:r>
      <w:r>
        <w:rPr>
          <w:rFonts w:asciiTheme="minorBidi" w:hAnsiTheme="minorBidi" w:hint="cs"/>
          <w:rtl/>
        </w:rPr>
        <w:t xml:space="preserve">: </w:t>
      </w:r>
      <w:r>
        <w:rPr>
          <w:rFonts w:cs="Arial" w:hint="cs"/>
          <w:rtl/>
        </w:rPr>
        <w:t xml:space="preserve">ב' אנשים אוכלים בקערה אחת - וא' נזהר מפת עכו"ם וא' לא. </w:t>
      </w:r>
    </w:p>
    <w:p w14:paraId="15025668" w14:textId="77777777" w:rsidR="002C39F4" w:rsidRDefault="002C39F4" w:rsidP="002C39F4">
      <w:pPr>
        <w:rPr>
          <w:rFonts w:cs="Arial"/>
          <w:rtl/>
        </w:rPr>
      </w:pPr>
      <w:r w:rsidRPr="00DF5B87">
        <w:rPr>
          <w:rFonts w:cs="Arial" w:hint="cs"/>
          <w:u w:val="single"/>
          <w:rtl/>
        </w:rPr>
        <w:t xml:space="preserve">ב' אנשים, א' נזהר מפת </w:t>
      </w:r>
      <w:r>
        <w:rPr>
          <w:rFonts w:cs="Arial" w:hint="cs"/>
          <w:u w:val="single"/>
          <w:rtl/>
        </w:rPr>
        <w:t>גוי</w:t>
      </w:r>
      <w:r w:rsidRPr="00DF5B87">
        <w:rPr>
          <w:rFonts w:cs="Arial" w:hint="cs"/>
          <w:u w:val="single"/>
          <w:rtl/>
        </w:rPr>
        <w:t xml:space="preserve"> וא' לא</w:t>
      </w:r>
      <w:r>
        <w:rPr>
          <w:rFonts w:cs="Arial" w:hint="cs"/>
          <w:u w:val="single"/>
          <w:rtl/>
        </w:rPr>
        <w:t xml:space="preserve"> -</w:t>
      </w:r>
      <w:r w:rsidRPr="00DF5B87">
        <w:rPr>
          <w:rFonts w:cs="Arial" w:hint="cs"/>
          <w:u w:val="single"/>
          <w:rtl/>
        </w:rPr>
        <w:t xml:space="preserve"> מהו לאכול בקערה אחת:</w:t>
      </w:r>
    </w:p>
    <w:p w14:paraId="15B980F7" w14:textId="77777777" w:rsidR="002C39F4" w:rsidRDefault="002C39F4" w:rsidP="0032102C">
      <w:pPr>
        <w:pStyle w:val="a8"/>
        <w:numPr>
          <w:ilvl w:val="0"/>
          <w:numId w:val="277"/>
        </w:numPr>
        <w:rPr>
          <w:rFonts w:cs="Arial"/>
        </w:rPr>
      </w:pPr>
      <w:r w:rsidRPr="00DF5B87">
        <w:rPr>
          <w:rFonts w:cs="Arial"/>
          <w:rtl/>
        </w:rPr>
        <w:t>ר"י</w:t>
      </w:r>
      <w:r>
        <w:rPr>
          <w:rFonts w:hint="cs"/>
          <w:rtl/>
        </w:rPr>
        <w:t xml:space="preserve"> </w:t>
      </w:r>
      <w:r w:rsidRPr="00DF5B87">
        <w:rPr>
          <w:rFonts w:hint="cs"/>
          <w:sz w:val="16"/>
          <w:szCs w:val="16"/>
          <w:rtl/>
        </w:rPr>
        <w:t>(</w:t>
      </w:r>
      <w:r w:rsidRPr="00DF5B87">
        <w:rPr>
          <w:rFonts w:cs="Arial"/>
          <w:sz w:val="16"/>
          <w:szCs w:val="16"/>
          <w:rtl/>
        </w:rPr>
        <w:t>תו</w:t>
      </w:r>
      <w:r w:rsidRPr="00DF5B87">
        <w:rPr>
          <w:rFonts w:cs="Arial" w:hint="cs"/>
          <w:sz w:val="16"/>
          <w:szCs w:val="16"/>
          <w:rtl/>
        </w:rPr>
        <w:t>ס'</w:t>
      </w:r>
      <w:r w:rsidRPr="00DF5B87">
        <w:rPr>
          <w:rFonts w:cs="Arial"/>
          <w:sz w:val="16"/>
          <w:szCs w:val="16"/>
          <w:rtl/>
        </w:rPr>
        <w:t xml:space="preserve"> </w:t>
      </w:r>
      <w:r w:rsidRPr="00DF5B87">
        <w:rPr>
          <w:rFonts w:cs="Arial" w:hint="cs"/>
          <w:sz w:val="16"/>
          <w:szCs w:val="16"/>
          <w:rtl/>
        </w:rPr>
        <w:t xml:space="preserve">ע"ז </w:t>
      </w:r>
      <w:r w:rsidRPr="00DF5B87">
        <w:rPr>
          <w:rFonts w:cs="Arial"/>
          <w:sz w:val="16"/>
          <w:szCs w:val="16"/>
          <w:rtl/>
        </w:rPr>
        <w:t xml:space="preserve">לה: ד"ה מכלל) </w:t>
      </w:r>
      <w:r w:rsidRPr="00DF5B87">
        <w:rPr>
          <w:rFonts w:cs="Arial"/>
          <w:rtl/>
        </w:rPr>
        <w:t xml:space="preserve">מרדכי </w:t>
      </w:r>
      <w:r w:rsidRPr="00DF5B87">
        <w:rPr>
          <w:rFonts w:cs="Arial" w:hint="cs"/>
          <w:sz w:val="16"/>
          <w:szCs w:val="16"/>
          <w:rtl/>
        </w:rPr>
        <w:t>(</w:t>
      </w:r>
      <w:r w:rsidRPr="00DF5B87">
        <w:rPr>
          <w:rFonts w:cs="Arial"/>
          <w:sz w:val="16"/>
          <w:szCs w:val="16"/>
          <w:rtl/>
        </w:rPr>
        <w:t>חולין סי' תקצ)</w:t>
      </w:r>
      <w:r w:rsidRPr="00DF5B87">
        <w:rPr>
          <w:rFonts w:cs="Arial" w:hint="cs"/>
          <w:sz w:val="16"/>
          <w:szCs w:val="16"/>
          <w:rtl/>
        </w:rPr>
        <w:t xml:space="preserve"> </w:t>
      </w:r>
      <w:r w:rsidRPr="00DF5B87">
        <w:rPr>
          <w:rFonts w:cs="Arial" w:hint="cs"/>
          <w:rtl/>
        </w:rPr>
        <w:t>וטור-</w:t>
      </w:r>
      <w:r w:rsidRPr="00DF5B87">
        <w:rPr>
          <w:rFonts w:cs="Arial"/>
          <w:rtl/>
        </w:rPr>
        <w:t xml:space="preserve"> מי שנזהר מפת של </w:t>
      </w:r>
      <w:r>
        <w:rPr>
          <w:rFonts w:cs="Arial" w:hint="cs"/>
          <w:rtl/>
        </w:rPr>
        <w:t>גוים</w:t>
      </w:r>
      <w:r w:rsidRPr="00DF5B87">
        <w:rPr>
          <w:rFonts w:cs="Arial"/>
          <w:rtl/>
        </w:rPr>
        <w:t xml:space="preserve"> מותר לאכול עם מי שאינו נזהר בקערה אחת אע</w:t>
      </w:r>
      <w:r w:rsidRPr="00DF5B87">
        <w:rPr>
          <w:rFonts w:cs="Arial" w:hint="cs"/>
          <w:rtl/>
        </w:rPr>
        <w:t>"</w:t>
      </w:r>
      <w:r w:rsidRPr="00DF5B87">
        <w:rPr>
          <w:rFonts w:cs="Arial"/>
          <w:rtl/>
        </w:rPr>
        <w:t xml:space="preserve">פ שטעם פת </w:t>
      </w:r>
      <w:r>
        <w:rPr>
          <w:rFonts w:cs="Arial" w:hint="cs"/>
          <w:rtl/>
        </w:rPr>
        <w:t>גוים</w:t>
      </w:r>
      <w:r w:rsidRPr="00DF5B87">
        <w:rPr>
          <w:rFonts w:cs="Arial"/>
          <w:rtl/>
        </w:rPr>
        <w:t xml:space="preserve"> מתערב בפת ישראל</w:t>
      </w:r>
      <w:r>
        <w:rPr>
          <w:rFonts w:cs="Arial" w:hint="cs"/>
          <w:rtl/>
        </w:rPr>
        <w:t>,</w:t>
      </w:r>
      <w:r w:rsidRPr="00DF5B87">
        <w:rPr>
          <w:rFonts w:cs="Arial"/>
          <w:rtl/>
        </w:rPr>
        <w:t xml:space="preserve"> דאין להחמיר לאסור ע"י תערובת כדאמר בפ"ק דחולין </w:t>
      </w:r>
      <w:r w:rsidRPr="00DF5B87">
        <w:rPr>
          <w:rFonts w:cs="Arial"/>
          <w:sz w:val="16"/>
          <w:szCs w:val="16"/>
          <w:rtl/>
        </w:rPr>
        <w:t xml:space="preserve">(דף ו.) </w:t>
      </w:r>
      <w:r w:rsidRPr="00DF5B87">
        <w:rPr>
          <w:rFonts w:cs="Arial"/>
          <w:rtl/>
        </w:rPr>
        <w:t>דלא גזרו על תערובת דמאי</w:t>
      </w:r>
      <w:r w:rsidRPr="00DF5B87">
        <w:rPr>
          <w:rFonts w:cs="Arial" w:hint="cs"/>
          <w:rtl/>
        </w:rPr>
        <w:t>,</w:t>
      </w:r>
      <w:r w:rsidRPr="00DF5B87">
        <w:rPr>
          <w:rFonts w:cs="Arial"/>
          <w:rtl/>
        </w:rPr>
        <w:t xml:space="preserve"> וכה"ג במנא </w:t>
      </w:r>
      <w:r>
        <w:rPr>
          <w:rFonts w:cs="Arial" w:hint="cs"/>
          <w:rtl/>
        </w:rPr>
        <w:t>דגוים</w:t>
      </w:r>
      <w:r w:rsidRPr="00DF5B87">
        <w:rPr>
          <w:rFonts w:cs="Arial"/>
          <w:rtl/>
        </w:rPr>
        <w:t xml:space="preserve"> שרי דליתיה לפת בעיניה דלא גזרו אלא היכא דאיתא בעיניה</w:t>
      </w:r>
      <w:r w:rsidRPr="00DF5B87">
        <w:rPr>
          <w:rFonts w:cs="Arial" w:hint="cs"/>
          <w:sz w:val="16"/>
          <w:szCs w:val="16"/>
          <w:rtl/>
        </w:rPr>
        <w:t xml:space="preserve"> (ל' התוס')</w:t>
      </w:r>
      <w:r w:rsidRPr="00DF5B87">
        <w:rPr>
          <w:rFonts w:cs="Arial"/>
          <w:rtl/>
        </w:rPr>
        <w:t>.</w:t>
      </w:r>
      <w:r w:rsidRPr="00311C67">
        <w:rPr>
          <w:rFonts w:cs="Arial" w:hint="cs"/>
          <w:color w:val="E36C0A" w:themeColor="accent6" w:themeShade="BF"/>
          <w:rtl/>
        </w:rPr>
        <w:t xml:space="preserve"> </w:t>
      </w:r>
      <w:r w:rsidRPr="00333F58">
        <w:rPr>
          <w:rFonts w:cs="Arial" w:hint="cs"/>
          <w:color w:val="E36C0A" w:themeColor="accent6" w:themeShade="BF"/>
          <w:rtl/>
        </w:rPr>
        <w:t>(וכ"</w:t>
      </w:r>
      <w:r>
        <w:rPr>
          <w:rFonts w:cs="Arial" w:hint="cs"/>
          <w:color w:val="E36C0A" w:themeColor="accent6" w:themeShade="BF"/>
          <w:rtl/>
        </w:rPr>
        <w:t>פ</w:t>
      </w:r>
      <w:r w:rsidRPr="00333F58">
        <w:rPr>
          <w:rFonts w:cs="Arial" w:hint="cs"/>
          <w:color w:val="E36C0A" w:themeColor="accent6" w:themeShade="BF"/>
          <w:rtl/>
        </w:rPr>
        <w:t xml:space="preserve"> בשו"ע)</w:t>
      </w:r>
    </w:p>
    <w:p w14:paraId="08954B84" w14:textId="77777777" w:rsidR="002C39F4" w:rsidRDefault="002C39F4" w:rsidP="0032102C">
      <w:pPr>
        <w:pStyle w:val="a8"/>
        <w:numPr>
          <w:ilvl w:val="0"/>
          <w:numId w:val="277"/>
        </w:numPr>
        <w:rPr>
          <w:rFonts w:cs="Arial"/>
        </w:rPr>
      </w:pPr>
      <w:r w:rsidRPr="004C0F77">
        <w:rPr>
          <w:rFonts w:cs="Arial" w:hint="cs"/>
          <w:rtl/>
        </w:rPr>
        <w:t>הגשע"ד</w:t>
      </w:r>
      <w:r w:rsidRPr="004C0F77">
        <w:rPr>
          <w:rFonts w:cs="Arial"/>
          <w:rtl/>
        </w:rPr>
        <w:t xml:space="preserve"> </w:t>
      </w:r>
      <w:r w:rsidRPr="004C0F77">
        <w:rPr>
          <w:rFonts w:cs="Arial"/>
          <w:sz w:val="16"/>
          <w:szCs w:val="16"/>
          <w:rtl/>
        </w:rPr>
        <w:t>(</w:t>
      </w:r>
      <w:r>
        <w:rPr>
          <w:rFonts w:cs="Arial" w:hint="cs"/>
          <w:sz w:val="16"/>
          <w:szCs w:val="16"/>
          <w:rtl/>
        </w:rPr>
        <w:t>[שם] להב' הדרכ"מ</w:t>
      </w:r>
      <w:r>
        <w:rPr>
          <w:rStyle w:val="a7"/>
          <w:rFonts w:cs="Arial"/>
          <w:rtl/>
        </w:rPr>
        <w:footnoteReference w:id="2696"/>
      </w:r>
      <w:r w:rsidRPr="004C0F77">
        <w:rPr>
          <w:rFonts w:cs="Arial"/>
          <w:sz w:val="16"/>
          <w:szCs w:val="16"/>
          <w:rtl/>
        </w:rPr>
        <w:t>)</w:t>
      </w:r>
      <w:r>
        <w:rPr>
          <w:rFonts w:cs="Arial" w:hint="cs"/>
          <w:rtl/>
        </w:rPr>
        <w:t>- אסור לכתחילה, ובדיעבד מותר.</w:t>
      </w:r>
    </w:p>
    <w:p w14:paraId="627EBAE0" w14:textId="77777777" w:rsidR="002C39F4" w:rsidRPr="00DF5B87" w:rsidRDefault="002C39F4" w:rsidP="002C39F4">
      <w:pPr>
        <w:rPr>
          <w:rFonts w:cs="Arial"/>
          <w:u w:val="single"/>
        </w:rPr>
      </w:pPr>
      <w:r>
        <w:rPr>
          <w:rFonts w:cs="Arial" w:hint="cs"/>
          <w:u w:val="single"/>
          <w:rtl/>
        </w:rPr>
        <w:t xml:space="preserve">אכילת פת גוי משום איבה: </w:t>
      </w:r>
    </w:p>
    <w:p w14:paraId="32D41EDC" w14:textId="77777777" w:rsidR="002C39F4" w:rsidRPr="00DF5B87" w:rsidRDefault="002C39F4" w:rsidP="0032102C">
      <w:pPr>
        <w:pStyle w:val="a8"/>
        <w:numPr>
          <w:ilvl w:val="0"/>
          <w:numId w:val="277"/>
        </w:numPr>
        <w:rPr>
          <w:rFonts w:cs="Arial"/>
          <w:rtl/>
        </w:rPr>
      </w:pPr>
      <w:r w:rsidRPr="00DF5B87">
        <w:rPr>
          <w:rFonts w:cs="Arial"/>
          <w:rtl/>
        </w:rPr>
        <w:t xml:space="preserve">מהרי"ל </w:t>
      </w:r>
      <w:r w:rsidRPr="00DF5B87">
        <w:rPr>
          <w:rFonts w:cs="Arial"/>
          <w:sz w:val="16"/>
          <w:szCs w:val="16"/>
          <w:rtl/>
        </w:rPr>
        <w:t>(שו"ת סי' לה</w:t>
      </w:r>
      <w:r w:rsidRPr="00DF5B87">
        <w:rPr>
          <w:rFonts w:cs="Arial" w:hint="cs"/>
          <w:sz w:val="16"/>
          <w:szCs w:val="16"/>
          <w:rtl/>
        </w:rPr>
        <w:t>, הביאו הב"י בשם תשו' אשכנזית</w:t>
      </w:r>
      <w:r w:rsidRPr="00DF5B87">
        <w:rPr>
          <w:rFonts w:cs="Arial"/>
          <w:sz w:val="16"/>
          <w:szCs w:val="16"/>
          <w:rtl/>
        </w:rPr>
        <w:t xml:space="preserve">) </w:t>
      </w:r>
      <w:r w:rsidRPr="00DF5B87">
        <w:rPr>
          <w:rFonts w:cs="Arial"/>
          <w:rtl/>
        </w:rPr>
        <w:t>בשם רבינו שמחה</w:t>
      </w:r>
      <w:r w:rsidRPr="00DF5B87">
        <w:rPr>
          <w:rFonts w:cs="Arial" w:hint="cs"/>
          <w:rtl/>
        </w:rPr>
        <w:t>-</w:t>
      </w:r>
      <w:r w:rsidRPr="00DF5B87">
        <w:rPr>
          <w:rFonts w:cs="Arial"/>
          <w:rtl/>
        </w:rPr>
        <w:t xml:space="preserve"> מותר לאכול פת של גוי לנזהר עם שאינם נזהרים משום איבה</w:t>
      </w:r>
      <w:r>
        <w:rPr>
          <w:rStyle w:val="a7"/>
          <w:rFonts w:cs="Arial"/>
          <w:rtl/>
        </w:rPr>
        <w:footnoteReference w:id="2697"/>
      </w:r>
      <w:r w:rsidRPr="00DF5B87">
        <w:rPr>
          <w:rFonts w:cs="Arial" w:hint="cs"/>
          <w:rtl/>
        </w:rPr>
        <w:t>, ו</w:t>
      </w:r>
      <w:r w:rsidRPr="00DF5B87">
        <w:rPr>
          <w:rFonts w:cs="Arial"/>
          <w:rtl/>
        </w:rPr>
        <w:t>היינו דוקא בפת שהוא עיקר הסעודה ואם כולם אוכלים והוא אינו אוכל איכא איבה</w:t>
      </w:r>
      <w:r w:rsidRPr="00DF5B87">
        <w:rPr>
          <w:rFonts w:cs="Arial" w:hint="cs"/>
          <w:rtl/>
        </w:rPr>
        <w:t>,</w:t>
      </w:r>
      <w:r w:rsidRPr="00DF5B87">
        <w:rPr>
          <w:rFonts w:cs="Arial"/>
          <w:rtl/>
        </w:rPr>
        <w:t xml:space="preserve"> אבל מי שנהג איסור בחמאה של גוים וכיוצא בה אסור לו לאכלם עם מי שאינו נזהר ממנה</w:t>
      </w:r>
      <w:r w:rsidRPr="00DF5B87">
        <w:rPr>
          <w:rFonts w:cs="Arial" w:hint="cs"/>
          <w:rtl/>
        </w:rPr>
        <w:t>,</w:t>
      </w:r>
      <w:r w:rsidRPr="00DF5B87">
        <w:rPr>
          <w:rFonts w:cs="Arial"/>
          <w:rtl/>
        </w:rPr>
        <w:t xml:space="preserve"> דכמה איכא בשוקא שאין נפשם תאבה לאכול חמאה</w:t>
      </w:r>
      <w:r w:rsidRPr="00DF5B87">
        <w:rPr>
          <w:rFonts w:cs="Arial" w:hint="cs"/>
          <w:rtl/>
        </w:rPr>
        <w:t>.</w:t>
      </w:r>
      <w:r>
        <w:rPr>
          <w:rFonts w:cs="Arial" w:hint="cs"/>
          <w:rtl/>
        </w:rPr>
        <w:t xml:space="preserve"> </w:t>
      </w:r>
      <w:r w:rsidRPr="00DF5B87">
        <w:rPr>
          <w:rFonts w:cs="Arial" w:hint="cs"/>
          <w:color w:val="00B0F0"/>
          <w:rtl/>
        </w:rPr>
        <w:t>(וכ"פ הרמ"א)</w:t>
      </w:r>
    </w:p>
    <w:p w14:paraId="0EB09E9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8C0B0F8" w14:textId="77777777" w:rsidR="002C39F4" w:rsidRDefault="002C39F4" w:rsidP="002C39F4">
      <w:pPr>
        <w:rPr>
          <w:rFonts w:asciiTheme="minorBidi" w:hAnsiTheme="minorBidi"/>
          <w:rtl/>
        </w:rPr>
      </w:pPr>
      <w:r w:rsidRPr="003024E5">
        <w:rPr>
          <w:rFonts w:asciiTheme="minorBidi" w:hAnsiTheme="minorBidi"/>
          <w:rtl/>
        </w:rPr>
        <w:t xml:space="preserve">מי שנזהר מפת </w:t>
      </w:r>
      <w:r>
        <w:rPr>
          <w:rFonts w:asciiTheme="minorBidi" w:hAnsiTheme="minorBidi"/>
          <w:rtl/>
        </w:rPr>
        <w:t>גוי</w:t>
      </w:r>
      <w:r>
        <w:rPr>
          <w:rFonts w:asciiTheme="minorBidi" w:hAnsiTheme="minorBidi" w:hint="cs"/>
          <w:rtl/>
        </w:rPr>
        <w:t>ם</w:t>
      </w:r>
      <w:r w:rsidRPr="003024E5">
        <w:rPr>
          <w:rFonts w:asciiTheme="minorBidi" w:hAnsiTheme="minorBidi"/>
          <w:rtl/>
        </w:rPr>
        <w:t xml:space="preserve"> מותר לאכול בקער</w:t>
      </w:r>
      <w:r>
        <w:rPr>
          <w:rFonts w:asciiTheme="minorBidi" w:hAnsiTheme="minorBidi"/>
          <w:rtl/>
        </w:rPr>
        <w:t>ה עם מי שאינו נזהר ממנו</w:t>
      </w:r>
      <w:r>
        <w:rPr>
          <w:rFonts w:asciiTheme="minorBidi" w:hAnsiTheme="minorBidi" w:hint="cs"/>
          <w:rtl/>
        </w:rPr>
        <w:t>,</w:t>
      </w:r>
      <w:r w:rsidRPr="003024E5">
        <w:rPr>
          <w:rFonts w:asciiTheme="minorBidi" w:hAnsiTheme="minorBidi"/>
          <w:rtl/>
        </w:rPr>
        <w:t xml:space="preserve"> ואף על פי שטעם פת </w:t>
      </w:r>
      <w:r>
        <w:rPr>
          <w:rFonts w:asciiTheme="minorBidi" w:hAnsiTheme="minorBidi"/>
          <w:rtl/>
        </w:rPr>
        <w:t>גוי</w:t>
      </w:r>
      <w:r>
        <w:rPr>
          <w:rFonts w:asciiTheme="minorBidi" w:hAnsiTheme="minorBidi" w:hint="cs"/>
          <w:rtl/>
        </w:rPr>
        <w:t>ם</w:t>
      </w:r>
      <w:r>
        <w:rPr>
          <w:rFonts w:asciiTheme="minorBidi" w:hAnsiTheme="minorBidi"/>
          <w:rtl/>
        </w:rPr>
        <w:t xml:space="preserve"> מתערב בפת ישראל</w:t>
      </w:r>
      <w:r w:rsidRPr="003024E5">
        <w:rPr>
          <w:rFonts w:asciiTheme="minorBidi" w:hAnsiTheme="minorBidi"/>
          <w:rtl/>
        </w:rPr>
        <w:t xml:space="preserve"> אינו חושש. </w:t>
      </w:r>
      <w:r w:rsidRPr="0050419D">
        <w:rPr>
          <w:rFonts w:asciiTheme="minorBidi" w:hAnsiTheme="minorBidi"/>
          <w:sz w:val="18"/>
          <w:szCs w:val="18"/>
          <w:rtl/>
        </w:rPr>
        <w:t xml:space="preserve">הגה: י"א דמי שנזהר מפת של </w:t>
      </w:r>
      <w:r>
        <w:rPr>
          <w:rFonts w:asciiTheme="minorBidi" w:hAnsiTheme="minorBidi"/>
          <w:sz w:val="18"/>
          <w:szCs w:val="18"/>
          <w:rtl/>
        </w:rPr>
        <w:t>גוי</w:t>
      </w:r>
      <w:r>
        <w:rPr>
          <w:rFonts w:asciiTheme="minorBidi" w:hAnsiTheme="minorBidi" w:hint="cs"/>
          <w:sz w:val="18"/>
          <w:szCs w:val="18"/>
          <w:rtl/>
        </w:rPr>
        <w:t>ם</w:t>
      </w:r>
      <w:r w:rsidRPr="0050419D">
        <w:rPr>
          <w:rFonts w:asciiTheme="minorBidi" w:hAnsiTheme="minorBidi"/>
          <w:sz w:val="18"/>
          <w:szCs w:val="18"/>
          <w:rtl/>
        </w:rPr>
        <w:t xml:space="preserve"> ואוכל עם אחרים שאינן נזהרין, מותר לאכול עמהם משום איבה וקטטה, הואיל ואם לא יאכל עמהם פת שהוא עי</w:t>
      </w:r>
      <w:r>
        <w:rPr>
          <w:rFonts w:asciiTheme="minorBidi" w:hAnsiTheme="minorBidi"/>
          <w:sz w:val="18"/>
          <w:szCs w:val="18"/>
          <w:rtl/>
        </w:rPr>
        <w:t>קר הסעודה התירו לו משום איבה</w:t>
      </w:r>
      <w:r>
        <w:rPr>
          <w:rStyle w:val="a7"/>
          <w:rFonts w:asciiTheme="minorBidi" w:hAnsiTheme="minorBidi"/>
          <w:sz w:val="18"/>
          <w:szCs w:val="18"/>
          <w:rtl/>
        </w:rPr>
        <w:footnoteReference w:id="2698"/>
      </w:r>
      <w:r>
        <w:rPr>
          <w:rFonts w:asciiTheme="minorBidi" w:hAnsiTheme="minorBidi" w:hint="cs"/>
          <w:sz w:val="18"/>
          <w:szCs w:val="18"/>
          <w:rtl/>
        </w:rPr>
        <w:t>,</w:t>
      </w:r>
      <w:r>
        <w:rPr>
          <w:rFonts w:asciiTheme="minorBidi" w:hAnsiTheme="minorBidi"/>
          <w:sz w:val="18"/>
          <w:szCs w:val="18"/>
          <w:rtl/>
        </w:rPr>
        <w:t xml:space="preserve"> </w:t>
      </w:r>
      <w:r w:rsidRPr="0050419D">
        <w:rPr>
          <w:rFonts w:asciiTheme="minorBidi" w:hAnsiTheme="minorBidi"/>
          <w:sz w:val="18"/>
          <w:szCs w:val="18"/>
          <w:rtl/>
        </w:rPr>
        <w:t>ואין ללמוד מכאן לשאר איסו</w:t>
      </w:r>
      <w:r>
        <w:rPr>
          <w:rFonts w:asciiTheme="minorBidi" w:hAnsiTheme="minorBidi"/>
          <w:sz w:val="18"/>
          <w:szCs w:val="18"/>
          <w:rtl/>
        </w:rPr>
        <w:t>רין (ב"י בשם תשו</w:t>
      </w:r>
      <w:r>
        <w:rPr>
          <w:rFonts w:asciiTheme="minorBidi" w:hAnsiTheme="minorBidi" w:hint="cs"/>
          <w:sz w:val="18"/>
          <w:szCs w:val="18"/>
          <w:rtl/>
        </w:rPr>
        <w:t>'</w:t>
      </w:r>
      <w:r>
        <w:rPr>
          <w:rFonts w:asciiTheme="minorBidi" w:hAnsiTheme="minorBidi"/>
          <w:sz w:val="18"/>
          <w:szCs w:val="18"/>
          <w:rtl/>
        </w:rPr>
        <w:t xml:space="preserve"> אשכנזית וה</w:t>
      </w:r>
      <w:r>
        <w:rPr>
          <w:rFonts w:asciiTheme="minorBidi" w:hAnsiTheme="minorBidi" w:hint="cs"/>
          <w:sz w:val="18"/>
          <w:szCs w:val="18"/>
          <w:rtl/>
        </w:rPr>
        <w:t>י</w:t>
      </w:r>
      <w:r>
        <w:rPr>
          <w:rFonts w:asciiTheme="minorBidi" w:hAnsiTheme="minorBidi"/>
          <w:sz w:val="18"/>
          <w:szCs w:val="18"/>
          <w:rtl/>
        </w:rPr>
        <w:t>א תשו</w:t>
      </w:r>
      <w:r>
        <w:rPr>
          <w:rFonts w:asciiTheme="minorBidi" w:hAnsiTheme="minorBidi" w:hint="cs"/>
          <w:sz w:val="18"/>
          <w:szCs w:val="18"/>
          <w:rtl/>
        </w:rPr>
        <w:t>'</w:t>
      </w:r>
      <w:r>
        <w:rPr>
          <w:rFonts w:asciiTheme="minorBidi" w:hAnsiTheme="minorBidi"/>
          <w:sz w:val="18"/>
          <w:szCs w:val="18"/>
          <w:rtl/>
        </w:rPr>
        <w:t xml:space="preserve"> מהרי"ל סי</w:t>
      </w:r>
      <w:r>
        <w:rPr>
          <w:rFonts w:asciiTheme="minorBidi" w:hAnsiTheme="minorBidi" w:hint="cs"/>
          <w:sz w:val="18"/>
          <w:szCs w:val="18"/>
          <w:rtl/>
        </w:rPr>
        <w:t xml:space="preserve">' </w:t>
      </w:r>
      <w:r>
        <w:rPr>
          <w:rFonts w:asciiTheme="minorBidi" w:hAnsiTheme="minorBidi"/>
          <w:sz w:val="18"/>
          <w:szCs w:val="18"/>
          <w:rtl/>
        </w:rPr>
        <w:t>ל</w:t>
      </w:r>
      <w:r w:rsidRPr="0050419D">
        <w:rPr>
          <w:rFonts w:asciiTheme="minorBidi" w:hAnsiTheme="minorBidi"/>
          <w:sz w:val="18"/>
          <w:szCs w:val="18"/>
          <w:rtl/>
        </w:rPr>
        <w:t>ה).</w:t>
      </w:r>
      <w:r w:rsidRPr="003024E5">
        <w:rPr>
          <w:rFonts w:asciiTheme="minorBidi" w:hAnsiTheme="minorBidi"/>
          <w:rtl/>
        </w:rPr>
        <w:t xml:space="preserve"> </w:t>
      </w:r>
    </w:p>
    <w:p w14:paraId="0351D0B8" w14:textId="77777777" w:rsidR="002C39F4" w:rsidRPr="003024E5" w:rsidRDefault="002C39F4" w:rsidP="002C39F4">
      <w:pPr>
        <w:rPr>
          <w:rFonts w:asciiTheme="minorBidi" w:hAnsiTheme="minorBidi"/>
          <w:rtl/>
        </w:rPr>
      </w:pPr>
    </w:p>
    <w:p w14:paraId="74C0E647" w14:textId="77777777" w:rsidR="002C39F4" w:rsidRDefault="002C39F4" w:rsidP="002C39F4">
      <w:pPr>
        <w:pStyle w:val="2"/>
        <w:rPr>
          <w:rFonts w:asciiTheme="minorBidi" w:hAnsiTheme="minorBidi"/>
          <w:rtl/>
        </w:rPr>
      </w:pPr>
      <w:r w:rsidRPr="003024E5">
        <w:rPr>
          <w:rFonts w:asciiTheme="minorBidi" w:hAnsiTheme="minorBidi"/>
          <w:rtl/>
        </w:rPr>
        <w:t>סעיף טז</w:t>
      </w:r>
      <w:r>
        <w:rPr>
          <w:rFonts w:asciiTheme="minorBidi" w:hAnsiTheme="minorBidi" w:hint="cs"/>
          <w:rtl/>
        </w:rPr>
        <w:t>: ההולך בדרך ואין לו אלא פת עכו"ם.</w:t>
      </w:r>
    </w:p>
    <w:p w14:paraId="274F1DEB" w14:textId="77777777" w:rsidR="002C39F4" w:rsidRPr="00632485" w:rsidRDefault="002C39F4" w:rsidP="002C39F4">
      <w:pPr>
        <w:rPr>
          <w:rFonts w:asciiTheme="minorBidi" w:hAnsiTheme="minorBidi"/>
          <w:rtl/>
        </w:rPr>
      </w:pPr>
      <w:r>
        <w:rPr>
          <w:rFonts w:asciiTheme="minorBidi" w:hAnsiTheme="minorBidi" w:cs="Arial" w:hint="cs"/>
          <w:b/>
          <w:bCs/>
          <w:rtl/>
        </w:rPr>
        <w:t xml:space="preserve">חולין קכב ע"א: </w:t>
      </w:r>
      <w:r w:rsidRPr="000B0FB6">
        <w:rPr>
          <w:rFonts w:asciiTheme="minorBidi" w:hAnsiTheme="minorBidi" w:cs="Arial"/>
          <w:u w:val="double"/>
          <w:rtl/>
        </w:rPr>
        <w:t>מתני'</w:t>
      </w:r>
      <w:r>
        <w:rPr>
          <w:rFonts w:asciiTheme="minorBidi" w:hAnsiTheme="minorBidi" w:cs="Arial" w:hint="cs"/>
          <w:rtl/>
        </w:rPr>
        <w:t>:</w:t>
      </w:r>
      <w:r w:rsidRPr="00632485">
        <w:rPr>
          <w:rFonts w:asciiTheme="minorBidi" w:hAnsiTheme="minorBidi" w:cs="Arial"/>
          <w:rtl/>
        </w:rPr>
        <w:t xml:space="preserve"> אלו שעורותיהן כבשרן</w:t>
      </w:r>
      <w:r>
        <w:rPr>
          <w:rFonts w:asciiTheme="minorBidi" w:hAnsiTheme="minorBidi" w:cs="Arial" w:hint="cs"/>
          <w:rtl/>
        </w:rPr>
        <w:t>...</w:t>
      </w:r>
      <w:r w:rsidRPr="00632485">
        <w:rPr>
          <w:rFonts w:asciiTheme="minorBidi" w:hAnsiTheme="minorBidi" w:cs="Arial"/>
          <w:rtl/>
        </w:rPr>
        <w:t xml:space="preserve"> וכולן שעבדן, או שהילך בהן כדי עבודה - טהורין, חוץ מעור האדם.</w:t>
      </w:r>
      <w:r>
        <w:rPr>
          <w:rFonts w:asciiTheme="minorBidi" w:hAnsiTheme="minorBidi" w:cs="Arial" w:hint="cs"/>
          <w:rtl/>
        </w:rPr>
        <w:t xml:space="preserve">.. </w:t>
      </w:r>
      <w:r w:rsidRPr="000B0FB6">
        <w:rPr>
          <w:rFonts w:asciiTheme="minorBidi" w:hAnsiTheme="minorBidi" w:cs="Arial" w:hint="cs"/>
          <w:u w:val="double"/>
          <w:rtl/>
        </w:rPr>
        <w:t>גמ'</w:t>
      </w:r>
      <w:r w:rsidRPr="000B0FB6">
        <w:rPr>
          <w:rFonts w:asciiTheme="minorBidi" w:hAnsiTheme="minorBidi" w:cs="Arial" w:hint="cs"/>
          <w:sz w:val="14"/>
          <w:szCs w:val="14"/>
          <w:u w:val="double"/>
          <w:rtl/>
        </w:rPr>
        <w:t>(קכב:)</w:t>
      </w:r>
      <w:r w:rsidRPr="000B0FB6">
        <w:rPr>
          <w:rFonts w:asciiTheme="minorBidi" w:hAnsiTheme="minorBidi" w:cs="Arial" w:hint="cs"/>
          <w:rtl/>
        </w:rPr>
        <w:t>:</w:t>
      </w:r>
      <w:r>
        <w:rPr>
          <w:rFonts w:asciiTheme="minorBidi" w:hAnsiTheme="minorBidi" w:cs="Arial" w:hint="cs"/>
          <w:rtl/>
        </w:rPr>
        <w:t xml:space="preserve"> וכולן שעבדן..</w:t>
      </w:r>
      <w:r w:rsidRPr="00632485">
        <w:rPr>
          <w:rFonts w:asciiTheme="minorBidi" w:hAnsiTheme="minorBidi" w:cs="Arial"/>
          <w:rtl/>
        </w:rPr>
        <w:t xml:space="preserve">. כמה כדי עבוד? </w:t>
      </w:r>
      <w:r w:rsidRPr="00F93B62">
        <w:rPr>
          <w:rFonts w:asciiTheme="minorBidi" w:hAnsiTheme="minorBidi" w:cs="Arial"/>
          <w:u w:val="single"/>
          <w:rtl/>
        </w:rPr>
        <w:t>אמר רב הונא אמר רבי ינאי</w:t>
      </w:r>
      <w:r w:rsidRPr="00632485">
        <w:rPr>
          <w:rFonts w:asciiTheme="minorBidi" w:hAnsiTheme="minorBidi" w:cs="Arial"/>
          <w:rtl/>
        </w:rPr>
        <w:t>: אר</w:t>
      </w:r>
      <w:r>
        <w:rPr>
          <w:rFonts w:asciiTheme="minorBidi" w:hAnsiTheme="minorBidi" w:cs="Arial"/>
          <w:rtl/>
        </w:rPr>
        <w:t>בעת מילין</w:t>
      </w:r>
      <w:r>
        <w:rPr>
          <w:rFonts w:asciiTheme="minorBidi" w:hAnsiTheme="minorBidi" w:cs="Arial" w:hint="cs"/>
          <w:rtl/>
        </w:rPr>
        <w:t xml:space="preserve">. </w:t>
      </w:r>
      <w:r w:rsidRPr="00F93B62">
        <w:rPr>
          <w:rFonts w:asciiTheme="minorBidi" w:hAnsiTheme="minorBidi" w:cs="Arial"/>
          <w:u w:val="single"/>
          <w:rtl/>
        </w:rPr>
        <w:t>אמר רבי אבהו אמר ריש לקיש</w:t>
      </w:r>
      <w:r w:rsidRPr="00632485">
        <w:rPr>
          <w:rFonts w:asciiTheme="minorBidi" w:hAnsiTheme="minorBidi" w:cs="Arial"/>
          <w:rtl/>
        </w:rPr>
        <w:t>: לגבל, ולתפלה, ולנטילת ידים - ארבעת מילין</w:t>
      </w:r>
      <w:r>
        <w:rPr>
          <w:rFonts w:asciiTheme="minorBidi" w:hAnsiTheme="minorBidi" w:cs="Arial" w:hint="cs"/>
          <w:rtl/>
        </w:rPr>
        <w:t>.</w:t>
      </w:r>
      <w:r>
        <w:rPr>
          <w:rFonts w:asciiTheme="minorBidi" w:hAnsiTheme="minorBidi" w:hint="cs"/>
          <w:rtl/>
        </w:rPr>
        <w:t xml:space="preserve"> </w:t>
      </w:r>
      <w:r w:rsidRPr="00F93B62">
        <w:rPr>
          <w:rFonts w:asciiTheme="minorBidi" w:hAnsiTheme="minorBidi" w:hint="cs"/>
          <w:sz w:val="16"/>
          <w:szCs w:val="16"/>
          <w:rtl/>
        </w:rPr>
        <w:t xml:space="preserve">(וכ' האגודה </w:t>
      </w:r>
      <w:r w:rsidRPr="00F93B62">
        <w:rPr>
          <w:rFonts w:asciiTheme="minorBidi" w:hAnsiTheme="minorBidi" w:hint="cs"/>
          <w:sz w:val="14"/>
          <w:szCs w:val="14"/>
          <w:rtl/>
        </w:rPr>
        <w:t>(פ"ט, הביאו הב"י בשם מצאתי כתוב בשם ספר אגודה)</w:t>
      </w:r>
      <w:r w:rsidRPr="00F93B62">
        <w:rPr>
          <w:sz w:val="14"/>
          <w:szCs w:val="14"/>
          <w:rtl/>
        </w:rPr>
        <w:t xml:space="preserve"> </w:t>
      </w:r>
      <w:r>
        <w:rPr>
          <w:rFonts w:asciiTheme="minorBidi" w:hAnsiTheme="minorBidi" w:cs="Arial"/>
          <w:sz w:val="16"/>
          <w:szCs w:val="16"/>
          <w:rtl/>
        </w:rPr>
        <w:t>ד' מילין לגבל</w:t>
      </w:r>
      <w:r>
        <w:rPr>
          <w:rFonts w:asciiTheme="minorBidi" w:hAnsiTheme="minorBidi" w:cs="Arial" w:hint="cs"/>
          <w:sz w:val="16"/>
          <w:szCs w:val="16"/>
          <w:rtl/>
        </w:rPr>
        <w:t xml:space="preserve"> -</w:t>
      </w:r>
      <w:r w:rsidRPr="00F93B62">
        <w:rPr>
          <w:rFonts w:asciiTheme="minorBidi" w:hAnsiTheme="minorBidi" w:cs="Arial"/>
          <w:sz w:val="16"/>
          <w:szCs w:val="16"/>
          <w:rtl/>
        </w:rPr>
        <w:t xml:space="preserve"> והוא הדין אדם הנזהר מפת כותים והוא בדרך אם יש פת ישראל עד ד' מילין ימתין</w:t>
      </w:r>
      <w:r>
        <w:rPr>
          <w:rFonts w:asciiTheme="minorBidi" w:hAnsiTheme="minorBidi" w:cs="Arial" w:hint="cs"/>
          <w:sz w:val="16"/>
          <w:szCs w:val="16"/>
          <w:rtl/>
        </w:rPr>
        <w:t>)</w:t>
      </w:r>
    </w:p>
    <w:p w14:paraId="213B8EF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4E8AEB1" w14:textId="77777777" w:rsidR="002C39F4" w:rsidRPr="003024E5" w:rsidRDefault="002C39F4" w:rsidP="002C39F4">
      <w:pPr>
        <w:rPr>
          <w:rFonts w:asciiTheme="minorBidi" w:hAnsiTheme="minorBidi"/>
          <w:rtl/>
        </w:rPr>
      </w:pPr>
      <w:r w:rsidRPr="003024E5">
        <w:rPr>
          <w:rFonts w:asciiTheme="minorBidi" w:hAnsiTheme="minorBidi"/>
          <w:rtl/>
        </w:rPr>
        <w:t xml:space="preserve">יש מי שאומר שהנזהר מפת </w:t>
      </w:r>
      <w:r>
        <w:rPr>
          <w:rFonts w:asciiTheme="minorBidi" w:hAnsiTheme="minorBidi"/>
          <w:rtl/>
        </w:rPr>
        <w:t>גוי</w:t>
      </w:r>
      <w:r w:rsidRPr="003024E5">
        <w:rPr>
          <w:rFonts w:asciiTheme="minorBidi" w:hAnsiTheme="minorBidi"/>
          <w:rtl/>
        </w:rPr>
        <w:t xml:space="preserve"> והוא </w:t>
      </w:r>
      <w:r>
        <w:rPr>
          <w:rFonts w:asciiTheme="minorBidi" w:hAnsiTheme="minorBidi"/>
          <w:rtl/>
        </w:rPr>
        <w:t>בדרך</w:t>
      </w:r>
      <w:r w:rsidRPr="003024E5">
        <w:rPr>
          <w:rFonts w:asciiTheme="minorBidi" w:hAnsiTheme="minorBidi"/>
          <w:rtl/>
        </w:rPr>
        <w:t xml:space="preserve"> אם יש פ</w:t>
      </w:r>
      <w:r>
        <w:rPr>
          <w:rFonts w:asciiTheme="minorBidi" w:hAnsiTheme="minorBidi"/>
          <w:rtl/>
        </w:rPr>
        <w:t xml:space="preserve">ת של ישראל עד </w:t>
      </w:r>
      <w:r>
        <w:rPr>
          <w:rFonts w:asciiTheme="minorBidi" w:hAnsiTheme="minorBidi" w:hint="cs"/>
          <w:rtl/>
        </w:rPr>
        <w:t>ארבעה</w:t>
      </w:r>
      <w:r>
        <w:rPr>
          <w:rFonts w:asciiTheme="minorBidi" w:hAnsiTheme="minorBidi"/>
          <w:rtl/>
        </w:rPr>
        <w:t xml:space="preserve"> מילין ימתין</w:t>
      </w:r>
      <w:r>
        <w:rPr>
          <w:rStyle w:val="a7"/>
          <w:rFonts w:asciiTheme="minorBidi" w:hAnsiTheme="minorBidi"/>
          <w:rtl/>
        </w:rPr>
        <w:footnoteReference w:id="2699"/>
      </w:r>
      <w:r>
        <w:rPr>
          <w:rFonts w:asciiTheme="minorBidi" w:hAnsiTheme="minorBidi"/>
          <w:rtl/>
        </w:rPr>
        <w:t xml:space="preserve">. </w:t>
      </w:r>
      <w:r w:rsidRPr="0050419D">
        <w:rPr>
          <w:rFonts w:asciiTheme="minorBidi" w:hAnsiTheme="minorBidi" w:hint="cs"/>
          <w:sz w:val="18"/>
          <w:szCs w:val="18"/>
          <w:rtl/>
        </w:rPr>
        <w:t xml:space="preserve">[הגה] </w:t>
      </w:r>
      <w:r>
        <w:rPr>
          <w:rFonts w:asciiTheme="minorBidi" w:hAnsiTheme="minorBidi"/>
          <w:sz w:val="18"/>
          <w:szCs w:val="18"/>
          <w:rtl/>
        </w:rPr>
        <w:t>וכבר נתבאר לעיל דנוהגין להקל</w:t>
      </w:r>
      <w:r>
        <w:rPr>
          <w:rStyle w:val="a7"/>
          <w:rFonts w:asciiTheme="minorBidi" w:hAnsiTheme="minorBidi"/>
          <w:sz w:val="18"/>
          <w:szCs w:val="18"/>
          <w:rtl/>
        </w:rPr>
        <w:footnoteReference w:id="2700"/>
      </w:r>
      <w:r w:rsidRPr="0050419D">
        <w:rPr>
          <w:rFonts w:asciiTheme="minorBidi" w:hAnsiTheme="minorBidi"/>
          <w:sz w:val="18"/>
          <w:szCs w:val="18"/>
          <w:rtl/>
        </w:rPr>
        <w:t>.</w:t>
      </w:r>
    </w:p>
    <w:p w14:paraId="6D8273AC" w14:textId="77777777" w:rsidR="002C39F4" w:rsidRDefault="002C39F4" w:rsidP="002C39F4">
      <w:pPr>
        <w:pStyle w:val="1"/>
        <w:rPr>
          <w:rFonts w:asciiTheme="minorBidi" w:hAnsiTheme="minorBidi"/>
          <w:rtl/>
        </w:rPr>
        <w:sectPr w:rsidR="002C39F4" w:rsidSect="004C5A3C">
          <w:footerReference w:type="default" r:id="rId15"/>
          <w:footnotePr>
            <w:numRestart w:val="eachPage"/>
          </w:footnotePr>
          <w:pgSz w:w="11906" w:h="16838"/>
          <w:pgMar w:top="720" w:right="1134" w:bottom="720" w:left="1134" w:header="0" w:footer="0" w:gutter="0"/>
          <w:cols w:space="720"/>
          <w:bidi/>
          <w:rtlGutter/>
          <w:docGrid w:linePitch="360"/>
        </w:sectPr>
      </w:pPr>
    </w:p>
    <w:p w14:paraId="409C703D"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קיג: דיני בשולי </w:t>
      </w:r>
      <w:r>
        <w:rPr>
          <w:rFonts w:asciiTheme="minorBidi" w:hAnsiTheme="minorBidi"/>
          <w:rtl/>
        </w:rPr>
        <w:t>גוים</w:t>
      </w:r>
      <w:r w:rsidRPr="003024E5">
        <w:rPr>
          <w:rFonts w:asciiTheme="minorBidi" w:hAnsiTheme="minorBidi"/>
          <w:rtl/>
        </w:rPr>
        <w:t xml:space="preserve">, ובו ט"ז סעיפים. </w:t>
      </w:r>
    </w:p>
    <w:p w14:paraId="4C8ABD95"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מתי ובמה שייך איסור בישולי גוים.</w:t>
      </w:r>
    </w:p>
    <w:p w14:paraId="0197ECC7" w14:textId="77777777" w:rsidR="002C39F4" w:rsidRPr="00C33B37" w:rsidRDefault="002C39F4" w:rsidP="002C39F4">
      <w:pPr>
        <w:rPr>
          <w:rtl/>
        </w:rPr>
      </w:pPr>
      <w:r>
        <w:rPr>
          <w:rFonts w:cs="Arial" w:hint="cs"/>
          <w:b/>
          <w:bCs/>
          <w:rtl/>
        </w:rPr>
        <w:t xml:space="preserve">עבודה זרה לה ע"ב: </w:t>
      </w:r>
      <w:r w:rsidRPr="00D0241C">
        <w:rPr>
          <w:rFonts w:cs="Arial"/>
          <w:u w:val="double"/>
          <w:rtl/>
        </w:rPr>
        <w:t>מתני'</w:t>
      </w:r>
      <w:r>
        <w:rPr>
          <w:rFonts w:cs="Arial" w:hint="cs"/>
          <w:rtl/>
        </w:rPr>
        <w:t>:</w:t>
      </w:r>
      <w:r w:rsidRPr="00D0241C">
        <w:rPr>
          <w:rFonts w:cs="Arial"/>
          <w:rtl/>
        </w:rPr>
        <w:t xml:space="preserve"> ואלו דברים של עובדי כוכבים אסורין ואין איסורן איסור הנאה: חלב שחלבו עובד כוכבים ואין ישראל רואהו, והפת והשמן שלהן. רבי ובית דינו התירו השמן. והשלקות</w:t>
      </w:r>
      <w:r>
        <w:rPr>
          <w:rStyle w:val="a7"/>
          <w:rFonts w:cs="Arial"/>
          <w:rtl/>
        </w:rPr>
        <w:footnoteReference w:id="2701"/>
      </w:r>
      <w:r w:rsidRPr="00D0241C">
        <w:rPr>
          <w:rFonts w:cs="Arial"/>
          <w:rtl/>
        </w:rPr>
        <w:t>, ו</w:t>
      </w:r>
      <w:r>
        <w:rPr>
          <w:rFonts w:cs="Arial"/>
          <w:rtl/>
        </w:rPr>
        <w:t>כבשין שדרכן לתת לתוכן יין וחומץ</w:t>
      </w:r>
      <w:r>
        <w:rPr>
          <w:rFonts w:cs="Arial" w:hint="cs"/>
          <w:rtl/>
        </w:rPr>
        <w:t>..</w:t>
      </w:r>
      <w:r w:rsidRPr="00D0241C">
        <w:rPr>
          <w:rFonts w:cs="Arial"/>
          <w:rtl/>
        </w:rPr>
        <w:t>.</w:t>
      </w:r>
      <w:r w:rsidRPr="000F7955">
        <w:rPr>
          <w:rtl/>
        </w:rPr>
        <w:t xml:space="preserve"> </w:t>
      </w:r>
      <w:r>
        <w:rPr>
          <w:rFonts w:cs="Arial" w:hint="cs"/>
          <w:sz w:val="16"/>
          <w:szCs w:val="16"/>
          <w:rtl/>
        </w:rPr>
        <w:t xml:space="preserve"> </w:t>
      </w:r>
      <w:r w:rsidRPr="000B0FB6">
        <w:rPr>
          <w:rFonts w:cs="Arial" w:hint="cs"/>
          <w:u w:val="double"/>
          <w:rtl/>
        </w:rPr>
        <w:t>גמ</w:t>
      </w:r>
      <w:r>
        <w:rPr>
          <w:rFonts w:cs="Arial" w:hint="cs"/>
          <w:u w:val="double"/>
          <w:rtl/>
        </w:rPr>
        <w:t>'</w:t>
      </w:r>
      <w:r w:rsidRPr="000B0FB6">
        <w:rPr>
          <w:rFonts w:cs="Arial" w:hint="cs"/>
          <w:sz w:val="16"/>
          <w:szCs w:val="16"/>
          <w:u w:val="double"/>
          <w:rtl/>
        </w:rPr>
        <w:t>(לח.)</w:t>
      </w:r>
      <w:r>
        <w:rPr>
          <w:rFonts w:cs="Arial" w:hint="cs"/>
          <w:rtl/>
        </w:rPr>
        <w:t xml:space="preserve">: </w:t>
      </w:r>
      <w:r w:rsidRPr="00536773">
        <w:rPr>
          <w:rFonts w:cs="Arial"/>
          <w:u w:val="single"/>
          <w:rtl/>
        </w:rPr>
        <w:t>אמר רב שמואל בר רב יצחק אמר רב</w:t>
      </w:r>
      <w:r w:rsidRPr="000F7955">
        <w:rPr>
          <w:rFonts w:cs="Arial"/>
          <w:rtl/>
        </w:rPr>
        <w:t xml:space="preserve">: כל הנאכל כמות שהוא חי - אין בו משום בישולי עובדי כוכבים. בסורא מתנו הכי. בפומבדיתא מתנו הכי, </w:t>
      </w:r>
      <w:r w:rsidRPr="00536773">
        <w:rPr>
          <w:rFonts w:cs="Arial"/>
          <w:u w:val="single"/>
          <w:rtl/>
        </w:rPr>
        <w:t>אמר רב שמואל בר רב יצחק אמר רב</w:t>
      </w:r>
      <w:r w:rsidRPr="000F7955">
        <w:rPr>
          <w:rFonts w:cs="Arial"/>
          <w:rtl/>
        </w:rPr>
        <w:t>: כל שאינו נאכל על שולחן מלכים ללפת בו את הפת - אין בו משום בישולי עובדי כוכבים. מאי בינייהו? איכא בינייהו: דגים קטנים, וארדי, ודייסא.</w:t>
      </w:r>
    </w:p>
    <w:p w14:paraId="3C633422" w14:textId="77777777" w:rsidR="002C39F4" w:rsidRPr="000B0FB6" w:rsidRDefault="002C39F4" w:rsidP="002C39F4">
      <w:pPr>
        <w:rPr>
          <w:u w:val="single"/>
        </w:rPr>
      </w:pPr>
      <w:r w:rsidRPr="000B0FB6">
        <w:rPr>
          <w:rFonts w:hint="cs"/>
          <w:u w:val="single"/>
          <w:rtl/>
        </w:rPr>
        <w:t>באלו מאכלים לא שייך בישולי גוים:</w:t>
      </w:r>
    </w:p>
    <w:p w14:paraId="44D3CBC7" w14:textId="77777777" w:rsidR="002C39F4" w:rsidRPr="000B0FB6" w:rsidRDefault="002C39F4" w:rsidP="0032102C">
      <w:pPr>
        <w:pStyle w:val="a8"/>
        <w:numPr>
          <w:ilvl w:val="0"/>
          <w:numId w:val="277"/>
        </w:numPr>
      </w:pPr>
      <w:r w:rsidRPr="000B0FB6">
        <w:rPr>
          <w:rFonts w:cs="Arial" w:hint="cs"/>
          <w:rtl/>
        </w:rPr>
        <w:t xml:space="preserve">ר"ח ר"ת </w:t>
      </w:r>
      <w:r w:rsidRPr="000B0FB6">
        <w:rPr>
          <w:rFonts w:cs="Arial"/>
          <w:rtl/>
        </w:rPr>
        <w:t>תוס</w:t>
      </w:r>
      <w:r w:rsidRPr="000B0FB6">
        <w:rPr>
          <w:rFonts w:cs="Arial" w:hint="cs"/>
          <w:rtl/>
        </w:rPr>
        <w:t>'</w:t>
      </w:r>
      <w:r w:rsidRPr="000B0FB6">
        <w:rPr>
          <w:rFonts w:cs="Arial"/>
          <w:rtl/>
        </w:rPr>
        <w:t xml:space="preserve"> רמב"ם</w:t>
      </w:r>
      <w:r w:rsidRPr="000B0FB6">
        <w:rPr>
          <w:rFonts w:cs="Arial" w:hint="cs"/>
          <w:rtl/>
        </w:rPr>
        <w:t xml:space="preserve"> </w:t>
      </w:r>
      <w:r w:rsidRPr="000B0FB6">
        <w:rPr>
          <w:rFonts w:cs="Arial"/>
          <w:rtl/>
        </w:rPr>
        <w:t xml:space="preserve">רשב"א רא"ש </w:t>
      </w:r>
      <w:r w:rsidRPr="000B0FB6">
        <w:rPr>
          <w:rFonts w:cs="Arial" w:hint="cs"/>
          <w:rtl/>
        </w:rPr>
        <w:t>ו</w:t>
      </w:r>
      <w:r w:rsidRPr="000B0FB6">
        <w:rPr>
          <w:rFonts w:cs="Arial"/>
          <w:rtl/>
        </w:rPr>
        <w:t>ר"ן</w:t>
      </w:r>
      <w:r>
        <w:rPr>
          <w:rStyle w:val="a7"/>
          <w:rFonts w:cs="Arial"/>
          <w:rtl/>
        </w:rPr>
        <w:footnoteReference w:id="2702"/>
      </w:r>
      <w:r w:rsidRPr="000B0FB6">
        <w:rPr>
          <w:rFonts w:cs="Arial" w:hint="cs"/>
          <w:rtl/>
        </w:rPr>
        <w:t xml:space="preserve">- </w:t>
      </w:r>
      <w:r w:rsidRPr="009C69D2">
        <w:rPr>
          <w:rFonts w:cs="Arial"/>
          <w:rtl/>
        </w:rPr>
        <w:t>לא אסרו אלא דבר שאינו נאכל כמו שהוא חי וגם עולה על שולחן של מלכים</w:t>
      </w:r>
      <w:r>
        <w:rPr>
          <w:rStyle w:val="a7"/>
          <w:rFonts w:cs="Arial"/>
          <w:rtl/>
        </w:rPr>
        <w:footnoteReference w:id="2703"/>
      </w:r>
      <w:r w:rsidRPr="009C69D2">
        <w:rPr>
          <w:rFonts w:cs="Arial"/>
          <w:rtl/>
        </w:rPr>
        <w:t xml:space="preserve"> ללפת בו הפת</w:t>
      </w:r>
      <w:r>
        <w:rPr>
          <w:rFonts w:cs="Arial" w:hint="cs"/>
          <w:rtl/>
        </w:rPr>
        <w:t xml:space="preserve"> או לפרפרת</w:t>
      </w:r>
      <w:r>
        <w:rPr>
          <w:rStyle w:val="a7"/>
          <w:rFonts w:cs="Arial"/>
          <w:rtl/>
        </w:rPr>
        <w:footnoteReference w:id="2704"/>
      </w:r>
      <w:r>
        <w:rPr>
          <w:rFonts w:cs="Arial" w:hint="cs"/>
          <w:rtl/>
        </w:rPr>
        <w:t>,</w:t>
      </w:r>
      <w:r w:rsidRPr="009C69D2">
        <w:rPr>
          <w:rFonts w:cs="Arial"/>
          <w:rtl/>
        </w:rPr>
        <w:t xml:space="preserve"> אבל דבר הנאכל כמו שהוא חי אפילו הוא חשוב להעלות על שלחן מלכים או דבר שאינו נאכל על שלחן מלכים אפילו אינו נאכל כמו שהוא חי אין בו משום בישולי </w:t>
      </w:r>
      <w:r>
        <w:rPr>
          <w:rFonts w:cs="Arial" w:hint="cs"/>
          <w:rtl/>
        </w:rPr>
        <w:t>גוים</w:t>
      </w:r>
      <w:r>
        <w:rPr>
          <w:rFonts w:cs="Arial" w:hint="cs"/>
          <w:sz w:val="16"/>
          <w:szCs w:val="16"/>
          <w:rtl/>
        </w:rPr>
        <w:t xml:space="preserve"> (ל' הטור)</w:t>
      </w:r>
      <w:r>
        <w:rPr>
          <w:rFonts w:cs="Arial" w:hint="cs"/>
          <w:rtl/>
        </w:rPr>
        <w:t>,</w:t>
      </w:r>
      <w:r w:rsidRPr="000B0FB6">
        <w:rPr>
          <w:rFonts w:cs="Arial"/>
          <w:rtl/>
        </w:rPr>
        <w:t xml:space="preserve"> כתרי לישני להקל</w:t>
      </w:r>
      <w:r w:rsidRPr="000B0FB6">
        <w:rPr>
          <w:rFonts w:cs="Arial" w:hint="cs"/>
          <w:rtl/>
        </w:rPr>
        <w:t>.</w:t>
      </w:r>
      <w:r>
        <w:rPr>
          <w:rFonts w:hint="cs"/>
          <w:rtl/>
        </w:rPr>
        <w:t xml:space="preserve"> </w:t>
      </w:r>
      <w:r w:rsidRPr="000B0FB6">
        <w:rPr>
          <w:rFonts w:hint="cs"/>
          <w:color w:val="E36C0A" w:themeColor="accent6" w:themeShade="BF"/>
          <w:rtl/>
        </w:rPr>
        <w:t>(וכ"פ בשו"ע)</w:t>
      </w:r>
      <w:r>
        <w:rPr>
          <w:rFonts w:hint="cs"/>
          <w:rtl/>
        </w:rPr>
        <w:t xml:space="preserve">  </w:t>
      </w:r>
    </w:p>
    <w:p w14:paraId="0C3D64EB" w14:textId="77777777" w:rsidR="002C39F4" w:rsidRPr="00A22E57" w:rsidRDefault="002C39F4" w:rsidP="0032102C">
      <w:pPr>
        <w:pStyle w:val="a8"/>
        <w:numPr>
          <w:ilvl w:val="0"/>
          <w:numId w:val="277"/>
        </w:numPr>
        <w:rPr>
          <w:rFonts w:cs="Arial"/>
          <w:rtl/>
        </w:rPr>
      </w:pPr>
      <w:r w:rsidRPr="000B0FB6">
        <w:rPr>
          <w:rFonts w:cs="Arial"/>
          <w:rtl/>
        </w:rPr>
        <w:t xml:space="preserve">רמב"ן </w:t>
      </w:r>
      <w:r w:rsidRPr="000B0FB6">
        <w:rPr>
          <w:rFonts w:cs="Arial"/>
          <w:sz w:val="16"/>
          <w:szCs w:val="16"/>
          <w:rtl/>
        </w:rPr>
        <w:t>(לז: ד"ה פסק ר"ת)</w:t>
      </w:r>
      <w:r w:rsidRPr="000B0FB6">
        <w:rPr>
          <w:rFonts w:cs="Arial" w:hint="cs"/>
          <w:rtl/>
        </w:rPr>
        <w:t xml:space="preserve">- </w:t>
      </w:r>
      <w:r w:rsidRPr="000F7955">
        <w:rPr>
          <w:rFonts w:cs="Arial"/>
          <w:rtl/>
        </w:rPr>
        <w:t xml:space="preserve">כל הנאכל כמות שהוא חי </w:t>
      </w:r>
      <w:r>
        <w:rPr>
          <w:rFonts w:cs="Arial"/>
          <w:rtl/>
        </w:rPr>
        <w:t xml:space="preserve">- אין בו משום בישולי </w:t>
      </w:r>
      <w:r>
        <w:rPr>
          <w:rFonts w:cs="Arial" w:hint="cs"/>
          <w:rtl/>
        </w:rPr>
        <w:t>עכו"</w:t>
      </w:r>
      <w:r w:rsidRPr="000F7955">
        <w:rPr>
          <w:rFonts w:cs="Arial"/>
          <w:rtl/>
        </w:rPr>
        <w:t>ם</w:t>
      </w:r>
      <w:r>
        <w:rPr>
          <w:rFonts w:cs="Arial" w:hint="cs"/>
          <w:rtl/>
        </w:rPr>
        <w:t>,</w:t>
      </w:r>
      <w:r w:rsidRPr="000B0FB6">
        <w:rPr>
          <w:rFonts w:cs="Arial"/>
          <w:rtl/>
        </w:rPr>
        <w:t xml:space="preserve"> כלישנא דסוראי לחוד</w:t>
      </w:r>
      <w:r>
        <w:rPr>
          <w:rStyle w:val="a7"/>
          <w:rFonts w:cs="Arial"/>
          <w:rtl/>
        </w:rPr>
        <w:footnoteReference w:id="2705"/>
      </w:r>
      <w:r w:rsidRPr="000B0FB6">
        <w:rPr>
          <w:rFonts w:cs="Arial" w:hint="cs"/>
          <w:rtl/>
        </w:rPr>
        <w:t xml:space="preserve">. </w:t>
      </w:r>
    </w:p>
    <w:p w14:paraId="2A5533C2" w14:textId="77777777" w:rsidR="002C39F4" w:rsidRDefault="002C39F4" w:rsidP="002C39F4">
      <w:pPr>
        <w:rPr>
          <w:rFonts w:cs="Arial"/>
          <w:rtl/>
        </w:rPr>
      </w:pPr>
      <w:r w:rsidRPr="00B70A11">
        <w:rPr>
          <w:rFonts w:cs="Arial" w:hint="cs"/>
          <w:u w:val="single"/>
          <w:rtl/>
        </w:rPr>
        <w:t>האם יש חילוק בין מקרה שבישל הגוי בביתו לבין שבישל הגוי בבית ישראל:</w:t>
      </w:r>
    </w:p>
    <w:p w14:paraId="21AF6FA5" w14:textId="77777777" w:rsidR="002C39F4" w:rsidRPr="00B70A11" w:rsidRDefault="002C39F4" w:rsidP="0032102C">
      <w:pPr>
        <w:pStyle w:val="a8"/>
        <w:numPr>
          <w:ilvl w:val="0"/>
          <w:numId w:val="277"/>
        </w:numPr>
        <w:rPr>
          <w:rFonts w:cs="Arial"/>
          <w:rtl/>
        </w:rPr>
      </w:pPr>
      <w:r w:rsidRPr="00B70A11">
        <w:rPr>
          <w:rFonts w:cs="Arial"/>
          <w:rtl/>
        </w:rPr>
        <w:t>ה"ר אברהם</w:t>
      </w:r>
      <w:r w:rsidRPr="00B70A11">
        <w:rPr>
          <w:rFonts w:cs="Arial" w:hint="cs"/>
          <w:rtl/>
        </w:rPr>
        <w:t xml:space="preserve"> ב"ר דוד</w:t>
      </w:r>
      <w:r>
        <w:rPr>
          <w:rStyle w:val="a7"/>
          <w:rFonts w:cs="Arial"/>
          <w:rtl/>
        </w:rPr>
        <w:footnoteReference w:id="2706"/>
      </w:r>
      <w:r w:rsidRPr="00B70A11">
        <w:rPr>
          <w:rFonts w:cs="Arial" w:hint="cs"/>
          <w:rtl/>
        </w:rPr>
        <w:t>-</w:t>
      </w:r>
      <w:r w:rsidRPr="00B70A11">
        <w:rPr>
          <w:rFonts w:cs="Arial"/>
          <w:rtl/>
        </w:rPr>
        <w:t xml:space="preserve"> ודאי שלקות אסרו חכמי</w:t>
      </w:r>
      <w:r>
        <w:rPr>
          <w:rFonts w:cs="Arial"/>
          <w:rtl/>
        </w:rPr>
        <w:t>ם כשהע</w:t>
      </w:r>
      <w:r>
        <w:rPr>
          <w:rFonts w:cs="Arial" w:hint="cs"/>
          <w:rtl/>
        </w:rPr>
        <w:t>כו"</w:t>
      </w:r>
      <w:r w:rsidRPr="00B70A11">
        <w:rPr>
          <w:rFonts w:cs="Arial"/>
          <w:rtl/>
        </w:rPr>
        <w:t>ם מבשלם בביתו אבל כשהוא מבשל בביתו של ישראל אין לחוש לא לחתנות ולא לשמא יאכילנו דברים טמאים</w:t>
      </w:r>
      <w:r w:rsidRPr="00B70A11">
        <w:rPr>
          <w:rFonts w:cs="Arial" w:hint="cs"/>
          <w:sz w:val="16"/>
          <w:szCs w:val="16"/>
          <w:rtl/>
        </w:rPr>
        <w:t xml:space="preserve"> (ל' התוס')</w:t>
      </w:r>
      <w:r w:rsidRPr="00B70A11">
        <w:rPr>
          <w:rFonts w:cs="Arial" w:hint="cs"/>
          <w:rtl/>
        </w:rPr>
        <w:t>.</w:t>
      </w:r>
      <w:r w:rsidRPr="00B70A11">
        <w:rPr>
          <w:rFonts w:cs="Arial"/>
          <w:rtl/>
        </w:rPr>
        <w:t xml:space="preserve"> </w:t>
      </w:r>
    </w:p>
    <w:p w14:paraId="625AE26F" w14:textId="77777777" w:rsidR="002C39F4" w:rsidRDefault="002C39F4" w:rsidP="0032102C">
      <w:pPr>
        <w:pStyle w:val="a8"/>
        <w:numPr>
          <w:ilvl w:val="0"/>
          <w:numId w:val="277"/>
        </w:numPr>
      </w:pPr>
      <w:r w:rsidRPr="00B70A11">
        <w:rPr>
          <w:rFonts w:cs="Arial" w:hint="cs"/>
          <w:rtl/>
        </w:rPr>
        <w:t xml:space="preserve">ר"ת </w:t>
      </w:r>
      <w:r w:rsidRPr="00B70A11">
        <w:rPr>
          <w:rFonts w:cs="Arial" w:hint="cs"/>
          <w:sz w:val="16"/>
          <w:szCs w:val="16"/>
          <w:rtl/>
        </w:rPr>
        <w:t xml:space="preserve">(כ"כ בשמו </w:t>
      </w:r>
      <w:r w:rsidRPr="00B70A11">
        <w:rPr>
          <w:rFonts w:cs="Arial"/>
          <w:sz w:val="16"/>
          <w:szCs w:val="16"/>
          <w:rtl/>
        </w:rPr>
        <w:t>תוס</w:t>
      </w:r>
      <w:r w:rsidRPr="00B70A11">
        <w:rPr>
          <w:rFonts w:cs="Arial" w:hint="cs"/>
          <w:sz w:val="16"/>
          <w:szCs w:val="16"/>
          <w:rtl/>
        </w:rPr>
        <w:t>'</w:t>
      </w:r>
      <w:r>
        <w:rPr>
          <w:rFonts w:cs="Arial"/>
          <w:sz w:val="16"/>
          <w:szCs w:val="16"/>
          <w:rtl/>
        </w:rPr>
        <w:t xml:space="preserve"> מרדכי</w:t>
      </w:r>
      <w:r w:rsidRPr="00B70A11">
        <w:rPr>
          <w:rFonts w:cs="Arial"/>
          <w:sz w:val="16"/>
          <w:szCs w:val="16"/>
          <w:rtl/>
        </w:rPr>
        <w:t xml:space="preserve"> </w:t>
      </w:r>
      <w:r w:rsidRPr="00B70A11">
        <w:rPr>
          <w:rFonts w:cs="Arial" w:hint="cs"/>
          <w:sz w:val="16"/>
          <w:szCs w:val="16"/>
          <w:rtl/>
        </w:rPr>
        <w:t>וטור)</w:t>
      </w:r>
      <w:r>
        <w:rPr>
          <w:rFonts w:cs="Arial" w:hint="cs"/>
          <w:rtl/>
        </w:rPr>
        <w:t xml:space="preserve"> וטור</w:t>
      </w:r>
      <w:r w:rsidRPr="00B70A11">
        <w:rPr>
          <w:rFonts w:cs="Arial" w:hint="cs"/>
          <w:rtl/>
        </w:rPr>
        <w:t>-</w:t>
      </w:r>
      <w:r>
        <w:rPr>
          <w:rFonts w:cs="Arial"/>
          <w:rtl/>
        </w:rPr>
        <w:t xml:space="preserve"> כיון שהע</w:t>
      </w:r>
      <w:r>
        <w:rPr>
          <w:rFonts w:cs="Arial" w:hint="cs"/>
          <w:rtl/>
        </w:rPr>
        <w:t>כו"</w:t>
      </w:r>
      <w:r w:rsidRPr="00B70A11">
        <w:rPr>
          <w:rFonts w:cs="Arial"/>
          <w:rtl/>
        </w:rPr>
        <w:t>ם מבשל לא חלקו כלל חכמים ב</w:t>
      </w:r>
      <w:r>
        <w:rPr>
          <w:rFonts w:cs="Arial"/>
          <w:rtl/>
        </w:rPr>
        <w:t>ין רשות הישראל לרשות הע</w:t>
      </w:r>
      <w:r>
        <w:rPr>
          <w:rFonts w:cs="Arial" w:hint="cs"/>
          <w:rtl/>
        </w:rPr>
        <w:t>כו"</w:t>
      </w:r>
      <w:r w:rsidRPr="00B70A11">
        <w:rPr>
          <w:rFonts w:cs="Arial"/>
          <w:rtl/>
        </w:rPr>
        <w:t>ם</w:t>
      </w:r>
      <w:r>
        <w:rPr>
          <w:rFonts w:cs="Arial" w:hint="cs"/>
          <w:rtl/>
        </w:rPr>
        <w:t>,</w:t>
      </w:r>
      <w:r w:rsidRPr="00B70A11">
        <w:rPr>
          <w:rFonts w:cs="Arial"/>
          <w:rtl/>
        </w:rPr>
        <w:t xml:space="preserve"> כי לעולם יש לחוש שמא לא יזהר גם בביתו </w:t>
      </w:r>
      <w:r>
        <w:rPr>
          <w:rFonts w:cs="Arial"/>
          <w:rtl/>
        </w:rPr>
        <w:t>של ישראל כמו בביתו של ע</w:t>
      </w:r>
      <w:r>
        <w:rPr>
          <w:rFonts w:cs="Arial" w:hint="cs"/>
          <w:rtl/>
        </w:rPr>
        <w:t>כו"</w:t>
      </w:r>
      <w:r w:rsidRPr="00B70A11">
        <w:rPr>
          <w:rFonts w:cs="Arial"/>
          <w:rtl/>
        </w:rPr>
        <w:t>ם</w:t>
      </w:r>
      <w:r w:rsidRPr="00B70A11">
        <w:rPr>
          <w:rFonts w:cs="Arial" w:hint="cs"/>
          <w:sz w:val="16"/>
          <w:szCs w:val="16"/>
          <w:rtl/>
        </w:rPr>
        <w:t xml:space="preserve"> (ל' התוס')</w:t>
      </w:r>
      <w:r>
        <w:rPr>
          <w:rStyle w:val="a7"/>
          <w:rFonts w:cs="Arial"/>
          <w:rtl/>
        </w:rPr>
        <w:footnoteReference w:id="2707"/>
      </w:r>
      <w:r w:rsidRPr="00B70A11">
        <w:rPr>
          <w:rFonts w:cs="Arial"/>
          <w:rtl/>
        </w:rPr>
        <w:t xml:space="preserve">. </w:t>
      </w:r>
      <w:r w:rsidRPr="000B0FB6">
        <w:rPr>
          <w:rFonts w:hint="cs"/>
          <w:color w:val="E36C0A" w:themeColor="accent6" w:themeShade="BF"/>
          <w:rtl/>
        </w:rPr>
        <w:t>(וכ"פ בשו"ע)</w:t>
      </w:r>
    </w:p>
    <w:p w14:paraId="53AD9FD4" w14:textId="77777777" w:rsidR="002C39F4" w:rsidRPr="00667A02" w:rsidRDefault="002C39F4" w:rsidP="0032102C">
      <w:pPr>
        <w:pStyle w:val="a8"/>
        <w:numPr>
          <w:ilvl w:val="0"/>
          <w:numId w:val="277"/>
        </w:numPr>
        <w:rPr>
          <w:rFonts w:cs="Arial"/>
        </w:rPr>
      </w:pPr>
      <w:r>
        <w:rPr>
          <w:rFonts w:cs="Arial" w:hint="cs"/>
          <w:rtl/>
        </w:rPr>
        <w:t>או</w:t>
      </w:r>
      <w:r>
        <w:rPr>
          <w:rFonts w:cs="Arial"/>
          <w:rtl/>
        </w:rPr>
        <w:t>"</w:t>
      </w:r>
      <w:r>
        <w:rPr>
          <w:rFonts w:cs="Arial" w:hint="cs"/>
          <w:rtl/>
        </w:rPr>
        <w:t>ה</w:t>
      </w:r>
      <w:r>
        <w:rPr>
          <w:rFonts w:cs="Arial" w:hint="cs"/>
          <w:sz w:val="16"/>
          <w:szCs w:val="16"/>
          <w:rtl/>
        </w:rPr>
        <w:t xml:space="preserve"> (כלל מג די"ג)</w:t>
      </w:r>
      <w:r>
        <w:rPr>
          <w:rFonts w:cs="Arial" w:hint="cs"/>
          <w:rtl/>
        </w:rPr>
        <w:t xml:space="preserve">- </w:t>
      </w:r>
      <w:r w:rsidRPr="004B5016">
        <w:rPr>
          <w:rFonts w:cs="Arial"/>
          <w:rtl/>
        </w:rPr>
        <w:t xml:space="preserve">לכתחלה ראוי להחמיר </w:t>
      </w:r>
      <w:r>
        <w:rPr>
          <w:rFonts w:cs="Arial" w:hint="cs"/>
          <w:rtl/>
        </w:rPr>
        <w:t>ו</w:t>
      </w:r>
      <w:r w:rsidRPr="004B5016">
        <w:rPr>
          <w:rFonts w:cs="Arial"/>
          <w:rtl/>
        </w:rPr>
        <w:t>בדיעבד מ</w:t>
      </w:r>
      <w:r>
        <w:rPr>
          <w:rFonts w:cs="Arial" w:hint="cs"/>
          <w:rtl/>
        </w:rPr>
        <w:t>ותר.</w:t>
      </w:r>
    </w:p>
    <w:p w14:paraId="46D96A3F" w14:textId="77777777" w:rsidR="002C39F4" w:rsidRPr="00F75015" w:rsidRDefault="002C39F4" w:rsidP="002C39F4">
      <w:pPr>
        <w:rPr>
          <w:sz w:val="16"/>
          <w:szCs w:val="16"/>
        </w:rPr>
      </w:pPr>
      <w:r w:rsidRPr="008D7DCB">
        <w:rPr>
          <w:rFonts w:hint="cs"/>
          <w:u w:val="single"/>
          <w:rtl/>
        </w:rPr>
        <w:t>מאכל שנאכל כמות שהוא חי ע"י הדחק:</w:t>
      </w:r>
      <w:r>
        <w:rPr>
          <w:rFonts w:hint="cs"/>
          <w:sz w:val="16"/>
          <w:szCs w:val="16"/>
          <w:rtl/>
        </w:rPr>
        <w:t xml:space="preserve">   (דרכ"מ אות ב)</w:t>
      </w:r>
    </w:p>
    <w:p w14:paraId="1DCDD1C0" w14:textId="77777777" w:rsidR="002C39F4" w:rsidRDefault="002C39F4" w:rsidP="0032102C">
      <w:pPr>
        <w:pStyle w:val="a8"/>
        <w:numPr>
          <w:ilvl w:val="0"/>
          <w:numId w:val="277"/>
        </w:numPr>
      </w:pPr>
      <w:r>
        <w:rPr>
          <w:rFonts w:hint="cs"/>
          <w:rtl/>
        </w:rPr>
        <w:t>או</w:t>
      </w:r>
      <w:r>
        <w:rPr>
          <w:rtl/>
        </w:rPr>
        <w:t>"</w:t>
      </w:r>
      <w:r>
        <w:rPr>
          <w:rFonts w:hint="cs"/>
          <w:rtl/>
        </w:rPr>
        <w:t>ה</w:t>
      </w:r>
      <w:r>
        <w:rPr>
          <w:rtl/>
        </w:rPr>
        <w:t xml:space="preserve"> </w:t>
      </w:r>
      <w:r w:rsidRPr="00F75015">
        <w:rPr>
          <w:sz w:val="16"/>
          <w:szCs w:val="16"/>
          <w:rtl/>
        </w:rPr>
        <w:t>(כלל מג ד</w:t>
      </w:r>
      <w:r w:rsidRPr="00F75015">
        <w:rPr>
          <w:rFonts w:hint="cs"/>
          <w:sz w:val="16"/>
          <w:szCs w:val="16"/>
          <w:rtl/>
        </w:rPr>
        <w:t>"</w:t>
      </w:r>
      <w:r w:rsidRPr="00F75015">
        <w:rPr>
          <w:sz w:val="16"/>
          <w:szCs w:val="16"/>
          <w:rtl/>
        </w:rPr>
        <w:t>ב)</w:t>
      </w:r>
      <w:r>
        <w:rPr>
          <w:rFonts w:hint="cs"/>
          <w:rtl/>
        </w:rPr>
        <w:t>-</w:t>
      </w:r>
      <w:r>
        <w:rPr>
          <w:rtl/>
        </w:rPr>
        <w:t xml:space="preserve"> כל שהוא נאכל כמות שהוא חי ע"י הדחק לא מקרי נאכל כמות שהוא חי</w:t>
      </w:r>
      <w:r>
        <w:rPr>
          <w:rFonts w:hint="cs"/>
          <w:rtl/>
        </w:rPr>
        <w:t>.</w:t>
      </w:r>
    </w:p>
    <w:p w14:paraId="7BF46493" w14:textId="77777777" w:rsidR="002C39F4" w:rsidRDefault="002C39F4" w:rsidP="0032102C">
      <w:pPr>
        <w:pStyle w:val="a8"/>
        <w:numPr>
          <w:ilvl w:val="0"/>
          <w:numId w:val="277"/>
        </w:numPr>
      </w:pPr>
      <w:r>
        <w:rPr>
          <w:rFonts w:cs="Arial" w:hint="cs"/>
          <w:rtl/>
        </w:rPr>
        <w:t>רשב"א</w:t>
      </w:r>
      <w:r w:rsidRPr="001656EB">
        <w:rPr>
          <w:rFonts w:cs="Arial" w:hint="cs"/>
          <w:sz w:val="16"/>
          <w:szCs w:val="16"/>
          <w:rtl/>
        </w:rPr>
        <w:t xml:space="preserve"> (תוה"ק ב"ג ש"ז)</w:t>
      </w:r>
      <w:r>
        <w:rPr>
          <w:rFonts w:cs="Arial" w:hint="cs"/>
          <w:rtl/>
        </w:rPr>
        <w:t xml:space="preserve">- </w:t>
      </w:r>
      <w:r w:rsidRPr="001656EB">
        <w:rPr>
          <w:rFonts w:cs="Arial"/>
          <w:rtl/>
        </w:rPr>
        <w:t>הקטניות יש מקצת אנשים אוכלין אותם כשהן חיין אף הם אסורים לפי שאין נאכלין אלא ע"י דחק גדול.</w:t>
      </w:r>
    </w:p>
    <w:p w14:paraId="69C35396" w14:textId="77777777" w:rsidR="002C39F4" w:rsidRDefault="002C39F4" w:rsidP="002C39F4">
      <w:r>
        <w:rPr>
          <w:rFonts w:hint="cs"/>
          <w:u w:val="single"/>
          <w:rtl/>
        </w:rPr>
        <w:t xml:space="preserve">קרביים </w:t>
      </w:r>
      <w:r>
        <w:rPr>
          <w:u w:val="single"/>
          <w:rtl/>
        </w:rPr>
        <w:t>–</w:t>
      </w:r>
      <w:r>
        <w:rPr>
          <w:rFonts w:hint="cs"/>
          <w:u w:val="single"/>
          <w:rtl/>
        </w:rPr>
        <w:t xml:space="preserve"> לעניין בישולי גוים</w:t>
      </w:r>
      <w:r w:rsidRPr="008D7DCB">
        <w:rPr>
          <w:rFonts w:hint="cs"/>
          <w:u w:val="single"/>
          <w:rtl/>
        </w:rPr>
        <w:t>:</w:t>
      </w:r>
      <w:r>
        <w:rPr>
          <w:rFonts w:hint="cs"/>
          <w:sz w:val="16"/>
          <w:szCs w:val="16"/>
          <w:rtl/>
        </w:rPr>
        <w:t xml:space="preserve">   (דרכ"מ אות ב)</w:t>
      </w:r>
    </w:p>
    <w:p w14:paraId="056A88D2" w14:textId="77777777" w:rsidR="002C39F4" w:rsidRDefault="002C39F4" w:rsidP="0032102C">
      <w:pPr>
        <w:pStyle w:val="a8"/>
        <w:numPr>
          <w:ilvl w:val="0"/>
          <w:numId w:val="277"/>
        </w:numPr>
      </w:pPr>
      <w:r>
        <w:rPr>
          <w:rFonts w:hint="cs"/>
          <w:rtl/>
        </w:rPr>
        <w:t>או</w:t>
      </w:r>
      <w:r>
        <w:rPr>
          <w:rtl/>
        </w:rPr>
        <w:t>"</w:t>
      </w:r>
      <w:r>
        <w:rPr>
          <w:rFonts w:hint="cs"/>
          <w:rtl/>
        </w:rPr>
        <w:t>ה</w:t>
      </w:r>
      <w:r>
        <w:rPr>
          <w:rtl/>
        </w:rPr>
        <w:t xml:space="preserve"> </w:t>
      </w:r>
      <w:r w:rsidRPr="00F75015">
        <w:rPr>
          <w:sz w:val="16"/>
          <w:szCs w:val="16"/>
          <w:rtl/>
        </w:rPr>
        <w:t>(כלל מג ד</w:t>
      </w:r>
      <w:r w:rsidRPr="00F75015">
        <w:rPr>
          <w:rFonts w:hint="cs"/>
          <w:sz w:val="16"/>
          <w:szCs w:val="16"/>
          <w:rtl/>
        </w:rPr>
        <w:t>"</w:t>
      </w:r>
      <w:r w:rsidRPr="00F75015">
        <w:rPr>
          <w:sz w:val="16"/>
          <w:szCs w:val="16"/>
          <w:rtl/>
        </w:rPr>
        <w:t>ב)</w:t>
      </w:r>
      <w:r>
        <w:rPr>
          <w:rFonts w:hint="cs"/>
          <w:rtl/>
        </w:rPr>
        <w:t>-</w:t>
      </w:r>
      <w:r>
        <w:rPr>
          <w:rtl/>
        </w:rPr>
        <w:t xml:space="preserve"> קרביים אע</w:t>
      </w:r>
      <w:r>
        <w:rPr>
          <w:rFonts w:hint="cs"/>
          <w:rtl/>
        </w:rPr>
        <w:t>"</w:t>
      </w:r>
      <w:r>
        <w:rPr>
          <w:rtl/>
        </w:rPr>
        <w:t xml:space="preserve">פ דאמרינן </w:t>
      </w:r>
      <w:r w:rsidRPr="00F75015">
        <w:rPr>
          <w:sz w:val="16"/>
          <w:szCs w:val="16"/>
          <w:rtl/>
        </w:rPr>
        <w:t>(נדרים נד</w:t>
      </w:r>
      <w:r w:rsidRPr="00F75015">
        <w:rPr>
          <w:rFonts w:hint="cs"/>
          <w:sz w:val="16"/>
          <w:szCs w:val="16"/>
          <w:rtl/>
        </w:rPr>
        <w:t>:</w:t>
      </w:r>
      <w:r>
        <w:rPr>
          <w:rFonts w:hint="cs"/>
          <w:sz w:val="16"/>
          <w:szCs w:val="16"/>
          <w:rtl/>
        </w:rPr>
        <w:t>, וכן בריש סי' עה</w:t>
      </w:r>
      <w:r w:rsidRPr="00F75015">
        <w:rPr>
          <w:sz w:val="16"/>
          <w:szCs w:val="16"/>
          <w:rtl/>
        </w:rPr>
        <w:t xml:space="preserve">) </w:t>
      </w:r>
      <w:r>
        <w:rPr>
          <w:rtl/>
        </w:rPr>
        <w:t>אוכליהן לאו בר אינש ולא הוי חתיכה הראוי להתכבד מכל מקום אסור משום בישולי גוים</w:t>
      </w:r>
      <w:r>
        <w:rPr>
          <w:rFonts w:hint="cs"/>
          <w:rtl/>
        </w:rPr>
        <w:t>,</w:t>
      </w:r>
      <w:r>
        <w:rPr>
          <w:rtl/>
        </w:rPr>
        <w:t xml:space="preserve"> וכן כמהין ופטריות וכל כיוצא בו</w:t>
      </w:r>
      <w:r>
        <w:rPr>
          <w:rFonts w:hint="cs"/>
          <w:rtl/>
        </w:rPr>
        <w:t>. (וכ"כ הש"ך)</w:t>
      </w:r>
    </w:p>
    <w:p w14:paraId="630FA64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A6A97EE" w14:textId="77777777" w:rsidR="002C39F4" w:rsidRDefault="002C39F4" w:rsidP="002C39F4">
      <w:pPr>
        <w:rPr>
          <w:rFonts w:asciiTheme="minorBidi" w:hAnsiTheme="minorBidi"/>
          <w:rtl/>
        </w:rPr>
      </w:pPr>
      <w:r>
        <w:rPr>
          <w:rFonts w:asciiTheme="minorBidi" w:hAnsiTheme="minorBidi"/>
          <w:rtl/>
        </w:rPr>
        <w:t>דבר שאינו נאכל כמו שהוא חי</w:t>
      </w:r>
      <w:r w:rsidRPr="003024E5">
        <w:rPr>
          <w:rFonts w:asciiTheme="minorBidi" w:hAnsiTheme="minorBidi"/>
          <w:rtl/>
        </w:rPr>
        <w:t xml:space="preserve"> וגם עו</w:t>
      </w:r>
      <w:r>
        <w:rPr>
          <w:rFonts w:asciiTheme="minorBidi" w:hAnsiTheme="minorBidi"/>
          <w:rtl/>
        </w:rPr>
        <w:t>לה על שלחן מלכים ללפת בו את הפת או לפרפרת</w:t>
      </w:r>
      <w:r w:rsidRPr="003024E5">
        <w:rPr>
          <w:rFonts w:asciiTheme="minorBidi" w:hAnsiTheme="minorBidi"/>
          <w:rtl/>
        </w:rPr>
        <w:t xml:space="preserve"> שבישלו </w:t>
      </w:r>
      <w:r>
        <w:rPr>
          <w:rFonts w:asciiTheme="minorBidi" w:hAnsiTheme="minorBidi"/>
          <w:rtl/>
        </w:rPr>
        <w:t>גוים אפילו בכלי ישראל ובבית ישראל</w:t>
      </w:r>
      <w:r w:rsidRPr="003024E5">
        <w:rPr>
          <w:rFonts w:asciiTheme="minorBidi" w:hAnsiTheme="minorBidi"/>
          <w:rtl/>
        </w:rPr>
        <w:t xml:space="preserve"> אסור משום בישולי </w:t>
      </w:r>
      <w:r>
        <w:rPr>
          <w:rFonts w:asciiTheme="minorBidi" w:hAnsiTheme="minorBidi"/>
          <w:rtl/>
        </w:rPr>
        <w:t>גוים</w:t>
      </w:r>
      <w:r w:rsidRPr="003024E5">
        <w:rPr>
          <w:rFonts w:asciiTheme="minorBidi" w:hAnsiTheme="minorBidi"/>
          <w:rtl/>
        </w:rPr>
        <w:t xml:space="preserve">. </w:t>
      </w:r>
    </w:p>
    <w:p w14:paraId="165370C3" w14:textId="77777777" w:rsidR="002C39F4" w:rsidRDefault="002C39F4" w:rsidP="002C39F4">
      <w:pPr>
        <w:rPr>
          <w:rFonts w:asciiTheme="minorBidi" w:hAnsiTheme="minorBidi"/>
          <w:rtl/>
        </w:rPr>
      </w:pPr>
    </w:p>
    <w:p w14:paraId="1A19A084"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תערובת מדבר האסור בבשולי גוים ומדבר המותר.</w:t>
      </w:r>
    </w:p>
    <w:p w14:paraId="642F99DA" w14:textId="77777777" w:rsidR="002C39F4" w:rsidRDefault="002C39F4" w:rsidP="002C39F4">
      <w:pPr>
        <w:rPr>
          <w:rFonts w:cs="Arial"/>
          <w:rtl/>
        </w:rPr>
      </w:pPr>
      <w:r>
        <w:rPr>
          <w:rFonts w:cs="Arial" w:hint="cs"/>
          <w:b/>
          <w:bCs/>
          <w:rtl/>
        </w:rPr>
        <w:t xml:space="preserve">עבודה זרה לח ע"א: </w:t>
      </w:r>
      <w:r w:rsidRPr="001656EB">
        <w:rPr>
          <w:rFonts w:cs="Arial"/>
          <w:u w:val="single"/>
          <w:rtl/>
        </w:rPr>
        <w:t>אמר רב אסי אמר רב</w:t>
      </w:r>
      <w:r w:rsidRPr="001656EB">
        <w:rPr>
          <w:rFonts w:cs="Arial"/>
          <w:rtl/>
        </w:rPr>
        <w:t>: דגים קטנים מלוחים - אין בהן משום בישולי עובדי כוכבים.</w:t>
      </w:r>
      <w:r>
        <w:rPr>
          <w:rFonts w:cs="Arial" w:hint="cs"/>
          <w:rtl/>
        </w:rPr>
        <w:t xml:space="preserve">.. </w:t>
      </w:r>
      <w:r w:rsidRPr="001656EB">
        <w:rPr>
          <w:rFonts w:cs="Arial"/>
          <w:rtl/>
        </w:rPr>
        <w:t xml:space="preserve">ואי עבדינהו עובד כוכבים כסא דהרסנא - אסור. פשיטא! מהו דתימא הרסנא עיקר, קמ"ל קימחא עיקר. </w:t>
      </w:r>
      <w:r w:rsidRPr="00EF088B">
        <w:rPr>
          <w:rFonts w:cs="Arial"/>
          <w:rtl/>
        </w:rPr>
        <w:t xml:space="preserve"> </w:t>
      </w:r>
    </w:p>
    <w:p w14:paraId="112E3F5A" w14:textId="77777777" w:rsidR="002C39F4" w:rsidRPr="0048371F" w:rsidRDefault="002C39F4" w:rsidP="002C39F4">
      <w:pPr>
        <w:rPr>
          <w:u w:val="single"/>
          <w:rtl/>
        </w:rPr>
      </w:pPr>
      <w:r w:rsidRPr="0048371F">
        <w:rPr>
          <w:rFonts w:asciiTheme="minorBidi" w:hAnsiTheme="minorBidi" w:hint="cs"/>
          <w:u w:val="single"/>
          <w:rtl/>
        </w:rPr>
        <w:t xml:space="preserve">תערובת מדבר האסור בבשולי גוים ומדבר המותר </w:t>
      </w:r>
      <w:r>
        <w:rPr>
          <w:rFonts w:asciiTheme="minorBidi" w:hAnsiTheme="minorBidi" w:hint="cs"/>
          <w:u w:val="single"/>
          <w:rtl/>
        </w:rPr>
        <w:t xml:space="preserve">- </w:t>
      </w:r>
      <w:r w:rsidRPr="0048371F">
        <w:rPr>
          <w:rFonts w:asciiTheme="minorBidi" w:hAnsiTheme="minorBidi" w:hint="cs"/>
          <w:u w:val="single"/>
          <w:rtl/>
        </w:rPr>
        <w:t>שנתבשלה ע"י גוי</w:t>
      </w:r>
      <w:r w:rsidRPr="0048371F">
        <w:rPr>
          <w:rFonts w:hint="cs"/>
          <w:u w:val="single"/>
          <w:rtl/>
        </w:rPr>
        <w:t>:</w:t>
      </w:r>
    </w:p>
    <w:p w14:paraId="36411C8A" w14:textId="77777777" w:rsidR="002C39F4" w:rsidRDefault="002C39F4" w:rsidP="0032102C">
      <w:pPr>
        <w:pStyle w:val="a8"/>
        <w:numPr>
          <w:ilvl w:val="0"/>
          <w:numId w:val="278"/>
        </w:numPr>
      </w:pPr>
      <w:r>
        <w:rPr>
          <w:rFonts w:hint="cs"/>
          <w:rtl/>
        </w:rPr>
        <w:t>רשב"א</w:t>
      </w:r>
      <w:r w:rsidRPr="001656EB">
        <w:rPr>
          <w:rFonts w:hint="cs"/>
          <w:sz w:val="16"/>
          <w:szCs w:val="16"/>
          <w:rtl/>
        </w:rPr>
        <w:t xml:space="preserve"> (תוה"ק ב"ג ש"ז צה.)</w:t>
      </w:r>
      <w:r>
        <w:rPr>
          <w:rFonts w:hint="cs"/>
          <w:rtl/>
        </w:rPr>
        <w:t xml:space="preserve"> וטור- </w:t>
      </w:r>
      <w:r w:rsidRPr="0048371F">
        <w:rPr>
          <w:rFonts w:cs="Arial"/>
          <w:rtl/>
        </w:rPr>
        <w:t xml:space="preserve">עירב דבר הנאכל כמו שהוא חי עם דבר שאינו נאכל כמו שהוא חי ובשלם </w:t>
      </w:r>
      <w:r w:rsidRPr="0048371F">
        <w:rPr>
          <w:rFonts w:cs="Arial" w:hint="cs"/>
          <w:rtl/>
        </w:rPr>
        <w:t>גוי,</w:t>
      </w:r>
      <w:r w:rsidRPr="0048371F">
        <w:rPr>
          <w:rFonts w:cs="Arial"/>
          <w:rtl/>
        </w:rPr>
        <w:t xml:space="preserve"> רואין</w:t>
      </w:r>
      <w:r>
        <w:rPr>
          <w:rFonts w:cs="Arial" w:hint="cs"/>
          <w:rtl/>
        </w:rPr>
        <w:t>,</w:t>
      </w:r>
      <w:r w:rsidRPr="0048371F">
        <w:rPr>
          <w:rFonts w:cs="Arial"/>
          <w:rtl/>
        </w:rPr>
        <w:t xml:space="preserve"> אם העיקר מדברים שיש בהן משום בישולי </w:t>
      </w:r>
      <w:r w:rsidRPr="0048371F">
        <w:rPr>
          <w:rFonts w:cs="Arial" w:hint="cs"/>
          <w:rtl/>
        </w:rPr>
        <w:t>גוים</w:t>
      </w:r>
      <w:r>
        <w:rPr>
          <w:rFonts w:cs="Arial" w:hint="cs"/>
          <w:rtl/>
        </w:rPr>
        <w:t xml:space="preserve"> -</w:t>
      </w:r>
      <w:r w:rsidRPr="0048371F">
        <w:rPr>
          <w:rFonts w:cs="Arial"/>
          <w:rtl/>
        </w:rPr>
        <w:t xml:space="preserve"> אסור</w:t>
      </w:r>
      <w:r w:rsidRPr="0048371F">
        <w:rPr>
          <w:rFonts w:cs="Arial" w:hint="cs"/>
          <w:rtl/>
        </w:rPr>
        <w:t>,</w:t>
      </w:r>
      <w:r w:rsidRPr="0048371F">
        <w:rPr>
          <w:rFonts w:cs="Arial"/>
          <w:rtl/>
        </w:rPr>
        <w:t xml:space="preserve"> ואם העיקר מדברים שאין בהן משום בישולי </w:t>
      </w:r>
      <w:r w:rsidRPr="0048371F">
        <w:rPr>
          <w:rFonts w:cs="Arial" w:hint="cs"/>
          <w:rtl/>
        </w:rPr>
        <w:t>גוים</w:t>
      </w:r>
      <w:r>
        <w:rPr>
          <w:rFonts w:cs="Arial" w:hint="cs"/>
          <w:rtl/>
        </w:rPr>
        <w:t xml:space="preserve"> -</w:t>
      </w:r>
      <w:r w:rsidRPr="0048371F">
        <w:rPr>
          <w:rFonts w:cs="Arial"/>
          <w:rtl/>
        </w:rPr>
        <w:t xml:space="preserve"> מותר</w:t>
      </w:r>
      <w:r w:rsidRPr="0048371F">
        <w:rPr>
          <w:rFonts w:cs="Arial" w:hint="cs"/>
          <w:rtl/>
        </w:rPr>
        <w:t>,</w:t>
      </w:r>
      <w:r w:rsidRPr="0048371F">
        <w:rPr>
          <w:rFonts w:cs="Arial"/>
          <w:rtl/>
        </w:rPr>
        <w:t xml:space="preserve"> שהולכין אחר העיקר בין להקל בין להחמיר</w:t>
      </w:r>
      <w:r w:rsidRPr="0048371F">
        <w:rPr>
          <w:rFonts w:cs="Arial" w:hint="cs"/>
          <w:rtl/>
        </w:rPr>
        <w:t>,</w:t>
      </w:r>
      <w:r w:rsidRPr="0048371F">
        <w:rPr>
          <w:rFonts w:cs="Arial"/>
          <w:rtl/>
        </w:rPr>
        <w:t xml:space="preserve"> לפיכך הרסנא שעושין מדגים והוא מציר של דגים הנאכל כמו שהוא חי ומקמח</w:t>
      </w:r>
      <w:r>
        <w:rPr>
          <w:rFonts w:cs="Arial" w:hint="cs"/>
          <w:rtl/>
        </w:rPr>
        <w:t xml:space="preserve"> -</w:t>
      </w:r>
      <w:r w:rsidRPr="0048371F">
        <w:rPr>
          <w:rFonts w:cs="Arial"/>
          <w:rtl/>
        </w:rPr>
        <w:t xml:space="preserve"> אסור</w:t>
      </w:r>
      <w:r w:rsidRPr="0048371F">
        <w:rPr>
          <w:rFonts w:cs="Arial" w:hint="cs"/>
          <w:rtl/>
        </w:rPr>
        <w:t>,</w:t>
      </w:r>
      <w:r w:rsidRPr="0048371F">
        <w:rPr>
          <w:rFonts w:cs="Arial"/>
          <w:rtl/>
        </w:rPr>
        <w:t xml:space="preserve"> שהקמח עיקר</w:t>
      </w:r>
      <w:r>
        <w:rPr>
          <w:rFonts w:cs="Arial" w:hint="cs"/>
          <w:sz w:val="16"/>
          <w:szCs w:val="16"/>
          <w:rtl/>
        </w:rPr>
        <w:t xml:space="preserve"> (ל' הטור)</w:t>
      </w:r>
      <w:r w:rsidRPr="0048371F">
        <w:rPr>
          <w:rFonts w:cs="Arial" w:hint="cs"/>
          <w:rtl/>
        </w:rPr>
        <w:t>.</w:t>
      </w:r>
      <w:r>
        <w:rPr>
          <w:rFonts w:hint="cs"/>
          <w:rtl/>
        </w:rPr>
        <w:t xml:space="preserve"> </w:t>
      </w:r>
      <w:r w:rsidRPr="000B0FB6">
        <w:rPr>
          <w:rFonts w:hint="cs"/>
          <w:color w:val="E36C0A" w:themeColor="accent6" w:themeShade="BF"/>
          <w:rtl/>
        </w:rPr>
        <w:t>(וכ"פ בשו"ע)</w:t>
      </w:r>
    </w:p>
    <w:p w14:paraId="7AF0A07D" w14:textId="77777777" w:rsidR="002C39F4" w:rsidRDefault="002C39F4" w:rsidP="002C39F4">
      <w:pPr>
        <w:rPr>
          <w:rtl/>
        </w:rPr>
      </w:pPr>
      <w:r w:rsidRPr="001111DA">
        <w:rPr>
          <w:rFonts w:cs="Arial" w:hint="cs"/>
          <w:b/>
          <w:bCs/>
          <w:rtl/>
        </w:rPr>
        <w:t xml:space="preserve">עבודה זרה נט ע"א: </w:t>
      </w:r>
      <w:r w:rsidRPr="001111DA">
        <w:rPr>
          <w:rFonts w:cs="Arial"/>
          <w:rtl/>
        </w:rPr>
        <w:t>ועל תורמוסן משום בישולי עובדי כוכבים לפי שאינן בני תורה</w:t>
      </w:r>
      <w:r>
        <w:rPr>
          <w:rStyle w:val="a7"/>
          <w:rFonts w:cs="Arial"/>
          <w:rtl/>
        </w:rPr>
        <w:footnoteReference w:id="2708"/>
      </w:r>
      <w:r w:rsidRPr="001111DA">
        <w:rPr>
          <w:rFonts w:cs="Arial"/>
          <w:rtl/>
        </w:rPr>
        <w:t xml:space="preserve"> - טעמא דאינן בני תורה, הא בני תורה שרי, </w:t>
      </w:r>
      <w:r w:rsidRPr="001111DA">
        <w:rPr>
          <w:rFonts w:cs="Arial"/>
          <w:u w:val="single"/>
          <w:rtl/>
        </w:rPr>
        <w:t>והאמר רב שמואל בר רב יצחק אמר רב</w:t>
      </w:r>
      <w:r w:rsidRPr="001111DA">
        <w:rPr>
          <w:rFonts w:cs="Arial"/>
          <w:rtl/>
        </w:rPr>
        <w:t>: כל שנאכל כמות שהוא חי - אין בו משום בישולי עובדי כוכבים</w:t>
      </w:r>
      <w:r>
        <w:rPr>
          <w:rStyle w:val="a7"/>
          <w:rFonts w:cs="Arial"/>
          <w:rtl/>
        </w:rPr>
        <w:footnoteReference w:id="2709"/>
      </w:r>
      <w:r w:rsidRPr="001111DA">
        <w:rPr>
          <w:rFonts w:cs="Arial"/>
          <w:rtl/>
        </w:rPr>
        <w:t>! ר' יוחנן כי הך לישנא ס"ל, דאמר רב שמואל בר רב יצחק אמר רב: כל שאינו עולה לשולחן של מלכים ללפת בו את הפת - אין בו משום בישולי עובדי כוכבים</w:t>
      </w:r>
      <w:r>
        <w:rPr>
          <w:rStyle w:val="a7"/>
          <w:rFonts w:cs="Arial"/>
          <w:rtl/>
        </w:rPr>
        <w:footnoteReference w:id="2710"/>
      </w:r>
      <w:r w:rsidRPr="001111DA">
        <w:rPr>
          <w:rFonts w:cs="Arial"/>
          <w:rtl/>
        </w:rPr>
        <w:t>, טעמא דאינן בני תורה, הא בני תורה שרי.</w:t>
      </w:r>
      <w:r>
        <w:rPr>
          <w:rFonts w:hint="cs"/>
          <w:rtl/>
        </w:rPr>
        <w:t xml:space="preserve"> </w:t>
      </w:r>
      <w:r w:rsidRPr="0034618B">
        <w:rPr>
          <w:rFonts w:hint="cs"/>
          <w:sz w:val="16"/>
          <w:szCs w:val="16"/>
          <w:rtl/>
        </w:rPr>
        <w:t>(</w:t>
      </w:r>
      <w:r w:rsidRPr="0034618B">
        <w:rPr>
          <w:rFonts w:cs="Arial"/>
          <w:sz w:val="16"/>
          <w:szCs w:val="16"/>
          <w:rtl/>
        </w:rPr>
        <w:t>והילכת</w:t>
      </w:r>
      <w:r w:rsidRPr="0034618B">
        <w:rPr>
          <w:rFonts w:cs="Arial" w:hint="cs"/>
          <w:sz w:val="16"/>
          <w:szCs w:val="16"/>
          <w:rtl/>
        </w:rPr>
        <w:t>א</w:t>
      </w:r>
      <w:r w:rsidRPr="0034618B">
        <w:rPr>
          <w:rFonts w:cs="Arial"/>
          <w:sz w:val="16"/>
          <w:szCs w:val="16"/>
          <w:rtl/>
        </w:rPr>
        <w:t xml:space="preserve"> כר' יוחנן</w:t>
      </w:r>
      <w:r w:rsidRPr="0034618B">
        <w:rPr>
          <w:rFonts w:cs="Arial" w:hint="cs"/>
          <w:sz w:val="16"/>
          <w:szCs w:val="16"/>
          <w:rtl/>
        </w:rPr>
        <w:t xml:space="preserve">, רי"ד (פסקים). וכתב המאירי- </w:t>
      </w:r>
      <w:r w:rsidRPr="0034618B">
        <w:rPr>
          <w:rFonts w:cs="Arial"/>
          <w:sz w:val="16"/>
          <w:szCs w:val="16"/>
          <w:rtl/>
        </w:rPr>
        <w:t>כבר ביארנו במסכתא זו שכל שהוא נאכל כמות שהוא חי או שאינו עולה על שלחן מלכים אין בו משום בשולי גוים ומ"מ במקום שאינן בני תורה והדבר מצוי לבא לידי פרצה חוששין בדבר וחוככין להחמיר וכן בכל כיוצא בזה</w:t>
      </w:r>
      <w:r>
        <w:rPr>
          <w:rStyle w:val="a7"/>
          <w:rFonts w:cs="Arial"/>
          <w:sz w:val="16"/>
          <w:szCs w:val="16"/>
          <w:rtl/>
        </w:rPr>
        <w:footnoteReference w:id="2711"/>
      </w:r>
      <w:r w:rsidRPr="0034618B">
        <w:rPr>
          <w:rFonts w:hint="cs"/>
          <w:sz w:val="16"/>
          <w:szCs w:val="16"/>
          <w:rtl/>
        </w:rPr>
        <w:t>)</w:t>
      </w:r>
    </w:p>
    <w:p w14:paraId="7C49CAC0" w14:textId="77777777" w:rsidR="002C39F4" w:rsidRDefault="002C39F4" w:rsidP="002C39F4">
      <w:pPr>
        <w:rPr>
          <w:rFonts w:cs="Arial"/>
          <w:rtl/>
        </w:rPr>
      </w:pPr>
      <w:r w:rsidRPr="0048371F">
        <w:rPr>
          <w:rFonts w:cs="Arial" w:hint="cs"/>
          <w:u w:val="single"/>
          <w:rtl/>
        </w:rPr>
        <w:t>תורמוס לעניין בישולי גוים:</w:t>
      </w:r>
      <w:r>
        <w:rPr>
          <w:rFonts w:cs="Arial" w:hint="cs"/>
          <w:sz w:val="16"/>
          <w:szCs w:val="16"/>
          <w:rtl/>
        </w:rPr>
        <w:t xml:space="preserve">  </w:t>
      </w:r>
      <w:r w:rsidRPr="0048371F">
        <w:rPr>
          <w:rFonts w:cs="Arial"/>
          <w:sz w:val="16"/>
          <w:szCs w:val="16"/>
          <w:rtl/>
        </w:rPr>
        <w:t xml:space="preserve"> </w:t>
      </w:r>
      <w:r w:rsidRPr="0048371F">
        <w:rPr>
          <w:rFonts w:cs="Arial" w:hint="cs"/>
          <w:sz w:val="16"/>
          <w:szCs w:val="16"/>
          <w:rtl/>
        </w:rPr>
        <w:t>(בדה"ב)</w:t>
      </w:r>
    </w:p>
    <w:p w14:paraId="35F424F5" w14:textId="77777777" w:rsidR="002C39F4" w:rsidRPr="0048371F" w:rsidRDefault="002C39F4" w:rsidP="0032102C">
      <w:pPr>
        <w:pStyle w:val="a8"/>
        <w:numPr>
          <w:ilvl w:val="0"/>
          <w:numId w:val="278"/>
        </w:numPr>
        <w:rPr>
          <w:rFonts w:cs="Arial"/>
          <w:rtl/>
        </w:rPr>
      </w:pPr>
      <w:r w:rsidRPr="0048371F">
        <w:rPr>
          <w:rFonts w:cs="Arial" w:hint="cs"/>
          <w:rtl/>
        </w:rPr>
        <w:t>רי"ו</w:t>
      </w:r>
      <w:r w:rsidRPr="0048371F">
        <w:rPr>
          <w:rFonts w:cs="Arial"/>
          <w:rtl/>
        </w:rPr>
        <w:t xml:space="preserve"> </w:t>
      </w:r>
      <w:r w:rsidRPr="0048371F">
        <w:rPr>
          <w:rFonts w:cs="Arial"/>
          <w:sz w:val="16"/>
          <w:szCs w:val="16"/>
          <w:rtl/>
        </w:rPr>
        <w:t>(ני"ז ח"ז קס ע"ד)</w:t>
      </w:r>
      <w:r>
        <w:rPr>
          <w:rFonts w:cs="Arial" w:hint="cs"/>
          <w:rtl/>
        </w:rPr>
        <w:t>-</w:t>
      </w:r>
      <w:r w:rsidRPr="0048371F">
        <w:rPr>
          <w:rFonts w:cs="Arial"/>
          <w:rtl/>
        </w:rPr>
        <w:t xml:space="preserve"> התורמוס אין בו משום בישולי גוים לפי שאינו עולה על שלחן מלכים ללפת בו את הפת פשוט בפרק החולץ </w:t>
      </w:r>
      <w:r w:rsidRPr="0048371F">
        <w:rPr>
          <w:rFonts w:cs="Arial"/>
          <w:sz w:val="16"/>
          <w:szCs w:val="16"/>
          <w:rtl/>
        </w:rPr>
        <w:t>(יבמות מו.)</w:t>
      </w:r>
      <w:r w:rsidRPr="0048371F">
        <w:rPr>
          <w:rFonts w:cs="Arial" w:hint="cs"/>
          <w:rtl/>
        </w:rPr>
        <w:t>,</w:t>
      </w:r>
      <w:r w:rsidRPr="0048371F">
        <w:rPr>
          <w:rFonts w:cs="Arial"/>
          <w:rtl/>
        </w:rPr>
        <w:t xml:space="preserve"> ויש אוסרים אותו כיון שאין אנו בני תורה כדאמרינן בסוף פרק רבי ישמעאל </w:t>
      </w:r>
      <w:r w:rsidRPr="0048371F">
        <w:rPr>
          <w:rFonts w:cs="Arial"/>
          <w:sz w:val="16"/>
          <w:szCs w:val="16"/>
          <w:rtl/>
        </w:rPr>
        <w:t>(</w:t>
      </w:r>
      <w:r>
        <w:rPr>
          <w:rFonts w:cs="Arial" w:hint="cs"/>
          <w:sz w:val="16"/>
          <w:szCs w:val="16"/>
          <w:rtl/>
        </w:rPr>
        <w:t xml:space="preserve">ע"ז </w:t>
      </w:r>
      <w:r w:rsidRPr="0048371F">
        <w:rPr>
          <w:rFonts w:cs="Arial"/>
          <w:sz w:val="16"/>
          <w:szCs w:val="16"/>
          <w:rtl/>
        </w:rPr>
        <w:t>נט.)</w:t>
      </w:r>
      <w:r w:rsidRPr="0048371F">
        <w:rPr>
          <w:rFonts w:cs="Arial" w:hint="cs"/>
          <w:rtl/>
        </w:rPr>
        <w:t>,</w:t>
      </w:r>
      <w:r w:rsidRPr="0048371F">
        <w:rPr>
          <w:rFonts w:cs="Arial"/>
          <w:rtl/>
        </w:rPr>
        <w:t xml:space="preserve"> וראשון עיקר</w:t>
      </w:r>
      <w:r w:rsidRPr="0048371F">
        <w:rPr>
          <w:rFonts w:cs="Arial" w:hint="cs"/>
          <w:rtl/>
        </w:rPr>
        <w:t>,</w:t>
      </w:r>
      <w:r w:rsidRPr="0048371F">
        <w:rPr>
          <w:rFonts w:cs="Arial"/>
          <w:rtl/>
        </w:rPr>
        <w:t xml:space="preserve"> וכ"כ הרא"ש </w:t>
      </w:r>
      <w:r w:rsidRPr="0048371F">
        <w:rPr>
          <w:rFonts w:cs="Arial"/>
          <w:sz w:val="16"/>
          <w:szCs w:val="16"/>
          <w:rtl/>
        </w:rPr>
        <w:t xml:space="preserve">(סי' ה) </w:t>
      </w:r>
      <w:r w:rsidRPr="0048371F">
        <w:rPr>
          <w:rFonts w:cs="Arial"/>
          <w:rtl/>
        </w:rPr>
        <w:t xml:space="preserve">בפ"ק דביצה </w:t>
      </w:r>
      <w:r w:rsidRPr="0048371F">
        <w:rPr>
          <w:rFonts w:cs="Arial"/>
          <w:sz w:val="16"/>
          <w:szCs w:val="16"/>
          <w:rtl/>
        </w:rPr>
        <w:t xml:space="preserve">(ו.) </w:t>
      </w:r>
      <w:r w:rsidRPr="0048371F">
        <w:rPr>
          <w:rFonts w:cs="Arial"/>
          <w:rtl/>
        </w:rPr>
        <w:t>בההיא דמת ביום טוב ראשון</w:t>
      </w:r>
      <w:r>
        <w:rPr>
          <w:rFonts w:cs="Arial"/>
          <w:rtl/>
        </w:rPr>
        <w:t xml:space="preserve"> יתעסקו בו עממין</w:t>
      </w:r>
      <w:r>
        <w:rPr>
          <w:rFonts w:cs="Arial" w:hint="cs"/>
          <w:rtl/>
        </w:rPr>
        <w:t>.</w:t>
      </w:r>
    </w:p>
    <w:p w14:paraId="723A928F" w14:textId="77777777" w:rsidR="002C39F4" w:rsidRDefault="002C39F4" w:rsidP="002C39F4">
      <w:pPr>
        <w:rPr>
          <w:rFonts w:cs="Arial"/>
          <w:rtl/>
        </w:rPr>
      </w:pPr>
      <w:r>
        <w:rPr>
          <w:rFonts w:cs="Arial" w:hint="cs"/>
          <w:b/>
          <w:bCs/>
          <w:rtl/>
        </w:rPr>
        <w:t xml:space="preserve">עבודה זרה לז ע"ב: </w:t>
      </w:r>
      <w:r w:rsidRPr="00E31191">
        <w:rPr>
          <w:rFonts w:cs="Arial"/>
          <w:rtl/>
        </w:rPr>
        <w:t>תנ</w:t>
      </w:r>
      <w:r>
        <w:rPr>
          <w:rFonts w:cs="Arial"/>
          <w:rtl/>
        </w:rPr>
        <w:t>יא: חיטין ועשאן קליות – מותרין</w:t>
      </w:r>
      <w:r>
        <w:rPr>
          <w:rFonts w:cs="Arial" w:hint="cs"/>
          <w:rtl/>
        </w:rPr>
        <w:t>.</w:t>
      </w:r>
    </w:p>
    <w:p w14:paraId="4C1563B2" w14:textId="77777777" w:rsidR="002C39F4" w:rsidRPr="004C154E" w:rsidRDefault="002C39F4" w:rsidP="002C39F4">
      <w:pPr>
        <w:rPr>
          <w:rFonts w:cs="Arial"/>
          <w:sz w:val="16"/>
          <w:szCs w:val="16"/>
          <w:rtl/>
        </w:rPr>
      </w:pPr>
      <w:r>
        <w:rPr>
          <w:rFonts w:cs="Arial" w:hint="cs"/>
          <w:u w:val="single"/>
          <w:rtl/>
        </w:rPr>
        <w:t>מתי אין איסור בקליות משום בישולי גוים</w:t>
      </w:r>
      <w:r w:rsidRPr="004C154E">
        <w:rPr>
          <w:rFonts w:cs="Arial" w:hint="cs"/>
          <w:u w:val="single"/>
          <w:rtl/>
        </w:rPr>
        <w:t>:</w:t>
      </w:r>
      <w:r>
        <w:rPr>
          <w:rFonts w:cs="Arial" w:hint="cs"/>
          <w:sz w:val="16"/>
          <w:szCs w:val="16"/>
          <w:rtl/>
        </w:rPr>
        <w:t xml:space="preserve"> </w:t>
      </w:r>
    </w:p>
    <w:p w14:paraId="6B9E854B" w14:textId="77777777" w:rsidR="002C39F4" w:rsidRPr="004C154E" w:rsidRDefault="002C39F4" w:rsidP="0032102C">
      <w:pPr>
        <w:pStyle w:val="a8"/>
        <w:numPr>
          <w:ilvl w:val="0"/>
          <w:numId w:val="278"/>
        </w:numPr>
        <w:rPr>
          <w:rFonts w:cs="Arial"/>
          <w:rtl/>
        </w:rPr>
      </w:pPr>
      <w:r>
        <w:rPr>
          <w:rFonts w:cs="Arial"/>
          <w:rtl/>
        </w:rPr>
        <w:t xml:space="preserve">רשב"א </w:t>
      </w:r>
      <w:r w:rsidRPr="004C154E">
        <w:rPr>
          <w:rFonts w:cs="Arial" w:hint="cs"/>
          <w:sz w:val="16"/>
          <w:szCs w:val="16"/>
          <w:rtl/>
        </w:rPr>
        <w:t xml:space="preserve">(תוה"ק </w:t>
      </w:r>
      <w:r w:rsidRPr="004C154E">
        <w:rPr>
          <w:rFonts w:cs="Arial"/>
          <w:sz w:val="16"/>
          <w:szCs w:val="16"/>
          <w:rtl/>
        </w:rPr>
        <w:t>ב"ג ש"ז צד.</w:t>
      </w:r>
      <w:r w:rsidRPr="004C154E">
        <w:rPr>
          <w:rFonts w:cs="Arial" w:hint="cs"/>
          <w:sz w:val="16"/>
          <w:szCs w:val="16"/>
          <w:rtl/>
        </w:rPr>
        <w:t>, הביאו רי"ו שם</w:t>
      </w:r>
      <w:r w:rsidRPr="004C154E">
        <w:rPr>
          <w:rFonts w:cs="Arial"/>
          <w:sz w:val="16"/>
          <w:szCs w:val="16"/>
          <w:rtl/>
        </w:rPr>
        <w:t>)</w:t>
      </w:r>
      <w:r>
        <w:rPr>
          <w:rFonts w:cs="Arial" w:hint="cs"/>
          <w:rtl/>
        </w:rPr>
        <w:t>-</w:t>
      </w:r>
      <w:r w:rsidRPr="004C154E">
        <w:rPr>
          <w:rFonts w:cs="Arial"/>
          <w:rtl/>
        </w:rPr>
        <w:t xml:space="preserve"> דוקא נאכלין כשהן חיים כגון חטה שיש בני אדם שכוססין אותה חיה</w:t>
      </w:r>
      <w:r w:rsidRPr="004C154E">
        <w:rPr>
          <w:rFonts w:cs="Arial" w:hint="cs"/>
          <w:rtl/>
        </w:rPr>
        <w:t>.</w:t>
      </w:r>
    </w:p>
    <w:p w14:paraId="3B6C8216" w14:textId="77777777" w:rsidR="002C39F4" w:rsidRPr="00A901F1" w:rsidRDefault="002C39F4" w:rsidP="0032102C">
      <w:pPr>
        <w:pStyle w:val="a8"/>
        <w:numPr>
          <w:ilvl w:val="0"/>
          <w:numId w:val="279"/>
        </w:numPr>
      </w:pPr>
      <w:r>
        <w:rPr>
          <w:rFonts w:cs="Arial"/>
          <w:rtl/>
        </w:rPr>
        <w:t xml:space="preserve">הג"א </w:t>
      </w:r>
      <w:r w:rsidRPr="00A901F1">
        <w:rPr>
          <w:rFonts w:cs="Arial" w:hint="cs"/>
          <w:sz w:val="16"/>
          <w:szCs w:val="16"/>
          <w:rtl/>
        </w:rPr>
        <w:t>(</w:t>
      </w:r>
      <w:r w:rsidRPr="00A901F1">
        <w:rPr>
          <w:rFonts w:cs="Arial"/>
          <w:sz w:val="16"/>
          <w:szCs w:val="16"/>
          <w:rtl/>
        </w:rPr>
        <w:t>ע"ז</w:t>
      </w:r>
      <w:r w:rsidRPr="00A901F1">
        <w:rPr>
          <w:rFonts w:cs="Arial" w:hint="cs"/>
          <w:sz w:val="16"/>
          <w:szCs w:val="16"/>
          <w:rtl/>
        </w:rPr>
        <w:t xml:space="preserve"> פ"ב</w:t>
      </w:r>
      <w:r w:rsidRPr="00A901F1">
        <w:rPr>
          <w:rFonts w:cs="Arial"/>
          <w:sz w:val="16"/>
          <w:szCs w:val="16"/>
          <w:rtl/>
        </w:rPr>
        <w:t xml:space="preserve"> סי' כח)</w:t>
      </w:r>
      <w:r w:rsidRPr="00A901F1">
        <w:rPr>
          <w:rFonts w:cs="Arial" w:hint="cs"/>
          <w:sz w:val="16"/>
          <w:szCs w:val="16"/>
          <w:rtl/>
        </w:rPr>
        <w:t xml:space="preserve"> </w:t>
      </w:r>
      <w:r>
        <w:rPr>
          <w:rFonts w:cs="Arial" w:hint="cs"/>
          <w:rtl/>
        </w:rPr>
        <w:t>ו</w:t>
      </w:r>
      <w:r>
        <w:rPr>
          <w:rFonts w:cs="Arial"/>
          <w:rtl/>
        </w:rPr>
        <w:t xml:space="preserve">ר"ן </w:t>
      </w:r>
      <w:r w:rsidRPr="00A901F1">
        <w:rPr>
          <w:rFonts w:cs="Arial"/>
          <w:sz w:val="16"/>
          <w:szCs w:val="16"/>
          <w:rtl/>
        </w:rPr>
        <w:t>(יד: סוד"ה רבי</w:t>
      </w:r>
      <w:r w:rsidRPr="00A901F1">
        <w:rPr>
          <w:rFonts w:cs="Arial" w:hint="cs"/>
          <w:sz w:val="16"/>
          <w:szCs w:val="16"/>
          <w:rtl/>
        </w:rPr>
        <w:t>)</w:t>
      </w:r>
      <w:r>
        <w:rPr>
          <w:rFonts w:cs="Arial" w:hint="cs"/>
          <w:rtl/>
        </w:rPr>
        <w:t>-</w:t>
      </w:r>
      <w:r w:rsidRPr="00A901F1">
        <w:rPr>
          <w:rFonts w:cs="Arial"/>
          <w:rtl/>
        </w:rPr>
        <w:t xml:space="preserve"> </w:t>
      </w:r>
      <w:r w:rsidRPr="002922A7">
        <w:rPr>
          <w:rFonts w:cs="Arial"/>
          <w:rtl/>
        </w:rPr>
        <w:t>כל שלא נשתנה מברייתו ע</w:t>
      </w:r>
      <w:r>
        <w:rPr>
          <w:rFonts w:cs="Arial" w:hint="cs"/>
          <w:rtl/>
        </w:rPr>
        <w:t>"</w:t>
      </w:r>
      <w:r w:rsidRPr="002922A7">
        <w:rPr>
          <w:rFonts w:cs="Arial"/>
          <w:rtl/>
        </w:rPr>
        <w:t>י האור כגון קליות אפילו הוא דבר שאינו נאכל כמות שהוא חי ועולה על שלחן מלכים ללפת בו את הפת אין בו משום בשולי ע</w:t>
      </w:r>
      <w:r>
        <w:rPr>
          <w:rFonts w:cs="Arial" w:hint="cs"/>
          <w:rtl/>
        </w:rPr>
        <w:t>כו"</w:t>
      </w:r>
      <w:r w:rsidRPr="002922A7">
        <w:rPr>
          <w:rFonts w:cs="Arial"/>
          <w:rtl/>
        </w:rPr>
        <w:t>ם</w:t>
      </w:r>
      <w:r>
        <w:rPr>
          <w:rFonts w:cs="Arial" w:hint="cs"/>
          <w:sz w:val="16"/>
          <w:szCs w:val="16"/>
          <w:rtl/>
        </w:rPr>
        <w:t xml:space="preserve"> (ל' הר"ן)</w:t>
      </w:r>
      <w:r>
        <w:rPr>
          <w:rStyle w:val="a7"/>
          <w:rFonts w:cs="Arial"/>
          <w:rtl/>
        </w:rPr>
        <w:footnoteReference w:id="2712"/>
      </w:r>
      <w:r>
        <w:rPr>
          <w:rFonts w:cs="Arial" w:hint="cs"/>
          <w:rtl/>
        </w:rPr>
        <w:t>.</w:t>
      </w:r>
      <w:r w:rsidRPr="00A901F1">
        <w:rPr>
          <w:rFonts w:cs="Arial"/>
          <w:rtl/>
        </w:rPr>
        <w:t xml:space="preserve"> </w:t>
      </w:r>
    </w:p>
    <w:p w14:paraId="4CC758F0" w14:textId="77777777" w:rsidR="002C39F4" w:rsidRPr="00A901F1" w:rsidRDefault="002C39F4" w:rsidP="0032102C">
      <w:pPr>
        <w:pStyle w:val="a8"/>
        <w:numPr>
          <w:ilvl w:val="0"/>
          <w:numId w:val="279"/>
        </w:numPr>
      </w:pPr>
      <w:r w:rsidRPr="00A901F1">
        <w:rPr>
          <w:rFonts w:cs="Arial"/>
          <w:rtl/>
        </w:rPr>
        <w:t xml:space="preserve">רמב"ם </w:t>
      </w:r>
      <w:r w:rsidRPr="00A901F1">
        <w:rPr>
          <w:rFonts w:cs="Arial" w:hint="cs"/>
          <w:sz w:val="16"/>
          <w:szCs w:val="16"/>
          <w:rtl/>
        </w:rPr>
        <w:t>(פי"ז הי"ז)</w:t>
      </w:r>
      <w:r w:rsidRPr="00B945CF">
        <w:rPr>
          <w:rFonts w:cs="Arial" w:hint="cs"/>
          <w:rtl/>
        </w:rPr>
        <w:t xml:space="preserve"> </w:t>
      </w:r>
      <w:r>
        <w:rPr>
          <w:rFonts w:cs="Arial" w:hint="cs"/>
          <w:rtl/>
        </w:rPr>
        <w:t xml:space="preserve">ויש מפרשים </w:t>
      </w:r>
      <w:r w:rsidRPr="004C154E">
        <w:rPr>
          <w:rFonts w:cs="Arial" w:hint="cs"/>
          <w:sz w:val="16"/>
          <w:szCs w:val="16"/>
          <w:rtl/>
        </w:rPr>
        <w:t xml:space="preserve">(הביאם </w:t>
      </w:r>
      <w:r w:rsidRPr="004C154E">
        <w:rPr>
          <w:rFonts w:cs="Arial"/>
          <w:sz w:val="16"/>
          <w:szCs w:val="16"/>
          <w:rtl/>
        </w:rPr>
        <w:t>ר</w:t>
      </w:r>
      <w:r w:rsidRPr="004C154E">
        <w:rPr>
          <w:rFonts w:cs="Arial" w:hint="cs"/>
          <w:sz w:val="16"/>
          <w:szCs w:val="16"/>
          <w:rtl/>
        </w:rPr>
        <w:t>י"ו</w:t>
      </w:r>
      <w:r w:rsidRPr="004C154E">
        <w:rPr>
          <w:rFonts w:cs="Arial"/>
          <w:sz w:val="16"/>
          <w:szCs w:val="16"/>
          <w:rtl/>
        </w:rPr>
        <w:t xml:space="preserve"> שם</w:t>
      </w:r>
      <w:r>
        <w:rPr>
          <w:rFonts w:cs="Arial" w:hint="cs"/>
          <w:sz w:val="16"/>
          <w:szCs w:val="16"/>
          <w:rtl/>
        </w:rPr>
        <w:t>, הביאו הב"י בבדה"ב</w:t>
      </w:r>
      <w:r w:rsidRPr="004C154E">
        <w:rPr>
          <w:rFonts w:cs="Arial"/>
          <w:sz w:val="16"/>
          <w:szCs w:val="16"/>
          <w:rtl/>
        </w:rPr>
        <w:t>)</w:t>
      </w:r>
      <w:r>
        <w:rPr>
          <w:rFonts w:cs="Arial" w:hint="cs"/>
          <w:rtl/>
        </w:rPr>
        <w:t>- אף שאינם נאכלים כמו שהם חיים מותרים "</w:t>
      </w:r>
      <w:r w:rsidRPr="00A901F1">
        <w:rPr>
          <w:rFonts w:cs="Arial"/>
          <w:rtl/>
        </w:rPr>
        <w:t>דלא גזרו עליהן מפני שאין אדם מזמן את חבירו על הקליות</w:t>
      </w:r>
      <w:r>
        <w:rPr>
          <w:rFonts w:cs="Arial" w:hint="cs"/>
          <w:sz w:val="16"/>
          <w:szCs w:val="16"/>
          <w:rtl/>
        </w:rPr>
        <w:t xml:space="preserve"> (ל' הרמב"ם)</w:t>
      </w:r>
      <w:r>
        <w:rPr>
          <w:rFonts w:cs="Arial" w:hint="cs"/>
          <w:rtl/>
        </w:rPr>
        <w:t>"</w:t>
      </w:r>
      <w:r>
        <w:rPr>
          <w:rStyle w:val="a7"/>
          <w:rFonts w:cs="Arial"/>
          <w:rtl/>
        </w:rPr>
        <w:footnoteReference w:id="2713"/>
      </w:r>
      <w:r>
        <w:rPr>
          <w:rFonts w:cs="Arial" w:hint="cs"/>
          <w:rtl/>
        </w:rPr>
        <w:t>.</w:t>
      </w:r>
      <w:r w:rsidRPr="005462F1">
        <w:rPr>
          <w:rFonts w:hint="cs"/>
          <w:color w:val="00B0F0"/>
          <w:rtl/>
        </w:rPr>
        <w:t xml:space="preserve"> (וכ"פ הרמ"א)</w:t>
      </w:r>
    </w:p>
    <w:p w14:paraId="16ABCBF4" w14:textId="77777777" w:rsidR="002C39F4" w:rsidRPr="008D7DCB" w:rsidRDefault="002C39F4" w:rsidP="0032102C">
      <w:pPr>
        <w:pStyle w:val="a8"/>
        <w:numPr>
          <w:ilvl w:val="1"/>
          <w:numId w:val="279"/>
        </w:numPr>
        <w:rPr>
          <w:rFonts w:cs="Arial"/>
          <w:rtl/>
        </w:rPr>
      </w:pPr>
      <w:r>
        <w:rPr>
          <w:rFonts w:cs="Arial" w:hint="cs"/>
          <w:rtl/>
        </w:rPr>
        <w:t xml:space="preserve">ב"י- </w:t>
      </w:r>
      <w:r w:rsidRPr="00A901F1">
        <w:rPr>
          <w:rFonts w:cs="Arial"/>
          <w:rtl/>
        </w:rPr>
        <w:t>וע"פ דברים אלו נהגו היתר באפונים קלויים שקולים הגוים ולא פקפק אדם עליהם</w:t>
      </w:r>
      <w:r>
        <w:rPr>
          <w:rFonts w:cs="Arial" w:hint="cs"/>
          <w:rtl/>
        </w:rPr>
        <w:t xml:space="preserve">, </w:t>
      </w:r>
      <w:r w:rsidRPr="00A901F1">
        <w:rPr>
          <w:rFonts w:cs="Arial"/>
          <w:rtl/>
        </w:rPr>
        <w:t>אם לא במקום שנוהגין למשוח המחבת בשמן בשעת קליה והוא מקום שיש לחוש שמא ישימו חלב במקום שמן</w:t>
      </w:r>
      <w:r>
        <w:rPr>
          <w:rStyle w:val="a7"/>
          <w:rFonts w:cs="Arial"/>
          <w:rtl/>
        </w:rPr>
        <w:footnoteReference w:id="2714"/>
      </w:r>
      <w:r>
        <w:rPr>
          <w:rFonts w:cs="Arial" w:hint="cs"/>
          <w:rtl/>
        </w:rPr>
        <w:t>.</w:t>
      </w:r>
      <w:r>
        <w:rPr>
          <w:rFonts w:hint="cs"/>
          <w:color w:val="00B0F0"/>
          <w:rtl/>
        </w:rPr>
        <w:t xml:space="preserve"> </w:t>
      </w:r>
      <w:r w:rsidRPr="005462F1">
        <w:rPr>
          <w:rFonts w:hint="cs"/>
          <w:color w:val="00B0F0"/>
          <w:rtl/>
        </w:rPr>
        <w:t>(וכ"פ הרמ"א)</w:t>
      </w:r>
    </w:p>
    <w:p w14:paraId="57BBFE2C" w14:textId="77777777" w:rsidR="002C39F4" w:rsidRPr="006214E9" w:rsidRDefault="002C39F4" w:rsidP="002C39F4">
      <w:pPr>
        <w:rPr>
          <w:u w:val="single"/>
          <w:rtl/>
        </w:rPr>
      </w:pPr>
      <w:r w:rsidRPr="00F75015">
        <w:rPr>
          <w:rFonts w:hint="cs"/>
          <w:u w:val="single"/>
          <w:rtl/>
        </w:rPr>
        <w:t>דבר שנאכל כמות שהוא חי ובישל אותו גוי ונשתנה מברייתו:</w:t>
      </w:r>
      <w:r>
        <w:rPr>
          <w:rFonts w:cs="Arial" w:hint="cs"/>
          <w:sz w:val="16"/>
          <w:szCs w:val="16"/>
          <w:rtl/>
        </w:rPr>
        <w:t xml:space="preserve">  </w:t>
      </w:r>
      <w:r w:rsidRPr="0048371F">
        <w:rPr>
          <w:rFonts w:cs="Arial"/>
          <w:sz w:val="16"/>
          <w:szCs w:val="16"/>
          <w:rtl/>
        </w:rPr>
        <w:t xml:space="preserve"> </w:t>
      </w:r>
      <w:r>
        <w:rPr>
          <w:rFonts w:cs="Arial" w:hint="cs"/>
          <w:sz w:val="16"/>
          <w:szCs w:val="16"/>
          <w:rtl/>
        </w:rPr>
        <w:t>(דרכ"מ אות ב</w:t>
      </w:r>
      <w:r w:rsidRPr="0048371F">
        <w:rPr>
          <w:rFonts w:cs="Arial" w:hint="cs"/>
          <w:sz w:val="16"/>
          <w:szCs w:val="16"/>
          <w:rtl/>
        </w:rPr>
        <w:t>)</w:t>
      </w:r>
    </w:p>
    <w:p w14:paraId="6212B01B" w14:textId="77777777" w:rsidR="002C39F4" w:rsidRDefault="002C39F4" w:rsidP="0032102C">
      <w:pPr>
        <w:pStyle w:val="a8"/>
        <w:numPr>
          <w:ilvl w:val="0"/>
          <w:numId w:val="280"/>
        </w:numPr>
        <w:rPr>
          <w:rtl/>
        </w:rPr>
      </w:pPr>
      <w:r>
        <w:rPr>
          <w:rFonts w:hint="cs"/>
          <w:rtl/>
        </w:rPr>
        <w:t xml:space="preserve">דרכ"מ </w:t>
      </w:r>
      <w:r w:rsidRPr="00F75015">
        <w:rPr>
          <w:rFonts w:hint="cs"/>
          <w:sz w:val="16"/>
          <w:szCs w:val="16"/>
          <w:rtl/>
        </w:rPr>
        <w:t>(אות ב)</w:t>
      </w:r>
      <w:r>
        <w:rPr>
          <w:rFonts w:hint="cs"/>
          <w:rtl/>
        </w:rPr>
        <w:t xml:space="preserve">- </w:t>
      </w:r>
      <w:r>
        <w:rPr>
          <w:rtl/>
        </w:rPr>
        <w:t>נראה לי ללמוד מדברי הר"ן דלעיל</w:t>
      </w:r>
      <w:r>
        <w:rPr>
          <w:rFonts w:hint="cs"/>
          <w:rtl/>
        </w:rPr>
        <w:t>,</w:t>
      </w:r>
      <w:r>
        <w:rPr>
          <w:rtl/>
        </w:rPr>
        <w:t xml:space="preserve"> ושאר פוסקים דלא חילקו בין דבר שנשתנה ללא נשתנה</w:t>
      </w:r>
      <w:r>
        <w:rPr>
          <w:rFonts w:hint="cs"/>
          <w:rtl/>
        </w:rPr>
        <w:t>,</w:t>
      </w:r>
      <w:r>
        <w:rPr>
          <w:rtl/>
        </w:rPr>
        <w:t xml:space="preserve"> דאפילו נשתנה שרי דזה המאכל שעושין מגודגדניות וקורין אותן פאוודל</w:t>
      </w:r>
      <w:r>
        <w:rPr>
          <w:rFonts w:hint="cs"/>
          <w:rtl/>
        </w:rPr>
        <w:t>"</w:t>
      </w:r>
      <w:r>
        <w:rPr>
          <w:rtl/>
        </w:rPr>
        <w:t>א שהוא מותר ושאין בו משום בישולי גוים דהרי הגודגדניות נאכלין כמות שהן חיין ואע</w:t>
      </w:r>
      <w:r>
        <w:rPr>
          <w:rFonts w:hint="cs"/>
          <w:rtl/>
        </w:rPr>
        <w:t>"</w:t>
      </w:r>
      <w:r>
        <w:rPr>
          <w:rtl/>
        </w:rPr>
        <w:t>ג דנשתנו ונמחה גופן ואינו ניכר כלל שהיו גודגדניות אפילו הכי שרי</w:t>
      </w:r>
      <w:r>
        <w:rPr>
          <w:rFonts w:hint="cs"/>
          <w:rtl/>
        </w:rPr>
        <w:t>,</w:t>
      </w:r>
      <w:r>
        <w:rPr>
          <w:rtl/>
        </w:rPr>
        <w:t xml:space="preserve"> וכן המנהג פשוט</w:t>
      </w:r>
      <w:r>
        <w:rPr>
          <w:rFonts w:hint="cs"/>
          <w:rtl/>
        </w:rPr>
        <w:t>,</w:t>
      </w:r>
      <w:r>
        <w:rPr>
          <w:rtl/>
        </w:rPr>
        <w:t xml:space="preserve"> וראיה ג"כ מדברי הרמב"ם </w:t>
      </w:r>
      <w:r w:rsidRPr="00F75015">
        <w:rPr>
          <w:sz w:val="16"/>
          <w:szCs w:val="16"/>
          <w:rtl/>
        </w:rPr>
        <w:t>(</w:t>
      </w:r>
      <w:r>
        <w:rPr>
          <w:rFonts w:hint="cs"/>
          <w:sz w:val="16"/>
          <w:szCs w:val="16"/>
          <w:rtl/>
        </w:rPr>
        <w:t xml:space="preserve">פי"ז </w:t>
      </w:r>
      <w:r w:rsidRPr="00F75015">
        <w:rPr>
          <w:sz w:val="16"/>
          <w:szCs w:val="16"/>
          <w:rtl/>
        </w:rPr>
        <w:t>מה</w:t>
      </w:r>
      <w:r>
        <w:rPr>
          <w:rFonts w:hint="cs"/>
          <w:sz w:val="16"/>
          <w:szCs w:val="16"/>
          <w:rtl/>
        </w:rPr>
        <w:t>ל</w:t>
      </w:r>
      <w:r w:rsidRPr="00F75015">
        <w:rPr>
          <w:sz w:val="16"/>
          <w:szCs w:val="16"/>
          <w:rtl/>
        </w:rPr>
        <w:t xml:space="preserve">מ"א הכ"ב) </w:t>
      </w:r>
      <w:r>
        <w:rPr>
          <w:rtl/>
        </w:rPr>
        <w:t>דשמן של גוים מותר מפני שנאכל כמות שהוא חי עכ"ל</w:t>
      </w:r>
      <w:r>
        <w:rPr>
          <w:rFonts w:hint="cs"/>
          <w:rtl/>
        </w:rPr>
        <w:t>,</w:t>
      </w:r>
      <w:r>
        <w:rPr>
          <w:rtl/>
        </w:rPr>
        <w:t xml:space="preserve"> ש</w:t>
      </w:r>
      <w:r>
        <w:rPr>
          <w:rFonts w:hint="cs"/>
          <w:rtl/>
        </w:rPr>
        <w:t>"מ</w:t>
      </w:r>
      <w:r>
        <w:rPr>
          <w:rtl/>
        </w:rPr>
        <w:t xml:space="preserve"> אע</w:t>
      </w:r>
      <w:r>
        <w:rPr>
          <w:rFonts w:hint="cs"/>
          <w:rtl/>
        </w:rPr>
        <w:t>"ג</w:t>
      </w:r>
      <w:r>
        <w:rPr>
          <w:rtl/>
        </w:rPr>
        <w:t xml:space="preserve"> דבתחלה היו זיתים ואח"כ שמן אפילו הכי שרי</w:t>
      </w:r>
      <w:r>
        <w:rPr>
          <w:rFonts w:hint="cs"/>
          <w:rtl/>
        </w:rPr>
        <w:t>,</w:t>
      </w:r>
      <w:r>
        <w:rPr>
          <w:rtl/>
        </w:rPr>
        <w:t xml:space="preserve"> וה</w:t>
      </w:r>
      <w:r>
        <w:rPr>
          <w:rFonts w:hint="cs"/>
          <w:rtl/>
        </w:rPr>
        <w:t>"ה</w:t>
      </w:r>
      <w:r>
        <w:rPr>
          <w:rtl/>
        </w:rPr>
        <w:t xml:space="preserve"> כאן</w:t>
      </w:r>
      <w:r>
        <w:rPr>
          <w:rFonts w:hint="cs"/>
          <w:rtl/>
        </w:rPr>
        <w:t>.</w:t>
      </w:r>
      <w:r w:rsidRPr="005462F1">
        <w:rPr>
          <w:rFonts w:hint="cs"/>
          <w:color w:val="00B0F0"/>
          <w:rtl/>
        </w:rPr>
        <w:t xml:space="preserve"> (וכ"פ</w:t>
      </w:r>
      <w:r>
        <w:rPr>
          <w:rFonts w:hint="cs"/>
          <w:color w:val="00B0F0"/>
          <w:rtl/>
        </w:rPr>
        <w:t xml:space="preserve"> בהגה</w:t>
      </w:r>
      <w:r w:rsidRPr="005462F1">
        <w:rPr>
          <w:rFonts w:hint="cs"/>
          <w:color w:val="00B0F0"/>
          <w:rtl/>
        </w:rPr>
        <w:t>)</w:t>
      </w:r>
    </w:p>
    <w:p w14:paraId="01FAD8A6" w14:textId="77777777" w:rsidR="002C39F4" w:rsidRPr="006214E9" w:rsidRDefault="002C39F4" w:rsidP="002C39F4">
      <w:pPr>
        <w:rPr>
          <w:u w:val="single"/>
          <w:rtl/>
        </w:rPr>
      </w:pPr>
      <w:r w:rsidRPr="00FB3281">
        <w:rPr>
          <w:rFonts w:hint="cs"/>
          <w:u w:val="single"/>
          <w:rtl/>
        </w:rPr>
        <w:t>פירות של עכו"ם שכבשן בדבש:</w:t>
      </w:r>
      <w:r>
        <w:rPr>
          <w:rFonts w:cs="Arial" w:hint="cs"/>
          <w:sz w:val="16"/>
          <w:szCs w:val="16"/>
          <w:rtl/>
        </w:rPr>
        <w:t xml:space="preserve">  </w:t>
      </w:r>
      <w:r w:rsidRPr="0048371F">
        <w:rPr>
          <w:rFonts w:cs="Arial"/>
          <w:sz w:val="16"/>
          <w:szCs w:val="16"/>
          <w:rtl/>
        </w:rPr>
        <w:t xml:space="preserve"> </w:t>
      </w:r>
      <w:r>
        <w:rPr>
          <w:rFonts w:cs="Arial" w:hint="cs"/>
          <w:sz w:val="16"/>
          <w:szCs w:val="16"/>
          <w:rtl/>
        </w:rPr>
        <w:t>(דרכ"מ אות ב</w:t>
      </w:r>
      <w:r w:rsidRPr="0048371F">
        <w:rPr>
          <w:rFonts w:cs="Arial" w:hint="cs"/>
          <w:sz w:val="16"/>
          <w:szCs w:val="16"/>
          <w:rtl/>
        </w:rPr>
        <w:t>)</w:t>
      </w:r>
    </w:p>
    <w:p w14:paraId="0F560DCF" w14:textId="77777777" w:rsidR="002C39F4" w:rsidRDefault="002C39F4" w:rsidP="0032102C">
      <w:pPr>
        <w:pStyle w:val="a8"/>
        <w:numPr>
          <w:ilvl w:val="0"/>
          <w:numId w:val="280"/>
        </w:numPr>
        <w:rPr>
          <w:rtl/>
        </w:rPr>
      </w:pPr>
      <w:r>
        <w:rPr>
          <w:rtl/>
        </w:rPr>
        <w:t>מרדכי</w:t>
      </w:r>
      <w:r>
        <w:rPr>
          <w:rFonts w:hint="cs"/>
          <w:rtl/>
        </w:rPr>
        <w:t>-</w:t>
      </w:r>
      <w:r w:rsidRPr="00FB3281">
        <w:rPr>
          <w:rtl/>
        </w:rPr>
        <w:t xml:space="preserve"> </w:t>
      </w:r>
      <w:r w:rsidRPr="00FB3281">
        <w:rPr>
          <w:rFonts w:cs="Arial"/>
          <w:rtl/>
        </w:rPr>
        <w:t xml:space="preserve">פירות של </w:t>
      </w:r>
      <w:r>
        <w:rPr>
          <w:rFonts w:cs="Arial"/>
          <w:rtl/>
        </w:rPr>
        <w:t>ע</w:t>
      </w:r>
      <w:r>
        <w:rPr>
          <w:rFonts w:cs="Arial" w:hint="cs"/>
          <w:rtl/>
        </w:rPr>
        <w:t>כו"ם</w:t>
      </w:r>
      <w:r>
        <w:rPr>
          <w:rFonts w:cs="Arial"/>
          <w:rtl/>
        </w:rPr>
        <w:t xml:space="preserve"> שכבשן בדבש אע</w:t>
      </w:r>
      <w:r>
        <w:rPr>
          <w:rFonts w:cs="Arial" w:hint="cs"/>
          <w:rtl/>
        </w:rPr>
        <w:t>"</w:t>
      </w:r>
      <w:r>
        <w:rPr>
          <w:rFonts w:cs="Arial"/>
          <w:rtl/>
        </w:rPr>
        <w:t>פ</w:t>
      </w:r>
      <w:r w:rsidRPr="00FB3281">
        <w:rPr>
          <w:rFonts w:cs="Arial"/>
          <w:rtl/>
        </w:rPr>
        <w:t xml:space="preserve"> ששולקין אותם בדבש בכליהם מותרין</w:t>
      </w:r>
      <w:r>
        <w:rPr>
          <w:rFonts w:cs="Arial" w:hint="cs"/>
          <w:rtl/>
        </w:rPr>
        <w:t>,</w:t>
      </w:r>
      <w:r w:rsidRPr="00FB3281">
        <w:rPr>
          <w:rFonts w:cs="Arial"/>
          <w:rtl/>
        </w:rPr>
        <w:t xml:space="preserve"> דאי משום איערובי </w:t>
      </w:r>
      <w:r w:rsidRPr="00FB3281">
        <w:rPr>
          <w:rFonts w:cs="Arial" w:hint="cs"/>
          <w:rtl/>
        </w:rPr>
        <w:t>י</w:t>
      </w:r>
      <w:r w:rsidRPr="00FB3281">
        <w:rPr>
          <w:rFonts w:cs="Arial"/>
          <w:rtl/>
        </w:rPr>
        <w:t>ין מסרח סרח</w:t>
      </w:r>
      <w:r>
        <w:rPr>
          <w:rFonts w:cs="Arial" w:hint="cs"/>
          <w:rtl/>
        </w:rPr>
        <w:t>,</w:t>
      </w:r>
      <w:r w:rsidRPr="00FB3281">
        <w:rPr>
          <w:rFonts w:cs="Arial"/>
          <w:rtl/>
        </w:rPr>
        <w:t xml:space="preserve"> ולקדירה בת יומא לא חיישינן דהא נ"ט לפגם הוא</w:t>
      </w:r>
      <w:r>
        <w:rPr>
          <w:rtl/>
        </w:rPr>
        <w:t xml:space="preserve"> </w:t>
      </w:r>
      <w:r w:rsidRPr="00FB3281">
        <w:rPr>
          <w:sz w:val="16"/>
          <w:szCs w:val="16"/>
          <w:rtl/>
        </w:rPr>
        <w:t>(</w:t>
      </w:r>
      <w:r w:rsidRPr="00FB3281">
        <w:rPr>
          <w:rFonts w:hint="cs"/>
          <w:sz w:val="16"/>
          <w:szCs w:val="16"/>
          <w:rtl/>
        </w:rPr>
        <w:t xml:space="preserve">ע"ז </w:t>
      </w:r>
      <w:r w:rsidRPr="00FB3281">
        <w:rPr>
          <w:sz w:val="16"/>
          <w:szCs w:val="16"/>
          <w:rtl/>
        </w:rPr>
        <w:t>סי' תתלו</w:t>
      </w:r>
      <w:r w:rsidRPr="00FB3281">
        <w:rPr>
          <w:rFonts w:hint="cs"/>
          <w:sz w:val="16"/>
          <w:szCs w:val="16"/>
          <w:rtl/>
        </w:rPr>
        <w:t>)</w:t>
      </w:r>
      <w:r>
        <w:rPr>
          <w:rFonts w:hint="cs"/>
          <w:rtl/>
        </w:rPr>
        <w:t xml:space="preserve">, </w:t>
      </w:r>
      <w:r w:rsidRPr="00FB3281">
        <w:rPr>
          <w:rFonts w:cs="Arial" w:hint="cs"/>
          <w:rtl/>
        </w:rPr>
        <w:t>ו</w:t>
      </w:r>
      <w:r w:rsidRPr="00FB3281">
        <w:rPr>
          <w:rFonts w:cs="Arial"/>
          <w:rtl/>
        </w:rPr>
        <w:t>אין בו משום בשולי נכרים דנאכל כמות שהוא חי</w:t>
      </w:r>
      <w:r>
        <w:rPr>
          <w:rFonts w:hint="cs"/>
          <w:rtl/>
        </w:rPr>
        <w:t xml:space="preserve"> </w:t>
      </w:r>
      <w:r w:rsidRPr="00FB3281">
        <w:rPr>
          <w:rFonts w:hint="cs"/>
          <w:sz w:val="16"/>
          <w:szCs w:val="16"/>
          <w:rtl/>
        </w:rPr>
        <w:t>(</w:t>
      </w:r>
      <w:r w:rsidRPr="00FB3281">
        <w:rPr>
          <w:sz w:val="16"/>
          <w:szCs w:val="16"/>
          <w:rtl/>
        </w:rPr>
        <w:t>ברכות סי' קטז)</w:t>
      </w:r>
      <w:r>
        <w:rPr>
          <w:rFonts w:hint="cs"/>
          <w:rtl/>
        </w:rPr>
        <w:t xml:space="preserve">. </w:t>
      </w:r>
      <w:r w:rsidRPr="005462F1">
        <w:rPr>
          <w:rFonts w:hint="cs"/>
          <w:color w:val="00B0F0"/>
          <w:rtl/>
        </w:rPr>
        <w:t>(וכ"פ הרמ"א)</w:t>
      </w:r>
    </w:p>
    <w:p w14:paraId="735C65D6" w14:textId="77777777" w:rsidR="002C39F4" w:rsidRPr="006214E9" w:rsidRDefault="002C39F4" w:rsidP="002C39F4">
      <w:pPr>
        <w:rPr>
          <w:u w:val="single"/>
          <w:rtl/>
        </w:rPr>
      </w:pPr>
      <w:r w:rsidRPr="006214E9">
        <w:rPr>
          <w:u w:val="single"/>
          <w:rtl/>
        </w:rPr>
        <w:t>אגוזים גדולים שמרקחים עם קליפתן הירוקה וגרעין שלהם</w:t>
      </w:r>
      <w:r w:rsidRPr="006214E9">
        <w:rPr>
          <w:rFonts w:hint="cs"/>
          <w:u w:val="single"/>
          <w:rtl/>
        </w:rPr>
        <w:t>:</w:t>
      </w:r>
      <w:r>
        <w:rPr>
          <w:rFonts w:cs="Arial" w:hint="cs"/>
          <w:sz w:val="16"/>
          <w:szCs w:val="16"/>
          <w:rtl/>
        </w:rPr>
        <w:t xml:space="preserve">  </w:t>
      </w:r>
      <w:r w:rsidRPr="0048371F">
        <w:rPr>
          <w:rFonts w:cs="Arial"/>
          <w:sz w:val="16"/>
          <w:szCs w:val="16"/>
          <w:rtl/>
        </w:rPr>
        <w:t xml:space="preserve"> </w:t>
      </w:r>
      <w:r>
        <w:rPr>
          <w:rFonts w:cs="Arial" w:hint="cs"/>
          <w:sz w:val="16"/>
          <w:szCs w:val="16"/>
          <w:rtl/>
        </w:rPr>
        <w:t>(דרכ"מ אות ב</w:t>
      </w:r>
      <w:r w:rsidRPr="0048371F">
        <w:rPr>
          <w:rFonts w:cs="Arial" w:hint="cs"/>
          <w:sz w:val="16"/>
          <w:szCs w:val="16"/>
          <w:rtl/>
        </w:rPr>
        <w:t>)</w:t>
      </w:r>
    </w:p>
    <w:p w14:paraId="3ABBB6F5" w14:textId="77777777" w:rsidR="002C39F4" w:rsidRDefault="002C39F4" w:rsidP="0032102C">
      <w:pPr>
        <w:pStyle w:val="a8"/>
        <w:numPr>
          <w:ilvl w:val="0"/>
          <w:numId w:val="280"/>
        </w:numPr>
      </w:pPr>
      <w:r>
        <w:rPr>
          <w:rFonts w:hint="cs"/>
          <w:rtl/>
        </w:rPr>
        <w:t xml:space="preserve">שלט"ג </w:t>
      </w:r>
      <w:r w:rsidRPr="006214E9">
        <w:rPr>
          <w:rFonts w:hint="cs"/>
          <w:sz w:val="16"/>
          <w:szCs w:val="16"/>
          <w:rtl/>
        </w:rPr>
        <w:t>(</w:t>
      </w:r>
      <w:r>
        <w:rPr>
          <w:rFonts w:hint="cs"/>
          <w:sz w:val="16"/>
          <w:szCs w:val="16"/>
          <w:rtl/>
        </w:rPr>
        <w:t xml:space="preserve">על המרדכי </w:t>
      </w:r>
      <w:r w:rsidRPr="006214E9">
        <w:rPr>
          <w:rFonts w:hint="cs"/>
          <w:sz w:val="16"/>
          <w:szCs w:val="16"/>
          <w:rtl/>
        </w:rPr>
        <w:t>ע"ז</w:t>
      </w:r>
      <w:r>
        <w:rPr>
          <w:rFonts w:hint="cs"/>
          <w:sz w:val="16"/>
          <w:szCs w:val="16"/>
          <w:rtl/>
        </w:rPr>
        <w:t xml:space="preserve"> אות ז</w:t>
      </w:r>
      <w:r w:rsidRPr="006214E9">
        <w:rPr>
          <w:rFonts w:hint="cs"/>
          <w:sz w:val="16"/>
          <w:szCs w:val="16"/>
          <w:rtl/>
        </w:rPr>
        <w:t>)</w:t>
      </w:r>
      <w:r w:rsidRPr="006214E9">
        <w:rPr>
          <w:sz w:val="16"/>
          <w:szCs w:val="16"/>
          <w:rtl/>
        </w:rPr>
        <w:t xml:space="preserve"> </w:t>
      </w:r>
      <w:r>
        <w:rPr>
          <w:rtl/>
        </w:rPr>
        <w:t>בשם ה</w:t>
      </w:r>
      <w:r>
        <w:rPr>
          <w:rFonts w:hint="cs"/>
          <w:rtl/>
        </w:rPr>
        <w:t>רב ברכיה</w:t>
      </w:r>
      <w:r>
        <w:rPr>
          <w:rtl/>
        </w:rPr>
        <w:t xml:space="preserve"> מ</w:t>
      </w:r>
      <w:r>
        <w:rPr>
          <w:rFonts w:hint="cs"/>
          <w:rtl/>
        </w:rPr>
        <w:t>ני</w:t>
      </w:r>
      <w:r>
        <w:rPr>
          <w:rtl/>
        </w:rPr>
        <w:t>קול</w:t>
      </w:r>
      <w:r>
        <w:rPr>
          <w:rFonts w:hint="cs"/>
          <w:rtl/>
        </w:rPr>
        <w:t>א</w:t>
      </w:r>
      <w:r>
        <w:rPr>
          <w:rtl/>
        </w:rPr>
        <w:t>י</w:t>
      </w:r>
      <w:r>
        <w:rPr>
          <w:rFonts w:hint="cs"/>
          <w:rtl/>
        </w:rPr>
        <w:t>-</w:t>
      </w:r>
      <w:r>
        <w:rPr>
          <w:rtl/>
        </w:rPr>
        <w:t xml:space="preserve"> אותן אגוזים גדולים שמרקחים עם קליפתן הירוקה וגרעין שלהם אסורין משום בישולי גוים דאין נאכלין חיין ועולין על שלחן מלכים</w:t>
      </w:r>
      <w:r>
        <w:rPr>
          <w:rFonts w:hint="cs"/>
          <w:rtl/>
        </w:rPr>
        <w:t>.</w:t>
      </w:r>
    </w:p>
    <w:p w14:paraId="4E66A45A" w14:textId="77777777" w:rsidR="002C39F4" w:rsidRPr="006214E9" w:rsidRDefault="002C39F4" w:rsidP="002C39F4">
      <w:pPr>
        <w:rPr>
          <w:rtl/>
        </w:rPr>
      </w:pPr>
      <w:r>
        <w:rPr>
          <w:rFonts w:cs="Arial" w:hint="cs"/>
          <w:b/>
          <w:bCs/>
          <w:rtl/>
        </w:rPr>
        <w:t xml:space="preserve">שבת נא ע"א: </w:t>
      </w:r>
      <w:r w:rsidRPr="00B945CF">
        <w:rPr>
          <w:rFonts w:cs="Arial"/>
          <w:u w:val="single"/>
          <w:rtl/>
        </w:rPr>
        <w:t>אמר ליה רב נחמן לדרו עבדיה</w:t>
      </w:r>
      <w:r w:rsidRPr="00B945CF">
        <w:rPr>
          <w:rFonts w:cs="Arial"/>
          <w:rtl/>
        </w:rPr>
        <w:t xml:space="preserve">: אטמין לי צונן, ואייתי לי מיא דאחים קפילא ארמאה. שמע רבי אמי ואיקפד. </w:t>
      </w:r>
      <w:r w:rsidRPr="00B945CF">
        <w:rPr>
          <w:rFonts w:cs="Arial"/>
          <w:u w:val="single"/>
          <w:rtl/>
        </w:rPr>
        <w:t>אמר רב יוסף</w:t>
      </w:r>
      <w:r w:rsidRPr="00B945CF">
        <w:rPr>
          <w:rFonts w:cs="Arial"/>
          <w:rtl/>
        </w:rPr>
        <w:t>: מאי טעמא איקפד? כרבוותיה עביד, חדא כרב וחדא כשמואל. כשמואל - דאמר רב יהודה אמר שמואל: מותר להטמין את הצונן. כרב - דאמר רב שמואל בר רב יצחק אמר רב: כל שהוא נאכל כמות שהוא חי - אין בו משום בשולי נכרים. והו</w:t>
      </w:r>
      <w:r>
        <w:rPr>
          <w:rFonts w:cs="Arial" w:hint="cs"/>
          <w:rtl/>
        </w:rPr>
        <w:t>א</w:t>
      </w:r>
      <w:r w:rsidRPr="00B945CF">
        <w:rPr>
          <w:rFonts w:cs="Arial"/>
          <w:rtl/>
        </w:rPr>
        <w:t xml:space="preserve"> סבר: אדם חשוב שאני</w:t>
      </w:r>
      <w:r>
        <w:rPr>
          <w:rStyle w:val="a7"/>
          <w:rFonts w:cs="Arial"/>
          <w:rtl/>
        </w:rPr>
        <w:footnoteReference w:id="2715"/>
      </w:r>
      <w:r w:rsidRPr="00B945CF">
        <w:rPr>
          <w:rFonts w:cs="Arial"/>
          <w:rtl/>
        </w:rPr>
        <w:t>.</w:t>
      </w:r>
      <w:r>
        <w:rPr>
          <w:rFonts w:hint="cs"/>
          <w:rtl/>
        </w:rPr>
        <w:t xml:space="preserve"> </w:t>
      </w:r>
    </w:p>
    <w:p w14:paraId="52BBF83F" w14:textId="77777777" w:rsidR="002C39F4" w:rsidRPr="006214E9" w:rsidRDefault="002C39F4" w:rsidP="002C39F4">
      <w:pPr>
        <w:rPr>
          <w:rFonts w:cs="Arial"/>
          <w:u w:val="single"/>
          <w:rtl/>
        </w:rPr>
      </w:pPr>
      <w:r w:rsidRPr="006214E9">
        <w:rPr>
          <w:rFonts w:cs="Arial"/>
          <w:u w:val="single"/>
          <w:rtl/>
        </w:rPr>
        <w:t>מיני מתיקה שעושין הגוים מסלת ודבש</w:t>
      </w:r>
      <w:r>
        <w:rPr>
          <w:rFonts w:cs="Arial" w:hint="cs"/>
          <w:u w:val="single"/>
          <w:rtl/>
        </w:rPr>
        <w:t>:</w:t>
      </w:r>
    </w:p>
    <w:p w14:paraId="102F63C7" w14:textId="77777777" w:rsidR="002C39F4" w:rsidRPr="006214E9" w:rsidRDefault="002C39F4" w:rsidP="0032102C">
      <w:pPr>
        <w:pStyle w:val="a8"/>
        <w:numPr>
          <w:ilvl w:val="0"/>
          <w:numId w:val="280"/>
        </w:numPr>
      </w:pPr>
      <w:r w:rsidRPr="006214E9">
        <w:rPr>
          <w:rFonts w:cs="Arial"/>
          <w:rtl/>
        </w:rPr>
        <w:t xml:space="preserve">תשב"ץ </w:t>
      </w:r>
      <w:r w:rsidRPr="006214E9">
        <w:rPr>
          <w:rFonts w:cs="Arial" w:hint="cs"/>
          <w:sz w:val="16"/>
          <w:szCs w:val="16"/>
          <w:rtl/>
        </w:rPr>
        <w:t>(</w:t>
      </w:r>
      <w:r w:rsidRPr="006214E9">
        <w:rPr>
          <w:rFonts w:cs="Arial"/>
          <w:sz w:val="16"/>
          <w:szCs w:val="16"/>
          <w:rtl/>
        </w:rPr>
        <w:t>ח"א סי' פט)</w:t>
      </w:r>
      <w:r w:rsidRPr="006214E9">
        <w:rPr>
          <w:rFonts w:cs="Arial" w:hint="cs"/>
          <w:rtl/>
        </w:rPr>
        <w:t>-</w:t>
      </w:r>
      <w:r w:rsidRPr="006214E9">
        <w:rPr>
          <w:rFonts w:cs="Arial"/>
          <w:rtl/>
        </w:rPr>
        <w:t xml:space="preserve"> אילו היה הסלת עיקר היה אסור</w:t>
      </w:r>
      <w:r>
        <w:rPr>
          <w:rFonts w:cs="Arial" w:hint="cs"/>
          <w:rtl/>
        </w:rPr>
        <w:t>,</w:t>
      </w:r>
      <w:r w:rsidRPr="006214E9">
        <w:rPr>
          <w:rFonts w:cs="Arial"/>
          <w:rtl/>
        </w:rPr>
        <w:t xml:space="preserve"> כמו שאמרו גבי הרסנא דאסור משום דקימחא עיקר ואינו נאכל כמות שהוא ופת של פלטר התירו משום חיי נפש אבל מידי דאינו פת אסור משום בישולי גוים</w:t>
      </w:r>
      <w:r>
        <w:rPr>
          <w:rFonts w:cs="Arial" w:hint="cs"/>
          <w:rtl/>
        </w:rPr>
        <w:t>,</w:t>
      </w:r>
      <w:r w:rsidRPr="006214E9">
        <w:rPr>
          <w:rFonts w:cs="Arial"/>
          <w:rtl/>
        </w:rPr>
        <w:t xml:space="preserve"> אבל דובשא עיקר וסלת לדבוקי בעלמא הוא וא"כ כדין נהגו בהם היתר</w:t>
      </w:r>
      <w:r w:rsidRPr="006214E9">
        <w:rPr>
          <w:rFonts w:cs="Arial" w:hint="cs"/>
          <w:rtl/>
        </w:rPr>
        <w:t>... ו</w:t>
      </w:r>
      <w:r w:rsidRPr="006214E9">
        <w:rPr>
          <w:rFonts w:cs="Arial"/>
          <w:rtl/>
        </w:rPr>
        <w:t>עם כל זאת לא מלא</w:t>
      </w:r>
      <w:r w:rsidRPr="006214E9">
        <w:rPr>
          <w:rFonts w:cs="Arial" w:hint="cs"/>
          <w:rtl/>
        </w:rPr>
        <w:t>ני</w:t>
      </w:r>
      <w:r w:rsidRPr="006214E9">
        <w:rPr>
          <w:rFonts w:cs="Arial"/>
          <w:rtl/>
        </w:rPr>
        <w:t xml:space="preserve"> לב</w:t>
      </w:r>
      <w:r w:rsidRPr="006214E9">
        <w:rPr>
          <w:rFonts w:cs="Arial" w:hint="cs"/>
          <w:rtl/>
        </w:rPr>
        <w:t>י</w:t>
      </w:r>
      <w:r w:rsidRPr="006214E9">
        <w:rPr>
          <w:rFonts w:cs="Arial"/>
          <w:rtl/>
        </w:rPr>
        <w:t xml:space="preserve"> לאכול מהם כדאמרינן בפרק במה טומנין </w:t>
      </w:r>
      <w:r w:rsidRPr="001656EB">
        <w:rPr>
          <w:rFonts w:cs="Arial"/>
          <w:sz w:val="16"/>
          <w:szCs w:val="16"/>
          <w:rtl/>
        </w:rPr>
        <w:t xml:space="preserve">(שבת נא.) </w:t>
      </w:r>
      <w:r w:rsidRPr="006214E9">
        <w:rPr>
          <w:rFonts w:cs="Arial"/>
          <w:rtl/>
        </w:rPr>
        <w:t>גבי מים דאחים קפילא ארמאה אדם חשוב שאני</w:t>
      </w:r>
      <w:r>
        <w:rPr>
          <w:rFonts w:cs="Arial" w:hint="cs"/>
          <w:rtl/>
        </w:rPr>
        <w:t>,</w:t>
      </w:r>
      <w:r w:rsidRPr="006214E9">
        <w:rPr>
          <w:rFonts w:cs="Arial"/>
          <w:rtl/>
        </w:rPr>
        <w:t xml:space="preserve"> שכדי להתרחק ממעשה הגוים ראוי לכל אדם חשוב לקדש עצמו במותר לו וכל שכן בדברים הנאכלים משום תענוג ויקל לאחרים ויחמיר על עצמו</w:t>
      </w:r>
      <w:r>
        <w:rPr>
          <w:rStyle w:val="a7"/>
          <w:rFonts w:cs="Arial"/>
          <w:rtl/>
        </w:rPr>
        <w:footnoteReference w:id="2716"/>
      </w:r>
      <w:r w:rsidRPr="006214E9">
        <w:rPr>
          <w:rFonts w:cs="Arial" w:hint="cs"/>
          <w:rtl/>
        </w:rPr>
        <w:t>.</w:t>
      </w:r>
      <w:r w:rsidRPr="006214E9">
        <w:rPr>
          <w:rFonts w:cs="Arial"/>
          <w:rtl/>
        </w:rPr>
        <w:t xml:space="preserve"> </w:t>
      </w:r>
    </w:p>
    <w:p w14:paraId="0513896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98C2D62" w14:textId="77777777" w:rsidR="002C39F4" w:rsidRPr="005462F1" w:rsidRDefault="002C39F4" w:rsidP="002C39F4">
      <w:pPr>
        <w:rPr>
          <w:rFonts w:asciiTheme="minorBidi" w:hAnsiTheme="minorBidi"/>
          <w:sz w:val="18"/>
          <w:szCs w:val="18"/>
          <w:rtl/>
        </w:rPr>
      </w:pPr>
      <w:r w:rsidRPr="003024E5">
        <w:rPr>
          <w:rFonts w:asciiTheme="minorBidi" w:hAnsiTheme="minorBidi"/>
          <w:rtl/>
        </w:rPr>
        <w:t>עירב דבר הנאכל כמו שהוא חי עם דבר שאינו נאכל כמו שהוא חי ובישלם ה</w:t>
      </w:r>
      <w:r>
        <w:rPr>
          <w:rFonts w:asciiTheme="minorBidi" w:hAnsiTheme="minorBidi"/>
          <w:rtl/>
        </w:rPr>
        <w:t>גוי</w:t>
      </w:r>
      <w:r w:rsidRPr="003024E5">
        <w:rPr>
          <w:rFonts w:asciiTheme="minorBidi" w:hAnsiTheme="minorBidi"/>
          <w:rtl/>
        </w:rPr>
        <w:t xml:space="preserve">, אם העיקר מדבר שיש בו משום בישולי </w:t>
      </w:r>
      <w:r>
        <w:rPr>
          <w:rFonts w:asciiTheme="minorBidi" w:hAnsiTheme="minorBidi"/>
          <w:rtl/>
        </w:rPr>
        <w:t>גוי אסור</w:t>
      </w:r>
      <w:r>
        <w:rPr>
          <w:rFonts w:asciiTheme="minorBidi" w:hAnsiTheme="minorBidi" w:hint="cs"/>
          <w:rtl/>
        </w:rPr>
        <w:t>,</w:t>
      </w:r>
      <w:r>
        <w:rPr>
          <w:rFonts w:asciiTheme="minorBidi" w:hAnsiTheme="minorBidi"/>
          <w:rtl/>
        </w:rPr>
        <w:t xml:space="preserve"> ואם לאו</w:t>
      </w:r>
      <w:r w:rsidRPr="003024E5">
        <w:rPr>
          <w:rFonts w:asciiTheme="minorBidi" w:hAnsiTheme="minorBidi"/>
          <w:rtl/>
        </w:rPr>
        <w:t xml:space="preserve"> מותר. </w:t>
      </w:r>
      <w:r w:rsidRPr="006214E9">
        <w:rPr>
          <w:rFonts w:asciiTheme="minorBidi" w:hAnsiTheme="minorBidi"/>
          <w:sz w:val="18"/>
          <w:szCs w:val="18"/>
          <w:rtl/>
        </w:rPr>
        <w:t>הגה: ומותר לאכול אפונים קלויים של גוים</w:t>
      </w:r>
      <w:r>
        <w:rPr>
          <w:rFonts w:asciiTheme="minorBidi" w:hAnsiTheme="minorBidi"/>
          <w:sz w:val="18"/>
          <w:szCs w:val="18"/>
          <w:rtl/>
        </w:rPr>
        <w:t>, וכן הקטניות שקורין ערבשי"ן</w:t>
      </w:r>
      <w:r w:rsidRPr="006214E9">
        <w:rPr>
          <w:rFonts w:asciiTheme="minorBidi" w:hAnsiTheme="minorBidi"/>
          <w:sz w:val="18"/>
          <w:szCs w:val="18"/>
          <w:rtl/>
        </w:rPr>
        <w:t xml:space="preserve"> קלויים, דאינן עולים על שלחן של מלכים</w:t>
      </w:r>
      <w:r>
        <w:rPr>
          <w:rFonts w:asciiTheme="minorBidi" w:hAnsiTheme="minorBidi" w:hint="cs"/>
          <w:sz w:val="18"/>
          <w:szCs w:val="18"/>
          <w:rtl/>
        </w:rPr>
        <w:t xml:space="preserve"> </w:t>
      </w:r>
      <w:r>
        <w:rPr>
          <w:rFonts w:asciiTheme="minorBidi" w:hAnsiTheme="minorBidi"/>
          <w:sz w:val="18"/>
          <w:szCs w:val="18"/>
          <w:rtl/>
        </w:rPr>
        <w:t>(רמב"ם</w:t>
      </w:r>
      <w:r>
        <w:rPr>
          <w:rFonts w:asciiTheme="minorBidi" w:hAnsiTheme="minorBidi" w:hint="cs"/>
          <w:sz w:val="18"/>
          <w:szCs w:val="18"/>
          <w:rtl/>
        </w:rPr>
        <w:t>),</w:t>
      </w:r>
      <w:r w:rsidRPr="006214E9">
        <w:rPr>
          <w:rFonts w:asciiTheme="minorBidi" w:hAnsiTheme="minorBidi"/>
          <w:sz w:val="18"/>
          <w:szCs w:val="18"/>
          <w:rtl/>
        </w:rPr>
        <w:t xml:space="preserve"> וכן נהגו בהם היתר אם </w:t>
      </w:r>
      <w:r>
        <w:rPr>
          <w:rFonts w:asciiTheme="minorBidi" w:hAnsiTheme="minorBidi"/>
          <w:sz w:val="18"/>
          <w:szCs w:val="18"/>
          <w:rtl/>
        </w:rPr>
        <w:t>לא במקום שנהגו למשוח המחבת בחלב</w:t>
      </w:r>
      <w:r w:rsidRPr="006214E9">
        <w:rPr>
          <w:rFonts w:asciiTheme="minorBidi" w:hAnsiTheme="minorBidi"/>
          <w:sz w:val="18"/>
          <w:szCs w:val="18"/>
          <w:rtl/>
        </w:rPr>
        <w:t xml:space="preserve"> שאז נ</w:t>
      </w:r>
      <w:r>
        <w:rPr>
          <w:rFonts w:asciiTheme="minorBidi" w:hAnsiTheme="minorBidi"/>
          <w:sz w:val="18"/>
          <w:szCs w:val="18"/>
          <w:rtl/>
        </w:rPr>
        <w:t>והגים בהם איסור  אבל בלאו הכי</w:t>
      </w:r>
      <w:r w:rsidRPr="006214E9">
        <w:rPr>
          <w:rFonts w:asciiTheme="minorBidi" w:hAnsiTheme="minorBidi"/>
          <w:sz w:val="18"/>
          <w:szCs w:val="18"/>
          <w:rtl/>
        </w:rPr>
        <w:t xml:space="preserve"> שרי</w:t>
      </w:r>
      <w:r>
        <w:rPr>
          <w:rFonts w:asciiTheme="minorBidi" w:hAnsiTheme="minorBidi" w:hint="cs"/>
          <w:sz w:val="18"/>
          <w:szCs w:val="18"/>
          <w:rtl/>
        </w:rPr>
        <w:t xml:space="preserve"> </w:t>
      </w:r>
      <w:r>
        <w:rPr>
          <w:rFonts w:asciiTheme="minorBidi" w:hAnsiTheme="minorBidi"/>
          <w:sz w:val="18"/>
          <w:szCs w:val="18"/>
          <w:rtl/>
        </w:rPr>
        <w:t>(</w:t>
      </w:r>
      <w:r>
        <w:rPr>
          <w:rFonts w:asciiTheme="minorBidi" w:hAnsiTheme="minorBidi" w:hint="cs"/>
          <w:sz w:val="18"/>
          <w:szCs w:val="18"/>
          <w:rtl/>
        </w:rPr>
        <w:t>ב"י),</w:t>
      </w:r>
      <w:r w:rsidRPr="006214E9">
        <w:rPr>
          <w:rFonts w:asciiTheme="minorBidi" w:hAnsiTheme="minorBidi"/>
          <w:sz w:val="18"/>
          <w:szCs w:val="18"/>
          <w:rtl/>
        </w:rPr>
        <w:t xml:space="preserve"> ואין לחוש לכלים של גוים דסתמן אינן בני </w:t>
      </w:r>
      <w:r>
        <w:rPr>
          <w:rFonts w:asciiTheme="minorBidi" w:hAnsiTheme="minorBidi"/>
          <w:sz w:val="18"/>
          <w:szCs w:val="18"/>
          <w:rtl/>
        </w:rPr>
        <w:t>יומן</w:t>
      </w:r>
      <w:r>
        <w:rPr>
          <w:rFonts w:asciiTheme="minorBidi" w:hAnsiTheme="minorBidi" w:hint="cs"/>
          <w:sz w:val="18"/>
          <w:szCs w:val="18"/>
          <w:rtl/>
        </w:rPr>
        <w:t xml:space="preserve"> (</w:t>
      </w:r>
      <w:r w:rsidRPr="006214E9">
        <w:rPr>
          <w:rFonts w:asciiTheme="minorBidi" w:hAnsiTheme="minorBidi"/>
          <w:sz w:val="18"/>
          <w:szCs w:val="18"/>
          <w:rtl/>
        </w:rPr>
        <w:t>מהר"א מפראג ו</w:t>
      </w:r>
      <w:r>
        <w:rPr>
          <w:rFonts w:asciiTheme="minorBidi" w:hAnsiTheme="minorBidi"/>
          <w:sz w:val="18"/>
          <w:szCs w:val="18"/>
          <w:rtl/>
        </w:rPr>
        <w:t>הגהות בארוך). וכל פרי שנאכל כמו שהוא ח</w:t>
      </w:r>
      <w:r>
        <w:rPr>
          <w:rFonts w:asciiTheme="minorBidi" w:hAnsiTheme="minorBidi" w:hint="cs"/>
          <w:sz w:val="18"/>
          <w:szCs w:val="18"/>
          <w:rtl/>
        </w:rPr>
        <w:t xml:space="preserve">י </w:t>
      </w:r>
      <w:r w:rsidRPr="006214E9">
        <w:rPr>
          <w:rFonts w:asciiTheme="minorBidi" w:hAnsiTheme="minorBidi"/>
          <w:sz w:val="18"/>
          <w:szCs w:val="18"/>
          <w:rtl/>
        </w:rPr>
        <w:t>אע</w:t>
      </w:r>
      <w:r>
        <w:rPr>
          <w:rFonts w:asciiTheme="minorBidi" w:hAnsiTheme="minorBidi" w:hint="cs"/>
          <w:sz w:val="18"/>
          <w:szCs w:val="18"/>
          <w:rtl/>
        </w:rPr>
        <w:t>"</w:t>
      </w:r>
      <w:r w:rsidRPr="006214E9">
        <w:rPr>
          <w:rFonts w:asciiTheme="minorBidi" w:hAnsiTheme="minorBidi"/>
          <w:sz w:val="18"/>
          <w:szCs w:val="18"/>
          <w:rtl/>
        </w:rPr>
        <w:t>פ שבשלו אותו גוים</w:t>
      </w:r>
      <w:r>
        <w:rPr>
          <w:rFonts w:asciiTheme="minorBidi" w:hAnsiTheme="minorBidi"/>
          <w:sz w:val="18"/>
          <w:szCs w:val="18"/>
          <w:rtl/>
        </w:rPr>
        <w:t xml:space="preserve"> ונמחה ונעשה תבשיל בידיהם</w:t>
      </w:r>
      <w:r w:rsidRPr="006214E9">
        <w:rPr>
          <w:rFonts w:asciiTheme="minorBidi" w:hAnsiTheme="minorBidi"/>
          <w:sz w:val="18"/>
          <w:szCs w:val="18"/>
          <w:rtl/>
        </w:rPr>
        <w:t xml:space="preserve"> שרי</w:t>
      </w:r>
      <w:r>
        <w:rPr>
          <w:rFonts w:asciiTheme="minorBidi" w:hAnsiTheme="minorBidi" w:hint="cs"/>
          <w:sz w:val="18"/>
          <w:szCs w:val="18"/>
          <w:rtl/>
        </w:rPr>
        <w:t>,</w:t>
      </w:r>
      <w:r w:rsidRPr="006214E9">
        <w:rPr>
          <w:rFonts w:asciiTheme="minorBidi" w:hAnsiTheme="minorBidi"/>
          <w:sz w:val="18"/>
          <w:szCs w:val="18"/>
          <w:rtl/>
        </w:rPr>
        <w:t xml:space="preserve"> ועל כן אוכלין הפובידל"א שעושין הגוים (ד"ע ממשמעות הרמב"ם ור"ן ותוס' והוא פשוט).</w:t>
      </w:r>
      <w:r w:rsidRPr="003024E5">
        <w:rPr>
          <w:rFonts w:asciiTheme="minorBidi" w:hAnsiTheme="minorBidi"/>
          <w:rtl/>
        </w:rPr>
        <w:t xml:space="preserve"> </w:t>
      </w:r>
    </w:p>
    <w:p w14:paraId="71B5DC12" w14:textId="77777777" w:rsidR="002C39F4" w:rsidRPr="003024E5" w:rsidRDefault="002C39F4" w:rsidP="002C39F4">
      <w:pPr>
        <w:rPr>
          <w:rFonts w:asciiTheme="minorBidi" w:hAnsiTheme="minorBidi"/>
          <w:rtl/>
        </w:rPr>
      </w:pPr>
    </w:p>
    <w:p w14:paraId="68C885B7"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מאכל שנבלע בו מבישולי גוים.</w:t>
      </w:r>
    </w:p>
    <w:p w14:paraId="6FBE9BF6" w14:textId="77777777" w:rsidR="002C39F4" w:rsidRDefault="002C39F4" w:rsidP="002C39F4">
      <w:pPr>
        <w:rPr>
          <w:rFonts w:cs="Arial"/>
          <w:rtl/>
        </w:rPr>
      </w:pPr>
      <w:r w:rsidRPr="00823FEB">
        <w:rPr>
          <w:rFonts w:cs="Arial" w:hint="cs"/>
          <w:u w:val="single"/>
          <w:rtl/>
        </w:rPr>
        <w:t>מאכל שנבלע בו מבישלוי גוים:</w:t>
      </w:r>
    </w:p>
    <w:p w14:paraId="7E722E70" w14:textId="77777777" w:rsidR="002C39F4" w:rsidRDefault="002C39F4" w:rsidP="0032102C">
      <w:pPr>
        <w:pStyle w:val="a8"/>
        <w:numPr>
          <w:ilvl w:val="0"/>
          <w:numId w:val="280"/>
        </w:numPr>
        <w:rPr>
          <w:rtl/>
        </w:rPr>
      </w:pPr>
      <w:r w:rsidRPr="00823FEB">
        <w:rPr>
          <w:rFonts w:cs="Arial"/>
          <w:rtl/>
        </w:rPr>
        <w:t>ס</w:t>
      </w:r>
      <w:r w:rsidRPr="00823FEB">
        <w:rPr>
          <w:rFonts w:cs="Arial" w:hint="cs"/>
          <w:rtl/>
        </w:rPr>
        <w:t xml:space="preserve">ה"ת </w:t>
      </w:r>
      <w:r w:rsidRPr="00823FEB">
        <w:rPr>
          <w:rFonts w:cs="Arial"/>
          <w:sz w:val="16"/>
          <w:szCs w:val="16"/>
          <w:rtl/>
        </w:rPr>
        <w:t>(סי' כז ד"ה והא דאמרן)</w:t>
      </w:r>
      <w:r w:rsidRPr="00823FEB">
        <w:rPr>
          <w:rFonts w:hint="cs"/>
          <w:sz w:val="16"/>
          <w:szCs w:val="16"/>
          <w:rtl/>
        </w:rPr>
        <w:t xml:space="preserve"> </w:t>
      </w:r>
      <w:r w:rsidRPr="00823FEB">
        <w:rPr>
          <w:rFonts w:cs="Arial"/>
          <w:rtl/>
        </w:rPr>
        <w:t xml:space="preserve">רשב"א </w:t>
      </w:r>
      <w:r w:rsidRPr="00823FEB">
        <w:rPr>
          <w:rFonts w:cs="Arial"/>
          <w:sz w:val="16"/>
          <w:szCs w:val="16"/>
          <w:rtl/>
        </w:rPr>
        <w:t>(</w:t>
      </w:r>
      <w:r w:rsidRPr="00823FEB">
        <w:rPr>
          <w:rFonts w:cs="Arial" w:hint="cs"/>
          <w:sz w:val="16"/>
          <w:szCs w:val="16"/>
          <w:rtl/>
        </w:rPr>
        <w:t xml:space="preserve">תוה"ק </w:t>
      </w:r>
      <w:r w:rsidRPr="00823FEB">
        <w:rPr>
          <w:rFonts w:cs="Arial"/>
          <w:sz w:val="16"/>
          <w:szCs w:val="16"/>
          <w:rtl/>
        </w:rPr>
        <w:t xml:space="preserve">ב"ג ש"ז קצר צה. </w:t>
      </w:r>
      <w:r w:rsidRPr="00823FEB">
        <w:rPr>
          <w:rFonts w:cs="Arial" w:hint="cs"/>
          <w:sz w:val="16"/>
          <w:szCs w:val="16"/>
          <w:rtl/>
        </w:rPr>
        <w:t>וב</w:t>
      </w:r>
      <w:r w:rsidRPr="00823FEB">
        <w:rPr>
          <w:rFonts w:cs="Arial"/>
          <w:sz w:val="16"/>
          <w:szCs w:val="16"/>
          <w:rtl/>
        </w:rPr>
        <w:t>ארוך צה ע"ג)</w:t>
      </w:r>
      <w:r w:rsidRPr="00823FEB">
        <w:rPr>
          <w:rFonts w:hint="cs"/>
          <w:sz w:val="16"/>
          <w:szCs w:val="16"/>
          <w:rtl/>
        </w:rPr>
        <w:t xml:space="preserve"> </w:t>
      </w:r>
      <w:r>
        <w:rPr>
          <w:rFonts w:hint="cs"/>
          <w:rtl/>
        </w:rPr>
        <w:t>טור</w:t>
      </w:r>
      <w:r w:rsidRPr="00823FEB">
        <w:rPr>
          <w:rFonts w:cs="Arial"/>
          <w:rtl/>
        </w:rPr>
        <w:t xml:space="preserve"> ור"ן </w:t>
      </w:r>
      <w:r w:rsidRPr="00823FEB">
        <w:rPr>
          <w:rFonts w:cs="Arial"/>
          <w:sz w:val="16"/>
          <w:szCs w:val="16"/>
          <w:rtl/>
        </w:rPr>
        <w:t>(</w:t>
      </w:r>
      <w:r w:rsidRPr="00823FEB">
        <w:rPr>
          <w:rFonts w:cs="Arial" w:hint="cs"/>
          <w:sz w:val="16"/>
          <w:szCs w:val="16"/>
          <w:rtl/>
        </w:rPr>
        <w:t xml:space="preserve">ע"ז </w:t>
      </w:r>
      <w:r w:rsidRPr="00823FEB">
        <w:rPr>
          <w:rFonts w:cs="Arial"/>
          <w:sz w:val="16"/>
          <w:szCs w:val="16"/>
          <w:rtl/>
        </w:rPr>
        <w:t>טו. סוף דיבור ראשון)</w:t>
      </w:r>
      <w:r>
        <w:rPr>
          <w:rFonts w:hint="cs"/>
          <w:rtl/>
        </w:rPr>
        <w:t xml:space="preserve">- </w:t>
      </w:r>
      <w:r w:rsidRPr="00823FEB">
        <w:rPr>
          <w:rFonts w:cs="Arial"/>
          <w:rtl/>
        </w:rPr>
        <w:t>פנאד"ה</w:t>
      </w:r>
      <w:r>
        <w:rPr>
          <w:rStyle w:val="a7"/>
          <w:rFonts w:cs="Arial"/>
          <w:rtl/>
        </w:rPr>
        <w:footnoteReference w:id="2717"/>
      </w:r>
      <w:r w:rsidRPr="00823FEB">
        <w:rPr>
          <w:rFonts w:cs="Arial"/>
          <w:rtl/>
        </w:rPr>
        <w:t xml:space="preserve"> </w:t>
      </w:r>
      <w:r>
        <w:rPr>
          <w:rFonts w:cs="Arial" w:hint="cs"/>
          <w:rtl/>
        </w:rPr>
        <w:t>[של דגים</w:t>
      </w:r>
      <w:r>
        <w:rPr>
          <w:rStyle w:val="a7"/>
          <w:rFonts w:cs="Arial"/>
          <w:rtl/>
        </w:rPr>
        <w:footnoteReference w:id="2718"/>
      </w:r>
      <w:r>
        <w:rPr>
          <w:rFonts w:cs="Arial" w:hint="cs"/>
          <w:rtl/>
        </w:rPr>
        <w:t xml:space="preserve">] </w:t>
      </w:r>
      <w:r w:rsidRPr="00823FEB">
        <w:rPr>
          <w:rFonts w:cs="Arial"/>
          <w:rtl/>
        </w:rPr>
        <w:t xml:space="preserve">שאפאה </w:t>
      </w:r>
      <w:r w:rsidRPr="00823FEB">
        <w:rPr>
          <w:rFonts w:cs="Arial" w:hint="cs"/>
          <w:rtl/>
        </w:rPr>
        <w:t>גוי</w:t>
      </w:r>
      <w:r w:rsidRPr="00823FEB">
        <w:rPr>
          <w:rFonts w:cs="Arial"/>
          <w:rtl/>
        </w:rPr>
        <w:t xml:space="preserve"> אסורה אפי' למי שנוהג היתר בפת של </w:t>
      </w:r>
      <w:r w:rsidRPr="00823FEB">
        <w:rPr>
          <w:rFonts w:cs="Arial" w:hint="cs"/>
          <w:rtl/>
        </w:rPr>
        <w:t>גוים</w:t>
      </w:r>
      <w:r w:rsidRPr="00823FEB">
        <w:rPr>
          <w:rFonts w:cs="Arial"/>
          <w:rtl/>
        </w:rPr>
        <w:t xml:space="preserve"> שהשומן נאסר כשהוא בעין משום בישולי </w:t>
      </w:r>
      <w:r w:rsidRPr="00823FEB">
        <w:rPr>
          <w:rFonts w:cs="Arial" w:hint="cs"/>
          <w:rtl/>
        </w:rPr>
        <w:t>גוים</w:t>
      </w:r>
      <w:r w:rsidRPr="00823FEB">
        <w:rPr>
          <w:rFonts w:cs="Arial"/>
          <w:rtl/>
        </w:rPr>
        <w:t xml:space="preserve"> ונבלע בפת</w:t>
      </w:r>
      <w:r w:rsidRPr="00823FEB">
        <w:rPr>
          <w:rFonts w:cs="Arial" w:hint="cs"/>
          <w:rtl/>
        </w:rPr>
        <w:t>,</w:t>
      </w:r>
      <w:r w:rsidRPr="00823FEB">
        <w:rPr>
          <w:rFonts w:cs="Arial"/>
          <w:rtl/>
        </w:rPr>
        <w:t xml:space="preserve"> וכן ירקות הנאכלין כמו שהן חיין ובשלם עם בשר אסורין ששומן של בשר נבלע בהן</w:t>
      </w:r>
      <w:r>
        <w:rPr>
          <w:rFonts w:cs="Arial" w:hint="cs"/>
          <w:sz w:val="16"/>
          <w:szCs w:val="16"/>
          <w:rtl/>
        </w:rPr>
        <w:t xml:space="preserve"> (ל' הטור)</w:t>
      </w:r>
      <w:r>
        <w:rPr>
          <w:rStyle w:val="a7"/>
          <w:rFonts w:cs="Arial"/>
          <w:rtl/>
        </w:rPr>
        <w:footnoteReference w:id="2719"/>
      </w:r>
      <w:r w:rsidRPr="00823FEB">
        <w:rPr>
          <w:rFonts w:cs="Arial" w:hint="cs"/>
          <w:rtl/>
        </w:rPr>
        <w:t>.</w:t>
      </w:r>
      <w:r>
        <w:rPr>
          <w:rFonts w:hint="cs"/>
          <w:rtl/>
        </w:rPr>
        <w:t xml:space="preserve"> </w:t>
      </w:r>
    </w:p>
    <w:p w14:paraId="7D6C8B7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82FACD9" w14:textId="77777777" w:rsidR="002C39F4" w:rsidRDefault="002C39F4" w:rsidP="002C39F4">
      <w:pPr>
        <w:rPr>
          <w:rFonts w:asciiTheme="minorBidi" w:hAnsiTheme="minorBidi"/>
          <w:rtl/>
        </w:rPr>
      </w:pPr>
      <w:r w:rsidRPr="003024E5">
        <w:rPr>
          <w:rFonts w:asciiTheme="minorBidi" w:hAnsiTheme="minorBidi"/>
          <w:rtl/>
        </w:rPr>
        <w:t>פנאד"ה</w:t>
      </w:r>
      <w:r>
        <w:rPr>
          <w:rStyle w:val="a7"/>
          <w:rFonts w:asciiTheme="minorBidi" w:hAnsiTheme="minorBidi"/>
          <w:rtl/>
        </w:rPr>
        <w:footnoteReference w:id="2720"/>
      </w:r>
      <w:r w:rsidRPr="003024E5">
        <w:rPr>
          <w:rFonts w:asciiTheme="minorBidi" w:hAnsiTheme="minorBidi"/>
          <w:rtl/>
        </w:rPr>
        <w:t xml:space="preserve"> שאפאה </w:t>
      </w:r>
      <w:r>
        <w:rPr>
          <w:rFonts w:asciiTheme="minorBidi" w:hAnsiTheme="minorBidi"/>
          <w:rtl/>
        </w:rPr>
        <w:t>גוי</w:t>
      </w:r>
      <w:r w:rsidRPr="003024E5">
        <w:rPr>
          <w:rFonts w:asciiTheme="minorBidi" w:hAnsiTheme="minorBidi"/>
          <w:rtl/>
        </w:rPr>
        <w:t xml:space="preserve"> אסורה אפילו למי שנוהג היתר בפת של </w:t>
      </w:r>
      <w:r>
        <w:rPr>
          <w:rFonts w:asciiTheme="minorBidi" w:hAnsiTheme="minorBidi"/>
          <w:rtl/>
        </w:rPr>
        <w:t>גוים</w:t>
      </w:r>
      <w:r>
        <w:rPr>
          <w:rStyle w:val="a7"/>
          <w:rFonts w:asciiTheme="minorBidi" w:hAnsiTheme="minorBidi"/>
          <w:rtl/>
        </w:rPr>
        <w:footnoteReference w:id="2721"/>
      </w:r>
      <w:r w:rsidRPr="003024E5">
        <w:rPr>
          <w:rFonts w:asciiTheme="minorBidi" w:hAnsiTheme="minorBidi"/>
          <w:rtl/>
        </w:rPr>
        <w:t xml:space="preserve">, שהשומן נאסר כשהוא בעין משום בישולי </w:t>
      </w:r>
      <w:r>
        <w:rPr>
          <w:rFonts w:asciiTheme="minorBidi" w:hAnsiTheme="minorBidi"/>
          <w:rtl/>
        </w:rPr>
        <w:t>גוים</w:t>
      </w:r>
      <w:r w:rsidRPr="003024E5">
        <w:rPr>
          <w:rFonts w:asciiTheme="minorBidi" w:hAnsiTheme="minorBidi"/>
          <w:rtl/>
        </w:rPr>
        <w:t xml:space="preserve"> ונבלע בפת. וכן </w:t>
      </w:r>
      <w:r>
        <w:rPr>
          <w:rFonts w:asciiTheme="minorBidi" w:hAnsiTheme="minorBidi"/>
          <w:rtl/>
        </w:rPr>
        <w:t>ירקות הנאכלים חיים שבשלם עם בשר</w:t>
      </w:r>
      <w:r w:rsidRPr="003024E5">
        <w:rPr>
          <w:rFonts w:asciiTheme="minorBidi" w:hAnsiTheme="minorBidi"/>
          <w:rtl/>
        </w:rPr>
        <w:t xml:space="preserve"> אסורים, מפני ששומן של בשר נבלע בהם. </w:t>
      </w:r>
    </w:p>
    <w:p w14:paraId="6806DF77" w14:textId="77777777" w:rsidR="002C39F4" w:rsidRPr="003024E5" w:rsidRDefault="002C39F4" w:rsidP="002C39F4">
      <w:pPr>
        <w:rPr>
          <w:rFonts w:asciiTheme="minorBidi" w:hAnsiTheme="minorBidi"/>
          <w:rtl/>
        </w:rPr>
      </w:pPr>
    </w:p>
    <w:p w14:paraId="6AB7C1E1" w14:textId="77777777" w:rsidR="002C39F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בישול של שפחות ועבדים גוים.</w:t>
      </w:r>
    </w:p>
    <w:p w14:paraId="2695B2ED" w14:textId="77777777" w:rsidR="002C39F4" w:rsidRPr="000E04BE" w:rsidRDefault="002C39F4" w:rsidP="002C39F4">
      <w:pPr>
        <w:rPr>
          <w:rFonts w:cs="Arial"/>
          <w:u w:val="single"/>
          <w:rtl/>
        </w:rPr>
      </w:pPr>
      <w:r>
        <w:rPr>
          <w:rFonts w:cs="Arial" w:hint="cs"/>
          <w:u w:val="single"/>
          <w:rtl/>
        </w:rPr>
        <w:t xml:space="preserve">בישול של </w:t>
      </w:r>
      <w:r w:rsidRPr="000E04BE">
        <w:rPr>
          <w:rFonts w:cs="Arial" w:hint="cs"/>
          <w:u w:val="single"/>
          <w:rtl/>
        </w:rPr>
        <w:t>שפחות ועבדים גוים:</w:t>
      </w:r>
    </w:p>
    <w:p w14:paraId="57FDEDEF" w14:textId="77777777" w:rsidR="002C39F4" w:rsidRPr="000E04BE" w:rsidRDefault="002C39F4" w:rsidP="0032102C">
      <w:pPr>
        <w:pStyle w:val="a8"/>
        <w:numPr>
          <w:ilvl w:val="0"/>
          <w:numId w:val="280"/>
        </w:numPr>
        <w:rPr>
          <w:rFonts w:cs="Arial"/>
          <w:rtl/>
        </w:rPr>
      </w:pPr>
      <w:r w:rsidRPr="00C847FB">
        <w:rPr>
          <w:rFonts w:cs="Arial"/>
          <w:rtl/>
        </w:rPr>
        <w:t>ר</w:t>
      </w:r>
      <w:r>
        <w:rPr>
          <w:rFonts w:cs="Arial"/>
          <w:rtl/>
        </w:rPr>
        <w:t>' יצחק ב</w:t>
      </w:r>
      <w:r>
        <w:rPr>
          <w:rFonts w:cs="Arial" w:hint="cs"/>
          <w:rtl/>
        </w:rPr>
        <w:t>"ר</w:t>
      </w:r>
      <w:r w:rsidRPr="00C847FB">
        <w:rPr>
          <w:rFonts w:cs="Arial"/>
          <w:rtl/>
        </w:rPr>
        <w:t xml:space="preserve"> מנוח</w:t>
      </w:r>
      <w:r>
        <w:rPr>
          <w:rFonts w:cs="Arial" w:hint="cs"/>
          <w:rtl/>
        </w:rPr>
        <w:t xml:space="preserve"> ורמב"ן</w:t>
      </w:r>
      <w:r>
        <w:rPr>
          <w:rStyle w:val="a7"/>
          <w:rFonts w:cs="Arial"/>
          <w:rtl/>
        </w:rPr>
        <w:footnoteReference w:id="2722"/>
      </w:r>
      <w:r w:rsidRPr="000E04BE">
        <w:rPr>
          <w:rFonts w:cs="Arial" w:hint="cs"/>
          <w:rtl/>
        </w:rPr>
        <w:t>-</w:t>
      </w:r>
      <w:r w:rsidRPr="000E04BE">
        <w:rPr>
          <w:rFonts w:cs="Arial"/>
          <w:rtl/>
        </w:rPr>
        <w:t xml:space="preserve"> </w:t>
      </w:r>
      <w:r w:rsidRPr="00C847FB">
        <w:rPr>
          <w:rFonts w:cs="Arial"/>
          <w:rtl/>
        </w:rPr>
        <w:t>בענין בשולי נכרים דעתי אני שאין</w:t>
      </w:r>
      <w:r>
        <w:rPr>
          <w:rFonts w:cs="Arial"/>
          <w:rtl/>
        </w:rPr>
        <w:t xml:space="preserve"> אסורין בשפחות הללו הקנויות לנו</w:t>
      </w:r>
      <w:r>
        <w:rPr>
          <w:rFonts w:cs="Arial" w:hint="cs"/>
          <w:rtl/>
        </w:rPr>
        <w:t>,</w:t>
      </w:r>
      <w:r w:rsidRPr="00C847FB">
        <w:rPr>
          <w:rFonts w:cs="Arial"/>
          <w:rtl/>
        </w:rPr>
        <w:t xml:space="preserve"> דמלאכה דעבד ערל מלאכה דישראל הוא</w:t>
      </w:r>
      <w:r>
        <w:rPr>
          <w:rFonts w:cs="Arial" w:hint="cs"/>
          <w:rtl/>
        </w:rPr>
        <w:t>,</w:t>
      </w:r>
      <w:r w:rsidRPr="00C847FB">
        <w:rPr>
          <w:rFonts w:cs="Arial"/>
          <w:rtl/>
        </w:rPr>
        <w:t xml:space="preserve"> דקנוי לו למעשה ידיו ומוזהר עליו </w:t>
      </w:r>
      <w:r>
        <w:rPr>
          <w:rFonts w:cs="Arial"/>
          <w:rtl/>
        </w:rPr>
        <w:t>בשבת מן התורה וליתיה בכלל נכרים</w:t>
      </w:r>
      <w:r>
        <w:rPr>
          <w:rFonts w:cs="Arial" w:hint="cs"/>
          <w:rtl/>
        </w:rPr>
        <w:t>,</w:t>
      </w:r>
      <w:r w:rsidRPr="00C847FB">
        <w:rPr>
          <w:rFonts w:cs="Arial"/>
          <w:rtl/>
        </w:rPr>
        <w:t xml:space="preserve"> והלכך ליתיה בכלל גזירות דידהו</w:t>
      </w:r>
      <w:r>
        <w:rPr>
          <w:rFonts w:cs="Arial" w:hint="cs"/>
          <w:rtl/>
        </w:rPr>
        <w:t>,</w:t>
      </w:r>
      <w:r w:rsidRPr="00C847FB">
        <w:rPr>
          <w:rFonts w:cs="Arial"/>
          <w:rtl/>
        </w:rPr>
        <w:t xml:space="preserve"> וכן נהגו</w:t>
      </w:r>
      <w:r>
        <w:rPr>
          <w:rFonts w:cs="Arial" w:hint="cs"/>
          <w:sz w:val="16"/>
          <w:szCs w:val="16"/>
          <w:rtl/>
        </w:rPr>
        <w:t xml:space="preserve"> (ל' הרמב"ן)</w:t>
      </w:r>
      <w:r w:rsidRPr="00C847FB">
        <w:rPr>
          <w:rFonts w:cs="Arial"/>
          <w:rtl/>
        </w:rPr>
        <w:t>.</w:t>
      </w:r>
    </w:p>
    <w:p w14:paraId="439DE0BC" w14:textId="77777777" w:rsidR="002C39F4" w:rsidRPr="00B16DDA" w:rsidRDefault="002C39F4" w:rsidP="0032102C">
      <w:pPr>
        <w:pStyle w:val="a8"/>
        <w:numPr>
          <w:ilvl w:val="0"/>
          <w:numId w:val="280"/>
        </w:numPr>
      </w:pPr>
      <w:r w:rsidRPr="00EF088B">
        <w:rPr>
          <w:rFonts w:cs="Arial"/>
          <w:rtl/>
        </w:rPr>
        <w:t xml:space="preserve">מהרא"י </w:t>
      </w:r>
      <w:r w:rsidRPr="004F4649">
        <w:rPr>
          <w:rFonts w:cs="Arial"/>
          <w:sz w:val="16"/>
          <w:szCs w:val="16"/>
          <w:rtl/>
        </w:rPr>
        <w:t>(</w:t>
      </w:r>
      <w:r w:rsidRPr="004F4649">
        <w:rPr>
          <w:rFonts w:cs="Arial" w:hint="cs"/>
          <w:sz w:val="16"/>
          <w:szCs w:val="16"/>
          <w:rtl/>
        </w:rPr>
        <w:t xml:space="preserve">בהגשע"ד </w:t>
      </w:r>
      <w:r w:rsidRPr="004F4649">
        <w:rPr>
          <w:rFonts w:cs="Arial"/>
          <w:sz w:val="16"/>
          <w:szCs w:val="16"/>
          <w:rtl/>
        </w:rPr>
        <w:t>סי' עה אות ב)</w:t>
      </w:r>
      <w:r>
        <w:rPr>
          <w:rFonts w:cs="Arial" w:hint="cs"/>
          <w:rtl/>
        </w:rPr>
        <w:t>-</w:t>
      </w:r>
      <w:r w:rsidRPr="00EF088B">
        <w:rPr>
          <w:rFonts w:cs="Arial"/>
          <w:rtl/>
        </w:rPr>
        <w:t xml:space="preserve"> </w:t>
      </w:r>
      <w:r w:rsidRPr="00B16DDA">
        <w:rPr>
          <w:rFonts w:cs="Arial"/>
          <w:rtl/>
        </w:rPr>
        <w:t>בכמה מקומות נוהגין להתיר ולהניח שפחות גויות לבשל ולצלות בבית ואין י</w:t>
      </w:r>
      <w:r>
        <w:rPr>
          <w:rFonts w:cs="Arial"/>
          <w:rtl/>
        </w:rPr>
        <w:t>שראל שולח יד בתבשיל או בצלי כלל</w:t>
      </w:r>
      <w:r>
        <w:rPr>
          <w:rFonts w:cs="Arial" w:hint="cs"/>
          <w:rtl/>
        </w:rPr>
        <w:t>,</w:t>
      </w:r>
      <w:r w:rsidRPr="00B16DDA">
        <w:rPr>
          <w:rFonts w:cs="Arial"/>
          <w:rtl/>
        </w:rPr>
        <w:t xml:space="preserve"> ואפשר דסמכי אהא דאי אפשר שלא יחתה אחד מבני </w:t>
      </w:r>
      <w:r>
        <w:rPr>
          <w:rFonts w:cs="Arial"/>
          <w:rtl/>
        </w:rPr>
        <w:t>בית בגחלים לצורך בישול או צלייה</w:t>
      </w:r>
      <w:r>
        <w:rPr>
          <w:rFonts w:cs="Arial" w:hint="cs"/>
          <w:rtl/>
        </w:rPr>
        <w:t>.</w:t>
      </w:r>
      <w:r w:rsidRPr="00EF088B">
        <w:rPr>
          <w:rFonts w:cs="Arial"/>
          <w:rtl/>
        </w:rPr>
        <w:t xml:space="preserve"> </w:t>
      </w:r>
      <w:r w:rsidRPr="004F4649">
        <w:rPr>
          <w:rFonts w:hint="cs"/>
          <w:color w:val="00B0F0"/>
          <w:rtl/>
        </w:rPr>
        <w:t>(וכ"פ הרמ"א)</w:t>
      </w:r>
    </w:p>
    <w:p w14:paraId="1AC37041" w14:textId="77777777" w:rsidR="002C39F4" w:rsidRDefault="002C39F4" w:rsidP="0032102C">
      <w:pPr>
        <w:pStyle w:val="a8"/>
        <w:numPr>
          <w:ilvl w:val="0"/>
          <w:numId w:val="280"/>
        </w:numPr>
        <w:rPr>
          <w:rFonts w:cs="Arial"/>
        </w:rPr>
      </w:pPr>
      <w:r>
        <w:rPr>
          <w:rFonts w:cs="Arial"/>
          <w:rtl/>
        </w:rPr>
        <w:t xml:space="preserve">מאירי </w:t>
      </w:r>
      <w:r w:rsidRPr="004B5016">
        <w:rPr>
          <w:rFonts w:cs="Arial" w:hint="cs"/>
          <w:sz w:val="16"/>
          <w:szCs w:val="16"/>
          <w:rtl/>
        </w:rPr>
        <w:t>(ע"ז לח:)</w:t>
      </w:r>
      <w:r>
        <w:rPr>
          <w:rFonts w:cs="Arial" w:hint="cs"/>
          <w:rtl/>
        </w:rPr>
        <w:t xml:space="preserve"> ואו</w:t>
      </w:r>
      <w:r>
        <w:rPr>
          <w:rFonts w:cs="Arial"/>
          <w:rtl/>
        </w:rPr>
        <w:t>"</w:t>
      </w:r>
      <w:r>
        <w:rPr>
          <w:rFonts w:cs="Arial" w:hint="cs"/>
          <w:rtl/>
        </w:rPr>
        <w:t>ה</w:t>
      </w:r>
      <w:r>
        <w:rPr>
          <w:rFonts w:cs="Arial" w:hint="cs"/>
          <w:sz w:val="16"/>
          <w:szCs w:val="16"/>
          <w:rtl/>
        </w:rPr>
        <w:t xml:space="preserve"> (כלל מג די"ג)</w:t>
      </w:r>
      <w:r>
        <w:rPr>
          <w:rFonts w:cs="Arial" w:hint="cs"/>
          <w:rtl/>
        </w:rPr>
        <w:t xml:space="preserve">- </w:t>
      </w:r>
      <w:r w:rsidRPr="004B5016">
        <w:rPr>
          <w:rFonts w:cs="Arial"/>
          <w:rtl/>
        </w:rPr>
        <w:t xml:space="preserve">לכתחלה ראוי להחמיר </w:t>
      </w:r>
      <w:r>
        <w:rPr>
          <w:rFonts w:cs="Arial" w:hint="cs"/>
          <w:rtl/>
        </w:rPr>
        <w:t>ו</w:t>
      </w:r>
      <w:r w:rsidRPr="004B5016">
        <w:rPr>
          <w:rFonts w:cs="Arial"/>
          <w:rtl/>
        </w:rPr>
        <w:t>בדיעבד מ</w:t>
      </w:r>
      <w:r>
        <w:rPr>
          <w:rFonts w:cs="Arial" w:hint="cs"/>
          <w:rtl/>
        </w:rPr>
        <w:t>ותר</w:t>
      </w:r>
      <w:r>
        <w:rPr>
          <w:rStyle w:val="a7"/>
          <w:rFonts w:cs="Arial"/>
          <w:rtl/>
        </w:rPr>
        <w:footnoteReference w:id="2723"/>
      </w:r>
      <w:r>
        <w:rPr>
          <w:rFonts w:cs="Arial" w:hint="cs"/>
          <w:rtl/>
        </w:rPr>
        <w:t>.</w:t>
      </w:r>
      <w:r>
        <w:rPr>
          <w:rFonts w:hint="cs"/>
          <w:color w:val="00B0F0"/>
          <w:rtl/>
        </w:rPr>
        <w:t xml:space="preserve"> </w:t>
      </w:r>
      <w:r w:rsidRPr="004F4649">
        <w:rPr>
          <w:rFonts w:hint="cs"/>
          <w:color w:val="00B0F0"/>
          <w:rtl/>
        </w:rPr>
        <w:t>(וכ"פ הרמ"א)</w:t>
      </w:r>
    </w:p>
    <w:p w14:paraId="56B62CED" w14:textId="77777777" w:rsidR="002C39F4" w:rsidRPr="00C40394" w:rsidRDefault="002C39F4" w:rsidP="0032102C">
      <w:pPr>
        <w:pStyle w:val="a8"/>
        <w:numPr>
          <w:ilvl w:val="0"/>
          <w:numId w:val="280"/>
        </w:numPr>
      </w:pPr>
      <w:r w:rsidRPr="000E04BE">
        <w:rPr>
          <w:rFonts w:cs="Arial"/>
          <w:rtl/>
        </w:rPr>
        <w:t>רשב"א</w:t>
      </w:r>
      <w:r w:rsidRPr="000E04BE">
        <w:rPr>
          <w:rFonts w:cs="Arial" w:hint="cs"/>
          <w:rtl/>
        </w:rPr>
        <w:t>-</w:t>
      </w:r>
      <w:r w:rsidRPr="00A35C75">
        <w:rPr>
          <w:rFonts w:cs="Arial"/>
          <w:rtl/>
        </w:rPr>
        <w:t xml:space="preserve"> בודאי הרי הן בכלל </w:t>
      </w:r>
      <w:r w:rsidRPr="004B5016">
        <w:rPr>
          <w:rFonts w:cs="Arial" w:hint="cs"/>
          <w:sz w:val="16"/>
          <w:szCs w:val="16"/>
          <w:rtl/>
        </w:rPr>
        <w:t>{</w:t>
      </w:r>
      <w:r>
        <w:rPr>
          <w:rFonts w:cs="Arial" w:hint="cs"/>
          <w:sz w:val="16"/>
          <w:szCs w:val="16"/>
          <w:rtl/>
        </w:rPr>
        <w:t>ה</w:t>
      </w:r>
      <w:r w:rsidRPr="004B5016">
        <w:rPr>
          <w:rFonts w:cs="Arial"/>
          <w:sz w:val="16"/>
          <w:szCs w:val="16"/>
          <w:rtl/>
        </w:rPr>
        <w:t>גזירות שגזרו חכמים על הכותים</w:t>
      </w:r>
      <w:r w:rsidRPr="004B5016">
        <w:rPr>
          <w:rFonts w:cs="Arial" w:hint="cs"/>
          <w:sz w:val="16"/>
          <w:szCs w:val="16"/>
          <w:rtl/>
        </w:rPr>
        <w:t>}</w:t>
      </w:r>
      <w:r w:rsidRPr="00A35C75">
        <w:rPr>
          <w:rFonts w:cs="Arial"/>
          <w:rtl/>
        </w:rPr>
        <w:t xml:space="preserve"> ביין של ישר</w:t>
      </w:r>
      <w:r>
        <w:rPr>
          <w:rFonts w:cs="Arial"/>
          <w:rtl/>
        </w:rPr>
        <w:t>אל ובגבינותיהן ובכלל כל הגזירות</w:t>
      </w:r>
      <w:r>
        <w:rPr>
          <w:rFonts w:cs="Arial" w:hint="cs"/>
          <w:rtl/>
        </w:rPr>
        <w:t>,</w:t>
      </w:r>
      <w:r>
        <w:rPr>
          <w:rFonts w:cs="Arial"/>
          <w:rtl/>
        </w:rPr>
        <w:t xml:space="preserve"> אלא שיש מרבותינו</w:t>
      </w:r>
      <w:r w:rsidRPr="00A35C75">
        <w:rPr>
          <w:rFonts w:cs="Arial"/>
          <w:rtl/>
        </w:rPr>
        <w:t xml:space="preserve"> שעממו על בשולי העבדים והשפחות שלנו להתיר</w:t>
      </w:r>
      <w:r>
        <w:rPr>
          <w:rFonts w:cs="Arial" w:hint="cs"/>
          <w:rtl/>
        </w:rPr>
        <w:t>,</w:t>
      </w:r>
      <w:r w:rsidRPr="00A35C75">
        <w:rPr>
          <w:rFonts w:cs="Arial"/>
          <w:rtl/>
        </w:rPr>
        <w:t xml:space="preserve"> ונותנים טעם לדבריהם שאין איסור הבישול אלא מגזירת חתנות</w:t>
      </w:r>
      <w:r>
        <w:rPr>
          <w:rFonts w:cs="Arial" w:hint="cs"/>
          <w:rtl/>
        </w:rPr>
        <w:t>,</w:t>
      </w:r>
      <w:r w:rsidRPr="00A35C75">
        <w:rPr>
          <w:rFonts w:cs="Arial"/>
          <w:rtl/>
        </w:rPr>
        <w:t xml:space="preserve"> ואין גזירת חתנות וקירוב הדעת בהן אלא במי שעושה מרצונו מאהבת ישראל</w:t>
      </w:r>
      <w:r>
        <w:rPr>
          <w:rFonts w:cs="Arial" w:hint="cs"/>
          <w:rtl/>
        </w:rPr>
        <w:t>,</w:t>
      </w:r>
      <w:r w:rsidRPr="00A35C75">
        <w:rPr>
          <w:rFonts w:cs="Arial"/>
          <w:rtl/>
        </w:rPr>
        <w:t xml:space="preserve"> ואלו עושין בין ירצו בין לא ירצו, ואין קירוב הדעת בזה ולא גזירת חתנות. ומ"מ אין דבריהם מחוורין בעינינו ואין אנו סומכין על זה אלא נוהגין אנו איסור בבשוליהם ואפילו בדיעבד</w:t>
      </w:r>
      <w:r w:rsidRPr="004B5016">
        <w:rPr>
          <w:rFonts w:cs="Arial" w:hint="cs"/>
          <w:sz w:val="16"/>
          <w:szCs w:val="16"/>
          <w:rtl/>
        </w:rPr>
        <w:t xml:space="preserve"> </w:t>
      </w:r>
      <w:r>
        <w:rPr>
          <w:rFonts w:cs="Arial" w:hint="cs"/>
          <w:sz w:val="16"/>
          <w:szCs w:val="16"/>
          <w:rtl/>
        </w:rPr>
        <w:t>(ח"א סי' סח, ו</w:t>
      </w:r>
      <w:r w:rsidRPr="00C847FB">
        <w:rPr>
          <w:rFonts w:cs="Arial"/>
          <w:sz w:val="16"/>
          <w:szCs w:val="16"/>
          <w:rtl/>
        </w:rPr>
        <w:t>במ</w:t>
      </w:r>
      <w:r>
        <w:rPr>
          <w:rFonts w:cs="Arial" w:hint="cs"/>
          <w:sz w:val="16"/>
          <w:szCs w:val="16"/>
          <w:rtl/>
        </w:rPr>
        <w:t>יוחסות</w:t>
      </w:r>
      <w:r>
        <w:rPr>
          <w:rFonts w:cs="Arial"/>
          <w:sz w:val="16"/>
          <w:szCs w:val="16"/>
          <w:rtl/>
        </w:rPr>
        <w:t xml:space="preserve"> סי' קמט</w:t>
      </w:r>
      <w:r w:rsidRPr="00C847FB">
        <w:rPr>
          <w:rFonts w:cs="Arial"/>
          <w:sz w:val="16"/>
          <w:szCs w:val="16"/>
          <w:rtl/>
        </w:rPr>
        <w:t>)</w:t>
      </w:r>
      <w:r>
        <w:rPr>
          <w:rFonts w:cs="Arial" w:hint="cs"/>
          <w:rtl/>
        </w:rPr>
        <w:t>.</w:t>
      </w:r>
      <w:r w:rsidRPr="004B5016">
        <w:rPr>
          <w:rFonts w:cs="Arial"/>
          <w:rtl/>
        </w:rPr>
        <w:t xml:space="preserve"> </w:t>
      </w:r>
      <w:r w:rsidRPr="00C847FB">
        <w:rPr>
          <w:rFonts w:cs="Arial"/>
          <w:rtl/>
        </w:rPr>
        <w:t>ואין הפרש בין עבד ושפחה לנכרי דעלמ</w:t>
      </w:r>
      <w:r>
        <w:rPr>
          <w:rFonts w:cs="Arial"/>
          <w:rtl/>
        </w:rPr>
        <w:t>א שא</w:t>
      </w:r>
      <w:r>
        <w:rPr>
          <w:rFonts w:cs="Arial" w:hint="cs"/>
          <w:rtl/>
        </w:rPr>
        <w:t>"</w:t>
      </w:r>
      <w:r>
        <w:rPr>
          <w:rFonts w:cs="Arial"/>
          <w:rtl/>
        </w:rPr>
        <w:t>כ אפילו שפיר</w:t>
      </w:r>
      <w:r>
        <w:rPr>
          <w:rFonts w:cs="Arial" w:hint="cs"/>
          <w:rtl/>
        </w:rPr>
        <w:t>ו</w:t>
      </w:r>
      <w:r>
        <w:rPr>
          <w:rFonts w:cs="Arial"/>
          <w:rtl/>
        </w:rPr>
        <w:t xml:space="preserve"> לשתרי</w:t>
      </w:r>
      <w:r>
        <w:rPr>
          <w:rFonts w:cs="Arial" w:hint="cs"/>
          <w:rtl/>
        </w:rPr>
        <w:t>,</w:t>
      </w:r>
      <w:r>
        <w:rPr>
          <w:rFonts w:cs="Arial"/>
          <w:rtl/>
        </w:rPr>
        <w:t xml:space="preserve"> וב</w:t>
      </w:r>
      <w:r w:rsidRPr="00C847FB">
        <w:rPr>
          <w:rFonts w:cs="Arial"/>
          <w:rtl/>
        </w:rPr>
        <w:t>ן מלכים לשתרי</w:t>
      </w:r>
      <w:r>
        <w:rPr>
          <w:rFonts w:cs="Arial" w:hint="cs"/>
          <w:rtl/>
        </w:rPr>
        <w:t>,</w:t>
      </w:r>
      <w:r w:rsidRPr="00C847FB">
        <w:rPr>
          <w:rFonts w:cs="Arial"/>
          <w:rtl/>
        </w:rPr>
        <w:t xml:space="preserve"> דמן הידוע שלא יתחתן בו</w:t>
      </w:r>
      <w:r>
        <w:rPr>
          <w:rFonts w:cs="Arial" w:hint="cs"/>
          <w:rtl/>
        </w:rPr>
        <w:t>,</w:t>
      </w:r>
      <w:r w:rsidRPr="00C847FB">
        <w:rPr>
          <w:rFonts w:cs="Arial"/>
          <w:rtl/>
        </w:rPr>
        <w:t xml:space="preserve"> ואין הדבר אלא משום איקרובי דעת ודברים אילו מביאים לידי קירוב הדע</w:t>
      </w:r>
      <w:r>
        <w:rPr>
          <w:rFonts w:cs="Arial" w:hint="cs"/>
          <w:rtl/>
        </w:rPr>
        <w:t xml:space="preserve">ת </w:t>
      </w:r>
      <w:r w:rsidRPr="00A35C75">
        <w:rPr>
          <w:rFonts w:cs="Arial" w:hint="cs"/>
          <w:sz w:val="16"/>
          <w:szCs w:val="16"/>
          <w:rtl/>
        </w:rPr>
        <w:t>(משה"ב ב"ג ש"ז צד:)</w:t>
      </w:r>
      <w:r>
        <w:rPr>
          <w:rFonts w:cs="Arial" w:hint="cs"/>
          <w:rtl/>
        </w:rPr>
        <w:t>.</w:t>
      </w:r>
      <w:r>
        <w:rPr>
          <w:rFonts w:hint="cs"/>
          <w:rtl/>
        </w:rPr>
        <w:t xml:space="preserve"> </w:t>
      </w:r>
      <w:r w:rsidRPr="00024722">
        <w:rPr>
          <w:rFonts w:hint="cs"/>
          <w:color w:val="E36C0A" w:themeColor="accent6" w:themeShade="BF"/>
          <w:rtl/>
        </w:rPr>
        <w:t>(וכ"</w:t>
      </w:r>
      <w:r>
        <w:rPr>
          <w:rFonts w:hint="cs"/>
          <w:color w:val="E36C0A" w:themeColor="accent6" w:themeShade="BF"/>
          <w:rtl/>
        </w:rPr>
        <w:t>נ</w:t>
      </w:r>
      <w:r w:rsidRPr="00024722">
        <w:rPr>
          <w:rFonts w:hint="cs"/>
          <w:color w:val="E36C0A" w:themeColor="accent6" w:themeShade="BF"/>
          <w:rtl/>
        </w:rPr>
        <w:t xml:space="preserve"> </w:t>
      </w:r>
      <w:r>
        <w:rPr>
          <w:rFonts w:hint="cs"/>
          <w:color w:val="E36C0A" w:themeColor="accent6" w:themeShade="BF"/>
          <w:rtl/>
        </w:rPr>
        <w:t>דעת ה</w:t>
      </w:r>
      <w:r w:rsidRPr="00024722">
        <w:rPr>
          <w:rFonts w:hint="cs"/>
          <w:color w:val="E36C0A" w:themeColor="accent6" w:themeShade="BF"/>
          <w:rtl/>
        </w:rPr>
        <w:t>ש</w:t>
      </w:r>
      <w:r>
        <w:rPr>
          <w:rFonts w:hint="cs"/>
          <w:color w:val="E36C0A" w:themeColor="accent6" w:themeShade="BF"/>
          <w:rtl/>
        </w:rPr>
        <w:t>ו</w:t>
      </w:r>
      <w:r w:rsidRPr="00024722">
        <w:rPr>
          <w:rFonts w:hint="cs"/>
          <w:color w:val="E36C0A" w:themeColor="accent6" w:themeShade="BF"/>
          <w:rtl/>
        </w:rPr>
        <w:t>"ע)</w:t>
      </w:r>
    </w:p>
    <w:p w14:paraId="25E66C9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3E0DDA9" w14:textId="77777777" w:rsidR="002C39F4" w:rsidRDefault="002C39F4" w:rsidP="002C39F4">
      <w:pPr>
        <w:rPr>
          <w:rFonts w:asciiTheme="minorBidi" w:hAnsiTheme="minorBidi"/>
          <w:rtl/>
        </w:rPr>
      </w:pPr>
      <w:r>
        <w:rPr>
          <w:rFonts w:asciiTheme="minorBidi" w:hAnsiTheme="minorBidi"/>
          <w:rtl/>
        </w:rPr>
        <w:t>יש מי שמתיר בשפחות שלנו</w:t>
      </w:r>
      <w:r>
        <w:rPr>
          <w:rStyle w:val="a7"/>
          <w:rFonts w:asciiTheme="minorBidi" w:hAnsiTheme="minorBidi"/>
          <w:rtl/>
        </w:rPr>
        <w:footnoteReference w:id="2724"/>
      </w:r>
      <w:r>
        <w:rPr>
          <w:rFonts w:asciiTheme="minorBidi" w:hAnsiTheme="minorBidi"/>
          <w:rtl/>
        </w:rPr>
        <w:t xml:space="preserve"> ויש מי שאוסר</w:t>
      </w:r>
      <w:r w:rsidRPr="003024E5">
        <w:rPr>
          <w:rFonts w:asciiTheme="minorBidi" w:hAnsiTheme="minorBidi"/>
          <w:rtl/>
        </w:rPr>
        <w:t xml:space="preserve"> ואפילו בדיעבד</w:t>
      </w:r>
      <w:r>
        <w:rPr>
          <w:rFonts w:asciiTheme="minorBidi" w:hAnsiTheme="minorBidi"/>
          <w:sz w:val="18"/>
          <w:szCs w:val="18"/>
          <w:rtl/>
        </w:rPr>
        <w:t>. הגה: ובדיעבד</w:t>
      </w:r>
      <w:r w:rsidRPr="00623D84">
        <w:rPr>
          <w:rFonts w:asciiTheme="minorBidi" w:hAnsiTheme="minorBidi"/>
          <w:sz w:val="18"/>
          <w:szCs w:val="18"/>
          <w:rtl/>
        </w:rPr>
        <w:t xml:space="preserve"> יש לסמוך אד</w:t>
      </w:r>
      <w:r>
        <w:rPr>
          <w:rFonts w:asciiTheme="minorBidi" w:hAnsiTheme="minorBidi"/>
          <w:sz w:val="18"/>
          <w:szCs w:val="18"/>
          <w:rtl/>
        </w:rPr>
        <w:t>ברי מתירים (ארוך</w:t>
      </w:r>
      <w:r w:rsidRPr="00623D84">
        <w:rPr>
          <w:rFonts w:asciiTheme="minorBidi" w:hAnsiTheme="minorBidi"/>
          <w:sz w:val="18"/>
          <w:szCs w:val="18"/>
          <w:rtl/>
        </w:rPr>
        <w:t>). ואפילו לכתחלה נוהגין להקל בבית ישראל שהשפחות והעבדים מבשלים בבית ישראל, כי אי אפשר שלא יחתה</w:t>
      </w:r>
      <w:r>
        <w:rPr>
          <w:rStyle w:val="a7"/>
          <w:rFonts w:asciiTheme="minorBidi" w:hAnsiTheme="minorBidi"/>
          <w:sz w:val="18"/>
          <w:szCs w:val="18"/>
          <w:rtl/>
        </w:rPr>
        <w:footnoteReference w:id="2725"/>
      </w:r>
      <w:r w:rsidRPr="00623D84">
        <w:rPr>
          <w:rFonts w:asciiTheme="minorBidi" w:hAnsiTheme="minorBidi"/>
          <w:sz w:val="18"/>
          <w:szCs w:val="18"/>
          <w:rtl/>
        </w:rPr>
        <w:t xml:space="preserve"> אחד מבני הבית מעט</w:t>
      </w:r>
      <w:r>
        <w:rPr>
          <w:rStyle w:val="a7"/>
          <w:rFonts w:asciiTheme="minorBidi" w:hAnsiTheme="minorBidi"/>
          <w:sz w:val="18"/>
          <w:szCs w:val="18"/>
          <w:rtl/>
        </w:rPr>
        <w:footnoteReference w:id="2726"/>
      </w:r>
      <w:r w:rsidRPr="00623D84">
        <w:rPr>
          <w:rFonts w:asciiTheme="minorBidi" w:hAnsiTheme="minorBidi"/>
          <w:sz w:val="18"/>
          <w:szCs w:val="18"/>
          <w:rtl/>
        </w:rPr>
        <w:t xml:space="preserve"> (</w:t>
      </w:r>
      <w:r>
        <w:rPr>
          <w:rFonts w:asciiTheme="minorBidi" w:hAnsiTheme="minorBidi"/>
          <w:sz w:val="18"/>
          <w:szCs w:val="18"/>
          <w:rtl/>
        </w:rPr>
        <w:t>הג</w:t>
      </w:r>
      <w:r w:rsidRPr="00623D84">
        <w:rPr>
          <w:rFonts w:asciiTheme="minorBidi" w:hAnsiTheme="minorBidi"/>
          <w:sz w:val="18"/>
          <w:szCs w:val="18"/>
          <w:rtl/>
        </w:rPr>
        <w:t>ש</w:t>
      </w:r>
      <w:r>
        <w:rPr>
          <w:rFonts w:asciiTheme="minorBidi" w:hAnsiTheme="minorBidi" w:hint="cs"/>
          <w:sz w:val="18"/>
          <w:szCs w:val="18"/>
          <w:rtl/>
        </w:rPr>
        <w:t>ע</w:t>
      </w:r>
      <w:r w:rsidRPr="00623D84">
        <w:rPr>
          <w:rFonts w:asciiTheme="minorBidi" w:hAnsiTheme="minorBidi"/>
          <w:sz w:val="18"/>
          <w:szCs w:val="18"/>
          <w:rtl/>
        </w:rPr>
        <w:t>"ד).</w:t>
      </w:r>
      <w:r w:rsidRPr="003024E5">
        <w:rPr>
          <w:rFonts w:asciiTheme="minorBidi" w:hAnsiTheme="minorBidi"/>
          <w:rtl/>
        </w:rPr>
        <w:t xml:space="preserve"> </w:t>
      </w:r>
      <w:r>
        <w:rPr>
          <w:rFonts w:asciiTheme="minorBidi" w:hAnsiTheme="minorBidi" w:hint="cs"/>
          <w:rtl/>
        </w:rPr>
        <w:t xml:space="preserve"> </w:t>
      </w:r>
    </w:p>
    <w:p w14:paraId="34A45916" w14:textId="77777777" w:rsidR="002C39F4" w:rsidRPr="003024E5" w:rsidRDefault="002C39F4" w:rsidP="002C39F4">
      <w:pPr>
        <w:rPr>
          <w:rFonts w:asciiTheme="minorBidi" w:hAnsiTheme="minorBidi"/>
          <w:rtl/>
        </w:rPr>
      </w:pPr>
    </w:p>
    <w:p w14:paraId="1FFA7FC7"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גוי שבישל ללא כוונה.</w:t>
      </w:r>
    </w:p>
    <w:p w14:paraId="6804C683" w14:textId="77777777" w:rsidR="002C39F4" w:rsidRPr="009C7D8A" w:rsidRDefault="002C39F4" w:rsidP="002C39F4">
      <w:pPr>
        <w:rPr>
          <w:rtl/>
        </w:rPr>
      </w:pPr>
      <w:r>
        <w:rPr>
          <w:rFonts w:cs="Arial" w:hint="cs"/>
          <w:b/>
          <w:bCs/>
          <w:rtl/>
        </w:rPr>
        <w:t xml:space="preserve">עבודה זרה לח ע"א: </w:t>
      </w:r>
      <w:r w:rsidRPr="009063D2">
        <w:rPr>
          <w:rFonts w:cs="Arial"/>
          <w:u w:val="single"/>
          <w:rtl/>
        </w:rPr>
        <w:t>אמר רב ברונא אמר רב:</w:t>
      </w:r>
      <w:r w:rsidRPr="009063D2">
        <w:rPr>
          <w:rFonts w:cs="Arial"/>
          <w:rtl/>
        </w:rPr>
        <w:t xml:space="preserve"> עובד כוכבים שהצית את האור באגם - כל החגבים שבאגם אסורין. ה"ד? אילימא דלא ידע הי טהור והי טמא, מאי איריא עובד כוכבים? אפילו ישראל נמי! אלא משום בישולי עובדי כוכבים, כי האי גוונא מי אסיר?</w:t>
      </w:r>
      <w:r w:rsidRPr="009063D2">
        <w:rPr>
          <w:rFonts w:cs="Arial"/>
          <w:u w:val="single"/>
          <w:rtl/>
        </w:rPr>
        <w:t xml:space="preserve"> והאמר רב חנן בר אמי א"ר פדת א"ר יוחנן</w:t>
      </w:r>
      <w:r w:rsidRPr="009063D2">
        <w:rPr>
          <w:rFonts w:cs="Arial"/>
          <w:rtl/>
        </w:rPr>
        <w:t>: האי עובד כוכבים דחריך רישא - שרי למיכל מיניה אפילו מריש אוניה, אלמא לעבורי שער קמיכוין, ה"נ לגלויי אגמא קא מיכוין! לעולם דלא ידע הי טהור והי טמא, ומעשה שהיה - בעובד כוכבים היה. גופא,</w:t>
      </w:r>
      <w:r>
        <w:rPr>
          <w:rFonts w:cs="Arial" w:hint="cs"/>
          <w:rtl/>
        </w:rPr>
        <w:t xml:space="preserve"> </w:t>
      </w:r>
      <w:r w:rsidRPr="009C7D8A">
        <w:rPr>
          <w:rFonts w:cs="Arial"/>
          <w:u w:val="single"/>
          <w:rtl/>
        </w:rPr>
        <w:t>אמר רב חנן בר אמי א"ר פדת א"ר יוחנן</w:t>
      </w:r>
      <w:r w:rsidRPr="009C7D8A">
        <w:rPr>
          <w:rFonts w:cs="Arial"/>
          <w:rtl/>
        </w:rPr>
        <w:t xml:space="preserve">: האי עובד כוכבים דחריך רישא - שרי למיכל מיניה אפילו מריש אוניה. </w:t>
      </w:r>
      <w:r w:rsidRPr="009C7D8A">
        <w:rPr>
          <w:rFonts w:cs="Arial"/>
          <w:u w:val="single"/>
          <w:rtl/>
        </w:rPr>
        <w:t>אמר רבינא</w:t>
      </w:r>
      <w:r w:rsidRPr="009C7D8A">
        <w:rPr>
          <w:rFonts w:cs="Arial"/>
          <w:rtl/>
        </w:rPr>
        <w:t>: הלכך, האי עובד כוכבים דשדא סיכתא</w:t>
      </w:r>
      <w:r>
        <w:rPr>
          <w:rStyle w:val="a7"/>
          <w:rFonts w:cs="Arial"/>
          <w:rtl/>
        </w:rPr>
        <w:footnoteReference w:id="2727"/>
      </w:r>
      <w:r w:rsidRPr="009C7D8A">
        <w:rPr>
          <w:rFonts w:cs="Arial"/>
          <w:rtl/>
        </w:rPr>
        <w:t xml:space="preserve"> לאתונא, וקבר בה ישראל קרא מעיקרא</w:t>
      </w:r>
      <w:r>
        <w:rPr>
          <w:rStyle w:val="a7"/>
          <w:rFonts w:cs="Arial"/>
          <w:rtl/>
        </w:rPr>
        <w:footnoteReference w:id="2728"/>
      </w:r>
      <w:r w:rsidRPr="009C7D8A">
        <w:rPr>
          <w:rFonts w:cs="Arial"/>
          <w:rtl/>
        </w:rPr>
        <w:t xml:space="preserve"> - שפיר דמי</w:t>
      </w:r>
      <w:r>
        <w:rPr>
          <w:rStyle w:val="a7"/>
          <w:rFonts w:cs="Arial"/>
          <w:rtl/>
        </w:rPr>
        <w:footnoteReference w:id="2729"/>
      </w:r>
      <w:r w:rsidRPr="009C7D8A">
        <w:rPr>
          <w:rFonts w:cs="Arial"/>
          <w:rtl/>
        </w:rPr>
        <w:t>. פשיטא! מהו דתימא: לבשולי מנא קא מיכוין, קמ"ל: לשרורי מנא קא מיכוין</w:t>
      </w:r>
      <w:r>
        <w:rPr>
          <w:rStyle w:val="a7"/>
          <w:rFonts w:cs="Arial"/>
          <w:rtl/>
        </w:rPr>
        <w:footnoteReference w:id="2730"/>
      </w:r>
      <w:r w:rsidRPr="009C7D8A">
        <w:rPr>
          <w:rFonts w:cs="Arial"/>
          <w:rtl/>
        </w:rPr>
        <w:t>.</w:t>
      </w:r>
      <w:r>
        <w:rPr>
          <w:rFonts w:cs="Arial" w:hint="cs"/>
          <w:rtl/>
        </w:rPr>
        <w:t xml:space="preserve"> </w:t>
      </w:r>
      <w:r w:rsidRPr="004221BF">
        <w:rPr>
          <w:rFonts w:cs="Arial" w:hint="cs"/>
          <w:sz w:val="16"/>
          <w:szCs w:val="16"/>
          <w:rtl/>
        </w:rPr>
        <w:t>(</w:t>
      </w:r>
      <w:r w:rsidRPr="004221BF">
        <w:rPr>
          <w:rFonts w:cs="Arial"/>
          <w:sz w:val="16"/>
          <w:szCs w:val="16"/>
          <w:rtl/>
        </w:rPr>
        <w:t>וכתב הרא"ש (סי' לא)</w:t>
      </w:r>
      <w:r>
        <w:rPr>
          <w:rFonts w:cs="Arial" w:hint="cs"/>
          <w:sz w:val="16"/>
          <w:szCs w:val="16"/>
          <w:rtl/>
        </w:rPr>
        <w:t>-</w:t>
      </w:r>
      <w:r w:rsidRPr="004221BF">
        <w:rPr>
          <w:rFonts w:cs="Arial"/>
          <w:sz w:val="16"/>
          <w:szCs w:val="16"/>
          <w:rtl/>
        </w:rPr>
        <w:t xml:space="preserve"> בהלכות הרי"ף (טו.) כתוב </w:t>
      </w:r>
      <w:r w:rsidRPr="004221BF">
        <w:rPr>
          <w:rFonts w:cs="Arial" w:hint="cs"/>
          <w:sz w:val="16"/>
          <w:szCs w:val="16"/>
          <w:rtl/>
        </w:rPr>
        <w:t>'</w:t>
      </w:r>
      <w:r w:rsidRPr="004221BF">
        <w:rPr>
          <w:rFonts w:cs="Arial"/>
          <w:sz w:val="16"/>
          <w:szCs w:val="16"/>
          <w:rtl/>
        </w:rPr>
        <w:t>קבר בה ישראל קרא מעיקרא שפיר דמי לבסוף אסור</w:t>
      </w:r>
      <w:r w:rsidRPr="004221BF">
        <w:rPr>
          <w:rFonts w:cs="Arial" w:hint="cs"/>
          <w:sz w:val="16"/>
          <w:szCs w:val="16"/>
          <w:rtl/>
        </w:rPr>
        <w:t>',</w:t>
      </w:r>
      <w:r w:rsidRPr="004221BF">
        <w:rPr>
          <w:rFonts w:cs="Arial"/>
          <w:sz w:val="16"/>
          <w:szCs w:val="16"/>
          <w:rtl/>
        </w:rPr>
        <w:t xml:space="preserve"> לא בעי למימר לבסוף אחר שהסיק התנור דהא ודאי שרי דהיינו שגר גוי ואפה ישראל אלא הכי קאמר לבסוף בתר דשדא גוי סיכתא לאתונא קודם שהבעיר האש ליבש הסיכתא דכיון דקבר בה ישראל לעין הגוי אע</w:t>
      </w:r>
      <w:r w:rsidRPr="004221BF">
        <w:rPr>
          <w:rFonts w:cs="Arial" w:hint="cs"/>
          <w:sz w:val="16"/>
          <w:szCs w:val="16"/>
          <w:rtl/>
        </w:rPr>
        <w:t>"</w:t>
      </w:r>
      <w:r w:rsidRPr="004221BF">
        <w:rPr>
          <w:rFonts w:cs="Arial"/>
          <w:sz w:val="16"/>
          <w:szCs w:val="16"/>
          <w:rtl/>
        </w:rPr>
        <w:t>ג דלא כיון לבסוף לבשל הסיכתא חיישינן שמא כיון לבשל הקרא כיון דידע בה</w:t>
      </w:r>
      <w:r w:rsidRPr="004221BF">
        <w:rPr>
          <w:rFonts w:cs="Arial" w:hint="cs"/>
          <w:sz w:val="16"/>
          <w:szCs w:val="16"/>
          <w:rtl/>
        </w:rPr>
        <w:t>,</w:t>
      </w:r>
      <w:r w:rsidRPr="004221BF">
        <w:rPr>
          <w:rFonts w:cs="Arial"/>
          <w:sz w:val="16"/>
          <w:szCs w:val="16"/>
          <w:rtl/>
        </w:rPr>
        <w:t xml:space="preserve"> ולא שרינן אלא היכא דקבר בה ישראל מעיקרא ולא ידע בה הגוי</w:t>
      </w:r>
      <w:r>
        <w:rPr>
          <w:rFonts w:cs="Arial" w:hint="cs"/>
          <w:sz w:val="16"/>
          <w:szCs w:val="16"/>
          <w:rtl/>
        </w:rPr>
        <w:t>)</w:t>
      </w:r>
    </w:p>
    <w:p w14:paraId="1A408BE6" w14:textId="77777777" w:rsidR="002C39F4" w:rsidRPr="009C7D8A" w:rsidRDefault="002C39F4" w:rsidP="002C39F4">
      <w:pPr>
        <w:rPr>
          <w:u w:val="single"/>
          <w:rtl/>
        </w:rPr>
      </w:pPr>
      <w:r w:rsidRPr="009C7D8A">
        <w:rPr>
          <w:u w:val="single"/>
          <w:rtl/>
        </w:rPr>
        <w:t xml:space="preserve">גוי </w:t>
      </w:r>
      <w:r w:rsidRPr="009C7D8A">
        <w:rPr>
          <w:rFonts w:hint="cs"/>
          <w:u w:val="single"/>
          <w:rtl/>
        </w:rPr>
        <w:t>שבישל ללא כוונה:</w:t>
      </w:r>
    </w:p>
    <w:p w14:paraId="3943B725" w14:textId="77777777" w:rsidR="002C39F4" w:rsidRPr="009C376D" w:rsidRDefault="002C39F4" w:rsidP="0032102C">
      <w:pPr>
        <w:pStyle w:val="a8"/>
        <w:numPr>
          <w:ilvl w:val="0"/>
          <w:numId w:val="281"/>
        </w:numPr>
        <w:rPr>
          <w:rFonts w:cs="Arial"/>
          <w:rtl/>
        </w:rPr>
      </w:pPr>
      <w:r>
        <w:rPr>
          <w:rFonts w:hint="cs"/>
          <w:rtl/>
        </w:rPr>
        <w:t xml:space="preserve">טור- </w:t>
      </w:r>
      <w:r w:rsidRPr="009C7D8A">
        <w:rPr>
          <w:rFonts w:cs="Arial"/>
          <w:rtl/>
        </w:rPr>
        <w:t>ולא אסרו אלא כשמכוין ה</w:t>
      </w:r>
      <w:r w:rsidRPr="009C7D8A">
        <w:rPr>
          <w:rFonts w:cs="Arial" w:hint="cs"/>
          <w:rtl/>
        </w:rPr>
        <w:t>גוי</w:t>
      </w:r>
      <w:r w:rsidRPr="009C7D8A">
        <w:rPr>
          <w:rFonts w:cs="Arial"/>
          <w:rtl/>
        </w:rPr>
        <w:t xml:space="preserve"> לשם בישול</w:t>
      </w:r>
      <w:r w:rsidRPr="009C7D8A">
        <w:rPr>
          <w:rFonts w:cs="Arial" w:hint="cs"/>
          <w:rtl/>
        </w:rPr>
        <w:t>,</w:t>
      </w:r>
      <w:r w:rsidRPr="009C7D8A">
        <w:rPr>
          <w:rFonts w:cs="Arial"/>
          <w:rtl/>
        </w:rPr>
        <w:t xml:space="preserve"> אבל אם אינו מכוין לשם בישול כגון שהסיק התנור ליבש בו כלים והיה בו בשר ולא ידע בו ונצלה</w:t>
      </w:r>
      <w:r w:rsidRPr="009C7D8A">
        <w:rPr>
          <w:rFonts w:cs="Arial" w:hint="cs"/>
          <w:rtl/>
        </w:rPr>
        <w:t>,</w:t>
      </w:r>
      <w:r w:rsidRPr="009C7D8A">
        <w:rPr>
          <w:rFonts w:cs="Arial"/>
          <w:rtl/>
        </w:rPr>
        <w:t xml:space="preserve"> או שחרך ראש גדי להסיר שער ונצלו ראשי האזנים שהם רכין עד שראוין לאכילה</w:t>
      </w:r>
      <w:r>
        <w:rPr>
          <w:rFonts w:cs="Arial" w:hint="cs"/>
          <w:rtl/>
        </w:rPr>
        <w:t xml:space="preserve"> </w:t>
      </w:r>
      <w:r w:rsidRPr="009C7D8A">
        <w:rPr>
          <w:rFonts w:cs="Arial" w:hint="cs"/>
          <w:rtl/>
        </w:rPr>
        <w:t>-</w:t>
      </w:r>
      <w:r w:rsidRPr="009C7D8A">
        <w:rPr>
          <w:rFonts w:cs="Arial"/>
          <w:rtl/>
        </w:rPr>
        <w:t xml:space="preserve"> מותר כיון שלא כיון לשם בישול</w:t>
      </w:r>
      <w:r w:rsidRPr="009C7D8A">
        <w:rPr>
          <w:rFonts w:cs="Arial" w:hint="cs"/>
          <w:rtl/>
        </w:rPr>
        <w:t>,</w:t>
      </w:r>
      <w:r w:rsidRPr="009C7D8A">
        <w:rPr>
          <w:rFonts w:cs="Arial"/>
          <w:rtl/>
        </w:rPr>
        <w:t xml:space="preserve"> אבל אם כיון לשם בישול כגון שהסיק התנור לבשל בו והיה בו בשר תחלה ונצלה</w:t>
      </w:r>
      <w:r w:rsidRPr="009C7D8A">
        <w:rPr>
          <w:rFonts w:cs="Arial" w:hint="cs"/>
          <w:rtl/>
        </w:rPr>
        <w:t>,</w:t>
      </w:r>
      <w:r w:rsidRPr="009C7D8A">
        <w:rPr>
          <w:rFonts w:cs="Arial"/>
          <w:rtl/>
        </w:rPr>
        <w:t xml:space="preserve"> אע</w:t>
      </w:r>
      <w:r w:rsidRPr="009C7D8A">
        <w:rPr>
          <w:rFonts w:cs="Arial" w:hint="cs"/>
          <w:rtl/>
        </w:rPr>
        <w:t>"</w:t>
      </w:r>
      <w:r w:rsidRPr="009C7D8A">
        <w:rPr>
          <w:rFonts w:cs="Arial"/>
          <w:rtl/>
        </w:rPr>
        <w:t>פ שלא כיון לזה הבשר שהרי לא ידע בו</w:t>
      </w:r>
      <w:r>
        <w:rPr>
          <w:rStyle w:val="a7"/>
          <w:rFonts w:cs="Arial"/>
          <w:rtl/>
        </w:rPr>
        <w:footnoteReference w:id="2731"/>
      </w:r>
      <w:r w:rsidRPr="009C7D8A">
        <w:rPr>
          <w:rFonts w:cs="Arial"/>
          <w:rtl/>
        </w:rPr>
        <w:t xml:space="preserve"> אפי' הכי אסור</w:t>
      </w:r>
      <w:r>
        <w:rPr>
          <w:rStyle w:val="a7"/>
          <w:rFonts w:cs="Arial"/>
          <w:rtl/>
        </w:rPr>
        <w:footnoteReference w:id="2732"/>
      </w:r>
      <w:r w:rsidRPr="009C7D8A">
        <w:rPr>
          <w:rFonts w:cs="Arial" w:hint="cs"/>
          <w:rtl/>
        </w:rPr>
        <w:t>,</w:t>
      </w:r>
      <w:r w:rsidRPr="009C7D8A">
        <w:rPr>
          <w:rFonts w:cs="Arial"/>
          <w:rtl/>
        </w:rPr>
        <w:t xml:space="preserve"> לפיכך אם ידע שהיה בשר בתנור אפילו חממו ליבש כלי אסור</w:t>
      </w:r>
      <w:r>
        <w:rPr>
          <w:rStyle w:val="a7"/>
          <w:rFonts w:cs="Arial"/>
          <w:rtl/>
        </w:rPr>
        <w:footnoteReference w:id="2733"/>
      </w:r>
      <w:r w:rsidRPr="009C7D8A">
        <w:rPr>
          <w:rFonts w:cs="Arial"/>
          <w:rtl/>
        </w:rPr>
        <w:t xml:space="preserve"> חיישינן שמא כיון גם לבישול כיון שידע בו</w:t>
      </w:r>
      <w:r w:rsidRPr="009C7D8A">
        <w:rPr>
          <w:rFonts w:cs="Arial" w:hint="cs"/>
          <w:rtl/>
        </w:rPr>
        <w:t>.</w:t>
      </w:r>
      <w:r>
        <w:rPr>
          <w:rFonts w:cs="Arial" w:hint="cs"/>
          <w:rtl/>
        </w:rPr>
        <w:t xml:space="preserve">  </w:t>
      </w:r>
    </w:p>
    <w:p w14:paraId="75D5CFF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6975806" w14:textId="77777777" w:rsidR="002C39F4" w:rsidRDefault="002C39F4" w:rsidP="002C39F4">
      <w:pPr>
        <w:rPr>
          <w:rFonts w:asciiTheme="minorBidi" w:hAnsiTheme="minorBidi"/>
          <w:rtl/>
        </w:rPr>
      </w:pPr>
      <w:r>
        <w:rPr>
          <w:rFonts w:asciiTheme="minorBidi" w:hAnsiTheme="minorBidi"/>
          <w:rtl/>
        </w:rPr>
        <w:t>גוי שבישל ולא נתכוין לבישול מותר</w:t>
      </w:r>
      <w:r>
        <w:rPr>
          <w:rFonts w:asciiTheme="minorBidi" w:hAnsiTheme="minorBidi" w:hint="cs"/>
          <w:rtl/>
        </w:rPr>
        <w:t>.</w:t>
      </w:r>
      <w:r w:rsidRPr="003024E5">
        <w:rPr>
          <w:rFonts w:asciiTheme="minorBidi" w:hAnsiTheme="minorBidi"/>
          <w:rtl/>
        </w:rPr>
        <w:t xml:space="preserve"> כיצד, </w:t>
      </w:r>
      <w:r>
        <w:rPr>
          <w:rFonts w:asciiTheme="minorBidi" w:hAnsiTheme="minorBidi"/>
          <w:rtl/>
        </w:rPr>
        <w:t>גוי</w:t>
      </w:r>
      <w:r w:rsidRPr="003024E5">
        <w:rPr>
          <w:rFonts w:asciiTheme="minorBidi" w:hAnsiTheme="minorBidi"/>
          <w:rtl/>
        </w:rPr>
        <w:t xml:space="preserve"> </w:t>
      </w:r>
      <w:r>
        <w:rPr>
          <w:rFonts w:asciiTheme="minorBidi" w:hAnsiTheme="minorBidi"/>
          <w:rtl/>
        </w:rPr>
        <w:t>שהצית אור באגם כדי להעביר החציר ונתבשלו בו חגבים הרי אלו מותרים</w:t>
      </w:r>
      <w:r w:rsidRPr="003024E5">
        <w:rPr>
          <w:rFonts w:asciiTheme="minorBidi" w:hAnsiTheme="minorBidi"/>
          <w:rtl/>
        </w:rPr>
        <w:t xml:space="preserve"> וא</w:t>
      </w:r>
      <w:r>
        <w:rPr>
          <w:rFonts w:asciiTheme="minorBidi" w:hAnsiTheme="minorBidi"/>
          <w:rtl/>
        </w:rPr>
        <w:t>פילו במקום שעולים על שלחן מלכים</w:t>
      </w:r>
      <w:r>
        <w:rPr>
          <w:rFonts w:asciiTheme="minorBidi" w:hAnsiTheme="minorBidi" w:hint="cs"/>
          <w:rtl/>
        </w:rPr>
        <w:t>.</w:t>
      </w:r>
      <w:r>
        <w:rPr>
          <w:rFonts w:asciiTheme="minorBidi" w:hAnsiTheme="minorBidi"/>
          <w:rtl/>
        </w:rPr>
        <w:t xml:space="preserve"> וכן אם חרך הראש להעביר השער</w:t>
      </w:r>
      <w:r w:rsidRPr="003024E5">
        <w:rPr>
          <w:rFonts w:asciiTheme="minorBidi" w:hAnsiTheme="minorBidi"/>
          <w:rtl/>
        </w:rPr>
        <w:t xml:space="preserve"> מותר לאכול ראשי האזנים שנצלו בשעת החריכה. אבל אם כיון לשם </w:t>
      </w:r>
      <w:r>
        <w:rPr>
          <w:rFonts w:asciiTheme="minorBidi" w:hAnsiTheme="minorBidi"/>
          <w:rtl/>
        </w:rPr>
        <w:t>בישול, כגון שהסיק התנור לבשל בו</w:t>
      </w:r>
      <w:r w:rsidRPr="003024E5">
        <w:rPr>
          <w:rFonts w:asciiTheme="minorBidi" w:hAnsiTheme="minorBidi"/>
          <w:rtl/>
        </w:rPr>
        <w:t xml:space="preserve"> והיה בו בשר תחלה ונצלה, אף על פי שלא כיון לזה הבשר, שהרי לא ידע בו, אסור. </w:t>
      </w:r>
    </w:p>
    <w:p w14:paraId="1718A13E" w14:textId="77777777" w:rsidR="002C39F4" w:rsidRPr="003024E5" w:rsidRDefault="002C39F4" w:rsidP="002C39F4">
      <w:pPr>
        <w:rPr>
          <w:rFonts w:asciiTheme="minorBidi" w:hAnsiTheme="minorBidi"/>
          <w:rtl/>
        </w:rPr>
      </w:pPr>
    </w:p>
    <w:p w14:paraId="26EE90CE"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ישראל שסייע לבישול הגוי.</w:t>
      </w:r>
    </w:p>
    <w:p w14:paraId="2935FB0A" w14:textId="77777777" w:rsidR="002C39F4" w:rsidRPr="002D5584" w:rsidRDefault="002C39F4" w:rsidP="002C39F4">
      <w:pPr>
        <w:rPr>
          <w:rFonts w:cs="Arial"/>
          <w:rtl/>
        </w:rPr>
      </w:pPr>
      <w:r>
        <w:rPr>
          <w:rFonts w:cs="Arial" w:hint="cs"/>
          <w:b/>
          <w:bCs/>
          <w:rtl/>
        </w:rPr>
        <w:t xml:space="preserve">עבודה זרה לח ע"א: </w:t>
      </w:r>
      <w:r w:rsidRPr="009063D2">
        <w:rPr>
          <w:rFonts w:cs="Arial"/>
          <w:u w:val="single"/>
          <w:rtl/>
        </w:rPr>
        <w:t>אמר רב יהודה אמר שמואל</w:t>
      </w:r>
      <w:r w:rsidRPr="009063D2">
        <w:rPr>
          <w:rFonts w:cs="Arial"/>
          <w:rtl/>
        </w:rPr>
        <w:t>: הניח ישראל בשר על גבי גחלים, ובא עובד כוכבים והפך בו - מותר. היכי דמי? אילימא דאי לא הפך ביה הוה בשיל, פשיטא! אלא לאו</w:t>
      </w:r>
      <w:r>
        <w:rPr>
          <w:rFonts w:cs="Arial" w:hint="cs"/>
          <w:rtl/>
        </w:rPr>
        <w:t>,</w:t>
      </w:r>
      <w:r w:rsidRPr="009063D2">
        <w:rPr>
          <w:rFonts w:cs="Arial"/>
          <w:rtl/>
        </w:rPr>
        <w:t xml:space="preserve"> דאי לא הפך לא הוה בשיל</w:t>
      </w:r>
      <w:r>
        <w:rPr>
          <w:rFonts w:cs="Arial" w:hint="cs"/>
          <w:rtl/>
        </w:rPr>
        <w:t>.</w:t>
      </w:r>
      <w:r w:rsidRPr="009063D2">
        <w:rPr>
          <w:rFonts w:cs="Arial"/>
          <w:rtl/>
        </w:rPr>
        <w:t xml:space="preserve"> אמאי מותר? בישולי של עובדי כוכבים נינהו! לא</w:t>
      </w:r>
      <w:r>
        <w:rPr>
          <w:rFonts w:cs="Arial" w:hint="cs"/>
          <w:rtl/>
        </w:rPr>
        <w:t>,</w:t>
      </w:r>
      <w:r w:rsidRPr="009063D2">
        <w:rPr>
          <w:rFonts w:cs="Arial"/>
          <w:rtl/>
        </w:rPr>
        <w:t xml:space="preserve"> צריכא, דאי לא הפך הוה בשיל בתרתי שעי, והשתא קא בשיל בחדא שעתא, מהו דתימא: קרובי בישולא מילתא היא, קמ"ל.</w:t>
      </w:r>
      <w:r w:rsidRPr="009063D2">
        <w:rPr>
          <w:rtl/>
        </w:rPr>
        <w:t xml:space="preserve"> </w:t>
      </w:r>
      <w:r w:rsidRPr="005D2786">
        <w:rPr>
          <w:rFonts w:cs="Arial"/>
          <w:u w:val="single"/>
          <w:rtl/>
        </w:rPr>
        <w:t>והאמר ר' אסי א"ר יוחנן</w:t>
      </w:r>
      <w:r w:rsidRPr="009063D2">
        <w:rPr>
          <w:rFonts w:cs="Arial"/>
          <w:rtl/>
        </w:rPr>
        <w:t>: כל שהוא כמאכל בן דרוסאי - אין בו משום בישולי עובדי כוכבים, הא אינו כמאכל בן דרוסאי - יש בו משום בשולי עובדי כוכבים</w:t>
      </w:r>
      <w:r>
        <w:rPr>
          <w:rStyle w:val="a7"/>
          <w:rFonts w:cs="Arial"/>
          <w:rtl/>
        </w:rPr>
        <w:footnoteReference w:id="2734"/>
      </w:r>
      <w:r w:rsidRPr="009063D2">
        <w:rPr>
          <w:rFonts w:cs="Arial"/>
          <w:rtl/>
        </w:rPr>
        <w:t>! התם כגון דאותביה בסילתא</w:t>
      </w:r>
      <w:r>
        <w:rPr>
          <w:rStyle w:val="a7"/>
          <w:rFonts w:cs="Arial"/>
          <w:rtl/>
        </w:rPr>
        <w:footnoteReference w:id="2735"/>
      </w:r>
      <w:r w:rsidRPr="009063D2">
        <w:rPr>
          <w:rFonts w:cs="Arial"/>
          <w:rtl/>
        </w:rPr>
        <w:t>, ושקליה עובד כוכבים ואותביה בתנורא. תניא נמי הכי: מניח ישראל בשר על גבי גחלים, ובא עובד כוכבים ומהפך בו עד שיבא ישראל מבית הכנסת או מבית המדרש, ואינו חושש; שופתת אשה קדירה על גבי כירה, ובאת עובדת כוכבים</w:t>
      </w:r>
      <w:r w:rsidRPr="009063D2">
        <w:rPr>
          <w:rtl/>
        </w:rPr>
        <w:t xml:space="preserve"> </w:t>
      </w:r>
      <w:r w:rsidRPr="009063D2">
        <w:rPr>
          <w:rFonts w:cs="Arial"/>
          <w:rtl/>
        </w:rPr>
        <w:t>ומגיסה עד שתבא מבית המרחץ או מבית הכנסת, ואינה חוששת.</w:t>
      </w:r>
      <w:r w:rsidRPr="005D2786">
        <w:rPr>
          <w:rtl/>
        </w:rPr>
        <w:t xml:space="preserve"> </w:t>
      </w:r>
      <w:r w:rsidRPr="005D2786">
        <w:rPr>
          <w:rFonts w:cs="Arial"/>
          <w:rtl/>
        </w:rPr>
        <w:t xml:space="preserve">איבעיא להו: הניח עובד כוכבים והפך ישראל, מהו? </w:t>
      </w:r>
      <w:r w:rsidRPr="005D2786">
        <w:rPr>
          <w:rFonts w:cs="Arial"/>
          <w:u w:val="single"/>
          <w:rtl/>
        </w:rPr>
        <w:t>אמר</w:t>
      </w:r>
      <w:r w:rsidRPr="005D2786">
        <w:rPr>
          <w:rFonts w:cs="Arial"/>
          <w:rtl/>
        </w:rPr>
        <w:t xml:space="preserve"> </w:t>
      </w:r>
      <w:r w:rsidRPr="005D2786">
        <w:rPr>
          <w:rFonts w:cs="Arial"/>
          <w:u w:val="single"/>
          <w:rtl/>
        </w:rPr>
        <w:t>רב נחמן בר יצחק</w:t>
      </w:r>
      <w:r w:rsidRPr="005D2786">
        <w:rPr>
          <w:rFonts w:cs="Arial"/>
          <w:rtl/>
        </w:rPr>
        <w:t xml:space="preserve">: ק"ו, גמרו ביד עובד כוכבים מותר, גמרו ביד ישראל לא כ"ש. איתמר נמי: </w:t>
      </w:r>
      <w:r w:rsidRPr="005D2786">
        <w:rPr>
          <w:rFonts w:cs="Arial"/>
          <w:u w:val="single"/>
          <w:rtl/>
        </w:rPr>
        <w:t>אמר רבה בר בר חנה א"ר יוחנן</w:t>
      </w:r>
      <w:r w:rsidRPr="005D2786">
        <w:rPr>
          <w:rFonts w:cs="Arial"/>
          <w:rtl/>
        </w:rPr>
        <w:t xml:space="preserve">, ואמרי לה </w:t>
      </w:r>
      <w:r w:rsidRPr="005D2786">
        <w:rPr>
          <w:rFonts w:cs="Arial"/>
          <w:u w:val="single"/>
          <w:rtl/>
        </w:rPr>
        <w:t>אמר רב אחא בר בר חנה א"ר יוחנן</w:t>
      </w:r>
      <w:r w:rsidRPr="005D2786">
        <w:rPr>
          <w:rFonts w:cs="Arial"/>
          <w:rtl/>
        </w:rPr>
        <w:t>: בין שהניח עובד כוכבים והפך ישראל, בין שהניח ישראל והפך עובד כוכבים - מותר, ואינו אסור עד שתהא תחלתו וגמרו ביד עובד כוכבים</w:t>
      </w:r>
      <w:r>
        <w:rPr>
          <w:rFonts w:cs="Arial" w:hint="cs"/>
          <w:rtl/>
        </w:rPr>
        <w:t xml:space="preserve">. </w:t>
      </w:r>
      <w:r w:rsidRPr="002D5584">
        <w:rPr>
          <w:rFonts w:cs="Arial" w:hint="cs"/>
          <w:sz w:val="16"/>
          <w:szCs w:val="16"/>
          <w:rtl/>
        </w:rPr>
        <w:t>(וכ"פ הרמב"ם (פי"ז הט"ז) וה</w:t>
      </w:r>
      <w:r w:rsidRPr="002D5584">
        <w:rPr>
          <w:rFonts w:hint="cs"/>
          <w:sz w:val="16"/>
          <w:szCs w:val="16"/>
          <w:rtl/>
        </w:rPr>
        <w:t>טור</w:t>
      </w:r>
      <w:r w:rsidRPr="002D5584">
        <w:rPr>
          <w:rStyle w:val="a7"/>
          <w:rFonts w:cs="Arial"/>
          <w:sz w:val="16"/>
          <w:szCs w:val="16"/>
          <w:rtl/>
        </w:rPr>
        <w:footnoteReference w:id="2736"/>
      </w:r>
      <w:r w:rsidRPr="002D5584">
        <w:rPr>
          <w:rFonts w:hint="cs"/>
          <w:sz w:val="16"/>
          <w:szCs w:val="16"/>
          <w:rtl/>
        </w:rPr>
        <w:t xml:space="preserve">, וז"ל </w:t>
      </w:r>
      <w:r>
        <w:rPr>
          <w:rFonts w:hint="cs"/>
          <w:sz w:val="16"/>
          <w:szCs w:val="16"/>
          <w:rtl/>
        </w:rPr>
        <w:t>הרמב"ם</w:t>
      </w:r>
      <w:r w:rsidRPr="002D5584">
        <w:rPr>
          <w:rFonts w:hint="cs"/>
          <w:sz w:val="16"/>
          <w:szCs w:val="16"/>
          <w:rtl/>
        </w:rPr>
        <w:t xml:space="preserve">- </w:t>
      </w:r>
      <w:r w:rsidRPr="00B25650">
        <w:rPr>
          <w:sz w:val="16"/>
          <w:szCs w:val="16"/>
          <w:rtl/>
        </w:rPr>
        <w:t xml:space="preserve">כל שבשלו ישראל מעט בשולו בין בתחלה בין בסוף מותר, לפיכך אם הניח </w:t>
      </w:r>
      <w:r>
        <w:rPr>
          <w:rFonts w:hint="cs"/>
          <w:sz w:val="16"/>
          <w:szCs w:val="16"/>
          <w:rtl/>
        </w:rPr>
        <w:t>הגוי</w:t>
      </w:r>
      <w:r w:rsidRPr="00B25650">
        <w:rPr>
          <w:sz w:val="16"/>
          <w:szCs w:val="16"/>
          <w:rtl/>
        </w:rPr>
        <w:t xml:space="preserve"> בשר או קדרה על גבי האש והפך ישראל בבשר והגיס בקדרה או שהניח ישראל וגמר </w:t>
      </w:r>
      <w:r>
        <w:rPr>
          <w:rFonts w:hint="cs"/>
          <w:sz w:val="16"/>
          <w:szCs w:val="16"/>
          <w:rtl/>
        </w:rPr>
        <w:t>הגוי</w:t>
      </w:r>
      <w:r w:rsidRPr="00B25650">
        <w:rPr>
          <w:sz w:val="16"/>
          <w:szCs w:val="16"/>
          <w:rtl/>
        </w:rPr>
        <w:t xml:space="preserve"> הרי זה מותר</w:t>
      </w:r>
      <w:r>
        <w:rPr>
          <w:rFonts w:hint="cs"/>
          <w:sz w:val="16"/>
          <w:szCs w:val="16"/>
          <w:rtl/>
        </w:rPr>
        <w:t xml:space="preserve">. </w:t>
      </w:r>
      <w:r w:rsidRPr="002D5584">
        <w:rPr>
          <w:rFonts w:cs="Arial" w:hint="cs"/>
          <w:sz w:val="16"/>
          <w:szCs w:val="16"/>
          <w:rtl/>
        </w:rPr>
        <w:t>עכ"ל</w:t>
      </w:r>
      <w:r w:rsidRPr="002D5584">
        <w:rPr>
          <w:rFonts w:cs="Arial"/>
          <w:sz w:val="16"/>
          <w:szCs w:val="16"/>
          <w:rtl/>
        </w:rPr>
        <w:t>.</w:t>
      </w:r>
      <w:r w:rsidRPr="002D5584">
        <w:rPr>
          <w:rFonts w:cs="Arial" w:hint="cs"/>
          <w:sz w:val="16"/>
          <w:szCs w:val="16"/>
          <w:rtl/>
        </w:rPr>
        <w:t xml:space="preserve"> </w:t>
      </w:r>
      <w:r w:rsidRPr="00B25650">
        <w:rPr>
          <w:rFonts w:cs="Arial" w:hint="cs"/>
          <w:color w:val="E36C0A" w:themeColor="accent6" w:themeShade="BF"/>
          <w:sz w:val="16"/>
          <w:szCs w:val="16"/>
          <w:rtl/>
        </w:rPr>
        <w:t>וכ"פ בשו"ע</w:t>
      </w:r>
      <w:r>
        <w:rPr>
          <w:rFonts w:cs="Arial" w:hint="cs"/>
          <w:sz w:val="16"/>
          <w:szCs w:val="16"/>
          <w:rtl/>
        </w:rPr>
        <w:t xml:space="preserve">. </w:t>
      </w:r>
      <w:r w:rsidRPr="002D5584">
        <w:rPr>
          <w:rFonts w:cs="Arial" w:hint="cs"/>
          <w:sz w:val="16"/>
          <w:szCs w:val="16"/>
          <w:rtl/>
        </w:rPr>
        <w:t xml:space="preserve">וכתב </w:t>
      </w:r>
      <w:r>
        <w:rPr>
          <w:rFonts w:cs="Arial" w:hint="cs"/>
          <w:sz w:val="16"/>
          <w:szCs w:val="16"/>
          <w:rtl/>
        </w:rPr>
        <w:t>ב</w:t>
      </w:r>
      <w:r w:rsidRPr="002D5584">
        <w:rPr>
          <w:rFonts w:cs="Arial" w:hint="cs"/>
          <w:sz w:val="16"/>
          <w:szCs w:val="16"/>
          <w:rtl/>
        </w:rPr>
        <w:t xml:space="preserve">ב"י- </w:t>
      </w:r>
      <w:r>
        <w:rPr>
          <w:rFonts w:cs="Arial" w:hint="cs"/>
          <w:sz w:val="16"/>
          <w:szCs w:val="16"/>
          <w:rtl/>
        </w:rPr>
        <w:t xml:space="preserve">ומכל מקום </w:t>
      </w:r>
      <w:r w:rsidRPr="002D5584">
        <w:rPr>
          <w:rFonts w:cs="Arial"/>
          <w:sz w:val="16"/>
          <w:szCs w:val="16"/>
          <w:rtl/>
        </w:rPr>
        <w:t>יש לתמוה על הרמב"ם ורבינו שלא כתבו דהא דשרי בהניח ישראל והפך גוי דוקא בדלא עביד גוי אלא קירוב בישול כדאמרינן בגמרא</w:t>
      </w:r>
      <w:r w:rsidRPr="002D5584">
        <w:rPr>
          <w:rFonts w:cs="Arial" w:hint="cs"/>
          <w:sz w:val="16"/>
          <w:szCs w:val="16"/>
          <w:rtl/>
        </w:rPr>
        <w:t>,</w:t>
      </w:r>
      <w:r w:rsidRPr="002D5584">
        <w:rPr>
          <w:rFonts w:cs="Arial"/>
          <w:sz w:val="16"/>
          <w:szCs w:val="16"/>
          <w:rtl/>
        </w:rPr>
        <w:t xml:space="preserve"> אבל היכא דאי לא היפך ביה גוי לא הוה בשיל</w:t>
      </w:r>
      <w:r w:rsidRPr="002D5584">
        <w:rPr>
          <w:rFonts w:cs="Arial" w:hint="cs"/>
          <w:sz w:val="16"/>
          <w:szCs w:val="16"/>
          <w:rtl/>
        </w:rPr>
        <w:t>-</w:t>
      </w:r>
      <w:r w:rsidRPr="002D5584">
        <w:rPr>
          <w:rFonts w:cs="Arial"/>
          <w:sz w:val="16"/>
          <w:szCs w:val="16"/>
          <w:rtl/>
        </w:rPr>
        <w:t xml:space="preserve"> אסור</w:t>
      </w:r>
      <w:r w:rsidRPr="002D5584">
        <w:rPr>
          <w:rStyle w:val="a7"/>
          <w:rFonts w:cs="Arial"/>
          <w:sz w:val="16"/>
          <w:szCs w:val="16"/>
          <w:rtl/>
        </w:rPr>
        <w:footnoteReference w:id="2737"/>
      </w:r>
      <w:r w:rsidRPr="002D5584">
        <w:rPr>
          <w:rFonts w:cs="Arial" w:hint="cs"/>
          <w:sz w:val="16"/>
          <w:szCs w:val="16"/>
          <w:rtl/>
        </w:rPr>
        <w:t>,</w:t>
      </w:r>
      <w:r w:rsidRPr="002D5584">
        <w:rPr>
          <w:rFonts w:cs="Arial"/>
          <w:sz w:val="16"/>
          <w:szCs w:val="16"/>
          <w:rtl/>
        </w:rPr>
        <w:t xml:space="preserve"> וי"ל שרבינו סמך על מה שכתב אח"כ גבי הניח ישראל ע"ג גחלים עוממות</w:t>
      </w:r>
      <w:r w:rsidRPr="002D5584">
        <w:rPr>
          <w:rFonts w:cs="Arial" w:hint="cs"/>
          <w:sz w:val="16"/>
          <w:szCs w:val="16"/>
          <w:rtl/>
        </w:rPr>
        <w:t>,</w:t>
      </w:r>
      <w:r w:rsidRPr="002D5584">
        <w:rPr>
          <w:rFonts w:cs="Arial"/>
          <w:sz w:val="16"/>
          <w:szCs w:val="16"/>
          <w:rtl/>
        </w:rPr>
        <w:t xml:space="preserve"> והרמב"ם אפשר שנראה לו שהוא דבר פשוט ולכן לא הוצרך לכתבו</w:t>
      </w:r>
      <w:r>
        <w:rPr>
          <w:rFonts w:cs="Arial" w:hint="cs"/>
          <w:sz w:val="16"/>
          <w:szCs w:val="16"/>
          <w:rtl/>
        </w:rPr>
        <w:t>)</w:t>
      </w:r>
      <w:r>
        <w:rPr>
          <w:rFonts w:cs="Arial" w:hint="cs"/>
          <w:rtl/>
        </w:rPr>
        <w:t xml:space="preserve"> </w:t>
      </w:r>
    </w:p>
    <w:p w14:paraId="16EC7E0F" w14:textId="77777777" w:rsidR="002C39F4" w:rsidRPr="00836E83" w:rsidRDefault="002C39F4" w:rsidP="002C39F4">
      <w:pPr>
        <w:rPr>
          <w:rFonts w:cs="Arial"/>
          <w:u w:val="single"/>
          <w:rtl/>
        </w:rPr>
      </w:pPr>
      <w:r w:rsidRPr="00836E83">
        <w:rPr>
          <w:rFonts w:cs="Arial" w:hint="cs"/>
          <w:u w:val="single"/>
          <w:rtl/>
        </w:rPr>
        <w:t>ישראל שהניח שיפוד לצלותו וגוי מהפכו:</w:t>
      </w:r>
    </w:p>
    <w:p w14:paraId="09ACCD9C" w14:textId="77777777" w:rsidR="002C39F4" w:rsidRPr="009C69D2" w:rsidRDefault="002C39F4" w:rsidP="0032102C">
      <w:pPr>
        <w:pStyle w:val="a8"/>
        <w:numPr>
          <w:ilvl w:val="0"/>
          <w:numId w:val="282"/>
        </w:numPr>
        <w:rPr>
          <w:rtl/>
        </w:rPr>
      </w:pPr>
      <w:r w:rsidRPr="00836E83">
        <w:rPr>
          <w:rFonts w:cs="Arial" w:hint="cs"/>
          <w:rtl/>
        </w:rPr>
        <w:t xml:space="preserve">ב"י- </w:t>
      </w:r>
      <w:r w:rsidRPr="00836E83">
        <w:rPr>
          <w:rFonts w:cs="Arial"/>
          <w:rtl/>
        </w:rPr>
        <w:t>נראה דבשר שצולין בשפוד אע</w:t>
      </w:r>
      <w:r w:rsidRPr="00836E83">
        <w:rPr>
          <w:rFonts w:cs="Arial" w:hint="cs"/>
          <w:rtl/>
        </w:rPr>
        <w:t>"</w:t>
      </w:r>
      <w:r w:rsidRPr="00836E83">
        <w:rPr>
          <w:rFonts w:cs="Arial"/>
          <w:rtl/>
        </w:rPr>
        <w:t>פ שהניח ישראל השפוד עם הבשר תחוב בו סמוך לאש במקום צלייתו אסור ליתנו לגוי להפכו כדי שיצלה אא"כ נצלה ביד ישראל כמאכל בן דרוסאי</w:t>
      </w:r>
      <w:r w:rsidRPr="00836E83">
        <w:rPr>
          <w:rFonts w:cs="Arial" w:hint="cs"/>
          <w:rtl/>
        </w:rPr>
        <w:t xml:space="preserve">, </w:t>
      </w:r>
      <w:r w:rsidRPr="00836E83">
        <w:rPr>
          <w:rFonts w:cs="Arial"/>
          <w:rtl/>
        </w:rPr>
        <w:t>שהרי אם לא היה הופכו הגוי לא היה נצלה מהצד האחר כלל</w:t>
      </w:r>
      <w:r w:rsidRPr="00836E83">
        <w:rPr>
          <w:rFonts w:cs="Arial" w:hint="cs"/>
          <w:rtl/>
        </w:rPr>
        <w:t>,</w:t>
      </w:r>
      <w:r w:rsidRPr="00836E83">
        <w:rPr>
          <w:rFonts w:cs="Arial"/>
          <w:rtl/>
        </w:rPr>
        <w:t xml:space="preserve"> ועוד דאיכא למיחש ביה שמא יסלקנו הגוי ויחזור ויניחנו ולאו אדעתא דישראל</w:t>
      </w:r>
      <w:r w:rsidRPr="00836E83">
        <w:rPr>
          <w:rFonts w:cs="Arial" w:hint="cs"/>
          <w:rtl/>
        </w:rPr>
        <w:t>,</w:t>
      </w:r>
      <w:r w:rsidRPr="00836E83">
        <w:rPr>
          <w:rFonts w:cs="Arial"/>
          <w:rtl/>
        </w:rPr>
        <w:t xml:space="preserve"> ולא דמי לקדרה שמניח ישראל ומגיס גוי ולא חיישינן שמא סילקה כדבסמוך דשאני הכא שראש השפוד עשוי להשמט ממקום שהוא מונח בו וכשהוא נשמט וחזר הגוי והניחו נאסר</w:t>
      </w:r>
      <w:r>
        <w:rPr>
          <w:rStyle w:val="a7"/>
          <w:rFonts w:cs="Arial"/>
          <w:rtl/>
        </w:rPr>
        <w:footnoteReference w:id="2738"/>
      </w:r>
      <w:r w:rsidRPr="00836E83">
        <w:rPr>
          <w:rFonts w:cs="Arial" w:hint="cs"/>
          <w:rtl/>
        </w:rPr>
        <w:t>.</w:t>
      </w:r>
    </w:p>
    <w:p w14:paraId="45588A13"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0B5E1C7" w14:textId="77777777" w:rsidR="002C39F4" w:rsidRDefault="002C39F4" w:rsidP="002C39F4">
      <w:pPr>
        <w:rPr>
          <w:rFonts w:asciiTheme="minorBidi" w:hAnsiTheme="minorBidi"/>
          <w:rtl/>
        </w:rPr>
      </w:pPr>
      <w:r w:rsidRPr="003024E5">
        <w:rPr>
          <w:rFonts w:asciiTheme="minorBidi" w:hAnsiTheme="minorBidi"/>
          <w:rtl/>
        </w:rPr>
        <w:t>כל שבישלו יש</w:t>
      </w:r>
      <w:r>
        <w:rPr>
          <w:rFonts w:asciiTheme="minorBidi" w:hAnsiTheme="minorBidi"/>
          <w:rtl/>
        </w:rPr>
        <w:t>ראל מעט בישולו בין בתחלה בין בסוף</w:t>
      </w:r>
      <w:r w:rsidRPr="003024E5">
        <w:rPr>
          <w:rFonts w:asciiTheme="minorBidi" w:hAnsiTheme="minorBidi"/>
          <w:rtl/>
        </w:rPr>
        <w:t xml:space="preserve"> מותר. לפיכך אם הניח </w:t>
      </w:r>
      <w:r>
        <w:rPr>
          <w:rFonts w:asciiTheme="minorBidi" w:hAnsiTheme="minorBidi"/>
          <w:rtl/>
        </w:rPr>
        <w:t>גוי בשר או קדרה על גבי האש והפך ישראל בבשר והגיס בקדרה</w:t>
      </w:r>
      <w:r w:rsidRPr="003024E5">
        <w:rPr>
          <w:rFonts w:asciiTheme="minorBidi" w:hAnsiTheme="minorBidi"/>
          <w:rtl/>
        </w:rPr>
        <w:t xml:space="preserve"> או שה</w:t>
      </w:r>
      <w:r>
        <w:rPr>
          <w:rFonts w:asciiTheme="minorBidi" w:hAnsiTheme="minorBidi" w:hint="cs"/>
          <w:rtl/>
        </w:rPr>
        <w:t>ניח</w:t>
      </w:r>
      <w:r w:rsidRPr="003024E5">
        <w:rPr>
          <w:rFonts w:asciiTheme="minorBidi" w:hAnsiTheme="minorBidi"/>
          <w:rtl/>
        </w:rPr>
        <w:t xml:space="preserve"> ישראל וגמר ה</w:t>
      </w:r>
      <w:r>
        <w:rPr>
          <w:rFonts w:asciiTheme="minorBidi" w:hAnsiTheme="minorBidi"/>
          <w:rtl/>
        </w:rPr>
        <w:t>גוי הרי זה מותר.</w:t>
      </w:r>
      <w:r w:rsidRPr="009063D2">
        <w:rPr>
          <w:rFonts w:asciiTheme="minorBidi" w:hAnsiTheme="minorBidi"/>
          <w:sz w:val="18"/>
          <w:szCs w:val="18"/>
          <w:rtl/>
        </w:rPr>
        <w:t xml:space="preserve"> </w:t>
      </w:r>
      <w:r w:rsidRPr="009063D2">
        <w:rPr>
          <w:rFonts w:asciiTheme="minorBidi" w:hAnsiTheme="minorBidi" w:hint="cs"/>
          <w:sz w:val="18"/>
          <w:szCs w:val="18"/>
          <w:rtl/>
        </w:rPr>
        <w:t xml:space="preserve">[הגה] </w:t>
      </w:r>
      <w:r w:rsidRPr="009063D2">
        <w:rPr>
          <w:rFonts w:asciiTheme="minorBidi" w:hAnsiTheme="minorBidi"/>
          <w:sz w:val="18"/>
          <w:szCs w:val="18"/>
          <w:rtl/>
        </w:rPr>
        <w:t>ואפילו לא היה מתבשל בלא סיוע הגוי</w:t>
      </w:r>
      <w:r>
        <w:rPr>
          <w:rStyle w:val="a7"/>
          <w:rFonts w:asciiTheme="minorBidi" w:hAnsiTheme="minorBidi"/>
          <w:sz w:val="18"/>
          <w:szCs w:val="18"/>
          <w:rtl/>
        </w:rPr>
        <w:footnoteReference w:id="2739"/>
      </w:r>
      <w:r w:rsidRPr="009063D2">
        <w:rPr>
          <w:rFonts w:asciiTheme="minorBidi" w:hAnsiTheme="minorBidi"/>
          <w:sz w:val="18"/>
          <w:szCs w:val="18"/>
          <w:rtl/>
        </w:rPr>
        <w:t>.</w:t>
      </w:r>
      <w:r w:rsidRPr="003024E5">
        <w:rPr>
          <w:rFonts w:asciiTheme="minorBidi" w:hAnsiTheme="minorBidi"/>
          <w:rtl/>
        </w:rPr>
        <w:t xml:space="preserve"> </w:t>
      </w:r>
    </w:p>
    <w:p w14:paraId="0CA37832" w14:textId="77777777" w:rsidR="002C39F4" w:rsidRPr="003024E5" w:rsidRDefault="002C39F4" w:rsidP="002C39F4">
      <w:pPr>
        <w:rPr>
          <w:rFonts w:asciiTheme="minorBidi" w:hAnsiTheme="minorBidi"/>
          <w:rtl/>
        </w:rPr>
      </w:pPr>
    </w:p>
    <w:p w14:paraId="7646D507" w14:textId="77777777" w:rsidR="002C39F4" w:rsidRPr="0074747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איזו מלאכה של ישראל חשיבא מעשה לעניין בישולי גוים.</w:t>
      </w:r>
    </w:p>
    <w:p w14:paraId="16675698" w14:textId="77777777" w:rsidR="002C39F4" w:rsidRDefault="002C39F4" w:rsidP="002C39F4">
      <w:pPr>
        <w:rPr>
          <w:rFonts w:cs="Arial"/>
          <w:sz w:val="16"/>
          <w:szCs w:val="16"/>
          <w:rtl/>
        </w:rPr>
      </w:pPr>
      <w:r w:rsidRPr="001A433F">
        <w:rPr>
          <w:rFonts w:cs="Arial" w:hint="cs"/>
          <w:u w:val="single"/>
          <w:rtl/>
        </w:rPr>
        <w:t>בגמ' מוזכרת מספר פעמים המילה "הפך"</w:t>
      </w:r>
      <w:r>
        <w:rPr>
          <w:rFonts w:cs="Arial" w:hint="cs"/>
          <w:u w:val="single"/>
          <w:rtl/>
        </w:rPr>
        <w:t xml:space="preserve"> </w:t>
      </w:r>
      <w:r>
        <w:rPr>
          <w:rFonts w:cs="Arial" w:hint="cs"/>
          <w:sz w:val="16"/>
          <w:szCs w:val="16"/>
          <w:u w:val="single"/>
          <w:rtl/>
        </w:rPr>
        <w:t>(כדוגמא למעשה משמעותי)</w:t>
      </w:r>
      <w:r w:rsidRPr="001A433F">
        <w:rPr>
          <w:rFonts w:cs="Arial" w:hint="cs"/>
          <w:u w:val="single"/>
          <w:rtl/>
        </w:rPr>
        <w:t xml:space="preserve"> </w:t>
      </w:r>
      <w:r w:rsidRPr="001A433F">
        <w:rPr>
          <w:rFonts w:cs="Arial"/>
          <w:u w:val="single"/>
          <w:rtl/>
        </w:rPr>
        <w:t>–</w:t>
      </w:r>
      <w:r w:rsidRPr="001A433F">
        <w:rPr>
          <w:rFonts w:cs="Arial" w:hint="cs"/>
          <w:u w:val="single"/>
          <w:rtl/>
        </w:rPr>
        <w:t xml:space="preserve"> האם מדובר שהיפך את הבשר או את הגחלים</w:t>
      </w:r>
      <w:r>
        <w:rPr>
          <w:rStyle w:val="a7"/>
          <w:rFonts w:cs="Arial"/>
          <w:u w:val="single"/>
          <w:rtl/>
        </w:rPr>
        <w:footnoteReference w:id="2740"/>
      </w:r>
      <w:r w:rsidRPr="001A433F">
        <w:rPr>
          <w:rFonts w:cs="Arial" w:hint="cs"/>
          <w:u w:val="single"/>
          <w:rtl/>
        </w:rPr>
        <w:t>:</w:t>
      </w:r>
      <w:r w:rsidRPr="005D2786">
        <w:rPr>
          <w:rFonts w:cs="Arial" w:hint="cs"/>
          <w:sz w:val="16"/>
          <w:szCs w:val="16"/>
          <w:rtl/>
        </w:rPr>
        <w:t xml:space="preserve"> </w:t>
      </w:r>
    </w:p>
    <w:p w14:paraId="1571D22C" w14:textId="77777777" w:rsidR="002C39F4" w:rsidRPr="001A433F" w:rsidRDefault="002C39F4" w:rsidP="0032102C">
      <w:pPr>
        <w:pStyle w:val="a8"/>
        <w:numPr>
          <w:ilvl w:val="0"/>
          <w:numId w:val="281"/>
        </w:numPr>
      </w:pPr>
      <w:r w:rsidRPr="001A433F">
        <w:rPr>
          <w:rFonts w:cs="Arial" w:hint="cs"/>
          <w:rtl/>
        </w:rPr>
        <w:t xml:space="preserve">רמב"ם </w:t>
      </w:r>
      <w:r w:rsidRPr="001A433F">
        <w:rPr>
          <w:rFonts w:cs="Arial" w:hint="cs"/>
          <w:sz w:val="16"/>
          <w:szCs w:val="16"/>
          <w:rtl/>
        </w:rPr>
        <w:t xml:space="preserve">(פי"ז הט"ז) </w:t>
      </w:r>
      <w:r>
        <w:rPr>
          <w:rFonts w:cs="Arial" w:hint="cs"/>
          <w:rtl/>
        </w:rPr>
        <w:t xml:space="preserve">(ה"ר יונה רשב"א ור"ן </w:t>
      </w:r>
      <w:r>
        <w:rPr>
          <w:rFonts w:cs="Arial" w:hint="cs"/>
          <w:sz w:val="16"/>
          <w:szCs w:val="16"/>
          <w:rtl/>
        </w:rPr>
        <w:t>להב' הדרכ"מ [אות ד]</w:t>
      </w:r>
      <w:r>
        <w:rPr>
          <w:rFonts w:cs="Arial" w:hint="cs"/>
          <w:rtl/>
        </w:rPr>
        <w:t>)</w:t>
      </w:r>
      <w:r w:rsidRPr="001A433F">
        <w:rPr>
          <w:rFonts w:cs="Arial" w:hint="cs"/>
          <w:rtl/>
        </w:rPr>
        <w:t>- היפך קאי על הבשר</w:t>
      </w:r>
      <w:r w:rsidRPr="001A433F">
        <w:rPr>
          <w:rStyle w:val="a7"/>
          <w:rFonts w:cs="Arial"/>
          <w:rtl/>
        </w:rPr>
        <w:footnoteReference w:id="2741"/>
      </w:r>
      <w:r>
        <w:rPr>
          <w:rFonts w:cs="Arial" w:hint="cs"/>
          <w:rtl/>
        </w:rPr>
        <w:t>. (וכ"פ הב"י)</w:t>
      </w:r>
    </w:p>
    <w:p w14:paraId="4A98AA5D" w14:textId="77777777" w:rsidR="002C39F4" w:rsidRDefault="002C39F4" w:rsidP="0032102C">
      <w:pPr>
        <w:pStyle w:val="a8"/>
        <w:numPr>
          <w:ilvl w:val="0"/>
          <w:numId w:val="281"/>
        </w:numPr>
        <w:rPr>
          <w:rFonts w:cs="Arial"/>
        </w:rPr>
      </w:pPr>
      <w:r w:rsidRPr="001A433F">
        <w:rPr>
          <w:rFonts w:cs="Arial" w:hint="cs"/>
          <w:rtl/>
        </w:rPr>
        <w:t>טור</w:t>
      </w:r>
      <w:r>
        <w:rPr>
          <w:rFonts w:cs="Arial" w:hint="cs"/>
          <w:sz w:val="16"/>
          <w:szCs w:val="16"/>
          <w:rtl/>
        </w:rPr>
        <w:t xml:space="preserve"> (להב' הב"י)</w:t>
      </w:r>
      <w:r w:rsidRPr="001A433F">
        <w:rPr>
          <w:rFonts w:cs="Arial" w:hint="cs"/>
          <w:rtl/>
        </w:rPr>
        <w:t xml:space="preserve">- </w:t>
      </w:r>
      <w:r w:rsidRPr="001A433F">
        <w:rPr>
          <w:rFonts w:cs="Arial"/>
          <w:rtl/>
        </w:rPr>
        <w:t>היפך דאמרינן אגחלים קאי</w:t>
      </w:r>
      <w:r>
        <w:rPr>
          <w:rStyle w:val="a7"/>
          <w:rFonts w:cs="Arial"/>
          <w:rtl/>
        </w:rPr>
        <w:footnoteReference w:id="2742"/>
      </w:r>
      <w:r>
        <w:rPr>
          <w:rFonts w:cs="Arial" w:hint="cs"/>
          <w:rtl/>
        </w:rPr>
        <w:t>.</w:t>
      </w:r>
    </w:p>
    <w:p w14:paraId="5DCC9D75" w14:textId="77777777" w:rsidR="002C39F4" w:rsidRPr="00747474" w:rsidRDefault="002C39F4" w:rsidP="002C39F4">
      <w:pPr>
        <w:rPr>
          <w:rFonts w:cs="Arial"/>
          <w:u w:val="single"/>
          <w:rtl/>
        </w:rPr>
      </w:pPr>
      <w:r w:rsidRPr="00747474">
        <w:rPr>
          <w:rFonts w:asciiTheme="minorBidi" w:hAnsiTheme="minorBidi" w:hint="cs"/>
          <w:u w:val="single"/>
          <w:rtl/>
        </w:rPr>
        <w:t>ישראל</w:t>
      </w:r>
      <w:r>
        <w:rPr>
          <w:rFonts w:asciiTheme="minorBidi" w:hAnsiTheme="minorBidi" w:hint="cs"/>
          <w:u w:val="single"/>
          <w:rtl/>
        </w:rPr>
        <w:t xml:space="preserve"> שהדליק את האש והגוי סיים את כל השאר - האם</w:t>
      </w:r>
      <w:r w:rsidRPr="00747474">
        <w:rPr>
          <w:rFonts w:asciiTheme="minorBidi" w:hAnsiTheme="minorBidi" w:hint="cs"/>
          <w:u w:val="single"/>
          <w:rtl/>
        </w:rPr>
        <w:t xml:space="preserve"> </w:t>
      </w:r>
      <w:r>
        <w:rPr>
          <w:rFonts w:asciiTheme="minorBidi" w:hAnsiTheme="minorBidi" w:hint="cs"/>
          <w:u w:val="single"/>
          <w:rtl/>
        </w:rPr>
        <w:t xml:space="preserve">הדלקה זו </w:t>
      </w:r>
      <w:r w:rsidRPr="00747474">
        <w:rPr>
          <w:rFonts w:asciiTheme="minorBidi" w:hAnsiTheme="minorBidi" w:hint="cs"/>
          <w:u w:val="single"/>
          <w:rtl/>
        </w:rPr>
        <w:t xml:space="preserve">חשיבא מעשה לעניין </w:t>
      </w:r>
      <w:r w:rsidRPr="00747474">
        <w:rPr>
          <w:rFonts w:asciiTheme="minorBidi" w:hAnsiTheme="minorBidi" w:hint="cs"/>
          <w:b/>
          <w:bCs/>
          <w:u w:val="single"/>
          <w:rtl/>
        </w:rPr>
        <w:t>בישולי</w:t>
      </w:r>
      <w:r w:rsidRPr="00747474">
        <w:rPr>
          <w:rFonts w:asciiTheme="minorBidi" w:hAnsiTheme="minorBidi" w:hint="cs"/>
          <w:u w:val="single"/>
          <w:rtl/>
        </w:rPr>
        <w:t xml:space="preserve"> גוים</w:t>
      </w:r>
      <w:r w:rsidRPr="00747474">
        <w:rPr>
          <w:rFonts w:cs="Arial" w:hint="cs"/>
          <w:u w:val="single"/>
          <w:rtl/>
        </w:rPr>
        <w:t>:</w:t>
      </w:r>
    </w:p>
    <w:p w14:paraId="0DC16C05" w14:textId="77777777" w:rsidR="002C39F4" w:rsidRDefault="002C39F4" w:rsidP="0032102C">
      <w:pPr>
        <w:pStyle w:val="a8"/>
        <w:numPr>
          <w:ilvl w:val="0"/>
          <w:numId w:val="282"/>
        </w:numPr>
        <w:rPr>
          <w:rFonts w:cs="Arial"/>
        </w:rPr>
      </w:pPr>
      <w:r w:rsidRPr="00747474">
        <w:rPr>
          <w:rFonts w:cs="Arial"/>
          <w:rtl/>
        </w:rPr>
        <w:t>ה"ר יונ</w:t>
      </w:r>
      <w:r w:rsidRPr="00747474">
        <w:rPr>
          <w:rFonts w:cs="Arial" w:hint="cs"/>
          <w:rtl/>
        </w:rPr>
        <w:t>ה</w:t>
      </w:r>
      <w:r w:rsidRPr="00747474">
        <w:rPr>
          <w:rFonts w:cs="Arial"/>
          <w:rtl/>
        </w:rPr>
        <w:t xml:space="preserve"> רשב"א ר"ן </w:t>
      </w:r>
      <w:r>
        <w:rPr>
          <w:rFonts w:cs="Arial" w:hint="cs"/>
          <w:rtl/>
        </w:rPr>
        <w:t>ו</w:t>
      </w:r>
      <w:r w:rsidRPr="00747474">
        <w:rPr>
          <w:rFonts w:cs="Arial"/>
          <w:rtl/>
        </w:rPr>
        <w:t>ריב"ש</w:t>
      </w:r>
      <w:r>
        <w:rPr>
          <w:rStyle w:val="a7"/>
          <w:rFonts w:cs="Arial"/>
          <w:rtl/>
        </w:rPr>
        <w:footnoteReference w:id="2743"/>
      </w:r>
      <w:r w:rsidRPr="00747474">
        <w:rPr>
          <w:rFonts w:cs="Arial" w:hint="cs"/>
          <w:rtl/>
        </w:rPr>
        <w:t xml:space="preserve">- </w:t>
      </w:r>
      <w:r w:rsidRPr="00747474">
        <w:rPr>
          <w:rFonts w:cs="Arial"/>
          <w:rtl/>
        </w:rPr>
        <w:t>אי שגר ישראל ואפה גוי שרי ודוקא בפת לפי ששגירת התנור היא מלאכה מיוחדת בו אבל בשאר תבשילין לא</w:t>
      </w:r>
      <w:r w:rsidRPr="00747474">
        <w:rPr>
          <w:rFonts w:cs="Arial" w:hint="cs"/>
          <w:rtl/>
        </w:rPr>
        <w:t>,</w:t>
      </w:r>
      <w:r w:rsidRPr="00747474">
        <w:rPr>
          <w:rFonts w:cs="Arial"/>
          <w:rtl/>
        </w:rPr>
        <w:t xml:space="preserve"> והכי מוכחא כולה שמעתין דאמרינן שופתת אשה קדרה ואמרינן הניח ישראל בשר ע"ג גחלים ומשמע דהדלקת האש בלחוד לא מהני</w:t>
      </w:r>
      <w:r w:rsidRPr="00747474">
        <w:rPr>
          <w:rFonts w:cs="Arial" w:hint="cs"/>
          <w:rtl/>
        </w:rPr>
        <w:t>,</w:t>
      </w:r>
      <w:r w:rsidRPr="00747474">
        <w:rPr>
          <w:rFonts w:cs="Arial"/>
          <w:rtl/>
        </w:rPr>
        <w:t xml:space="preserve"> וכן כתבו הראשונים ז"ל ואין בדבר זה ספק כלל</w:t>
      </w:r>
      <w:r w:rsidRPr="00747474">
        <w:rPr>
          <w:rFonts w:cs="Arial" w:hint="cs"/>
          <w:sz w:val="16"/>
          <w:szCs w:val="16"/>
          <w:rtl/>
        </w:rPr>
        <w:t xml:space="preserve"> (ל' הר"ן)</w:t>
      </w:r>
      <w:r w:rsidRPr="00747474">
        <w:rPr>
          <w:rFonts w:cs="Arial" w:hint="cs"/>
          <w:rtl/>
        </w:rPr>
        <w:t xml:space="preserve">. לפיכך </w:t>
      </w:r>
      <w:r w:rsidRPr="00747474">
        <w:rPr>
          <w:rFonts w:cs="Arial"/>
          <w:rtl/>
        </w:rPr>
        <w:t>לא יתן הנכרי המחבת לתוך האש אפילו השליך ישראל עץ אחד בתנור שאין התנור נכשר בהשלכת העץ אלא לאפות הפת בלבד אבל לא תבשיל אלא צריך שיתן היהודי את המחבת לתוך התנור למקום הראוי להתבשל שם</w:t>
      </w:r>
      <w:r w:rsidRPr="00747474">
        <w:rPr>
          <w:rFonts w:cs="Arial" w:hint="cs"/>
          <w:sz w:val="16"/>
          <w:szCs w:val="16"/>
          <w:rtl/>
        </w:rPr>
        <w:t xml:space="preserve"> (ל' ה"ר יונה)</w:t>
      </w:r>
      <w:r w:rsidRPr="00747474">
        <w:rPr>
          <w:rFonts w:cs="Arial" w:hint="cs"/>
          <w:rtl/>
        </w:rPr>
        <w:t>.</w:t>
      </w:r>
      <w:r w:rsidRPr="009D3DE9">
        <w:rPr>
          <w:rFonts w:cs="Arial" w:hint="cs"/>
          <w:color w:val="E36C0A" w:themeColor="accent6" w:themeShade="BF"/>
          <w:rtl/>
        </w:rPr>
        <w:t xml:space="preserve"> (וכ"פ בשו"ע)</w:t>
      </w:r>
      <w:r>
        <w:rPr>
          <w:rFonts w:cs="Arial" w:hint="cs"/>
          <w:rtl/>
        </w:rPr>
        <w:t xml:space="preserve"> </w:t>
      </w:r>
    </w:p>
    <w:p w14:paraId="5059BF7A" w14:textId="77777777" w:rsidR="002C39F4" w:rsidRDefault="002C39F4" w:rsidP="0032102C">
      <w:pPr>
        <w:pStyle w:val="a8"/>
        <w:numPr>
          <w:ilvl w:val="0"/>
          <w:numId w:val="282"/>
        </w:numPr>
        <w:rPr>
          <w:rFonts w:cs="Arial"/>
        </w:rPr>
      </w:pPr>
      <w:r w:rsidRPr="00EF088B">
        <w:rPr>
          <w:rFonts w:cs="Arial"/>
          <w:rtl/>
        </w:rPr>
        <w:t xml:space="preserve">מרדכי </w:t>
      </w:r>
      <w:r w:rsidRPr="00FA2CC1">
        <w:rPr>
          <w:rFonts w:cs="Arial"/>
          <w:sz w:val="16"/>
          <w:szCs w:val="16"/>
          <w:rtl/>
        </w:rPr>
        <w:t>(</w:t>
      </w:r>
      <w:r w:rsidRPr="00FA2CC1">
        <w:rPr>
          <w:rFonts w:cs="Arial" w:hint="cs"/>
          <w:sz w:val="16"/>
          <w:szCs w:val="16"/>
          <w:rtl/>
        </w:rPr>
        <w:t xml:space="preserve">ע"ז </w:t>
      </w:r>
      <w:r w:rsidRPr="00FA2CC1">
        <w:rPr>
          <w:rFonts w:cs="Arial"/>
          <w:sz w:val="16"/>
          <w:szCs w:val="16"/>
          <w:rtl/>
        </w:rPr>
        <w:t>סי' תתלא)</w:t>
      </w:r>
      <w:r>
        <w:rPr>
          <w:rFonts w:cs="Arial" w:hint="cs"/>
          <w:rtl/>
        </w:rPr>
        <w:t>-</w:t>
      </w:r>
      <w:r>
        <w:rPr>
          <w:rFonts w:cs="Arial"/>
          <w:rtl/>
        </w:rPr>
        <w:t xml:space="preserve"> </w:t>
      </w:r>
      <w:r w:rsidRPr="00EF088B">
        <w:rPr>
          <w:rFonts w:cs="Arial"/>
          <w:rtl/>
        </w:rPr>
        <w:t>חי</w:t>
      </w:r>
      <w:r>
        <w:rPr>
          <w:rFonts w:cs="Arial"/>
          <w:rtl/>
        </w:rPr>
        <w:t>תוי מהני וכל שכן דעשיית האש מהנ</w:t>
      </w:r>
      <w:r>
        <w:rPr>
          <w:rFonts w:cs="Arial" w:hint="cs"/>
          <w:rtl/>
        </w:rPr>
        <w:t>י.</w:t>
      </w:r>
      <w:r w:rsidRPr="00C74066">
        <w:rPr>
          <w:rFonts w:cs="Arial" w:hint="cs"/>
          <w:color w:val="00B0F0"/>
          <w:rtl/>
        </w:rPr>
        <w:t xml:space="preserve"> (וכ"פ הרמ"א)</w:t>
      </w:r>
    </w:p>
    <w:p w14:paraId="1E1385FC" w14:textId="77777777" w:rsidR="002C39F4" w:rsidRPr="00397B75" w:rsidRDefault="002C39F4" w:rsidP="002C39F4">
      <w:pPr>
        <w:ind w:left="360"/>
        <w:rPr>
          <w:rFonts w:cs="Arial"/>
          <w:u w:val="dotted"/>
        </w:rPr>
      </w:pPr>
      <w:r w:rsidRPr="00397B75">
        <w:rPr>
          <w:rFonts w:cs="Arial" w:hint="cs"/>
          <w:u w:val="dotted"/>
          <w:rtl/>
        </w:rPr>
        <w:t>ומה הדין אם חיתה ישראל בגחלים:</w:t>
      </w:r>
    </w:p>
    <w:p w14:paraId="6E07E624" w14:textId="77777777" w:rsidR="002C39F4" w:rsidRPr="00397B75" w:rsidRDefault="002C39F4" w:rsidP="0032102C">
      <w:pPr>
        <w:pStyle w:val="a8"/>
        <w:numPr>
          <w:ilvl w:val="0"/>
          <w:numId w:val="282"/>
        </w:numPr>
        <w:rPr>
          <w:rFonts w:cs="Arial"/>
          <w:rtl/>
        </w:rPr>
      </w:pPr>
      <w:r>
        <w:rPr>
          <w:rFonts w:cs="Arial" w:hint="cs"/>
          <w:rtl/>
        </w:rPr>
        <w:t xml:space="preserve">(ה"ר יונה רשב"א ר"ן </w:t>
      </w:r>
      <w:r>
        <w:rPr>
          <w:rFonts w:cs="Arial" w:hint="cs"/>
          <w:sz w:val="16"/>
          <w:szCs w:val="16"/>
          <w:rtl/>
        </w:rPr>
        <w:t>להב' הב"י</w:t>
      </w:r>
      <w:r>
        <w:rPr>
          <w:rStyle w:val="a7"/>
          <w:rFonts w:cs="Arial"/>
          <w:rtl/>
        </w:rPr>
        <w:footnoteReference w:id="2744"/>
      </w:r>
      <w:r>
        <w:rPr>
          <w:rFonts w:cs="Arial" w:hint="cs"/>
          <w:sz w:val="16"/>
          <w:szCs w:val="16"/>
          <w:rtl/>
        </w:rPr>
        <w:t xml:space="preserve"> והדרכ"מ</w:t>
      </w:r>
      <w:r>
        <w:rPr>
          <w:rStyle w:val="a7"/>
          <w:rFonts w:cs="Arial"/>
          <w:rtl/>
        </w:rPr>
        <w:footnoteReference w:id="2745"/>
      </w:r>
      <w:r>
        <w:rPr>
          <w:rFonts w:cs="Arial" w:hint="cs"/>
          <w:rtl/>
        </w:rPr>
        <w:t xml:space="preserve">) וריב"ש- </w:t>
      </w:r>
      <w:r w:rsidRPr="00FA2CC1">
        <w:rPr>
          <w:rFonts w:cs="Arial"/>
          <w:rtl/>
        </w:rPr>
        <w:t>הסכימו כל המפרשים שאין שגירת התנור מועיל אלא בפת</w:t>
      </w:r>
      <w:r>
        <w:rPr>
          <w:rFonts w:cs="Arial" w:hint="cs"/>
          <w:rtl/>
        </w:rPr>
        <w:t>,</w:t>
      </w:r>
      <w:r w:rsidRPr="00FA2CC1">
        <w:rPr>
          <w:rFonts w:cs="Arial"/>
          <w:rtl/>
        </w:rPr>
        <w:t xml:space="preserve"> אבל בשאר המתבשלים אין </w:t>
      </w:r>
      <w:r w:rsidRPr="00D87D37">
        <w:rPr>
          <w:rFonts w:cs="Arial"/>
          <w:rtl/>
        </w:rPr>
        <w:t>שגירת התנור ולא הדלקת האש</w:t>
      </w:r>
      <w:r>
        <w:rPr>
          <w:rFonts w:cs="Arial"/>
          <w:rtl/>
        </w:rPr>
        <w:t xml:space="preserve"> מעלה ומורדת אלא ההנחה דוקא</w:t>
      </w:r>
      <w:r>
        <w:rPr>
          <w:rFonts w:cs="Arial" w:hint="cs"/>
          <w:rtl/>
        </w:rPr>
        <w:t xml:space="preserve">. </w:t>
      </w:r>
      <w:r w:rsidRPr="009D3DE9">
        <w:rPr>
          <w:rFonts w:cs="Arial" w:hint="cs"/>
          <w:color w:val="E36C0A" w:themeColor="accent6" w:themeShade="BF"/>
          <w:rtl/>
        </w:rPr>
        <w:t>(וכ"פ בשו"ע)</w:t>
      </w:r>
    </w:p>
    <w:p w14:paraId="4014EBDD" w14:textId="77777777" w:rsidR="002C39F4" w:rsidRDefault="002C39F4" w:rsidP="0032102C">
      <w:pPr>
        <w:pStyle w:val="a8"/>
        <w:numPr>
          <w:ilvl w:val="0"/>
          <w:numId w:val="281"/>
        </w:numPr>
        <w:rPr>
          <w:rFonts w:cs="Arial"/>
        </w:rPr>
      </w:pPr>
      <w:r w:rsidRPr="00EF088B">
        <w:rPr>
          <w:rFonts w:cs="Arial"/>
          <w:rtl/>
        </w:rPr>
        <w:t xml:space="preserve">מרדכי </w:t>
      </w:r>
      <w:r>
        <w:rPr>
          <w:rFonts w:cs="Arial" w:hint="cs"/>
          <w:rtl/>
        </w:rPr>
        <w:t>מהרא"י ואו</w:t>
      </w:r>
      <w:r>
        <w:rPr>
          <w:rFonts w:cs="Arial"/>
          <w:rtl/>
        </w:rPr>
        <w:t>"</w:t>
      </w:r>
      <w:r>
        <w:rPr>
          <w:rFonts w:cs="Arial" w:hint="cs"/>
          <w:rtl/>
        </w:rPr>
        <w:t>ה</w:t>
      </w:r>
      <w:r>
        <w:rPr>
          <w:rStyle w:val="a7"/>
          <w:rFonts w:cs="Arial"/>
          <w:rtl/>
        </w:rPr>
        <w:footnoteReference w:id="2746"/>
      </w:r>
      <w:r w:rsidRPr="001A433F">
        <w:rPr>
          <w:rFonts w:cs="Arial" w:hint="cs"/>
          <w:rtl/>
        </w:rPr>
        <w:t>-</w:t>
      </w:r>
      <w:r w:rsidRPr="00397B75">
        <w:rPr>
          <w:rFonts w:cs="Arial" w:hint="cs"/>
          <w:rtl/>
        </w:rPr>
        <w:t xml:space="preserve"> </w:t>
      </w:r>
      <w:r>
        <w:rPr>
          <w:rFonts w:cs="Arial" w:hint="cs"/>
          <w:rtl/>
        </w:rPr>
        <w:t xml:space="preserve">אי חיתה ישראל בגחלים מישרא שרי. </w:t>
      </w:r>
      <w:r w:rsidRPr="00C74066">
        <w:rPr>
          <w:rFonts w:cs="Arial" w:hint="cs"/>
          <w:color w:val="00B0F0"/>
          <w:rtl/>
        </w:rPr>
        <w:t>(וכ"פ הרמ"א)</w:t>
      </w:r>
    </w:p>
    <w:p w14:paraId="7DA94FA1" w14:textId="77777777" w:rsidR="002C39F4" w:rsidRDefault="002C39F4" w:rsidP="0032102C">
      <w:pPr>
        <w:pStyle w:val="a8"/>
        <w:numPr>
          <w:ilvl w:val="0"/>
          <w:numId w:val="281"/>
        </w:numPr>
        <w:rPr>
          <w:rFonts w:cs="Arial"/>
        </w:rPr>
      </w:pPr>
      <w:r>
        <w:rPr>
          <w:rFonts w:cs="Arial" w:hint="cs"/>
          <w:rtl/>
        </w:rPr>
        <w:t xml:space="preserve">ר"פ </w:t>
      </w:r>
      <w:r>
        <w:rPr>
          <w:rFonts w:cs="Arial" w:hint="cs"/>
          <w:sz w:val="16"/>
          <w:szCs w:val="16"/>
          <w:rtl/>
        </w:rPr>
        <w:t>(בהגה' סמ"ק סי' רכג אות ג)</w:t>
      </w:r>
      <w:r>
        <w:rPr>
          <w:rFonts w:cs="Arial" w:hint="cs"/>
          <w:rtl/>
        </w:rPr>
        <w:t xml:space="preserve">- </w:t>
      </w:r>
      <w:r w:rsidRPr="00C74066">
        <w:rPr>
          <w:rFonts w:cs="Arial"/>
          <w:rtl/>
        </w:rPr>
        <w:t>לאו דוקא היסק גמור דבחיתוי בעלמא סגי או בזריקת קיסם כמו שרגילין העולם</w:t>
      </w:r>
      <w:r>
        <w:rPr>
          <w:rFonts w:cs="Arial" w:hint="cs"/>
          <w:rtl/>
        </w:rPr>
        <w:t>.</w:t>
      </w:r>
      <w:r w:rsidRPr="00C74066">
        <w:rPr>
          <w:rFonts w:cs="Arial" w:hint="cs"/>
          <w:color w:val="00B0F0"/>
          <w:rtl/>
        </w:rPr>
        <w:t xml:space="preserve"> (וכ"פ הרמ"א)</w:t>
      </w:r>
    </w:p>
    <w:p w14:paraId="6360C53A" w14:textId="77777777" w:rsidR="002C39F4" w:rsidRPr="003E2C51" w:rsidRDefault="002C39F4" w:rsidP="002C39F4">
      <w:pPr>
        <w:rPr>
          <w:rFonts w:cs="Arial"/>
          <w:u w:val="single"/>
        </w:rPr>
      </w:pPr>
      <w:r w:rsidRPr="003E2C51">
        <w:rPr>
          <w:rFonts w:cs="Arial" w:hint="cs"/>
          <w:u w:val="single"/>
          <w:rtl/>
        </w:rPr>
        <w:t>גוי שהדליק אש מאש של ישראל ובישל באש זו תבשיל:</w:t>
      </w:r>
    </w:p>
    <w:p w14:paraId="127B3816" w14:textId="77777777" w:rsidR="002C39F4" w:rsidRDefault="002C39F4" w:rsidP="0032102C">
      <w:pPr>
        <w:pStyle w:val="a8"/>
        <w:numPr>
          <w:ilvl w:val="0"/>
          <w:numId w:val="281"/>
        </w:numPr>
        <w:rPr>
          <w:rFonts w:cs="Arial"/>
        </w:rPr>
      </w:pPr>
      <w:r>
        <w:rPr>
          <w:rFonts w:cs="Arial" w:hint="cs"/>
          <w:rtl/>
        </w:rPr>
        <w:t>או</w:t>
      </w:r>
      <w:r>
        <w:rPr>
          <w:rFonts w:cs="Arial"/>
          <w:rtl/>
        </w:rPr>
        <w:t>"</w:t>
      </w:r>
      <w:r>
        <w:rPr>
          <w:rFonts w:cs="Arial" w:hint="cs"/>
          <w:rtl/>
        </w:rPr>
        <w:t>ה</w:t>
      </w:r>
      <w:r w:rsidRPr="00EF088B">
        <w:rPr>
          <w:rFonts w:cs="Arial"/>
          <w:rtl/>
        </w:rPr>
        <w:t xml:space="preserve"> </w:t>
      </w:r>
      <w:r w:rsidRPr="00FA2CC1">
        <w:rPr>
          <w:rFonts w:cs="Arial"/>
          <w:sz w:val="16"/>
          <w:szCs w:val="16"/>
          <w:rtl/>
        </w:rPr>
        <w:t>(</w:t>
      </w:r>
      <w:r w:rsidRPr="00FA2CC1">
        <w:rPr>
          <w:rFonts w:cs="Arial" w:hint="cs"/>
          <w:sz w:val="16"/>
          <w:szCs w:val="16"/>
          <w:rtl/>
        </w:rPr>
        <w:t>כמ</w:t>
      </w:r>
      <w:r>
        <w:rPr>
          <w:rFonts w:cs="Arial" w:hint="cs"/>
          <w:sz w:val="16"/>
          <w:szCs w:val="16"/>
          <w:rtl/>
        </w:rPr>
        <w:t>"</w:t>
      </w:r>
      <w:r w:rsidRPr="00FA2CC1">
        <w:rPr>
          <w:rFonts w:cs="Arial" w:hint="cs"/>
          <w:sz w:val="16"/>
          <w:szCs w:val="16"/>
          <w:rtl/>
        </w:rPr>
        <w:t xml:space="preserve">ג </w:t>
      </w:r>
      <w:r w:rsidRPr="00FA2CC1">
        <w:rPr>
          <w:rFonts w:cs="Arial"/>
          <w:sz w:val="16"/>
          <w:szCs w:val="16"/>
          <w:rtl/>
        </w:rPr>
        <w:t>די</w:t>
      </w:r>
      <w:r>
        <w:rPr>
          <w:rFonts w:cs="Arial" w:hint="cs"/>
          <w:sz w:val="16"/>
          <w:szCs w:val="16"/>
          <w:rtl/>
        </w:rPr>
        <w:t>"</w:t>
      </w:r>
      <w:r w:rsidRPr="00FA2CC1">
        <w:rPr>
          <w:rFonts w:cs="Arial"/>
          <w:sz w:val="16"/>
          <w:szCs w:val="16"/>
          <w:rtl/>
        </w:rPr>
        <w:t xml:space="preserve">ג) </w:t>
      </w:r>
      <w:r>
        <w:rPr>
          <w:rFonts w:cs="Arial"/>
          <w:rtl/>
        </w:rPr>
        <w:t>בשם מ</w:t>
      </w:r>
      <w:r>
        <w:rPr>
          <w:rFonts w:cs="Arial" w:hint="cs"/>
          <w:rtl/>
        </w:rPr>
        <w:t>ו</w:t>
      </w:r>
      <w:r>
        <w:rPr>
          <w:rFonts w:cs="Arial"/>
          <w:rtl/>
        </w:rPr>
        <w:t>הר"ם</w:t>
      </w:r>
      <w:r>
        <w:rPr>
          <w:rFonts w:cs="Arial" w:hint="cs"/>
          <w:rtl/>
        </w:rPr>
        <w:t xml:space="preserve">- </w:t>
      </w:r>
      <w:r w:rsidRPr="00EF088B">
        <w:rPr>
          <w:rFonts w:cs="Arial"/>
          <w:rtl/>
        </w:rPr>
        <w:t>אם הדליקה הגויה האש מאש של ישראל ובישלה התבשיל מותר</w:t>
      </w:r>
      <w:r>
        <w:rPr>
          <w:rFonts w:cs="Arial" w:hint="cs"/>
          <w:rtl/>
        </w:rPr>
        <w:t>.</w:t>
      </w:r>
      <w:r>
        <w:rPr>
          <w:rFonts w:cs="Arial"/>
          <w:rtl/>
        </w:rPr>
        <w:t xml:space="preserve"> </w:t>
      </w:r>
      <w:r w:rsidRPr="00C74066">
        <w:rPr>
          <w:rFonts w:cs="Arial" w:hint="cs"/>
          <w:color w:val="00B0F0"/>
          <w:rtl/>
        </w:rPr>
        <w:t>(וכ"פ הרמ"א)</w:t>
      </w:r>
      <w:r>
        <w:rPr>
          <w:rFonts w:cs="Arial" w:hint="cs"/>
          <w:rtl/>
        </w:rPr>
        <w:t xml:space="preserve"> </w:t>
      </w:r>
    </w:p>
    <w:p w14:paraId="1C235AB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35B02B5" w14:textId="77777777" w:rsidR="002C39F4" w:rsidRDefault="002C39F4" w:rsidP="002C39F4">
      <w:pPr>
        <w:rPr>
          <w:rFonts w:asciiTheme="minorBidi" w:hAnsiTheme="minorBidi"/>
          <w:rtl/>
        </w:rPr>
      </w:pPr>
      <w:r w:rsidRPr="003024E5">
        <w:rPr>
          <w:rFonts w:asciiTheme="minorBidi" w:hAnsiTheme="minorBidi"/>
          <w:rtl/>
        </w:rPr>
        <w:t>אין שגירת</w:t>
      </w:r>
      <w:r>
        <w:rPr>
          <w:rStyle w:val="a7"/>
          <w:rFonts w:asciiTheme="minorBidi" w:hAnsiTheme="minorBidi"/>
          <w:rtl/>
        </w:rPr>
        <w:footnoteReference w:id="2747"/>
      </w:r>
      <w:r w:rsidRPr="0033696D">
        <w:rPr>
          <w:rFonts w:asciiTheme="minorBidi" w:hAnsiTheme="minorBidi"/>
          <w:sz w:val="18"/>
          <w:szCs w:val="18"/>
          <w:rtl/>
        </w:rPr>
        <w:t xml:space="preserve"> </w:t>
      </w:r>
      <w:r>
        <w:rPr>
          <w:rFonts w:asciiTheme="minorBidi" w:hAnsiTheme="minorBidi"/>
          <w:rtl/>
        </w:rPr>
        <w:t>התנור מועלת אלא בפת</w:t>
      </w:r>
      <w:r>
        <w:rPr>
          <w:rStyle w:val="a7"/>
          <w:rFonts w:asciiTheme="minorBidi" w:hAnsiTheme="minorBidi"/>
          <w:rtl/>
        </w:rPr>
        <w:footnoteReference w:id="2748"/>
      </w:r>
      <w:r w:rsidRPr="003024E5">
        <w:rPr>
          <w:rFonts w:asciiTheme="minorBidi" w:hAnsiTheme="minorBidi"/>
          <w:rtl/>
        </w:rPr>
        <w:t xml:space="preserve"> אבל בשאר המתבשלים אין שגירת התנור ולא הדלקת האש </w:t>
      </w:r>
      <w:r>
        <w:rPr>
          <w:rFonts w:asciiTheme="minorBidi" w:hAnsiTheme="minorBidi"/>
          <w:rtl/>
        </w:rPr>
        <w:t>מעלה ומוריד אלא ההנחה דוקא</w:t>
      </w:r>
      <w:r>
        <w:rPr>
          <w:rFonts w:asciiTheme="minorBidi" w:hAnsiTheme="minorBidi" w:hint="cs"/>
          <w:rtl/>
        </w:rPr>
        <w:t>,</w:t>
      </w:r>
      <w:r w:rsidRPr="003024E5">
        <w:rPr>
          <w:rFonts w:asciiTheme="minorBidi" w:hAnsiTheme="minorBidi"/>
          <w:rtl/>
        </w:rPr>
        <w:t xml:space="preserve"> לפיכך הרוצה לבשל במחבת בתנור של </w:t>
      </w:r>
      <w:r>
        <w:rPr>
          <w:rFonts w:asciiTheme="minorBidi" w:hAnsiTheme="minorBidi"/>
          <w:rtl/>
        </w:rPr>
        <w:t>גוי</w:t>
      </w:r>
      <w:r w:rsidRPr="003024E5">
        <w:rPr>
          <w:rFonts w:asciiTheme="minorBidi" w:hAnsiTheme="minorBidi"/>
          <w:rtl/>
        </w:rPr>
        <w:t xml:space="preserve"> צ</w:t>
      </w:r>
      <w:r>
        <w:rPr>
          <w:rFonts w:asciiTheme="minorBidi" w:hAnsiTheme="minorBidi"/>
          <w:rtl/>
        </w:rPr>
        <w:t>ריך שיתן ישראל המחבת לתוך התנור</w:t>
      </w:r>
      <w:r w:rsidRPr="003024E5">
        <w:rPr>
          <w:rFonts w:asciiTheme="minorBidi" w:hAnsiTheme="minorBidi"/>
          <w:rtl/>
        </w:rPr>
        <w:t xml:space="preserve"> למקום הראוי להתבשל בו. </w:t>
      </w:r>
      <w:r w:rsidRPr="0033696D">
        <w:rPr>
          <w:rFonts w:asciiTheme="minorBidi" w:hAnsiTheme="minorBidi"/>
          <w:sz w:val="18"/>
          <w:szCs w:val="18"/>
          <w:rtl/>
        </w:rPr>
        <w:t>הגה: ויש חולקין וסבירא להו דהדלקת האש או חיתוי בגחלים מהני</w:t>
      </w:r>
      <w:r>
        <w:rPr>
          <w:rStyle w:val="a7"/>
          <w:rFonts w:asciiTheme="minorBidi" w:hAnsiTheme="minorBidi"/>
          <w:sz w:val="18"/>
          <w:szCs w:val="18"/>
          <w:rtl/>
        </w:rPr>
        <w:footnoteReference w:id="2749"/>
      </w:r>
      <w:r w:rsidRPr="0033696D">
        <w:rPr>
          <w:rFonts w:asciiTheme="minorBidi" w:hAnsiTheme="minorBidi"/>
          <w:sz w:val="18"/>
          <w:szCs w:val="18"/>
          <w:rtl/>
        </w:rPr>
        <w:t xml:space="preserve"> לענין בישול כ</w:t>
      </w:r>
      <w:r>
        <w:rPr>
          <w:rFonts w:asciiTheme="minorBidi" w:hAnsiTheme="minorBidi"/>
          <w:sz w:val="18"/>
          <w:szCs w:val="18"/>
          <w:rtl/>
        </w:rPr>
        <w:t xml:space="preserve">מו לענין פת, וכן נוהגין </w:t>
      </w:r>
      <w:r w:rsidRPr="00F06989">
        <w:rPr>
          <w:rFonts w:asciiTheme="minorBidi" w:hAnsiTheme="minorBidi"/>
          <w:sz w:val="16"/>
          <w:szCs w:val="16"/>
          <w:rtl/>
        </w:rPr>
        <w:t>(הגש</w:t>
      </w:r>
      <w:r w:rsidRPr="00F06989">
        <w:rPr>
          <w:rFonts w:asciiTheme="minorBidi" w:hAnsiTheme="minorBidi" w:hint="cs"/>
          <w:sz w:val="16"/>
          <w:szCs w:val="16"/>
          <w:rtl/>
        </w:rPr>
        <w:t>ע</w:t>
      </w:r>
      <w:r w:rsidRPr="00F06989">
        <w:rPr>
          <w:rFonts w:asciiTheme="minorBidi" w:hAnsiTheme="minorBidi"/>
          <w:sz w:val="16"/>
          <w:szCs w:val="16"/>
          <w:rtl/>
        </w:rPr>
        <w:t>"ד</w:t>
      </w:r>
      <w:r w:rsidRPr="00F06989">
        <w:rPr>
          <w:rFonts w:asciiTheme="minorBidi" w:hAnsiTheme="minorBidi" w:hint="cs"/>
          <w:sz w:val="16"/>
          <w:szCs w:val="16"/>
          <w:rtl/>
        </w:rPr>
        <w:t xml:space="preserve"> </w:t>
      </w:r>
      <w:r w:rsidRPr="00F06989">
        <w:rPr>
          <w:rFonts w:asciiTheme="minorBidi" w:hAnsiTheme="minorBidi"/>
          <w:sz w:val="16"/>
          <w:szCs w:val="16"/>
          <w:rtl/>
        </w:rPr>
        <w:t xml:space="preserve">ארוך </w:t>
      </w:r>
      <w:r w:rsidRPr="00F06989">
        <w:rPr>
          <w:rFonts w:asciiTheme="minorBidi" w:hAnsiTheme="minorBidi" w:hint="cs"/>
          <w:sz w:val="16"/>
          <w:szCs w:val="16"/>
          <w:rtl/>
        </w:rPr>
        <w:t>ו</w:t>
      </w:r>
      <w:r w:rsidRPr="00F06989">
        <w:rPr>
          <w:rFonts w:asciiTheme="minorBidi" w:hAnsiTheme="minorBidi"/>
          <w:sz w:val="16"/>
          <w:szCs w:val="16"/>
          <w:rtl/>
        </w:rPr>
        <w:t>מרדכ</w:t>
      </w:r>
      <w:r w:rsidRPr="00F06989">
        <w:rPr>
          <w:rFonts w:asciiTheme="minorBidi" w:hAnsiTheme="minorBidi" w:hint="cs"/>
          <w:sz w:val="16"/>
          <w:szCs w:val="16"/>
          <w:rtl/>
        </w:rPr>
        <w:t>י</w:t>
      </w:r>
      <w:r w:rsidRPr="00F06989">
        <w:rPr>
          <w:rFonts w:asciiTheme="minorBidi" w:hAnsiTheme="minorBidi"/>
          <w:sz w:val="16"/>
          <w:szCs w:val="16"/>
          <w:rtl/>
        </w:rPr>
        <w:t>)</w:t>
      </w:r>
      <w:r w:rsidRPr="0033696D">
        <w:rPr>
          <w:rFonts w:asciiTheme="minorBidi" w:hAnsiTheme="minorBidi"/>
          <w:sz w:val="18"/>
          <w:szCs w:val="18"/>
          <w:rtl/>
        </w:rPr>
        <w:t>. ואפילו חיתוי בלא כוונה מהני ומועיל</w:t>
      </w:r>
      <w:r>
        <w:rPr>
          <w:rStyle w:val="a7"/>
          <w:rFonts w:asciiTheme="minorBidi" w:hAnsiTheme="minorBidi"/>
          <w:sz w:val="18"/>
          <w:szCs w:val="18"/>
          <w:rtl/>
        </w:rPr>
        <w:footnoteReference w:id="2750"/>
      </w:r>
      <w:r w:rsidRPr="0033696D">
        <w:rPr>
          <w:rFonts w:asciiTheme="minorBidi" w:hAnsiTheme="minorBidi"/>
          <w:sz w:val="18"/>
          <w:szCs w:val="18"/>
          <w:rtl/>
        </w:rPr>
        <w:t>. וי"א דאפילו לא חיתה ישראל ולא השליך שם קיסם</w:t>
      </w:r>
      <w:r>
        <w:rPr>
          <w:rStyle w:val="a7"/>
          <w:rFonts w:asciiTheme="minorBidi" w:hAnsiTheme="minorBidi"/>
          <w:sz w:val="18"/>
          <w:szCs w:val="18"/>
          <w:rtl/>
        </w:rPr>
        <w:footnoteReference w:id="2751"/>
      </w:r>
      <w:r w:rsidRPr="0033696D">
        <w:rPr>
          <w:rFonts w:asciiTheme="minorBidi" w:hAnsiTheme="minorBidi"/>
          <w:sz w:val="18"/>
          <w:szCs w:val="18"/>
          <w:rtl/>
        </w:rPr>
        <w:t>, רק שה</w:t>
      </w:r>
      <w:r>
        <w:rPr>
          <w:rFonts w:asciiTheme="minorBidi" w:hAnsiTheme="minorBidi" w:hint="cs"/>
          <w:sz w:val="18"/>
          <w:szCs w:val="18"/>
          <w:rtl/>
        </w:rPr>
        <w:t>גויה</w:t>
      </w:r>
      <w:r>
        <w:rPr>
          <w:rFonts w:asciiTheme="minorBidi" w:hAnsiTheme="minorBidi"/>
          <w:sz w:val="18"/>
          <w:szCs w:val="18"/>
          <w:rtl/>
        </w:rPr>
        <w:t xml:space="preserve"> הדליקה האש מאש של ישראל</w:t>
      </w:r>
      <w:r w:rsidRPr="0033696D">
        <w:rPr>
          <w:rFonts w:asciiTheme="minorBidi" w:hAnsiTheme="minorBidi"/>
          <w:sz w:val="18"/>
          <w:szCs w:val="18"/>
          <w:rtl/>
        </w:rPr>
        <w:t xml:space="preserve"> שרי </w:t>
      </w:r>
      <w:r w:rsidRPr="001827F6">
        <w:rPr>
          <w:rFonts w:asciiTheme="minorBidi" w:hAnsiTheme="minorBidi"/>
          <w:sz w:val="16"/>
          <w:szCs w:val="16"/>
          <w:rtl/>
        </w:rPr>
        <w:t>(או"ה שם בשם מהר"ם)</w:t>
      </w:r>
      <w:r w:rsidRPr="0033696D">
        <w:rPr>
          <w:rFonts w:asciiTheme="minorBidi" w:hAnsiTheme="minorBidi"/>
          <w:sz w:val="18"/>
          <w:szCs w:val="18"/>
          <w:rtl/>
        </w:rPr>
        <w:t>.</w:t>
      </w:r>
      <w:r w:rsidRPr="003024E5">
        <w:rPr>
          <w:rFonts w:asciiTheme="minorBidi" w:hAnsiTheme="minorBidi"/>
          <w:rtl/>
        </w:rPr>
        <w:t xml:space="preserve"> </w:t>
      </w:r>
    </w:p>
    <w:p w14:paraId="25839B65" w14:textId="77777777" w:rsidR="002C39F4" w:rsidRPr="003024E5" w:rsidRDefault="002C39F4" w:rsidP="002C39F4">
      <w:pPr>
        <w:rPr>
          <w:rFonts w:asciiTheme="minorBidi" w:hAnsiTheme="minorBidi"/>
          <w:rtl/>
        </w:rPr>
      </w:pPr>
    </w:p>
    <w:p w14:paraId="44ED29AA" w14:textId="77777777" w:rsidR="002C39F4" w:rsidRDefault="002C39F4" w:rsidP="002C39F4">
      <w:pPr>
        <w:pStyle w:val="2"/>
        <w:rPr>
          <w:rFonts w:asciiTheme="minorBidi" w:hAnsiTheme="minorBidi"/>
          <w:rtl/>
        </w:rPr>
      </w:pPr>
      <w:r w:rsidRPr="003024E5">
        <w:rPr>
          <w:rFonts w:asciiTheme="minorBidi" w:hAnsiTheme="minorBidi"/>
          <w:rtl/>
        </w:rPr>
        <w:t>סעיף ח</w:t>
      </w:r>
      <w:r>
        <w:rPr>
          <w:rFonts w:asciiTheme="minorBidi" w:hAnsiTheme="minorBidi" w:hint="cs"/>
          <w:rtl/>
        </w:rPr>
        <w:t>: נתן הישראל קדרה על האש וסילקה ובא הגוי והחזירה.</w:t>
      </w:r>
    </w:p>
    <w:p w14:paraId="59642C88" w14:textId="77777777" w:rsidR="002C39F4" w:rsidRDefault="002C39F4" w:rsidP="002C39F4">
      <w:pPr>
        <w:rPr>
          <w:rtl/>
        </w:rPr>
      </w:pPr>
      <w:r>
        <w:rPr>
          <w:rFonts w:cs="Arial" w:hint="cs"/>
          <w:b/>
          <w:bCs/>
          <w:rtl/>
        </w:rPr>
        <w:t xml:space="preserve">עבודה זרה לח ע"א: </w:t>
      </w:r>
      <w:r w:rsidRPr="00EE55BF">
        <w:rPr>
          <w:rFonts w:cs="Arial"/>
          <w:u w:val="single"/>
          <w:rtl/>
        </w:rPr>
        <w:t>אמר ר' אסי א"ר יוחנן</w:t>
      </w:r>
      <w:r w:rsidRPr="00EE55BF">
        <w:rPr>
          <w:rFonts w:cs="Arial"/>
          <w:rtl/>
        </w:rPr>
        <w:t>: כל שהוא כמאכל בן דרוסאי - אין בו משום בישולי עובדי כוכבים</w:t>
      </w:r>
      <w:r>
        <w:rPr>
          <w:rFonts w:hint="cs"/>
          <w:rtl/>
        </w:rPr>
        <w:t>.</w:t>
      </w:r>
    </w:p>
    <w:p w14:paraId="730D4C13" w14:textId="77777777" w:rsidR="002C39F4" w:rsidRPr="001236C9" w:rsidRDefault="002C39F4" w:rsidP="002C39F4">
      <w:pPr>
        <w:rPr>
          <w:u w:val="single"/>
          <w:rtl/>
        </w:rPr>
      </w:pPr>
      <w:r w:rsidRPr="001236C9">
        <w:rPr>
          <w:rFonts w:asciiTheme="minorBidi" w:hAnsiTheme="minorBidi" w:hint="cs"/>
          <w:u w:val="single"/>
          <w:rtl/>
        </w:rPr>
        <w:t>נתן הישראל קדרה על האש וסילקה ובא הגוי והחזירה</w:t>
      </w:r>
      <w:r w:rsidRPr="001236C9">
        <w:rPr>
          <w:rFonts w:hint="cs"/>
          <w:u w:val="single"/>
          <w:rtl/>
        </w:rPr>
        <w:t>:</w:t>
      </w:r>
    </w:p>
    <w:p w14:paraId="602C599B" w14:textId="77777777" w:rsidR="002C39F4" w:rsidRPr="009C69D2" w:rsidRDefault="002C39F4" w:rsidP="0032102C">
      <w:pPr>
        <w:pStyle w:val="a8"/>
        <w:numPr>
          <w:ilvl w:val="0"/>
          <w:numId w:val="281"/>
        </w:numPr>
        <w:rPr>
          <w:rtl/>
        </w:rPr>
      </w:pPr>
      <w:r>
        <w:rPr>
          <w:rFonts w:hint="cs"/>
          <w:rtl/>
        </w:rPr>
        <w:t xml:space="preserve">טור- </w:t>
      </w:r>
      <w:r w:rsidRPr="001236C9">
        <w:rPr>
          <w:rFonts w:cs="Arial"/>
          <w:rtl/>
        </w:rPr>
        <w:t xml:space="preserve">אם נתנו הישראל על האש וסלקו מיד ובא </w:t>
      </w:r>
      <w:r w:rsidRPr="001236C9">
        <w:rPr>
          <w:rFonts w:cs="Arial" w:hint="cs"/>
          <w:rtl/>
        </w:rPr>
        <w:t>גוי</w:t>
      </w:r>
      <w:r w:rsidRPr="001236C9">
        <w:rPr>
          <w:rFonts w:cs="Arial"/>
          <w:rtl/>
        </w:rPr>
        <w:t xml:space="preserve"> והחזירו אסור</w:t>
      </w:r>
      <w:r>
        <w:rPr>
          <w:rFonts w:cs="Arial" w:hint="cs"/>
          <w:rtl/>
        </w:rPr>
        <w:t>,</w:t>
      </w:r>
      <w:r w:rsidRPr="001236C9">
        <w:rPr>
          <w:rFonts w:cs="Arial"/>
          <w:rtl/>
        </w:rPr>
        <w:t xml:space="preserve"> אא"כ הגיע למאכל בן דרוסאי</w:t>
      </w:r>
      <w:r>
        <w:rPr>
          <w:rFonts w:cs="Arial" w:hint="cs"/>
          <w:rtl/>
        </w:rPr>
        <w:t xml:space="preserve"> </w:t>
      </w:r>
      <w:r w:rsidRPr="001236C9">
        <w:rPr>
          <w:rFonts w:cs="Arial"/>
          <w:rtl/>
        </w:rPr>
        <w:t>שהוא שליש</w:t>
      </w:r>
      <w:r>
        <w:rPr>
          <w:rStyle w:val="a7"/>
          <w:rFonts w:cs="Arial"/>
          <w:rtl/>
        </w:rPr>
        <w:footnoteReference w:id="2752"/>
      </w:r>
      <w:r w:rsidRPr="001236C9">
        <w:rPr>
          <w:rFonts w:cs="Arial"/>
          <w:rtl/>
        </w:rPr>
        <w:t xml:space="preserve"> בישולו כשסלקו</w:t>
      </w:r>
      <w:r>
        <w:rPr>
          <w:rFonts w:cs="Arial" w:hint="cs"/>
          <w:rtl/>
        </w:rPr>
        <w:t>,</w:t>
      </w:r>
      <w:r w:rsidRPr="001236C9">
        <w:rPr>
          <w:rFonts w:cs="Arial"/>
          <w:rtl/>
        </w:rPr>
        <w:t xml:space="preserve"> שכל שנתבשל ע"י ישראל כמאכל בן דרוסאי אפילו אם סלקו הישראל מן האש אם בא </w:t>
      </w:r>
      <w:r w:rsidRPr="001236C9">
        <w:rPr>
          <w:rFonts w:cs="Arial" w:hint="cs"/>
          <w:rtl/>
        </w:rPr>
        <w:t>גוי</w:t>
      </w:r>
      <w:r w:rsidRPr="001236C9">
        <w:rPr>
          <w:rFonts w:cs="Arial"/>
          <w:rtl/>
        </w:rPr>
        <w:t xml:space="preserve"> והחזירו וגמרו אין בו משום בישולי</w:t>
      </w:r>
      <w:r w:rsidRPr="001236C9">
        <w:rPr>
          <w:rFonts w:cs="Arial" w:hint="cs"/>
          <w:rtl/>
        </w:rPr>
        <w:t xml:space="preserve"> גוים</w:t>
      </w:r>
      <w:r>
        <w:rPr>
          <w:rFonts w:hint="cs"/>
          <w:rtl/>
        </w:rPr>
        <w:t xml:space="preserve">. </w:t>
      </w:r>
      <w:r w:rsidRPr="009D3DE9">
        <w:rPr>
          <w:rFonts w:cs="Arial" w:hint="cs"/>
          <w:color w:val="E36C0A" w:themeColor="accent6" w:themeShade="BF"/>
          <w:rtl/>
        </w:rPr>
        <w:t>(וכ"פ בשו"ע)</w:t>
      </w:r>
    </w:p>
    <w:p w14:paraId="20766DF2" w14:textId="77777777" w:rsidR="002C39F4" w:rsidRPr="001236C9" w:rsidRDefault="002C39F4" w:rsidP="002C39F4">
      <w:pPr>
        <w:ind w:left="360"/>
        <w:rPr>
          <w:u w:val="single"/>
        </w:rPr>
      </w:pPr>
      <w:r>
        <w:rPr>
          <w:rFonts w:hint="cs"/>
          <w:u w:val="single"/>
          <w:rtl/>
        </w:rPr>
        <w:t>האם נפיחה בפה מועילה לעניין בישולי גוים</w:t>
      </w:r>
      <w:r w:rsidRPr="001236C9">
        <w:rPr>
          <w:rFonts w:hint="cs"/>
          <w:u w:val="single"/>
          <w:rtl/>
        </w:rPr>
        <w:t>:</w:t>
      </w:r>
    </w:p>
    <w:p w14:paraId="7A64A032" w14:textId="77777777" w:rsidR="002C39F4" w:rsidRPr="009C69D2" w:rsidRDefault="002C39F4" w:rsidP="0032102C">
      <w:pPr>
        <w:pStyle w:val="a8"/>
        <w:numPr>
          <w:ilvl w:val="0"/>
          <w:numId w:val="281"/>
        </w:numPr>
        <w:rPr>
          <w:rtl/>
        </w:rPr>
      </w:pPr>
      <w:r>
        <w:rPr>
          <w:rFonts w:cs="Arial" w:hint="cs"/>
          <w:rtl/>
        </w:rPr>
        <w:t>מהרי"ל</w:t>
      </w:r>
      <w:r w:rsidRPr="007B25CA">
        <w:rPr>
          <w:rFonts w:cs="Arial" w:hint="cs"/>
          <w:sz w:val="16"/>
          <w:szCs w:val="16"/>
          <w:rtl/>
        </w:rPr>
        <w:t xml:space="preserve"> (סי' קצג, הביאו הב"י בשם </w:t>
      </w:r>
      <w:r w:rsidRPr="007B25CA">
        <w:rPr>
          <w:rFonts w:cs="Arial"/>
          <w:sz w:val="16"/>
          <w:szCs w:val="16"/>
          <w:rtl/>
        </w:rPr>
        <w:t>מצאתי כתוב</w:t>
      </w:r>
      <w:r w:rsidRPr="007B25CA">
        <w:rPr>
          <w:rFonts w:cs="Arial" w:hint="cs"/>
          <w:sz w:val="16"/>
          <w:szCs w:val="16"/>
          <w:rtl/>
        </w:rPr>
        <w:t>)</w:t>
      </w:r>
      <w:r>
        <w:rPr>
          <w:rFonts w:cs="Arial" w:hint="cs"/>
          <w:rtl/>
        </w:rPr>
        <w:t xml:space="preserve">- </w:t>
      </w:r>
      <w:r w:rsidRPr="001236C9">
        <w:rPr>
          <w:rFonts w:cs="Arial"/>
          <w:rtl/>
        </w:rPr>
        <w:t>ניפוח בפה מועיל בבישולי גוים דחשיב כגופו</w:t>
      </w:r>
      <w:r>
        <w:rPr>
          <w:rFonts w:cs="Arial" w:hint="cs"/>
          <w:rtl/>
        </w:rPr>
        <w:t>,</w:t>
      </w:r>
      <w:r w:rsidRPr="001236C9">
        <w:rPr>
          <w:rFonts w:cs="Arial"/>
          <w:rtl/>
        </w:rPr>
        <w:t xml:space="preserve"> וראיה מפרק כיצד הרגל </w:t>
      </w:r>
      <w:r w:rsidRPr="007B25CA">
        <w:rPr>
          <w:rFonts w:cs="Arial"/>
          <w:sz w:val="16"/>
          <w:szCs w:val="16"/>
          <w:rtl/>
        </w:rPr>
        <w:t xml:space="preserve">(ב"ק י"ז:) </w:t>
      </w:r>
      <w:r w:rsidRPr="001236C9">
        <w:rPr>
          <w:rFonts w:cs="Arial"/>
          <w:rtl/>
        </w:rPr>
        <w:t>גבי חצי נזק צרורות דחשיב חציו</w:t>
      </w:r>
      <w:r>
        <w:rPr>
          <w:rFonts w:cs="Arial" w:hint="cs"/>
          <w:rtl/>
        </w:rPr>
        <w:t>,</w:t>
      </w:r>
      <w:r w:rsidRPr="001236C9">
        <w:rPr>
          <w:rFonts w:cs="Arial"/>
          <w:rtl/>
        </w:rPr>
        <w:t xml:space="preserve"> וניפוח הפה חשיב כגופו</w:t>
      </w:r>
      <w:r>
        <w:rPr>
          <w:rFonts w:cs="Arial" w:hint="cs"/>
          <w:rtl/>
        </w:rPr>
        <w:t>,</w:t>
      </w:r>
      <w:r w:rsidRPr="001236C9">
        <w:rPr>
          <w:rFonts w:cs="Arial"/>
          <w:rtl/>
        </w:rPr>
        <w:t xml:space="preserve"> כמו דמייתי התם </w:t>
      </w:r>
      <w:r w:rsidRPr="007B25CA">
        <w:rPr>
          <w:rFonts w:cs="Arial"/>
          <w:sz w:val="16"/>
          <w:szCs w:val="16"/>
          <w:rtl/>
        </w:rPr>
        <w:t xml:space="preserve">(יח:) </w:t>
      </w:r>
      <w:r w:rsidRPr="001236C9">
        <w:rPr>
          <w:rFonts w:cs="Arial"/>
          <w:rtl/>
        </w:rPr>
        <w:t>מתרנגול שתקע בכלי זכוכית וכו'</w:t>
      </w:r>
      <w:r>
        <w:rPr>
          <w:rFonts w:cs="Arial" w:hint="cs"/>
          <w:rtl/>
        </w:rPr>
        <w:t>,</w:t>
      </w:r>
      <w:r w:rsidRPr="001236C9">
        <w:rPr>
          <w:rFonts w:cs="Arial"/>
          <w:rtl/>
        </w:rPr>
        <w:t xml:space="preserve"> ובודאי דכגופו דמי דאל</w:t>
      </w:r>
      <w:r>
        <w:rPr>
          <w:rFonts w:cs="Arial" w:hint="cs"/>
          <w:rtl/>
        </w:rPr>
        <w:t>"</w:t>
      </w:r>
      <w:r w:rsidRPr="001236C9">
        <w:rPr>
          <w:rFonts w:cs="Arial"/>
          <w:rtl/>
        </w:rPr>
        <w:t>כ הוי קנסא כדפריך רבא ואי לאו כגופו דמי ליפטריה וקיי</w:t>
      </w:r>
      <w:r>
        <w:rPr>
          <w:rFonts w:cs="Arial" w:hint="cs"/>
          <w:rtl/>
        </w:rPr>
        <w:t>"</w:t>
      </w:r>
      <w:r w:rsidRPr="001236C9">
        <w:rPr>
          <w:rFonts w:cs="Arial"/>
          <w:rtl/>
        </w:rPr>
        <w:t>ל דממון הוא</w:t>
      </w:r>
      <w:r>
        <w:rPr>
          <w:rFonts w:cs="Arial" w:hint="cs"/>
          <w:rtl/>
        </w:rPr>
        <w:t>,</w:t>
      </w:r>
      <w:r w:rsidRPr="001236C9">
        <w:rPr>
          <w:rFonts w:cs="Arial"/>
          <w:rtl/>
        </w:rPr>
        <w:t xml:space="preserve"> וכיון דכגופו דמי ומדינא אפילו נזק שלם בעי לשלומי אי לאו הלכתא אמאי לא יועיל בפה כמו ביד</w:t>
      </w:r>
      <w:r>
        <w:rPr>
          <w:rFonts w:cs="Arial" w:hint="cs"/>
          <w:rtl/>
        </w:rPr>
        <w:t>,</w:t>
      </w:r>
      <w:r w:rsidRPr="001236C9">
        <w:rPr>
          <w:rFonts w:cs="Arial"/>
          <w:rtl/>
        </w:rPr>
        <w:t xml:space="preserve"> ומיהו היינו דוקא כשבניפוח מדליק העצים הכבויים ונדלקים ע"י כחו אבל אם יש גחלים לוחשות ועצים דולקות ובניפוח מוסיף חמימות אע</w:t>
      </w:r>
      <w:r>
        <w:rPr>
          <w:rFonts w:cs="Arial" w:hint="cs"/>
          <w:rtl/>
        </w:rPr>
        <w:t>"</w:t>
      </w:r>
      <w:r w:rsidRPr="001236C9">
        <w:rPr>
          <w:rFonts w:cs="Arial"/>
          <w:rtl/>
        </w:rPr>
        <w:t>פ שהכל דולק בלא</w:t>
      </w:r>
      <w:r>
        <w:rPr>
          <w:rFonts w:cs="Arial" w:hint="cs"/>
          <w:rtl/>
        </w:rPr>
        <w:t>"</w:t>
      </w:r>
      <w:r w:rsidRPr="001236C9">
        <w:rPr>
          <w:rFonts w:cs="Arial"/>
          <w:rtl/>
        </w:rPr>
        <w:t>ה</w:t>
      </w:r>
      <w:r>
        <w:rPr>
          <w:rFonts w:cs="Arial" w:hint="cs"/>
          <w:rtl/>
        </w:rPr>
        <w:t>,</w:t>
      </w:r>
      <w:r w:rsidRPr="001236C9">
        <w:rPr>
          <w:rFonts w:cs="Arial"/>
          <w:rtl/>
        </w:rPr>
        <w:t xml:space="preserve"> כמו שעושים הנפחים</w:t>
      </w:r>
      <w:r>
        <w:rPr>
          <w:rFonts w:cs="Arial" w:hint="cs"/>
          <w:rtl/>
        </w:rPr>
        <w:t>,</w:t>
      </w:r>
      <w:r w:rsidRPr="001236C9">
        <w:rPr>
          <w:rFonts w:cs="Arial"/>
          <w:rtl/>
        </w:rPr>
        <w:t xml:space="preserve"> אז לא מיקרי בישול כיון דבלאו הכי יש חמימות די לחתיכה זו ובחמימות זו לא יתקרב בישולו אפילו פורתא</w:t>
      </w:r>
      <w:r>
        <w:rPr>
          <w:rFonts w:cs="Arial" w:hint="cs"/>
          <w:rtl/>
        </w:rPr>
        <w:t>,</w:t>
      </w:r>
      <w:r w:rsidRPr="001236C9">
        <w:rPr>
          <w:rFonts w:cs="Arial"/>
          <w:rtl/>
        </w:rPr>
        <w:t xml:space="preserve"> בהא לא קאמינא</w:t>
      </w:r>
      <w:r>
        <w:rPr>
          <w:rStyle w:val="a7"/>
          <w:rFonts w:cs="Arial"/>
          <w:rtl/>
        </w:rPr>
        <w:footnoteReference w:id="2753"/>
      </w:r>
      <w:r>
        <w:rPr>
          <w:rFonts w:cs="Arial" w:hint="cs"/>
          <w:rtl/>
        </w:rPr>
        <w:t>.</w:t>
      </w:r>
      <w:r w:rsidRPr="001236C9">
        <w:rPr>
          <w:rFonts w:cs="Arial"/>
          <w:rtl/>
        </w:rPr>
        <w:t xml:space="preserve"> </w:t>
      </w:r>
    </w:p>
    <w:p w14:paraId="0162A2B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0090665" w14:textId="77777777" w:rsidR="002C39F4" w:rsidRDefault="002C39F4" w:rsidP="002C39F4">
      <w:pPr>
        <w:rPr>
          <w:rFonts w:asciiTheme="minorBidi" w:hAnsiTheme="minorBidi"/>
          <w:rtl/>
        </w:rPr>
      </w:pPr>
      <w:r w:rsidRPr="003024E5">
        <w:rPr>
          <w:rFonts w:asciiTheme="minorBidi" w:hAnsiTheme="minorBidi"/>
          <w:rtl/>
        </w:rPr>
        <w:t xml:space="preserve">נתן ישראל קדרה על האש וסלקה ובא </w:t>
      </w:r>
      <w:r>
        <w:rPr>
          <w:rFonts w:asciiTheme="minorBidi" w:hAnsiTheme="minorBidi"/>
          <w:rtl/>
        </w:rPr>
        <w:t>גוי</w:t>
      </w:r>
      <w:r w:rsidRPr="003024E5">
        <w:rPr>
          <w:rFonts w:asciiTheme="minorBidi" w:hAnsiTheme="minorBidi"/>
          <w:rtl/>
        </w:rPr>
        <w:t xml:space="preserve"> והחזירה, אסור</w:t>
      </w:r>
      <w:r>
        <w:rPr>
          <w:rFonts w:asciiTheme="minorBidi" w:hAnsiTheme="minorBidi" w:hint="cs"/>
          <w:rtl/>
        </w:rPr>
        <w:t>,</w:t>
      </w:r>
      <w:r w:rsidRPr="003024E5">
        <w:rPr>
          <w:rFonts w:asciiTheme="minorBidi" w:hAnsiTheme="minorBidi"/>
          <w:rtl/>
        </w:rPr>
        <w:t xml:space="preserve"> אלא אם כן הגיע למאכל בן דרוסאי שהוא שליש בישולו כשסילקה. </w:t>
      </w:r>
    </w:p>
    <w:p w14:paraId="35472836" w14:textId="77777777" w:rsidR="002C39F4" w:rsidRPr="000B7D9D" w:rsidRDefault="002C39F4" w:rsidP="002C39F4">
      <w:pPr>
        <w:rPr>
          <w:rFonts w:asciiTheme="minorBidi" w:hAnsiTheme="minorBidi"/>
          <w:u w:val="single"/>
          <w:rtl/>
        </w:rPr>
      </w:pPr>
      <w:r w:rsidRPr="000B7D9D">
        <w:rPr>
          <w:rFonts w:asciiTheme="minorBidi" w:hAnsiTheme="minorBidi" w:hint="cs"/>
          <w:u w:val="single"/>
          <w:rtl/>
        </w:rPr>
        <w:t>מה הדין אם הגוי סילק</w:t>
      </w:r>
      <w:r>
        <w:rPr>
          <w:rFonts w:asciiTheme="minorBidi" w:hAnsiTheme="minorBidi" w:hint="cs"/>
          <w:u w:val="single"/>
          <w:rtl/>
        </w:rPr>
        <w:t xml:space="preserve"> את הקדרה</w:t>
      </w:r>
      <w:r w:rsidRPr="000B7D9D">
        <w:rPr>
          <w:rFonts w:asciiTheme="minorBidi" w:hAnsiTheme="minorBidi" w:hint="cs"/>
          <w:u w:val="single"/>
          <w:rtl/>
        </w:rPr>
        <w:t xml:space="preserve"> </w:t>
      </w:r>
      <w:r>
        <w:rPr>
          <w:rFonts w:asciiTheme="minorBidi" w:hAnsiTheme="minorBidi" w:hint="cs"/>
          <w:sz w:val="16"/>
          <w:szCs w:val="16"/>
          <w:u w:val="single"/>
          <w:rtl/>
        </w:rPr>
        <w:t>(</w:t>
      </w:r>
      <w:r w:rsidRPr="000B7D9D">
        <w:rPr>
          <w:rFonts w:asciiTheme="minorBidi" w:hAnsiTheme="minorBidi" w:hint="cs"/>
          <w:sz w:val="16"/>
          <w:szCs w:val="16"/>
          <w:u w:val="single"/>
          <w:rtl/>
        </w:rPr>
        <w:t xml:space="preserve">לפני </w:t>
      </w:r>
      <w:r>
        <w:rPr>
          <w:rFonts w:asciiTheme="minorBidi" w:hAnsiTheme="minorBidi" w:hint="cs"/>
          <w:sz w:val="16"/>
          <w:szCs w:val="16"/>
          <w:u w:val="single"/>
          <w:rtl/>
        </w:rPr>
        <w:t>שהגיע ל</w:t>
      </w:r>
      <w:r w:rsidRPr="000B7D9D">
        <w:rPr>
          <w:rFonts w:asciiTheme="minorBidi" w:hAnsiTheme="minorBidi" w:hint="cs"/>
          <w:sz w:val="16"/>
          <w:szCs w:val="16"/>
          <w:u w:val="single"/>
          <w:rtl/>
        </w:rPr>
        <w:t>מ</w:t>
      </w:r>
      <w:r>
        <w:rPr>
          <w:rFonts w:asciiTheme="minorBidi" w:hAnsiTheme="minorBidi" w:hint="cs"/>
          <w:sz w:val="16"/>
          <w:szCs w:val="16"/>
          <w:u w:val="single"/>
          <w:rtl/>
        </w:rPr>
        <w:t>א</w:t>
      </w:r>
      <w:r w:rsidRPr="000B7D9D">
        <w:rPr>
          <w:rFonts w:asciiTheme="minorBidi" w:hAnsiTheme="minorBidi" w:hint="cs"/>
          <w:sz w:val="16"/>
          <w:szCs w:val="16"/>
          <w:u w:val="single"/>
          <w:rtl/>
        </w:rPr>
        <w:t>ב"ד)</w:t>
      </w:r>
      <w:r w:rsidRPr="000B7D9D">
        <w:rPr>
          <w:rFonts w:asciiTheme="minorBidi" w:hAnsiTheme="minorBidi" w:hint="cs"/>
          <w:u w:val="single"/>
          <w:rtl/>
        </w:rPr>
        <w:t xml:space="preserve"> ולא הישראל:</w:t>
      </w:r>
    </w:p>
    <w:p w14:paraId="05DE648E" w14:textId="77777777" w:rsidR="002C39F4" w:rsidRDefault="002C39F4" w:rsidP="0032102C">
      <w:pPr>
        <w:pStyle w:val="a8"/>
        <w:numPr>
          <w:ilvl w:val="0"/>
          <w:numId w:val="281"/>
        </w:numPr>
        <w:rPr>
          <w:rFonts w:asciiTheme="minorBidi" w:hAnsiTheme="minorBidi"/>
        </w:rPr>
      </w:pPr>
      <w:r>
        <w:rPr>
          <w:rFonts w:asciiTheme="minorBidi" w:hAnsiTheme="minorBidi" w:cs="Arial" w:hint="cs"/>
          <w:rtl/>
        </w:rPr>
        <w:t xml:space="preserve">ט"ז </w:t>
      </w:r>
      <w:r w:rsidRPr="00EE12FF">
        <w:rPr>
          <w:rFonts w:asciiTheme="minorBidi" w:hAnsiTheme="minorBidi" w:cs="Arial" w:hint="cs"/>
          <w:sz w:val="16"/>
          <w:szCs w:val="16"/>
          <w:rtl/>
        </w:rPr>
        <w:t>(סק"ט)</w:t>
      </w:r>
      <w:r>
        <w:rPr>
          <w:rFonts w:asciiTheme="minorBidi" w:hAnsiTheme="minorBidi" w:cs="Arial" w:hint="cs"/>
          <w:rtl/>
        </w:rPr>
        <w:t xml:space="preserve"> וש"ך </w:t>
      </w:r>
      <w:r>
        <w:rPr>
          <w:rFonts w:asciiTheme="minorBidi" w:hAnsiTheme="minorBidi" w:cs="Arial" w:hint="cs"/>
          <w:sz w:val="16"/>
          <w:szCs w:val="16"/>
          <w:rtl/>
        </w:rPr>
        <w:t>(סקי"ב)</w:t>
      </w:r>
      <w:r>
        <w:rPr>
          <w:rFonts w:asciiTheme="minorBidi" w:hAnsiTheme="minorBidi" w:cs="Arial" w:hint="cs"/>
          <w:rtl/>
        </w:rPr>
        <w:t xml:space="preserve">- </w:t>
      </w:r>
      <w:r w:rsidRPr="000B7D9D">
        <w:rPr>
          <w:rFonts w:asciiTheme="minorBidi" w:hAnsiTheme="minorBidi" w:cs="Arial"/>
          <w:rtl/>
        </w:rPr>
        <w:t>לאו דוקא שהישראל סילקה אלא הוא הדין אם</w:t>
      </w:r>
      <w:r>
        <w:rPr>
          <w:rFonts w:asciiTheme="minorBidi" w:hAnsiTheme="minorBidi" w:cs="Arial" w:hint="cs"/>
          <w:rtl/>
        </w:rPr>
        <w:t xml:space="preserve"> הגוי</w:t>
      </w:r>
      <w:r w:rsidRPr="000B7D9D">
        <w:rPr>
          <w:rFonts w:asciiTheme="minorBidi" w:hAnsiTheme="minorBidi" w:cs="Arial"/>
          <w:rtl/>
        </w:rPr>
        <w:t xml:space="preserve"> סילקה לאיזה צורך שיש לו בזה והחזירה דאסור</w:t>
      </w:r>
      <w:r>
        <w:rPr>
          <w:rStyle w:val="a7"/>
          <w:rFonts w:asciiTheme="minorBidi" w:hAnsiTheme="minorBidi" w:cs="Arial"/>
          <w:rtl/>
        </w:rPr>
        <w:footnoteReference w:id="2754"/>
      </w:r>
      <w:r>
        <w:rPr>
          <w:rFonts w:asciiTheme="minorBidi" w:hAnsiTheme="minorBidi" w:cs="Arial" w:hint="cs"/>
          <w:rtl/>
        </w:rPr>
        <w:t>.</w:t>
      </w:r>
    </w:p>
    <w:p w14:paraId="3FC45342" w14:textId="77777777" w:rsidR="002C39F4" w:rsidRDefault="002C39F4" w:rsidP="0032102C">
      <w:pPr>
        <w:pStyle w:val="a8"/>
        <w:numPr>
          <w:ilvl w:val="0"/>
          <w:numId w:val="281"/>
        </w:numPr>
        <w:rPr>
          <w:rFonts w:asciiTheme="minorBidi" w:hAnsiTheme="minorBidi"/>
        </w:rPr>
      </w:pPr>
      <w:r>
        <w:rPr>
          <w:rFonts w:asciiTheme="minorBidi" w:hAnsiTheme="minorBidi" w:hint="cs"/>
          <w:rtl/>
        </w:rPr>
        <w:t>ב"ח- אם סילק הגוי והחזיר שרי</w:t>
      </w:r>
      <w:r>
        <w:rPr>
          <w:rStyle w:val="a7"/>
          <w:rFonts w:asciiTheme="minorBidi" w:hAnsiTheme="minorBidi"/>
          <w:rtl/>
        </w:rPr>
        <w:footnoteReference w:id="2755"/>
      </w:r>
      <w:r>
        <w:rPr>
          <w:rFonts w:asciiTheme="minorBidi" w:hAnsiTheme="minorBidi" w:hint="cs"/>
          <w:rtl/>
        </w:rPr>
        <w:t>.</w:t>
      </w:r>
    </w:p>
    <w:p w14:paraId="69BAE33D" w14:textId="77777777" w:rsidR="002C39F4" w:rsidRPr="003046E2" w:rsidRDefault="002C39F4" w:rsidP="002C39F4">
      <w:pPr>
        <w:rPr>
          <w:rFonts w:asciiTheme="minorBidi" w:hAnsiTheme="minorBidi"/>
          <w:rtl/>
        </w:rPr>
      </w:pPr>
    </w:p>
    <w:p w14:paraId="41AC9A50" w14:textId="77777777" w:rsidR="002C39F4" w:rsidRDefault="002C39F4" w:rsidP="002C39F4">
      <w:pPr>
        <w:pStyle w:val="2"/>
        <w:rPr>
          <w:rFonts w:asciiTheme="minorBidi" w:hAnsiTheme="minorBidi"/>
          <w:rtl/>
        </w:rPr>
      </w:pPr>
      <w:r w:rsidRPr="003024E5">
        <w:rPr>
          <w:rFonts w:asciiTheme="minorBidi" w:hAnsiTheme="minorBidi"/>
          <w:rtl/>
        </w:rPr>
        <w:t>סעיף ט</w:t>
      </w:r>
      <w:r>
        <w:rPr>
          <w:rFonts w:asciiTheme="minorBidi" w:hAnsiTheme="minorBidi" w:hint="cs"/>
          <w:rtl/>
        </w:rPr>
        <w:t>: הגוי בישל כמאכל בן דרוסאי והישראל גמר הבישול.</w:t>
      </w:r>
    </w:p>
    <w:p w14:paraId="15A8D245" w14:textId="77777777" w:rsidR="002C39F4" w:rsidRPr="009A6DA5" w:rsidRDefault="002C39F4" w:rsidP="002C39F4">
      <w:pPr>
        <w:rPr>
          <w:rtl/>
        </w:rPr>
      </w:pPr>
      <w:r>
        <w:rPr>
          <w:rFonts w:cs="Arial" w:hint="cs"/>
          <w:b/>
          <w:bCs/>
          <w:rtl/>
        </w:rPr>
        <w:t xml:space="preserve">עבודה זרה לח ע"א: </w:t>
      </w:r>
      <w:r w:rsidRPr="009063D2">
        <w:rPr>
          <w:rFonts w:cs="Arial"/>
          <w:u w:val="single"/>
          <w:rtl/>
        </w:rPr>
        <w:t>אמר רב יהודה אמר שמואל</w:t>
      </w:r>
      <w:r w:rsidRPr="009063D2">
        <w:rPr>
          <w:rFonts w:cs="Arial"/>
          <w:rtl/>
        </w:rPr>
        <w:t>: הניח ישראל בשר על גבי גחלים, ובא עובד כוכבים והפך בו - מותר. היכי דמי? אילימא דאי לא הפך ביה הוה בשיל, פשיטא! אלא לאו</w:t>
      </w:r>
      <w:r>
        <w:rPr>
          <w:rFonts w:cs="Arial" w:hint="cs"/>
          <w:rtl/>
        </w:rPr>
        <w:t>,</w:t>
      </w:r>
      <w:r w:rsidRPr="009063D2">
        <w:rPr>
          <w:rFonts w:cs="Arial"/>
          <w:rtl/>
        </w:rPr>
        <w:t xml:space="preserve"> דאי לא הפך לא הוה בשיל</w:t>
      </w:r>
      <w:r>
        <w:rPr>
          <w:rFonts w:cs="Arial" w:hint="cs"/>
          <w:rtl/>
        </w:rPr>
        <w:t>.</w:t>
      </w:r>
      <w:r w:rsidRPr="009063D2">
        <w:rPr>
          <w:rFonts w:cs="Arial"/>
          <w:rtl/>
        </w:rPr>
        <w:t xml:space="preserve"> אמאי מותר? בישולי של עובדי כוכבים נינהו! לא</w:t>
      </w:r>
      <w:r>
        <w:rPr>
          <w:rFonts w:cs="Arial" w:hint="cs"/>
          <w:rtl/>
        </w:rPr>
        <w:t>,</w:t>
      </w:r>
      <w:r w:rsidRPr="009063D2">
        <w:rPr>
          <w:rFonts w:cs="Arial"/>
          <w:rtl/>
        </w:rPr>
        <w:t xml:space="preserve"> צריכא, דאי לא הפך הוה בשיל בתרתי שעי, והשתא קא בשיל בחדא שעתא, מהו דתימא: קרובי בישולא מילתא היא, קמ"ל.</w:t>
      </w:r>
      <w:r w:rsidRPr="009063D2">
        <w:rPr>
          <w:rtl/>
        </w:rPr>
        <w:t xml:space="preserve"> </w:t>
      </w:r>
      <w:r w:rsidRPr="005D2786">
        <w:rPr>
          <w:rFonts w:cs="Arial"/>
          <w:u w:val="single"/>
          <w:rtl/>
        </w:rPr>
        <w:t>והאמר ר' אסי א"ר יוחנן</w:t>
      </w:r>
      <w:r w:rsidRPr="009063D2">
        <w:rPr>
          <w:rFonts w:cs="Arial"/>
          <w:rtl/>
        </w:rPr>
        <w:t>: כל שהוא כמאכל בן דרוסאי - אין בו משום בישולי עובדי כוכבים, הא אינו כמאכל בן דרוסאי - יש בו משום בשולי עובדי כוכבים</w:t>
      </w:r>
      <w:r>
        <w:rPr>
          <w:rStyle w:val="a7"/>
          <w:rFonts w:cs="Arial"/>
          <w:rtl/>
        </w:rPr>
        <w:footnoteReference w:id="2756"/>
      </w:r>
      <w:r w:rsidRPr="009063D2">
        <w:rPr>
          <w:rFonts w:cs="Arial"/>
          <w:rtl/>
        </w:rPr>
        <w:t>! התם כגון דאותביה בסילתא</w:t>
      </w:r>
      <w:r>
        <w:rPr>
          <w:rStyle w:val="a7"/>
          <w:rFonts w:cs="Arial"/>
          <w:rtl/>
        </w:rPr>
        <w:footnoteReference w:id="2757"/>
      </w:r>
      <w:r w:rsidRPr="009063D2">
        <w:rPr>
          <w:rFonts w:cs="Arial"/>
          <w:rtl/>
        </w:rPr>
        <w:t>, ושקליה עובד כוכבים ואותביה בתנורא. תניא נמי הכי: מניח ישראל בשר על גבי גחלים, ובא עובד כוכבים ומהפך בו עד שיבא ישראל מבית הכנסת או מבית המדרש, ואינו חושש; שופתת אשה קדירה על גבי כירה, ובאת עובדת כוכבים</w:t>
      </w:r>
      <w:r w:rsidRPr="009063D2">
        <w:rPr>
          <w:rtl/>
        </w:rPr>
        <w:t xml:space="preserve"> </w:t>
      </w:r>
      <w:r w:rsidRPr="009063D2">
        <w:rPr>
          <w:rFonts w:cs="Arial"/>
          <w:rtl/>
        </w:rPr>
        <w:t>ומגיסה עד שתבא מבית המרחץ או מבית הכנסת, ואינה חוששת.</w:t>
      </w:r>
    </w:p>
    <w:p w14:paraId="0897676E" w14:textId="77777777" w:rsidR="002C39F4" w:rsidRPr="00EE12FF" w:rsidRDefault="002C39F4" w:rsidP="002C39F4">
      <w:pPr>
        <w:rPr>
          <w:rFonts w:cs="Arial"/>
          <w:u w:val="single"/>
          <w:rtl/>
        </w:rPr>
      </w:pPr>
      <w:r w:rsidRPr="00EE12FF">
        <w:rPr>
          <w:rFonts w:asciiTheme="minorBidi" w:hAnsiTheme="minorBidi" w:hint="cs"/>
          <w:u w:val="single"/>
          <w:rtl/>
        </w:rPr>
        <w:t xml:space="preserve">הגוי בישל </w:t>
      </w:r>
      <w:r>
        <w:rPr>
          <w:rFonts w:asciiTheme="minorBidi" w:hAnsiTheme="minorBidi" w:hint="cs"/>
          <w:u w:val="single"/>
          <w:rtl/>
        </w:rPr>
        <w:t xml:space="preserve">את התבשיל </w:t>
      </w:r>
      <w:r w:rsidRPr="00EE12FF">
        <w:rPr>
          <w:rFonts w:asciiTheme="minorBidi" w:hAnsiTheme="minorBidi" w:hint="cs"/>
          <w:u w:val="single"/>
          <w:rtl/>
        </w:rPr>
        <w:t xml:space="preserve">כמאכל בן דרוסאי וישראל גמר </w:t>
      </w:r>
      <w:r>
        <w:rPr>
          <w:rFonts w:asciiTheme="minorBidi" w:hAnsiTheme="minorBidi" w:hint="cs"/>
          <w:u w:val="single"/>
          <w:rtl/>
        </w:rPr>
        <w:t xml:space="preserve">את </w:t>
      </w:r>
      <w:r w:rsidRPr="00EE12FF">
        <w:rPr>
          <w:rFonts w:asciiTheme="minorBidi" w:hAnsiTheme="minorBidi" w:hint="cs"/>
          <w:u w:val="single"/>
          <w:rtl/>
        </w:rPr>
        <w:t>הבישול</w:t>
      </w:r>
      <w:r w:rsidRPr="00EE12FF">
        <w:rPr>
          <w:rFonts w:cs="Arial" w:hint="cs"/>
          <w:u w:val="single"/>
          <w:rtl/>
        </w:rPr>
        <w:t xml:space="preserve">: </w:t>
      </w:r>
    </w:p>
    <w:p w14:paraId="33678994" w14:textId="77777777" w:rsidR="002C39F4" w:rsidRPr="00256829" w:rsidRDefault="002C39F4" w:rsidP="0032102C">
      <w:pPr>
        <w:pStyle w:val="a8"/>
        <w:numPr>
          <w:ilvl w:val="0"/>
          <w:numId w:val="284"/>
        </w:numPr>
        <w:rPr>
          <w:rFonts w:cs="Arial"/>
        </w:rPr>
      </w:pPr>
      <w:r>
        <w:rPr>
          <w:rFonts w:cs="Arial" w:hint="cs"/>
          <w:rtl/>
        </w:rPr>
        <w:t xml:space="preserve">ר"ח </w:t>
      </w:r>
      <w:r>
        <w:rPr>
          <w:rFonts w:cs="Arial"/>
          <w:rtl/>
        </w:rPr>
        <w:t xml:space="preserve">רשב"א </w:t>
      </w:r>
      <w:r>
        <w:rPr>
          <w:rFonts w:cs="Arial" w:hint="cs"/>
          <w:rtl/>
        </w:rPr>
        <w:t xml:space="preserve">ר' יהודה </w:t>
      </w:r>
      <w:r>
        <w:rPr>
          <w:rFonts w:cs="Arial"/>
          <w:rtl/>
        </w:rPr>
        <w:t xml:space="preserve">ר"ן </w:t>
      </w:r>
      <w:r>
        <w:rPr>
          <w:rFonts w:cs="Arial" w:hint="cs"/>
          <w:rtl/>
        </w:rPr>
        <w:t>ו</w:t>
      </w:r>
      <w:r>
        <w:rPr>
          <w:rFonts w:cs="Arial"/>
          <w:rtl/>
        </w:rPr>
        <w:t>ריב"ש</w:t>
      </w:r>
      <w:r>
        <w:rPr>
          <w:rStyle w:val="a7"/>
          <w:rFonts w:cs="Arial"/>
          <w:rtl/>
        </w:rPr>
        <w:footnoteReference w:id="2758"/>
      </w:r>
      <w:r w:rsidRPr="00EE12FF">
        <w:rPr>
          <w:rFonts w:cs="Arial" w:hint="cs"/>
          <w:rtl/>
        </w:rPr>
        <w:t xml:space="preserve">- </w:t>
      </w:r>
      <w:r w:rsidRPr="001666BE">
        <w:rPr>
          <w:rFonts w:cs="Arial"/>
          <w:rtl/>
        </w:rPr>
        <w:t>אם נתבשל כמאכל בן דרוסאי כבר ביד גוי אין חתוי ישראל מועיל מכאן ואילך</w:t>
      </w:r>
      <w:r>
        <w:rPr>
          <w:rFonts w:cs="Arial" w:hint="cs"/>
          <w:rtl/>
        </w:rPr>
        <w:t>,</w:t>
      </w:r>
      <w:r w:rsidRPr="001666BE">
        <w:rPr>
          <w:rFonts w:cs="Arial"/>
          <w:rtl/>
        </w:rPr>
        <w:t xml:space="preserve"> דכי היכי דאמרי' דכל שהוא כמאכל בן דרוסאי ביד ישראל דאין בו משום בישולי גוים מכאן ואילך הכי נמי נימא איפכא</w:t>
      </w:r>
      <w:r>
        <w:rPr>
          <w:rStyle w:val="a7"/>
          <w:rFonts w:cs="Arial"/>
          <w:rtl/>
        </w:rPr>
        <w:footnoteReference w:id="2759"/>
      </w:r>
      <w:r>
        <w:rPr>
          <w:rFonts w:cs="Arial" w:hint="cs"/>
          <w:sz w:val="16"/>
          <w:szCs w:val="16"/>
          <w:rtl/>
        </w:rPr>
        <w:t xml:space="preserve"> (ל' ר"פ בשם ר' יהודה)</w:t>
      </w:r>
      <w:r w:rsidRPr="00EE12FF">
        <w:rPr>
          <w:rFonts w:cs="Arial" w:hint="cs"/>
          <w:rtl/>
        </w:rPr>
        <w:t>.</w:t>
      </w:r>
    </w:p>
    <w:p w14:paraId="2615C976" w14:textId="77777777" w:rsidR="002C39F4" w:rsidRPr="001A01EE" w:rsidRDefault="002C39F4" w:rsidP="0032102C">
      <w:pPr>
        <w:pStyle w:val="a8"/>
        <w:numPr>
          <w:ilvl w:val="0"/>
          <w:numId w:val="284"/>
        </w:numPr>
      </w:pPr>
      <w:r>
        <w:rPr>
          <w:rFonts w:cs="Arial" w:hint="cs"/>
          <w:rtl/>
        </w:rPr>
        <w:t xml:space="preserve">ר' משה </w:t>
      </w:r>
      <w:r w:rsidRPr="006E6A35">
        <w:rPr>
          <w:rFonts w:cs="Arial"/>
          <w:sz w:val="16"/>
          <w:szCs w:val="16"/>
          <w:rtl/>
        </w:rPr>
        <w:t>(</w:t>
      </w:r>
      <w:r>
        <w:rPr>
          <w:rFonts w:cs="Arial" w:hint="cs"/>
          <w:sz w:val="16"/>
          <w:szCs w:val="16"/>
          <w:rtl/>
        </w:rPr>
        <w:t>כ"כ ר"פ בשמו</w:t>
      </w:r>
      <w:r w:rsidRPr="006E6A35">
        <w:rPr>
          <w:rFonts w:cs="Arial"/>
          <w:sz w:val="16"/>
          <w:szCs w:val="16"/>
          <w:rtl/>
        </w:rPr>
        <w:t xml:space="preserve">) </w:t>
      </w:r>
      <w:r>
        <w:rPr>
          <w:rFonts w:cs="Arial" w:hint="cs"/>
          <w:rtl/>
        </w:rPr>
        <w:t>ור</w:t>
      </w:r>
      <w:r>
        <w:rPr>
          <w:rFonts w:cs="Arial"/>
          <w:rtl/>
        </w:rPr>
        <w:t>"</w:t>
      </w:r>
      <w:r>
        <w:rPr>
          <w:rFonts w:cs="Arial" w:hint="cs"/>
          <w:rtl/>
        </w:rPr>
        <w:t>פ</w:t>
      </w:r>
      <w:r>
        <w:rPr>
          <w:rStyle w:val="a7"/>
          <w:rFonts w:cs="Arial"/>
          <w:rtl/>
        </w:rPr>
        <w:footnoteReference w:id="2760"/>
      </w:r>
      <w:r>
        <w:rPr>
          <w:rFonts w:cs="Arial"/>
          <w:rtl/>
        </w:rPr>
        <w:t xml:space="preserve"> </w:t>
      </w:r>
      <w:r w:rsidRPr="006E6A35">
        <w:rPr>
          <w:rFonts w:cs="Arial"/>
          <w:sz w:val="16"/>
          <w:szCs w:val="16"/>
          <w:rtl/>
        </w:rPr>
        <w:t>(הגה</w:t>
      </w:r>
      <w:r>
        <w:rPr>
          <w:rFonts w:cs="Arial" w:hint="cs"/>
          <w:sz w:val="16"/>
          <w:szCs w:val="16"/>
          <w:rtl/>
        </w:rPr>
        <w:t>'</w:t>
      </w:r>
      <w:r w:rsidRPr="006E6A35">
        <w:rPr>
          <w:rFonts w:cs="Arial"/>
          <w:sz w:val="16"/>
          <w:szCs w:val="16"/>
          <w:rtl/>
        </w:rPr>
        <w:t xml:space="preserve"> סמ"ק סי' רכג אות ג)</w:t>
      </w:r>
      <w:r>
        <w:rPr>
          <w:rFonts w:cs="Arial" w:hint="cs"/>
          <w:rtl/>
        </w:rPr>
        <w:t xml:space="preserve"> </w:t>
      </w:r>
      <w:r w:rsidRPr="00EE12FF">
        <w:rPr>
          <w:rFonts w:cs="Arial"/>
          <w:rtl/>
        </w:rPr>
        <w:t xml:space="preserve">רא"ש </w:t>
      </w:r>
      <w:r w:rsidRPr="00EE12FF">
        <w:rPr>
          <w:rFonts w:cs="Arial"/>
          <w:sz w:val="16"/>
          <w:szCs w:val="16"/>
          <w:rtl/>
        </w:rPr>
        <w:t>(</w:t>
      </w:r>
      <w:r>
        <w:rPr>
          <w:rFonts w:cs="Arial" w:hint="cs"/>
          <w:sz w:val="16"/>
          <w:szCs w:val="16"/>
          <w:rtl/>
        </w:rPr>
        <w:t xml:space="preserve">ע"ז </w:t>
      </w:r>
      <w:r w:rsidRPr="00EE12FF">
        <w:rPr>
          <w:rFonts w:cs="Arial"/>
          <w:sz w:val="16"/>
          <w:szCs w:val="16"/>
          <w:rtl/>
        </w:rPr>
        <w:t>סי' לב)</w:t>
      </w:r>
      <w:r>
        <w:rPr>
          <w:rFonts w:cs="Arial" w:hint="cs"/>
          <w:rtl/>
        </w:rPr>
        <w:t xml:space="preserve"> וטור-</w:t>
      </w:r>
      <w:r w:rsidRPr="00EE12FF">
        <w:rPr>
          <w:rFonts w:cs="Arial"/>
          <w:rtl/>
        </w:rPr>
        <w:t xml:space="preserve"> </w:t>
      </w:r>
      <w:r>
        <w:rPr>
          <w:rStyle w:val="a7"/>
          <w:rFonts w:cs="Arial"/>
          <w:rtl/>
        </w:rPr>
        <w:footnoteReference w:id="2761"/>
      </w:r>
      <w:r w:rsidRPr="00EE12FF">
        <w:rPr>
          <w:rFonts w:cs="Arial"/>
          <w:rtl/>
        </w:rPr>
        <w:t>נראה דלהקל עשאוהו כמבושל ולא להחמיר</w:t>
      </w:r>
      <w:r>
        <w:rPr>
          <w:rStyle w:val="a7"/>
          <w:rFonts w:cs="Arial"/>
          <w:rtl/>
        </w:rPr>
        <w:footnoteReference w:id="2762"/>
      </w:r>
      <w:r>
        <w:rPr>
          <w:rFonts w:cs="Arial" w:hint="cs"/>
          <w:sz w:val="16"/>
          <w:szCs w:val="16"/>
          <w:rtl/>
        </w:rPr>
        <w:t>(ל' הרא"ש)</w:t>
      </w:r>
      <w:r w:rsidRPr="00EE12FF">
        <w:rPr>
          <w:rFonts w:cs="Arial" w:hint="cs"/>
          <w:rtl/>
        </w:rPr>
        <w:t>.</w:t>
      </w:r>
      <w:r w:rsidRPr="00CD58DC">
        <w:rPr>
          <w:rFonts w:cs="Arial"/>
          <w:rtl/>
        </w:rPr>
        <w:t xml:space="preserve"> </w:t>
      </w:r>
      <w:r w:rsidRPr="00EE12FF">
        <w:rPr>
          <w:rFonts w:cs="Arial"/>
          <w:rtl/>
        </w:rPr>
        <w:t>הילכך אפילו אם בשלו כמא</w:t>
      </w:r>
      <w:r>
        <w:rPr>
          <w:rFonts w:cs="Arial" w:hint="cs"/>
          <w:rtl/>
        </w:rPr>
        <w:t>ב"ד</w:t>
      </w:r>
      <w:r w:rsidRPr="00EE12FF">
        <w:rPr>
          <w:rFonts w:cs="Arial"/>
          <w:rtl/>
        </w:rPr>
        <w:t xml:space="preserve"> ובא ישראל וחתה</w:t>
      </w:r>
      <w:r>
        <w:rPr>
          <w:rStyle w:val="a7"/>
          <w:rFonts w:cs="Arial"/>
          <w:rtl/>
        </w:rPr>
        <w:footnoteReference w:id="2763"/>
      </w:r>
      <w:r w:rsidRPr="00EE12FF">
        <w:rPr>
          <w:rFonts w:cs="Arial"/>
          <w:rtl/>
        </w:rPr>
        <w:t xml:space="preserve"> בו וגמרו מותר</w:t>
      </w:r>
      <w:r w:rsidRPr="00EE12FF">
        <w:rPr>
          <w:rFonts w:cs="Arial" w:hint="cs"/>
          <w:sz w:val="16"/>
          <w:szCs w:val="16"/>
          <w:rtl/>
        </w:rPr>
        <w:t xml:space="preserve"> (ל' הטור)</w:t>
      </w:r>
      <w:r w:rsidRPr="00EE12FF">
        <w:rPr>
          <w:rFonts w:cs="Arial"/>
          <w:rtl/>
        </w:rPr>
        <w:t>.</w:t>
      </w:r>
      <w:r>
        <w:rPr>
          <w:rFonts w:hint="cs"/>
          <w:rtl/>
        </w:rPr>
        <w:t xml:space="preserve"> </w:t>
      </w:r>
      <w:r w:rsidRPr="00C74066">
        <w:rPr>
          <w:rFonts w:cs="Arial" w:hint="cs"/>
          <w:color w:val="00B0F0"/>
          <w:rtl/>
        </w:rPr>
        <w:t>(וכ"פ הרמ"א)</w:t>
      </w:r>
    </w:p>
    <w:p w14:paraId="2CDE6D6A" w14:textId="77777777" w:rsidR="002C39F4" w:rsidRPr="001A01EE" w:rsidRDefault="002C39F4" w:rsidP="002C39F4">
      <w:pPr>
        <w:ind w:left="360"/>
        <w:rPr>
          <w:u w:val="dotted"/>
        </w:rPr>
      </w:pPr>
      <w:r>
        <w:rPr>
          <w:rFonts w:hint="cs"/>
          <w:u w:val="dotted"/>
          <w:rtl/>
        </w:rPr>
        <w:t>לדעת האוסרים - מה הדין אם התבשיל על גבי הגחלים ולא ע"ג סל:</w:t>
      </w:r>
    </w:p>
    <w:p w14:paraId="6C18422A" w14:textId="77777777" w:rsidR="002C39F4" w:rsidRPr="001A01EE" w:rsidRDefault="002C39F4" w:rsidP="0032102C">
      <w:pPr>
        <w:pStyle w:val="a8"/>
        <w:numPr>
          <w:ilvl w:val="0"/>
          <w:numId w:val="284"/>
        </w:numPr>
        <w:rPr>
          <w:rtl/>
        </w:rPr>
      </w:pPr>
      <w:r w:rsidRPr="001A01EE">
        <w:rPr>
          <w:rFonts w:cs="Arial"/>
          <w:rtl/>
        </w:rPr>
        <w:t>ר</w:t>
      </w:r>
      <w:r w:rsidRPr="001A01EE">
        <w:rPr>
          <w:rFonts w:cs="Arial" w:hint="cs"/>
          <w:rtl/>
        </w:rPr>
        <w:t>י"ו</w:t>
      </w:r>
      <w:r w:rsidRPr="001A01EE">
        <w:rPr>
          <w:rFonts w:cs="Arial"/>
          <w:rtl/>
        </w:rPr>
        <w:t xml:space="preserve"> </w:t>
      </w:r>
      <w:r w:rsidRPr="001A01EE">
        <w:rPr>
          <w:rFonts w:cs="Arial"/>
          <w:sz w:val="16"/>
          <w:szCs w:val="16"/>
          <w:rtl/>
        </w:rPr>
        <w:t>(ני"ז ח"ז קסא.</w:t>
      </w:r>
      <w:r w:rsidRPr="001A01EE">
        <w:rPr>
          <w:rFonts w:cs="Arial" w:hint="cs"/>
          <w:sz w:val="16"/>
          <w:szCs w:val="16"/>
          <w:rtl/>
        </w:rPr>
        <w:t>, הביאו הב"י בבדה"ב</w:t>
      </w:r>
      <w:r w:rsidRPr="001A01EE">
        <w:rPr>
          <w:rFonts w:cs="Arial"/>
          <w:sz w:val="16"/>
          <w:szCs w:val="16"/>
          <w:rtl/>
        </w:rPr>
        <w:t>)</w:t>
      </w:r>
      <w:r w:rsidRPr="001A01EE">
        <w:rPr>
          <w:rFonts w:cs="Arial" w:hint="cs"/>
          <w:rtl/>
        </w:rPr>
        <w:t xml:space="preserve">- </w:t>
      </w:r>
      <w:r w:rsidRPr="001A01EE">
        <w:rPr>
          <w:rFonts w:cs="Arial"/>
          <w:rtl/>
        </w:rPr>
        <w:t>אף האוסר לא אסר אלא כשהיה מונח בסל שאילו היה מונח על גבי גחלים אפילו התחיל נכרי וגמר ישראל מותר דלא שייך בזה שיעור מאכל בן דרוסאי</w:t>
      </w:r>
      <w:r w:rsidRPr="001A01EE">
        <w:rPr>
          <w:rFonts w:cs="Arial" w:hint="cs"/>
          <w:rtl/>
        </w:rPr>
        <w:t>.</w:t>
      </w:r>
    </w:p>
    <w:p w14:paraId="79AF2A1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FEF60E4" w14:textId="77777777" w:rsidR="002C39F4" w:rsidRDefault="002C39F4" w:rsidP="002C39F4">
      <w:pPr>
        <w:rPr>
          <w:rFonts w:asciiTheme="minorBidi" w:hAnsiTheme="minorBidi"/>
          <w:rtl/>
        </w:rPr>
      </w:pPr>
      <w:r w:rsidRPr="003024E5">
        <w:rPr>
          <w:rFonts w:asciiTheme="minorBidi" w:hAnsiTheme="minorBidi"/>
          <w:rtl/>
        </w:rPr>
        <w:t xml:space="preserve">אם בישלו </w:t>
      </w:r>
      <w:r>
        <w:rPr>
          <w:rFonts w:asciiTheme="minorBidi" w:hAnsiTheme="minorBidi"/>
          <w:rtl/>
        </w:rPr>
        <w:t>גוים</w:t>
      </w:r>
      <w:r w:rsidRPr="003024E5">
        <w:rPr>
          <w:rFonts w:asciiTheme="minorBidi" w:hAnsiTheme="minorBidi"/>
          <w:rtl/>
        </w:rPr>
        <w:t xml:space="preserve"> כמאכל בן דרוסאי וגמרו ישראל יש לאסור אלא אם כן הוא ערב שבת או ערב יום טוב או שיש הפסד מרובה בדבר. </w:t>
      </w:r>
      <w:r w:rsidRPr="00EE12FF">
        <w:rPr>
          <w:rFonts w:asciiTheme="minorBidi" w:hAnsiTheme="minorBidi" w:hint="cs"/>
          <w:sz w:val="18"/>
          <w:szCs w:val="18"/>
          <w:rtl/>
        </w:rPr>
        <w:t xml:space="preserve">[הגה] </w:t>
      </w:r>
      <w:r w:rsidRPr="00EE12FF">
        <w:rPr>
          <w:rFonts w:asciiTheme="minorBidi" w:hAnsiTheme="minorBidi"/>
          <w:sz w:val="18"/>
          <w:szCs w:val="18"/>
          <w:rtl/>
        </w:rPr>
        <w:t>ויש מתירין בכל ענין</w:t>
      </w:r>
      <w:r w:rsidRPr="00EE12FF">
        <w:rPr>
          <w:rStyle w:val="a7"/>
          <w:rFonts w:asciiTheme="minorBidi" w:hAnsiTheme="minorBidi"/>
          <w:sz w:val="18"/>
          <w:szCs w:val="18"/>
          <w:rtl/>
        </w:rPr>
        <w:footnoteReference w:id="2764"/>
      </w:r>
      <w:r w:rsidRPr="00EE12FF">
        <w:rPr>
          <w:rFonts w:asciiTheme="minorBidi" w:hAnsiTheme="minorBidi"/>
          <w:sz w:val="18"/>
          <w:szCs w:val="18"/>
          <w:rtl/>
        </w:rPr>
        <w:t>, וכן נוהגין.</w:t>
      </w:r>
      <w:r w:rsidRPr="003024E5">
        <w:rPr>
          <w:rFonts w:asciiTheme="minorBidi" w:hAnsiTheme="minorBidi"/>
          <w:rtl/>
        </w:rPr>
        <w:t xml:space="preserve"> </w:t>
      </w:r>
    </w:p>
    <w:p w14:paraId="2D64FA3F" w14:textId="77777777" w:rsidR="002C39F4" w:rsidRPr="003024E5" w:rsidRDefault="002C39F4" w:rsidP="002C39F4">
      <w:pPr>
        <w:rPr>
          <w:rFonts w:asciiTheme="minorBidi" w:hAnsiTheme="minorBidi"/>
          <w:rtl/>
        </w:rPr>
      </w:pPr>
    </w:p>
    <w:p w14:paraId="15E1208D" w14:textId="77777777" w:rsidR="002C39F4" w:rsidRPr="001A01EE" w:rsidRDefault="002C39F4" w:rsidP="002C39F4">
      <w:pPr>
        <w:pStyle w:val="2"/>
        <w:rPr>
          <w:rFonts w:asciiTheme="minorBidi" w:hAnsiTheme="minorBidi"/>
          <w:rtl/>
        </w:rPr>
      </w:pPr>
      <w:r w:rsidRPr="003024E5">
        <w:rPr>
          <w:rFonts w:asciiTheme="minorBidi" w:hAnsiTheme="minorBidi"/>
          <w:rtl/>
        </w:rPr>
        <w:t>סעיף י</w:t>
      </w:r>
      <w:r>
        <w:rPr>
          <w:rFonts w:asciiTheme="minorBidi" w:hAnsiTheme="minorBidi" w:hint="cs"/>
          <w:rtl/>
        </w:rPr>
        <w:t>: הניח ישראל באופן שלא היה ראוי להתבשל ובא הגוי ועשה שיהיה ראוי להתבשל.</w:t>
      </w:r>
    </w:p>
    <w:p w14:paraId="78AA76A5" w14:textId="77777777" w:rsidR="002C39F4" w:rsidRPr="001A01EE" w:rsidRDefault="002C39F4" w:rsidP="002C39F4">
      <w:pPr>
        <w:rPr>
          <w:rFonts w:cs="Arial"/>
          <w:u w:val="single"/>
          <w:rtl/>
        </w:rPr>
      </w:pPr>
      <w:r w:rsidRPr="001A01EE">
        <w:rPr>
          <w:rFonts w:asciiTheme="minorBidi" w:hAnsiTheme="minorBidi" w:hint="cs"/>
          <w:u w:val="single"/>
          <w:rtl/>
        </w:rPr>
        <w:t>הניח ישראל באופן שלא היה ראוי להתבשל ובא הגוי ועשה שיהיה ראוי להתבשל</w:t>
      </w:r>
      <w:r w:rsidRPr="001A01EE">
        <w:rPr>
          <w:rFonts w:cs="Arial" w:hint="cs"/>
          <w:u w:val="single"/>
          <w:rtl/>
        </w:rPr>
        <w:t>:</w:t>
      </w:r>
    </w:p>
    <w:p w14:paraId="3E968556" w14:textId="77777777" w:rsidR="002C39F4" w:rsidRPr="001A01EE" w:rsidRDefault="002C39F4" w:rsidP="0032102C">
      <w:pPr>
        <w:pStyle w:val="a8"/>
        <w:numPr>
          <w:ilvl w:val="0"/>
          <w:numId w:val="284"/>
        </w:numPr>
        <w:rPr>
          <w:rFonts w:cs="Arial"/>
          <w:rtl/>
        </w:rPr>
      </w:pPr>
      <w:r w:rsidRPr="001A01EE">
        <w:rPr>
          <w:rFonts w:cs="Arial"/>
          <w:rtl/>
        </w:rPr>
        <w:t xml:space="preserve">רשב"א </w:t>
      </w:r>
      <w:r w:rsidRPr="001A01EE">
        <w:rPr>
          <w:rFonts w:cs="Arial"/>
          <w:sz w:val="16"/>
          <w:szCs w:val="16"/>
          <w:rtl/>
        </w:rPr>
        <w:t>(תוה"ק ב"ג ש"ז צג</w:t>
      </w:r>
      <w:r w:rsidRPr="001A01EE">
        <w:rPr>
          <w:rFonts w:cs="Arial" w:hint="cs"/>
          <w:sz w:val="16"/>
          <w:szCs w:val="16"/>
          <w:rtl/>
        </w:rPr>
        <w:t>.-צג:</w:t>
      </w:r>
      <w:r w:rsidRPr="001A01EE">
        <w:rPr>
          <w:rFonts w:cs="Arial"/>
          <w:sz w:val="16"/>
          <w:szCs w:val="16"/>
          <w:rtl/>
        </w:rPr>
        <w:t>)</w:t>
      </w:r>
      <w:r w:rsidRPr="001A01EE">
        <w:rPr>
          <w:rFonts w:cs="Arial" w:hint="cs"/>
          <w:rtl/>
        </w:rPr>
        <w:t xml:space="preserve"> וטור-</w:t>
      </w:r>
      <w:r w:rsidRPr="001A01EE">
        <w:rPr>
          <w:rFonts w:cs="Arial"/>
          <w:rtl/>
        </w:rPr>
        <w:t xml:space="preserve"> הניח הישראל על גבי גחלים עוממות שלא היה ראוי להתבשל עליהם ובא </w:t>
      </w:r>
      <w:r w:rsidRPr="001A01EE">
        <w:rPr>
          <w:rFonts w:cs="Arial" w:hint="cs"/>
          <w:rtl/>
        </w:rPr>
        <w:t xml:space="preserve">גוי </w:t>
      </w:r>
      <w:r w:rsidRPr="001A01EE">
        <w:rPr>
          <w:rFonts w:cs="Arial"/>
          <w:rtl/>
        </w:rPr>
        <w:t>והפך בו ונתבשל הרי זה אסור</w:t>
      </w:r>
      <w:r>
        <w:rPr>
          <w:rStyle w:val="a7"/>
          <w:rFonts w:cs="Arial"/>
          <w:rtl/>
        </w:rPr>
        <w:footnoteReference w:id="2765"/>
      </w:r>
      <w:r w:rsidRPr="001A01EE">
        <w:rPr>
          <w:rFonts w:cs="Arial" w:hint="cs"/>
          <w:sz w:val="16"/>
          <w:szCs w:val="16"/>
          <w:rtl/>
        </w:rPr>
        <w:t xml:space="preserve"> (ל' הטור בשם הרשב"א)</w:t>
      </w:r>
      <w:r w:rsidRPr="001A01EE">
        <w:rPr>
          <w:rFonts w:cs="Arial" w:hint="cs"/>
          <w:rtl/>
        </w:rPr>
        <w:t>.</w:t>
      </w:r>
      <w:r>
        <w:rPr>
          <w:rFonts w:cs="Arial" w:hint="cs"/>
          <w:rtl/>
        </w:rPr>
        <w:t xml:space="preserve"> </w:t>
      </w:r>
      <w:r w:rsidRPr="00AE63E2">
        <w:rPr>
          <w:rFonts w:cs="Arial" w:hint="cs"/>
          <w:color w:val="E36C0A" w:themeColor="accent6" w:themeShade="BF"/>
          <w:rtl/>
        </w:rPr>
        <w:t>(וכ"פ בשו"ע)</w:t>
      </w:r>
    </w:p>
    <w:p w14:paraId="2F861593"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5F6805E" w14:textId="77777777" w:rsidR="002C39F4" w:rsidRDefault="002C39F4" w:rsidP="002C39F4">
      <w:pPr>
        <w:rPr>
          <w:rFonts w:asciiTheme="minorBidi" w:hAnsiTheme="minorBidi"/>
          <w:rtl/>
        </w:rPr>
      </w:pPr>
      <w:r w:rsidRPr="003024E5">
        <w:rPr>
          <w:rFonts w:asciiTheme="minorBidi" w:hAnsiTheme="minorBidi"/>
          <w:rtl/>
        </w:rPr>
        <w:t xml:space="preserve">הניח ישראל על גבי גחלים עוממות שלא היה ראוי להתבשל עליהם כמאכל בן דרוסאי ובא </w:t>
      </w:r>
      <w:r>
        <w:rPr>
          <w:rFonts w:asciiTheme="minorBidi" w:hAnsiTheme="minorBidi"/>
          <w:rtl/>
        </w:rPr>
        <w:t>גוי</w:t>
      </w:r>
      <w:r w:rsidRPr="003024E5">
        <w:rPr>
          <w:rFonts w:asciiTheme="minorBidi" w:hAnsiTheme="minorBidi"/>
          <w:rtl/>
        </w:rPr>
        <w:t xml:space="preserve"> והפך בו ונתבשל אסור. </w:t>
      </w:r>
    </w:p>
    <w:p w14:paraId="1CA7796E" w14:textId="77777777" w:rsidR="002C39F4" w:rsidRPr="003024E5" w:rsidRDefault="002C39F4" w:rsidP="002C39F4">
      <w:pPr>
        <w:rPr>
          <w:rFonts w:asciiTheme="minorBidi" w:hAnsiTheme="minorBidi"/>
          <w:rtl/>
        </w:rPr>
      </w:pPr>
    </w:p>
    <w:p w14:paraId="5FEA3E49" w14:textId="77777777" w:rsidR="002C39F4" w:rsidRDefault="002C39F4" w:rsidP="002C39F4">
      <w:pPr>
        <w:pStyle w:val="2"/>
        <w:rPr>
          <w:rFonts w:asciiTheme="minorBidi" w:hAnsiTheme="minorBidi"/>
          <w:rtl/>
        </w:rPr>
      </w:pPr>
      <w:r w:rsidRPr="003024E5">
        <w:rPr>
          <w:rFonts w:asciiTheme="minorBidi" w:hAnsiTheme="minorBidi"/>
          <w:rtl/>
        </w:rPr>
        <w:t>סעיף יא</w:t>
      </w:r>
      <w:r>
        <w:rPr>
          <w:rFonts w:asciiTheme="minorBidi" w:hAnsiTheme="minorBidi" w:hint="cs"/>
          <w:rtl/>
        </w:rPr>
        <w:t>: הניח ישראל קדרה ע"ג האש והניח שם גוי לשומרה.</w:t>
      </w:r>
    </w:p>
    <w:p w14:paraId="386461BE" w14:textId="77777777" w:rsidR="002C39F4" w:rsidRPr="00256715" w:rsidRDefault="002C39F4" w:rsidP="002C39F4">
      <w:pPr>
        <w:rPr>
          <w:rFonts w:cs="Arial"/>
          <w:u w:val="single"/>
          <w:rtl/>
        </w:rPr>
      </w:pPr>
      <w:r w:rsidRPr="00256715">
        <w:rPr>
          <w:rFonts w:asciiTheme="minorBidi" w:hAnsiTheme="minorBidi" w:hint="cs"/>
          <w:u w:val="single"/>
          <w:rtl/>
        </w:rPr>
        <w:t>הניח ישראל קדרה ע"ג האש והניח שם גוי לשומרה</w:t>
      </w:r>
      <w:r w:rsidRPr="00256715">
        <w:rPr>
          <w:rFonts w:cs="Arial" w:hint="cs"/>
          <w:u w:val="single"/>
          <w:rtl/>
        </w:rPr>
        <w:t>:</w:t>
      </w:r>
    </w:p>
    <w:p w14:paraId="7E068D16" w14:textId="77777777" w:rsidR="002C39F4" w:rsidRPr="009C69D2" w:rsidRDefault="002C39F4" w:rsidP="0032102C">
      <w:pPr>
        <w:pStyle w:val="a8"/>
        <w:numPr>
          <w:ilvl w:val="0"/>
          <w:numId w:val="284"/>
        </w:numPr>
        <w:rPr>
          <w:rtl/>
        </w:rPr>
      </w:pPr>
      <w:r w:rsidRPr="00256715">
        <w:rPr>
          <w:rFonts w:cs="Arial" w:hint="cs"/>
          <w:rtl/>
        </w:rPr>
        <w:t xml:space="preserve">רשב"א </w:t>
      </w:r>
      <w:r w:rsidRPr="00256715">
        <w:rPr>
          <w:rFonts w:cs="Arial"/>
          <w:sz w:val="16"/>
          <w:szCs w:val="16"/>
          <w:rtl/>
        </w:rPr>
        <w:t>(תוה"א ב"ג ש"ז צה.)</w:t>
      </w:r>
      <w:r w:rsidRPr="00256715">
        <w:rPr>
          <w:rFonts w:cs="Arial" w:hint="cs"/>
          <w:rtl/>
        </w:rPr>
        <w:t xml:space="preserve"> וטור- </w:t>
      </w:r>
      <w:r w:rsidRPr="00256715">
        <w:rPr>
          <w:rFonts w:cs="Arial"/>
          <w:rtl/>
        </w:rPr>
        <w:t>הניח הישראל על גבי האש והניח ה</w:t>
      </w:r>
      <w:r w:rsidRPr="00256715">
        <w:rPr>
          <w:rFonts w:cs="Arial" w:hint="cs"/>
          <w:rtl/>
        </w:rPr>
        <w:t>גוי</w:t>
      </w:r>
      <w:r w:rsidRPr="00256715">
        <w:rPr>
          <w:rFonts w:cs="Arial"/>
          <w:rtl/>
        </w:rPr>
        <w:t xml:space="preserve"> לשומרו והפך בו ואין ידוע אם סלקו </w:t>
      </w:r>
      <w:r w:rsidRPr="00256715">
        <w:rPr>
          <w:rFonts w:cs="Arial" w:hint="cs"/>
          <w:rtl/>
        </w:rPr>
        <w:t>גוי</w:t>
      </w:r>
      <w:r w:rsidRPr="00256715">
        <w:rPr>
          <w:rFonts w:cs="Arial"/>
          <w:rtl/>
        </w:rPr>
        <w:t xml:space="preserve"> עד שלא הגיע למאכל בן דרוסאי אם לאו ה</w:t>
      </w:r>
      <w:r w:rsidRPr="00256715">
        <w:rPr>
          <w:rFonts w:cs="Arial" w:hint="cs"/>
          <w:rtl/>
        </w:rPr>
        <w:t xml:space="preserve">רי </w:t>
      </w:r>
      <w:r w:rsidRPr="00256715">
        <w:rPr>
          <w:rFonts w:cs="Arial"/>
          <w:rtl/>
        </w:rPr>
        <w:t>ז</w:t>
      </w:r>
      <w:r w:rsidRPr="00256715">
        <w:rPr>
          <w:rFonts w:cs="Arial" w:hint="cs"/>
          <w:rtl/>
        </w:rPr>
        <w:t>ה</w:t>
      </w:r>
      <w:r w:rsidRPr="00256715">
        <w:rPr>
          <w:rFonts w:cs="Arial"/>
          <w:rtl/>
        </w:rPr>
        <w:t xml:space="preserve"> מותר ואין חוששין שמא סלקו דספק דבריהם להקל</w:t>
      </w:r>
      <w:r>
        <w:rPr>
          <w:rStyle w:val="a7"/>
          <w:rFonts w:cs="Arial"/>
          <w:rtl/>
        </w:rPr>
        <w:footnoteReference w:id="2766"/>
      </w:r>
      <w:r w:rsidRPr="00256715">
        <w:rPr>
          <w:rFonts w:hint="cs"/>
          <w:sz w:val="16"/>
          <w:szCs w:val="16"/>
          <w:rtl/>
        </w:rPr>
        <w:t xml:space="preserve"> (ל' הטור)</w:t>
      </w:r>
      <w:r>
        <w:rPr>
          <w:rFonts w:hint="cs"/>
          <w:rtl/>
        </w:rPr>
        <w:t>.</w:t>
      </w:r>
    </w:p>
    <w:p w14:paraId="5C5F87B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7E75C83" w14:textId="77777777" w:rsidR="002C39F4" w:rsidRDefault="002C39F4" w:rsidP="002C39F4">
      <w:pPr>
        <w:rPr>
          <w:rFonts w:asciiTheme="minorBidi" w:hAnsiTheme="minorBidi"/>
          <w:rtl/>
        </w:rPr>
      </w:pPr>
      <w:r w:rsidRPr="003024E5">
        <w:rPr>
          <w:rFonts w:asciiTheme="minorBidi" w:hAnsiTheme="minorBidi"/>
          <w:rtl/>
        </w:rPr>
        <w:t xml:space="preserve">הניח ישראל על גבי האש והניח </w:t>
      </w:r>
      <w:r>
        <w:rPr>
          <w:rFonts w:asciiTheme="minorBidi" w:hAnsiTheme="minorBidi"/>
          <w:rtl/>
        </w:rPr>
        <w:t>גוי</w:t>
      </w:r>
      <w:r w:rsidRPr="003024E5">
        <w:rPr>
          <w:rFonts w:asciiTheme="minorBidi" w:hAnsiTheme="minorBidi"/>
          <w:rtl/>
        </w:rPr>
        <w:t xml:space="preserve"> לשמרו והפך בו ואין ידוע אם סלקו ה</w:t>
      </w:r>
      <w:r>
        <w:rPr>
          <w:rFonts w:asciiTheme="minorBidi" w:hAnsiTheme="minorBidi"/>
          <w:rtl/>
        </w:rPr>
        <w:t>גוי</w:t>
      </w:r>
      <w:r w:rsidRPr="003024E5">
        <w:rPr>
          <w:rFonts w:asciiTheme="minorBidi" w:hAnsiTheme="minorBidi"/>
          <w:rtl/>
        </w:rPr>
        <w:t xml:space="preserve"> עד שלא הגיע למאכל בן דרוסאי מותר</w:t>
      </w:r>
      <w:r>
        <w:rPr>
          <w:rStyle w:val="a7"/>
          <w:rFonts w:asciiTheme="minorBidi" w:hAnsiTheme="minorBidi"/>
          <w:rtl/>
        </w:rPr>
        <w:footnoteReference w:id="2767"/>
      </w:r>
      <w:r w:rsidRPr="003024E5">
        <w:rPr>
          <w:rFonts w:asciiTheme="minorBidi" w:hAnsiTheme="minorBidi"/>
          <w:rtl/>
        </w:rPr>
        <w:t xml:space="preserve">. </w:t>
      </w:r>
      <w:r w:rsidRPr="00256715">
        <w:rPr>
          <w:rFonts w:asciiTheme="minorBidi" w:hAnsiTheme="minorBidi" w:hint="cs"/>
          <w:sz w:val="18"/>
          <w:szCs w:val="18"/>
          <w:rtl/>
        </w:rPr>
        <w:t xml:space="preserve">[הגה] </w:t>
      </w:r>
      <w:r w:rsidRPr="00256715">
        <w:rPr>
          <w:rFonts w:asciiTheme="minorBidi" w:hAnsiTheme="minorBidi"/>
          <w:sz w:val="18"/>
          <w:szCs w:val="18"/>
          <w:rtl/>
        </w:rPr>
        <w:t>דספק דבריהם להקל</w:t>
      </w:r>
      <w:r w:rsidRPr="00256715">
        <w:rPr>
          <w:rFonts w:asciiTheme="minorBidi" w:hAnsiTheme="minorBidi" w:hint="cs"/>
          <w:sz w:val="18"/>
          <w:szCs w:val="18"/>
          <w:rtl/>
        </w:rPr>
        <w:t xml:space="preserve"> (</w:t>
      </w:r>
      <w:r w:rsidRPr="00256715">
        <w:rPr>
          <w:rFonts w:asciiTheme="minorBidi" w:hAnsiTheme="minorBidi"/>
          <w:sz w:val="18"/>
          <w:szCs w:val="18"/>
          <w:rtl/>
        </w:rPr>
        <w:t>טור).</w:t>
      </w:r>
      <w:r w:rsidRPr="00256715">
        <w:rPr>
          <w:rFonts w:asciiTheme="minorBidi" w:hAnsiTheme="minorBidi"/>
          <w:sz w:val="14"/>
          <w:szCs w:val="14"/>
          <w:rtl/>
        </w:rPr>
        <w:t xml:space="preserve"> </w:t>
      </w:r>
      <w:r w:rsidRPr="00256715">
        <w:rPr>
          <w:rFonts w:asciiTheme="minorBidi" w:hAnsiTheme="minorBidi"/>
          <w:sz w:val="18"/>
          <w:szCs w:val="18"/>
          <w:rtl/>
        </w:rPr>
        <w:t>וכן כל ספק בישולי גוים וכיוצא בו</w:t>
      </w:r>
      <w:r>
        <w:rPr>
          <w:rStyle w:val="a7"/>
          <w:rFonts w:asciiTheme="minorBidi" w:hAnsiTheme="minorBidi"/>
          <w:sz w:val="18"/>
          <w:szCs w:val="18"/>
          <w:rtl/>
        </w:rPr>
        <w:footnoteReference w:id="2768"/>
      </w:r>
      <w:r w:rsidRPr="00256715">
        <w:rPr>
          <w:rFonts w:asciiTheme="minorBidi" w:hAnsiTheme="minorBidi"/>
          <w:sz w:val="18"/>
          <w:szCs w:val="18"/>
          <w:rtl/>
        </w:rPr>
        <w:t xml:space="preserve"> מותר</w:t>
      </w:r>
      <w:r w:rsidRPr="00256715">
        <w:rPr>
          <w:rFonts w:asciiTheme="minorBidi" w:hAnsiTheme="minorBidi" w:hint="cs"/>
          <w:sz w:val="18"/>
          <w:szCs w:val="18"/>
          <w:rtl/>
        </w:rPr>
        <w:t xml:space="preserve"> (ד"ע)</w:t>
      </w:r>
      <w:r w:rsidRPr="00256715">
        <w:rPr>
          <w:rFonts w:asciiTheme="minorBidi" w:hAnsiTheme="minorBidi"/>
          <w:sz w:val="18"/>
          <w:szCs w:val="18"/>
          <w:rtl/>
        </w:rPr>
        <w:t>.</w:t>
      </w:r>
      <w:r w:rsidRPr="003024E5">
        <w:rPr>
          <w:rFonts w:asciiTheme="minorBidi" w:hAnsiTheme="minorBidi"/>
          <w:rtl/>
        </w:rPr>
        <w:t xml:space="preserve"> </w:t>
      </w:r>
    </w:p>
    <w:p w14:paraId="61D4FB48" w14:textId="77777777" w:rsidR="002C39F4" w:rsidRPr="003024E5" w:rsidRDefault="002C39F4" w:rsidP="002C39F4">
      <w:pPr>
        <w:rPr>
          <w:rFonts w:asciiTheme="minorBidi" w:hAnsiTheme="minorBidi"/>
          <w:rtl/>
        </w:rPr>
      </w:pPr>
    </w:p>
    <w:p w14:paraId="42B8F65D" w14:textId="77777777" w:rsidR="002C39F4" w:rsidRDefault="002C39F4" w:rsidP="002C39F4">
      <w:pPr>
        <w:pStyle w:val="2"/>
        <w:rPr>
          <w:rFonts w:asciiTheme="minorBidi" w:hAnsiTheme="minorBidi"/>
          <w:rtl/>
        </w:rPr>
      </w:pPr>
      <w:r w:rsidRPr="003024E5">
        <w:rPr>
          <w:rFonts w:asciiTheme="minorBidi" w:hAnsiTheme="minorBidi"/>
          <w:rtl/>
        </w:rPr>
        <w:t>סעיף יב</w:t>
      </w:r>
      <w:r>
        <w:rPr>
          <w:rFonts w:asciiTheme="minorBidi" w:hAnsiTheme="minorBidi" w:hint="cs"/>
          <w:rtl/>
        </w:rPr>
        <w:t xml:space="preserve">: דג מליח </w:t>
      </w:r>
    </w:p>
    <w:p w14:paraId="4CD01544" w14:textId="77777777" w:rsidR="002C39F4" w:rsidRPr="00C74DE2" w:rsidRDefault="002C39F4" w:rsidP="002C39F4">
      <w:r>
        <w:rPr>
          <w:rFonts w:cs="Arial" w:hint="cs"/>
          <w:b/>
          <w:bCs/>
          <w:rtl/>
        </w:rPr>
        <w:t>עבודה זרה לח ע"ב:</w:t>
      </w:r>
      <w:r>
        <w:rPr>
          <w:rFonts w:hint="cs"/>
          <w:rtl/>
        </w:rPr>
        <w:t xml:space="preserve"> </w:t>
      </w:r>
      <w:r w:rsidRPr="00A003D0">
        <w:rPr>
          <w:rFonts w:cs="Arial"/>
          <w:rtl/>
        </w:rPr>
        <w:t xml:space="preserve">דג </w:t>
      </w:r>
      <w:r w:rsidRPr="00DA1A00">
        <w:rPr>
          <w:rFonts w:cs="Arial"/>
          <w:rtl/>
        </w:rPr>
        <w:t>מליח</w:t>
      </w:r>
      <w:r>
        <w:rPr>
          <w:rStyle w:val="a7"/>
          <w:rFonts w:cs="Arial"/>
          <w:rtl/>
        </w:rPr>
        <w:footnoteReference w:id="2769"/>
      </w:r>
      <w:r w:rsidRPr="00DA1A00">
        <w:rPr>
          <w:rFonts w:cs="Arial"/>
          <w:rtl/>
        </w:rPr>
        <w:t xml:space="preserve"> – חזקיה</w:t>
      </w:r>
      <w:r w:rsidRPr="00DA1A00">
        <w:rPr>
          <w:rFonts w:cs="Arial" w:hint="cs"/>
          <w:rtl/>
        </w:rPr>
        <w:t xml:space="preserve"> </w:t>
      </w:r>
      <w:r w:rsidRPr="00DA1A00">
        <w:rPr>
          <w:rFonts w:cs="Arial"/>
          <w:rtl/>
        </w:rPr>
        <w:t>שרי, ור' יוחנן</w:t>
      </w:r>
      <w:r w:rsidRPr="00DA1A00">
        <w:rPr>
          <w:rFonts w:cs="Arial" w:hint="cs"/>
          <w:rtl/>
        </w:rPr>
        <w:t xml:space="preserve"> </w:t>
      </w:r>
      <w:r w:rsidRPr="00DA1A00">
        <w:rPr>
          <w:rFonts w:cs="Arial"/>
          <w:rtl/>
        </w:rPr>
        <w:t>אסר.</w:t>
      </w:r>
      <w:r w:rsidRPr="00DA1A00">
        <w:rPr>
          <w:rtl/>
        </w:rPr>
        <w:t xml:space="preserve"> </w:t>
      </w:r>
      <w:r w:rsidRPr="00DA1A00">
        <w:rPr>
          <w:rFonts w:cs="Arial"/>
          <w:rtl/>
        </w:rPr>
        <w:t xml:space="preserve">ביצה צלויה - בר קפרא שרי, ור' יוחנן אסר. </w:t>
      </w:r>
      <w:r w:rsidRPr="00DA1A00">
        <w:rPr>
          <w:rFonts w:cs="Arial"/>
          <w:u w:val="single"/>
          <w:rtl/>
        </w:rPr>
        <w:t>כי אתא רב</w:t>
      </w:r>
      <w:r w:rsidRPr="00DA1A00">
        <w:rPr>
          <w:rFonts w:cs="Arial"/>
          <w:rtl/>
        </w:rPr>
        <w:t xml:space="preserve"> </w:t>
      </w:r>
      <w:r w:rsidRPr="00DA1A00">
        <w:rPr>
          <w:rFonts w:cs="Arial"/>
          <w:u w:val="single"/>
          <w:rtl/>
        </w:rPr>
        <w:t>דימי אמר</w:t>
      </w:r>
      <w:r w:rsidRPr="00DA1A00">
        <w:rPr>
          <w:rFonts w:cs="Arial"/>
          <w:rtl/>
        </w:rPr>
        <w:t>: אחד דג מליח ואחד ביצה צלויה - חזקיה ובר קפרא שרו, ורבי יוחנן אסר.</w:t>
      </w:r>
      <w:r w:rsidRPr="00C74DE2">
        <w:rPr>
          <w:rFonts w:cs="Arial"/>
          <w:rtl/>
        </w:rPr>
        <w:t xml:space="preserve"> </w:t>
      </w:r>
      <w:r w:rsidRPr="00C74DE2">
        <w:rPr>
          <w:rFonts w:cs="Arial" w:hint="cs"/>
          <w:rtl/>
        </w:rPr>
        <w:t xml:space="preserve"> </w:t>
      </w:r>
    </w:p>
    <w:p w14:paraId="65CCB67B" w14:textId="77777777" w:rsidR="002C39F4" w:rsidRPr="00C74DE2" w:rsidRDefault="002C39F4" w:rsidP="002C39F4">
      <w:pPr>
        <w:rPr>
          <w:rFonts w:cs="Arial"/>
          <w:u w:val="single"/>
        </w:rPr>
      </w:pPr>
      <w:r>
        <w:rPr>
          <w:rFonts w:cs="Arial" w:hint="cs"/>
          <w:u w:val="single"/>
          <w:rtl/>
        </w:rPr>
        <w:t>דג מליח שצלאו גוי:</w:t>
      </w:r>
    </w:p>
    <w:p w14:paraId="79817248" w14:textId="77777777" w:rsidR="002C39F4" w:rsidRPr="009761CD" w:rsidRDefault="002C39F4" w:rsidP="0032102C">
      <w:pPr>
        <w:pStyle w:val="a8"/>
        <w:numPr>
          <w:ilvl w:val="0"/>
          <w:numId w:val="284"/>
        </w:numPr>
      </w:pPr>
      <w:r>
        <w:rPr>
          <w:rFonts w:cs="Arial" w:hint="cs"/>
          <w:rtl/>
        </w:rPr>
        <w:t xml:space="preserve">ראב"ד </w:t>
      </w:r>
      <w:r w:rsidRPr="00C74DE2">
        <w:rPr>
          <w:rFonts w:asciiTheme="minorBidi" w:hAnsiTheme="minorBidi"/>
          <w:sz w:val="16"/>
          <w:szCs w:val="16"/>
          <w:rtl/>
        </w:rPr>
        <w:t xml:space="preserve">(לח: ד"ה דג מליח) </w:t>
      </w:r>
      <w:r>
        <w:rPr>
          <w:rFonts w:cs="Arial" w:hint="cs"/>
          <w:rtl/>
        </w:rPr>
        <w:t>ו</w:t>
      </w:r>
      <w:r w:rsidRPr="009761CD">
        <w:rPr>
          <w:rFonts w:cs="Arial" w:hint="cs"/>
          <w:rtl/>
        </w:rPr>
        <w:t xml:space="preserve">רמב"ן </w:t>
      </w:r>
      <w:r w:rsidRPr="009761CD">
        <w:rPr>
          <w:rFonts w:asciiTheme="minorBidi" w:hAnsiTheme="minorBidi"/>
          <w:sz w:val="16"/>
          <w:szCs w:val="16"/>
          <w:rtl/>
        </w:rPr>
        <w:t>(לח: ד"ה והא דפליגי</w:t>
      </w:r>
      <w:r w:rsidRPr="009761CD">
        <w:rPr>
          <w:rFonts w:asciiTheme="minorBidi" w:hAnsiTheme="minorBidi" w:hint="cs"/>
          <w:sz w:val="16"/>
          <w:szCs w:val="16"/>
          <w:rtl/>
        </w:rPr>
        <w:t>)</w:t>
      </w:r>
      <w:r w:rsidRPr="009761CD">
        <w:rPr>
          <w:rFonts w:cs="Arial" w:hint="cs"/>
          <w:rtl/>
        </w:rPr>
        <w:t>-</w:t>
      </w:r>
      <w:r w:rsidRPr="009761CD">
        <w:rPr>
          <w:rFonts w:cs="Arial"/>
          <w:rtl/>
        </w:rPr>
        <w:t xml:space="preserve"> </w:t>
      </w:r>
      <w:r w:rsidRPr="009761CD">
        <w:rPr>
          <w:rFonts w:cs="Arial" w:hint="cs"/>
          <w:rtl/>
        </w:rPr>
        <w:t>שרי,</w:t>
      </w:r>
      <w:r w:rsidRPr="009761CD">
        <w:rPr>
          <w:rFonts w:cs="Arial"/>
          <w:rtl/>
        </w:rPr>
        <w:t xml:space="preserve"> כחזקיה ובר קפרא</w:t>
      </w:r>
      <w:r>
        <w:rPr>
          <w:rStyle w:val="a7"/>
          <w:rFonts w:cs="Arial"/>
          <w:rtl/>
        </w:rPr>
        <w:footnoteReference w:id="2770"/>
      </w:r>
      <w:r w:rsidRPr="009761CD">
        <w:rPr>
          <w:rFonts w:cs="Arial" w:hint="cs"/>
          <w:rtl/>
        </w:rPr>
        <w:t>.</w:t>
      </w:r>
      <w:r w:rsidRPr="009761CD">
        <w:rPr>
          <w:rFonts w:cs="Arial"/>
          <w:rtl/>
        </w:rPr>
        <w:t xml:space="preserve"> </w:t>
      </w:r>
      <w:r w:rsidRPr="009761CD">
        <w:rPr>
          <w:rFonts w:cs="Arial" w:hint="cs"/>
          <w:color w:val="E36C0A" w:themeColor="accent6" w:themeShade="BF"/>
          <w:rtl/>
        </w:rPr>
        <w:t>(וכ"פ בשו"ע)</w:t>
      </w:r>
    </w:p>
    <w:p w14:paraId="760A400B" w14:textId="77777777" w:rsidR="002C39F4" w:rsidRDefault="002C39F4" w:rsidP="0032102C">
      <w:pPr>
        <w:pStyle w:val="a8"/>
        <w:numPr>
          <w:ilvl w:val="0"/>
          <w:numId w:val="284"/>
        </w:numPr>
        <w:rPr>
          <w:rFonts w:cs="Arial"/>
        </w:rPr>
      </w:pPr>
      <w:r w:rsidRPr="00C74DE2">
        <w:rPr>
          <w:rFonts w:cs="Arial"/>
          <w:rtl/>
        </w:rPr>
        <w:t xml:space="preserve">ה"ר יונה </w:t>
      </w:r>
      <w:r w:rsidRPr="00E73431">
        <w:rPr>
          <w:rFonts w:cs="Arial"/>
          <w:sz w:val="16"/>
          <w:szCs w:val="16"/>
          <w:rtl/>
        </w:rPr>
        <w:t>(לח: ד"ה דג מליח</w:t>
      </w:r>
      <w:r w:rsidRPr="00E73431">
        <w:rPr>
          <w:rFonts w:cs="Arial" w:hint="cs"/>
          <w:sz w:val="16"/>
          <w:szCs w:val="16"/>
          <w:rtl/>
        </w:rPr>
        <w:t>, כ"כ הרשב"א בשמו</w:t>
      </w:r>
      <w:r w:rsidRPr="00E73431">
        <w:rPr>
          <w:rFonts w:cs="Arial"/>
          <w:sz w:val="16"/>
          <w:szCs w:val="16"/>
          <w:rtl/>
        </w:rPr>
        <w:t>)</w:t>
      </w:r>
      <w:r>
        <w:rPr>
          <w:rFonts w:cs="Arial" w:hint="cs"/>
          <w:rtl/>
        </w:rPr>
        <w:t xml:space="preserve">- אסור, </w:t>
      </w:r>
      <w:r w:rsidRPr="00C74DE2">
        <w:rPr>
          <w:rFonts w:cs="Arial"/>
          <w:rtl/>
        </w:rPr>
        <w:t>כר' יוחנן</w:t>
      </w:r>
      <w:r>
        <w:rPr>
          <w:rStyle w:val="a7"/>
          <w:rFonts w:cs="Arial"/>
          <w:rtl/>
        </w:rPr>
        <w:footnoteReference w:id="2771"/>
      </w:r>
      <w:r w:rsidRPr="00C74DE2">
        <w:rPr>
          <w:rFonts w:cs="Arial"/>
          <w:rtl/>
        </w:rPr>
        <w:t xml:space="preserve">. </w:t>
      </w:r>
    </w:p>
    <w:p w14:paraId="0247EAFF" w14:textId="77777777" w:rsidR="002C39F4" w:rsidRPr="0070751C" w:rsidRDefault="002C39F4" w:rsidP="002C39F4">
      <w:pPr>
        <w:ind w:left="360"/>
        <w:rPr>
          <w:rFonts w:cs="Arial"/>
          <w:u w:val="dotted"/>
        </w:rPr>
      </w:pPr>
      <w:r w:rsidRPr="0070751C">
        <w:rPr>
          <w:rFonts w:cs="Arial" w:hint="cs"/>
          <w:u w:val="dotted"/>
          <w:rtl/>
        </w:rPr>
        <w:t xml:space="preserve">האם יש הבדל </w:t>
      </w:r>
      <w:r>
        <w:rPr>
          <w:rFonts w:cs="Arial" w:hint="cs"/>
          <w:u w:val="dotted"/>
          <w:rtl/>
        </w:rPr>
        <w:t xml:space="preserve">בזה </w:t>
      </w:r>
      <w:r w:rsidRPr="0070751C">
        <w:rPr>
          <w:rFonts w:cs="Arial" w:hint="cs"/>
          <w:u w:val="dotted"/>
          <w:rtl/>
        </w:rPr>
        <w:t xml:space="preserve">בין דגים </w:t>
      </w:r>
      <w:r w:rsidRPr="0070751C">
        <w:rPr>
          <w:rFonts w:cs="Arial" w:hint="cs"/>
          <w:b/>
          <w:bCs/>
          <w:u w:val="dotted"/>
          <w:rtl/>
        </w:rPr>
        <w:t>גדולים</w:t>
      </w:r>
      <w:r w:rsidRPr="0070751C">
        <w:rPr>
          <w:rFonts w:cs="Arial" w:hint="cs"/>
          <w:u w:val="dotted"/>
          <w:rtl/>
        </w:rPr>
        <w:t xml:space="preserve"> </w:t>
      </w:r>
      <w:r>
        <w:rPr>
          <w:rFonts w:cs="Arial" w:hint="cs"/>
          <w:u w:val="dotted"/>
          <w:rtl/>
        </w:rPr>
        <w:t>ל</w:t>
      </w:r>
      <w:r w:rsidRPr="0070751C">
        <w:rPr>
          <w:rFonts w:cs="Arial" w:hint="cs"/>
          <w:u w:val="dotted"/>
          <w:rtl/>
        </w:rPr>
        <w:t xml:space="preserve">דגים </w:t>
      </w:r>
      <w:r w:rsidRPr="0070751C">
        <w:rPr>
          <w:rFonts w:cs="Arial" w:hint="cs"/>
          <w:b/>
          <w:bCs/>
          <w:u w:val="dotted"/>
          <w:rtl/>
        </w:rPr>
        <w:t>קטנים</w:t>
      </w:r>
      <w:r w:rsidRPr="0070751C">
        <w:rPr>
          <w:rFonts w:cs="Arial" w:hint="cs"/>
          <w:u w:val="dotted"/>
          <w:rtl/>
        </w:rPr>
        <w:t>:</w:t>
      </w:r>
    </w:p>
    <w:p w14:paraId="1C0EFC00" w14:textId="77777777" w:rsidR="002C39F4" w:rsidRDefault="002C39F4" w:rsidP="0032102C">
      <w:pPr>
        <w:pStyle w:val="a8"/>
        <w:numPr>
          <w:ilvl w:val="0"/>
          <w:numId w:val="284"/>
        </w:numPr>
        <w:rPr>
          <w:rFonts w:cs="Arial"/>
        </w:rPr>
      </w:pPr>
      <w:r>
        <w:rPr>
          <w:rFonts w:cs="Arial" w:hint="cs"/>
          <w:rtl/>
        </w:rPr>
        <w:t xml:space="preserve">רמב"ן </w:t>
      </w:r>
      <w:r w:rsidRPr="00C74DE2">
        <w:rPr>
          <w:rFonts w:asciiTheme="minorBidi" w:hAnsiTheme="minorBidi"/>
          <w:sz w:val="16"/>
          <w:szCs w:val="16"/>
          <w:rtl/>
        </w:rPr>
        <w:t>(</w:t>
      </w:r>
      <w:r>
        <w:rPr>
          <w:rFonts w:asciiTheme="minorBidi" w:hAnsiTheme="minorBidi" w:hint="cs"/>
          <w:sz w:val="16"/>
          <w:szCs w:val="16"/>
          <w:rtl/>
        </w:rPr>
        <w:t>שם, כ"כ הרשב"א בשמו)</w:t>
      </w:r>
      <w:r>
        <w:rPr>
          <w:rFonts w:cs="Arial" w:hint="cs"/>
          <w:rtl/>
        </w:rPr>
        <w:t>-</w:t>
      </w:r>
      <w:r w:rsidRPr="00C74DE2">
        <w:rPr>
          <w:rFonts w:cs="Arial"/>
          <w:rtl/>
        </w:rPr>
        <w:t xml:space="preserve"> </w:t>
      </w:r>
      <w:r>
        <w:rPr>
          <w:rFonts w:cs="Arial" w:hint="cs"/>
          <w:rtl/>
        </w:rPr>
        <w:t>אף בדגים גדולים שרי,</w:t>
      </w:r>
      <w:r w:rsidRPr="0070751C">
        <w:rPr>
          <w:rFonts w:cs="Arial"/>
          <w:rtl/>
        </w:rPr>
        <w:t xml:space="preserve"> </w:t>
      </w:r>
      <w:r w:rsidRPr="00C74DE2">
        <w:rPr>
          <w:rFonts w:cs="Arial"/>
          <w:rtl/>
        </w:rPr>
        <w:t>מאחר שהיו נאכלין כמות שהן על ידי מלחן</w:t>
      </w:r>
      <w:r>
        <w:rPr>
          <w:rFonts w:cs="Arial" w:hint="cs"/>
          <w:rtl/>
        </w:rPr>
        <w:t>.</w:t>
      </w:r>
    </w:p>
    <w:p w14:paraId="05E64ACC" w14:textId="77777777" w:rsidR="002C39F4" w:rsidRDefault="002C39F4" w:rsidP="0032102C">
      <w:pPr>
        <w:pStyle w:val="a8"/>
        <w:numPr>
          <w:ilvl w:val="0"/>
          <w:numId w:val="284"/>
        </w:numPr>
        <w:rPr>
          <w:rFonts w:cs="Arial"/>
        </w:rPr>
      </w:pPr>
      <w:r>
        <w:rPr>
          <w:rFonts w:cs="Arial" w:hint="cs"/>
          <w:rtl/>
        </w:rPr>
        <w:t xml:space="preserve">רשב"א </w:t>
      </w:r>
      <w:r w:rsidRPr="00483D5C">
        <w:rPr>
          <w:rFonts w:cs="Arial"/>
          <w:sz w:val="16"/>
          <w:szCs w:val="16"/>
          <w:rtl/>
        </w:rPr>
        <w:t>(תוה"ק שם צד:)</w:t>
      </w:r>
      <w:r w:rsidRPr="00C74DE2">
        <w:rPr>
          <w:rFonts w:cs="Arial"/>
          <w:rtl/>
        </w:rPr>
        <w:t xml:space="preserve"> </w:t>
      </w:r>
      <w:r w:rsidRPr="00483D5C">
        <w:rPr>
          <w:rFonts w:cs="Arial" w:hint="cs"/>
          <w:rtl/>
        </w:rPr>
        <w:t>וטור</w:t>
      </w:r>
      <w:r>
        <w:rPr>
          <w:rFonts w:cs="Arial" w:hint="cs"/>
          <w:rtl/>
        </w:rPr>
        <w:t>-</w:t>
      </w:r>
      <w:r w:rsidRPr="00C74DE2">
        <w:rPr>
          <w:rFonts w:cs="Arial"/>
          <w:rtl/>
        </w:rPr>
        <w:t xml:space="preserve"> דגים גדולים מלוחים אע</w:t>
      </w:r>
      <w:r>
        <w:rPr>
          <w:rFonts w:cs="Arial" w:hint="cs"/>
          <w:rtl/>
        </w:rPr>
        <w:t>"</w:t>
      </w:r>
      <w:r w:rsidRPr="00C74DE2">
        <w:rPr>
          <w:rFonts w:cs="Arial"/>
          <w:rtl/>
        </w:rPr>
        <w:t>פ שיש מקצת אנשים אוכלים אותם חיים מחמת מלחן אכילה זו ע</w:t>
      </w:r>
      <w:r>
        <w:rPr>
          <w:rFonts w:cs="Arial" w:hint="cs"/>
          <w:rtl/>
        </w:rPr>
        <w:t>"</w:t>
      </w:r>
      <w:r w:rsidRPr="00C74DE2">
        <w:rPr>
          <w:rFonts w:cs="Arial"/>
          <w:rtl/>
        </w:rPr>
        <w:t>י הדחק היא הרבה ואינה אכילה</w:t>
      </w:r>
      <w:r>
        <w:rPr>
          <w:rFonts w:cs="Arial" w:hint="cs"/>
          <w:rtl/>
        </w:rPr>
        <w:t>,</w:t>
      </w:r>
      <w:r w:rsidRPr="00C74DE2">
        <w:rPr>
          <w:rFonts w:cs="Arial"/>
          <w:rtl/>
        </w:rPr>
        <w:t xml:space="preserve"> לפיכך אם בשלן גוי הרי אלו אסורים</w:t>
      </w:r>
      <w:r>
        <w:rPr>
          <w:rFonts w:cs="Arial" w:hint="cs"/>
          <w:rtl/>
        </w:rPr>
        <w:t>,</w:t>
      </w:r>
      <w:r w:rsidRPr="00C74DE2">
        <w:rPr>
          <w:rFonts w:cs="Arial"/>
          <w:rtl/>
        </w:rPr>
        <w:t xml:space="preserve"> ויש מן החכמים שהתירום</w:t>
      </w:r>
      <w:r>
        <w:rPr>
          <w:rFonts w:cs="Arial" w:hint="cs"/>
          <w:rtl/>
        </w:rPr>
        <w:t>,</w:t>
      </w:r>
      <w:r w:rsidRPr="00C74DE2">
        <w:rPr>
          <w:rFonts w:cs="Arial"/>
          <w:rtl/>
        </w:rPr>
        <w:t xml:space="preserve"> והראשון נ"ל עיקר</w:t>
      </w:r>
      <w:r>
        <w:rPr>
          <w:rFonts w:cs="Arial" w:hint="cs"/>
          <w:sz w:val="16"/>
          <w:szCs w:val="16"/>
          <w:rtl/>
        </w:rPr>
        <w:t xml:space="preserve"> (ל' הרשב"א)</w:t>
      </w:r>
      <w:r>
        <w:rPr>
          <w:rStyle w:val="a7"/>
          <w:rFonts w:cs="Arial"/>
          <w:rtl/>
        </w:rPr>
        <w:footnoteReference w:id="2772"/>
      </w:r>
      <w:r>
        <w:rPr>
          <w:rFonts w:cs="Arial" w:hint="cs"/>
          <w:rtl/>
        </w:rPr>
        <w:t>, אבל דגים קטנים שרי</w:t>
      </w:r>
      <w:r w:rsidRPr="00C74DE2">
        <w:rPr>
          <w:rFonts w:cs="Arial"/>
          <w:rtl/>
        </w:rPr>
        <w:t>.</w:t>
      </w:r>
      <w:r w:rsidRPr="00D10693">
        <w:rPr>
          <w:rFonts w:cs="Arial" w:hint="cs"/>
          <w:color w:val="E36C0A" w:themeColor="accent6" w:themeShade="BF"/>
          <w:rtl/>
        </w:rPr>
        <w:t xml:space="preserve"> </w:t>
      </w:r>
      <w:r w:rsidRPr="009761CD">
        <w:rPr>
          <w:rFonts w:cs="Arial" w:hint="cs"/>
          <w:color w:val="E36C0A" w:themeColor="accent6" w:themeShade="BF"/>
          <w:rtl/>
        </w:rPr>
        <w:t>(וכ"</w:t>
      </w:r>
      <w:r>
        <w:rPr>
          <w:rFonts w:cs="Arial" w:hint="cs"/>
          <w:color w:val="E36C0A" w:themeColor="accent6" w:themeShade="BF"/>
          <w:rtl/>
        </w:rPr>
        <w:t>ס</w:t>
      </w:r>
      <w:r w:rsidRPr="009761CD">
        <w:rPr>
          <w:rFonts w:cs="Arial" w:hint="cs"/>
          <w:color w:val="E36C0A" w:themeColor="accent6" w:themeShade="BF"/>
          <w:rtl/>
        </w:rPr>
        <w:t xml:space="preserve"> בשו"ע)</w:t>
      </w:r>
    </w:p>
    <w:p w14:paraId="6ED02077" w14:textId="77777777" w:rsidR="002C39F4" w:rsidRDefault="002C39F4" w:rsidP="002C39F4">
      <w:pPr>
        <w:rPr>
          <w:rFonts w:cs="Arial"/>
          <w:rtl/>
        </w:rPr>
      </w:pPr>
      <w:r w:rsidRPr="009761CD">
        <w:rPr>
          <w:rFonts w:cs="Arial" w:hint="cs"/>
          <w:u w:val="single"/>
          <w:rtl/>
        </w:rPr>
        <w:t>בשר מליח שצלאו גוי:</w:t>
      </w:r>
      <w:r>
        <w:rPr>
          <w:rFonts w:cs="Arial" w:hint="cs"/>
          <w:rtl/>
        </w:rPr>
        <w:t xml:space="preserve">   </w:t>
      </w:r>
      <w:r w:rsidRPr="009761CD">
        <w:rPr>
          <w:rFonts w:cs="Arial" w:hint="cs"/>
          <w:sz w:val="16"/>
          <w:szCs w:val="16"/>
          <w:rtl/>
        </w:rPr>
        <w:t xml:space="preserve">(ב"י </w:t>
      </w:r>
      <w:r w:rsidRPr="009761CD">
        <w:rPr>
          <w:rFonts w:cs="Arial" w:hint="cs"/>
          <w:sz w:val="14"/>
          <w:szCs w:val="14"/>
          <w:rtl/>
        </w:rPr>
        <w:t>[</w:t>
      </w:r>
      <w:r w:rsidRPr="009761CD">
        <w:rPr>
          <w:rFonts w:cs="Arial"/>
          <w:sz w:val="14"/>
          <w:szCs w:val="14"/>
          <w:rtl/>
        </w:rPr>
        <w:t xml:space="preserve">יב </w:t>
      </w:r>
      <w:r w:rsidRPr="009761CD">
        <w:rPr>
          <w:rFonts w:cs="Arial"/>
          <w:sz w:val="12"/>
          <w:szCs w:val="12"/>
          <w:rtl/>
        </w:rPr>
        <w:t>(ב)</w:t>
      </w:r>
      <w:r w:rsidRPr="009761CD">
        <w:rPr>
          <w:rFonts w:cs="Arial" w:hint="cs"/>
          <w:sz w:val="14"/>
          <w:szCs w:val="14"/>
          <w:rtl/>
        </w:rPr>
        <w:t>]</w:t>
      </w:r>
      <w:r w:rsidRPr="009761CD">
        <w:rPr>
          <w:rFonts w:cs="Arial" w:hint="cs"/>
          <w:sz w:val="16"/>
          <w:szCs w:val="16"/>
          <w:rtl/>
        </w:rPr>
        <w:t>)</w:t>
      </w:r>
      <w:r w:rsidRPr="00EF088B">
        <w:rPr>
          <w:rFonts w:cs="Arial"/>
          <w:rtl/>
        </w:rPr>
        <w:t xml:space="preserve"> </w:t>
      </w:r>
    </w:p>
    <w:p w14:paraId="417A6373" w14:textId="77777777" w:rsidR="002C39F4" w:rsidRPr="009761CD" w:rsidRDefault="002C39F4" w:rsidP="0032102C">
      <w:pPr>
        <w:pStyle w:val="a8"/>
        <w:numPr>
          <w:ilvl w:val="0"/>
          <w:numId w:val="286"/>
        </w:numPr>
      </w:pPr>
      <w:r>
        <w:rPr>
          <w:rFonts w:cs="Arial" w:hint="cs"/>
          <w:rtl/>
        </w:rPr>
        <w:t xml:space="preserve">טור </w:t>
      </w:r>
      <w:r>
        <w:rPr>
          <w:rFonts w:cs="Arial" w:hint="cs"/>
          <w:sz w:val="16"/>
          <w:szCs w:val="16"/>
          <w:rtl/>
        </w:rPr>
        <w:t>(להב' הב"י</w:t>
      </w:r>
      <w:r w:rsidRPr="003A3FA3">
        <w:rPr>
          <w:rStyle w:val="a7"/>
          <w:rFonts w:cs="Arial"/>
          <w:rtl/>
        </w:rPr>
        <w:footnoteReference w:id="2773"/>
      </w:r>
      <w:r>
        <w:rPr>
          <w:rFonts w:cs="Arial" w:hint="cs"/>
          <w:sz w:val="16"/>
          <w:szCs w:val="16"/>
          <w:rtl/>
        </w:rPr>
        <w:t>)</w:t>
      </w:r>
      <w:r>
        <w:rPr>
          <w:rFonts w:cs="Arial" w:hint="cs"/>
          <w:rtl/>
        </w:rPr>
        <w:t>-</w:t>
      </w:r>
      <w:r w:rsidRPr="009761CD">
        <w:rPr>
          <w:rFonts w:cs="Arial" w:hint="cs"/>
          <w:rtl/>
        </w:rPr>
        <w:t xml:space="preserve"> </w:t>
      </w:r>
      <w:r>
        <w:rPr>
          <w:rFonts w:cs="Arial" w:hint="cs"/>
          <w:rtl/>
        </w:rPr>
        <w:t xml:space="preserve">בין </w:t>
      </w:r>
      <w:r w:rsidRPr="009761CD">
        <w:rPr>
          <w:rFonts w:cs="Arial"/>
          <w:rtl/>
        </w:rPr>
        <w:t>אם מלח</w:t>
      </w:r>
      <w:r>
        <w:rPr>
          <w:rFonts w:cs="Arial" w:hint="cs"/>
          <w:rtl/>
        </w:rPr>
        <w:t>ו</w:t>
      </w:r>
      <w:r w:rsidRPr="009761CD">
        <w:rPr>
          <w:rFonts w:cs="Arial"/>
          <w:rtl/>
        </w:rPr>
        <w:t xml:space="preserve"> גוי </w:t>
      </w:r>
      <w:r>
        <w:rPr>
          <w:rFonts w:cs="Arial" w:hint="cs"/>
          <w:rtl/>
        </w:rPr>
        <w:t>ובין</w:t>
      </w:r>
      <w:r w:rsidRPr="009761CD">
        <w:rPr>
          <w:rFonts w:cs="Arial"/>
          <w:rtl/>
        </w:rPr>
        <w:t xml:space="preserve"> אם בשל</w:t>
      </w:r>
      <w:r>
        <w:rPr>
          <w:rFonts w:cs="Arial" w:hint="cs"/>
          <w:rtl/>
        </w:rPr>
        <w:t>ו</w:t>
      </w:r>
      <w:r w:rsidRPr="009761CD">
        <w:rPr>
          <w:rFonts w:cs="Arial"/>
          <w:rtl/>
        </w:rPr>
        <w:t xml:space="preserve"> גוי אחר מליחת</w:t>
      </w:r>
      <w:r>
        <w:rPr>
          <w:rFonts w:cs="Arial" w:hint="cs"/>
          <w:rtl/>
        </w:rPr>
        <w:t>ו</w:t>
      </w:r>
      <w:r w:rsidRPr="009761CD">
        <w:rPr>
          <w:rFonts w:cs="Arial"/>
          <w:rtl/>
        </w:rPr>
        <w:t xml:space="preserve"> שרי</w:t>
      </w:r>
      <w:r>
        <w:rPr>
          <w:rFonts w:cs="Arial" w:hint="cs"/>
          <w:rtl/>
        </w:rPr>
        <w:t>,</w:t>
      </w:r>
      <w:r w:rsidRPr="009761CD">
        <w:rPr>
          <w:rFonts w:cs="Arial"/>
          <w:rtl/>
        </w:rPr>
        <w:t xml:space="preserve"> שע"י מליחת</w:t>
      </w:r>
      <w:r>
        <w:rPr>
          <w:rFonts w:cs="Arial" w:hint="cs"/>
          <w:rtl/>
        </w:rPr>
        <w:t>ו</w:t>
      </w:r>
      <w:r w:rsidRPr="009761CD">
        <w:rPr>
          <w:rFonts w:cs="Arial"/>
          <w:rtl/>
        </w:rPr>
        <w:t xml:space="preserve"> ה</w:t>
      </w:r>
      <w:r>
        <w:rPr>
          <w:rFonts w:cs="Arial" w:hint="cs"/>
          <w:rtl/>
        </w:rPr>
        <w:t>ו</w:t>
      </w:r>
      <w:r w:rsidRPr="009761CD">
        <w:rPr>
          <w:rFonts w:cs="Arial"/>
          <w:rtl/>
        </w:rPr>
        <w:t>א נאכ</w:t>
      </w:r>
      <w:r>
        <w:rPr>
          <w:rFonts w:cs="Arial" w:hint="cs"/>
          <w:rtl/>
        </w:rPr>
        <w:t>ל</w:t>
      </w:r>
      <w:r w:rsidRPr="009761CD">
        <w:rPr>
          <w:rFonts w:cs="Arial"/>
          <w:rtl/>
        </w:rPr>
        <w:t xml:space="preserve"> יפה כמות שה</w:t>
      </w:r>
      <w:r>
        <w:rPr>
          <w:rFonts w:cs="Arial" w:hint="cs"/>
          <w:rtl/>
        </w:rPr>
        <w:t>ו</w:t>
      </w:r>
      <w:r w:rsidRPr="009761CD">
        <w:rPr>
          <w:rFonts w:cs="Arial"/>
          <w:rtl/>
        </w:rPr>
        <w:t>א אף שלא ע"י הדחה דומיא דדגים קטנים</w:t>
      </w:r>
      <w:r>
        <w:rPr>
          <w:rFonts w:cs="Arial" w:hint="cs"/>
          <w:rtl/>
        </w:rPr>
        <w:t>.</w:t>
      </w:r>
    </w:p>
    <w:p w14:paraId="0F46141D" w14:textId="77777777" w:rsidR="002C39F4" w:rsidRDefault="002C39F4" w:rsidP="0032102C">
      <w:pPr>
        <w:pStyle w:val="a8"/>
        <w:numPr>
          <w:ilvl w:val="0"/>
          <w:numId w:val="286"/>
        </w:numPr>
        <w:rPr>
          <w:rtl/>
        </w:rPr>
      </w:pPr>
      <w:r w:rsidRPr="009761CD">
        <w:rPr>
          <w:rFonts w:cs="Arial"/>
          <w:rtl/>
        </w:rPr>
        <w:t>תו</w:t>
      </w:r>
      <w:r>
        <w:rPr>
          <w:rFonts w:cs="Arial" w:hint="cs"/>
          <w:rtl/>
        </w:rPr>
        <w:t xml:space="preserve">ס' </w:t>
      </w:r>
      <w:r w:rsidRPr="00D10693">
        <w:rPr>
          <w:rFonts w:cs="Arial"/>
          <w:sz w:val="16"/>
          <w:szCs w:val="16"/>
          <w:rtl/>
        </w:rPr>
        <w:t>(יבמות מו. ד"ה רבי יוחנן)</w:t>
      </w:r>
      <w:r>
        <w:rPr>
          <w:rFonts w:cs="Arial" w:hint="cs"/>
          <w:rtl/>
        </w:rPr>
        <w:t xml:space="preserve">- </w:t>
      </w:r>
      <w:r w:rsidRPr="009761CD">
        <w:rPr>
          <w:rFonts w:cs="Arial"/>
          <w:rtl/>
        </w:rPr>
        <w:t>בשר מליח יש בו משום בישולי גוים</w:t>
      </w:r>
      <w:r>
        <w:rPr>
          <w:rFonts w:cs="Arial" w:hint="cs"/>
          <w:rtl/>
        </w:rPr>
        <w:t>.</w:t>
      </w:r>
      <w:r>
        <w:rPr>
          <w:rFonts w:hint="cs"/>
          <w:rtl/>
        </w:rPr>
        <w:t xml:space="preserve"> </w:t>
      </w:r>
      <w:r w:rsidRPr="00D10693">
        <w:rPr>
          <w:rFonts w:hint="cs"/>
          <w:color w:val="00B0F0"/>
          <w:rtl/>
        </w:rPr>
        <w:t>(וכ"פ הרמ"א)</w:t>
      </w:r>
    </w:p>
    <w:p w14:paraId="0E7E4E2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E8877FF" w14:textId="77777777" w:rsidR="002C39F4" w:rsidRDefault="002C39F4" w:rsidP="002C39F4">
      <w:pPr>
        <w:rPr>
          <w:rFonts w:asciiTheme="minorBidi" w:hAnsiTheme="minorBidi"/>
          <w:rtl/>
        </w:rPr>
      </w:pPr>
      <w:r w:rsidRPr="003024E5">
        <w:rPr>
          <w:rFonts w:asciiTheme="minorBidi" w:hAnsiTheme="minorBidi"/>
          <w:rtl/>
        </w:rPr>
        <w:t>דגים קטנים</w:t>
      </w:r>
      <w:r>
        <w:rPr>
          <w:rStyle w:val="a7"/>
          <w:rFonts w:asciiTheme="minorBidi" w:hAnsiTheme="minorBidi"/>
          <w:rtl/>
        </w:rPr>
        <w:footnoteReference w:id="2774"/>
      </w:r>
      <w:r w:rsidRPr="003024E5">
        <w:rPr>
          <w:rFonts w:asciiTheme="minorBidi" w:hAnsiTheme="minorBidi"/>
          <w:rtl/>
        </w:rPr>
        <w:t xml:space="preserve"> שמלחן ישראל או </w:t>
      </w:r>
      <w:r>
        <w:rPr>
          <w:rFonts w:asciiTheme="minorBidi" w:hAnsiTheme="minorBidi"/>
          <w:rtl/>
        </w:rPr>
        <w:t>גוי</w:t>
      </w:r>
      <w:r w:rsidRPr="003024E5">
        <w:rPr>
          <w:rFonts w:asciiTheme="minorBidi" w:hAnsiTheme="minorBidi"/>
          <w:rtl/>
        </w:rPr>
        <w:t xml:space="preserve"> הרי הן כמו שנתבשלו מקצת בישול ואם צלאן </w:t>
      </w:r>
      <w:r>
        <w:rPr>
          <w:rFonts w:asciiTheme="minorBidi" w:hAnsiTheme="minorBidi"/>
          <w:rtl/>
        </w:rPr>
        <w:t>גוי</w:t>
      </w:r>
      <w:r w:rsidRPr="003024E5">
        <w:rPr>
          <w:rFonts w:asciiTheme="minorBidi" w:hAnsiTheme="minorBidi"/>
          <w:rtl/>
        </w:rPr>
        <w:t xml:space="preserve"> אחר כן מותרים. אבל דגים מלוחים גדולים אינם נאכלים אלא ע</w:t>
      </w:r>
      <w:r>
        <w:rPr>
          <w:rFonts w:asciiTheme="minorBidi" w:hAnsiTheme="minorBidi" w:hint="cs"/>
          <w:rtl/>
        </w:rPr>
        <w:t>ל יד</w:t>
      </w:r>
      <w:r w:rsidRPr="003024E5">
        <w:rPr>
          <w:rFonts w:asciiTheme="minorBidi" w:hAnsiTheme="minorBidi"/>
          <w:rtl/>
        </w:rPr>
        <w:t xml:space="preserve">י הדחק לפיכך אם צלאן </w:t>
      </w:r>
      <w:r>
        <w:rPr>
          <w:rFonts w:asciiTheme="minorBidi" w:hAnsiTheme="minorBidi"/>
          <w:rtl/>
        </w:rPr>
        <w:t>גוי</w:t>
      </w:r>
      <w:r w:rsidRPr="003024E5">
        <w:rPr>
          <w:rFonts w:asciiTheme="minorBidi" w:hAnsiTheme="minorBidi"/>
          <w:rtl/>
        </w:rPr>
        <w:t xml:space="preserve"> אסורים, ויש מתירין. </w:t>
      </w:r>
      <w:r w:rsidRPr="00E73431">
        <w:rPr>
          <w:rFonts w:asciiTheme="minorBidi" w:hAnsiTheme="minorBidi"/>
          <w:sz w:val="18"/>
          <w:szCs w:val="18"/>
          <w:rtl/>
        </w:rPr>
        <w:t>הגה: וכן כל דבר שנאכל חי ע</w:t>
      </w:r>
      <w:r>
        <w:rPr>
          <w:rFonts w:asciiTheme="minorBidi" w:hAnsiTheme="minorBidi" w:hint="cs"/>
          <w:sz w:val="18"/>
          <w:szCs w:val="18"/>
          <w:rtl/>
        </w:rPr>
        <w:t>"</w:t>
      </w:r>
      <w:r w:rsidRPr="00E73431">
        <w:rPr>
          <w:rFonts w:asciiTheme="minorBidi" w:hAnsiTheme="minorBidi"/>
          <w:sz w:val="18"/>
          <w:szCs w:val="18"/>
          <w:rtl/>
        </w:rPr>
        <w:t>י  הדחק, ובשלו גוי, דינו כדגים גדולים (</w:t>
      </w:r>
      <w:r>
        <w:rPr>
          <w:rFonts w:asciiTheme="minorBidi" w:hAnsiTheme="minorBidi" w:hint="cs"/>
          <w:sz w:val="18"/>
          <w:szCs w:val="18"/>
          <w:rtl/>
        </w:rPr>
        <w:t>או"ה כלל מג ד"ב</w:t>
      </w:r>
      <w:r w:rsidRPr="00E73431">
        <w:rPr>
          <w:rFonts w:asciiTheme="minorBidi" w:hAnsiTheme="minorBidi"/>
          <w:sz w:val="18"/>
          <w:szCs w:val="18"/>
          <w:rtl/>
        </w:rPr>
        <w:t>). ובשר מל</w:t>
      </w:r>
      <w:r>
        <w:rPr>
          <w:rFonts w:asciiTheme="minorBidi" w:hAnsiTheme="minorBidi" w:hint="cs"/>
          <w:sz w:val="18"/>
          <w:szCs w:val="18"/>
          <w:rtl/>
        </w:rPr>
        <w:t>י</w:t>
      </w:r>
      <w:r w:rsidRPr="00E73431">
        <w:rPr>
          <w:rFonts w:asciiTheme="minorBidi" w:hAnsiTheme="minorBidi"/>
          <w:sz w:val="18"/>
          <w:szCs w:val="18"/>
          <w:rtl/>
        </w:rPr>
        <w:t>ח אינו נאכל כלל כמו שהוא חי</w:t>
      </w:r>
      <w:r>
        <w:rPr>
          <w:rStyle w:val="a7"/>
          <w:rFonts w:asciiTheme="minorBidi" w:hAnsiTheme="minorBidi"/>
          <w:sz w:val="18"/>
          <w:szCs w:val="18"/>
          <w:rtl/>
        </w:rPr>
        <w:footnoteReference w:id="2775"/>
      </w:r>
      <w:r w:rsidRPr="00E73431">
        <w:rPr>
          <w:rFonts w:asciiTheme="minorBidi" w:hAnsiTheme="minorBidi"/>
          <w:sz w:val="18"/>
          <w:szCs w:val="18"/>
          <w:rtl/>
        </w:rPr>
        <w:t>, ואסור אם נתבשל ע</w:t>
      </w:r>
      <w:r>
        <w:rPr>
          <w:rFonts w:asciiTheme="minorBidi" w:hAnsiTheme="minorBidi" w:hint="cs"/>
          <w:sz w:val="18"/>
          <w:szCs w:val="18"/>
          <w:rtl/>
        </w:rPr>
        <w:t>"י</w:t>
      </w:r>
      <w:r w:rsidRPr="00E73431">
        <w:rPr>
          <w:rFonts w:asciiTheme="minorBidi" w:hAnsiTheme="minorBidi"/>
          <w:sz w:val="18"/>
          <w:szCs w:val="18"/>
          <w:rtl/>
        </w:rPr>
        <w:t xml:space="preserve"> גוי (תוס</w:t>
      </w:r>
      <w:r>
        <w:rPr>
          <w:rFonts w:asciiTheme="minorBidi" w:hAnsiTheme="minorBidi" w:hint="cs"/>
          <w:sz w:val="18"/>
          <w:szCs w:val="18"/>
          <w:rtl/>
        </w:rPr>
        <w:t>'</w:t>
      </w:r>
      <w:r w:rsidRPr="00E73431">
        <w:rPr>
          <w:rFonts w:asciiTheme="minorBidi" w:hAnsiTheme="minorBidi"/>
          <w:sz w:val="18"/>
          <w:szCs w:val="18"/>
          <w:rtl/>
        </w:rPr>
        <w:t>).</w:t>
      </w:r>
      <w:r w:rsidRPr="003024E5">
        <w:rPr>
          <w:rFonts w:asciiTheme="minorBidi" w:hAnsiTheme="minorBidi"/>
          <w:rtl/>
        </w:rPr>
        <w:t xml:space="preserve"> </w:t>
      </w:r>
    </w:p>
    <w:p w14:paraId="74703EF6" w14:textId="77777777" w:rsidR="002C39F4" w:rsidRPr="003024E5" w:rsidRDefault="002C39F4" w:rsidP="002C39F4">
      <w:pPr>
        <w:rPr>
          <w:rFonts w:asciiTheme="minorBidi" w:hAnsiTheme="minorBidi"/>
          <w:rtl/>
        </w:rPr>
      </w:pPr>
    </w:p>
    <w:p w14:paraId="112C4E98" w14:textId="77777777" w:rsidR="002C39F4" w:rsidRDefault="002C39F4" w:rsidP="002C39F4">
      <w:pPr>
        <w:pStyle w:val="2"/>
        <w:rPr>
          <w:rFonts w:asciiTheme="minorBidi" w:hAnsiTheme="minorBidi"/>
          <w:rtl/>
        </w:rPr>
      </w:pPr>
      <w:r w:rsidRPr="003024E5">
        <w:rPr>
          <w:rFonts w:asciiTheme="minorBidi" w:hAnsiTheme="minorBidi"/>
          <w:rtl/>
        </w:rPr>
        <w:t>סעיף יג</w:t>
      </w:r>
      <w:r>
        <w:rPr>
          <w:rFonts w:asciiTheme="minorBidi" w:hAnsiTheme="minorBidi" w:hint="cs"/>
          <w:rtl/>
        </w:rPr>
        <w:t>: מליחה/כבישה/עישון ע"י גוי.</w:t>
      </w:r>
    </w:p>
    <w:p w14:paraId="6BCFCDFF" w14:textId="77777777" w:rsidR="002C39F4" w:rsidRDefault="002C39F4" w:rsidP="002C39F4">
      <w:pPr>
        <w:rPr>
          <w:rFonts w:cs="Arial"/>
          <w:rtl/>
        </w:rPr>
      </w:pPr>
      <w:r>
        <w:rPr>
          <w:rFonts w:cs="Arial" w:hint="cs"/>
          <w:b/>
          <w:bCs/>
          <w:rtl/>
        </w:rPr>
        <w:t xml:space="preserve">עבודה זרה לה ע"ב: </w:t>
      </w:r>
      <w:r w:rsidRPr="007E37F8">
        <w:rPr>
          <w:rFonts w:cs="Arial"/>
          <w:u w:val="double"/>
          <w:rtl/>
        </w:rPr>
        <w:t>מתני'</w:t>
      </w:r>
      <w:r>
        <w:rPr>
          <w:rFonts w:cs="Arial" w:hint="cs"/>
          <w:rtl/>
        </w:rPr>
        <w:t>:</w:t>
      </w:r>
      <w:r w:rsidRPr="007E37F8">
        <w:rPr>
          <w:rFonts w:cs="Arial"/>
          <w:rtl/>
        </w:rPr>
        <w:t xml:space="preserve"> ואלו דברים של עובדי כוכבים אסורין ואין איסורן איסור הנאה: חלב שחלבו עובד כוכבים ואין ישראל רואהו</w:t>
      </w:r>
      <w:r>
        <w:rPr>
          <w:rFonts w:cs="Arial" w:hint="cs"/>
          <w:rtl/>
        </w:rPr>
        <w:t>...</w:t>
      </w:r>
      <w:r w:rsidRPr="007E37F8">
        <w:rPr>
          <w:rFonts w:cs="Arial"/>
          <w:rtl/>
        </w:rPr>
        <w:t xml:space="preserve"> והשלקות</w:t>
      </w:r>
      <w:r>
        <w:rPr>
          <w:rStyle w:val="a7"/>
          <w:rFonts w:cs="Arial"/>
          <w:rtl/>
        </w:rPr>
        <w:footnoteReference w:id="2776"/>
      </w:r>
      <w:r w:rsidRPr="007E37F8">
        <w:rPr>
          <w:rFonts w:cs="Arial"/>
          <w:rtl/>
        </w:rPr>
        <w:t>, וכבשין שדרכן לתת לתוכן יין וחומץ</w:t>
      </w:r>
      <w:r>
        <w:rPr>
          <w:rFonts w:cs="Arial" w:hint="cs"/>
          <w:rtl/>
        </w:rPr>
        <w:t xml:space="preserve">...    </w:t>
      </w:r>
      <w:r w:rsidRPr="007E37F8">
        <w:rPr>
          <w:rFonts w:cs="Arial"/>
          <w:rtl/>
        </w:rPr>
        <w:t xml:space="preserve"> </w:t>
      </w:r>
      <w:r w:rsidRPr="007E37F8">
        <w:rPr>
          <w:rFonts w:cs="Arial" w:hint="cs"/>
          <w:u w:val="double"/>
          <w:rtl/>
        </w:rPr>
        <w:t>גמ'</w:t>
      </w:r>
      <w:r w:rsidRPr="007E37F8">
        <w:rPr>
          <w:rFonts w:cs="Arial" w:hint="cs"/>
          <w:sz w:val="14"/>
          <w:szCs w:val="14"/>
          <w:u w:val="double"/>
          <w:rtl/>
        </w:rPr>
        <w:t>(לז:)</w:t>
      </w:r>
      <w:r>
        <w:rPr>
          <w:rFonts w:cs="Arial" w:hint="cs"/>
          <w:rtl/>
        </w:rPr>
        <w:t xml:space="preserve">: </w:t>
      </w:r>
      <w:r w:rsidRPr="007E37F8">
        <w:rPr>
          <w:rFonts w:cs="Arial"/>
          <w:rtl/>
        </w:rPr>
        <w:t>והשלקות. מנהני מילי?</w:t>
      </w:r>
      <w:r>
        <w:rPr>
          <w:rFonts w:cs="Arial" w:hint="cs"/>
          <w:rtl/>
        </w:rPr>
        <w:t xml:space="preserve">... </w:t>
      </w:r>
      <w:r w:rsidRPr="007E37F8">
        <w:rPr>
          <w:rFonts w:cs="Arial"/>
          <w:rtl/>
        </w:rPr>
        <w:t>כמים</w:t>
      </w:r>
      <w:r>
        <w:rPr>
          <w:rFonts w:cs="Arial" w:hint="cs"/>
          <w:rtl/>
        </w:rPr>
        <w:t>,</w:t>
      </w:r>
      <w:r w:rsidRPr="007E37F8">
        <w:rPr>
          <w:rFonts w:cs="Arial"/>
          <w:rtl/>
        </w:rPr>
        <w:t xml:space="preserve"> מה מים שלא נשתנו מברייתן ע"י האור, אף אוכל שלא נשתנה מברייתו ע"י האור</w:t>
      </w:r>
      <w:r>
        <w:rPr>
          <w:rStyle w:val="a7"/>
          <w:rFonts w:cs="Arial"/>
          <w:rtl/>
        </w:rPr>
        <w:footnoteReference w:id="2777"/>
      </w:r>
      <w:r w:rsidRPr="007E37F8">
        <w:rPr>
          <w:rFonts w:cs="Arial"/>
          <w:rtl/>
        </w:rPr>
        <w:t>.</w:t>
      </w:r>
    </w:p>
    <w:p w14:paraId="1E1E92FE" w14:textId="77777777" w:rsidR="002C39F4" w:rsidRPr="007E37F8" w:rsidRDefault="002C39F4" w:rsidP="002C39F4">
      <w:pPr>
        <w:rPr>
          <w:rFonts w:cs="Arial"/>
          <w:sz w:val="16"/>
          <w:szCs w:val="16"/>
          <w:rtl/>
        </w:rPr>
      </w:pPr>
      <w:r>
        <w:rPr>
          <w:rFonts w:cs="Arial" w:hint="cs"/>
          <w:b/>
          <w:bCs/>
          <w:rtl/>
        </w:rPr>
        <w:t xml:space="preserve">עבודה זרה לט ע"ב: </w:t>
      </w:r>
      <w:r w:rsidRPr="007E37F8">
        <w:rPr>
          <w:rFonts w:cs="Arial"/>
          <w:u w:val="double"/>
          <w:rtl/>
        </w:rPr>
        <w:t>מתני'</w:t>
      </w:r>
      <w:r>
        <w:rPr>
          <w:rFonts w:cs="Arial" w:hint="cs"/>
          <w:rtl/>
        </w:rPr>
        <w:t>:</w:t>
      </w:r>
      <w:r w:rsidRPr="007E37F8">
        <w:rPr>
          <w:rFonts w:cs="Arial"/>
          <w:rtl/>
        </w:rPr>
        <w:t xml:space="preserve"> ואלו מותרין באכילה: חלב שחלבו עובד כוכבים וישראל רואהו</w:t>
      </w:r>
      <w:r>
        <w:rPr>
          <w:rFonts w:cs="Arial" w:hint="cs"/>
          <w:rtl/>
        </w:rPr>
        <w:t xml:space="preserve">... </w:t>
      </w:r>
      <w:r w:rsidRPr="007E37F8">
        <w:rPr>
          <w:rFonts w:cs="Arial"/>
          <w:rtl/>
        </w:rPr>
        <w:t>וכבשין שאין דרכן לתת לתוכן יין וחומץ</w:t>
      </w:r>
      <w:r>
        <w:rPr>
          <w:rFonts w:cs="Arial" w:hint="cs"/>
          <w:rtl/>
        </w:rPr>
        <w:t>..</w:t>
      </w:r>
      <w:r w:rsidRPr="007E37F8">
        <w:rPr>
          <w:rFonts w:cs="Arial"/>
          <w:rtl/>
        </w:rPr>
        <w:t xml:space="preserve">. </w:t>
      </w:r>
      <w:r>
        <w:rPr>
          <w:rFonts w:cs="Arial" w:hint="cs"/>
          <w:sz w:val="16"/>
          <w:szCs w:val="16"/>
          <w:rtl/>
        </w:rPr>
        <w:t>(</w:t>
      </w:r>
      <w:r w:rsidRPr="007E37F8">
        <w:rPr>
          <w:rFonts w:cs="Arial"/>
          <w:sz w:val="16"/>
          <w:szCs w:val="16"/>
          <w:rtl/>
        </w:rPr>
        <w:t>וא</w:t>
      </w:r>
      <w:r w:rsidRPr="007E37F8">
        <w:rPr>
          <w:rFonts w:cs="Arial" w:hint="cs"/>
          <w:sz w:val="16"/>
          <w:szCs w:val="16"/>
          <w:rtl/>
        </w:rPr>
        <w:t>ע"פ</w:t>
      </w:r>
      <w:r w:rsidRPr="007E37F8">
        <w:rPr>
          <w:rFonts w:cs="Arial"/>
          <w:sz w:val="16"/>
          <w:szCs w:val="16"/>
          <w:rtl/>
        </w:rPr>
        <w:t xml:space="preserve"> שהכבוש הרי הוא כמבושל</w:t>
      </w:r>
      <w:r>
        <w:rPr>
          <w:rFonts w:cs="Arial" w:hint="cs"/>
          <w:sz w:val="16"/>
          <w:szCs w:val="16"/>
          <w:rtl/>
        </w:rPr>
        <w:t>,</w:t>
      </w:r>
      <w:r w:rsidRPr="007E37F8">
        <w:rPr>
          <w:rFonts w:cs="Arial"/>
          <w:sz w:val="16"/>
          <w:szCs w:val="16"/>
          <w:rtl/>
        </w:rPr>
        <w:t xml:space="preserve"> אלמא לא אסרו אלא תולדות האור לבד</w:t>
      </w:r>
      <w:r>
        <w:rPr>
          <w:rFonts w:cs="Arial" w:hint="cs"/>
          <w:sz w:val="16"/>
          <w:szCs w:val="16"/>
          <w:rtl/>
        </w:rPr>
        <w:t>, ב"י)</w:t>
      </w:r>
    </w:p>
    <w:p w14:paraId="15F9EEB8" w14:textId="77777777" w:rsidR="002C39F4" w:rsidRDefault="002C39F4" w:rsidP="002C39F4">
      <w:pPr>
        <w:rPr>
          <w:rFonts w:cs="Arial"/>
          <w:rtl/>
        </w:rPr>
      </w:pPr>
      <w:r>
        <w:rPr>
          <w:rFonts w:cs="Arial" w:hint="cs"/>
          <w:b/>
          <w:bCs/>
          <w:rtl/>
        </w:rPr>
        <w:t>עבודה זרה לח ע"א:</w:t>
      </w:r>
      <w:r>
        <w:rPr>
          <w:rFonts w:cs="Arial" w:hint="cs"/>
          <w:rtl/>
        </w:rPr>
        <w:t xml:space="preserve"> </w:t>
      </w:r>
      <w:r w:rsidRPr="001A6937">
        <w:rPr>
          <w:rFonts w:cs="Arial"/>
          <w:u w:val="single"/>
          <w:rtl/>
        </w:rPr>
        <w:t>אמר רב אסי אמר רב</w:t>
      </w:r>
      <w:r w:rsidRPr="001A6937">
        <w:rPr>
          <w:rFonts w:cs="Arial"/>
          <w:rtl/>
        </w:rPr>
        <w:t xml:space="preserve">: דגים קטנים מלוחים - אין בהן משום בישולי עובדי כוכבים. </w:t>
      </w:r>
      <w:r w:rsidRPr="001A6937">
        <w:rPr>
          <w:rFonts w:cs="Arial"/>
          <w:u w:val="single"/>
          <w:rtl/>
        </w:rPr>
        <w:t>אמר רב</w:t>
      </w:r>
      <w:r w:rsidRPr="001A6937">
        <w:rPr>
          <w:rFonts w:cs="Arial"/>
          <w:rtl/>
        </w:rPr>
        <w:t xml:space="preserve"> </w:t>
      </w:r>
      <w:r w:rsidRPr="001A6937">
        <w:rPr>
          <w:rFonts w:cs="Arial"/>
          <w:u w:val="single"/>
          <w:rtl/>
        </w:rPr>
        <w:t>יוסף</w:t>
      </w:r>
      <w:r w:rsidRPr="001A6937">
        <w:rPr>
          <w:rFonts w:cs="Arial"/>
          <w:rtl/>
        </w:rPr>
        <w:t xml:space="preserve">: אם צלאן עובד כוכבים - סומך ישראל עליהם משום עירובי תבשילין. </w:t>
      </w:r>
      <w:r w:rsidRPr="001A6937">
        <w:rPr>
          <w:rFonts w:cs="Arial" w:hint="cs"/>
          <w:sz w:val="16"/>
          <w:szCs w:val="16"/>
          <w:rtl/>
        </w:rPr>
        <w:t>(</w:t>
      </w:r>
      <w:r w:rsidRPr="001A6937">
        <w:rPr>
          <w:rFonts w:cs="Arial"/>
          <w:sz w:val="16"/>
          <w:szCs w:val="16"/>
          <w:rtl/>
        </w:rPr>
        <w:t>כך היא גירסת הרי"ף (טו.) והרא"ש (סי' כט) ז"ל וכך היא גירסת הרמב"ם (מאכ"א פי"ז הט"ז) ג"כ</w:t>
      </w:r>
      <w:r>
        <w:rPr>
          <w:rFonts w:cs="Arial" w:hint="cs"/>
          <w:sz w:val="16"/>
          <w:szCs w:val="16"/>
          <w:rtl/>
        </w:rPr>
        <w:t>, ב"י)</w:t>
      </w:r>
    </w:p>
    <w:p w14:paraId="3047D785" w14:textId="77777777" w:rsidR="002C39F4" w:rsidRDefault="002C39F4" w:rsidP="002C39F4">
      <w:pPr>
        <w:rPr>
          <w:rFonts w:cs="Arial"/>
          <w:rtl/>
        </w:rPr>
      </w:pPr>
      <w:r>
        <w:rPr>
          <w:rFonts w:cs="Arial" w:hint="cs"/>
          <w:u w:val="single"/>
          <w:rtl/>
        </w:rPr>
        <w:t>גוי ש</w:t>
      </w:r>
      <w:r w:rsidRPr="00403A4C">
        <w:rPr>
          <w:rFonts w:cs="Arial" w:hint="cs"/>
          <w:u w:val="single"/>
          <w:rtl/>
        </w:rPr>
        <w:t>ביש</w:t>
      </w:r>
      <w:r>
        <w:rPr>
          <w:rFonts w:cs="Arial" w:hint="cs"/>
          <w:u w:val="single"/>
          <w:rtl/>
        </w:rPr>
        <w:t xml:space="preserve">ל </w:t>
      </w:r>
      <w:r w:rsidRPr="00403A4C">
        <w:rPr>
          <w:rFonts w:cs="Arial" w:hint="cs"/>
          <w:u w:val="single"/>
          <w:rtl/>
        </w:rPr>
        <w:t>לא ע"י האור:</w:t>
      </w:r>
    </w:p>
    <w:p w14:paraId="4F23D884" w14:textId="77777777" w:rsidR="002C39F4" w:rsidRPr="001E2332" w:rsidRDefault="002C39F4" w:rsidP="0032102C">
      <w:pPr>
        <w:pStyle w:val="a8"/>
        <w:numPr>
          <w:ilvl w:val="0"/>
          <w:numId w:val="288"/>
        </w:numPr>
        <w:rPr>
          <w:rtl/>
        </w:rPr>
      </w:pPr>
      <w:r>
        <w:rPr>
          <w:rFonts w:cs="Arial" w:hint="cs"/>
          <w:rtl/>
        </w:rPr>
        <w:t xml:space="preserve">רמב"ם </w:t>
      </w:r>
      <w:r>
        <w:rPr>
          <w:rFonts w:cs="Arial" w:hint="cs"/>
          <w:sz w:val="16"/>
          <w:szCs w:val="16"/>
          <w:rtl/>
        </w:rPr>
        <w:t xml:space="preserve">(פי"ז הי"ז) </w:t>
      </w:r>
      <w:r w:rsidRPr="00403A4C">
        <w:rPr>
          <w:rFonts w:cs="Arial"/>
          <w:rtl/>
        </w:rPr>
        <w:t xml:space="preserve">רשב"א </w:t>
      </w:r>
      <w:r w:rsidRPr="00403A4C">
        <w:rPr>
          <w:rFonts w:cs="Arial" w:hint="cs"/>
          <w:sz w:val="16"/>
          <w:szCs w:val="16"/>
          <w:rtl/>
        </w:rPr>
        <w:t>(תוה"ק</w:t>
      </w:r>
      <w:r w:rsidRPr="00403A4C">
        <w:rPr>
          <w:rFonts w:cs="Arial"/>
          <w:sz w:val="16"/>
          <w:szCs w:val="16"/>
          <w:rtl/>
        </w:rPr>
        <w:t xml:space="preserve"> ב"ג ש"ז צג:) </w:t>
      </w:r>
      <w:r w:rsidRPr="00403A4C">
        <w:rPr>
          <w:rFonts w:cs="Arial" w:hint="cs"/>
          <w:rtl/>
        </w:rPr>
        <w:t xml:space="preserve">וטור- </w:t>
      </w:r>
      <w:r w:rsidRPr="00403A4C">
        <w:rPr>
          <w:rFonts w:cs="Arial"/>
          <w:rtl/>
        </w:rPr>
        <w:t>לא אסרו אלא בבישול שע</w:t>
      </w:r>
      <w:r>
        <w:rPr>
          <w:rFonts w:cs="Arial" w:hint="cs"/>
          <w:rtl/>
        </w:rPr>
        <w:t>"</w:t>
      </w:r>
      <w:r w:rsidRPr="00403A4C">
        <w:rPr>
          <w:rFonts w:cs="Arial"/>
          <w:rtl/>
        </w:rPr>
        <w:t>י האש אבל שלא ע"י האש אע</w:t>
      </w:r>
      <w:r>
        <w:rPr>
          <w:rFonts w:cs="Arial" w:hint="cs"/>
          <w:rtl/>
        </w:rPr>
        <w:t>"</w:t>
      </w:r>
      <w:r w:rsidRPr="00403A4C">
        <w:rPr>
          <w:rFonts w:cs="Arial"/>
          <w:rtl/>
        </w:rPr>
        <w:t>פ שמליח כרותח וכבוש כמבושל שרי</w:t>
      </w:r>
      <w:r>
        <w:rPr>
          <w:rFonts w:hint="cs"/>
          <w:sz w:val="16"/>
          <w:szCs w:val="16"/>
          <w:rtl/>
        </w:rPr>
        <w:t xml:space="preserve"> (ל' הרשב"א)</w:t>
      </w:r>
      <w:r>
        <w:rPr>
          <w:rFonts w:hint="cs"/>
          <w:rtl/>
        </w:rPr>
        <w:t>, ד-</w:t>
      </w:r>
      <w:r>
        <w:rPr>
          <w:rFonts w:cs="Arial" w:hint="cs"/>
          <w:rtl/>
        </w:rPr>
        <w:t>'</w:t>
      </w:r>
      <w:r w:rsidRPr="0070751C">
        <w:rPr>
          <w:rFonts w:cs="Arial"/>
          <w:rtl/>
        </w:rPr>
        <w:t>מליח אינו כרותח בגזירה זו</w:t>
      </w:r>
      <w:r>
        <w:rPr>
          <w:rFonts w:cs="Arial" w:hint="cs"/>
          <w:rtl/>
        </w:rPr>
        <w:t>'</w:t>
      </w:r>
      <w:r w:rsidRPr="00EE0C0F">
        <w:rPr>
          <w:rFonts w:cs="Arial" w:hint="cs"/>
          <w:rtl/>
        </w:rPr>
        <w:t xml:space="preserve"> </w:t>
      </w:r>
      <w:r>
        <w:rPr>
          <w:rFonts w:cs="Arial" w:hint="cs"/>
          <w:sz w:val="16"/>
          <w:szCs w:val="16"/>
          <w:rtl/>
        </w:rPr>
        <w:t>(ל' הרמב"ם)</w:t>
      </w:r>
      <w:r w:rsidRPr="00D7087B">
        <w:rPr>
          <w:rFonts w:cs="Arial"/>
          <w:rtl/>
        </w:rPr>
        <w:t>.</w:t>
      </w:r>
      <w:r w:rsidRPr="001E2332">
        <w:rPr>
          <w:rFonts w:cs="Arial" w:hint="cs"/>
          <w:color w:val="00B0F0"/>
          <w:rtl/>
        </w:rPr>
        <w:t xml:space="preserve"> (וכ"פ הרמ"א)</w:t>
      </w:r>
    </w:p>
    <w:p w14:paraId="2D361992" w14:textId="77777777" w:rsidR="002C39F4" w:rsidRPr="00EE0C0F" w:rsidRDefault="002C39F4" w:rsidP="002C39F4">
      <w:pPr>
        <w:rPr>
          <w:rFonts w:cs="Arial"/>
          <w:u w:val="single"/>
          <w:rtl/>
        </w:rPr>
      </w:pPr>
      <w:bookmarkStart w:id="17" w:name="_Hlk510525892"/>
      <w:r w:rsidRPr="00EE0C0F">
        <w:rPr>
          <w:rFonts w:cs="Arial" w:hint="cs"/>
          <w:u w:val="single"/>
          <w:rtl/>
        </w:rPr>
        <w:t xml:space="preserve">דג </w:t>
      </w:r>
      <w:r w:rsidRPr="00D7087B">
        <w:rPr>
          <w:rFonts w:cs="Arial" w:hint="cs"/>
          <w:b/>
          <w:bCs/>
          <w:u w:val="single"/>
          <w:rtl/>
        </w:rPr>
        <w:t>קטן</w:t>
      </w:r>
      <w:r>
        <w:rPr>
          <w:rFonts w:cs="Arial" w:hint="cs"/>
          <w:u w:val="single"/>
          <w:rtl/>
        </w:rPr>
        <w:t xml:space="preserve"> </w:t>
      </w:r>
      <w:r w:rsidRPr="00EE0C0F">
        <w:rPr>
          <w:rFonts w:cs="Arial" w:hint="cs"/>
          <w:u w:val="single"/>
          <w:rtl/>
        </w:rPr>
        <w:t>שמלחו גוי וצלאו:</w:t>
      </w:r>
    </w:p>
    <w:p w14:paraId="0F7FB2CF" w14:textId="77777777" w:rsidR="002C39F4" w:rsidRDefault="002C39F4" w:rsidP="0032102C">
      <w:pPr>
        <w:pStyle w:val="a8"/>
        <w:numPr>
          <w:ilvl w:val="0"/>
          <w:numId w:val="288"/>
        </w:numPr>
      </w:pPr>
      <w:r>
        <w:rPr>
          <w:rFonts w:cs="Arial" w:hint="cs"/>
          <w:rtl/>
        </w:rPr>
        <w:t xml:space="preserve">רמב"ם </w:t>
      </w:r>
      <w:r w:rsidRPr="00D7087B">
        <w:rPr>
          <w:rFonts w:cs="Arial" w:hint="cs"/>
          <w:sz w:val="16"/>
          <w:szCs w:val="16"/>
          <w:rtl/>
        </w:rPr>
        <w:t xml:space="preserve">(פי"ז הי"ז, וכ"כ הב"י בשמו) </w:t>
      </w:r>
      <w:r w:rsidRPr="00EE0C0F">
        <w:rPr>
          <w:rFonts w:cs="Arial"/>
          <w:rtl/>
        </w:rPr>
        <w:t xml:space="preserve">רשב"א </w:t>
      </w:r>
      <w:r w:rsidRPr="00EE0C0F">
        <w:rPr>
          <w:rFonts w:cs="Arial"/>
          <w:sz w:val="16"/>
          <w:szCs w:val="16"/>
          <w:rtl/>
        </w:rPr>
        <w:t>(</w:t>
      </w:r>
      <w:r w:rsidRPr="00403A4C">
        <w:rPr>
          <w:rFonts w:cs="Arial" w:hint="cs"/>
          <w:sz w:val="16"/>
          <w:szCs w:val="16"/>
          <w:rtl/>
        </w:rPr>
        <w:t>תוה"ק</w:t>
      </w:r>
      <w:r w:rsidRPr="00403A4C">
        <w:rPr>
          <w:rFonts w:cs="Arial"/>
          <w:sz w:val="16"/>
          <w:szCs w:val="16"/>
          <w:rtl/>
        </w:rPr>
        <w:t xml:space="preserve"> ב"ג ש"ז </w:t>
      </w:r>
      <w:r w:rsidRPr="00EE0C0F">
        <w:rPr>
          <w:rFonts w:cs="Arial"/>
          <w:sz w:val="16"/>
          <w:szCs w:val="16"/>
          <w:rtl/>
        </w:rPr>
        <w:t>צד</w:t>
      </w:r>
      <w:r w:rsidRPr="00EE0C0F">
        <w:rPr>
          <w:rFonts w:cs="Arial" w:hint="cs"/>
          <w:sz w:val="16"/>
          <w:szCs w:val="16"/>
          <w:rtl/>
        </w:rPr>
        <w:t>:</w:t>
      </w:r>
      <w:r w:rsidRPr="00EE0C0F">
        <w:rPr>
          <w:rFonts w:cs="Arial"/>
          <w:sz w:val="16"/>
          <w:szCs w:val="16"/>
          <w:rtl/>
        </w:rPr>
        <w:t>)</w:t>
      </w:r>
      <w:r>
        <w:rPr>
          <w:rFonts w:cs="Arial" w:hint="cs"/>
          <w:rtl/>
        </w:rPr>
        <w:t xml:space="preserve"> וטור-</w:t>
      </w:r>
      <w:r w:rsidRPr="00EE0C0F">
        <w:rPr>
          <w:rFonts w:cs="Arial"/>
          <w:rtl/>
        </w:rPr>
        <w:t xml:space="preserve"> </w:t>
      </w:r>
      <w:bookmarkEnd w:id="17"/>
      <w:r w:rsidRPr="00EE0C0F">
        <w:rPr>
          <w:rFonts w:cs="Arial"/>
          <w:rtl/>
        </w:rPr>
        <w:t>אין הפרש בין שמלחן ישראל ובשלן גוי ובין מלחן גוי ובשלן גוי</w:t>
      </w:r>
      <w:r>
        <w:rPr>
          <w:rFonts w:cs="Arial" w:hint="cs"/>
          <w:rtl/>
        </w:rPr>
        <w:t>,</w:t>
      </w:r>
      <w:r w:rsidRPr="00EE0C0F">
        <w:rPr>
          <w:rFonts w:cs="Arial"/>
          <w:rtl/>
        </w:rPr>
        <w:t xml:space="preserve"> שמשעה שמלחן הכשירן לאכילה ועדיין מותרים הם שאין המליחה אוסרתן וכשחוזר ומבשל דבר הנאכל כמות שהוא חי בישל</w:t>
      </w:r>
      <w:r>
        <w:rPr>
          <w:rFonts w:cs="Arial" w:hint="cs"/>
          <w:sz w:val="16"/>
          <w:szCs w:val="16"/>
          <w:rtl/>
        </w:rPr>
        <w:t xml:space="preserve"> (ל' הרשב"א)</w:t>
      </w:r>
      <w:r>
        <w:rPr>
          <w:rStyle w:val="a7"/>
          <w:rFonts w:cs="Arial"/>
          <w:rtl/>
        </w:rPr>
        <w:footnoteReference w:id="2778"/>
      </w:r>
      <w:r>
        <w:rPr>
          <w:rFonts w:cs="Arial" w:hint="cs"/>
          <w:rtl/>
        </w:rPr>
        <w:t>.</w:t>
      </w:r>
      <w:r w:rsidRPr="00D7087B">
        <w:rPr>
          <w:rFonts w:cs="Arial"/>
          <w:rtl/>
        </w:rPr>
        <w:t xml:space="preserve"> </w:t>
      </w:r>
      <w:r>
        <w:rPr>
          <w:rFonts w:cs="Arial" w:hint="cs"/>
          <w:rtl/>
        </w:rPr>
        <w:t xml:space="preserve"> </w:t>
      </w:r>
    </w:p>
    <w:p w14:paraId="30FB6E97" w14:textId="77777777" w:rsidR="002C39F4" w:rsidRDefault="002C39F4" w:rsidP="002C39F4">
      <w:pPr>
        <w:rPr>
          <w:rFonts w:cs="Arial"/>
          <w:sz w:val="16"/>
          <w:szCs w:val="16"/>
          <w:rtl/>
        </w:rPr>
      </w:pPr>
      <w:r w:rsidRPr="00D7087B">
        <w:rPr>
          <w:rFonts w:cs="Arial"/>
          <w:b/>
          <w:bCs/>
          <w:rtl/>
        </w:rPr>
        <w:t xml:space="preserve">ירושלמי </w:t>
      </w:r>
      <w:r w:rsidRPr="00D7087B">
        <w:rPr>
          <w:rFonts w:cs="Arial"/>
          <w:b/>
          <w:bCs/>
          <w:sz w:val="16"/>
          <w:szCs w:val="16"/>
          <w:rtl/>
        </w:rPr>
        <w:t xml:space="preserve">(וילנא) </w:t>
      </w:r>
      <w:r w:rsidRPr="00D7087B">
        <w:rPr>
          <w:rFonts w:cs="Arial"/>
          <w:b/>
          <w:bCs/>
          <w:rtl/>
        </w:rPr>
        <w:t>נדרים פ</w:t>
      </w:r>
      <w:r w:rsidRPr="00D7087B">
        <w:rPr>
          <w:rFonts w:cs="Arial" w:hint="cs"/>
          <w:b/>
          <w:bCs/>
          <w:rtl/>
        </w:rPr>
        <w:t>"ו ה"א:</w:t>
      </w:r>
      <w:r>
        <w:rPr>
          <w:rFonts w:cs="Arial" w:hint="cs"/>
          <w:rtl/>
        </w:rPr>
        <w:t xml:space="preserve"> </w:t>
      </w:r>
      <w:r w:rsidRPr="00D7087B">
        <w:rPr>
          <w:rFonts w:cs="Arial"/>
          <w:rtl/>
        </w:rPr>
        <w:t>הנודר מן המבושל מהו שיהא מותר מן המעושן.</w:t>
      </w:r>
      <w:r>
        <w:rPr>
          <w:rFonts w:cs="Arial" w:hint="cs"/>
          <w:rtl/>
        </w:rPr>
        <w:t xml:space="preserve">.. </w:t>
      </w:r>
      <w:r w:rsidRPr="00D7087B">
        <w:rPr>
          <w:rFonts w:cs="Arial"/>
          <w:rtl/>
        </w:rPr>
        <w:t xml:space="preserve">רבנן דקיסרין שאלון מעושין מהו שיהא בו משום בישולי גוים. מהו שיהא בו משום תבשילי שבת. מהו שיהא בו משום בשר בחלב. מהו שיטבל למעשרות. הנודר מן המעושן מהו שיהא מותר בתבשיל. </w:t>
      </w:r>
      <w:r w:rsidRPr="00D274D3">
        <w:rPr>
          <w:rFonts w:cs="Arial" w:hint="cs"/>
          <w:sz w:val="16"/>
          <w:szCs w:val="16"/>
          <w:rtl/>
        </w:rPr>
        <w:t>(</w:t>
      </w:r>
      <w:r w:rsidRPr="00D274D3">
        <w:rPr>
          <w:rFonts w:cs="Arial"/>
          <w:sz w:val="16"/>
          <w:szCs w:val="16"/>
          <w:rtl/>
        </w:rPr>
        <w:t>ו</w:t>
      </w:r>
      <w:r>
        <w:rPr>
          <w:rFonts w:cs="Arial" w:hint="cs"/>
          <w:sz w:val="16"/>
          <w:szCs w:val="16"/>
          <w:rtl/>
        </w:rPr>
        <w:t xml:space="preserve">פסק </w:t>
      </w:r>
      <w:r w:rsidRPr="00D274D3">
        <w:rPr>
          <w:rFonts w:cs="Arial"/>
          <w:sz w:val="16"/>
          <w:szCs w:val="16"/>
          <w:rtl/>
        </w:rPr>
        <w:t xml:space="preserve">הרמב"ם </w:t>
      </w:r>
      <w:r>
        <w:rPr>
          <w:rFonts w:cs="Arial" w:hint="cs"/>
          <w:sz w:val="16"/>
          <w:szCs w:val="16"/>
          <w:rtl/>
        </w:rPr>
        <w:t>(</w:t>
      </w:r>
      <w:r w:rsidRPr="00D274D3">
        <w:rPr>
          <w:rFonts w:cs="Arial"/>
          <w:sz w:val="16"/>
          <w:szCs w:val="16"/>
          <w:rtl/>
        </w:rPr>
        <w:t>פי"ז</w:t>
      </w:r>
      <w:r>
        <w:rPr>
          <w:rFonts w:cs="Arial" w:hint="cs"/>
          <w:sz w:val="16"/>
          <w:szCs w:val="16"/>
          <w:rtl/>
        </w:rPr>
        <w:t xml:space="preserve"> הי"ז)</w:t>
      </w:r>
      <w:r w:rsidRPr="00D274D3">
        <w:rPr>
          <w:rFonts w:cs="Arial"/>
          <w:sz w:val="16"/>
          <w:szCs w:val="16"/>
          <w:rtl/>
        </w:rPr>
        <w:t xml:space="preserve"> שמעושן אין בו משום בישולי עכו"ם</w:t>
      </w:r>
      <w:r>
        <w:rPr>
          <w:rFonts w:cs="Arial" w:hint="cs"/>
          <w:sz w:val="16"/>
          <w:szCs w:val="16"/>
          <w:rtl/>
        </w:rPr>
        <w:t>.</w:t>
      </w:r>
      <w:r w:rsidRPr="00D274D3">
        <w:rPr>
          <w:rFonts w:cs="Arial"/>
          <w:sz w:val="16"/>
          <w:szCs w:val="16"/>
          <w:rtl/>
        </w:rPr>
        <w:t xml:space="preserve"> וכ</w:t>
      </w:r>
      <w:r>
        <w:rPr>
          <w:rFonts w:cs="Arial" w:hint="cs"/>
          <w:sz w:val="16"/>
          <w:szCs w:val="16"/>
          <w:rtl/>
        </w:rPr>
        <w:t>'</w:t>
      </w:r>
      <w:r w:rsidRPr="00D274D3">
        <w:rPr>
          <w:rFonts w:cs="Arial"/>
          <w:sz w:val="16"/>
          <w:szCs w:val="16"/>
          <w:rtl/>
        </w:rPr>
        <w:t xml:space="preserve"> הה"מ </w:t>
      </w:r>
      <w:r>
        <w:rPr>
          <w:rFonts w:cs="Arial" w:hint="cs"/>
          <w:sz w:val="16"/>
          <w:szCs w:val="16"/>
          <w:rtl/>
        </w:rPr>
        <w:t xml:space="preserve">שפסק כן </w:t>
      </w:r>
      <w:r w:rsidRPr="00D274D3">
        <w:rPr>
          <w:rFonts w:cs="Arial"/>
          <w:sz w:val="16"/>
          <w:szCs w:val="16"/>
          <w:rtl/>
        </w:rPr>
        <w:t>משום דבעיא הוא וספק דרבנן לקולא.</w:t>
      </w:r>
      <w:r>
        <w:rPr>
          <w:rFonts w:cs="Arial" w:hint="cs"/>
          <w:sz w:val="16"/>
          <w:szCs w:val="16"/>
          <w:rtl/>
        </w:rPr>
        <w:t xml:space="preserve"> אך הרשב"א כ'- </w:t>
      </w:r>
      <w:r w:rsidRPr="00D039D4">
        <w:rPr>
          <w:rFonts w:cs="Arial"/>
          <w:sz w:val="16"/>
          <w:szCs w:val="16"/>
          <w:rtl/>
        </w:rPr>
        <w:t>ובירושלמי</w:t>
      </w:r>
      <w:r>
        <w:rPr>
          <w:rFonts w:cs="Arial" w:hint="cs"/>
          <w:sz w:val="16"/>
          <w:szCs w:val="16"/>
          <w:rtl/>
        </w:rPr>
        <w:t xml:space="preserve"> </w:t>
      </w:r>
      <w:r>
        <w:rPr>
          <w:rFonts w:cs="Arial" w:hint="cs"/>
          <w:sz w:val="14"/>
          <w:szCs w:val="14"/>
          <w:rtl/>
        </w:rPr>
        <w:t>{</w:t>
      </w:r>
      <w:r w:rsidRPr="00D039D4">
        <w:rPr>
          <w:rFonts w:cs="Arial" w:hint="cs"/>
          <w:sz w:val="14"/>
          <w:szCs w:val="14"/>
          <w:rtl/>
        </w:rPr>
        <w:t>הנ"ל</w:t>
      </w:r>
      <w:r>
        <w:rPr>
          <w:rFonts w:cs="Arial" w:hint="cs"/>
          <w:sz w:val="14"/>
          <w:szCs w:val="14"/>
          <w:rtl/>
        </w:rPr>
        <w:t>}</w:t>
      </w:r>
      <w:r>
        <w:rPr>
          <w:rFonts w:cs="Arial" w:hint="cs"/>
          <w:sz w:val="16"/>
          <w:szCs w:val="16"/>
          <w:rtl/>
        </w:rPr>
        <w:t>...</w:t>
      </w:r>
      <w:r w:rsidRPr="00D039D4">
        <w:rPr>
          <w:rFonts w:cs="Arial"/>
          <w:sz w:val="16"/>
          <w:szCs w:val="16"/>
          <w:rtl/>
        </w:rPr>
        <w:t xml:space="preserve"> אמרו במעושן שאין בו משום בישולי נכרים.</w:t>
      </w:r>
      <w:r>
        <w:rPr>
          <w:rFonts w:cs="Arial" w:hint="cs"/>
          <w:sz w:val="16"/>
          <w:szCs w:val="16"/>
          <w:rtl/>
        </w:rPr>
        <w:t xml:space="preserve"> עכ"ל. משמע דהייתה לו גיר' אחרת, וכן משמע מהמאירי (ע"ז לח.)</w:t>
      </w:r>
      <w:r w:rsidRPr="00D039D4">
        <w:rPr>
          <w:rFonts w:cs="Arial"/>
          <w:sz w:val="16"/>
          <w:szCs w:val="16"/>
          <w:rtl/>
        </w:rPr>
        <w:t xml:space="preserve"> </w:t>
      </w:r>
      <w:r>
        <w:rPr>
          <w:rFonts w:cs="Arial" w:hint="cs"/>
          <w:sz w:val="16"/>
          <w:szCs w:val="16"/>
          <w:rtl/>
        </w:rPr>
        <w:t xml:space="preserve">שכ'- </w:t>
      </w:r>
      <w:r w:rsidRPr="00D039D4">
        <w:rPr>
          <w:rFonts w:cs="Arial"/>
          <w:sz w:val="16"/>
          <w:szCs w:val="16"/>
          <w:rtl/>
        </w:rPr>
        <w:t>בתלמוד המערב שבמסכת נדרים פרשו שהדברים המוכשרים לאכילה ע</w:t>
      </w:r>
      <w:r>
        <w:rPr>
          <w:rFonts w:cs="Arial" w:hint="cs"/>
          <w:sz w:val="16"/>
          <w:szCs w:val="16"/>
          <w:rtl/>
        </w:rPr>
        <w:t>"</w:t>
      </w:r>
      <w:r w:rsidRPr="00D039D4">
        <w:rPr>
          <w:rFonts w:cs="Arial"/>
          <w:sz w:val="16"/>
          <w:szCs w:val="16"/>
          <w:rtl/>
        </w:rPr>
        <w:t xml:space="preserve">י עשון אם עשנן גוי מותרין באכילה לא אמרו אלא בנעשה </w:t>
      </w:r>
      <w:r>
        <w:rPr>
          <w:rFonts w:cs="Arial" w:hint="cs"/>
          <w:sz w:val="16"/>
          <w:szCs w:val="16"/>
          <w:rtl/>
        </w:rPr>
        <w:t>ע"</w:t>
      </w:r>
      <w:r w:rsidRPr="00D039D4">
        <w:rPr>
          <w:rFonts w:cs="Arial"/>
          <w:sz w:val="16"/>
          <w:szCs w:val="16"/>
          <w:rtl/>
        </w:rPr>
        <w:t>י כחו של גוף האור</w:t>
      </w:r>
      <w:r>
        <w:rPr>
          <w:rFonts w:cs="Arial" w:hint="cs"/>
          <w:sz w:val="16"/>
          <w:szCs w:val="16"/>
          <w:rtl/>
        </w:rPr>
        <w:t>.</w:t>
      </w:r>
      <w:r w:rsidRPr="00D274D3">
        <w:rPr>
          <w:rFonts w:cs="Arial"/>
          <w:sz w:val="16"/>
          <w:szCs w:val="16"/>
          <w:rtl/>
        </w:rPr>
        <w:t xml:space="preserve"> עכ"ל.</w:t>
      </w:r>
      <w:r>
        <w:rPr>
          <w:rFonts w:cs="Arial" w:hint="cs"/>
          <w:sz w:val="16"/>
          <w:szCs w:val="16"/>
          <w:rtl/>
        </w:rPr>
        <w:t xml:space="preserve"> וכ' העלי תמר- </w:t>
      </w:r>
      <w:r w:rsidRPr="00D274D3">
        <w:rPr>
          <w:rFonts w:cs="Arial"/>
          <w:sz w:val="16"/>
          <w:szCs w:val="16"/>
          <w:rtl/>
        </w:rPr>
        <w:t>מהמאירי</w:t>
      </w:r>
      <w:r>
        <w:rPr>
          <w:rFonts w:cs="Arial" w:hint="cs"/>
          <w:sz w:val="12"/>
          <w:szCs w:val="12"/>
          <w:rtl/>
        </w:rPr>
        <w:t xml:space="preserve"> {וכן מהרשב"א}</w:t>
      </w:r>
      <w:r w:rsidRPr="00D274D3">
        <w:rPr>
          <w:rFonts w:cs="Arial"/>
          <w:sz w:val="16"/>
          <w:szCs w:val="16"/>
          <w:rtl/>
        </w:rPr>
        <w:t xml:space="preserve"> משמע קצת שגירסתו היתה</w:t>
      </w:r>
      <w:r>
        <w:rPr>
          <w:rFonts w:cs="Arial" w:hint="cs"/>
          <w:sz w:val="16"/>
          <w:szCs w:val="16"/>
          <w:rtl/>
        </w:rPr>
        <w:t>,</w:t>
      </w:r>
      <w:r w:rsidRPr="00D274D3">
        <w:rPr>
          <w:rFonts w:cs="Arial"/>
          <w:sz w:val="16"/>
          <w:szCs w:val="16"/>
          <w:rtl/>
        </w:rPr>
        <w:t xml:space="preserve"> לפי המסקנה</w:t>
      </w:r>
      <w:r>
        <w:rPr>
          <w:rFonts w:cs="Arial" w:hint="cs"/>
          <w:sz w:val="16"/>
          <w:szCs w:val="16"/>
          <w:rtl/>
        </w:rPr>
        <w:t>,</w:t>
      </w:r>
      <w:r w:rsidRPr="00D274D3">
        <w:rPr>
          <w:rFonts w:cs="Arial"/>
          <w:sz w:val="16"/>
          <w:szCs w:val="16"/>
          <w:rtl/>
        </w:rPr>
        <w:t xml:space="preserve"> שאין מעושן אסור בבישול גויים, ברם י"ל שכוונתו הוא שכן יוצא מהגמרא מאחר שבישול עכו"ם אינו אלא מדרבנן ספיקו לקולא</w:t>
      </w:r>
      <w:r>
        <w:rPr>
          <w:rFonts w:cs="Arial" w:hint="cs"/>
          <w:sz w:val="16"/>
          <w:szCs w:val="16"/>
          <w:rtl/>
        </w:rPr>
        <w:t xml:space="preserve">. עכ"ל. וכ' עוד העלי תמר שאפשר לומר דלא מחמת ספיקא דרבנן לקולא אמרו כן אלא משום </w:t>
      </w:r>
      <w:r w:rsidRPr="001A71DD">
        <w:rPr>
          <w:rFonts w:cs="Arial"/>
          <w:sz w:val="16"/>
          <w:szCs w:val="16"/>
          <w:rtl/>
        </w:rPr>
        <w:t xml:space="preserve">שבבישול נכרים אינו אסור אלא בישול ממש ע"י האור אבל לא התולדה של אור, שדווקא בשבת הדין שתולדה כאב אבל לא בבישול גויים, ולא נאסרה התולדה רק האב מעשה האור ממש </w:t>
      </w:r>
      <w:r w:rsidRPr="001A71DD">
        <w:rPr>
          <w:rFonts w:cs="Arial" w:hint="cs"/>
          <w:sz w:val="14"/>
          <w:szCs w:val="14"/>
          <w:rtl/>
        </w:rPr>
        <w:t>(</w:t>
      </w:r>
      <w:r>
        <w:rPr>
          <w:rFonts w:cs="Arial" w:hint="cs"/>
          <w:sz w:val="14"/>
          <w:szCs w:val="14"/>
          <w:rtl/>
        </w:rPr>
        <w:t xml:space="preserve">עי' </w:t>
      </w:r>
      <w:r w:rsidRPr="001A71DD">
        <w:rPr>
          <w:rFonts w:cs="Arial"/>
          <w:sz w:val="14"/>
          <w:szCs w:val="14"/>
          <w:rtl/>
        </w:rPr>
        <w:t>ג</w:t>
      </w:r>
      <w:r w:rsidRPr="001A71DD">
        <w:rPr>
          <w:rFonts w:cs="Arial" w:hint="cs"/>
          <w:sz w:val="14"/>
          <w:szCs w:val="14"/>
          <w:rtl/>
        </w:rPr>
        <w:t xml:space="preserve">ליון </w:t>
      </w:r>
      <w:r w:rsidRPr="001A71DD">
        <w:rPr>
          <w:rFonts w:cs="Arial"/>
          <w:sz w:val="14"/>
          <w:szCs w:val="14"/>
          <w:rtl/>
        </w:rPr>
        <w:t>הש</w:t>
      </w:r>
      <w:r w:rsidRPr="001A71DD">
        <w:rPr>
          <w:rFonts w:cs="Arial" w:hint="cs"/>
          <w:sz w:val="14"/>
          <w:szCs w:val="14"/>
          <w:rtl/>
        </w:rPr>
        <w:t>"ס</w:t>
      </w:r>
      <w:r w:rsidRPr="001A71DD">
        <w:rPr>
          <w:rFonts w:cs="Arial"/>
          <w:sz w:val="14"/>
          <w:szCs w:val="14"/>
          <w:rtl/>
        </w:rPr>
        <w:t xml:space="preserve"> </w:t>
      </w:r>
      <w:r>
        <w:rPr>
          <w:rFonts w:cs="Arial" w:hint="cs"/>
          <w:sz w:val="14"/>
          <w:szCs w:val="14"/>
          <w:rtl/>
        </w:rPr>
        <w:t>[</w:t>
      </w:r>
      <w:r w:rsidRPr="001A71DD">
        <w:rPr>
          <w:rFonts w:cs="Arial"/>
          <w:sz w:val="14"/>
          <w:szCs w:val="14"/>
          <w:rtl/>
        </w:rPr>
        <w:t>שבת פ"ז ה"ב</w:t>
      </w:r>
      <w:r>
        <w:rPr>
          <w:rFonts w:cs="Arial" w:hint="cs"/>
          <w:sz w:val="14"/>
          <w:szCs w:val="14"/>
          <w:rtl/>
        </w:rPr>
        <w:t>]</w:t>
      </w:r>
      <w:r w:rsidRPr="001A71DD">
        <w:rPr>
          <w:rFonts w:cs="Arial"/>
          <w:sz w:val="14"/>
          <w:szCs w:val="14"/>
          <w:rtl/>
        </w:rPr>
        <w:t xml:space="preserve"> ובשו"ת אבן שתיה </w:t>
      </w:r>
      <w:r>
        <w:rPr>
          <w:rFonts w:cs="Arial" w:hint="cs"/>
          <w:sz w:val="14"/>
          <w:szCs w:val="14"/>
          <w:rtl/>
        </w:rPr>
        <w:t>[</w:t>
      </w:r>
      <w:r w:rsidRPr="001A71DD">
        <w:rPr>
          <w:rFonts w:cs="Arial"/>
          <w:sz w:val="14"/>
          <w:szCs w:val="14"/>
          <w:rtl/>
        </w:rPr>
        <w:t>סי</w:t>
      </w:r>
      <w:r>
        <w:rPr>
          <w:rFonts w:cs="Arial" w:hint="cs"/>
          <w:sz w:val="14"/>
          <w:szCs w:val="14"/>
          <w:rtl/>
        </w:rPr>
        <w:t>'</w:t>
      </w:r>
      <w:r w:rsidRPr="001A71DD">
        <w:rPr>
          <w:rFonts w:cs="Arial"/>
          <w:sz w:val="14"/>
          <w:szCs w:val="14"/>
          <w:rtl/>
        </w:rPr>
        <w:t xml:space="preserve"> נ</w:t>
      </w:r>
      <w:r>
        <w:rPr>
          <w:rFonts w:cs="Arial" w:hint="cs"/>
          <w:sz w:val="14"/>
          <w:szCs w:val="14"/>
          <w:rtl/>
        </w:rPr>
        <w:t>,</w:t>
      </w:r>
      <w:r w:rsidRPr="001A71DD">
        <w:rPr>
          <w:rFonts w:cs="Arial"/>
          <w:sz w:val="14"/>
          <w:szCs w:val="14"/>
          <w:rtl/>
        </w:rPr>
        <w:t xml:space="preserve"> מובא בדרכי תשובה ח"ד סי</w:t>
      </w:r>
      <w:r>
        <w:rPr>
          <w:rFonts w:cs="Arial" w:hint="cs"/>
          <w:sz w:val="14"/>
          <w:szCs w:val="14"/>
          <w:rtl/>
        </w:rPr>
        <w:t>'</w:t>
      </w:r>
      <w:r w:rsidRPr="001A71DD">
        <w:rPr>
          <w:rFonts w:cs="Arial"/>
          <w:sz w:val="14"/>
          <w:szCs w:val="14"/>
          <w:rtl/>
        </w:rPr>
        <w:t xml:space="preserve"> קיג סקט"ז</w:t>
      </w:r>
      <w:r w:rsidRPr="001A71DD">
        <w:rPr>
          <w:rFonts w:cs="Arial" w:hint="cs"/>
          <w:sz w:val="14"/>
          <w:szCs w:val="14"/>
          <w:rtl/>
        </w:rPr>
        <w:t>]</w:t>
      </w:r>
      <w:r w:rsidRPr="001A71DD">
        <w:rPr>
          <w:rFonts w:cs="Arial"/>
          <w:sz w:val="14"/>
          <w:szCs w:val="14"/>
          <w:rtl/>
        </w:rPr>
        <w:t xml:space="preserve">) </w:t>
      </w:r>
      <w:r w:rsidRPr="001A71DD">
        <w:rPr>
          <w:rFonts w:cs="Arial"/>
          <w:sz w:val="16"/>
          <w:szCs w:val="16"/>
          <w:rtl/>
        </w:rPr>
        <w:t>ו</w:t>
      </w:r>
      <w:r>
        <w:rPr>
          <w:rFonts w:cs="Arial" w:hint="cs"/>
          <w:sz w:val="16"/>
          <w:szCs w:val="16"/>
          <w:rtl/>
        </w:rPr>
        <w:t>כמו ש</w:t>
      </w:r>
      <w:r w:rsidRPr="001A71DD">
        <w:rPr>
          <w:rFonts w:cs="Arial"/>
          <w:sz w:val="16"/>
          <w:szCs w:val="16"/>
          <w:rtl/>
        </w:rPr>
        <w:t xml:space="preserve">מפורש בירושלמי ע"ז </w:t>
      </w:r>
      <w:r>
        <w:rPr>
          <w:rFonts w:cs="Arial" w:hint="cs"/>
          <w:sz w:val="16"/>
          <w:szCs w:val="16"/>
          <w:rtl/>
        </w:rPr>
        <w:t>(</w:t>
      </w:r>
      <w:r w:rsidRPr="001A71DD">
        <w:rPr>
          <w:rFonts w:cs="Arial"/>
          <w:sz w:val="16"/>
          <w:szCs w:val="16"/>
          <w:rtl/>
        </w:rPr>
        <w:t>פ"ב ה"ח</w:t>
      </w:r>
      <w:r>
        <w:rPr>
          <w:rFonts w:cs="Arial" w:hint="cs"/>
          <w:sz w:val="16"/>
          <w:szCs w:val="16"/>
          <w:rtl/>
        </w:rPr>
        <w:t>)</w:t>
      </w:r>
      <w:r w:rsidRPr="001A71DD">
        <w:rPr>
          <w:rFonts w:cs="Arial"/>
          <w:sz w:val="16"/>
          <w:szCs w:val="16"/>
          <w:rtl/>
        </w:rPr>
        <w:t xml:space="preserve"> אמר רבי יוסי חלוט מחוסר מעשה על ידי האור הוא</w:t>
      </w:r>
      <w:r>
        <w:rPr>
          <w:rFonts w:cs="Arial" w:hint="cs"/>
          <w:sz w:val="16"/>
          <w:szCs w:val="16"/>
          <w:rtl/>
        </w:rPr>
        <w:t>,</w:t>
      </w:r>
      <w:r w:rsidRPr="001A71DD">
        <w:rPr>
          <w:rFonts w:cs="Arial"/>
          <w:sz w:val="16"/>
          <w:szCs w:val="16"/>
          <w:rtl/>
        </w:rPr>
        <w:t xml:space="preserve"> כלומר שאף כשנותן הגוי מים רותחים על הקמח אין במים גוף האור ואינם אלא תולדה דאור, ואף שבשבת לכמה פוסקים העירוי הוא תולדה דמבשל מ"מ בבישול עכו"ם לא גזרו על תולדת האור</w:t>
      </w:r>
      <w:r>
        <w:rPr>
          <w:rFonts w:cs="Arial" w:hint="cs"/>
          <w:sz w:val="16"/>
          <w:szCs w:val="16"/>
          <w:rtl/>
        </w:rPr>
        <w:t>)</w:t>
      </w:r>
      <w:r w:rsidRPr="00D274D3">
        <w:rPr>
          <w:rtl/>
        </w:rPr>
        <w:t xml:space="preserve"> </w:t>
      </w:r>
    </w:p>
    <w:p w14:paraId="38CE63F5" w14:textId="77777777" w:rsidR="002C39F4" w:rsidRDefault="002C39F4" w:rsidP="002C39F4">
      <w:pPr>
        <w:rPr>
          <w:rFonts w:cs="Arial"/>
          <w:rtl/>
        </w:rPr>
      </w:pPr>
      <w:r w:rsidRPr="00D7087B">
        <w:rPr>
          <w:rFonts w:cs="Arial" w:hint="cs"/>
          <w:u w:val="single"/>
          <w:rtl/>
        </w:rPr>
        <w:t>עישון מאכל:</w:t>
      </w:r>
    </w:p>
    <w:p w14:paraId="60DD8452" w14:textId="77777777" w:rsidR="002C39F4" w:rsidRPr="001A71DD" w:rsidRDefault="002C39F4" w:rsidP="0032102C">
      <w:pPr>
        <w:pStyle w:val="a8"/>
        <w:numPr>
          <w:ilvl w:val="0"/>
          <w:numId w:val="288"/>
        </w:numPr>
      </w:pPr>
      <w:r w:rsidRPr="001A71DD">
        <w:rPr>
          <w:rFonts w:cs="Arial" w:hint="cs"/>
          <w:rtl/>
        </w:rPr>
        <w:t xml:space="preserve">רמב"ם </w:t>
      </w:r>
      <w:r w:rsidRPr="001A71DD">
        <w:rPr>
          <w:rFonts w:cs="Arial" w:hint="cs"/>
          <w:sz w:val="16"/>
          <w:szCs w:val="16"/>
          <w:rtl/>
        </w:rPr>
        <w:t>(</w:t>
      </w:r>
      <w:r w:rsidRPr="001A71DD">
        <w:rPr>
          <w:rFonts w:cs="Arial"/>
          <w:sz w:val="16"/>
          <w:szCs w:val="16"/>
          <w:rtl/>
        </w:rPr>
        <w:t xml:space="preserve">פי"ז הי"ז) </w:t>
      </w:r>
      <w:r w:rsidRPr="001A71DD">
        <w:rPr>
          <w:rFonts w:cs="Arial" w:hint="cs"/>
          <w:rtl/>
        </w:rPr>
        <w:t xml:space="preserve">רשב"א </w:t>
      </w:r>
      <w:r w:rsidRPr="001A71DD">
        <w:rPr>
          <w:rFonts w:cs="Arial" w:hint="cs"/>
          <w:sz w:val="16"/>
          <w:szCs w:val="16"/>
          <w:rtl/>
        </w:rPr>
        <w:t xml:space="preserve">(תוה"ק </w:t>
      </w:r>
      <w:r w:rsidRPr="001A71DD">
        <w:rPr>
          <w:rFonts w:cs="Arial"/>
          <w:sz w:val="16"/>
          <w:szCs w:val="16"/>
          <w:rtl/>
        </w:rPr>
        <w:t>ב"ג ש"ז צד. ארוך צה</w:t>
      </w:r>
      <w:r w:rsidRPr="001A71DD">
        <w:rPr>
          <w:rFonts w:cs="Arial" w:hint="cs"/>
          <w:sz w:val="16"/>
          <w:szCs w:val="16"/>
          <w:rtl/>
        </w:rPr>
        <w:t>:</w:t>
      </w:r>
      <w:r w:rsidRPr="001A71DD">
        <w:rPr>
          <w:rFonts w:cs="Arial"/>
          <w:sz w:val="16"/>
          <w:szCs w:val="16"/>
          <w:rtl/>
        </w:rPr>
        <w:t xml:space="preserve">) </w:t>
      </w:r>
      <w:r w:rsidRPr="001A71DD">
        <w:rPr>
          <w:rFonts w:cs="Arial" w:hint="cs"/>
          <w:rtl/>
        </w:rPr>
        <w:t>טור ור"ן</w:t>
      </w:r>
      <w:r w:rsidRPr="001A71DD">
        <w:rPr>
          <w:rFonts w:cs="Arial" w:hint="cs"/>
          <w:sz w:val="16"/>
          <w:szCs w:val="16"/>
          <w:rtl/>
        </w:rPr>
        <w:t xml:space="preserve"> (</w:t>
      </w:r>
      <w:r w:rsidRPr="001A71DD">
        <w:rPr>
          <w:rFonts w:cs="Arial"/>
          <w:sz w:val="16"/>
          <w:szCs w:val="16"/>
          <w:rtl/>
        </w:rPr>
        <w:t>ע"ז טו: ד"ה דג מליח)</w:t>
      </w:r>
      <w:r w:rsidRPr="001A71DD">
        <w:rPr>
          <w:rFonts w:cs="Arial" w:hint="cs"/>
          <w:rtl/>
        </w:rPr>
        <w:t xml:space="preserve">- </w:t>
      </w:r>
      <w:r w:rsidRPr="001A71DD">
        <w:rPr>
          <w:rFonts w:cs="Arial"/>
          <w:rtl/>
        </w:rPr>
        <w:t>פירות שעישנן עד שהכשירן לאכילה הרי אלו מותרין, מליח אינו כרותח בגזירה זו והמעושן אינו כמבושל</w:t>
      </w:r>
      <w:r>
        <w:rPr>
          <w:rStyle w:val="a7"/>
          <w:rFonts w:cs="Arial"/>
          <w:rtl/>
        </w:rPr>
        <w:footnoteReference w:id="2779"/>
      </w:r>
      <w:r w:rsidRPr="001A71DD">
        <w:rPr>
          <w:rFonts w:cs="Arial" w:hint="cs"/>
          <w:rtl/>
        </w:rPr>
        <w:t xml:space="preserve"> </w:t>
      </w:r>
      <w:r w:rsidRPr="001A71DD">
        <w:rPr>
          <w:rFonts w:cs="Arial" w:hint="cs"/>
          <w:sz w:val="16"/>
          <w:szCs w:val="16"/>
          <w:rtl/>
        </w:rPr>
        <w:t>(ל' הרמב"ם)</w:t>
      </w:r>
      <w:r w:rsidRPr="001A71DD">
        <w:rPr>
          <w:rFonts w:cs="Arial"/>
          <w:rtl/>
        </w:rPr>
        <w:t>.</w:t>
      </w:r>
      <w:r w:rsidRPr="009761CD">
        <w:rPr>
          <w:rFonts w:cs="Arial"/>
          <w:rtl/>
        </w:rPr>
        <w:t xml:space="preserve"> </w:t>
      </w:r>
      <w:r w:rsidRPr="009761CD">
        <w:rPr>
          <w:rFonts w:cs="Arial" w:hint="cs"/>
          <w:color w:val="E36C0A" w:themeColor="accent6" w:themeShade="BF"/>
          <w:rtl/>
        </w:rPr>
        <w:t>(וכ"פ בשו"ע)</w:t>
      </w:r>
    </w:p>
    <w:p w14:paraId="2D2A2138" w14:textId="77777777" w:rsidR="002C39F4" w:rsidRPr="00870558" w:rsidRDefault="002C39F4" w:rsidP="002C39F4">
      <w:pPr>
        <w:rPr>
          <w:u w:val="single"/>
        </w:rPr>
      </w:pPr>
      <w:r w:rsidRPr="00870558">
        <w:rPr>
          <w:rFonts w:hint="cs"/>
          <w:u w:val="single"/>
          <w:rtl/>
        </w:rPr>
        <w:t xml:space="preserve">ישראל </w:t>
      </w:r>
      <w:r>
        <w:rPr>
          <w:rFonts w:hint="cs"/>
          <w:u w:val="single"/>
          <w:rtl/>
        </w:rPr>
        <w:t>ש</w:t>
      </w:r>
      <w:r w:rsidRPr="00870558">
        <w:rPr>
          <w:rFonts w:hint="cs"/>
          <w:u w:val="single"/>
          <w:rtl/>
        </w:rPr>
        <w:t>עישן מאכל ואח"כ גוי בישלו:</w:t>
      </w:r>
    </w:p>
    <w:p w14:paraId="44493C9B" w14:textId="77777777" w:rsidR="002C39F4" w:rsidRDefault="002C39F4" w:rsidP="0032102C">
      <w:pPr>
        <w:pStyle w:val="a8"/>
        <w:numPr>
          <w:ilvl w:val="0"/>
          <w:numId w:val="288"/>
        </w:numPr>
        <w:rPr>
          <w:rtl/>
        </w:rPr>
      </w:pPr>
      <w:r>
        <w:rPr>
          <w:rFonts w:cs="Arial" w:hint="cs"/>
          <w:rtl/>
        </w:rPr>
        <w:t xml:space="preserve">ב"י ודרכ"מ </w:t>
      </w:r>
      <w:r>
        <w:rPr>
          <w:rFonts w:cs="Arial" w:hint="cs"/>
          <w:sz w:val="16"/>
          <w:szCs w:val="16"/>
          <w:rtl/>
        </w:rPr>
        <w:t>(ארוך אות ט)</w:t>
      </w:r>
      <w:r>
        <w:rPr>
          <w:rFonts w:cs="Arial" w:hint="cs"/>
          <w:rtl/>
        </w:rPr>
        <w:t xml:space="preserve">- </w:t>
      </w:r>
      <w:r w:rsidRPr="001A71DD">
        <w:rPr>
          <w:rFonts w:cs="Arial"/>
          <w:rtl/>
        </w:rPr>
        <w:t>משמע שאע"פ שעשנו ישראל אם בשלו גוי אסור דומיא דדגים גדולים מלוחים דבסמוך</w:t>
      </w:r>
      <w:r>
        <w:rPr>
          <w:rStyle w:val="a7"/>
          <w:rFonts w:cs="Arial"/>
          <w:rtl/>
        </w:rPr>
        <w:footnoteReference w:id="2780"/>
      </w:r>
      <w:r w:rsidRPr="001A71DD">
        <w:rPr>
          <w:rFonts w:cs="Arial" w:hint="cs"/>
          <w:rtl/>
        </w:rPr>
        <w:t>.</w:t>
      </w:r>
    </w:p>
    <w:p w14:paraId="48A6E94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65093B3" w14:textId="77777777" w:rsidR="002C39F4" w:rsidRDefault="002C39F4" w:rsidP="002C39F4">
      <w:pPr>
        <w:rPr>
          <w:rFonts w:asciiTheme="minorBidi" w:hAnsiTheme="minorBidi"/>
          <w:rtl/>
        </w:rPr>
      </w:pPr>
      <w:r w:rsidRPr="003024E5">
        <w:rPr>
          <w:rFonts w:asciiTheme="minorBidi" w:hAnsiTheme="minorBidi"/>
          <w:rtl/>
        </w:rPr>
        <w:t xml:space="preserve">דג שמלחו </w:t>
      </w:r>
      <w:r>
        <w:rPr>
          <w:rFonts w:asciiTheme="minorBidi" w:hAnsiTheme="minorBidi"/>
          <w:rtl/>
        </w:rPr>
        <w:t>גוי</w:t>
      </w:r>
      <w:r w:rsidRPr="003024E5">
        <w:rPr>
          <w:rFonts w:asciiTheme="minorBidi" w:hAnsiTheme="minorBidi"/>
          <w:rtl/>
        </w:rPr>
        <w:t xml:space="preserve"> ופירות שעשנן עד שהכשירן לאכילה הרי אלו מותרין, דמלוח אינו כרותח בגזירה זו והמעושן אינו כמבושל. </w:t>
      </w:r>
      <w:r w:rsidRPr="009761CD">
        <w:rPr>
          <w:rFonts w:asciiTheme="minorBidi" w:hAnsiTheme="minorBidi"/>
          <w:sz w:val="18"/>
          <w:szCs w:val="18"/>
          <w:rtl/>
        </w:rPr>
        <w:t>הגה: גם כבוש אינו כמבושל, דלא אסרו אלא בישול של אש (טור).</w:t>
      </w:r>
      <w:r w:rsidRPr="003024E5">
        <w:rPr>
          <w:rFonts w:asciiTheme="minorBidi" w:hAnsiTheme="minorBidi"/>
          <w:rtl/>
        </w:rPr>
        <w:t xml:space="preserve"> </w:t>
      </w:r>
    </w:p>
    <w:p w14:paraId="1C3F0F60" w14:textId="77777777" w:rsidR="002C39F4" w:rsidRPr="003024E5" w:rsidRDefault="002C39F4" w:rsidP="002C39F4">
      <w:pPr>
        <w:rPr>
          <w:rFonts w:asciiTheme="minorBidi" w:hAnsiTheme="minorBidi"/>
          <w:rtl/>
        </w:rPr>
      </w:pPr>
    </w:p>
    <w:p w14:paraId="3A3D8515" w14:textId="77777777" w:rsidR="002C39F4" w:rsidRDefault="002C39F4" w:rsidP="002C39F4">
      <w:pPr>
        <w:pStyle w:val="2"/>
        <w:rPr>
          <w:rFonts w:asciiTheme="minorBidi" w:hAnsiTheme="minorBidi"/>
          <w:rtl/>
        </w:rPr>
      </w:pPr>
      <w:r w:rsidRPr="003024E5">
        <w:rPr>
          <w:rFonts w:asciiTheme="minorBidi" w:hAnsiTheme="minorBidi"/>
          <w:rtl/>
        </w:rPr>
        <w:t>סעיף יד</w:t>
      </w:r>
      <w:r>
        <w:rPr>
          <w:rFonts w:asciiTheme="minorBidi" w:hAnsiTheme="minorBidi" w:hint="cs"/>
          <w:rtl/>
        </w:rPr>
        <w:t>: ביצה.</w:t>
      </w:r>
    </w:p>
    <w:p w14:paraId="65273ABD" w14:textId="77777777" w:rsidR="002C39F4" w:rsidRPr="009C69D2" w:rsidRDefault="002C39F4" w:rsidP="002C39F4">
      <w:pPr>
        <w:rPr>
          <w:rtl/>
        </w:rPr>
      </w:pPr>
      <w:r>
        <w:rPr>
          <w:rFonts w:cs="Arial" w:hint="cs"/>
          <w:b/>
          <w:bCs/>
          <w:rtl/>
        </w:rPr>
        <w:t>עבודה זרה לח ע"ב:</w:t>
      </w:r>
      <w:r>
        <w:rPr>
          <w:rFonts w:hint="cs"/>
          <w:rtl/>
        </w:rPr>
        <w:t xml:space="preserve"> </w:t>
      </w:r>
      <w:r w:rsidRPr="00DA1A00">
        <w:rPr>
          <w:rFonts w:cs="Arial"/>
          <w:rtl/>
        </w:rPr>
        <w:t xml:space="preserve">ביצה צלויה - בר קפרא שרי, ור' יוחנן אסר. </w:t>
      </w:r>
      <w:r w:rsidRPr="00DA1A00">
        <w:rPr>
          <w:rFonts w:cs="Arial"/>
          <w:u w:val="single"/>
          <w:rtl/>
        </w:rPr>
        <w:t xml:space="preserve">כי אתא </w:t>
      </w:r>
      <w:r w:rsidRPr="00187461">
        <w:rPr>
          <w:rFonts w:cs="Arial"/>
          <w:u w:val="single"/>
          <w:rtl/>
        </w:rPr>
        <w:t>רב דימי</w:t>
      </w:r>
      <w:r w:rsidRPr="00DA1A00">
        <w:rPr>
          <w:rFonts w:cs="Arial"/>
          <w:u w:val="single"/>
          <w:rtl/>
        </w:rPr>
        <w:t xml:space="preserve"> אמר</w:t>
      </w:r>
      <w:r w:rsidRPr="00DA1A00">
        <w:rPr>
          <w:rFonts w:cs="Arial"/>
          <w:rtl/>
        </w:rPr>
        <w:t>: אחד דג מליח ואחד ביצה צלויה - חזקיה ובר קפרא שרו, ורבי יוחנן אסר.</w:t>
      </w:r>
      <w:r w:rsidRPr="00C74DE2">
        <w:rPr>
          <w:rFonts w:cs="Arial"/>
          <w:rtl/>
        </w:rPr>
        <w:t xml:space="preserve"> </w:t>
      </w:r>
      <w:r w:rsidRPr="00187461">
        <w:rPr>
          <w:rFonts w:cs="Arial"/>
          <w:rtl/>
        </w:rPr>
        <w:t xml:space="preserve">ר' חייא פרוואה איקלע לבי ריש גלותא, אמרו ליה: ביצה צלויה מאי? אמר להו: חזקיה ובר קפרא שרו, ור' יוחנן אסר, ואין דבריו של אחד במקום שנים. </w:t>
      </w:r>
      <w:r w:rsidRPr="0017105C">
        <w:rPr>
          <w:rFonts w:cs="Arial"/>
          <w:u w:val="single"/>
          <w:rtl/>
        </w:rPr>
        <w:t>אמר להו רב זביד</w:t>
      </w:r>
      <w:r w:rsidRPr="00187461">
        <w:rPr>
          <w:rFonts w:cs="Arial"/>
          <w:rtl/>
        </w:rPr>
        <w:t>: לא תציתו ליה, הכי אמר אביי: הלכתא כוותיה דרבי יוחנן. אשקיוהו נגוטא דחלא</w:t>
      </w:r>
      <w:r>
        <w:rPr>
          <w:rStyle w:val="a7"/>
          <w:rFonts w:cs="Arial"/>
          <w:rtl/>
        </w:rPr>
        <w:footnoteReference w:id="2781"/>
      </w:r>
      <w:r w:rsidRPr="00187461">
        <w:rPr>
          <w:rFonts w:cs="Arial"/>
          <w:rtl/>
        </w:rPr>
        <w:t xml:space="preserve"> ונח נפשיה.</w:t>
      </w:r>
      <w:r w:rsidRPr="0017105C">
        <w:rPr>
          <w:rtl/>
        </w:rPr>
        <w:t xml:space="preserve"> </w:t>
      </w:r>
      <w:r w:rsidRPr="0017105C">
        <w:rPr>
          <w:rFonts w:cs="Arial"/>
          <w:rtl/>
        </w:rPr>
        <w:t xml:space="preserve">ת"ר: הקפריסין, והקפלוטות, והמטליא, והחמין, והקליות שלהן - מותרין, ביצה צלויה </w:t>
      </w:r>
      <w:r>
        <w:rPr>
          <w:rFonts w:cs="Arial" w:hint="cs"/>
          <w:rtl/>
        </w:rPr>
        <w:t>-</w:t>
      </w:r>
      <w:r w:rsidRPr="0017105C">
        <w:rPr>
          <w:rFonts w:cs="Arial"/>
          <w:rtl/>
        </w:rPr>
        <w:t xml:space="preserve"> אסורה</w:t>
      </w:r>
      <w:r>
        <w:rPr>
          <w:rFonts w:cs="Arial" w:hint="cs"/>
          <w:rtl/>
        </w:rPr>
        <w:t>.</w:t>
      </w:r>
      <w:r>
        <w:rPr>
          <w:rFonts w:hint="cs"/>
          <w:rtl/>
        </w:rPr>
        <w:t xml:space="preserve"> </w:t>
      </w:r>
      <w:r w:rsidRPr="0017105C">
        <w:rPr>
          <w:rFonts w:hint="cs"/>
          <w:sz w:val="16"/>
          <w:szCs w:val="16"/>
          <w:rtl/>
        </w:rPr>
        <w:t>(</w:t>
      </w:r>
      <w:r w:rsidRPr="0017105C">
        <w:rPr>
          <w:rFonts w:cs="Arial"/>
          <w:sz w:val="16"/>
          <w:szCs w:val="16"/>
          <w:rtl/>
        </w:rPr>
        <w:t>ו</w:t>
      </w:r>
      <w:r>
        <w:rPr>
          <w:rFonts w:cs="Arial" w:hint="cs"/>
          <w:sz w:val="16"/>
          <w:szCs w:val="16"/>
          <w:rtl/>
        </w:rPr>
        <w:t>פסקו כל הפוסקים, כד</w:t>
      </w:r>
      <w:r w:rsidRPr="0017105C">
        <w:rPr>
          <w:rFonts w:cs="Arial"/>
          <w:sz w:val="16"/>
          <w:szCs w:val="16"/>
          <w:rtl/>
        </w:rPr>
        <w:t>איפסיקא בגמרא</w:t>
      </w:r>
      <w:r>
        <w:rPr>
          <w:rFonts w:cs="Arial" w:hint="cs"/>
          <w:sz w:val="16"/>
          <w:szCs w:val="16"/>
          <w:rtl/>
        </w:rPr>
        <w:t>,</w:t>
      </w:r>
      <w:r w:rsidRPr="0017105C">
        <w:rPr>
          <w:rFonts w:cs="Arial"/>
          <w:sz w:val="16"/>
          <w:szCs w:val="16"/>
          <w:rtl/>
        </w:rPr>
        <w:t xml:space="preserve"> </w:t>
      </w:r>
      <w:r>
        <w:rPr>
          <w:rFonts w:cs="Arial" w:hint="cs"/>
          <w:sz w:val="16"/>
          <w:szCs w:val="16"/>
          <w:rtl/>
        </w:rPr>
        <w:t>דאיכא בביצה משום בשולי גוים,</w:t>
      </w:r>
      <w:r w:rsidRPr="0017105C">
        <w:rPr>
          <w:rFonts w:cs="Arial"/>
          <w:sz w:val="16"/>
          <w:szCs w:val="16"/>
          <w:rtl/>
        </w:rPr>
        <w:t xml:space="preserve"> ו</w:t>
      </w:r>
      <w:r>
        <w:rPr>
          <w:rFonts w:cs="Arial" w:hint="cs"/>
          <w:sz w:val="16"/>
          <w:szCs w:val="16"/>
          <w:rtl/>
        </w:rPr>
        <w:t>כ' הב"י ד</w:t>
      </w:r>
      <w:r w:rsidRPr="0017105C">
        <w:rPr>
          <w:rFonts w:cs="Arial"/>
          <w:sz w:val="16"/>
          <w:szCs w:val="16"/>
          <w:rtl/>
        </w:rPr>
        <w:t>אע</w:t>
      </w:r>
      <w:r>
        <w:rPr>
          <w:rFonts w:cs="Arial" w:hint="cs"/>
          <w:sz w:val="16"/>
          <w:szCs w:val="16"/>
          <w:rtl/>
        </w:rPr>
        <w:t>"</w:t>
      </w:r>
      <w:r w:rsidRPr="0017105C">
        <w:rPr>
          <w:rFonts w:cs="Arial"/>
          <w:sz w:val="16"/>
          <w:szCs w:val="16"/>
          <w:rtl/>
        </w:rPr>
        <w:t>ג דביצה ראויה לגומעה חיה לא מיקרי נאכל כמות שהוא חי דאין זו אכילה חשובה</w:t>
      </w:r>
      <w:r>
        <w:rPr>
          <w:rFonts w:cs="Arial" w:hint="cs"/>
          <w:sz w:val="16"/>
          <w:szCs w:val="16"/>
          <w:rtl/>
        </w:rPr>
        <w:t>,</w:t>
      </w:r>
      <w:r w:rsidRPr="0017105C">
        <w:rPr>
          <w:rFonts w:cs="Arial"/>
          <w:sz w:val="16"/>
          <w:szCs w:val="16"/>
          <w:rtl/>
        </w:rPr>
        <w:t xml:space="preserve"> וכ</w:t>
      </w:r>
      <w:r>
        <w:rPr>
          <w:rFonts w:cs="Arial" w:hint="cs"/>
          <w:sz w:val="16"/>
          <w:szCs w:val="16"/>
          <w:rtl/>
        </w:rPr>
        <w:t>"</w:t>
      </w:r>
      <w:r w:rsidRPr="0017105C">
        <w:rPr>
          <w:rFonts w:cs="Arial"/>
          <w:sz w:val="16"/>
          <w:szCs w:val="16"/>
          <w:rtl/>
        </w:rPr>
        <w:t xml:space="preserve">כ </w:t>
      </w:r>
      <w:r>
        <w:rPr>
          <w:rFonts w:cs="Arial" w:hint="cs"/>
          <w:sz w:val="16"/>
          <w:szCs w:val="16"/>
          <w:rtl/>
        </w:rPr>
        <w:t xml:space="preserve">בשם </w:t>
      </w:r>
      <w:r w:rsidRPr="0017105C">
        <w:rPr>
          <w:rFonts w:cs="Arial"/>
          <w:sz w:val="16"/>
          <w:szCs w:val="16"/>
          <w:rtl/>
        </w:rPr>
        <w:t>התוס</w:t>
      </w:r>
      <w:r>
        <w:rPr>
          <w:rFonts w:cs="Arial" w:hint="cs"/>
          <w:sz w:val="16"/>
          <w:szCs w:val="16"/>
          <w:rtl/>
        </w:rPr>
        <w:t>'</w:t>
      </w:r>
      <w:r w:rsidRPr="0017105C">
        <w:rPr>
          <w:rFonts w:cs="Arial"/>
          <w:sz w:val="16"/>
          <w:szCs w:val="16"/>
          <w:rtl/>
        </w:rPr>
        <w:t xml:space="preserve"> בפרק החולץ (יבמות מו. ד"ה רבי יוחנן)</w:t>
      </w:r>
      <w:r>
        <w:rPr>
          <w:rFonts w:cs="Arial" w:hint="cs"/>
          <w:sz w:val="16"/>
          <w:szCs w:val="16"/>
          <w:rtl/>
        </w:rPr>
        <w:t>)</w:t>
      </w:r>
    </w:p>
    <w:p w14:paraId="2D0542C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DDF5ECD" w14:textId="77777777" w:rsidR="002C39F4" w:rsidRDefault="002C39F4" w:rsidP="002C39F4">
      <w:pPr>
        <w:rPr>
          <w:rFonts w:asciiTheme="minorBidi" w:hAnsiTheme="minorBidi"/>
          <w:rtl/>
        </w:rPr>
      </w:pPr>
      <w:r w:rsidRPr="003024E5">
        <w:rPr>
          <w:rFonts w:asciiTheme="minorBidi" w:hAnsiTheme="minorBidi"/>
          <w:rtl/>
        </w:rPr>
        <w:t>ביצה, אף על פי שראויה לגומעה חיה</w:t>
      </w:r>
      <w:r>
        <w:rPr>
          <w:rFonts w:asciiTheme="minorBidi" w:hAnsiTheme="minorBidi" w:hint="cs"/>
          <w:rtl/>
        </w:rPr>
        <w:t>,</w:t>
      </w:r>
      <w:r w:rsidRPr="003024E5">
        <w:rPr>
          <w:rFonts w:asciiTheme="minorBidi" w:hAnsiTheme="minorBidi"/>
          <w:rtl/>
        </w:rPr>
        <w:t xml:space="preserve"> אם בשלה </w:t>
      </w:r>
      <w:r>
        <w:rPr>
          <w:rFonts w:asciiTheme="minorBidi" w:hAnsiTheme="minorBidi"/>
          <w:rtl/>
        </w:rPr>
        <w:t>גוי</w:t>
      </w:r>
      <w:r w:rsidRPr="003024E5">
        <w:rPr>
          <w:rFonts w:asciiTheme="minorBidi" w:hAnsiTheme="minorBidi"/>
          <w:rtl/>
        </w:rPr>
        <w:t xml:space="preserve"> אסורה</w:t>
      </w:r>
      <w:r>
        <w:rPr>
          <w:rStyle w:val="a7"/>
          <w:rFonts w:asciiTheme="minorBidi" w:hAnsiTheme="minorBidi"/>
          <w:rtl/>
        </w:rPr>
        <w:footnoteReference w:id="2782"/>
      </w:r>
      <w:r w:rsidRPr="003024E5">
        <w:rPr>
          <w:rFonts w:asciiTheme="minorBidi" w:hAnsiTheme="minorBidi"/>
          <w:rtl/>
        </w:rPr>
        <w:t xml:space="preserve">. </w:t>
      </w:r>
    </w:p>
    <w:p w14:paraId="3D44B324" w14:textId="77777777" w:rsidR="002C39F4" w:rsidRPr="003024E5" w:rsidRDefault="002C39F4" w:rsidP="002C39F4">
      <w:pPr>
        <w:rPr>
          <w:rFonts w:asciiTheme="minorBidi" w:hAnsiTheme="minorBidi"/>
          <w:rtl/>
        </w:rPr>
      </w:pPr>
    </w:p>
    <w:p w14:paraId="0F994FA9" w14:textId="77777777" w:rsidR="002C39F4" w:rsidRDefault="002C39F4" w:rsidP="002C39F4">
      <w:pPr>
        <w:pStyle w:val="2"/>
        <w:rPr>
          <w:rFonts w:asciiTheme="minorBidi" w:hAnsiTheme="minorBidi"/>
          <w:rtl/>
        </w:rPr>
      </w:pPr>
      <w:r w:rsidRPr="003024E5">
        <w:rPr>
          <w:rFonts w:asciiTheme="minorBidi" w:hAnsiTheme="minorBidi"/>
          <w:rtl/>
        </w:rPr>
        <w:t>סעיף טו</w:t>
      </w:r>
      <w:r>
        <w:rPr>
          <w:rFonts w:asciiTheme="minorBidi" w:hAnsiTheme="minorBidi" w:hint="cs"/>
          <w:rtl/>
        </w:rPr>
        <w:t>: תמרים המרים.</w:t>
      </w:r>
    </w:p>
    <w:p w14:paraId="0791C93C" w14:textId="77777777" w:rsidR="002C39F4" w:rsidRDefault="002C39F4" w:rsidP="002C39F4">
      <w:pPr>
        <w:rPr>
          <w:rtl/>
        </w:rPr>
      </w:pPr>
      <w:r>
        <w:rPr>
          <w:rFonts w:cs="Arial" w:hint="cs"/>
          <w:b/>
          <w:bCs/>
          <w:rtl/>
        </w:rPr>
        <w:t>עבודה זרה לח ע"ב:</w:t>
      </w:r>
      <w:r>
        <w:rPr>
          <w:rFonts w:hint="cs"/>
          <w:rtl/>
        </w:rPr>
        <w:t xml:space="preserve"> </w:t>
      </w:r>
      <w:r w:rsidRPr="0017105C">
        <w:rPr>
          <w:rFonts w:cs="Arial"/>
          <w:u w:val="single"/>
          <w:rtl/>
        </w:rPr>
        <w:t>בעו מיניה מרבי אסי</w:t>
      </w:r>
      <w:r w:rsidRPr="0017105C">
        <w:rPr>
          <w:rFonts w:cs="Arial"/>
          <w:rtl/>
        </w:rPr>
        <w:t>: הני אהיני שליקי דארמאי מאי? חוליי לא תיבעי לך</w:t>
      </w:r>
      <w:r>
        <w:rPr>
          <w:rStyle w:val="a7"/>
          <w:rFonts w:cs="Arial"/>
          <w:rtl/>
        </w:rPr>
        <w:footnoteReference w:id="2783"/>
      </w:r>
      <w:r w:rsidRPr="0017105C">
        <w:rPr>
          <w:rFonts w:cs="Arial"/>
          <w:rtl/>
        </w:rPr>
        <w:t xml:space="preserve"> - דודאי שרו, מרירי</w:t>
      </w:r>
      <w:r>
        <w:rPr>
          <w:rStyle w:val="a7"/>
          <w:rFonts w:cs="Arial"/>
          <w:rtl/>
        </w:rPr>
        <w:footnoteReference w:id="2784"/>
      </w:r>
      <w:r w:rsidRPr="0017105C">
        <w:rPr>
          <w:rFonts w:cs="Arial"/>
          <w:rtl/>
        </w:rPr>
        <w:t xml:space="preserve"> לא תיבעי לך - דודאי אסירי, כי תיבעי לך - מציעאי</w:t>
      </w:r>
      <w:r>
        <w:rPr>
          <w:rStyle w:val="a7"/>
          <w:rFonts w:cs="Arial"/>
          <w:rtl/>
        </w:rPr>
        <w:footnoteReference w:id="2785"/>
      </w:r>
      <w:r w:rsidRPr="0017105C">
        <w:rPr>
          <w:rFonts w:cs="Arial"/>
          <w:rtl/>
        </w:rPr>
        <w:t xml:space="preserve"> מאי? </w:t>
      </w:r>
      <w:r w:rsidRPr="0017105C">
        <w:rPr>
          <w:rFonts w:cs="Arial"/>
          <w:u w:val="single"/>
          <w:rtl/>
        </w:rPr>
        <w:t>אמר להו</w:t>
      </w:r>
      <w:r w:rsidRPr="0017105C">
        <w:rPr>
          <w:rFonts w:cs="Arial"/>
          <w:rtl/>
        </w:rPr>
        <w:t>: מאי תיבעי להו דרבי אסר</w:t>
      </w:r>
      <w:r>
        <w:rPr>
          <w:rFonts w:cs="Arial" w:hint="cs"/>
          <w:rtl/>
        </w:rPr>
        <w:t>.</w:t>
      </w:r>
      <w:r w:rsidRPr="0017105C">
        <w:rPr>
          <w:rFonts w:cs="Arial"/>
          <w:rtl/>
        </w:rPr>
        <w:t xml:space="preserve"> ומנו</w:t>
      </w:r>
      <w:r>
        <w:rPr>
          <w:rFonts w:cs="Arial" w:hint="cs"/>
          <w:rtl/>
        </w:rPr>
        <w:t xml:space="preserve"> -</w:t>
      </w:r>
      <w:r w:rsidRPr="0017105C">
        <w:rPr>
          <w:rFonts w:cs="Arial"/>
          <w:rtl/>
        </w:rPr>
        <w:t xml:space="preserve"> לוי. </w:t>
      </w:r>
      <w:r>
        <w:rPr>
          <w:rFonts w:cs="Arial" w:hint="cs"/>
          <w:sz w:val="16"/>
          <w:szCs w:val="16"/>
          <w:rtl/>
        </w:rPr>
        <w:t>(</w:t>
      </w:r>
      <w:r w:rsidRPr="00535557">
        <w:rPr>
          <w:rFonts w:cs="Arial" w:hint="cs"/>
          <w:sz w:val="16"/>
          <w:szCs w:val="16"/>
          <w:rtl/>
        </w:rPr>
        <w:t xml:space="preserve">וכתבו </w:t>
      </w:r>
      <w:r w:rsidRPr="00535557">
        <w:rPr>
          <w:rFonts w:cs="Arial"/>
          <w:sz w:val="16"/>
          <w:szCs w:val="16"/>
          <w:rtl/>
        </w:rPr>
        <w:t>הרשב"א (</w:t>
      </w:r>
      <w:r>
        <w:rPr>
          <w:rFonts w:cs="Arial" w:hint="cs"/>
          <w:sz w:val="16"/>
          <w:szCs w:val="16"/>
          <w:rtl/>
        </w:rPr>
        <w:t>תוה"</w:t>
      </w:r>
      <w:r w:rsidRPr="00535557">
        <w:rPr>
          <w:rFonts w:cs="Arial"/>
          <w:sz w:val="16"/>
          <w:szCs w:val="16"/>
          <w:rtl/>
        </w:rPr>
        <w:t xml:space="preserve">ק </w:t>
      </w:r>
      <w:r>
        <w:rPr>
          <w:rFonts w:cs="Arial" w:hint="cs"/>
          <w:sz w:val="16"/>
          <w:szCs w:val="16"/>
          <w:rtl/>
        </w:rPr>
        <w:t>ותוה"א</w:t>
      </w:r>
      <w:r w:rsidRPr="00535557">
        <w:rPr>
          <w:rFonts w:cs="Arial"/>
          <w:sz w:val="16"/>
          <w:szCs w:val="16"/>
          <w:rtl/>
        </w:rPr>
        <w:t xml:space="preserve"> ב"ג ש"ז צד:) </w:t>
      </w:r>
      <w:r w:rsidRPr="00535557">
        <w:rPr>
          <w:rFonts w:cs="Arial" w:hint="cs"/>
          <w:sz w:val="16"/>
          <w:szCs w:val="16"/>
          <w:rtl/>
        </w:rPr>
        <w:t>והטור</w:t>
      </w:r>
      <w:r w:rsidRPr="00535557">
        <w:rPr>
          <w:rFonts w:hint="cs"/>
          <w:sz w:val="16"/>
          <w:szCs w:val="16"/>
          <w:rtl/>
        </w:rPr>
        <w:t xml:space="preserve">- </w:t>
      </w:r>
      <w:r w:rsidRPr="00535557">
        <w:rPr>
          <w:rFonts w:cs="Arial"/>
          <w:sz w:val="16"/>
          <w:szCs w:val="16"/>
          <w:rtl/>
        </w:rPr>
        <w:t xml:space="preserve">תמרים מתוקין שבשלם </w:t>
      </w:r>
      <w:r w:rsidRPr="00535557">
        <w:rPr>
          <w:rFonts w:cs="Arial" w:hint="cs"/>
          <w:sz w:val="16"/>
          <w:szCs w:val="16"/>
          <w:rtl/>
        </w:rPr>
        <w:t>גוי</w:t>
      </w:r>
      <w:r w:rsidRPr="00535557">
        <w:rPr>
          <w:rFonts w:cs="Arial"/>
          <w:sz w:val="16"/>
          <w:szCs w:val="16"/>
          <w:rtl/>
        </w:rPr>
        <w:t xml:space="preserve"> מותרים שנאכלין לכל כשהן חיין</w:t>
      </w:r>
      <w:r w:rsidRPr="00535557">
        <w:rPr>
          <w:rFonts w:cs="Arial" w:hint="cs"/>
          <w:sz w:val="16"/>
          <w:szCs w:val="16"/>
          <w:rtl/>
        </w:rPr>
        <w:t>,</w:t>
      </w:r>
      <w:r w:rsidRPr="00535557">
        <w:rPr>
          <w:rFonts w:cs="Arial"/>
          <w:sz w:val="16"/>
          <w:szCs w:val="16"/>
          <w:rtl/>
        </w:rPr>
        <w:t xml:space="preserve"> המרים הרבה שאין נאכלים אלא ע"י האור ואפילו הבינוניים שיש קצת אנשים שאוכלים אותן כשהן חיין אסורין לפי שאין נאכלין אלא ע"י דוחק גדול</w:t>
      </w:r>
      <w:r>
        <w:rPr>
          <w:rFonts w:cs="Arial" w:hint="cs"/>
          <w:sz w:val="16"/>
          <w:szCs w:val="16"/>
          <w:rtl/>
        </w:rPr>
        <w:t>)</w:t>
      </w:r>
    </w:p>
    <w:p w14:paraId="7EE1B72B" w14:textId="77777777" w:rsidR="002C39F4" w:rsidRDefault="002C39F4" w:rsidP="002C39F4">
      <w:pPr>
        <w:rPr>
          <w:rFonts w:cs="Arial"/>
          <w:rtl/>
        </w:rPr>
      </w:pPr>
      <w:r w:rsidRPr="00535557">
        <w:rPr>
          <w:rFonts w:cs="Arial" w:hint="cs"/>
          <w:u w:val="single"/>
          <w:rtl/>
        </w:rPr>
        <w:t>אגסים ותפ</w:t>
      </w:r>
      <w:r>
        <w:rPr>
          <w:rFonts w:cs="Arial" w:hint="cs"/>
          <w:u w:val="single"/>
          <w:rtl/>
        </w:rPr>
        <w:t>ו</w:t>
      </w:r>
      <w:r w:rsidRPr="00535557">
        <w:rPr>
          <w:rFonts w:cs="Arial" w:hint="cs"/>
          <w:u w:val="single"/>
          <w:rtl/>
        </w:rPr>
        <w:t>חים שבשלן גוי:</w:t>
      </w:r>
    </w:p>
    <w:p w14:paraId="343CEB8D" w14:textId="77777777" w:rsidR="002C39F4" w:rsidRPr="009C69D2" w:rsidRDefault="002C39F4" w:rsidP="0032102C">
      <w:pPr>
        <w:pStyle w:val="a8"/>
        <w:numPr>
          <w:ilvl w:val="0"/>
          <w:numId w:val="288"/>
        </w:numPr>
        <w:rPr>
          <w:rtl/>
        </w:rPr>
      </w:pPr>
      <w:r>
        <w:rPr>
          <w:rFonts w:cs="Arial"/>
          <w:rtl/>
        </w:rPr>
        <w:t>או"ה</w:t>
      </w:r>
      <w:r w:rsidRPr="00535557">
        <w:rPr>
          <w:rFonts w:cs="Arial"/>
          <w:rtl/>
        </w:rPr>
        <w:t xml:space="preserve"> </w:t>
      </w:r>
      <w:r w:rsidRPr="00535557">
        <w:rPr>
          <w:rFonts w:cs="Arial" w:hint="cs"/>
          <w:sz w:val="16"/>
          <w:szCs w:val="16"/>
          <w:rtl/>
        </w:rPr>
        <w:t>(</w:t>
      </w:r>
      <w:r w:rsidRPr="00535557">
        <w:rPr>
          <w:rFonts w:cs="Arial"/>
          <w:sz w:val="16"/>
          <w:szCs w:val="16"/>
          <w:rtl/>
        </w:rPr>
        <w:t xml:space="preserve">כלל מג דין </w:t>
      </w:r>
      <w:r>
        <w:rPr>
          <w:rFonts w:cs="Arial" w:hint="cs"/>
          <w:sz w:val="16"/>
          <w:szCs w:val="16"/>
          <w:rtl/>
        </w:rPr>
        <w:t>ד, הביא הש"ך [סקי"ט] חלק מדבריו</w:t>
      </w:r>
      <w:r w:rsidRPr="00535557">
        <w:rPr>
          <w:rFonts w:cs="Arial" w:hint="cs"/>
          <w:sz w:val="16"/>
          <w:szCs w:val="16"/>
          <w:rtl/>
        </w:rPr>
        <w:t>)</w:t>
      </w:r>
      <w:r w:rsidRPr="00535557">
        <w:rPr>
          <w:rFonts w:cs="Arial" w:hint="cs"/>
          <w:rtl/>
        </w:rPr>
        <w:t>-</w:t>
      </w:r>
      <w:r w:rsidRPr="00535557">
        <w:rPr>
          <w:rFonts w:cs="Arial"/>
          <w:rtl/>
        </w:rPr>
        <w:t xml:space="preserve"> אגסין ותפוחין ושאר פירות שדרכן לאוכלן חיין מותר לקנותם בשוק מבושלין מן </w:t>
      </w:r>
      <w:r>
        <w:rPr>
          <w:rFonts w:cs="Arial" w:hint="cs"/>
          <w:rtl/>
        </w:rPr>
        <w:t>הגוי</w:t>
      </w:r>
      <w:r w:rsidRPr="00535557">
        <w:rPr>
          <w:rFonts w:cs="Arial"/>
          <w:rtl/>
        </w:rPr>
        <w:t xml:space="preserve"> שדרכן למוכרן כל ימות השנה שקורין ואגונ"ר ואין בה משום בשולי </w:t>
      </w:r>
      <w:r>
        <w:rPr>
          <w:rFonts w:cs="Arial" w:hint="cs"/>
          <w:rtl/>
        </w:rPr>
        <w:t>גוים</w:t>
      </w:r>
      <w:r w:rsidRPr="00535557">
        <w:rPr>
          <w:rFonts w:cs="Arial"/>
          <w:rtl/>
        </w:rPr>
        <w:t xml:space="preserve"> שהרי נאכלין חיין</w:t>
      </w:r>
      <w:r>
        <w:rPr>
          <w:rFonts w:cs="Arial" w:hint="cs"/>
          <w:rtl/>
        </w:rPr>
        <w:t>,</w:t>
      </w:r>
      <w:r w:rsidRPr="00535557">
        <w:rPr>
          <w:rFonts w:cs="Arial"/>
          <w:rtl/>
        </w:rPr>
        <w:t xml:space="preserve"> ולא משום גיעולי </w:t>
      </w:r>
      <w:r>
        <w:rPr>
          <w:rFonts w:cs="Arial" w:hint="cs"/>
          <w:rtl/>
        </w:rPr>
        <w:t>גוים</w:t>
      </w:r>
      <w:r w:rsidRPr="00535557">
        <w:rPr>
          <w:rFonts w:cs="Arial"/>
          <w:rtl/>
        </w:rPr>
        <w:t xml:space="preserve"> פי' הפלטת כליהם דמתוך שדרכן למוכרן כל ימות השנה ודאי יש להן כלים מיוחדין לזה </w:t>
      </w:r>
      <w:r w:rsidRPr="00535557">
        <w:rPr>
          <w:rFonts w:cs="Arial"/>
          <w:sz w:val="16"/>
          <w:szCs w:val="16"/>
          <w:rtl/>
        </w:rPr>
        <w:t>(נ"ב ועוד סתם כליהם של כנענים אינו ב"י ונטל"פ)</w:t>
      </w:r>
      <w:r>
        <w:rPr>
          <w:rFonts w:cs="Arial" w:hint="cs"/>
          <w:rtl/>
        </w:rPr>
        <w:t>,</w:t>
      </w:r>
      <w:r w:rsidRPr="00535557">
        <w:rPr>
          <w:rFonts w:cs="Arial"/>
          <w:rtl/>
        </w:rPr>
        <w:t xml:space="preserve"> ועוד כתב הר"ם תמרים ששלקו זרים אם הוי מתוקים מתחילתם הרי אלו מותרים ואם היו מרים ומתקן הבישול הרי אלו אסורי' עכ"ל</w:t>
      </w:r>
      <w:r>
        <w:rPr>
          <w:rFonts w:cs="Arial" w:hint="cs"/>
          <w:rtl/>
        </w:rPr>
        <w:t>,</w:t>
      </w:r>
      <w:r w:rsidRPr="00535557">
        <w:rPr>
          <w:rFonts w:cs="Arial"/>
          <w:rtl/>
        </w:rPr>
        <w:t xml:space="preserve"> ומיהו הני אגסין הקשין אעפ"י שרוב אכילתן ע"י צלי ובישול</w:t>
      </w:r>
      <w:r>
        <w:rPr>
          <w:rFonts w:cs="Arial" w:hint="cs"/>
          <w:rtl/>
        </w:rPr>
        <w:t xml:space="preserve">, </w:t>
      </w:r>
      <w:r w:rsidRPr="00535557">
        <w:rPr>
          <w:rFonts w:cs="Arial"/>
          <w:rtl/>
        </w:rPr>
        <w:t xml:space="preserve">אם צלאן ובשלן </w:t>
      </w:r>
      <w:r>
        <w:rPr>
          <w:rFonts w:cs="Arial" w:hint="cs"/>
          <w:rtl/>
        </w:rPr>
        <w:t>גו</w:t>
      </w:r>
      <w:r w:rsidRPr="00535557">
        <w:rPr>
          <w:rFonts w:cs="Arial"/>
          <w:rtl/>
        </w:rPr>
        <w:t xml:space="preserve">י מותרין דמ"מ נאכלין ג"כ חיין </w:t>
      </w:r>
      <w:r w:rsidRPr="00535557">
        <w:rPr>
          <w:rFonts w:cs="Arial"/>
          <w:sz w:val="16"/>
          <w:szCs w:val="16"/>
          <w:rtl/>
        </w:rPr>
        <w:t>(נ"ב ולא דמי לערמונים וחבושין דאין נאכלין חיין כלל ואין מברך עליהן בפה"ע כשהן חיין)</w:t>
      </w:r>
      <w:r w:rsidRPr="00535557">
        <w:rPr>
          <w:rFonts w:cs="Arial"/>
          <w:rtl/>
        </w:rPr>
        <w:t xml:space="preserve"> ועוד שרוב שבמינו עיקר אכילתו חי</w:t>
      </w:r>
      <w:r w:rsidRPr="00535557">
        <w:rPr>
          <w:rFonts w:cs="Arial" w:hint="cs"/>
          <w:rtl/>
        </w:rPr>
        <w:t>.</w:t>
      </w:r>
    </w:p>
    <w:p w14:paraId="20254EA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247FD24" w14:textId="77777777" w:rsidR="002C39F4" w:rsidRDefault="002C39F4" w:rsidP="002C39F4">
      <w:pPr>
        <w:rPr>
          <w:rFonts w:asciiTheme="minorBidi" w:hAnsiTheme="minorBidi"/>
          <w:rtl/>
        </w:rPr>
      </w:pPr>
      <w:r w:rsidRPr="003024E5">
        <w:rPr>
          <w:rFonts w:asciiTheme="minorBidi" w:hAnsiTheme="minorBidi"/>
          <w:rtl/>
        </w:rPr>
        <w:t xml:space="preserve">תמרים המרים קצת, שאינם נאכלים אלא על ידי הדחק, אם בשלם </w:t>
      </w:r>
      <w:r>
        <w:rPr>
          <w:rFonts w:asciiTheme="minorBidi" w:hAnsiTheme="minorBidi"/>
          <w:rtl/>
        </w:rPr>
        <w:t>גוי</w:t>
      </w:r>
      <w:r w:rsidRPr="003024E5">
        <w:rPr>
          <w:rFonts w:asciiTheme="minorBidi" w:hAnsiTheme="minorBidi"/>
          <w:rtl/>
        </w:rPr>
        <w:t xml:space="preserve">, אסורים. </w:t>
      </w:r>
    </w:p>
    <w:p w14:paraId="2EC7340F" w14:textId="77777777" w:rsidR="002C39F4" w:rsidRPr="003024E5" w:rsidRDefault="002C39F4" w:rsidP="002C39F4">
      <w:pPr>
        <w:rPr>
          <w:rFonts w:asciiTheme="minorBidi" w:hAnsiTheme="minorBidi"/>
          <w:rtl/>
        </w:rPr>
      </w:pPr>
    </w:p>
    <w:p w14:paraId="2B24DF18" w14:textId="77777777" w:rsidR="002C39F4" w:rsidRDefault="002C39F4" w:rsidP="002C39F4">
      <w:pPr>
        <w:pStyle w:val="2"/>
        <w:rPr>
          <w:rFonts w:asciiTheme="minorBidi" w:hAnsiTheme="minorBidi"/>
          <w:rtl/>
        </w:rPr>
      </w:pPr>
      <w:r w:rsidRPr="003024E5">
        <w:rPr>
          <w:rFonts w:asciiTheme="minorBidi" w:hAnsiTheme="minorBidi"/>
          <w:rtl/>
        </w:rPr>
        <w:t>סעיף טז</w:t>
      </w:r>
      <w:r>
        <w:rPr>
          <w:rFonts w:asciiTheme="minorBidi" w:hAnsiTheme="minorBidi" w:hint="cs"/>
          <w:rtl/>
        </w:rPr>
        <w:t>: כלים שגוי בישל בהם דבר שיש בו משום בשולי גוים.</w:t>
      </w:r>
    </w:p>
    <w:p w14:paraId="408F65AC" w14:textId="77777777" w:rsidR="002C39F4" w:rsidRPr="00D26CBC" w:rsidRDefault="002C39F4" w:rsidP="002C39F4">
      <w:pPr>
        <w:rPr>
          <w:u w:val="single"/>
          <w:rtl/>
        </w:rPr>
      </w:pPr>
      <w:r w:rsidRPr="00D26CBC">
        <w:rPr>
          <w:rFonts w:hint="cs"/>
          <w:u w:val="single"/>
          <w:rtl/>
        </w:rPr>
        <w:t>כלים שגוי בישל בהם דבר שיש בו משום בשולי גוים:</w:t>
      </w:r>
    </w:p>
    <w:p w14:paraId="583C5C09" w14:textId="77777777" w:rsidR="002C39F4" w:rsidRDefault="002C39F4" w:rsidP="0032102C">
      <w:pPr>
        <w:pStyle w:val="a8"/>
        <w:numPr>
          <w:ilvl w:val="0"/>
          <w:numId w:val="288"/>
        </w:numPr>
      </w:pPr>
      <w:r>
        <w:rPr>
          <w:rFonts w:cs="Arial" w:hint="cs"/>
          <w:rtl/>
        </w:rPr>
        <w:t>סה"ת</w:t>
      </w:r>
      <w:r>
        <w:rPr>
          <w:rStyle w:val="a7"/>
          <w:rFonts w:cs="Arial"/>
          <w:rtl/>
        </w:rPr>
        <w:footnoteReference w:id="2786"/>
      </w:r>
      <w:r>
        <w:rPr>
          <w:rFonts w:cs="Arial" w:hint="cs"/>
          <w:sz w:val="16"/>
          <w:szCs w:val="16"/>
          <w:rtl/>
        </w:rPr>
        <w:t xml:space="preserve"> (להב' הרשב"א)</w:t>
      </w:r>
      <w:r w:rsidRPr="00D26CBC">
        <w:rPr>
          <w:rFonts w:cs="Arial"/>
          <w:rtl/>
        </w:rPr>
        <w:t xml:space="preserve"> רשב"א </w:t>
      </w:r>
      <w:r>
        <w:rPr>
          <w:rFonts w:cs="Arial" w:hint="cs"/>
          <w:rtl/>
        </w:rPr>
        <w:t>ור"ן</w:t>
      </w:r>
      <w:r>
        <w:rPr>
          <w:rStyle w:val="a7"/>
          <w:rFonts w:cs="Arial"/>
          <w:rtl/>
        </w:rPr>
        <w:footnoteReference w:id="2787"/>
      </w:r>
      <w:r w:rsidRPr="00D26CBC">
        <w:rPr>
          <w:rFonts w:cs="Arial" w:hint="cs"/>
          <w:rtl/>
        </w:rPr>
        <w:t xml:space="preserve">- </w:t>
      </w:r>
      <w:r w:rsidRPr="00D26CBC">
        <w:rPr>
          <w:rFonts w:cs="Arial"/>
          <w:rtl/>
        </w:rPr>
        <w:t>כלים שבישל בהם הגוי לפנינו דבר שיש בו משום בישולי גוים מסתברא שצריכין הכשר דכל שאסרוהו חכמים</w:t>
      </w:r>
      <w:r>
        <w:rPr>
          <w:rFonts w:cs="Arial" w:hint="cs"/>
          <w:rtl/>
        </w:rPr>
        <w:t xml:space="preserve"> </w:t>
      </w:r>
      <w:r w:rsidRPr="00D26CBC">
        <w:rPr>
          <w:rFonts w:cs="Arial" w:hint="cs"/>
          <w:rtl/>
        </w:rPr>
        <w:t>-</w:t>
      </w:r>
      <w:r w:rsidRPr="00D26CBC">
        <w:rPr>
          <w:rFonts w:cs="Arial"/>
          <w:rtl/>
        </w:rPr>
        <w:t xml:space="preserve"> פליטתו</w:t>
      </w:r>
      <w:r>
        <w:rPr>
          <w:rFonts w:cs="Arial" w:hint="cs"/>
          <w:rtl/>
        </w:rPr>
        <w:t xml:space="preserve"> אסורה</w:t>
      </w:r>
      <w:r w:rsidRPr="00D26CBC">
        <w:rPr>
          <w:rFonts w:cs="Arial"/>
          <w:rtl/>
        </w:rPr>
        <w:t xml:space="preserve"> כמוהו</w:t>
      </w:r>
      <w:r w:rsidRPr="00D26CBC">
        <w:rPr>
          <w:rFonts w:cs="Arial" w:hint="cs"/>
          <w:rtl/>
        </w:rPr>
        <w:t>,</w:t>
      </w:r>
      <w:r w:rsidRPr="00D26CBC">
        <w:rPr>
          <w:rFonts w:cs="Arial"/>
          <w:rtl/>
        </w:rPr>
        <w:t xml:space="preserve"> דהא אפילו שמנו של גיד דאינו אלא ממנהג קדושים </w:t>
      </w:r>
      <w:r w:rsidRPr="00D26CBC">
        <w:rPr>
          <w:rFonts w:cs="Arial"/>
          <w:sz w:val="16"/>
          <w:szCs w:val="16"/>
          <w:rtl/>
        </w:rPr>
        <w:t>(חולין צא.)</w:t>
      </w:r>
      <w:r w:rsidRPr="00D26CBC">
        <w:rPr>
          <w:rFonts w:cs="Arial"/>
          <w:rtl/>
        </w:rPr>
        <w:t xml:space="preserve"> אוסר תערובתו</w:t>
      </w:r>
      <w:r w:rsidRPr="00D26CBC">
        <w:rPr>
          <w:rFonts w:cs="Arial" w:hint="cs"/>
          <w:rtl/>
        </w:rPr>
        <w:t>,</w:t>
      </w:r>
      <w:r w:rsidRPr="00D26CBC">
        <w:rPr>
          <w:rFonts w:cs="Arial"/>
          <w:rtl/>
        </w:rPr>
        <w:t xml:space="preserve"> בין בתערובת בין בצירו ורוטבו</w:t>
      </w:r>
      <w:r>
        <w:rPr>
          <w:rFonts w:cs="Arial" w:hint="cs"/>
          <w:rtl/>
        </w:rPr>
        <w:t>,</w:t>
      </w:r>
      <w:r w:rsidRPr="00D26CBC">
        <w:rPr>
          <w:rFonts w:cs="Arial"/>
          <w:rtl/>
        </w:rPr>
        <w:t xml:space="preserve"> וכן כל איסורין של דבריהם ככחל וגבינה של גוים וטעמא דכל שאסרוהו חכמים כעין דאו</w:t>
      </w:r>
      <w:r>
        <w:rPr>
          <w:rFonts w:cs="Arial" w:hint="cs"/>
          <w:rtl/>
        </w:rPr>
        <w:t>'</w:t>
      </w:r>
      <w:r w:rsidRPr="00D26CBC">
        <w:rPr>
          <w:rFonts w:cs="Arial"/>
          <w:rtl/>
        </w:rPr>
        <w:t xml:space="preserve"> אסרו </w:t>
      </w:r>
      <w:r w:rsidRPr="00D26CBC">
        <w:rPr>
          <w:rFonts w:cs="Arial"/>
          <w:sz w:val="16"/>
          <w:szCs w:val="16"/>
          <w:rtl/>
        </w:rPr>
        <w:t>(פסחים ל:)</w:t>
      </w:r>
      <w:r w:rsidRPr="00D26CBC">
        <w:rPr>
          <w:rFonts w:cs="Arial" w:hint="cs"/>
          <w:rtl/>
        </w:rPr>
        <w:t>,</w:t>
      </w:r>
      <w:r w:rsidRPr="00D26CBC">
        <w:rPr>
          <w:rFonts w:cs="Arial"/>
          <w:rtl/>
        </w:rPr>
        <w:t xml:space="preserve"> והלכך צריך </w:t>
      </w:r>
      <w:r>
        <w:rPr>
          <w:rFonts w:cs="Arial" w:hint="cs"/>
          <w:rtl/>
        </w:rPr>
        <w:t xml:space="preserve">ליזהר </w:t>
      </w:r>
      <w:r w:rsidRPr="00D26CBC">
        <w:rPr>
          <w:rFonts w:cs="Arial"/>
          <w:rtl/>
        </w:rPr>
        <w:t>בשפחות שלנו שרגילות לבשל לעצמן בקדרה שלנו שיניח ישראל ע"ג האש או שיהפך קודם שיגיע למא</w:t>
      </w:r>
      <w:r>
        <w:rPr>
          <w:rFonts w:cs="Arial" w:hint="cs"/>
          <w:rtl/>
        </w:rPr>
        <w:t>ב"ד</w:t>
      </w:r>
      <w:r w:rsidRPr="00D26CBC">
        <w:rPr>
          <w:rFonts w:cs="Arial"/>
          <w:rtl/>
        </w:rPr>
        <w:t xml:space="preserve"> דאי לא הקדרה שנתבשל בה והקערה שנאכל בה אסורה דכל שהמאכל אסור הכלים שבלעו ממנו אסורים</w:t>
      </w:r>
      <w:r w:rsidRPr="00D26CBC">
        <w:rPr>
          <w:rFonts w:cs="Arial" w:hint="cs"/>
          <w:rtl/>
        </w:rPr>
        <w:t>,</w:t>
      </w:r>
      <w:r w:rsidRPr="00D26CBC">
        <w:rPr>
          <w:rFonts w:cs="Arial"/>
          <w:rtl/>
        </w:rPr>
        <w:t xml:space="preserve"> אם של חרס ישבור</w:t>
      </w:r>
      <w:r w:rsidRPr="00D26CBC">
        <w:rPr>
          <w:rFonts w:cs="Arial" w:hint="cs"/>
          <w:rtl/>
        </w:rPr>
        <w:t>,</w:t>
      </w:r>
      <w:r w:rsidRPr="00D26CBC">
        <w:rPr>
          <w:rFonts w:cs="Arial"/>
          <w:rtl/>
        </w:rPr>
        <w:t xml:space="preserve"> ואם של כלי שטף יגעיל</w:t>
      </w:r>
      <w:r w:rsidRPr="00D26CBC">
        <w:rPr>
          <w:rFonts w:cs="Arial" w:hint="cs"/>
          <w:rtl/>
        </w:rPr>
        <w:t>,</w:t>
      </w:r>
      <w:r w:rsidRPr="00D26CBC">
        <w:rPr>
          <w:rFonts w:cs="Arial"/>
          <w:rtl/>
        </w:rPr>
        <w:t xml:space="preserve"> כדרך כלים שבלעו מן האיסורין</w:t>
      </w:r>
      <w:r>
        <w:rPr>
          <w:rStyle w:val="a7"/>
          <w:rFonts w:cs="Arial"/>
          <w:rtl/>
        </w:rPr>
        <w:footnoteReference w:id="2788"/>
      </w:r>
      <w:r>
        <w:rPr>
          <w:rFonts w:cs="Arial" w:hint="cs"/>
          <w:rtl/>
        </w:rPr>
        <w:t xml:space="preserve">. מ"מ </w:t>
      </w:r>
      <w:r w:rsidRPr="00CC1777">
        <w:rPr>
          <w:rFonts w:cs="Arial"/>
          <w:rtl/>
        </w:rPr>
        <w:t>יש להקל בו יותר מבשאר איסורין</w:t>
      </w:r>
      <w:r w:rsidRPr="00CC1777">
        <w:rPr>
          <w:rFonts w:cs="Arial" w:hint="cs"/>
          <w:rtl/>
        </w:rPr>
        <w:t>,</w:t>
      </w:r>
      <w:r w:rsidRPr="00CC1777">
        <w:rPr>
          <w:rFonts w:cs="Arial"/>
          <w:rtl/>
        </w:rPr>
        <w:t xml:space="preserve"> דאילו כלי חרס שנשתמש באחד מן האיסורין רותח אין לו תקנה אלא שבירה או חזרת כבשונות אבל כלי חרס האסור משום בישולי גוים מגעילו </w:t>
      </w:r>
      <w:r>
        <w:rPr>
          <w:rFonts w:cs="Arial" w:hint="cs"/>
          <w:rtl/>
        </w:rPr>
        <w:t>ג'</w:t>
      </w:r>
      <w:r w:rsidRPr="00CC1777">
        <w:rPr>
          <w:rFonts w:cs="Arial"/>
          <w:rtl/>
        </w:rPr>
        <w:t xml:space="preserve"> פעמים ודיו מפני שאין לאיסור זה עיקר בדאו</w:t>
      </w:r>
      <w:r>
        <w:rPr>
          <w:rFonts w:cs="Arial" w:hint="cs"/>
          <w:rtl/>
        </w:rPr>
        <w:t xml:space="preserve">'. </w:t>
      </w:r>
      <w:r w:rsidRPr="00CC1777">
        <w:rPr>
          <w:rFonts w:cs="Arial" w:hint="cs"/>
          <w:color w:val="E36C0A" w:themeColor="accent6" w:themeShade="BF"/>
          <w:rtl/>
        </w:rPr>
        <w:t>(וכ"</w:t>
      </w:r>
      <w:r>
        <w:rPr>
          <w:rFonts w:cs="Arial" w:hint="cs"/>
          <w:color w:val="E36C0A" w:themeColor="accent6" w:themeShade="BF"/>
          <w:rtl/>
        </w:rPr>
        <w:t>ס</w:t>
      </w:r>
      <w:r w:rsidRPr="00CC1777">
        <w:rPr>
          <w:rFonts w:cs="Arial" w:hint="cs"/>
          <w:color w:val="E36C0A" w:themeColor="accent6" w:themeShade="BF"/>
          <w:rtl/>
        </w:rPr>
        <w:t xml:space="preserve"> בשו"ע</w:t>
      </w:r>
      <w:r>
        <w:rPr>
          <w:rFonts w:cs="Arial" w:hint="cs"/>
          <w:color w:val="E36C0A" w:themeColor="accent6" w:themeShade="BF"/>
          <w:rtl/>
        </w:rPr>
        <w:t>)</w:t>
      </w:r>
      <w:r>
        <w:rPr>
          <w:rFonts w:hint="cs"/>
          <w:color w:val="00B0F0"/>
          <w:rtl/>
        </w:rPr>
        <w:t xml:space="preserve"> </w:t>
      </w:r>
      <w:r w:rsidRPr="001E37BC">
        <w:rPr>
          <w:rFonts w:hint="cs"/>
          <w:color w:val="00B0F0"/>
          <w:rtl/>
        </w:rPr>
        <w:t>(וכ"פ בת"ח</w:t>
      </w:r>
      <w:r w:rsidRPr="001E37BC">
        <w:rPr>
          <w:rStyle w:val="a7"/>
          <w:color w:val="000000" w:themeColor="text1"/>
          <w:rtl/>
        </w:rPr>
        <w:footnoteReference w:id="2789"/>
      </w:r>
      <w:r w:rsidRPr="001E37BC">
        <w:rPr>
          <w:rFonts w:hint="cs"/>
          <w:color w:val="00B0F0"/>
          <w:rtl/>
        </w:rPr>
        <w:t>)</w:t>
      </w:r>
    </w:p>
    <w:p w14:paraId="1EA3BC55" w14:textId="77777777" w:rsidR="002C39F4" w:rsidRDefault="002C39F4" w:rsidP="0032102C">
      <w:pPr>
        <w:pStyle w:val="a8"/>
        <w:numPr>
          <w:ilvl w:val="0"/>
          <w:numId w:val="288"/>
        </w:numPr>
      </w:pPr>
      <w:r w:rsidRPr="00D26CBC">
        <w:rPr>
          <w:rFonts w:cs="Arial"/>
          <w:rtl/>
        </w:rPr>
        <w:t>רא"ה</w:t>
      </w:r>
      <w:r>
        <w:rPr>
          <w:rStyle w:val="a7"/>
          <w:rFonts w:cs="Arial"/>
          <w:rtl/>
        </w:rPr>
        <w:footnoteReference w:id="2790"/>
      </w:r>
      <w:r>
        <w:rPr>
          <w:rFonts w:cs="Arial" w:hint="cs"/>
          <w:sz w:val="16"/>
          <w:szCs w:val="16"/>
          <w:rtl/>
        </w:rPr>
        <w:t xml:space="preserve"> </w:t>
      </w:r>
      <w:r w:rsidRPr="00CE4488">
        <w:rPr>
          <w:rFonts w:cs="Arial" w:hint="cs"/>
          <w:rtl/>
        </w:rPr>
        <w:t>רא"ש</w:t>
      </w:r>
      <w:r w:rsidRPr="00714412">
        <w:rPr>
          <w:rStyle w:val="a7"/>
          <w:rFonts w:cs="Arial"/>
          <w:rtl/>
        </w:rPr>
        <w:footnoteReference w:id="2791"/>
      </w:r>
      <w:r>
        <w:rPr>
          <w:rFonts w:cs="Arial" w:hint="cs"/>
          <w:rtl/>
        </w:rPr>
        <w:t xml:space="preserve"> ואו</w:t>
      </w:r>
      <w:r>
        <w:rPr>
          <w:rFonts w:cs="Arial"/>
          <w:rtl/>
        </w:rPr>
        <w:t>"</w:t>
      </w:r>
      <w:r>
        <w:rPr>
          <w:rFonts w:cs="Arial" w:hint="cs"/>
          <w:rtl/>
        </w:rPr>
        <w:t>ה</w:t>
      </w:r>
      <w:r>
        <w:rPr>
          <w:rFonts w:cs="Arial" w:hint="cs"/>
          <w:sz w:val="16"/>
          <w:szCs w:val="16"/>
          <w:rtl/>
        </w:rPr>
        <w:t xml:space="preserve"> (כלל מג ד"ח)</w:t>
      </w:r>
      <w:r w:rsidRPr="00D26CBC">
        <w:rPr>
          <w:rFonts w:cs="Arial" w:hint="cs"/>
          <w:rtl/>
        </w:rPr>
        <w:t>-</w:t>
      </w:r>
      <w:r w:rsidRPr="00D26CBC">
        <w:rPr>
          <w:rFonts w:cs="Arial"/>
          <w:rtl/>
        </w:rPr>
        <w:t xml:space="preserve"> </w:t>
      </w:r>
      <w:r w:rsidRPr="00E2527E">
        <w:rPr>
          <w:rFonts w:cs="Arial"/>
          <w:rtl/>
        </w:rPr>
        <w:t>נכרי שבא לבשל לעצמו בין בחול בין בשבת ובלבד דברים המותרין שאע"פ שהתבשיל אסור משום בשולי נכרים אבל הכלים מותרין להשתמש בהן אחר הדחה דלגבי גיעולי הכלים לא מסתבר למימר דגזרו ואסרו בהו משום בשולי נכרים דלית בהו משום חתנות ולאו משום איקרובי דעתא</w:t>
      </w:r>
      <w:r>
        <w:rPr>
          <w:rFonts w:cs="Arial" w:hint="cs"/>
          <w:rtl/>
        </w:rPr>
        <w:t xml:space="preserve"> </w:t>
      </w:r>
      <w:r w:rsidRPr="00714412">
        <w:rPr>
          <w:rFonts w:cs="Arial" w:hint="cs"/>
          <w:sz w:val="16"/>
          <w:szCs w:val="16"/>
          <w:rtl/>
        </w:rPr>
        <w:t>(ל' הרא"ה)</w:t>
      </w:r>
      <w:r>
        <w:rPr>
          <w:rStyle w:val="a7"/>
          <w:rFonts w:cs="Arial"/>
          <w:rtl/>
        </w:rPr>
        <w:footnoteReference w:id="2792"/>
      </w:r>
      <w:r w:rsidRPr="00714412">
        <w:rPr>
          <w:rFonts w:cs="Arial" w:hint="cs"/>
          <w:rtl/>
        </w:rPr>
        <w:t>.</w:t>
      </w:r>
      <w:r w:rsidRPr="00714412">
        <w:rPr>
          <w:rFonts w:cs="Arial"/>
          <w:rtl/>
        </w:rPr>
        <w:t xml:space="preserve"> </w:t>
      </w:r>
    </w:p>
    <w:p w14:paraId="0A7CD469" w14:textId="77777777" w:rsidR="002C39F4" w:rsidRPr="00584C80" w:rsidRDefault="002C39F4" w:rsidP="002C39F4">
      <w:pPr>
        <w:rPr>
          <w:u w:val="single"/>
        </w:rPr>
      </w:pPr>
      <w:r w:rsidRPr="00584C80">
        <w:rPr>
          <w:rFonts w:hint="cs"/>
          <w:u w:val="single"/>
          <w:rtl/>
        </w:rPr>
        <w:t xml:space="preserve">אוכל שנתבשל לחולה </w:t>
      </w:r>
      <w:r>
        <w:rPr>
          <w:rFonts w:hint="cs"/>
          <w:u w:val="single"/>
          <w:rtl/>
        </w:rPr>
        <w:t xml:space="preserve">שאב"ס </w:t>
      </w:r>
      <w:r w:rsidRPr="00584C80">
        <w:rPr>
          <w:rFonts w:hint="cs"/>
          <w:u w:val="single"/>
          <w:rtl/>
        </w:rPr>
        <w:t>בשבת ע"י גוי</w:t>
      </w:r>
      <w:r>
        <w:rPr>
          <w:rFonts w:hint="cs"/>
          <w:u w:val="single"/>
          <w:rtl/>
        </w:rPr>
        <w:t xml:space="preserve"> </w:t>
      </w:r>
      <w:r>
        <w:rPr>
          <w:u w:val="single"/>
          <w:rtl/>
        </w:rPr>
        <w:t>–</w:t>
      </w:r>
      <w:r>
        <w:rPr>
          <w:rFonts w:hint="cs"/>
          <w:u w:val="single"/>
          <w:rtl/>
        </w:rPr>
        <w:t xml:space="preserve"> האם מותר לבריא לאכול את האוכל במוצ"ש או דחשיב כבישולי גוים</w:t>
      </w:r>
      <w:r w:rsidRPr="00584C80">
        <w:rPr>
          <w:rFonts w:hint="cs"/>
          <w:u w:val="single"/>
          <w:rtl/>
        </w:rPr>
        <w:t>:</w:t>
      </w:r>
    </w:p>
    <w:p w14:paraId="71ED7737" w14:textId="77777777" w:rsidR="002C39F4" w:rsidRPr="009C69D2" w:rsidRDefault="002C39F4" w:rsidP="0032102C">
      <w:pPr>
        <w:pStyle w:val="a8"/>
        <w:numPr>
          <w:ilvl w:val="0"/>
          <w:numId w:val="288"/>
        </w:numPr>
        <w:rPr>
          <w:rtl/>
        </w:rPr>
      </w:pPr>
      <w:r>
        <w:rPr>
          <w:rFonts w:cs="Arial" w:hint="cs"/>
          <w:rtl/>
        </w:rPr>
        <w:t xml:space="preserve">רשב"א </w:t>
      </w:r>
      <w:r>
        <w:rPr>
          <w:rFonts w:cs="Arial" w:hint="cs"/>
          <w:sz w:val="16"/>
          <w:szCs w:val="16"/>
          <w:rtl/>
        </w:rPr>
        <w:t>(במשמה"ב ב"ג ש"ז צג: ד"ה אמר)</w:t>
      </w:r>
      <w:r>
        <w:rPr>
          <w:rFonts w:cs="Arial" w:hint="cs"/>
          <w:rtl/>
        </w:rPr>
        <w:t xml:space="preserve"> ור"ן </w:t>
      </w:r>
      <w:r w:rsidRPr="00584C80">
        <w:rPr>
          <w:rFonts w:cs="Arial" w:hint="cs"/>
          <w:sz w:val="16"/>
          <w:szCs w:val="16"/>
          <w:rtl/>
        </w:rPr>
        <w:t>(ע"ז ט.)</w:t>
      </w:r>
      <w:r>
        <w:rPr>
          <w:rFonts w:cs="Arial" w:hint="cs"/>
          <w:rtl/>
        </w:rPr>
        <w:t xml:space="preserve">- </w:t>
      </w:r>
      <w:r w:rsidRPr="001E37BC">
        <w:rPr>
          <w:rFonts w:cs="Arial"/>
          <w:rtl/>
        </w:rPr>
        <w:t>חלילה וחס</w:t>
      </w:r>
      <w:r>
        <w:rPr>
          <w:rFonts w:cs="Arial" w:hint="cs"/>
          <w:rtl/>
        </w:rPr>
        <w:t>,</w:t>
      </w:r>
      <w:r w:rsidRPr="001E37BC">
        <w:rPr>
          <w:rFonts w:cs="Arial"/>
          <w:rtl/>
        </w:rPr>
        <w:t xml:space="preserve"> שלא הותר אפילו לחולה עצמו אלא בעת הצורך בלבד דהיינו בשבת הא למוצאי שבת חוזר לאיסורו וכ"ש לבריא</w:t>
      </w:r>
      <w:r>
        <w:rPr>
          <w:rFonts w:cs="Arial" w:hint="cs"/>
          <w:rtl/>
        </w:rPr>
        <w:t>,</w:t>
      </w:r>
      <w:r w:rsidRPr="001E37BC">
        <w:rPr>
          <w:rFonts w:cs="Arial"/>
          <w:rtl/>
        </w:rPr>
        <w:t xml:space="preserve"> ודומה לנבילה לחולה שיש בו סכנה דמותרת לו בשבת ואם הבריא אסור</w:t>
      </w:r>
      <w:r>
        <w:rPr>
          <w:rFonts w:cs="Arial" w:hint="cs"/>
          <w:rtl/>
        </w:rPr>
        <w:t>,</w:t>
      </w:r>
      <w:r w:rsidRPr="001E37BC">
        <w:rPr>
          <w:rFonts w:cs="Arial"/>
          <w:rtl/>
        </w:rPr>
        <w:t xml:space="preserve"> דכל דתיקון רבנן כעין דאורייתא תיקון</w:t>
      </w:r>
      <w:r>
        <w:rPr>
          <w:rFonts w:cs="Arial" w:hint="cs"/>
          <w:sz w:val="16"/>
          <w:szCs w:val="16"/>
          <w:rtl/>
        </w:rPr>
        <w:t xml:space="preserve"> (ל' הרשב"א)</w:t>
      </w:r>
      <w:r>
        <w:rPr>
          <w:rFonts w:cs="Arial" w:hint="cs"/>
          <w:rtl/>
        </w:rPr>
        <w:t>.</w:t>
      </w:r>
      <w:r w:rsidRPr="001E37BC">
        <w:rPr>
          <w:rFonts w:cs="Arial"/>
          <w:rtl/>
        </w:rPr>
        <w:t xml:space="preserve"> </w:t>
      </w:r>
      <w:r>
        <w:rPr>
          <w:rFonts w:cs="Arial" w:hint="cs"/>
          <w:rtl/>
        </w:rPr>
        <w:t>(וכ"פ הט"ז</w:t>
      </w:r>
      <w:r>
        <w:rPr>
          <w:rFonts w:cs="Arial" w:hint="cs"/>
          <w:sz w:val="16"/>
          <w:szCs w:val="16"/>
          <w:rtl/>
        </w:rPr>
        <w:t xml:space="preserve"> [סקט"ו]</w:t>
      </w:r>
      <w:r>
        <w:rPr>
          <w:rFonts w:cs="Arial" w:hint="cs"/>
          <w:rtl/>
        </w:rPr>
        <w:t>)</w:t>
      </w:r>
    </w:p>
    <w:p w14:paraId="3E03663A" w14:textId="77777777" w:rsidR="002C39F4" w:rsidRPr="002C07AE" w:rsidRDefault="002C39F4" w:rsidP="0032102C">
      <w:pPr>
        <w:pStyle w:val="a8"/>
        <w:numPr>
          <w:ilvl w:val="0"/>
          <w:numId w:val="288"/>
        </w:numPr>
      </w:pPr>
      <w:r w:rsidRPr="002C07AE">
        <w:rPr>
          <w:rFonts w:cs="Arial"/>
          <w:rtl/>
        </w:rPr>
        <w:t xml:space="preserve">רא"ה </w:t>
      </w:r>
      <w:r w:rsidRPr="00584C80">
        <w:rPr>
          <w:rFonts w:cs="Arial" w:hint="cs"/>
          <w:sz w:val="16"/>
          <w:szCs w:val="16"/>
          <w:rtl/>
        </w:rPr>
        <w:t>(</w:t>
      </w:r>
      <w:r>
        <w:rPr>
          <w:rFonts w:cs="Arial" w:hint="cs"/>
          <w:sz w:val="16"/>
          <w:szCs w:val="16"/>
          <w:rtl/>
        </w:rPr>
        <w:t xml:space="preserve">שם, הביאו </w:t>
      </w:r>
      <w:r w:rsidRPr="00584C80">
        <w:rPr>
          <w:rFonts w:cs="Arial" w:hint="cs"/>
          <w:sz w:val="16"/>
          <w:szCs w:val="16"/>
          <w:rtl/>
        </w:rPr>
        <w:t xml:space="preserve">הר"ן </w:t>
      </w:r>
      <w:r>
        <w:rPr>
          <w:rFonts w:cs="Arial" w:hint="cs"/>
          <w:sz w:val="16"/>
          <w:szCs w:val="16"/>
          <w:rtl/>
        </w:rPr>
        <w:t>[</w:t>
      </w:r>
      <w:r w:rsidRPr="00584C80">
        <w:rPr>
          <w:rFonts w:cs="Arial" w:hint="cs"/>
          <w:sz w:val="16"/>
          <w:szCs w:val="16"/>
          <w:rtl/>
        </w:rPr>
        <w:t>ע"ז ט.</w:t>
      </w:r>
      <w:r>
        <w:rPr>
          <w:rFonts w:cs="Arial" w:hint="cs"/>
          <w:sz w:val="16"/>
          <w:szCs w:val="16"/>
          <w:rtl/>
        </w:rPr>
        <w:t>]</w:t>
      </w:r>
      <w:r w:rsidRPr="00584C80">
        <w:rPr>
          <w:rFonts w:cs="Arial" w:hint="cs"/>
          <w:sz w:val="16"/>
          <w:szCs w:val="16"/>
          <w:rtl/>
        </w:rPr>
        <w:t>)</w:t>
      </w:r>
      <w:r>
        <w:rPr>
          <w:rFonts w:cs="Arial" w:hint="cs"/>
          <w:rtl/>
        </w:rPr>
        <w:t xml:space="preserve">- </w:t>
      </w:r>
      <w:r w:rsidRPr="00E2527E">
        <w:rPr>
          <w:rFonts w:cs="Arial"/>
          <w:rtl/>
        </w:rPr>
        <w:t>נכרי שבא לבשל לחולה והוא בשבת בזמן האסור לנו לבשל שלא אסרו משום בשולי נכרים כלל דלא שייך הכא משום חתנות ולא עוד אלא שמותר לבריא במוצאי שבת</w:t>
      </w:r>
      <w:r>
        <w:rPr>
          <w:rStyle w:val="a7"/>
          <w:rFonts w:cs="Arial"/>
          <w:rtl/>
        </w:rPr>
        <w:footnoteReference w:id="2793"/>
      </w:r>
      <w:r>
        <w:rPr>
          <w:rFonts w:cs="Arial" w:hint="cs"/>
          <w:rtl/>
        </w:rPr>
        <w:t>.</w:t>
      </w:r>
      <w:r w:rsidRPr="00B25BC6">
        <w:rPr>
          <w:rFonts w:cs="Arial"/>
          <w:color w:val="00B0F0"/>
          <w:rtl/>
        </w:rPr>
        <w:t xml:space="preserve"> </w:t>
      </w:r>
      <w:r w:rsidRPr="00B25BC6">
        <w:rPr>
          <w:rFonts w:hint="cs"/>
          <w:color w:val="00B0F0"/>
          <w:rtl/>
        </w:rPr>
        <w:t>(וכ"פ הרמ"א)</w:t>
      </w:r>
    </w:p>
    <w:p w14:paraId="2375929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0867F2D" w14:textId="77777777" w:rsidR="002C39F4" w:rsidRDefault="002C39F4" w:rsidP="002C39F4">
      <w:pPr>
        <w:rPr>
          <w:rFonts w:asciiTheme="minorBidi" w:hAnsiTheme="minorBidi"/>
          <w:rtl/>
        </w:rPr>
      </w:pPr>
      <w:r w:rsidRPr="003024E5">
        <w:rPr>
          <w:rFonts w:asciiTheme="minorBidi" w:hAnsiTheme="minorBidi"/>
          <w:rtl/>
        </w:rPr>
        <w:t>כלים שבשל בהם ה</w:t>
      </w:r>
      <w:r>
        <w:rPr>
          <w:rFonts w:asciiTheme="minorBidi" w:hAnsiTheme="minorBidi"/>
          <w:rtl/>
        </w:rPr>
        <w:t>גוי</w:t>
      </w:r>
      <w:r w:rsidRPr="003024E5">
        <w:rPr>
          <w:rFonts w:asciiTheme="minorBidi" w:hAnsiTheme="minorBidi"/>
          <w:rtl/>
        </w:rPr>
        <w:t xml:space="preserve"> לפנינו דברים שיש בהם משום בישולי </w:t>
      </w:r>
      <w:r>
        <w:rPr>
          <w:rFonts w:asciiTheme="minorBidi" w:hAnsiTheme="minorBidi"/>
          <w:rtl/>
        </w:rPr>
        <w:t>גוים</w:t>
      </w:r>
      <w:r w:rsidRPr="003024E5">
        <w:rPr>
          <w:rFonts w:asciiTheme="minorBidi" w:hAnsiTheme="minorBidi"/>
          <w:rtl/>
        </w:rPr>
        <w:t>, צריכים הכשר</w:t>
      </w:r>
      <w:r>
        <w:rPr>
          <w:rStyle w:val="a7"/>
          <w:rFonts w:asciiTheme="minorBidi" w:hAnsiTheme="minorBidi"/>
          <w:rtl/>
        </w:rPr>
        <w:footnoteReference w:id="2794"/>
      </w:r>
      <w:r>
        <w:rPr>
          <w:rFonts w:asciiTheme="minorBidi" w:hAnsiTheme="minorBidi" w:hint="cs"/>
          <w:rtl/>
        </w:rPr>
        <w:t>,</w:t>
      </w:r>
      <w:r w:rsidRPr="003024E5">
        <w:rPr>
          <w:rFonts w:asciiTheme="minorBidi" w:hAnsiTheme="minorBidi"/>
          <w:rtl/>
        </w:rPr>
        <w:t xml:space="preserve"> ויש אומרים שאינם צריכים. ואף לדברי המצריכים הכשר, אם הוא כלי חרס מגעילו שלש פעמים ודיו, מפני שאין לאיסור זה עיקר מדאורייתא. </w:t>
      </w:r>
      <w:r w:rsidRPr="00101477">
        <w:rPr>
          <w:rFonts w:asciiTheme="minorBidi" w:hAnsiTheme="minorBidi"/>
          <w:sz w:val="18"/>
          <w:szCs w:val="18"/>
          <w:rtl/>
        </w:rPr>
        <w:t>הגה: גוי שבשל לחולה בשבת מותר למוצאי שבת אפילו לבריא, ואין בו משום בשולי גוים</w:t>
      </w:r>
      <w:r>
        <w:rPr>
          <w:rFonts w:asciiTheme="minorBidi" w:hAnsiTheme="minorBidi" w:hint="cs"/>
          <w:sz w:val="18"/>
          <w:szCs w:val="18"/>
          <w:rtl/>
        </w:rPr>
        <w:t>,</w:t>
      </w:r>
      <w:r w:rsidRPr="00101477">
        <w:rPr>
          <w:rFonts w:asciiTheme="minorBidi" w:hAnsiTheme="minorBidi"/>
          <w:sz w:val="18"/>
          <w:szCs w:val="18"/>
          <w:rtl/>
        </w:rPr>
        <w:t xml:space="preserve"> דכל כה"ג היכרא איכא (רא"ה).</w:t>
      </w:r>
    </w:p>
    <w:p w14:paraId="72C9E1FF" w14:textId="77777777" w:rsidR="002C39F4" w:rsidRPr="003024E5" w:rsidRDefault="002C39F4" w:rsidP="002C39F4">
      <w:pPr>
        <w:rPr>
          <w:rFonts w:asciiTheme="minorBidi" w:hAnsiTheme="minorBidi"/>
          <w:rtl/>
        </w:rPr>
      </w:pPr>
    </w:p>
    <w:p w14:paraId="45EFEF32" w14:textId="77777777" w:rsidR="002C39F4" w:rsidRPr="003024E5" w:rsidRDefault="002C39F4" w:rsidP="002C39F4">
      <w:pPr>
        <w:rPr>
          <w:rFonts w:asciiTheme="minorBidi" w:hAnsiTheme="minorBidi"/>
          <w:rtl/>
        </w:rPr>
      </w:pPr>
    </w:p>
    <w:p w14:paraId="20B818DF" w14:textId="77777777" w:rsidR="002C39F4" w:rsidRPr="003024E5" w:rsidRDefault="002C39F4" w:rsidP="002C39F4">
      <w:pPr>
        <w:rPr>
          <w:rFonts w:asciiTheme="minorBidi" w:hAnsiTheme="minorBidi"/>
          <w:rtl/>
        </w:rPr>
      </w:pPr>
    </w:p>
    <w:p w14:paraId="519EF655" w14:textId="77777777" w:rsidR="002C39F4" w:rsidRPr="003024E5" w:rsidRDefault="002C39F4" w:rsidP="002C39F4">
      <w:pPr>
        <w:rPr>
          <w:rFonts w:asciiTheme="minorBidi" w:hAnsiTheme="minorBidi"/>
          <w:rtl/>
        </w:rPr>
      </w:pPr>
    </w:p>
    <w:p w14:paraId="5A5CF41E" w14:textId="77777777" w:rsidR="002C39F4" w:rsidRPr="003024E5" w:rsidRDefault="002C39F4" w:rsidP="002C39F4">
      <w:pPr>
        <w:rPr>
          <w:rFonts w:asciiTheme="minorBidi" w:hAnsiTheme="minorBidi"/>
          <w:rtl/>
        </w:rPr>
      </w:pPr>
    </w:p>
    <w:p w14:paraId="3B0E098D" w14:textId="77777777" w:rsidR="002C39F4" w:rsidRPr="003024E5" w:rsidRDefault="002C39F4" w:rsidP="002C39F4">
      <w:pPr>
        <w:rPr>
          <w:rFonts w:asciiTheme="minorBidi" w:hAnsiTheme="minorBidi"/>
          <w:rtl/>
        </w:rPr>
      </w:pPr>
    </w:p>
    <w:p w14:paraId="24913A38" w14:textId="77777777" w:rsidR="002C39F4" w:rsidRPr="003024E5" w:rsidRDefault="002C39F4" w:rsidP="002C39F4">
      <w:pPr>
        <w:rPr>
          <w:rFonts w:asciiTheme="minorBidi" w:hAnsiTheme="minorBidi"/>
          <w:rtl/>
        </w:rPr>
      </w:pPr>
    </w:p>
    <w:p w14:paraId="72734192" w14:textId="77777777" w:rsidR="002C39F4" w:rsidRPr="003024E5" w:rsidRDefault="002C39F4" w:rsidP="002C39F4">
      <w:pPr>
        <w:rPr>
          <w:rFonts w:asciiTheme="minorBidi" w:hAnsiTheme="minorBidi"/>
          <w:rtl/>
        </w:rPr>
      </w:pPr>
    </w:p>
    <w:p w14:paraId="4AA765F7"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12FF8C2D"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קטו: דין חלב שחלבו </w:t>
      </w:r>
      <w:r>
        <w:rPr>
          <w:rFonts w:asciiTheme="minorBidi" w:hAnsiTheme="minorBidi"/>
          <w:rtl/>
        </w:rPr>
        <w:t>גוי</w:t>
      </w:r>
      <w:r w:rsidRPr="003024E5">
        <w:rPr>
          <w:rFonts w:asciiTheme="minorBidi" w:hAnsiTheme="minorBidi"/>
          <w:rtl/>
        </w:rPr>
        <w:t xml:space="preserve"> ואין ישראל רואהו, וגבינה וחמאה, ובו ג' סעיפים. </w:t>
      </w:r>
    </w:p>
    <w:p w14:paraId="70B14CD9"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חלב גוים.</w:t>
      </w:r>
    </w:p>
    <w:p w14:paraId="5CDE0B01" w14:textId="77777777" w:rsidR="002C39F4" w:rsidRDefault="002C39F4" w:rsidP="002C39F4">
      <w:pPr>
        <w:rPr>
          <w:rFonts w:cs="Arial"/>
          <w:rtl/>
        </w:rPr>
      </w:pPr>
      <w:r>
        <w:rPr>
          <w:rFonts w:cs="Arial" w:hint="cs"/>
          <w:b/>
          <w:bCs/>
          <w:rtl/>
        </w:rPr>
        <w:t xml:space="preserve">עבודה זרה לה ע"ב: </w:t>
      </w:r>
      <w:r w:rsidRPr="00D0241C">
        <w:rPr>
          <w:rFonts w:cs="Arial"/>
          <w:u w:val="double"/>
          <w:rtl/>
        </w:rPr>
        <w:t>מתני'</w:t>
      </w:r>
      <w:r w:rsidRPr="00063ED0">
        <w:rPr>
          <w:rFonts w:cs="Arial" w:hint="cs"/>
          <w:rtl/>
        </w:rPr>
        <w:t>:</w:t>
      </w:r>
      <w:r w:rsidRPr="00D0241C">
        <w:rPr>
          <w:rFonts w:cs="Arial"/>
          <w:rtl/>
        </w:rPr>
        <w:t xml:space="preserve"> ואלו דברים של עובדי כוכבים אסורין ואין איסורן איסור הנאה: חלב שחלבו עובד כוכבים ואין ישראל רואהו</w:t>
      </w:r>
      <w:r>
        <w:rPr>
          <w:rFonts w:cs="Arial" w:hint="cs"/>
          <w:rtl/>
        </w:rPr>
        <w:t xml:space="preserve">.      </w:t>
      </w:r>
      <w:r w:rsidRPr="00063ED0">
        <w:rPr>
          <w:rFonts w:cs="Arial"/>
          <w:u w:val="double"/>
          <w:rtl/>
        </w:rPr>
        <w:t>גמ'</w:t>
      </w:r>
      <w:r>
        <w:rPr>
          <w:rFonts w:cs="Arial" w:hint="cs"/>
          <w:rtl/>
        </w:rPr>
        <w:t>:</w:t>
      </w:r>
      <w:r w:rsidRPr="00063ED0">
        <w:rPr>
          <w:rFonts w:cs="Arial"/>
          <w:rtl/>
        </w:rPr>
        <w:t xml:space="preserve"> חלב למאי ניחוש לה? אי משום איחלופי, טהור - חיור, טמא - ירוק! ואי משום איערובי, ניקום</w:t>
      </w:r>
      <w:r>
        <w:rPr>
          <w:rStyle w:val="a7"/>
          <w:rFonts w:cs="Arial"/>
          <w:rtl/>
        </w:rPr>
        <w:footnoteReference w:id="2795"/>
      </w:r>
      <w:r w:rsidRPr="00063ED0">
        <w:rPr>
          <w:rFonts w:cs="Arial"/>
          <w:rtl/>
        </w:rPr>
        <w:t>, דאמר מר: חלב טהור עומד, חלב טמא אינו עומד! אי דקא בעי לגבינה ה"נ</w:t>
      </w:r>
      <w:r>
        <w:rPr>
          <w:rFonts w:cs="Arial" w:hint="cs"/>
          <w:rtl/>
        </w:rPr>
        <w:t>.</w:t>
      </w:r>
      <w:r w:rsidRPr="00063ED0">
        <w:rPr>
          <w:rFonts w:cs="Arial"/>
          <w:rtl/>
        </w:rPr>
        <w:t xml:space="preserve"> הכא במאי עסקינן - דקא בעי ליה לכמכא</w:t>
      </w:r>
      <w:r>
        <w:rPr>
          <w:rStyle w:val="a7"/>
          <w:rFonts w:cs="Arial"/>
          <w:rtl/>
        </w:rPr>
        <w:footnoteReference w:id="2796"/>
      </w:r>
      <w:r w:rsidRPr="00063ED0">
        <w:rPr>
          <w:rFonts w:cs="Arial"/>
          <w:rtl/>
        </w:rPr>
        <w:t>. ונשקול מיניה קלי</w:t>
      </w:r>
      <w:r>
        <w:rPr>
          <w:rStyle w:val="a7"/>
          <w:rFonts w:cs="Arial"/>
          <w:rtl/>
        </w:rPr>
        <w:footnoteReference w:id="2797"/>
      </w:r>
      <w:r w:rsidRPr="00063ED0">
        <w:rPr>
          <w:rFonts w:cs="Arial"/>
          <w:rtl/>
        </w:rPr>
        <w:t xml:space="preserve"> וניקום! כיון דבטהור נמי איכא נסיובי דלא קיימי, ליכא למיקם עלה דמילתא</w:t>
      </w:r>
      <w:r>
        <w:rPr>
          <w:rStyle w:val="a7"/>
          <w:rFonts w:cs="Arial"/>
          <w:rtl/>
        </w:rPr>
        <w:footnoteReference w:id="2798"/>
      </w:r>
      <w:r w:rsidRPr="00063ED0">
        <w:rPr>
          <w:rFonts w:cs="Arial"/>
          <w:rtl/>
        </w:rPr>
        <w:t>. ואב"א</w:t>
      </w:r>
      <w:r>
        <w:rPr>
          <w:rStyle w:val="a7"/>
          <w:rFonts w:cs="Arial"/>
          <w:rtl/>
        </w:rPr>
        <w:footnoteReference w:id="2799"/>
      </w:r>
      <w:r w:rsidRPr="00063ED0">
        <w:rPr>
          <w:rFonts w:cs="Arial"/>
          <w:rtl/>
        </w:rPr>
        <w:t>: אפי' תימא דקבעי לה לגבינה, איכא</w:t>
      </w:r>
      <w:r>
        <w:rPr>
          <w:rStyle w:val="a7"/>
          <w:rFonts w:cs="Arial"/>
          <w:rtl/>
        </w:rPr>
        <w:footnoteReference w:id="2800"/>
      </w:r>
      <w:r w:rsidRPr="00063ED0">
        <w:rPr>
          <w:rFonts w:cs="Arial"/>
          <w:rtl/>
        </w:rPr>
        <w:t xml:space="preserve"> דקאי ביני אטפי</w:t>
      </w:r>
      <w:r>
        <w:rPr>
          <w:rStyle w:val="a7"/>
          <w:rFonts w:cs="Arial"/>
          <w:rtl/>
        </w:rPr>
        <w:footnoteReference w:id="2801"/>
      </w:r>
      <w:r>
        <w:rPr>
          <w:rFonts w:cs="Arial" w:hint="cs"/>
          <w:rtl/>
        </w:rPr>
        <w:t xml:space="preserve">. </w:t>
      </w:r>
      <w:r w:rsidRPr="0073537F">
        <w:rPr>
          <w:rFonts w:cs="Arial" w:hint="cs"/>
          <w:sz w:val="16"/>
          <w:szCs w:val="16"/>
          <w:rtl/>
        </w:rPr>
        <w:t>(ו</w:t>
      </w:r>
      <w:r>
        <w:rPr>
          <w:rFonts w:cs="Arial" w:hint="cs"/>
          <w:sz w:val="16"/>
          <w:szCs w:val="16"/>
          <w:rtl/>
        </w:rPr>
        <w:t>כ'</w:t>
      </w:r>
      <w:r w:rsidRPr="0073537F">
        <w:rPr>
          <w:rFonts w:cs="Arial" w:hint="cs"/>
          <w:sz w:val="16"/>
          <w:szCs w:val="16"/>
          <w:rtl/>
        </w:rPr>
        <w:t xml:space="preserve"> הטור- </w:t>
      </w:r>
      <w:r w:rsidRPr="0073537F">
        <w:rPr>
          <w:rFonts w:cs="Arial"/>
          <w:sz w:val="16"/>
          <w:szCs w:val="16"/>
          <w:rtl/>
        </w:rPr>
        <w:t xml:space="preserve">חלב שחלבו </w:t>
      </w:r>
      <w:r w:rsidRPr="0073537F">
        <w:rPr>
          <w:rFonts w:cs="Arial" w:hint="cs"/>
          <w:sz w:val="16"/>
          <w:szCs w:val="16"/>
          <w:rtl/>
        </w:rPr>
        <w:t>גוי</w:t>
      </w:r>
      <w:r w:rsidRPr="0073537F">
        <w:rPr>
          <w:rFonts w:cs="Arial"/>
          <w:sz w:val="16"/>
          <w:szCs w:val="16"/>
          <w:rtl/>
        </w:rPr>
        <w:t xml:space="preserve"> ואין ישראל רואהו אסור שמא עירב בו חלב טמא</w:t>
      </w:r>
      <w:r>
        <w:rPr>
          <w:rFonts w:cs="Arial" w:hint="cs"/>
          <w:sz w:val="16"/>
          <w:szCs w:val="16"/>
          <w:rtl/>
        </w:rPr>
        <w:t xml:space="preserve">. </w:t>
      </w:r>
      <w:r w:rsidRPr="003A7264">
        <w:rPr>
          <w:rFonts w:cs="Arial" w:hint="cs"/>
          <w:color w:val="E36C0A" w:themeColor="accent6" w:themeShade="BF"/>
          <w:sz w:val="16"/>
          <w:szCs w:val="16"/>
          <w:rtl/>
        </w:rPr>
        <w:t>וכ"פ בשו"ע</w:t>
      </w:r>
      <w:r w:rsidRPr="0073537F">
        <w:rPr>
          <w:rFonts w:cs="Arial" w:hint="cs"/>
          <w:sz w:val="16"/>
          <w:szCs w:val="16"/>
          <w:rtl/>
        </w:rPr>
        <w:t>)</w:t>
      </w:r>
    </w:p>
    <w:p w14:paraId="4D590E0A" w14:textId="77777777" w:rsidR="002C39F4" w:rsidRPr="0073537F" w:rsidRDefault="002C39F4" w:rsidP="002C39F4">
      <w:pPr>
        <w:rPr>
          <w:rFonts w:cs="Arial"/>
          <w:u w:val="single"/>
          <w:rtl/>
        </w:rPr>
      </w:pPr>
      <w:r w:rsidRPr="0073537F">
        <w:rPr>
          <w:rFonts w:cs="Arial" w:hint="cs"/>
          <w:u w:val="single"/>
          <w:rtl/>
        </w:rPr>
        <w:t>האם יש חילוק בין חלב שחלבו גוי לצורך עצמו או לצורך ישראל:</w:t>
      </w:r>
    </w:p>
    <w:p w14:paraId="6C7C65F4" w14:textId="77777777" w:rsidR="002C39F4" w:rsidRDefault="002C39F4" w:rsidP="0032102C">
      <w:pPr>
        <w:pStyle w:val="a8"/>
        <w:numPr>
          <w:ilvl w:val="0"/>
          <w:numId w:val="289"/>
        </w:numPr>
      </w:pPr>
      <w:r w:rsidRPr="0073537F">
        <w:rPr>
          <w:rFonts w:cs="Arial"/>
          <w:rtl/>
        </w:rPr>
        <w:t xml:space="preserve">סמ"ק </w:t>
      </w:r>
      <w:r w:rsidRPr="0073537F">
        <w:rPr>
          <w:rFonts w:cs="Arial"/>
          <w:sz w:val="16"/>
          <w:szCs w:val="16"/>
          <w:rtl/>
        </w:rPr>
        <w:t>(סי' רכג</w:t>
      </w:r>
      <w:r>
        <w:rPr>
          <w:rFonts w:cs="Arial" w:hint="cs"/>
          <w:sz w:val="16"/>
          <w:szCs w:val="16"/>
          <w:rtl/>
        </w:rPr>
        <w:t xml:space="preserve">) </w:t>
      </w:r>
      <w:r>
        <w:rPr>
          <w:rFonts w:cs="Arial" w:hint="cs"/>
          <w:rtl/>
        </w:rPr>
        <w:t xml:space="preserve">ר"פ </w:t>
      </w:r>
      <w:r>
        <w:rPr>
          <w:rFonts w:cs="Arial" w:hint="cs"/>
          <w:sz w:val="16"/>
          <w:szCs w:val="16"/>
          <w:rtl/>
        </w:rPr>
        <w:t xml:space="preserve">(שם </w:t>
      </w:r>
      <w:r w:rsidRPr="0073537F">
        <w:rPr>
          <w:rFonts w:cs="Arial"/>
          <w:sz w:val="16"/>
          <w:szCs w:val="16"/>
          <w:rtl/>
        </w:rPr>
        <w:t>סק"א)</w:t>
      </w:r>
      <w:r w:rsidRPr="0073537F">
        <w:rPr>
          <w:rFonts w:cs="Arial" w:hint="cs"/>
          <w:sz w:val="16"/>
          <w:szCs w:val="16"/>
          <w:rtl/>
        </w:rPr>
        <w:t xml:space="preserve"> </w:t>
      </w:r>
      <w:r w:rsidRPr="0073537F">
        <w:rPr>
          <w:rFonts w:cs="Arial" w:hint="cs"/>
          <w:rtl/>
        </w:rPr>
        <w:t>וטור-</w:t>
      </w:r>
      <w:r w:rsidRPr="0073537F">
        <w:rPr>
          <w:rFonts w:cs="Arial"/>
          <w:rtl/>
        </w:rPr>
        <w:t xml:space="preserve"> אין חילוק להתיר היכא שחלבו הגוי לצרכו</w:t>
      </w:r>
      <w:r>
        <w:rPr>
          <w:rStyle w:val="a7"/>
          <w:rFonts w:cs="Arial"/>
          <w:rtl/>
        </w:rPr>
        <w:footnoteReference w:id="2802"/>
      </w:r>
      <w:r w:rsidRPr="0073537F">
        <w:rPr>
          <w:rFonts w:cs="Arial"/>
          <w:rtl/>
        </w:rPr>
        <w:t xml:space="preserve"> </w:t>
      </w:r>
      <w:r>
        <w:rPr>
          <w:rFonts w:cs="Arial" w:hint="cs"/>
          <w:sz w:val="16"/>
          <w:szCs w:val="16"/>
          <w:rtl/>
        </w:rPr>
        <w:t>(ל' סמ"ק)</w:t>
      </w:r>
      <w:r>
        <w:rPr>
          <w:rFonts w:cs="Arial" w:hint="cs"/>
          <w:rtl/>
        </w:rPr>
        <w:t xml:space="preserve">, </w:t>
      </w:r>
      <w:r w:rsidRPr="0073537F">
        <w:rPr>
          <w:rFonts w:cs="Arial"/>
          <w:rtl/>
        </w:rPr>
        <w:t>ולאפוקי מאותם בני אדם שמתאכסנים בבית גוים ומוצאין חלב שחלבו הגוי לצורך עצמו של גוי ואוכלין אותו ודאי איסורא עבדי דכיון שחלבו הגוי ואין ישראל רואהו מתחלת החליבה אסור בכל ענין</w:t>
      </w:r>
      <w:r>
        <w:rPr>
          <w:rFonts w:cs="Arial" w:hint="cs"/>
          <w:sz w:val="16"/>
          <w:szCs w:val="16"/>
          <w:rtl/>
        </w:rPr>
        <w:t xml:space="preserve"> (ל' ר"פ)</w:t>
      </w:r>
      <w:r w:rsidRPr="0073537F">
        <w:rPr>
          <w:rFonts w:cs="Arial" w:hint="cs"/>
          <w:rtl/>
        </w:rPr>
        <w:t>.</w:t>
      </w:r>
    </w:p>
    <w:p w14:paraId="7B60370D" w14:textId="77777777" w:rsidR="002C39F4" w:rsidRDefault="002C39F4" w:rsidP="0032102C">
      <w:pPr>
        <w:pStyle w:val="a8"/>
        <w:numPr>
          <w:ilvl w:val="0"/>
          <w:numId w:val="289"/>
        </w:numPr>
        <w:rPr>
          <w:rtl/>
        </w:rPr>
      </w:pPr>
      <w:r w:rsidRPr="007752F3">
        <w:rPr>
          <w:rFonts w:cs="Arial"/>
          <w:rtl/>
        </w:rPr>
        <w:t xml:space="preserve">ספר חתום </w:t>
      </w:r>
      <w:r w:rsidRPr="00BB18B0">
        <w:rPr>
          <w:rFonts w:cs="Arial" w:hint="cs"/>
          <w:sz w:val="16"/>
          <w:szCs w:val="16"/>
          <w:rtl/>
        </w:rPr>
        <w:t>(</w:t>
      </w:r>
      <w:r w:rsidRPr="00BB18B0">
        <w:rPr>
          <w:rFonts w:cs="Arial"/>
          <w:sz w:val="16"/>
          <w:szCs w:val="16"/>
          <w:rtl/>
        </w:rPr>
        <w:t xml:space="preserve">ספר אחד </w:t>
      </w:r>
      <w:r w:rsidRPr="00BB18B0">
        <w:rPr>
          <w:rFonts w:cs="Arial" w:hint="cs"/>
          <w:sz w:val="16"/>
          <w:szCs w:val="16"/>
          <w:rtl/>
        </w:rPr>
        <w:t xml:space="preserve">של </w:t>
      </w:r>
      <w:r w:rsidRPr="00BB18B0">
        <w:rPr>
          <w:rFonts w:cs="Arial"/>
          <w:sz w:val="16"/>
          <w:szCs w:val="16"/>
          <w:rtl/>
        </w:rPr>
        <w:t>רבני צרפת</w:t>
      </w:r>
      <w:r w:rsidRPr="00BB18B0">
        <w:rPr>
          <w:rFonts w:cs="Arial" w:hint="cs"/>
          <w:sz w:val="16"/>
          <w:szCs w:val="16"/>
          <w:rtl/>
        </w:rPr>
        <w:t>, הביאו המאירי [ע"ז לה:])</w:t>
      </w:r>
      <w:r>
        <w:rPr>
          <w:rFonts w:cs="Arial" w:hint="cs"/>
          <w:rtl/>
        </w:rPr>
        <w:t xml:space="preserve"> </w:t>
      </w:r>
      <w:r w:rsidRPr="007752F3">
        <w:rPr>
          <w:rFonts w:cs="Arial"/>
          <w:rtl/>
        </w:rPr>
        <w:t>בשם אחרוני הרבנים</w:t>
      </w:r>
      <w:r>
        <w:rPr>
          <w:rFonts w:cs="Arial" w:hint="cs"/>
          <w:rtl/>
        </w:rPr>
        <w:t xml:space="preserve">- </w:t>
      </w:r>
      <w:r w:rsidRPr="007752F3">
        <w:rPr>
          <w:rFonts w:cs="Arial"/>
          <w:rtl/>
        </w:rPr>
        <w:t>אין לחוש לעירוב חלב טמא אלא כשהגוי חולבו למכרו בחלב אבל כל שחלבו לעצמו או לעשות גבנה אף למכור את הגבינים אין לחוש</w:t>
      </w:r>
      <w:r>
        <w:rPr>
          <w:rFonts w:cs="Arial" w:hint="cs"/>
          <w:rtl/>
        </w:rPr>
        <w:t>.</w:t>
      </w:r>
    </w:p>
    <w:p w14:paraId="352CDFD7" w14:textId="77777777" w:rsidR="002C39F4" w:rsidRDefault="002C39F4" w:rsidP="002C39F4">
      <w:pPr>
        <w:rPr>
          <w:rFonts w:cs="Arial"/>
          <w:rtl/>
        </w:rPr>
      </w:pPr>
      <w:r>
        <w:rPr>
          <w:rFonts w:cs="Arial" w:hint="cs"/>
          <w:b/>
          <w:bCs/>
          <w:rtl/>
        </w:rPr>
        <w:t>עבודה זרה לט ע"ב:</w:t>
      </w:r>
      <w:r>
        <w:rPr>
          <w:rFonts w:cs="Arial" w:hint="cs"/>
          <w:rtl/>
        </w:rPr>
        <w:t xml:space="preserve"> </w:t>
      </w:r>
      <w:r w:rsidRPr="0073537F">
        <w:rPr>
          <w:rFonts w:cs="Arial"/>
          <w:u w:val="double"/>
          <w:rtl/>
        </w:rPr>
        <w:t>מתני'</w:t>
      </w:r>
      <w:r>
        <w:rPr>
          <w:rFonts w:cs="Arial" w:hint="cs"/>
          <w:rtl/>
        </w:rPr>
        <w:t>:</w:t>
      </w:r>
      <w:r w:rsidRPr="0073537F">
        <w:rPr>
          <w:rFonts w:cs="Arial"/>
          <w:rtl/>
        </w:rPr>
        <w:t xml:space="preserve"> ואלו מותרין באכילה: חלב שחלבו עובד כוכבים וישראל רואהו</w:t>
      </w:r>
      <w:r>
        <w:rPr>
          <w:rFonts w:cs="Arial" w:hint="cs"/>
          <w:rtl/>
        </w:rPr>
        <w:t xml:space="preserve">...   </w:t>
      </w:r>
      <w:r w:rsidRPr="0073537F">
        <w:rPr>
          <w:rFonts w:cs="Arial"/>
          <w:u w:val="double"/>
          <w:rtl/>
        </w:rPr>
        <w:t>גמ'</w:t>
      </w:r>
      <w:r>
        <w:rPr>
          <w:rFonts w:cs="Arial" w:hint="cs"/>
          <w:rtl/>
        </w:rPr>
        <w:t>:</w:t>
      </w:r>
      <w:r w:rsidRPr="0073537F">
        <w:rPr>
          <w:rFonts w:cs="Arial"/>
          <w:rtl/>
        </w:rPr>
        <w:t xml:space="preserve"> תנינא להא</w:t>
      </w:r>
      <w:r>
        <w:rPr>
          <w:rFonts w:cs="Arial" w:hint="cs"/>
          <w:rtl/>
        </w:rPr>
        <w:t>,</w:t>
      </w:r>
      <w:r w:rsidRPr="0073537F">
        <w:rPr>
          <w:rFonts w:cs="Arial"/>
          <w:rtl/>
        </w:rPr>
        <w:t xml:space="preserve"> דת"ר: יושב ישראל</w:t>
      </w:r>
      <w:r>
        <w:rPr>
          <w:rStyle w:val="a7"/>
          <w:rFonts w:cs="Arial"/>
          <w:rtl/>
        </w:rPr>
        <w:footnoteReference w:id="2803"/>
      </w:r>
      <w:r w:rsidRPr="0073537F">
        <w:rPr>
          <w:rFonts w:cs="Arial"/>
          <w:rtl/>
        </w:rPr>
        <w:t xml:space="preserve"> בצד עדרו של עובד כוכבים ועובד כוכבים חולב לו ומביא לו, ואינו חושש. היכי דמי? אי דליכא דבר טמא בעדרו,</w:t>
      </w:r>
      <w:r>
        <w:rPr>
          <w:rFonts w:cs="Arial" w:hint="cs"/>
          <w:rtl/>
        </w:rPr>
        <w:t xml:space="preserve"> </w:t>
      </w:r>
      <w:r w:rsidRPr="0073537F">
        <w:rPr>
          <w:rFonts w:cs="Arial"/>
          <w:rtl/>
        </w:rPr>
        <w:t xml:space="preserve"> פשיטא</w:t>
      </w:r>
      <w:r>
        <w:rPr>
          <w:rFonts w:cs="Arial" w:hint="cs"/>
          <w:rtl/>
        </w:rPr>
        <w:t>,</w:t>
      </w:r>
      <w:r w:rsidRPr="0073537F">
        <w:rPr>
          <w:rFonts w:cs="Arial"/>
          <w:rtl/>
        </w:rPr>
        <w:t xml:space="preserve"> ואי דאיכא דבר טמא בעדרו, אמאי? לעולם דאיכא דבר טמא, וכי קאי חזי ליה, וכי יתיב לא חזי ליה, מהו דתימא: כיון דיתיב לא חזי ליה, ניחוש דלמא מייתי ומערב ביה, קמ"ל: כיון דכי קאי חזי ליה, אירתותי מירתת ולא מיערב ביה.</w:t>
      </w:r>
      <w:r>
        <w:rPr>
          <w:rFonts w:cs="Arial" w:hint="cs"/>
          <w:rtl/>
        </w:rPr>
        <w:t xml:space="preserve"> </w:t>
      </w:r>
      <w:r w:rsidRPr="0073537F">
        <w:rPr>
          <w:rFonts w:cs="Arial" w:hint="cs"/>
          <w:sz w:val="16"/>
          <w:szCs w:val="16"/>
          <w:rtl/>
        </w:rPr>
        <w:t>(ו</w:t>
      </w:r>
      <w:r>
        <w:rPr>
          <w:rFonts w:cs="Arial" w:hint="cs"/>
          <w:sz w:val="16"/>
          <w:szCs w:val="16"/>
          <w:rtl/>
        </w:rPr>
        <w:t>כ'</w:t>
      </w:r>
      <w:r w:rsidRPr="0073537F">
        <w:rPr>
          <w:rFonts w:cs="Arial" w:hint="cs"/>
          <w:sz w:val="16"/>
          <w:szCs w:val="16"/>
          <w:rtl/>
        </w:rPr>
        <w:t xml:space="preserve"> הטור- </w:t>
      </w:r>
      <w:r w:rsidRPr="0073537F">
        <w:rPr>
          <w:rFonts w:cs="Arial"/>
          <w:sz w:val="16"/>
          <w:szCs w:val="16"/>
          <w:rtl/>
        </w:rPr>
        <w:t>היה חולב בביתו וישראל יושב מבחוץ אם יודע שאין לו דבר טמא בעדרו מותר אפילו אין הישראל יכול לראותו בשעה שהוא חולב</w:t>
      </w:r>
      <w:r>
        <w:rPr>
          <w:rFonts w:cs="Arial" w:hint="cs"/>
          <w:sz w:val="16"/>
          <w:szCs w:val="16"/>
          <w:rtl/>
        </w:rPr>
        <w:t>,</w:t>
      </w:r>
      <w:r w:rsidRPr="0073537F">
        <w:rPr>
          <w:rFonts w:cs="Arial"/>
          <w:sz w:val="16"/>
          <w:szCs w:val="16"/>
          <w:rtl/>
        </w:rPr>
        <w:t xml:space="preserve"> היה לו דבר טמא בעדרו והישראל יושב מבחוץ וה</w:t>
      </w:r>
      <w:r w:rsidRPr="0073537F">
        <w:rPr>
          <w:rFonts w:cs="Arial" w:hint="cs"/>
          <w:sz w:val="16"/>
          <w:szCs w:val="16"/>
          <w:rtl/>
        </w:rPr>
        <w:t>גוי</w:t>
      </w:r>
      <w:r w:rsidRPr="0073537F">
        <w:rPr>
          <w:rFonts w:cs="Arial"/>
          <w:sz w:val="16"/>
          <w:szCs w:val="16"/>
          <w:rtl/>
        </w:rPr>
        <w:t xml:space="preserve"> חולב לצורך ישראל אפילו אינו יכול לראותו כשהוא יושב אם יכול לראותו כשהוא עומד מותר שירא שמא יעמוד ויראהו</w:t>
      </w:r>
      <w:r>
        <w:rPr>
          <w:rFonts w:cs="Arial" w:hint="cs"/>
          <w:sz w:val="16"/>
          <w:szCs w:val="16"/>
          <w:rtl/>
        </w:rPr>
        <w:t>,</w:t>
      </w:r>
      <w:r w:rsidRPr="0073537F">
        <w:rPr>
          <w:rFonts w:cs="Arial"/>
          <w:sz w:val="16"/>
          <w:szCs w:val="16"/>
          <w:rtl/>
        </w:rPr>
        <w:t xml:space="preserve"> והוא שיודע</w:t>
      </w:r>
      <w:r>
        <w:rPr>
          <w:rStyle w:val="a7"/>
          <w:rFonts w:cs="Arial"/>
          <w:sz w:val="16"/>
          <w:szCs w:val="16"/>
          <w:rtl/>
        </w:rPr>
        <w:footnoteReference w:id="2804"/>
      </w:r>
      <w:r w:rsidRPr="0073537F">
        <w:rPr>
          <w:rFonts w:cs="Arial"/>
          <w:sz w:val="16"/>
          <w:szCs w:val="16"/>
          <w:rtl/>
        </w:rPr>
        <w:t xml:space="preserve"> שחלב טמא אסור לישראל</w:t>
      </w:r>
      <w:r>
        <w:rPr>
          <w:rFonts w:cs="Arial" w:hint="cs"/>
          <w:sz w:val="16"/>
          <w:szCs w:val="16"/>
          <w:rtl/>
        </w:rPr>
        <w:t xml:space="preserve">. עכ"ל. </w:t>
      </w:r>
      <w:r w:rsidRPr="003A7264">
        <w:rPr>
          <w:rFonts w:cs="Arial" w:hint="cs"/>
          <w:color w:val="E36C0A" w:themeColor="accent6" w:themeShade="BF"/>
          <w:sz w:val="16"/>
          <w:szCs w:val="16"/>
          <w:rtl/>
        </w:rPr>
        <w:t>וכ"פ בשו"ע</w:t>
      </w:r>
      <w:r w:rsidRPr="0073537F">
        <w:rPr>
          <w:rFonts w:cs="Arial" w:hint="cs"/>
          <w:sz w:val="16"/>
          <w:szCs w:val="16"/>
          <w:rtl/>
        </w:rPr>
        <w:t>)</w:t>
      </w:r>
    </w:p>
    <w:p w14:paraId="15940729" w14:textId="77777777" w:rsidR="002C39F4" w:rsidRDefault="002C39F4" w:rsidP="002C39F4">
      <w:pPr>
        <w:rPr>
          <w:rFonts w:cs="Arial"/>
          <w:rtl/>
        </w:rPr>
      </w:pPr>
      <w:r>
        <w:rPr>
          <w:rFonts w:cs="Arial" w:hint="cs"/>
          <w:u w:val="single"/>
          <w:rtl/>
        </w:rPr>
        <w:t>כש</w:t>
      </w:r>
      <w:r w:rsidRPr="00E05710">
        <w:rPr>
          <w:rFonts w:cs="Arial" w:hint="cs"/>
          <w:u w:val="single"/>
          <w:rtl/>
        </w:rPr>
        <w:t xml:space="preserve">ברור לישראל שאין דבר טמא בעדרו של הגוי </w:t>
      </w:r>
      <w:r w:rsidRPr="00E05710">
        <w:rPr>
          <w:rFonts w:cs="Arial"/>
          <w:u w:val="single"/>
          <w:rtl/>
        </w:rPr>
        <w:t>–</w:t>
      </w:r>
      <w:r w:rsidRPr="00E05710">
        <w:rPr>
          <w:rFonts w:cs="Arial" w:hint="cs"/>
          <w:u w:val="single"/>
          <w:rtl/>
        </w:rPr>
        <w:t xml:space="preserve"> האם החלב מותר:</w:t>
      </w:r>
    </w:p>
    <w:p w14:paraId="6AE37161" w14:textId="77777777" w:rsidR="002C39F4" w:rsidRDefault="002C39F4" w:rsidP="0032102C">
      <w:pPr>
        <w:pStyle w:val="a8"/>
        <w:numPr>
          <w:ilvl w:val="0"/>
          <w:numId w:val="289"/>
        </w:numPr>
      </w:pPr>
      <w:r w:rsidRPr="00BD6A73">
        <w:rPr>
          <w:rFonts w:cs="Arial"/>
          <w:rtl/>
        </w:rPr>
        <w:t>בני רומי</w:t>
      </w:r>
      <w:r>
        <w:rPr>
          <w:rStyle w:val="a7"/>
          <w:rFonts w:cs="Arial"/>
          <w:rtl/>
        </w:rPr>
        <w:footnoteReference w:id="2805"/>
      </w:r>
      <w:r w:rsidRPr="00BD6A73">
        <w:rPr>
          <w:rFonts w:cs="Arial"/>
          <w:sz w:val="16"/>
          <w:szCs w:val="16"/>
          <w:rtl/>
        </w:rPr>
        <w:t xml:space="preserve"> </w:t>
      </w:r>
      <w:r>
        <w:rPr>
          <w:rFonts w:cs="Arial" w:hint="cs"/>
          <w:sz w:val="16"/>
          <w:szCs w:val="16"/>
          <w:rtl/>
        </w:rPr>
        <w:t>(בתשו'</w:t>
      </w:r>
      <w:r w:rsidRPr="00BD6A73">
        <w:rPr>
          <w:rFonts w:cs="Arial"/>
          <w:sz w:val="16"/>
          <w:szCs w:val="16"/>
          <w:rtl/>
        </w:rPr>
        <w:t xml:space="preserve"> לרב שר שלום גאון</w:t>
      </w:r>
      <w:r w:rsidRPr="00BD6A73">
        <w:rPr>
          <w:rFonts w:cs="Arial" w:hint="cs"/>
          <w:sz w:val="16"/>
          <w:szCs w:val="16"/>
          <w:rtl/>
        </w:rPr>
        <w:t xml:space="preserve">, </w:t>
      </w:r>
      <w:r>
        <w:rPr>
          <w:rFonts w:cs="Arial" w:hint="cs"/>
          <w:sz w:val="16"/>
          <w:szCs w:val="16"/>
          <w:rtl/>
        </w:rPr>
        <w:t>כ"כ</w:t>
      </w:r>
      <w:r w:rsidRPr="00BD6A73">
        <w:rPr>
          <w:rFonts w:cs="Arial" w:hint="cs"/>
          <w:sz w:val="16"/>
          <w:szCs w:val="16"/>
          <w:rtl/>
        </w:rPr>
        <w:t xml:space="preserve"> שע"ד</w:t>
      </w:r>
      <w:r w:rsidRPr="00BD6A73">
        <w:rPr>
          <w:rFonts w:cs="Arial" w:hint="cs"/>
          <w:sz w:val="12"/>
          <w:szCs w:val="12"/>
          <w:rtl/>
        </w:rPr>
        <w:t xml:space="preserve"> [סי' פב] </w:t>
      </w:r>
      <w:r>
        <w:rPr>
          <w:rFonts w:cs="Arial" w:hint="cs"/>
          <w:sz w:val="16"/>
          <w:szCs w:val="16"/>
          <w:rtl/>
        </w:rPr>
        <w:t>בשמ</w:t>
      </w:r>
      <w:r w:rsidRPr="00BD6A73">
        <w:rPr>
          <w:rFonts w:cs="Arial" w:hint="cs"/>
          <w:sz w:val="16"/>
          <w:szCs w:val="16"/>
          <w:rtl/>
        </w:rPr>
        <w:t>ם)</w:t>
      </w:r>
      <w:r>
        <w:rPr>
          <w:rFonts w:cs="Arial" w:hint="cs"/>
          <w:rtl/>
        </w:rPr>
        <w:t xml:space="preserve"> רשב"א</w:t>
      </w:r>
      <w:r>
        <w:rPr>
          <w:rFonts w:cs="Arial" w:hint="cs"/>
          <w:sz w:val="16"/>
          <w:szCs w:val="16"/>
          <w:rtl/>
        </w:rPr>
        <w:t xml:space="preserve"> (תוה"א ב"ג ש"ו צא.)</w:t>
      </w:r>
      <w:r w:rsidRPr="00BB18B0">
        <w:rPr>
          <w:rtl/>
        </w:rPr>
        <w:t xml:space="preserve"> </w:t>
      </w:r>
      <w:r>
        <w:rPr>
          <w:rFonts w:cs="Arial" w:hint="cs"/>
          <w:rtl/>
        </w:rPr>
        <w:t xml:space="preserve">טור </w:t>
      </w:r>
      <w:r w:rsidRPr="00BB18B0">
        <w:rPr>
          <w:rFonts w:cs="Arial"/>
          <w:rtl/>
        </w:rPr>
        <w:t>ר</w:t>
      </w:r>
      <w:r>
        <w:rPr>
          <w:rFonts w:cs="Arial" w:hint="cs"/>
          <w:rtl/>
        </w:rPr>
        <w:t>י"ו</w:t>
      </w:r>
      <w:r w:rsidRPr="00BB18B0">
        <w:rPr>
          <w:rFonts w:cs="Arial"/>
          <w:rtl/>
        </w:rPr>
        <w:t xml:space="preserve"> </w:t>
      </w:r>
      <w:r>
        <w:rPr>
          <w:rFonts w:cs="Arial" w:hint="cs"/>
          <w:sz w:val="16"/>
          <w:szCs w:val="16"/>
          <w:rtl/>
        </w:rPr>
        <w:t>(</w:t>
      </w:r>
      <w:r w:rsidRPr="00BB18B0">
        <w:rPr>
          <w:rFonts w:cs="Arial" w:hint="cs"/>
          <w:sz w:val="16"/>
          <w:szCs w:val="16"/>
          <w:rtl/>
        </w:rPr>
        <w:t>נט"ו</w:t>
      </w:r>
      <w:r w:rsidRPr="00BB18B0">
        <w:rPr>
          <w:rFonts w:cs="Arial"/>
          <w:sz w:val="16"/>
          <w:szCs w:val="16"/>
          <w:rtl/>
        </w:rPr>
        <w:t xml:space="preserve"> אות לא קמא ב</w:t>
      </w:r>
      <w:r w:rsidRPr="00BB18B0">
        <w:rPr>
          <w:rFonts w:cs="Arial" w:hint="cs"/>
          <w:sz w:val="16"/>
          <w:szCs w:val="16"/>
          <w:rtl/>
        </w:rPr>
        <w:t>)</w:t>
      </w:r>
      <w:r>
        <w:rPr>
          <w:rFonts w:cs="Arial" w:hint="cs"/>
          <w:rtl/>
        </w:rPr>
        <w:t xml:space="preserve">- </w:t>
      </w:r>
      <w:r w:rsidRPr="00BB18B0">
        <w:rPr>
          <w:rFonts w:cs="Arial"/>
          <w:rtl/>
        </w:rPr>
        <w:t>נכרי שהיה חולב</w:t>
      </w:r>
      <w:r>
        <w:rPr>
          <w:rFonts w:cs="Arial" w:hint="cs"/>
          <w:rtl/>
        </w:rPr>
        <w:t xml:space="preserve"> </w:t>
      </w:r>
      <w:r w:rsidRPr="00BB18B0">
        <w:rPr>
          <w:rFonts w:cs="Arial" w:hint="cs"/>
          <w:sz w:val="16"/>
          <w:szCs w:val="16"/>
          <w:rtl/>
        </w:rPr>
        <w:t>{בביתו</w:t>
      </w:r>
      <w:r w:rsidRPr="00BB18B0">
        <w:rPr>
          <w:rStyle w:val="a7"/>
          <w:rFonts w:cs="Arial"/>
          <w:sz w:val="16"/>
          <w:szCs w:val="16"/>
          <w:rtl/>
        </w:rPr>
        <w:footnoteReference w:id="2806"/>
      </w:r>
      <w:r>
        <w:rPr>
          <w:rFonts w:cs="Arial" w:hint="cs"/>
          <w:sz w:val="16"/>
          <w:szCs w:val="16"/>
          <w:rtl/>
        </w:rPr>
        <w:t>}</w:t>
      </w:r>
      <w:r w:rsidRPr="00BB18B0">
        <w:rPr>
          <w:rFonts w:cs="Arial"/>
          <w:rtl/>
        </w:rPr>
        <w:t xml:space="preserve"> וישראל יושב בצד עדרו אם אין דבר טמא בעדרו מותר אע</w:t>
      </w:r>
      <w:r>
        <w:rPr>
          <w:rFonts w:cs="Arial" w:hint="cs"/>
          <w:rtl/>
        </w:rPr>
        <w:t>"</w:t>
      </w:r>
      <w:r w:rsidRPr="00BB18B0">
        <w:rPr>
          <w:rFonts w:cs="Arial"/>
          <w:rtl/>
        </w:rPr>
        <w:t>פ שאינו רואהו</w:t>
      </w:r>
      <w:r>
        <w:rPr>
          <w:rFonts w:cs="Arial" w:hint="cs"/>
          <w:sz w:val="16"/>
          <w:szCs w:val="16"/>
          <w:rtl/>
        </w:rPr>
        <w:t xml:space="preserve"> (ל' הרשב"א)</w:t>
      </w:r>
      <w:r>
        <w:rPr>
          <w:rFonts w:cs="Arial" w:hint="cs"/>
          <w:rtl/>
        </w:rPr>
        <w:t xml:space="preserve">. </w:t>
      </w:r>
      <w:r w:rsidRPr="004E33EB">
        <w:rPr>
          <w:rFonts w:cs="Arial" w:hint="cs"/>
          <w:color w:val="E36C0A" w:themeColor="accent6" w:themeShade="BF"/>
          <w:rtl/>
        </w:rPr>
        <w:t>(וכ"פ בשו"ע)</w:t>
      </w:r>
      <w:r>
        <w:rPr>
          <w:rFonts w:cs="Arial" w:hint="cs"/>
          <w:rtl/>
        </w:rPr>
        <w:t xml:space="preserve"> (וכ"פ בת"ח </w:t>
      </w:r>
      <w:r>
        <w:rPr>
          <w:rFonts w:cs="Arial" w:hint="cs"/>
          <w:sz w:val="16"/>
          <w:szCs w:val="16"/>
          <w:rtl/>
        </w:rPr>
        <w:t>[כלל פא-פב-פג אות ז]</w:t>
      </w:r>
      <w:r>
        <w:rPr>
          <w:rFonts w:cs="Arial" w:hint="cs"/>
          <w:rtl/>
        </w:rPr>
        <w:t>)</w:t>
      </w:r>
    </w:p>
    <w:p w14:paraId="32818D00" w14:textId="77777777" w:rsidR="002C39F4" w:rsidRPr="00BD6A73" w:rsidRDefault="002C39F4" w:rsidP="0032102C">
      <w:pPr>
        <w:pStyle w:val="a8"/>
        <w:numPr>
          <w:ilvl w:val="0"/>
          <w:numId w:val="289"/>
        </w:numPr>
        <w:rPr>
          <w:rFonts w:cs="Arial"/>
        </w:rPr>
      </w:pPr>
      <w:r w:rsidRPr="00BD6A73">
        <w:rPr>
          <w:rFonts w:cs="Arial"/>
          <w:rtl/>
        </w:rPr>
        <w:t>רבינו שמחה</w:t>
      </w:r>
      <w:r>
        <w:rPr>
          <w:rFonts w:cs="Arial" w:hint="cs"/>
          <w:rtl/>
        </w:rPr>
        <w:t xml:space="preserve"> </w:t>
      </w:r>
      <w:r w:rsidRPr="00BD6A73">
        <w:rPr>
          <w:rFonts w:cs="Arial" w:hint="cs"/>
          <w:sz w:val="16"/>
          <w:szCs w:val="16"/>
          <w:rtl/>
        </w:rPr>
        <w:t>(</w:t>
      </w:r>
      <w:r>
        <w:rPr>
          <w:rFonts w:cs="Arial" w:hint="cs"/>
          <w:sz w:val="16"/>
          <w:szCs w:val="16"/>
          <w:rtl/>
        </w:rPr>
        <w:t xml:space="preserve">בסדר עולם שלו, </w:t>
      </w:r>
      <w:r w:rsidRPr="00BD6A73">
        <w:rPr>
          <w:rFonts w:cs="Arial" w:hint="cs"/>
          <w:sz w:val="16"/>
          <w:szCs w:val="16"/>
          <w:rtl/>
        </w:rPr>
        <w:t>כ"כ שע"ד בשמו)</w:t>
      </w:r>
      <w:r>
        <w:rPr>
          <w:rFonts w:cs="Arial" w:hint="cs"/>
          <w:rtl/>
        </w:rPr>
        <w:t>-</w:t>
      </w:r>
      <w:r w:rsidRPr="00BD6A73">
        <w:rPr>
          <w:rFonts w:cs="Arial"/>
          <w:rtl/>
        </w:rPr>
        <w:t xml:space="preserve"> אחד שחלבו לו חלב בבית הגוי וראה מתחילה והלך לו הישראל </w:t>
      </w:r>
      <w:r>
        <w:rPr>
          <w:rFonts w:cs="Arial" w:hint="cs"/>
          <w:rtl/>
        </w:rPr>
        <w:t xml:space="preserve">- </w:t>
      </w:r>
      <w:r w:rsidRPr="00BD6A73">
        <w:rPr>
          <w:rFonts w:cs="Arial"/>
          <w:rtl/>
        </w:rPr>
        <w:t>החלב</w:t>
      </w:r>
      <w:r w:rsidRPr="007752F3">
        <w:rPr>
          <w:rFonts w:cs="Arial"/>
          <w:rtl/>
        </w:rPr>
        <w:t xml:space="preserve"> </w:t>
      </w:r>
      <w:r>
        <w:rPr>
          <w:rFonts w:cs="Arial" w:hint="cs"/>
          <w:rtl/>
        </w:rPr>
        <w:t>מו</w:t>
      </w:r>
      <w:r w:rsidRPr="00BD6A73">
        <w:rPr>
          <w:rFonts w:cs="Arial"/>
          <w:rtl/>
        </w:rPr>
        <w:t>תר</w:t>
      </w:r>
      <w:r>
        <w:rPr>
          <w:rFonts w:cs="Arial" w:hint="cs"/>
          <w:rtl/>
        </w:rPr>
        <w:t>,</w:t>
      </w:r>
      <w:r w:rsidRPr="00BD6A73">
        <w:rPr>
          <w:rFonts w:cs="Arial"/>
          <w:rtl/>
        </w:rPr>
        <w:t xml:space="preserve"> חדא שלא היה שם דבר טמא כלל, ועוד דמירתת הגוי דהשתא אתי ישראל ויראה אותו. </w:t>
      </w:r>
    </w:p>
    <w:p w14:paraId="2F0B0F18" w14:textId="77777777" w:rsidR="002C39F4" w:rsidRDefault="002C39F4" w:rsidP="0032102C">
      <w:pPr>
        <w:pStyle w:val="a8"/>
        <w:numPr>
          <w:ilvl w:val="0"/>
          <w:numId w:val="289"/>
        </w:numPr>
      </w:pPr>
      <w:r>
        <w:rPr>
          <w:rFonts w:cs="Arial" w:hint="cs"/>
          <w:rtl/>
        </w:rPr>
        <w:t xml:space="preserve">סמ"ק </w:t>
      </w:r>
      <w:r w:rsidRPr="0073537F">
        <w:rPr>
          <w:rFonts w:cs="Arial"/>
          <w:sz w:val="16"/>
          <w:szCs w:val="16"/>
          <w:rtl/>
        </w:rPr>
        <w:t>(סי' רכג)</w:t>
      </w:r>
      <w:r>
        <w:rPr>
          <w:rFonts w:cs="Arial" w:hint="cs"/>
          <w:rtl/>
        </w:rPr>
        <w:t xml:space="preserve"> ר"פ</w:t>
      </w:r>
      <w:r>
        <w:rPr>
          <w:rStyle w:val="a7"/>
          <w:rFonts w:cs="Arial"/>
          <w:rtl/>
        </w:rPr>
        <w:footnoteReference w:id="2807"/>
      </w:r>
      <w:r>
        <w:rPr>
          <w:rFonts w:cs="Arial" w:hint="cs"/>
          <w:rtl/>
        </w:rPr>
        <w:t xml:space="preserve"> </w:t>
      </w:r>
      <w:r>
        <w:rPr>
          <w:rFonts w:cs="Arial" w:hint="cs"/>
          <w:sz w:val="16"/>
          <w:szCs w:val="16"/>
          <w:rtl/>
        </w:rPr>
        <w:t>(כ"כ המרדכי בשמו, לא מצאתי מקומו)</w:t>
      </w:r>
      <w:r>
        <w:rPr>
          <w:rFonts w:cs="Arial" w:hint="cs"/>
          <w:rtl/>
        </w:rPr>
        <w:t xml:space="preserve"> ו</w:t>
      </w:r>
      <w:r w:rsidRPr="00E05710">
        <w:rPr>
          <w:rFonts w:cs="Arial"/>
          <w:rtl/>
        </w:rPr>
        <w:t xml:space="preserve">מרדכי </w:t>
      </w:r>
      <w:r w:rsidRPr="00E05710">
        <w:rPr>
          <w:rFonts w:cs="Arial"/>
          <w:sz w:val="16"/>
          <w:szCs w:val="16"/>
          <w:rtl/>
        </w:rPr>
        <w:t>(סי' תתכו)</w:t>
      </w:r>
      <w:r w:rsidRPr="00222F1A">
        <w:rPr>
          <w:rStyle w:val="a7"/>
          <w:rFonts w:cs="Arial"/>
          <w:rtl/>
        </w:rPr>
        <w:footnoteReference w:id="2808"/>
      </w:r>
      <w:r w:rsidRPr="00E05710">
        <w:rPr>
          <w:rFonts w:cs="Arial" w:hint="cs"/>
          <w:rtl/>
        </w:rPr>
        <w:t>-</w:t>
      </w:r>
      <w:r w:rsidRPr="00E05710">
        <w:rPr>
          <w:rFonts w:cs="Arial"/>
          <w:rtl/>
        </w:rPr>
        <w:t xml:space="preserve"> </w:t>
      </w:r>
      <w:r w:rsidRPr="00851107">
        <w:rPr>
          <w:rFonts w:cs="Arial"/>
          <w:rtl/>
        </w:rPr>
        <w:t>אין חילוק בין יש בהמות טמאות בבית בין אין בהמות טמאות בבית, וצריך שיהא הישראל שם בשעה שיתחיל לחלוב ויראה שאין בכלי שום דבר ואח"כ אם יוצא ונכנס מותר</w:t>
      </w:r>
      <w:r>
        <w:rPr>
          <w:rStyle w:val="a7"/>
          <w:rFonts w:cs="Arial"/>
          <w:rtl/>
        </w:rPr>
        <w:footnoteReference w:id="2809"/>
      </w:r>
      <w:r>
        <w:rPr>
          <w:rFonts w:cs="Arial" w:hint="cs"/>
          <w:sz w:val="16"/>
          <w:szCs w:val="16"/>
          <w:rtl/>
        </w:rPr>
        <w:t xml:space="preserve"> (ל' סמ"ק)</w:t>
      </w:r>
      <w:r>
        <w:rPr>
          <w:rFonts w:cs="Arial" w:hint="cs"/>
          <w:rtl/>
        </w:rPr>
        <w:t>.</w:t>
      </w:r>
      <w:r w:rsidRPr="00BD6A73">
        <w:rPr>
          <w:rFonts w:cs="Arial"/>
          <w:rtl/>
        </w:rPr>
        <w:t xml:space="preserve"> </w:t>
      </w:r>
      <w:r>
        <w:rPr>
          <w:rFonts w:cs="Arial" w:hint="cs"/>
          <w:rtl/>
        </w:rPr>
        <w:t>(וכ"פ הט"ז</w:t>
      </w:r>
      <w:r>
        <w:rPr>
          <w:rFonts w:cs="Arial" w:hint="cs"/>
          <w:sz w:val="16"/>
          <w:szCs w:val="16"/>
          <w:rtl/>
        </w:rPr>
        <w:t xml:space="preserve"> [סק"ד]</w:t>
      </w:r>
      <w:r>
        <w:rPr>
          <w:rStyle w:val="a7"/>
          <w:rFonts w:cs="Arial"/>
          <w:rtl/>
        </w:rPr>
        <w:footnoteReference w:id="2810"/>
      </w:r>
      <w:r>
        <w:rPr>
          <w:rFonts w:cs="Arial" w:hint="cs"/>
          <w:rtl/>
        </w:rPr>
        <w:t>)</w:t>
      </w:r>
    </w:p>
    <w:p w14:paraId="564EDA3E" w14:textId="77777777" w:rsidR="002C39F4" w:rsidRPr="00BD6A73" w:rsidRDefault="002C39F4" w:rsidP="0032102C">
      <w:pPr>
        <w:pStyle w:val="a8"/>
        <w:numPr>
          <w:ilvl w:val="0"/>
          <w:numId w:val="289"/>
        </w:numPr>
        <w:rPr>
          <w:rtl/>
        </w:rPr>
      </w:pPr>
      <w:r>
        <w:rPr>
          <w:rFonts w:cs="Arial"/>
          <w:rtl/>
        </w:rPr>
        <w:t>או"ה</w:t>
      </w:r>
      <w:r w:rsidRPr="004A00EA">
        <w:rPr>
          <w:rFonts w:cs="Arial"/>
          <w:rtl/>
        </w:rPr>
        <w:t xml:space="preserve"> </w:t>
      </w:r>
      <w:r w:rsidRPr="00222F1A">
        <w:rPr>
          <w:rFonts w:cs="Arial" w:hint="cs"/>
          <w:sz w:val="16"/>
          <w:szCs w:val="16"/>
          <w:rtl/>
        </w:rPr>
        <w:t>(</w:t>
      </w:r>
      <w:r w:rsidRPr="00222F1A">
        <w:rPr>
          <w:rFonts w:cs="Arial"/>
          <w:sz w:val="16"/>
          <w:szCs w:val="16"/>
          <w:rtl/>
        </w:rPr>
        <w:t>כלל מה ד</w:t>
      </w:r>
      <w:r>
        <w:rPr>
          <w:rFonts w:cs="Arial" w:hint="cs"/>
          <w:sz w:val="16"/>
          <w:szCs w:val="16"/>
          <w:rtl/>
        </w:rPr>
        <w:t>"</w:t>
      </w:r>
      <w:r w:rsidRPr="00222F1A">
        <w:rPr>
          <w:rFonts w:cs="Arial"/>
          <w:sz w:val="16"/>
          <w:szCs w:val="16"/>
          <w:rtl/>
        </w:rPr>
        <w:t>א-ב)</w:t>
      </w:r>
      <w:r>
        <w:rPr>
          <w:rFonts w:cs="Arial" w:hint="cs"/>
          <w:rtl/>
        </w:rPr>
        <w:t>-</w:t>
      </w:r>
      <w:r w:rsidRPr="004A00EA">
        <w:rPr>
          <w:rFonts w:cs="Arial"/>
          <w:rtl/>
        </w:rPr>
        <w:t xml:space="preserve"> </w:t>
      </w:r>
      <w:r>
        <w:rPr>
          <w:rStyle w:val="a7"/>
          <w:rFonts w:cs="Arial"/>
          <w:rtl/>
        </w:rPr>
        <w:footnoteReference w:id="2811"/>
      </w:r>
      <w:r w:rsidRPr="004A00EA">
        <w:rPr>
          <w:rFonts w:cs="Arial"/>
          <w:rtl/>
        </w:rPr>
        <w:t>לכתחלה יש לנהוג כדעת הסמ"ק ובדיעבד מותר אי ראה תחלת החליבה</w:t>
      </w:r>
      <w:r>
        <w:rPr>
          <w:rStyle w:val="a7"/>
          <w:rFonts w:cs="Arial"/>
          <w:rtl/>
        </w:rPr>
        <w:footnoteReference w:id="2812"/>
      </w:r>
      <w:r>
        <w:rPr>
          <w:rFonts w:cs="Arial" w:hint="cs"/>
          <w:rtl/>
        </w:rPr>
        <w:t>.</w:t>
      </w:r>
      <w:r>
        <w:rPr>
          <w:rFonts w:hint="cs"/>
          <w:rtl/>
        </w:rPr>
        <w:t xml:space="preserve"> </w:t>
      </w:r>
      <w:r>
        <w:rPr>
          <w:rFonts w:hint="cs"/>
          <w:color w:val="00B0F0"/>
          <w:rtl/>
        </w:rPr>
        <w:t>(וכ"פ הרמ"א)</w:t>
      </w:r>
    </w:p>
    <w:p w14:paraId="2A176427" w14:textId="77777777" w:rsidR="002C39F4" w:rsidRPr="00BD3205" w:rsidRDefault="002C39F4" w:rsidP="002C39F4">
      <w:pPr>
        <w:rPr>
          <w:rFonts w:cs="Arial"/>
          <w:sz w:val="16"/>
          <w:szCs w:val="16"/>
          <w:rtl/>
        </w:rPr>
      </w:pPr>
      <w:r w:rsidRPr="00BD6A73">
        <w:rPr>
          <w:rFonts w:cs="Arial" w:hint="cs"/>
          <w:u w:val="single"/>
          <w:rtl/>
        </w:rPr>
        <w:t>גוי שחלב בבית ישראל ואין הישראל רואהו:</w:t>
      </w:r>
      <w:r>
        <w:rPr>
          <w:rFonts w:cs="Arial" w:hint="cs"/>
          <w:sz w:val="16"/>
          <w:szCs w:val="16"/>
          <w:rtl/>
        </w:rPr>
        <w:t xml:space="preserve">   (דרכ"מ אות א)</w:t>
      </w:r>
    </w:p>
    <w:p w14:paraId="5E69E7A9" w14:textId="77777777" w:rsidR="002C39F4" w:rsidRDefault="002C39F4" w:rsidP="0032102C">
      <w:pPr>
        <w:pStyle w:val="a8"/>
        <w:numPr>
          <w:ilvl w:val="0"/>
          <w:numId w:val="291"/>
        </w:numPr>
        <w:rPr>
          <w:rFonts w:cs="Arial"/>
        </w:rPr>
      </w:pPr>
      <w:r>
        <w:rPr>
          <w:rFonts w:cs="Arial" w:hint="cs"/>
          <w:rtl/>
        </w:rPr>
        <w:t>ר"ת</w:t>
      </w:r>
      <w:r>
        <w:rPr>
          <w:rStyle w:val="a7"/>
          <w:rFonts w:cs="Arial"/>
          <w:rtl/>
        </w:rPr>
        <w:footnoteReference w:id="2813"/>
      </w:r>
      <w:r>
        <w:rPr>
          <w:rFonts w:cs="Arial" w:hint="cs"/>
          <w:rtl/>
        </w:rPr>
        <w:t xml:space="preserve"> ו</w:t>
      </w:r>
      <w:r w:rsidRPr="00BD3205">
        <w:rPr>
          <w:rFonts w:cs="Arial"/>
          <w:rtl/>
        </w:rPr>
        <w:t xml:space="preserve">מהרא"י </w:t>
      </w:r>
      <w:r>
        <w:rPr>
          <w:rFonts w:cs="Arial" w:hint="cs"/>
          <w:sz w:val="16"/>
          <w:szCs w:val="16"/>
          <w:rtl/>
        </w:rPr>
        <w:t>(בהגשע"ד סי' פב אות א)</w:t>
      </w:r>
      <w:r>
        <w:rPr>
          <w:rFonts w:cs="Arial" w:hint="cs"/>
          <w:rtl/>
        </w:rPr>
        <w:t xml:space="preserve">- </w:t>
      </w:r>
      <w:r w:rsidRPr="00BD3205">
        <w:rPr>
          <w:rFonts w:cs="Arial"/>
          <w:rtl/>
        </w:rPr>
        <w:t>המנהג שמניחין שפחות לחלוב ברפתות שבבית ואין ישראל רואהו כלל</w:t>
      </w:r>
      <w:r>
        <w:rPr>
          <w:rFonts w:cs="Arial" w:hint="cs"/>
          <w:rtl/>
        </w:rPr>
        <w:t>,</w:t>
      </w:r>
      <w:r w:rsidRPr="00BD3205">
        <w:rPr>
          <w:rFonts w:cs="Arial"/>
          <w:rtl/>
        </w:rPr>
        <w:t xml:space="preserve"> ואפשר משום דהאידנא לא שכיח כלל דבר טמא שחולבין ממנו</w:t>
      </w:r>
      <w:r>
        <w:rPr>
          <w:rFonts w:cs="Arial" w:hint="cs"/>
          <w:rtl/>
        </w:rPr>
        <w:t>.</w:t>
      </w:r>
      <w:r w:rsidRPr="00A23746">
        <w:rPr>
          <w:rFonts w:hint="cs"/>
          <w:color w:val="00B0F0"/>
          <w:rtl/>
        </w:rPr>
        <w:t xml:space="preserve"> </w:t>
      </w:r>
      <w:r>
        <w:rPr>
          <w:rFonts w:hint="cs"/>
          <w:color w:val="00B0F0"/>
          <w:rtl/>
        </w:rPr>
        <w:t>(וכ"פ הרמ"א</w:t>
      </w:r>
      <w:r>
        <w:rPr>
          <w:rFonts w:hint="cs"/>
          <w:color w:val="000000" w:themeColor="text1"/>
          <w:sz w:val="16"/>
          <w:szCs w:val="16"/>
          <w:rtl/>
        </w:rPr>
        <w:t xml:space="preserve"> [עי' ש"ך סק"י]</w:t>
      </w:r>
      <w:r>
        <w:rPr>
          <w:rFonts w:hint="cs"/>
          <w:color w:val="00B0F0"/>
          <w:rtl/>
        </w:rPr>
        <w:t>)</w:t>
      </w:r>
    </w:p>
    <w:p w14:paraId="1FE920C7" w14:textId="77777777" w:rsidR="002C39F4" w:rsidRDefault="002C39F4" w:rsidP="0032102C">
      <w:pPr>
        <w:pStyle w:val="a8"/>
        <w:numPr>
          <w:ilvl w:val="0"/>
          <w:numId w:val="291"/>
        </w:numPr>
        <w:rPr>
          <w:rFonts w:cs="Arial"/>
        </w:rPr>
      </w:pPr>
      <w:r w:rsidRPr="00BD6A73">
        <w:rPr>
          <w:rFonts w:cs="Arial" w:hint="cs"/>
          <w:rtl/>
        </w:rPr>
        <w:t xml:space="preserve">שע"ד </w:t>
      </w:r>
      <w:r w:rsidRPr="00BD6A73">
        <w:rPr>
          <w:rFonts w:cs="Arial" w:hint="cs"/>
          <w:sz w:val="16"/>
          <w:szCs w:val="16"/>
          <w:rtl/>
        </w:rPr>
        <w:t>(סי' פב)</w:t>
      </w:r>
      <w:r w:rsidRPr="00BD6A73">
        <w:rPr>
          <w:rFonts w:cs="Arial" w:hint="cs"/>
          <w:rtl/>
        </w:rPr>
        <w:t xml:space="preserve">- </w:t>
      </w:r>
      <w:r w:rsidRPr="00BD3205">
        <w:rPr>
          <w:rFonts w:cs="Arial"/>
          <w:rtl/>
        </w:rPr>
        <w:t>אע</w:t>
      </w:r>
      <w:r w:rsidRPr="00BD3205">
        <w:rPr>
          <w:rFonts w:cs="Arial" w:hint="cs"/>
          <w:rtl/>
        </w:rPr>
        <w:t>"</w:t>
      </w:r>
      <w:r w:rsidRPr="00BD3205">
        <w:rPr>
          <w:rFonts w:cs="Arial"/>
          <w:rtl/>
        </w:rPr>
        <w:t xml:space="preserve">פ שהיה מותר דבר מכוער הוא לעשות כן לכתחלה. </w:t>
      </w:r>
    </w:p>
    <w:p w14:paraId="4D9B38BA" w14:textId="77777777" w:rsidR="002C39F4" w:rsidRDefault="002C39F4" w:rsidP="0032102C">
      <w:pPr>
        <w:pStyle w:val="a8"/>
        <w:numPr>
          <w:ilvl w:val="0"/>
          <w:numId w:val="291"/>
        </w:numPr>
        <w:rPr>
          <w:rFonts w:cs="Arial"/>
        </w:rPr>
      </w:pPr>
      <w:r>
        <w:rPr>
          <w:rFonts w:cs="Arial" w:hint="cs"/>
          <w:rtl/>
        </w:rPr>
        <w:t>או</w:t>
      </w:r>
      <w:r>
        <w:rPr>
          <w:rFonts w:cs="Arial"/>
          <w:rtl/>
        </w:rPr>
        <w:t>"</w:t>
      </w:r>
      <w:r>
        <w:rPr>
          <w:rFonts w:cs="Arial" w:hint="cs"/>
          <w:rtl/>
        </w:rPr>
        <w:t>ה</w:t>
      </w:r>
      <w:r w:rsidRPr="00BD3205">
        <w:rPr>
          <w:rFonts w:cs="Arial"/>
          <w:rtl/>
        </w:rPr>
        <w:t xml:space="preserve"> </w:t>
      </w:r>
      <w:r w:rsidRPr="003A7264">
        <w:rPr>
          <w:rFonts w:cs="Arial"/>
          <w:sz w:val="16"/>
          <w:szCs w:val="16"/>
          <w:rtl/>
        </w:rPr>
        <w:t>(</w:t>
      </w:r>
      <w:r w:rsidRPr="003A7264">
        <w:rPr>
          <w:rFonts w:cs="Arial" w:hint="cs"/>
          <w:sz w:val="16"/>
          <w:szCs w:val="16"/>
          <w:rtl/>
        </w:rPr>
        <w:t>כלל מה</w:t>
      </w:r>
      <w:r w:rsidRPr="003A7264">
        <w:rPr>
          <w:rFonts w:cs="Arial"/>
          <w:sz w:val="16"/>
          <w:szCs w:val="16"/>
          <w:rtl/>
        </w:rPr>
        <w:t xml:space="preserve"> ד</w:t>
      </w:r>
      <w:r w:rsidRPr="003A7264">
        <w:rPr>
          <w:rFonts w:cs="Arial" w:hint="cs"/>
          <w:sz w:val="16"/>
          <w:szCs w:val="16"/>
          <w:rtl/>
        </w:rPr>
        <w:t>"</w:t>
      </w:r>
      <w:r w:rsidRPr="003A7264">
        <w:rPr>
          <w:rFonts w:cs="Arial"/>
          <w:sz w:val="16"/>
          <w:szCs w:val="16"/>
          <w:rtl/>
        </w:rPr>
        <w:t>ב</w:t>
      </w:r>
      <w:r w:rsidRPr="003A7264">
        <w:rPr>
          <w:rFonts w:cs="Arial" w:hint="cs"/>
          <w:sz w:val="16"/>
          <w:szCs w:val="16"/>
          <w:rtl/>
        </w:rPr>
        <w:t>,</w:t>
      </w:r>
      <w:r w:rsidRPr="003A7264">
        <w:rPr>
          <w:rFonts w:cs="Arial"/>
          <w:sz w:val="16"/>
          <w:szCs w:val="16"/>
          <w:rtl/>
        </w:rPr>
        <w:t xml:space="preserve"> </w:t>
      </w:r>
      <w:r w:rsidRPr="003A7264">
        <w:rPr>
          <w:rFonts w:cs="Arial" w:hint="cs"/>
          <w:sz w:val="16"/>
          <w:szCs w:val="16"/>
          <w:rtl/>
        </w:rPr>
        <w:t>וד"</w:t>
      </w:r>
      <w:r w:rsidRPr="003A7264">
        <w:rPr>
          <w:rFonts w:cs="Arial"/>
          <w:sz w:val="16"/>
          <w:szCs w:val="16"/>
          <w:rtl/>
        </w:rPr>
        <w:t>ח)</w:t>
      </w:r>
      <w:r w:rsidRPr="00BD3205">
        <w:rPr>
          <w:rFonts w:cs="Arial" w:hint="cs"/>
          <w:rtl/>
        </w:rPr>
        <w:t>-</w:t>
      </w:r>
      <w:r w:rsidRPr="00BD3205">
        <w:rPr>
          <w:rFonts w:cs="Arial"/>
          <w:rtl/>
        </w:rPr>
        <w:t xml:space="preserve"> מותר אפילו לכתחלה לשלוח שפחתו גויה לחלוב פרתו בביתו אע</w:t>
      </w:r>
      <w:r w:rsidRPr="00BD3205">
        <w:rPr>
          <w:rFonts w:cs="Arial" w:hint="cs"/>
          <w:rtl/>
        </w:rPr>
        <w:t>"</w:t>
      </w:r>
      <w:r w:rsidRPr="00BD3205">
        <w:rPr>
          <w:rFonts w:cs="Arial"/>
          <w:rtl/>
        </w:rPr>
        <w:t>פ שאין ישראל רואהו דכל פעם מירתתה עתה יבא</w:t>
      </w:r>
      <w:r w:rsidRPr="00BD3205">
        <w:rPr>
          <w:rFonts w:cs="Arial" w:hint="cs"/>
          <w:rtl/>
        </w:rPr>
        <w:t>.</w:t>
      </w:r>
      <w:r>
        <w:rPr>
          <w:rFonts w:cs="Arial" w:hint="cs"/>
          <w:rtl/>
        </w:rPr>
        <w:t xml:space="preserve"> </w:t>
      </w:r>
    </w:p>
    <w:p w14:paraId="56DC0785" w14:textId="77777777" w:rsidR="002C39F4" w:rsidRPr="00BD3205" w:rsidRDefault="002C39F4" w:rsidP="002C39F4">
      <w:pPr>
        <w:ind w:left="360"/>
        <w:rPr>
          <w:rFonts w:cs="Arial"/>
        </w:rPr>
      </w:pPr>
      <w:r>
        <w:rPr>
          <w:rFonts w:cs="Arial" w:hint="cs"/>
          <w:u w:val="dotted"/>
          <w:rtl/>
        </w:rPr>
        <w:t>ומה הדין אם בית של גוי מפסיק בין בית הישראל לרפת:</w:t>
      </w:r>
      <w:r>
        <w:rPr>
          <w:rFonts w:cs="Arial" w:hint="cs"/>
          <w:sz w:val="16"/>
          <w:szCs w:val="16"/>
          <w:rtl/>
        </w:rPr>
        <w:t xml:space="preserve">  (דרכ"מ אות א)</w:t>
      </w:r>
    </w:p>
    <w:p w14:paraId="52194BE3" w14:textId="77777777" w:rsidR="002C39F4" w:rsidRDefault="002C39F4" w:rsidP="0032102C">
      <w:pPr>
        <w:pStyle w:val="a8"/>
        <w:numPr>
          <w:ilvl w:val="0"/>
          <w:numId w:val="291"/>
        </w:numPr>
        <w:rPr>
          <w:rFonts w:cs="Arial"/>
        </w:rPr>
      </w:pPr>
      <w:r>
        <w:rPr>
          <w:rFonts w:cs="Arial" w:hint="cs"/>
          <w:rtl/>
        </w:rPr>
        <w:t>או</w:t>
      </w:r>
      <w:r>
        <w:rPr>
          <w:rFonts w:cs="Arial"/>
          <w:rtl/>
        </w:rPr>
        <w:t>"</w:t>
      </w:r>
      <w:r>
        <w:rPr>
          <w:rFonts w:cs="Arial" w:hint="cs"/>
          <w:rtl/>
        </w:rPr>
        <w:t>ה</w:t>
      </w:r>
      <w:r w:rsidRPr="00BD3205">
        <w:rPr>
          <w:rFonts w:cs="Arial"/>
          <w:rtl/>
        </w:rPr>
        <w:t xml:space="preserve"> </w:t>
      </w:r>
      <w:r w:rsidRPr="00BD3205">
        <w:rPr>
          <w:rFonts w:cs="Arial"/>
          <w:sz w:val="16"/>
          <w:szCs w:val="16"/>
          <w:rtl/>
        </w:rPr>
        <w:t>(</w:t>
      </w:r>
      <w:r w:rsidRPr="00BD3205">
        <w:rPr>
          <w:rFonts w:cs="Arial" w:hint="cs"/>
          <w:sz w:val="16"/>
          <w:szCs w:val="16"/>
          <w:rtl/>
        </w:rPr>
        <w:t xml:space="preserve">כלל מה </w:t>
      </w:r>
      <w:r w:rsidRPr="00BD3205">
        <w:rPr>
          <w:rFonts w:cs="Arial"/>
          <w:sz w:val="16"/>
          <w:szCs w:val="16"/>
          <w:rtl/>
        </w:rPr>
        <w:t>דין ח)</w:t>
      </w:r>
      <w:r>
        <w:rPr>
          <w:rFonts w:cs="Arial" w:hint="cs"/>
          <w:rtl/>
        </w:rPr>
        <w:t xml:space="preserve">- </w:t>
      </w:r>
      <w:r w:rsidRPr="00BD3205">
        <w:rPr>
          <w:rFonts w:cs="Arial"/>
          <w:rtl/>
        </w:rPr>
        <w:t>אם בית גוי מפסיק ביניהם אפילו דיעבד אסור אם לא היה שם ישראל ואפילו קטן או קטנה שהם בני הבנה דהיינו בני ט' שנים מהני</w:t>
      </w:r>
      <w:r>
        <w:rPr>
          <w:rFonts w:cs="Arial" w:hint="cs"/>
          <w:rtl/>
        </w:rPr>
        <w:t>.</w:t>
      </w:r>
      <w:r w:rsidRPr="00A23746">
        <w:rPr>
          <w:rFonts w:hint="cs"/>
          <w:color w:val="00B0F0"/>
          <w:rtl/>
        </w:rPr>
        <w:t xml:space="preserve"> </w:t>
      </w:r>
      <w:r>
        <w:rPr>
          <w:rFonts w:hint="cs"/>
          <w:color w:val="00B0F0"/>
          <w:rtl/>
        </w:rPr>
        <w:t>(וכ"פ הרמ"א)</w:t>
      </w:r>
    </w:p>
    <w:p w14:paraId="2F8123C0" w14:textId="77777777" w:rsidR="002C39F4" w:rsidRPr="00756EA7" w:rsidRDefault="002C39F4" w:rsidP="002C39F4">
      <w:pPr>
        <w:ind w:left="360"/>
        <w:rPr>
          <w:rFonts w:cs="Arial"/>
          <w:u w:val="dotted"/>
          <w:rtl/>
        </w:rPr>
      </w:pPr>
      <w:r>
        <w:rPr>
          <w:rFonts w:cs="Arial" w:hint="cs"/>
          <w:u w:val="dotted"/>
          <w:rtl/>
        </w:rPr>
        <w:t>ומה הדין כשבהמת ישראל בבית הגוי:</w:t>
      </w:r>
      <w:r w:rsidRPr="00756EA7">
        <w:rPr>
          <w:rFonts w:cs="Arial" w:hint="cs"/>
          <w:sz w:val="16"/>
          <w:szCs w:val="16"/>
          <w:rtl/>
        </w:rPr>
        <w:t xml:space="preserve"> </w:t>
      </w:r>
      <w:r>
        <w:rPr>
          <w:rFonts w:cs="Arial" w:hint="cs"/>
          <w:sz w:val="16"/>
          <w:szCs w:val="16"/>
          <w:rtl/>
        </w:rPr>
        <w:t xml:space="preserve">  (ב"י)</w:t>
      </w:r>
    </w:p>
    <w:p w14:paraId="08453FE4" w14:textId="77777777" w:rsidR="002C39F4" w:rsidRDefault="002C39F4" w:rsidP="0032102C">
      <w:pPr>
        <w:pStyle w:val="a8"/>
        <w:numPr>
          <w:ilvl w:val="0"/>
          <w:numId w:val="291"/>
        </w:numPr>
        <w:rPr>
          <w:rFonts w:cs="Arial"/>
        </w:rPr>
      </w:pPr>
      <w:r w:rsidRPr="00B14C82">
        <w:rPr>
          <w:rFonts w:cs="Arial"/>
          <w:rtl/>
        </w:rPr>
        <w:t xml:space="preserve">סמ"ג </w:t>
      </w:r>
      <w:r w:rsidRPr="00D56432">
        <w:rPr>
          <w:rFonts w:cs="Arial"/>
          <w:sz w:val="16"/>
          <w:szCs w:val="16"/>
          <w:rtl/>
        </w:rPr>
        <w:t>(לאוין קלב מה:)</w:t>
      </w:r>
      <w:r>
        <w:rPr>
          <w:rFonts w:cs="Arial" w:hint="cs"/>
          <w:rtl/>
        </w:rPr>
        <w:t>-</w:t>
      </w:r>
      <w:r w:rsidRPr="00B14C82">
        <w:rPr>
          <w:rFonts w:cs="Arial"/>
          <w:rtl/>
        </w:rPr>
        <w:t xml:space="preserve"> ר</w:t>
      </w:r>
      <w:r>
        <w:rPr>
          <w:rFonts w:cs="Arial" w:hint="cs"/>
          <w:rtl/>
        </w:rPr>
        <w:t>"ת</w:t>
      </w:r>
      <w:r w:rsidRPr="00B14C82">
        <w:rPr>
          <w:rFonts w:cs="Arial"/>
          <w:rtl/>
        </w:rPr>
        <w:t xml:space="preserve"> הקפיד על אחד שהיו רחלותיו אצל הגוי והיה שולח שם בכל בקר את בתו לראות ולא היתה מספקת לבא שם עד שחלבו רובו או כולו. </w:t>
      </w:r>
    </w:p>
    <w:p w14:paraId="63B0B7B6" w14:textId="77777777" w:rsidR="002C39F4" w:rsidRPr="00381955" w:rsidRDefault="002C39F4" w:rsidP="002C39F4">
      <w:pPr>
        <w:rPr>
          <w:rFonts w:cs="Arial"/>
          <w:u w:val="single"/>
          <w:rtl/>
        </w:rPr>
      </w:pPr>
      <w:r w:rsidRPr="00381955">
        <w:rPr>
          <w:rFonts w:cs="Arial" w:hint="cs"/>
          <w:u w:val="single"/>
          <w:rtl/>
        </w:rPr>
        <w:t>העמדת חלב בקדרה שגוי העמיד בה חלב:</w:t>
      </w:r>
    </w:p>
    <w:p w14:paraId="0D84AF91" w14:textId="77777777" w:rsidR="002C39F4" w:rsidRDefault="002C39F4" w:rsidP="0032102C">
      <w:pPr>
        <w:pStyle w:val="a8"/>
        <w:numPr>
          <w:ilvl w:val="0"/>
          <w:numId w:val="290"/>
        </w:numPr>
        <w:rPr>
          <w:rFonts w:cs="Arial"/>
        </w:rPr>
      </w:pPr>
      <w:r w:rsidRPr="00381955">
        <w:rPr>
          <w:rFonts w:cs="Arial"/>
          <w:rtl/>
        </w:rPr>
        <w:t xml:space="preserve">רשב"א </w:t>
      </w:r>
      <w:r w:rsidRPr="00381955">
        <w:rPr>
          <w:rFonts w:cs="Arial"/>
          <w:sz w:val="16"/>
          <w:szCs w:val="16"/>
          <w:rtl/>
        </w:rPr>
        <w:t>(ח"א סי</w:t>
      </w:r>
      <w:r w:rsidRPr="00381955">
        <w:rPr>
          <w:rFonts w:cs="Arial" w:hint="cs"/>
          <w:sz w:val="16"/>
          <w:szCs w:val="16"/>
          <w:rtl/>
        </w:rPr>
        <w:t>'</w:t>
      </w:r>
      <w:r w:rsidRPr="00381955">
        <w:rPr>
          <w:rFonts w:cs="Arial"/>
          <w:sz w:val="16"/>
          <w:szCs w:val="16"/>
          <w:rtl/>
        </w:rPr>
        <w:t xml:space="preserve"> קמג)</w:t>
      </w:r>
      <w:r w:rsidRPr="00381955">
        <w:rPr>
          <w:rFonts w:cs="Arial" w:hint="cs"/>
          <w:rtl/>
        </w:rPr>
        <w:t xml:space="preserve">- </w:t>
      </w:r>
      <w:r w:rsidRPr="00381955">
        <w:rPr>
          <w:rFonts w:cs="Arial"/>
          <w:rtl/>
        </w:rPr>
        <w:t>אסור להעמיד חלב בקדרה שהעמיד בה גוי חלב שחלבו גוי שלא בפני ישראל</w:t>
      </w:r>
      <w:r w:rsidRPr="00381955">
        <w:rPr>
          <w:rFonts w:cs="Arial" w:hint="cs"/>
          <w:rtl/>
        </w:rPr>
        <w:t>,</w:t>
      </w:r>
      <w:r w:rsidRPr="00381955">
        <w:rPr>
          <w:rFonts w:cs="Arial"/>
          <w:rtl/>
        </w:rPr>
        <w:t xml:space="preserve"> מפני שמחממים בה החלב על האש בשעה שמגבנין ובלעה מחלב האיסור</w:t>
      </w:r>
      <w:r>
        <w:rPr>
          <w:rFonts w:cs="Arial" w:hint="cs"/>
          <w:rtl/>
        </w:rPr>
        <w:t>,</w:t>
      </w:r>
      <w:r w:rsidRPr="00381955">
        <w:rPr>
          <w:rFonts w:cs="Arial"/>
          <w:rtl/>
        </w:rPr>
        <w:t xml:space="preserve"> וכשמחמם ישראל חלב שלו פולטת</w:t>
      </w:r>
      <w:r w:rsidRPr="00381955">
        <w:rPr>
          <w:rFonts w:cs="Arial" w:hint="cs"/>
          <w:rtl/>
        </w:rPr>
        <w:t>,</w:t>
      </w:r>
      <w:r w:rsidRPr="00381955">
        <w:rPr>
          <w:rFonts w:cs="Arial"/>
          <w:rtl/>
        </w:rPr>
        <w:t xml:space="preserve"> ובדיעבד שרי משום דסתמא שאינה בת יומא</w:t>
      </w:r>
      <w:r w:rsidRPr="00381955">
        <w:rPr>
          <w:rFonts w:cs="Arial" w:hint="cs"/>
          <w:rtl/>
        </w:rPr>
        <w:t>,</w:t>
      </w:r>
      <w:r w:rsidRPr="00381955">
        <w:rPr>
          <w:rFonts w:cs="Arial"/>
          <w:rtl/>
        </w:rPr>
        <w:t xml:space="preserve"> וגם טוב ליזהר מלגבן בקערות שלהם מחמת זה</w:t>
      </w:r>
      <w:r w:rsidRPr="00381955">
        <w:rPr>
          <w:rFonts w:cs="Arial" w:hint="cs"/>
          <w:rtl/>
        </w:rPr>
        <w:t>,</w:t>
      </w:r>
      <w:r w:rsidRPr="00381955">
        <w:rPr>
          <w:rFonts w:cs="Arial"/>
          <w:rtl/>
        </w:rPr>
        <w:t xml:space="preserve"> ועוד מחמת המלח שמשימים בגבינה אע</w:t>
      </w:r>
      <w:r w:rsidRPr="00381955">
        <w:rPr>
          <w:rFonts w:cs="Arial" w:hint="cs"/>
          <w:rtl/>
        </w:rPr>
        <w:t>"</w:t>
      </w:r>
      <w:r w:rsidRPr="00381955">
        <w:rPr>
          <w:rFonts w:cs="Arial"/>
          <w:rtl/>
        </w:rPr>
        <w:t>פ שאינו כ</w:t>
      </w:r>
      <w:r>
        <w:rPr>
          <w:rFonts w:cs="Arial" w:hint="cs"/>
          <w:rtl/>
        </w:rPr>
        <w:t xml:space="preserve">ל </w:t>
      </w:r>
      <w:r w:rsidRPr="00381955">
        <w:rPr>
          <w:rFonts w:cs="Arial"/>
          <w:rtl/>
        </w:rPr>
        <w:t>כ</w:t>
      </w:r>
      <w:r>
        <w:rPr>
          <w:rFonts w:cs="Arial" w:hint="cs"/>
          <w:rtl/>
        </w:rPr>
        <w:t>ך</w:t>
      </w:r>
      <w:r w:rsidRPr="00381955">
        <w:rPr>
          <w:rFonts w:cs="Arial"/>
          <w:rtl/>
        </w:rPr>
        <w:t xml:space="preserve"> שלא תאכל מחמת מלחה מ</w:t>
      </w:r>
      <w:r w:rsidRPr="00381955">
        <w:rPr>
          <w:rFonts w:cs="Arial" w:hint="cs"/>
          <w:rtl/>
        </w:rPr>
        <w:t>"</w:t>
      </w:r>
      <w:r w:rsidRPr="00381955">
        <w:rPr>
          <w:rFonts w:cs="Arial"/>
          <w:rtl/>
        </w:rPr>
        <w:t>מ טוב ליזהר כדי להתרחק מן האיסור</w:t>
      </w:r>
      <w:r w:rsidRPr="00381955">
        <w:rPr>
          <w:rFonts w:cs="Arial" w:hint="cs"/>
          <w:rtl/>
        </w:rPr>
        <w:t>.</w:t>
      </w:r>
      <w:r>
        <w:rPr>
          <w:rFonts w:cs="Arial" w:hint="cs"/>
          <w:rtl/>
        </w:rPr>
        <w:t xml:space="preserve"> </w:t>
      </w:r>
      <w:r>
        <w:rPr>
          <w:rFonts w:hint="cs"/>
          <w:color w:val="00B0F0"/>
          <w:rtl/>
        </w:rPr>
        <w:t>(וכ"פ הרמ"א)</w:t>
      </w:r>
    </w:p>
    <w:p w14:paraId="364FF71D" w14:textId="77777777" w:rsidR="002C39F4" w:rsidRPr="00381955" w:rsidRDefault="002C39F4" w:rsidP="002C39F4">
      <w:pPr>
        <w:rPr>
          <w:rFonts w:cs="Arial"/>
          <w:u w:val="single"/>
        </w:rPr>
      </w:pPr>
      <w:r w:rsidRPr="00381955">
        <w:rPr>
          <w:rFonts w:cs="Arial" w:hint="cs"/>
          <w:u w:val="single"/>
          <w:rtl/>
        </w:rPr>
        <w:t xml:space="preserve">בישול בקדרה של ישראל </w:t>
      </w:r>
      <w:r>
        <w:rPr>
          <w:rFonts w:cs="Arial" w:hint="cs"/>
          <w:u w:val="single"/>
          <w:rtl/>
        </w:rPr>
        <w:t>ש</w:t>
      </w:r>
      <w:r w:rsidRPr="00381955">
        <w:rPr>
          <w:rFonts w:cs="Arial" w:hint="cs"/>
          <w:u w:val="single"/>
          <w:rtl/>
        </w:rPr>
        <w:t>אוכל גבינות גוים:</w:t>
      </w:r>
    </w:p>
    <w:p w14:paraId="34C7D82C" w14:textId="77777777" w:rsidR="002C39F4" w:rsidRDefault="002C39F4" w:rsidP="0032102C">
      <w:pPr>
        <w:pStyle w:val="a8"/>
        <w:numPr>
          <w:ilvl w:val="0"/>
          <w:numId w:val="290"/>
        </w:numPr>
        <w:rPr>
          <w:rFonts w:cs="Arial"/>
        </w:rPr>
      </w:pPr>
      <w:r w:rsidRPr="00381955">
        <w:rPr>
          <w:rFonts w:cs="Arial" w:hint="cs"/>
          <w:rtl/>
        </w:rPr>
        <w:t>א"</w:t>
      </w:r>
      <w:r w:rsidRPr="00381955">
        <w:rPr>
          <w:rFonts w:cs="Arial"/>
          <w:rtl/>
        </w:rPr>
        <w:t xml:space="preserve">ח </w:t>
      </w:r>
      <w:r w:rsidRPr="00381955">
        <w:rPr>
          <w:rFonts w:cs="Arial"/>
          <w:sz w:val="16"/>
          <w:szCs w:val="16"/>
          <w:rtl/>
        </w:rPr>
        <w:t>(הלא</w:t>
      </w:r>
      <w:r>
        <w:rPr>
          <w:rFonts w:cs="Arial" w:hint="cs"/>
          <w:sz w:val="16"/>
          <w:szCs w:val="16"/>
          <w:rtl/>
        </w:rPr>
        <w:t>"</w:t>
      </w:r>
      <w:r w:rsidRPr="00381955">
        <w:rPr>
          <w:rFonts w:cs="Arial" w:hint="cs"/>
          <w:sz w:val="16"/>
          <w:szCs w:val="16"/>
          <w:rtl/>
        </w:rPr>
        <w:t>מ</w:t>
      </w:r>
      <w:r w:rsidRPr="00381955">
        <w:rPr>
          <w:rFonts w:cs="Arial"/>
          <w:sz w:val="16"/>
          <w:szCs w:val="16"/>
          <w:rtl/>
        </w:rPr>
        <w:t xml:space="preserve"> אות עא)</w:t>
      </w:r>
      <w:r>
        <w:rPr>
          <w:rFonts w:cs="Arial" w:hint="cs"/>
          <w:rtl/>
        </w:rPr>
        <w:t xml:space="preserve">- </w:t>
      </w:r>
      <w:r w:rsidRPr="00381955">
        <w:rPr>
          <w:rFonts w:cs="Arial"/>
          <w:rtl/>
        </w:rPr>
        <w:t>יש מתירים לבשל בקדרות ישראלים האוכלים גבינות הגוים אם הם מקונחות יפה ויש אוסרים ונראין דבריהם</w:t>
      </w:r>
      <w:r>
        <w:rPr>
          <w:rStyle w:val="a7"/>
          <w:rFonts w:cs="Arial"/>
          <w:rtl/>
        </w:rPr>
        <w:footnoteReference w:id="2814"/>
      </w:r>
      <w:r>
        <w:rPr>
          <w:rFonts w:cs="Arial" w:hint="cs"/>
          <w:rtl/>
        </w:rPr>
        <w:t xml:space="preserve">. </w:t>
      </w:r>
    </w:p>
    <w:p w14:paraId="71BCD22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3D6BE30" w14:textId="77777777" w:rsidR="002C39F4" w:rsidRDefault="002C39F4" w:rsidP="002C39F4">
      <w:pPr>
        <w:rPr>
          <w:rFonts w:asciiTheme="minorBidi" w:hAnsiTheme="minorBidi"/>
          <w:rtl/>
        </w:rPr>
      </w:pPr>
      <w:r w:rsidRPr="003024E5">
        <w:rPr>
          <w:rFonts w:asciiTheme="minorBidi" w:hAnsiTheme="minorBidi"/>
          <w:rtl/>
        </w:rPr>
        <w:t xml:space="preserve">חלב שחלבו </w:t>
      </w:r>
      <w:r>
        <w:rPr>
          <w:rFonts w:asciiTheme="minorBidi" w:hAnsiTheme="minorBidi"/>
          <w:rtl/>
        </w:rPr>
        <w:t>גוי</w:t>
      </w:r>
      <w:r w:rsidRPr="003024E5">
        <w:rPr>
          <w:rFonts w:asciiTheme="minorBidi" w:hAnsiTheme="minorBidi"/>
          <w:rtl/>
        </w:rPr>
        <w:t xml:space="preserve"> ואין ישראל רואהו אסור</w:t>
      </w:r>
      <w:r>
        <w:rPr>
          <w:rFonts w:asciiTheme="minorBidi" w:hAnsiTheme="minorBidi" w:hint="cs"/>
          <w:rtl/>
        </w:rPr>
        <w:t>,</w:t>
      </w:r>
      <w:r w:rsidRPr="003024E5">
        <w:rPr>
          <w:rFonts w:asciiTheme="minorBidi" w:hAnsiTheme="minorBidi"/>
          <w:rtl/>
        </w:rPr>
        <w:t xml:space="preserve"> שמא עירב בו חלב טמא. היה חולב בביתו וישראל יושב מבחוץ, אם ידוע שאין לו דבר טמא בעדרו מותר אפילו אין הישראל יכול לראותו בשעה שהוא חולב. היה לו דבר טמא בעדרו והישראל יושב מבחוץ וה</w:t>
      </w:r>
      <w:r>
        <w:rPr>
          <w:rFonts w:asciiTheme="minorBidi" w:hAnsiTheme="minorBidi"/>
          <w:rtl/>
        </w:rPr>
        <w:t>גוי</w:t>
      </w:r>
      <w:r w:rsidRPr="003024E5">
        <w:rPr>
          <w:rFonts w:asciiTheme="minorBidi" w:hAnsiTheme="minorBidi"/>
          <w:rtl/>
        </w:rPr>
        <w:t xml:space="preserve"> חולב לצורך ישראל</w:t>
      </w:r>
      <w:r>
        <w:rPr>
          <w:rStyle w:val="a7"/>
          <w:rFonts w:asciiTheme="minorBidi" w:hAnsiTheme="minorBidi"/>
          <w:rtl/>
        </w:rPr>
        <w:footnoteReference w:id="2815"/>
      </w:r>
      <w:r w:rsidRPr="003024E5">
        <w:rPr>
          <w:rFonts w:asciiTheme="minorBidi" w:hAnsiTheme="minorBidi"/>
          <w:rtl/>
        </w:rPr>
        <w:t xml:space="preserve"> אפילו אינו יכול לראותו כשהוא יושב</w:t>
      </w:r>
      <w:r>
        <w:rPr>
          <w:rFonts w:asciiTheme="minorBidi" w:hAnsiTheme="minorBidi" w:hint="cs"/>
          <w:rtl/>
        </w:rPr>
        <w:t>,</w:t>
      </w:r>
      <w:r w:rsidRPr="003024E5">
        <w:rPr>
          <w:rFonts w:asciiTheme="minorBidi" w:hAnsiTheme="minorBidi"/>
          <w:rtl/>
        </w:rPr>
        <w:t xml:space="preserve"> אם יכול לראותו כשהוא עומד מותר</w:t>
      </w:r>
      <w:r>
        <w:rPr>
          <w:rStyle w:val="a7"/>
          <w:rFonts w:asciiTheme="minorBidi" w:hAnsiTheme="minorBidi"/>
          <w:rtl/>
        </w:rPr>
        <w:footnoteReference w:id="2816"/>
      </w:r>
      <w:r w:rsidRPr="003024E5">
        <w:rPr>
          <w:rFonts w:asciiTheme="minorBidi" w:hAnsiTheme="minorBidi"/>
          <w:rtl/>
        </w:rPr>
        <w:t xml:space="preserve">, שירא שמא יעמוד ויראהו, והוא שיודע שחלב טמא אסור לישראל. </w:t>
      </w:r>
      <w:r w:rsidRPr="00535557">
        <w:rPr>
          <w:rFonts w:asciiTheme="minorBidi" w:hAnsiTheme="minorBidi"/>
          <w:sz w:val="18"/>
          <w:szCs w:val="18"/>
          <w:rtl/>
        </w:rPr>
        <w:t>הגה: ולכתחלה צריך להיות הישראל בתחלת החליבה ויראה בכלי שלא יהיה בכלי שחולבין בו דבר טמא (</w:t>
      </w:r>
      <w:r>
        <w:rPr>
          <w:rFonts w:asciiTheme="minorBidi" w:hAnsiTheme="minorBidi"/>
          <w:sz w:val="18"/>
          <w:szCs w:val="18"/>
          <w:rtl/>
        </w:rPr>
        <w:t>או"ה</w:t>
      </w:r>
      <w:r w:rsidRPr="00535557">
        <w:rPr>
          <w:rFonts w:asciiTheme="minorBidi" w:hAnsiTheme="minorBidi"/>
          <w:sz w:val="18"/>
          <w:szCs w:val="18"/>
          <w:rtl/>
        </w:rPr>
        <w:t xml:space="preserve"> כלל מה). ונהגו להחמיר שלא יחלוב בכלי שדרכו של גוי לחלוב בו</w:t>
      </w:r>
      <w:r>
        <w:rPr>
          <w:rStyle w:val="a7"/>
          <w:rFonts w:asciiTheme="minorBidi" w:hAnsiTheme="minorBidi"/>
          <w:sz w:val="18"/>
          <w:szCs w:val="18"/>
          <w:rtl/>
        </w:rPr>
        <w:footnoteReference w:id="2817"/>
      </w:r>
      <w:r w:rsidRPr="00535557">
        <w:rPr>
          <w:rFonts w:asciiTheme="minorBidi" w:hAnsiTheme="minorBidi"/>
          <w:sz w:val="18"/>
          <w:szCs w:val="18"/>
          <w:rtl/>
        </w:rPr>
        <w:t>, שמא נשארו בו צחצוחי חלב של גוי</w:t>
      </w:r>
      <w:r>
        <w:rPr>
          <w:rStyle w:val="a7"/>
          <w:rFonts w:asciiTheme="minorBidi" w:hAnsiTheme="minorBidi"/>
          <w:sz w:val="18"/>
          <w:szCs w:val="18"/>
          <w:rtl/>
        </w:rPr>
        <w:footnoteReference w:id="2818"/>
      </w:r>
      <w:r w:rsidRPr="00535557">
        <w:rPr>
          <w:rFonts w:asciiTheme="minorBidi" w:hAnsiTheme="minorBidi"/>
          <w:sz w:val="18"/>
          <w:szCs w:val="18"/>
          <w:rtl/>
        </w:rPr>
        <w:t xml:space="preserve"> </w:t>
      </w:r>
      <w:r w:rsidRPr="00DF646F">
        <w:rPr>
          <w:rFonts w:asciiTheme="minorBidi" w:hAnsiTheme="minorBidi"/>
          <w:sz w:val="16"/>
          <w:szCs w:val="16"/>
          <w:rtl/>
        </w:rPr>
        <w:t>(שם)</w:t>
      </w:r>
      <w:r w:rsidRPr="00535557">
        <w:rPr>
          <w:rFonts w:asciiTheme="minorBidi" w:hAnsiTheme="minorBidi"/>
          <w:sz w:val="18"/>
          <w:szCs w:val="18"/>
          <w:rtl/>
        </w:rPr>
        <w:t>. מיהו בדיעבד אין לחוש לכל זה</w:t>
      </w:r>
      <w:r>
        <w:rPr>
          <w:rStyle w:val="a7"/>
          <w:rFonts w:asciiTheme="minorBidi" w:hAnsiTheme="minorBidi"/>
          <w:sz w:val="18"/>
          <w:szCs w:val="18"/>
          <w:rtl/>
        </w:rPr>
        <w:footnoteReference w:id="2819"/>
      </w:r>
      <w:r w:rsidRPr="00535557">
        <w:rPr>
          <w:rFonts w:asciiTheme="minorBidi" w:hAnsiTheme="minorBidi"/>
          <w:sz w:val="18"/>
          <w:szCs w:val="18"/>
          <w:rtl/>
        </w:rPr>
        <w:t>. ושפחות שחולבות הבהמות בבית ישראל או בדיר שלהם, כל מקום שאין בית גוי מפסיק ואין לחוש לדבר טמא מותר אפילו לכתחלה להניח אותן לחלוב אע</w:t>
      </w:r>
      <w:r>
        <w:rPr>
          <w:rFonts w:asciiTheme="minorBidi" w:hAnsiTheme="minorBidi" w:hint="cs"/>
          <w:sz w:val="18"/>
          <w:szCs w:val="18"/>
          <w:rtl/>
        </w:rPr>
        <w:t>"</w:t>
      </w:r>
      <w:r w:rsidRPr="00535557">
        <w:rPr>
          <w:rFonts w:asciiTheme="minorBidi" w:hAnsiTheme="minorBidi"/>
          <w:sz w:val="18"/>
          <w:szCs w:val="18"/>
          <w:rtl/>
        </w:rPr>
        <w:t xml:space="preserve">פ שאין שם ישראל כלל, דמאחר שהוא בבית ישראל או בשכונתו אין לחוש לדבר טמא </w:t>
      </w:r>
      <w:r w:rsidRPr="00DF646F">
        <w:rPr>
          <w:rFonts w:asciiTheme="minorBidi" w:hAnsiTheme="minorBidi"/>
          <w:sz w:val="16"/>
          <w:szCs w:val="16"/>
          <w:rtl/>
        </w:rPr>
        <w:t>(ר"ת ומהרא"</w:t>
      </w:r>
      <w:r w:rsidRPr="00DF646F">
        <w:rPr>
          <w:rFonts w:asciiTheme="minorBidi" w:hAnsiTheme="minorBidi" w:hint="cs"/>
          <w:sz w:val="16"/>
          <w:szCs w:val="16"/>
          <w:rtl/>
        </w:rPr>
        <w:t>י</w:t>
      </w:r>
      <w:r w:rsidRPr="00DF646F">
        <w:rPr>
          <w:rFonts w:asciiTheme="minorBidi" w:hAnsiTheme="minorBidi"/>
          <w:sz w:val="16"/>
          <w:szCs w:val="16"/>
          <w:rtl/>
        </w:rPr>
        <w:t>)</w:t>
      </w:r>
      <w:r w:rsidRPr="00535557">
        <w:rPr>
          <w:rFonts w:asciiTheme="minorBidi" w:hAnsiTheme="minorBidi"/>
          <w:sz w:val="18"/>
          <w:szCs w:val="18"/>
          <w:rtl/>
        </w:rPr>
        <w:t>. אבל אם בית גוים מפסיק, צריך להיות ישראל שם כאילו חולבות בבית גוי</w:t>
      </w:r>
      <w:r>
        <w:rPr>
          <w:rStyle w:val="a7"/>
          <w:rFonts w:asciiTheme="minorBidi" w:hAnsiTheme="minorBidi"/>
          <w:sz w:val="18"/>
          <w:szCs w:val="18"/>
          <w:rtl/>
        </w:rPr>
        <w:footnoteReference w:id="2820"/>
      </w:r>
      <w:r>
        <w:rPr>
          <w:rFonts w:asciiTheme="minorBidi" w:hAnsiTheme="minorBidi" w:hint="cs"/>
          <w:sz w:val="18"/>
          <w:szCs w:val="18"/>
          <w:rtl/>
        </w:rPr>
        <w:t>,</w:t>
      </w:r>
      <w:r w:rsidRPr="00535557">
        <w:rPr>
          <w:rFonts w:asciiTheme="minorBidi" w:hAnsiTheme="minorBidi"/>
          <w:sz w:val="18"/>
          <w:szCs w:val="18"/>
          <w:rtl/>
        </w:rPr>
        <w:t xml:space="preserve"> ואפילו ישראל קטן או קטנה</w:t>
      </w:r>
      <w:r>
        <w:rPr>
          <w:rStyle w:val="a7"/>
          <w:rFonts w:asciiTheme="minorBidi" w:hAnsiTheme="minorBidi"/>
          <w:sz w:val="18"/>
          <w:szCs w:val="18"/>
          <w:rtl/>
        </w:rPr>
        <w:footnoteReference w:id="2821"/>
      </w:r>
      <w:r w:rsidRPr="00535557">
        <w:rPr>
          <w:rFonts w:asciiTheme="minorBidi" w:hAnsiTheme="minorBidi"/>
          <w:sz w:val="18"/>
          <w:szCs w:val="18"/>
          <w:rtl/>
        </w:rPr>
        <w:t xml:space="preserve"> מועילים, דהגוי מרתת לפניהם </w:t>
      </w:r>
      <w:r w:rsidRPr="00DF646F">
        <w:rPr>
          <w:rFonts w:asciiTheme="minorBidi" w:hAnsiTheme="minorBidi"/>
          <w:sz w:val="16"/>
          <w:szCs w:val="16"/>
          <w:rtl/>
        </w:rPr>
        <w:t>(</w:t>
      </w:r>
      <w:r w:rsidRPr="00DF646F">
        <w:rPr>
          <w:rFonts w:asciiTheme="minorBidi" w:hAnsiTheme="minorBidi" w:hint="cs"/>
          <w:sz w:val="16"/>
          <w:szCs w:val="16"/>
          <w:rtl/>
        </w:rPr>
        <w:t>או"ה</w:t>
      </w:r>
      <w:r w:rsidRPr="00DF646F">
        <w:rPr>
          <w:rFonts w:asciiTheme="minorBidi" w:hAnsiTheme="minorBidi"/>
          <w:sz w:val="16"/>
          <w:szCs w:val="16"/>
          <w:rtl/>
        </w:rPr>
        <w:t>)</w:t>
      </w:r>
      <w:r w:rsidRPr="00535557">
        <w:rPr>
          <w:rFonts w:asciiTheme="minorBidi" w:hAnsiTheme="minorBidi"/>
          <w:sz w:val="18"/>
          <w:szCs w:val="18"/>
          <w:rtl/>
        </w:rPr>
        <w:t>. ואם חלבו גוי</w:t>
      </w:r>
      <w:r>
        <w:rPr>
          <w:rFonts w:asciiTheme="minorBidi" w:hAnsiTheme="minorBidi" w:hint="cs"/>
          <w:sz w:val="18"/>
          <w:szCs w:val="18"/>
          <w:rtl/>
        </w:rPr>
        <w:t>ם</w:t>
      </w:r>
      <w:r w:rsidRPr="00535557">
        <w:rPr>
          <w:rFonts w:asciiTheme="minorBidi" w:hAnsiTheme="minorBidi"/>
          <w:sz w:val="18"/>
          <w:szCs w:val="18"/>
          <w:rtl/>
        </w:rPr>
        <w:t xml:space="preserve"> מקצת בהמות ולא היה שם ישראל, ואח</w:t>
      </w:r>
      <w:r>
        <w:rPr>
          <w:rFonts w:asciiTheme="minorBidi" w:hAnsiTheme="minorBidi" w:hint="cs"/>
          <w:sz w:val="18"/>
          <w:szCs w:val="18"/>
          <w:rtl/>
        </w:rPr>
        <w:t>"</w:t>
      </w:r>
      <w:r w:rsidRPr="00535557">
        <w:rPr>
          <w:rFonts w:asciiTheme="minorBidi" w:hAnsiTheme="minorBidi"/>
          <w:sz w:val="18"/>
          <w:szCs w:val="18"/>
          <w:rtl/>
        </w:rPr>
        <w:t xml:space="preserve">כ בא ישראל אל האחרים, עכשיו בזמן הזה שאין חלב דבר טמא מצוי כלל מותר </w:t>
      </w:r>
      <w:r w:rsidRPr="00DF646F">
        <w:rPr>
          <w:rFonts w:asciiTheme="minorBidi" w:hAnsiTheme="minorBidi"/>
          <w:sz w:val="16"/>
          <w:szCs w:val="16"/>
          <w:rtl/>
        </w:rPr>
        <w:t>(הגש</w:t>
      </w:r>
      <w:r w:rsidRPr="00DF646F">
        <w:rPr>
          <w:rFonts w:asciiTheme="minorBidi" w:hAnsiTheme="minorBidi" w:hint="cs"/>
          <w:sz w:val="16"/>
          <w:szCs w:val="16"/>
          <w:rtl/>
        </w:rPr>
        <w:t>ע</w:t>
      </w:r>
      <w:r w:rsidRPr="00DF646F">
        <w:rPr>
          <w:rFonts w:asciiTheme="minorBidi" w:hAnsiTheme="minorBidi"/>
          <w:sz w:val="16"/>
          <w:szCs w:val="16"/>
          <w:rtl/>
        </w:rPr>
        <w:t>"ד)</w:t>
      </w:r>
      <w:r w:rsidRPr="00535557">
        <w:rPr>
          <w:rFonts w:asciiTheme="minorBidi" w:hAnsiTheme="minorBidi"/>
          <w:sz w:val="18"/>
          <w:szCs w:val="18"/>
          <w:rtl/>
        </w:rPr>
        <w:t>. מיהו אם לא בא שם הישראל עד אחר שנחלבו כולם הוי כחלב שחלבו גוי דאסור</w:t>
      </w:r>
      <w:r>
        <w:rPr>
          <w:rFonts w:asciiTheme="minorBidi" w:hAnsiTheme="minorBidi" w:hint="cs"/>
          <w:sz w:val="18"/>
          <w:szCs w:val="18"/>
          <w:rtl/>
        </w:rPr>
        <w:t>ה</w:t>
      </w:r>
      <w:r w:rsidRPr="00535557">
        <w:rPr>
          <w:rFonts w:asciiTheme="minorBidi" w:hAnsiTheme="minorBidi"/>
          <w:sz w:val="18"/>
          <w:szCs w:val="18"/>
          <w:rtl/>
        </w:rPr>
        <w:t xml:space="preserve"> אע</w:t>
      </w:r>
      <w:r>
        <w:rPr>
          <w:rFonts w:asciiTheme="minorBidi" w:hAnsiTheme="minorBidi" w:hint="cs"/>
          <w:sz w:val="18"/>
          <w:szCs w:val="18"/>
          <w:rtl/>
        </w:rPr>
        <w:t>"</w:t>
      </w:r>
      <w:r w:rsidRPr="00535557">
        <w:rPr>
          <w:rFonts w:asciiTheme="minorBidi" w:hAnsiTheme="minorBidi"/>
          <w:sz w:val="18"/>
          <w:szCs w:val="18"/>
          <w:rtl/>
        </w:rPr>
        <w:t>פ שאין דבר טמא בעדרו</w:t>
      </w:r>
      <w:r>
        <w:rPr>
          <w:rStyle w:val="a7"/>
          <w:rFonts w:asciiTheme="minorBidi" w:hAnsiTheme="minorBidi"/>
          <w:sz w:val="18"/>
          <w:szCs w:val="18"/>
          <w:rtl/>
        </w:rPr>
        <w:footnoteReference w:id="2822"/>
      </w:r>
      <w:r w:rsidRPr="00535557">
        <w:rPr>
          <w:rFonts w:asciiTheme="minorBidi" w:hAnsiTheme="minorBidi"/>
          <w:sz w:val="18"/>
          <w:szCs w:val="18"/>
          <w:rtl/>
        </w:rPr>
        <w:t xml:space="preserve"> </w:t>
      </w:r>
      <w:r w:rsidRPr="00DF646F">
        <w:rPr>
          <w:rFonts w:asciiTheme="minorBidi" w:hAnsiTheme="minorBidi"/>
          <w:sz w:val="16"/>
          <w:szCs w:val="16"/>
          <w:rtl/>
        </w:rPr>
        <w:t>(ב"י בשם ר"</w:t>
      </w:r>
      <w:r>
        <w:rPr>
          <w:rFonts w:asciiTheme="minorBidi" w:hAnsiTheme="minorBidi" w:hint="cs"/>
          <w:sz w:val="16"/>
          <w:szCs w:val="16"/>
          <w:rtl/>
        </w:rPr>
        <w:t>פ</w:t>
      </w:r>
      <w:r w:rsidRPr="00DF646F">
        <w:rPr>
          <w:rFonts w:asciiTheme="minorBidi" w:hAnsiTheme="minorBidi"/>
          <w:sz w:val="16"/>
          <w:szCs w:val="16"/>
          <w:rtl/>
        </w:rPr>
        <w:t xml:space="preserve"> </w:t>
      </w:r>
      <w:r>
        <w:rPr>
          <w:rFonts w:asciiTheme="minorBidi" w:hAnsiTheme="minorBidi" w:hint="cs"/>
          <w:sz w:val="16"/>
          <w:szCs w:val="16"/>
          <w:rtl/>
        </w:rPr>
        <w:t>ו</w:t>
      </w:r>
      <w:r w:rsidRPr="00DF646F">
        <w:rPr>
          <w:rFonts w:asciiTheme="minorBidi" w:hAnsiTheme="minorBidi"/>
          <w:sz w:val="16"/>
          <w:szCs w:val="16"/>
          <w:rtl/>
        </w:rPr>
        <w:t>סמ"ק)</w:t>
      </w:r>
      <w:r w:rsidRPr="00535557">
        <w:rPr>
          <w:rFonts w:asciiTheme="minorBidi" w:hAnsiTheme="minorBidi"/>
          <w:sz w:val="18"/>
          <w:szCs w:val="18"/>
          <w:rtl/>
        </w:rPr>
        <w:t>. חלב של גוים אוסר</w:t>
      </w:r>
      <w:r>
        <w:rPr>
          <w:rFonts w:asciiTheme="minorBidi" w:hAnsiTheme="minorBidi" w:hint="cs"/>
          <w:sz w:val="18"/>
          <w:szCs w:val="18"/>
          <w:rtl/>
        </w:rPr>
        <w:t>ת</w:t>
      </w:r>
      <w:r w:rsidRPr="00535557">
        <w:rPr>
          <w:rFonts w:asciiTheme="minorBidi" w:hAnsiTheme="minorBidi"/>
          <w:sz w:val="18"/>
          <w:szCs w:val="18"/>
          <w:rtl/>
        </w:rPr>
        <w:t xml:space="preserve"> כלים</w:t>
      </w:r>
      <w:r>
        <w:rPr>
          <w:rStyle w:val="a7"/>
          <w:rFonts w:asciiTheme="minorBidi" w:hAnsiTheme="minorBidi"/>
          <w:sz w:val="18"/>
          <w:szCs w:val="18"/>
          <w:rtl/>
        </w:rPr>
        <w:footnoteReference w:id="2823"/>
      </w:r>
      <w:r w:rsidRPr="00535557">
        <w:rPr>
          <w:rFonts w:asciiTheme="minorBidi" w:hAnsiTheme="minorBidi"/>
          <w:sz w:val="18"/>
          <w:szCs w:val="18"/>
          <w:rtl/>
        </w:rPr>
        <w:t xml:space="preserve"> שנתבשלו</w:t>
      </w:r>
      <w:r>
        <w:rPr>
          <w:rStyle w:val="a7"/>
          <w:rFonts w:asciiTheme="minorBidi" w:hAnsiTheme="minorBidi"/>
          <w:sz w:val="18"/>
          <w:szCs w:val="18"/>
          <w:rtl/>
        </w:rPr>
        <w:footnoteReference w:id="2824"/>
      </w:r>
      <w:r w:rsidRPr="00535557">
        <w:rPr>
          <w:rFonts w:asciiTheme="minorBidi" w:hAnsiTheme="minorBidi"/>
          <w:sz w:val="18"/>
          <w:szCs w:val="18"/>
          <w:rtl/>
        </w:rPr>
        <w:t xml:space="preserve"> בהם כשאר איסור</w:t>
      </w:r>
      <w:r>
        <w:rPr>
          <w:rStyle w:val="a7"/>
          <w:rFonts w:asciiTheme="minorBidi" w:hAnsiTheme="minorBidi"/>
          <w:sz w:val="18"/>
          <w:szCs w:val="18"/>
          <w:rtl/>
        </w:rPr>
        <w:footnoteReference w:id="2825"/>
      </w:r>
      <w:r w:rsidRPr="00535557">
        <w:rPr>
          <w:rFonts w:asciiTheme="minorBidi" w:hAnsiTheme="minorBidi"/>
          <w:sz w:val="18"/>
          <w:szCs w:val="18"/>
          <w:rtl/>
        </w:rPr>
        <w:t>, אע</w:t>
      </w:r>
      <w:r>
        <w:rPr>
          <w:rFonts w:asciiTheme="minorBidi" w:hAnsiTheme="minorBidi" w:hint="cs"/>
          <w:sz w:val="18"/>
          <w:szCs w:val="18"/>
          <w:rtl/>
        </w:rPr>
        <w:t>"</w:t>
      </w:r>
      <w:r w:rsidRPr="00535557">
        <w:rPr>
          <w:rFonts w:asciiTheme="minorBidi" w:hAnsiTheme="minorBidi"/>
          <w:sz w:val="18"/>
          <w:szCs w:val="18"/>
          <w:rtl/>
        </w:rPr>
        <w:t>פ שאינו רק ספק שמא עירב בה דבר טמא</w:t>
      </w:r>
      <w:r>
        <w:rPr>
          <w:rFonts w:asciiTheme="minorBidi" w:hAnsiTheme="minorBidi" w:hint="cs"/>
          <w:sz w:val="18"/>
          <w:szCs w:val="18"/>
          <w:rtl/>
        </w:rPr>
        <w:t>,</w:t>
      </w:r>
      <w:r w:rsidRPr="00535557">
        <w:rPr>
          <w:rFonts w:asciiTheme="minorBidi" w:hAnsiTheme="minorBidi"/>
          <w:sz w:val="18"/>
          <w:szCs w:val="18"/>
          <w:rtl/>
        </w:rPr>
        <w:t xml:space="preserve"> וכן גבינותיהם </w:t>
      </w:r>
      <w:r w:rsidRPr="00DF646F">
        <w:rPr>
          <w:rFonts w:asciiTheme="minorBidi" w:hAnsiTheme="minorBidi" w:hint="cs"/>
          <w:sz w:val="16"/>
          <w:szCs w:val="16"/>
          <w:rtl/>
        </w:rPr>
        <w:t>(</w:t>
      </w:r>
      <w:r w:rsidRPr="00DF646F">
        <w:rPr>
          <w:rFonts w:asciiTheme="minorBidi" w:hAnsiTheme="minorBidi"/>
          <w:sz w:val="16"/>
          <w:szCs w:val="16"/>
          <w:rtl/>
        </w:rPr>
        <w:t>רשב"א ובארוך)</w:t>
      </w:r>
      <w:r w:rsidRPr="00535557">
        <w:rPr>
          <w:rFonts w:asciiTheme="minorBidi" w:hAnsiTheme="minorBidi"/>
          <w:sz w:val="18"/>
          <w:szCs w:val="18"/>
          <w:rtl/>
        </w:rPr>
        <w:t>, אבל לא חמאה שלהם</w:t>
      </w:r>
      <w:r>
        <w:rPr>
          <w:rFonts w:asciiTheme="minorBidi" w:hAnsiTheme="minorBidi" w:hint="cs"/>
          <w:sz w:val="18"/>
          <w:szCs w:val="18"/>
          <w:rtl/>
        </w:rPr>
        <w:t>,</w:t>
      </w:r>
      <w:r w:rsidRPr="00535557">
        <w:rPr>
          <w:rFonts w:asciiTheme="minorBidi" w:hAnsiTheme="minorBidi"/>
          <w:sz w:val="18"/>
          <w:szCs w:val="18"/>
          <w:rtl/>
        </w:rPr>
        <w:t xml:space="preserve"> אפילו במקום שנהגו בה איסור אינה אוסרת הכלים שנתבשלה בה ולא תערובת שלה שאם נתערבה בהיתר</w:t>
      </w:r>
      <w:r>
        <w:rPr>
          <w:rStyle w:val="a7"/>
          <w:rFonts w:asciiTheme="minorBidi" w:hAnsiTheme="minorBidi"/>
          <w:sz w:val="18"/>
          <w:szCs w:val="18"/>
          <w:rtl/>
        </w:rPr>
        <w:footnoteReference w:id="2826"/>
      </w:r>
      <w:r w:rsidRPr="00535557">
        <w:rPr>
          <w:rFonts w:asciiTheme="minorBidi" w:hAnsiTheme="minorBidi"/>
          <w:sz w:val="18"/>
          <w:szCs w:val="18"/>
          <w:rtl/>
        </w:rPr>
        <w:t xml:space="preserve"> הכל שרי </w:t>
      </w:r>
      <w:r w:rsidRPr="00DF646F">
        <w:rPr>
          <w:rFonts w:asciiTheme="minorBidi" w:hAnsiTheme="minorBidi"/>
          <w:sz w:val="16"/>
          <w:szCs w:val="16"/>
          <w:rtl/>
        </w:rPr>
        <w:t>(בערוך)</w:t>
      </w:r>
      <w:r w:rsidRPr="00535557">
        <w:rPr>
          <w:rFonts w:asciiTheme="minorBidi" w:hAnsiTheme="minorBidi"/>
          <w:sz w:val="18"/>
          <w:szCs w:val="18"/>
          <w:rtl/>
        </w:rPr>
        <w:t xml:space="preserve"> כדלעיל גבי פת של גוים. ועיין לעיל סי</w:t>
      </w:r>
      <w:r>
        <w:rPr>
          <w:rFonts w:asciiTheme="minorBidi" w:hAnsiTheme="minorBidi" w:hint="cs"/>
          <w:sz w:val="18"/>
          <w:szCs w:val="18"/>
          <w:rtl/>
        </w:rPr>
        <w:t>'</w:t>
      </w:r>
      <w:r w:rsidRPr="00535557">
        <w:rPr>
          <w:rFonts w:asciiTheme="minorBidi" w:hAnsiTheme="minorBidi"/>
          <w:sz w:val="18"/>
          <w:szCs w:val="18"/>
          <w:rtl/>
        </w:rPr>
        <w:t xml:space="preserve"> קיב </w:t>
      </w:r>
      <w:r w:rsidRPr="00DF646F">
        <w:rPr>
          <w:rFonts w:asciiTheme="minorBidi" w:hAnsiTheme="minorBidi"/>
          <w:sz w:val="16"/>
          <w:szCs w:val="16"/>
          <w:rtl/>
        </w:rPr>
        <w:t>(מהרי"ל ואו"ה)</w:t>
      </w:r>
      <w:r w:rsidRPr="00535557">
        <w:rPr>
          <w:rFonts w:asciiTheme="minorBidi" w:hAnsiTheme="minorBidi"/>
          <w:sz w:val="18"/>
          <w:szCs w:val="18"/>
          <w:rtl/>
        </w:rPr>
        <w:t>. חלב של גוים שנאסרה אינו מועיל אם יעשו אח"כ גבינות או חמאה ממנה אלא נשארת באיסורה וכל מה שנעשה ממנה אסור</w:t>
      </w:r>
      <w:r>
        <w:rPr>
          <w:rStyle w:val="a7"/>
          <w:rFonts w:asciiTheme="minorBidi" w:hAnsiTheme="minorBidi"/>
          <w:sz w:val="18"/>
          <w:szCs w:val="18"/>
          <w:rtl/>
        </w:rPr>
        <w:footnoteReference w:id="2827"/>
      </w:r>
      <w:r w:rsidRPr="00535557">
        <w:rPr>
          <w:rFonts w:asciiTheme="minorBidi" w:hAnsiTheme="minorBidi"/>
          <w:sz w:val="18"/>
          <w:szCs w:val="18"/>
          <w:rtl/>
        </w:rPr>
        <w:t xml:space="preserve"> </w:t>
      </w:r>
      <w:r w:rsidRPr="00DF646F">
        <w:rPr>
          <w:rFonts w:asciiTheme="minorBidi" w:hAnsiTheme="minorBidi"/>
          <w:sz w:val="16"/>
          <w:szCs w:val="16"/>
          <w:rtl/>
        </w:rPr>
        <w:t>(מרדכי אגודה מהר"ם או"ה רשב"א וב"י ונ"ל שכ"ד הרמב"ם ודלא כה</w:t>
      </w:r>
      <w:r w:rsidRPr="00DF646F">
        <w:rPr>
          <w:rFonts w:asciiTheme="minorBidi" w:hAnsiTheme="minorBidi" w:hint="cs"/>
          <w:sz w:val="16"/>
          <w:szCs w:val="16"/>
          <w:rtl/>
        </w:rPr>
        <w:t>ה"</w:t>
      </w:r>
      <w:r w:rsidRPr="00DF646F">
        <w:rPr>
          <w:rFonts w:asciiTheme="minorBidi" w:hAnsiTheme="minorBidi"/>
          <w:sz w:val="16"/>
          <w:szCs w:val="16"/>
          <w:rtl/>
        </w:rPr>
        <w:t>מ)</w:t>
      </w:r>
      <w:r w:rsidRPr="00535557">
        <w:rPr>
          <w:rFonts w:asciiTheme="minorBidi" w:hAnsiTheme="minorBidi"/>
          <w:sz w:val="18"/>
          <w:szCs w:val="18"/>
          <w:rtl/>
        </w:rPr>
        <w:t xml:space="preserve">. </w:t>
      </w:r>
    </w:p>
    <w:p w14:paraId="104B353F" w14:textId="77777777" w:rsidR="002C39F4" w:rsidRPr="003024E5" w:rsidRDefault="002C39F4" w:rsidP="002C39F4">
      <w:pPr>
        <w:rPr>
          <w:rFonts w:asciiTheme="minorBidi" w:hAnsiTheme="minorBidi"/>
          <w:rtl/>
        </w:rPr>
      </w:pPr>
    </w:p>
    <w:p w14:paraId="30466477"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גבינת גוים.</w:t>
      </w:r>
    </w:p>
    <w:p w14:paraId="1788F403" w14:textId="77777777" w:rsidR="002C39F4" w:rsidRDefault="002C39F4" w:rsidP="002C39F4">
      <w:pPr>
        <w:rPr>
          <w:rtl/>
        </w:rPr>
      </w:pPr>
      <w:r>
        <w:rPr>
          <w:rFonts w:cs="Arial" w:hint="cs"/>
          <w:b/>
          <w:bCs/>
          <w:rtl/>
        </w:rPr>
        <w:t xml:space="preserve">עבודה זרה כט ע"ב: </w:t>
      </w:r>
      <w:r w:rsidRPr="0003381C">
        <w:rPr>
          <w:rFonts w:cs="Arial"/>
          <w:u w:val="double"/>
          <w:rtl/>
        </w:rPr>
        <w:t>מתני'</w:t>
      </w:r>
      <w:r>
        <w:rPr>
          <w:rFonts w:cs="Arial" w:hint="cs"/>
          <w:rtl/>
        </w:rPr>
        <w:t>:</w:t>
      </w:r>
      <w:r w:rsidRPr="0003381C">
        <w:rPr>
          <w:rFonts w:cs="Arial"/>
          <w:rtl/>
        </w:rPr>
        <w:t xml:space="preserve"> אלו דברים של עובדי כוכבים אסורין</w:t>
      </w:r>
      <w:r>
        <w:rPr>
          <w:rFonts w:cs="Arial" w:hint="cs"/>
          <w:rtl/>
        </w:rPr>
        <w:t>...</w:t>
      </w:r>
      <w:r w:rsidRPr="0003381C">
        <w:rPr>
          <w:rFonts w:cs="Arial"/>
          <w:rtl/>
        </w:rPr>
        <w:t xml:space="preserve"> המורייס וגבינת בית אונייקי של עובדי כוכבים - אסורין ואיסורן איסור הנאה, </w:t>
      </w:r>
      <w:r w:rsidRPr="0003381C">
        <w:rPr>
          <w:rFonts w:cs="Arial"/>
          <w:u w:val="single"/>
          <w:rtl/>
        </w:rPr>
        <w:t>דברי ר' מאיר</w:t>
      </w:r>
      <w:r w:rsidRPr="0003381C">
        <w:rPr>
          <w:rFonts w:cs="Arial"/>
          <w:rtl/>
        </w:rPr>
        <w:t xml:space="preserve">; </w:t>
      </w:r>
      <w:r w:rsidRPr="0003381C">
        <w:rPr>
          <w:rFonts w:cs="Arial"/>
          <w:u w:val="single"/>
          <w:rtl/>
        </w:rPr>
        <w:t>וחכ"א</w:t>
      </w:r>
      <w:r w:rsidRPr="0003381C">
        <w:rPr>
          <w:rFonts w:cs="Arial"/>
          <w:rtl/>
        </w:rPr>
        <w:t xml:space="preserve">: אין איסורן איסור הנאה. </w:t>
      </w:r>
      <w:r w:rsidRPr="0003381C">
        <w:rPr>
          <w:rFonts w:cs="Arial"/>
          <w:u w:val="single"/>
          <w:rtl/>
        </w:rPr>
        <w:t>אמר ר' יהודה</w:t>
      </w:r>
      <w:r w:rsidRPr="0003381C">
        <w:rPr>
          <w:rFonts w:cs="Arial"/>
          <w:rtl/>
        </w:rPr>
        <w:t xml:space="preserve">: שאל ר' ישמעאל את רבי יהושע כשהיו מהלכין בדרך, </w:t>
      </w:r>
      <w:r w:rsidRPr="0003381C">
        <w:rPr>
          <w:rFonts w:cs="Arial"/>
          <w:u w:val="single"/>
          <w:rtl/>
        </w:rPr>
        <w:t>אמר לו</w:t>
      </w:r>
      <w:r w:rsidRPr="0003381C">
        <w:rPr>
          <w:rFonts w:cs="Arial"/>
          <w:rtl/>
        </w:rPr>
        <w:t>: מפני מה אסרו גבינות עובדי כוכבים?</w:t>
      </w:r>
      <w:r w:rsidRPr="0003381C">
        <w:rPr>
          <w:rtl/>
        </w:rPr>
        <w:t xml:space="preserve"> </w:t>
      </w:r>
      <w:r w:rsidRPr="0003381C">
        <w:rPr>
          <w:rFonts w:cs="Arial"/>
          <w:u w:val="single"/>
          <w:rtl/>
        </w:rPr>
        <w:t>אמר לו</w:t>
      </w:r>
      <w:r w:rsidRPr="0003381C">
        <w:rPr>
          <w:rFonts w:cs="Arial"/>
          <w:rtl/>
        </w:rPr>
        <w:t>: מפני שמעמידין אותה בקיבה של נבילה</w:t>
      </w:r>
      <w:r>
        <w:rPr>
          <w:rStyle w:val="a7"/>
          <w:rFonts w:cs="Arial"/>
          <w:rtl/>
        </w:rPr>
        <w:footnoteReference w:id="2828"/>
      </w:r>
      <w:r w:rsidRPr="0003381C">
        <w:rPr>
          <w:rFonts w:cs="Arial"/>
          <w:rtl/>
        </w:rPr>
        <w:t>.</w:t>
      </w:r>
      <w:r>
        <w:rPr>
          <w:rFonts w:cs="Arial" w:hint="cs"/>
          <w:rtl/>
        </w:rPr>
        <w:t xml:space="preserve">.. </w:t>
      </w:r>
      <w:r w:rsidRPr="0003381C">
        <w:rPr>
          <w:rFonts w:cs="Arial"/>
          <w:rtl/>
        </w:rPr>
        <w:t>אמר לו: מפני שמעמידין אות' בקיבת עגלי עבודת כוכבים. אמר לו: אם כן, למה לא אסרוה בהנאה? השיאו לדבר אחר, אמר לו: ישמעאל, היאך אתה קורא</w:t>
      </w:r>
      <w:r>
        <w:rPr>
          <w:rFonts w:cs="Arial" w:hint="cs"/>
          <w:rtl/>
        </w:rPr>
        <w:t xml:space="preserve"> -</w:t>
      </w:r>
      <w:r w:rsidRPr="0003381C">
        <w:rPr>
          <w:rFonts w:cs="Arial"/>
          <w:rtl/>
        </w:rPr>
        <w:t xml:space="preserve"> כי טובים דודיך מיין</w:t>
      </w:r>
      <w:r>
        <w:rPr>
          <w:rFonts w:cs="Arial" w:hint="cs"/>
          <w:rtl/>
        </w:rPr>
        <w:t>,</w:t>
      </w:r>
      <w:r w:rsidRPr="0003381C">
        <w:rPr>
          <w:rFonts w:cs="Arial"/>
          <w:rtl/>
        </w:rPr>
        <w:t xml:space="preserve"> או</w:t>
      </w:r>
      <w:r>
        <w:rPr>
          <w:rFonts w:cs="Arial" w:hint="cs"/>
          <w:rtl/>
        </w:rPr>
        <w:t xml:space="preserve"> -</w:t>
      </w:r>
      <w:r w:rsidRPr="0003381C">
        <w:rPr>
          <w:rFonts w:cs="Arial"/>
          <w:rtl/>
        </w:rPr>
        <w:t xml:space="preserve"> כי טובים דודיך? אמר לו: כי טובים דודיך. אמר לו: אין הדבר כן, שהרי חבירו מלמד עליו: לריח שמניך טובים.</w:t>
      </w:r>
      <w:r w:rsidRPr="002B776D">
        <w:rPr>
          <w:rFonts w:cs="Arial"/>
          <w:rtl/>
        </w:rPr>
        <w:t>.</w:t>
      </w:r>
      <w:r>
        <w:rPr>
          <w:rFonts w:cs="Arial" w:hint="cs"/>
          <w:rtl/>
        </w:rPr>
        <w:t>.</w:t>
      </w:r>
      <w:r>
        <w:rPr>
          <w:rFonts w:hint="cs"/>
          <w:rtl/>
        </w:rPr>
        <w:t xml:space="preserve">  </w:t>
      </w:r>
      <w:r w:rsidRPr="007F35ED">
        <w:rPr>
          <w:rtl/>
        </w:rPr>
        <w:t xml:space="preserve"> </w:t>
      </w:r>
      <w:r w:rsidRPr="0003381C">
        <w:rPr>
          <w:rFonts w:hint="cs"/>
          <w:u w:val="double"/>
          <w:rtl/>
        </w:rPr>
        <w:t>גמ'</w:t>
      </w:r>
      <w:r w:rsidRPr="0003381C">
        <w:rPr>
          <w:rFonts w:cs="Arial" w:hint="cs"/>
          <w:sz w:val="14"/>
          <w:szCs w:val="14"/>
          <w:u w:val="double"/>
          <w:rtl/>
        </w:rPr>
        <w:t>(לה.)</w:t>
      </w:r>
      <w:r w:rsidRPr="0003381C">
        <w:rPr>
          <w:rFonts w:cs="Arial" w:hint="cs"/>
          <w:u w:val="double"/>
          <w:rtl/>
        </w:rPr>
        <w:t>:</w:t>
      </w:r>
      <w:r>
        <w:rPr>
          <w:rFonts w:cs="Arial" w:hint="cs"/>
          <w:sz w:val="14"/>
          <w:szCs w:val="14"/>
          <w:rtl/>
        </w:rPr>
        <w:t xml:space="preserve"> </w:t>
      </w:r>
      <w:r w:rsidRPr="0003381C">
        <w:rPr>
          <w:rFonts w:cs="Arial"/>
          <w:rtl/>
        </w:rPr>
        <w:t>השיאו לדבר אחר וכו'</w:t>
      </w:r>
      <w:r>
        <w:rPr>
          <w:rFonts w:cs="Arial" w:hint="cs"/>
          <w:rtl/>
        </w:rPr>
        <w:t xml:space="preserve">... </w:t>
      </w:r>
      <w:r w:rsidRPr="00EE2C43">
        <w:rPr>
          <w:rFonts w:cs="Arial"/>
          <w:u w:val="single"/>
          <w:rtl/>
        </w:rPr>
        <w:t>אר"ש בן פזי</w:t>
      </w:r>
      <w:r>
        <w:rPr>
          <w:rFonts w:cs="Arial" w:hint="cs"/>
          <w:rtl/>
        </w:rPr>
        <w:t xml:space="preserve"> </w:t>
      </w:r>
      <w:r w:rsidRPr="00EE2C43">
        <w:rPr>
          <w:rFonts w:cs="Arial"/>
          <w:u w:val="single"/>
          <w:rtl/>
        </w:rPr>
        <w:t>ואיתימא ר"ש בר אמי</w:t>
      </w:r>
      <w:r w:rsidRPr="0003381C">
        <w:rPr>
          <w:rFonts w:cs="Arial"/>
          <w:rtl/>
        </w:rPr>
        <w:t xml:space="preserve">, מרישיה דקרא קא"ל: ישקני מנשיקות פיהו, </w:t>
      </w:r>
      <w:r w:rsidRPr="00EE2C43">
        <w:rPr>
          <w:rFonts w:cs="Arial"/>
          <w:u w:val="single"/>
          <w:rtl/>
        </w:rPr>
        <w:t>אמר ליה</w:t>
      </w:r>
      <w:r w:rsidRPr="0003381C">
        <w:rPr>
          <w:rFonts w:cs="Arial"/>
          <w:rtl/>
        </w:rPr>
        <w:t xml:space="preserve">: ישמעאל אחי, חשוק שפתותיך זו בזו ואל תבהל להשיב. מ"ט? </w:t>
      </w:r>
      <w:r w:rsidRPr="00EE2C43">
        <w:rPr>
          <w:rFonts w:cs="Arial"/>
          <w:u w:val="single"/>
          <w:rtl/>
        </w:rPr>
        <w:t>אמר עולא ואיתימא רב שמואל בר אבא</w:t>
      </w:r>
      <w:r w:rsidRPr="0003381C">
        <w:rPr>
          <w:rFonts w:cs="Arial"/>
          <w:rtl/>
        </w:rPr>
        <w:t>: גזרה חדשה</w:t>
      </w:r>
      <w:r>
        <w:rPr>
          <w:rStyle w:val="a7"/>
          <w:rFonts w:cs="Arial"/>
          <w:rtl/>
        </w:rPr>
        <w:footnoteReference w:id="2829"/>
      </w:r>
      <w:r w:rsidRPr="0003381C">
        <w:rPr>
          <w:rFonts w:cs="Arial"/>
          <w:rtl/>
        </w:rPr>
        <w:t xml:space="preserve"> היא ואין מפקפקין בה. מאי גזירתא? </w:t>
      </w:r>
      <w:r w:rsidRPr="00EE2C43">
        <w:rPr>
          <w:rFonts w:cs="Arial"/>
          <w:u w:val="single"/>
          <w:rtl/>
        </w:rPr>
        <w:t>אר"ש בן פזי אמר ריב"ל</w:t>
      </w:r>
      <w:r w:rsidRPr="0003381C">
        <w:rPr>
          <w:rFonts w:cs="Arial"/>
          <w:rtl/>
        </w:rPr>
        <w:t>: משום ניקור</w:t>
      </w:r>
      <w:r>
        <w:rPr>
          <w:rStyle w:val="a7"/>
          <w:rFonts w:cs="Arial"/>
          <w:rtl/>
        </w:rPr>
        <w:footnoteReference w:id="2830"/>
      </w:r>
      <w:r w:rsidRPr="0003381C">
        <w:rPr>
          <w:rFonts w:cs="Arial"/>
          <w:rtl/>
        </w:rPr>
        <w:t>.</w:t>
      </w:r>
      <w:r>
        <w:rPr>
          <w:rFonts w:cs="Arial" w:hint="cs"/>
          <w:rtl/>
        </w:rPr>
        <w:t>..</w:t>
      </w:r>
      <w:r w:rsidRPr="0003381C">
        <w:rPr>
          <w:rFonts w:cs="Arial"/>
          <w:rtl/>
        </w:rPr>
        <w:t xml:space="preserve"> </w:t>
      </w:r>
      <w:r w:rsidRPr="007F35ED">
        <w:rPr>
          <w:rFonts w:cs="Arial"/>
          <w:u w:val="single"/>
          <w:rtl/>
        </w:rPr>
        <w:t>א"ר חנינא</w:t>
      </w:r>
      <w:r w:rsidRPr="007F35ED">
        <w:rPr>
          <w:rFonts w:cs="Arial"/>
          <w:rtl/>
        </w:rPr>
        <w:t xml:space="preserve">: לפי שא"א לה בלא צחצוחי חלב, </w:t>
      </w:r>
      <w:r w:rsidRPr="007F35ED">
        <w:rPr>
          <w:rFonts w:cs="Arial"/>
          <w:u w:val="single"/>
          <w:rtl/>
        </w:rPr>
        <w:t>ושמואל אמר</w:t>
      </w:r>
      <w:r w:rsidRPr="007F35ED">
        <w:rPr>
          <w:rFonts w:cs="Arial"/>
          <w:rtl/>
        </w:rPr>
        <w:t>: מפני שמעמידין אותה בעור קיבת נבילה.</w:t>
      </w:r>
      <w:r>
        <w:rPr>
          <w:rFonts w:cs="Arial" w:hint="cs"/>
          <w:rtl/>
        </w:rPr>
        <w:t>..</w:t>
      </w:r>
      <w:r w:rsidRPr="007F35ED">
        <w:rPr>
          <w:rFonts w:cs="Arial" w:hint="cs"/>
          <w:sz w:val="14"/>
          <w:szCs w:val="14"/>
          <w:rtl/>
        </w:rPr>
        <w:t xml:space="preserve"> </w:t>
      </w:r>
      <w:r>
        <w:rPr>
          <w:rFonts w:cs="Arial" w:hint="cs"/>
          <w:sz w:val="14"/>
          <w:szCs w:val="14"/>
          <w:rtl/>
        </w:rPr>
        <w:t xml:space="preserve"> (לה:)</w:t>
      </w:r>
      <w:r w:rsidRPr="007F35ED">
        <w:rPr>
          <w:rtl/>
        </w:rPr>
        <w:t xml:space="preserve"> </w:t>
      </w:r>
      <w:r w:rsidRPr="007F35ED">
        <w:rPr>
          <w:rFonts w:cs="Arial"/>
          <w:u w:val="single"/>
          <w:rtl/>
        </w:rPr>
        <w:t>רב מלכיא משמיה דרב אדא בר אהבה אמר</w:t>
      </w:r>
      <w:r w:rsidRPr="007F35ED">
        <w:rPr>
          <w:rFonts w:cs="Arial"/>
          <w:rtl/>
        </w:rPr>
        <w:t xml:space="preserve">: מפני שמחליקין פניה בשומן חזיר. </w:t>
      </w:r>
      <w:r w:rsidRPr="007F35ED">
        <w:rPr>
          <w:rFonts w:cs="Arial"/>
          <w:u w:val="single"/>
          <w:rtl/>
        </w:rPr>
        <w:t>רב חסדא אמר</w:t>
      </w:r>
      <w:r w:rsidRPr="007F35ED">
        <w:rPr>
          <w:rFonts w:cs="Arial"/>
          <w:rtl/>
        </w:rPr>
        <w:t xml:space="preserve">: מפני שמעמידין אותה בחומץ. </w:t>
      </w:r>
      <w:r w:rsidRPr="007F35ED">
        <w:rPr>
          <w:rFonts w:cs="Arial"/>
          <w:u w:val="single"/>
          <w:rtl/>
        </w:rPr>
        <w:t>רב נחמן בר יצחק אמר</w:t>
      </w:r>
      <w:r w:rsidRPr="007F35ED">
        <w:rPr>
          <w:rFonts w:cs="Arial"/>
          <w:rtl/>
        </w:rPr>
        <w:t>: מפני שמעמידין אותה בשרף הערלה.</w:t>
      </w:r>
    </w:p>
    <w:p w14:paraId="7C05D534" w14:textId="77777777" w:rsidR="002C39F4" w:rsidRPr="003F390A" w:rsidRDefault="002C39F4" w:rsidP="002C39F4">
      <w:pPr>
        <w:rPr>
          <w:u w:val="single"/>
          <w:rtl/>
        </w:rPr>
      </w:pPr>
      <w:r>
        <w:rPr>
          <w:rFonts w:hint="cs"/>
          <w:u w:val="single"/>
          <w:rtl/>
        </w:rPr>
        <w:t xml:space="preserve">מפני מה </w:t>
      </w:r>
      <w:r w:rsidRPr="003F390A">
        <w:rPr>
          <w:rFonts w:hint="cs"/>
          <w:u w:val="single"/>
          <w:rtl/>
        </w:rPr>
        <w:t>אסר</w:t>
      </w:r>
      <w:r>
        <w:rPr>
          <w:rFonts w:hint="cs"/>
          <w:u w:val="single"/>
          <w:rtl/>
        </w:rPr>
        <w:t>ו</w:t>
      </w:r>
      <w:r w:rsidRPr="003F390A">
        <w:rPr>
          <w:rFonts w:hint="cs"/>
          <w:u w:val="single"/>
          <w:rtl/>
        </w:rPr>
        <w:t xml:space="preserve"> גבינ</w:t>
      </w:r>
      <w:r>
        <w:rPr>
          <w:rFonts w:hint="cs"/>
          <w:u w:val="single"/>
          <w:rtl/>
        </w:rPr>
        <w:t>ו</w:t>
      </w:r>
      <w:r w:rsidRPr="003F390A">
        <w:rPr>
          <w:rFonts w:hint="cs"/>
          <w:u w:val="single"/>
          <w:rtl/>
        </w:rPr>
        <w:t>ת גוים:</w:t>
      </w:r>
    </w:p>
    <w:p w14:paraId="06D11BFD" w14:textId="77777777" w:rsidR="002C39F4" w:rsidRDefault="002C39F4" w:rsidP="0032102C">
      <w:pPr>
        <w:pStyle w:val="a8"/>
        <w:numPr>
          <w:ilvl w:val="0"/>
          <w:numId w:val="290"/>
        </w:numPr>
      </w:pPr>
      <w:r w:rsidRPr="00B14C82">
        <w:rPr>
          <w:rFonts w:cs="Arial"/>
          <w:rtl/>
        </w:rPr>
        <w:t>ר</w:t>
      </w:r>
      <w:r>
        <w:rPr>
          <w:rFonts w:cs="Arial" w:hint="cs"/>
          <w:rtl/>
        </w:rPr>
        <w:t>"</w:t>
      </w:r>
      <w:r w:rsidRPr="00B14C82">
        <w:rPr>
          <w:rFonts w:cs="Arial"/>
          <w:rtl/>
        </w:rPr>
        <w:t xml:space="preserve">ח </w:t>
      </w:r>
      <w:r>
        <w:rPr>
          <w:rFonts w:cs="Arial" w:hint="cs"/>
          <w:rtl/>
        </w:rPr>
        <w:t>ר"ת תוס'</w:t>
      </w:r>
      <w:r>
        <w:rPr>
          <w:rFonts w:cs="Arial" w:hint="cs"/>
          <w:sz w:val="16"/>
          <w:szCs w:val="16"/>
          <w:rtl/>
        </w:rPr>
        <w:t xml:space="preserve"> </w:t>
      </w:r>
      <w:r>
        <w:rPr>
          <w:rFonts w:cs="Arial" w:hint="cs"/>
          <w:rtl/>
        </w:rPr>
        <w:t>סמ"ק</w:t>
      </w:r>
      <w:r w:rsidRPr="003F390A">
        <w:rPr>
          <w:rFonts w:cs="Arial"/>
          <w:sz w:val="16"/>
          <w:szCs w:val="16"/>
          <w:rtl/>
        </w:rPr>
        <w:t xml:space="preserve"> </w:t>
      </w:r>
      <w:r>
        <w:rPr>
          <w:rFonts w:cs="Arial" w:hint="cs"/>
          <w:rtl/>
        </w:rPr>
        <w:t>ור"פ</w:t>
      </w:r>
      <w:r>
        <w:rPr>
          <w:rStyle w:val="a7"/>
          <w:rtl/>
        </w:rPr>
        <w:footnoteReference w:id="2831"/>
      </w:r>
      <w:r>
        <w:rPr>
          <w:rFonts w:hint="cs"/>
          <w:rtl/>
        </w:rPr>
        <w:t>- משום ניקור, כריב"ל</w:t>
      </w:r>
      <w:r>
        <w:rPr>
          <w:rStyle w:val="a7"/>
          <w:rFonts w:cs="Arial"/>
          <w:rtl/>
        </w:rPr>
        <w:footnoteReference w:id="2832"/>
      </w:r>
      <w:r>
        <w:rPr>
          <w:rFonts w:hint="cs"/>
          <w:rtl/>
        </w:rPr>
        <w:t>.</w:t>
      </w:r>
    </w:p>
    <w:p w14:paraId="1F2B6233" w14:textId="77777777" w:rsidR="002C39F4" w:rsidRDefault="002C39F4" w:rsidP="0032102C">
      <w:pPr>
        <w:pStyle w:val="a8"/>
        <w:numPr>
          <w:ilvl w:val="0"/>
          <w:numId w:val="290"/>
        </w:numPr>
      </w:pPr>
      <w:r>
        <w:rPr>
          <w:rFonts w:cs="Arial" w:hint="cs"/>
          <w:rtl/>
        </w:rPr>
        <w:t xml:space="preserve">טור- </w:t>
      </w:r>
      <w:r w:rsidRPr="003F390A">
        <w:rPr>
          <w:rFonts w:cs="Arial"/>
          <w:rtl/>
        </w:rPr>
        <w:t>מפני שמעמידין אותה בעור קיבת נבלה ומפני שטחין פניה בשומן חזיר ושמערבין בה חלב טמא אע</w:t>
      </w:r>
      <w:r>
        <w:rPr>
          <w:rFonts w:cs="Arial" w:hint="cs"/>
          <w:rtl/>
        </w:rPr>
        <w:t>"</w:t>
      </w:r>
      <w:r w:rsidRPr="003F390A">
        <w:rPr>
          <w:rFonts w:cs="Arial"/>
          <w:rtl/>
        </w:rPr>
        <w:t>פ שאין החלב הטמא נקפא חיישינן שמא ישאר ממנו מעט בין נקביה</w:t>
      </w:r>
      <w:r>
        <w:rPr>
          <w:rStyle w:val="a7"/>
          <w:rFonts w:cs="Arial"/>
          <w:rtl/>
        </w:rPr>
        <w:footnoteReference w:id="2833"/>
      </w:r>
      <w:r>
        <w:rPr>
          <w:rFonts w:hint="cs"/>
          <w:rtl/>
        </w:rPr>
        <w:t>.</w:t>
      </w:r>
    </w:p>
    <w:p w14:paraId="5E62F539" w14:textId="77777777" w:rsidR="002C39F4" w:rsidRPr="0003381C" w:rsidRDefault="002C39F4" w:rsidP="0032102C">
      <w:pPr>
        <w:pStyle w:val="a8"/>
        <w:numPr>
          <w:ilvl w:val="0"/>
          <w:numId w:val="290"/>
        </w:numPr>
        <w:rPr>
          <w:rtl/>
        </w:rPr>
      </w:pPr>
      <w:r>
        <w:rPr>
          <w:rFonts w:hint="cs"/>
          <w:rtl/>
        </w:rPr>
        <w:t xml:space="preserve">רמב"ם </w:t>
      </w:r>
      <w:r>
        <w:rPr>
          <w:rFonts w:hint="cs"/>
          <w:sz w:val="16"/>
          <w:szCs w:val="16"/>
          <w:rtl/>
        </w:rPr>
        <w:t>(פ"ג הי"ג)</w:t>
      </w:r>
      <w:r>
        <w:rPr>
          <w:rFonts w:hint="cs"/>
          <w:rtl/>
        </w:rPr>
        <w:t xml:space="preserve">- </w:t>
      </w:r>
      <w:r w:rsidRPr="00CB552F">
        <w:rPr>
          <w:rFonts w:cs="Arial"/>
          <w:rtl/>
        </w:rPr>
        <w:t>מפני שמעמידין אותה בעור קיבה של שחיטתן שהיא נבלה</w:t>
      </w:r>
      <w:r>
        <w:rPr>
          <w:rStyle w:val="a7"/>
          <w:rFonts w:cs="Arial"/>
          <w:rtl/>
        </w:rPr>
        <w:footnoteReference w:id="2834"/>
      </w:r>
      <w:r w:rsidRPr="00CB552F">
        <w:rPr>
          <w:rFonts w:cs="Arial"/>
          <w:rtl/>
        </w:rPr>
        <w:t>.</w:t>
      </w:r>
      <w:r>
        <w:rPr>
          <w:rFonts w:hint="cs"/>
          <w:rtl/>
        </w:rPr>
        <w:t xml:space="preserve"> </w:t>
      </w:r>
      <w:r w:rsidRPr="00CB552F">
        <w:rPr>
          <w:rFonts w:hint="cs"/>
          <w:color w:val="E36C0A" w:themeColor="accent6" w:themeShade="BF"/>
          <w:rtl/>
        </w:rPr>
        <w:t>(וכ"</w:t>
      </w:r>
      <w:r>
        <w:rPr>
          <w:rFonts w:hint="cs"/>
          <w:color w:val="E36C0A" w:themeColor="accent6" w:themeShade="BF"/>
          <w:rtl/>
        </w:rPr>
        <w:t>כ</w:t>
      </w:r>
      <w:r w:rsidRPr="00CB552F">
        <w:rPr>
          <w:rFonts w:hint="cs"/>
          <w:color w:val="E36C0A" w:themeColor="accent6" w:themeShade="BF"/>
          <w:rtl/>
        </w:rPr>
        <w:t xml:space="preserve"> בשו"ע)</w:t>
      </w:r>
    </w:p>
    <w:p w14:paraId="15667C7A" w14:textId="77777777" w:rsidR="002C39F4" w:rsidRPr="00EE2C43" w:rsidRDefault="002C39F4" w:rsidP="002C39F4">
      <w:pPr>
        <w:rPr>
          <w:rFonts w:cs="Arial"/>
          <w:u w:val="single"/>
          <w:rtl/>
        </w:rPr>
      </w:pPr>
      <w:r>
        <w:rPr>
          <w:rFonts w:cs="Arial" w:hint="cs"/>
          <w:u w:val="single"/>
          <w:rtl/>
        </w:rPr>
        <w:t xml:space="preserve">דין </w:t>
      </w:r>
      <w:r w:rsidRPr="00EE2C43">
        <w:rPr>
          <w:rFonts w:cs="Arial" w:hint="cs"/>
          <w:u w:val="single"/>
          <w:rtl/>
        </w:rPr>
        <w:t xml:space="preserve">גבינות גוים בזמן הזה: </w:t>
      </w:r>
    </w:p>
    <w:p w14:paraId="17C215F6" w14:textId="77777777" w:rsidR="002C39F4" w:rsidRDefault="002C39F4" w:rsidP="0032102C">
      <w:pPr>
        <w:pStyle w:val="a8"/>
        <w:numPr>
          <w:ilvl w:val="0"/>
          <w:numId w:val="290"/>
        </w:numPr>
        <w:rPr>
          <w:rFonts w:cs="Arial"/>
        </w:rPr>
      </w:pPr>
      <w:r w:rsidRPr="00CB552F">
        <w:rPr>
          <w:rFonts w:cs="Arial" w:hint="cs"/>
          <w:rtl/>
        </w:rPr>
        <w:t xml:space="preserve">סמ"ג </w:t>
      </w:r>
      <w:r>
        <w:rPr>
          <w:rFonts w:cs="Arial" w:hint="cs"/>
          <w:sz w:val="16"/>
          <w:szCs w:val="16"/>
          <w:rtl/>
        </w:rPr>
        <w:t>(</w:t>
      </w:r>
      <w:r w:rsidRPr="00D56432">
        <w:rPr>
          <w:rFonts w:cs="Arial"/>
          <w:sz w:val="16"/>
          <w:szCs w:val="16"/>
          <w:rtl/>
        </w:rPr>
        <w:t>לאוין קלב מה:</w:t>
      </w:r>
      <w:r w:rsidRPr="00D56432">
        <w:rPr>
          <w:rFonts w:cs="Arial" w:hint="cs"/>
          <w:sz w:val="16"/>
          <w:szCs w:val="16"/>
          <w:rtl/>
        </w:rPr>
        <w:t xml:space="preserve">) </w:t>
      </w:r>
      <w:r>
        <w:rPr>
          <w:rFonts w:cs="Arial" w:hint="cs"/>
          <w:rtl/>
        </w:rPr>
        <w:t>סמ"ק</w:t>
      </w:r>
      <w:r w:rsidRPr="003F390A">
        <w:rPr>
          <w:rFonts w:cs="Arial"/>
          <w:sz w:val="16"/>
          <w:szCs w:val="16"/>
          <w:rtl/>
        </w:rPr>
        <w:t xml:space="preserve"> </w:t>
      </w:r>
      <w:r>
        <w:rPr>
          <w:rFonts w:cs="Arial" w:hint="cs"/>
          <w:sz w:val="16"/>
          <w:szCs w:val="16"/>
          <w:rtl/>
        </w:rPr>
        <w:t>(</w:t>
      </w:r>
      <w:r w:rsidRPr="00D56432">
        <w:rPr>
          <w:rFonts w:cs="Arial"/>
          <w:sz w:val="16"/>
          <w:szCs w:val="16"/>
          <w:rtl/>
        </w:rPr>
        <w:t>סי' רכג</w:t>
      </w:r>
      <w:r>
        <w:rPr>
          <w:rFonts w:cs="Arial" w:hint="cs"/>
          <w:sz w:val="16"/>
          <w:szCs w:val="16"/>
          <w:rtl/>
        </w:rPr>
        <w:t>)</w:t>
      </w:r>
      <w:r>
        <w:rPr>
          <w:rFonts w:cs="Arial" w:hint="cs"/>
          <w:rtl/>
        </w:rPr>
        <w:t xml:space="preserve"> ור"פ</w:t>
      </w:r>
      <w:r>
        <w:rPr>
          <w:rFonts w:cs="Arial" w:hint="cs"/>
          <w:sz w:val="16"/>
          <w:szCs w:val="16"/>
          <w:rtl/>
        </w:rPr>
        <w:t xml:space="preserve"> (שם סק"ה)</w:t>
      </w:r>
      <w:r>
        <w:rPr>
          <w:rFonts w:cs="Arial" w:hint="cs"/>
          <w:rtl/>
        </w:rPr>
        <w:t>- טעם האיסור</w:t>
      </w:r>
      <w:r w:rsidRPr="00B14C82">
        <w:rPr>
          <w:rFonts w:cs="Arial"/>
          <w:rtl/>
        </w:rPr>
        <w:t xml:space="preserve"> כ</w:t>
      </w:r>
      <w:r w:rsidRPr="00B14C82">
        <w:rPr>
          <w:rFonts w:cs="Arial" w:hint="cs"/>
          <w:rtl/>
        </w:rPr>
        <w:t>ר</w:t>
      </w:r>
      <w:r w:rsidRPr="00B14C82">
        <w:rPr>
          <w:rFonts w:cs="Arial"/>
          <w:rtl/>
        </w:rPr>
        <w:t>יב</w:t>
      </w:r>
      <w:r w:rsidRPr="00B14C82">
        <w:rPr>
          <w:rFonts w:cs="Arial" w:hint="cs"/>
          <w:rtl/>
        </w:rPr>
        <w:t>"</w:t>
      </w:r>
      <w:r w:rsidRPr="00B14C82">
        <w:rPr>
          <w:rFonts w:cs="Arial"/>
          <w:rtl/>
        </w:rPr>
        <w:t>ל</w:t>
      </w:r>
      <w:r>
        <w:rPr>
          <w:rFonts w:cs="Arial" w:hint="cs"/>
          <w:rtl/>
        </w:rPr>
        <w:t>,</w:t>
      </w:r>
      <w:r w:rsidRPr="00B14C82">
        <w:rPr>
          <w:rFonts w:cs="Arial"/>
          <w:rtl/>
        </w:rPr>
        <w:t xml:space="preserve"> ואע</w:t>
      </w:r>
      <w:r w:rsidRPr="00B14C82">
        <w:rPr>
          <w:rFonts w:cs="Arial" w:hint="cs"/>
          <w:rtl/>
        </w:rPr>
        <w:t>"</w:t>
      </w:r>
      <w:r w:rsidRPr="00B14C82">
        <w:rPr>
          <w:rFonts w:cs="Arial"/>
          <w:rtl/>
        </w:rPr>
        <w:t>פ שעכשיו אין אנו רגילין בגילוי אין להקל בגבינות הגוים מפני שנגזר במנין</w:t>
      </w:r>
      <w:r>
        <w:rPr>
          <w:rFonts w:cs="Arial" w:hint="cs"/>
          <w:rtl/>
        </w:rPr>
        <w:t>,</w:t>
      </w:r>
      <w:r w:rsidRPr="00B14C82">
        <w:rPr>
          <w:rFonts w:cs="Arial"/>
          <w:rtl/>
        </w:rPr>
        <w:t xml:space="preserve"> ואע</w:t>
      </w:r>
      <w:r>
        <w:rPr>
          <w:rFonts w:cs="Arial" w:hint="cs"/>
          <w:rtl/>
        </w:rPr>
        <w:t>"</w:t>
      </w:r>
      <w:r w:rsidRPr="00B14C82">
        <w:rPr>
          <w:rFonts w:cs="Arial"/>
          <w:rtl/>
        </w:rPr>
        <w:t>פ שבטל הטעם צריך מנין אחר להתירו</w:t>
      </w:r>
      <w:r>
        <w:rPr>
          <w:rStyle w:val="a7"/>
          <w:rFonts w:cs="Arial"/>
          <w:rtl/>
        </w:rPr>
        <w:footnoteReference w:id="2835"/>
      </w:r>
      <w:r>
        <w:rPr>
          <w:rFonts w:cs="Arial" w:hint="cs"/>
          <w:rtl/>
        </w:rPr>
        <w:t>.</w:t>
      </w:r>
    </w:p>
    <w:p w14:paraId="0BD13658" w14:textId="77777777" w:rsidR="002C39F4" w:rsidRDefault="002C39F4" w:rsidP="0032102C">
      <w:pPr>
        <w:pStyle w:val="a8"/>
        <w:numPr>
          <w:ilvl w:val="0"/>
          <w:numId w:val="290"/>
        </w:numPr>
        <w:rPr>
          <w:rFonts w:cs="Arial"/>
        </w:rPr>
      </w:pPr>
      <w:r>
        <w:rPr>
          <w:rFonts w:cs="Arial" w:hint="cs"/>
          <w:rtl/>
        </w:rPr>
        <w:t>תוס'</w:t>
      </w:r>
      <w:r w:rsidRPr="00EE2C43">
        <w:rPr>
          <w:rFonts w:cs="Arial" w:hint="cs"/>
          <w:rtl/>
        </w:rPr>
        <w:t xml:space="preserve"> </w:t>
      </w:r>
      <w:r w:rsidRPr="00EE2C43">
        <w:rPr>
          <w:rFonts w:cs="Arial"/>
          <w:sz w:val="16"/>
          <w:szCs w:val="16"/>
          <w:rtl/>
        </w:rPr>
        <w:t>(לה. ד"ה חדא)</w:t>
      </w:r>
      <w:r w:rsidRPr="00EE2C43">
        <w:rPr>
          <w:rFonts w:cs="Arial" w:hint="cs"/>
          <w:rtl/>
        </w:rPr>
        <w:t xml:space="preserve">- </w:t>
      </w:r>
      <w:r w:rsidRPr="00EE2C43">
        <w:rPr>
          <w:rFonts w:cs="Arial"/>
          <w:rtl/>
        </w:rPr>
        <w:t>או</w:t>
      </w:r>
      <w:r>
        <w:rPr>
          <w:rFonts w:cs="Arial" w:hint="cs"/>
          <w:rtl/>
        </w:rPr>
        <w:t xml:space="preserve">מר </w:t>
      </w:r>
      <w:r w:rsidRPr="00EE2C43">
        <w:rPr>
          <w:rFonts w:cs="Arial"/>
          <w:rtl/>
        </w:rPr>
        <w:t>ר"ת כי עכשיו לא מצינו טעם פשוט לאיסור בגבינת הע</w:t>
      </w:r>
      <w:r>
        <w:rPr>
          <w:rFonts w:cs="Arial" w:hint="cs"/>
          <w:rtl/>
        </w:rPr>
        <w:t>כו"ם</w:t>
      </w:r>
      <w:r>
        <w:rPr>
          <w:rStyle w:val="a7"/>
          <w:rFonts w:cs="Arial"/>
          <w:rtl/>
        </w:rPr>
        <w:footnoteReference w:id="2836"/>
      </w:r>
      <w:r>
        <w:rPr>
          <w:rFonts w:cs="Arial" w:hint="cs"/>
          <w:rtl/>
        </w:rPr>
        <w:t xml:space="preserve">, </w:t>
      </w:r>
      <w:r w:rsidRPr="00EE2C43">
        <w:rPr>
          <w:rFonts w:cs="Arial"/>
          <w:rtl/>
        </w:rPr>
        <w:t>דהא טעם האיסור הוה משום ניקור כריב"ל</w:t>
      </w:r>
      <w:r>
        <w:rPr>
          <w:rFonts w:cs="Arial" w:hint="cs"/>
          <w:rtl/>
        </w:rPr>
        <w:t>...</w:t>
      </w:r>
      <w:r w:rsidRPr="00EE2C43">
        <w:rPr>
          <w:rFonts w:cs="Arial"/>
          <w:rtl/>
        </w:rPr>
        <w:t xml:space="preserve"> ואנו שאין נחשים מצוין בינינו אין לחוש משום גלוי</w:t>
      </w:r>
      <w:r>
        <w:rPr>
          <w:rFonts w:cs="Arial" w:hint="cs"/>
          <w:rtl/>
        </w:rPr>
        <w:t>,</w:t>
      </w:r>
      <w:r w:rsidRPr="00EE2C43">
        <w:rPr>
          <w:rFonts w:cs="Arial"/>
          <w:rtl/>
        </w:rPr>
        <w:t xml:space="preserve"> ואין לומר דדבר שבמנין הוא וצריך מנין אחר להתירו כי ודאי הוא כשאסרו תחלה לא אסרו אלא במקום שהנחשים מצוין כמו שאפרש לקמן גבי יין נסך</w:t>
      </w:r>
      <w:r w:rsidRPr="006577B1">
        <w:rPr>
          <w:rFonts w:cs="Arial"/>
          <w:sz w:val="16"/>
          <w:szCs w:val="16"/>
          <w:rtl/>
        </w:rPr>
        <w:t xml:space="preserve"> (דף נז: ד"ה לאפוקי)</w:t>
      </w:r>
      <w:r>
        <w:rPr>
          <w:rFonts w:cs="Arial" w:hint="cs"/>
          <w:rtl/>
        </w:rPr>
        <w:t>,</w:t>
      </w:r>
      <w:r w:rsidRPr="00EE2C43">
        <w:rPr>
          <w:rFonts w:cs="Arial"/>
          <w:rtl/>
        </w:rPr>
        <w:t xml:space="preserve"> וגם בהרבה מקומות יש שאוכלים אותם מפני שמעמידין אותם בפרחים</w:t>
      </w:r>
      <w:r>
        <w:rPr>
          <w:rFonts w:cs="Arial" w:hint="cs"/>
          <w:rtl/>
        </w:rPr>
        <w:t>,</w:t>
      </w:r>
      <w:r w:rsidRPr="00EE2C43">
        <w:rPr>
          <w:rFonts w:cs="Arial"/>
          <w:rtl/>
        </w:rPr>
        <w:t xml:space="preserve"> וגם גאוני נרבונא התירו אותם במקומן מטעם שמעמידין אותם בפרחים</w:t>
      </w:r>
      <w:r>
        <w:rPr>
          <w:rFonts w:cs="Arial" w:hint="cs"/>
          <w:rtl/>
        </w:rPr>
        <w:t>,</w:t>
      </w:r>
      <w:r w:rsidRPr="00EE2C43">
        <w:rPr>
          <w:rFonts w:cs="Arial"/>
          <w:rtl/>
        </w:rPr>
        <w:t xml:space="preserve"> מיהו במקומנו שמעמידין בקיבה אומר ה</w:t>
      </w:r>
      <w:r>
        <w:rPr>
          <w:rFonts w:cs="Arial" w:hint="cs"/>
          <w:rtl/>
        </w:rPr>
        <w:t>"</w:t>
      </w:r>
      <w:r w:rsidRPr="00EE2C43">
        <w:rPr>
          <w:rFonts w:cs="Arial"/>
          <w:rtl/>
        </w:rPr>
        <w:t>ר</w:t>
      </w:r>
      <w:r>
        <w:rPr>
          <w:rFonts w:cs="Arial" w:hint="cs"/>
          <w:rtl/>
        </w:rPr>
        <w:t xml:space="preserve"> יצחק</w:t>
      </w:r>
      <w:r w:rsidRPr="00EE2C43">
        <w:rPr>
          <w:rFonts w:cs="Arial"/>
          <w:rtl/>
        </w:rPr>
        <w:t xml:space="preserve"> בן הר"ר חיים שיש טעם קצת לאסור מפני שמולחין הקיבה בעורה ואיכא איסור דבשר בחלב דמליח הרי הוא כרותח</w:t>
      </w:r>
      <w:r>
        <w:rPr>
          <w:rFonts w:cs="Arial" w:hint="cs"/>
          <w:rtl/>
        </w:rPr>
        <w:t>,</w:t>
      </w:r>
      <w:r w:rsidRPr="00EE2C43">
        <w:rPr>
          <w:rFonts w:cs="Arial"/>
          <w:rtl/>
        </w:rPr>
        <w:t xml:space="preserve"> ואני ראיתי מקומות שהן מעמידים בנבלת דבר אחר מליח.</w:t>
      </w:r>
    </w:p>
    <w:p w14:paraId="741E7561" w14:textId="77777777" w:rsidR="002C39F4" w:rsidRDefault="002C39F4" w:rsidP="0032102C">
      <w:pPr>
        <w:pStyle w:val="a8"/>
        <w:numPr>
          <w:ilvl w:val="0"/>
          <w:numId w:val="290"/>
        </w:numPr>
      </w:pPr>
      <w:r w:rsidRPr="00B14C82">
        <w:rPr>
          <w:rFonts w:cs="Arial" w:hint="cs"/>
          <w:rtl/>
        </w:rPr>
        <w:t>רמב"ם</w:t>
      </w:r>
      <w:r>
        <w:rPr>
          <w:rStyle w:val="a7"/>
          <w:rFonts w:cs="Arial"/>
          <w:rtl/>
        </w:rPr>
        <w:footnoteReference w:id="2837"/>
      </w:r>
      <w:r w:rsidRPr="00B14C82">
        <w:rPr>
          <w:rFonts w:cs="Arial" w:hint="cs"/>
          <w:rtl/>
        </w:rPr>
        <w:t xml:space="preserve"> </w:t>
      </w:r>
      <w:r w:rsidRPr="00D56432">
        <w:rPr>
          <w:rFonts w:cs="Arial" w:hint="cs"/>
          <w:sz w:val="16"/>
          <w:szCs w:val="16"/>
          <w:rtl/>
        </w:rPr>
        <w:t xml:space="preserve">(פ"ג הי"ד) </w:t>
      </w:r>
      <w:r w:rsidRPr="00B14C82">
        <w:rPr>
          <w:rFonts w:cs="Arial"/>
          <w:rtl/>
        </w:rPr>
        <w:t xml:space="preserve">רשב"א </w:t>
      </w:r>
      <w:r w:rsidRPr="00D56432">
        <w:rPr>
          <w:rFonts w:cs="Arial"/>
          <w:sz w:val="16"/>
          <w:szCs w:val="16"/>
          <w:rtl/>
        </w:rPr>
        <w:t>(תוה"ק ב"ג ש"ו צ:)</w:t>
      </w:r>
      <w:r>
        <w:rPr>
          <w:rFonts w:cs="Arial" w:hint="cs"/>
          <w:rtl/>
        </w:rPr>
        <w:t xml:space="preserve"> וטור</w:t>
      </w:r>
      <w:r w:rsidRPr="00B14C82">
        <w:rPr>
          <w:rFonts w:cs="Arial" w:hint="cs"/>
          <w:rtl/>
        </w:rPr>
        <w:t>-</w:t>
      </w:r>
      <w:r w:rsidRPr="00B14C82">
        <w:rPr>
          <w:rFonts w:cs="Arial"/>
          <w:rtl/>
        </w:rPr>
        <w:t xml:space="preserve"> מקומות שידוע ממנהג הגוים שאין מערבין לעולם חלב טמא בטהור שמאוס הוא להם</w:t>
      </w:r>
      <w:r>
        <w:rPr>
          <w:rFonts w:cs="Arial" w:hint="cs"/>
          <w:rtl/>
        </w:rPr>
        <w:t>,</w:t>
      </w:r>
      <w:r w:rsidRPr="00B14C82">
        <w:rPr>
          <w:rFonts w:cs="Arial"/>
          <w:rtl/>
        </w:rPr>
        <w:t xml:space="preserve"> וכן ידוע שנהגו לאסור לטוח פניהם בשומן חזיר כגוים הללו שאוכלים גבינה בימי תעניתם ואסור להם לאכול בשר באותם הימים</w:t>
      </w:r>
      <w:r>
        <w:rPr>
          <w:rFonts w:cs="Arial" w:hint="cs"/>
          <w:rtl/>
        </w:rPr>
        <w:t>,</w:t>
      </w:r>
      <w:r w:rsidRPr="00B14C82">
        <w:rPr>
          <w:rFonts w:cs="Arial"/>
          <w:rtl/>
        </w:rPr>
        <w:t xml:space="preserve"> וכן ידוע שאין מעמידין בעור קבת נבלה אלא בציצי פרחים</w:t>
      </w:r>
      <w:r>
        <w:rPr>
          <w:rFonts w:cs="Arial" w:hint="cs"/>
          <w:rtl/>
        </w:rPr>
        <w:t>,</w:t>
      </w:r>
      <w:r w:rsidRPr="00B14C82">
        <w:rPr>
          <w:rFonts w:cs="Arial"/>
          <w:rtl/>
        </w:rPr>
        <w:t xml:space="preserve"> אפילו כן אסור לאכול גבינת הגוים</w:t>
      </w:r>
      <w:r>
        <w:rPr>
          <w:rFonts w:cs="Arial" w:hint="cs"/>
          <w:rtl/>
        </w:rPr>
        <w:t>,</w:t>
      </w:r>
      <w:r w:rsidRPr="00B14C82">
        <w:rPr>
          <w:rFonts w:cs="Arial"/>
          <w:rtl/>
        </w:rPr>
        <w:t xml:space="preserve"> לפי שדבר זה יראה שנאסר במנין כמו היין וכל דבר שנאסר במנין אע</w:t>
      </w:r>
      <w:r w:rsidRPr="00B14C82">
        <w:rPr>
          <w:rFonts w:cs="Arial" w:hint="cs"/>
          <w:rtl/>
        </w:rPr>
        <w:t>"</w:t>
      </w:r>
      <w:r w:rsidRPr="00B14C82">
        <w:rPr>
          <w:rFonts w:cs="Arial"/>
          <w:rtl/>
        </w:rPr>
        <w:t>פ שאסרוהו לטענה ובטלה הטענה האיסור במקומו הוא עומד</w:t>
      </w:r>
      <w:r w:rsidRPr="00B14C82">
        <w:rPr>
          <w:rFonts w:cs="Arial" w:hint="cs"/>
          <w:sz w:val="16"/>
          <w:szCs w:val="16"/>
          <w:rtl/>
        </w:rPr>
        <w:t xml:space="preserve"> (ל' הרשב"א)</w:t>
      </w:r>
      <w:r>
        <w:rPr>
          <w:rStyle w:val="a7"/>
          <w:rFonts w:cs="Arial"/>
          <w:rtl/>
        </w:rPr>
        <w:footnoteReference w:id="2838"/>
      </w:r>
      <w:r w:rsidRPr="00B14C82">
        <w:rPr>
          <w:rFonts w:cs="Arial" w:hint="cs"/>
          <w:rtl/>
        </w:rPr>
        <w:t>.</w:t>
      </w:r>
      <w:r w:rsidRPr="00B14C82">
        <w:rPr>
          <w:rFonts w:cs="Arial"/>
          <w:rtl/>
        </w:rPr>
        <w:t xml:space="preserve"> </w:t>
      </w:r>
      <w:r w:rsidRPr="00CB552F">
        <w:rPr>
          <w:rFonts w:hint="cs"/>
          <w:color w:val="E36C0A" w:themeColor="accent6" w:themeShade="BF"/>
          <w:rtl/>
        </w:rPr>
        <w:t>(וכ"פ בשו"ע)</w:t>
      </w:r>
    </w:p>
    <w:p w14:paraId="4F89F8E8" w14:textId="77777777" w:rsidR="002C39F4" w:rsidRDefault="002C39F4" w:rsidP="0032102C">
      <w:pPr>
        <w:pStyle w:val="a8"/>
        <w:numPr>
          <w:ilvl w:val="0"/>
          <w:numId w:val="290"/>
        </w:numPr>
      </w:pPr>
      <w:r>
        <w:rPr>
          <w:rFonts w:cs="Arial" w:hint="cs"/>
          <w:rtl/>
        </w:rPr>
        <w:t>שע"ד</w:t>
      </w:r>
      <w:r w:rsidRPr="001239B5">
        <w:rPr>
          <w:rFonts w:cs="Arial" w:hint="cs"/>
          <w:sz w:val="16"/>
          <w:szCs w:val="16"/>
          <w:rtl/>
        </w:rPr>
        <w:t xml:space="preserve"> (סי' פב)</w:t>
      </w:r>
      <w:r>
        <w:rPr>
          <w:rFonts w:cs="Arial" w:hint="cs"/>
          <w:rtl/>
        </w:rPr>
        <w:t xml:space="preserve">- </w:t>
      </w:r>
      <w:r w:rsidRPr="001239B5">
        <w:rPr>
          <w:rFonts w:cs="Arial"/>
          <w:rtl/>
        </w:rPr>
        <w:t>הורו הגאונים שהגבינות של גוים אסורים בין שהעמידו אותן בדבר היתר ובין שהעמידו אותן בדבר האסור</w:t>
      </w:r>
      <w:r>
        <w:rPr>
          <w:rFonts w:cs="Arial" w:hint="cs"/>
          <w:rtl/>
        </w:rPr>
        <w:t>,</w:t>
      </w:r>
      <w:r w:rsidRPr="001239B5">
        <w:rPr>
          <w:rFonts w:cs="Arial"/>
          <w:rtl/>
        </w:rPr>
        <w:t xml:space="preserve"> שנאסרו כולן ואפילו במקום דליכא טעם איסור גזרינן אטו מקום שיש בה טעם איסור.</w:t>
      </w:r>
    </w:p>
    <w:p w14:paraId="7B1EC10E" w14:textId="77777777" w:rsidR="002C39F4" w:rsidRPr="006B57E8" w:rsidRDefault="002C39F4" w:rsidP="002C39F4">
      <w:pPr>
        <w:ind w:left="360"/>
        <w:rPr>
          <w:u w:val="dotted"/>
          <w:rtl/>
        </w:rPr>
      </w:pPr>
      <w:r w:rsidRPr="006B57E8">
        <w:rPr>
          <w:rFonts w:hint="cs"/>
          <w:u w:val="dotted"/>
          <w:rtl/>
        </w:rPr>
        <w:t xml:space="preserve">ומה הדין אם </w:t>
      </w:r>
      <w:r>
        <w:rPr>
          <w:rFonts w:hint="cs"/>
          <w:u w:val="dotted"/>
          <w:rtl/>
        </w:rPr>
        <w:t>ה</w:t>
      </w:r>
      <w:r w:rsidRPr="006B57E8">
        <w:rPr>
          <w:rFonts w:hint="cs"/>
          <w:u w:val="dotted"/>
          <w:rtl/>
        </w:rPr>
        <w:t>ישראל ראה חלק מהתהליך:</w:t>
      </w:r>
    </w:p>
    <w:p w14:paraId="65E1420D" w14:textId="77777777" w:rsidR="002C39F4" w:rsidRDefault="002C39F4" w:rsidP="0032102C">
      <w:pPr>
        <w:pStyle w:val="a8"/>
        <w:numPr>
          <w:ilvl w:val="0"/>
          <w:numId w:val="290"/>
        </w:numPr>
        <w:rPr>
          <w:rFonts w:cs="Arial"/>
        </w:rPr>
      </w:pPr>
      <w:r w:rsidRPr="00B14C82">
        <w:rPr>
          <w:rFonts w:cs="Arial"/>
          <w:rtl/>
        </w:rPr>
        <w:t xml:space="preserve">מרדכי </w:t>
      </w:r>
      <w:r w:rsidRPr="00B14C82">
        <w:rPr>
          <w:rFonts w:cs="Arial"/>
          <w:sz w:val="16"/>
          <w:szCs w:val="16"/>
          <w:rtl/>
        </w:rPr>
        <w:t>(</w:t>
      </w:r>
      <w:r w:rsidRPr="00B14C82">
        <w:rPr>
          <w:rFonts w:cs="Arial" w:hint="cs"/>
          <w:sz w:val="16"/>
          <w:szCs w:val="16"/>
          <w:rtl/>
        </w:rPr>
        <w:t xml:space="preserve">חולין </w:t>
      </w:r>
      <w:r w:rsidRPr="00B14C82">
        <w:rPr>
          <w:rFonts w:cs="Arial"/>
          <w:sz w:val="16"/>
          <w:szCs w:val="16"/>
          <w:rtl/>
        </w:rPr>
        <w:t>סי' תשלג</w:t>
      </w:r>
      <w:r w:rsidRPr="00B14C82">
        <w:rPr>
          <w:rFonts w:cs="Arial" w:hint="cs"/>
          <w:sz w:val="16"/>
          <w:szCs w:val="16"/>
          <w:rtl/>
        </w:rPr>
        <w:t xml:space="preserve">, להב' הדרכ"מ </w:t>
      </w:r>
      <w:r>
        <w:rPr>
          <w:rFonts w:cs="Arial" w:hint="cs"/>
          <w:sz w:val="16"/>
          <w:szCs w:val="16"/>
          <w:rtl/>
        </w:rPr>
        <w:t>[</w:t>
      </w:r>
      <w:r w:rsidRPr="00B14C82">
        <w:rPr>
          <w:rFonts w:cs="Arial" w:hint="cs"/>
          <w:sz w:val="16"/>
          <w:szCs w:val="16"/>
          <w:rtl/>
        </w:rPr>
        <w:t>אות ב</w:t>
      </w:r>
      <w:r>
        <w:rPr>
          <w:rFonts w:cs="Arial" w:hint="cs"/>
          <w:sz w:val="16"/>
          <w:szCs w:val="16"/>
          <w:rtl/>
        </w:rPr>
        <w:t>]</w:t>
      </w:r>
      <w:r w:rsidRPr="00B14C82">
        <w:rPr>
          <w:rFonts w:cs="Arial"/>
          <w:sz w:val="16"/>
          <w:szCs w:val="16"/>
          <w:rtl/>
        </w:rPr>
        <w:t>)</w:t>
      </w:r>
      <w:r w:rsidRPr="00B14C82">
        <w:rPr>
          <w:rFonts w:cs="Arial" w:hint="cs"/>
          <w:rtl/>
        </w:rPr>
        <w:t xml:space="preserve">- </w:t>
      </w:r>
      <w:r w:rsidRPr="00B14C82">
        <w:rPr>
          <w:rFonts w:cs="Arial"/>
          <w:rtl/>
        </w:rPr>
        <w:t>אפילו אם רואה הישראל החלב שחלב</w:t>
      </w:r>
      <w:r>
        <w:rPr>
          <w:rFonts w:cs="Arial" w:hint="cs"/>
          <w:rtl/>
        </w:rPr>
        <w:t>ו</w:t>
      </w:r>
      <w:r w:rsidRPr="00B14C82">
        <w:rPr>
          <w:rFonts w:cs="Arial"/>
          <w:rtl/>
        </w:rPr>
        <w:t xml:space="preserve"> גוי עד שעשאם גבינות אפילו הכי אין נוהגין ללוקחן מן הגוים</w:t>
      </w:r>
      <w:r w:rsidRPr="00B14C82">
        <w:rPr>
          <w:rFonts w:cs="Arial" w:hint="cs"/>
          <w:rtl/>
        </w:rPr>
        <w:t>.</w:t>
      </w:r>
      <w:r>
        <w:rPr>
          <w:rFonts w:cs="Arial" w:hint="cs"/>
          <w:rtl/>
        </w:rPr>
        <w:t xml:space="preserve"> (וכ"פ הש"ך </w:t>
      </w:r>
      <w:r>
        <w:rPr>
          <w:rFonts w:cs="Arial" w:hint="cs"/>
          <w:sz w:val="16"/>
          <w:szCs w:val="16"/>
          <w:rtl/>
        </w:rPr>
        <w:t>[סק"כ]</w:t>
      </w:r>
      <w:r>
        <w:rPr>
          <w:rFonts w:cs="Arial" w:hint="cs"/>
          <w:rtl/>
        </w:rPr>
        <w:t xml:space="preserve">) </w:t>
      </w:r>
    </w:p>
    <w:p w14:paraId="0DAFD241" w14:textId="77777777" w:rsidR="002C39F4" w:rsidRPr="001239B5" w:rsidRDefault="002C39F4" w:rsidP="0032102C">
      <w:pPr>
        <w:pStyle w:val="a8"/>
        <w:numPr>
          <w:ilvl w:val="0"/>
          <w:numId w:val="290"/>
        </w:numPr>
        <w:rPr>
          <w:rFonts w:cs="Arial"/>
        </w:rPr>
      </w:pPr>
      <w:r w:rsidRPr="001239B5">
        <w:rPr>
          <w:rFonts w:cs="Arial"/>
          <w:rtl/>
        </w:rPr>
        <w:t>אגודה</w:t>
      </w:r>
      <w:r w:rsidRPr="001239B5">
        <w:rPr>
          <w:rFonts w:cs="Arial"/>
          <w:sz w:val="16"/>
          <w:szCs w:val="16"/>
          <w:rtl/>
        </w:rPr>
        <w:t xml:space="preserve"> (שבת </w:t>
      </w:r>
      <w:r w:rsidRPr="001239B5">
        <w:rPr>
          <w:rFonts w:cs="Arial" w:hint="cs"/>
          <w:sz w:val="16"/>
          <w:szCs w:val="16"/>
          <w:rtl/>
        </w:rPr>
        <w:t>פכ"ג אות</w:t>
      </w:r>
      <w:r w:rsidRPr="001239B5">
        <w:rPr>
          <w:rFonts w:cs="Arial"/>
          <w:sz w:val="16"/>
          <w:szCs w:val="16"/>
          <w:rtl/>
        </w:rPr>
        <w:t xml:space="preserve"> קצא</w:t>
      </w:r>
      <w:r>
        <w:rPr>
          <w:rFonts w:cs="Arial" w:hint="cs"/>
          <w:sz w:val="16"/>
          <w:szCs w:val="16"/>
          <w:rtl/>
        </w:rPr>
        <w:t>, הביאו הדרכ"מ [אות ב]</w:t>
      </w:r>
      <w:r w:rsidRPr="001239B5">
        <w:rPr>
          <w:rFonts w:cs="Arial"/>
          <w:sz w:val="16"/>
          <w:szCs w:val="16"/>
          <w:rtl/>
        </w:rPr>
        <w:t>)</w:t>
      </w:r>
      <w:r w:rsidRPr="001239B5">
        <w:rPr>
          <w:rFonts w:cs="Arial" w:hint="cs"/>
          <w:rtl/>
        </w:rPr>
        <w:t>-</w:t>
      </w:r>
      <w:r w:rsidRPr="001239B5">
        <w:rPr>
          <w:rFonts w:cs="Arial"/>
          <w:rtl/>
        </w:rPr>
        <w:t xml:space="preserve"> התירו הגדולים אדם הקונה עשרה גבינות או סכום אחד</w:t>
      </w:r>
      <w:r>
        <w:rPr>
          <w:rFonts w:cs="Arial" w:hint="cs"/>
          <w:rtl/>
        </w:rPr>
        <w:t>,</w:t>
      </w:r>
      <w:r w:rsidRPr="001239B5">
        <w:rPr>
          <w:rFonts w:cs="Arial"/>
          <w:rtl/>
        </w:rPr>
        <w:t xml:space="preserve"> והכותי מתקנם בשבת, וישראל רואה ואינו מדבר, אך דבר מכוער הוא</w:t>
      </w:r>
      <w:r w:rsidRPr="001239B5">
        <w:rPr>
          <w:rFonts w:cs="Arial" w:hint="cs"/>
          <w:rtl/>
        </w:rPr>
        <w:t>.</w:t>
      </w:r>
      <w:r w:rsidRPr="001239B5">
        <w:rPr>
          <w:rFonts w:cs="Arial" w:hint="cs"/>
          <w:color w:val="00B0F0"/>
          <w:rtl/>
        </w:rPr>
        <w:t xml:space="preserve"> (וכ"פ הרמ"א</w:t>
      </w:r>
      <w:r>
        <w:rPr>
          <w:rStyle w:val="a7"/>
          <w:rFonts w:cs="Arial"/>
          <w:rtl/>
        </w:rPr>
        <w:footnoteReference w:id="2839"/>
      </w:r>
      <w:r w:rsidRPr="001239B5">
        <w:rPr>
          <w:rFonts w:cs="Arial" w:hint="cs"/>
          <w:color w:val="00B0F0"/>
          <w:rtl/>
        </w:rPr>
        <w:t>)</w:t>
      </w:r>
      <w:r>
        <w:rPr>
          <w:rFonts w:cs="Arial" w:hint="cs"/>
          <w:rtl/>
        </w:rPr>
        <w:t xml:space="preserve"> </w:t>
      </w:r>
    </w:p>
    <w:p w14:paraId="2D21BFD0" w14:textId="77777777" w:rsidR="002C39F4" w:rsidRPr="00756EA7" w:rsidRDefault="002C39F4" w:rsidP="0032102C">
      <w:pPr>
        <w:pStyle w:val="a8"/>
        <w:numPr>
          <w:ilvl w:val="0"/>
          <w:numId w:val="290"/>
        </w:numPr>
        <w:rPr>
          <w:rFonts w:cs="Arial"/>
        </w:rPr>
      </w:pPr>
      <w:r>
        <w:rPr>
          <w:rFonts w:cs="Arial"/>
          <w:rtl/>
        </w:rPr>
        <w:t>הג"א</w:t>
      </w:r>
      <w:r w:rsidRPr="00B14C82">
        <w:rPr>
          <w:rFonts w:cs="Arial"/>
          <w:rtl/>
        </w:rPr>
        <w:t xml:space="preserve"> </w:t>
      </w:r>
      <w:r w:rsidRPr="003A141D">
        <w:rPr>
          <w:rFonts w:cs="Arial"/>
          <w:sz w:val="16"/>
          <w:szCs w:val="16"/>
          <w:rtl/>
        </w:rPr>
        <w:t>(פ"ב סי' מ)</w:t>
      </w:r>
      <w:r>
        <w:rPr>
          <w:rFonts w:cs="Arial" w:hint="cs"/>
          <w:rtl/>
        </w:rPr>
        <w:t>-</w:t>
      </w:r>
      <w:r w:rsidRPr="00B14C82">
        <w:rPr>
          <w:rFonts w:cs="Arial"/>
          <w:rtl/>
        </w:rPr>
        <w:t xml:space="preserve"> ישראל שהלך לכפר לקנות גבינות ואנו יודעים שדעת הישראל להקפיא כל החלב</w:t>
      </w:r>
      <w:r>
        <w:rPr>
          <w:rFonts w:cs="Arial" w:hint="cs"/>
          <w:rtl/>
        </w:rPr>
        <w:t>,</w:t>
      </w:r>
      <w:r w:rsidRPr="00756EA7">
        <w:rPr>
          <w:rFonts w:cs="Arial"/>
          <w:rtl/>
        </w:rPr>
        <w:t xml:space="preserve"> אפילו לא ראה ישראל החליבה שרי</w:t>
      </w:r>
      <w:r w:rsidRPr="00756EA7">
        <w:rPr>
          <w:rFonts w:cs="Arial" w:hint="cs"/>
          <w:rtl/>
        </w:rPr>
        <w:t>,</w:t>
      </w:r>
      <w:r w:rsidRPr="00756EA7">
        <w:rPr>
          <w:rFonts w:cs="Arial"/>
          <w:rtl/>
        </w:rPr>
        <w:t xml:space="preserve"> ואפילו אם נפשך לאסור כה</w:t>
      </w:r>
      <w:r w:rsidRPr="00756EA7">
        <w:rPr>
          <w:rFonts w:cs="Arial" w:hint="cs"/>
          <w:rtl/>
        </w:rPr>
        <w:t>"</w:t>
      </w:r>
      <w:r w:rsidRPr="00756EA7">
        <w:rPr>
          <w:rFonts w:cs="Arial"/>
          <w:rtl/>
        </w:rPr>
        <w:t>ג</w:t>
      </w:r>
      <w:r w:rsidRPr="00756EA7">
        <w:rPr>
          <w:rFonts w:cs="Arial" w:hint="cs"/>
          <w:rtl/>
        </w:rPr>
        <w:t>,</w:t>
      </w:r>
      <w:r w:rsidRPr="00756EA7">
        <w:rPr>
          <w:rFonts w:cs="Arial"/>
          <w:rtl/>
        </w:rPr>
        <w:t xml:space="preserve"> היכא שראה הכל לבד התחלת החליבה מותר</w:t>
      </w:r>
      <w:r w:rsidRPr="00756EA7">
        <w:rPr>
          <w:rFonts w:cs="Arial" w:hint="cs"/>
          <w:rtl/>
        </w:rPr>
        <w:t>,</w:t>
      </w:r>
      <w:r w:rsidRPr="00756EA7">
        <w:rPr>
          <w:rFonts w:cs="Arial"/>
          <w:rtl/>
        </w:rPr>
        <w:t xml:space="preserve"> ופעם אחת אמר גוי לישראל ליקח גבינות והיה החלב נחלב כבר</w:t>
      </w:r>
      <w:r w:rsidRPr="00756EA7">
        <w:rPr>
          <w:rFonts w:cs="Arial" w:hint="cs"/>
          <w:rtl/>
        </w:rPr>
        <w:t>,</w:t>
      </w:r>
      <w:r w:rsidRPr="00756EA7">
        <w:rPr>
          <w:rFonts w:cs="Arial"/>
          <w:rtl/>
        </w:rPr>
        <w:t xml:space="preserve"> והלך ועשאו</w:t>
      </w:r>
      <w:r w:rsidRPr="00756EA7">
        <w:rPr>
          <w:rFonts w:cs="Arial" w:hint="cs"/>
          <w:rtl/>
        </w:rPr>
        <w:t>,</w:t>
      </w:r>
      <w:r w:rsidRPr="00756EA7">
        <w:rPr>
          <w:rFonts w:cs="Arial"/>
          <w:rtl/>
        </w:rPr>
        <w:t xml:space="preserve"> והתיר ר"ת</w:t>
      </w:r>
      <w:r w:rsidRPr="00756EA7">
        <w:rPr>
          <w:rFonts w:cs="Arial" w:hint="cs"/>
          <w:rtl/>
        </w:rPr>
        <w:t>,</w:t>
      </w:r>
      <w:r w:rsidRPr="00756EA7">
        <w:rPr>
          <w:rFonts w:cs="Arial"/>
          <w:rtl/>
        </w:rPr>
        <w:t xml:space="preserve"> ואמנם אין להתיר כולי האי היכא דליכא הפסד מרובה</w:t>
      </w:r>
      <w:r>
        <w:rPr>
          <w:rStyle w:val="a7"/>
          <w:rFonts w:cs="Arial"/>
          <w:rtl/>
        </w:rPr>
        <w:footnoteReference w:id="2840"/>
      </w:r>
      <w:r w:rsidRPr="00756EA7">
        <w:rPr>
          <w:rFonts w:cs="Arial"/>
          <w:rtl/>
        </w:rPr>
        <w:t>.</w:t>
      </w:r>
      <w:r w:rsidRPr="00756EA7">
        <w:rPr>
          <w:rFonts w:cs="Arial" w:hint="cs"/>
          <w:rtl/>
        </w:rPr>
        <w:t xml:space="preserve"> </w:t>
      </w:r>
      <w:r w:rsidRPr="00756EA7">
        <w:rPr>
          <w:rFonts w:cs="Arial" w:hint="cs"/>
          <w:color w:val="00B0F0"/>
          <w:rtl/>
        </w:rPr>
        <w:t>(וכ"פ הרמ"א)</w:t>
      </w:r>
    </w:p>
    <w:p w14:paraId="02C84AE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8ED7C0B" w14:textId="77777777" w:rsidR="002C39F4" w:rsidRDefault="002C39F4" w:rsidP="002C39F4">
      <w:pPr>
        <w:rPr>
          <w:rFonts w:asciiTheme="minorBidi" w:hAnsiTheme="minorBidi"/>
          <w:rtl/>
        </w:rPr>
      </w:pPr>
      <w:r w:rsidRPr="003024E5">
        <w:rPr>
          <w:rFonts w:asciiTheme="minorBidi" w:hAnsiTheme="minorBidi"/>
          <w:rtl/>
        </w:rPr>
        <w:t>גבינות ה</w:t>
      </w:r>
      <w:r>
        <w:rPr>
          <w:rFonts w:asciiTheme="minorBidi" w:hAnsiTheme="minorBidi"/>
          <w:rtl/>
        </w:rPr>
        <w:t>גוים</w:t>
      </w:r>
      <w:r w:rsidRPr="003024E5">
        <w:rPr>
          <w:rFonts w:asciiTheme="minorBidi" w:hAnsiTheme="minorBidi"/>
          <w:rtl/>
        </w:rPr>
        <w:t xml:space="preserve"> אסרום מפני שמעמידים אותם בעור קיבת שחיטתם שהיא נבלה</w:t>
      </w:r>
      <w:r>
        <w:rPr>
          <w:rStyle w:val="a7"/>
          <w:rFonts w:asciiTheme="minorBidi" w:hAnsiTheme="minorBidi"/>
          <w:rtl/>
        </w:rPr>
        <w:footnoteReference w:id="2841"/>
      </w:r>
      <w:r>
        <w:rPr>
          <w:rFonts w:asciiTheme="minorBidi" w:hAnsiTheme="minorBidi" w:hint="cs"/>
          <w:rtl/>
        </w:rPr>
        <w:t>,</w:t>
      </w:r>
      <w:r w:rsidRPr="003024E5">
        <w:rPr>
          <w:rFonts w:asciiTheme="minorBidi" w:hAnsiTheme="minorBidi"/>
          <w:rtl/>
        </w:rPr>
        <w:t xml:space="preserve"> ואפילו העמידוהו בעשבים אסורה. </w:t>
      </w:r>
      <w:r w:rsidRPr="00714412">
        <w:rPr>
          <w:rFonts w:asciiTheme="minorBidi" w:hAnsiTheme="minorBidi"/>
          <w:sz w:val="18"/>
          <w:szCs w:val="18"/>
          <w:rtl/>
        </w:rPr>
        <w:t>הגה: וכן המנהג ואין לפרוץ גדר (ב"י), אם לא במקום שנהגו בהם היתר מקדמונים. ואם הישראל רואה עשיית הגבינות והחליבה מותר (אגו</w:t>
      </w:r>
      <w:r>
        <w:rPr>
          <w:rFonts w:asciiTheme="minorBidi" w:hAnsiTheme="minorBidi" w:hint="cs"/>
          <w:sz w:val="18"/>
          <w:szCs w:val="18"/>
          <w:rtl/>
        </w:rPr>
        <w:t>דה</w:t>
      </w:r>
      <w:r w:rsidRPr="00714412">
        <w:rPr>
          <w:rFonts w:asciiTheme="minorBidi" w:hAnsiTheme="minorBidi"/>
          <w:sz w:val="18"/>
          <w:szCs w:val="18"/>
          <w:rtl/>
        </w:rPr>
        <w:t>). וכן המנהג פשוט בכל מדינות אלו. ואם ראה עשיית הגבינות ולא ראה החליבה יש להתיר בדיעבד</w:t>
      </w:r>
      <w:r>
        <w:rPr>
          <w:rStyle w:val="a7"/>
          <w:rFonts w:asciiTheme="minorBidi" w:hAnsiTheme="minorBidi"/>
          <w:sz w:val="18"/>
          <w:szCs w:val="18"/>
          <w:rtl/>
        </w:rPr>
        <w:footnoteReference w:id="2842"/>
      </w:r>
      <w:r>
        <w:rPr>
          <w:rFonts w:asciiTheme="minorBidi" w:hAnsiTheme="minorBidi" w:hint="cs"/>
          <w:sz w:val="18"/>
          <w:szCs w:val="18"/>
          <w:rtl/>
        </w:rPr>
        <w:t>,</w:t>
      </w:r>
      <w:r w:rsidRPr="00714412">
        <w:rPr>
          <w:rFonts w:asciiTheme="minorBidi" w:hAnsiTheme="minorBidi"/>
          <w:sz w:val="18"/>
          <w:szCs w:val="18"/>
          <w:rtl/>
        </w:rPr>
        <w:t xml:space="preserve"> כי אין לחוש שמא עירב בו דבר טמא מאחר שעשה גבינות מן החלב, כי דבר טמא אינו עומד ובודאי לא עירב בו הגוי מאחר שדעתו</w:t>
      </w:r>
      <w:r>
        <w:rPr>
          <w:rStyle w:val="a7"/>
          <w:rFonts w:asciiTheme="minorBidi" w:hAnsiTheme="minorBidi"/>
          <w:sz w:val="18"/>
          <w:szCs w:val="18"/>
          <w:rtl/>
        </w:rPr>
        <w:footnoteReference w:id="2843"/>
      </w:r>
      <w:r w:rsidRPr="00714412">
        <w:rPr>
          <w:rFonts w:asciiTheme="minorBidi" w:hAnsiTheme="minorBidi"/>
          <w:sz w:val="18"/>
          <w:szCs w:val="18"/>
          <w:rtl/>
        </w:rPr>
        <w:t xml:space="preserve"> לעשות גבינות (</w:t>
      </w:r>
      <w:r>
        <w:rPr>
          <w:rFonts w:asciiTheme="minorBidi" w:hAnsiTheme="minorBidi"/>
          <w:sz w:val="18"/>
          <w:szCs w:val="18"/>
          <w:rtl/>
        </w:rPr>
        <w:t>הג"א</w:t>
      </w:r>
      <w:r w:rsidRPr="00714412">
        <w:rPr>
          <w:rFonts w:asciiTheme="minorBidi" w:hAnsiTheme="minorBidi"/>
          <w:sz w:val="18"/>
          <w:szCs w:val="18"/>
          <w:rtl/>
        </w:rPr>
        <w:t xml:space="preserve"> וארוך). ומ</w:t>
      </w:r>
      <w:r>
        <w:rPr>
          <w:rFonts w:asciiTheme="minorBidi" w:hAnsiTheme="minorBidi" w:hint="cs"/>
          <w:sz w:val="18"/>
          <w:szCs w:val="18"/>
          <w:rtl/>
        </w:rPr>
        <w:t>"</w:t>
      </w:r>
      <w:r w:rsidRPr="00714412">
        <w:rPr>
          <w:rFonts w:asciiTheme="minorBidi" w:hAnsiTheme="minorBidi"/>
          <w:sz w:val="18"/>
          <w:szCs w:val="18"/>
          <w:rtl/>
        </w:rPr>
        <w:t>מ אסור לאכול החלב כך</w:t>
      </w:r>
      <w:r>
        <w:rPr>
          <w:rStyle w:val="a7"/>
          <w:rFonts w:asciiTheme="minorBidi" w:hAnsiTheme="minorBidi"/>
          <w:sz w:val="18"/>
          <w:szCs w:val="18"/>
          <w:rtl/>
        </w:rPr>
        <w:footnoteReference w:id="2844"/>
      </w:r>
      <w:r w:rsidRPr="00714412">
        <w:rPr>
          <w:rFonts w:asciiTheme="minorBidi" w:hAnsiTheme="minorBidi"/>
          <w:sz w:val="18"/>
          <w:szCs w:val="18"/>
          <w:rtl/>
        </w:rPr>
        <w:t xml:space="preserve"> (</w:t>
      </w:r>
      <w:r>
        <w:rPr>
          <w:rFonts w:asciiTheme="minorBidi" w:hAnsiTheme="minorBidi" w:hint="cs"/>
          <w:sz w:val="18"/>
          <w:szCs w:val="18"/>
          <w:rtl/>
        </w:rPr>
        <w:t>בארוך</w:t>
      </w:r>
      <w:r w:rsidRPr="00714412">
        <w:rPr>
          <w:rFonts w:asciiTheme="minorBidi" w:hAnsiTheme="minorBidi"/>
          <w:sz w:val="18"/>
          <w:szCs w:val="18"/>
          <w:rtl/>
        </w:rPr>
        <w:t>).</w:t>
      </w:r>
      <w:r w:rsidRPr="003024E5">
        <w:rPr>
          <w:rFonts w:asciiTheme="minorBidi" w:hAnsiTheme="minorBidi"/>
          <w:rtl/>
        </w:rPr>
        <w:t xml:space="preserve"> </w:t>
      </w:r>
    </w:p>
    <w:p w14:paraId="29BC97D4" w14:textId="77777777" w:rsidR="002C39F4" w:rsidRPr="003024E5" w:rsidRDefault="002C39F4" w:rsidP="002C39F4">
      <w:pPr>
        <w:rPr>
          <w:rFonts w:asciiTheme="minorBidi" w:hAnsiTheme="minorBidi"/>
          <w:rtl/>
        </w:rPr>
      </w:pPr>
    </w:p>
    <w:p w14:paraId="431964BA"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חמאת גוים.</w:t>
      </w:r>
    </w:p>
    <w:p w14:paraId="4039FCB3" w14:textId="77777777" w:rsidR="002C39F4" w:rsidRPr="00766A86" w:rsidRDefault="002C39F4" w:rsidP="002C39F4">
      <w:pPr>
        <w:rPr>
          <w:sz w:val="16"/>
          <w:szCs w:val="16"/>
          <w:rtl/>
        </w:rPr>
      </w:pPr>
      <w:r>
        <w:rPr>
          <w:rFonts w:cs="Arial" w:hint="cs"/>
          <w:b/>
          <w:bCs/>
          <w:rtl/>
        </w:rPr>
        <w:t xml:space="preserve">עבודה זרה לה ע"ב: </w:t>
      </w:r>
      <w:r w:rsidRPr="00D0241C">
        <w:rPr>
          <w:rFonts w:cs="Arial"/>
          <w:u w:val="double"/>
          <w:rtl/>
        </w:rPr>
        <w:t>מתני'</w:t>
      </w:r>
      <w:r w:rsidRPr="00063ED0">
        <w:rPr>
          <w:rFonts w:cs="Arial" w:hint="cs"/>
          <w:rtl/>
        </w:rPr>
        <w:t>:</w:t>
      </w:r>
      <w:r w:rsidRPr="00D0241C">
        <w:rPr>
          <w:rFonts w:cs="Arial"/>
          <w:rtl/>
        </w:rPr>
        <w:t xml:space="preserve"> ואלו דברים של עובדי כוכבים אסורין ואין איסורן איסור הנאה: חלב שחלבו עובד כוכבים ואין ישראל רואהו</w:t>
      </w:r>
      <w:r>
        <w:rPr>
          <w:rFonts w:cs="Arial" w:hint="cs"/>
          <w:rtl/>
        </w:rPr>
        <w:t xml:space="preserve">.   </w:t>
      </w:r>
      <w:r w:rsidRPr="00063ED0">
        <w:rPr>
          <w:rFonts w:cs="Arial"/>
          <w:u w:val="double"/>
          <w:rtl/>
        </w:rPr>
        <w:t>גמ'</w:t>
      </w:r>
      <w:r>
        <w:rPr>
          <w:rFonts w:cs="Arial" w:hint="cs"/>
          <w:rtl/>
        </w:rPr>
        <w:t>:</w:t>
      </w:r>
      <w:r w:rsidRPr="00063ED0">
        <w:rPr>
          <w:rFonts w:cs="Arial"/>
          <w:rtl/>
        </w:rPr>
        <w:t xml:space="preserve"> חלב למאי ניחוש לה?</w:t>
      </w:r>
      <w:r>
        <w:rPr>
          <w:rFonts w:cs="Arial" w:hint="cs"/>
          <w:rtl/>
        </w:rPr>
        <w:t>...</w:t>
      </w:r>
      <w:r w:rsidRPr="00063ED0">
        <w:rPr>
          <w:rFonts w:cs="Arial"/>
          <w:rtl/>
        </w:rPr>
        <w:t xml:space="preserve"> דקא בעי ליה לכמכא</w:t>
      </w:r>
      <w:r>
        <w:rPr>
          <w:rStyle w:val="a7"/>
          <w:rFonts w:cs="Arial"/>
          <w:rtl/>
        </w:rPr>
        <w:footnoteReference w:id="2845"/>
      </w:r>
      <w:r w:rsidRPr="00063ED0">
        <w:rPr>
          <w:rFonts w:cs="Arial"/>
          <w:rtl/>
        </w:rPr>
        <w:t>.</w:t>
      </w:r>
      <w:r>
        <w:rPr>
          <w:rFonts w:cs="Arial" w:hint="cs"/>
          <w:rtl/>
        </w:rPr>
        <w:t>.</w:t>
      </w:r>
      <w:r w:rsidRPr="00063ED0">
        <w:rPr>
          <w:rFonts w:cs="Arial"/>
          <w:rtl/>
        </w:rPr>
        <w:t>. ואב"א</w:t>
      </w:r>
      <w:r>
        <w:rPr>
          <w:rStyle w:val="a7"/>
          <w:rFonts w:cs="Arial"/>
          <w:rtl/>
        </w:rPr>
        <w:footnoteReference w:id="2846"/>
      </w:r>
      <w:r w:rsidRPr="00063ED0">
        <w:rPr>
          <w:rFonts w:cs="Arial"/>
          <w:rtl/>
        </w:rPr>
        <w:t>: אפי' תימא דקבעי לה לגבינה, איכא</w:t>
      </w:r>
      <w:r>
        <w:rPr>
          <w:rStyle w:val="a7"/>
          <w:rFonts w:cs="Arial"/>
          <w:rtl/>
        </w:rPr>
        <w:footnoteReference w:id="2847"/>
      </w:r>
      <w:r w:rsidRPr="00063ED0">
        <w:rPr>
          <w:rFonts w:cs="Arial"/>
          <w:rtl/>
        </w:rPr>
        <w:t xml:space="preserve"> דקאי ביני אטפי</w:t>
      </w:r>
      <w:r>
        <w:rPr>
          <w:rStyle w:val="a7"/>
          <w:rFonts w:cs="Arial"/>
          <w:rtl/>
        </w:rPr>
        <w:footnoteReference w:id="2848"/>
      </w:r>
      <w:r>
        <w:rPr>
          <w:rFonts w:cs="Arial" w:hint="cs"/>
          <w:rtl/>
        </w:rPr>
        <w:t>.</w:t>
      </w:r>
    </w:p>
    <w:p w14:paraId="0BA043A9" w14:textId="77777777" w:rsidR="002C39F4" w:rsidRDefault="002C39F4" w:rsidP="002C39F4">
      <w:pPr>
        <w:rPr>
          <w:rFonts w:cs="Arial"/>
          <w:rtl/>
        </w:rPr>
      </w:pPr>
      <w:r w:rsidRPr="00EB1CF3">
        <w:rPr>
          <w:rFonts w:cs="Arial" w:hint="cs"/>
          <w:u w:val="single"/>
          <w:rtl/>
        </w:rPr>
        <w:t>חמאת גוים:</w:t>
      </w:r>
    </w:p>
    <w:p w14:paraId="1E505BB3" w14:textId="77777777" w:rsidR="002C39F4" w:rsidRDefault="002C39F4" w:rsidP="0032102C">
      <w:pPr>
        <w:pStyle w:val="a8"/>
        <w:numPr>
          <w:ilvl w:val="0"/>
          <w:numId w:val="293"/>
        </w:numPr>
        <w:rPr>
          <w:rFonts w:cs="Arial"/>
        </w:rPr>
      </w:pPr>
      <w:r>
        <w:rPr>
          <w:rFonts w:cs="Arial" w:hint="cs"/>
          <w:rtl/>
        </w:rPr>
        <w:t>ר"פ</w:t>
      </w:r>
      <w:r w:rsidRPr="00932B52">
        <w:rPr>
          <w:rFonts w:cs="Arial"/>
          <w:rtl/>
        </w:rPr>
        <w:t xml:space="preserve"> </w:t>
      </w:r>
      <w:r w:rsidRPr="000B1844">
        <w:rPr>
          <w:rFonts w:cs="Arial"/>
          <w:sz w:val="16"/>
          <w:szCs w:val="16"/>
          <w:rtl/>
        </w:rPr>
        <w:t>(הגהות סמ"ק סו"ס רכג)</w:t>
      </w:r>
      <w:r>
        <w:rPr>
          <w:rFonts w:cs="Arial" w:hint="cs"/>
          <w:rtl/>
        </w:rPr>
        <w:t xml:space="preserve">- </w:t>
      </w:r>
      <w:r w:rsidRPr="00932B52">
        <w:rPr>
          <w:rFonts w:cs="Arial"/>
          <w:rtl/>
        </w:rPr>
        <w:t>חמאה אין בה שום גומות הלכך אין בה שום איסור</w:t>
      </w:r>
      <w:r>
        <w:rPr>
          <w:rFonts w:cs="Arial" w:hint="cs"/>
          <w:rtl/>
        </w:rPr>
        <w:t>.</w:t>
      </w:r>
      <w:r w:rsidRPr="00932B52">
        <w:rPr>
          <w:rFonts w:cs="Arial"/>
          <w:rtl/>
        </w:rPr>
        <w:t xml:space="preserve"> </w:t>
      </w:r>
    </w:p>
    <w:p w14:paraId="0BDAA970" w14:textId="77777777" w:rsidR="002C39F4" w:rsidRDefault="002C39F4" w:rsidP="0032102C">
      <w:pPr>
        <w:pStyle w:val="a8"/>
        <w:numPr>
          <w:ilvl w:val="0"/>
          <w:numId w:val="293"/>
        </w:numPr>
        <w:rPr>
          <w:rFonts w:cs="Arial"/>
        </w:rPr>
      </w:pPr>
      <w:r w:rsidRPr="00932B52">
        <w:rPr>
          <w:rFonts w:cs="Arial"/>
          <w:rtl/>
        </w:rPr>
        <w:t>הגה</w:t>
      </w:r>
      <w:r>
        <w:rPr>
          <w:rFonts w:cs="Arial" w:hint="cs"/>
          <w:rtl/>
        </w:rPr>
        <w:t xml:space="preserve">"מ </w:t>
      </w:r>
      <w:r w:rsidRPr="00F562E4">
        <w:rPr>
          <w:rFonts w:cs="Arial" w:hint="cs"/>
          <w:sz w:val="16"/>
          <w:szCs w:val="16"/>
          <w:rtl/>
        </w:rPr>
        <w:t>(</w:t>
      </w:r>
      <w:r w:rsidRPr="00F562E4">
        <w:rPr>
          <w:rFonts w:cs="Arial"/>
          <w:sz w:val="16"/>
          <w:szCs w:val="16"/>
          <w:rtl/>
        </w:rPr>
        <w:t xml:space="preserve">פ"ג </w:t>
      </w:r>
      <w:r w:rsidRPr="00F562E4">
        <w:rPr>
          <w:rFonts w:cs="Arial" w:hint="cs"/>
          <w:sz w:val="16"/>
          <w:szCs w:val="16"/>
          <w:rtl/>
        </w:rPr>
        <w:t>ד"ק הי"ז)</w:t>
      </w:r>
      <w:r w:rsidRPr="00F562E4">
        <w:rPr>
          <w:rFonts w:cs="Arial"/>
          <w:sz w:val="16"/>
          <w:szCs w:val="16"/>
          <w:rtl/>
        </w:rPr>
        <w:t xml:space="preserve"> </w:t>
      </w:r>
      <w:r>
        <w:rPr>
          <w:rFonts w:cs="Arial" w:hint="cs"/>
          <w:rtl/>
        </w:rPr>
        <w:t>בשם</w:t>
      </w:r>
      <w:r w:rsidRPr="00932B52">
        <w:rPr>
          <w:rFonts w:cs="Arial"/>
          <w:rtl/>
        </w:rPr>
        <w:t xml:space="preserve"> ר"ת</w:t>
      </w:r>
      <w:r>
        <w:rPr>
          <w:rFonts w:cs="Arial" w:hint="cs"/>
          <w:rtl/>
        </w:rPr>
        <w:t xml:space="preserve">- </w:t>
      </w:r>
      <w:r w:rsidRPr="00932B52">
        <w:rPr>
          <w:rFonts w:cs="Arial"/>
          <w:rtl/>
        </w:rPr>
        <w:t>היכא דאיכא למיחש לתערובת נסיובי דחלבא בד' ימים מתיבש ואז שריא דליכא למיחש דילמא קאי ביני איטפי דאין בה גומות</w:t>
      </w:r>
      <w:r>
        <w:rPr>
          <w:rFonts w:cs="Arial" w:hint="cs"/>
          <w:rtl/>
        </w:rPr>
        <w:t>,</w:t>
      </w:r>
      <w:r w:rsidRPr="00932B52">
        <w:rPr>
          <w:rFonts w:cs="Arial"/>
          <w:rtl/>
        </w:rPr>
        <w:t xml:space="preserve"> והיכא שאין מערבין נסיובי שרי מיד</w:t>
      </w:r>
      <w:r>
        <w:rPr>
          <w:rFonts w:cs="Arial" w:hint="cs"/>
          <w:rtl/>
        </w:rPr>
        <w:t>,</w:t>
      </w:r>
      <w:r w:rsidRPr="00932B52">
        <w:rPr>
          <w:rFonts w:cs="Arial"/>
          <w:rtl/>
        </w:rPr>
        <w:t xml:space="preserve"> ואם ספק אם יש בה נסיובי אם לאו ספיקא דרבנן הוא ולקולא</w:t>
      </w:r>
      <w:r>
        <w:rPr>
          <w:rFonts w:cs="Arial" w:hint="cs"/>
          <w:rtl/>
        </w:rPr>
        <w:t>,</w:t>
      </w:r>
      <w:r w:rsidRPr="00932B52">
        <w:rPr>
          <w:rFonts w:cs="Arial"/>
          <w:rtl/>
        </w:rPr>
        <w:t xml:space="preserve"> ובמלכותנו אין מערבים ואוכלים אותה ומקפידים על אשכנזים שנמנעו מלאכלה דאמר</w:t>
      </w:r>
      <w:r>
        <w:rPr>
          <w:rFonts w:cs="Arial" w:hint="cs"/>
          <w:rtl/>
        </w:rPr>
        <w:t>י'</w:t>
      </w:r>
      <w:r w:rsidRPr="00932B52">
        <w:rPr>
          <w:rFonts w:cs="Arial"/>
          <w:rtl/>
        </w:rPr>
        <w:t xml:space="preserve"> בירושלמי </w:t>
      </w:r>
      <w:r w:rsidRPr="00F562E4">
        <w:rPr>
          <w:rFonts w:cs="Arial"/>
          <w:sz w:val="16"/>
          <w:szCs w:val="16"/>
          <w:rtl/>
        </w:rPr>
        <w:t xml:space="preserve">(תרומות </w:t>
      </w:r>
      <w:r>
        <w:rPr>
          <w:rFonts w:cs="Arial" w:hint="cs"/>
          <w:sz w:val="16"/>
          <w:szCs w:val="16"/>
          <w:rtl/>
        </w:rPr>
        <w:t>ס</w:t>
      </w:r>
      <w:r w:rsidRPr="00F562E4">
        <w:rPr>
          <w:rFonts w:cs="Arial"/>
          <w:sz w:val="16"/>
          <w:szCs w:val="16"/>
          <w:rtl/>
        </w:rPr>
        <w:t xml:space="preserve">פ"ה) </w:t>
      </w:r>
      <w:r w:rsidRPr="00932B52">
        <w:rPr>
          <w:rFonts w:cs="Arial"/>
          <w:rtl/>
        </w:rPr>
        <w:t>כשם שאסור להתיר את האסור כך אסור לאסור את המותר</w:t>
      </w:r>
      <w:r>
        <w:rPr>
          <w:rFonts w:cs="Arial" w:hint="cs"/>
          <w:rtl/>
        </w:rPr>
        <w:t>.</w:t>
      </w:r>
    </w:p>
    <w:p w14:paraId="5EA2E522" w14:textId="77777777" w:rsidR="002C39F4" w:rsidRPr="00EB1CF3" w:rsidRDefault="002C39F4" w:rsidP="0032102C">
      <w:pPr>
        <w:pStyle w:val="a8"/>
        <w:numPr>
          <w:ilvl w:val="0"/>
          <w:numId w:val="293"/>
        </w:numPr>
        <w:rPr>
          <w:rFonts w:cs="Arial"/>
          <w:rtl/>
        </w:rPr>
      </w:pPr>
      <w:r w:rsidRPr="00EB1CF3">
        <w:rPr>
          <w:rFonts w:cs="Arial"/>
          <w:rtl/>
        </w:rPr>
        <w:t>רא"ש</w:t>
      </w:r>
      <w:r>
        <w:rPr>
          <w:rFonts w:cs="Arial" w:hint="cs"/>
          <w:sz w:val="16"/>
          <w:szCs w:val="16"/>
          <w:rtl/>
        </w:rPr>
        <w:t xml:space="preserve"> (כ"כ הטור בשמו</w:t>
      </w:r>
      <w:r>
        <w:rPr>
          <w:rStyle w:val="a7"/>
          <w:rFonts w:cs="Arial"/>
          <w:sz w:val="16"/>
          <w:szCs w:val="16"/>
          <w:rtl/>
        </w:rPr>
        <w:footnoteReference w:id="2849"/>
      </w:r>
      <w:r>
        <w:rPr>
          <w:rFonts w:cs="Arial" w:hint="cs"/>
          <w:sz w:val="16"/>
          <w:szCs w:val="16"/>
          <w:rtl/>
        </w:rPr>
        <w:t>)</w:t>
      </w:r>
      <w:r>
        <w:rPr>
          <w:rFonts w:cs="Arial" w:hint="cs"/>
          <w:rtl/>
        </w:rPr>
        <w:t>-</w:t>
      </w:r>
      <w:r w:rsidRPr="00EB1CF3">
        <w:rPr>
          <w:rFonts w:cs="Arial"/>
          <w:rtl/>
        </w:rPr>
        <w:t xml:space="preserve"> </w:t>
      </w:r>
      <w:r>
        <w:rPr>
          <w:rFonts w:cs="Arial" w:hint="cs"/>
          <w:rtl/>
        </w:rPr>
        <w:t>איני</w:t>
      </w:r>
      <w:r w:rsidRPr="00EB1CF3">
        <w:rPr>
          <w:rFonts w:cs="Arial"/>
          <w:rtl/>
        </w:rPr>
        <w:t xml:space="preserve"> יודע בה טעם ברור לאסור אלא שנהגו בו איסור לכן לא </w:t>
      </w:r>
      <w:r>
        <w:rPr>
          <w:rFonts w:cs="Arial" w:hint="cs"/>
          <w:rtl/>
        </w:rPr>
        <w:t>איני</w:t>
      </w:r>
      <w:r w:rsidRPr="00EB1CF3">
        <w:rPr>
          <w:rFonts w:cs="Arial"/>
          <w:rtl/>
        </w:rPr>
        <w:t xml:space="preserve"> מוחה לאנשי המקום שנוהגין בו היתר אבל אם רוב המקום נוהגין בו איסור אין לאדם לשנות</w:t>
      </w:r>
      <w:r>
        <w:rPr>
          <w:rFonts w:cs="Arial" w:hint="cs"/>
          <w:rtl/>
        </w:rPr>
        <w:t>.</w:t>
      </w:r>
    </w:p>
    <w:p w14:paraId="2A3D3314" w14:textId="77777777" w:rsidR="002C39F4" w:rsidRDefault="002C39F4" w:rsidP="0032102C">
      <w:pPr>
        <w:pStyle w:val="a8"/>
        <w:numPr>
          <w:ilvl w:val="0"/>
          <w:numId w:val="293"/>
        </w:numPr>
        <w:rPr>
          <w:rFonts w:cs="Arial"/>
        </w:rPr>
      </w:pPr>
      <w:r>
        <w:rPr>
          <w:rFonts w:cs="Arial" w:hint="cs"/>
          <w:rtl/>
        </w:rPr>
        <w:t xml:space="preserve">ראב"ד </w:t>
      </w:r>
      <w:r w:rsidRPr="00766A86">
        <w:rPr>
          <w:rFonts w:cs="Arial" w:hint="cs"/>
          <w:sz w:val="16"/>
          <w:szCs w:val="16"/>
          <w:rtl/>
        </w:rPr>
        <w:t xml:space="preserve">(כ"כ בשמו ר"ן [ע"ז יג: ג"ה מתני'] ונמוק"י [ע"ז כט: ד"ה ולהאי]) </w:t>
      </w:r>
      <w:r>
        <w:rPr>
          <w:rFonts w:cs="Arial" w:hint="cs"/>
          <w:rtl/>
        </w:rPr>
        <w:t xml:space="preserve">ורשב"א </w:t>
      </w:r>
      <w:r w:rsidRPr="00766A86">
        <w:rPr>
          <w:rFonts w:cs="Arial" w:hint="cs"/>
          <w:sz w:val="16"/>
          <w:szCs w:val="16"/>
          <w:rtl/>
        </w:rPr>
        <w:t>(תוה"א</w:t>
      </w:r>
      <w:r w:rsidRPr="00766A86">
        <w:rPr>
          <w:rFonts w:cs="Arial"/>
          <w:sz w:val="16"/>
          <w:szCs w:val="16"/>
          <w:rtl/>
        </w:rPr>
        <w:t xml:space="preserve"> ב"ג ש"ו צ ע"ד)</w:t>
      </w:r>
      <w:r>
        <w:rPr>
          <w:rFonts w:cs="Arial" w:hint="cs"/>
          <w:rtl/>
        </w:rPr>
        <w:t xml:space="preserve">- אסורה, </w:t>
      </w:r>
      <w:r w:rsidRPr="000B1844">
        <w:rPr>
          <w:rFonts w:cs="Arial"/>
          <w:rtl/>
        </w:rPr>
        <w:t>דכל דבר של נכרים לא הלכו בו חכמים אחר נותן טעם ואין מטעימין אותן לקפילא אלא כיון דשכיח בהו טעמא אוסרין אותם לעולם כדי שלא יפרוצו</w:t>
      </w:r>
      <w:r>
        <w:rPr>
          <w:rFonts w:cs="Arial" w:hint="cs"/>
          <w:sz w:val="16"/>
          <w:szCs w:val="16"/>
          <w:rtl/>
        </w:rPr>
        <w:t xml:space="preserve"> (ל' הרשב"א</w:t>
      </w:r>
      <w:r>
        <w:rPr>
          <w:rFonts w:cs="Arial" w:hint="cs"/>
          <w:sz w:val="14"/>
          <w:szCs w:val="14"/>
          <w:rtl/>
        </w:rPr>
        <w:t xml:space="preserve"> [חידו' ע"ז לה.]</w:t>
      </w:r>
      <w:r>
        <w:rPr>
          <w:rFonts w:cs="Arial" w:hint="cs"/>
          <w:sz w:val="16"/>
          <w:szCs w:val="16"/>
          <w:rtl/>
        </w:rPr>
        <w:t>)</w:t>
      </w:r>
      <w:r>
        <w:rPr>
          <w:rFonts w:cs="Arial" w:hint="cs"/>
          <w:rtl/>
        </w:rPr>
        <w:t>.</w:t>
      </w:r>
    </w:p>
    <w:p w14:paraId="08DD450F" w14:textId="77777777" w:rsidR="002C39F4" w:rsidRDefault="002C39F4" w:rsidP="0032102C">
      <w:pPr>
        <w:pStyle w:val="a8"/>
        <w:numPr>
          <w:ilvl w:val="0"/>
          <w:numId w:val="293"/>
        </w:numPr>
        <w:rPr>
          <w:rFonts w:cs="Arial"/>
        </w:rPr>
      </w:pPr>
      <w:r w:rsidRPr="00EB1CF3">
        <w:rPr>
          <w:rFonts w:cs="Arial" w:hint="cs"/>
          <w:rtl/>
        </w:rPr>
        <w:t xml:space="preserve">רמב"ם </w:t>
      </w:r>
      <w:r w:rsidRPr="00EB1CF3">
        <w:rPr>
          <w:rFonts w:cs="Arial" w:hint="cs"/>
          <w:sz w:val="16"/>
          <w:szCs w:val="16"/>
          <w:rtl/>
        </w:rPr>
        <w:t>(פ"ג הט"ו-טז)</w:t>
      </w:r>
      <w:r w:rsidRPr="00EB1CF3">
        <w:rPr>
          <w:rFonts w:cs="Arial" w:hint="cs"/>
          <w:rtl/>
        </w:rPr>
        <w:t xml:space="preserve">- </w:t>
      </w:r>
      <w:r w:rsidRPr="00EB1CF3">
        <w:rPr>
          <w:rFonts w:cs="Arial"/>
          <w:rtl/>
        </w:rPr>
        <w:t>החמאה של עכו"ם מקצת הגאונים התירוה שהרי לא גזרו על החמאה</w:t>
      </w:r>
      <w:r w:rsidRPr="00EB1CF3">
        <w:rPr>
          <w:rFonts w:cs="Arial" w:hint="cs"/>
          <w:rtl/>
        </w:rPr>
        <w:t>,</w:t>
      </w:r>
      <w:r w:rsidRPr="00EB1CF3">
        <w:rPr>
          <w:rFonts w:cs="Arial"/>
          <w:rtl/>
        </w:rPr>
        <w:t xml:space="preserve"> וחלב הטמאה אינו עומד, ומקצת הגאונים אסרוה מפני צחצוחי חלב שישאר בה</w:t>
      </w:r>
      <w:r>
        <w:rPr>
          <w:rStyle w:val="a7"/>
          <w:rFonts w:cs="Arial"/>
          <w:rtl/>
        </w:rPr>
        <w:footnoteReference w:id="2850"/>
      </w:r>
      <w:r w:rsidRPr="00EB1CF3">
        <w:rPr>
          <w:rFonts w:cs="Arial"/>
          <w:rtl/>
        </w:rPr>
        <w:t>, שהרי הקום שבחמאה אינו מעורב עם החמאה כדי שיבטל במיעוטו וכל חלב שלהן חוששין לו שמא עירבו בו חלב בהמה טמאה</w:t>
      </w:r>
      <w:r>
        <w:rPr>
          <w:rFonts w:cs="Arial" w:hint="cs"/>
          <w:sz w:val="16"/>
          <w:szCs w:val="16"/>
          <w:rtl/>
        </w:rPr>
        <w:t xml:space="preserve"> </w:t>
      </w:r>
      <w:r w:rsidRPr="00F562E4">
        <w:rPr>
          <w:rFonts w:cs="Arial" w:hint="cs"/>
          <w:sz w:val="14"/>
          <w:szCs w:val="14"/>
          <w:rtl/>
        </w:rPr>
        <w:t xml:space="preserve">(ל' </w:t>
      </w:r>
      <w:r>
        <w:rPr>
          <w:rFonts w:cs="Arial" w:hint="cs"/>
          <w:sz w:val="14"/>
          <w:szCs w:val="14"/>
          <w:rtl/>
        </w:rPr>
        <w:t>ה</w:t>
      </w:r>
      <w:r w:rsidRPr="00F562E4">
        <w:rPr>
          <w:rFonts w:cs="Arial" w:hint="cs"/>
          <w:sz w:val="14"/>
          <w:szCs w:val="14"/>
          <w:rtl/>
        </w:rPr>
        <w:t>רמב"ם)</w:t>
      </w:r>
      <w:r w:rsidRPr="00EB1CF3">
        <w:rPr>
          <w:rFonts w:cs="Arial"/>
          <w:rtl/>
        </w:rPr>
        <w:t>.</w:t>
      </w:r>
      <w:r w:rsidRPr="00EB1CF3">
        <w:rPr>
          <w:rFonts w:cs="Arial" w:hint="cs"/>
          <w:rtl/>
        </w:rPr>
        <w:t xml:space="preserve"> </w:t>
      </w:r>
    </w:p>
    <w:p w14:paraId="2BAF0C2B" w14:textId="77777777" w:rsidR="002C39F4" w:rsidRPr="00F562E4" w:rsidRDefault="002C39F4" w:rsidP="0032102C">
      <w:pPr>
        <w:pStyle w:val="a8"/>
        <w:numPr>
          <w:ilvl w:val="0"/>
          <w:numId w:val="293"/>
        </w:numPr>
      </w:pPr>
      <w:r w:rsidRPr="00932B52">
        <w:rPr>
          <w:rFonts w:cs="Arial"/>
          <w:rtl/>
        </w:rPr>
        <w:t xml:space="preserve">סמ"ג </w:t>
      </w:r>
      <w:r w:rsidRPr="00F562E4">
        <w:rPr>
          <w:rFonts w:cs="Arial"/>
          <w:sz w:val="16"/>
          <w:szCs w:val="16"/>
          <w:rtl/>
        </w:rPr>
        <w:t>(לאוין קלב דמ"ה:)</w:t>
      </w:r>
      <w:r>
        <w:rPr>
          <w:rFonts w:cs="Arial" w:hint="cs"/>
          <w:rtl/>
        </w:rPr>
        <w:t>-</w:t>
      </w:r>
      <w:r w:rsidRPr="00932B52">
        <w:rPr>
          <w:rFonts w:cs="Arial"/>
          <w:rtl/>
        </w:rPr>
        <w:t xml:space="preserve"> </w:t>
      </w:r>
      <w:r w:rsidRPr="00F562E4">
        <w:rPr>
          <w:rFonts w:cs="Arial"/>
          <w:rtl/>
        </w:rPr>
        <w:t xml:space="preserve">אמרו בספר העתים בשם הירושלמי דפ"ק דשבת </w:t>
      </w:r>
      <w:r w:rsidRPr="00F562E4">
        <w:rPr>
          <w:rFonts w:cs="Arial"/>
          <w:sz w:val="16"/>
          <w:szCs w:val="16"/>
          <w:rtl/>
        </w:rPr>
        <w:t xml:space="preserve">(ה"ד) </w:t>
      </w:r>
      <w:r w:rsidRPr="00F562E4">
        <w:rPr>
          <w:rFonts w:cs="Arial"/>
          <w:rtl/>
        </w:rPr>
        <w:t>שחמאותיהן מי"ח דבר דקתני התם תני ר' שמעון בן יוחי בו ביום גזרו על פיתן ועל שמנן ועל כבושיהם ומלוחיהן וגבינותיהם וחמאותיהן, אמנם בירושלמי שלפנינו אין כתוב שם חמאותיהן</w:t>
      </w:r>
      <w:r>
        <w:rPr>
          <w:rFonts w:cs="Arial" w:hint="cs"/>
          <w:rtl/>
        </w:rPr>
        <w:t>.</w:t>
      </w:r>
    </w:p>
    <w:p w14:paraId="75729E8A" w14:textId="77777777" w:rsidR="002C39F4" w:rsidRPr="004B0300" w:rsidRDefault="002C39F4" w:rsidP="002C39F4">
      <w:pPr>
        <w:ind w:left="360"/>
        <w:rPr>
          <w:rFonts w:cs="Arial"/>
          <w:sz w:val="16"/>
          <w:szCs w:val="16"/>
        </w:rPr>
      </w:pPr>
      <w:r w:rsidRPr="00EB1CF3">
        <w:rPr>
          <w:rFonts w:cs="Arial" w:hint="cs"/>
          <w:u w:val="dotted"/>
          <w:rtl/>
        </w:rPr>
        <w:t xml:space="preserve">ומה הדין אם בישל </w:t>
      </w:r>
      <w:r>
        <w:rPr>
          <w:rFonts w:cs="Arial" w:hint="cs"/>
          <w:u w:val="dotted"/>
          <w:rtl/>
        </w:rPr>
        <w:t xml:space="preserve">ישראל </w:t>
      </w:r>
      <w:r w:rsidRPr="00EB1CF3">
        <w:rPr>
          <w:rFonts w:cs="Arial" w:hint="cs"/>
          <w:u w:val="dotted"/>
          <w:rtl/>
        </w:rPr>
        <w:t>את החמאה עד שהלכו להם צחצוחי חלב:</w:t>
      </w:r>
      <w:r>
        <w:rPr>
          <w:rFonts w:cs="Arial" w:hint="cs"/>
          <w:sz w:val="16"/>
          <w:szCs w:val="16"/>
          <w:rtl/>
        </w:rPr>
        <w:t xml:space="preserve"> </w:t>
      </w:r>
    </w:p>
    <w:p w14:paraId="49391AEE" w14:textId="77777777" w:rsidR="002C39F4" w:rsidRPr="00EB1CF3" w:rsidRDefault="002C39F4" w:rsidP="0032102C">
      <w:pPr>
        <w:pStyle w:val="a8"/>
        <w:numPr>
          <w:ilvl w:val="0"/>
          <w:numId w:val="293"/>
        </w:numPr>
        <w:rPr>
          <w:rFonts w:cs="Arial"/>
          <w:rtl/>
        </w:rPr>
      </w:pPr>
      <w:r w:rsidRPr="00EB1CF3">
        <w:rPr>
          <w:rFonts w:cs="Arial" w:hint="cs"/>
          <w:rtl/>
        </w:rPr>
        <w:t xml:space="preserve">רמב"ם </w:t>
      </w:r>
      <w:r w:rsidRPr="00EB1CF3">
        <w:rPr>
          <w:rFonts w:cs="Arial" w:hint="cs"/>
          <w:sz w:val="16"/>
          <w:szCs w:val="16"/>
          <w:rtl/>
        </w:rPr>
        <w:t>(פ"ג הט"ו-טז)</w:t>
      </w:r>
      <w:r w:rsidRPr="00EB1CF3">
        <w:rPr>
          <w:rFonts w:cs="Arial" w:hint="cs"/>
          <w:rtl/>
        </w:rPr>
        <w:t>-</w:t>
      </w:r>
      <w:r>
        <w:rPr>
          <w:rFonts w:cs="Arial" w:hint="cs"/>
          <w:rtl/>
        </w:rPr>
        <w:t xml:space="preserve"> </w:t>
      </w:r>
      <w:r w:rsidRPr="00EB1CF3">
        <w:rPr>
          <w:rFonts w:cs="Arial"/>
          <w:rtl/>
        </w:rPr>
        <w:t>יראה לי שאם לקח חמאה מן העכו"ם ובשלה עד שהלכו להן צחצוחי חלב</w:t>
      </w:r>
      <w:r>
        <w:rPr>
          <w:rStyle w:val="a7"/>
          <w:rFonts w:cs="Arial"/>
          <w:rtl/>
        </w:rPr>
        <w:footnoteReference w:id="2851"/>
      </w:r>
      <w:r w:rsidRPr="00EB1CF3">
        <w:rPr>
          <w:rFonts w:cs="Arial"/>
          <w:rtl/>
        </w:rPr>
        <w:t xml:space="preserve"> הרי זו מותרת</w:t>
      </w:r>
      <w:r>
        <w:rPr>
          <w:rStyle w:val="a7"/>
          <w:rFonts w:cs="Arial"/>
          <w:rtl/>
        </w:rPr>
        <w:footnoteReference w:id="2852"/>
      </w:r>
      <w:r w:rsidRPr="00EB1CF3">
        <w:rPr>
          <w:rFonts w:cs="Arial"/>
          <w:rtl/>
        </w:rPr>
        <w:t>, שאם תאמר נתערבו עמן ונתבשלו כולן</w:t>
      </w:r>
      <w:r>
        <w:rPr>
          <w:rStyle w:val="a7"/>
          <w:rFonts w:cs="Arial"/>
          <w:rtl/>
        </w:rPr>
        <w:footnoteReference w:id="2853"/>
      </w:r>
      <w:r w:rsidRPr="00EB1CF3">
        <w:rPr>
          <w:rFonts w:cs="Arial"/>
          <w:rtl/>
        </w:rPr>
        <w:t xml:space="preserve"> בטלו במיעוטם</w:t>
      </w:r>
      <w:r>
        <w:rPr>
          <w:rStyle w:val="a7"/>
          <w:rFonts w:cs="Arial"/>
          <w:rtl/>
        </w:rPr>
        <w:footnoteReference w:id="2854"/>
      </w:r>
      <w:r>
        <w:rPr>
          <w:rFonts w:cs="Arial" w:hint="cs"/>
          <w:rtl/>
        </w:rPr>
        <w:t xml:space="preserve">. </w:t>
      </w:r>
    </w:p>
    <w:p w14:paraId="2ECAED9C" w14:textId="77777777" w:rsidR="002C39F4" w:rsidRPr="00A1478F" w:rsidRDefault="002C39F4" w:rsidP="0032102C">
      <w:pPr>
        <w:pStyle w:val="a8"/>
        <w:numPr>
          <w:ilvl w:val="0"/>
          <w:numId w:val="293"/>
        </w:numPr>
      </w:pPr>
      <w:r w:rsidRPr="00766A86">
        <w:rPr>
          <w:rFonts w:cs="Arial" w:hint="cs"/>
          <w:color w:val="000000" w:themeColor="text1"/>
          <w:rtl/>
        </w:rPr>
        <w:t xml:space="preserve">ראב"ד </w:t>
      </w:r>
      <w:r>
        <w:rPr>
          <w:rFonts w:cs="Arial" w:hint="cs"/>
          <w:color w:val="000000" w:themeColor="text1"/>
          <w:sz w:val="16"/>
          <w:szCs w:val="16"/>
          <w:rtl/>
        </w:rPr>
        <w:t>(הביאו הה"מ [שם])</w:t>
      </w:r>
      <w:r>
        <w:rPr>
          <w:rFonts w:cs="Arial" w:hint="cs"/>
          <w:color w:val="000000" w:themeColor="text1"/>
          <w:rtl/>
        </w:rPr>
        <w:t xml:space="preserve"> ו</w:t>
      </w:r>
      <w:r w:rsidRPr="00766A86">
        <w:rPr>
          <w:rFonts w:cs="Arial"/>
          <w:color w:val="000000" w:themeColor="text1"/>
          <w:rtl/>
        </w:rPr>
        <w:t>רשב</w:t>
      </w:r>
      <w:r w:rsidRPr="00EB1CF3">
        <w:rPr>
          <w:rFonts w:cs="Arial"/>
          <w:rtl/>
        </w:rPr>
        <w:t xml:space="preserve">"א </w:t>
      </w:r>
      <w:r w:rsidRPr="00766A86">
        <w:rPr>
          <w:rFonts w:cs="Arial" w:hint="cs"/>
          <w:sz w:val="16"/>
          <w:szCs w:val="16"/>
          <w:rtl/>
        </w:rPr>
        <w:t>(תוה"א</w:t>
      </w:r>
      <w:r w:rsidRPr="00766A86">
        <w:rPr>
          <w:rFonts w:cs="Arial"/>
          <w:sz w:val="16"/>
          <w:szCs w:val="16"/>
          <w:rtl/>
        </w:rPr>
        <w:t xml:space="preserve"> ב"ג ש"ו צ ע"ד)</w:t>
      </w:r>
      <w:r>
        <w:rPr>
          <w:rFonts w:cs="Arial" w:hint="cs"/>
          <w:rtl/>
        </w:rPr>
        <w:t>- אסור אף לאחר בישול,</w:t>
      </w:r>
      <w:r w:rsidRPr="000B1844">
        <w:rPr>
          <w:rFonts w:cs="Arial"/>
          <w:rtl/>
        </w:rPr>
        <w:t xml:space="preserve"> </w:t>
      </w:r>
      <w:r>
        <w:rPr>
          <w:rFonts w:cs="Arial" w:hint="cs"/>
          <w:rtl/>
        </w:rPr>
        <w:t>'</w:t>
      </w:r>
      <w:r w:rsidRPr="00EB1CF3">
        <w:rPr>
          <w:rFonts w:cs="Arial"/>
          <w:rtl/>
        </w:rPr>
        <w:t>דחלב שחלבו דקתני במתניתין מילתא פסיקתא קתני לא שנא בעי ליה לגבינה או לחמאה</w:t>
      </w:r>
      <w:r>
        <w:rPr>
          <w:rFonts w:cs="Arial" w:hint="cs"/>
          <w:sz w:val="16"/>
          <w:szCs w:val="16"/>
          <w:rtl/>
        </w:rPr>
        <w:t xml:space="preserve"> (ל' הרשב"א)</w:t>
      </w:r>
      <w:r>
        <w:rPr>
          <w:rFonts w:cs="Arial" w:hint="cs"/>
          <w:rtl/>
        </w:rPr>
        <w:t>'</w:t>
      </w:r>
      <w:r w:rsidRPr="00EB1CF3">
        <w:rPr>
          <w:rFonts w:cs="Arial"/>
          <w:rtl/>
        </w:rPr>
        <w:t xml:space="preserve">. </w:t>
      </w:r>
    </w:p>
    <w:p w14:paraId="3A0A48A6" w14:textId="77777777" w:rsidR="002C39F4" w:rsidRDefault="002C39F4" w:rsidP="0032102C">
      <w:pPr>
        <w:pStyle w:val="a8"/>
        <w:numPr>
          <w:ilvl w:val="1"/>
          <w:numId w:val="293"/>
        </w:numPr>
      </w:pPr>
      <w:r>
        <w:rPr>
          <w:rFonts w:cs="Arial" w:hint="cs"/>
          <w:rtl/>
        </w:rPr>
        <w:t xml:space="preserve">ב"י- </w:t>
      </w:r>
      <w:r w:rsidRPr="00932B52">
        <w:rPr>
          <w:rFonts w:cs="Arial"/>
          <w:rtl/>
        </w:rPr>
        <w:t>ולענין הלכה נראין דברי הרא"ש שלא למחות ביד אנשי המקום שנוהגים בה היתר</w:t>
      </w:r>
      <w:r>
        <w:rPr>
          <w:rStyle w:val="a7"/>
          <w:rFonts w:cs="Arial"/>
          <w:rtl/>
        </w:rPr>
        <w:footnoteReference w:id="2855"/>
      </w:r>
      <w:r>
        <w:rPr>
          <w:rFonts w:cs="Arial" w:hint="cs"/>
          <w:rtl/>
        </w:rPr>
        <w:t>,</w:t>
      </w:r>
      <w:r w:rsidRPr="00932B52">
        <w:rPr>
          <w:rFonts w:cs="Arial"/>
          <w:rtl/>
        </w:rPr>
        <w:t xml:space="preserve"> ובמקום שאין בו מנהג כדאי הוא הרמב"ם לסמוך עליו להתירה ע"י בישול עד שילכו ציחצוחי חלב שבה</w:t>
      </w:r>
      <w:r>
        <w:rPr>
          <w:rFonts w:cs="Arial" w:hint="cs"/>
          <w:rtl/>
        </w:rPr>
        <w:t>.</w:t>
      </w:r>
    </w:p>
    <w:p w14:paraId="3791CD04" w14:textId="77777777" w:rsidR="002C39F4" w:rsidRPr="00633886" w:rsidRDefault="002C39F4" w:rsidP="002C39F4">
      <w:pPr>
        <w:rPr>
          <w:u w:val="single"/>
        </w:rPr>
      </w:pPr>
      <w:r w:rsidRPr="00633886">
        <w:rPr>
          <w:rFonts w:hint="cs"/>
          <w:u w:val="single"/>
          <w:rtl/>
        </w:rPr>
        <w:t>ישראל שעבר והעמיד חלב בחלב חמוץ של גוים ולקח חלב זה והעמיד בו אחר ומהאחר אחר:</w:t>
      </w:r>
    </w:p>
    <w:p w14:paraId="6F72DB95" w14:textId="77777777" w:rsidR="002C39F4" w:rsidRDefault="002C39F4" w:rsidP="0032102C">
      <w:pPr>
        <w:pStyle w:val="a8"/>
        <w:numPr>
          <w:ilvl w:val="0"/>
          <w:numId w:val="293"/>
        </w:numPr>
        <w:rPr>
          <w:rtl/>
        </w:rPr>
      </w:pPr>
      <w:r>
        <w:rPr>
          <w:rFonts w:cs="Arial" w:hint="cs"/>
          <w:rtl/>
        </w:rPr>
        <w:t xml:space="preserve">רי"ו </w:t>
      </w:r>
      <w:r w:rsidRPr="00633886">
        <w:rPr>
          <w:rFonts w:cs="Arial" w:hint="cs"/>
          <w:sz w:val="16"/>
          <w:szCs w:val="16"/>
          <w:rtl/>
        </w:rPr>
        <w:t>(</w:t>
      </w:r>
      <w:r w:rsidRPr="00633886">
        <w:rPr>
          <w:rFonts w:cs="Arial"/>
          <w:sz w:val="16"/>
          <w:szCs w:val="16"/>
          <w:rtl/>
        </w:rPr>
        <w:t xml:space="preserve">נ"ה ח"ה מה ע"ד) </w:t>
      </w:r>
      <w:r>
        <w:rPr>
          <w:rFonts w:cs="Arial" w:hint="cs"/>
          <w:rtl/>
        </w:rPr>
        <w:t>בשם</w:t>
      </w:r>
      <w:r w:rsidRPr="00932B52">
        <w:rPr>
          <w:rFonts w:cs="Arial"/>
          <w:rtl/>
        </w:rPr>
        <w:t xml:space="preserve"> </w:t>
      </w:r>
      <w:r>
        <w:rPr>
          <w:rFonts w:cs="Arial" w:hint="cs"/>
          <w:rtl/>
        </w:rPr>
        <w:t>ב</w:t>
      </w:r>
      <w:r w:rsidRPr="00932B52">
        <w:rPr>
          <w:rFonts w:cs="Arial"/>
          <w:rtl/>
        </w:rPr>
        <w:t>העי</w:t>
      </w:r>
      <w:r>
        <w:rPr>
          <w:rFonts w:cs="Arial" w:hint="cs"/>
          <w:rtl/>
        </w:rPr>
        <w:t>"</w:t>
      </w:r>
      <w:r w:rsidRPr="00932B52">
        <w:rPr>
          <w:rFonts w:cs="Arial"/>
          <w:rtl/>
        </w:rPr>
        <w:t xml:space="preserve">ט </w:t>
      </w:r>
      <w:r w:rsidRPr="00633886">
        <w:rPr>
          <w:rFonts w:cs="Arial"/>
          <w:sz w:val="16"/>
          <w:szCs w:val="16"/>
          <w:rtl/>
        </w:rPr>
        <w:t>(ח"ב הל</w:t>
      </w:r>
      <w:r w:rsidRPr="00633886">
        <w:rPr>
          <w:rFonts w:cs="Arial" w:hint="cs"/>
          <w:sz w:val="16"/>
          <w:szCs w:val="16"/>
          <w:rtl/>
        </w:rPr>
        <w:t>'</w:t>
      </w:r>
      <w:r w:rsidRPr="00633886">
        <w:rPr>
          <w:rFonts w:cs="Arial"/>
          <w:sz w:val="16"/>
          <w:szCs w:val="16"/>
          <w:rtl/>
        </w:rPr>
        <w:t xml:space="preserve"> ביעור חמץ קכו ע"ג)</w:t>
      </w:r>
      <w:r>
        <w:rPr>
          <w:rFonts w:cs="Arial" w:hint="cs"/>
          <w:rtl/>
        </w:rPr>
        <w:t>-</w:t>
      </w:r>
      <w:r w:rsidRPr="00932B52">
        <w:rPr>
          <w:rFonts w:cs="Arial"/>
          <w:rtl/>
        </w:rPr>
        <w:t xml:space="preserve"> הא דתניא </w:t>
      </w:r>
      <w:r w:rsidRPr="00633886">
        <w:rPr>
          <w:rFonts w:cs="Arial"/>
          <w:sz w:val="16"/>
          <w:szCs w:val="16"/>
          <w:rtl/>
        </w:rPr>
        <w:t xml:space="preserve">(חולין ד.) </w:t>
      </w:r>
      <w:r>
        <w:rPr>
          <w:rFonts w:cs="Arial" w:hint="cs"/>
          <w:rtl/>
        </w:rPr>
        <w:t>'</w:t>
      </w:r>
      <w:r w:rsidRPr="00932B52">
        <w:rPr>
          <w:rFonts w:cs="Arial"/>
          <w:rtl/>
        </w:rPr>
        <w:t>חמצן של עוברי עבירה מותר מיד מפני שמחליפין</w:t>
      </w:r>
      <w:r>
        <w:rPr>
          <w:rFonts w:cs="Arial" w:hint="cs"/>
          <w:rtl/>
        </w:rPr>
        <w:t>'</w:t>
      </w:r>
      <w:r w:rsidRPr="00932B52">
        <w:rPr>
          <w:rFonts w:cs="Arial"/>
          <w:rtl/>
        </w:rPr>
        <w:t xml:space="preserve"> פירוש מפני שמחליפין את השאור וע"י תערובת הוא ומותר</w:t>
      </w:r>
      <w:r>
        <w:rPr>
          <w:rFonts w:cs="Arial" w:hint="cs"/>
          <w:rtl/>
        </w:rPr>
        <w:t>,</w:t>
      </w:r>
      <w:r w:rsidRPr="00932B52">
        <w:rPr>
          <w:rFonts w:cs="Arial"/>
          <w:rtl/>
        </w:rPr>
        <w:t xml:space="preserve"> אבל חמצן של כותים אסור עד לאחר שלשה אפיות כדקתני התם </w:t>
      </w:r>
      <w:r w:rsidRPr="00633886">
        <w:rPr>
          <w:rFonts w:cs="Arial"/>
          <w:sz w:val="16"/>
          <w:szCs w:val="16"/>
          <w:rtl/>
        </w:rPr>
        <w:t xml:space="preserve">(תוספתא פסחים פ"ב ה"א) </w:t>
      </w:r>
      <w:r>
        <w:rPr>
          <w:rFonts w:cs="Arial" w:hint="cs"/>
          <w:rtl/>
        </w:rPr>
        <w:t>'</w:t>
      </w:r>
      <w:r w:rsidRPr="00932B52">
        <w:rPr>
          <w:rFonts w:cs="Arial"/>
          <w:rtl/>
        </w:rPr>
        <w:t>של נחתומין לאחר ג' שבתות מפני שמבטל הוא</w:t>
      </w:r>
      <w:r>
        <w:rPr>
          <w:rFonts w:cs="Arial" w:hint="cs"/>
          <w:rtl/>
        </w:rPr>
        <w:t>'</w:t>
      </w:r>
      <w:r>
        <w:rPr>
          <w:rStyle w:val="a7"/>
          <w:rFonts w:cs="Arial"/>
          <w:rtl/>
        </w:rPr>
        <w:footnoteReference w:id="2856"/>
      </w:r>
      <w:r>
        <w:rPr>
          <w:rFonts w:cs="Arial" w:hint="cs"/>
          <w:rtl/>
        </w:rPr>
        <w:t>.</w:t>
      </w:r>
    </w:p>
    <w:p w14:paraId="245EC7C2" w14:textId="77777777" w:rsidR="002C39F4" w:rsidRDefault="002C39F4" w:rsidP="002C39F4">
      <w:pPr>
        <w:rPr>
          <w:rFonts w:cs="Arial"/>
          <w:rtl/>
        </w:rPr>
      </w:pPr>
      <w:r w:rsidRPr="00EB1CF3">
        <w:rPr>
          <w:rFonts w:cs="Arial" w:hint="cs"/>
          <w:u w:val="single"/>
          <w:rtl/>
        </w:rPr>
        <w:t>חמאה שבושלה בידי גוים:</w:t>
      </w:r>
    </w:p>
    <w:p w14:paraId="63223537" w14:textId="77777777" w:rsidR="002C39F4" w:rsidRDefault="002C39F4" w:rsidP="0032102C">
      <w:pPr>
        <w:pStyle w:val="a8"/>
        <w:numPr>
          <w:ilvl w:val="0"/>
          <w:numId w:val="292"/>
        </w:numPr>
        <w:rPr>
          <w:rFonts w:cs="Arial"/>
        </w:rPr>
      </w:pPr>
      <w:r w:rsidRPr="00EB1CF3">
        <w:rPr>
          <w:rFonts w:cs="Arial" w:hint="cs"/>
          <w:rtl/>
        </w:rPr>
        <w:t xml:space="preserve">רמב"ם- </w:t>
      </w:r>
      <w:r w:rsidRPr="00EB1CF3">
        <w:rPr>
          <w:rFonts w:cs="Arial"/>
          <w:rtl/>
        </w:rPr>
        <w:t>חמאה שבשלו אותה עכו"ם אסורה משום גיעולי עכו"ם</w:t>
      </w:r>
      <w:r>
        <w:rPr>
          <w:rStyle w:val="a7"/>
          <w:rFonts w:cs="Arial"/>
          <w:rtl/>
        </w:rPr>
        <w:footnoteReference w:id="2857"/>
      </w:r>
      <w:r w:rsidRPr="00EB1CF3">
        <w:rPr>
          <w:rFonts w:cs="Arial" w:hint="cs"/>
          <w:rtl/>
        </w:rPr>
        <w:t>.</w:t>
      </w:r>
    </w:p>
    <w:p w14:paraId="326073B8" w14:textId="77777777" w:rsidR="002C39F4" w:rsidRPr="004B0300" w:rsidRDefault="002C39F4" w:rsidP="0032102C">
      <w:pPr>
        <w:pStyle w:val="a8"/>
        <w:numPr>
          <w:ilvl w:val="0"/>
          <w:numId w:val="292"/>
        </w:numPr>
        <w:rPr>
          <w:rFonts w:cs="Arial"/>
          <w:rtl/>
        </w:rPr>
      </w:pPr>
      <w:r>
        <w:rPr>
          <w:rFonts w:cs="Arial"/>
          <w:rtl/>
        </w:rPr>
        <w:t>שאר הפוסקים</w:t>
      </w:r>
      <w:r>
        <w:rPr>
          <w:rFonts w:cs="Arial" w:hint="cs"/>
          <w:sz w:val="16"/>
          <w:szCs w:val="16"/>
          <w:rtl/>
        </w:rPr>
        <w:t xml:space="preserve"> (כ"כ הב"י בשמם)</w:t>
      </w:r>
      <w:r>
        <w:rPr>
          <w:rFonts w:cs="Arial" w:hint="cs"/>
          <w:rtl/>
        </w:rPr>
        <w:t>-</w:t>
      </w:r>
      <w:r>
        <w:rPr>
          <w:rFonts w:cs="Arial"/>
          <w:rtl/>
        </w:rPr>
        <w:t xml:space="preserve"> סתם כלי גוים אינם בני יומן </w:t>
      </w:r>
      <w:r>
        <w:rPr>
          <w:rFonts w:cs="Arial" w:hint="cs"/>
          <w:rtl/>
        </w:rPr>
        <w:t xml:space="preserve">הילכך </w:t>
      </w:r>
      <w:r>
        <w:rPr>
          <w:rFonts w:cs="Arial"/>
          <w:rtl/>
        </w:rPr>
        <w:t>אינה נאסרת משום גיעולי גוים דאין כאן גיעול דכיון שאין הכלים בני יומן נותן טעם לפגם הוא</w:t>
      </w:r>
      <w:r>
        <w:rPr>
          <w:rFonts w:cs="Arial" w:hint="cs"/>
          <w:rtl/>
        </w:rPr>
        <w:t xml:space="preserve">. </w:t>
      </w:r>
      <w:r w:rsidRPr="00FB6297">
        <w:rPr>
          <w:rFonts w:cs="Arial" w:hint="cs"/>
          <w:color w:val="00B0F0"/>
          <w:rtl/>
        </w:rPr>
        <w:t>(וכ"פ הרמ"א)</w:t>
      </w:r>
    </w:p>
    <w:p w14:paraId="3944338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879D282" w14:textId="77777777" w:rsidR="002C39F4" w:rsidRPr="003024E5" w:rsidRDefault="002C39F4" w:rsidP="002C39F4">
      <w:pPr>
        <w:rPr>
          <w:rFonts w:asciiTheme="minorBidi" w:hAnsiTheme="minorBidi"/>
          <w:rtl/>
        </w:rPr>
      </w:pPr>
      <w:r w:rsidRPr="003024E5">
        <w:rPr>
          <w:rFonts w:asciiTheme="minorBidi" w:hAnsiTheme="minorBidi"/>
          <w:rtl/>
        </w:rPr>
        <w:t xml:space="preserve">החמאה של </w:t>
      </w:r>
      <w:r>
        <w:rPr>
          <w:rFonts w:asciiTheme="minorBidi" w:hAnsiTheme="minorBidi"/>
          <w:rtl/>
        </w:rPr>
        <w:t>גוים</w:t>
      </w:r>
      <w:r w:rsidRPr="003024E5">
        <w:rPr>
          <w:rFonts w:asciiTheme="minorBidi" w:hAnsiTheme="minorBidi"/>
          <w:rtl/>
        </w:rPr>
        <w:t xml:space="preserve"> אין מוחין לאנשי המקום שנוהגין בו היתר</w:t>
      </w:r>
      <w:r>
        <w:rPr>
          <w:rFonts w:asciiTheme="minorBidi" w:hAnsiTheme="minorBidi" w:hint="cs"/>
          <w:rtl/>
        </w:rPr>
        <w:t>,</w:t>
      </w:r>
      <w:r w:rsidRPr="003024E5">
        <w:rPr>
          <w:rFonts w:asciiTheme="minorBidi" w:hAnsiTheme="minorBidi"/>
          <w:rtl/>
        </w:rPr>
        <w:t xml:space="preserve"> ואם רוב בני המקום נוהגים איסור אין לשנות</w:t>
      </w:r>
      <w:r>
        <w:rPr>
          <w:rFonts w:asciiTheme="minorBidi" w:hAnsiTheme="minorBidi" w:hint="cs"/>
          <w:rtl/>
        </w:rPr>
        <w:t>.</w:t>
      </w:r>
      <w:r w:rsidRPr="003024E5">
        <w:rPr>
          <w:rFonts w:asciiTheme="minorBidi" w:hAnsiTheme="minorBidi"/>
          <w:rtl/>
        </w:rPr>
        <w:t xml:space="preserve"> ובמקום שאין מנהג</w:t>
      </w:r>
      <w:r>
        <w:rPr>
          <w:rFonts w:asciiTheme="minorBidi" w:hAnsiTheme="minorBidi" w:hint="cs"/>
          <w:rtl/>
        </w:rPr>
        <w:t>,</w:t>
      </w:r>
      <w:r w:rsidRPr="003024E5">
        <w:rPr>
          <w:rFonts w:asciiTheme="minorBidi" w:hAnsiTheme="minorBidi"/>
          <w:rtl/>
        </w:rPr>
        <w:t xml:space="preserve"> אם בשלה עד שהלכו צחצוחי החלב מותרת. </w:t>
      </w:r>
      <w:r w:rsidRPr="00714412">
        <w:rPr>
          <w:rFonts w:asciiTheme="minorBidi" w:hAnsiTheme="minorBidi"/>
          <w:sz w:val="18"/>
          <w:szCs w:val="18"/>
          <w:rtl/>
        </w:rPr>
        <w:t xml:space="preserve">הגה: גם מותר לבשלה לכתחלה כדי שילכו צחצוחי חלב </w:t>
      </w:r>
      <w:r w:rsidRPr="00FB6297">
        <w:rPr>
          <w:rFonts w:asciiTheme="minorBidi" w:hAnsiTheme="minorBidi"/>
          <w:sz w:val="16"/>
          <w:szCs w:val="16"/>
          <w:rtl/>
        </w:rPr>
        <w:t>(ב"י)</w:t>
      </w:r>
      <w:r w:rsidRPr="00714412">
        <w:rPr>
          <w:rFonts w:asciiTheme="minorBidi" w:hAnsiTheme="minorBidi"/>
          <w:sz w:val="18"/>
          <w:szCs w:val="18"/>
          <w:rtl/>
        </w:rPr>
        <w:t xml:space="preserve">. ואם בשלה גוי מותרת דסתם כליהם אינן בני יומן </w:t>
      </w:r>
      <w:r w:rsidRPr="00FB6297">
        <w:rPr>
          <w:rFonts w:asciiTheme="minorBidi" w:hAnsiTheme="minorBidi"/>
          <w:sz w:val="16"/>
          <w:szCs w:val="16"/>
          <w:rtl/>
        </w:rPr>
        <w:t xml:space="preserve">(ב"י </w:t>
      </w:r>
      <w:r>
        <w:rPr>
          <w:rFonts w:asciiTheme="minorBidi" w:hAnsiTheme="minorBidi" w:hint="cs"/>
          <w:sz w:val="16"/>
          <w:szCs w:val="16"/>
          <w:rtl/>
        </w:rPr>
        <w:t>בד' שא"פ</w:t>
      </w:r>
      <w:r w:rsidRPr="00FB6297">
        <w:rPr>
          <w:rFonts w:asciiTheme="minorBidi" w:hAnsiTheme="minorBidi"/>
          <w:sz w:val="16"/>
          <w:szCs w:val="16"/>
          <w:rtl/>
        </w:rPr>
        <w:t>)</w:t>
      </w:r>
      <w:r w:rsidRPr="00714412">
        <w:rPr>
          <w:rFonts w:asciiTheme="minorBidi" w:hAnsiTheme="minorBidi"/>
          <w:sz w:val="18"/>
          <w:szCs w:val="18"/>
          <w:rtl/>
        </w:rPr>
        <w:t>. ואם הולך ממקום שאין אוכלין אותה למקום שאוכלים אותה אוכל שם עמהם</w:t>
      </w:r>
      <w:r>
        <w:rPr>
          <w:rStyle w:val="a7"/>
          <w:rFonts w:asciiTheme="minorBidi" w:hAnsiTheme="minorBidi"/>
          <w:sz w:val="18"/>
          <w:szCs w:val="18"/>
          <w:rtl/>
        </w:rPr>
        <w:footnoteReference w:id="2858"/>
      </w:r>
      <w:r w:rsidRPr="00714412">
        <w:rPr>
          <w:rFonts w:asciiTheme="minorBidi" w:hAnsiTheme="minorBidi"/>
          <w:sz w:val="18"/>
          <w:szCs w:val="18"/>
          <w:rtl/>
        </w:rPr>
        <w:t xml:space="preserve">, אבל אסור להביאה עמו ולאכלה במקום שנוהגים בה איסור אם לא שיש בה היכר שהיא ממקומות המותרים. וההולך ממקום שנהגו בה היתר למקום שנהגו שם איסור אסור לאכלה שם </w:t>
      </w:r>
      <w:r w:rsidRPr="00FB6297">
        <w:rPr>
          <w:rFonts w:asciiTheme="minorBidi" w:hAnsiTheme="minorBidi"/>
          <w:sz w:val="16"/>
          <w:szCs w:val="16"/>
          <w:rtl/>
        </w:rPr>
        <w:t>(ארוך)</w:t>
      </w:r>
      <w:r w:rsidRPr="00714412">
        <w:rPr>
          <w:rFonts w:asciiTheme="minorBidi" w:hAnsiTheme="minorBidi"/>
          <w:sz w:val="18"/>
          <w:szCs w:val="18"/>
          <w:rtl/>
        </w:rPr>
        <w:t>. וי"א דה"ה אם הובאה ממקום היתר למקום איסור נמי אסורה אפילו יש בה היכר</w:t>
      </w:r>
      <w:r>
        <w:rPr>
          <w:rStyle w:val="a7"/>
          <w:rFonts w:asciiTheme="minorBidi" w:hAnsiTheme="minorBidi"/>
          <w:sz w:val="18"/>
          <w:szCs w:val="18"/>
          <w:rtl/>
        </w:rPr>
        <w:footnoteReference w:id="2859"/>
      </w:r>
      <w:r w:rsidRPr="00714412">
        <w:rPr>
          <w:rFonts w:asciiTheme="minorBidi" w:hAnsiTheme="minorBidi"/>
          <w:sz w:val="18"/>
          <w:szCs w:val="18"/>
          <w:rtl/>
        </w:rPr>
        <w:t xml:space="preserve"> </w:t>
      </w:r>
      <w:r w:rsidRPr="00FB6297">
        <w:rPr>
          <w:rFonts w:asciiTheme="minorBidi" w:hAnsiTheme="minorBidi"/>
          <w:sz w:val="16"/>
          <w:szCs w:val="16"/>
          <w:rtl/>
        </w:rPr>
        <w:t>(מהרי"ל סי</w:t>
      </w:r>
      <w:r w:rsidRPr="00FB6297">
        <w:rPr>
          <w:rFonts w:asciiTheme="minorBidi" w:hAnsiTheme="minorBidi" w:hint="cs"/>
          <w:sz w:val="16"/>
          <w:szCs w:val="16"/>
          <w:rtl/>
        </w:rPr>
        <w:t>'</w:t>
      </w:r>
      <w:r w:rsidRPr="00FB6297">
        <w:rPr>
          <w:rFonts w:asciiTheme="minorBidi" w:hAnsiTheme="minorBidi"/>
          <w:sz w:val="16"/>
          <w:szCs w:val="16"/>
          <w:rtl/>
        </w:rPr>
        <w:t xml:space="preserve"> לה)</w:t>
      </w:r>
      <w:r w:rsidRPr="00714412">
        <w:rPr>
          <w:rFonts w:asciiTheme="minorBidi" w:hAnsiTheme="minorBidi"/>
          <w:sz w:val="18"/>
          <w:szCs w:val="18"/>
          <w:rtl/>
        </w:rPr>
        <w:t>. והכי נהוג.</w:t>
      </w:r>
    </w:p>
    <w:p w14:paraId="448D807F" w14:textId="77777777" w:rsidR="002C39F4" w:rsidRPr="003024E5" w:rsidRDefault="002C39F4" w:rsidP="002C39F4">
      <w:pPr>
        <w:rPr>
          <w:rFonts w:asciiTheme="minorBidi" w:hAnsiTheme="minorBidi"/>
          <w:rtl/>
        </w:rPr>
      </w:pPr>
    </w:p>
    <w:p w14:paraId="0387559E" w14:textId="77777777" w:rsidR="002C39F4" w:rsidRDefault="002C39F4" w:rsidP="002C39F4"/>
    <w:p w14:paraId="79EC3AD4" w14:textId="77777777" w:rsidR="002C39F4" w:rsidRDefault="002C39F4">
      <w:pPr>
        <w:rPr>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7699CC33" w14:textId="77777777" w:rsidR="002C39F4" w:rsidRPr="00DA17D9" w:rsidRDefault="002C39F4" w:rsidP="002C39F4">
      <w:pPr>
        <w:rPr>
          <w:b/>
          <w:bCs/>
          <w:sz w:val="36"/>
          <w:szCs w:val="36"/>
          <w:u w:val="single"/>
          <w:rtl/>
        </w:rPr>
      </w:pPr>
      <w:r>
        <w:rPr>
          <w:rFonts w:hint="cs"/>
          <w:b/>
          <w:bCs/>
          <w:sz w:val="36"/>
          <w:szCs w:val="36"/>
          <w:u w:val="single"/>
          <w:rtl/>
        </w:rPr>
        <w:t>טבילת כלים:</w:t>
      </w:r>
    </w:p>
    <w:p w14:paraId="053BC408"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קכ: דיני טבילת הכלים, ובו ט"ז סעיפים. </w:t>
      </w:r>
    </w:p>
    <w:p w14:paraId="60DC11FD"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אלו כלים טעונים טבילה ובמה טובלים.</w:t>
      </w:r>
    </w:p>
    <w:p w14:paraId="75AB01C1" w14:textId="77777777" w:rsidR="002C39F4" w:rsidRPr="007F333A" w:rsidRDefault="002C39F4" w:rsidP="002C39F4">
      <w:pPr>
        <w:rPr>
          <w:rtl/>
        </w:rPr>
      </w:pPr>
      <w:r>
        <w:rPr>
          <w:rFonts w:cs="Arial" w:hint="cs"/>
          <w:b/>
          <w:bCs/>
          <w:rtl/>
        </w:rPr>
        <w:t xml:space="preserve">במדבר לא: [כא] </w:t>
      </w:r>
      <w:r w:rsidRPr="0085611D">
        <w:rPr>
          <w:rFonts w:cs="Arial"/>
          <w:rtl/>
        </w:rPr>
        <w:t>וַיֹּ֨אמֶר אֶלְעָזָ֤ר הַכֹּהֵן֙ אֶל־אַנְשֵׁ֣י הַצָּבָ֔א הַבָּאִ֖ים לַמִּלְחָמָ֑ה זֹ֚את חֻקַּ֣ת הַתּוֹרָ֔ה אֲשֶׁר־צִוָּ֥ה יְקֹוָ֖ק אֶת־מֹשֶֽׁה:</w:t>
      </w:r>
      <w:r w:rsidRPr="0085611D">
        <w:rPr>
          <w:rFonts w:cs="Arial" w:hint="cs"/>
          <w:b/>
          <w:bCs/>
          <w:rtl/>
        </w:rPr>
        <w:t xml:space="preserve"> </w:t>
      </w:r>
      <w:r>
        <w:rPr>
          <w:rFonts w:cs="Arial" w:hint="cs"/>
          <w:b/>
          <w:bCs/>
          <w:rtl/>
        </w:rPr>
        <w:t>[כב]</w:t>
      </w:r>
      <w:r w:rsidRPr="0085611D">
        <w:rPr>
          <w:rFonts w:cs="Arial"/>
          <w:rtl/>
        </w:rPr>
        <w:t xml:space="preserve"> אַ֥ךְ אֶת־הַזָּהָ֖ב וְאֶת־הַכָּ֑סֶף אֶֽת־הַנְּחֹ֙שֶׁת֙ אֶת־הַבַּרְזֶ֔ל אֶֽת־הַבְּדִ֖יל וְאֶת־הָעֹפָֽרֶת: </w:t>
      </w:r>
      <w:r>
        <w:rPr>
          <w:rFonts w:cs="Arial" w:hint="cs"/>
          <w:b/>
          <w:bCs/>
          <w:rtl/>
        </w:rPr>
        <w:t xml:space="preserve">[כג] </w:t>
      </w:r>
      <w:r w:rsidRPr="0085611D">
        <w:rPr>
          <w:rFonts w:cs="Arial"/>
          <w:rtl/>
        </w:rPr>
        <w:t>כָּל־דָּבָ֞ר אֲשֶׁר־יָבֹ֣א בָאֵ֗שׁ תַּעֲבִ֤ירוּ בָאֵשׁ֙ וְטָהֵ֔ר אַ֕ךְ בְּמֵ֥י נִדָּ֖ה יִתְחַטָּ֑א</w:t>
      </w:r>
      <w:r w:rsidRPr="004319DE">
        <w:rPr>
          <w:rFonts w:cs="Arial"/>
          <w:rtl/>
        </w:rPr>
        <w:t xml:space="preserve"> וְכֹ֨ל אֲשֶׁ֧ר לֹֽא־יָבֹ֛א בָּאֵ֖שׁ תַּעֲבִ֥ירוּ בַמָּֽיִם:</w:t>
      </w:r>
      <w:r>
        <w:rPr>
          <w:rFonts w:hint="cs"/>
          <w:rtl/>
        </w:rPr>
        <w:t xml:space="preserve"> </w:t>
      </w:r>
    </w:p>
    <w:p w14:paraId="3C6F4A11" w14:textId="77777777" w:rsidR="002C39F4" w:rsidRDefault="002C39F4" w:rsidP="002C39F4">
      <w:pPr>
        <w:rPr>
          <w:rFonts w:cs="Arial"/>
          <w:rtl/>
        </w:rPr>
      </w:pPr>
      <w:r>
        <w:rPr>
          <w:rFonts w:cs="Arial" w:hint="cs"/>
          <w:b/>
          <w:bCs/>
          <w:rtl/>
        </w:rPr>
        <w:t xml:space="preserve">עבודה זרה עה ע"ב: </w:t>
      </w:r>
      <w:r w:rsidRPr="004319DE">
        <w:rPr>
          <w:rFonts w:cs="Arial"/>
          <w:u w:val="double"/>
          <w:rtl/>
        </w:rPr>
        <w:t>מתני'</w:t>
      </w:r>
      <w:r>
        <w:rPr>
          <w:rFonts w:cs="Arial" w:hint="cs"/>
          <w:rtl/>
        </w:rPr>
        <w:t>:</w:t>
      </w:r>
      <w:r w:rsidRPr="004319DE">
        <w:rPr>
          <w:rFonts w:cs="Arial"/>
          <w:rtl/>
        </w:rPr>
        <w:t xml:space="preserve"> הלוקח כלי תשמיש מן העובדי כוכבים, את שדרכו להטביל</w:t>
      </w:r>
      <w:r>
        <w:rPr>
          <w:rFonts w:cs="Arial" w:hint="cs"/>
          <w:rtl/>
        </w:rPr>
        <w:t xml:space="preserve"> </w:t>
      </w:r>
      <w:r w:rsidRPr="004319DE">
        <w:rPr>
          <w:rFonts w:cs="Arial"/>
          <w:rtl/>
        </w:rPr>
        <w:t>- יטביל, להגעיל</w:t>
      </w:r>
      <w:r>
        <w:rPr>
          <w:rFonts w:cs="Arial" w:hint="cs"/>
          <w:rtl/>
        </w:rPr>
        <w:t xml:space="preserve"> </w:t>
      </w:r>
      <w:r w:rsidRPr="004319DE">
        <w:rPr>
          <w:rFonts w:cs="Arial"/>
          <w:rtl/>
        </w:rPr>
        <w:t>- יגעיל, ללבן באור</w:t>
      </w:r>
      <w:r>
        <w:rPr>
          <w:rFonts w:cs="Arial" w:hint="cs"/>
          <w:rtl/>
        </w:rPr>
        <w:t xml:space="preserve"> </w:t>
      </w:r>
      <w:r w:rsidRPr="004319DE">
        <w:rPr>
          <w:rFonts w:cs="Arial"/>
          <w:rtl/>
        </w:rPr>
        <w:t>- ילבן באור. השפוד והאסכלא</w:t>
      </w:r>
      <w:r>
        <w:rPr>
          <w:rFonts w:cs="Arial" w:hint="cs"/>
          <w:rtl/>
        </w:rPr>
        <w:t xml:space="preserve"> </w:t>
      </w:r>
      <w:r w:rsidRPr="004319DE">
        <w:rPr>
          <w:rFonts w:cs="Arial"/>
          <w:rtl/>
        </w:rPr>
        <w:t>- מלבנן באור. הסכי</w:t>
      </w:r>
      <w:r>
        <w:rPr>
          <w:rFonts w:cs="Arial" w:hint="cs"/>
          <w:rtl/>
        </w:rPr>
        <w:t xml:space="preserve">ן </w:t>
      </w:r>
      <w:r w:rsidRPr="004319DE">
        <w:rPr>
          <w:rFonts w:cs="Arial"/>
          <w:rtl/>
        </w:rPr>
        <w:t xml:space="preserve">- שפה והיא טהורה. </w:t>
      </w:r>
      <w:r>
        <w:rPr>
          <w:rFonts w:cs="Arial" w:hint="cs"/>
          <w:rtl/>
        </w:rPr>
        <w:t xml:space="preserve">   </w:t>
      </w:r>
      <w:r w:rsidRPr="0085611D">
        <w:rPr>
          <w:rFonts w:cs="Arial"/>
          <w:u w:val="double"/>
          <w:rtl/>
        </w:rPr>
        <w:t>גמ'</w:t>
      </w:r>
      <w:r>
        <w:rPr>
          <w:rFonts w:cs="Arial" w:hint="cs"/>
          <w:rtl/>
        </w:rPr>
        <w:t>:</w:t>
      </w:r>
      <w:r w:rsidRPr="0085611D">
        <w:rPr>
          <w:rFonts w:cs="Arial"/>
          <w:rtl/>
        </w:rPr>
        <w:t xml:space="preserve"> תנא: וכולן צריכין טבילה בארבעים סאה. מנהני מילי? </w:t>
      </w:r>
      <w:r w:rsidRPr="0085611D">
        <w:rPr>
          <w:rFonts w:cs="Arial"/>
          <w:u w:val="single"/>
          <w:rtl/>
        </w:rPr>
        <w:t>אמר רבא</w:t>
      </w:r>
      <w:r w:rsidRPr="0085611D">
        <w:rPr>
          <w:rFonts w:cs="Arial"/>
          <w:rtl/>
        </w:rPr>
        <w:t xml:space="preserve">, דאמר קרא: כל דבר אשר יבא באש תעבירו באש וטהר, הוסיף לך הכתוב טהרה אחרת. </w:t>
      </w:r>
      <w:r w:rsidRPr="0085611D">
        <w:rPr>
          <w:rFonts w:cs="Arial"/>
          <w:u w:val="single"/>
          <w:rtl/>
        </w:rPr>
        <w:t>תני בר קפרא</w:t>
      </w:r>
      <w:r w:rsidRPr="0085611D">
        <w:rPr>
          <w:rFonts w:cs="Arial"/>
          <w:rtl/>
        </w:rPr>
        <w:t>: מתוך שנאמר במי נדה - שומע אני שצריך הזאה שלישי ושביעי, ת"ל: אך, חלק; א"כ, מה ת"ל במי נדה? מים שנדה טובלת בהן, הוי אומר: ארבעים סאה</w:t>
      </w:r>
      <w:r>
        <w:rPr>
          <w:rStyle w:val="a7"/>
          <w:rFonts w:cs="Arial"/>
          <w:rtl/>
        </w:rPr>
        <w:footnoteReference w:id="2860"/>
      </w:r>
      <w:r w:rsidRPr="0085611D">
        <w:rPr>
          <w:rFonts w:cs="Arial"/>
          <w:rtl/>
        </w:rPr>
        <w:t xml:space="preserve">. איצטריך למיכתב וטהר, ואיצטריך למיכתב במי נדה; אי כתב וטהר, ה"א וטהר כל דהו, כתב רחמנא במי נדה; ואי כתב רחמנא במי נדה, הוה אמינא הערב שמש כנדה, כתב רחמנא וטהר, לאלתר. </w:t>
      </w:r>
      <w:r w:rsidRPr="0085611D">
        <w:rPr>
          <w:rFonts w:cs="Arial"/>
          <w:u w:val="single"/>
          <w:rtl/>
        </w:rPr>
        <w:t>אמר רב נחמן אמר רבה בר אבוה</w:t>
      </w:r>
      <w:r w:rsidRPr="0085611D">
        <w:rPr>
          <w:rFonts w:cs="Arial"/>
          <w:rtl/>
        </w:rPr>
        <w:t xml:space="preserve">: אפי' כלים חדשים במשמע, דהא ישנים וליבנן כחדשים דמו, ואפילו הכי בעי טבילה. </w:t>
      </w:r>
      <w:r w:rsidRPr="0085611D">
        <w:rPr>
          <w:rFonts w:cs="Arial"/>
          <w:u w:val="single"/>
          <w:rtl/>
        </w:rPr>
        <w:t>מתקיף לה רב ששת</w:t>
      </w:r>
      <w:r w:rsidRPr="0085611D">
        <w:rPr>
          <w:rFonts w:cs="Arial"/>
          <w:rtl/>
        </w:rPr>
        <w:t xml:space="preserve">: אי הכי, אפי' זוזא דסרבלא נמי! </w:t>
      </w:r>
      <w:r w:rsidRPr="0085611D">
        <w:rPr>
          <w:rFonts w:cs="Arial"/>
          <w:u w:val="single"/>
          <w:rtl/>
        </w:rPr>
        <w:t>א"ל</w:t>
      </w:r>
      <w:r w:rsidRPr="0085611D">
        <w:rPr>
          <w:rFonts w:cs="Arial"/>
          <w:rtl/>
        </w:rPr>
        <w:t>: כלי סעודה אמורין בפרשה</w:t>
      </w:r>
      <w:r>
        <w:rPr>
          <w:rStyle w:val="a7"/>
          <w:rFonts w:cs="Arial"/>
          <w:rtl/>
        </w:rPr>
        <w:footnoteReference w:id="2861"/>
      </w:r>
      <w:r w:rsidRPr="0085611D">
        <w:rPr>
          <w:rFonts w:cs="Arial"/>
          <w:rtl/>
        </w:rPr>
        <w:t>.</w:t>
      </w:r>
      <w:r>
        <w:rPr>
          <w:rFonts w:cs="Arial" w:hint="cs"/>
          <w:rtl/>
        </w:rPr>
        <w:t>..</w:t>
      </w:r>
      <w:r w:rsidRPr="00E606E3">
        <w:rPr>
          <w:rFonts w:cs="Arial"/>
          <w:rtl/>
        </w:rPr>
        <w:t xml:space="preserve"> רב יצחק בר יוסף זבן מנא דמרדא</w:t>
      </w:r>
      <w:r>
        <w:rPr>
          <w:rStyle w:val="a7"/>
          <w:rFonts w:cs="Arial"/>
          <w:rtl/>
        </w:rPr>
        <w:footnoteReference w:id="2862"/>
      </w:r>
      <w:r w:rsidRPr="00E606E3">
        <w:rPr>
          <w:rFonts w:cs="Arial"/>
          <w:rtl/>
        </w:rPr>
        <w:t xml:space="preserve"> מעובד כוכבים, סבר להטבילה, </w:t>
      </w:r>
      <w:r w:rsidRPr="00E606E3">
        <w:rPr>
          <w:rFonts w:cs="Arial"/>
          <w:u w:val="single"/>
          <w:rtl/>
        </w:rPr>
        <w:t>א"ל ההוא מרבנן ורבי יעקב שמיה</w:t>
      </w:r>
      <w:r w:rsidRPr="00E606E3">
        <w:rPr>
          <w:rFonts w:cs="Arial"/>
          <w:rtl/>
        </w:rPr>
        <w:t xml:space="preserve">, לדידי מפרשא ליה מיניה דרבי יוחנן: כלי מתכות אמורין בפרשה. </w:t>
      </w:r>
      <w:r w:rsidRPr="00E606E3">
        <w:rPr>
          <w:rFonts w:cs="Arial"/>
          <w:u w:val="single"/>
          <w:rtl/>
        </w:rPr>
        <w:t>אמר רב אשי</w:t>
      </w:r>
      <w:r w:rsidRPr="00E606E3">
        <w:rPr>
          <w:rFonts w:cs="Arial"/>
          <w:rtl/>
        </w:rPr>
        <w:t>: הני כלי זכוכית, הואיל וכי נשתברו יש להן תקנה, ככלי מתכות דמו. קוניא</w:t>
      </w:r>
      <w:r>
        <w:rPr>
          <w:rStyle w:val="a7"/>
          <w:rFonts w:cs="Arial"/>
          <w:rtl/>
        </w:rPr>
        <w:footnoteReference w:id="2863"/>
      </w:r>
      <w:r w:rsidRPr="00E606E3">
        <w:rPr>
          <w:rFonts w:cs="Arial"/>
          <w:rtl/>
        </w:rPr>
        <w:t xml:space="preserve"> - פליגי בה רב אחא ורבינא, חד אמר: כתחלתו, וחד אמר: כסופו. והלכתא: כסופו</w:t>
      </w:r>
      <w:r>
        <w:rPr>
          <w:rStyle w:val="a7"/>
          <w:rFonts w:cs="Arial"/>
          <w:rtl/>
        </w:rPr>
        <w:footnoteReference w:id="2864"/>
      </w:r>
      <w:r w:rsidRPr="00E606E3">
        <w:rPr>
          <w:rFonts w:cs="Arial"/>
          <w:rtl/>
        </w:rPr>
        <w:t>.</w:t>
      </w:r>
    </w:p>
    <w:p w14:paraId="147938E2" w14:textId="77777777" w:rsidR="002C39F4" w:rsidRPr="001B7644" w:rsidRDefault="002C39F4" w:rsidP="002C39F4">
      <w:pPr>
        <w:rPr>
          <w:rFonts w:cs="Arial"/>
          <w:rtl/>
        </w:rPr>
      </w:pPr>
      <w:r w:rsidRPr="001B7644">
        <w:rPr>
          <w:rFonts w:cs="Arial"/>
          <w:b/>
          <w:bCs/>
          <w:rtl/>
        </w:rPr>
        <w:t xml:space="preserve">ירושלמי </w:t>
      </w:r>
      <w:r w:rsidRPr="001B7644">
        <w:rPr>
          <w:rFonts w:cs="Arial"/>
          <w:b/>
          <w:bCs/>
          <w:sz w:val="16"/>
          <w:szCs w:val="16"/>
          <w:rtl/>
        </w:rPr>
        <w:t xml:space="preserve">(וילנא) </w:t>
      </w:r>
      <w:r w:rsidRPr="001B7644">
        <w:rPr>
          <w:rFonts w:cs="Arial"/>
          <w:b/>
          <w:bCs/>
          <w:rtl/>
        </w:rPr>
        <w:t>עבודה זרה פ</w:t>
      </w:r>
      <w:r w:rsidRPr="001B7644">
        <w:rPr>
          <w:rFonts w:cs="Arial" w:hint="cs"/>
          <w:b/>
          <w:bCs/>
          <w:rtl/>
        </w:rPr>
        <w:t>"</w:t>
      </w:r>
      <w:r w:rsidRPr="001B7644">
        <w:rPr>
          <w:rFonts w:cs="Arial"/>
          <w:b/>
          <w:bCs/>
          <w:rtl/>
        </w:rPr>
        <w:t xml:space="preserve">ה </w:t>
      </w:r>
      <w:r w:rsidRPr="001B7644">
        <w:rPr>
          <w:rFonts w:cs="Arial" w:hint="cs"/>
          <w:b/>
          <w:bCs/>
          <w:rtl/>
        </w:rPr>
        <w:t>ה</w:t>
      </w:r>
      <w:r w:rsidRPr="001B7644">
        <w:rPr>
          <w:rFonts w:cs="Arial"/>
          <w:b/>
          <w:bCs/>
          <w:rtl/>
        </w:rPr>
        <w:t>ט</w:t>
      </w:r>
      <w:r w:rsidRPr="001B7644">
        <w:rPr>
          <w:rFonts w:cs="Arial" w:hint="cs"/>
          <w:b/>
          <w:bCs/>
          <w:rtl/>
        </w:rPr>
        <w:t>"</w:t>
      </w:r>
      <w:r w:rsidRPr="001B7644">
        <w:rPr>
          <w:rFonts w:cs="Arial"/>
          <w:b/>
          <w:bCs/>
          <w:rtl/>
        </w:rPr>
        <w:t>ו</w:t>
      </w:r>
      <w:r w:rsidRPr="001B7644">
        <w:rPr>
          <w:rFonts w:cs="Arial" w:hint="cs"/>
          <w:b/>
          <w:bCs/>
          <w:rtl/>
        </w:rPr>
        <w:t>:</w:t>
      </w:r>
      <w:r>
        <w:rPr>
          <w:rFonts w:cs="Arial" w:hint="cs"/>
          <w:rtl/>
        </w:rPr>
        <w:t xml:space="preserve"> </w:t>
      </w:r>
      <w:r w:rsidRPr="001B7644">
        <w:rPr>
          <w:rFonts w:cs="Arial"/>
          <w:u w:val="single"/>
          <w:rtl/>
        </w:rPr>
        <w:t>תני רבי הושעיה</w:t>
      </w:r>
      <w:r>
        <w:rPr>
          <w:rFonts w:cs="Arial" w:hint="cs"/>
          <w:rtl/>
        </w:rPr>
        <w:t>:</w:t>
      </w:r>
      <w:r w:rsidRPr="0085611D">
        <w:rPr>
          <w:rFonts w:cs="Arial"/>
          <w:rtl/>
        </w:rPr>
        <w:t xml:space="preserve"> צריך להטביל כהדא</w:t>
      </w:r>
      <w:r>
        <w:rPr>
          <w:rFonts w:cs="Arial" w:hint="cs"/>
          <w:rtl/>
        </w:rPr>
        <w:t>,</w:t>
      </w:r>
      <w:r w:rsidRPr="0085611D">
        <w:rPr>
          <w:rFonts w:cs="Arial"/>
          <w:rtl/>
        </w:rPr>
        <w:t xml:space="preserve"> רבמי סלק עם רבי יודן נשייא לחמתא דגדר ושאלון כסף מן אילין דאוסינוס</w:t>
      </w:r>
      <w:r>
        <w:rPr>
          <w:rFonts w:cs="Arial" w:hint="cs"/>
          <w:rtl/>
        </w:rPr>
        <w:t>,</w:t>
      </w:r>
      <w:r w:rsidRPr="0085611D">
        <w:rPr>
          <w:rFonts w:cs="Arial"/>
          <w:rtl/>
        </w:rPr>
        <w:t xml:space="preserve"> שאלון לרבי ירמיה</w:t>
      </w:r>
      <w:r>
        <w:rPr>
          <w:rFonts w:cs="Arial" w:hint="cs"/>
          <w:rtl/>
        </w:rPr>
        <w:t>,</w:t>
      </w:r>
      <w:r w:rsidRPr="0085611D">
        <w:rPr>
          <w:rFonts w:cs="Arial"/>
          <w:rtl/>
        </w:rPr>
        <w:t xml:space="preserve"> אמר</w:t>
      </w:r>
      <w:r>
        <w:rPr>
          <w:rFonts w:cs="Arial" w:hint="cs"/>
          <w:rtl/>
        </w:rPr>
        <w:t>:</w:t>
      </w:r>
      <w:r w:rsidRPr="0085611D">
        <w:rPr>
          <w:rFonts w:cs="Arial"/>
          <w:rtl/>
        </w:rPr>
        <w:t xml:space="preserve"> צריך להטביל לפי שיצאו מטומאת הנכרי ונכנסו לקדושת ישראל</w:t>
      </w:r>
      <w:r>
        <w:rPr>
          <w:rFonts w:cs="Arial" w:hint="cs"/>
          <w:rtl/>
        </w:rPr>
        <w:t>.</w:t>
      </w:r>
      <w:r w:rsidRPr="0085611D">
        <w:rPr>
          <w:rFonts w:cs="Arial"/>
          <w:rtl/>
        </w:rPr>
        <w:t xml:space="preserve"> </w:t>
      </w:r>
      <w:r w:rsidRPr="001B7644">
        <w:rPr>
          <w:rFonts w:cs="Arial" w:hint="cs"/>
          <w:sz w:val="16"/>
          <w:szCs w:val="16"/>
          <w:rtl/>
        </w:rPr>
        <w:t xml:space="preserve">(וכ' הב"י דמכאן נתבאר שטעם הטבילה הוא </w:t>
      </w:r>
      <w:r w:rsidRPr="001B7644">
        <w:rPr>
          <w:rFonts w:cs="Arial"/>
          <w:sz w:val="16"/>
          <w:szCs w:val="16"/>
          <w:rtl/>
        </w:rPr>
        <w:t>כדי שיצאו מטומאתו של גוי לקדושתו של ישראל</w:t>
      </w:r>
      <w:r>
        <w:rPr>
          <w:rFonts w:cs="Arial" w:hint="cs"/>
          <w:sz w:val="16"/>
          <w:szCs w:val="16"/>
          <w:rtl/>
        </w:rPr>
        <w:t>. וכ' הדרכ"מ (אות א*) דכ"כ האו</w:t>
      </w:r>
      <w:r>
        <w:rPr>
          <w:rFonts w:cs="Arial"/>
          <w:sz w:val="16"/>
          <w:szCs w:val="16"/>
          <w:rtl/>
        </w:rPr>
        <w:t>"</w:t>
      </w:r>
      <w:r>
        <w:rPr>
          <w:rFonts w:cs="Arial" w:hint="cs"/>
          <w:sz w:val="16"/>
          <w:szCs w:val="16"/>
          <w:rtl/>
        </w:rPr>
        <w:t>ה</w:t>
      </w:r>
      <w:r w:rsidRPr="001B7644">
        <w:rPr>
          <w:rFonts w:cs="Arial"/>
          <w:sz w:val="16"/>
          <w:szCs w:val="16"/>
          <w:rtl/>
        </w:rPr>
        <w:t xml:space="preserve"> </w:t>
      </w:r>
      <w:r>
        <w:rPr>
          <w:rFonts w:cs="Arial" w:hint="cs"/>
          <w:sz w:val="16"/>
          <w:szCs w:val="16"/>
          <w:rtl/>
        </w:rPr>
        <w:t>(</w:t>
      </w:r>
      <w:r w:rsidRPr="001B7644">
        <w:rPr>
          <w:rFonts w:cs="Arial"/>
          <w:sz w:val="16"/>
          <w:szCs w:val="16"/>
          <w:rtl/>
        </w:rPr>
        <w:t>כלל נח דע</w:t>
      </w:r>
      <w:r>
        <w:rPr>
          <w:rFonts w:cs="Arial" w:hint="cs"/>
          <w:sz w:val="16"/>
          <w:szCs w:val="16"/>
          <w:rtl/>
        </w:rPr>
        <w:t>"</w:t>
      </w:r>
      <w:r w:rsidRPr="001B7644">
        <w:rPr>
          <w:rFonts w:cs="Arial"/>
          <w:sz w:val="16"/>
          <w:szCs w:val="16"/>
          <w:rtl/>
        </w:rPr>
        <w:t>ו-עז) בשם א</w:t>
      </w:r>
      <w:r>
        <w:rPr>
          <w:rFonts w:cs="Arial" w:hint="cs"/>
          <w:sz w:val="16"/>
          <w:szCs w:val="16"/>
          <w:rtl/>
        </w:rPr>
        <w:t>ו"</w:t>
      </w:r>
      <w:r w:rsidRPr="001B7644">
        <w:rPr>
          <w:rFonts w:cs="Arial"/>
          <w:sz w:val="16"/>
          <w:szCs w:val="16"/>
          <w:rtl/>
        </w:rPr>
        <w:t>ז (פסקי ע"ז סי' רצב)</w:t>
      </w:r>
      <w:r>
        <w:rPr>
          <w:rFonts w:cs="Arial" w:hint="cs"/>
          <w:sz w:val="16"/>
          <w:szCs w:val="16"/>
          <w:rtl/>
        </w:rPr>
        <w:t>)</w:t>
      </w:r>
      <w:r>
        <w:rPr>
          <w:rFonts w:cs="Arial"/>
          <w:rtl/>
        </w:rPr>
        <w:t xml:space="preserve"> </w:t>
      </w:r>
    </w:p>
    <w:p w14:paraId="0987ED41" w14:textId="77777777" w:rsidR="002C39F4" w:rsidRDefault="002C39F4" w:rsidP="002C39F4">
      <w:pPr>
        <w:rPr>
          <w:rFonts w:cs="Arial"/>
          <w:rtl/>
        </w:rPr>
      </w:pPr>
      <w:r w:rsidRPr="00971090">
        <w:rPr>
          <w:rFonts w:cs="Arial" w:hint="cs"/>
          <w:u w:val="single"/>
          <w:rtl/>
        </w:rPr>
        <w:t>טבילת כלים</w:t>
      </w:r>
      <w:r>
        <w:rPr>
          <w:rFonts w:cs="Arial" w:hint="cs"/>
          <w:u w:val="single"/>
          <w:rtl/>
        </w:rPr>
        <w:t xml:space="preserve"> בפחות מארבעים סאה</w:t>
      </w:r>
      <w:r w:rsidRPr="00971090">
        <w:rPr>
          <w:rFonts w:cs="Arial" w:hint="cs"/>
          <w:u w:val="single"/>
          <w:rtl/>
        </w:rPr>
        <w:t>:</w:t>
      </w:r>
    </w:p>
    <w:p w14:paraId="3EA57E1A" w14:textId="77777777" w:rsidR="002C39F4" w:rsidRDefault="002C39F4" w:rsidP="0032102C">
      <w:pPr>
        <w:pStyle w:val="a8"/>
        <w:numPr>
          <w:ilvl w:val="0"/>
          <w:numId w:val="297"/>
        </w:numPr>
        <w:rPr>
          <w:rFonts w:cs="Arial"/>
        </w:rPr>
      </w:pPr>
      <w:r>
        <w:rPr>
          <w:rFonts w:cs="Arial" w:hint="cs"/>
          <w:rtl/>
        </w:rPr>
        <w:t>ר"ת תוס' ורשב"א</w:t>
      </w:r>
      <w:r>
        <w:rPr>
          <w:rStyle w:val="a7"/>
          <w:rFonts w:cs="Arial"/>
          <w:rtl/>
        </w:rPr>
        <w:footnoteReference w:id="2865"/>
      </w:r>
      <w:r>
        <w:rPr>
          <w:rFonts w:cs="Arial" w:hint="cs"/>
          <w:rtl/>
        </w:rPr>
        <w:t xml:space="preserve">- </w:t>
      </w:r>
      <w:r w:rsidRPr="00A36F35">
        <w:rPr>
          <w:rFonts w:cs="Arial"/>
          <w:rtl/>
        </w:rPr>
        <w:t>א</w:t>
      </w:r>
      <w:r>
        <w:rPr>
          <w:rFonts w:cs="Arial" w:hint="cs"/>
          <w:rtl/>
        </w:rPr>
        <w:t>ע"ג</w:t>
      </w:r>
      <w:r w:rsidRPr="00A36F35">
        <w:rPr>
          <w:rFonts w:cs="Arial"/>
          <w:rtl/>
        </w:rPr>
        <w:t xml:space="preserve"> דרביעית סגי להטביל מחטין וצינוריות מדאורייתא היינו טבילת טומאה אבל טבילת כלי מדין חידוש הוא ובעי מ' סאה</w:t>
      </w:r>
      <w:r>
        <w:rPr>
          <w:rFonts w:cs="Arial" w:hint="cs"/>
          <w:sz w:val="16"/>
          <w:szCs w:val="16"/>
          <w:rtl/>
        </w:rPr>
        <w:t xml:space="preserve"> (ל' התוס')</w:t>
      </w:r>
      <w:r w:rsidRPr="00A36F35">
        <w:rPr>
          <w:rFonts w:cs="Arial"/>
          <w:rtl/>
        </w:rPr>
        <w:t>.</w:t>
      </w:r>
    </w:p>
    <w:p w14:paraId="6DE37AB8" w14:textId="77777777" w:rsidR="002C39F4" w:rsidRDefault="002C39F4" w:rsidP="0032102C">
      <w:pPr>
        <w:pStyle w:val="a8"/>
        <w:numPr>
          <w:ilvl w:val="0"/>
          <w:numId w:val="297"/>
        </w:numPr>
        <w:rPr>
          <w:rFonts w:cs="Arial"/>
        </w:rPr>
      </w:pPr>
      <w:r w:rsidRPr="00971090">
        <w:rPr>
          <w:rFonts w:cs="Arial" w:hint="cs"/>
          <w:rtl/>
        </w:rPr>
        <w:t>סמ"ק</w:t>
      </w:r>
      <w:r w:rsidRPr="00971090">
        <w:rPr>
          <w:rFonts w:cs="Arial"/>
          <w:rtl/>
        </w:rPr>
        <w:t xml:space="preserve"> </w:t>
      </w:r>
      <w:r w:rsidRPr="00971090">
        <w:rPr>
          <w:rFonts w:cs="Arial"/>
          <w:sz w:val="16"/>
          <w:szCs w:val="16"/>
          <w:rtl/>
        </w:rPr>
        <w:t>(סי' קצט)</w:t>
      </w:r>
      <w:r w:rsidRPr="00971090">
        <w:rPr>
          <w:rFonts w:cs="Arial" w:hint="cs"/>
          <w:rtl/>
        </w:rPr>
        <w:t xml:space="preserve">- </w:t>
      </w:r>
      <w:r w:rsidRPr="00971090">
        <w:rPr>
          <w:rFonts w:cs="Arial"/>
          <w:rtl/>
        </w:rPr>
        <w:t>טבילה צריכה שתהא במ' סאה</w:t>
      </w:r>
      <w:r>
        <w:rPr>
          <w:rFonts w:cs="Arial" w:hint="cs"/>
          <w:rtl/>
        </w:rPr>
        <w:t>,</w:t>
      </w:r>
      <w:r w:rsidRPr="00971090">
        <w:rPr>
          <w:rFonts w:cs="Arial"/>
          <w:rtl/>
        </w:rPr>
        <w:t xml:space="preserve"> ואפילו במעין הנובע מן הקרקע כיון שאין מ' סאה לפנינו בעין</w:t>
      </w:r>
      <w:r>
        <w:rPr>
          <w:rFonts w:cs="Arial" w:hint="cs"/>
          <w:rtl/>
        </w:rPr>
        <w:t>,</w:t>
      </w:r>
      <w:r w:rsidRPr="00971090">
        <w:rPr>
          <w:rFonts w:cs="Arial"/>
          <w:rtl/>
        </w:rPr>
        <w:t xml:space="preserve"> א</w:t>
      </w:r>
      <w:r w:rsidRPr="00971090">
        <w:rPr>
          <w:rFonts w:cs="Arial" w:hint="cs"/>
          <w:rtl/>
        </w:rPr>
        <w:t>ע"</w:t>
      </w:r>
      <w:r w:rsidRPr="00971090">
        <w:rPr>
          <w:rFonts w:cs="Arial"/>
          <w:rtl/>
        </w:rPr>
        <w:t>ג דמטבילין בו כלים משום טומאה אע</w:t>
      </w:r>
      <w:r w:rsidRPr="00971090">
        <w:rPr>
          <w:rFonts w:cs="Arial" w:hint="cs"/>
          <w:rtl/>
        </w:rPr>
        <w:t>"</w:t>
      </w:r>
      <w:r w:rsidRPr="00971090">
        <w:rPr>
          <w:rFonts w:cs="Arial"/>
          <w:rtl/>
        </w:rPr>
        <w:t>ג דאין בו מ' סאה</w:t>
      </w:r>
      <w:r>
        <w:rPr>
          <w:rFonts w:cs="Arial" w:hint="cs"/>
          <w:rtl/>
        </w:rPr>
        <w:t>,</w:t>
      </w:r>
      <w:r w:rsidRPr="00971090">
        <w:rPr>
          <w:rFonts w:cs="Arial"/>
          <w:rtl/>
        </w:rPr>
        <w:t xml:space="preserve"> אלו הלקוחין מן הגוים אין מטבילין אא</w:t>
      </w:r>
      <w:r w:rsidRPr="00971090">
        <w:rPr>
          <w:rFonts w:cs="Arial" w:hint="cs"/>
          <w:rtl/>
        </w:rPr>
        <w:t>"</w:t>
      </w:r>
      <w:r w:rsidRPr="00971090">
        <w:rPr>
          <w:rFonts w:cs="Arial"/>
          <w:rtl/>
        </w:rPr>
        <w:t>כ יש בו מ' סאה</w:t>
      </w:r>
      <w:r>
        <w:rPr>
          <w:rStyle w:val="a7"/>
          <w:rFonts w:cs="Arial"/>
          <w:rtl/>
        </w:rPr>
        <w:footnoteReference w:id="2866"/>
      </w:r>
      <w:r>
        <w:rPr>
          <w:rFonts w:cs="Arial" w:hint="cs"/>
          <w:sz w:val="16"/>
          <w:szCs w:val="16"/>
          <w:rtl/>
        </w:rPr>
        <w:t xml:space="preserve"> (ל' סמ"ק)</w:t>
      </w:r>
      <w:r>
        <w:rPr>
          <w:rStyle w:val="a7"/>
          <w:rFonts w:cs="Arial"/>
          <w:rtl/>
        </w:rPr>
        <w:footnoteReference w:id="2867"/>
      </w:r>
      <w:r w:rsidRPr="00971090">
        <w:rPr>
          <w:rFonts w:cs="Arial" w:hint="cs"/>
          <w:rtl/>
        </w:rPr>
        <w:t>.</w:t>
      </w:r>
      <w:r>
        <w:rPr>
          <w:rFonts w:cs="Arial" w:hint="cs"/>
          <w:rtl/>
        </w:rPr>
        <w:t xml:space="preserve"> </w:t>
      </w:r>
      <w:r w:rsidRPr="001A34D2">
        <w:rPr>
          <w:rFonts w:cs="Arial" w:hint="cs"/>
          <w:color w:val="E36C0A" w:themeColor="accent6" w:themeShade="BF"/>
          <w:rtl/>
        </w:rPr>
        <w:t>(וכ"פ בשו"ע)</w:t>
      </w:r>
      <w:r>
        <w:rPr>
          <w:rFonts w:cs="Arial" w:hint="cs"/>
          <w:rtl/>
        </w:rPr>
        <w:t xml:space="preserve"> </w:t>
      </w:r>
    </w:p>
    <w:p w14:paraId="4AE7C56D" w14:textId="77777777" w:rsidR="002C39F4" w:rsidRPr="00D83BAD" w:rsidRDefault="002C39F4" w:rsidP="002C39F4">
      <w:pPr>
        <w:rPr>
          <w:rFonts w:cs="Arial"/>
          <w:u w:val="single"/>
          <w:rtl/>
        </w:rPr>
      </w:pPr>
      <w:r w:rsidRPr="00D83BAD">
        <w:rPr>
          <w:rFonts w:cs="Arial" w:hint="cs"/>
          <w:u w:val="single"/>
          <w:rtl/>
        </w:rPr>
        <w:t>כלים מצופים</w:t>
      </w:r>
      <w:r w:rsidRPr="00D83BAD">
        <w:rPr>
          <w:rFonts w:cs="Arial" w:hint="cs"/>
          <w:sz w:val="16"/>
          <w:szCs w:val="16"/>
          <w:u w:val="single"/>
          <w:rtl/>
        </w:rPr>
        <w:t xml:space="preserve"> (קוניא)</w:t>
      </w:r>
      <w:r w:rsidRPr="00D83BAD">
        <w:rPr>
          <w:rFonts w:cs="Arial" w:hint="cs"/>
          <w:u w:val="single"/>
          <w:rtl/>
        </w:rPr>
        <w:t>:</w:t>
      </w:r>
    </w:p>
    <w:p w14:paraId="388DC5AF" w14:textId="77777777" w:rsidR="002C39F4" w:rsidRDefault="002C39F4" w:rsidP="0032102C">
      <w:pPr>
        <w:pStyle w:val="a8"/>
        <w:numPr>
          <w:ilvl w:val="0"/>
          <w:numId w:val="298"/>
        </w:numPr>
      </w:pPr>
      <w:r>
        <w:rPr>
          <w:rFonts w:cs="Arial" w:hint="cs"/>
          <w:rtl/>
        </w:rPr>
        <w:t xml:space="preserve">תוס' </w:t>
      </w:r>
      <w:r w:rsidRPr="00604B07">
        <w:rPr>
          <w:rFonts w:cs="Arial" w:hint="cs"/>
          <w:sz w:val="16"/>
          <w:szCs w:val="16"/>
          <w:rtl/>
        </w:rPr>
        <w:t xml:space="preserve">(עה: ד"ה והלכתא) </w:t>
      </w:r>
      <w:r>
        <w:rPr>
          <w:rFonts w:cs="Arial" w:hint="cs"/>
          <w:rtl/>
        </w:rPr>
        <w:t xml:space="preserve">סמ"ק </w:t>
      </w:r>
      <w:r>
        <w:rPr>
          <w:rFonts w:cs="Arial" w:hint="cs"/>
          <w:sz w:val="16"/>
          <w:szCs w:val="16"/>
          <w:rtl/>
        </w:rPr>
        <w:t xml:space="preserve">(סי' קצט) </w:t>
      </w:r>
      <w:r>
        <w:rPr>
          <w:rFonts w:cs="Arial" w:hint="cs"/>
          <w:rtl/>
        </w:rPr>
        <w:t xml:space="preserve">ר"פ </w:t>
      </w:r>
      <w:r>
        <w:rPr>
          <w:rFonts w:cs="Arial" w:hint="cs"/>
          <w:sz w:val="16"/>
          <w:szCs w:val="16"/>
          <w:rtl/>
        </w:rPr>
        <w:t>(</w:t>
      </w:r>
      <w:r w:rsidRPr="00604B07">
        <w:rPr>
          <w:rFonts w:cs="Arial" w:hint="cs"/>
          <w:sz w:val="16"/>
          <w:szCs w:val="16"/>
          <w:rtl/>
        </w:rPr>
        <w:t>בהגה'</w:t>
      </w:r>
      <w:r w:rsidRPr="00604B07">
        <w:rPr>
          <w:rFonts w:cs="Arial"/>
          <w:sz w:val="16"/>
          <w:szCs w:val="16"/>
          <w:rtl/>
        </w:rPr>
        <w:t xml:space="preserve"> </w:t>
      </w:r>
      <w:r w:rsidRPr="00604B07">
        <w:rPr>
          <w:rFonts w:cs="Arial" w:hint="cs"/>
          <w:sz w:val="16"/>
          <w:szCs w:val="16"/>
          <w:rtl/>
        </w:rPr>
        <w:t xml:space="preserve">סמ"ק </w:t>
      </w:r>
      <w:r w:rsidRPr="00604B07">
        <w:rPr>
          <w:rFonts w:cs="Arial"/>
          <w:sz w:val="16"/>
          <w:szCs w:val="16"/>
          <w:rtl/>
        </w:rPr>
        <w:t>סי' קצט אות ב</w:t>
      </w:r>
      <w:r>
        <w:rPr>
          <w:rFonts w:cs="Arial" w:hint="cs"/>
          <w:sz w:val="16"/>
          <w:szCs w:val="16"/>
          <w:rtl/>
        </w:rPr>
        <w:t>)</w:t>
      </w:r>
      <w:r>
        <w:rPr>
          <w:rFonts w:cs="Arial" w:hint="cs"/>
          <w:rtl/>
        </w:rPr>
        <w:t xml:space="preserve"> </w:t>
      </w:r>
      <w:r w:rsidRPr="00D83BAD">
        <w:rPr>
          <w:rFonts w:cs="Arial"/>
          <w:rtl/>
        </w:rPr>
        <w:t xml:space="preserve">רא"ש </w:t>
      </w:r>
      <w:r w:rsidRPr="00604B07">
        <w:rPr>
          <w:rFonts w:cs="Arial"/>
          <w:sz w:val="16"/>
          <w:szCs w:val="16"/>
          <w:rtl/>
        </w:rPr>
        <w:t>(סי' לה)</w:t>
      </w:r>
      <w:r w:rsidRPr="00604B07">
        <w:rPr>
          <w:rFonts w:cs="Arial" w:hint="cs"/>
          <w:sz w:val="16"/>
          <w:szCs w:val="16"/>
          <w:rtl/>
        </w:rPr>
        <w:t xml:space="preserve"> </w:t>
      </w:r>
      <w:r>
        <w:rPr>
          <w:rFonts w:cs="Arial" w:hint="cs"/>
          <w:rtl/>
        </w:rPr>
        <w:t xml:space="preserve">וטור- הלכתא כסופו </w:t>
      </w:r>
      <w:r w:rsidRPr="00604B07">
        <w:rPr>
          <w:rFonts w:cs="Arial"/>
          <w:rtl/>
        </w:rPr>
        <w:t>היינו כלים שמחופין באבר מבפנים</w:t>
      </w:r>
      <w:r>
        <w:rPr>
          <w:rFonts w:cs="Arial" w:hint="cs"/>
          <w:rtl/>
        </w:rPr>
        <w:t>,</w:t>
      </w:r>
      <w:r w:rsidRPr="00604B07">
        <w:rPr>
          <w:rFonts w:cs="Arial"/>
          <w:rtl/>
        </w:rPr>
        <w:t xml:space="preserve"> אבל אם מחופין מבחוץ</w:t>
      </w:r>
      <w:r>
        <w:rPr>
          <w:rStyle w:val="a7"/>
          <w:rFonts w:cs="Arial"/>
          <w:rtl/>
        </w:rPr>
        <w:footnoteReference w:id="2868"/>
      </w:r>
      <w:r>
        <w:rPr>
          <w:rFonts w:cs="Arial" w:hint="cs"/>
          <w:rtl/>
        </w:rPr>
        <w:t>...</w:t>
      </w:r>
      <w:r w:rsidRPr="00604B07">
        <w:rPr>
          <w:rFonts w:cs="Arial"/>
          <w:rtl/>
        </w:rPr>
        <w:t xml:space="preserve"> אין צריכין טבילה</w:t>
      </w:r>
      <w:r>
        <w:rPr>
          <w:rFonts w:cs="Arial" w:hint="cs"/>
          <w:rtl/>
        </w:rPr>
        <w:t>,</w:t>
      </w:r>
      <w:r w:rsidRPr="00604B07">
        <w:rPr>
          <w:rFonts w:cs="Arial"/>
          <w:rtl/>
        </w:rPr>
        <w:t xml:space="preserve"> כיון דאין משתמשין בהן דרך המתכת</w:t>
      </w:r>
      <w:r>
        <w:rPr>
          <w:rFonts w:cs="Arial" w:hint="cs"/>
          <w:rtl/>
        </w:rPr>
        <w:t>,</w:t>
      </w:r>
      <w:r w:rsidRPr="00604B07">
        <w:rPr>
          <w:rFonts w:cs="Arial"/>
          <w:rtl/>
        </w:rPr>
        <w:t xml:space="preserve"> דכלי סעודה האמורים בפרשה היינו שמשתמשין בהן</w:t>
      </w:r>
      <w:r>
        <w:rPr>
          <w:rFonts w:cs="Arial" w:hint="cs"/>
          <w:sz w:val="16"/>
          <w:szCs w:val="16"/>
          <w:rtl/>
        </w:rPr>
        <w:t xml:space="preserve"> (ל' התוס')</w:t>
      </w:r>
      <w:r>
        <w:rPr>
          <w:rFonts w:cs="Arial" w:hint="cs"/>
          <w:rtl/>
        </w:rPr>
        <w:t>.</w:t>
      </w:r>
      <w:r w:rsidRPr="00052414">
        <w:rPr>
          <w:rFonts w:hint="cs"/>
          <w:color w:val="E36C0A" w:themeColor="accent6" w:themeShade="BF"/>
          <w:rtl/>
        </w:rPr>
        <w:t xml:space="preserve"> (וכ"פ בשו"ע)</w:t>
      </w:r>
    </w:p>
    <w:p w14:paraId="31E5914F" w14:textId="77777777" w:rsidR="002C39F4" w:rsidRPr="00604B07" w:rsidRDefault="002C39F4" w:rsidP="0032102C">
      <w:pPr>
        <w:pStyle w:val="a8"/>
        <w:numPr>
          <w:ilvl w:val="0"/>
          <w:numId w:val="298"/>
        </w:numPr>
      </w:pPr>
      <w:r>
        <w:rPr>
          <w:rFonts w:cs="Arial" w:hint="cs"/>
          <w:rtl/>
        </w:rPr>
        <w:t xml:space="preserve">ראבי"ה </w:t>
      </w:r>
      <w:r w:rsidRPr="00604B07">
        <w:rPr>
          <w:rFonts w:cs="Arial" w:hint="cs"/>
          <w:sz w:val="16"/>
          <w:szCs w:val="16"/>
          <w:rtl/>
        </w:rPr>
        <w:t>(כ"כ בשמו ה</w:t>
      </w:r>
      <w:r w:rsidRPr="00604B07">
        <w:rPr>
          <w:rFonts w:cs="Arial"/>
          <w:sz w:val="16"/>
          <w:szCs w:val="16"/>
          <w:rtl/>
        </w:rPr>
        <w:t xml:space="preserve">מרדכי </w:t>
      </w:r>
      <w:r w:rsidRPr="00604B07">
        <w:rPr>
          <w:rFonts w:cs="Arial" w:hint="cs"/>
          <w:sz w:val="16"/>
          <w:szCs w:val="16"/>
          <w:rtl/>
        </w:rPr>
        <w:t>[</w:t>
      </w:r>
      <w:r w:rsidRPr="00604B07">
        <w:rPr>
          <w:rFonts w:cs="Arial"/>
          <w:sz w:val="16"/>
          <w:szCs w:val="16"/>
          <w:rtl/>
        </w:rPr>
        <w:t>ע"ז סי' תתנט</w:t>
      </w:r>
      <w:r w:rsidRPr="00604B07">
        <w:rPr>
          <w:rFonts w:cs="Arial" w:hint="cs"/>
          <w:sz w:val="16"/>
          <w:szCs w:val="16"/>
          <w:rtl/>
        </w:rPr>
        <w:t>]</w:t>
      </w:r>
      <w:r w:rsidRPr="00604B07">
        <w:rPr>
          <w:rFonts w:cs="Arial"/>
          <w:sz w:val="16"/>
          <w:szCs w:val="16"/>
          <w:rtl/>
        </w:rPr>
        <w:t>)</w:t>
      </w:r>
      <w:r>
        <w:rPr>
          <w:rFonts w:cs="Arial" w:hint="cs"/>
          <w:rtl/>
        </w:rPr>
        <w:t xml:space="preserve">- </w:t>
      </w:r>
      <w:r w:rsidRPr="00D83BAD">
        <w:rPr>
          <w:rFonts w:cs="Arial"/>
          <w:rtl/>
        </w:rPr>
        <w:t>בין מצופה מבפנים בין מחופה מבחוץ ולא מבפנים טעון טבילה דלא חילקו חכמים בין מבפנים למבחוץ</w:t>
      </w:r>
      <w:r>
        <w:rPr>
          <w:rStyle w:val="a7"/>
          <w:rFonts w:cs="Arial"/>
          <w:rtl/>
        </w:rPr>
        <w:footnoteReference w:id="2869"/>
      </w:r>
      <w:r w:rsidRPr="00D83BAD">
        <w:rPr>
          <w:rFonts w:cs="Arial"/>
          <w:rtl/>
        </w:rPr>
        <w:t>.</w:t>
      </w:r>
    </w:p>
    <w:p w14:paraId="4F044928" w14:textId="77777777" w:rsidR="002C39F4" w:rsidRPr="00B40846" w:rsidRDefault="002C39F4" w:rsidP="0032102C">
      <w:pPr>
        <w:pStyle w:val="a8"/>
        <w:numPr>
          <w:ilvl w:val="0"/>
          <w:numId w:val="298"/>
        </w:numPr>
      </w:pPr>
      <w:r>
        <w:rPr>
          <w:rFonts w:cs="Arial" w:hint="cs"/>
          <w:rtl/>
        </w:rPr>
        <w:t xml:space="preserve">י"א </w:t>
      </w:r>
      <w:r w:rsidRPr="00604B07">
        <w:rPr>
          <w:rFonts w:cs="Arial" w:hint="cs"/>
          <w:sz w:val="16"/>
          <w:szCs w:val="16"/>
          <w:rtl/>
        </w:rPr>
        <w:t>(הביאם ה</w:t>
      </w:r>
      <w:r w:rsidRPr="00604B07">
        <w:rPr>
          <w:rFonts w:cs="Arial"/>
          <w:sz w:val="16"/>
          <w:szCs w:val="16"/>
          <w:rtl/>
        </w:rPr>
        <w:t xml:space="preserve">ר"ן </w:t>
      </w:r>
      <w:r w:rsidRPr="00604B07">
        <w:rPr>
          <w:rFonts w:cs="Arial" w:hint="cs"/>
          <w:sz w:val="16"/>
          <w:szCs w:val="16"/>
          <w:rtl/>
        </w:rPr>
        <w:t>[</w:t>
      </w:r>
      <w:r w:rsidRPr="00604B07">
        <w:rPr>
          <w:rFonts w:cs="Arial"/>
          <w:sz w:val="16"/>
          <w:szCs w:val="16"/>
          <w:rtl/>
        </w:rPr>
        <w:t>לט: ד"ה גמ'</w:t>
      </w:r>
      <w:r w:rsidRPr="00604B07">
        <w:rPr>
          <w:rFonts w:cs="Arial" w:hint="cs"/>
          <w:sz w:val="16"/>
          <w:szCs w:val="16"/>
          <w:rtl/>
        </w:rPr>
        <w:t>]</w:t>
      </w:r>
      <w:r w:rsidRPr="00604B07">
        <w:rPr>
          <w:rFonts w:cs="Arial"/>
          <w:sz w:val="16"/>
          <w:szCs w:val="16"/>
          <w:rtl/>
        </w:rPr>
        <w:t>)</w:t>
      </w:r>
      <w:r>
        <w:rPr>
          <w:rFonts w:cs="Arial" w:hint="cs"/>
          <w:rtl/>
        </w:rPr>
        <w:t>-</w:t>
      </w:r>
      <w:r w:rsidRPr="00E550E9">
        <w:rPr>
          <w:rFonts w:cs="Arial" w:hint="cs"/>
          <w:rtl/>
        </w:rPr>
        <w:t xml:space="preserve"> </w:t>
      </w:r>
      <w:r w:rsidRPr="00D83BAD">
        <w:rPr>
          <w:rFonts w:cs="Arial"/>
          <w:rtl/>
        </w:rPr>
        <w:t>הא דאמרינן גבי קוניא הלכתא כסופו דוקא כשהוא מצופה קוניא מבית ומבחוץ ולפיכך כל שאינו מחופה טובלו בלא ברכה</w:t>
      </w:r>
      <w:r>
        <w:rPr>
          <w:rFonts w:cs="Arial" w:hint="cs"/>
          <w:sz w:val="16"/>
          <w:szCs w:val="16"/>
          <w:rtl/>
        </w:rPr>
        <w:t xml:space="preserve"> (ל' ר"ן בשם י"א)</w:t>
      </w:r>
      <w:r w:rsidRPr="00D83BAD">
        <w:rPr>
          <w:rFonts w:cs="Arial"/>
          <w:rtl/>
        </w:rPr>
        <w:t>.</w:t>
      </w:r>
      <w:r w:rsidRPr="00B40846">
        <w:rPr>
          <w:rFonts w:hint="cs"/>
          <w:color w:val="00B0F0"/>
          <w:rtl/>
        </w:rPr>
        <w:t xml:space="preserve"> </w:t>
      </w:r>
      <w:r w:rsidRPr="00423DE5">
        <w:rPr>
          <w:rFonts w:hint="cs"/>
          <w:color w:val="00B0F0"/>
          <w:rtl/>
        </w:rPr>
        <w:t>(וכ"פ הרמ"א</w:t>
      </w:r>
      <w:r>
        <w:rPr>
          <w:rFonts w:hint="cs"/>
          <w:color w:val="00B0F0"/>
          <w:sz w:val="16"/>
          <w:szCs w:val="16"/>
          <w:rtl/>
        </w:rPr>
        <w:t xml:space="preserve"> </w:t>
      </w:r>
      <w:r w:rsidRPr="0099747F">
        <w:rPr>
          <w:rFonts w:hint="cs"/>
          <w:color w:val="000000" w:themeColor="text1"/>
          <w:sz w:val="16"/>
          <w:szCs w:val="16"/>
          <w:rtl/>
        </w:rPr>
        <w:t>[עי' גר"א סק"ה]</w:t>
      </w:r>
      <w:r w:rsidRPr="00423DE5">
        <w:rPr>
          <w:rFonts w:hint="cs"/>
          <w:color w:val="00B0F0"/>
          <w:rtl/>
        </w:rPr>
        <w:t>)</w:t>
      </w:r>
    </w:p>
    <w:p w14:paraId="72776BFB" w14:textId="77777777" w:rsidR="002C39F4" w:rsidRPr="00002062" w:rsidRDefault="002C39F4" w:rsidP="0032102C">
      <w:pPr>
        <w:pStyle w:val="a8"/>
        <w:numPr>
          <w:ilvl w:val="0"/>
          <w:numId w:val="298"/>
        </w:numPr>
        <w:rPr>
          <w:rtl/>
        </w:rPr>
      </w:pPr>
      <w:r>
        <w:rPr>
          <w:rFonts w:cs="Arial" w:hint="cs"/>
          <w:rtl/>
        </w:rPr>
        <w:t xml:space="preserve">ר"פ </w:t>
      </w:r>
      <w:r>
        <w:rPr>
          <w:rFonts w:cs="Arial" w:hint="cs"/>
          <w:sz w:val="16"/>
          <w:szCs w:val="16"/>
          <w:rtl/>
        </w:rPr>
        <w:t>(</w:t>
      </w:r>
      <w:r w:rsidRPr="00604B07">
        <w:rPr>
          <w:rFonts w:cs="Arial" w:hint="cs"/>
          <w:sz w:val="16"/>
          <w:szCs w:val="16"/>
          <w:rtl/>
        </w:rPr>
        <w:t>בהגה'</w:t>
      </w:r>
      <w:r w:rsidRPr="00604B07">
        <w:rPr>
          <w:rFonts w:cs="Arial"/>
          <w:sz w:val="16"/>
          <w:szCs w:val="16"/>
          <w:rtl/>
        </w:rPr>
        <w:t xml:space="preserve"> </w:t>
      </w:r>
      <w:r w:rsidRPr="00604B07">
        <w:rPr>
          <w:rFonts w:cs="Arial" w:hint="cs"/>
          <w:sz w:val="16"/>
          <w:szCs w:val="16"/>
          <w:rtl/>
        </w:rPr>
        <w:t xml:space="preserve">סמ"ק </w:t>
      </w:r>
      <w:r w:rsidRPr="00604B07">
        <w:rPr>
          <w:rFonts w:cs="Arial"/>
          <w:sz w:val="16"/>
          <w:szCs w:val="16"/>
          <w:rtl/>
        </w:rPr>
        <w:t>סי' קצט אות ב</w:t>
      </w:r>
      <w:r>
        <w:rPr>
          <w:rFonts w:cs="Arial" w:hint="cs"/>
          <w:sz w:val="16"/>
          <w:szCs w:val="16"/>
          <w:rtl/>
        </w:rPr>
        <w:t>)</w:t>
      </w:r>
      <w:r w:rsidRPr="00B40846">
        <w:rPr>
          <w:rFonts w:cs="Arial" w:hint="cs"/>
          <w:rtl/>
        </w:rPr>
        <w:t xml:space="preserve"> </w:t>
      </w:r>
      <w:r>
        <w:rPr>
          <w:rFonts w:cs="Arial" w:hint="cs"/>
          <w:rtl/>
        </w:rPr>
        <w:t>ואו</w:t>
      </w:r>
      <w:r>
        <w:rPr>
          <w:rFonts w:cs="Arial"/>
          <w:rtl/>
        </w:rPr>
        <w:t>"</w:t>
      </w:r>
      <w:r>
        <w:rPr>
          <w:rFonts w:cs="Arial" w:hint="cs"/>
          <w:rtl/>
        </w:rPr>
        <w:t>ה</w:t>
      </w:r>
      <w:r w:rsidRPr="00002062">
        <w:rPr>
          <w:rFonts w:cs="Arial"/>
          <w:rtl/>
        </w:rPr>
        <w:t xml:space="preserve"> </w:t>
      </w:r>
      <w:r w:rsidRPr="00B32E94">
        <w:rPr>
          <w:rFonts w:cs="Arial" w:hint="cs"/>
          <w:sz w:val="16"/>
          <w:szCs w:val="16"/>
          <w:rtl/>
        </w:rPr>
        <w:t>(</w:t>
      </w:r>
      <w:r w:rsidRPr="00B32E94">
        <w:rPr>
          <w:rFonts w:cs="Arial"/>
          <w:sz w:val="16"/>
          <w:szCs w:val="16"/>
          <w:rtl/>
        </w:rPr>
        <w:t>כלל נח דפ</w:t>
      </w:r>
      <w:r>
        <w:rPr>
          <w:rFonts w:cs="Arial" w:hint="cs"/>
          <w:sz w:val="16"/>
          <w:szCs w:val="16"/>
          <w:rtl/>
        </w:rPr>
        <w:t>"</w:t>
      </w:r>
      <w:r w:rsidRPr="00B32E94">
        <w:rPr>
          <w:rFonts w:cs="Arial"/>
          <w:sz w:val="16"/>
          <w:szCs w:val="16"/>
          <w:rtl/>
        </w:rPr>
        <w:t>ב</w:t>
      </w:r>
      <w:r w:rsidRPr="00B32E94">
        <w:rPr>
          <w:rFonts w:cs="Arial" w:hint="cs"/>
          <w:sz w:val="16"/>
          <w:szCs w:val="16"/>
          <w:rtl/>
        </w:rPr>
        <w:t>, הביא הדרכ"מ [אות ה]</w:t>
      </w:r>
      <w:r>
        <w:rPr>
          <w:rFonts w:cs="Arial" w:hint="cs"/>
          <w:sz w:val="16"/>
          <w:szCs w:val="16"/>
          <w:rtl/>
        </w:rPr>
        <w:t xml:space="preserve"> </w:t>
      </w:r>
      <w:r w:rsidRPr="00B32E94">
        <w:rPr>
          <w:rFonts w:cs="Arial" w:hint="cs"/>
          <w:sz w:val="16"/>
          <w:szCs w:val="16"/>
          <w:rtl/>
        </w:rPr>
        <w:t>חלק מדבריו</w:t>
      </w:r>
      <w:r w:rsidRPr="00B32E94">
        <w:rPr>
          <w:rFonts w:cs="Arial"/>
          <w:sz w:val="16"/>
          <w:szCs w:val="16"/>
          <w:rtl/>
        </w:rPr>
        <w:t>)</w:t>
      </w:r>
      <w:r>
        <w:rPr>
          <w:rFonts w:cs="Arial" w:hint="cs"/>
          <w:rtl/>
        </w:rPr>
        <w:t>-</w:t>
      </w:r>
      <w:r w:rsidRPr="00D83BAD">
        <w:rPr>
          <w:rFonts w:cs="Arial"/>
          <w:rtl/>
        </w:rPr>
        <w:t xml:space="preserve"> </w:t>
      </w:r>
      <w:r w:rsidRPr="00423DE5">
        <w:rPr>
          <w:rFonts w:cs="Arial"/>
          <w:rtl/>
        </w:rPr>
        <w:t xml:space="preserve">אותם שהם </w:t>
      </w:r>
      <w:r w:rsidRPr="00D83BAD">
        <w:rPr>
          <w:rFonts w:cs="Arial"/>
          <w:rtl/>
        </w:rPr>
        <w:t>פלומי"ץ מבפנים צריכין טבילה אך בלא ברכה לפי שאינן עשויין אלא לנו</w:t>
      </w:r>
      <w:r>
        <w:rPr>
          <w:rFonts w:cs="Arial" w:hint="cs"/>
          <w:rtl/>
        </w:rPr>
        <w:t>י</w:t>
      </w:r>
      <w:r>
        <w:rPr>
          <w:rFonts w:cs="Arial" w:hint="cs"/>
          <w:sz w:val="16"/>
          <w:szCs w:val="16"/>
          <w:rtl/>
        </w:rPr>
        <w:t xml:space="preserve"> (ל' ר"פ)</w:t>
      </w:r>
      <w:r>
        <w:rPr>
          <w:rFonts w:cs="Arial" w:hint="cs"/>
          <w:rtl/>
        </w:rPr>
        <w:t>.</w:t>
      </w:r>
      <w:r>
        <w:rPr>
          <w:rFonts w:hint="cs"/>
          <w:rtl/>
        </w:rPr>
        <w:t xml:space="preserve"> </w:t>
      </w:r>
      <w:r>
        <w:rPr>
          <w:rFonts w:cs="Arial" w:hint="cs"/>
          <w:rtl/>
        </w:rPr>
        <w:t xml:space="preserve">וה"ה </w:t>
      </w:r>
      <w:r w:rsidRPr="00B32E94">
        <w:rPr>
          <w:rFonts w:cs="Arial"/>
          <w:rtl/>
        </w:rPr>
        <w:t>אפי' כלי חרס המחופין באבר מבפנים נהוג עלמא להטבילן בלא ברכה. וטוב להטבילן עם כלים אחרים בברכה דיש מאותן שנחפו מבפנים שנחפו כדי שלא יבלעו כ</w:t>
      </w:r>
      <w:r>
        <w:rPr>
          <w:rFonts w:cs="Arial" w:hint="cs"/>
          <w:rtl/>
        </w:rPr>
        <w:t xml:space="preserve">ל </w:t>
      </w:r>
      <w:r w:rsidRPr="00B32E94">
        <w:rPr>
          <w:rFonts w:cs="Arial"/>
          <w:rtl/>
        </w:rPr>
        <w:t>כ</w:t>
      </w:r>
      <w:r>
        <w:rPr>
          <w:rFonts w:cs="Arial" w:hint="cs"/>
          <w:rtl/>
        </w:rPr>
        <w:t>ך</w:t>
      </w:r>
      <w:r>
        <w:rPr>
          <w:rStyle w:val="a7"/>
          <w:rFonts w:cs="Arial"/>
          <w:rtl/>
        </w:rPr>
        <w:footnoteReference w:id="2870"/>
      </w:r>
      <w:r>
        <w:rPr>
          <w:rFonts w:cs="Arial" w:hint="cs"/>
          <w:sz w:val="16"/>
          <w:szCs w:val="16"/>
          <w:rtl/>
        </w:rPr>
        <w:t xml:space="preserve"> (ל' האו"ה)</w:t>
      </w:r>
      <w:r>
        <w:rPr>
          <w:rFonts w:cs="Arial" w:hint="cs"/>
          <w:rtl/>
        </w:rPr>
        <w:t>.</w:t>
      </w:r>
      <w:r w:rsidRPr="00D83BAD">
        <w:rPr>
          <w:rFonts w:cs="Arial"/>
          <w:rtl/>
        </w:rPr>
        <w:t xml:space="preserve"> </w:t>
      </w:r>
      <w:r w:rsidRPr="00423DE5">
        <w:rPr>
          <w:rFonts w:hint="cs"/>
          <w:color w:val="00B0F0"/>
          <w:rtl/>
        </w:rPr>
        <w:t>(וכ"פ הרמ"א)</w:t>
      </w:r>
    </w:p>
    <w:p w14:paraId="6A765DF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9FFA837" w14:textId="77777777" w:rsidR="002C39F4" w:rsidRDefault="002C39F4" w:rsidP="002C39F4">
      <w:pPr>
        <w:rPr>
          <w:rFonts w:asciiTheme="minorBidi" w:hAnsiTheme="minorBidi"/>
          <w:rtl/>
        </w:rPr>
      </w:pPr>
      <w:r w:rsidRPr="003024E5">
        <w:rPr>
          <w:rFonts w:asciiTheme="minorBidi" w:hAnsiTheme="minorBidi"/>
          <w:rtl/>
        </w:rPr>
        <w:t>הקונה מה</w:t>
      </w:r>
      <w:r>
        <w:rPr>
          <w:rFonts w:asciiTheme="minorBidi" w:hAnsiTheme="minorBidi" w:hint="cs"/>
          <w:rtl/>
        </w:rPr>
        <w:t xml:space="preserve">גוי </w:t>
      </w:r>
      <w:r w:rsidRPr="003024E5">
        <w:rPr>
          <w:rFonts w:asciiTheme="minorBidi" w:hAnsiTheme="minorBidi"/>
          <w:rtl/>
        </w:rPr>
        <w:t>כלי סעודה</w:t>
      </w:r>
      <w:r>
        <w:rPr>
          <w:rStyle w:val="a7"/>
          <w:rFonts w:asciiTheme="minorBidi" w:hAnsiTheme="minorBidi"/>
          <w:rtl/>
        </w:rPr>
        <w:footnoteReference w:id="2871"/>
      </w:r>
      <w:r w:rsidRPr="003024E5">
        <w:rPr>
          <w:rFonts w:asciiTheme="minorBidi" w:hAnsiTheme="minorBidi"/>
          <w:rtl/>
        </w:rPr>
        <w:t xml:space="preserve"> של מתכת או של זכוכית או כלים המצופים באבר</w:t>
      </w:r>
      <w:r>
        <w:rPr>
          <w:rStyle w:val="a7"/>
          <w:rFonts w:asciiTheme="minorBidi" w:hAnsiTheme="minorBidi"/>
          <w:rtl/>
        </w:rPr>
        <w:footnoteReference w:id="2872"/>
      </w:r>
      <w:r w:rsidRPr="003024E5">
        <w:rPr>
          <w:rFonts w:asciiTheme="minorBidi" w:hAnsiTheme="minorBidi"/>
          <w:rtl/>
        </w:rPr>
        <w:t xml:space="preserve"> מבפנים, אף על פי שהם חדשים צריך להטבילם במקוה או מעיין של ארבעים סאה</w:t>
      </w:r>
      <w:r w:rsidRPr="007B63D3">
        <w:rPr>
          <w:rFonts w:asciiTheme="minorBidi" w:hAnsiTheme="minorBidi"/>
          <w:sz w:val="18"/>
          <w:szCs w:val="18"/>
          <w:rtl/>
        </w:rPr>
        <w:t xml:space="preserve">. הגה: יש אומרים דכלים המצופים באבר, אפילו בפנים, יטבול בלא ברכה </w:t>
      </w:r>
      <w:r w:rsidRPr="00B40846">
        <w:rPr>
          <w:rFonts w:asciiTheme="minorBidi" w:hAnsiTheme="minorBidi"/>
          <w:sz w:val="16"/>
          <w:szCs w:val="16"/>
          <w:rtl/>
        </w:rPr>
        <w:t>(ב"י בשם סמ"ק וארוך)</w:t>
      </w:r>
      <w:r w:rsidRPr="007B63D3">
        <w:rPr>
          <w:rFonts w:asciiTheme="minorBidi" w:hAnsiTheme="minorBidi"/>
          <w:sz w:val="18"/>
          <w:szCs w:val="18"/>
          <w:rtl/>
        </w:rPr>
        <w:t xml:space="preserve">, וכן נוהגין. </w:t>
      </w:r>
    </w:p>
    <w:p w14:paraId="3FE53DDE" w14:textId="77777777" w:rsidR="002C39F4" w:rsidRPr="00F301FB" w:rsidRDefault="002C39F4" w:rsidP="002C39F4">
      <w:pPr>
        <w:rPr>
          <w:rFonts w:asciiTheme="minorBidi" w:hAnsiTheme="minorBidi"/>
          <w:u w:val="single"/>
          <w:rtl/>
        </w:rPr>
      </w:pPr>
      <w:r w:rsidRPr="00F301FB">
        <w:rPr>
          <w:rFonts w:asciiTheme="minorBidi" w:hAnsiTheme="minorBidi" w:hint="cs"/>
          <w:u w:val="single"/>
          <w:rtl/>
        </w:rPr>
        <w:t>הטבלה של קדרות גדולות:</w:t>
      </w:r>
      <w:r>
        <w:rPr>
          <w:rFonts w:asciiTheme="minorBidi" w:hAnsiTheme="minorBidi" w:cs="Arial" w:hint="cs"/>
          <w:sz w:val="16"/>
          <w:szCs w:val="16"/>
          <w:rtl/>
        </w:rPr>
        <w:t xml:space="preserve"> </w:t>
      </w:r>
      <w:r w:rsidRPr="00F301FB">
        <w:rPr>
          <w:rFonts w:asciiTheme="minorBidi" w:hAnsiTheme="minorBidi" w:cs="Arial"/>
          <w:sz w:val="16"/>
          <w:szCs w:val="16"/>
          <w:rtl/>
        </w:rPr>
        <w:t xml:space="preserve"> (</w:t>
      </w:r>
      <w:r w:rsidRPr="00F301FB">
        <w:rPr>
          <w:rFonts w:asciiTheme="minorBidi" w:hAnsiTheme="minorBidi" w:cs="Arial" w:hint="cs"/>
          <w:sz w:val="16"/>
          <w:szCs w:val="16"/>
          <w:rtl/>
        </w:rPr>
        <w:t>פת"ש סק"</w:t>
      </w:r>
      <w:r>
        <w:rPr>
          <w:rFonts w:asciiTheme="minorBidi" w:hAnsiTheme="minorBidi" w:cs="Arial" w:hint="cs"/>
          <w:sz w:val="16"/>
          <w:szCs w:val="16"/>
          <w:rtl/>
        </w:rPr>
        <w:t>א</w:t>
      </w:r>
      <w:r w:rsidRPr="00F301FB">
        <w:rPr>
          <w:rFonts w:asciiTheme="minorBidi" w:hAnsiTheme="minorBidi" w:cs="Arial" w:hint="cs"/>
          <w:sz w:val="16"/>
          <w:szCs w:val="16"/>
          <w:rtl/>
        </w:rPr>
        <w:t>)</w:t>
      </w:r>
    </w:p>
    <w:p w14:paraId="5883391A" w14:textId="77777777" w:rsidR="002C39F4" w:rsidRDefault="002C39F4" w:rsidP="0032102C">
      <w:pPr>
        <w:pStyle w:val="a8"/>
        <w:numPr>
          <w:ilvl w:val="0"/>
          <w:numId w:val="337"/>
        </w:numPr>
        <w:rPr>
          <w:rFonts w:asciiTheme="minorBidi" w:hAnsiTheme="minorBidi"/>
        </w:rPr>
      </w:pPr>
      <w:r w:rsidRPr="00F301FB">
        <w:rPr>
          <w:rFonts w:asciiTheme="minorBidi" w:hAnsiTheme="minorBidi" w:cs="Arial" w:hint="cs"/>
          <w:rtl/>
        </w:rPr>
        <w:t>חכ"א</w:t>
      </w:r>
      <w:r w:rsidRPr="00F301FB">
        <w:rPr>
          <w:rFonts w:asciiTheme="minorBidi" w:hAnsiTheme="minorBidi" w:cs="Arial"/>
          <w:rtl/>
        </w:rPr>
        <w:t xml:space="preserve"> </w:t>
      </w:r>
      <w:r w:rsidRPr="00F301FB">
        <w:rPr>
          <w:rFonts w:asciiTheme="minorBidi" w:hAnsiTheme="minorBidi" w:cs="Arial" w:hint="cs"/>
          <w:sz w:val="16"/>
          <w:szCs w:val="16"/>
          <w:rtl/>
        </w:rPr>
        <w:t>(</w:t>
      </w:r>
      <w:r w:rsidRPr="00F301FB">
        <w:rPr>
          <w:rFonts w:asciiTheme="minorBidi" w:hAnsiTheme="minorBidi" w:cs="Arial"/>
          <w:sz w:val="16"/>
          <w:szCs w:val="16"/>
          <w:rtl/>
        </w:rPr>
        <w:t>כלל עג דין יג</w:t>
      </w:r>
      <w:r w:rsidRPr="00F301FB">
        <w:rPr>
          <w:rFonts w:asciiTheme="minorBidi" w:hAnsiTheme="minorBidi" w:cs="Arial" w:hint="cs"/>
          <w:sz w:val="16"/>
          <w:szCs w:val="16"/>
          <w:rtl/>
        </w:rPr>
        <w:t>)</w:t>
      </w:r>
      <w:r w:rsidRPr="00F301FB">
        <w:rPr>
          <w:rFonts w:asciiTheme="minorBidi" w:hAnsiTheme="minorBidi" w:cs="Arial" w:hint="cs"/>
          <w:rtl/>
        </w:rPr>
        <w:t>-</w:t>
      </w:r>
      <w:r w:rsidRPr="00F301FB">
        <w:rPr>
          <w:rFonts w:asciiTheme="minorBidi" w:hAnsiTheme="minorBidi" w:cs="Arial"/>
          <w:rtl/>
        </w:rPr>
        <w:t xml:space="preserve"> היורות הגדולות שמבשלין בו שכר נ"ל דצריכים טבילה</w:t>
      </w:r>
      <w:r w:rsidRPr="00F301FB">
        <w:rPr>
          <w:rFonts w:asciiTheme="minorBidi" w:hAnsiTheme="minorBidi" w:cs="Arial" w:hint="cs"/>
          <w:rtl/>
        </w:rPr>
        <w:t>,</w:t>
      </w:r>
      <w:r w:rsidRPr="00F301FB">
        <w:rPr>
          <w:rFonts w:asciiTheme="minorBidi" w:hAnsiTheme="minorBidi" w:cs="Arial"/>
          <w:rtl/>
        </w:rPr>
        <w:t xml:space="preserve"> ואע</w:t>
      </w:r>
      <w:r w:rsidRPr="00F301FB">
        <w:rPr>
          <w:rFonts w:asciiTheme="minorBidi" w:hAnsiTheme="minorBidi" w:cs="Arial" w:hint="cs"/>
          <w:rtl/>
        </w:rPr>
        <w:t>"</w:t>
      </w:r>
      <w:r w:rsidRPr="00F301FB">
        <w:rPr>
          <w:rFonts w:asciiTheme="minorBidi" w:hAnsiTheme="minorBidi" w:cs="Arial"/>
          <w:rtl/>
        </w:rPr>
        <w:t>פ שקובעין אותם ומחברין לקרקע מ"מ דינו ככלי ואין להם תקנה אלא שיטבילם או ינקוב בהם נקב גדול שיתבטל מתורת כלי ואח"כ יתקן אומן ישראל</w:t>
      </w:r>
      <w:r w:rsidRPr="00F301FB">
        <w:rPr>
          <w:rFonts w:asciiTheme="minorBidi" w:hAnsiTheme="minorBidi" w:cs="Arial" w:hint="cs"/>
          <w:rtl/>
        </w:rPr>
        <w:t>,</w:t>
      </w:r>
      <w:r w:rsidRPr="00F301FB">
        <w:rPr>
          <w:rFonts w:asciiTheme="minorBidi" w:hAnsiTheme="minorBidi" w:cs="Arial"/>
          <w:rtl/>
        </w:rPr>
        <w:t xml:space="preserve"> אך לפי מה ששמעתי שהשכר שמבשלים בו אינו ראוי לשתיה כלל עד שמסננין אותו אפשר שע"ז סומכין העולם שאין טובלים אותם</w:t>
      </w:r>
      <w:r w:rsidRPr="00F301FB">
        <w:rPr>
          <w:rFonts w:asciiTheme="minorBidi" w:hAnsiTheme="minorBidi" w:cs="Arial" w:hint="cs"/>
          <w:rtl/>
        </w:rPr>
        <w:t>,</w:t>
      </w:r>
      <w:r w:rsidRPr="00F301FB">
        <w:rPr>
          <w:rFonts w:asciiTheme="minorBidi" w:hAnsiTheme="minorBidi" w:cs="Arial"/>
          <w:rtl/>
        </w:rPr>
        <w:t xml:space="preserve"> ומ"מ צ"ע שהרי לא גרע מסכין של שחיטה לקמן ס"ה כיון שראוי להשתמש בו מאכל אחר</w:t>
      </w:r>
      <w:r w:rsidRPr="00F301FB">
        <w:rPr>
          <w:rFonts w:asciiTheme="minorBidi" w:hAnsiTheme="minorBidi" w:cs="Arial" w:hint="cs"/>
          <w:rtl/>
        </w:rPr>
        <w:t>.</w:t>
      </w:r>
    </w:p>
    <w:p w14:paraId="3D3270EA" w14:textId="77777777" w:rsidR="002C39F4" w:rsidRDefault="002C39F4" w:rsidP="002C39F4">
      <w:pPr>
        <w:rPr>
          <w:rFonts w:asciiTheme="minorBidi" w:hAnsiTheme="minorBidi" w:cs="Arial"/>
          <w:rtl/>
        </w:rPr>
      </w:pPr>
      <w:r w:rsidRPr="00F301FB">
        <w:rPr>
          <w:rFonts w:asciiTheme="minorBidi" w:hAnsiTheme="minorBidi" w:cs="Arial" w:hint="cs"/>
          <w:u w:val="single"/>
          <w:rtl/>
        </w:rPr>
        <w:t>כלים הדומים לזכוכית אך בניגוד לכלי זכוכית אין להם תקנה לאחר שבירתן:</w:t>
      </w:r>
      <w:r>
        <w:rPr>
          <w:rFonts w:asciiTheme="minorBidi" w:hAnsiTheme="minorBidi" w:cs="Arial" w:hint="cs"/>
          <w:rtl/>
        </w:rPr>
        <w:t xml:space="preserve"> </w:t>
      </w:r>
      <w:r w:rsidRPr="00F301FB">
        <w:rPr>
          <w:rFonts w:asciiTheme="minorBidi" w:hAnsiTheme="minorBidi" w:cs="Arial"/>
          <w:sz w:val="16"/>
          <w:szCs w:val="16"/>
          <w:rtl/>
        </w:rPr>
        <w:t>(</w:t>
      </w:r>
      <w:r w:rsidRPr="00F301FB">
        <w:rPr>
          <w:rFonts w:asciiTheme="minorBidi" w:hAnsiTheme="minorBidi" w:cs="Arial" w:hint="cs"/>
          <w:sz w:val="16"/>
          <w:szCs w:val="16"/>
          <w:rtl/>
        </w:rPr>
        <w:t>פת"ש סק"ב)</w:t>
      </w:r>
    </w:p>
    <w:p w14:paraId="53228C03" w14:textId="77777777" w:rsidR="002C39F4" w:rsidRDefault="002C39F4" w:rsidP="0032102C">
      <w:pPr>
        <w:pStyle w:val="a8"/>
        <w:numPr>
          <w:ilvl w:val="0"/>
          <w:numId w:val="337"/>
        </w:numPr>
        <w:rPr>
          <w:rFonts w:asciiTheme="minorBidi" w:hAnsiTheme="minorBidi"/>
        </w:rPr>
      </w:pPr>
      <w:r w:rsidRPr="00F301FB">
        <w:rPr>
          <w:rFonts w:asciiTheme="minorBidi" w:hAnsiTheme="minorBidi" w:cs="Arial"/>
          <w:rtl/>
        </w:rPr>
        <w:t xml:space="preserve">יעב"ץ </w:t>
      </w:r>
      <w:r w:rsidRPr="00F301FB">
        <w:rPr>
          <w:rFonts w:asciiTheme="minorBidi" w:hAnsiTheme="minorBidi" w:cs="Arial" w:hint="cs"/>
          <w:sz w:val="16"/>
          <w:szCs w:val="16"/>
          <w:rtl/>
        </w:rPr>
        <w:t>(</w:t>
      </w:r>
      <w:r>
        <w:rPr>
          <w:rFonts w:asciiTheme="minorBidi" w:hAnsiTheme="minorBidi" w:cs="Arial" w:hint="cs"/>
          <w:sz w:val="16"/>
          <w:szCs w:val="16"/>
          <w:rtl/>
        </w:rPr>
        <w:t xml:space="preserve">בשו"ת שאילת יעב"ץ </w:t>
      </w:r>
      <w:r w:rsidRPr="00F301FB">
        <w:rPr>
          <w:rFonts w:asciiTheme="minorBidi" w:hAnsiTheme="minorBidi" w:cs="Arial"/>
          <w:sz w:val="16"/>
          <w:szCs w:val="16"/>
          <w:rtl/>
        </w:rPr>
        <w:t>ח"א סי' סז)</w:t>
      </w:r>
      <w:r>
        <w:rPr>
          <w:rFonts w:asciiTheme="minorBidi" w:hAnsiTheme="minorBidi" w:cs="Arial" w:hint="cs"/>
          <w:rtl/>
        </w:rPr>
        <w:t>-</w:t>
      </w:r>
      <w:r w:rsidRPr="00F301FB">
        <w:rPr>
          <w:rFonts w:asciiTheme="minorBidi" w:hAnsiTheme="minorBidi" w:cs="Arial"/>
          <w:rtl/>
        </w:rPr>
        <w:t xml:space="preserve"> כלים הבאים ממדינת הים שנקראים פרצליי"ן ודומין לכלי זכוכית אין צריכין טבילה לפי שידוע שעשייתן מן החול ומן האדמה וכלי מתכות אמורין בפרשה ו</w:t>
      </w:r>
      <w:r>
        <w:rPr>
          <w:rFonts w:asciiTheme="minorBidi" w:hAnsiTheme="minorBidi" w:cs="Arial" w:hint="cs"/>
          <w:rtl/>
        </w:rPr>
        <w:t>א</w:t>
      </w:r>
      <w:r w:rsidRPr="00F301FB">
        <w:rPr>
          <w:rFonts w:asciiTheme="minorBidi" w:hAnsiTheme="minorBidi" w:cs="Arial"/>
          <w:rtl/>
        </w:rPr>
        <w:t>ע</w:t>
      </w:r>
      <w:r>
        <w:rPr>
          <w:rFonts w:asciiTheme="minorBidi" w:hAnsiTheme="minorBidi" w:cs="Arial" w:hint="cs"/>
          <w:rtl/>
        </w:rPr>
        <w:t>"</w:t>
      </w:r>
      <w:r w:rsidRPr="00F301FB">
        <w:rPr>
          <w:rFonts w:asciiTheme="minorBidi" w:hAnsiTheme="minorBidi" w:cs="Arial"/>
          <w:rtl/>
        </w:rPr>
        <w:t>ג דשיעי טפי לית לן בה דהא כלי זכוכית שיעי טפי מינייהו ואי לאו משום דכי נשברו יש להם תקנה להתיכם דמש"ה ככלי מתכות שוינהו היו צריכים טבילה והני לית להו הך תקנתא</w:t>
      </w:r>
      <w:r>
        <w:rPr>
          <w:rFonts w:asciiTheme="minorBidi" w:hAnsiTheme="minorBidi" w:cs="Arial" w:hint="cs"/>
          <w:rtl/>
        </w:rPr>
        <w:t>.</w:t>
      </w:r>
    </w:p>
    <w:p w14:paraId="6F62221C" w14:textId="77777777" w:rsidR="002C39F4" w:rsidRDefault="002C39F4" w:rsidP="002C39F4">
      <w:pPr>
        <w:rPr>
          <w:rFonts w:asciiTheme="minorBidi" w:hAnsiTheme="minorBidi" w:cs="Arial"/>
          <w:rtl/>
        </w:rPr>
      </w:pPr>
      <w:r w:rsidRPr="00F301FB">
        <w:rPr>
          <w:rFonts w:asciiTheme="minorBidi" w:hAnsiTheme="minorBidi" w:cs="Arial" w:hint="cs"/>
          <w:u w:val="single"/>
          <w:rtl/>
        </w:rPr>
        <w:t>טבילת כלים בשלג:</w:t>
      </w:r>
      <w:r>
        <w:rPr>
          <w:rFonts w:asciiTheme="minorBidi" w:hAnsiTheme="minorBidi" w:cs="Arial" w:hint="cs"/>
          <w:rtl/>
        </w:rPr>
        <w:t xml:space="preserve"> </w:t>
      </w:r>
      <w:r w:rsidRPr="00F301FB">
        <w:rPr>
          <w:rFonts w:asciiTheme="minorBidi" w:hAnsiTheme="minorBidi" w:cs="Arial"/>
          <w:sz w:val="16"/>
          <w:szCs w:val="16"/>
          <w:rtl/>
        </w:rPr>
        <w:t>(</w:t>
      </w:r>
      <w:r w:rsidRPr="00F301FB">
        <w:rPr>
          <w:rFonts w:asciiTheme="minorBidi" w:hAnsiTheme="minorBidi" w:cs="Arial" w:hint="cs"/>
          <w:sz w:val="16"/>
          <w:szCs w:val="16"/>
          <w:rtl/>
        </w:rPr>
        <w:t>פת"ש סק"</w:t>
      </w:r>
      <w:r>
        <w:rPr>
          <w:rFonts w:asciiTheme="minorBidi" w:hAnsiTheme="minorBidi" w:cs="Arial" w:hint="cs"/>
          <w:sz w:val="16"/>
          <w:szCs w:val="16"/>
          <w:rtl/>
        </w:rPr>
        <w:t>ד</w:t>
      </w:r>
      <w:r w:rsidRPr="00F301FB">
        <w:rPr>
          <w:rFonts w:asciiTheme="minorBidi" w:hAnsiTheme="minorBidi" w:cs="Arial" w:hint="cs"/>
          <w:sz w:val="16"/>
          <w:szCs w:val="16"/>
          <w:rtl/>
        </w:rPr>
        <w:t>)</w:t>
      </w:r>
    </w:p>
    <w:p w14:paraId="22C36FE7" w14:textId="77777777" w:rsidR="002C39F4" w:rsidRDefault="002C39F4" w:rsidP="0032102C">
      <w:pPr>
        <w:pStyle w:val="a8"/>
        <w:numPr>
          <w:ilvl w:val="0"/>
          <w:numId w:val="337"/>
        </w:numPr>
        <w:rPr>
          <w:rFonts w:asciiTheme="minorBidi" w:hAnsiTheme="minorBidi"/>
        </w:rPr>
      </w:pPr>
      <w:r w:rsidRPr="00F301FB">
        <w:rPr>
          <w:rFonts w:asciiTheme="minorBidi" w:hAnsiTheme="minorBidi" w:cs="Arial"/>
          <w:rtl/>
        </w:rPr>
        <w:t>חכ</w:t>
      </w:r>
      <w:r w:rsidRPr="00F301FB">
        <w:rPr>
          <w:rFonts w:asciiTheme="minorBidi" w:hAnsiTheme="minorBidi" w:cs="Arial" w:hint="cs"/>
          <w:rtl/>
        </w:rPr>
        <w:t>"א</w:t>
      </w:r>
      <w:r w:rsidRPr="00F301FB">
        <w:rPr>
          <w:rFonts w:asciiTheme="minorBidi" w:hAnsiTheme="minorBidi" w:cs="Arial" w:hint="cs"/>
          <w:sz w:val="16"/>
          <w:szCs w:val="16"/>
          <w:rtl/>
        </w:rPr>
        <w:t xml:space="preserve"> (כלל עג</w:t>
      </w:r>
      <w:r w:rsidRPr="00F301FB">
        <w:rPr>
          <w:rFonts w:asciiTheme="minorBidi" w:hAnsiTheme="minorBidi" w:cs="Arial"/>
          <w:sz w:val="16"/>
          <w:szCs w:val="16"/>
          <w:rtl/>
        </w:rPr>
        <w:t xml:space="preserve"> דין יט</w:t>
      </w:r>
      <w:r w:rsidRPr="00F301FB">
        <w:rPr>
          <w:rFonts w:asciiTheme="minorBidi" w:hAnsiTheme="minorBidi" w:cs="Arial" w:hint="cs"/>
          <w:sz w:val="16"/>
          <w:szCs w:val="16"/>
          <w:rtl/>
        </w:rPr>
        <w:t>)</w:t>
      </w:r>
      <w:r w:rsidRPr="00F301FB">
        <w:rPr>
          <w:rFonts w:asciiTheme="minorBidi" w:hAnsiTheme="minorBidi" w:cs="Arial" w:hint="cs"/>
          <w:rtl/>
        </w:rPr>
        <w:t>-</w:t>
      </w:r>
      <w:r w:rsidRPr="00F301FB">
        <w:rPr>
          <w:rFonts w:asciiTheme="minorBidi" w:hAnsiTheme="minorBidi" w:cs="Arial"/>
          <w:rtl/>
        </w:rPr>
        <w:t xml:space="preserve"> נ"ל דבשעת הדחק מותר לטבול כלי זכוכית בשלג אם הוא במקום אחד דטבילתו ודאי הוא מדרבנן אבל לא כלי מתכות דלהרבה פוסקים הוא מן התורה</w:t>
      </w:r>
      <w:r w:rsidRPr="00F301FB">
        <w:rPr>
          <w:rFonts w:asciiTheme="minorBidi" w:hAnsiTheme="minorBidi" w:hint="cs"/>
          <w:rtl/>
        </w:rPr>
        <w:t>.</w:t>
      </w:r>
    </w:p>
    <w:p w14:paraId="3EA8C1C4" w14:textId="77777777" w:rsidR="002C39F4" w:rsidRPr="00F301FB" w:rsidRDefault="002C39F4" w:rsidP="002C39F4">
      <w:pPr>
        <w:rPr>
          <w:rFonts w:asciiTheme="minorBidi" w:hAnsiTheme="minorBidi"/>
          <w:rtl/>
        </w:rPr>
      </w:pPr>
    </w:p>
    <w:p w14:paraId="6B1E55AA"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אחיזה בכלי בזמן הטבלה.</w:t>
      </w:r>
    </w:p>
    <w:p w14:paraId="05C95652" w14:textId="77777777" w:rsidR="002C39F4" w:rsidRPr="0086315E" w:rsidRDefault="002C39F4" w:rsidP="002C39F4">
      <w:pPr>
        <w:rPr>
          <w:rFonts w:asciiTheme="minorBidi" w:hAnsiTheme="minorBidi"/>
          <w:rtl/>
        </w:rPr>
      </w:pPr>
      <w:r w:rsidRPr="0086315E">
        <w:rPr>
          <w:rFonts w:asciiTheme="minorBidi" w:hAnsiTheme="minorBidi"/>
          <w:b/>
          <w:bCs/>
          <w:rtl/>
        </w:rPr>
        <w:t xml:space="preserve">משנה מקוואות פ"ח מ"ה: </w:t>
      </w:r>
      <w:r w:rsidRPr="0086315E">
        <w:rPr>
          <w:rFonts w:asciiTheme="minorBidi" w:hAnsiTheme="minorBidi"/>
          <w:rtl/>
        </w:rPr>
        <w:t>האוחז באדם ובכלים ומטבילן טמאין, ואם הדיח את ידו במים טהורים</w:t>
      </w:r>
      <w:r w:rsidRPr="0086315E">
        <w:rPr>
          <w:rStyle w:val="a7"/>
          <w:rFonts w:asciiTheme="minorBidi" w:hAnsiTheme="minorBidi"/>
          <w:rtl/>
        </w:rPr>
        <w:footnoteReference w:id="2873"/>
      </w:r>
      <w:r w:rsidRPr="0086315E">
        <w:rPr>
          <w:rFonts w:asciiTheme="minorBidi" w:hAnsiTheme="minorBidi"/>
          <w:rtl/>
        </w:rPr>
        <w:t xml:space="preserve">, </w:t>
      </w:r>
      <w:r w:rsidRPr="0086315E">
        <w:rPr>
          <w:rFonts w:asciiTheme="minorBidi" w:hAnsiTheme="minorBidi"/>
          <w:u w:val="single"/>
          <w:rtl/>
        </w:rPr>
        <w:t>רבי שמעון אומר</w:t>
      </w:r>
      <w:r w:rsidRPr="0086315E">
        <w:rPr>
          <w:rFonts w:asciiTheme="minorBidi" w:hAnsiTheme="minorBidi"/>
          <w:rtl/>
        </w:rPr>
        <w:t>: ירפה כדי שיבואו בהם מים.</w:t>
      </w:r>
    </w:p>
    <w:p w14:paraId="18012923" w14:textId="77777777" w:rsidR="002C39F4" w:rsidRPr="0086315E" w:rsidRDefault="002C39F4" w:rsidP="002C39F4">
      <w:pPr>
        <w:rPr>
          <w:rFonts w:asciiTheme="minorBidi" w:hAnsiTheme="minorBidi"/>
          <w:u w:val="single"/>
          <w:rtl/>
        </w:rPr>
      </w:pPr>
      <w:r w:rsidRPr="0086315E">
        <w:rPr>
          <w:rFonts w:asciiTheme="minorBidi" w:hAnsiTheme="minorBidi"/>
          <w:u w:val="single"/>
          <w:rtl/>
        </w:rPr>
        <w:t>כ</w:t>
      </w:r>
      <w:r>
        <w:rPr>
          <w:rFonts w:asciiTheme="minorBidi" w:hAnsiTheme="minorBidi" w:hint="cs"/>
          <w:u w:val="single"/>
          <w:rtl/>
        </w:rPr>
        <w:t>יצד נפסק</w:t>
      </w:r>
      <w:r w:rsidRPr="0086315E">
        <w:rPr>
          <w:rFonts w:asciiTheme="minorBidi" w:hAnsiTheme="minorBidi"/>
          <w:u w:val="single"/>
          <w:rtl/>
        </w:rPr>
        <w:t>:</w:t>
      </w:r>
    </w:p>
    <w:p w14:paraId="7F93D0AB" w14:textId="77777777" w:rsidR="002C39F4" w:rsidRPr="0086315E" w:rsidRDefault="002C39F4" w:rsidP="0032102C">
      <w:pPr>
        <w:pStyle w:val="a8"/>
        <w:numPr>
          <w:ilvl w:val="0"/>
          <w:numId w:val="299"/>
        </w:numPr>
        <w:rPr>
          <w:rFonts w:asciiTheme="minorBidi" w:hAnsiTheme="minorBidi"/>
          <w:rtl/>
        </w:rPr>
      </w:pPr>
      <w:r w:rsidRPr="0086315E">
        <w:rPr>
          <w:rFonts w:asciiTheme="minorBidi" w:hAnsiTheme="minorBidi"/>
          <w:rtl/>
        </w:rPr>
        <w:t>רשב"א</w:t>
      </w:r>
      <w:r w:rsidRPr="00803D74">
        <w:rPr>
          <w:rFonts w:asciiTheme="minorBidi" w:hAnsiTheme="minorBidi"/>
          <w:sz w:val="16"/>
          <w:szCs w:val="16"/>
          <w:rtl/>
        </w:rPr>
        <w:t xml:space="preserve"> </w:t>
      </w:r>
      <w:r>
        <w:rPr>
          <w:rFonts w:asciiTheme="minorBidi" w:hAnsiTheme="minorBidi" w:hint="cs"/>
          <w:sz w:val="16"/>
          <w:szCs w:val="16"/>
          <w:rtl/>
        </w:rPr>
        <w:t xml:space="preserve">(תוה"ב </w:t>
      </w:r>
      <w:r w:rsidRPr="00803D74">
        <w:rPr>
          <w:rFonts w:asciiTheme="minorBidi" w:hAnsiTheme="minorBidi" w:cs="Arial"/>
          <w:sz w:val="16"/>
          <w:szCs w:val="16"/>
          <w:rtl/>
        </w:rPr>
        <w:t xml:space="preserve">ב"ז ש"ז לב:) </w:t>
      </w:r>
      <w:r w:rsidRPr="0086315E">
        <w:rPr>
          <w:rFonts w:asciiTheme="minorBidi" w:hAnsiTheme="minorBidi"/>
          <w:rtl/>
        </w:rPr>
        <w:t>וטור</w:t>
      </w:r>
      <w:r w:rsidRPr="0086315E">
        <w:rPr>
          <w:rStyle w:val="a7"/>
          <w:rFonts w:asciiTheme="minorBidi" w:hAnsiTheme="minorBidi"/>
          <w:rtl/>
        </w:rPr>
        <w:footnoteReference w:id="2874"/>
      </w:r>
      <w:r w:rsidRPr="0086315E">
        <w:rPr>
          <w:rFonts w:asciiTheme="minorBidi" w:hAnsiTheme="minorBidi"/>
          <w:rtl/>
        </w:rPr>
        <w:t xml:space="preserve">- כת"ק, שאם ריפה ידיו </w:t>
      </w:r>
      <w:r w:rsidRPr="0086315E">
        <w:rPr>
          <w:rFonts w:asciiTheme="minorBidi" w:hAnsiTheme="minorBidi"/>
          <w:u w:val="single"/>
          <w:rtl/>
        </w:rPr>
        <w:t>או</w:t>
      </w:r>
      <w:r w:rsidRPr="0086315E">
        <w:rPr>
          <w:rFonts w:asciiTheme="minorBidi" w:hAnsiTheme="minorBidi"/>
          <w:rtl/>
        </w:rPr>
        <w:t xml:space="preserve"> הדיח ידיו אינו חוצץ</w:t>
      </w:r>
      <w:r w:rsidRPr="0086315E">
        <w:rPr>
          <w:rStyle w:val="a7"/>
          <w:rFonts w:asciiTheme="minorBidi" w:hAnsiTheme="minorBidi"/>
          <w:rtl/>
        </w:rPr>
        <w:footnoteReference w:id="2875"/>
      </w:r>
      <w:r w:rsidRPr="0086315E">
        <w:rPr>
          <w:rFonts w:asciiTheme="minorBidi" w:hAnsiTheme="minorBidi"/>
          <w:rtl/>
        </w:rPr>
        <w:t xml:space="preserve">. </w:t>
      </w:r>
      <w:r w:rsidRPr="0086315E">
        <w:rPr>
          <w:rFonts w:asciiTheme="minorBidi" w:hAnsiTheme="minorBidi"/>
          <w:color w:val="E36C0A" w:themeColor="accent6" w:themeShade="BF"/>
          <w:rtl/>
        </w:rPr>
        <w:t>(וכ"פ בשו"ע)</w:t>
      </w:r>
      <w:r>
        <w:rPr>
          <w:rFonts w:asciiTheme="minorBidi" w:hAnsiTheme="minorBidi" w:hint="cs"/>
          <w:rtl/>
        </w:rPr>
        <w:t xml:space="preserve"> </w:t>
      </w:r>
      <w:r w:rsidRPr="0086315E">
        <w:rPr>
          <w:rFonts w:asciiTheme="minorBidi" w:hAnsiTheme="minorBidi"/>
          <w:rtl/>
        </w:rPr>
        <w:t>(וכ"כ הגר"א)</w:t>
      </w:r>
    </w:p>
    <w:p w14:paraId="64B92FB9" w14:textId="77777777" w:rsidR="002C39F4" w:rsidRDefault="002C39F4" w:rsidP="0032102C">
      <w:pPr>
        <w:pStyle w:val="a8"/>
        <w:numPr>
          <w:ilvl w:val="0"/>
          <w:numId w:val="299"/>
        </w:numPr>
        <w:rPr>
          <w:rFonts w:asciiTheme="minorBidi" w:hAnsiTheme="minorBidi"/>
        </w:rPr>
      </w:pPr>
      <w:r w:rsidRPr="0086315E">
        <w:rPr>
          <w:rFonts w:asciiTheme="minorBidi" w:hAnsiTheme="minorBidi"/>
          <w:rtl/>
        </w:rPr>
        <w:t xml:space="preserve">רמב"ם </w:t>
      </w:r>
      <w:r>
        <w:rPr>
          <w:rFonts w:asciiTheme="minorBidi" w:hAnsiTheme="minorBidi" w:hint="cs"/>
          <w:sz w:val="16"/>
          <w:szCs w:val="16"/>
          <w:rtl/>
        </w:rPr>
        <w:t>(הל' מקוואת פ"ב הי"א)</w:t>
      </w:r>
      <w:r>
        <w:rPr>
          <w:rFonts w:asciiTheme="minorBidi" w:hAnsiTheme="minorBidi" w:hint="cs"/>
          <w:rtl/>
        </w:rPr>
        <w:t xml:space="preserve"> </w:t>
      </w:r>
      <w:r w:rsidRPr="0086315E">
        <w:rPr>
          <w:rFonts w:asciiTheme="minorBidi" w:hAnsiTheme="minorBidi"/>
          <w:rtl/>
        </w:rPr>
        <w:t>ורמב"ן</w:t>
      </w:r>
      <w:r>
        <w:rPr>
          <w:rFonts w:asciiTheme="minorBidi" w:hAnsiTheme="minorBidi" w:hint="cs"/>
          <w:sz w:val="16"/>
          <w:szCs w:val="16"/>
          <w:rtl/>
        </w:rPr>
        <w:t xml:space="preserve"> (כ"כ בשמו הט"ז סקכ"ז)</w:t>
      </w:r>
      <w:r w:rsidRPr="0086315E">
        <w:rPr>
          <w:rFonts w:asciiTheme="minorBidi" w:hAnsiTheme="minorBidi"/>
          <w:rtl/>
        </w:rPr>
        <w:t>- כת"ק, שתמיד חוצץ עד שידיח ידיו</w:t>
      </w:r>
      <w:r>
        <w:rPr>
          <w:rFonts w:asciiTheme="minorBidi" w:hAnsiTheme="minorBidi" w:hint="cs"/>
          <w:rtl/>
        </w:rPr>
        <w:t>,</w:t>
      </w:r>
      <w:r w:rsidRPr="0086315E">
        <w:rPr>
          <w:rFonts w:asciiTheme="minorBidi" w:hAnsiTheme="minorBidi"/>
          <w:rtl/>
        </w:rPr>
        <w:t xml:space="preserve"> גזירה שמא לא ירפה. (וכ"פ הב"ח)</w:t>
      </w:r>
    </w:p>
    <w:p w14:paraId="2F68B2EF" w14:textId="77777777" w:rsidR="002C39F4" w:rsidRPr="00015121" w:rsidRDefault="002C39F4" w:rsidP="002C39F4">
      <w:pPr>
        <w:rPr>
          <w:sz w:val="16"/>
          <w:szCs w:val="16"/>
          <w:rtl/>
        </w:rPr>
      </w:pPr>
      <w:r>
        <w:rPr>
          <w:rFonts w:hint="cs"/>
          <w:u w:val="single"/>
          <w:rtl/>
        </w:rPr>
        <w:t xml:space="preserve">כלי </w:t>
      </w:r>
      <w:r w:rsidRPr="00015121">
        <w:rPr>
          <w:u w:val="single"/>
          <w:rtl/>
        </w:rPr>
        <w:t>שאין בפי</w:t>
      </w:r>
      <w:r>
        <w:rPr>
          <w:rFonts w:hint="cs"/>
          <w:u w:val="single"/>
          <w:rtl/>
        </w:rPr>
        <w:t>ו</w:t>
      </w:r>
      <w:r w:rsidRPr="00015121">
        <w:rPr>
          <w:u w:val="single"/>
          <w:rtl/>
        </w:rPr>
        <w:t xml:space="preserve"> למעלה כשפופרת הנוד</w:t>
      </w:r>
      <w:r w:rsidRPr="00015121">
        <w:rPr>
          <w:rFonts w:hint="cs"/>
          <w:u w:val="single"/>
          <w:rtl/>
        </w:rPr>
        <w:t>:</w:t>
      </w:r>
      <w:r w:rsidRPr="0089728F">
        <w:rPr>
          <w:rtl/>
        </w:rPr>
        <w:t xml:space="preserve"> </w:t>
      </w:r>
      <w:r>
        <w:rPr>
          <w:rFonts w:hint="cs"/>
          <w:rtl/>
        </w:rPr>
        <w:t xml:space="preserve"> </w:t>
      </w:r>
      <w:r w:rsidRPr="00015121">
        <w:rPr>
          <w:sz w:val="16"/>
          <w:szCs w:val="16"/>
          <w:rtl/>
        </w:rPr>
        <w:t>(</w:t>
      </w:r>
      <w:r w:rsidRPr="00015121">
        <w:rPr>
          <w:rFonts w:hint="cs"/>
          <w:sz w:val="16"/>
          <w:szCs w:val="16"/>
          <w:rtl/>
        </w:rPr>
        <w:t xml:space="preserve">דרכ"מ אות </w:t>
      </w:r>
      <w:r w:rsidRPr="00015121">
        <w:rPr>
          <w:sz w:val="16"/>
          <w:szCs w:val="16"/>
          <w:rtl/>
        </w:rPr>
        <w:t xml:space="preserve">ב) </w:t>
      </w:r>
    </w:p>
    <w:p w14:paraId="5EA555C9" w14:textId="77777777" w:rsidR="002C39F4" w:rsidRDefault="002C39F4" w:rsidP="0032102C">
      <w:pPr>
        <w:pStyle w:val="a8"/>
        <w:numPr>
          <w:ilvl w:val="0"/>
          <w:numId w:val="300"/>
        </w:numPr>
      </w:pPr>
      <w:r w:rsidRPr="0089728F">
        <w:rPr>
          <w:rtl/>
        </w:rPr>
        <w:t>ה"ר אביגדור כהן</w:t>
      </w:r>
      <w:r w:rsidRPr="00015121">
        <w:rPr>
          <w:rFonts w:hint="cs"/>
          <w:sz w:val="16"/>
          <w:szCs w:val="16"/>
          <w:rtl/>
        </w:rPr>
        <w:t xml:space="preserve"> </w:t>
      </w:r>
      <w:r w:rsidRPr="00015121">
        <w:rPr>
          <w:sz w:val="16"/>
          <w:szCs w:val="16"/>
          <w:rtl/>
        </w:rPr>
        <w:t>(</w:t>
      </w:r>
      <w:r w:rsidRPr="00015121">
        <w:rPr>
          <w:rFonts w:hint="cs"/>
          <w:sz w:val="16"/>
          <w:szCs w:val="16"/>
          <w:rtl/>
        </w:rPr>
        <w:t>כ"כ המרדכי [</w:t>
      </w:r>
      <w:r w:rsidRPr="00015121">
        <w:rPr>
          <w:sz w:val="16"/>
          <w:szCs w:val="16"/>
          <w:rtl/>
        </w:rPr>
        <w:t>ע"ז ס"ס תתנט וסי' תתס</w:t>
      </w:r>
      <w:r w:rsidRPr="00015121">
        <w:rPr>
          <w:rFonts w:hint="cs"/>
          <w:sz w:val="16"/>
          <w:szCs w:val="16"/>
          <w:rtl/>
        </w:rPr>
        <w:t>] בשמו</w:t>
      </w:r>
      <w:r w:rsidRPr="00015121">
        <w:rPr>
          <w:sz w:val="16"/>
          <w:szCs w:val="16"/>
          <w:rtl/>
        </w:rPr>
        <w:t>)</w:t>
      </w:r>
      <w:r>
        <w:rPr>
          <w:rFonts w:hint="cs"/>
          <w:rtl/>
        </w:rPr>
        <w:t>-</w:t>
      </w:r>
      <w:r w:rsidRPr="0089728F">
        <w:rPr>
          <w:rtl/>
        </w:rPr>
        <w:t xml:space="preserve"> צלוחית הטעונה טבילה אע</w:t>
      </w:r>
      <w:r>
        <w:rPr>
          <w:rFonts w:hint="cs"/>
          <w:rtl/>
        </w:rPr>
        <w:t>"</w:t>
      </w:r>
      <w:r w:rsidRPr="0089728F">
        <w:rPr>
          <w:rtl/>
        </w:rPr>
        <w:t>פ שאין בפיה למעלה כשפופרת הנוד שפיה צר למעלה אפ</w:t>
      </w:r>
      <w:r>
        <w:rPr>
          <w:rFonts w:hint="cs"/>
          <w:rtl/>
        </w:rPr>
        <w:t>"</w:t>
      </w:r>
      <w:r w:rsidRPr="0089728F">
        <w:rPr>
          <w:rtl/>
        </w:rPr>
        <w:t>ה סלקא לה טבילה</w:t>
      </w:r>
      <w:r>
        <w:rPr>
          <w:rFonts w:hint="cs"/>
          <w:rtl/>
        </w:rPr>
        <w:t>.</w:t>
      </w:r>
      <w:r w:rsidRPr="0089728F">
        <w:rPr>
          <w:rtl/>
        </w:rPr>
        <w:t xml:space="preserve"> </w:t>
      </w:r>
    </w:p>
    <w:p w14:paraId="07D8ED7E" w14:textId="77777777" w:rsidR="002C39F4" w:rsidRPr="00015121" w:rsidRDefault="002C39F4" w:rsidP="002C39F4">
      <w:pPr>
        <w:rPr>
          <w:u w:val="single"/>
          <w:rtl/>
        </w:rPr>
      </w:pPr>
      <w:r w:rsidRPr="00015121">
        <w:rPr>
          <w:rFonts w:hint="cs"/>
          <w:u w:val="single"/>
          <w:rtl/>
        </w:rPr>
        <w:t>הטבלת כלי בתוך כלי:</w:t>
      </w:r>
      <w:r w:rsidRPr="0089728F">
        <w:rPr>
          <w:rtl/>
        </w:rPr>
        <w:t xml:space="preserve"> </w:t>
      </w:r>
      <w:r>
        <w:rPr>
          <w:rFonts w:hint="cs"/>
          <w:rtl/>
        </w:rPr>
        <w:t xml:space="preserve"> </w:t>
      </w:r>
      <w:r w:rsidRPr="00015121">
        <w:rPr>
          <w:sz w:val="16"/>
          <w:szCs w:val="16"/>
          <w:rtl/>
        </w:rPr>
        <w:t>(</w:t>
      </w:r>
      <w:r w:rsidRPr="00015121">
        <w:rPr>
          <w:rFonts w:hint="cs"/>
          <w:sz w:val="16"/>
          <w:szCs w:val="16"/>
          <w:rtl/>
        </w:rPr>
        <w:t xml:space="preserve">דרכ"מ אות </w:t>
      </w:r>
      <w:r w:rsidRPr="00015121">
        <w:rPr>
          <w:sz w:val="16"/>
          <w:szCs w:val="16"/>
          <w:rtl/>
        </w:rPr>
        <w:t>ב)</w:t>
      </w:r>
    </w:p>
    <w:p w14:paraId="281BBCB6" w14:textId="77777777" w:rsidR="002C39F4" w:rsidRDefault="002C39F4" w:rsidP="0032102C">
      <w:pPr>
        <w:pStyle w:val="a8"/>
        <w:numPr>
          <w:ilvl w:val="0"/>
          <w:numId w:val="300"/>
        </w:numPr>
        <w:rPr>
          <w:rtl/>
        </w:rPr>
      </w:pPr>
      <w:r w:rsidRPr="0089728F">
        <w:rPr>
          <w:rtl/>
        </w:rPr>
        <w:t>רבינו מאיר</w:t>
      </w:r>
      <w:r>
        <w:rPr>
          <w:rFonts w:hint="cs"/>
          <w:rtl/>
        </w:rPr>
        <w:t xml:space="preserve"> </w:t>
      </w:r>
      <w:r w:rsidRPr="00015121">
        <w:rPr>
          <w:sz w:val="16"/>
          <w:szCs w:val="16"/>
          <w:rtl/>
        </w:rPr>
        <w:t>(</w:t>
      </w:r>
      <w:r w:rsidRPr="00015121">
        <w:rPr>
          <w:rFonts w:hint="cs"/>
          <w:sz w:val="16"/>
          <w:szCs w:val="16"/>
          <w:rtl/>
        </w:rPr>
        <w:t>כ"כ המרדכי [</w:t>
      </w:r>
      <w:r w:rsidRPr="00015121">
        <w:rPr>
          <w:sz w:val="16"/>
          <w:szCs w:val="16"/>
          <w:rtl/>
        </w:rPr>
        <w:t>ע"ז ס"ס תתנט וסי' תתס</w:t>
      </w:r>
      <w:r w:rsidRPr="00015121">
        <w:rPr>
          <w:rFonts w:hint="cs"/>
          <w:sz w:val="16"/>
          <w:szCs w:val="16"/>
          <w:rtl/>
        </w:rPr>
        <w:t>] בשמו</w:t>
      </w:r>
      <w:r w:rsidRPr="00015121">
        <w:rPr>
          <w:sz w:val="16"/>
          <w:szCs w:val="16"/>
          <w:rtl/>
        </w:rPr>
        <w:t>)</w:t>
      </w:r>
      <w:r>
        <w:rPr>
          <w:rFonts w:hint="cs"/>
          <w:rtl/>
        </w:rPr>
        <w:t>-</w:t>
      </w:r>
      <w:r w:rsidRPr="0089728F">
        <w:rPr>
          <w:rtl/>
        </w:rPr>
        <w:t xml:space="preserve"> </w:t>
      </w:r>
      <w:r>
        <w:rPr>
          <w:rFonts w:hint="cs"/>
          <w:rtl/>
        </w:rPr>
        <w:t>יש</w:t>
      </w:r>
      <w:r w:rsidRPr="0089728F">
        <w:rPr>
          <w:rtl/>
        </w:rPr>
        <w:t xml:space="preserve"> להטביל כלי תוך כלי ובלבד שיהו המים צפין ע"פ החיצון ושיהא פי החיצון כשפופרת הנוד</w:t>
      </w:r>
      <w:r>
        <w:rPr>
          <w:rFonts w:hint="cs"/>
          <w:rtl/>
        </w:rPr>
        <w:t>,</w:t>
      </w:r>
      <w:r w:rsidRPr="0089728F">
        <w:rPr>
          <w:rtl/>
        </w:rPr>
        <w:t xml:space="preserve"> </w:t>
      </w:r>
      <w:r>
        <w:rPr>
          <w:rFonts w:hint="cs"/>
          <w:rtl/>
        </w:rPr>
        <w:t>ו</w:t>
      </w:r>
      <w:r w:rsidRPr="0089728F">
        <w:rPr>
          <w:rtl/>
        </w:rPr>
        <w:t>יש ליזהר אם יטביל כלי זכוכית מלא ויתנהו בדלי מלא מים והדלי שקוע בבור שלא יושיבהו על שוליו פן יהיה חציצה מפני כובד הכלי וחוצץ</w:t>
      </w:r>
      <w:r>
        <w:rPr>
          <w:rStyle w:val="a7"/>
          <w:rtl/>
        </w:rPr>
        <w:footnoteReference w:id="2876"/>
      </w:r>
      <w:r>
        <w:rPr>
          <w:rFonts w:hint="cs"/>
          <w:rtl/>
        </w:rPr>
        <w:t>,</w:t>
      </w:r>
      <w:r w:rsidRPr="0089728F">
        <w:rPr>
          <w:rtl/>
        </w:rPr>
        <w:t xml:space="preserve"> אלא יטהו על צדו ויתגלגל הנה והנה בתוך הדלי בבור</w:t>
      </w:r>
      <w:r>
        <w:rPr>
          <w:rFonts w:hint="cs"/>
          <w:rtl/>
        </w:rPr>
        <w:t>,</w:t>
      </w:r>
      <w:r w:rsidRPr="0089728F">
        <w:rPr>
          <w:rtl/>
        </w:rPr>
        <w:t xml:space="preserve"> ואין להקשות מאי שנא מפרסת רגל האדם העומד בקרקע במקוה ואינו חוצץ דהתם אמרינן דמי מקוה באין לשם טרם יתן רגלו בארץ</w:t>
      </w:r>
      <w:r>
        <w:rPr>
          <w:rFonts w:hint="cs"/>
          <w:rtl/>
        </w:rPr>
        <w:t>,</w:t>
      </w:r>
      <w:r w:rsidRPr="0089728F">
        <w:rPr>
          <w:rtl/>
        </w:rPr>
        <w:t xml:space="preserve"> ודוקא מי מקוה</w:t>
      </w:r>
      <w:r>
        <w:rPr>
          <w:rFonts w:hint="cs"/>
          <w:rtl/>
        </w:rPr>
        <w:t>,</w:t>
      </w:r>
      <w:r w:rsidRPr="0089728F">
        <w:rPr>
          <w:rtl/>
        </w:rPr>
        <w:t xml:space="preserve"> אבל כאן כשנותן הזכוכית בדלי אפילו מלא מים אינו מועיל כי הם תלושין</w:t>
      </w:r>
      <w:r>
        <w:rPr>
          <w:rStyle w:val="a7"/>
          <w:rtl/>
        </w:rPr>
        <w:footnoteReference w:id="2877"/>
      </w:r>
      <w:r>
        <w:rPr>
          <w:rFonts w:hint="cs"/>
          <w:rtl/>
        </w:rPr>
        <w:t xml:space="preserve">. </w:t>
      </w:r>
      <w:r w:rsidRPr="00E85D61">
        <w:rPr>
          <w:rFonts w:hint="cs"/>
          <w:color w:val="E36C0A" w:themeColor="accent6" w:themeShade="BF"/>
          <w:rtl/>
        </w:rPr>
        <w:t xml:space="preserve">(וכ"פ בשו"ע </w:t>
      </w:r>
      <w:r>
        <w:rPr>
          <w:rFonts w:hint="cs"/>
          <w:sz w:val="16"/>
          <w:szCs w:val="16"/>
          <w:rtl/>
        </w:rPr>
        <w:t>[סי' רב סע' ח]</w:t>
      </w:r>
      <w:r w:rsidRPr="00E85D61">
        <w:rPr>
          <w:rFonts w:hint="cs"/>
          <w:color w:val="E36C0A" w:themeColor="accent6" w:themeShade="BF"/>
          <w:rtl/>
        </w:rPr>
        <w:t>)</w:t>
      </w:r>
    </w:p>
    <w:p w14:paraId="4B2365F6" w14:textId="77777777" w:rsidR="002C39F4" w:rsidRDefault="002C39F4" w:rsidP="0032102C">
      <w:pPr>
        <w:pStyle w:val="a8"/>
        <w:numPr>
          <w:ilvl w:val="0"/>
          <w:numId w:val="300"/>
        </w:numPr>
      </w:pPr>
      <w:r>
        <w:rPr>
          <w:rtl/>
        </w:rPr>
        <w:t>או"ה</w:t>
      </w:r>
      <w:r w:rsidRPr="00015121">
        <w:rPr>
          <w:rtl/>
        </w:rPr>
        <w:t xml:space="preserve"> </w:t>
      </w:r>
      <w:r w:rsidRPr="00015121">
        <w:rPr>
          <w:rFonts w:hint="cs"/>
          <w:sz w:val="16"/>
          <w:szCs w:val="16"/>
          <w:rtl/>
        </w:rPr>
        <w:t>(</w:t>
      </w:r>
      <w:r w:rsidRPr="00015121">
        <w:rPr>
          <w:sz w:val="16"/>
          <w:szCs w:val="16"/>
          <w:rtl/>
        </w:rPr>
        <w:t>כלל נח דין צו)</w:t>
      </w:r>
      <w:r>
        <w:rPr>
          <w:rFonts w:hint="cs"/>
          <w:rtl/>
        </w:rPr>
        <w:t xml:space="preserve">- </w:t>
      </w:r>
      <w:r w:rsidRPr="0089728F">
        <w:rPr>
          <w:rtl/>
        </w:rPr>
        <w:t>הא דמותר להטביל כלי שאין בפיו כשפופרת הנוד היינו שמילא הכלי מים תחלה אפילו שאובים</w:t>
      </w:r>
      <w:r>
        <w:rPr>
          <w:rFonts w:hint="cs"/>
          <w:rtl/>
        </w:rPr>
        <w:t>,</w:t>
      </w:r>
      <w:r w:rsidRPr="0089728F">
        <w:rPr>
          <w:rtl/>
        </w:rPr>
        <w:t xml:space="preserve"> ומהני ע"י נשיקה</w:t>
      </w:r>
      <w:r>
        <w:rPr>
          <w:rFonts w:hint="cs"/>
          <w:rtl/>
        </w:rPr>
        <w:t>,</w:t>
      </w:r>
      <w:r w:rsidRPr="0089728F">
        <w:rPr>
          <w:rtl/>
        </w:rPr>
        <w:t xml:space="preserve"> אבל בלא מים לא עלתה לו טבילה</w:t>
      </w:r>
      <w:r>
        <w:rPr>
          <w:rFonts w:hint="cs"/>
          <w:rtl/>
        </w:rPr>
        <w:t>.</w:t>
      </w:r>
    </w:p>
    <w:p w14:paraId="280B720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A2219FC" w14:textId="77777777" w:rsidR="002C39F4" w:rsidRDefault="002C39F4" w:rsidP="002C39F4">
      <w:pPr>
        <w:rPr>
          <w:rFonts w:asciiTheme="minorBidi" w:hAnsiTheme="minorBidi"/>
          <w:rtl/>
        </w:rPr>
      </w:pPr>
      <w:r w:rsidRPr="003024E5">
        <w:rPr>
          <w:rFonts w:asciiTheme="minorBidi" w:hAnsiTheme="minorBidi"/>
          <w:rtl/>
        </w:rPr>
        <w:t>צריך שיהא הכלי רפוי בידו בשעת טבילה, שאם מהדקו בידו הוי חציצה</w:t>
      </w:r>
      <w:r>
        <w:rPr>
          <w:rFonts w:asciiTheme="minorBidi" w:hAnsiTheme="minorBidi" w:hint="cs"/>
          <w:rtl/>
        </w:rPr>
        <w:t>.</w:t>
      </w:r>
      <w:r w:rsidRPr="003024E5">
        <w:rPr>
          <w:rFonts w:asciiTheme="minorBidi" w:hAnsiTheme="minorBidi"/>
          <w:rtl/>
        </w:rPr>
        <w:t xml:space="preserve"> ואם לחלח ידו במים תחלה אין לחוש. </w:t>
      </w:r>
      <w:r>
        <w:rPr>
          <w:rFonts w:asciiTheme="minorBidi" w:hAnsiTheme="minorBidi" w:hint="cs"/>
          <w:sz w:val="18"/>
          <w:szCs w:val="18"/>
          <w:rtl/>
        </w:rPr>
        <w:t xml:space="preserve">[הגה] </w:t>
      </w:r>
      <w:r w:rsidRPr="007B63D3">
        <w:rPr>
          <w:rFonts w:asciiTheme="minorBidi" w:hAnsiTheme="minorBidi"/>
          <w:sz w:val="18"/>
          <w:szCs w:val="18"/>
          <w:rtl/>
        </w:rPr>
        <w:t>ודוקא שלחלח ידיו במי מקוה, אבל לא במים תלושים</w:t>
      </w:r>
      <w:r>
        <w:rPr>
          <w:rStyle w:val="a7"/>
          <w:rFonts w:asciiTheme="minorBidi" w:hAnsiTheme="minorBidi"/>
          <w:sz w:val="18"/>
          <w:szCs w:val="18"/>
          <w:rtl/>
        </w:rPr>
        <w:footnoteReference w:id="2878"/>
      </w:r>
      <w:r w:rsidRPr="007B63D3">
        <w:rPr>
          <w:rFonts w:asciiTheme="minorBidi" w:hAnsiTheme="minorBidi"/>
          <w:sz w:val="18"/>
          <w:szCs w:val="18"/>
          <w:rtl/>
        </w:rPr>
        <w:t xml:space="preserve"> (כ"מ ממרדכי).</w:t>
      </w:r>
      <w:r w:rsidRPr="003024E5">
        <w:rPr>
          <w:rFonts w:asciiTheme="minorBidi" w:hAnsiTheme="minorBidi"/>
          <w:rtl/>
        </w:rPr>
        <w:t xml:space="preserve"> </w:t>
      </w:r>
    </w:p>
    <w:p w14:paraId="694BAF29" w14:textId="77777777" w:rsidR="002C39F4" w:rsidRPr="003024E5" w:rsidRDefault="002C39F4" w:rsidP="002C39F4">
      <w:pPr>
        <w:rPr>
          <w:rFonts w:asciiTheme="minorBidi" w:hAnsiTheme="minorBidi"/>
          <w:rtl/>
        </w:rPr>
      </w:pPr>
    </w:p>
    <w:p w14:paraId="178BB733"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נוסח ברכת הטבלת כלים.</w:t>
      </w:r>
    </w:p>
    <w:p w14:paraId="65FFEA4E" w14:textId="77777777" w:rsidR="002C39F4" w:rsidRDefault="002C39F4" w:rsidP="002C39F4">
      <w:pPr>
        <w:rPr>
          <w:rtl/>
        </w:rPr>
      </w:pPr>
      <w:r>
        <w:rPr>
          <w:rFonts w:hint="cs"/>
          <w:u w:val="single"/>
          <w:rtl/>
        </w:rPr>
        <w:t xml:space="preserve">כיצד נכון לברך </w:t>
      </w:r>
      <w:r w:rsidRPr="00925644">
        <w:rPr>
          <w:rFonts w:hint="cs"/>
          <w:u w:val="single"/>
          <w:rtl/>
        </w:rPr>
        <w:t xml:space="preserve">על </w:t>
      </w:r>
      <w:r>
        <w:rPr>
          <w:rFonts w:hint="cs"/>
          <w:u w:val="single"/>
          <w:rtl/>
        </w:rPr>
        <w:t>ה</w:t>
      </w:r>
      <w:r w:rsidRPr="00925644">
        <w:rPr>
          <w:rFonts w:hint="cs"/>
          <w:u w:val="single"/>
          <w:rtl/>
        </w:rPr>
        <w:t>טבלת כלים</w:t>
      </w:r>
      <w:r>
        <w:rPr>
          <w:rFonts w:hint="cs"/>
          <w:u w:val="single"/>
          <w:rtl/>
        </w:rPr>
        <w:t>, בא"י אמ"ה אקב"ו-...</w:t>
      </w:r>
      <w:r w:rsidRPr="00925644">
        <w:rPr>
          <w:rFonts w:hint="cs"/>
          <w:u w:val="single"/>
          <w:rtl/>
        </w:rPr>
        <w:t>:</w:t>
      </w:r>
    </w:p>
    <w:p w14:paraId="25CC96D1" w14:textId="77777777" w:rsidR="002C39F4" w:rsidRPr="007F333A" w:rsidRDefault="002C39F4" w:rsidP="0032102C">
      <w:pPr>
        <w:pStyle w:val="a8"/>
        <w:numPr>
          <w:ilvl w:val="0"/>
          <w:numId w:val="300"/>
        </w:numPr>
        <w:rPr>
          <w:rtl/>
        </w:rPr>
      </w:pPr>
      <w:r>
        <w:rPr>
          <w:rFonts w:hint="cs"/>
          <w:rtl/>
        </w:rPr>
        <w:t>טור- '</w:t>
      </w:r>
      <w:r w:rsidRPr="00925644">
        <w:rPr>
          <w:rFonts w:cs="Arial"/>
          <w:rtl/>
        </w:rPr>
        <w:t>על טבילת כלי</w:t>
      </w:r>
      <w:r>
        <w:rPr>
          <w:rFonts w:cs="Arial" w:hint="cs"/>
          <w:rtl/>
        </w:rPr>
        <w:t>',</w:t>
      </w:r>
      <w:r w:rsidRPr="00925644">
        <w:rPr>
          <w:rFonts w:cs="Arial"/>
          <w:rtl/>
        </w:rPr>
        <w:t xml:space="preserve"> ואם מטביל ב' או ג' ביחד יאמר </w:t>
      </w:r>
      <w:r>
        <w:rPr>
          <w:rFonts w:cs="Arial" w:hint="cs"/>
          <w:rtl/>
        </w:rPr>
        <w:t>'</w:t>
      </w:r>
      <w:r w:rsidRPr="00925644">
        <w:rPr>
          <w:rFonts w:cs="Arial"/>
          <w:rtl/>
        </w:rPr>
        <w:t>על טבילת כלים</w:t>
      </w:r>
      <w:r>
        <w:rPr>
          <w:rFonts w:cs="Arial" w:hint="cs"/>
          <w:rtl/>
        </w:rPr>
        <w:t>'</w:t>
      </w:r>
      <w:r w:rsidRPr="00925644">
        <w:rPr>
          <w:rFonts w:cs="Arial" w:hint="cs"/>
          <w:rtl/>
        </w:rPr>
        <w:t>.</w:t>
      </w:r>
      <w:r>
        <w:rPr>
          <w:rFonts w:hint="cs"/>
          <w:rtl/>
        </w:rPr>
        <w:t xml:space="preserve"> </w:t>
      </w:r>
      <w:r w:rsidRPr="00E85D61">
        <w:rPr>
          <w:rFonts w:hint="cs"/>
          <w:color w:val="E36C0A" w:themeColor="accent6" w:themeShade="BF"/>
          <w:rtl/>
        </w:rPr>
        <w:t>(וכ"פ בשו"ע</w:t>
      </w:r>
      <w:r>
        <w:rPr>
          <w:rFonts w:hint="cs"/>
          <w:color w:val="E36C0A" w:themeColor="accent6" w:themeShade="BF"/>
          <w:rtl/>
        </w:rPr>
        <w:t>)</w:t>
      </w:r>
    </w:p>
    <w:p w14:paraId="34C299A8" w14:textId="77777777" w:rsidR="002C39F4" w:rsidRPr="00925644" w:rsidRDefault="002C39F4" w:rsidP="0032102C">
      <w:pPr>
        <w:pStyle w:val="a8"/>
        <w:numPr>
          <w:ilvl w:val="0"/>
          <w:numId w:val="300"/>
        </w:numPr>
      </w:pPr>
      <w:r>
        <w:rPr>
          <w:rFonts w:cs="Arial" w:hint="cs"/>
          <w:rtl/>
        </w:rPr>
        <w:t>רשב"ם</w:t>
      </w:r>
      <w:r w:rsidRPr="00925644">
        <w:rPr>
          <w:rFonts w:cs="Arial"/>
          <w:sz w:val="16"/>
          <w:szCs w:val="16"/>
          <w:rtl/>
        </w:rPr>
        <w:t xml:space="preserve"> </w:t>
      </w:r>
      <w:r w:rsidRPr="00925644">
        <w:rPr>
          <w:rFonts w:cs="Arial" w:hint="cs"/>
          <w:sz w:val="16"/>
          <w:szCs w:val="16"/>
          <w:rtl/>
        </w:rPr>
        <w:t>(</w:t>
      </w:r>
      <w:r>
        <w:rPr>
          <w:rFonts w:cs="Arial" w:hint="cs"/>
          <w:sz w:val="16"/>
          <w:szCs w:val="16"/>
          <w:rtl/>
        </w:rPr>
        <w:t>כ"כ המרדכי [</w:t>
      </w:r>
      <w:r w:rsidRPr="00925644">
        <w:rPr>
          <w:rFonts w:cs="Arial"/>
          <w:sz w:val="16"/>
          <w:szCs w:val="16"/>
          <w:rtl/>
        </w:rPr>
        <w:t>ע"ז סי' תתנט</w:t>
      </w:r>
      <w:r>
        <w:rPr>
          <w:rFonts w:cs="Arial" w:hint="cs"/>
          <w:sz w:val="16"/>
          <w:szCs w:val="16"/>
          <w:rtl/>
        </w:rPr>
        <w:t>] בשמו</w:t>
      </w:r>
      <w:r w:rsidRPr="00925644">
        <w:rPr>
          <w:rFonts w:cs="Arial"/>
          <w:sz w:val="16"/>
          <w:szCs w:val="16"/>
          <w:rtl/>
        </w:rPr>
        <w:t>)</w:t>
      </w:r>
      <w:r>
        <w:rPr>
          <w:rFonts w:cs="Arial" w:hint="cs"/>
          <w:rtl/>
        </w:rPr>
        <w:t xml:space="preserve"> וה"ר זלמן רוקניל </w:t>
      </w:r>
      <w:r>
        <w:rPr>
          <w:rFonts w:cs="Arial" w:hint="cs"/>
          <w:sz w:val="16"/>
          <w:szCs w:val="16"/>
          <w:rtl/>
        </w:rPr>
        <w:t>(כ"כ מהרי"ל</w:t>
      </w:r>
      <w:r>
        <w:rPr>
          <w:rStyle w:val="a7"/>
          <w:rFonts w:cs="Arial"/>
          <w:sz w:val="16"/>
          <w:szCs w:val="16"/>
          <w:rtl/>
        </w:rPr>
        <w:footnoteReference w:id="2879"/>
      </w:r>
      <w:r>
        <w:rPr>
          <w:rFonts w:cs="Arial" w:hint="cs"/>
          <w:sz w:val="16"/>
          <w:szCs w:val="16"/>
          <w:rtl/>
        </w:rPr>
        <w:t xml:space="preserve"> [הל' נדה עמ' תקצז] בשמו)</w:t>
      </w:r>
      <w:r>
        <w:rPr>
          <w:rFonts w:cs="Arial" w:hint="cs"/>
          <w:rtl/>
        </w:rPr>
        <w:t>- '</w:t>
      </w:r>
      <w:r w:rsidRPr="00925644">
        <w:rPr>
          <w:rFonts w:cs="Arial"/>
          <w:rtl/>
        </w:rPr>
        <w:t>על הטבילה</w:t>
      </w:r>
      <w:r>
        <w:rPr>
          <w:rFonts w:cs="Arial" w:hint="cs"/>
          <w:rtl/>
        </w:rPr>
        <w:t>'.</w:t>
      </w:r>
    </w:p>
    <w:p w14:paraId="288D91AF" w14:textId="77777777" w:rsidR="002C39F4" w:rsidRPr="00925644" w:rsidRDefault="002C39F4" w:rsidP="0032102C">
      <w:pPr>
        <w:pStyle w:val="a8"/>
        <w:numPr>
          <w:ilvl w:val="0"/>
          <w:numId w:val="300"/>
        </w:numPr>
      </w:pPr>
      <w:r>
        <w:rPr>
          <w:rFonts w:cs="Arial" w:hint="cs"/>
          <w:rtl/>
        </w:rPr>
        <w:t xml:space="preserve">י"א </w:t>
      </w:r>
      <w:r w:rsidRPr="00925644">
        <w:rPr>
          <w:rFonts w:cs="Arial" w:hint="cs"/>
          <w:sz w:val="16"/>
          <w:szCs w:val="16"/>
          <w:rtl/>
        </w:rPr>
        <w:t>(</w:t>
      </w:r>
      <w:r>
        <w:rPr>
          <w:rFonts w:cs="Arial" w:hint="cs"/>
          <w:sz w:val="16"/>
          <w:szCs w:val="16"/>
          <w:rtl/>
        </w:rPr>
        <w:t>הביאם המרדכי [שם]</w:t>
      </w:r>
      <w:r w:rsidRPr="00925644">
        <w:rPr>
          <w:rFonts w:cs="Arial"/>
          <w:sz w:val="16"/>
          <w:szCs w:val="16"/>
          <w:rtl/>
        </w:rPr>
        <w:t>)</w:t>
      </w:r>
      <w:r>
        <w:rPr>
          <w:rFonts w:cs="Arial" w:hint="cs"/>
          <w:rtl/>
        </w:rPr>
        <w:t>- 'על טבילת כלים'.</w:t>
      </w:r>
      <w:r w:rsidRPr="00925644">
        <w:rPr>
          <w:rFonts w:cs="Arial"/>
          <w:rtl/>
        </w:rPr>
        <w:t xml:space="preserve"> </w:t>
      </w:r>
    </w:p>
    <w:p w14:paraId="5A1A9D45" w14:textId="77777777" w:rsidR="002C39F4" w:rsidRPr="007B63D3" w:rsidRDefault="002C39F4" w:rsidP="0032102C">
      <w:pPr>
        <w:pStyle w:val="a8"/>
        <w:numPr>
          <w:ilvl w:val="0"/>
          <w:numId w:val="300"/>
        </w:numPr>
        <w:rPr>
          <w:rtl/>
        </w:rPr>
      </w:pPr>
      <w:r>
        <w:rPr>
          <w:rFonts w:cs="Arial" w:hint="cs"/>
          <w:rtl/>
        </w:rPr>
        <w:t xml:space="preserve">או"ז </w:t>
      </w:r>
      <w:r>
        <w:rPr>
          <w:rFonts w:cs="Arial" w:hint="cs"/>
          <w:sz w:val="16"/>
          <w:szCs w:val="16"/>
          <w:rtl/>
        </w:rPr>
        <w:t>(כ"כ בשמו ההג</w:t>
      </w:r>
      <w:r>
        <w:rPr>
          <w:rFonts w:cs="Arial"/>
          <w:sz w:val="16"/>
          <w:szCs w:val="16"/>
          <w:rtl/>
        </w:rPr>
        <w:t>"</w:t>
      </w:r>
      <w:r>
        <w:rPr>
          <w:rFonts w:cs="Arial" w:hint="cs"/>
          <w:sz w:val="16"/>
          <w:szCs w:val="16"/>
          <w:rtl/>
        </w:rPr>
        <w:t xml:space="preserve">א ע"ז פ"ה סי' לה) </w:t>
      </w:r>
      <w:r>
        <w:rPr>
          <w:rFonts w:cs="Arial" w:hint="cs"/>
          <w:rtl/>
        </w:rPr>
        <w:t xml:space="preserve">י"א </w:t>
      </w:r>
      <w:r w:rsidRPr="00925644">
        <w:rPr>
          <w:rFonts w:cs="Arial" w:hint="cs"/>
          <w:sz w:val="16"/>
          <w:szCs w:val="16"/>
          <w:rtl/>
        </w:rPr>
        <w:t>(</w:t>
      </w:r>
      <w:r>
        <w:rPr>
          <w:rFonts w:cs="Arial" w:hint="cs"/>
          <w:sz w:val="16"/>
          <w:szCs w:val="16"/>
          <w:rtl/>
        </w:rPr>
        <w:t>הביאם המרדכי [שם]</w:t>
      </w:r>
      <w:r w:rsidRPr="00925644">
        <w:rPr>
          <w:rFonts w:cs="Arial"/>
          <w:sz w:val="16"/>
          <w:szCs w:val="16"/>
          <w:rtl/>
        </w:rPr>
        <w:t>)</w:t>
      </w:r>
      <w:r>
        <w:rPr>
          <w:rFonts w:cs="Arial" w:hint="cs"/>
          <w:rtl/>
        </w:rPr>
        <w:t xml:space="preserve"> ואו</w:t>
      </w:r>
      <w:r>
        <w:rPr>
          <w:rFonts w:cs="Arial"/>
          <w:rtl/>
        </w:rPr>
        <w:t>"</w:t>
      </w:r>
      <w:r>
        <w:rPr>
          <w:rFonts w:cs="Arial" w:hint="cs"/>
          <w:rtl/>
        </w:rPr>
        <w:t xml:space="preserve">ה </w:t>
      </w:r>
      <w:r>
        <w:rPr>
          <w:rFonts w:cs="Arial" w:hint="cs"/>
          <w:sz w:val="16"/>
          <w:szCs w:val="16"/>
          <w:rtl/>
        </w:rPr>
        <w:t>(כלל נח דק"ג)</w:t>
      </w:r>
      <w:r>
        <w:rPr>
          <w:rFonts w:cs="Arial" w:hint="cs"/>
          <w:rtl/>
        </w:rPr>
        <w:t>- '</w:t>
      </w:r>
      <w:r w:rsidRPr="00925644">
        <w:rPr>
          <w:rFonts w:cs="Arial"/>
          <w:rtl/>
        </w:rPr>
        <w:t>על טבילת כלי מתכות</w:t>
      </w:r>
      <w:r>
        <w:rPr>
          <w:rFonts w:cs="Arial" w:hint="cs"/>
          <w:rtl/>
        </w:rPr>
        <w:t>'</w:t>
      </w:r>
      <w:r>
        <w:rPr>
          <w:rStyle w:val="a7"/>
          <w:rFonts w:cs="Arial"/>
          <w:rtl/>
        </w:rPr>
        <w:footnoteReference w:id="2880"/>
      </w:r>
      <w:r>
        <w:rPr>
          <w:rFonts w:cs="Arial" w:hint="cs"/>
          <w:rtl/>
        </w:rPr>
        <w:t>. (וכ"פ הב"ח</w:t>
      </w:r>
      <w:r>
        <w:rPr>
          <w:rFonts w:cs="Arial" w:hint="cs"/>
          <w:sz w:val="18"/>
          <w:szCs w:val="18"/>
          <w:rtl/>
        </w:rPr>
        <w:t xml:space="preserve"> </w:t>
      </w:r>
      <w:r w:rsidRPr="00882F98">
        <w:rPr>
          <w:rFonts w:cs="Arial" w:hint="cs"/>
          <w:sz w:val="16"/>
          <w:szCs w:val="16"/>
          <w:rtl/>
        </w:rPr>
        <w:t>[עמ' סג</w:t>
      </w:r>
      <w:r>
        <w:rPr>
          <w:rFonts w:cs="Arial" w:hint="cs"/>
          <w:sz w:val="16"/>
          <w:szCs w:val="16"/>
          <w:rtl/>
        </w:rPr>
        <w:t xml:space="preserve"> ד"ה ויברך]</w:t>
      </w:r>
      <w:r>
        <w:rPr>
          <w:rFonts w:cs="Arial" w:hint="cs"/>
          <w:rtl/>
        </w:rPr>
        <w:t>)</w:t>
      </w:r>
    </w:p>
    <w:p w14:paraId="4A1050D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EF9E360" w14:textId="77777777" w:rsidR="002C39F4" w:rsidRDefault="002C39F4" w:rsidP="002C39F4">
      <w:pPr>
        <w:rPr>
          <w:rFonts w:asciiTheme="minorBidi" w:hAnsiTheme="minorBidi"/>
          <w:rtl/>
        </w:rPr>
      </w:pPr>
      <w:r w:rsidRPr="003024E5">
        <w:rPr>
          <w:rFonts w:asciiTheme="minorBidi" w:hAnsiTheme="minorBidi"/>
          <w:rtl/>
        </w:rPr>
        <w:t>יברך</w:t>
      </w:r>
      <w:r>
        <w:rPr>
          <w:rFonts w:asciiTheme="minorBidi" w:hAnsiTheme="minorBidi" w:hint="cs"/>
          <w:rtl/>
        </w:rPr>
        <w:t>:</w:t>
      </w:r>
      <w:r w:rsidRPr="003024E5">
        <w:rPr>
          <w:rFonts w:asciiTheme="minorBidi" w:hAnsiTheme="minorBidi"/>
          <w:rtl/>
        </w:rPr>
        <w:t xml:space="preserve"> על טבילת כלי</w:t>
      </w:r>
      <w:r>
        <w:rPr>
          <w:rFonts w:asciiTheme="minorBidi" w:hAnsiTheme="minorBidi" w:hint="cs"/>
          <w:rtl/>
        </w:rPr>
        <w:t>.</w:t>
      </w:r>
      <w:r w:rsidRPr="003024E5">
        <w:rPr>
          <w:rFonts w:asciiTheme="minorBidi" w:hAnsiTheme="minorBidi"/>
          <w:rtl/>
        </w:rPr>
        <w:t xml:space="preserve"> ואם הם שנים או יותר מברך: על טבילת כלים</w:t>
      </w:r>
      <w:r>
        <w:rPr>
          <w:rStyle w:val="a7"/>
          <w:rFonts w:asciiTheme="minorBidi" w:hAnsiTheme="minorBidi"/>
          <w:rtl/>
        </w:rPr>
        <w:footnoteReference w:id="2881"/>
      </w:r>
      <w:r w:rsidRPr="003024E5">
        <w:rPr>
          <w:rFonts w:asciiTheme="minorBidi" w:hAnsiTheme="minorBidi"/>
          <w:rtl/>
        </w:rPr>
        <w:t xml:space="preserve">. </w:t>
      </w:r>
    </w:p>
    <w:p w14:paraId="0394DE94" w14:textId="77777777" w:rsidR="002C39F4" w:rsidRPr="003024E5" w:rsidRDefault="002C39F4" w:rsidP="002C39F4">
      <w:pPr>
        <w:rPr>
          <w:rFonts w:asciiTheme="minorBidi" w:hAnsiTheme="minorBidi"/>
          <w:rtl/>
        </w:rPr>
      </w:pPr>
    </w:p>
    <w:p w14:paraId="012B7B42" w14:textId="77777777" w:rsidR="002C39F4" w:rsidRPr="00AB2BF3"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כלי שהמאכל לא נוגע בו.</w:t>
      </w:r>
    </w:p>
    <w:p w14:paraId="7C243BE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51A540D" w14:textId="77777777" w:rsidR="002C39F4" w:rsidRDefault="002C39F4" w:rsidP="002C39F4">
      <w:pPr>
        <w:rPr>
          <w:rFonts w:asciiTheme="minorBidi" w:hAnsiTheme="minorBidi"/>
          <w:rtl/>
        </w:rPr>
      </w:pPr>
      <w:r w:rsidRPr="003024E5">
        <w:rPr>
          <w:rFonts w:asciiTheme="minorBidi" w:hAnsiTheme="minorBidi"/>
          <w:rtl/>
        </w:rPr>
        <w:t>טריפיד"ש ששופתים עליהם קדירו</w:t>
      </w:r>
      <w:r>
        <w:rPr>
          <w:rFonts w:asciiTheme="minorBidi" w:hAnsiTheme="minorBidi" w:hint="cs"/>
          <w:rtl/>
        </w:rPr>
        <w:t>ת</w:t>
      </w:r>
      <w:r w:rsidRPr="003024E5">
        <w:rPr>
          <w:rFonts w:asciiTheme="minorBidi" w:hAnsiTheme="minorBidi"/>
          <w:rtl/>
        </w:rPr>
        <w:t xml:space="preserve"> אינם טעונות טבילה</w:t>
      </w:r>
      <w:r>
        <w:rPr>
          <w:rStyle w:val="a7"/>
          <w:rFonts w:asciiTheme="minorBidi" w:hAnsiTheme="minorBidi"/>
          <w:rtl/>
        </w:rPr>
        <w:footnoteReference w:id="2882"/>
      </w:r>
      <w:r w:rsidRPr="003024E5">
        <w:rPr>
          <w:rFonts w:asciiTheme="minorBidi" w:hAnsiTheme="minorBidi"/>
          <w:rtl/>
        </w:rPr>
        <w:t>. אבל פדיליא"ש טעונות טבילה מפני שנותנים עליהם המאכל עצמו</w:t>
      </w:r>
      <w:r>
        <w:rPr>
          <w:rStyle w:val="a7"/>
          <w:rFonts w:asciiTheme="minorBidi" w:hAnsiTheme="minorBidi"/>
          <w:rtl/>
        </w:rPr>
        <w:footnoteReference w:id="2883"/>
      </w:r>
      <w:r w:rsidRPr="003024E5">
        <w:rPr>
          <w:rFonts w:asciiTheme="minorBidi" w:hAnsiTheme="minorBidi"/>
          <w:rtl/>
        </w:rPr>
        <w:t>.</w:t>
      </w:r>
    </w:p>
    <w:p w14:paraId="2E173AFC" w14:textId="77777777" w:rsidR="002C39F4" w:rsidRPr="003024E5" w:rsidRDefault="002C39F4" w:rsidP="002C39F4">
      <w:pPr>
        <w:rPr>
          <w:rFonts w:asciiTheme="minorBidi" w:hAnsiTheme="minorBidi"/>
          <w:rtl/>
        </w:rPr>
      </w:pPr>
    </w:p>
    <w:p w14:paraId="4C3E9B3B"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סכין שחיטה</w:t>
      </w:r>
      <w:r>
        <w:rPr>
          <w:rFonts w:asciiTheme="minorBidi" w:hAnsiTheme="minorBidi" w:hint="cs"/>
          <w:sz w:val="20"/>
          <w:szCs w:val="20"/>
          <w:rtl/>
        </w:rPr>
        <w:t xml:space="preserve"> (וכן שאר כלים שנוגעים במאכל כשאינו ראוי לאכילה)</w:t>
      </w:r>
      <w:r>
        <w:rPr>
          <w:rFonts w:asciiTheme="minorBidi" w:hAnsiTheme="minorBidi" w:hint="cs"/>
          <w:rtl/>
        </w:rPr>
        <w:t>.</w:t>
      </w:r>
    </w:p>
    <w:p w14:paraId="18D5FD6E" w14:textId="77777777" w:rsidR="002C39F4" w:rsidRDefault="002C39F4" w:rsidP="002C39F4">
      <w:pPr>
        <w:rPr>
          <w:rFonts w:cs="Arial"/>
          <w:rtl/>
        </w:rPr>
      </w:pPr>
      <w:r w:rsidRPr="00AB2BF3">
        <w:rPr>
          <w:rFonts w:cs="Arial" w:hint="cs"/>
          <w:u w:val="single"/>
          <w:rtl/>
        </w:rPr>
        <w:t>האם סכין שחיטה טעון טבילה:</w:t>
      </w:r>
    </w:p>
    <w:p w14:paraId="64681404" w14:textId="77777777" w:rsidR="002C39F4" w:rsidRPr="0080341F" w:rsidRDefault="002C39F4" w:rsidP="0032102C">
      <w:pPr>
        <w:pStyle w:val="a8"/>
        <w:numPr>
          <w:ilvl w:val="0"/>
          <w:numId w:val="302"/>
        </w:numPr>
      </w:pPr>
      <w:r>
        <w:rPr>
          <w:rFonts w:cs="Arial" w:hint="cs"/>
          <w:rtl/>
        </w:rPr>
        <w:t>ראבי"ה</w:t>
      </w:r>
      <w:r>
        <w:rPr>
          <w:rFonts w:cs="Arial" w:hint="cs"/>
          <w:sz w:val="16"/>
          <w:szCs w:val="16"/>
          <w:rtl/>
        </w:rPr>
        <w:t xml:space="preserve"> (כ"כ האו"ה בשמו)</w:t>
      </w:r>
      <w:r>
        <w:rPr>
          <w:rFonts w:cs="Arial" w:hint="cs"/>
          <w:rtl/>
        </w:rPr>
        <w:t xml:space="preserve"> </w:t>
      </w:r>
      <w:r w:rsidRPr="00AB2BF3">
        <w:rPr>
          <w:rFonts w:cs="Arial"/>
          <w:rtl/>
        </w:rPr>
        <w:t xml:space="preserve">מרדכי </w:t>
      </w:r>
      <w:r w:rsidRPr="00AB2BF3">
        <w:rPr>
          <w:rFonts w:cs="Arial" w:hint="cs"/>
          <w:sz w:val="16"/>
          <w:szCs w:val="16"/>
          <w:rtl/>
        </w:rPr>
        <w:t>(</w:t>
      </w:r>
      <w:r w:rsidRPr="00AB2BF3">
        <w:rPr>
          <w:rFonts w:cs="Arial"/>
          <w:sz w:val="16"/>
          <w:szCs w:val="16"/>
          <w:rtl/>
        </w:rPr>
        <w:t>חולין סי' תקעז)</w:t>
      </w:r>
      <w:r w:rsidRPr="0080341F">
        <w:rPr>
          <w:rFonts w:cs="Arial"/>
          <w:rtl/>
        </w:rPr>
        <w:t xml:space="preserve"> </w:t>
      </w:r>
      <w:r>
        <w:rPr>
          <w:rFonts w:cs="Arial" w:hint="cs"/>
          <w:rtl/>
        </w:rPr>
        <w:t>ו</w:t>
      </w:r>
      <w:r>
        <w:rPr>
          <w:rFonts w:cs="Arial"/>
          <w:rtl/>
        </w:rPr>
        <w:t>או"ה</w:t>
      </w:r>
      <w:r w:rsidRPr="007F333A">
        <w:rPr>
          <w:rFonts w:cs="Arial"/>
          <w:rtl/>
        </w:rPr>
        <w:t xml:space="preserve"> </w:t>
      </w:r>
      <w:r w:rsidRPr="0080341F">
        <w:rPr>
          <w:rFonts w:cs="Arial"/>
          <w:sz w:val="16"/>
          <w:szCs w:val="16"/>
          <w:rtl/>
        </w:rPr>
        <w:t>(כלל נח דפ</w:t>
      </w:r>
      <w:r>
        <w:rPr>
          <w:rFonts w:cs="Arial" w:hint="cs"/>
          <w:sz w:val="16"/>
          <w:szCs w:val="16"/>
          <w:rtl/>
        </w:rPr>
        <w:t>"ד</w:t>
      </w:r>
      <w:r w:rsidRPr="0080341F">
        <w:rPr>
          <w:rFonts w:cs="Arial"/>
          <w:sz w:val="16"/>
          <w:szCs w:val="16"/>
          <w:rtl/>
        </w:rPr>
        <w:t>)</w:t>
      </w:r>
      <w:r w:rsidRPr="00AB2BF3">
        <w:rPr>
          <w:rFonts w:cs="Arial" w:hint="cs"/>
          <w:rtl/>
        </w:rPr>
        <w:t xml:space="preserve">- </w:t>
      </w:r>
      <w:r w:rsidRPr="0080341F">
        <w:rPr>
          <w:rFonts w:cs="Arial"/>
          <w:rtl/>
        </w:rPr>
        <w:t>סכין של שחיטה לא בעי טבילה</w:t>
      </w:r>
      <w:r>
        <w:rPr>
          <w:rStyle w:val="a7"/>
          <w:rFonts w:cs="Arial"/>
          <w:rtl/>
        </w:rPr>
        <w:footnoteReference w:id="2884"/>
      </w:r>
      <w:r>
        <w:rPr>
          <w:rFonts w:cs="Arial" w:hint="cs"/>
          <w:rtl/>
        </w:rPr>
        <w:t>.</w:t>
      </w:r>
      <w:r w:rsidRPr="0055457E">
        <w:rPr>
          <w:rFonts w:hint="cs"/>
          <w:color w:val="E36C0A" w:themeColor="accent6" w:themeShade="BF"/>
          <w:rtl/>
        </w:rPr>
        <w:t xml:space="preserve"> (וכ"כ בשו"ע)</w:t>
      </w:r>
    </w:p>
    <w:p w14:paraId="07D4B9FE" w14:textId="77777777" w:rsidR="002C39F4" w:rsidRPr="00310028" w:rsidRDefault="002C39F4" w:rsidP="0032102C">
      <w:pPr>
        <w:pStyle w:val="a8"/>
        <w:numPr>
          <w:ilvl w:val="0"/>
          <w:numId w:val="302"/>
        </w:numPr>
      </w:pPr>
      <w:r w:rsidRPr="007F333A">
        <w:rPr>
          <w:rFonts w:cs="Arial"/>
          <w:rtl/>
        </w:rPr>
        <w:t>הגה</w:t>
      </w:r>
      <w:r>
        <w:rPr>
          <w:rFonts w:cs="Arial" w:hint="cs"/>
          <w:rtl/>
        </w:rPr>
        <w:t xml:space="preserve">' או"ה </w:t>
      </w:r>
      <w:r w:rsidRPr="00310028">
        <w:rPr>
          <w:rFonts w:cs="Arial" w:hint="cs"/>
          <w:sz w:val="16"/>
          <w:szCs w:val="16"/>
          <w:rtl/>
        </w:rPr>
        <w:t>(כלל נח דפ</w:t>
      </w:r>
      <w:r>
        <w:rPr>
          <w:rFonts w:cs="Arial" w:hint="cs"/>
          <w:sz w:val="16"/>
          <w:szCs w:val="16"/>
          <w:rtl/>
        </w:rPr>
        <w:t>"</w:t>
      </w:r>
      <w:r w:rsidRPr="00310028">
        <w:rPr>
          <w:rFonts w:cs="Arial" w:hint="cs"/>
          <w:sz w:val="16"/>
          <w:szCs w:val="16"/>
          <w:rtl/>
        </w:rPr>
        <w:t>ד הגה' א)</w:t>
      </w:r>
      <w:r>
        <w:rPr>
          <w:rFonts w:cs="Arial" w:hint="cs"/>
          <w:rtl/>
        </w:rPr>
        <w:t>-</w:t>
      </w:r>
      <w:r w:rsidRPr="00310028">
        <w:rPr>
          <w:rFonts w:cs="Arial"/>
          <w:rtl/>
        </w:rPr>
        <w:t xml:space="preserve"> מהר"ם נהג כמהר"ש </w:t>
      </w:r>
      <w:r w:rsidRPr="00310028">
        <w:rPr>
          <w:rFonts w:cs="Arial"/>
          <w:sz w:val="16"/>
          <w:szCs w:val="16"/>
          <w:rtl/>
        </w:rPr>
        <w:t>(מנהגי מהר"ש סי' תמז, הוצ</w:t>
      </w:r>
      <w:r w:rsidRPr="00310028">
        <w:rPr>
          <w:rFonts w:cs="Arial" w:hint="cs"/>
          <w:sz w:val="16"/>
          <w:szCs w:val="16"/>
          <w:rtl/>
        </w:rPr>
        <w:t>את</w:t>
      </w:r>
      <w:r w:rsidRPr="00310028">
        <w:rPr>
          <w:rFonts w:cs="Arial"/>
          <w:sz w:val="16"/>
          <w:szCs w:val="16"/>
          <w:rtl/>
        </w:rPr>
        <w:t xml:space="preserve"> י-ם)</w:t>
      </w:r>
      <w:r>
        <w:rPr>
          <w:rFonts w:cs="Arial" w:hint="cs"/>
          <w:sz w:val="16"/>
          <w:szCs w:val="16"/>
          <w:rtl/>
        </w:rPr>
        <w:t xml:space="preserve"> </w:t>
      </w:r>
      <w:r w:rsidRPr="00310028">
        <w:rPr>
          <w:rFonts w:cs="Arial"/>
          <w:rtl/>
        </w:rPr>
        <w:t>שהצריכו טבילה ואפילו בברכה</w:t>
      </w:r>
      <w:r>
        <w:rPr>
          <w:rFonts w:cs="Arial" w:hint="cs"/>
          <w:rtl/>
        </w:rPr>
        <w:t>,</w:t>
      </w:r>
      <w:r w:rsidRPr="00310028">
        <w:rPr>
          <w:rFonts w:cs="Arial"/>
          <w:rtl/>
        </w:rPr>
        <w:t xml:space="preserve"> ואמר שטוב הוא לאכול בו לאפוקי נפשיה מפלוגתא עכ"ל הגה"ה</w:t>
      </w:r>
      <w:r>
        <w:rPr>
          <w:rFonts w:cs="Arial" w:hint="cs"/>
          <w:rtl/>
        </w:rPr>
        <w:t>,</w:t>
      </w:r>
      <w:r w:rsidRPr="00310028">
        <w:rPr>
          <w:rFonts w:cs="Arial"/>
          <w:rtl/>
        </w:rPr>
        <w:t xml:space="preserve"> ומסתמא ה"נ הסכין שמפשיטין בהן. אך אין נידון כמחטין שתופרין בה העופות דאי אפשר לשמשו למאכל אחר</w:t>
      </w:r>
      <w:r>
        <w:rPr>
          <w:rFonts w:cs="Arial" w:hint="cs"/>
          <w:sz w:val="16"/>
          <w:szCs w:val="16"/>
          <w:rtl/>
        </w:rPr>
        <w:t xml:space="preserve"> (עכ"ל הגה' או"ה)</w:t>
      </w:r>
      <w:r>
        <w:rPr>
          <w:rFonts w:cs="Arial" w:hint="cs"/>
          <w:rtl/>
        </w:rPr>
        <w:t>.</w:t>
      </w:r>
      <w:r w:rsidRPr="00310028">
        <w:rPr>
          <w:rFonts w:cs="Arial"/>
          <w:rtl/>
        </w:rPr>
        <w:t xml:space="preserve"> </w:t>
      </w:r>
    </w:p>
    <w:p w14:paraId="06F00544" w14:textId="77777777" w:rsidR="002C39F4" w:rsidRPr="00310028" w:rsidRDefault="002C39F4" w:rsidP="0032102C">
      <w:pPr>
        <w:pStyle w:val="a8"/>
        <w:numPr>
          <w:ilvl w:val="0"/>
          <w:numId w:val="302"/>
        </w:numPr>
      </w:pPr>
      <w:r w:rsidRPr="007F333A">
        <w:rPr>
          <w:rFonts w:cs="Arial"/>
          <w:rtl/>
        </w:rPr>
        <w:t xml:space="preserve">תשב"ץ </w:t>
      </w:r>
      <w:r>
        <w:rPr>
          <w:rFonts w:cs="Arial" w:hint="cs"/>
          <w:rtl/>
        </w:rPr>
        <w:t xml:space="preserve">קטן </w:t>
      </w:r>
      <w:r w:rsidRPr="00310028">
        <w:rPr>
          <w:rFonts w:cs="Arial"/>
          <w:sz w:val="16"/>
          <w:szCs w:val="16"/>
          <w:rtl/>
        </w:rPr>
        <w:t>(סי' שכו)</w:t>
      </w:r>
      <w:r>
        <w:rPr>
          <w:rFonts w:cs="Arial" w:hint="cs"/>
          <w:rtl/>
        </w:rPr>
        <w:t xml:space="preserve">- </w:t>
      </w:r>
      <w:r w:rsidRPr="00310028">
        <w:rPr>
          <w:rFonts w:cs="Arial"/>
          <w:rtl/>
        </w:rPr>
        <w:t>אין לשחוט תרנגולת או בהמה בסכין של נכרים או בסכין שלא טבל</w:t>
      </w:r>
      <w:r>
        <w:rPr>
          <w:rFonts w:cs="Arial" w:hint="cs"/>
          <w:rtl/>
        </w:rPr>
        <w:t>,</w:t>
      </w:r>
      <w:r w:rsidRPr="00310028">
        <w:rPr>
          <w:rFonts w:cs="Arial"/>
          <w:rtl/>
        </w:rPr>
        <w:t xml:space="preserve"> כדאמרי' סכין של נכרים אסור להשתמש בו. ור"ל הפירוש שאסור להשתמש בו שום מיני תשמיש עד לאחר טבילה</w:t>
      </w:r>
      <w:r>
        <w:rPr>
          <w:rFonts w:cs="Arial" w:hint="cs"/>
          <w:rtl/>
        </w:rPr>
        <w:t>,</w:t>
      </w:r>
      <w:r w:rsidRPr="00310028">
        <w:rPr>
          <w:rFonts w:cs="Arial"/>
          <w:rtl/>
        </w:rPr>
        <w:t xml:space="preserve"> ואם שחט בסכין של נכרים בעי קליפה במקום שחיטה</w:t>
      </w:r>
      <w:r>
        <w:rPr>
          <w:rFonts w:hint="cs"/>
          <w:rtl/>
        </w:rPr>
        <w:t>.</w:t>
      </w:r>
    </w:p>
    <w:p w14:paraId="4106B9D3" w14:textId="77777777" w:rsidR="002C39F4" w:rsidRPr="00310028" w:rsidRDefault="002C39F4" w:rsidP="002C39F4">
      <w:pPr>
        <w:rPr>
          <w:sz w:val="16"/>
          <w:szCs w:val="16"/>
        </w:rPr>
      </w:pPr>
      <w:r w:rsidRPr="00310028">
        <w:rPr>
          <w:rFonts w:hint="cs"/>
          <w:u w:val="single"/>
          <w:rtl/>
        </w:rPr>
        <w:t>כלים שמשמשין למאכל שאינו ראוי לאכילה עתה:</w:t>
      </w:r>
      <w:r w:rsidRPr="00310028">
        <w:rPr>
          <w:rFonts w:hint="cs"/>
          <w:sz w:val="16"/>
          <w:szCs w:val="16"/>
          <w:rtl/>
        </w:rPr>
        <w:t xml:space="preserve">    </w:t>
      </w:r>
      <w:r>
        <w:rPr>
          <w:rFonts w:hint="cs"/>
          <w:sz w:val="16"/>
          <w:szCs w:val="16"/>
          <w:rtl/>
        </w:rPr>
        <w:t>(דרכ"מ אות ד)</w:t>
      </w:r>
    </w:p>
    <w:p w14:paraId="3A13AF5E" w14:textId="77777777" w:rsidR="002C39F4" w:rsidRPr="0080341F" w:rsidRDefault="002C39F4" w:rsidP="0032102C">
      <w:pPr>
        <w:pStyle w:val="a8"/>
        <w:numPr>
          <w:ilvl w:val="0"/>
          <w:numId w:val="302"/>
        </w:numPr>
      </w:pPr>
      <w:r>
        <w:rPr>
          <w:rFonts w:cs="Arial" w:hint="cs"/>
          <w:rtl/>
        </w:rPr>
        <w:t>או</w:t>
      </w:r>
      <w:r>
        <w:rPr>
          <w:rFonts w:cs="Arial"/>
          <w:rtl/>
        </w:rPr>
        <w:t>"</w:t>
      </w:r>
      <w:r>
        <w:rPr>
          <w:rFonts w:cs="Arial" w:hint="cs"/>
          <w:rtl/>
        </w:rPr>
        <w:t xml:space="preserve">ה </w:t>
      </w:r>
      <w:r w:rsidRPr="00310028">
        <w:rPr>
          <w:rFonts w:cs="Arial" w:hint="cs"/>
          <w:sz w:val="16"/>
          <w:szCs w:val="16"/>
          <w:rtl/>
        </w:rPr>
        <w:t>(כלל נח דפ</w:t>
      </w:r>
      <w:r>
        <w:rPr>
          <w:rFonts w:cs="Arial" w:hint="cs"/>
          <w:sz w:val="16"/>
          <w:szCs w:val="16"/>
          <w:rtl/>
        </w:rPr>
        <w:t>"</w:t>
      </w:r>
      <w:r w:rsidRPr="00310028">
        <w:rPr>
          <w:rFonts w:cs="Arial" w:hint="cs"/>
          <w:sz w:val="16"/>
          <w:szCs w:val="16"/>
          <w:rtl/>
        </w:rPr>
        <w:t>ה)</w:t>
      </w:r>
      <w:r>
        <w:rPr>
          <w:rFonts w:cs="Arial" w:hint="cs"/>
          <w:rtl/>
        </w:rPr>
        <w:t xml:space="preserve">- </w:t>
      </w:r>
      <w:r w:rsidRPr="00310028">
        <w:rPr>
          <w:rFonts w:cs="Arial"/>
          <w:rtl/>
        </w:rPr>
        <w:t>כל דבר שאין משמשין למאכל הראוי לאכילה כמו שהוא עתה</w:t>
      </w:r>
      <w:r>
        <w:rPr>
          <w:rFonts w:cs="Arial" w:hint="cs"/>
          <w:rtl/>
        </w:rPr>
        <w:t xml:space="preserve"> אינו טעון טבילה,</w:t>
      </w:r>
      <w:r w:rsidRPr="00310028">
        <w:rPr>
          <w:rFonts w:cs="Arial"/>
          <w:rtl/>
        </w:rPr>
        <w:t xml:space="preserve"> כגון הסכין שמפשיטין בהן את הבהמות והמחטין שתופרין בהן המולייתא א"צ טבילה </w:t>
      </w:r>
      <w:r w:rsidRPr="000C3EE4">
        <w:rPr>
          <w:rFonts w:cs="Arial" w:hint="cs"/>
          <w:sz w:val="16"/>
          <w:szCs w:val="16"/>
          <w:rtl/>
        </w:rPr>
        <w:t>(</w:t>
      </w:r>
      <w:r w:rsidRPr="000C3EE4">
        <w:rPr>
          <w:rFonts w:cs="Arial"/>
          <w:sz w:val="16"/>
          <w:szCs w:val="16"/>
          <w:rtl/>
        </w:rPr>
        <w:t>אבל אין לפטור המחטין מטעם שאינם מיוחדין לכך דהא סכין קטן של סופרים שחותכין בהן קלפים אסור לאכול בהן עראי אם לא טבלן</w:t>
      </w:r>
      <w:r>
        <w:rPr>
          <w:rFonts w:cs="Arial" w:hint="cs"/>
          <w:sz w:val="16"/>
          <w:szCs w:val="16"/>
          <w:rtl/>
        </w:rPr>
        <w:t>)</w:t>
      </w:r>
      <w:r>
        <w:rPr>
          <w:rFonts w:cs="Arial" w:hint="cs"/>
          <w:rtl/>
        </w:rPr>
        <w:t>,</w:t>
      </w:r>
      <w:r w:rsidRPr="00310028">
        <w:rPr>
          <w:rFonts w:cs="Arial"/>
          <w:rtl/>
        </w:rPr>
        <w:t xml:space="preserve"> וכן הברזלים שמתקנים בהן המצות</w:t>
      </w:r>
      <w:r>
        <w:rPr>
          <w:rFonts w:cs="Arial" w:hint="cs"/>
          <w:rtl/>
        </w:rPr>
        <w:t>...</w:t>
      </w:r>
      <w:r w:rsidRPr="00310028">
        <w:rPr>
          <w:rFonts w:cs="Arial"/>
          <w:rtl/>
        </w:rPr>
        <w:t xml:space="preserve"> ולהט שחותכין בו את העיסה של מצות והכלי מתכות שמתקנין בהן הקר"עפלין וכלי ברזל שמנקרין בו העיסה מן העריבה וכל כה"ג</w:t>
      </w:r>
      <w:r>
        <w:rPr>
          <w:rFonts w:cs="Arial" w:hint="cs"/>
          <w:rtl/>
        </w:rPr>
        <w:t>,</w:t>
      </w:r>
      <w:r w:rsidRPr="00310028">
        <w:rPr>
          <w:rFonts w:cs="Arial"/>
          <w:rtl/>
        </w:rPr>
        <w:t xml:space="preserve"> ואפילו להטבילן בלא ברכה א"צ. ויותר טוב שלא לטובלן דשמא אתי לברך עליהן והוי כברכה לבטלה. אמנם במקומות שרגילין להסיר השרוף מן הלחם כשמוציאין אותם מן התנור באותן הברזל שמנקרין בהן העריבה צריך טבילה וברכה</w:t>
      </w:r>
      <w:r>
        <w:rPr>
          <w:rFonts w:hint="cs"/>
          <w:rtl/>
        </w:rPr>
        <w:t>.</w:t>
      </w:r>
      <w:r w:rsidRPr="00B27A10">
        <w:rPr>
          <w:rFonts w:hint="cs"/>
          <w:color w:val="00B0F0"/>
          <w:rtl/>
        </w:rPr>
        <w:t xml:space="preserve"> (וכ"פ הרמ"א)</w:t>
      </w:r>
    </w:p>
    <w:p w14:paraId="203B6937" w14:textId="77777777" w:rsidR="002C39F4" w:rsidRPr="0080341F" w:rsidRDefault="002C39F4" w:rsidP="002C39F4">
      <w:pPr>
        <w:rPr>
          <w:u w:val="single"/>
        </w:rPr>
      </w:pPr>
      <w:r w:rsidRPr="0080341F">
        <w:rPr>
          <w:rFonts w:hint="cs"/>
          <w:u w:val="single"/>
          <w:rtl/>
        </w:rPr>
        <w:t>טבילת כיסויים</w:t>
      </w:r>
      <w:r>
        <w:rPr>
          <w:rFonts w:hint="cs"/>
          <w:u w:val="single"/>
          <w:rtl/>
        </w:rPr>
        <w:t xml:space="preserve"> למינהם</w:t>
      </w:r>
      <w:r w:rsidRPr="0080341F">
        <w:rPr>
          <w:rFonts w:hint="cs"/>
          <w:u w:val="single"/>
          <w:rtl/>
        </w:rPr>
        <w:t>:</w:t>
      </w:r>
    </w:p>
    <w:p w14:paraId="22402212" w14:textId="77777777" w:rsidR="002C39F4" w:rsidRDefault="002C39F4" w:rsidP="0032102C">
      <w:pPr>
        <w:pStyle w:val="a8"/>
        <w:numPr>
          <w:ilvl w:val="0"/>
          <w:numId w:val="302"/>
        </w:numPr>
        <w:rPr>
          <w:rtl/>
        </w:rPr>
      </w:pPr>
      <w:r w:rsidRPr="0080341F">
        <w:rPr>
          <w:rFonts w:cs="Arial" w:hint="cs"/>
          <w:rtl/>
        </w:rPr>
        <w:t>הג"א</w:t>
      </w:r>
      <w:r w:rsidRPr="0080341F">
        <w:rPr>
          <w:rFonts w:cs="Arial"/>
          <w:sz w:val="16"/>
          <w:szCs w:val="16"/>
          <w:rtl/>
        </w:rPr>
        <w:t xml:space="preserve"> </w:t>
      </w:r>
      <w:r w:rsidRPr="0080341F">
        <w:rPr>
          <w:rFonts w:cs="Arial" w:hint="cs"/>
          <w:sz w:val="16"/>
          <w:szCs w:val="16"/>
          <w:rtl/>
        </w:rPr>
        <w:t>(ע"ז פ"ה סי' לה</w:t>
      </w:r>
      <w:r w:rsidRPr="0080341F">
        <w:rPr>
          <w:rFonts w:cs="Arial"/>
          <w:sz w:val="16"/>
          <w:szCs w:val="16"/>
          <w:rtl/>
        </w:rPr>
        <w:t>)</w:t>
      </w:r>
      <w:r w:rsidRPr="0080341F">
        <w:rPr>
          <w:rFonts w:cs="Arial" w:hint="cs"/>
          <w:rtl/>
        </w:rPr>
        <w:t>-</w:t>
      </w:r>
      <w:r w:rsidRPr="0080341F">
        <w:rPr>
          <w:rFonts w:cs="Arial"/>
          <w:rtl/>
        </w:rPr>
        <w:t xml:space="preserve"> כלי ברזל שכופין על הלחם לאפותו וכן שמשימין על היורה א"צ טבילה אבל כיסוי ברזל שמכסין יורה או קדרה צריך טבילה</w:t>
      </w:r>
      <w:r w:rsidRPr="0080341F">
        <w:rPr>
          <w:rFonts w:cs="Arial" w:hint="cs"/>
          <w:rtl/>
        </w:rPr>
        <w:t>.</w:t>
      </w:r>
      <w:r w:rsidRPr="00B27A10">
        <w:rPr>
          <w:rFonts w:hint="cs"/>
          <w:color w:val="00B0F0"/>
          <w:rtl/>
        </w:rPr>
        <w:t xml:space="preserve"> (וכ"פ הרמ"א)</w:t>
      </w:r>
    </w:p>
    <w:p w14:paraId="1167E422" w14:textId="77777777" w:rsidR="002C39F4" w:rsidRDefault="002C39F4" w:rsidP="002C39F4">
      <w:r>
        <w:rPr>
          <w:rFonts w:cs="Arial" w:hint="cs"/>
          <w:b/>
          <w:bCs/>
          <w:rtl/>
        </w:rPr>
        <w:t xml:space="preserve">עבודה זרה עה ע"ב: </w:t>
      </w:r>
      <w:r w:rsidRPr="0085611D">
        <w:rPr>
          <w:rFonts w:cs="Arial"/>
          <w:rtl/>
        </w:rPr>
        <w:t>תנא: וכולן</w:t>
      </w:r>
      <w:r>
        <w:rPr>
          <w:rStyle w:val="a7"/>
          <w:rFonts w:cs="Arial"/>
          <w:rtl/>
        </w:rPr>
        <w:footnoteReference w:id="2885"/>
      </w:r>
      <w:r w:rsidRPr="0085611D">
        <w:rPr>
          <w:rFonts w:cs="Arial"/>
          <w:rtl/>
        </w:rPr>
        <w:t xml:space="preserve"> צריכין טבילה בארבעים סאה</w:t>
      </w:r>
      <w:r>
        <w:rPr>
          <w:rFonts w:cs="Arial" w:hint="cs"/>
          <w:rtl/>
        </w:rPr>
        <w:t>..</w:t>
      </w:r>
      <w:r w:rsidRPr="0085611D">
        <w:rPr>
          <w:rFonts w:cs="Arial"/>
          <w:rtl/>
        </w:rPr>
        <w:t>.</w:t>
      </w:r>
      <w:r>
        <w:rPr>
          <w:rFonts w:cs="Arial" w:hint="cs"/>
          <w:rtl/>
        </w:rPr>
        <w:t xml:space="preserve"> </w:t>
      </w:r>
      <w:r w:rsidRPr="0085611D">
        <w:rPr>
          <w:rFonts w:cs="Arial"/>
          <w:u w:val="single"/>
          <w:rtl/>
        </w:rPr>
        <w:t>אמר רב נחמן אמר רבה בר אבוה</w:t>
      </w:r>
      <w:r w:rsidRPr="0085611D">
        <w:rPr>
          <w:rFonts w:cs="Arial"/>
          <w:rtl/>
        </w:rPr>
        <w:t xml:space="preserve">: אפי' כלים חדשים במשמע, דהא ישנים וליבנן כחדשים דמו, ואפילו הכי בעי טבילה. </w:t>
      </w:r>
      <w:r w:rsidRPr="0085611D">
        <w:rPr>
          <w:rFonts w:cs="Arial"/>
          <w:u w:val="single"/>
          <w:rtl/>
        </w:rPr>
        <w:t>מתקיף לה רב ששת</w:t>
      </w:r>
      <w:r w:rsidRPr="0085611D">
        <w:rPr>
          <w:rFonts w:cs="Arial"/>
          <w:rtl/>
        </w:rPr>
        <w:t>: אי הכי, אפי' זוזא דסרבלא</w:t>
      </w:r>
      <w:r>
        <w:rPr>
          <w:rStyle w:val="a7"/>
          <w:rFonts w:cs="Arial"/>
          <w:rtl/>
        </w:rPr>
        <w:footnoteReference w:id="2886"/>
      </w:r>
      <w:r w:rsidRPr="0085611D">
        <w:rPr>
          <w:rFonts w:cs="Arial"/>
          <w:rtl/>
        </w:rPr>
        <w:t xml:space="preserve"> נמי! </w:t>
      </w:r>
      <w:r w:rsidRPr="0085611D">
        <w:rPr>
          <w:rFonts w:cs="Arial"/>
          <w:u w:val="single"/>
          <w:rtl/>
        </w:rPr>
        <w:t>א"ל</w:t>
      </w:r>
      <w:r w:rsidRPr="0085611D">
        <w:rPr>
          <w:rFonts w:cs="Arial"/>
          <w:rtl/>
        </w:rPr>
        <w:t>: כלי סעודה אמורין בפרשה</w:t>
      </w:r>
      <w:r>
        <w:rPr>
          <w:rStyle w:val="a7"/>
          <w:rFonts w:cs="Arial"/>
          <w:rtl/>
        </w:rPr>
        <w:footnoteReference w:id="2887"/>
      </w:r>
      <w:r w:rsidRPr="0085611D">
        <w:rPr>
          <w:rFonts w:cs="Arial"/>
          <w:rtl/>
        </w:rPr>
        <w:t>.</w:t>
      </w:r>
    </w:p>
    <w:p w14:paraId="59A7ACCA" w14:textId="77777777" w:rsidR="002C39F4" w:rsidRDefault="002C39F4" w:rsidP="002C39F4">
      <w:pPr>
        <w:rPr>
          <w:rFonts w:cs="Arial"/>
          <w:rtl/>
        </w:rPr>
      </w:pPr>
      <w:r w:rsidRPr="00385772">
        <w:rPr>
          <w:rFonts w:cs="Arial" w:hint="cs"/>
          <w:u w:val="single"/>
          <w:rtl/>
        </w:rPr>
        <w:t>טבילת מספריים:</w:t>
      </w:r>
    </w:p>
    <w:p w14:paraId="109CA351" w14:textId="77777777" w:rsidR="002C39F4" w:rsidRPr="005154CF" w:rsidRDefault="002C39F4" w:rsidP="0032102C">
      <w:pPr>
        <w:pStyle w:val="a8"/>
        <w:numPr>
          <w:ilvl w:val="0"/>
          <w:numId w:val="302"/>
        </w:numPr>
      </w:pPr>
      <w:r w:rsidRPr="00385772">
        <w:rPr>
          <w:rFonts w:cs="Arial"/>
          <w:rtl/>
        </w:rPr>
        <w:t>טור</w:t>
      </w:r>
      <w:r w:rsidRPr="00385772">
        <w:rPr>
          <w:rFonts w:cs="Arial" w:hint="cs"/>
          <w:rtl/>
        </w:rPr>
        <w:t>-</w:t>
      </w:r>
      <w:r w:rsidRPr="00385772">
        <w:rPr>
          <w:rFonts w:cs="Arial"/>
          <w:rtl/>
        </w:rPr>
        <w:t xml:space="preserve"> אין צריך טבילה אלא לכלי מתכות והן צרכי הסעודה</w:t>
      </w:r>
      <w:r>
        <w:rPr>
          <w:rFonts w:cs="Arial" w:hint="cs"/>
          <w:rtl/>
        </w:rPr>
        <w:t>...</w:t>
      </w:r>
      <w:r w:rsidRPr="00385772">
        <w:rPr>
          <w:rFonts w:cs="Arial"/>
          <w:rtl/>
        </w:rPr>
        <w:t xml:space="preserve"> אבל שאר כלים כגון מספרים וכיוצא בהן שאינם צרכי סעודה או כלים שהן צרכי סעודה ואינם משל מיני מתכות לא</w:t>
      </w:r>
      <w:r>
        <w:rPr>
          <w:rFonts w:cs="Arial" w:hint="cs"/>
          <w:sz w:val="16"/>
          <w:szCs w:val="16"/>
          <w:rtl/>
        </w:rPr>
        <w:t xml:space="preserve"> (ל' הטור)</w:t>
      </w:r>
      <w:r>
        <w:rPr>
          <w:rFonts w:cs="Arial" w:hint="cs"/>
          <w:rtl/>
        </w:rPr>
        <w:t>.</w:t>
      </w:r>
    </w:p>
    <w:p w14:paraId="64321D69" w14:textId="77777777" w:rsidR="002C39F4" w:rsidRPr="005154CF" w:rsidRDefault="002C39F4" w:rsidP="002C39F4">
      <w:pPr>
        <w:ind w:left="360"/>
        <w:rPr>
          <w:u w:val="dotted"/>
        </w:rPr>
      </w:pPr>
      <w:r w:rsidRPr="005154CF">
        <w:rPr>
          <w:rFonts w:hint="cs"/>
          <w:u w:val="dotted"/>
          <w:rtl/>
        </w:rPr>
        <w:t>האם הוא הדין למספר</w:t>
      </w:r>
      <w:r>
        <w:rPr>
          <w:rFonts w:hint="cs"/>
          <w:u w:val="dotted"/>
          <w:rtl/>
        </w:rPr>
        <w:t>י</w:t>
      </w:r>
      <w:r w:rsidRPr="005154CF">
        <w:rPr>
          <w:rFonts w:hint="cs"/>
          <w:u w:val="dotted"/>
          <w:rtl/>
        </w:rPr>
        <w:t xml:space="preserve">ים שחותכים בהן ירק: </w:t>
      </w:r>
    </w:p>
    <w:p w14:paraId="719F2DD1" w14:textId="77777777" w:rsidR="002C39F4" w:rsidRPr="00385772" w:rsidRDefault="002C39F4" w:rsidP="0032102C">
      <w:pPr>
        <w:pStyle w:val="a8"/>
        <w:numPr>
          <w:ilvl w:val="0"/>
          <w:numId w:val="302"/>
        </w:numPr>
      </w:pPr>
      <w:r w:rsidRPr="00385772">
        <w:rPr>
          <w:rFonts w:cs="Arial"/>
          <w:rtl/>
        </w:rPr>
        <w:t>פרישה</w:t>
      </w:r>
      <w:r>
        <w:rPr>
          <w:rFonts w:cs="Arial" w:hint="cs"/>
          <w:sz w:val="16"/>
          <w:szCs w:val="16"/>
          <w:rtl/>
        </w:rPr>
        <w:t xml:space="preserve"> (אות ח)</w:t>
      </w:r>
      <w:r>
        <w:rPr>
          <w:rFonts w:cs="Arial" w:hint="cs"/>
          <w:rtl/>
        </w:rPr>
        <w:t xml:space="preserve">- </w:t>
      </w:r>
      <w:r w:rsidRPr="00385772">
        <w:rPr>
          <w:rFonts w:cs="Arial"/>
          <w:rtl/>
        </w:rPr>
        <w:t>מספר</w:t>
      </w:r>
      <w:r>
        <w:rPr>
          <w:rFonts w:cs="Arial" w:hint="cs"/>
          <w:rtl/>
        </w:rPr>
        <w:t>י</w:t>
      </w:r>
      <w:r w:rsidRPr="00385772">
        <w:rPr>
          <w:rFonts w:cs="Arial"/>
          <w:rtl/>
        </w:rPr>
        <w:t xml:space="preserve">ים דנקט הטור היינו אפילו מה שגוזזין בהם ירק. </w:t>
      </w:r>
      <w:r>
        <w:rPr>
          <w:rFonts w:hint="cs"/>
          <w:rtl/>
        </w:rPr>
        <w:t xml:space="preserve">(וכ"פ ט"ז </w:t>
      </w:r>
      <w:r w:rsidRPr="005154CF">
        <w:rPr>
          <w:rFonts w:hint="cs"/>
          <w:sz w:val="16"/>
          <w:szCs w:val="16"/>
          <w:rtl/>
        </w:rPr>
        <w:t xml:space="preserve">[סק"ז] </w:t>
      </w:r>
      <w:r>
        <w:rPr>
          <w:rFonts w:hint="cs"/>
          <w:rtl/>
        </w:rPr>
        <w:t>וש"ך</w:t>
      </w:r>
      <w:r>
        <w:rPr>
          <w:rStyle w:val="a7"/>
          <w:rtl/>
        </w:rPr>
        <w:footnoteReference w:id="2888"/>
      </w:r>
      <w:r w:rsidRPr="005154CF">
        <w:rPr>
          <w:rFonts w:hint="cs"/>
          <w:sz w:val="16"/>
          <w:szCs w:val="16"/>
          <w:rtl/>
        </w:rPr>
        <w:t xml:space="preserve"> [סקי"א]</w:t>
      </w:r>
      <w:r>
        <w:rPr>
          <w:rFonts w:hint="cs"/>
          <w:rtl/>
        </w:rPr>
        <w:t>)</w:t>
      </w:r>
    </w:p>
    <w:p w14:paraId="02ADA19E" w14:textId="77777777" w:rsidR="002C39F4" w:rsidRPr="007B63D3" w:rsidRDefault="002C39F4" w:rsidP="0032102C">
      <w:pPr>
        <w:pStyle w:val="a8"/>
        <w:numPr>
          <w:ilvl w:val="0"/>
          <w:numId w:val="302"/>
        </w:numPr>
        <w:rPr>
          <w:rtl/>
        </w:rPr>
      </w:pPr>
      <w:r>
        <w:rPr>
          <w:rFonts w:cs="Arial" w:hint="cs"/>
          <w:rtl/>
        </w:rPr>
        <w:t>ב"ח</w:t>
      </w:r>
      <w:r>
        <w:rPr>
          <w:rFonts w:cs="Arial" w:hint="cs"/>
          <w:sz w:val="16"/>
          <w:szCs w:val="16"/>
          <w:rtl/>
        </w:rPr>
        <w:t xml:space="preserve"> (עמ' עמ' סד)</w:t>
      </w:r>
      <w:r>
        <w:rPr>
          <w:rFonts w:cs="Arial" w:hint="cs"/>
          <w:rtl/>
        </w:rPr>
        <w:t xml:space="preserve">- מספריים </w:t>
      </w:r>
      <w:r w:rsidRPr="00385772">
        <w:rPr>
          <w:rFonts w:cs="Arial"/>
          <w:rtl/>
        </w:rPr>
        <w:t>של ירק חשי' כלי סעודה דהא בח</w:t>
      </w:r>
      <w:r>
        <w:rPr>
          <w:rFonts w:cs="Arial" w:hint="cs"/>
          <w:rtl/>
        </w:rPr>
        <w:t>ו</w:t>
      </w:r>
      <w:r w:rsidRPr="00385772">
        <w:rPr>
          <w:rFonts w:cs="Arial"/>
          <w:rtl/>
        </w:rPr>
        <w:t xml:space="preserve">"מ </w:t>
      </w:r>
      <w:r w:rsidRPr="005154CF">
        <w:rPr>
          <w:rFonts w:cs="Arial" w:hint="cs"/>
          <w:sz w:val="16"/>
          <w:szCs w:val="16"/>
          <w:rtl/>
        </w:rPr>
        <w:t>(</w:t>
      </w:r>
      <w:r w:rsidRPr="005154CF">
        <w:rPr>
          <w:rFonts w:cs="Arial"/>
          <w:sz w:val="16"/>
          <w:szCs w:val="16"/>
          <w:rtl/>
        </w:rPr>
        <w:t>סי' צז</w:t>
      </w:r>
      <w:r w:rsidRPr="005154CF">
        <w:rPr>
          <w:rFonts w:cs="Arial" w:hint="cs"/>
          <w:sz w:val="16"/>
          <w:szCs w:val="16"/>
          <w:rtl/>
        </w:rPr>
        <w:t>)</w:t>
      </w:r>
      <w:r w:rsidRPr="005154CF">
        <w:rPr>
          <w:rFonts w:cs="Arial"/>
          <w:sz w:val="16"/>
          <w:szCs w:val="16"/>
          <w:rtl/>
        </w:rPr>
        <w:t xml:space="preserve"> </w:t>
      </w:r>
      <w:r w:rsidRPr="00385772">
        <w:rPr>
          <w:rFonts w:cs="Arial"/>
          <w:rtl/>
        </w:rPr>
        <w:t xml:space="preserve">חשיב ליה כלי שעושין בו אוכל נפש. </w:t>
      </w:r>
    </w:p>
    <w:p w14:paraId="5A1DD31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537BEAC" w14:textId="77777777" w:rsidR="002C39F4" w:rsidRDefault="002C39F4" w:rsidP="002C39F4">
      <w:pPr>
        <w:rPr>
          <w:rFonts w:asciiTheme="minorBidi" w:hAnsiTheme="minorBidi"/>
          <w:rtl/>
        </w:rPr>
      </w:pPr>
      <w:r w:rsidRPr="003024E5">
        <w:rPr>
          <w:rFonts w:asciiTheme="minorBidi" w:hAnsiTheme="minorBidi"/>
          <w:rtl/>
        </w:rPr>
        <w:t xml:space="preserve">סכין של שחיטה </w:t>
      </w:r>
      <w:r w:rsidRPr="007B63D3">
        <w:rPr>
          <w:rFonts w:asciiTheme="minorBidi" w:hAnsiTheme="minorBidi" w:hint="cs"/>
          <w:sz w:val="18"/>
          <w:szCs w:val="18"/>
          <w:rtl/>
        </w:rPr>
        <w:t xml:space="preserve">[הגה] </w:t>
      </w:r>
      <w:r w:rsidRPr="007B63D3">
        <w:rPr>
          <w:rFonts w:asciiTheme="minorBidi" w:hAnsiTheme="minorBidi"/>
          <w:sz w:val="18"/>
          <w:szCs w:val="18"/>
          <w:rtl/>
        </w:rPr>
        <w:t xml:space="preserve">או סכין שמפשיטין בו </w:t>
      </w:r>
      <w:r w:rsidRPr="00B91CBA">
        <w:rPr>
          <w:rFonts w:asciiTheme="minorBidi" w:hAnsiTheme="minorBidi"/>
          <w:sz w:val="16"/>
          <w:szCs w:val="16"/>
          <w:rtl/>
        </w:rPr>
        <w:t>(א</w:t>
      </w:r>
      <w:r>
        <w:rPr>
          <w:rFonts w:asciiTheme="minorBidi" w:hAnsiTheme="minorBidi" w:hint="cs"/>
          <w:sz w:val="16"/>
          <w:szCs w:val="16"/>
          <w:rtl/>
        </w:rPr>
        <w:t>ו"ה</w:t>
      </w:r>
      <w:r w:rsidRPr="00B91CBA">
        <w:rPr>
          <w:rFonts w:asciiTheme="minorBidi" w:hAnsiTheme="minorBidi"/>
          <w:sz w:val="16"/>
          <w:szCs w:val="16"/>
          <w:rtl/>
        </w:rPr>
        <w:t>)</w:t>
      </w:r>
      <w:r w:rsidRPr="003024E5">
        <w:rPr>
          <w:rFonts w:asciiTheme="minorBidi" w:hAnsiTheme="minorBidi"/>
          <w:rtl/>
        </w:rPr>
        <w:t xml:space="preserve">, יש מי שאומר שאינו צריך טבילה. </w:t>
      </w:r>
      <w:r w:rsidRPr="007B63D3">
        <w:rPr>
          <w:rFonts w:asciiTheme="minorBidi" w:hAnsiTheme="minorBidi"/>
          <w:sz w:val="18"/>
          <w:szCs w:val="18"/>
          <w:rtl/>
        </w:rPr>
        <w:t xml:space="preserve">הגה: ויש חולקין </w:t>
      </w:r>
      <w:r w:rsidRPr="00B27A10">
        <w:rPr>
          <w:rFonts w:asciiTheme="minorBidi" w:hAnsiTheme="minorBidi"/>
          <w:sz w:val="16"/>
          <w:szCs w:val="16"/>
          <w:rtl/>
        </w:rPr>
        <w:t>(תשב"ץ</w:t>
      </w:r>
      <w:r>
        <w:rPr>
          <w:rFonts w:asciiTheme="minorBidi" w:hAnsiTheme="minorBidi" w:hint="cs"/>
          <w:sz w:val="16"/>
          <w:szCs w:val="16"/>
          <w:rtl/>
        </w:rPr>
        <w:t xml:space="preserve"> קטן</w:t>
      </w:r>
      <w:r w:rsidRPr="00B27A10">
        <w:rPr>
          <w:rFonts w:asciiTheme="minorBidi" w:hAnsiTheme="minorBidi"/>
          <w:sz w:val="16"/>
          <w:szCs w:val="16"/>
          <w:rtl/>
        </w:rPr>
        <w:t>)</w:t>
      </w:r>
      <w:r w:rsidRPr="007B63D3">
        <w:rPr>
          <w:rFonts w:asciiTheme="minorBidi" w:hAnsiTheme="minorBidi"/>
          <w:sz w:val="18"/>
          <w:szCs w:val="18"/>
          <w:rtl/>
        </w:rPr>
        <w:t>. וטוב לטובלו בלא ברכה</w:t>
      </w:r>
      <w:r w:rsidRPr="00B27A10">
        <w:rPr>
          <w:rFonts w:asciiTheme="minorBidi" w:hAnsiTheme="minorBidi" w:hint="cs"/>
          <w:sz w:val="16"/>
          <w:szCs w:val="16"/>
          <w:rtl/>
        </w:rPr>
        <w:t xml:space="preserve"> (ד"ע)</w:t>
      </w:r>
      <w:r w:rsidRPr="007B63D3">
        <w:rPr>
          <w:rFonts w:asciiTheme="minorBidi" w:hAnsiTheme="minorBidi"/>
          <w:sz w:val="18"/>
          <w:szCs w:val="18"/>
          <w:rtl/>
        </w:rPr>
        <w:t>. הברזלים שמתקנים בהם המצות א</w:t>
      </w:r>
      <w:r>
        <w:rPr>
          <w:rFonts w:asciiTheme="minorBidi" w:hAnsiTheme="minorBidi" w:hint="cs"/>
          <w:sz w:val="18"/>
          <w:szCs w:val="18"/>
          <w:rtl/>
        </w:rPr>
        <w:t>"צ</w:t>
      </w:r>
      <w:r w:rsidRPr="007B63D3">
        <w:rPr>
          <w:rFonts w:asciiTheme="minorBidi" w:hAnsiTheme="minorBidi"/>
          <w:sz w:val="18"/>
          <w:szCs w:val="18"/>
          <w:rtl/>
        </w:rPr>
        <w:t xml:space="preserve"> טבילה</w:t>
      </w:r>
      <w:r>
        <w:rPr>
          <w:rStyle w:val="a7"/>
          <w:rFonts w:asciiTheme="minorBidi" w:hAnsiTheme="minorBidi"/>
          <w:sz w:val="18"/>
          <w:szCs w:val="18"/>
          <w:rtl/>
        </w:rPr>
        <w:footnoteReference w:id="2889"/>
      </w:r>
      <w:r w:rsidRPr="007B63D3">
        <w:rPr>
          <w:rFonts w:asciiTheme="minorBidi" w:hAnsiTheme="minorBidi"/>
          <w:sz w:val="18"/>
          <w:szCs w:val="18"/>
          <w:rtl/>
        </w:rPr>
        <w:t xml:space="preserve"> </w:t>
      </w:r>
      <w:r w:rsidRPr="00B27A10">
        <w:rPr>
          <w:rFonts w:asciiTheme="minorBidi" w:hAnsiTheme="minorBidi"/>
          <w:sz w:val="16"/>
          <w:szCs w:val="16"/>
          <w:rtl/>
        </w:rPr>
        <w:t>(</w:t>
      </w:r>
      <w:r>
        <w:rPr>
          <w:rFonts w:asciiTheme="minorBidi" w:hAnsiTheme="minorBidi" w:hint="cs"/>
          <w:sz w:val="16"/>
          <w:szCs w:val="16"/>
          <w:rtl/>
        </w:rPr>
        <w:t>או"ה</w:t>
      </w:r>
      <w:r w:rsidRPr="00B27A10">
        <w:rPr>
          <w:rFonts w:asciiTheme="minorBidi" w:hAnsiTheme="minorBidi"/>
          <w:sz w:val="16"/>
          <w:szCs w:val="16"/>
          <w:rtl/>
        </w:rPr>
        <w:t>)</w:t>
      </w:r>
      <w:r>
        <w:rPr>
          <w:rFonts w:asciiTheme="minorBidi" w:hAnsiTheme="minorBidi" w:hint="cs"/>
          <w:sz w:val="18"/>
          <w:szCs w:val="18"/>
          <w:rtl/>
        </w:rPr>
        <w:t>,</w:t>
      </w:r>
      <w:r w:rsidRPr="007B63D3">
        <w:rPr>
          <w:rFonts w:asciiTheme="minorBidi" w:hAnsiTheme="minorBidi"/>
          <w:sz w:val="18"/>
          <w:szCs w:val="18"/>
          <w:rtl/>
        </w:rPr>
        <w:t xml:space="preserve"> וכן כיסוי שכופין על הפת לאפותו</w:t>
      </w:r>
      <w:r>
        <w:rPr>
          <w:rFonts w:asciiTheme="minorBidi" w:hAnsiTheme="minorBidi" w:hint="cs"/>
          <w:sz w:val="18"/>
          <w:szCs w:val="18"/>
          <w:rtl/>
        </w:rPr>
        <w:t>,</w:t>
      </w:r>
      <w:r w:rsidRPr="007B63D3">
        <w:rPr>
          <w:rFonts w:asciiTheme="minorBidi" w:hAnsiTheme="minorBidi"/>
          <w:sz w:val="18"/>
          <w:szCs w:val="18"/>
          <w:rtl/>
        </w:rPr>
        <w:t xml:space="preserve"> אבל כיסוי קדירה צריך טבילה</w:t>
      </w:r>
      <w:r>
        <w:rPr>
          <w:rStyle w:val="a7"/>
          <w:rFonts w:asciiTheme="minorBidi" w:hAnsiTheme="minorBidi"/>
          <w:sz w:val="18"/>
          <w:szCs w:val="18"/>
          <w:rtl/>
        </w:rPr>
        <w:footnoteReference w:id="2890"/>
      </w:r>
      <w:r w:rsidRPr="007B63D3">
        <w:rPr>
          <w:rFonts w:asciiTheme="minorBidi" w:hAnsiTheme="minorBidi"/>
          <w:sz w:val="18"/>
          <w:szCs w:val="18"/>
          <w:rtl/>
        </w:rPr>
        <w:t xml:space="preserve"> </w:t>
      </w:r>
      <w:r w:rsidRPr="00B27A10">
        <w:rPr>
          <w:rFonts w:asciiTheme="minorBidi" w:hAnsiTheme="minorBidi"/>
          <w:sz w:val="16"/>
          <w:szCs w:val="16"/>
          <w:rtl/>
        </w:rPr>
        <w:t>(הג</w:t>
      </w:r>
      <w:r w:rsidRPr="00B27A10">
        <w:rPr>
          <w:rFonts w:asciiTheme="minorBidi" w:hAnsiTheme="minorBidi" w:hint="cs"/>
          <w:sz w:val="16"/>
          <w:szCs w:val="16"/>
          <w:rtl/>
        </w:rPr>
        <w:t>"</w:t>
      </w:r>
      <w:r w:rsidRPr="00B27A10">
        <w:rPr>
          <w:rFonts w:asciiTheme="minorBidi" w:hAnsiTheme="minorBidi"/>
          <w:sz w:val="16"/>
          <w:szCs w:val="16"/>
          <w:rtl/>
        </w:rPr>
        <w:t>א)</w:t>
      </w:r>
      <w:r w:rsidRPr="007B63D3">
        <w:rPr>
          <w:rFonts w:asciiTheme="minorBidi" w:hAnsiTheme="minorBidi"/>
          <w:sz w:val="18"/>
          <w:szCs w:val="18"/>
          <w:rtl/>
        </w:rPr>
        <w:t xml:space="preserve">. </w:t>
      </w:r>
    </w:p>
    <w:p w14:paraId="069AA880" w14:textId="77777777" w:rsidR="002C39F4" w:rsidRPr="003024E5" w:rsidRDefault="002C39F4" w:rsidP="002C39F4">
      <w:pPr>
        <w:rPr>
          <w:rFonts w:asciiTheme="minorBidi" w:hAnsiTheme="minorBidi"/>
          <w:rtl/>
        </w:rPr>
      </w:pPr>
    </w:p>
    <w:p w14:paraId="763EEC12"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כלי שעשוי מחומר שאינו טעון טבילה אך המעמיד שלו טעון טבילה.</w:t>
      </w:r>
    </w:p>
    <w:p w14:paraId="66F369DE" w14:textId="77777777" w:rsidR="002C39F4" w:rsidRPr="00E0402F" w:rsidRDefault="002C39F4" w:rsidP="002C39F4">
      <w:pPr>
        <w:rPr>
          <w:rtl/>
        </w:rPr>
      </w:pPr>
      <w:r>
        <w:rPr>
          <w:rFonts w:cs="Arial" w:hint="cs"/>
          <w:b/>
          <w:bCs/>
          <w:rtl/>
        </w:rPr>
        <w:t xml:space="preserve">שבת טו ע"ב: </w:t>
      </w:r>
      <w:r w:rsidRPr="00E0402F">
        <w:rPr>
          <w:rFonts w:cs="Arial"/>
          <w:rtl/>
        </w:rPr>
        <w:t>כלי זכוכית מאי טעמא גזור בהו רבנן טומאה?</w:t>
      </w:r>
      <w:r>
        <w:rPr>
          <w:rFonts w:cs="Arial" w:hint="cs"/>
          <w:rtl/>
        </w:rPr>
        <w:t>...</w:t>
      </w:r>
      <w:r w:rsidRPr="00E0402F">
        <w:rPr>
          <w:rFonts w:cs="Arial"/>
          <w:rtl/>
        </w:rPr>
        <w:t xml:space="preserve"> הכא במאי עסקינן - כגון שניקבו והטיף לתוכן אבר. ורבי מאיר היא, דאמר: הכל הולך אחר המעמיד. דתניא, כלי זכוכית שנקבו והטיף לתוכן אבר, אמר רבן שמעון בן גמליאל: </w:t>
      </w:r>
      <w:r w:rsidRPr="00E0402F">
        <w:rPr>
          <w:rFonts w:cs="Arial"/>
          <w:u w:val="single"/>
          <w:rtl/>
        </w:rPr>
        <w:t>רבי מאיר</w:t>
      </w:r>
      <w:r>
        <w:rPr>
          <w:rFonts w:cs="Arial" w:hint="cs"/>
          <w:rtl/>
        </w:rPr>
        <w:t>:</w:t>
      </w:r>
      <w:r w:rsidRPr="00E0402F">
        <w:rPr>
          <w:rFonts w:cs="Arial"/>
          <w:rtl/>
        </w:rPr>
        <w:t xml:space="preserve"> מטמא</w:t>
      </w:r>
      <w:r>
        <w:rPr>
          <w:rFonts w:cs="Arial" w:hint="cs"/>
          <w:rtl/>
        </w:rPr>
        <w:t>,</w:t>
      </w:r>
      <w:r w:rsidRPr="00E0402F">
        <w:rPr>
          <w:rFonts w:cs="Arial"/>
          <w:rtl/>
        </w:rPr>
        <w:t xml:space="preserve"> </w:t>
      </w:r>
      <w:r w:rsidRPr="00E0402F">
        <w:rPr>
          <w:rFonts w:cs="Arial"/>
          <w:u w:val="single"/>
          <w:rtl/>
        </w:rPr>
        <w:t>וחכמים</w:t>
      </w:r>
      <w:r>
        <w:rPr>
          <w:rFonts w:cs="Arial" w:hint="cs"/>
          <w:rtl/>
        </w:rPr>
        <w:t>:</w:t>
      </w:r>
      <w:r w:rsidRPr="00E0402F">
        <w:rPr>
          <w:rFonts w:cs="Arial"/>
          <w:rtl/>
        </w:rPr>
        <w:t xml:space="preserve"> מטהרין.</w:t>
      </w:r>
    </w:p>
    <w:p w14:paraId="23316941" w14:textId="77777777" w:rsidR="002C39F4" w:rsidRPr="00891AFC" w:rsidRDefault="002C39F4" w:rsidP="002C39F4">
      <w:pPr>
        <w:rPr>
          <w:rFonts w:cs="Arial"/>
          <w:u w:val="single"/>
          <w:rtl/>
        </w:rPr>
      </w:pPr>
      <w:r w:rsidRPr="00891AFC">
        <w:rPr>
          <w:rFonts w:cs="Arial"/>
          <w:u w:val="single"/>
          <w:rtl/>
        </w:rPr>
        <w:t>כלי עץ שיש לו חשוקים של ברזל</w:t>
      </w:r>
      <w:r w:rsidRPr="00891AFC">
        <w:rPr>
          <w:rStyle w:val="a7"/>
          <w:rFonts w:cs="Arial"/>
          <w:u w:val="single"/>
          <w:rtl/>
        </w:rPr>
        <w:footnoteReference w:id="2891"/>
      </w:r>
      <w:r w:rsidRPr="00891AFC">
        <w:rPr>
          <w:rFonts w:cs="Arial" w:hint="cs"/>
          <w:u w:val="single"/>
          <w:rtl/>
        </w:rPr>
        <w:t>:</w:t>
      </w:r>
      <w:r w:rsidRPr="00891AFC">
        <w:rPr>
          <w:rFonts w:cs="Arial"/>
          <w:u w:val="single"/>
          <w:rtl/>
        </w:rPr>
        <w:t xml:space="preserve"> </w:t>
      </w:r>
    </w:p>
    <w:p w14:paraId="399FA2E7" w14:textId="77777777" w:rsidR="002C39F4" w:rsidRDefault="002C39F4" w:rsidP="0032102C">
      <w:pPr>
        <w:pStyle w:val="a8"/>
        <w:numPr>
          <w:ilvl w:val="0"/>
          <w:numId w:val="298"/>
        </w:numPr>
      </w:pPr>
      <w:r>
        <w:rPr>
          <w:rFonts w:cs="Arial" w:hint="cs"/>
          <w:rtl/>
        </w:rPr>
        <w:t xml:space="preserve">תוס' </w:t>
      </w:r>
      <w:r w:rsidRPr="00604B07">
        <w:rPr>
          <w:rFonts w:cs="Arial" w:hint="cs"/>
          <w:sz w:val="16"/>
          <w:szCs w:val="16"/>
          <w:rtl/>
        </w:rPr>
        <w:t xml:space="preserve">(עה: ד"ה והלכתא) </w:t>
      </w:r>
      <w:r>
        <w:rPr>
          <w:rFonts w:cs="Arial" w:hint="cs"/>
          <w:rtl/>
        </w:rPr>
        <w:t xml:space="preserve">סמ"ק </w:t>
      </w:r>
      <w:r>
        <w:rPr>
          <w:rFonts w:cs="Arial" w:hint="cs"/>
          <w:sz w:val="16"/>
          <w:szCs w:val="16"/>
          <w:rtl/>
        </w:rPr>
        <w:t xml:space="preserve">(סי' קצט) </w:t>
      </w:r>
      <w:r>
        <w:rPr>
          <w:rFonts w:cs="Arial" w:hint="cs"/>
          <w:rtl/>
        </w:rPr>
        <w:t xml:space="preserve">ר"פ </w:t>
      </w:r>
      <w:r>
        <w:rPr>
          <w:rFonts w:cs="Arial" w:hint="cs"/>
          <w:sz w:val="16"/>
          <w:szCs w:val="16"/>
          <w:rtl/>
        </w:rPr>
        <w:t>(</w:t>
      </w:r>
      <w:r w:rsidRPr="00604B07">
        <w:rPr>
          <w:rFonts w:cs="Arial" w:hint="cs"/>
          <w:sz w:val="16"/>
          <w:szCs w:val="16"/>
          <w:rtl/>
        </w:rPr>
        <w:t>בהגה'</w:t>
      </w:r>
      <w:r w:rsidRPr="00604B07">
        <w:rPr>
          <w:rFonts w:cs="Arial"/>
          <w:sz w:val="16"/>
          <w:szCs w:val="16"/>
          <w:rtl/>
        </w:rPr>
        <w:t xml:space="preserve"> </w:t>
      </w:r>
      <w:r w:rsidRPr="00604B07">
        <w:rPr>
          <w:rFonts w:cs="Arial" w:hint="cs"/>
          <w:sz w:val="16"/>
          <w:szCs w:val="16"/>
          <w:rtl/>
        </w:rPr>
        <w:t xml:space="preserve">סמ"ק </w:t>
      </w:r>
      <w:r w:rsidRPr="00604B07">
        <w:rPr>
          <w:rFonts w:cs="Arial"/>
          <w:sz w:val="16"/>
          <w:szCs w:val="16"/>
          <w:rtl/>
        </w:rPr>
        <w:t>סי' קצט אות ב</w:t>
      </w:r>
      <w:r>
        <w:rPr>
          <w:rFonts w:cs="Arial" w:hint="cs"/>
          <w:sz w:val="16"/>
          <w:szCs w:val="16"/>
          <w:rtl/>
        </w:rPr>
        <w:t>)</w:t>
      </w:r>
      <w:r>
        <w:rPr>
          <w:rFonts w:cs="Arial" w:hint="cs"/>
          <w:rtl/>
        </w:rPr>
        <w:t xml:space="preserve"> </w:t>
      </w:r>
      <w:r w:rsidRPr="00D83BAD">
        <w:rPr>
          <w:rFonts w:cs="Arial"/>
          <w:rtl/>
        </w:rPr>
        <w:t xml:space="preserve">רא"ש </w:t>
      </w:r>
      <w:r w:rsidRPr="00604B07">
        <w:rPr>
          <w:rFonts w:cs="Arial"/>
          <w:sz w:val="16"/>
          <w:szCs w:val="16"/>
          <w:rtl/>
        </w:rPr>
        <w:t>(סי' לה)</w:t>
      </w:r>
      <w:r w:rsidRPr="00604B07">
        <w:rPr>
          <w:rFonts w:cs="Arial" w:hint="cs"/>
          <w:sz w:val="16"/>
          <w:szCs w:val="16"/>
          <w:rtl/>
        </w:rPr>
        <w:t xml:space="preserve"> </w:t>
      </w:r>
      <w:r w:rsidRPr="00C05A24">
        <w:rPr>
          <w:rFonts w:cs="Arial"/>
          <w:rtl/>
        </w:rPr>
        <w:t xml:space="preserve">מרדכי </w:t>
      </w:r>
      <w:r w:rsidRPr="0023442C">
        <w:rPr>
          <w:rFonts w:cs="Arial"/>
          <w:sz w:val="16"/>
          <w:szCs w:val="16"/>
          <w:rtl/>
        </w:rPr>
        <w:t>(סי' תתנט)</w:t>
      </w:r>
      <w:r>
        <w:rPr>
          <w:rFonts w:cs="Arial" w:hint="cs"/>
          <w:rtl/>
        </w:rPr>
        <w:t xml:space="preserve"> וטור- </w:t>
      </w:r>
      <w:r w:rsidRPr="00604B07">
        <w:rPr>
          <w:rFonts w:cs="Arial"/>
          <w:rtl/>
        </w:rPr>
        <w:t>כלי עץ המחושקין סביב ברזל מבחוץ אפילו למ"ד הכל הולך אחר המעמי</w:t>
      </w:r>
      <w:r>
        <w:rPr>
          <w:rFonts w:cs="Arial" w:hint="cs"/>
          <w:rtl/>
        </w:rPr>
        <w:t>ד,</w:t>
      </w:r>
      <w:r w:rsidRPr="00604B07">
        <w:rPr>
          <w:rFonts w:cs="Arial"/>
          <w:rtl/>
        </w:rPr>
        <w:t xml:space="preserve"> אין צריכין טבילה</w:t>
      </w:r>
      <w:r>
        <w:rPr>
          <w:rFonts w:cs="Arial" w:hint="cs"/>
          <w:rtl/>
        </w:rPr>
        <w:t>,</w:t>
      </w:r>
      <w:r w:rsidRPr="00604B07">
        <w:rPr>
          <w:rFonts w:cs="Arial"/>
          <w:rtl/>
        </w:rPr>
        <w:t xml:space="preserve"> כיון דאין משתמשין בהן דרך המתכת</w:t>
      </w:r>
      <w:r>
        <w:rPr>
          <w:rFonts w:cs="Arial" w:hint="cs"/>
          <w:rtl/>
        </w:rPr>
        <w:t>,</w:t>
      </w:r>
      <w:r w:rsidRPr="00604B07">
        <w:rPr>
          <w:rFonts w:cs="Arial"/>
          <w:rtl/>
        </w:rPr>
        <w:t xml:space="preserve"> דכלי סעודה האמורים בפרשה היינו שמשתמשין בהן</w:t>
      </w:r>
      <w:r>
        <w:rPr>
          <w:rFonts w:cs="Arial" w:hint="cs"/>
          <w:sz w:val="16"/>
          <w:szCs w:val="16"/>
          <w:rtl/>
        </w:rPr>
        <w:t xml:space="preserve"> (ל' התוס')</w:t>
      </w:r>
      <w:r>
        <w:rPr>
          <w:rStyle w:val="a7"/>
          <w:rFonts w:cs="Arial"/>
          <w:rtl/>
        </w:rPr>
        <w:footnoteReference w:id="2892"/>
      </w:r>
      <w:r>
        <w:rPr>
          <w:rFonts w:cs="Arial" w:hint="cs"/>
          <w:rtl/>
        </w:rPr>
        <w:t>.</w:t>
      </w:r>
      <w:r>
        <w:rPr>
          <w:rFonts w:hint="cs"/>
          <w:rtl/>
        </w:rPr>
        <w:t xml:space="preserve"> </w:t>
      </w:r>
      <w:r w:rsidRPr="00E85D61">
        <w:rPr>
          <w:rFonts w:hint="cs"/>
          <w:color w:val="E36C0A" w:themeColor="accent6" w:themeShade="BF"/>
          <w:rtl/>
        </w:rPr>
        <w:t>(וכ"פ בשו"ע</w:t>
      </w:r>
      <w:r>
        <w:rPr>
          <w:rFonts w:hint="cs"/>
          <w:color w:val="E36C0A" w:themeColor="accent6" w:themeShade="BF"/>
          <w:rtl/>
        </w:rPr>
        <w:t>)</w:t>
      </w:r>
    </w:p>
    <w:p w14:paraId="3C394BEA" w14:textId="77777777" w:rsidR="002C39F4" w:rsidRPr="00891AFC" w:rsidRDefault="002C39F4" w:rsidP="0032102C">
      <w:pPr>
        <w:pStyle w:val="a8"/>
        <w:numPr>
          <w:ilvl w:val="0"/>
          <w:numId w:val="298"/>
        </w:numPr>
      </w:pPr>
      <w:r w:rsidRPr="00891AFC">
        <w:rPr>
          <w:rFonts w:cs="Arial"/>
          <w:rtl/>
        </w:rPr>
        <w:t xml:space="preserve">מהר"ם </w:t>
      </w:r>
      <w:r w:rsidRPr="00891AFC">
        <w:rPr>
          <w:rFonts w:cs="Arial" w:hint="cs"/>
          <w:sz w:val="16"/>
          <w:szCs w:val="16"/>
          <w:rtl/>
        </w:rPr>
        <w:t>(</w:t>
      </w:r>
      <w:r w:rsidRPr="00891AFC">
        <w:rPr>
          <w:rFonts w:cs="Arial"/>
          <w:sz w:val="16"/>
          <w:szCs w:val="16"/>
          <w:rtl/>
        </w:rPr>
        <w:t>ד"פ סי' תרכא)</w:t>
      </w:r>
      <w:r>
        <w:rPr>
          <w:rFonts w:cs="Arial" w:hint="cs"/>
          <w:rtl/>
        </w:rPr>
        <w:t xml:space="preserve">- </w:t>
      </w:r>
      <w:r w:rsidRPr="00891AFC">
        <w:rPr>
          <w:rFonts w:cs="Arial"/>
          <w:rtl/>
        </w:rPr>
        <w:t>צריך טבילה</w:t>
      </w:r>
      <w:r>
        <w:rPr>
          <w:rFonts w:cs="Arial" w:hint="cs"/>
          <w:rtl/>
        </w:rPr>
        <w:t>,</w:t>
      </w:r>
      <w:r w:rsidRPr="00891AFC">
        <w:rPr>
          <w:rFonts w:cs="Arial"/>
          <w:rtl/>
        </w:rPr>
        <w:t xml:space="preserve"> דאזלינן בתר המעמיד </w:t>
      </w:r>
      <w:r w:rsidRPr="00891AFC">
        <w:rPr>
          <w:rFonts w:cs="Arial"/>
          <w:sz w:val="16"/>
          <w:szCs w:val="16"/>
          <w:rtl/>
        </w:rPr>
        <w:t xml:space="preserve">(שבת טו:) </w:t>
      </w:r>
      <w:r w:rsidRPr="00891AFC">
        <w:rPr>
          <w:rFonts w:cs="Arial"/>
          <w:rtl/>
        </w:rPr>
        <w:t>לענין טבילה כמו לענין טומאה</w:t>
      </w:r>
      <w:r>
        <w:rPr>
          <w:rStyle w:val="a7"/>
          <w:rFonts w:cs="Arial"/>
          <w:rtl/>
        </w:rPr>
        <w:footnoteReference w:id="2893"/>
      </w:r>
      <w:r w:rsidRPr="00891AFC">
        <w:rPr>
          <w:rFonts w:cs="Arial"/>
          <w:rtl/>
        </w:rPr>
        <w:t xml:space="preserve">. </w:t>
      </w:r>
      <w:r w:rsidRPr="00FD2D6A">
        <w:rPr>
          <w:rFonts w:cs="Arial"/>
          <w:rtl/>
        </w:rPr>
        <w:t xml:space="preserve"> </w:t>
      </w:r>
      <w:r>
        <w:rPr>
          <w:rFonts w:hint="cs"/>
          <w:rtl/>
        </w:rPr>
        <w:t xml:space="preserve"> </w:t>
      </w:r>
    </w:p>
    <w:p w14:paraId="7D221B3B" w14:textId="77777777" w:rsidR="002C39F4" w:rsidRPr="007B63D3" w:rsidRDefault="002C39F4" w:rsidP="0032102C">
      <w:pPr>
        <w:pStyle w:val="a8"/>
        <w:numPr>
          <w:ilvl w:val="0"/>
          <w:numId w:val="298"/>
        </w:numPr>
        <w:rPr>
          <w:rtl/>
        </w:rPr>
      </w:pPr>
      <w:r>
        <w:rPr>
          <w:rFonts w:cs="Arial" w:hint="cs"/>
          <w:rtl/>
        </w:rPr>
        <w:t>או</w:t>
      </w:r>
      <w:r>
        <w:rPr>
          <w:rFonts w:cs="Arial"/>
          <w:rtl/>
        </w:rPr>
        <w:t>"</w:t>
      </w:r>
      <w:r>
        <w:rPr>
          <w:rFonts w:cs="Arial" w:hint="cs"/>
          <w:rtl/>
        </w:rPr>
        <w:t>ה</w:t>
      </w:r>
      <w:r w:rsidRPr="00002062">
        <w:rPr>
          <w:rFonts w:cs="Arial"/>
          <w:rtl/>
        </w:rPr>
        <w:t xml:space="preserve"> </w:t>
      </w:r>
      <w:r w:rsidRPr="00B32E94">
        <w:rPr>
          <w:rFonts w:cs="Arial" w:hint="cs"/>
          <w:sz w:val="16"/>
          <w:szCs w:val="16"/>
          <w:rtl/>
        </w:rPr>
        <w:t>(</w:t>
      </w:r>
      <w:r w:rsidRPr="00B32E94">
        <w:rPr>
          <w:rFonts w:cs="Arial"/>
          <w:sz w:val="16"/>
          <w:szCs w:val="16"/>
          <w:rtl/>
        </w:rPr>
        <w:t>כלל נח דפ</w:t>
      </w:r>
      <w:r>
        <w:rPr>
          <w:rFonts w:cs="Arial" w:hint="cs"/>
          <w:sz w:val="16"/>
          <w:szCs w:val="16"/>
          <w:rtl/>
        </w:rPr>
        <w:t>"</w:t>
      </w:r>
      <w:r w:rsidRPr="00B32E94">
        <w:rPr>
          <w:rFonts w:cs="Arial"/>
          <w:sz w:val="16"/>
          <w:szCs w:val="16"/>
          <w:rtl/>
        </w:rPr>
        <w:t>ב</w:t>
      </w:r>
      <w:r w:rsidRPr="00B32E94">
        <w:rPr>
          <w:rFonts w:cs="Arial" w:hint="cs"/>
          <w:sz w:val="16"/>
          <w:szCs w:val="16"/>
          <w:rtl/>
        </w:rPr>
        <w:t>, הביא</w:t>
      </w:r>
      <w:r>
        <w:rPr>
          <w:rFonts w:cs="Arial" w:hint="cs"/>
          <w:sz w:val="16"/>
          <w:szCs w:val="16"/>
          <w:rtl/>
        </w:rPr>
        <w:t>ו</w:t>
      </w:r>
      <w:r w:rsidRPr="00B32E94">
        <w:rPr>
          <w:rFonts w:cs="Arial" w:hint="cs"/>
          <w:sz w:val="16"/>
          <w:szCs w:val="16"/>
          <w:rtl/>
        </w:rPr>
        <w:t xml:space="preserve"> הדרכ"מ [אות ה</w:t>
      </w:r>
      <w:r>
        <w:rPr>
          <w:rFonts w:cs="Arial" w:hint="cs"/>
          <w:sz w:val="16"/>
          <w:szCs w:val="16"/>
          <w:rtl/>
        </w:rPr>
        <w:t xml:space="preserve"> ואות ה*</w:t>
      </w:r>
      <w:r w:rsidRPr="00B32E94">
        <w:rPr>
          <w:rFonts w:cs="Arial" w:hint="cs"/>
          <w:sz w:val="16"/>
          <w:szCs w:val="16"/>
          <w:rtl/>
        </w:rPr>
        <w:t>]</w:t>
      </w:r>
      <w:r w:rsidRPr="00B32E94">
        <w:rPr>
          <w:rFonts w:cs="Arial"/>
          <w:sz w:val="16"/>
          <w:szCs w:val="16"/>
          <w:rtl/>
        </w:rPr>
        <w:t>)</w:t>
      </w:r>
      <w:r>
        <w:rPr>
          <w:rFonts w:cs="Arial" w:hint="cs"/>
          <w:rtl/>
        </w:rPr>
        <w:t xml:space="preserve">- </w:t>
      </w:r>
      <w:r w:rsidRPr="00B32E94">
        <w:rPr>
          <w:rFonts w:cs="Arial"/>
          <w:rtl/>
        </w:rPr>
        <w:t>בכל ענייני טבילה שחלוקין בה רבותינו טוב יותר להטבילן עם כלים אחרים</w:t>
      </w:r>
      <w:r>
        <w:rPr>
          <w:rFonts w:cs="Arial" w:hint="cs"/>
          <w:rtl/>
        </w:rPr>
        <w:t>,</w:t>
      </w:r>
      <w:r w:rsidRPr="00B32E94">
        <w:rPr>
          <w:rFonts w:cs="Arial"/>
          <w:rtl/>
        </w:rPr>
        <w:t xml:space="preserve"> כמו שנמצא בתש</w:t>
      </w:r>
      <w:r>
        <w:rPr>
          <w:rFonts w:cs="Arial" w:hint="cs"/>
          <w:rtl/>
        </w:rPr>
        <w:t>ו'</w:t>
      </w:r>
      <w:r w:rsidRPr="00B32E94">
        <w:rPr>
          <w:rFonts w:cs="Arial"/>
          <w:rtl/>
        </w:rPr>
        <w:t xml:space="preserve"> רש"י והרי"ף שכל דבר שמסופקין בטבילתם ירא שמים יטבילם עם כלים אחרים ויברך על הודאי ויכלול אלו בברכה</w:t>
      </w:r>
      <w:r>
        <w:rPr>
          <w:rStyle w:val="a7"/>
          <w:rFonts w:cs="Arial"/>
          <w:rtl/>
        </w:rPr>
        <w:footnoteReference w:id="2894"/>
      </w:r>
      <w:r w:rsidRPr="00B32E94">
        <w:rPr>
          <w:rFonts w:cs="Arial"/>
          <w:rtl/>
        </w:rPr>
        <w:t xml:space="preserve"> עכ"ל</w:t>
      </w:r>
      <w:r>
        <w:rPr>
          <w:rFonts w:cs="Arial" w:hint="cs"/>
          <w:sz w:val="16"/>
          <w:szCs w:val="16"/>
          <w:rtl/>
        </w:rPr>
        <w:t xml:space="preserve"> {רש"י בתשו'}</w:t>
      </w:r>
      <w:r>
        <w:rPr>
          <w:rStyle w:val="a7"/>
          <w:rFonts w:cs="Arial"/>
          <w:rtl/>
        </w:rPr>
        <w:footnoteReference w:id="2895"/>
      </w:r>
      <w:r w:rsidRPr="00B32E94">
        <w:rPr>
          <w:rFonts w:cs="Arial"/>
          <w:rtl/>
        </w:rPr>
        <w:t>.</w:t>
      </w:r>
      <w:r w:rsidRPr="00423DE5">
        <w:rPr>
          <w:rFonts w:hint="cs"/>
          <w:color w:val="00B0F0"/>
          <w:rtl/>
        </w:rPr>
        <w:t xml:space="preserve"> </w:t>
      </w:r>
    </w:p>
    <w:p w14:paraId="207BB4B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4D0F4A6" w14:textId="77777777" w:rsidR="002C39F4" w:rsidRDefault="002C39F4" w:rsidP="002C39F4">
      <w:pPr>
        <w:rPr>
          <w:rFonts w:asciiTheme="minorBidi" w:hAnsiTheme="minorBidi"/>
          <w:rtl/>
        </w:rPr>
      </w:pPr>
      <w:r w:rsidRPr="003024E5">
        <w:rPr>
          <w:rFonts w:asciiTheme="minorBidi" w:hAnsiTheme="minorBidi"/>
          <w:rtl/>
        </w:rPr>
        <w:t>כלי עץ שיש לו חשוקים של ברזל מבחוץ שמעמידין אותו אינו טעון טבילה</w:t>
      </w:r>
      <w:r>
        <w:rPr>
          <w:rStyle w:val="a7"/>
          <w:rFonts w:asciiTheme="minorBidi" w:hAnsiTheme="minorBidi"/>
          <w:rtl/>
        </w:rPr>
        <w:footnoteReference w:id="2896"/>
      </w:r>
      <w:r w:rsidRPr="003024E5">
        <w:rPr>
          <w:rFonts w:asciiTheme="minorBidi" w:hAnsiTheme="minorBidi"/>
          <w:rtl/>
        </w:rPr>
        <w:t xml:space="preserve">. </w:t>
      </w:r>
    </w:p>
    <w:p w14:paraId="1F465D2C" w14:textId="77777777" w:rsidR="002C39F4" w:rsidRPr="003024E5" w:rsidRDefault="002C39F4" w:rsidP="002C39F4">
      <w:pPr>
        <w:rPr>
          <w:rFonts w:asciiTheme="minorBidi" w:hAnsiTheme="minorBidi"/>
          <w:rtl/>
        </w:rPr>
      </w:pPr>
    </w:p>
    <w:p w14:paraId="697124CB"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w:t>
      </w:r>
      <w:r w:rsidRPr="00212EA5">
        <w:rPr>
          <w:rFonts w:asciiTheme="minorBidi" w:hAnsiTheme="minorBidi" w:hint="cs"/>
          <w:rtl/>
        </w:rPr>
        <w:t xml:space="preserve"> </w:t>
      </w:r>
      <w:r>
        <w:rPr>
          <w:rFonts w:asciiTheme="minorBidi" w:hAnsiTheme="minorBidi" w:hint="cs"/>
          <w:rtl/>
        </w:rPr>
        <w:t>כלי שעשוי מחומר שטעון טבילה אך המעמיד שלו אינו טעון טבילה.</w:t>
      </w:r>
    </w:p>
    <w:p w14:paraId="349D6859" w14:textId="77777777" w:rsidR="002C39F4" w:rsidRPr="00212EA5" w:rsidRDefault="002C39F4" w:rsidP="002C39F4">
      <w:pPr>
        <w:rPr>
          <w:rFonts w:cs="Arial"/>
          <w:u w:val="single"/>
          <w:rtl/>
        </w:rPr>
      </w:pPr>
      <w:r w:rsidRPr="00212EA5">
        <w:rPr>
          <w:rFonts w:cs="Arial" w:hint="cs"/>
          <w:u w:val="single"/>
          <w:rtl/>
        </w:rPr>
        <w:t>כ</w:t>
      </w:r>
      <w:r>
        <w:rPr>
          <w:rFonts w:cs="Arial" w:hint="cs"/>
          <w:u w:val="single"/>
          <w:rtl/>
        </w:rPr>
        <w:t>וס של כסף בתוך כלי עץ</w:t>
      </w:r>
      <w:r w:rsidRPr="00212EA5">
        <w:rPr>
          <w:rFonts w:cs="Arial" w:hint="cs"/>
          <w:u w:val="single"/>
          <w:rtl/>
        </w:rPr>
        <w:t>:</w:t>
      </w:r>
    </w:p>
    <w:p w14:paraId="15B8E7B1" w14:textId="77777777" w:rsidR="002C39F4" w:rsidRPr="00E0402F" w:rsidRDefault="002C39F4" w:rsidP="0032102C">
      <w:pPr>
        <w:pStyle w:val="a8"/>
        <w:numPr>
          <w:ilvl w:val="0"/>
          <w:numId w:val="303"/>
        </w:numPr>
        <w:rPr>
          <w:rFonts w:cs="Arial"/>
          <w:rtl/>
        </w:rPr>
      </w:pPr>
      <w:r w:rsidRPr="00212EA5">
        <w:rPr>
          <w:rFonts w:cs="Arial" w:hint="cs"/>
          <w:rtl/>
        </w:rPr>
        <w:t>סמ"ק</w:t>
      </w:r>
      <w:r w:rsidRPr="00212EA5">
        <w:rPr>
          <w:rFonts w:cs="Arial" w:hint="cs"/>
          <w:sz w:val="16"/>
          <w:szCs w:val="16"/>
          <w:rtl/>
        </w:rPr>
        <w:t xml:space="preserve"> (סי' קצט)</w:t>
      </w:r>
      <w:r w:rsidRPr="00212EA5">
        <w:rPr>
          <w:rFonts w:cs="Arial" w:hint="cs"/>
          <w:rtl/>
        </w:rPr>
        <w:t xml:space="preserve"> וטור- </w:t>
      </w:r>
      <w:r w:rsidRPr="00212EA5">
        <w:rPr>
          <w:rFonts w:cs="Arial"/>
          <w:rtl/>
        </w:rPr>
        <w:t>כוס של כסף בתוך כלי עץ</w:t>
      </w:r>
      <w:r>
        <w:rPr>
          <w:rStyle w:val="a7"/>
          <w:rFonts w:cs="Arial"/>
          <w:rtl/>
        </w:rPr>
        <w:footnoteReference w:id="2897"/>
      </w:r>
      <w:r w:rsidRPr="00212EA5">
        <w:rPr>
          <w:rFonts w:cs="Arial"/>
          <w:rtl/>
        </w:rPr>
        <w:t xml:space="preserve"> נראה דצריך להטבילו כיון שמשתמש בכסף אבל מבחוץ לא אע</w:t>
      </w:r>
      <w:r>
        <w:rPr>
          <w:rFonts w:cs="Arial" w:hint="cs"/>
          <w:rtl/>
        </w:rPr>
        <w:t>"</w:t>
      </w:r>
      <w:r w:rsidRPr="00212EA5">
        <w:rPr>
          <w:rFonts w:cs="Arial"/>
          <w:rtl/>
        </w:rPr>
        <w:t>ג דמעמיד</w:t>
      </w:r>
      <w:r>
        <w:rPr>
          <w:rStyle w:val="a7"/>
          <w:rFonts w:cs="Arial"/>
          <w:rtl/>
        </w:rPr>
        <w:footnoteReference w:id="2898"/>
      </w:r>
      <w:r w:rsidRPr="00212EA5">
        <w:rPr>
          <w:rFonts w:cs="Arial"/>
          <w:rtl/>
        </w:rPr>
        <w:t>, ויש מחמירין להטביל היכא דמעמיד בלי ברכה</w:t>
      </w:r>
      <w:r>
        <w:rPr>
          <w:rStyle w:val="a7"/>
          <w:rFonts w:cs="Arial"/>
          <w:rtl/>
        </w:rPr>
        <w:footnoteReference w:id="2899"/>
      </w:r>
      <w:r w:rsidRPr="00212EA5">
        <w:rPr>
          <w:rFonts w:cs="Arial" w:hint="cs"/>
          <w:sz w:val="16"/>
          <w:szCs w:val="16"/>
          <w:rtl/>
        </w:rPr>
        <w:t xml:space="preserve"> (ל' סמ"ק</w:t>
      </w:r>
      <w:r>
        <w:rPr>
          <w:rStyle w:val="a7"/>
          <w:rFonts w:cs="Arial"/>
          <w:sz w:val="16"/>
          <w:szCs w:val="16"/>
          <w:rtl/>
        </w:rPr>
        <w:footnoteReference w:id="2900"/>
      </w:r>
      <w:r w:rsidRPr="00212EA5">
        <w:rPr>
          <w:rFonts w:cs="Arial" w:hint="cs"/>
          <w:sz w:val="16"/>
          <w:szCs w:val="16"/>
          <w:rtl/>
        </w:rPr>
        <w:t>)</w:t>
      </w:r>
      <w:r>
        <w:rPr>
          <w:rFonts w:hint="cs"/>
          <w:rtl/>
        </w:rPr>
        <w:t>.</w:t>
      </w:r>
    </w:p>
    <w:p w14:paraId="719D1E1B"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398E37A" w14:textId="77777777" w:rsidR="002C39F4" w:rsidRDefault="002C39F4" w:rsidP="002C39F4">
      <w:pPr>
        <w:rPr>
          <w:rFonts w:asciiTheme="minorBidi" w:hAnsiTheme="minorBidi"/>
          <w:rtl/>
        </w:rPr>
      </w:pPr>
      <w:r w:rsidRPr="003024E5">
        <w:rPr>
          <w:rFonts w:asciiTheme="minorBidi" w:hAnsiTheme="minorBidi"/>
          <w:rtl/>
        </w:rPr>
        <w:t>כוס של כסף מחובר בכלי עץ צריך טבילה</w:t>
      </w:r>
      <w:r>
        <w:rPr>
          <w:rStyle w:val="a7"/>
          <w:rFonts w:asciiTheme="minorBidi" w:hAnsiTheme="minorBidi"/>
          <w:rtl/>
        </w:rPr>
        <w:footnoteReference w:id="2901"/>
      </w:r>
      <w:r w:rsidRPr="003024E5">
        <w:rPr>
          <w:rFonts w:asciiTheme="minorBidi" w:hAnsiTheme="minorBidi"/>
          <w:rtl/>
        </w:rPr>
        <w:t xml:space="preserve">. </w:t>
      </w:r>
      <w:r w:rsidRPr="007B63D3">
        <w:rPr>
          <w:rFonts w:asciiTheme="minorBidi" w:hAnsiTheme="minorBidi"/>
          <w:sz w:val="18"/>
          <w:szCs w:val="18"/>
          <w:rtl/>
        </w:rPr>
        <w:t>הגה: וכן רחיים של פלפלין שבתוך העץ יש ברזל קבוע שטוחנין בו צריך טבילה (מרדכי</w:t>
      </w:r>
      <w:r>
        <w:rPr>
          <w:rFonts w:asciiTheme="minorBidi" w:hAnsiTheme="minorBidi" w:hint="cs"/>
          <w:sz w:val="18"/>
          <w:szCs w:val="18"/>
          <w:rtl/>
        </w:rPr>
        <w:t xml:space="preserve"> סי' תתנט בהגה</w:t>
      </w:r>
      <w:r w:rsidRPr="007B63D3">
        <w:rPr>
          <w:rFonts w:asciiTheme="minorBidi" w:hAnsiTheme="minorBidi"/>
          <w:sz w:val="18"/>
          <w:szCs w:val="18"/>
          <w:rtl/>
        </w:rPr>
        <w:t>). וכן המשפכות של ברזל או הברזות של ברזל ושאר מתכות כולן צריכים טבילה</w:t>
      </w:r>
      <w:r>
        <w:rPr>
          <w:rStyle w:val="a7"/>
          <w:rFonts w:asciiTheme="minorBidi" w:hAnsiTheme="minorBidi"/>
          <w:sz w:val="18"/>
          <w:szCs w:val="18"/>
          <w:rtl/>
        </w:rPr>
        <w:footnoteReference w:id="2902"/>
      </w:r>
      <w:r>
        <w:rPr>
          <w:rFonts w:asciiTheme="minorBidi" w:hAnsiTheme="minorBidi" w:hint="cs"/>
          <w:sz w:val="18"/>
          <w:szCs w:val="18"/>
          <w:rtl/>
        </w:rPr>
        <w:t>,</w:t>
      </w:r>
      <w:r w:rsidRPr="007B63D3">
        <w:rPr>
          <w:rFonts w:asciiTheme="minorBidi" w:hAnsiTheme="minorBidi"/>
          <w:sz w:val="18"/>
          <w:szCs w:val="18"/>
          <w:rtl/>
        </w:rPr>
        <w:t xml:space="preserve"> ודווקא שעיקר הכלי הוא של מתכת, אבל אם עיקר הכלי הוא של עץ רק שמעט ברזל קבוע בו</w:t>
      </w:r>
      <w:r>
        <w:rPr>
          <w:rStyle w:val="a7"/>
          <w:rFonts w:asciiTheme="minorBidi" w:hAnsiTheme="minorBidi"/>
          <w:sz w:val="18"/>
          <w:szCs w:val="18"/>
          <w:rtl/>
        </w:rPr>
        <w:footnoteReference w:id="2903"/>
      </w:r>
      <w:r w:rsidRPr="007B63D3">
        <w:rPr>
          <w:rFonts w:asciiTheme="minorBidi" w:hAnsiTheme="minorBidi"/>
          <w:sz w:val="18"/>
          <w:szCs w:val="18"/>
          <w:rtl/>
        </w:rPr>
        <w:t>, הואיל ואפשר להשתמש בו בלא הברזל אין צריך טבילה</w:t>
      </w:r>
      <w:r>
        <w:rPr>
          <w:rFonts w:asciiTheme="minorBidi" w:hAnsiTheme="minorBidi" w:hint="cs"/>
          <w:sz w:val="18"/>
          <w:szCs w:val="18"/>
          <w:rtl/>
        </w:rPr>
        <w:t xml:space="preserve"> </w:t>
      </w:r>
      <w:r w:rsidRPr="007B63D3">
        <w:rPr>
          <w:rFonts w:asciiTheme="minorBidi" w:hAnsiTheme="minorBidi"/>
          <w:sz w:val="18"/>
          <w:szCs w:val="18"/>
          <w:rtl/>
        </w:rPr>
        <w:t>(ארוך). אבל כלי המתוקן ביתדות של ברזל ובלא היתדות לא היה אפשר להשתמש בו, והם מבפנים, צריך טבילה (כ</w:t>
      </w:r>
      <w:r>
        <w:rPr>
          <w:rFonts w:asciiTheme="minorBidi" w:hAnsiTheme="minorBidi" w:hint="cs"/>
          <w:sz w:val="18"/>
          <w:szCs w:val="18"/>
          <w:rtl/>
        </w:rPr>
        <w:t>"</w:t>
      </w:r>
      <w:r w:rsidRPr="007B63D3">
        <w:rPr>
          <w:rFonts w:asciiTheme="minorBidi" w:hAnsiTheme="minorBidi"/>
          <w:sz w:val="18"/>
          <w:szCs w:val="18"/>
          <w:rtl/>
        </w:rPr>
        <w:t>מ מב"י בשם הגה</w:t>
      </w:r>
      <w:r>
        <w:rPr>
          <w:rFonts w:asciiTheme="minorBidi" w:hAnsiTheme="minorBidi" w:hint="cs"/>
          <w:sz w:val="18"/>
          <w:szCs w:val="18"/>
          <w:rtl/>
        </w:rPr>
        <w:t>"</w:t>
      </w:r>
      <w:r w:rsidRPr="007B63D3">
        <w:rPr>
          <w:rFonts w:asciiTheme="minorBidi" w:hAnsiTheme="minorBidi"/>
          <w:sz w:val="18"/>
          <w:szCs w:val="18"/>
          <w:rtl/>
        </w:rPr>
        <w:t>מ פי"ז).</w:t>
      </w:r>
      <w:r w:rsidRPr="003024E5">
        <w:rPr>
          <w:rFonts w:asciiTheme="minorBidi" w:hAnsiTheme="minorBidi"/>
          <w:rtl/>
        </w:rPr>
        <w:t xml:space="preserve"> </w:t>
      </w:r>
    </w:p>
    <w:p w14:paraId="0B5B87EE" w14:textId="77777777" w:rsidR="002C39F4" w:rsidRPr="003024E5" w:rsidRDefault="002C39F4" w:rsidP="002C39F4">
      <w:pPr>
        <w:rPr>
          <w:rFonts w:asciiTheme="minorBidi" w:hAnsiTheme="minorBidi"/>
          <w:rtl/>
        </w:rPr>
      </w:pPr>
    </w:p>
    <w:p w14:paraId="517A6950" w14:textId="77777777" w:rsidR="002C39F4" w:rsidRDefault="002C39F4" w:rsidP="002C39F4">
      <w:pPr>
        <w:pStyle w:val="2"/>
        <w:rPr>
          <w:rFonts w:asciiTheme="minorBidi" w:hAnsiTheme="minorBidi"/>
          <w:rtl/>
        </w:rPr>
      </w:pPr>
      <w:r w:rsidRPr="003024E5">
        <w:rPr>
          <w:rFonts w:asciiTheme="minorBidi" w:hAnsiTheme="minorBidi"/>
          <w:rtl/>
        </w:rPr>
        <w:t>סעיף ח</w:t>
      </w:r>
      <w:r>
        <w:rPr>
          <w:rFonts w:asciiTheme="minorBidi" w:hAnsiTheme="minorBidi" w:hint="cs"/>
          <w:rtl/>
        </w:rPr>
        <w:t>: ישראל ששאל/שכר כלי מגוי.</w:t>
      </w:r>
    </w:p>
    <w:p w14:paraId="6026F036" w14:textId="77777777" w:rsidR="002C39F4" w:rsidRDefault="002C39F4" w:rsidP="002C39F4">
      <w:pPr>
        <w:rPr>
          <w:rtl/>
        </w:rPr>
      </w:pPr>
      <w:r>
        <w:rPr>
          <w:rFonts w:cs="Arial" w:hint="cs"/>
          <w:b/>
          <w:bCs/>
          <w:rtl/>
        </w:rPr>
        <w:t xml:space="preserve">עבודה זרה עה ע"ב: </w:t>
      </w:r>
      <w:r w:rsidRPr="00F2353F">
        <w:rPr>
          <w:rFonts w:cs="Arial"/>
          <w:u w:val="single"/>
          <w:rtl/>
        </w:rPr>
        <w:t>אמר רב נחמן אמר רבה בר אבוה:</w:t>
      </w:r>
      <w:r w:rsidRPr="00115C7B">
        <w:rPr>
          <w:rFonts w:cs="Arial"/>
          <w:rtl/>
        </w:rPr>
        <w:t xml:space="preserve"> לא שנו אלא בלקוחין וכמעשה שהיה</w:t>
      </w:r>
      <w:r>
        <w:rPr>
          <w:rStyle w:val="a7"/>
          <w:rFonts w:cs="Arial"/>
          <w:rtl/>
        </w:rPr>
        <w:footnoteReference w:id="2904"/>
      </w:r>
      <w:r w:rsidRPr="00115C7B">
        <w:rPr>
          <w:rFonts w:cs="Arial"/>
          <w:rtl/>
        </w:rPr>
        <w:t>, אבל שאולין לא</w:t>
      </w:r>
      <w:r>
        <w:rPr>
          <w:rStyle w:val="a7"/>
          <w:rFonts w:cs="Arial"/>
          <w:rtl/>
        </w:rPr>
        <w:footnoteReference w:id="2905"/>
      </w:r>
      <w:r w:rsidRPr="00115C7B">
        <w:rPr>
          <w:rFonts w:cs="Arial"/>
          <w:rtl/>
        </w:rPr>
        <w:t xml:space="preserve">. </w:t>
      </w:r>
    </w:p>
    <w:p w14:paraId="50DA32C4" w14:textId="77777777" w:rsidR="002C39F4" w:rsidRPr="007B63DC" w:rsidRDefault="002C39F4" w:rsidP="002C39F4">
      <w:pPr>
        <w:rPr>
          <w:rFonts w:cs="Arial"/>
          <w:u w:val="single"/>
          <w:rtl/>
        </w:rPr>
      </w:pPr>
      <w:r w:rsidRPr="007B63DC">
        <w:rPr>
          <w:rFonts w:cs="Arial"/>
          <w:u w:val="single"/>
          <w:rtl/>
        </w:rPr>
        <w:t>ישראל ש</w:t>
      </w:r>
      <w:r>
        <w:rPr>
          <w:rFonts w:cs="Arial" w:hint="cs"/>
          <w:u w:val="single"/>
          <w:rtl/>
        </w:rPr>
        <w:t>קנה</w:t>
      </w:r>
      <w:r w:rsidRPr="007B63DC">
        <w:rPr>
          <w:rFonts w:cs="Arial"/>
          <w:u w:val="single"/>
          <w:rtl/>
        </w:rPr>
        <w:t xml:space="preserve"> </w:t>
      </w:r>
      <w:r>
        <w:rPr>
          <w:rFonts w:cs="Arial" w:hint="cs"/>
          <w:u w:val="single"/>
          <w:rtl/>
        </w:rPr>
        <w:t xml:space="preserve">כלי </w:t>
      </w:r>
      <w:r w:rsidRPr="007B63DC">
        <w:rPr>
          <w:rFonts w:cs="Arial"/>
          <w:u w:val="single"/>
          <w:rtl/>
        </w:rPr>
        <w:t>מ</w:t>
      </w:r>
      <w:r>
        <w:rPr>
          <w:rFonts w:cs="Arial" w:hint="cs"/>
          <w:u w:val="single"/>
          <w:rtl/>
        </w:rPr>
        <w:t>גוי</w:t>
      </w:r>
      <w:r w:rsidRPr="007B63DC">
        <w:rPr>
          <w:rFonts w:cs="Arial"/>
          <w:u w:val="single"/>
          <w:rtl/>
        </w:rPr>
        <w:t xml:space="preserve"> והשאילו לחבירו</w:t>
      </w:r>
      <w:r w:rsidRPr="007B63DC">
        <w:rPr>
          <w:rFonts w:cs="Arial" w:hint="cs"/>
          <w:u w:val="single"/>
          <w:rtl/>
        </w:rPr>
        <w:t>:</w:t>
      </w:r>
      <w:r w:rsidRPr="007B63DC">
        <w:rPr>
          <w:rFonts w:cs="Arial"/>
          <w:u w:val="single"/>
          <w:rtl/>
        </w:rPr>
        <w:t xml:space="preserve"> </w:t>
      </w:r>
    </w:p>
    <w:p w14:paraId="5DDA594D" w14:textId="77777777" w:rsidR="002C39F4" w:rsidRPr="007B63DC" w:rsidRDefault="002C39F4" w:rsidP="0032102C">
      <w:pPr>
        <w:pStyle w:val="a8"/>
        <w:numPr>
          <w:ilvl w:val="0"/>
          <w:numId w:val="303"/>
        </w:numPr>
      </w:pPr>
      <w:r>
        <w:rPr>
          <w:rFonts w:cs="Arial" w:hint="cs"/>
          <w:rtl/>
        </w:rPr>
        <w:t xml:space="preserve">רשב"ם </w:t>
      </w:r>
      <w:r w:rsidRPr="007B63DC">
        <w:rPr>
          <w:rFonts w:cs="Arial" w:hint="cs"/>
          <w:sz w:val="16"/>
          <w:szCs w:val="16"/>
          <w:rtl/>
        </w:rPr>
        <w:t>(כ"כ התוס' והרא"ש בשמו)</w:t>
      </w:r>
      <w:r>
        <w:rPr>
          <w:rFonts w:cs="Arial" w:hint="cs"/>
          <w:rtl/>
        </w:rPr>
        <w:t xml:space="preserve"> </w:t>
      </w:r>
      <w:r>
        <w:rPr>
          <w:rFonts w:cs="Arial"/>
          <w:rtl/>
        </w:rPr>
        <w:t>תוס</w:t>
      </w:r>
      <w:r>
        <w:rPr>
          <w:rFonts w:cs="Arial" w:hint="cs"/>
          <w:rtl/>
        </w:rPr>
        <w:t>'</w:t>
      </w:r>
      <w:r>
        <w:rPr>
          <w:rFonts w:cs="Arial"/>
          <w:rtl/>
        </w:rPr>
        <w:t xml:space="preserve"> </w:t>
      </w:r>
      <w:r w:rsidRPr="007B63DC">
        <w:rPr>
          <w:rFonts w:cs="Arial"/>
          <w:sz w:val="16"/>
          <w:szCs w:val="16"/>
          <w:rtl/>
        </w:rPr>
        <w:t>(ד"ה אבל)</w:t>
      </w:r>
      <w:r w:rsidRPr="007B63DC">
        <w:rPr>
          <w:rFonts w:cs="Arial" w:hint="cs"/>
          <w:sz w:val="16"/>
          <w:szCs w:val="16"/>
          <w:rtl/>
        </w:rPr>
        <w:t xml:space="preserve"> </w:t>
      </w:r>
      <w:r>
        <w:rPr>
          <w:rFonts w:cs="Arial"/>
          <w:rtl/>
        </w:rPr>
        <w:t xml:space="preserve">סמ"ק </w:t>
      </w:r>
      <w:r w:rsidRPr="007B63DC">
        <w:rPr>
          <w:rFonts w:cs="Arial"/>
          <w:sz w:val="16"/>
          <w:szCs w:val="16"/>
          <w:rtl/>
        </w:rPr>
        <w:t xml:space="preserve">(סי' קצט) </w:t>
      </w:r>
      <w:r>
        <w:rPr>
          <w:rFonts w:cs="Arial"/>
          <w:rtl/>
        </w:rPr>
        <w:t xml:space="preserve">רא"ש </w:t>
      </w:r>
      <w:r w:rsidRPr="007B63DC">
        <w:rPr>
          <w:rFonts w:cs="Arial"/>
          <w:sz w:val="16"/>
          <w:szCs w:val="16"/>
          <w:rtl/>
        </w:rPr>
        <w:t>(סי' לה)</w:t>
      </w:r>
      <w:r w:rsidRPr="007B63DC">
        <w:rPr>
          <w:rFonts w:cs="Arial" w:hint="cs"/>
          <w:sz w:val="16"/>
          <w:szCs w:val="16"/>
          <w:rtl/>
        </w:rPr>
        <w:t xml:space="preserve"> </w:t>
      </w:r>
      <w:r>
        <w:rPr>
          <w:rFonts w:hint="cs"/>
          <w:rtl/>
        </w:rPr>
        <w:t xml:space="preserve">וטור- </w:t>
      </w:r>
      <w:r w:rsidRPr="007B63DC">
        <w:rPr>
          <w:rFonts w:cs="Arial"/>
          <w:rtl/>
        </w:rPr>
        <w:t>אסור להשתמש בו בלא טבילה כיון שכבר נתחייב ביד הראשון</w:t>
      </w:r>
      <w:r w:rsidRPr="007B63DC">
        <w:rPr>
          <w:rFonts w:cs="Arial" w:hint="cs"/>
          <w:rtl/>
        </w:rPr>
        <w:t>.</w:t>
      </w:r>
    </w:p>
    <w:p w14:paraId="1CA0BF7C" w14:textId="77777777" w:rsidR="002C39F4" w:rsidRPr="007B63DC" w:rsidRDefault="002C39F4" w:rsidP="002C39F4">
      <w:pPr>
        <w:ind w:left="360"/>
        <w:rPr>
          <w:u w:val="dotted"/>
        </w:rPr>
      </w:pPr>
      <w:r w:rsidRPr="007B63DC">
        <w:rPr>
          <w:rFonts w:hint="cs"/>
          <w:u w:val="dotted"/>
          <w:rtl/>
        </w:rPr>
        <w:t>ומה הדי</w:t>
      </w:r>
      <w:r>
        <w:rPr>
          <w:rFonts w:hint="cs"/>
          <w:u w:val="dotted"/>
          <w:rtl/>
        </w:rPr>
        <w:t>ן</w:t>
      </w:r>
      <w:r w:rsidRPr="007B63DC">
        <w:rPr>
          <w:rFonts w:hint="cs"/>
          <w:u w:val="dotted"/>
          <w:rtl/>
        </w:rPr>
        <w:t xml:space="preserve"> אם הראשון לקחו שלא לצרכי סעודה</w:t>
      </w:r>
      <w:r>
        <w:rPr>
          <w:rFonts w:hint="cs"/>
          <w:u w:val="dotted"/>
          <w:rtl/>
        </w:rPr>
        <w:t xml:space="preserve"> </w:t>
      </w:r>
      <w:r>
        <w:rPr>
          <w:u w:val="dotted"/>
          <w:rtl/>
        </w:rPr>
        <w:t>–</w:t>
      </w:r>
      <w:r>
        <w:rPr>
          <w:rFonts w:hint="cs"/>
          <w:u w:val="dotted"/>
          <w:rtl/>
        </w:rPr>
        <w:t xml:space="preserve"> והשאילו לחבירו</w:t>
      </w:r>
      <w:r w:rsidRPr="007B63DC">
        <w:rPr>
          <w:rFonts w:hint="cs"/>
          <w:u w:val="dotted"/>
          <w:rtl/>
        </w:rPr>
        <w:t>:</w:t>
      </w:r>
    </w:p>
    <w:p w14:paraId="5DDEA9B9" w14:textId="77777777" w:rsidR="002C39F4" w:rsidRDefault="002C39F4" w:rsidP="0032102C">
      <w:pPr>
        <w:pStyle w:val="a8"/>
        <w:numPr>
          <w:ilvl w:val="0"/>
          <w:numId w:val="303"/>
        </w:numPr>
      </w:pPr>
      <w:r>
        <w:rPr>
          <w:rFonts w:cs="Arial" w:hint="cs"/>
          <w:rtl/>
        </w:rPr>
        <w:t>הג"א</w:t>
      </w:r>
      <w:r w:rsidRPr="007B63DC">
        <w:rPr>
          <w:rFonts w:cs="Arial"/>
          <w:rtl/>
        </w:rPr>
        <w:t xml:space="preserve"> </w:t>
      </w:r>
      <w:r w:rsidRPr="0080341F">
        <w:rPr>
          <w:rFonts w:cs="Arial" w:hint="cs"/>
          <w:sz w:val="16"/>
          <w:szCs w:val="16"/>
          <w:rtl/>
        </w:rPr>
        <w:t>(ע"ז פ"ה סי' לה</w:t>
      </w:r>
      <w:r w:rsidRPr="0080341F">
        <w:rPr>
          <w:rFonts w:cs="Arial"/>
          <w:sz w:val="16"/>
          <w:szCs w:val="16"/>
          <w:rtl/>
        </w:rPr>
        <w:t>)</w:t>
      </w:r>
      <w:r w:rsidRPr="0080341F">
        <w:rPr>
          <w:rFonts w:cs="Arial" w:hint="cs"/>
          <w:rtl/>
        </w:rPr>
        <w:t>-</w:t>
      </w:r>
      <w:r>
        <w:rPr>
          <w:rFonts w:cs="Arial" w:hint="cs"/>
          <w:rtl/>
        </w:rPr>
        <w:t xml:space="preserve"> </w:t>
      </w:r>
      <w:r w:rsidRPr="007B63DC">
        <w:rPr>
          <w:rFonts w:cs="Arial"/>
          <w:rtl/>
        </w:rPr>
        <w:t>אם לקחו חבירו לחתוך קלפים ולא לצרכי סעודה אין צריך להטבילו שהרי שאול הוא בידו</w:t>
      </w:r>
      <w:r>
        <w:rPr>
          <w:rFonts w:cs="Arial" w:hint="cs"/>
          <w:rtl/>
        </w:rPr>
        <w:t xml:space="preserve">. </w:t>
      </w:r>
      <w:r w:rsidRPr="0055457E">
        <w:rPr>
          <w:rFonts w:hint="cs"/>
          <w:color w:val="E36C0A" w:themeColor="accent6" w:themeShade="BF"/>
          <w:rtl/>
        </w:rPr>
        <w:t>(וכ"כ בשו"ע)</w:t>
      </w:r>
    </w:p>
    <w:p w14:paraId="42220875" w14:textId="77777777" w:rsidR="002C39F4" w:rsidRPr="007B63DC" w:rsidRDefault="002C39F4" w:rsidP="0032102C">
      <w:pPr>
        <w:pStyle w:val="a8"/>
        <w:numPr>
          <w:ilvl w:val="0"/>
          <w:numId w:val="303"/>
        </w:numPr>
      </w:pPr>
      <w:r>
        <w:rPr>
          <w:rFonts w:cs="Arial" w:hint="cs"/>
          <w:rtl/>
        </w:rPr>
        <w:t>או</w:t>
      </w:r>
      <w:r>
        <w:rPr>
          <w:rFonts w:cs="Arial"/>
          <w:rtl/>
        </w:rPr>
        <w:t>"</w:t>
      </w:r>
      <w:r>
        <w:rPr>
          <w:rFonts w:cs="Arial" w:hint="cs"/>
          <w:rtl/>
        </w:rPr>
        <w:t xml:space="preserve">ה </w:t>
      </w:r>
      <w:r w:rsidRPr="006E6203">
        <w:rPr>
          <w:rFonts w:cs="Arial" w:hint="cs"/>
          <w:sz w:val="16"/>
          <w:szCs w:val="16"/>
          <w:rtl/>
        </w:rPr>
        <w:t>(כלל נח דפ</w:t>
      </w:r>
      <w:r>
        <w:rPr>
          <w:rFonts w:cs="Arial" w:hint="cs"/>
          <w:sz w:val="16"/>
          <w:szCs w:val="16"/>
          <w:rtl/>
        </w:rPr>
        <w:t>"</w:t>
      </w:r>
      <w:r w:rsidRPr="006E6203">
        <w:rPr>
          <w:rFonts w:cs="Arial" w:hint="cs"/>
          <w:sz w:val="16"/>
          <w:szCs w:val="16"/>
          <w:rtl/>
        </w:rPr>
        <w:t>ט)</w:t>
      </w:r>
      <w:r>
        <w:rPr>
          <w:rFonts w:cs="Arial" w:hint="cs"/>
          <w:rtl/>
        </w:rPr>
        <w:t xml:space="preserve">- </w:t>
      </w:r>
      <w:r w:rsidRPr="006E6203">
        <w:rPr>
          <w:rFonts w:cs="Arial"/>
          <w:rtl/>
        </w:rPr>
        <w:t>חייב להטבילו אפי' אם לא נתחייב ראשון בטבילתם ממש כגון שלקחו למלאכתו והשני שואלו לסעודה דמ"מ נתחייב בידו דאילו היה הישראל ראשון עצמו רוצה לשמשו לסעודה אפי' עראי היה צריך להטבילו</w:t>
      </w:r>
      <w:r>
        <w:rPr>
          <w:rFonts w:cs="Arial" w:hint="cs"/>
          <w:rtl/>
        </w:rPr>
        <w:t>.</w:t>
      </w:r>
    </w:p>
    <w:p w14:paraId="2EAB39B6" w14:textId="77777777" w:rsidR="002C39F4" w:rsidRPr="007B63DC" w:rsidRDefault="002C39F4" w:rsidP="002C39F4">
      <w:pPr>
        <w:rPr>
          <w:b/>
          <w:bCs/>
          <w:u w:val="single"/>
        </w:rPr>
      </w:pPr>
      <w:r w:rsidRPr="007B63DC">
        <w:rPr>
          <w:rFonts w:cs="Arial"/>
          <w:u w:val="single"/>
          <w:rtl/>
        </w:rPr>
        <w:t xml:space="preserve">ישראל שקנה כלי מגוי לסחורה </w:t>
      </w:r>
      <w:r w:rsidRPr="007B63DC">
        <w:rPr>
          <w:rFonts w:cs="Arial" w:hint="cs"/>
          <w:u w:val="single"/>
          <w:rtl/>
        </w:rPr>
        <w:t>ו</w:t>
      </w:r>
      <w:r w:rsidRPr="007B63DC">
        <w:rPr>
          <w:rFonts w:cs="Arial"/>
          <w:u w:val="single"/>
          <w:rtl/>
        </w:rPr>
        <w:t>מכרו לישראל אחר</w:t>
      </w:r>
      <w:r w:rsidRPr="007B63DC">
        <w:rPr>
          <w:rFonts w:hint="cs"/>
          <w:b/>
          <w:bCs/>
          <w:u w:val="single"/>
          <w:rtl/>
        </w:rPr>
        <w:t>:</w:t>
      </w:r>
    </w:p>
    <w:p w14:paraId="79D1C059" w14:textId="77777777" w:rsidR="002C39F4" w:rsidRPr="007B63D3" w:rsidRDefault="002C39F4" w:rsidP="0032102C">
      <w:pPr>
        <w:pStyle w:val="a8"/>
        <w:numPr>
          <w:ilvl w:val="0"/>
          <w:numId w:val="303"/>
        </w:numPr>
        <w:rPr>
          <w:rtl/>
        </w:rPr>
      </w:pPr>
      <w:r>
        <w:rPr>
          <w:rFonts w:cs="Arial" w:hint="cs"/>
          <w:rtl/>
        </w:rPr>
        <w:t xml:space="preserve">ב"י- </w:t>
      </w:r>
      <w:r w:rsidRPr="007B63DC">
        <w:rPr>
          <w:rFonts w:cs="Arial"/>
          <w:rtl/>
        </w:rPr>
        <w:t>היה נ"ל דישראל שקנה כלי מגוי לסחורה אם מכרו לישראל אחר אין הקונה צריך להטבילו</w:t>
      </w:r>
      <w:r>
        <w:rPr>
          <w:rFonts w:cs="Arial" w:hint="cs"/>
          <w:rtl/>
        </w:rPr>
        <w:t>,</w:t>
      </w:r>
      <w:r w:rsidRPr="007B63DC">
        <w:rPr>
          <w:rFonts w:cs="Arial"/>
          <w:rtl/>
        </w:rPr>
        <w:t xml:space="preserve"> דכיון דלא נתחייב ביד הראשון שהרי לא היה עומד אלא לסחורה</w:t>
      </w:r>
      <w:r>
        <w:rPr>
          <w:rFonts w:cs="Arial" w:hint="cs"/>
          <w:rtl/>
        </w:rPr>
        <w:t>,</w:t>
      </w:r>
      <w:r w:rsidRPr="007B63DC">
        <w:rPr>
          <w:rFonts w:cs="Arial"/>
          <w:rtl/>
        </w:rPr>
        <w:t xml:space="preserve"> ודמי להא דהג</w:t>
      </w:r>
      <w:r>
        <w:rPr>
          <w:rFonts w:cs="Arial" w:hint="cs"/>
          <w:rtl/>
        </w:rPr>
        <w:t xml:space="preserve">"א </w:t>
      </w:r>
      <w:r w:rsidRPr="007B63DC">
        <w:rPr>
          <w:rFonts w:cs="Arial"/>
          <w:rtl/>
        </w:rPr>
        <w:t>בלקחו לחתוך ולא לצרכי סעודה</w:t>
      </w:r>
      <w:r>
        <w:rPr>
          <w:rFonts w:cs="Arial" w:hint="cs"/>
          <w:rtl/>
        </w:rPr>
        <w:t>,</w:t>
      </w:r>
      <w:r w:rsidRPr="007B63DC">
        <w:rPr>
          <w:rFonts w:cs="Arial"/>
          <w:rtl/>
        </w:rPr>
        <w:t xml:space="preserve"> אבל מדסיים וכתב </w:t>
      </w:r>
      <w:r>
        <w:rPr>
          <w:rFonts w:cs="Arial" w:hint="cs"/>
          <w:rtl/>
        </w:rPr>
        <w:t>'</w:t>
      </w:r>
      <w:r w:rsidRPr="007B63DC">
        <w:rPr>
          <w:rFonts w:cs="Arial"/>
          <w:rtl/>
        </w:rPr>
        <w:t>שהרי שאול הוא בידו</w:t>
      </w:r>
      <w:r>
        <w:rPr>
          <w:rFonts w:cs="Arial" w:hint="cs"/>
          <w:rtl/>
        </w:rPr>
        <w:t>'</w:t>
      </w:r>
      <w:r w:rsidRPr="007B63DC">
        <w:rPr>
          <w:rFonts w:cs="Arial"/>
          <w:rtl/>
        </w:rPr>
        <w:t xml:space="preserve"> משמע שאם היה לקוח בידו היה חייב טבילה</w:t>
      </w:r>
      <w:r>
        <w:rPr>
          <w:rFonts w:cs="Arial" w:hint="cs"/>
          <w:rtl/>
        </w:rPr>
        <w:t>,</w:t>
      </w:r>
      <w:r w:rsidRPr="007B63DC">
        <w:rPr>
          <w:rFonts w:cs="Arial"/>
          <w:rtl/>
        </w:rPr>
        <w:t xml:space="preserve"> וא</w:t>
      </w:r>
      <w:r>
        <w:rPr>
          <w:rFonts w:cs="Arial" w:hint="cs"/>
          <w:rtl/>
        </w:rPr>
        <w:t>"</w:t>
      </w:r>
      <w:r w:rsidRPr="007B63DC">
        <w:rPr>
          <w:rFonts w:cs="Arial"/>
          <w:rtl/>
        </w:rPr>
        <w:t xml:space="preserve">כ </w:t>
      </w:r>
      <w:r>
        <w:rPr>
          <w:rFonts w:cs="Arial" w:hint="cs"/>
          <w:rtl/>
        </w:rPr>
        <w:t>ה"ה</w:t>
      </w:r>
      <w:r w:rsidRPr="007B63DC">
        <w:rPr>
          <w:rFonts w:cs="Arial"/>
          <w:rtl/>
        </w:rPr>
        <w:t xml:space="preserve"> בלוקח מהעומדין אצל ישראל לסחורה כיון שמגוי לקחם</w:t>
      </w:r>
      <w:r>
        <w:rPr>
          <w:rFonts w:cs="Arial" w:hint="cs"/>
          <w:rtl/>
        </w:rPr>
        <w:t>,</w:t>
      </w:r>
      <w:r w:rsidRPr="007B63DC">
        <w:rPr>
          <w:rFonts w:cs="Arial"/>
          <w:rtl/>
        </w:rPr>
        <w:t xml:space="preserve"> וכן הורה מורי הרב הגדול מהר"י בי רב ז"ל</w:t>
      </w:r>
      <w:r>
        <w:rPr>
          <w:rFonts w:cs="Arial" w:hint="cs"/>
          <w:rtl/>
        </w:rPr>
        <w:t>.</w:t>
      </w:r>
      <w:r w:rsidRPr="007B63DC">
        <w:rPr>
          <w:rFonts w:hint="cs"/>
          <w:color w:val="00B0F0"/>
          <w:rtl/>
        </w:rPr>
        <w:t xml:space="preserve"> (וכ"פ הרמ"א)</w:t>
      </w:r>
    </w:p>
    <w:p w14:paraId="7ECD103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BF4E262" w14:textId="77777777" w:rsidR="002C39F4" w:rsidRDefault="002C39F4" w:rsidP="002C39F4">
      <w:pPr>
        <w:rPr>
          <w:rFonts w:asciiTheme="minorBidi" w:hAnsiTheme="minorBidi"/>
          <w:rtl/>
        </w:rPr>
      </w:pPr>
      <w:r w:rsidRPr="003024E5">
        <w:rPr>
          <w:rFonts w:asciiTheme="minorBidi" w:hAnsiTheme="minorBidi"/>
          <w:rtl/>
        </w:rPr>
        <w:t>השואל או שוכר כלי מ</w:t>
      </w:r>
      <w:r>
        <w:rPr>
          <w:rFonts w:asciiTheme="minorBidi" w:hAnsiTheme="minorBidi" w:hint="cs"/>
          <w:rtl/>
        </w:rPr>
        <w:t>הגוי</w:t>
      </w:r>
      <w:r w:rsidRPr="003024E5">
        <w:rPr>
          <w:rFonts w:asciiTheme="minorBidi" w:hAnsiTheme="minorBidi"/>
          <w:rtl/>
        </w:rPr>
        <w:t xml:space="preserve"> אינו טעון טבילה. אבל אם ישראל קנאו מה</w:t>
      </w:r>
      <w:r>
        <w:rPr>
          <w:rFonts w:asciiTheme="minorBidi" w:hAnsiTheme="minorBidi" w:hint="cs"/>
          <w:rtl/>
        </w:rPr>
        <w:t xml:space="preserve">גוי </w:t>
      </w:r>
      <w:r w:rsidRPr="003024E5">
        <w:rPr>
          <w:rFonts w:asciiTheme="minorBidi" w:hAnsiTheme="minorBidi"/>
          <w:rtl/>
        </w:rPr>
        <w:t>והשאילו לחבירו טעון טבילה, שכבר נתחייב ביד הראשון. ויש מי שאומר שאם לא לקחו הראשון לצורך סעודה, אלא לחתוך קלפים וכיוצא בו, אין צריך להטבילו</w:t>
      </w:r>
      <w:r>
        <w:rPr>
          <w:rStyle w:val="a7"/>
          <w:rFonts w:cs="Arial"/>
          <w:rtl/>
        </w:rPr>
        <w:footnoteReference w:id="2906"/>
      </w:r>
      <w:r w:rsidRPr="003024E5">
        <w:rPr>
          <w:rFonts w:asciiTheme="minorBidi" w:hAnsiTheme="minorBidi"/>
          <w:rtl/>
        </w:rPr>
        <w:t xml:space="preserve">. </w:t>
      </w:r>
      <w:r w:rsidRPr="007B63D3">
        <w:rPr>
          <w:rFonts w:asciiTheme="minorBidi" w:hAnsiTheme="minorBidi"/>
          <w:sz w:val="18"/>
          <w:szCs w:val="18"/>
          <w:rtl/>
        </w:rPr>
        <w:t>הגה: אבל הראשון אסור להשתמש בו לצרכי סעודה</w:t>
      </w:r>
      <w:r>
        <w:rPr>
          <w:rStyle w:val="a7"/>
          <w:rFonts w:asciiTheme="minorBidi" w:hAnsiTheme="minorBidi"/>
          <w:sz w:val="18"/>
          <w:szCs w:val="18"/>
          <w:rtl/>
        </w:rPr>
        <w:footnoteReference w:id="2907"/>
      </w:r>
      <w:r w:rsidRPr="007B63D3">
        <w:rPr>
          <w:rFonts w:asciiTheme="minorBidi" w:hAnsiTheme="minorBidi"/>
          <w:sz w:val="18"/>
          <w:szCs w:val="18"/>
          <w:rtl/>
        </w:rPr>
        <w:t xml:space="preserve"> אפילו דרך עראי בלא טבילה אע</w:t>
      </w:r>
      <w:r>
        <w:rPr>
          <w:rFonts w:asciiTheme="minorBidi" w:hAnsiTheme="minorBidi" w:hint="cs"/>
          <w:sz w:val="18"/>
          <w:szCs w:val="18"/>
          <w:rtl/>
        </w:rPr>
        <w:t>"</w:t>
      </w:r>
      <w:r w:rsidRPr="007B63D3">
        <w:rPr>
          <w:rFonts w:asciiTheme="minorBidi" w:hAnsiTheme="minorBidi"/>
          <w:sz w:val="18"/>
          <w:szCs w:val="18"/>
          <w:rtl/>
        </w:rPr>
        <w:t>פ שלקחו לצורך קלפים (או"ה). וכן אם קנאו ישראל השני מן הראשון לצורך סעודה, צריך טבילה גבי השני (ב</w:t>
      </w:r>
      <w:r>
        <w:rPr>
          <w:rFonts w:asciiTheme="minorBidi" w:hAnsiTheme="minorBidi" w:hint="cs"/>
          <w:sz w:val="18"/>
          <w:szCs w:val="18"/>
          <w:rtl/>
        </w:rPr>
        <w:t>"י</w:t>
      </w:r>
      <w:r w:rsidRPr="007B63D3">
        <w:rPr>
          <w:rFonts w:asciiTheme="minorBidi" w:hAnsiTheme="minorBidi"/>
          <w:sz w:val="18"/>
          <w:szCs w:val="18"/>
          <w:rtl/>
        </w:rPr>
        <w:t xml:space="preserve">). </w:t>
      </w:r>
    </w:p>
    <w:p w14:paraId="1C9D8493" w14:textId="77777777" w:rsidR="002C39F4" w:rsidRPr="003024E5" w:rsidRDefault="002C39F4" w:rsidP="002C39F4">
      <w:pPr>
        <w:rPr>
          <w:rFonts w:asciiTheme="minorBidi" w:hAnsiTheme="minorBidi"/>
          <w:rtl/>
        </w:rPr>
      </w:pPr>
    </w:p>
    <w:p w14:paraId="61F3AD01" w14:textId="77777777" w:rsidR="002C39F4" w:rsidRDefault="002C39F4" w:rsidP="002C39F4">
      <w:pPr>
        <w:pStyle w:val="2"/>
        <w:rPr>
          <w:rFonts w:asciiTheme="minorBidi" w:hAnsiTheme="minorBidi"/>
          <w:rtl/>
        </w:rPr>
      </w:pPr>
      <w:r w:rsidRPr="003024E5">
        <w:rPr>
          <w:rFonts w:asciiTheme="minorBidi" w:hAnsiTheme="minorBidi"/>
          <w:rtl/>
        </w:rPr>
        <w:t>סעיף ט</w:t>
      </w:r>
      <w:r>
        <w:rPr>
          <w:rFonts w:asciiTheme="minorBidi" w:hAnsiTheme="minorBidi" w:hint="cs"/>
          <w:rtl/>
        </w:rPr>
        <w:t>: גוי שמשכן כלי אצל ישראל.</w:t>
      </w:r>
    </w:p>
    <w:p w14:paraId="5C40E2A4" w14:textId="77777777" w:rsidR="002C39F4" w:rsidRDefault="002C39F4" w:rsidP="002C39F4">
      <w:pPr>
        <w:rPr>
          <w:rtl/>
        </w:rPr>
      </w:pPr>
      <w:r>
        <w:rPr>
          <w:rFonts w:cs="Arial" w:hint="cs"/>
          <w:b/>
          <w:bCs/>
          <w:rtl/>
        </w:rPr>
        <w:t>עבודה זרה עה ע"ב:</w:t>
      </w:r>
      <w:r>
        <w:rPr>
          <w:rFonts w:cs="Arial" w:hint="cs"/>
          <w:rtl/>
        </w:rPr>
        <w:t xml:space="preserve"> </w:t>
      </w:r>
      <w:r w:rsidRPr="00954B3D">
        <w:rPr>
          <w:rFonts w:cs="Arial"/>
          <w:rtl/>
        </w:rPr>
        <w:t xml:space="preserve">איבעיא להו: משכנתא, מאי? </w:t>
      </w:r>
      <w:r w:rsidRPr="00954B3D">
        <w:rPr>
          <w:rFonts w:cs="Arial"/>
          <w:u w:val="single"/>
          <w:rtl/>
        </w:rPr>
        <w:t>אמר מר בר רב אשי</w:t>
      </w:r>
      <w:r w:rsidRPr="00954B3D">
        <w:rPr>
          <w:rFonts w:cs="Arial"/>
          <w:rtl/>
        </w:rPr>
        <w:t xml:space="preserve">: אבא משכן ליה עובד כוכבים כסא דכספא, ואטבליה ואישתי ביה, ולא ידענא אי משום דקסבר: משכנתא כזביני דמיא, אי משום דחזי לעובד כוכבים דדעתיה לשקועיה. </w:t>
      </w:r>
      <w:r>
        <w:rPr>
          <w:rFonts w:cs="Arial" w:hint="cs"/>
          <w:sz w:val="16"/>
          <w:szCs w:val="16"/>
          <w:rtl/>
        </w:rPr>
        <w:t>(</w:t>
      </w:r>
      <w:r w:rsidRPr="00954B3D">
        <w:rPr>
          <w:rFonts w:cs="Arial"/>
          <w:sz w:val="16"/>
          <w:szCs w:val="16"/>
          <w:rtl/>
        </w:rPr>
        <w:t>כלומר שלא לפדותו עוד</w:t>
      </w:r>
      <w:r w:rsidRPr="00954B3D">
        <w:rPr>
          <w:rFonts w:cs="Arial" w:hint="cs"/>
          <w:sz w:val="16"/>
          <w:szCs w:val="16"/>
          <w:rtl/>
        </w:rPr>
        <w:t>,</w:t>
      </w:r>
      <w:r w:rsidRPr="00954B3D">
        <w:rPr>
          <w:rFonts w:cs="Arial"/>
          <w:sz w:val="16"/>
          <w:szCs w:val="16"/>
          <w:rtl/>
        </w:rPr>
        <w:t xml:space="preserve"> משמע בהדיא דהיכא דדעתיה לשקועיה פשיטא לו דבעי טבילה</w:t>
      </w:r>
      <w:r w:rsidRPr="00954B3D">
        <w:rPr>
          <w:rFonts w:cs="Arial" w:hint="cs"/>
          <w:sz w:val="16"/>
          <w:szCs w:val="16"/>
          <w:rtl/>
        </w:rPr>
        <w:t>,</w:t>
      </w:r>
      <w:r w:rsidRPr="00954B3D">
        <w:rPr>
          <w:rFonts w:cs="Arial"/>
          <w:sz w:val="16"/>
          <w:szCs w:val="16"/>
          <w:rtl/>
        </w:rPr>
        <w:t xml:space="preserve"> ובדלא דעתיה לשקועיה הוא דאיבעיא לן</w:t>
      </w:r>
      <w:r>
        <w:rPr>
          <w:rFonts w:cs="Arial" w:hint="cs"/>
          <w:sz w:val="16"/>
          <w:szCs w:val="16"/>
          <w:rtl/>
        </w:rPr>
        <w:t>,</w:t>
      </w:r>
      <w:r w:rsidRPr="00954B3D">
        <w:rPr>
          <w:rFonts w:cs="Arial"/>
          <w:sz w:val="16"/>
          <w:szCs w:val="16"/>
          <w:rtl/>
        </w:rPr>
        <w:t xml:space="preserve"> ולא איפשיטא</w:t>
      </w:r>
      <w:r>
        <w:rPr>
          <w:rFonts w:hint="cs"/>
          <w:sz w:val="16"/>
          <w:szCs w:val="16"/>
          <w:rtl/>
        </w:rPr>
        <w:t>, ב"י</w:t>
      </w:r>
      <w:r w:rsidRPr="00954B3D">
        <w:rPr>
          <w:rFonts w:hint="cs"/>
          <w:sz w:val="16"/>
          <w:szCs w:val="16"/>
          <w:rtl/>
        </w:rPr>
        <w:t>)</w:t>
      </w:r>
    </w:p>
    <w:p w14:paraId="4043A145" w14:textId="77777777" w:rsidR="002C39F4" w:rsidRDefault="002C39F4" w:rsidP="002C39F4">
      <w:pPr>
        <w:rPr>
          <w:rtl/>
        </w:rPr>
      </w:pPr>
      <w:r w:rsidRPr="00954B3D">
        <w:rPr>
          <w:rFonts w:hint="cs"/>
          <w:u w:val="single"/>
          <w:rtl/>
        </w:rPr>
        <w:t>גוי שהניח כלי בתורת משכון אצל ישראל</w:t>
      </w:r>
      <w:r>
        <w:rPr>
          <w:rFonts w:hint="cs"/>
          <w:u w:val="single"/>
          <w:rtl/>
        </w:rPr>
        <w:t xml:space="preserve"> </w:t>
      </w:r>
      <w:r>
        <w:rPr>
          <w:u w:val="single"/>
          <w:rtl/>
        </w:rPr>
        <w:t>–</w:t>
      </w:r>
      <w:r>
        <w:rPr>
          <w:rFonts w:hint="cs"/>
          <w:u w:val="single"/>
          <w:rtl/>
        </w:rPr>
        <w:t xml:space="preserve"> ואין הישראל יודע אם הגוי מתכוון לשקע המשכון בידו או לא</w:t>
      </w:r>
      <w:r w:rsidRPr="00954B3D">
        <w:rPr>
          <w:rFonts w:hint="cs"/>
          <w:u w:val="single"/>
          <w:rtl/>
        </w:rPr>
        <w:t>:</w:t>
      </w:r>
      <w:r>
        <w:rPr>
          <w:rFonts w:hint="cs"/>
          <w:rtl/>
        </w:rPr>
        <w:t xml:space="preserve"> </w:t>
      </w:r>
    </w:p>
    <w:p w14:paraId="7D8E98EC" w14:textId="77777777" w:rsidR="002C39F4" w:rsidRPr="00954B3D" w:rsidRDefault="002C39F4" w:rsidP="0032102C">
      <w:pPr>
        <w:pStyle w:val="a8"/>
        <w:numPr>
          <w:ilvl w:val="0"/>
          <w:numId w:val="303"/>
        </w:numPr>
      </w:pPr>
      <w:r w:rsidRPr="00954B3D">
        <w:rPr>
          <w:rFonts w:cs="Arial"/>
          <w:rtl/>
        </w:rPr>
        <w:t xml:space="preserve">רמב"ם </w:t>
      </w:r>
      <w:r w:rsidRPr="006326F3">
        <w:rPr>
          <w:rFonts w:cs="Arial" w:hint="cs"/>
          <w:sz w:val="16"/>
          <w:szCs w:val="16"/>
          <w:rtl/>
        </w:rPr>
        <w:t>(</w:t>
      </w:r>
      <w:r w:rsidRPr="006326F3">
        <w:rPr>
          <w:rFonts w:cs="Arial"/>
          <w:sz w:val="16"/>
          <w:szCs w:val="16"/>
          <w:rtl/>
        </w:rPr>
        <w:t>פי"ז מ</w:t>
      </w:r>
      <w:r>
        <w:rPr>
          <w:rFonts w:cs="Arial"/>
          <w:sz w:val="16"/>
          <w:szCs w:val="16"/>
          <w:rtl/>
        </w:rPr>
        <w:t>הלמ"א</w:t>
      </w:r>
      <w:r w:rsidRPr="006326F3">
        <w:rPr>
          <w:rFonts w:cs="Arial" w:hint="cs"/>
          <w:sz w:val="16"/>
          <w:szCs w:val="16"/>
          <w:rtl/>
        </w:rPr>
        <w:t xml:space="preserve"> </w:t>
      </w:r>
      <w:r w:rsidRPr="006326F3">
        <w:rPr>
          <w:rFonts w:cs="Arial"/>
          <w:sz w:val="16"/>
          <w:szCs w:val="16"/>
          <w:rtl/>
        </w:rPr>
        <w:t>ה"ו)</w:t>
      </w:r>
      <w:r w:rsidRPr="006326F3">
        <w:rPr>
          <w:rFonts w:cs="Arial" w:hint="cs"/>
          <w:sz w:val="16"/>
          <w:szCs w:val="16"/>
          <w:rtl/>
        </w:rPr>
        <w:t xml:space="preserve"> </w:t>
      </w:r>
      <w:r>
        <w:rPr>
          <w:rFonts w:cs="Arial" w:hint="cs"/>
          <w:rtl/>
        </w:rPr>
        <w:t xml:space="preserve">וראבי"ה </w:t>
      </w:r>
      <w:r>
        <w:rPr>
          <w:rFonts w:cs="Arial" w:hint="cs"/>
          <w:sz w:val="16"/>
          <w:szCs w:val="16"/>
          <w:rtl/>
        </w:rPr>
        <w:t>(כ"כ המרדכי [סי' תתנט] בשמו)</w:t>
      </w:r>
      <w:r>
        <w:rPr>
          <w:rStyle w:val="a7"/>
          <w:rFonts w:cs="Arial"/>
          <w:rtl/>
        </w:rPr>
        <w:footnoteReference w:id="2908"/>
      </w:r>
      <w:r>
        <w:rPr>
          <w:rFonts w:cs="Arial" w:hint="cs"/>
          <w:rtl/>
        </w:rPr>
        <w:t>- אין צריך טבילה</w:t>
      </w:r>
      <w:r>
        <w:rPr>
          <w:rStyle w:val="a7"/>
          <w:rFonts w:cs="Arial"/>
          <w:rtl/>
        </w:rPr>
        <w:footnoteReference w:id="2909"/>
      </w:r>
      <w:r>
        <w:rPr>
          <w:rFonts w:cs="Arial" w:hint="cs"/>
          <w:rtl/>
        </w:rPr>
        <w:t>.</w:t>
      </w:r>
      <w:r w:rsidRPr="00954B3D">
        <w:rPr>
          <w:rFonts w:cs="Arial"/>
          <w:rtl/>
        </w:rPr>
        <w:t xml:space="preserve"> </w:t>
      </w:r>
    </w:p>
    <w:p w14:paraId="628D932A" w14:textId="77777777" w:rsidR="002C39F4" w:rsidRDefault="002C39F4" w:rsidP="0032102C">
      <w:pPr>
        <w:pStyle w:val="a8"/>
        <w:numPr>
          <w:ilvl w:val="0"/>
          <w:numId w:val="303"/>
        </w:numPr>
      </w:pPr>
      <w:r w:rsidRPr="00954B3D">
        <w:rPr>
          <w:rFonts w:cs="Arial"/>
          <w:rtl/>
        </w:rPr>
        <w:t xml:space="preserve">ראב"ד </w:t>
      </w:r>
      <w:r w:rsidRPr="006326F3">
        <w:rPr>
          <w:rFonts w:cs="Arial"/>
          <w:sz w:val="16"/>
          <w:szCs w:val="16"/>
          <w:rtl/>
        </w:rPr>
        <w:t>(ע"ז עה: ד"ה משכנתא</w:t>
      </w:r>
      <w:r w:rsidRPr="006326F3">
        <w:rPr>
          <w:rFonts w:cs="Arial" w:hint="cs"/>
          <w:sz w:val="16"/>
          <w:szCs w:val="16"/>
          <w:rtl/>
        </w:rPr>
        <w:t>,</w:t>
      </w:r>
      <w:r w:rsidRPr="006326F3">
        <w:rPr>
          <w:rFonts w:cs="Arial"/>
          <w:sz w:val="16"/>
          <w:szCs w:val="16"/>
          <w:rtl/>
        </w:rPr>
        <w:t xml:space="preserve"> </w:t>
      </w:r>
      <w:r w:rsidRPr="006326F3">
        <w:rPr>
          <w:rFonts w:cs="Arial" w:hint="cs"/>
          <w:sz w:val="16"/>
          <w:szCs w:val="16"/>
          <w:rtl/>
        </w:rPr>
        <w:t>כ"כ ה</w:t>
      </w:r>
      <w:r w:rsidRPr="006326F3">
        <w:rPr>
          <w:rFonts w:cs="Arial"/>
          <w:sz w:val="16"/>
          <w:szCs w:val="16"/>
          <w:rtl/>
        </w:rPr>
        <w:t xml:space="preserve">רשב"א </w:t>
      </w:r>
      <w:r w:rsidRPr="006326F3">
        <w:rPr>
          <w:rFonts w:cs="Arial" w:hint="cs"/>
          <w:sz w:val="16"/>
          <w:szCs w:val="16"/>
          <w:rtl/>
        </w:rPr>
        <w:t>[</w:t>
      </w:r>
      <w:r w:rsidRPr="006326F3">
        <w:rPr>
          <w:rFonts w:cs="Arial"/>
          <w:sz w:val="16"/>
          <w:szCs w:val="16"/>
          <w:rtl/>
        </w:rPr>
        <w:t>תוה"א ב"ד ש"ד לה:</w:t>
      </w:r>
      <w:r w:rsidRPr="006326F3">
        <w:rPr>
          <w:rFonts w:cs="Arial" w:hint="cs"/>
          <w:sz w:val="16"/>
          <w:szCs w:val="16"/>
          <w:rtl/>
        </w:rPr>
        <w:t>] בשמו</w:t>
      </w:r>
      <w:r w:rsidRPr="006326F3">
        <w:rPr>
          <w:rFonts w:cs="Arial"/>
          <w:sz w:val="16"/>
          <w:szCs w:val="16"/>
          <w:rtl/>
        </w:rPr>
        <w:t xml:space="preserve">) </w:t>
      </w:r>
      <w:r>
        <w:rPr>
          <w:rFonts w:cs="Arial" w:hint="cs"/>
          <w:rtl/>
        </w:rPr>
        <w:t>ו</w:t>
      </w:r>
      <w:r w:rsidRPr="00954B3D">
        <w:rPr>
          <w:rFonts w:cs="Arial"/>
          <w:rtl/>
        </w:rPr>
        <w:t xml:space="preserve">ר"ן </w:t>
      </w:r>
      <w:r w:rsidRPr="006326F3">
        <w:rPr>
          <w:rFonts w:cs="Arial"/>
          <w:sz w:val="16"/>
          <w:szCs w:val="16"/>
          <w:rtl/>
        </w:rPr>
        <w:t>(לט: סוד"ה גמ')</w:t>
      </w:r>
      <w:r>
        <w:rPr>
          <w:rFonts w:cs="Arial" w:hint="cs"/>
          <w:rtl/>
        </w:rPr>
        <w:t xml:space="preserve">- </w:t>
      </w:r>
      <w:r w:rsidRPr="00954B3D">
        <w:rPr>
          <w:rFonts w:cs="Arial"/>
          <w:rtl/>
        </w:rPr>
        <w:t>משכנתא צריכה טבילה.</w:t>
      </w:r>
    </w:p>
    <w:p w14:paraId="6C538ECB" w14:textId="77777777" w:rsidR="002C39F4" w:rsidRPr="00954B3D" w:rsidRDefault="002C39F4" w:rsidP="0032102C">
      <w:pPr>
        <w:pStyle w:val="a8"/>
        <w:numPr>
          <w:ilvl w:val="0"/>
          <w:numId w:val="303"/>
        </w:numPr>
      </w:pPr>
      <w:r>
        <w:rPr>
          <w:rFonts w:hint="cs"/>
          <w:rtl/>
        </w:rPr>
        <w:t>טור</w:t>
      </w:r>
      <w:r w:rsidRPr="00BF1083">
        <w:rPr>
          <w:rFonts w:cs="Arial" w:hint="cs"/>
          <w:rtl/>
        </w:rPr>
        <w:t xml:space="preserve"> </w:t>
      </w:r>
      <w:r>
        <w:rPr>
          <w:rFonts w:cs="Arial" w:hint="cs"/>
          <w:rtl/>
        </w:rPr>
        <w:t>ואו</w:t>
      </w:r>
      <w:r>
        <w:rPr>
          <w:rFonts w:cs="Arial"/>
          <w:rtl/>
        </w:rPr>
        <w:t>"</w:t>
      </w:r>
      <w:r>
        <w:rPr>
          <w:rFonts w:cs="Arial" w:hint="cs"/>
          <w:rtl/>
        </w:rPr>
        <w:t>ה</w:t>
      </w:r>
      <w:r w:rsidRPr="006326F3">
        <w:rPr>
          <w:rFonts w:cs="Arial"/>
          <w:sz w:val="16"/>
          <w:szCs w:val="16"/>
          <w:rtl/>
        </w:rPr>
        <w:t xml:space="preserve"> (</w:t>
      </w:r>
      <w:r>
        <w:rPr>
          <w:rFonts w:cs="Arial" w:hint="cs"/>
          <w:sz w:val="16"/>
          <w:szCs w:val="16"/>
          <w:rtl/>
        </w:rPr>
        <w:t xml:space="preserve">שם </w:t>
      </w:r>
      <w:r w:rsidRPr="006326F3">
        <w:rPr>
          <w:rFonts w:cs="Arial"/>
          <w:sz w:val="16"/>
          <w:szCs w:val="16"/>
          <w:rtl/>
        </w:rPr>
        <w:t>ד</w:t>
      </w:r>
      <w:r>
        <w:rPr>
          <w:rFonts w:cs="Arial" w:hint="cs"/>
          <w:sz w:val="16"/>
          <w:szCs w:val="16"/>
          <w:rtl/>
        </w:rPr>
        <w:t xml:space="preserve">ין </w:t>
      </w:r>
      <w:r w:rsidRPr="006326F3">
        <w:rPr>
          <w:rFonts w:cs="Arial"/>
          <w:sz w:val="16"/>
          <w:szCs w:val="16"/>
          <w:rtl/>
        </w:rPr>
        <w:t>צא</w:t>
      </w:r>
      <w:r>
        <w:rPr>
          <w:rFonts w:cs="Arial" w:hint="cs"/>
          <w:sz w:val="16"/>
          <w:szCs w:val="16"/>
          <w:rtl/>
        </w:rPr>
        <w:t>)</w:t>
      </w:r>
      <w:r>
        <w:rPr>
          <w:rFonts w:hint="cs"/>
          <w:rtl/>
        </w:rPr>
        <w:t>-</w:t>
      </w:r>
      <w:r w:rsidRPr="00954B3D">
        <w:rPr>
          <w:rFonts w:cs="Arial"/>
          <w:rtl/>
        </w:rPr>
        <w:t xml:space="preserve"> טוב להטבילו בלא ברכ</w:t>
      </w:r>
      <w:r>
        <w:rPr>
          <w:rFonts w:cs="Arial" w:hint="cs"/>
          <w:rtl/>
        </w:rPr>
        <w:t>ה</w:t>
      </w:r>
      <w:r>
        <w:rPr>
          <w:rStyle w:val="a7"/>
          <w:rFonts w:cs="Arial"/>
          <w:rtl/>
        </w:rPr>
        <w:footnoteReference w:id="2910"/>
      </w:r>
      <w:r>
        <w:rPr>
          <w:rFonts w:cs="Arial" w:hint="cs"/>
          <w:rtl/>
        </w:rPr>
        <w:t>,</w:t>
      </w:r>
      <w:r w:rsidRPr="00954B3D">
        <w:rPr>
          <w:rFonts w:cs="Arial"/>
          <w:rtl/>
        </w:rPr>
        <w:t xml:space="preserve"> או יקנה כלי אחר ויטבילנו עמו</w:t>
      </w:r>
      <w:r>
        <w:rPr>
          <w:rStyle w:val="a7"/>
          <w:rFonts w:cs="Arial"/>
          <w:rtl/>
        </w:rPr>
        <w:footnoteReference w:id="2911"/>
      </w:r>
      <w:r>
        <w:rPr>
          <w:rFonts w:cs="Arial" w:hint="cs"/>
          <w:sz w:val="16"/>
          <w:szCs w:val="16"/>
          <w:rtl/>
        </w:rPr>
        <w:t>(ל' הטור)</w:t>
      </w:r>
      <w:r w:rsidRPr="00954B3D">
        <w:rPr>
          <w:rFonts w:cs="Arial" w:hint="cs"/>
          <w:rtl/>
        </w:rPr>
        <w:t>.</w:t>
      </w:r>
      <w:r>
        <w:rPr>
          <w:rFonts w:hint="cs"/>
          <w:rtl/>
        </w:rPr>
        <w:t xml:space="preserve"> </w:t>
      </w:r>
      <w:r w:rsidRPr="006326F3">
        <w:rPr>
          <w:rFonts w:hint="cs"/>
          <w:color w:val="E36C0A" w:themeColor="accent6" w:themeShade="BF"/>
          <w:rtl/>
        </w:rPr>
        <w:t>(וכ"פ בשו"ע)</w:t>
      </w:r>
    </w:p>
    <w:p w14:paraId="5C99E819" w14:textId="77777777" w:rsidR="002C39F4" w:rsidRPr="006326F3" w:rsidRDefault="002C39F4" w:rsidP="002C39F4">
      <w:pPr>
        <w:ind w:left="360"/>
        <w:rPr>
          <w:u w:val="dotted"/>
        </w:rPr>
      </w:pPr>
      <w:r w:rsidRPr="006326F3">
        <w:rPr>
          <w:rFonts w:hint="cs"/>
          <w:u w:val="dotted"/>
          <w:rtl/>
        </w:rPr>
        <w:t xml:space="preserve">ומה הדין אם </w:t>
      </w:r>
      <w:r>
        <w:rPr>
          <w:rFonts w:hint="cs"/>
          <w:u w:val="dotted"/>
          <w:rtl/>
        </w:rPr>
        <w:t>הטביל את הכלי ו</w:t>
      </w:r>
      <w:r w:rsidRPr="006326F3">
        <w:rPr>
          <w:rFonts w:hint="cs"/>
          <w:u w:val="dotted"/>
          <w:rtl/>
        </w:rPr>
        <w:t>בסופו של דבר נשתקע הכלי ביד</w:t>
      </w:r>
      <w:r>
        <w:rPr>
          <w:rFonts w:hint="cs"/>
          <w:u w:val="dotted"/>
          <w:rtl/>
        </w:rPr>
        <w:t>ו</w:t>
      </w:r>
      <w:r w:rsidRPr="00432158">
        <w:rPr>
          <w:rFonts w:hint="cs"/>
          <w:sz w:val="16"/>
          <w:szCs w:val="16"/>
          <w:u w:val="dotted"/>
          <w:rtl/>
        </w:rPr>
        <w:t xml:space="preserve"> (של הישראל)</w:t>
      </w:r>
      <w:r w:rsidRPr="006326F3">
        <w:rPr>
          <w:rFonts w:hint="cs"/>
          <w:u w:val="dotted"/>
          <w:rtl/>
        </w:rPr>
        <w:t>:</w:t>
      </w:r>
    </w:p>
    <w:p w14:paraId="1769E5B8" w14:textId="77777777" w:rsidR="002C39F4" w:rsidRDefault="002C39F4" w:rsidP="0032102C">
      <w:pPr>
        <w:pStyle w:val="a8"/>
        <w:numPr>
          <w:ilvl w:val="0"/>
          <w:numId w:val="303"/>
        </w:numPr>
      </w:pPr>
      <w:r>
        <w:rPr>
          <w:rFonts w:cs="Arial" w:hint="cs"/>
          <w:rtl/>
        </w:rPr>
        <w:t xml:space="preserve">ב"י- </w:t>
      </w:r>
      <w:r w:rsidRPr="006326F3">
        <w:rPr>
          <w:rFonts w:cs="Arial"/>
          <w:rtl/>
        </w:rPr>
        <w:t xml:space="preserve">מצאתי כתוב בתשובה אשכנזית </w:t>
      </w:r>
      <w:r>
        <w:rPr>
          <w:rFonts w:cs="Arial" w:hint="cs"/>
          <w:sz w:val="16"/>
          <w:szCs w:val="16"/>
          <w:rtl/>
        </w:rPr>
        <w:t>(אגור [סי' אלף שיג] בשם מהרי"ל [סי' נט])</w:t>
      </w:r>
      <w:r>
        <w:rPr>
          <w:rFonts w:cs="Arial" w:hint="cs"/>
          <w:rtl/>
        </w:rPr>
        <w:t xml:space="preserve"> </w:t>
      </w:r>
      <w:r w:rsidRPr="006326F3">
        <w:rPr>
          <w:rFonts w:cs="Arial"/>
          <w:rtl/>
        </w:rPr>
        <w:t>כשנשתקע ברשות ישראל צריך טבילה שניה בלא ברכה</w:t>
      </w:r>
      <w:r>
        <w:rPr>
          <w:rFonts w:cs="Arial" w:hint="cs"/>
          <w:rtl/>
        </w:rPr>
        <w:t>,</w:t>
      </w:r>
      <w:r w:rsidRPr="006326F3">
        <w:rPr>
          <w:rFonts w:cs="Arial"/>
          <w:rtl/>
        </w:rPr>
        <w:t xml:space="preserve"> דראשונה כלא זבניה דמי וכעומד ברשות הגוי דמי</w:t>
      </w:r>
      <w:r>
        <w:rPr>
          <w:rFonts w:cs="Arial" w:hint="cs"/>
          <w:rtl/>
        </w:rPr>
        <w:t>,</w:t>
      </w:r>
      <w:r w:rsidRPr="006326F3">
        <w:rPr>
          <w:rFonts w:cs="Arial"/>
          <w:rtl/>
        </w:rPr>
        <w:t xml:space="preserve"> הילכך לא מהניא אותה טבילה וצריך להטבילו לאחר שבא לרשות ישראל</w:t>
      </w:r>
      <w:r>
        <w:rPr>
          <w:rFonts w:cs="Arial" w:hint="cs"/>
          <w:sz w:val="16"/>
          <w:szCs w:val="16"/>
          <w:rtl/>
        </w:rPr>
        <w:t xml:space="preserve"> {בלא ברכה}</w:t>
      </w:r>
      <w:r>
        <w:rPr>
          <w:rFonts w:cs="Arial" w:hint="cs"/>
          <w:rtl/>
        </w:rPr>
        <w:t>.</w:t>
      </w:r>
      <w:r>
        <w:rPr>
          <w:rFonts w:hint="cs"/>
          <w:rtl/>
        </w:rPr>
        <w:t xml:space="preserve"> </w:t>
      </w:r>
      <w:r w:rsidRPr="007B63DC">
        <w:rPr>
          <w:rFonts w:hint="cs"/>
          <w:color w:val="00B0F0"/>
          <w:rtl/>
        </w:rPr>
        <w:t>(וכ"פ הרמ"א)</w:t>
      </w:r>
      <w:r>
        <w:rPr>
          <w:rFonts w:hint="cs"/>
          <w:rtl/>
        </w:rPr>
        <w:t xml:space="preserve"> </w:t>
      </w:r>
    </w:p>
    <w:p w14:paraId="549E8721" w14:textId="77777777" w:rsidR="002C39F4" w:rsidRDefault="002C39F4" w:rsidP="0032102C">
      <w:pPr>
        <w:pStyle w:val="a8"/>
        <w:numPr>
          <w:ilvl w:val="0"/>
          <w:numId w:val="303"/>
        </w:numPr>
      </w:pPr>
      <w:r>
        <w:rPr>
          <w:rFonts w:cs="Arial" w:hint="cs"/>
          <w:rtl/>
        </w:rPr>
        <w:t>או</w:t>
      </w:r>
      <w:r>
        <w:rPr>
          <w:rFonts w:cs="Arial"/>
          <w:rtl/>
        </w:rPr>
        <w:t>"</w:t>
      </w:r>
      <w:r>
        <w:rPr>
          <w:rFonts w:cs="Arial" w:hint="cs"/>
          <w:rtl/>
        </w:rPr>
        <w:t>ה</w:t>
      </w:r>
      <w:r w:rsidRPr="006326F3">
        <w:rPr>
          <w:rFonts w:cs="Arial"/>
          <w:sz w:val="16"/>
          <w:szCs w:val="16"/>
          <w:rtl/>
        </w:rPr>
        <w:t xml:space="preserve"> (כלל נח דין צא</w:t>
      </w:r>
      <w:r>
        <w:rPr>
          <w:rFonts w:cs="Arial" w:hint="cs"/>
          <w:sz w:val="16"/>
          <w:szCs w:val="16"/>
          <w:rtl/>
        </w:rPr>
        <w:t>, הביאו הדרכ"מ [אות ח]</w:t>
      </w:r>
      <w:r w:rsidRPr="006326F3">
        <w:rPr>
          <w:rFonts w:cs="Arial"/>
          <w:sz w:val="16"/>
          <w:szCs w:val="16"/>
          <w:rtl/>
        </w:rPr>
        <w:t>)</w:t>
      </w:r>
      <w:r>
        <w:rPr>
          <w:rFonts w:cs="Arial" w:hint="cs"/>
          <w:rtl/>
        </w:rPr>
        <w:t>-</w:t>
      </w:r>
      <w:r w:rsidRPr="007F333A">
        <w:rPr>
          <w:rFonts w:cs="Arial"/>
          <w:rtl/>
        </w:rPr>
        <w:t xml:space="preserve"> א</w:t>
      </w:r>
      <w:r>
        <w:rPr>
          <w:rFonts w:cs="Arial" w:hint="cs"/>
          <w:rtl/>
        </w:rPr>
        <w:t>"</w:t>
      </w:r>
      <w:r w:rsidRPr="007F333A">
        <w:rPr>
          <w:rFonts w:cs="Arial"/>
          <w:rtl/>
        </w:rPr>
        <w:t xml:space="preserve">צ </w:t>
      </w:r>
      <w:r>
        <w:rPr>
          <w:rFonts w:cs="Arial" w:hint="cs"/>
          <w:rtl/>
        </w:rPr>
        <w:t>טבילה אחרת...</w:t>
      </w:r>
      <w:r w:rsidRPr="007F333A">
        <w:rPr>
          <w:rFonts w:cs="Arial"/>
          <w:rtl/>
        </w:rPr>
        <w:t xml:space="preserve"> </w:t>
      </w:r>
      <w:r w:rsidRPr="00BF1083">
        <w:rPr>
          <w:rFonts w:cs="Arial"/>
          <w:rtl/>
        </w:rPr>
        <w:t>ומיהו אם הוסיף מעות לכנעני וקנה המשכון ממנו לאחר שטובלו מספק צריך להטבילן פעם אחרת ויברך</w:t>
      </w:r>
      <w:r>
        <w:rPr>
          <w:rFonts w:cs="Arial" w:hint="cs"/>
          <w:rtl/>
        </w:rPr>
        <w:t>,</w:t>
      </w:r>
      <w:r w:rsidRPr="00BF1083">
        <w:rPr>
          <w:rFonts w:cs="Arial"/>
          <w:rtl/>
        </w:rPr>
        <w:t xml:space="preserve"> דאדעתא דהכי לא טבל אותו מתחילה</w:t>
      </w:r>
      <w:r>
        <w:rPr>
          <w:rFonts w:cs="Arial" w:hint="cs"/>
          <w:rtl/>
        </w:rPr>
        <w:t>.</w:t>
      </w:r>
    </w:p>
    <w:p w14:paraId="60B2DB2C" w14:textId="77777777" w:rsidR="002C39F4" w:rsidRPr="004C6293" w:rsidRDefault="002C39F4" w:rsidP="002C39F4">
      <w:pPr>
        <w:rPr>
          <w:u w:val="single"/>
          <w:rtl/>
        </w:rPr>
      </w:pPr>
      <w:r w:rsidRPr="004C6293">
        <w:rPr>
          <w:rFonts w:hint="cs"/>
          <w:u w:val="single"/>
          <w:rtl/>
        </w:rPr>
        <w:t>האם מותר לישראל להשתמש בכלי שהניח הגוי אצלו בתורת משכון:</w:t>
      </w:r>
    </w:p>
    <w:p w14:paraId="488F0D30" w14:textId="77777777" w:rsidR="002C39F4" w:rsidRPr="00A37DCF" w:rsidRDefault="002C39F4" w:rsidP="0032102C">
      <w:pPr>
        <w:pStyle w:val="a8"/>
        <w:numPr>
          <w:ilvl w:val="0"/>
          <w:numId w:val="305"/>
        </w:numPr>
        <w:rPr>
          <w:rtl/>
        </w:rPr>
      </w:pPr>
      <w:r>
        <w:rPr>
          <w:rFonts w:cs="Arial" w:hint="cs"/>
          <w:rtl/>
        </w:rPr>
        <w:t xml:space="preserve">מהרי"ל </w:t>
      </w:r>
      <w:r w:rsidRPr="004C6293">
        <w:rPr>
          <w:rFonts w:cs="Arial" w:hint="cs"/>
          <w:sz w:val="16"/>
          <w:szCs w:val="16"/>
          <w:rtl/>
        </w:rPr>
        <w:t>(מנהגים הל' הגעלה אות טו ד"ה כל כלי)</w:t>
      </w:r>
      <w:r>
        <w:rPr>
          <w:rFonts w:cs="Arial" w:hint="cs"/>
          <w:rtl/>
        </w:rPr>
        <w:t xml:space="preserve">- </w:t>
      </w:r>
      <w:r w:rsidRPr="004C6293">
        <w:rPr>
          <w:rFonts w:cs="Arial"/>
          <w:rtl/>
        </w:rPr>
        <w:t>אין נכון להשתמש בשום כלי גוים הממושכנים בידו טרם נחלטו ביד הישראל, אם לא שיטול רשות מן הגוי, דסתמא מקפידין ואסור לגנוב אף דעת גוי. ואם הורשו לו מן הגוי מותרים אחר הגעלה בלא טבילה, דלא בעי טבילה רק כשהוחלטו לישראל דיוצאים מרשות הגוי ונחשבי' לישראל ככלים חדשים</w:t>
      </w:r>
      <w:r>
        <w:rPr>
          <w:rStyle w:val="a7"/>
          <w:rFonts w:cs="Arial"/>
          <w:rtl/>
        </w:rPr>
        <w:footnoteReference w:id="2912"/>
      </w:r>
      <w:r w:rsidRPr="004C6293">
        <w:rPr>
          <w:rFonts w:cs="Arial"/>
          <w:rtl/>
        </w:rPr>
        <w:t>.</w:t>
      </w:r>
      <w:r>
        <w:rPr>
          <w:rFonts w:hint="cs"/>
          <w:rtl/>
        </w:rPr>
        <w:t xml:space="preserve"> (וכ"פ הב"ח)</w:t>
      </w:r>
    </w:p>
    <w:p w14:paraId="32F9BAF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1873981" w14:textId="77777777" w:rsidR="002C39F4" w:rsidRDefault="002C39F4" w:rsidP="002C39F4">
      <w:pPr>
        <w:rPr>
          <w:rFonts w:asciiTheme="minorBidi" w:hAnsiTheme="minorBidi"/>
          <w:rtl/>
        </w:rPr>
      </w:pPr>
      <w:r w:rsidRPr="003024E5">
        <w:rPr>
          <w:rFonts w:asciiTheme="minorBidi" w:hAnsiTheme="minorBidi"/>
          <w:rtl/>
        </w:rPr>
        <w:t xml:space="preserve">משכן </w:t>
      </w:r>
      <w:r>
        <w:rPr>
          <w:rFonts w:asciiTheme="minorBidi" w:hAnsiTheme="minorBidi" w:hint="cs"/>
          <w:rtl/>
        </w:rPr>
        <w:t xml:space="preserve">גוי </w:t>
      </w:r>
      <w:r w:rsidRPr="003024E5">
        <w:rPr>
          <w:rFonts w:asciiTheme="minorBidi" w:hAnsiTheme="minorBidi"/>
          <w:rtl/>
        </w:rPr>
        <w:t>כלי לישראל, אם נראה בדעת ה</w:t>
      </w:r>
      <w:r>
        <w:rPr>
          <w:rFonts w:asciiTheme="minorBidi" w:hAnsiTheme="minorBidi" w:hint="cs"/>
          <w:rtl/>
        </w:rPr>
        <w:t>גוי</w:t>
      </w:r>
      <w:r w:rsidRPr="003024E5">
        <w:rPr>
          <w:rFonts w:asciiTheme="minorBidi" w:hAnsiTheme="minorBidi"/>
          <w:rtl/>
        </w:rPr>
        <w:t xml:space="preserve"> שרוצה לשקעו בידו</w:t>
      </w:r>
      <w:r>
        <w:rPr>
          <w:rFonts w:asciiTheme="minorBidi" w:hAnsiTheme="minorBidi" w:hint="cs"/>
          <w:rtl/>
        </w:rPr>
        <w:t>,</w:t>
      </w:r>
      <w:r w:rsidRPr="003024E5">
        <w:rPr>
          <w:rFonts w:asciiTheme="minorBidi" w:hAnsiTheme="minorBidi"/>
          <w:rtl/>
        </w:rPr>
        <w:t xml:space="preserve"> טעון טבילה</w:t>
      </w:r>
      <w:r>
        <w:rPr>
          <w:rFonts w:asciiTheme="minorBidi" w:hAnsiTheme="minorBidi" w:hint="cs"/>
          <w:rtl/>
        </w:rPr>
        <w:t>,</w:t>
      </w:r>
      <w:r w:rsidRPr="003024E5">
        <w:rPr>
          <w:rFonts w:asciiTheme="minorBidi" w:hAnsiTheme="minorBidi"/>
          <w:rtl/>
        </w:rPr>
        <w:t xml:space="preserve"> ואם לאו, יטבילנו בלא ברכה או יקנה כלי אחר ויטבילנו עמו</w:t>
      </w:r>
      <w:r>
        <w:rPr>
          <w:rStyle w:val="a7"/>
          <w:rFonts w:asciiTheme="minorBidi" w:hAnsiTheme="minorBidi"/>
          <w:rtl/>
        </w:rPr>
        <w:footnoteReference w:id="2913"/>
      </w:r>
      <w:r w:rsidRPr="003024E5">
        <w:rPr>
          <w:rFonts w:asciiTheme="minorBidi" w:hAnsiTheme="minorBidi"/>
          <w:rtl/>
        </w:rPr>
        <w:t xml:space="preserve">. </w:t>
      </w:r>
      <w:r w:rsidRPr="00A37DCF">
        <w:rPr>
          <w:rFonts w:asciiTheme="minorBidi" w:hAnsiTheme="minorBidi" w:hint="cs"/>
          <w:sz w:val="18"/>
          <w:szCs w:val="18"/>
          <w:rtl/>
        </w:rPr>
        <w:t xml:space="preserve">[הגה] </w:t>
      </w:r>
      <w:r w:rsidRPr="00A37DCF">
        <w:rPr>
          <w:rFonts w:asciiTheme="minorBidi" w:hAnsiTheme="minorBidi"/>
          <w:sz w:val="18"/>
          <w:szCs w:val="18"/>
          <w:rtl/>
        </w:rPr>
        <w:t>ואם לבסוף נשתקע בידו, יחזור ויטבילנו בלא ברכה</w:t>
      </w:r>
      <w:r>
        <w:rPr>
          <w:rStyle w:val="a7"/>
          <w:rFonts w:asciiTheme="minorBidi" w:hAnsiTheme="minorBidi"/>
          <w:sz w:val="18"/>
          <w:szCs w:val="18"/>
          <w:rtl/>
        </w:rPr>
        <w:footnoteReference w:id="2914"/>
      </w:r>
      <w:r w:rsidRPr="00A37DCF">
        <w:rPr>
          <w:rFonts w:asciiTheme="minorBidi" w:hAnsiTheme="minorBidi"/>
          <w:sz w:val="18"/>
          <w:szCs w:val="18"/>
          <w:rtl/>
        </w:rPr>
        <w:t xml:space="preserve"> </w:t>
      </w:r>
      <w:r w:rsidRPr="00BF1083">
        <w:rPr>
          <w:rFonts w:asciiTheme="minorBidi" w:hAnsiTheme="minorBidi"/>
          <w:sz w:val="16"/>
          <w:szCs w:val="16"/>
          <w:rtl/>
        </w:rPr>
        <w:t>(ב</w:t>
      </w:r>
      <w:r w:rsidRPr="00BF1083">
        <w:rPr>
          <w:rFonts w:asciiTheme="minorBidi" w:hAnsiTheme="minorBidi" w:hint="cs"/>
          <w:sz w:val="16"/>
          <w:szCs w:val="16"/>
          <w:rtl/>
        </w:rPr>
        <w:t>"י</w:t>
      </w:r>
      <w:r w:rsidRPr="00BF1083">
        <w:rPr>
          <w:rFonts w:asciiTheme="minorBidi" w:hAnsiTheme="minorBidi"/>
          <w:sz w:val="16"/>
          <w:szCs w:val="16"/>
          <w:rtl/>
        </w:rPr>
        <w:t xml:space="preserve"> בשם תשו</w:t>
      </w:r>
      <w:r w:rsidRPr="00BF1083">
        <w:rPr>
          <w:rFonts w:asciiTheme="minorBidi" w:hAnsiTheme="minorBidi" w:hint="cs"/>
          <w:sz w:val="16"/>
          <w:szCs w:val="16"/>
          <w:rtl/>
        </w:rPr>
        <w:t>'</w:t>
      </w:r>
      <w:r w:rsidRPr="00BF1083">
        <w:rPr>
          <w:rFonts w:asciiTheme="minorBidi" w:hAnsiTheme="minorBidi"/>
          <w:sz w:val="16"/>
          <w:szCs w:val="16"/>
          <w:rtl/>
        </w:rPr>
        <w:t xml:space="preserve"> אשכנזית ואגור והוא במהרי"ל סי</w:t>
      </w:r>
      <w:r w:rsidRPr="00BF1083">
        <w:rPr>
          <w:rFonts w:asciiTheme="minorBidi" w:hAnsiTheme="minorBidi" w:hint="cs"/>
          <w:sz w:val="16"/>
          <w:szCs w:val="16"/>
          <w:rtl/>
        </w:rPr>
        <w:t xml:space="preserve">' </w:t>
      </w:r>
      <w:r w:rsidRPr="00BF1083">
        <w:rPr>
          <w:rFonts w:asciiTheme="minorBidi" w:hAnsiTheme="minorBidi"/>
          <w:sz w:val="16"/>
          <w:szCs w:val="16"/>
          <w:rtl/>
        </w:rPr>
        <w:t>נט)</w:t>
      </w:r>
      <w:r w:rsidRPr="00A37DCF">
        <w:rPr>
          <w:rFonts w:asciiTheme="minorBidi" w:hAnsiTheme="minorBidi"/>
          <w:sz w:val="18"/>
          <w:szCs w:val="18"/>
          <w:rtl/>
        </w:rPr>
        <w:t>.</w:t>
      </w:r>
      <w:r w:rsidRPr="003024E5">
        <w:rPr>
          <w:rFonts w:asciiTheme="minorBidi" w:hAnsiTheme="minorBidi"/>
          <w:rtl/>
        </w:rPr>
        <w:t xml:space="preserve"> </w:t>
      </w:r>
    </w:p>
    <w:p w14:paraId="2BB5C92E" w14:textId="77777777" w:rsidR="002C39F4" w:rsidRPr="00BF1083" w:rsidRDefault="002C39F4" w:rsidP="002C39F4">
      <w:pPr>
        <w:rPr>
          <w:rFonts w:asciiTheme="minorBidi" w:hAnsiTheme="minorBidi"/>
          <w:u w:val="single"/>
          <w:rtl/>
        </w:rPr>
      </w:pPr>
      <w:r w:rsidRPr="00BF1083">
        <w:rPr>
          <w:rFonts w:asciiTheme="minorBidi" w:hAnsiTheme="minorBidi" w:hint="cs"/>
          <w:u w:val="single"/>
          <w:rtl/>
        </w:rPr>
        <w:t>מה הדין היכא דיודע בבירור שאין דעת הגוי לשקעו אצלו:</w:t>
      </w:r>
    </w:p>
    <w:p w14:paraId="77F3AFD7" w14:textId="77777777" w:rsidR="002C39F4" w:rsidRDefault="002C39F4" w:rsidP="0032102C">
      <w:pPr>
        <w:pStyle w:val="a8"/>
        <w:numPr>
          <w:ilvl w:val="0"/>
          <w:numId w:val="304"/>
        </w:numPr>
        <w:rPr>
          <w:rFonts w:asciiTheme="minorBidi" w:hAnsiTheme="minorBidi"/>
        </w:rPr>
      </w:pPr>
      <w:r>
        <w:rPr>
          <w:rFonts w:asciiTheme="minorBidi" w:hAnsiTheme="minorBidi" w:hint="cs"/>
          <w:rtl/>
        </w:rPr>
        <w:t xml:space="preserve">ש"ך </w:t>
      </w:r>
      <w:r w:rsidRPr="00BF1083">
        <w:rPr>
          <w:rFonts w:asciiTheme="minorBidi" w:hAnsiTheme="minorBidi" w:hint="cs"/>
          <w:sz w:val="16"/>
          <w:szCs w:val="16"/>
          <w:rtl/>
        </w:rPr>
        <w:t>(סקי"ט)</w:t>
      </w:r>
      <w:r>
        <w:rPr>
          <w:rFonts w:asciiTheme="minorBidi" w:hAnsiTheme="minorBidi" w:hint="cs"/>
          <w:rtl/>
        </w:rPr>
        <w:t>- פשיטא דאין צריך להטביל.</w:t>
      </w:r>
    </w:p>
    <w:p w14:paraId="5AADCBE8" w14:textId="77777777" w:rsidR="002C39F4" w:rsidRPr="00BF1083" w:rsidRDefault="002C39F4" w:rsidP="0032102C">
      <w:pPr>
        <w:pStyle w:val="a8"/>
        <w:numPr>
          <w:ilvl w:val="0"/>
          <w:numId w:val="304"/>
        </w:numPr>
        <w:rPr>
          <w:rFonts w:asciiTheme="minorBidi" w:hAnsiTheme="minorBidi"/>
          <w:rtl/>
        </w:rPr>
      </w:pPr>
      <w:r>
        <w:rPr>
          <w:rFonts w:asciiTheme="minorBidi" w:hAnsiTheme="minorBidi" w:hint="cs"/>
          <w:rtl/>
        </w:rPr>
        <w:t xml:space="preserve">ב"ח </w:t>
      </w:r>
      <w:r>
        <w:rPr>
          <w:rFonts w:asciiTheme="minorBidi" w:hAnsiTheme="minorBidi" w:hint="cs"/>
          <w:sz w:val="16"/>
          <w:szCs w:val="16"/>
          <w:rtl/>
        </w:rPr>
        <w:t xml:space="preserve">(עמ' סו ד"ה ואם) </w:t>
      </w:r>
      <w:r>
        <w:rPr>
          <w:rFonts w:asciiTheme="minorBidi" w:hAnsiTheme="minorBidi" w:hint="cs"/>
          <w:rtl/>
        </w:rPr>
        <w:t xml:space="preserve">ופר"ח </w:t>
      </w:r>
      <w:r w:rsidRPr="00BF1083">
        <w:rPr>
          <w:rFonts w:asciiTheme="minorBidi" w:hAnsiTheme="minorBidi" w:hint="cs"/>
          <w:sz w:val="16"/>
          <w:szCs w:val="16"/>
          <w:rtl/>
        </w:rPr>
        <w:t>(סקכ"ה)</w:t>
      </w:r>
      <w:r>
        <w:rPr>
          <w:rFonts w:asciiTheme="minorBidi" w:hAnsiTheme="minorBidi" w:hint="cs"/>
          <w:rtl/>
        </w:rPr>
        <w:t>- אפ"ה צריך להטביל בלא ברכה.</w:t>
      </w:r>
    </w:p>
    <w:p w14:paraId="58746669" w14:textId="77777777" w:rsidR="002C39F4" w:rsidRPr="003024E5" w:rsidRDefault="002C39F4" w:rsidP="002C39F4">
      <w:pPr>
        <w:rPr>
          <w:rFonts w:asciiTheme="minorBidi" w:hAnsiTheme="minorBidi"/>
          <w:rtl/>
        </w:rPr>
      </w:pPr>
    </w:p>
    <w:p w14:paraId="0489AFE7" w14:textId="77777777" w:rsidR="002C39F4" w:rsidRDefault="002C39F4" w:rsidP="002C39F4">
      <w:pPr>
        <w:pStyle w:val="2"/>
        <w:rPr>
          <w:rFonts w:asciiTheme="minorBidi" w:hAnsiTheme="minorBidi"/>
          <w:rtl/>
        </w:rPr>
      </w:pPr>
      <w:r w:rsidRPr="003024E5">
        <w:rPr>
          <w:rFonts w:asciiTheme="minorBidi" w:hAnsiTheme="minorBidi"/>
          <w:rtl/>
        </w:rPr>
        <w:t>סעיף י</w:t>
      </w:r>
      <w:r>
        <w:rPr>
          <w:rFonts w:asciiTheme="minorBidi" w:hAnsiTheme="minorBidi" w:hint="cs"/>
          <w:rtl/>
        </w:rPr>
        <w:t xml:space="preserve">: </w:t>
      </w:r>
      <w:r>
        <w:rPr>
          <w:rFonts w:cs="Arial" w:hint="cs"/>
          <w:rtl/>
        </w:rPr>
        <w:t xml:space="preserve">ישראל </w:t>
      </w:r>
      <w:r>
        <w:rPr>
          <w:rFonts w:cs="Arial"/>
          <w:rtl/>
        </w:rPr>
        <w:t>שנתן ל</w:t>
      </w:r>
      <w:r>
        <w:rPr>
          <w:rFonts w:cs="Arial" w:hint="cs"/>
          <w:rtl/>
        </w:rPr>
        <w:t>אומן גוי</w:t>
      </w:r>
      <w:r>
        <w:rPr>
          <w:rFonts w:cs="Arial"/>
          <w:rtl/>
        </w:rPr>
        <w:t xml:space="preserve"> חתיכת כסף לעשות ממנה כלי</w:t>
      </w:r>
      <w:r>
        <w:rPr>
          <w:rFonts w:asciiTheme="minorBidi" w:hAnsiTheme="minorBidi" w:hint="cs"/>
          <w:rtl/>
        </w:rPr>
        <w:t>.</w:t>
      </w:r>
    </w:p>
    <w:p w14:paraId="312DD7A8" w14:textId="77777777" w:rsidR="002C39F4" w:rsidRPr="000B6C00" w:rsidRDefault="002C39F4" w:rsidP="002C39F4">
      <w:r>
        <w:rPr>
          <w:rFonts w:cs="Arial" w:hint="cs"/>
          <w:b/>
          <w:bCs/>
          <w:rtl/>
        </w:rPr>
        <w:t xml:space="preserve">שבת טו ע"ב: </w:t>
      </w:r>
      <w:r w:rsidRPr="00E0402F">
        <w:rPr>
          <w:rFonts w:cs="Arial"/>
          <w:rtl/>
        </w:rPr>
        <w:t>כלי זכוכית מאי טעמא גזור בהו רבנן טומאה?</w:t>
      </w:r>
      <w:r>
        <w:rPr>
          <w:rFonts w:cs="Arial" w:hint="cs"/>
          <w:rtl/>
        </w:rPr>
        <w:t>...</w:t>
      </w:r>
      <w:r w:rsidRPr="00E0402F">
        <w:rPr>
          <w:rFonts w:cs="Arial"/>
          <w:rtl/>
        </w:rPr>
        <w:t xml:space="preserve"> הכא במאי עסקינן - כגון שניקבו והטיף לתוכן אבר. ורבי מאיר היא, דאמר: הכל הולך אחר המעמיד. דתניא, כלי זכוכית שנקבו והטיף לתוכן אבר, אמר רבן שמעון בן גמליאל: </w:t>
      </w:r>
      <w:r w:rsidRPr="00E0402F">
        <w:rPr>
          <w:rFonts w:cs="Arial"/>
          <w:u w:val="single"/>
          <w:rtl/>
        </w:rPr>
        <w:t>רבי מאיר</w:t>
      </w:r>
      <w:r>
        <w:rPr>
          <w:rFonts w:cs="Arial" w:hint="cs"/>
          <w:rtl/>
        </w:rPr>
        <w:t>:</w:t>
      </w:r>
      <w:r w:rsidRPr="00E0402F">
        <w:rPr>
          <w:rFonts w:cs="Arial"/>
          <w:rtl/>
        </w:rPr>
        <w:t xml:space="preserve"> מטמא</w:t>
      </w:r>
      <w:r>
        <w:rPr>
          <w:rFonts w:cs="Arial" w:hint="cs"/>
          <w:rtl/>
        </w:rPr>
        <w:t>,</w:t>
      </w:r>
      <w:r w:rsidRPr="00E0402F">
        <w:rPr>
          <w:rFonts w:cs="Arial"/>
          <w:rtl/>
        </w:rPr>
        <w:t xml:space="preserve"> </w:t>
      </w:r>
      <w:r w:rsidRPr="00E0402F">
        <w:rPr>
          <w:rFonts w:cs="Arial"/>
          <w:u w:val="single"/>
          <w:rtl/>
        </w:rPr>
        <w:t>וחכמים</w:t>
      </w:r>
      <w:r>
        <w:rPr>
          <w:rFonts w:cs="Arial" w:hint="cs"/>
          <w:rtl/>
        </w:rPr>
        <w:t>:</w:t>
      </w:r>
      <w:r w:rsidRPr="00E0402F">
        <w:rPr>
          <w:rFonts w:cs="Arial"/>
          <w:rtl/>
        </w:rPr>
        <w:t xml:space="preserve"> מטהרין.</w:t>
      </w:r>
      <w:r>
        <w:rPr>
          <w:rFonts w:hint="cs"/>
          <w:rtl/>
        </w:rPr>
        <w:t xml:space="preserve"> </w:t>
      </w:r>
    </w:p>
    <w:p w14:paraId="46B71E59" w14:textId="77777777" w:rsidR="002C39F4" w:rsidRPr="00D27351" w:rsidRDefault="002C39F4" w:rsidP="002C39F4">
      <w:pPr>
        <w:rPr>
          <w:rFonts w:cs="Arial"/>
          <w:u w:val="single"/>
        </w:rPr>
      </w:pPr>
      <w:r w:rsidRPr="00E5565C">
        <w:rPr>
          <w:rFonts w:cs="Arial" w:hint="cs"/>
          <w:u w:val="single"/>
          <w:rtl/>
        </w:rPr>
        <w:t xml:space="preserve">ישראל </w:t>
      </w:r>
      <w:r w:rsidRPr="00E5565C">
        <w:rPr>
          <w:rFonts w:cs="Arial"/>
          <w:u w:val="single"/>
          <w:rtl/>
        </w:rPr>
        <w:t xml:space="preserve">שנתן </w:t>
      </w:r>
      <w:r>
        <w:rPr>
          <w:rFonts w:cs="Arial" w:hint="cs"/>
          <w:u w:val="single"/>
          <w:rtl/>
        </w:rPr>
        <w:t xml:space="preserve">חתיכת כסף </w:t>
      </w:r>
      <w:r w:rsidRPr="00E5565C">
        <w:rPr>
          <w:rFonts w:cs="Arial"/>
          <w:u w:val="single"/>
          <w:rtl/>
        </w:rPr>
        <w:t>ל</w:t>
      </w:r>
      <w:r w:rsidRPr="00E5565C">
        <w:rPr>
          <w:rFonts w:cs="Arial" w:hint="cs"/>
          <w:u w:val="single"/>
          <w:rtl/>
        </w:rPr>
        <w:t>אומן גוי</w:t>
      </w:r>
      <w:r>
        <w:rPr>
          <w:rFonts w:cs="Arial" w:hint="cs"/>
          <w:u w:val="single"/>
          <w:rtl/>
        </w:rPr>
        <w:t xml:space="preserve"> כדי לעשות לו כלי:</w:t>
      </w:r>
    </w:p>
    <w:p w14:paraId="7A141FC2" w14:textId="77777777" w:rsidR="002C39F4" w:rsidRDefault="002C39F4" w:rsidP="0032102C">
      <w:pPr>
        <w:pStyle w:val="a8"/>
        <w:numPr>
          <w:ilvl w:val="0"/>
          <w:numId w:val="306"/>
        </w:numPr>
        <w:rPr>
          <w:rFonts w:cs="Arial"/>
        </w:rPr>
      </w:pPr>
      <w:r>
        <w:rPr>
          <w:rFonts w:cs="Arial" w:hint="cs"/>
          <w:rtl/>
        </w:rPr>
        <w:t>(</w:t>
      </w:r>
      <w:r w:rsidRPr="00E5565C">
        <w:rPr>
          <w:rFonts w:cs="Arial"/>
          <w:rtl/>
        </w:rPr>
        <w:t>תוס</w:t>
      </w:r>
      <w:r w:rsidRPr="00E5565C">
        <w:rPr>
          <w:rFonts w:cs="Arial" w:hint="cs"/>
          <w:rtl/>
        </w:rPr>
        <w:t>'</w:t>
      </w:r>
      <w:r>
        <w:rPr>
          <w:rStyle w:val="a7"/>
          <w:rFonts w:cs="Arial"/>
          <w:rtl/>
        </w:rPr>
        <w:footnoteReference w:id="2915"/>
      </w:r>
      <w:r w:rsidRPr="00E5565C">
        <w:rPr>
          <w:rFonts w:cs="Arial" w:hint="cs"/>
          <w:rtl/>
        </w:rPr>
        <w:t xml:space="preserve"> </w:t>
      </w:r>
      <w:r>
        <w:rPr>
          <w:rFonts w:cs="Arial" w:hint="cs"/>
          <w:sz w:val="16"/>
          <w:szCs w:val="16"/>
          <w:rtl/>
        </w:rPr>
        <w:t>[</w:t>
      </w:r>
      <w:r w:rsidRPr="00487655">
        <w:rPr>
          <w:rFonts w:cs="Arial"/>
          <w:sz w:val="16"/>
          <w:szCs w:val="16"/>
          <w:rtl/>
        </w:rPr>
        <w:t>עה: ד"ה אי</w:t>
      </w:r>
      <w:r>
        <w:rPr>
          <w:rFonts w:cs="Arial" w:hint="cs"/>
          <w:sz w:val="16"/>
          <w:szCs w:val="16"/>
          <w:rtl/>
        </w:rPr>
        <w:t>]</w:t>
      </w:r>
      <w:r w:rsidRPr="002A6D54">
        <w:rPr>
          <w:rFonts w:cs="Arial" w:hint="cs"/>
          <w:sz w:val="16"/>
          <w:szCs w:val="16"/>
          <w:rtl/>
        </w:rPr>
        <w:t xml:space="preserve"> </w:t>
      </w:r>
      <w:r>
        <w:rPr>
          <w:rFonts w:cs="Arial" w:hint="cs"/>
          <w:sz w:val="16"/>
          <w:szCs w:val="16"/>
          <w:rtl/>
        </w:rPr>
        <w:t>להב' הב"י</w:t>
      </w:r>
      <w:r>
        <w:rPr>
          <w:rFonts w:cs="Arial" w:hint="cs"/>
          <w:rtl/>
        </w:rPr>
        <w:t xml:space="preserve">) ה"ר שמחה </w:t>
      </w:r>
      <w:r>
        <w:rPr>
          <w:rFonts w:cs="Arial" w:hint="cs"/>
          <w:sz w:val="16"/>
          <w:szCs w:val="16"/>
          <w:rtl/>
        </w:rPr>
        <w:t>(הביאו האו"ה [כלל נח דע"ז])</w:t>
      </w:r>
      <w:r>
        <w:rPr>
          <w:rFonts w:cs="Arial" w:hint="cs"/>
          <w:rtl/>
        </w:rPr>
        <w:t xml:space="preserve"> ו</w:t>
      </w:r>
      <w:r w:rsidRPr="00A163B6">
        <w:rPr>
          <w:rFonts w:cs="Arial"/>
          <w:rtl/>
        </w:rPr>
        <w:t>רא"ש</w:t>
      </w:r>
      <w:r w:rsidRPr="00A163B6">
        <w:rPr>
          <w:rStyle w:val="a7"/>
          <w:rFonts w:cs="Arial"/>
          <w:rtl/>
        </w:rPr>
        <w:footnoteReference w:id="2916"/>
      </w:r>
      <w:r w:rsidRPr="00A163B6">
        <w:rPr>
          <w:rFonts w:cs="Arial"/>
          <w:rtl/>
        </w:rPr>
        <w:t xml:space="preserve"> </w:t>
      </w:r>
      <w:r>
        <w:rPr>
          <w:rFonts w:cs="Arial" w:hint="cs"/>
          <w:sz w:val="16"/>
          <w:szCs w:val="16"/>
          <w:rtl/>
        </w:rPr>
        <w:t>(</w:t>
      </w:r>
      <w:r w:rsidRPr="00A163B6">
        <w:rPr>
          <w:rFonts w:cs="Arial" w:hint="cs"/>
          <w:sz w:val="16"/>
          <w:szCs w:val="16"/>
          <w:rtl/>
        </w:rPr>
        <w:t xml:space="preserve">פ"ה </w:t>
      </w:r>
      <w:r w:rsidRPr="00A163B6">
        <w:rPr>
          <w:rFonts w:cs="Arial"/>
          <w:sz w:val="16"/>
          <w:szCs w:val="16"/>
          <w:rtl/>
        </w:rPr>
        <w:t>סי' לה</w:t>
      </w:r>
      <w:r>
        <w:rPr>
          <w:rFonts w:cs="Arial" w:hint="cs"/>
          <w:sz w:val="16"/>
          <w:szCs w:val="16"/>
          <w:rtl/>
        </w:rPr>
        <w:t>)</w:t>
      </w:r>
      <w:r w:rsidRPr="00E5565C">
        <w:rPr>
          <w:rFonts w:cs="Arial" w:hint="cs"/>
          <w:rtl/>
        </w:rPr>
        <w:t>-</w:t>
      </w:r>
      <w:r w:rsidRPr="00A163B6">
        <w:rPr>
          <w:rFonts w:cs="Arial"/>
          <w:rtl/>
        </w:rPr>
        <w:t xml:space="preserve"> אפילו למ"ד אומן קונה בשבח כלי אין צריך טבילה דכיון שלא נקרא שם הגוי עליו שאין הכלי נקרא אלא על שם בעליו ולא על שם האומן</w:t>
      </w:r>
      <w:r>
        <w:rPr>
          <w:rFonts w:cs="Arial" w:hint="cs"/>
          <w:rtl/>
        </w:rPr>
        <w:t>,</w:t>
      </w:r>
      <w:r w:rsidRPr="00A163B6">
        <w:rPr>
          <w:rFonts w:cs="Arial"/>
          <w:rtl/>
        </w:rPr>
        <w:t xml:space="preserve"> כי לא דמי למעשה שהיה שהיו הכלים של מדין</w:t>
      </w:r>
      <w:r>
        <w:rPr>
          <w:rFonts w:cs="Arial" w:hint="cs"/>
          <w:sz w:val="16"/>
          <w:szCs w:val="16"/>
          <w:rtl/>
        </w:rPr>
        <w:t xml:space="preserve"> (ל' הב"י)</w:t>
      </w:r>
      <w:r w:rsidRPr="00A163B6">
        <w:rPr>
          <w:rFonts w:cs="Arial" w:hint="cs"/>
          <w:rtl/>
        </w:rPr>
        <w:t>.</w:t>
      </w:r>
      <w:r>
        <w:rPr>
          <w:rFonts w:cs="Arial" w:hint="cs"/>
          <w:rtl/>
        </w:rPr>
        <w:t xml:space="preserve"> ועוד </w:t>
      </w:r>
      <w:r w:rsidRPr="00873F03">
        <w:rPr>
          <w:rFonts w:cs="Arial"/>
          <w:rtl/>
        </w:rPr>
        <w:t>דאומן קונה דווקא בשבח כלי ולא בכלי עצמו דהכלי שוה דינר והבעל הבית אינו נותן בו כ"א פשוט</w:t>
      </w:r>
      <w:r>
        <w:rPr>
          <w:rFonts w:cs="Arial" w:hint="cs"/>
          <w:rtl/>
        </w:rPr>
        <w:t>,</w:t>
      </w:r>
      <w:r w:rsidRPr="00873F03">
        <w:rPr>
          <w:rFonts w:cs="Arial"/>
          <w:rtl/>
        </w:rPr>
        <w:t xml:space="preserve"> וראייה דאילו רצה האומן להחזיקו לעצמו לא היה רשאי</w:t>
      </w:r>
      <w:r>
        <w:rPr>
          <w:rFonts w:cs="Arial" w:hint="cs"/>
          <w:rtl/>
        </w:rPr>
        <w:t>,</w:t>
      </w:r>
      <w:r w:rsidRPr="00873F03">
        <w:rPr>
          <w:rFonts w:cs="Arial"/>
          <w:rtl/>
        </w:rPr>
        <w:t xml:space="preserve"> הילכך אין שם </w:t>
      </w:r>
      <w:r>
        <w:rPr>
          <w:rFonts w:cs="Arial" w:hint="cs"/>
          <w:rtl/>
        </w:rPr>
        <w:t>הגוי</w:t>
      </w:r>
      <w:r w:rsidRPr="00873F03">
        <w:rPr>
          <w:rFonts w:cs="Arial"/>
          <w:rtl/>
        </w:rPr>
        <w:t xml:space="preserve"> עליו</w:t>
      </w:r>
      <w:r>
        <w:rPr>
          <w:rFonts w:cs="Arial" w:hint="cs"/>
          <w:sz w:val="16"/>
          <w:szCs w:val="16"/>
          <w:rtl/>
        </w:rPr>
        <w:t xml:space="preserve"> (ה"ר שמחה)</w:t>
      </w:r>
      <w:r>
        <w:rPr>
          <w:rFonts w:cs="Arial" w:hint="cs"/>
          <w:rtl/>
        </w:rPr>
        <w:t xml:space="preserve">. </w:t>
      </w:r>
      <w:r w:rsidRPr="000B6C00">
        <w:rPr>
          <w:rFonts w:cs="Arial" w:hint="cs"/>
          <w:color w:val="E36C0A" w:themeColor="accent6" w:themeShade="BF"/>
          <w:rtl/>
        </w:rPr>
        <w:t>(וכ"פ בשו"ע)</w:t>
      </w:r>
    </w:p>
    <w:p w14:paraId="7113571A" w14:textId="77777777" w:rsidR="002C39F4" w:rsidRDefault="002C39F4" w:rsidP="0032102C">
      <w:pPr>
        <w:pStyle w:val="a8"/>
        <w:numPr>
          <w:ilvl w:val="0"/>
          <w:numId w:val="306"/>
        </w:numPr>
        <w:rPr>
          <w:rFonts w:cs="Arial"/>
        </w:rPr>
      </w:pPr>
      <w:r w:rsidRPr="00AE3CB7">
        <w:rPr>
          <w:rFonts w:cs="Arial"/>
          <w:rtl/>
        </w:rPr>
        <w:t>ריצב"א</w:t>
      </w:r>
      <w:r>
        <w:rPr>
          <w:rStyle w:val="a7"/>
          <w:rFonts w:cs="Arial"/>
          <w:rtl/>
        </w:rPr>
        <w:footnoteReference w:id="2917"/>
      </w:r>
      <w:r>
        <w:rPr>
          <w:rFonts w:cs="Arial" w:hint="cs"/>
          <w:sz w:val="16"/>
          <w:szCs w:val="16"/>
          <w:rtl/>
        </w:rPr>
        <w:t xml:space="preserve"> (הביאוהו ר"פ והטור)</w:t>
      </w:r>
      <w:r w:rsidRPr="000A70F9">
        <w:rPr>
          <w:rFonts w:cs="Arial" w:hint="cs"/>
          <w:rtl/>
        </w:rPr>
        <w:t xml:space="preserve"> </w:t>
      </w:r>
      <w:r w:rsidRPr="00C33847">
        <w:rPr>
          <w:rFonts w:cs="Arial" w:hint="cs"/>
          <w:rtl/>
        </w:rPr>
        <w:t>ור"פ</w:t>
      </w:r>
      <w:r w:rsidRPr="00C33847">
        <w:rPr>
          <w:rFonts w:cs="Arial"/>
          <w:sz w:val="16"/>
          <w:szCs w:val="16"/>
          <w:rtl/>
        </w:rPr>
        <w:t xml:space="preserve"> (</w:t>
      </w:r>
      <w:r w:rsidRPr="00C33847">
        <w:rPr>
          <w:rFonts w:cs="Arial" w:hint="cs"/>
          <w:sz w:val="16"/>
          <w:szCs w:val="16"/>
          <w:rtl/>
        </w:rPr>
        <w:t xml:space="preserve">בהגה' סמ"ק </w:t>
      </w:r>
      <w:r w:rsidRPr="00C33847">
        <w:rPr>
          <w:rFonts w:cs="Arial"/>
          <w:sz w:val="16"/>
          <w:szCs w:val="16"/>
          <w:rtl/>
        </w:rPr>
        <w:t>סי' קצט אות ב)</w:t>
      </w:r>
      <w:r>
        <w:rPr>
          <w:rFonts w:cs="Arial" w:hint="cs"/>
          <w:rtl/>
        </w:rPr>
        <w:t>- צריך טבילה</w:t>
      </w:r>
      <w:r>
        <w:rPr>
          <w:rStyle w:val="a7"/>
          <w:rFonts w:cs="Arial"/>
          <w:rtl/>
        </w:rPr>
        <w:footnoteReference w:id="2918"/>
      </w:r>
      <w:r>
        <w:rPr>
          <w:rFonts w:hint="cs"/>
          <w:rtl/>
        </w:rPr>
        <w:t>.</w:t>
      </w:r>
      <w:r>
        <w:rPr>
          <w:rFonts w:cs="Arial" w:hint="cs"/>
          <w:rtl/>
        </w:rPr>
        <w:t xml:space="preserve">  </w:t>
      </w:r>
    </w:p>
    <w:p w14:paraId="0E016394" w14:textId="77777777" w:rsidR="002C39F4" w:rsidRPr="00A163B6" w:rsidRDefault="002C39F4" w:rsidP="002C39F4">
      <w:pPr>
        <w:rPr>
          <w:rFonts w:cs="Arial"/>
          <w:u w:val="single"/>
        </w:rPr>
      </w:pPr>
      <w:r w:rsidRPr="00A163B6">
        <w:rPr>
          <w:rFonts w:cs="Arial" w:hint="cs"/>
          <w:u w:val="single"/>
          <w:rtl/>
        </w:rPr>
        <w:t xml:space="preserve">ישראל </w:t>
      </w:r>
      <w:r w:rsidRPr="00A163B6">
        <w:rPr>
          <w:rFonts w:cs="Arial"/>
          <w:u w:val="single"/>
          <w:rtl/>
        </w:rPr>
        <w:t xml:space="preserve">שנתן </w:t>
      </w:r>
      <w:r>
        <w:rPr>
          <w:rFonts w:cs="Arial" w:hint="cs"/>
          <w:u w:val="single"/>
          <w:rtl/>
        </w:rPr>
        <w:t xml:space="preserve">כלי שבור/מנוקב </w:t>
      </w:r>
      <w:r w:rsidRPr="00A163B6">
        <w:rPr>
          <w:rFonts w:cs="Arial"/>
          <w:u w:val="single"/>
          <w:rtl/>
        </w:rPr>
        <w:t>ל</w:t>
      </w:r>
      <w:r w:rsidRPr="00A163B6">
        <w:rPr>
          <w:rFonts w:cs="Arial" w:hint="cs"/>
          <w:u w:val="single"/>
          <w:rtl/>
        </w:rPr>
        <w:t>אומן גוי כדי</w:t>
      </w:r>
      <w:r>
        <w:rPr>
          <w:rFonts w:cs="Arial" w:hint="cs"/>
          <w:u w:val="single"/>
          <w:rtl/>
        </w:rPr>
        <w:t xml:space="preserve"> לתקנו</w:t>
      </w:r>
      <w:r w:rsidRPr="00A163B6">
        <w:rPr>
          <w:rFonts w:cs="Arial" w:hint="cs"/>
          <w:u w:val="single"/>
          <w:rtl/>
        </w:rPr>
        <w:t>:</w:t>
      </w:r>
    </w:p>
    <w:p w14:paraId="6655E43A" w14:textId="77777777" w:rsidR="002C39F4" w:rsidRPr="002A6D54" w:rsidRDefault="002C39F4" w:rsidP="0032102C">
      <w:pPr>
        <w:pStyle w:val="a8"/>
        <w:numPr>
          <w:ilvl w:val="0"/>
          <w:numId w:val="306"/>
        </w:numPr>
        <w:rPr>
          <w:rFonts w:cs="Arial"/>
          <w:u w:val="single"/>
        </w:rPr>
      </w:pPr>
      <w:r w:rsidRPr="00C05A24">
        <w:rPr>
          <w:rFonts w:cs="Arial"/>
          <w:rtl/>
        </w:rPr>
        <w:t>ר"י</w:t>
      </w:r>
      <w:r w:rsidRPr="000A70F9">
        <w:rPr>
          <w:rFonts w:cs="Arial" w:hint="cs"/>
          <w:rtl/>
        </w:rPr>
        <w:t xml:space="preserve"> </w:t>
      </w:r>
      <w:r w:rsidRPr="00C33847">
        <w:rPr>
          <w:rFonts w:cs="Arial"/>
          <w:rtl/>
        </w:rPr>
        <w:t>ריצב"א</w:t>
      </w:r>
      <w:r w:rsidRPr="00C33847">
        <w:rPr>
          <w:rFonts w:cs="Arial" w:hint="cs"/>
          <w:rtl/>
        </w:rPr>
        <w:t xml:space="preserve"> </w:t>
      </w:r>
      <w:r>
        <w:rPr>
          <w:rFonts w:cs="Arial" w:hint="cs"/>
          <w:rtl/>
        </w:rPr>
        <w:t>(תוס'</w:t>
      </w:r>
      <w:r>
        <w:rPr>
          <w:rFonts w:cs="Arial" w:hint="cs"/>
          <w:sz w:val="16"/>
          <w:szCs w:val="16"/>
          <w:rtl/>
        </w:rPr>
        <w:t xml:space="preserve"> להב' ר"פ</w:t>
      </w:r>
      <w:r>
        <w:rPr>
          <w:rFonts w:cs="Arial" w:hint="cs"/>
          <w:rtl/>
        </w:rPr>
        <w:t xml:space="preserve">) </w:t>
      </w:r>
      <w:r w:rsidRPr="00C33847">
        <w:rPr>
          <w:rFonts w:cs="Arial" w:hint="cs"/>
          <w:rtl/>
        </w:rPr>
        <w:t>ור"פ</w:t>
      </w:r>
      <w:r>
        <w:rPr>
          <w:rStyle w:val="a7"/>
          <w:rFonts w:cs="Arial"/>
          <w:rtl/>
        </w:rPr>
        <w:footnoteReference w:id="2919"/>
      </w:r>
      <w:r w:rsidRPr="00C33847">
        <w:rPr>
          <w:rFonts w:cs="Arial" w:hint="cs"/>
          <w:rtl/>
        </w:rPr>
        <w:t xml:space="preserve">- </w:t>
      </w:r>
      <w:r w:rsidRPr="00C33847">
        <w:rPr>
          <w:rFonts w:cs="Arial"/>
          <w:rtl/>
        </w:rPr>
        <w:t>אם נותן לו כלי שבור לתקנו אם לא היה מחזיק רביעית קודם לכן ותקנו שמחזיק רביעית צריך טבילה דקיי"ל הכל הולך אחר המעמיד</w:t>
      </w:r>
      <w:r w:rsidRPr="00C33847">
        <w:rPr>
          <w:rFonts w:hint="cs"/>
          <w:sz w:val="16"/>
          <w:szCs w:val="16"/>
          <w:rtl/>
        </w:rPr>
        <w:t xml:space="preserve"> (ל' הטור בשם הריצב"א)</w:t>
      </w:r>
      <w:r>
        <w:rPr>
          <w:rFonts w:hint="cs"/>
          <w:rtl/>
        </w:rPr>
        <w:t>.</w:t>
      </w:r>
    </w:p>
    <w:p w14:paraId="08217F82" w14:textId="77777777" w:rsidR="002C39F4" w:rsidRPr="002A6D54" w:rsidRDefault="002C39F4" w:rsidP="002C39F4">
      <w:pPr>
        <w:ind w:left="360"/>
        <w:rPr>
          <w:rFonts w:cs="Arial"/>
          <w:u w:val="dotted"/>
        </w:rPr>
      </w:pPr>
      <w:r w:rsidRPr="002A6D54">
        <w:rPr>
          <w:rFonts w:cs="Arial" w:hint="cs"/>
          <w:u w:val="dotted"/>
          <w:rtl/>
        </w:rPr>
        <w:t xml:space="preserve">האם יש הבדל בכה"ג בין </w:t>
      </w:r>
      <w:r>
        <w:rPr>
          <w:rFonts w:cs="Arial" w:hint="cs"/>
          <w:u w:val="dotted"/>
          <w:rtl/>
        </w:rPr>
        <w:t>אם הגוי מתקן ממתכת שלו לבין שמתקן עם מתכת שנתן לו הישראל:</w:t>
      </w:r>
    </w:p>
    <w:p w14:paraId="08254A10" w14:textId="77777777" w:rsidR="002C39F4" w:rsidRPr="000B6C00" w:rsidRDefault="002C39F4" w:rsidP="0032102C">
      <w:pPr>
        <w:pStyle w:val="a8"/>
        <w:numPr>
          <w:ilvl w:val="0"/>
          <w:numId w:val="306"/>
        </w:numPr>
        <w:rPr>
          <w:rFonts w:cs="Arial"/>
        </w:rPr>
      </w:pPr>
      <w:r>
        <w:rPr>
          <w:rFonts w:cs="Arial" w:hint="cs"/>
          <w:rtl/>
        </w:rPr>
        <w:t>(ריצב"א</w:t>
      </w:r>
      <w:r>
        <w:rPr>
          <w:rFonts w:cs="Arial" w:hint="cs"/>
          <w:sz w:val="16"/>
          <w:szCs w:val="16"/>
          <w:rtl/>
        </w:rPr>
        <w:t xml:space="preserve"> להב' או"ה</w:t>
      </w:r>
      <w:r>
        <w:rPr>
          <w:rFonts w:cs="Arial" w:hint="cs"/>
          <w:rtl/>
        </w:rPr>
        <w:t>) מרדכי בשם ר"י ואו</w:t>
      </w:r>
      <w:r>
        <w:rPr>
          <w:rFonts w:cs="Arial"/>
          <w:rtl/>
        </w:rPr>
        <w:t>"</w:t>
      </w:r>
      <w:r>
        <w:rPr>
          <w:rFonts w:cs="Arial" w:hint="cs"/>
          <w:rtl/>
        </w:rPr>
        <w:t>ה</w:t>
      </w:r>
      <w:r>
        <w:rPr>
          <w:rStyle w:val="a7"/>
          <w:rFonts w:cs="Arial"/>
          <w:rtl/>
        </w:rPr>
        <w:footnoteReference w:id="2920"/>
      </w:r>
      <w:r>
        <w:rPr>
          <w:rFonts w:cs="Arial" w:hint="cs"/>
          <w:rtl/>
        </w:rPr>
        <w:t xml:space="preserve">- </w:t>
      </w:r>
      <w:r w:rsidRPr="00C05A24">
        <w:rPr>
          <w:rFonts w:cs="Arial"/>
          <w:rtl/>
        </w:rPr>
        <w:t>משמע לי דהיינו דוקא בשחתיכת המתכת היה של גוי</w:t>
      </w:r>
      <w:r>
        <w:rPr>
          <w:rStyle w:val="a7"/>
          <w:rFonts w:cs="Arial"/>
          <w:rtl/>
        </w:rPr>
        <w:footnoteReference w:id="2921"/>
      </w:r>
      <w:r>
        <w:rPr>
          <w:rFonts w:cs="Arial" w:hint="cs"/>
          <w:rtl/>
        </w:rPr>
        <w:t>...</w:t>
      </w:r>
      <w:r w:rsidRPr="00C05A24">
        <w:rPr>
          <w:rFonts w:cs="Arial"/>
          <w:rtl/>
        </w:rPr>
        <w:t xml:space="preserve"> אבל אם היה חתיכת המתכת של ישראל אינו צריך טבילה</w:t>
      </w:r>
      <w:r>
        <w:rPr>
          <w:rFonts w:hint="cs"/>
          <w:sz w:val="16"/>
          <w:szCs w:val="16"/>
          <w:rtl/>
        </w:rPr>
        <w:t xml:space="preserve"> (ל' הב"י)</w:t>
      </w:r>
      <w:r>
        <w:rPr>
          <w:rFonts w:hint="cs"/>
          <w:rtl/>
        </w:rPr>
        <w:t>,</w:t>
      </w:r>
      <w:r w:rsidRPr="000C290D">
        <w:rPr>
          <w:rFonts w:cs="Arial" w:hint="cs"/>
          <w:rtl/>
        </w:rPr>
        <w:t xml:space="preserve"> </w:t>
      </w:r>
      <w:r>
        <w:rPr>
          <w:rFonts w:cs="Arial" w:hint="cs"/>
          <w:rtl/>
        </w:rPr>
        <w:t>כיון שהמתכת של הישראל היא מה שמעמיד</w:t>
      </w:r>
      <w:r>
        <w:rPr>
          <w:rFonts w:cs="Arial" w:hint="cs"/>
          <w:sz w:val="16"/>
          <w:szCs w:val="16"/>
          <w:rtl/>
        </w:rPr>
        <w:t xml:space="preserve"> (ע"פ או</w:t>
      </w:r>
      <w:r>
        <w:rPr>
          <w:rFonts w:cs="Arial"/>
          <w:sz w:val="16"/>
          <w:szCs w:val="16"/>
          <w:rtl/>
        </w:rPr>
        <w:t>"</w:t>
      </w:r>
      <w:r>
        <w:rPr>
          <w:rFonts w:cs="Arial" w:hint="cs"/>
          <w:sz w:val="16"/>
          <w:szCs w:val="16"/>
          <w:rtl/>
        </w:rPr>
        <w:t>ה)</w:t>
      </w:r>
      <w:r>
        <w:rPr>
          <w:rFonts w:cs="Arial" w:hint="cs"/>
          <w:rtl/>
        </w:rPr>
        <w:t>.</w:t>
      </w:r>
      <w:r w:rsidRPr="000B6C00">
        <w:rPr>
          <w:rFonts w:cs="Arial" w:hint="cs"/>
          <w:color w:val="00B0F0"/>
          <w:rtl/>
        </w:rPr>
        <w:t xml:space="preserve"> </w:t>
      </w:r>
      <w:r w:rsidRPr="000B6C00">
        <w:rPr>
          <w:rFonts w:hint="cs"/>
          <w:color w:val="00B0F0"/>
          <w:rtl/>
        </w:rPr>
        <w:t>(וכ"פ הרמ"א)</w:t>
      </w:r>
    </w:p>
    <w:p w14:paraId="19970542" w14:textId="77777777" w:rsidR="002C39F4" w:rsidRPr="000C290D" w:rsidRDefault="002C39F4" w:rsidP="0032102C">
      <w:pPr>
        <w:pStyle w:val="a8"/>
        <w:numPr>
          <w:ilvl w:val="0"/>
          <w:numId w:val="306"/>
        </w:numPr>
        <w:rPr>
          <w:rFonts w:cs="Arial"/>
          <w:u w:val="single"/>
          <w:rtl/>
        </w:rPr>
      </w:pPr>
      <w:r>
        <w:rPr>
          <w:rFonts w:cs="Arial" w:hint="cs"/>
          <w:rtl/>
        </w:rPr>
        <w:t>(ריצב"א</w:t>
      </w:r>
      <w:r>
        <w:rPr>
          <w:rFonts w:cs="Arial" w:hint="cs"/>
          <w:sz w:val="16"/>
          <w:szCs w:val="16"/>
          <w:rtl/>
        </w:rPr>
        <w:t xml:space="preserve"> להב' ב"י [עמ' סח] רש"ל [שם] דרכ"מ [שם] וש"ך [שם]</w:t>
      </w:r>
      <w:r>
        <w:rPr>
          <w:rFonts w:cs="Arial" w:hint="cs"/>
          <w:rtl/>
        </w:rPr>
        <w:t xml:space="preserve">)- לא שני לן בזה בין שהמתכת של הגוי או של הישראל, אלא אם הכלי מחזיק רביעית לפני התיקון אינו צריך טבילה, ואם הכלי אינו מחזיק רביעית לפני התיקון אז אפילו הישראל הביא לגוי את המתכת טעון טבילה, כיון שהגוי הוא המעמיד. </w:t>
      </w:r>
    </w:p>
    <w:p w14:paraId="51B1665B" w14:textId="77777777" w:rsidR="002C39F4" w:rsidRPr="000C290D" w:rsidRDefault="002C39F4" w:rsidP="002C39F4">
      <w:pPr>
        <w:rPr>
          <w:rFonts w:cs="Arial"/>
        </w:rPr>
      </w:pPr>
      <w:r w:rsidRPr="00BF78E5">
        <w:rPr>
          <w:rFonts w:cs="Arial"/>
          <w:b/>
          <w:bCs/>
          <w:rtl/>
        </w:rPr>
        <w:t>תוספתא</w:t>
      </w:r>
      <w:r w:rsidRPr="00BF78E5">
        <w:rPr>
          <w:rFonts w:cs="Arial" w:hint="cs"/>
          <w:b/>
          <w:bCs/>
          <w:sz w:val="16"/>
          <w:szCs w:val="16"/>
          <w:rtl/>
        </w:rPr>
        <w:t xml:space="preserve"> </w:t>
      </w:r>
      <w:r w:rsidRPr="00BF78E5">
        <w:rPr>
          <w:rFonts w:cs="Arial"/>
          <w:b/>
          <w:bCs/>
          <w:rtl/>
        </w:rPr>
        <w:t xml:space="preserve">כלים </w:t>
      </w:r>
      <w:r w:rsidRPr="00BF78E5">
        <w:rPr>
          <w:rFonts w:cs="Arial" w:hint="cs"/>
          <w:b/>
          <w:bCs/>
          <w:sz w:val="16"/>
          <w:szCs w:val="16"/>
          <w:rtl/>
        </w:rPr>
        <w:t>(</w:t>
      </w:r>
      <w:r w:rsidRPr="00BF78E5">
        <w:rPr>
          <w:rFonts w:cs="Arial"/>
          <w:b/>
          <w:bCs/>
          <w:sz w:val="16"/>
          <w:szCs w:val="16"/>
          <w:rtl/>
        </w:rPr>
        <w:t>ב</w:t>
      </w:r>
      <w:r w:rsidRPr="00BF78E5">
        <w:rPr>
          <w:rFonts w:cs="Arial" w:hint="cs"/>
          <w:b/>
          <w:bCs/>
          <w:sz w:val="16"/>
          <w:szCs w:val="16"/>
          <w:rtl/>
        </w:rPr>
        <w:t>בא מציעא)</w:t>
      </w:r>
      <w:r w:rsidRPr="00BF78E5">
        <w:rPr>
          <w:rFonts w:cs="Arial"/>
          <w:b/>
          <w:bCs/>
          <w:rtl/>
        </w:rPr>
        <w:t xml:space="preserve"> פ"א ה"</w:t>
      </w:r>
      <w:r w:rsidRPr="00BF78E5">
        <w:rPr>
          <w:rFonts w:cs="Arial" w:hint="cs"/>
          <w:b/>
          <w:bCs/>
          <w:rtl/>
        </w:rPr>
        <w:t>ד:</w:t>
      </w:r>
      <w:r w:rsidRPr="00BF78E5">
        <w:rPr>
          <w:rFonts w:cs="Arial" w:hint="cs"/>
          <w:rtl/>
        </w:rPr>
        <w:t xml:space="preserve"> </w:t>
      </w:r>
      <w:r w:rsidRPr="00BF78E5">
        <w:rPr>
          <w:rFonts w:cs="Arial"/>
          <w:rtl/>
        </w:rPr>
        <w:t>קית</w:t>
      </w:r>
      <w:r w:rsidRPr="00BF78E5">
        <w:rPr>
          <w:rFonts w:cs="Arial" w:hint="cs"/>
          <w:rtl/>
        </w:rPr>
        <w:t>ו</w:t>
      </w:r>
      <w:r w:rsidRPr="00BF78E5">
        <w:rPr>
          <w:rFonts w:cs="Arial"/>
          <w:rtl/>
        </w:rPr>
        <w:t>ן שעשאו מן הטמא ושוליו מן הטהור –</w:t>
      </w:r>
      <w:r w:rsidRPr="00BF78E5">
        <w:rPr>
          <w:rFonts w:cs="Arial" w:hint="cs"/>
          <w:rtl/>
        </w:rPr>
        <w:t xml:space="preserve"> </w:t>
      </w:r>
      <w:r w:rsidRPr="00BF78E5">
        <w:rPr>
          <w:rFonts w:cs="Arial"/>
          <w:rtl/>
        </w:rPr>
        <w:t>טהור</w:t>
      </w:r>
      <w:r w:rsidRPr="00BF78E5">
        <w:rPr>
          <w:rFonts w:cs="Arial" w:hint="cs"/>
          <w:rtl/>
        </w:rPr>
        <w:t>,</w:t>
      </w:r>
      <w:r w:rsidRPr="00BF78E5">
        <w:rPr>
          <w:rFonts w:cs="Arial"/>
          <w:rtl/>
        </w:rPr>
        <w:t xml:space="preserve"> עשאו מן הטהור ושוליו מן הטמא</w:t>
      </w:r>
      <w:r w:rsidRPr="00BF78E5">
        <w:rPr>
          <w:rFonts w:cs="Arial" w:hint="cs"/>
          <w:rtl/>
        </w:rPr>
        <w:t xml:space="preserve"> </w:t>
      </w:r>
      <w:r w:rsidRPr="00BF78E5">
        <w:rPr>
          <w:rFonts w:cs="Arial"/>
          <w:rtl/>
        </w:rPr>
        <w:t>– טמא</w:t>
      </w:r>
      <w:r w:rsidRPr="00BF78E5">
        <w:rPr>
          <w:rFonts w:cs="Arial" w:hint="cs"/>
          <w:rtl/>
        </w:rPr>
        <w:t>,</w:t>
      </w:r>
      <w:r w:rsidRPr="00BF78E5">
        <w:rPr>
          <w:rFonts w:cs="Arial"/>
          <w:rtl/>
        </w:rPr>
        <w:t xml:space="preserve"> הכל הולך אחר המקבל</w:t>
      </w:r>
      <w:r>
        <w:rPr>
          <w:rFonts w:hint="cs"/>
          <w:rtl/>
        </w:rPr>
        <w:t>.</w:t>
      </w:r>
      <w:r w:rsidRPr="00D27351">
        <w:rPr>
          <w:rFonts w:cs="Arial" w:hint="cs"/>
          <w:rtl/>
        </w:rPr>
        <w:t xml:space="preserve"> </w:t>
      </w:r>
    </w:p>
    <w:p w14:paraId="1DB07F70" w14:textId="77777777" w:rsidR="002C39F4" w:rsidRPr="000C290D" w:rsidRDefault="002C39F4" w:rsidP="002C39F4">
      <w:pPr>
        <w:rPr>
          <w:rFonts w:cs="Arial"/>
          <w:u w:val="single"/>
        </w:rPr>
      </w:pPr>
      <w:r w:rsidRPr="000C290D">
        <w:rPr>
          <w:rFonts w:cs="Arial" w:hint="cs"/>
          <w:u w:val="single"/>
          <w:rtl/>
        </w:rPr>
        <w:t xml:space="preserve">ישראל </w:t>
      </w:r>
      <w:r w:rsidRPr="000C290D">
        <w:rPr>
          <w:rFonts w:cs="Arial"/>
          <w:u w:val="single"/>
          <w:rtl/>
        </w:rPr>
        <w:t xml:space="preserve">שנתן </w:t>
      </w:r>
      <w:r w:rsidRPr="000C290D">
        <w:rPr>
          <w:rFonts w:cs="Arial" w:hint="cs"/>
          <w:u w:val="single"/>
          <w:rtl/>
        </w:rPr>
        <w:t xml:space="preserve">כלי שבור/מנוקב </w:t>
      </w:r>
      <w:r w:rsidRPr="000C290D">
        <w:rPr>
          <w:rFonts w:cs="Arial"/>
          <w:u w:val="single"/>
          <w:rtl/>
        </w:rPr>
        <w:t>ל</w:t>
      </w:r>
      <w:r w:rsidRPr="000C290D">
        <w:rPr>
          <w:rFonts w:cs="Arial" w:hint="cs"/>
          <w:u w:val="single"/>
          <w:rtl/>
        </w:rPr>
        <w:t>אומן גוי כדי לתקנו</w:t>
      </w:r>
      <w:r>
        <w:rPr>
          <w:rFonts w:cs="Arial" w:hint="cs"/>
          <w:u w:val="single"/>
          <w:rtl/>
        </w:rPr>
        <w:t xml:space="preserve"> והכלי מחזיק רביעית אך יש בו נקב </w:t>
      </w:r>
      <w:r>
        <w:rPr>
          <w:rFonts w:cs="Arial" w:hint="cs"/>
          <w:sz w:val="16"/>
          <w:szCs w:val="16"/>
          <w:u w:val="single"/>
          <w:rtl/>
        </w:rPr>
        <w:t>(</w:t>
      </w:r>
      <w:r w:rsidRPr="000C290D">
        <w:rPr>
          <w:rFonts w:cs="Arial" w:hint="cs"/>
          <w:sz w:val="16"/>
          <w:szCs w:val="16"/>
          <w:u w:val="single"/>
          <w:rtl/>
        </w:rPr>
        <w:t>למעלה מעט)</w:t>
      </w:r>
      <w:r>
        <w:rPr>
          <w:rFonts w:cs="Arial" w:hint="cs"/>
          <w:u w:val="single"/>
          <w:rtl/>
        </w:rPr>
        <w:t xml:space="preserve"> ככונס משקה</w:t>
      </w:r>
      <w:r w:rsidRPr="000C290D">
        <w:rPr>
          <w:rFonts w:cs="Arial" w:hint="cs"/>
          <w:u w:val="single"/>
          <w:rtl/>
        </w:rPr>
        <w:t>:</w:t>
      </w:r>
    </w:p>
    <w:p w14:paraId="17159F04" w14:textId="77777777" w:rsidR="002C39F4" w:rsidRDefault="002C39F4" w:rsidP="0032102C">
      <w:pPr>
        <w:pStyle w:val="a8"/>
        <w:numPr>
          <w:ilvl w:val="0"/>
          <w:numId w:val="306"/>
        </w:numPr>
        <w:rPr>
          <w:rtl/>
        </w:rPr>
      </w:pPr>
      <w:r>
        <w:rPr>
          <w:rFonts w:cs="Arial" w:hint="cs"/>
          <w:rtl/>
        </w:rPr>
        <w:t>מה</w:t>
      </w:r>
      <w:r w:rsidRPr="00C05A24">
        <w:rPr>
          <w:rFonts w:cs="Arial"/>
          <w:rtl/>
        </w:rPr>
        <w:t>ר"</w:t>
      </w:r>
      <w:r>
        <w:rPr>
          <w:rFonts w:cs="Arial" w:hint="cs"/>
          <w:rtl/>
        </w:rPr>
        <w:t>ם</w:t>
      </w:r>
      <w:r w:rsidRPr="00C05A24">
        <w:rPr>
          <w:rFonts w:cs="Arial"/>
          <w:rtl/>
        </w:rPr>
        <w:t xml:space="preserve"> </w:t>
      </w:r>
      <w:r w:rsidRPr="0023442C">
        <w:rPr>
          <w:rFonts w:cs="Arial"/>
          <w:sz w:val="16"/>
          <w:szCs w:val="16"/>
          <w:rtl/>
        </w:rPr>
        <w:t>(</w:t>
      </w:r>
      <w:r>
        <w:rPr>
          <w:rFonts w:cs="Arial" w:hint="cs"/>
          <w:sz w:val="16"/>
          <w:szCs w:val="16"/>
          <w:rtl/>
        </w:rPr>
        <w:t xml:space="preserve">ד"פ </w:t>
      </w:r>
      <w:r w:rsidRPr="0023442C">
        <w:rPr>
          <w:rFonts w:cs="Arial"/>
          <w:sz w:val="16"/>
          <w:szCs w:val="16"/>
          <w:rtl/>
        </w:rPr>
        <w:t>סי' תרכ</w:t>
      </w:r>
      <w:r>
        <w:rPr>
          <w:rFonts w:cs="Arial" w:hint="cs"/>
          <w:sz w:val="16"/>
          <w:szCs w:val="16"/>
          <w:rtl/>
        </w:rPr>
        <w:t>, כ"כ המרדכי בשמו בהג"ה, והביאו האו"ה [שם דע"ז] ג"כ</w:t>
      </w:r>
      <w:r w:rsidRPr="0023442C">
        <w:rPr>
          <w:rFonts w:cs="Arial"/>
          <w:sz w:val="16"/>
          <w:szCs w:val="16"/>
          <w:rtl/>
        </w:rPr>
        <w:t>)</w:t>
      </w:r>
      <w:r>
        <w:rPr>
          <w:rFonts w:cs="Arial" w:hint="cs"/>
          <w:rtl/>
        </w:rPr>
        <w:t xml:space="preserve">- </w:t>
      </w:r>
      <w:r w:rsidRPr="00C05A24">
        <w:rPr>
          <w:rFonts w:cs="Arial"/>
          <w:rtl/>
        </w:rPr>
        <w:t>מחבת שניקבה ותקנה אם ניקבה למטה בשוליה בכדי טהרתה דהיינו בכונס משקה נתבטלה לגמרי מתורת כלי וכשחזר ותקנה פנים חדשות באו לכאן וצריכה להטביל</w:t>
      </w:r>
      <w:r>
        <w:rPr>
          <w:rFonts w:cs="Arial" w:hint="cs"/>
          <w:rtl/>
        </w:rPr>
        <w:t>,</w:t>
      </w:r>
      <w:r w:rsidRPr="00C05A24">
        <w:rPr>
          <w:rFonts w:cs="Arial"/>
          <w:rtl/>
        </w:rPr>
        <w:t xml:space="preserve"> וא</w:t>
      </w:r>
      <w:r>
        <w:rPr>
          <w:rFonts w:cs="Arial" w:hint="cs"/>
          <w:rtl/>
        </w:rPr>
        <w:t>"</w:t>
      </w:r>
      <w:r w:rsidRPr="00C05A24">
        <w:rPr>
          <w:rFonts w:cs="Arial"/>
          <w:rtl/>
        </w:rPr>
        <w:t>כ מן הצד נמי כיון דמן הנקב למעלה כמאן דליתיה דמי דאין מקבל ממנו ולמעלה</w:t>
      </w:r>
      <w:r>
        <w:rPr>
          <w:rFonts w:cs="Arial" w:hint="cs"/>
          <w:rtl/>
        </w:rPr>
        <w:t>,</w:t>
      </w:r>
      <w:r w:rsidRPr="00C05A24">
        <w:rPr>
          <w:rFonts w:cs="Arial"/>
          <w:rtl/>
        </w:rPr>
        <w:t xml:space="preserve"> אם חזר ותקנו הוי ליה ככלי מתכת שאינו מחזיק אלא סאה והוסיף עליו בגבהו והעמידו על סאתים שיש לחזור ולהטבילו עבור תוספת הכלי כיון דהולך אחר המעמיד הוי ליה כאילו הוא כולו חדש ממנו ולמעלה</w:t>
      </w:r>
      <w:r w:rsidRPr="001A5EE8">
        <w:rPr>
          <w:rFonts w:cs="Arial"/>
          <w:sz w:val="16"/>
          <w:szCs w:val="16"/>
          <w:rtl/>
        </w:rPr>
        <w:t xml:space="preserve"> </w:t>
      </w:r>
      <w:r>
        <w:rPr>
          <w:rFonts w:cs="Arial" w:hint="cs"/>
          <w:sz w:val="16"/>
          <w:szCs w:val="16"/>
          <w:rtl/>
        </w:rPr>
        <w:t>{</w:t>
      </w:r>
      <w:r w:rsidRPr="001A5EE8">
        <w:rPr>
          <w:rFonts w:cs="Arial" w:hint="cs"/>
          <w:sz w:val="16"/>
          <w:szCs w:val="16"/>
          <w:rtl/>
        </w:rPr>
        <w:t xml:space="preserve">והביא ראיה מהתוספתא </w:t>
      </w:r>
      <w:r>
        <w:rPr>
          <w:rFonts w:cs="Arial" w:hint="cs"/>
          <w:sz w:val="16"/>
          <w:szCs w:val="16"/>
          <w:rtl/>
        </w:rPr>
        <w:t>דכלים הנ"ל}</w:t>
      </w:r>
      <w:r>
        <w:rPr>
          <w:rFonts w:cs="Arial" w:hint="cs"/>
          <w:rtl/>
        </w:rPr>
        <w:t>.</w:t>
      </w:r>
    </w:p>
    <w:p w14:paraId="33822030" w14:textId="77777777" w:rsidR="002C39F4" w:rsidRPr="00BF78E5" w:rsidRDefault="002C39F4" w:rsidP="002C39F4">
      <w:pPr>
        <w:rPr>
          <w:u w:val="single"/>
        </w:rPr>
      </w:pPr>
      <w:r w:rsidRPr="00BF78E5">
        <w:rPr>
          <w:rFonts w:cs="Arial"/>
          <w:u w:val="single"/>
          <w:rtl/>
        </w:rPr>
        <w:t xml:space="preserve">גוי נתן </w:t>
      </w:r>
      <w:r>
        <w:rPr>
          <w:rFonts w:cs="Arial" w:hint="cs"/>
          <w:u w:val="single"/>
          <w:rtl/>
        </w:rPr>
        <w:t xml:space="preserve">חתיכת </w:t>
      </w:r>
      <w:r w:rsidRPr="00BF78E5">
        <w:rPr>
          <w:rFonts w:cs="Arial"/>
          <w:u w:val="single"/>
          <w:rtl/>
        </w:rPr>
        <w:t>כסף לנפח ישראל</w:t>
      </w:r>
      <w:r>
        <w:rPr>
          <w:rFonts w:cs="Arial" w:hint="cs"/>
          <w:u w:val="single"/>
          <w:rtl/>
        </w:rPr>
        <w:t>,</w:t>
      </w:r>
      <w:r w:rsidRPr="00BF78E5">
        <w:rPr>
          <w:rFonts w:cs="Arial"/>
          <w:u w:val="single"/>
          <w:rtl/>
        </w:rPr>
        <w:t xml:space="preserve"> ו</w:t>
      </w:r>
      <w:r>
        <w:rPr>
          <w:rFonts w:cs="Arial" w:hint="cs"/>
          <w:u w:val="single"/>
          <w:rtl/>
        </w:rPr>
        <w:t>הנפח</w:t>
      </w:r>
      <w:r w:rsidRPr="00BF78E5">
        <w:rPr>
          <w:rFonts w:cs="Arial"/>
          <w:u w:val="single"/>
          <w:rtl/>
        </w:rPr>
        <w:t xml:space="preserve"> </w:t>
      </w:r>
      <w:r>
        <w:rPr>
          <w:rFonts w:cs="Arial" w:hint="cs"/>
          <w:u w:val="single"/>
          <w:rtl/>
        </w:rPr>
        <w:t xml:space="preserve">קנה ממנו את הכלי המוגמר </w:t>
      </w:r>
      <w:r w:rsidRPr="00BF78E5">
        <w:rPr>
          <w:rFonts w:cs="Arial"/>
          <w:u w:val="single"/>
          <w:rtl/>
        </w:rPr>
        <w:t>קודם שהגיע ליד</w:t>
      </w:r>
      <w:r>
        <w:rPr>
          <w:rFonts w:cs="Arial" w:hint="cs"/>
          <w:u w:val="single"/>
          <w:rtl/>
        </w:rPr>
        <w:t>יו</w:t>
      </w:r>
      <w:r w:rsidRPr="00BF78E5">
        <w:rPr>
          <w:rFonts w:cs="Arial"/>
          <w:u w:val="single"/>
          <w:rtl/>
        </w:rPr>
        <w:t xml:space="preserve"> </w:t>
      </w:r>
      <w:r w:rsidRPr="003A5397">
        <w:rPr>
          <w:rFonts w:cs="Arial" w:hint="cs"/>
          <w:sz w:val="16"/>
          <w:szCs w:val="16"/>
          <w:u w:val="single"/>
          <w:rtl/>
        </w:rPr>
        <w:t xml:space="preserve">(של </w:t>
      </w:r>
      <w:r w:rsidRPr="003A5397">
        <w:rPr>
          <w:rFonts w:cs="Arial"/>
          <w:sz w:val="16"/>
          <w:szCs w:val="16"/>
          <w:u w:val="single"/>
          <w:rtl/>
        </w:rPr>
        <w:t>הגוי</w:t>
      </w:r>
      <w:r>
        <w:rPr>
          <w:rFonts w:cs="Arial" w:hint="cs"/>
          <w:sz w:val="16"/>
          <w:szCs w:val="16"/>
          <w:u w:val="single"/>
          <w:rtl/>
        </w:rPr>
        <w:t>)</w:t>
      </w:r>
      <w:r w:rsidRPr="00BF78E5">
        <w:rPr>
          <w:rFonts w:hint="cs"/>
          <w:u w:val="single"/>
          <w:rtl/>
        </w:rPr>
        <w:t>:</w:t>
      </w:r>
      <w:r w:rsidRPr="000C290D">
        <w:rPr>
          <w:rFonts w:cs="Arial" w:hint="cs"/>
          <w:sz w:val="16"/>
          <w:szCs w:val="16"/>
          <w:rtl/>
        </w:rPr>
        <w:t xml:space="preserve"> </w:t>
      </w:r>
      <w:r>
        <w:rPr>
          <w:rFonts w:cs="Arial" w:hint="cs"/>
          <w:sz w:val="16"/>
          <w:szCs w:val="16"/>
          <w:rtl/>
        </w:rPr>
        <w:t xml:space="preserve">   (</w:t>
      </w:r>
      <w:r w:rsidRPr="00BF78E5">
        <w:rPr>
          <w:rFonts w:cs="Arial" w:hint="cs"/>
          <w:sz w:val="16"/>
          <w:szCs w:val="16"/>
          <w:rtl/>
        </w:rPr>
        <w:t>דרכ"מ [אות י]</w:t>
      </w:r>
      <w:r w:rsidRPr="00BF78E5">
        <w:rPr>
          <w:rFonts w:cs="Arial"/>
          <w:sz w:val="16"/>
          <w:szCs w:val="16"/>
          <w:rtl/>
        </w:rPr>
        <w:t>)</w:t>
      </w:r>
    </w:p>
    <w:p w14:paraId="2219B312" w14:textId="77777777" w:rsidR="002C39F4" w:rsidRDefault="002C39F4" w:rsidP="0032102C">
      <w:pPr>
        <w:pStyle w:val="a8"/>
        <w:numPr>
          <w:ilvl w:val="0"/>
          <w:numId w:val="306"/>
        </w:numPr>
      </w:pPr>
      <w:r>
        <w:rPr>
          <w:rFonts w:cs="Arial" w:hint="cs"/>
          <w:rtl/>
        </w:rPr>
        <w:t>או</w:t>
      </w:r>
      <w:r>
        <w:rPr>
          <w:rFonts w:cs="Arial"/>
          <w:rtl/>
        </w:rPr>
        <w:t>"</w:t>
      </w:r>
      <w:r>
        <w:rPr>
          <w:rFonts w:cs="Arial" w:hint="cs"/>
          <w:rtl/>
        </w:rPr>
        <w:t>ה</w:t>
      </w:r>
      <w:r w:rsidRPr="007F333A">
        <w:rPr>
          <w:rFonts w:cs="Arial"/>
          <w:rtl/>
        </w:rPr>
        <w:t xml:space="preserve"> </w:t>
      </w:r>
      <w:r w:rsidRPr="00BF78E5">
        <w:rPr>
          <w:rFonts w:cs="Arial" w:hint="cs"/>
          <w:sz w:val="16"/>
          <w:szCs w:val="16"/>
          <w:rtl/>
        </w:rPr>
        <w:t>(</w:t>
      </w:r>
      <w:r w:rsidRPr="00BF78E5">
        <w:rPr>
          <w:rFonts w:cs="Arial"/>
          <w:sz w:val="16"/>
          <w:szCs w:val="16"/>
          <w:rtl/>
        </w:rPr>
        <w:t xml:space="preserve">כלל נח </w:t>
      </w:r>
      <w:r>
        <w:rPr>
          <w:rFonts w:cs="Arial" w:hint="cs"/>
          <w:sz w:val="16"/>
          <w:szCs w:val="16"/>
          <w:rtl/>
        </w:rPr>
        <w:t>דע"ז)</w:t>
      </w:r>
      <w:r>
        <w:rPr>
          <w:rFonts w:cs="Arial" w:hint="cs"/>
          <w:rtl/>
        </w:rPr>
        <w:t>-</w:t>
      </w:r>
      <w:r w:rsidRPr="007F333A">
        <w:rPr>
          <w:rFonts w:cs="Arial"/>
          <w:rtl/>
        </w:rPr>
        <w:t xml:space="preserve"> גוי הנותן כסף לנפח ישראל והישראל קונה ממנו קודם שהגיע ליד הגוי אפילו הכי צריך טבילה</w:t>
      </w:r>
      <w:r>
        <w:rPr>
          <w:rStyle w:val="a7"/>
          <w:rFonts w:cs="Arial"/>
          <w:rtl/>
        </w:rPr>
        <w:footnoteReference w:id="2922"/>
      </w:r>
      <w:r>
        <w:rPr>
          <w:rFonts w:cs="Arial" w:hint="cs"/>
          <w:rtl/>
        </w:rPr>
        <w:t>.</w:t>
      </w:r>
      <w:r>
        <w:rPr>
          <w:rFonts w:hint="cs"/>
          <w:rtl/>
        </w:rPr>
        <w:t xml:space="preserve"> </w:t>
      </w:r>
      <w:r w:rsidRPr="000B6C00">
        <w:rPr>
          <w:rFonts w:hint="cs"/>
          <w:color w:val="00B0F0"/>
          <w:rtl/>
        </w:rPr>
        <w:t>(וכ"פ הרמ"א)</w:t>
      </w:r>
    </w:p>
    <w:p w14:paraId="4EF78704" w14:textId="77777777" w:rsidR="002C39F4" w:rsidRDefault="002C39F4" w:rsidP="002C39F4">
      <w:pPr>
        <w:rPr>
          <w:rFonts w:cs="Arial"/>
          <w:rtl/>
        </w:rPr>
      </w:pPr>
      <w:r w:rsidRPr="00C05A24">
        <w:rPr>
          <w:rFonts w:cs="Arial" w:hint="cs"/>
          <w:u w:val="single"/>
          <w:rtl/>
        </w:rPr>
        <w:t>ישראל אומן שקנה מתכת מגוי</w:t>
      </w:r>
      <w:r>
        <w:rPr>
          <w:rFonts w:cs="Arial" w:hint="cs"/>
          <w:u w:val="single"/>
          <w:rtl/>
        </w:rPr>
        <w:t xml:space="preserve"> ו</w:t>
      </w:r>
      <w:r w:rsidRPr="00C05A24">
        <w:rPr>
          <w:rFonts w:cs="Arial" w:hint="cs"/>
          <w:u w:val="single"/>
          <w:rtl/>
        </w:rPr>
        <w:t xml:space="preserve">עשה </w:t>
      </w:r>
      <w:r>
        <w:rPr>
          <w:rFonts w:cs="Arial" w:hint="cs"/>
          <w:u w:val="single"/>
          <w:rtl/>
        </w:rPr>
        <w:t xml:space="preserve">ממנה </w:t>
      </w:r>
      <w:r w:rsidRPr="00C05A24">
        <w:rPr>
          <w:rFonts w:cs="Arial" w:hint="cs"/>
          <w:u w:val="single"/>
          <w:rtl/>
        </w:rPr>
        <w:t>כלי:</w:t>
      </w:r>
    </w:p>
    <w:p w14:paraId="09037741" w14:textId="77777777" w:rsidR="002C39F4" w:rsidRPr="00A37DCF" w:rsidRDefault="002C39F4" w:rsidP="0032102C">
      <w:pPr>
        <w:pStyle w:val="a8"/>
        <w:numPr>
          <w:ilvl w:val="0"/>
          <w:numId w:val="307"/>
        </w:numPr>
        <w:rPr>
          <w:rtl/>
        </w:rPr>
      </w:pPr>
      <w:r>
        <w:rPr>
          <w:rFonts w:cs="Arial" w:hint="cs"/>
          <w:rtl/>
        </w:rPr>
        <w:t>הג</w:t>
      </w:r>
      <w:r>
        <w:rPr>
          <w:rFonts w:cs="Arial"/>
          <w:rtl/>
        </w:rPr>
        <w:t>"</w:t>
      </w:r>
      <w:r>
        <w:rPr>
          <w:rFonts w:cs="Arial" w:hint="cs"/>
          <w:rtl/>
        </w:rPr>
        <w:t>א</w:t>
      </w:r>
      <w:r w:rsidRPr="00C05A24">
        <w:rPr>
          <w:rFonts w:cs="Arial"/>
          <w:rtl/>
        </w:rPr>
        <w:t xml:space="preserve"> </w:t>
      </w:r>
      <w:r w:rsidRPr="00C05A24">
        <w:rPr>
          <w:rFonts w:cs="Arial"/>
          <w:sz w:val="16"/>
          <w:szCs w:val="16"/>
          <w:rtl/>
        </w:rPr>
        <w:t>(סי' לה)</w:t>
      </w:r>
      <w:r w:rsidRPr="00C05A24">
        <w:rPr>
          <w:rFonts w:cs="Arial" w:hint="cs"/>
          <w:rtl/>
        </w:rPr>
        <w:t>-</w:t>
      </w:r>
      <w:r w:rsidRPr="00C05A24">
        <w:rPr>
          <w:rFonts w:cs="Arial"/>
          <w:rtl/>
        </w:rPr>
        <w:t xml:space="preserve"> נפח ישראל שעשה כלי מתכת א"צ טבילה</w:t>
      </w:r>
      <w:r>
        <w:rPr>
          <w:rStyle w:val="a7"/>
          <w:rFonts w:cs="Arial"/>
          <w:rtl/>
        </w:rPr>
        <w:footnoteReference w:id="2923"/>
      </w:r>
      <w:r>
        <w:rPr>
          <w:rFonts w:cs="Arial" w:hint="cs"/>
          <w:rtl/>
        </w:rPr>
        <w:t>.</w:t>
      </w:r>
      <w:r w:rsidRPr="000B6C00">
        <w:rPr>
          <w:rFonts w:hint="cs"/>
          <w:color w:val="00B0F0"/>
          <w:rtl/>
        </w:rPr>
        <w:t xml:space="preserve"> (וכ"פ הרמ"א)</w:t>
      </w:r>
    </w:p>
    <w:p w14:paraId="6502A113"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0EA330A" w14:textId="77777777" w:rsidR="002C39F4" w:rsidRDefault="002C39F4" w:rsidP="002C39F4">
      <w:pPr>
        <w:rPr>
          <w:rFonts w:asciiTheme="minorBidi" w:hAnsiTheme="minorBidi"/>
          <w:rtl/>
        </w:rPr>
      </w:pPr>
      <w:r w:rsidRPr="003024E5">
        <w:rPr>
          <w:rFonts w:asciiTheme="minorBidi" w:hAnsiTheme="minorBidi"/>
          <w:rtl/>
        </w:rPr>
        <w:t xml:space="preserve">ישראל שנתן כסף לאומן </w:t>
      </w:r>
      <w:r>
        <w:rPr>
          <w:rFonts w:asciiTheme="minorBidi" w:hAnsiTheme="minorBidi" w:hint="cs"/>
          <w:rtl/>
        </w:rPr>
        <w:t>גוי</w:t>
      </w:r>
      <w:r w:rsidRPr="003024E5">
        <w:rPr>
          <w:rFonts w:asciiTheme="minorBidi" w:hAnsiTheme="minorBidi"/>
          <w:rtl/>
        </w:rPr>
        <w:t xml:space="preserve"> לעשות לו ממנו כלי אינו צריך טבילה</w:t>
      </w:r>
      <w:r>
        <w:rPr>
          <w:rFonts w:asciiTheme="minorBidi" w:hAnsiTheme="minorBidi" w:hint="cs"/>
          <w:rtl/>
        </w:rPr>
        <w:t>.</w:t>
      </w:r>
      <w:r w:rsidRPr="000B6C00">
        <w:rPr>
          <w:rFonts w:asciiTheme="minorBidi" w:hAnsiTheme="minorBidi"/>
          <w:sz w:val="16"/>
          <w:szCs w:val="16"/>
          <w:rtl/>
        </w:rPr>
        <w:t xml:space="preserve"> </w:t>
      </w:r>
      <w:r w:rsidRPr="00A37DCF">
        <w:rPr>
          <w:rFonts w:asciiTheme="minorBidi" w:hAnsiTheme="minorBidi"/>
          <w:sz w:val="18"/>
          <w:szCs w:val="18"/>
          <w:rtl/>
        </w:rPr>
        <w:t>הגה: ויש חולקין (טור בשם ריצב"א)</w:t>
      </w:r>
      <w:r>
        <w:rPr>
          <w:rFonts w:asciiTheme="minorBidi" w:hAnsiTheme="minorBidi" w:hint="cs"/>
          <w:sz w:val="18"/>
          <w:szCs w:val="18"/>
          <w:rtl/>
        </w:rPr>
        <w:t>,</w:t>
      </w:r>
      <w:r w:rsidRPr="00A37DCF">
        <w:rPr>
          <w:rFonts w:asciiTheme="minorBidi" w:hAnsiTheme="minorBidi"/>
          <w:sz w:val="18"/>
          <w:szCs w:val="18"/>
          <w:rtl/>
        </w:rPr>
        <w:t xml:space="preserve"> ויש לטובלו בלא ברכה. ואם מקצת הכסף שנעשה ממנו הכלי של </w:t>
      </w:r>
      <w:r>
        <w:rPr>
          <w:rFonts w:asciiTheme="minorBidi" w:hAnsiTheme="minorBidi" w:hint="cs"/>
          <w:sz w:val="18"/>
          <w:szCs w:val="18"/>
          <w:rtl/>
        </w:rPr>
        <w:t>גוי,</w:t>
      </w:r>
      <w:r w:rsidRPr="00A37DCF">
        <w:rPr>
          <w:rFonts w:asciiTheme="minorBidi" w:hAnsiTheme="minorBidi"/>
          <w:sz w:val="18"/>
          <w:szCs w:val="18"/>
          <w:rtl/>
        </w:rPr>
        <w:t xml:space="preserve"> צריך טבילה</w:t>
      </w:r>
      <w:r>
        <w:rPr>
          <w:rStyle w:val="a7"/>
          <w:rFonts w:asciiTheme="minorBidi" w:hAnsiTheme="minorBidi"/>
          <w:sz w:val="18"/>
          <w:szCs w:val="18"/>
          <w:rtl/>
        </w:rPr>
        <w:footnoteReference w:id="2924"/>
      </w:r>
      <w:r w:rsidRPr="00A37DCF">
        <w:rPr>
          <w:rFonts w:asciiTheme="minorBidi" w:hAnsiTheme="minorBidi"/>
          <w:sz w:val="18"/>
          <w:szCs w:val="18"/>
          <w:rtl/>
        </w:rPr>
        <w:t xml:space="preserve"> </w:t>
      </w:r>
      <w:r w:rsidRPr="00582002">
        <w:rPr>
          <w:rFonts w:asciiTheme="minorBidi" w:hAnsiTheme="minorBidi"/>
          <w:sz w:val="16"/>
          <w:szCs w:val="16"/>
          <w:rtl/>
        </w:rPr>
        <w:t>(</w:t>
      </w:r>
      <w:r w:rsidRPr="00582002">
        <w:rPr>
          <w:rFonts w:asciiTheme="minorBidi" w:hAnsiTheme="minorBidi" w:hint="cs"/>
          <w:sz w:val="16"/>
          <w:szCs w:val="16"/>
          <w:rtl/>
        </w:rPr>
        <w:t>כ"מ</w:t>
      </w:r>
      <w:r w:rsidRPr="00582002">
        <w:rPr>
          <w:rFonts w:asciiTheme="minorBidi" w:hAnsiTheme="minorBidi"/>
          <w:sz w:val="16"/>
          <w:szCs w:val="16"/>
          <w:rtl/>
        </w:rPr>
        <w:t xml:space="preserve"> ממרדכי)</w:t>
      </w:r>
      <w:r>
        <w:rPr>
          <w:rFonts w:asciiTheme="minorBidi" w:hAnsiTheme="minorBidi" w:hint="cs"/>
          <w:sz w:val="18"/>
          <w:szCs w:val="18"/>
          <w:rtl/>
        </w:rPr>
        <w:t>.</w:t>
      </w:r>
      <w:r w:rsidRPr="00A37DCF">
        <w:rPr>
          <w:rFonts w:asciiTheme="minorBidi" w:hAnsiTheme="minorBidi"/>
          <w:sz w:val="18"/>
          <w:szCs w:val="18"/>
          <w:rtl/>
        </w:rPr>
        <w:t xml:space="preserve"> וכן אומן ישראל שעשה כלי </w:t>
      </w:r>
      <w:r>
        <w:rPr>
          <w:rFonts w:asciiTheme="minorBidi" w:hAnsiTheme="minorBidi" w:hint="cs"/>
          <w:sz w:val="18"/>
          <w:szCs w:val="18"/>
          <w:rtl/>
        </w:rPr>
        <w:t>לגוי</w:t>
      </w:r>
      <w:r w:rsidRPr="00A37DCF">
        <w:rPr>
          <w:rFonts w:asciiTheme="minorBidi" w:hAnsiTheme="minorBidi"/>
          <w:sz w:val="18"/>
          <w:szCs w:val="18"/>
          <w:rtl/>
        </w:rPr>
        <w:t xml:space="preserve"> וקנאו ממנו, יטבילנו גם כן בלא ברכה</w:t>
      </w:r>
      <w:r>
        <w:rPr>
          <w:rStyle w:val="a7"/>
          <w:rFonts w:asciiTheme="minorBidi" w:hAnsiTheme="minorBidi"/>
          <w:sz w:val="18"/>
          <w:szCs w:val="18"/>
          <w:rtl/>
        </w:rPr>
        <w:footnoteReference w:id="2925"/>
      </w:r>
      <w:r w:rsidRPr="00A37DCF">
        <w:rPr>
          <w:rFonts w:asciiTheme="minorBidi" w:hAnsiTheme="minorBidi"/>
          <w:sz w:val="18"/>
          <w:szCs w:val="18"/>
          <w:rtl/>
        </w:rPr>
        <w:t xml:space="preserve"> אם </w:t>
      </w:r>
      <w:r>
        <w:rPr>
          <w:rFonts w:asciiTheme="minorBidi" w:hAnsiTheme="minorBidi" w:hint="cs"/>
          <w:sz w:val="18"/>
          <w:szCs w:val="18"/>
          <w:rtl/>
        </w:rPr>
        <w:t>הגוי</w:t>
      </w:r>
      <w:r w:rsidRPr="00A37DCF">
        <w:rPr>
          <w:rFonts w:asciiTheme="minorBidi" w:hAnsiTheme="minorBidi"/>
          <w:sz w:val="18"/>
          <w:szCs w:val="18"/>
          <w:rtl/>
        </w:rPr>
        <w:t xml:space="preserve"> נתן כל המתכות </w:t>
      </w:r>
      <w:r w:rsidRPr="00582002">
        <w:rPr>
          <w:rFonts w:asciiTheme="minorBidi" w:hAnsiTheme="minorBidi"/>
          <w:sz w:val="16"/>
          <w:szCs w:val="16"/>
          <w:rtl/>
        </w:rPr>
        <w:t>(ארוך)</w:t>
      </w:r>
      <w:r>
        <w:rPr>
          <w:rFonts w:asciiTheme="minorBidi" w:hAnsiTheme="minorBidi" w:hint="cs"/>
          <w:sz w:val="18"/>
          <w:szCs w:val="18"/>
          <w:rtl/>
        </w:rPr>
        <w:t>.</w:t>
      </w:r>
      <w:r w:rsidRPr="00A37DCF">
        <w:rPr>
          <w:rFonts w:asciiTheme="minorBidi" w:hAnsiTheme="minorBidi"/>
          <w:sz w:val="18"/>
          <w:szCs w:val="18"/>
          <w:rtl/>
        </w:rPr>
        <w:t xml:space="preserve"> אבל אם עשאו לעצמו רק שקנה המתכות מן </w:t>
      </w:r>
      <w:r>
        <w:rPr>
          <w:rFonts w:asciiTheme="minorBidi" w:hAnsiTheme="minorBidi" w:hint="cs"/>
          <w:sz w:val="18"/>
          <w:szCs w:val="18"/>
          <w:rtl/>
        </w:rPr>
        <w:t>הגוי</w:t>
      </w:r>
      <w:r w:rsidRPr="00A37DCF">
        <w:rPr>
          <w:rFonts w:asciiTheme="minorBidi" w:hAnsiTheme="minorBidi"/>
          <w:sz w:val="18"/>
          <w:szCs w:val="18"/>
          <w:rtl/>
        </w:rPr>
        <w:t>, או שנתן מקצת מתכות משלו, אין צריך טבילה</w:t>
      </w:r>
      <w:r>
        <w:rPr>
          <w:rStyle w:val="a7"/>
          <w:rFonts w:asciiTheme="minorBidi" w:hAnsiTheme="minorBidi"/>
          <w:sz w:val="18"/>
          <w:szCs w:val="18"/>
          <w:rtl/>
        </w:rPr>
        <w:footnoteReference w:id="2926"/>
      </w:r>
      <w:r w:rsidRPr="00582002">
        <w:rPr>
          <w:rFonts w:asciiTheme="minorBidi" w:hAnsiTheme="minorBidi"/>
          <w:sz w:val="16"/>
          <w:szCs w:val="16"/>
          <w:rtl/>
        </w:rPr>
        <w:t xml:space="preserve"> (הג</w:t>
      </w:r>
      <w:r w:rsidRPr="00582002">
        <w:rPr>
          <w:rFonts w:asciiTheme="minorBidi" w:hAnsiTheme="minorBidi" w:hint="cs"/>
          <w:sz w:val="16"/>
          <w:szCs w:val="16"/>
          <w:rtl/>
        </w:rPr>
        <w:t>"</w:t>
      </w:r>
      <w:r w:rsidRPr="00582002">
        <w:rPr>
          <w:rFonts w:asciiTheme="minorBidi" w:hAnsiTheme="minorBidi"/>
          <w:sz w:val="16"/>
          <w:szCs w:val="16"/>
          <w:rtl/>
        </w:rPr>
        <w:t>א)</w:t>
      </w:r>
      <w:r w:rsidRPr="00A37DCF">
        <w:rPr>
          <w:rFonts w:asciiTheme="minorBidi" w:hAnsiTheme="minorBidi"/>
          <w:sz w:val="18"/>
          <w:szCs w:val="18"/>
          <w:rtl/>
        </w:rPr>
        <w:t>.</w:t>
      </w:r>
      <w:r w:rsidRPr="003024E5">
        <w:rPr>
          <w:rFonts w:asciiTheme="minorBidi" w:hAnsiTheme="minorBidi"/>
          <w:rtl/>
        </w:rPr>
        <w:t xml:space="preserve"> </w:t>
      </w:r>
    </w:p>
    <w:p w14:paraId="23B4D802" w14:textId="77777777" w:rsidR="002C39F4" w:rsidRPr="003024E5" w:rsidRDefault="002C39F4" w:rsidP="002C39F4">
      <w:pPr>
        <w:rPr>
          <w:rFonts w:asciiTheme="minorBidi" w:hAnsiTheme="minorBidi"/>
          <w:rtl/>
        </w:rPr>
      </w:pPr>
    </w:p>
    <w:p w14:paraId="6BCF823E" w14:textId="77777777" w:rsidR="002C39F4" w:rsidRDefault="002C39F4" w:rsidP="002C39F4">
      <w:pPr>
        <w:pStyle w:val="2"/>
        <w:rPr>
          <w:rFonts w:asciiTheme="minorBidi" w:hAnsiTheme="minorBidi"/>
          <w:rtl/>
        </w:rPr>
      </w:pPr>
      <w:r w:rsidRPr="003024E5">
        <w:rPr>
          <w:rFonts w:asciiTheme="minorBidi" w:hAnsiTheme="minorBidi"/>
          <w:rtl/>
        </w:rPr>
        <w:t>סעיף יא</w:t>
      </w:r>
      <w:r>
        <w:rPr>
          <w:rFonts w:asciiTheme="minorBidi" w:hAnsiTheme="minorBidi" w:hint="cs"/>
          <w:rtl/>
        </w:rPr>
        <w:t xml:space="preserve">: כלי של </w:t>
      </w:r>
      <w:r w:rsidRPr="007D002E">
        <w:rPr>
          <w:rFonts w:asciiTheme="minorBidi" w:hAnsiTheme="minorBidi"/>
          <w:rtl/>
        </w:rPr>
        <w:t>ישראל ש</w:t>
      </w:r>
      <w:r>
        <w:rPr>
          <w:rFonts w:asciiTheme="minorBidi" w:hAnsiTheme="minorBidi" w:hint="cs"/>
          <w:rtl/>
        </w:rPr>
        <w:t xml:space="preserve">עבר לרשות הגוי </w:t>
      </w:r>
      <w:r>
        <w:rPr>
          <w:rFonts w:asciiTheme="minorBidi" w:hAnsiTheme="minorBidi" w:hint="cs"/>
          <w:sz w:val="16"/>
          <w:szCs w:val="16"/>
          <w:rtl/>
        </w:rPr>
        <w:t>(ע"י גנבה/גזלה/מכירה/משכון)</w:t>
      </w:r>
      <w:r>
        <w:rPr>
          <w:rFonts w:asciiTheme="minorBidi" w:hAnsiTheme="minorBidi" w:hint="cs"/>
          <w:rtl/>
        </w:rPr>
        <w:t xml:space="preserve"> </w:t>
      </w:r>
      <w:r w:rsidRPr="007D002E">
        <w:rPr>
          <w:rFonts w:asciiTheme="minorBidi" w:hAnsiTheme="minorBidi"/>
          <w:rtl/>
        </w:rPr>
        <w:t xml:space="preserve">וחזר </w:t>
      </w:r>
      <w:r>
        <w:rPr>
          <w:rFonts w:asciiTheme="minorBidi" w:hAnsiTheme="minorBidi" w:hint="cs"/>
          <w:rtl/>
        </w:rPr>
        <w:t>לרשות הישראל.</w:t>
      </w:r>
    </w:p>
    <w:p w14:paraId="12C4633C" w14:textId="77777777" w:rsidR="002C39F4" w:rsidRPr="007D002E" w:rsidRDefault="002C39F4" w:rsidP="002C39F4">
      <w:pPr>
        <w:rPr>
          <w:rFonts w:cs="Arial"/>
          <w:rtl/>
        </w:rPr>
      </w:pPr>
      <w:r w:rsidRPr="007D002E">
        <w:rPr>
          <w:rFonts w:asciiTheme="minorBidi" w:hAnsiTheme="minorBidi"/>
          <w:u w:val="single"/>
          <w:rtl/>
        </w:rPr>
        <w:t xml:space="preserve">ישראל שמכר כלי </w:t>
      </w:r>
      <w:r w:rsidRPr="007D002E">
        <w:rPr>
          <w:rFonts w:asciiTheme="minorBidi" w:hAnsiTheme="minorBidi" w:hint="cs"/>
          <w:u w:val="single"/>
          <w:rtl/>
        </w:rPr>
        <w:t>לגוי</w:t>
      </w:r>
      <w:r w:rsidRPr="007D002E">
        <w:rPr>
          <w:rFonts w:asciiTheme="minorBidi" w:hAnsiTheme="minorBidi"/>
          <w:u w:val="single"/>
          <w:rtl/>
        </w:rPr>
        <w:t xml:space="preserve"> וחזר ולקחו ממנו</w:t>
      </w:r>
      <w:r w:rsidRPr="007D002E">
        <w:rPr>
          <w:rFonts w:asciiTheme="minorBidi" w:hAnsiTheme="minorBidi" w:hint="cs"/>
          <w:u w:val="single"/>
          <w:rtl/>
        </w:rPr>
        <w:t>:</w:t>
      </w:r>
    </w:p>
    <w:p w14:paraId="131FBF0E" w14:textId="77777777" w:rsidR="002C39F4" w:rsidRPr="007D002E" w:rsidRDefault="002C39F4" w:rsidP="0032102C">
      <w:pPr>
        <w:pStyle w:val="a8"/>
        <w:numPr>
          <w:ilvl w:val="0"/>
          <w:numId w:val="307"/>
        </w:numPr>
      </w:pPr>
      <w:r w:rsidRPr="007D002E">
        <w:rPr>
          <w:rFonts w:cs="Arial"/>
          <w:rtl/>
        </w:rPr>
        <w:t>תוס</w:t>
      </w:r>
      <w:r w:rsidRPr="007D002E">
        <w:rPr>
          <w:rFonts w:cs="Arial" w:hint="cs"/>
          <w:rtl/>
        </w:rPr>
        <w:t>'</w:t>
      </w:r>
      <w:r w:rsidRPr="007D002E">
        <w:rPr>
          <w:rFonts w:cs="Arial"/>
          <w:rtl/>
        </w:rPr>
        <w:t xml:space="preserve"> </w:t>
      </w:r>
      <w:r w:rsidRPr="007D002E">
        <w:rPr>
          <w:rFonts w:cs="Arial"/>
          <w:sz w:val="16"/>
          <w:szCs w:val="16"/>
          <w:rtl/>
        </w:rPr>
        <w:t xml:space="preserve">(עה: ד"ה אי) </w:t>
      </w:r>
      <w:r w:rsidRPr="007D002E">
        <w:rPr>
          <w:rFonts w:cs="Arial"/>
          <w:rtl/>
        </w:rPr>
        <w:t xml:space="preserve">רא"ש </w:t>
      </w:r>
      <w:r w:rsidRPr="007D002E">
        <w:rPr>
          <w:rFonts w:cs="Arial"/>
          <w:sz w:val="16"/>
          <w:szCs w:val="16"/>
          <w:rtl/>
        </w:rPr>
        <w:t>(סי' לה)</w:t>
      </w:r>
      <w:r w:rsidRPr="007D002E">
        <w:rPr>
          <w:rFonts w:cs="Arial" w:hint="cs"/>
          <w:sz w:val="16"/>
          <w:szCs w:val="16"/>
          <w:rtl/>
        </w:rPr>
        <w:t xml:space="preserve"> </w:t>
      </w:r>
      <w:r w:rsidRPr="007D002E">
        <w:rPr>
          <w:rFonts w:cs="Arial" w:hint="cs"/>
          <w:rtl/>
        </w:rPr>
        <w:t>וטור-</w:t>
      </w:r>
      <w:r w:rsidRPr="007D002E">
        <w:rPr>
          <w:rtl/>
        </w:rPr>
        <w:t xml:space="preserve"> </w:t>
      </w:r>
      <w:r w:rsidRPr="007D002E">
        <w:rPr>
          <w:rFonts w:cs="Arial"/>
          <w:rtl/>
        </w:rPr>
        <w:t>המוכר כלי ל</w:t>
      </w:r>
      <w:r>
        <w:rPr>
          <w:rFonts w:cs="Arial" w:hint="cs"/>
          <w:rtl/>
        </w:rPr>
        <w:t>גוי</w:t>
      </w:r>
      <w:r w:rsidRPr="007D002E">
        <w:rPr>
          <w:rFonts w:cs="Arial"/>
          <w:rtl/>
        </w:rPr>
        <w:t xml:space="preserve"> וחזר ולקח ממנו צריך טבילה כיון שנקרא על שם </w:t>
      </w:r>
      <w:r>
        <w:rPr>
          <w:rFonts w:cs="Arial" w:hint="cs"/>
          <w:rtl/>
        </w:rPr>
        <w:t>גוי.</w:t>
      </w:r>
      <w:r>
        <w:rPr>
          <w:rFonts w:hint="cs"/>
          <w:rtl/>
        </w:rPr>
        <w:t xml:space="preserve"> </w:t>
      </w:r>
      <w:r w:rsidRPr="002B62EA">
        <w:rPr>
          <w:rFonts w:hint="cs"/>
          <w:color w:val="E36C0A" w:themeColor="accent6" w:themeShade="BF"/>
          <w:rtl/>
        </w:rPr>
        <w:t>(וכ"פ בשו"ע)</w:t>
      </w:r>
    </w:p>
    <w:p w14:paraId="43F12FC9" w14:textId="77777777" w:rsidR="002C39F4" w:rsidRPr="007D002E" w:rsidRDefault="002C39F4" w:rsidP="002C39F4">
      <w:r w:rsidRPr="007D002E">
        <w:rPr>
          <w:rFonts w:asciiTheme="minorBidi" w:hAnsiTheme="minorBidi"/>
          <w:u w:val="single"/>
          <w:rtl/>
        </w:rPr>
        <w:t xml:space="preserve">ישראל </w:t>
      </w:r>
      <w:r>
        <w:rPr>
          <w:rFonts w:asciiTheme="minorBidi" w:hAnsiTheme="minorBidi" w:hint="cs"/>
          <w:u w:val="single"/>
          <w:rtl/>
        </w:rPr>
        <w:t>שמשכן</w:t>
      </w:r>
      <w:r w:rsidRPr="007D002E">
        <w:rPr>
          <w:rFonts w:asciiTheme="minorBidi" w:hAnsiTheme="minorBidi"/>
          <w:u w:val="single"/>
          <w:rtl/>
        </w:rPr>
        <w:t xml:space="preserve"> כלי </w:t>
      </w:r>
      <w:r>
        <w:rPr>
          <w:rFonts w:asciiTheme="minorBidi" w:hAnsiTheme="minorBidi" w:hint="cs"/>
          <w:u w:val="single"/>
          <w:rtl/>
        </w:rPr>
        <w:t xml:space="preserve">ביד </w:t>
      </w:r>
      <w:r w:rsidRPr="007D002E">
        <w:rPr>
          <w:rFonts w:asciiTheme="minorBidi" w:hAnsiTheme="minorBidi" w:hint="cs"/>
          <w:u w:val="single"/>
          <w:rtl/>
        </w:rPr>
        <w:t>גוי</w:t>
      </w:r>
      <w:r w:rsidRPr="007D002E">
        <w:rPr>
          <w:rFonts w:asciiTheme="minorBidi" w:hAnsiTheme="minorBidi"/>
          <w:u w:val="single"/>
          <w:rtl/>
        </w:rPr>
        <w:t xml:space="preserve"> וחזר ו</w:t>
      </w:r>
      <w:r>
        <w:rPr>
          <w:rFonts w:asciiTheme="minorBidi" w:hAnsiTheme="minorBidi" w:hint="cs"/>
          <w:u w:val="single"/>
          <w:rtl/>
        </w:rPr>
        <w:t>פדאו</w:t>
      </w:r>
      <w:r w:rsidRPr="007D002E">
        <w:rPr>
          <w:rFonts w:asciiTheme="minorBidi" w:hAnsiTheme="minorBidi"/>
          <w:u w:val="single"/>
          <w:rtl/>
        </w:rPr>
        <w:t xml:space="preserve"> ממנו</w:t>
      </w:r>
      <w:r w:rsidRPr="007D002E">
        <w:rPr>
          <w:rFonts w:asciiTheme="minorBidi" w:hAnsiTheme="minorBidi" w:hint="cs"/>
          <w:u w:val="single"/>
          <w:rtl/>
        </w:rPr>
        <w:t>:</w:t>
      </w:r>
    </w:p>
    <w:p w14:paraId="16C31899" w14:textId="77777777" w:rsidR="002C39F4" w:rsidRDefault="002C39F4" w:rsidP="0032102C">
      <w:pPr>
        <w:pStyle w:val="a8"/>
        <w:numPr>
          <w:ilvl w:val="0"/>
          <w:numId w:val="307"/>
        </w:numPr>
      </w:pPr>
      <w:r w:rsidRPr="007D002E">
        <w:rPr>
          <w:rFonts w:cs="Arial"/>
          <w:rtl/>
        </w:rPr>
        <w:t>תוס</w:t>
      </w:r>
      <w:r w:rsidRPr="007D002E">
        <w:rPr>
          <w:rFonts w:cs="Arial" w:hint="cs"/>
          <w:rtl/>
        </w:rPr>
        <w:t>'</w:t>
      </w:r>
      <w:r w:rsidRPr="007D002E">
        <w:rPr>
          <w:rFonts w:cs="Arial"/>
          <w:rtl/>
        </w:rPr>
        <w:t xml:space="preserve"> </w:t>
      </w:r>
      <w:r w:rsidRPr="007D002E">
        <w:rPr>
          <w:rFonts w:cs="Arial"/>
          <w:sz w:val="16"/>
          <w:szCs w:val="16"/>
          <w:rtl/>
        </w:rPr>
        <w:t xml:space="preserve">(עה: ד"ה אי) </w:t>
      </w:r>
      <w:r w:rsidRPr="007D002E">
        <w:rPr>
          <w:rFonts w:cs="Arial"/>
          <w:rtl/>
        </w:rPr>
        <w:t xml:space="preserve">רא"ש </w:t>
      </w:r>
      <w:r w:rsidRPr="007D002E">
        <w:rPr>
          <w:rFonts w:cs="Arial"/>
          <w:sz w:val="16"/>
          <w:szCs w:val="16"/>
          <w:rtl/>
        </w:rPr>
        <w:t>(סי' לה)</w:t>
      </w:r>
      <w:r w:rsidRPr="007D002E">
        <w:rPr>
          <w:rFonts w:cs="Arial" w:hint="cs"/>
          <w:sz w:val="16"/>
          <w:szCs w:val="16"/>
          <w:rtl/>
        </w:rPr>
        <w:t xml:space="preserve"> </w:t>
      </w:r>
      <w:r w:rsidRPr="007D002E">
        <w:rPr>
          <w:rFonts w:cs="Arial" w:hint="cs"/>
          <w:rtl/>
        </w:rPr>
        <w:t>וטור-</w:t>
      </w:r>
      <w:r w:rsidRPr="007D002E">
        <w:rPr>
          <w:rtl/>
        </w:rPr>
        <w:t xml:space="preserve"> </w:t>
      </w:r>
      <w:r w:rsidRPr="007D002E">
        <w:rPr>
          <w:rFonts w:cs="Arial"/>
          <w:rtl/>
        </w:rPr>
        <w:t>הממשכן כלי ל</w:t>
      </w:r>
      <w:r>
        <w:rPr>
          <w:rFonts w:cs="Arial" w:hint="cs"/>
          <w:rtl/>
        </w:rPr>
        <w:t>גוי</w:t>
      </w:r>
      <w:r w:rsidRPr="007D002E">
        <w:rPr>
          <w:rFonts w:cs="Arial"/>
          <w:rtl/>
        </w:rPr>
        <w:t xml:space="preserve"> וחזר ופדה אין צריך טבילה אע</w:t>
      </w:r>
      <w:r>
        <w:rPr>
          <w:rFonts w:cs="Arial" w:hint="cs"/>
          <w:rtl/>
        </w:rPr>
        <w:t>"</w:t>
      </w:r>
      <w:r w:rsidRPr="007D002E">
        <w:rPr>
          <w:rFonts w:cs="Arial"/>
          <w:rtl/>
        </w:rPr>
        <w:t>ג דמספקא ליה לתלמודא אי משכנתא כזביני לענין הא ודאי פשיטא דלא הוי כזביני</w:t>
      </w:r>
      <w:r>
        <w:rPr>
          <w:rFonts w:cs="Arial" w:hint="cs"/>
          <w:rtl/>
        </w:rPr>
        <w:t>.</w:t>
      </w:r>
      <w:r w:rsidRPr="002B62EA">
        <w:rPr>
          <w:rFonts w:hint="cs"/>
          <w:color w:val="E36C0A" w:themeColor="accent6" w:themeShade="BF"/>
          <w:rtl/>
        </w:rPr>
        <w:t xml:space="preserve"> (וכ"פ בשו"ע)</w:t>
      </w:r>
    </w:p>
    <w:p w14:paraId="5593729B" w14:textId="77777777" w:rsidR="002C39F4" w:rsidRPr="006D7F2D" w:rsidRDefault="002C39F4" w:rsidP="002C39F4">
      <w:pPr>
        <w:rPr>
          <w:sz w:val="16"/>
          <w:szCs w:val="16"/>
        </w:rPr>
      </w:pPr>
      <w:r w:rsidRPr="006D7F2D">
        <w:rPr>
          <w:rFonts w:cs="Arial"/>
          <w:u w:val="single"/>
          <w:rtl/>
        </w:rPr>
        <w:t>ישראל וגוי שקנו כלי בשותפות</w:t>
      </w:r>
      <w:r w:rsidRPr="006D7F2D">
        <w:rPr>
          <w:rFonts w:hint="cs"/>
          <w:u w:val="single"/>
          <w:rtl/>
        </w:rPr>
        <w:t>:</w:t>
      </w:r>
      <w:r>
        <w:rPr>
          <w:rFonts w:hint="cs"/>
          <w:sz w:val="16"/>
          <w:szCs w:val="16"/>
          <w:rtl/>
        </w:rPr>
        <w:t xml:space="preserve">  (דרכ"מ אות יא)</w:t>
      </w:r>
    </w:p>
    <w:p w14:paraId="14A09A06" w14:textId="77777777" w:rsidR="002C39F4" w:rsidRPr="006D7F2D" w:rsidRDefault="002C39F4" w:rsidP="0032102C">
      <w:pPr>
        <w:pStyle w:val="a8"/>
        <w:numPr>
          <w:ilvl w:val="0"/>
          <w:numId w:val="307"/>
        </w:numPr>
      </w:pPr>
      <w:r>
        <w:rPr>
          <w:rFonts w:cs="Arial" w:hint="cs"/>
          <w:rtl/>
        </w:rPr>
        <w:t>או</w:t>
      </w:r>
      <w:r>
        <w:rPr>
          <w:rFonts w:cs="Arial"/>
          <w:rtl/>
        </w:rPr>
        <w:t>"</w:t>
      </w:r>
      <w:r>
        <w:rPr>
          <w:rFonts w:cs="Arial" w:hint="cs"/>
          <w:rtl/>
        </w:rPr>
        <w:t>ה</w:t>
      </w:r>
      <w:r w:rsidRPr="006D7F2D">
        <w:rPr>
          <w:rFonts w:cs="Arial"/>
          <w:sz w:val="16"/>
          <w:szCs w:val="16"/>
          <w:rtl/>
        </w:rPr>
        <w:t xml:space="preserve"> (כלל נח דין צא-צב)</w:t>
      </w:r>
      <w:r>
        <w:rPr>
          <w:rFonts w:cs="Arial" w:hint="cs"/>
          <w:rtl/>
        </w:rPr>
        <w:t>-</w:t>
      </w:r>
      <w:r w:rsidRPr="00AE3CB7">
        <w:rPr>
          <w:rFonts w:cs="Arial"/>
          <w:rtl/>
        </w:rPr>
        <w:t xml:space="preserve"> </w:t>
      </w:r>
      <w:r w:rsidRPr="007D002E">
        <w:rPr>
          <w:rFonts w:cs="Arial"/>
          <w:rtl/>
        </w:rPr>
        <w:t xml:space="preserve">ישראל וגוי שקנו כלי בשותפות אין צריך טבילה. </w:t>
      </w:r>
      <w:r w:rsidRPr="002B62EA">
        <w:rPr>
          <w:rFonts w:hint="cs"/>
          <w:color w:val="00B0F0"/>
          <w:rtl/>
        </w:rPr>
        <w:t>(וכ"פ הרמ"א)</w:t>
      </w:r>
    </w:p>
    <w:p w14:paraId="7041995D" w14:textId="77777777" w:rsidR="002C39F4" w:rsidRPr="00C538B5" w:rsidRDefault="002C39F4" w:rsidP="002C39F4">
      <w:pPr>
        <w:rPr>
          <w:u w:val="single"/>
        </w:rPr>
      </w:pPr>
      <w:r w:rsidRPr="00C538B5">
        <w:rPr>
          <w:rFonts w:cs="Arial"/>
          <w:u w:val="single"/>
          <w:rtl/>
        </w:rPr>
        <w:t>שר</w:t>
      </w:r>
      <w:r w:rsidRPr="00C538B5">
        <w:rPr>
          <w:rFonts w:cs="Arial" w:hint="cs"/>
          <w:u w:val="single"/>
          <w:rtl/>
        </w:rPr>
        <w:t>/</w:t>
      </w:r>
      <w:r w:rsidRPr="00C538B5">
        <w:rPr>
          <w:rFonts w:cs="Arial"/>
          <w:u w:val="single"/>
          <w:rtl/>
        </w:rPr>
        <w:t>מושל שאנס כלים מיד ישראל ואח</w:t>
      </w:r>
      <w:r w:rsidRPr="00C538B5">
        <w:rPr>
          <w:rFonts w:cs="Arial" w:hint="cs"/>
          <w:u w:val="single"/>
          <w:rtl/>
        </w:rPr>
        <w:t>"</w:t>
      </w:r>
      <w:r w:rsidRPr="00C538B5">
        <w:rPr>
          <w:rFonts w:cs="Arial"/>
          <w:u w:val="single"/>
          <w:rtl/>
        </w:rPr>
        <w:t>כ החזיר</w:t>
      </w:r>
      <w:r w:rsidRPr="00C538B5">
        <w:rPr>
          <w:rFonts w:cs="Arial" w:hint="cs"/>
          <w:u w:val="single"/>
          <w:rtl/>
        </w:rPr>
        <w:t xml:space="preserve"> לו:</w:t>
      </w:r>
      <w:r>
        <w:rPr>
          <w:rFonts w:hint="cs"/>
          <w:sz w:val="16"/>
          <w:szCs w:val="16"/>
          <w:rtl/>
        </w:rPr>
        <w:t xml:space="preserve">  (דרכ"מ אות יא)</w:t>
      </w:r>
    </w:p>
    <w:p w14:paraId="1FA5860A" w14:textId="77777777" w:rsidR="002C39F4" w:rsidRDefault="002C39F4" w:rsidP="0032102C">
      <w:pPr>
        <w:pStyle w:val="a8"/>
        <w:numPr>
          <w:ilvl w:val="0"/>
          <w:numId w:val="307"/>
        </w:numPr>
        <w:rPr>
          <w:rtl/>
        </w:rPr>
      </w:pPr>
      <w:r>
        <w:rPr>
          <w:rFonts w:cs="Arial" w:hint="cs"/>
          <w:rtl/>
        </w:rPr>
        <w:t xml:space="preserve">או"ה </w:t>
      </w:r>
      <w:r>
        <w:rPr>
          <w:rFonts w:cs="Arial" w:hint="cs"/>
          <w:sz w:val="16"/>
          <w:szCs w:val="16"/>
          <w:rtl/>
        </w:rPr>
        <w:t>(שם)</w:t>
      </w:r>
      <w:r>
        <w:rPr>
          <w:rFonts w:cs="Arial" w:hint="cs"/>
          <w:rtl/>
        </w:rPr>
        <w:t xml:space="preserve">- </w:t>
      </w:r>
      <w:r w:rsidRPr="007D002E">
        <w:rPr>
          <w:rFonts w:cs="Arial"/>
          <w:rtl/>
        </w:rPr>
        <w:t>שר ומושל שאנס כלים מיד ישראל ואח</w:t>
      </w:r>
      <w:r>
        <w:rPr>
          <w:rFonts w:cs="Arial" w:hint="cs"/>
          <w:rtl/>
        </w:rPr>
        <w:t>"</w:t>
      </w:r>
      <w:r w:rsidRPr="007D002E">
        <w:rPr>
          <w:rFonts w:cs="Arial"/>
          <w:rtl/>
        </w:rPr>
        <w:t>כ החזיר אפילו בחנם צריכין טבילה</w:t>
      </w:r>
      <w:r>
        <w:rPr>
          <w:rFonts w:cs="Arial" w:hint="cs"/>
          <w:rtl/>
        </w:rPr>
        <w:t>,</w:t>
      </w:r>
      <w:r w:rsidRPr="007D002E">
        <w:rPr>
          <w:rFonts w:cs="Arial"/>
          <w:rtl/>
        </w:rPr>
        <w:t xml:space="preserve"> דהואיל ולקחם ממנו בחזקה ואונס הוי כשלו וכשהחזירן הוי כאילו קנה הישראל ממנו</w:t>
      </w:r>
      <w:r>
        <w:rPr>
          <w:rFonts w:cs="Arial" w:hint="cs"/>
          <w:rtl/>
        </w:rPr>
        <w:t>,</w:t>
      </w:r>
      <w:r w:rsidRPr="007D002E">
        <w:rPr>
          <w:rFonts w:cs="Arial"/>
          <w:rtl/>
        </w:rPr>
        <w:t xml:space="preserve"> אבל אם נגזל ממנו בשדה או נגנב</w:t>
      </w:r>
      <w:r>
        <w:rPr>
          <w:rFonts w:cs="Arial" w:hint="cs"/>
          <w:rtl/>
        </w:rPr>
        <w:t>,</w:t>
      </w:r>
      <w:r w:rsidRPr="007D002E">
        <w:rPr>
          <w:rFonts w:cs="Arial"/>
          <w:rtl/>
        </w:rPr>
        <w:t xml:space="preserve"> אע</w:t>
      </w:r>
      <w:r>
        <w:rPr>
          <w:rFonts w:cs="Arial" w:hint="cs"/>
          <w:rtl/>
        </w:rPr>
        <w:t>"</w:t>
      </w:r>
      <w:r w:rsidRPr="007D002E">
        <w:rPr>
          <w:rFonts w:cs="Arial"/>
          <w:rtl/>
        </w:rPr>
        <w:t>פ שנתייאש ממנו לגמרי</w:t>
      </w:r>
      <w:r>
        <w:rPr>
          <w:rFonts w:cs="Arial" w:hint="cs"/>
          <w:rtl/>
        </w:rPr>
        <w:t>,</w:t>
      </w:r>
      <w:r w:rsidRPr="007D002E">
        <w:rPr>
          <w:rFonts w:cs="Arial"/>
          <w:rtl/>
        </w:rPr>
        <w:t xml:space="preserve"> מאחר שגנב וגזלן אין רשאי להחזיק בו בפרסום לא נקרא שם גוי עליו וא</w:t>
      </w:r>
      <w:r>
        <w:rPr>
          <w:rFonts w:cs="Arial" w:hint="cs"/>
          <w:rtl/>
        </w:rPr>
        <w:t>"</w:t>
      </w:r>
      <w:r w:rsidRPr="007D002E">
        <w:rPr>
          <w:rFonts w:cs="Arial"/>
          <w:rtl/>
        </w:rPr>
        <w:t>צ טבילה</w:t>
      </w:r>
      <w:r>
        <w:rPr>
          <w:rFonts w:hint="cs"/>
          <w:rtl/>
        </w:rPr>
        <w:t>.</w:t>
      </w:r>
      <w:r w:rsidRPr="002B62EA">
        <w:rPr>
          <w:rFonts w:hint="cs"/>
          <w:color w:val="00B0F0"/>
          <w:rtl/>
        </w:rPr>
        <w:t xml:space="preserve"> (וכ"פ הרמ"א)</w:t>
      </w:r>
    </w:p>
    <w:p w14:paraId="2C13EDD9"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3986ADD" w14:textId="77777777" w:rsidR="002C39F4" w:rsidRDefault="002C39F4" w:rsidP="002C39F4">
      <w:pPr>
        <w:rPr>
          <w:rFonts w:asciiTheme="minorBidi" w:hAnsiTheme="minorBidi"/>
          <w:rtl/>
        </w:rPr>
      </w:pPr>
      <w:r w:rsidRPr="003024E5">
        <w:rPr>
          <w:rFonts w:asciiTheme="minorBidi" w:hAnsiTheme="minorBidi"/>
          <w:rtl/>
        </w:rPr>
        <w:t xml:space="preserve">ישראל שמכר כלי </w:t>
      </w:r>
      <w:r>
        <w:rPr>
          <w:rFonts w:asciiTheme="minorBidi" w:hAnsiTheme="minorBidi" w:hint="cs"/>
          <w:rtl/>
        </w:rPr>
        <w:t>לגוי</w:t>
      </w:r>
      <w:r w:rsidRPr="003024E5">
        <w:rPr>
          <w:rFonts w:asciiTheme="minorBidi" w:hAnsiTheme="minorBidi"/>
          <w:rtl/>
        </w:rPr>
        <w:t xml:space="preserve"> וחזר ולקחו ממנו</w:t>
      </w:r>
      <w:r>
        <w:rPr>
          <w:rFonts w:asciiTheme="minorBidi" w:hAnsiTheme="minorBidi" w:hint="cs"/>
          <w:rtl/>
        </w:rPr>
        <w:t>,</w:t>
      </w:r>
      <w:r w:rsidRPr="003024E5">
        <w:rPr>
          <w:rFonts w:asciiTheme="minorBidi" w:hAnsiTheme="minorBidi"/>
          <w:rtl/>
        </w:rPr>
        <w:t xml:space="preserve"> צריך טבילה. אבל אם משכנו בידו וחזר ופדאו ממנו, אינו צריך טבילה</w:t>
      </w:r>
      <w:r>
        <w:rPr>
          <w:rStyle w:val="a7"/>
          <w:rFonts w:cs="Arial"/>
          <w:rtl/>
        </w:rPr>
        <w:footnoteReference w:id="2927"/>
      </w:r>
      <w:r w:rsidRPr="003024E5">
        <w:rPr>
          <w:rFonts w:asciiTheme="minorBidi" w:hAnsiTheme="minorBidi"/>
          <w:rtl/>
        </w:rPr>
        <w:t xml:space="preserve">. </w:t>
      </w:r>
      <w:r w:rsidRPr="00002062">
        <w:rPr>
          <w:rFonts w:asciiTheme="minorBidi" w:hAnsiTheme="minorBidi"/>
          <w:sz w:val="18"/>
          <w:szCs w:val="18"/>
          <w:rtl/>
        </w:rPr>
        <w:t xml:space="preserve">הגה: ישראל </w:t>
      </w:r>
      <w:r>
        <w:rPr>
          <w:rFonts w:asciiTheme="minorBidi" w:hAnsiTheme="minorBidi" w:hint="cs"/>
          <w:sz w:val="18"/>
          <w:szCs w:val="18"/>
          <w:rtl/>
        </w:rPr>
        <w:t>וגוי</w:t>
      </w:r>
      <w:r w:rsidRPr="00002062">
        <w:rPr>
          <w:rFonts w:asciiTheme="minorBidi" w:hAnsiTheme="minorBidi"/>
          <w:sz w:val="18"/>
          <w:szCs w:val="18"/>
          <w:rtl/>
        </w:rPr>
        <w:t xml:space="preserve"> שקנאו כלי בשותפות, אין צריך טבילה. ישראל שגנבו או גזלו ממנו כליו והוחזרו לו, אין צריך טבילה</w:t>
      </w:r>
      <w:r>
        <w:rPr>
          <w:rFonts w:asciiTheme="minorBidi" w:hAnsiTheme="minorBidi" w:hint="cs"/>
          <w:sz w:val="18"/>
          <w:szCs w:val="18"/>
          <w:rtl/>
        </w:rPr>
        <w:t>.</w:t>
      </w:r>
      <w:r w:rsidRPr="00002062">
        <w:rPr>
          <w:rFonts w:asciiTheme="minorBidi" w:hAnsiTheme="minorBidi"/>
          <w:sz w:val="18"/>
          <w:szCs w:val="18"/>
          <w:rtl/>
        </w:rPr>
        <w:t xml:space="preserve"> אבל שר או מושל שאנסו ישראל ולקחו כליו והוחזרו לו, צריכין טבילה, דכבר נשתקעו ביד ה</w:t>
      </w:r>
      <w:r>
        <w:rPr>
          <w:rFonts w:asciiTheme="minorBidi" w:hAnsiTheme="minorBidi" w:hint="cs"/>
          <w:sz w:val="18"/>
          <w:szCs w:val="18"/>
          <w:rtl/>
        </w:rPr>
        <w:t>גוי</w:t>
      </w:r>
      <w:r>
        <w:rPr>
          <w:rStyle w:val="a7"/>
          <w:rFonts w:asciiTheme="minorBidi" w:hAnsiTheme="minorBidi"/>
          <w:sz w:val="18"/>
          <w:szCs w:val="18"/>
          <w:rtl/>
        </w:rPr>
        <w:footnoteReference w:id="2928"/>
      </w:r>
      <w:r w:rsidRPr="00002062">
        <w:rPr>
          <w:rFonts w:asciiTheme="minorBidi" w:hAnsiTheme="minorBidi"/>
          <w:sz w:val="18"/>
          <w:szCs w:val="18"/>
          <w:rtl/>
        </w:rPr>
        <w:t xml:space="preserve"> (ארוך).</w:t>
      </w:r>
    </w:p>
    <w:p w14:paraId="59484945" w14:textId="77777777" w:rsidR="002C39F4" w:rsidRPr="003024E5" w:rsidRDefault="002C39F4" w:rsidP="002C39F4">
      <w:pPr>
        <w:rPr>
          <w:rFonts w:asciiTheme="minorBidi" w:hAnsiTheme="minorBidi"/>
          <w:rtl/>
        </w:rPr>
      </w:pPr>
      <w:r w:rsidRPr="003024E5">
        <w:rPr>
          <w:rFonts w:asciiTheme="minorBidi" w:hAnsiTheme="minorBidi"/>
          <w:rtl/>
        </w:rPr>
        <w:t xml:space="preserve"> </w:t>
      </w:r>
    </w:p>
    <w:p w14:paraId="452FC39E" w14:textId="77777777" w:rsidR="002C39F4" w:rsidRDefault="002C39F4" w:rsidP="002C39F4">
      <w:pPr>
        <w:pStyle w:val="2"/>
        <w:rPr>
          <w:rFonts w:asciiTheme="minorBidi" w:hAnsiTheme="minorBidi"/>
          <w:rtl/>
        </w:rPr>
      </w:pPr>
      <w:r w:rsidRPr="003024E5">
        <w:rPr>
          <w:rFonts w:asciiTheme="minorBidi" w:hAnsiTheme="minorBidi"/>
          <w:rtl/>
        </w:rPr>
        <w:t>סעיף יב</w:t>
      </w:r>
      <w:r>
        <w:rPr>
          <w:rFonts w:asciiTheme="minorBidi" w:hAnsiTheme="minorBidi" w:hint="cs"/>
          <w:rtl/>
        </w:rPr>
        <w:t>: טבילת ידי הכלי.</w:t>
      </w:r>
    </w:p>
    <w:p w14:paraId="54705F49" w14:textId="77777777" w:rsidR="002C39F4" w:rsidRPr="009C5A47" w:rsidRDefault="002C39F4" w:rsidP="002C39F4">
      <w:pPr>
        <w:rPr>
          <w:rFonts w:cs="Arial"/>
          <w:u w:val="single"/>
          <w:rtl/>
        </w:rPr>
      </w:pPr>
      <w:r w:rsidRPr="009C5A47">
        <w:rPr>
          <w:rFonts w:cs="Arial" w:hint="cs"/>
          <w:u w:val="single"/>
          <w:rtl/>
        </w:rPr>
        <w:t>טבילת ידי הכלי:</w:t>
      </w:r>
    </w:p>
    <w:p w14:paraId="76045A05" w14:textId="77777777" w:rsidR="002C39F4" w:rsidRPr="00002062" w:rsidRDefault="002C39F4" w:rsidP="0032102C">
      <w:pPr>
        <w:pStyle w:val="a8"/>
        <w:numPr>
          <w:ilvl w:val="0"/>
          <w:numId w:val="307"/>
        </w:numPr>
        <w:rPr>
          <w:rtl/>
        </w:rPr>
      </w:pPr>
      <w:r w:rsidRPr="009C5A47">
        <w:rPr>
          <w:rFonts w:cs="Arial"/>
          <w:rtl/>
        </w:rPr>
        <w:t xml:space="preserve">מרדכי </w:t>
      </w:r>
      <w:r w:rsidRPr="009C5A47">
        <w:rPr>
          <w:rFonts w:cs="Arial"/>
          <w:sz w:val="16"/>
          <w:szCs w:val="16"/>
          <w:rtl/>
        </w:rPr>
        <w:t>(סי' תתנט בהג"ה)</w:t>
      </w:r>
      <w:r w:rsidRPr="009C5A47">
        <w:rPr>
          <w:rFonts w:cs="Arial" w:hint="cs"/>
          <w:rtl/>
        </w:rPr>
        <w:t xml:space="preserve">- </w:t>
      </w:r>
      <w:r w:rsidRPr="009C5A47">
        <w:rPr>
          <w:rFonts w:cs="Arial"/>
          <w:rtl/>
        </w:rPr>
        <w:t>צריך להטביל ידי הכלי</w:t>
      </w:r>
      <w:r w:rsidRPr="009C5A47">
        <w:rPr>
          <w:rFonts w:cs="Arial" w:hint="cs"/>
          <w:rtl/>
        </w:rPr>
        <w:t>,</w:t>
      </w:r>
      <w:r w:rsidRPr="009C5A47">
        <w:rPr>
          <w:rFonts w:cs="Arial"/>
          <w:rtl/>
        </w:rPr>
        <w:t xml:space="preserve"> דמה לי ידיו מה לי בית תשמישו</w:t>
      </w:r>
      <w:r w:rsidRPr="009C5A47">
        <w:rPr>
          <w:rFonts w:cs="Arial" w:hint="cs"/>
          <w:rtl/>
        </w:rPr>
        <w:t>,</w:t>
      </w:r>
      <w:r w:rsidRPr="009C5A47">
        <w:rPr>
          <w:rFonts w:cs="Arial"/>
          <w:rtl/>
        </w:rPr>
        <w:t xml:space="preserve"> הא לאו בפליטת איסור תליא מילתא דהא אפילו חדשים צריכין טבילה. </w:t>
      </w:r>
    </w:p>
    <w:p w14:paraId="1FFE5E3D"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C721DB4" w14:textId="77777777" w:rsidR="002C39F4" w:rsidRDefault="002C39F4" w:rsidP="002C39F4">
      <w:pPr>
        <w:rPr>
          <w:rFonts w:asciiTheme="minorBidi" w:hAnsiTheme="minorBidi"/>
          <w:rtl/>
        </w:rPr>
      </w:pPr>
      <w:r w:rsidRPr="003024E5">
        <w:rPr>
          <w:rFonts w:asciiTheme="minorBidi" w:hAnsiTheme="minorBidi"/>
          <w:rtl/>
        </w:rPr>
        <w:t xml:space="preserve">צריך להטביל ידי הכלי. </w:t>
      </w:r>
    </w:p>
    <w:p w14:paraId="40EA7089" w14:textId="77777777" w:rsidR="002C39F4" w:rsidRPr="003024E5" w:rsidRDefault="002C39F4" w:rsidP="002C39F4">
      <w:pPr>
        <w:rPr>
          <w:rFonts w:asciiTheme="minorBidi" w:hAnsiTheme="minorBidi"/>
          <w:rtl/>
        </w:rPr>
      </w:pPr>
    </w:p>
    <w:p w14:paraId="7CEC1234" w14:textId="77777777" w:rsidR="002C39F4" w:rsidRDefault="002C39F4" w:rsidP="002C39F4">
      <w:pPr>
        <w:pStyle w:val="2"/>
        <w:rPr>
          <w:rFonts w:asciiTheme="minorBidi" w:hAnsiTheme="minorBidi"/>
          <w:rtl/>
        </w:rPr>
      </w:pPr>
      <w:r w:rsidRPr="003024E5">
        <w:rPr>
          <w:rFonts w:asciiTheme="minorBidi" w:hAnsiTheme="minorBidi"/>
          <w:rtl/>
        </w:rPr>
        <w:t>סעיף יג</w:t>
      </w:r>
      <w:r>
        <w:rPr>
          <w:rFonts w:asciiTheme="minorBidi" w:hAnsiTheme="minorBidi" w:hint="cs"/>
          <w:rtl/>
        </w:rPr>
        <w:t>: חלודה.</w:t>
      </w:r>
    </w:p>
    <w:p w14:paraId="07835E50" w14:textId="77777777" w:rsidR="002C39F4" w:rsidRPr="00E85D61" w:rsidRDefault="002C39F4" w:rsidP="002C39F4">
      <w:pPr>
        <w:rPr>
          <w:rFonts w:cs="Arial"/>
        </w:rPr>
      </w:pPr>
      <w:r w:rsidRPr="00E85D61">
        <w:rPr>
          <w:rFonts w:cs="Arial" w:hint="cs"/>
          <w:b/>
          <w:bCs/>
          <w:rtl/>
        </w:rPr>
        <w:t>ספרי זוטא לא כב:</w:t>
      </w:r>
      <w:r w:rsidRPr="00E85D61">
        <w:rPr>
          <w:rFonts w:cs="Arial"/>
          <w:rtl/>
        </w:rPr>
        <w:t xml:space="preserve"> אך את הזהב, אמר אך לחלוק חלודה שלהן</w:t>
      </w:r>
      <w:r w:rsidRPr="00E85D61">
        <w:rPr>
          <w:rFonts w:cs="Arial" w:hint="cs"/>
          <w:rtl/>
        </w:rPr>
        <w:t>.</w:t>
      </w:r>
    </w:p>
    <w:p w14:paraId="55C5DBA2" w14:textId="77777777" w:rsidR="002C39F4" w:rsidRPr="00E85D61" w:rsidRDefault="002C39F4" w:rsidP="002C39F4">
      <w:pPr>
        <w:rPr>
          <w:rFonts w:cs="Arial"/>
          <w:sz w:val="16"/>
          <w:szCs w:val="16"/>
          <w:u w:val="single"/>
          <w:rtl/>
        </w:rPr>
      </w:pPr>
      <w:r w:rsidRPr="004177E2">
        <w:rPr>
          <w:rFonts w:cs="Arial" w:hint="cs"/>
          <w:u w:val="single"/>
          <w:rtl/>
        </w:rPr>
        <w:t>כלי מתכות שהעלו חלודה:</w:t>
      </w:r>
      <w:r w:rsidRPr="00E85D61">
        <w:rPr>
          <w:rFonts w:cs="Arial" w:hint="cs"/>
          <w:sz w:val="16"/>
          <w:szCs w:val="16"/>
          <w:rtl/>
        </w:rPr>
        <w:t xml:space="preserve">  (</w:t>
      </w:r>
      <w:r>
        <w:rPr>
          <w:rFonts w:cs="Arial" w:hint="cs"/>
          <w:sz w:val="16"/>
          <w:szCs w:val="16"/>
          <w:rtl/>
        </w:rPr>
        <w:t>ב"י [כאן ובסי' רב סע' ח] ודרכ"מ [כאן אות ב])</w:t>
      </w:r>
    </w:p>
    <w:p w14:paraId="2287B503" w14:textId="77777777" w:rsidR="002C39F4" w:rsidRDefault="002C39F4" w:rsidP="0032102C">
      <w:pPr>
        <w:pStyle w:val="a8"/>
        <w:numPr>
          <w:ilvl w:val="0"/>
          <w:numId w:val="300"/>
        </w:numPr>
      </w:pPr>
      <w:bookmarkStart w:id="18" w:name="_Hlk511289777"/>
      <w:r w:rsidRPr="009C5A47">
        <w:rPr>
          <w:rFonts w:cs="Arial"/>
          <w:rtl/>
        </w:rPr>
        <w:t xml:space="preserve">סמ"ג </w:t>
      </w:r>
      <w:r w:rsidRPr="009C5A47">
        <w:rPr>
          <w:rFonts w:cs="Arial"/>
          <w:sz w:val="16"/>
          <w:szCs w:val="16"/>
          <w:rtl/>
        </w:rPr>
        <w:t>(לאוין קמח נז.)</w:t>
      </w:r>
      <w:r>
        <w:rPr>
          <w:rFonts w:cs="Arial" w:hint="cs"/>
          <w:rtl/>
        </w:rPr>
        <w:t>-</w:t>
      </w:r>
      <w:r w:rsidRPr="009C5A47">
        <w:rPr>
          <w:rFonts w:cs="Arial"/>
          <w:rtl/>
        </w:rPr>
        <w:t xml:space="preserve"> כתב מורי</w:t>
      </w:r>
      <w:r w:rsidRPr="009C5A47">
        <w:rPr>
          <w:rtl/>
        </w:rPr>
        <w:t xml:space="preserve"> </w:t>
      </w:r>
      <w:r w:rsidRPr="009C5A47">
        <w:rPr>
          <w:rFonts w:cs="Arial" w:hint="cs"/>
          <w:sz w:val="16"/>
          <w:szCs w:val="16"/>
          <w:rtl/>
        </w:rPr>
        <w:t xml:space="preserve">{כנראה </w:t>
      </w:r>
      <w:r w:rsidRPr="009C5A47">
        <w:rPr>
          <w:rFonts w:cs="Arial"/>
          <w:sz w:val="16"/>
          <w:szCs w:val="16"/>
          <w:rtl/>
        </w:rPr>
        <w:t>ר' יהודה בן יצחק סירליאון</w:t>
      </w:r>
      <w:r w:rsidRPr="009C5A47">
        <w:rPr>
          <w:rFonts w:cs="Arial" w:hint="cs"/>
          <w:sz w:val="16"/>
          <w:szCs w:val="16"/>
          <w:rtl/>
        </w:rPr>
        <w:t>}</w:t>
      </w:r>
      <w:r w:rsidRPr="009C5A47">
        <w:rPr>
          <w:rFonts w:cs="Arial"/>
          <w:rtl/>
        </w:rPr>
        <w:t xml:space="preserve"> דבספרי תניא המטביל סכין צריך להעביר חלודה וטעמא אומר ר</w:t>
      </w:r>
      <w:r w:rsidRPr="009C5A47">
        <w:rPr>
          <w:rFonts w:cs="Arial" w:hint="cs"/>
          <w:rtl/>
        </w:rPr>
        <w:t>בינו יצחק</w:t>
      </w:r>
      <w:r w:rsidRPr="009C5A47">
        <w:rPr>
          <w:rFonts w:cs="Arial"/>
          <w:rtl/>
        </w:rPr>
        <w:t xml:space="preserve"> משום חציצה ובמקפיד עליה</w:t>
      </w:r>
      <w:r w:rsidRPr="009C5A47">
        <w:rPr>
          <w:rFonts w:cs="Arial" w:hint="cs"/>
          <w:rtl/>
        </w:rPr>
        <w:t>.</w:t>
      </w:r>
      <w:r w:rsidRPr="009C5A47">
        <w:rPr>
          <w:rFonts w:cs="Arial"/>
          <w:rtl/>
        </w:rPr>
        <w:t xml:space="preserve"> </w:t>
      </w:r>
      <w:r w:rsidRPr="00F147CE">
        <w:rPr>
          <w:rFonts w:hint="cs"/>
          <w:color w:val="E36C0A" w:themeColor="accent6" w:themeShade="BF"/>
          <w:rtl/>
        </w:rPr>
        <w:t>(וכ"פ בשו"ע</w:t>
      </w:r>
      <w:r>
        <w:rPr>
          <w:rFonts w:hint="cs"/>
          <w:color w:val="E36C0A" w:themeColor="accent6" w:themeShade="BF"/>
          <w:rtl/>
        </w:rPr>
        <w:t>)</w:t>
      </w:r>
    </w:p>
    <w:p w14:paraId="4B3801CA" w14:textId="77777777" w:rsidR="002C39F4" w:rsidRPr="005971D9" w:rsidRDefault="002C39F4" w:rsidP="002C39F4">
      <w:pPr>
        <w:ind w:left="360"/>
        <w:rPr>
          <w:u w:val="dotted"/>
          <w:rtl/>
        </w:rPr>
      </w:pPr>
      <w:r w:rsidRPr="005971D9">
        <w:rPr>
          <w:rFonts w:hint="cs"/>
          <w:u w:val="dotted"/>
          <w:rtl/>
        </w:rPr>
        <w:t>ומה הדין אם ניסה להעביר את החלודה אך לא הצליח:</w:t>
      </w:r>
    </w:p>
    <w:p w14:paraId="3EA98A15" w14:textId="77777777" w:rsidR="002C39F4" w:rsidRDefault="002C39F4" w:rsidP="0032102C">
      <w:pPr>
        <w:pStyle w:val="a8"/>
        <w:numPr>
          <w:ilvl w:val="0"/>
          <w:numId w:val="301"/>
        </w:numPr>
      </w:pPr>
      <w:r>
        <w:rPr>
          <w:rFonts w:cs="Arial" w:hint="cs"/>
          <w:rtl/>
        </w:rPr>
        <w:t xml:space="preserve">ר"ש </w:t>
      </w:r>
      <w:r w:rsidRPr="004177E2">
        <w:rPr>
          <w:rFonts w:cs="Arial" w:hint="cs"/>
          <w:rtl/>
        </w:rPr>
        <w:t>א"</w:t>
      </w:r>
      <w:r>
        <w:rPr>
          <w:rFonts w:cs="Arial" w:hint="cs"/>
          <w:rtl/>
        </w:rPr>
        <w:t xml:space="preserve">ח </w:t>
      </w:r>
      <w:r w:rsidRPr="0089728F">
        <w:rPr>
          <w:rtl/>
        </w:rPr>
        <w:t xml:space="preserve">מרדכי </w:t>
      </w:r>
      <w:r>
        <w:rPr>
          <w:rFonts w:hint="cs"/>
          <w:rtl/>
        </w:rPr>
        <w:t>והגה"מ</w:t>
      </w:r>
      <w:r>
        <w:rPr>
          <w:rStyle w:val="a7"/>
          <w:rFonts w:cs="Arial"/>
          <w:rtl/>
        </w:rPr>
        <w:footnoteReference w:id="2929"/>
      </w:r>
      <w:r>
        <w:rPr>
          <w:rFonts w:cs="Arial" w:hint="cs"/>
          <w:rtl/>
        </w:rPr>
        <w:t>- "</w:t>
      </w:r>
      <w:r w:rsidRPr="004177E2">
        <w:rPr>
          <w:rFonts w:cs="Arial" w:hint="cs"/>
          <w:rtl/>
        </w:rPr>
        <w:t>כלי</w:t>
      </w:r>
      <w:r w:rsidRPr="004177E2">
        <w:rPr>
          <w:rFonts w:cs="Arial"/>
          <w:rtl/>
        </w:rPr>
        <w:t xml:space="preserve"> </w:t>
      </w:r>
      <w:r w:rsidRPr="004177E2">
        <w:rPr>
          <w:rFonts w:cs="Arial" w:hint="cs"/>
          <w:rtl/>
        </w:rPr>
        <w:t>מתכות</w:t>
      </w:r>
      <w:r w:rsidRPr="004177E2">
        <w:rPr>
          <w:rFonts w:cs="Arial"/>
          <w:rtl/>
        </w:rPr>
        <w:t xml:space="preserve"> </w:t>
      </w:r>
      <w:r w:rsidRPr="004177E2">
        <w:rPr>
          <w:rFonts w:cs="Arial" w:hint="cs"/>
          <w:rtl/>
        </w:rPr>
        <w:t>שהעלו</w:t>
      </w:r>
      <w:r w:rsidRPr="004177E2">
        <w:rPr>
          <w:rFonts w:cs="Arial"/>
          <w:rtl/>
        </w:rPr>
        <w:t xml:space="preserve"> </w:t>
      </w:r>
      <w:r w:rsidRPr="004177E2">
        <w:rPr>
          <w:rFonts w:cs="Arial" w:hint="cs"/>
          <w:rtl/>
        </w:rPr>
        <w:t>חלודה</w:t>
      </w:r>
      <w:r w:rsidRPr="004177E2">
        <w:rPr>
          <w:rFonts w:cs="Arial"/>
          <w:rtl/>
        </w:rPr>
        <w:t xml:space="preserve"> </w:t>
      </w:r>
      <w:r w:rsidRPr="004177E2">
        <w:rPr>
          <w:rFonts w:cs="Arial" w:hint="cs"/>
          <w:rtl/>
        </w:rPr>
        <w:t>ואינם</w:t>
      </w:r>
      <w:r w:rsidRPr="004177E2">
        <w:rPr>
          <w:rFonts w:cs="Arial"/>
          <w:rtl/>
        </w:rPr>
        <w:t xml:space="preserve"> </w:t>
      </w:r>
      <w:r w:rsidRPr="004177E2">
        <w:rPr>
          <w:rFonts w:cs="Arial" w:hint="cs"/>
          <w:rtl/>
        </w:rPr>
        <w:t>יכולין</w:t>
      </w:r>
      <w:r w:rsidRPr="004177E2">
        <w:rPr>
          <w:rFonts w:cs="Arial"/>
          <w:rtl/>
        </w:rPr>
        <w:t xml:space="preserve"> </w:t>
      </w:r>
      <w:r w:rsidRPr="004177E2">
        <w:rPr>
          <w:rFonts w:cs="Arial" w:hint="cs"/>
          <w:rtl/>
        </w:rPr>
        <w:t>להעבירה</w:t>
      </w:r>
      <w:r w:rsidRPr="004177E2">
        <w:rPr>
          <w:rFonts w:cs="Arial"/>
          <w:rtl/>
        </w:rPr>
        <w:t xml:space="preserve"> </w:t>
      </w:r>
      <w:r w:rsidRPr="004177E2">
        <w:rPr>
          <w:rFonts w:cs="Arial" w:hint="cs"/>
          <w:rtl/>
        </w:rPr>
        <w:t>לא</w:t>
      </w:r>
      <w:r w:rsidRPr="004177E2">
        <w:rPr>
          <w:rFonts w:cs="Arial"/>
          <w:rtl/>
        </w:rPr>
        <w:t xml:space="preserve"> </w:t>
      </w:r>
      <w:r>
        <w:rPr>
          <w:rFonts w:cs="Arial" w:hint="cs"/>
          <w:rtl/>
        </w:rPr>
        <w:t>ע"</w:t>
      </w:r>
      <w:r w:rsidRPr="004177E2">
        <w:rPr>
          <w:rFonts w:cs="Arial" w:hint="cs"/>
          <w:rtl/>
        </w:rPr>
        <w:t>י</w:t>
      </w:r>
      <w:r w:rsidRPr="004177E2">
        <w:rPr>
          <w:rFonts w:cs="Arial"/>
          <w:rtl/>
        </w:rPr>
        <w:t xml:space="preserve"> </w:t>
      </w:r>
      <w:r w:rsidRPr="004177E2">
        <w:rPr>
          <w:rFonts w:cs="Arial" w:hint="cs"/>
          <w:rtl/>
        </w:rPr>
        <w:t>שפשוף</w:t>
      </w:r>
      <w:r w:rsidRPr="004177E2">
        <w:rPr>
          <w:rFonts w:cs="Arial"/>
          <w:rtl/>
        </w:rPr>
        <w:t xml:space="preserve"> </w:t>
      </w:r>
      <w:r w:rsidRPr="004177E2">
        <w:rPr>
          <w:rFonts w:cs="Arial" w:hint="cs"/>
          <w:rtl/>
        </w:rPr>
        <w:t>ולא</w:t>
      </w:r>
      <w:r w:rsidRPr="004177E2">
        <w:rPr>
          <w:rFonts w:cs="Arial"/>
          <w:rtl/>
        </w:rPr>
        <w:t xml:space="preserve"> </w:t>
      </w:r>
      <w:r>
        <w:rPr>
          <w:rFonts w:cs="Arial" w:hint="cs"/>
          <w:rtl/>
        </w:rPr>
        <w:t>ע"</w:t>
      </w:r>
      <w:r w:rsidRPr="004177E2">
        <w:rPr>
          <w:rFonts w:cs="Arial" w:hint="cs"/>
          <w:rtl/>
        </w:rPr>
        <w:t>י</w:t>
      </w:r>
      <w:r w:rsidRPr="004177E2">
        <w:rPr>
          <w:rFonts w:cs="Arial"/>
          <w:rtl/>
        </w:rPr>
        <w:t xml:space="preserve"> </w:t>
      </w:r>
      <w:r w:rsidRPr="004177E2">
        <w:rPr>
          <w:rFonts w:cs="Arial" w:hint="cs"/>
          <w:rtl/>
        </w:rPr>
        <w:t>גחלים</w:t>
      </w:r>
      <w:r w:rsidRPr="004177E2">
        <w:rPr>
          <w:rFonts w:cs="Arial"/>
          <w:rtl/>
        </w:rPr>
        <w:t xml:space="preserve"> </w:t>
      </w:r>
      <w:r w:rsidRPr="004177E2">
        <w:rPr>
          <w:rFonts w:cs="Arial" w:hint="cs"/>
          <w:rtl/>
        </w:rPr>
        <w:t>שלא</w:t>
      </w:r>
      <w:r w:rsidRPr="004177E2">
        <w:rPr>
          <w:rFonts w:cs="Arial"/>
          <w:rtl/>
        </w:rPr>
        <w:t xml:space="preserve"> </w:t>
      </w:r>
      <w:r w:rsidRPr="004177E2">
        <w:rPr>
          <w:rFonts w:cs="Arial" w:hint="cs"/>
          <w:rtl/>
        </w:rPr>
        <w:t>ישאר</w:t>
      </w:r>
      <w:r w:rsidRPr="004177E2">
        <w:rPr>
          <w:rFonts w:cs="Arial"/>
          <w:rtl/>
        </w:rPr>
        <w:t xml:space="preserve"> </w:t>
      </w:r>
      <w:r w:rsidRPr="004177E2">
        <w:rPr>
          <w:rFonts w:cs="Arial" w:hint="cs"/>
          <w:rtl/>
        </w:rPr>
        <w:t>בה</w:t>
      </w:r>
      <w:r w:rsidRPr="004177E2">
        <w:rPr>
          <w:rFonts w:cs="Arial"/>
          <w:rtl/>
        </w:rPr>
        <w:t xml:space="preserve"> </w:t>
      </w:r>
      <w:r w:rsidRPr="004177E2">
        <w:rPr>
          <w:rFonts w:cs="Arial" w:hint="cs"/>
          <w:rtl/>
        </w:rPr>
        <w:t>מעט</w:t>
      </w:r>
      <w:r w:rsidRPr="004177E2">
        <w:rPr>
          <w:rFonts w:cs="Arial"/>
          <w:rtl/>
        </w:rPr>
        <w:t xml:space="preserve"> </w:t>
      </w:r>
      <w:r w:rsidRPr="004177E2">
        <w:rPr>
          <w:rFonts w:cs="Arial" w:hint="cs"/>
          <w:rtl/>
        </w:rPr>
        <w:t>הוי</w:t>
      </w:r>
      <w:r w:rsidRPr="004177E2">
        <w:rPr>
          <w:rFonts w:cs="Arial"/>
          <w:rtl/>
        </w:rPr>
        <w:t xml:space="preserve"> </w:t>
      </w:r>
      <w:r w:rsidRPr="004177E2">
        <w:rPr>
          <w:rFonts w:cs="Arial" w:hint="cs"/>
          <w:rtl/>
        </w:rPr>
        <w:t>ליה</w:t>
      </w:r>
      <w:r w:rsidRPr="004177E2">
        <w:rPr>
          <w:rFonts w:cs="Arial"/>
          <w:rtl/>
        </w:rPr>
        <w:t xml:space="preserve"> </w:t>
      </w:r>
      <w:r w:rsidRPr="004177E2">
        <w:rPr>
          <w:rFonts w:cs="Arial" w:hint="cs"/>
          <w:rtl/>
        </w:rPr>
        <w:t>מיעוטו</w:t>
      </w:r>
      <w:r w:rsidRPr="004177E2">
        <w:rPr>
          <w:rFonts w:cs="Arial"/>
          <w:rtl/>
        </w:rPr>
        <w:t xml:space="preserve"> </w:t>
      </w:r>
      <w:r w:rsidRPr="004177E2">
        <w:rPr>
          <w:rFonts w:cs="Arial" w:hint="cs"/>
          <w:rtl/>
        </w:rPr>
        <w:t>שאינו</w:t>
      </w:r>
      <w:r w:rsidRPr="004177E2">
        <w:rPr>
          <w:rFonts w:cs="Arial"/>
          <w:rtl/>
        </w:rPr>
        <w:t xml:space="preserve"> </w:t>
      </w:r>
      <w:r w:rsidRPr="004177E2">
        <w:rPr>
          <w:rFonts w:cs="Arial" w:hint="cs"/>
          <w:rtl/>
        </w:rPr>
        <w:t>מקפיד</w:t>
      </w:r>
      <w:r w:rsidRPr="004177E2">
        <w:rPr>
          <w:rFonts w:cs="Arial"/>
          <w:rtl/>
        </w:rPr>
        <w:t xml:space="preserve"> </w:t>
      </w:r>
      <w:r w:rsidRPr="004177E2">
        <w:rPr>
          <w:rFonts w:cs="Arial" w:hint="cs"/>
          <w:rtl/>
        </w:rPr>
        <w:t>ואינו</w:t>
      </w:r>
      <w:r w:rsidRPr="004177E2">
        <w:rPr>
          <w:rFonts w:cs="Arial"/>
          <w:rtl/>
        </w:rPr>
        <w:t xml:space="preserve"> </w:t>
      </w:r>
      <w:r w:rsidRPr="004177E2">
        <w:rPr>
          <w:rFonts w:cs="Arial" w:hint="cs"/>
          <w:rtl/>
        </w:rPr>
        <w:t>חוצץ</w:t>
      </w:r>
      <w:r w:rsidRPr="004177E2">
        <w:rPr>
          <w:rFonts w:cs="Arial"/>
          <w:rtl/>
        </w:rPr>
        <w:t xml:space="preserve"> </w:t>
      </w:r>
      <w:r w:rsidRPr="004177E2">
        <w:rPr>
          <w:rFonts w:cs="Arial" w:hint="cs"/>
          <w:rtl/>
        </w:rPr>
        <w:t>בטבילה</w:t>
      </w:r>
      <w:r>
        <w:rPr>
          <w:rFonts w:cs="Arial" w:hint="cs"/>
          <w:rtl/>
        </w:rPr>
        <w:t>".</w:t>
      </w:r>
      <w:r w:rsidRPr="00F147CE">
        <w:rPr>
          <w:rFonts w:hint="cs"/>
          <w:color w:val="E36C0A" w:themeColor="accent6" w:themeShade="BF"/>
          <w:rtl/>
        </w:rPr>
        <w:t xml:space="preserve"> (וכ"פ בשו"ע)</w:t>
      </w:r>
    </w:p>
    <w:p w14:paraId="09233075" w14:textId="77777777" w:rsidR="002C39F4" w:rsidRDefault="002C39F4" w:rsidP="0032102C">
      <w:pPr>
        <w:pStyle w:val="a8"/>
        <w:numPr>
          <w:ilvl w:val="0"/>
          <w:numId w:val="300"/>
        </w:numPr>
      </w:pPr>
      <w:r w:rsidRPr="0089728F">
        <w:rPr>
          <w:rtl/>
        </w:rPr>
        <w:t>או</w:t>
      </w:r>
      <w:r>
        <w:rPr>
          <w:rFonts w:hint="cs"/>
          <w:rtl/>
        </w:rPr>
        <w:t>"</w:t>
      </w:r>
      <w:r w:rsidRPr="0089728F">
        <w:rPr>
          <w:rtl/>
        </w:rPr>
        <w:t xml:space="preserve">ז </w:t>
      </w:r>
      <w:r w:rsidRPr="00E526DC">
        <w:rPr>
          <w:sz w:val="16"/>
          <w:szCs w:val="16"/>
          <w:rtl/>
        </w:rPr>
        <w:t>(ע"ז סי' רצא</w:t>
      </w:r>
      <w:r>
        <w:rPr>
          <w:rFonts w:hint="cs"/>
          <w:sz w:val="16"/>
          <w:szCs w:val="16"/>
          <w:rtl/>
        </w:rPr>
        <w:t>, הביאו ההג"א שם</w:t>
      </w:r>
      <w:r w:rsidRPr="00E526DC">
        <w:rPr>
          <w:sz w:val="16"/>
          <w:szCs w:val="16"/>
          <w:rtl/>
        </w:rPr>
        <w:t>)</w:t>
      </w:r>
      <w:r>
        <w:rPr>
          <w:rFonts w:hint="cs"/>
          <w:rtl/>
        </w:rPr>
        <w:t xml:space="preserve">- </w:t>
      </w:r>
      <w:r w:rsidRPr="0089728F">
        <w:rPr>
          <w:rtl/>
        </w:rPr>
        <w:t>אם לא העבירו לא עלתה לו טבילה</w:t>
      </w:r>
      <w:r>
        <w:rPr>
          <w:rFonts w:hint="cs"/>
          <w:rtl/>
        </w:rPr>
        <w:t>.</w:t>
      </w:r>
      <w:bookmarkEnd w:id="18"/>
      <w:r>
        <w:rPr>
          <w:rFonts w:hint="cs"/>
          <w:rtl/>
        </w:rPr>
        <w:t xml:space="preserve"> </w:t>
      </w:r>
      <w:r w:rsidRPr="00F9202F">
        <w:rPr>
          <w:rFonts w:hint="cs"/>
          <w:color w:val="FF0000"/>
          <w:sz w:val="16"/>
          <w:szCs w:val="16"/>
          <w:rtl/>
        </w:rPr>
        <w:t>{צ"ע אם באמת דעתו כן}</w:t>
      </w:r>
    </w:p>
    <w:p w14:paraId="2606B067" w14:textId="77777777" w:rsidR="002C39F4" w:rsidRPr="00504767" w:rsidRDefault="002C39F4" w:rsidP="002C39F4">
      <w:pPr>
        <w:jc w:val="both"/>
        <w:rPr>
          <w:rFonts w:asciiTheme="minorBidi" w:hAnsiTheme="minorBidi"/>
          <w:rtl/>
        </w:rPr>
      </w:pPr>
      <w:r w:rsidRPr="00504767">
        <w:rPr>
          <w:rFonts w:asciiTheme="minorBidi" w:hAnsiTheme="minorBidi" w:hint="cs"/>
          <w:b/>
          <w:bCs/>
          <w:rtl/>
        </w:rPr>
        <w:t xml:space="preserve">משנה </w:t>
      </w:r>
      <w:r w:rsidRPr="00504767">
        <w:rPr>
          <w:rFonts w:asciiTheme="minorBidi" w:hAnsiTheme="minorBidi"/>
          <w:b/>
          <w:bCs/>
          <w:rtl/>
        </w:rPr>
        <w:t>מקואות פ"</w:t>
      </w:r>
      <w:r w:rsidRPr="00504767">
        <w:rPr>
          <w:rFonts w:asciiTheme="minorBidi" w:hAnsiTheme="minorBidi" w:hint="cs"/>
          <w:b/>
          <w:bCs/>
          <w:rtl/>
        </w:rPr>
        <w:t>ט</w:t>
      </w:r>
      <w:r w:rsidRPr="00504767">
        <w:rPr>
          <w:rFonts w:asciiTheme="minorBidi" w:hAnsiTheme="minorBidi"/>
          <w:b/>
          <w:bCs/>
          <w:rtl/>
        </w:rPr>
        <w:t xml:space="preserve"> מ</w:t>
      </w:r>
      <w:r w:rsidRPr="00504767">
        <w:rPr>
          <w:rFonts w:asciiTheme="minorBidi" w:hAnsiTheme="minorBidi" w:hint="cs"/>
          <w:b/>
          <w:bCs/>
          <w:rtl/>
        </w:rPr>
        <w:t>"ב:</w:t>
      </w:r>
      <w:r w:rsidRPr="00504767">
        <w:rPr>
          <w:rFonts w:asciiTheme="minorBidi" w:hAnsiTheme="minorBidi" w:cs="Arial" w:hint="cs"/>
          <w:rtl/>
        </w:rPr>
        <w:t xml:space="preserve"> לא</w:t>
      </w:r>
      <w:r w:rsidRPr="00504767">
        <w:rPr>
          <w:rFonts w:asciiTheme="minorBidi" w:hAnsiTheme="minorBidi" w:cs="Arial"/>
          <w:rtl/>
        </w:rPr>
        <w:t xml:space="preserve"> </w:t>
      </w:r>
      <w:r w:rsidRPr="00504767">
        <w:rPr>
          <w:rFonts w:asciiTheme="minorBidi" w:hAnsiTheme="minorBidi" w:cs="Arial" w:hint="cs"/>
          <w:rtl/>
        </w:rPr>
        <w:t>יטבול</w:t>
      </w:r>
      <w:r w:rsidRPr="00504767">
        <w:rPr>
          <w:rFonts w:asciiTheme="minorBidi" w:hAnsiTheme="minorBidi" w:cs="Arial"/>
          <w:rtl/>
        </w:rPr>
        <w:t xml:space="preserve"> </w:t>
      </w:r>
      <w:r w:rsidRPr="00504767">
        <w:rPr>
          <w:rFonts w:asciiTheme="minorBidi" w:hAnsiTheme="minorBidi" w:cs="Arial" w:hint="cs"/>
          <w:rtl/>
        </w:rPr>
        <w:t>את</w:t>
      </w:r>
      <w:r w:rsidRPr="00504767">
        <w:rPr>
          <w:rFonts w:asciiTheme="minorBidi" w:hAnsiTheme="minorBidi" w:cs="Arial"/>
          <w:rtl/>
        </w:rPr>
        <w:t xml:space="preserve"> </w:t>
      </w:r>
      <w:r w:rsidRPr="00504767">
        <w:rPr>
          <w:rFonts w:asciiTheme="minorBidi" w:hAnsiTheme="minorBidi" w:cs="Arial" w:hint="cs"/>
          <w:rtl/>
        </w:rPr>
        <w:t>הקומקמוס</w:t>
      </w:r>
      <w:r w:rsidRPr="00504767">
        <w:rPr>
          <w:rFonts w:asciiTheme="minorBidi" w:hAnsiTheme="minorBidi" w:cs="Arial"/>
          <w:rtl/>
        </w:rPr>
        <w:t xml:space="preserve"> </w:t>
      </w:r>
      <w:r w:rsidRPr="00504767">
        <w:rPr>
          <w:rFonts w:asciiTheme="minorBidi" w:hAnsiTheme="minorBidi" w:cs="Arial" w:hint="cs"/>
          <w:rtl/>
        </w:rPr>
        <w:t>בפחמין</w:t>
      </w:r>
      <w:r w:rsidRPr="00504767">
        <w:rPr>
          <w:rFonts w:asciiTheme="minorBidi" w:hAnsiTheme="minorBidi" w:cs="Arial"/>
          <w:rtl/>
        </w:rPr>
        <w:t xml:space="preserve"> </w:t>
      </w:r>
      <w:r w:rsidRPr="00504767">
        <w:rPr>
          <w:rFonts w:asciiTheme="minorBidi" w:hAnsiTheme="minorBidi" w:cs="Arial" w:hint="cs"/>
          <w:rtl/>
        </w:rPr>
        <w:t>אלא</w:t>
      </w:r>
      <w:r w:rsidRPr="00504767">
        <w:rPr>
          <w:rFonts w:asciiTheme="minorBidi" w:hAnsiTheme="minorBidi" w:cs="Arial"/>
          <w:rtl/>
        </w:rPr>
        <w:t xml:space="preserve"> </w:t>
      </w:r>
      <w:r w:rsidRPr="00504767">
        <w:rPr>
          <w:rFonts w:asciiTheme="minorBidi" w:hAnsiTheme="minorBidi" w:cs="Arial" w:hint="cs"/>
          <w:rtl/>
        </w:rPr>
        <w:t>אם</w:t>
      </w:r>
      <w:r w:rsidRPr="00504767">
        <w:rPr>
          <w:rFonts w:asciiTheme="minorBidi" w:hAnsiTheme="minorBidi" w:cs="Arial"/>
          <w:rtl/>
        </w:rPr>
        <w:t xml:space="preserve"> </w:t>
      </w:r>
      <w:r w:rsidRPr="00504767">
        <w:rPr>
          <w:rFonts w:asciiTheme="minorBidi" w:hAnsiTheme="minorBidi" w:cs="Arial" w:hint="cs"/>
          <w:rtl/>
        </w:rPr>
        <w:t>כן</w:t>
      </w:r>
      <w:r w:rsidRPr="00504767">
        <w:rPr>
          <w:rFonts w:asciiTheme="minorBidi" w:hAnsiTheme="minorBidi" w:cs="Arial"/>
          <w:rtl/>
        </w:rPr>
        <w:t xml:space="preserve"> </w:t>
      </w:r>
      <w:r w:rsidRPr="00504767">
        <w:rPr>
          <w:rFonts w:asciiTheme="minorBidi" w:hAnsiTheme="minorBidi" w:cs="Arial" w:hint="cs"/>
          <w:rtl/>
        </w:rPr>
        <w:t>שפשף.</w:t>
      </w:r>
      <w:r w:rsidRPr="00504767">
        <w:rPr>
          <w:rFonts w:asciiTheme="minorBidi" w:hAnsiTheme="minorBidi" w:cs="Arial"/>
          <w:rtl/>
        </w:rPr>
        <w:t xml:space="preserve"> </w:t>
      </w:r>
    </w:p>
    <w:p w14:paraId="69AA2639" w14:textId="77777777" w:rsidR="002C39F4" w:rsidRDefault="002C39F4" w:rsidP="002C39F4">
      <w:pPr>
        <w:jc w:val="both"/>
        <w:rPr>
          <w:rFonts w:asciiTheme="minorBidi" w:hAnsiTheme="minorBidi"/>
          <w:rtl/>
        </w:rPr>
      </w:pPr>
      <w:r w:rsidRPr="00504767">
        <w:rPr>
          <w:rFonts w:asciiTheme="minorBidi" w:hAnsiTheme="minorBidi"/>
          <w:b/>
          <w:bCs/>
          <w:rtl/>
        </w:rPr>
        <w:t>תוספתא</w:t>
      </w:r>
      <w:r w:rsidRPr="00504767">
        <w:rPr>
          <w:rFonts w:asciiTheme="minorBidi" w:hAnsiTheme="minorBidi" w:hint="cs"/>
          <w:b/>
          <w:bCs/>
          <w:rtl/>
        </w:rPr>
        <w:t xml:space="preserve"> </w:t>
      </w:r>
      <w:r w:rsidRPr="00504767">
        <w:rPr>
          <w:rFonts w:asciiTheme="minorBidi" w:hAnsiTheme="minorBidi"/>
          <w:b/>
          <w:bCs/>
          <w:sz w:val="16"/>
          <w:szCs w:val="16"/>
          <w:rtl/>
        </w:rPr>
        <w:t>(</w:t>
      </w:r>
      <w:r w:rsidRPr="00504767">
        <w:rPr>
          <w:rFonts w:asciiTheme="minorBidi" w:hAnsiTheme="minorBidi" w:hint="cs"/>
          <w:b/>
          <w:bCs/>
          <w:sz w:val="16"/>
          <w:szCs w:val="16"/>
          <w:rtl/>
        </w:rPr>
        <w:t>גי' ר"ש</w:t>
      </w:r>
      <w:r w:rsidRPr="00504767">
        <w:rPr>
          <w:rFonts w:asciiTheme="minorBidi" w:hAnsiTheme="minorBidi"/>
          <w:b/>
          <w:bCs/>
          <w:sz w:val="16"/>
          <w:szCs w:val="16"/>
          <w:rtl/>
        </w:rPr>
        <w:t>)</w:t>
      </w:r>
      <w:r w:rsidRPr="00504767">
        <w:rPr>
          <w:rFonts w:asciiTheme="minorBidi" w:hAnsiTheme="minorBidi" w:hint="cs"/>
          <w:b/>
          <w:bCs/>
          <w:rtl/>
        </w:rPr>
        <w:t xml:space="preserve"> </w:t>
      </w:r>
      <w:r w:rsidRPr="00504767">
        <w:rPr>
          <w:rFonts w:asciiTheme="minorBidi" w:hAnsiTheme="minorBidi"/>
          <w:b/>
          <w:bCs/>
          <w:rtl/>
        </w:rPr>
        <w:t>מקוואות פ"ז ה"א:</w:t>
      </w:r>
      <w:r w:rsidRPr="00504767">
        <w:rPr>
          <w:rFonts w:asciiTheme="minorBidi" w:hAnsiTheme="minorBidi"/>
          <w:rtl/>
        </w:rPr>
        <w:t xml:space="preserve"> </w:t>
      </w:r>
      <w:r w:rsidRPr="00504767">
        <w:rPr>
          <w:rFonts w:asciiTheme="minorBidi" w:hAnsiTheme="minorBidi" w:cs="Arial" w:hint="cs"/>
          <w:rtl/>
        </w:rPr>
        <w:t>קומקומים</w:t>
      </w:r>
      <w:r w:rsidRPr="00504767">
        <w:rPr>
          <w:rFonts w:asciiTheme="minorBidi" w:hAnsiTheme="minorBidi" w:cs="Arial"/>
          <w:rtl/>
        </w:rPr>
        <w:t xml:space="preserve"> </w:t>
      </w:r>
      <w:r w:rsidRPr="00504767">
        <w:rPr>
          <w:rFonts w:asciiTheme="minorBidi" w:hAnsiTheme="minorBidi" w:cs="Arial" w:hint="cs"/>
          <w:rtl/>
        </w:rPr>
        <w:t>שהוא</w:t>
      </w:r>
      <w:r w:rsidRPr="00504767">
        <w:rPr>
          <w:rFonts w:asciiTheme="minorBidi" w:hAnsiTheme="minorBidi" w:cs="Arial"/>
          <w:rtl/>
        </w:rPr>
        <w:t xml:space="preserve"> </w:t>
      </w:r>
      <w:r w:rsidRPr="00504767">
        <w:rPr>
          <w:rFonts w:asciiTheme="minorBidi" w:hAnsiTheme="minorBidi" w:cs="Arial" w:hint="cs"/>
          <w:rtl/>
        </w:rPr>
        <w:t>מלא</w:t>
      </w:r>
      <w:r w:rsidRPr="00504767">
        <w:rPr>
          <w:rFonts w:asciiTheme="minorBidi" w:hAnsiTheme="minorBidi" w:cs="Arial"/>
          <w:rtl/>
        </w:rPr>
        <w:t xml:space="preserve"> </w:t>
      </w:r>
      <w:r w:rsidRPr="00504767">
        <w:rPr>
          <w:rFonts w:asciiTheme="minorBidi" w:hAnsiTheme="minorBidi" w:cs="Arial" w:hint="cs"/>
          <w:rtl/>
        </w:rPr>
        <w:t>פחמין</w:t>
      </w:r>
      <w:r w:rsidRPr="00504767">
        <w:rPr>
          <w:rFonts w:asciiTheme="minorBidi" w:hAnsiTheme="minorBidi" w:cs="Arial"/>
          <w:rtl/>
        </w:rPr>
        <w:t xml:space="preserve"> </w:t>
      </w:r>
      <w:r w:rsidRPr="00504767">
        <w:rPr>
          <w:rFonts w:asciiTheme="minorBidi" w:hAnsiTheme="minorBidi" w:cs="Arial" w:hint="cs"/>
          <w:rtl/>
        </w:rPr>
        <w:t>והטבילו</w:t>
      </w:r>
      <w:r>
        <w:rPr>
          <w:rFonts w:asciiTheme="minorBidi" w:hAnsiTheme="minorBidi" w:cs="Arial" w:hint="cs"/>
          <w:rtl/>
        </w:rPr>
        <w:t xml:space="preserve"> -</w:t>
      </w:r>
      <w:r w:rsidRPr="00504767">
        <w:rPr>
          <w:rFonts w:asciiTheme="minorBidi" w:hAnsiTheme="minorBidi" w:cs="Arial"/>
          <w:rtl/>
        </w:rPr>
        <w:t xml:space="preserve"> </w:t>
      </w:r>
      <w:r w:rsidRPr="00504767">
        <w:rPr>
          <w:rFonts w:asciiTheme="minorBidi" w:hAnsiTheme="minorBidi" w:cs="Arial" w:hint="cs"/>
          <w:rtl/>
        </w:rPr>
        <w:t>טמא</w:t>
      </w:r>
      <w:r>
        <w:rPr>
          <w:rFonts w:asciiTheme="minorBidi" w:hAnsiTheme="minorBidi" w:cs="Arial" w:hint="cs"/>
          <w:rtl/>
        </w:rPr>
        <w:t>,</w:t>
      </w:r>
      <w:r w:rsidRPr="00504767">
        <w:rPr>
          <w:rFonts w:asciiTheme="minorBidi" w:hAnsiTheme="minorBidi" w:cs="Arial"/>
          <w:rtl/>
        </w:rPr>
        <w:t xml:space="preserve"> </w:t>
      </w:r>
      <w:r w:rsidRPr="00504767">
        <w:rPr>
          <w:rFonts w:asciiTheme="minorBidi" w:hAnsiTheme="minorBidi" w:cs="Arial" w:hint="cs"/>
          <w:rtl/>
        </w:rPr>
        <w:t>שפשפו</w:t>
      </w:r>
      <w:r w:rsidRPr="00504767">
        <w:rPr>
          <w:rFonts w:asciiTheme="minorBidi" w:hAnsiTheme="minorBidi" w:cs="Arial"/>
          <w:rtl/>
        </w:rPr>
        <w:t xml:space="preserve"> </w:t>
      </w:r>
      <w:r w:rsidRPr="00504767">
        <w:rPr>
          <w:rFonts w:asciiTheme="minorBidi" w:hAnsiTheme="minorBidi" w:cs="Arial" w:hint="cs"/>
          <w:rtl/>
        </w:rPr>
        <w:t>או</w:t>
      </w:r>
      <w:r w:rsidRPr="00504767">
        <w:rPr>
          <w:rFonts w:asciiTheme="minorBidi" w:hAnsiTheme="minorBidi" w:cs="Arial"/>
          <w:rtl/>
        </w:rPr>
        <w:t xml:space="preserve"> </w:t>
      </w:r>
      <w:r w:rsidRPr="00504767">
        <w:rPr>
          <w:rFonts w:asciiTheme="minorBidi" w:hAnsiTheme="minorBidi" w:cs="Arial" w:hint="cs"/>
          <w:rtl/>
        </w:rPr>
        <w:t>שהטביל</w:t>
      </w:r>
      <w:r w:rsidRPr="00504767">
        <w:rPr>
          <w:rFonts w:asciiTheme="minorBidi" w:hAnsiTheme="minorBidi" w:cs="Arial"/>
          <w:rtl/>
        </w:rPr>
        <w:t xml:space="preserve"> </w:t>
      </w:r>
      <w:r w:rsidRPr="00504767">
        <w:rPr>
          <w:rFonts w:asciiTheme="minorBidi" w:hAnsiTheme="minorBidi" w:cs="Arial" w:hint="cs"/>
          <w:rtl/>
        </w:rPr>
        <w:t>בחמין</w:t>
      </w:r>
      <w:r w:rsidRPr="00504767">
        <w:rPr>
          <w:rFonts w:asciiTheme="minorBidi" w:hAnsiTheme="minorBidi" w:cs="Arial"/>
          <w:rtl/>
        </w:rPr>
        <w:t xml:space="preserve"> </w:t>
      </w:r>
      <w:r>
        <w:rPr>
          <w:rFonts w:asciiTheme="minorBidi" w:hAnsiTheme="minorBidi" w:cs="Arial" w:hint="cs"/>
          <w:rtl/>
        </w:rPr>
        <w:t xml:space="preserve">- </w:t>
      </w:r>
      <w:r w:rsidRPr="00504767">
        <w:rPr>
          <w:rFonts w:asciiTheme="minorBidi" w:hAnsiTheme="minorBidi" w:cs="Arial" w:hint="cs"/>
          <w:rtl/>
        </w:rPr>
        <w:t>טהור.</w:t>
      </w:r>
      <w:r w:rsidRPr="00504767">
        <w:rPr>
          <w:rFonts w:asciiTheme="minorBidi" w:hAnsiTheme="minorBidi" w:cs="Arial"/>
          <w:rtl/>
        </w:rPr>
        <w:t xml:space="preserve"> </w:t>
      </w:r>
    </w:p>
    <w:p w14:paraId="3F894B7F" w14:textId="77777777" w:rsidR="002C39F4" w:rsidRPr="005F6E28" w:rsidRDefault="002C39F4" w:rsidP="002C39F4">
      <w:pPr>
        <w:jc w:val="both"/>
        <w:rPr>
          <w:rFonts w:asciiTheme="minorBidi" w:hAnsiTheme="minorBidi"/>
          <w:u w:val="single"/>
          <w:rtl/>
        </w:rPr>
      </w:pPr>
      <w:r w:rsidRPr="005F6E28">
        <w:rPr>
          <w:rFonts w:asciiTheme="minorBidi" w:hAnsiTheme="minorBidi" w:hint="cs"/>
          <w:u w:val="single"/>
          <w:rtl/>
        </w:rPr>
        <w:t>כיצד פירוש דברי המשנה:</w:t>
      </w:r>
    </w:p>
    <w:p w14:paraId="11222B78" w14:textId="77777777" w:rsidR="002C39F4" w:rsidRDefault="002C39F4" w:rsidP="0032102C">
      <w:pPr>
        <w:pStyle w:val="a8"/>
        <w:numPr>
          <w:ilvl w:val="0"/>
          <w:numId w:val="310"/>
        </w:numPr>
        <w:jc w:val="both"/>
        <w:rPr>
          <w:rFonts w:asciiTheme="minorBidi" w:hAnsiTheme="minorBidi"/>
        </w:rPr>
      </w:pPr>
      <w:r w:rsidRPr="005F6E28">
        <w:rPr>
          <w:rFonts w:asciiTheme="minorBidi" w:hAnsiTheme="minorBidi" w:cs="Arial" w:hint="cs"/>
          <w:rtl/>
        </w:rPr>
        <w:t>רמב</w:t>
      </w:r>
      <w:r w:rsidRPr="005F6E28">
        <w:rPr>
          <w:rFonts w:asciiTheme="minorBidi" w:hAnsiTheme="minorBidi" w:cs="Arial"/>
          <w:rtl/>
        </w:rPr>
        <w:t>"</w:t>
      </w:r>
      <w:r w:rsidRPr="005F6E28">
        <w:rPr>
          <w:rFonts w:asciiTheme="minorBidi" w:hAnsiTheme="minorBidi" w:cs="Arial" w:hint="cs"/>
          <w:rtl/>
        </w:rPr>
        <w:t xml:space="preserve">ם </w:t>
      </w:r>
      <w:r w:rsidRPr="005F6E28">
        <w:rPr>
          <w:rFonts w:asciiTheme="minorBidi" w:hAnsiTheme="minorBidi" w:cs="Arial" w:hint="cs"/>
          <w:sz w:val="16"/>
          <w:szCs w:val="16"/>
          <w:rtl/>
        </w:rPr>
        <w:t xml:space="preserve">(פהמ"ש) </w:t>
      </w:r>
      <w:r w:rsidRPr="005F6E28">
        <w:rPr>
          <w:rFonts w:asciiTheme="minorBidi" w:hAnsiTheme="minorBidi" w:cs="Arial" w:hint="cs"/>
          <w:rtl/>
        </w:rPr>
        <w:t>ורא</w:t>
      </w:r>
      <w:r w:rsidRPr="005F6E28">
        <w:rPr>
          <w:rFonts w:asciiTheme="minorBidi" w:hAnsiTheme="minorBidi" w:cs="Arial"/>
          <w:rtl/>
        </w:rPr>
        <w:t>"</w:t>
      </w:r>
      <w:r w:rsidRPr="005F6E28">
        <w:rPr>
          <w:rFonts w:asciiTheme="minorBidi" w:hAnsiTheme="minorBidi" w:cs="Arial" w:hint="cs"/>
          <w:rtl/>
        </w:rPr>
        <w:t>ש</w:t>
      </w:r>
      <w:r w:rsidRPr="005F6E28">
        <w:rPr>
          <w:rFonts w:asciiTheme="minorBidi" w:hAnsiTheme="minorBidi" w:cs="Arial"/>
          <w:sz w:val="16"/>
          <w:szCs w:val="16"/>
          <w:rtl/>
        </w:rPr>
        <w:t xml:space="preserve"> (</w:t>
      </w:r>
      <w:r w:rsidRPr="005F6E28">
        <w:rPr>
          <w:rFonts w:asciiTheme="minorBidi" w:hAnsiTheme="minorBidi" w:cs="Arial" w:hint="cs"/>
          <w:sz w:val="16"/>
          <w:szCs w:val="16"/>
          <w:rtl/>
        </w:rPr>
        <w:t>פהמ"ש</w:t>
      </w:r>
      <w:r w:rsidRPr="005F6E28">
        <w:rPr>
          <w:rFonts w:asciiTheme="minorBidi" w:hAnsiTheme="minorBidi" w:cs="Arial"/>
          <w:sz w:val="16"/>
          <w:szCs w:val="16"/>
          <w:rtl/>
        </w:rPr>
        <w:t>)</w:t>
      </w:r>
      <w:r w:rsidRPr="005F6E28">
        <w:rPr>
          <w:rFonts w:asciiTheme="minorBidi" w:hAnsiTheme="minorBidi" w:cs="Arial" w:hint="cs"/>
          <w:rtl/>
        </w:rPr>
        <w:t xml:space="preserve">- </w:t>
      </w:r>
      <w:r w:rsidRPr="005F6E28">
        <w:rPr>
          <w:rFonts w:cs="Arial"/>
          <w:rtl/>
        </w:rPr>
        <w:t>קומקומוס הוא כלי שמחממין בו חמין ופעמים כשיש בו מים מכבין בו פחמין וקאמר שצריך שישפשף הפחמין שבתוכו ויסלקם ממקום למקום שלא ידבק זה בזה ויחוצו</w:t>
      </w:r>
      <w:r>
        <w:rPr>
          <w:rFonts w:asciiTheme="minorBidi" w:hAnsiTheme="minorBidi" w:hint="cs"/>
          <w:sz w:val="16"/>
          <w:szCs w:val="16"/>
          <w:rtl/>
        </w:rPr>
        <w:t xml:space="preserve"> (ל' הרמב"ם)</w:t>
      </w:r>
      <w:r w:rsidRPr="005F6E28">
        <w:rPr>
          <w:rFonts w:asciiTheme="minorBidi" w:hAnsiTheme="minorBidi" w:hint="cs"/>
          <w:rtl/>
        </w:rPr>
        <w:t>.</w:t>
      </w:r>
    </w:p>
    <w:p w14:paraId="66EA5662" w14:textId="77777777" w:rsidR="002C39F4" w:rsidRPr="005F6E28" w:rsidRDefault="002C39F4" w:rsidP="0032102C">
      <w:pPr>
        <w:pStyle w:val="a8"/>
        <w:numPr>
          <w:ilvl w:val="0"/>
          <w:numId w:val="310"/>
        </w:numPr>
        <w:jc w:val="both"/>
        <w:rPr>
          <w:rFonts w:asciiTheme="minorBidi" w:hAnsiTheme="minorBidi"/>
          <w:rtl/>
        </w:rPr>
      </w:pPr>
      <w:r w:rsidRPr="00504767">
        <w:rPr>
          <w:rFonts w:asciiTheme="minorBidi" w:hAnsiTheme="minorBidi"/>
          <w:rtl/>
        </w:rPr>
        <w:t>רוקח</w:t>
      </w:r>
      <w:r w:rsidRPr="005F6E28">
        <w:rPr>
          <w:rFonts w:asciiTheme="minorBidi" w:hAnsiTheme="minorBidi"/>
          <w:sz w:val="16"/>
          <w:szCs w:val="16"/>
          <w:rtl/>
        </w:rPr>
        <w:t xml:space="preserve"> </w:t>
      </w:r>
      <w:r>
        <w:rPr>
          <w:rFonts w:asciiTheme="minorBidi" w:hAnsiTheme="minorBidi" w:hint="cs"/>
          <w:sz w:val="16"/>
          <w:szCs w:val="16"/>
          <w:rtl/>
        </w:rPr>
        <w:t>(</w:t>
      </w:r>
      <w:r w:rsidRPr="005F6E28">
        <w:rPr>
          <w:rFonts w:asciiTheme="minorBidi" w:hAnsiTheme="minorBidi"/>
          <w:sz w:val="16"/>
          <w:szCs w:val="16"/>
          <w:rtl/>
        </w:rPr>
        <w:t>הל' טבילה וחציצה סי שעו ד"ה ידות הכלים</w:t>
      </w:r>
      <w:r>
        <w:rPr>
          <w:rFonts w:asciiTheme="minorBidi" w:hAnsiTheme="minorBidi" w:hint="cs"/>
          <w:sz w:val="16"/>
          <w:szCs w:val="16"/>
          <w:rtl/>
        </w:rPr>
        <w:t>)</w:t>
      </w:r>
      <w:r w:rsidRPr="00504767">
        <w:rPr>
          <w:rFonts w:asciiTheme="minorBidi" w:hAnsiTheme="minorBidi" w:hint="cs"/>
          <w:rtl/>
        </w:rPr>
        <w:t xml:space="preserve">- </w:t>
      </w:r>
      <w:r>
        <w:rPr>
          <w:rFonts w:asciiTheme="minorBidi" w:hAnsiTheme="minorBidi" w:hint="cs"/>
          <w:rtl/>
        </w:rPr>
        <w:t xml:space="preserve">אין להטביל את הקומקומוס </w:t>
      </w:r>
      <w:r w:rsidRPr="00504767">
        <w:rPr>
          <w:rFonts w:asciiTheme="minorBidi" w:hAnsiTheme="minorBidi" w:hint="cs"/>
          <w:rtl/>
        </w:rPr>
        <w:t>מפני ה</w:t>
      </w:r>
      <w:r w:rsidRPr="00504767">
        <w:rPr>
          <w:rFonts w:asciiTheme="minorBidi" w:hAnsiTheme="minorBidi"/>
          <w:rtl/>
        </w:rPr>
        <w:t>שחרורית ש</w:t>
      </w:r>
      <w:r w:rsidRPr="00504767">
        <w:rPr>
          <w:rFonts w:asciiTheme="minorBidi" w:hAnsiTheme="minorBidi" w:hint="cs"/>
          <w:rtl/>
        </w:rPr>
        <w:t>על רוב</w:t>
      </w:r>
      <w:r>
        <w:rPr>
          <w:rFonts w:asciiTheme="minorBidi" w:hAnsiTheme="minorBidi" w:hint="cs"/>
          <w:rtl/>
        </w:rPr>
        <w:t>ו מבחוץ</w:t>
      </w:r>
      <w:r w:rsidRPr="00504767">
        <w:rPr>
          <w:rFonts w:asciiTheme="minorBidi" w:hAnsiTheme="minorBidi" w:hint="cs"/>
          <w:rtl/>
        </w:rPr>
        <w:t>, לפי ש</w:t>
      </w:r>
      <w:r w:rsidRPr="00504767">
        <w:rPr>
          <w:rFonts w:asciiTheme="minorBidi" w:hAnsiTheme="minorBidi"/>
          <w:rtl/>
        </w:rPr>
        <w:t xml:space="preserve">מקפיד </w:t>
      </w:r>
      <w:r w:rsidRPr="00504767">
        <w:rPr>
          <w:rFonts w:asciiTheme="minorBidi" w:hAnsiTheme="minorBidi" w:hint="cs"/>
          <w:rtl/>
        </w:rPr>
        <w:t xml:space="preserve">עליה, </w:t>
      </w:r>
      <w:r w:rsidRPr="00504767">
        <w:rPr>
          <w:rFonts w:asciiTheme="minorBidi" w:hAnsiTheme="minorBidi"/>
          <w:rtl/>
        </w:rPr>
        <w:t>אבל דבר מועט אינו חוצץ</w:t>
      </w:r>
      <w:r w:rsidRPr="00504767">
        <w:rPr>
          <w:rFonts w:asciiTheme="minorBidi" w:hAnsiTheme="minorBidi" w:hint="cs"/>
          <w:rtl/>
        </w:rPr>
        <w:t>.</w:t>
      </w:r>
      <w:r w:rsidRPr="00504767">
        <w:rPr>
          <w:rFonts w:hint="cs"/>
          <w:rtl/>
        </w:rPr>
        <w:t xml:space="preserve"> (וכ"פ הגר"א</w:t>
      </w:r>
      <w:r w:rsidRPr="00F147CE">
        <w:rPr>
          <w:rStyle w:val="a7"/>
          <w:rtl/>
        </w:rPr>
        <w:footnoteReference w:id="2930"/>
      </w:r>
      <w:r w:rsidRPr="00504767">
        <w:rPr>
          <w:rFonts w:hint="cs"/>
          <w:rtl/>
        </w:rPr>
        <w:t>)</w:t>
      </w:r>
      <w:r>
        <w:rPr>
          <w:rFonts w:asciiTheme="minorBidi" w:hAnsiTheme="minorBidi" w:hint="cs"/>
          <w:rtl/>
        </w:rPr>
        <w:t xml:space="preserve"> </w:t>
      </w:r>
    </w:p>
    <w:p w14:paraId="4700EBDB" w14:textId="77777777" w:rsidR="002C39F4" w:rsidRPr="005F6E28" w:rsidRDefault="002C39F4" w:rsidP="002C39F4">
      <w:pPr>
        <w:ind w:left="360"/>
        <w:rPr>
          <w:rFonts w:cs="Arial"/>
          <w:u w:val="dotted"/>
          <w:rtl/>
        </w:rPr>
      </w:pPr>
      <w:r>
        <w:rPr>
          <w:rFonts w:cs="Arial" w:hint="cs"/>
          <w:u w:val="dotted"/>
          <w:rtl/>
        </w:rPr>
        <w:t xml:space="preserve">האם אפשר לטבול </w:t>
      </w:r>
      <w:r w:rsidRPr="005F6E28">
        <w:rPr>
          <w:rFonts w:cs="Arial" w:hint="cs"/>
          <w:u w:val="dotted"/>
          <w:rtl/>
        </w:rPr>
        <w:t xml:space="preserve">קדרה/קומקום </w:t>
      </w:r>
      <w:r>
        <w:rPr>
          <w:rFonts w:cs="Arial" w:hint="cs"/>
          <w:u w:val="dotted"/>
          <w:rtl/>
        </w:rPr>
        <w:t xml:space="preserve">שיש לו </w:t>
      </w:r>
      <w:r w:rsidRPr="005F6E28">
        <w:rPr>
          <w:rFonts w:cs="Arial" w:hint="cs"/>
          <w:u w:val="dotted"/>
          <w:rtl/>
        </w:rPr>
        <w:t>שחרוריות</w:t>
      </w:r>
      <w:r>
        <w:rPr>
          <w:rFonts w:cs="Arial" w:hint="cs"/>
          <w:sz w:val="16"/>
          <w:szCs w:val="16"/>
          <w:u w:val="dotted"/>
          <w:rtl/>
        </w:rPr>
        <w:t xml:space="preserve"> </w:t>
      </w:r>
      <w:r w:rsidRPr="005F6E28">
        <w:rPr>
          <w:rFonts w:cs="Arial" w:hint="cs"/>
          <w:u w:val="dotted"/>
          <w:rtl/>
        </w:rPr>
        <w:t xml:space="preserve">הדבוק </w:t>
      </w:r>
      <w:r>
        <w:rPr>
          <w:rFonts w:cs="Arial" w:hint="cs"/>
          <w:u w:val="dotted"/>
          <w:rtl/>
        </w:rPr>
        <w:t xml:space="preserve">בו </w:t>
      </w:r>
      <w:r w:rsidRPr="00F147CE">
        <w:rPr>
          <w:rFonts w:cs="Arial" w:hint="cs"/>
          <w:b/>
          <w:bCs/>
          <w:u w:val="dotted"/>
          <w:rtl/>
        </w:rPr>
        <w:t>מבחוץ</w:t>
      </w:r>
      <w:r>
        <w:rPr>
          <w:rFonts w:cs="Arial" w:hint="cs"/>
          <w:u w:val="dotted"/>
          <w:rtl/>
        </w:rPr>
        <w:t xml:space="preserve"> </w:t>
      </w:r>
      <w:r>
        <w:rPr>
          <w:rFonts w:cs="Arial" w:hint="cs"/>
          <w:sz w:val="16"/>
          <w:szCs w:val="16"/>
          <w:u w:val="dotted"/>
          <w:rtl/>
        </w:rPr>
        <w:t xml:space="preserve">(וה"ה אם יש בו </w:t>
      </w:r>
      <w:r w:rsidRPr="00F147CE">
        <w:rPr>
          <w:rFonts w:cs="Arial" w:hint="cs"/>
          <w:sz w:val="16"/>
          <w:szCs w:val="16"/>
          <w:u w:val="dotted"/>
          <w:rtl/>
        </w:rPr>
        <w:t>חלודה</w:t>
      </w:r>
      <w:r>
        <w:rPr>
          <w:rFonts w:cs="Arial" w:hint="cs"/>
          <w:sz w:val="16"/>
          <w:szCs w:val="16"/>
          <w:u w:val="dotted"/>
          <w:rtl/>
        </w:rPr>
        <w:t xml:space="preserve"> מבחוץ)</w:t>
      </w:r>
      <w:r w:rsidRPr="005F6E28">
        <w:rPr>
          <w:rFonts w:cs="Arial" w:hint="cs"/>
          <w:u w:val="dotted"/>
          <w:rtl/>
        </w:rPr>
        <w:t>:</w:t>
      </w:r>
    </w:p>
    <w:p w14:paraId="09650CE0" w14:textId="77777777" w:rsidR="002C39F4" w:rsidRPr="00504767" w:rsidRDefault="002C39F4" w:rsidP="0032102C">
      <w:pPr>
        <w:pStyle w:val="a8"/>
        <w:numPr>
          <w:ilvl w:val="0"/>
          <w:numId w:val="309"/>
        </w:numPr>
      </w:pPr>
      <w:r w:rsidRPr="00504767">
        <w:rPr>
          <w:rFonts w:asciiTheme="minorBidi" w:hAnsiTheme="minorBidi" w:cs="Arial" w:hint="cs"/>
          <w:rtl/>
        </w:rPr>
        <w:t>רמב</w:t>
      </w:r>
      <w:r w:rsidRPr="00504767">
        <w:rPr>
          <w:rFonts w:asciiTheme="minorBidi" w:hAnsiTheme="minorBidi" w:cs="Arial"/>
          <w:rtl/>
        </w:rPr>
        <w:t>"</w:t>
      </w:r>
      <w:r w:rsidRPr="00504767">
        <w:rPr>
          <w:rFonts w:asciiTheme="minorBidi" w:hAnsiTheme="minorBidi" w:cs="Arial" w:hint="cs"/>
          <w:rtl/>
        </w:rPr>
        <w:t xml:space="preserve">ם </w:t>
      </w:r>
      <w:r w:rsidRPr="00504767">
        <w:rPr>
          <w:rFonts w:asciiTheme="minorBidi" w:hAnsiTheme="minorBidi" w:cs="Arial" w:hint="cs"/>
          <w:sz w:val="16"/>
          <w:szCs w:val="16"/>
          <w:rtl/>
        </w:rPr>
        <w:t xml:space="preserve">(פהמ"ש) </w:t>
      </w:r>
      <w:r w:rsidRPr="00504767">
        <w:rPr>
          <w:rFonts w:asciiTheme="minorBidi" w:hAnsiTheme="minorBidi" w:cs="Arial" w:hint="cs"/>
          <w:rtl/>
        </w:rPr>
        <w:t>ורא</w:t>
      </w:r>
      <w:r w:rsidRPr="00504767">
        <w:rPr>
          <w:rFonts w:asciiTheme="minorBidi" w:hAnsiTheme="minorBidi" w:cs="Arial"/>
          <w:rtl/>
        </w:rPr>
        <w:t>"</w:t>
      </w:r>
      <w:r w:rsidRPr="00504767">
        <w:rPr>
          <w:rFonts w:asciiTheme="minorBidi" w:hAnsiTheme="minorBidi" w:cs="Arial" w:hint="cs"/>
          <w:rtl/>
        </w:rPr>
        <w:t>ש</w:t>
      </w:r>
      <w:r w:rsidRPr="00504767">
        <w:rPr>
          <w:rFonts w:asciiTheme="minorBidi" w:hAnsiTheme="minorBidi" w:cs="Arial"/>
          <w:sz w:val="16"/>
          <w:szCs w:val="16"/>
          <w:rtl/>
        </w:rPr>
        <w:t xml:space="preserve"> (</w:t>
      </w:r>
      <w:r w:rsidRPr="00504767">
        <w:rPr>
          <w:rFonts w:asciiTheme="minorBidi" w:hAnsiTheme="minorBidi" w:cs="Arial" w:hint="cs"/>
          <w:sz w:val="16"/>
          <w:szCs w:val="16"/>
          <w:rtl/>
        </w:rPr>
        <w:t>פהמ"ש</w:t>
      </w:r>
      <w:r w:rsidRPr="00504767">
        <w:rPr>
          <w:rFonts w:asciiTheme="minorBidi" w:hAnsiTheme="minorBidi" w:cs="Arial"/>
          <w:sz w:val="16"/>
          <w:szCs w:val="16"/>
          <w:rtl/>
        </w:rPr>
        <w:t>)</w:t>
      </w:r>
      <w:r w:rsidRPr="00504767">
        <w:rPr>
          <w:rFonts w:asciiTheme="minorBidi" w:hAnsiTheme="minorBidi" w:cs="Arial" w:hint="cs"/>
          <w:rtl/>
        </w:rPr>
        <w:t xml:space="preserve">- </w:t>
      </w:r>
      <w:r w:rsidRPr="00504767">
        <w:rPr>
          <w:rFonts w:cs="Arial"/>
          <w:rtl/>
        </w:rPr>
        <w:t>שחרות הנדבק בקומקומוס מבחוץ אין אדם מקפיד עליו ודרכו בכך וחשוב כדופן הכלי ואפילו בכולו אינו חוצץ</w:t>
      </w:r>
      <w:r>
        <w:rPr>
          <w:rFonts w:cs="Arial" w:hint="cs"/>
          <w:sz w:val="16"/>
          <w:szCs w:val="16"/>
          <w:rtl/>
        </w:rPr>
        <w:t xml:space="preserve"> (ע"פ ל' הרא"ש)</w:t>
      </w:r>
      <w:r>
        <w:rPr>
          <w:rFonts w:cs="Arial" w:hint="cs"/>
          <w:rtl/>
        </w:rPr>
        <w:t>.</w:t>
      </w:r>
      <w:r w:rsidRPr="005F6E28">
        <w:rPr>
          <w:rFonts w:hint="cs"/>
          <w:color w:val="00B0F0"/>
          <w:rtl/>
        </w:rPr>
        <w:t xml:space="preserve"> </w:t>
      </w:r>
      <w:r w:rsidRPr="00504767">
        <w:rPr>
          <w:rFonts w:hint="cs"/>
          <w:color w:val="00B0F0"/>
          <w:rtl/>
        </w:rPr>
        <w:t>(וכ"פ הרמ"א</w:t>
      </w:r>
      <w:r w:rsidRPr="00F147CE">
        <w:rPr>
          <w:rStyle w:val="a7"/>
          <w:color w:val="000000" w:themeColor="text1"/>
          <w:rtl/>
        </w:rPr>
        <w:footnoteReference w:id="2931"/>
      </w:r>
      <w:r>
        <w:rPr>
          <w:rFonts w:hint="cs"/>
          <w:color w:val="000000" w:themeColor="text1"/>
          <w:sz w:val="16"/>
          <w:szCs w:val="16"/>
          <w:rtl/>
        </w:rPr>
        <w:t>[סי' רב סע ב]</w:t>
      </w:r>
      <w:r w:rsidRPr="00504767">
        <w:rPr>
          <w:rFonts w:hint="cs"/>
          <w:color w:val="00B0F0"/>
          <w:rtl/>
        </w:rPr>
        <w:t>)</w:t>
      </w:r>
    </w:p>
    <w:p w14:paraId="04AB9876" w14:textId="77777777" w:rsidR="002C39F4" w:rsidRPr="00504767" w:rsidRDefault="002C39F4" w:rsidP="0032102C">
      <w:pPr>
        <w:pStyle w:val="a8"/>
        <w:numPr>
          <w:ilvl w:val="0"/>
          <w:numId w:val="309"/>
        </w:numPr>
      </w:pPr>
      <w:r w:rsidRPr="00504767">
        <w:rPr>
          <w:rFonts w:asciiTheme="minorBidi" w:hAnsiTheme="minorBidi"/>
          <w:rtl/>
        </w:rPr>
        <w:t>רוקח</w:t>
      </w:r>
      <w:r>
        <w:rPr>
          <w:rFonts w:asciiTheme="minorBidi" w:hAnsiTheme="minorBidi" w:hint="cs"/>
          <w:sz w:val="16"/>
          <w:szCs w:val="16"/>
          <w:rtl/>
        </w:rPr>
        <w:t xml:space="preserve"> (שם)</w:t>
      </w:r>
      <w:r w:rsidRPr="00504767">
        <w:rPr>
          <w:rFonts w:asciiTheme="minorBidi" w:hAnsiTheme="minorBidi" w:hint="cs"/>
          <w:rtl/>
        </w:rPr>
        <w:t xml:space="preserve">- </w:t>
      </w:r>
      <w:r>
        <w:rPr>
          <w:rFonts w:asciiTheme="minorBidi" w:hAnsiTheme="minorBidi" w:hint="cs"/>
          <w:rtl/>
        </w:rPr>
        <w:t xml:space="preserve">אם </w:t>
      </w:r>
      <w:r w:rsidRPr="00504767">
        <w:rPr>
          <w:rFonts w:asciiTheme="minorBidi" w:hAnsiTheme="minorBidi" w:hint="cs"/>
          <w:rtl/>
        </w:rPr>
        <w:t>ה</w:t>
      </w:r>
      <w:r w:rsidRPr="00504767">
        <w:rPr>
          <w:rFonts w:asciiTheme="minorBidi" w:hAnsiTheme="minorBidi"/>
          <w:rtl/>
        </w:rPr>
        <w:t xml:space="preserve">שחרורית </w:t>
      </w:r>
      <w:r w:rsidRPr="00504767">
        <w:rPr>
          <w:rFonts w:asciiTheme="minorBidi" w:hAnsiTheme="minorBidi" w:hint="cs"/>
          <w:rtl/>
        </w:rPr>
        <w:t>על רוב הכלי</w:t>
      </w:r>
      <w:r>
        <w:rPr>
          <w:rFonts w:asciiTheme="minorBidi" w:hAnsiTheme="minorBidi" w:hint="cs"/>
          <w:rtl/>
        </w:rPr>
        <w:t xml:space="preserve"> הוי חציצה,</w:t>
      </w:r>
      <w:r w:rsidRPr="00504767">
        <w:rPr>
          <w:rFonts w:asciiTheme="minorBidi" w:hAnsiTheme="minorBidi" w:hint="cs"/>
          <w:rtl/>
        </w:rPr>
        <w:t xml:space="preserve"> לפי ש</w:t>
      </w:r>
      <w:r w:rsidRPr="00504767">
        <w:rPr>
          <w:rFonts w:asciiTheme="minorBidi" w:hAnsiTheme="minorBidi"/>
          <w:rtl/>
        </w:rPr>
        <w:t xml:space="preserve">מקפיד </w:t>
      </w:r>
      <w:r w:rsidRPr="00504767">
        <w:rPr>
          <w:rFonts w:asciiTheme="minorBidi" w:hAnsiTheme="minorBidi" w:hint="cs"/>
          <w:rtl/>
        </w:rPr>
        <w:t xml:space="preserve">עליה, </w:t>
      </w:r>
      <w:r w:rsidRPr="00504767">
        <w:rPr>
          <w:rFonts w:asciiTheme="minorBidi" w:hAnsiTheme="minorBidi"/>
          <w:rtl/>
        </w:rPr>
        <w:t>אבל דבר מועט אינו חוצץ</w:t>
      </w:r>
      <w:r w:rsidRPr="00504767">
        <w:rPr>
          <w:rFonts w:asciiTheme="minorBidi" w:hAnsiTheme="minorBidi" w:hint="cs"/>
          <w:rtl/>
        </w:rPr>
        <w:t>.</w:t>
      </w:r>
      <w:r w:rsidRPr="00504767">
        <w:rPr>
          <w:rFonts w:hint="cs"/>
          <w:rtl/>
        </w:rPr>
        <w:t xml:space="preserve"> (וכ"פ הגר"א)</w:t>
      </w:r>
    </w:p>
    <w:p w14:paraId="4604AB5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C2E7649" w14:textId="77777777" w:rsidR="002C39F4" w:rsidRDefault="002C39F4" w:rsidP="002C39F4">
      <w:pPr>
        <w:rPr>
          <w:rFonts w:asciiTheme="minorBidi" w:hAnsiTheme="minorBidi"/>
          <w:rtl/>
        </w:rPr>
      </w:pPr>
      <w:r w:rsidRPr="003024E5">
        <w:rPr>
          <w:rFonts w:asciiTheme="minorBidi" w:hAnsiTheme="minorBidi"/>
          <w:rtl/>
        </w:rPr>
        <w:t>צריך להעביר החלודה קודם טבילה</w:t>
      </w:r>
      <w:r>
        <w:rPr>
          <w:rFonts w:asciiTheme="minorBidi" w:hAnsiTheme="minorBidi" w:hint="cs"/>
          <w:rtl/>
        </w:rPr>
        <w:t>.</w:t>
      </w:r>
      <w:r w:rsidRPr="003024E5">
        <w:rPr>
          <w:rFonts w:asciiTheme="minorBidi" w:hAnsiTheme="minorBidi"/>
          <w:rtl/>
        </w:rPr>
        <w:t xml:space="preserve"> ואם לא העביר, אם מקפיד עליו, חוצץ. ואם שפשף ונתן בגחלים ונשאר עדיין מעט של חלודה שלא יכול לעבור על ידי כך, הוי מיעוטו שאינו מקפיד עליו, ואינו חוצץ</w:t>
      </w:r>
      <w:r>
        <w:rPr>
          <w:rStyle w:val="a7"/>
          <w:rFonts w:cs="Arial"/>
          <w:rtl/>
        </w:rPr>
        <w:footnoteReference w:id="2932"/>
      </w:r>
      <w:r>
        <w:rPr>
          <w:rFonts w:asciiTheme="minorBidi" w:hAnsiTheme="minorBidi" w:hint="cs"/>
          <w:rtl/>
        </w:rPr>
        <w:t>.</w:t>
      </w:r>
      <w:r w:rsidRPr="003024E5">
        <w:rPr>
          <w:rFonts w:asciiTheme="minorBidi" w:hAnsiTheme="minorBidi"/>
          <w:rtl/>
        </w:rPr>
        <w:t xml:space="preserve"> </w:t>
      </w:r>
      <w:r>
        <w:rPr>
          <w:rFonts w:asciiTheme="minorBidi" w:hAnsiTheme="minorBidi" w:hint="cs"/>
          <w:sz w:val="18"/>
          <w:szCs w:val="18"/>
          <w:rtl/>
        </w:rPr>
        <w:t xml:space="preserve">[הגה] </w:t>
      </w:r>
      <w:r w:rsidRPr="00002062">
        <w:rPr>
          <w:rFonts w:asciiTheme="minorBidi" w:hAnsiTheme="minorBidi"/>
          <w:sz w:val="18"/>
          <w:szCs w:val="18"/>
          <w:rtl/>
        </w:rPr>
        <w:t>ועיין לקמן סי</w:t>
      </w:r>
      <w:r>
        <w:rPr>
          <w:rFonts w:asciiTheme="minorBidi" w:hAnsiTheme="minorBidi" w:hint="cs"/>
          <w:sz w:val="18"/>
          <w:szCs w:val="18"/>
          <w:rtl/>
        </w:rPr>
        <w:t>'</w:t>
      </w:r>
      <w:r w:rsidRPr="00002062">
        <w:rPr>
          <w:rFonts w:asciiTheme="minorBidi" w:hAnsiTheme="minorBidi"/>
          <w:sz w:val="18"/>
          <w:szCs w:val="18"/>
          <w:rtl/>
        </w:rPr>
        <w:t xml:space="preserve"> רב מדין חציצה.</w:t>
      </w:r>
      <w:r w:rsidRPr="003024E5">
        <w:rPr>
          <w:rFonts w:asciiTheme="minorBidi" w:hAnsiTheme="minorBidi"/>
          <w:rtl/>
        </w:rPr>
        <w:t xml:space="preserve"> </w:t>
      </w:r>
    </w:p>
    <w:p w14:paraId="5D7C9926" w14:textId="77777777" w:rsidR="002C39F4" w:rsidRPr="003024E5" w:rsidRDefault="002C39F4" w:rsidP="002C39F4">
      <w:pPr>
        <w:rPr>
          <w:rFonts w:asciiTheme="minorBidi" w:hAnsiTheme="minorBidi"/>
          <w:rtl/>
        </w:rPr>
      </w:pPr>
    </w:p>
    <w:p w14:paraId="100C1D5A" w14:textId="77777777" w:rsidR="002C39F4" w:rsidRDefault="002C39F4" w:rsidP="002C39F4">
      <w:pPr>
        <w:pStyle w:val="2"/>
        <w:rPr>
          <w:rFonts w:asciiTheme="minorBidi" w:hAnsiTheme="minorBidi"/>
          <w:rtl/>
        </w:rPr>
      </w:pPr>
      <w:r w:rsidRPr="003024E5">
        <w:rPr>
          <w:rFonts w:asciiTheme="minorBidi" w:hAnsiTheme="minorBidi"/>
          <w:rtl/>
        </w:rPr>
        <w:t>סעיף יד</w:t>
      </w:r>
      <w:r>
        <w:rPr>
          <w:rFonts w:asciiTheme="minorBidi" w:hAnsiTheme="minorBidi" w:hint="cs"/>
          <w:rtl/>
        </w:rPr>
        <w:t>: טבילה ע"י קטן.</w:t>
      </w:r>
    </w:p>
    <w:p w14:paraId="3BCEB14E" w14:textId="77777777" w:rsidR="002C39F4" w:rsidRDefault="002C39F4" w:rsidP="002C39F4">
      <w:pPr>
        <w:rPr>
          <w:rFonts w:cs="Arial"/>
          <w:rtl/>
        </w:rPr>
      </w:pPr>
      <w:r w:rsidRPr="00915EA6">
        <w:rPr>
          <w:rFonts w:cs="Arial" w:hint="cs"/>
          <w:u w:val="single"/>
          <w:rtl/>
        </w:rPr>
        <w:t xml:space="preserve">האם </w:t>
      </w:r>
      <w:r>
        <w:rPr>
          <w:rFonts w:cs="Arial" w:hint="cs"/>
          <w:u w:val="single"/>
          <w:rtl/>
        </w:rPr>
        <w:t>מותר</w:t>
      </w:r>
      <w:r w:rsidRPr="00915EA6">
        <w:rPr>
          <w:rFonts w:cs="Arial" w:hint="cs"/>
          <w:u w:val="single"/>
          <w:rtl/>
        </w:rPr>
        <w:t xml:space="preserve"> לטבול כלי ע"י קטן:</w:t>
      </w:r>
    </w:p>
    <w:p w14:paraId="0374CC3D" w14:textId="77777777" w:rsidR="002C39F4" w:rsidRPr="00915EA6" w:rsidRDefault="002C39F4" w:rsidP="0032102C">
      <w:pPr>
        <w:pStyle w:val="a8"/>
        <w:numPr>
          <w:ilvl w:val="0"/>
          <w:numId w:val="311"/>
        </w:numPr>
      </w:pPr>
      <w:r w:rsidRPr="00915EA6">
        <w:rPr>
          <w:rFonts w:cs="Arial" w:hint="cs"/>
          <w:rtl/>
        </w:rPr>
        <w:t xml:space="preserve">תרוה"ד </w:t>
      </w:r>
      <w:r w:rsidRPr="00915EA6">
        <w:rPr>
          <w:rFonts w:cs="Arial" w:hint="cs"/>
          <w:sz w:val="16"/>
          <w:szCs w:val="16"/>
          <w:rtl/>
        </w:rPr>
        <w:t>(</w:t>
      </w:r>
      <w:r w:rsidRPr="00915EA6">
        <w:rPr>
          <w:rFonts w:cs="Arial"/>
          <w:sz w:val="16"/>
          <w:szCs w:val="16"/>
          <w:rtl/>
        </w:rPr>
        <w:t>סי</w:t>
      </w:r>
      <w:r w:rsidRPr="00915EA6">
        <w:rPr>
          <w:rFonts w:cs="Arial" w:hint="cs"/>
          <w:sz w:val="16"/>
          <w:szCs w:val="16"/>
          <w:rtl/>
        </w:rPr>
        <w:t xml:space="preserve">' </w:t>
      </w:r>
      <w:r w:rsidRPr="00915EA6">
        <w:rPr>
          <w:rFonts w:cs="Arial"/>
          <w:sz w:val="16"/>
          <w:szCs w:val="16"/>
          <w:rtl/>
        </w:rPr>
        <w:t>רנז</w:t>
      </w:r>
      <w:r w:rsidRPr="00915EA6">
        <w:rPr>
          <w:rFonts w:cs="Arial" w:hint="cs"/>
          <w:sz w:val="16"/>
          <w:szCs w:val="16"/>
          <w:rtl/>
        </w:rPr>
        <w:t>)</w:t>
      </w:r>
      <w:r w:rsidRPr="00915EA6">
        <w:rPr>
          <w:rFonts w:cs="Arial" w:hint="cs"/>
          <w:rtl/>
        </w:rPr>
        <w:t>-</w:t>
      </w:r>
      <w:r w:rsidRPr="00915EA6">
        <w:rPr>
          <w:rFonts w:cs="Arial"/>
          <w:rtl/>
        </w:rPr>
        <w:t xml:space="preserve"> יראה דלא שרי למיעבד הכי</w:t>
      </w:r>
      <w:r>
        <w:rPr>
          <w:rFonts w:cs="Arial" w:hint="cs"/>
          <w:rtl/>
        </w:rPr>
        <w:t>,</w:t>
      </w:r>
      <w:r w:rsidRPr="00915EA6">
        <w:rPr>
          <w:rFonts w:cs="Arial"/>
          <w:rtl/>
        </w:rPr>
        <w:t xml:space="preserve"> כיון דטבילת כלים הלקוחים מן הנכרים דאו</w:t>
      </w:r>
      <w:r>
        <w:rPr>
          <w:rFonts w:cs="Arial" w:hint="cs"/>
          <w:rtl/>
        </w:rPr>
        <w:t>'</w:t>
      </w:r>
      <w:r w:rsidRPr="00915EA6">
        <w:rPr>
          <w:rFonts w:cs="Arial"/>
          <w:rtl/>
        </w:rPr>
        <w:t xml:space="preserve"> היא לא מהימנינן עלה לקטן, אע</w:t>
      </w:r>
      <w:r>
        <w:rPr>
          <w:rFonts w:cs="Arial" w:hint="cs"/>
          <w:rtl/>
        </w:rPr>
        <w:t>"</w:t>
      </w:r>
      <w:r w:rsidRPr="00915EA6">
        <w:rPr>
          <w:rFonts w:cs="Arial"/>
          <w:rtl/>
        </w:rPr>
        <w:t>ג</w:t>
      </w:r>
      <w:r>
        <w:rPr>
          <w:rFonts w:cs="Arial" w:hint="cs"/>
          <w:rtl/>
        </w:rPr>
        <w:t xml:space="preserve"> </w:t>
      </w:r>
      <w:r w:rsidRPr="00915EA6">
        <w:rPr>
          <w:rFonts w:cs="Arial"/>
          <w:rtl/>
        </w:rPr>
        <w:t xml:space="preserve">דבידו הוא ומילתא דלית ביה טורח כדמוכח בתוס' פ"ק דפסחים </w:t>
      </w:r>
      <w:r w:rsidRPr="00915EA6">
        <w:rPr>
          <w:rFonts w:cs="Arial" w:hint="cs"/>
          <w:sz w:val="16"/>
          <w:szCs w:val="16"/>
          <w:rtl/>
        </w:rPr>
        <w:t>(</w:t>
      </w:r>
      <w:r w:rsidRPr="00915EA6">
        <w:rPr>
          <w:rFonts w:cs="Arial"/>
          <w:sz w:val="16"/>
          <w:szCs w:val="16"/>
          <w:rtl/>
        </w:rPr>
        <w:t>ד</w:t>
      </w:r>
      <w:r w:rsidRPr="00915EA6">
        <w:rPr>
          <w:rFonts w:cs="Arial" w:hint="cs"/>
          <w:sz w:val="16"/>
          <w:szCs w:val="16"/>
          <w:rtl/>
        </w:rPr>
        <w:t>:</w:t>
      </w:r>
      <w:r w:rsidRPr="00915EA6">
        <w:rPr>
          <w:rFonts w:cs="Arial"/>
          <w:sz w:val="16"/>
          <w:szCs w:val="16"/>
          <w:rtl/>
        </w:rPr>
        <w:t xml:space="preserve"> תד"ה הימנוהו</w:t>
      </w:r>
      <w:r w:rsidRPr="00915EA6">
        <w:rPr>
          <w:rFonts w:cs="Arial" w:hint="cs"/>
          <w:sz w:val="16"/>
          <w:szCs w:val="16"/>
          <w:rtl/>
        </w:rPr>
        <w:t>)</w:t>
      </w:r>
      <w:r w:rsidRPr="00915EA6">
        <w:rPr>
          <w:rFonts w:cs="Arial"/>
          <w:sz w:val="16"/>
          <w:szCs w:val="16"/>
          <w:rtl/>
        </w:rPr>
        <w:t xml:space="preserve"> </w:t>
      </w:r>
      <w:r w:rsidRPr="00915EA6">
        <w:rPr>
          <w:rFonts w:cs="Arial"/>
          <w:rtl/>
        </w:rPr>
        <w:t>אהא דקאמר הימנוה רבנן בדרבנן, דדוקא נשים ועבדים נקטו התוס' דנאמנים באיסור דאו</w:t>
      </w:r>
      <w:r>
        <w:rPr>
          <w:rFonts w:cs="Arial" w:hint="cs"/>
          <w:rtl/>
        </w:rPr>
        <w:t>'</w:t>
      </w:r>
      <w:r w:rsidRPr="00915EA6">
        <w:rPr>
          <w:rFonts w:cs="Arial"/>
          <w:rtl/>
        </w:rPr>
        <w:t xml:space="preserve"> אבל לא קטנים</w:t>
      </w:r>
      <w:r>
        <w:rPr>
          <w:rStyle w:val="a7"/>
          <w:rFonts w:cs="Arial"/>
          <w:rtl/>
        </w:rPr>
        <w:footnoteReference w:id="2933"/>
      </w:r>
      <w:r w:rsidRPr="00915EA6">
        <w:rPr>
          <w:rFonts w:cs="Arial"/>
          <w:rtl/>
        </w:rPr>
        <w:t>.</w:t>
      </w:r>
      <w:r>
        <w:rPr>
          <w:rFonts w:cs="Arial" w:hint="cs"/>
          <w:rtl/>
        </w:rPr>
        <w:t xml:space="preserve"> </w:t>
      </w:r>
      <w:r w:rsidRPr="00F9202F">
        <w:rPr>
          <w:rFonts w:cs="Arial" w:hint="cs"/>
          <w:color w:val="E36C0A" w:themeColor="accent6" w:themeShade="BF"/>
          <w:rtl/>
        </w:rPr>
        <w:t>(וכ"פ בשו"ע)</w:t>
      </w:r>
      <w:r w:rsidRPr="00915EA6">
        <w:rPr>
          <w:rFonts w:cs="Arial"/>
          <w:rtl/>
        </w:rPr>
        <w:t xml:space="preserve"> </w:t>
      </w:r>
    </w:p>
    <w:p w14:paraId="32CBFDE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6D8542B" w14:textId="77777777" w:rsidR="002C39F4" w:rsidRDefault="002C39F4" w:rsidP="002C39F4">
      <w:pPr>
        <w:rPr>
          <w:rFonts w:asciiTheme="minorBidi" w:hAnsiTheme="minorBidi"/>
          <w:rtl/>
        </w:rPr>
      </w:pPr>
      <w:r w:rsidRPr="003024E5">
        <w:rPr>
          <w:rFonts w:asciiTheme="minorBidi" w:hAnsiTheme="minorBidi"/>
          <w:rtl/>
        </w:rPr>
        <w:t xml:space="preserve">אין מאמינים קטן על טבילת כלים. </w:t>
      </w:r>
      <w:r w:rsidRPr="00002062">
        <w:rPr>
          <w:rFonts w:asciiTheme="minorBidi" w:hAnsiTheme="minorBidi" w:hint="cs"/>
          <w:sz w:val="18"/>
          <w:szCs w:val="18"/>
          <w:rtl/>
        </w:rPr>
        <w:t xml:space="preserve">[הגה] </w:t>
      </w:r>
      <w:r w:rsidRPr="00002062">
        <w:rPr>
          <w:rFonts w:asciiTheme="minorBidi" w:hAnsiTheme="minorBidi"/>
          <w:sz w:val="18"/>
          <w:szCs w:val="18"/>
          <w:rtl/>
        </w:rPr>
        <w:t>אבל אם טבלו לפני גדול, הוי טבילה</w:t>
      </w:r>
      <w:r>
        <w:rPr>
          <w:rStyle w:val="a7"/>
          <w:rFonts w:asciiTheme="minorBidi" w:hAnsiTheme="minorBidi"/>
          <w:sz w:val="18"/>
          <w:szCs w:val="18"/>
          <w:rtl/>
        </w:rPr>
        <w:footnoteReference w:id="2934"/>
      </w:r>
      <w:r w:rsidRPr="00002062">
        <w:rPr>
          <w:rFonts w:asciiTheme="minorBidi" w:hAnsiTheme="minorBidi"/>
          <w:sz w:val="18"/>
          <w:szCs w:val="18"/>
          <w:rtl/>
        </w:rPr>
        <w:t xml:space="preserve"> (ת</w:t>
      </w:r>
      <w:r w:rsidRPr="00002062">
        <w:rPr>
          <w:rFonts w:asciiTheme="minorBidi" w:hAnsiTheme="minorBidi" w:hint="cs"/>
          <w:sz w:val="18"/>
          <w:szCs w:val="18"/>
          <w:rtl/>
        </w:rPr>
        <w:t>רו</w:t>
      </w:r>
      <w:r w:rsidRPr="00002062">
        <w:rPr>
          <w:rFonts w:asciiTheme="minorBidi" w:hAnsiTheme="minorBidi"/>
          <w:sz w:val="18"/>
          <w:szCs w:val="18"/>
          <w:rtl/>
        </w:rPr>
        <w:t>ה</w:t>
      </w:r>
      <w:r w:rsidRPr="00002062">
        <w:rPr>
          <w:rFonts w:asciiTheme="minorBidi" w:hAnsiTheme="minorBidi" w:hint="cs"/>
          <w:sz w:val="18"/>
          <w:szCs w:val="18"/>
          <w:rtl/>
        </w:rPr>
        <w:t>"ד</w:t>
      </w:r>
      <w:r w:rsidRPr="00002062">
        <w:rPr>
          <w:rFonts w:asciiTheme="minorBidi" w:hAnsiTheme="minorBidi"/>
          <w:sz w:val="18"/>
          <w:szCs w:val="18"/>
          <w:rtl/>
        </w:rPr>
        <w:t xml:space="preserve"> סי</w:t>
      </w:r>
      <w:r w:rsidRPr="00002062">
        <w:rPr>
          <w:rFonts w:asciiTheme="minorBidi" w:hAnsiTheme="minorBidi" w:hint="cs"/>
          <w:sz w:val="18"/>
          <w:szCs w:val="18"/>
          <w:rtl/>
        </w:rPr>
        <w:t>'</w:t>
      </w:r>
      <w:r w:rsidRPr="00002062">
        <w:rPr>
          <w:rFonts w:asciiTheme="minorBidi" w:hAnsiTheme="minorBidi"/>
          <w:sz w:val="18"/>
          <w:szCs w:val="18"/>
          <w:rtl/>
        </w:rPr>
        <w:t xml:space="preserve"> רנז).</w:t>
      </w:r>
      <w:r w:rsidRPr="003024E5">
        <w:rPr>
          <w:rFonts w:asciiTheme="minorBidi" w:hAnsiTheme="minorBidi"/>
          <w:rtl/>
        </w:rPr>
        <w:t xml:space="preserve"> </w:t>
      </w:r>
    </w:p>
    <w:p w14:paraId="4421D9E0" w14:textId="77777777" w:rsidR="002C39F4" w:rsidRDefault="002C39F4" w:rsidP="002C39F4">
      <w:pPr>
        <w:rPr>
          <w:rFonts w:asciiTheme="minorBidi" w:hAnsiTheme="minorBidi"/>
          <w:rtl/>
        </w:rPr>
      </w:pPr>
    </w:p>
    <w:p w14:paraId="61B04190" w14:textId="77777777" w:rsidR="002C39F4" w:rsidRDefault="002C39F4" w:rsidP="002C39F4">
      <w:pPr>
        <w:pStyle w:val="2"/>
        <w:rPr>
          <w:rFonts w:asciiTheme="minorBidi" w:hAnsiTheme="minorBidi"/>
          <w:rtl/>
        </w:rPr>
      </w:pPr>
      <w:r w:rsidRPr="003024E5">
        <w:rPr>
          <w:rFonts w:asciiTheme="minorBidi" w:hAnsiTheme="minorBidi"/>
          <w:rtl/>
        </w:rPr>
        <w:t>סעיף טו</w:t>
      </w:r>
      <w:r>
        <w:rPr>
          <w:rFonts w:asciiTheme="minorBidi" w:hAnsiTheme="minorBidi" w:hint="cs"/>
          <w:rtl/>
        </w:rPr>
        <w:t>: טבילה ע"י גוי.</w:t>
      </w:r>
    </w:p>
    <w:p w14:paraId="41D00D53" w14:textId="77777777" w:rsidR="002C39F4" w:rsidRDefault="002C39F4" w:rsidP="002C39F4">
      <w:pPr>
        <w:rPr>
          <w:rFonts w:cs="Arial"/>
          <w:rtl/>
        </w:rPr>
      </w:pPr>
      <w:r w:rsidRPr="00915EA6">
        <w:rPr>
          <w:rFonts w:cs="Arial" w:hint="cs"/>
          <w:u w:val="single"/>
          <w:rtl/>
        </w:rPr>
        <w:t xml:space="preserve">האם </w:t>
      </w:r>
      <w:r>
        <w:rPr>
          <w:rFonts w:cs="Arial" w:hint="cs"/>
          <w:u w:val="single"/>
          <w:rtl/>
        </w:rPr>
        <w:t>מותר</w:t>
      </w:r>
      <w:r w:rsidRPr="00915EA6">
        <w:rPr>
          <w:rFonts w:cs="Arial" w:hint="cs"/>
          <w:u w:val="single"/>
          <w:rtl/>
        </w:rPr>
        <w:t xml:space="preserve"> לטבול כלי ע"י </w:t>
      </w:r>
      <w:r>
        <w:rPr>
          <w:rFonts w:cs="Arial" w:hint="cs"/>
          <w:u w:val="single"/>
          <w:rtl/>
        </w:rPr>
        <w:t>גוי</w:t>
      </w:r>
      <w:r w:rsidRPr="00915EA6">
        <w:rPr>
          <w:rFonts w:cs="Arial" w:hint="cs"/>
          <w:u w:val="single"/>
          <w:rtl/>
        </w:rPr>
        <w:t>:</w:t>
      </w:r>
    </w:p>
    <w:p w14:paraId="659C0516" w14:textId="77777777" w:rsidR="002C39F4" w:rsidRPr="00CD6A1E" w:rsidRDefault="002C39F4" w:rsidP="0032102C">
      <w:pPr>
        <w:pStyle w:val="a8"/>
        <w:numPr>
          <w:ilvl w:val="0"/>
          <w:numId w:val="311"/>
        </w:numPr>
        <w:rPr>
          <w:rFonts w:cs="Arial"/>
          <w:rtl/>
        </w:rPr>
      </w:pPr>
      <w:r w:rsidRPr="00CD6A1E">
        <w:rPr>
          <w:rFonts w:cs="Arial" w:hint="cs"/>
          <w:rtl/>
        </w:rPr>
        <w:t>רשב"א</w:t>
      </w:r>
      <w:r w:rsidRPr="00CD6A1E">
        <w:rPr>
          <w:rFonts w:cs="Arial"/>
          <w:rtl/>
        </w:rPr>
        <w:t xml:space="preserve"> </w:t>
      </w:r>
      <w:r w:rsidRPr="00CD6A1E">
        <w:rPr>
          <w:rFonts w:cs="Arial" w:hint="cs"/>
          <w:sz w:val="16"/>
          <w:szCs w:val="16"/>
          <w:rtl/>
        </w:rPr>
        <w:t xml:space="preserve">(במיוחסות </w:t>
      </w:r>
      <w:r w:rsidRPr="00CD6A1E">
        <w:rPr>
          <w:rFonts w:cs="Arial"/>
          <w:sz w:val="16"/>
          <w:szCs w:val="16"/>
          <w:rtl/>
        </w:rPr>
        <w:t>סי</w:t>
      </w:r>
      <w:r w:rsidRPr="00CD6A1E">
        <w:rPr>
          <w:rFonts w:cs="Arial" w:hint="cs"/>
          <w:sz w:val="16"/>
          <w:szCs w:val="16"/>
          <w:rtl/>
        </w:rPr>
        <w:t>'</w:t>
      </w:r>
      <w:r w:rsidRPr="00CD6A1E">
        <w:rPr>
          <w:rFonts w:cs="Arial"/>
          <w:sz w:val="16"/>
          <w:szCs w:val="16"/>
          <w:rtl/>
        </w:rPr>
        <w:t xml:space="preserve"> קנא</w:t>
      </w:r>
      <w:r>
        <w:rPr>
          <w:rFonts w:cs="Arial" w:hint="cs"/>
          <w:sz w:val="16"/>
          <w:szCs w:val="16"/>
          <w:rtl/>
        </w:rPr>
        <w:t>, ובשו"ת ח"א סי' תקיא</w:t>
      </w:r>
      <w:r w:rsidRPr="00CD6A1E">
        <w:rPr>
          <w:rFonts w:cs="Arial" w:hint="cs"/>
          <w:sz w:val="16"/>
          <w:szCs w:val="16"/>
          <w:rtl/>
        </w:rPr>
        <w:t>)</w:t>
      </w:r>
      <w:r w:rsidRPr="00CD6A1E">
        <w:rPr>
          <w:rFonts w:cs="Arial" w:hint="cs"/>
          <w:rtl/>
        </w:rPr>
        <w:t>-</w:t>
      </w:r>
      <w:r w:rsidRPr="00CD6A1E">
        <w:rPr>
          <w:rFonts w:cs="Arial"/>
          <w:rtl/>
        </w:rPr>
        <w:t xml:space="preserve"> מותר להטביל כלים ע</w:t>
      </w:r>
      <w:r>
        <w:rPr>
          <w:rFonts w:cs="Arial" w:hint="cs"/>
          <w:rtl/>
        </w:rPr>
        <w:t>"</w:t>
      </w:r>
      <w:r w:rsidRPr="00CD6A1E">
        <w:rPr>
          <w:rFonts w:cs="Arial"/>
          <w:rtl/>
        </w:rPr>
        <w:t>י גוי</w:t>
      </w:r>
      <w:r w:rsidRPr="00CD6A1E">
        <w:rPr>
          <w:rFonts w:cs="Arial" w:hint="cs"/>
          <w:rtl/>
        </w:rPr>
        <w:t>.</w:t>
      </w:r>
      <w:r w:rsidRPr="00CD6A1E">
        <w:rPr>
          <w:rFonts w:cs="Arial"/>
          <w:rtl/>
        </w:rPr>
        <w:t xml:space="preserve"> </w:t>
      </w:r>
    </w:p>
    <w:p w14:paraId="2D7C1853" w14:textId="77777777" w:rsidR="002C39F4" w:rsidRPr="00002062" w:rsidRDefault="002C39F4" w:rsidP="0032102C">
      <w:pPr>
        <w:pStyle w:val="a8"/>
        <w:numPr>
          <w:ilvl w:val="0"/>
          <w:numId w:val="311"/>
        </w:numPr>
        <w:rPr>
          <w:rtl/>
        </w:rPr>
      </w:pPr>
      <w:r w:rsidRPr="00CD6A1E">
        <w:rPr>
          <w:rFonts w:cs="Arial"/>
          <w:rtl/>
        </w:rPr>
        <w:t xml:space="preserve">רשב"א </w:t>
      </w:r>
      <w:r w:rsidRPr="00CD6A1E">
        <w:rPr>
          <w:rFonts w:cs="Arial"/>
          <w:sz w:val="16"/>
          <w:szCs w:val="16"/>
          <w:rtl/>
        </w:rPr>
        <w:t>(ח"ג ס</w:t>
      </w:r>
      <w:r>
        <w:rPr>
          <w:rFonts w:cs="Arial" w:hint="cs"/>
          <w:sz w:val="16"/>
          <w:szCs w:val="16"/>
          <w:rtl/>
        </w:rPr>
        <w:t>י'</w:t>
      </w:r>
      <w:r w:rsidRPr="00CD6A1E">
        <w:rPr>
          <w:rFonts w:cs="Arial"/>
          <w:sz w:val="16"/>
          <w:szCs w:val="16"/>
          <w:rtl/>
        </w:rPr>
        <w:t xml:space="preserve"> רנה)</w:t>
      </w:r>
      <w:r w:rsidRPr="00CD6A1E">
        <w:rPr>
          <w:rFonts w:cs="Arial" w:hint="cs"/>
          <w:rtl/>
        </w:rPr>
        <w:t>-</w:t>
      </w:r>
      <w:r w:rsidRPr="00CD6A1E">
        <w:rPr>
          <w:rFonts w:cs="Arial"/>
          <w:rtl/>
        </w:rPr>
        <w:t xml:space="preserve"> </w:t>
      </w:r>
      <w:r>
        <w:rPr>
          <w:rStyle w:val="a7"/>
          <w:rFonts w:cs="Arial"/>
          <w:rtl/>
        </w:rPr>
        <w:footnoteReference w:id="2935"/>
      </w:r>
      <w:r w:rsidRPr="00CD6A1E">
        <w:rPr>
          <w:rFonts w:cs="Arial"/>
          <w:rtl/>
        </w:rPr>
        <w:t>מה שכתבת שהטבלת כלים מדרבנן</w:t>
      </w:r>
      <w:r>
        <w:rPr>
          <w:rFonts w:cs="Arial" w:hint="cs"/>
          <w:rtl/>
        </w:rPr>
        <w:t>,</w:t>
      </w:r>
      <w:r w:rsidRPr="00CD6A1E">
        <w:rPr>
          <w:rFonts w:cs="Arial"/>
          <w:rtl/>
        </w:rPr>
        <w:t xml:space="preserve"> לא כו</w:t>
      </w:r>
      <w:r>
        <w:rPr>
          <w:rFonts w:cs="Arial" w:hint="cs"/>
          <w:rtl/>
        </w:rPr>
        <w:t>"ע</w:t>
      </w:r>
      <w:r w:rsidRPr="00CD6A1E">
        <w:rPr>
          <w:rFonts w:cs="Arial"/>
          <w:rtl/>
        </w:rPr>
        <w:t xml:space="preserve"> מודים בו</w:t>
      </w:r>
      <w:r>
        <w:rPr>
          <w:rFonts w:cs="Arial" w:hint="cs"/>
          <w:rtl/>
        </w:rPr>
        <w:t>,</w:t>
      </w:r>
      <w:r w:rsidRPr="00CD6A1E">
        <w:rPr>
          <w:rFonts w:cs="Arial"/>
          <w:rtl/>
        </w:rPr>
        <w:t xml:space="preserve"> ומדברי הרמב"ם יראה שהוא סבור שהוא מדאו</w:t>
      </w:r>
      <w:r>
        <w:rPr>
          <w:rFonts w:cs="Arial" w:hint="cs"/>
          <w:rtl/>
        </w:rPr>
        <w:t>',</w:t>
      </w:r>
      <w:r w:rsidRPr="00CD6A1E">
        <w:rPr>
          <w:rFonts w:cs="Arial"/>
          <w:rtl/>
        </w:rPr>
        <w:t xml:space="preserve"> ופשטא דשמעתא דשילהי ע"ז הכי משמע טפי</w:t>
      </w:r>
      <w:r>
        <w:rPr>
          <w:rFonts w:cs="Arial" w:hint="cs"/>
          <w:rtl/>
        </w:rPr>
        <w:t>,</w:t>
      </w:r>
      <w:r w:rsidRPr="00CD6A1E">
        <w:rPr>
          <w:rFonts w:cs="Arial"/>
          <w:rtl/>
        </w:rPr>
        <w:t xml:space="preserve"> ומ</w:t>
      </w:r>
      <w:r>
        <w:rPr>
          <w:rFonts w:cs="Arial" w:hint="cs"/>
          <w:rtl/>
        </w:rPr>
        <w:t>"מ</w:t>
      </w:r>
      <w:r w:rsidRPr="00CD6A1E">
        <w:rPr>
          <w:rFonts w:cs="Arial"/>
          <w:rtl/>
        </w:rPr>
        <w:t xml:space="preserve"> כל לחולין לא בעי כוונה ואפילו לגבי נדה משום דכל לבעלה חולין הוא</w:t>
      </w:r>
      <w:r>
        <w:rPr>
          <w:rFonts w:cs="Arial" w:hint="cs"/>
          <w:rtl/>
        </w:rPr>
        <w:t>,</w:t>
      </w:r>
      <w:r w:rsidRPr="00CD6A1E">
        <w:rPr>
          <w:rFonts w:cs="Arial"/>
          <w:rtl/>
        </w:rPr>
        <w:t xml:space="preserve"> ואיפליגו בה רב ורבי יוחנן</w:t>
      </w:r>
      <w:r>
        <w:rPr>
          <w:rFonts w:cs="Arial" w:hint="cs"/>
          <w:rtl/>
        </w:rPr>
        <w:t>,</w:t>
      </w:r>
      <w:r w:rsidRPr="00CD6A1E">
        <w:rPr>
          <w:rFonts w:cs="Arial"/>
          <w:rtl/>
        </w:rPr>
        <w:t xml:space="preserve"> ופסקו הפוסקים כרב דלבעלה מותרת</w:t>
      </w:r>
      <w:r>
        <w:rPr>
          <w:rFonts w:cs="Arial" w:hint="cs"/>
          <w:rtl/>
        </w:rPr>
        <w:t>,</w:t>
      </w:r>
      <w:r w:rsidRPr="00CD6A1E">
        <w:rPr>
          <w:rFonts w:cs="Arial"/>
          <w:rtl/>
        </w:rPr>
        <w:t xml:space="preserve"> ואפשר משום דהתם משמע דרב נחמן אית ליה כרב</w:t>
      </w:r>
      <w:r>
        <w:rPr>
          <w:rFonts w:cs="Arial" w:hint="cs"/>
          <w:rtl/>
        </w:rPr>
        <w:t>,</w:t>
      </w:r>
      <w:r w:rsidRPr="00CD6A1E">
        <w:rPr>
          <w:rFonts w:cs="Arial"/>
          <w:rtl/>
        </w:rPr>
        <w:t xml:space="preserve"> ועוד נראה לי דלגבי טבילת כלים לא בעי שליחות</w:t>
      </w:r>
      <w:r>
        <w:rPr>
          <w:rFonts w:cs="Arial" w:hint="cs"/>
          <w:rtl/>
        </w:rPr>
        <w:t>,</w:t>
      </w:r>
      <w:r w:rsidRPr="00CD6A1E">
        <w:rPr>
          <w:rFonts w:cs="Arial"/>
          <w:rtl/>
        </w:rPr>
        <w:t xml:space="preserve"> דמנא תיתי</w:t>
      </w:r>
      <w:r>
        <w:rPr>
          <w:rFonts w:cs="Arial" w:hint="cs"/>
          <w:rtl/>
        </w:rPr>
        <w:t>,</w:t>
      </w:r>
      <w:r w:rsidRPr="00CD6A1E">
        <w:rPr>
          <w:rFonts w:cs="Arial"/>
          <w:rtl/>
        </w:rPr>
        <w:t xml:space="preserve"> ואילו הטבילו ישראל שלא מדעת הבעלים עלתה לו טבילה</w:t>
      </w:r>
      <w:r>
        <w:rPr>
          <w:rFonts w:cs="Arial" w:hint="cs"/>
          <w:rtl/>
        </w:rPr>
        <w:t>,</w:t>
      </w:r>
      <w:r w:rsidRPr="00CD6A1E">
        <w:rPr>
          <w:rFonts w:cs="Arial"/>
          <w:rtl/>
        </w:rPr>
        <w:t xml:space="preserve"> וכל היכא דלא בעי שליחות אפילו טבילת גוי למה לא תעלה</w:t>
      </w:r>
      <w:r>
        <w:rPr>
          <w:rFonts w:cs="Arial" w:hint="cs"/>
          <w:rtl/>
        </w:rPr>
        <w:t>,</w:t>
      </w:r>
      <w:r w:rsidRPr="00CD6A1E">
        <w:rPr>
          <w:rFonts w:cs="Arial"/>
          <w:rtl/>
        </w:rPr>
        <w:t xml:space="preserve"> ועוד אפשר דאפילו טבילת גוי אפילו לרבנן לא גרע מירדה להקר</w:t>
      </w:r>
      <w:r>
        <w:rPr>
          <w:rFonts w:cs="Arial" w:hint="cs"/>
          <w:rtl/>
        </w:rPr>
        <w:t>,</w:t>
      </w:r>
      <w:r w:rsidRPr="00CD6A1E">
        <w:rPr>
          <w:rFonts w:cs="Arial"/>
          <w:rtl/>
        </w:rPr>
        <w:t xml:space="preserve"> ומכל זה יראה לי שעלתה לו טבילה</w:t>
      </w:r>
      <w:r>
        <w:rPr>
          <w:rStyle w:val="a7"/>
          <w:rFonts w:cs="Arial"/>
          <w:rtl/>
        </w:rPr>
        <w:footnoteReference w:id="2936"/>
      </w:r>
      <w:r>
        <w:rPr>
          <w:rFonts w:cs="Arial" w:hint="cs"/>
          <w:rtl/>
        </w:rPr>
        <w:t>.</w:t>
      </w:r>
      <w:r>
        <w:rPr>
          <w:rFonts w:hint="cs"/>
          <w:rtl/>
        </w:rPr>
        <w:t xml:space="preserve"> </w:t>
      </w:r>
      <w:r w:rsidRPr="000E5229">
        <w:rPr>
          <w:rFonts w:hint="cs"/>
          <w:color w:val="E36C0A" w:themeColor="accent6" w:themeShade="BF"/>
          <w:rtl/>
        </w:rPr>
        <w:t>(וכ"פ בשו"ע)</w:t>
      </w:r>
    </w:p>
    <w:p w14:paraId="0CBE013F"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042803C" w14:textId="77777777" w:rsidR="002C39F4" w:rsidRDefault="002C39F4" w:rsidP="002C39F4">
      <w:pPr>
        <w:rPr>
          <w:rFonts w:asciiTheme="minorBidi" w:hAnsiTheme="minorBidi"/>
          <w:rtl/>
        </w:rPr>
      </w:pPr>
      <w:r w:rsidRPr="003024E5">
        <w:rPr>
          <w:rFonts w:asciiTheme="minorBidi" w:hAnsiTheme="minorBidi"/>
          <w:rtl/>
        </w:rPr>
        <w:t xml:space="preserve">אם הטביל כלים על ידי </w:t>
      </w:r>
      <w:r>
        <w:rPr>
          <w:rFonts w:asciiTheme="minorBidi" w:hAnsiTheme="minorBidi" w:hint="cs"/>
          <w:rtl/>
        </w:rPr>
        <w:t>גוי</w:t>
      </w:r>
      <w:r w:rsidRPr="003024E5">
        <w:rPr>
          <w:rFonts w:asciiTheme="minorBidi" w:hAnsiTheme="minorBidi"/>
          <w:rtl/>
        </w:rPr>
        <w:t>, עלתה להם טבילה</w:t>
      </w:r>
      <w:r>
        <w:rPr>
          <w:rStyle w:val="a7"/>
          <w:rFonts w:asciiTheme="minorBidi" w:hAnsiTheme="minorBidi"/>
          <w:rtl/>
        </w:rPr>
        <w:footnoteReference w:id="2937"/>
      </w:r>
      <w:r w:rsidRPr="003024E5">
        <w:rPr>
          <w:rFonts w:asciiTheme="minorBidi" w:hAnsiTheme="minorBidi"/>
          <w:rtl/>
        </w:rPr>
        <w:t>.</w:t>
      </w:r>
      <w:r w:rsidRPr="00002062">
        <w:rPr>
          <w:rFonts w:asciiTheme="minorBidi" w:hAnsiTheme="minorBidi"/>
          <w:sz w:val="18"/>
          <w:szCs w:val="18"/>
          <w:rtl/>
        </w:rPr>
        <w:t xml:space="preserve"> </w:t>
      </w:r>
      <w:r w:rsidRPr="00002062">
        <w:rPr>
          <w:rFonts w:asciiTheme="minorBidi" w:hAnsiTheme="minorBidi" w:hint="cs"/>
          <w:sz w:val="18"/>
          <w:szCs w:val="18"/>
          <w:rtl/>
        </w:rPr>
        <w:t xml:space="preserve">[הגה] </w:t>
      </w:r>
      <w:r w:rsidRPr="00002062">
        <w:rPr>
          <w:rFonts w:asciiTheme="minorBidi" w:hAnsiTheme="minorBidi"/>
          <w:sz w:val="18"/>
          <w:szCs w:val="18"/>
          <w:rtl/>
        </w:rPr>
        <w:t xml:space="preserve">אבל אינו נאמן על הטבילה (ד"ע). </w:t>
      </w:r>
    </w:p>
    <w:p w14:paraId="423E8066" w14:textId="77777777" w:rsidR="002C39F4" w:rsidRPr="000E5229" w:rsidRDefault="002C39F4" w:rsidP="002C39F4">
      <w:pPr>
        <w:rPr>
          <w:rFonts w:asciiTheme="minorBidi" w:hAnsiTheme="minorBidi"/>
          <w:u w:val="single"/>
          <w:rtl/>
        </w:rPr>
      </w:pPr>
      <w:r w:rsidRPr="000E5229">
        <w:rPr>
          <w:rFonts w:asciiTheme="minorBidi" w:hAnsiTheme="minorBidi" w:hint="cs"/>
          <w:u w:val="single"/>
          <w:rtl/>
        </w:rPr>
        <w:t>כלים שנפלו למקוה - האם עלתה להם טבילה:</w:t>
      </w:r>
    </w:p>
    <w:p w14:paraId="72D0939B" w14:textId="77777777" w:rsidR="002C39F4" w:rsidRDefault="002C39F4" w:rsidP="0032102C">
      <w:pPr>
        <w:pStyle w:val="a8"/>
        <w:numPr>
          <w:ilvl w:val="0"/>
          <w:numId w:val="312"/>
        </w:numPr>
        <w:rPr>
          <w:rFonts w:asciiTheme="minorBidi" w:hAnsiTheme="minorBidi"/>
        </w:rPr>
      </w:pPr>
      <w:r w:rsidRPr="000E5229">
        <w:rPr>
          <w:rFonts w:asciiTheme="minorBidi" w:hAnsiTheme="minorBidi" w:hint="cs"/>
          <w:rtl/>
        </w:rPr>
        <w:t>ב"ח</w:t>
      </w:r>
      <w:r>
        <w:rPr>
          <w:rFonts w:asciiTheme="minorBidi" w:hAnsiTheme="minorBidi" w:hint="cs"/>
          <w:rtl/>
        </w:rPr>
        <w:t xml:space="preserve"> </w:t>
      </w:r>
      <w:r>
        <w:rPr>
          <w:rFonts w:asciiTheme="minorBidi" w:hAnsiTheme="minorBidi" w:hint="cs"/>
          <w:sz w:val="16"/>
          <w:szCs w:val="16"/>
          <w:rtl/>
        </w:rPr>
        <w:t>(</w:t>
      </w:r>
      <w:r w:rsidRPr="000E5229">
        <w:rPr>
          <w:rFonts w:asciiTheme="minorBidi" w:hAnsiTheme="minorBidi" w:hint="cs"/>
          <w:sz w:val="16"/>
          <w:szCs w:val="16"/>
          <w:rtl/>
        </w:rPr>
        <w:t>עמ' ע ד"ה הקונה)</w:t>
      </w:r>
      <w:r>
        <w:rPr>
          <w:rFonts w:asciiTheme="minorBidi" w:hAnsiTheme="minorBidi" w:hint="cs"/>
          <w:rtl/>
        </w:rPr>
        <w:t>- לא עלתה לו טבילה</w:t>
      </w:r>
      <w:r>
        <w:rPr>
          <w:rStyle w:val="a7"/>
          <w:rFonts w:asciiTheme="minorBidi" w:hAnsiTheme="minorBidi"/>
          <w:rtl/>
        </w:rPr>
        <w:footnoteReference w:id="2938"/>
      </w:r>
      <w:r>
        <w:rPr>
          <w:rFonts w:asciiTheme="minorBidi" w:hAnsiTheme="minorBidi" w:hint="cs"/>
          <w:rtl/>
        </w:rPr>
        <w:t>.</w:t>
      </w:r>
    </w:p>
    <w:p w14:paraId="46BB973F" w14:textId="77777777" w:rsidR="002C39F4" w:rsidRPr="000E5229" w:rsidRDefault="002C39F4" w:rsidP="0032102C">
      <w:pPr>
        <w:pStyle w:val="a8"/>
        <w:numPr>
          <w:ilvl w:val="0"/>
          <w:numId w:val="312"/>
        </w:numPr>
        <w:rPr>
          <w:rFonts w:asciiTheme="minorBidi" w:hAnsiTheme="minorBidi"/>
          <w:rtl/>
        </w:rPr>
      </w:pPr>
      <w:r>
        <w:rPr>
          <w:rFonts w:asciiTheme="minorBidi" w:hAnsiTheme="minorBidi" w:hint="cs"/>
          <w:rtl/>
        </w:rPr>
        <w:t xml:space="preserve">(רשב"א תרוה"ד ורמ"א </w:t>
      </w:r>
      <w:r w:rsidRPr="000E5229">
        <w:rPr>
          <w:rFonts w:asciiTheme="minorBidi" w:hAnsiTheme="minorBidi" w:hint="cs"/>
          <w:sz w:val="16"/>
          <w:szCs w:val="16"/>
          <w:rtl/>
        </w:rPr>
        <w:t>להב' הט"ז</w:t>
      </w:r>
      <w:r>
        <w:rPr>
          <w:rFonts w:asciiTheme="minorBidi" w:hAnsiTheme="minorBidi" w:hint="cs"/>
          <w:sz w:val="16"/>
          <w:szCs w:val="16"/>
          <w:rtl/>
        </w:rPr>
        <w:t xml:space="preserve"> </w:t>
      </w:r>
      <w:r w:rsidRPr="009111B9">
        <w:rPr>
          <w:rFonts w:asciiTheme="minorBidi" w:hAnsiTheme="minorBidi" w:hint="cs"/>
          <w:sz w:val="14"/>
          <w:szCs w:val="14"/>
          <w:rtl/>
        </w:rPr>
        <w:t>[סקט"ז]</w:t>
      </w:r>
      <w:r w:rsidRPr="000E5229">
        <w:rPr>
          <w:rFonts w:asciiTheme="minorBidi" w:hAnsiTheme="minorBidi" w:hint="cs"/>
          <w:sz w:val="16"/>
          <w:szCs w:val="16"/>
          <w:rtl/>
        </w:rPr>
        <w:t xml:space="preserve"> והש"ך</w:t>
      </w:r>
      <w:r>
        <w:rPr>
          <w:rFonts w:asciiTheme="minorBidi" w:hAnsiTheme="minorBidi" w:hint="cs"/>
          <w:rtl/>
        </w:rPr>
        <w:t>) רמ"ע וש"ך</w:t>
      </w:r>
      <w:r>
        <w:rPr>
          <w:rFonts w:asciiTheme="minorBidi" w:hAnsiTheme="minorBidi" w:hint="cs"/>
          <w:sz w:val="16"/>
          <w:szCs w:val="16"/>
          <w:rtl/>
        </w:rPr>
        <w:t xml:space="preserve"> (סקכ"ח)</w:t>
      </w:r>
      <w:r>
        <w:rPr>
          <w:rFonts w:asciiTheme="minorBidi" w:hAnsiTheme="minorBidi"/>
          <w:rtl/>
        </w:rPr>
        <w:softHyphen/>
      </w:r>
      <w:r>
        <w:rPr>
          <w:rFonts w:asciiTheme="minorBidi" w:hAnsiTheme="minorBidi" w:hint="cs"/>
          <w:rtl/>
        </w:rPr>
        <w:t>- עלתה לו טבילה, דלא בעי כונה כלל.</w:t>
      </w:r>
    </w:p>
    <w:p w14:paraId="25A62222" w14:textId="77777777" w:rsidR="002C39F4" w:rsidRPr="003024E5" w:rsidRDefault="002C39F4" w:rsidP="002C39F4">
      <w:pPr>
        <w:rPr>
          <w:rFonts w:asciiTheme="minorBidi" w:hAnsiTheme="minorBidi"/>
          <w:rtl/>
        </w:rPr>
      </w:pPr>
    </w:p>
    <w:p w14:paraId="71782872" w14:textId="77777777" w:rsidR="002C39F4" w:rsidRDefault="002C39F4" w:rsidP="002C39F4">
      <w:pPr>
        <w:pStyle w:val="2"/>
        <w:rPr>
          <w:rFonts w:asciiTheme="minorBidi" w:hAnsiTheme="minorBidi"/>
          <w:rtl/>
        </w:rPr>
      </w:pPr>
      <w:r w:rsidRPr="003024E5">
        <w:rPr>
          <w:rFonts w:asciiTheme="minorBidi" w:hAnsiTheme="minorBidi"/>
          <w:rtl/>
        </w:rPr>
        <w:t>סעיף טז</w:t>
      </w:r>
      <w:r>
        <w:rPr>
          <w:rFonts w:asciiTheme="minorBidi" w:hAnsiTheme="minorBidi" w:hint="cs"/>
          <w:rtl/>
        </w:rPr>
        <w:t>: שכח להטביל.</w:t>
      </w:r>
    </w:p>
    <w:p w14:paraId="29B4A32A" w14:textId="77777777" w:rsidR="002C39F4" w:rsidRDefault="002C39F4" w:rsidP="002C39F4">
      <w:pPr>
        <w:rPr>
          <w:rtl/>
        </w:rPr>
      </w:pPr>
      <w:r>
        <w:rPr>
          <w:rFonts w:cs="Arial" w:hint="cs"/>
          <w:b/>
          <w:bCs/>
          <w:rtl/>
        </w:rPr>
        <w:t xml:space="preserve">ירושלמי </w:t>
      </w:r>
      <w:r w:rsidRPr="00F24793">
        <w:rPr>
          <w:rFonts w:cs="Arial" w:hint="cs"/>
          <w:b/>
          <w:bCs/>
          <w:sz w:val="14"/>
          <w:szCs w:val="14"/>
          <w:rtl/>
        </w:rPr>
        <w:t xml:space="preserve">(וילנא) </w:t>
      </w:r>
      <w:r>
        <w:rPr>
          <w:rFonts w:cs="Arial" w:hint="cs"/>
          <w:b/>
          <w:bCs/>
          <w:rtl/>
        </w:rPr>
        <w:t xml:space="preserve">עבודה זרה פ"ה הט"ו: </w:t>
      </w:r>
      <w:r w:rsidRPr="00F24793">
        <w:rPr>
          <w:rFonts w:cs="Arial"/>
          <w:rtl/>
        </w:rPr>
        <w:t>הלוקח כלי תשמיש מן הנכרי</w:t>
      </w:r>
      <w:r>
        <w:rPr>
          <w:rFonts w:cs="Arial" w:hint="cs"/>
          <w:rtl/>
        </w:rPr>
        <w:t>...</w:t>
      </w:r>
      <w:r w:rsidRPr="00F24793">
        <w:rPr>
          <w:rFonts w:cs="Arial"/>
          <w:rtl/>
        </w:rPr>
        <w:t xml:space="preserve"> וכולן שנשתמש בהן אף על פי שלא הטביל והגעיל ושף וליבן הרי אילו טהורין.</w:t>
      </w:r>
    </w:p>
    <w:p w14:paraId="11E43E94" w14:textId="77777777" w:rsidR="002C39F4" w:rsidRPr="003B3EC3" w:rsidRDefault="002C39F4" w:rsidP="002C39F4">
      <w:pPr>
        <w:rPr>
          <w:sz w:val="16"/>
          <w:szCs w:val="16"/>
          <w:rtl/>
        </w:rPr>
      </w:pPr>
      <w:r>
        <w:rPr>
          <w:rFonts w:cs="Arial" w:hint="cs"/>
          <w:b/>
          <w:bCs/>
          <w:rtl/>
        </w:rPr>
        <w:t xml:space="preserve">עבודה זרה עה ע"ב: </w:t>
      </w:r>
      <w:r w:rsidRPr="003B3EC3">
        <w:rPr>
          <w:rFonts w:cs="Arial"/>
          <w:rtl/>
        </w:rPr>
        <w:t>וכולן שנשתמש בהן עד שלא יטביל ושלא יגעיל ושלא ילבן - תני חדא: אסור, ותניא אידך: מותר! ל"ק: הא כמאן דאמר נותן טעם לפגם - אסור, הא כמאן דאמר נותן טעם לפגם - מותר.</w:t>
      </w:r>
      <w:r>
        <w:rPr>
          <w:rFonts w:cs="Arial" w:hint="cs"/>
          <w:sz w:val="16"/>
          <w:szCs w:val="16"/>
          <w:rtl/>
        </w:rPr>
        <w:t xml:space="preserve"> </w:t>
      </w:r>
      <w:r w:rsidRPr="003B3EC3">
        <w:rPr>
          <w:rFonts w:cs="Arial" w:hint="cs"/>
          <w:color w:val="FF0000"/>
          <w:sz w:val="16"/>
          <w:szCs w:val="16"/>
          <w:rtl/>
        </w:rPr>
        <w:t>{צל"ע מדוע הב"י לא הביא גמ' זו, והרי הראב"ד והרשב"א מפרשים דהא דאמרו "עד שלא יטביל" היינו טבילה ממש ולא הדחה, וכ"פ בשו"ע</w:t>
      </w:r>
      <w:r w:rsidRPr="003B3EC3">
        <w:rPr>
          <w:rFonts w:hint="cs"/>
          <w:color w:val="FF0000"/>
          <w:sz w:val="16"/>
          <w:szCs w:val="16"/>
          <w:rtl/>
        </w:rPr>
        <w:t xml:space="preserve"> סי' קכב ס"ג</w:t>
      </w:r>
      <w:r>
        <w:rPr>
          <w:rFonts w:hint="cs"/>
          <w:color w:val="FF0000"/>
          <w:sz w:val="16"/>
          <w:szCs w:val="16"/>
          <w:rtl/>
        </w:rPr>
        <w:t>, וא"כ גם מגמ' זו יש ללמוד שאם השתמש ללא טבילה שרי</w:t>
      </w:r>
      <w:r w:rsidRPr="003B3EC3">
        <w:rPr>
          <w:rFonts w:hint="cs"/>
          <w:color w:val="FF0000"/>
          <w:sz w:val="16"/>
          <w:szCs w:val="16"/>
          <w:rtl/>
        </w:rPr>
        <w:t>}</w:t>
      </w:r>
    </w:p>
    <w:p w14:paraId="7C416FB4" w14:textId="77777777" w:rsidR="002C39F4" w:rsidRDefault="002C39F4" w:rsidP="002C39F4">
      <w:pPr>
        <w:rPr>
          <w:rFonts w:cs="Arial"/>
          <w:rtl/>
        </w:rPr>
      </w:pPr>
      <w:r w:rsidRPr="00F24793">
        <w:rPr>
          <w:rFonts w:cs="Arial" w:hint="cs"/>
          <w:u w:val="single"/>
          <w:rtl/>
        </w:rPr>
        <w:t xml:space="preserve">השתמש בכלי לא טבול </w:t>
      </w:r>
      <w:r w:rsidRPr="00F24793">
        <w:rPr>
          <w:rFonts w:cs="Arial"/>
          <w:u w:val="single"/>
          <w:rtl/>
        </w:rPr>
        <w:t>–</w:t>
      </w:r>
      <w:r w:rsidRPr="00F24793">
        <w:rPr>
          <w:rFonts w:cs="Arial" w:hint="cs"/>
          <w:u w:val="single"/>
          <w:rtl/>
        </w:rPr>
        <w:t xml:space="preserve"> מה דין המאכל:</w:t>
      </w:r>
    </w:p>
    <w:p w14:paraId="75675894" w14:textId="77777777" w:rsidR="002C39F4" w:rsidRPr="00AE3CB7" w:rsidRDefault="002C39F4" w:rsidP="0032102C">
      <w:pPr>
        <w:pStyle w:val="a8"/>
        <w:numPr>
          <w:ilvl w:val="0"/>
          <w:numId w:val="313"/>
        </w:numPr>
        <w:rPr>
          <w:rtl/>
        </w:rPr>
      </w:pPr>
      <w:r w:rsidRPr="007F333A">
        <w:rPr>
          <w:rFonts w:cs="Arial"/>
          <w:rtl/>
        </w:rPr>
        <w:t>תוס</w:t>
      </w:r>
      <w:r>
        <w:rPr>
          <w:rFonts w:cs="Arial" w:hint="cs"/>
          <w:rtl/>
        </w:rPr>
        <w:t>'</w:t>
      </w:r>
      <w:r w:rsidRPr="007F333A">
        <w:rPr>
          <w:rFonts w:cs="Arial"/>
          <w:rtl/>
        </w:rPr>
        <w:t xml:space="preserve"> ראב"ד רמב"ם רא"ש ו</w:t>
      </w:r>
      <w:r>
        <w:rPr>
          <w:rFonts w:cs="Arial" w:hint="cs"/>
          <w:rtl/>
        </w:rPr>
        <w:t>טור</w:t>
      </w:r>
      <w:r>
        <w:rPr>
          <w:rStyle w:val="a7"/>
          <w:rFonts w:cs="Arial"/>
          <w:rtl/>
        </w:rPr>
        <w:footnoteReference w:id="2939"/>
      </w:r>
      <w:r w:rsidRPr="00F24793">
        <w:rPr>
          <w:rFonts w:cs="Arial" w:hint="cs"/>
          <w:rtl/>
        </w:rPr>
        <w:t xml:space="preserve">- </w:t>
      </w:r>
      <w:r w:rsidRPr="00F24793">
        <w:rPr>
          <w:rFonts w:cs="Arial"/>
          <w:rtl/>
        </w:rPr>
        <w:t>אע</w:t>
      </w:r>
      <w:r>
        <w:rPr>
          <w:rFonts w:cs="Arial" w:hint="cs"/>
          <w:rtl/>
        </w:rPr>
        <w:t>"</w:t>
      </w:r>
      <w:r w:rsidRPr="00F24793">
        <w:rPr>
          <w:rFonts w:cs="Arial"/>
          <w:rtl/>
        </w:rPr>
        <w:t>פ שצריך להטביל הכלי קודם שישתמש בו אם נשתמש בו קודם לא נאסר מה שנשתמש בו</w:t>
      </w:r>
      <w:r>
        <w:rPr>
          <w:rFonts w:cs="Arial" w:hint="cs"/>
          <w:rtl/>
        </w:rPr>
        <w:t>,</w:t>
      </w:r>
      <w:r w:rsidRPr="00F24793">
        <w:rPr>
          <w:rFonts w:cs="Arial"/>
          <w:rtl/>
        </w:rPr>
        <w:t xml:space="preserve"> ויטבילנו עוד</w:t>
      </w:r>
      <w:r>
        <w:rPr>
          <w:rFonts w:hint="cs"/>
          <w:sz w:val="16"/>
          <w:szCs w:val="16"/>
          <w:rtl/>
        </w:rPr>
        <w:t xml:space="preserve"> (ל' הטור)</w:t>
      </w:r>
      <w:r>
        <w:rPr>
          <w:rFonts w:hint="cs"/>
          <w:rtl/>
        </w:rPr>
        <w:t>.</w:t>
      </w:r>
      <w:r w:rsidRPr="002D14C9">
        <w:rPr>
          <w:rFonts w:hint="cs"/>
          <w:color w:val="00B0F0"/>
          <w:rtl/>
        </w:rPr>
        <w:t xml:space="preserve"> (וכ"פ הרמ"א)</w:t>
      </w:r>
    </w:p>
    <w:p w14:paraId="18BE2047" w14:textId="77777777" w:rsidR="002C39F4" w:rsidRPr="00F24793" w:rsidRDefault="002C39F4" w:rsidP="002C39F4">
      <w:pPr>
        <w:rPr>
          <w:rFonts w:cs="Arial"/>
          <w:u w:val="single"/>
          <w:rtl/>
        </w:rPr>
      </w:pPr>
      <w:r w:rsidRPr="00F24793">
        <w:rPr>
          <w:rFonts w:cs="Arial"/>
          <w:u w:val="single"/>
          <w:rtl/>
        </w:rPr>
        <w:t>שכח ולא הטביל כלי מערב שבת</w:t>
      </w:r>
      <w:r>
        <w:rPr>
          <w:rFonts w:cs="Arial" w:hint="cs"/>
          <w:sz w:val="16"/>
          <w:szCs w:val="16"/>
          <w:u w:val="single"/>
          <w:rtl/>
        </w:rPr>
        <w:t xml:space="preserve"> (או מעיו"ט)</w:t>
      </w:r>
      <w:r w:rsidRPr="00F24793">
        <w:rPr>
          <w:rFonts w:cs="Arial" w:hint="cs"/>
          <w:u w:val="single"/>
          <w:rtl/>
        </w:rPr>
        <w:t>:</w:t>
      </w:r>
    </w:p>
    <w:p w14:paraId="50E8F6AB" w14:textId="77777777" w:rsidR="002C39F4" w:rsidRPr="00002062" w:rsidRDefault="002C39F4" w:rsidP="0032102C">
      <w:pPr>
        <w:pStyle w:val="a8"/>
        <w:numPr>
          <w:ilvl w:val="0"/>
          <w:numId w:val="313"/>
        </w:numPr>
        <w:rPr>
          <w:rtl/>
        </w:rPr>
      </w:pPr>
      <w:r w:rsidRPr="00F24793">
        <w:rPr>
          <w:rFonts w:cs="Arial"/>
          <w:rtl/>
        </w:rPr>
        <w:t>מרדכ</w:t>
      </w:r>
      <w:r>
        <w:rPr>
          <w:rFonts w:cs="Arial" w:hint="cs"/>
          <w:rtl/>
        </w:rPr>
        <w:t xml:space="preserve">י </w:t>
      </w:r>
      <w:r w:rsidRPr="00F24793">
        <w:rPr>
          <w:rFonts w:cs="Arial" w:hint="cs"/>
          <w:sz w:val="16"/>
          <w:szCs w:val="16"/>
          <w:rtl/>
        </w:rPr>
        <w:t>(</w:t>
      </w:r>
      <w:r w:rsidRPr="00F24793">
        <w:rPr>
          <w:rFonts w:cs="Arial"/>
          <w:sz w:val="16"/>
          <w:szCs w:val="16"/>
          <w:rtl/>
        </w:rPr>
        <w:t>ביצה סי' תרעז</w:t>
      </w:r>
      <w:r>
        <w:rPr>
          <w:rFonts w:cs="Arial" w:hint="cs"/>
          <w:sz w:val="16"/>
          <w:szCs w:val="16"/>
          <w:rtl/>
        </w:rPr>
        <w:t>, וכן בע"ז סי' תתנט בהגה</w:t>
      </w:r>
      <w:r w:rsidRPr="00F24793">
        <w:rPr>
          <w:rFonts w:cs="Arial"/>
          <w:sz w:val="16"/>
          <w:szCs w:val="16"/>
          <w:rtl/>
        </w:rPr>
        <w:t>)</w:t>
      </w:r>
      <w:r>
        <w:rPr>
          <w:rFonts w:cs="Arial" w:hint="cs"/>
          <w:rtl/>
        </w:rPr>
        <w:t>-</w:t>
      </w:r>
      <w:r>
        <w:rPr>
          <w:rStyle w:val="a7"/>
          <w:rFonts w:cs="Arial" w:hint="cs"/>
          <w:rtl/>
        </w:rPr>
        <w:t xml:space="preserve"> </w:t>
      </w:r>
      <w:r w:rsidRPr="00F24793">
        <w:rPr>
          <w:rFonts w:cs="Arial"/>
          <w:rtl/>
        </w:rPr>
        <w:t>מי ששכח ולא הטביל כלי מערב שבת או מערב יום טוב יתן הכלי לגוי במתנה ויחזור וישאלנו ממנו והוי ליה כשואלו מן הגוי דאין צריך טבילה</w:t>
      </w:r>
      <w:r>
        <w:rPr>
          <w:rStyle w:val="a7"/>
          <w:rFonts w:cs="Arial"/>
          <w:rtl/>
        </w:rPr>
        <w:footnoteReference w:id="2940"/>
      </w:r>
      <w:r>
        <w:rPr>
          <w:rFonts w:cs="Arial" w:hint="cs"/>
          <w:rtl/>
        </w:rPr>
        <w:t>.</w:t>
      </w:r>
      <w:r>
        <w:rPr>
          <w:rFonts w:hint="cs"/>
          <w:rtl/>
        </w:rPr>
        <w:t xml:space="preserve"> </w:t>
      </w:r>
      <w:r w:rsidRPr="002D14C9">
        <w:rPr>
          <w:rFonts w:hint="cs"/>
          <w:color w:val="E36C0A" w:themeColor="accent6" w:themeShade="BF"/>
          <w:rtl/>
        </w:rPr>
        <w:t>(וכ"פ בשו"ע)</w:t>
      </w:r>
    </w:p>
    <w:p w14:paraId="144BE4C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E9453ED" w14:textId="77777777" w:rsidR="002C39F4" w:rsidRPr="003024E5" w:rsidRDefault="002C39F4" w:rsidP="002C39F4">
      <w:pPr>
        <w:rPr>
          <w:rFonts w:asciiTheme="minorBidi" w:hAnsiTheme="minorBidi"/>
          <w:rtl/>
        </w:rPr>
      </w:pPr>
      <w:r w:rsidRPr="003024E5">
        <w:rPr>
          <w:rFonts w:asciiTheme="minorBidi" w:hAnsiTheme="minorBidi"/>
          <w:rtl/>
        </w:rPr>
        <w:t>אם שכח ולא הטביל כלי מערב שבת או מערב יום טוב</w:t>
      </w:r>
      <w:r>
        <w:rPr>
          <w:rFonts w:asciiTheme="minorBidi" w:hAnsiTheme="minorBidi" w:hint="cs"/>
          <w:rtl/>
        </w:rPr>
        <w:t>,</w:t>
      </w:r>
      <w:r w:rsidRPr="003024E5">
        <w:rPr>
          <w:rFonts w:asciiTheme="minorBidi" w:hAnsiTheme="minorBidi"/>
          <w:rtl/>
        </w:rPr>
        <w:t xml:space="preserve"> יתננו ל</w:t>
      </w:r>
      <w:r>
        <w:rPr>
          <w:rFonts w:asciiTheme="minorBidi" w:hAnsiTheme="minorBidi" w:hint="cs"/>
          <w:rtl/>
        </w:rPr>
        <w:t>גוי</w:t>
      </w:r>
      <w:r w:rsidRPr="003024E5">
        <w:rPr>
          <w:rFonts w:asciiTheme="minorBidi" w:hAnsiTheme="minorBidi"/>
          <w:rtl/>
        </w:rPr>
        <w:t xml:space="preserve"> במתנה ואחר כך ישאלנו ממנו ומותר להשתמש בו. </w:t>
      </w:r>
      <w:r w:rsidRPr="00002062">
        <w:rPr>
          <w:rFonts w:asciiTheme="minorBidi" w:hAnsiTheme="minorBidi"/>
          <w:sz w:val="18"/>
          <w:szCs w:val="18"/>
          <w:rtl/>
        </w:rPr>
        <w:t xml:space="preserve">הגה: וכן יעשה אפילו בחול במקום שאין לו מקוה </w:t>
      </w:r>
      <w:r w:rsidRPr="002D14C9">
        <w:rPr>
          <w:rFonts w:asciiTheme="minorBidi" w:hAnsiTheme="minorBidi"/>
          <w:sz w:val="16"/>
          <w:szCs w:val="16"/>
          <w:rtl/>
        </w:rPr>
        <w:t>(ב"י)</w:t>
      </w:r>
      <w:r w:rsidRPr="00002062">
        <w:rPr>
          <w:rFonts w:asciiTheme="minorBidi" w:hAnsiTheme="minorBidi"/>
          <w:sz w:val="18"/>
          <w:szCs w:val="18"/>
          <w:rtl/>
        </w:rPr>
        <w:t xml:space="preserve">. ואם עבר והשתמש בכלי בלא טבילה לא נאסר מה שנשתמש בו ויטבלנו עוד </w:t>
      </w:r>
      <w:r w:rsidRPr="002D14C9">
        <w:rPr>
          <w:rFonts w:asciiTheme="minorBidi" w:hAnsiTheme="minorBidi"/>
          <w:sz w:val="16"/>
          <w:szCs w:val="16"/>
          <w:rtl/>
        </w:rPr>
        <w:t>(טור ו</w:t>
      </w:r>
      <w:r>
        <w:rPr>
          <w:rFonts w:asciiTheme="minorBidi" w:hAnsiTheme="minorBidi" w:hint="cs"/>
          <w:sz w:val="16"/>
          <w:szCs w:val="16"/>
          <w:rtl/>
        </w:rPr>
        <w:t>שא"פ</w:t>
      </w:r>
      <w:r w:rsidRPr="002D14C9">
        <w:rPr>
          <w:rFonts w:asciiTheme="minorBidi" w:hAnsiTheme="minorBidi"/>
          <w:sz w:val="16"/>
          <w:szCs w:val="16"/>
          <w:rtl/>
        </w:rPr>
        <w:t>)</w:t>
      </w:r>
      <w:r w:rsidRPr="00002062">
        <w:rPr>
          <w:rFonts w:asciiTheme="minorBidi" w:hAnsiTheme="minorBidi"/>
          <w:sz w:val="18"/>
          <w:szCs w:val="18"/>
          <w:rtl/>
        </w:rPr>
        <w:t>.</w:t>
      </w:r>
    </w:p>
    <w:p w14:paraId="5B647653" w14:textId="77777777" w:rsidR="002C39F4" w:rsidRPr="003024E5" w:rsidRDefault="002C39F4" w:rsidP="002C39F4">
      <w:pPr>
        <w:rPr>
          <w:rFonts w:asciiTheme="minorBidi" w:hAnsiTheme="minorBidi"/>
          <w:rtl/>
        </w:rPr>
      </w:pPr>
    </w:p>
    <w:p w14:paraId="381C3614" w14:textId="77777777" w:rsidR="002C39F4" w:rsidRPr="003024E5" w:rsidRDefault="002C39F4" w:rsidP="002C39F4">
      <w:pPr>
        <w:rPr>
          <w:rFonts w:asciiTheme="minorBidi" w:hAnsiTheme="minorBidi"/>
          <w:rtl/>
        </w:rPr>
      </w:pPr>
    </w:p>
    <w:p w14:paraId="2D5374A2" w14:textId="77777777" w:rsidR="002C39F4" w:rsidRPr="003024E5" w:rsidRDefault="002C39F4" w:rsidP="002C39F4">
      <w:pPr>
        <w:rPr>
          <w:rFonts w:asciiTheme="minorBidi" w:hAnsiTheme="minorBidi"/>
          <w:rtl/>
        </w:rPr>
      </w:pPr>
    </w:p>
    <w:p w14:paraId="75AE3CBF" w14:textId="77777777" w:rsidR="002C39F4" w:rsidRDefault="002C39F4" w:rsidP="002C39F4">
      <w:pPr>
        <w:pStyle w:val="1"/>
        <w:rPr>
          <w:rFonts w:asciiTheme="minorBidi" w:hAnsiTheme="minorBidi"/>
          <w:rtl/>
        </w:rPr>
        <w:sectPr w:rsidR="002C39F4" w:rsidSect="004C5A3C">
          <w:footerReference w:type="default" r:id="rId16"/>
          <w:footnotePr>
            <w:numRestart w:val="eachPage"/>
          </w:footnotePr>
          <w:pgSz w:w="11906" w:h="16838"/>
          <w:pgMar w:top="720" w:right="1134" w:bottom="720" w:left="1134" w:header="0" w:footer="0" w:gutter="0"/>
          <w:cols w:space="720"/>
          <w:bidi/>
          <w:rtlGutter/>
          <w:docGrid w:linePitch="360"/>
        </w:sectPr>
      </w:pPr>
    </w:p>
    <w:p w14:paraId="385D59AF"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קכא: סדר הכשר כלים הנקנים מן העובד כוכבים, ובו ז' סעיפים. </w:t>
      </w:r>
    </w:p>
    <w:p w14:paraId="7046506F"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הכשר כלי שנשתמש בו הגוי בצונן.</w:t>
      </w:r>
    </w:p>
    <w:p w14:paraId="5488A590" w14:textId="77777777" w:rsidR="002C39F4" w:rsidRDefault="002C39F4" w:rsidP="002C39F4">
      <w:pPr>
        <w:rPr>
          <w:rFonts w:cs="Arial"/>
          <w:rtl/>
        </w:rPr>
      </w:pPr>
      <w:r>
        <w:rPr>
          <w:rFonts w:cs="Arial" w:hint="cs"/>
          <w:b/>
          <w:bCs/>
          <w:rtl/>
        </w:rPr>
        <w:t xml:space="preserve">עבודה זרה עה ע"ב: </w:t>
      </w:r>
      <w:r w:rsidRPr="009B0A22">
        <w:rPr>
          <w:rFonts w:cs="Arial"/>
          <w:u w:val="double"/>
          <w:rtl/>
        </w:rPr>
        <w:t>מתני'</w:t>
      </w:r>
      <w:r>
        <w:rPr>
          <w:rFonts w:cs="Arial" w:hint="cs"/>
          <w:rtl/>
        </w:rPr>
        <w:t>:</w:t>
      </w:r>
      <w:r w:rsidRPr="009B0A22">
        <w:rPr>
          <w:rFonts w:cs="Arial"/>
          <w:rtl/>
        </w:rPr>
        <w:t xml:space="preserve"> הלוקח כלי תשמיש מן העובדי כוכבים, את שדרכו להטביל - יטביל, להגעיל - יגעיל, ללבן באור - ילבן באור. השפוד והאסכלא - מלבנן באור. הסכין - שפה והיא טהורה. </w:t>
      </w:r>
      <w:r>
        <w:rPr>
          <w:rFonts w:cs="Arial" w:hint="cs"/>
          <w:rtl/>
        </w:rPr>
        <w:t xml:space="preserve">    </w:t>
      </w:r>
      <w:r w:rsidRPr="009B0A22">
        <w:rPr>
          <w:rFonts w:cs="Arial" w:hint="cs"/>
          <w:u w:val="double"/>
          <w:rtl/>
        </w:rPr>
        <w:t>גמ'</w:t>
      </w:r>
      <w:r>
        <w:rPr>
          <w:rFonts w:cs="Arial" w:hint="cs"/>
          <w:rtl/>
        </w:rPr>
        <w:t xml:space="preserve">: </w:t>
      </w:r>
      <w:r w:rsidRPr="009B0A22">
        <w:rPr>
          <w:rFonts w:cs="Arial"/>
          <w:rtl/>
        </w:rPr>
        <w:t>ת"ר: הלוקח כלי תשמיש מן העובדי כוכבים, דברים שלא נשתמש בהן - מטבילן והן טהורין; דברים שנשתמש בהן ע"י צונן, כגון כוסות וקתוניות וצלוחיות - מדיחן ומטבילן והם טהורין</w:t>
      </w:r>
      <w:r>
        <w:rPr>
          <w:rFonts w:cs="Arial" w:hint="cs"/>
          <w:rtl/>
        </w:rPr>
        <w:t>.</w:t>
      </w:r>
      <w:r w:rsidRPr="00E77903">
        <w:rPr>
          <w:rFonts w:cs="Arial" w:hint="cs"/>
          <w:sz w:val="16"/>
          <w:szCs w:val="16"/>
          <w:rtl/>
        </w:rPr>
        <w:t xml:space="preserve"> (וכ' הטור דצריך ל</w:t>
      </w:r>
      <w:r w:rsidRPr="00E77903">
        <w:rPr>
          <w:rFonts w:cs="Arial"/>
          <w:sz w:val="16"/>
          <w:szCs w:val="16"/>
          <w:rtl/>
        </w:rPr>
        <w:t>שפשפן כדי להסיר ולמרק האיסור שעל גביהן ו</w:t>
      </w:r>
      <w:r w:rsidRPr="00E77903">
        <w:rPr>
          <w:rFonts w:cs="Arial" w:hint="cs"/>
          <w:sz w:val="16"/>
          <w:szCs w:val="16"/>
          <w:rtl/>
        </w:rPr>
        <w:t xml:space="preserve">רק </w:t>
      </w:r>
      <w:r w:rsidRPr="00E77903">
        <w:rPr>
          <w:rFonts w:cs="Arial"/>
          <w:sz w:val="16"/>
          <w:szCs w:val="16"/>
          <w:rtl/>
        </w:rPr>
        <w:t>אח"כ שוטפן במים ומטבילן</w:t>
      </w:r>
      <w:r w:rsidRPr="00E77903">
        <w:rPr>
          <w:rFonts w:cs="Arial" w:hint="cs"/>
          <w:sz w:val="16"/>
          <w:szCs w:val="16"/>
          <w:rtl/>
        </w:rPr>
        <w:t>. וכ' הב"י דכ"כ</w:t>
      </w:r>
      <w:r w:rsidRPr="00E77903">
        <w:rPr>
          <w:rFonts w:cs="Arial"/>
          <w:sz w:val="16"/>
          <w:szCs w:val="16"/>
          <w:rtl/>
        </w:rPr>
        <w:t xml:space="preserve"> הר"ן (לט: ד"ה ת"ר) שדקדק הראב"ד (ע"ז עה: ד"ה מדיחן ומטבילן) שצריך לשפשף היטב במים בידו בשעת הדחה ולא שיעביר המים עליו בנחת</w:t>
      </w:r>
      <w:r w:rsidRPr="00E77903">
        <w:rPr>
          <w:rFonts w:cs="Arial" w:hint="cs"/>
          <w:sz w:val="16"/>
          <w:szCs w:val="16"/>
          <w:rtl/>
        </w:rPr>
        <w:t>,</w:t>
      </w:r>
      <w:r w:rsidRPr="00E77903">
        <w:rPr>
          <w:rFonts w:cs="Arial"/>
          <w:sz w:val="16"/>
          <w:szCs w:val="16"/>
          <w:rtl/>
        </w:rPr>
        <w:t xml:space="preserve"> דא</w:t>
      </w:r>
      <w:r w:rsidRPr="00E77903">
        <w:rPr>
          <w:rFonts w:cs="Arial" w:hint="cs"/>
          <w:sz w:val="16"/>
          <w:szCs w:val="16"/>
          <w:rtl/>
        </w:rPr>
        <w:t>"</w:t>
      </w:r>
      <w:r w:rsidRPr="00E77903">
        <w:rPr>
          <w:rFonts w:cs="Arial"/>
          <w:sz w:val="16"/>
          <w:szCs w:val="16"/>
          <w:rtl/>
        </w:rPr>
        <w:t>כ למה הוצרכו לטבילה והדחה</w:t>
      </w:r>
      <w:r w:rsidRPr="00E77903">
        <w:rPr>
          <w:rFonts w:cs="Arial" w:hint="cs"/>
          <w:sz w:val="16"/>
          <w:szCs w:val="16"/>
          <w:rtl/>
        </w:rPr>
        <w:t>,</w:t>
      </w:r>
      <w:r w:rsidRPr="00E77903">
        <w:rPr>
          <w:rFonts w:cs="Arial"/>
          <w:sz w:val="16"/>
          <w:szCs w:val="16"/>
          <w:rtl/>
        </w:rPr>
        <w:t xml:space="preserve"> תסגי ליה בטבילה לחודה</w:t>
      </w:r>
      <w:r w:rsidRPr="00E77903">
        <w:rPr>
          <w:rFonts w:cs="Arial" w:hint="cs"/>
          <w:sz w:val="16"/>
          <w:szCs w:val="16"/>
          <w:rtl/>
        </w:rPr>
        <w:t>,</w:t>
      </w:r>
      <w:r w:rsidRPr="00E77903">
        <w:rPr>
          <w:rFonts w:cs="Arial"/>
          <w:sz w:val="16"/>
          <w:szCs w:val="16"/>
          <w:rtl/>
        </w:rPr>
        <w:t xml:space="preserve"> וגם נראה שצריך לשטפו במים אחר השפשוף</w:t>
      </w:r>
      <w:r w:rsidRPr="00E77903">
        <w:rPr>
          <w:rFonts w:cs="Arial" w:hint="cs"/>
          <w:sz w:val="16"/>
          <w:szCs w:val="16"/>
          <w:rtl/>
        </w:rPr>
        <w:t>,</w:t>
      </w:r>
      <w:r w:rsidRPr="00E77903">
        <w:rPr>
          <w:rFonts w:cs="Arial"/>
          <w:sz w:val="16"/>
          <w:szCs w:val="16"/>
          <w:rtl/>
        </w:rPr>
        <w:t xml:space="preserve"> והיינו דתנן בזבחים פרק דם חטאת (צו:) מריקה כמריקת הכוס שטיפה כשטיפת הכוס</w:t>
      </w:r>
      <w:r w:rsidRPr="00E77903">
        <w:rPr>
          <w:rFonts w:cs="Arial" w:hint="cs"/>
          <w:sz w:val="16"/>
          <w:szCs w:val="16"/>
          <w:rtl/>
        </w:rPr>
        <w:t>)</w:t>
      </w:r>
    </w:p>
    <w:p w14:paraId="19446D3E"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11F9486" w14:textId="77777777" w:rsidR="002C39F4" w:rsidRPr="00002062" w:rsidRDefault="002C39F4" w:rsidP="002C39F4">
      <w:pPr>
        <w:rPr>
          <w:rFonts w:asciiTheme="minorBidi" w:hAnsiTheme="minorBidi"/>
          <w:sz w:val="18"/>
          <w:szCs w:val="18"/>
          <w:rtl/>
        </w:rPr>
      </w:pPr>
      <w:r w:rsidRPr="003024E5">
        <w:rPr>
          <w:rFonts w:asciiTheme="minorBidi" w:hAnsiTheme="minorBidi"/>
          <w:rtl/>
        </w:rPr>
        <w:t xml:space="preserve">הלוקח כלים ישנים מן </w:t>
      </w:r>
      <w:r>
        <w:rPr>
          <w:rFonts w:asciiTheme="minorBidi" w:hAnsiTheme="minorBidi" w:hint="cs"/>
          <w:rtl/>
        </w:rPr>
        <w:t>הגוים</w:t>
      </w:r>
      <w:r w:rsidRPr="003024E5">
        <w:rPr>
          <w:rFonts w:asciiTheme="minorBidi" w:hAnsiTheme="minorBidi"/>
          <w:rtl/>
        </w:rPr>
        <w:t xml:space="preserve">, כדרך שנשתמש בהן </w:t>
      </w:r>
      <w:r>
        <w:rPr>
          <w:rFonts w:asciiTheme="minorBidi" w:hAnsiTheme="minorBidi" w:hint="cs"/>
          <w:rtl/>
        </w:rPr>
        <w:t>הגוי</w:t>
      </w:r>
      <w:r w:rsidRPr="003024E5">
        <w:rPr>
          <w:rFonts w:asciiTheme="minorBidi" w:hAnsiTheme="minorBidi"/>
          <w:rtl/>
        </w:rPr>
        <w:t xml:space="preserve"> כך הוא הכשרן. לפיכך הלוקח כלי תשמיש ישנים שנשתמש בהם בצונן, כגון כוסות וצלוחיות וכיוצא בהן, מדיחן</w:t>
      </w:r>
      <w:r>
        <w:rPr>
          <w:rFonts w:asciiTheme="minorBidi" w:hAnsiTheme="minorBidi" w:hint="cs"/>
          <w:rtl/>
        </w:rPr>
        <w:t>.</w:t>
      </w:r>
      <w:r w:rsidRPr="003024E5">
        <w:rPr>
          <w:rFonts w:asciiTheme="minorBidi" w:hAnsiTheme="minorBidi"/>
          <w:rtl/>
        </w:rPr>
        <w:t xml:space="preserve"> וצריך לשפשפן היטב במים בשעת הדחה כדי להסיר ולמרק האיסור שעל גביהן, ואחר כך שוטפן במים ומטבילן, והם מותרין. </w:t>
      </w:r>
      <w:r w:rsidRPr="00002062">
        <w:rPr>
          <w:rFonts w:asciiTheme="minorBidi" w:hAnsiTheme="minorBidi"/>
          <w:sz w:val="18"/>
          <w:szCs w:val="18"/>
          <w:rtl/>
        </w:rPr>
        <w:t>הגה: יש מקומות שנהגו היתר לשום יין בכלים שנסריהם מדובקים בחלב, משום שטבע היין</w:t>
      </w:r>
      <w:r>
        <w:rPr>
          <w:rStyle w:val="a7"/>
          <w:rFonts w:asciiTheme="minorBidi" w:hAnsiTheme="minorBidi"/>
          <w:sz w:val="18"/>
          <w:szCs w:val="18"/>
          <w:rtl/>
        </w:rPr>
        <w:footnoteReference w:id="2941"/>
      </w:r>
      <w:r w:rsidRPr="00002062">
        <w:rPr>
          <w:rFonts w:asciiTheme="minorBidi" w:hAnsiTheme="minorBidi"/>
          <w:sz w:val="18"/>
          <w:szCs w:val="18"/>
          <w:rtl/>
        </w:rPr>
        <w:t xml:space="preserve"> לברוח מן החלב, והחלב נקרש ועומד בעצמו ואינו נוגע כלל ביין (ריב"ש סי</w:t>
      </w:r>
      <w:r>
        <w:rPr>
          <w:rFonts w:asciiTheme="minorBidi" w:hAnsiTheme="minorBidi" w:hint="cs"/>
          <w:sz w:val="18"/>
          <w:szCs w:val="18"/>
          <w:rtl/>
        </w:rPr>
        <w:t xml:space="preserve">' </w:t>
      </w:r>
      <w:r w:rsidRPr="00002062">
        <w:rPr>
          <w:rFonts w:asciiTheme="minorBidi" w:hAnsiTheme="minorBidi"/>
          <w:sz w:val="18"/>
          <w:szCs w:val="18"/>
          <w:rtl/>
        </w:rPr>
        <w:t xml:space="preserve">שמט). </w:t>
      </w:r>
    </w:p>
    <w:p w14:paraId="6391D0F0" w14:textId="77777777" w:rsidR="002C39F4" w:rsidRPr="003024E5" w:rsidRDefault="002C39F4" w:rsidP="002C39F4">
      <w:pPr>
        <w:rPr>
          <w:rFonts w:asciiTheme="minorBidi" w:hAnsiTheme="minorBidi"/>
          <w:rtl/>
        </w:rPr>
      </w:pPr>
    </w:p>
    <w:p w14:paraId="6C09758E" w14:textId="77777777" w:rsidR="002C39F4" w:rsidRPr="00F26FB7"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w:t>
      </w:r>
      <w:r w:rsidRPr="00E77903">
        <w:rPr>
          <w:rFonts w:asciiTheme="minorBidi" w:hAnsiTheme="minorBidi" w:hint="cs"/>
          <w:rtl/>
        </w:rPr>
        <w:t xml:space="preserve"> </w:t>
      </w:r>
      <w:r>
        <w:rPr>
          <w:rFonts w:asciiTheme="minorBidi" w:hAnsiTheme="minorBidi" w:hint="cs"/>
          <w:rtl/>
        </w:rPr>
        <w:t>הכשר כלי שנשתמש בו הגוי ברותח.</w:t>
      </w:r>
    </w:p>
    <w:p w14:paraId="41EFB7C8" w14:textId="77777777" w:rsidR="002C39F4" w:rsidRDefault="002C39F4" w:rsidP="002C39F4">
      <w:pPr>
        <w:rPr>
          <w:rFonts w:cs="Arial"/>
          <w:rtl/>
        </w:rPr>
      </w:pPr>
      <w:r>
        <w:rPr>
          <w:rFonts w:cs="Arial" w:hint="cs"/>
          <w:b/>
          <w:bCs/>
          <w:rtl/>
        </w:rPr>
        <w:t xml:space="preserve">עבודה זרה עה ע"ב: </w:t>
      </w:r>
      <w:r w:rsidRPr="009B0A22">
        <w:rPr>
          <w:rFonts w:cs="Arial"/>
          <w:u w:val="double"/>
          <w:rtl/>
        </w:rPr>
        <w:t>מתני'</w:t>
      </w:r>
      <w:r w:rsidRPr="009B0A22">
        <w:rPr>
          <w:rFonts w:cs="Arial"/>
          <w:rtl/>
        </w:rPr>
        <w:t xml:space="preserve">. הלוקח כלי תשמיש מן העובדי כוכבים, את שדרכו להטביל - יטביל, להגעיל - יגעיל, ללבן באור - ילבן באור. השפוד והאסכלא - מלבנן באור. הסכין - שפה והיא טהורה. </w:t>
      </w:r>
      <w:r>
        <w:rPr>
          <w:rFonts w:cs="Arial" w:hint="cs"/>
          <w:rtl/>
        </w:rPr>
        <w:t xml:space="preserve">    </w:t>
      </w:r>
      <w:r w:rsidRPr="009B0A22">
        <w:rPr>
          <w:rFonts w:cs="Arial" w:hint="cs"/>
          <w:u w:val="double"/>
          <w:rtl/>
        </w:rPr>
        <w:t>גמ'</w:t>
      </w:r>
      <w:r>
        <w:rPr>
          <w:rFonts w:cs="Arial" w:hint="cs"/>
          <w:rtl/>
        </w:rPr>
        <w:t xml:space="preserve">: </w:t>
      </w:r>
      <w:r w:rsidRPr="009B0A22">
        <w:rPr>
          <w:rFonts w:cs="Arial"/>
          <w:rtl/>
        </w:rPr>
        <w:t xml:space="preserve">ת"ר: </w:t>
      </w:r>
      <w:r w:rsidRPr="002A4919">
        <w:rPr>
          <w:rFonts w:cs="Arial"/>
          <w:rtl/>
        </w:rPr>
        <w:t>הלוקח כלי תשמיש מן העובדי כוכבים</w:t>
      </w:r>
      <w:r>
        <w:rPr>
          <w:rFonts w:cs="Arial" w:hint="cs"/>
          <w:rtl/>
        </w:rPr>
        <w:t xml:space="preserve">... </w:t>
      </w:r>
      <w:r w:rsidRPr="002A4919">
        <w:rPr>
          <w:rFonts w:cs="Arial"/>
          <w:rtl/>
        </w:rPr>
        <w:t>דברים שנשתמש בהן ע"י חמין, כגון היורות הקומקמוסון ומחמי חמין - מגעילן ומטבילן והן טהורין; דברים שנשתמש בהן ע"י האור, כגון השפודין והאסכלאות - מלבנן ומטבילן והן טהורין.</w:t>
      </w:r>
    </w:p>
    <w:p w14:paraId="246A3C6A" w14:textId="77777777" w:rsidR="002C39F4" w:rsidRDefault="002C39F4" w:rsidP="002C39F4">
      <w:pPr>
        <w:rPr>
          <w:rFonts w:cs="Arial"/>
          <w:rtl/>
        </w:rPr>
      </w:pPr>
      <w:r w:rsidRPr="002A4919">
        <w:rPr>
          <w:rFonts w:cs="Arial" w:hint="cs"/>
          <w:u w:val="single"/>
          <w:rtl/>
        </w:rPr>
        <w:t xml:space="preserve">האם יש חילוק </w:t>
      </w:r>
      <w:r>
        <w:rPr>
          <w:rFonts w:cs="Arial" w:hint="cs"/>
          <w:u w:val="single"/>
          <w:rtl/>
        </w:rPr>
        <w:t xml:space="preserve">באופן הטהרה </w:t>
      </w:r>
      <w:r w:rsidRPr="002A4919">
        <w:rPr>
          <w:rFonts w:cs="Arial" w:hint="cs"/>
          <w:u w:val="single"/>
          <w:rtl/>
        </w:rPr>
        <w:t xml:space="preserve">בין </w:t>
      </w:r>
      <w:r>
        <w:rPr>
          <w:rFonts w:cs="Arial" w:hint="cs"/>
          <w:u w:val="single"/>
          <w:rtl/>
        </w:rPr>
        <w:t>כלי מתכות לכלי</w:t>
      </w:r>
      <w:r w:rsidRPr="002A4919">
        <w:rPr>
          <w:rFonts w:cs="Arial" w:hint="cs"/>
          <w:u w:val="single"/>
          <w:rtl/>
        </w:rPr>
        <w:t xml:space="preserve"> עץ</w:t>
      </w:r>
      <w:r>
        <w:rPr>
          <w:rFonts w:cs="Arial" w:hint="cs"/>
          <w:u w:val="single"/>
          <w:rtl/>
        </w:rPr>
        <w:t>/</w:t>
      </w:r>
      <w:r w:rsidRPr="002A4919">
        <w:rPr>
          <w:rFonts w:cs="Arial" w:hint="cs"/>
          <w:u w:val="single"/>
          <w:rtl/>
        </w:rPr>
        <w:t>אבן:</w:t>
      </w:r>
    </w:p>
    <w:p w14:paraId="1A9C704C" w14:textId="77777777" w:rsidR="002C39F4" w:rsidRPr="002A4919" w:rsidRDefault="002C39F4" w:rsidP="0032102C">
      <w:pPr>
        <w:pStyle w:val="a8"/>
        <w:numPr>
          <w:ilvl w:val="0"/>
          <w:numId w:val="313"/>
        </w:numPr>
        <w:rPr>
          <w:rFonts w:cs="Arial"/>
          <w:rtl/>
        </w:rPr>
      </w:pPr>
      <w:r>
        <w:rPr>
          <w:rFonts w:cs="Arial"/>
          <w:rtl/>
        </w:rPr>
        <w:t xml:space="preserve">רי"ף </w:t>
      </w:r>
      <w:r w:rsidRPr="00E52B1F">
        <w:rPr>
          <w:rFonts w:cs="Arial"/>
          <w:sz w:val="16"/>
          <w:szCs w:val="16"/>
          <w:rtl/>
        </w:rPr>
        <w:t xml:space="preserve">(פסחים ח:) </w:t>
      </w:r>
      <w:r>
        <w:rPr>
          <w:rFonts w:cs="Arial"/>
          <w:rtl/>
        </w:rPr>
        <w:t xml:space="preserve">רמב"ם </w:t>
      </w:r>
      <w:r w:rsidRPr="00E52B1F">
        <w:rPr>
          <w:rFonts w:cs="Arial" w:hint="cs"/>
          <w:sz w:val="16"/>
          <w:szCs w:val="16"/>
          <w:rtl/>
        </w:rPr>
        <w:t>(</w:t>
      </w:r>
      <w:r w:rsidRPr="00E52B1F">
        <w:rPr>
          <w:rFonts w:cs="Arial"/>
          <w:sz w:val="16"/>
          <w:szCs w:val="16"/>
          <w:rtl/>
        </w:rPr>
        <w:t>פ"ה מהל</w:t>
      </w:r>
      <w:r w:rsidRPr="00E52B1F">
        <w:rPr>
          <w:rFonts w:cs="Arial" w:hint="cs"/>
          <w:sz w:val="16"/>
          <w:szCs w:val="16"/>
          <w:rtl/>
        </w:rPr>
        <w:t>'</w:t>
      </w:r>
      <w:r w:rsidRPr="00E52B1F">
        <w:rPr>
          <w:rFonts w:cs="Arial"/>
          <w:sz w:val="16"/>
          <w:szCs w:val="16"/>
          <w:rtl/>
        </w:rPr>
        <w:t xml:space="preserve"> חמץ הכ"ד) </w:t>
      </w:r>
      <w:r>
        <w:rPr>
          <w:rFonts w:cs="Arial"/>
          <w:rtl/>
        </w:rPr>
        <w:t xml:space="preserve">רא"ש </w:t>
      </w:r>
      <w:r w:rsidRPr="00E52B1F">
        <w:rPr>
          <w:rFonts w:cs="Arial"/>
          <w:sz w:val="16"/>
          <w:szCs w:val="16"/>
          <w:rtl/>
        </w:rPr>
        <w:t>(</w:t>
      </w:r>
      <w:r w:rsidRPr="00E52B1F">
        <w:rPr>
          <w:rFonts w:cs="Arial" w:hint="cs"/>
          <w:sz w:val="16"/>
          <w:szCs w:val="16"/>
          <w:rtl/>
        </w:rPr>
        <w:t xml:space="preserve">פסחים פ"ק </w:t>
      </w:r>
      <w:r w:rsidRPr="00E52B1F">
        <w:rPr>
          <w:rFonts w:cs="Arial"/>
          <w:sz w:val="16"/>
          <w:szCs w:val="16"/>
          <w:rtl/>
        </w:rPr>
        <w:t>סי' ז)</w:t>
      </w:r>
      <w:r w:rsidRPr="00E52B1F">
        <w:rPr>
          <w:rFonts w:cs="Arial" w:hint="cs"/>
          <w:sz w:val="16"/>
          <w:szCs w:val="16"/>
          <w:rtl/>
        </w:rPr>
        <w:t xml:space="preserve"> </w:t>
      </w:r>
      <w:r>
        <w:rPr>
          <w:rFonts w:cs="Arial" w:hint="cs"/>
          <w:rtl/>
        </w:rPr>
        <w:t xml:space="preserve">וטור- </w:t>
      </w:r>
      <w:r w:rsidRPr="002A4919">
        <w:rPr>
          <w:rFonts w:cs="Arial"/>
          <w:rtl/>
        </w:rPr>
        <w:t>אין חילוק בין אם הם של מתכות או של עץ או אבן</w:t>
      </w:r>
      <w:r>
        <w:rPr>
          <w:rFonts w:cs="Arial" w:hint="cs"/>
          <w:sz w:val="16"/>
          <w:szCs w:val="16"/>
          <w:rtl/>
        </w:rPr>
        <w:t xml:space="preserve"> (ל' הטור)</w:t>
      </w:r>
      <w:r w:rsidRPr="002A4919">
        <w:rPr>
          <w:rFonts w:cs="Arial" w:hint="cs"/>
          <w:rtl/>
        </w:rPr>
        <w:t>.</w:t>
      </w:r>
      <w:r w:rsidRPr="00E52B1F">
        <w:rPr>
          <w:rFonts w:cs="Arial" w:hint="cs"/>
          <w:rtl/>
        </w:rPr>
        <w:t xml:space="preserve"> </w:t>
      </w:r>
      <w:r>
        <w:rPr>
          <w:rFonts w:cs="Arial" w:hint="cs"/>
          <w:rtl/>
        </w:rPr>
        <w:t>ו</w:t>
      </w:r>
      <w:r w:rsidRPr="002A4919">
        <w:rPr>
          <w:rFonts w:cs="Arial" w:hint="cs"/>
          <w:rtl/>
        </w:rPr>
        <w:t>דינם כ</w:t>
      </w:r>
      <w:r w:rsidRPr="002A4919">
        <w:rPr>
          <w:rFonts w:cs="Arial"/>
          <w:rtl/>
        </w:rPr>
        <w:t>דין כלי שטף</w:t>
      </w:r>
      <w:r>
        <w:rPr>
          <w:rStyle w:val="a7"/>
          <w:rFonts w:cs="Arial"/>
          <w:rtl/>
        </w:rPr>
        <w:footnoteReference w:id="2942"/>
      </w:r>
      <w:r w:rsidRPr="002A4919">
        <w:rPr>
          <w:rFonts w:cs="Arial" w:hint="cs"/>
          <w:rtl/>
        </w:rPr>
        <w:t>.</w:t>
      </w:r>
      <w:r>
        <w:rPr>
          <w:rFonts w:cs="Arial" w:hint="cs"/>
          <w:rtl/>
        </w:rPr>
        <w:t xml:space="preserve"> </w:t>
      </w:r>
      <w:r w:rsidRPr="00E52B1F">
        <w:rPr>
          <w:rFonts w:cs="Arial" w:hint="cs"/>
          <w:color w:val="E36C0A" w:themeColor="accent6" w:themeShade="BF"/>
          <w:rtl/>
        </w:rPr>
        <w:t>(וכ"פ בשו"ע)</w:t>
      </w:r>
    </w:p>
    <w:p w14:paraId="7E8CD984" w14:textId="77777777" w:rsidR="002C39F4" w:rsidRPr="00E52B1F" w:rsidRDefault="002C39F4" w:rsidP="0032102C">
      <w:pPr>
        <w:pStyle w:val="a8"/>
        <w:numPr>
          <w:ilvl w:val="0"/>
          <w:numId w:val="313"/>
        </w:numPr>
        <w:rPr>
          <w:rFonts w:cs="Arial"/>
        </w:rPr>
      </w:pPr>
      <w:r w:rsidRPr="002A4919">
        <w:rPr>
          <w:rFonts w:cs="Arial" w:hint="cs"/>
          <w:rtl/>
        </w:rPr>
        <w:t>ר</w:t>
      </w:r>
      <w:r w:rsidRPr="002A4919">
        <w:rPr>
          <w:rFonts w:cs="Arial"/>
          <w:rtl/>
        </w:rPr>
        <w:t xml:space="preserve">ב האי גאון </w:t>
      </w:r>
      <w:r w:rsidRPr="002A4919">
        <w:rPr>
          <w:rFonts w:cs="Arial" w:hint="cs"/>
          <w:sz w:val="16"/>
          <w:szCs w:val="16"/>
          <w:rtl/>
        </w:rPr>
        <w:t>(בתשו'</w:t>
      </w:r>
      <w:r>
        <w:rPr>
          <w:rFonts w:cs="Arial" w:hint="cs"/>
          <w:sz w:val="16"/>
          <w:szCs w:val="16"/>
          <w:rtl/>
        </w:rPr>
        <w:t>,</w:t>
      </w:r>
      <w:r w:rsidRPr="002A4919">
        <w:rPr>
          <w:rFonts w:cs="Arial" w:hint="cs"/>
          <w:sz w:val="16"/>
          <w:szCs w:val="16"/>
          <w:rtl/>
        </w:rPr>
        <w:t xml:space="preserve"> כ"כ הטור בשמו)</w:t>
      </w:r>
      <w:r w:rsidRPr="002A4919">
        <w:rPr>
          <w:rFonts w:cs="Arial" w:hint="cs"/>
          <w:rtl/>
        </w:rPr>
        <w:t xml:space="preserve">- </w:t>
      </w:r>
      <w:r w:rsidRPr="002A4919">
        <w:rPr>
          <w:rFonts w:cs="Arial"/>
          <w:rtl/>
        </w:rPr>
        <w:t>כלי אבנים דינן ככלי חרס ולא שרי בהגעלה</w:t>
      </w:r>
      <w:r w:rsidRPr="002A4919">
        <w:rPr>
          <w:rFonts w:cs="Arial" w:hint="cs"/>
          <w:rtl/>
        </w:rPr>
        <w:t>.</w:t>
      </w:r>
      <w:r w:rsidRPr="002A4919">
        <w:rPr>
          <w:rFonts w:cs="Arial"/>
          <w:rtl/>
        </w:rPr>
        <w:t xml:space="preserve"> </w:t>
      </w:r>
    </w:p>
    <w:p w14:paraId="7C8188D9" w14:textId="77777777" w:rsidR="002C39F4" w:rsidRPr="00E52B1F" w:rsidRDefault="002C39F4" w:rsidP="002C39F4">
      <w:pPr>
        <w:rPr>
          <w:rFonts w:cs="Arial"/>
          <w:u w:val="single"/>
        </w:rPr>
      </w:pPr>
      <w:r w:rsidRPr="00E52B1F">
        <w:rPr>
          <w:rFonts w:cs="Arial" w:hint="cs"/>
          <w:u w:val="single"/>
          <w:rtl/>
        </w:rPr>
        <w:t>ספק אם הכלים משומשים או חדשים:</w:t>
      </w:r>
      <w:r w:rsidRPr="00E77903">
        <w:rPr>
          <w:rFonts w:cs="Arial" w:hint="cs"/>
          <w:sz w:val="16"/>
          <w:szCs w:val="16"/>
          <w:rtl/>
        </w:rPr>
        <w:t xml:space="preserve">   (דרכ"מ אות </w:t>
      </w:r>
      <w:r>
        <w:rPr>
          <w:rFonts w:cs="Arial" w:hint="cs"/>
          <w:sz w:val="16"/>
          <w:szCs w:val="16"/>
          <w:rtl/>
        </w:rPr>
        <w:t>ב</w:t>
      </w:r>
      <w:r w:rsidRPr="00E77903">
        <w:rPr>
          <w:rFonts w:cs="Arial" w:hint="cs"/>
          <w:sz w:val="16"/>
          <w:szCs w:val="16"/>
          <w:rtl/>
        </w:rPr>
        <w:t>)</w:t>
      </w:r>
    </w:p>
    <w:p w14:paraId="106BDC41" w14:textId="77777777" w:rsidR="002C39F4" w:rsidRDefault="002C39F4" w:rsidP="0032102C">
      <w:pPr>
        <w:pStyle w:val="a8"/>
        <w:numPr>
          <w:ilvl w:val="0"/>
          <w:numId w:val="314"/>
        </w:numPr>
      </w:pPr>
      <w:r>
        <w:rPr>
          <w:rFonts w:hint="cs"/>
          <w:rtl/>
        </w:rPr>
        <w:t>או</w:t>
      </w:r>
      <w:r>
        <w:rPr>
          <w:rtl/>
        </w:rPr>
        <w:t>"</w:t>
      </w:r>
      <w:r>
        <w:rPr>
          <w:rFonts w:hint="cs"/>
          <w:rtl/>
        </w:rPr>
        <w:t>ה</w:t>
      </w:r>
      <w:r w:rsidRPr="00E52B1F">
        <w:rPr>
          <w:rtl/>
        </w:rPr>
        <w:t xml:space="preserve"> </w:t>
      </w:r>
      <w:r w:rsidRPr="00CF04B7">
        <w:rPr>
          <w:rFonts w:hint="cs"/>
          <w:sz w:val="16"/>
          <w:szCs w:val="16"/>
          <w:rtl/>
        </w:rPr>
        <w:t>(</w:t>
      </w:r>
      <w:r w:rsidRPr="00CF04B7">
        <w:rPr>
          <w:sz w:val="16"/>
          <w:szCs w:val="16"/>
          <w:rtl/>
        </w:rPr>
        <w:t>כלל נח דין מו)</w:t>
      </w:r>
      <w:r>
        <w:rPr>
          <w:rFonts w:hint="cs"/>
          <w:rtl/>
        </w:rPr>
        <w:t xml:space="preserve">- </w:t>
      </w:r>
      <w:r w:rsidRPr="00E52B1F">
        <w:rPr>
          <w:rtl/>
        </w:rPr>
        <w:t>כלי חרס שיש לספק בו שמא נשתמש בו צריך שבירה</w:t>
      </w:r>
      <w:r>
        <w:rPr>
          <w:rFonts w:hint="cs"/>
          <w:rtl/>
        </w:rPr>
        <w:t>,</w:t>
      </w:r>
      <w:r w:rsidRPr="00E52B1F">
        <w:rPr>
          <w:rtl/>
        </w:rPr>
        <w:t xml:space="preserve"> אבל שאר כלים ואינו יודע בודאי שהשתמש בהן גוי או אפילו כלי חרס מן השוק אין צריך לספק בו דילמא נשתמש בו דכל כלי העשוי למכור אין משתמשין בו כלל</w:t>
      </w:r>
      <w:r>
        <w:rPr>
          <w:rStyle w:val="a7"/>
          <w:rtl/>
        </w:rPr>
        <w:footnoteReference w:id="2943"/>
      </w:r>
      <w:r w:rsidRPr="00E52B1F">
        <w:rPr>
          <w:rtl/>
        </w:rPr>
        <w:t xml:space="preserve">. </w:t>
      </w:r>
      <w:r>
        <w:rPr>
          <w:rFonts w:hint="cs"/>
          <w:rtl/>
        </w:rPr>
        <w:t xml:space="preserve"> </w:t>
      </w:r>
    </w:p>
    <w:p w14:paraId="14ED60FD" w14:textId="77777777" w:rsidR="002C39F4" w:rsidRDefault="002C39F4" w:rsidP="0032102C">
      <w:pPr>
        <w:pStyle w:val="a8"/>
        <w:numPr>
          <w:ilvl w:val="0"/>
          <w:numId w:val="314"/>
        </w:numPr>
      </w:pPr>
      <w:r w:rsidRPr="00E52B1F">
        <w:rPr>
          <w:rtl/>
        </w:rPr>
        <w:t xml:space="preserve">רשב"א </w:t>
      </w:r>
      <w:r w:rsidRPr="00E52B1F">
        <w:rPr>
          <w:rFonts w:hint="cs"/>
          <w:sz w:val="16"/>
          <w:szCs w:val="16"/>
          <w:rtl/>
        </w:rPr>
        <w:t>(</w:t>
      </w:r>
      <w:r w:rsidRPr="00E52B1F">
        <w:rPr>
          <w:sz w:val="16"/>
          <w:szCs w:val="16"/>
          <w:rtl/>
        </w:rPr>
        <w:t>ח"א סי</w:t>
      </w:r>
      <w:r w:rsidRPr="00E52B1F">
        <w:rPr>
          <w:rFonts w:hint="cs"/>
          <w:sz w:val="16"/>
          <w:szCs w:val="16"/>
          <w:rtl/>
        </w:rPr>
        <w:t>'</w:t>
      </w:r>
      <w:r w:rsidRPr="00E52B1F">
        <w:rPr>
          <w:sz w:val="16"/>
          <w:szCs w:val="16"/>
          <w:rtl/>
        </w:rPr>
        <w:t xml:space="preserve"> תצז</w:t>
      </w:r>
      <w:r w:rsidRPr="00E52B1F">
        <w:rPr>
          <w:rFonts w:hint="cs"/>
          <w:sz w:val="16"/>
          <w:szCs w:val="16"/>
          <w:rtl/>
        </w:rPr>
        <w:t>)</w:t>
      </w:r>
      <w:r>
        <w:rPr>
          <w:rFonts w:hint="cs"/>
          <w:rtl/>
        </w:rPr>
        <w:t>-</w:t>
      </w:r>
      <w:r w:rsidRPr="00E52B1F">
        <w:rPr>
          <w:rtl/>
        </w:rPr>
        <w:t xml:space="preserve"> מי שנכנס לבית גוי ויש שם כלים קרובים לחדשים ונסתפק אם הם חדשים והגוי מסיח לפי תומו אם נאמן. שורת הדין נראה שכל שהוא אומר שהוא חדש לפי תומו ונראה כמו שהוא אומר</w:t>
      </w:r>
      <w:r>
        <w:rPr>
          <w:rFonts w:hint="cs"/>
          <w:rtl/>
        </w:rPr>
        <w:t>,</w:t>
      </w:r>
      <w:r w:rsidRPr="00E52B1F">
        <w:rPr>
          <w:rtl/>
        </w:rPr>
        <w:t xml:space="preserve"> שמותר</w:t>
      </w:r>
      <w:r>
        <w:rPr>
          <w:rFonts w:hint="cs"/>
          <w:rtl/>
        </w:rPr>
        <w:t>,</w:t>
      </w:r>
      <w:r w:rsidRPr="00E52B1F">
        <w:rPr>
          <w:rtl/>
        </w:rPr>
        <w:t xml:space="preserve"> לפי שאף אם נשתמש בהן מכל מקום סתם כליהם של גוים אינן בני יומן</w:t>
      </w:r>
      <w:r>
        <w:rPr>
          <w:rFonts w:hint="cs"/>
          <w:rtl/>
        </w:rPr>
        <w:t>,</w:t>
      </w:r>
      <w:r w:rsidRPr="00E52B1F">
        <w:rPr>
          <w:rtl/>
        </w:rPr>
        <w:t xml:space="preserve"> ומורי הר"ר יונה ז"ל היה נזהר שלא ליקח אלא במקום שיש שם כלים מיוחדים אחרים קדרה מתוך קדרות וסכין מתוך סכינים. וכן מעשים בכל יום שאנו לוקחים כלים מן האומן והולכין בזה אחר הרוב</w:t>
      </w:r>
      <w:r>
        <w:rPr>
          <w:rFonts w:hint="cs"/>
          <w:rtl/>
        </w:rPr>
        <w:t>,</w:t>
      </w:r>
      <w:r w:rsidRPr="00E52B1F">
        <w:rPr>
          <w:rtl/>
        </w:rPr>
        <w:t xml:space="preserve"> ורוב קדרות של קדר או שאר כלים של אומן הן חדשים</w:t>
      </w:r>
      <w:r>
        <w:rPr>
          <w:rFonts w:hint="cs"/>
          <w:rtl/>
        </w:rPr>
        <w:t>.</w:t>
      </w:r>
      <w:r w:rsidRPr="00E52B1F">
        <w:rPr>
          <w:rtl/>
        </w:rPr>
        <w:t xml:space="preserve"> </w:t>
      </w:r>
    </w:p>
    <w:p w14:paraId="71AE864D" w14:textId="77777777" w:rsidR="002C39F4" w:rsidRDefault="002C39F4" w:rsidP="0032102C">
      <w:pPr>
        <w:pStyle w:val="a8"/>
        <w:numPr>
          <w:ilvl w:val="0"/>
          <w:numId w:val="314"/>
        </w:numPr>
      </w:pPr>
      <w:r w:rsidRPr="00E52B1F">
        <w:rPr>
          <w:rtl/>
        </w:rPr>
        <w:t xml:space="preserve">בנימין זאב </w:t>
      </w:r>
      <w:r w:rsidRPr="00CF04B7">
        <w:rPr>
          <w:rFonts w:hint="cs"/>
          <w:sz w:val="16"/>
          <w:szCs w:val="16"/>
          <w:rtl/>
        </w:rPr>
        <w:t>(</w:t>
      </w:r>
      <w:r w:rsidRPr="00CF04B7">
        <w:rPr>
          <w:sz w:val="16"/>
          <w:szCs w:val="16"/>
          <w:rtl/>
        </w:rPr>
        <w:t>סי</w:t>
      </w:r>
      <w:r w:rsidRPr="00CF04B7">
        <w:rPr>
          <w:rFonts w:hint="cs"/>
          <w:sz w:val="16"/>
          <w:szCs w:val="16"/>
          <w:rtl/>
        </w:rPr>
        <w:t xml:space="preserve">' </w:t>
      </w:r>
      <w:r w:rsidRPr="00CF04B7">
        <w:rPr>
          <w:sz w:val="16"/>
          <w:szCs w:val="16"/>
          <w:rtl/>
        </w:rPr>
        <w:t>שמה</w:t>
      </w:r>
      <w:r w:rsidRPr="00CF04B7">
        <w:rPr>
          <w:rFonts w:hint="cs"/>
          <w:sz w:val="16"/>
          <w:szCs w:val="16"/>
          <w:rtl/>
        </w:rPr>
        <w:t>)</w:t>
      </w:r>
      <w:r>
        <w:rPr>
          <w:rFonts w:hint="cs"/>
          <w:rtl/>
        </w:rPr>
        <w:t xml:space="preserve">- </w:t>
      </w:r>
      <w:r w:rsidRPr="00E52B1F">
        <w:rPr>
          <w:rtl/>
        </w:rPr>
        <w:t>אין לקנות אף מאומן אלא כלי מתוך שאר כלים.</w:t>
      </w:r>
    </w:p>
    <w:p w14:paraId="4F63213F" w14:textId="77777777" w:rsidR="002C39F4" w:rsidRDefault="002C39F4" w:rsidP="002C39F4">
      <w:pPr>
        <w:rPr>
          <w:rFonts w:cs="Arial"/>
          <w:rtl/>
        </w:rPr>
      </w:pPr>
      <w:r w:rsidRPr="00DB415C">
        <w:rPr>
          <w:rFonts w:cs="Arial" w:hint="cs"/>
          <w:u w:val="single"/>
          <w:rtl/>
        </w:rPr>
        <w:t>הטביל ואח"כ הגעיל:</w:t>
      </w:r>
    </w:p>
    <w:p w14:paraId="28FF4FAB" w14:textId="77777777" w:rsidR="002C39F4" w:rsidRPr="00DB415C" w:rsidRDefault="002C39F4" w:rsidP="0032102C">
      <w:pPr>
        <w:pStyle w:val="a8"/>
        <w:numPr>
          <w:ilvl w:val="0"/>
          <w:numId w:val="313"/>
        </w:numPr>
        <w:rPr>
          <w:rFonts w:cs="Arial"/>
          <w:rtl/>
        </w:rPr>
      </w:pPr>
      <w:r>
        <w:rPr>
          <w:rFonts w:cs="Arial" w:hint="cs"/>
          <w:rtl/>
        </w:rPr>
        <w:t xml:space="preserve">רשב"ם </w:t>
      </w:r>
      <w:r>
        <w:rPr>
          <w:rFonts w:cs="Arial" w:hint="cs"/>
          <w:sz w:val="16"/>
          <w:szCs w:val="16"/>
          <w:rtl/>
        </w:rPr>
        <w:t>(כ"כ הסמ"ג בשמו)</w:t>
      </w:r>
      <w:r>
        <w:rPr>
          <w:rFonts w:cs="Arial" w:hint="cs"/>
          <w:rtl/>
        </w:rPr>
        <w:t xml:space="preserve"> ו</w:t>
      </w:r>
      <w:r w:rsidRPr="00DB415C">
        <w:rPr>
          <w:rFonts w:cs="Arial"/>
          <w:rtl/>
        </w:rPr>
        <w:t xml:space="preserve">רשב"א </w:t>
      </w:r>
      <w:r w:rsidRPr="00DB415C">
        <w:rPr>
          <w:rFonts w:cs="Arial"/>
          <w:sz w:val="16"/>
          <w:szCs w:val="16"/>
          <w:rtl/>
        </w:rPr>
        <w:t>(תוה"ק ב"ד ש"ד לג. ארוך לב ע"ג)</w:t>
      </w:r>
      <w:r w:rsidRPr="00DB415C">
        <w:rPr>
          <w:rFonts w:cs="Arial" w:hint="cs"/>
          <w:rtl/>
        </w:rPr>
        <w:t>-</w:t>
      </w:r>
      <w:r w:rsidRPr="00DB415C">
        <w:rPr>
          <w:rFonts w:cs="Arial"/>
          <w:rtl/>
        </w:rPr>
        <w:t xml:space="preserve"> </w:t>
      </w:r>
      <w:r>
        <w:rPr>
          <w:rFonts w:cs="Arial" w:hint="cs"/>
          <w:rtl/>
        </w:rPr>
        <w:t xml:space="preserve">צריך </w:t>
      </w:r>
      <w:r w:rsidRPr="00DB415C">
        <w:rPr>
          <w:rFonts w:cs="Arial"/>
          <w:rtl/>
        </w:rPr>
        <w:t xml:space="preserve">דוקא </w:t>
      </w:r>
      <w:r>
        <w:rPr>
          <w:rFonts w:cs="Arial" w:hint="cs"/>
          <w:rtl/>
        </w:rPr>
        <w:t>לה</w:t>
      </w:r>
      <w:r w:rsidRPr="00DB415C">
        <w:rPr>
          <w:rFonts w:cs="Arial"/>
          <w:rtl/>
        </w:rPr>
        <w:t xml:space="preserve">געילן ואח"כ </w:t>
      </w:r>
      <w:r>
        <w:rPr>
          <w:rFonts w:cs="Arial" w:hint="cs"/>
          <w:rtl/>
        </w:rPr>
        <w:t>לה</w:t>
      </w:r>
      <w:r w:rsidRPr="00DB415C">
        <w:rPr>
          <w:rFonts w:cs="Arial"/>
          <w:rtl/>
        </w:rPr>
        <w:t>טבילן</w:t>
      </w:r>
      <w:r>
        <w:rPr>
          <w:rFonts w:cs="Arial" w:hint="cs"/>
          <w:rtl/>
        </w:rPr>
        <w:t>,</w:t>
      </w:r>
      <w:r w:rsidRPr="00DB415C">
        <w:rPr>
          <w:rFonts w:cs="Arial"/>
          <w:rtl/>
        </w:rPr>
        <w:t xml:space="preserve"> אבל אם הטבילן תחילה הוי כטובל ושרץ בידו</w:t>
      </w:r>
      <w:r w:rsidRPr="00DB415C">
        <w:rPr>
          <w:rFonts w:cs="Arial" w:hint="cs"/>
          <w:rtl/>
        </w:rPr>
        <w:t>.</w:t>
      </w:r>
      <w:r w:rsidRPr="00DB415C">
        <w:rPr>
          <w:rFonts w:cs="Arial"/>
          <w:rtl/>
        </w:rPr>
        <w:t xml:space="preserve"> </w:t>
      </w:r>
    </w:p>
    <w:p w14:paraId="65A02E88" w14:textId="77777777" w:rsidR="002C39F4" w:rsidRDefault="002C39F4" w:rsidP="0032102C">
      <w:pPr>
        <w:pStyle w:val="a8"/>
        <w:numPr>
          <w:ilvl w:val="0"/>
          <w:numId w:val="313"/>
        </w:numPr>
      </w:pPr>
      <w:r>
        <w:rPr>
          <w:rFonts w:cs="Arial" w:hint="cs"/>
          <w:rtl/>
        </w:rPr>
        <w:t>ר"י</w:t>
      </w:r>
      <w:r>
        <w:rPr>
          <w:rStyle w:val="a7"/>
          <w:rFonts w:cs="Arial"/>
          <w:rtl/>
        </w:rPr>
        <w:footnoteReference w:id="2944"/>
      </w:r>
      <w:r>
        <w:rPr>
          <w:rFonts w:cs="Arial" w:hint="cs"/>
          <w:rtl/>
        </w:rPr>
        <w:t xml:space="preserve"> </w:t>
      </w:r>
      <w:r w:rsidRPr="00DB415C">
        <w:rPr>
          <w:rFonts w:cs="Arial"/>
          <w:sz w:val="16"/>
          <w:szCs w:val="16"/>
          <w:rtl/>
        </w:rPr>
        <w:t>(</w:t>
      </w:r>
      <w:r>
        <w:rPr>
          <w:rFonts w:cs="Arial" w:hint="cs"/>
          <w:sz w:val="16"/>
          <w:szCs w:val="16"/>
          <w:rtl/>
        </w:rPr>
        <w:t>כ"כ הסמ"ג [</w:t>
      </w:r>
      <w:r w:rsidRPr="00DB415C">
        <w:rPr>
          <w:rFonts w:cs="Arial"/>
          <w:sz w:val="16"/>
          <w:szCs w:val="16"/>
          <w:rtl/>
        </w:rPr>
        <w:t>לאוין קמח נז.</w:t>
      </w:r>
      <w:r>
        <w:rPr>
          <w:rFonts w:cs="Arial" w:hint="cs"/>
          <w:sz w:val="16"/>
          <w:szCs w:val="16"/>
          <w:rtl/>
        </w:rPr>
        <w:t>] והטור בשמו</w:t>
      </w:r>
      <w:r w:rsidRPr="00DB415C">
        <w:rPr>
          <w:rFonts w:cs="Arial"/>
          <w:sz w:val="16"/>
          <w:szCs w:val="16"/>
          <w:rtl/>
        </w:rPr>
        <w:t>)</w:t>
      </w:r>
      <w:r w:rsidRPr="00DB415C">
        <w:rPr>
          <w:rFonts w:cs="Arial"/>
          <w:rtl/>
        </w:rPr>
        <w:t xml:space="preserve"> ורא"ש </w:t>
      </w:r>
      <w:r w:rsidRPr="00DB415C">
        <w:rPr>
          <w:rFonts w:cs="Arial"/>
          <w:sz w:val="16"/>
          <w:szCs w:val="16"/>
          <w:rtl/>
        </w:rPr>
        <w:t>(סי' לו)</w:t>
      </w:r>
      <w:r>
        <w:rPr>
          <w:rFonts w:cs="Arial" w:hint="cs"/>
          <w:rtl/>
        </w:rPr>
        <w:t>-</w:t>
      </w:r>
      <w:r w:rsidRPr="008073E2">
        <w:rPr>
          <w:rFonts w:cs="Arial"/>
          <w:rtl/>
        </w:rPr>
        <w:t xml:space="preserve"> יכול להטבילן תחילה</w:t>
      </w:r>
      <w:r>
        <w:rPr>
          <w:rFonts w:cs="Arial" w:hint="cs"/>
          <w:sz w:val="16"/>
          <w:szCs w:val="16"/>
          <w:rtl/>
        </w:rPr>
        <w:t xml:space="preserve"> (ל' הטור בשם ר"י)</w:t>
      </w:r>
      <w:r>
        <w:rPr>
          <w:rFonts w:cs="Arial" w:hint="cs"/>
          <w:rtl/>
        </w:rPr>
        <w:t>,</w:t>
      </w:r>
      <w:r w:rsidRPr="00DB415C">
        <w:rPr>
          <w:rFonts w:cs="Arial"/>
          <w:rtl/>
        </w:rPr>
        <w:t xml:space="preserve"> שהרי אפילו הכלים חדשים צריכין טבילה</w:t>
      </w:r>
      <w:r w:rsidRPr="00DB415C">
        <w:rPr>
          <w:rFonts w:cs="Arial" w:hint="cs"/>
          <w:rtl/>
        </w:rPr>
        <w:t>,</w:t>
      </w:r>
      <w:r w:rsidRPr="00DB415C">
        <w:rPr>
          <w:rFonts w:cs="Arial"/>
          <w:rtl/>
        </w:rPr>
        <w:t xml:space="preserve"> א</w:t>
      </w:r>
      <w:r w:rsidRPr="00DB415C">
        <w:rPr>
          <w:rFonts w:cs="Arial" w:hint="cs"/>
          <w:rtl/>
        </w:rPr>
        <w:t>"</w:t>
      </w:r>
      <w:r w:rsidRPr="00DB415C">
        <w:rPr>
          <w:rFonts w:cs="Arial"/>
          <w:rtl/>
        </w:rPr>
        <w:t>כ אין הטבילה בשביל הטומאה כלומר אלא גזרת הכתוב היא</w:t>
      </w:r>
      <w:r w:rsidRPr="00DB415C">
        <w:rPr>
          <w:rFonts w:cs="Arial" w:hint="cs"/>
          <w:sz w:val="16"/>
          <w:szCs w:val="16"/>
          <w:rtl/>
        </w:rPr>
        <w:t xml:space="preserve"> (ל' סמ"ג)</w:t>
      </w:r>
      <w:r w:rsidRPr="00DB415C">
        <w:rPr>
          <w:rFonts w:cs="Arial" w:hint="cs"/>
          <w:rtl/>
        </w:rPr>
        <w:t>.</w:t>
      </w:r>
      <w:r w:rsidRPr="00DB415C">
        <w:rPr>
          <w:rFonts w:cs="Arial"/>
          <w:rtl/>
        </w:rPr>
        <w:t xml:space="preserve"> </w:t>
      </w:r>
    </w:p>
    <w:p w14:paraId="4D260853" w14:textId="77777777" w:rsidR="002C39F4" w:rsidRDefault="002C39F4" w:rsidP="0032102C">
      <w:pPr>
        <w:pStyle w:val="a8"/>
        <w:numPr>
          <w:ilvl w:val="0"/>
          <w:numId w:val="313"/>
        </w:numPr>
      </w:pPr>
      <w:r w:rsidRPr="008073E2">
        <w:rPr>
          <w:rFonts w:cs="Arial"/>
          <w:rtl/>
        </w:rPr>
        <w:t xml:space="preserve">ר"ן </w:t>
      </w:r>
      <w:r w:rsidRPr="00DB415C">
        <w:rPr>
          <w:rFonts w:cs="Arial"/>
          <w:sz w:val="16"/>
          <w:szCs w:val="16"/>
          <w:rtl/>
        </w:rPr>
        <w:t>(</w:t>
      </w:r>
      <w:r w:rsidRPr="00DB415C">
        <w:rPr>
          <w:rFonts w:cs="Arial" w:hint="cs"/>
          <w:sz w:val="16"/>
          <w:szCs w:val="16"/>
          <w:rtl/>
        </w:rPr>
        <w:t xml:space="preserve">ע"ז </w:t>
      </w:r>
      <w:r w:rsidRPr="00DB415C">
        <w:rPr>
          <w:rFonts w:cs="Arial"/>
          <w:sz w:val="16"/>
          <w:szCs w:val="16"/>
          <w:rtl/>
        </w:rPr>
        <w:t>לט: ד"ה ת"ר</w:t>
      </w:r>
      <w:r w:rsidRPr="00DB415C">
        <w:rPr>
          <w:rFonts w:cs="Arial" w:hint="cs"/>
          <w:sz w:val="16"/>
          <w:szCs w:val="16"/>
          <w:rtl/>
        </w:rPr>
        <w:t xml:space="preserve">, פסחים </w:t>
      </w:r>
      <w:r w:rsidRPr="00DB415C">
        <w:rPr>
          <w:rFonts w:cs="Arial"/>
          <w:sz w:val="16"/>
          <w:szCs w:val="16"/>
          <w:rtl/>
        </w:rPr>
        <w:t>ח: ד"ה מדיחן</w:t>
      </w:r>
      <w:r w:rsidRPr="00DB415C">
        <w:rPr>
          <w:rFonts w:cs="Arial" w:hint="cs"/>
          <w:sz w:val="16"/>
          <w:szCs w:val="16"/>
          <w:rtl/>
        </w:rPr>
        <w:t>, הביאו הדרכ"מ אות ג</w:t>
      </w:r>
      <w:r w:rsidRPr="00DB415C">
        <w:rPr>
          <w:rFonts w:cs="Arial"/>
          <w:sz w:val="16"/>
          <w:szCs w:val="16"/>
          <w:rtl/>
        </w:rPr>
        <w:t>)</w:t>
      </w:r>
      <w:r>
        <w:rPr>
          <w:rFonts w:cs="Arial" w:hint="cs"/>
          <w:rtl/>
        </w:rPr>
        <w:t xml:space="preserve">- </w:t>
      </w:r>
      <w:r w:rsidRPr="008073E2">
        <w:rPr>
          <w:rFonts w:cs="Arial"/>
          <w:rtl/>
        </w:rPr>
        <w:t>לכתחלה יגעילנו תחלה מיהו אם לא הגעילו תחלה מהני בדיעבד</w:t>
      </w:r>
      <w:r>
        <w:rPr>
          <w:rFonts w:hint="cs"/>
          <w:rtl/>
        </w:rPr>
        <w:t xml:space="preserve">. </w:t>
      </w:r>
      <w:r w:rsidRPr="00264796">
        <w:rPr>
          <w:rFonts w:hint="cs"/>
          <w:color w:val="E36C0A" w:themeColor="accent6" w:themeShade="BF"/>
          <w:rtl/>
        </w:rPr>
        <w:t>(וכ"ס בשו"ע)</w:t>
      </w:r>
      <w:r>
        <w:rPr>
          <w:rFonts w:hint="cs"/>
          <w:rtl/>
        </w:rPr>
        <w:t xml:space="preserve"> </w:t>
      </w:r>
    </w:p>
    <w:p w14:paraId="471A27BA" w14:textId="77777777" w:rsidR="002C39F4" w:rsidRPr="00F26FB7" w:rsidRDefault="002C39F4" w:rsidP="002C39F4">
      <w:pPr>
        <w:ind w:left="360"/>
        <w:rPr>
          <w:sz w:val="16"/>
          <w:szCs w:val="16"/>
        </w:rPr>
      </w:pPr>
      <w:r>
        <w:rPr>
          <w:rFonts w:cs="Arial" w:hint="cs"/>
          <w:u w:val="dotted"/>
          <w:rtl/>
        </w:rPr>
        <w:t xml:space="preserve">לדעת המתירים - </w:t>
      </w:r>
      <w:r w:rsidRPr="00DB415C">
        <w:rPr>
          <w:rFonts w:cs="Arial" w:hint="cs"/>
          <w:u w:val="dotted"/>
          <w:rtl/>
        </w:rPr>
        <w:t>מה הדין אם לא רוצה להשתמש בו אלא צונן</w:t>
      </w:r>
      <w:r>
        <w:rPr>
          <w:rFonts w:cs="Arial" w:hint="cs"/>
          <w:u w:val="dotted"/>
          <w:rtl/>
        </w:rPr>
        <w:t>, האם צריך בכל אופן להגעילו</w:t>
      </w:r>
      <w:r w:rsidRPr="00DB415C">
        <w:rPr>
          <w:rFonts w:cs="Arial" w:hint="cs"/>
          <w:u w:val="dotted"/>
          <w:rtl/>
        </w:rPr>
        <w:t>:</w:t>
      </w:r>
      <w:r>
        <w:rPr>
          <w:rFonts w:hint="cs"/>
          <w:sz w:val="16"/>
          <w:szCs w:val="16"/>
          <w:rtl/>
        </w:rPr>
        <w:t xml:space="preserve">   (ב"י ודרכ"מ אות ד) </w:t>
      </w:r>
    </w:p>
    <w:p w14:paraId="5172E0AA" w14:textId="77777777" w:rsidR="002C39F4" w:rsidRDefault="002C39F4" w:rsidP="0032102C">
      <w:pPr>
        <w:pStyle w:val="a8"/>
        <w:numPr>
          <w:ilvl w:val="0"/>
          <w:numId w:val="313"/>
        </w:numPr>
      </w:pPr>
      <w:r>
        <w:rPr>
          <w:rFonts w:cs="Arial" w:hint="cs"/>
          <w:rtl/>
        </w:rPr>
        <w:t>רא"ש</w:t>
      </w:r>
      <w:r w:rsidRPr="00DB415C">
        <w:rPr>
          <w:rFonts w:cs="Arial" w:hint="cs"/>
          <w:sz w:val="16"/>
          <w:szCs w:val="16"/>
          <w:rtl/>
        </w:rPr>
        <w:t xml:space="preserve"> (</w:t>
      </w:r>
      <w:r>
        <w:rPr>
          <w:rFonts w:cs="Arial" w:hint="cs"/>
          <w:sz w:val="16"/>
          <w:szCs w:val="16"/>
          <w:rtl/>
        </w:rPr>
        <w:t xml:space="preserve">סוף </w:t>
      </w:r>
      <w:r w:rsidRPr="00DB415C">
        <w:rPr>
          <w:rFonts w:cs="Arial" w:hint="cs"/>
          <w:sz w:val="16"/>
          <w:szCs w:val="16"/>
          <w:rtl/>
        </w:rPr>
        <w:t>ע"ז סי' לו)</w:t>
      </w:r>
      <w:r>
        <w:rPr>
          <w:rFonts w:cs="Arial" w:hint="cs"/>
          <w:rtl/>
        </w:rPr>
        <w:t xml:space="preserve"> וטור </w:t>
      </w:r>
      <w:r w:rsidRPr="00F26FB7">
        <w:rPr>
          <w:rFonts w:cs="Arial" w:hint="cs"/>
          <w:sz w:val="16"/>
          <w:szCs w:val="16"/>
          <w:rtl/>
        </w:rPr>
        <w:t>(כאן ובסי' צד עמ' תטז)</w:t>
      </w:r>
      <w:r>
        <w:rPr>
          <w:rFonts w:cs="Arial" w:hint="cs"/>
          <w:rtl/>
        </w:rPr>
        <w:t xml:space="preserve">- </w:t>
      </w:r>
      <w:r w:rsidRPr="00DB415C">
        <w:rPr>
          <w:rFonts w:cs="Arial"/>
          <w:rtl/>
        </w:rPr>
        <w:t>אם לא ירצה להשתמש בו אלא צונן יכול להטבילו ולהשתמש בצונן וכשירצה להשתמש בו בחמין יגעילו ויספיק לו טבילה שהטבילה כבר</w:t>
      </w:r>
      <w:r>
        <w:rPr>
          <w:rFonts w:cs="Arial" w:hint="cs"/>
          <w:sz w:val="16"/>
          <w:szCs w:val="16"/>
          <w:rtl/>
        </w:rPr>
        <w:t xml:space="preserve"> (ל' הטור)</w:t>
      </w:r>
      <w:r w:rsidRPr="00DB415C">
        <w:rPr>
          <w:rFonts w:cs="Arial" w:hint="cs"/>
          <w:rtl/>
        </w:rPr>
        <w:t>.</w:t>
      </w:r>
    </w:p>
    <w:p w14:paraId="3F21A848" w14:textId="77777777" w:rsidR="002C39F4" w:rsidRPr="00F26FB7" w:rsidRDefault="002C39F4" w:rsidP="0032102C">
      <w:pPr>
        <w:pStyle w:val="a8"/>
        <w:numPr>
          <w:ilvl w:val="0"/>
          <w:numId w:val="313"/>
        </w:numPr>
      </w:pPr>
      <w:r>
        <w:rPr>
          <w:rFonts w:cs="Arial"/>
          <w:rtl/>
        </w:rPr>
        <w:t xml:space="preserve">ר"ן </w:t>
      </w:r>
      <w:r w:rsidRPr="00F26FB7">
        <w:rPr>
          <w:rFonts w:cs="Arial"/>
          <w:sz w:val="16"/>
          <w:szCs w:val="16"/>
          <w:rtl/>
        </w:rPr>
        <w:t>(חולין מ: ד"ה אימלח)</w:t>
      </w:r>
      <w:r w:rsidRPr="00F26FB7">
        <w:rPr>
          <w:rFonts w:cs="Arial" w:hint="cs"/>
          <w:sz w:val="16"/>
          <w:szCs w:val="16"/>
          <w:rtl/>
        </w:rPr>
        <w:t xml:space="preserve"> </w:t>
      </w:r>
      <w:r>
        <w:rPr>
          <w:rFonts w:cs="Arial" w:hint="cs"/>
          <w:rtl/>
        </w:rPr>
        <w:t xml:space="preserve">והה"מ </w:t>
      </w:r>
      <w:r w:rsidRPr="00F26FB7">
        <w:rPr>
          <w:rFonts w:cs="Arial" w:hint="cs"/>
          <w:sz w:val="16"/>
          <w:szCs w:val="16"/>
          <w:rtl/>
        </w:rPr>
        <w:t>(</w:t>
      </w:r>
      <w:r w:rsidRPr="00F26FB7">
        <w:rPr>
          <w:rFonts w:cs="Arial"/>
          <w:sz w:val="16"/>
          <w:szCs w:val="16"/>
          <w:rtl/>
        </w:rPr>
        <w:t>פ"ה דחמץ ומצה הכ"א)</w:t>
      </w:r>
      <w:r>
        <w:rPr>
          <w:rFonts w:cs="Arial" w:hint="cs"/>
          <w:rtl/>
        </w:rPr>
        <w:t>-</w:t>
      </w:r>
      <w:r>
        <w:rPr>
          <w:rFonts w:cs="Arial"/>
          <w:rtl/>
        </w:rPr>
        <w:t xml:space="preserve"> דוקא בכלים שדי להם בהגעלה אז מותר להשתמש בהם צונן בלא הגעלה אבל כלי חרס אסור להשתמש בו צונן בלא הגעלה</w:t>
      </w:r>
      <w:r>
        <w:rPr>
          <w:rFonts w:cs="Arial" w:hint="cs"/>
          <w:rtl/>
        </w:rPr>
        <w:t>.</w:t>
      </w:r>
    </w:p>
    <w:p w14:paraId="0941B9C9" w14:textId="77777777" w:rsidR="002C39F4" w:rsidRDefault="002C39F4" w:rsidP="0032102C">
      <w:pPr>
        <w:pStyle w:val="a8"/>
        <w:numPr>
          <w:ilvl w:val="0"/>
          <w:numId w:val="313"/>
        </w:numPr>
      </w:pPr>
      <w:r>
        <w:rPr>
          <w:rFonts w:cs="Arial"/>
          <w:rtl/>
        </w:rPr>
        <w:t xml:space="preserve">מרדכי </w:t>
      </w:r>
      <w:r w:rsidRPr="00F26FB7">
        <w:rPr>
          <w:rFonts w:cs="Arial"/>
          <w:sz w:val="16"/>
          <w:szCs w:val="16"/>
          <w:rtl/>
        </w:rPr>
        <w:t>(</w:t>
      </w:r>
      <w:r w:rsidRPr="00F26FB7">
        <w:rPr>
          <w:rFonts w:cs="Arial" w:hint="cs"/>
          <w:sz w:val="16"/>
          <w:szCs w:val="16"/>
          <w:rtl/>
        </w:rPr>
        <w:t xml:space="preserve">פסחים </w:t>
      </w:r>
      <w:r w:rsidRPr="00F26FB7">
        <w:rPr>
          <w:rFonts w:cs="Arial"/>
          <w:sz w:val="16"/>
          <w:szCs w:val="16"/>
          <w:rtl/>
        </w:rPr>
        <w:t>סי' תקסה)</w:t>
      </w:r>
      <w:r>
        <w:rPr>
          <w:rFonts w:cs="Arial" w:hint="cs"/>
          <w:rtl/>
        </w:rPr>
        <w:t xml:space="preserve">- </w:t>
      </w:r>
      <w:r>
        <w:rPr>
          <w:rFonts w:cs="Arial"/>
          <w:rtl/>
        </w:rPr>
        <w:t>אף בכל הכלים שתשמישן בחמין אסור להשתמש בהן בצונן בלא הגעלה גזירה שמא ישתמש בהן בחמין</w:t>
      </w:r>
      <w:r>
        <w:rPr>
          <w:rFonts w:cs="Arial" w:hint="cs"/>
          <w:rtl/>
        </w:rPr>
        <w:t>.</w:t>
      </w:r>
      <w:r w:rsidRPr="004E1B85">
        <w:rPr>
          <w:rFonts w:hint="cs"/>
          <w:color w:val="00B0F0"/>
          <w:rtl/>
        </w:rPr>
        <w:t xml:space="preserve"> (וכ"פ הרמ"א</w:t>
      </w:r>
      <w:r>
        <w:rPr>
          <w:rFonts w:hint="cs"/>
          <w:color w:val="00B0F0"/>
          <w:sz w:val="16"/>
          <w:szCs w:val="16"/>
          <w:rtl/>
        </w:rPr>
        <w:t xml:space="preserve"> </w:t>
      </w:r>
      <w:r>
        <w:rPr>
          <w:rFonts w:hint="cs"/>
          <w:color w:val="000000" w:themeColor="text1"/>
          <w:sz w:val="16"/>
          <w:szCs w:val="16"/>
          <w:rtl/>
        </w:rPr>
        <w:t>[סע' ה]</w:t>
      </w:r>
      <w:r w:rsidRPr="004E1B85">
        <w:rPr>
          <w:rFonts w:hint="cs"/>
          <w:color w:val="00B0F0"/>
          <w:rtl/>
        </w:rPr>
        <w:t>)</w:t>
      </w:r>
    </w:p>
    <w:p w14:paraId="39810F83" w14:textId="77777777" w:rsidR="002C39F4" w:rsidRPr="00F26FB7" w:rsidRDefault="002C39F4" w:rsidP="002C39F4">
      <w:pPr>
        <w:ind w:left="360"/>
        <w:rPr>
          <w:sz w:val="16"/>
          <w:szCs w:val="16"/>
          <w:u w:val="dotted"/>
          <w:rtl/>
        </w:rPr>
      </w:pPr>
      <w:r w:rsidRPr="00F26FB7">
        <w:rPr>
          <w:rFonts w:hint="cs"/>
          <w:u w:val="dotted"/>
          <w:rtl/>
        </w:rPr>
        <w:t xml:space="preserve">ומה הדין ליתן בכלי זה </w:t>
      </w:r>
      <w:r w:rsidRPr="00F26FB7">
        <w:rPr>
          <w:rFonts w:hint="cs"/>
          <w:sz w:val="16"/>
          <w:szCs w:val="16"/>
          <w:u w:val="dotted"/>
          <w:rtl/>
        </w:rPr>
        <w:t xml:space="preserve">(שלא עבר הגעלה אלא טבילה בלבד) </w:t>
      </w:r>
      <w:r w:rsidRPr="00F26FB7">
        <w:rPr>
          <w:rFonts w:hint="cs"/>
          <w:u w:val="dotted"/>
          <w:rtl/>
        </w:rPr>
        <w:t>חומץ:</w:t>
      </w:r>
    </w:p>
    <w:p w14:paraId="273CF6F9" w14:textId="77777777" w:rsidR="002C39F4" w:rsidRPr="00DB415C" w:rsidRDefault="002C39F4" w:rsidP="0032102C">
      <w:pPr>
        <w:pStyle w:val="a8"/>
        <w:numPr>
          <w:ilvl w:val="0"/>
          <w:numId w:val="313"/>
        </w:numPr>
        <w:rPr>
          <w:rtl/>
        </w:rPr>
      </w:pPr>
      <w:r>
        <w:rPr>
          <w:rFonts w:cs="Arial" w:hint="cs"/>
          <w:rtl/>
        </w:rPr>
        <w:t xml:space="preserve">דרכ"מ </w:t>
      </w:r>
      <w:r>
        <w:rPr>
          <w:rFonts w:cs="Arial" w:hint="cs"/>
          <w:sz w:val="16"/>
          <w:szCs w:val="16"/>
          <w:rtl/>
        </w:rPr>
        <w:t>(אות ד)</w:t>
      </w:r>
      <w:r>
        <w:rPr>
          <w:rFonts w:cs="Arial" w:hint="cs"/>
          <w:rtl/>
        </w:rPr>
        <w:t xml:space="preserve">- </w:t>
      </w:r>
      <w:r>
        <w:rPr>
          <w:rFonts w:cs="Arial"/>
          <w:rtl/>
        </w:rPr>
        <w:t xml:space="preserve">ראיתי מקצת בני אדם מקילין בחומץ ליתנו בכלי איסור ואומרים דחומץ צומת ואינו נוח לפלוט כמו שאמרו </w:t>
      </w:r>
      <w:r w:rsidRPr="00F26FB7">
        <w:rPr>
          <w:rFonts w:cs="Arial"/>
          <w:sz w:val="16"/>
          <w:szCs w:val="16"/>
          <w:rtl/>
        </w:rPr>
        <w:t>(חולין קי</w:t>
      </w:r>
      <w:r w:rsidRPr="00F26FB7">
        <w:rPr>
          <w:rFonts w:cs="Arial" w:hint="cs"/>
          <w:sz w:val="16"/>
          <w:szCs w:val="16"/>
          <w:rtl/>
        </w:rPr>
        <w:t>א.</w:t>
      </w:r>
      <w:r w:rsidRPr="00F26FB7">
        <w:rPr>
          <w:rFonts w:cs="Arial"/>
          <w:sz w:val="16"/>
          <w:szCs w:val="16"/>
          <w:rtl/>
        </w:rPr>
        <w:t>)</w:t>
      </w:r>
      <w:r>
        <w:rPr>
          <w:rFonts w:cs="Arial"/>
          <w:rtl/>
        </w:rPr>
        <w:t xml:space="preserve"> חלטו בחומץ וכו'</w:t>
      </w:r>
      <w:r>
        <w:rPr>
          <w:rFonts w:cs="Arial" w:hint="cs"/>
          <w:rtl/>
        </w:rPr>
        <w:t>,</w:t>
      </w:r>
      <w:r>
        <w:rPr>
          <w:rFonts w:cs="Arial"/>
          <w:rtl/>
        </w:rPr>
        <w:t xml:space="preserve"> וליתא</w:t>
      </w:r>
      <w:r>
        <w:rPr>
          <w:rFonts w:cs="Arial" w:hint="cs"/>
          <w:rtl/>
        </w:rPr>
        <w:t>,</w:t>
      </w:r>
      <w:r>
        <w:rPr>
          <w:rFonts w:cs="Arial"/>
          <w:rtl/>
        </w:rPr>
        <w:t xml:space="preserve"> דאדרבה בכלי חומץ מפליט יותר משאר דבר</w:t>
      </w:r>
      <w:r>
        <w:rPr>
          <w:rFonts w:cs="Arial" w:hint="cs"/>
          <w:rtl/>
        </w:rPr>
        <w:t>,</w:t>
      </w:r>
      <w:r>
        <w:rPr>
          <w:rFonts w:cs="Arial"/>
          <w:rtl/>
        </w:rPr>
        <w:t xml:space="preserve"> כמו שכתב הטור או</w:t>
      </w:r>
      <w:r>
        <w:rPr>
          <w:rFonts w:cs="Arial" w:hint="cs"/>
          <w:rtl/>
        </w:rPr>
        <w:t>"</w:t>
      </w:r>
      <w:r>
        <w:rPr>
          <w:rFonts w:cs="Arial"/>
          <w:rtl/>
        </w:rPr>
        <w:t>ח סי</w:t>
      </w:r>
      <w:r>
        <w:rPr>
          <w:rFonts w:cs="Arial" w:hint="cs"/>
          <w:rtl/>
        </w:rPr>
        <w:t>'</w:t>
      </w:r>
      <w:r>
        <w:rPr>
          <w:rFonts w:cs="Arial"/>
          <w:rtl/>
        </w:rPr>
        <w:t xml:space="preserve"> תמב</w:t>
      </w:r>
      <w:r>
        <w:rPr>
          <w:rFonts w:cs="Arial" w:hint="cs"/>
          <w:rtl/>
        </w:rPr>
        <w:t>,</w:t>
      </w:r>
      <w:r>
        <w:rPr>
          <w:rFonts w:cs="Arial"/>
          <w:rtl/>
        </w:rPr>
        <w:t xml:space="preserve"> וגבי כבדא שאני כנ"ל</w:t>
      </w:r>
      <w:r>
        <w:rPr>
          <w:rFonts w:cs="Arial" w:hint="cs"/>
          <w:rtl/>
        </w:rPr>
        <w:t>,</w:t>
      </w:r>
      <w:r>
        <w:rPr>
          <w:rFonts w:cs="Arial"/>
          <w:rtl/>
        </w:rPr>
        <w:t xml:space="preserve"> ומיהו ע"י הדחה ושטיפה ודאי שרי כמ"ש הרשב"א סוף סימן זה </w:t>
      </w:r>
      <w:r w:rsidRPr="00F26FB7">
        <w:rPr>
          <w:rFonts w:cs="Arial"/>
          <w:sz w:val="16"/>
          <w:szCs w:val="16"/>
          <w:rtl/>
        </w:rPr>
        <w:t>(עמ' תקמד)</w:t>
      </w:r>
      <w:r>
        <w:rPr>
          <w:rFonts w:cs="Arial"/>
          <w:rtl/>
        </w:rPr>
        <w:t xml:space="preserve"> לענין צנון או שאר דברים החריפים</w:t>
      </w:r>
      <w:r>
        <w:rPr>
          <w:rFonts w:cs="Arial" w:hint="cs"/>
          <w:rtl/>
        </w:rPr>
        <w:t>.</w:t>
      </w:r>
      <w:r w:rsidRPr="004E1B85">
        <w:rPr>
          <w:rFonts w:hint="cs"/>
          <w:color w:val="00B0F0"/>
          <w:rtl/>
        </w:rPr>
        <w:t xml:space="preserve"> (וכ"פ הרמ"א</w:t>
      </w:r>
      <w:r>
        <w:rPr>
          <w:rFonts w:hint="cs"/>
          <w:color w:val="00B0F0"/>
          <w:sz w:val="16"/>
          <w:szCs w:val="16"/>
          <w:rtl/>
        </w:rPr>
        <w:t xml:space="preserve"> </w:t>
      </w:r>
      <w:r>
        <w:rPr>
          <w:rFonts w:hint="cs"/>
          <w:color w:val="000000" w:themeColor="text1"/>
          <w:sz w:val="16"/>
          <w:szCs w:val="16"/>
          <w:rtl/>
        </w:rPr>
        <w:t>[סע' ה]</w:t>
      </w:r>
      <w:r w:rsidRPr="004E1B85">
        <w:rPr>
          <w:rFonts w:hint="cs"/>
          <w:color w:val="00B0F0"/>
          <w:rtl/>
        </w:rPr>
        <w:t>)</w:t>
      </w:r>
    </w:p>
    <w:p w14:paraId="68DB74E3" w14:textId="77777777" w:rsidR="002C39F4" w:rsidRPr="00EF33DE" w:rsidRDefault="002C39F4" w:rsidP="002C39F4">
      <w:pPr>
        <w:rPr>
          <w:rFonts w:cs="Arial"/>
          <w:u w:val="single"/>
          <w:rtl/>
        </w:rPr>
      </w:pPr>
      <w:r>
        <w:rPr>
          <w:rFonts w:cs="Arial" w:hint="cs"/>
          <w:u w:val="single"/>
          <w:rtl/>
        </w:rPr>
        <w:t xml:space="preserve">בזמן ההגעלה - </w:t>
      </w:r>
      <w:r w:rsidRPr="00EF33DE">
        <w:rPr>
          <w:rFonts w:cs="Arial" w:hint="cs"/>
          <w:u w:val="single"/>
          <w:rtl/>
        </w:rPr>
        <w:t>כמה זמן צריך להשהות את הכלי במים הרותחים:</w:t>
      </w:r>
    </w:p>
    <w:p w14:paraId="46201EC7" w14:textId="77777777" w:rsidR="002C39F4" w:rsidRPr="00EF33DE" w:rsidRDefault="002C39F4" w:rsidP="0032102C">
      <w:pPr>
        <w:pStyle w:val="a8"/>
        <w:numPr>
          <w:ilvl w:val="0"/>
          <w:numId w:val="313"/>
        </w:numPr>
        <w:rPr>
          <w:rFonts w:cs="Arial"/>
          <w:rtl/>
        </w:rPr>
      </w:pPr>
      <w:r w:rsidRPr="00EF33DE">
        <w:rPr>
          <w:rFonts w:cs="Arial" w:hint="cs"/>
          <w:rtl/>
        </w:rPr>
        <w:t>רי"ף</w:t>
      </w:r>
      <w:r w:rsidRPr="00EF33DE">
        <w:rPr>
          <w:rFonts w:cs="Arial" w:hint="cs"/>
          <w:sz w:val="16"/>
          <w:szCs w:val="16"/>
          <w:rtl/>
        </w:rPr>
        <w:t xml:space="preserve"> (פסחים ח:)</w:t>
      </w:r>
      <w:r w:rsidRPr="00EF33DE">
        <w:rPr>
          <w:rFonts w:cs="Arial" w:hint="cs"/>
          <w:rtl/>
        </w:rPr>
        <w:t>-</w:t>
      </w:r>
      <w:r w:rsidRPr="00EF33DE">
        <w:rPr>
          <w:rFonts w:cs="Arial"/>
          <w:rtl/>
        </w:rPr>
        <w:t xml:space="preserve"> צריך שישהא הכלי במים עד שיפלוט כל האיסור שבו</w:t>
      </w:r>
      <w:r>
        <w:rPr>
          <w:rStyle w:val="a7"/>
          <w:rFonts w:cs="Arial"/>
          <w:rtl/>
        </w:rPr>
        <w:footnoteReference w:id="2945"/>
      </w:r>
      <w:r w:rsidRPr="00EF33DE">
        <w:rPr>
          <w:rFonts w:cs="Arial" w:hint="cs"/>
          <w:rtl/>
        </w:rPr>
        <w:t>.</w:t>
      </w:r>
    </w:p>
    <w:p w14:paraId="59498ADD" w14:textId="77777777" w:rsidR="002C39F4" w:rsidRDefault="002C39F4" w:rsidP="0032102C">
      <w:pPr>
        <w:pStyle w:val="a8"/>
        <w:numPr>
          <w:ilvl w:val="0"/>
          <w:numId w:val="313"/>
        </w:numPr>
        <w:rPr>
          <w:rFonts w:cs="Arial"/>
        </w:rPr>
      </w:pPr>
      <w:r>
        <w:rPr>
          <w:rFonts w:cs="Arial"/>
          <w:rtl/>
        </w:rPr>
        <w:t xml:space="preserve">רא"ש </w:t>
      </w:r>
      <w:r w:rsidRPr="00EF33DE">
        <w:rPr>
          <w:rFonts w:cs="Arial"/>
          <w:sz w:val="16"/>
          <w:szCs w:val="16"/>
          <w:rtl/>
        </w:rPr>
        <w:t>(שם סי' ז)</w:t>
      </w:r>
      <w:r>
        <w:rPr>
          <w:rFonts w:cs="Arial" w:hint="cs"/>
          <w:rtl/>
        </w:rPr>
        <w:t>-</w:t>
      </w:r>
      <w:r>
        <w:rPr>
          <w:rFonts w:cs="Arial"/>
          <w:rtl/>
        </w:rPr>
        <w:t xml:space="preserve"> </w:t>
      </w:r>
      <w:r>
        <w:rPr>
          <w:rStyle w:val="a7"/>
          <w:rFonts w:cs="Arial"/>
          <w:rtl/>
        </w:rPr>
        <w:footnoteReference w:id="2946"/>
      </w:r>
      <w:r>
        <w:rPr>
          <w:rFonts w:cs="Arial"/>
          <w:rtl/>
        </w:rPr>
        <w:t>בכל ימות השנה הבא להגעיל כלי שבלוע מאיסור אין להגעילו אא</w:t>
      </w:r>
      <w:r>
        <w:rPr>
          <w:rFonts w:cs="Arial" w:hint="cs"/>
          <w:rtl/>
        </w:rPr>
        <w:t>"</w:t>
      </w:r>
      <w:r>
        <w:rPr>
          <w:rFonts w:cs="Arial"/>
          <w:rtl/>
        </w:rPr>
        <w:t>כ שלא יהא הכלי בן יומו</w:t>
      </w:r>
      <w:r>
        <w:rPr>
          <w:rStyle w:val="a7"/>
          <w:rFonts w:cs="Arial"/>
          <w:rtl/>
        </w:rPr>
        <w:footnoteReference w:id="2947"/>
      </w:r>
      <w:r>
        <w:rPr>
          <w:rFonts w:cs="Arial" w:hint="cs"/>
          <w:rtl/>
        </w:rPr>
        <w:t>,</w:t>
      </w:r>
      <w:r>
        <w:rPr>
          <w:rFonts w:cs="Arial"/>
          <w:rtl/>
        </w:rPr>
        <w:t xml:space="preserve"> או שיהא במים ששים כדי לבטלו ונוהגים להכניסן ולהוציאם מיד</w:t>
      </w:r>
      <w:r>
        <w:rPr>
          <w:rFonts w:cs="Arial" w:hint="cs"/>
          <w:rtl/>
        </w:rPr>
        <w:t>.</w:t>
      </w:r>
      <w:r>
        <w:rPr>
          <w:rFonts w:cs="Arial"/>
          <w:rtl/>
        </w:rPr>
        <w:t xml:space="preserve"> </w:t>
      </w:r>
    </w:p>
    <w:p w14:paraId="75612091" w14:textId="77777777" w:rsidR="002C39F4" w:rsidRPr="00CA4286" w:rsidRDefault="002C39F4" w:rsidP="002C39F4">
      <w:pPr>
        <w:rPr>
          <w:rFonts w:cs="Arial"/>
          <w:sz w:val="16"/>
          <w:szCs w:val="16"/>
        </w:rPr>
      </w:pPr>
      <w:r w:rsidRPr="00CA4286">
        <w:rPr>
          <w:rFonts w:cs="Arial" w:hint="cs"/>
          <w:u w:val="single"/>
          <w:rtl/>
        </w:rPr>
        <w:t>מים שנשתנו מחמת רוב הכלים שהגעילו בהם:</w:t>
      </w:r>
      <w:r>
        <w:rPr>
          <w:rFonts w:cs="Arial" w:hint="cs"/>
          <w:rtl/>
        </w:rPr>
        <w:t xml:space="preserve">  </w:t>
      </w:r>
      <w:r w:rsidRPr="00CA4286">
        <w:rPr>
          <w:rFonts w:cs="Arial" w:hint="cs"/>
          <w:sz w:val="16"/>
          <w:szCs w:val="16"/>
          <w:rtl/>
        </w:rPr>
        <w:t xml:space="preserve"> </w:t>
      </w:r>
      <w:r w:rsidRPr="00CA4286">
        <w:rPr>
          <w:rFonts w:cs="Arial"/>
          <w:sz w:val="16"/>
          <w:szCs w:val="16"/>
          <w:rtl/>
        </w:rPr>
        <w:t>(</w:t>
      </w:r>
      <w:r w:rsidRPr="00CA4286">
        <w:rPr>
          <w:rFonts w:cs="Arial" w:hint="cs"/>
          <w:sz w:val="16"/>
          <w:szCs w:val="16"/>
          <w:rtl/>
        </w:rPr>
        <w:t xml:space="preserve">דרכ"מ אות </w:t>
      </w:r>
      <w:r w:rsidRPr="00CA4286">
        <w:rPr>
          <w:rFonts w:cs="Arial"/>
          <w:sz w:val="16"/>
          <w:szCs w:val="16"/>
          <w:rtl/>
        </w:rPr>
        <w:t xml:space="preserve">ט) </w:t>
      </w:r>
    </w:p>
    <w:p w14:paraId="2A2B442D" w14:textId="77777777" w:rsidR="002C39F4" w:rsidRDefault="002C39F4" w:rsidP="0032102C">
      <w:pPr>
        <w:pStyle w:val="a8"/>
        <w:numPr>
          <w:ilvl w:val="0"/>
          <w:numId w:val="313"/>
        </w:numPr>
        <w:rPr>
          <w:rFonts w:cs="Arial"/>
        </w:rPr>
      </w:pPr>
      <w:r w:rsidRPr="00CA4286">
        <w:rPr>
          <w:rFonts w:cs="Arial"/>
          <w:rtl/>
        </w:rPr>
        <w:t xml:space="preserve">ר"ן </w:t>
      </w:r>
      <w:r w:rsidRPr="00CA4286">
        <w:rPr>
          <w:rFonts w:cs="Arial" w:hint="cs"/>
          <w:sz w:val="16"/>
          <w:szCs w:val="16"/>
          <w:rtl/>
        </w:rPr>
        <w:t>(</w:t>
      </w:r>
      <w:r w:rsidRPr="00CA4286">
        <w:rPr>
          <w:rFonts w:cs="Arial"/>
          <w:sz w:val="16"/>
          <w:szCs w:val="16"/>
          <w:rtl/>
        </w:rPr>
        <w:t>חולין</w:t>
      </w:r>
      <w:r w:rsidRPr="00CA4286">
        <w:rPr>
          <w:rFonts w:cs="Arial" w:hint="cs"/>
          <w:sz w:val="16"/>
          <w:szCs w:val="16"/>
          <w:rtl/>
        </w:rPr>
        <w:t xml:space="preserve"> </w:t>
      </w:r>
      <w:r w:rsidRPr="00CA4286">
        <w:rPr>
          <w:rFonts w:cs="Arial"/>
          <w:sz w:val="16"/>
          <w:szCs w:val="16"/>
          <w:rtl/>
        </w:rPr>
        <w:t>מד</w:t>
      </w:r>
      <w:r w:rsidRPr="00CA4286">
        <w:rPr>
          <w:rFonts w:cs="Arial" w:hint="cs"/>
          <w:sz w:val="16"/>
          <w:szCs w:val="16"/>
          <w:rtl/>
        </w:rPr>
        <w:t>.</w:t>
      </w:r>
      <w:r w:rsidRPr="00CA4286">
        <w:rPr>
          <w:rFonts w:cs="Arial"/>
          <w:sz w:val="16"/>
          <w:szCs w:val="16"/>
          <w:rtl/>
        </w:rPr>
        <w:t>)</w:t>
      </w:r>
      <w:r>
        <w:rPr>
          <w:rFonts w:cs="Arial" w:hint="cs"/>
          <w:rtl/>
        </w:rPr>
        <w:t>-</w:t>
      </w:r>
      <w:r w:rsidRPr="00CA4286">
        <w:rPr>
          <w:rFonts w:cs="Arial"/>
          <w:rtl/>
        </w:rPr>
        <w:t xml:space="preserve"> אם הגעיל במים הרבה כלים עד שמרוב פליטה נשתנו צורת המים ונעשו כציר אסור שוב להגעיל באותן המים</w:t>
      </w:r>
      <w:r>
        <w:rPr>
          <w:rFonts w:cs="Arial" w:hint="cs"/>
          <w:rtl/>
        </w:rPr>
        <w:t>.</w:t>
      </w:r>
    </w:p>
    <w:p w14:paraId="58E34298" w14:textId="77777777" w:rsidR="002C39F4" w:rsidRDefault="002C39F4" w:rsidP="002C39F4">
      <w:pPr>
        <w:rPr>
          <w:rtl/>
        </w:rPr>
      </w:pPr>
      <w:r w:rsidRPr="004A2AC6">
        <w:rPr>
          <w:rFonts w:hint="cs"/>
          <w:u w:val="single"/>
          <w:rtl/>
        </w:rPr>
        <w:t>שטיפה לאחר ה</w:t>
      </w:r>
      <w:r>
        <w:rPr>
          <w:rFonts w:hint="cs"/>
          <w:u w:val="single"/>
          <w:rtl/>
        </w:rPr>
        <w:t>ה</w:t>
      </w:r>
      <w:r w:rsidRPr="004A2AC6">
        <w:rPr>
          <w:rFonts w:hint="cs"/>
          <w:u w:val="single"/>
          <w:rtl/>
        </w:rPr>
        <w:t>געלה:</w:t>
      </w:r>
    </w:p>
    <w:p w14:paraId="217EAFAA" w14:textId="77777777" w:rsidR="002C39F4" w:rsidRDefault="002C39F4" w:rsidP="0032102C">
      <w:pPr>
        <w:pStyle w:val="a8"/>
        <w:numPr>
          <w:ilvl w:val="0"/>
          <w:numId w:val="315"/>
        </w:numPr>
        <w:rPr>
          <w:rFonts w:cs="Arial"/>
        </w:rPr>
      </w:pPr>
      <w:r w:rsidRPr="004A2AC6">
        <w:rPr>
          <w:rFonts w:cs="Arial"/>
          <w:rtl/>
        </w:rPr>
        <w:t xml:space="preserve">רש"י </w:t>
      </w:r>
      <w:r>
        <w:rPr>
          <w:rFonts w:cs="Arial" w:hint="cs"/>
          <w:rtl/>
        </w:rPr>
        <w:t>ו</w:t>
      </w:r>
      <w:r w:rsidRPr="004A2AC6">
        <w:rPr>
          <w:rFonts w:cs="Arial"/>
          <w:rtl/>
        </w:rPr>
        <w:t>רמב"ם</w:t>
      </w:r>
      <w:r>
        <w:rPr>
          <w:rStyle w:val="a7"/>
          <w:rFonts w:cs="Arial"/>
          <w:rtl/>
        </w:rPr>
        <w:footnoteReference w:id="2948"/>
      </w:r>
      <w:r>
        <w:rPr>
          <w:rFonts w:cs="Arial" w:hint="cs"/>
          <w:rtl/>
        </w:rPr>
        <w:t>- לאחר ההגעלה צריך לשטוף את הכלים בצונן</w:t>
      </w:r>
      <w:r>
        <w:rPr>
          <w:rStyle w:val="a7"/>
          <w:rFonts w:cs="Arial"/>
          <w:rtl/>
        </w:rPr>
        <w:footnoteReference w:id="2949"/>
      </w:r>
      <w:r w:rsidRPr="004A2AC6">
        <w:rPr>
          <w:rFonts w:cs="Arial" w:hint="cs"/>
          <w:rtl/>
        </w:rPr>
        <w:t>.</w:t>
      </w:r>
    </w:p>
    <w:p w14:paraId="1425DC8F" w14:textId="77777777" w:rsidR="002C39F4" w:rsidRPr="00CD5177" w:rsidRDefault="002C39F4" w:rsidP="002C39F4">
      <w:pPr>
        <w:ind w:left="360"/>
        <w:rPr>
          <w:rFonts w:cs="Arial"/>
          <w:u w:val="dotted"/>
          <w:rtl/>
        </w:rPr>
      </w:pPr>
      <w:r>
        <w:rPr>
          <w:rFonts w:cs="Arial" w:hint="cs"/>
          <w:u w:val="dotted"/>
          <w:rtl/>
        </w:rPr>
        <w:t>ומה הדין אם לא עשה כן:</w:t>
      </w:r>
    </w:p>
    <w:p w14:paraId="0B8B1E96" w14:textId="77777777" w:rsidR="002C39F4" w:rsidRPr="004F7AF3" w:rsidRDefault="002C39F4" w:rsidP="0032102C">
      <w:pPr>
        <w:pStyle w:val="a8"/>
        <w:numPr>
          <w:ilvl w:val="0"/>
          <w:numId w:val="315"/>
        </w:numPr>
        <w:rPr>
          <w:rFonts w:cs="Arial"/>
          <w:rtl/>
        </w:rPr>
      </w:pPr>
      <w:r w:rsidRPr="004A2AC6">
        <w:rPr>
          <w:rFonts w:cs="Arial"/>
          <w:rtl/>
        </w:rPr>
        <w:t>ר"י</w:t>
      </w:r>
      <w:r>
        <w:rPr>
          <w:rFonts w:cs="Arial" w:hint="cs"/>
          <w:sz w:val="16"/>
          <w:szCs w:val="16"/>
          <w:rtl/>
        </w:rPr>
        <w:t xml:space="preserve"> (כ"כ הטור בשמו)</w:t>
      </w:r>
      <w:r>
        <w:rPr>
          <w:rFonts w:cs="Arial" w:hint="cs"/>
          <w:rtl/>
        </w:rPr>
        <w:t xml:space="preserve">- </w:t>
      </w:r>
      <w:r w:rsidRPr="004A2AC6">
        <w:rPr>
          <w:rFonts w:cs="Arial"/>
          <w:rtl/>
        </w:rPr>
        <w:t>אפילו לא שטפו מיד לא נאסר כי אינו חוזר ובולע</w:t>
      </w:r>
      <w:r>
        <w:rPr>
          <w:rFonts w:cs="Arial" w:hint="cs"/>
          <w:rtl/>
        </w:rPr>
        <w:t>.</w:t>
      </w:r>
    </w:p>
    <w:p w14:paraId="732122A7" w14:textId="77777777" w:rsidR="002C39F4" w:rsidRPr="004A2AC6" w:rsidRDefault="002C39F4" w:rsidP="002C39F4">
      <w:pPr>
        <w:rPr>
          <w:rFonts w:cs="Arial"/>
          <w:u w:val="single"/>
          <w:rtl/>
        </w:rPr>
      </w:pPr>
      <w:r>
        <w:rPr>
          <w:rFonts w:cs="Arial" w:hint="cs"/>
          <w:u w:val="single"/>
          <w:rtl/>
        </w:rPr>
        <w:t xml:space="preserve">הגעלת </w:t>
      </w:r>
      <w:r w:rsidRPr="004A2AC6">
        <w:rPr>
          <w:rFonts w:cs="Arial" w:hint="cs"/>
          <w:u w:val="single"/>
          <w:rtl/>
        </w:rPr>
        <w:t>כלי</w:t>
      </w:r>
      <w:r>
        <w:rPr>
          <w:rFonts w:cs="Arial" w:hint="cs"/>
          <w:u w:val="single"/>
          <w:rtl/>
        </w:rPr>
        <w:t xml:space="preserve"> בן יומו</w:t>
      </w:r>
      <w:r w:rsidRPr="004A2AC6">
        <w:rPr>
          <w:rFonts w:cs="Arial" w:hint="cs"/>
          <w:u w:val="single"/>
          <w:rtl/>
        </w:rPr>
        <w:t>:</w:t>
      </w:r>
    </w:p>
    <w:p w14:paraId="593B496B" w14:textId="77777777" w:rsidR="002C39F4" w:rsidRDefault="002C39F4" w:rsidP="0032102C">
      <w:pPr>
        <w:pStyle w:val="a8"/>
        <w:numPr>
          <w:ilvl w:val="0"/>
          <w:numId w:val="316"/>
        </w:numPr>
        <w:rPr>
          <w:rFonts w:cs="Arial"/>
        </w:rPr>
      </w:pPr>
      <w:r>
        <w:rPr>
          <w:rFonts w:cs="Arial"/>
          <w:rtl/>
        </w:rPr>
        <w:t>תוס</w:t>
      </w:r>
      <w:r>
        <w:rPr>
          <w:rFonts w:cs="Arial" w:hint="cs"/>
          <w:rtl/>
        </w:rPr>
        <w:t>'</w:t>
      </w:r>
      <w:r w:rsidRPr="004F7AF3">
        <w:rPr>
          <w:rFonts w:cs="Arial"/>
          <w:sz w:val="16"/>
          <w:szCs w:val="16"/>
          <w:rtl/>
        </w:rPr>
        <w:t xml:space="preserve"> </w:t>
      </w:r>
      <w:r>
        <w:rPr>
          <w:rFonts w:cs="Arial"/>
          <w:rtl/>
        </w:rPr>
        <w:t xml:space="preserve">רשב"א </w:t>
      </w:r>
      <w:r>
        <w:rPr>
          <w:rFonts w:cs="Arial" w:hint="cs"/>
          <w:rtl/>
        </w:rPr>
        <w:t>רא"ש ו</w:t>
      </w:r>
      <w:r w:rsidRPr="004A2AC6">
        <w:rPr>
          <w:rFonts w:cs="Arial" w:hint="cs"/>
          <w:rtl/>
        </w:rPr>
        <w:t>טור</w:t>
      </w:r>
      <w:r>
        <w:rPr>
          <w:rStyle w:val="a7"/>
          <w:rFonts w:cs="Arial"/>
          <w:rtl/>
        </w:rPr>
        <w:footnoteReference w:id="2950"/>
      </w:r>
      <w:r w:rsidRPr="004A2AC6">
        <w:rPr>
          <w:rFonts w:cs="Arial" w:hint="cs"/>
          <w:rtl/>
        </w:rPr>
        <w:t xml:space="preserve">- </w:t>
      </w:r>
      <w:r w:rsidRPr="004A2AC6">
        <w:rPr>
          <w:rFonts w:cs="Arial"/>
          <w:rtl/>
        </w:rPr>
        <w:t>אין מגעילין הכלי עד שלא יהא בן יומו או שיהיו במים שמגעילין בו ס' כנגדו</w:t>
      </w:r>
      <w:r>
        <w:rPr>
          <w:rFonts w:cs="Arial" w:hint="cs"/>
          <w:rtl/>
        </w:rPr>
        <w:t>,</w:t>
      </w:r>
      <w:r w:rsidRPr="004A2AC6">
        <w:rPr>
          <w:rFonts w:cs="Arial"/>
          <w:rtl/>
        </w:rPr>
        <w:t xml:space="preserve"> אבל אם הוא בן יומו ואין במים ס' כנגדו לא עלתה לו הגעלה</w:t>
      </w:r>
      <w:r>
        <w:rPr>
          <w:rStyle w:val="a7"/>
          <w:rFonts w:cs="Arial"/>
          <w:rtl/>
        </w:rPr>
        <w:footnoteReference w:id="2951"/>
      </w:r>
      <w:r>
        <w:rPr>
          <w:rFonts w:cs="Arial" w:hint="cs"/>
          <w:rtl/>
        </w:rPr>
        <w:t>,</w:t>
      </w:r>
      <w:r w:rsidRPr="004A2AC6">
        <w:rPr>
          <w:rFonts w:cs="Arial"/>
          <w:rtl/>
        </w:rPr>
        <w:t xml:space="preserve"> ולא עוד אלא אפילו הכלי שמגעילו בתוכו ג"כ נאסר אם הוא של היתר</w:t>
      </w:r>
      <w:r>
        <w:rPr>
          <w:rFonts w:cs="Arial" w:hint="cs"/>
          <w:rtl/>
        </w:rPr>
        <w:t>,</w:t>
      </w:r>
      <w:r w:rsidRPr="004A2AC6">
        <w:rPr>
          <w:rFonts w:cs="Arial"/>
          <w:rtl/>
        </w:rPr>
        <w:t xml:space="preserve"> וכן אם מגעיל כלי של בשר לאכול בו חלב או איפכא צריך שלא יהא בן יומו</w:t>
      </w:r>
      <w:r>
        <w:rPr>
          <w:rStyle w:val="a7"/>
          <w:rFonts w:cs="Arial"/>
          <w:rtl/>
        </w:rPr>
        <w:footnoteReference w:id="2952"/>
      </w:r>
      <w:r>
        <w:rPr>
          <w:rFonts w:cs="Arial" w:hint="cs"/>
          <w:rtl/>
        </w:rPr>
        <w:t>.</w:t>
      </w:r>
      <w:r w:rsidRPr="004A2AC6">
        <w:rPr>
          <w:rFonts w:cs="Arial"/>
          <w:rtl/>
        </w:rPr>
        <w:t xml:space="preserve"> ואם מגעיל בכלי של איסור צריך שלא יהא בן יומו כי המים נאסרים אם אין בהם שיעור ס' כנגד הכלי</w:t>
      </w:r>
      <w:r>
        <w:rPr>
          <w:rFonts w:cs="Arial" w:hint="cs"/>
          <w:rtl/>
        </w:rPr>
        <w:t>,</w:t>
      </w:r>
      <w:r w:rsidRPr="004A2AC6">
        <w:rPr>
          <w:rFonts w:cs="Arial"/>
          <w:rtl/>
        </w:rPr>
        <w:t xml:space="preserve"> ואי אפשר שיהא בהן ס' כנגדו דבכולו משערינן ואין שום כלי מחזיק שיעור ס' כנגדו</w:t>
      </w:r>
      <w:r>
        <w:rPr>
          <w:rFonts w:cs="Arial" w:hint="cs"/>
          <w:sz w:val="16"/>
          <w:szCs w:val="16"/>
          <w:rtl/>
        </w:rPr>
        <w:t xml:space="preserve"> (ל' הטור)</w:t>
      </w:r>
      <w:r w:rsidRPr="004A2AC6">
        <w:rPr>
          <w:rFonts w:cs="Arial" w:hint="cs"/>
          <w:rtl/>
        </w:rPr>
        <w:t>.</w:t>
      </w:r>
      <w:r w:rsidRPr="00AA2E96">
        <w:rPr>
          <w:rFonts w:cs="Arial" w:hint="cs"/>
          <w:color w:val="00B0F0"/>
          <w:rtl/>
        </w:rPr>
        <w:t xml:space="preserve"> </w:t>
      </w:r>
      <w:r w:rsidRPr="00894632">
        <w:rPr>
          <w:rFonts w:cs="Arial" w:hint="cs"/>
          <w:color w:val="00B0F0"/>
          <w:rtl/>
        </w:rPr>
        <w:t>(וכ"פ הרמ"א)</w:t>
      </w:r>
    </w:p>
    <w:p w14:paraId="527C6550" w14:textId="77777777" w:rsidR="002C39F4" w:rsidRPr="007A4B61" w:rsidRDefault="002C39F4" w:rsidP="002C39F4">
      <w:pPr>
        <w:ind w:left="360"/>
        <w:rPr>
          <w:rFonts w:cs="Arial"/>
          <w:u w:val="dotted"/>
        </w:rPr>
      </w:pPr>
      <w:r>
        <w:rPr>
          <w:rFonts w:cs="Arial" w:hint="cs"/>
          <w:u w:val="dotted"/>
          <w:rtl/>
        </w:rPr>
        <w:t>הגעלת כלים בני יומן בזה אחר זה:</w:t>
      </w:r>
    </w:p>
    <w:p w14:paraId="094786EE" w14:textId="77777777" w:rsidR="002C39F4" w:rsidRDefault="002C39F4" w:rsidP="0032102C">
      <w:pPr>
        <w:pStyle w:val="a8"/>
        <w:numPr>
          <w:ilvl w:val="0"/>
          <w:numId w:val="316"/>
        </w:numPr>
        <w:rPr>
          <w:rFonts w:cs="Arial"/>
        </w:rPr>
      </w:pPr>
      <w:r>
        <w:rPr>
          <w:rFonts w:cs="Arial" w:hint="cs"/>
          <w:rtl/>
        </w:rPr>
        <w:t>רשב"א</w:t>
      </w:r>
      <w:r>
        <w:rPr>
          <w:rFonts w:cs="Arial"/>
          <w:rtl/>
        </w:rPr>
        <w:t xml:space="preserve"> </w:t>
      </w:r>
      <w:r w:rsidRPr="007A4B61">
        <w:rPr>
          <w:rFonts w:cs="Arial"/>
          <w:sz w:val="16"/>
          <w:szCs w:val="16"/>
          <w:rtl/>
        </w:rPr>
        <w:t>(ח"א סי</w:t>
      </w:r>
      <w:r w:rsidRPr="007A4B61">
        <w:rPr>
          <w:rFonts w:cs="Arial" w:hint="cs"/>
          <w:sz w:val="16"/>
          <w:szCs w:val="16"/>
          <w:rtl/>
        </w:rPr>
        <w:t>'</w:t>
      </w:r>
      <w:r w:rsidRPr="007A4B61">
        <w:rPr>
          <w:rFonts w:cs="Arial"/>
          <w:sz w:val="16"/>
          <w:szCs w:val="16"/>
          <w:rtl/>
        </w:rPr>
        <w:t xml:space="preserve"> רסב)</w:t>
      </w:r>
      <w:r>
        <w:rPr>
          <w:rFonts w:cs="Arial" w:hint="cs"/>
          <w:rtl/>
        </w:rPr>
        <w:t>-</w:t>
      </w:r>
      <w:r>
        <w:rPr>
          <w:rFonts w:cs="Arial"/>
          <w:rtl/>
        </w:rPr>
        <w:t xml:space="preserve"> אין מגעילין שני כלים בני יומן כאחד במים שאין בהם ששים כנגד שניהם</w:t>
      </w:r>
      <w:r>
        <w:rPr>
          <w:rFonts w:cs="Arial" w:hint="cs"/>
          <w:rtl/>
        </w:rPr>
        <w:t>,</w:t>
      </w:r>
      <w:r>
        <w:rPr>
          <w:rFonts w:cs="Arial"/>
          <w:rtl/>
        </w:rPr>
        <w:t xml:space="preserve"> אבל להגעיל כלים רבים בני יומן זה אחר זה בזה נחלקו גדולי הדורות</w:t>
      </w:r>
      <w:r>
        <w:rPr>
          <w:rFonts w:cs="Arial" w:hint="cs"/>
          <w:rtl/>
        </w:rPr>
        <w:t>,</w:t>
      </w:r>
      <w:r>
        <w:rPr>
          <w:rFonts w:cs="Arial"/>
          <w:rtl/>
        </w:rPr>
        <w:t xml:space="preserve"> יש מהם שיראה מדבריהם שהוא מותר</w:t>
      </w:r>
      <w:r>
        <w:rPr>
          <w:rFonts w:cs="Arial" w:hint="cs"/>
          <w:rtl/>
        </w:rPr>
        <w:t>,</w:t>
      </w:r>
      <w:r>
        <w:rPr>
          <w:rFonts w:cs="Arial"/>
          <w:rtl/>
        </w:rPr>
        <w:t xml:space="preserve"> והוא דעת הראב"ד</w:t>
      </w:r>
      <w:r>
        <w:rPr>
          <w:rFonts w:cs="Arial" w:hint="cs"/>
          <w:rtl/>
        </w:rPr>
        <w:t>,</w:t>
      </w:r>
      <w:r>
        <w:rPr>
          <w:rFonts w:cs="Arial"/>
          <w:rtl/>
        </w:rPr>
        <w:t xml:space="preserve"> אבל רבותי לא הודו לו</w:t>
      </w:r>
      <w:r>
        <w:rPr>
          <w:rFonts w:cs="Arial" w:hint="cs"/>
          <w:rtl/>
        </w:rPr>
        <w:t>.</w:t>
      </w:r>
      <w:r>
        <w:rPr>
          <w:rFonts w:cs="Arial"/>
          <w:rtl/>
        </w:rPr>
        <w:t xml:space="preserve"> </w:t>
      </w:r>
      <w:r>
        <w:rPr>
          <w:rFonts w:cs="Arial" w:hint="cs"/>
          <w:rtl/>
        </w:rPr>
        <w:t xml:space="preserve">(וכ"פ הש"ך </w:t>
      </w:r>
      <w:r>
        <w:rPr>
          <w:rFonts w:cs="Arial" w:hint="cs"/>
          <w:sz w:val="16"/>
          <w:szCs w:val="16"/>
          <w:rtl/>
        </w:rPr>
        <w:t>[סק"כ]</w:t>
      </w:r>
      <w:r>
        <w:rPr>
          <w:rFonts w:cs="Arial" w:hint="cs"/>
          <w:rtl/>
        </w:rPr>
        <w:t xml:space="preserve">) </w:t>
      </w:r>
    </w:p>
    <w:p w14:paraId="18101C46" w14:textId="77777777" w:rsidR="002C39F4" w:rsidRDefault="002C39F4" w:rsidP="0032102C">
      <w:pPr>
        <w:pStyle w:val="a8"/>
        <w:numPr>
          <w:ilvl w:val="0"/>
          <w:numId w:val="316"/>
        </w:numPr>
        <w:rPr>
          <w:rFonts w:cs="Arial"/>
        </w:rPr>
      </w:pPr>
      <w:r w:rsidRPr="001C72D4">
        <w:rPr>
          <w:rFonts w:cs="Arial"/>
          <w:rtl/>
        </w:rPr>
        <w:t xml:space="preserve">או"ה </w:t>
      </w:r>
      <w:r w:rsidRPr="00B16A4F">
        <w:rPr>
          <w:rFonts w:cs="Arial" w:hint="cs"/>
          <w:sz w:val="16"/>
          <w:szCs w:val="16"/>
          <w:rtl/>
        </w:rPr>
        <w:t>(</w:t>
      </w:r>
      <w:r w:rsidRPr="00B16A4F">
        <w:rPr>
          <w:rFonts w:cs="Arial"/>
          <w:sz w:val="16"/>
          <w:szCs w:val="16"/>
          <w:rtl/>
        </w:rPr>
        <w:t>כלל נח דכ"ג</w:t>
      </w:r>
      <w:r w:rsidRPr="00B16A4F">
        <w:rPr>
          <w:rFonts w:cs="Arial" w:hint="cs"/>
          <w:sz w:val="16"/>
          <w:szCs w:val="16"/>
          <w:rtl/>
        </w:rPr>
        <w:t>)</w:t>
      </w:r>
      <w:r>
        <w:rPr>
          <w:rFonts w:cs="Arial" w:hint="cs"/>
          <w:rtl/>
        </w:rPr>
        <w:t>-</w:t>
      </w:r>
      <w:r w:rsidRPr="001C72D4">
        <w:rPr>
          <w:rFonts w:cs="Arial"/>
          <w:rtl/>
        </w:rPr>
        <w:t xml:space="preserve"> אפי' אם הגעיל בו כ"כ כלים ב"י עד שלבסוף אין ס' במים נגד כולם רק שמגעילין בזה אח"ז ובכל פעם יש ס' נגד כל אותו הכלי שבתוכו א</w:t>
      </w:r>
      <w:r>
        <w:rPr>
          <w:rFonts w:cs="Arial" w:hint="cs"/>
          <w:rtl/>
        </w:rPr>
        <w:t>ע"פ</w:t>
      </w:r>
      <w:r w:rsidRPr="001C72D4">
        <w:rPr>
          <w:rFonts w:cs="Arial"/>
          <w:rtl/>
        </w:rPr>
        <w:t xml:space="preserve"> שאפילו בהפלטת טעם האיסור אמרינן בדבר לח מצא מין את מינו וניעור היינו דוקא לאכול האיסור עצמו אבל להגעיל בו כלי אחר כתב בסמ"ג דמהני הביטול</w:t>
      </w:r>
      <w:r>
        <w:rPr>
          <w:rStyle w:val="a7"/>
          <w:rFonts w:cs="Arial"/>
          <w:rtl/>
        </w:rPr>
        <w:footnoteReference w:id="2953"/>
      </w:r>
      <w:r>
        <w:rPr>
          <w:rFonts w:cs="Arial" w:hint="cs"/>
          <w:rtl/>
        </w:rPr>
        <w:t>.</w:t>
      </w:r>
    </w:p>
    <w:p w14:paraId="3D196BAB" w14:textId="77777777" w:rsidR="002C39F4" w:rsidRPr="007A4B61" w:rsidRDefault="002C39F4" w:rsidP="002C39F4">
      <w:pPr>
        <w:ind w:left="360"/>
        <w:rPr>
          <w:rFonts w:cs="Arial"/>
          <w:u w:val="dotted"/>
        </w:rPr>
      </w:pPr>
      <w:r w:rsidRPr="007A4B61">
        <w:rPr>
          <w:rFonts w:cs="Arial" w:hint="cs"/>
          <w:u w:val="dotted"/>
          <w:rtl/>
        </w:rPr>
        <w:t>הגעיל כלי בן יומו</w:t>
      </w:r>
      <w:r>
        <w:rPr>
          <w:rFonts w:cs="Arial" w:hint="cs"/>
          <w:u w:val="dotted"/>
          <w:rtl/>
        </w:rPr>
        <w:t xml:space="preserve"> בפחות מששים,</w:t>
      </w:r>
      <w:r w:rsidRPr="007A4B61">
        <w:rPr>
          <w:rFonts w:cs="Arial" w:hint="cs"/>
          <w:u w:val="dotted"/>
          <w:rtl/>
        </w:rPr>
        <w:t xml:space="preserve"> וטעם אומן את המים</w:t>
      </w:r>
      <w:r>
        <w:rPr>
          <w:rFonts w:cs="Arial" w:hint="cs"/>
          <w:u w:val="dotted"/>
          <w:rtl/>
        </w:rPr>
        <w:t xml:space="preserve"> לאחר ההגעלה</w:t>
      </w:r>
      <w:r w:rsidRPr="007A4B61">
        <w:rPr>
          <w:rFonts w:cs="Arial" w:hint="cs"/>
          <w:u w:val="dotted"/>
          <w:rtl/>
        </w:rPr>
        <w:t xml:space="preserve"> ואמר שאין בהם טעם</w:t>
      </w:r>
      <w:r>
        <w:rPr>
          <w:rFonts w:cs="Arial" w:hint="cs"/>
          <w:u w:val="dotted"/>
          <w:rtl/>
        </w:rPr>
        <w:t xml:space="preserve"> של הכלי ההוא</w:t>
      </w:r>
      <w:r w:rsidRPr="007A4B61">
        <w:rPr>
          <w:rFonts w:cs="Arial" w:hint="cs"/>
          <w:u w:val="dotted"/>
          <w:rtl/>
        </w:rPr>
        <w:t>:</w:t>
      </w:r>
    </w:p>
    <w:p w14:paraId="1344487B" w14:textId="77777777" w:rsidR="002C39F4" w:rsidRDefault="002C39F4" w:rsidP="0032102C">
      <w:pPr>
        <w:pStyle w:val="a8"/>
        <w:numPr>
          <w:ilvl w:val="0"/>
          <w:numId w:val="316"/>
        </w:numPr>
        <w:rPr>
          <w:rFonts w:cs="Arial"/>
        </w:rPr>
      </w:pPr>
      <w:r>
        <w:rPr>
          <w:rFonts w:cs="Arial"/>
          <w:rtl/>
        </w:rPr>
        <w:t xml:space="preserve">רשב"א </w:t>
      </w:r>
      <w:r w:rsidRPr="007A4B61">
        <w:rPr>
          <w:rFonts w:cs="Arial"/>
          <w:sz w:val="16"/>
          <w:szCs w:val="16"/>
          <w:rtl/>
        </w:rPr>
        <w:t>(תוה"ק שם לד.)</w:t>
      </w:r>
      <w:r>
        <w:rPr>
          <w:rFonts w:cs="Arial" w:hint="cs"/>
          <w:rtl/>
        </w:rPr>
        <w:t xml:space="preserve">- </w:t>
      </w:r>
      <w:r>
        <w:rPr>
          <w:rFonts w:cs="Arial"/>
          <w:rtl/>
        </w:rPr>
        <w:t>אם הגעיל כלי בן יומו בפחות מששים מים אם טעם אומן ובקי בטעמים את המים ואין טעם האיסור הנפלט נרגש בהם עלתה לו הגעלה</w:t>
      </w:r>
      <w:r>
        <w:rPr>
          <w:rFonts w:cs="Arial" w:hint="cs"/>
          <w:rtl/>
        </w:rPr>
        <w:t>,</w:t>
      </w:r>
      <w:r>
        <w:rPr>
          <w:rFonts w:cs="Arial"/>
          <w:rtl/>
        </w:rPr>
        <w:t xml:space="preserve"> כיון שאין הטעם נרגש בהם בידוע שהאיסור הנפלט מועט עד שנתבטל טעמו בתוך המים</w:t>
      </w:r>
      <w:r>
        <w:rPr>
          <w:rFonts w:cs="Arial" w:hint="cs"/>
          <w:rtl/>
        </w:rPr>
        <w:t>.</w:t>
      </w:r>
      <w:r>
        <w:rPr>
          <w:rFonts w:cs="Arial"/>
          <w:rtl/>
        </w:rPr>
        <w:t xml:space="preserve"> </w:t>
      </w:r>
    </w:p>
    <w:p w14:paraId="3D9D437E" w14:textId="77777777" w:rsidR="002C39F4" w:rsidRDefault="002C39F4" w:rsidP="002C39F4">
      <w:pPr>
        <w:rPr>
          <w:rFonts w:cs="Arial"/>
          <w:u w:val="single"/>
          <w:rtl/>
        </w:rPr>
      </w:pPr>
      <w:r w:rsidRPr="00AA5E35">
        <w:rPr>
          <w:rFonts w:cs="Arial" w:hint="cs"/>
          <w:u w:val="single"/>
          <w:rtl/>
        </w:rPr>
        <w:t>שימוש במים שהגעילו בהם:</w:t>
      </w:r>
    </w:p>
    <w:p w14:paraId="55330413" w14:textId="77777777" w:rsidR="002C39F4" w:rsidRPr="00AA5E35" w:rsidRDefault="002C39F4" w:rsidP="0032102C">
      <w:pPr>
        <w:pStyle w:val="a8"/>
        <w:numPr>
          <w:ilvl w:val="0"/>
          <w:numId w:val="316"/>
        </w:numPr>
        <w:rPr>
          <w:rFonts w:cs="Arial"/>
        </w:rPr>
      </w:pPr>
      <w:r>
        <w:rPr>
          <w:rFonts w:cs="Arial" w:hint="cs"/>
          <w:rtl/>
        </w:rPr>
        <w:t>או</w:t>
      </w:r>
      <w:r>
        <w:rPr>
          <w:rFonts w:cs="Arial"/>
          <w:rtl/>
        </w:rPr>
        <w:t>"</w:t>
      </w:r>
      <w:r>
        <w:rPr>
          <w:rFonts w:cs="Arial" w:hint="cs"/>
          <w:rtl/>
        </w:rPr>
        <w:t>ה</w:t>
      </w:r>
      <w:r w:rsidRPr="00AA5E35">
        <w:rPr>
          <w:rFonts w:cs="Arial" w:hint="cs"/>
          <w:rtl/>
        </w:rPr>
        <w:t xml:space="preserve"> </w:t>
      </w:r>
      <w:r w:rsidRPr="00AA5E35">
        <w:rPr>
          <w:rFonts w:cs="Arial" w:hint="cs"/>
          <w:sz w:val="16"/>
          <w:szCs w:val="16"/>
          <w:rtl/>
        </w:rPr>
        <w:t xml:space="preserve">(כלל נח דין </w:t>
      </w:r>
      <w:r w:rsidRPr="00AA5E35">
        <w:rPr>
          <w:rFonts w:cs="Arial"/>
          <w:sz w:val="16"/>
          <w:szCs w:val="16"/>
          <w:rtl/>
        </w:rPr>
        <w:t>עה</w:t>
      </w:r>
      <w:r>
        <w:rPr>
          <w:rFonts w:cs="Arial" w:hint="cs"/>
          <w:sz w:val="16"/>
          <w:szCs w:val="16"/>
          <w:rtl/>
        </w:rPr>
        <w:t>, הביא דבריו הדרכ"מ [אות י] בקיצור</w:t>
      </w:r>
      <w:r w:rsidRPr="00AA5E35">
        <w:rPr>
          <w:rFonts w:cs="Arial" w:hint="cs"/>
          <w:sz w:val="16"/>
          <w:szCs w:val="16"/>
          <w:rtl/>
        </w:rPr>
        <w:t>)</w:t>
      </w:r>
      <w:r w:rsidRPr="00AA5E35">
        <w:rPr>
          <w:rFonts w:cs="Arial" w:hint="cs"/>
          <w:rtl/>
        </w:rPr>
        <w:t>-</w:t>
      </w:r>
      <w:r w:rsidRPr="00AA5E35">
        <w:rPr>
          <w:rFonts w:cs="Arial"/>
          <w:rtl/>
        </w:rPr>
        <w:t xml:space="preserve"> אין משתמשין לכתחילה במים שנגעל בהן ואפילו לרחוץ בהן קערות משום שנפלט בהן האיסו</w:t>
      </w:r>
      <w:r>
        <w:rPr>
          <w:rFonts w:cs="Arial" w:hint="cs"/>
          <w:rtl/>
        </w:rPr>
        <w:t>ר,</w:t>
      </w:r>
      <w:r w:rsidRPr="00AA5E35">
        <w:rPr>
          <w:rFonts w:cs="Arial"/>
          <w:rtl/>
        </w:rPr>
        <w:t xml:space="preserve"> ואפי' כשיצטננו. ומיהו כשיש ס' במים נגד כל הכלי הנגעלת מדינא היו המים מותרים אפי' באכילה דהא אין כאן נ"ט של איסור כלל</w:t>
      </w:r>
      <w:r>
        <w:rPr>
          <w:rFonts w:cs="Arial" w:hint="cs"/>
          <w:rtl/>
        </w:rPr>
        <w:t>,</w:t>
      </w:r>
      <w:r w:rsidRPr="00AA5E35">
        <w:rPr>
          <w:rFonts w:cs="Arial"/>
          <w:rtl/>
        </w:rPr>
        <w:t xml:space="preserve"> מ"מ אין נוהגין אפי' להדיח בהן קערות דאין דרך ב"ב להגעיל ע"י ששים ואתי לאיחלופי</w:t>
      </w:r>
      <w:r>
        <w:rPr>
          <w:rFonts w:cs="Arial" w:hint="cs"/>
          <w:rtl/>
        </w:rPr>
        <w:t>,</w:t>
      </w:r>
      <w:r w:rsidRPr="00AA5E35">
        <w:rPr>
          <w:rFonts w:cs="Arial"/>
          <w:rtl/>
        </w:rPr>
        <w:t xml:space="preserve"> ועוד דהא אין מבטלין איסור לכתחילה.</w:t>
      </w:r>
      <w:r>
        <w:rPr>
          <w:rFonts w:cs="Arial" w:hint="cs"/>
          <w:rtl/>
        </w:rPr>
        <w:t xml:space="preserve">.. </w:t>
      </w:r>
      <w:r w:rsidRPr="00AA5E35">
        <w:rPr>
          <w:rFonts w:cs="Arial"/>
          <w:rtl/>
        </w:rPr>
        <w:t>ואפי' מכלים כשרים כגון ש</w:t>
      </w:r>
      <w:r>
        <w:rPr>
          <w:rFonts w:cs="Arial" w:hint="cs"/>
          <w:rtl/>
        </w:rPr>
        <w:t xml:space="preserve">ל </w:t>
      </w:r>
      <w:r w:rsidRPr="00AA5E35">
        <w:rPr>
          <w:rFonts w:cs="Arial"/>
          <w:rtl/>
        </w:rPr>
        <w:t>ח</w:t>
      </w:r>
      <w:r>
        <w:rPr>
          <w:rFonts w:cs="Arial" w:hint="cs"/>
          <w:rtl/>
        </w:rPr>
        <w:t>לב</w:t>
      </w:r>
      <w:r w:rsidRPr="00AA5E35">
        <w:rPr>
          <w:rFonts w:cs="Arial"/>
          <w:rtl/>
        </w:rPr>
        <w:t xml:space="preserve"> לצורך בשר דהא צריך להגעיל בכלי ש"ב</w:t>
      </w:r>
      <w:r>
        <w:rPr>
          <w:rFonts w:cs="Arial" w:hint="cs"/>
          <w:rtl/>
        </w:rPr>
        <w:t>...</w:t>
      </w:r>
      <w:r w:rsidRPr="00AA5E35">
        <w:rPr>
          <w:rFonts w:cs="Arial"/>
          <w:rtl/>
        </w:rPr>
        <w:t xml:space="preserve"> וה"ה אפי' אם מגעיל ביורה שרגילין לחמם בו מים לעיסה דאין כאן הפסד וחיישינן שמא אתי לאיחלופי במים של איסור</w:t>
      </w:r>
      <w:r>
        <w:rPr>
          <w:rFonts w:cs="Arial" w:hint="cs"/>
          <w:rtl/>
        </w:rPr>
        <w:t>.</w:t>
      </w:r>
      <w:r w:rsidRPr="00AA5E35">
        <w:rPr>
          <w:rFonts w:cs="Arial"/>
          <w:rtl/>
        </w:rPr>
        <w:t xml:space="preserve"> אבל להגעיל בו ע"י כלים אחרים אפי' של היתר כגון מבשר לחלב אחר כלי של איסור מותר לכתחילה. אפי' אם אין ס' במים נגד כל א' מהן כדאיתא לעיל. מאחר שהמים רותחין ואין עושין דבר מן האיסור הנפלט</w:t>
      </w:r>
      <w:r>
        <w:rPr>
          <w:rFonts w:cs="Arial" w:hint="cs"/>
          <w:rtl/>
        </w:rPr>
        <w:t>.</w:t>
      </w:r>
      <w:r w:rsidRPr="00AA2E96">
        <w:rPr>
          <w:rFonts w:cs="Arial" w:hint="cs"/>
          <w:color w:val="00B0F0"/>
          <w:rtl/>
        </w:rPr>
        <w:t xml:space="preserve"> </w:t>
      </w:r>
      <w:r w:rsidRPr="00894632">
        <w:rPr>
          <w:rFonts w:cs="Arial" w:hint="cs"/>
          <w:color w:val="00B0F0"/>
          <w:rtl/>
        </w:rPr>
        <w:t>(וכ"פ הרמ"א)</w:t>
      </w:r>
    </w:p>
    <w:p w14:paraId="21303BCC" w14:textId="77777777" w:rsidR="002C39F4" w:rsidRPr="004C092D" w:rsidRDefault="002C39F4" w:rsidP="002C39F4">
      <w:pPr>
        <w:rPr>
          <w:rFonts w:cs="Arial"/>
        </w:rPr>
      </w:pPr>
      <w:r w:rsidRPr="004C092D">
        <w:rPr>
          <w:rFonts w:cs="Arial" w:hint="cs"/>
          <w:b/>
          <w:bCs/>
          <w:rtl/>
        </w:rPr>
        <w:t xml:space="preserve">עבודה זרה עה ע"ב: </w:t>
      </w:r>
      <w:r w:rsidRPr="004C092D">
        <w:rPr>
          <w:rFonts w:cs="Arial"/>
          <w:rtl/>
        </w:rPr>
        <w:t xml:space="preserve">ולמאן דאמר נותן טעם לפגם - מותר, גיעולי עובדי כוכבים דאסר רחמנא היכי משכחת לה? </w:t>
      </w:r>
      <w:r w:rsidRPr="004C092D">
        <w:rPr>
          <w:rFonts w:cs="Arial"/>
          <w:u w:val="single"/>
          <w:rtl/>
        </w:rPr>
        <w:t>אמר רב חייא בריה דרב הונא</w:t>
      </w:r>
      <w:r w:rsidRPr="004C092D">
        <w:rPr>
          <w:rFonts w:cs="Arial"/>
          <w:rtl/>
        </w:rPr>
        <w:t>: לא אסרה תורה אלא קדירה</w:t>
      </w:r>
      <w:r w:rsidRPr="004C092D">
        <w:rPr>
          <w:rFonts w:cs="Arial" w:hint="cs"/>
          <w:rtl/>
        </w:rPr>
        <w:t xml:space="preserve"> </w:t>
      </w:r>
      <w:r w:rsidRPr="004C092D">
        <w:rPr>
          <w:rFonts w:cs="Arial" w:hint="cs"/>
          <w:sz w:val="14"/>
          <w:szCs w:val="14"/>
          <w:u w:val="double"/>
          <w:rtl/>
        </w:rPr>
        <w:t>(עו.)</w:t>
      </w:r>
      <w:r w:rsidRPr="004C092D">
        <w:rPr>
          <w:rFonts w:cs="Arial" w:hint="cs"/>
          <w:sz w:val="14"/>
          <w:szCs w:val="14"/>
          <w:rtl/>
        </w:rPr>
        <w:t xml:space="preserve"> </w:t>
      </w:r>
      <w:r w:rsidRPr="004C092D">
        <w:rPr>
          <w:rFonts w:cs="Arial"/>
          <w:rtl/>
        </w:rPr>
        <w:t>בת יומא, דלאו נותן טעם לפגם הוא. מכאן ואילך לישתרי! גזירה קדירה שאינה בת יומא משום קדירה בת יומא.</w:t>
      </w:r>
    </w:p>
    <w:p w14:paraId="5272D45B" w14:textId="77777777" w:rsidR="002C39F4" w:rsidRPr="004C092D" w:rsidRDefault="002C39F4" w:rsidP="002C39F4">
      <w:pPr>
        <w:rPr>
          <w:rFonts w:cs="Arial"/>
          <w:sz w:val="16"/>
          <w:szCs w:val="16"/>
          <w:rtl/>
        </w:rPr>
      </w:pPr>
      <w:r w:rsidRPr="004A2AC6">
        <w:rPr>
          <w:rFonts w:cs="Arial" w:hint="cs"/>
          <w:u w:val="single"/>
          <w:rtl/>
        </w:rPr>
        <w:t>איזהו שאינו בן יומו:</w:t>
      </w:r>
      <w:r>
        <w:rPr>
          <w:rFonts w:cs="Arial"/>
          <w:rtl/>
        </w:rPr>
        <w:t xml:space="preserve"> </w:t>
      </w:r>
      <w:r>
        <w:rPr>
          <w:rFonts w:cs="Arial" w:hint="cs"/>
          <w:sz w:val="16"/>
          <w:szCs w:val="16"/>
          <w:rtl/>
        </w:rPr>
        <w:t>(הועתק מסי' קג סע' ה)</w:t>
      </w:r>
    </w:p>
    <w:p w14:paraId="1A497955" w14:textId="77777777" w:rsidR="002C39F4" w:rsidRDefault="002C39F4" w:rsidP="0032102C">
      <w:pPr>
        <w:pStyle w:val="a8"/>
        <w:numPr>
          <w:ilvl w:val="0"/>
          <w:numId w:val="316"/>
        </w:numPr>
        <w:rPr>
          <w:rFonts w:cs="Arial"/>
        </w:rPr>
      </w:pPr>
      <w:r w:rsidRPr="00A8763A">
        <w:rPr>
          <w:rFonts w:cs="Arial" w:hint="cs"/>
          <w:rtl/>
        </w:rPr>
        <w:t xml:space="preserve">רש"י ר"ת </w:t>
      </w:r>
      <w:r>
        <w:rPr>
          <w:rFonts w:cs="Arial" w:hint="cs"/>
          <w:rtl/>
        </w:rPr>
        <w:t>ו</w:t>
      </w:r>
      <w:r w:rsidRPr="00A8763A">
        <w:rPr>
          <w:rFonts w:cs="Arial"/>
          <w:rtl/>
        </w:rPr>
        <w:t>ר"ן</w:t>
      </w:r>
      <w:r>
        <w:rPr>
          <w:rStyle w:val="a7"/>
          <w:rFonts w:cs="Arial"/>
          <w:rtl/>
        </w:rPr>
        <w:footnoteReference w:id="2954"/>
      </w:r>
      <w:r w:rsidRPr="00A8763A">
        <w:rPr>
          <w:rFonts w:cs="Arial" w:hint="cs"/>
          <w:rtl/>
        </w:rPr>
        <w:t xml:space="preserve">- </w:t>
      </w:r>
      <w:r w:rsidRPr="00A8763A">
        <w:rPr>
          <w:rFonts w:cs="Arial"/>
          <w:rtl/>
        </w:rPr>
        <w:t>כל תבשיל שלן לילה אחד נפגם טעמו ועובר צורתו</w:t>
      </w:r>
      <w:r w:rsidRPr="00A8763A">
        <w:rPr>
          <w:rFonts w:cs="Arial" w:hint="cs"/>
          <w:sz w:val="14"/>
          <w:szCs w:val="14"/>
          <w:rtl/>
        </w:rPr>
        <w:t xml:space="preserve"> (ל' רש"י [סז:])</w:t>
      </w:r>
      <w:r w:rsidRPr="00A8763A">
        <w:rPr>
          <w:rFonts w:cs="Arial" w:hint="cs"/>
          <w:rtl/>
        </w:rPr>
        <w:t xml:space="preserve">, </w:t>
      </w:r>
      <w:r w:rsidRPr="00A8763A">
        <w:rPr>
          <w:rFonts w:cs="Arial"/>
          <w:rtl/>
        </w:rPr>
        <w:t>ולא בעינן מעת לעת</w:t>
      </w:r>
      <w:r>
        <w:rPr>
          <w:rStyle w:val="a7"/>
          <w:rFonts w:cs="Arial"/>
          <w:rtl/>
        </w:rPr>
        <w:footnoteReference w:id="2955"/>
      </w:r>
      <w:r w:rsidRPr="00A8763A">
        <w:rPr>
          <w:rFonts w:cs="Arial" w:hint="cs"/>
          <w:rtl/>
        </w:rPr>
        <w:t>.</w:t>
      </w:r>
    </w:p>
    <w:p w14:paraId="0FC0764B" w14:textId="77777777" w:rsidR="002C39F4" w:rsidRPr="004C092D" w:rsidRDefault="002C39F4" w:rsidP="0032102C">
      <w:pPr>
        <w:pStyle w:val="a8"/>
        <w:numPr>
          <w:ilvl w:val="0"/>
          <w:numId w:val="316"/>
        </w:numPr>
        <w:rPr>
          <w:rFonts w:cs="Arial"/>
          <w:rtl/>
        </w:rPr>
      </w:pPr>
      <w:r w:rsidRPr="004C092D">
        <w:rPr>
          <w:rFonts w:cs="Arial" w:hint="cs"/>
          <w:rtl/>
        </w:rPr>
        <w:t>רשב"ם</w:t>
      </w:r>
      <w:r w:rsidRPr="004C092D">
        <w:rPr>
          <w:rFonts w:cs="Arial"/>
          <w:rtl/>
        </w:rPr>
        <w:t xml:space="preserve"> </w:t>
      </w:r>
      <w:r w:rsidRPr="004C092D">
        <w:rPr>
          <w:rFonts w:cs="Arial" w:hint="cs"/>
          <w:rtl/>
        </w:rPr>
        <w:t>ר"י</w:t>
      </w:r>
      <w:r w:rsidRPr="004C092D">
        <w:rPr>
          <w:rFonts w:cs="Arial" w:hint="cs"/>
          <w:sz w:val="16"/>
          <w:szCs w:val="16"/>
          <w:rtl/>
        </w:rPr>
        <w:t xml:space="preserve"> </w:t>
      </w:r>
      <w:r w:rsidRPr="004C092D">
        <w:rPr>
          <w:rFonts w:cs="Arial" w:hint="cs"/>
          <w:rtl/>
        </w:rPr>
        <w:t>סה"ת</w:t>
      </w:r>
      <w:r w:rsidRPr="004C092D">
        <w:rPr>
          <w:rFonts w:cs="Arial"/>
          <w:rtl/>
        </w:rPr>
        <w:t xml:space="preserve"> </w:t>
      </w:r>
      <w:r w:rsidRPr="004C092D">
        <w:rPr>
          <w:rFonts w:cs="Arial" w:hint="cs"/>
          <w:rtl/>
        </w:rPr>
        <w:t>רא"ש</w:t>
      </w:r>
      <w:r>
        <w:rPr>
          <w:rStyle w:val="a7"/>
          <w:rFonts w:cs="Arial"/>
          <w:rtl/>
        </w:rPr>
        <w:footnoteReference w:id="2956"/>
      </w:r>
      <w:r w:rsidRPr="004C092D">
        <w:rPr>
          <w:rFonts w:cs="Arial" w:hint="cs"/>
          <w:rtl/>
        </w:rPr>
        <w:t xml:space="preserve"> וטור</w:t>
      </w:r>
      <w:r>
        <w:rPr>
          <w:rStyle w:val="a7"/>
          <w:rFonts w:cs="Arial"/>
          <w:rtl/>
        </w:rPr>
        <w:footnoteReference w:id="2957"/>
      </w:r>
      <w:r w:rsidRPr="004C092D">
        <w:rPr>
          <w:rFonts w:cs="Arial" w:hint="cs"/>
          <w:rtl/>
        </w:rPr>
        <w:t xml:space="preserve">- </w:t>
      </w:r>
      <w:r w:rsidRPr="004C092D">
        <w:rPr>
          <w:rFonts w:cs="Arial"/>
          <w:rtl/>
        </w:rPr>
        <w:t>ששהתה מעת לעת</w:t>
      </w:r>
      <w:r>
        <w:rPr>
          <w:rStyle w:val="a7"/>
          <w:rFonts w:cs="Arial"/>
          <w:rtl/>
        </w:rPr>
        <w:footnoteReference w:id="2958"/>
      </w:r>
      <w:r w:rsidRPr="004C092D">
        <w:rPr>
          <w:rFonts w:cs="Arial" w:hint="cs"/>
          <w:rtl/>
        </w:rPr>
        <w:t>.</w:t>
      </w:r>
      <w:r>
        <w:rPr>
          <w:rFonts w:hint="cs"/>
          <w:rtl/>
        </w:rPr>
        <w:t xml:space="preserve"> </w:t>
      </w:r>
      <w:r w:rsidRPr="004C092D">
        <w:rPr>
          <w:rFonts w:hint="cs"/>
          <w:color w:val="E36C0A" w:themeColor="accent6" w:themeShade="BF"/>
          <w:rtl/>
        </w:rPr>
        <w:t>(וכ"פ בשו"ע</w:t>
      </w:r>
      <w:r>
        <w:rPr>
          <w:rFonts w:hint="cs"/>
          <w:color w:val="E36C0A" w:themeColor="accent6" w:themeShade="BF"/>
          <w:sz w:val="16"/>
          <w:szCs w:val="16"/>
          <w:rtl/>
        </w:rPr>
        <w:t xml:space="preserve"> </w:t>
      </w:r>
      <w:r>
        <w:rPr>
          <w:rFonts w:hint="cs"/>
          <w:color w:val="000000" w:themeColor="text1"/>
          <w:sz w:val="16"/>
          <w:szCs w:val="16"/>
          <w:rtl/>
        </w:rPr>
        <w:t>[בסי' קג סע' ה]</w:t>
      </w:r>
      <w:r w:rsidRPr="004C092D">
        <w:rPr>
          <w:rFonts w:hint="cs"/>
          <w:color w:val="E36C0A" w:themeColor="accent6" w:themeShade="BF"/>
          <w:rtl/>
        </w:rPr>
        <w:t>)</w:t>
      </w:r>
    </w:p>
    <w:p w14:paraId="6586C880" w14:textId="77777777" w:rsidR="002C39F4" w:rsidRPr="00F949D3" w:rsidRDefault="002C39F4" w:rsidP="002C39F4">
      <w:pPr>
        <w:rPr>
          <w:u w:val="single"/>
          <w:rtl/>
        </w:rPr>
      </w:pPr>
      <w:r w:rsidRPr="00F949D3">
        <w:rPr>
          <w:rFonts w:hint="cs"/>
          <w:u w:val="single"/>
          <w:rtl/>
        </w:rPr>
        <w:t xml:space="preserve">קדרה שנתבשל בה </w:t>
      </w:r>
      <w:r w:rsidRPr="00431062">
        <w:rPr>
          <w:rFonts w:hint="cs"/>
          <w:b/>
          <w:bCs/>
          <w:u w:val="single"/>
          <w:rtl/>
        </w:rPr>
        <w:t>איסור</w:t>
      </w:r>
      <w:r>
        <w:rPr>
          <w:rStyle w:val="a7"/>
          <w:u w:val="single"/>
          <w:rtl/>
        </w:rPr>
        <w:footnoteReference w:id="2959"/>
      </w:r>
      <w:r w:rsidRPr="00F949D3">
        <w:rPr>
          <w:rFonts w:hint="cs"/>
          <w:u w:val="single"/>
          <w:rtl/>
        </w:rPr>
        <w:t xml:space="preserve"> ובתוך מעת לעת חממו בה מים:</w:t>
      </w:r>
      <w:r w:rsidRPr="00300F64">
        <w:rPr>
          <w:rFonts w:cs="Arial" w:hint="cs"/>
          <w:sz w:val="16"/>
          <w:szCs w:val="16"/>
          <w:rtl/>
        </w:rPr>
        <w:t xml:space="preserve"> </w:t>
      </w:r>
      <w:r>
        <w:rPr>
          <w:rFonts w:cs="Arial" w:hint="cs"/>
          <w:sz w:val="16"/>
          <w:szCs w:val="16"/>
          <w:rtl/>
        </w:rPr>
        <w:t>(הועתק מסי' קג סע' ז)</w:t>
      </w:r>
    </w:p>
    <w:p w14:paraId="7EC6CB9C" w14:textId="77777777" w:rsidR="002C39F4" w:rsidRPr="00F949D3" w:rsidRDefault="002C39F4" w:rsidP="0032102C">
      <w:pPr>
        <w:pStyle w:val="a8"/>
        <w:numPr>
          <w:ilvl w:val="0"/>
          <w:numId w:val="316"/>
        </w:numPr>
        <w:rPr>
          <w:rFonts w:cs="Arial"/>
          <w:rtl/>
        </w:rPr>
      </w:pPr>
      <w:r w:rsidRPr="00F949D3">
        <w:rPr>
          <w:rFonts w:cs="Arial" w:hint="cs"/>
          <w:rtl/>
        </w:rPr>
        <w:t>סה"ת</w:t>
      </w:r>
      <w:r w:rsidRPr="00F949D3">
        <w:rPr>
          <w:rFonts w:cs="Arial"/>
          <w:rtl/>
        </w:rPr>
        <w:t xml:space="preserve"> </w:t>
      </w:r>
      <w:r w:rsidRPr="00F949D3">
        <w:rPr>
          <w:rFonts w:cs="Arial"/>
          <w:sz w:val="16"/>
          <w:szCs w:val="16"/>
          <w:rtl/>
        </w:rPr>
        <w:t>(סי' עה)</w:t>
      </w:r>
      <w:r>
        <w:rPr>
          <w:rFonts w:cs="Arial" w:hint="cs"/>
          <w:rtl/>
        </w:rPr>
        <w:t xml:space="preserve"> וטור</w:t>
      </w:r>
      <w:r w:rsidRPr="00F949D3">
        <w:rPr>
          <w:rFonts w:cs="Arial" w:hint="cs"/>
          <w:rtl/>
        </w:rPr>
        <w:t>-</w:t>
      </w:r>
      <w:r w:rsidRPr="00F949D3">
        <w:rPr>
          <w:rFonts w:cs="Arial"/>
          <w:rtl/>
        </w:rPr>
        <w:t xml:space="preserve"> שוה המים לבדן כמו האיסור עצמו</w:t>
      </w:r>
      <w:r w:rsidRPr="00F949D3">
        <w:rPr>
          <w:rFonts w:cs="Arial" w:hint="cs"/>
          <w:rtl/>
        </w:rPr>
        <w:t>,</w:t>
      </w:r>
      <w:r w:rsidRPr="00F949D3">
        <w:rPr>
          <w:rFonts w:cs="Arial"/>
          <w:rtl/>
        </w:rPr>
        <w:t xml:space="preserve"> דכל המים נעשו נבלה כיון שלא היה בהם ששים לבטל פליטת הכלי דבדידיה משערי</w:t>
      </w:r>
      <w:r>
        <w:rPr>
          <w:rFonts w:cs="Arial" w:hint="cs"/>
          <w:rtl/>
        </w:rPr>
        <w:t>נן</w:t>
      </w:r>
      <w:r w:rsidRPr="00F949D3">
        <w:rPr>
          <w:rFonts w:cs="Arial"/>
          <w:rtl/>
        </w:rPr>
        <w:t xml:space="preserve"> וחזרו ונבלעו</w:t>
      </w:r>
      <w:r>
        <w:rPr>
          <w:rFonts w:cs="Arial" w:hint="cs"/>
          <w:sz w:val="16"/>
          <w:szCs w:val="16"/>
          <w:rtl/>
        </w:rPr>
        <w:t xml:space="preserve"> (ל' סה"ת)</w:t>
      </w:r>
      <w:r>
        <w:rPr>
          <w:rFonts w:cs="Arial" w:hint="cs"/>
          <w:rtl/>
        </w:rPr>
        <w:t>.</w:t>
      </w:r>
    </w:p>
    <w:p w14:paraId="2B7E1C34" w14:textId="77777777" w:rsidR="002C39F4" w:rsidRDefault="002C39F4" w:rsidP="0032102C">
      <w:pPr>
        <w:pStyle w:val="a8"/>
        <w:numPr>
          <w:ilvl w:val="0"/>
          <w:numId w:val="316"/>
        </w:numPr>
        <w:rPr>
          <w:rFonts w:cs="Arial"/>
        </w:rPr>
      </w:pPr>
      <w:r w:rsidRPr="00F949D3">
        <w:rPr>
          <w:rFonts w:cs="Arial"/>
          <w:rtl/>
        </w:rPr>
        <w:t>סמ"ק</w:t>
      </w:r>
      <w:r w:rsidRPr="00F949D3">
        <w:rPr>
          <w:rFonts w:cs="Arial"/>
          <w:sz w:val="16"/>
          <w:szCs w:val="16"/>
          <w:rtl/>
        </w:rPr>
        <w:t xml:space="preserve"> (סי' ריג)</w:t>
      </w:r>
      <w:r w:rsidRPr="00F949D3">
        <w:rPr>
          <w:rFonts w:cs="Arial" w:hint="cs"/>
          <w:rtl/>
        </w:rPr>
        <w:t>-</w:t>
      </w:r>
      <w:r w:rsidRPr="00F949D3">
        <w:rPr>
          <w:rFonts w:cs="Arial"/>
          <w:rtl/>
        </w:rPr>
        <w:t xml:space="preserve"> </w:t>
      </w:r>
      <w:r>
        <w:rPr>
          <w:rStyle w:val="a7"/>
          <w:rFonts w:cs="Arial"/>
          <w:rtl/>
        </w:rPr>
        <w:footnoteReference w:id="2960"/>
      </w:r>
      <w:r w:rsidRPr="00F949D3">
        <w:rPr>
          <w:rFonts w:cs="Arial"/>
          <w:rtl/>
        </w:rPr>
        <w:t>יש הרבה מקילים בדין זה אחר שאין בגוף האיסור בן יומו אין להחשיבו כבן יומו</w:t>
      </w:r>
      <w:r w:rsidRPr="00F949D3">
        <w:rPr>
          <w:rFonts w:cs="Arial" w:hint="cs"/>
          <w:rtl/>
        </w:rPr>
        <w:t>.</w:t>
      </w:r>
    </w:p>
    <w:p w14:paraId="200CCC89" w14:textId="77777777" w:rsidR="002C39F4" w:rsidRPr="00F949D3" w:rsidRDefault="002C39F4" w:rsidP="0032102C">
      <w:pPr>
        <w:pStyle w:val="a8"/>
        <w:numPr>
          <w:ilvl w:val="1"/>
          <w:numId w:val="316"/>
        </w:numPr>
        <w:rPr>
          <w:rFonts w:cs="Arial"/>
          <w:rtl/>
        </w:rPr>
      </w:pPr>
      <w:r w:rsidRPr="0003464E">
        <w:rPr>
          <w:rFonts w:cs="Arial" w:hint="cs"/>
          <w:rtl/>
        </w:rPr>
        <w:t xml:space="preserve">ב"י- </w:t>
      </w:r>
      <w:r w:rsidRPr="0003464E">
        <w:rPr>
          <w:rFonts w:cs="Arial"/>
          <w:rtl/>
        </w:rPr>
        <w:t>לי נראה להתיר מפני שכבר כתבתי בסי</w:t>
      </w:r>
      <w:r w:rsidRPr="0003464E">
        <w:rPr>
          <w:rFonts w:cs="Arial" w:hint="cs"/>
          <w:rtl/>
        </w:rPr>
        <w:t>'</w:t>
      </w:r>
      <w:r w:rsidRPr="0003464E">
        <w:rPr>
          <w:rFonts w:cs="Arial"/>
          <w:rtl/>
        </w:rPr>
        <w:t xml:space="preserve"> צב </w:t>
      </w:r>
      <w:r w:rsidRPr="0003464E">
        <w:rPr>
          <w:rFonts w:cs="Arial"/>
          <w:sz w:val="16"/>
          <w:szCs w:val="16"/>
          <w:rtl/>
        </w:rPr>
        <w:t xml:space="preserve">(קמו: ד"ה ולענין הלכה) </w:t>
      </w:r>
      <w:r w:rsidRPr="0003464E">
        <w:rPr>
          <w:rFonts w:cs="Arial"/>
          <w:rtl/>
        </w:rPr>
        <w:t>שדעת רוב הפוסקים בעלי הוראה מסכמת לדעת רבינו אפרים דלא אמרינן ח</w:t>
      </w:r>
      <w:r w:rsidRPr="0003464E">
        <w:rPr>
          <w:rFonts w:cs="Arial" w:hint="cs"/>
          <w:rtl/>
        </w:rPr>
        <w:t>ענ"נ</w:t>
      </w:r>
      <w:r w:rsidRPr="0003464E">
        <w:rPr>
          <w:rFonts w:cs="Arial"/>
          <w:rtl/>
        </w:rPr>
        <w:t xml:space="preserve"> אלא בבשר בחלב אבל לא בשאר איסורין</w:t>
      </w:r>
      <w:r w:rsidRPr="0003464E">
        <w:rPr>
          <w:rFonts w:cs="Arial" w:hint="cs"/>
          <w:rtl/>
        </w:rPr>
        <w:t>,</w:t>
      </w:r>
      <w:r w:rsidRPr="0003464E">
        <w:rPr>
          <w:rFonts w:cs="Arial"/>
          <w:rtl/>
        </w:rPr>
        <w:t xml:space="preserve"> ולפי דבריהם בקדרה בלועת איסור אפילו הוחמו בה מים בתוך מעל</w:t>
      </w:r>
      <w:r w:rsidRPr="0003464E">
        <w:rPr>
          <w:rFonts w:cs="Arial" w:hint="cs"/>
          <w:rtl/>
        </w:rPr>
        <w:t>"</w:t>
      </w:r>
      <w:r w:rsidRPr="0003464E">
        <w:rPr>
          <w:rFonts w:cs="Arial"/>
          <w:rtl/>
        </w:rPr>
        <w:t>ע לית לן בה ולעולם חשבינן המעת לעת מעת שבישל בה האיסור</w:t>
      </w:r>
      <w:r w:rsidRPr="0003464E">
        <w:rPr>
          <w:rFonts w:cs="Arial" w:hint="cs"/>
          <w:rtl/>
        </w:rPr>
        <w:t xml:space="preserve">. </w:t>
      </w:r>
      <w:r w:rsidRPr="0003464E">
        <w:rPr>
          <w:rFonts w:cs="Arial" w:hint="cs"/>
          <w:color w:val="E36C0A" w:themeColor="accent6" w:themeShade="BF"/>
          <w:rtl/>
        </w:rPr>
        <w:t xml:space="preserve">(וכ"פ בשו"ע </w:t>
      </w:r>
      <w:r w:rsidRPr="0003464E">
        <w:rPr>
          <w:rFonts w:cs="Arial" w:hint="cs"/>
          <w:sz w:val="16"/>
          <w:szCs w:val="16"/>
          <w:rtl/>
        </w:rPr>
        <w:t>[סי' קכב ס"ד]</w:t>
      </w:r>
      <w:r w:rsidRPr="0003464E">
        <w:rPr>
          <w:rFonts w:cs="Arial" w:hint="cs"/>
          <w:color w:val="E36C0A" w:themeColor="accent6" w:themeShade="BF"/>
          <w:rtl/>
        </w:rPr>
        <w:t>)</w:t>
      </w:r>
      <w:r w:rsidRPr="0003464E">
        <w:rPr>
          <w:rFonts w:cs="Arial" w:hint="cs"/>
          <w:rtl/>
        </w:rPr>
        <w:t xml:space="preserve"> (וכ"פ הדרכ"מ</w:t>
      </w:r>
      <w:r w:rsidRPr="0003464E">
        <w:rPr>
          <w:rFonts w:cs="Arial"/>
          <w:vertAlign w:val="superscript"/>
          <w:rtl/>
        </w:rPr>
        <w:footnoteReference w:id="2961"/>
      </w:r>
      <w:r w:rsidRPr="0003464E">
        <w:rPr>
          <w:rFonts w:cs="Arial" w:hint="cs"/>
          <w:rtl/>
        </w:rPr>
        <w:t xml:space="preserve"> </w:t>
      </w:r>
      <w:r w:rsidRPr="0003464E">
        <w:rPr>
          <w:rFonts w:cs="Arial" w:hint="cs"/>
          <w:sz w:val="16"/>
          <w:szCs w:val="16"/>
          <w:rtl/>
        </w:rPr>
        <w:t>[אות ב]</w:t>
      </w:r>
      <w:r w:rsidRPr="0003464E">
        <w:rPr>
          <w:rFonts w:cs="Arial" w:hint="cs"/>
          <w:rtl/>
        </w:rPr>
        <w:t>)</w:t>
      </w:r>
    </w:p>
    <w:p w14:paraId="260F6ED9" w14:textId="77777777" w:rsidR="002C39F4" w:rsidRPr="00784243" w:rsidRDefault="002C39F4" w:rsidP="002C39F4">
      <w:pPr>
        <w:ind w:left="360"/>
        <w:rPr>
          <w:u w:val="dotted"/>
        </w:rPr>
      </w:pPr>
      <w:r>
        <w:rPr>
          <w:rFonts w:hint="cs"/>
          <w:u w:val="dotted"/>
          <w:rtl/>
        </w:rPr>
        <w:t>מה הדין אם בישלו</w:t>
      </w:r>
      <w:r w:rsidRPr="00784243">
        <w:rPr>
          <w:rFonts w:hint="cs"/>
          <w:u w:val="dotted"/>
          <w:rtl/>
        </w:rPr>
        <w:t xml:space="preserve"> בה </w:t>
      </w:r>
      <w:r w:rsidRPr="00784243">
        <w:rPr>
          <w:rFonts w:hint="cs"/>
          <w:b/>
          <w:bCs/>
          <w:u w:val="dotted"/>
          <w:rtl/>
        </w:rPr>
        <w:t>בשר וחלב ביחד</w:t>
      </w:r>
      <w:r>
        <w:rPr>
          <w:rFonts w:hint="cs"/>
          <w:b/>
          <w:bCs/>
          <w:sz w:val="16"/>
          <w:szCs w:val="16"/>
          <w:u w:val="dotted"/>
          <w:rtl/>
        </w:rPr>
        <w:t xml:space="preserve"> (או בזה אחר זה בתוך מעל"ע)</w:t>
      </w:r>
      <w:r w:rsidRPr="00784243">
        <w:rPr>
          <w:rFonts w:hint="cs"/>
          <w:u w:val="dotted"/>
          <w:rtl/>
        </w:rPr>
        <w:t xml:space="preserve"> ובתוך מעת לעת חממו בה מים:</w:t>
      </w:r>
      <w:r w:rsidRPr="00300F64">
        <w:rPr>
          <w:rFonts w:cs="Arial" w:hint="cs"/>
          <w:sz w:val="16"/>
          <w:szCs w:val="16"/>
          <w:rtl/>
        </w:rPr>
        <w:t xml:space="preserve"> </w:t>
      </w:r>
      <w:r>
        <w:rPr>
          <w:rFonts w:cs="Arial" w:hint="cs"/>
          <w:sz w:val="16"/>
          <w:szCs w:val="16"/>
          <w:rtl/>
        </w:rPr>
        <w:t>(הועתק משם)</w:t>
      </w:r>
    </w:p>
    <w:p w14:paraId="391C54D2" w14:textId="77777777" w:rsidR="002C39F4" w:rsidRPr="006D6622" w:rsidRDefault="002C39F4" w:rsidP="0032102C">
      <w:pPr>
        <w:pStyle w:val="a8"/>
        <w:numPr>
          <w:ilvl w:val="0"/>
          <w:numId w:val="316"/>
        </w:numPr>
        <w:rPr>
          <w:rFonts w:cs="Arial"/>
        </w:rPr>
      </w:pPr>
      <w:r>
        <w:rPr>
          <w:rFonts w:cs="Arial" w:hint="cs"/>
          <w:rtl/>
        </w:rPr>
        <w:t xml:space="preserve">(סמ"ק </w:t>
      </w:r>
      <w:r>
        <w:rPr>
          <w:rFonts w:cs="Arial" w:hint="cs"/>
          <w:sz w:val="16"/>
          <w:szCs w:val="16"/>
          <w:rtl/>
        </w:rPr>
        <w:t>להב' הב"י</w:t>
      </w:r>
      <w:r>
        <w:rPr>
          <w:rFonts w:cs="Arial" w:hint="cs"/>
          <w:rtl/>
        </w:rPr>
        <w:t xml:space="preserve">)- </w:t>
      </w:r>
      <w:r>
        <w:rPr>
          <w:rStyle w:val="a7"/>
          <w:rFonts w:cs="Arial"/>
          <w:rtl/>
        </w:rPr>
        <w:footnoteReference w:id="2962"/>
      </w:r>
      <w:r w:rsidRPr="00F949D3">
        <w:rPr>
          <w:rFonts w:cs="Arial"/>
          <w:rtl/>
        </w:rPr>
        <w:t>כיון שאין שם גוף האיסור עצמו לא חמיר כולי האי לאסור הכלי להצריך למנות לו מעת לעת משעה שהוחמו בה המים</w:t>
      </w:r>
      <w:r>
        <w:rPr>
          <w:rFonts w:cs="Arial" w:hint="cs"/>
          <w:rtl/>
        </w:rPr>
        <w:t>.</w:t>
      </w:r>
    </w:p>
    <w:p w14:paraId="0EEEDBE7" w14:textId="77777777" w:rsidR="002C39F4" w:rsidRDefault="002C39F4" w:rsidP="0032102C">
      <w:pPr>
        <w:pStyle w:val="a8"/>
        <w:numPr>
          <w:ilvl w:val="0"/>
          <w:numId w:val="316"/>
        </w:numPr>
        <w:rPr>
          <w:rFonts w:cs="Arial"/>
        </w:rPr>
      </w:pPr>
      <w:r w:rsidRPr="00F949D3">
        <w:rPr>
          <w:rFonts w:cs="Arial" w:hint="cs"/>
          <w:rtl/>
        </w:rPr>
        <w:t xml:space="preserve">ב"י- </w:t>
      </w:r>
      <w:r w:rsidRPr="00F949D3">
        <w:rPr>
          <w:rFonts w:cs="Arial"/>
          <w:rtl/>
        </w:rPr>
        <w:t>לדברי הכל חשיב כאילו חזר ונתבשל בה האיסור ומונין מעת לעת משעה שהוחמו המים</w:t>
      </w:r>
      <w:r>
        <w:rPr>
          <w:rFonts w:cs="Arial" w:hint="cs"/>
          <w:rtl/>
        </w:rPr>
        <w:t>,</w:t>
      </w:r>
      <w:r w:rsidRPr="00F949D3">
        <w:rPr>
          <w:rFonts w:cs="Arial"/>
          <w:rtl/>
        </w:rPr>
        <w:t xml:space="preserve"> דהא כולי עלמא מודו שהמים נעשו חתיכת נבלה דבבשר בחלב לדברי הכל חתיכה עצמה נעשית נבלה</w:t>
      </w:r>
      <w:r w:rsidRPr="00F949D3">
        <w:rPr>
          <w:rFonts w:cs="Arial" w:hint="cs"/>
          <w:rtl/>
        </w:rPr>
        <w:t xml:space="preserve">. </w:t>
      </w:r>
      <w:r w:rsidRPr="00F949D3">
        <w:rPr>
          <w:rFonts w:cs="Arial"/>
          <w:rtl/>
        </w:rPr>
        <w:t>ונ</w:t>
      </w:r>
      <w:r>
        <w:rPr>
          <w:rFonts w:cs="Arial" w:hint="cs"/>
          <w:rtl/>
        </w:rPr>
        <w:t>"</w:t>
      </w:r>
      <w:r w:rsidRPr="00F949D3">
        <w:rPr>
          <w:rFonts w:cs="Arial"/>
          <w:rtl/>
        </w:rPr>
        <w:t>ל דאם כבר עבר עליו לילה אחת קודם שהוחמו המים אפילו בבלועה מבשר בחלב אין מונין מעת לעת אלא משעה שבשלו בה האיסור</w:t>
      </w:r>
      <w:r>
        <w:rPr>
          <w:rStyle w:val="a7"/>
          <w:rFonts w:cs="Arial"/>
          <w:rtl/>
        </w:rPr>
        <w:footnoteReference w:id="2963"/>
      </w:r>
      <w:r>
        <w:rPr>
          <w:rFonts w:cs="Arial" w:hint="cs"/>
          <w:rtl/>
        </w:rPr>
        <w:t>,</w:t>
      </w:r>
      <w:r w:rsidRPr="00F949D3">
        <w:rPr>
          <w:rFonts w:cs="Arial"/>
          <w:rtl/>
        </w:rPr>
        <w:t xml:space="preserve"> כיון דאיכא רבוותא דסברי שכבר אינה בת יומא</w:t>
      </w:r>
      <w:r>
        <w:rPr>
          <w:rStyle w:val="a7"/>
          <w:rFonts w:cs="Arial"/>
          <w:rtl/>
        </w:rPr>
        <w:footnoteReference w:id="2964"/>
      </w:r>
      <w:r>
        <w:rPr>
          <w:rFonts w:cs="Arial" w:hint="cs"/>
          <w:rtl/>
        </w:rPr>
        <w:t xml:space="preserve">. (וכ"פ הדרכ"מ </w:t>
      </w:r>
      <w:r>
        <w:rPr>
          <w:rFonts w:cs="Arial" w:hint="cs"/>
          <w:sz w:val="16"/>
          <w:szCs w:val="16"/>
          <w:rtl/>
        </w:rPr>
        <w:t>[אות ב]</w:t>
      </w:r>
      <w:r>
        <w:rPr>
          <w:rFonts w:cs="Arial" w:hint="cs"/>
          <w:rtl/>
        </w:rPr>
        <w:t>)(וכ"כ הט"ז</w:t>
      </w:r>
      <w:r>
        <w:rPr>
          <w:rFonts w:cs="Arial" w:hint="cs"/>
          <w:sz w:val="16"/>
          <w:szCs w:val="16"/>
          <w:rtl/>
        </w:rPr>
        <w:t xml:space="preserve"> [סק"י]</w:t>
      </w:r>
      <w:r>
        <w:rPr>
          <w:rFonts w:cs="Arial" w:hint="cs"/>
          <w:rtl/>
        </w:rPr>
        <w:t>)</w:t>
      </w:r>
    </w:p>
    <w:p w14:paraId="7C76D7B3" w14:textId="77777777" w:rsidR="002C39F4" w:rsidRDefault="002C39F4" w:rsidP="002C39F4">
      <w:pPr>
        <w:rPr>
          <w:rFonts w:cs="Arial"/>
          <w:rtl/>
        </w:rPr>
      </w:pPr>
      <w:r>
        <w:rPr>
          <w:rFonts w:cs="Arial" w:hint="cs"/>
          <w:b/>
          <w:bCs/>
          <w:rtl/>
        </w:rPr>
        <w:t xml:space="preserve">פסחים ל ע"ב: </w:t>
      </w:r>
      <w:r w:rsidRPr="00271248">
        <w:rPr>
          <w:rFonts w:cs="Arial"/>
          <w:u w:val="single"/>
          <w:rtl/>
        </w:rPr>
        <w:t>בעו מיניה מאמימר</w:t>
      </w:r>
      <w:r w:rsidRPr="00300F64">
        <w:rPr>
          <w:rFonts w:cs="Arial"/>
          <w:rtl/>
        </w:rPr>
        <w:t>: הני מאני דקוניא</w:t>
      </w:r>
      <w:r>
        <w:rPr>
          <w:rStyle w:val="a7"/>
          <w:rFonts w:cs="Arial"/>
          <w:rtl/>
        </w:rPr>
        <w:footnoteReference w:id="2965"/>
      </w:r>
      <w:r w:rsidRPr="00300F64">
        <w:rPr>
          <w:rFonts w:cs="Arial"/>
          <w:rtl/>
        </w:rPr>
        <w:t xml:space="preserve"> מהו לאישתמושי בהו בפסחא? ירוקא</w:t>
      </w:r>
      <w:r>
        <w:rPr>
          <w:rStyle w:val="a7"/>
          <w:rFonts w:cs="Arial"/>
          <w:rtl/>
        </w:rPr>
        <w:footnoteReference w:id="2966"/>
      </w:r>
      <w:r w:rsidRPr="00300F64">
        <w:rPr>
          <w:rFonts w:cs="Arial"/>
          <w:rtl/>
        </w:rPr>
        <w:t xml:space="preserve"> לא תיבעי לך - דודאי אסירי. כי תיבעי לך- אוכמי וחיורי מאי? והיכא דאית בהו קרטופני</w:t>
      </w:r>
      <w:r>
        <w:rPr>
          <w:rStyle w:val="a7"/>
          <w:rFonts w:cs="Arial"/>
          <w:rtl/>
        </w:rPr>
        <w:footnoteReference w:id="2967"/>
      </w:r>
      <w:r w:rsidRPr="00300F64">
        <w:rPr>
          <w:rFonts w:cs="Arial"/>
          <w:rtl/>
        </w:rPr>
        <w:t xml:space="preserve">- לא תיבעי לך, דודאי אסירי. כי תיבעי לך- דשיעי מאי? </w:t>
      </w:r>
      <w:r w:rsidRPr="00271248">
        <w:rPr>
          <w:rFonts w:cs="Arial"/>
          <w:u w:val="single"/>
          <w:rtl/>
        </w:rPr>
        <w:t>אמר להו</w:t>
      </w:r>
      <w:r w:rsidRPr="00300F64">
        <w:rPr>
          <w:rFonts w:cs="Arial"/>
          <w:rtl/>
        </w:rPr>
        <w:t>: חזינא להו דמידייתי</w:t>
      </w:r>
      <w:r>
        <w:rPr>
          <w:rStyle w:val="a7"/>
          <w:rFonts w:cs="Arial"/>
          <w:rtl/>
        </w:rPr>
        <w:footnoteReference w:id="2968"/>
      </w:r>
      <w:r w:rsidRPr="00300F64">
        <w:rPr>
          <w:rFonts w:cs="Arial"/>
          <w:rtl/>
        </w:rPr>
        <w:t>, אלמא בלעי ואסירי. והתורה העידה על כלי חרס שאינו יוצא מידי דופיו לעולם.</w:t>
      </w:r>
    </w:p>
    <w:p w14:paraId="763DE35D" w14:textId="77777777" w:rsidR="002C39F4" w:rsidRDefault="002C39F4" w:rsidP="002C39F4">
      <w:pPr>
        <w:rPr>
          <w:rFonts w:cs="Arial"/>
          <w:rtl/>
        </w:rPr>
      </w:pPr>
      <w:r>
        <w:rPr>
          <w:rFonts w:cs="Arial" w:hint="cs"/>
          <w:b/>
          <w:bCs/>
          <w:rtl/>
        </w:rPr>
        <w:t>פסחים ל ע"ב:</w:t>
      </w:r>
      <w:r w:rsidRPr="00925CED">
        <w:rPr>
          <w:rFonts w:cs="Arial" w:hint="cs"/>
          <w:rtl/>
        </w:rPr>
        <w:t xml:space="preserve"> </w:t>
      </w:r>
      <w:r w:rsidRPr="00925CED">
        <w:rPr>
          <w:rFonts w:cs="Arial"/>
          <w:rtl/>
        </w:rPr>
        <w:t>אין טשין את התנור באליה, ואם טש - כל הפת כולה אסורה, עד שיסיק את התנור, הא הוסק התנור - מיהא שרי, תיובתא דרבא בר אהילאי! תיובתא</w:t>
      </w:r>
      <w:r w:rsidRPr="00BC496D">
        <w:rPr>
          <w:rFonts w:cs="Arial"/>
          <w:u w:val="single"/>
          <w:rtl/>
        </w:rPr>
        <w:t>. אמר ליה רבינא לרב אשי</w:t>
      </w:r>
      <w:r w:rsidRPr="00925CED">
        <w:rPr>
          <w:rFonts w:cs="Arial"/>
          <w:rtl/>
        </w:rPr>
        <w:t xml:space="preserve">: וכי מאחר דאיתותב רבא בר אהילאי, </w:t>
      </w:r>
      <w:r w:rsidRPr="00271248">
        <w:rPr>
          <w:rFonts w:cs="Arial"/>
          <w:rtl/>
        </w:rPr>
        <w:t xml:space="preserve">אמאי קאמר רב קדירות בפסח ישברו? </w:t>
      </w:r>
      <w:r w:rsidRPr="00BC496D">
        <w:rPr>
          <w:rFonts w:cs="Arial"/>
          <w:u w:val="single"/>
          <w:rtl/>
        </w:rPr>
        <w:t>אמר ליה</w:t>
      </w:r>
      <w:r w:rsidRPr="00271248">
        <w:rPr>
          <w:rFonts w:cs="Arial"/>
          <w:rtl/>
        </w:rPr>
        <w:t>: התם תנור של מתכת, הכא בקדירה של חרס. ואיבעית אימא: הא והא בשל חרס, זה הסיקן מבפנים, וזה הסיקן מבחוץ. וכי תימא הכי נמי ליעבד ליה הסקה מבפנים</w:t>
      </w:r>
      <w:r>
        <w:rPr>
          <w:rFonts w:cs="Arial" w:hint="cs"/>
          <w:rtl/>
        </w:rPr>
        <w:t xml:space="preserve"> </w:t>
      </w:r>
      <w:r w:rsidRPr="00271248">
        <w:rPr>
          <w:rFonts w:cs="Arial"/>
          <w:rtl/>
        </w:rPr>
        <w:t>- חייס עליה משום דפקעה. הלכך האי בוכיא</w:t>
      </w:r>
      <w:r>
        <w:rPr>
          <w:rFonts w:cs="Arial" w:hint="cs"/>
          <w:rtl/>
        </w:rPr>
        <w:t xml:space="preserve"> </w:t>
      </w:r>
      <w:r w:rsidRPr="00271248">
        <w:rPr>
          <w:rFonts w:cs="Arial"/>
          <w:rtl/>
        </w:rPr>
        <w:t xml:space="preserve">- הסיקו מבחוץ הוא ואסור. ואי מלייה גומרי שפיר דמי. </w:t>
      </w:r>
      <w:r w:rsidRPr="00300F64">
        <w:rPr>
          <w:rFonts w:cs="Arial"/>
          <w:rtl/>
        </w:rPr>
        <w:t xml:space="preserve"> </w:t>
      </w:r>
    </w:p>
    <w:p w14:paraId="3F485202" w14:textId="77777777" w:rsidR="002C39F4" w:rsidRPr="00D00375" w:rsidRDefault="002C39F4" w:rsidP="002C39F4">
      <w:pPr>
        <w:rPr>
          <w:rFonts w:cs="Arial"/>
          <w:u w:val="single"/>
          <w:rtl/>
        </w:rPr>
      </w:pPr>
      <w:r w:rsidRPr="00D00375">
        <w:rPr>
          <w:rFonts w:cs="Arial"/>
          <w:u w:val="single"/>
          <w:rtl/>
        </w:rPr>
        <w:t>כלי חרס שנשתמש בהן איסור בחמין</w:t>
      </w:r>
      <w:r w:rsidRPr="00D00375">
        <w:rPr>
          <w:rFonts w:cs="Arial" w:hint="cs"/>
          <w:u w:val="single"/>
          <w:rtl/>
        </w:rPr>
        <w:t>:</w:t>
      </w:r>
    </w:p>
    <w:p w14:paraId="547EEDDE" w14:textId="77777777" w:rsidR="002C39F4" w:rsidRPr="00D00375" w:rsidRDefault="002C39F4" w:rsidP="0032102C">
      <w:pPr>
        <w:pStyle w:val="a8"/>
        <w:numPr>
          <w:ilvl w:val="0"/>
          <w:numId w:val="318"/>
        </w:numPr>
        <w:rPr>
          <w:rFonts w:cs="Arial"/>
          <w:rtl/>
        </w:rPr>
      </w:pPr>
      <w:r w:rsidRPr="00D00375">
        <w:rPr>
          <w:rFonts w:cs="Arial" w:hint="cs"/>
          <w:rtl/>
        </w:rPr>
        <w:t xml:space="preserve">טור- </w:t>
      </w:r>
      <w:r w:rsidRPr="00D00375">
        <w:rPr>
          <w:rFonts w:cs="Arial"/>
          <w:rtl/>
        </w:rPr>
        <w:t>כלי חרס שנשתמש בהן איסור בחמין</w:t>
      </w:r>
      <w:r w:rsidRPr="00D00375">
        <w:rPr>
          <w:rFonts w:cs="Arial" w:hint="cs"/>
          <w:rtl/>
        </w:rPr>
        <w:t>,</w:t>
      </w:r>
      <w:r w:rsidRPr="00D00375">
        <w:rPr>
          <w:rFonts w:cs="Arial"/>
          <w:rtl/>
        </w:rPr>
        <w:t xml:space="preserve"> אפי' שלא אצל האש אלא שעירה לתוכו רותח</w:t>
      </w:r>
      <w:r>
        <w:rPr>
          <w:rStyle w:val="a7"/>
          <w:rFonts w:cs="Arial"/>
          <w:rtl/>
        </w:rPr>
        <w:footnoteReference w:id="2969"/>
      </w:r>
      <w:r w:rsidRPr="00D00375">
        <w:rPr>
          <w:rFonts w:cs="Arial" w:hint="cs"/>
          <w:rtl/>
        </w:rPr>
        <w:t>,</w:t>
      </w:r>
      <w:r w:rsidRPr="00D00375">
        <w:rPr>
          <w:rFonts w:cs="Arial"/>
          <w:rtl/>
        </w:rPr>
        <w:t xml:space="preserve"> אין לו הכשר</w:t>
      </w:r>
      <w:r w:rsidRPr="00D00375">
        <w:rPr>
          <w:rFonts w:cs="Arial" w:hint="cs"/>
          <w:rtl/>
        </w:rPr>
        <w:t>,</w:t>
      </w:r>
      <w:r w:rsidRPr="00D00375">
        <w:rPr>
          <w:rFonts w:cs="Arial"/>
          <w:rtl/>
        </w:rPr>
        <w:t xml:space="preserve"> ואפי' מלאו גחלים מבפנים ולבנו היטב אם הוא דבר שאין דרכו להסיקו בפנים כקדרה לא מהני ליה</w:t>
      </w:r>
      <w:r w:rsidRPr="00D00375">
        <w:rPr>
          <w:rFonts w:cs="Arial" w:hint="cs"/>
          <w:rtl/>
        </w:rPr>
        <w:t>,</w:t>
      </w:r>
      <w:r w:rsidRPr="00D00375">
        <w:rPr>
          <w:rFonts w:cs="Arial"/>
          <w:rtl/>
        </w:rPr>
        <w:t xml:space="preserve"> ואם הוא דבר שדרכו להסיקו בפנים והסיקו בפנים שפיר דמי</w:t>
      </w:r>
      <w:r w:rsidRPr="00D00375">
        <w:rPr>
          <w:rFonts w:cs="Arial" w:hint="cs"/>
          <w:rtl/>
        </w:rPr>
        <w:t>,</w:t>
      </w:r>
      <w:r w:rsidRPr="00D00375">
        <w:rPr>
          <w:rFonts w:cs="Arial"/>
          <w:rtl/>
        </w:rPr>
        <w:t xml:space="preserve"> אבל אם לבנו מבחוץ לא מהני ליה</w:t>
      </w:r>
      <w:r w:rsidRPr="00D00375">
        <w:rPr>
          <w:rFonts w:cs="Arial" w:hint="cs"/>
          <w:rtl/>
        </w:rPr>
        <w:t>,</w:t>
      </w:r>
      <w:r w:rsidRPr="00D00375">
        <w:rPr>
          <w:rFonts w:cs="Arial"/>
          <w:rtl/>
        </w:rPr>
        <w:t xml:space="preserve"> ואם החזירו לכבשן עד שנתלבן אפילו קדרה שפיר דמי</w:t>
      </w:r>
      <w:r w:rsidRPr="00D00375">
        <w:rPr>
          <w:rFonts w:cs="Arial" w:hint="cs"/>
          <w:rtl/>
        </w:rPr>
        <w:t>,</w:t>
      </w:r>
      <w:r w:rsidRPr="00D00375">
        <w:rPr>
          <w:rFonts w:cs="Arial"/>
          <w:rtl/>
        </w:rPr>
        <w:t xml:space="preserve"> ומיהו כתב א"א הרא"ש ז"ל </w:t>
      </w:r>
      <w:r w:rsidRPr="00D00375">
        <w:rPr>
          <w:rFonts w:cs="Arial" w:hint="cs"/>
          <w:sz w:val="16"/>
          <w:szCs w:val="16"/>
          <w:rtl/>
        </w:rPr>
        <w:t xml:space="preserve">(סי' ז, וכ"כ </w:t>
      </w:r>
      <w:r w:rsidRPr="00D00375">
        <w:rPr>
          <w:rFonts w:cs="Arial"/>
          <w:sz w:val="16"/>
          <w:szCs w:val="16"/>
          <w:rtl/>
        </w:rPr>
        <w:t xml:space="preserve">הרשב"א </w:t>
      </w:r>
      <w:r w:rsidRPr="00D00375">
        <w:rPr>
          <w:rFonts w:cs="Arial" w:hint="cs"/>
          <w:sz w:val="16"/>
          <w:szCs w:val="16"/>
          <w:rtl/>
        </w:rPr>
        <w:t>[תוה"ק ותוה"א</w:t>
      </w:r>
      <w:r w:rsidRPr="00D00375">
        <w:rPr>
          <w:rFonts w:cs="Arial"/>
          <w:sz w:val="16"/>
          <w:szCs w:val="16"/>
          <w:rtl/>
        </w:rPr>
        <w:t xml:space="preserve"> ב"ד ש"ד לז.</w:t>
      </w:r>
      <w:r w:rsidRPr="00D00375">
        <w:rPr>
          <w:rFonts w:cs="Arial" w:hint="cs"/>
          <w:sz w:val="16"/>
          <w:szCs w:val="16"/>
          <w:rtl/>
        </w:rPr>
        <w:t xml:space="preserve">]) </w:t>
      </w:r>
      <w:r w:rsidRPr="00D00375">
        <w:rPr>
          <w:rFonts w:cs="Arial"/>
          <w:rtl/>
        </w:rPr>
        <w:t>דוקא שהחזירה לכבשן שמצרפין בו כלי חרס חדשים</w:t>
      </w:r>
      <w:r w:rsidRPr="00D00375">
        <w:rPr>
          <w:rFonts w:cs="Arial" w:hint="cs"/>
          <w:rtl/>
        </w:rPr>
        <w:t>,</w:t>
      </w:r>
      <w:r w:rsidRPr="00D00375">
        <w:rPr>
          <w:rFonts w:cs="Arial"/>
          <w:rtl/>
        </w:rPr>
        <w:t xml:space="preserve"> דכיון שמכניסה להיסק גדול כזה ודאי לא חייס עליה דילמא פקעא</w:t>
      </w:r>
      <w:r w:rsidRPr="00D00375">
        <w:rPr>
          <w:rFonts w:cs="Arial" w:hint="cs"/>
          <w:rtl/>
        </w:rPr>
        <w:t>,</w:t>
      </w:r>
      <w:r w:rsidRPr="00D00375">
        <w:rPr>
          <w:rFonts w:cs="Arial"/>
          <w:rtl/>
        </w:rPr>
        <w:t xml:space="preserve"> אבל לתנורים שלנו לא דאיכא למיחש שמא חייס עליה ויוציאנה קודם שתתלבן היטב</w:t>
      </w:r>
      <w:r>
        <w:rPr>
          <w:rFonts w:cs="Arial" w:hint="cs"/>
          <w:rtl/>
        </w:rPr>
        <w:t>.</w:t>
      </w:r>
    </w:p>
    <w:p w14:paraId="24784101" w14:textId="77777777" w:rsidR="002C39F4" w:rsidRPr="004C092D" w:rsidRDefault="002C39F4" w:rsidP="002C39F4">
      <w:pPr>
        <w:rPr>
          <w:rFonts w:cs="Arial"/>
          <w:sz w:val="16"/>
          <w:szCs w:val="16"/>
          <w:rtl/>
        </w:rPr>
      </w:pPr>
      <w:r w:rsidRPr="004C092D">
        <w:rPr>
          <w:rFonts w:cs="Arial" w:hint="cs"/>
          <w:u w:val="single"/>
          <w:rtl/>
        </w:rPr>
        <w:t>הכשרת מפות שנפל עליהם איסור:</w:t>
      </w:r>
      <w:r>
        <w:rPr>
          <w:rFonts w:cs="Arial" w:hint="cs"/>
          <w:sz w:val="16"/>
          <w:szCs w:val="16"/>
          <w:rtl/>
        </w:rPr>
        <w:t xml:space="preserve"> (ב"י [בבדה"ב])</w:t>
      </w:r>
    </w:p>
    <w:p w14:paraId="346297A9" w14:textId="77777777" w:rsidR="002C39F4" w:rsidRDefault="002C39F4" w:rsidP="0032102C">
      <w:pPr>
        <w:pStyle w:val="a8"/>
        <w:numPr>
          <w:ilvl w:val="0"/>
          <w:numId w:val="317"/>
        </w:numPr>
        <w:rPr>
          <w:rtl/>
        </w:rPr>
      </w:pPr>
      <w:r w:rsidRPr="004C092D">
        <w:rPr>
          <w:rFonts w:cs="Arial" w:hint="cs"/>
          <w:rtl/>
        </w:rPr>
        <w:t xml:space="preserve">רי"ו </w:t>
      </w:r>
      <w:r w:rsidRPr="004C092D">
        <w:rPr>
          <w:rFonts w:cs="Arial"/>
          <w:sz w:val="16"/>
          <w:szCs w:val="16"/>
          <w:rtl/>
        </w:rPr>
        <w:t>(ני"ז ח"ח קסא-א ע"ג)</w:t>
      </w:r>
      <w:r w:rsidRPr="004C092D">
        <w:rPr>
          <w:rFonts w:cs="Arial" w:hint="cs"/>
          <w:rtl/>
        </w:rPr>
        <w:t>-</w:t>
      </w:r>
      <w:r w:rsidRPr="004C092D">
        <w:rPr>
          <w:rFonts w:cs="Arial"/>
          <w:rtl/>
        </w:rPr>
        <w:t xml:space="preserve"> מפות שנפל עליהם רותח של איסור כשמגעילן מכניסן בכלי שני ודי כי כמה פעמים מגעילין אותן ומדיחין אותן ומכין אותן כמה הכאות וכל זה יועילם כמו הגעלה אחת בכלי ראשון</w:t>
      </w:r>
      <w:r w:rsidRPr="004C092D">
        <w:rPr>
          <w:rFonts w:cs="Arial" w:hint="cs"/>
          <w:rtl/>
        </w:rPr>
        <w:t>.</w:t>
      </w:r>
    </w:p>
    <w:p w14:paraId="4560EF22" w14:textId="77777777" w:rsidR="002C39F4" w:rsidRPr="00953C46" w:rsidRDefault="002C39F4" w:rsidP="002C39F4">
      <w:pPr>
        <w:rPr>
          <w:rFonts w:cs="Arial"/>
          <w:sz w:val="16"/>
          <w:szCs w:val="16"/>
          <w:rtl/>
        </w:rPr>
      </w:pPr>
      <w:r w:rsidRPr="00D00375">
        <w:rPr>
          <w:rFonts w:cs="Arial" w:hint="cs"/>
          <w:b/>
          <w:bCs/>
          <w:rtl/>
        </w:rPr>
        <w:t xml:space="preserve">ירושלמי </w:t>
      </w:r>
      <w:r w:rsidRPr="00D00375">
        <w:rPr>
          <w:rFonts w:cs="Arial"/>
          <w:b/>
          <w:bCs/>
          <w:rtl/>
        </w:rPr>
        <w:t>תרומות פי"א ה"ד</w:t>
      </w:r>
      <w:r w:rsidRPr="00D00375">
        <w:rPr>
          <w:rFonts w:cs="Arial" w:hint="cs"/>
          <w:b/>
          <w:bCs/>
          <w:rtl/>
        </w:rPr>
        <w:t>:</w:t>
      </w:r>
      <w:r w:rsidRPr="00D00375">
        <w:rPr>
          <w:rFonts w:cs="Arial" w:hint="cs"/>
          <w:rtl/>
        </w:rPr>
        <w:t xml:space="preserve"> </w:t>
      </w:r>
      <w:r w:rsidRPr="00D00375">
        <w:rPr>
          <w:rFonts w:cs="Arial"/>
          <w:u w:val="single"/>
          <w:rtl/>
        </w:rPr>
        <w:t>תני רבי חלפתא בן שאול</w:t>
      </w:r>
      <w:r>
        <w:rPr>
          <w:rFonts w:cs="Arial" w:hint="cs"/>
          <w:rtl/>
        </w:rPr>
        <w:t>:</w:t>
      </w:r>
      <w:r w:rsidRPr="00D00375">
        <w:rPr>
          <w:rFonts w:cs="Arial"/>
          <w:rtl/>
        </w:rPr>
        <w:t xml:space="preserve"> קדרה שבישל בה התרומה מגעילה שלש פעמים בחמין ודיו</w:t>
      </w:r>
      <w:r>
        <w:rPr>
          <w:rFonts w:cs="Arial" w:hint="cs"/>
          <w:rtl/>
        </w:rPr>
        <w:t>.</w:t>
      </w:r>
      <w:r w:rsidRPr="00D00375">
        <w:rPr>
          <w:rFonts w:cs="Arial"/>
          <w:rtl/>
        </w:rPr>
        <w:t xml:space="preserve"> </w:t>
      </w:r>
      <w:r w:rsidRPr="00D00375">
        <w:rPr>
          <w:rFonts w:cs="Arial"/>
          <w:u w:val="single"/>
          <w:rtl/>
        </w:rPr>
        <w:t>אמר רבי אבא</w:t>
      </w:r>
      <w:r>
        <w:rPr>
          <w:rFonts w:cs="Arial" w:hint="cs"/>
          <w:rtl/>
        </w:rPr>
        <w:t>:</w:t>
      </w:r>
      <w:r w:rsidRPr="00D00375">
        <w:rPr>
          <w:rFonts w:cs="Arial"/>
          <w:rtl/>
        </w:rPr>
        <w:t xml:space="preserve"> ואין למדין ממנה לענין נבלה</w:t>
      </w:r>
      <w:r>
        <w:rPr>
          <w:rFonts w:cs="Arial" w:hint="cs"/>
          <w:rtl/>
        </w:rPr>
        <w:t>.</w:t>
      </w:r>
      <w:r w:rsidRPr="00D00375">
        <w:rPr>
          <w:rFonts w:cs="Arial"/>
          <w:rtl/>
        </w:rPr>
        <w:t xml:space="preserve"> </w:t>
      </w:r>
      <w:r w:rsidRPr="00D00375">
        <w:rPr>
          <w:rFonts w:cs="Arial"/>
          <w:u w:val="single"/>
          <w:rtl/>
        </w:rPr>
        <w:t>אמר רבי יוסי קשיתיה קומי ר' בא</w:t>
      </w:r>
      <w:r>
        <w:rPr>
          <w:rFonts w:cs="Arial" w:hint="cs"/>
          <w:rtl/>
        </w:rPr>
        <w:t>:</w:t>
      </w:r>
      <w:r w:rsidRPr="00D00375">
        <w:rPr>
          <w:rFonts w:cs="Arial"/>
          <w:rtl/>
        </w:rPr>
        <w:t xml:space="preserve"> תרומה בעון מיתה</w:t>
      </w:r>
      <w:r>
        <w:rPr>
          <w:rFonts w:cs="Arial" w:hint="cs"/>
          <w:rtl/>
        </w:rPr>
        <w:t>,</w:t>
      </w:r>
      <w:r w:rsidRPr="00D00375">
        <w:rPr>
          <w:rFonts w:cs="Arial"/>
          <w:rtl/>
        </w:rPr>
        <w:t xml:space="preserve"> ונבלה בלא תעשה</w:t>
      </w:r>
      <w:r>
        <w:rPr>
          <w:rFonts w:cs="Arial" w:hint="cs"/>
          <w:rtl/>
        </w:rPr>
        <w:t>,</w:t>
      </w:r>
      <w:r w:rsidRPr="00D00375">
        <w:rPr>
          <w:rFonts w:cs="Arial"/>
          <w:rtl/>
        </w:rPr>
        <w:t xml:space="preserve"> ואת אמר כן</w:t>
      </w:r>
      <w:r>
        <w:rPr>
          <w:rFonts w:cs="Arial" w:hint="cs"/>
          <w:rtl/>
        </w:rPr>
        <w:t>?</w:t>
      </w:r>
      <w:r w:rsidRPr="00D00375">
        <w:rPr>
          <w:rFonts w:cs="Arial"/>
          <w:rtl/>
        </w:rPr>
        <w:t xml:space="preserve"> </w:t>
      </w:r>
      <w:r w:rsidRPr="00D00375">
        <w:rPr>
          <w:rFonts w:cs="Arial"/>
          <w:u w:val="single"/>
          <w:rtl/>
        </w:rPr>
        <w:t>א"ל</w:t>
      </w:r>
      <w:r>
        <w:rPr>
          <w:rFonts w:cs="Arial" w:hint="cs"/>
          <w:rtl/>
        </w:rPr>
        <w:t>:</w:t>
      </w:r>
      <w:r w:rsidRPr="00D00375">
        <w:rPr>
          <w:rFonts w:cs="Arial"/>
          <w:rtl/>
        </w:rPr>
        <w:t xml:space="preserve"> כמאן דאמר מאליהן קבלו המעשרות</w:t>
      </w:r>
      <w:r w:rsidRPr="00D00375">
        <w:rPr>
          <w:rFonts w:cs="Arial" w:hint="cs"/>
          <w:rtl/>
        </w:rPr>
        <w:t>.</w:t>
      </w:r>
      <w:r w:rsidRPr="00D00375">
        <w:rPr>
          <w:rFonts w:cs="Arial"/>
          <w:rtl/>
        </w:rPr>
        <w:t xml:space="preserve"> </w:t>
      </w:r>
      <w:r w:rsidRPr="00D00375">
        <w:rPr>
          <w:rFonts w:cs="Arial"/>
          <w:u w:val="single"/>
          <w:rtl/>
        </w:rPr>
        <w:t>רבי אשתם בר שונם בעי קומי רבי מונא</w:t>
      </w:r>
      <w:r>
        <w:rPr>
          <w:rFonts w:cs="Arial" w:hint="cs"/>
          <w:rtl/>
        </w:rPr>
        <w:t>:</w:t>
      </w:r>
      <w:r w:rsidRPr="00D00375">
        <w:rPr>
          <w:rFonts w:cs="Arial"/>
          <w:rtl/>
        </w:rPr>
        <w:t xml:space="preserve"> תנן </w:t>
      </w:r>
      <w:r w:rsidRPr="00D00375">
        <w:rPr>
          <w:rFonts w:cs="Arial"/>
          <w:sz w:val="16"/>
          <w:szCs w:val="16"/>
          <w:rtl/>
        </w:rPr>
        <w:t xml:space="preserve">(תרומות פי"א מ"ח) </w:t>
      </w:r>
      <w:r w:rsidRPr="00D00375">
        <w:rPr>
          <w:rFonts w:cs="Arial"/>
          <w:rtl/>
        </w:rPr>
        <w:t>הרכינה ומיצה הרי זו תרומה</w:t>
      </w:r>
      <w:r>
        <w:rPr>
          <w:rFonts w:cs="Arial" w:hint="cs"/>
          <w:rtl/>
        </w:rPr>
        <w:t>.</w:t>
      </w:r>
      <w:r w:rsidRPr="00D00375">
        <w:rPr>
          <w:rFonts w:cs="Arial"/>
          <w:rtl/>
        </w:rPr>
        <w:t xml:space="preserve"> ואיתמר הכי</w:t>
      </w:r>
      <w:r>
        <w:rPr>
          <w:rFonts w:cs="Arial" w:hint="cs"/>
          <w:rtl/>
        </w:rPr>
        <w:t>.</w:t>
      </w:r>
      <w:r w:rsidRPr="00D00375">
        <w:rPr>
          <w:rFonts w:cs="Arial"/>
          <w:rtl/>
        </w:rPr>
        <w:t xml:space="preserve"> </w:t>
      </w:r>
      <w:r w:rsidRPr="00D00375">
        <w:rPr>
          <w:rFonts w:cs="Arial"/>
          <w:u w:val="single"/>
          <w:rtl/>
        </w:rPr>
        <w:t>אמר ליה</w:t>
      </w:r>
      <w:r>
        <w:rPr>
          <w:rFonts w:cs="Arial" w:hint="cs"/>
          <w:rtl/>
        </w:rPr>
        <w:t>:</w:t>
      </w:r>
      <w:r w:rsidRPr="00D00375">
        <w:rPr>
          <w:rFonts w:cs="Arial"/>
          <w:rtl/>
        </w:rPr>
        <w:t xml:space="preserve"> כאן ע"י האור הוא נגעל</w:t>
      </w:r>
      <w:r w:rsidRPr="00D00375">
        <w:rPr>
          <w:rFonts w:cs="Arial" w:hint="cs"/>
          <w:rtl/>
        </w:rPr>
        <w:t>.</w:t>
      </w:r>
      <w:r>
        <w:rPr>
          <w:rFonts w:cs="Arial" w:hint="cs"/>
          <w:sz w:val="16"/>
          <w:szCs w:val="16"/>
          <w:rtl/>
        </w:rPr>
        <w:t xml:space="preserve"> (ומכאן הביאו בהעי"ט והרשב"א ראייה לדבריהם)</w:t>
      </w:r>
    </w:p>
    <w:p w14:paraId="32C2C2CB" w14:textId="77777777" w:rsidR="002C39F4" w:rsidRPr="00953C46" w:rsidRDefault="002C39F4" w:rsidP="002C39F4">
      <w:pPr>
        <w:rPr>
          <w:rFonts w:cs="Arial"/>
          <w:u w:val="single"/>
          <w:rtl/>
        </w:rPr>
      </w:pPr>
      <w:r w:rsidRPr="00953C46">
        <w:rPr>
          <w:rFonts w:cs="Arial" w:hint="cs"/>
          <w:u w:val="single"/>
          <w:rtl/>
        </w:rPr>
        <w:t>הכשרת כלי חרס שאינו בן יומו:</w:t>
      </w:r>
    </w:p>
    <w:p w14:paraId="74B7BE9C" w14:textId="77777777" w:rsidR="002C39F4" w:rsidRDefault="002C39F4" w:rsidP="0032102C">
      <w:pPr>
        <w:pStyle w:val="a8"/>
        <w:numPr>
          <w:ilvl w:val="0"/>
          <w:numId w:val="317"/>
        </w:numPr>
        <w:rPr>
          <w:rFonts w:cs="Arial"/>
        </w:rPr>
      </w:pPr>
      <w:r w:rsidRPr="00953C46">
        <w:rPr>
          <w:rFonts w:cs="Arial" w:hint="cs"/>
          <w:rtl/>
        </w:rPr>
        <w:t>בהעי"ט</w:t>
      </w:r>
      <w:r w:rsidRPr="00953C46">
        <w:rPr>
          <w:rFonts w:cs="Arial" w:hint="cs"/>
          <w:sz w:val="16"/>
          <w:szCs w:val="16"/>
          <w:rtl/>
        </w:rPr>
        <w:t xml:space="preserve"> (ח"ב יד ע"ג)</w:t>
      </w:r>
      <w:r>
        <w:rPr>
          <w:rFonts w:cs="Arial" w:hint="cs"/>
          <w:rtl/>
        </w:rPr>
        <w:t xml:space="preserve"> רשב"א</w:t>
      </w:r>
      <w:r>
        <w:rPr>
          <w:rFonts w:cs="Arial" w:hint="cs"/>
          <w:sz w:val="16"/>
          <w:szCs w:val="16"/>
          <w:rtl/>
        </w:rPr>
        <w:t xml:space="preserve"> (תוה"ק ב"ד ש"ז לז.)</w:t>
      </w:r>
      <w:r w:rsidRPr="00953C46">
        <w:rPr>
          <w:rFonts w:cs="Arial" w:hint="cs"/>
          <w:rtl/>
        </w:rPr>
        <w:t xml:space="preserve"> </w:t>
      </w:r>
      <w:r>
        <w:rPr>
          <w:rFonts w:cs="Arial" w:hint="cs"/>
          <w:rtl/>
        </w:rPr>
        <w:t xml:space="preserve">והג"א </w:t>
      </w:r>
      <w:r w:rsidRPr="00953C46">
        <w:rPr>
          <w:rFonts w:cs="Arial" w:hint="cs"/>
          <w:sz w:val="16"/>
          <w:szCs w:val="16"/>
          <w:rtl/>
        </w:rPr>
        <w:t>(</w:t>
      </w:r>
      <w:r w:rsidRPr="00953C46">
        <w:rPr>
          <w:rFonts w:cs="Arial"/>
          <w:sz w:val="16"/>
          <w:szCs w:val="16"/>
          <w:rtl/>
        </w:rPr>
        <w:t>ע"ז סו"ס לו)</w:t>
      </w:r>
      <w:r w:rsidRPr="00953C46">
        <w:rPr>
          <w:rFonts w:cs="Arial" w:hint="cs"/>
          <w:rtl/>
        </w:rPr>
        <w:t xml:space="preserve">- </w:t>
      </w:r>
      <w:r w:rsidRPr="00953C46">
        <w:rPr>
          <w:rFonts w:cs="Arial"/>
          <w:rtl/>
        </w:rPr>
        <w:t xml:space="preserve">אי לא מסתפינא מרבוותא אמינא דאפילו כלי חרס בקדרה דלאו בת יומא כיון דאיסורה דרבנן מגעילה ג' פעמים ודיו </w:t>
      </w:r>
      <w:r w:rsidRPr="00953C46">
        <w:rPr>
          <w:rFonts w:cs="Arial" w:hint="cs"/>
          <w:sz w:val="16"/>
          <w:szCs w:val="16"/>
          <w:rtl/>
        </w:rPr>
        <w:t>(ל' הטור בשם בהעי"ט)</w:t>
      </w:r>
      <w:r w:rsidRPr="00953C46">
        <w:rPr>
          <w:rFonts w:cs="Arial" w:hint="cs"/>
          <w:rtl/>
        </w:rPr>
        <w:t>.</w:t>
      </w:r>
      <w:r w:rsidRPr="00953C46">
        <w:rPr>
          <w:rFonts w:cs="Arial"/>
          <w:rtl/>
        </w:rPr>
        <w:t xml:space="preserve"> </w:t>
      </w:r>
      <w:r w:rsidRPr="00953C46">
        <w:rPr>
          <w:rFonts w:cs="Arial" w:hint="cs"/>
          <w:rtl/>
        </w:rPr>
        <w:t>ו</w:t>
      </w:r>
      <w:r w:rsidRPr="00953C46">
        <w:rPr>
          <w:rFonts w:cs="Arial"/>
          <w:rtl/>
        </w:rPr>
        <w:t xml:space="preserve">אפשר שלא התירו אלא באיסור של דבריהם שאין לו עיקר מן התורה כתרומה וחלה בחוצה לארץ וכן בישולי </w:t>
      </w:r>
      <w:r>
        <w:rPr>
          <w:rFonts w:cs="Arial" w:hint="cs"/>
          <w:rtl/>
        </w:rPr>
        <w:t>גוים,</w:t>
      </w:r>
      <w:r w:rsidRPr="00953C46">
        <w:rPr>
          <w:rFonts w:cs="Arial"/>
          <w:rtl/>
        </w:rPr>
        <w:t xml:space="preserve"> אבל שאר איסורים של דבריהם החמירו בהם כשל תורה וראוי לחוש שלא להקל בהם</w:t>
      </w:r>
      <w:r w:rsidRPr="00953C46">
        <w:rPr>
          <w:rFonts w:cs="Arial" w:hint="cs"/>
          <w:sz w:val="16"/>
          <w:szCs w:val="16"/>
          <w:rtl/>
        </w:rPr>
        <w:t xml:space="preserve"> (ל' הרשב"א</w:t>
      </w:r>
      <w:r>
        <w:rPr>
          <w:rFonts w:cs="Arial" w:hint="cs"/>
          <w:sz w:val="16"/>
          <w:szCs w:val="16"/>
          <w:rtl/>
        </w:rPr>
        <w:t xml:space="preserve"> בתוה"ק</w:t>
      </w:r>
      <w:r w:rsidRPr="00953C46">
        <w:rPr>
          <w:rFonts w:cs="Arial" w:hint="cs"/>
          <w:sz w:val="16"/>
          <w:szCs w:val="16"/>
          <w:rtl/>
        </w:rPr>
        <w:t>)</w:t>
      </w:r>
      <w:r>
        <w:rPr>
          <w:rStyle w:val="a7"/>
          <w:rFonts w:cs="Arial"/>
          <w:rtl/>
        </w:rPr>
        <w:footnoteReference w:id="2970"/>
      </w:r>
      <w:r w:rsidRPr="00953C46">
        <w:rPr>
          <w:rFonts w:cs="Arial" w:hint="cs"/>
          <w:rtl/>
        </w:rPr>
        <w:t>.</w:t>
      </w:r>
      <w:r>
        <w:rPr>
          <w:rFonts w:cs="Arial" w:hint="cs"/>
          <w:rtl/>
        </w:rPr>
        <w:t xml:space="preserve"> </w:t>
      </w:r>
      <w:r w:rsidRPr="00D51908">
        <w:rPr>
          <w:rFonts w:cs="Arial" w:hint="cs"/>
          <w:color w:val="E36C0A" w:themeColor="accent6" w:themeShade="BF"/>
          <w:rtl/>
        </w:rPr>
        <w:t>(וכ"פ בשו"ע</w:t>
      </w:r>
      <w:r w:rsidRPr="00D51908">
        <w:rPr>
          <w:rFonts w:cs="Arial" w:hint="cs"/>
          <w:color w:val="E36C0A" w:themeColor="accent6" w:themeShade="BF"/>
          <w:sz w:val="16"/>
          <w:szCs w:val="16"/>
          <w:rtl/>
        </w:rPr>
        <w:t xml:space="preserve"> </w:t>
      </w:r>
      <w:r>
        <w:rPr>
          <w:rFonts w:cs="Arial" w:hint="cs"/>
          <w:sz w:val="16"/>
          <w:szCs w:val="16"/>
          <w:rtl/>
        </w:rPr>
        <w:t>[</w:t>
      </w:r>
      <w:r w:rsidRPr="00D51908">
        <w:rPr>
          <w:rFonts w:cs="Arial" w:hint="cs"/>
          <w:sz w:val="16"/>
          <w:szCs w:val="16"/>
          <w:rtl/>
        </w:rPr>
        <w:t>סי' קיג סט"ז]</w:t>
      </w:r>
      <w:r w:rsidRPr="00D51908">
        <w:rPr>
          <w:rFonts w:cs="Arial" w:hint="cs"/>
          <w:color w:val="E36C0A" w:themeColor="accent6" w:themeShade="BF"/>
          <w:rtl/>
        </w:rPr>
        <w:t>)</w:t>
      </w:r>
    </w:p>
    <w:p w14:paraId="481850D8" w14:textId="77777777" w:rsidR="002C39F4" w:rsidRDefault="002C39F4" w:rsidP="002C39F4">
      <w:pPr>
        <w:rPr>
          <w:rFonts w:cs="Arial"/>
          <w:rtl/>
        </w:rPr>
      </w:pPr>
      <w:r>
        <w:rPr>
          <w:rFonts w:cs="Arial" w:hint="cs"/>
          <w:b/>
          <w:bCs/>
          <w:rtl/>
        </w:rPr>
        <w:t xml:space="preserve">עבודה זרה עה ע"ב: </w:t>
      </w:r>
      <w:r w:rsidRPr="009B0A22">
        <w:rPr>
          <w:rFonts w:cs="Arial"/>
          <w:u w:val="double"/>
          <w:rtl/>
        </w:rPr>
        <w:t>מתני'</w:t>
      </w:r>
      <w:r>
        <w:rPr>
          <w:rFonts w:cs="Arial" w:hint="cs"/>
          <w:rtl/>
        </w:rPr>
        <w:t>:</w:t>
      </w:r>
      <w:r w:rsidRPr="009B0A22">
        <w:rPr>
          <w:rFonts w:cs="Arial"/>
          <w:rtl/>
        </w:rPr>
        <w:t xml:space="preserve"> הלוקח כלי תשמיש מן העובדי כוכבים, את שדרכו להטביל - יטביל, להגעיל - יגעיל, ללבן באור - ילבן באור. השפוד והאסכלא - מלבנן באור. הסכין - שפה והיא טהורה. </w:t>
      </w:r>
      <w:r>
        <w:rPr>
          <w:rFonts w:cs="Arial" w:hint="cs"/>
          <w:rtl/>
        </w:rPr>
        <w:t xml:space="preserve">    </w:t>
      </w:r>
      <w:r w:rsidRPr="009B0A22">
        <w:rPr>
          <w:rFonts w:cs="Arial" w:hint="cs"/>
          <w:u w:val="double"/>
          <w:rtl/>
        </w:rPr>
        <w:t>גמ'</w:t>
      </w:r>
      <w:r>
        <w:rPr>
          <w:rFonts w:cs="Arial" w:hint="cs"/>
          <w:rtl/>
        </w:rPr>
        <w:t xml:space="preserve">: </w:t>
      </w:r>
      <w:r w:rsidRPr="009B0A22">
        <w:rPr>
          <w:rFonts w:cs="Arial"/>
          <w:rtl/>
        </w:rPr>
        <w:t xml:space="preserve">ת"ר: </w:t>
      </w:r>
      <w:r w:rsidRPr="002A4919">
        <w:rPr>
          <w:rFonts w:cs="Arial"/>
          <w:rtl/>
        </w:rPr>
        <w:t>הלוקח כלי תשמיש מן העובדי כוכבים</w:t>
      </w:r>
      <w:r>
        <w:rPr>
          <w:rFonts w:cs="Arial" w:hint="cs"/>
          <w:rtl/>
        </w:rPr>
        <w:t xml:space="preserve">... </w:t>
      </w:r>
      <w:r w:rsidRPr="002A4919">
        <w:rPr>
          <w:rFonts w:cs="Arial"/>
          <w:rtl/>
        </w:rPr>
        <w:t>דברים שנשתמש בהן ע"י האור, כגון השפודין והאסכלאות - מלבנן ומטבילן והן טהורין.</w:t>
      </w:r>
      <w:r>
        <w:rPr>
          <w:rFonts w:cs="Arial" w:hint="cs"/>
          <w:rtl/>
        </w:rPr>
        <w:t xml:space="preserve">.. </w:t>
      </w:r>
      <w:r w:rsidRPr="00722966">
        <w:rPr>
          <w:rFonts w:cs="Arial" w:hint="cs"/>
          <w:sz w:val="14"/>
          <w:szCs w:val="14"/>
          <w:rtl/>
        </w:rPr>
        <w:t xml:space="preserve">(עו.) </w:t>
      </w:r>
      <w:r w:rsidRPr="00722966">
        <w:rPr>
          <w:rFonts w:cs="Arial"/>
          <w:rtl/>
        </w:rPr>
        <w:t xml:space="preserve">ועד כמה מלבנן? </w:t>
      </w:r>
      <w:r w:rsidRPr="00722966">
        <w:rPr>
          <w:rFonts w:cs="Arial"/>
          <w:u w:val="single"/>
          <w:rtl/>
        </w:rPr>
        <w:t>א"ר מני</w:t>
      </w:r>
      <w:r w:rsidRPr="00722966">
        <w:rPr>
          <w:rFonts w:cs="Arial"/>
          <w:rtl/>
        </w:rPr>
        <w:t>: עד שתשיר קליפתן.</w:t>
      </w:r>
    </w:p>
    <w:p w14:paraId="67E25724" w14:textId="77777777" w:rsidR="002C39F4" w:rsidRPr="00722966" w:rsidRDefault="002C39F4" w:rsidP="002C39F4">
      <w:pPr>
        <w:rPr>
          <w:rFonts w:cs="Arial"/>
          <w:rtl/>
        </w:rPr>
      </w:pPr>
      <w:r w:rsidRPr="00B93431">
        <w:rPr>
          <w:rFonts w:cs="Arial"/>
          <w:b/>
          <w:bCs/>
          <w:rtl/>
        </w:rPr>
        <w:t xml:space="preserve">ירושלמי </w:t>
      </w:r>
      <w:r w:rsidRPr="00B93431">
        <w:rPr>
          <w:rFonts w:cs="Arial"/>
          <w:b/>
          <w:bCs/>
          <w:sz w:val="16"/>
          <w:szCs w:val="16"/>
          <w:rtl/>
        </w:rPr>
        <w:t xml:space="preserve">(וילנא) </w:t>
      </w:r>
      <w:r w:rsidRPr="00B93431">
        <w:rPr>
          <w:rFonts w:cs="Arial"/>
          <w:b/>
          <w:bCs/>
          <w:rtl/>
        </w:rPr>
        <w:t>עבודה זרה פ</w:t>
      </w:r>
      <w:r w:rsidRPr="00B93431">
        <w:rPr>
          <w:rFonts w:cs="Arial" w:hint="cs"/>
          <w:b/>
          <w:bCs/>
          <w:rtl/>
        </w:rPr>
        <w:t xml:space="preserve">"ה הט"ו: </w:t>
      </w:r>
      <w:r w:rsidRPr="00B93431">
        <w:rPr>
          <w:rFonts w:cs="Arial"/>
          <w:rtl/>
        </w:rPr>
        <w:t>והליבון צריך שיהו ניצוצות מנתזין ממנה</w:t>
      </w:r>
      <w:r>
        <w:rPr>
          <w:rFonts w:cs="Arial" w:hint="cs"/>
          <w:rtl/>
        </w:rPr>
        <w:t>.</w:t>
      </w:r>
    </w:p>
    <w:p w14:paraId="7135F6C3" w14:textId="77777777" w:rsidR="002C39F4" w:rsidRPr="00953C46" w:rsidRDefault="002C39F4" w:rsidP="002C39F4">
      <w:pPr>
        <w:rPr>
          <w:rFonts w:cs="Arial"/>
          <w:u w:val="single"/>
          <w:rtl/>
        </w:rPr>
      </w:pPr>
      <w:r>
        <w:rPr>
          <w:rFonts w:cs="Arial" w:hint="cs"/>
          <w:u w:val="single"/>
          <w:rtl/>
        </w:rPr>
        <w:t>כלים שהשתמשו איתם ע"י האור - עד כמה צריך ללבנן:</w:t>
      </w:r>
    </w:p>
    <w:p w14:paraId="3E488C41" w14:textId="77777777" w:rsidR="002C39F4" w:rsidRDefault="002C39F4" w:rsidP="0032102C">
      <w:pPr>
        <w:pStyle w:val="a8"/>
        <w:numPr>
          <w:ilvl w:val="0"/>
          <w:numId w:val="317"/>
        </w:numPr>
        <w:rPr>
          <w:rFonts w:cs="Arial"/>
        </w:rPr>
      </w:pPr>
      <w:r w:rsidRPr="00B93431">
        <w:rPr>
          <w:rFonts w:cs="Arial"/>
          <w:rtl/>
        </w:rPr>
        <w:t xml:space="preserve">רא"ש </w:t>
      </w:r>
      <w:r w:rsidRPr="00B93431">
        <w:rPr>
          <w:rFonts w:cs="Arial" w:hint="cs"/>
          <w:sz w:val="16"/>
          <w:szCs w:val="16"/>
          <w:rtl/>
        </w:rPr>
        <w:t>(</w:t>
      </w:r>
      <w:r w:rsidRPr="00B93431">
        <w:rPr>
          <w:rFonts w:cs="Arial"/>
          <w:sz w:val="16"/>
          <w:szCs w:val="16"/>
          <w:rtl/>
        </w:rPr>
        <w:t>כלל יד סי' א)</w:t>
      </w:r>
      <w:r>
        <w:rPr>
          <w:rFonts w:cs="Arial" w:hint="cs"/>
          <w:rtl/>
        </w:rPr>
        <w:t xml:space="preserve"> ו</w:t>
      </w:r>
      <w:r w:rsidRPr="00953C46">
        <w:rPr>
          <w:rFonts w:cs="Arial" w:hint="cs"/>
          <w:rtl/>
        </w:rPr>
        <w:t xml:space="preserve">טור- </w:t>
      </w:r>
      <w:r w:rsidRPr="00953C46">
        <w:rPr>
          <w:rFonts w:cs="Arial"/>
          <w:rtl/>
        </w:rPr>
        <w:t xml:space="preserve">כלים שמשתמשין בהם ע"י האור כגון שפודין ואסכלאות צריך ללבנן </w:t>
      </w:r>
      <w:bookmarkStart w:id="19" w:name="_Hlk512323651"/>
      <w:r w:rsidRPr="00953C46">
        <w:rPr>
          <w:rFonts w:cs="Arial"/>
          <w:rtl/>
        </w:rPr>
        <w:t>היטב עד שיהיו ניצוצות ניתזין הימנו</w:t>
      </w:r>
      <w:bookmarkEnd w:id="19"/>
      <w:r>
        <w:rPr>
          <w:rFonts w:cs="Arial" w:hint="cs"/>
          <w:sz w:val="16"/>
          <w:szCs w:val="16"/>
          <w:rtl/>
        </w:rPr>
        <w:t xml:space="preserve"> (ל' הטור)</w:t>
      </w:r>
      <w:r>
        <w:rPr>
          <w:rFonts w:cs="Arial" w:hint="cs"/>
          <w:rtl/>
        </w:rPr>
        <w:t>.</w:t>
      </w:r>
      <w:r w:rsidRPr="00953C46">
        <w:rPr>
          <w:rFonts w:cs="Arial"/>
          <w:rtl/>
        </w:rPr>
        <w:t xml:space="preserve"> </w:t>
      </w:r>
    </w:p>
    <w:p w14:paraId="0039655F" w14:textId="77777777" w:rsidR="002C39F4" w:rsidRPr="00B93431" w:rsidRDefault="002C39F4" w:rsidP="0032102C">
      <w:pPr>
        <w:pStyle w:val="a8"/>
        <w:numPr>
          <w:ilvl w:val="0"/>
          <w:numId w:val="317"/>
        </w:numPr>
        <w:rPr>
          <w:rFonts w:cs="Arial"/>
          <w:rtl/>
        </w:rPr>
      </w:pPr>
      <w:r w:rsidRPr="00B93431">
        <w:rPr>
          <w:rFonts w:cs="Arial"/>
          <w:rtl/>
        </w:rPr>
        <w:t xml:space="preserve">ה"ר אביגדור </w:t>
      </w:r>
      <w:r w:rsidRPr="00B93431">
        <w:rPr>
          <w:rFonts w:cs="Arial" w:hint="cs"/>
          <w:sz w:val="16"/>
          <w:szCs w:val="16"/>
          <w:rtl/>
        </w:rPr>
        <w:t>(כ"כ בשמו ה</w:t>
      </w:r>
      <w:r w:rsidRPr="00B93431">
        <w:rPr>
          <w:rFonts w:cs="Arial"/>
          <w:sz w:val="16"/>
          <w:szCs w:val="16"/>
          <w:rtl/>
        </w:rPr>
        <w:t>הגה</w:t>
      </w:r>
      <w:r w:rsidRPr="00B93431">
        <w:rPr>
          <w:rFonts w:cs="Arial" w:hint="cs"/>
          <w:sz w:val="16"/>
          <w:szCs w:val="16"/>
          <w:rtl/>
        </w:rPr>
        <w:t>"מ</w:t>
      </w:r>
      <w:r w:rsidRPr="00B93431">
        <w:rPr>
          <w:rFonts w:cs="Arial" w:hint="cs"/>
          <w:sz w:val="14"/>
          <w:szCs w:val="14"/>
          <w:rtl/>
        </w:rPr>
        <w:t xml:space="preserve"> [</w:t>
      </w:r>
      <w:r w:rsidRPr="00B93431">
        <w:rPr>
          <w:rFonts w:cs="Arial"/>
          <w:sz w:val="14"/>
          <w:szCs w:val="14"/>
          <w:rtl/>
        </w:rPr>
        <w:t>פי"ז מ</w:t>
      </w:r>
      <w:r>
        <w:rPr>
          <w:rFonts w:cs="Arial"/>
          <w:sz w:val="14"/>
          <w:szCs w:val="14"/>
          <w:rtl/>
        </w:rPr>
        <w:t>הלמ"א</w:t>
      </w:r>
      <w:r w:rsidRPr="00B93431">
        <w:rPr>
          <w:rFonts w:cs="Arial"/>
          <w:sz w:val="14"/>
          <w:szCs w:val="14"/>
          <w:rtl/>
        </w:rPr>
        <w:t xml:space="preserve"> אות ה</w:t>
      </w:r>
      <w:r>
        <w:rPr>
          <w:rFonts w:cs="Arial" w:hint="cs"/>
          <w:sz w:val="14"/>
          <w:szCs w:val="14"/>
          <w:rtl/>
        </w:rPr>
        <w:t>]</w:t>
      </w:r>
      <w:r w:rsidRPr="00B93431">
        <w:rPr>
          <w:rFonts w:cs="Arial"/>
          <w:sz w:val="16"/>
          <w:szCs w:val="16"/>
          <w:rtl/>
        </w:rPr>
        <w:t>)</w:t>
      </w:r>
      <w:r w:rsidRPr="00B93431">
        <w:rPr>
          <w:rFonts w:cs="Arial" w:hint="cs"/>
          <w:rtl/>
        </w:rPr>
        <w:t xml:space="preserve">- </w:t>
      </w:r>
      <w:r w:rsidRPr="00B93431">
        <w:rPr>
          <w:rFonts w:cs="Arial"/>
          <w:rtl/>
        </w:rPr>
        <w:t>עד שאם ישים עליו קש שיהיו ניצוצות ניתזין ממנו סגי בהכי</w:t>
      </w:r>
      <w:r>
        <w:rPr>
          <w:rStyle w:val="a7"/>
          <w:rFonts w:cs="Arial"/>
          <w:rtl/>
        </w:rPr>
        <w:footnoteReference w:id="2971"/>
      </w:r>
      <w:r w:rsidRPr="00B93431">
        <w:rPr>
          <w:rFonts w:cs="Arial"/>
          <w:rtl/>
        </w:rPr>
        <w:t xml:space="preserve">. </w:t>
      </w:r>
    </w:p>
    <w:p w14:paraId="34F29320" w14:textId="77777777" w:rsidR="002C39F4" w:rsidRDefault="002C39F4" w:rsidP="0032102C">
      <w:pPr>
        <w:pStyle w:val="a8"/>
        <w:numPr>
          <w:ilvl w:val="0"/>
          <w:numId w:val="317"/>
        </w:numPr>
        <w:rPr>
          <w:rFonts w:cs="Arial"/>
        </w:rPr>
      </w:pPr>
      <w:r>
        <w:rPr>
          <w:rFonts w:cs="Arial" w:hint="cs"/>
          <w:rtl/>
        </w:rPr>
        <w:t>ר"י</w:t>
      </w:r>
      <w:r w:rsidRPr="00B93431">
        <w:rPr>
          <w:rFonts w:cs="Arial"/>
          <w:rtl/>
        </w:rPr>
        <w:t xml:space="preserve"> </w:t>
      </w:r>
      <w:r>
        <w:rPr>
          <w:rFonts w:cs="Arial"/>
          <w:rtl/>
        </w:rPr>
        <w:t>סמ"ג וסמ"ק</w:t>
      </w:r>
      <w:r>
        <w:rPr>
          <w:rStyle w:val="a7"/>
          <w:rFonts w:cs="Arial"/>
          <w:rtl/>
        </w:rPr>
        <w:footnoteReference w:id="2972"/>
      </w:r>
      <w:r>
        <w:rPr>
          <w:rFonts w:cs="Arial" w:hint="cs"/>
          <w:rtl/>
        </w:rPr>
        <w:t xml:space="preserve">- </w:t>
      </w:r>
      <w:r w:rsidRPr="00B93431">
        <w:rPr>
          <w:rFonts w:cs="Arial"/>
          <w:rtl/>
        </w:rPr>
        <w:t>כלים הבלועים מאיסור אז</w:t>
      </w:r>
      <w:r>
        <w:rPr>
          <w:rFonts w:cs="Arial" w:hint="cs"/>
          <w:rtl/>
        </w:rPr>
        <w:t xml:space="preserve"> </w:t>
      </w:r>
      <w:r w:rsidRPr="00B93431">
        <w:rPr>
          <w:rFonts w:cs="Arial"/>
          <w:rtl/>
        </w:rPr>
        <w:t>צריך ליבון דנשירת קליפה</w:t>
      </w:r>
      <w:r>
        <w:rPr>
          <w:rFonts w:cs="Arial" w:hint="cs"/>
          <w:rtl/>
        </w:rPr>
        <w:t>,</w:t>
      </w:r>
      <w:r w:rsidRPr="00B93431">
        <w:rPr>
          <w:rFonts w:cs="Arial"/>
          <w:rtl/>
        </w:rPr>
        <w:t xml:space="preserve"> אבל הבלועין היתר כגון של חלב שצריך ללבנה כדי לאפות תחתיה פשטידא של בשר או איפכא אין צריך ליבון גדול דנשירת קליפה רק עד שתהא יד סולדת בו משני עבריהם</w:t>
      </w:r>
      <w:r>
        <w:rPr>
          <w:rFonts w:cs="Arial" w:hint="cs"/>
          <w:rtl/>
        </w:rPr>
        <w:t>,</w:t>
      </w:r>
      <w:r w:rsidRPr="00B93431">
        <w:rPr>
          <w:rFonts w:cs="Arial"/>
          <w:rtl/>
        </w:rPr>
        <w:t xml:space="preserve"> וגם רגילין לבדוק ע</w:t>
      </w:r>
      <w:r>
        <w:rPr>
          <w:rFonts w:cs="Arial" w:hint="cs"/>
          <w:rtl/>
        </w:rPr>
        <w:t>"</w:t>
      </w:r>
      <w:r w:rsidRPr="00B93431">
        <w:rPr>
          <w:rFonts w:cs="Arial"/>
          <w:rtl/>
        </w:rPr>
        <w:t>י נתינת קש עליה מבחוץ לראות אם נשרף הקש בהכי סגי דא</w:t>
      </w:r>
      <w:r>
        <w:rPr>
          <w:rFonts w:cs="Arial" w:hint="cs"/>
          <w:rtl/>
        </w:rPr>
        <w:t>"</w:t>
      </w:r>
      <w:r w:rsidRPr="00B93431">
        <w:rPr>
          <w:rFonts w:cs="Arial"/>
          <w:rtl/>
        </w:rPr>
        <w:t>כ שליט הליבון מעבר אל עבר</w:t>
      </w:r>
      <w:r>
        <w:rPr>
          <w:rFonts w:cs="Arial" w:hint="cs"/>
          <w:rtl/>
        </w:rPr>
        <w:t>,</w:t>
      </w:r>
      <w:r w:rsidRPr="00B93431">
        <w:rPr>
          <w:rFonts w:cs="Arial"/>
          <w:rtl/>
        </w:rPr>
        <w:t xml:space="preserve"> אע</w:t>
      </w:r>
      <w:r w:rsidRPr="00B93431">
        <w:rPr>
          <w:rFonts w:cs="Arial" w:hint="cs"/>
          <w:rtl/>
        </w:rPr>
        <w:t>"</w:t>
      </w:r>
      <w:r w:rsidRPr="00B93431">
        <w:rPr>
          <w:rFonts w:cs="Arial"/>
          <w:rtl/>
        </w:rPr>
        <w:t xml:space="preserve">ג שלא תסור קליפתו </w:t>
      </w:r>
      <w:r w:rsidRPr="00B93431">
        <w:rPr>
          <w:rFonts w:cs="Arial" w:hint="cs"/>
          <w:rtl/>
        </w:rPr>
        <w:t>מ"מ</w:t>
      </w:r>
      <w:r w:rsidRPr="00B93431">
        <w:rPr>
          <w:rFonts w:cs="Arial"/>
          <w:rtl/>
        </w:rPr>
        <w:t xml:space="preserve"> די בכך דכיון דהיתרא בלע א</w:t>
      </w:r>
      <w:r w:rsidRPr="00B93431">
        <w:rPr>
          <w:rFonts w:cs="Arial" w:hint="cs"/>
          <w:rtl/>
        </w:rPr>
        <w:t>"</w:t>
      </w:r>
      <w:r w:rsidRPr="00B93431">
        <w:rPr>
          <w:rFonts w:cs="Arial"/>
          <w:rtl/>
        </w:rPr>
        <w:t>כ די להם בהגעלה ואע</w:t>
      </w:r>
      <w:r w:rsidRPr="00B93431">
        <w:rPr>
          <w:rFonts w:cs="Arial" w:hint="cs"/>
          <w:rtl/>
        </w:rPr>
        <w:t>"</w:t>
      </w:r>
      <w:r w:rsidRPr="00B93431">
        <w:rPr>
          <w:rFonts w:cs="Arial"/>
          <w:rtl/>
        </w:rPr>
        <w:t>ג דתשמישן ע</w:t>
      </w:r>
      <w:r w:rsidRPr="00B93431">
        <w:rPr>
          <w:rFonts w:cs="Arial" w:hint="cs"/>
          <w:rtl/>
        </w:rPr>
        <w:t>"</w:t>
      </w:r>
      <w:r w:rsidRPr="00B93431">
        <w:rPr>
          <w:rFonts w:cs="Arial"/>
          <w:rtl/>
        </w:rPr>
        <w:t>י האור כדמשמע בשמעתין</w:t>
      </w:r>
      <w:r>
        <w:rPr>
          <w:rFonts w:cs="Arial" w:hint="cs"/>
          <w:rtl/>
        </w:rPr>
        <w:t>,</w:t>
      </w:r>
      <w:r w:rsidRPr="00B93431">
        <w:rPr>
          <w:rFonts w:cs="Arial"/>
          <w:rtl/>
        </w:rPr>
        <w:t xml:space="preserve"> והא לא גרע ליבון זה מהגעלה ואותו ליבון מפליט יותר מהגעלה</w:t>
      </w:r>
      <w:r>
        <w:rPr>
          <w:rStyle w:val="a7"/>
          <w:rFonts w:cs="Arial"/>
          <w:rtl/>
        </w:rPr>
        <w:footnoteReference w:id="2973"/>
      </w:r>
      <w:r w:rsidRPr="00B93431">
        <w:rPr>
          <w:rFonts w:cs="Arial" w:hint="cs"/>
          <w:rtl/>
        </w:rPr>
        <w:t>.</w:t>
      </w:r>
    </w:p>
    <w:p w14:paraId="59031382" w14:textId="77777777" w:rsidR="002C39F4" w:rsidRPr="00953C46" w:rsidRDefault="002C39F4" w:rsidP="002C39F4">
      <w:pPr>
        <w:ind w:left="360"/>
        <w:rPr>
          <w:rFonts w:cs="Arial"/>
          <w:u w:val="dotted"/>
        </w:rPr>
      </w:pPr>
      <w:r w:rsidRPr="00953C46">
        <w:rPr>
          <w:rFonts w:cs="Arial" w:hint="cs"/>
          <w:u w:val="dotted"/>
          <w:rtl/>
        </w:rPr>
        <w:t>האם צריך לשפשף את הכלים לפני הליבון</w:t>
      </w:r>
      <w:r w:rsidRPr="00953C46">
        <w:rPr>
          <w:rFonts w:cs="Arial" w:hint="cs"/>
          <w:sz w:val="16"/>
          <w:szCs w:val="16"/>
          <w:u w:val="dotted"/>
          <w:rtl/>
        </w:rPr>
        <w:t xml:space="preserve"> (כשם שמשפשפין לפני הגעלה)</w:t>
      </w:r>
      <w:r w:rsidRPr="00953C46">
        <w:rPr>
          <w:rFonts w:cs="Arial" w:hint="cs"/>
          <w:u w:val="dotted"/>
          <w:rtl/>
        </w:rPr>
        <w:t>:</w:t>
      </w:r>
    </w:p>
    <w:p w14:paraId="66104521" w14:textId="77777777" w:rsidR="002C39F4" w:rsidRDefault="002C39F4" w:rsidP="0032102C">
      <w:pPr>
        <w:pStyle w:val="a8"/>
        <w:numPr>
          <w:ilvl w:val="0"/>
          <w:numId w:val="317"/>
        </w:numPr>
        <w:rPr>
          <w:rFonts w:cs="Arial"/>
        </w:rPr>
      </w:pPr>
      <w:r w:rsidRPr="00953C46">
        <w:rPr>
          <w:rFonts w:cs="Arial"/>
          <w:rtl/>
        </w:rPr>
        <w:t xml:space="preserve">רשב"א </w:t>
      </w:r>
      <w:r w:rsidRPr="00953C46">
        <w:rPr>
          <w:rFonts w:cs="Arial"/>
          <w:sz w:val="16"/>
          <w:szCs w:val="16"/>
          <w:rtl/>
        </w:rPr>
        <w:t>(</w:t>
      </w:r>
      <w:r w:rsidRPr="00953C46">
        <w:rPr>
          <w:rFonts w:cs="Arial" w:hint="cs"/>
          <w:sz w:val="16"/>
          <w:szCs w:val="16"/>
          <w:rtl/>
        </w:rPr>
        <w:t xml:space="preserve">תוה"ק </w:t>
      </w:r>
      <w:r w:rsidRPr="00953C46">
        <w:rPr>
          <w:rFonts w:cs="Arial"/>
          <w:sz w:val="16"/>
          <w:szCs w:val="16"/>
          <w:rtl/>
        </w:rPr>
        <w:t>ב"ד ש"ד לד:)</w:t>
      </w:r>
      <w:r>
        <w:rPr>
          <w:rFonts w:cs="Arial" w:hint="cs"/>
          <w:rtl/>
        </w:rPr>
        <w:t xml:space="preserve">- </w:t>
      </w:r>
      <w:r w:rsidRPr="00953C46">
        <w:rPr>
          <w:rFonts w:cs="Arial"/>
          <w:rtl/>
        </w:rPr>
        <w:t>צריך לשופם תחלה</w:t>
      </w:r>
      <w:r>
        <w:rPr>
          <w:rFonts w:cs="Arial" w:hint="cs"/>
          <w:rtl/>
        </w:rPr>
        <w:t>.</w:t>
      </w:r>
      <w:r w:rsidRPr="00953C46">
        <w:rPr>
          <w:rFonts w:cs="Arial"/>
          <w:rtl/>
        </w:rPr>
        <w:t xml:space="preserve"> </w:t>
      </w:r>
    </w:p>
    <w:p w14:paraId="1938FA34" w14:textId="77777777" w:rsidR="002C39F4" w:rsidRDefault="002C39F4" w:rsidP="0032102C">
      <w:pPr>
        <w:pStyle w:val="a8"/>
        <w:numPr>
          <w:ilvl w:val="0"/>
          <w:numId w:val="317"/>
        </w:numPr>
        <w:rPr>
          <w:rFonts w:cs="Arial"/>
        </w:rPr>
      </w:pPr>
      <w:r>
        <w:rPr>
          <w:rFonts w:cs="Arial" w:hint="cs"/>
          <w:rtl/>
        </w:rPr>
        <w:t xml:space="preserve">טור- </w:t>
      </w:r>
      <w:r w:rsidRPr="00953C46">
        <w:rPr>
          <w:rFonts w:cs="Arial"/>
          <w:rtl/>
        </w:rPr>
        <w:t>נראה שא"צ</w:t>
      </w:r>
      <w:r>
        <w:rPr>
          <w:rFonts w:cs="Arial" w:hint="cs"/>
          <w:rtl/>
        </w:rPr>
        <w:t>,</w:t>
      </w:r>
      <w:r w:rsidRPr="00953C46">
        <w:rPr>
          <w:rFonts w:cs="Arial"/>
          <w:rtl/>
        </w:rPr>
        <w:t xml:space="preserve"> כי האש יעביר הכל ולא דמי להגעלה שצריך לשופן תחלה שאין כח המים ככח האש</w:t>
      </w:r>
      <w:r>
        <w:rPr>
          <w:rStyle w:val="a7"/>
          <w:rFonts w:cs="Arial"/>
          <w:rtl/>
        </w:rPr>
        <w:footnoteReference w:id="2974"/>
      </w:r>
      <w:r w:rsidRPr="00953C46">
        <w:rPr>
          <w:rFonts w:cs="Arial" w:hint="cs"/>
          <w:rtl/>
        </w:rPr>
        <w:t>.</w:t>
      </w:r>
    </w:p>
    <w:p w14:paraId="39E34FFE" w14:textId="77777777" w:rsidR="002C39F4" w:rsidRDefault="002C39F4" w:rsidP="002C39F4">
      <w:pPr>
        <w:rPr>
          <w:rFonts w:cs="Arial"/>
          <w:rtl/>
        </w:rPr>
      </w:pPr>
      <w:r>
        <w:rPr>
          <w:rFonts w:cs="Arial" w:hint="cs"/>
          <w:u w:val="single"/>
          <w:rtl/>
        </w:rPr>
        <w:t>מרדה</w:t>
      </w:r>
      <w:r w:rsidRPr="00AA5E35">
        <w:rPr>
          <w:rFonts w:cs="Arial" w:hint="cs"/>
          <w:u w:val="single"/>
          <w:rtl/>
        </w:rPr>
        <w:t>:</w:t>
      </w:r>
      <w:r>
        <w:rPr>
          <w:rFonts w:cs="Arial" w:hint="cs"/>
          <w:rtl/>
        </w:rPr>
        <w:t xml:space="preserve">   </w:t>
      </w:r>
      <w:r w:rsidRPr="00AA5E35">
        <w:rPr>
          <w:rFonts w:cs="Arial"/>
          <w:sz w:val="16"/>
          <w:szCs w:val="16"/>
          <w:rtl/>
        </w:rPr>
        <w:t>(</w:t>
      </w:r>
      <w:r w:rsidRPr="00AA5E35">
        <w:rPr>
          <w:rFonts w:cs="Arial" w:hint="cs"/>
          <w:sz w:val="16"/>
          <w:szCs w:val="16"/>
          <w:rtl/>
        </w:rPr>
        <w:t xml:space="preserve">דרכ"מ אות </w:t>
      </w:r>
      <w:r w:rsidRPr="00AA5E35">
        <w:rPr>
          <w:rFonts w:cs="Arial"/>
          <w:sz w:val="16"/>
          <w:szCs w:val="16"/>
          <w:rtl/>
        </w:rPr>
        <w:t>יג)</w:t>
      </w:r>
      <w:r w:rsidRPr="00AA5E35">
        <w:rPr>
          <w:rFonts w:cs="Arial"/>
          <w:rtl/>
        </w:rPr>
        <w:t xml:space="preserve"> </w:t>
      </w:r>
    </w:p>
    <w:p w14:paraId="60809877" w14:textId="77777777" w:rsidR="002C39F4" w:rsidRPr="00192461" w:rsidRDefault="002C39F4" w:rsidP="0032102C">
      <w:pPr>
        <w:pStyle w:val="a8"/>
        <w:numPr>
          <w:ilvl w:val="0"/>
          <w:numId w:val="319"/>
        </w:numPr>
        <w:rPr>
          <w:rFonts w:cs="Arial"/>
          <w:u w:val="single"/>
        </w:rPr>
      </w:pPr>
      <w:r w:rsidRPr="00192461">
        <w:rPr>
          <w:rFonts w:cs="Arial" w:hint="cs"/>
          <w:rtl/>
        </w:rPr>
        <w:t>דרכ"מ</w:t>
      </w:r>
      <w:r w:rsidRPr="00192461">
        <w:rPr>
          <w:rFonts w:cs="Arial" w:hint="cs"/>
          <w:sz w:val="16"/>
          <w:szCs w:val="16"/>
          <w:rtl/>
        </w:rPr>
        <w:t xml:space="preserve"> (אות יג, וכן הוא ב</w:t>
      </w:r>
      <w:r w:rsidRPr="00192461">
        <w:rPr>
          <w:rFonts w:cs="Arial"/>
          <w:sz w:val="16"/>
          <w:szCs w:val="16"/>
          <w:rtl/>
        </w:rPr>
        <w:t>א</w:t>
      </w:r>
      <w:r w:rsidRPr="00192461">
        <w:rPr>
          <w:rFonts w:cs="Arial" w:hint="cs"/>
          <w:sz w:val="16"/>
          <w:szCs w:val="16"/>
          <w:rtl/>
        </w:rPr>
        <w:t>ו"</w:t>
      </w:r>
      <w:r w:rsidRPr="00192461">
        <w:rPr>
          <w:rFonts w:cs="Arial"/>
          <w:sz w:val="16"/>
          <w:szCs w:val="16"/>
          <w:rtl/>
        </w:rPr>
        <w:t>ח סי</w:t>
      </w:r>
      <w:r w:rsidRPr="00192461">
        <w:rPr>
          <w:rFonts w:cs="Arial" w:hint="cs"/>
          <w:sz w:val="16"/>
          <w:szCs w:val="16"/>
          <w:rtl/>
        </w:rPr>
        <w:t>'</w:t>
      </w:r>
      <w:r w:rsidRPr="00192461">
        <w:rPr>
          <w:rFonts w:cs="Arial"/>
          <w:sz w:val="16"/>
          <w:szCs w:val="16"/>
          <w:rtl/>
        </w:rPr>
        <w:t xml:space="preserve"> תנא</w:t>
      </w:r>
      <w:r w:rsidRPr="00192461">
        <w:rPr>
          <w:rFonts w:cs="Arial" w:hint="cs"/>
          <w:sz w:val="16"/>
          <w:szCs w:val="16"/>
          <w:rtl/>
        </w:rPr>
        <w:t>,</w:t>
      </w:r>
      <w:r w:rsidRPr="00192461">
        <w:rPr>
          <w:rFonts w:cs="Arial"/>
          <w:sz w:val="16"/>
          <w:szCs w:val="16"/>
          <w:rtl/>
        </w:rPr>
        <w:t xml:space="preserve"> ב"י עמ' סז ד"ה כתב הכל בו הרחת, ד</w:t>
      </w:r>
      <w:r w:rsidRPr="00192461">
        <w:rPr>
          <w:rFonts w:cs="Arial" w:hint="cs"/>
          <w:sz w:val="16"/>
          <w:szCs w:val="16"/>
          <w:rtl/>
        </w:rPr>
        <w:t>רכ</w:t>
      </w:r>
      <w:r w:rsidRPr="00192461">
        <w:rPr>
          <w:rFonts w:cs="Arial"/>
          <w:sz w:val="16"/>
          <w:szCs w:val="16"/>
          <w:rtl/>
        </w:rPr>
        <w:t>"מ ארוך אות ז)</w:t>
      </w:r>
      <w:r w:rsidRPr="00192461">
        <w:rPr>
          <w:rFonts w:cs="Arial" w:hint="cs"/>
          <w:rtl/>
        </w:rPr>
        <w:t>-</w:t>
      </w:r>
      <w:r w:rsidRPr="00192461">
        <w:rPr>
          <w:rFonts w:cs="Arial"/>
          <w:rtl/>
        </w:rPr>
        <w:t xml:space="preserve"> המרדה שקורין שויב"ל דינו ככלי שתשמישו ע"י האור ואין לה תקנה</w:t>
      </w:r>
      <w:r>
        <w:rPr>
          <w:rFonts w:cs="Arial" w:hint="cs"/>
          <w:rtl/>
        </w:rPr>
        <w:t>.</w:t>
      </w:r>
      <w:r w:rsidRPr="00192461">
        <w:rPr>
          <w:rFonts w:cs="Arial"/>
          <w:rtl/>
        </w:rPr>
        <w:t xml:space="preserve"> </w:t>
      </w:r>
    </w:p>
    <w:p w14:paraId="4065FB3A" w14:textId="77777777" w:rsidR="002C39F4" w:rsidRPr="00894632" w:rsidRDefault="002C39F4" w:rsidP="002C39F4">
      <w:pPr>
        <w:rPr>
          <w:rFonts w:cs="Arial"/>
          <w:u w:val="single"/>
        </w:rPr>
      </w:pPr>
      <w:r w:rsidRPr="00894632">
        <w:rPr>
          <w:rFonts w:cs="Arial" w:hint="cs"/>
          <w:u w:val="single"/>
          <w:rtl/>
        </w:rPr>
        <w:t>האם מועיל קליפה ואז הגעלה במקום שצריך ליבון:</w:t>
      </w:r>
    </w:p>
    <w:p w14:paraId="2363AC6D" w14:textId="77777777" w:rsidR="002C39F4" w:rsidRPr="00192461" w:rsidRDefault="002C39F4" w:rsidP="0032102C">
      <w:pPr>
        <w:pStyle w:val="a8"/>
        <w:numPr>
          <w:ilvl w:val="0"/>
          <w:numId w:val="319"/>
        </w:numPr>
        <w:rPr>
          <w:rFonts w:cs="Arial"/>
          <w:u w:val="single"/>
          <w:rtl/>
        </w:rPr>
      </w:pPr>
      <w:r w:rsidRPr="00192461">
        <w:rPr>
          <w:rFonts w:cs="Arial"/>
          <w:rtl/>
        </w:rPr>
        <w:t xml:space="preserve">מרדכי </w:t>
      </w:r>
      <w:r w:rsidRPr="00192461">
        <w:rPr>
          <w:rFonts w:cs="Arial"/>
          <w:sz w:val="16"/>
          <w:szCs w:val="16"/>
          <w:rtl/>
        </w:rPr>
        <w:t>(ע"ז סי' תתס</w:t>
      </w:r>
      <w:r w:rsidRPr="00192461">
        <w:rPr>
          <w:rFonts w:cs="Arial" w:hint="cs"/>
          <w:sz w:val="16"/>
          <w:szCs w:val="16"/>
          <w:rtl/>
        </w:rPr>
        <w:t xml:space="preserve">, </w:t>
      </w:r>
      <w:r>
        <w:rPr>
          <w:rFonts w:cs="Arial" w:hint="cs"/>
          <w:sz w:val="16"/>
          <w:szCs w:val="16"/>
          <w:rtl/>
        </w:rPr>
        <w:t>כ"כ בשמו ההגשע"ד ו</w:t>
      </w:r>
      <w:r w:rsidRPr="00192461">
        <w:rPr>
          <w:rFonts w:cs="Arial" w:hint="cs"/>
          <w:sz w:val="16"/>
          <w:szCs w:val="16"/>
          <w:rtl/>
        </w:rPr>
        <w:t>הדרכ"מ</w:t>
      </w:r>
      <w:r w:rsidRPr="00192461">
        <w:rPr>
          <w:rFonts w:cs="Arial"/>
          <w:sz w:val="16"/>
          <w:szCs w:val="16"/>
          <w:rtl/>
        </w:rPr>
        <w:t xml:space="preserve">) </w:t>
      </w:r>
      <w:r>
        <w:rPr>
          <w:rFonts w:cs="Arial" w:hint="cs"/>
          <w:rtl/>
        </w:rPr>
        <w:t xml:space="preserve">הגשע"ד </w:t>
      </w:r>
      <w:r>
        <w:rPr>
          <w:rFonts w:cs="Arial" w:hint="cs"/>
          <w:sz w:val="16"/>
          <w:szCs w:val="16"/>
          <w:rtl/>
        </w:rPr>
        <w:t>(שער ז)</w:t>
      </w:r>
      <w:r>
        <w:rPr>
          <w:rFonts w:cs="Arial" w:hint="cs"/>
          <w:rtl/>
        </w:rPr>
        <w:t xml:space="preserve"> ותרוה"ד </w:t>
      </w:r>
      <w:r w:rsidRPr="00192461">
        <w:rPr>
          <w:rFonts w:cs="Arial" w:hint="cs"/>
          <w:sz w:val="16"/>
          <w:szCs w:val="16"/>
          <w:rtl/>
        </w:rPr>
        <w:t>(</w:t>
      </w:r>
      <w:r w:rsidRPr="00192461">
        <w:rPr>
          <w:rFonts w:cs="Arial"/>
          <w:sz w:val="16"/>
          <w:szCs w:val="16"/>
          <w:rtl/>
        </w:rPr>
        <w:t>סי</w:t>
      </w:r>
      <w:r w:rsidRPr="00192461">
        <w:rPr>
          <w:rFonts w:cs="Arial" w:hint="cs"/>
          <w:sz w:val="16"/>
          <w:szCs w:val="16"/>
          <w:rtl/>
        </w:rPr>
        <w:t xml:space="preserve">' </w:t>
      </w:r>
      <w:r w:rsidRPr="00192461">
        <w:rPr>
          <w:rFonts w:cs="Arial"/>
          <w:sz w:val="16"/>
          <w:szCs w:val="16"/>
          <w:rtl/>
        </w:rPr>
        <w:t>קל</w:t>
      </w:r>
      <w:r w:rsidRPr="00192461">
        <w:rPr>
          <w:rFonts w:cs="Arial" w:hint="cs"/>
          <w:sz w:val="16"/>
          <w:szCs w:val="16"/>
          <w:rtl/>
        </w:rPr>
        <w:t>)</w:t>
      </w:r>
      <w:r>
        <w:rPr>
          <w:rFonts w:cs="Arial" w:hint="cs"/>
          <w:rtl/>
        </w:rPr>
        <w:t xml:space="preserve">- </w:t>
      </w:r>
      <w:r w:rsidRPr="00192461">
        <w:rPr>
          <w:rFonts w:cs="Arial"/>
          <w:rtl/>
        </w:rPr>
        <w:t xml:space="preserve">אפילו אם קולפו בכלי אומנות ואח"כ מגעילו לא מהני </w:t>
      </w:r>
      <w:r>
        <w:rPr>
          <w:rFonts w:cs="Arial" w:hint="cs"/>
          <w:sz w:val="16"/>
          <w:szCs w:val="16"/>
          <w:rtl/>
        </w:rPr>
        <w:t>(תרוה"ד)</w:t>
      </w:r>
      <w:r>
        <w:rPr>
          <w:rFonts w:cs="Arial" w:hint="cs"/>
          <w:rtl/>
        </w:rPr>
        <w:t>,</w:t>
      </w:r>
      <w:r w:rsidRPr="00192461">
        <w:rPr>
          <w:rFonts w:cs="Arial"/>
          <w:rtl/>
        </w:rPr>
        <w:t xml:space="preserve"> דקליפה בכלי אומנות אינו אלא כמו קליפה בעלמא בשאר איסורין ולכן במקום דבעינן הגעלה לא מהני תיקון זה</w:t>
      </w:r>
      <w:r>
        <w:rPr>
          <w:rFonts w:cs="Arial" w:hint="cs"/>
          <w:rtl/>
        </w:rPr>
        <w:t xml:space="preserve"> </w:t>
      </w:r>
      <w:r>
        <w:rPr>
          <w:rFonts w:cs="Arial" w:hint="cs"/>
          <w:sz w:val="16"/>
          <w:szCs w:val="16"/>
          <w:rtl/>
        </w:rPr>
        <w:t>(הגשע"ד)</w:t>
      </w:r>
      <w:r>
        <w:rPr>
          <w:rFonts w:cs="Arial" w:hint="cs"/>
          <w:rtl/>
        </w:rPr>
        <w:t>.</w:t>
      </w:r>
      <w:r w:rsidRPr="00894632">
        <w:rPr>
          <w:rFonts w:cs="Arial" w:hint="cs"/>
          <w:color w:val="00B0F0"/>
          <w:rtl/>
        </w:rPr>
        <w:t xml:space="preserve"> (וכ"פ הרמ"א)</w:t>
      </w:r>
    </w:p>
    <w:p w14:paraId="41DA889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7B7157E" w14:textId="77777777" w:rsidR="002C39F4" w:rsidRDefault="002C39F4" w:rsidP="002C39F4">
      <w:pPr>
        <w:rPr>
          <w:rFonts w:asciiTheme="minorBidi" w:hAnsiTheme="minorBidi"/>
          <w:rtl/>
        </w:rPr>
      </w:pPr>
      <w:r w:rsidRPr="003024E5">
        <w:rPr>
          <w:rFonts w:asciiTheme="minorBidi" w:hAnsiTheme="minorBidi"/>
          <w:rtl/>
        </w:rPr>
        <w:t>לקח מהן כלים שנשתמש בהם בחמין, בין שהם של מתכת או של עץ או אבן, מגעילן</w:t>
      </w:r>
      <w:r>
        <w:rPr>
          <w:rFonts w:asciiTheme="minorBidi" w:hAnsiTheme="minorBidi" w:hint="cs"/>
          <w:rtl/>
        </w:rPr>
        <w:t>,</w:t>
      </w:r>
      <w:r w:rsidRPr="003024E5">
        <w:rPr>
          <w:rFonts w:asciiTheme="minorBidi" w:hAnsiTheme="minorBidi"/>
          <w:rtl/>
        </w:rPr>
        <w:t xml:space="preserve"> ואחר כך מטבילן אם הם של מתכת, והם מותרים. ואם הטבילן ואחר כך הגעילן, מותרים. ויש אומרים שצריך לחזור</w:t>
      </w:r>
      <w:r>
        <w:rPr>
          <w:rStyle w:val="a7"/>
          <w:rFonts w:asciiTheme="minorBidi" w:hAnsiTheme="minorBidi"/>
          <w:rtl/>
        </w:rPr>
        <w:footnoteReference w:id="2975"/>
      </w:r>
      <w:r w:rsidRPr="003024E5">
        <w:rPr>
          <w:rFonts w:asciiTheme="minorBidi" w:hAnsiTheme="minorBidi"/>
          <w:rtl/>
        </w:rPr>
        <w:t xml:space="preserve"> ולהטבילן</w:t>
      </w:r>
      <w:r>
        <w:rPr>
          <w:rStyle w:val="a7"/>
          <w:rFonts w:asciiTheme="minorBidi" w:hAnsiTheme="minorBidi"/>
          <w:rtl/>
        </w:rPr>
        <w:footnoteReference w:id="2976"/>
      </w:r>
      <w:r w:rsidRPr="003024E5">
        <w:rPr>
          <w:rFonts w:asciiTheme="minorBidi" w:hAnsiTheme="minorBidi"/>
          <w:rtl/>
        </w:rPr>
        <w:t xml:space="preserve">. </w:t>
      </w:r>
      <w:r w:rsidRPr="00E52B1F">
        <w:rPr>
          <w:rFonts w:asciiTheme="minorBidi" w:hAnsiTheme="minorBidi"/>
          <w:sz w:val="18"/>
          <w:szCs w:val="18"/>
          <w:rtl/>
        </w:rPr>
        <w:t>הגה: דין כלי עצם עיין בהלכות פסח סי' תנא. אין להגעיל שום כלי כל זמן שהוא בן יומו</w:t>
      </w:r>
      <w:r>
        <w:rPr>
          <w:rStyle w:val="a7"/>
          <w:rFonts w:asciiTheme="minorBidi" w:hAnsiTheme="minorBidi"/>
          <w:sz w:val="18"/>
          <w:szCs w:val="18"/>
          <w:rtl/>
        </w:rPr>
        <w:footnoteReference w:id="2977"/>
      </w:r>
      <w:r w:rsidRPr="00E52B1F">
        <w:rPr>
          <w:rFonts w:asciiTheme="minorBidi" w:hAnsiTheme="minorBidi"/>
          <w:sz w:val="18"/>
          <w:szCs w:val="18"/>
          <w:rtl/>
        </w:rPr>
        <w:t xml:space="preserve"> (טור). ואין להשתמש במי הגעלה (ארוך). כל מקום שצריך הגעלה לא מהני אם קלפו לכלי בכלי אומנות (ת</w:t>
      </w:r>
      <w:r>
        <w:rPr>
          <w:rFonts w:asciiTheme="minorBidi" w:hAnsiTheme="minorBidi" w:hint="cs"/>
          <w:sz w:val="18"/>
          <w:szCs w:val="18"/>
          <w:rtl/>
        </w:rPr>
        <w:t>רו</w:t>
      </w:r>
      <w:r w:rsidRPr="00E52B1F">
        <w:rPr>
          <w:rFonts w:asciiTheme="minorBidi" w:hAnsiTheme="minorBidi"/>
          <w:sz w:val="18"/>
          <w:szCs w:val="18"/>
          <w:rtl/>
        </w:rPr>
        <w:t>ה</w:t>
      </w:r>
      <w:r>
        <w:rPr>
          <w:rFonts w:asciiTheme="minorBidi" w:hAnsiTheme="minorBidi" w:hint="cs"/>
          <w:sz w:val="18"/>
          <w:szCs w:val="18"/>
          <w:rtl/>
        </w:rPr>
        <w:t>"ד</w:t>
      </w:r>
      <w:r w:rsidRPr="00E52B1F">
        <w:rPr>
          <w:rFonts w:asciiTheme="minorBidi" w:hAnsiTheme="minorBidi"/>
          <w:sz w:val="18"/>
          <w:szCs w:val="18"/>
          <w:rtl/>
        </w:rPr>
        <w:t xml:space="preserve"> מרדכי והגש</w:t>
      </w:r>
      <w:r>
        <w:rPr>
          <w:rFonts w:asciiTheme="minorBidi" w:hAnsiTheme="minorBidi" w:hint="cs"/>
          <w:sz w:val="18"/>
          <w:szCs w:val="18"/>
          <w:rtl/>
        </w:rPr>
        <w:t>ע</w:t>
      </w:r>
      <w:r w:rsidRPr="00E52B1F">
        <w:rPr>
          <w:rFonts w:asciiTheme="minorBidi" w:hAnsiTheme="minorBidi"/>
          <w:sz w:val="18"/>
          <w:szCs w:val="18"/>
          <w:rtl/>
        </w:rPr>
        <w:t>"ד). ועיין לעיל סי</w:t>
      </w:r>
      <w:r>
        <w:rPr>
          <w:rFonts w:asciiTheme="minorBidi" w:hAnsiTheme="minorBidi" w:hint="cs"/>
          <w:sz w:val="18"/>
          <w:szCs w:val="18"/>
          <w:rtl/>
        </w:rPr>
        <w:t>'</w:t>
      </w:r>
      <w:r w:rsidRPr="00E52B1F">
        <w:rPr>
          <w:rFonts w:asciiTheme="minorBidi" w:hAnsiTheme="minorBidi"/>
          <w:sz w:val="18"/>
          <w:szCs w:val="18"/>
          <w:rtl/>
        </w:rPr>
        <w:t xml:space="preserve"> קח דין מרדה של איסור.</w:t>
      </w:r>
    </w:p>
    <w:p w14:paraId="45C080A7" w14:textId="77777777" w:rsidR="002C39F4" w:rsidRPr="003024E5" w:rsidRDefault="002C39F4" w:rsidP="002C39F4">
      <w:pPr>
        <w:rPr>
          <w:rFonts w:asciiTheme="minorBidi" w:hAnsiTheme="minorBidi"/>
          <w:rtl/>
        </w:rPr>
      </w:pPr>
    </w:p>
    <w:p w14:paraId="05146681"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דיני הגעלה וליבון.</w:t>
      </w:r>
    </w:p>
    <w:p w14:paraId="7AAD228D" w14:textId="77777777" w:rsidR="002C39F4" w:rsidRPr="00E85D61" w:rsidRDefault="002C39F4" w:rsidP="002C39F4">
      <w:pPr>
        <w:rPr>
          <w:rFonts w:cs="Arial"/>
        </w:rPr>
      </w:pPr>
      <w:r w:rsidRPr="00E85D61">
        <w:rPr>
          <w:rFonts w:cs="Arial" w:hint="cs"/>
          <w:b/>
          <w:bCs/>
          <w:rtl/>
        </w:rPr>
        <w:t>ספרי זוטא לא כב:</w:t>
      </w:r>
      <w:r w:rsidRPr="00E85D61">
        <w:rPr>
          <w:rFonts w:cs="Arial"/>
          <w:rtl/>
        </w:rPr>
        <w:t xml:space="preserve"> אך את הזהב, אמר אך לחלוק חלודה שלהן</w:t>
      </w:r>
      <w:r w:rsidRPr="00E85D61">
        <w:rPr>
          <w:rFonts w:cs="Arial" w:hint="cs"/>
          <w:rtl/>
        </w:rPr>
        <w:t>.</w:t>
      </w:r>
    </w:p>
    <w:p w14:paraId="5F136432" w14:textId="77777777" w:rsidR="002C39F4" w:rsidRDefault="002C39F4" w:rsidP="002C39F4">
      <w:pPr>
        <w:rPr>
          <w:rFonts w:cs="Arial"/>
          <w:rtl/>
        </w:rPr>
      </w:pPr>
      <w:r>
        <w:rPr>
          <w:rFonts w:cs="Arial" w:hint="cs"/>
          <w:u w:val="single"/>
          <w:rtl/>
        </w:rPr>
        <w:t>העברת חלודה לפני ה</w:t>
      </w:r>
      <w:r w:rsidRPr="003C595E">
        <w:rPr>
          <w:rFonts w:cs="Arial"/>
          <w:u w:val="single"/>
          <w:rtl/>
        </w:rPr>
        <w:t>הגעלה</w:t>
      </w:r>
      <w:r w:rsidRPr="003C595E">
        <w:rPr>
          <w:rFonts w:cs="Arial" w:hint="cs"/>
          <w:u w:val="single"/>
          <w:rtl/>
        </w:rPr>
        <w:t>:</w:t>
      </w:r>
    </w:p>
    <w:p w14:paraId="05F7BE70" w14:textId="77777777" w:rsidR="002C39F4" w:rsidRDefault="002C39F4" w:rsidP="0032102C">
      <w:pPr>
        <w:pStyle w:val="a8"/>
        <w:numPr>
          <w:ilvl w:val="0"/>
          <w:numId w:val="319"/>
        </w:numPr>
      </w:pPr>
      <w:r w:rsidRPr="003C595E">
        <w:rPr>
          <w:rFonts w:cs="Arial"/>
          <w:rtl/>
        </w:rPr>
        <w:t xml:space="preserve">רא"ש </w:t>
      </w:r>
      <w:r w:rsidRPr="003C595E">
        <w:rPr>
          <w:rFonts w:cs="Arial"/>
          <w:sz w:val="16"/>
          <w:szCs w:val="16"/>
          <w:rtl/>
        </w:rPr>
        <w:t>(</w:t>
      </w:r>
      <w:r w:rsidRPr="003C595E">
        <w:rPr>
          <w:rFonts w:cs="Arial" w:hint="cs"/>
          <w:sz w:val="16"/>
          <w:szCs w:val="16"/>
          <w:rtl/>
        </w:rPr>
        <w:t xml:space="preserve">פסחים </w:t>
      </w:r>
      <w:r w:rsidRPr="003C595E">
        <w:rPr>
          <w:rFonts w:cs="Arial"/>
          <w:sz w:val="16"/>
          <w:szCs w:val="16"/>
          <w:rtl/>
        </w:rPr>
        <w:t>סי' ז</w:t>
      </w:r>
      <w:r w:rsidRPr="003C595E">
        <w:rPr>
          <w:rFonts w:cs="Arial" w:hint="cs"/>
          <w:sz w:val="16"/>
          <w:szCs w:val="16"/>
          <w:rtl/>
        </w:rPr>
        <w:t>,</w:t>
      </w:r>
      <w:r w:rsidRPr="003C595E">
        <w:rPr>
          <w:rFonts w:cs="Arial"/>
          <w:sz w:val="16"/>
          <w:szCs w:val="16"/>
          <w:rtl/>
        </w:rPr>
        <w:t xml:space="preserve"> ובתשו</w:t>
      </w:r>
      <w:r w:rsidRPr="003C595E">
        <w:rPr>
          <w:rFonts w:cs="Arial" w:hint="cs"/>
          <w:sz w:val="16"/>
          <w:szCs w:val="16"/>
          <w:rtl/>
        </w:rPr>
        <w:t>'</w:t>
      </w:r>
      <w:r w:rsidRPr="003C595E">
        <w:rPr>
          <w:rFonts w:cs="Arial"/>
          <w:sz w:val="16"/>
          <w:szCs w:val="16"/>
          <w:rtl/>
        </w:rPr>
        <w:t xml:space="preserve"> כלל יד סי' א) </w:t>
      </w:r>
      <w:r w:rsidRPr="003C595E">
        <w:rPr>
          <w:rFonts w:cs="Arial" w:hint="cs"/>
          <w:rtl/>
        </w:rPr>
        <w:t xml:space="preserve">וטור- </w:t>
      </w:r>
      <w:r w:rsidRPr="003C595E">
        <w:rPr>
          <w:rFonts w:cs="Arial"/>
          <w:rtl/>
        </w:rPr>
        <w:t>כיצד היא ההגעלה ישפשף הכלי היטב כדי להעביר חלודה שבו ואח"כ מגעילו</w:t>
      </w:r>
      <w:r w:rsidRPr="003C595E">
        <w:rPr>
          <w:rFonts w:cs="Arial" w:hint="cs"/>
          <w:sz w:val="16"/>
          <w:szCs w:val="16"/>
          <w:rtl/>
        </w:rPr>
        <w:t xml:space="preserve"> (ל' הטור)</w:t>
      </w:r>
      <w:r>
        <w:rPr>
          <w:rFonts w:cs="Arial" w:hint="cs"/>
          <w:rtl/>
        </w:rPr>
        <w:t>,</w:t>
      </w:r>
      <w:r w:rsidRPr="003C595E">
        <w:rPr>
          <w:rFonts w:cs="Arial"/>
          <w:rtl/>
        </w:rPr>
        <w:t xml:space="preserve"> מפני שבמקום החלודה והטנופת אין פולט הבלוע</w:t>
      </w:r>
      <w:r w:rsidRPr="003C595E">
        <w:rPr>
          <w:rFonts w:cs="Arial" w:hint="cs"/>
          <w:sz w:val="16"/>
          <w:szCs w:val="16"/>
          <w:rtl/>
        </w:rPr>
        <w:t xml:space="preserve"> (רא"ש)</w:t>
      </w:r>
      <w:r w:rsidRPr="003C595E">
        <w:rPr>
          <w:rFonts w:cs="Arial" w:hint="cs"/>
          <w:rtl/>
        </w:rPr>
        <w:t>.</w:t>
      </w:r>
      <w:r w:rsidRPr="003C595E">
        <w:rPr>
          <w:rFonts w:cs="Arial"/>
          <w:rtl/>
        </w:rPr>
        <w:t xml:space="preserve"> </w:t>
      </w:r>
    </w:p>
    <w:p w14:paraId="0C519439" w14:textId="77777777" w:rsidR="002C39F4" w:rsidRPr="000E0174" w:rsidRDefault="002C39F4" w:rsidP="002C39F4">
      <w:pPr>
        <w:ind w:left="360"/>
        <w:rPr>
          <w:sz w:val="16"/>
          <w:szCs w:val="16"/>
        </w:rPr>
      </w:pPr>
      <w:r w:rsidRPr="000E0174">
        <w:rPr>
          <w:rFonts w:hint="cs"/>
          <w:u w:val="dotted"/>
          <w:rtl/>
        </w:rPr>
        <w:t>מה הדין אם החלודה לא יוצאת:</w:t>
      </w:r>
      <w:r>
        <w:rPr>
          <w:rFonts w:hint="cs"/>
          <w:sz w:val="16"/>
          <w:szCs w:val="16"/>
          <w:rtl/>
        </w:rPr>
        <w:t xml:space="preserve">   (דרכ"מ [אות ה])</w:t>
      </w:r>
    </w:p>
    <w:p w14:paraId="30B017C3" w14:textId="77777777" w:rsidR="002C39F4" w:rsidRDefault="002C39F4" w:rsidP="0032102C">
      <w:pPr>
        <w:pStyle w:val="a8"/>
        <w:numPr>
          <w:ilvl w:val="0"/>
          <w:numId w:val="319"/>
        </w:numPr>
      </w:pPr>
      <w:r>
        <w:rPr>
          <w:rFonts w:hint="cs"/>
          <w:rtl/>
        </w:rPr>
        <w:t>או"ה</w:t>
      </w:r>
      <w:r w:rsidRPr="000E0174">
        <w:rPr>
          <w:rtl/>
        </w:rPr>
        <w:t xml:space="preserve"> </w:t>
      </w:r>
      <w:r w:rsidRPr="000E0174">
        <w:rPr>
          <w:sz w:val="16"/>
          <w:szCs w:val="16"/>
          <w:rtl/>
        </w:rPr>
        <w:t>(כלל נח דין סז)</w:t>
      </w:r>
      <w:r>
        <w:rPr>
          <w:rFonts w:hint="cs"/>
          <w:rtl/>
        </w:rPr>
        <w:t xml:space="preserve">- </w:t>
      </w:r>
      <w:r w:rsidRPr="000E0174">
        <w:rPr>
          <w:rtl/>
        </w:rPr>
        <w:t xml:space="preserve">אף אם לא נשאר רק מעט אין לו תקנה בהגעלה. </w:t>
      </w:r>
    </w:p>
    <w:p w14:paraId="6E8C717F" w14:textId="77777777" w:rsidR="002C39F4" w:rsidRDefault="002C39F4" w:rsidP="0032102C">
      <w:pPr>
        <w:pStyle w:val="a8"/>
        <w:numPr>
          <w:ilvl w:val="0"/>
          <w:numId w:val="319"/>
        </w:numPr>
      </w:pPr>
      <w:r w:rsidRPr="000E0174">
        <w:rPr>
          <w:rtl/>
        </w:rPr>
        <w:t xml:space="preserve">מהרי"ל </w:t>
      </w:r>
      <w:r w:rsidRPr="000E0174">
        <w:rPr>
          <w:sz w:val="16"/>
          <w:szCs w:val="16"/>
          <w:rtl/>
        </w:rPr>
        <w:t>(מנהגים</w:t>
      </w:r>
      <w:r>
        <w:rPr>
          <w:rFonts w:hint="cs"/>
          <w:sz w:val="16"/>
          <w:szCs w:val="16"/>
          <w:rtl/>
        </w:rPr>
        <w:t>,</w:t>
      </w:r>
      <w:r w:rsidRPr="000E0174">
        <w:rPr>
          <w:sz w:val="16"/>
          <w:szCs w:val="16"/>
          <w:rtl/>
        </w:rPr>
        <w:t xml:space="preserve"> הל</w:t>
      </w:r>
      <w:r>
        <w:rPr>
          <w:rFonts w:hint="cs"/>
          <w:sz w:val="16"/>
          <w:szCs w:val="16"/>
          <w:rtl/>
        </w:rPr>
        <w:t>'</w:t>
      </w:r>
      <w:r w:rsidRPr="000E0174">
        <w:rPr>
          <w:sz w:val="16"/>
          <w:szCs w:val="16"/>
          <w:rtl/>
        </w:rPr>
        <w:t xml:space="preserve"> הגעלה ו</w:t>
      </w:r>
      <w:r>
        <w:rPr>
          <w:rFonts w:hint="cs"/>
          <w:sz w:val="16"/>
          <w:szCs w:val="16"/>
          <w:rtl/>
        </w:rPr>
        <w:t>.</w:t>
      </w:r>
      <w:r w:rsidRPr="000E0174">
        <w:rPr>
          <w:sz w:val="16"/>
          <w:szCs w:val="16"/>
          <w:rtl/>
        </w:rPr>
        <w:t>)</w:t>
      </w:r>
      <w:r>
        <w:rPr>
          <w:rFonts w:hint="cs"/>
          <w:rtl/>
        </w:rPr>
        <w:t xml:space="preserve">- </w:t>
      </w:r>
      <w:r w:rsidRPr="000E0174">
        <w:rPr>
          <w:rtl/>
        </w:rPr>
        <w:t>אם החלודה מבחוץ על הכלי או בשפתו ולא יוכל להעבירו מותר להגעילו</w:t>
      </w:r>
      <w:r>
        <w:rPr>
          <w:rFonts w:hint="cs"/>
          <w:rtl/>
        </w:rPr>
        <w:t>.</w:t>
      </w:r>
    </w:p>
    <w:p w14:paraId="1CEB174A" w14:textId="77777777" w:rsidR="002C39F4" w:rsidRPr="000E0174" w:rsidRDefault="002C39F4" w:rsidP="002C39F4">
      <w:pPr>
        <w:rPr>
          <w:u w:val="single"/>
          <w:rtl/>
        </w:rPr>
      </w:pPr>
      <w:r w:rsidRPr="000E0174">
        <w:rPr>
          <w:rFonts w:hint="cs"/>
          <w:u w:val="single"/>
          <w:rtl/>
        </w:rPr>
        <w:t>הגעלה לכלי</w:t>
      </w:r>
      <w:r>
        <w:rPr>
          <w:rFonts w:hint="cs"/>
          <w:u w:val="single"/>
          <w:rtl/>
        </w:rPr>
        <w:t xml:space="preserve"> שיש בו</w:t>
      </w:r>
      <w:r w:rsidRPr="000E0174">
        <w:rPr>
          <w:rFonts w:hint="cs"/>
          <w:u w:val="single"/>
          <w:rtl/>
        </w:rPr>
        <w:t xml:space="preserve"> סדקים:</w:t>
      </w:r>
      <w:r>
        <w:rPr>
          <w:rFonts w:hint="cs"/>
          <w:sz w:val="16"/>
          <w:szCs w:val="16"/>
          <w:rtl/>
        </w:rPr>
        <w:t xml:space="preserve">  (דרכ"מ [אות ה])</w:t>
      </w:r>
    </w:p>
    <w:p w14:paraId="01E938FE" w14:textId="77777777" w:rsidR="002C39F4" w:rsidRPr="009C0BF4" w:rsidRDefault="002C39F4" w:rsidP="0032102C">
      <w:pPr>
        <w:pStyle w:val="a8"/>
        <w:numPr>
          <w:ilvl w:val="0"/>
          <w:numId w:val="319"/>
        </w:numPr>
        <w:rPr>
          <w:rtl/>
        </w:rPr>
      </w:pPr>
      <w:r w:rsidRPr="000E0174">
        <w:rPr>
          <w:rtl/>
        </w:rPr>
        <w:t>רשב"א</w:t>
      </w:r>
      <w:r w:rsidRPr="000E0174">
        <w:rPr>
          <w:sz w:val="16"/>
          <w:szCs w:val="16"/>
          <w:rtl/>
        </w:rPr>
        <w:t xml:space="preserve"> (ח"א סי</w:t>
      </w:r>
      <w:r w:rsidRPr="000E0174">
        <w:rPr>
          <w:rFonts w:hint="cs"/>
          <w:sz w:val="16"/>
          <w:szCs w:val="16"/>
          <w:rtl/>
        </w:rPr>
        <w:t xml:space="preserve">' </w:t>
      </w:r>
      <w:r w:rsidRPr="000E0174">
        <w:rPr>
          <w:sz w:val="16"/>
          <w:szCs w:val="16"/>
          <w:rtl/>
        </w:rPr>
        <w:t>שעא</w:t>
      </w:r>
      <w:r w:rsidRPr="000E0174">
        <w:rPr>
          <w:rFonts w:hint="cs"/>
          <w:sz w:val="16"/>
          <w:szCs w:val="16"/>
          <w:rtl/>
        </w:rPr>
        <w:t>)</w:t>
      </w:r>
      <w:r>
        <w:rPr>
          <w:rFonts w:hint="cs"/>
          <w:rtl/>
        </w:rPr>
        <w:t>-</w:t>
      </w:r>
      <w:r w:rsidRPr="000E0174">
        <w:rPr>
          <w:rtl/>
        </w:rPr>
        <w:t xml:space="preserve"> כל כלי שיש בו סדקים אין מועיל בו הגעלה רק ליבון דחיישינן שמא נכנס האיסור בסדק ואינו יוצא ע"י הגעלה</w:t>
      </w:r>
      <w:r>
        <w:rPr>
          <w:rFonts w:hint="cs"/>
          <w:rtl/>
        </w:rPr>
        <w:t xml:space="preserve">. </w:t>
      </w:r>
    </w:p>
    <w:p w14:paraId="6B3C2A35" w14:textId="77777777" w:rsidR="002C39F4" w:rsidRPr="003C595E" w:rsidRDefault="002C39F4" w:rsidP="002C39F4">
      <w:pPr>
        <w:rPr>
          <w:rFonts w:cs="Arial"/>
          <w:u w:val="single"/>
          <w:rtl/>
        </w:rPr>
      </w:pPr>
      <w:r w:rsidRPr="003C595E">
        <w:rPr>
          <w:rFonts w:cs="Arial"/>
          <w:u w:val="single"/>
          <w:rtl/>
        </w:rPr>
        <w:t>הגעל</w:t>
      </w:r>
      <w:r>
        <w:rPr>
          <w:rFonts w:cs="Arial" w:hint="cs"/>
          <w:u w:val="single"/>
          <w:rtl/>
        </w:rPr>
        <w:t>ת כלי כפי תשמישו:</w:t>
      </w:r>
      <w:r w:rsidRPr="003C595E">
        <w:rPr>
          <w:rFonts w:cs="Arial"/>
          <w:u w:val="single"/>
          <w:rtl/>
        </w:rPr>
        <w:t xml:space="preserve"> </w:t>
      </w:r>
    </w:p>
    <w:p w14:paraId="7E2C2D76" w14:textId="77777777" w:rsidR="002C39F4" w:rsidRPr="00854D28" w:rsidRDefault="002C39F4" w:rsidP="0032102C">
      <w:pPr>
        <w:pStyle w:val="a8"/>
        <w:numPr>
          <w:ilvl w:val="0"/>
          <w:numId w:val="319"/>
        </w:numPr>
        <w:rPr>
          <w:rFonts w:cs="Arial"/>
          <w:rtl/>
        </w:rPr>
      </w:pPr>
      <w:r w:rsidRPr="00854D28">
        <w:rPr>
          <w:rFonts w:cs="Arial"/>
          <w:rtl/>
        </w:rPr>
        <w:t xml:space="preserve">רי"ף </w:t>
      </w:r>
      <w:r w:rsidRPr="00854D28">
        <w:rPr>
          <w:rFonts w:cs="Arial" w:hint="cs"/>
          <w:sz w:val="16"/>
          <w:szCs w:val="16"/>
          <w:rtl/>
        </w:rPr>
        <w:t xml:space="preserve">(פ' כל שעה) </w:t>
      </w:r>
      <w:r>
        <w:rPr>
          <w:rFonts w:cs="Arial"/>
          <w:rtl/>
        </w:rPr>
        <w:t xml:space="preserve">רשב"א </w:t>
      </w:r>
      <w:r w:rsidRPr="005C2945">
        <w:rPr>
          <w:rFonts w:cs="Arial" w:hint="cs"/>
          <w:sz w:val="16"/>
          <w:szCs w:val="16"/>
          <w:rtl/>
        </w:rPr>
        <w:t xml:space="preserve">(תוה"ק </w:t>
      </w:r>
      <w:r w:rsidRPr="005C2945">
        <w:rPr>
          <w:rFonts w:cs="Arial"/>
          <w:sz w:val="16"/>
          <w:szCs w:val="16"/>
          <w:rtl/>
        </w:rPr>
        <w:t>ב"ד ש"ד לג:)</w:t>
      </w:r>
      <w:r>
        <w:rPr>
          <w:rFonts w:cs="Arial" w:hint="cs"/>
          <w:rtl/>
        </w:rPr>
        <w:t xml:space="preserve"> </w:t>
      </w:r>
      <w:r w:rsidRPr="00854D28">
        <w:rPr>
          <w:rFonts w:cs="Arial"/>
          <w:rtl/>
        </w:rPr>
        <w:t xml:space="preserve">רא"ש </w:t>
      </w:r>
      <w:r w:rsidRPr="00854D28">
        <w:rPr>
          <w:rFonts w:cs="Arial"/>
          <w:sz w:val="16"/>
          <w:szCs w:val="16"/>
          <w:rtl/>
        </w:rPr>
        <w:t>(</w:t>
      </w:r>
      <w:r w:rsidRPr="00854D28">
        <w:rPr>
          <w:rFonts w:cs="Arial" w:hint="cs"/>
          <w:sz w:val="16"/>
          <w:szCs w:val="16"/>
          <w:rtl/>
        </w:rPr>
        <w:t>פסחים סי' ז</w:t>
      </w:r>
      <w:r w:rsidRPr="00854D28">
        <w:rPr>
          <w:rFonts w:cs="Arial"/>
          <w:sz w:val="16"/>
          <w:szCs w:val="16"/>
          <w:rtl/>
        </w:rPr>
        <w:t>)</w:t>
      </w:r>
      <w:r w:rsidRPr="00854D28">
        <w:rPr>
          <w:rFonts w:cs="Arial" w:hint="cs"/>
          <w:rtl/>
        </w:rPr>
        <w:t xml:space="preserve"> וטור- </w:t>
      </w:r>
      <w:r w:rsidRPr="00854D28">
        <w:rPr>
          <w:rFonts w:cs="Arial"/>
          <w:rtl/>
        </w:rPr>
        <w:t>אם הוא כלי ראשון כגון יורות וקדרות מגעילן בכלי ראשון</w:t>
      </w:r>
      <w:r>
        <w:rPr>
          <w:rFonts w:cs="Arial" w:hint="cs"/>
          <w:rtl/>
        </w:rPr>
        <w:t>...</w:t>
      </w:r>
      <w:r w:rsidRPr="00A45357">
        <w:rPr>
          <w:rFonts w:cs="Arial"/>
          <w:rtl/>
        </w:rPr>
        <w:t xml:space="preserve"> </w:t>
      </w:r>
      <w:r>
        <w:rPr>
          <w:rFonts w:cs="Arial" w:hint="cs"/>
          <w:rtl/>
        </w:rPr>
        <w:t>ו</w:t>
      </w:r>
      <w:r w:rsidRPr="00043D0F">
        <w:rPr>
          <w:rFonts w:cs="Arial"/>
          <w:rtl/>
        </w:rPr>
        <w:t>כלי שלא נשתמש בו אלא בכלי שני מגעילו בכלי שני ודיו</w:t>
      </w:r>
      <w:r>
        <w:rPr>
          <w:rStyle w:val="a7"/>
          <w:rFonts w:cs="Arial"/>
          <w:rtl/>
        </w:rPr>
        <w:footnoteReference w:id="2978"/>
      </w:r>
      <w:r w:rsidRPr="00854D28">
        <w:rPr>
          <w:rFonts w:cs="Arial" w:hint="cs"/>
          <w:sz w:val="16"/>
          <w:szCs w:val="16"/>
          <w:rtl/>
        </w:rPr>
        <w:t xml:space="preserve"> (ל' הטור)</w:t>
      </w:r>
      <w:r w:rsidRPr="00854D28">
        <w:rPr>
          <w:rFonts w:cs="Arial" w:hint="cs"/>
          <w:rtl/>
        </w:rPr>
        <w:t>.</w:t>
      </w:r>
    </w:p>
    <w:p w14:paraId="7FD90285" w14:textId="77777777" w:rsidR="002C39F4" w:rsidRDefault="002C39F4" w:rsidP="002C39F4">
      <w:pPr>
        <w:rPr>
          <w:rtl/>
        </w:rPr>
      </w:pPr>
      <w:r w:rsidRPr="009C0BF4">
        <w:rPr>
          <w:rFonts w:cs="Arial" w:hint="cs"/>
          <w:b/>
          <w:bCs/>
          <w:rtl/>
        </w:rPr>
        <w:t>שבת מב ע"</w:t>
      </w:r>
      <w:r>
        <w:rPr>
          <w:rFonts w:cs="Arial" w:hint="cs"/>
          <w:b/>
          <w:bCs/>
          <w:rtl/>
        </w:rPr>
        <w:t>א</w:t>
      </w:r>
      <w:r w:rsidRPr="009C0BF4">
        <w:rPr>
          <w:rFonts w:cs="Arial" w:hint="cs"/>
          <w:b/>
          <w:bCs/>
          <w:rtl/>
        </w:rPr>
        <w:t>:</w:t>
      </w:r>
      <w:r>
        <w:rPr>
          <w:rFonts w:cs="Arial" w:hint="cs"/>
          <w:rtl/>
        </w:rPr>
        <w:t xml:space="preserve"> </w:t>
      </w:r>
      <w:r>
        <w:rPr>
          <w:rFonts w:cs="Arial" w:hint="cs"/>
          <w:u w:val="double"/>
          <w:rtl/>
        </w:rPr>
        <w:t>משנה:</w:t>
      </w:r>
      <w:r>
        <w:rPr>
          <w:rFonts w:cs="Arial" w:hint="cs"/>
          <w:rtl/>
        </w:rPr>
        <w:t xml:space="preserve"> </w:t>
      </w:r>
      <w:r>
        <w:rPr>
          <w:rFonts w:cs="Arial"/>
          <w:rtl/>
        </w:rPr>
        <w:t>האלפס והקדרה שהעבירן</w:t>
      </w:r>
      <w:r>
        <w:rPr>
          <w:rStyle w:val="a7"/>
          <w:rFonts w:cs="Arial"/>
          <w:rtl/>
        </w:rPr>
        <w:footnoteReference w:id="2979"/>
      </w:r>
      <w:r>
        <w:rPr>
          <w:rFonts w:cs="Arial"/>
          <w:rtl/>
        </w:rPr>
        <w:t xml:space="preserve"> מרותחין</w:t>
      </w:r>
      <w:r>
        <w:rPr>
          <w:rStyle w:val="a7"/>
          <w:rFonts w:cs="Arial"/>
          <w:rtl/>
        </w:rPr>
        <w:footnoteReference w:id="2980"/>
      </w:r>
      <w:r>
        <w:rPr>
          <w:rFonts w:cs="Arial" w:hint="cs"/>
          <w:rtl/>
        </w:rPr>
        <w:t xml:space="preserve"> -</w:t>
      </w:r>
      <w:r>
        <w:rPr>
          <w:rFonts w:cs="Arial"/>
          <w:rtl/>
        </w:rPr>
        <w:t xml:space="preserve"> לא יתן לתוכן תבלין</w:t>
      </w:r>
      <w:r>
        <w:rPr>
          <w:rStyle w:val="a7"/>
          <w:rFonts w:cs="Arial"/>
          <w:rtl/>
        </w:rPr>
        <w:footnoteReference w:id="2981"/>
      </w:r>
      <w:r>
        <w:rPr>
          <w:rFonts w:cs="Arial"/>
          <w:rtl/>
        </w:rPr>
        <w:t xml:space="preserve">. </w:t>
      </w:r>
    </w:p>
    <w:p w14:paraId="4342B5DB" w14:textId="77777777" w:rsidR="002C39F4" w:rsidRDefault="002C39F4" w:rsidP="002C39F4">
      <w:pPr>
        <w:rPr>
          <w:rFonts w:cs="Arial"/>
          <w:rtl/>
        </w:rPr>
      </w:pPr>
      <w:r w:rsidRPr="003C595E">
        <w:rPr>
          <w:rFonts w:cs="Arial" w:hint="cs"/>
          <w:b/>
          <w:bCs/>
          <w:rtl/>
        </w:rPr>
        <w:t>פסחים ל ע"ב</w:t>
      </w:r>
      <w:r>
        <w:rPr>
          <w:rStyle w:val="a7"/>
          <w:rFonts w:cs="Arial"/>
          <w:b/>
          <w:bCs/>
          <w:rtl/>
        </w:rPr>
        <w:footnoteReference w:id="2982"/>
      </w:r>
      <w:r w:rsidRPr="003C595E">
        <w:rPr>
          <w:rFonts w:cs="Arial" w:hint="cs"/>
          <w:b/>
          <w:bCs/>
          <w:rtl/>
        </w:rPr>
        <w:t>:</w:t>
      </w:r>
      <w:r>
        <w:rPr>
          <w:rFonts w:cs="Arial" w:hint="cs"/>
          <w:rtl/>
        </w:rPr>
        <w:t xml:space="preserve"> כבולעו כך פולטו. </w:t>
      </w:r>
    </w:p>
    <w:p w14:paraId="7147710A" w14:textId="77777777" w:rsidR="002C39F4" w:rsidRPr="003C595E" w:rsidRDefault="002C39F4" w:rsidP="002C39F4">
      <w:pPr>
        <w:rPr>
          <w:rFonts w:cs="Arial"/>
          <w:u w:val="single"/>
          <w:rtl/>
        </w:rPr>
      </w:pPr>
      <w:r w:rsidRPr="003C595E">
        <w:rPr>
          <w:rFonts w:cs="Arial" w:hint="cs"/>
          <w:u w:val="single"/>
          <w:rtl/>
        </w:rPr>
        <w:t>האם יש ה</w:t>
      </w:r>
      <w:r>
        <w:rPr>
          <w:rFonts w:cs="Arial" w:hint="cs"/>
          <w:u w:val="single"/>
          <w:rtl/>
        </w:rPr>
        <w:t>בדל</w:t>
      </w:r>
      <w:r w:rsidRPr="003C595E">
        <w:rPr>
          <w:rFonts w:cs="Arial" w:hint="cs"/>
          <w:u w:val="single"/>
          <w:rtl/>
        </w:rPr>
        <w:t xml:space="preserve"> בצורת ההגעלה בין שנשתמש בכלי ראשון ע"ג האש לבין שנשתמש בו שלא ע"ג האש:   </w:t>
      </w:r>
    </w:p>
    <w:p w14:paraId="5CC88EB5" w14:textId="77777777" w:rsidR="002C39F4" w:rsidRPr="003C595E" w:rsidRDefault="002C39F4" w:rsidP="0032102C">
      <w:pPr>
        <w:pStyle w:val="a8"/>
        <w:numPr>
          <w:ilvl w:val="0"/>
          <w:numId w:val="319"/>
        </w:numPr>
        <w:rPr>
          <w:rFonts w:cs="Arial"/>
          <w:rtl/>
        </w:rPr>
      </w:pPr>
      <w:r w:rsidRPr="003C595E">
        <w:rPr>
          <w:rFonts w:cs="Arial" w:hint="cs"/>
          <w:rtl/>
        </w:rPr>
        <w:t>רש"י</w:t>
      </w:r>
      <w:r>
        <w:rPr>
          <w:rFonts w:cs="Arial" w:hint="cs"/>
          <w:sz w:val="16"/>
          <w:szCs w:val="16"/>
          <w:rtl/>
        </w:rPr>
        <w:t xml:space="preserve"> (מב. על המשנה)</w:t>
      </w:r>
      <w:r w:rsidRPr="003C595E">
        <w:rPr>
          <w:rFonts w:cs="Arial" w:hint="cs"/>
          <w:rtl/>
        </w:rPr>
        <w:t xml:space="preserve">- </w:t>
      </w:r>
      <w:r w:rsidRPr="003C595E">
        <w:rPr>
          <w:rFonts w:cs="Arial"/>
          <w:rtl/>
        </w:rPr>
        <w:t>נקרא כלי ראשון בעודו רותח אפילו אינו על גבי האש</w:t>
      </w:r>
      <w:r>
        <w:rPr>
          <w:rStyle w:val="a7"/>
          <w:rFonts w:cs="Arial"/>
          <w:rtl/>
        </w:rPr>
        <w:footnoteReference w:id="2983"/>
      </w:r>
      <w:r w:rsidRPr="003C595E">
        <w:rPr>
          <w:rFonts w:cs="Arial" w:hint="cs"/>
          <w:rtl/>
        </w:rPr>
        <w:t>.</w:t>
      </w:r>
    </w:p>
    <w:p w14:paraId="15179C2F" w14:textId="77777777" w:rsidR="002C39F4" w:rsidRPr="003C595E" w:rsidRDefault="002C39F4" w:rsidP="0032102C">
      <w:pPr>
        <w:pStyle w:val="a8"/>
        <w:numPr>
          <w:ilvl w:val="0"/>
          <w:numId w:val="319"/>
        </w:numPr>
        <w:rPr>
          <w:rFonts w:cs="Arial"/>
          <w:rtl/>
        </w:rPr>
      </w:pPr>
      <w:r w:rsidRPr="003C595E">
        <w:rPr>
          <w:rFonts w:cs="Arial" w:hint="cs"/>
          <w:rtl/>
        </w:rPr>
        <w:t xml:space="preserve">טור- </w:t>
      </w:r>
      <w:r w:rsidRPr="003C595E">
        <w:rPr>
          <w:rFonts w:cs="Arial"/>
          <w:rtl/>
        </w:rPr>
        <w:t>אם נשתמש בכלי בעודו ע"ג האש צריך שתהיה ג"כ ההגעלה דווקא בכלי שהאש מהלך תחתיו</w:t>
      </w:r>
      <w:r>
        <w:rPr>
          <w:rStyle w:val="a7"/>
          <w:rFonts w:cs="Arial"/>
          <w:rtl/>
        </w:rPr>
        <w:footnoteReference w:id="2984"/>
      </w:r>
      <w:r w:rsidRPr="003C595E">
        <w:rPr>
          <w:rFonts w:cs="Arial" w:hint="cs"/>
          <w:rtl/>
        </w:rPr>
        <w:t>.</w:t>
      </w:r>
      <w:r w:rsidRPr="003C595E">
        <w:rPr>
          <w:rFonts w:cs="Arial"/>
          <w:rtl/>
        </w:rPr>
        <w:t xml:space="preserve"> </w:t>
      </w:r>
    </w:p>
    <w:p w14:paraId="45CF762A" w14:textId="77777777" w:rsidR="002C39F4" w:rsidRDefault="002C39F4" w:rsidP="002C39F4">
      <w:pPr>
        <w:rPr>
          <w:rFonts w:cs="Arial"/>
          <w:rtl/>
        </w:rPr>
      </w:pPr>
      <w:r w:rsidRPr="00043D0F">
        <w:rPr>
          <w:rFonts w:cs="Arial" w:hint="cs"/>
          <w:u w:val="single"/>
          <w:rtl/>
        </w:rPr>
        <w:t xml:space="preserve">כלי </w:t>
      </w:r>
      <w:r>
        <w:rPr>
          <w:rFonts w:cs="Arial" w:hint="cs"/>
          <w:u w:val="single"/>
          <w:rtl/>
        </w:rPr>
        <w:t xml:space="preserve">גדול </w:t>
      </w:r>
      <w:r w:rsidRPr="00043D0F">
        <w:rPr>
          <w:rFonts w:cs="Arial" w:hint="cs"/>
          <w:u w:val="single"/>
          <w:rtl/>
        </w:rPr>
        <w:t>שאי אפשר להגעילו בבת אחת:</w:t>
      </w:r>
    </w:p>
    <w:p w14:paraId="42F500D9" w14:textId="77777777" w:rsidR="002C39F4" w:rsidRDefault="002C39F4" w:rsidP="0032102C">
      <w:pPr>
        <w:pStyle w:val="a8"/>
        <w:numPr>
          <w:ilvl w:val="0"/>
          <w:numId w:val="320"/>
        </w:numPr>
        <w:rPr>
          <w:rFonts w:cs="Arial"/>
        </w:rPr>
      </w:pPr>
      <w:r>
        <w:rPr>
          <w:rFonts w:cs="Arial"/>
          <w:rtl/>
        </w:rPr>
        <w:t>רשב"א</w:t>
      </w:r>
      <w:r>
        <w:rPr>
          <w:rStyle w:val="a7"/>
          <w:rFonts w:cs="Arial"/>
          <w:rtl/>
        </w:rPr>
        <w:footnoteReference w:id="2985"/>
      </w:r>
      <w:r w:rsidRPr="00043D0F">
        <w:rPr>
          <w:rFonts w:cs="Arial"/>
          <w:sz w:val="16"/>
          <w:szCs w:val="16"/>
          <w:rtl/>
        </w:rPr>
        <w:t xml:space="preserve"> </w:t>
      </w:r>
      <w:r w:rsidRPr="00043D0F">
        <w:rPr>
          <w:rFonts w:cs="Arial" w:hint="cs"/>
          <w:sz w:val="16"/>
          <w:szCs w:val="16"/>
          <w:rtl/>
        </w:rPr>
        <w:t>(תוה"ק</w:t>
      </w:r>
      <w:r w:rsidRPr="00043D0F">
        <w:rPr>
          <w:rFonts w:cs="Arial"/>
          <w:sz w:val="16"/>
          <w:szCs w:val="16"/>
          <w:rtl/>
        </w:rPr>
        <w:t xml:space="preserve"> ב"ד ש"ד לה.)</w:t>
      </w:r>
      <w:r>
        <w:rPr>
          <w:rFonts w:cs="Arial" w:hint="cs"/>
          <w:rtl/>
        </w:rPr>
        <w:t xml:space="preserve"> ו</w:t>
      </w:r>
      <w:r w:rsidRPr="00043D0F">
        <w:rPr>
          <w:rFonts w:cs="Arial" w:hint="cs"/>
          <w:rtl/>
        </w:rPr>
        <w:t xml:space="preserve">טור- </w:t>
      </w:r>
      <w:r w:rsidRPr="00043D0F">
        <w:rPr>
          <w:rFonts w:cs="Arial"/>
          <w:rtl/>
        </w:rPr>
        <w:t>אם הכלי גדול שאינו יכול להכניס כולו כאחד יכניס חציו ואח"כ חציו השני ודיו</w:t>
      </w:r>
      <w:r w:rsidRPr="00043D0F">
        <w:rPr>
          <w:rFonts w:cs="Arial" w:hint="cs"/>
          <w:rtl/>
        </w:rPr>
        <w:t>,</w:t>
      </w:r>
      <w:r w:rsidRPr="00043D0F">
        <w:rPr>
          <w:rFonts w:cs="Arial"/>
          <w:rtl/>
        </w:rPr>
        <w:t xml:space="preserve"> ואם הוא ארוך שגם זה אינו מספיק לו מלבנו באמצע</w:t>
      </w:r>
      <w:r>
        <w:rPr>
          <w:rFonts w:cs="Arial" w:hint="cs"/>
          <w:sz w:val="16"/>
          <w:szCs w:val="16"/>
          <w:rtl/>
        </w:rPr>
        <w:t xml:space="preserve"> (ל' הטור)</w:t>
      </w:r>
      <w:r w:rsidRPr="00043D0F">
        <w:rPr>
          <w:rFonts w:cs="Arial"/>
          <w:rtl/>
        </w:rPr>
        <w:t xml:space="preserve">. </w:t>
      </w:r>
    </w:p>
    <w:p w14:paraId="4C2E6BA2" w14:textId="77777777" w:rsidR="002C39F4" w:rsidRPr="00854D28" w:rsidRDefault="002C39F4" w:rsidP="002C39F4">
      <w:pPr>
        <w:rPr>
          <w:rFonts w:cs="Arial"/>
          <w:rtl/>
        </w:rPr>
      </w:pPr>
      <w:r w:rsidRPr="00854D28">
        <w:rPr>
          <w:rFonts w:cs="Arial" w:hint="cs"/>
          <w:b/>
          <w:bCs/>
          <w:rtl/>
        </w:rPr>
        <w:t xml:space="preserve">עבודה זרה עו ע"א: </w:t>
      </w:r>
      <w:r w:rsidRPr="00854D28">
        <w:rPr>
          <w:rFonts w:cs="Arial"/>
          <w:rtl/>
        </w:rPr>
        <w:t>יורה גדולה מאי? ת"ש: דההוא דודא</w:t>
      </w:r>
      <w:r>
        <w:rPr>
          <w:rStyle w:val="a7"/>
          <w:rFonts w:cs="Arial"/>
          <w:rtl/>
        </w:rPr>
        <w:footnoteReference w:id="2986"/>
      </w:r>
      <w:r w:rsidRPr="00854D28">
        <w:rPr>
          <w:rFonts w:cs="Arial"/>
          <w:rtl/>
        </w:rPr>
        <w:t xml:space="preserve"> דהואי בי רב עקביה, אהדר ליה גדנפא דלישא</w:t>
      </w:r>
      <w:r>
        <w:rPr>
          <w:rStyle w:val="a7"/>
          <w:rFonts w:cs="Arial"/>
          <w:rtl/>
        </w:rPr>
        <w:footnoteReference w:id="2987"/>
      </w:r>
      <w:r w:rsidRPr="00854D28">
        <w:rPr>
          <w:rFonts w:cs="Arial"/>
          <w:rtl/>
        </w:rPr>
        <w:t xml:space="preserve"> אפומא, ומליוה מיא וארתחה. </w:t>
      </w:r>
      <w:r w:rsidRPr="00854D28">
        <w:rPr>
          <w:rFonts w:cs="Arial"/>
          <w:u w:val="single"/>
          <w:rtl/>
        </w:rPr>
        <w:t>אמר רבא</w:t>
      </w:r>
      <w:r w:rsidRPr="00854D28">
        <w:rPr>
          <w:rFonts w:cs="Arial"/>
          <w:rtl/>
        </w:rPr>
        <w:t>: מאן חכים למעבד כי הא מילתא אי לאו רב עקביה דגברא רבא הוא, קסבר: כבולעו כך פולטו, מה בולעו בנצוצות</w:t>
      </w:r>
      <w:r>
        <w:rPr>
          <w:rStyle w:val="a7"/>
          <w:rFonts w:cs="Arial"/>
          <w:rtl/>
        </w:rPr>
        <w:footnoteReference w:id="2988"/>
      </w:r>
      <w:r w:rsidRPr="00854D28">
        <w:rPr>
          <w:rFonts w:cs="Arial"/>
          <w:rtl/>
        </w:rPr>
        <w:t>, אף פולטו בנצוצות</w:t>
      </w:r>
      <w:r>
        <w:rPr>
          <w:rStyle w:val="a7"/>
          <w:rFonts w:cs="Arial"/>
          <w:rtl/>
        </w:rPr>
        <w:footnoteReference w:id="2989"/>
      </w:r>
      <w:r w:rsidRPr="00854D28">
        <w:rPr>
          <w:rFonts w:cs="Arial"/>
          <w:rtl/>
        </w:rPr>
        <w:t xml:space="preserve">. </w:t>
      </w:r>
    </w:p>
    <w:p w14:paraId="2BE407C9" w14:textId="77777777" w:rsidR="002C39F4" w:rsidRPr="00854D28" w:rsidRDefault="002C39F4" w:rsidP="002C39F4">
      <w:pPr>
        <w:rPr>
          <w:rFonts w:cs="Arial"/>
          <w:u w:val="single"/>
        </w:rPr>
      </w:pPr>
      <w:r w:rsidRPr="00854D28">
        <w:rPr>
          <w:rFonts w:cs="Arial"/>
          <w:u w:val="single"/>
          <w:rtl/>
        </w:rPr>
        <w:t>יורה גדולה שאינו יכול להכניסה באחרת</w:t>
      </w:r>
      <w:r w:rsidRPr="00854D28">
        <w:rPr>
          <w:rFonts w:cs="Arial" w:hint="cs"/>
          <w:u w:val="single"/>
          <w:rtl/>
        </w:rPr>
        <w:t>:</w:t>
      </w:r>
    </w:p>
    <w:p w14:paraId="660B6D01" w14:textId="77777777" w:rsidR="002C39F4" w:rsidRDefault="002C39F4" w:rsidP="0032102C">
      <w:pPr>
        <w:pStyle w:val="a8"/>
        <w:numPr>
          <w:ilvl w:val="0"/>
          <w:numId w:val="320"/>
        </w:numPr>
        <w:rPr>
          <w:rFonts w:cs="Arial"/>
        </w:rPr>
      </w:pPr>
      <w:r>
        <w:rPr>
          <w:rFonts w:cs="Arial"/>
          <w:rtl/>
        </w:rPr>
        <w:t xml:space="preserve">מרדכי </w:t>
      </w:r>
      <w:r w:rsidRPr="00854D28">
        <w:rPr>
          <w:rFonts w:cs="Arial"/>
          <w:sz w:val="16"/>
          <w:szCs w:val="16"/>
          <w:rtl/>
        </w:rPr>
        <w:t>(</w:t>
      </w:r>
      <w:r w:rsidRPr="00854D28">
        <w:rPr>
          <w:rFonts w:cs="Arial" w:hint="cs"/>
          <w:sz w:val="16"/>
          <w:szCs w:val="16"/>
          <w:rtl/>
        </w:rPr>
        <w:t xml:space="preserve">פסחים </w:t>
      </w:r>
      <w:r w:rsidRPr="00854D28">
        <w:rPr>
          <w:rFonts w:cs="Arial"/>
          <w:sz w:val="16"/>
          <w:szCs w:val="16"/>
          <w:rtl/>
        </w:rPr>
        <w:t>סי' תקפד)</w:t>
      </w:r>
      <w:r w:rsidRPr="00854D28">
        <w:rPr>
          <w:rFonts w:cs="Arial" w:hint="cs"/>
          <w:sz w:val="16"/>
          <w:szCs w:val="16"/>
          <w:rtl/>
        </w:rPr>
        <w:t xml:space="preserve"> </w:t>
      </w:r>
      <w:r>
        <w:rPr>
          <w:rFonts w:cs="Arial"/>
          <w:rtl/>
        </w:rPr>
        <w:t xml:space="preserve">רא"ש </w:t>
      </w:r>
      <w:r w:rsidRPr="00854D28">
        <w:rPr>
          <w:rFonts w:cs="Arial"/>
          <w:sz w:val="16"/>
          <w:szCs w:val="16"/>
          <w:rtl/>
        </w:rPr>
        <w:t>(</w:t>
      </w:r>
      <w:r w:rsidRPr="00854D28">
        <w:rPr>
          <w:rFonts w:cs="Arial" w:hint="cs"/>
          <w:sz w:val="16"/>
          <w:szCs w:val="16"/>
          <w:rtl/>
        </w:rPr>
        <w:t xml:space="preserve">פסחים </w:t>
      </w:r>
      <w:r w:rsidRPr="00854D28">
        <w:rPr>
          <w:rFonts w:cs="Arial"/>
          <w:sz w:val="16"/>
          <w:szCs w:val="16"/>
          <w:rtl/>
        </w:rPr>
        <w:t xml:space="preserve">סי' ז) </w:t>
      </w:r>
      <w:r>
        <w:rPr>
          <w:rFonts w:cs="Arial" w:hint="cs"/>
          <w:rtl/>
        </w:rPr>
        <w:t xml:space="preserve">וטור- </w:t>
      </w:r>
      <w:r w:rsidRPr="00043D0F">
        <w:rPr>
          <w:rFonts w:cs="Arial"/>
          <w:rtl/>
        </w:rPr>
        <w:t>יורה גדולה שאינו יכול להכניסה באחרת יעשה לה שפה מטיט או בצק כדי שיוכל למלאותה היטב כדי שיבא המים על כל שפתה</w:t>
      </w:r>
      <w:r>
        <w:rPr>
          <w:rFonts w:cs="Arial" w:hint="cs"/>
          <w:rtl/>
        </w:rPr>
        <w:t>,</w:t>
      </w:r>
      <w:r w:rsidRPr="00043D0F">
        <w:rPr>
          <w:rFonts w:cs="Arial"/>
          <w:rtl/>
        </w:rPr>
        <w:t xml:space="preserve"> או יכניס בה אוד בוער ומתוך כך ירתיחו המים ויעלו על כל שפתה</w:t>
      </w:r>
      <w:r>
        <w:rPr>
          <w:rFonts w:cs="Arial" w:hint="cs"/>
          <w:sz w:val="16"/>
          <w:szCs w:val="16"/>
          <w:rtl/>
        </w:rPr>
        <w:t xml:space="preserve"> (ל' הטור)</w:t>
      </w:r>
      <w:r>
        <w:rPr>
          <w:rFonts w:cs="Arial" w:hint="cs"/>
          <w:rtl/>
        </w:rPr>
        <w:t>.</w:t>
      </w:r>
    </w:p>
    <w:p w14:paraId="5F61A809" w14:textId="77777777" w:rsidR="002C39F4" w:rsidRPr="00A45357" w:rsidRDefault="002C39F4" w:rsidP="002C39F4">
      <w:pPr>
        <w:rPr>
          <w:rFonts w:cs="Arial"/>
          <w:sz w:val="16"/>
          <w:szCs w:val="16"/>
        </w:rPr>
      </w:pPr>
      <w:r w:rsidRPr="00A6068E">
        <w:rPr>
          <w:rFonts w:cs="Arial" w:hint="cs"/>
          <w:u w:val="single"/>
          <w:rtl/>
        </w:rPr>
        <w:t xml:space="preserve">כלי שיש בו </w:t>
      </w:r>
      <w:r>
        <w:rPr>
          <w:rFonts w:cs="Arial" w:hint="cs"/>
          <w:u w:val="single"/>
          <w:rtl/>
        </w:rPr>
        <w:t>ט</w:t>
      </w:r>
      <w:r w:rsidRPr="00A6068E">
        <w:rPr>
          <w:rFonts w:cs="Arial" w:hint="cs"/>
          <w:u w:val="single"/>
          <w:rtl/>
        </w:rPr>
        <w:t>לאי:</w:t>
      </w:r>
      <w:r>
        <w:rPr>
          <w:rFonts w:cs="Arial" w:hint="cs"/>
          <w:sz w:val="16"/>
          <w:szCs w:val="16"/>
          <w:rtl/>
        </w:rPr>
        <w:t xml:space="preserve">   (העותק מאו"ח סי' תנא)</w:t>
      </w:r>
    </w:p>
    <w:p w14:paraId="407857F5" w14:textId="77777777" w:rsidR="002C39F4" w:rsidRDefault="002C39F4" w:rsidP="0032102C">
      <w:pPr>
        <w:pStyle w:val="a8"/>
        <w:numPr>
          <w:ilvl w:val="0"/>
          <w:numId w:val="320"/>
        </w:numPr>
        <w:rPr>
          <w:rFonts w:cs="Arial"/>
        </w:rPr>
      </w:pPr>
      <w:r w:rsidRPr="00A6068E">
        <w:rPr>
          <w:rFonts w:cs="Arial"/>
          <w:rtl/>
        </w:rPr>
        <w:t xml:space="preserve">רא"ש </w:t>
      </w:r>
      <w:r w:rsidRPr="00A6068E">
        <w:rPr>
          <w:rFonts w:cs="Arial" w:hint="cs"/>
          <w:sz w:val="16"/>
          <w:szCs w:val="16"/>
          <w:rtl/>
        </w:rPr>
        <w:t xml:space="preserve">(פסחים </w:t>
      </w:r>
      <w:r w:rsidRPr="00A6068E">
        <w:rPr>
          <w:rFonts w:cs="Arial"/>
          <w:sz w:val="16"/>
          <w:szCs w:val="16"/>
          <w:rtl/>
        </w:rPr>
        <w:t>סי' ז</w:t>
      </w:r>
      <w:r w:rsidRPr="00A6068E">
        <w:rPr>
          <w:rFonts w:cs="Arial" w:hint="cs"/>
          <w:sz w:val="16"/>
          <w:szCs w:val="16"/>
          <w:rtl/>
        </w:rPr>
        <w:t>, ו</w:t>
      </w:r>
      <w:r w:rsidRPr="00A6068E">
        <w:rPr>
          <w:rFonts w:cs="Arial"/>
          <w:sz w:val="16"/>
          <w:szCs w:val="16"/>
          <w:rtl/>
        </w:rPr>
        <w:t>בתשו</w:t>
      </w:r>
      <w:r w:rsidRPr="00A6068E">
        <w:rPr>
          <w:rFonts w:cs="Arial" w:hint="cs"/>
          <w:sz w:val="16"/>
          <w:szCs w:val="16"/>
          <w:rtl/>
        </w:rPr>
        <w:t>'</w:t>
      </w:r>
      <w:r w:rsidRPr="00A6068E">
        <w:rPr>
          <w:rFonts w:cs="Arial"/>
          <w:sz w:val="16"/>
          <w:szCs w:val="16"/>
          <w:rtl/>
        </w:rPr>
        <w:t xml:space="preserve"> כלל יד סי' א)</w:t>
      </w:r>
      <w:r w:rsidRPr="00A6068E">
        <w:rPr>
          <w:rFonts w:cs="Arial" w:hint="cs"/>
          <w:sz w:val="16"/>
          <w:szCs w:val="16"/>
          <w:rtl/>
        </w:rPr>
        <w:t xml:space="preserve"> </w:t>
      </w:r>
      <w:r w:rsidRPr="00A6068E">
        <w:rPr>
          <w:rFonts w:cs="Arial" w:hint="cs"/>
          <w:rtl/>
        </w:rPr>
        <w:t xml:space="preserve">וטור </w:t>
      </w:r>
      <w:r w:rsidRPr="00A6068E">
        <w:rPr>
          <w:rFonts w:cs="Arial" w:hint="cs"/>
          <w:sz w:val="16"/>
          <w:szCs w:val="16"/>
          <w:rtl/>
        </w:rPr>
        <w:t>(</w:t>
      </w:r>
      <w:r>
        <w:rPr>
          <w:rFonts w:cs="Arial" w:hint="cs"/>
          <w:sz w:val="16"/>
          <w:szCs w:val="16"/>
          <w:rtl/>
        </w:rPr>
        <w:t>כאן וב</w:t>
      </w:r>
      <w:r w:rsidRPr="00A6068E">
        <w:rPr>
          <w:rFonts w:cs="Arial" w:hint="cs"/>
          <w:sz w:val="16"/>
          <w:szCs w:val="16"/>
          <w:rtl/>
        </w:rPr>
        <w:t>או"ח סי' תנא)</w:t>
      </w:r>
      <w:r w:rsidRPr="00A6068E">
        <w:rPr>
          <w:rFonts w:cs="Arial" w:hint="cs"/>
          <w:rtl/>
        </w:rPr>
        <w:t xml:space="preserve">- </w:t>
      </w:r>
      <w:r w:rsidRPr="00043D0F">
        <w:rPr>
          <w:rFonts w:cs="Arial"/>
          <w:rtl/>
        </w:rPr>
        <w:t>כלי שיש בו טלאי אינו ניתר בהגעלה לפי שמה שבלוע תחת הטלאי אינו נפלט בהגעלה וצריך להסיר הטלאי קודם שיגעילנו</w:t>
      </w:r>
      <w:r>
        <w:rPr>
          <w:rFonts w:cs="Arial" w:hint="cs"/>
          <w:sz w:val="16"/>
          <w:szCs w:val="16"/>
          <w:rtl/>
        </w:rPr>
        <w:t xml:space="preserve"> (ל' הטור ביו"ד סי' זה)</w:t>
      </w:r>
      <w:r>
        <w:rPr>
          <w:rFonts w:cs="Arial" w:hint="cs"/>
          <w:rtl/>
        </w:rPr>
        <w:t>.</w:t>
      </w:r>
      <w:r w:rsidRPr="00043D0F">
        <w:rPr>
          <w:rFonts w:cs="Arial"/>
          <w:rtl/>
        </w:rPr>
        <w:t xml:space="preserve"> </w:t>
      </w:r>
    </w:p>
    <w:p w14:paraId="63D3210D" w14:textId="77777777" w:rsidR="002C39F4" w:rsidRPr="00A6068E" w:rsidRDefault="002C39F4" w:rsidP="002C39F4">
      <w:pPr>
        <w:ind w:left="360"/>
        <w:rPr>
          <w:rFonts w:cs="Arial"/>
          <w:rtl/>
        </w:rPr>
      </w:pPr>
      <w:r>
        <w:rPr>
          <w:rFonts w:cs="Arial" w:hint="cs"/>
          <w:u w:val="dotted"/>
          <w:rtl/>
        </w:rPr>
        <w:t>פתרונות לכלי שיש בו טלאי</w:t>
      </w:r>
      <w:r w:rsidRPr="00A6068E">
        <w:rPr>
          <w:rFonts w:cs="Arial" w:hint="cs"/>
          <w:u w:val="dotted"/>
          <w:rtl/>
        </w:rPr>
        <w:t>:</w:t>
      </w:r>
      <w:r w:rsidRPr="00A45357">
        <w:rPr>
          <w:rFonts w:cs="Arial" w:hint="cs"/>
          <w:sz w:val="16"/>
          <w:szCs w:val="16"/>
          <w:rtl/>
        </w:rPr>
        <w:t xml:space="preserve"> </w:t>
      </w:r>
      <w:r>
        <w:rPr>
          <w:rFonts w:cs="Arial" w:hint="cs"/>
          <w:sz w:val="16"/>
          <w:szCs w:val="16"/>
          <w:rtl/>
        </w:rPr>
        <w:t xml:space="preserve"> (העותק מאו"ח סי' תנא)</w:t>
      </w:r>
    </w:p>
    <w:p w14:paraId="35A7E1C4" w14:textId="77777777" w:rsidR="002C39F4" w:rsidRDefault="002C39F4" w:rsidP="0032102C">
      <w:pPr>
        <w:pStyle w:val="a8"/>
        <w:numPr>
          <w:ilvl w:val="0"/>
          <w:numId w:val="320"/>
        </w:numPr>
        <w:rPr>
          <w:rFonts w:cs="Arial"/>
        </w:rPr>
      </w:pPr>
      <w:r>
        <w:rPr>
          <w:rFonts w:cs="Arial" w:hint="cs"/>
          <w:rtl/>
        </w:rPr>
        <w:t>ראבי"ה</w:t>
      </w:r>
      <w:r>
        <w:rPr>
          <w:rStyle w:val="a7"/>
          <w:rFonts w:cs="Arial"/>
          <w:rtl/>
        </w:rPr>
        <w:footnoteReference w:id="2990"/>
      </w:r>
      <w:r w:rsidRPr="00A6068E">
        <w:rPr>
          <w:rFonts w:cs="Arial"/>
          <w:rtl/>
        </w:rPr>
        <w:t xml:space="preserve"> </w:t>
      </w:r>
      <w:r w:rsidRPr="00A6068E">
        <w:rPr>
          <w:rFonts w:cs="Arial"/>
          <w:sz w:val="16"/>
          <w:szCs w:val="16"/>
          <w:rtl/>
        </w:rPr>
        <w:t>(</w:t>
      </w:r>
      <w:r>
        <w:rPr>
          <w:rFonts w:cs="Arial" w:hint="cs"/>
          <w:sz w:val="16"/>
          <w:szCs w:val="16"/>
          <w:rtl/>
        </w:rPr>
        <w:t xml:space="preserve">ח"ב פסחים </w:t>
      </w:r>
      <w:r w:rsidRPr="00A6068E">
        <w:rPr>
          <w:rFonts w:cs="Arial"/>
          <w:sz w:val="16"/>
          <w:szCs w:val="16"/>
          <w:rtl/>
        </w:rPr>
        <w:t>סי' תסד עמ' 87)</w:t>
      </w:r>
      <w:r w:rsidRPr="00A6068E">
        <w:rPr>
          <w:rFonts w:cs="Arial" w:hint="cs"/>
          <w:rtl/>
        </w:rPr>
        <w:t xml:space="preserve">- </w:t>
      </w:r>
      <w:r w:rsidRPr="00A6068E">
        <w:rPr>
          <w:rFonts w:cs="Arial"/>
          <w:rtl/>
        </w:rPr>
        <w:t xml:space="preserve">ראיתי בבית אבא מורי </w:t>
      </w:r>
      <w:r>
        <w:rPr>
          <w:rFonts w:cs="Arial" w:hint="cs"/>
          <w:sz w:val="16"/>
          <w:szCs w:val="16"/>
          <w:rtl/>
        </w:rPr>
        <w:t>{ה"ר יואל}</w:t>
      </w:r>
      <w:r>
        <w:rPr>
          <w:rFonts w:cs="Arial" w:hint="cs"/>
          <w:rtl/>
        </w:rPr>
        <w:t xml:space="preserve"> </w:t>
      </w:r>
      <w:r w:rsidRPr="00A6068E">
        <w:rPr>
          <w:rFonts w:cs="Arial"/>
          <w:rtl/>
        </w:rPr>
        <w:t>שבשעה שהיו מתקנים הכלים היה מצוה להגעיל הכלי קודם שמדביקין בו הטלאי של נחושת, ושוב היה מצוה ללבן את הטלאי ולהדביקו, ושוב אע</w:t>
      </w:r>
      <w:r>
        <w:rPr>
          <w:rFonts w:cs="Arial" w:hint="cs"/>
          <w:rtl/>
        </w:rPr>
        <w:t>"</w:t>
      </w:r>
      <w:r w:rsidRPr="00A6068E">
        <w:rPr>
          <w:rFonts w:cs="Arial"/>
          <w:rtl/>
        </w:rPr>
        <w:t>פ שהיו משתמשין בו לאחר מכאן קודם הפסח היה מגעילו עם הטלאי, דכבולעו כך פולטו</w:t>
      </w:r>
      <w:r>
        <w:rPr>
          <w:rStyle w:val="a7"/>
          <w:rFonts w:cs="Arial"/>
          <w:rtl/>
        </w:rPr>
        <w:footnoteReference w:id="2991"/>
      </w:r>
      <w:r>
        <w:rPr>
          <w:rFonts w:cs="Arial" w:hint="cs"/>
          <w:sz w:val="16"/>
          <w:szCs w:val="16"/>
          <w:rtl/>
        </w:rPr>
        <w:t xml:space="preserve"> (ל' ראבי"ה)</w:t>
      </w:r>
      <w:r w:rsidRPr="00A6068E">
        <w:rPr>
          <w:rFonts w:cs="Arial"/>
          <w:rtl/>
        </w:rPr>
        <w:t xml:space="preserve">. </w:t>
      </w:r>
    </w:p>
    <w:p w14:paraId="048CE137" w14:textId="77777777" w:rsidR="002C39F4" w:rsidRPr="00316184" w:rsidRDefault="002C39F4" w:rsidP="0032102C">
      <w:pPr>
        <w:pStyle w:val="a8"/>
        <w:numPr>
          <w:ilvl w:val="0"/>
          <w:numId w:val="320"/>
        </w:numPr>
        <w:rPr>
          <w:rFonts w:cs="Arial"/>
        </w:rPr>
      </w:pPr>
      <w:r w:rsidRPr="00487F3C">
        <w:rPr>
          <w:rFonts w:cs="Arial"/>
          <w:rtl/>
        </w:rPr>
        <w:t>רשב"א</w:t>
      </w:r>
      <w:r w:rsidRPr="00487F3C">
        <w:rPr>
          <w:rFonts w:cs="Arial"/>
          <w:sz w:val="16"/>
          <w:szCs w:val="16"/>
          <w:rtl/>
        </w:rPr>
        <w:t xml:space="preserve"> (ח"א סי' שעא, ח"ג סי' רעח)</w:t>
      </w:r>
      <w:r>
        <w:rPr>
          <w:rFonts w:cs="Arial" w:hint="cs"/>
          <w:rtl/>
        </w:rPr>
        <w:t>-</w:t>
      </w:r>
      <w:r w:rsidRPr="00487F3C">
        <w:rPr>
          <w:rFonts w:cs="Arial"/>
          <w:rtl/>
        </w:rPr>
        <w:t xml:space="preserve"> הגעלה מפלטת מכאן כמו מכאן אלא שאנו חוששין שמא תחת אותן חתיכות נכנס מגוף האיסור</w:t>
      </w:r>
      <w:r>
        <w:rPr>
          <w:rFonts w:cs="Arial" w:hint="cs"/>
          <w:rtl/>
        </w:rPr>
        <w:t>,</w:t>
      </w:r>
      <w:r w:rsidRPr="00487F3C">
        <w:rPr>
          <w:rFonts w:cs="Arial"/>
          <w:rtl/>
        </w:rPr>
        <w:t xml:space="preserve"> וממשו של גוף האיסור אינו נכשר בהגעלה</w:t>
      </w:r>
      <w:r>
        <w:rPr>
          <w:rFonts w:cs="Arial" w:hint="cs"/>
          <w:rtl/>
        </w:rPr>
        <w:t>,</w:t>
      </w:r>
      <w:r w:rsidRPr="00316184">
        <w:rPr>
          <w:rFonts w:cs="Arial"/>
          <w:rtl/>
        </w:rPr>
        <w:t xml:space="preserve"> לפיכך אנו רגילין בכל כיוצא בזה שמניחים גומרי על מקום הסדקין כדי</w:t>
      </w:r>
      <w:r w:rsidRPr="00316184">
        <w:rPr>
          <w:rFonts w:cs="Arial" w:hint="cs"/>
          <w:rtl/>
        </w:rPr>
        <w:t xml:space="preserve"> </w:t>
      </w:r>
      <w:r w:rsidRPr="00316184">
        <w:rPr>
          <w:rFonts w:cs="Arial"/>
          <w:rtl/>
        </w:rPr>
        <w:t>שישרף גוף האיסור</w:t>
      </w:r>
      <w:r w:rsidRPr="00316184">
        <w:rPr>
          <w:rFonts w:cs="Arial" w:hint="cs"/>
          <w:rtl/>
        </w:rPr>
        <w:t>,</w:t>
      </w:r>
      <w:r w:rsidRPr="00316184">
        <w:rPr>
          <w:rFonts w:cs="Arial"/>
          <w:rtl/>
        </w:rPr>
        <w:t xml:space="preserve"> אם ישנו</w:t>
      </w:r>
      <w:r w:rsidRPr="00316184">
        <w:rPr>
          <w:rFonts w:cs="Arial" w:hint="cs"/>
          <w:rtl/>
        </w:rPr>
        <w:t>,</w:t>
      </w:r>
      <w:r w:rsidRPr="00316184">
        <w:rPr>
          <w:rFonts w:cs="Arial"/>
          <w:rtl/>
        </w:rPr>
        <w:t xml:space="preserve"> ואח</w:t>
      </w:r>
      <w:r w:rsidRPr="00316184">
        <w:rPr>
          <w:rFonts w:cs="Arial" w:hint="cs"/>
          <w:rtl/>
        </w:rPr>
        <w:t>"</w:t>
      </w:r>
      <w:r w:rsidRPr="00316184">
        <w:rPr>
          <w:rFonts w:cs="Arial"/>
          <w:rtl/>
        </w:rPr>
        <w:t>כ מגעילו</w:t>
      </w:r>
      <w:r w:rsidRPr="00316184">
        <w:rPr>
          <w:rFonts w:cs="Arial" w:hint="cs"/>
          <w:rtl/>
        </w:rPr>
        <w:t>,</w:t>
      </w:r>
      <w:r w:rsidRPr="00316184">
        <w:rPr>
          <w:rFonts w:cs="Arial"/>
          <w:rtl/>
        </w:rPr>
        <w:t xml:space="preserve"> ואם הוא של עץ אין לו תקנה אא</w:t>
      </w:r>
      <w:r w:rsidRPr="00316184">
        <w:rPr>
          <w:rFonts w:cs="Arial" w:hint="cs"/>
          <w:rtl/>
        </w:rPr>
        <w:t>"</w:t>
      </w:r>
      <w:r w:rsidRPr="00316184">
        <w:rPr>
          <w:rFonts w:cs="Arial"/>
          <w:rtl/>
        </w:rPr>
        <w:t>כ ירחיב הסדק כל כך שיוכל להוציא משם מה שבתוכו</w:t>
      </w:r>
      <w:r w:rsidRPr="00316184">
        <w:rPr>
          <w:rFonts w:cs="Arial" w:hint="cs"/>
          <w:rtl/>
        </w:rPr>
        <w:t>,</w:t>
      </w:r>
      <w:r w:rsidRPr="00316184">
        <w:rPr>
          <w:rFonts w:cs="Arial"/>
          <w:rtl/>
        </w:rPr>
        <w:t xml:space="preserve"> וכן הנהגנו במקומותינו ומזמן ר</w:t>
      </w:r>
      <w:r w:rsidRPr="00316184">
        <w:rPr>
          <w:rFonts w:cs="Arial" w:hint="cs"/>
          <w:rtl/>
        </w:rPr>
        <w:t>ב.</w:t>
      </w:r>
    </w:p>
    <w:p w14:paraId="2BA8B99F" w14:textId="77777777" w:rsidR="002C39F4" w:rsidRPr="00487F3C" w:rsidRDefault="002C39F4" w:rsidP="002C39F4">
      <w:pPr>
        <w:rPr>
          <w:rFonts w:cs="Arial"/>
          <w:sz w:val="16"/>
          <w:szCs w:val="16"/>
        </w:rPr>
      </w:pPr>
      <w:r>
        <w:rPr>
          <w:rFonts w:cs="Arial" w:hint="cs"/>
          <w:u w:val="single"/>
          <w:rtl/>
        </w:rPr>
        <w:t>טלאי שהושם בכלי כשהוא חדש:</w:t>
      </w:r>
      <w:r>
        <w:rPr>
          <w:rFonts w:cs="Arial" w:hint="cs"/>
          <w:sz w:val="16"/>
          <w:szCs w:val="16"/>
          <w:rtl/>
        </w:rPr>
        <w:t xml:space="preserve">   (דרכ"מ אות ו)</w:t>
      </w:r>
    </w:p>
    <w:p w14:paraId="02E5DCE9" w14:textId="77777777" w:rsidR="002C39F4" w:rsidRPr="00854D28" w:rsidRDefault="002C39F4" w:rsidP="0032102C">
      <w:pPr>
        <w:pStyle w:val="a8"/>
        <w:numPr>
          <w:ilvl w:val="0"/>
          <w:numId w:val="320"/>
        </w:numPr>
      </w:pPr>
      <w:r>
        <w:rPr>
          <w:rFonts w:cs="Arial" w:hint="cs"/>
          <w:rtl/>
        </w:rPr>
        <w:t>או</w:t>
      </w:r>
      <w:r>
        <w:rPr>
          <w:rFonts w:cs="Arial"/>
          <w:rtl/>
        </w:rPr>
        <w:t>"</w:t>
      </w:r>
      <w:r>
        <w:rPr>
          <w:rFonts w:cs="Arial" w:hint="cs"/>
          <w:rtl/>
        </w:rPr>
        <w:t>ה</w:t>
      </w:r>
      <w:r w:rsidRPr="009C0BF4">
        <w:rPr>
          <w:rFonts w:cs="Arial"/>
          <w:rtl/>
        </w:rPr>
        <w:t xml:space="preserve"> </w:t>
      </w:r>
      <w:r w:rsidRPr="00487F3C">
        <w:rPr>
          <w:rFonts w:cs="Arial"/>
          <w:sz w:val="16"/>
          <w:szCs w:val="16"/>
          <w:rtl/>
        </w:rPr>
        <w:t>(שער נח בהג</w:t>
      </w:r>
      <w:r>
        <w:rPr>
          <w:rFonts w:cs="Arial" w:hint="cs"/>
          <w:sz w:val="16"/>
          <w:szCs w:val="16"/>
          <w:rtl/>
        </w:rPr>
        <w:t>הה על דין</w:t>
      </w:r>
      <w:r w:rsidRPr="00487F3C">
        <w:rPr>
          <w:rFonts w:cs="Arial"/>
          <w:sz w:val="16"/>
          <w:szCs w:val="16"/>
          <w:rtl/>
        </w:rPr>
        <w:t xml:space="preserve"> סח)</w:t>
      </w:r>
      <w:r>
        <w:rPr>
          <w:rFonts w:cs="Arial" w:hint="cs"/>
          <w:rtl/>
        </w:rPr>
        <w:t>-</w:t>
      </w:r>
      <w:r w:rsidRPr="009C0BF4">
        <w:rPr>
          <w:rFonts w:cs="Arial"/>
          <w:rtl/>
        </w:rPr>
        <w:t xml:space="preserve"> </w:t>
      </w:r>
      <w:r w:rsidRPr="00487F3C">
        <w:rPr>
          <w:rFonts w:cs="Arial"/>
          <w:rtl/>
        </w:rPr>
        <w:t>הקנקנים בשוליהם רושמין האומנים ואפי' הכלי כסף שיש באמצעות הטלאי המצויירין נראה שיכולין להגעיל אפי' מחמץ למצה דרובן נתקנו כשהם חדשים והוקדם הטלאי לאיסור אך באותן כלי כסף שיש בהן סי' הבעל בית ואומנים ודאי יש להחמיר ואפי' בשאר איסורין שמא נתקנו אח"כ</w:t>
      </w:r>
      <w:r>
        <w:rPr>
          <w:rFonts w:cs="Arial" w:hint="cs"/>
          <w:rtl/>
        </w:rPr>
        <w:t>.</w:t>
      </w:r>
    </w:p>
    <w:p w14:paraId="47588972" w14:textId="77777777" w:rsidR="002C39F4" w:rsidRPr="00116912" w:rsidRDefault="002C39F4" w:rsidP="002C39F4">
      <w:pPr>
        <w:rPr>
          <w:rFonts w:cs="Arial"/>
          <w:u w:val="single"/>
          <w:rtl/>
        </w:rPr>
      </w:pPr>
      <w:r>
        <w:rPr>
          <w:rFonts w:cs="Arial" w:hint="cs"/>
          <w:u w:val="single"/>
          <w:rtl/>
        </w:rPr>
        <w:t>עירוי - חשיב ככלי ראשון או ככלי שני</w:t>
      </w:r>
      <w:r w:rsidRPr="00116912">
        <w:rPr>
          <w:rFonts w:cs="Arial" w:hint="cs"/>
          <w:u w:val="single"/>
          <w:rtl/>
        </w:rPr>
        <w:t>:</w:t>
      </w:r>
    </w:p>
    <w:p w14:paraId="2A9DBA1A" w14:textId="77777777" w:rsidR="002C39F4" w:rsidRPr="00487F3C" w:rsidRDefault="002C39F4" w:rsidP="0032102C">
      <w:pPr>
        <w:pStyle w:val="a8"/>
        <w:numPr>
          <w:ilvl w:val="0"/>
          <w:numId w:val="320"/>
        </w:numPr>
        <w:rPr>
          <w:rFonts w:cs="Arial"/>
          <w:rtl/>
        </w:rPr>
      </w:pPr>
      <w:r w:rsidRPr="00043D0F">
        <w:rPr>
          <w:rFonts w:cs="Arial"/>
          <w:rtl/>
        </w:rPr>
        <w:t>ר"</w:t>
      </w:r>
      <w:r>
        <w:rPr>
          <w:rFonts w:cs="Arial" w:hint="cs"/>
          <w:rtl/>
        </w:rPr>
        <w:t>ת</w:t>
      </w:r>
      <w:r>
        <w:rPr>
          <w:rFonts w:cs="Arial" w:hint="cs"/>
          <w:sz w:val="16"/>
          <w:szCs w:val="16"/>
          <w:rtl/>
        </w:rPr>
        <w:t xml:space="preserve"> </w:t>
      </w:r>
      <w:r w:rsidRPr="00116912">
        <w:rPr>
          <w:rFonts w:cs="Arial"/>
          <w:sz w:val="16"/>
          <w:szCs w:val="16"/>
          <w:rtl/>
        </w:rPr>
        <w:t>(</w:t>
      </w:r>
      <w:r>
        <w:rPr>
          <w:rFonts w:cs="Arial" w:hint="cs"/>
          <w:sz w:val="16"/>
          <w:szCs w:val="16"/>
          <w:rtl/>
        </w:rPr>
        <w:t>כ"כ בשמו הטור, אך התוס'</w:t>
      </w:r>
      <w:r>
        <w:rPr>
          <w:rFonts w:cs="Arial" w:hint="cs"/>
          <w:sz w:val="14"/>
          <w:szCs w:val="14"/>
          <w:rtl/>
        </w:rPr>
        <w:t xml:space="preserve"> [שבת מב: ד"ה אבל]</w:t>
      </w:r>
      <w:r>
        <w:rPr>
          <w:rFonts w:cs="Arial" w:hint="cs"/>
          <w:sz w:val="16"/>
          <w:szCs w:val="16"/>
          <w:rtl/>
        </w:rPr>
        <w:t xml:space="preserve"> והרא"ש </w:t>
      </w:r>
      <w:r>
        <w:rPr>
          <w:rFonts w:cs="Arial" w:hint="cs"/>
          <w:sz w:val="14"/>
          <w:szCs w:val="14"/>
          <w:rtl/>
        </w:rPr>
        <w:t>[שם]</w:t>
      </w:r>
      <w:r>
        <w:rPr>
          <w:rFonts w:cs="Arial" w:hint="cs"/>
          <w:sz w:val="16"/>
          <w:szCs w:val="16"/>
          <w:rtl/>
        </w:rPr>
        <w:t xml:space="preserve"> כתבו כן בשם ר"י)</w:t>
      </w:r>
      <w:r>
        <w:rPr>
          <w:rFonts w:cs="Arial" w:hint="cs"/>
          <w:rtl/>
        </w:rPr>
        <w:t>-</w:t>
      </w:r>
      <w:r w:rsidRPr="00043D0F">
        <w:rPr>
          <w:rFonts w:cs="Arial"/>
          <w:rtl/>
        </w:rPr>
        <w:t xml:space="preserve"> חשיב ככלי ראשון</w:t>
      </w:r>
      <w:r>
        <w:rPr>
          <w:rFonts w:cs="Arial" w:hint="cs"/>
          <w:rtl/>
        </w:rPr>
        <w:t>.</w:t>
      </w:r>
    </w:p>
    <w:p w14:paraId="7FF94032" w14:textId="77777777" w:rsidR="002C39F4" w:rsidRDefault="002C39F4" w:rsidP="0032102C">
      <w:pPr>
        <w:pStyle w:val="a8"/>
        <w:numPr>
          <w:ilvl w:val="0"/>
          <w:numId w:val="320"/>
        </w:numPr>
        <w:rPr>
          <w:rFonts w:cs="Arial"/>
        </w:rPr>
      </w:pPr>
      <w:r>
        <w:rPr>
          <w:rFonts w:cs="Arial" w:hint="cs"/>
          <w:rtl/>
        </w:rPr>
        <w:t xml:space="preserve">ר"ח רי"ף </w:t>
      </w:r>
      <w:r w:rsidRPr="00043D0F">
        <w:rPr>
          <w:rFonts w:cs="Arial"/>
          <w:rtl/>
        </w:rPr>
        <w:t>רשב"ם</w:t>
      </w:r>
      <w:r>
        <w:rPr>
          <w:rFonts w:cs="Arial" w:hint="cs"/>
          <w:rtl/>
        </w:rPr>
        <w:t xml:space="preserve"> ורשב"א</w:t>
      </w:r>
      <w:r>
        <w:rPr>
          <w:rStyle w:val="a7"/>
          <w:rFonts w:cs="Arial"/>
          <w:rtl/>
        </w:rPr>
        <w:footnoteReference w:id="2992"/>
      </w:r>
      <w:r>
        <w:rPr>
          <w:rFonts w:cs="Arial" w:hint="cs"/>
          <w:rtl/>
        </w:rPr>
        <w:t>-</w:t>
      </w:r>
      <w:r w:rsidRPr="00043D0F">
        <w:rPr>
          <w:rFonts w:cs="Arial"/>
          <w:rtl/>
        </w:rPr>
        <w:t xml:space="preserve"> עירוי לא חשיב ככלי ראשון</w:t>
      </w:r>
      <w:r>
        <w:rPr>
          <w:rFonts w:cs="Arial" w:hint="cs"/>
          <w:rtl/>
        </w:rPr>
        <w:t>.</w:t>
      </w:r>
    </w:p>
    <w:p w14:paraId="1820CCAE" w14:textId="77777777" w:rsidR="002C39F4" w:rsidRDefault="002C39F4" w:rsidP="0032102C">
      <w:pPr>
        <w:pStyle w:val="a8"/>
        <w:numPr>
          <w:ilvl w:val="0"/>
          <w:numId w:val="320"/>
        </w:numPr>
        <w:rPr>
          <w:rFonts w:cs="Arial"/>
        </w:rPr>
      </w:pPr>
      <w:r>
        <w:rPr>
          <w:rFonts w:cs="Arial" w:hint="cs"/>
          <w:rtl/>
        </w:rPr>
        <w:t>תוס'</w:t>
      </w:r>
      <w:r w:rsidRPr="00FD4058">
        <w:rPr>
          <w:rFonts w:cs="Arial" w:hint="cs"/>
          <w:sz w:val="14"/>
          <w:szCs w:val="14"/>
          <w:rtl/>
        </w:rPr>
        <w:t xml:space="preserve"> </w:t>
      </w:r>
      <w:r>
        <w:rPr>
          <w:rFonts w:cs="Arial" w:hint="cs"/>
          <w:sz w:val="16"/>
          <w:szCs w:val="16"/>
          <w:rtl/>
        </w:rPr>
        <w:t>(</w:t>
      </w:r>
      <w:r w:rsidRPr="00FD4058">
        <w:rPr>
          <w:rFonts w:cs="Arial" w:hint="cs"/>
          <w:sz w:val="16"/>
          <w:szCs w:val="16"/>
          <w:rtl/>
        </w:rPr>
        <w:t>שבת מב: ד"ה אבל</w:t>
      </w:r>
      <w:r>
        <w:rPr>
          <w:rFonts w:cs="Arial" w:hint="cs"/>
          <w:sz w:val="16"/>
          <w:szCs w:val="16"/>
          <w:rtl/>
        </w:rPr>
        <w:t>)</w:t>
      </w:r>
      <w:r>
        <w:rPr>
          <w:rFonts w:cs="Arial" w:hint="cs"/>
          <w:rtl/>
        </w:rPr>
        <w:t xml:space="preserve">- </w:t>
      </w:r>
      <w:r>
        <w:rPr>
          <w:rFonts w:cs="Arial"/>
          <w:rtl/>
        </w:rPr>
        <w:t>נראה דעירוי לא הוי ככלי ראשון ולא ככלי שני אלא מבשל כדי קליפה</w:t>
      </w:r>
      <w:r>
        <w:rPr>
          <w:rStyle w:val="a7"/>
          <w:rFonts w:cs="Arial"/>
          <w:rtl/>
        </w:rPr>
        <w:footnoteReference w:id="2993"/>
      </w:r>
      <w:r>
        <w:rPr>
          <w:rFonts w:cs="Arial" w:hint="cs"/>
          <w:rtl/>
        </w:rPr>
        <w:t xml:space="preserve">. </w:t>
      </w:r>
    </w:p>
    <w:p w14:paraId="3D58F545" w14:textId="77777777" w:rsidR="002C39F4" w:rsidRPr="00FD4058" w:rsidRDefault="002C39F4" w:rsidP="002C39F4">
      <w:pPr>
        <w:ind w:left="360"/>
        <w:rPr>
          <w:rFonts w:cs="Arial"/>
          <w:u w:val="dotted"/>
        </w:rPr>
      </w:pPr>
      <w:r>
        <w:rPr>
          <w:rFonts w:cs="Arial" w:hint="cs"/>
          <w:u w:val="dotted"/>
          <w:rtl/>
        </w:rPr>
        <w:t>האם אפשר ל</w:t>
      </w:r>
      <w:r w:rsidRPr="00FD4058">
        <w:rPr>
          <w:rFonts w:cs="Arial" w:hint="cs"/>
          <w:u w:val="dotted"/>
          <w:rtl/>
        </w:rPr>
        <w:t>הגע</w:t>
      </w:r>
      <w:r>
        <w:rPr>
          <w:rFonts w:cs="Arial" w:hint="cs"/>
          <w:u w:val="dotted"/>
          <w:rtl/>
        </w:rPr>
        <w:t>י</w:t>
      </w:r>
      <w:r w:rsidRPr="00FD4058">
        <w:rPr>
          <w:rFonts w:cs="Arial" w:hint="cs"/>
          <w:u w:val="dotted"/>
          <w:rtl/>
        </w:rPr>
        <w:t>ל</w:t>
      </w:r>
      <w:r w:rsidRPr="00FD4058">
        <w:rPr>
          <w:rFonts w:cs="Arial" w:hint="cs"/>
          <w:sz w:val="16"/>
          <w:szCs w:val="16"/>
          <w:u w:val="dotted"/>
          <w:rtl/>
        </w:rPr>
        <w:t xml:space="preserve"> </w:t>
      </w:r>
      <w:r w:rsidRPr="00FD4058">
        <w:rPr>
          <w:rFonts w:cs="Arial" w:hint="cs"/>
          <w:u w:val="dotted"/>
          <w:rtl/>
        </w:rPr>
        <w:t xml:space="preserve"> כלי ראשון</w:t>
      </w:r>
      <w:r w:rsidRPr="00FD4058">
        <w:rPr>
          <w:rStyle w:val="a7"/>
          <w:rFonts w:cs="Arial"/>
          <w:u w:val="dotted"/>
          <w:rtl/>
        </w:rPr>
        <w:footnoteReference w:id="2994"/>
      </w:r>
      <w:r w:rsidRPr="00FD4058">
        <w:rPr>
          <w:rFonts w:cs="Arial" w:hint="cs"/>
          <w:u w:val="dotted"/>
          <w:rtl/>
        </w:rPr>
        <w:t xml:space="preserve"> ע"י עירוי מכלי ראשון:</w:t>
      </w:r>
    </w:p>
    <w:p w14:paraId="18C62B8A" w14:textId="77777777" w:rsidR="002C39F4" w:rsidRDefault="002C39F4" w:rsidP="0032102C">
      <w:pPr>
        <w:pStyle w:val="a8"/>
        <w:numPr>
          <w:ilvl w:val="0"/>
          <w:numId w:val="320"/>
        </w:numPr>
        <w:rPr>
          <w:rFonts w:cs="Arial"/>
        </w:rPr>
      </w:pPr>
      <w:r>
        <w:rPr>
          <w:rFonts w:cs="Arial" w:hint="cs"/>
          <w:rtl/>
        </w:rPr>
        <w:t>ר"ת</w:t>
      </w:r>
      <w:r>
        <w:rPr>
          <w:rFonts w:cs="Arial" w:hint="cs"/>
          <w:sz w:val="14"/>
          <w:szCs w:val="14"/>
          <w:rtl/>
        </w:rPr>
        <w:t xml:space="preserve"> </w:t>
      </w:r>
      <w:r w:rsidRPr="00B93E62">
        <w:rPr>
          <w:rFonts w:cs="Arial" w:hint="cs"/>
          <w:sz w:val="16"/>
          <w:szCs w:val="16"/>
          <w:rtl/>
        </w:rPr>
        <w:t>(כ"כ הרא"ש בשמו)</w:t>
      </w:r>
      <w:r>
        <w:rPr>
          <w:rFonts w:cs="Arial" w:hint="cs"/>
          <w:rtl/>
        </w:rPr>
        <w:t>- מותר</w:t>
      </w:r>
      <w:r>
        <w:rPr>
          <w:rStyle w:val="a7"/>
          <w:rFonts w:cs="Arial"/>
          <w:rtl/>
        </w:rPr>
        <w:footnoteReference w:id="2995"/>
      </w:r>
      <w:r>
        <w:rPr>
          <w:rFonts w:cs="Arial" w:hint="cs"/>
          <w:rtl/>
        </w:rPr>
        <w:t>.</w:t>
      </w:r>
    </w:p>
    <w:p w14:paraId="05810DF3" w14:textId="77777777" w:rsidR="002C39F4" w:rsidRDefault="002C39F4" w:rsidP="0032102C">
      <w:pPr>
        <w:pStyle w:val="a8"/>
        <w:numPr>
          <w:ilvl w:val="0"/>
          <w:numId w:val="320"/>
        </w:numPr>
        <w:rPr>
          <w:rFonts w:cs="Arial"/>
        </w:rPr>
      </w:pPr>
      <w:r>
        <w:rPr>
          <w:rFonts w:cs="Arial" w:hint="cs"/>
          <w:rtl/>
        </w:rPr>
        <w:t>תוס'</w:t>
      </w:r>
      <w:r>
        <w:rPr>
          <w:rFonts w:cs="Arial" w:hint="cs"/>
          <w:sz w:val="14"/>
          <w:szCs w:val="14"/>
          <w:rtl/>
        </w:rPr>
        <w:t xml:space="preserve"> </w:t>
      </w:r>
      <w:r w:rsidRPr="005C2945">
        <w:rPr>
          <w:rFonts w:cs="Arial" w:hint="cs"/>
          <w:sz w:val="16"/>
          <w:szCs w:val="16"/>
          <w:rtl/>
        </w:rPr>
        <w:t>(שם)</w:t>
      </w:r>
      <w:r w:rsidRPr="00FD4058">
        <w:rPr>
          <w:rFonts w:cs="Arial" w:hint="cs"/>
          <w:sz w:val="14"/>
          <w:szCs w:val="14"/>
          <w:rtl/>
        </w:rPr>
        <w:t xml:space="preserve"> </w:t>
      </w:r>
      <w:r>
        <w:rPr>
          <w:rFonts w:cs="Arial"/>
          <w:rtl/>
        </w:rPr>
        <w:t xml:space="preserve">רשב"א </w:t>
      </w:r>
      <w:r w:rsidRPr="005C2945">
        <w:rPr>
          <w:rFonts w:cs="Arial" w:hint="cs"/>
          <w:sz w:val="16"/>
          <w:szCs w:val="16"/>
          <w:rtl/>
        </w:rPr>
        <w:t xml:space="preserve">(תוה"ק </w:t>
      </w:r>
      <w:r w:rsidRPr="005C2945">
        <w:rPr>
          <w:rFonts w:cs="Arial"/>
          <w:sz w:val="16"/>
          <w:szCs w:val="16"/>
          <w:rtl/>
        </w:rPr>
        <w:t>ב"ד ש"ד לג:)</w:t>
      </w:r>
      <w:r>
        <w:rPr>
          <w:rFonts w:cs="Arial" w:hint="cs"/>
          <w:rtl/>
        </w:rPr>
        <w:t xml:space="preserve"> ורא"ש </w:t>
      </w:r>
      <w:r w:rsidRPr="00116912">
        <w:rPr>
          <w:rFonts w:cs="Arial"/>
          <w:sz w:val="16"/>
          <w:szCs w:val="16"/>
          <w:rtl/>
        </w:rPr>
        <w:t>(</w:t>
      </w:r>
      <w:r w:rsidRPr="00116912">
        <w:rPr>
          <w:rFonts w:cs="Arial" w:hint="cs"/>
          <w:sz w:val="16"/>
          <w:szCs w:val="16"/>
          <w:rtl/>
        </w:rPr>
        <w:t xml:space="preserve">שבת פ"ג </w:t>
      </w:r>
      <w:r w:rsidRPr="00116912">
        <w:rPr>
          <w:rFonts w:cs="Arial"/>
          <w:sz w:val="16"/>
          <w:szCs w:val="16"/>
          <w:rtl/>
        </w:rPr>
        <w:t>סי' טז)</w:t>
      </w:r>
      <w:r>
        <w:rPr>
          <w:rFonts w:cs="Arial" w:hint="cs"/>
          <w:rtl/>
        </w:rPr>
        <w:t xml:space="preserve">- </w:t>
      </w:r>
      <w:r w:rsidRPr="00043D0F">
        <w:rPr>
          <w:rFonts w:cs="Arial"/>
          <w:rtl/>
        </w:rPr>
        <w:t>הכא ודאי לא מהני עירוי</w:t>
      </w:r>
      <w:r>
        <w:rPr>
          <w:rFonts w:cs="Arial" w:hint="cs"/>
          <w:rtl/>
        </w:rPr>
        <w:t>,</w:t>
      </w:r>
      <w:r w:rsidRPr="00043D0F">
        <w:rPr>
          <w:rFonts w:cs="Arial"/>
          <w:rtl/>
        </w:rPr>
        <w:t xml:space="preserve"> דאפילו אם נחשבנו ככלי ראשון היינו דווקא להפליט ממנו מעט כדי קליפה ומיהו אין לו כח להפליט ממנו כל איסורו הבלוע בו</w:t>
      </w:r>
      <w:r>
        <w:rPr>
          <w:rFonts w:cs="Arial" w:hint="cs"/>
          <w:sz w:val="16"/>
          <w:szCs w:val="16"/>
          <w:rtl/>
        </w:rPr>
        <w:t xml:space="preserve"> (ל' הטור)</w:t>
      </w:r>
      <w:r>
        <w:rPr>
          <w:rFonts w:cs="Arial" w:hint="cs"/>
          <w:rtl/>
        </w:rPr>
        <w:t>.</w:t>
      </w:r>
      <w:r w:rsidRPr="00043D0F">
        <w:rPr>
          <w:rFonts w:cs="Arial"/>
          <w:rtl/>
        </w:rPr>
        <w:t xml:space="preserve"> </w:t>
      </w:r>
    </w:p>
    <w:p w14:paraId="4300DB53" w14:textId="77777777" w:rsidR="002C39F4" w:rsidRPr="00FD4058" w:rsidRDefault="002C39F4" w:rsidP="002C39F4">
      <w:pPr>
        <w:ind w:left="360"/>
        <w:rPr>
          <w:rFonts w:cs="Arial"/>
          <w:u w:val="dotted"/>
        </w:rPr>
      </w:pPr>
      <w:r w:rsidRPr="00FD4058">
        <w:rPr>
          <w:rFonts w:cs="Arial" w:hint="cs"/>
          <w:u w:val="dotted"/>
          <w:rtl/>
        </w:rPr>
        <w:t>ומה הדין אם לא נשתמש בו אלא ע"י עירוי:</w:t>
      </w:r>
    </w:p>
    <w:p w14:paraId="12EAD3E6" w14:textId="77777777" w:rsidR="002C39F4" w:rsidRDefault="002C39F4" w:rsidP="0032102C">
      <w:pPr>
        <w:pStyle w:val="a8"/>
        <w:numPr>
          <w:ilvl w:val="0"/>
          <w:numId w:val="320"/>
        </w:numPr>
        <w:rPr>
          <w:rFonts w:cs="Arial"/>
        </w:rPr>
      </w:pPr>
      <w:r>
        <w:rPr>
          <w:rFonts w:cs="Arial" w:hint="cs"/>
          <w:rtl/>
        </w:rPr>
        <w:t>תוס'</w:t>
      </w:r>
      <w:r>
        <w:rPr>
          <w:rFonts w:cs="Arial" w:hint="cs"/>
          <w:sz w:val="14"/>
          <w:szCs w:val="14"/>
          <w:rtl/>
        </w:rPr>
        <w:t xml:space="preserve"> </w:t>
      </w:r>
      <w:r w:rsidRPr="005C2945">
        <w:rPr>
          <w:rFonts w:cs="Arial" w:hint="cs"/>
          <w:sz w:val="16"/>
          <w:szCs w:val="16"/>
          <w:rtl/>
        </w:rPr>
        <w:t>(שם)</w:t>
      </w:r>
      <w:r w:rsidRPr="00FD4058">
        <w:rPr>
          <w:rFonts w:cs="Arial" w:hint="cs"/>
          <w:sz w:val="14"/>
          <w:szCs w:val="14"/>
          <w:rtl/>
        </w:rPr>
        <w:t xml:space="preserve"> </w:t>
      </w:r>
      <w:r>
        <w:rPr>
          <w:rFonts w:cs="Arial" w:hint="cs"/>
          <w:rtl/>
        </w:rPr>
        <w:t xml:space="preserve">ורא"ש </w:t>
      </w:r>
      <w:r w:rsidRPr="005C2945">
        <w:rPr>
          <w:rFonts w:cs="Arial" w:hint="cs"/>
          <w:sz w:val="16"/>
          <w:szCs w:val="16"/>
          <w:rtl/>
        </w:rPr>
        <w:t>(שם)</w:t>
      </w:r>
      <w:r>
        <w:rPr>
          <w:rFonts w:cs="Arial" w:hint="cs"/>
          <w:rtl/>
        </w:rPr>
        <w:t xml:space="preserve">- </w:t>
      </w:r>
      <w:r w:rsidRPr="00043D0F">
        <w:rPr>
          <w:rFonts w:cs="Arial"/>
          <w:rtl/>
        </w:rPr>
        <w:t>מיהו כלי שלא נשתמש בו אלא ע"י עירוי די לו ג"כ בהכשר ע"י עירוי</w:t>
      </w:r>
      <w:r>
        <w:rPr>
          <w:rFonts w:cs="Arial" w:hint="cs"/>
          <w:sz w:val="16"/>
          <w:szCs w:val="16"/>
          <w:rtl/>
        </w:rPr>
        <w:t xml:space="preserve"> (ל' הטור)</w:t>
      </w:r>
      <w:r>
        <w:rPr>
          <w:rFonts w:cs="Arial" w:hint="cs"/>
          <w:rtl/>
        </w:rPr>
        <w:t xml:space="preserve">, </w:t>
      </w:r>
      <w:r>
        <w:rPr>
          <w:rFonts w:cs="Arial"/>
          <w:rtl/>
        </w:rPr>
        <w:t>דכבולעו כך פולטו</w:t>
      </w:r>
      <w:r>
        <w:rPr>
          <w:rFonts w:cs="Arial" w:hint="cs"/>
          <w:rtl/>
        </w:rPr>
        <w:t>.</w:t>
      </w:r>
    </w:p>
    <w:p w14:paraId="55CFE2BD" w14:textId="77777777" w:rsidR="002C39F4" w:rsidRPr="0050058B" w:rsidRDefault="002C39F4" w:rsidP="0032102C">
      <w:pPr>
        <w:pStyle w:val="a8"/>
        <w:numPr>
          <w:ilvl w:val="0"/>
          <w:numId w:val="320"/>
        </w:numPr>
        <w:rPr>
          <w:rFonts w:cs="Arial"/>
          <w:rtl/>
        </w:rPr>
      </w:pPr>
      <w:r>
        <w:rPr>
          <w:rFonts w:cs="Arial" w:hint="cs"/>
          <w:rtl/>
        </w:rPr>
        <w:t>או</w:t>
      </w:r>
      <w:r>
        <w:rPr>
          <w:rFonts w:cs="Arial"/>
          <w:rtl/>
        </w:rPr>
        <w:t>"</w:t>
      </w:r>
      <w:r>
        <w:rPr>
          <w:rFonts w:cs="Arial" w:hint="cs"/>
          <w:rtl/>
        </w:rPr>
        <w:t>ה</w:t>
      </w:r>
      <w:r w:rsidRPr="009C0BF4">
        <w:rPr>
          <w:rFonts w:cs="Arial"/>
          <w:rtl/>
        </w:rPr>
        <w:t xml:space="preserve"> </w:t>
      </w:r>
      <w:r w:rsidRPr="005C2945">
        <w:rPr>
          <w:rFonts w:cs="Arial"/>
          <w:sz w:val="16"/>
          <w:szCs w:val="16"/>
          <w:rtl/>
        </w:rPr>
        <w:t>(כלל נח דין סט-ע</w:t>
      </w:r>
      <w:r>
        <w:rPr>
          <w:rFonts w:cs="Arial" w:hint="cs"/>
          <w:sz w:val="16"/>
          <w:szCs w:val="16"/>
          <w:rtl/>
        </w:rPr>
        <w:t xml:space="preserve">, הביאו הדרכ"מ </w:t>
      </w:r>
      <w:r w:rsidRPr="0050058B">
        <w:rPr>
          <w:rFonts w:cs="Arial" w:hint="cs"/>
          <w:sz w:val="14"/>
          <w:szCs w:val="14"/>
          <w:rtl/>
        </w:rPr>
        <w:t>[אות ז]</w:t>
      </w:r>
      <w:r w:rsidRPr="005C2945">
        <w:rPr>
          <w:rFonts w:cs="Arial"/>
          <w:sz w:val="16"/>
          <w:szCs w:val="16"/>
          <w:rtl/>
        </w:rPr>
        <w:t>)</w:t>
      </w:r>
      <w:r>
        <w:rPr>
          <w:rFonts w:cs="Arial" w:hint="cs"/>
          <w:rtl/>
        </w:rPr>
        <w:t xml:space="preserve">- </w:t>
      </w:r>
      <w:r w:rsidRPr="009C0BF4">
        <w:rPr>
          <w:rFonts w:cs="Arial"/>
          <w:rtl/>
        </w:rPr>
        <w:t>נוהגין להחמיר דאפילו כלי שאין משתמשין בו רק ע</w:t>
      </w:r>
      <w:r>
        <w:rPr>
          <w:rFonts w:cs="Arial" w:hint="cs"/>
          <w:rtl/>
        </w:rPr>
        <w:t>"</w:t>
      </w:r>
      <w:r w:rsidRPr="009C0BF4">
        <w:rPr>
          <w:rFonts w:cs="Arial"/>
          <w:rtl/>
        </w:rPr>
        <w:t>י עירוי נוהגין להגעיל בכלי ראשון</w:t>
      </w:r>
      <w:r>
        <w:rPr>
          <w:rStyle w:val="a7"/>
          <w:rFonts w:cs="Arial"/>
          <w:rtl/>
        </w:rPr>
        <w:footnoteReference w:id="2996"/>
      </w:r>
      <w:r>
        <w:rPr>
          <w:rFonts w:cs="Arial" w:hint="cs"/>
          <w:rtl/>
        </w:rPr>
        <w:t xml:space="preserve">. </w:t>
      </w:r>
      <w:r w:rsidRPr="00145098">
        <w:rPr>
          <w:rFonts w:cs="Arial" w:hint="cs"/>
          <w:color w:val="00B0F0"/>
          <w:rtl/>
        </w:rPr>
        <w:t xml:space="preserve">(וכ"פ הרמ"א </w:t>
      </w:r>
      <w:r>
        <w:rPr>
          <w:rFonts w:cs="Arial" w:hint="cs"/>
          <w:sz w:val="16"/>
          <w:szCs w:val="16"/>
          <w:rtl/>
        </w:rPr>
        <w:t>[בסע' ה]</w:t>
      </w:r>
      <w:r w:rsidRPr="00145098">
        <w:rPr>
          <w:rFonts w:cs="Arial" w:hint="cs"/>
          <w:color w:val="00B0F0"/>
          <w:rtl/>
        </w:rPr>
        <w:t>)</w:t>
      </w:r>
    </w:p>
    <w:p w14:paraId="233A51BE" w14:textId="77777777" w:rsidR="002C39F4" w:rsidRPr="00A45357" w:rsidRDefault="002C39F4" w:rsidP="002C39F4">
      <w:pPr>
        <w:rPr>
          <w:rFonts w:cs="Arial"/>
          <w:u w:val="single"/>
          <w:rtl/>
        </w:rPr>
      </w:pPr>
      <w:r>
        <w:rPr>
          <w:rFonts w:cs="Arial" w:hint="cs"/>
          <w:u w:val="single"/>
          <w:rtl/>
        </w:rPr>
        <w:t xml:space="preserve">הכשרת </w:t>
      </w:r>
      <w:r w:rsidRPr="00A45357">
        <w:rPr>
          <w:rFonts w:cs="Arial"/>
          <w:u w:val="single"/>
          <w:rtl/>
        </w:rPr>
        <w:t xml:space="preserve">כלים שמשתמשים בהם </w:t>
      </w:r>
      <w:r>
        <w:rPr>
          <w:rFonts w:cs="Arial" w:hint="cs"/>
          <w:u w:val="single"/>
          <w:rtl/>
        </w:rPr>
        <w:t>ב</w:t>
      </w:r>
      <w:r w:rsidRPr="00A45357">
        <w:rPr>
          <w:rFonts w:cs="Arial"/>
          <w:u w:val="single"/>
          <w:rtl/>
        </w:rPr>
        <w:t>דברים חריפים</w:t>
      </w:r>
      <w:r w:rsidRPr="00A45357">
        <w:rPr>
          <w:rFonts w:cs="Arial" w:hint="cs"/>
          <w:u w:val="single"/>
          <w:rtl/>
        </w:rPr>
        <w:t>:</w:t>
      </w:r>
      <w:r>
        <w:rPr>
          <w:rFonts w:cs="Arial" w:hint="cs"/>
          <w:sz w:val="16"/>
          <w:szCs w:val="16"/>
          <w:rtl/>
        </w:rPr>
        <w:t xml:space="preserve">   (כאן ובאו"ח סי' תנא)</w:t>
      </w:r>
    </w:p>
    <w:p w14:paraId="0F5E9AC7" w14:textId="77777777" w:rsidR="002C39F4" w:rsidRPr="00A45357" w:rsidRDefault="002C39F4" w:rsidP="0032102C">
      <w:pPr>
        <w:pStyle w:val="a8"/>
        <w:numPr>
          <w:ilvl w:val="0"/>
          <w:numId w:val="321"/>
        </w:numPr>
      </w:pPr>
      <w:r w:rsidRPr="00A45357">
        <w:rPr>
          <w:rFonts w:cs="Arial"/>
          <w:rtl/>
        </w:rPr>
        <w:t xml:space="preserve">ר"י </w:t>
      </w:r>
      <w:r w:rsidRPr="0050058B">
        <w:rPr>
          <w:rFonts w:cs="Arial"/>
          <w:sz w:val="16"/>
          <w:szCs w:val="16"/>
          <w:rtl/>
        </w:rPr>
        <w:t xml:space="preserve">(תוס' עו: ד"ה אמר רב הונא) </w:t>
      </w:r>
      <w:r>
        <w:rPr>
          <w:rFonts w:cs="Arial" w:hint="cs"/>
          <w:rtl/>
        </w:rPr>
        <w:t>ר</w:t>
      </w:r>
      <w:r w:rsidRPr="00A45357">
        <w:rPr>
          <w:rFonts w:cs="Arial"/>
          <w:rtl/>
        </w:rPr>
        <w:t xml:space="preserve">א"ש </w:t>
      </w:r>
      <w:r w:rsidRPr="0050058B">
        <w:rPr>
          <w:rFonts w:cs="Arial"/>
          <w:sz w:val="16"/>
          <w:szCs w:val="16"/>
          <w:rtl/>
        </w:rPr>
        <w:t xml:space="preserve">(פסחים פ"ב סי' ט) </w:t>
      </w:r>
      <w:r>
        <w:rPr>
          <w:rFonts w:cs="Arial" w:hint="cs"/>
          <w:rtl/>
        </w:rPr>
        <w:t>ו</w:t>
      </w:r>
      <w:r w:rsidRPr="00A45357">
        <w:rPr>
          <w:rFonts w:cs="Arial" w:hint="cs"/>
          <w:rtl/>
        </w:rPr>
        <w:t>טור</w:t>
      </w:r>
      <w:r>
        <w:rPr>
          <w:rFonts w:cs="Arial" w:hint="cs"/>
          <w:sz w:val="16"/>
          <w:szCs w:val="16"/>
          <w:rtl/>
        </w:rPr>
        <w:t xml:space="preserve"> (כאן)</w:t>
      </w:r>
      <w:r w:rsidRPr="00A45357">
        <w:rPr>
          <w:rFonts w:cs="Arial" w:hint="cs"/>
          <w:rtl/>
        </w:rPr>
        <w:t xml:space="preserve">- </w:t>
      </w:r>
      <w:r w:rsidRPr="00A45357">
        <w:rPr>
          <w:rFonts w:cs="Arial"/>
          <w:rtl/>
        </w:rPr>
        <w:t>כלים שמשתמשים בהם דברים חריפים כמו מדוך שדכים בו שומים ופלפלים עם דברים האסורים</w:t>
      </w:r>
      <w:r>
        <w:rPr>
          <w:rFonts w:cs="Arial" w:hint="cs"/>
          <w:sz w:val="18"/>
          <w:szCs w:val="18"/>
          <w:rtl/>
        </w:rPr>
        <w:t xml:space="preserve"> </w:t>
      </w:r>
      <w:r w:rsidRPr="0015235A">
        <w:rPr>
          <w:rFonts w:cs="Arial" w:hint="cs"/>
          <w:sz w:val="16"/>
          <w:szCs w:val="16"/>
          <w:rtl/>
        </w:rPr>
        <w:t>{או</w:t>
      </w:r>
      <w:r>
        <w:rPr>
          <w:rFonts w:cs="Arial" w:hint="cs"/>
          <w:sz w:val="16"/>
          <w:szCs w:val="16"/>
          <w:rtl/>
        </w:rPr>
        <w:t xml:space="preserve"> עם חמץ- לגבי פסח}</w:t>
      </w:r>
      <w:r w:rsidRPr="00A45357">
        <w:rPr>
          <w:rFonts w:cs="Arial"/>
          <w:rtl/>
        </w:rPr>
        <w:t xml:space="preserve"> אפילו לא נשתמשו בו כה"ג אלא בצונן צריכים הגעלה</w:t>
      </w:r>
      <w:r>
        <w:rPr>
          <w:rFonts w:cs="Arial" w:hint="cs"/>
          <w:rtl/>
        </w:rPr>
        <w:t>,</w:t>
      </w:r>
      <w:r w:rsidRPr="00A45357">
        <w:rPr>
          <w:rFonts w:cs="Arial"/>
          <w:rtl/>
        </w:rPr>
        <w:t xml:space="preserve"> ומיהו ע"י הגעלה שרו</w:t>
      </w:r>
      <w:r>
        <w:rPr>
          <w:rStyle w:val="a7"/>
          <w:rFonts w:cs="Arial"/>
          <w:rtl/>
        </w:rPr>
        <w:footnoteReference w:id="2997"/>
      </w:r>
      <w:r>
        <w:rPr>
          <w:rFonts w:cs="Arial" w:hint="cs"/>
          <w:sz w:val="16"/>
          <w:szCs w:val="16"/>
          <w:rtl/>
        </w:rPr>
        <w:t xml:space="preserve"> (ל' הטור [כאן])</w:t>
      </w:r>
      <w:r w:rsidRPr="00A45357">
        <w:rPr>
          <w:rFonts w:cs="Arial" w:hint="cs"/>
          <w:rtl/>
        </w:rPr>
        <w:t>.</w:t>
      </w:r>
    </w:p>
    <w:p w14:paraId="3B6472F9" w14:textId="77777777" w:rsidR="002C39F4" w:rsidRDefault="002C39F4" w:rsidP="0032102C">
      <w:pPr>
        <w:pStyle w:val="a8"/>
        <w:numPr>
          <w:ilvl w:val="0"/>
          <w:numId w:val="321"/>
        </w:numPr>
      </w:pPr>
      <w:r w:rsidRPr="00A45357">
        <w:rPr>
          <w:rFonts w:cs="Arial"/>
          <w:rtl/>
        </w:rPr>
        <w:t xml:space="preserve">רש"י </w:t>
      </w:r>
      <w:r w:rsidRPr="0015235A">
        <w:rPr>
          <w:rFonts w:cs="Arial"/>
          <w:sz w:val="16"/>
          <w:szCs w:val="16"/>
          <w:rtl/>
        </w:rPr>
        <w:t>(</w:t>
      </w:r>
      <w:r w:rsidRPr="0015235A">
        <w:rPr>
          <w:rFonts w:cs="Arial" w:hint="cs"/>
          <w:sz w:val="16"/>
          <w:szCs w:val="16"/>
          <w:rtl/>
        </w:rPr>
        <w:t xml:space="preserve">כ"כ הרא"ש </w:t>
      </w:r>
      <w:r>
        <w:rPr>
          <w:rFonts w:cs="Arial" w:hint="cs"/>
          <w:sz w:val="16"/>
          <w:szCs w:val="16"/>
          <w:rtl/>
        </w:rPr>
        <w:t>[שם] בשמו</w:t>
      </w:r>
      <w:r w:rsidRPr="0015235A">
        <w:rPr>
          <w:rFonts w:cs="Arial"/>
          <w:sz w:val="16"/>
          <w:szCs w:val="16"/>
          <w:rtl/>
        </w:rPr>
        <w:t>)</w:t>
      </w:r>
      <w:r>
        <w:rPr>
          <w:rFonts w:cs="Arial" w:hint="cs"/>
          <w:rtl/>
        </w:rPr>
        <w:t xml:space="preserve"> </w:t>
      </w:r>
      <w:r w:rsidRPr="00A45357">
        <w:rPr>
          <w:rFonts w:cs="Arial"/>
          <w:rtl/>
        </w:rPr>
        <w:t>ור</w:t>
      </w:r>
      <w:r>
        <w:rPr>
          <w:rFonts w:cs="Arial" w:hint="cs"/>
          <w:rtl/>
        </w:rPr>
        <w:t>"ת</w:t>
      </w:r>
      <w:r>
        <w:rPr>
          <w:rFonts w:cs="Arial" w:hint="cs"/>
          <w:sz w:val="16"/>
          <w:szCs w:val="16"/>
          <w:rtl/>
        </w:rPr>
        <w:t xml:space="preserve"> </w:t>
      </w:r>
      <w:r w:rsidRPr="0015235A">
        <w:rPr>
          <w:rFonts w:cs="Arial"/>
          <w:sz w:val="16"/>
          <w:szCs w:val="16"/>
          <w:rtl/>
        </w:rPr>
        <w:t>(</w:t>
      </w:r>
      <w:r w:rsidRPr="0015235A">
        <w:rPr>
          <w:rFonts w:cs="Arial" w:hint="cs"/>
          <w:sz w:val="16"/>
          <w:szCs w:val="16"/>
          <w:rtl/>
        </w:rPr>
        <w:t>כ"כ ה</w:t>
      </w:r>
      <w:r>
        <w:rPr>
          <w:rFonts w:cs="Arial" w:hint="cs"/>
          <w:sz w:val="16"/>
          <w:szCs w:val="16"/>
          <w:rtl/>
        </w:rPr>
        <w:t xml:space="preserve">טור </w:t>
      </w:r>
      <w:r>
        <w:rPr>
          <w:rFonts w:cs="Arial" w:hint="cs"/>
          <w:sz w:val="14"/>
          <w:szCs w:val="14"/>
          <w:rtl/>
        </w:rPr>
        <w:t>[כאן]</w:t>
      </w:r>
      <w:r>
        <w:rPr>
          <w:rFonts w:cs="Arial" w:hint="cs"/>
          <w:sz w:val="16"/>
          <w:szCs w:val="16"/>
          <w:rtl/>
        </w:rPr>
        <w:t xml:space="preserve"> בשמו</w:t>
      </w:r>
      <w:r w:rsidRPr="0015235A">
        <w:rPr>
          <w:rFonts w:cs="Arial"/>
          <w:sz w:val="16"/>
          <w:szCs w:val="16"/>
          <w:rtl/>
        </w:rPr>
        <w:t>)</w:t>
      </w:r>
      <w:r>
        <w:rPr>
          <w:rFonts w:cs="Arial" w:hint="cs"/>
          <w:rtl/>
        </w:rPr>
        <w:t xml:space="preserve">- </w:t>
      </w:r>
      <w:r w:rsidRPr="00A45357">
        <w:rPr>
          <w:rFonts w:cs="Arial"/>
          <w:rtl/>
        </w:rPr>
        <w:t>לא סגי להו בהגעלה</w:t>
      </w:r>
      <w:r>
        <w:rPr>
          <w:rStyle w:val="a7"/>
          <w:rFonts w:cs="Arial"/>
          <w:rtl/>
        </w:rPr>
        <w:footnoteReference w:id="2998"/>
      </w:r>
      <w:r>
        <w:rPr>
          <w:rFonts w:cs="Arial" w:hint="cs"/>
          <w:rtl/>
        </w:rPr>
        <w:t>.</w:t>
      </w:r>
    </w:p>
    <w:p w14:paraId="179B9A85" w14:textId="77777777" w:rsidR="002C39F4" w:rsidRDefault="002C39F4" w:rsidP="0032102C">
      <w:pPr>
        <w:pStyle w:val="a8"/>
        <w:numPr>
          <w:ilvl w:val="0"/>
          <w:numId w:val="321"/>
        </w:numPr>
      </w:pPr>
      <w:r w:rsidRPr="0050058B">
        <w:rPr>
          <w:rFonts w:cs="Arial"/>
          <w:rtl/>
        </w:rPr>
        <w:t xml:space="preserve">סמ"ק </w:t>
      </w:r>
      <w:r w:rsidRPr="00783B2E">
        <w:rPr>
          <w:rFonts w:cs="Arial"/>
          <w:sz w:val="16"/>
          <w:szCs w:val="16"/>
          <w:rtl/>
        </w:rPr>
        <w:t>(סי' רכב עמ' רכז ובהגהות אות ד)</w:t>
      </w:r>
      <w:r>
        <w:rPr>
          <w:rFonts w:cs="Arial" w:hint="cs"/>
          <w:rtl/>
        </w:rPr>
        <w:t xml:space="preserve">- </w:t>
      </w:r>
      <w:r w:rsidRPr="0050058B">
        <w:rPr>
          <w:rFonts w:cs="Arial"/>
          <w:rtl/>
        </w:rPr>
        <w:t>מחמירינן טובא בהכשר המדוכה ואי</w:t>
      </w:r>
      <w:r>
        <w:rPr>
          <w:rFonts w:cs="Arial" w:hint="cs"/>
          <w:rtl/>
        </w:rPr>
        <w:t xml:space="preserve">ן </w:t>
      </w:r>
      <w:r w:rsidRPr="0050058B">
        <w:rPr>
          <w:rFonts w:cs="Arial"/>
          <w:rtl/>
        </w:rPr>
        <w:t>להתיר אפילו ע</w:t>
      </w:r>
      <w:r>
        <w:rPr>
          <w:rFonts w:cs="Arial" w:hint="cs"/>
          <w:rtl/>
        </w:rPr>
        <w:t>"</w:t>
      </w:r>
      <w:r w:rsidRPr="0050058B">
        <w:rPr>
          <w:rFonts w:cs="Arial"/>
          <w:rtl/>
        </w:rPr>
        <w:t>י שמקלפין אותו בכלי אומנות ומגעילין המדוכה אח</w:t>
      </w:r>
      <w:r>
        <w:rPr>
          <w:rFonts w:cs="Arial" w:hint="cs"/>
          <w:rtl/>
        </w:rPr>
        <w:t>"</w:t>
      </w:r>
      <w:r w:rsidRPr="0050058B">
        <w:rPr>
          <w:rFonts w:cs="Arial"/>
          <w:rtl/>
        </w:rPr>
        <w:t>כ</w:t>
      </w:r>
      <w:r>
        <w:rPr>
          <w:rFonts w:cs="Arial" w:hint="cs"/>
          <w:rtl/>
        </w:rPr>
        <w:t>.</w:t>
      </w:r>
    </w:p>
    <w:p w14:paraId="47838E8C" w14:textId="77777777" w:rsidR="002C39F4" w:rsidRPr="00783B2E" w:rsidRDefault="002C39F4" w:rsidP="0032102C">
      <w:pPr>
        <w:pStyle w:val="a8"/>
        <w:numPr>
          <w:ilvl w:val="0"/>
          <w:numId w:val="321"/>
        </w:numPr>
      </w:pPr>
      <w:r>
        <w:rPr>
          <w:rFonts w:cs="Arial" w:hint="cs"/>
          <w:rtl/>
        </w:rPr>
        <w:t>תרוה"ד</w:t>
      </w:r>
      <w:r w:rsidRPr="0050058B">
        <w:rPr>
          <w:rFonts w:cs="Arial"/>
          <w:rtl/>
        </w:rPr>
        <w:t xml:space="preserve"> </w:t>
      </w:r>
      <w:r w:rsidRPr="00783B2E">
        <w:rPr>
          <w:rFonts w:cs="Arial"/>
          <w:sz w:val="16"/>
          <w:szCs w:val="16"/>
          <w:rtl/>
        </w:rPr>
        <w:t>(סי' קל)</w:t>
      </w:r>
      <w:r>
        <w:rPr>
          <w:rFonts w:cs="Arial" w:hint="cs"/>
          <w:rtl/>
        </w:rPr>
        <w:t xml:space="preserve">- </w:t>
      </w:r>
      <w:r w:rsidRPr="0050058B">
        <w:rPr>
          <w:rFonts w:cs="Arial"/>
          <w:rtl/>
        </w:rPr>
        <w:t>נהגו באוסטרייך להכשיר המדוכה בפסח ע</w:t>
      </w:r>
      <w:r>
        <w:rPr>
          <w:rFonts w:cs="Arial" w:hint="cs"/>
          <w:rtl/>
        </w:rPr>
        <w:t>"</w:t>
      </w:r>
      <w:r w:rsidRPr="0050058B">
        <w:rPr>
          <w:rFonts w:cs="Arial"/>
          <w:rtl/>
        </w:rPr>
        <w:t>י מילוי גחלים לוחשות ומדביקין חוט של פשתן בחוץ סביב המדוכה ומפיחין בגחלים עד שישרף החוט שעל גופו מבחוץ ודרך זה חשוב כמו ליבון</w:t>
      </w:r>
      <w:r>
        <w:rPr>
          <w:rStyle w:val="a7"/>
          <w:rFonts w:cs="Arial"/>
          <w:rtl/>
        </w:rPr>
        <w:footnoteReference w:id="2999"/>
      </w:r>
      <w:r>
        <w:rPr>
          <w:rFonts w:cs="Arial" w:hint="cs"/>
          <w:rtl/>
        </w:rPr>
        <w:t>,</w:t>
      </w:r>
      <w:r w:rsidRPr="0050058B">
        <w:rPr>
          <w:rFonts w:cs="Arial"/>
          <w:rtl/>
        </w:rPr>
        <w:t xml:space="preserve"> אמנם בסמ"ק</w:t>
      </w:r>
      <w:r>
        <w:rPr>
          <w:rFonts w:cs="Arial" w:hint="cs"/>
          <w:rtl/>
        </w:rPr>
        <w:t xml:space="preserve"> </w:t>
      </w:r>
      <w:r w:rsidRPr="0050058B">
        <w:rPr>
          <w:rFonts w:cs="Arial"/>
          <w:rtl/>
        </w:rPr>
        <w:t>מחמירינן טובא בהכשר המדוכה</w:t>
      </w:r>
      <w:r>
        <w:rPr>
          <w:rFonts w:cs="Arial" w:hint="cs"/>
          <w:rtl/>
        </w:rPr>
        <w:t>...</w:t>
      </w:r>
      <w:r w:rsidRPr="0050058B">
        <w:rPr>
          <w:rFonts w:cs="Arial"/>
          <w:rtl/>
        </w:rPr>
        <w:t xml:space="preserve"> ולכך אם אפשר בקל לתת המדוכה בתנור בוער שתתלבן יפה מבפנים ומבחוץ עד שיהו ניצוצות ניתזין מהם יעשה</w:t>
      </w:r>
      <w:r>
        <w:rPr>
          <w:rFonts w:cs="Arial" w:hint="cs"/>
          <w:rtl/>
        </w:rPr>
        <w:t>,</w:t>
      </w:r>
      <w:r w:rsidRPr="0050058B">
        <w:rPr>
          <w:rFonts w:cs="Arial"/>
          <w:rtl/>
        </w:rPr>
        <w:t xml:space="preserve"> אכן אם ירא משבירתה ימלאנה גומרי כדלעיל</w:t>
      </w:r>
      <w:r>
        <w:rPr>
          <w:rFonts w:cs="Arial" w:hint="cs"/>
          <w:rtl/>
        </w:rPr>
        <w:t>.</w:t>
      </w:r>
      <w:r w:rsidRPr="0050058B">
        <w:rPr>
          <w:rFonts w:cs="Arial"/>
          <w:rtl/>
        </w:rPr>
        <w:t xml:space="preserve"> </w:t>
      </w:r>
    </w:p>
    <w:p w14:paraId="1D006D79" w14:textId="77777777" w:rsidR="002C39F4" w:rsidRDefault="002C39F4" w:rsidP="0032102C">
      <w:pPr>
        <w:pStyle w:val="a8"/>
        <w:numPr>
          <w:ilvl w:val="0"/>
          <w:numId w:val="321"/>
        </w:numPr>
        <w:rPr>
          <w:rtl/>
        </w:rPr>
      </w:pPr>
      <w:r>
        <w:rPr>
          <w:rFonts w:cs="Arial" w:hint="cs"/>
          <w:rtl/>
        </w:rPr>
        <w:t>או</w:t>
      </w:r>
      <w:r>
        <w:rPr>
          <w:rFonts w:cs="Arial"/>
          <w:rtl/>
        </w:rPr>
        <w:t>"</w:t>
      </w:r>
      <w:r>
        <w:rPr>
          <w:rFonts w:cs="Arial" w:hint="cs"/>
          <w:rtl/>
        </w:rPr>
        <w:t>ה</w:t>
      </w:r>
      <w:r w:rsidRPr="009C0BF4">
        <w:rPr>
          <w:rFonts w:cs="Arial"/>
          <w:rtl/>
        </w:rPr>
        <w:t xml:space="preserve"> </w:t>
      </w:r>
      <w:r w:rsidRPr="00783B2E">
        <w:rPr>
          <w:rFonts w:cs="Arial"/>
          <w:sz w:val="16"/>
          <w:szCs w:val="16"/>
          <w:rtl/>
        </w:rPr>
        <w:t>(כלל נח דין ל-לב</w:t>
      </w:r>
      <w:r w:rsidRPr="00783B2E">
        <w:rPr>
          <w:rFonts w:cs="Arial" w:hint="cs"/>
          <w:sz w:val="16"/>
          <w:szCs w:val="16"/>
          <w:rtl/>
        </w:rPr>
        <w:t>, הביאו הדרכ"מ [אות ח]</w:t>
      </w:r>
      <w:r w:rsidRPr="00783B2E">
        <w:rPr>
          <w:rFonts w:cs="Arial"/>
          <w:sz w:val="16"/>
          <w:szCs w:val="16"/>
          <w:rtl/>
        </w:rPr>
        <w:t>)</w:t>
      </w:r>
      <w:r>
        <w:rPr>
          <w:rFonts w:cs="Arial" w:hint="cs"/>
          <w:rtl/>
        </w:rPr>
        <w:t>-</w:t>
      </w:r>
      <w:r w:rsidRPr="009C0BF4">
        <w:rPr>
          <w:rFonts w:cs="Arial"/>
          <w:rtl/>
        </w:rPr>
        <w:t xml:space="preserve"> נהגו להגעיל מדוכה של איסור אם אין בה פרקים חוץ במדוך של חמץ ומצה אין נוהגין להגעיל</w:t>
      </w:r>
      <w:r>
        <w:rPr>
          <w:rFonts w:cs="Arial" w:hint="cs"/>
          <w:rtl/>
        </w:rPr>
        <w:t>,</w:t>
      </w:r>
      <w:r w:rsidRPr="009C0BF4">
        <w:rPr>
          <w:rFonts w:cs="Arial"/>
          <w:rtl/>
        </w:rPr>
        <w:t xml:space="preserve"> והיינו דוקא בשל מתכת ואבן</w:t>
      </w:r>
      <w:r>
        <w:rPr>
          <w:rFonts w:cs="Arial" w:hint="cs"/>
          <w:rtl/>
        </w:rPr>
        <w:t>,</w:t>
      </w:r>
      <w:r w:rsidRPr="009C0BF4">
        <w:rPr>
          <w:rFonts w:cs="Arial"/>
          <w:rtl/>
        </w:rPr>
        <w:t xml:space="preserve"> אבל בשל עץ יש להחמיר לכתחלה אף בשאר איסורים שלא להגעילו רק קולפו מבפנים בכלי אומנות ולהגעילו אח"כ</w:t>
      </w:r>
      <w:r>
        <w:rPr>
          <w:rFonts w:cs="Arial" w:hint="cs"/>
          <w:rtl/>
        </w:rPr>
        <w:t>,</w:t>
      </w:r>
      <w:r w:rsidRPr="009C0BF4">
        <w:rPr>
          <w:rFonts w:cs="Arial"/>
          <w:rtl/>
        </w:rPr>
        <w:t xml:space="preserve"> דחיישינן שמא יש בו גומות</w:t>
      </w:r>
      <w:r>
        <w:rPr>
          <w:rFonts w:cs="Arial" w:hint="cs"/>
          <w:rtl/>
        </w:rPr>
        <w:t>,</w:t>
      </w:r>
      <w:r w:rsidRPr="009C0BF4">
        <w:rPr>
          <w:rFonts w:cs="Arial"/>
          <w:rtl/>
        </w:rPr>
        <w:t xml:space="preserve"> וקערה ששורין בה קיבה כל השנה אין להתירה ע"י הגעלה להשתמש בה בשר הואיל ועיקר הדבר האוסר הוא דבר חריף</w:t>
      </w:r>
      <w:r>
        <w:rPr>
          <w:rFonts w:cs="Arial" w:hint="cs"/>
          <w:rtl/>
        </w:rPr>
        <w:t>,</w:t>
      </w:r>
      <w:r w:rsidRPr="009C0BF4">
        <w:rPr>
          <w:rFonts w:cs="Arial"/>
          <w:rtl/>
        </w:rPr>
        <w:t xml:space="preserve"> משא</w:t>
      </w:r>
      <w:r>
        <w:rPr>
          <w:rFonts w:cs="Arial" w:hint="cs"/>
          <w:rtl/>
        </w:rPr>
        <w:t>"</w:t>
      </w:r>
      <w:r w:rsidRPr="009C0BF4">
        <w:rPr>
          <w:rFonts w:cs="Arial"/>
          <w:rtl/>
        </w:rPr>
        <w:t>כ במדוכה שהדבר האוסר במדוכה לא הוי דבר חריף</w:t>
      </w:r>
      <w:r>
        <w:rPr>
          <w:rFonts w:cs="Arial" w:hint="cs"/>
          <w:rtl/>
        </w:rPr>
        <w:t>.</w:t>
      </w:r>
    </w:p>
    <w:p w14:paraId="347481E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4A8C85E" w14:textId="77777777" w:rsidR="002C39F4" w:rsidRDefault="002C39F4" w:rsidP="002C39F4">
      <w:pPr>
        <w:rPr>
          <w:rFonts w:asciiTheme="minorBidi" w:hAnsiTheme="minorBidi"/>
          <w:rtl/>
        </w:rPr>
      </w:pPr>
      <w:r w:rsidRPr="003024E5">
        <w:rPr>
          <w:rFonts w:asciiTheme="minorBidi" w:hAnsiTheme="minorBidi"/>
          <w:rtl/>
        </w:rPr>
        <w:t xml:space="preserve">דיני הגעלה וליבון הלא הם כתובים בהלכות פסח. </w:t>
      </w:r>
    </w:p>
    <w:p w14:paraId="0A1BC09A" w14:textId="77777777" w:rsidR="002C39F4" w:rsidRPr="003024E5" w:rsidRDefault="002C39F4" w:rsidP="002C39F4">
      <w:pPr>
        <w:rPr>
          <w:rFonts w:asciiTheme="minorBidi" w:hAnsiTheme="minorBidi"/>
          <w:rtl/>
        </w:rPr>
      </w:pPr>
    </w:p>
    <w:p w14:paraId="65B8908F" w14:textId="77777777" w:rsidR="002C39F4"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מחבת שמטגנים בה.</w:t>
      </w:r>
    </w:p>
    <w:p w14:paraId="748EBC20" w14:textId="77777777" w:rsidR="002C39F4" w:rsidRPr="00612CB1" w:rsidRDefault="002C39F4" w:rsidP="002C39F4">
      <w:pPr>
        <w:rPr>
          <w:rFonts w:cs="Arial"/>
          <w:u w:val="single"/>
          <w:rtl/>
        </w:rPr>
      </w:pPr>
      <w:r>
        <w:rPr>
          <w:rFonts w:cs="Arial" w:hint="cs"/>
          <w:u w:val="single"/>
          <w:rtl/>
        </w:rPr>
        <w:t xml:space="preserve">כיצד יש להכשיר </w:t>
      </w:r>
      <w:r w:rsidRPr="00612CB1">
        <w:rPr>
          <w:rFonts w:cs="Arial"/>
          <w:u w:val="single"/>
          <w:rtl/>
        </w:rPr>
        <w:t>מחבת שמטגנין בו</w:t>
      </w:r>
      <w:r w:rsidRPr="00612CB1">
        <w:rPr>
          <w:rFonts w:cs="Arial" w:hint="cs"/>
          <w:u w:val="single"/>
          <w:rtl/>
        </w:rPr>
        <w:t>:</w:t>
      </w:r>
      <w:r w:rsidRPr="00612CB1">
        <w:rPr>
          <w:rFonts w:cs="Arial"/>
          <w:u w:val="single"/>
          <w:rtl/>
        </w:rPr>
        <w:t xml:space="preserve"> </w:t>
      </w:r>
    </w:p>
    <w:p w14:paraId="22D41355" w14:textId="77777777" w:rsidR="002C39F4" w:rsidRPr="00612CB1" w:rsidRDefault="002C39F4" w:rsidP="0032102C">
      <w:pPr>
        <w:pStyle w:val="a8"/>
        <w:numPr>
          <w:ilvl w:val="0"/>
          <w:numId w:val="322"/>
        </w:numPr>
        <w:rPr>
          <w:rFonts w:cs="Arial"/>
          <w:rtl/>
        </w:rPr>
      </w:pPr>
      <w:r w:rsidRPr="00612CB1">
        <w:rPr>
          <w:rFonts w:cs="Arial"/>
          <w:rtl/>
        </w:rPr>
        <w:t>רבי</w:t>
      </w:r>
      <w:r w:rsidRPr="00612CB1">
        <w:rPr>
          <w:rFonts w:cs="Arial" w:hint="cs"/>
          <w:rtl/>
        </w:rPr>
        <w:t>נו</w:t>
      </w:r>
      <w:r w:rsidRPr="00612CB1">
        <w:rPr>
          <w:rFonts w:cs="Arial"/>
          <w:rtl/>
        </w:rPr>
        <w:t xml:space="preserve"> יואל</w:t>
      </w:r>
      <w:r w:rsidRPr="00612CB1">
        <w:rPr>
          <w:rFonts w:cs="Arial" w:hint="cs"/>
          <w:sz w:val="16"/>
          <w:szCs w:val="16"/>
          <w:rtl/>
        </w:rPr>
        <w:t xml:space="preserve"> (כ"כ בנו </w:t>
      </w:r>
      <w:r w:rsidRPr="00612CB1">
        <w:rPr>
          <w:rFonts w:cs="Arial" w:hint="cs"/>
          <w:sz w:val="14"/>
          <w:szCs w:val="14"/>
          <w:rtl/>
        </w:rPr>
        <w:t>[הראבי"ה]</w:t>
      </w:r>
      <w:r w:rsidRPr="00612CB1">
        <w:rPr>
          <w:rFonts w:cs="Arial" w:hint="cs"/>
          <w:sz w:val="16"/>
          <w:szCs w:val="16"/>
          <w:rtl/>
        </w:rPr>
        <w:t xml:space="preserve"> בשמו)</w:t>
      </w:r>
      <w:r>
        <w:rPr>
          <w:rFonts w:cs="Arial" w:hint="cs"/>
          <w:rtl/>
        </w:rPr>
        <w:t xml:space="preserve"> ורשב"א</w:t>
      </w:r>
      <w:r w:rsidRPr="00612CB1">
        <w:rPr>
          <w:rFonts w:cs="Arial"/>
          <w:rtl/>
        </w:rPr>
        <w:t xml:space="preserve"> </w:t>
      </w:r>
      <w:r w:rsidRPr="00612CB1">
        <w:rPr>
          <w:rFonts w:cs="Arial"/>
          <w:sz w:val="16"/>
          <w:szCs w:val="16"/>
          <w:rtl/>
        </w:rPr>
        <w:t>(</w:t>
      </w:r>
      <w:r w:rsidRPr="00612CB1">
        <w:rPr>
          <w:rFonts w:cs="Arial" w:hint="cs"/>
          <w:sz w:val="16"/>
          <w:szCs w:val="16"/>
          <w:rtl/>
        </w:rPr>
        <w:t>תוה"א</w:t>
      </w:r>
      <w:r w:rsidRPr="00612CB1">
        <w:rPr>
          <w:rFonts w:cs="Arial"/>
          <w:sz w:val="16"/>
          <w:szCs w:val="16"/>
          <w:rtl/>
        </w:rPr>
        <w:t xml:space="preserve"> </w:t>
      </w:r>
      <w:r>
        <w:rPr>
          <w:rFonts w:cs="Arial" w:hint="cs"/>
          <w:sz w:val="16"/>
          <w:szCs w:val="16"/>
          <w:rtl/>
        </w:rPr>
        <w:t>ב"ד ש"ד</w:t>
      </w:r>
      <w:r w:rsidRPr="00612CB1">
        <w:rPr>
          <w:rFonts w:cs="Arial"/>
          <w:sz w:val="16"/>
          <w:szCs w:val="16"/>
          <w:rtl/>
        </w:rPr>
        <w:t xml:space="preserve"> לה.)</w:t>
      </w:r>
      <w:r w:rsidRPr="00612CB1">
        <w:rPr>
          <w:rFonts w:cs="Arial" w:hint="cs"/>
          <w:rtl/>
        </w:rPr>
        <w:t xml:space="preserve">- </w:t>
      </w:r>
      <w:r w:rsidRPr="00612CB1">
        <w:rPr>
          <w:rFonts w:cs="Arial"/>
          <w:rtl/>
        </w:rPr>
        <w:t>צריכה ליבון</w:t>
      </w:r>
      <w:r>
        <w:rPr>
          <w:rStyle w:val="a7"/>
          <w:rFonts w:cs="Arial"/>
          <w:rtl/>
        </w:rPr>
        <w:footnoteReference w:id="3000"/>
      </w:r>
      <w:r w:rsidRPr="00612CB1">
        <w:rPr>
          <w:rFonts w:cs="Arial" w:hint="cs"/>
          <w:rtl/>
        </w:rPr>
        <w:t>.</w:t>
      </w:r>
    </w:p>
    <w:p w14:paraId="3CF67986" w14:textId="77777777" w:rsidR="002C39F4" w:rsidRDefault="002C39F4" w:rsidP="0032102C">
      <w:pPr>
        <w:pStyle w:val="a8"/>
        <w:numPr>
          <w:ilvl w:val="0"/>
          <w:numId w:val="322"/>
        </w:numPr>
        <w:rPr>
          <w:rFonts w:cs="Arial"/>
        </w:rPr>
      </w:pPr>
      <w:r w:rsidRPr="00612CB1">
        <w:rPr>
          <w:rFonts w:cs="Arial" w:hint="cs"/>
          <w:rtl/>
        </w:rPr>
        <w:t xml:space="preserve">ראבי"ה </w:t>
      </w:r>
      <w:r w:rsidRPr="00612CB1">
        <w:rPr>
          <w:rFonts w:cs="Arial"/>
          <w:sz w:val="16"/>
          <w:szCs w:val="16"/>
          <w:rtl/>
        </w:rPr>
        <w:t xml:space="preserve">(ס' תסד עמ' פז) </w:t>
      </w:r>
      <w:r>
        <w:rPr>
          <w:rFonts w:cs="Arial" w:hint="cs"/>
          <w:rtl/>
        </w:rPr>
        <w:t xml:space="preserve">מרדכי </w:t>
      </w:r>
      <w:r w:rsidRPr="00175B6B">
        <w:rPr>
          <w:rFonts w:cs="Arial" w:hint="cs"/>
          <w:sz w:val="16"/>
          <w:szCs w:val="16"/>
          <w:rtl/>
        </w:rPr>
        <w:t>(סי' תקעז)</w:t>
      </w:r>
      <w:r>
        <w:rPr>
          <w:rFonts w:cs="Arial" w:hint="cs"/>
          <w:rtl/>
        </w:rPr>
        <w:t xml:space="preserve"> </w:t>
      </w:r>
      <w:r w:rsidRPr="00612CB1">
        <w:rPr>
          <w:rFonts w:cs="Arial" w:hint="cs"/>
          <w:rtl/>
        </w:rPr>
        <w:t>רא"ש</w:t>
      </w:r>
      <w:r>
        <w:rPr>
          <w:rFonts w:cs="Arial" w:hint="cs"/>
          <w:sz w:val="16"/>
          <w:szCs w:val="16"/>
          <w:rtl/>
        </w:rPr>
        <w:t xml:space="preserve"> (פסחים פ"ב סי' ז, ובתשו' כלל יד סי' א)</w:t>
      </w:r>
      <w:r w:rsidRPr="00175B6B">
        <w:rPr>
          <w:rtl/>
        </w:rPr>
        <w:t xml:space="preserve"> </w:t>
      </w:r>
      <w:r>
        <w:rPr>
          <w:rFonts w:cs="Arial" w:hint="cs"/>
          <w:rtl/>
        </w:rPr>
        <w:t xml:space="preserve">והגה"מ </w:t>
      </w:r>
      <w:r w:rsidRPr="00175B6B">
        <w:rPr>
          <w:rFonts w:cs="Arial" w:hint="cs"/>
          <w:sz w:val="16"/>
          <w:szCs w:val="16"/>
          <w:rtl/>
        </w:rPr>
        <w:t xml:space="preserve">(פ"ה </w:t>
      </w:r>
      <w:r w:rsidRPr="00175B6B">
        <w:rPr>
          <w:rFonts w:cs="Arial"/>
          <w:sz w:val="16"/>
          <w:szCs w:val="16"/>
          <w:rtl/>
        </w:rPr>
        <w:t>הכ"ג אות א)</w:t>
      </w:r>
      <w:r w:rsidRPr="00612CB1">
        <w:rPr>
          <w:rFonts w:cs="Arial" w:hint="cs"/>
          <w:rtl/>
        </w:rPr>
        <w:t xml:space="preserve">- </w:t>
      </w:r>
      <w:r w:rsidRPr="00612CB1">
        <w:rPr>
          <w:rFonts w:cs="Arial"/>
          <w:rtl/>
        </w:rPr>
        <w:t>דיו בהגעלה</w:t>
      </w:r>
      <w:r w:rsidRPr="00612CB1">
        <w:rPr>
          <w:rFonts w:cs="Arial" w:hint="cs"/>
          <w:rtl/>
        </w:rPr>
        <w:t>.</w:t>
      </w:r>
    </w:p>
    <w:p w14:paraId="56A0D4C2" w14:textId="77777777" w:rsidR="002C39F4" w:rsidRDefault="002C39F4" w:rsidP="0032102C">
      <w:pPr>
        <w:pStyle w:val="a8"/>
        <w:numPr>
          <w:ilvl w:val="0"/>
          <w:numId w:val="322"/>
        </w:numPr>
        <w:rPr>
          <w:rFonts w:cs="Arial"/>
        </w:rPr>
      </w:pPr>
      <w:r w:rsidRPr="00D31995">
        <w:rPr>
          <w:rFonts w:cs="Arial"/>
          <w:rtl/>
        </w:rPr>
        <w:t>מהר"י ברין</w:t>
      </w:r>
      <w:r w:rsidRPr="00D31995">
        <w:rPr>
          <w:rFonts w:cs="Arial"/>
          <w:sz w:val="16"/>
          <w:szCs w:val="16"/>
          <w:rtl/>
        </w:rPr>
        <w:t xml:space="preserve"> </w:t>
      </w:r>
      <w:r w:rsidRPr="00D31995">
        <w:rPr>
          <w:rFonts w:cs="Arial" w:hint="cs"/>
          <w:sz w:val="16"/>
          <w:szCs w:val="16"/>
          <w:rtl/>
        </w:rPr>
        <w:t>(הביאו הדרכ"מ [או"ח סי' תנא אות ז])</w:t>
      </w:r>
      <w:r>
        <w:rPr>
          <w:rFonts w:cs="Arial" w:hint="cs"/>
          <w:rtl/>
        </w:rPr>
        <w:t xml:space="preserve">- </w:t>
      </w:r>
      <w:r w:rsidRPr="00D31995">
        <w:rPr>
          <w:rFonts w:cs="Arial"/>
          <w:rtl/>
        </w:rPr>
        <w:t>אנו נוהגין לכתחלה ללבנו ומיהו בדיעבד סגי ליה בהגעלה</w:t>
      </w:r>
      <w:r>
        <w:rPr>
          <w:rStyle w:val="a7"/>
          <w:rFonts w:cs="Arial"/>
          <w:rtl/>
        </w:rPr>
        <w:footnoteReference w:id="3001"/>
      </w:r>
      <w:r>
        <w:rPr>
          <w:rFonts w:cs="Arial" w:hint="cs"/>
          <w:rtl/>
        </w:rPr>
        <w:t>.</w:t>
      </w:r>
    </w:p>
    <w:p w14:paraId="730EF076" w14:textId="77777777" w:rsidR="002C39F4" w:rsidRPr="00612CB1" w:rsidRDefault="002C39F4" w:rsidP="0032102C">
      <w:pPr>
        <w:pStyle w:val="a8"/>
        <w:numPr>
          <w:ilvl w:val="1"/>
          <w:numId w:val="322"/>
        </w:numPr>
        <w:rPr>
          <w:rFonts w:cs="Arial"/>
          <w:rtl/>
        </w:rPr>
      </w:pPr>
      <w:r>
        <w:rPr>
          <w:rFonts w:cs="Arial" w:hint="cs"/>
          <w:rtl/>
        </w:rPr>
        <w:t xml:space="preserve">ב"י- </w:t>
      </w:r>
      <w:r w:rsidRPr="00612CB1">
        <w:rPr>
          <w:rFonts w:cs="Arial"/>
          <w:rtl/>
        </w:rPr>
        <w:t>כבר נתבאר בטור או</w:t>
      </w:r>
      <w:r>
        <w:rPr>
          <w:rFonts w:cs="Arial" w:hint="cs"/>
          <w:rtl/>
        </w:rPr>
        <w:t>"</w:t>
      </w:r>
      <w:r w:rsidRPr="00612CB1">
        <w:rPr>
          <w:rFonts w:cs="Arial"/>
          <w:rtl/>
        </w:rPr>
        <w:t xml:space="preserve">ח סימן תנא </w:t>
      </w:r>
      <w:r w:rsidRPr="00612CB1">
        <w:rPr>
          <w:rFonts w:cs="Arial"/>
          <w:sz w:val="16"/>
          <w:szCs w:val="16"/>
          <w:rtl/>
        </w:rPr>
        <w:t xml:space="preserve">(קצד: ד"ה ומחבת) </w:t>
      </w:r>
      <w:r w:rsidRPr="00612CB1">
        <w:rPr>
          <w:rFonts w:cs="Arial"/>
          <w:rtl/>
        </w:rPr>
        <w:t>דנהוג עלמא בפסח כאבי העזרי</w:t>
      </w:r>
      <w:r>
        <w:rPr>
          <w:rStyle w:val="a7"/>
          <w:rFonts w:cs="Arial"/>
          <w:rtl/>
        </w:rPr>
        <w:footnoteReference w:id="3002"/>
      </w:r>
      <w:r>
        <w:rPr>
          <w:rFonts w:cs="Arial" w:hint="cs"/>
          <w:rtl/>
        </w:rPr>
        <w:t>,</w:t>
      </w:r>
      <w:r w:rsidRPr="00612CB1">
        <w:rPr>
          <w:rFonts w:cs="Arial"/>
          <w:rtl/>
        </w:rPr>
        <w:t xml:space="preserve"> ומיהו במחבת של איסור יש להחמיר כדברי ה"ר יואל</w:t>
      </w:r>
      <w:r>
        <w:rPr>
          <w:rFonts w:cs="Arial" w:hint="cs"/>
          <w:rtl/>
        </w:rPr>
        <w:t>.</w:t>
      </w:r>
    </w:p>
    <w:p w14:paraId="1F2BE4D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1F6DD40" w14:textId="77777777" w:rsidR="002C39F4" w:rsidRDefault="002C39F4" w:rsidP="002C39F4">
      <w:pPr>
        <w:rPr>
          <w:rFonts w:asciiTheme="minorBidi" w:hAnsiTheme="minorBidi"/>
          <w:rtl/>
        </w:rPr>
      </w:pPr>
      <w:r w:rsidRPr="003024E5">
        <w:rPr>
          <w:rFonts w:asciiTheme="minorBidi" w:hAnsiTheme="minorBidi"/>
          <w:rtl/>
        </w:rPr>
        <w:t>מחבת שמטגנים בה, אף על פי שלענין חמץ בפסח די לה בהגעלה</w:t>
      </w:r>
      <w:r>
        <w:rPr>
          <w:rStyle w:val="a7"/>
          <w:rFonts w:asciiTheme="minorBidi" w:hAnsiTheme="minorBidi"/>
          <w:rtl/>
        </w:rPr>
        <w:footnoteReference w:id="3003"/>
      </w:r>
      <w:r w:rsidRPr="003024E5">
        <w:rPr>
          <w:rFonts w:asciiTheme="minorBidi" w:hAnsiTheme="minorBidi"/>
          <w:rtl/>
        </w:rPr>
        <w:t xml:space="preserve">, לענין שאר איסורים צריכה ליבון. </w:t>
      </w:r>
    </w:p>
    <w:p w14:paraId="2692D597" w14:textId="77777777" w:rsidR="002C39F4" w:rsidRPr="003024E5" w:rsidRDefault="002C39F4" w:rsidP="002C39F4">
      <w:pPr>
        <w:rPr>
          <w:rFonts w:asciiTheme="minorBidi" w:hAnsiTheme="minorBidi"/>
          <w:rtl/>
        </w:rPr>
      </w:pPr>
    </w:p>
    <w:p w14:paraId="6A18C6B6"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xml:space="preserve">: </w:t>
      </w:r>
      <w:r w:rsidRPr="00316121">
        <w:rPr>
          <w:rFonts w:cs="Arial"/>
          <w:rtl/>
        </w:rPr>
        <w:t>הגעיל כלי הצריך ליבון</w:t>
      </w:r>
      <w:r>
        <w:rPr>
          <w:rFonts w:asciiTheme="minorBidi" w:hAnsiTheme="minorBidi" w:hint="cs"/>
          <w:rtl/>
        </w:rPr>
        <w:t>.</w:t>
      </w:r>
    </w:p>
    <w:p w14:paraId="538C318C" w14:textId="77777777" w:rsidR="002C39F4" w:rsidRPr="00145098" w:rsidRDefault="002C39F4" w:rsidP="002C39F4">
      <w:pPr>
        <w:rPr>
          <w:rFonts w:cs="Arial"/>
          <w:u w:val="single"/>
          <w:rtl/>
        </w:rPr>
      </w:pPr>
      <w:r w:rsidRPr="00145098">
        <w:rPr>
          <w:rFonts w:cs="Arial"/>
          <w:u w:val="single"/>
          <w:rtl/>
        </w:rPr>
        <w:t>הגעיל כלי הצריך ליבון</w:t>
      </w:r>
      <w:r w:rsidRPr="00145098">
        <w:rPr>
          <w:rFonts w:cs="Arial" w:hint="cs"/>
          <w:u w:val="single"/>
          <w:rtl/>
        </w:rPr>
        <w:t xml:space="preserve"> </w:t>
      </w:r>
      <w:r w:rsidRPr="00145098">
        <w:rPr>
          <w:rFonts w:cs="Arial"/>
          <w:u w:val="single"/>
          <w:rtl/>
        </w:rPr>
        <w:t>–</w:t>
      </w:r>
      <w:r w:rsidRPr="00145098">
        <w:rPr>
          <w:rFonts w:cs="Arial" w:hint="cs"/>
          <w:u w:val="single"/>
          <w:rtl/>
        </w:rPr>
        <w:t xml:space="preserve"> האם יכול להשתמש בו בחמין שלא ע"י האור:</w:t>
      </w:r>
    </w:p>
    <w:p w14:paraId="4455A43F" w14:textId="77777777" w:rsidR="002C39F4" w:rsidRPr="00145098" w:rsidRDefault="002C39F4" w:rsidP="0032102C">
      <w:pPr>
        <w:pStyle w:val="a8"/>
        <w:numPr>
          <w:ilvl w:val="0"/>
          <w:numId w:val="323"/>
        </w:numPr>
        <w:rPr>
          <w:rFonts w:cs="Arial"/>
          <w:rtl/>
        </w:rPr>
      </w:pPr>
      <w:r w:rsidRPr="00145098">
        <w:rPr>
          <w:rFonts w:cs="Arial"/>
          <w:rtl/>
        </w:rPr>
        <w:t xml:space="preserve">רשב"א </w:t>
      </w:r>
      <w:r w:rsidRPr="00145098">
        <w:rPr>
          <w:rFonts w:cs="Arial"/>
          <w:sz w:val="16"/>
          <w:szCs w:val="16"/>
          <w:rtl/>
        </w:rPr>
        <w:t>(</w:t>
      </w:r>
      <w:r w:rsidRPr="00145098">
        <w:rPr>
          <w:rFonts w:cs="Arial" w:hint="cs"/>
          <w:sz w:val="16"/>
          <w:szCs w:val="16"/>
          <w:rtl/>
        </w:rPr>
        <w:t>תו</w:t>
      </w:r>
      <w:r w:rsidRPr="00145098">
        <w:rPr>
          <w:rFonts w:cs="Arial"/>
          <w:sz w:val="16"/>
          <w:szCs w:val="16"/>
          <w:rtl/>
        </w:rPr>
        <w:t>ה</w:t>
      </w:r>
      <w:r w:rsidRPr="00145098">
        <w:rPr>
          <w:rFonts w:cs="Arial" w:hint="cs"/>
          <w:sz w:val="16"/>
          <w:szCs w:val="16"/>
          <w:rtl/>
        </w:rPr>
        <w:t>"</w:t>
      </w:r>
      <w:r w:rsidRPr="00145098">
        <w:rPr>
          <w:rFonts w:cs="Arial"/>
          <w:sz w:val="16"/>
          <w:szCs w:val="16"/>
          <w:rtl/>
        </w:rPr>
        <w:t xml:space="preserve">ק </w:t>
      </w:r>
      <w:r w:rsidRPr="00145098">
        <w:rPr>
          <w:rFonts w:cs="Arial" w:hint="cs"/>
          <w:sz w:val="16"/>
          <w:szCs w:val="16"/>
          <w:rtl/>
        </w:rPr>
        <w:t>שם</w:t>
      </w:r>
      <w:r w:rsidRPr="00145098">
        <w:rPr>
          <w:rFonts w:cs="Arial"/>
          <w:sz w:val="16"/>
          <w:szCs w:val="16"/>
          <w:rtl/>
        </w:rPr>
        <w:t xml:space="preserve"> לד:) </w:t>
      </w:r>
      <w:r w:rsidRPr="00145098">
        <w:rPr>
          <w:rFonts w:cs="Arial"/>
          <w:rtl/>
        </w:rPr>
        <w:t xml:space="preserve">רא"ש </w:t>
      </w:r>
      <w:r w:rsidRPr="00145098">
        <w:rPr>
          <w:rFonts w:cs="Arial" w:hint="cs"/>
          <w:sz w:val="16"/>
          <w:szCs w:val="16"/>
          <w:rtl/>
        </w:rPr>
        <w:t xml:space="preserve">(סוף </w:t>
      </w:r>
      <w:r w:rsidRPr="00145098">
        <w:rPr>
          <w:rFonts w:cs="Arial"/>
          <w:sz w:val="16"/>
          <w:szCs w:val="16"/>
          <w:rtl/>
        </w:rPr>
        <w:t>ע"ז סי' לד)</w:t>
      </w:r>
      <w:r w:rsidRPr="00145098">
        <w:rPr>
          <w:rFonts w:cs="Arial" w:hint="cs"/>
          <w:sz w:val="16"/>
          <w:szCs w:val="16"/>
          <w:rtl/>
        </w:rPr>
        <w:t xml:space="preserve"> </w:t>
      </w:r>
      <w:r w:rsidRPr="00145098">
        <w:rPr>
          <w:rFonts w:cs="Arial" w:hint="cs"/>
          <w:rtl/>
        </w:rPr>
        <w:t>טור</w:t>
      </w:r>
      <w:r w:rsidRPr="00145098">
        <w:rPr>
          <w:rFonts w:cs="Arial"/>
          <w:rtl/>
        </w:rPr>
        <w:t xml:space="preserve"> </w:t>
      </w:r>
      <w:r w:rsidRPr="00145098">
        <w:rPr>
          <w:rFonts w:cs="Arial" w:hint="cs"/>
          <w:rtl/>
        </w:rPr>
        <w:t>ו</w:t>
      </w:r>
      <w:r w:rsidRPr="00145098">
        <w:rPr>
          <w:rFonts w:cs="Arial"/>
          <w:rtl/>
        </w:rPr>
        <w:t xml:space="preserve">ר"ן </w:t>
      </w:r>
      <w:r w:rsidRPr="00145098">
        <w:rPr>
          <w:rFonts w:cs="Arial" w:hint="cs"/>
          <w:sz w:val="16"/>
          <w:szCs w:val="16"/>
          <w:rtl/>
        </w:rPr>
        <w:t>(</w:t>
      </w:r>
      <w:r w:rsidRPr="00145098">
        <w:rPr>
          <w:rFonts w:cs="Arial"/>
          <w:sz w:val="16"/>
          <w:szCs w:val="16"/>
          <w:rtl/>
        </w:rPr>
        <w:t>ע"ז לט: סוף דיבור ראשון)</w:t>
      </w:r>
      <w:r w:rsidRPr="00145098">
        <w:rPr>
          <w:rFonts w:cs="Arial" w:hint="cs"/>
          <w:rtl/>
        </w:rPr>
        <w:t xml:space="preserve">- </w:t>
      </w:r>
      <w:r w:rsidRPr="00145098">
        <w:rPr>
          <w:rFonts w:cs="Arial"/>
          <w:rtl/>
        </w:rPr>
        <w:t>הגעיל כלי הצריך ליבון אסור להשתמש בו בחמין אפילו שלא ע"י האש</w:t>
      </w:r>
      <w:r w:rsidRPr="00145098">
        <w:rPr>
          <w:rFonts w:cs="Arial" w:hint="cs"/>
          <w:rtl/>
        </w:rPr>
        <w:t>,</w:t>
      </w:r>
      <w:r w:rsidRPr="00145098">
        <w:rPr>
          <w:rFonts w:cs="Arial"/>
          <w:rtl/>
        </w:rPr>
        <w:t xml:space="preserve"> שכל שתשמישו ע"י האש אינו פולט הכל ע"י הגעלה</w:t>
      </w:r>
      <w:r w:rsidRPr="00145098">
        <w:rPr>
          <w:rFonts w:cs="Arial" w:hint="cs"/>
          <w:rtl/>
        </w:rPr>
        <w:t>,</w:t>
      </w:r>
      <w:r w:rsidRPr="00145098">
        <w:rPr>
          <w:rFonts w:cs="Arial"/>
          <w:rtl/>
        </w:rPr>
        <w:t xml:space="preserve"> וכל זמן שישתמשו בו ע"י חמין פולט מעט מעט</w:t>
      </w:r>
      <w:r>
        <w:rPr>
          <w:rStyle w:val="a7"/>
          <w:rFonts w:cs="Arial"/>
          <w:rtl/>
        </w:rPr>
        <w:footnoteReference w:id="3004"/>
      </w:r>
      <w:r w:rsidRPr="00145098">
        <w:rPr>
          <w:rFonts w:cs="Arial"/>
          <w:rtl/>
        </w:rPr>
        <w:t xml:space="preserve"> </w:t>
      </w:r>
      <w:r w:rsidRPr="00145098">
        <w:rPr>
          <w:rFonts w:cs="Arial" w:hint="cs"/>
          <w:sz w:val="16"/>
          <w:szCs w:val="16"/>
          <w:rtl/>
        </w:rPr>
        <w:t>(ל' הטור)</w:t>
      </w:r>
      <w:r>
        <w:rPr>
          <w:rStyle w:val="a7"/>
          <w:rFonts w:cs="Arial"/>
          <w:rtl/>
        </w:rPr>
        <w:footnoteReference w:id="3005"/>
      </w:r>
      <w:r w:rsidRPr="00145098">
        <w:rPr>
          <w:rFonts w:cs="Arial" w:hint="cs"/>
          <w:rtl/>
        </w:rPr>
        <w:t>.</w:t>
      </w:r>
      <w:r w:rsidRPr="00145098">
        <w:rPr>
          <w:rFonts w:cs="Arial"/>
          <w:rtl/>
        </w:rPr>
        <w:t xml:space="preserve"> </w:t>
      </w:r>
      <w:r w:rsidRPr="00D31995">
        <w:rPr>
          <w:rFonts w:cs="Arial" w:hint="cs"/>
          <w:color w:val="E36C0A" w:themeColor="accent6" w:themeShade="BF"/>
          <w:rtl/>
        </w:rPr>
        <w:t>(וכ"פ בשו"ע)</w:t>
      </w:r>
    </w:p>
    <w:p w14:paraId="248ADD4E" w14:textId="77777777" w:rsidR="002C39F4" w:rsidRPr="00145098" w:rsidRDefault="002C39F4" w:rsidP="0032102C">
      <w:pPr>
        <w:pStyle w:val="a8"/>
        <w:numPr>
          <w:ilvl w:val="0"/>
          <w:numId w:val="323"/>
        </w:numPr>
        <w:rPr>
          <w:rFonts w:cs="Arial"/>
          <w:rtl/>
        </w:rPr>
      </w:pPr>
      <w:r w:rsidRPr="00145098">
        <w:rPr>
          <w:rFonts w:cs="Arial" w:hint="cs"/>
          <w:rtl/>
        </w:rPr>
        <w:t>י"א</w:t>
      </w:r>
      <w:r w:rsidRPr="00145098">
        <w:rPr>
          <w:rFonts w:cs="Arial" w:hint="cs"/>
          <w:sz w:val="16"/>
          <w:szCs w:val="16"/>
          <w:rtl/>
        </w:rPr>
        <w:t xml:space="preserve"> (הביאם הר"ן)</w:t>
      </w:r>
      <w:r w:rsidRPr="00145098">
        <w:rPr>
          <w:rFonts w:cs="Arial" w:hint="cs"/>
          <w:rtl/>
        </w:rPr>
        <w:t xml:space="preserve">- </w:t>
      </w:r>
      <w:r w:rsidRPr="00145098">
        <w:rPr>
          <w:rFonts w:cs="Arial"/>
          <w:rtl/>
        </w:rPr>
        <w:t>כלי שתשמישו ע</w:t>
      </w:r>
      <w:r w:rsidRPr="00145098">
        <w:rPr>
          <w:rFonts w:cs="Arial" w:hint="cs"/>
          <w:rtl/>
        </w:rPr>
        <w:t>"</w:t>
      </w:r>
      <w:r w:rsidRPr="00145098">
        <w:rPr>
          <w:rFonts w:cs="Arial"/>
          <w:rtl/>
        </w:rPr>
        <w:t>י האור אם בא להשתמש בו חמין בהגעלה סגי ליה שכל מה שיפלוט בחמין כבר פלט בהגעלה ראשונה</w:t>
      </w:r>
      <w:r>
        <w:rPr>
          <w:rStyle w:val="a7"/>
          <w:rFonts w:cs="Arial"/>
          <w:rtl/>
        </w:rPr>
        <w:footnoteReference w:id="3006"/>
      </w:r>
      <w:r w:rsidRPr="00145098">
        <w:rPr>
          <w:rFonts w:cs="Arial" w:hint="cs"/>
          <w:rtl/>
        </w:rPr>
        <w:t>.</w:t>
      </w:r>
      <w:r w:rsidRPr="00145098">
        <w:rPr>
          <w:rFonts w:cs="Arial"/>
          <w:rtl/>
        </w:rPr>
        <w:t xml:space="preserve"> </w:t>
      </w:r>
    </w:p>
    <w:p w14:paraId="7E58B9B2" w14:textId="77777777" w:rsidR="002C39F4" w:rsidRPr="00E77903" w:rsidRDefault="002C39F4" w:rsidP="002C39F4">
      <w:pPr>
        <w:rPr>
          <w:rFonts w:cs="Arial"/>
          <w:sz w:val="16"/>
          <w:szCs w:val="16"/>
          <w:u w:val="single"/>
          <w:rtl/>
        </w:rPr>
      </w:pPr>
      <w:r w:rsidRPr="00E77903">
        <w:rPr>
          <w:rFonts w:cs="Arial"/>
          <w:u w:val="single"/>
          <w:rtl/>
        </w:rPr>
        <w:t xml:space="preserve">כוסות של כסף ושאר כלי מתכת של שתייה הנקחין מן </w:t>
      </w:r>
      <w:r w:rsidRPr="00E77903">
        <w:rPr>
          <w:rFonts w:cs="Arial" w:hint="cs"/>
          <w:u w:val="single"/>
          <w:rtl/>
        </w:rPr>
        <w:t>הגוי:</w:t>
      </w:r>
      <w:r w:rsidRPr="00E77903">
        <w:rPr>
          <w:rFonts w:cs="Arial" w:hint="cs"/>
          <w:sz w:val="16"/>
          <w:szCs w:val="16"/>
          <w:rtl/>
        </w:rPr>
        <w:t xml:space="preserve">   (דרכ"מ אות א)</w:t>
      </w:r>
    </w:p>
    <w:p w14:paraId="2CD8E2FE" w14:textId="77777777" w:rsidR="002C39F4" w:rsidRPr="00E77903" w:rsidRDefault="002C39F4" w:rsidP="0032102C">
      <w:pPr>
        <w:pStyle w:val="a8"/>
        <w:numPr>
          <w:ilvl w:val="0"/>
          <w:numId w:val="313"/>
        </w:numPr>
        <w:rPr>
          <w:rFonts w:cs="Arial"/>
          <w:rtl/>
        </w:rPr>
      </w:pPr>
      <w:r>
        <w:rPr>
          <w:rFonts w:cs="Arial" w:hint="cs"/>
          <w:rtl/>
        </w:rPr>
        <w:t>או</w:t>
      </w:r>
      <w:r>
        <w:rPr>
          <w:rFonts w:cs="Arial"/>
          <w:rtl/>
        </w:rPr>
        <w:t>"</w:t>
      </w:r>
      <w:r>
        <w:rPr>
          <w:rFonts w:cs="Arial" w:hint="cs"/>
          <w:rtl/>
        </w:rPr>
        <w:t>ה</w:t>
      </w:r>
      <w:r w:rsidRPr="00E77903">
        <w:rPr>
          <w:rFonts w:cs="Arial"/>
          <w:rtl/>
        </w:rPr>
        <w:t xml:space="preserve"> </w:t>
      </w:r>
      <w:r w:rsidRPr="00E77903">
        <w:rPr>
          <w:rFonts w:cs="Arial"/>
          <w:sz w:val="16"/>
          <w:szCs w:val="16"/>
          <w:rtl/>
        </w:rPr>
        <w:t>(כלל נח דין מה-מו)</w:t>
      </w:r>
      <w:r w:rsidRPr="00E77903">
        <w:rPr>
          <w:rFonts w:cs="Arial" w:hint="cs"/>
          <w:rtl/>
        </w:rPr>
        <w:t xml:space="preserve">- כתב </w:t>
      </w:r>
      <w:r w:rsidRPr="00E77903">
        <w:rPr>
          <w:rFonts w:cs="Arial"/>
          <w:rtl/>
        </w:rPr>
        <w:t>ראבי"ה</w:t>
      </w:r>
      <w:r w:rsidRPr="00E77903">
        <w:rPr>
          <w:rFonts w:cs="Arial" w:hint="cs"/>
          <w:rtl/>
        </w:rPr>
        <w:t>,</w:t>
      </w:r>
      <w:r w:rsidRPr="00E77903">
        <w:rPr>
          <w:rFonts w:cs="Arial"/>
          <w:rtl/>
        </w:rPr>
        <w:t xml:space="preserve"> כוסות של כסף ושאר כלי מתכת של שתייה הנקחין מן הכנעני טוב להחמיר ולהגעיל דשמא חממו לפעמים בהן יין ולחם. ושלחנות ותיבות נוהגין גם כן להגעילן לפי שפעמים משימן עליהם דבר חם או נפל עליהם מרק חם עכ"ל</w:t>
      </w:r>
      <w:r w:rsidRPr="00E77903">
        <w:rPr>
          <w:rFonts w:cs="Arial" w:hint="cs"/>
          <w:rtl/>
        </w:rPr>
        <w:t xml:space="preserve">... </w:t>
      </w:r>
      <w:r w:rsidRPr="00E77903">
        <w:rPr>
          <w:rFonts w:cs="Arial"/>
          <w:rtl/>
        </w:rPr>
        <w:t>ואפי' לשתות בו צונן לפי שחוששין שמא יחמם בו ג"כ יין או שאר משקין</w:t>
      </w:r>
      <w:r>
        <w:rPr>
          <w:rFonts w:cs="Arial" w:hint="cs"/>
          <w:rtl/>
        </w:rPr>
        <w:t>,</w:t>
      </w:r>
      <w:r w:rsidRPr="00E77903">
        <w:rPr>
          <w:rFonts w:cs="Arial"/>
          <w:rtl/>
        </w:rPr>
        <w:t xml:space="preserve"> אבל לשתות בו צונן ע"י הדחה שלש פעמים בעודה ברשות הכנעני ודאי מותר</w:t>
      </w:r>
      <w:r w:rsidRPr="00E77903">
        <w:rPr>
          <w:rFonts w:cs="Arial" w:hint="cs"/>
          <w:rtl/>
        </w:rPr>
        <w:t>.</w:t>
      </w:r>
      <w:r w:rsidRPr="00E77903">
        <w:rPr>
          <w:rFonts w:cs="Arial"/>
          <w:rtl/>
        </w:rPr>
        <w:t xml:space="preserve"> </w:t>
      </w:r>
      <w:r w:rsidRPr="00E77903">
        <w:rPr>
          <w:rFonts w:cs="Arial" w:hint="cs"/>
          <w:sz w:val="16"/>
          <w:szCs w:val="16"/>
          <w:rtl/>
        </w:rPr>
        <w:t>(דין מו)</w:t>
      </w:r>
      <w:r w:rsidRPr="00E77903">
        <w:rPr>
          <w:rFonts w:cs="Arial"/>
          <w:rtl/>
        </w:rPr>
        <w:t xml:space="preserve"> ומיהו בכלי דלאו בר הגעלה כגון כוסות של חרס ששתה בהן הכנעני מותר לישראל לקנות ולשתות בו בקביעות ע"י הדחה ג"כ. ואין חוששין בהן כמו בכלי מתכת דלעיל</w:t>
      </w:r>
      <w:r>
        <w:rPr>
          <w:rFonts w:cs="Arial" w:hint="cs"/>
          <w:rtl/>
        </w:rPr>
        <w:t>.</w:t>
      </w:r>
      <w:r w:rsidRPr="00E77903">
        <w:rPr>
          <w:rFonts w:cs="Arial"/>
          <w:rtl/>
        </w:rPr>
        <w:t xml:space="preserve"> דמאחר שא"א הן בהגעלה הוה דיעבד</w:t>
      </w:r>
      <w:r>
        <w:rPr>
          <w:rFonts w:cs="Arial" w:hint="cs"/>
          <w:rtl/>
        </w:rPr>
        <w:t>,</w:t>
      </w:r>
      <w:r w:rsidRPr="00E77903">
        <w:rPr>
          <w:rFonts w:cs="Arial"/>
          <w:rtl/>
        </w:rPr>
        <w:t xml:space="preserve"> וכ"ש כלי זכוכית ששתה בהן הכנעני כמה ימים דשרי ליה לישראל לקנותו ממנו להדיחו ולהטבילו ג' פעמים.</w:t>
      </w:r>
      <w:r w:rsidRPr="00E77903">
        <w:rPr>
          <w:rFonts w:cs="Arial" w:hint="cs"/>
          <w:rtl/>
        </w:rPr>
        <w:t>..</w:t>
      </w:r>
      <w:r w:rsidRPr="00E77903">
        <w:rPr>
          <w:rFonts w:cs="Arial"/>
          <w:rtl/>
        </w:rPr>
        <w:t xml:space="preserve"> ודוקא כלי משתאות</w:t>
      </w:r>
      <w:r>
        <w:rPr>
          <w:rFonts w:cs="Arial" w:hint="cs"/>
          <w:rtl/>
        </w:rPr>
        <w:t>,</w:t>
      </w:r>
      <w:r w:rsidRPr="00E77903">
        <w:rPr>
          <w:rFonts w:cs="Arial"/>
          <w:rtl/>
        </w:rPr>
        <w:t xml:space="preserve"> אבל שאר כלי חרס שקנה מן הכנעני אם רק מסופק בו שנשתמש בזה אין צריך לומר שצריכין שבירה אפילו מספק. </w:t>
      </w:r>
      <w:r w:rsidRPr="00CB0C97">
        <w:rPr>
          <w:rFonts w:cs="Arial" w:hint="cs"/>
          <w:color w:val="00B0F0"/>
          <w:rtl/>
        </w:rPr>
        <w:t>(וכ"פ הרמ"א</w:t>
      </w:r>
      <w:r w:rsidRPr="00CB0C97">
        <w:rPr>
          <w:rFonts w:cs="Arial" w:hint="cs"/>
          <w:color w:val="00B0F0"/>
          <w:sz w:val="16"/>
          <w:szCs w:val="16"/>
          <w:rtl/>
        </w:rPr>
        <w:t xml:space="preserve"> </w:t>
      </w:r>
      <w:r>
        <w:rPr>
          <w:rFonts w:cs="Arial" w:hint="cs"/>
          <w:sz w:val="16"/>
          <w:szCs w:val="16"/>
          <w:rtl/>
        </w:rPr>
        <w:t>[בסע' ה]</w:t>
      </w:r>
      <w:r w:rsidRPr="00CB0C97">
        <w:rPr>
          <w:rFonts w:cs="Arial" w:hint="cs"/>
          <w:color w:val="00B0F0"/>
          <w:rtl/>
        </w:rPr>
        <w:t>)</w:t>
      </w:r>
    </w:p>
    <w:p w14:paraId="1788F18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BA6BE47" w14:textId="77777777" w:rsidR="002C39F4" w:rsidRDefault="002C39F4" w:rsidP="002C39F4">
      <w:pPr>
        <w:rPr>
          <w:rFonts w:asciiTheme="minorBidi" w:hAnsiTheme="minorBidi"/>
          <w:rtl/>
        </w:rPr>
      </w:pPr>
      <w:r w:rsidRPr="003024E5">
        <w:rPr>
          <w:rFonts w:asciiTheme="minorBidi" w:hAnsiTheme="minorBidi"/>
          <w:rtl/>
        </w:rPr>
        <w:t xml:space="preserve">אם הגעיל כלי הצריך ליבון, אסור להשתמש בו בחמין אפילו שלא על ידי האש. </w:t>
      </w:r>
      <w:r w:rsidRPr="009C0BF4">
        <w:rPr>
          <w:rFonts w:asciiTheme="minorBidi" w:hAnsiTheme="minorBidi"/>
          <w:sz w:val="18"/>
          <w:szCs w:val="18"/>
          <w:rtl/>
        </w:rPr>
        <w:t>הגה: אבל מותר להשתמש בו צונן</w:t>
      </w:r>
      <w:r>
        <w:rPr>
          <w:rStyle w:val="a7"/>
          <w:rFonts w:asciiTheme="minorBidi" w:hAnsiTheme="minorBidi"/>
          <w:sz w:val="18"/>
          <w:szCs w:val="18"/>
          <w:rtl/>
        </w:rPr>
        <w:footnoteReference w:id="3007"/>
      </w:r>
      <w:r w:rsidRPr="009C0BF4">
        <w:rPr>
          <w:rFonts w:asciiTheme="minorBidi" w:hAnsiTheme="minorBidi"/>
          <w:sz w:val="18"/>
          <w:szCs w:val="18"/>
          <w:rtl/>
        </w:rPr>
        <w:t>, אפילו לכתחלה, ע"י הדחה ושפשוף היטב</w:t>
      </w:r>
      <w:r>
        <w:rPr>
          <w:rFonts w:asciiTheme="minorBidi" w:hAnsiTheme="minorBidi" w:hint="cs"/>
          <w:sz w:val="18"/>
          <w:szCs w:val="18"/>
          <w:rtl/>
        </w:rPr>
        <w:t>,</w:t>
      </w:r>
      <w:r w:rsidRPr="009C0BF4">
        <w:rPr>
          <w:rFonts w:asciiTheme="minorBidi" w:hAnsiTheme="minorBidi"/>
          <w:sz w:val="18"/>
          <w:szCs w:val="18"/>
          <w:rtl/>
        </w:rPr>
        <w:t xml:space="preserve"> וכ"ש בכלי שצריך הגעלה. ודוקא בדרך עראי, כגון שהוא בבית </w:t>
      </w:r>
      <w:r>
        <w:rPr>
          <w:rFonts w:asciiTheme="minorBidi" w:hAnsiTheme="minorBidi" w:hint="cs"/>
          <w:sz w:val="18"/>
          <w:szCs w:val="18"/>
          <w:rtl/>
        </w:rPr>
        <w:t>הגוי</w:t>
      </w:r>
      <w:r w:rsidRPr="009C0BF4">
        <w:rPr>
          <w:rFonts w:asciiTheme="minorBidi" w:hAnsiTheme="minorBidi"/>
          <w:sz w:val="18"/>
          <w:szCs w:val="18"/>
          <w:rtl/>
        </w:rPr>
        <w:t xml:space="preserve"> או בדיעבד</w:t>
      </w:r>
      <w:r>
        <w:rPr>
          <w:rStyle w:val="a7"/>
          <w:rFonts w:asciiTheme="minorBidi" w:hAnsiTheme="minorBidi"/>
          <w:sz w:val="18"/>
          <w:szCs w:val="18"/>
          <w:rtl/>
        </w:rPr>
        <w:footnoteReference w:id="3008"/>
      </w:r>
      <w:r w:rsidRPr="009C0BF4">
        <w:rPr>
          <w:rFonts w:asciiTheme="minorBidi" w:hAnsiTheme="minorBidi"/>
          <w:sz w:val="18"/>
          <w:szCs w:val="18"/>
          <w:rtl/>
        </w:rPr>
        <w:t>, אבל אם רוצה להשתמש בו בקבע יש מחמירים ואומרים דאפילו להשתמש בו צונן צריך הגעלה או ליבון, גזירה שמא ישתמש בו חמין (מרדכי ורוקח)</w:t>
      </w:r>
      <w:r>
        <w:rPr>
          <w:rFonts w:asciiTheme="minorBidi" w:hAnsiTheme="minorBidi" w:hint="cs"/>
          <w:sz w:val="18"/>
          <w:szCs w:val="18"/>
          <w:rtl/>
        </w:rPr>
        <w:t>,</w:t>
      </w:r>
      <w:r w:rsidRPr="009C0BF4">
        <w:rPr>
          <w:rFonts w:asciiTheme="minorBidi" w:hAnsiTheme="minorBidi"/>
          <w:sz w:val="18"/>
          <w:szCs w:val="18"/>
          <w:rtl/>
        </w:rPr>
        <w:t xml:space="preserve"> והכי נוהגין. ואפילו כלים שתשמישן בצונן, אם יש לחוש</w:t>
      </w:r>
      <w:r>
        <w:rPr>
          <w:rStyle w:val="a7"/>
          <w:rFonts w:asciiTheme="minorBidi" w:hAnsiTheme="minorBidi"/>
          <w:sz w:val="18"/>
          <w:szCs w:val="18"/>
          <w:rtl/>
        </w:rPr>
        <w:footnoteReference w:id="3009"/>
      </w:r>
      <w:r w:rsidRPr="009C0BF4">
        <w:rPr>
          <w:rFonts w:asciiTheme="minorBidi" w:hAnsiTheme="minorBidi"/>
          <w:sz w:val="18"/>
          <w:szCs w:val="18"/>
          <w:rtl/>
        </w:rPr>
        <w:t xml:space="preserve"> שחממו בו</w:t>
      </w:r>
      <w:r>
        <w:rPr>
          <w:rStyle w:val="a7"/>
          <w:rFonts w:asciiTheme="minorBidi" w:hAnsiTheme="minorBidi"/>
          <w:sz w:val="18"/>
          <w:szCs w:val="18"/>
          <w:rtl/>
        </w:rPr>
        <w:footnoteReference w:id="3010"/>
      </w:r>
      <w:r w:rsidRPr="009C0BF4">
        <w:rPr>
          <w:rFonts w:asciiTheme="minorBidi" w:hAnsiTheme="minorBidi"/>
          <w:sz w:val="18"/>
          <w:szCs w:val="18"/>
          <w:rtl/>
        </w:rPr>
        <w:t xml:space="preserve"> יין, כגון כלי כסף, נוהגין להגעיל, ואין לשנות (ארוך בשם ראבי"ה). ואפילו תיבות ושלחנות הנקחים מן </w:t>
      </w:r>
      <w:r>
        <w:rPr>
          <w:rFonts w:asciiTheme="minorBidi" w:hAnsiTheme="minorBidi" w:hint="cs"/>
          <w:sz w:val="18"/>
          <w:szCs w:val="18"/>
          <w:rtl/>
        </w:rPr>
        <w:t>הגוי</w:t>
      </w:r>
      <w:r w:rsidRPr="009C0BF4">
        <w:rPr>
          <w:rFonts w:asciiTheme="minorBidi" w:hAnsiTheme="minorBidi"/>
          <w:sz w:val="18"/>
          <w:szCs w:val="18"/>
          <w:rtl/>
        </w:rPr>
        <w:t>, נוהגין להגעיל</w:t>
      </w:r>
      <w:r>
        <w:rPr>
          <w:rStyle w:val="a7"/>
          <w:rFonts w:asciiTheme="minorBidi" w:hAnsiTheme="minorBidi"/>
          <w:sz w:val="18"/>
          <w:szCs w:val="18"/>
          <w:rtl/>
        </w:rPr>
        <w:footnoteReference w:id="3011"/>
      </w:r>
      <w:r w:rsidRPr="009C0BF4">
        <w:rPr>
          <w:rFonts w:asciiTheme="minorBidi" w:hAnsiTheme="minorBidi"/>
          <w:sz w:val="18"/>
          <w:szCs w:val="18"/>
          <w:rtl/>
        </w:rPr>
        <w:t xml:space="preserve"> שמא נשפכו עליהם חמין. ודוקא לכתחלה, אבל בדיעבד אין לחוש לכל זה</w:t>
      </w:r>
      <w:r>
        <w:rPr>
          <w:rStyle w:val="a7"/>
          <w:rFonts w:asciiTheme="minorBidi" w:hAnsiTheme="minorBidi"/>
          <w:sz w:val="18"/>
          <w:szCs w:val="18"/>
          <w:rtl/>
        </w:rPr>
        <w:footnoteReference w:id="3012"/>
      </w:r>
      <w:r w:rsidRPr="009C0BF4">
        <w:rPr>
          <w:rFonts w:asciiTheme="minorBidi" w:hAnsiTheme="minorBidi"/>
          <w:sz w:val="18"/>
          <w:szCs w:val="18"/>
          <w:rtl/>
        </w:rPr>
        <w:t xml:space="preserve"> (שם). וכלי חרס שנשתמשו בו בצונן, מאחר דאי אפשר בהגעלה, מיקרי דיעבד וסגי ליה במריקה ושטיפה היטב (שם), ומותר ליתן בו אח"כ אפילו דברים חריפים כחומץ וכיוצא בו, וכ"ש דברים קשים כתבלין וכיוצא בהן</w:t>
      </w:r>
      <w:r>
        <w:rPr>
          <w:rStyle w:val="a7"/>
          <w:rFonts w:asciiTheme="minorBidi" w:hAnsiTheme="minorBidi"/>
          <w:sz w:val="18"/>
          <w:szCs w:val="18"/>
          <w:rtl/>
        </w:rPr>
        <w:footnoteReference w:id="3013"/>
      </w:r>
      <w:r w:rsidRPr="009C0BF4">
        <w:rPr>
          <w:rFonts w:asciiTheme="minorBidi" w:hAnsiTheme="minorBidi"/>
          <w:sz w:val="18"/>
          <w:szCs w:val="18"/>
          <w:rtl/>
        </w:rPr>
        <w:t>. ועיין לעיל סימן צא.</w:t>
      </w:r>
    </w:p>
    <w:p w14:paraId="46DE9BC2" w14:textId="77777777" w:rsidR="002C39F4" w:rsidRPr="003024E5" w:rsidRDefault="002C39F4" w:rsidP="002C39F4">
      <w:pPr>
        <w:rPr>
          <w:rFonts w:asciiTheme="minorBidi" w:hAnsiTheme="minorBidi"/>
          <w:rtl/>
        </w:rPr>
      </w:pPr>
    </w:p>
    <w:p w14:paraId="650A45F4"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 הכשרת כלי מתכת שנאסר מקצתו.</w:t>
      </w:r>
    </w:p>
    <w:p w14:paraId="562A91BB" w14:textId="77777777" w:rsidR="002C39F4" w:rsidRDefault="002C39F4" w:rsidP="002C39F4">
      <w:pPr>
        <w:rPr>
          <w:rFonts w:cs="Arial"/>
          <w:rtl/>
        </w:rPr>
      </w:pPr>
      <w:r>
        <w:rPr>
          <w:rFonts w:cs="Arial" w:hint="cs"/>
          <w:b/>
          <w:bCs/>
          <w:rtl/>
        </w:rPr>
        <w:t xml:space="preserve">פסחים ל ע"ב: </w:t>
      </w:r>
      <w:r w:rsidRPr="000D7A4F">
        <w:rPr>
          <w:rFonts w:cs="Arial"/>
          <w:u w:val="single"/>
          <w:rtl/>
        </w:rPr>
        <w:t>אמר ליה רבינא לרב אשי</w:t>
      </w:r>
      <w:r w:rsidRPr="000D7A4F">
        <w:rPr>
          <w:rFonts w:cs="Arial"/>
          <w:rtl/>
        </w:rPr>
        <w:t xml:space="preserve">: הני סכיני בפסחא היכי עבדינן להו? </w:t>
      </w:r>
      <w:r w:rsidRPr="000D7A4F">
        <w:rPr>
          <w:rFonts w:cs="Arial"/>
          <w:u w:val="single"/>
          <w:rtl/>
        </w:rPr>
        <w:t>אמר ליה</w:t>
      </w:r>
      <w:r w:rsidRPr="000D7A4F">
        <w:rPr>
          <w:rFonts w:cs="Arial"/>
          <w:rtl/>
        </w:rPr>
        <w:t>: לדידי חדתא קא עבדינן</w:t>
      </w:r>
      <w:r>
        <w:rPr>
          <w:rStyle w:val="a7"/>
          <w:rFonts w:cs="Arial"/>
          <w:rtl/>
        </w:rPr>
        <w:footnoteReference w:id="3014"/>
      </w:r>
      <w:r w:rsidRPr="000D7A4F">
        <w:rPr>
          <w:rFonts w:cs="Arial"/>
          <w:rtl/>
        </w:rPr>
        <w:t xml:space="preserve">. </w:t>
      </w:r>
      <w:r w:rsidRPr="000D7A4F">
        <w:rPr>
          <w:rFonts w:cs="Arial"/>
          <w:u w:val="single"/>
          <w:rtl/>
        </w:rPr>
        <w:t>אמר ליה</w:t>
      </w:r>
      <w:r w:rsidRPr="000D7A4F">
        <w:rPr>
          <w:rFonts w:cs="Arial"/>
          <w:rtl/>
        </w:rPr>
        <w:t>: תינח מר דאפשר ליה</w:t>
      </w:r>
      <w:r>
        <w:rPr>
          <w:rStyle w:val="a7"/>
          <w:rFonts w:cs="Arial"/>
          <w:rtl/>
        </w:rPr>
        <w:footnoteReference w:id="3015"/>
      </w:r>
      <w:r w:rsidRPr="000D7A4F">
        <w:rPr>
          <w:rFonts w:cs="Arial"/>
          <w:rtl/>
        </w:rPr>
        <w:t xml:space="preserve">, דלא אפשר ליה מאי? </w:t>
      </w:r>
      <w:r w:rsidRPr="000D7A4F">
        <w:rPr>
          <w:rFonts w:cs="Arial"/>
          <w:u w:val="single"/>
          <w:rtl/>
        </w:rPr>
        <w:t>אמר ליה</w:t>
      </w:r>
      <w:r w:rsidRPr="000D7A4F">
        <w:rPr>
          <w:rFonts w:cs="Arial"/>
          <w:rtl/>
        </w:rPr>
        <w:t>: אנא כעין חדתא קאמינא; קתייהו בטינא</w:t>
      </w:r>
      <w:r>
        <w:rPr>
          <w:rStyle w:val="a7"/>
          <w:rFonts w:cs="Arial"/>
          <w:rtl/>
        </w:rPr>
        <w:footnoteReference w:id="3016"/>
      </w:r>
      <w:r w:rsidRPr="000D7A4F">
        <w:rPr>
          <w:rFonts w:cs="Arial"/>
          <w:rtl/>
        </w:rPr>
        <w:t>, ופרזלייהו בנורא, והדר מעיילנא לקתייהו ברותחין. והלכתא</w:t>
      </w:r>
      <w:r>
        <w:rPr>
          <w:rStyle w:val="a7"/>
          <w:rFonts w:cs="Arial"/>
          <w:rtl/>
        </w:rPr>
        <w:footnoteReference w:id="3017"/>
      </w:r>
      <w:r w:rsidRPr="000D7A4F">
        <w:rPr>
          <w:rFonts w:cs="Arial"/>
          <w:rtl/>
        </w:rPr>
        <w:t xml:space="preserve">: אידי ואידי ברותחין, ובכלי ראשון. </w:t>
      </w:r>
    </w:p>
    <w:p w14:paraId="3A25A8F2" w14:textId="77777777" w:rsidR="002C39F4" w:rsidRDefault="002C39F4" w:rsidP="002C39F4">
      <w:pPr>
        <w:rPr>
          <w:rFonts w:cs="Arial"/>
          <w:rtl/>
        </w:rPr>
      </w:pPr>
      <w:r>
        <w:rPr>
          <w:rFonts w:cs="Arial" w:hint="cs"/>
          <w:b/>
          <w:bCs/>
          <w:rtl/>
        </w:rPr>
        <w:t xml:space="preserve">זבחים צו ע"ב: </w:t>
      </w:r>
      <w:r w:rsidRPr="00B92CBD">
        <w:rPr>
          <w:rFonts w:cs="Arial"/>
          <w:rtl/>
        </w:rPr>
        <w:t>תניא: חומר בהזאה ממריקה ושטיפה, וחומר במריקה ושטיפה מבהזאה</w:t>
      </w:r>
      <w:r>
        <w:rPr>
          <w:rFonts w:cs="Arial" w:hint="cs"/>
          <w:rtl/>
        </w:rPr>
        <w:t>...</w:t>
      </w:r>
      <w:r w:rsidRPr="00B92CBD">
        <w:rPr>
          <w:rFonts w:cs="Arial"/>
          <w:rtl/>
        </w:rPr>
        <w:t xml:space="preserve"> חומר במריקה ושטיפה, שהמריקה ושטיפה נוהגת בין בקדשי קדשים בין בקדשים קלים, בישל במקצת הכלי - טעון מריקה ושטיפה כל הכלי, מה שאין כן בהזאה! א"ל. אי תניא תניא. וטעמא מאי? אמר קרא: ואם בכלי נחשת בושלה, ואפילו במקצת כלי.</w:t>
      </w:r>
    </w:p>
    <w:p w14:paraId="51CF28F9" w14:textId="77777777" w:rsidR="002C39F4" w:rsidRPr="00F00E01" w:rsidRDefault="002C39F4" w:rsidP="002C39F4">
      <w:pPr>
        <w:rPr>
          <w:rFonts w:cs="Arial"/>
          <w:u w:val="single"/>
          <w:rtl/>
        </w:rPr>
      </w:pPr>
      <w:r>
        <w:rPr>
          <w:rFonts w:cs="Arial" w:hint="cs"/>
          <w:u w:val="single"/>
          <w:rtl/>
        </w:rPr>
        <w:t xml:space="preserve">כיצד הכשרת </w:t>
      </w:r>
      <w:r w:rsidRPr="00F00E01">
        <w:rPr>
          <w:rFonts w:cs="Arial" w:hint="cs"/>
          <w:u w:val="single"/>
          <w:rtl/>
        </w:rPr>
        <w:t xml:space="preserve">כלי מתכת </w:t>
      </w:r>
      <w:r>
        <w:rPr>
          <w:rFonts w:cs="Arial" w:hint="cs"/>
          <w:u w:val="single"/>
          <w:rtl/>
        </w:rPr>
        <w:t>שנאסר</w:t>
      </w:r>
      <w:r w:rsidRPr="00F00E01">
        <w:rPr>
          <w:rFonts w:cs="Arial" w:hint="cs"/>
          <w:u w:val="single"/>
          <w:rtl/>
        </w:rPr>
        <w:t xml:space="preserve"> מקצתו:</w:t>
      </w:r>
    </w:p>
    <w:p w14:paraId="1363C93A" w14:textId="77777777" w:rsidR="002C39F4" w:rsidRPr="00D26E80" w:rsidRDefault="002C39F4" w:rsidP="0032102C">
      <w:pPr>
        <w:pStyle w:val="a8"/>
        <w:numPr>
          <w:ilvl w:val="0"/>
          <w:numId w:val="324"/>
        </w:numPr>
        <w:rPr>
          <w:rFonts w:cs="Arial"/>
          <w:rtl/>
        </w:rPr>
      </w:pPr>
      <w:r>
        <w:rPr>
          <w:rFonts w:cs="Arial" w:hint="cs"/>
          <w:rtl/>
        </w:rPr>
        <w:t>טור</w:t>
      </w:r>
      <w:r>
        <w:rPr>
          <w:rStyle w:val="a7"/>
          <w:rFonts w:cs="Arial"/>
          <w:rtl/>
        </w:rPr>
        <w:footnoteReference w:id="3018"/>
      </w:r>
      <w:r>
        <w:rPr>
          <w:rFonts w:cs="Arial" w:hint="cs"/>
          <w:rtl/>
        </w:rPr>
        <w:t xml:space="preserve"> </w:t>
      </w:r>
      <w:r w:rsidRPr="00F00E01">
        <w:rPr>
          <w:rFonts w:cs="Arial"/>
          <w:rtl/>
        </w:rPr>
        <w:t xml:space="preserve">ר"ן </w:t>
      </w:r>
      <w:r w:rsidRPr="00F00E01">
        <w:rPr>
          <w:rFonts w:cs="Arial"/>
          <w:sz w:val="16"/>
          <w:szCs w:val="16"/>
          <w:rtl/>
        </w:rPr>
        <w:t>(פסחים ח. ד"ה והני וד"ה ודאמרינן)</w:t>
      </w:r>
      <w:r>
        <w:rPr>
          <w:rFonts w:cs="Arial" w:hint="cs"/>
          <w:rtl/>
        </w:rPr>
        <w:t xml:space="preserve"> ותרוה"ד</w:t>
      </w:r>
      <w:r>
        <w:rPr>
          <w:rFonts w:cs="Arial" w:hint="cs"/>
          <w:sz w:val="16"/>
          <w:szCs w:val="16"/>
          <w:rtl/>
        </w:rPr>
        <w:t xml:space="preserve"> (סי' קלב, כ"כ הדרכ"מ [אות טז] בשמו)</w:t>
      </w:r>
      <w:r w:rsidRPr="00F00E01">
        <w:rPr>
          <w:rFonts w:cs="Arial" w:hint="cs"/>
          <w:rtl/>
        </w:rPr>
        <w:t>-</w:t>
      </w:r>
      <w:r w:rsidRPr="00F00E01">
        <w:rPr>
          <w:rFonts w:cs="Arial"/>
          <w:rtl/>
        </w:rPr>
        <w:t xml:space="preserve"> </w:t>
      </w:r>
      <w:r>
        <w:rPr>
          <w:rStyle w:val="a7"/>
          <w:rFonts w:cs="Arial"/>
          <w:rtl/>
        </w:rPr>
        <w:footnoteReference w:id="3019"/>
      </w:r>
      <w:r w:rsidRPr="00F77953">
        <w:rPr>
          <w:rFonts w:cs="Arial"/>
          <w:rtl/>
        </w:rPr>
        <w:t xml:space="preserve">כלי של מתכת שמשתמשין במקצתו כל שמכשירין מקצתו דיו כי היכי דאמרינן </w:t>
      </w:r>
      <w:r>
        <w:rPr>
          <w:rFonts w:cs="Arial" w:hint="cs"/>
          <w:rtl/>
        </w:rPr>
        <w:t>'</w:t>
      </w:r>
      <w:r w:rsidRPr="00F77953">
        <w:rPr>
          <w:rFonts w:cs="Arial"/>
          <w:rtl/>
        </w:rPr>
        <w:t>פרזלייהו בנורא</w:t>
      </w:r>
      <w:r>
        <w:rPr>
          <w:rFonts w:cs="Arial" w:hint="cs"/>
          <w:rtl/>
        </w:rPr>
        <w:t>'</w:t>
      </w:r>
      <w:r>
        <w:rPr>
          <w:rStyle w:val="a7"/>
          <w:rFonts w:cs="Arial"/>
          <w:rtl/>
        </w:rPr>
        <w:footnoteReference w:id="3020"/>
      </w:r>
      <w:r>
        <w:rPr>
          <w:rFonts w:cs="Arial" w:hint="cs"/>
          <w:rtl/>
        </w:rPr>
        <w:t>.</w:t>
      </w:r>
      <w:r w:rsidRPr="00F77953">
        <w:rPr>
          <w:rFonts w:cs="Arial"/>
          <w:rtl/>
        </w:rPr>
        <w:t xml:space="preserve"> וכך אמרו בזבחים </w:t>
      </w:r>
      <w:r w:rsidRPr="00DF11CF">
        <w:rPr>
          <w:rFonts w:cs="Arial"/>
          <w:sz w:val="16"/>
          <w:szCs w:val="16"/>
          <w:rtl/>
        </w:rPr>
        <w:t>(צו</w:t>
      </w:r>
      <w:r w:rsidRPr="00DF11CF">
        <w:rPr>
          <w:rFonts w:cs="Arial" w:hint="cs"/>
          <w:sz w:val="16"/>
          <w:szCs w:val="16"/>
          <w:rtl/>
        </w:rPr>
        <w:t>:</w:t>
      </w:r>
      <w:r w:rsidRPr="00DF11CF">
        <w:rPr>
          <w:rFonts w:cs="Arial"/>
          <w:sz w:val="16"/>
          <w:szCs w:val="16"/>
          <w:rtl/>
        </w:rPr>
        <w:t xml:space="preserve">) </w:t>
      </w:r>
      <w:r w:rsidRPr="00F77953">
        <w:rPr>
          <w:rFonts w:cs="Arial"/>
          <w:rtl/>
        </w:rPr>
        <w:t>כלי ואפי' מקצת כלי ולא אמרו כלי ולא מקצת כלי אלא בקדשים בלבד</w:t>
      </w:r>
      <w:r>
        <w:rPr>
          <w:rFonts w:cs="Arial" w:hint="cs"/>
          <w:sz w:val="16"/>
          <w:szCs w:val="16"/>
          <w:rtl/>
        </w:rPr>
        <w:t xml:space="preserve"> (ל' הר"ן)</w:t>
      </w:r>
      <w:r w:rsidRPr="00F00E01">
        <w:rPr>
          <w:rFonts w:cs="Arial" w:hint="cs"/>
          <w:rtl/>
        </w:rPr>
        <w:t>.</w:t>
      </w:r>
      <w:r>
        <w:rPr>
          <w:rFonts w:cs="Arial" w:hint="cs"/>
          <w:rtl/>
        </w:rPr>
        <w:t xml:space="preserve"> </w:t>
      </w:r>
      <w:r w:rsidRPr="004A28C8">
        <w:rPr>
          <w:rFonts w:cs="Arial" w:hint="cs"/>
          <w:color w:val="00B0F0"/>
          <w:rtl/>
        </w:rPr>
        <w:t>(וכ"פ הרמ"א)</w:t>
      </w:r>
      <w:r>
        <w:rPr>
          <w:rFonts w:cs="Arial" w:hint="cs"/>
          <w:rtl/>
        </w:rPr>
        <w:t xml:space="preserve"> </w:t>
      </w:r>
    </w:p>
    <w:p w14:paraId="762B77B4" w14:textId="77777777" w:rsidR="002C39F4" w:rsidRDefault="002C39F4" w:rsidP="0032102C">
      <w:pPr>
        <w:pStyle w:val="a8"/>
        <w:numPr>
          <w:ilvl w:val="0"/>
          <w:numId w:val="324"/>
        </w:numPr>
        <w:rPr>
          <w:rFonts w:cs="Arial"/>
        </w:rPr>
      </w:pPr>
      <w:r w:rsidRPr="003C6815">
        <w:rPr>
          <w:rFonts w:cs="Arial"/>
          <w:rtl/>
        </w:rPr>
        <w:t>רא"ה</w:t>
      </w:r>
      <w:r w:rsidRPr="003C6815">
        <w:rPr>
          <w:rFonts w:cs="Arial"/>
          <w:sz w:val="16"/>
          <w:szCs w:val="16"/>
          <w:rtl/>
        </w:rPr>
        <w:t xml:space="preserve"> </w:t>
      </w:r>
      <w:r w:rsidRPr="003C6815">
        <w:rPr>
          <w:rFonts w:cs="Arial" w:hint="cs"/>
          <w:sz w:val="16"/>
          <w:szCs w:val="16"/>
          <w:rtl/>
        </w:rPr>
        <w:t>(</w:t>
      </w:r>
      <w:r w:rsidRPr="003C6815">
        <w:rPr>
          <w:rFonts w:cs="Arial"/>
          <w:sz w:val="16"/>
          <w:szCs w:val="16"/>
          <w:rtl/>
        </w:rPr>
        <w:t>ב</w:t>
      </w:r>
      <w:r w:rsidRPr="003C6815">
        <w:rPr>
          <w:rFonts w:cs="Arial" w:hint="cs"/>
          <w:sz w:val="16"/>
          <w:szCs w:val="16"/>
          <w:rtl/>
        </w:rPr>
        <w:t>דה"ב</w:t>
      </w:r>
      <w:r w:rsidRPr="003C6815">
        <w:rPr>
          <w:rFonts w:cs="Arial"/>
          <w:sz w:val="16"/>
          <w:szCs w:val="16"/>
          <w:rtl/>
        </w:rPr>
        <w:t xml:space="preserve"> </w:t>
      </w:r>
      <w:r w:rsidRPr="003C6815">
        <w:rPr>
          <w:rFonts w:cs="Arial" w:hint="cs"/>
          <w:sz w:val="16"/>
          <w:szCs w:val="16"/>
          <w:rtl/>
        </w:rPr>
        <w:t>ב"ד ש"ד לז: ד"ה ועוד)</w:t>
      </w:r>
      <w:r>
        <w:rPr>
          <w:rFonts w:cs="Arial" w:hint="cs"/>
          <w:rtl/>
        </w:rPr>
        <w:t xml:space="preserve"> (וטור</w:t>
      </w:r>
      <w:r>
        <w:rPr>
          <w:rFonts w:cs="Arial" w:hint="cs"/>
          <w:sz w:val="16"/>
          <w:szCs w:val="16"/>
          <w:rtl/>
        </w:rPr>
        <w:t xml:space="preserve"> להב' הש"ך</w:t>
      </w:r>
      <w:r>
        <w:rPr>
          <w:rStyle w:val="a7"/>
          <w:rFonts w:cs="Arial"/>
          <w:rtl/>
        </w:rPr>
        <w:footnoteReference w:id="3021"/>
      </w:r>
      <w:r>
        <w:rPr>
          <w:rFonts w:cs="Arial" w:hint="cs"/>
          <w:sz w:val="16"/>
          <w:szCs w:val="16"/>
          <w:rtl/>
        </w:rPr>
        <w:t xml:space="preserve"> [סקי"ז]</w:t>
      </w:r>
      <w:r>
        <w:rPr>
          <w:rFonts w:cs="Arial" w:hint="cs"/>
          <w:rtl/>
        </w:rPr>
        <w:t>)-</w:t>
      </w:r>
      <w:r w:rsidRPr="003C6815">
        <w:rPr>
          <w:rFonts w:cs="Arial"/>
          <w:rtl/>
        </w:rPr>
        <w:t xml:space="preserve"> </w:t>
      </w:r>
      <w:r>
        <w:rPr>
          <w:rStyle w:val="a7"/>
          <w:rFonts w:cs="Arial"/>
          <w:rtl/>
        </w:rPr>
        <w:footnoteReference w:id="3022"/>
      </w:r>
      <w:r w:rsidRPr="003C6815">
        <w:rPr>
          <w:rFonts w:cs="Arial"/>
          <w:rtl/>
        </w:rPr>
        <w:t>שפוד של מתכות דקי"ל חם מקצתו חם כולו ונשתמש בו איסור במקצתו הרי הוא כולו נאסר כאילו נשתמש בכולו</w:t>
      </w:r>
      <w:r>
        <w:rPr>
          <w:rFonts w:cs="Arial" w:hint="cs"/>
          <w:rtl/>
        </w:rPr>
        <w:t>,</w:t>
      </w:r>
      <w:r w:rsidRPr="003C6815">
        <w:rPr>
          <w:rFonts w:cs="Arial"/>
          <w:rtl/>
        </w:rPr>
        <w:t xml:space="preserve"> וכשבא להכשירו בליבון לא די לו ללבן עד כדי אותו מקצת שנשתמש בו באיסור לפי שאין ליבון מפליט בלעו אלא מכלה</w:t>
      </w:r>
      <w:r>
        <w:rPr>
          <w:rFonts w:cs="Arial" w:hint="cs"/>
          <w:rtl/>
        </w:rPr>
        <w:t>,</w:t>
      </w:r>
      <w:r w:rsidRPr="003C6815">
        <w:rPr>
          <w:rFonts w:cs="Arial"/>
          <w:rtl/>
        </w:rPr>
        <w:t xml:space="preserve"> וכשמכלה עד כדי אותו מקצת לא די לו בכך</w:t>
      </w:r>
      <w:r>
        <w:rPr>
          <w:rFonts w:cs="Arial" w:hint="cs"/>
          <w:rtl/>
        </w:rPr>
        <w:t>,</w:t>
      </w:r>
      <w:r w:rsidRPr="003C6815">
        <w:rPr>
          <w:rFonts w:cs="Arial"/>
          <w:rtl/>
        </w:rPr>
        <w:t xml:space="preserve"> שכשיבא להשתמש בו בהיתר יפלוט איסור ע"י אותו מקצת שלא הוכשר</w:t>
      </w:r>
      <w:r>
        <w:rPr>
          <w:rFonts w:cs="Arial" w:hint="cs"/>
          <w:rtl/>
        </w:rPr>
        <w:t>,</w:t>
      </w:r>
      <w:r w:rsidRPr="003C6815">
        <w:rPr>
          <w:rFonts w:cs="Arial"/>
          <w:rtl/>
        </w:rPr>
        <w:t xml:space="preserve"> אבל בקדרה של מתכת שנשתמש בה איסור במקצתו די לו בהכשר הגעלה עד כדי אותו מקצת</w:t>
      </w:r>
      <w:r>
        <w:rPr>
          <w:rFonts w:cs="Arial" w:hint="cs"/>
          <w:rtl/>
        </w:rPr>
        <w:t>,</w:t>
      </w:r>
      <w:r w:rsidRPr="003C6815">
        <w:rPr>
          <w:rFonts w:cs="Arial"/>
          <w:rtl/>
        </w:rPr>
        <w:t xml:space="preserve"> דהגעלה הכשר פליטה הוא וכבכ"פ וכבר פלט כל מה שבלע</w:t>
      </w:r>
      <w:r>
        <w:rPr>
          <w:rFonts w:cs="Arial" w:hint="cs"/>
          <w:rtl/>
        </w:rPr>
        <w:t>,</w:t>
      </w:r>
      <w:r w:rsidRPr="003C6815">
        <w:rPr>
          <w:rFonts w:cs="Arial"/>
          <w:rtl/>
        </w:rPr>
        <w:t xml:space="preserve"> ואע</w:t>
      </w:r>
      <w:r>
        <w:rPr>
          <w:rFonts w:cs="Arial" w:hint="cs"/>
          <w:rtl/>
        </w:rPr>
        <w:t>"</w:t>
      </w:r>
      <w:r w:rsidRPr="003C6815">
        <w:rPr>
          <w:rFonts w:cs="Arial"/>
          <w:rtl/>
        </w:rPr>
        <w:t>פ שמפעפעת הבליעה ע</w:t>
      </w:r>
      <w:r>
        <w:rPr>
          <w:rFonts w:cs="Arial" w:hint="cs"/>
          <w:rtl/>
        </w:rPr>
        <w:t>"</w:t>
      </w:r>
      <w:r w:rsidRPr="003C6815">
        <w:rPr>
          <w:rFonts w:cs="Arial"/>
          <w:rtl/>
        </w:rPr>
        <w:t>י הלחות ביותר מכדי שיעור התשמיש כך עכשיו בהגעלה ע"י הלחות פולט הכל</w:t>
      </w:r>
      <w:r>
        <w:rPr>
          <w:rFonts w:cs="Arial" w:hint="cs"/>
          <w:rtl/>
        </w:rPr>
        <w:t>.</w:t>
      </w:r>
    </w:p>
    <w:p w14:paraId="7C9C3916" w14:textId="77777777" w:rsidR="002C39F4" w:rsidRDefault="002C39F4" w:rsidP="0032102C">
      <w:pPr>
        <w:pStyle w:val="a8"/>
        <w:numPr>
          <w:ilvl w:val="0"/>
          <w:numId w:val="324"/>
        </w:numPr>
        <w:rPr>
          <w:rFonts w:cs="Arial"/>
        </w:rPr>
      </w:pPr>
      <w:r w:rsidRPr="00F00E01">
        <w:rPr>
          <w:rFonts w:cs="Arial"/>
          <w:rtl/>
        </w:rPr>
        <w:t xml:space="preserve">רשב"א </w:t>
      </w:r>
      <w:r w:rsidRPr="00F00E01">
        <w:rPr>
          <w:rFonts w:cs="Arial" w:hint="cs"/>
          <w:sz w:val="16"/>
          <w:szCs w:val="16"/>
          <w:rtl/>
        </w:rPr>
        <w:t>(</w:t>
      </w:r>
      <w:r w:rsidRPr="00F00E01">
        <w:rPr>
          <w:rFonts w:cs="Arial"/>
          <w:sz w:val="16"/>
          <w:szCs w:val="16"/>
          <w:rtl/>
        </w:rPr>
        <w:t>תו</w:t>
      </w:r>
      <w:r w:rsidRPr="00F00E01">
        <w:rPr>
          <w:rFonts w:cs="Arial" w:hint="cs"/>
          <w:sz w:val="16"/>
          <w:szCs w:val="16"/>
          <w:rtl/>
        </w:rPr>
        <w:t>ה"ק</w:t>
      </w:r>
      <w:r w:rsidRPr="00F00E01">
        <w:rPr>
          <w:rFonts w:cs="Arial"/>
          <w:sz w:val="16"/>
          <w:szCs w:val="16"/>
          <w:rtl/>
        </w:rPr>
        <w:t xml:space="preserve"> ב"ד ש"ד)</w:t>
      </w:r>
      <w:r>
        <w:rPr>
          <w:rFonts w:cs="Arial" w:hint="cs"/>
          <w:rtl/>
        </w:rPr>
        <w:t xml:space="preserve"> ו</w:t>
      </w:r>
      <w:r w:rsidRPr="00B1496F">
        <w:rPr>
          <w:rFonts w:cs="Arial"/>
          <w:rtl/>
        </w:rPr>
        <w:t xml:space="preserve">רא"ש </w:t>
      </w:r>
      <w:r w:rsidRPr="00B1496F">
        <w:rPr>
          <w:rFonts w:cs="Arial" w:hint="cs"/>
          <w:sz w:val="16"/>
          <w:szCs w:val="16"/>
          <w:rtl/>
        </w:rPr>
        <w:t>(</w:t>
      </w:r>
      <w:r w:rsidRPr="00B1496F">
        <w:rPr>
          <w:rFonts w:cs="Arial"/>
          <w:sz w:val="16"/>
          <w:szCs w:val="16"/>
          <w:rtl/>
        </w:rPr>
        <w:t>ע"ז סי' לד</w:t>
      </w:r>
      <w:r>
        <w:rPr>
          <w:rFonts w:cs="Arial" w:hint="cs"/>
          <w:sz w:val="16"/>
          <w:szCs w:val="16"/>
          <w:rtl/>
        </w:rPr>
        <w:t>, להב' הב"י</w:t>
      </w:r>
      <w:r>
        <w:rPr>
          <w:rStyle w:val="a7"/>
          <w:rFonts w:cs="Arial"/>
          <w:sz w:val="16"/>
          <w:szCs w:val="16"/>
          <w:rtl/>
        </w:rPr>
        <w:footnoteReference w:id="3023"/>
      </w:r>
      <w:r w:rsidRPr="00B1496F">
        <w:rPr>
          <w:rFonts w:cs="Arial"/>
          <w:sz w:val="16"/>
          <w:szCs w:val="16"/>
          <w:rtl/>
        </w:rPr>
        <w:t>)</w:t>
      </w:r>
      <w:r>
        <w:rPr>
          <w:rFonts w:cs="Arial" w:hint="cs"/>
          <w:rtl/>
        </w:rPr>
        <w:t xml:space="preserve">- </w:t>
      </w:r>
      <w:r>
        <w:rPr>
          <w:rStyle w:val="a7"/>
          <w:rFonts w:cs="Arial"/>
          <w:rtl/>
        </w:rPr>
        <w:footnoteReference w:id="3024"/>
      </w:r>
      <w:r w:rsidRPr="00B92CBD">
        <w:rPr>
          <w:rFonts w:cs="Arial"/>
          <w:rtl/>
        </w:rPr>
        <w:t xml:space="preserve">כלי מתכות שנאסר מקצתו נאסר כולו, </w:t>
      </w:r>
      <w:r>
        <w:rPr>
          <w:rFonts w:cs="Arial" w:hint="cs"/>
          <w:rtl/>
        </w:rPr>
        <w:t>ו</w:t>
      </w:r>
      <w:r w:rsidRPr="00B92CBD">
        <w:rPr>
          <w:rFonts w:cs="Arial"/>
          <w:rtl/>
        </w:rPr>
        <w:t>לפי שהוא מתחמם ביותר וכשחם מקצתו חם כולו. ולא אמרו אלא לענין איסורו אבל לענין הכשירו לא עלה בו הכשר עד שיכשיר את כולו. אם מגעילו צריך להגעילו כולו</w:t>
      </w:r>
      <w:r>
        <w:rPr>
          <w:rFonts w:cs="Arial" w:hint="cs"/>
          <w:rtl/>
        </w:rPr>
        <w:t>,</w:t>
      </w:r>
      <w:r w:rsidRPr="00B92CBD">
        <w:rPr>
          <w:rFonts w:cs="Arial"/>
          <w:rtl/>
        </w:rPr>
        <w:t xml:space="preserve"> ואם מלבנו עד שילבין כולו</w:t>
      </w:r>
      <w:r>
        <w:rPr>
          <w:rFonts w:cs="Arial" w:hint="cs"/>
          <w:sz w:val="16"/>
          <w:szCs w:val="16"/>
          <w:rtl/>
        </w:rPr>
        <w:t xml:space="preserve"> (ל' הרשב"א)</w:t>
      </w:r>
      <w:r w:rsidRPr="00B92CBD">
        <w:rPr>
          <w:rFonts w:cs="Arial"/>
          <w:rtl/>
        </w:rPr>
        <w:t>.</w:t>
      </w:r>
      <w:r>
        <w:rPr>
          <w:rFonts w:cs="Arial" w:hint="cs"/>
          <w:rtl/>
        </w:rPr>
        <w:t xml:space="preserve"> </w:t>
      </w:r>
      <w:r w:rsidRPr="007D3A52">
        <w:rPr>
          <w:rFonts w:cs="Arial" w:hint="cs"/>
          <w:color w:val="E36C0A" w:themeColor="accent6" w:themeShade="BF"/>
          <w:rtl/>
        </w:rPr>
        <w:t>(וכ"פ בשו"ע)</w:t>
      </w:r>
      <w:r>
        <w:rPr>
          <w:rFonts w:cs="Arial" w:hint="cs"/>
          <w:rtl/>
        </w:rPr>
        <w:t xml:space="preserve"> (וכ"פ הט"ז)</w:t>
      </w:r>
    </w:p>
    <w:p w14:paraId="1046F536" w14:textId="77777777" w:rsidR="002C39F4" w:rsidRDefault="002C39F4" w:rsidP="0032102C">
      <w:pPr>
        <w:pStyle w:val="a8"/>
        <w:numPr>
          <w:ilvl w:val="1"/>
          <w:numId w:val="324"/>
        </w:numPr>
        <w:rPr>
          <w:rFonts w:cs="Arial"/>
        </w:rPr>
      </w:pPr>
      <w:r>
        <w:rPr>
          <w:rFonts w:cs="Arial" w:hint="cs"/>
          <w:rtl/>
        </w:rPr>
        <w:t xml:space="preserve">ב"י- </w:t>
      </w:r>
      <w:r w:rsidRPr="009B0A22">
        <w:rPr>
          <w:rFonts w:cs="Arial"/>
          <w:rtl/>
        </w:rPr>
        <w:t>ולענין הלכה כיון דהרא"ש והרשב"א מסכימים לדעת אחת הכי נקטינן</w:t>
      </w:r>
      <w:r>
        <w:rPr>
          <w:rFonts w:cs="Arial" w:hint="cs"/>
          <w:rtl/>
        </w:rPr>
        <w:t>.</w:t>
      </w:r>
    </w:p>
    <w:p w14:paraId="0D39C19B" w14:textId="77777777" w:rsidR="002C39F4" w:rsidRPr="00E91899" w:rsidRDefault="002C39F4" w:rsidP="002C39F4">
      <w:pPr>
        <w:rPr>
          <w:rFonts w:cs="Arial"/>
          <w:u w:val="single"/>
        </w:rPr>
      </w:pPr>
      <w:r w:rsidRPr="00E91899">
        <w:rPr>
          <w:rFonts w:cs="Arial" w:hint="cs"/>
          <w:u w:val="single"/>
          <w:rtl/>
        </w:rPr>
        <w:t>הגעלת יד</w:t>
      </w:r>
      <w:r>
        <w:rPr>
          <w:rFonts w:cs="Arial" w:hint="cs"/>
          <w:u w:val="single"/>
          <w:rtl/>
        </w:rPr>
        <w:t>ות</w:t>
      </w:r>
      <w:r w:rsidRPr="00E91899">
        <w:rPr>
          <w:rFonts w:cs="Arial" w:hint="cs"/>
          <w:u w:val="single"/>
          <w:rtl/>
        </w:rPr>
        <w:t xml:space="preserve"> הכלי</w:t>
      </w:r>
      <w:r>
        <w:rPr>
          <w:rFonts w:cs="Arial" w:hint="cs"/>
          <w:u w:val="single"/>
          <w:rtl/>
        </w:rPr>
        <w:t>ם</w:t>
      </w:r>
      <w:r w:rsidRPr="00E91899">
        <w:rPr>
          <w:rFonts w:cs="Arial" w:hint="cs"/>
          <w:u w:val="single"/>
          <w:rtl/>
        </w:rPr>
        <w:t>:</w:t>
      </w:r>
    </w:p>
    <w:p w14:paraId="7BC5187E" w14:textId="77777777" w:rsidR="002C39F4" w:rsidRPr="00E91899" w:rsidRDefault="002C39F4" w:rsidP="0032102C">
      <w:pPr>
        <w:pStyle w:val="a8"/>
        <w:numPr>
          <w:ilvl w:val="0"/>
          <w:numId w:val="324"/>
        </w:numPr>
        <w:rPr>
          <w:rFonts w:cs="Arial"/>
        </w:rPr>
      </w:pPr>
      <w:r>
        <w:rPr>
          <w:rFonts w:cs="Arial" w:hint="cs"/>
          <w:rtl/>
        </w:rPr>
        <w:t>או</w:t>
      </w:r>
      <w:r>
        <w:rPr>
          <w:rFonts w:cs="Arial"/>
          <w:rtl/>
        </w:rPr>
        <w:t>"</w:t>
      </w:r>
      <w:r>
        <w:rPr>
          <w:rFonts w:cs="Arial" w:hint="cs"/>
          <w:rtl/>
        </w:rPr>
        <w:t>ה</w:t>
      </w:r>
      <w:r w:rsidRPr="00D26E80">
        <w:rPr>
          <w:rFonts w:cs="Arial" w:hint="cs"/>
          <w:sz w:val="16"/>
          <w:szCs w:val="16"/>
          <w:rtl/>
        </w:rPr>
        <w:t xml:space="preserve"> (</w:t>
      </w:r>
      <w:r w:rsidRPr="00D26E80">
        <w:rPr>
          <w:rFonts w:cs="Arial"/>
          <w:sz w:val="16"/>
          <w:szCs w:val="16"/>
          <w:rtl/>
        </w:rPr>
        <w:t>כלל נח דין מג-מד, סא)</w:t>
      </w:r>
      <w:r>
        <w:rPr>
          <w:rFonts w:cs="Arial" w:hint="cs"/>
          <w:rtl/>
        </w:rPr>
        <w:t>-</w:t>
      </w:r>
      <w:r w:rsidRPr="004A28C8">
        <w:rPr>
          <w:rFonts w:cs="Arial"/>
          <w:rtl/>
        </w:rPr>
        <w:t xml:space="preserve"> לכתחלה יש להגעיל היד של מחבת וכל כדומה לזה</w:t>
      </w:r>
      <w:r>
        <w:rPr>
          <w:rFonts w:cs="Arial" w:hint="cs"/>
          <w:rtl/>
        </w:rPr>
        <w:t>,</w:t>
      </w:r>
      <w:r w:rsidRPr="004A28C8">
        <w:rPr>
          <w:rFonts w:cs="Arial"/>
          <w:rtl/>
        </w:rPr>
        <w:t xml:space="preserve"> אמנם בדיעבד אין לחוש אם לא הגעיל רק הכלי עצמו דכבולעו כך פולטו</w:t>
      </w:r>
      <w:r>
        <w:rPr>
          <w:rFonts w:cs="Arial" w:hint="cs"/>
          <w:rtl/>
        </w:rPr>
        <w:t>,</w:t>
      </w:r>
      <w:r w:rsidRPr="004A28C8">
        <w:rPr>
          <w:rFonts w:cs="Arial"/>
          <w:rtl/>
        </w:rPr>
        <w:t xml:space="preserve"> דלכתחלה טוב להגעילו דהרי נוגעים בה כל השנה בידים מלוכלכות</w:t>
      </w:r>
      <w:r>
        <w:rPr>
          <w:rFonts w:cs="Arial" w:hint="cs"/>
          <w:rtl/>
        </w:rPr>
        <w:t>,</w:t>
      </w:r>
      <w:r w:rsidRPr="004A28C8">
        <w:rPr>
          <w:rFonts w:cs="Arial"/>
          <w:rtl/>
        </w:rPr>
        <w:t xml:space="preserve"> ומיהו ע"י עירוי אף לכתחלה</w:t>
      </w:r>
      <w:r>
        <w:rPr>
          <w:rStyle w:val="a7"/>
          <w:rFonts w:cs="Arial"/>
          <w:rtl/>
        </w:rPr>
        <w:footnoteReference w:id="3025"/>
      </w:r>
      <w:r>
        <w:rPr>
          <w:rFonts w:cs="Arial" w:hint="cs"/>
          <w:rtl/>
        </w:rPr>
        <w:t>.</w:t>
      </w:r>
    </w:p>
    <w:p w14:paraId="53499B0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9CD1BC2" w14:textId="77777777" w:rsidR="002C39F4" w:rsidRDefault="002C39F4" w:rsidP="002C39F4">
      <w:pPr>
        <w:rPr>
          <w:rFonts w:asciiTheme="minorBidi" w:hAnsiTheme="minorBidi"/>
          <w:rtl/>
        </w:rPr>
      </w:pPr>
      <w:r w:rsidRPr="003024E5">
        <w:rPr>
          <w:rFonts w:asciiTheme="minorBidi" w:hAnsiTheme="minorBidi"/>
          <w:rtl/>
        </w:rPr>
        <w:t>כלי מתכות, אף על פי שי</w:t>
      </w:r>
      <w:r>
        <w:rPr>
          <w:rFonts w:asciiTheme="minorBidi" w:hAnsiTheme="minorBidi" w:hint="cs"/>
          <w:rtl/>
        </w:rPr>
        <w:t xml:space="preserve">ש </w:t>
      </w:r>
      <w:r w:rsidRPr="003024E5">
        <w:rPr>
          <w:rFonts w:asciiTheme="minorBidi" w:hAnsiTheme="minorBidi"/>
          <w:rtl/>
        </w:rPr>
        <w:t>א</w:t>
      </w:r>
      <w:r>
        <w:rPr>
          <w:rFonts w:asciiTheme="minorBidi" w:hAnsiTheme="minorBidi" w:hint="cs"/>
          <w:rtl/>
        </w:rPr>
        <w:t>ומרים</w:t>
      </w:r>
      <w:r w:rsidRPr="003024E5">
        <w:rPr>
          <w:rFonts w:asciiTheme="minorBidi" w:hAnsiTheme="minorBidi"/>
          <w:rtl/>
        </w:rPr>
        <w:t xml:space="preserve"> שאם נשתמש בו איסור במקצתו נאסר כולו, משום דחם מקצתו חם כולו, אבל לענין הכשרו לא עלה לו הכשר עד שיכשיר כולו</w:t>
      </w:r>
      <w:r>
        <w:rPr>
          <w:rStyle w:val="a7"/>
          <w:rFonts w:asciiTheme="minorBidi" w:hAnsiTheme="minorBidi"/>
          <w:rtl/>
        </w:rPr>
        <w:footnoteReference w:id="3026"/>
      </w:r>
      <w:r>
        <w:rPr>
          <w:rFonts w:asciiTheme="minorBidi" w:hAnsiTheme="minorBidi" w:hint="cs"/>
          <w:rtl/>
        </w:rPr>
        <w:t>,</w:t>
      </w:r>
      <w:r w:rsidRPr="003024E5">
        <w:rPr>
          <w:rFonts w:asciiTheme="minorBidi" w:hAnsiTheme="minorBidi"/>
          <w:rtl/>
        </w:rPr>
        <w:t xml:space="preserve"> בין לענין הגעלה בין לענין ליבון</w:t>
      </w:r>
      <w:r>
        <w:rPr>
          <w:rStyle w:val="a7"/>
          <w:rFonts w:asciiTheme="minorBidi" w:hAnsiTheme="minorBidi"/>
          <w:rtl/>
        </w:rPr>
        <w:footnoteReference w:id="3027"/>
      </w:r>
      <w:r w:rsidRPr="003024E5">
        <w:rPr>
          <w:rFonts w:asciiTheme="minorBidi" w:hAnsiTheme="minorBidi"/>
          <w:rtl/>
        </w:rPr>
        <w:t xml:space="preserve">. </w:t>
      </w:r>
      <w:r w:rsidRPr="00073A21">
        <w:rPr>
          <w:rFonts w:asciiTheme="minorBidi" w:hAnsiTheme="minorBidi"/>
          <w:sz w:val="18"/>
          <w:szCs w:val="18"/>
          <w:rtl/>
        </w:rPr>
        <w:t>הגה: ודוקא אם נשתמש בכולו, אבל אם ידוע שלא נשתמש רק בקצתו, כבולעו כך פולטו</w:t>
      </w:r>
      <w:r>
        <w:rPr>
          <w:rStyle w:val="a7"/>
          <w:rFonts w:asciiTheme="minorBidi" w:hAnsiTheme="minorBidi"/>
          <w:sz w:val="18"/>
          <w:szCs w:val="18"/>
          <w:rtl/>
        </w:rPr>
        <w:footnoteReference w:id="3028"/>
      </w:r>
      <w:r w:rsidRPr="00073A21">
        <w:rPr>
          <w:rFonts w:asciiTheme="minorBidi" w:hAnsiTheme="minorBidi"/>
          <w:sz w:val="18"/>
          <w:szCs w:val="18"/>
          <w:rtl/>
        </w:rPr>
        <w:t xml:space="preserve"> (טור).</w:t>
      </w:r>
      <w:r w:rsidRPr="003024E5">
        <w:rPr>
          <w:rFonts w:asciiTheme="minorBidi" w:hAnsiTheme="minorBidi"/>
          <w:rtl/>
        </w:rPr>
        <w:t xml:space="preserve"> </w:t>
      </w:r>
    </w:p>
    <w:p w14:paraId="5CAEAE80" w14:textId="77777777" w:rsidR="002C39F4" w:rsidRPr="003024E5" w:rsidRDefault="002C39F4" w:rsidP="002C39F4">
      <w:pPr>
        <w:rPr>
          <w:rFonts w:asciiTheme="minorBidi" w:hAnsiTheme="minorBidi"/>
          <w:rtl/>
        </w:rPr>
      </w:pPr>
    </w:p>
    <w:p w14:paraId="34695A37"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סכין של גוי.</w:t>
      </w:r>
    </w:p>
    <w:p w14:paraId="48B6B12B" w14:textId="77777777" w:rsidR="002C39F4" w:rsidRPr="00372A6C" w:rsidRDefault="002C39F4" w:rsidP="002C39F4">
      <w:pPr>
        <w:rPr>
          <w:rtl/>
        </w:rPr>
      </w:pPr>
      <w:r w:rsidRPr="00372A6C">
        <w:rPr>
          <w:rFonts w:cs="Arial" w:hint="cs"/>
          <w:b/>
          <w:bCs/>
          <w:rtl/>
        </w:rPr>
        <w:t>עבודה זרה עה ע"ב:</w:t>
      </w:r>
      <w:r>
        <w:rPr>
          <w:rFonts w:cs="Arial" w:hint="cs"/>
          <w:rtl/>
        </w:rPr>
        <w:t xml:space="preserve"> </w:t>
      </w:r>
      <w:r w:rsidRPr="00372A6C">
        <w:rPr>
          <w:rFonts w:cs="Arial"/>
          <w:u w:val="double"/>
          <w:rtl/>
        </w:rPr>
        <w:t>מתני'</w:t>
      </w:r>
      <w:r>
        <w:rPr>
          <w:rFonts w:cs="Arial" w:hint="cs"/>
          <w:rtl/>
        </w:rPr>
        <w:t>:</w:t>
      </w:r>
      <w:r w:rsidRPr="00372A6C">
        <w:rPr>
          <w:rFonts w:cs="Arial"/>
          <w:rtl/>
        </w:rPr>
        <w:t xml:space="preserve"> הלוקח כלי תשמיש מן העובדי כוכבים, את שדרכו להטביל - יטביל, להגעיל - יגעיל, ללבן באור - ילבן באור. השפוד והאסכלא - מלבנן באור. הסכין - שפה והיא טהורה.</w:t>
      </w:r>
      <w:r>
        <w:rPr>
          <w:rFonts w:hint="cs"/>
          <w:rtl/>
        </w:rPr>
        <w:t xml:space="preserve">    </w:t>
      </w:r>
      <w:r>
        <w:rPr>
          <w:rFonts w:cs="Arial" w:hint="cs"/>
          <w:rtl/>
        </w:rPr>
        <w:t xml:space="preserve"> </w:t>
      </w:r>
      <w:r w:rsidRPr="00147F76">
        <w:rPr>
          <w:rFonts w:cs="Arial" w:hint="cs"/>
          <w:u w:val="double"/>
          <w:rtl/>
        </w:rPr>
        <w:t>גמ'</w:t>
      </w:r>
      <w:r w:rsidRPr="00147F76">
        <w:rPr>
          <w:rFonts w:cs="Arial" w:hint="cs"/>
          <w:sz w:val="14"/>
          <w:szCs w:val="14"/>
          <w:u w:val="double"/>
          <w:rtl/>
        </w:rPr>
        <w:t>(עו:)</w:t>
      </w:r>
      <w:r>
        <w:rPr>
          <w:rFonts w:cs="Arial" w:hint="cs"/>
          <w:rtl/>
        </w:rPr>
        <w:t xml:space="preserve">: </w:t>
      </w:r>
      <w:r w:rsidRPr="00147F76">
        <w:rPr>
          <w:rFonts w:cs="Arial"/>
          <w:u w:val="single"/>
          <w:rtl/>
        </w:rPr>
        <w:t>אמר רב עוקבא בר חמא</w:t>
      </w:r>
      <w:r w:rsidRPr="00147F76">
        <w:rPr>
          <w:rFonts w:cs="Arial"/>
          <w:rtl/>
        </w:rPr>
        <w:t>: ונועצה עשרה פעמים בקרקע</w:t>
      </w:r>
      <w:r>
        <w:rPr>
          <w:rFonts w:cs="Arial" w:hint="cs"/>
          <w:rtl/>
        </w:rPr>
        <w:t xml:space="preserve"> [קשה</w:t>
      </w:r>
      <w:r>
        <w:rPr>
          <w:rStyle w:val="a7"/>
          <w:rFonts w:cs="Arial"/>
          <w:rtl/>
        </w:rPr>
        <w:footnoteReference w:id="3029"/>
      </w:r>
      <w:r>
        <w:rPr>
          <w:rFonts w:cs="Arial" w:hint="cs"/>
          <w:rtl/>
        </w:rPr>
        <w:t>]</w:t>
      </w:r>
      <w:r w:rsidRPr="00147F76">
        <w:rPr>
          <w:rFonts w:cs="Arial"/>
          <w:rtl/>
        </w:rPr>
        <w:t xml:space="preserve">. </w:t>
      </w:r>
      <w:r w:rsidRPr="00147F76">
        <w:rPr>
          <w:rFonts w:cs="Arial"/>
          <w:u w:val="single"/>
          <w:rtl/>
        </w:rPr>
        <w:t>אמר רב הונא בריה דרב יהושע</w:t>
      </w:r>
      <w:r w:rsidRPr="00147F76">
        <w:rPr>
          <w:rFonts w:cs="Arial"/>
          <w:rtl/>
        </w:rPr>
        <w:t xml:space="preserve">: ובקרקע שאינה עבודה. </w:t>
      </w:r>
      <w:r w:rsidRPr="00147F76">
        <w:rPr>
          <w:rFonts w:cs="Arial"/>
          <w:u w:val="single"/>
          <w:rtl/>
        </w:rPr>
        <w:t>א"ר כהנא</w:t>
      </w:r>
      <w:r w:rsidRPr="00147F76">
        <w:rPr>
          <w:rFonts w:cs="Arial"/>
          <w:rtl/>
        </w:rPr>
        <w:t xml:space="preserve">: ובסכין יפה שאין בה גומות. תניא נמי הכי: סכין יפה שאין בה גומות, נועצה עשרה פעמים בקרקע. </w:t>
      </w:r>
      <w:r w:rsidRPr="00147F76">
        <w:rPr>
          <w:rFonts w:cs="Arial"/>
          <w:u w:val="single"/>
          <w:rtl/>
        </w:rPr>
        <w:t>אמר רב הונא בריה דרב יהושע</w:t>
      </w:r>
      <w:r w:rsidRPr="00147F76">
        <w:rPr>
          <w:rFonts w:cs="Arial"/>
          <w:rtl/>
        </w:rPr>
        <w:t>: לאכול בה צונן. כי הא דמר יהודה ובאטי בר טובי הוו יתבי קמיה דשבור מלכא, אייתו לקמייהו אתרוגא, פסק אכל, פסק והב ליה לבאטי בר טובי, הדר דצה עשרה זימני בארעא, פסק הב ליה למר יהודה. א"ל באטי בר טובי: וההוא גברא לאו בר ישראל הוא? א"ל: מר קים לי בגויה, ומר לא קים לי בגויה. איכא דאמרי, א"ל: אידכר מאי עבדת באורתא.</w:t>
      </w:r>
    </w:p>
    <w:p w14:paraId="23B79983" w14:textId="77777777" w:rsidR="002C39F4" w:rsidRPr="00372A6C" w:rsidRDefault="002C39F4" w:rsidP="002C39F4">
      <w:pPr>
        <w:rPr>
          <w:rFonts w:cs="Arial"/>
          <w:u w:val="single"/>
          <w:rtl/>
        </w:rPr>
      </w:pPr>
      <w:r w:rsidRPr="00372A6C">
        <w:rPr>
          <w:rFonts w:cs="Arial"/>
          <w:u w:val="single"/>
          <w:rtl/>
        </w:rPr>
        <w:t>סכי</w:t>
      </w:r>
      <w:r>
        <w:rPr>
          <w:rFonts w:cs="Arial" w:hint="cs"/>
          <w:u w:val="single"/>
          <w:rtl/>
        </w:rPr>
        <w:t>ן</w:t>
      </w:r>
      <w:r w:rsidRPr="00372A6C">
        <w:rPr>
          <w:rFonts w:cs="Arial"/>
          <w:u w:val="single"/>
          <w:rtl/>
        </w:rPr>
        <w:t xml:space="preserve"> ישנ</w:t>
      </w:r>
      <w:r>
        <w:rPr>
          <w:rFonts w:cs="Arial" w:hint="cs"/>
          <w:u w:val="single"/>
          <w:rtl/>
        </w:rPr>
        <w:t>ה</w:t>
      </w:r>
      <w:r w:rsidRPr="00372A6C">
        <w:rPr>
          <w:rFonts w:cs="Arial"/>
          <w:u w:val="single"/>
          <w:rtl/>
        </w:rPr>
        <w:t xml:space="preserve"> </w:t>
      </w:r>
      <w:r w:rsidRPr="00360F07">
        <w:rPr>
          <w:rFonts w:cs="Arial" w:hint="cs"/>
          <w:b/>
          <w:bCs/>
          <w:color w:val="000000" w:themeColor="text1"/>
          <w:u w:val="single"/>
          <w:rtl/>
        </w:rPr>
        <w:t>חלקה</w:t>
      </w:r>
      <w:r w:rsidRPr="00360F07">
        <w:rPr>
          <w:rFonts w:cs="Arial" w:hint="cs"/>
          <w:color w:val="000000" w:themeColor="text1"/>
          <w:u w:val="single"/>
          <w:rtl/>
        </w:rPr>
        <w:t xml:space="preserve"> </w:t>
      </w:r>
      <w:r w:rsidRPr="00372A6C">
        <w:rPr>
          <w:rFonts w:cs="Arial"/>
          <w:u w:val="single"/>
          <w:rtl/>
        </w:rPr>
        <w:t>הנ</w:t>
      </w:r>
      <w:r>
        <w:rPr>
          <w:rFonts w:cs="Arial" w:hint="cs"/>
          <w:u w:val="single"/>
          <w:rtl/>
        </w:rPr>
        <w:t>י</w:t>
      </w:r>
      <w:r w:rsidRPr="00372A6C">
        <w:rPr>
          <w:rFonts w:cs="Arial"/>
          <w:u w:val="single"/>
          <w:rtl/>
        </w:rPr>
        <w:t>קח</w:t>
      </w:r>
      <w:r>
        <w:rPr>
          <w:rFonts w:cs="Arial" w:hint="cs"/>
          <w:u w:val="single"/>
          <w:rtl/>
        </w:rPr>
        <w:t>ת</w:t>
      </w:r>
      <w:r w:rsidRPr="00372A6C">
        <w:rPr>
          <w:rFonts w:cs="Arial"/>
          <w:u w:val="single"/>
          <w:rtl/>
        </w:rPr>
        <w:t xml:space="preserve"> מן ה</w:t>
      </w:r>
      <w:r>
        <w:rPr>
          <w:rFonts w:cs="Arial" w:hint="cs"/>
          <w:u w:val="single"/>
          <w:rtl/>
        </w:rPr>
        <w:t xml:space="preserve">גוי ורוצה לחתוך עמה </w:t>
      </w:r>
      <w:r w:rsidRPr="002C5F95">
        <w:rPr>
          <w:rFonts w:cs="Arial" w:hint="cs"/>
          <w:b/>
          <w:bCs/>
          <w:u w:val="single"/>
          <w:rtl/>
        </w:rPr>
        <w:t>צונן</w:t>
      </w:r>
      <w:r>
        <w:rPr>
          <w:rFonts w:cs="Arial" w:hint="cs"/>
          <w:u w:val="single"/>
          <w:rtl/>
        </w:rPr>
        <w:t xml:space="preserve"> </w:t>
      </w:r>
      <w:r w:rsidRPr="00E56D6E">
        <w:rPr>
          <w:rFonts w:cs="Arial" w:hint="cs"/>
          <w:sz w:val="16"/>
          <w:szCs w:val="16"/>
          <w:u w:val="single"/>
          <w:rtl/>
        </w:rPr>
        <w:t xml:space="preserve">(בגמ' </w:t>
      </w:r>
      <w:r>
        <w:rPr>
          <w:rFonts w:cs="Arial" w:hint="cs"/>
          <w:sz w:val="16"/>
          <w:szCs w:val="16"/>
          <w:u w:val="single"/>
          <w:rtl/>
        </w:rPr>
        <w:t xml:space="preserve">כתוב- </w:t>
      </w:r>
      <w:r w:rsidRPr="00E56D6E">
        <w:rPr>
          <w:rFonts w:cs="Arial" w:hint="cs"/>
          <w:sz w:val="16"/>
          <w:szCs w:val="16"/>
          <w:u w:val="single"/>
          <w:rtl/>
        </w:rPr>
        <w:t xml:space="preserve">נועצה, ואילו במשנה כ'- שפה, </w:t>
      </w:r>
      <w:r>
        <w:rPr>
          <w:rFonts w:cs="Arial" w:hint="cs"/>
          <w:sz w:val="16"/>
          <w:szCs w:val="16"/>
          <w:u w:val="single"/>
          <w:rtl/>
        </w:rPr>
        <w:t>הא כ</w:t>
      </w:r>
      <w:r w:rsidRPr="00E56D6E">
        <w:rPr>
          <w:rFonts w:cs="Arial" w:hint="cs"/>
          <w:sz w:val="16"/>
          <w:szCs w:val="16"/>
          <w:u w:val="single"/>
          <w:rtl/>
        </w:rPr>
        <w:t>יצד</w:t>
      </w:r>
      <w:r>
        <w:rPr>
          <w:rFonts w:cs="Arial" w:hint="cs"/>
          <w:sz w:val="16"/>
          <w:szCs w:val="16"/>
          <w:u w:val="single"/>
          <w:rtl/>
        </w:rPr>
        <w:t>?)</w:t>
      </w:r>
      <w:r w:rsidRPr="00372A6C">
        <w:rPr>
          <w:rFonts w:cs="Arial" w:hint="cs"/>
          <w:u w:val="single"/>
          <w:rtl/>
        </w:rPr>
        <w:t>:</w:t>
      </w:r>
    </w:p>
    <w:p w14:paraId="5588F6BA" w14:textId="77777777" w:rsidR="002C39F4" w:rsidRDefault="002C39F4" w:rsidP="0032102C">
      <w:pPr>
        <w:pStyle w:val="a8"/>
        <w:numPr>
          <w:ilvl w:val="0"/>
          <w:numId w:val="325"/>
        </w:numPr>
        <w:rPr>
          <w:rFonts w:cs="Arial"/>
        </w:rPr>
      </w:pPr>
      <w:r>
        <w:rPr>
          <w:rFonts w:cs="Arial"/>
          <w:rtl/>
        </w:rPr>
        <w:t xml:space="preserve">רמב"ם </w:t>
      </w:r>
      <w:r w:rsidRPr="000D0638">
        <w:rPr>
          <w:rFonts w:cs="Arial" w:hint="cs"/>
          <w:sz w:val="16"/>
          <w:szCs w:val="16"/>
          <w:rtl/>
        </w:rPr>
        <w:t>(</w:t>
      </w:r>
      <w:r w:rsidRPr="000D0638">
        <w:rPr>
          <w:rFonts w:cs="Arial"/>
          <w:sz w:val="16"/>
          <w:szCs w:val="16"/>
          <w:rtl/>
        </w:rPr>
        <w:t xml:space="preserve">פי"ז מהמ"א ה"ז) </w:t>
      </w:r>
      <w:r>
        <w:rPr>
          <w:rFonts w:cs="Arial"/>
          <w:rtl/>
        </w:rPr>
        <w:t xml:space="preserve">רשב"א </w:t>
      </w:r>
      <w:r w:rsidRPr="000D0638">
        <w:rPr>
          <w:rFonts w:cs="Arial"/>
          <w:sz w:val="16"/>
          <w:szCs w:val="16"/>
          <w:rtl/>
        </w:rPr>
        <w:t>(</w:t>
      </w:r>
      <w:r w:rsidRPr="000D0638">
        <w:rPr>
          <w:rFonts w:cs="Arial" w:hint="cs"/>
          <w:sz w:val="16"/>
          <w:szCs w:val="16"/>
          <w:rtl/>
        </w:rPr>
        <w:t xml:space="preserve">תוה"א </w:t>
      </w:r>
      <w:r w:rsidRPr="000D0638">
        <w:rPr>
          <w:rFonts w:cs="Arial"/>
          <w:sz w:val="16"/>
          <w:szCs w:val="16"/>
          <w:rtl/>
        </w:rPr>
        <w:t>שם</w:t>
      </w:r>
      <w:r w:rsidRPr="000D0638">
        <w:rPr>
          <w:rFonts w:cs="Arial" w:hint="cs"/>
          <w:sz w:val="16"/>
          <w:szCs w:val="16"/>
          <w:rtl/>
        </w:rPr>
        <w:t xml:space="preserve"> לד.</w:t>
      </w:r>
      <w:r w:rsidRPr="000D0638">
        <w:rPr>
          <w:rFonts w:cs="Arial"/>
          <w:sz w:val="16"/>
          <w:szCs w:val="16"/>
          <w:rtl/>
        </w:rPr>
        <w:t xml:space="preserve">) </w:t>
      </w:r>
      <w:r>
        <w:rPr>
          <w:rFonts w:cs="Arial" w:hint="cs"/>
          <w:rtl/>
        </w:rPr>
        <w:t xml:space="preserve">רא"ש </w:t>
      </w:r>
      <w:r w:rsidRPr="000D0638">
        <w:rPr>
          <w:rFonts w:cs="Arial"/>
          <w:sz w:val="16"/>
          <w:szCs w:val="16"/>
          <w:rtl/>
        </w:rPr>
        <w:t xml:space="preserve">(סו"ס לו) </w:t>
      </w:r>
      <w:r w:rsidRPr="00372A6C">
        <w:rPr>
          <w:rFonts w:cs="Arial" w:hint="cs"/>
          <w:rtl/>
        </w:rPr>
        <w:t>טור</w:t>
      </w:r>
      <w:r w:rsidRPr="00147F76">
        <w:rPr>
          <w:rFonts w:cs="Arial"/>
          <w:rtl/>
        </w:rPr>
        <w:t xml:space="preserve"> </w:t>
      </w:r>
      <w:r>
        <w:rPr>
          <w:rFonts w:cs="Arial" w:hint="cs"/>
          <w:rtl/>
        </w:rPr>
        <w:t>ו</w:t>
      </w:r>
      <w:r>
        <w:rPr>
          <w:rFonts w:cs="Arial"/>
          <w:rtl/>
        </w:rPr>
        <w:t xml:space="preserve">ר"ן </w:t>
      </w:r>
      <w:r w:rsidRPr="000D0638">
        <w:rPr>
          <w:rFonts w:cs="Arial"/>
          <w:sz w:val="16"/>
          <w:szCs w:val="16"/>
          <w:rtl/>
        </w:rPr>
        <w:t>(מ. ד"ה נועצה)</w:t>
      </w:r>
      <w:r w:rsidRPr="00372A6C">
        <w:rPr>
          <w:rFonts w:cs="Arial" w:hint="cs"/>
          <w:rtl/>
        </w:rPr>
        <w:t xml:space="preserve">- </w:t>
      </w:r>
      <w:r>
        <w:rPr>
          <w:rFonts w:cs="Arial" w:hint="cs"/>
          <w:rtl/>
        </w:rPr>
        <w:t>נועצה או שפה.</w:t>
      </w:r>
      <w:r w:rsidRPr="002C5F95">
        <w:rPr>
          <w:rFonts w:cs="Arial" w:hint="cs"/>
          <w:rtl/>
        </w:rPr>
        <w:t xml:space="preserve"> </w:t>
      </w:r>
      <w:r>
        <w:rPr>
          <w:rFonts w:cs="Arial" w:hint="cs"/>
          <w:rtl/>
        </w:rPr>
        <w:t>(וכ"פ בב"י)</w:t>
      </w:r>
    </w:p>
    <w:p w14:paraId="026E29FF" w14:textId="77777777" w:rsidR="002C39F4" w:rsidRDefault="002C39F4" w:rsidP="0032102C">
      <w:pPr>
        <w:pStyle w:val="a8"/>
        <w:numPr>
          <w:ilvl w:val="0"/>
          <w:numId w:val="325"/>
        </w:numPr>
        <w:rPr>
          <w:rFonts w:cs="Arial"/>
        </w:rPr>
      </w:pPr>
      <w:r w:rsidRPr="00372A6C">
        <w:rPr>
          <w:rFonts w:cs="Arial"/>
          <w:rtl/>
        </w:rPr>
        <w:t>רש"י</w:t>
      </w:r>
      <w:r>
        <w:rPr>
          <w:rFonts w:cs="Arial" w:hint="cs"/>
          <w:sz w:val="16"/>
          <w:szCs w:val="16"/>
          <w:rtl/>
        </w:rPr>
        <w:t xml:space="preserve"> (עו: ד"ה ונועצה)</w:t>
      </w:r>
      <w:r>
        <w:rPr>
          <w:rFonts w:cs="Arial" w:hint="cs"/>
          <w:rtl/>
        </w:rPr>
        <w:t xml:space="preserve">- </w:t>
      </w:r>
      <w:r w:rsidRPr="00372A6C">
        <w:rPr>
          <w:rFonts w:cs="Arial"/>
          <w:rtl/>
        </w:rPr>
        <w:t>צריכה שיפה ונעיצה</w:t>
      </w:r>
      <w:r>
        <w:rPr>
          <w:rStyle w:val="a7"/>
          <w:rFonts w:cs="Arial"/>
          <w:rtl/>
        </w:rPr>
        <w:footnoteReference w:id="3030"/>
      </w:r>
      <w:r>
        <w:rPr>
          <w:rFonts w:cs="Arial" w:hint="cs"/>
          <w:rtl/>
        </w:rPr>
        <w:t>.</w:t>
      </w:r>
    </w:p>
    <w:p w14:paraId="574DC8BE" w14:textId="77777777" w:rsidR="002C39F4" w:rsidRDefault="002C39F4" w:rsidP="0032102C">
      <w:pPr>
        <w:pStyle w:val="a8"/>
        <w:numPr>
          <w:ilvl w:val="0"/>
          <w:numId w:val="325"/>
        </w:numPr>
        <w:rPr>
          <w:rFonts w:cs="Arial"/>
        </w:rPr>
      </w:pPr>
      <w:r>
        <w:rPr>
          <w:rFonts w:cs="Arial" w:hint="cs"/>
          <w:rtl/>
        </w:rPr>
        <w:t>או</w:t>
      </w:r>
      <w:r>
        <w:rPr>
          <w:rFonts w:cs="Arial"/>
          <w:rtl/>
        </w:rPr>
        <w:t>"</w:t>
      </w:r>
      <w:r>
        <w:rPr>
          <w:rFonts w:cs="Arial" w:hint="cs"/>
          <w:rtl/>
        </w:rPr>
        <w:t>ה</w:t>
      </w:r>
      <w:r w:rsidRPr="000D0638">
        <w:rPr>
          <w:rFonts w:cs="Arial"/>
          <w:sz w:val="16"/>
          <w:szCs w:val="16"/>
          <w:rtl/>
        </w:rPr>
        <w:t xml:space="preserve"> (כלל נח דט</w:t>
      </w:r>
      <w:r>
        <w:rPr>
          <w:rFonts w:cs="Arial" w:hint="cs"/>
          <w:sz w:val="16"/>
          <w:szCs w:val="16"/>
          <w:rtl/>
        </w:rPr>
        <w:t>"</w:t>
      </w:r>
      <w:r w:rsidRPr="000D0638">
        <w:rPr>
          <w:rFonts w:cs="Arial"/>
          <w:sz w:val="16"/>
          <w:szCs w:val="16"/>
          <w:rtl/>
        </w:rPr>
        <w:t>ז)</w:t>
      </w:r>
      <w:r>
        <w:rPr>
          <w:rFonts w:cs="Arial" w:hint="cs"/>
          <w:rtl/>
        </w:rPr>
        <w:t xml:space="preserve">- </w:t>
      </w:r>
      <w:r w:rsidRPr="001B13E6">
        <w:rPr>
          <w:rFonts w:cs="Arial"/>
          <w:rtl/>
        </w:rPr>
        <w:t>יש להחמיר ולהגעיל אף לצונן</w:t>
      </w:r>
      <w:r>
        <w:rPr>
          <w:rFonts w:cs="Arial" w:hint="cs"/>
          <w:rtl/>
        </w:rPr>
        <w:t>,</w:t>
      </w:r>
      <w:r w:rsidRPr="001B13E6">
        <w:rPr>
          <w:rFonts w:cs="Arial"/>
          <w:rtl/>
        </w:rPr>
        <w:t xml:space="preserve"> דגזרינן משום רותח</w:t>
      </w:r>
      <w:r>
        <w:rPr>
          <w:rFonts w:cs="Arial" w:hint="cs"/>
          <w:rtl/>
        </w:rPr>
        <w:t>,</w:t>
      </w:r>
      <w:r w:rsidRPr="001B13E6">
        <w:rPr>
          <w:rFonts w:cs="Arial"/>
          <w:rtl/>
        </w:rPr>
        <w:t xml:space="preserve"> או ילבנו אי דינו של סכין בליבון</w:t>
      </w:r>
      <w:r>
        <w:rPr>
          <w:rStyle w:val="a7"/>
          <w:rtl/>
        </w:rPr>
        <w:footnoteReference w:id="3031"/>
      </w:r>
      <w:r>
        <w:rPr>
          <w:rFonts w:hint="cs"/>
          <w:rtl/>
        </w:rPr>
        <w:t xml:space="preserve">. </w:t>
      </w:r>
    </w:p>
    <w:p w14:paraId="5E1B0833" w14:textId="77777777" w:rsidR="002C39F4" w:rsidRPr="00372A6C" w:rsidRDefault="002C39F4" w:rsidP="002C39F4">
      <w:pPr>
        <w:ind w:left="360"/>
        <w:rPr>
          <w:rFonts w:cs="Arial"/>
          <w:u w:val="dotted"/>
          <w:rtl/>
        </w:rPr>
      </w:pPr>
      <w:r>
        <w:rPr>
          <w:rFonts w:cs="Arial" w:hint="cs"/>
          <w:u w:val="dotted"/>
          <w:rtl/>
        </w:rPr>
        <w:t xml:space="preserve">ומה הדין אם </w:t>
      </w:r>
      <w:r w:rsidRPr="00372A6C">
        <w:rPr>
          <w:rFonts w:cs="Arial" w:hint="cs"/>
          <w:u w:val="dotted"/>
          <w:rtl/>
        </w:rPr>
        <w:t xml:space="preserve">רוצה </w:t>
      </w:r>
      <w:r>
        <w:rPr>
          <w:rFonts w:cs="Arial" w:hint="cs"/>
          <w:u w:val="dotted"/>
          <w:rtl/>
        </w:rPr>
        <w:t xml:space="preserve">לחתוך עמה </w:t>
      </w:r>
      <w:r w:rsidRPr="00A96409">
        <w:rPr>
          <w:rFonts w:cs="Arial" w:hint="cs"/>
          <w:b/>
          <w:bCs/>
          <w:u w:val="dotted"/>
          <w:rtl/>
        </w:rPr>
        <w:t>דברים חריפים</w:t>
      </w:r>
      <w:r w:rsidRPr="00372A6C">
        <w:rPr>
          <w:rFonts w:cs="Arial" w:hint="cs"/>
          <w:u w:val="dotted"/>
          <w:rtl/>
        </w:rPr>
        <w:t>:</w:t>
      </w:r>
    </w:p>
    <w:p w14:paraId="4E1681F0" w14:textId="77777777" w:rsidR="002C39F4" w:rsidRDefault="002C39F4" w:rsidP="0032102C">
      <w:pPr>
        <w:pStyle w:val="a8"/>
        <w:numPr>
          <w:ilvl w:val="0"/>
          <w:numId w:val="325"/>
        </w:numPr>
        <w:rPr>
          <w:rFonts w:cs="Arial"/>
        </w:rPr>
      </w:pPr>
      <w:r w:rsidRPr="00372A6C">
        <w:rPr>
          <w:rFonts w:cs="Arial"/>
          <w:rtl/>
        </w:rPr>
        <w:t>רשב"א</w:t>
      </w:r>
      <w:r>
        <w:rPr>
          <w:rFonts w:cs="Arial" w:hint="cs"/>
          <w:rtl/>
        </w:rPr>
        <w:t xml:space="preserve"> </w:t>
      </w:r>
      <w:r>
        <w:rPr>
          <w:rFonts w:cs="Arial" w:hint="cs"/>
          <w:sz w:val="16"/>
          <w:szCs w:val="16"/>
          <w:rtl/>
        </w:rPr>
        <w:t xml:space="preserve">(תוה"ק שם, וכ"כ הטור בשמו) </w:t>
      </w:r>
      <w:r>
        <w:rPr>
          <w:rFonts w:cs="Arial" w:hint="cs"/>
          <w:rtl/>
        </w:rPr>
        <w:t xml:space="preserve">וטור- </w:t>
      </w:r>
      <w:r w:rsidRPr="00A957C4">
        <w:rPr>
          <w:rFonts w:cs="Arial"/>
          <w:rtl/>
        </w:rPr>
        <w:t>הסכינים בין גדולים בין קטנים אם בא לחתוך בה צונן ואפילו הדברים החריפים כאתרוג וצנון וכיוצא בהן נועצה עשר פעמים בקרקע קשה</w:t>
      </w:r>
      <w:r w:rsidRPr="00A957C4">
        <w:rPr>
          <w:rFonts w:cs="Arial" w:hint="cs"/>
          <w:rtl/>
        </w:rPr>
        <w:t>,</w:t>
      </w:r>
      <w:r w:rsidRPr="00A957C4">
        <w:rPr>
          <w:rFonts w:cs="Arial"/>
          <w:rtl/>
        </w:rPr>
        <w:t xml:space="preserve"> והוא שתהיה הסכין יפה שאין בה גומות</w:t>
      </w:r>
      <w:r w:rsidRPr="00A957C4">
        <w:rPr>
          <w:rFonts w:cs="Arial" w:hint="cs"/>
          <w:rtl/>
        </w:rPr>
        <w:t>,</w:t>
      </w:r>
      <w:r w:rsidRPr="00A957C4">
        <w:rPr>
          <w:rFonts w:cs="Arial"/>
          <w:rtl/>
        </w:rPr>
        <w:t xml:space="preserve"> ואם בא לשופה במשחזת של נפחים מעבירה על גבה היטב עד שמשיר קליפתה ומותר לחתוך צונן אפילו חריף כמו שאמרנו</w:t>
      </w:r>
      <w:r>
        <w:rPr>
          <w:rStyle w:val="a7"/>
          <w:rFonts w:cs="Arial"/>
          <w:rtl/>
        </w:rPr>
        <w:footnoteReference w:id="3032"/>
      </w:r>
      <w:r w:rsidRPr="00A957C4">
        <w:rPr>
          <w:rFonts w:cs="Arial" w:hint="cs"/>
          <w:sz w:val="16"/>
          <w:szCs w:val="16"/>
          <w:rtl/>
        </w:rPr>
        <w:t xml:space="preserve"> (ל' הרשב"א)</w:t>
      </w:r>
      <w:r w:rsidRPr="00A957C4">
        <w:rPr>
          <w:rFonts w:cs="Arial" w:hint="cs"/>
          <w:rtl/>
        </w:rPr>
        <w:t>.</w:t>
      </w:r>
      <w:r>
        <w:rPr>
          <w:rFonts w:cs="Arial" w:hint="cs"/>
          <w:rtl/>
        </w:rPr>
        <w:t xml:space="preserve"> </w:t>
      </w:r>
      <w:r w:rsidRPr="00DF73A9">
        <w:rPr>
          <w:rFonts w:cs="Arial" w:hint="cs"/>
          <w:color w:val="E36C0A" w:themeColor="accent6" w:themeShade="BF"/>
          <w:rtl/>
        </w:rPr>
        <w:t>(וכ"פ בשו"ע)</w:t>
      </w:r>
    </w:p>
    <w:p w14:paraId="5083C63A" w14:textId="77777777" w:rsidR="002C39F4" w:rsidRPr="00A53EA4" w:rsidRDefault="002C39F4" w:rsidP="002C39F4">
      <w:pPr>
        <w:ind w:left="360"/>
        <w:rPr>
          <w:rFonts w:cs="Arial"/>
          <w:u w:val="dotted"/>
          <w:rtl/>
        </w:rPr>
      </w:pPr>
      <w:r>
        <w:rPr>
          <w:rFonts w:cs="Arial" w:hint="cs"/>
          <w:u w:val="dotted"/>
          <w:rtl/>
        </w:rPr>
        <w:t>ו</w:t>
      </w:r>
      <w:r w:rsidRPr="00A53EA4">
        <w:rPr>
          <w:rFonts w:cs="Arial" w:hint="cs"/>
          <w:u w:val="dotted"/>
          <w:rtl/>
        </w:rPr>
        <w:t xml:space="preserve">מה הדין אם הסכין </w:t>
      </w:r>
      <w:r w:rsidRPr="00A53EA4">
        <w:rPr>
          <w:rFonts w:cs="Arial" w:hint="cs"/>
          <w:b/>
          <w:bCs/>
          <w:u w:val="dotted"/>
          <w:rtl/>
        </w:rPr>
        <w:t>אינה חלקה</w:t>
      </w:r>
      <w:r w:rsidRPr="00A53EA4">
        <w:rPr>
          <w:rFonts w:cs="Arial" w:hint="cs"/>
          <w:sz w:val="16"/>
          <w:szCs w:val="16"/>
          <w:u w:val="dotted"/>
          <w:rtl/>
        </w:rPr>
        <w:t xml:space="preserve"> (היינו שיש בה פגימות)</w:t>
      </w:r>
      <w:r w:rsidRPr="00A53EA4">
        <w:rPr>
          <w:rFonts w:cs="Arial" w:hint="cs"/>
          <w:u w:val="dotted"/>
          <w:rtl/>
        </w:rPr>
        <w:t>:</w:t>
      </w:r>
    </w:p>
    <w:p w14:paraId="6A588A71" w14:textId="77777777" w:rsidR="002C39F4" w:rsidRPr="00D34670" w:rsidRDefault="002C39F4" w:rsidP="0032102C">
      <w:pPr>
        <w:pStyle w:val="a8"/>
        <w:numPr>
          <w:ilvl w:val="0"/>
          <w:numId w:val="328"/>
        </w:numPr>
        <w:rPr>
          <w:rFonts w:cs="Arial"/>
          <w:u w:val="single"/>
        </w:rPr>
      </w:pPr>
      <w:r>
        <w:rPr>
          <w:rFonts w:cs="Arial" w:hint="cs"/>
          <w:rtl/>
        </w:rPr>
        <w:t xml:space="preserve">תוס' </w:t>
      </w:r>
      <w:r w:rsidRPr="00401492">
        <w:rPr>
          <w:rFonts w:cs="Arial" w:hint="cs"/>
          <w:sz w:val="16"/>
          <w:szCs w:val="16"/>
          <w:rtl/>
        </w:rPr>
        <w:t>(שם)</w:t>
      </w:r>
      <w:r>
        <w:rPr>
          <w:rFonts w:cs="Arial" w:hint="cs"/>
          <w:rtl/>
        </w:rPr>
        <w:t xml:space="preserve"> רא"ש </w:t>
      </w:r>
      <w:r w:rsidRPr="00401492">
        <w:rPr>
          <w:rFonts w:cs="Arial" w:hint="cs"/>
          <w:sz w:val="16"/>
          <w:szCs w:val="16"/>
          <w:rtl/>
        </w:rPr>
        <w:t>(שם)</w:t>
      </w:r>
      <w:r>
        <w:rPr>
          <w:rFonts w:cs="Arial" w:hint="cs"/>
          <w:rtl/>
        </w:rPr>
        <w:t xml:space="preserve"> ו</w:t>
      </w:r>
      <w:r w:rsidRPr="00457A0E">
        <w:rPr>
          <w:rFonts w:cs="Arial" w:hint="cs"/>
          <w:rtl/>
        </w:rPr>
        <w:t>טור-</w:t>
      </w:r>
      <w:r w:rsidRPr="00457A0E">
        <w:rPr>
          <w:rFonts w:cs="Arial"/>
          <w:rtl/>
        </w:rPr>
        <w:t xml:space="preserve"> אם יש בו גומות אסור להשתמש בו בין בצונן בין בחמין עד שילבנו היטב</w:t>
      </w:r>
      <w:r w:rsidRPr="00457A0E">
        <w:rPr>
          <w:rFonts w:cs="Arial" w:hint="cs"/>
          <w:rtl/>
        </w:rPr>
        <w:t>.</w:t>
      </w:r>
    </w:p>
    <w:p w14:paraId="61C3F60D" w14:textId="77777777" w:rsidR="002C39F4" w:rsidRPr="00457A0E" w:rsidRDefault="002C39F4" w:rsidP="0032102C">
      <w:pPr>
        <w:pStyle w:val="a8"/>
        <w:numPr>
          <w:ilvl w:val="0"/>
          <w:numId w:val="328"/>
        </w:numPr>
        <w:rPr>
          <w:rFonts w:cs="Arial"/>
          <w:u w:val="single"/>
          <w:rtl/>
        </w:rPr>
      </w:pPr>
      <w:r w:rsidRPr="0011442D">
        <w:rPr>
          <w:rFonts w:cs="Arial"/>
          <w:rtl/>
        </w:rPr>
        <w:t xml:space="preserve">רמב"ם </w:t>
      </w:r>
      <w:r w:rsidRPr="00401492">
        <w:rPr>
          <w:rFonts w:cs="Arial" w:hint="cs"/>
          <w:sz w:val="16"/>
          <w:szCs w:val="16"/>
          <w:rtl/>
        </w:rPr>
        <w:t>(שם)</w:t>
      </w:r>
      <w:r>
        <w:rPr>
          <w:rFonts w:cs="Arial" w:hint="cs"/>
          <w:rtl/>
        </w:rPr>
        <w:t>-</w:t>
      </w:r>
      <w:r w:rsidRPr="00401492">
        <w:rPr>
          <w:rtl/>
        </w:rPr>
        <w:t xml:space="preserve"> </w:t>
      </w:r>
      <w:r w:rsidRPr="00401492">
        <w:rPr>
          <w:rFonts w:cs="Arial"/>
          <w:rtl/>
        </w:rPr>
        <w:t>אם היו בה פגימות</w:t>
      </w:r>
      <w:r>
        <w:rPr>
          <w:rFonts w:cs="Arial" w:hint="cs"/>
          <w:rtl/>
        </w:rPr>
        <w:t>...</w:t>
      </w:r>
      <w:r w:rsidRPr="00401492">
        <w:rPr>
          <w:rFonts w:cs="Arial"/>
          <w:rtl/>
        </w:rPr>
        <w:t xml:space="preserve"> מלבנה או משחיזה כולה</w:t>
      </w:r>
      <w:r>
        <w:rPr>
          <w:rStyle w:val="a7"/>
          <w:rFonts w:cs="Arial"/>
          <w:rtl/>
        </w:rPr>
        <w:footnoteReference w:id="3033"/>
      </w:r>
      <w:r>
        <w:rPr>
          <w:rFonts w:cs="Arial" w:hint="cs"/>
          <w:rtl/>
        </w:rPr>
        <w:t>.</w:t>
      </w:r>
      <w:r w:rsidRPr="00DF73A9">
        <w:rPr>
          <w:rFonts w:cs="Arial" w:hint="cs"/>
          <w:color w:val="E36C0A" w:themeColor="accent6" w:themeShade="BF"/>
          <w:rtl/>
        </w:rPr>
        <w:t xml:space="preserve"> (וכ"פ בשו"ע)</w:t>
      </w:r>
    </w:p>
    <w:p w14:paraId="35C34B3B" w14:textId="77777777" w:rsidR="002C39F4" w:rsidRPr="006D6FA9" w:rsidRDefault="002C39F4" w:rsidP="002C39F4">
      <w:pPr>
        <w:rPr>
          <w:rFonts w:cs="Arial"/>
          <w:u w:val="single"/>
          <w:rtl/>
        </w:rPr>
      </w:pPr>
      <w:r>
        <w:rPr>
          <w:rFonts w:cs="Arial" w:hint="cs"/>
          <w:u w:val="single"/>
          <w:rtl/>
        </w:rPr>
        <w:t>מספר הנעיצות:</w:t>
      </w:r>
    </w:p>
    <w:p w14:paraId="2029EF9A" w14:textId="77777777" w:rsidR="002C39F4" w:rsidRDefault="002C39F4" w:rsidP="0032102C">
      <w:pPr>
        <w:pStyle w:val="a8"/>
        <w:numPr>
          <w:ilvl w:val="0"/>
          <w:numId w:val="326"/>
        </w:numPr>
        <w:rPr>
          <w:rFonts w:cs="Arial"/>
        </w:rPr>
      </w:pPr>
      <w:r>
        <w:rPr>
          <w:rFonts w:cs="Arial" w:hint="cs"/>
          <w:rtl/>
        </w:rPr>
        <w:t xml:space="preserve">רמב"ם </w:t>
      </w:r>
      <w:r>
        <w:rPr>
          <w:rFonts w:cs="Arial" w:hint="cs"/>
          <w:sz w:val="16"/>
          <w:szCs w:val="16"/>
          <w:rtl/>
        </w:rPr>
        <w:t xml:space="preserve">(שם) </w:t>
      </w:r>
      <w:r>
        <w:rPr>
          <w:rFonts w:cs="Arial" w:hint="cs"/>
          <w:rtl/>
        </w:rPr>
        <w:t xml:space="preserve">רשב"א </w:t>
      </w:r>
      <w:r>
        <w:rPr>
          <w:rFonts w:cs="Arial" w:hint="cs"/>
          <w:sz w:val="16"/>
          <w:szCs w:val="16"/>
          <w:rtl/>
        </w:rPr>
        <w:t xml:space="preserve">(שם) </w:t>
      </w:r>
      <w:r>
        <w:rPr>
          <w:rFonts w:cs="Arial" w:hint="cs"/>
          <w:rtl/>
        </w:rPr>
        <w:t xml:space="preserve">וטור- </w:t>
      </w:r>
      <w:r w:rsidRPr="00372A6C">
        <w:rPr>
          <w:rFonts w:cs="Arial"/>
          <w:rtl/>
        </w:rPr>
        <w:t xml:space="preserve">נועצה </w:t>
      </w:r>
      <w:r>
        <w:rPr>
          <w:rFonts w:cs="Arial" w:hint="cs"/>
          <w:rtl/>
        </w:rPr>
        <w:t>עשר</w:t>
      </w:r>
      <w:r>
        <w:rPr>
          <w:rStyle w:val="a7"/>
          <w:rFonts w:cs="Arial"/>
          <w:rtl/>
        </w:rPr>
        <w:footnoteReference w:id="3034"/>
      </w:r>
      <w:r w:rsidRPr="00372A6C">
        <w:rPr>
          <w:rFonts w:cs="Arial"/>
          <w:rtl/>
        </w:rPr>
        <w:t xml:space="preserve"> פעמים בקרקע קשה</w:t>
      </w:r>
      <w:r>
        <w:rPr>
          <w:rFonts w:cs="Arial" w:hint="cs"/>
          <w:rtl/>
        </w:rPr>
        <w:t xml:space="preserve">. </w:t>
      </w:r>
      <w:r w:rsidRPr="00DF73A9">
        <w:rPr>
          <w:rFonts w:cs="Arial" w:hint="cs"/>
          <w:color w:val="E36C0A" w:themeColor="accent6" w:themeShade="BF"/>
          <w:rtl/>
        </w:rPr>
        <w:t>(וכ"פ בשו"ע)</w:t>
      </w:r>
      <w:r>
        <w:rPr>
          <w:rFonts w:cs="Arial" w:hint="cs"/>
          <w:rtl/>
        </w:rPr>
        <w:t xml:space="preserve"> </w:t>
      </w:r>
    </w:p>
    <w:p w14:paraId="03D9A045" w14:textId="77777777" w:rsidR="002C39F4" w:rsidRPr="002C5F95" w:rsidRDefault="002C39F4" w:rsidP="0032102C">
      <w:pPr>
        <w:pStyle w:val="a8"/>
        <w:numPr>
          <w:ilvl w:val="0"/>
          <w:numId w:val="326"/>
        </w:numPr>
        <w:rPr>
          <w:rFonts w:cs="Arial"/>
        </w:rPr>
      </w:pPr>
      <w:r>
        <w:rPr>
          <w:rFonts w:cs="Arial" w:hint="cs"/>
          <w:rtl/>
        </w:rPr>
        <w:t>רא"ש</w:t>
      </w:r>
      <w:r>
        <w:rPr>
          <w:rFonts w:cs="Arial" w:hint="cs"/>
          <w:sz w:val="16"/>
          <w:szCs w:val="16"/>
          <w:rtl/>
        </w:rPr>
        <w:t xml:space="preserve"> (ע"ז פ"ה סי' לו)</w:t>
      </w:r>
      <w:r>
        <w:rPr>
          <w:rFonts w:cs="Arial" w:hint="cs"/>
          <w:rtl/>
        </w:rPr>
        <w:t xml:space="preserve"> ור"ן</w:t>
      </w:r>
      <w:r>
        <w:rPr>
          <w:rFonts w:cs="Arial" w:hint="cs"/>
          <w:sz w:val="16"/>
          <w:szCs w:val="16"/>
          <w:rtl/>
        </w:rPr>
        <w:t xml:space="preserve"> (ע"ז מ. מדפ"ה)</w:t>
      </w:r>
      <w:r>
        <w:rPr>
          <w:rFonts w:cs="Arial" w:hint="cs"/>
          <w:rtl/>
        </w:rPr>
        <w:t xml:space="preserve">- </w:t>
      </w:r>
      <w:r w:rsidRPr="006D6FA9">
        <w:rPr>
          <w:rFonts w:cs="Arial"/>
          <w:rtl/>
        </w:rPr>
        <w:t>לאו דוקא עשר דהא בירושלמי</w:t>
      </w:r>
      <w:r>
        <w:rPr>
          <w:rFonts w:cs="Arial" w:hint="cs"/>
          <w:sz w:val="16"/>
          <w:szCs w:val="16"/>
          <w:rtl/>
        </w:rPr>
        <w:t xml:space="preserve"> </w:t>
      </w:r>
      <w:r w:rsidRPr="006D6FA9">
        <w:rPr>
          <w:rFonts w:cs="Arial"/>
          <w:sz w:val="16"/>
          <w:szCs w:val="16"/>
          <w:rtl/>
        </w:rPr>
        <w:t>(סוף ע"ז)</w:t>
      </w:r>
      <w:r w:rsidRPr="006D6FA9">
        <w:rPr>
          <w:rFonts w:cs="Arial"/>
          <w:rtl/>
        </w:rPr>
        <w:t xml:space="preserve"> קאמר שלשה פעמים</w:t>
      </w:r>
      <w:r>
        <w:rPr>
          <w:rStyle w:val="a7"/>
          <w:rFonts w:cs="Arial"/>
          <w:rtl/>
        </w:rPr>
        <w:footnoteReference w:id="3035"/>
      </w:r>
      <w:r>
        <w:rPr>
          <w:rFonts w:cs="Arial" w:hint="cs"/>
          <w:sz w:val="16"/>
          <w:szCs w:val="16"/>
          <w:rtl/>
        </w:rPr>
        <w:t xml:space="preserve"> (ל' הרא"ש)</w:t>
      </w:r>
      <w:r w:rsidRPr="006D6FA9">
        <w:rPr>
          <w:rFonts w:cs="Arial"/>
          <w:rtl/>
        </w:rPr>
        <w:t>.</w:t>
      </w:r>
    </w:p>
    <w:p w14:paraId="4EE628D1" w14:textId="77777777" w:rsidR="002C39F4" w:rsidRPr="006D6FA9" w:rsidRDefault="002C39F4" w:rsidP="002C39F4">
      <w:pPr>
        <w:rPr>
          <w:rFonts w:cs="Arial"/>
        </w:rPr>
      </w:pPr>
      <w:r w:rsidRPr="006D6FA9">
        <w:rPr>
          <w:rFonts w:cs="Arial" w:hint="cs"/>
          <w:u w:val="single"/>
          <w:rtl/>
        </w:rPr>
        <w:t>נעיצה כיצד:</w:t>
      </w:r>
    </w:p>
    <w:p w14:paraId="6EB8CB24" w14:textId="77777777" w:rsidR="002C39F4" w:rsidRDefault="002C39F4" w:rsidP="0032102C">
      <w:pPr>
        <w:pStyle w:val="a8"/>
        <w:numPr>
          <w:ilvl w:val="0"/>
          <w:numId w:val="326"/>
        </w:numPr>
        <w:rPr>
          <w:rFonts w:cs="Arial"/>
        </w:rPr>
      </w:pPr>
      <w:r w:rsidRPr="0011442D">
        <w:rPr>
          <w:rFonts w:cs="Arial"/>
          <w:rtl/>
        </w:rPr>
        <w:t>רמ"ה</w:t>
      </w:r>
      <w:r w:rsidRPr="0011442D">
        <w:rPr>
          <w:rFonts w:cs="Arial" w:hint="cs"/>
          <w:rtl/>
        </w:rPr>
        <w:t xml:space="preserve"> </w:t>
      </w:r>
      <w:r w:rsidRPr="0011442D">
        <w:rPr>
          <w:rFonts w:cs="Arial" w:hint="cs"/>
          <w:sz w:val="16"/>
          <w:szCs w:val="16"/>
          <w:rtl/>
        </w:rPr>
        <w:t>(הביאו הטור)</w:t>
      </w:r>
      <w:r w:rsidRPr="0011442D">
        <w:rPr>
          <w:rFonts w:cs="Arial" w:hint="cs"/>
          <w:rtl/>
        </w:rPr>
        <w:t xml:space="preserve"> וטור-</w:t>
      </w:r>
      <w:r w:rsidRPr="0011442D">
        <w:rPr>
          <w:rFonts w:cs="Arial"/>
          <w:rtl/>
        </w:rPr>
        <w:t xml:space="preserve"> בכל פעם נועץ בקרקע קשה ולא ינעצנו במקום שנעץ בפעם ראשונה שצריך שיהיה קרקע קשה בכל נעיצה ונעיצה ובמקום שנעץ פעם אחת כבר נעשה רך</w:t>
      </w:r>
      <w:r>
        <w:rPr>
          <w:rFonts w:hint="cs"/>
          <w:sz w:val="16"/>
          <w:szCs w:val="16"/>
          <w:rtl/>
        </w:rPr>
        <w:t xml:space="preserve"> (ל' הטור בשם הרמ"ה)</w:t>
      </w:r>
      <w:r>
        <w:rPr>
          <w:rFonts w:hint="cs"/>
          <w:rtl/>
        </w:rPr>
        <w:t>.</w:t>
      </w:r>
      <w:r w:rsidRPr="00C853BA">
        <w:rPr>
          <w:rFonts w:cs="Arial" w:hint="cs"/>
          <w:color w:val="E36C0A" w:themeColor="accent6" w:themeShade="BF"/>
          <w:rtl/>
        </w:rPr>
        <w:t xml:space="preserve"> </w:t>
      </w:r>
      <w:r w:rsidRPr="00DF73A9">
        <w:rPr>
          <w:rFonts w:cs="Arial" w:hint="cs"/>
          <w:color w:val="E36C0A" w:themeColor="accent6" w:themeShade="BF"/>
          <w:rtl/>
        </w:rPr>
        <w:t>(וכ"פ בשו"ע)</w:t>
      </w:r>
    </w:p>
    <w:p w14:paraId="42560F87" w14:textId="77777777" w:rsidR="002C39F4" w:rsidRPr="0011442D" w:rsidRDefault="002C39F4" w:rsidP="0032102C">
      <w:pPr>
        <w:pStyle w:val="a8"/>
        <w:numPr>
          <w:ilvl w:val="0"/>
          <w:numId w:val="326"/>
        </w:numPr>
        <w:rPr>
          <w:rFonts w:cs="Arial"/>
        </w:rPr>
      </w:pPr>
      <w:r>
        <w:rPr>
          <w:rFonts w:cs="Arial"/>
          <w:rtl/>
        </w:rPr>
        <w:t>תוס</w:t>
      </w:r>
      <w:r>
        <w:rPr>
          <w:rFonts w:cs="Arial" w:hint="cs"/>
          <w:rtl/>
        </w:rPr>
        <w:t>'</w:t>
      </w:r>
      <w:r>
        <w:rPr>
          <w:rFonts w:cs="Arial"/>
          <w:rtl/>
        </w:rPr>
        <w:t xml:space="preserve"> </w:t>
      </w:r>
      <w:r w:rsidRPr="000D0638">
        <w:rPr>
          <w:rFonts w:cs="Arial"/>
          <w:sz w:val="16"/>
          <w:szCs w:val="16"/>
          <w:rtl/>
        </w:rPr>
        <w:t>(עו: סוד"ה אמר רב הונא</w:t>
      </w:r>
      <w:r>
        <w:rPr>
          <w:rFonts w:cs="Arial" w:hint="cs"/>
          <w:sz w:val="16"/>
          <w:szCs w:val="16"/>
          <w:rtl/>
        </w:rPr>
        <w:t>, הביאו הב"י</w:t>
      </w:r>
      <w:r w:rsidRPr="000D0638">
        <w:rPr>
          <w:rFonts w:cs="Arial"/>
          <w:sz w:val="16"/>
          <w:szCs w:val="16"/>
          <w:rtl/>
        </w:rPr>
        <w:t>)</w:t>
      </w:r>
      <w:r>
        <w:rPr>
          <w:rFonts w:cs="Arial" w:hint="cs"/>
          <w:rtl/>
        </w:rPr>
        <w:t xml:space="preserve">- </w:t>
      </w:r>
      <w:r>
        <w:rPr>
          <w:rFonts w:cs="Arial"/>
          <w:rtl/>
        </w:rPr>
        <w:t>אומר מורי דהא דקאמר הכא נועצה עשר פעמים בקרקע היינו דוקא בקרקע קשה שהיא מעברת את השומן ושפה</w:t>
      </w:r>
      <w:r>
        <w:rPr>
          <w:rFonts w:cs="Arial" w:hint="cs"/>
          <w:rtl/>
        </w:rPr>
        <w:t>,</w:t>
      </w:r>
      <w:r>
        <w:rPr>
          <w:rFonts w:cs="Arial"/>
          <w:rtl/>
        </w:rPr>
        <w:t xml:space="preserve"> אבל לא רכה שאינה מעברת את השומן</w:t>
      </w:r>
      <w:r>
        <w:rPr>
          <w:rFonts w:cs="Arial" w:hint="cs"/>
          <w:rtl/>
        </w:rPr>
        <w:t>,</w:t>
      </w:r>
      <w:r>
        <w:rPr>
          <w:rFonts w:cs="Arial"/>
          <w:rtl/>
        </w:rPr>
        <w:t xml:space="preserve"> וגם לא קרקע קשה יותר מדאי</w:t>
      </w:r>
      <w:r>
        <w:rPr>
          <w:rFonts w:cs="Arial" w:hint="cs"/>
          <w:rtl/>
        </w:rPr>
        <w:t>,</w:t>
      </w:r>
      <w:r>
        <w:rPr>
          <w:rFonts w:cs="Arial"/>
          <w:rtl/>
        </w:rPr>
        <w:t xml:space="preserve"> ודוקא נקט קרקע ולא אבן ולא אפר ולא קרקע רכה</w:t>
      </w:r>
      <w:r>
        <w:rPr>
          <w:rFonts w:hint="cs"/>
          <w:rtl/>
        </w:rPr>
        <w:t>.</w:t>
      </w:r>
      <w:r w:rsidRPr="00C853BA">
        <w:rPr>
          <w:rFonts w:cs="Arial" w:hint="cs"/>
          <w:color w:val="E36C0A" w:themeColor="accent6" w:themeShade="BF"/>
          <w:rtl/>
        </w:rPr>
        <w:t xml:space="preserve"> </w:t>
      </w:r>
      <w:r w:rsidRPr="00DF73A9">
        <w:rPr>
          <w:rFonts w:cs="Arial" w:hint="cs"/>
          <w:color w:val="E36C0A" w:themeColor="accent6" w:themeShade="BF"/>
          <w:rtl/>
        </w:rPr>
        <w:t>(וכ"פ בשו"ע)</w:t>
      </w:r>
      <w:r>
        <w:rPr>
          <w:rFonts w:cs="Arial" w:hint="cs"/>
          <w:rtl/>
        </w:rPr>
        <w:t xml:space="preserve"> </w:t>
      </w:r>
    </w:p>
    <w:p w14:paraId="7A9E73CC" w14:textId="77777777" w:rsidR="002C39F4" w:rsidRPr="0011442D" w:rsidRDefault="002C39F4" w:rsidP="002C39F4">
      <w:pPr>
        <w:rPr>
          <w:rFonts w:cs="Arial"/>
          <w:u w:val="single"/>
        </w:rPr>
      </w:pPr>
      <w:r w:rsidRPr="0011442D">
        <w:rPr>
          <w:rFonts w:cs="Arial" w:hint="cs"/>
          <w:u w:val="single"/>
          <w:rtl/>
        </w:rPr>
        <w:t>שפה כיצד:</w:t>
      </w:r>
    </w:p>
    <w:p w14:paraId="2BCD5D6F" w14:textId="77777777" w:rsidR="002C39F4" w:rsidRDefault="002C39F4" w:rsidP="0032102C">
      <w:pPr>
        <w:pStyle w:val="a8"/>
        <w:numPr>
          <w:ilvl w:val="0"/>
          <w:numId w:val="326"/>
        </w:numPr>
        <w:rPr>
          <w:rFonts w:cs="Arial"/>
        </w:rPr>
      </w:pPr>
      <w:r w:rsidRPr="0011442D">
        <w:rPr>
          <w:rFonts w:cs="Arial"/>
          <w:rtl/>
        </w:rPr>
        <w:t>רש"י</w:t>
      </w:r>
      <w:r>
        <w:rPr>
          <w:rStyle w:val="a7"/>
          <w:rFonts w:cs="Arial"/>
          <w:rtl/>
        </w:rPr>
        <w:footnoteReference w:id="3036"/>
      </w:r>
      <w:r w:rsidRPr="0011442D">
        <w:rPr>
          <w:rFonts w:cs="Arial"/>
          <w:rtl/>
        </w:rPr>
        <w:t xml:space="preserve"> </w:t>
      </w:r>
      <w:r w:rsidRPr="006D6FA9">
        <w:rPr>
          <w:rFonts w:cs="Arial"/>
          <w:sz w:val="16"/>
          <w:szCs w:val="16"/>
          <w:rtl/>
        </w:rPr>
        <w:t>(עה: ד"ה שפה)</w:t>
      </w:r>
      <w:r>
        <w:rPr>
          <w:rFonts w:cs="Arial" w:hint="cs"/>
          <w:rtl/>
        </w:rPr>
        <w:t xml:space="preserve"> </w:t>
      </w:r>
      <w:r w:rsidRPr="0011442D">
        <w:rPr>
          <w:rFonts w:cs="Arial"/>
          <w:rtl/>
        </w:rPr>
        <w:t xml:space="preserve">רמב"ם </w:t>
      </w:r>
      <w:r w:rsidRPr="006D6FA9">
        <w:rPr>
          <w:rFonts w:cs="Arial"/>
          <w:sz w:val="16"/>
          <w:szCs w:val="16"/>
          <w:rtl/>
        </w:rPr>
        <w:t>(שם)</w:t>
      </w:r>
      <w:r>
        <w:rPr>
          <w:rFonts w:cs="Arial" w:hint="cs"/>
          <w:rtl/>
        </w:rPr>
        <w:t xml:space="preserve"> וטור- </w:t>
      </w:r>
      <w:r w:rsidRPr="006D6FA9">
        <w:rPr>
          <w:rFonts w:cs="Arial"/>
          <w:rtl/>
        </w:rPr>
        <w:t xml:space="preserve">במשחזת של נפחים היטב על פני כולה </w:t>
      </w:r>
      <w:r>
        <w:rPr>
          <w:rFonts w:cs="Arial" w:hint="cs"/>
          <w:sz w:val="16"/>
          <w:szCs w:val="16"/>
          <w:rtl/>
        </w:rPr>
        <w:t>(ל' הטור)</w:t>
      </w:r>
      <w:r>
        <w:rPr>
          <w:rFonts w:cs="Arial" w:hint="cs"/>
          <w:rtl/>
        </w:rPr>
        <w:t>.</w:t>
      </w:r>
      <w:r w:rsidRPr="0011442D">
        <w:rPr>
          <w:rFonts w:cs="Arial"/>
          <w:rtl/>
        </w:rPr>
        <w:t xml:space="preserve"> </w:t>
      </w:r>
      <w:r w:rsidRPr="00DF73A9">
        <w:rPr>
          <w:rFonts w:cs="Arial" w:hint="cs"/>
          <w:color w:val="E36C0A" w:themeColor="accent6" w:themeShade="BF"/>
          <w:rtl/>
        </w:rPr>
        <w:t>(וכ"פ בשו"ע)</w:t>
      </w:r>
    </w:p>
    <w:p w14:paraId="00863CC7" w14:textId="77777777" w:rsidR="002C39F4" w:rsidRDefault="002C39F4" w:rsidP="0032102C">
      <w:pPr>
        <w:pStyle w:val="a8"/>
        <w:numPr>
          <w:ilvl w:val="0"/>
          <w:numId w:val="326"/>
        </w:numPr>
        <w:rPr>
          <w:rFonts w:cs="Arial"/>
        </w:rPr>
      </w:pPr>
      <w:r w:rsidRPr="0011442D">
        <w:rPr>
          <w:rFonts w:cs="Arial"/>
          <w:rtl/>
        </w:rPr>
        <w:t xml:space="preserve">רשב"א </w:t>
      </w:r>
      <w:r w:rsidRPr="006D6FA9">
        <w:rPr>
          <w:rFonts w:cs="Arial"/>
          <w:sz w:val="16"/>
          <w:szCs w:val="16"/>
          <w:rtl/>
        </w:rPr>
        <w:t>(תוה"ק שם לה.)</w:t>
      </w:r>
      <w:r>
        <w:rPr>
          <w:rFonts w:cs="Arial" w:hint="cs"/>
          <w:rtl/>
        </w:rPr>
        <w:t xml:space="preserve">- </w:t>
      </w:r>
      <w:r w:rsidRPr="0011442D">
        <w:rPr>
          <w:rFonts w:cs="Arial"/>
          <w:rtl/>
        </w:rPr>
        <w:t xml:space="preserve">אם בא לשופה במשחזת של נפחים מעבירה על גבה היטב עד שמשיר קליפתה. </w:t>
      </w:r>
    </w:p>
    <w:p w14:paraId="38D63C6A" w14:textId="77777777" w:rsidR="002C39F4" w:rsidRPr="00360F07" w:rsidRDefault="002C39F4" w:rsidP="002C39F4">
      <w:pPr>
        <w:rPr>
          <w:rFonts w:cs="Arial"/>
          <w:sz w:val="16"/>
          <w:szCs w:val="16"/>
        </w:rPr>
      </w:pPr>
      <w:r w:rsidRPr="00360F07">
        <w:rPr>
          <w:rFonts w:cs="Arial"/>
          <w:b/>
          <w:bCs/>
          <w:rtl/>
        </w:rPr>
        <w:t>תוספתא</w:t>
      </w:r>
      <w:r w:rsidRPr="00360F07">
        <w:rPr>
          <w:rFonts w:cs="Arial" w:hint="cs"/>
          <w:b/>
          <w:bCs/>
          <w:sz w:val="16"/>
          <w:szCs w:val="16"/>
          <w:rtl/>
        </w:rPr>
        <w:t xml:space="preserve"> (צוקרמאנדל)</w:t>
      </w:r>
      <w:r w:rsidRPr="00360F07">
        <w:rPr>
          <w:rFonts w:cs="Arial"/>
          <w:b/>
          <w:bCs/>
          <w:rtl/>
        </w:rPr>
        <w:t xml:space="preserve"> ע</w:t>
      </w:r>
      <w:r w:rsidRPr="00360F07">
        <w:rPr>
          <w:rFonts w:cs="Arial" w:hint="cs"/>
          <w:b/>
          <w:bCs/>
          <w:rtl/>
        </w:rPr>
        <w:t xml:space="preserve">בודה </w:t>
      </w:r>
      <w:r w:rsidRPr="00360F07">
        <w:rPr>
          <w:rFonts w:cs="Arial"/>
          <w:b/>
          <w:bCs/>
          <w:rtl/>
        </w:rPr>
        <w:t>ז</w:t>
      </w:r>
      <w:r w:rsidRPr="00360F07">
        <w:rPr>
          <w:rFonts w:cs="Arial" w:hint="cs"/>
          <w:b/>
          <w:bCs/>
          <w:rtl/>
        </w:rPr>
        <w:t xml:space="preserve">רה </w:t>
      </w:r>
      <w:r w:rsidRPr="00360F07">
        <w:rPr>
          <w:rFonts w:cs="Arial"/>
          <w:b/>
          <w:bCs/>
          <w:rtl/>
        </w:rPr>
        <w:t>פ"</w:t>
      </w:r>
      <w:r w:rsidRPr="00360F07">
        <w:rPr>
          <w:rFonts w:cs="Arial" w:hint="cs"/>
          <w:b/>
          <w:bCs/>
          <w:rtl/>
        </w:rPr>
        <w:t>ח</w:t>
      </w:r>
      <w:r w:rsidRPr="00360F07">
        <w:rPr>
          <w:rFonts w:cs="Arial"/>
          <w:b/>
          <w:bCs/>
          <w:rtl/>
        </w:rPr>
        <w:t xml:space="preserve"> ה"ב</w:t>
      </w:r>
      <w:r w:rsidRPr="00360F07">
        <w:rPr>
          <w:rFonts w:cs="Arial" w:hint="cs"/>
          <w:b/>
          <w:bCs/>
          <w:rtl/>
        </w:rPr>
        <w:t>:</w:t>
      </w:r>
      <w:r w:rsidRPr="00360F07">
        <w:rPr>
          <w:rFonts w:cs="Arial"/>
          <w:rtl/>
        </w:rPr>
        <w:t xml:space="preserve"> הסכינין והשפודין והאסכלאות מלבנן באור והן טהורין</w:t>
      </w:r>
      <w:r w:rsidRPr="00360F07">
        <w:rPr>
          <w:rFonts w:cs="Arial" w:hint="cs"/>
          <w:rtl/>
        </w:rPr>
        <w:t>.</w:t>
      </w:r>
    </w:p>
    <w:p w14:paraId="0DD8891A" w14:textId="77777777" w:rsidR="002C39F4" w:rsidRDefault="002C39F4" w:rsidP="002C39F4">
      <w:pPr>
        <w:rPr>
          <w:rFonts w:cs="Arial"/>
          <w:sz w:val="16"/>
          <w:szCs w:val="16"/>
          <w:rtl/>
        </w:rPr>
      </w:pPr>
      <w:r>
        <w:rPr>
          <w:rFonts w:cs="Arial" w:hint="cs"/>
          <w:b/>
          <w:bCs/>
          <w:rtl/>
        </w:rPr>
        <w:t xml:space="preserve">חולין ח ע"א: </w:t>
      </w:r>
      <w:r w:rsidRPr="00360F07">
        <w:rPr>
          <w:rFonts w:cs="Arial"/>
          <w:u w:val="single"/>
          <w:rtl/>
        </w:rPr>
        <w:t>אמר רב נחמן אמר רבה בר אבוה</w:t>
      </w:r>
      <w:r w:rsidRPr="00360F07">
        <w:rPr>
          <w:rFonts w:cs="Arial"/>
          <w:rtl/>
        </w:rPr>
        <w:t xml:space="preserve">: סכין של עבודת כוכבים - מותר לשחוט בה ואסור לחתוך בה בשר, מותר לשחוט בה - מקלקל הוא, ואסור לחתוך בה בשר - מתקן הוא. </w:t>
      </w:r>
      <w:r w:rsidRPr="00360F07">
        <w:rPr>
          <w:rFonts w:cs="Arial"/>
          <w:u w:val="single"/>
          <w:rtl/>
        </w:rPr>
        <w:t>אמר רבא</w:t>
      </w:r>
      <w:r w:rsidRPr="00360F07">
        <w:rPr>
          <w:rFonts w:cs="Arial"/>
          <w:rtl/>
        </w:rPr>
        <w:t>: פעמים שהשוחט אסור - במסוכנת, ומחתך מותר - באטמי דקיימין לקורבנא. ותיפוק ליה משום שמנונית דאיסורא!</w:t>
      </w:r>
      <w:r w:rsidRPr="00360F07">
        <w:rPr>
          <w:rtl/>
        </w:rPr>
        <w:t xml:space="preserve"> </w:t>
      </w:r>
      <w:r w:rsidRPr="00360F07">
        <w:rPr>
          <w:rFonts w:cs="Arial"/>
          <w:rtl/>
        </w:rPr>
        <w:t>בחדשה. חדשה, בין לר' ישמעאל בין לר' עקיבא משמשי עבודת כוכבים הן, ומשמשי עבודת כוכבים אינן אסורין עד שיעבדו! איבעית אימא: דפסק ביה גווזא לעבודת כוכבים, ואיבעית אימא: בישנה שליבנה באור.</w:t>
      </w:r>
      <w:r>
        <w:rPr>
          <w:rFonts w:cs="Arial" w:hint="cs"/>
          <w:sz w:val="16"/>
          <w:szCs w:val="16"/>
          <w:rtl/>
        </w:rPr>
        <w:t xml:space="preserve"> (משמע לכאורה דסכין ישנה של גוי צריכה ליבון באור)</w:t>
      </w:r>
    </w:p>
    <w:p w14:paraId="47105A2D" w14:textId="77777777" w:rsidR="002C39F4" w:rsidRDefault="002C39F4" w:rsidP="002C39F4">
      <w:pPr>
        <w:rPr>
          <w:rFonts w:cs="Arial"/>
          <w:rtl/>
        </w:rPr>
      </w:pPr>
      <w:r w:rsidRPr="00457A0E">
        <w:rPr>
          <w:rFonts w:cs="Arial" w:hint="cs"/>
          <w:b/>
          <w:bCs/>
          <w:rtl/>
        </w:rPr>
        <w:t xml:space="preserve">פסחים ל ע"ב: </w:t>
      </w:r>
      <w:r w:rsidRPr="00457A0E">
        <w:rPr>
          <w:rFonts w:cs="Arial"/>
          <w:u w:val="single"/>
          <w:rtl/>
        </w:rPr>
        <w:t>אמר ליה רבינא לרב אשי</w:t>
      </w:r>
      <w:r w:rsidRPr="00457A0E">
        <w:rPr>
          <w:rFonts w:cs="Arial"/>
          <w:rtl/>
        </w:rPr>
        <w:t>: הני סכיני בפסחא היכי עבדינן להו?</w:t>
      </w:r>
      <w:r w:rsidRPr="00457A0E">
        <w:rPr>
          <w:rFonts w:cs="Arial" w:hint="cs"/>
          <w:rtl/>
        </w:rPr>
        <w:t>...</w:t>
      </w:r>
      <w:r w:rsidRPr="00457A0E">
        <w:rPr>
          <w:rFonts w:cs="Arial"/>
          <w:rtl/>
        </w:rPr>
        <w:t xml:space="preserve"> והלכתא</w:t>
      </w:r>
      <w:r>
        <w:rPr>
          <w:rStyle w:val="a7"/>
          <w:rFonts w:cs="Arial"/>
          <w:rtl/>
        </w:rPr>
        <w:footnoteReference w:id="3037"/>
      </w:r>
      <w:r w:rsidRPr="00457A0E">
        <w:rPr>
          <w:rFonts w:cs="Arial"/>
          <w:rtl/>
        </w:rPr>
        <w:t xml:space="preserve">: אידי ואידי ברותחין, ובכלי ראשון. </w:t>
      </w:r>
    </w:p>
    <w:p w14:paraId="59603EDF" w14:textId="77777777" w:rsidR="002C39F4" w:rsidRDefault="002C39F4" w:rsidP="002C39F4">
      <w:pPr>
        <w:rPr>
          <w:rFonts w:cs="Arial"/>
          <w:u w:val="single"/>
          <w:rtl/>
        </w:rPr>
      </w:pPr>
      <w:r w:rsidRPr="00372A6C">
        <w:rPr>
          <w:rFonts w:cs="Arial"/>
          <w:u w:val="single"/>
          <w:rtl/>
        </w:rPr>
        <w:t>סכי</w:t>
      </w:r>
      <w:r>
        <w:rPr>
          <w:rFonts w:cs="Arial" w:hint="cs"/>
          <w:u w:val="single"/>
          <w:rtl/>
        </w:rPr>
        <w:t>ן</w:t>
      </w:r>
      <w:r w:rsidRPr="00372A6C">
        <w:rPr>
          <w:rFonts w:cs="Arial"/>
          <w:u w:val="single"/>
          <w:rtl/>
        </w:rPr>
        <w:t xml:space="preserve"> ישנ</w:t>
      </w:r>
      <w:r>
        <w:rPr>
          <w:rFonts w:cs="Arial" w:hint="cs"/>
          <w:u w:val="single"/>
          <w:rtl/>
        </w:rPr>
        <w:t>ה</w:t>
      </w:r>
      <w:r w:rsidRPr="00372A6C">
        <w:rPr>
          <w:rFonts w:cs="Arial"/>
          <w:u w:val="single"/>
          <w:rtl/>
        </w:rPr>
        <w:t xml:space="preserve"> הנ</w:t>
      </w:r>
      <w:r>
        <w:rPr>
          <w:rFonts w:cs="Arial" w:hint="cs"/>
          <w:u w:val="single"/>
          <w:rtl/>
        </w:rPr>
        <w:t>י</w:t>
      </w:r>
      <w:r w:rsidRPr="00372A6C">
        <w:rPr>
          <w:rFonts w:cs="Arial"/>
          <w:u w:val="single"/>
          <w:rtl/>
        </w:rPr>
        <w:t>קח</w:t>
      </w:r>
      <w:r>
        <w:rPr>
          <w:rFonts w:cs="Arial" w:hint="cs"/>
          <w:u w:val="single"/>
          <w:rtl/>
        </w:rPr>
        <w:t>ת</w:t>
      </w:r>
      <w:r w:rsidRPr="00372A6C">
        <w:rPr>
          <w:rFonts w:cs="Arial"/>
          <w:u w:val="single"/>
          <w:rtl/>
        </w:rPr>
        <w:t xml:space="preserve"> מן ה</w:t>
      </w:r>
      <w:r>
        <w:rPr>
          <w:rFonts w:cs="Arial" w:hint="cs"/>
          <w:u w:val="single"/>
          <w:rtl/>
        </w:rPr>
        <w:t xml:space="preserve">גוי ורוצה לחתוך עמה </w:t>
      </w:r>
      <w:r>
        <w:rPr>
          <w:rFonts w:cs="Arial" w:hint="cs"/>
          <w:b/>
          <w:bCs/>
          <w:u w:val="single"/>
          <w:rtl/>
        </w:rPr>
        <w:t>רותח</w:t>
      </w:r>
      <w:r>
        <w:rPr>
          <w:rFonts w:cs="Arial" w:hint="cs"/>
          <w:u w:val="single"/>
          <w:rtl/>
        </w:rPr>
        <w:t>:</w:t>
      </w:r>
    </w:p>
    <w:p w14:paraId="5C58D8A3" w14:textId="77777777" w:rsidR="002C39F4" w:rsidRDefault="002C39F4" w:rsidP="0032102C">
      <w:pPr>
        <w:pStyle w:val="a8"/>
        <w:numPr>
          <w:ilvl w:val="0"/>
          <w:numId w:val="325"/>
        </w:numPr>
        <w:rPr>
          <w:rFonts w:cs="Arial"/>
        </w:rPr>
      </w:pPr>
      <w:r w:rsidRPr="007773F1">
        <w:rPr>
          <w:rFonts w:cs="Arial"/>
          <w:rtl/>
        </w:rPr>
        <w:t>רש"י</w:t>
      </w:r>
      <w:r>
        <w:rPr>
          <w:rStyle w:val="a7"/>
          <w:rFonts w:cs="Arial"/>
          <w:rtl/>
        </w:rPr>
        <w:footnoteReference w:id="3038"/>
      </w:r>
      <w:r>
        <w:rPr>
          <w:rFonts w:cs="Arial" w:hint="cs"/>
          <w:rtl/>
        </w:rPr>
        <w:t xml:space="preserve"> </w:t>
      </w:r>
      <w:r w:rsidRPr="007773F1">
        <w:rPr>
          <w:rFonts w:cs="Arial"/>
          <w:rtl/>
        </w:rPr>
        <w:t>רשב"א</w:t>
      </w:r>
      <w:r>
        <w:rPr>
          <w:rStyle w:val="a7"/>
          <w:rFonts w:cs="Arial"/>
          <w:rtl/>
        </w:rPr>
        <w:footnoteReference w:id="3039"/>
      </w:r>
      <w:r>
        <w:rPr>
          <w:rFonts w:cs="Arial" w:hint="cs"/>
          <w:rtl/>
        </w:rPr>
        <w:t xml:space="preserve"> ו</w:t>
      </w:r>
      <w:r w:rsidRPr="00A94968">
        <w:rPr>
          <w:rFonts w:cs="Arial" w:hint="cs"/>
          <w:rtl/>
        </w:rPr>
        <w:t>ר"ן</w:t>
      </w:r>
      <w:r>
        <w:rPr>
          <w:rStyle w:val="a7"/>
          <w:rFonts w:cs="Arial"/>
          <w:rtl/>
        </w:rPr>
        <w:footnoteReference w:id="3040"/>
      </w:r>
      <w:r w:rsidRPr="00A94968">
        <w:rPr>
          <w:rFonts w:cs="Arial" w:hint="cs"/>
          <w:rtl/>
        </w:rPr>
        <w:t xml:space="preserve">- מגעילו </w:t>
      </w:r>
      <w:r w:rsidRPr="00A94968">
        <w:rPr>
          <w:rFonts w:cs="Arial"/>
          <w:rtl/>
        </w:rPr>
        <w:t>ברותחין ובכלי ראשון בין לענין חמץ בין לשאר איסורין אף שלפעמים ישתמשו בו ע</w:t>
      </w:r>
      <w:r w:rsidRPr="00A94968">
        <w:rPr>
          <w:rFonts w:cs="Arial" w:hint="cs"/>
          <w:rtl/>
        </w:rPr>
        <w:t>"</w:t>
      </w:r>
      <w:r w:rsidRPr="00A94968">
        <w:rPr>
          <w:rFonts w:cs="Arial"/>
          <w:rtl/>
        </w:rPr>
        <w:t>י האור</w:t>
      </w:r>
      <w:r>
        <w:rPr>
          <w:rStyle w:val="a7"/>
          <w:rFonts w:cs="Arial"/>
          <w:rtl/>
        </w:rPr>
        <w:footnoteReference w:id="3041"/>
      </w:r>
      <w:r w:rsidRPr="00A94968">
        <w:rPr>
          <w:rFonts w:cs="Arial" w:hint="cs"/>
          <w:rtl/>
        </w:rPr>
        <w:t xml:space="preserve"> </w:t>
      </w:r>
      <w:r w:rsidRPr="00A94968">
        <w:rPr>
          <w:rFonts w:cs="Arial" w:hint="cs"/>
          <w:sz w:val="16"/>
          <w:szCs w:val="16"/>
          <w:rtl/>
        </w:rPr>
        <w:t>(ל' הר"ן)</w:t>
      </w:r>
      <w:r>
        <w:rPr>
          <w:rFonts w:cs="Arial" w:hint="cs"/>
          <w:rtl/>
        </w:rPr>
        <w:t>.</w:t>
      </w:r>
    </w:p>
    <w:p w14:paraId="577BC712" w14:textId="77777777" w:rsidR="002C39F4" w:rsidRDefault="002C39F4" w:rsidP="0032102C">
      <w:pPr>
        <w:pStyle w:val="a8"/>
        <w:numPr>
          <w:ilvl w:val="0"/>
          <w:numId w:val="325"/>
        </w:numPr>
        <w:rPr>
          <w:rFonts w:cs="Arial"/>
        </w:rPr>
      </w:pPr>
      <w:r w:rsidRPr="002B1A60">
        <w:rPr>
          <w:rFonts w:cs="Arial" w:hint="cs"/>
          <w:rtl/>
        </w:rPr>
        <w:t>ר"ת</w:t>
      </w:r>
      <w:r>
        <w:rPr>
          <w:rFonts w:cs="Arial" w:hint="cs"/>
          <w:sz w:val="16"/>
          <w:szCs w:val="16"/>
          <w:rtl/>
        </w:rPr>
        <w:t xml:space="preserve"> (כ"כ התוס' בשמו)</w:t>
      </w:r>
      <w:r>
        <w:rPr>
          <w:rFonts w:cs="Arial" w:hint="cs"/>
          <w:rtl/>
        </w:rPr>
        <w:t xml:space="preserve">- </w:t>
      </w:r>
      <w:r w:rsidRPr="002B1A60">
        <w:rPr>
          <w:rFonts w:cs="Arial"/>
          <w:rtl/>
        </w:rPr>
        <w:t>הא דקי</w:t>
      </w:r>
      <w:r>
        <w:rPr>
          <w:rFonts w:cs="Arial" w:hint="cs"/>
          <w:rtl/>
        </w:rPr>
        <w:t>"</w:t>
      </w:r>
      <w:r w:rsidRPr="002B1A60">
        <w:rPr>
          <w:rFonts w:cs="Arial"/>
          <w:rtl/>
        </w:rPr>
        <w:t xml:space="preserve">ל דסכין בעי ליבון היכא דאיסורא בלע </w:t>
      </w:r>
      <w:r>
        <w:rPr>
          <w:rFonts w:cs="Arial" w:hint="cs"/>
          <w:rtl/>
        </w:rPr>
        <w:t xml:space="preserve">- </w:t>
      </w:r>
      <w:r w:rsidRPr="002B1A60">
        <w:rPr>
          <w:rFonts w:cs="Arial"/>
          <w:rtl/>
        </w:rPr>
        <w:t>היינו דוקא באיסור דסכין גדולה שדרך לצלות בה בשר</w:t>
      </w:r>
      <w:r>
        <w:rPr>
          <w:rFonts w:cs="Arial" w:hint="cs"/>
          <w:rtl/>
        </w:rPr>
        <w:t>,</w:t>
      </w:r>
      <w:r w:rsidRPr="002B1A60">
        <w:rPr>
          <w:rFonts w:cs="Arial"/>
          <w:rtl/>
        </w:rPr>
        <w:t xml:space="preserve"> אבל סכינים קטנים שאין דרך לצלות בהם בשר ודאי סגי להו בהגעלה אף בשל גוים</w:t>
      </w:r>
      <w:r>
        <w:rPr>
          <w:rStyle w:val="a7"/>
          <w:rFonts w:cs="Arial"/>
          <w:rtl/>
        </w:rPr>
        <w:footnoteReference w:id="3042"/>
      </w:r>
      <w:r>
        <w:rPr>
          <w:rFonts w:cs="Arial" w:hint="cs"/>
          <w:rtl/>
        </w:rPr>
        <w:t>.</w:t>
      </w:r>
      <w:r w:rsidRPr="002B1A60">
        <w:rPr>
          <w:rFonts w:cs="Arial"/>
          <w:rtl/>
        </w:rPr>
        <w:t xml:space="preserve"> </w:t>
      </w:r>
    </w:p>
    <w:p w14:paraId="4290DFEC" w14:textId="77777777" w:rsidR="002C39F4" w:rsidRPr="007773F1" w:rsidRDefault="002C39F4" w:rsidP="0032102C">
      <w:pPr>
        <w:pStyle w:val="a8"/>
        <w:numPr>
          <w:ilvl w:val="0"/>
          <w:numId w:val="325"/>
        </w:numPr>
        <w:rPr>
          <w:rFonts w:cs="Arial"/>
          <w:rtl/>
        </w:rPr>
      </w:pPr>
      <w:r>
        <w:rPr>
          <w:rFonts w:cs="Arial" w:hint="cs"/>
          <w:rtl/>
        </w:rPr>
        <w:t xml:space="preserve">(תוס' </w:t>
      </w:r>
      <w:r>
        <w:rPr>
          <w:rFonts w:cs="Arial" w:hint="cs"/>
          <w:sz w:val="16"/>
          <w:szCs w:val="16"/>
          <w:rtl/>
        </w:rPr>
        <w:t>[</w:t>
      </w:r>
      <w:r w:rsidRPr="002B1A60">
        <w:rPr>
          <w:rFonts w:cs="Arial"/>
          <w:sz w:val="16"/>
          <w:szCs w:val="16"/>
          <w:rtl/>
        </w:rPr>
        <w:t>ע"ז עו: ד"ה אמר</w:t>
      </w:r>
      <w:r>
        <w:rPr>
          <w:rFonts w:cs="Arial" w:hint="cs"/>
          <w:sz w:val="16"/>
          <w:szCs w:val="16"/>
          <w:rtl/>
        </w:rPr>
        <w:t>]</w:t>
      </w:r>
      <w:r>
        <w:rPr>
          <w:rFonts w:cs="Arial" w:hint="cs"/>
          <w:rtl/>
        </w:rPr>
        <w:t xml:space="preserve"> ורא"ש</w:t>
      </w:r>
      <w:r w:rsidRPr="00E56D6E">
        <w:rPr>
          <w:rFonts w:cs="Arial"/>
          <w:sz w:val="16"/>
          <w:szCs w:val="16"/>
          <w:rtl/>
        </w:rPr>
        <w:t xml:space="preserve"> </w:t>
      </w:r>
      <w:r>
        <w:rPr>
          <w:rFonts w:cs="Arial" w:hint="cs"/>
          <w:sz w:val="16"/>
          <w:szCs w:val="16"/>
          <w:rtl/>
        </w:rPr>
        <w:t>[</w:t>
      </w:r>
      <w:r w:rsidRPr="00E56D6E">
        <w:rPr>
          <w:rFonts w:cs="Arial"/>
          <w:sz w:val="16"/>
          <w:szCs w:val="16"/>
          <w:rtl/>
        </w:rPr>
        <w:t>סי' לד</w:t>
      </w:r>
      <w:r>
        <w:rPr>
          <w:rFonts w:cs="Arial" w:hint="cs"/>
          <w:sz w:val="16"/>
          <w:szCs w:val="16"/>
          <w:rtl/>
        </w:rPr>
        <w:t>]</w:t>
      </w:r>
      <w:r w:rsidRPr="00BF5795">
        <w:rPr>
          <w:rFonts w:cs="Arial" w:hint="cs"/>
          <w:sz w:val="16"/>
          <w:szCs w:val="16"/>
          <w:rtl/>
        </w:rPr>
        <w:t xml:space="preserve"> להב' הב"י</w:t>
      </w:r>
      <w:r>
        <w:rPr>
          <w:rFonts w:cs="Arial" w:hint="cs"/>
          <w:rtl/>
        </w:rPr>
        <w:t xml:space="preserve">)- </w:t>
      </w:r>
      <w:r>
        <w:rPr>
          <w:rStyle w:val="a7"/>
          <w:rFonts w:cs="Arial"/>
          <w:rtl/>
        </w:rPr>
        <w:footnoteReference w:id="3043"/>
      </w:r>
      <w:r w:rsidRPr="007773F1">
        <w:rPr>
          <w:rFonts w:cs="Arial"/>
          <w:rtl/>
        </w:rPr>
        <w:t>סכין שיש בו גומות</w:t>
      </w:r>
      <w:r>
        <w:rPr>
          <w:rFonts w:cs="Arial" w:hint="cs"/>
          <w:sz w:val="16"/>
          <w:szCs w:val="16"/>
          <w:rtl/>
        </w:rPr>
        <w:t xml:space="preserve"> </w:t>
      </w:r>
      <w:r w:rsidRPr="00E56D6E">
        <w:rPr>
          <w:rFonts w:cs="Arial" w:hint="cs"/>
          <w:sz w:val="16"/>
          <w:szCs w:val="16"/>
          <w:rtl/>
        </w:rPr>
        <w:t>{כ</w:t>
      </w:r>
      <w:r w:rsidRPr="00E56D6E">
        <w:rPr>
          <w:rFonts w:cs="Arial"/>
          <w:sz w:val="16"/>
          <w:szCs w:val="16"/>
          <w:rtl/>
        </w:rPr>
        <w:t>ההיא דפ</w:t>
      </w:r>
      <w:r w:rsidRPr="00E56D6E">
        <w:rPr>
          <w:rFonts w:cs="Arial" w:hint="cs"/>
          <w:sz w:val="16"/>
          <w:szCs w:val="16"/>
          <w:rtl/>
        </w:rPr>
        <w:t>"ק</w:t>
      </w:r>
      <w:r w:rsidRPr="00E56D6E">
        <w:rPr>
          <w:rFonts w:cs="Arial"/>
          <w:sz w:val="16"/>
          <w:szCs w:val="16"/>
          <w:rtl/>
        </w:rPr>
        <w:t xml:space="preserve"> דחולין ותוספתא</w:t>
      </w:r>
      <w:r>
        <w:rPr>
          <w:rFonts w:cs="Arial" w:hint="cs"/>
          <w:sz w:val="16"/>
          <w:szCs w:val="16"/>
          <w:rtl/>
        </w:rPr>
        <w:t>}</w:t>
      </w:r>
      <w:r w:rsidRPr="007773F1">
        <w:rPr>
          <w:rFonts w:cs="Arial"/>
          <w:rtl/>
        </w:rPr>
        <w:t xml:space="preserve"> כולו צריך ליבון</w:t>
      </w:r>
      <w:r>
        <w:rPr>
          <w:rFonts w:cs="Arial" w:hint="cs"/>
          <w:rtl/>
        </w:rPr>
        <w:t>,</w:t>
      </w:r>
      <w:r w:rsidRPr="007773F1">
        <w:rPr>
          <w:rFonts w:cs="Arial"/>
          <w:rtl/>
        </w:rPr>
        <w:t xml:space="preserve"> ואם אין בו גומות </w:t>
      </w:r>
      <w:r>
        <w:rPr>
          <w:rFonts w:cs="Arial" w:hint="cs"/>
          <w:sz w:val="16"/>
          <w:szCs w:val="16"/>
          <w:rtl/>
        </w:rPr>
        <w:t xml:space="preserve">{כההיא דפרק כל שעה} </w:t>
      </w:r>
      <w:r w:rsidRPr="007773F1">
        <w:rPr>
          <w:rFonts w:cs="Arial"/>
          <w:rtl/>
        </w:rPr>
        <w:t>מלבן חודו</w:t>
      </w:r>
      <w:r>
        <w:rPr>
          <w:rStyle w:val="a7"/>
          <w:rFonts w:cs="Arial"/>
          <w:rtl/>
        </w:rPr>
        <w:footnoteReference w:id="3044"/>
      </w:r>
      <w:r w:rsidRPr="007773F1">
        <w:rPr>
          <w:rFonts w:cs="Arial"/>
          <w:rtl/>
        </w:rPr>
        <w:t xml:space="preserve"> ומגעיל שאר הקתא ופרזלא</w:t>
      </w:r>
      <w:r w:rsidRPr="00E56D6E">
        <w:rPr>
          <w:rStyle w:val="a7"/>
          <w:rFonts w:cs="Arial"/>
          <w:rtl/>
        </w:rPr>
        <w:footnoteReference w:id="3045"/>
      </w:r>
      <w:r>
        <w:rPr>
          <w:rFonts w:cs="Arial" w:hint="cs"/>
          <w:rtl/>
        </w:rPr>
        <w:t>.</w:t>
      </w:r>
      <w:r w:rsidRPr="007773F1">
        <w:rPr>
          <w:rFonts w:cs="Arial"/>
          <w:rtl/>
        </w:rPr>
        <w:t xml:space="preserve"> </w:t>
      </w:r>
      <w:r>
        <w:rPr>
          <w:rFonts w:cs="Arial" w:hint="cs"/>
          <w:rtl/>
        </w:rPr>
        <w:t xml:space="preserve"> </w:t>
      </w:r>
    </w:p>
    <w:p w14:paraId="4AEB272B" w14:textId="77777777" w:rsidR="002C39F4" w:rsidRDefault="002C39F4" w:rsidP="0032102C">
      <w:pPr>
        <w:pStyle w:val="a8"/>
        <w:numPr>
          <w:ilvl w:val="0"/>
          <w:numId w:val="325"/>
        </w:numPr>
        <w:rPr>
          <w:rFonts w:cs="Arial"/>
        </w:rPr>
      </w:pPr>
      <w:r w:rsidRPr="007773F1">
        <w:rPr>
          <w:rFonts w:cs="Arial"/>
          <w:rtl/>
        </w:rPr>
        <w:t>ראב"ד</w:t>
      </w:r>
      <w:r>
        <w:rPr>
          <w:rFonts w:cs="Arial" w:hint="cs"/>
          <w:rtl/>
        </w:rPr>
        <w:t xml:space="preserve"> </w:t>
      </w:r>
      <w:r w:rsidRPr="007773F1">
        <w:rPr>
          <w:rFonts w:cs="Arial"/>
          <w:rtl/>
        </w:rPr>
        <w:t>רמב"ם</w:t>
      </w:r>
      <w:r>
        <w:rPr>
          <w:rFonts w:cs="Arial" w:hint="cs"/>
          <w:rtl/>
        </w:rPr>
        <w:t xml:space="preserve"> ואו</w:t>
      </w:r>
      <w:r>
        <w:rPr>
          <w:rFonts w:cs="Arial"/>
          <w:rtl/>
        </w:rPr>
        <w:t>"</w:t>
      </w:r>
      <w:r>
        <w:rPr>
          <w:rFonts w:cs="Arial" w:hint="cs"/>
          <w:rtl/>
        </w:rPr>
        <w:t>ה</w:t>
      </w:r>
      <w:r>
        <w:rPr>
          <w:rStyle w:val="a7"/>
          <w:rFonts w:cs="Arial"/>
          <w:rtl/>
        </w:rPr>
        <w:footnoteReference w:id="3046"/>
      </w:r>
      <w:r>
        <w:rPr>
          <w:rFonts w:cs="Arial" w:hint="cs"/>
          <w:rtl/>
        </w:rPr>
        <w:t>-</w:t>
      </w:r>
      <w:r w:rsidRPr="007773F1">
        <w:rPr>
          <w:rFonts w:cs="Arial"/>
          <w:rtl/>
        </w:rPr>
        <w:t xml:space="preserve"> דוקא סכיני דפיסחא הוא דסגי ברותחין משום דהיתרא בלע</w:t>
      </w:r>
      <w:r>
        <w:rPr>
          <w:rStyle w:val="a7"/>
          <w:rFonts w:cs="Arial"/>
          <w:rtl/>
        </w:rPr>
        <w:footnoteReference w:id="3047"/>
      </w:r>
      <w:r w:rsidRPr="007773F1">
        <w:rPr>
          <w:rFonts w:cs="Arial"/>
          <w:rtl/>
        </w:rPr>
        <w:t xml:space="preserve"> אבל בשאר איסורין הסכינין צריכין ליבון שפעמים שצולין בהם</w:t>
      </w:r>
      <w:r>
        <w:rPr>
          <w:rFonts w:cs="Arial" w:hint="cs"/>
          <w:rtl/>
        </w:rPr>
        <w:t xml:space="preserve">. </w:t>
      </w:r>
    </w:p>
    <w:p w14:paraId="3A4A6C92" w14:textId="77777777" w:rsidR="002C39F4" w:rsidRPr="00D34670" w:rsidRDefault="002C39F4" w:rsidP="002C39F4">
      <w:pPr>
        <w:ind w:left="360"/>
        <w:rPr>
          <w:rFonts w:cs="Arial"/>
          <w:u w:val="dotted"/>
        </w:rPr>
      </w:pPr>
      <w:r w:rsidRPr="00D34670">
        <w:rPr>
          <w:rFonts w:cs="Arial" w:hint="cs"/>
          <w:u w:val="dotted"/>
          <w:rtl/>
        </w:rPr>
        <w:t xml:space="preserve">האם מועילה שיפת הסכין </w:t>
      </w:r>
      <w:r>
        <w:rPr>
          <w:rFonts w:cs="Arial" w:hint="cs"/>
          <w:u w:val="dotted"/>
          <w:rtl/>
        </w:rPr>
        <w:t>כשרוצה</w:t>
      </w:r>
      <w:r w:rsidRPr="00D34670">
        <w:rPr>
          <w:rFonts w:cs="Arial" w:hint="cs"/>
          <w:u w:val="dotted"/>
          <w:rtl/>
        </w:rPr>
        <w:t xml:space="preserve"> לחתוך בה רותח:</w:t>
      </w:r>
    </w:p>
    <w:p w14:paraId="5433EF9C" w14:textId="77777777" w:rsidR="002C39F4" w:rsidRPr="00D34670" w:rsidRDefault="002C39F4" w:rsidP="0032102C">
      <w:pPr>
        <w:pStyle w:val="a8"/>
        <w:numPr>
          <w:ilvl w:val="0"/>
          <w:numId w:val="325"/>
        </w:numPr>
        <w:rPr>
          <w:rFonts w:cs="Arial"/>
          <w:rtl/>
        </w:rPr>
      </w:pPr>
      <w:r w:rsidRPr="0011442D">
        <w:rPr>
          <w:rFonts w:cs="Arial"/>
          <w:rtl/>
        </w:rPr>
        <w:t xml:space="preserve">רשב"א </w:t>
      </w:r>
      <w:r w:rsidRPr="00E56D6E">
        <w:rPr>
          <w:rFonts w:cs="Arial"/>
          <w:sz w:val="16"/>
          <w:szCs w:val="16"/>
          <w:rtl/>
        </w:rPr>
        <w:t>(תוה"א ב"ד ש"ד לד.)</w:t>
      </w:r>
      <w:r>
        <w:rPr>
          <w:rFonts w:cs="Arial" w:hint="cs"/>
          <w:rtl/>
        </w:rPr>
        <w:t xml:space="preserve">- </w:t>
      </w:r>
      <w:r w:rsidRPr="0011442D">
        <w:rPr>
          <w:rFonts w:cs="Arial"/>
          <w:rtl/>
        </w:rPr>
        <w:t>שיפה</w:t>
      </w:r>
      <w:r>
        <w:rPr>
          <w:rFonts w:cs="Arial" w:hint="cs"/>
          <w:sz w:val="16"/>
          <w:szCs w:val="16"/>
          <w:rtl/>
        </w:rPr>
        <w:t xml:space="preserve"> {במשחזת}</w:t>
      </w:r>
      <w:r w:rsidRPr="0011442D">
        <w:rPr>
          <w:rFonts w:cs="Arial"/>
          <w:rtl/>
        </w:rPr>
        <w:t xml:space="preserve"> דמתניתין לחתוך בה צונן היא</w:t>
      </w:r>
      <w:r>
        <w:rPr>
          <w:rStyle w:val="a7"/>
          <w:rFonts w:cs="Arial"/>
          <w:rtl/>
        </w:rPr>
        <w:footnoteReference w:id="3048"/>
      </w:r>
      <w:r>
        <w:rPr>
          <w:rFonts w:cs="Arial" w:hint="cs"/>
          <w:rtl/>
        </w:rPr>
        <w:t xml:space="preserve">. </w:t>
      </w:r>
      <w:r w:rsidRPr="00C853BA">
        <w:rPr>
          <w:rFonts w:cs="Arial" w:hint="cs"/>
          <w:color w:val="00B0F0"/>
          <w:rtl/>
        </w:rPr>
        <w:t>(וכ"פ הרמ"א)</w:t>
      </w:r>
    </w:p>
    <w:p w14:paraId="677C13F4" w14:textId="77777777" w:rsidR="002C39F4" w:rsidRPr="00C853BA" w:rsidRDefault="002C39F4" w:rsidP="0032102C">
      <w:pPr>
        <w:pStyle w:val="a8"/>
        <w:numPr>
          <w:ilvl w:val="0"/>
          <w:numId w:val="325"/>
        </w:numPr>
        <w:rPr>
          <w:rFonts w:cs="Arial"/>
        </w:rPr>
      </w:pPr>
      <w:r w:rsidRPr="00360F07">
        <w:rPr>
          <w:rFonts w:cs="Arial"/>
          <w:color w:val="000000" w:themeColor="text1"/>
          <w:rtl/>
        </w:rPr>
        <w:t xml:space="preserve">רמב"ם </w:t>
      </w:r>
      <w:r w:rsidRPr="00360F07">
        <w:rPr>
          <w:rFonts w:cs="Arial" w:hint="cs"/>
          <w:color w:val="000000" w:themeColor="text1"/>
          <w:sz w:val="16"/>
          <w:szCs w:val="16"/>
          <w:rtl/>
        </w:rPr>
        <w:t>(שם)</w:t>
      </w:r>
      <w:r w:rsidRPr="00360F07">
        <w:rPr>
          <w:rFonts w:cs="Arial" w:hint="cs"/>
          <w:color w:val="000000" w:themeColor="text1"/>
          <w:rtl/>
        </w:rPr>
        <w:t>-</w:t>
      </w:r>
      <w:r w:rsidRPr="00360F07">
        <w:rPr>
          <w:color w:val="000000" w:themeColor="text1"/>
          <w:rtl/>
        </w:rPr>
        <w:t xml:space="preserve"> </w:t>
      </w:r>
      <w:r w:rsidRPr="00360F07">
        <w:rPr>
          <w:rFonts w:cs="Arial"/>
          <w:color w:val="000000" w:themeColor="text1"/>
          <w:rtl/>
        </w:rPr>
        <w:t xml:space="preserve">היתה יפה ורצה לאכול בה חמין או לשחוט בה מלבנה או משחיזה </w:t>
      </w:r>
      <w:r w:rsidRPr="00401492">
        <w:rPr>
          <w:rFonts w:cs="Arial"/>
          <w:rtl/>
        </w:rPr>
        <w:t>כולה</w:t>
      </w:r>
      <w:r>
        <w:rPr>
          <w:rStyle w:val="a7"/>
          <w:rFonts w:cs="Arial"/>
          <w:rtl/>
        </w:rPr>
        <w:footnoteReference w:id="3049"/>
      </w:r>
      <w:r>
        <w:rPr>
          <w:rFonts w:cs="Arial" w:hint="cs"/>
          <w:rtl/>
        </w:rPr>
        <w:t xml:space="preserve">. </w:t>
      </w:r>
      <w:r w:rsidRPr="00DF73A9">
        <w:rPr>
          <w:rFonts w:cs="Arial" w:hint="cs"/>
          <w:color w:val="E36C0A" w:themeColor="accent6" w:themeShade="BF"/>
          <w:rtl/>
        </w:rPr>
        <w:t>(וכ"פ בשו"ע)</w:t>
      </w:r>
    </w:p>
    <w:p w14:paraId="1E166124" w14:textId="77777777" w:rsidR="002C39F4" w:rsidRDefault="002C39F4" w:rsidP="0032102C">
      <w:pPr>
        <w:pStyle w:val="a8"/>
        <w:numPr>
          <w:ilvl w:val="0"/>
          <w:numId w:val="325"/>
        </w:numPr>
        <w:rPr>
          <w:rFonts w:cs="Arial"/>
        </w:rPr>
      </w:pPr>
      <w:r w:rsidRPr="00DF73A9">
        <w:rPr>
          <w:rFonts w:cs="Arial"/>
          <w:rtl/>
        </w:rPr>
        <w:t>מרדכי</w:t>
      </w:r>
      <w:r>
        <w:rPr>
          <w:rFonts w:cs="Arial" w:hint="cs"/>
          <w:rtl/>
        </w:rPr>
        <w:t xml:space="preserve"> </w:t>
      </w:r>
      <w:r w:rsidRPr="00C853BA">
        <w:rPr>
          <w:rFonts w:cs="Arial" w:hint="cs"/>
          <w:sz w:val="16"/>
          <w:szCs w:val="16"/>
          <w:rtl/>
        </w:rPr>
        <w:t>(</w:t>
      </w:r>
      <w:r w:rsidRPr="00C853BA">
        <w:rPr>
          <w:rFonts w:cs="Arial"/>
          <w:sz w:val="16"/>
          <w:szCs w:val="16"/>
          <w:rtl/>
        </w:rPr>
        <w:t>ע"ז סי' תתס)</w:t>
      </w:r>
      <w:r>
        <w:rPr>
          <w:rFonts w:cs="Arial" w:hint="cs"/>
          <w:rtl/>
        </w:rPr>
        <w:t xml:space="preserve">- </w:t>
      </w:r>
      <w:r w:rsidRPr="00DF73A9">
        <w:rPr>
          <w:rFonts w:cs="Arial"/>
          <w:rtl/>
        </w:rPr>
        <w:t>אם השחיזה יפה ברחיים והגעילה אח</w:t>
      </w:r>
      <w:r>
        <w:rPr>
          <w:rFonts w:cs="Arial" w:hint="cs"/>
          <w:rtl/>
        </w:rPr>
        <w:t>"</w:t>
      </w:r>
      <w:r w:rsidRPr="00DF73A9">
        <w:rPr>
          <w:rFonts w:cs="Arial"/>
          <w:rtl/>
        </w:rPr>
        <w:t>כ</w:t>
      </w:r>
      <w:r>
        <w:rPr>
          <w:rFonts w:cs="Arial" w:hint="cs"/>
          <w:rtl/>
        </w:rPr>
        <w:t xml:space="preserve"> - </w:t>
      </w:r>
      <w:r w:rsidRPr="00DF73A9">
        <w:rPr>
          <w:rFonts w:cs="Arial"/>
          <w:rtl/>
        </w:rPr>
        <w:t>מועיל כמו ליבון</w:t>
      </w:r>
      <w:r>
        <w:rPr>
          <w:rFonts w:cs="Arial" w:hint="cs"/>
          <w:rtl/>
        </w:rPr>
        <w:t>,</w:t>
      </w:r>
      <w:r w:rsidRPr="00DF73A9">
        <w:rPr>
          <w:rFonts w:cs="Arial"/>
          <w:rtl/>
        </w:rPr>
        <w:t xml:space="preserve"> דליבון מעביר הקליפה</w:t>
      </w:r>
      <w:r>
        <w:rPr>
          <w:rFonts w:cs="Arial" w:hint="cs"/>
          <w:rtl/>
        </w:rPr>
        <w:t>,</w:t>
      </w:r>
      <w:r w:rsidRPr="00DF73A9">
        <w:rPr>
          <w:rFonts w:cs="Arial"/>
          <w:rtl/>
        </w:rPr>
        <w:t xml:space="preserve"> והשחזה מעביר הקליפה</w:t>
      </w:r>
      <w:r>
        <w:rPr>
          <w:rStyle w:val="a7"/>
          <w:rFonts w:cs="Arial"/>
          <w:rtl/>
        </w:rPr>
        <w:footnoteReference w:id="3050"/>
      </w:r>
      <w:r>
        <w:rPr>
          <w:rFonts w:cs="Arial" w:hint="cs"/>
          <w:rtl/>
        </w:rPr>
        <w:t xml:space="preserve">. </w:t>
      </w:r>
      <w:r w:rsidRPr="00C853BA">
        <w:rPr>
          <w:rFonts w:cs="Arial" w:hint="cs"/>
          <w:color w:val="00B0F0"/>
          <w:rtl/>
        </w:rPr>
        <w:t>(וכ"פ הרמ"א)</w:t>
      </w:r>
    </w:p>
    <w:p w14:paraId="5B997253" w14:textId="77777777" w:rsidR="002C39F4" w:rsidRPr="00A957C4" w:rsidRDefault="002C39F4" w:rsidP="002C39F4">
      <w:pPr>
        <w:rPr>
          <w:u w:val="single"/>
          <w:rtl/>
        </w:rPr>
      </w:pPr>
      <w:r w:rsidRPr="00A957C4">
        <w:rPr>
          <w:rFonts w:hint="cs"/>
          <w:u w:val="single"/>
          <w:rtl/>
        </w:rPr>
        <w:t>לא שפה ו</w:t>
      </w:r>
      <w:r>
        <w:rPr>
          <w:rFonts w:hint="cs"/>
          <w:u w:val="single"/>
          <w:rtl/>
        </w:rPr>
        <w:t>שחט עמה</w:t>
      </w:r>
      <w:r w:rsidRPr="00A957C4">
        <w:rPr>
          <w:rFonts w:hint="cs"/>
          <w:u w:val="single"/>
          <w:rtl/>
        </w:rPr>
        <w:t>:</w:t>
      </w:r>
    </w:p>
    <w:p w14:paraId="28C3C899" w14:textId="77777777" w:rsidR="002C39F4" w:rsidRPr="009B0A22" w:rsidRDefault="002C39F4" w:rsidP="0032102C">
      <w:pPr>
        <w:pStyle w:val="a8"/>
        <w:numPr>
          <w:ilvl w:val="0"/>
          <w:numId w:val="327"/>
        </w:numPr>
        <w:rPr>
          <w:rtl/>
        </w:rPr>
      </w:pPr>
      <w:r w:rsidRPr="00A957C4">
        <w:rPr>
          <w:rFonts w:cs="Arial" w:hint="cs"/>
          <w:rtl/>
        </w:rPr>
        <w:t xml:space="preserve">רמב"ם </w:t>
      </w:r>
      <w:r w:rsidRPr="006F64AE">
        <w:rPr>
          <w:rFonts w:cs="Arial" w:hint="cs"/>
          <w:sz w:val="16"/>
          <w:szCs w:val="16"/>
          <w:rtl/>
        </w:rPr>
        <w:t>(פי"ז ה"ז)</w:t>
      </w:r>
      <w:r w:rsidRPr="00A957C4">
        <w:rPr>
          <w:rFonts w:cs="Arial" w:hint="cs"/>
          <w:rtl/>
        </w:rPr>
        <w:t xml:space="preserve">- </w:t>
      </w:r>
      <w:r w:rsidRPr="00A957C4">
        <w:rPr>
          <w:rFonts w:cs="Arial"/>
          <w:rtl/>
        </w:rPr>
        <w:t>שחט בה קודם שיטהרנה מדיח מקום השחיטה ואם קלף הרי זה משובח</w:t>
      </w:r>
      <w:r>
        <w:rPr>
          <w:rFonts w:hint="cs"/>
          <w:rtl/>
        </w:rPr>
        <w:t>.</w:t>
      </w:r>
    </w:p>
    <w:p w14:paraId="79F36561" w14:textId="77777777" w:rsidR="002C39F4" w:rsidRPr="007773F1" w:rsidRDefault="002C39F4" w:rsidP="002C39F4">
      <w:pPr>
        <w:rPr>
          <w:rFonts w:cs="Arial"/>
          <w:u w:val="single"/>
          <w:rtl/>
        </w:rPr>
      </w:pPr>
      <w:r w:rsidRPr="007773F1">
        <w:rPr>
          <w:rFonts w:cs="Arial" w:hint="cs"/>
          <w:u w:val="single"/>
          <w:rtl/>
        </w:rPr>
        <w:t>יישון בשאר כלים:</w:t>
      </w:r>
    </w:p>
    <w:p w14:paraId="0985253D" w14:textId="77777777" w:rsidR="002C39F4" w:rsidRPr="007773F1" w:rsidRDefault="002C39F4" w:rsidP="0032102C">
      <w:pPr>
        <w:pStyle w:val="a8"/>
        <w:numPr>
          <w:ilvl w:val="0"/>
          <w:numId w:val="330"/>
        </w:numPr>
        <w:rPr>
          <w:rFonts w:cs="Arial"/>
          <w:rtl/>
        </w:rPr>
      </w:pPr>
      <w:r w:rsidRPr="007773F1">
        <w:rPr>
          <w:rFonts w:cs="Arial"/>
          <w:rtl/>
        </w:rPr>
        <w:t xml:space="preserve">רשב"א </w:t>
      </w:r>
      <w:r w:rsidRPr="007773F1">
        <w:rPr>
          <w:rFonts w:cs="Arial"/>
          <w:sz w:val="16"/>
          <w:szCs w:val="16"/>
          <w:rtl/>
        </w:rPr>
        <w:t>(ח"א סי</w:t>
      </w:r>
      <w:r>
        <w:rPr>
          <w:rFonts w:cs="Arial" w:hint="cs"/>
          <w:sz w:val="16"/>
          <w:szCs w:val="16"/>
          <w:rtl/>
        </w:rPr>
        <w:t>'</w:t>
      </w:r>
      <w:r w:rsidRPr="007773F1">
        <w:rPr>
          <w:rFonts w:cs="Arial"/>
          <w:sz w:val="16"/>
          <w:szCs w:val="16"/>
          <w:rtl/>
        </w:rPr>
        <w:t xml:space="preserve"> תקעה)</w:t>
      </w:r>
      <w:r>
        <w:rPr>
          <w:rFonts w:cs="Arial" w:hint="cs"/>
          <w:rtl/>
        </w:rPr>
        <w:t>-</w:t>
      </w:r>
      <w:r w:rsidRPr="007773F1">
        <w:rPr>
          <w:rFonts w:cs="Arial"/>
          <w:rtl/>
        </w:rPr>
        <w:t xml:space="preserve"> דבר פשוט הוא דלא מהני ישון אלא בכלי היין</w:t>
      </w:r>
      <w:r w:rsidRPr="007773F1">
        <w:rPr>
          <w:rFonts w:cs="Arial" w:hint="cs"/>
          <w:rtl/>
        </w:rPr>
        <w:t>.</w:t>
      </w:r>
    </w:p>
    <w:p w14:paraId="53F25752" w14:textId="77777777" w:rsidR="002C39F4" w:rsidRPr="007773F1" w:rsidRDefault="002C39F4" w:rsidP="002C39F4">
      <w:pPr>
        <w:rPr>
          <w:rFonts w:cs="Arial"/>
          <w:sz w:val="16"/>
          <w:szCs w:val="16"/>
          <w:rtl/>
        </w:rPr>
      </w:pPr>
      <w:r w:rsidRPr="007773F1">
        <w:rPr>
          <w:rFonts w:cs="Arial" w:hint="cs"/>
          <w:u w:val="single"/>
          <w:rtl/>
        </w:rPr>
        <w:t>הכשרת כלים שבלעו דבר מיאוס</w:t>
      </w:r>
      <w:r>
        <w:rPr>
          <w:rFonts w:cs="Arial" w:hint="cs"/>
          <w:u w:val="single"/>
          <w:rtl/>
        </w:rPr>
        <w:t>:</w:t>
      </w:r>
      <w:r>
        <w:rPr>
          <w:rFonts w:cs="Arial" w:hint="cs"/>
          <w:sz w:val="16"/>
          <w:szCs w:val="16"/>
          <w:rtl/>
        </w:rPr>
        <w:t xml:space="preserve">  (ב"י [בבדה"ב])</w:t>
      </w:r>
    </w:p>
    <w:p w14:paraId="130CCD8B" w14:textId="77777777" w:rsidR="002C39F4" w:rsidRDefault="002C39F4" w:rsidP="0032102C">
      <w:pPr>
        <w:pStyle w:val="a8"/>
        <w:numPr>
          <w:ilvl w:val="0"/>
          <w:numId w:val="329"/>
        </w:numPr>
        <w:rPr>
          <w:rtl/>
        </w:rPr>
      </w:pPr>
      <w:r w:rsidRPr="007773F1">
        <w:rPr>
          <w:rFonts w:cs="Arial"/>
          <w:rtl/>
        </w:rPr>
        <w:t>א</w:t>
      </w:r>
      <w:r w:rsidRPr="007773F1">
        <w:rPr>
          <w:rFonts w:cs="Arial" w:hint="cs"/>
          <w:rtl/>
        </w:rPr>
        <w:t>"</w:t>
      </w:r>
      <w:r w:rsidRPr="007773F1">
        <w:rPr>
          <w:rFonts w:cs="Arial"/>
          <w:rtl/>
        </w:rPr>
        <w:t xml:space="preserve">ח </w:t>
      </w:r>
      <w:r w:rsidRPr="007773F1">
        <w:rPr>
          <w:rFonts w:cs="Arial"/>
          <w:sz w:val="16"/>
          <w:szCs w:val="16"/>
          <w:rtl/>
        </w:rPr>
        <w:t>(הל' טהרת הכלים והגעלה סו"ס יב)</w:t>
      </w:r>
      <w:r w:rsidRPr="007773F1">
        <w:rPr>
          <w:rFonts w:cs="Arial" w:hint="cs"/>
          <w:rtl/>
        </w:rPr>
        <w:t>-</w:t>
      </w:r>
      <w:r w:rsidRPr="007773F1">
        <w:rPr>
          <w:rFonts w:cs="Arial"/>
          <w:rtl/>
        </w:rPr>
        <w:t xml:space="preserve"> כשם שמכשירים הכלים משום בליעת איסור כך מכשירים אותם בהגעלה או בליבון מחמת דבר מיאוס כגון מי רגלים או דבר אחר מאוס דכתיב </w:t>
      </w:r>
      <w:r w:rsidRPr="007773F1">
        <w:rPr>
          <w:rFonts w:cs="Arial"/>
          <w:sz w:val="16"/>
          <w:szCs w:val="16"/>
          <w:rtl/>
        </w:rPr>
        <w:t xml:space="preserve">(ויקרא יא מג) </w:t>
      </w:r>
      <w:r w:rsidRPr="007773F1">
        <w:rPr>
          <w:rFonts w:cs="Arial"/>
          <w:rtl/>
        </w:rPr>
        <w:t>אל תשקצו את נפשותיכם</w:t>
      </w:r>
      <w:r>
        <w:rPr>
          <w:rFonts w:cs="Arial" w:hint="cs"/>
          <w:rtl/>
        </w:rPr>
        <w:t>,</w:t>
      </w:r>
      <w:r w:rsidRPr="007773F1">
        <w:rPr>
          <w:rFonts w:cs="Arial"/>
          <w:rtl/>
        </w:rPr>
        <w:t xml:space="preserve"> וכן נהגו כל ישראל ואין להקל על המנהג</w:t>
      </w:r>
      <w:r>
        <w:rPr>
          <w:rStyle w:val="a7"/>
          <w:rFonts w:cs="Arial"/>
          <w:rtl/>
        </w:rPr>
        <w:footnoteReference w:id="3051"/>
      </w:r>
      <w:r>
        <w:rPr>
          <w:rFonts w:cs="Arial" w:hint="cs"/>
          <w:rtl/>
        </w:rPr>
        <w:t>.</w:t>
      </w:r>
      <w:r w:rsidRPr="007773F1">
        <w:rPr>
          <w:rFonts w:cs="Arial"/>
          <w:rtl/>
        </w:rPr>
        <w:t xml:space="preserve">  </w:t>
      </w:r>
    </w:p>
    <w:p w14:paraId="6D35FE6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B6E6687" w14:textId="77777777" w:rsidR="002C39F4" w:rsidRPr="003024E5" w:rsidRDefault="002C39F4" w:rsidP="002C39F4">
      <w:pPr>
        <w:rPr>
          <w:rFonts w:asciiTheme="minorBidi" w:hAnsiTheme="minorBidi"/>
          <w:rtl/>
        </w:rPr>
      </w:pPr>
      <w:r w:rsidRPr="003024E5">
        <w:rPr>
          <w:rFonts w:asciiTheme="minorBidi" w:hAnsiTheme="minorBidi"/>
          <w:rtl/>
        </w:rPr>
        <w:t>סכין ישן, בין גדול בין קטן, הניקח מה</w:t>
      </w:r>
      <w:r>
        <w:rPr>
          <w:rFonts w:asciiTheme="minorBidi" w:hAnsiTheme="minorBidi" w:hint="cs"/>
          <w:rtl/>
        </w:rPr>
        <w:t>גוי</w:t>
      </w:r>
      <w:r w:rsidRPr="003024E5">
        <w:rPr>
          <w:rFonts w:asciiTheme="minorBidi" w:hAnsiTheme="minorBidi"/>
          <w:rtl/>
        </w:rPr>
        <w:t>, אם בא להשתמש בצונן, אם אין בה גומות</w:t>
      </w:r>
      <w:r>
        <w:rPr>
          <w:rFonts w:asciiTheme="minorBidi" w:hAnsiTheme="minorBidi" w:hint="cs"/>
          <w:rtl/>
        </w:rPr>
        <w:t>,</w:t>
      </w:r>
      <w:r w:rsidRPr="003024E5">
        <w:rPr>
          <w:rFonts w:asciiTheme="minorBidi" w:hAnsiTheme="minorBidi"/>
          <w:rtl/>
        </w:rPr>
        <w:t xml:space="preserve"> נועצה עשרה פעמים בקרקע קשה</w:t>
      </w:r>
      <w:r>
        <w:rPr>
          <w:rFonts w:asciiTheme="minorBidi" w:hAnsiTheme="minorBidi" w:hint="cs"/>
          <w:rtl/>
        </w:rPr>
        <w:t>,</w:t>
      </w:r>
      <w:r w:rsidRPr="003024E5">
        <w:rPr>
          <w:rFonts w:asciiTheme="minorBidi" w:hAnsiTheme="minorBidi"/>
          <w:rtl/>
        </w:rPr>
        <w:t xml:space="preserve"> וצריך שכל נעיצה ונעיצה תהיה בקרקע קשה, לפיכך לא ינעוץ במקום שנעץ נעיצה אחרת. ואפילו לחתוך בו דבר חריף כמו צנון סגי בהכי</w:t>
      </w:r>
      <w:r>
        <w:rPr>
          <w:rStyle w:val="a7"/>
          <w:rFonts w:asciiTheme="minorBidi" w:hAnsiTheme="minorBidi"/>
          <w:rtl/>
        </w:rPr>
        <w:footnoteReference w:id="3052"/>
      </w:r>
      <w:r w:rsidRPr="003024E5">
        <w:rPr>
          <w:rFonts w:asciiTheme="minorBidi" w:hAnsiTheme="minorBidi"/>
          <w:rtl/>
        </w:rPr>
        <w:t xml:space="preserve">. </w:t>
      </w:r>
      <w:r>
        <w:rPr>
          <w:rFonts w:asciiTheme="minorBidi" w:hAnsiTheme="minorBidi" w:hint="cs"/>
          <w:sz w:val="18"/>
          <w:szCs w:val="18"/>
          <w:rtl/>
        </w:rPr>
        <w:t xml:space="preserve">[הגה] </w:t>
      </w:r>
      <w:r w:rsidRPr="00DF73A9">
        <w:rPr>
          <w:rFonts w:asciiTheme="minorBidi" w:hAnsiTheme="minorBidi"/>
          <w:sz w:val="18"/>
          <w:szCs w:val="18"/>
          <w:rtl/>
        </w:rPr>
        <w:t>ולהשתמש בו בקביעות לא גרע משאר כלי שנוהגין להגעיל אפי</w:t>
      </w:r>
      <w:r>
        <w:rPr>
          <w:rFonts w:asciiTheme="minorBidi" w:hAnsiTheme="minorBidi" w:hint="cs"/>
          <w:sz w:val="18"/>
          <w:szCs w:val="18"/>
          <w:rtl/>
        </w:rPr>
        <w:t>לו</w:t>
      </w:r>
      <w:r w:rsidRPr="00DF73A9">
        <w:rPr>
          <w:rFonts w:asciiTheme="minorBidi" w:hAnsiTheme="minorBidi"/>
          <w:sz w:val="18"/>
          <w:szCs w:val="18"/>
          <w:rtl/>
        </w:rPr>
        <w:t xml:space="preserve"> לצונן </w:t>
      </w:r>
      <w:r w:rsidRPr="007F489A">
        <w:rPr>
          <w:rFonts w:asciiTheme="minorBidi" w:hAnsiTheme="minorBidi"/>
          <w:sz w:val="16"/>
          <w:szCs w:val="16"/>
          <w:rtl/>
        </w:rPr>
        <w:t>(</w:t>
      </w:r>
      <w:r w:rsidRPr="007F489A">
        <w:rPr>
          <w:rFonts w:asciiTheme="minorBidi" w:hAnsiTheme="minorBidi" w:hint="cs"/>
          <w:sz w:val="16"/>
          <w:szCs w:val="16"/>
          <w:rtl/>
        </w:rPr>
        <w:t xml:space="preserve">ד"ע </w:t>
      </w:r>
      <w:r w:rsidRPr="007F489A">
        <w:rPr>
          <w:rFonts w:asciiTheme="minorBidi" w:hAnsiTheme="minorBidi"/>
          <w:sz w:val="16"/>
          <w:szCs w:val="16"/>
          <w:rtl/>
        </w:rPr>
        <w:t>בארוך)</w:t>
      </w:r>
      <w:r w:rsidRPr="00DF73A9">
        <w:rPr>
          <w:rFonts w:asciiTheme="minorBidi" w:hAnsiTheme="minorBidi"/>
          <w:sz w:val="18"/>
          <w:szCs w:val="18"/>
          <w:rtl/>
        </w:rPr>
        <w:t xml:space="preserve">. </w:t>
      </w:r>
      <w:r w:rsidRPr="003024E5">
        <w:rPr>
          <w:rFonts w:asciiTheme="minorBidi" w:hAnsiTheme="minorBidi"/>
          <w:rtl/>
        </w:rPr>
        <w:t>ואם יש בה גומות</w:t>
      </w:r>
      <w:r>
        <w:rPr>
          <w:rStyle w:val="a7"/>
          <w:rFonts w:asciiTheme="minorBidi" w:hAnsiTheme="minorBidi"/>
          <w:rtl/>
        </w:rPr>
        <w:footnoteReference w:id="3053"/>
      </w:r>
      <w:r w:rsidRPr="003024E5">
        <w:rPr>
          <w:rFonts w:asciiTheme="minorBidi" w:hAnsiTheme="minorBidi"/>
          <w:rtl/>
        </w:rPr>
        <w:t xml:space="preserve"> או שרוצה לחתוך בה חמין או לשחוט בה, מלבנה או משחיזה במשחזת של נפחים היטב על פני כולה. </w:t>
      </w:r>
      <w:r w:rsidRPr="009B0A22">
        <w:rPr>
          <w:rFonts w:asciiTheme="minorBidi" w:hAnsiTheme="minorBidi"/>
          <w:sz w:val="18"/>
          <w:szCs w:val="18"/>
          <w:rtl/>
        </w:rPr>
        <w:t xml:space="preserve">הגה: וי"א דהשחזה מהני רק לחתוך בה צונן, אבל לא לענין חמין </w:t>
      </w:r>
      <w:r w:rsidRPr="00C853BA">
        <w:rPr>
          <w:rFonts w:asciiTheme="minorBidi" w:hAnsiTheme="minorBidi"/>
          <w:sz w:val="16"/>
          <w:szCs w:val="16"/>
          <w:rtl/>
        </w:rPr>
        <w:t>(</w:t>
      </w:r>
      <w:r>
        <w:rPr>
          <w:rFonts w:asciiTheme="minorBidi" w:hAnsiTheme="minorBidi" w:hint="cs"/>
          <w:sz w:val="16"/>
          <w:szCs w:val="16"/>
          <w:rtl/>
        </w:rPr>
        <w:t>רשב"א ושא"פ</w:t>
      </w:r>
      <w:r w:rsidRPr="00C853BA">
        <w:rPr>
          <w:rFonts w:asciiTheme="minorBidi" w:hAnsiTheme="minorBidi"/>
          <w:sz w:val="16"/>
          <w:szCs w:val="16"/>
          <w:rtl/>
        </w:rPr>
        <w:t>)</w:t>
      </w:r>
      <w:r>
        <w:rPr>
          <w:rFonts w:asciiTheme="minorBidi" w:hAnsiTheme="minorBidi" w:hint="cs"/>
          <w:sz w:val="18"/>
          <w:szCs w:val="18"/>
          <w:rtl/>
        </w:rPr>
        <w:t>,</w:t>
      </w:r>
      <w:r w:rsidRPr="009B0A22">
        <w:rPr>
          <w:rFonts w:asciiTheme="minorBidi" w:hAnsiTheme="minorBidi"/>
          <w:sz w:val="18"/>
          <w:szCs w:val="18"/>
          <w:rtl/>
        </w:rPr>
        <w:t xml:space="preserve"> והכי נהוג לכתחלה</w:t>
      </w:r>
      <w:r>
        <w:rPr>
          <w:rStyle w:val="a7"/>
          <w:rFonts w:asciiTheme="minorBidi" w:hAnsiTheme="minorBidi"/>
          <w:sz w:val="18"/>
          <w:szCs w:val="18"/>
          <w:rtl/>
        </w:rPr>
        <w:footnoteReference w:id="3054"/>
      </w:r>
      <w:r w:rsidRPr="009B0A22">
        <w:rPr>
          <w:rFonts w:asciiTheme="minorBidi" w:hAnsiTheme="minorBidi"/>
          <w:sz w:val="18"/>
          <w:szCs w:val="18"/>
          <w:rtl/>
        </w:rPr>
        <w:t>. ואם לא יוכל ללבן הסכין היטב משום הקתא, ילבננו ויגעילנו אח"כ</w:t>
      </w:r>
      <w:r>
        <w:rPr>
          <w:rStyle w:val="a7"/>
          <w:rFonts w:asciiTheme="minorBidi" w:hAnsiTheme="minorBidi"/>
          <w:sz w:val="18"/>
          <w:szCs w:val="18"/>
          <w:rtl/>
        </w:rPr>
        <w:footnoteReference w:id="3055"/>
      </w:r>
      <w:r w:rsidRPr="009B0A22">
        <w:rPr>
          <w:rFonts w:asciiTheme="minorBidi" w:hAnsiTheme="minorBidi"/>
          <w:sz w:val="18"/>
          <w:szCs w:val="18"/>
          <w:rtl/>
        </w:rPr>
        <w:t xml:space="preserve"> </w:t>
      </w:r>
      <w:r w:rsidRPr="00C853BA">
        <w:rPr>
          <w:rFonts w:asciiTheme="minorBidi" w:hAnsiTheme="minorBidi"/>
          <w:sz w:val="16"/>
          <w:szCs w:val="16"/>
          <w:rtl/>
        </w:rPr>
        <w:t>(</w:t>
      </w:r>
      <w:r>
        <w:rPr>
          <w:rFonts w:asciiTheme="minorBidi" w:hAnsiTheme="minorBidi" w:hint="cs"/>
          <w:sz w:val="16"/>
          <w:szCs w:val="16"/>
          <w:rtl/>
        </w:rPr>
        <w:t>או</w:t>
      </w:r>
      <w:r>
        <w:rPr>
          <w:rFonts w:asciiTheme="minorBidi" w:hAnsiTheme="minorBidi"/>
          <w:sz w:val="16"/>
          <w:szCs w:val="16"/>
          <w:rtl/>
        </w:rPr>
        <w:t>"</w:t>
      </w:r>
      <w:r>
        <w:rPr>
          <w:rFonts w:asciiTheme="minorBidi" w:hAnsiTheme="minorBidi" w:hint="cs"/>
          <w:sz w:val="16"/>
          <w:szCs w:val="16"/>
          <w:rtl/>
        </w:rPr>
        <w:t>ה דכ"א</w:t>
      </w:r>
      <w:r w:rsidRPr="00C853BA">
        <w:rPr>
          <w:rFonts w:asciiTheme="minorBidi" w:hAnsiTheme="minorBidi"/>
          <w:sz w:val="16"/>
          <w:szCs w:val="16"/>
          <w:rtl/>
        </w:rPr>
        <w:t>)</w:t>
      </w:r>
      <w:r w:rsidRPr="009B0A22">
        <w:rPr>
          <w:rFonts w:asciiTheme="minorBidi" w:hAnsiTheme="minorBidi"/>
          <w:sz w:val="18"/>
          <w:szCs w:val="18"/>
          <w:rtl/>
        </w:rPr>
        <w:t>. ומיהו אם לבנו ולא הגעילו אפילו יש בו גומות</w:t>
      </w:r>
      <w:r>
        <w:rPr>
          <w:rFonts w:asciiTheme="minorBidi" w:hAnsiTheme="minorBidi" w:hint="cs"/>
          <w:sz w:val="18"/>
          <w:szCs w:val="18"/>
          <w:rtl/>
        </w:rPr>
        <w:t>,</w:t>
      </w:r>
      <w:r w:rsidRPr="009B0A22">
        <w:rPr>
          <w:rFonts w:asciiTheme="minorBidi" w:hAnsiTheme="minorBidi"/>
          <w:sz w:val="18"/>
          <w:szCs w:val="18"/>
          <w:rtl/>
        </w:rPr>
        <w:t xml:space="preserve"> או אם הגעילו ולא לבנו ואין בו גומות</w:t>
      </w:r>
      <w:r>
        <w:rPr>
          <w:rFonts w:asciiTheme="minorBidi" w:hAnsiTheme="minorBidi" w:hint="cs"/>
          <w:sz w:val="18"/>
          <w:szCs w:val="18"/>
          <w:rtl/>
        </w:rPr>
        <w:t>,</w:t>
      </w:r>
      <w:r w:rsidRPr="009B0A22">
        <w:rPr>
          <w:rFonts w:asciiTheme="minorBidi" w:hAnsiTheme="minorBidi"/>
          <w:sz w:val="18"/>
          <w:szCs w:val="18"/>
          <w:rtl/>
        </w:rPr>
        <w:t xml:space="preserve"> וחתך בו מאכל חם, לא נאסר, אפי</w:t>
      </w:r>
      <w:r>
        <w:rPr>
          <w:rFonts w:asciiTheme="minorBidi" w:hAnsiTheme="minorBidi" w:hint="cs"/>
          <w:sz w:val="18"/>
          <w:szCs w:val="18"/>
          <w:rtl/>
        </w:rPr>
        <w:t>'</w:t>
      </w:r>
      <w:r w:rsidRPr="009B0A22">
        <w:rPr>
          <w:rFonts w:asciiTheme="minorBidi" w:hAnsiTheme="minorBidi"/>
          <w:sz w:val="18"/>
          <w:szCs w:val="18"/>
          <w:rtl/>
        </w:rPr>
        <w:t xml:space="preserve"> הסכין בן יומו. ואם השחיזו במשחזת היטב בכל מקום ומגעילו אח</w:t>
      </w:r>
      <w:r>
        <w:rPr>
          <w:rFonts w:asciiTheme="minorBidi" w:hAnsiTheme="minorBidi" w:hint="cs"/>
          <w:sz w:val="18"/>
          <w:szCs w:val="18"/>
          <w:rtl/>
        </w:rPr>
        <w:t>"</w:t>
      </w:r>
      <w:r w:rsidRPr="009B0A22">
        <w:rPr>
          <w:rFonts w:asciiTheme="minorBidi" w:hAnsiTheme="minorBidi"/>
          <w:sz w:val="18"/>
          <w:szCs w:val="18"/>
          <w:rtl/>
        </w:rPr>
        <w:t>כ, מהני אפי</w:t>
      </w:r>
      <w:r>
        <w:rPr>
          <w:rFonts w:asciiTheme="minorBidi" w:hAnsiTheme="minorBidi" w:hint="cs"/>
          <w:sz w:val="18"/>
          <w:szCs w:val="18"/>
          <w:rtl/>
        </w:rPr>
        <w:t>'</w:t>
      </w:r>
      <w:r w:rsidRPr="009B0A22">
        <w:rPr>
          <w:rFonts w:asciiTheme="minorBidi" w:hAnsiTheme="minorBidi"/>
          <w:sz w:val="18"/>
          <w:szCs w:val="18"/>
          <w:rtl/>
        </w:rPr>
        <w:t xml:space="preserve"> לכתח</w:t>
      </w:r>
      <w:r>
        <w:rPr>
          <w:rFonts w:asciiTheme="minorBidi" w:hAnsiTheme="minorBidi" w:hint="cs"/>
          <w:sz w:val="18"/>
          <w:szCs w:val="18"/>
          <w:rtl/>
        </w:rPr>
        <w:t>'</w:t>
      </w:r>
      <w:r w:rsidRPr="009B0A22">
        <w:rPr>
          <w:rFonts w:asciiTheme="minorBidi" w:hAnsiTheme="minorBidi"/>
          <w:sz w:val="18"/>
          <w:szCs w:val="18"/>
          <w:rtl/>
        </w:rPr>
        <w:t xml:space="preserve"> כמו ליבון אם יוכל לנקות הגומות שבו</w:t>
      </w:r>
      <w:r>
        <w:rPr>
          <w:rFonts w:asciiTheme="minorBidi" w:hAnsiTheme="minorBidi" w:hint="cs"/>
          <w:sz w:val="18"/>
          <w:szCs w:val="18"/>
          <w:rtl/>
        </w:rPr>
        <w:t xml:space="preserve"> </w:t>
      </w:r>
      <w:r w:rsidRPr="00C853BA">
        <w:rPr>
          <w:rFonts w:asciiTheme="minorBidi" w:hAnsiTheme="minorBidi"/>
          <w:sz w:val="16"/>
          <w:szCs w:val="16"/>
          <w:rtl/>
        </w:rPr>
        <w:t>(מרדכי</w:t>
      </w:r>
      <w:r w:rsidRPr="00C853BA">
        <w:rPr>
          <w:rFonts w:asciiTheme="minorBidi" w:hAnsiTheme="minorBidi" w:hint="cs"/>
          <w:sz w:val="16"/>
          <w:szCs w:val="16"/>
          <w:rtl/>
        </w:rPr>
        <w:t xml:space="preserve"> </w:t>
      </w:r>
      <w:r w:rsidRPr="00C853BA">
        <w:rPr>
          <w:rFonts w:asciiTheme="minorBidi" w:hAnsiTheme="minorBidi"/>
          <w:sz w:val="16"/>
          <w:szCs w:val="16"/>
          <w:rtl/>
        </w:rPr>
        <w:t>וא</w:t>
      </w:r>
      <w:r>
        <w:rPr>
          <w:rFonts w:asciiTheme="minorBidi" w:hAnsiTheme="minorBidi" w:hint="cs"/>
          <w:sz w:val="16"/>
          <w:szCs w:val="16"/>
          <w:rtl/>
        </w:rPr>
        <w:t>ו"ה</w:t>
      </w:r>
      <w:r w:rsidRPr="00C853BA">
        <w:rPr>
          <w:rFonts w:asciiTheme="minorBidi" w:hAnsiTheme="minorBidi"/>
          <w:sz w:val="16"/>
          <w:szCs w:val="16"/>
          <w:rtl/>
        </w:rPr>
        <w:t>)</w:t>
      </w:r>
      <w:r w:rsidRPr="009B0A22">
        <w:rPr>
          <w:rFonts w:asciiTheme="minorBidi" w:hAnsiTheme="minorBidi"/>
          <w:sz w:val="18"/>
          <w:szCs w:val="18"/>
          <w:rtl/>
        </w:rPr>
        <w:t>.</w:t>
      </w:r>
    </w:p>
    <w:p w14:paraId="65601518" w14:textId="77777777" w:rsidR="002C39F4" w:rsidRPr="003024E5" w:rsidRDefault="002C39F4" w:rsidP="002C39F4">
      <w:pPr>
        <w:rPr>
          <w:rFonts w:asciiTheme="minorBidi" w:hAnsiTheme="minorBidi"/>
          <w:rtl/>
        </w:rPr>
      </w:pPr>
    </w:p>
    <w:p w14:paraId="32162192" w14:textId="77777777" w:rsidR="002C39F4" w:rsidRDefault="002C39F4" w:rsidP="002C39F4">
      <w:pPr>
        <w:pStyle w:val="1"/>
        <w:rPr>
          <w:rFonts w:asciiTheme="minorBidi" w:hAnsiTheme="minorBidi"/>
          <w:rtl/>
        </w:rPr>
        <w:sectPr w:rsidR="002C39F4" w:rsidSect="004C5A3C">
          <w:footnotePr>
            <w:numRestart w:val="eachPage"/>
          </w:footnotePr>
          <w:pgSz w:w="11906" w:h="16838"/>
          <w:pgMar w:top="720" w:right="1134" w:bottom="720" w:left="1134" w:header="0" w:footer="0" w:gutter="0"/>
          <w:cols w:space="720"/>
          <w:bidi/>
          <w:rtlGutter/>
          <w:docGrid w:linePitch="360"/>
        </w:sectPr>
      </w:pPr>
    </w:p>
    <w:p w14:paraId="1612AE71" w14:textId="77777777" w:rsidR="002C39F4" w:rsidRPr="003024E5" w:rsidRDefault="002C39F4" w:rsidP="002C39F4">
      <w:pPr>
        <w:pStyle w:val="1"/>
        <w:rPr>
          <w:rFonts w:asciiTheme="minorBidi" w:hAnsiTheme="minorBidi"/>
          <w:rtl/>
        </w:rPr>
      </w:pPr>
      <w:r w:rsidRPr="003024E5">
        <w:rPr>
          <w:rFonts w:asciiTheme="minorBidi" w:hAnsiTheme="minorBidi"/>
          <w:rtl/>
        </w:rPr>
        <w:t xml:space="preserve">סימן קכב: דין נותן טעם לפגם בכלים, ובו י"ב סעיפים. </w:t>
      </w:r>
    </w:p>
    <w:p w14:paraId="65BAD4B4" w14:textId="77777777" w:rsidR="002C39F4" w:rsidRDefault="002C39F4" w:rsidP="002C39F4">
      <w:pPr>
        <w:pStyle w:val="2"/>
        <w:rPr>
          <w:rFonts w:asciiTheme="minorBidi" w:hAnsiTheme="minorBidi"/>
          <w:rtl/>
        </w:rPr>
      </w:pPr>
      <w:r w:rsidRPr="003024E5">
        <w:rPr>
          <w:rFonts w:asciiTheme="minorBidi" w:hAnsiTheme="minorBidi"/>
          <w:rtl/>
        </w:rPr>
        <w:t>סעיף א</w:t>
      </w:r>
      <w:r>
        <w:rPr>
          <w:rFonts w:asciiTheme="minorBidi" w:hAnsiTheme="minorBidi" w:hint="cs"/>
          <w:rtl/>
        </w:rPr>
        <w:t>: נותם טעם לפגם</w:t>
      </w:r>
    </w:p>
    <w:p w14:paraId="4B7EEB4F" w14:textId="77777777" w:rsidR="002C39F4" w:rsidRPr="00193286" w:rsidRDefault="002C39F4" w:rsidP="002C39F4">
      <w:pPr>
        <w:rPr>
          <w:rtl/>
        </w:rPr>
      </w:pPr>
      <w:r>
        <w:rPr>
          <w:rFonts w:cs="Arial" w:hint="cs"/>
          <w:b/>
          <w:bCs/>
          <w:rtl/>
        </w:rPr>
        <w:t xml:space="preserve">עבודה זרה סח ע"ב: </w:t>
      </w:r>
      <w:r w:rsidRPr="00BF251D">
        <w:rPr>
          <w:rFonts w:cs="Arial"/>
          <w:u w:val="single"/>
          <w:rtl/>
        </w:rPr>
        <w:t>אמר רבא</w:t>
      </w:r>
      <w:r>
        <w:rPr>
          <w:rFonts w:cs="Arial" w:hint="cs"/>
          <w:rtl/>
        </w:rPr>
        <w:t>:</w:t>
      </w:r>
      <w:r w:rsidRPr="00BF251D">
        <w:rPr>
          <w:rFonts w:cs="Arial"/>
          <w:rtl/>
        </w:rPr>
        <w:t xml:space="preserve"> הלכתא</w:t>
      </w:r>
      <w:r>
        <w:rPr>
          <w:rFonts w:cs="Arial" w:hint="cs"/>
          <w:rtl/>
        </w:rPr>
        <w:t>,</w:t>
      </w:r>
      <w:r w:rsidRPr="00BF251D">
        <w:rPr>
          <w:rFonts w:cs="Arial"/>
          <w:rtl/>
        </w:rPr>
        <w:t xml:space="preserve"> נותן טעם לפגם מותר</w:t>
      </w:r>
      <w:r>
        <w:rPr>
          <w:rFonts w:hint="cs"/>
          <w:rtl/>
        </w:rPr>
        <w:t>.</w:t>
      </w:r>
    </w:p>
    <w:p w14:paraId="5F162172"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F0DF3E5" w14:textId="77777777" w:rsidR="002C39F4" w:rsidRDefault="002C39F4" w:rsidP="002C39F4">
      <w:pPr>
        <w:rPr>
          <w:rFonts w:asciiTheme="minorBidi" w:hAnsiTheme="minorBidi"/>
          <w:rtl/>
        </w:rPr>
      </w:pPr>
      <w:r w:rsidRPr="003024E5">
        <w:rPr>
          <w:rFonts w:asciiTheme="minorBidi" w:hAnsiTheme="minorBidi"/>
          <w:rtl/>
        </w:rPr>
        <w:t xml:space="preserve">נותן טעם לפגם מותר. </w:t>
      </w:r>
    </w:p>
    <w:p w14:paraId="05527E19" w14:textId="77777777" w:rsidR="002C39F4" w:rsidRPr="003024E5" w:rsidRDefault="002C39F4" w:rsidP="002C39F4">
      <w:pPr>
        <w:rPr>
          <w:rFonts w:asciiTheme="minorBidi" w:hAnsiTheme="minorBidi"/>
          <w:rtl/>
        </w:rPr>
      </w:pPr>
    </w:p>
    <w:p w14:paraId="48BC39C2" w14:textId="77777777" w:rsidR="002C39F4" w:rsidRDefault="002C39F4" w:rsidP="002C39F4">
      <w:pPr>
        <w:pStyle w:val="2"/>
        <w:rPr>
          <w:rFonts w:asciiTheme="minorBidi" w:hAnsiTheme="minorBidi"/>
          <w:rtl/>
        </w:rPr>
      </w:pPr>
      <w:r w:rsidRPr="003024E5">
        <w:rPr>
          <w:rFonts w:asciiTheme="minorBidi" w:hAnsiTheme="minorBidi"/>
          <w:rtl/>
        </w:rPr>
        <w:t>סעיף ב</w:t>
      </w:r>
      <w:r>
        <w:rPr>
          <w:rFonts w:asciiTheme="minorBidi" w:hAnsiTheme="minorBidi" w:hint="cs"/>
          <w:rtl/>
        </w:rPr>
        <w:t>: בישול בקדירה שאינה בת יומא</w:t>
      </w:r>
    </w:p>
    <w:p w14:paraId="7800958C" w14:textId="77777777" w:rsidR="002C39F4" w:rsidRDefault="002C39F4" w:rsidP="002C39F4">
      <w:pPr>
        <w:rPr>
          <w:rtl/>
        </w:rPr>
      </w:pPr>
      <w:r>
        <w:rPr>
          <w:rFonts w:cs="Arial" w:hint="cs"/>
          <w:b/>
          <w:bCs/>
          <w:rtl/>
        </w:rPr>
        <w:t xml:space="preserve">עבודה זרה עה ע"ב: </w:t>
      </w:r>
      <w:r w:rsidRPr="001D1198">
        <w:rPr>
          <w:rFonts w:cs="Arial"/>
          <w:u w:val="single"/>
          <w:rtl/>
        </w:rPr>
        <w:t>אמר רב חייא בריה דרב הונא</w:t>
      </w:r>
      <w:r w:rsidRPr="001D1198">
        <w:rPr>
          <w:rFonts w:cs="Arial"/>
          <w:rtl/>
        </w:rPr>
        <w:t>: לא אסרה תורה אלא קדירה</w:t>
      </w:r>
      <w:r>
        <w:rPr>
          <w:rFonts w:cs="Arial" w:hint="cs"/>
          <w:sz w:val="14"/>
          <w:szCs w:val="14"/>
          <w:rtl/>
        </w:rPr>
        <w:t xml:space="preserve"> (עו.)</w:t>
      </w:r>
      <w:r>
        <w:rPr>
          <w:rFonts w:hint="cs"/>
          <w:rtl/>
        </w:rPr>
        <w:t xml:space="preserve"> </w:t>
      </w:r>
      <w:r w:rsidRPr="001D1198">
        <w:rPr>
          <w:rFonts w:cs="Arial"/>
          <w:rtl/>
        </w:rPr>
        <w:t>בת יומא, דלאו נותן טעם לפגם הוא. מכאן ואילך לישתרי! גזירה קדירה שאינה בת יומא משום קדירה בת יומא.</w:t>
      </w:r>
    </w:p>
    <w:p w14:paraId="49762667" w14:textId="77777777" w:rsidR="002C39F4" w:rsidRDefault="002C39F4" w:rsidP="002C39F4">
      <w:pPr>
        <w:rPr>
          <w:rFonts w:cs="Arial"/>
          <w:rtl/>
        </w:rPr>
      </w:pPr>
      <w:r>
        <w:rPr>
          <w:rFonts w:cs="Arial" w:hint="cs"/>
          <w:b/>
          <w:bCs/>
          <w:rtl/>
        </w:rPr>
        <w:t xml:space="preserve">פסחים ל ע"א: </w:t>
      </w:r>
      <w:r w:rsidRPr="001E4C23">
        <w:rPr>
          <w:rFonts w:cs="Arial"/>
          <w:u w:val="single"/>
          <w:rtl/>
        </w:rPr>
        <w:t>אמר רב</w:t>
      </w:r>
      <w:r w:rsidRPr="001D1198">
        <w:rPr>
          <w:rFonts w:cs="Arial"/>
          <w:rtl/>
        </w:rPr>
        <w:t>: קדירות בפסח ישברו</w:t>
      </w:r>
      <w:r>
        <w:rPr>
          <w:rStyle w:val="a7"/>
          <w:rFonts w:cs="Arial"/>
          <w:rtl/>
        </w:rPr>
        <w:footnoteReference w:id="3056"/>
      </w:r>
      <w:r w:rsidRPr="001D1198">
        <w:rPr>
          <w:rFonts w:cs="Arial"/>
          <w:rtl/>
        </w:rPr>
        <w:t>. ואמאי? לשהינהו אחר הפסח, וליעבד בהו שלא במינן</w:t>
      </w:r>
      <w:r>
        <w:rPr>
          <w:rStyle w:val="a7"/>
          <w:rFonts w:cs="Arial"/>
          <w:rtl/>
        </w:rPr>
        <w:footnoteReference w:id="3057"/>
      </w:r>
      <w:r w:rsidRPr="001D1198">
        <w:rPr>
          <w:rFonts w:cs="Arial"/>
          <w:rtl/>
        </w:rPr>
        <w:t xml:space="preserve">! גזירה דילמא אתו למיעבד בהו במינו. </w:t>
      </w:r>
      <w:r w:rsidRPr="001E4C23">
        <w:rPr>
          <w:rFonts w:cs="Arial"/>
          <w:u w:val="single"/>
          <w:rtl/>
        </w:rPr>
        <w:t>ושמואל אמר</w:t>
      </w:r>
      <w:r w:rsidRPr="001D1198">
        <w:rPr>
          <w:rFonts w:cs="Arial"/>
          <w:rtl/>
        </w:rPr>
        <w:t>: לא ישברו, אבל משהי להו לאחר זמנו, ועביד בהו בין במינו בין שלא במינו. ואזדא שמואל לטעמיה, דאמר שמואל להנהו דמזבני כנדי</w:t>
      </w:r>
      <w:r>
        <w:rPr>
          <w:rStyle w:val="a7"/>
          <w:rFonts w:cs="Arial"/>
          <w:rtl/>
        </w:rPr>
        <w:footnoteReference w:id="3058"/>
      </w:r>
      <w:r w:rsidRPr="001D1198">
        <w:rPr>
          <w:rFonts w:cs="Arial"/>
          <w:rtl/>
        </w:rPr>
        <w:t>: אשוו זביני</w:t>
      </w:r>
      <w:r>
        <w:rPr>
          <w:rStyle w:val="a7"/>
          <w:rFonts w:cs="Arial"/>
          <w:rtl/>
        </w:rPr>
        <w:footnoteReference w:id="3059"/>
      </w:r>
      <w:r w:rsidRPr="001D1198">
        <w:rPr>
          <w:rFonts w:cs="Arial"/>
          <w:rtl/>
        </w:rPr>
        <w:t xml:space="preserve"> אכנדיכי, ואי לא - דרשינא לכו כרבי שמעון</w:t>
      </w:r>
      <w:r>
        <w:rPr>
          <w:rStyle w:val="a7"/>
          <w:rFonts w:cs="Arial"/>
          <w:rtl/>
        </w:rPr>
        <w:footnoteReference w:id="3060"/>
      </w:r>
      <w:r w:rsidRPr="001D1198">
        <w:rPr>
          <w:rFonts w:cs="Arial"/>
          <w:rtl/>
        </w:rPr>
        <w:t xml:space="preserve">. ולידרוש להו, דהא שמואל כרבי שמעון סבירא ליה! אתריה דרב הוה. </w:t>
      </w:r>
    </w:p>
    <w:p w14:paraId="54AC11B6" w14:textId="77777777" w:rsidR="002C39F4" w:rsidRPr="001D1198" w:rsidRDefault="002C39F4" w:rsidP="002C39F4">
      <w:pPr>
        <w:rPr>
          <w:rFonts w:cs="Arial"/>
          <w:u w:val="single"/>
          <w:rtl/>
        </w:rPr>
      </w:pPr>
      <w:r w:rsidRPr="001D1198">
        <w:rPr>
          <w:rFonts w:cs="Arial" w:hint="cs"/>
          <w:u w:val="single"/>
          <w:rtl/>
        </w:rPr>
        <w:t>האם מותר לבשל חלב בקדרה של בשר שאינה בת יומא:</w:t>
      </w:r>
    </w:p>
    <w:p w14:paraId="68305A37" w14:textId="77777777" w:rsidR="002C39F4" w:rsidRPr="007210D5" w:rsidRDefault="002C39F4" w:rsidP="0032102C">
      <w:pPr>
        <w:pStyle w:val="a8"/>
        <w:numPr>
          <w:ilvl w:val="0"/>
          <w:numId w:val="329"/>
        </w:numPr>
        <w:rPr>
          <w:rFonts w:cs="Arial"/>
          <w:rtl/>
        </w:rPr>
      </w:pPr>
      <w:r w:rsidRPr="001D1198">
        <w:rPr>
          <w:rFonts w:cs="Arial"/>
          <w:rtl/>
        </w:rPr>
        <w:t xml:space="preserve">רשב"א </w:t>
      </w:r>
      <w:r w:rsidRPr="001D1198">
        <w:rPr>
          <w:rFonts w:cs="Arial"/>
          <w:sz w:val="16"/>
          <w:szCs w:val="16"/>
          <w:rtl/>
        </w:rPr>
        <w:t>(</w:t>
      </w:r>
      <w:r w:rsidRPr="001D1198">
        <w:rPr>
          <w:rFonts w:cs="Arial" w:hint="cs"/>
          <w:sz w:val="16"/>
          <w:szCs w:val="16"/>
          <w:rtl/>
        </w:rPr>
        <w:t>תוהאו"ק</w:t>
      </w:r>
      <w:r w:rsidRPr="001D1198">
        <w:rPr>
          <w:rFonts w:cs="Arial"/>
          <w:sz w:val="16"/>
          <w:szCs w:val="16"/>
          <w:rtl/>
        </w:rPr>
        <w:t xml:space="preserve"> ב"ד ש"ד לו.)</w:t>
      </w:r>
      <w:r w:rsidRPr="001D1198">
        <w:rPr>
          <w:rFonts w:cs="Arial" w:hint="cs"/>
          <w:sz w:val="16"/>
          <w:szCs w:val="16"/>
          <w:rtl/>
        </w:rPr>
        <w:t xml:space="preserve"> </w:t>
      </w:r>
      <w:r w:rsidRPr="007210D5">
        <w:rPr>
          <w:rFonts w:cs="Arial" w:hint="cs"/>
          <w:rtl/>
        </w:rPr>
        <w:t>וטור</w:t>
      </w:r>
      <w:r w:rsidRPr="001D1198">
        <w:rPr>
          <w:rFonts w:cs="Arial" w:hint="cs"/>
          <w:rtl/>
        </w:rPr>
        <w:t>-</w:t>
      </w:r>
      <w:r w:rsidRPr="001D1198">
        <w:rPr>
          <w:rFonts w:cs="Arial"/>
          <w:rtl/>
        </w:rPr>
        <w:t xml:space="preserve"> אין חילוק בין אם היתה בלועה מאיסור נבלה ובין אם היא בלועה מחלב ובא לבשל בה בשר או איפכא שאע"פ שנפגמה הקדרה קודם שבא לידי בשר בחלב אסור לבשל בה לכתחלה</w:t>
      </w:r>
      <w:r>
        <w:rPr>
          <w:rStyle w:val="a7"/>
          <w:rFonts w:cs="Arial"/>
          <w:rtl/>
        </w:rPr>
        <w:footnoteReference w:id="3061"/>
      </w:r>
      <w:r>
        <w:rPr>
          <w:rFonts w:cs="Arial" w:hint="cs"/>
          <w:sz w:val="16"/>
          <w:szCs w:val="16"/>
          <w:rtl/>
        </w:rPr>
        <w:t xml:space="preserve"> (ל' הטור)</w:t>
      </w:r>
      <w:r w:rsidRPr="001D1198">
        <w:rPr>
          <w:rFonts w:cs="Arial" w:hint="cs"/>
          <w:rtl/>
        </w:rPr>
        <w:t>.</w:t>
      </w:r>
      <w:r>
        <w:rPr>
          <w:rFonts w:cs="Arial" w:hint="cs"/>
          <w:rtl/>
        </w:rPr>
        <w:t xml:space="preserve"> </w:t>
      </w:r>
      <w:r w:rsidRPr="00167316">
        <w:rPr>
          <w:rFonts w:cs="Arial" w:hint="cs"/>
          <w:color w:val="E36C0A" w:themeColor="accent6" w:themeShade="BF"/>
          <w:rtl/>
        </w:rPr>
        <w:t>(וכ"פ בשו"ע)</w:t>
      </w:r>
    </w:p>
    <w:p w14:paraId="2201EDC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F0C10E3" w14:textId="77777777" w:rsidR="002C39F4" w:rsidRDefault="002C39F4" w:rsidP="002C39F4">
      <w:pPr>
        <w:rPr>
          <w:rFonts w:asciiTheme="minorBidi" w:hAnsiTheme="minorBidi"/>
          <w:rtl/>
        </w:rPr>
      </w:pPr>
      <w:r w:rsidRPr="003024E5">
        <w:rPr>
          <w:rFonts w:asciiTheme="minorBidi" w:hAnsiTheme="minorBidi"/>
          <w:rtl/>
        </w:rPr>
        <w:t>קדירה שאינה בת יומא, דהיינו ששהתה מעת לעת משנתבשל בה האיסור, הויא נותן טעם לפגם ואפילו הכי אסרו חכמים לבשל בה לכתחלה</w:t>
      </w:r>
      <w:r>
        <w:rPr>
          <w:rStyle w:val="a7"/>
          <w:rFonts w:asciiTheme="minorBidi" w:hAnsiTheme="minorBidi"/>
          <w:rtl/>
        </w:rPr>
        <w:footnoteReference w:id="3062"/>
      </w:r>
      <w:r w:rsidRPr="003024E5">
        <w:rPr>
          <w:rFonts w:asciiTheme="minorBidi" w:hAnsiTheme="minorBidi"/>
          <w:rtl/>
        </w:rPr>
        <w:t xml:space="preserve"> גזירה אטו בת יומא</w:t>
      </w:r>
      <w:r>
        <w:rPr>
          <w:rFonts w:asciiTheme="minorBidi" w:hAnsiTheme="minorBidi" w:hint="cs"/>
          <w:rtl/>
        </w:rPr>
        <w:t>,</w:t>
      </w:r>
      <w:r w:rsidRPr="003024E5">
        <w:rPr>
          <w:rFonts w:asciiTheme="minorBidi" w:hAnsiTheme="minorBidi"/>
          <w:rtl/>
        </w:rPr>
        <w:t xml:space="preserve"> בין שבלועה מאיסור ובא לבשל בה היתר</w:t>
      </w:r>
      <w:r>
        <w:rPr>
          <w:rStyle w:val="a7"/>
          <w:rFonts w:asciiTheme="minorBidi" w:hAnsiTheme="minorBidi"/>
          <w:rtl/>
        </w:rPr>
        <w:footnoteReference w:id="3063"/>
      </w:r>
      <w:r w:rsidRPr="003024E5">
        <w:rPr>
          <w:rFonts w:asciiTheme="minorBidi" w:hAnsiTheme="minorBidi"/>
          <w:rtl/>
        </w:rPr>
        <w:t xml:space="preserve">, ובין שבלועה מחלב ובא לבשל בה בשר או איפכא. </w:t>
      </w:r>
    </w:p>
    <w:p w14:paraId="4CF09846" w14:textId="77777777" w:rsidR="002C39F4" w:rsidRPr="003024E5" w:rsidRDefault="002C39F4" w:rsidP="002C39F4">
      <w:pPr>
        <w:rPr>
          <w:rFonts w:asciiTheme="minorBidi" w:hAnsiTheme="minorBidi"/>
          <w:rtl/>
        </w:rPr>
      </w:pPr>
    </w:p>
    <w:p w14:paraId="450E9E08" w14:textId="77777777" w:rsidR="002C39F4" w:rsidRDefault="002C39F4" w:rsidP="002C39F4">
      <w:pPr>
        <w:pStyle w:val="2"/>
        <w:rPr>
          <w:rFonts w:asciiTheme="minorBidi" w:hAnsiTheme="minorBidi"/>
          <w:rtl/>
        </w:rPr>
      </w:pPr>
      <w:r w:rsidRPr="003024E5">
        <w:rPr>
          <w:rFonts w:asciiTheme="minorBidi" w:hAnsiTheme="minorBidi"/>
          <w:rtl/>
        </w:rPr>
        <w:t>סעיף ג</w:t>
      </w:r>
      <w:r>
        <w:rPr>
          <w:rFonts w:asciiTheme="minorBidi" w:hAnsiTheme="minorBidi" w:hint="cs"/>
          <w:rtl/>
        </w:rPr>
        <w:t>: שמנונית הדבוקה בכלי</w:t>
      </w:r>
    </w:p>
    <w:p w14:paraId="5CD16242" w14:textId="77777777" w:rsidR="002C39F4" w:rsidRDefault="002C39F4" w:rsidP="002C39F4">
      <w:pPr>
        <w:rPr>
          <w:rtl/>
        </w:rPr>
      </w:pPr>
      <w:r>
        <w:rPr>
          <w:rFonts w:cs="Arial" w:hint="cs"/>
          <w:b/>
          <w:bCs/>
          <w:rtl/>
        </w:rPr>
        <w:t xml:space="preserve">עבודה זרה עה ע"ב: </w:t>
      </w:r>
      <w:r w:rsidRPr="004319DE">
        <w:rPr>
          <w:rFonts w:cs="Arial"/>
          <w:u w:val="double"/>
          <w:rtl/>
        </w:rPr>
        <w:t>מתני'</w:t>
      </w:r>
      <w:r>
        <w:rPr>
          <w:rFonts w:cs="Arial" w:hint="cs"/>
          <w:rtl/>
        </w:rPr>
        <w:t>:</w:t>
      </w:r>
      <w:r w:rsidRPr="004319DE">
        <w:rPr>
          <w:rFonts w:cs="Arial"/>
          <w:rtl/>
        </w:rPr>
        <w:t xml:space="preserve"> הלוקח כלי תשמיש מן העובדי כוכבים, את שדרכו להטביל</w:t>
      </w:r>
      <w:r>
        <w:rPr>
          <w:rFonts w:cs="Arial" w:hint="cs"/>
          <w:rtl/>
        </w:rPr>
        <w:t xml:space="preserve"> </w:t>
      </w:r>
      <w:r w:rsidRPr="004319DE">
        <w:rPr>
          <w:rFonts w:cs="Arial"/>
          <w:rtl/>
        </w:rPr>
        <w:t>- יטביל, להגעיל</w:t>
      </w:r>
      <w:r>
        <w:rPr>
          <w:rFonts w:cs="Arial" w:hint="cs"/>
          <w:rtl/>
        </w:rPr>
        <w:t xml:space="preserve"> </w:t>
      </w:r>
      <w:r w:rsidRPr="004319DE">
        <w:rPr>
          <w:rFonts w:cs="Arial"/>
          <w:rtl/>
        </w:rPr>
        <w:t>- יגעיל, ללבן באור</w:t>
      </w:r>
      <w:r>
        <w:rPr>
          <w:rFonts w:cs="Arial" w:hint="cs"/>
          <w:rtl/>
        </w:rPr>
        <w:t xml:space="preserve"> </w:t>
      </w:r>
      <w:r w:rsidRPr="004319DE">
        <w:rPr>
          <w:rFonts w:cs="Arial"/>
          <w:rtl/>
        </w:rPr>
        <w:t>- ילבן באור. השפוד והאסכלא</w:t>
      </w:r>
      <w:r>
        <w:rPr>
          <w:rFonts w:cs="Arial" w:hint="cs"/>
          <w:rtl/>
        </w:rPr>
        <w:t xml:space="preserve"> </w:t>
      </w:r>
      <w:r w:rsidRPr="004319DE">
        <w:rPr>
          <w:rFonts w:cs="Arial"/>
          <w:rtl/>
        </w:rPr>
        <w:t>- מלבנן באור. הסכי</w:t>
      </w:r>
      <w:r>
        <w:rPr>
          <w:rFonts w:cs="Arial" w:hint="cs"/>
          <w:rtl/>
        </w:rPr>
        <w:t xml:space="preserve">ן </w:t>
      </w:r>
      <w:r w:rsidRPr="004319DE">
        <w:rPr>
          <w:rFonts w:cs="Arial"/>
          <w:rtl/>
        </w:rPr>
        <w:t>- שפה והיא טהורה.</w:t>
      </w:r>
      <w:r>
        <w:rPr>
          <w:rFonts w:cs="Arial" w:hint="cs"/>
          <w:rtl/>
        </w:rPr>
        <w:t xml:space="preserve"> </w:t>
      </w:r>
      <w:r>
        <w:rPr>
          <w:rFonts w:hint="cs"/>
          <w:rtl/>
        </w:rPr>
        <w:t xml:space="preserve">    </w:t>
      </w:r>
      <w:r w:rsidRPr="00AF6944">
        <w:rPr>
          <w:rFonts w:hint="cs"/>
          <w:u w:val="double"/>
          <w:rtl/>
        </w:rPr>
        <w:t>גמ'</w:t>
      </w:r>
      <w:r>
        <w:rPr>
          <w:rFonts w:hint="cs"/>
          <w:rtl/>
        </w:rPr>
        <w:t xml:space="preserve">: </w:t>
      </w:r>
      <w:r w:rsidRPr="00AF6944">
        <w:rPr>
          <w:rFonts w:cs="Arial"/>
          <w:rtl/>
        </w:rPr>
        <w:t>וכולן שנשתמש בהן עד שלא יטביל ושלא יגעיל ושלא ילבן - תני חדא: אסור, ותניא אידך: מותר! ל"ק: הא כמאן דאמר נותן טעם לפגם - אסור, הא כמאן דאמר נותן טעם לפגם - מותר.</w:t>
      </w:r>
    </w:p>
    <w:p w14:paraId="67B37782" w14:textId="77777777" w:rsidR="002C39F4" w:rsidRPr="00C2478B" w:rsidRDefault="002C39F4" w:rsidP="002C39F4">
      <w:pPr>
        <w:rPr>
          <w:u w:val="single"/>
          <w:rtl/>
        </w:rPr>
      </w:pPr>
      <w:r w:rsidRPr="00C2478B">
        <w:rPr>
          <w:rFonts w:hint="cs"/>
          <w:u w:val="single"/>
          <w:rtl/>
        </w:rPr>
        <w:t>מה פירוש דברי הגמ'- '</w:t>
      </w:r>
      <w:r w:rsidRPr="00C2478B">
        <w:rPr>
          <w:rFonts w:cs="Arial" w:hint="cs"/>
          <w:u w:val="single"/>
          <w:rtl/>
        </w:rPr>
        <w:t xml:space="preserve">וכולן שנשתמש בהן </w:t>
      </w:r>
      <w:r w:rsidRPr="00C2478B">
        <w:rPr>
          <w:rFonts w:cs="Arial"/>
          <w:b/>
          <w:bCs/>
          <w:u w:val="single"/>
          <w:rtl/>
        </w:rPr>
        <w:t xml:space="preserve">עד שלא </w:t>
      </w:r>
      <w:r w:rsidRPr="00C2478B">
        <w:rPr>
          <w:rFonts w:cs="Arial" w:hint="cs"/>
          <w:b/>
          <w:bCs/>
          <w:u w:val="single"/>
          <w:rtl/>
        </w:rPr>
        <w:t>י</w:t>
      </w:r>
      <w:r w:rsidRPr="00C2478B">
        <w:rPr>
          <w:rFonts w:cs="Arial"/>
          <w:b/>
          <w:bCs/>
          <w:u w:val="single"/>
          <w:rtl/>
        </w:rPr>
        <w:t>טביל</w:t>
      </w:r>
      <w:r w:rsidRPr="00C2478B">
        <w:rPr>
          <w:rFonts w:cs="Arial" w:hint="cs"/>
          <w:u w:val="single"/>
          <w:rtl/>
        </w:rPr>
        <w:t>'</w:t>
      </w:r>
      <w:r>
        <w:rPr>
          <w:rFonts w:cs="Arial" w:hint="cs"/>
          <w:u w:val="single"/>
          <w:rtl/>
        </w:rPr>
        <w:t>, ונפ"מ האם השמנונית שע"פ הכלי מותרת משום נטל"פ</w:t>
      </w:r>
      <w:r w:rsidRPr="00C2478B">
        <w:rPr>
          <w:rFonts w:cs="Arial" w:hint="cs"/>
          <w:u w:val="single"/>
          <w:rtl/>
        </w:rPr>
        <w:t>:</w:t>
      </w:r>
    </w:p>
    <w:p w14:paraId="6AFCA7E4" w14:textId="77777777" w:rsidR="002C39F4" w:rsidRPr="004177E5" w:rsidRDefault="002C39F4" w:rsidP="0032102C">
      <w:pPr>
        <w:pStyle w:val="a8"/>
        <w:numPr>
          <w:ilvl w:val="0"/>
          <w:numId w:val="329"/>
        </w:numPr>
      </w:pPr>
      <w:r>
        <w:rPr>
          <w:rFonts w:cs="Arial" w:hint="cs"/>
          <w:rtl/>
        </w:rPr>
        <w:t>רמב"ם</w:t>
      </w:r>
      <w:r>
        <w:rPr>
          <w:rStyle w:val="a7"/>
          <w:rFonts w:cs="Arial"/>
          <w:rtl/>
        </w:rPr>
        <w:footnoteReference w:id="3064"/>
      </w:r>
      <w:r>
        <w:rPr>
          <w:rFonts w:cs="Arial" w:hint="cs"/>
          <w:rtl/>
        </w:rPr>
        <w:t xml:space="preserve"> </w:t>
      </w:r>
      <w:r>
        <w:rPr>
          <w:rFonts w:cs="Arial" w:hint="cs"/>
          <w:sz w:val="16"/>
          <w:szCs w:val="16"/>
          <w:rtl/>
        </w:rPr>
        <w:t>(</w:t>
      </w:r>
      <w:r w:rsidRPr="00AF6944">
        <w:rPr>
          <w:rFonts w:cs="Arial" w:hint="cs"/>
          <w:sz w:val="16"/>
          <w:szCs w:val="16"/>
          <w:rtl/>
        </w:rPr>
        <w:t xml:space="preserve">פי"ז מהמ"א </w:t>
      </w:r>
      <w:r w:rsidRPr="00AF6944">
        <w:rPr>
          <w:rFonts w:cs="Arial"/>
          <w:sz w:val="16"/>
          <w:szCs w:val="16"/>
          <w:rtl/>
        </w:rPr>
        <w:t>ה"ד</w:t>
      </w:r>
      <w:r>
        <w:rPr>
          <w:rFonts w:cs="Arial" w:hint="cs"/>
          <w:sz w:val="16"/>
          <w:szCs w:val="16"/>
          <w:rtl/>
        </w:rPr>
        <w:t>, כ"כ הר"ן בשמו [</w:t>
      </w:r>
      <w:r w:rsidRPr="00612B7F">
        <w:rPr>
          <w:rFonts w:cs="Arial"/>
          <w:sz w:val="16"/>
          <w:szCs w:val="16"/>
          <w:rtl/>
        </w:rPr>
        <w:t>ע"ז מ. ד"ה וכולן</w:t>
      </w:r>
      <w:r>
        <w:rPr>
          <w:rFonts w:cs="Arial" w:hint="cs"/>
          <w:sz w:val="16"/>
          <w:szCs w:val="16"/>
          <w:rtl/>
        </w:rPr>
        <w:t>])</w:t>
      </w:r>
      <w:r>
        <w:rPr>
          <w:rFonts w:cs="Arial" w:hint="cs"/>
          <w:rtl/>
        </w:rPr>
        <w:t xml:space="preserve"> ו</w:t>
      </w:r>
      <w:r w:rsidRPr="004177E5">
        <w:rPr>
          <w:rFonts w:cs="Arial"/>
          <w:rtl/>
        </w:rPr>
        <w:t>יש מפרשים</w:t>
      </w:r>
      <w:r>
        <w:rPr>
          <w:rFonts w:cs="Arial" w:hint="cs"/>
          <w:sz w:val="16"/>
          <w:szCs w:val="16"/>
          <w:rtl/>
        </w:rPr>
        <w:t xml:space="preserve"> (הביאם הרשב"א)</w:t>
      </w:r>
      <w:r w:rsidRPr="004177E5">
        <w:rPr>
          <w:rFonts w:cs="Arial" w:hint="cs"/>
          <w:rtl/>
        </w:rPr>
        <w:t xml:space="preserve">- </w:t>
      </w:r>
      <w:r w:rsidRPr="004177E5">
        <w:rPr>
          <w:rFonts w:cs="Arial"/>
          <w:rtl/>
        </w:rPr>
        <w:t>היינו הדחה</w:t>
      </w:r>
      <w:r>
        <w:rPr>
          <w:rFonts w:cs="Arial" w:hint="cs"/>
          <w:rtl/>
        </w:rPr>
        <w:t>,</w:t>
      </w:r>
      <w:r w:rsidRPr="004177E5">
        <w:rPr>
          <w:rFonts w:cs="Arial"/>
          <w:rtl/>
        </w:rPr>
        <w:t xml:space="preserve"> והיינו דלמ"ד נותן טעם לפגם אסור</w:t>
      </w:r>
      <w:r w:rsidRPr="004177E5">
        <w:rPr>
          <w:rFonts w:cs="Arial" w:hint="cs"/>
          <w:rtl/>
        </w:rPr>
        <w:t>,</w:t>
      </w:r>
      <w:r w:rsidRPr="004177E5">
        <w:rPr>
          <w:rFonts w:cs="Arial"/>
          <w:rtl/>
        </w:rPr>
        <w:t xml:space="preserve"> דאי טבילה ממש קאמר ובכלים חדשים שלא נשתמש בהם ליכא נותן טעם כלל</w:t>
      </w:r>
      <w:r w:rsidRPr="004177E5">
        <w:rPr>
          <w:rFonts w:cs="Arial" w:hint="cs"/>
          <w:rtl/>
        </w:rPr>
        <w:t xml:space="preserve">, </w:t>
      </w:r>
      <w:r w:rsidRPr="004177E5">
        <w:rPr>
          <w:rFonts w:cs="Arial"/>
          <w:rtl/>
        </w:rPr>
        <w:t>אלא טבילה זו היינו הדחה</w:t>
      </w:r>
      <w:r w:rsidRPr="004177E5">
        <w:rPr>
          <w:rFonts w:cs="Arial" w:hint="cs"/>
          <w:rtl/>
        </w:rPr>
        <w:t>,</w:t>
      </w:r>
      <w:r w:rsidRPr="004177E5">
        <w:rPr>
          <w:rFonts w:cs="Arial"/>
          <w:rtl/>
        </w:rPr>
        <w:t xml:space="preserve"> כלומר שאם נשתמש קודם שהדיח מותר דנותן טעם לפגם הוא</w:t>
      </w:r>
      <w:r>
        <w:rPr>
          <w:rFonts w:cs="Arial" w:hint="cs"/>
          <w:sz w:val="16"/>
          <w:szCs w:val="16"/>
          <w:rtl/>
        </w:rPr>
        <w:t xml:space="preserve"> (ל' הרשב"א בשם י"מ)</w:t>
      </w:r>
      <w:r>
        <w:rPr>
          <w:rStyle w:val="a7"/>
          <w:rFonts w:cs="Arial"/>
          <w:rtl/>
        </w:rPr>
        <w:footnoteReference w:id="3065"/>
      </w:r>
      <w:r>
        <w:rPr>
          <w:rFonts w:cs="Arial" w:hint="cs"/>
          <w:rtl/>
        </w:rPr>
        <w:t>.</w:t>
      </w:r>
      <w:r w:rsidRPr="004177E5">
        <w:rPr>
          <w:rFonts w:cs="Arial"/>
          <w:rtl/>
        </w:rPr>
        <w:t xml:space="preserve"> </w:t>
      </w:r>
    </w:p>
    <w:p w14:paraId="79C1C4B8" w14:textId="77777777" w:rsidR="002C39F4" w:rsidRPr="00612B7F" w:rsidRDefault="002C39F4" w:rsidP="0032102C">
      <w:pPr>
        <w:pStyle w:val="a8"/>
        <w:numPr>
          <w:ilvl w:val="0"/>
          <w:numId w:val="329"/>
        </w:numPr>
      </w:pPr>
      <w:r w:rsidRPr="004177E5">
        <w:rPr>
          <w:rFonts w:cs="Arial"/>
          <w:rtl/>
        </w:rPr>
        <w:t xml:space="preserve">ראב"ד </w:t>
      </w:r>
      <w:r>
        <w:rPr>
          <w:rFonts w:cs="Arial" w:hint="cs"/>
          <w:rtl/>
        </w:rPr>
        <w:t>רבותנו בעלי ה</w:t>
      </w:r>
      <w:r w:rsidRPr="004177E5">
        <w:rPr>
          <w:rFonts w:cs="Arial"/>
          <w:rtl/>
        </w:rPr>
        <w:t>תוס</w:t>
      </w:r>
      <w:r>
        <w:rPr>
          <w:rFonts w:cs="Arial" w:hint="cs"/>
          <w:rtl/>
        </w:rPr>
        <w:t xml:space="preserve">פות רשב"א </w:t>
      </w:r>
      <w:r w:rsidRPr="00AF6944">
        <w:rPr>
          <w:rFonts w:cs="Arial" w:hint="cs"/>
          <w:rtl/>
        </w:rPr>
        <w:t>וטור</w:t>
      </w:r>
      <w:r>
        <w:rPr>
          <w:rStyle w:val="a7"/>
          <w:rFonts w:cs="Arial"/>
          <w:rtl/>
        </w:rPr>
        <w:footnoteReference w:id="3066"/>
      </w:r>
      <w:r>
        <w:rPr>
          <w:rFonts w:cs="Arial" w:hint="cs"/>
          <w:rtl/>
        </w:rPr>
        <w:t xml:space="preserve">- </w:t>
      </w:r>
      <w:r w:rsidRPr="004177E5">
        <w:rPr>
          <w:rFonts w:cs="Arial"/>
          <w:rtl/>
        </w:rPr>
        <w:t>טבילה ממש ולא מדוקא נקט ליה</w:t>
      </w:r>
      <w:r>
        <w:rPr>
          <w:rFonts w:cs="Arial" w:hint="cs"/>
          <w:sz w:val="16"/>
          <w:szCs w:val="16"/>
          <w:rtl/>
        </w:rPr>
        <w:t xml:space="preserve"> (ראב"ד)</w:t>
      </w:r>
      <w:r>
        <w:rPr>
          <w:rStyle w:val="a7"/>
          <w:rFonts w:cs="Arial"/>
          <w:rtl/>
        </w:rPr>
        <w:footnoteReference w:id="3067"/>
      </w:r>
      <w:r>
        <w:rPr>
          <w:rFonts w:cs="Arial" w:hint="cs"/>
          <w:rtl/>
        </w:rPr>
        <w:t>, אבל הדחה ודאי צריך</w:t>
      </w:r>
      <w:r w:rsidRPr="00612B7F">
        <w:rPr>
          <w:rFonts w:cs="Arial"/>
          <w:rtl/>
        </w:rPr>
        <w:t xml:space="preserve"> </w:t>
      </w:r>
      <w:r>
        <w:rPr>
          <w:rFonts w:cs="Arial" w:hint="cs"/>
          <w:rtl/>
        </w:rPr>
        <w:t>לפי ש-'</w:t>
      </w:r>
      <w:r w:rsidRPr="004177E5">
        <w:rPr>
          <w:rFonts w:cs="Arial"/>
          <w:rtl/>
        </w:rPr>
        <w:t>לא אמרו בשאינו בת יומא נותן טעם לפגם אלא באיסור הבלוע</w:t>
      </w:r>
      <w:r w:rsidRPr="004177E5">
        <w:rPr>
          <w:rFonts w:cs="Arial" w:hint="cs"/>
          <w:rtl/>
        </w:rPr>
        <w:t>,</w:t>
      </w:r>
      <w:r w:rsidRPr="004177E5">
        <w:rPr>
          <w:rFonts w:cs="Arial"/>
          <w:rtl/>
        </w:rPr>
        <w:t xml:space="preserve"> אבל מה שהוא בעין על פי הכלי הרי היא כחתיכת איסור שלא נפגם</w:t>
      </w:r>
      <w:r>
        <w:rPr>
          <w:rFonts w:cs="Arial" w:hint="cs"/>
          <w:rtl/>
        </w:rPr>
        <w:t>'</w:t>
      </w:r>
      <w:r w:rsidRPr="00AF6944">
        <w:rPr>
          <w:rFonts w:cs="Arial"/>
          <w:rtl/>
        </w:rPr>
        <w:t xml:space="preserve"> </w:t>
      </w:r>
      <w:r w:rsidRPr="00AF6944">
        <w:rPr>
          <w:rFonts w:cs="Arial" w:hint="cs"/>
          <w:sz w:val="16"/>
          <w:szCs w:val="16"/>
          <w:rtl/>
        </w:rPr>
        <w:t>(ל' ה</w:t>
      </w:r>
      <w:r>
        <w:rPr>
          <w:rFonts w:cs="Arial" w:hint="cs"/>
          <w:sz w:val="16"/>
          <w:szCs w:val="16"/>
          <w:rtl/>
        </w:rPr>
        <w:t>רשב"א</w:t>
      </w:r>
      <w:r w:rsidRPr="00AF6944">
        <w:rPr>
          <w:rFonts w:cs="Arial" w:hint="cs"/>
          <w:sz w:val="16"/>
          <w:szCs w:val="16"/>
          <w:rtl/>
        </w:rPr>
        <w:t>)</w:t>
      </w:r>
      <w:r w:rsidRPr="004177E5">
        <w:rPr>
          <w:rFonts w:cs="Arial"/>
          <w:rtl/>
        </w:rPr>
        <w:t xml:space="preserve">. </w:t>
      </w:r>
      <w:r w:rsidRPr="002F29F1">
        <w:rPr>
          <w:rFonts w:hint="cs"/>
          <w:color w:val="E36C0A" w:themeColor="accent6" w:themeShade="BF"/>
          <w:rtl/>
        </w:rPr>
        <w:t>(וכ"</w:t>
      </w:r>
      <w:r>
        <w:rPr>
          <w:rFonts w:hint="cs"/>
          <w:color w:val="E36C0A" w:themeColor="accent6" w:themeShade="BF"/>
          <w:rtl/>
        </w:rPr>
        <w:t>כ</w:t>
      </w:r>
      <w:r w:rsidRPr="002F29F1">
        <w:rPr>
          <w:rFonts w:hint="cs"/>
          <w:color w:val="E36C0A" w:themeColor="accent6" w:themeShade="BF"/>
          <w:rtl/>
        </w:rPr>
        <w:t xml:space="preserve"> בשו"ע)</w:t>
      </w:r>
    </w:p>
    <w:p w14:paraId="19A4C074" w14:textId="77777777" w:rsidR="002C39F4" w:rsidRPr="00F067AF" w:rsidRDefault="002C39F4" w:rsidP="002C39F4">
      <w:pPr>
        <w:rPr>
          <w:rFonts w:cs="Arial"/>
          <w:sz w:val="16"/>
          <w:szCs w:val="16"/>
          <w:rtl/>
        </w:rPr>
      </w:pPr>
      <w:r w:rsidRPr="00F067AF">
        <w:rPr>
          <w:rFonts w:cs="Arial" w:hint="cs"/>
          <w:u w:val="single"/>
          <w:rtl/>
        </w:rPr>
        <w:t>דבר חריף שנתבשל בקדירה שאינה בת יומא:</w:t>
      </w:r>
      <w:r>
        <w:rPr>
          <w:rFonts w:cs="Arial" w:hint="cs"/>
          <w:rtl/>
        </w:rPr>
        <w:t xml:space="preserve">  </w:t>
      </w:r>
      <w:r w:rsidRPr="00F067AF">
        <w:rPr>
          <w:rFonts w:cs="Arial" w:hint="cs"/>
          <w:sz w:val="16"/>
          <w:szCs w:val="16"/>
          <w:rtl/>
        </w:rPr>
        <w:t>(דרכ"מ [אות א])</w:t>
      </w:r>
    </w:p>
    <w:p w14:paraId="6077F47C" w14:textId="77777777" w:rsidR="002C39F4" w:rsidRDefault="002C39F4" w:rsidP="0032102C">
      <w:pPr>
        <w:pStyle w:val="a8"/>
        <w:numPr>
          <w:ilvl w:val="0"/>
          <w:numId w:val="329"/>
        </w:numPr>
        <w:rPr>
          <w:rFonts w:cs="Arial"/>
        </w:rPr>
      </w:pPr>
      <w:r w:rsidRPr="00C2478B">
        <w:rPr>
          <w:rFonts w:cs="Arial"/>
          <w:rtl/>
        </w:rPr>
        <w:t xml:space="preserve">רשב"א </w:t>
      </w:r>
      <w:r w:rsidRPr="00F067AF">
        <w:rPr>
          <w:rFonts w:cs="Arial"/>
          <w:sz w:val="16"/>
          <w:szCs w:val="16"/>
          <w:rtl/>
        </w:rPr>
        <w:t>(ח"א סי</w:t>
      </w:r>
      <w:r w:rsidRPr="00F067AF">
        <w:rPr>
          <w:rFonts w:cs="Arial" w:hint="cs"/>
          <w:sz w:val="16"/>
          <w:szCs w:val="16"/>
          <w:rtl/>
        </w:rPr>
        <w:t>'</w:t>
      </w:r>
      <w:r w:rsidRPr="00F067AF">
        <w:rPr>
          <w:rFonts w:cs="Arial"/>
          <w:sz w:val="16"/>
          <w:szCs w:val="16"/>
          <w:rtl/>
        </w:rPr>
        <w:t xml:space="preserve"> תצז</w:t>
      </w:r>
      <w:r w:rsidRPr="00F067AF">
        <w:rPr>
          <w:rFonts w:cs="Arial" w:hint="cs"/>
          <w:sz w:val="16"/>
          <w:szCs w:val="16"/>
          <w:rtl/>
        </w:rPr>
        <w:t>)</w:t>
      </w:r>
      <w:r>
        <w:rPr>
          <w:rFonts w:cs="Arial" w:hint="cs"/>
          <w:rtl/>
        </w:rPr>
        <w:t xml:space="preserve"> ואו</w:t>
      </w:r>
      <w:r>
        <w:rPr>
          <w:rFonts w:cs="Arial"/>
          <w:rtl/>
        </w:rPr>
        <w:t>"</w:t>
      </w:r>
      <w:r>
        <w:rPr>
          <w:rFonts w:cs="Arial" w:hint="cs"/>
          <w:rtl/>
        </w:rPr>
        <w:t>ה</w:t>
      </w:r>
      <w:r w:rsidRPr="00C2478B">
        <w:rPr>
          <w:rFonts w:cs="Arial"/>
          <w:rtl/>
        </w:rPr>
        <w:t xml:space="preserve"> </w:t>
      </w:r>
      <w:r w:rsidRPr="00F067AF">
        <w:rPr>
          <w:rFonts w:cs="Arial" w:hint="cs"/>
          <w:sz w:val="16"/>
          <w:szCs w:val="16"/>
          <w:rtl/>
        </w:rPr>
        <w:t>(</w:t>
      </w:r>
      <w:r w:rsidRPr="00F067AF">
        <w:rPr>
          <w:rFonts w:cs="Arial"/>
          <w:sz w:val="16"/>
          <w:szCs w:val="16"/>
          <w:rtl/>
        </w:rPr>
        <w:t>כלל לח</w:t>
      </w:r>
      <w:r w:rsidRPr="00F067AF">
        <w:rPr>
          <w:rFonts w:cs="Arial" w:hint="cs"/>
          <w:sz w:val="16"/>
          <w:szCs w:val="16"/>
          <w:rtl/>
        </w:rPr>
        <w:t>)</w:t>
      </w:r>
      <w:r>
        <w:rPr>
          <w:rFonts w:cs="Arial" w:hint="cs"/>
          <w:rtl/>
        </w:rPr>
        <w:t>-</w:t>
      </w:r>
      <w:r w:rsidRPr="00C2478B">
        <w:rPr>
          <w:rFonts w:cs="Arial"/>
          <w:rtl/>
        </w:rPr>
        <w:t xml:space="preserve"> אין חילוק בין דבר חריף לשאר דברים דבכל ענין נותן טעם לפגם הוא ושרי</w:t>
      </w:r>
      <w:r>
        <w:rPr>
          <w:rStyle w:val="a7"/>
          <w:rFonts w:cs="Arial"/>
          <w:rtl/>
        </w:rPr>
        <w:footnoteReference w:id="3068"/>
      </w:r>
      <w:r>
        <w:rPr>
          <w:rFonts w:cs="Arial" w:hint="cs"/>
          <w:sz w:val="16"/>
          <w:szCs w:val="16"/>
          <w:rtl/>
        </w:rPr>
        <w:t xml:space="preserve"> (ל' הדרכ"מ בשם הרשב"א)</w:t>
      </w:r>
      <w:r>
        <w:rPr>
          <w:rFonts w:cs="Arial" w:hint="cs"/>
          <w:rtl/>
        </w:rPr>
        <w:t>,</w:t>
      </w:r>
      <w:r w:rsidRPr="006C0EEC">
        <w:rPr>
          <w:rFonts w:cs="Arial"/>
          <w:rtl/>
        </w:rPr>
        <w:t xml:space="preserve"> </w:t>
      </w:r>
      <w:r>
        <w:rPr>
          <w:rFonts w:cs="Arial" w:hint="cs"/>
          <w:rtl/>
        </w:rPr>
        <w:t xml:space="preserve">לפיכך </w:t>
      </w:r>
      <w:r w:rsidRPr="00C2478B">
        <w:rPr>
          <w:rFonts w:cs="Arial"/>
          <w:rtl/>
        </w:rPr>
        <w:t>אם בישלו בקדרה של בשר דבר חריף והקדרה אינה בת יומא ואח"כ בשלו בה חלב המאכל מותר דלא אמרינן דהחריפות שבקדרה שהיא אינה בת יומא עושה שהקדרה פולטת עכשיו לשבח</w:t>
      </w:r>
      <w:r>
        <w:rPr>
          <w:rFonts w:cs="Arial" w:hint="cs"/>
          <w:rtl/>
        </w:rPr>
        <w:t>,</w:t>
      </w:r>
      <w:r w:rsidRPr="00C2478B">
        <w:rPr>
          <w:rFonts w:cs="Arial"/>
          <w:rtl/>
        </w:rPr>
        <w:t xml:space="preserve"> וכן אם הוא בצונן לא אמרינן שהקדרה פולטת משום דבר חריף שבתוכה</w:t>
      </w:r>
      <w:r>
        <w:rPr>
          <w:rFonts w:cs="Arial" w:hint="cs"/>
          <w:sz w:val="16"/>
          <w:szCs w:val="16"/>
          <w:rtl/>
        </w:rPr>
        <w:t xml:space="preserve"> (ל' או"ה)</w:t>
      </w:r>
      <w:r>
        <w:rPr>
          <w:rFonts w:cs="Arial" w:hint="cs"/>
          <w:rtl/>
        </w:rPr>
        <w:t>. (וכ"כ הש"ך</w:t>
      </w:r>
      <w:r>
        <w:rPr>
          <w:rFonts w:cs="Arial" w:hint="cs"/>
          <w:sz w:val="16"/>
          <w:szCs w:val="16"/>
          <w:rtl/>
        </w:rPr>
        <w:t xml:space="preserve"> [סק"ב]</w:t>
      </w:r>
      <w:r>
        <w:rPr>
          <w:rFonts w:cs="Arial" w:hint="cs"/>
          <w:rtl/>
        </w:rPr>
        <w:t>).</w:t>
      </w:r>
      <w:r w:rsidRPr="00C2478B">
        <w:rPr>
          <w:rFonts w:cs="Arial"/>
          <w:rtl/>
        </w:rPr>
        <w:t xml:space="preserve"> </w:t>
      </w:r>
    </w:p>
    <w:p w14:paraId="74EB2AC9" w14:textId="77777777" w:rsidR="002C39F4" w:rsidRPr="00A16FB4" w:rsidRDefault="002C39F4" w:rsidP="0032102C">
      <w:pPr>
        <w:pStyle w:val="a8"/>
        <w:numPr>
          <w:ilvl w:val="0"/>
          <w:numId w:val="329"/>
        </w:numPr>
        <w:rPr>
          <w:rFonts w:cs="Arial"/>
        </w:rPr>
      </w:pPr>
      <w:r w:rsidRPr="00C2478B">
        <w:rPr>
          <w:rFonts w:cs="Arial"/>
          <w:rtl/>
        </w:rPr>
        <w:t xml:space="preserve">מרדכי </w:t>
      </w:r>
      <w:r w:rsidRPr="00F067AF">
        <w:rPr>
          <w:rFonts w:cs="Arial"/>
          <w:sz w:val="16"/>
          <w:szCs w:val="16"/>
          <w:rtl/>
        </w:rPr>
        <w:t>(</w:t>
      </w:r>
      <w:r w:rsidRPr="00F067AF">
        <w:rPr>
          <w:rFonts w:cs="Arial" w:hint="cs"/>
          <w:sz w:val="16"/>
          <w:szCs w:val="16"/>
          <w:rtl/>
        </w:rPr>
        <w:t xml:space="preserve">ע"ז </w:t>
      </w:r>
      <w:r w:rsidRPr="00F067AF">
        <w:rPr>
          <w:rFonts w:cs="Arial"/>
          <w:sz w:val="16"/>
          <w:szCs w:val="16"/>
          <w:rtl/>
        </w:rPr>
        <w:t>סי' תתלה)</w:t>
      </w:r>
      <w:r w:rsidRPr="00C2478B">
        <w:rPr>
          <w:rFonts w:cs="Arial"/>
          <w:rtl/>
        </w:rPr>
        <w:t xml:space="preserve"> </w:t>
      </w:r>
      <w:r>
        <w:rPr>
          <w:rFonts w:cs="Arial" w:hint="cs"/>
          <w:rtl/>
        </w:rPr>
        <w:t>ו</w:t>
      </w:r>
      <w:r w:rsidRPr="00DE597B">
        <w:rPr>
          <w:rFonts w:cs="Arial"/>
          <w:rtl/>
        </w:rPr>
        <w:t xml:space="preserve">אגור </w:t>
      </w:r>
      <w:r w:rsidRPr="00DE597B">
        <w:rPr>
          <w:rFonts w:cs="Arial"/>
          <w:sz w:val="16"/>
          <w:szCs w:val="16"/>
          <w:rtl/>
        </w:rPr>
        <w:t>(סי' אלף רנט)</w:t>
      </w:r>
      <w:r>
        <w:rPr>
          <w:rFonts w:cs="Arial" w:hint="cs"/>
          <w:rtl/>
        </w:rPr>
        <w:t xml:space="preserve">- </w:t>
      </w:r>
      <w:r w:rsidRPr="00C2478B">
        <w:rPr>
          <w:rFonts w:cs="Arial"/>
          <w:rtl/>
        </w:rPr>
        <w:t>כתב ראבי"ה בשם רבי טוביה דאם בישל דבר חריף בקדרה שאינה בת יומא דאסור דאגב חורפא מחליא ליה ועושה הכלי נותן טעם לשבח דהוי כקורט של חלתית</w:t>
      </w:r>
      <w:r>
        <w:rPr>
          <w:rStyle w:val="a7"/>
          <w:rFonts w:cs="Arial"/>
          <w:rtl/>
        </w:rPr>
        <w:footnoteReference w:id="3069"/>
      </w:r>
      <w:r>
        <w:rPr>
          <w:rFonts w:cs="Arial" w:hint="cs"/>
          <w:sz w:val="16"/>
          <w:szCs w:val="16"/>
          <w:rtl/>
        </w:rPr>
        <w:t xml:space="preserve"> (ל' המרדכי)</w:t>
      </w:r>
      <w:r>
        <w:rPr>
          <w:rFonts w:cs="Arial" w:hint="cs"/>
          <w:rtl/>
        </w:rPr>
        <w:t xml:space="preserve">. </w:t>
      </w:r>
      <w:r w:rsidRPr="00A16FB4">
        <w:rPr>
          <w:rFonts w:cs="Arial" w:hint="cs"/>
          <w:color w:val="E36C0A" w:themeColor="accent6" w:themeShade="BF"/>
          <w:rtl/>
        </w:rPr>
        <w:t>(וכ"כ בשו"ע</w:t>
      </w:r>
      <w:r w:rsidRPr="00A16FB4">
        <w:rPr>
          <w:rFonts w:cs="Arial" w:hint="cs"/>
          <w:color w:val="E36C0A" w:themeColor="accent6" w:themeShade="BF"/>
          <w:sz w:val="16"/>
          <w:szCs w:val="16"/>
          <w:rtl/>
        </w:rPr>
        <w:t xml:space="preserve"> </w:t>
      </w:r>
      <w:r>
        <w:rPr>
          <w:rFonts w:cs="Arial" w:hint="cs"/>
          <w:sz w:val="16"/>
          <w:szCs w:val="16"/>
          <w:rtl/>
        </w:rPr>
        <w:t>[סי' קג ס"ו]</w:t>
      </w:r>
      <w:r w:rsidRPr="00A16FB4">
        <w:rPr>
          <w:rFonts w:cs="Arial" w:hint="cs"/>
          <w:color w:val="E36C0A" w:themeColor="accent6" w:themeShade="BF"/>
          <w:rtl/>
        </w:rPr>
        <w:t>)</w:t>
      </w:r>
      <w:r>
        <w:rPr>
          <w:rFonts w:cs="Arial" w:hint="cs"/>
          <w:rtl/>
        </w:rPr>
        <w:t xml:space="preserve"> </w:t>
      </w:r>
      <w:r w:rsidRPr="00A16FB4">
        <w:rPr>
          <w:rFonts w:hint="cs"/>
          <w:color w:val="00B0F0"/>
          <w:rtl/>
        </w:rPr>
        <w:t>(וכ"פ הרמ"א</w:t>
      </w:r>
      <w:r w:rsidRPr="00A16FB4">
        <w:rPr>
          <w:rFonts w:hint="cs"/>
          <w:color w:val="00B0F0"/>
          <w:sz w:val="16"/>
          <w:szCs w:val="16"/>
          <w:rtl/>
        </w:rPr>
        <w:t xml:space="preserve"> </w:t>
      </w:r>
      <w:r w:rsidRPr="00A16FB4">
        <w:rPr>
          <w:rFonts w:hint="cs"/>
          <w:sz w:val="16"/>
          <w:szCs w:val="16"/>
          <w:rtl/>
        </w:rPr>
        <w:t>[כאן, ובסי' צה סע' ב ועוד]</w:t>
      </w:r>
      <w:r w:rsidRPr="00A16FB4">
        <w:rPr>
          <w:rFonts w:hint="cs"/>
          <w:color w:val="00B0F0"/>
          <w:rtl/>
        </w:rPr>
        <w:t xml:space="preserve">) </w:t>
      </w:r>
      <w:r>
        <w:rPr>
          <w:rFonts w:hint="cs"/>
          <w:rtl/>
        </w:rPr>
        <w:t>(וכ"פ הש"ך</w:t>
      </w:r>
      <w:r w:rsidRPr="00A16FB4">
        <w:rPr>
          <w:rFonts w:hint="cs"/>
          <w:sz w:val="16"/>
          <w:szCs w:val="16"/>
          <w:rtl/>
        </w:rPr>
        <w:t xml:space="preserve"> [סי' צו סקי"ט ועוד]</w:t>
      </w:r>
      <w:r>
        <w:rPr>
          <w:rFonts w:hint="cs"/>
          <w:rtl/>
        </w:rPr>
        <w:t>)</w:t>
      </w:r>
    </w:p>
    <w:p w14:paraId="7CD556E1"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F72EB4E" w14:textId="77777777" w:rsidR="002C39F4" w:rsidRDefault="002C39F4" w:rsidP="002C39F4">
      <w:pPr>
        <w:rPr>
          <w:rFonts w:asciiTheme="minorBidi" w:hAnsiTheme="minorBidi"/>
          <w:rtl/>
        </w:rPr>
      </w:pPr>
      <w:r w:rsidRPr="003024E5">
        <w:rPr>
          <w:rFonts w:asciiTheme="minorBidi" w:hAnsiTheme="minorBidi"/>
          <w:rtl/>
        </w:rPr>
        <w:t>י</w:t>
      </w:r>
      <w:r>
        <w:rPr>
          <w:rFonts w:asciiTheme="minorBidi" w:hAnsiTheme="minorBidi" w:hint="cs"/>
          <w:rtl/>
        </w:rPr>
        <w:t xml:space="preserve">ש </w:t>
      </w:r>
      <w:r w:rsidRPr="003024E5">
        <w:rPr>
          <w:rFonts w:asciiTheme="minorBidi" w:hAnsiTheme="minorBidi"/>
          <w:rtl/>
        </w:rPr>
        <w:t>א</w:t>
      </w:r>
      <w:r>
        <w:rPr>
          <w:rFonts w:asciiTheme="minorBidi" w:hAnsiTheme="minorBidi" w:hint="cs"/>
          <w:rtl/>
        </w:rPr>
        <w:t>ומרים</w:t>
      </w:r>
      <w:r w:rsidRPr="003024E5">
        <w:rPr>
          <w:rFonts w:asciiTheme="minorBidi" w:hAnsiTheme="minorBidi"/>
          <w:rtl/>
        </w:rPr>
        <w:t xml:space="preserve"> </w:t>
      </w:r>
      <w:r>
        <w:rPr>
          <w:rFonts w:asciiTheme="minorBidi" w:hAnsiTheme="minorBidi" w:hint="cs"/>
          <w:rtl/>
        </w:rPr>
        <w:t>ד</w:t>
      </w:r>
      <w:r w:rsidRPr="003024E5">
        <w:rPr>
          <w:rFonts w:asciiTheme="minorBidi" w:hAnsiTheme="minorBidi"/>
          <w:rtl/>
        </w:rPr>
        <w:t>הא דחשיב</w:t>
      </w:r>
      <w:r>
        <w:rPr>
          <w:rFonts w:asciiTheme="minorBidi" w:hAnsiTheme="minorBidi" w:hint="cs"/>
          <w:rtl/>
        </w:rPr>
        <w:t>א</w:t>
      </w:r>
      <w:r w:rsidRPr="003024E5">
        <w:rPr>
          <w:rFonts w:asciiTheme="minorBidi" w:hAnsiTheme="minorBidi"/>
          <w:rtl/>
        </w:rPr>
        <w:t xml:space="preserve"> פגומה כשאינה בת יומא, דוקא ש</w:t>
      </w:r>
      <w:r>
        <w:rPr>
          <w:rFonts w:asciiTheme="minorBidi" w:hAnsiTheme="minorBidi" w:hint="cs"/>
          <w:rtl/>
        </w:rPr>
        <w:t xml:space="preserve">הקדירה </w:t>
      </w:r>
      <w:r w:rsidRPr="003024E5">
        <w:rPr>
          <w:rFonts w:asciiTheme="minorBidi" w:hAnsiTheme="minorBidi"/>
          <w:rtl/>
        </w:rPr>
        <w:t>ה</w:t>
      </w:r>
      <w:r>
        <w:rPr>
          <w:rFonts w:asciiTheme="minorBidi" w:hAnsiTheme="minorBidi" w:hint="cs"/>
          <w:rtl/>
        </w:rPr>
        <w:t>ו</w:t>
      </w:r>
      <w:r w:rsidRPr="003024E5">
        <w:rPr>
          <w:rFonts w:asciiTheme="minorBidi" w:hAnsiTheme="minorBidi"/>
          <w:rtl/>
        </w:rPr>
        <w:t xml:space="preserve">דחה יפה וסר ממנה כל שמנונית איסור הדבוק בה, אבל אם לא הדיחה יפה, שהאיסור הוא בעין, אינו נפגם בשהיה מעת לעת. </w:t>
      </w:r>
      <w:r w:rsidRPr="00275671">
        <w:rPr>
          <w:rFonts w:asciiTheme="minorBidi" w:hAnsiTheme="minorBidi"/>
          <w:sz w:val="18"/>
          <w:szCs w:val="18"/>
          <w:rtl/>
        </w:rPr>
        <w:t>הגה: ומ"מ אם יש ששים רק נגד הדבוק בקדרה, הכל שרי, דמה שבקדרה כבר נפגם וא"צ בטול (כ</w:t>
      </w:r>
      <w:r>
        <w:rPr>
          <w:rFonts w:asciiTheme="minorBidi" w:hAnsiTheme="minorBidi" w:hint="cs"/>
          <w:sz w:val="18"/>
          <w:szCs w:val="18"/>
          <w:rtl/>
        </w:rPr>
        <w:t>"</w:t>
      </w:r>
      <w:r w:rsidRPr="00275671">
        <w:rPr>
          <w:rFonts w:asciiTheme="minorBidi" w:hAnsiTheme="minorBidi"/>
          <w:sz w:val="18"/>
          <w:szCs w:val="18"/>
          <w:rtl/>
        </w:rPr>
        <w:t>מ לעיל סי</w:t>
      </w:r>
      <w:r>
        <w:rPr>
          <w:rFonts w:asciiTheme="minorBidi" w:hAnsiTheme="minorBidi" w:hint="cs"/>
          <w:sz w:val="18"/>
          <w:szCs w:val="18"/>
          <w:rtl/>
        </w:rPr>
        <w:t>'</w:t>
      </w:r>
      <w:r w:rsidRPr="00275671">
        <w:rPr>
          <w:rFonts w:asciiTheme="minorBidi" w:hAnsiTheme="minorBidi"/>
          <w:sz w:val="18"/>
          <w:szCs w:val="18"/>
          <w:rtl/>
        </w:rPr>
        <w:t xml:space="preserve"> צה</w:t>
      </w:r>
      <w:r>
        <w:rPr>
          <w:rStyle w:val="a7"/>
          <w:rFonts w:asciiTheme="minorBidi" w:hAnsiTheme="minorBidi"/>
          <w:sz w:val="18"/>
          <w:szCs w:val="18"/>
          <w:rtl/>
        </w:rPr>
        <w:footnoteReference w:id="3070"/>
      </w:r>
      <w:r w:rsidRPr="00275671">
        <w:rPr>
          <w:rFonts w:asciiTheme="minorBidi" w:hAnsiTheme="minorBidi"/>
          <w:sz w:val="18"/>
          <w:szCs w:val="18"/>
          <w:rtl/>
        </w:rPr>
        <w:t>). י"א דבדברים חריפים לא אמרינן דין נותן טעם לפגם, כמו שנתבאר לעיל סי</w:t>
      </w:r>
      <w:r>
        <w:rPr>
          <w:rFonts w:asciiTheme="minorBidi" w:hAnsiTheme="minorBidi" w:hint="cs"/>
          <w:sz w:val="18"/>
          <w:szCs w:val="18"/>
          <w:rtl/>
        </w:rPr>
        <w:t>'</w:t>
      </w:r>
      <w:r w:rsidRPr="00275671">
        <w:rPr>
          <w:rFonts w:asciiTheme="minorBidi" w:hAnsiTheme="minorBidi"/>
          <w:sz w:val="18"/>
          <w:szCs w:val="18"/>
          <w:rtl/>
        </w:rPr>
        <w:t xml:space="preserve"> צה וצו, ולכן אם בישל בקדיר</w:t>
      </w:r>
      <w:r>
        <w:rPr>
          <w:rFonts w:asciiTheme="minorBidi" w:hAnsiTheme="minorBidi" w:hint="cs"/>
          <w:sz w:val="18"/>
          <w:szCs w:val="18"/>
          <w:rtl/>
        </w:rPr>
        <w:t>ת</w:t>
      </w:r>
      <w:r w:rsidRPr="00275671">
        <w:rPr>
          <w:rFonts w:asciiTheme="minorBidi" w:hAnsiTheme="minorBidi"/>
          <w:sz w:val="18"/>
          <w:szCs w:val="18"/>
          <w:rtl/>
        </w:rPr>
        <w:t xml:space="preserve"> איסור שאינה בת יומא מאכל חריף</w:t>
      </w:r>
      <w:r>
        <w:rPr>
          <w:rFonts w:asciiTheme="minorBidi" w:hAnsiTheme="minorBidi" w:hint="cs"/>
          <w:sz w:val="18"/>
          <w:szCs w:val="18"/>
          <w:rtl/>
        </w:rPr>
        <w:t>,</w:t>
      </w:r>
      <w:r w:rsidRPr="00275671">
        <w:rPr>
          <w:rFonts w:asciiTheme="minorBidi" w:hAnsiTheme="minorBidi"/>
          <w:sz w:val="18"/>
          <w:szCs w:val="18"/>
          <w:rtl/>
        </w:rPr>
        <w:t xml:space="preserve"> כגון תבשיל שרובו חומץ או תבלין או שאר דברים חריפים, אסור</w:t>
      </w:r>
      <w:r>
        <w:rPr>
          <w:rFonts w:asciiTheme="minorBidi" w:hAnsiTheme="minorBidi" w:hint="cs"/>
          <w:sz w:val="18"/>
          <w:szCs w:val="18"/>
          <w:rtl/>
        </w:rPr>
        <w:t>,</w:t>
      </w:r>
      <w:r w:rsidRPr="00275671">
        <w:rPr>
          <w:rFonts w:asciiTheme="minorBidi" w:hAnsiTheme="minorBidi"/>
          <w:sz w:val="18"/>
          <w:szCs w:val="18"/>
          <w:rtl/>
        </w:rPr>
        <w:t xml:space="preserve"> אבל לא מיחשב התבשיל חריף משום מעט תבלין שבו (מרדכי פא"מ ורשב"א סי' תמט) וכן נוהגין. ועיין לעיל סי</w:t>
      </w:r>
      <w:r>
        <w:rPr>
          <w:rFonts w:asciiTheme="minorBidi" w:hAnsiTheme="minorBidi" w:hint="cs"/>
          <w:sz w:val="18"/>
          <w:szCs w:val="18"/>
          <w:rtl/>
        </w:rPr>
        <w:t>'</w:t>
      </w:r>
      <w:r w:rsidRPr="00275671">
        <w:rPr>
          <w:rFonts w:asciiTheme="minorBidi" w:hAnsiTheme="minorBidi"/>
          <w:sz w:val="18"/>
          <w:szCs w:val="18"/>
          <w:rtl/>
        </w:rPr>
        <w:t xml:space="preserve"> צה וצו. אבל אם היה האיסור דבר חריף, ואח"כ שהה הקדירה מעת לעת ובשלו בו היתר שאינו חריף, מותר, דאין החריפות הראשון משוי ליה לשבח</w:t>
      </w:r>
      <w:r>
        <w:rPr>
          <w:rStyle w:val="a7"/>
          <w:rFonts w:asciiTheme="minorBidi" w:hAnsiTheme="minorBidi"/>
          <w:sz w:val="18"/>
          <w:szCs w:val="18"/>
          <w:rtl/>
        </w:rPr>
        <w:footnoteReference w:id="3071"/>
      </w:r>
      <w:r w:rsidRPr="00275671">
        <w:rPr>
          <w:rFonts w:asciiTheme="minorBidi" w:hAnsiTheme="minorBidi"/>
          <w:sz w:val="18"/>
          <w:szCs w:val="18"/>
          <w:rtl/>
        </w:rPr>
        <w:t xml:space="preserve"> (ארוך כלל לח).</w:t>
      </w:r>
    </w:p>
    <w:p w14:paraId="16B9C2AA" w14:textId="77777777" w:rsidR="002C39F4" w:rsidRDefault="002C39F4" w:rsidP="002C39F4">
      <w:pPr>
        <w:rPr>
          <w:rFonts w:asciiTheme="minorBidi" w:hAnsiTheme="minorBidi" w:cs="Arial"/>
          <w:rtl/>
        </w:rPr>
      </w:pPr>
      <w:r w:rsidRPr="00242DAB">
        <w:rPr>
          <w:rFonts w:asciiTheme="minorBidi" w:hAnsiTheme="minorBidi" w:cs="Arial" w:hint="cs"/>
          <w:u w:val="single"/>
          <w:rtl/>
        </w:rPr>
        <w:t>קדרה שבישלו בה איסור</w:t>
      </w:r>
      <w:r>
        <w:rPr>
          <w:rFonts w:asciiTheme="minorBidi" w:hAnsiTheme="minorBidi" w:cs="Arial" w:hint="cs"/>
          <w:sz w:val="16"/>
          <w:szCs w:val="16"/>
          <w:u w:val="single"/>
          <w:rtl/>
        </w:rPr>
        <w:t xml:space="preserve"> (או חמץ </w:t>
      </w:r>
      <w:r>
        <w:rPr>
          <w:rFonts w:asciiTheme="minorBidi" w:hAnsiTheme="minorBidi" w:cs="Arial"/>
          <w:sz w:val="16"/>
          <w:szCs w:val="16"/>
          <w:u w:val="single"/>
          <w:rtl/>
        </w:rPr>
        <w:t>–</w:t>
      </w:r>
      <w:r>
        <w:rPr>
          <w:rFonts w:asciiTheme="minorBidi" w:hAnsiTheme="minorBidi" w:cs="Arial" w:hint="cs"/>
          <w:sz w:val="16"/>
          <w:szCs w:val="16"/>
          <w:u w:val="single"/>
          <w:rtl/>
        </w:rPr>
        <w:t xml:space="preserve"> לעניין פסח)</w:t>
      </w:r>
      <w:r w:rsidRPr="00242DAB">
        <w:rPr>
          <w:rFonts w:asciiTheme="minorBidi" w:hAnsiTheme="minorBidi" w:cs="Arial" w:hint="cs"/>
          <w:u w:val="single"/>
          <w:rtl/>
        </w:rPr>
        <w:t xml:space="preserve"> </w:t>
      </w:r>
      <w:r>
        <w:rPr>
          <w:rFonts w:asciiTheme="minorBidi" w:hAnsiTheme="minorBidi" w:cs="Arial" w:hint="cs"/>
          <w:u w:val="single"/>
          <w:rtl/>
        </w:rPr>
        <w:t>ו</w:t>
      </w:r>
      <w:r w:rsidRPr="00242DAB">
        <w:rPr>
          <w:rFonts w:asciiTheme="minorBidi" w:hAnsiTheme="minorBidi" w:cs="Arial" w:hint="cs"/>
          <w:u w:val="single"/>
          <w:rtl/>
        </w:rPr>
        <w:t>עבר</w:t>
      </w:r>
      <w:r>
        <w:rPr>
          <w:rFonts w:asciiTheme="minorBidi" w:hAnsiTheme="minorBidi" w:cs="Arial" w:hint="cs"/>
          <w:u w:val="single"/>
          <w:rtl/>
        </w:rPr>
        <w:t>ו</w:t>
      </w:r>
      <w:r w:rsidRPr="00242DAB">
        <w:rPr>
          <w:rFonts w:asciiTheme="minorBidi" w:hAnsiTheme="minorBidi" w:cs="Arial" w:hint="cs"/>
          <w:u w:val="single"/>
          <w:rtl/>
        </w:rPr>
        <w:t xml:space="preserve"> עליה שנים עשר חודשים:</w:t>
      </w:r>
      <w:r>
        <w:rPr>
          <w:rFonts w:asciiTheme="minorBidi" w:hAnsiTheme="minorBidi" w:cs="Arial" w:hint="cs"/>
          <w:rtl/>
        </w:rPr>
        <w:t xml:space="preserve"> </w:t>
      </w:r>
      <w:r>
        <w:rPr>
          <w:rFonts w:asciiTheme="minorBidi" w:hAnsiTheme="minorBidi" w:cs="Arial" w:hint="cs"/>
          <w:sz w:val="16"/>
          <w:szCs w:val="16"/>
          <w:rtl/>
        </w:rPr>
        <w:t xml:space="preserve"> </w:t>
      </w:r>
      <w:r w:rsidRPr="00242DAB">
        <w:rPr>
          <w:rFonts w:asciiTheme="minorBidi" w:hAnsiTheme="minorBidi" w:cs="Arial"/>
          <w:sz w:val="16"/>
          <w:szCs w:val="16"/>
          <w:rtl/>
        </w:rPr>
        <w:t>(</w:t>
      </w:r>
      <w:r w:rsidRPr="00242DAB">
        <w:rPr>
          <w:rFonts w:asciiTheme="minorBidi" w:hAnsiTheme="minorBidi" w:cs="Arial" w:hint="cs"/>
          <w:sz w:val="16"/>
          <w:szCs w:val="16"/>
          <w:rtl/>
        </w:rPr>
        <w:t>פת"ש סק"</w:t>
      </w:r>
      <w:r w:rsidRPr="00242DAB">
        <w:rPr>
          <w:rFonts w:asciiTheme="minorBidi" w:hAnsiTheme="minorBidi" w:cs="Arial"/>
          <w:sz w:val="16"/>
          <w:szCs w:val="16"/>
          <w:rtl/>
        </w:rPr>
        <w:t xml:space="preserve">ג) </w:t>
      </w:r>
    </w:p>
    <w:p w14:paraId="6F6DB77E" w14:textId="77777777" w:rsidR="002C39F4" w:rsidRPr="00242DAB" w:rsidRDefault="002C39F4" w:rsidP="0032102C">
      <w:pPr>
        <w:pStyle w:val="a8"/>
        <w:numPr>
          <w:ilvl w:val="0"/>
          <w:numId w:val="338"/>
        </w:numPr>
        <w:rPr>
          <w:rFonts w:asciiTheme="minorBidi" w:hAnsiTheme="minorBidi"/>
        </w:rPr>
      </w:pPr>
      <w:r>
        <w:rPr>
          <w:rFonts w:asciiTheme="minorBidi" w:hAnsiTheme="minorBidi" w:cs="Arial" w:hint="cs"/>
          <w:rtl/>
        </w:rPr>
        <w:t xml:space="preserve">חכ"צ </w:t>
      </w:r>
      <w:r w:rsidRPr="00E04122">
        <w:rPr>
          <w:rFonts w:asciiTheme="minorBidi" w:hAnsiTheme="minorBidi" w:cs="Arial" w:hint="cs"/>
          <w:sz w:val="16"/>
          <w:szCs w:val="16"/>
          <w:rtl/>
        </w:rPr>
        <w:t>(</w:t>
      </w:r>
      <w:r w:rsidRPr="00E04122">
        <w:rPr>
          <w:rFonts w:asciiTheme="minorBidi" w:hAnsiTheme="minorBidi" w:cs="Arial"/>
          <w:sz w:val="16"/>
          <w:szCs w:val="16"/>
          <w:rtl/>
        </w:rPr>
        <w:t>סי' עה)</w:t>
      </w:r>
      <w:r>
        <w:rPr>
          <w:rFonts w:asciiTheme="minorBidi" w:hAnsiTheme="minorBidi" w:cs="Arial" w:hint="cs"/>
          <w:rtl/>
        </w:rPr>
        <w:t>-</w:t>
      </w:r>
      <w:r w:rsidRPr="00242DAB">
        <w:rPr>
          <w:rFonts w:asciiTheme="minorBidi" w:hAnsiTheme="minorBidi" w:cs="Arial"/>
          <w:rtl/>
        </w:rPr>
        <w:t xml:space="preserve"> אם בישלו בפסח דבר חריף בקדרת חמץ שעברה י</w:t>
      </w:r>
      <w:r>
        <w:rPr>
          <w:rFonts w:asciiTheme="minorBidi" w:hAnsiTheme="minorBidi" w:cs="Arial" w:hint="cs"/>
          <w:rtl/>
        </w:rPr>
        <w:t>"</w:t>
      </w:r>
      <w:r w:rsidRPr="00242DAB">
        <w:rPr>
          <w:rFonts w:asciiTheme="minorBidi" w:hAnsiTheme="minorBidi" w:cs="Arial"/>
          <w:rtl/>
        </w:rPr>
        <w:t>ב</w:t>
      </w:r>
      <w:r>
        <w:rPr>
          <w:rFonts w:asciiTheme="minorBidi" w:hAnsiTheme="minorBidi" w:cs="Arial" w:hint="cs"/>
          <w:rtl/>
        </w:rPr>
        <w:t xml:space="preserve"> </w:t>
      </w:r>
      <w:r w:rsidRPr="00242DAB">
        <w:rPr>
          <w:rFonts w:asciiTheme="minorBidi" w:hAnsiTheme="minorBidi" w:cs="Arial"/>
          <w:rtl/>
        </w:rPr>
        <w:t>ח</w:t>
      </w:r>
      <w:r>
        <w:rPr>
          <w:rFonts w:asciiTheme="minorBidi" w:hAnsiTheme="minorBidi" w:cs="Arial" w:hint="cs"/>
          <w:rtl/>
        </w:rPr>
        <w:t>ודשים שרי,</w:t>
      </w:r>
      <w:r w:rsidRPr="00242DAB">
        <w:rPr>
          <w:rFonts w:asciiTheme="minorBidi" w:hAnsiTheme="minorBidi" w:cs="Arial"/>
          <w:rtl/>
        </w:rPr>
        <w:t xml:space="preserve"> דאף דאסרינן בפסח נט</w:t>
      </w:r>
      <w:r>
        <w:rPr>
          <w:rFonts w:asciiTheme="minorBidi" w:hAnsiTheme="minorBidi" w:cs="Arial" w:hint="cs"/>
          <w:rtl/>
        </w:rPr>
        <w:t>ל"פ</w:t>
      </w:r>
      <w:r w:rsidRPr="00242DAB">
        <w:rPr>
          <w:rFonts w:asciiTheme="minorBidi" w:hAnsiTheme="minorBidi" w:cs="Arial"/>
          <w:rtl/>
        </w:rPr>
        <w:t xml:space="preserve"> וכן בדבר חריף לא מהני נותן טעם לפגם מ"מ אחר י"ב חודש ליכא טעם כלל</w:t>
      </w:r>
      <w:r>
        <w:rPr>
          <w:rFonts w:asciiTheme="minorBidi" w:hAnsiTheme="minorBidi" w:cs="Arial" w:hint="cs"/>
          <w:rtl/>
        </w:rPr>
        <w:t>,</w:t>
      </w:r>
      <w:r w:rsidRPr="00242DAB">
        <w:rPr>
          <w:rFonts w:asciiTheme="minorBidi" w:hAnsiTheme="minorBidi" w:cs="Arial"/>
          <w:rtl/>
        </w:rPr>
        <w:t xml:space="preserve"> וכמו שאמרו בקנקנים של יין נסך דאחר י"ב חודש שרי</w:t>
      </w:r>
      <w:r w:rsidRPr="00242DAB">
        <w:rPr>
          <w:rFonts w:asciiTheme="minorBidi" w:hAnsiTheme="minorBidi" w:cs="Arial"/>
          <w:sz w:val="16"/>
          <w:szCs w:val="16"/>
          <w:rtl/>
        </w:rPr>
        <w:t xml:space="preserve"> (כדלקמן ס"ס קלה)</w:t>
      </w:r>
      <w:r>
        <w:rPr>
          <w:rFonts w:asciiTheme="minorBidi" w:hAnsiTheme="minorBidi" w:cs="Arial" w:hint="cs"/>
          <w:rtl/>
        </w:rPr>
        <w:t>,</w:t>
      </w:r>
      <w:r w:rsidRPr="00242DAB">
        <w:rPr>
          <w:rFonts w:asciiTheme="minorBidi" w:hAnsiTheme="minorBidi" w:cs="Arial"/>
          <w:rtl/>
        </w:rPr>
        <w:t xml:space="preserve"> ואף דבשאר איסורים לא מצינו מי שמקיל לבשל לכתחלה בכלים שעברו עליהם יב"ח יש לחלק</w:t>
      </w:r>
      <w:r>
        <w:rPr>
          <w:rFonts w:asciiTheme="minorBidi" w:hAnsiTheme="minorBidi" w:cs="Arial" w:hint="cs"/>
          <w:rtl/>
        </w:rPr>
        <w:t>,</w:t>
      </w:r>
      <w:r w:rsidRPr="00242DAB">
        <w:rPr>
          <w:rFonts w:asciiTheme="minorBidi" w:hAnsiTheme="minorBidi" w:cs="Arial"/>
          <w:rtl/>
        </w:rPr>
        <w:t xml:space="preserve"> דביין נסך דתוך יב"ח אפילו דיעבד אסור</w:t>
      </w:r>
      <w:r>
        <w:rPr>
          <w:rFonts w:asciiTheme="minorBidi" w:hAnsiTheme="minorBidi" w:cs="Arial" w:hint="cs"/>
          <w:rtl/>
        </w:rPr>
        <w:t xml:space="preserve">- </w:t>
      </w:r>
      <w:r w:rsidRPr="00242DAB">
        <w:rPr>
          <w:rFonts w:asciiTheme="minorBidi" w:hAnsiTheme="minorBidi" w:cs="Arial"/>
          <w:rtl/>
        </w:rPr>
        <w:t>מוכחא מלתא טובא מש"ה מותר לכתח</w:t>
      </w:r>
      <w:r>
        <w:rPr>
          <w:rFonts w:asciiTheme="minorBidi" w:hAnsiTheme="minorBidi" w:cs="Arial" w:hint="cs"/>
          <w:rtl/>
        </w:rPr>
        <w:t>'</w:t>
      </w:r>
      <w:r w:rsidRPr="00242DAB">
        <w:rPr>
          <w:rFonts w:asciiTheme="minorBidi" w:hAnsiTheme="minorBidi" w:cs="Arial"/>
          <w:rtl/>
        </w:rPr>
        <w:t xml:space="preserve"> אחר יב"ח</w:t>
      </w:r>
      <w:r>
        <w:rPr>
          <w:rFonts w:asciiTheme="minorBidi" w:hAnsiTheme="minorBidi" w:cs="Arial" w:hint="cs"/>
          <w:rtl/>
        </w:rPr>
        <w:t>,</w:t>
      </w:r>
      <w:r w:rsidRPr="00242DAB">
        <w:rPr>
          <w:rFonts w:asciiTheme="minorBidi" w:hAnsiTheme="minorBidi" w:cs="Arial"/>
          <w:rtl/>
        </w:rPr>
        <w:t xml:space="preserve"> אבל בשאר איסורים דכל שאב"י מותר בדיעב</w:t>
      </w:r>
      <w:r>
        <w:rPr>
          <w:rFonts w:asciiTheme="minorBidi" w:hAnsiTheme="minorBidi" w:cs="Arial" w:hint="cs"/>
          <w:rtl/>
        </w:rPr>
        <w:t>ד-</w:t>
      </w:r>
      <w:r w:rsidRPr="00242DAB">
        <w:rPr>
          <w:rFonts w:asciiTheme="minorBidi" w:hAnsiTheme="minorBidi" w:cs="Arial"/>
          <w:rtl/>
        </w:rPr>
        <w:t xml:space="preserve"> נקל לטעות אם נתיר אחר יב"ח לכתח</w:t>
      </w:r>
      <w:r>
        <w:rPr>
          <w:rFonts w:asciiTheme="minorBidi" w:hAnsiTheme="minorBidi" w:cs="Arial" w:hint="cs"/>
          <w:rtl/>
        </w:rPr>
        <w:t>'</w:t>
      </w:r>
      <w:r w:rsidRPr="00242DAB">
        <w:rPr>
          <w:rFonts w:asciiTheme="minorBidi" w:hAnsiTheme="minorBidi" w:cs="Arial"/>
          <w:rtl/>
        </w:rPr>
        <w:t xml:space="preserve"> דיתירו גם תוך יב"ח לכתח</w:t>
      </w:r>
      <w:r>
        <w:rPr>
          <w:rFonts w:asciiTheme="minorBidi" w:hAnsiTheme="minorBidi" w:cs="Arial" w:hint="cs"/>
          <w:rtl/>
        </w:rPr>
        <w:t>'</w:t>
      </w:r>
      <w:r>
        <w:rPr>
          <w:rStyle w:val="a7"/>
          <w:rFonts w:asciiTheme="minorBidi" w:hAnsiTheme="minorBidi" w:cs="Arial"/>
          <w:rtl/>
        </w:rPr>
        <w:footnoteReference w:id="3072"/>
      </w:r>
      <w:r>
        <w:rPr>
          <w:rFonts w:asciiTheme="minorBidi" w:hAnsiTheme="minorBidi" w:cs="Arial" w:hint="cs"/>
          <w:rtl/>
        </w:rPr>
        <w:t>,</w:t>
      </w:r>
      <w:r w:rsidRPr="00242DAB">
        <w:rPr>
          <w:rFonts w:asciiTheme="minorBidi" w:hAnsiTheme="minorBidi" w:cs="Arial"/>
          <w:rtl/>
        </w:rPr>
        <w:t xml:space="preserve"> </w:t>
      </w:r>
      <w:r>
        <w:rPr>
          <w:rFonts w:asciiTheme="minorBidi" w:hAnsiTheme="minorBidi" w:cs="Arial" w:hint="cs"/>
          <w:rtl/>
        </w:rPr>
        <w:t>ו</w:t>
      </w:r>
      <w:r w:rsidRPr="00242DAB">
        <w:rPr>
          <w:rFonts w:asciiTheme="minorBidi" w:hAnsiTheme="minorBidi" w:cs="Arial"/>
          <w:rtl/>
        </w:rPr>
        <w:t>לפ"ז בכלי חמץ לפי מה דפסקינן דבחמץ נטל"פ אסור ותוך יב"ח אפילו דיעבד אסור ממילא יצא קולא דלאחר יב"ח לכתח</w:t>
      </w:r>
      <w:r>
        <w:rPr>
          <w:rFonts w:asciiTheme="minorBidi" w:hAnsiTheme="minorBidi" w:cs="Arial" w:hint="cs"/>
          <w:rtl/>
        </w:rPr>
        <w:t>'</w:t>
      </w:r>
      <w:r w:rsidRPr="00242DAB">
        <w:rPr>
          <w:rFonts w:asciiTheme="minorBidi" w:hAnsiTheme="minorBidi" w:cs="Arial"/>
          <w:rtl/>
        </w:rPr>
        <w:t xml:space="preserve"> שרי כמו ביין נסך ומ"מ לא מלא</w:t>
      </w:r>
      <w:r>
        <w:rPr>
          <w:rFonts w:asciiTheme="minorBidi" w:hAnsiTheme="minorBidi" w:cs="Arial" w:hint="cs"/>
          <w:rtl/>
        </w:rPr>
        <w:t>ני</w:t>
      </w:r>
      <w:r w:rsidRPr="00242DAB">
        <w:rPr>
          <w:rFonts w:asciiTheme="minorBidi" w:hAnsiTheme="minorBidi" w:cs="Arial"/>
          <w:rtl/>
        </w:rPr>
        <w:t xml:space="preserve"> ל</w:t>
      </w:r>
      <w:r>
        <w:rPr>
          <w:rFonts w:asciiTheme="minorBidi" w:hAnsiTheme="minorBidi" w:cs="Arial" w:hint="cs"/>
          <w:rtl/>
        </w:rPr>
        <w:t>י</w:t>
      </w:r>
      <w:r w:rsidRPr="00242DAB">
        <w:rPr>
          <w:rFonts w:asciiTheme="minorBidi" w:hAnsiTheme="minorBidi" w:cs="Arial"/>
          <w:rtl/>
        </w:rPr>
        <w:t>ב</w:t>
      </w:r>
      <w:r>
        <w:rPr>
          <w:rFonts w:asciiTheme="minorBidi" w:hAnsiTheme="minorBidi" w:cs="Arial" w:hint="cs"/>
          <w:rtl/>
        </w:rPr>
        <w:t>י</w:t>
      </w:r>
      <w:r w:rsidRPr="00242DAB">
        <w:rPr>
          <w:rFonts w:asciiTheme="minorBidi" w:hAnsiTheme="minorBidi" w:cs="Arial"/>
          <w:rtl/>
        </w:rPr>
        <w:t xml:space="preserve"> להתיר לבשל לכתח</w:t>
      </w:r>
      <w:r>
        <w:rPr>
          <w:rFonts w:asciiTheme="minorBidi" w:hAnsiTheme="minorBidi" w:cs="Arial" w:hint="cs"/>
          <w:rtl/>
        </w:rPr>
        <w:t>'</w:t>
      </w:r>
      <w:r>
        <w:rPr>
          <w:rStyle w:val="a7"/>
          <w:rFonts w:asciiTheme="minorBidi" w:hAnsiTheme="minorBidi" w:cs="Arial"/>
          <w:rtl/>
        </w:rPr>
        <w:footnoteReference w:id="3073"/>
      </w:r>
      <w:r>
        <w:rPr>
          <w:rFonts w:asciiTheme="minorBidi" w:hAnsiTheme="minorBidi" w:cs="Arial" w:hint="cs"/>
          <w:rtl/>
        </w:rPr>
        <w:t>.</w:t>
      </w:r>
      <w:r w:rsidRPr="00242DAB">
        <w:rPr>
          <w:rFonts w:asciiTheme="minorBidi" w:hAnsiTheme="minorBidi" w:cs="Arial"/>
          <w:rtl/>
        </w:rPr>
        <w:t xml:space="preserve"> </w:t>
      </w:r>
    </w:p>
    <w:p w14:paraId="5F253E67" w14:textId="77777777" w:rsidR="002C39F4" w:rsidRPr="00242DAB" w:rsidRDefault="002C39F4" w:rsidP="002C39F4">
      <w:pPr>
        <w:rPr>
          <w:rFonts w:asciiTheme="minorBidi" w:hAnsiTheme="minorBidi"/>
          <w:rtl/>
        </w:rPr>
      </w:pPr>
    </w:p>
    <w:p w14:paraId="32D7E955" w14:textId="77777777" w:rsidR="002C39F4" w:rsidRPr="00F41A92" w:rsidRDefault="002C39F4" w:rsidP="002C39F4">
      <w:pPr>
        <w:pStyle w:val="2"/>
        <w:rPr>
          <w:rFonts w:asciiTheme="minorBidi" w:hAnsiTheme="minorBidi"/>
          <w:rtl/>
        </w:rPr>
      </w:pPr>
      <w:r w:rsidRPr="003024E5">
        <w:rPr>
          <w:rFonts w:asciiTheme="minorBidi" w:hAnsiTheme="minorBidi"/>
          <w:rtl/>
        </w:rPr>
        <w:t>סעיף ד</w:t>
      </w:r>
      <w:r>
        <w:rPr>
          <w:rFonts w:asciiTheme="minorBidi" w:hAnsiTheme="minorBidi" w:hint="cs"/>
          <w:rtl/>
        </w:rPr>
        <w:t>: קדרת איסור שחממו בה מים תוך מעת לעת</w:t>
      </w:r>
    </w:p>
    <w:p w14:paraId="201F3BA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93FF3A5" w14:textId="77777777" w:rsidR="002C39F4" w:rsidRDefault="002C39F4" w:rsidP="002C39F4">
      <w:pPr>
        <w:rPr>
          <w:rFonts w:asciiTheme="minorBidi" w:hAnsiTheme="minorBidi"/>
          <w:rtl/>
        </w:rPr>
      </w:pPr>
      <w:r w:rsidRPr="003024E5">
        <w:rPr>
          <w:rFonts w:asciiTheme="minorBidi" w:hAnsiTheme="minorBidi"/>
          <w:rtl/>
        </w:rPr>
        <w:t>קדרה הבלועה מבשר וחלב, אם קודם שעבר לילה אחת חממו בה מים, חשיב כאלו חזר ונתבשל בה האיסור</w:t>
      </w:r>
      <w:r>
        <w:rPr>
          <w:rStyle w:val="a7"/>
          <w:rFonts w:asciiTheme="minorBidi" w:hAnsiTheme="minorBidi"/>
          <w:rtl/>
        </w:rPr>
        <w:footnoteReference w:id="3074"/>
      </w:r>
      <w:r w:rsidRPr="003024E5">
        <w:rPr>
          <w:rFonts w:asciiTheme="minorBidi" w:hAnsiTheme="minorBidi"/>
          <w:rtl/>
        </w:rPr>
        <w:t xml:space="preserve">, ומונים מעת לעת משעה שהוחמו המים, מה שאין כן בשאר איסורים. </w:t>
      </w:r>
      <w:r w:rsidRPr="001841BC">
        <w:rPr>
          <w:rFonts w:asciiTheme="minorBidi" w:hAnsiTheme="minorBidi" w:hint="cs"/>
          <w:sz w:val="18"/>
          <w:szCs w:val="18"/>
          <w:rtl/>
        </w:rPr>
        <w:t>[הגה] ועיין לעיל סימן קג.</w:t>
      </w:r>
    </w:p>
    <w:p w14:paraId="5572DE73" w14:textId="77777777" w:rsidR="002C39F4" w:rsidRPr="003024E5" w:rsidRDefault="002C39F4" w:rsidP="002C39F4">
      <w:pPr>
        <w:rPr>
          <w:rFonts w:asciiTheme="minorBidi" w:hAnsiTheme="minorBidi"/>
          <w:rtl/>
        </w:rPr>
      </w:pPr>
    </w:p>
    <w:p w14:paraId="32CCD5FE" w14:textId="77777777" w:rsidR="002C39F4" w:rsidRDefault="002C39F4" w:rsidP="002C39F4">
      <w:pPr>
        <w:pStyle w:val="2"/>
        <w:rPr>
          <w:rFonts w:asciiTheme="minorBidi" w:hAnsiTheme="minorBidi"/>
          <w:rtl/>
        </w:rPr>
      </w:pPr>
      <w:r w:rsidRPr="003024E5">
        <w:rPr>
          <w:rFonts w:asciiTheme="minorBidi" w:hAnsiTheme="minorBidi"/>
          <w:rtl/>
        </w:rPr>
        <w:t>סעיף ה</w:t>
      </w:r>
      <w:r>
        <w:rPr>
          <w:rFonts w:asciiTheme="minorBidi" w:hAnsiTheme="minorBidi" w:hint="cs"/>
          <w:rtl/>
        </w:rPr>
        <w:t>: בישול לכתחילה בקדרת איסור בת יומא.</w:t>
      </w:r>
    </w:p>
    <w:p w14:paraId="773A408B" w14:textId="77777777" w:rsidR="002C39F4" w:rsidRDefault="002C39F4" w:rsidP="002C39F4">
      <w:pPr>
        <w:rPr>
          <w:rFonts w:cs="Arial"/>
          <w:sz w:val="16"/>
          <w:szCs w:val="16"/>
          <w:rtl/>
        </w:rPr>
      </w:pPr>
      <w:r>
        <w:rPr>
          <w:rFonts w:cs="Arial" w:hint="cs"/>
          <w:b/>
          <w:bCs/>
          <w:rtl/>
        </w:rPr>
        <w:t xml:space="preserve">עבודה זרה לג ע"א: </w:t>
      </w:r>
      <w:r w:rsidRPr="008F7F8C">
        <w:rPr>
          <w:rFonts w:cs="Arial"/>
          <w:rtl/>
        </w:rPr>
        <w:t>ת"ר: קנקנים של עובדי כוכבים, חדשים גרודים - מותרין, ישנים ומזופפין - אסורין; עובד כוכבים נותן לתוכן יין - ישראל נותן לתוכן מים, עובד כוכבים נותן לתוכן יין - ישראל נותן לתוכן ציר ומורייס, ואינו חושש.</w:t>
      </w:r>
      <w:r>
        <w:rPr>
          <w:rFonts w:cs="Arial" w:hint="cs"/>
          <w:rtl/>
        </w:rPr>
        <w:t xml:space="preserve">.. </w:t>
      </w:r>
      <w:r>
        <w:rPr>
          <w:rFonts w:hint="cs"/>
          <w:sz w:val="14"/>
          <w:szCs w:val="14"/>
          <w:rtl/>
        </w:rPr>
        <w:t xml:space="preserve">(לג:) </w:t>
      </w:r>
      <w:r w:rsidRPr="008F7F8C">
        <w:rPr>
          <w:rFonts w:cs="Arial"/>
          <w:rtl/>
        </w:rPr>
        <w:t>איבעיא להו: מהו ליתן לתוכו שכר? רב נחמן ורב יהודה אסרי, ורבא שרי. רבינא שרא ליה לרב חייא בריה דרב יצחק למירמא ביה שכרא, אזל רמא ביה חמרא</w:t>
      </w:r>
      <w:r>
        <w:rPr>
          <w:rStyle w:val="a7"/>
          <w:rFonts w:cs="Arial"/>
          <w:rtl/>
        </w:rPr>
        <w:footnoteReference w:id="3075"/>
      </w:r>
      <w:r w:rsidRPr="008F7F8C">
        <w:rPr>
          <w:rFonts w:cs="Arial"/>
          <w:rtl/>
        </w:rPr>
        <w:t>, ואפילו הכי לא חש לה למילתא, אמר: אקראי בעלמא הוא.</w:t>
      </w:r>
      <w:r>
        <w:rPr>
          <w:rFonts w:hint="cs"/>
          <w:rtl/>
        </w:rPr>
        <w:t xml:space="preserve"> </w:t>
      </w:r>
      <w:r>
        <w:rPr>
          <w:rFonts w:cs="Arial" w:hint="cs"/>
          <w:sz w:val="16"/>
          <w:szCs w:val="16"/>
          <w:rtl/>
        </w:rPr>
        <w:t xml:space="preserve">(ואסיקנא דשרי למירמי אפי' שיכרא, </w:t>
      </w:r>
      <w:r w:rsidRPr="008F7F8C">
        <w:rPr>
          <w:rFonts w:cs="Arial"/>
          <w:sz w:val="16"/>
          <w:szCs w:val="16"/>
          <w:rtl/>
        </w:rPr>
        <w:t xml:space="preserve">וטעמא דהא מילתא </w:t>
      </w:r>
      <w:r>
        <w:rPr>
          <w:rFonts w:cs="Arial" w:hint="cs"/>
          <w:sz w:val="16"/>
          <w:szCs w:val="16"/>
          <w:rtl/>
        </w:rPr>
        <w:t xml:space="preserve">- </w:t>
      </w:r>
      <w:r w:rsidRPr="008F7F8C">
        <w:rPr>
          <w:rFonts w:cs="Arial"/>
          <w:sz w:val="16"/>
          <w:szCs w:val="16"/>
          <w:rtl/>
        </w:rPr>
        <w:t>דיין הבלוע בכלי דבר מועט הוא</w:t>
      </w:r>
      <w:r>
        <w:rPr>
          <w:rFonts w:cs="Arial" w:hint="cs"/>
          <w:sz w:val="16"/>
          <w:szCs w:val="16"/>
          <w:rtl/>
        </w:rPr>
        <w:t>,</w:t>
      </w:r>
      <w:r w:rsidRPr="008F7F8C">
        <w:rPr>
          <w:rFonts w:cs="Arial"/>
          <w:sz w:val="16"/>
          <w:szCs w:val="16"/>
          <w:rtl/>
        </w:rPr>
        <w:t xml:space="preserve"> דכל שמשתמשין בו בצונן אין בולעו אלא מועט</w:t>
      </w:r>
      <w:r>
        <w:rPr>
          <w:rFonts w:cs="Arial" w:hint="cs"/>
          <w:sz w:val="16"/>
          <w:szCs w:val="16"/>
          <w:rtl/>
        </w:rPr>
        <w:t>,</w:t>
      </w:r>
      <w:r w:rsidRPr="008F7F8C">
        <w:rPr>
          <w:rFonts w:cs="Arial"/>
          <w:sz w:val="16"/>
          <w:szCs w:val="16"/>
          <w:rtl/>
        </w:rPr>
        <w:t xml:space="preserve"> וכיון שכן וכלי זה שמשתמשין היתר בשפע אי אפשר לבא לידי נתינת טעם</w:t>
      </w:r>
      <w:r>
        <w:rPr>
          <w:rFonts w:cs="Arial" w:hint="cs"/>
          <w:sz w:val="16"/>
          <w:szCs w:val="16"/>
          <w:rtl/>
        </w:rPr>
        <w:t>,</w:t>
      </w:r>
      <w:r w:rsidRPr="008F7F8C">
        <w:rPr>
          <w:rFonts w:cs="Arial"/>
          <w:sz w:val="16"/>
          <w:szCs w:val="16"/>
          <w:rtl/>
        </w:rPr>
        <w:t xml:space="preserve"> ולפיכך אפילו לכתחלה מותר</w:t>
      </w:r>
      <w:r>
        <w:rPr>
          <w:rFonts w:cs="Arial" w:hint="cs"/>
          <w:sz w:val="16"/>
          <w:szCs w:val="16"/>
          <w:rtl/>
        </w:rPr>
        <w:t>, רשב"א (תוה"א שם לו.). ומכאן למד הרשב"א את הדברים הכתובים לקמן)</w:t>
      </w:r>
    </w:p>
    <w:p w14:paraId="10CB1B72" w14:textId="77777777" w:rsidR="002C39F4" w:rsidRPr="00623B85" w:rsidRDefault="002C39F4" w:rsidP="002C39F4">
      <w:pPr>
        <w:rPr>
          <w:rFonts w:cs="Arial"/>
          <w:u w:val="single"/>
          <w:rtl/>
        </w:rPr>
      </w:pPr>
      <w:r w:rsidRPr="00623B85">
        <w:rPr>
          <w:rFonts w:cs="Arial"/>
          <w:u w:val="single"/>
          <w:rtl/>
        </w:rPr>
        <w:t>איסור מועט שנבלע בכלי</w:t>
      </w:r>
      <w:r w:rsidRPr="00623B85">
        <w:rPr>
          <w:rFonts w:cs="Arial" w:hint="cs"/>
          <w:u w:val="single"/>
          <w:rtl/>
        </w:rPr>
        <w:t>, והכלי גדול</w:t>
      </w:r>
      <w:r>
        <w:rPr>
          <w:rFonts w:cs="Arial" w:hint="cs"/>
          <w:u w:val="single"/>
          <w:rtl/>
        </w:rPr>
        <w:t>,</w:t>
      </w:r>
      <w:r w:rsidRPr="00623B85">
        <w:rPr>
          <w:rFonts w:cs="Arial" w:hint="cs"/>
          <w:u w:val="single"/>
          <w:rtl/>
        </w:rPr>
        <w:t xml:space="preserve"> כך שדרכו שיש בהיתר שבו ששים כנגד האיסור </w:t>
      </w:r>
      <w:r w:rsidRPr="00623B85">
        <w:rPr>
          <w:rFonts w:cs="Arial"/>
          <w:u w:val="single"/>
          <w:rtl/>
        </w:rPr>
        <w:t xml:space="preserve"> –</w:t>
      </w:r>
      <w:r w:rsidRPr="00623B85">
        <w:rPr>
          <w:rFonts w:cs="Arial" w:hint="cs"/>
          <w:u w:val="single"/>
          <w:rtl/>
        </w:rPr>
        <w:t xml:space="preserve"> האם מותר לבשל בו לכתח':</w:t>
      </w:r>
    </w:p>
    <w:p w14:paraId="5AE89D22" w14:textId="77777777" w:rsidR="002C39F4" w:rsidRDefault="002C39F4" w:rsidP="0032102C">
      <w:pPr>
        <w:pStyle w:val="a8"/>
        <w:numPr>
          <w:ilvl w:val="0"/>
          <w:numId w:val="331"/>
        </w:numPr>
        <w:rPr>
          <w:rFonts w:cs="Arial"/>
        </w:rPr>
      </w:pPr>
      <w:r w:rsidRPr="00623B85">
        <w:rPr>
          <w:rFonts w:cs="Arial"/>
          <w:rtl/>
        </w:rPr>
        <w:t xml:space="preserve">ראב"ד </w:t>
      </w:r>
      <w:r w:rsidRPr="00623B85">
        <w:rPr>
          <w:rFonts w:cs="Arial"/>
          <w:sz w:val="16"/>
          <w:szCs w:val="16"/>
          <w:rtl/>
        </w:rPr>
        <w:t>(</w:t>
      </w:r>
      <w:r w:rsidRPr="00623B85">
        <w:rPr>
          <w:rFonts w:cs="Arial" w:hint="cs"/>
          <w:sz w:val="16"/>
          <w:szCs w:val="16"/>
          <w:rtl/>
        </w:rPr>
        <w:t>כ"כ בשמו הריב"ש [</w:t>
      </w:r>
      <w:r w:rsidRPr="00623B85">
        <w:rPr>
          <w:rFonts w:cs="Arial"/>
          <w:sz w:val="16"/>
          <w:szCs w:val="16"/>
          <w:rtl/>
        </w:rPr>
        <w:t>סי</w:t>
      </w:r>
      <w:r w:rsidRPr="00623B85">
        <w:rPr>
          <w:rFonts w:cs="Arial" w:hint="cs"/>
          <w:sz w:val="16"/>
          <w:szCs w:val="16"/>
          <w:rtl/>
        </w:rPr>
        <w:t xml:space="preserve">' </w:t>
      </w:r>
      <w:r w:rsidRPr="00623B85">
        <w:rPr>
          <w:rFonts w:cs="Arial"/>
          <w:sz w:val="16"/>
          <w:szCs w:val="16"/>
          <w:rtl/>
        </w:rPr>
        <w:t>שמט</w:t>
      </w:r>
      <w:r w:rsidRPr="00623B85">
        <w:rPr>
          <w:rFonts w:cs="Arial" w:hint="cs"/>
          <w:sz w:val="16"/>
          <w:szCs w:val="16"/>
          <w:rtl/>
        </w:rPr>
        <w:t>]</w:t>
      </w:r>
      <w:r w:rsidRPr="00623B85">
        <w:rPr>
          <w:rFonts w:cs="Arial"/>
          <w:sz w:val="16"/>
          <w:szCs w:val="16"/>
          <w:rtl/>
        </w:rPr>
        <w:t>)</w:t>
      </w:r>
      <w:r w:rsidRPr="00623B85">
        <w:rPr>
          <w:rFonts w:cs="Arial" w:hint="cs"/>
          <w:sz w:val="16"/>
          <w:szCs w:val="16"/>
          <w:rtl/>
        </w:rPr>
        <w:t xml:space="preserve"> </w:t>
      </w:r>
      <w:r>
        <w:rPr>
          <w:rFonts w:cs="Arial" w:hint="cs"/>
          <w:rtl/>
        </w:rPr>
        <w:t>ו</w:t>
      </w:r>
      <w:r w:rsidRPr="00623B85">
        <w:rPr>
          <w:rFonts w:cs="Arial"/>
          <w:rtl/>
        </w:rPr>
        <w:t xml:space="preserve">רשב"א </w:t>
      </w:r>
      <w:r w:rsidRPr="00623B85">
        <w:rPr>
          <w:rFonts w:cs="Arial"/>
          <w:sz w:val="16"/>
          <w:szCs w:val="16"/>
          <w:rtl/>
        </w:rPr>
        <w:t>(</w:t>
      </w:r>
      <w:r w:rsidRPr="00623B85">
        <w:rPr>
          <w:rFonts w:cs="Arial" w:hint="cs"/>
          <w:sz w:val="16"/>
          <w:szCs w:val="16"/>
          <w:rtl/>
        </w:rPr>
        <w:t xml:space="preserve">תוה"ק </w:t>
      </w:r>
      <w:r w:rsidRPr="00623B85">
        <w:rPr>
          <w:rFonts w:cs="Arial"/>
          <w:sz w:val="16"/>
          <w:szCs w:val="16"/>
          <w:rtl/>
        </w:rPr>
        <w:t>שם לו:)</w:t>
      </w:r>
      <w:r w:rsidRPr="00623B85">
        <w:rPr>
          <w:rFonts w:cs="Arial" w:hint="cs"/>
          <w:rtl/>
        </w:rPr>
        <w:t xml:space="preserve">- </w:t>
      </w:r>
      <w:r w:rsidRPr="00623B85">
        <w:rPr>
          <w:rFonts w:cs="Arial"/>
          <w:rtl/>
        </w:rPr>
        <w:t>איסור מועט שנבלע בכלי אם דרכו של אותו כלי שלא להשתמש בו בהיתר מועט בכדי שיתן זה טעם בהיתר שישתמשו בו</w:t>
      </w:r>
      <w:r w:rsidRPr="00623B85">
        <w:rPr>
          <w:rFonts w:cs="Arial" w:hint="cs"/>
          <w:rtl/>
        </w:rPr>
        <w:t>,</w:t>
      </w:r>
      <w:r w:rsidRPr="00623B85">
        <w:rPr>
          <w:rFonts w:cs="Arial"/>
          <w:rtl/>
        </w:rPr>
        <w:t xml:space="preserve"> כמו קדרה גדולה וחבית גדולה וכיוצא בהן</w:t>
      </w:r>
      <w:r w:rsidRPr="00623B85">
        <w:rPr>
          <w:rFonts w:cs="Arial" w:hint="cs"/>
          <w:rtl/>
        </w:rPr>
        <w:t>,</w:t>
      </w:r>
      <w:r w:rsidRPr="00623B85">
        <w:rPr>
          <w:rFonts w:cs="Arial"/>
          <w:rtl/>
        </w:rPr>
        <w:t xml:space="preserve"> הרי זה מותר להשתמש בו לכתחילה אע</w:t>
      </w:r>
      <w:r w:rsidRPr="00623B85">
        <w:rPr>
          <w:rFonts w:cs="Arial" w:hint="cs"/>
          <w:rtl/>
        </w:rPr>
        <w:t>"</w:t>
      </w:r>
      <w:r w:rsidRPr="00623B85">
        <w:rPr>
          <w:rFonts w:cs="Arial"/>
          <w:rtl/>
        </w:rPr>
        <w:t>פ שהוא ב"י לפי שא"א לבא לידי נתינת טעם</w:t>
      </w:r>
      <w:r w:rsidRPr="00623B85">
        <w:rPr>
          <w:rFonts w:cs="Arial" w:hint="cs"/>
          <w:rtl/>
        </w:rPr>
        <w:t>,</w:t>
      </w:r>
      <w:r w:rsidRPr="00623B85">
        <w:rPr>
          <w:rFonts w:cs="Arial"/>
          <w:rtl/>
        </w:rPr>
        <w:t xml:space="preserve"> אבל אם הוא כלי שמשתמשים בו בדבר מועט</w:t>
      </w:r>
      <w:r w:rsidRPr="00623B85">
        <w:rPr>
          <w:rFonts w:cs="Arial" w:hint="cs"/>
          <w:rtl/>
        </w:rPr>
        <w:t>,</w:t>
      </w:r>
      <w:r w:rsidRPr="00623B85">
        <w:rPr>
          <w:rFonts w:cs="Arial"/>
          <w:rtl/>
        </w:rPr>
        <w:t xml:space="preserve"> כמו קערה וכיוצא בו</w:t>
      </w:r>
      <w:r w:rsidRPr="00623B85">
        <w:rPr>
          <w:rFonts w:cs="Arial" w:hint="cs"/>
          <w:rtl/>
        </w:rPr>
        <w:t>,</w:t>
      </w:r>
      <w:r w:rsidRPr="00623B85">
        <w:rPr>
          <w:rFonts w:cs="Arial"/>
          <w:rtl/>
        </w:rPr>
        <w:t xml:space="preserve"> אסור להשתמש בו</w:t>
      </w:r>
      <w:r>
        <w:rPr>
          <w:rStyle w:val="a7"/>
          <w:rFonts w:cs="Arial"/>
          <w:rtl/>
        </w:rPr>
        <w:footnoteReference w:id="3076"/>
      </w:r>
      <w:r>
        <w:rPr>
          <w:rFonts w:cs="Arial" w:hint="cs"/>
          <w:rtl/>
        </w:rPr>
        <w:t>,</w:t>
      </w:r>
      <w:r w:rsidRPr="00623B85">
        <w:rPr>
          <w:rFonts w:cs="Arial"/>
          <w:rtl/>
        </w:rPr>
        <w:t xml:space="preserve"> שאין מבטלין איסור לכתחילה אפילו איסור מועט ואפילו איסור הבלוע</w:t>
      </w:r>
      <w:r w:rsidRPr="00623B85">
        <w:rPr>
          <w:rFonts w:cs="Arial" w:hint="cs"/>
          <w:rtl/>
        </w:rPr>
        <w:t>.</w:t>
      </w:r>
      <w:r w:rsidRPr="00623B85">
        <w:rPr>
          <w:rFonts w:cs="Arial"/>
          <w:rtl/>
        </w:rPr>
        <w:t xml:space="preserve"> </w:t>
      </w:r>
      <w:r w:rsidRPr="00AA788B">
        <w:rPr>
          <w:rFonts w:cs="Arial" w:hint="cs"/>
          <w:color w:val="E36C0A" w:themeColor="accent6" w:themeShade="BF"/>
          <w:rtl/>
        </w:rPr>
        <w:t>(וכ"פ בשו"ע)</w:t>
      </w:r>
    </w:p>
    <w:p w14:paraId="28E10E73" w14:textId="77777777" w:rsidR="002C39F4" w:rsidRPr="00623B85" w:rsidRDefault="002C39F4" w:rsidP="0032102C">
      <w:pPr>
        <w:pStyle w:val="a8"/>
        <w:numPr>
          <w:ilvl w:val="0"/>
          <w:numId w:val="331"/>
        </w:numPr>
        <w:rPr>
          <w:rFonts w:cs="Arial"/>
          <w:rtl/>
        </w:rPr>
      </w:pPr>
      <w:r w:rsidRPr="00623B85">
        <w:rPr>
          <w:rFonts w:cs="Arial" w:hint="cs"/>
          <w:rtl/>
        </w:rPr>
        <w:t xml:space="preserve">טור- </w:t>
      </w:r>
      <w:r w:rsidRPr="00623B85">
        <w:rPr>
          <w:rFonts w:cs="Arial"/>
          <w:rtl/>
        </w:rPr>
        <w:t>אינו נראה להתיר</w:t>
      </w:r>
      <w:r w:rsidRPr="00623B85">
        <w:rPr>
          <w:rFonts w:cs="Arial" w:hint="cs"/>
          <w:rtl/>
        </w:rPr>
        <w:t>,</w:t>
      </w:r>
      <w:r w:rsidRPr="00623B85">
        <w:rPr>
          <w:rFonts w:cs="Arial"/>
          <w:rtl/>
        </w:rPr>
        <w:t xml:space="preserve"> מק"ו</w:t>
      </w:r>
      <w:r w:rsidRPr="00623B85">
        <w:rPr>
          <w:rFonts w:cs="Arial" w:hint="cs"/>
          <w:rtl/>
        </w:rPr>
        <w:t>,</w:t>
      </w:r>
      <w:r w:rsidRPr="00623B85">
        <w:rPr>
          <w:rFonts w:cs="Arial"/>
          <w:rtl/>
        </w:rPr>
        <w:t xml:space="preserve"> דאפי' קדרה שאינה בת יומא שהיא מותרת אסורה משום גזירה אטו ב</w:t>
      </w:r>
      <w:r>
        <w:rPr>
          <w:rFonts w:cs="Arial" w:hint="cs"/>
          <w:rtl/>
        </w:rPr>
        <w:t>"</w:t>
      </w:r>
      <w:r w:rsidRPr="00623B85">
        <w:rPr>
          <w:rFonts w:cs="Arial"/>
          <w:rtl/>
        </w:rPr>
        <w:t>י כ"ש באותו כלי עצמו אע</w:t>
      </w:r>
      <w:r w:rsidRPr="00623B85">
        <w:rPr>
          <w:rFonts w:cs="Arial" w:hint="cs"/>
          <w:rtl/>
        </w:rPr>
        <w:t>"</w:t>
      </w:r>
      <w:r w:rsidRPr="00623B85">
        <w:rPr>
          <w:rFonts w:cs="Arial"/>
          <w:rtl/>
        </w:rPr>
        <w:t>פ שאין דרך להשתמש בו בהיתר מועט יש לנו לגזור אטו שמא ישתמש בהיתר מועט</w:t>
      </w:r>
      <w:r>
        <w:rPr>
          <w:rStyle w:val="a7"/>
          <w:rFonts w:cs="Arial"/>
          <w:rtl/>
        </w:rPr>
        <w:footnoteReference w:id="3077"/>
      </w:r>
      <w:r w:rsidRPr="00623B85">
        <w:rPr>
          <w:rFonts w:cs="Arial" w:hint="cs"/>
          <w:rtl/>
        </w:rPr>
        <w:t>.</w:t>
      </w:r>
    </w:p>
    <w:p w14:paraId="5CF4173C" w14:textId="77777777" w:rsidR="002C39F4" w:rsidRDefault="002C39F4" w:rsidP="002C39F4">
      <w:pPr>
        <w:rPr>
          <w:rFonts w:cs="Arial"/>
          <w:rtl/>
        </w:rPr>
      </w:pPr>
      <w:r w:rsidRPr="00AA788B">
        <w:rPr>
          <w:rFonts w:cs="Arial"/>
          <w:u w:val="single"/>
          <w:rtl/>
        </w:rPr>
        <w:t xml:space="preserve"> </w:t>
      </w:r>
      <w:r w:rsidRPr="00AA788B">
        <w:rPr>
          <w:rFonts w:cs="Arial" w:hint="cs"/>
          <w:u w:val="single"/>
          <w:rtl/>
        </w:rPr>
        <w:t>בישול בקדרת ישראל שאינו מקפיד על גבינות גוים:</w:t>
      </w:r>
      <w:r>
        <w:rPr>
          <w:rFonts w:cs="Arial" w:hint="cs"/>
          <w:rtl/>
        </w:rPr>
        <w:t xml:space="preserve">  </w:t>
      </w:r>
      <w:r w:rsidRPr="00AA788B">
        <w:rPr>
          <w:rFonts w:cs="Arial" w:hint="cs"/>
          <w:sz w:val="16"/>
          <w:szCs w:val="16"/>
          <w:rtl/>
        </w:rPr>
        <w:t xml:space="preserve">(ב"י </w:t>
      </w:r>
      <w:r w:rsidRPr="00AA788B">
        <w:rPr>
          <w:rFonts w:cs="Arial"/>
          <w:sz w:val="16"/>
          <w:szCs w:val="16"/>
          <w:rtl/>
        </w:rPr>
        <w:t>[</w:t>
      </w:r>
      <w:r w:rsidRPr="00AA788B">
        <w:rPr>
          <w:rFonts w:cs="Arial" w:hint="cs"/>
          <w:sz w:val="16"/>
          <w:szCs w:val="16"/>
          <w:rtl/>
        </w:rPr>
        <w:t>בבדה"ב])</w:t>
      </w:r>
    </w:p>
    <w:p w14:paraId="1B2C4140" w14:textId="77777777" w:rsidR="002C39F4" w:rsidRPr="00A02D07" w:rsidRDefault="002C39F4" w:rsidP="0032102C">
      <w:pPr>
        <w:pStyle w:val="a8"/>
        <w:numPr>
          <w:ilvl w:val="0"/>
          <w:numId w:val="332"/>
        </w:numPr>
        <w:rPr>
          <w:rtl/>
        </w:rPr>
      </w:pPr>
      <w:r w:rsidRPr="00AA788B">
        <w:rPr>
          <w:rFonts w:cs="Arial" w:hint="cs"/>
          <w:rtl/>
        </w:rPr>
        <w:t>א"ח</w:t>
      </w:r>
      <w:r w:rsidRPr="00AA788B">
        <w:rPr>
          <w:rFonts w:cs="Arial"/>
          <w:rtl/>
        </w:rPr>
        <w:t xml:space="preserve"> </w:t>
      </w:r>
      <w:r w:rsidRPr="00AA788B">
        <w:rPr>
          <w:rFonts w:cs="Arial"/>
          <w:sz w:val="16"/>
          <w:szCs w:val="16"/>
          <w:rtl/>
        </w:rPr>
        <w:t>(סי' כה הל</w:t>
      </w:r>
      <w:r w:rsidRPr="00AA788B">
        <w:rPr>
          <w:rFonts w:cs="Arial" w:hint="cs"/>
          <w:sz w:val="16"/>
          <w:szCs w:val="16"/>
          <w:rtl/>
        </w:rPr>
        <w:t xml:space="preserve">א"מ </w:t>
      </w:r>
      <w:r w:rsidRPr="00AA788B">
        <w:rPr>
          <w:rFonts w:cs="Arial"/>
          <w:sz w:val="16"/>
          <w:szCs w:val="16"/>
          <w:rtl/>
        </w:rPr>
        <w:t>אות עא)</w:t>
      </w:r>
      <w:r w:rsidRPr="00AA788B">
        <w:rPr>
          <w:rFonts w:cs="Arial" w:hint="cs"/>
          <w:rtl/>
        </w:rPr>
        <w:t>-</w:t>
      </w:r>
      <w:r w:rsidRPr="00AA788B">
        <w:rPr>
          <w:rFonts w:cs="Arial"/>
          <w:rtl/>
        </w:rPr>
        <w:t xml:space="preserve"> יש מתירין לבשל בקדרות ישראלים האוכלים גבינות הגוים שהם מקונחות יפה ויש אוסרים ונראים דבריהם</w:t>
      </w:r>
      <w:r w:rsidRPr="00AA788B">
        <w:rPr>
          <w:rFonts w:cs="Arial" w:hint="cs"/>
          <w:rtl/>
        </w:rPr>
        <w:t>.</w:t>
      </w:r>
    </w:p>
    <w:p w14:paraId="0BCFEFAC"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32A4E89" w14:textId="77777777" w:rsidR="002C39F4" w:rsidRDefault="002C39F4" w:rsidP="002C39F4">
      <w:pPr>
        <w:rPr>
          <w:rFonts w:asciiTheme="minorBidi" w:hAnsiTheme="minorBidi"/>
          <w:rtl/>
        </w:rPr>
      </w:pPr>
      <w:r w:rsidRPr="003024E5">
        <w:rPr>
          <w:rFonts w:asciiTheme="minorBidi" w:hAnsiTheme="minorBidi"/>
          <w:rtl/>
        </w:rPr>
        <w:t>איסור מועט שנבלע בכלי שדרכו שלא להשתמש בו בהיתר מועט בכדי שיתן זה טעם בהיתר שישתמשו בו, כמו קדרה גדולה וחבית וכיוצא בהן, הרי זה מותר</w:t>
      </w:r>
      <w:r>
        <w:rPr>
          <w:rStyle w:val="a7"/>
          <w:rFonts w:asciiTheme="minorBidi" w:hAnsiTheme="minorBidi"/>
          <w:rtl/>
        </w:rPr>
        <w:footnoteReference w:id="3078"/>
      </w:r>
      <w:r w:rsidRPr="003024E5">
        <w:rPr>
          <w:rFonts w:asciiTheme="minorBidi" w:hAnsiTheme="minorBidi"/>
          <w:rtl/>
        </w:rPr>
        <w:t xml:space="preserve"> להשתמש בו לכתחלה אף על פי שהוא בן יומו, לפי שאי אפשר לבא לידי נתינת טעם. אבל אם הוא כלי שמשתמשין בו בדבר מועט, כמו קערה וכיוצא בה, אסור להשתמש בו, שאין מבטלין איסור לכתחלה, אפילו איסור מועט ואפילו איסור הבלוע. </w:t>
      </w:r>
    </w:p>
    <w:p w14:paraId="4913A853" w14:textId="77777777" w:rsidR="002C39F4" w:rsidRPr="003024E5" w:rsidRDefault="002C39F4" w:rsidP="002C39F4">
      <w:pPr>
        <w:rPr>
          <w:rFonts w:asciiTheme="minorBidi" w:hAnsiTheme="minorBidi"/>
          <w:rtl/>
        </w:rPr>
      </w:pPr>
    </w:p>
    <w:p w14:paraId="122D47BB" w14:textId="77777777" w:rsidR="002C39F4" w:rsidRDefault="002C39F4" w:rsidP="002C39F4">
      <w:pPr>
        <w:pStyle w:val="2"/>
        <w:rPr>
          <w:rFonts w:asciiTheme="minorBidi" w:hAnsiTheme="minorBidi"/>
          <w:rtl/>
        </w:rPr>
      </w:pPr>
      <w:r w:rsidRPr="003024E5">
        <w:rPr>
          <w:rFonts w:asciiTheme="minorBidi" w:hAnsiTheme="minorBidi"/>
          <w:rtl/>
        </w:rPr>
        <w:t>סעיף ו</w:t>
      </w:r>
      <w:r>
        <w:rPr>
          <w:rFonts w:asciiTheme="minorBidi" w:hAnsiTheme="minorBidi" w:hint="cs"/>
          <w:rtl/>
        </w:rPr>
        <w:t>:</w:t>
      </w:r>
      <w:r w:rsidRPr="0077254C">
        <w:rPr>
          <w:rFonts w:asciiTheme="minorBidi" w:hAnsiTheme="minorBidi" w:hint="cs"/>
          <w:rtl/>
        </w:rPr>
        <w:t xml:space="preserve"> </w:t>
      </w:r>
      <w:r>
        <w:rPr>
          <w:rFonts w:asciiTheme="minorBidi" w:hAnsiTheme="minorBidi" w:hint="cs"/>
          <w:rtl/>
        </w:rPr>
        <w:t xml:space="preserve">סתם כלי גוי </w:t>
      </w:r>
      <w:r>
        <w:rPr>
          <w:rFonts w:asciiTheme="minorBidi" w:hAnsiTheme="minorBidi"/>
          <w:rtl/>
        </w:rPr>
        <w:t>–</w:t>
      </w:r>
      <w:r>
        <w:rPr>
          <w:rFonts w:asciiTheme="minorBidi" w:hAnsiTheme="minorBidi" w:hint="cs"/>
          <w:rtl/>
        </w:rPr>
        <w:t xml:space="preserve"> אינם בני יומן</w:t>
      </w:r>
    </w:p>
    <w:p w14:paraId="6E2580A9" w14:textId="77777777" w:rsidR="002C39F4" w:rsidRDefault="002C39F4" w:rsidP="002C39F4">
      <w:pPr>
        <w:rPr>
          <w:rFonts w:cs="Arial"/>
          <w:rtl/>
        </w:rPr>
      </w:pPr>
      <w:r>
        <w:rPr>
          <w:rFonts w:cs="Arial" w:hint="cs"/>
          <w:b/>
          <w:bCs/>
          <w:rtl/>
        </w:rPr>
        <w:t xml:space="preserve">עבודה זרה עה ע"ב: </w:t>
      </w:r>
      <w:r w:rsidRPr="004319DE">
        <w:rPr>
          <w:rFonts w:cs="Arial"/>
          <w:u w:val="double"/>
          <w:rtl/>
        </w:rPr>
        <w:t>מתני'</w:t>
      </w:r>
      <w:r>
        <w:rPr>
          <w:rFonts w:cs="Arial" w:hint="cs"/>
          <w:rtl/>
        </w:rPr>
        <w:t>:</w:t>
      </w:r>
      <w:r w:rsidRPr="004319DE">
        <w:rPr>
          <w:rFonts w:cs="Arial"/>
          <w:rtl/>
        </w:rPr>
        <w:t xml:space="preserve"> הלוקח כלי תשמיש מן העובדי כוכבים</w:t>
      </w:r>
      <w:r>
        <w:rPr>
          <w:rFonts w:cs="Arial" w:hint="cs"/>
          <w:rtl/>
        </w:rPr>
        <w:t>..</w:t>
      </w:r>
      <w:r w:rsidRPr="004319DE">
        <w:rPr>
          <w:rFonts w:cs="Arial"/>
          <w:rtl/>
        </w:rPr>
        <w:t>.</w:t>
      </w:r>
      <w:r>
        <w:rPr>
          <w:rFonts w:cs="Arial" w:hint="cs"/>
          <w:rtl/>
        </w:rPr>
        <w:t xml:space="preserve">    </w:t>
      </w:r>
      <w:r w:rsidRPr="00AF6944">
        <w:rPr>
          <w:rFonts w:hint="cs"/>
          <w:u w:val="double"/>
          <w:rtl/>
        </w:rPr>
        <w:t>גמ'</w:t>
      </w:r>
      <w:r>
        <w:rPr>
          <w:rFonts w:hint="cs"/>
          <w:rtl/>
        </w:rPr>
        <w:t xml:space="preserve">: </w:t>
      </w:r>
      <w:r w:rsidRPr="00AF6944">
        <w:rPr>
          <w:rFonts w:cs="Arial"/>
          <w:rtl/>
        </w:rPr>
        <w:t>וכולן שנשתמש בהן עד שלא יטביל ושלא יגעיל ושלא ילבן - תני חדא: אסור, ותניא אידך: מותר! ל"ק: הא כמאן דאמר נותן טעם לפגם - אסור, הא כמאן דאמר נותן טעם לפגם - מותר.</w:t>
      </w:r>
      <w:r w:rsidRPr="007A5A71">
        <w:rPr>
          <w:rFonts w:cs="Arial"/>
          <w:rtl/>
        </w:rPr>
        <w:t xml:space="preserve"> </w:t>
      </w:r>
      <w:r w:rsidRPr="007A5A71">
        <w:rPr>
          <w:rFonts w:cs="Arial" w:hint="cs"/>
          <w:sz w:val="16"/>
          <w:szCs w:val="16"/>
          <w:rtl/>
        </w:rPr>
        <w:t>(</w:t>
      </w:r>
      <w:r w:rsidRPr="007A5A71">
        <w:rPr>
          <w:rFonts w:cs="Arial"/>
          <w:sz w:val="16"/>
          <w:szCs w:val="16"/>
          <w:rtl/>
        </w:rPr>
        <w:t>מדאמרינן דלמאן דאמר נותן טעם לפגם מותר אם נשתמש בכלי גוים עד שלא הגעיל ולא ליבן מותר</w:t>
      </w:r>
      <w:r>
        <w:rPr>
          <w:rFonts w:cs="Arial" w:hint="cs"/>
          <w:sz w:val="16"/>
          <w:szCs w:val="16"/>
          <w:rtl/>
        </w:rPr>
        <w:t>-</w:t>
      </w:r>
      <w:r w:rsidRPr="007A5A71">
        <w:rPr>
          <w:rFonts w:cs="Arial"/>
          <w:sz w:val="16"/>
          <w:szCs w:val="16"/>
          <w:rtl/>
        </w:rPr>
        <w:t xml:space="preserve"> משמע דבכלים שאינן בני יומן מחזקינן להו</w:t>
      </w:r>
      <w:r>
        <w:rPr>
          <w:rFonts w:cs="Arial" w:hint="cs"/>
          <w:sz w:val="16"/>
          <w:szCs w:val="16"/>
          <w:rtl/>
        </w:rPr>
        <w:t>, ב"י)</w:t>
      </w:r>
    </w:p>
    <w:p w14:paraId="2FC5C849" w14:textId="77777777" w:rsidR="002C39F4" w:rsidRDefault="002C39F4" w:rsidP="002C39F4">
      <w:pPr>
        <w:rPr>
          <w:rFonts w:cs="Arial"/>
          <w:rtl/>
        </w:rPr>
      </w:pPr>
      <w:r>
        <w:rPr>
          <w:rFonts w:cs="Arial" w:hint="cs"/>
          <w:b/>
          <w:bCs/>
          <w:rtl/>
        </w:rPr>
        <w:t xml:space="preserve">עבודה זרה לח ע"ב: </w:t>
      </w:r>
      <w:r w:rsidRPr="007A5A71">
        <w:rPr>
          <w:rFonts w:cs="Arial"/>
          <w:rtl/>
        </w:rPr>
        <w:t>ת"ר: הכוספן של עובדי כוכבים שהוחמו חמין ביורה גדולה - אסור, ביורה קטנה - מותר.</w:t>
      </w:r>
      <w:r>
        <w:rPr>
          <w:rFonts w:cs="Arial" w:hint="cs"/>
          <w:rtl/>
        </w:rPr>
        <w:t xml:space="preserve">.. </w:t>
      </w:r>
      <w:r w:rsidRPr="007A5A71">
        <w:rPr>
          <w:rFonts w:cs="Arial"/>
          <w:rtl/>
        </w:rPr>
        <w:t xml:space="preserve">והתניא: אחת יורה גדולה ואחת יורה קטנה - מותר! לא קשיא, הא כמ"ד: נותן טעם לפגם אסור, הא כמ"ד: נותן טעם לפגם מותר. </w:t>
      </w:r>
      <w:r>
        <w:rPr>
          <w:rFonts w:cs="Arial" w:hint="cs"/>
          <w:sz w:val="16"/>
          <w:szCs w:val="16"/>
          <w:rtl/>
        </w:rPr>
        <w:t>(</w:t>
      </w:r>
      <w:r w:rsidRPr="007A5A71">
        <w:rPr>
          <w:rFonts w:cs="Arial"/>
          <w:sz w:val="16"/>
          <w:szCs w:val="16"/>
          <w:rtl/>
        </w:rPr>
        <w:t>אלמא סתם כליהם נותן טעם לפגם והיינו משום דבחזקת שאינן בני יומן מחזקינן להו</w:t>
      </w:r>
      <w:r w:rsidRPr="007A5A71">
        <w:rPr>
          <w:rFonts w:cs="Arial" w:hint="cs"/>
          <w:sz w:val="16"/>
          <w:szCs w:val="16"/>
          <w:rtl/>
        </w:rPr>
        <w:t>, ב"י)</w:t>
      </w:r>
    </w:p>
    <w:p w14:paraId="51A159C8" w14:textId="77777777" w:rsidR="002C39F4" w:rsidRPr="007A5A71" w:rsidRDefault="002C39F4" w:rsidP="002C39F4">
      <w:pPr>
        <w:rPr>
          <w:rFonts w:cs="Arial"/>
          <w:sz w:val="16"/>
          <w:szCs w:val="16"/>
          <w:rtl/>
        </w:rPr>
      </w:pPr>
      <w:r>
        <w:rPr>
          <w:rFonts w:cs="Arial" w:hint="cs"/>
          <w:b/>
          <w:bCs/>
          <w:rtl/>
        </w:rPr>
        <w:t xml:space="preserve">עבודה זרה לח ע"ב: </w:t>
      </w:r>
      <w:r w:rsidRPr="007A5A71">
        <w:rPr>
          <w:rFonts w:cs="Arial"/>
          <w:u w:val="single"/>
          <w:rtl/>
        </w:rPr>
        <w:t>אמר רב ששת</w:t>
      </w:r>
      <w:r w:rsidRPr="007A5A71">
        <w:rPr>
          <w:rFonts w:cs="Arial"/>
          <w:rtl/>
        </w:rPr>
        <w:t xml:space="preserve">: האי מישחא שליקא דארמאי - אסור. </w:t>
      </w:r>
      <w:r w:rsidRPr="007A5A71">
        <w:rPr>
          <w:rFonts w:cs="Arial"/>
          <w:u w:val="single"/>
          <w:rtl/>
        </w:rPr>
        <w:t>אמר רב ספרא</w:t>
      </w:r>
      <w:r w:rsidRPr="007A5A71">
        <w:rPr>
          <w:rFonts w:cs="Arial"/>
          <w:rtl/>
        </w:rPr>
        <w:t>: למאי ניחוש לה? אי משום איערובי - מיסרא סרי, אי משום בישולי עובדי כוכבים - נאכל הוא כמו שהוא חי, אי משום גיעולי עובדי כוכבים - נותן טעם לפגם הוא ומותר.</w:t>
      </w:r>
      <w:r>
        <w:rPr>
          <w:rFonts w:cs="Arial" w:hint="cs"/>
          <w:sz w:val="16"/>
          <w:szCs w:val="16"/>
          <w:rtl/>
        </w:rPr>
        <w:t xml:space="preserve"> (וגם מכאן משמע דשרי מכיון שנותן טעם לפגם והוא משום שסתם כליהם אינם בני יומן, ע"פ ב"י)</w:t>
      </w:r>
    </w:p>
    <w:p w14:paraId="35FE2F83" w14:textId="77777777" w:rsidR="002C39F4" w:rsidRDefault="002C39F4" w:rsidP="002C39F4">
      <w:pPr>
        <w:rPr>
          <w:rFonts w:cs="Arial"/>
          <w:rtl/>
        </w:rPr>
      </w:pPr>
      <w:r>
        <w:rPr>
          <w:rFonts w:cs="Arial" w:hint="cs"/>
          <w:b/>
          <w:bCs/>
          <w:rtl/>
        </w:rPr>
        <w:t xml:space="preserve">עבודה זרה לו ע"א: </w:t>
      </w:r>
      <w:r w:rsidRPr="003E22BD">
        <w:rPr>
          <w:rFonts w:cs="Arial"/>
          <w:rtl/>
        </w:rPr>
        <w:t>שמן - ר' יהודה ובית דינו נמנו עליו והתירוהו, קסבר: נותן טעם לפגם מותר</w:t>
      </w:r>
      <w:r>
        <w:rPr>
          <w:rFonts w:cs="Arial" w:hint="cs"/>
          <w:rtl/>
        </w:rPr>
        <w:t>.</w:t>
      </w:r>
      <w:r w:rsidRPr="003E22BD">
        <w:rPr>
          <w:rFonts w:cs="Arial"/>
          <w:rtl/>
        </w:rPr>
        <w:t xml:space="preserve"> </w:t>
      </w:r>
      <w:r w:rsidRPr="003E22BD">
        <w:rPr>
          <w:rFonts w:cs="Arial" w:hint="cs"/>
          <w:sz w:val="16"/>
          <w:szCs w:val="16"/>
          <w:rtl/>
        </w:rPr>
        <w:t>(ו</w:t>
      </w:r>
      <w:r w:rsidRPr="003E22BD">
        <w:rPr>
          <w:rFonts w:cs="Arial"/>
          <w:sz w:val="16"/>
          <w:szCs w:val="16"/>
          <w:rtl/>
        </w:rPr>
        <w:t>לא חשו לזליפת הכלים מפני שהוא נותן טעם לפגם</w:t>
      </w:r>
      <w:r w:rsidRPr="003E22BD">
        <w:rPr>
          <w:rFonts w:cs="Arial" w:hint="cs"/>
          <w:sz w:val="16"/>
          <w:szCs w:val="16"/>
          <w:rtl/>
        </w:rPr>
        <w:t>,</w:t>
      </w:r>
      <w:r w:rsidRPr="003E22BD">
        <w:rPr>
          <w:rFonts w:cs="Arial"/>
          <w:sz w:val="16"/>
          <w:szCs w:val="16"/>
          <w:rtl/>
        </w:rPr>
        <w:t xml:space="preserve"> כלומר דסתם כליהם אינן בני יומן</w:t>
      </w:r>
      <w:r w:rsidRPr="003E22BD">
        <w:rPr>
          <w:rFonts w:cs="Arial" w:hint="cs"/>
          <w:sz w:val="16"/>
          <w:szCs w:val="16"/>
          <w:rtl/>
        </w:rPr>
        <w:t>,</w:t>
      </w:r>
      <w:r w:rsidRPr="003E22BD">
        <w:rPr>
          <w:rFonts w:cs="Arial"/>
          <w:sz w:val="16"/>
          <w:szCs w:val="16"/>
          <w:rtl/>
        </w:rPr>
        <w:t xml:space="preserve"> ועוד דבכמה דוכתי משמע דפת של גוים אין בה משום גיעוליהם</w:t>
      </w:r>
      <w:r w:rsidRPr="003E22BD">
        <w:rPr>
          <w:rFonts w:cs="Arial" w:hint="cs"/>
          <w:sz w:val="16"/>
          <w:szCs w:val="16"/>
          <w:rtl/>
        </w:rPr>
        <w:t>,</w:t>
      </w:r>
      <w:r w:rsidRPr="003E22BD">
        <w:rPr>
          <w:rFonts w:cs="Arial"/>
          <w:sz w:val="16"/>
          <w:szCs w:val="16"/>
          <w:rtl/>
        </w:rPr>
        <w:t xml:space="preserve"> וכמו שכתב הר"ן בפרק אין מעמידין (יד. ד"ה פת פורני)</w:t>
      </w:r>
      <w:r>
        <w:rPr>
          <w:rFonts w:cs="Arial" w:hint="cs"/>
          <w:sz w:val="16"/>
          <w:szCs w:val="16"/>
          <w:rtl/>
        </w:rPr>
        <w:t>...</w:t>
      </w:r>
      <w:r w:rsidRPr="00CB4E5B">
        <w:rPr>
          <w:rFonts w:cs="Arial"/>
          <w:sz w:val="16"/>
          <w:szCs w:val="16"/>
          <w:rtl/>
        </w:rPr>
        <w:t xml:space="preserve"> וכתבו התוס</w:t>
      </w:r>
      <w:r w:rsidRPr="00CB4E5B">
        <w:rPr>
          <w:rFonts w:cs="Arial" w:hint="cs"/>
          <w:sz w:val="16"/>
          <w:szCs w:val="16"/>
          <w:rtl/>
        </w:rPr>
        <w:t>'</w:t>
      </w:r>
      <w:r w:rsidRPr="00CB4E5B">
        <w:rPr>
          <w:rFonts w:cs="Arial"/>
          <w:sz w:val="16"/>
          <w:szCs w:val="16"/>
          <w:rtl/>
        </w:rPr>
        <w:t xml:space="preserve"> (לח: ד"ה אי משום) והרא"ש (סי' לה) והר"ן (שם) והמרדכי בפרק אין מעמידין (</w:t>
      </w:r>
      <w:r w:rsidRPr="00CB4E5B">
        <w:rPr>
          <w:rFonts w:cs="Arial" w:hint="cs"/>
          <w:sz w:val="16"/>
          <w:szCs w:val="16"/>
          <w:rtl/>
        </w:rPr>
        <w:t xml:space="preserve">ע"ז </w:t>
      </w:r>
      <w:r w:rsidRPr="00CB4E5B">
        <w:rPr>
          <w:rFonts w:cs="Arial"/>
          <w:sz w:val="16"/>
          <w:szCs w:val="16"/>
          <w:rtl/>
        </w:rPr>
        <w:t>סי' תתכט) דטעמא דמילתא מפני שהוא ספק ספיקא</w:t>
      </w:r>
      <w:r w:rsidRPr="00CB4E5B">
        <w:rPr>
          <w:rFonts w:cs="Arial" w:hint="cs"/>
          <w:sz w:val="16"/>
          <w:szCs w:val="16"/>
          <w:rtl/>
        </w:rPr>
        <w:t>,</w:t>
      </w:r>
      <w:r w:rsidRPr="00CB4E5B">
        <w:rPr>
          <w:rFonts w:cs="Arial"/>
          <w:sz w:val="16"/>
          <w:szCs w:val="16"/>
          <w:rtl/>
        </w:rPr>
        <w:t xml:space="preserve"> ספק נשתמשו בו היום או אתמול</w:t>
      </w:r>
      <w:r w:rsidRPr="00CB4E5B">
        <w:rPr>
          <w:rFonts w:cs="Arial" w:hint="cs"/>
          <w:sz w:val="16"/>
          <w:szCs w:val="16"/>
          <w:rtl/>
        </w:rPr>
        <w:t>,</w:t>
      </w:r>
      <w:r w:rsidRPr="00CB4E5B">
        <w:rPr>
          <w:rFonts w:cs="Arial"/>
          <w:sz w:val="16"/>
          <w:szCs w:val="16"/>
          <w:rtl/>
        </w:rPr>
        <w:t xml:space="preserve"> ואם תמצי לומר נשתמשו בו היום</w:t>
      </w:r>
      <w:r w:rsidRPr="00CB4E5B">
        <w:rPr>
          <w:rFonts w:cs="Arial" w:hint="cs"/>
          <w:sz w:val="16"/>
          <w:szCs w:val="16"/>
          <w:rtl/>
        </w:rPr>
        <w:t>,</w:t>
      </w:r>
      <w:r w:rsidRPr="00CB4E5B">
        <w:rPr>
          <w:rFonts w:cs="Arial"/>
          <w:sz w:val="16"/>
          <w:szCs w:val="16"/>
          <w:rtl/>
        </w:rPr>
        <w:t xml:space="preserve"> שמא נשתמשו בו בדבר שהוא פוגם בעין או דבר שאין נותן טעם</w:t>
      </w:r>
      <w:r>
        <w:rPr>
          <w:rFonts w:cs="Arial" w:hint="cs"/>
          <w:sz w:val="16"/>
          <w:szCs w:val="16"/>
          <w:rtl/>
        </w:rPr>
        <w:t xml:space="preserve">, </w:t>
      </w:r>
      <w:r w:rsidRPr="003E22BD">
        <w:rPr>
          <w:rFonts w:cs="Arial" w:hint="cs"/>
          <w:sz w:val="16"/>
          <w:szCs w:val="16"/>
          <w:rtl/>
        </w:rPr>
        <w:t>ב"י)</w:t>
      </w:r>
      <w:r>
        <w:rPr>
          <w:rFonts w:cs="Arial"/>
          <w:rtl/>
        </w:rPr>
        <w:t xml:space="preserve"> </w:t>
      </w:r>
    </w:p>
    <w:p w14:paraId="737196F8" w14:textId="77777777" w:rsidR="002C39F4" w:rsidRDefault="002C39F4" w:rsidP="002C39F4">
      <w:pPr>
        <w:rPr>
          <w:rFonts w:cs="Arial"/>
          <w:rtl/>
        </w:rPr>
      </w:pPr>
      <w:r w:rsidRPr="00CB4E5B">
        <w:rPr>
          <w:rFonts w:cs="Arial" w:hint="cs"/>
          <w:u w:val="single"/>
          <w:rtl/>
        </w:rPr>
        <w:t>סתם כלי גוים:</w:t>
      </w:r>
    </w:p>
    <w:p w14:paraId="67B994E3" w14:textId="77777777" w:rsidR="002C39F4" w:rsidRPr="00CB4E5B" w:rsidRDefault="002C39F4" w:rsidP="0032102C">
      <w:pPr>
        <w:pStyle w:val="a8"/>
        <w:numPr>
          <w:ilvl w:val="0"/>
          <w:numId w:val="332"/>
        </w:numPr>
        <w:rPr>
          <w:rFonts w:cs="Arial"/>
          <w:rtl/>
        </w:rPr>
      </w:pPr>
      <w:r w:rsidRPr="00CB4E5B">
        <w:rPr>
          <w:rFonts w:cs="Arial" w:hint="cs"/>
          <w:rtl/>
        </w:rPr>
        <w:t>תוס'</w:t>
      </w:r>
      <w:r w:rsidRPr="00CB4E5B">
        <w:rPr>
          <w:rFonts w:cs="Arial" w:hint="cs"/>
          <w:sz w:val="16"/>
          <w:szCs w:val="16"/>
          <w:rtl/>
        </w:rPr>
        <w:t xml:space="preserve"> (שם)</w:t>
      </w:r>
      <w:r w:rsidRPr="00CB4E5B">
        <w:rPr>
          <w:rFonts w:cs="Arial" w:hint="cs"/>
          <w:rtl/>
        </w:rPr>
        <w:t xml:space="preserve"> </w:t>
      </w:r>
      <w:r w:rsidRPr="005B40D6">
        <w:rPr>
          <w:rFonts w:cs="Arial" w:hint="cs"/>
          <w:rtl/>
        </w:rPr>
        <w:t xml:space="preserve">(רמב"ם </w:t>
      </w:r>
      <w:r w:rsidRPr="005B40D6">
        <w:rPr>
          <w:rFonts w:cs="Arial" w:hint="cs"/>
          <w:sz w:val="16"/>
          <w:szCs w:val="16"/>
          <w:rtl/>
        </w:rPr>
        <w:t xml:space="preserve">להב' </w:t>
      </w:r>
      <w:r w:rsidRPr="005B40D6">
        <w:rPr>
          <w:rFonts w:cs="Arial"/>
          <w:sz w:val="16"/>
          <w:szCs w:val="16"/>
          <w:rtl/>
        </w:rPr>
        <w:t>הרשב"א</w:t>
      </w:r>
      <w:r>
        <w:rPr>
          <w:rStyle w:val="a7"/>
          <w:rFonts w:cs="Arial"/>
          <w:rtl/>
        </w:rPr>
        <w:footnoteReference w:id="3079"/>
      </w:r>
      <w:r w:rsidRPr="005B40D6">
        <w:rPr>
          <w:rFonts w:cs="Arial"/>
          <w:sz w:val="16"/>
          <w:szCs w:val="16"/>
          <w:rtl/>
        </w:rPr>
        <w:t xml:space="preserve"> </w:t>
      </w:r>
      <w:r w:rsidRPr="005B40D6">
        <w:rPr>
          <w:rFonts w:cs="Arial" w:hint="cs"/>
          <w:sz w:val="14"/>
          <w:szCs w:val="14"/>
          <w:rtl/>
        </w:rPr>
        <w:t>[</w:t>
      </w:r>
      <w:r w:rsidRPr="005B40D6">
        <w:rPr>
          <w:rFonts w:cs="Arial"/>
          <w:sz w:val="14"/>
          <w:szCs w:val="14"/>
          <w:rtl/>
        </w:rPr>
        <w:t>ח"ג סי</w:t>
      </w:r>
      <w:r w:rsidRPr="005B40D6">
        <w:rPr>
          <w:rFonts w:cs="Arial" w:hint="cs"/>
          <w:sz w:val="14"/>
          <w:szCs w:val="14"/>
          <w:rtl/>
        </w:rPr>
        <w:t>'</w:t>
      </w:r>
      <w:r w:rsidRPr="005B40D6">
        <w:rPr>
          <w:rFonts w:cs="Arial"/>
          <w:sz w:val="14"/>
          <w:szCs w:val="14"/>
          <w:rtl/>
        </w:rPr>
        <w:t xml:space="preserve"> רמו</w:t>
      </w:r>
      <w:r w:rsidRPr="005B40D6">
        <w:rPr>
          <w:rFonts w:cs="Arial" w:hint="cs"/>
          <w:sz w:val="14"/>
          <w:szCs w:val="14"/>
          <w:rtl/>
        </w:rPr>
        <w:t>]</w:t>
      </w:r>
      <w:r w:rsidRPr="005B40D6">
        <w:rPr>
          <w:rFonts w:cs="Arial"/>
          <w:rtl/>
        </w:rPr>
        <w:t>)</w:t>
      </w:r>
      <w:r>
        <w:rPr>
          <w:rFonts w:cs="Arial" w:hint="cs"/>
          <w:rtl/>
        </w:rPr>
        <w:t xml:space="preserve"> רשב"א </w:t>
      </w:r>
      <w:r w:rsidRPr="005B40D6">
        <w:rPr>
          <w:rFonts w:cs="Arial"/>
          <w:sz w:val="16"/>
          <w:szCs w:val="16"/>
          <w:rtl/>
        </w:rPr>
        <w:t>(</w:t>
      </w:r>
      <w:r>
        <w:rPr>
          <w:rFonts w:cs="Arial" w:hint="cs"/>
          <w:sz w:val="16"/>
          <w:szCs w:val="16"/>
          <w:rtl/>
        </w:rPr>
        <w:t>תו</w:t>
      </w:r>
      <w:r w:rsidRPr="005B40D6">
        <w:rPr>
          <w:rFonts w:cs="Arial"/>
          <w:sz w:val="16"/>
          <w:szCs w:val="16"/>
          <w:rtl/>
        </w:rPr>
        <w:t>ה</w:t>
      </w:r>
      <w:r>
        <w:rPr>
          <w:rFonts w:cs="Arial" w:hint="cs"/>
          <w:sz w:val="16"/>
          <w:szCs w:val="16"/>
          <w:rtl/>
        </w:rPr>
        <w:t>"</w:t>
      </w:r>
      <w:r w:rsidRPr="005B40D6">
        <w:rPr>
          <w:rFonts w:cs="Arial"/>
          <w:sz w:val="16"/>
          <w:szCs w:val="16"/>
          <w:rtl/>
        </w:rPr>
        <w:t>ק ב"ד ש"ד לו.)</w:t>
      </w:r>
      <w:r>
        <w:rPr>
          <w:rFonts w:cs="Arial" w:hint="cs"/>
          <w:rtl/>
        </w:rPr>
        <w:t xml:space="preserve"> </w:t>
      </w:r>
      <w:r w:rsidRPr="00CB4E5B">
        <w:rPr>
          <w:rFonts w:cs="Arial" w:hint="cs"/>
          <w:rtl/>
        </w:rPr>
        <w:t>רא"ש</w:t>
      </w:r>
      <w:r w:rsidRPr="00CB4E5B">
        <w:rPr>
          <w:rFonts w:cs="Arial" w:hint="cs"/>
          <w:sz w:val="16"/>
          <w:szCs w:val="16"/>
          <w:rtl/>
        </w:rPr>
        <w:t xml:space="preserve"> (שם)</w:t>
      </w:r>
      <w:r w:rsidRPr="00CB4E5B">
        <w:rPr>
          <w:rFonts w:cs="Arial" w:hint="cs"/>
          <w:rtl/>
        </w:rPr>
        <w:t xml:space="preserve"> </w:t>
      </w:r>
      <w:r>
        <w:rPr>
          <w:rFonts w:cs="Arial" w:hint="cs"/>
          <w:rtl/>
        </w:rPr>
        <w:t xml:space="preserve">טור </w:t>
      </w:r>
      <w:r w:rsidRPr="00CB4E5B">
        <w:rPr>
          <w:rFonts w:cs="Arial" w:hint="cs"/>
          <w:rtl/>
        </w:rPr>
        <w:t>ור"ן</w:t>
      </w:r>
      <w:r w:rsidRPr="00CB4E5B">
        <w:rPr>
          <w:rFonts w:cs="Arial" w:hint="cs"/>
          <w:sz w:val="16"/>
          <w:szCs w:val="16"/>
          <w:rtl/>
        </w:rPr>
        <w:t xml:space="preserve"> (שם)</w:t>
      </w:r>
      <w:r w:rsidRPr="00CB4E5B">
        <w:rPr>
          <w:rFonts w:cs="Arial" w:hint="cs"/>
          <w:rtl/>
        </w:rPr>
        <w:t>- סתם כלי גוים אינם בני יומן</w:t>
      </w:r>
      <w:r>
        <w:rPr>
          <w:rStyle w:val="a7"/>
          <w:rFonts w:cs="Arial"/>
          <w:rtl/>
        </w:rPr>
        <w:footnoteReference w:id="3080"/>
      </w:r>
      <w:r w:rsidRPr="00CB4E5B">
        <w:rPr>
          <w:rFonts w:cs="Arial" w:hint="cs"/>
          <w:rtl/>
        </w:rPr>
        <w:t>.</w:t>
      </w:r>
      <w:r w:rsidRPr="00886403">
        <w:rPr>
          <w:rFonts w:hint="cs"/>
          <w:color w:val="E36C0A" w:themeColor="accent6" w:themeShade="BF"/>
          <w:rtl/>
        </w:rPr>
        <w:t xml:space="preserve"> </w:t>
      </w:r>
      <w:r w:rsidRPr="00372120">
        <w:rPr>
          <w:rFonts w:hint="cs"/>
          <w:color w:val="E36C0A" w:themeColor="accent6" w:themeShade="BF"/>
          <w:rtl/>
        </w:rPr>
        <w:t>(וכ"פ בשו"ע)</w:t>
      </w:r>
    </w:p>
    <w:p w14:paraId="5591BEC7" w14:textId="77777777" w:rsidR="002C39F4" w:rsidRPr="005B40D6" w:rsidRDefault="002C39F4" w:rsidP="0032102C">
      <w:pPr>
        <w:pStyle w:val="a8"/>
        <w:numPr>
          <w:ilvl w:val="0"/>
          <w:numId w:val="332"/>
        </w:numPr>
        <w:rPr>
          <w:rFonts w:cs="Arial"/>
          <w:rtl/>
        </w:rPr>
      </w:pPr>
      <w:r w:rsidRPr="005B40D6">
        <w:rPr>
          <w:rFonts w:cs="Arial" w:hint="cs"/>
          <w:rtl/>
        </w:rPr>
        <w:t>(</w:t>
      </w:r>
      <w:r w:rsidRPr="005B40D6">
        <w:rPr>
          <w:rFonts w:cs="Arial"/>
          <w:rtl/>
        </w:rPr>
        <w:t>רמב"ם</w:t>
      </w:r>
      <w:r w:rsidRPr="005B40D6">
        <w:rPr>
          <w:rFonts w:cs="Arial" w:hint="cs"/>
          <w:sz w:val="16"/>
          <w:szCs w:val="16"/>
          <w:rtl/>
        </w:rPr>
        <w:t xml:space="preserve"> להב' הב"י</w:t>
      </w:r>
      <w:r>
        <w:rPr>
          <w:rStyle w:val="a7"/>
          <w:rFonts w:cs="Arial"/>
          <w:rtl/>
        </w:rPr>
        <w:footnoteReference w:id="3081"/>
      </w:r>
      <w:r w:rsidRPr="005B40D6">
        <w:rPr>
          <w:rFonts w:cs="Arial" w:hint="cs"/>
          <w:rtl/>
        </w:rPr>
        <w:t>)-</w:t>
      </w:r>
      <w:r w:rsidRPr="005B40D6">
        <w:rPr>
          <w:rFonts w:cs="Arial"/>
          <w:rtl/>
        </w:rPr>
        <w:t xml:space="preserve"> סתם כלים של גוים הן בני יומן</w:t>
      </w:r>
      <w:r w:rsidRPr="005B40D6">
        <w:rPr>
          <w:rFonts w:cs="Arial" w:hint="cs"/>
          <w:rtl/>
        </w:rPr>
        <w:t>.</w:t>
      </w:r>
      <w:r w:rsidRPr="005B40D6">
        <w:rPr>
          <w:rFonts w:cs="Arial"/>
          <w:rtl/>
        </w:rPr>
        <w:t xml:space="preserve"> </w:t>
      </w:r>
    </w:p>
    <w:p w14:paraId="5350AADD" w14:textId="77777777" w:rsidR="002C39F4" w:rsidRDefault="002C39F4" w:rsidP="0032102C">
      <w:pPr>
        <w:pStyle w:val="a8"/>
        <w:numPr>
          <w:ilvl w:val="0"/>
          <w:numId w:val="332"/>
        </w:numPr>
        <w:rPr>
          <w:rFonts w:cs="Arial"/>
        </w:rPr>
      </w:pPr>
      <w:r w:rsidRPr="00CB4E5B">
        <w:rPr>
          <w:rFonts w:cs="Arial" w:hint="cs"/>
          <w:rtl/>
        </w:rPr>
        <w:t xml:space="preserve">י"א </w:t>
      </w:r>
      <w:r w:rsidRPr="00CB4E5B">
        <w:rPr>
          <w:rFonts w:cs="Arial" w:hint="cs"/>
          <w:sz w:val="16"/>
          <w:szCs w:val="16"/>
          <w:rtl/>
        </w:rPr>
        <w:t>(כ"כ הר"ן בשמם)</w:t>
      </w:r>
      <w:r w:rsidRPr="00CB4E5B">
        <w:rPr>
          <w:rFonts w:cs="Arial" w:hint="cs"/>
          <w:rtl/>
        </w:rPr>
        <w:t>- סתם כלי גוים הרי הם בני יומן</w:t>
      </w:r>
      <w:r>
        <w:rPr>
          <w:rFonts w:cs="Arial" w:hint="cs"/>
          <w:rtl/>
        </w:rPr>
        <w:t>,</w:t>
      </w:r>
      <w:r w:rsidRPr="00CB4E5B">
        <w:rPr>
          <w:rFonts w:cs="Arial"/>
          <w:rtl/>
        </w:rPr>
        <w:t xml:space="preserve"> אלא שאלו כולם</w:t>
      </w:r>
      <w:r w:rsidRPr="00CB4E5B">
        <w:rPr>
          <w:rFonts w:cs="Arial" w:hint="cs"/>
          <w:sz w:val="16"/>
          <w:szCs w:val="16"/>
          <w:rtl/>
        </w:rPr>
        <w:t xml:space="preserve"> {הדוגמאות מהגמ' הנ"ל}</w:t>
      </w:r>
      <w:r w:rsidRPr="00CB4E5B">
        <w:rPr>
          <w:rFonts w:cs="Arial"/>
          <w:rtl/>
        </w:rPr>
        <w:t xml:space="preserve"> נפגמים הם אפילו בבני יומן</w:t>
      </w:r>
      <w:r>
        <w:rPr>
          <w:rFonts w:cs="Arial" w:hint="cs"/>
          <w:rtl/>
        </w:rPr>
        <w:t>,</w:t>
      </w:r>
      <w:r w:rsidRPr="00CB4E5B">
        <w:rPr>
          <w:rFonts w:cs="Arial"/>
          <w:rtl/>
        </w:rPr>
        <w:t xml:space="preserve"> אבל בדברים אחרים חיישינן</w:t>
      </w:r>
      <w:r>
        <w:rPr>
          <w:rStyle w:val="a7"/>
          <w:rFonts w:cs="Arial"/>
          <w:rtl/>
        </w:rPr>
        <w:footnoteReference w:id="3082"/>
      </w:r>
      <w:r w:rsidRPr="00CB4E5B">
        <w:rPr>
          <w:rFonts w:cs="Arial" w:hint="cs"/>
          <w:rtl/>
        </w:rPr>
        <w:t>.</w:t>
      </w:r>
      <w:r>
        <w:rPr>
          <w:rFonts w:cs="Arial" w:hint="cs"/>
          <w:rtl/>
        </w:rPr>
        <w:t xml:space="preserve">  </w:t>
      </w:r>
    </w:p>
    <w:p w14:paraId="58B7C091" w14:textId="77777777" w:rsidR="002C39F4" w:rsidRPr="00A64054" w:rsidRDefault="002C39F4" w:rsidP="0032102C">
      <w:pPr>
        <w:pStyle w:val="a8"/>
        <w:numPr>
          <w:ilvl w:val="1"/>
          <w:numId w:val="332"/>
        </w:numPr>
        <w:rPr>
          <w:rFonts w:cs="Arial"/>
        </w:rPr>
      </w:pPr>
      <w:r w:rsidRPr="00A64054">
        <w:rPr>
          <w:rFonts w:cs="Arial" w:hint="cs"/>
          <w:rtl/>
        </w:rPr>
        <w:t>ב"י-</w:t>
      </w:r>
      <w:r w:rsidRPr="00A64054">
        <w:rPr>
          <w:rFonts w:cs="Arial"/>
          <w:rtl/>
        </w:rPr>
        <w:t xml:space="preserve"> לענין הלכה נקטינן כדברי כלל הפוסקים שסוברים דסתם כלי גוים אינן בני יומן</w:t>
      </w:r>
      <w:r>
        <w:rPr>
          <w:rFonts w:cs="Arial" w:hint="cs"/>
          <w:rtl/>
        </w:rPr>
        <w:t>,</w:t>
      </w:r>
      <w:r w:rsidRPr="00A64054">
        <w:rPr>
          <w:rFonts w:cs="Arial"/>
          <w:rtl/>
        </w:rPr>
        <w:t xml:space="preserve"> וכן המנהג</w:t>
      </w:r>
      <w:r w:rsidRPr="00A64054">
        <w:rPr>
          <w:rFonts w:cs="Arial" w:hint="cs"/>
          <w:rtl/>
        </w:rPr>
        <w:t>.</w:t>
      </w:r>
    </w:p>
    <w:p w14:paraId="1C63642D" w14:textId="77777777" w:rsidR="002C39F4" w:rsidRDefault="002C39F4" w:rsidP="002C39F4">
      <w:pPr>
        <w:rPr>
          <w:rFonts w:cs="Arial"/>
          <w:rtl/>
        </w:rPr>
      </w:pPr>
      <w:r>
        <w:rPr>
          <w:rFonts w:cs="Arial" w:hint="cs"/>
          <w:b/>
          <w:bCs/>
          <w:rtl/>
        </w:rPr>
        <w:t xml:space="preserve">חולין ח ע"ב: </w:t>
      </w:r>
      <w:r w:rsidRPr="00A37D0A">
        <w:rPr>
          <w:rFonts w:cs="Arial"/>
          <w:rtl/>
        </w:rPr>
        <w:t xml:space="preserve">אתמר: השוחט בסכין של עובדי כוכבים - </w:t>
      </w:r>
      <w:r w:rsidRPr="00A37D0A">
        <w:rPr>
          <w:rFonts w:cs="Arial"/>
          <w:u w:val="single"/>
          <w:rtl/>
        </w:rPr>
        <w:t>רב אמר</w:t>
      </w:r>
      <w:r w:rsidRPr="00A37D0A">
        <w:rPr>
          <w:rFonts w:cs="Arial"/>
          <w:rtl/>
        </w:rPr>
        <w:t xml:space="preserve">: קולף, </w:t>
      </w:r>
      <w:r w:rsidRPr="00A37D0A">
        <w:rPr>
          <w:rFonts w:cs="Arial"/>
          <w:u w:val="single"/>
          <w:rtl/>
        </w:rPr>
        <w:t>ורבה בר בר חנה אמר</w:t>
      </w:r>
      <w:r w:rsidRPr="00A37D0A">
        <w:rPr>
          <w:rFonts w:cs="Arial"/>
          <w:rtl/>
        </w:rPr>
        <w:t xml:space="preserve">: מדיח. </w:t>
      </w:r>
      <w:r w:rsidRPr="00A37D0A">
        <w:rPr>
          <w:rFonts w:cs="Arial" w:hint="cs"/>
          <w:sz w:val="16"/>
          <w:szCs w:val="16"/>
          <w:rtl/>
        </w:rPr>
        <w:t>(</w:t>
      </w:r>
      <w:r>
        <w:rPr>
          <w:rFonts w:cs="Arial" w:hint="cs"/>
          <w:sz w:val="16"/>
          <w:szCs w:val="16"/>
          <w:rtl/>
        </w:rPr>
        <w:t>לכאורה משמע ד</w:t>
      </w:r>
      <w:r w:rsidRPr="00A37D0A">
        <w:rPr>
          <w:rFonts w:cs="Arial"/>
          <w:sz w:val="16"/>
          <w:szCs w:val="16"/>
          <w:rtl/>
        </w:rPr>
        <w:t>חיישינן</w:t>
      </w:r>
      <w:r>
        <w:rPr>
          <w:rFonts w:cs="Arial" w:hint="cs"/>
          <w:sz w:val="16"/>
          <w:szCs w:val="16"/>
          <w:rtl/>
        </w:rPr>
        <w:t xml:space="preserve"> בסכין של גוים</w:t>
      </w:r>
      <w:r w:rsidRPr="00A37D0A">
        <w:rPr>
          <w:rFonts w:cs="Arial"/>
          <w:sz w:val="16"/>
          <w:szCs w:val="16"/>
          <w:rtl/>
        </w:rPr>
        <w:t xml:space="preserve"> לבן יומו שאם לא מפני כך הוי ליה נותן טעם לפגם ומותר</w:t>
      </w:r>
      <w:r>
        <w:rPr>
          <w:rFonts w:cs="Arial" w:hint="cs"/>
          <w:sz w:val="16"/>
          <w:szCs w:val="16"/>
          <w:rtl/>
        </w:rPr>
        <w:t>, ע"פ ר"ן)</w:t>
      </w:r>
    </w:p>
    <w:p w14:paraId="2C06E299" w14:textId="77777777" w:rsidR="002C39F4" w:rsidRDefault="002C39F4" w:rsidP="002C39F4">
      <w:pPr>
        <w:rPr>
          <w:rFonts w:cs="Arial"/>
          <w:rtl/>
        </w:rPr>
      </w:pPr>
      <w:r>
        <w:rPr>
          <w:rFonts w:cs="Arial" w:hint="cs"/>
          <w:b/>
          <w:bCs/>
          <w:rtl/>
        </w:rPr>
        <w:t xml:space="preserve">עבודה זרה לה ע"ב: </w:t>
      </w:r>
      <w:r w:rsidRPr="00A37D0A">
        <w:rPr>
          <w:rFonts w:cs="Arial"/>
          <w:u w:val="double"/>
          <w:rtl/>
        </w:rPr>
        <w:t>מתני'</w:t>
      </w:r>
      <w:r w:rsidRPr="00A37D0A">
        <w:rPr>
          <w:rFonts w:cs="Arial" w:hint="cs"/>
          <w:rtl/>
        </w:rPr>
        <w:t>:</w:t>
      </w:r>
      <w:r w:rsidRPr="00A37D0A">
        <w:rPr>
          <w:rFonts w:cs="Arial"/>
          <w:rtl/>
        </w:rPr>
        <w:t xml:space="preserve"> ואלו דברים של עובדי כוכבים אסורין ואין איסורן איסור הנאה</w:t>
      </w:r>
      <w:r>
        <w:rPr>
          <w:rFonts w:cs="Arial" w:hint="cs"/>
          <w:rtl/>
        </w:rPr>
        <w:t xml:space="preserve">... </w:t>
      </w:r>
      <w:r w:rsidRPr="00A37D0A">
        <w:rPr>
          <w:rFonts w:cs="Arial"/>
          <w:rtl/>
        </w:rPr>
        <w:t>וקורט של חלתית</w:t>
      </w:r>
      <w:r>
        <w:rPr>
          <w:rStyle w:val="a7"/>
          <w:rFonts w:cs="Arial"/>
          <w:rtl/>
        </w:rPr>
        <w:footnoteReference w:id="3083"/>
      </w:r>
      <w:r w:rsidRPr="00A37D0A">
        <w:rPr>
          <w:rFonts w:cs="Arial" w:hint="cs"/>
          <w:rtl/>
        </w:rPr>
        <w:t>...</w:t>
      </w:r>
      <w:r w:rsidRPr="00A37D0A">
        <w:rPr>
          <w:rFonts w:cs="Arial"/>
          <w:b/>
          <w:bCs/>
          <w:rtl/>
        </w:rPr>
        <w:t xml:space="preserve"> </w:t>
      </w:r>
      <w:r>
        <w:rPr>
          <w:rFonts w:cs="Arial" w:hint="cs"/>
          <w:rtl/>
        </w:rPr>
        <w:t xml:space="preserve">   </w:t>
      </w:r>
      <w:r w:rsidRPr="00A37D0A">
        <w:rPr>
          <w:rFonts w:cs="Arial" w:hint="cs"/>
          <w:u w:val="double"/>
          <w:rtl/>
        </w:rPr>
        <w:t>גמ'</w:t>
      </w:r>
      <w:r w:rsidRPr="00A37D0A">
        <w:rPr>
          <w:rFonts w:cs="Arial" w:hint="cs"/>
          <w:sz w:val="14"/>
          <w:szCs w:val="14"/>
          <w:u w:val="double"/>
          <w:rtl/>
        </w:rPr>
        <w:t>(לט.)</w:t>
      </w:r>
      <w:r w:rsidRPr="00A37D0A">
        <w:rPr>
          <w:rFonts w:cs="Arial" w:hint="cs"/>
          <w:u w:val="double"/>
          <w:rtl/>
        </w:rPr>
        <w:t>:</w:t>
      </w:r>
      <w:r>
        <w:rPr>
          <w:rFonts w:cs="Arial" w:hint="cs"/>
          <w:rtl/>
        </w:rPr>
        <w:t xml:space="preserve"> </w:t>
      </w:r>
      <w:r w:rsidRPr="00A37D0A">
        <w:rPr>
          <w:rFonts w:cs="Arial"/>
          <w:rtl/>
        </w:rPr>
        <w:t>והקורט של חילתית. מ"ט? משום דמפסקי ליה בסכינא; אף על גב דאמר מר: נותן טעם לפגם מותר, אגב חורפיה דחילתיתא - מחליא ליה שמנוניתא, והוה ליה כנותן טעם לשבח ואסור.</w:t>
      </w:r>
      <w:r w:rsidRPr="00A37D0A">
        <w:rPr>
          <w:rFonts w:cs="Arial" w:hint="cs"/>
          <w:sz w:val="16"/>
          <w:szCs w:val="16"/>
          <w:rtl/>
        </w:rPr>
        <w:t xml:space="preserve"> </w:t>
      </w:r>
    </w:p>
    <w:p w14:paraId="1F2FCFAA" w14:textId="77777777" w:rsidR="002C39F4" w:rsidRPr="00A37D0A" w:rsidRDefault="002C39F4" w:rsidP="002C39F4">
      <w:pPr>
        <w:rPr>
          <w:rFonts w:cs="Arial"/>
          <w:u w:val="single"/>
          <w:rtl/>
        </w:rPr>
      </w:pPr>
      <w:r w:rsidRPr="00A37D0A">
        <w:rPr>
          <w:rFonts w:cs="Arial" w:hint="cs"/>
          <w:u w:val="single"/>
          <w:rtl/>
        </w:rPr>
        <w:t>סתם סכין של גוים</w:t>
      </w:r>
      <w:r>
        <w:rPr>
          <w:rFonts w:cs="Arial" w:hint="cs"/>
          <w:u w:val="single"/>
          <w:rtl/>
        </w:rPr>
        <w:t>:</w:t>
      </w:r>
    </w:p>
    <w:p w14:paraId="083E7C8F" w14:textId="77777777" w:rsidR="002C39F4" w:rsidRDefault="002C39F4" w:rsidP="0032102C">
      <w:pPr>
        <w:pStyle w:val="a8"/>
        <w:numPr>
          <w:ilvl w:val="0"/>
          <w:numId w:val="332"/>
        </w:numPr>
        <w:rPr>
          <w:rFonts w:cs="Arial"/>
        </w:rPr>
      </w:pPr>
      <w:r>
        <w:rPr>
          <w:rFonts w:cs="Arial" w:hint="cs"/>
          <w:rtl/>
        </w:rPr>
        <w:t>י"א</w:t>
      </w:r>
      <w:r w:rsidRPr="00CB4E5B">
        <w:rPr>
          <w:rFonts w:cs="Arial" w:hint="cs"/>
          <w:rtl/>
        </w:rPr>
        <w:t xml:space="preserve"> </w:t>
      </w:r>
      <w:r w:rsidRPr="00CB4E5B">
        <w:rPr>
          <w:rFonts w:cs="Arial" w:hint="cs"/>
          <w:sz w:val="16"/>
          <w:szCs w:val="16"/>
          <w:rtl/>
        </w:rPr>
        <w:t>(כ"כ הר"ן בשמם)</w:t>
      </w:r>
      <w:r w:rsidRPr="00CB4E5B">
        <w:rPr>
          <w:rFonts w:cs="Arial" w:hint="cs"/>
          <w:rtl/>
        </w:rPr>
        <w:t xml:space="preserve">- </w:t>
      </w:r>
      <w:r w:rsidRPr="00CB4E5B">
        <w:rPr>
          <w:rFonts w:cs="Arial"/>
          <w:rtl/>
        </w:rPr>
        <w:t>כיון שהסכין תשמישו תדיר חיישינן לבן יומו</w:t>
      </w:r>
      <w:r>
        <w:rPr>
          <w:rFonts w:cs="Arial" w:hint="cs"/>
          <w:rtl/>
        </w:rPr>
        <w:t>.</w:t>
      </w:r>
      <w:r w:rsidRPr="00CB4E5B">
        <w:rPr>
          <w:rFonts w:cs="Arial"/>
          <w:rtl/>
        </w:rPr>
        <w:t xml:space="preserve"> </w:t>
      </w:r>
      <w:r>
        <w:rPr>
          <w:rFonts w:cs="Arial" w:hint="cs"/>
          <w:rtl/>
        </w:rPr>
        <w:t xml:space="preserve"> </w:t>
      </w:r>
    </w:p>
    <w:p w14:paraId="603D3E95" w14:textId="77777777" w:rsidR="002C39F4" w:rsidRPr="00084775" w:rsidRDefault="002C39F4" w:rsidP="0032102C">
      <w:pPr>
        <w:pStyle w:val="a8"/>
        <w:numPr>
          <w:ilvl w:val="0"/>
          <w:numId w:val="332"/>
        </w:numPr>
        <w:rPr>
          <w:rFonts w:cs="Arial"/>
          <w:rtl/>
        </w:rPr>
      </w:pPr>
      <w:r w:rsidRPr="00084775">
        <w:rPr>
          <w:rFonts w:cs="Arial"/>
          <w:rtl/>
        </w:rPr>
        <w:t xml:space="preserve">רשב"א </w:t>
      </w:r>
      <w:r w:rsidRPr="00084775">
        <w:rPr>
          <w:rFonts w:cs="Arial"/>
          <w:sz w:val="16"/>
          <w:szCs w:val="16"/>
          <w:rtl/>
        </w:rPr>
        <w:t>(חולין ח: ד"ה אתמר, תוה"א ב"ד ש"ד לה ע"ג</w:t>
      </w:r>
      <w:r w:rsidRPr="00084775">
        <w:rPr>
          <w:rFonts w:cs="Arial" w:hint="cs"/>
          <w:sz w:val="16"/>
          <w:szCs w:val="16"/>
          <w:rtl/>
        </w:rPr>
        <w:t>, כ"כ בשמו רי"ו [</w:t>
      </w:r>
      <w:r w:rsidRPr="00084775">
        <w:rPr>
          <w:rFonts w:cs="Arial"/>
          <w:sz w:val="16"/>
          <w:szCs w:val="16"/>
          <w:rtl/>
        </w:rPr>
        <w:t>ני"ז ח"ח קסא-ב</w:t>
      </w:r>
      <w:r w:rsidRPr="00084775">
        <w:rPr>
          <w:rFonts w:cs="Arial" w:hint="cs"/>
          <w:sz w:val="16"/>
          <w:szCs w:val="16"/>
          <w:rtl/>
        </w:rPr>
        <w:t>.], הביאו הב"י בבדה"ב</w:t>
      </w:r>
      <w:r w:rsidRPr="00084775">
        <w:rPr>
          <w:rFonts w:cs="Arial"/>
          <w:sz w:val="16"/>
          <w:szCs w:val="16"/>
          <w:rtl/>
        </w:rPr>
        <w:t>)</w:t>
      </w:r>
      <w:r w:rsidRPr="00084775">
        <w:rPr>
          <w:rFonts w:cs="Arial" w:hint="cs"/>
          <w:rtl/>
        </w:rPr>
        <w:t xml:space="preserve">- </w:t>
      </w:r>
      <w:r w:rsidRPr="00084775">
        <w:rPr>
          <w:rFonts w:cs="Arial"/>
          <w:rtl/>
        </w:rPr>
        <w:t>לא אמרו נותן טעם לפגם מותר אלא בדברים שדרכן להדיחן ולהסיר שומנן</w:t>
      </w:r>
      <w:r w:rsidRPr="00084775">
        <w:rPr>
          <w:rFonts w:cs="Arial" w:hint="cs"/>
          <w:rtl/>
        </w:rPr>
        <w:t>,</w:t>
      </w:r>
      <w:r w:rsidRPr="00084775">
        <w:rPr>
          <w:rFonts w:cs="Arial"/>
          <w:rtl/>
        </w:rPr>
        <w:t xml:space="preserve"> אבל בסכין שאין דרך להדיחו משומנו והשומן הוא בעין לא אמרינן בזה נותן טעם לפגם מותר</w:t>
      </w:r>
      <w:r w:rsidRPr="00084775">
        <w:rPr>
          <w:rFonts w:cs="Arial" w:hint="cs"/>
          <w:rtl/>
        </w:rPr>
        <w:t>,</w:t>
      </w:r>
      <w:r w:rsidRPr="00084775">
        <w:rPr>
          <w:rFonts w:cs="Arial"/>
          <w:rtl/>
        </w:rPr>
        <w:t xml:space="preserve"> וסכין של חנוני דרכו לקנחו</w:t>
      </w:r>
      <w:r w:rsidRPr="00084775">
        <w:rPr>
          <w:rFonts w:cs="Arial" w:hint="cs"/>
          <w:rtl/>
        </w:rPr>
        <w:t>.</w:t>
      </w:r>
    </w:p>
    <w:p w14:paraId="2896C2A8" w14:textId="77777777" w:rsidR="002C39F4" w:rsidRDefault="002C39F4" w:rsidP="0032102C">
      <w:pPr>
        <w:pStyle w:val="a8"/>
        <w:numPr>
          <w:ilvl w:val="0"/>
          <w:numId w:val="332"/>
        </w:numPr>
        <w:rPr>
          <w:rFonts w:cs="Arial"/>
        </w:rPr>
      </w:pPr>
      <w:r w:rsidRPr="00CB4E5B">
        <w:rPr>
          <w:rFonts w:cs="Arial"/>
          <w:rtl/>
        </w:rPr>
        <w:t>רמב"ן</w:t>
      </w:r>
      <w:r>
        <w:rPr>
          <w:rFonts w:cs="Arial" w:hint="cs"/>
          <w:sz w:val="16"/>
          <w:szCs w:val="16"/>
          <w:rtl/>
        </w:rPr>
        <w:t xml:space="preserve"> (כ"כ הר"ן בשמו)</w:t>
      </w:r>
      <w:r>
        <w:rPr>
          <w:rFonts w:cs="Arial" w:hint="cs"/>
          <w:rtl/>
        </w:rPr>
        <w:t xml:space="preserve">- </w:t>
      </w:r>
      <w:r w:rsidRPr="00CB4E5B">
        <w:rPr>
          <w:rFonts w:cs="Arial"/>
          <w:rtl/>
        </w:rPr>
        <w:t>בסכין נמי לא חיישינן לבן יומו</w:t>
      </w:r>
      <w:r>
        <w:rPr>
          <w:rFonts w:cs="Arial" w:hint="cs"/>
          <w:rtl/>
        </w:rPr>
        <w:t>,</w:t>
      </w:r>
      <w:r w:rsidRPr="00CB4E5B">
        <w:rPr>
          <w:rFonts w:cs="Arial"/>
          <w:rtl/>
        </w:rPr>
        <w:t xml:space="preserve"> דאי חיישינן </w:t>
      </w:r>
      <w:r>
        <w:rPr>
          <w:rFonts w:cs="Arial" w:hint="cs"/>
          <w:rtl/>
        </w:rPr>
        <w:t xml:space="preserve">- </w:t>
      </w:r>
      <w:r w:rsidRPr="00CB4E5B">
        <w:rPr>
          <w:rFonts w:cs="Arial"/>
          <w:rtl/>
        </w:rPr>
        <w:t>בלא חורפא דחלתיתא הוי ליה נותן טעם לשבח</w:t>
      </w:r>
      <w:r>
        <w:rPr>
          <w:rFonts w:cs="Arial" w:hint="cs"/>
          <w:rtl/>
        </w:rPr>
        <w:t>,</w:t>
      </w:r>
      <w:r w:rsidRPr="00CB4E5B">
        <w:rPr>
          <w:rFonts w:cs="Arial"/>
          <w:rtl/>
        </w:rPr>
        <w:t xml:space="preserve"> </w:t>
      </w:r>
      <w:r>
        <w:rPr>
          <w:rFonts w:cs="Arial" w:hint="cs"/>
          <w:rtl/>
        </w:rPr>
        <w:t xml:space="preserve">אלא </w:t>
      </w:r>
      <w:r w:rsidRPr="00CB4E5B">
        <w:rPr>
          <w:rFonts w:cs="Arial"/>
          <w:rtl/>
        </w:rPr>
        <w:t>שאפשר שחלתית אי לאו משום חורפא דיליה נפגם אפילו בבן יומו אלא חורפא דיליה מחליא ליה ומהדר ליה טעמיה לשבח</w:t>
      </w:r>
      <w:r>
        <w:rPr>
          <w:rStyle w:val="a7"/>
          <w:rFonts w:cs="Arial"/>
          <w:rtl/>
        </w:rPr>
        <w:footnoteReference w:id="3084"/>
      </w:r>
      <w:r>
        <w:rPr>
          <w:rFonts w:cs="Arial" w:hint="cs"/>
          <w:rtl/>
        </w:rPr>
        <w:t>.</w:t>
      </w:r>
      <w:r w:rsidRPr="00CB4E5B">
        <w:rPr>
          <w:rFonts w:cs="Arial"/>
          <w:rtl/>
        </w:rPr>
        <w:t xml:space="preserve"> </w:t>
      </w:r>
    </w:p>
    <w:p w14:paraId="3AB6696B" w14:textId="77777777" w:rsidR="002C39F4" w:rsidRPr="00CB4E5B" w:rsidRDefault="002C39F4" w:rsidP="0032102C">
      <w:pPr>
        <w:pStyle w:val="a8"/>
        <w:numPr>
          <w:ilvl w:val="0"/>
          <w:numId w:val="332"/>
        </w:numPr>
        <w:rPr>
          <w:rFonts w:cs="Arial"/>
          <w:rtl/>
        </w:rPr>
      </w:pPr>
      <w:r w:rsidRPr="00CB4E5B">
        <w:rPr>
          <w:rFonts w:cs="Arial"/>
          <w:rtl/>
        </w:rPr>
        <w:t xml:space="preserve">רא"ש </w:t>
      </w:r>
      <w:r w:rsidRPr="00084775">
        <w:rPr>
          <w:rFonts w:cs="Arial"/>
          <w:sz w:val="16"/>
          <w:szCs w:val="16"/>
          <w:rtl/>
        </w:rPr>
        <w:t>(ע"ז פ"ב סי' לה)</w:t>
      </w:r>
      <w:r w:rsidRPr="00084775">
        <w:rPr>
          <w:rFonts w:cs="Arial" w:hint="cs"/>
          <w:sz w:val="16"/>
          <w:szCs w:val="16"/>
          <w:rtl/>
        </w:rPr>
        <w:t xml:space="preserve"> </w:t>
      </w:r>
      <w:r>
        <w:rPr>
          <w:rFonts w:cs="Arial" w:hint="cs"/>
          <w:rtl/>
        </w:rPr>
        <w:t xml:space="preserve">ור"ן </w:t>
      </w:r>
      <w:r>
        <w:rPr>
          <w:rFonts w:cs="Arial" w:hint="cs"/>
          <w:sz w:val="16"/>
          <w:szCs w:val="16"/>
          <w:rtl/>
        </w:rPr>
        <w:t>(שם)</w:t>
      </w:r>
      <w:r>
        <w:rPr>
          <w:rFonts w:cs="Arial" w:hint="cs"/>
          <w:rtl/>
        </w:rPr>
        <w:t>- סתם סכין של גוי אינו בן יומו, ו</w:t>
      </w:r>
      <w:r w:rsidRPr="00CB4E5B">
        <w:rPr>
          <w:rFonts w:cs="Arial"/>
          <w:rtl/>
        </w:rPr>
        <w:t>הא דאמרינן בפ"ק דחולין השוחט בסכין של גוים קולף או מדיח התם מיירי בידוע שהוא בן יומו</w:t>
      </w:r>
      <w:r>
        <w:rPr>
          <w:rFonts w:cs="Arial" w:hint="cs"/>
          <w:rtl/>
        </w:rPr>
        <w:t>,</w:t>
      </w:r>
      <w:r w:rsidRPr="00CB4E5B">
        <w:rPr>
          <w:rFonts w:cs="Arial"/>
          <w:rtl/>
        </w:rPr>
        <w:t xml:space="preserve"> </w:t>
      </w:r>
      <w:r>
        <w:rPr>
          <w:rFonts w:cs="Arial" w:hint="cs"/>
          <w:rtl/>
        </w:rPr>
        <w:t>א"נ</w:t>
      </w:r>
      <w:r w:rsidRPr="00CB4E5B">
        <w:rPr>
          <w:rFonts w:cs="Arial"/>
          <w:rtl/>
        </w:rPr>
        <w:t xml:space="preserve"> בשוחט לכתחלה על מנת להדיח או לקלוף דדוקא בדיעבד התירו נותן טעם לפגם</w:t>
      </w:r>
      <w:r>
        <w:rPr>
          <w:rFonts w:cs="Arial" w:hint="cs"/>
          <w:sz w:val="16"/>
          <w:szCs w:val="16"/>
          <w:rtl/>
        </w:rPr>
        <w:t xml:space="preserve"> (ל' הרא"ש)</w:t>
      </w:r>
      <w:r>
        <w:rPr>
          <w:rFonts w:cs="Arial" w:hint="cs"/>
          <w:rtl/>
        </w:rPr>
        <w:t>.</w:t>
      </w:r>
    </w:p>
    <w:p w14:paraId="02F7052B" w14:textId="77777777" w:rsidR="002C39F4" w:rsidRPr="00221763" w:rsidRDefault="002C39F4" w:rsidP="002C39F4">
      <w:pPr>
        <w:rPr>
          <w:rFonts w:cs="Arial"/>
          <w:sz w:val="16"/>
          <w:szCs w:val="16"/>
          <w:rtl/>
        </w:rPr>
      </w:pPr>
      <w:r w:rsidRPr="00221763">
        <w:rPr>
          <w:rFonts w:cs="Arial" w:hint="cs"/>
          <w:u w:val="single"/>
          <w:rtl/>
        </w:rPr>
        <w:t>לישה במים שהוחמו בכלי של גוי:</w:t>
      </w:r>
      <w:r>
        <w:rPr>
          <w:rFonts w:cs="Arial" w:hint="cs"/>
          <w:rtl/>
        </w:rPr>
        <w:t xml:space="preserve">  </w:t>
      </w:r>
      <w:r w:rsidRPr="00221763">
        <w:rPr>
          <w:rFonts w:cs="Arial" w:hint="cs"/>
          <w:sz w:val="16"/>
          <w:szCs w:val="16"/>
          <w:rtl/>
        </w:rPr>
        <w:t xml:space="preserve"> </w:t>
      </w:r>
      <w:r w:rsidRPr="00221763">
        <w:rPr>
          <w:rFonts w:cs="Arial"/>
          <w:sz w:val="16"/>
          <w:szCs w:val="16"/>
          <w:rtl/>
        </w:rPr>
        <w:t>(</w:t>
      </w:r>
      <w:r w:rsidRPr="00221763">
        <w:rPr>
          <w:rFonts w:cs="Arial" w:hint="cs"/>
          <w:sz w:val="16"/>
          <w:szCs w:val="16"/>
          <w:rtl/>
        </w:rPr>
        <w:t xml:space="preserve">דרכ"מ [אות </w:t>
      </w:r>
      <w:r w:rsidRPr="00221763">
        <w:rPr>
          <w:rFonts w:cs="Arial"/>
          <w:sz w:val="16"/>
          <w:szCs w:val="16"/>
          <w:rtl/>
        </w:rPr>
        <w:t>א**</w:t>
      </w:r>
      <w:r w:rsidRPr="00221763">
        <w:rPr>
          <w:rFonts w:cs="Arial" w:hint="cs"/>
          <w:sz w:val="16"/>
          <w:szCs w:val="16"/>
          <w:rtl/>
        </w:rPr>
        <w:t>]</w:t>
      </w:r>
      <w:r w:rsidRPr="00221763">
        <w:rPr>
          <w:rFonts w:cs="Arial"/>
          <w:sz w:val="16"/>
          <w:szCs w:val="16"/>
          <w:rtl/>
        </w:rPr>
        <w:t xml:space="preserve">) </w:t>
      </w:r>
    </w:p>
    <w:p w14:paraId="598DE72F" w14:textId="77777777" w:rsidR="002C39F4" w:rsidRPr="00221763" w:rsidRDefault="002C39F4" w:rsidP="0032102C">
      <w:pPr>
        <w:pStyle w:val="a8"/>
        <w:numPr>
          <w:ilvl w:val="0"/>
          <w:numId w:val="334"/>
        </w:numPr>
        <w:rPr>
          <w:rFonts w:cs="Arial"/>
        </w:rPr>
      </w:pPr>
      <w:r w:rsidRPr="00221763">
        <w:rPr>
          <w:rFonts w:cs="Arial" w:hint="cs"/>
          <w:rtl/>
        </w:rPr>
        <w:t>שע"ד</w:t>
      </w:r>
      <w:r w:rsidRPr="00221763">
        <w:rPr>
          <w:rFonts w:cs="Arial"/>
          <w:rtl/>
        </w:rPr>
        <w:t xml:space="preserve"> </w:t>
      </w:r>
      <w:r w:rsidRPr="00221763">
        <w:rPr>
          <w:rFonts w:cs="Arial"/>
          <w:sz w:val="16"/>
          <w:szCs w:val="16"/>
          <w:rtl/>
        </w:rPr>
        <w:t>(סי' נט)</w:t>
      </w:r>
      <w:r w:rsidRPr="00221763">
        <w:rPr>
          <w:rFonts w:cs="Arial" w:hint="cs"/>
          <w:sz w:val="16"/>
          <w:szCs w:val="16"/>
          <w:rtl/>
        </w:rPr>
        <w:t xml:space="preserve"> </w:t>
      </w:r>
      <w:r w:rsidRPr="00221763">
        <w:rPr>
          <w:rFonts w:cs="Arial" w:hint="cs"/>
          <w:rtl/>
        </w:rPr>
        <w:t xml:space="preserve">ומהרא"י </w:t>
      </w:r>
      <w:r w:rsidRPr="00221763">
        <w:rPr>
          <w:rFonts w:cs="Arial" w:hint="cs"/>
          <w:sz w:val="16"/>
          <w:szCs w:val="16"/>
          <w:rtl/>
        </w:rPr>
        <w:t>(בהגשע"ד סי' נט סק"ג)</w:t>
      </w:r>
      <w:r w:rsidRPr="00221763">
        <w:rPr>
          <w:rFonts w:cs="Arial" w:hint="cs"/>
          <w:rtl/>
        </w:rPr>
        <w:t>-</w:t>
      </w:r>
      <w:r w:rsidRPr="00221763">
        <w:rPr>
          <w:rFonts w:cs="Arial"/>
          <w:rtl/>
        </w:rPr>
        <w:t xml:space="preserve"> א</w:t>
      </w:r>
      <w:r w:rsidRPr="00221763">
        <w:rPr>
          <w:rFonts w:cs="Arial" w:hint="cs"/>
          <w:rtl/>
        </w:rPr>
        <w:t>ע"ג</w:t>
      </w:r>
      <w:r w:rsidRPr="00221763">
        <w:rPr>
          <w:rFonts w:cs="Arial"/>
          <w:rtl/>
        </w:rPr>
        <w:t xml:space="preserve"> דסתם כלים של גוים אינן בני יומן מ</w:t>
      </w:r>
      <w:r w:rsidRPr="00221763">
        <w:rPr>
          <w:rFonts w:cs="Arial" w:hint="cs"/>
          <w:rtl/>
        </w:rPr>
        <w:t>"מ</w:t>
      </w:r>
      <w:r w:rsidRPr="00221763">
        <w:rPr>
          <w:rFonts w:cs="Arial"/>
          <w:rtl/>
        </w:rPr>
        <w:t xml:space="preserve"> מים שהוחמו לפת בכלי של גוים אסור ללוש בהן דהוי כלכתחילה</w:t>
      </w:r>
      <w:r w:rsidRPr="00221763">
        <w:rPr>
          <w:rFonts w:cs="Arial" w:hint="cs"/>
          <w:sz w:val="16"/>
          <w:szCs w:val="16"/>
          <w:rtl/>
        </w:rPr>
        <w:t xml:space="preserve"> (ל' שע"ד)</w:t>
      </w:r>
      <w:r w:rsidRPr="00221763">
        <w:rPr>
          <w:rFonts w:cs="Arial" w:hint="cs"/>
          <w:rtl/>
        </w:rPr>
        <w:t>. ו</w:t>
      </w:r>
      <w:r w:rsidRPr="00221763">
        <w:rPr>
          <w:rFonts w:cs="Arial"/>
          <w:rtl/>
        </w:rPr>
        <w:t>אין להתיר נותן טעם לפגם זה שהרי עדיין לא התחיל הנאתן שהרי לא הוחמו לשתיה אלא לפת ולענין זה הוי כלכתחילה</w:t>
      </w:r>
      <w:r w:rsidRPr="00221763">
        <w:rPr>
          <w:rFonts w:cs="Arial" w:hint="cs"/>
          <w:sz w:val="16"/>
          <w:szCs w:val="16"/>
          <w:rtl/>
        </w:rPr>
        <w:t xml:space="preserve"> (ל' מהרא"י)</w:t>
      </w:r>
      <w:r w:rsidRPr="00221763">
        <w:rPr>
          <w:rFonts w:cs="Arial" w:hint="cs"/>
          <w:rtl/>
        </w:rPr>
        <w:t>.</w:t>
      </w:r>
      <w:r w:rsidRPr="00886403">
        <w:rPr>
          <w:rFonts w:cs="Arial" w:hint="cs"/>
          <w:color w:val="00B0F0"/>
          <w:rtl/>
        </w:rPr>
        <w:t xml:space="preserve"> (וכ"פ הרמ"א)</w:t>
      </w:r>
    </w:p>
    <w:p w14:paraId="33EAE87E" w14:textId="77777777" w:rsidR="002C39F4" w:rsidRDefault="002C39F4" w:rsidP="002C39F4">
      <w:pPr>
        <w:rPr>
          <w:rtl/>
        </w:rPr>
      </w:pPr>
      <w:r w:rsidRPr="00221763">
        <w:rPr>
          <w:rFonts w:cs="Arial" w:hint="cs"/>
          <w:b/>
          <w:bCs/>
          <w:rtl/>
        </w:rPr>
        <w:t xml:space="preserve">חולין ו ע"א: </w:t>
      </w:r>
      <w:r w:rsidRPr="00221763">
        <w:rPr>
          <w:rFonts w:cs="Arial"/>
          <w:rtl/>
        </w:rPr>
        <w:t>ולא גזרו על תערובת דמאי? והתניא: הנותן לשכנתו עיסה לאפות וקדירה לבשל - אינו חושש לשאור ותבלין שבה לא משום שביעית ולא משום מעשר, ואם אמר לה עשי לי משליכי - חושש לשאור ותבלין שבה משום שביעית ומשום מעשר! שאני התם, דכיון דקאמר לה עשי לי משליכי, כמאן דעריב בידים דמי.</w:t>
      </w:r>
    </w:p>
    <w:p w14:paraId="55E60243" w14:textId="77777777" w:rsidR="002C39F4" w:rsidRPr="00497207" w:rsidRDefault="002C39F4" w:rsidP="002C39F4">
      <w:pPr>
        <w:rPr>
          <w:u w:val="single"/>
          <w:rtl/>
        </w:rPr>
      </w:pPr>
      <w:r>
        <w:rPr>
          <w:rFonts w:hint="cs"/>
          <w:u w:val="single"/>
          <w:rtl/>
        </w:rPr>
        <w:t xml:space="preserve">האם מותר לישראל לומר </w:t>
      </w:r>
      <w:r w:rsidRPr="00497207">
        <w:rPr>
          <w:rFonts w:hint="cs"/>
          <w:u w:val="single"/>
          <w:rtl/>
        </w:rPr>
        <w:t>לגוי</w:t>
      </w:r>
      <w:r>
        <w:rPr>
          <w:rFonts w:hint="cs"/>
          <w:u w:val="single"/>
          <w:rtl/>
        </w:rPr>
        <w:t xml:space="preserve"> -</w:t>
      </w:r>
      <w:r w:rsidRPr="00497207">
        <w:rPr>
          <w:rFonts w:hint="cs"/>
          <w:u w:val="single"/>
          <w:rtl/>
        </w:rPr>
        <w:t xml:space="preserve"> </w:t>
      </w:r>
      <w:r>
        <w:rPr>
          <w:rFonts w:hint="cs"/>
          <w:u w:val="single"/>
          <w:rtl/>
        </w:rPr>
        <w:t>'</w:t>
      </w:r>
      <w:r w:rsidRPr="00497207">
        <w:rPr>
          <w:rFonts w:hint="cs"/>
          <w:u w:val="single"/>
          <w:rtl/>
        </w:rPr>
        <w:t xml:space="preserve">בשל </w:t>
      </w:r>
      <w:r>
        <w:rPr>
          <w:rFonts w:hint="cs"/>
          <w:u w:val="single"/>
          <w:rtl/>
        </w:rPr>
        <w:t xml:space="preserve">לי תבשיל </w:t>
      </w:r>
      <w:r w:rsidRPr="00497207">
        <w:rPr>
          <w:rFonts w:hint="cs"/>
          <w:u w:val="single"/>
          <w:rtl/>
        </w:rPr>
        <w:t>בקדרת</w:t>
      </w:r>
      <w:r>
        <w:rPr>
          <w:rFonts w:hint="cs"/>
          <w:u w:val="single"/>
          <w:rtl/>
        </w:rPr>
        <w:t>ך'</w:t>
      </w:r>
      <w:r>
        <w:rPr>
          <w:rFonts w:hint="cs"/>
          <w:sz w:val="16"/>
          <w:szCs w:val="16"/>
          <w:u w:val="single"/>
          <w:rtl/>
        </w:rPr>
        <w:t xml:space="preserve"> (בעניין שאין בעיה משום בישולי גוים)</w:t>
      </w:r>
      <w:r>
        <w:rPr>
          <w:rFonts w:hint="cs"/>
          <w:u w:val="single"/>
          <w:rtl/>
        </w:rPr>
        <w:t>:</w:t>
      </w:r>
    </w:p>
    <w:p w14:paraId="73F1B208" w14:textId="77777777" w:rsidR="002C39F4" w:rsidRDefault="002C39F4" w:rsidP="0032102C">
      <w:pPr>
        <w:pStyle w:val="a8"/>
        <w:numPr>
          <w:ilvl w:val="0"/>
          <w:numId w:val="334"/>
        </w:numPr>
        <w:rPr>
          <w:rtl/>
        </w:rPr>
      </w:pPr>
      <w:r w:rsidRPr="00221763">
        <w:rPr>
          <w:rFonts w:cs="Arial" w:hint="cs"/>
          <w:rtl/>
        </w:rPr>
        <w:t>רשב"א</w:t>
      </w:r>
      <w:r w:rsidRPr="00221763">
        <w:rPr>
          <w:rFonts w:cs="Arial"/>
          <w:rtl/>
        </w:rPr>
        <w:t xml:space="preserve"> </w:t>
      </w:r>
      <w:r>
        <w:rPr>
          <w:rFonts w:cs="Arial" w:hint="cs"/>
          <w:rtl/>
        </w:rPr>
        <w:t>טור</w:t>
      </w:r>
      <w:r>
        <w:rPr>
          <w:rFonts w:cs="Arial" w:hint="cs"/>
          <w:sz w:val="16"/>
          <w:szCs w:val="16"/>
          <w:rtl/>
        </w:rPr>
        <w:t xml:space="preserve"> </w:t>
      </w:r>
      <w:r w:rsidRPr="00221763">
        <w:rPr>
          <w:rFonts w:cs="Arial" w:hint="cs"/>
          <w:rtl/>
        </w:rPr>
        <w:t>ו</w:t>
      </w:r>
      <w:r w:rsidRPr="00221763">
        <w:rPr>
          <w:rFonts w:cs="Arial"/>
          <w:rtl/>
        </w:rPr>
        <w:t>ר"ן</w:t>
      </w:r>
      <w:r>
        <w:rPr>
          <w:rStyle w:val="a7"/>
          <w:rFonts w:cs="Arial"/>
          <w:rtl/>
        </w:rPr>
        <w:footnoteReference w:id="3085"/>
      </w:r>
      <w:r w:rsidRPr="00221763">
        <w:rPr>
          <w:rFonts w:cs="Arial" w:hint="cs"/>
          <w:rtl/>
        </w:rPr>
        <w:t xml:space="preserve">- </w:t>
      </w:r>
      <w:r w:rsidRPr="00221763">
        <w:rPr>
          <w:rFonts w:cs="Arial"/>
          <w:rtl/>
        </w:rPr>
        <w:t>כבר ביארנו שסתם כליהם של גוים אינם בני יומן</w:t>
      </w:r>
      <w:r w:rsidRPr="00221763">
        <w:rPr>
          <w:rFonts w:cs="Arial" w:hint="cs"/>
          <w:rtl/>
        </w:rPr>
        <w:t>,</w:t>
      </w:r>
      <w:r w:rsidRPr="00221763">
        <w:rPr>
          <w:rFonts w:cs="Arial"/>
          <w:rtl/>
        </w:rPr>
        <w:t xml:space="preserve"> וכן ביארנו שכל כלי שאינו בן יומא נותן טעם לפגם הוא וכל נותן טעם לפגם מותר</w:t>
      </w:r>
      <w:r w:rsidRPr="00221763">
        <w:rPr>
          <w:rFonts w:cs="Arial" w:hint="cs"/>
          <w:rtl/>
        </w:rPr>
        <w:t>,</w:t>
      </w:r>
      <w:r w:rsidRPr="00221763">
        <w:rPr>
          <w:rFonts w:cs="Arial"/>
          <w:rtl/>
        </w:rPr>
        <w:t xml:space="preserve"> וכן ביארנו שאפילו כן אסור לבשל בהם לכתחלה</w:t>
      </w:r>
      <w:r w:rsidRPr="00221763">
        <w:rPr>
          <w:rFonts w:cs="Arial" w:hint="cs"/>
          <w:rtl/>
        </w:rPr>
        <w:t>,</w:t>
      </w:r>
      <w:r w:rsidRPr="00221763">
        <w:rPr>
          <w:rFonts w:cs="Arial"/>
          <w:rtl/>
        </w:rPr>
        <w:t xml:space="preserve"> ולפיכך יראה לי שאסור לומר לגוי בשל לי ירקות אלו בקדרתך וכן לא יאמר לו עשה לי מרקחת או פת</w:t>
      </w:r>
      <w:r>
        <w:rPr>
          <w:rFonts w:cs="Arial" w:hint="cs"/>
          <w:rtl/>
        </w:rPr>
        <w:t xml:space="preserve"> וכיוצא</w:t>
      </w:r>
      <w:r>
        <w:rPr>
          <w:rStyle w:val="a7"/>
          <w:rFonts w:cs="Arial"/>
          <w:rtl/>
        </w:rPr>
        <w:footnoteReference w:id="3086"/>
      </w:r>
      <w:r>
        <w:rPr>
          <w:rFonts w:cs="Arial" w:hint="cs"/>
          <w:rtl/>
        </w:rPr>
        <w:t>,</w:t>
      </w:r>
      <w:r w:rsidRPr="00372120">
        <w:rPr>
          <w:rtl/>
        </w:rPr>
        <w:t xml:space="preserve"> </w:t>
      </w:r>
      <w:r w:rsidRPr="00372120">
        <w:rPr>
          <w:rFonts w:cs="Arial"/>
          <w:rtl/>
        </w:rPr>
        <w:t>שכל האומר בשל לי הרי הוא כמי שבשל הוא בידיו</w:t>
      </w:r>
      <w:r>
        <w:rPr>
          <w:rStyle w:val="a7"/>
          <w:rFonts w:cs="Arial"/>
          <w:rtl/>
        </w:rPr>
        <w:footnoteReference w:id="3087"/>
      </w:r>
      <w:r w:rsidRPr="00372120">
        <w:rPr>
          <w:rFonts w:cs="Arial"/>
          <w:rtl/>
        </w:rPr>
        <w:t>. ואפשר שע</w:t>
      </w:r>
      <w:r>
        <w:rPr>
          <w:rFonts w:cs="Arial" w:hint="cs"/>
          <w:rtl/>
        </w:rPr>
        <w:t>"</w:t>
      </w:r>
      <w:r w:rsidRPr="00372120">
        <w:rPr>
          <w:rFonts w:cs="Arial"/>
          <w:rtl/>
        </w:rPr>
        <w:t>י הפלטר או ע</w:t>
      </w:r>
      <w:r>
        <w:rPr>
          <w:rFonts w:cs="Arial" w:hint="cs"/>
          <w:rtl/>
        </w:rPr>
        <w:t>"</w:t>
      </w:r>
      <w:r w:rsidRPr="00372120">
        <w:rPr>
          <w:rFonts w:cs="Arial"/>
          <w:rtl/>
        </w:rPr>
        <w:t>י הרקחים מותר שכל האומנין כלים נקיים הם מייחדים למלאכתן כדי שלא יפגמו אומנותם</w:t>
      </w:r>
      <w:r>
        <w:rPr>
          <w:rStyle w:val="a7"/>
          <w:rFonts w:cs="Arial"/>
          <w:rtl/>
        </w:rPr>
        <w:footnoteReference w:id="3088"/>
      </w:r>
      <w:r w:rsidRPr="00372120">
        <w:rPr>
          <w:rFonts w:cs="Arial"/>
          <w:rtl/>
        </w:rPr>
        <w:t>. ובעל נפש יחוש שהדברים אלו מביאין נקיות וטהרה</w:t>
      </w:r>
      <w:r>
        <w:rPr>
          <w:rFonts w:cs="Arial" w:hint="cs"/>
          <w:sz w:val="16"/>
          <w:szCs w:val="16"/>
          <w:rtl/>
        </w:rPr>
        <w:t xml:space="preserve"> (ל' הרשב"א בתוה"ק)</w:t>
      </w:r>
      <w:r>
        <w:rPr>
          <w:rFonts w:cs="Arial" w:hint="cs"/>
          <w:rtl/>
        </w:rPr>
        <w:t>.</w:t>
      </w:r>
      <w:r>
        <w:rPr>
          <w:rFonts w:hint="cs"/>
          <w:rtl/>
        </w:rPr>
        <w:t xml:space="preserve"> </w:t>
      </w:r>
      <w:r w:rsidRPr="00372120">
        <w:rPr>
          <w:rFonts w:hint="cs"/>
          <w:color w:val="E36C0A" w:themeColor="accent6" w:themeShade="BF"/>
          <w:rtl/>
        </w:rPr>
        <w:t>(וכ"פ בשו"ע)</w:t>
      </w:r>
    </w:p>
    <w:p w14:paraId="1A47DA1D" w14:textId="77777777" w:rsidR="002C39F4" w:rsidRPr="00084775" w:rsidRDefault="002C39F4" w:rsidP="002C39F4">
      <w:pPr>
        <w:rPr>
          <w:rFonts w:cs="Arial"/>
          <w:sz w:val="16"/>
          <w:szCs w:val="16"/>
          <w:rtl/>
        </w:rPr>
      </w:pPr>
      <w:r w:rsidRPr="00084775">
        <w:rPr>
          <w:rFonts w:cs="Arial" w:hint="cs"/>
          <w:u w:val="single"/>
          <w:rtl/>
        </w:rPr>
        <w:t>שימוש באיסור שלא כדרך הנאתו:</w:t>
      </w:r>
      <w:r>
        <w:rPr>
          <w:rFonts w:cs="Arial" w:hint="cs"/>
          <w:sz w:val="16"/>
          <w:szCs w:val="16"/>
          <w:rtl/>
        </w:rPr>
        <w:t xml:space="preserve">   (ב"י [בבדה"ב])</w:t>
      </w:r>
    </w:p>
    <w:p w14:paraId="51875217" w14:textId="77777777" w:rsidR="002C39F4" w:rsidRPr="001E2565" w:rsidRDefault="002C39F4" w:rsidP="0032102C">
      <w:pPr>
        <w:pStyle w:val="a8"/>
        <w:numPr>
          <w:ilvl w:val="0"/>
          <w:numId w:val="333"/>
        </w:numPr>
        <w:rPr>
          <w:rFonts w:cs="Arial"/>
          <w:rtl/>
        </w:rPr>
      </w:pPr>
      <w:r w:rsidRPr="001E2565">
        <w:rPr>
          <w:rFonts w:cs="Arial" w:hint="cs"/>
          <w:rtl/>
        </w:rPr>
        <w:t xml:space="preserve">רי"ו </w:t>
      </w:r>
      <w:r w:rsidRPr="001E2565">
        <w:rPr>
          <w:rFonts w:cs="Arial" w:hint="cs"/>
          <w:sz w:val="16"/>
          <w:szCs w:val="16"/>
          <w:rtl/>
        </w:rPr>
        <w:t>(נ</w:t>
      </w:r>
      <w:r w:rsidRPr="001E2565">
        <w:rPr>
          <w:rFonts w:cs="Arial"/>
          <w:sz w:val="16"/>
          <w:szCs w:val="16"/>
          <w:rtl/>
        </w:rPr>
        <w:t>י"ח ח"ג קסה.)</w:t>
      </w:r>
      <w:r>
        <w:rPr>
          <w:rFonts w:cs="Arial" w:hint="cs"/>
          <w:rtl/>
        </w:rPr>
        <w:t xml:space="preserve">- </w:t>
      </w:r>
      <w:r w:rsidRPr="001E2565">
        <w:rPr>
          <w:rFonts w:cs="Arial"/>
          <w:rtl/>
        </w:rPr>
        <w:t>כל האיסורים מותר שלא כדרך הנאתן אפילו שלא במקום סכנה</w:t>
      </w:r>
      <w:r>
        <w:rPr>
          <w:rFonts w:cs="Arial" w:hint="cs"/>
          <w:rtl/>
        </w:rPr>
        <w:t>.</w:t>
      </w:r>
      <w:r w:rsidRPr="001E2565">
        <w:rPr>
          <w:rFonts w:cs="Arial"/>
          <w:rtl/>
        </w:rPr>
        <w:t xml:space="preserve"> </w:t>
      </w:r>
    </w:p>
    <w:p w14:paraId="4F65281A"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6C04EED" w14:textId="77777777" w:rsidR="002C39F4" w:rsidRDefault="002C39F4" w:rsidP="002C39F4">
      <w:pPr>
        <w:rPr>
          <w:rFonts w:asciiTheme="minorBidi" w:hAnsiTheme="minorBidi"/>
          <w:rtl/>
        </w:rPr>
      </w:pPr>
      <w:r w:rsidRPr="003024E5">
        <w:rPr>
          <w:rFonts w:asciiTheme="minorBidi" w:hAnsiTheme="minorBidi"/>
          <w:rtl/>
        </w:rPr>
        <w:t xml:space="preserve">סתם כלי </w:t>
      </w:r>
      <w:r>
        <w:rPr>
          <w:rFonts w:asciiTheme="minorBidi" w:hAnsiTheme="minorBidi" w:hint="cs"/>
          <w:rtl/>
        </w:rPr>
        <w:t>גוים</w:t>
      </w:r>
      <w:r w:rsidRPr="003024E5">
        <w:rPr>
          <w:rFonts w:asciiTheme="minorBidi" w:hAnsiTheme="minorBidi"/>
          <w:rtl/>
        </w:rPr>
        <w:t xml:space="preserve"> הם בחזקת שאינם בני יומן, לפיכך אם עבר ונשתמש בהם קודם הכשר, התבשיל מותר</w:t>
      </w:r>
      <w:r>
        <w:rPr>
          <w:rStyle w:val="a7"/>
          <w:rFonts w:asciiTheme="minorBidi" w:hAnsiTheme="minorBidi"/>
          <w:rtl/>
        </w:rPr>
        <w:footnoteReference w:id="3089"/>
      </w:r>
      <w:r w:rsidRPr="003024E5">
        <w:rPr>
          <w:rFonts w:asciiTheme="minorBidi" w:hAnsiTheme="minorBidi"/>
          <w:rtl/>
        </w:rPr>
        <w:t xml:space="preserve">. </w:t>
      </w:r>
      <w:r w:rsidRPr="00217AD8">
        <w:rPr>
          <w:rFonts w:asciiTheme="minorBidi" w:hAnsiTheme="minorBidi"/>
          <w:sz w:val="18"/>
          <w:szCs w:val="18"/>
          <w:rtl/>
        </w:rPr>
        <w:t xml:space="preserve">הגה: אבל אם חמם מים בכלי של </w:t>
      </w:r>
      <w:r>
        <w:rPr>
          <w:rFonts w:asciiTheme="minorBidi" w:hAnsiTheme="minorBidi" w:hint="cs"/>
          <w:sz w:val="18"/>
          <w:szCs w:val="18"/>
          <w:rtl/>
        </w:rPr>
        <w:t>גוי</w:t>
      </w:r>
      <w:r w:rsidRPr="00217AD8">
        <w:rPr>
          <w:rFonts w:asciiTheme="minorBidi" w:hAnsiTheme="minorBidi"/>
          <w:sz w:val="18"/>
          <w:szCs w:val="18"/>
          <w:rtl/>
        </w:rPr>
        <w:t xml:space="preserve"> ללוש בהן פת, אסור ללוש באותן מים, דלדבר זה מקרי לכתחלה הואיל ועדיין לא התחיל הנאתו, שלא הוחמו לשתיה (ש</w:t>
      </w:r>
      <w:r>
        <w:rPr>
          <w:rFonts w:asciiTheme="minorBidi" w:hAnsiTheme="minorBidi" w:hint="cs"/>
          <w:sz w:val="18"/>
          <w:szCs w:val="18"/>
          <w:rtl/>
        </w:rPr>
        <w:t>ע</w:t>
      </w:r>
      <w:r w:rsidRPr="00217AD8">
        <w:rPr>
          <w:rFonts w:asciiTheme="minorBidi" w:hAnsiTheme="minorBidi"/>
          <w:sz w:val="18"/>
          <w:szCs w:val="18"/>
          <w:rtl/>
        </w:rPr>
        <w:t>"ד והגהותיו). אבל דבר שנעשה בשבילו ולא בשביל דבר אחר, אע</w:t>
      </w:r>
      <w:r>
        <w:rPr>
          <w:rFonts w:asciiTheme="minorBidi" w:hAnsiTheme="minorBidi" w:hint="cs"/>
          <w:sz w:val="18"/>
          <w:szCs w:val="18"/>
          <w:rtl/>
        </w:rPr>
        <w:t>"</w:t>
      </w:r>
      <w:r w:rsidRPr="00217AD8">
        <w:rPr>
          <w:rFonts w:asciiTheme="minorBidi" w:hAnsiTheme="minorBidi"/>
          <w:sz w:val="18"/>
          <w:szCs w:val="18"/>
          <w:rtl/>
        </w:rPr>
        <w:t xml:space="preserve">פ שהוא של </w:t>
      </w:r>
      <w:r>
        <w:rPr>
          <w:rFonts w:asciiTheme="minorBidi" w:hAnsiTheme="minorBidi" w:hint="cs"/>
          <w:sz w:val="18"/>
          <w:szCs w:val="18"/>
          <w:rtl/>
        </w:rPr>
        <w:t>גוי</w:t>
      </w:r>
      <w:r w:rsidRPr="00217AD8">
        <w:rPr>
          <w:rFonts w:asciiTheme="minorBidi" w:hAnsiTheme="minorBidi"/>
          <w:sz w:val="18"/>
          <w:szCs w:val="18"/>
          <w:rtl/>
        </w:rPr>
        <w:t xml:space="preserve"> וישראל קונה ממנו לכתחלה מותר</w:t>
      </w:r>
      <w:r>
        <w:rPr>
          <w:rFonts w:asciiTheme="minorBidi" w:hAnsiTheme="minorBidi" w:hint="cs"/>
          <w:sz w:val="18"/>
          <w:szCs w:val="18"/>
          <w:rtl/>
        </w:rPr>
        <w:t>,</w:t>
      </w:r>
      <w:r w:rsidRPr="00217AD8">
        <w:rPr>
          <w:rFonts w:asciiTheme="minorBidi" w:hAnsiTheme="minorBidi"/>
          <w:sz w:val="18"/>
          <w:szCs w:val="18"/>
          <w:rtl/>
        </w:rPr>
        <w:t xml:space="preserve"> דמאחר דכבר נעשה ביד </w:t>
      </w:r>
      <w:r>
        <w:rPr>
          <w:rFonts w:asciiTheme="minorBidi" w:hAnsiTheme="minorBidi" w:hint="cs"/>
          <w:sz w:val="18"/>
          <w:szCs w:val="18"/>
          <w:rtl/>
        </w:rPr>
        <w:t>גוי</w:t>
      </w:r>
      <w:r w:rsidRPr="00217AD8">
        <w:rPr>
          <w:rFonts w:asciiTheme="minorBidi" w:hAnsiTheme="minorBidi"/>
          <w:sz w:val="18"/>
          <w:szCs w:val="18"/>
          <w:rtl/>
        </w:rPr>
        <w:t xml:space="preserve"> מקרי דיעבד. </w:t>
      </w:r>
      <w:r w:rsidRPr="003024E5">
        <w:rPr>
          <w:rFonts w:asciiTheme="minorBidi" w:hAnsiTheme="minorBidi"/>
          <w:rtl/>
        </w:rPr>
        <w:t xml:space="preserve">אף על פי כן אסור לומר </w:t>
      </w:r>
      <w:r>
        <w:rPr>
          <w:rFonts w:asciiTheme="minorBidi" w:hAnsiTheme="minorBidi" w:hint="cs"/>
          <w:rtl/>
        </w:rPr>
        <w:t>לגוי</w:t>
      </w:r>
      <w:r w:rsidRPr="003024E5">
        <w:rPr>
          <w:rFonts w:asciiTheme="minorBidi" w:hAnsiTheme="minorBidi"/>
          <w:rtl/>
        </w:rPr>
        <w:t xml:space="preserve">: בשל לי ירקות בקדרתך, וכן לא יאמר לו: עשה לי מרקחת, שכל האומר: בשל לי, הרי הוא כאלו בישל בידיו. ואפשר שעל ידי הרקחים </w:t>
      </w:r>
      <w:r w:rsidRPr="00217AD8">
        <w:rPr>
          <w:rFonts w:asciiTheme="minorBidi" w:hAnsiTheme="minorBidi" w:hint="cs"/>
          <w:sz w:val="18"/>
          <w:szCs w:val="18"/>
          <w:rtl/>
        </w:rPr>
        <w:t xml:space="preserve">[הגה] </w:t>
      </w:r>
      <w:r w:rsidRPr="00217AD8">
        <w:rPr>
          <w:rFonts w:asciiTheme="minorBidi" w:hAnsiTheme="minorBidi"/>
          <w:sz w:val="18"/>
          <w:szCs w:val="18"/>
          <w:rtl/>
        </w:rPr>
        <w:t>או שאר אומנים</w:t>
      </w:r>
      <w:r w:rsidRPr="003024E5">
        <w:rPr>
          <w:rFonts w:asciiTheme="minorBidi" w:hAnsiTheme="minorBidi"/>
          <w:rtl/>
        </w:rPr>
        <w:t xml:space="preserve"> מותר, שכל האומנים מיחדים כלים נקיים למלאכתם, כדי שלא יפגמו אומנותם. ובעל נפש יחוש, שדברים אלו מביאים לידי טהרה ונקיות. </w:t>
      </w:r>
    </w:p>
    <w:p w14:paraId="4AA0C000" w14:textId="77777777" w:rsidR="002C39F4" w:rsidRPr="004F55CE" w:rsidRDefault="002C39F4" w:rsidP="002C39F4">
      <w:pPr>
        <w:rPr>
          <w:rFonts w:asciiTheme="minorBidi" w:hAnsiTheme="minorBidi"/>
          <w:u w:val="single"/>
          <w:rtl/>
        </w:rPr>
      </w:pPr>
      <w:r>
        <w:rPr>
          <w:rFonts w:asciiTheme="minorBidi" w:hAnsiTheme="minorBidi" w:hint="cs"/>
          <w:u w:val="single"/>
          <w:rtl/>
        </w:rPr>
        <w:t>נודע לישראל מה</w:t>
      </w:r>
      <w:r w:rsidRPr="004F55CE">
        <w:rPr>
          <w:rFonts w:asciiTheme="minorBidi" w:hAnsiTheme="minorBidi" w:hint="cs"/>
          <w:u w:val="single"/>
          <w:rtl/>
        </w:rPr>
        <w:t>גוי ש</w:t>
      </w:r>
      <w:r>
        <w:rPr>
          <w:rFonts w:asciiTheme="minorBidi" w:hAnsiTheme="minorBidi" w:hint="cs"/>
          <w:u w:val="single"/>
          <w:rtl/>
        </w:rPr>
        <w:t xml:space="preserve">הקדירה </w:t>
      </w:r>
      <w:r>
        <w:rPr>
          <w:rFonts w:asciiTheme="minorBidi" w:hAnsiTheme="minorBidi" w:hint="cs"/>
          <w:sz w:val="16"/>
          <w:szCs w:val="16"/>
          <w:u w:val="single"/>
          <w:rtl/>
        </w:rPr>
        <w:t>(שבישל בה הישראל)</w:t>
      </w:r>
      <w:r>
        <w:rPr>
          <w:rFonts w:asciiTheme="minorBidi" w:hAnsiTheme="minorBidi" w:hint="cs"/>
          <w:u w:val="single"/>
          <w:rtl/>
        </w:rPr>
        <w:t xml:space="preserve"> היא בת יומא</w:t>
      </w:r>
      <w:r w:rsidRPr="004F55CE">
        <w:rPr>
          <w:rFonts w:asciiTheme="minorBidi" w:hAnsiTheme="minorBidi" w:hint="cs"/>
          <w:u w:val="single"/>
          <w:rtl/>
        </w:rPr>
        <w:t xml:space="preserve"> </w:t>
      </w:r>
      <w:r w:rsidRPr="004F55CE">
        <w:rPr>
          <w:rFonts w:asciiTheme="minorBidi" w:hAnsiTheme="minorBidi"/>
          <w:u w:val="single"/>
          <w:rtl/>
        </w:rPr>
        <w:t>–</w:t>
      </w:r>
      <w:r w:rsidRPr="004F55CE">
        <w:rPr>
          <w:rFonts w:asciiTheme="minorBidi" w:hAnsiTheme="minorBidi" w:hint="cs"/>
          <w:u w:val="single"/>
          <w:rtl/>
        </w:rPr>
        <w:t xml:space="preserve"> האם עדיין התבשיל שהתבשל בקדרה מותר בדיעבד:</w:t>
      </w:r>
    </w:p>
    <w:p w14:paraId="13F29B0A" w14:textId="77777777" w:rsidR="002C39F4" w:rsidRPr="004F55CE" w:rsidRDefault="002C39F4" w:rsidP="0032102C">
      <w:pPr>
        <w:pStyle w:val="a8"/>
        <w:numPr>
          <w:ilvl w:val="0"/>
          <w:numId w:val="333"/>
        </w:numPr>
        <w:rPr>
          <w:rFonts w:asciiTheme="minorBidi" w:hAnsiTheme="minorBidi"/>
          <w:rtl/>
        </w:rPr>
      </w:pPr>
      <w:r w:rsidRPr="004F55CE">
        <w:rPr>
          <w:rFonts w:asciiTheme="minorBidi" w:hAnsiTheme="minorBidi" w:hint="cs"/>
          <w:rtl/>
        </w:rPr>
        <w:t>ט"ז</w:t>
      </w:r>
      <w:r>
        <w:rPr>
          <w:rFonts w:asciiTheme="minorBidi" w:hAnsiTheme="minorBidi" w:hint="cs"/>
          <w:rtl/>
        </w:rPr>
        <w:t xml:space="preserve"> </w:t>
      </w:r>
      <w:r w:rsidRPr="004F55CE">
        <w:rPr>
          <w:rFonts w:asciiTheme="minorBidi" w:hAnsiTheme="minorBidi" w:hint="cs"/>
          <w:sz w:val="16"/>
          <w:szCs w:val="16"/>
          <w:rtl/>
        </w:rPr>
        <w:t>(סק"ד)</w:t>
      </w:r>
      <w:r w:rsidRPr="004F55CE">
        <w:rPr>
          <w:rFonts w:asciiTheme="minorBidi" w:hAnsiTheme="minorBidi" w:hint="cs"/>
          <w:rtl/>
        </w:rPr>
        <w:t>-</w:t>
      </w:r>
      <w:r w:rsidRPr="004F55CE">
        <w:rPr>
          <w:rFonts w:asciiTheme="minorBidi" w:hAnsiTheme="minorBidi" w:cs="Arial"/>
          <w:rtl/>
        </w:rPr>
        <w:t xml:space="preserve"> אם </w:t>
      </w:r>
      <w:r>
        <w:rPr>
          <w:rFonts w:asciiTheme="minorBidi" w:hAnsiTheme="minorBidi" w:cs="Arial" w:hint="cs"/>
          <w:rtl/>
        </w:rPr>
        <w:t>הגוי</w:t>
      </w:r>
      <w:r w:rsidRPr="004F55CE">
        <w:rPr>
          <w:rFonts w:asciiTheme="minorBidi" w:hAnsiTheme="minorBidi" w:cs="Arial"/>
          <w:rtl/>
        </w:rPr>
        <w:t xml:space="preserve"> אומר כן לפי תומו מעצמו בלי שום שאלה ונראין הדברים שלא נתכוין על ישראל אז יש להחמיר ולאסור התבשיל של ישראל שמבשל בתוכו</w:t>
      </w:r>
      <w:r>
        <w:rPr>
          <w:rFonts w:asciiTheme="minorBidi" w:hAnsiTheme="minorBidi" w:cs="Arial" w:hint="cs"/>
          <w:rtl/>
        </w:rPr>
        <w:t>..</w:t>
      </w:r>
      <w:r w:rsidRPr="004F55CE">
        <w:rPr>
          <w:rFonts w:asciiTheme="minorBidi" w:hAnsiTheme="minorBidi" w:cs="Arial"/>
          <w:rtl/>
        </w:rPr>
        <w:t>. ויש לדון עוד בזה כמו דפסק בסי</w:t>
      </w:r>
      <w:r>
        <w:rPr>
          <w:rFonts w:asciiTheme="minorBidi" w:hAnsiTheme="minorBidi" w:cs="Arial" w:hint="cs"/>
          <w:rtl/>
        </w:rPr>
        <w:t xml:space="preserve">' </w:t>
      </w:r>
      <w:r w:rsidRPr="004F55CE">
        <w:rPr>
          <w:rFonts w:asciiTheme="minorBidi" w:hAnsiTheme="minorBidi" w:cs="Arial"/>
          <w:rtl/>
        </w:rPr>
        <w:t xml:space="preserve">י"ז דאי מהימן ליה </w:t>
      </w:r>
      <w:r>
        <w:rPr>
          <w:rFonts w:asciiTheme="minorBidi" w:hAnsiTheme="minorBidi" w:cs="Arial" w:hint="cs"/>
          <w:rtl/>
        </w:rPr>
        <w:t>הגוי</w:t>
      </w:r>
      <w:r w:rsidRPr="004F55CE">
        <w:rPr>
          <w:rFonts w:asciiTheme="minorBidi" w:hAnsiTheme="minorBidi" w:cs="Arial"/>
          <w:rtl/>
        </w:rPr>
        <w:t xml:space="preserve"> אסור הכי נמי יש לדון בזה אפילו באינו מסיח לפי תומו</w:t>
      </w:r>
      <w:r>
        <w:rPr>
          <w:rFonts w:asciiTheme="minorBidi" w:hAnsiTheme="minorBidi" w:cs="Arial" w:hint="cs"/>
          <w:rtl/>
        </w:rPr>
        <w:t>.</w:t>
      </w:r>
    </w:p>
    <w:p w14:paraId="5D329CB5" w14:textId="77777777" w:rsidR="002C39F4" w:rsidRPr="004F55CE" w:rsidRDefault="002C39F4" w:rsidP="0032102C">
      <w:pPr>
        <w:pStyle w:val="a8"/>
        <w:numPr>
          <w:ilvl w:val="0"/>
          <w:numId w:val="333"/>
        </w:numPr>
        <w:rPr>
          <w:rFonts w:asciiTheme="minorBidi" w:hAnsiTheme="minorBidi"/>
          <w:rtl/>
        </w:rPr>
      </w:pPr>
      <w:r w:rsidRPr="004F55CE">
        <w:rPr>
          <w:rFonts w:asciiTheme="minorBidi" w:hAnsiTheme="minorBidi" w:hint="cs"/>
          <w:rtl/>
        </w:rPr>
        <w:t>רש"ל</w:t>
      </w:r>
      <w:r>
        <w:rPr>
          <w:rFonts w:asciiTheme="minorBidi" w:hAnsiTheme="minorBidi" w:hint="cs"/>
          <w:rtl/>
        </w:rPr>
        <w:t xml:space="preserve"> </w:t>
      </w:r>
      <w:r w:rsidRPr="004F55CE">
        <w:rPr>
          <w:rFonts w:asciiTheme="minorBidi" w:hAnsiTheme="minorBidi" w:hint="cs"/>
          <w:sz w:val="16"/>
          <w:szCs w:val="16"/>
          <w:rtl/>
        </w:rPr>
        <w:t>(ב</w:t>
      </w:r>
      <w:r w:rsidRPr="004F55CE">
        <w:rPr>
          <w:rFonts w:asciiTheme="minorBidi" w:hAnsiTheme="minorBidi" w:cs="Arial"/>
          <w:sz w:val="16"/>
          <w:szCs w:val="16"/>
          <w:rtl/>
        </w:rPr>
        <w:t>א</w:t>
      </w:r>
      <w:r w:rsidRPr="004F55CE">
        <w:rPr>
          <w:rFonts w:asciiTheme="minorBidi" w:hAnsiTheme="minorBidi" w:cs="Arial" w:hint="cs"/>
          <w:sz w:val="16"/>
          <w:szCs w:val="16"/>
          <w:rtl/>
        </w:rPr>
        <w:t>ו"ש</w:t>
      </w:r>
      <w:r w:rsidRPr="004F55CE">
        <w:rPr>
          <w:rFonts w:asciiTheme="minorBidi" w:hAnsiTheme="minorBidi" w:cs="Arial"/>
          <w:sz w:val="16"/>
          <w:szCs w:val="16"/>
          <w:rtl/>
        </w:rPr>
        <w:t xml:space="preserve"> סי</w:t>
      </w:r>
      <w:r w:rsidRPr="004F55CE">
        <w:rPr>
          <w:rFonts w:asciiTheme="minorBidi" w:hAnsiTheme="minorBidi" w:cs="Arial" w:hint="cs"/>
          <w:sz w:val="16"/>
          <w:szCs w:val="16"/>
          <w:rtl/>
        </w:rPr>
        <w:t>'</w:t>
      </w:r>
      <w:r w:rsidRPr="004F55CE">
        <w:rPr>
          <w:rFonts w:asciiTheme="minorBidi" w:hAnsiTheme="minorBidi" w:cs="Arial"/>
          <w:sz w:val="16"/>
          <w:szCs w:val="16"/>
          <w:rtl/>
        </w:rPr>
        <w:t xml:space="preserve"> נט</w:t>
      </w:r>
      <w:r w:rsidRPr="004F55CE">
        <w:rPr>
          <w:rFonts w:asciiTheme="minorBidi" w:hAnsiTheme="minorBidi" w:cs="Arial" w:hint="cs"/>
          <w:sz w:val="16"/>
          <w:szCs w:val="16"/>
          <w:rtl/>
        </w:rPr>
        <w:t>)</w:t>
      </w:r>
      <w:r>
        <w:rPr>
          <w:rFonts w:asciiTheme="minorBidi" w:hAnsiTheme="minorBidi" w:cs="Arial" w:hint="cs"/>
          <w:rtl/>
        </w:rPr>
        <w:t xml:space="preserve">- </w:t>
      </w:r>
      <w:r w:rsidRPr="004F55CE">
        <w:rPr>
          <w:rFonts w:asciiTheme="minorBidi" w:hAnsiTheme="minorBidi" w:cs="Arial"/>
          <w:rtl/>
        </w:rPr>
        <w:t xml:space="preserve">הא דסתם כלים של </w:t>
      </w:r>
      <w:r>
        <w:rPr>
          <w:rFonts w:asciiTheme="minorBidi" w:hAnsiTheme="minorBidi" w:cs="Arial" w:hint="cs"/>
          <w:rtl/>
        </w:rPr>
        <w:t>גו</w:t>
      </w:r>
      <w:r w:rsidRPr="004F55CE">
        <w:rPr>
          <w:rFonts w:asciiTheme="minorBidi" w:hAnsiTheme="minorBidi" w:cs="Arial"/>
          <w:rtl/>
        </w:rPr>
        <w:t>ים אינם ב"י היינו דא"צ לשאול אם הוא ב"י או לא</w:t>
      </w:r>
      <w:r>
        <w:rPr>
          <w:rFonts w:asciiTheme="minorBidi" w:hAnsiTheme="minorBidi" w:cs="Arial" w:hint="cs"/>
          <w:rtl/>
        </w:rPr>
        <w:t>,</w:t>
      </w:r>
      <w:r w:rsidRPr="004F55CE">
        <w:rPr>
          <w:rFonts w:asciiTheme="minorBidi" w:hAnsiTheme="minorBidi" w:cs="Arial"/>
          <w:rtl/>
        </w:rPr>
        <w:t xml:space="preserve"> ואם אחר ששאל נודע לו שהוא ב"י ישאל מה שבשלו בו היום</w:t>
      </w:r>
      <w:r>
        <w:rPr>
          <w:rFonts w:asciiTheme="minorBidi" w:hAnsiTheme="minorBidi" w:cs="Arial" w:hint="cs"/>
          <w:rtl/>
        </w:rPr>
        <w:t>,</w:t>
      </w:r>
      <w:r w:rsidRPr="004F55CE">
        <w:rPr>
          <w:rFonts w:asciiTheme="minorBidi" w:hAnsiTheme="minorBidi" w:cs="Arial"/>
          <w:rtl/>
        </w:rPr>
        <w:t xml:space="preserve"> ואם הוא דבר שאינו פוגם בודאי או שאינו יכול לידע אין ראוי להתיר מאחר שאין כאן ספק ספיקא</w:t>
      </w:r>
      <w:r>
        <w:rPr>
          <w:rStyle w:val="a7"/>
          <w:rFonts w:asciiTheme="minorBidi" w:hAnsiTheme="minorBidi" w:cs="Arial"/>
          <w:rtl/>
        </w:rPr>
        <w:footnoteReference w:id="3090"/>
      </w:r>
      <w:r>
        <w:rPr>
          <w:rFonts w:asciiTheme="minorBidi" w:hAnsiTheme="minorBidi" w:hint="cs"/>
          <w:rtl/>
        </w:rPr>
        <w:t>.</w:t>
      </w:r>
    </w:p>
    <w:p w14:paraId="79B2AFEE" w14:textId="77777777" w:rsidR="002C39F4" w:rsidRPr="004F55CE" w:rsidRDefault="002C39F4" w:rsidP="0032102C">
      <w:pPr>
        <w:pStyle w:val="a8"/>
        <w:numPr>
          <w:ilvl w:val="0"/>
          <w:numId w:val="333"/>
        </w:numPr>
        <w:rPr>
          <w:rFonts w:asciiTheme="minorBidi" w:hAnsiTheme="minorBidi"/>
          <w:rtl/>
        </w:rPr>
      </w:pPr>
      <w:r w:rsidRPr="004F55CE">
        <w:rPr>
          <w:rFonts w:asciiTheme="minorBidi" w:hAnsiTheme="minorBidi" w:hint="cs"/>
          <w:rtl/>
        </w:rPr>
        <w:t>מהריב"ל</w:t>
      </w:r>
      <w:r>
        <w:rPr>
          <w:rFonts w:asciiTheme="minorBidi" w:hAnsiTheme="minorBidi" w:cs="Arial" w:hint="cs"/>
          <w:rtl/>
        </w:rPr>
        <w:t xml:space="preserve"> </w:t>
      </w:r>
      <w:r w:rsidRPr="004F55CE">
        <w:rPr>
          <w:rFonts w:asciiTheme="minorBidi" w:hAnsiTheme="minorBidi" w:cs="Arial" w:hint="cs"/>
          <w:sz w:val="16"/>
          <w:szCs w:val="16"/>
          <w:rtl/>
        </w:rPr>
        <w:t>(</w:t>
      </w:r>
      <w:r w:rsidRPr="004F55CE">
        <w:rPr>
          <w:rFonts w:asciiTheme="minorBidi" w:hAnsiTheme="minorBidi" w:cs="Arial"/>
          <w:sz w:val="16"/>
          <w:szCs w:val="16"/>
          <w:rtl/>
        </w:rPr>
        <w:t>ס"ס קכא</w:t>
      </w:r>
      <w:r w:rsidRPr="004F55CE">
        <w:rPr>
          <w:rFonts w:asciiTheme="minorBidi" w:hAnsiTheme="minorBidi" w:cs="Arial" w:hint="cs"/>
          <w:sz w:val="16"/>
          <w:szCs w:val="16"/>
          <w:rtl/>
        </w:rPr>
        <w:t>, להב' הש"ך)</w:t>
      </w:r>
      <w:r>
        <w:rPr>
          <w:rFonts w:asciiTheme="minorBidi" w:hAnsiTheme="minorBidi" w:cs="Arial" w:hint="cs"/>
          <w:rtl/>
        </w:rPr>
        <w:t>-</w:t>
      </w:r>
      <w:r w:rsidRPr="004F55CE">
        <w:rPr>
          <w:rFonts w:asciiTheme="minorBidi" w:hAnsiTheme="minorBidi" w:cs="Arial"/>
          <w:rtl/>
        </w:rPr>
        <w:t xml:space="preserve"> אפי' אומר שהוא ב"י לא סמכי</w:t>
      </w:r>
      <w:r>
        <w:rPr>
          <w:rFonts w:asciiTheme="minorBidi" w:hAnsiTheme="minorBidi" w:cs="Arial" w:hint="cs"/>
          <w:rtl/>
        </w:rPr>
        <w:t>נן</w:t>
      </w:r>
      <w:r w:rsidRPr="004F55CE">
        <w:rPr>
          <w:rFonts w:asciiTheme="minorBidi" w:hAnsiTheme="minorBidi" w:cs="Arial"/>
          <w:rtl/>
        </w:rPr>
        <w:t xml:space="preserve"> אדבורו</w:t>
      </w:r>
      <w:r>
        <w:rPr>
          <w:rFonts w:asciiTheme="minorBidi" w:hAnsiTheme="minorBidi" w:cs="Arial" w:hint="cs"/>
          <w:rtl/>
        </w:rPr>
        <w:t>.</w:t>
      </w:r>
    </w:p>
    <w:p w14:paraId="5714380B" w14:textId="77777777" w:rsidR="002C39F4" w:rsidRPr="003024E5" w:rsidRDefault="002C39F4" w:rsidP="002C39F4">
      <w:pPr>
        <w:rPr>
          <w:rFonts w:asciiTheme="minorBidi" w:hAnsiTheme="minorBidi"/>
          <w:rtl/>
        </w:rPr>
      </w:pPr>
    </w:p>
    <w:p w14:paraId="3DB6DE21" w14:textId="77777777" w:rsidR="002C39F4" w:rsidRDefault="002C39F4" w:rsidP="002C39F4">
      <w:pPr>
        <w:pStyle w:val="2"/>
        <w:rPr>
          <w:rFonts w:asciiTheme="minorBidi" w:hAnsiTheme="minorBidi"/>
          <w:rtl/>
        </w:rPr>
      </w:pPr>
      <w:r w:rsidRPr="003024E5">
        <w:rPr>
          <w:rFonts w:asciiTheme="minorBidi" w:hAnsiTheme="minorBidi"/>
          <w:rtl/>
        </w:rPr>
        <w:t>סעיף ז</w:t>
      </w:r>
      <w:r>
        <w:rPr>
          <w:rFonts w:asciiTheme="minorBidi" w:hAnsiTheme="minorBidi" w:hint="cs"/>
          <w:rtl/>
        </w:rPr>
        <w:t xml:space="preserve">: סתם כלי ישראל </w:t>
      </w:r>
      <w:r>
        <w:rPr>
          <w:rFonts w:asciiTheme="minorBidi" w:hAnsiTheme="minorBidi"/>
          <w:rtl/>
        </w:rPr>
        <w:t>–</w:t>
      </w:r>
      <w:r>
        <w:rPr>
          <w:rFonts w:asciiTheme="minorBidi" w:hAnsiTheme="minorBidi" w:hint="cs"/>
          <w:rtl/>
        </w:rPr>
        <w:t xml:space="preserve"> אינם בני יומן</w:t>
      </w:r>
    </w:p>
    <w:p w14:paraId="2B74738D" w14:textId="77777777" w:rsidR="002C39F4" w:rsidRPr="001D01A9" w:rsidRDefault="002C39F4" w:rsidP="002C39F4">
      <w:pPr>
        <w:rPr>
          <w:rFonts w:cs="Arial"/>
          <w:sz w:val="16"/>
          <w:szCs w:val="16"/>
          <w:rtl/>
        </w:rPr>
      </w:pPr>
      <w:r w:rsidRPr="008B1F84">
        <w:rPr>
          <w:rFonts w:cs="Arial" w:hint="cs"/>
          <w:u w:val="single"/>
          <w:rtl/>
        </w:rPr>
        <w:t>סתם כלי</w:t>
      </w:r>
      <w:r>
        <w:rPr>
          <w:rFonts w:cs="Arial" w:hint="cs"/>
          <w:u w:val="single"/>
          <w:rtl/>
        </w:rPr>
        <w:t>ם של</w:t>
      </w:r>
      <w:r w:rsidRPr="008B1F84">
        <w:rPr>
          <w:rFonts w:cs="Arial" w:hint="cs"/>
          <w:u w:val="single"/>
          <w:rtl/>
        </w:rPr>
        <w:t xml:space="preserve"> ישראל:</w:t>
      </w:r>
      <w:r>
        <w:rPr>
          <w:rFonts w:cs="Arial" w:hint="cs"/>
          <w:sz w:val="16"/>
          <w:szCs w:val="16"/>
          <w:rtl/>
        </w:rPr>
        <w:t xml:space="preserve">    (טור ודרכ"מ אות ב)</w:t>
      </w:r>
    </w:p>
    <w:p w14:paraId="2D81C0B7" w14:textId="77777777" w:rsidR="002C39F4" w:rsidRDefault="002C39F4" w:rsidP="0032102C">
      <w:pPr>
        <w:pStyle w:val="a8"/>
        <w:numPr>
          <w:ilvl w:val="0"/>
          <w:numId w:val="335"/>
        </w:numPr>
      </w:pPr>
      <w:r w:rsidRPr="008B1F84">
        <w:rPr>
          <w:rFonts w:cs="Arial" w:hint="cs"/>
          <w:rtl/>
        </w:rPr>
        <w:t xml:space="preserve">טור- </w:t>
      </w:r>
      <w:r w:rsidRPr="008B1F84">
        <w:rPr>
          <w:rFonts w:cs="Arial"/>
          <w:rtl/>
        </w:rPr>
        <w:t>טעם דמחזיקין כלי הנכרים שאינן בני יומן פי' א"א הרא"ש ז"ל משום דהוה ספק ספיקא ספק אם נשתמשו בו היום ואפי' אם נשתמשו בו היום שמא נשתמשו בו בדבר הפוגם בעין וכיון דספק ספיקא הוא תלינן להקל ולפי זה ה"ה נמי כלים שלנו שהוא ספק ספיקא תלינן להקל</w:t>
      </w:r>
      <w:r>
        <w:rPr>
          <w:rFonts w:hint="cs"/>
          <w:rtl/>
        </w:rPr>
        <w:t xml:space="preserve">. </w:t>
      </w:r>
      <w:r w:rsidRPr="00372120">
        <w:rPr>
          <w:rFonts w:hint="cs"/>
          <w:color w:val="E36C0A" w:themeColor="accent6" w:themeShade="BF"/>
          <w:rtl/>
        </w:rPr>
        <w:t>(וכ"פ בשו"ע)</w:t>
      </w:r>
    </w:p>
    <w:p w14:paraId="65CAF3CF" w14:textId="77777777" w:rsidR="002C39F4" w:rsidRPr="00A02D07" w:rsidRDefault="002C39F4" w:rsidP="0032102C">
      <w:pPr>
        <w:pStyle w:val="a8"/>
        <w:numPr>
          <w:ilvl w:val="0"/>
          <w:numId w:val="335"/>
        </w:numPr>
        <w:rPr>
          <w:rtl/>
        </w:rPr>
      </w:pPr>
      <w:r>
        <w:rPr>
          <w:rFonts w:cs="Arial" w:hint="cs"/>
          <w:rtl/>
        </w:rPr>
        <w:t>הגשע"ד</w:t>
      </w:r>
      <w:r w:rsidRPr="008B1F84">
        <w:rPr>
          <w:rFonts w:cs="Arial"/>
          <w:rtl/>
        </w:rPr>
        <w:t xml:space="preserve"> </w:t>
      </w:r>
      <w:r w:rsidRPr="001D01A9">
        <w:rPr>
          <w:rFonts w:cs="Arial"/>
          <w:sz w:val="16"/>
          <w:szCs w:val="16"/>
          <w:rtl/>
        </w:rPr>
        <w:t>(סי' נט סק</w:t>
      </w:r>
      <w:r w:rsidRPr="001D01A9">
        <w:rPr>
          <w:rFonts w:cs="Arial" w:hint="cs"/>
          <w:sz w:val="16"/>
          <w:szCs w:val="16"/>
          <w:rtl/>
        </w:rPr>
        <w:t>"</w:t>
      </w:r>
      <w:r w:rsidRPr="001D01A9">
        <w:rPr>
          <w:rFonts w:cs="Arial"/>
          <w:sz w:val="16"/>
          <w:szCs w:val="16"/>
          <w:rtl/>
        </w:rPr>
        <w:t xml:space="preserve">ב) </w:t>
      </w:r>
      <w:r>
        <w:rPr>
          <w:rFonts w:cs="Arial" w:hint="cs"/>
          <w:rtl/>
        </w:rPr>
        <w:t>ואו</w:t>
      </w:r>
      <w:r>
        <w:rPr>
          <w:rFonts w:cs="Arial"/>
          <w:rtl/>
        </w:rPr>
        <w:t>"</w:t>
      </w:r>
      <w:r>
        <w:rPr>
          <w:rFonts w:cs="Arial" w:hint="cs"/>
          <w:rtl/>
        </w:rPr>
        <w:t>ה</w:t>
      </w:r>
      <w:r w:rsidRPr="008B1F84">
        <w:rPr>
          <w:rFonts w:cs="Arial"/>
          <w:rtl/>
        </w:rPr>
        <w:t xml:space="preserve"> </w:t>
      </w:r>
      <w:r w:rsidRPr="001D01A9">
        <w:rPr>
          <w:rFonts w:cs="Arial"/>
          <w:sz w:val="16"/>
          <w:szCs w:val="16"/>
          <w:rtl/>
        </w:rPr>
        <w:t>(כלל לג די</w:t>
      </w:r>
      <w:r>
        <w:rPr>
          <w:rFonts w:cs="Arial" w:hint="cs"/>
          <w:sz w:val="16"/>
          <w:szCs w:val="16"/>
          <w:rtl/>
        </w:rPr>
        <w:t>"</w:t>
      </w:r>
      <w:r w:rsidRPr="001D01A9">
        <w:rPr>
          <w:rFonts w:cs="Arial"/>
          <w:sz w:val="16"/>
          <w:szCs w:val="16"/>
          <w:rtl/>
        </w:rPr>
        <w:t>א)</w:t>
      </w:r>
      <w:r>
        <w:rPr>
          <w:rFonts w:cs="Arial" w:hint="cs"/>
          <w:rtl/>
        </w:rPr>
        <w:t>- אמר לי</w:t>
      </w:r>
      <w:r w:rsidRPr="008B1F84">
        <w:rPr>
          <w:rFonts w:cs="Arial"/>
          <w:rtl/>
        </w:rPr>
        <w:t xml:space="preserve"> מהר"ש </w:t>
      </w:r>
      <w:r>
        <w:rPr>
          <w:rFonts w:cs="Arial" w:hint="cs"/>
          <w:rtl/>
        </w:rPr>
        <w:t>ד</w:t>
      </w:r>
      <w:r w:rsidRPr="001D01A9">
        <w:rPr>
          <w:rFonts w:cs="Arial"/>
          <w:rtl/>
        </w:rPr>
        <w:t>לגבי כלי ישראל יש לו תקנה בשאלה אם הוא בן יומא או לא, ואם אינן יודעין נקנסו</w:t>
      </w:r>
      <w:r>
        <w:rPr>
          <w:rStyle w:val="a7"/>
          <w:rFonts w:cs="Arial"/>
          <w:rtl/>
        </w:rPr>
        <w:footnoteReference w:id="3091"/>
      </w:r>
      <w:r>
        <w:rPr>
          <w:rFonts w:cs="Arial" w:hint="cs"/>
          <w:rtl/>
        </w:rPr>
        <w:t>,</w:t>
      </w:r>
      <w:r w:rsidRPr="001D01A9">
        <w:rPr>
          <w:rFonts w:cs="Arial"/>
          <w:rtl/>
        </w:rPr>
        <w:t xml:space="preserve"> ונלך מכח ספיקא לחומרא ונאמר דבן יומא הוא</w:t>
      </w:r>
      <w:r>
        <w:rPr>
          <w:rStyle w:val="a7"/>
          <w:rFonts w:cs="Arial"/>
          <w:rtl/>
        </w:rPr>
        <w:footnoteReference w:id="3092"/>
      </w:r>
      <w:r>
        <w:rPr>
          <w:rFonts w:cs="Arial" w:hint="cs"/>
          <w:sz w:val="16"/>
          <w:szCs w:val="16"/>
          <w:rtl/>
        </w:rPr>
        <w:t xml:space="preserve"> (ל' הגשע"ד)</w:t>
      </w:r>
      <w:r w:rsidRPr="001D01A9">
        <w:rPr>
          <w:rFonts w:cs="Arial" w:hint="cs"/>
          <w:rtl/>
        </w:rPr>
        <w:t>.</w:t>
      </w:r>
    </w:p>
    <w:p w14:paraId="35F84968"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124E244" w14:textId="77777777" w:rsidR="002C39F4" w:rsidRDefault="002C39F4" w:rsidP="002C39F4">
      <w:pPr>
        <w:rPr>
          <w:rFonts w:asciiTheme="minorBidi" w:hAnsiTheme="minorBidi"/>
          <w:rtl/>
        </w:rPr>
      </w:pPr>
      <w:r w:rsidRPr="003024E5">
        <w:rPr>
          <w:rFonts w:asciiTheme="minorBidi" w:hAnsiTheme="minorBidi"/>
          <w:rtl/>
        </w:rPr>
        <w:t xml:space="preserve">כשם שסתם כליהם של </w:t>
      </w:r>
      <w:r>
        <w:rPr>
          <w:rFonts w:asciiTheme="minorBidi" w:hAnsiTheme="minorBidi" w:hint="cs"/>
          <w:rtl/>
        </w:rPr>
        <w:t>גוים</w:t>
      </w:r>
      <w:r w:rsidRPr="003024E5">
        <w:rPr>
          <w:rFonts w:asciiTheme="minorBidi" w:hAnsiTheme="minorBidi"/>
          <w:rtl/>
        </w:rPr>
        <w:t xml:space="preserve"> אינם בני יומן, כך סתם כלים שלנו בחזקת שאינן בני יומן. </w:t>
      </w:r>
    </w:p>
    <w:p w14:paraId="4F09091E" w14:textId="77777777" w:rsidR="002C39F4" w:rsidRPr="00093C73" w:rsidRDefault="002C39F4" w:rsidP="002C39F4">
      <w:pPr>
        <w:rPr>
          <w:rFonts w:asciiTheme="minorBidi" w:hAnsiTheme="minorBidi"/>
          <w:u w:val="single"/>
          <w:rtl/>
        </w:rPr>
      </w:pPr>
      <w:r w:rsidRPr="00093C73">
        <w:rPr>
          <w:rFonts w:asciiTheme="minorBidi" w:hAnsiTheme="minorBidi" w:hint="cs"/>
          <w:u w:val="single"/>
          <w:rtl/>
        </w:rPr>
        <w:t>האם בכלי של ישראל צריך לשאול את בעל הכלי אם הכלי בן יומו:</w:t>
      </w:r>
    </w:p>
    <w:p w14:paraId="28AFA981" w14:textId="77777777" w:rsidR="002C39F4" w:rsidRPr="00093C73" w:rsidRDefault="002C39F4" w:rsidP="0032102C">
      <w:pPr>
        <w:pStyle w:val="a8"/>
        <w:numPr>
          <w:ilvl w:val="0"/>
          <w:numId w:val="336"/>
        </w:numPr>
        <w:rPr>
          <w:rFonts w:asciiTheme="minorBidi" w:hAnsiTheme="minorBidi"/>
        </w:rPr>
      </w:pPr>
      <w:r w:rsidRPr="00093C73">
        <w:rPr>
          <w:rFonts w:asciiTheme="minorBidi" w:hAnsiTheme="minorBidi" w:cs="Arial" w:hint="cs"/>
          <w:rtl/>
        </w:rPr>
        <w:t>שו"ת</w:t>
      </w:r>
      <w:r w:rsidRPr="00093C73">
        <w:rPr>
          <w:rFonts w:asciiTheme="minorBidi" w:hAnsiTheme="minorBidi" w:cs="Arial"/>
          <w:rtl/>
        </w:rPr>
        <w:t xml:space="preserve"> באר שבע </w:t>
      </w:r>
      <w:r w:rsidRPr="00093C73">
        <w:rPr>
          <w:rFonts w:asciiTheme="minorBidi" w:hAnsiTheme="minorBidi" w:cs="Arial" w:hint="cs"/>
          <w:sz w:val="16"/>
          <w:szCs w:val="16"/>
          <w:rtl/>
        </w:rPr>
        <w:t>(</w:t>
      </w:r>
      <w:r w:rsidRPr="00093C73">
        <w:rPr>
          <w:rFonts w:asciiTheme="minorBidi" w:hAnsiTheme="minorBidi" w:cs="Arial"/>
          <w:sz w:val="16"/>
          <w:szCs w:val="16"/>
          <w:rtl/>
        </w:rPr>
        <w:t>סי' ל</w:t>
      </w:r>
      <w:r w:rsidRPr="00093C73">
        <w:rPr>
          <w:rFonts w:asciiTheme="minorBidi" w:hAnsiTheme="minorBidi" w:cs="Arial" w:hint="cs"/>
          <w:sz w:val="16"/>
          <w:szCs w:val="16"/>
          <w:rtl/>
        </w:rPr>
        <w:t>, הביאו הפת"ש סק"ו</w:t>
      </w:r>
      <w:r w:rsidRPr="00093C73">
        <w:rPr>
          <w:rFonts w:asciiTheme="minorBidi" w:hAnsiTheme="minorBidi" w:cs="Arial"/>
          <w:sz w:val="16"/>
          <w:szCs w:val="16"/>
          <w:rtl/>
        </w:rPr>
        <w:t>)</w:t>
      </w:r>
      <w:r w:rsidRPr="00093C73">
        <w:rPr>
          <w:rFonts w:asciiTheme="minorBidi" w:hAnsiTheme="minorBidi" w:cs="Arial" w:hint="cs"/>
          <w:rtl/>
        </w:rPr>
        <w:t xml:space="preserve">- </w:t>
      </w:r>
      <w:r w:rsidRPr="00093C73">
        <w:rPr>
          <w:rFonts w:asciiTheme="minorBidi" w:hAnsiTheme="minorBidi" w:cs="Arial"/>
          <w:rtl/>
        </w:rPr>
        <w:t>אע"ג שהשוו אותם הפוסקים לענין שהם בחזקת שאינן ב"י מ"מ יש חילוק גדול ביניהם דלא אמרינן סתם כלים שלנו אינן ב"י אלא כשאין בעל הכלי לפנינו לשאול את פיו</w:t>
      </w:r>
      <w:r>
        <w:rPr>
          <w:rFonts w:asciiTheme="minorBidi" w:hAnsiTheme="minorBidi" w:cs="Arial" w:hint="cs"/>
          <w:rtl/>
        </w:rPr>
        <w:t>,</w:t>
      </w:r>
      <w:r w:rsidRPr="00093C73">
        <w:rPr>
          <w:rFonts w:asciiTheme="minorBidi" w:hAnsiTheme="minorBidi" w:cs="Arial"/>
          <w:rtl/>
        </w:rPr>
        <w:t xml:space="preserve"> אבל בכלי </w:t>
      </w:r>
      <w:r>
        <w:rPr>
          <w:rFonts w:asciiTheme="minorBidi" w:hAnsiTheme="minorBidi" w:cs="Arial" w:hint="cs"/>
          <w:rtl/>
        </w:rPr>
        <w:t>גוי</w:t>
      </w:r>
      <w:r w:rsidRPr="00093C73">
        <w:rPr>
          <w:rFonts w:asciiTheme="minorBidi" w:hAnsiTheme="minorBidi" w:cs="Arial"/>
          <w:rtl/>
        </w:rPr>
        <w:t xml:space="preserve"> אף שה</w:t>
      </w:r>
      <w:r>
        <w:rPr>
          <w:rFonts w:asciiTheme="minorBidi" w:hAnsiTheme="minorBidi" w:cs="Arial" w:hint="cs"/>
          <w:rtl/>
        </w:rPr>
        <w:t>גוי</w:t>
      </w:r>
      <w:r w:rsidRPr="00093C73">
        <w:rPr>
          <w:rFonts w:asciiTheme="minorBidi" w:hAnsiTheme="minorBidi" w:cs="Arial"/>
          <w:rtl/>
        </w:rPr>
        <w:t xml:space="preserve"> לפנינו א"צ לשאול משום דאינו נאמן ודיבורו לא מעלה ולא מוריד</w:t>
      </w:r>
      <w:r>
        <w:rPr>
          <w:rFonts w:asciiTheme="minorBidi" w:hAnsiTheme="minorBidi" w:cs="Arial" w:hint="cs"/>
          <w:rtl/>
        </w:rPr>
        <w:t>.</w:t>
      </w:r>
    </w:p>
    <w:p w14:paraId="76067906" w14:textId="77777777" w:rsidR="002C39F4" w:rsidRPr="00093C73" w:rsidRDefault="002C39F4" w:rsidP="002C39F4">
      <w:pPr>
        <w:ind w:left="360"/>
        <w:rPr>
          <w:rFonts w:asciiTheme="minorBidi" w:hAnsiTheme="minorBidi" w:cs="Arial"/>
          <w:u w:val="dotted"/>
        </w:rPr>
      </w:pPr>
      <w:r w:rsidRPr="00093C73">
        <w:rPr>
          <w:rFonts w:asciiTheme="minorBidi" w:hAnsiTheme="minorBidi" w:cs="Arial" w:hint="cs"/>
          <w:u w:val="dotted"/>
          <w:rtl/>
        </w:rPr>
        <w:t>ומה הדין הייתה אפשרות לשאול את בעל הכלי ולא שאל:</w:t>
      </w:r>
    </w:p>
    <w:p w14:paraId="715DE01A" w14:textId="77777777" w:rsidR="002C39F4" w:rsidRDefault="002C39F4" w:rsidP="0032102C">
      <w:pPr>
        <w:pStyle w:val="a8"/>
        <w:numPr>
          <w:ilvl w:val="0"/>
          <w:numId w:val="336"/>
        </w:numPr>
        <w:rPr>
          <w:rFonts w:asciiTheme="minorBidi" w:hAnsiTheme="minorBidi" w:cs="Arial"/>
        </w:rPr>
      </w:pPr>
      <w:r w:rsidRPr="00093C73">
        <w:rPr>
          <w:rFonts w:asciiTheme="minorBidi" w:hAnsiTheme="minorBidi" w:cs="Arial" w:hint="cs"/>
          <w:rtl/>
        </w:rPr>
        <w:t xml:space="preserve">גר"א </w:t>
      </w:r>
      <w:r w:rsidRPr="00093C73">
        <w:rPr>
          <w:rFonts w:asciiTheme="minorBidi" w:hAnsiTheme="minorBidi" w:cs="Arial" w:hint="cs"/>
          <w:sz w:val="16"/>
          <w:szCs w:val="16"/>
          <w:rtl/>
        </w:rPr>
        <w:t>(סקכ"א)</w:t>
      </w:r>
      <w:r w:rsidRPr="00093C73">
        <w:rPr>
          <w:rFonts w:asciiTheme="minorBidi" w:hAnsiTheme="minorBidi" w:cs="Arial" w:hint="cs"/>
          <w:rtl/>
        </w:rPr>
        <w:t xml:space="preserve">- </w:t>
      </w:r>
      <w:r w:rsidRPr="00093C73">
        <w:rPr>
          <w:rFonts w:asciiTheme="minorBidi" w:hAnsiTheme="minorBidi" w:cs="Arial"/>
          <w:rtl/>
        </w:rPr>
        <w:t>מ</w:t>
      </w:r>
      <w:r>
        <w:rPr>
          <w:rFonts w:asciiTheme="minorBidi" w:hAnsiTheme="minorBidi" w:cs="Arial" w:hint="cs"/>
          <w:rtl/>
        </w:rPr>
        <w:t xml:space="preserve">ותר </w:t>
      </w:r>
      <w:r w:rsidRPr="00093C73">
        <w:rPr>
          <w:rFonts w:asciiTheme="minorBidi" w:hAnsiTheme="minorBidi" w:cs="Arial"/>
          <w:rtl/>
        </w:rPr>
        <w:t>א</w:t>
      </w:r>
      <w:r>
        <w:rPr>
          <w:rFonts w:asciiTheme="minorBidi" w:hAnsiTheme="minorBidi" w:cs="Arial" w:hint="cs"/>
          <w:rtl/>
        </w:rPr>
        <w:t>ע"ג</w:t>
      </w:r>
      <w:r w:rsidRPr="00093C73">
        <w:rPr>
          <w:rFonts w:asciiTheme="minorBidi" w:hAnsiTheme="minorBidi" w:cs="Arial"/>
          <w:rtl/>
        </w:rPr>
        <w:t xml:space="preserve"> שאפשר לשאלו כיון דס"ס הוא מותר דהא גם בשל </w:t>
      </w:r>
      <w:r>
        <w:rPr>
          <w:rFonts w:asciiTheme="minorBidi" w:hAnsiTheme="minorBidi" w:cs="Arial" w:hint="cs"/>
          <w:rtl/>
        </w:rPr>
        <w:t>גוי</w:t>
      </w:r>
      <w:r w:rsidRPr="00093C73">
        <w:rPr>
          <w:rFonts w:asciiTheme="minorBidi" w:hAnsiTheme="minorBidi" w:cs="Arial"/>
          <w:rtl/>
        </w:rPr>
        <w:t xml:space="preserve"> אפשר ע"י קפילא ארמאה כמ"ש הרא"ש אלא דא"צ וכמ</w:t>
      </w:r>
      <w:r>
        <w:rPr>
          <w:rFonts w:asciiTheme="minorBidi" w:hAnsiTheme="minorBidi" w:cs="Arial" w:hint="cs"/>
          <w:rtl/>
        </w:rPr>
        <w:t xml:space="preserve">ו </w:t>
      </w:r>
      <w:r w:rsidRPr="00093C73">
        <w:rPr>
          <w:rFonts w:asciiTheme="minorBidi" w:hAnsiTheme="minorBidi" w:cs="Arial"/>
          <w:rtl/>
        </w:rPr>
        <w:t>ש</w:t>
      </w:r>
      <w:r>
        <w:rPr>
          <w:rFonts w:asciiTheme="minorBidi" w:hAnsiTheme="minorBidi" w:cs="Arial" w:hint="cs"/>
          <w:rtl/>
        </w:rPr>
        <w:t xml:space="preserve">נתבאר </w:t>
      </w:r>
      <w:r w:rsidRPr="00093C73">
        <w:rPr>
          <w:rFonts w:asciiTheme="minorBidi" w:hAnsiTheme="minorBidi" w:cs="Arial"/>
          <w:rtl/>
        </w:rPr>
        <w:t>ל</w:t>
      </w:r>
      <w:r>
        <w:rPr>
          <w:rFonts w:asciiTheme="minorBidi" w:hAnsiTheme="minorBidi" w:cs="Arial" w:hint="cs"/>
          <w:rtl/>
        </w:rPr>
        <w:t>קמן</w:t>
      </w:r>
      <w:r w:rsidRPr="00093C73">
        <w:rPr>
          <w:rFonts w:asciiTheme="minorBidi" w:hAnsiTheme="minorBidi" w:cs="Arial"/>
          <w:rtl/>
        </w:rPr>
        <w:t xml:space="preserve"> ס"ס ק</w:t>
      </w:r>
      <w:r>
        <w:rPr>
          <w:rFonts w:asciiTheme="minorBidi" w:hAnsiTheme="minorBidi" w:cs="Arial" w:hint="cs"/>
          <w:rtl/>
        </w:rPr>
        <w:t>"י.</w:t>
      </w:r>
    </w:p>
    <w:p w14:paraId="396B2847" w14:textId="77777777" w:rsidR="002C39F4" w:rsidRPr="00093C73" w:rsidRDefault="002C39F4" w:rsidP="002C39F4">
      <w:pPr>
        <w:rPr>
          <w:rFonts w:asciiTheme="minorBidi" w:hAnsiTheme="minorBidi" w:cs="Arial"/>
          <w:rtl/>
        </w:rPr>
      </w:pPr>
    </w:p>
    <w:p w14:paraId="5EF4F5BF" w14:textId="77777777" w:rsidR="002C39F4" w:rsidRDefault="002C39F4" w:rsidP="002C39F4">
      <w:pPr>
        <w:pStyle w:val="2"/>
        <w:rPr>
          <w:rFonts w:asciiTheme="minorBidi" w:hAnsiTheme="minorBidi"/>
          <w:rtl/>
        </w:rPr>
      </w:pPr>
      <w:r w:rsidRPr="003024E5">
        <w:rPr>
          <w:rFonts w:asciiTheme="minorBidi" w:hAnsiTheme="minorBidi"/>
          <w:rtl/>
        </w:rPr>
        <w:t>סעיף ח</w:t>
      </w:r>
      <w:r>
        <w:rPr>
          <w:rFonts w:asciiTheme="minorBidi" w:hAnsiTheme="minorBidi" w:hint="cs"/>
          <w:rtl/>
        </w:rPr>
        <w:t>: כלי הבלוע מאיסור ונתערב הכלי בכלים אחרים</w:t>
      </w:r>
    </w:p>
    <w:p w14:paraId="768484F0" w14:textId="77777777" w:rsidR="002C39F4" w:rsidRPr="00093C73" w:rsidRDefault="002C39F4" w:rsidP="002C39F4">
      <w:pPr>
        <w:rPr>
          <w:rFonts w:cs="Arial"/>
          <w:u w:val="single"/>
          <w:rtl/>
        </w:rPr>
      </w:pPr>
      <w:r w:rsidRPr="00093C73">
        <w:rPr>
          <w:rFonts w:cs="Arial"/>
          <w:u w:val="single"/>
          <w:rtl/>
        </w:rPr>
        <w:t>כלי שנאסר בבליעת איסור ונתערב באחרים ואינו ניכר</w:t>
      </w:r>
      <w:r w:rsidRPr="00093C73">
        <w:rPr>
          <w:rFonts w:cs="Arial" w:hint="cs"/>
          <w:u w:val="single"/>
          <w:rtl/>
        </w:rPr>
        <w:t>:</w:t>
      </w:r>
    </w:p>
    <w:p w14:paraId="54ECE23F" w14:textId="77777777" w:rsidR="002C39F4" w:rsidRPr="001E682B" w:rsidRDefault="002C39F4" w:rsidP="0032102C">
      <w:pPr>
        <w:pStyle w:val="a8"/>
        <w:numPr>
          <w:ilvl w:val="0"/>
          <w:numId w:val="336"/>
        </w:numPr>
        <w:rPr>
          <w:rtl/>
        </w:rPr>
      </w:pPr>
      <w:r w:rsidRPr="00093C73">
        <w:rPr>
          <w:rFonts w:cs="Arial"/>
          <w:rtl/>
        </w:rPr>
        <w:t xml:space="preserve">רשב"א </w:t>
      </w:r>
      <w:r w:rsidRPr="001E682B">
        <w:rPr>
          <w:rFonts w:cs="Arial"/>
          <w:sz w:val="16"/>
          <w:szCs w:val="16"/>
          <w:rtl/>
        </w:rPr>
        <w:t>(</w:t>
      </w:r>
      <w:r w:rsidRPr="001E682B">
        <w:rPr>
          <w:rFonts w:cs="Arial" w:hint="cs"/>
          <w:sz w:val="16"/>
          <w:szCs w:val="16"/>
          <w:rtl/>
        </w:rPr>
        <w:t xml:space="preserve">תוה"ק </w:t>
      </w:r>
      <w:r w:rsidRPr="001E682B">
        <w:rPr>
          <w:rFonts w:cs="Arial"/>
          <w:sz w:val="16"/>
          <w:szCs w:val="16"/>
          <w:rtl/>
        </w:rPr>
        <w:t>ב"ד ש"ד לח.</w:t>
      </w:r>
      <w:r w:rsidRPr="001E682B">
        <w:rPr>
          <w:rFonts w:cs="Arial" w:hint="cs"/>
          <w:sz w:val="16"/>
          <w:szCs w:val="16"/>
          <w:rtl/>
        </w:rPr>
        <w:t>, העתיק הטור דבריו</w:t>
      </w:r>
      <w:r w:rsidRPr="001E682B">
        <w:rPr>
          <w:rFonts w:cs="Arial"/>
          <w:sz w:val="16"/>
          <w:szCs w:val="16"/>
          <w:rtl/>
        </w:rPr>
        <w:t>)</w:t>
      </w:r>
      <w:r>
        <w:rPr>
          <w:rFonts w:cs="Arial" w:hint="cs"/>
          <w:rtl/>
        </w:rPr>
        <w:t xml:space="preserve"> וטור- </w:t>
      </w:r>
      <w:r w:rsidRPr="00093C73">
        <w:rPr>
          <w:rFonts w:cs="Arial"/>
          <w:rtl/>
        </w:rPr>
        <w:t>בטל ברוב</w:t>
      </w:r>
      <w:r>
        <w:rPr>
          <w:rFonts w:cs="Arial" w:hint="cs"/>
          <w:rtl/>
        </w:rPr>
        <w:t>,</w:t>
      </w:r>
      <w:r w:rsidRPr="00093C73">
        <w:rPr>
          <w:rFonts w:cs="Arial"/>
          <w:rtl/>
        </w:rPr>
        <w:t xml:space="preserve"> ואע</w:t>
      </w:r>
      <w:r>
        <w:rPr>
          <w:rFonts w:cs="Arial" w:hint="cs"/>
          <w:rtl/>
        </w:rPr>
        <w:t>"</w:t>
      </w:r>
      <w:r w:rsidRPr="00093C73">
        <w:rPr>
          <w:rFonts w:cs="Arial"/>
          <w:rtl/>
        </w:rPr>
        <w:t xml:space="preserve">פ שאפשר להגעילו ולהחזירו להכשירו </w:t>
      </w:r>
      <w:r>
        <w:rPr>
          <w:rFonts w:cs="Arial" w:hint="cs"/>
          <w:rtl/>
        </w:rPr>
        <w:t>ע"</w:t>
      </w:r>
      <w:r w:rsidRPr="00093C73">
        <w:rPr>
          <w:rFonts w:cs="Arial"/>
          <w:rtl/>
        </w:rPr>
        <w:t>י כך אין דנין אותו כדבר שיש לו מתירין לאסור כולם עד שיגעילם אלא הרי הוא כאיסור יבש שנתערב ביבש ובטל ברוב</w:t>
      </w:r>
      <w:r>
        <w:rPr>
          <w:rFonts w:cs="Arial" w:hint="cs"/>
          <w:rtl/>
        </w:rPr>
        <w:t>,</w:t>
      </w:r>
      <w:r w:rsidRPr="00093C73">
        <w:rPr>
          <w:rFonts w:cs="Arial"/>
          <w:rtl/>
        </w:rPr>
        <w:t xml:space="preserve"> שכל שאין מתירין שלו באין מאיליהן וצריך לפזר מעותיו ולהוציא הוצאות במתירין אינו בכלל שיש לו מתירין</w:t>
      </w:r>
      <w:r>
        <w:rPr>
          <w:rStyle w:val="a7"/>
          <w:rFonts w:cs="Arial"/>
          <w:rtl/>
        </w:rPr>
        <w:footnoteReference w:id="3093"/>
      </w:r>
      <w:r>
        <w:rPr>
          <w:rFonts w:cs="Arial" w:hint="cs"/>
          <w:rtl/>
        </w:rPr>
        <w:t>.</w:t>
      </w:r>
      <w:r>
        <w:rPr>
          <w:rFonts w:hint="cs"/>
          <w:rtl/>
        </w:rPr>
        <w:t xml:space="preserve">  </w:t>
      </w:r>
      <w:r w:rsidRPr="00372120">
        <w:rPr>
          <w:rFonts w:hint="cs"/>
          <w:color w:val="E36C0A" w:themeColor="accent6" w:themeShade="BF"/>
          <w:rtl/>
        </w:rPr>
        <w:t>(וכ"פ בשו"ע)</w:t>
      </w:r>
    </w:p>
    <w:p w14:paraId="1EB07CDB" w14:textId="77777777" w:rsidR="002C39F4" w:rsidRPr="005329F5" w:rsidRDefault="002C39F4" w:rsidP="002C39F4">
      <w:pPr>
        <w:rPr>
          <w:rFonts w:cs="Arial"/>
          <w:u w:val="single"/>
          <w:rtl/>
        </w:rPr>
      </w:pPr>
      <w:r>
        <w:rPr>
          <w:rFonts w:cs="Arial" w:hint="cs"/>
          <w:u w:val="single"/>
          <w:rtl/>
        </w:rPr>
        <w:t>נטל"פ ב</w:t>
      </w:r>
      <w:r w:rsidRPr="005329F5">
        <w:rPr>
          <w:rFonts w:cs="Arial" w:hint="cs"/>
          <w:u w:val="single"/>
          <w:rtl/>
        </w:rPr>
        <w:t>כלי חרס:</w:t>
      </w:r>
    </w:p>
    <w:p w14:paraId="73B29B99" w14:textId="77777777" w:rsidR="002C39F4" w:rsidRPr="00A02D07" w:rsidRDefault="002C39F4" w:rsidP="0032102C">
      <w:pPr>
        <w:pStyle w:val="a8"/>
        <w:numPr>
          <w:ilvl w:val="0"/>
          <w:numId w:val="336"/>
        </w:numPr>
        <w:rPr>
          <w:rtl/>
        </w:rPr>
      </w:pPr>
      <w:r w:rsidRPr="005329F5">
        <w:rPr>
          <w:rFonts w:cs="Arial"/>
          <w:rtl/>
        </w:rPr>
        <w:t xml:space="preserve">מרדכי </w:t>
      </w:r>
      <w:r w:rsidRPr="005329F5">
        <w:rPr>
          <w:rFonts w:cs="Arial"/>
          <w:sz w:val="16"/>
          <w:szCs w:val="16"/>
          <w:rtl/>
        </w:rPr>
        <w:t>(ע"ז סי' תתלב-תתלג)</w:t>
      </w:r>
      <w:r w:rsidRPr="005329F5">
        <w:rPr>
          <w:rFonts w:cs="Arial" w:hint="cs"/>
          <w:rtl/>
        </w:rPr>
        <w:t>-</w:t>
      </w:r>
      <w:r w:rsidRPr="005329F5">
        <w:rPr>
          <w:rFonts w:cs="Arial"/>
          <w:rtl/>
        </w:rPr>
        <w:t xml:space="preserve"> יש אומרים דכלי חרס לא שייך ביה נותן טעם לפגם וראיה מאבות דרבי נתן דקאמר </w:t>
      </w:r>
      <w:r w:rsidRPr="005329F5">
        <w:rPr>
          <w:rFonts w:cs="Arial"/>
          <w:sz w:val="16"/>
          <w:szCs w:val="16"/>
          <w:rtl/>
        </w:rPr>
        <w:t xml:space="preserve">(פמ"א מ"ו) </w:t>
      </w:r>
      <w:r w:rsidRPr="005329F5">
        <w:rPr>
          <w:rFonts w:cs="Arial"/>
          <w:rtl/>
        </w:rPr>
        <w:t>ג' מדות בכלי חרס אין מבאיש מה שבתוכו</w:t>
      </w:r>
      <w:r>
        <w:rPr>
          <w:rFonts w:cs="Arial" w:hint="cs"/>
          <w:rtl/>
        </w:rPr>
        <w:t>,</w:t>
      </w:r>
      <w:r w:rsidRPr="005329F5">
        <w:rPr>
          <w:rFonts w:cs="Arial"/>
          <w:rtl/>
        </w:rPr>
        <w:t xml:space="preserve"> ולא נהירא דהא סתם קדרות שבתלמוד של כלי חרס הם ואפילו הכי נותן טעם לפגם מותר</w:t>
      </w:r>
      <w:r>
        <w:rPr>
          <w:rFonts w:cs="Arial" w:hint="cs"/>
          <w:rtl/>
        </w:rPr>
        <w:t>,</w:t>
      </w:r>
      <w:r w:rsidRPr="005329F5">
        <w:rPr>
          <w:rFonts w:cs="Arial"/>
          <w:rtl/>
        </w:rPr>
        <w:t xml:space="preserve"> אלא הכי פירושו</w:t>
      </w:r>
      <w:r>
        <w:rPr>
          <w:rFonts w:cs="Arial" w:hint="cs"/>
          <w:rtl/>
        </w:rPr>
        <w:t>,</w:t>
      </w:r>
      <w:r w:rsidRPr="005329F5">
        <w:rPr>
          <w:rFonts w:cs="Arial"/>
          <w:rtl/>
        </w:rPr>
        <w:t xml:space="preserve"> אינו מבאיש מאכל שנשתהה בו משא</w:t>
      </w:r>
      <w:r>
        <w:rPr>
          <w:rFonts w:cs="Arial" w:hint="cs"/>
          <w:rtl/>
        </w:rPr>
        <w:t>"</w:t>
      </w:r>
      <w:r w:rsidRPr="005329F5">
        <w:rPr>
          <w:rFonts w:cs="Arial"/>
          <w:rtl/>
        </w:rPr>
        <w:t>כ בכלי מתכות שהמאכל השוהה בתוכו נעשה מר</w:t>
      </w:r>
      <w:r>
        <w:rPr>
          <w:rFonts w:cs="Arial" w:hint="cs"/>
          <w:rtl/>
        </w:rPr>
        <w:t>,</w:t>
      </w:r>
      <w:r w:rsidRPr="005329F5">
        <w:rPr>
          <w:rFonts w:cs="Arial"/>
          <w:rtl/>
        </w:rPr>
        <w:t xml:space="preserve"> אבל הנבלע בדפנות גם בכלי חרס נותן טעם לפגם כשאינו בן יומו</w:t>
      </w:r>
      <w:r w:rsidRPr="005329F5">
        <w:rPr>
          <w:rFonts w:cs="Arial" w:hint="cs"/>
          <w:rtl/>
        </w:rPr>
        <w:t>.</w:t>
      </w:r>
    </w:p>
    <w:p w14:paraId="260825B5"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19B649A" w14:textId="77777777" w:rsidR="002C39F4" w:rsidRDefault="002C39F4" w:rsidP="002C39F4">
      <w:pPr>
        <w:rPr>
          <w:rFonts w:asciiTheme="minorBidi" w:hAnsiTheme="minorBidi"/>
          <w:rtl/>
        </w:rPr>
      </w:pPr>
      <w:r w:rsidRPr="003024E5">
        <w:rPr>
          <w:rFonts w:asciiTheme="minorBidi" w:hAnsiTheme="minorBidi"/>
          <w:rtl/>
        </w:rPr>
        <w:t xml:space="preserve">כלי שנאסר בבליעת איסור ונתערב באחרים ואינו ניכר בטל ברוב. </w:t>
      </w:r>
    </w:p>
    <w:p w14:paraId="616F253C" w14:textId="77777777" w:rsidR="002C39F4" w:rsidRPr="003024E5" w:rsidRDefault="002C39F4" w:rsidP="002C39F4">
      <w:pPr>
        <w:rPr>
          <w:rFonts w:asciiTheme="minorBidi" w:hAnsiTheme="minorBidi"/>
          <w:rtl/>
        </w:rPr>
      </w:pPr>
    </w:p>
    <w:p w14:paraId="7FF45EF6" w14:textId="77777777" w:rsidR="002C39F4" w:rsidRDefault="002C39F4" w:rsidP="002C39F4">
      <w:pPr>
        <w:pStyle w:val="2"/>
        <w:rPr>
          <w:rFonts w:asciiTheme="minorBidi" w:hAnsiTheme="minorBidi"/>
          <w:rtl/>
        </w:rPr>
      </w:pPr>
      <w:r w:rsidRPr="003024E5">
        <w:rPr>
          <w:rFonts w:asciiTheme="minorBidi" w:hAnsiTheme="minorBidi"/>
          <w:rtl/>
        </w:rPr>
        <w:t>סעיף ט</w:t>
      </w:r>
      <w:r>
        <w:rPr>
          <w:rFonts w:asciiTheme="minorBidi" w:hAnsiTheme="minorBidi" w:hint="cs"/>
          <w:rtl/>
        </w:rPr>
        <w:t>: הנחת כלים בבית גוי</w:t>
      </w:r>
    </w:p>
    <w:p w14:paraId="5CEC0059" w14:textId="77777777" w:rsidR="002C39F4" w:rsidRPr="005329F5" w:rsidRDefault="002C39F4" w:rsidP="002C39F4">
      <w:pPr>
        <w:rPr>
          <w:rFonts w:cs="Arial"/>
          <w:u w:val="single"/>
          <w:rtl/>
        </w:rPr>
      </w:pPr>
      <w:r>
        <w:rPr>
          <w:rFonts w:cs="Arial" w:hint="cs"/>
          <w:u w:val="single"/>
          <w:rtl/>
        </w:rPr>
        <w:t>כלים של ישראל ששהו אצל גוי</w:t>
      </w:r>
      <w:r w:rsidRPr="005329F5">
        <w:rPr>
          <w:rFonts w:cs="Arial" w:hint="cs"/>
          <w:u w:val="single"/>
          <w:rtl/>
        </w:rPr>
        <w:t>:</w:t>
      </w:r>
    </w:p>
    <w:p w14:paraId="64D62F45" w14:textId="77777777" w:rsidR="002C39F4" w:rsidRDefault="002C39F4" w:rsidP="0032102C">
      <w:pPr>
        <w:pStyle w:val="a8"/>
        <w:numPr>
          <w:ilvl w:val="0"/>
          <w:numId w:val="336"/>
        </w:numPr>
      </w:pPr>
      <w:r w:rsidRPr="002B12D2">
        <w:rPr>
          <w:rFonts w:cs="Arial"/>
          <w:rtl/>
        </w:rPr>
        <w:t xml:space="preserve">מרדכי </w:t>
      </w:r>
      <w:r w:rsidRPr="002B12D2">
        <w:rPr>
          <w:rFonts w:cs="Arial"/>
          <w:sz w:val="16"/>
          <w:szCs w:val="16"/>
          <w:rtl/>
        </w:rPr>
        <w:t>(ע"ז סי' תתלב-תתלג)</w:t>
      </w:r>
      <w:r w:rsidRPr="002B12D2">
        <w:rPr>
          <w:rFonts w:cs="Arial" w:hint="cs"/>
          <w:rtl/>
        </w:rPr>
        <w:t>-</w:t>
      </w:r>
      <w:r w:rsidRPr="002B12D2">
        <w:rPr>
          <w:rFonts w:cs="Arial"/>
          <w:rtl/>
        </w:rPr>
        <w:t xml:space="preserve"> טעמא דסתם כלים של גוים אינן בני יומן משום דהוי ספק ספיקא</w:t>
      </w:r>
      <w:r>
        <w:rPr>
          <w:rFonts w:cs="Arial" w:hint="cs"/>
          <w:rtl/>
        </w:rPr>
        <w:t>,</w:t>
      </w:r>
      <w:r w:rsidRPr="002B12D2">
        <w:rPr>
          <w:rFonts w:cs="Arial"/>
          <w:rtl/>
        </w:rPr>
        <w:t xml:space="preserve"> ולפי זה כשמוליכין הסכינים להשחיז בבית האומן ומחזירן לבו ביום ליכא האי טעמא דספק ספיקא</w:t>
      </w:r>
      <w:r>
        <w:rPr>
          <w:rFonts w:cs="Arial" w:hint="cs"/>
          <w:rtl/>
        </w:rPr>
        <w:t>,</w:t>
      </w:r>
      <w:r w:rsidRPr="002B12D2">
        <w:rPr>
          <w:rFonts w:cs="Arial"/>
          <w:rtl/>
        </w:rPr>
        <w:t xml:space="preserve"> משום דבו ביום החזירן</w:t>
      </w:r>
      <w:r>
        <w:rPr>
          <w:rFonts w:cs="Arial" w:hint="cs"/>
          <w:rtl/>
        </w:rPr>
        <w:t>,</w:t>
      </w:r>
      <w:r w:rsidRPr="002B12D2">
        <w:rPr>
          <w:rFonts w:cs="Arial"/>
          <w:rtl/>
        </w:rPr>
        <w:t xml:space="preserve"> א</w:t>
      </w:r>
      <w:r>
        <w:rPr>
          <w:rFonts w:cs="Arial" w:hint="cs"/>
          <w:rtl/>
        </w:rPr>
        <w:t>"</w:t>
      </w:r>
      <w:r w:rsidRPr="002B12D2">
        <w:rPr>
          <w:rFonts w:cs="Arial"/>
          <w:rtl/>
        </w:rPr>
        <w:t>כ אם נשתמשו בהם היינו בו ביום בודאי</w:t>
      </w:r>
      <w:r>
        <w:rPr>
          <w:rFonts w:cs="Arial" w:hint="cs"/>
          <w:rtl/>
        </w:rPr>
        <w:t>,</w:t>
      </w:r>
      <w:r w:rsidRPr="002B12D2">
        <w:rPr>
          <w:rFonts w:cs="Arial"/>
          <w:rtl/>
        </w:rPr>
        <w:t xml:space="preserve"> וליכא למימר ספק משום דלא נשתמש בו כלל</w:t>
      </w:r>
      <w:r>
        <w:rPr>
          <w:rFonts w:cs="Arial" w:hint="cs"/>
          <w:rtl/>
        </w:rPr>
        <w:t>,</w:t>
      </w:r>
      <w:r w:rsidRPr="002B12D2">
        <w:rPr>
          <w:rFonts w:cs="Arial"/>
          <w:rtl/>
        </w:rPr>
        <w:t xml:space="preserve"> דודאי רגיל להשתמש בו כיון שאין ישראל עומד על גבו והילכך צריך הגעלה</w:t>
      </w:r>
      <w:r>
        <w:rPr>
          <w:rStyle w:val="a7"/>
          <w:rFonts w:cs="Arial"/>
          <w:rtl/>
        </w:rPr>
        <w:footnoteReference w:id="3094"/>
      </w:r>
      <w:r>
        <w:rPr>
          <w:rFonts w:cs="Arial" w:hint="cs"/>
          <w:rtl/>
        </w:rPr>
        <w:t>,</w:t>
      </w:r>
      <w:r w:rsidRPr="002B12D2">
        <w:rPr>
          <w:rFonts w:cs="Arial"/>
          <w:rtl/>
        </w:rPr>
        <w:t xml:space="preserve"> וכן אומר ר</w:t>
      </w:r>
      <w:r>
        <w:rPr>
          <w:rFonts w:cs="Arial" w:hint="cs"/>
          <w:rtl/>
        </w:rPr>
        <w:t>"</w:t>
      </w:r>
      <w:r w:rsidRPr="002B12D2">
        <w:rPr>
          <w:rFonts w:cs="Arial"/>
          <w:rtl/>
        </w:rPr>
        <w:t>ת דצריך שילך הישראל להשחזה והיה מחמיר בהן יותר מבכלי הגוים עצמם</w:t>
      </w:r>
      <w:r>
        <w:rPr>
          <w:rFonts w:cs="Arial" w:hint="cs"/>
          <w:rtl/>
        </w:rPr>
        <w:t>,</w:t>
      </w:r>
      <w:r w:rsidRPr="002B12D2">
        <w:rPr>
          <w:rFonts w:cs="Arial"/>
          <w:rtl/>
        </w:rPr>
        <w:t xml:space="preserve"> ודוקא כשהניחן חצי יום בבית הגוי או יותר אבל לפי שעה לא</w:t>
      </w:r>
      <w:r>
        <w:rPr>
          <w:rFonts w:cs="Arial" w:hint="cs"/>
          <w:rtl/>
        </w:rPr>
        <w:t>,</w:t>
      </w:r>
      <w:r w:rsidRPr="002B12D2">
        <w:rPr>
          <w:rFonts w:cs="Arial"/>
          <w:rtl/>
        </w:rPr>
        <w:t xml:space="preserve"> מיהו אותם הסכינים שמוליכין העבדים גוים שבבית ישראל אנה ואנה אותם יש להתיר מטעם ספק ספיקא כסתם כלי גוים</w:t>
      </w:r>
      <w:r>
        <w:rPr>
          <w:rFonts w:cs="Arial" w:hint="cs"/>
          <w:rtl/>
        </w:rPr>
        <w:t>,</w:t>
      </w:r>
      <w:r w:rsidRPr="002B12D2">
        <w:rPr>
          <w:rFonts w:cs="Arial"/>
          <w:rtl/>
        </w:rPr>
        <w:t xml:space="preserve"> ומכל מקום נכון להחמיר</w:t>
      </w:r>
      <w:r>
        <w:rPr>
          <w:rFonts w:cs="Arial" w:hint="cs"/>
          <w:rtl/>
        </w:rPr>
        <w:t>,</w:t>
      </w:r>
      <w:r w:rsidRPr="002B12D2">
        <w:rPr>
          <w:rFonts w:cs="Arial"/>
          <w:rtl/>
        </w:rPr>
        <w:t xml:space="preserve"> וכן יש ליזהר שלא להניח קדרות וקערות בבית הגוי ואפילו מקצת היום</w:t>
      </w:r>
      <w:r>
        <w:rPr>
          <w:rFonts w:cs="Arial" w:hint="cs"/>
          <w:rtl/>
        </w:rPr>
        <w:t>,</w:t>
      </w:r>
      <w:r w:rsidRPr="002B12D2">
        <w:rPr>
          <w:rFonts w:cs="Arial"/>
          <w:rtl/>
        </w:rPr>
        <w:t xml:space="preserve"> וכשישראל נותן לגוי תבשיל בקדרה או בקערה להוליכה בביתו של גוי יזהירנו הישראל שלא ידיח הקערה אך יש להניח בה קצת משיור תבשיל וכן שיביאנו בו ביום</w:t>
      </w:r>
      <w:r>
        <w:rPr>
          <w:rFonts w:cs="Arial" w:hint="cs"/>
          <w:rtl/>
        </w:rPr>
        <w:t>... ו</w:t>
      </w:r>
      <w:r w:rsidRPr="002B12D2">
        <w:rPr>
          <w:rFonts w:cs="Arial"/>
          <w:rtl/>
        </w:rPr>
        <w:t>אם שכח יורה בבית הגוי עד למחרתו העמידנו על חזקתו ואימור לא נשתמש בה איסור ועוד דאפילו נשתמש הוי ליה פגימה שאינה בת יומא</w:t>
      </w:r>
      <w:r>
        <w:rPr>
          <w:rStyle w:val="a7"/>
          <w:rFonts w:cs="Arial"/>
          <w:rtl/>
        </w:rPr>
        <w:footnoteReference w:id="3095"/>
      </w:r>
      <w:r w:rsidRPr="002B12D2">
        <w:rPr>
          <w:rFonts w:cs="Arial"/>
          <w:rtl/>
        </w:rPr>
        <w:t xml:space="preserve">. </w:t>
      </w:r>
    </w:p>
    <w:p w14:paraId="07E05B36" w14:textId="77777777" w:rsidR="002C39F4" w:rsidRPr="00F32A0B" w:rsidRDefault="002C39F4" w:rsidP="002C39F4">
      <w:pPr>
        <w:rPr>
          <w:u w:val="single"/>
        </w:rPr>
      </w:pPr>
      <w:r w:rsidRPr="00F32A0B">
        <w:rPr>
          <w:rFonts w:cs="Arial"/>
          <w:u w:val="single"/>
          <w:rtl/>
        </w:rPr>
        <w:t>קדרות או קערות שלנו שעמדו בבית הגוי בלא סימן</w:t>
      </w:r>
      <w:r w:rsidRPr="00F32A0B">
        <w:rPr>
          <w:rFonts w:cs="Arial" w:hint="cs"/>
          <w:u w:val="single"/>
          <w:rtl/>
        </w:rPr>
        <w:t>:</w:t>
      </w:r>
    </w:p>
    <w:p w14:paraId="4517E4BC" w14:textId="77777777" w:rsidR="002C39F4" w:rsidRPr="00A02D07" w:rsidRDefault="002C39F4" w:rsidP="0032102C">
      <w:pPr>
        <w:pStyle w:val="a8"/>
        <w:numPr>
          <w:ilvl w:val="0"/>
          <w:numId w:val="336"/>
        </w:numPr>
        <w:rPr>
          <w:rtl/>
        </w:rPr>
      </w:pPr>
      <w:r>
        <w:rPr>
          <w:rFonts w:cs="Arial" w:hint="cs"/>
          <w:rtl/>
        </w:rPr>
        <w:t xml:space="preserve">א"ח </w:t>
      </w:r>
      <w:r w:rsidRPr="002B12D2">
        <w:rPr>
          <w:rFonts w:cs="Arial"/>
          <w:sz w:val="16"/>
          <w:szCs w:val="16"/>
          <w:rtl/>
        </w:rPr>
        <w:t>(סי' כה הל</w:t>
      </w:r>
      <w:r w:rsidRPr="002B12D2">
        <w:rPr>
          <w:rFonts w:cs="Arial" w:hint="cs"/>
          <w:sz w:val="16"/>
          <w:szCs w:val="16"/>
          <w:rtl/>
        </w:rPr>
        <w:t>א"מ</w:t>
      </w:r>
      <w:r w:rsidRPr="002B12D2">
        <w:rPr>
          <w:rFonts w:cs="Arial"/>
          <w:sz w:val="16"/>
          <w:szCs w:val="16"/>
          <w:rtl/>
        </w:rPr>
        <w:t xml:space="preserve"> אות נג) </w:t>
      </w:r>
      <w:r w:rsidRPr="002B12D2">
        <w:rPr>
          <w:rFonts w:cs="Arial"/>
          <w:rtl/>
        </w:rPr>
        <w:t>בשם הרא"ה</w:t>
      </w:r>
      <w:r>
        <w:rPr>
          <w:rFonts w:cs="Arial" w:hint="cs"/>
          <w:rtl/>
        </w:rPr>
        <w:t>-</w:t>
      </w:r>
      <w:r w:rsidRPr="002B12D2">
        <w:rPr>
          <w:rFonts w:cs="Arial"/>
          <w:rtl/>
        </w:rPr>
        <w:t xml:space="preserve"> קדרות או קערות שלנו שעמדו בבית הגוי בלא סימן משהה אותם מעת לעת ומותר</w:t>
      </w:r>
      <w:r>
        <w:rPr>
          <w:rFonts w:cs="Arial" w:hint="cs"/>
          <w:rtl/>
        </w:rPr>
        <w:t>.</w:t>
      </w:r>
    </w:p>
    <w:p w14:paraId="40AECA07"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C893E32" w14:textId="77777777" w:rsidR="002C39F4" w:rsidRPr="001E513A" w:rsidRDefault="002C39F4" w:rsidP="002C39F4">
      <w:pPr>
        <w:rPr>
          <w:rFonts w:asciiTheme="minorBidi" w:hAnsiTheme="minorBidi"/>
          <w:rtl/>
        </w:rPr>
      </w:pPr>
      <w:r w:rsidRPr="003024E5">
        <w:rPr>
          <w:rFonts w:asciiTheme="minorBidi" w:hAnsiTheme="minorBidi"/>
          <w:rtl/>
        </w:rPr>
        <w:t xml:space="preserve">יש ליזהר מלהניח בבית </w:t>
      </w:r>
      <w:r>
        <w:rPr>
          <w:rFonts w:asciiTheme="minorBidi" w:hAnsiTheme="minorBidi" w:hint="cs"/>
          <w:rtl/>
        </w:rPr>
        <w:t>גוי</w:t>
      </w:r>
      <w:r w:rsidRPr="003024E5">
        <w:rPr>
          <w:rFonts w:asciiTheme="minorBidi" w:hAnsiTheme="minorBidi"/>
          <w:rtl/>
        </w:rPr>
        <w:t xml:space="preserve"> כלי סעודה, דחיישינן שמא ישתמש בהם. </w:t>
      </w:r>
      <w:r w:rsidRPr="005329F5">
        <w:rPr>
          <w:rFonts w:asciiTheme="minorBidi" w:hAnsiTheme="minorBidi"/>
          <w:sz w:val="18"/>
          <w:szCs w:val="18"/>
          <w:rtl/>
        </w:rPr>
        <w:t xml:space="preserve">הגה: ואפילו אם נתנם לאומן לתקנם, צריך לעשות בהם סימן שלא ישתמש בהם </w:t>
      </w:r>
      <w:r>
        <w:rPr>
          <w:rFonts w:asciiTheme="minorBidi" w:hAnsiTheme="minorBidi" w:hint="cs"/>
          <w:sz w:val="18"/>
          <w:szCs w:val="18"/>
          <w:rtl/>
        </w:rPr>
        <w:t>הגוי</w:t>
      </w:r>
      <w:r w:rsidRPr="005329F5">
        <w:rPr>
          <w:rFonts w:asciiTheme="minorBidi" w:hAnsiTheme="minorBidi"/>
          <w:sz w:val="18"/>
          <w:szCs w:val="18"/>
          <w:rtl/>
        </w:rPr>
        <w:t xml:space="preserve"> (ב"י בשם א"ח). ואם עבר ולא עשה, כשחזר ולקחן מן </w:t>
      </w:r>
      <w:r>
        <w:rPr>
          <w:rFonts w:asciiTheme="minorBidi" w:hAnsiTheme="minorBidi" w:hint="cs"/>
          <w:sz w:val="18"/>
          <w:szCs w:val="18"/>
          <w:rtl/>
        </w:rPr>
        <w:t>הגוי</w:t>
      </w:r>
      <w:r w:rsidRPr="005329F5">
        <w:rPr>
          <w:rFonts w:asciiTheme="minorBidi" w:hAnsiTheme="minorBidi"/>
          <w:sz w:val="18"/>
          <w:szCs w:val="18"/>
          <w:rtl/>
        </w:rPr>
        <w:t xml:space="preserve"> צריכים הגעלה</w:t>
      </w:r>
      <w:r>
        <w:rPr>
          <w:rFonts w:asciiTheme="minorBidi" w:hAnsiTheme="minorBidi" w:hint="cs"/>
          <w:sz w:val="18"/>
          <w:szCs w:val="18"/>
          <w:rtl/>
        </w:rPr>
        <w:t>,</w:t>
      </w:r>
      <w:r w:rsidRPr="005329F5">
        <w:rPr>
          <w:rFonts w:asciiTheme="minorBidi" w:hAnsiTheme="minorBidi"/>
          <w:sz w:val="18"/>
          <w:szCs w:val="18"/>
          <w:rtl/>
        </w:rPr>
        <w:t xml:space="preserve"> ודוקא אם שהו קצת אצל ה</w:t>
      </w:r>
      <w:r>
        <w:rPr>
          <w:rFonts w:asciiTheme="minorBidi" w:hAnsiTheme="minorBidi" w:hint="cs"/>
          <w:sz w:val="18"/>
          <w:szCs w:val="18"/>
          <w:rtl/>
        </w:rPr>
        <w:t>גוי</w:t>
      </w:r>
      <w:r w:rsidRPr="005329F5">
        <w:rPr>
          <w:rFonts w:asciiTheme="minorBidi" w:hAnsiTheme="minorBidi"/>
          <w:sz w:val="18"/>
          <w:szCs w:val="18"/>
          <w:rtl/>
        </w:rPr>
        <w:t>, דהיינו כחצי יום, אבל לפי שעה אין לחוש</w:t>
      </w:r>
      <w:r>
        <w:rPr>
          <w:rStyle w:val="a7"/>
          <w:rFonts w:asciiTheme="minorBidi" w:hAnsiTheme="minorBidi"/>
          <w:sz w:val="18"/>
          <w:szCs w:val="18"/>
          <w:rtl/>
        </w:rPr>
        <w:footnoteReference w:id="3096"/>
      </w:r>
      <w:r w:rsidRPr="005329F5">
        <w:rPr>
          <w:rFonts w:asciiTheme="minorBidi" w:hAnsiTheme="minorBidi"/>
          <w:sz w:val="18"/>
          <w:szCs w:val="18"/>
          <w:rtl/>
        </w:rPr>
        <w:t xml:space="preserve"> (מרדכי). וכל זה כשרוצה להשתמש בו ביום שנתנו לו, דליכא אלא חדא ספיקא שמא נשתמש בו ה</w:t>
      </w:r>
      <w:r>
        <w:rPr>
          <w:rFonts w:asciiTheme="minorBidi" w:hAnsiTheme="minorBidi" w:hint="cs"/>
          <w:sz w:val="18"/>
          <w:szCs w:val="18"/>
          <w:rtl/>
        </w:rPr>
        <w:t>גוי</w:t>
      </w:r>
      <w:r w:rsidRPr="005329F5">
        <w:rPr>
          <w:rFonts w:asciiTheme="minorBidi" w:hAnsiTheme="minorBidi"/>
          <w:sz w:val="18"/>
          <w:szCs w:val="18"/>
          <w:rtl/>
        </w:rPr>
        <w:t xml:space="preserve"> או לא, אבל אם לא לקחו מן ה</w:t>
      </w:r>
      <w:r>
        <w:rPr>
          <w:rFonts w:asciiTheme="minorBidi" w:hAnsiTheme="minorBidi" w:hint="cs"/>
          <w:sz w:val="18"/>
          <w:szCs w:val="18"/>
          <w:rtl/>
        </w:rPr>
        <w:t>גוי</w:t>
      </w:r>
      <w:r w:rsidRPr="005329F5">
        <w:rPr>
          <w:rFonts w:asciiTheme="minorBidi" w:hAnsiTheme="minorBidi"/>
          <w:sz w:val="18"/>
          <w:szCs w:val="18"/>
          <w:rtl/>
        </w:rPr>
        <w:t xml:space="preserve"> עד לאחר זמן, דנוכל לומר אף אם נשתמש בו ה</w:t>
      </w:r>
      <w:r>
        <w:rPr>
          <w:rFonts w:asciiTheme="minorBidi" w:hAnsiTheme="minorBidi" w:hint="cs"/>
          <w:sz w:val="18"/>
          <w:szCs w:val="18"/>
          <w:rtl/>
        </w:rPr>
        <w:t>גוי</w:t>
      </w:r>
      <w:r w:rsidRPr="005329F5">
        <w:rPr>
          <w:rFonts w:asciiTheme="minorBidi" w:hAnsiTheme="minorBidi"/>
          <w:sz w:val="18"/>
          <w:szCs w:val="18"/>
          <w:rtl/>
        </w:rPr>
        <w:t xml:space="preserve"> כבר נפגם ונשתהא מעת לעת</w:t>
      </w:r>
      <w:r>
        <w:rPr>
          <w:rFonts w:asciiTheme="minorBidi" w:hAnsiTheme="minorBidi" w:hint="cs"/>
          <w:sz w:val="18"/>
          <w:szCs w:val="18"/>
          <w:rtl/>
        </w:rPr>
        <w:t>,</w:t>
      </w:r>
      <w:r w:rsidRPr="005329F5">
        <w:rPr>
          <w:rFonts w:asciiTheme="minorBidi" w:hAnsiTheme="minorBidi"/>
          <w:sz w:val="18"/>
          <w:szCs w:val="18"/>
          <w:rtl/>
        </w:rPr>
        <w:t xml:space="preserve"> או נשתהא ביד ישראל לאחר שלקחו מן </w:t>
      </w:r>
      <w:r>
        <w:rPr>
          <w:rFonts w:asciiTheme="minorBidi" w:hAnsiTheme="minorBidi" w:hint="cs"/>
          <w:sz w:val="18"/>
          <w:szCs w:val="18"/>
          <w:rtl/>
        </w:rPr>
        <w:t>הגוי</w:t>
      </w:r>
      <w:r w:rsidRPr="005329F5">
        <w:rPr>
          <w:rFonts w:asciiTheme="minorBidi" w:hAnsiTheme="minorBidi"/>
          <w:sz w:val="18"/>
          <w:szCs w:val="18"/>
          <w:rtl/>
        </w:rPr>
        <w:t xml:space="preserve"> מעת לעת, אזלינן לקולא ואין חוששין בדיעבד</w:t>
      </w:r>
      <w:r>
        <w:rPr>
          <w:rStyle w:val="a7"/>
          <w:rFonts w:asciiTheme="minorBidi" w:hAnsiTheme="minorBidi"/>
          <w:sz w:val="18"/>
          <w:szCs w:val="18"/>
          <w:rtl/>
        </w:rPr>
        <w:footnoteReference w:id="3097"/>
      </w:r>
      <w:r w:rsidRPr="005329F5">
        <w:rPr>
          <w:rFonts w:asciiTheme="minorBidi" w:hAnsiTheme="minorBidi"/>
          <w:sz w:val="18"/>
          <w:szCs w:val="18"/>
          <w:rtl/>
        </w:rPr>
        <w:t xml:space="preserve"> (</w:t>
      </w:r>
      <w:r>
        <w:rPr>
          <w:rFonts w:asciiTheme="minorBidi" w:hAnsiTheme="minorBidi" w:hint="cs"/>
          <w:sz w:val="18"/>
          <w:szCs w:val="18"/>
          <w:rtl/>
        </w:rPr>
        <w:t>ד"ע</w:t>
      </w:r>
      <w:r w:rsidRPr="005329F5">
        <w:rPr>
          <w:rFonts w:asciiTheme="minorBidi" w:hAnsiTheme="minorBidi"/>
          <w:sz w:val="18"/>
          <w:szCs w:val="18"/>
          <w:rtl/>
        </w:rPr>
        <w:t>). ואם לקחו מן ה</w:t>
      </w:r>
      <w:r>
        <w:rPr>
          <w:rFonts w:asciiTheme="minorBidi" w:hAnsiTheme="minorBidi" w:hint="cs"/>
          <w:sz w:val="18"/>
          <w:szCs w:val="18"/>
          <w:rtl/>
        </w:rPr>
        <w:t>גוי</w:t>
      </w:r>
      <w:r w:rsidRPr="005329F5">
        <w:rPr>
          <w:rFonts w:asciiTheme="minorBidi" w:hAnsiTheme="minorBidi"/>
          <w:sz w:val="18"/>
          <w:szCs w:val="18"/>
          <w:rtl/>
        </w:rPr>
        <w:t xml:space="preserve"> באותו יום שנתנו לו, ועבר ונשתמש בו בלא הגעלה, יש אוסרים המאכל כמו בכלי שהוא בודאי בן יומו (ארוך)</w:t>
      </w:r>
      <w:r>
        <w:rPr>
          <w:rFonts w:asciiTheme="minorBidi" w:hAnsiTheme="minorBidi" w:hint="cs"/>
          <w:sz w:val="18"/>
          <w:szCs w:val="18"/>
          <w:rtl/>
        </w:rPr>
        <w:t>,</w:t>
      </w:r>
      <w:r w:rsidRPr="005329F5">
        <w:rPr>
          <w:rFonts w:asciiTheme="minorBidi" w:hAnsiTheme="minorBidi"/>
          <w:sz w:val="18"/>
          <w:szCs w:val="18"/>
          <w:rtl/>
        </w:rPr>
        <w:t xml:space="preserve"> ובמקום צורך יש להקל בדיעבד</w:t>
      </w:r>
      <w:r>
        <w:rPr>
          <w:rStyle w:val="a7"/>
          <w:rFonts w:asciiTheme="minorBidi" w:hAnsiTheme="minorBidi"/>
          <w:sz w:val="18"/>
          <w:szCs w:val="18"/>
          <w:rtl/>
        </w:rPr>
        <w:footnoteReference w:id="3098"/>
      </w:r>
      <w:r w:rsidRPr="005329F5">
        <w:rPr>
          <w:rFonts w:asciiTheme="minorBidi" w:hAnsiTheme="minorBidi"/>
          <w:sz w:val="18"/>
          <w:szCs w:val="18"/>
          <w:rtl/>
        </w:rPr>
        <w:t>, ולכתחלה יש ליזהר בכל ענין, אפילו בעבדים ושפחות ה</w:t>
      </w:r>
      <w:r>
        <w:rPr>
          <w:rFonts w:asciiTheme="minorBidi" w:hAnsiTheme="minorBidi" w:hint="cs"/>
          <w:sz w:val="18"/>
          <w:szCs w:val="18"/>
          <w:rtl/>
        </w:rPr>
        <w:t>גו</w:t>
      </w:r>
      <w:r w:rsidRPr="005329F5">
        <w:rPr>
          <w:rFonts w:asciiTheme="minorBidi" w:hAnsiTheme="minorBidi"/>
          <w:sz w:val="18"/>
          <w:szCs w:val="18"/>
          <w:rtl/>
        </w:rPr>
        <w:t>ים שבבית ישראל, שלא לייחד כלים שלנו אצלן, שמא ישתמשו בהן בדברים האסורים</w:t>
      </w:r>
      <w:r>
        <w:rPr>
          <w:rStyle w:val="a7"/>
          <w:rFonts w:asciiTheme="minorBidi" w:hAnsiTheme="minorBidi"/>
          <w:sz w:val="18"/>
          <w:szCs w:val="18"/>
          <w:rtl/>
        </w:rPr>
        <w:footnoteReference w:id="3099"/>
      </w:r>
      <w:r w:rsidRPr="005329F5">
        <w:rPr>
          <w:rFonts w:asciiTheme="minorBidi" w:hAnsiTheme="minorBidi"/>
          <w:sz w:val="18"/>
          <w:szCs w:val="18"/>
          <w:rtl/>
        </w:rPr>
        <w:t xml:space="preserve"> (שם במרדכי). וע"ל סימן קלו. </w:t>
      </w:r>
      <w:r w:rsidRPr="001E513A">
        <w:rPr>
          <w:rFonts w:asciiTheme="minorBidi" w:hAnsiTheme="minorBidi" w:hint="cs"/>
          <w:rtl/>
        </w:rPr>
        <w:t xml:space="preserve"> </w:t>
      </w:r>
    </w:p>
    <w:p w14:paraId="0823BADE" w14:textId="77777777" w:rsidR="002C39F4" w:rsidRPr="003024E5" w:rsidRDefault="002C39F4" w:rsidP="002C39F4">
      <w:pPr>
        <w:rPr>
          <w:rFonts w:asciiTheme="minorBidi" w:hAnsiTheme="minorBidi"/>
          <w:rtl/>
        </w:rPr>
      </w:pPr>
    </w:p>
    <w:p w14:paraId="5DC47AB0" w14:textId="77777777" w:rsidR="002C39F4" w:rsidRDefault="002C39F4" w:rsidP="002C39F4">
      <w:pPr>
        <w:pStyle w:val="2"/>
        <w:rPr>
          <w:rFonts w:asciiTheme="minorBidi" w:hAnsiTheme="minorBidi"/>
          <w:rtl/>
        </w:rPr>
      </w:pPr>
      <w:r w:rsidRPr="003024E5">
        <w:rPr>
          <w:rFonts w:asciiTheme="minorBidi" w:hAnsiTheme="minorBidi"/>
          <w:rtl/>
        </w:rPr>
        <w:t>סעיף י</w:t>
      </w:r>
      <w:r>
        <w:rPr>
          <w:rFonts w:asciiTheme="minorBidi" w:hAnsiTheme="minorBidi" w:hint="cs"/>
          <w:rtl/>
        </w:rPr>
        <w:t>: כלי שיש חשש שהדיחוהו בחמין עם כלי איסור</w:t>
      </w:r>
    </w:p>
    <w:p w14:paraId="55A399F0" w14:textId="77777777" w:rsidR="002C39F4" w:rsidRPr="002B12D2" w:rsidRDefault="002C39F4" w:rsidP="002C39F4">
      <w:pPr>
        <w:rPr>
          <w:u w:val="single"/>
        </w:rPr>
      </w:pPr>
      <w:r w:rsidRPr="002B12D2">
        <w:rPr>
          <w:rFonts w:cs="Arial"/>
          <w:u w:val="single"/>
          <w:rtl/>
        </w:rPr>
        <w:t xml:space="preserve">מאני </w:t>
      </w:r>
      <w:r w:rsidRPr="00F32A0B">
        <w:rPr>
          <w:rFonts w:cs="Arial"/>
          <w:u w:val="single"/>
          <w:rtl/>
        </w:rPr>
        <w:t>דקוניא</w:t>
      </w:r>
      <w:r w:rsidRPr="00F32A0B">
        <w:rPr>
          <w:rStyle w:val="a7"/>
          <w:rFonts w:cs="Arial"/>
          <w:u w:val="single"/>
          <w:rtl/>
        </w:rPr>
        <w:footnoteReference w:id="3100"/>
      </w:r>
      <w:r w:rsidRPr="00F32A0B">
        <w:rPr>
          <w:rFonts w:cs="Arial"/>
          <w:u w:val="single"/>
          <w:rtl/>
        </w:rPr>
        <w:t xml:space="preserve"> ששהו</w:t>
      </w:r>
      <w:r w:rsidRPr="002B12D2">
        <w:rPr>
          <w:rFonts w:cs="Arial"/>
          <w:u w:val="single"/>
          <w:rtl/>
        </w:rPr>
        <w:t xml:space="preserve"> בבית הגוי</w:t>
      </w:r>
      <w:r w:rsidRPr="002B12D2">
        <w:rPr>
          <w:rFonts w:cs="Arial" w:hint="cs"/>
          <w:u w:val="single"/>
          <w:rtl/>
        </w:rPr>
        <w:t>:</w:t>
      </w:r>
    </w:p>
    <w:p w14:paraId="00556A87" w14:textId="77777777" w:rsidR="002C39F4" w:rsidRPr="00722A2F" w:rsidRDefault="002C39F4" w:rsidP="0032102C">
      <w:pPr>
        <w:pStyle w:val="a8"/>
        <w:numPr>
          <w:ilvl w:val="0"/>
          <w:numId w:val="336"/>
        </w:numPr>
        <w:rPr>
          <w:rtl/>
        </w:rPr>
      </w:pPr>
      <w:r w:rsidRPr="002B12D2">
        <w:rPr>
          <w:rFonts w:cs="Arial"/>
          <w:rtl/>
        </w:rPr>
        <w:t xml:space="preserve">רא"ש </w:t>
      </w:r>
      <w:r w:rsidRPr="002B12D2">
        <w:rPr>
          <w:rFonts w:cs="Arial" w:hint="cs"/>
          <w:sz w:val="16"/>
          <w:szCs w:val="16"/>
          <w:rtl/>
        </w:rPr>
        <w:t>(</w:t>
      </w:r>
      <w:r w:rsidRPr="002B12D2">
        <w:rPr>
          <w:rFonts w:cs="Arial"/>
          <w:sz w:val="16"/>
          <w:szCs w:val="16"/>
          <w:rtl/>
        </w:rPr>
        <w:t>כלל יט סי</w:t>
      </w:r>
      <w:r w:rsidRPr="002B12D2">
        <w:rPr>
          <w:rFonts w:cs="Arial" w:hint="cs"/>
          <w:sz w:val="16"/>
          <w:szCs w:val="16"/>
          <w:rtl/>
        </w:rPr>
        <w:t xml:space="preserve">' </w:t>
      </w:r>
      <w:r w:rsidRPr="002B12D2">
        <w:rPr>
          <w:rFonts w:cs="Arial"/>
          <w:sz w:val="16"/>
          <w:szCs w:val="16"/>
          <w:rtl/>
        </w:rPr>
        <w:t>יט</w:t>
      </w:r>
      <w:r w:rsidRPr="002B12D2">
        <w:rPr>
          <w:rFonts w:cs="Arial" w:hint="cs"/>
          <w:sz w:val="16"/>
          <w:szCs w:val="16"/>
          <w:rtl/>
        </w:rPr>
        <w:t>)</w:t>
      </w:r>
      <w:r>
        <w:rPr>
          <w:rFonts w:cs="Arial" w:hint="cs"/>
          <w:rtl/>
        </w:rPr>
        <w:t>-</w:t>
      </w:r>
      <w:r w:rsidRPr="002B12D2">
        <w:rPr>
          <w:rFonts w:cs="Arial"/>
          <w:rtl/>
        </w:rPr>
        <w:t xml:space="preserve"> מאני דקוניא ששהו בבית הגוי אם נכר בו המאכל ששלח הישראל בתוכו מותר</w:t>
      </w:r>
      <w:r>
        <w:rPr>
          <w:rFonts w:cs="Arial" w:hint="cs"/>
          <w:rtl/>
        </w:rPr>
        <w:t>,</w:t>
      </w:r>
      <w:r w:rsidRPr="002B12D2">
        <w:rPr>
          <w:rFonts w:cs="Arial"/>
          <w:rtl/>
        </w:rPr>
        <w:t xml:space="preserve"> ואם לאו אסור אם רגילים להדיח הכלים בחמין דחיישינן שמא הודח עם כלי איסורין של גוים</w:t>
      </w:r>
      <w:r>
        <w:rPr>
          <w:rFonts w:cs="Arial" w:hint="cs"/>
          <w:rtl/>
        </w:rPr>
        <w:t>.</w:t>
      </w:r>
    </w:p>
    <w:p w14:paraId="67E46474"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FEEA4D0" w14:textId="77777777" w:rsidR="002C39F4" w:rsidRDefault="002C39F4" w:rsidP="002C39F4">
      <w:pPr>
        <w:rPr>
          <w:rFonts w:asciiTheme="minorBidi" w:hAnsiTheme="minorBidi"/>
          <w:rtl/>
        </w:rPr>
      </w:pPr>
      <w:r w:rsidRPr="003024E5">
        <w:rPr>
          <w:rFonts w:asciiTheme="minorBidi" w:hAnsiTheme="minorBidi"/>
          <w:rtl/>
        </w:rPr>
        <w:t xml:space="preserve">קערות ששלח ישראל </w:t>
      </w:r>
      <w:r>
        <w:rPr>
          <w:rFonts w:asciiTheme="minorBidi" w:hAnsiTheme="minorBidi" w:hint="cs"/>
          <w:rtl/>
        </w:rPr>
        <w:t>לגוי</w:t>
      </w:r>
      <w:r w:rsidRPr="003024E5">
        <w:rPr>
          <w:rFonts w:asciiTheme="minorBidi" w:hAnsiTheme="minorBidi"/>
          <w:rtl/>
        </w:rPr>
        <w:t xml:space="preserve"> עם מאכל, ושהו שם, אם ניכר בהם המאכל ששלח הישראל בתוכה, מותר</w:t>
      </w:r>
      <w:r>
        <w:rPr>
          <w:rFonts w:asciiTheme="minorBidi" w:hAnsiTheme="minorBidi" w:hint="cs"/>
          <w:rtl/>
        </w:rPr>
        <w:t>,</w:t>
      </w:r>
      <w:r w:rsidRPr="003024E5">
        <w:rPr>
          <w:rFonts w:asciiTheme="minorBidi" w:hAnsiTheme="minorBidi"/>
          <w:rtl/>
        </w:rPr>
        <w:t xml:space="preserve"> ואם לאו, אסור אם רגילים להדיח הכלים בחמין, דחיישינן שמא הודח עם כלי איסור. </w:t>
      </w:r>
    </w:p>
    <w:p w14:paraId="41358C4A" w14:textId="77777777" w:rsidR="002C39F4" w:rsidRPr="003024E5" w:rsidRDefault="002C39F4" w:rsidP="002C39F4">
      <w:pPr>
        <w:rPr>
          <w:rFonts w:asciiTheme="minorBidi" w:hAnsiTheme="minorBidi"/>
          <w:rtl/>
        </w:rPr>
      </w:pPr>
    </w:p>
    <w:p w14:paraId="3E53CCB9" w14:textId="77777777" w:rsidR="002C39F4" w:rsidRDefault="002C39F4" w:rsidP="002C39F4">
      <w:pPr>
        <w:pStyle w:val="2"/>
        <w:rPr>
          <w:rFonts w:asciiTheme="minorBidi" w:hAnsiTheme="minorBidi"/>
          <w:rtl/>
        </w:rPr>
      </w:pPr>
      <w:r w:rsidRPr="003024E5">
        <w:rPr>
          <w:rFonts w:asciiTheme="minorBidi" w:hAnsiTheme="minorBidi"/>
          <w:rtl/>
        </w:rPr>
        <w:t>סעיף יא</w:t>
      </w:r>
      <w:r>
        <w:rPr>
          <w:rFonts w:asciiTheme="minorBidi" w:hAnsiTheme="minorBidi" w:hint="cs"/>
          <w:rtl/>
        </w:rPr>
        <w:t>:</w:t>
      </w:r>
      <w:r w:rsidRPr="00722A2F">
        <w:rPr>
          <w:rFonts w:cs="Arial" w:hint="cs"/>
          <w:rtl/>
        </w:rPr>
        <w:t xml:space="preserve"> </w:t>
      </w:r>
      <w:r>
        <w:rPr>
          <w:rFonts w:cs="Arial" w:hint="cs"/>
          <w:rtl/>
        </w:rPr>
        <w:t>כלי סעודה שביד הגוי ומסיח לפי תומו שהם חדשים</w:t>
      </w:r>
    </w:p>
    <w:p w14:paraId="2FE1A6E1" w14:textId="77777777" w:rsidR="002C39F4" w:rsidRPr="00722A2F" w:rsidRDefault="002C39F4" w:rsidP="002C39F4">
      <w:pPr>
        <w:rPr>
          <w:rFonts w:cs="Arial"/>
          <w:u w:val="single"/>
          <w:rtl/>
        </w:rPr>
      </w:pPr>
      <w:r w:rsidRPr="00722A2F">
        <w:rPr>
          <w:rFonts w:cs="Arial" w:hint="cs"/>
          <w:u w:val="single"/>
          <w:rtl/>
        </w:rPr>
        <w:t>כלי סעודה שביד הגוי ומסיח לפי תומו שהם חדשים:</w:t>
      </w:r>
    </w:p>
    <w:p w14:paraId="7ECBDF20" w14:textId="77777777" w:rsidR="002C39F4" w:rsidRPr="00A02D07" w:rsidRDefault="002C39F4" w:rsidP="0032102C">
      <w:pPr>
        <w:pStyle w:val="a8"/>
        <w:numPr>
          <w:ilvl w:val="0"/>
          <w:numId w:val="336"/>
        </w:numPr>
        <w:rPr>
          <w:rtl/>
        </w:rPr>
      </w:pPr>
      <w:r w:rsidRPr="00722A2F">
        <w:rPr>
          <w:rFonts w:cs="Arial" w:hint="cs"/>
          <w:rtl/>
        </w:rPr>
        <w:t xml:space="preserve">א"ח </w:t>
      </w:r>
      <w:r w:rsidRPr="00722A2F">
        <w:rPr>
          <w:rFonts w:cs="Arial"/>
          <w:sz w:val="16"/>
          <w:szCs w:val="16"/>
          <w:rtl/>
        </w:rPr>
        <w:t>(סי' כה הל</w:t>
      </w:r>
      <w:r w:rsidRPr="00722A2F">
        <w:rPr>
          <w:rFonts w:cs="Arial" w:hint="cs"/>
          <w:sz w:val="16"/>
          <w:szCs w:val="16"/>
          <w:rtl/>
        </w:rPr>
        <w:t>א"מ</w:t>
      </w:r>
      <w:r w:rsidRPr="00722A2F">
        <w:rPr>
          <w:rFonts w:cs="Arial"/>
          <w:sz w:val="16"/>
          <w:szCs w:val="16"/>
          <w:rtl/>
        </w:rPr>
        <w:t xml:space="preserve"> אות נ</w:t>
      </w:r>
      <w:r w:rsidRPr="00722A2F">
        <w:rPr>
          <w:rFonts w:cs="Arial" w:hint="cs"/>
          <w:sz w:val="16"/>
          <w:szCs w:val="16"/>
          <w:rtl/>
        </w:rPr>
        <w:t>ח</w:t>
      </w:r>
      <w:r w:rsidRPr="00722A2F">
        <w:rPr>
          <w:rFonts w:cs="Arial"/>
          <w:sz w:val="16"/>
          <w:szCs w:val="16"/>
          <w:rtl/>
        </w:rPr>
        <w:t xml:space="preserve">) </w:t>
      </w:r>
      <w:r w:rsidRPr="00722A2F">
        <w:rPr>
          <w:rFonts w:cs="Arial"/>
          <w:rtl/>
        </w:rPr>
        <w:t xml:space="preserve">בשם הרשב"א </w:t>
      </w:r>
      <w:r w:rsidRPr="00722A2F">
        <w:rPr>
          <w:rFonts w:cs="Arial"/>
          <w:sz w:val="16"/>
          <w:szCs w:val="16"/>
          <w:rtl/>
        </w:rPr>
        <w:t>(ח"א סי' תצז)</w:t>
      </w:r>
      <w:r w:rsidRPr="00722A2F">
        <w:rPr>
          <w:rFonts w:cs="Arial" w:hint="cs"/>
          <w:rtl/>
        </w:rPr>
        <w:t xml:space="preserve">- </w:t>
      </w:r>
      <w:r w:rsidRPr="00722A2F">
        <w:rPr>
          <w:rFonts w:cs="Arial"/>
          <w:rtl/>
        </w:rPr>
        <w:t>הנכנס לביתו של גוי ויש שם כלים קרובים לחידושם והוא מסיח לפי תומו שחדשים הם</w:t>
      </w:r>
      <w:r w:rsidRPr="00722A2F">
        <w:rPr>
          <w:rFonts w:cs="Arial" w:hint="cs"/>
          <w:rtl/>
        </w:rPr>
        <w:t>,</w:t>
      </w:r>
      <w:r w:rsidRPr="00722A2F">
        <w:rPr>
          <w:rFonts w:cs="Arial"/>
          <w:rtl/>
        </w:rPr>
        <w:t xml:space="preserve"> אינו נאמן</w:t>
      </w:r>
      <w:r w:rsidRPr="00722A2F">
        <w:rPr>
          <w:rFonts w:cs="Arial" w:hint="cs"/>
          <w:rtl/>
        </w:rPr>
        <w:t>,</w:t>
      </w:r>
      <w:r w:rsidRPr="00722A2F">
        <w:rPr>
          <w:rFonts w:cs="Arial"/>
          <w:rtl/>
        </w:rPr>
        <w:t xml:space="preserve"> אבל אם קדר הוא הולכים בו אחר הרוב</w:t>
      </w:r>
      <w:r w:rsidRPr="00722A2F">
        <w:rPr>
          <w:rFonts w:cs="Arial" w:hint="cs"/>
          <w:rtl/>
        </w:rPr>
        <w:t>,</w:t>
      </w:r>
      <w:r w:rsidRPr="00722A2F">
        <w:rPr>
          <w:rFonts w:cs="Arial"/>
          <w:rtl/>
        </w:rPr>
        <w:t xml:space="preserve"> וכן מעשים בכל יום שאנו לוקחים קדרות מן הקדר וסכינים ואסכלאות מן האומן</w:t>
      </w:r>
      <w:r w:rsidRPr="00722A2F">
        <w:rPr>
          <w:rFonts w:cs="Arial" w:hint="cs"/>
          <w:rtl/>
        </w:rPr>
        <w:t>,</w:t>
      </w:r>
      <w:r w:rsidRPr="00722A2F">
        <w:rPr>
          <w:rFonts w:cs="Arial"/>
          <w:rtl/>
        </w:rPr>
        <w:t xml:space="preserve"> ומורי ה"ר יונה היה נזהר שלא ליקח אלא במקום שיש אחרים קדרה מתוך קדרות וסכין מתוך סכינים</w:t>
      </w:r>
      <w:r w:rsidRPr="00722A2F">
        <w:rPr>
          <w:rFonts w:cs="Arial" w:hint="cs"/>
          <w:rtl/>
        </w:rPr>
        <w:t>,</w:t>
      </w:r>
      <w:r w:rsidRPr="00722A2F">
        <w:rPr>
          <w:rFonts w:cs="Arial"/>
          <w:rtl/>
        </w:rPr>
        <w:t xml:space="preserve"> אבל מכל מקום נראה שורת הדין שכל שאומר שהוא חדש ויראה שהוא כמו שהוא אומר מותר</w:t>
      </w:r>
      <w:r w:rsidRPr="00722A2F">
        <w:rPr>
          <w:rFonts w:cs="Arial" w:hint="cs"/>
          <w:rtl/>
        </w:rPr>
        <w:t>.</w:t>
      </w:r>
      <w:r>
        <w:rPr>
          <w:rFonts w:hint="cs"/>
          <w:rtl/>
        </w:rPr>
        <w:t xml:space="preserve"> </w:t>
      </w:r>
    </w:p>
    <w:p w14:paraId="6E3BC336"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5BCE0BD" w14:textId="77777777" w:rsidR="002C39F4" w:rsidRDefault="002C39F4" w:rsidP="002C39F4">
      <w:pPr>
        <w:rPr>
          <w:rFonts w:asciiTheme="minorBidi" w:hAnsiTheme="minorBidi"/>
          <w:rtl/>
        </w:rPr>
      </w:pPr>
      <w:r w:rsidRPr="003024E5">
        <w:rPr>
          <w:rFonts w:asciiTheme="minorBidi" w:hAnsiTheme="minorBidi"/>
          <w:rtl/>
        </w:rPr>
        <w:t xml:space="preserve">כלי סעודה שביד </w:t>
      </w:r>
      <w:r>
        <w:rPr>
          <w:rFonts w:asciiTheme="minorBidi" w:hAnsiTheme="minorBidi" w:hint="cs"/>
          <w:rtl/>
        </w:rPr>
        <w:t>הגוי</w:t>
      </w:r>
      <w:r w:rsidRPr="003024E5">
        <w:rPr>
          <w:rFonts w:asciiTheme="minorBidi" w:hAnsiTheme="minorBidi"/>
          <w:rtl/>
        </w:rPr>
        <w:t>, ומסיח לפי תומו ואומר שחדשים הם, ויראה שהוא כמו שהוא אומר, מותר לקנותם ממנו</w:t>
      </w:r>
      <w:r>
        <w:rPr>
          <w:rStyle w:val="a7"/>
          <w:rFonts w:asciiTheme="minorBidi" w:hAnsiTheme="minorBidi"/>
          <w:rtl/>
        </w:rPr>
        <w:footnoteReference w:id="3101"/>
      </w:r>
      <w:r w:rsidRPr="003024E5">
        <w:rPr>
          <w:rFonts w:asciiTheme="minorBidi" w:hAnsiTheme="minorBidi"/>
          <w:rtl/>
        </w:rPr>
        <w:t xml:space="preserve">. </w:t>
      </w:r>
      <w:r w:rsidRPr="0077254C">
        <w:rPr>
          <w:rFonts w:asciiTheme="minorBidi" w:hAnsiTheme="minorBidi"/>
          <w:sz w:val="18"/>
          <w:szCs w:val="18"/>
          <w:rtl/>
        </w:rPr>
        <w:t xml:space="preserve">הגה: ויש מחמירים ואומרים שאינו נאמן, ואין ליקח כלים מן </w:t>
      </w:r>
      <w:r>
        <w:rPr>
          <w:rFonts w:asciiTheme="minorBidi" w:hAnsiTheme="minorBidi" w:hint="cs"/>
          <w:sz w:val="18"/>
          <w:szCs w:val="18"/>
          <w:rtl/>
        </w:rPr>
        <w:t>הגוי</w:t>
      </w:r>
      <w:r w:rsidRPr="0077254C">
        <w:rPr>
          <w:rFonts w:asciiTheme="minorBidi" w:hAnsiTheme="minorBidi"/>
          <w:sz w:val="18"/>
          <w:szCs w:val="18"/>
          <w:rtl/>
        </w:rPr>
        <w:t xml:space="preserve"> רק כשמוכר הרבה כלים, וקונה כלי בין הכלים (רשב"א בשם ר' יונה). וכן נוהגין לכתחלה, אבל במקום הדחק, כגון שנתארח בבית </w:t>
      </w:r>
      <w:r>
        <w:rPr>
          <w:rFonts w:asciiTheme="minorBidi" w:hAnsiTheme="minorBidi" w:hint="cs"/>
          <w:sz w:val="18"/>
          <w:szCs w:val="18"/>
          <w:rtl/>
        </w:rPr>
        <w:t>גוי</w:t>
      </w:r>
      <w:r w:rsidRPr="0077254C">
        <w:rPr>
          <w:rFonts w:asciiTheme="minorBidi" w:hAnsiTheme="minorBidi"/>
          <w:sz w:val="18"/>
          <w:szCs w:val="18"/>
          <w:rtl/>
        </w:rPr>
        <w:t xml:space="preserve"> ואין לו כלים, נוהגין כסברא הראשונה, וכן עיקר. ועיין לקמן סי</w:t>
      </w:r>
      <w:r>
        <w:rPr>
          <w:rFonts w:asciiTheme="minorBidi" w:hAnsiTheme="minorBidi" w:hint="cs"/>
          <w:sz w:val="18"/>
          <w:szCs w:val="18"/>
          <w:rtl/>
        </w:rPr>
        <w:t>'</w:t>
      </w:r>
      <w:r w:rsidRPr="0077254C">
        <w:rPr>
          <w:rFonts w:asciiTheme="minorBidi" w:hAnsiTheme="minorBidi"/>
          <w:sz w:val="18"/>
          <w:szCs w:val="18"/>
          <w:rtl/>
        </w:rPr>
        <w:t xml:space="preserve"> קלז.</w:t>
      </w:r>
      <w:r w:rsidRPr="003024E5">
        <w:rPr>
          <w:rFonts w:asciiTheme="minorBidi" w:hAnsiTheme="minorBidi"/>
          <w:rtl/>
        </w:rPr>
        <w:t xml:space="preserve"> </w:t>
      </w:r>
    </w:p>
    <w:p w14:paraId="3A06585A" w14:textId="77777777" w:rsidR="002C39F4" w:rsidRPr="003024E5" w:rsidRDefault="002C39F4" w:rsidP="002C39F4">
      <w:pPr>
        <w:rPr>
          <w:rFonts w:asciiTheme="minorBidi" w:hAnsiTheme="minorBidi"/>
          <w:rtl/>
        </w:rPr>
      </w:pPr>
    </w:p>
    <w:p w14:paraId="2078362F" w14:textId="77777777" w:rsidR="002C39F4" w:rsidRDefault="002C39F4" w:rsidP="002C39F4">
      <w:pPr>
        <w:pStyle w:val="2"/>
        <w:rPr>
          <w:rFonts w:asciiTheme="minorBidi" w:hAnsiTheme="minorBidi"/>
          <w:rtl/>
        </w:rPr>
      </w:pPr>
      <w:r w:rsidRPr="003024E5">
        <w:rPr>
          <w:rFonts w:asciiTheme="minorBidi" w:hAnsiTheme="minorBidi"/>
          <w:rtl/>
        </w:rPr>
        <w:t>סעיף יב</w:t>
      </w:r>
      <w:r>
        <w:rPr>
          <w:rFonts w:asciiTheme="minorBidi" w:hAnsiTheme="minorBidi" w:hint="cs"/>
          <w:rtl/>
        </w:rPr>
        <w:t>: קערות חרס שאין להשתמש בהם כלל</w:t>
      </w:r>
    </w:p>
    <w:p w14:paraId="3EC37979" w14:textId="77777777" w:rsidR="002C39F4" w:rsidRPr="00CF04B7" w:rsidRDefault="002C39F4" w:rsidP="002C39F4">
      <w:pPr>
        <w:rPr>
          <w:u w:val="single"/>
        </w:rPr>
      </w:pPr>
      <w:r w:rsidRPr="00CF04B7">
        <w:rPr>
          <w:u w:val="single"/>
          <w:rtl/>
        </w:rPr>
        <w:t>קערות של חרס שקערורות ירקרקות או אדמדמות שמביאין מעבר לים</w:t>
      </w:r>
      <w:r w:rsidRPr="00CF04B7">
        <w:rPr>
          <w:rFonts w:hint="cs"/>
          <w:u w:val="single"/>
          <w:rtl/>
        </w:rPr>
        <w:t>:</w:t>
      </w:r>
      <w:r w:rsidRPr="00E77903">
        <w:rPr>
          <w:rFonts w:cs="Arial" w:hint="cs"/>
          <w:sz w:val="16"/>
          <w:szCs w:val="16"/>
          <w:rtl/>
        </w:rPr>
        <w:t xml:space="preserve">  (</w:t>
      </w:r>
      <w:r>
        <w:rPr>
          <w:rFonts w:cs="Arial" w:hint="cs"/>
          <w:sz w:val="16"/>
          <w:szCs w:val="16"/>
          <w:rtl/>
        </w:rPr>
        <w:t>ב"י [כאן] ו</w:t>
      </w:r>
      <w:r w:rsidRPr="00E77903">
        <w:rPr>
          <w:rFonts w:cs="Arial" w:hint="cs"/>
          <w:sz w:val="16"/>
          <w:szCs w:val="16"/>
          <w:rtl/>
        </w:rPr>
        <w:t xml:space="preserve">דרכ"מ </w:t>
      </w:r>
      <w:r>
        <w:rPr>
          <w:rFonts w:cs="Arial" w:hint="cs"/>
          <w:sz w:val="16"/>
          <w:szCs w:val="16"/>
          <w:rtl/>
        </w:rPr>
        <w:t xml:space="preserve">[סי' קכא </w:t>
      </w:r>
      <w:r w:rsidRPr="00E77903">
        <w:rPr>
          <w:rFonts w:cs="Arial" w:hint="cs"/>
          <w:sz w:val="16"/>
          <w:szCs w:val="16"/>
          <w:rtl/>
        </w:rPr>
        <w:t xml:space="preserve">אות </w:t>
      </w:r>
      <w:r>
        <w:rPr>
          <w:rFonts w:cs="Arial" w:hint="cs"/>
          <w:sz w:val="16"/>
          <w:szCs w:val="16"/>
          <w:rtl/>
        </w:rPr>
        <w:t>ב]</w:t>
      </w:r>
      <w:r w:rsidRPr="00E77903">
        <w:rPr>
          <w:rFonts w:cs="Arial" w:hint="cs"/>
          <w:sz w:val="16"/>
          <w:szCs w:val="16"/>
          <w:rtl/>
        </w:rPr>
        <w:t>)</w:t>
      </w:r>
    </w:p>
    <w:p w14:paraId="6C17ECF9" w14:textId="77777777" w:rsidR="002C39F4" w:rsidRPr="00193286" w:rsidRDefault="002C39F4" w:rsidP="0032102C">
      <w:pPr>
        <w:pStyle w:val="a8"/>
        <w:numPr>
          <w:ilvl w:val="0"/>
          <w:numId w:val="314"/>
        </w:numPr>
        <w:rPr>
          <w:rtl/>
        </w:rPr>
      </w:pPr>
      <w:r w:rsidRPr="00E52B1F">
        <w:rPr>
          <w:rtl/>
        </w:rPr>
        <w:t xml:space="preserve">כל בו </w:t>
      </w:r>
      <w:r w:rsidRPr="00CF04B7">
        <w:rPr>
          <w:rFonts w:hint="cs"/>
          <w:sz w:val="16"/>
          <w:szCs w:val="16"/>
          <w:rtl/>
        </w:rPr>
        <w:t>(</w:t>
      </w:r>
      <w:r w:rsidRPr="00CF04B7">
        <w:rPr>
          <w:sz w:val="16"/>
          <w:szCs w:val="16"/>
          <w:rtl/>
        </w:rPr>
        <w:t>הל</w:t>
      </w:r>
      <w:r w:rsidRPr="00CF04B7">
        <w:rPr>
          <w:rFonts w:hint="cs"/>
          <w:sz w:val="16"/>
          <w:szCs w:val="16"/>
          <w:rtl/>
        </w:rPr>
        <w:t>'</w:t>
      </w:r>
      <w:r w:rsidRPr="00CF04B7">
        <w:rPr>
          <w:sz w:val="16"/>
          <w:szCs w:val="16"/>
          <w:rtl/>
        </w:rPr>
        <w:t xml:space="preserve"> איסור מאכלות סח </w:t>
      </w:r>
      <w:r w:rsidRPr="00CF04B7">
        <w:rPr>
          <w:rFonts w:hint="cs"/>
          <w:sz w:val="16"/>
          <w:szCs w:val="16"/>
          <w:rtl/>
        </w:rPr>
        <w:t>ע"ב, וכן ב</w:t>
      </w:r>
      <w:r w:rsidRPr="00CF04B7">
        <w:rPr>
          <w:sz w:val="16"/>
          <w:szCs w:val="16"/>
          <w:rtl/>
        </w:rPr>
        <w:t>א</w:t>
      </w:r>
      <w:r w:rsidRPr="00CF04B7">
        <w:rPr>
          <w:rFonts w:hint="cs"/>
          <w:sz w:val="16"/>
          <w:szCs w:val="16"/>
          <w:rtl/>
        </w:rPr>
        <w:t>"</w:t>
      </w:r>
      <w:r w:rsidRPr="00CF04B7">
        <w:rPr>
          <w:sz w:val="16"/>
          <w:szCs w:val="16"/>
          <w:rtl/>
        </w:rPr>
        <w:t xml:space="preserve">ח </w:t>
      </w:r>
      <w:r w:rsidRPr="00CF04B7">
        <w:rPr>
          <w:rFonts w:hint="cs"/>
          <w:sz w:val="16"/>
          <w:szCs w:val="16"/>
          <w:rtl/>
        </w:rPr>
        <w:t>[</w:t>
      </w:r>
      <w:r w:rsidRPr="00CF04B7">
        <w:rPr>
          <w:sz w:val="16"/>
          <w:szCs w:val="16"/>
          <w:rtl/>
        </w:rPr>
        <w:t>סי' כה הל</w:t>
      </w:r>
      <w:r w:rsidRPr="00CF04B7">
        <w:rPr>
          <w:rFonts w:hint="cs"/>
          <w:sz w:val="16"/>
          <w:szCs w:val="16"/>
          <w:rtl/>
        </w:rPr>
        <w:t>'</w:t>
      </w:r>
      <w:r w:rsidRPr="00CF04B7">
        <w:rPr>
          <w:sz w:val="16"/>
          <w:szCs w:val="16"/>
          <w:rtl/>
        </w:rPr>
        <w:t xml:space="preserve"> מאכלות אסורות אות נז</w:t>
      </w:r>
      <w:r w:rsidRPr="00CF04B7">
        <w:rPr>
          <w:rFonts w:hint="cs"/>
          <w:sz w:val="16"/>
          <w:szCs w:val="16"/>
          <w:rtl/>
        </w:rPr>
        <w:t>]</w:t>
      </w:r>
      <w:r w:rsidRPr="00CF04B7">
        <w:rPr>
          <w:sz w:val="16"/>
          <w:szCs w:val="16"/>
          <w:rtl/>
        </w:rPr>
        <w:t>)</w:t>
      </w:r>
      <w:r>
        <w:rPr>
          <w:rFonts w:hint="cs"/>
          <w:rtl/>
        </w:rPr>
        <w:t>-</w:t>
      </w:r>
      <w:r w:rsidRPr="00E52B1F">
        <w:rPr>
          <w:rtl/>
        </w:rPr>
        <w:t xml:space="preserve"> שמעתי בשם הראב"ד ז"ל כי קערות של חרס שקערורות ירקרקות או אדמדמות שמביאין מעבר לים אסור להשתמש בהן בחמין לעולם וכן כל דבר לח אפילו בצונן מפני שאינן חדשות כי הוא שמע מאדם גדול שמנהגם שכל מי שעושה סעודה שוכר מן האומנין הקערות כדרך שאנו עושין בכלי זכוכית ואחר כן מחזיר אותן להן ואין הדבר ניכר והילכך לאו חדשות נינהו</w:t>
      </w:r>
      <w:r>
        <w:rPr>
          <w:rFonts w:hint="cs"/>
          <w:rtl/>
        </w:rPr>
        <w:t>.</w:t>
      </w:r>
      <w:r w:rsidRPr="00E52B1F">
        <w:rPr>
          <w:rtl/>
        </w:rPr>
        <w:t xml:space="preserve"> </w:t>
      </w:r>
      <w:r>
        <w:rPr>
          <w:rFonts w:hint="cs"/>
          <w:rtl/>
        </w:rPr>
        <w:t xml:space="preserve"> </w:t>
      </w:r>
    </w:p>
    <w:p w14:paraId="6CEAFA60" w14:textId="77777777" w:rsidR="002C39F4" w:rsidRPr="003024E5" w:rsidRDefault="002C39F4" w:rsidP="002C39F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D9420B3" w14:textId="77777777" w:rsidR="002C39F4" w:rsidRPr="003024E5" w:rsidRDefault="002C39F4" w:rsidP="002C39F4">
      <w:pPr>
        <w:rPr>
          <w:rFonts w:asciiTheme="minorBidi" w:hAnsiTheme="minorBidi"/>
        </w:rPr>
      </w:pPr>
      <w:r w:rsidRPr="003024E5">
        <w:rPr>
          <w:rFonts w:asciiTheme="minorBidi" w:hAnsiTheme="minorBidi"/>
          <w:rtl/>
        </w:rPr>
        <w:t xml:space="preserve">יש מי שאומר שקערות הבאות מעבר לים שקערורות ירקרקות או אדמדמות, אסור להשתמש בהן לעולם בחמין, מפני שאינן חדשות, </w:t>
      </w:r>
      <w:r>
        <w:rPr>
          <w:rFonts w:asciiTheme="minorBidi" w:hAnsiTheme="minorBidi" w:hint="cs"/>
          <w:rtl/>
        </w:rPr>
        <w:t>שהגוים</w:t>
      </w:r>
      <w:r w:rsidRPr="003024E5">
        <w:rPr>
          <w:rFonts w:asciiTheme="minorBidi" w:hAnsiTheme="minorBidi"/>
          <w:rtl/>
        </w:rPr>
        <w:t xml:space="preserve"> משתמשים בהם ואינו ניכר.</w:t>
      </w:r>
    </w:p>
    <w:p w14:paraId="06B73531" w14:textId="77777777" w:rsidR="002C39F4" w:rsidRPr="00D656C9" w:rsidRDefault="002C39F4" w:rsidP="002C39F4"/>
    <w:p w14:paraId="3D805B30" w14:textId="77777777" w:rsidR="002C39F4" w:rsidRDefault="002C39F4" w:rsidP="002C39F4"/>
    <w:p w14:paraId="003717BC" w14:textId="77777777" w:rsidR="002C39F4" w:rsidRDefault="002C39F4" w:rsidP="002C39F4"/>
    <w:p w14:paraId="5C962BDC" w14:textId="4840027F" w:rsidR="006F4FF5" w:rsidRPr="002C39F4" w:rsidRDefault="006F4FF5"/>
    <w:sectPr w:rsidR="006F4FF5" w:rsidRPr="002C39F4" w:rsidSect="004C5A3C">
      <w:footnotePr>
        <w:numRestart w:val="eachPage"/>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028AC" w14:textId="77777777" w:rsidR="00E62E5B" w:rsidRDefault="00E62E5B" w:rsidP="002C39F4">
      <w:pPr>
        <w:spacing w:after="0" w:line="240" w:lineRule="auto"/>
      </w:pPr>
      <w:r>
        <w:separator/>
      </w:r>
    </w:p>
  </w:endnote>
  <w:endnote w:type="continuationSeparator" w:id="0">
    <w:p w14:paraId="19EC5196" w14:textId="77777777" w:rsidR="00E62E5B" w:rsidRDefault="00E62E5B" w:rsidP="002C3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73506685"/>
      <w:docPartObj>
        <w:docPartGallery w:val="Page Numbers (Bottom of Page)"/>
        <w:docPartUnique/>
      </w:docPartObj>
    </w:sdtPr>
    <w:sdtEndPr/>
    <w:sdtContent>
      <w:p w14:paraId="581CFC50" w14:textId="77777777" w:rsidR="004C5A3C" w:rsidRDefault="004C5A3C">
        <w:pPr>
          <w:pStyle w:val="ae"/>
          <w:jc w:val="center"/>
          <w:rPr>
            <w:rtl/>
            <w:cs/>
          </w:rPr>
        </w:pPr>
        <w:r>
          <w:fldChar w:fldCharType="begin"/>
        </w:r>
        <w:r>
          <w:rPr>
            <w:rtl/>
            <w:cs/>
          </w:rPr>
          <w:instrText>PAGE   \* MERGEFORMAT</w:instrText>
        </w:r>
        <w:r>
          <w:fldChar w:fldCharType="separate"/>
        </w:r>
        <w:r w:rsidRPr="00EB4643">
          <w:rPr>
            <w:noProof/>
            <w:rtl/>
            <w:lang w:val="he-IL"/>
          </w:rPr>
          <w:t>86</w:t>
        </w:r>
        <w:r>
          <w:fldChar w:fldCharType="end"/>
        </w:r>
      </w:p>
    </w:sdtContent>
  </w:sdt>
  <w:p w14:paraId="6B087BDA" w14:textId="77777777" w:rsidR="004C5A3C" w:rsidRDefault="004C5A3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78410881"/>
      <w:docPartObj>
        <w:docPartGallery w:val="Page Numbers (Bottom of Page)"/>
        <w:docPartUnique/>
      </w:docPartObj>
    </w:sdtPr>
    <w:sdtEndPr>
      <w:rPr>
        <w:noProof/>
      </w:rPr>
    </w:sdtEndPr>
    <w:sdtContent>
      <w:p w14:paraId="4F5F7CE9" w14:textId="77777777" w:rsidR="004C5A3C" w:rsidRDefault="004C5A3C">
        <w:pPr>
          <w:pStyle w:val="ae"/>
          <w:jc w:val="center"/>
        </w:pPr>
        <w:r>
          <w:fldChar w:fldCharType="begin"/>
        </w:r>
        <w:r>
          <w:instrText xml:space="preserve"> PAGE   \* MERGEFORMAT </w:instrText>
        </w:r>
        <w:r>
          <w:fldChar w:fldCharType="separate"/>
        </w:r>
        <w:r>
          <w:rPr>
            <w:noProof/>
            <w:rtl/>
          </w:rPr>
          <w:t>73</w:t>
        </w:r>
        <w:r>
          <w:rPr>
            <w:noProof/>
          </w:rPr>
          <w:fldChar w:fldCharType="end"/>
        </w:r>
      </w:p>
    </w:sdtContent>
  </w:sdt>
  <w:p w14:paraId="1D47D582" w14:textId="77777777" w:rsidR="004C5A3C" w:rsidRDefault="004C5A3C">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12764121"/>
      <w:docPartObj>
        <w:docPartGallery w:val="Page Numbers (Bottom of Page)"/>
        <w:docPartUnique/>
      </w:docPartObj>
    </w:sdtPr>
    <w:sdtEndPr>
      <w:rPr>
        <w:noProof/>
      </w:rPr>
    </w:sdtEndPr>
    <w:sdtContent>
      <w:p w14:paraId="2D1480E9" w14:textId="77777777" w:rsidR="004C5A3C" w:rsidRDefault="004C5A3C">
        <w:pPr>
          <w:pStyle w:val="ae"/>
          <w:jc w:val="center"/>
        </w:pPr>
        <w:r>
          <w:fldChar w:fldCharType="begin"/>
        </w:r>
        <w:r>
          <w:instrText xml:space="preserve"> PAGE   \* MERGEFORMAT </w:instrText>
        </w:r>
        <w:r>
          <w:fldChar w:fldCharType="separate"/>
        </w:r>
        <w:r>
          <w:rPr>
            <w:noProof/>
            <w:rtl/>
          </w:rPr>
          <w:t>48</w:t>
        </w:r>
        <w:r>
          <w:rPr>
            <w:noProof/>
          </w:rPr>
          <w:fldChar w:fldCharType="end"/>
        </w:r>
      </w:p>
    </w:sdtContent>
  </w:sdt>
  <w:p w14:paraId="06A22B9C" w14:textId="77777777" w:rsidR="004C5A3C" w:rsidRDefault="004C5A3C">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3913368"/>
      <w:docPartObj>
        <w:docPartGallery w:val="Page Numbers (Bottom of Page)"/>
        <w:docPartUnique/>
      </w:docPartObj>
    </w:sdtPr>
    <w:sdtEndPr/>
    <w:sdtContent>
      <w:p w14:paraId="58FE8A88" w14:textId="77777777" w:rsidR="004C5A3C" w:rsidRDefault="004C5A3C">
        <w:pPr>
          <w:pStyle w:val="ae"/>
          <w:jc w:val="center"/>
          <w:rPr>
            <w:rtl/>
            <w:cs/>
          </w:rPr>
        </w:pPr>
        <w:r>
          <w:fldChar w:fldCharType="begin"/>
        </w:r>
        <w:r>
          <w:rPr>
            <w:rtl/>
            <w:cs/>
          </w:rPr>
          <w:instrText>PAGE   \* MERGEFORMAT</w:instrText>
        </w:r>
        <w:r>
          <w:fldChar w:fldCharType="separate"/>
        </w:r>
        <w:r w:rsidRPr="00130C71">
          <w:rPr>
            <w:noProof/>
            <w:rtl/>
            <w:lang w:val="he-IL"/>
          </w:rPr>
          <w:t>47</w:t>
        </w:r>
        <w:r>
          <w:fldChar w:fldCharType="end"/>
        </w:r>
      </w:p>
    </w:sdtContent>
  </w:sdt>
  <w:p w14:paraId="38156EB4" w14:textId="77777777" w:rsidR="004C5A3C" w:rsidRDefault="004C5A3C">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68403433"/>
      <w:docPartObj>
        <w:docPartGallery w:val="Page Numbers (Bottom of Page)"/>
        <w:docPartUnique/>
      </w:docPartObj>
    </w:sdtPr>
    <w:sdtEndPr/>
    <w:sdtContent>
      <w:p w14:paraId="4F89A6DD" w14:textId="77777777" w:rsidR="004C5A3C" w:rsidRDefault="004C5A3C">
        <w:pPr>
          <w:pStyle w:val="ae"/>
          <w:jc w:val="center"/>
          <w:rPr>
            <w:rtl/>
            <w:cs/>
          </w:rPr>
        </w:pPr>
        <w:r>
          <w:fldChar w:fldCharType="begin"/>
        </w:r>
        <w:r>
          <w:rPr>
            <w:rtl/>
            <w:cs/>
          </w:rPr>
          <w:instrText>PAGE   \* MERGEFORMAT</w:instrText>
        </w:r>
        <w:r>
          <w:fldChar w:fldCharType="separate"/>
        </w:r>
        <w:r w:rsidRPr="00781A2E">
          <w:rPr>
            <w:noProof/>
            <w:rtl/>
            <w:lang w:val="he-IL"/>
          </w:rPr>
          <w:t>79</w:t>
        </w:r>
        <w:r>
          <w:fldChar w:fldCharType="end"/>
        </w:r>
      </w:p>
    </w:sdtContent>
  </w:sdt>
  <w:p w14:paraId="6ED34513" w14:textId="77777777" w:rsidR="004C5A3C" w:rsidRDefault="004C5A3C">
    <w:pPr>
      <w:pStyle w:val="a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84936287"/>
      <w:docPartObj>
        <w:docPartGallery w:val="Page Numbers (Bottom of Page)"/>
        <w:docPartUnique/>
      </w:docPartObj>
    </w:sdtPr>
    <w:sdtEndPr/>
    <w:sdtContent>
      <w:p w14:paraId="3E827188" w14:textId="77777777" w:rsidR="004C5A3C" w:rsidRDefault="004C5A3C">
        <w:pPr>
          <w:pStyle w:val="ae"/>
          <w:jc w:val="center"/>
          <w:rPr>
            <w:rtl/>
            <w:cs/>
          </w:rPr>
        </w:pPr>
        <w:r>
          <w:fldChar w:fldCharType="begin"/>
        </w:r>
        <w:r>
          <w:rPr>
            <w:rtl/>
            <w:cs/>
          </w:rPr>
          <w:instrText>PAGE   \* MERGEFORMAT</w:instrText>
        </w:r>
        <w:r>
          <w:fldChar w:fldCharType="separate"/>
        </w:r>
        <w:r w:rsidRPr="00010124">
          <w:rPr>
            <w:noProof/>
            <w:rtl/>
            <w:lang w:val="he-IL"/>
          </w:rPr>
          <w:t>1</w:t>
        </w:r>
        <w:r>
          <w:fldChar w:fldCharType="end"/>
        </w:r>
      </w:p>
    </w:sdtContent>
  </w:sdt>
  <w:p w14:paraId="2D4A3763" w14:textId="77777777" w:rsidR="004C5A3C" w:rsidRDefault="004C5A3C">
    <w:pPr>
      <w:pStyle w:val="a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51796350"/>
      <w:docPartObj>
        <w:docPartGallery w:val="Page Numbers (Bottom of Page)"/>
        <w:docPartUnique/>
      </w:docPartObj>
    </w:sdtPr>
    <w:sdtEndPr>
      <w:rPr>
        <w:noProof/>
      </w:rPr>
    </w:sdtEndPr>
    <w:sdtContent>
      <w:p w14:paraId="729BB7F0" w14:textId="77777777" w:rsidR="004C5A3C" w:rsidRDefault="004C5A3C">
        <w:pPr>
          <w:pStyle w:val="ae"/>
          <w:jc w:val="center"/>
        </w:pPr>
        <w:r>
          <w:fldChar w:fldCharType="begin"/>
        </w:r>
        <w:r>
          <w:instrText xml:space="preserve"> PAGE   \* MERGEFORMAT </w:instrText>
        </w:r>
        <w:r>
          <w:fldChar w:fldCharType="separate"/>
        </w:r>
        <w:r>
          <w:rPr>
            <w:noProof/>
            <w:rtl/>
          </w:rPr>
          <w:t>1</w:t>
        </w:r>
        <w:r>
          <w:rPr>
            <w:noProof/>
          </w:rPr>
          <w:fldChar w:fldCharType="end"/>
        </w:r>
      </w:p>
    </w:sdtContent>
  </w:sdt>
  <w:p w14:paraId="5AEC5F35" w14:textId="77777777" w:rsidR="004C5A3C" w:rsidRDefault="004C5A3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6D0FC" w14:textId="77777777" w:rsidR="00E62E5B" w:rsidRDefault="00E62E5B" w:rsidP="002C39F4">
      <w:pPr>
        <w:spacing w:after="0" w:line="240" w:lineRule="auto"/>
      </w:pPr>
      <w:r>
        <w:separator/>
      </w:r>
    </w:p>
  </w:footnote>
  <w:footnote w:type="continuationSeparator" w:id="0">
    <w:p w14:paraId="49F6324C" w14:textId="77777777" w:rsidR="00E62E5B" w:rsidRDefault="00E62E5B" w:rsidP="002C39F4">
      <w:pPr>
        <w:spacing w:after="0" w:line="240" w:lineRule="auto"/>
      </w:pPr>
      <w:r>
        <w:continuationSeparator/>
      </w:r>
    </w:p>
  </w:footnote>
  <w:footnote w:id="1">
    <w:p w14:paraId="65FAE46B" w14:textId="77777777" w:rsidR="00A60E6E" w:rsidRDefault="00A60E6E" w:rsidP="00A60E6E">
      <w:pPr>
        <w:pStyle w:val="a5"/>
        <w:rPr>
          <w:rtl/>
        </w:rPr>
      </w:pPr>
      <w:r>
        <w:rPr>
          <w:rStyle w:val="a7"/>
        </w:rPr>
        <w:footnoteRef/>
      </w:r>
      <w:r>
        <w:rPr>
          <w:rtl/>
        </w:rPr>
        <w:t xml:space="preserve"> </w:t>
      </w:r>
      <w:r>
        <w:rPr>
          <w:rFonts w:hint="cs"/>
          <w:rtl/>
        </w:rPr>
        <w:t>אך קצרה, כיון שהכל כבר מלוקט ומסודר לפנינו.</w:t>
      </w:r>
    </w:p>
  </w:footnote>
  <w:footnote w:id="2">
    <w:p w14:paraId="6519D295" w14:textId="77777777" w:rsidR="00A60E6E" w:rsidRDefault="00A60E6E" w:rsidP="00A60E6E">
      <w:pPr>
        <w:pStyle w:val="a5"/>
        <w:rPr>
          <w:rFonts w:hint="cs"/>
          <w:rtl/>
        </w:rPr>
      </w:pPr>
      <w:r>
        <w:rPr>
          <w:rStyle w:val="a7"/>
        </w:rPr>
        <w:footnoteRef/>
      </w:r>
      <w:r>
        <w:rPr>
          <w:rtl/>
        </w:rPr>
        <w:t xml:space="preserve"> </w:t>
      </w:r>
      <w:r>
        <w:rPr>
          <w:rFonts w:hint="cs"/>
          <w:rtl/>
        </w:rPr>
        <w:t>בין להכנת שיעור, ובין כדי לענות על שאלה.</w:t>
      </w:r>
    </w:p>
  </w:footnote>
  <w:footnote w:id="3">
    <w:p w14:paraId="2AB085AE" w14:textId="77777777" w:rsidR="00A60E6E" w:rsidRDefault="00A60E6E" w:rsidP="00A60E6E">
      <w:pPr>
        <w:pStyle w:val="a5"/>
      </w:pPr>
      <w:r>
        <w:rPr>
          <w:rStyle w:val="a7"/>
        </w:rPr>
        <w:footnoteRef/>
      </w:r>
      <w:r>
        <w:rPr>
          <w:rtl/>
        </w:rPr>
        <w:t xml:space="preserve"> </w:t>
      </w:r>
      <w:r>
        <w:rPr>
          <w:rFonts w:hint="cs"/>
          <w:rtl/>
        </w:rPr>
        <w:t xml:space="preserve">וזאת ע"י לימוד החלק העליון של הספר, ללא ההערות המובאות בתחתית העמוד. </w:t>
      </w:r>
    </w:p>
  </w:footnote>
  <w:footnote w:id="4">
    <w:p w14:paraId="51053F19" w14:textId="77777777" w:rsidR="00A60E6E" w:rsidRDefault="00A60E6E" w:rsidP="00A60E6E">
      <w:pPr>
        <w:pStyle w:val="a5"/>
        <w:rPr>
          <w:rFonts w:hint="cs"/>
          <w:rtl/>
        </w:rPr>
      </w:pPr>
      <w:r>
        <w:rPr>
          <w:rStyle w:val="a7"/>
        </w:rPr>
        <w:footnoteRef/>
      </w:r>
      <w:r>
        <w:rPr>
          <w:rtl/>
        </w:rPr>
        <w:t xml:space="preserve"> </w:t>
      </w:r>
      <w:r>
        <w:rPr>
          <w:rFonts w:hint="cs"/>
          <w:rtl/>
        </w:rPr>
        <w:t>למשל, כשהטור העתיק את לשון הרמב"ם - הבאתי את לשון הרמב"ם וציינתי שזו לשון הרמב"ם. וכמובן שאם יש הבדל מהותי בין הגירסאות - ציינתיו.</w:t>
      </w:r>
    </w:p>
  </w:footnote>
  <w:footnote w:id="5">
    <w:p w14:paraId="51528895" w14:textId="77777777" w:rsidR="00A60E6E" w:rsidRDefault="00A60E6E" w:rsidP="00A60E6E">
      <w:pPr>
        <w:pStyle w:val="a5"/>
      </w:pPr>
      <w:r>
        <w:rPr>
          <w:rStyle w:val="a7"/>
        </w:rPr>
        <w:footnoteRef/>
      </w:r>
      <w:r>
        <w:rPr>
          <w:rtl/>
        </w:rPr>
        <w:t xml:space="preserve"> </w:t>
      </w:r>
      <w:r>
        <w:rPr>
          <w:rFonts w:hint="cs"/>
          <w:rtl/>
        </w:rPr>
        <w:t>תחת הכותרת העיקרית מובאת הדעה העיקרית, ובהערות מובאות שאר הלשונות.</w:t>
      </w:r>
    </w:p>
  </w:footnote>
  <w:footnote w:id="6">
    <w:p w14:paraId="708BCD8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רחצו אותו בבית הטבח.</w:t>
      </w:r>
    </w:p>
  </w:footnote>
  <w:footnote w:id="7">
    <w:p w14:paraId="3E58E01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כן הבין הב"י (סע' א) בדבריו, וכ"כ הט"ז (סק"א). </w:t>
      </w:r>
    </w:p>
  </w:footnote>
  <w:footnote w:id="8">
    <w:p w14:paraId="72993AE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המרדכי</w:t>
      </w:r>
      <w:r w:rsidRPr="005C6730">
        <w:rPr>
          <w:rFonts w:asciiTheme="minorBidi" w:hAnsiTheme="minorBidi"/>
          <w:sz w:val="16"/>
          <w:szCs w:val="16"/>
          <w:rtl/>
        </w:rPr>
        <w:t xml:space="preserve"> (סי' תשכא)</w:t>
      </w:r>
      <w:r w:rsidRPr="005C6730">
        <w:rPr>
          <w:rFonts w:asciiTheme="minorBidi" w:hAnsiTheme="minorBidi"/>
          <w:rtl/>
        </w:rPr>
        <w:t xml:space="preserve"> כן בשם י"א ודחה דעה זו וז"ל- וי"א שהדחה הראשונה היא ללחלח הבשר שיצא הדם ע"י מליחה ואינו דאדרבה מטרשי ליה כדאמרינן </w:t>
      </w:r>
      <w:r w:rsidRPr="005C6730">
        <w:rPr>
          <w:rFonts w:asciiTheme="minorBidi" w:hAnsiTheme="minorBidi"/>
          <w:sz w:val="16"/>
          <w:szCs w:val="16"/>
          <w:rtl/>
        </w:rPr>
        <w:t xml:space="preserve">(מז:) </w:t>
      </w:r>
      <w:r w:rsidRPr="005C6730">
        <w:rPr>
          <w:rFonts w:asciiTheme="minorBidi" w:hAnsiTheme="minorBidi"/>
          <w:rtl/>
        </w:rPr>
        <w:t>גבי ריאה עכ"ל. וכ' הב"י- "ואין דבריו נראין אלא בארצות הקרות ובזמן הקור הגדול ואז נראה שישימו המים באור עד שתפוג צינתן".</w:t>
      </w:r>
    </w:p>
  </w:footnote>
  <w:footnote w:id="9">
    <w:p w14:paraId="7B758F6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מהרא"י</w:t>
      </w:r>
      <w:r w:rsidRPr="005C6730">
        <w:rPr>
          <w:rFonts w:asciiTheme="minorBidi" w:hAnsiTheme="minorBidi"/>
          <w:sz w:val="16"/>
          <w:szCs w:val="16"/>
          <w:rtl/>
        </w:rPr>
        <w:t xml:space="preserve"> (הגשע"ד שער ח' סק"ו ד"ה כתב בא"ז כשמביאים) </w:t>
      </w:r>
      <w:r w:rsidRPr="005C6730">
        <w:rPr>
          <w:rFonts w:asciiTheme="minorBidi" w:hAnsiTheme="minorBidi"/>
          <w:rtl/>
        </w:rPr>
        <w:t xml:space="preserve">למ"ד דהדחה ראשונה משום דם שעל הבשר בהדחה מועטת להסיר הדם סגי בדיעבד, אבל למ"ד כדי שיתרכך הבשר לא סגי, ויראה להתיר בדיעבד עכ"ל </w:t>
      </w:r>
      <w:r w:rsidRPr="005C6730">
        <w:rPr>
          <w:rFonts w:asciiTheme="minorBidi" w:hAnsiTheme="minorBidi"/>
          <w:sz w:val="16"/>
          <w:szCs w:val="16"/>
          <w:rtl/>
        </w:rPr>
        <w:t xml:space="preserve">(הביאו הדרכ"מ (אות ד) וסיים- </w:t>
      </w:r>
      <w:r w:rsidRPr="005C6730">
        <w:rPr>
          <w:rFonts w:asciiTheme="minorBidi" w:hAnsiTheme="minorBidi"/>
          <w:color w:val="FF0000"/>
          <w:sz w:val="16"/>
          <w:szCs w:val="16"/>
          <w:rtl/>
        </w:rPr>
        <w:t>וכבר נתבאר ריש סימן זה (אות א*) איזה טעם הוא עיקר {צ"ע דלא מצאתי דבריו בזה)</w:t>
      </w:r>
      <w:r w:rsidRPr="005C6730">
        <w:rPr>
          <w:rFonts w:asciiTheme="minorBidi" w:hAnsiTheme="minorBidi"/>
          <w:color w:val="00B0F0"/>
          <w:rtl/>
        </w:rPr>
        <w:t xml:space="preserve"> (וכ"פ הרמ"א</w:t>
      </w:r>
      <w:r w:rsidRPr="005C6730">
        <w:rPr>
          <w:rFonts w:asciiTheme="minorBidi" w:hAnsiTheme="minorBidi"/>
          <w:rtl/>
        </w:rPr>
        <w:t xml:space="preserve"> </w:t>
      </w:r>
      <w:r w:rsidRPr="005C6730">
        <w:rPr>
          <w:rFonts w:asciiTheme="minorBidi" w:hAnsiTheme="minorBidi"/>
          <w:sz w:val="16"/>
          <w:szCs w:val="16"/>
          <w:rtl/>
        </w:rPr>
        <w:t>[בסע' ב]</w:t>
      </w:r>
      <w:r w:rsidRPr="005C6730">
        <w:rPr>
          <w:rFonts w:asciiTheme="minorBidi" w:hAnsiTheme="minorBidi"/>
          <w:color w:val="00B0F0"/>
          <w:rtl/>
        </w:rPr>
        <w:t>)</w:t>
      </w:r>
    </w:p>
  </w:footnote>
  <w:footnote w:id="10">
    <w:p w14:paraId="680A3F99" w14:textId="77777777" w:rsidR="004C5A3C" w:rsidRDefault="004C5A3C" w:rsidP="002C39F4">
      <w:pPr>
        <w:pStyle w:val="a5"/>
      </w:pPr>
      <w:r>
        <w:rPr>
          <w:rStyle w:val="a7"/>
        </w:rPr>
        <w:footnoteRef/>
      </w:r>
      <w:r>
        <w:rPr>
          <w:rtl/>
        </w:rPr>
        <w:t xml:space="preserve"> </w:t>
      </w:r>
      <w:r>
        <w:rPr>
          <w:rFonts w:hint="cs"/>
          <w:rtl/>
        </w:rPr>
        <w:t>וכ"כ</w:t>
      </w:r>
      <w:r w:rsidRPr="008F400F">
        <w:rPr>
          <w:rFonts w:asciiTheme="minorBidi" w:hAnsiTheme="minorBidi" w:hint="cs"/>
          <w:rtl/>
        </w:rPr>
        <w:t xml:space="preserve"> </w:t>
      </w:r>
      <w:r w:rsidRPr="003024E5">
        <w:rPr>
          <w:rFonts w:asciiTheme="minorBidi" w:hAnsiTheme="minorBidi"/>
          <w:rtl/>
        </w:rPr>
        <w:t xml:space="preserve">סמ"ק </w:t>
      </w:r>
      <w:r w:rsidRPr="003024E5">
        <w:rPr>
          <w:rFonts w:asciiTheme="minorBidi" w:hAnsiTheme="minorBidi"/>
          <w:sz w:val="16"/>
          <w:szCs w:val="16"/>
          <w:rtl/>
        </w:rPr>
        <w:t>(סי' רה)</w:t>
      </w:r>
      <w:r w:rsidRPr="003024E5">
        <w:rPr>
          <w:rFonts w:asciiTheme="minorBidi" w:hAnsiTheme="minorBidi"/>
          <w:rtl/>
        </w:rPr>
        <w:t xml:space="preserve"> </w:t>
      </w:r>
      <w:r w:rsidRPr="005C6730">
        <w:rPr>
          <w:rFonts w:asciiTheme="minorBidi" w:hAnsiTheme="minorBidi"/>
          <w:rtl/>
        </w:rPr>
        <w:t xml:space="preserve">או"ז </w:t>
      </w:r>
      <w:r>
        <w:rPr>
          <w:rFonts w:asciiTheme="minorBidi" w:hAnsiTheme="minorBidi" w:hint="cs"/>
          <w:sz w:val="16"/>
          <w:szCs w:val="16"/>
          <w:rtl/>
        </w:rPr>
        <w:t>(</w:t>
      </w:r>
      <w:r w:rsidRPr="005C6730">
        <w:rPr>
          <w:rFonts w:asciiTheme="minorBidi" w:hAnsiTheme="minorBidi"/>
          <w:sz w:val="16"/>
          <w:szCs w:val="16"/>
          <w:rtl/>
        </w:rPr>
        <w:t>עי' רא"ש פכ"ה אות מג בהג"ה</w:t>
      </w:r>
      <w:r>
        <w:rPr>
          <w:rFonts w:asciiTheme="minorBidi" w:hAnsiTheme="minorBidi" w:hint="cs"/>
          <w:sz w:val="16"/>
          <w:szCs w:val="16"/>
          <w:rtl/>
        </w:rPr>
        <w:t>)</w:t>
      </w:r>
      <w:r>
        <w:rPr>
          <w:rFonts w:asciiTheme="minorBidi" w:hAnsiTheme="minorBidi" w:hint="cs"/>
          <w:rtl/>
        </w:rPr>
        <w:t xml:space="preserve"> </w:t>
      </w:r>
      <w:r w:rsidRPr="003024E5">
        <w:rPr>
          <w:rFonts w:asciiTheme="minorBidi" w:hAnsiTheme="minorBidi"/>
          <w:rtl/>
        </w:rPr>
        <w:t xml:space="preserve">רא"ה </w:t>
      </w:r>
      <w:r w:rsidRPr="003024E5">
        <w:rPr>
          <w:rFonts w:asciiTheme="minorBidi" w:hAnsiTheme="minorBidi"/>
          <w:sz w:val="16"/>
          <w:szCs w:val="16"/>
          <w:rtl/>
        </w:rPr>
        <w:t>(בדה"ב ב"ג ש"ג עג. ד"ה גרסינן, הביאו הר"ן)</w:t>
      </w:r>
      <w:r>
        <w:rPr>
          <w:rFonts w:asciiTheme="minorBidi" w:hAnsiTheme="minorBidi" w:hint="cs"/>
          <w:rtl/>
        </w:rPr>
        <w:t xml:space="preserve"> </w:t>
      </w:r>
      <w:r>
        <w:rPr>
          <w:rFonts w:hint="cs"/>
          <w:rtl/>
        </w:rPr>
        <w:t>ו</w:t>
      </w:r>
      <w:r w:rsidRPr="005C6730">
        <w:rPr>
          <w:rFonts w:asciiTheme="minorBidi" w:hAnsiTheme="minorBidi"/>
          <w:rtl/>
        </w:rPr>
        <w:t xml:space="preserve">מהרא"י </w:t>
      </w:r>
      <w:r w:rsidRPr="005C6730">
        <w:rPr>
          <w:rFonts w:asciiTheme="minorBidi" w:hAnsiTheme="minorBidi"/>
          <w:sz w:val="16"/>
          <w:szCs w:val="16"/>
          <w:rtl/>
        </w:rPr>
        <w:t>(ל"ו שערים ש"א אות א)</w:t>
      </w:r>
      <w:r>
        <w:rPr>
          <w:rFonts w:asciiTheme="minorBidi" w:hAnsiTheme="minorBidi" w:hint="cs"/>
          <w:rtl/>
        </w:rPr>
        <w:t>.</w:t>
      </w:r>
    </w:p>
  </w:footnote>
  <w:footnote w:id="11">
    <w:p w14:paraId="6C36B5CF" w14:textId="77777777" w:rsidR="004C5A3C" w:rsidRPr="005C6730" w:rsidRDefault="004C5A3C" w:rsidP="002C39F4">
      <w:pPr>
        <w:pStyle w:val="a5"/>
        <w:rPr>
          <w:rFonts w:asciiTheme="minorBidi" w:hAnsiTheme="minorBidi"/>
          <w:sz w:val="16"/>
          <w:szCs w:val="16"/>
          <w:rtl/>
        </w:rPr>
      </w:pPr>
      <w:r w:rsidRPr="005C6730">
        <w:rPr>
          <w:rStyle w:val="a7"/>
          <w:rFonts w:asciiTheme="minorBidi" w:hAnsiTheme="minorBidi"/>
        </w:rPr>
        <w:footnoteRef/>
      </w:r>
      <w:r w:rsidRPr="005C6730">
        <w:rPr>
          <w:rFonts w:asciiTheme="minorBidi" w:hAnsiTheme="minorBidi"/>
          <w:rtl/>
        </w:rPr>
        <w:t xml:space="preserve"> והרא"ש (סי' מו) כ' בשם י"א טעם זה אך קצת שונה לכן אעתיקו, וז"ל- לפי שעל ידי מליחה הראשונה פירש מקצת הדם ולא היה הכח במלח להפליט כל הדם מאחר שלא הודח הבשר ואותו הדם עצמו שפירש חוזר ונבלע בבשר דלא שריק כיון דלא נמלח כהוגן ואין מלח שני מפליטו כיון שכבר פירש וחזר לתוכו.</w:t>
      </w:r>
      <w:r w:rsidRPr="005C6730">
        <w:rPr>
          <w:rFonts w:asciiTheme="minorBidi" w:hAnsiTheme="minorBidi"/>
          <w:sz w:val="16"/>
          <w:szCs w:val="16"/>
          <w:rtl/>
        </w:rPr>
        <w:t xml:space="preserve"> (משמע דמיירי בדם שיצא וחזר, ולא כמש"כ למעלה דמיירי על הדם שע"ג הבשר)</w:t>
      </w:r>
    </w:p>
  </w:footnote>
  <w:footnote w:id="12">
    <w:p w14:paraId="09E9AF4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ונהגו העולם להניח הבשר בשרייה זו יותר מחצי שעה, וצריך לשפשף הבשר במים הראשונים יפה, </w:t>
      </w:r>
      <w:r>
        <w:rPr>
          <w:rFonts w:asciiTheme="minorBidi" w:hAnsiTheme="minorBidi"/>
          <w:rtl/>
        </w:rPr>
        <w:t>או"ה</w:t>
      </w:r>
      <w:r w:rsidRPr="005C6730">
        <w:rPr>
          <w:rFonts w:asciiTheme="minorBidi" w:hAnsiTheme="minorBidi"/>
          <w:sz w:val="16"/>
          <w:szCs w:val="16"/>
          <w:rtl/>
        </w:rPr>
        <w:t xml:space="preserve"> (ש"א דין א)</w:t>
      </w:r>
      <w:r w:rsidRPr="005C6730">
        <w:rPr>
          <w:rFonts w:asciiTheme="minorBidi" w:hAnsiTheme="minorBidi"/>
          <w:rtl/>
        </w:rPr>
        <w:t>.</w:t>
      </w:r>
    </w:p>
  </w:footnote>
  <w:footnote w:id="13">
    <w:p w14:paraId="64F4F73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Pr>
          <w:rFonts w:asciiTheme="minorBidi" w:hAnsiTheme="minorBidi"/>
        </w:rPr>
        <w:t xml:space="preserve"> </w:t>
      </w:r>
      <w:r>
        <w:rPr>
          <w:rFonts w:asciiTheme="minorBidi" w:hAnsiTheme="minorBidi" w:hint="cs"/>
          <w:rtl/>
        </w:rPr>
        <w:t xml:space="preserve"> משמע כטעמו של הר"ן, וכך היא הגירסא לפנינו, אך הדרכ"מ העתיק בשם הגשע"ד אחרת וז"ל- </w:t>
      </w:r>
      <w:r w:rsidRPr="008F400F">
        <w:rPr>
          <w:rFonts w:asciiTheme="minorBidi" w:hAnsiTheme="minorBidi"/>
          <w:rtl/>
        </w:rPr>
        <w:t>שורה הבשר במים תחלה כדי שיתרכך ויהא כח לפלוט דמו ע"י המלח</w:t>
      </w:r>
      <w:r>
        <w:rPr>
          <w:rFonts w:asciiTheme="minorBidi" w:hAnsiTheme="minorBidi" w:hint="cs"/>
          <w:rtl/>
        </w:rPr>
        <w:t xml:space="preserve">... עכ"ל. משמע כטעמו של המרדכי. </w:t>
      </w:r>
    </w:p>
  </w:footnote>
  <w:footnote w:id="14">
    <w:p w14:paraId="24BC4E4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וכ"כ ב</w:t>
      </w:r>
      <w:r>
        <w:rPr>
          <w:rFonts w:asciiTheme="minorBidi" w:hAnsiTheme="minorBidi"/>
          <w:rtl/>
        </w:rPr>
        <w:t>או"ה</w:t>
      </w:r>
      <w:r w:rsidRPr="005C6730">
        <w:rPr>
          <w:rFonts w:asciiTheme="minorBidi" w:hAnsiTheme="minorBidi"/>
          <w:sz w:val="16"/>
          <w:szCs w:val="16"/>
          <w:rtl/>
        </w:rPr>
        <w:t xml:space="preserve"> (ש"א דין ה)</w:t>
      </w:r>
      <w:r w:rsidRPr="005C6730">
        <w:rPr>
          <w:rFonts w:asciiTheme="minorBidi" w:hAnsiTheme="minorBidi"/>
          <w:rtl/>
        </w:rPr>
        <w:t xml:space="preserve"> וז"ל- ואחר ההדחה הזאת מניחין הבשר ע"ג דף או בכלי מנוקב כדי שיזובו המים שעל גביו קודם המליחה כדי שלא ימס המלח מיד מתוך רוב המים קודם שיבלע בבשר. אך לא ימתין כלל למולחו עד שיתנגב הבשר דאז לא היה נמס המלח כולו ולא היה מוציא הדם היטב אלא בעוד שהוא לח הרבה ימלחנו. והיינו לכתחלה.</w:t>
      </w:r>
    </w:p>
  </w:footnote>
  <w:footnote w:id="15">
    <w:p w14:paraId="671398B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הוא ר' שמשון בר אברהם משאנץ, מבעלי התוס', וכתב כן בתשו'. כ"כ בשמו הרשב"א </w:t>
      </w:r>
      <w:r w:rsidRPr="005C6730">
        <w:rPr>
          <w:rFonts w:asciiTheme="minorBidi" w:hAnsiTheme="minorBidi"/>
          <w:sz w:val="16"/>
          <w:szCs w:val="16"/>
          <w:rtl/>
        </w:rPr>
        <w:t xml:space="preserve">[ח"א סימן תתמג] </w:t>
      </w:r>
      <w:r w:rsidRPr="005C6730">
        <w:rPr>
          <w:rFonts w:asciiTheme="minorBidi" w:hAnsiTheme="minorBidi"/>
          <w:rtl/>
        </w:rPr>
        <w:t xml:space="preserve">שערי מהרא"י </w:t>
      </w:r>
      <w:r w:rsidRPr="005C6730">
        <w:rPr>
          <w:rFonts w:asciiTheme="minorBidi" w:hAnsiTheme="minorBidi"/>
          <w:sz w:val="16"/>
          <w:szCs w:val="16"/>
          <w:rtl/>
        </w:rPr>
        <w:t xml:space="preserve">[ש"א אות ג] </w:t>
      </w:r>
      <w:r w:rsidRPr="005C6730">
        <w:rPr>
          <w:rFonts w:asciiTheme="minorBidi" w:hAnsiTheme="minorBidi"/>
          <w:rtl/>
        </w:rPr>
        <w:t xml:space="preserve">והגשע"ד </w:t>
      </w:r>
      <w:r w:rsidRPr="005C6730">
        <w:rPr>
          <w:rFonts w:asciiTheme="minorBidi" w:hAnsiTheme="minorBidi"/>
          <w:sz w:val="16"/>
          <w:szCs w:val="16"/>
          <w:rtl/>
        </w:rPr>
        <w:t>[סי' טו סק"א]</w:t>
      </w:r>
      <w:r w:rsidRPr="005C6730">
        <w:rPr>
          <w:rFonts w:asciiTheme="minorBidi" w:hAnsiTheme="minorBidi"/>
          <w:rtl/>
        </w:rPr>
        <w:t>, וכן הוא בתשובות מיימוני השייכים להלמ"א (סי' ד).</w:t>
      </w:r>
    </w:p>
  </w:footnote>
  <w:footnote w:id="16">
    <w:p w14:paraId="75D7652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הרשב"א העתיק אחרת וז"ל- "אפילו שהייה בו כדי לפליט...".</w:t>
      </w:r>
    </w:p>
  </w:footnote>
  <w:footnote w:id="17">
    <w:p w14:paraId="6351330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הביאו הדרכ"מ (אות ב) וכ'- ובסימן ס"ח (אות ט) כתבתי לעיל דלכתחלה יש ליזהר אם לא לצורך שבת או כדומה לזה.</w:t>
      </w:r>
    </w:p>
  </w:footnote>
  <w:footnote w:id="18">
    <w:p w14:paraId="3D1EAE7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וכן הוא בהגהות אשיר"י (סי' מג), וכ"כ מהרי"ל (בתשו' סי' קלג).</w:t>
      </w:r>
    </w:p>
  </w:footnote>
  <w:footnote w:id="19">
    <w:p w14:paraId="5D17E3C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ואף בדיעבד אסור דהוי כאילו לא הודח כלל, </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(ש"ד דין א, הביאו הדרכ"מ [אות ג], ועי' לקמן סע' א וסע' ב כיצד פסק הרמ"א בזה)</w:t>
      </w:r>
      <w:r w:rsidRPr="005C6730">
        <w:rPr>
          <w:rFonts w:asciiTheme="minorBidi" w:hAnsiTheme="minorBidi"/>
          <w:rtl/>
        </w:rPr>
        <w:t xml:space="preserve">. וכתב </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(ש"ד דין א, הביאו הדרכ"מ [אות ג])</w:t>
      </w:r>
      <w:r w:rsidRPr="005C6730">
        <w:rPr>
          <w:rFonts w:asciiTheme="minorBidi" w:hAnsiTheme="minorBidi"/>
          <w:rtl/>
        </w:rPr>
        <w:t xml:space="preserve"> וז"ל- ולא מועיל אפי' בדיעבד מה שרוחצין הטבחים הצלעות שלמות בבי טבחי כמו שרגילין לשפוך עליהם בהעברה בעלמא לנאותם, ואפי' לא בקען בעה"ב אח"כ, דאינו קרוי חללי בי טבחי עד ששרה אותו קצת בכלי הבשר שרוצה לבשל, עכ"ל. וכ' הש"ך (סק"ב) דמה שכ' "עד ששרה" הוא לאו דוקא דאה"נ אם לא הדיחו דרך העברה אלא הדיחו היטב, וכמ"ש הר"ב בסמוך. עכ"ל. מיהו כתב הח"ד </w:t>
      </w:r>
      <w:r w:rsidRPr="005E2B7C">
        <w:rPr>
          <w:rFonts w:asciiTheme="minorBidi" w:hAnsiTheme="minorBidi"/>
          <w:sz w:val="16"/>
          <w:szCs w:val="16"/>
          <w:rtl/>
        </w:rPr>
        <w:t xml:space="preserve">(כ"כ הפת"ש [סק"ב] בשמו) </w:t>
      </w:r>
      <w:r w:rsidRPr="005C6730">
        <w:rPr>
          <w:rFonts w:asciiTheme="minorBidi" w:hAnsiTheme="minorBidi"/>
          <w:rtl/>
        </w:rPr>
        <w:t xml:space="preserve">דיש להקל כשהדיחו בשעה שהדם חם אפילו בהדחה מועטת. </w:t>
      </w:r>
    </w:p>
  </w:footnote>
  <w:footnote w:id="20">
    <w:p w14:paraId="788AD76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w:t>
      </w:r>
      <w:r w:rsidRPr="005C6730">
        <w:rPr>
          <w:rFonts w:asciiTheme="minorBidi" w:hAnsiTheme="minorBidi"/>
          <w:color w:val="000000" w:themeColor="text1"/>
          <w:rtl/>
        </w:rPr>
        <w:t>וכן מוכרח דעת הר"י ן' חביב שהביא הב"י בס"ס ו' ע"ש, אך י"ל דהר"ן לטעמי' אזיל דס"ל דטעם הדחה לאו משום דם הוא אלא כדי שיתרכך הבשר... וכיון דחללינהו בי טבחי כבר נתרכך ולא איכפת לן במה שחתכו אח"כ לשנים, וזהו ג"כ דעת ן' חביב, אבל לדידן דקי"ל דטעם הדחה הוא משום דם וכדלקמן סעיף ב' צריך הדחה אף בדיעבד, ש"ך (סק"ג).</w:t>
      </w:r>
    </w:p>
  </w:footnote>
  <w:footnote w:id="21">
    <w:p w14:paraId="0176A9D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הש"ך (סק"ב) דמה שכ' "עד ששרה" הוא לאו דוקא דאה"נ אם לא הדיחו דרך העברה אלא הדיחו היטב, וכמ"ש הר"ב בסמוך. עכ"ל. מיהו כתב הח"ד (כ"כ הפת"ש [סק"ב] בשמו) דיש להקל כשהדיחו בשעה שהדם חם אפילו בהדחה מועטת.</w:t>
      </w:r>
    </w:p>
  </w:footnote>
  <w:footnote w:id="22">
    <w:p w14:paraId="405F718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דכשידעינן דהדיחו הטבח אמרינן דמסתמא הדיחו יפה, וכן משמע בב"ח, ש"ך (סק"ב). אך בנח"צ (פת"ש סק"ב) כתב דזה דווקא במקום שהמנהג כן שהטבחים שורים במים אבל בלאו הכי לא אמרינן כן. </w:t>
      </w:r>
    </w:p>
  </w:footnote>
  <w:footnote w:id="23">
    <w:p w14:paraId="28924320" w14:textId="77777777" w:rsidR="004C5A3C" w:rsidRPr="005C6730" w:rsidRDefault="004C5A3C" w:rsidP="002C39F4">
      <w:pPr>
        <w:pStyle w:val="a5"/>
        <w:rPr>
          <w:rFonts w:asciiTheme="minorBidi" w:hAnsiTheme="minorBidi"/>
          <w:rtl/>
        </w:rPr>
      </w:pPr>
      <w:r w:rsidRPr="005C6730">
        <w:rPr>
          <w:rStyle w:val="a7"/>
          <w:rFonts w:asciiTheme="minorBidi" w:hAnsiTheme="minorBidi"/>
          <w:color w:val="000000" w:themeColor="text1"/>
        </w:rPr>
        <w:footnoteRef/>
      </w:r>
      <w:r w:rsidRPr="005C6730">
        <w:rPr>
          <w:rFonts w:asciiTheme="minorBidi" w:hAnsiTheme="minorBidi"/>
          <w:color w:val="000000" w:themeColor="text1"/>
          <w:rtl/>
        </w:rPr>
        <w:t xml:space="preserve"> דקדק לכתוב 'חתך', דהיינו דוקא בסכין הוא דצריך לחזור ולהדיח, וכמ"ש המרדכי, דאגב דוחקא דסכינא מפליט, ש"ך (סק"ג).</w:t>
      </w:r>
      <w:r w:rsidRPr="005C6730">
        <w:rPr>
          <w:rFonts w:asciiTheme="minorBidi" w:hAnsiTheme="minorBidi"/>
          <w:rtl/>
        </w:rPr>
        <w:t xml:space="preserve"> וכ' הח"ד דאם אכל חתול קצת מהחתיכה א"צ להדיח במקום האכילה. ע"כ. הביאו הפת"ש (סק"ג) כתב שדבריו צ"ע.</w:t>
      </w:r>
    </w:p>
  </w:footnote>
  <w:footnote w:id="24">
    <w:p w14:paraId="0E25D8B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ואם לא חתך לשנים רק חתך מעט כתב הפמ"ג (בשפ"ד סק"ג) דמותר בדיעבד דהא יש ס' ואף שלא נמלח שם להמרדכי מ"מ בנשאר מקום בלי מלח מתיר הש"ך וה"נ מותר, עכ"ד. ולפמ"ש לקמן סקט"ו בשם חמודי דניאל דלא שרי אלא בנשאר מעט מקום בלי מלח אבל אם נשאר הרבה אף דיעבד אסור דבאותו מקום נאכל מחמת מלחו נראה דגם כאן אסור ודינו כנמלח מצד אחד, וצ"ע לדינא, פת"ש (סק"ד).</w:t>
      </w:r>
    </w:p>
  </w:footnote>
  <w:footnote w:id="25">
    <w:p w14:paraId="5CF81097" w14:textId="77777777" w:rsidR="004C5A3C" w:rsidRPr="005C6730" w:rsidRDefault="004C5A3C" w:rsidP="002C39F4">
      <w:pPr>
        <w:pStyle w:val="a5"/>
        <w:rPr>
          <w:rFonts w:asciiTheme="minorBidi" w:hAnsiTheme="minorBidi"/>
          <w:color w:val="FF0000"/>
        </w:rPr>
      </w:pPr>
      <w:r w:rsidRPr="005C6730">
        <w:rPr>
          <w:rStyle w:val="a7"/>
          <w:rFonts w:asciiTheme="minorBidi" w:hAnsiTheme="minorBidi"/>
        </w:rPr>
        <w:footnoteRef/>
      </w:r>
      <w:r w:rsidRPr="005C6730">
        <w:rPr>
          <w:rFonts w:asciiTheme="minorBidi" w:hAnsiTheme="minorBidi"/>
          <w:rtl/>
        </w:rPr>
        <w:t xml:space="preserve"> אבל אם לא היה מסירם היה נחשב הכל כחתיכת בשר א' והיה די בהדחתן כך כמות שהן, והיינו דכתב הר"ב בסי' סח סע' ח דפרסות הרגל שנמלחו בקליפתן דנהגינן לאסור מה שבתוך הקליפה מטעם דהוי כמולח בכלי שאינו מנוקב ולא אסרינן להו מטעם שנמלחו בלא הדחה (ואז אפי' מה שחוץ לקליפה אסור וכמ"ש בסמוך) אלא ודאי דאם לא הסירם די להם בהדחה כמות שהן הואיל ואין כאן דם נראה לעינים, וכן מוכח באו"ה ריש כלל י"ז, ש"ך (סק"ד). </w:t>
      </w:r>
    </w:p>
  </w:footnote>
  <w:footnote w:id="26">
    <w:p w14:paraId="33A1537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אם נשרה בכלי במים וחצי חתיכה היה למעלה מהמים כתב הפמ"ג בפתיחה דלטעם כדי לרכך שרי שהמים נכנסים בבשר ונתרכך כל החתיכה ע"ש, וא"כ מדיח הצד שהיה למעלה מהמים ודיו, דהא לאינך טעמי לא צריך שריה חצי שעה, פת"ש (סק"ה).</w:t>
      </w:r>
    </w:p>
  </w:footnote>
  <w:footnote w:id="27">
    <w:p w14:paraId="4F0BB134" w14:textId="77777777" w:rsidR="004C5A3C" w:rsidRPr="005C6730" w:rsidRDefault="004C5A3C" w:rsidP="002C39F4">
      <w:pPr>
        <w:pStyle w:val="a5"/>
        <w:rPr>
          <w:rFonts w:asciiTheme="minorBidi" w:hAnsiTheme="minorBidi"/>
        </w:rPr>
      </w:pPr>
      <w:r w:rsidRPr="005C6730">
        <w:rPr>
          <w:rStyle w:val="a7"/>
          <w:rFonts w:asciiTheme="minorBidi" w:hAnsiTheme="minorBidi"/>
          <w:color w:val="000000" w:themeColor="text1"/>
        </w:rPr>
        <w:footnoteRef/>
      </w:r>
      <w:r w:rsidRPr="005C6730">
        <w:rPr>
          <w:rFonts w:asciiTheme="minorBidi" w:hAnsiTheme="minorBidi"/>
          <w:color w:val="000000" w:themeColor="text1"/>
          <w:rtl/>
        </w:rPr>
        <w:t xml:space="preserve"> פירוש וא"צ לחזור ולטרוח ולשרותו אפי' לא נמלח עדיין, אבל בהדחה מועטת לא סגי ליה וצריך לחזור ולהדיחו היטב, אבל אם נמלח אף בהדחה מועטת סגי ליה בדיעבד כמ"ש בהג"ה בסע' ב, וכן משמע להדיא בת"ח (ריש כלל טו) כדפי', ובספר לחם חמודות (דף רלח:) כתב דהר"ב שינה בהגהותיו ממ"ש בת"ח ע"ש, ולפעד"נ כמ"ש, ש"ך (סק"ה).</w:t>
      </w:r>
    </w:p>
  </w:footnote>
  <w:footnote w:id="28">
    <w:p w14:paraId="0E9A01D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אך לא ימתין כלל למולחו עד שיתנגב הבשר דאז לא היה נמס המלח כולו ולא היה מוציא הדם היטב אלא בעוד שהוא לח הרבה ימלחנו, והיינו לכתחלה, </w:t>
      </w:r>
      <w:r>
        <w:rPr>
          <w:rFonts w:asciiTheme="minorBidi" w:hAnsiTheme="minorBidi"/>
          <w:rtl/>
        </w:rPr>
        <w:t>או"ה</w:t>
      </w:r>
      <w:r w:rsidRPr="005C6730">
        <w:rPr>
          <w:rFonts w:asciiTheme="minorBidi" w:hAnsiTheme="minorBidi"/>
          <w:sz w:val="16"/>
          <w:szCs w:val="16"/>
          <w:rtl/>
        </w:rPr>
        <w:t xml:space="preserve"> (ש"א דין ה)</w:t>
      </w:r>
      <w:r w:rsidRPr="005C6730">
        <w:rPr>
          <w:rFonts w:asciiTheme="minorBidi" w:hAnsiTheme="minorBidi"/>
          <w:rtl/>
        </w:rPr>
        <w:t xml:space="preserve">. וכ"כ הט"ז </w:t>
      </w:r>
      <w:r w:rsidRPr="005C6730">
        <w:rPr>
          <w:rFonts w:asciiTheme="minorBidi" w:hAnsiTheme="minorBidi"/>
          <w:sz w:val="16"/>
          <w:szCs w:val="16"/>
          <w:rtl/>
        </w:rPr>
        <w:t>(סק"ד)</w:t>
      </w:r>
      <w:r w:rsidRPr="005C6730">
        <w:rPr>
          <w:rFonts w:asciiTheme="minorBidi" w:hAnsiTheme="minorBidi"/>
          <w:rtl/>
        </w:rPr>
        <w:t xml:space="preserve"> והש"ך </w:t>
      </w:r>
      <w:r w:rsidRPr="005C6730">
        <w:rPr>
          <w:rFonts w:asciiTheme="minorBidi" w:hAnsiTheme="minorBidi"/>
          <w:sz w:val="16"/>
          <w:szCs w:val="16"/>
          <w:rtl/>
        </w:rPr>
        <w:t>(סק"ו)</w:t>
      </w:r>
      <w:r w:rsidRPr="005C6730">
        <w:rPr>
          <w:rFonts w:asciiTheme="minorBidi" w:hAnsiTheme="minorBidi"/>
          <w:rtl/>
        </w:rPr>
        <w:t>.</w:t>
      </w:r>
    </w:p>
  </w:footnote>
  <w:footnote w:id="29">
    <w:p w14:paraId="454568C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ודאי מדינא שרי להשתמש בו דברים אחרים דלא נאסר הכלי כיון דאין שורין בו מע"ל דצונן הוא ולא בלע אלא דנהגו שלא להשתמש בו לכתחלה אפי' בצונן דחיישינן שמא נדבק בו עדיין דם, מיהו בדיעבד שרי אפי' נשתמש בו רותח אם הדיחו קודם, ש"ך (סק"ז).</w:t>
      </w:r>
    </w:p>
  </w:footnote>
  <w:footnote w:id="30">
    <w:p w14:paraId="12D25632" w14:textId="77777777" w:rsidR="004C5A3C" w:rsidRPr="005C6730" w:rsidRDefault="004C5A3C" w:rsidP="002C39F4">
      <w:pPr>
        <w:pStyle w:val="a5"/>
        <w:rPr>
          <w:rFonts w:asciiTheme="minorBidi" w:hAnsiTheme="minorBidi"/>
          <w:color w:val="FF0000"/>
        </w:rPr>
      </w:pPr>
      <w:r w:rsidRPr="005C6730">
        <w:rPr>
          <w:rStyle w:val="a7"/>
          <w:rFonts w:asciiTheme="minorBidi" w:hAnsiTheme="minorBidi"/>
        </w:rPr>
        <w:footnoteRef/>
      </w:r>
      <w:r w:rsidRPr="005C6730">
        <w:rPr>
          <w:rFonts w:asciiTheme="minorBidi" w:hAnsiTheme="minorBidi"/>
          <w:rtl/>
        </w:rPr>
        <w:t xml:space="preserve"> פסק בתורת חטאת (כלל ג דין א) דאם יש ס' נגד כל הבשר דאותה חתיכה ג"כ מותרת דאינו חמור כ"כ כמו נתבשל ממש בלא מליחה, ורש"ל (יש"ש חולין פ"ח סי' צ) אוסר בכל גווני אותה חתיכה אפי' בכבוש וע' מ"ש בסע' ט"ו (סקל"ז), ט"ז (סק"ו).</w:t>
      </w:r>
    </w:p>
  </w:footnote>
  <w:footnote w:id="31">
    <w:p w14:paraId="2A4167D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סט"ו, דשם נתבאר דהבשר אסור אפי' לצלי, ואם יש במים ס' כנגדו מותר אפי' לקדר' וע"ש, ש"ך (סק"ט).</w:t>
      </w:r>
    </w:p>
  </w:footnote>
  <w:footnote w:id="32">
    <w:p w14:paraId="2A39C5B4" w14:textId="77777777" w:rsidR="004C5A3C" w:rsidRPr="005C6730" w:rsidRDefault="004C5A3C" w:rsidP="002C39F4">
      <w:pPr>
        <w:pStyle w:val="a5"/>
        <w:rPr>
          <w:rFonts w:asciiTheme="minorBidi" w:hAnsiTheme="minorBidi"/>
          <w:color w:val="000000" w:themeColor="text1"/>
          <w:rtl/>
        </w:rPr>
      </w:pPr>
      <w:r w:rsidRPr="005C6730">
        <w:rPr>
          <w:rStyle w:val="a7"/>
          <w:rFonts w:asciiTheme="minorBidi" w:hAnsiTheme="minorBidi"/>
        </w:rPr>
        <w:footnoteRef/>
      </w:r>
      <w:r w:rsidRPr="005C6730">
        <w:rPr>
          <w:rFonts w:asciiTheme="minorBidi" w:hAnsiTheme="minorBidi"/>
          <w:rtl/>
        </w:rPr>
        <w:t xml:space="preserve"> דהא אין שורין בו הבשר שני מע"ל ואינו בולע, או"ה (שם), משמע דאסור לשרות בו מע"ל בשר שנמלח כבר והודח כהוגן מטעם שנכבש בכלי איסור, </w:t>
      </w:r>
      <w:r w:rsidRPr="005C6730">
        <w:rPr>
          <w:rFonts w:asciiTheme="minorBidi" w:hAnsiTheme="minorBidi"/>
          <w:color w:val="000000" w:themeColor="text1"/>
          <w:rtl/>
        </w:rPr>
        <w:t>ופשוט הוא, מיהו בדיעבד שרי דהא לא נעשה כבוש עד אחר מע"ל ואז הוי נותן טעם לפגם, וכמ"ש בסי' קה ססק"ב ע"ש, וע"ל ר"ס צא, ש"ך (סק"י).</w:t>
      </w:r>
    </w:p>
  </w:footnote>
  <w:footnote w:id="33">
    <w:p w14:paraId="0562440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רחצו אותו בבית הטבח.</w:t>
      </w:r>
    </w:p>
  </w:footnote>
  <w:footnote w:id="34">
    <w:p w14:paraId="25D7F4B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תשו' ד"פ סי' תתקצב, ד"ל סי' שלז, וכן העיד שע"ד (סי' ה) שראה למהר"ם.</w:t>
      </w:r>
    </w:p>
  </w:footnote>
  <w:footnote w:id="35">
    <w:p w14:paraId="68D3F13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אבל בהגהה </w:t>
      </w:r>
      <w:r w:rsidRPr="005C6730">
        <w:rPr>
          <w:rFonts w:asciiTheme="minorBidi" w:hAnsiTheme="minorBidi"/>
          <w:sz w:val="16"/>
          <w:szCs w:val="16"/>
          <w:rtl/>
        </w:rPr>
        <w:t xml:space="preserve">(בתוך השע"ד עצמו {סי' ה} סוף הסימן) </w:t>
      </w:r>
      <w:r w:rsidRPr="005C6730">
        <w:rPr>
          <w:rFonts w:asciiTheme="minorBidi" w:hAnsiTheme="minorBidi"/>
          <w:rtl/>
        </w:rPr>
        <w:t>כתב דלא דמו, דכבדא עילוי בישרא הוי כמו דם פליטה ושייך ביה מישרק שריק, אבל בשר שלא הודח הוי דם שעל גבו כמו דם בעין שנפל על גבי בשר רותח ואסור, דלא שייך ביה מישרק שריק ולא כבולעו כך פולטו, ורבינו מאיר אגב חורפיה לא עיין ואי שמע הוה הדר ביה.</w:t>
      </w:r>
    </w:p>
  </w:footnote>
  <w:footnote w:id="36">
    <w:p w14:paraId="25D9919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סמ"ק </w:t>
      </w:r>
      <w:r w:rsidRPr="005C6730">
        <w:rPr>
          <w:rFonts w:asciiTheme="minorBidi" w:hAnsiTheme="minorBidi"/>
          <w:sz w:val="16"/>
          <w:szCs w:val="16"/>
          <w:rtl/>
        </w:rPr>
        <w:t xml:space="preserve">(סי' רה, וכ"כ בשמו ההגה"מ </w:t>
      </w:r>
      <w:r w:rsidRPr="005C6730">
        <w:rPr>
          <w:rFonts w:asciiTheme="minorBidi" w:hAnsiTheme="minorBidi"/>
          <w:sz w:val="14"/>
          <w:szCs w:val="14"/>
          <w:rtl/>
        </w:rPr>
        <w:t>[מאכ"א פ"ו ה"י ד"ק]</w:t>
      </w:r>
      <w:r w:rsidRPr="005C6730">
        <w:rPr>
          <w:rFonts w:asciiTheme="minorBidi" w:hAnsiTheme="minorBidi"/>
          <w:sz w:val="16"/>
          <w:szCs w:val="16"/>
          <w:rtl/>
        </w:rPr>
        <w:t xml:space="preserve">) </w:t>
      </w:r>
      <w:r w:rsidRPr="005C6730">
        <w:rPr>
          <w:rFonts w:asciiTheme="minorBidi" w:hAnsiTheme="minorBidi"/>
          <w:rtl/>
        </w:rPr>
        <w:t xml:space="preserve">מהר"י טרושין </w:t>
      </w:r>
      <w:r w:rsidRPr="005C6730">
        <w:rPr>
          <w:rFonts w:asciiTheme="minorBidi" w:hAnsiTheme="minorBidi"/>
          <w:sz w:val="14"/>
          <w:szCs w:val="14"/>
          <w:rtl/>
        </w:rPr>
        <w:t>(הביאו בהגשע"ד)</w:t>
      </w:r>
      <w:r w:rsidRPr="005C6730">
        <w:rPr>
          <w:rFonts w:asciiTheme="minorBidi" w:hAnsiTheme="minorBidi"/>
          <w:sz w:val="18"/>
          <w:szCs w:val="18"/>
          <w:rtl/>
        </w:rPr>
        <w:t xml:space="preserve"> </w:t>
      </w:r>
      <w:r w:rsidRPr="005C6730">
        <w:rPr>
          <w:rFonts w:asciiTheme="minorBidi" w:hAnsiTheme="minorBidi"/>
          <w:rtl/>
        </w:rPr>
        <w:t xml:space="preserve">מהרא"י </w:t>
      </w:r>
      <w:r w:rsidRPr="005C6730">
        <w:rPr>
          <w:rFonts w:asciiTheme="minorBidi" w:hAnsiTheme="minorBidi"/>
          <w:sz w:val="14"/>
          <w:szCs w:val="14"/>
          <w:rtl/>
        </w:rPr>
        <w:t>(הגשע"ד ש"ג סי' ה אות ח)</w:t>
      </w:r>
      <w:r w:rsidRPr="005C6730">
        <w:rPr>
          <w:rFonts w:asciiTheme="minorBidi" w:hAnsiTheme="minorBidi"/>
          <w:rtl/>
        </w:rPr>
        <w:t xml:space="preserve"> ו</w:t>
      </w:r>
      <w:r>
        <w:rPr>
          <w:rFonts w:asciiTheme="minorBidi" w:hAnsiTheme="minorBidi"/>
          <w:rtl/>
        </w:rPr>
        <w:t>או"ה</w:t>
      </w:r>
      <w:r w:rsidRPr="005C6730">
        <w:rPr>
          <w:rFonts w:asciiTheme="minorBidi" w:hAnsiTheme="minorBidi"/>
          <w:sz w:val="14"/>
          <w:szCs w:val="14"/>
          <w:rtl/>
        </w:rPr>
        <w:t xml:space="preserve"> (כלל ד דין א)</w:t>
      </w:r>
      <w:r w:rsidRPr="005C6730">
        <w:rPr>
          <w:rFonts w:asciiTheme="minorBidi" w:hAnsiTheme="minorBidi"/>
          <w:rtl/>
        </w:rPr>
        <w:t>.</w:t>
      </w:r>
    </w:p>
  </w:footnote>
  <w:footnote w:id="37">
    <w:p w14:paraId="26B21F33" w14:textId="77777777" w:rsidR="004C5A3C" w:rsidRPr="005C6730" w:rsidRDefault="004C5A3C" w:rsidP="002C39F4">
      <w:pPr>
        <w:pStyle w:val="a5"/>
        <w:rPr>
          <w:rFonts w:asciiTheme="minorBidi" w:hAnsiTheme="minorBidi"/>
          <w:color w:val="FF0000"/>
        </w:rPr>
      </w:pPr>
      <w:r w:rsidRPr="005C6730">
        <w:rPr>
          <w:rStyle w:val="a7"/>
          <w:rFonts w:asciiTheme="minorBidi" w:hAnsiTheme="minorBidi"/>
        </w:rPr>
        <w:footnoteRef/>
      </w:r>
      <w:r w:rsidRPr="005C6730">
        <w:rPr>
          <w:rFonts w:asciiTheme="minorBidi" w:hAnsiTheme="minorBidi"/>
          <w:rtl/>
        </w:rPr>
        <w:t xml:space="preserve"> וכ' ב</w:t>
      </w:r>
      <w:r>
        <w:rPr>
          <w:rFonts w:asciiTheme="minorBidi" w:hAnsiTheme="minorBidi"/>
          <w:rtl/>
        </w:rPr>
        <w:t>או"ה</w:t>
      </w:r>
      <w:r w:rsidRPr="005C6730">
        <w:rPr>
          <w:rFonts w:asciiTheme="minorBidi" w:hAnsiTheme="minorBidi"/>
          <w:rtl/>
        </w:rPr>
        <w:t xml:space="preserve"> בכלל י'</w:t>
      </w:r>
      <w:r w:rsidRPr="005C6730">
        <w:rPr>
          <w:rFonts w:asciiTheme="minorBidi" w:hAnsiTheme="minorBidi"/>
          <w:sz w:val="16"/>
          <w:szCs w:val="16"/>
          <w:rtl/>
        </w:rPr>
        <w:t xml:space="preserve"> (דין ז) </w:t>
      </w:r>
      <w:r w:rsidRPr="005C6730">
        <w:rPr>
          <w:rFonts w:asciiTheme="minorBidi" w:hAnsiTheme="minorBidi"/>
          <w:rtl/>
        </w:rPr>
        <w:t xml:space="preserve">דאפילו לא נמלח רק לצלי אסור דאין אנו בקיאין עכשיו להכיר בין זו לזו, ובכלל ד' </w:t>
      </w:r>
      <w:r w:rsidRPr="005C6730">
        <w:rPr>
          <w:rFonts w:asciiTheme="minorBidi" w:hAnsiTheme="minorBidi"/>
          <w:sz w:val="16"/>
          <w:szCs w:val="16"/>
          <w:rtl/>
        </w:rPr>
        <w:t>(דין ד)</w:t>
      </w:r>
      <w:r w:rsidRPr="005C6730">
        <w:rPr>
          <w:rFonts w:asciiTheme="minorBidi" w:hAnsiTheme="minorBidi"/>
          <w:rtl/>
        </w:rPr>
        <w:t xml:space="preserve"> כ' דאפילו לא שהה שיעור מליחה אסור.</w:t>
      </w:r>
    </w:p>
  </w:footnote>
  <w:footnote w:id="38">
    <w:p w14:paraId="1A63B1D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w:t>
      </w:r>
      <w:r w:rsidRPr="00911A06">
        <w:rPr>
          <w:rFonts w:asciiTheme="minorBidi" w:hAnsiTheme="minorBidi" w:hint="cs"/>
          <w:rtl/>
        </w:rPr>
        <w:t>וכתבו ד</w:t>
      </w:r>
      <w:r w:rsidRPr="00911A06">
        <w:rPr>
          <w:rFonts w:asciiTheme="minorBidi" w:hAnsiTheme="minorBidi"/>
          <w:rtl/>
        </w:rPr>
        <w:t>אסור לצלי אפי' לא שהה שיעור מליחה</w:t>
      </w:r>
      <w:r>
        <w:rPr>
          <w:rFonts w:asciiTheme="minorBidi" w:hAnsiTheme="minorBidi" w:hint="cs"/>
          <w:rtl/>
        </w:rPr>
        <w:t xml:space="preserve">. </w:t>
      </w:r>
      <w:r w:rsidRPr="005C6730">
        <w:rPr>
          <w:rFonts w:asciiTheme="minorBidi" w:hAnsiTheme="minorBidi"/>
          <w:rtl/>
        </w:rPr>
        <w:t xml:space="preserve">הביאם הש"ך (סקי"ג) וכ' וז"ל- בספרי </w:t>
      </w:r>
      <w:r w:rsidRPr="005C6730">
        <w:rPr>
          <w:rFonts w:asciiTheme="minorBidi" w:hAnsiTheme="minorBidi"/>
          <w:sz w:val="16"/>
          <w:szCs w:val="16"/>
          <w:rtl/>
        </w:rPr>
        <w:t xml:space="preserve">(הארוך מש"ך סע' ד ד"ה ולענין) </w:t>
      </w:r>
      <w:r w:rsidRPr="005C6730">
        <w:rPr>
          <w:rFonts w:asciiTheme="minorBidi" w:hAnsiTheme="minorBidi"/>
          <w:rtl/>
        </w:rPr>
        <w:t>העליתי כדברי הר"ב ודחיתי ראיותיהם ע"ש, גם מה שפסק הב"ח דבשהה אסור אף במקום הפסד מרובה אף ע"י הדחה ומליחה שנית לא מחוור כמ"ש שם באריכות ע"ש.</w:t>
      </w:r>
    </w:p>
  </w:footnote>
  <w:footnote w:id="39">
    <w:p w14:paraId="7DAAFF9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הדרכ"מ דנראה לפי טעמו השני דאפילו בדאיכא ששים מן החתיכה נגד הדם אסור דאין המלח מפליט הדם מתוכו הואיל ולא נתרכך הבשר היטב והדם פירש במקצת ממקום למקום וחזר ונבלע בתוכו כמו שפירש הרא"ש טעם האוסרים, ולכך אפילו בדאיכא ששים נגד הדם- טרפה, ונראה לי דגם מהרא"י לא מכשיר אלא בדידעינן כמה דם היה עליו אבל מסתמא אסור דהאיך ידעינן דהחתיכה היתה ששים נגד הדם, ועוד אפשר לומר דמהרא"י דמכשיר בששים אזיל לטעמיה דתופס עיקר טעם דהדחה קמייתא משום דם שעל הבשר ולא משום שיתרכך הבשר כמ"ש בשער ח' בשע"ד </w:t>
      </w:r>
      <w:r w:rsidRPr="005C6730">
        <w:rPr>
          <w:rFonts w:asciiTheme="minorBidi" w:hAnsiTheme="minorBidi"/>
          <w:sz w:val="16"/>
          <w:szCs w:val="16"/>
          <w:rtl/>
        </w:rPr>
        <w:t xml:space="preserve">(סי' טו בהגהות סק"א, ו) </w:t>
      </w:r>
      <w:r w:rsidRPr="005C6730">
        <w:rPr>
          <w:rFonts w:asciiTheme="minorBidi" w:hAnsiTheme="minorBidi"/>
          <w:rtl/>
        </w:rPr>
        <w:t>משמו ולכן מתיר בששים אבל למאן דסבירא ליה דטעם הדחה משום שיתרכך לא סגי בששים כדברי ה</w:t>
      </w:r>
      <w:r>
        <w:rPr>
          <w:rFonts w:asciiTheme="minorBidi" w:hAnsiTheme="minorBidi"/>
          <w:rtl/>
        </w:rPr>
        <w:t>או"ה</w:t>
      </w:r>
      <w:r w:rsidRPr="005C6730">
        <w:rPr>
          <w:rFonts w:asciiTheme="minorBidi" w:hAnsiTheme="minorBidi"/>
          <w:rtl/>
        </w:rPr>
        <w:t xml:space="preserve"> כנ"ל.</w:t>
      </w:r>
    </w:p>
  </w:footnote>
  <w:footnote w:id="40">
    <w:p w14:paraId="241C265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באו"ה בשם או"ז נתן ב' טעמים, א- דאין אנו בקיאין להבחין בין מליחת צלי לקדירה, ועוד בשם או"ז דא"א שאפי' מליחה של צלי לא יפלוט כל שהוא מן הדם וחוזר ואוסרו, ע"כ, ולפי טעם יש אוסרין שבסמוך משום דמבליע דם בעין הוה האיסור אפי' במליחה מעט ג"כ משום דם בעין כמו בדם פליטה לדעת האו"ז, ומו"ח ז"ל פסק להתיר במליחה מועטת ולא שהה, ומשוה אותנו לבקיאין בדבר, ולא נלע"ד כן, דאפי' לפ"ז יש לאסור מטעם הב', דכיון שמבליע איסור ואינו פולט מה לי הרבה מה לי מועט, ט"ז </w:t>
      </w:r>
      <w:r w:rsidRPr="005C6730">
        <w:rPr>
          <w:rFonts w:asciiTheme="minorBidi" w:hAnsiTheme="minorBidi"/>
          <w:sz w:val="16"/>
          <w:szCs w:val="16"/>
          <w:rtl/>
        </w:rPr>
        <w:t>(סק"ח)</w:t>
      </w:r>
      <w:r w:rsidRPr="005C6730">
        <w:rPr>
          <w:rFonts w:asciiTheme="minorBidi" w:hAnsiTheme="minorBidi"/>
          <w:rtl/>
        </w:rPr>
        <w:t>.</w:t>
      </w:r>
    </w:p>
  </w:footnote>
  <w:footnote w:id="41">
    <w:p w14:paraId="66F6989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עבה"ט דדוקא לקדירה, אבל לצלי שרי בלא שהה, וכ"כ רמ"א לקמן סי' עו ס"ב, ועי' בתפארת למשה שכתב דלא שרי אלא בתרתי למעליותא, לא נמלח רק מעט, ולא שהה, וגם דעת הרמ"א בסי' עו מתפרש כן ע"ש, פת"ש (סק"ז).</w:t>
      </w:r>
    </w:p>
  </w:footnote>
  <w:footnote w:id="42">
    <w:p w14:paraId="1D4998C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פירוש אפילו שהה במלחו, ט"ז (סק"ט).</w:t>
      </w:r>
    </w:p>
  </w:footnote>
  <w:footnote w:id="43">
    <w:p w14:paraId="2B77BB2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וכן מבואר להדיא דעת העט"ז, ודעת מהרש"ל </w:t>
      </w:r>
      <w:r w:rsidRPr="005C6730">
        <w:rPr>
          <w:rFonts w:asciiTheme="minorBidi" w:hAnsiTheme="minorBidi"/>
          <w:sz w:val="16"/>
          <w:szCs w:val="16"/>
          <w:rtl/>
        </w:rPr>
        <w:t>(באו"ה שלו, ופ' השוחט סי' יח)</w:t>
      </w:r>
      <w:r w:rsidRPr="005C6730">
        <w:rPr>
          <w:rFonts w:asciiTheme="minorBidi" w:hAnsiTheme="minorBidi"/>
          <w:rtl/>
        </w:rPr>
        <w:t xml:space="preserve"> נראה דאין תקנה לאותו בשר בהדחה ומליחה שנית אף במקום הפסד מרובה, ואין זה עיקר, ולקמן סי' עו נתבאר דבכל מקום דשרי הדחה ומליחה שנית כ"ש דשרי לצלי, ש"ך</w:t>
      </w:r>
      <w:r w:rsidRPr="005C6730">
        <w:rPr>
          <w:rFonts w:asciiTheme="minorBidi" w:hAnsiTheme="minorBidi"/>
          <w:sz w:val="16"/>
          <w:szCs w:val="16"/>
          <w:rtl/>
        </w:rPr>
        <w:t xml:space="preserve"> (סקי"ב)</w:t>
      </w:r>
      <w:r w:rsidRPr="005C6730">
        <w:rPr>
          <w:rFonts w:asciiTheme="minorBidi" w:hAnsiTheme="minorBidi"/>
          <w:rtl/>
        </w:rPr>
        <w:t>.</w:t>
      </w:r>
    </w:p>
  </w:footnote>
  <w:footnote w:id="44">
    <w:p w14:paraId="2B548AD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לומר דודאי לטעם כדי שיתרכך לא מהני הדחה מועטת דאינו מתרכך בזה ופשיטא נמי דלא שייך כאן ס' אלא שאנו סומכים בדיע' דטעמא לא הוי אלא משום דם שע"ג והלכך מהני הדחה מועטת וכן אם יש ס' נגד הדם וכן מבואר בת"ח כלל ה', ש"ך</w:t>
      </w:r>
      <w:r w:rsidRPr="005C6730">
        <w:rPr>
          <w:rFonts w:asciiTheme="minorBidi" w:hAnsiTheme="minorBidi"/>
          <w:sz w:val="14"/>
          <w:szCs w:val="14"/>
          <w:rtl/>
        </w:rPr>
        <w:t xml:space="preserve"> (סקי"ד)</w:t>
      </w:r>
      <w:r w:rsidRPr="005C6730">
        <w:rPr>
          <w:rFonts w:asciiTheme="minorBidi" w:hAnsiTheme="minorBidi"/>
          <w:rtl/>
        </w:rPr>
        <w:t>.</w:t>
      </w:r>
    </w:p>
  </w:footnote>
  <w:footnote w:id="45">
    <w:p w14:paraId="655FE7C5" w14:textId="77777777" w:rsidR="004C5A3C" w:rsidRPr="005C6730" w:rsidRDefault="004C5A3C" w:rsidP="002C39F4">
      <w:pPr>
        <w:spacing w:after="0" w:line="240" w:lineRule="auto"/>
        <w:rPr>
          <w:rFonts w:asciiTheme="minorBidi" w:hAnsiTheme="minorBidi"/>
          <w:sz w:val="20"/>
          <w:szCs w:val="20"/>
          <w:rtl/>
        </w:rPr>
      </w:pPr>
      <w:r w:rsidRPr="005C6730">
        <w:rPr>
          <w:rStyle w:val="a7"/>
          <w:rFonts w:asciiTheme="minorBidi" w:hAnsiTheme="minorBidi"/>
        </w:rPr>
        <w:footnoteRef/>
      </w:r>
      <w:r w:rsidRPr="005C6730">
        <w:rPr>
          <w:rFonts w:asciiTheme="minorBidi" w:hAnsiTheme="minorBidi"/>
          <w:sz w:val="20"/>
          <w:szCs w:val="20"/>
          <w:rtl/>
        </w:rPr>
        <w:t xml:space="preserve"> ואע"ג דאין לך חתיכה שיש בה ס' נגד דם שעליו היינו בסתם אבל אי ידעינן דיש בה ס' ודאי מהני</w:t>
      </w:r>
      <w:r w:rsidRPr="005C6730">
        <w:rPr>
          <w:rFonts w:asciiTheme="minorBidi" w:hAnsiTheme="minorBidi"/>
          <w:sz w:val="16"/>
          <w:szCs w:val="16"/>
          <w:rtl/>
        </w:rPr>
        <w:t xml:space="preserve"> (בדיעבד</w:t>
      </w:r>
      <w:r w:rsidRPr="005C6730">
        <w:rPr>
          <w:rFonts w:asciiTheme="minorBidi" w:hAnsiTheme="minorBidi"/>
          <w:sz w:val="14"/>
          <w:szCs w:val="14"/>
          <w:rtl/>
        </w:rPr>
        <w:t xml:space="preserve"> [באה"ט]</w:t>
      </w:r>
      <w:r w:rsidRPr="005C6730">
        <w:rPr>
          <w:rFonts w:asciiTheme="minorBidi" w:hAnsiTheme="minorBidi"/>
          <w:sz w:val="16"/>
          <w:szCs w:val="16"/>
          <w:rtl/>
        </w:rPr>
        <w:t>)</w:t>
      </w:r>
      <w:r w:rsidRPr="005C6730">
        <w:rPr>
          <w:rFonts w:asciiTheme="minorBidi" w:hAnsiTheme="minorBidi"/>
          <w:sz w:val="20"/>
          <w:szCs w:val="20"/>
          <w:rtl/>
        </w:rPr>
        <w:t xml:space="preserve">, עכ"ל התורת חטאת דין ג', ע"פ ש"ך (סקט"ו). </w:t>
      </w:r>
    </w:p>
    <w:p w14:paraId="2B4B6635" w14:textId="77777777" w:rsidR="004C5A3C" w:rsidRPr="005C6730" w:rsidRDefault="004C5A3C" w:rsidP="002C39F4">
      <w:pPr>
        <w:spacing w:after="0" w:line="240" w:lineRule="auto"/>
        <w:rPr>
          <w:rFonts w:asciiTheme="minorBidi" w:hAnsiTheme="minorBidi"/>
          <w:sz w:val="20"/>
          <w:szCs w:val="20"/>
          <w:rtl/>
        </w:rPr>
      </w:pPr>
      <w:r w:rsidRPr="005C6730">
        <w:rPr>
          <w:rFonts w:asciiTheme="minorBidi" w:hAnsiTheme="minorBidi"/>
          <w:sz w:val="20"/>
          <w:szCs w:val="20"/>
          <w:u w:val="single"/>
          <w:rtl/>
        </w:rPr>
        <w:t xml:space="preserve">הא דהתיר הרמ"א בדיעבד </w:t>
      </w:r>
      <w:r w:rsidRPr="005C6730">
        <w:rPr>
          <w:rFonts w:asciiTheme="minorBidi" w:hAnsiTheme="minorBidi"/>
          <w:sz w:val="16"/>
          <w:szCs w:val="16"/>
          <w:u w:val="single"/>
          <w:rtl/>
        </w:rPr>
        <w:t>(בהודח מעט או כשיש ס' נגד הדם)</w:t>
      </w:r>
      <w:r w:rsidRPr="005C6730">
        <w:rPr>
          <w:rFonts w:asciiTheme="minorBidi" w:hAnsiTheme="minorBidi"/>
          <w:sz w:val="20"/>
          <w:szCs w:val="20"/>
          <w:u w:val="single"/>
          <w:rtl/>
        </w:rPr>
        <w:t xml:space="preserve"> הוא בתנאי שיחזור להדיח ולמלוח או לא:</w:t>
      </w:r>
    </w:p>
    <w:p w14:paraId="069CB97A" w14:textId="77777777" w:rsidR="004C5A3C" w:rsidRPr="005C6730" w:rsidRDefault="004C5A3C" w:rsidP="002C39F4">
      <w:pPr>
        <w:pStyle w:val="a8"/>
        <w:numPr>
          <w:ilvl w:val="0"/>
          <w:numId w:val="5"/>
        </w:numPr>
        <w:spacing w:after="0" w:line="240" w:lineRule="auto"/>
        <w:rPr>
          <w:rFonts w:asciiTheme="minorBidi" w:hAnsiTheme="minorBidi"/>
          <w:sz w:val="20"/>
          <w:szCs w:val="20"/>
        </w:rPr>
      </w:pPr>
      <w:r w:rsidRPr="005C6730">
        <w:rPr>
          <w:rFonts w:asciiTheme="minorBidi" w:hAnsiTheme="minorBidi"/>
          <w:sz w:val="20"/>
          <w:szCs w:val="20"/>
          <w:rtl/>
        </w:rPr>
        <w:t xml:space="preserve">ש"ך </w:t>
      </w:r>
      <w:r w:rsidRPr="005C6730">
        <w:rPr>
          <w:rFonts w:asciiTheme="minorBidi" w:hAnsiTheme="minorBidi"/>
          <w:sz w:val="16"/>
          <w:szCs w:val="16"/>
          <w:rtl/>
        </w:rPr>
        <w:t>(סקי"ד)</w:t>
      </w:r>
      <w:r w:rsidRPr="005C6730">
        <w:rPr>
          <w:rFonts w:asciiTheme="minorBidi" w:hAnsiTheme="minorBidi"/>
          <w:sz w:val="20"/>
          <w:szCs w:val="20"/>
          <w:rtl/>
        </w:rPr>
        <w:t xml:space="preserve">- משמע דכיון שנמלח אף שלא בישלו עדיין חשוב דיעבד וא"צ לחזור ולהדיחו ולמלחו, ודוק, ועיין סק"ה. </w:t>
      </w:r>
    </w:p>
    <w:p w14:paraId="458435F7" w14:textId="77777777" w:rsidR="004C5A3C" w:rsidRPr="005C6730" w:rsidRDefault="004C5A3C" w:rsidP="002C39F4">
      <w:pPr>
        <w:pStyle w:val="a8"/>
        <w:numPr>
          <w:ilvl w:val="0"/>
          <w:numId w:val="5"/>
        </w:numPr>
        <w:spacing w:after="0" w:line="240" w:lineRule="auto"/>
        <w:rPr>
          <w:rFonts w:asciiTheme="minorBidi" w:hAnsiTheme="minorBidi"/>
          <w:sz w:val="20"/>
          <w:szCs w:val="20"/>
        </w:rPr>
      </w:pPr>
      <w:r w:rsidRPr="005C6730">
        <w:rPr>
          <w:rFonts w:asciiTheme="minorBidi" w:hAnsiTheme="minorBidi"/>
          <w:sz w:val="20"/>
          <w:szCs w:val="20"/>
          <w:rtl/>
        </w:rPr>
        <w:t xml:space="preserve">פמ"ג </w:t>
      </w:r>
      <w:r w:rsidRPr="005C6730">
        <w:rPr>
          <w:rFonts w:asciiTheme="minorBidi" w:hAnsiTheme="minorBidi"/>
          <w:sz w:val="16"/>
          <w:szCs w:val="16"/>
          <w:rtl/>
        </w:rPr>
        <w:t>(משב"ז)</w:t>
      </w:r>
      <w:r w:rsidRPr="005C6730">
        <w:rPr>
          <w:rFonts w:asciiTheme="minorBidi" w:hAnsiTheme="minorBidi"/>
          <w:sz w:val="20"/>
          <w:szCs w:val="20"/>
          <w:rtl/>
        </w:rPr>
        <w:t xml:space="preserve"> רעק"א- שרי ע"י הדחה ומליחה שנית דוקא </w:t>
      </w:r>
      <w:r w:rsidRPr="005C6730">
        <w:rPr>
          <w:rFonts w:asciiTheme="minorBidi" w:hAnsiTheme="minorBidi"/>
          <w:sz w:val="16"/>
          <w:szCs w:val="16"/>
          <w:rtl/>
        </w:rPr>
        <w:t>(וכ' רעק"א שכך מסקנת האחרונים)</w:t>
      </w:r>
      <w:r w:rsidRPr="005C6730">
        <w:rPr>
          <w:rFonts w:asciiTheme="minorBidi" w:hAnsiTheme="minorBidi"/>
          <w:sz w:val="20"/>
          <w:szCs w:val="20"/>
          <w:rtl/>
        </w:rPr>
        <w:t xml:space="preserve">. </w:t>
      </w:r>
    </w:p>
    <w:p w14:paraId="7C172ADB" w14:textId="77777777" w:rsidR="004C5A3C" w:rsidRPr="005C6730" w:rsidRDefault="004C5A3C" w:rsidP="002C39F4">
      <w:pPr>
        <w:pStyle w:val="a8"/>
        <w:numPr>
          <w:ilvl w:val="0"/>
          <w:numId w:val="5"/>
        </w:numPr>
        <w:spacing w:after="0" w:line="240" w:lineRule="auto"/>
        <w:rPr>
          <w:rFonts w:asciiTheme="minorBidi" w:hAnsiTheme="minorBidi"/>
          <w:sz w:val="20"/>
          <w:szCs w:val="20"/>
        </w:rPr>
      </w:pPr>
      <w:r w:rsidRPr="005C6730">
        <w:rPr>
          <w:rFonts w:asciiTheme="minorBidi" w:hAnsiTheme="minorBidi"/>
          <w:sz w:val="20"/>
          <w:szCs w:val="20"/>
          <w:rtl/>
        </w:rPr>
        <w:t xml:space="preserve">לבושי שרד </w:t>
      </w:r>
      <w:r w:rsidRPr="005C6730">
        <w:rPr>
          <w:rFonts w:asciiTheme="minorBidi" w:hAnsiTheme="minorBidi"/>
          <w:sz w:val="16"/>
          <w:szCs w:val="16"/>
          <w:rtl/>
        </w:rPr>
        <w:t>(אות קח-קט)</w:t>
      </w:r>
      <w:r w:rsidRPr="005C6730">
        <w:rPr>
          <w:rFonts w:asciiTheme="minorBidi" w:hAnsiTheme="minorBidi"/>
          <w:sz w:val="20"/>
          <w:szCs w:val="20"/>
          <w:rtl/>
        </w:rPr>
        <w:t>- לכתחילה ידיחנו וימלחנו שנית ובדיעבד אם נתבשל בלי מליחה שנית שרי.</w:t>
      </w:r>
    </w:p>
  </w:footnote>
  <w:footnote w:id="46">
    <w:p w14:paraId="1FD40381" w14:textId="77777777" w:rsidR="004C5A3C" w:rsidRPr="005C6730" w:rsidRDefault="004C5A3C" w:rsidP="002C39F4">
      <w:pPr>
        <w:pStyle w:val="a5"/>
        <w:rPr>
          <w:rFonts w:asciiTheme="minorBidi" w:hAnsiTheme="minorBidi"/>
        </w:rPr>
      </w:pPr>
      <w:r w:rsidRPr="005C6730">
        <w:rPr>
          <w:rStyle w:val="a7"/>
          <w:rFonts w:asciiTheme="minorBidi" w:hAnsiTheme="minorBidi"/>
          <w:color w:val="000000" w:themeColor="text1"/>
        </w:rPr>
        <w:footnoteRef/>
      </w:r>
      <w:r w:rsidRPr="005C6730">
        <w:rPr>
          <w:rFonts w:asciiTheme="minorBidi" w:hAnsiTheme="minorBidi"/>
          <w:color w:val="000000" w:themeColor="text1"/>
          <w:rtl/>
        </w:rPr>
        <w:t xml:space="preserve"> דדם שריק ואינו מפעפע מחתיכה לחתיכה במליחה וצלייה וג"כ אמרינן כב</w:t>
      </w:r>
      <w:r>
        <w:rPr>
          <w:rFonts w:asciiTheme="minorBidi" w:hAnsiTheme="minorBidi" w:hint="cs"/>
          <w:color w:val="000000" w:themeColor="text1"/>
          <w:rtl/>
        </w:rPr>
        <w:t>כ"פ</w:t>
      </w:r>
      <w:r w:rsidRPr="005C6730">
        <w:rPr>
          <w:rFonts w:asciiTheme="minorBidi" w:hAnsiTheme="minorBidi"/>
          <w:color w:val="000000" w:themeColor="text1"/>
          <w:rtl/>
        </w:rPr>
        <w:t xml:space="preserve"> כיון שהוא דם דרבנן מאחר שנמלח, ט"ז (סקי"א).</w:t>
      </w:r>
    </w:p>
  </w:footnote>
  <w:footnote w:id="47">
    <w:p w14:paraId="23972DB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מלח גסה שלמי"א, רש"י.</w:t>
      </w:r>
    </w:p>
  </w:footnote>
  <w:footnote w:id="48">
    <w:p w14:paraId="79C2057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למילחא לאחר זמן מפני שהדם נבלע בה אבל מלח דקה אין צריך לנפץ שהיא נתכת מעצמה, רש"י.</w:t>
      </w:r>
    </w:p>
  </w:footnote>
  <w:footnote w:id="49">
    <w:p w14:paraId="2357CE3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וכ"כ רש"י </w:t>
      </w:r>
      <w:r w:rsidRPr="005C6730">
        <w:rPr>
          <w:rFonts w:asciiTheme="minorBidi" w:hAnsiTheme="minorBidi"/>
          <w:sz w:val="16"/>
          <w:szCs w:val="16"/>
          <w:rtl/>
        </w:rPr>
        <w:t>(ד"ה מילחא וד"ה ומנפיץ)</w:t>
      </w:r>
      <w:r w:rsidRPr="005C6730">
        <w:rPr>
          <w:rFonts w:asciiTheme="minorBidi" w:hAnsiTheme="minorBidi"/>
          <w:rtl/>
        </w:rPr>
        <w:t>, רק שהוסיף שהגס צריך ניפוץ קודם הדחה אחרונה והדק אין צריך, ובהגשע"ד</w:t>
      </w:r>
      <w:r w:rsidRPr="005C6730">
        <w:rPr>
          <w:rFonts w:asciiTheme="minorBidi" w:hAnsiTheme="minorBidi"/>
          <w:sz w:val="16"/>
          <w:szCs w:val="16"/>
          <w:rtl/>
        </w:rPr>
        <w:t xml:space="preserve"> (סי' יא סק"ו ד"ה ולרש"י)</w:t>
      </w:r>
      <w:r w:rsidRPr="005C6730">
        <w:rPr>
          <w:rFonts w:asciiTheme="minorBidi" w:hAnsiTheme="minorBidi"/>
          <w:rtl/>
        </w:rPr>
        <w:t xml:space="preserve"> בשם מהרא"י כ' דנוהגין כרש"י, ע"פ דרכ"מ (אות ה).</w:t>
      </w:r>
    </w:p>
  </w:footnote>
  <w:footnote w:id="50">
    <w:p w14:paraId="7A8DF74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 הרמב"ם. והרא"ש הביא דברי הרמב"ם בפרק כל הבשר (סי' מז) וכתב עליהם- ולא מיסתבר דיותר שהוא דק המלח יותר מתפזר על הבשר ופועל להוציא את הדם כי הוא נדבק בו אבל הגס כשהוא הופך את החתיכה למלחה מכל צד הוא נושר ממנה, ע"כ. ומשמע שהוא מפרש דרב דימי אתא לאפוקי דלא נימא דאין מולחין אלא בדקה מפני שהוא מתפזר יותר על הבשר וכו' קמ"ל דבגסה נמי מולחין, ולפיכך כתב רבינו בתחלת דבריו ומולח בין במלח דק בין במלח גס שרצה לסתום דבריו וכדעת הרא"ש ואח"כ כתב סברת הרמב"ם ושהרא"ש חלוק עליו, ב"י.</w:t>
      </w:r>
    </w:p>
  </w:footnote>
  <w:footnote w:id="51">
    <w:p w14:paraId="33554C7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על דבריו- "ודבריו נכונים וכן נהגו".</w:t>
      </w:r>
    </w:p>
  </w:footnote>
  <w:footnote w:id="52">
    <w:p w14:paraId="6A62747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הביאם הה"מ </w:t>
      </w:r>
      <w:r w:rsidRPr="005C6730">
        <w:rPr>
          <w:rFonts w:asciiTheme="minorBidi" w:hAnsiTheme="minorBidi"/>
          <w:sz w:val="16"/>
          <w:szCs w:val="16"/>
          <w:rtl/>
        </w:rPr>
        <w:t>(שם ד"ה ואין מולחין)</w:t>
      </w:r>
      <w:r w:rsidRPr="005C6730">
        <w:rPr>
          <w:rFonts w:asciiTheme="minorBidi" w:hAnsiTheme="minorBidi"/>
          <w:rtl/>
        </w:rPr>
        <w:t>, וסיים וז"ל- "ואינם דברים מוכרחים".</w:t>
      </w:r>
    </w:p>
  </w:footnote>
  <w:footnote w:id="53">
    <w:p w14:paraId="5E1B359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אבל אם אין לו רק מלח גס לא הוצרך להשמיענו דהרי יכול להדקו, ש"ך </w:t>
      </w:r>
      <w:r w:rsidRPr="005C6730">
        <w:rPr>
          <w:rFonts w:asciiTheme="minorBidi" w:hAnsiTheme="minorBidi"/>
          <w:sz w:val="16"/>
          <w:szCs w:val="16"/>
          <w:rtl/>
        </w:rPr>
        <w:t>(סקי"ח)</w:t>
      </w:r>
      <w:r w:rsidRPr="005C6730">
        <w:rPr>
          <w:rFonts w:asciiTheme="minorBidi" w:hAnsiTheme="minorBidi"/>
          <w:rtl/>
        </w:rPr>
        <w:t>. ואם א"א להדקו שרי, מהרש"א</w:t>
      </w:r>
      <w:r w:rsidRPr="005C6730">
        <w:rPr>
          <w:rFonts w:asciiTheme="minorBidi" w:hAnsiTheme="minorBidi"/>
          <w:sz w:val="16"/>
          <w:szCs w:val="16"/>
          <w:rtl/>
        </w:rPr>
        <w:t xml:space="preserve"> (בגליון)</w:t>
      </w:r>
      <w:r w:rsidRPr="005C6730">
        <w:rPr>
          <w:rFonts w:asciiTheme="minorBidi" w:hAnsiTheme="minorBidi"/>
          <w:rtl/>
        </w:rPr>
        <w:t xml:space="preserve">. </w:t>
      </w:r>
    </w:p>
  </w:footnote>
  <w:footnote w:id="54">
    <w:p w14:paraId="54E4212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ז"ל הרשב"א </w:t>
      </w:r>
      <w:r w:rsidRPr="005C6730">
        <w:rPr>
          <w:rFonts w:asciiTheme="minorBidi" w:hAnsiTheme="minorBidi"/>
          <w:sz w:val="16"/>
          <w:szCs w:val="16"/>
          <w:rtl/>
        </w:rPr>
        <w:t>(תוה"</w:t>
      </w:r>
      <w:r>
        <w:rPr>
          <w:rFonts w:asciiTheme="minorBidi" w:hAnsiTheme="minorBidi" w:hint="cs"/>
          <w:sz w:val="16"/>
          <w:szCs w:val="16"/>
          <w:rtl/>
        </w:rPr>
        <w:t>ק</w:t>
      </w:r>
      <w:r w:rsidRPr="005C6730">
        <w:rPr>
          <w:rFonts w:asciiTheme="minorBidi" w:hAnsiTheme="minorBidi"/>
          <w:sz w:val="16"/>
          <w:szCs w:val="16"/>
          <w:rtl/>
        </w:rPr>
        <w:t xml:space="preserve"> עא.)</w:t>
      </w:r>
      <w:r w:rsidRPr="005C6730">
        <w:rPr>
          <w:rFonts w:asciiTheme="minorBidi" w:hAnsiTheme="minorBidi"/>
          <w:rtl/>
        </w:rPr>
        <w:t>- כיצד מולחין את הבשר לקדרה נותנין את המלח משני צדדיו מולח והופך ומולח, ומולחו יפה וא</w:t>
      </w:r>
      <w:r>
        <w:rPr>
          <w:rFonts w:asciiTheme="minorBidi" w:hAnsiTheme="minorBidi" w:hint="cs"/>
          <w:rtl/>
        </w:rPr>
        <w:t xml:space="preserve">"צ </w:t>
      </w:r>
      <w:r w:rsidRPr="005C6730">
        <w:rPr>
          <w:rFonts w:asciiTheme="minorBidi" w:hAnsiTheme="minorBidi"/>
          <w:rtl/>
        </w:rPr>
        <w:t>ליתן עליו מלח עד שיכסנו כולו ולעשותו כבנין אלא מולח יפה עד שלא יהא ראוי לאכילה עם אותו המלח עד שיפליט את דמו, ויראה לי שאין צריך למלוח משני צדדין אלא למצוה מן המובחר ובאפשר אבל אם לא מלח אלא מצד א</w:t>
      </w:r>
      <w:r>
        <w:rPr>
          <w:rFonts w:asciiTheme="minorBidi" w:hAnsiTheme="minorBidi" w:hint="cs"/>
          <w:rtl/>
        </w:rPr>
        <w:t>'</w:t>
      </w:r>
      <w:r w:rsidRPr="005C6730">
        <w:rPr>
          <w:rFonts w:asciiTheme="minorBidi" w:hAnsiTheme="minorBidi"/>
          <w:rtl/>
        </w:rPr>
        <w:t xml:space="preserve"> או שלא היה נוח לעשות כמולח תרנגולים או אווזים שא"א שידבק המלח בכל צדדי חלליו אא"כ ביתר אותם בתוך או שמילא חללן במלח כמוליאתא מותר</w:t>
      </w:r>
      <w:r>
        <w:rPr>
          <w:rFonts w:asciiTheme="minorBidi" w:hAnsiTheme="minorBidi" w:hint="cs"/>
          <w:rtl/>
        </w:rPr>
        <w:t>,</w:t>
      </w:r>
      <w:r w:rsidRPr="005C6730">
        <w:rPr>
          <w:rFonts w:asciiTheme="minorBidi" w:hAnsiTheme="minorBidi"/>
          <w:rtl/>
        </w:rPr>
        <w:t xml:space="preserve"> והדין נותן שלא תהא חתיכת בשר דקה חמורה מחתיכה עבה כטפח שזו צריכה מלח </w:t>
      </w:r>
      <w:r>
        <w:rPr>
          <w:rFonts w:asciiTheme="minorBidi" w:hAnsiTheme="minorBidi" w:hint="cs"/>
          <w:rtl/>
        </w:rPr>
        <w:t>ב'</w:t>
      </w:r>
      <w:r w:rsidRPr="005C6730">
        <w:rPr>
          <w:rFonts w:asciiTheme="minorBidi" w:hAnsiTheme="minorBidi"/>
          <w:rtl/>
        </w:rPr>
        <w:t xml:space="preserve"> צדדין לבד אע"פ שיש בעביה טפח ודם שבאמצע חתיכה מי הוציאו ואין לדבר קצבה, עכ"ל. וכעין זה כ' בתשו</w:t>
      </w:r>
      <w:r>
        <w:rPr>
          <w:rFonts w:asciiTheme="minorBidi" w:hAnsiTheme="minorBidi" w:hint="cs"/>
          <w:rtl/>
        </w:rPr>
        <w:t>'</w:t>
      </w:r>
      <w:r w:rsidRPr="005C6730">
        <w:rPr>
          <w:rFonts w:asciiTheme="minorBidi" w:hAnsiTheme="minorBidi"/>
          <w:rtl/>
        </w:rPr>
        <w:t xml:space="preserve"> </w:t>
      </w:r>
      <w:r w:rsidRPr="005C6730">
        <w:rPr>
          <w:rFonts w:asciiTheme="minorBidi" w:hAnsiTheme="minorBidi"/>
          <w:sz w:val="16"/>
          <w:szCs w:val="16"/>
          <w:rtl/>
        </w:rPr>
        <w:t>(ח"א סי</w:t>
      </w:r>
      <w:r>
        <w:rPr>
          <w:rFonts w:asciiTheme="minorBidi" w:hAnsiTheme="minorBidi" w:hint="cs"/>
          <w:sz w:val="16"/>
          <w:szCs w:val="16"/>
          <w:rtl/>
        </w:rPr>
        <w:t>'</w:t>
      </w:r>
      <w:r w:rsidRPr="005C6730">
        <w:rPr>
          <w:rFonts w:asciiTheme="minorBidi" w:hAnsiTheme="minorBidi"/>
          <w:sz w:val="16"/>
          <w:szCs w:val="16"/>
          <w:rtl/>
        </w:rPr>
        <w:t xml:space="preserve"> רסה)</w:t>
      </w:r>
      <w:r w:rsidRPr="005C6730">
        <w:rPr>
          <w:rFonts w:asciiTheme="minorBidi" w:hAnsiTheme="minorBidi"/>
          <w:rtl/>
        </w:rPr>
        <w:t xml:space="preserve">. וכ' הב"י- ונראה מדבריו </w:t>
      </w:r>
      <w:r w:rsidRPr="005C6730">
        <w:rPr>
          <w:rFonts w:asciiTheme="minorBidi" w:hAnsiTheme="minorBidi"/>
          <w:u w:val="single"/>
          <w:rtl/>
        </w:rPr>
        <w:t>דלכתחלה</w:t>
      </w:r>
      <w:r w:rsidRPr="005C6730">
        <w:rPr>
          <w:rFonts w:asciiTheme="minorBidi" w:hAnsiTheme="minorBidi"/>
          <w:rtl/>
        </w:rPr>
        <w:t xml:space="preserve"> צריך למלוח החתיכה משני צדדין, וכ"כ הה"מ </w:t>
      </w:r>
      <w:r w:rsidRPr="005C6730">
        <w:rPr>
          <w:rFonts w:asciiTheme="minorBidi" w:hAnsiTheme="minorBidi"/>
          <w:sz w:val="16"/>
          <w:szCs w:val="16"/>
          <w:rtl/>
        </w:rPr>
        <w:t xml:space="preserve">(פ"ו סוף הי"א) </w:t>
      </w:r>
      <w:r w:rsidRPr="005C6730">
        <w:rPr>
          <w:rFonts w:asciiTheme="minorBidi" w:hAnsiTheme="minorBidi"/>
          <w:rtl/>
        </w:rPr>
        <w:t>בשמו, ותמיהני על רבינו שכתב בשמו שא</w:t>
      </w:r>
      <w:r>
        <w:rPr>
          <w:rFonts w:asciiTheme="minorBidi" w:hAnsiTheme="minorBidi" w:hint="cs"/>
          <w:rtl/>
        </w:rPr>
        <w:t>"</w:t>
      </w:r>
      <w:r w:rsidRPr="005C6730">
        <w:rPr>
          <w:rFonts w:asciiTheme="minorBidi" w:hAnsiTheme="minorBidi"/>
          <w:rtl/>
        </w:rPr>
        <w:t>צ דמשמע דלכתח</w:t>
      </w:r>
      <w:r>
        <w:rPr>
          <w:rFonts w:asciiTheme="minorBidi" w:hAnsiTheme="minorBidi" w:hint="cs"/>
          <w:rtl/>
        </w:rPr>
        <w:t>'</w:t>
      </w:r>
      <w:r w:rsidRPr="005C6730">
        <w:rPr>
          <w:rFonts w:asciiTheme="minorBidi" w:hAnsiTheme="minorBidi"/>
          <w:rtl/>
        </w:rPr>
        <w:t xml:space="preserve"> נמי לא, וליתא.</w:t>
      </w:r>
    </w:p>
  </w:footnote>
  <w:footnote w:id="55">
    <w:p w14:paraId="4ED87E3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רשב"א </w:t>
      </w:r>
      <w:r w:rsidRPr="005C6730">
        <w:rPr>
          <w:rFonts w:asciiTheme="minorBidi" w:hAnsiTheme="minorBidi"/>
          <w:sz w:val="16"/>
          <w:szCs w:val="16"/>
          <w:rtl/>
        </w:rPr>
        <w:t>(תוה"ב קצר עא.)</w:t>
      </w:r>
      <w:r w:rsidRPr="005C6730">
        <w:rPr>
          <w:rFonts w:asciiTheme="minorBidi" w:hAnsiTheme="minorBidi"/>
          <w:rtl/>
        </w:rPr>
        <w:t xml:space="preserve"> רא"ש </w:t>
      </w:r>
      <w:r w:rsidRPr="005C6730">
        <w:rPr>
          <w:rFonts w:asciiTheme="minorBidi" w:hAnsiTheme="minorBidi"/>
          <w:sz w:val="16"/>
          <w:szCs w:val="16"/>
          <w:rtl/>
        </w:rPr>
        <w:t>(</w:t>
      </w:r>
      <w:r w:rsidRPr="005C6730">
        <w:rPr>
          <w:rFonts w:asciiTheme="minorBidi" w:hAnsiTheme="minorBidi"/>
          <w:sz w:val="14"/>
          <w:szCs w:val="14"/>
          <w:rtl/>
        </w:rPr>
        <w:t>[פכ"ה סי' מג ומד]</w:t>
      </w:r>
      <w:r w:rsidRPr="005C6730">
        <w:rPr>
          <w:rFonts w:asciiTheme="minorBidi" w:hAnsiTheme="minorBidi"/>
          <w:sz w:val="16"/>
          <w:szCs w:val="16"/>
          <w:rtl/>
        </w:rPr>
        <w:t xml:space="preserve"> להב' הב"י) </w:t>
      </w:r>
      <w:r w:rsidRPr="005C6730">
        <w:rPr>
          <w:rFonts w:asciiTheme="minorBidi" w:hAnsiTheme="minorBidi"/>
          <w:rtl/>
        </w:rPr>
        <w:t xml:space="preserve">ור"ן </w:t>
      </w:r>
      <w:r w:rsidRPr="005C6730">
        <w:rPr>
          <w:rFonts w:asciiTheme="minorBidi" w:hAnsiTheme="minorBidi"/>
          <w:sz w:val="16"/>
          <w:szCs w:val="16"/>
          <w:rtl/>
        </w:rPr>
        <w:t>(</w:t>
      </w:r>
      <w:r w:rsidRPr="005C6730">
        <w:rPr>
          <w:rFonts w:asciiTheme="minorBidi" w:hAnsiTheme="minorBidi"/>
          <w:sz w:val="14"/>
          <w:szCs w:val="14"/>
          <w:rtl/>
        </w:rPr>
        <w:t>[מב. ד"ה אין הבשר]</w:t>
      </w:r>
      <w:r w:rsidRPr="005C6730">
        <w:rPr>
          <w:rFonts w:asciiTheme="minorBidi" w:hAnsiTheme="minorBidi"/>
          <w:sz w:val="16"/>
          <w:szCs w:val="16"/>
          <w:rtl/>
        </w:rPr>
        <w:t xml:space="preserve"> להב' הדרכ"מ [בארוך סע' ד אות ה])</w:t>
      </w:r>
      <w:r w:rsidRPr="005C6730">
        <w:rPr>
          <w:rFonts w:asciiTheme="minorBidi" w:hAnsiTheme="minorBidi"/>
          <w:rtl/>
        </w:rPr>
        <w:t>.</w:t>
      </w:r>
    </w:p>
  </w:footnote>
  <w:footnote w:id="56">
    <w:p w14:paraId="626F659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בסה"ת</w:t>
      </w:r>
      <w:r w:rsidRPr="005C6730">
        <w:rPr>
          <w:rFonts w:asciiTheme="minorBidi" w:hAnsiTheme="minorBidi"/>
          <w:sz w:val="16"/>
          <w:szCs w:val="16"/>
          <w:rtl/>
        </w:rPr>
        <w:t xml:space="preserve"> (סי' סב)</w:t>
      </w:r>
      <w:r w:rsidRPr="005C6730">
        <w:rPr>
          <w:rFonts w:asciiTheme="minorBidi" w:hAnsiTheme="minorBidi"/>
          <w:rtl/>
        </w:rPr>
        <w:t xml:space="preserve"> כ'- צריך למלוח הבשר </w:t>
      </w:r>
      <w:r w:rsidRPr="005C6730">
        <w:rPr>
          <w:rFonts w:asciiTheme="minorBidi" w:hAnsiTheme="minorBidi"/>
          <w:u w:val="single"/>
          <w:rtl/>
        </w:rPr>
        <w:t>מכל</w:t>
      </w:r>
      <w:r w:rsidRPr="005C6730">
        <w:rPr>
          <w:rFonts w:asciiTheme="minorBidi" w:hAnsiTheme="minorBidi"/>
          <w:rtl/>
        </w:rPr>
        <w:t xml:space="preserve"> הצדדין, עכ"ל. וצל"ע אם היינו הך.</w:t>
      </w:r>
    </w:p>
  </w:footnote>
  <w:footnote w:id="57">
    <w:p w14:paraId="6699289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אפילו לא נתבשלה עדיין, שרי, הואיל וכבר נמלחה מצד אחד די בכך אלא שלכתחלה מולחים משני צדדים למצוה מן המובחר, דרכ"מ </w:t>
      </w:r>
      <w:r w:rsidRPr="005C6730">
        <w:rPr>
          <w:rFonts w:asciiTheme="minorBidi" w:hAnsiTheme="minorBidi"/>
          <w:sz w:val="16"/>
          <w:szCs w:val="16"/>
          <w:rtl/>
        </w:rPr>
        <w:t xml:space="preserve">(אות ו) </w:t>
      </w:r>
      <w:r w:rsidRPr="005C6730">
        <w:rPr>
          <w:rFonts w:asciiTheme="minorBidi" w:hAnsiTheme="minorBidi"/>
          <w:rtl/>
        </w:rPr>
        <w:t>בהבנת דברי הב"י בדעת הר"ן והמתירין.</w:t>
      </w:r>
    </w:p>
  </w:footnote>
  <w:footnote w:id="58">
    <w:p w14:paraId="1CB842A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הביאו הסמ"ג (לאוין קלז מז סוע"ג).</w:t>
      </w:r>
    </w:p>
  </w:footnote>
  <w:footnote w:id="59">
    <w:p w14:paraId="63E1501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דראבי"ה גורס בההיא דהקומץ רבה (מנחות כא.) יכול תבונהו ת"ל תמלח כיצד עושה מביא את האבר ונותן עליו מלח והופכו ונותן עליו מלח ומעלהו אמר אביי וכן לצלי כלומר אבל לקדרה אין די במליחה זו כי צריך לשפשף בידיו שיבלע בו המלח.</w:t>
      </w:r>
    </w:p>
  </w:footnote>
  <w:footnote w:id="60">
    <w:p w14:paraId="55CB4DC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רשב"א </w:t>
      </w:r>
      <w:r w:rsidRPr="005C6730">
        <w:rPr>
          <w:rFonts w:asciiTheme="minorBidi" w:hAnsiTheme="minorBidi"/>
          <w:sz w:val="16"/>
          <w:szCs w:val="16"/>
          <w:rtl/>
        </w:rPr>
        <w:t xml:space="preserve">(תוה"ב קצר עא.) </w:t>
      </w:r>
      <w:r w:rsidRPr="005C6730">
        <w:rPr>
          <w:rFonts w:asciiTheme="minorBidi" w:hAnsiTheme="minorBidi"/>
          <w:rtl/>
        </w:rPr>
        <w:t xml:space="preserve">רא"ש </w:t>
      </w:r>
      <w:r w:rsidRPr="005C6730">
        <w:rPr>
          <w:rFonts w:asciiTheme="minorBidi" w:hAnsiTheme="minorBidi"/>
          <w:sz w:val="16"/>
          <w:szCs w:val="16"/>
          <w:rtl/>
        </w:rPr>
        <w:t>(</w:t>
      </w:r>
      <w:r w:rsidRPr="005C6730">
        <w:rPr>
          <w:rFonts w:asciiTheme="minorBidi" w:hAnsiTheme="minorBidi"/>
          <w:sz w:val="14"/>
          <w:szCs w:val="14"/>
          <w:rtl/>
        </w:rPr>
        <w:t>[פכ"ה סי' מג ומד]</w:t>
      </w:r>
      <w:r w:rsidRPr="005C6730">
        <w:rPr>
          <w:rFonts w:asciiTheme="minorBidi" w:hAnsiTheme="minorBidi"/>
          <w:sz w:val="16"/>
          <w:szCs w:val="16"/>
          <w:rtl/>
        </w:rPr>
        <w:t xml:space="preserve"> להב' הב"י) </w:t>
      </w:r>
      <w:r w:rsidRPr="005C6730">
        <w:rPr>
          <w:rFonts w:asciiTheme="minorBidi" w:hAnsiTheme="minorBidi"/>
          <w:rtl/>
        </w:rPr>
        <w:t xml:space="preserve">ור"ן </w:t>
      </w:r>
      <w:r w:rsidRPr="005C6730">
        <w:rPr>
          <w:rFonts w:asciiTheme="minorBidi" w:hAnsiTheme="minorBidi"/>
          <w:sz w:val="16"/>
          <w:szCs w:val="16"/>
          <w:rtl/>
        </w:rPr>
        <w:t>(</w:t>
      </w:r>
      <w:r w:rsidRPr="005C6730">
        <w:rPr>
          <w:rFonts w:asciiTheme="minorBidi" w:hAnsiTheme="minorBidi"/>
          <w:sz w:val="14"/>
          <w:szCs w:val="14"/>
          <w:rtl/>
        </w:rPr>
        <w:t>[מב. ד"ה אין הבשר]</w:t>
      </w:r>
      <w:r w:rsidRPr="005C6730">
        <w:rPr>
          <w:rFonts w:asciiTheme="minorBidi" w:hAnsiTheme="minorBidi"/>
          <w:sz w:val="16"/>
          <w:szCs w:val="16"/>
          <w:rtl/>
        </w:rPr>
        <w:t xml:space="preserve"> להב' הדרכ"מ [בארוך סע' ד אות ה])</w:t>
      </w:r>
      <w:r w:rsidRPr="005C6730">
        <w:rPr>
          <w:rFonts w:asciiTheme="minorBidi" w:hAnsiTheme="minorBidi"/>
          <w:rtl/>
        </w:rPr>
        <w:t xml:space="preserve">. המרדכי </w:t>
      </w:r>
      <w:r w:rsidRPr="005C6730">
        <w:rPr>
          <w:rFonts w:asciiTheme="minorBidi" w:hAnsiTheme="minorBidi"/>
          <w:sz w:val="16"/>
          <w:szCs w:val="16"/>
          <w:rtl/>
        </w:rPr>
        <w:t>(תשכ)</w:t>
      </w:r>
      <w:r w:rsidRPr="005C6730">
        <w:rPr>
          <w:rFonts w:asciiTheme="minorBidi" w:hAnsiTheme="minorBidi"/>
          <w:rtl/>
        </w:rPr>
        <w:t xml:space="preserve"> הביא את הרוקח </w:t>
      </w:r>
      <w:r w:rsidRPr="005C6730">
        <w:rPr>
          <w:rFonts w:asciiTheme="minorBidi" w:hAnsiTheme="minorBidi"/>
          <w:sz w:val="16"/>
          <w:szCs w:val="16"/>
          <w:rtl/>
        </w:rPr>
        <w:t>סי' (תטו ותכח)</w:t>
      </w:r>
      <w:r w:rsidRPr="005C6730">
        <w:rPr>
          <w:rFonts w:asciiTheme="minorBidi" w:hAnsiTheme="minorBidi"/>
          <w:rtl/>
        </w:rPr>
        <w:t xml:space="preserve"> שכ' שה"ר שמואל וה"ר שמריה מכשירים בעוף שנמלח מבפנים ולא מבחוץ כי מה לי מליחת עוף מבחוץ למליחתו מבפנים, וכ' הדרכ"מ (ארוך סע' ד אות ה) דהיינו כדעת הרשב"א.</w:t>
      </w:r>
    </w:p>
  </w:footnote>
  <w:footnote w:id="61">
    <w:p w14:paraId="73731AE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דאע"ג דדבריו </w:t>
      </w:r>
      <w:r w:rsidRPr="005C6730">
        <w:rPr>
          <w:rFonts w:asciiTheme="minorBidi" w:hAnsiTheme="minorBidi"/>
          <w:sz w:val="16"/>
          <w:szCs w:val="16"/>
          <w:rtl/>
        </w:rPr>
        <w:t>(של הרשב"א [לשונו הובאה לעיל])</w:t>
      </w:r>
      <w:r w:rsidRPr="005C6730">
        <w:rPr>
          <w:rFonts w:asciiTheme="minorBidi" w:hAnsiTheme="minorBidi"/>
          <w:rtl/>
        </w:rPr>
        <w:t xml:space="preserve"> מטין לומר דלכתחלה נמי אין צריך למלחן בפנים, וכ"כ רי"ו</w:t>
      </w:r>
      <w:r w:rsidRPr="005C6730">
        <w:rPr>
          <w:rFonts w:asciiTheme="minorBidi" w:hAnsiTheme="minorBidi"/>
          <w:sz w:val="16"/>
          <w:szCs w:val="16"/>
          <w:rtl/>
        </w:rPr>
        <w:t xml:space="preserve"> (שם)</w:t>
      </w:r>
      <w:r w:rsidRPr="005C6730">
        <w:rPr>
          <w:rFonts w:asciiTheme="minorBidi" w:hAnsiTheme="minorBidi"/>
          <w:rtl/>
        </w:rPr>
        <w:t xml:space="preserve"> בשמו, אבל הר"ן </w:t>
      </w:r>
      <w:r w:rsidRPr="005C6730">
        <w:rPr>
          <w:rFonts w:asciiTheme="minorBidi" w:hAnsiTheme="minorBidi"/>
          <w:sz w:val="16"/>
          <w:szCs w:val="16"/>
          <w:rtl/>
        </w:rPr>
        <w:t xml:space="preserve">(בפרק ג"ה ל:) </w:t>
      </w:r>
      <w:r w:rsidRPr="005C6730">
        <w:rPr>
          <w:rFonts w:asciiTheme="minorBidi" w:hAnsiTheme="minorBidi"/>
          <w:rtl/>
        </w:rPr>
        <w:t xml:space="preserve">אהא דאמר רב יהודה אמר שמואל חוטי היד אסורים משום דם כתב דינים אלו כדעת הרשב"א וכתב דגדי ותרנגולת צריך למלחן מבפנים </w:t>
      </w:r>
      <w:r w:rsidRPr="005C6730">
        <w:rPr>
          <w:rFonts w:asciiTheme="minorBidi" w:hAnsiTheme="minorBidi"/>
          <w:color w:val="000000" w:themeColor="text1"/>
          <w:rtl/>
        </w:rPr>
        <w:t>לכתחלה, וכן מבואר בתוה"ב הארוך (שם עג.) שסיים וכתב ומיהו לתת מלח לתוך תרנגולים ואווזים שפיר דמי אע"פ שאין המלח נאחז למעלה בצלעות כשאתה משכיבן על צידן השני</w:t>
      </w:r>
      <w:r w:rsidRPr="005C6730">
        <w:rPr>
          <w:rFonts w:asciiTheme="minorBidi" w:hAnsiTheme="minorBidi"/>
          <w:rtl/>
        </w:rPr>
        <w:t>.</w:t>
      </w:r>
    </w:p>
  </w:footnote>
  <w:footnote w:id="62">
    <w:p w14:paraId="21DB69A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w:t>
      </w:r>
      <w:r w:rsidRPr="005C6730">
        <w:rPr>
          <w:rFonts w:asciiTheme="minorBidi" w:hAnsiTheme="minorBidi"/>
          <w:color w:val="FF0000"/>
          <w:sz w:val="16"/>
          <w:szCs w:val="16"/>
          <w:rtl/>
        </w:rPr>
        <w:t xml:space="preserve">צל"ע, משום שאחרי שהב"י כ' שהרא"ש מודה לרשב"א ושהכי נקטינן להלכה כ' הדרכ"מ </w:t>
      </w:r>
      <w:r w:rsidRPr="005C6730">
        <w:rPr>
          <w:rFonts w:asciiTheme="minorBidi" w:hAnsiTheme="minorBidi"/>
          <w:color w:val="FF0000"/>
          <w:sz w:val="12"/>
          <w:szCs w:val="12"/>
          <w:rtl/>
        </w:rPr>
        <w:t xml:space="preserve">(אות ו) </w:t>
      </w:r>
      <w:r w:rsidRPr="005C6730">
        <w:rPr>
          <w:rFonts w:asciiTheme="minorBidi" w:hAnsiTheme="minorBidi"/>
          <w:color w:val="FF0000"/>
          <w:sz w:val="16"/>
          <w:szCs w:val="16"/>
          <w:rtl/>
        </w:rPr>
        <w:t>שב</w:t>
      </w:r>
      <w:r>
        <w:rPr>
          <w:rFonts w:asciiTheme="minorBidi" w:hAnsiTheme="minorBidi"/>
          <w:color w:val="FF0000"/>
          <w:sz w:val="16"/>
          <w:szCs w:val="16"/>
          <w:rtl/>
        </w:rPr>
        <w:t>או"ה</w:t>
      </w:r>
      <w:r w:rsidRPr="005C6730">
        <w:rPr>
          <w:rFonts w:asciiTheme="minorBidi" w:hAnsiTheme="minorBidi"/>
          <w:color w:val="FF0000"/>
          <w:sz w:val="16"/>
          <w:szCs w:val="16"/>
          <w:rtl/>
        </w:rPr>
        <w:t xml:space="preserve"> כלל א"ב פסק כדברי ב"י דבדיעבד שרי, וצל"ע שהרי באו"ה אוסר אפי' בדיעבד, וכ"כ הדרכ"מ מיד בסמוך ודבריו כמו סותרים זא"ז, ועוד שבאו"ה לא התיר אלא לעניין כמות המלח שכ' וז"ל- ומיהו אם אין המלח מכסהו בכ"מ מותר בדיעבד כרשב"א רק שלא יהא הבשר ראוי לאכול עם אותו המלח, עכ"ל. ואולי חסר כאן מלל וכוונת הדרכ"מ גם לעניין כמות המלח. וכ' החידושי הגהות </w:t>
      </w:r>
      <w:r w:rsidRPr="005C6730">
        <w:rPr>
          <w:rFonts w:asciiTheme="minorBidi" w:hAnsiTheme="minorBidi"/>
          <w:color w:val="FF0000"/>
          <w:sz w:val="12"/>
          <w:szCs w:val="12"/>
          <w:rtl/>
        </w:rPr>
        <w:t xml:space="preserve">(אות א, על הדרכ"מ ארוך סע' ד אות ה) </w:t>
      </w:r>
      <w:r w:rsidRPr="005C6730">
        <w:rPr>
          <w:rFonts w:asciiTheme="minorBidi" w:hAnsiTheme="minorBidi"/>
          <w:color w:val="FF0000"/>
          <w:sz w:val="16"/>
          <w:szCs w:val="16"/>
          <w:rtl/>
        </w:rPr>
        <w:t xml:space="preserve">דהכי מבואר בתורת חטאת </w:t>
      </w:r>
      <w:r w:rsidRPr="005C6730">
        <w:rPr>
          <w:rFonts w:asciiTheme="minorBidi" w:hAnsiTheme="minorBidi"/>
          <w:color w:val="FF0000"/>
          <w:sz w:val="12"/>
          <w:szCs w:val="12"/>
          <w:rtl/>
        </w:rPr>
        <w:t>(שכ' הדרכ"מ עצמו)</w:t>
      </w:r>
      <w:r w:rsidRPr="005C6730">
        <w:rPr>
          <w:rFonts w:asciiTheme="minorBidi" w:hAnsiTheme="minorBidi"/>
          <w:color w:val="FF0000"/>
          <w:sz w:val="16"/>
          <w:szCs w:val="16"/>
          <w:rtl/>
        </w:rPr>
        <w:t>.</w:t>
      </w:r>
    </w:p>
  </w:footnote>
  <w:footnote w:id="63">
    <w:p w14:paraId="7970265E" w14:textId="77777777" w:rsidR="004C5A3C" w:rsidRDefault="004C5A3C" w:rsidP="002C39F4">
      <w:pPr>
        <w:pStyle w:val="a5"/>
        <w:rPr>
          <w:rtl/>
        </w:rPr>
      </w:pPr>
      <w:r>
        <w:rPr>
          <w:rStyle w:val="a7"/>
        </w:rPr>
        <w:footnoteRef/>
      </w:r>
      <w:r>
        <w:rPr>
          <w:rtl/>
        </w:rPr>
        <w:t xml:space="preserve"> </w:t>
      </w:r>
      <w:r w:rsidRPr="009C3C42">
        <w:rPr>
          <w:rtl/>
        </w:rPr>
        <w:t>ה"ר אביגדור (</w:t>
      </w:r>
      <w:r w:rsidRPr="009C3C42">
        <w:rPr>
          <w:rFonts w:hint="cs"/>
          <w:rtl/>
        </w:rPr>
        <w:t>כ"כ</w:t>
      </w:r>
      <w:r w:rsidRPr="009C3C42">
        <w:rPr>
          <w:rtl/>
        </w:rPr>
        <w:t xml:space="preserve"> המרדכי [</w:t>
      </w:r>
      <w:r w:rsidRPr="009C3C42">
        <w:rPr>
          <w:rFonts w:hint="cs"/>
          <w:rtl/>
        </w:rPr>
        <w:t xml:space="preserve">סי' </w:t>
      </w:r>
      <w:r w:rsidRPr="009C3C42">
        <w:rPr>
          <w:rtl/>
        </w:rPr>
        <w:t>תשכ]</w:t>
      </w:r>
      <w:r w:rsidRPr="009C3C42">
        <w:rPr>
          <w:rFonts w:hint="cs"/>
          <w:rtl/>
        </w:rPr>
        <w:t xml:space="preserve"> בשמו</w:t>
      </w:r>
      <w:r w:rsidRPr="009C3C42">
        <w:rPr>
          <w:rtl/>
        </w:rPr>
        <w:t>)</w:t>
      </w:r>
      <w:r w:rsidRPr="009C3C42">
        <w:rPr>
          <w:rFonts w:hint="cs"/>
          <w:rtl/>
        </w:rPr>
        <w:t xml:space="preserve"> ומהרא"י </w:t>
      </w:r>
      <w:r w:rsidRPr="009C3C42">
        <w:rPr>
          <w:rtl/>
        </w:rPr>
        <w:t>(הגשע"ד סי' טו סק"ה ד"ה ומרדכי)</w:t>
      </w:r>
      <w:r>
        <w:rPr>
          <w:rFonts w:hint="cs"/>
          <w:rtl/>
        </w:rPr>
        <w:t>.</w:t>
      </w:r>
    </w:p>
  </w:footnote>
  <w:footnote w:id="64">
    <w:p w14:paraId="5E7CDF0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בחתיכה שנמלחה רק מצד א' וכן בתרנגולת שנמלחה רק מבחוץ/מבפנים.</w:t>
      </w:r>
    </w:p>
  </w:footnote>
  <w:footnote w:id="65">
    <w:p w14:paraId="77850B8C" w14:textId="77777777" w:rsidR="004C5A3C" w:rsidRDefault="004C5A3C" w:rsidP="002C39F4">
      <w:pPr>
        <w:pStyle w:val="a5"/>
        <w:rPr>
          <w:rtl/>
        </w:rPr>
      </w:pPr>
      <w:r>
        <w:rPr>
          <w:rStyle w:val="a7"/>
        </w:rPr>
        <w:footnoteRef/>
      </w:r>
      <w:r>
        <w:rPr>
          <w:rtl/>
        </w:rPr>
        <w:t xml:space="preserve"> </w:t>
      </w:r>
      <w:r w:rsidRPr="009C3C42">
        <w:rPr>
          <w:rtl/>
        </w:rPr>
        <w:t xml:space="preserve">רבינו יהודה (כ"כ המרדכי [סי' תשכ] בשמו) </w:t>
      </w:r>
      <w:r w:rsidRPr="009C3C42">
        <w:rPr>
          <w:rFonts w:hint="cs"/>
          <w:rtl/>
        </w:rPr>
        <w:t>ו</w:t>
      </w:r>
      <w:r w:rsidRPr="009C3C42">
        <w:rPr>
          <w:rtl/>
        </w:rPr>
        <w:t>או"ה (כלל ז דין ה)</w:t>
      </w:r>
      <w:r>
        <w:rPr>
          <w:rFonts w:hint="cs"/>
          <w:rtl/>
        </w:rPr>
        <w:t>.</w:t>
      </w:r>
    </w:p>
  </w:footnote>
  <w:footnote w:id="66">
    <w:p w14:paraId="4618EB4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וגם הרוקח הבין מדברי הר"ר אביגדור </w:t>
      </w:r>
      <w:r w:rsidRPr="005C6730">
        <w:rPr>
          <w:rFonts w:asciiTheme="minorBidi" w:hAnsiTheme="minorBidi"/>
          <w:sz w:val="16"/>
          <w:szCs w:val="16"/>
          <w:rtl/>
        </w:rPr>
        <w:t>(הביאו המרדכי תשיט)</w:t>
      </w:r>
      <w:r w:rsidRPr="005C6730">
        <w:rPr>
          <w:rFonts w:asciiTheme="minorBidi" w:hAnsiTheme="minorBidi"/>
          <w:rtl/>
        </w:rPr>
        <w:t xml:space="preserve"> שאם מלח מצד אחד יכול לחזור ולמולחו מצד שני.</w:t>
      </w:r>
    </w:p>
  </w:footnote>
  <w:footnote w:id="67">
    <w:p w14:paraId="4507C31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ר"ת </w:t>
      </w:r>
      <w:r w:rsidRPr="005C6730">
        <w:rPr>
          <w:rFonts w:asciiTheme="minorBidi" w:hAnsiTheme="minorBidi"/>
          <w:sz w:val="16"/>
          <w:szCs w:val="16"/>
          <w:rtl/>
        </w:rPr>
        <w:t xml:space="preserve">(תוס' קיב. ד"ה הני) </w:t>
      </w:r>
      <w:r w:rsidRPr="005C6730">
        <w:rPr>
          <w:rFonts w:asciiTheme="minorBidi" w:hAnsiTheme="minorBidi"/>
          <w:rtl/>
        </w:rPr>
        <w:t>סה"ת</w:t>
      </w:r>
      <w:r w:rsidRPr="005C6730">
        <w:rPr>
          <w:rFonts w:asciiTheme="minorBidi" w:hAnsiTheme="minorBidi"/>
          <w:sz w:val="16"/>
          <w:szCs w:val="16"/>
          <w:rtl/>
        </w:rPr>
        <w:t xml:space="preserve"> (סי' סב)</w:t>
      </w:r>
      <w:r w:rsidRPr="005C6730">
        <w:rPr>
          <w:rFonts w:asciiTheme="minorBidi" w:hAnsiTheme="minorBidi"/>
          <w:rtl/>
        </w:rPr>
        <w:t xml:space="preserve"> מרדכי </w:t>
      </w:r>
      <w:r w:rsidRPr="005C6730">
        <w:rPr>
          <w:rFonts w:asciiTheme="minorBidi" w:hAnsiTheme="minorBidi"/>
          <w:sz w:val="16"/>
          <w:szCs w:val="16"/>
          <w:rtl/>
        </w:rPr>
        <w:t>(סי' תשיט)</w:t>
      </w:r>
      <w:r w:rsidRPr="005C6730">
        <w:rPr>
          <w:rFonts w:asciiTheme="minorBidi" w:hAnsiTheme="minorBidi"/>
          <w:rtl/>
        </w:rPr>
        <w:t xml:space="preserve"> ורשב"א</w:t>
      </w:r>
      <w:r w:rsidRPr="005C6730">
        <w:rPr>
          <w:rFonts w:asciiTheme="minorBidi" w:hAnsiTheme="minorBidi"/>
          <w:sz w:val="16"/>
          <w:szCs w:val="16"/>
          <w:rtl/>
        </w:rPr>
        <w:t xml:space="preserve"> (כ"כ הטור בשמו)</w:t>
      </w:r>
      <w:r w:rsidRPr="005C6730">
        <w:rPr>
          <w:rFonts w:asciiTheme="minorBidi" w:hAnsiTheme="minorBidi"/>
          <w:rtl/>
        </w:rPr>
        <w:t>.</w:t>
      </w:r>
    </w:p>
  </w:footnote>
  <w:footnote w:id="68">
    <w:p w14:paraId="55D4F6B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ה"ה כל דבר שהוא חלול, כ"כ או"ה, וע"כ יש להזהר בשעה שמתקנים ריאה ע"י מליחה צריך לפתוח קודם מליחה את הקנוקנות שבה, ויש אוסרים, בב"י הביא בשם המרדכי מעשה לפני רבינו יודא שמלח ראש כבש מבחוץ ולא מבפנים והורה שלא למולחה פעם ב' ולא יבשלנה כו', נ"ל פשוט דזה מיירי שכבר חתך הראש לשנים והיה לו למלוח גם מצד פנים כמו כל חתיכה אבל אם הראש לא נבקע מותר אם הוא נמלח בחוץ לחוד כמו שאר חתיכה עבה שא"צ לבקוע אותה בשעת מליחה, וכמ"ש ב"י בסי' ע"א דצריך לנקוב את העצם משום המוח וקרומיו שיהיה לו מקום לדם שבהם לצאת כמ"ש שם רמ"א, ט"ז (סקי"ג).</w:t>
      </w:r>
    </w:p>
  </w:footnote>
  <w:footnote w:id="69">
    <w:p w14:paraId="6609B9B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וכן אם נמלחה משני צדדין אלא דלא נתפשט המלח בכל מקום דמותר, ומיהו תרנגולת שלא נמלחה אלא מצד אחד לכולי עלמא אסורה שהרי החלל מפסיק, וזה ברור, פר"ח (סקכ"א).</w:t>
      </w:r>
    </w:p>
  </w:footnote>
  <w:footnote w:id="70">
    <w:p w14:paraId="1E27CA7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קאי נמי ארישא שאף בדיעבד צריך שלא ישאר מקום מבלי מלח, כדמוכח בת"ח שם סוף דין ז' </w:t>
      </w:r>
      <w:r w:rsidRPr="005C6730">
        <w:rPr>
          <w:rFonts w:asciiTheme="minorBidi" w:hAnsiTheme="minorBidi"/>
          <w:color w:val="000000" w:themeColor="text1"/>
          <w:rtl/>
        </w:rPr>
        <w:t>ע"ש ודוק, וגם דברי מהרש"ל פכ"ה שם נראין כן... אכן הב"ח פסק לחלק בכך וראייתו מאו"ה נכונה וכן נוהגין העולם שאין מדקדקין בכך, ש</w:t>
      </w:r>
      <w:r w:rsidRPr="005C6730">
        <w:rPr>
          <w:rFonts w:asciiTheme="minorBidi" w:hAnsiTheme="minorBidi"/>
          <w:rtl/>
        </w:rPr>
        <w:t>"ך (סק"כ). ועי' בשו"ת רב משולם (סי' ו, הביאו הפת"ש סקי"א) דאין חילוק בין אם צד הנמלח למעלה או אם הוא למטה, דודאי המלח מוצץ הדם ומושכו אל המקום אשר הוא שם בין מלמטה למעלה ובין מלמעלה למטה.</w:t>
      </w:r>
    </w:p>
  </w:footnote>
  <w:footnote w:id="71">
    <w:p w14:paraId="778F67F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אבל בהפסד מרובה מותר מצד אחד, ונראה פשוט דכ"ש אם נמלח מב' צדדים אלא דלא נתפשט המלח בכ"מ דמותר, שהרי באו"ה כלל א' כתב בזה להתיר בדיעבד ובכלל ז' פסק לאיסור בלא נמלח משני צדדים, וכן בדברי רש"ל פ' כ"ה סי' פ"ג משמע דזה קיל יותר, ע"כ נראה דבלא נמלח בכל מקום מותר דיעבד אפי' בלא הפסד מרובה, ט"ז (סקי"ד).</w:t>
      </w:r>
    </w:p>
  </w:footnote>
  <w:footnote w:id="72">
    <w:p w14:paraId="53951B3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הא דאסור בדיעבד ואין לו תקנה דוקא אם נתבשל כך כו', וכן מוכח בת"ח שם, ש"ך (סקכ"א). </w:t>
      </w:r>
    </w:p>
  </w:footnote>
  <w:footnote w:id="73">
    <w:p w14:paraId="1A410F5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וקשה שהרי בס"ס ע' כתב הרמ"א דבהפסד מרובה י"ל שפולט ציר עד יום שלם, ונראה שהרמ"א מחלק בין הכא להתם משום דכאן לא שייך הפסד מרובה כיון דיש היתר בצלי, ע"פ ט"ז (סקט"ו) וש"ך (סקכ"א), ומ"מ כ' הש"ך שדוחק לחלק דשאני הכא כיון דאפשר בצלי, אלא יש להקל במקום צורך דהיינו במקום הפסד מרובה וכה"ג שיחזור וימלח צד השני תוך מעל"ע כמ"ש הר"ב ס"ס ע', וגם הט"ז תמה על הרמ"א דהרי בסי' ע"ה סע"א גבי חלחולת שיש שם שומן דאסור אם נתבשל בלא מליחה אפי' דיעבד אם מלח צד פנימי לחוד ואפ"ה כל שלא נתבשל יש היתר לחזור ולמלוח החיצון ואפי' אחר י"ב שעות והטעם שאין מוחזק כ"כ בדם, וכאן יש סברא טפי שאינו מוחזק צד שלא נמלח בדם שהרי בדיעבד מותר במקום הפסד ואמאי פסק כאן דוקא תוך י"ב שעות, ומהרא"י דחילק כאן בין י"ב שעות הוא ס"ל בכל גווני אסור כאן בדיעבד, ע"כ נראה להלכה כיון דכאן יש קולא בלאו הכי בדיעבד יש להתיר אפי' אחר י"ב שעות כמו בחלחולת.</w:t>
      </w:r>
      <w:r>
        <w:rPr>
          <w:rFonts w:asciiTheme="minorBidi" w:hAnsiTheme="minorBidi" w:hint="cs"/>
          <w:rtl/>
        </w:rPr>
        <w:t xml:space="preserve"> </w:t>
      </w:r>
    </w:p>
  </w:footnote>
  <w:footnote w:id="74">
    <w:p w14:paraId="4CF5CBE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שאז כיון שפולט עדיין ציר פולט מה שבולע מצד השני, ט"ז (סקט"ו) וש"ך (סקכ"ב). וכתב הב"ח דהיינו דוקא כל שלא הודח הבשר אחר שנמלח מצד א', אבל אם הודח לא מהני תו מליחת צד השני דשמא יבלע הצד שנמלח כבר מן הצד השני ולא שייך ביה כבולעו כך פולטו מאחר שאין לו ציר שהרי נסתמין נקבי הפליטה כמו שכתבתי בסימן ע' עכ"ל, וכ"כ הש"ך (סקכ"ב ובסי' ע' סקכ"ו). אך הט"ז (סקט"ו ובסי' ע' סקט"ז) כ' שדין זה דהדחה סותמת נקבי פליטת הציר היא אינה מוסכמת וכאן הכל מודים דאין לאסור מכח זה כיון שיש היתר בלא"ה במקום הפסד. </w:t>
      </w:r>
    </w:p>
  </w:footnote>
  <w:footnote w:id="75">
    <w:p w14:paraId="0C9C343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ואפילו בולע כבולעו כך פולטו כדלקמן בסי' ע"ג ובכמה דוכתי, ש"ך (סקכ"ג).</w:t>
      </w:r>
    </w:p>
  </w:footnote>
  <w:footnote w:id="76">
    <w:p w14:paraId="5F8BC68B" w14:textId="77777777" w:rsidR="004C5A3C" w:rsidRPr="004B15BC" w:rsidRDefault="004C5A3C" w:rsidP="002C39F4">
      <w:pPr>
        <w:pStyle w:val="a5"/>
      </w:pPr>
      <w:r>
        <w:rPr>
          <w:rStyle w:val="a7"/>
        </w:rPr>
        <w:footnoteRef/>
      </w:r>
      <w:r>
        <w:rPr>
          <w:rtl/>
        </w:rPr>
        <w:t xml:space="preserve"> </w:t>
      </w:r>
      <w:r w:rsidRPr="005C6730">
        <w:rPr>
          <w:rFonts w:asciiTheme="minorBidi" w:hAnsiTheme="minorBidi"/>
          <w:rtl/>
        </w:rPr>
        <w:t>רש"ל</w:t>
      </w:r>
      <w:r w:rsidRPr="005C6730">
        <w:rPr>
          <w:rFonts w:asciiTheme="minorBidi" w:hAnsiTheme="minorBidi"/>
          <w:sz w:val="16"/>
          <w:szCs w:val="16"/>
          <w:rtl/>
        </w:rPr>
        <w:t xml:space="preserve"> </w:t>
      </w:r>
      <w:r>
        <w:rPr>
          <w:rFonts w:asciiTheme="minorBidi" w:hAnsiTheme="minorBidi" w:hint="cs"/>
          <w:sz w:val="16"/>
          <w:szCs w:val="16"/>
          <w:rtl/>
        </w:rPr>
        <w:t>(</w:t>
      </w:r>
      <w:r w:rsidRPr="005C6730">
        <w:rPr>
          <w:rFonts w:asciiTheme="minorBidi" w:hAnsiTheme="minorBidi"/>
          <w:sz w:val="16"/>
          <w:szCs w:val="16"/>
          <w:rtl/>
        </w:rPr>
        <w:t>או"ה ש</w:t>
      </w:r>
      <w:r>
        <w:rPr>
          <w:rFonts w:asciiTheme="minorBidi" w:hAnsiTheme="minorBidi" w:hint="cs"/>
          <w:sz w:val="16"/>
          <w:szCs w:val="16"/>
          <w:rtl/>
        </w:rPr>
        <w:t xml:space="preserve">ער </w:t>
      </w:r>
      <w:r w:rsidRPr="005C6730">
        <w:rPr>
          <w:rFonts w:asciiTheme="minorBidi" w:hAnsiTheme="minorBidi"/>
          <w:sz w:val="16"/>
          <w:szCs w:val="16"/>
          <w:rtl/>
        </w:rPr>
        <w:t>ח</w:t>
      </w:r>
      <w:r>
        <w:rPr>
          <w:rFonts w:asciiTheme="minorBidi" w:hAnsiTheme="minorBidi" w:hint="cs"/>
          <w:sz w:val="16"/>
          <w:szCs w:val="16"/>
          <w:rtl/>
        </w:rPr>
        <w:t>)</w:t>
      </w:r>
      <w:r w:rsidRPr="005C6730">
        <w:rPr>
          <w:rFonts w:asciiTheme="minorBidi" w:hAnsiTheme="minorBidi"/>
          <w:rtl/>
        </w:rPr>
        <w:t xml:space="preserve"> ש"ך </w:t>
      </w:r>
      <w:r>
        <w:rPr>
          <w:rFonts w:asciiTheme="minorBidi" w:hAnsiTheme="minorBidi" w:hint="cs"/>
          <w:sz w:val="16"/>
          <w:szCs w:val="16"/>
          <w:rtl/>
        </w:rPr>
        <w:t>(</w:t>
      </w:r>
      <w:r w:rsidRPr="005C6730">
        <w:rPr>
          <w:rFonts w:asciiTheme="minorBidi" w:hAnsiTheme="minorBidi"/>
          <w:sz w:val="16"/>
          <w:szCs w:val="16"/>
          <w:rtl/>
        </w:rPr>
        <w:t>סקי"ט</w:t>
      </w:r>
      <w:r>
        <w:rPr>
          <w:rFonts w:asciiTheme="minorBidi" w:hAnsiTheme="minorBidi" w:hint="cs"/>
          <w:sz w:val="16"/>
          <w:szCs w:val="16"/>
          <w:rtl/>
        </w:rPr>
        <w:t>)</w:t>
      </w:r>
      <w:r w:rsidRPr="005C6730">
        <w:rPr>
          <w:rFonts w:asciiTheme="minorBidi" w:hAnsiTheme="minorBidi"/>
          <w:rtl/>
        </w:rPr>
        <w:t xml:space="preserve"> ופר"ח </w:t>
      </w:r>
      <w:r>
        <w:rPr>
          <w:rFonts w:asciiTheme="minorBidi" w:hAnsiTheme="minorBidi" w:hint="cs"/>
          <w:sz w:val="16"/>
          <w:szCs w:val="16"/>
          <w:rtl/>
        </w:rPr>
        <w:t>(</w:t>
      </w:r>
      <w:r w:rsidRPr="005C6730">
        <w:rPr>
          <w:rFonts w:asciiTheme="minorBidi" w:hAnsiTheme="minorBidi"/>
          <w:sz w:val="16"/>
          <w:szCs w:val="16"/>
          <w:rtl/>
        </w:rPr>
        <w:t>סק"כ</w:t>
      </w:r>
      <w:r>
        <w:rPr>
          <w:rFonts w:asciiTheme="minorBidi" w:hAnsiTheme="minorBidi" w:hint="cs"/>
          <w:sz w:val="16"/>
          <w:szCs w:val="16"/>
          <w:rtl/>
        </w:rPr>
        <w:t>)</w:t>
      </w:r>
      <w:r>
        <w:rPr>
          <w:rFonts w:asciiTheme="minorBidi" w:hAnsiTheme="minorBidi" w:hint="cs"/>
          <w:rtl/>
        </w:rPr>
        <w:t>.</w:t>
      </w:r>
    </w:p>
  </w:footnote>
  <w:footnote w:id="77">
    <w:p w14:paraId="104CB4E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סי' תשכ. כ"כ מהרש"ל וש"ך בשמו </w:t>
      </w:r>
      <w:r w:rsidRPr="005C6730">
        <w:rPr>
          <w:rFonts w:asciiTheme="minorBidi" w:hAnsiTheme="minorBidi"/>
          <w:color w:val="FF0000"/>
          <w:sz w:val="16"/>
          <w:szCs w:val="16"/>
          <w:rtl/>
        </w:rPr>
        <w:t>(וצל"ע משום שלא מצאתי שכתב כן בפירוש אלא שדבר זה אפשר ללומדו מתוך דברי רבנו שמואל (שהביא הרוקח, הביאו המרדכי שם), אבל לכאורה נראה שגם רבנו שמואל לא אמרו אלא באם תמצי לומר אבל לא שסובר כך להלכה)</w:t>
      </w:r>
      <w:r w:rsidRPr="005C6730">
        <w:rPr>
          <w:rFonts w:asciiTheme="minorBidi" w:hAnsiTheme="minorBidi"/>
          <w:color w:val="FF0000"/>
          <w:rtl/>
        </w:rPr>
        <w:t>.</w:t>
      </w:r>
    </w:p>
  </w:footnote>
  <w:footnote w:id="78">
    <w:p w14:paraId="69C5367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דוקא אחר שנמלחה החתיכה כראוי הוא דא"צ לחזור ולמלוח מקום החתך אבל תוך שיעור מליחה צריך להדיחו שם היטב ולחזור למלחו כמ"ש הר"ב ס"ס כ', ש"ך (סקכ"ד). וכעין זה כתב הט"ז (סקט"ז).</w:t>
      </w:r>
    </w:p>
  </w:footnote>
  <w:footnote w:id="79">
    <w:p w14:paraId="4DC8768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גאונים</w:t>
      </w:r>
      <w:r w:rsidRPr="005C6730">
        <w:rPr>
          <w:rFonts w:asciiTheme="minorBidi" w:hAnsiTheme="minorBidi"/>
          <w:sz w:val="16"/>
          <w:szCs w:val="16"/>
          <w:rtl/>
        </w:rPr>
        <w:t xml:space="preserve"> (כ"כ הרמב"ן בשמם </w:t>
      </w:r>
      <w:r w:rsidRPr="005C6730">
        <w:rPr>
          <w:rFonts w:asciiTheme="minorBidi" w:hAnsiTheme="minorBidi"/>
          <w:sz w:val="14"/>
          <w:szCs w:val="14"/>
          <w:rtl/>
        </w:rPr>
        <w:t>[מהדו' רייכמן חולין קיב. ד"ה ובהלכות]</w:t>
      </w:r>
      <w:r w:rsidRPr="005C6730">
        <w:rPr>
          <w:rFonts w:asciiTheme="minorBidi" w:hAnsiTheme="minorBidi"/>
          <w:sz w:val="16"/>
          <w:szCs w:val="16"/>
          <w:rtl/>
        </w:rPr>
        <w:t xml:space="preserve"> הביאו הה"מ)</w:t>
      </w:r>
      <w:r w:rsidRPr="005C6730">
        <w:rPr>
          <w:rFonts w:asciiTheme="minorBidi" w:hAnsiTheme="minorBidi"/>
          <w:rtl/>
        </w:rPr>
        <w:t xml:space="preserve"> רש"י </w:t>
      </w:r>
      <w:r w:rsidRPr="005C6730">
        <w:rPr>
          <w:rFonts w:asciiTheme="minorBidi" w:hAnsiTheme="minorBidi"/>
          <w:sz w:val="14"/>
          <w:szCs w:val="14"/>
          <w:rtl/>
        </w:rPr>
        <w:t>(ספר האורה ח"ב סי' קנ)</w:t>
      </w:r>
      <w:r w:rsidRPr="005C6730">
        <w:rPr>
          <w:rFonts w:asciiTheme="minorBidi" w:hAnsiTheme="minorBidi"/>
          <w:sz w:val="16"/>
          <w:szCs w:val="16"/>
          <w:rtl/>
        </w:rPr>
        <w:t xml:space="preserve"> </w:t>
      </w:r>
      <w:r w:rsidRPr="005C6730">
        <w:rPr>
          <w:rFonts w:asciiTheme="minorBidi" w:hAnsiTheme="minorBidi"/>
          <w:rtl/>
        </w:rPr>
        <w:t xml:space="preserve">רמב"ם </w:t>
      </w:r>
      <w:r w:rsidRPr="005C6730">
        <w:rPr>
          <w:rFonts w:asciiTheme="minorBidi" w:hAnsiTheme="minorBidi"/>
          <w:sz w:val="14"/>
          <w:szCs w:val="14"/>
          <w:rtl/>
        </w:rPr>
        <w:t>(מאכ"א פ"ו ה"י)</w:t>
      </w:r>
      <w:r w:rsidRPr="005C6730">
        <w:rPr>
          <w:rFonts w:asciiTheme="minorBidi" w:hAnsiTheme="minorBidi"/>
          <w:sz w:val="18"/>
          <w:szCs w:val="18"/>
          <w:rtl/>
        </w:rPr>
        <w:t xml:space="preserve"> </w:t>
      </w:r>
      <w:r w:rsidRPr="005C6730">
        <w:rPr>
          <w:rFonts w:asciiTheme="minorBidi" w:hAnsiTheme="minorBidi"/>
          <w:rtl/>
        </w:rPr>
        <w:t xml:space="preserve">וראבי"ה </w:t>
      </w:r>
      <w:r w:rsidRPr="005C6730">
        <w:rPr>
          <w:rFonts w:asciiTheme="minorBidi" w:hAnsiTheme="minorBidi"/>
          <w:sz w:val="14"/>
          <w:szCs w:val="14"/>
          <w:rtl/>
        </w:rPr>
        <w:t>(סי' אלף צח)</w:t>
      </w:r>
      <w:r w:rsidRPr="005C6730">
        <w:rPr>
          <w:rFonts w:asciiTheme="minorBidi" w:hAnsiTheme="minorBidi"/>
          <w:rtl/>
        </w:rPr>
        <w:t>.</w:t>
      </w:r>
    </w:p>
  </w:footnote>
  <w:footnote w:id="80">
    <w:p w14:paraId="1E783BC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היינו חלק שלישית שעה פחות חלק שלשים מן השעה </w:t>
      </w:r>
      <w:r w:rsidRPr="005C6730">
        <w:rPr>
          <w:rFonts w:asciiTheme="minorBidi" w:hAnsiTheme="minorBidi"/>
          <w:sz w:val="16"/>
          <w:szCs w:val="16"/>
          <w:rtl/>
        </w:rPr>
        <w:t>(כמו שהוכחנו ממהלך אדם בינוני י' פרסאות ביום שהוא י"ב שעות)</w:t>
      </w:r>
      <w:r w:rsidRPr="005C6730">
        <w:rPr>
          <w:rFonts w:asciiTheme="minorBidi" w:hAnsiTheme="minorBidi"/>
          <w:rtl/>
        </w:rPr>
        <w:t xml:space="preserve">, תרוה"ד </w:t>
      </w:r>
      <w:r w:rsidRPr="005C6730">
        <w:rPr>
          <w:rFonts w:asciiTheme="minorBidi" w:hAnsiTheme="minorBidi"/>
          <w:sz w:val="16"/>
          <w:szCs w:val="16"/>
          <w:rtl/>
        </w:rPr>
        <w:t>(סי' קסז)</w:t>
      </w:r>
      <w:r w:rsidRPr="005C6730">
        <w:rPr>
          <w:rFonts w:asciiTheme="minorBidi" w:hAnsiTheme="minorBidi"/>
          <w:rtl/>
        </w:rPr>
        <w:t>.</w:t>
      </w:r>
    </w:p>
  </w:footnote>
  <w:footnote w:id="81">
    <w:p w14:paraId="059A7BF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בה"ג </w:t>
      </w:r>
      <w:r w:rsidRPr="005C6730">
        <w:rPr>
          <w:rFonts w:asciiTheme="minorBidi" w:hAnsiTheme="minorBidi"/>
          <w:sz w:val="16"/>
          <w:szCs w:val="16"/>
          <w:rtl/>
        </w:rPr>
        <w:t xml:space="preserve">(הל' דם סי' סה קלג סע"ב, וכ"כ בשמו התוס' (קיב. ד"ה הני]) </w:t>
      </w:r>
      <w:r w:rsidRPr="005C6730">
        <w:rPr>
          <w:rFonts w:asciiTheme="minorBidi" w:hAnsiTheme="minorBidi"/>
          <w:rtl/>
        </w:rPr>
        <w:t xml:space="preserve">רשב"א </w:t>
      </w:r>
      <w:r w:rsidRPr="005C6730">
        <w:rPr>
          <w:rFonts w:asciiTheme="minorBidi" w:hAnsiTheme="minorBidi"/>
          <w:sz w:val="16"/>
          <w:szCs w:val="16"/>
          <w:rtl/>
        </w:rPr>
        <w:t xml:space="preserve">(תוה"ב ארוך ב"ג ש"ג עג:, קצר עב.) </w:t>
      </w:r>
      <w:r w:rsidRPr="005C6730">
        <w:rPr>
          <w:rFonts w:asciiTheme="minorBidi" w:hAnsiTheme="minorBidi"/>
          <w:rtl/>
        </w:rPr>
        <w:t xml:space="preserve">ורא"ש </w:t>
      </w:r>
      <w:r w:rsidRPr="005C6730">
        <w:rPr>
          <w:rFonts w:asciiTheme="minorBidi" w:hAnsiTheme="minorBidi"/>
          <w:sz w:val="16"/>
          <w:szCs w:val="16"/>
          <w:rtl/>
        </w:rPr>
        <w:t>(פכ"ה סי' לג לח ומד)</w:t>
      </w:r>
      <w:r w:rsidRPr="005C6730">
        <w:rPr>
          <w:rFonts w:asciiTheme="minorBidi" w:hAnsiTheme="minorBidi"/>
          <w:rtl/>
        </w:rPr>
        <w:t>.</w:t>
      </w:r>
    </w:p>
  </w:footnote>
  <w:footnote w:id="82">
    <w:p w14:paraId="129191F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w:t>
      </w:r>
      <w:r>
        <w:rPr>
          <w:rFonts w:asciiTheme="minorBidi" w:hAnsiTheme="minorBidi" w:hint="cs"/>
          <w:rtl/>
        </w:rPr>
        <w:t>וכתבו ה</w:t>
      </w:r>
      <w:r w:rsidRPr="003024E5">
        <w:rPr>
          <w:rFonts w:asciiTheme="minorBidi" w:hAnsiTheme="minorBidi"/>
          <w:rtl/>
        </w:rPr>
        <w:t>או"ז</w:t>
      </w:r>
      <w:r w:rsidRPr="003024E5">
        <w:rPr>
          <w:rFonts w:asciiTheme="minorBidi" w:hAnsiTheme="minorBidi"/>
          <w:sz w:val="16"/>
          <w:szCs w:val="16"/>
          <w:rtl/>
        </w:rPr>
        <w:t xml:space="preserve"> (ח"א סי' תעד)</w:t>
      </w:r>
      <w:r w:rsidRPr="003024E5">
        <w:rPr>
          <w:rFonts w:asciiTheme="minorBidi" w:hAnsiTheme="minorBidi"/>
          <w:rtl/>
        </w:rPr>
        <w:t xml:space="preserve"> הג"א </w:t>
      </w:r>
      <w:r w:rsidRPr="003024E5">
        <w:rPr>
          <w:rFonts w:asciiTheme="minorBidi" w:hAnsiTheme="minorBidi"/>
          <w:sz w:val="16"/>
          <w:szCs w:val="16"/>
          <w:rtl/>
        </w:rPr>
        <w:t xml:space="preserve">(סי' מג) </w:t>
      </w:r>
      <w:r w:rsidRPr="003024E5">
        <w:rPr>
          <w:rFonts w:asciiTheme="minorBidi" w:hAnsiTheme="minorBidi"/>
          <w:rtl/>
        </w:rPr>
        <w:t>ושע"ד</w:t>
      </w:r>
      <w:r w:rsidRPr="003024E5">
        <w:rPr>
          <w:rFonts w:asciiTheme="minorBidi" w:hAnsiTheme="minorBidi"/>
          <w:sz w:val="16"/>
          <w:szCs w:val="16"/>
          <w:rtl/>
        </w:rPr>
        <w:t xml:space="preserve"> (ש"ז סי' יא)</w:t>
      </w:r>
      <w:r w:rsidRPr="003024E5">
        <w:rPr>
          <w:rFonts w:asciiTheme="minorBidi" w:hAnsiTheme="minorBidi"/>
          <w:rtl/>
        </w:rPr>
        <w:t xml:space="preserve"> </w:t>
      </w:r>
      <w:r>
        <w:rPr>
          <w:rFonts w:asciiTheme="minorBidi" w:hAnsiTheme="minorBidi" w:hint="cs"/>
          <w:rtl/>
        </w:rPr>
        <w:t xml:space="preserve">דבעינן </w:t>
      </w:r>
      <w:r w:rsidRPr="004B15BC">
        <w:rPr>
          <w:rFonts w:asciiTheme="minorBidi" w:hAnsiTheme="minorBidi" w:cs="Arial"/>
          <w:rtl/>
        </w:rPr>
        <w:t>כשיעור צליית אותה חתיכה עצמה כפי עוביה וגודלה</w:t>
      </w:r>
      <w:r>
        <w:rPr>
          <w:rFonts w:asciiTheme="minorBidi" w:hAnsiTheme="minorBidi" w:hint="cs"/>
          <w:sz w:val="16"/>
          <w:szCs w:val="16"/>
          <w:rtl/>
        </w:rPr>
        <w:t xml:space="preserve"> (ל' הג"א)</w:t>
      </w:r>
      <w:r w:rsidRPr="003024E5">
        <w:rPr>
          <w:rFonts w:asciiTheme="minorBidi" w:hAnsiTheme="minorBidi"/>
          <w:rtl/>
        </w:rPr>
        <w:t>.</w:t>
      </w:r>
      <w:r>
        <w:rPr>
          <w:rFonts w:asciiTheme="minorBidi" w:hAnsiTheme="minorBidi" w:hint="cs"/>
          <w:rtl/>
        </w:rPr>
        <w:t xml:space="preserve"> </w:t>
      </w:r>
      <w:r w:rsidRPr="005C6730">
        <w:rPr>
          <w:rFonts w:asciiTheme="minorBidi" w:hAnsiTheme="minorBidi"/>
          <w:rtl/>
        </w:rPr>
        <w:t>וטעמא משום דיוצא הדם ע"י מליחה כמו ע"י צלי ולכך חשיב מליח כרותח, ב"י. וכתב ראבי"ה (סי' אלף צח) דלא נהירא סברתם דא"כ נתת דבריך לשיעורים דפעמים שהמדורה גדולה ונמצאת שצולה במהרה.</w:t>
      </w:r>
    </w:p>
  </w:footnote>
  <w:footnote w:id="83">
    <w:p w14:paraId="75985F4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ויש לומר שנהגו העולם כדברי או"ז ושע"ד </w:t>
      </w:r>
      <w:r w:rsidRPr="005C6730">
        <w:rPr>
          <w:rFonts w:asciiTheme="minorBidi" w:hAnsiTheme="minorBidi"/>
          <w:sz w:val="16"/>
          <w:szCs w:val="16"/>
          <w:rtl/>
        </w:rPr>
        <w:t xml:space="preserve">(סי' יא) </w:t>
      </w:r>
      <w:r w:rsidRPr="005C6730">
        <w:rPr>
          <w:rFonts w:asciiTheme="minorBidi" w:hAnsiTheme="minorBidi"/>
          <w:rtl/>
        </w:rPr>
        <w:t>שכתבו דשיעור מליחה כשיעור צליית אותה חתיכה עצמה לפי גדלה ועביה והואיל ואין שיעור זה שוה בכל החתיכות קבעו העולם להם שיעור מוגבל ותפסו שעה לשיעור זה, וסמך לזה מדמשמע בפרק תמיד נשחט (נח.) דאפילו גוף שלם כמו הפסח סגי בשעה אחת לצלייתו, תרוה"ד (שם).</w:t>
      </w:r>
    </w:p>
  </w:footnote>
  <w:footnote w:id="84">
    <w:p w14:paraId="718D193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או בדיעבד, או"ה (שם), וכ"כ בדרכ"מ (אות ז). </w:t>
      </w:r>
      <w:r w:rsidRPr="005C6730">
        <w:rPr>
          <w:rFonts w:asciiTheme="minorBidi" w:hAnsiTheme="minorBidi"/>
          <w:color w:val="00B0F0"/>
          <w:rtl/>
        </w:rPr>
        <w:t>וכ"פ הרמ"א</w:t>
      </w:r>
      <w:r w:rsidRPr="005C6730">
        <w:rPr>
          <w:rFonts w:asciiTheme="minorBidi" w:hAnsiTheme="minorBidi"/>
          <w:rtl/>
        </w:rPr>
        <w:t>.</w:t>
      </w:r>
    </w:p>
  </w:footnote>
  <w:footnote w:id="85">
    <w:p w14:paraId="4D0E143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ולאחר שהב"י העתיק את דברי הרי"ף הנ"ל כ'- "אך בפסקי הרא"ש לא הובא לשון זה". ובאמת ביש"ש </w:t>
      </w:r>
      <w:r w:rsidRPr="005C6730">
        <w:rPr>
          <w:rFonts w:asciiTheme="minorBidi" w:hAnsiTheme="minorBidi"/>
          <w:sz w:val="16"/>
          <w:szCs w:val="16"/>
          <w:rtl/>
        </w:rPr>
        <w:t xml:space="preserve">(חולין פ"ח דין צב) </w:t>
      </w:r>
      <w:r w:rsidRPr="005C6730">
        <w:rPr>
          <w:rFonts w:asciiTheme="minorBidi" w:hAnsiTheme="minorBidi"/>
          <w:rtl/>
        </w:rPr>
        <w:t>העתיק את דברי הרי"ף הנ"ל וכ' וז"ל- ונראה שאינו מלשון הרי"ף, שהרי הרא"ש לא הביאו, ושוב ראיתי באלפסי מדויק שאינו.</w:t>
      </w:r>
    </w:p>
  </w:footnote>
  <w:footnote w:id="86">
    <w:p w14:paraId="3029B6A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ואין דבריו נכונים בהיתר זה.</w:t>
      </w:r>
    </w:p>
  </w:footnote>
  <w:footnote w:id="87">
    <w:p w14:paraId="4B51F5F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דמשמע דבשיעור מיל סגי אפילו לשור שלם ואפילו לחתיכה קטנה צריך שיעור מיל דלא פלוג רבנן בינייהו. וכ"כ בספר החינוך</w:t>
      </w:r>
      <w:r w:rsidRPr="005C6730">
        <w:rPr>
          <w:rFonts w:asciiTheme="minorBidi" w:hAnsiTheme="minorBidi"/>
          <w:sz w:val="16"/>
          <w:szCs w:val="16"/>
          <w:rtl/>
        </w:rPr>
        <w:t xml:space="preserve"> (סי' קמח, הביאו כנה"ג [אות קכב שטה ט"ו])</w:t>
      </w:r>
      <w:r w:rsidRPr="005C6730">
        <w:rPr>
          <w:rFonts w:asciiTheme="minorBidi" w:hAnsiTheme="minorBidi"/>
          <w:rtl/>
        </w:rPr>
        <w:t>, אבל בב"י סיים שב</w:t>
      </w:r>
      <w:r>
        <w:rPr>
          <w:rFonts w:asciiTheme="minorBidi" w:hAnsiTheme="minorBidi"/>
          <w:rtl/>
        </w:rPr>
        <w:t>הג"א</w:t>
      </w:r>
      <w:r w:rsidRPr="005C6730">
        <w:rPr>
          <w:rFonts w:asciiTheme="minorBidi" w:hAnsiTheme="minorBidi"/>
          <w:rtl/>
        </w:rPr>
        <w:t xml:space="preserve"> (סי' מג) כתוב משהין אותה במלח כשיעור צליית אותה חתיכה עצמה כפי עביה וגדלה, </w:t>
      </w:r>
      <w:r w:rsidRPr="005C6730">
        <w:rPr>
          <w:rFonts w:asciiTheme="minorBidi" w:hAnsiTheme="minorBidi"/>
          <w:color w:val="FF0000"/>
          <w:rtl/>
        </w:rPr>
        <w:t>וצל"ע האם כוונתו בזה דלמסקנה אף לרמב"ם יש לשהות יותר מכדי הילוך מיל בחתיכה גדולה.</w:t>
      </w:r>
      <w:r w:rsidRPr="005C6730">
        <w:rPr>
          <w:rFonts w:asciiTheme="minorBidi" w:hAnsiTheme="minorBidi"/>
          <w:rtl/>
        </w:rPr>
        <w:t xml:space="preserve"> </w:t>
      </w:r>
    </w:p>
  </w:footnote>
  <w:footnote w:id="88">
    <w:p w14:paraId="225707B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כגון אם הודח אחר ששהה שיעור מיל ונתבשל, ש"ך (סקכ"ו). וכ' הפת"ש (סקי"ב) דמשמע מדבריו דאם לא נתבשל אף שהודח יחזור וימלחנו, ועיין בדגמ"ר שכתב דדוקא אם לא שהה רק שיעור מיל אבל אם שהה יותר מחצי שעה יש להקל אחר שכבר הודח ואין צריך להפסיד מלח ולמולחו שנית.</w:t>
      </w:r>
    </w:p>
  </w:footnote>
  <w:footnote w:id="89">
    <w:p w14:paraId="7FD097C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ומקום שהוזכר כבוד אורחים היינו כגון בעלי תורה ובעלי שם טוב ומע"ט או עני בן טובים או עשירים שראוי לכבדם שאינם עושים רעה ולא הגרועים או הקבצנים שעוברים ושבים בשביל טרף ומזון הם בכלל צדקה, סולת למנחה</w:t>
      </w:r>
      <w:r w:rsidRPr="005C6730">
        <w:rPr>
          <w:rFonts w:asciiTheme="minorBidi" w:hAnsiTheme="minorBidi"/>
          <w:sz w:val="16"/>
          <w:szCs w:val="16"/>
          <w:rtl/>
        </w:rPr>
        <w:t xml:space="preserve"> (כלל טו, הובא בפת"ש סקי"ג)</w:t>
      </w:r>
      <w:r w:rsidRPr="005C6730">
        <w:rPr>
          <w:rFonts w:asciiTheme="minorBidi" w:hAnsiTheme="minorBidi"/>
          <w:rtl/>
        </w:rPr>
        <w:t xml:space="preserve"> בשם ת"א. וכ' עוד הת"א </w:t>
      </w:r>
      <w:r w:rsidRPr="005C6730">
        <w:rPr>
          <w:rFonts w:asciiTheme="minorBidi" w:hAnsiTheme="minorBidi"/>
          <w:sz w:val="16"/>
          <w:szCs w:val="16"/>
          <w:rtl/>
        </w:rPr>
        <w:t>(כ"כ בשמו הסולת למנחה)</w:t>
      </w:r>
      <w:r w:rsidRPr="005C6730">
        <w:rPr>
          <w:rFonts w:asciiTheme="minorBidi" w:hAnsiTheme="minorBidi"/>
          <w:rtl/>
        </w:rPr>
        <w:t xml:space="preserve"> דלא מקרי אורחים אלא שנתארחו בביתו אבל לא כשזימן אצלו חבירו. והסולת למנחה חולק עליו בזה וכ' דלכתח' לא יזמין אצלו חבירו אם יודע שהוא צריך להקל בענין הדחה או מליחה אבל אם כבר זימן אצלו אז יש להקל כמו מפני שאר אורחים.</w:t>
      </w:r>
    </w:p>
  </w:footnote>
  <w:footnote w:id="90">
    <w:p w14:paraId="005C91E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רחצו אותו בבית הטבח.</w:t>
      </w:r>
    </w:p>
  </w:footnote>
  <w:footnote w:id="91">
    <w:p w14:paraId="7A5528B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וילפינן הכי מדאמר שמואל (קיג.) מדיחו יפה יפה, מרדכי.</w:t>
      </w:r>
    </w:p>
  </w:footnote>
  <w:footnote w:id="92">
    <w:p w14:paraId="30072B3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או"ז </w:t>
      </w:r>
      <w:r w:rsidRPr="005C6730">
        <w:rPr>
          <w:rFonts w:asciiTheme="minorBidi" w:hAnsiTheme="minorBidi"/>
          <w:sz w:val="16"/>
          <w:szCs w:val="16"/>
          <w:rtl/>
        </w:rPr>
        <w:t>(ח"א סי' תעד)</w:t>
      </w:r>
      <w:r w:rsidRPr="005C6730">
        <w:rPr>
          <w:rFonts w:asciiTheme="minorBidi" w:hAnsiTheme="minorBidi"/>
          <w:rtl/>
        </w:rPr>
        <w:t xml:space="preserve"> </w:t>
      </w:r>
      <w:r>
        <w:rPr>
          <w:rFonts w:asciiTheme="minorBidi" w:hAnsiTheme="minorBidi"/>
          <w:rtl/>
        </w:rPr>
        <w:t>הג"א</w:t>
      </w:r>
      <w:r w:rsidRPr="005C6730">
        <w:rPr>
          <w:rFonts w:asciiTheme="minorBidi" w:hAnsiTheme="minorBidi"/>
          <w:rtl/>
        </w:rPr>
        <w:t xml:space="preserve"> </w:t>
      </w:r>
      <w:r w:rsidRPr="005C6730">
        <w:rPr>
          <w:rFonts w:asciiTheme="minorBidi" w:hAnsiTheme="minorBidi"/>
          <w:sz w:val="14"/>
          <w:szCs w:val="14"/>
          <w:rtl/>
        </w:rPr>
        <w:t>(סי' מג)</w:t>
      </w:r>
      <w:r w:rsidRPr="005C6730">
        <w:rPr>
          <w:rFonts w:asciiTheme="minorBidi" w:hAnsiTheme="minorBidi"/>
          <w:rtl/>
        </w:rPr>
        <w:t xml:space="preserve"> ואגודה</w:t>
      </w:r>
      <w:r w:rsidRPr="005C6730">
        <w:rPr>
          <w:rFonts w:asciiTheme="minorBidi" w:hAnsiTheme="minorBidi"/>
          <w:sz w:val="16"/>
          <w:szCs w:val="16"/>
          <w:rtl/>
        </w:rPr>
        <w:t xml:space="preserve"> (בחידו' פסחים פרק ז)</w:t>
      </w:r>
      <w:r w:rsidRPr="005C6730">
        <w:rPr>
          <w:rFonts w:asciiTheme="minorBidi" w:hAnsiTheme="minorBidi"/>
          <w:rtl/>
        </w:rPr>
        <w:t>.</w:t>
      </w:r>
    </w:p>
  </w:footnote>
  <w:footnote w:id="93">
    <w:p w14:paraId="1E11396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הביאו הב"י </w:t>
      </w:r>
      <w:r w:rsidRPr="005C6730">
        <w:rPr>
          <w:rFonts w:asciiTheme="minorBidi" w:hAnsiTheme="minorBidi"/>
          <w:sz w:val="16"/>
          <w:szCs w:val="16"/>
          <w:rtl/>
        </w:rPr>
        <w:t>(בסוף סע' ט)</w:t>
      </w:r>
      <w:r w:rsidRPr="005C6730">
        <w:rPr>
          <w:rFonts w:asciiTheme="minorBidi" w:hAnsiTheme="minorBidi"/>
          <w:rtl/>
        </w:rPr>
        <w:t xml:space="preserve"> וכ' עליו- ואין דבריו נראין דבהדחה אחת כבר עבר מעליו כל המלח והדם ולא נשאר אלא צחצוחי הדם והמלח ואין בהם כדאי לאסור.</w:t>
      </w:r>
    </w:p>
  </w:footnote>
  <w:footnote w:id="94">
    <w:p w14:paraId="15D3807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מלח גסה שלמי"א, רש"י.</w:t>
      </w:r>
    </w:p>
  </w:footnote>
  <w:footnote w:id="95">
    <w:p w14:paraId="6DF3B4C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למילחא לאחר זמן מפני שהדם נבלע בה אבל מלח דקה אין צריך לנפץ שהיא נתכת מעצמה, רש"י.</w:t>
      </w:r>
    </w:p>
  </w:footnote>
  <w:footnote w:id="96">
    <w:p w14:paraId="396B6A45" w14:textId="77777777" w:rsidR="004C5A3C" w:rsidRDefault="004C5A3C" w:rsidP="002C39F4">
      <w:pPr>
        <w:pStyle w:val="a5"/>
      </w:pPr>
      <w:r>
        <w:rPr>
          <w:rStyle w:val="a7"/>
        </w:rPr>
        <w:footnoteRef/>
      </w:r>
      <w:r>
        <w:rPr>
          <w:rtl/>
        </w:rPr>
        <w:t xml:space="preserve"> </w:t>
      </w:r>
      <w:r w:rsidRPr="00E90A6C">
        <w:rPr>
          <w:rtl/>
        </w:rPr>
        <w:t>שאם יניחנו עם מלחו בתוך הכלי שאינו מנוקב עם המים נמצאו המים שוברים כח פליטת הבשר ונמצא הדם שעל פני הבשר ושעם המלח חוזר ונבלע בתוכו מחמת המלח שעמו בכלי, לפיכך תקנה גדולה היא למלוח במלח גסה שהמלח גסה במעט שהוא מנער אותה ננערת ונופלת ואח"כ רשאי להדיח הבשר באיזה כלי שירצה עם קצת מי</w:t>
      </w:r>
      <w:r>
        <w:rPr>
          <w:rFonts w:hint="cs"/>
          <w:rtl/>
        </w:rPr>
        <w:t>ם, רשב"א.</w:t>
      </w:r>
    </w:p>
  </w:footnote>
  <w:footnote w:id="97">
    <w:p w14:paraId="68D8BE9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וסיים ההגה"מ דאכן סמ"ג </w:t>
      </w:r>
      <w:r w:rsidRPr="005C6730">
        <w:rPr>
          <w:rFonts w:asciiTheme="minorBidi" w:hAnsiTheme="minorBidi"/>
          <w:sz w:val="16"/>
          <w:szCs w:val="16"/>
          <w:rtl/>
        </w:rPr>
        <w:t>(לאוין קלז מח ע"ג)</w:t>
      </w:r>
      <w:r w:rsidRPr="005C6730">
        <w:rPr>
          <w:rFonts w:asciiTheme="minorBidi" w:hAnsiTheme="minorBidi"/>
          <w:rtl/>
        </w:rPr>
        <w:t xml:space="preserve"> ומהר"ם </w:t>
      </w:r>
      <w:r w:rsidRPr="005C6730">
        <w:rPr>
          <w:rFonts w:asciiTheme="minorBidi" w:hAnsiTheme="minorBidi"/>
          <w:sz w:val="16"/>
          <w:szCs w:val="16"/>
          <w:rtl/>
        </w:rPr>
        <w:t xml:space="preserve">(תשו' ד"ל סי' קע) </w:t>
      </w:r>
      <w:r w:rsidRPr="005C6730">
        <w:rPr>
          <w:rFonts w:asciiTheme="minorBidi" w:hAnsiTheme="minorBidi"/>
          <w:rtl/>
        </w:rPr>
        <w:t xml:space="preserve">לא היו מחמירין כולי האי אך שבסמ"ג </w:t>
      </w:r>
      <w:r w:rsidRPr="005C6730">
        <w:rPr>
          <w:rFonts w:asciiTheme="minorBidi" w:hAnsiTheme="minorBidi"/>
          <w:sz w:val="16"/>
          <w:szCs w:val="16"/>
          <w:rtl/>
        </w:rPr>
        <w:t xml:space="preserve">(מח.) </w:t>
      </w:r>
      <w:r w:rsidRPr="005C6730">
        <w:rPr>
          <w:rFonts w:asciiTheme="minorBidi" w:hAnsiTheme="minorBidi"/>
          <w:rtl/>
        </w:rPr>
        <w:t xml:space="preserve">כתב שיש נוהגין לעשות כן בבשר שמלוח יותר מדאי וצריך שרייה שמדיחין אותו קודם שרייתו. והוסיף הדרכ"מ (אות ט) דמשמע מהמרדכי דאין צריך ליזהר רק בהדחה ראשונה אבל לאחר ששטפו פעם אחת אין צריך ליזהר וכן הוא בהדיא בהר"ן </w:t>
      </w:r>
      <w:r w:rsidRPr="005C6730">
        <w:rPr>
          <w:rFonts w:asciiTheme="minorBidi" w:hAnsiTheme="minorBidi"/>
          <w:sz w:val="16"/>
          <w:szCs w:val="16"/>
          <w:rtl/>
        </w:rPr>
        <w:t>(מב. ד"ה רב דימי)</w:t>
      </w:r>
      <w:r w:rsidRPr="005C6730">
        <w:rPr>
          <w:rFonts w:asciiTheme="minorBidi" w:hAnsiTheme="minorBidi"/>
          <w:rtl/>
        </w:rPr>
        <w:t xml:space="preserve">. </w:t>
      </w:r>
    </w:p>
  </w:footnote>
  <w:footnote w:id="98">
    <w:p w14:paraId="5E14ABC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כן הבין הב"י מדבריו </w:t>
      </w:r>
      <w:r w:rsidRPr="005C6730">
        <w:rPr>
          <w:rFonts w:asciiTheme="minorBidi" w:hAnsiTheme="minorBidi"/>
          <w:sz w:val="16"/>
          <w:szCs w:val="16"/>
          <w:rtl/>
        </w:rPr>
        <w:t>(וז"ל המרדכי- מלח במילחא גללניתא ומנפץ ליה אבל מלח שלנו אין צריך ניפוץ ולא לשברו תחלה ולא לנפצו מעל החתיכה בסוף)</w:t>
      </w:r>
      <w:r w:rsidRPr="005C6730">
        <w:rPr>
          <w:rFonts w:asciiTheme="minorBidi" w:hAnsiTheme="minorBidi"/>
          <w:rtl/>
        </w:rPr>
        <w:t>.</w:t>
      </w:r>
    </w:p>
  </w:footnote>
  <w:footnote w:id="99">
    <w:p w14:paraId="5A0ED3F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הדרכ"מ דאין כן דעת הפוסקים, דא"כ בשר שנתבשל בלא הדחה האחרונה למה צריך ששים נגד המלח הלא אין המלח אסור, וכן משמע ב</w:t>
      </w:r>
      <w:r>
        <w:rPr>
          <w:rFonts w:asciiTheme="minorBidi" w:hAnsiTheme="minorBidi"/>
          <w:rtl/>
        </w:rPr>
        <w:t>או"ה</w:t>
      </w:r>
      <w:r w:rsidRPr="005C6730">
        <w:rPr>
          <w:rFonts w:asciiTheme="minorBidi" w:hAnsiTheme="minorBidi"/>
          <w:rtl/>
        </w:rPr>
        <w:t xml:space="preserve"> (כלל י"א ד"א) דהמלח הוי כדם גמור.</w:t>
      </w:r>
    </w:p>
  </w:footnote>
  <w:footnote w:id="100">
    <w:p w14:paraId="05E6D9C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הר"ר יצחר מאורוויל [נ"א- אורביל], היה חי בדורו של המהר"ם מרוטנבורג, פסקים ממנו הובאו בכלבו סי' קמג בשם: דיני ר' יצחק בעל המנהל ז"ל.</w:t>
      </w:r>
    </w:p>
  </w:footnote>
  <w:footnote w:id="101">
    <w:p w14:paraId="043CF3A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w:t>
      </w:r>
      <w:r w:rsidRPr="005C6730">
        <w:rPr>
          <w:rFonts w:asciiTheme="minorBidi" w:hAnsiTheme="minorBidi"/>
          <w:u w:val="single"/>
          <w:rtl/>
        </w:rPr>
        <w:t xml:space="preserve">הג"ה זו צריכה ביאור דאם ניפוץ או שטיפה </w:t>
      </w:r>
      <w:r w:rsidRPr="005C6730">
        <w:rPr>
          <w:rFonts w:asciiTheme="minorBidi" w:hAnsiTheme="minorBidi"/>
          <w:sz w:val="16"/>
          <w:szCs w:val="16"/>
          <w:u w:val="single"/>
          <w:rtl/>
        </w:rPr>
        <w:t>(שלפני ב' ההדחות)</w:t>
      </w:r>
      <w:r w:rsidRPr="005C6730">
        <w:rPr>
          <w:rFonts w:asciiTheme="minorBidi" w:hAnsiTheme="minorBidi"/>
          <w:u w:val="single"/>
          <w:rtl/>
        </w:rPr>
        <w:t xml:space="preserve"> חשיב כהדחה אז לא הוסיף כלום </w:t>
      </w:r>
      <w:r>
        <w:rPr>
          <w:rFonts w:asciiTheme="minorBidi" w:hAnsiTheme="minorBidi" w:hint="cs"/>
          <w:u w:val="single"/>
          <w:rtl/>
        </w:rPr>
        <w:t>על</w:t>
      </w:r>
      <w:r w:rsidRPr="005C6730">
        <w:rPr>
          <w:rFonts w:asciiTheme="minorBidi" w:hAnsiTheme="minorBidi"/>
          <w:u w:val="single"/>
          <w:rtl/>
        </w:rPr>
        <w:t xml:space="preserve"> דברי השו"ע:</w:t>
      </w:r>
    </w:p>
    <w:p w14:paraId="315CBB31" w14:textId="77777777" w:rsidR="004C5A3C" w:rsidRPr="005C6730" w:rsidRDefault="004C5A3C" w:rsidP="002C39F4">
      <w:pPr>
        <w:pStyle w:val="a5"/>
        <w:numPr>
          <w:ilvl w:val="0"/>
          <w:numId w:val="11"/>
        </w:numPr>
        <w:rPr>
          <w:rFonts w:asciiTheme="minorBidi" w:hAnsiTheme="minorBidi"/>
        </w:rPr>
      </w:pPr>
      <w:r w:rsidRPr="005C6730">
        <w:rPr>
          <w:rFonts w:asciiTheme="minorBidi" w:hAnsiTheme="minorBidi"/>
          <w:rtl/>
        </w:rPr>
        <w:t xml:space="preserve">ש"ך </w:t>
      </w:r>
      <w:r w:rsidRPr="005C6730">
        <w:rPr>
          <w:rFonts w:asciiTheme="minorBidi" w:hAnsiTheme="minorBidi"/>
          <w:sz w:val="16"/>
          <w:szCs w:val="16"/>
          <w:rtl/>
        </w:rPr>
        <w:t>(תירוץ א [סקכ"ח])</w:t>
      </w:r>
      <w:r w:rsidRPr="005C6730">
        <w:rPr>
          <w:rFonts w:asciiTheme="minorBidi" w:hAnsiTheme="minorBidi"/>
          <w:rtl/>
        </w:rPr>
        <w:t xml:space="preserve">- משום דמבואר הוא דלהכי מצריך המחבר שטיפה או ניפוץ משום דם ומלח שלא יהא נבלע בבשר כשמניחו בכלי וא"כ כשמדיחו ביד כשתופס הבשר באויר א"צ ניפוץ או שטיפה ודי בהדחה ב' פעמים דס"ל דהדחה לבשר לא בעינן אלא ב"פ, ע"ז כתב וי"א שצריכים הדחה לבשר ג"פ, וא"כ אפי' ביד צריך הדחה ג"פ, ע"כ אפי' ביד ישטפנו להמלח או ינפצנו וידיחנו לבשר ב"פ דזה הוי כהדחה ג"פ. </w:t>
      </w:r>
    </w:p>
    <w:p w14:paraId="4D8618FF" w14:textId="77777777" w:rsidR="004C5A3C" w:rsidRPr="005C6730" w:rsidRDefault="004C5A3C" w:rsidP="002C39F4">
      <w:pPr>
        <w:pStyle w:val="a5"/>
        <w:numPr>
          <w:ilvl w:val="0"/>
          <w:numId w:val="11"/>
        </w:numPr>
        <w:rPr>
          <w:rFonts w:asciiTheme="minorBidi" w:hAnsiTheme="minorBidi"/>
        </w:rPr>
      </w:pPr>
      <w:r w:rsidRPr="005C6730">
        <w:rPr>
          <w:rFonts w:asciiTheme="minorBidi" w:hAnsiTheme="minorBidi"/>
          <w:rtl/>
        </w:rPr>
        <w:t xml:space="preserve">ש"ך </w:t>
      </w:r>
      <w:r w:rsidRPr="005C6730">
        <w:rPr>
          <w:rFonts w:asciiTheme="minorBidi" w:hAnsiTheme="minorBidi"/>
          <w:sz w:val="16"/>
          <w:szCs w:val="16"/>
          <w:rtl/>
        </w:rPr>
        <w:t>(תירוץ ב)</w:t>
      </w:r>
      <w:r w:rsidRPr="005C6730">
        <w:rPr>
          <w:rFonts w:asciiTheme="minorBidi" w:hAnsiTheme="minorBidi"/>
          <w:rtl/>
        </w:rPr>
        <w:t>- יותר נראה דלא הביא הר"ב הי"א אלא להורות די"א שידיח ג"פ ושכן נוהגין וס"ל די"א אלו לא פליגי אהמחבר לזה אמר על כן ישטפנו כו' כלומר דמר אמר חדא ומר אמר חדא ולא פליגי, ודוק.</w:t>
      </w:r>
    </w:p>
    <w:p w14:paraId="2C79D271" w14:textId="77777777" w:rsidR="004C5A3C" w:rsidRPr="005C6730" w:rsidRDefault="004C5A3C" w:rsidP="002C39F4">
      <w:pPr>
        <w:pStyle w:val="a5"/>
        <w:numPr>
          <w:ilvl w:val="0"/>
          <w:numId w:val="11"/>
        </w:numPr>
        <w:rPr>
          <w:rFonts w:asciiTheme="minorBidi" w:hAnsiTheme="minorBidi"/>
        </w:rPr>
      </w:pPr>
      <w:r w:rsidRPr="005C6730">
        <w:rPr>
          <w:rFonts w:asciiTheme="minorBidi" w:hAnsiTheme="minorBidi"/>
          <w:rtl/>
        </w:rPr>
        <w:t xml:space="preserve">ט"ז </w:t>
      </w:r>
      <w:r w:rsidRPr="005C6730">
        <w:rPr>
          <w:rFonts w:asciiTheme="minorBidi" w:hAnsiTheme="minorBidi"/>
          <w:sz w:val="16"/>
          <w:szCs w:val="16"/>
          <w:rtl/>
        </w:rPr>
        <w:t>(סקי"ז)</w:t>
      </w:r>
      <w:r w:rsidRPr="005C6730">
        <w:rPr>
          <w:rFonts w:asciiTheme="minorBidi" w:hAnsiTheme="minorBidi"/>
          <w:rtl/>
        </w:rPr>
        <w:t xml:space="preserve">- האי "או" קמייתא ט"ס, דתחלה אמר רמ"א על כן ישטפנו וינפץ המלח כו' דזה הוי כהדחה ג"פ </w:t>
      </w:r>
      <w:r w:rsidRPr="005C6730">
        <w:rPr>
          <w:rFonts w:asciiTheme="minorBidi" w:hAnsiTheme="minorBidi"/>
          <w:sz w:val="16"/>
          <w:szCs w:val="16"/>
          <w:rtl/>
        </w:rPr>
        <w:t>(דהיינו ששטיפה ששוטף באויר וגם הניפוץ שאח"כ הויין במקום הדחה קמייתא)</w:t>
      </w:r>
      <w:r w:rsidRPr="005C6730">
        <w:rPr>
          <w:rFonts w:asciiTheme="minorBidi" w:hAnsiTheme="minorBidi"/>
          <w:rtl/>
        </w:rPr>
        <w:t xml:space="preserve"> ואח"כ אמר על רישא דמילתא שצריך הדחה ג"פ שיהיה בדרך זה שיתן תחלה המים בכלי ואח"כ הבשר. </w:t>
      </w:r>
    </w:p>
    <w:p w14:paraId="588B10CA" w14:textId="77777777" w:rsidR="004C5A3C" w:rsidRPr="005C6730" w:rsidRDefault="004C5A3C" w:rsidP="002C39F4">
      <w:pPr>
        <w:pStyle w:val="a5"/>
        <w:numPr>
          <w:ilvl w:val="0"/>
          <w:numId w:val="11"/>
        </w:numPr>
        <w:rPr>
          <w:rFonts w:asciiTheme="minorBidi" w:hAnsiTheme="minorBidi"/>
          <w:rtl/>
        </w:rPr>
      </w:pPr>
      <w:r w:rsidRPr="005C6730">
        <w:rPr>
          <w:rFonts w:asciiTheme="minorBidi" w:hAnsiTheme="minorBidi"/>
          <w:rtl/>
        </w:rPr>
        <w:t xml:space="preserve">פר"ח </w:t>
      </w:r>
      <w:r w:rsidRPr="005C6730">
        <w:rPr>
          <w:rFonts w:asciiTheme="minorBidi" w:hAnsiTheme="minorBidi"/>
          <w:sz w:val="16"/>
          <w:szCs w:val="16"/>
          <w:rtl/>
        </w:rPr>
        <w:t>(סקכ"ט, וגם הגר"א [סקל"ד] שלח לעיין בדבריו)</w:t>
      </w:r>
      <w:r w:rsidRPr="005C6730">
        <w:rPr>
          <w:rFonts w:asciiTheme="minorBidi" w:hAnsiTheme="minorBidi"/>
          <w:rtl/>
        </w:rPr>
        <w:t>- אפשר שכונתו לאורויי דכולי עלמא לא פליגי אמחבר ז"ל, דאפילו מי שהזכיר בדבריו הדחת הבשר ג' פעמים, סגי ליה בניפוץ והדחת ב' פעמים, ואין זה עיקר, אלא לכתחילה מלבד הניפוץ ידיחנה ג' פעמים וכמו שכתבתי בשם הראב"ד, והכי נהגינן.</w:t>
      </w:r>
    </w:p>
  </w:footnote>
  <w:footnote w:id="102">
    <w:p w14:paraId="6A100A1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w:t>
      </w:r>
      <w:r w:rsidRPr="005C6730">
        <w:rPr>
          <w:rFonts w:asciiTheme="minorBidi" w:hAnsiTheme="minorBidi"/>
          <w:u w:val="single"/>
          <w:rtl/>
        </w:rPr>
        <w:t>מש"כ הרמ"א "או" ישים המים תוך הכלי כו' צריך ג"כ ביאור:</w:t>
      </w:r>
      <w:r w:rsidRPr="005C6730">
        <w:rPr>
          <w:rFonts w:asciiTheme="minorBidi" w:hAnsiTheme="minorBidi"/>
          <w:rtl/>
        </w:rPr>
        <w:t xml:space="preserve"> </w:t>
      </w:r>
      <w:r w:rsidRPr="005C6730">
        <w:rPr>
          <w:rFonts w:asciiTheme="minorBidi" w:hAnsiTheme="minorBidi"/>
          <w:sz w:val="14"/>
          <w:szCs w:val="14"/>
          <w:rtl/>
        </w:rPr>
        <w:t>(דהיכי דמי, אי בלא ניפוץ ושטיפה תחלה הא אסור לכתח'</w:t>
      </w:r>
      <w:r w:rsidRPr="005C6730">
        <w:rPr>
          <w:rFonts w:asciiTheme="minorBidi" w:hAnsiTheme="minorBidi"/>
          <w:sz w:val="12"/>
          <w:szCs w:val="12"/>
          <w:rtl/>
        </w:rPr>
        <w:t xml:space="preserve"> [וכמ"ש המחבר, ודוחק גדול לומר דפליג בהא אהמחבר]</w:t>
      </w:r>
      <w:r w:rsidRPr="005C6730">
        <w:rPr>
          <w:rFonts w:asciiTheme="minorBidi" w:hAnsiTheme="minorBidi"/>
          <w:sz w:val="14"/>
          <w:szCs w:val="14"/>
          <w:rtl/>
        </w:rPr>
        <w:t>, ואי בשטיפה או ניפוץ קאמר אם כן אמאי צריך הדחה ג"פ תיסגי בהדחה ב"פ דהא שטיפה וניפוץ חשיבי כהדחה</w:t>
      </w:r>
      <w:r w:rsidRPr="005C6730">
        <w:rPr>
          <w:rFonts w:asciiTheme="minorBidi" w:hAnsiTheme="minorBidi"/>
          <w:sz w:val="12"/>
          <w:szCs w:val="12"/>
          <w:rtl/>
        </w:rPr>
        <w:t xml:space="preserve"> [ע"פ דברי הש"ך שם]</w:t>
      </w:r>
      <w:r w:rsidRPr="005C6730">
        <w:rPr>
          <w:rFonts w:asciiTheme="minorBidi" w:hAnsiTheme="minorBidi"/>
          <w:sz w:val="14"/>
          <w:szCs w:val="14"/>
          <w:rtl/>
        </w:rPr>
        <w:t>)</w:t>
      </w:r>
      <w:r w:rsidRPr="005C6730">
        <w:rPr>
          <w:rFonts w:asciiTheme="minorBidi" w:hAnsiTheme="minorBidi"/>
          <w:rtl/>
        </w:rPr>
        <w:t xml:space="preserve"> </w:t>
      </w:r>
    </w:p>
    <w:p w14:paraId="046120F4" w14:textId="77777777" w:rsidR="004C5A3C" w:rsidRPr="005C6730" w:rsidRDefault="004C5A3C" w:rsidP="002C39F4">
      <w:pPr>
        <w:pStyle w:val="a5"/>
        <w:numPr>
          <w:ilvl w:val="0"/>
          <w:numId w:val="12"/>
        </w:numPr>
        <w:rPr>
          <w:rFonts w:asciiTheme="minorBidi" w:hAnsiTheme="minorBidi"/>
        </w:rPr>
      </w:pPr>
      <w:r w:rsidRPr="005C6730">
        <w:rPr>
          <w:rFonts w:asciiTheme="minorBidi" w:hAnsiTheme="minorBidi"/>
          <w:rtl/>
        </w:rPr>
        <w:t xml:space="preserve">ש"ך </w:t>
      </w:r>
      <w:r w:rsidRPr="005C6730">
        <w:rPr>
          <w:rFonts w:asciiTheme="minorBidi" w:hAnsiTheme="minorBidi"/>
          <w:sz w:val="16"/>
          <w:szCs w:val="16"/>
          <w:rtl/>
        </w:rPr>
        <w:t>(תירוץ א [סקכ"ח])</w:t>
      </w:r>
      <w:r w:rsidRPr="005C6730">
        <w:rPr>
          <w:rFonts w:asciiTheme="minorBidi" w:hAnsiTheme="minorBidi"/>
          <w:rtl/>
        </w:rPr>
        <w:t xml:space="preserve">- יש לדחוק וליישב דהדחה ראשונה שבכלי לאו הדחה מעליותא חשיבא. </w:t>
      </w:r>
    </w:p>
    <w:p w14:paraId="1D39F461" w14:textId="77777777" w:rsidR="004C5A3C" w:rsidRPr="005C6730" w:rsidRDefault="004C5A3C" w:rsidP="002C39F4">
      <w:pPr>
        <w:pStyle w:val="a5"/>
        <w:numPr>
          <w:ilvl w:val="0"/>
          <w:numId w:val="12"/>
        </w:numPr>
        <w:rPr>
          <w:rFonts w:asciiTheme="minorBidi" w:hAnsiTheme="minorBidi"/>
        </w:rPr>
      </w:pPr>
      <w:r w:rsidRPr="005C6730">
        <w:rPr>
          <w:rFonts w:asciiTheme="minorBidi" w:hAnsiTheme="minorBidi"/>
          <w:rtl/>
        </w:rPr>
        <w:t xml:space="preserve">ש"ך </w:t>
      </w:r>
      <w:r w:rsidRPr="005C6730">
        <w:rPr>
          <w:rFonts w:asciiTheme="minorBidi" w:hAnsiTheme="minorBidi"/>
          <w:sz w:val="16"/>
          <w:szCs w:val="16"/>
          <w:rtl/>
        </w:rPr>
        <w:t>(תירוץ ב)</w:t>
      </w:r>
      <w:r w:rsidRPr="005C6730">
        <w:rPr>
          <w:rFonts w:asciiTheme="minorBidi" w:hAnsiTheme="minorBidi"/>
          <w:rtl/>
        </w:rPr>
        <w:t>- בלא שטיפה וניפוץ מיירי ואפי' הכי שרי כשנותן מים הרבה בהדחה ראשונה שמבטלין כח הציר וכדמסיים ולכתחלה יתן מים הרבה כו', ודוחק.</w:t>
      </w:r>
    </w:p>
    <w:p w14:paraId="5360E881" w14:textId="77777777" w:rsidR="004C5A3C" w:rsidRPr="005C6730" w:rsidRDefault="004C5A3C" w:rsidP="002C39F4">
      <w:pPr>
        <w:pStyle w:val="a5"/>
        <w:numPr>
          <w:ilvl w:val="0"/>
          <w:numId w:val="12"/>
        </w:numPr>
        <w:rPr>
          <w:rFonts w:asciiTheme="minorBidi" w:hAnsiTheme="minorBidi"/>
          <w:rtl/>
        </w:rPr>
      </w:pPr>
      <w:r w:rsidRPr="005C6730">
        <w:rPr>
          <w:rFonts w:asciiTheme="minorBidi" w:hAnsiTheme="minorBidi"/>
          <w:rtl/>
        </w:rPr>
        <w:t xml:space="preserve">ט"ז </w:t>
      </w:r>
      <w:r w:rsidRPr="005C6730">
        <w:rPr>
          <w:rFonts w:asciiTheme="minorBidi" w:hAnsiTheme="minorBidi"/>
          <w:sz w:val="16"/>
          <w:szCs w:val="16"/>
          <w:rtl/>
        </w:rPr>
        <w:t>(סקי"ז)</w:t>
      </w:r>
      <w:r w:rsidRPr="005C6730">
        <w:rPr>
          <w:rFonts w:asciiTheme="minorBidi" w:hAnsiTheme="minorBidi"/>
          <w:rtl/>
        </w:rPr>
        <w:t>- התירוץ שהובא לעיל שייך גם פה</w:t>
      </w:r>
      <w:r w:rsidRPr="005C6730">
        <w:rPr>
          <w:rFonts w:asciiTheme="minorBidi" w:hAnsiTheme="minorBidi"/>
          <w:sz w:val="16"/>
          <w:szCs w:val="16"/>
          <w:rtl/>
        </w:rPr>
        <w:t xml:space="preserve"> (הט"ז כלל שאת שני הדברים שטעונים ביאור בדברי הרמ"א בתירוץ א')</w:t>
      </w:r>
      <w:r w:rsidRPr="005C6730">
        <w:rPr>
          <w:rFonts w:asciiTheme="minorBidi" w:hAnsiTheme="minorBidi"/>
          <w:rtl/>
        </w:rPr>
        <w:t xml:space="preserve">. </w:t>
      </w:r>
    </w:p>
  </w:footnote>
  <w:footnote w:id="103">
    <w:p w14:paraId="47C490B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הרמ"א כ' בתשו' </w:t>
      </w:r>
      <w:r w:rsidRPr="005C6730">
        <w:rPr>
          <w:rFonts w:asciiTheme="minorBidi" w:hAnsiTheme="minorBidi"/>
          <w:sz w:val="16"/>
          <w:szCs w:val="16"/>
          <w:rtl/>
        </w:rPr>
        <w:t xml:space="preserve">(סי' קלב דין יא) </w:t>
      </w:r>
      <w:r w:rsidRPr="005C6730">
        <w:rPr>
          <w:rFonts w:asciiTheme="minorBidi" w:hAnsiTheme="minorBidi"/>
          <w:rtl/>
        </w:rPr>
        <w:t xml:space="preserve">וז"ל- עוד שאלת עמש"כ הר"ן והבאתיו בת"ח שלי דיכול להדיח הבשר במי פירות כו' ודקדקת הא הדחה ראשונה לא ושאלת טעמא ואפשר לומ' דשאר משקין מטרשי ליה ואינן מרככים הבשר כמו מים וכזה כתב מהרי"ק לענין רחיצת אשה קודם טבילה שציוו עליה הרופאים שלא תחוף אלא ביין כי צריך דקדוק אם מותרת לחוף ביין שאפשר שהיין מסבך השערות וה"ה לענין מטרשי נמי ואין כל הטבעים שוים. עכ"ל. והשיגו עליו האחרונים בכמה עניינים- </w:t>
      </w:r>
      <w:r w:rsidRPr="005C6730">
        <w:rPr>
          <w:rFonts w:asciiTheme="minorBidi" w:hAnsiTheme="minorBidi"/>
          <w:b/>
          <w:bCs/>
          <w:u w:val="single"/>
          <w:rtl/>
        </w:rPr>
        <w:t>[א]</w:t>
      </w:r>
      <w:r w:rsidRPr="005C6730">
        <w:rPr>
          <w:rFonts w:asciiTheme="minorBidi" w:hAnsiTheme="minorBidi"/>
          <w:rtl/>
        </w:rPr>
        <w:t xml:space="preserve"> סברא זו </w:t>
      </w:r>
      <w:r w:rsidRPr="005C6730">
        <w:rPr>
          <w:rFonts w:asciiTheme="minorBidi" w:hAnsiTheme="minorBidi"/>
          <w:sz w:val="16"/>
          <w:szCs w:val="16"/>
          <w:rtl/>
        </w:rPr>
        <w:t xml:space="preserve">(דמטרשי) </w:t>
      </w:r>
      <w:r w:rsidRPr="005C6730">
        <w:rPr>
          <w:rFonts w:asciiTheme="minorBidi" w:hAnsiTheme="minorBidi"/>
          <w:rtl/>
        </w:rPr>
        <w:t xml:space="preserve">קלושה </w:t>
      </w:r>
      <w:r w:rsidRPr="005C6730">
        <w:rPr>
          <w:rFonts w:asciiTheme="minorBidi" w:hAnsiTheme="minorBidi"/>
          <w:sz w:val="16"/>
          <w:szCs w:val="16"/>
          <w:rtl/>
        </w:rPr>
        <w:t>(ש"ך</w:t>
      </w:r>
      <w:r w:rsidRPr="005C6730">
        <w:rPr>
          <w:rFonts w:asciiTheme="minorBidi" w:hAnsiTheme="minorBidi"/>
          <w:sz w:val="12"/>
          <w:szCs w:val="12"/>
          <w:rtl/>
        </w:rPr>
        <w:t xml:space="preserve"> סק"ל]</w:t>
      </w:r>
      <w:r w:rsidRPr="005C6730">
        <w:rPr>
          <w:rFonts w:asciiTheme="minorBidi" w:hAnsiTheme="minorBidi"/>
          <w:sz w:val="16"/>
          <w:szCs w:val="16"/>
          <w:rtl/>
        </w:rPr>
        <w:t>)</w:t>
      </w:r>
      <w:r w:rsidRPr="005C6730">
        <w:rPr>
          <w:rFonts w:asciiTheme="minorBidi" w:hAnsiTheme="minorBidi"/>
          <w:rtl/>
        </w:rPr>
        <w:t xml:space="preserve">, והראייה מן רחיצת האשה ביין אינו כלום כי גם לשם אינו דבר ברור כמבואר בב"י סי' קצ"ט בשם מהרי"ק </w:t>
      </w:r>
      <w:r w:rsidRPr="005C6730">
        <w:rPr>
          <w:rFonts w:asciiTheme="minorBidi" w:hAnsiTheme="minorBidi"/>
          <w:sz w:val="16"/>
          <w:szCs w:val="16"/>
          <w:rtl/>
        </w:rPr>
        <w:t>(ט"ז</w:t>
      </w:r>
      <w:r w:rsidRPr="005C6730">
        <w:rPr>
          <w:rFonts w:asciiTheme="minorBidi" w:hAnsiTheme="minorBidi"/>
          <w:sz w:val="12"/>
          <w:szCs w:val="12"/>
          <w:rtl/>
        </w:rPr>
        <w:t xml:space="preserve"> [סקי"ז]</w:t>
      </w:r>
      <w:r w:rsidRPr="005C6730">
        <w:rPr>
          <w:rFonts w:asciiTheme="minorBidi" w:hAnsiTheme="minorBidi"/>
          <w:sz w:val="16"/>
          <w:szCs w:val="16"/>
          <w:rtl/>
        </w:rPr>
        <w:t>)</w:t>
      </w:r>
      <w:r w:rsidRPr="005C6730">
        <w:rPr>
          <w:rFonts w:asciiTheme="minorBidi" w:hAnsiTheme="minorBidi"/>
          <w:rtl/>
        </w:rPr>
        <w:t xml:space="preserve">. </w:t>
      </w:r>
      <w:r w:rsidRPr="005C6730">
        <w:rPr>
          <w:rFonts w:asciiTheme="minorBidi" w:hAnsiTheme="minorBidi"/>
          <w:b/>
          <w:bCs/>
          <w:u w:val="single"/>
          <w:rtl/>
        </w:rPr>
        <w:t>[ב]</w:t>
      </w:r>
      <w:r w:rsidRPr="005C6730">
        <w:rPr>
          <w:rFonts w:asciiTheme="minorBidi" w:hAnsiTheme="minorBidi"/>
          <w:rtl/>
        </w:rPr>
        <w:t xml:space="preserve"> לא נמצא כן בדברי הר"ן פרק השוחט כלל דיכול להדיח הבשר במי פירות, ובע"כ צ"ל דהר"ב כוון למ"ש בפ' השוחט אמתני' דהשוחט ולא יצא דם כשרה ונאכלים בידים מסואבות לפי שלא הוכשר בדם, ומקשו הכא- נהי שלא הוכשר בדם על כרחך קודם אכילה הוכשרו במים, דאי לקדרה בעי לה הוכשר במים שבה, יש לומר דלצלי, דלא בעי הדחה, אי נמי משכחת לה כשהודחו ע"י גשמים עכ"ל, וסבירא ליה להר"ב</w:t>
      </w:r>
      <w:r w:rsidRPr="005C6730">
        <w:rPr>
          <w:rFonts w:asciiTheme="minorBidi" w:hAnsiTheme="minorBidi"/>
          <w:sz w:val="16"/>
          <w:szCs w:val="16"/>
          <w:rtl/>
        </w:rPr>
        <w:t xml:space="preserve"> (או שהיה כתוב בגירסתו) </w:t>
      </w:r>
      <w:r w:rsidRPr="005C6730">
        <w:rPr>
          <w:rFonts w:asciiTheme="minorBidi" w:hAnsiTheme="minorBidi"/>
          <w:rtl/>
        </w:rPr>
        <w:t xml:space="preserve">דה"ה במי פירות וכ"כ התוס' בפרק השוחט </w:t>
      </w:r>
      <w:r w:rsidRPr="005C6730">
        <w:rPr>
          <w:rFonts w:asciiTheme="minorBidi" w:hAnsiTheme="minorBidi"/>
          <w:sz w:val="16"/>
          <w:szCs w:val="16"/>
          <w:rtl/>
        </w:rPr>
        <w:t xml:space="preserve">(לג.) </w:t>
      </w:r>
      <w:r w:rsidRPr="005C6730">
        <w:rPr>
          <w:rFonts w:asciiTheme="minorBidi" w:hAnsiTheme="minorBidi"/>
          <w:rtl/>
        </w:rPr>
        <w:t xml:space="preserve">בהדיא וז"ל לצלי איירי דלא בעי הדחה א"נ לקדרה והודח במי פירות עכ"ל, ויותר נראה דט"ס הוא ובמקום ר"ן צריך להיות תוספות </w:t>
      </w:r>
      <w:r w:rsidRPr="005C6730">
        <w:rPr>
          <w:rFonts w:asciiTheme="minorBidi" w:hAnsiTheme="minorBidi"/>
          <w:sz w:val="16"/>
          <w:szCs w:val="16"/>
          <w:rtl/>
        </w:rPr>
        <w:t>(ש"ך, וכעין זה כ' הט"ז)</w:t>
      </w:r>
      <w:r w:rsidRPr="005C6730">
        <w:rPr>
          <w:rFonts w:asciiTheme="minorBidi" w:hAnsiTheme="minorBidi"/>
          <w:rtl/>
        </w:rPr>
        <w:t xml:space="preserve">. </w:t>
      </w:r>
      <w:r w:rsidRPr="005C6730">
        <w:rPr>
          <w:rFonts w:asciiTheme="minorBidi" w:hAnsiTheme="minorBidi"/>
          <w:b/>
          <w:bCs/>
          <w:u w:val="single"/>
          <w:rtl/>
        </w:rPr>
        <w:t>[ג]</w:t>
      </w:r>
      <w:r w:rsidRPr="005C6730">
        <w:rPr>
          <w:rFonts w:asciiTheme="minorBidi" w:hAnsiTheme="minorBidi"/>
          <w:rtl/>
        </w:rPr>
        <w:t xml:space="preserve"> משמע להדיא מדברי התוס' דמיירי בהדחה ראשונה וא"כ מדוע חילק</w:t>
      </w:r>
      <w:r w:rsidRPr="005C6730">
        <w:rPr>
          <w:rFonts w:asciiTheme="minorBidi" w:hAnsiTheme="minorBidi"/>
          <w:sz w:val="16"/>
          <w:szCs w:val="16"/>
          <w:rtl/>
        </w:rPr>
        <w:t xml:space="preserve"> {בתשו'}</w:t>
      </w:r>
      <w:r w:rsidRPr="005C6730">
        <w:rPr>
          <w:rFonts w:asciiTheme="minorBidi" w:hAnsiTheme="minorBidi"/>
          <w:rtl/>
        </w:rPr>
        <w:t xml:space="preserve"> בין הדחה שקודם המליחה לאחריה. </w:t>
      </w:r>
      <w:r w:rsidRPr="005C6730">
        <w:rPr>
          <w:rFonts w:asciiTheme="minorBidi" w:hAnsiTheme="minorBidi"/>
          <w:sz w:val="16"/>
          <w:szCs w:val="16"/>
          <w:rtl/>
        </w:rPr>
        <w:t>(ועי' בתשו' רדב"ז [החדשות סי' לז] דשם איתא בהדיא דאף בהדחה ראשונה שרי במ"פ, פת"ש [סקי"ד])</w:t>
      </w:r>
    </w:p>
  </w:footnote>
  <w:footnote w:id="104">
    <w:p w14:paraId="5AF01C2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דבריו נכונים בטעמם ועוד דאם איתא דאסור לא הוו שתקי מיניה בגמרא. וכ' הדרכ"מ (אות יא) דמשמע דבין אם נתן מים מועטים או מרובים בדיעבד מותר דלא כתשובת מהרי"ו סימן נ"א דהחמיר לאסרו אם נתאדמו המים מן הציר, וכ"כ ב</w:t>
      </w:r>
      <w:r>
        <w:rPr>
          <w:rFonts w:asciiTheme="minorBidi" w:hAnsiTheme="minorBidi"/>
          <w:rtl/>
        </w:rPr>
        <w:t>או"ה</w:t>
      </w:r>
      <w:r w:rsidRPr="005C6730">
        <w:rPr>
          <w:rFonts w:asciiTheme="minorBidi" w:hAnsiTheme="minorBidi"/>
          <w:rtl/>
        </w:rPr>
        <w:t xml:space="preserve"> (כלל ו' דין יז וכלל א דין טו) דבדיעבד מותר אף במים מועטים</w:t>
      </w:r>
      <w:r w:rsidRPr="007F055E">
        <w:rPr>
          <w:rFonts w:asciiTheme="minorBidi" w:hAnsiTheme="minorBidi" w:hint="cs"/>
          <w:color w:val="00B0F0"/>
          <w:rtl/>
        </w:rPr>
        <w:t xml:space="preserve"> (וכ"פ הרמ"א)</w:t>
      </w:r>
      <w:r w:rsidRPr="005C6730">
        <w:rPr>
          <w:rFonts w:asciiTheme="minorBidi" w:hAnsiTheme="minorBidi"/>
          <w:rtl/>
        </w:rPr>
        <w:t>, וכן הוא בהגשע"ד (סי' כ סק"ח) בשם מהרא"י דנוהגין להתיר בדיעבד, וכן הוא בתרוה"ד סימן קע"ד, וכ"כ האגור בשם הר"ר שלום אע"פ שכתב שיש אוסרים.</w:t>
      </w:r>
    </w:p>
  </w:footnote>
  <w:footnote w:id="105">
    <w:p w14:paraId="48762C4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מרדכי </w:t>
      </w:r>
      <w:r w:rsidRPr="005C6730">
        <w:rPr>
          <w:rFonts w:asciiTheme="minorBidi" w:hAnsiTheme="minorBidi"/>
          <w:sz w:val="16"/>
          <w:szCs w:val="16"/>
          <w:rtl/>
        </w:rPr>
        <w:t xml:space="preserve">(כ"כ בשמו הדרכ"מ [אות יב]) </w:t>
      </w:r>
      <w:r>
        <w:rPr>
          <w:rFonts w:asciiTheme="minorBidi" w:hAnsiTheme="minorBidi"/>
          <w:rtl/>
        </w:rPr>
        <w:t>הג"א</w:t>
      </w:r>
      <w:r w:rsidRPr="005C6730">
        <w:rPr>
          <w:rFonts w:asciiTheme="minorBidi" w:hAnsiTheme="minorBidi"/>
          <w:rtl/>
        </w:rPr>
        <w:t xml:space="preserve"> </w:t>
      </w:r>
      <w:r w:rsidRPr="005C6730">
        <w:rPr>
          <w:rFonts w:asciiTheme="minorBidi" w:hAnsiTheme="minorBidi"/>
          <w:sz w:val="16"/>
          <w:szCs w:val="16"/>
          <w:rtl/>
        </w:rPr>
        <w:t xml:space="preserve">(סי' מג) </w:t>
      </w:r>
      <w:r w:rsidRPr="005C6730">
        <w:rPr>
          <w:rFonts w:asciiTheme="minorBidi" w:hAnsiTheme="minorBidi"/>
          <w:rtl/>
        </w:rPr>
        <w:t xml:space="preserve">שע"ד </w:t>
      </w:r>
      <w:r w:rsidRPr="005C6730">
        <w:rPr>
          <w:rFonts w:asciiTheme="minorBidi" w:hAnsiTheme="minorBidi"/>
          <w:sz w:val="16"/>
          <w:szCs w:val="16"/>
          <w:rtl/>
        </w:rPr>
        <w:t>(סי' יד)</w:t>
      </w:r>
      <w:r w:rsidRPr="005C6730">
        <w:rPr>
          <w:rFonts w:asciiTheme="minorBidi" w:hAnsiTheme="minorBidi"/>
          <w:rtl/>
        </w:rPr>
        <w:t xml:space="preserve"> ו</w:t>
      </w:r>
      <w:r>
        <w:rPr>
          <w:rFonts w:asciiTheme="minorBidi" w:hAnsiTheme="minorBidi"/>
          <w:rtl/>
        </w:rPr>
        <w:t>או"ה</w:t>
      </w:r>
      <w:r w:rsidRPr="005C6730">
        <w:rPr>
          <w:rFonts w:asciiTheme="minorBidi" w:hAnsiTheme="minorBidi"/>
          <w:sz w:val="16"/>
          <w:szCs w:val="16"/>
          <w:rtl/>
        </w:rPr>
        <w:t xml:space="preserve"> (כלל א דין טו)</w:t>
      </w:r>
      <w:r w:rsidRPr="005C6730">
        <w:rPr>
          <w:rFonts w:asciiTheme="minorBidi" w:hAnsiTheme="minorBidi"/>
          <w:rtl/>
        </w:rPr>
        <w:t xml:space="preserve">. </w:t>
      </w:r>
    </w:p>
  </w:footnote>
  <w:footnote w:id="106">
    <w:p w14:paraId="788CE37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שם המרדכי (סי' תשכה) על בשר דשהה במלח כדי שיעור צלייה על דף אחד ואח"כ הושם בגיגית והיה שם כל הלילה ואח"כ נמצא הכלי מלא מן המליחה שיצא זה אירע בביתו של רש"י והתיר. וכ"כ רבינו שמעיה בן בתו שהוא עצמו שאל לרש"י והתיר דכיון דשהה כשיעור צלייה כבר יצא הדם ואין זה כי אם מוהל בעלמא תדע שהרי אחר ששהתה כדי שיעור צלייה היה מותר להדיחו ולבשלו בקדירה אע"פ שעדיין נפלט ממנו לאחר כן, ומ"מ אין בנו כח להתיר שכבר נהגו הצבור לאסור תוספות וגם בעל רוקח בסמוך, וראבי"ה כתב להתיר.</w:t>
      </w:r>
    </w:p>
  </w:footnote>
  <w:footnote w:id="107">
    <w:p w14:paraId="4FFF90B1" w14:textId="77777777" w:rsidR="004C5A3C" w:rsidRPr="005C6730" w:rsidRDefault="004C5A3C" w:rsidP="002C39F4">
      <w:pPr>
        <w:pStyle w:val="a5"/>
        <w:rPr>
          <w:rFonts w:asciiTheme="minorBidi" w:hAnsiTheme="minorBidi"/>
          <w:color w:val="000000" w:themeColor="text1"/>
          <w:rtl/>
        </w:rPr>
      </w:pPr>
      <w:r w:rsidRPr="005C6730">
        <w:rPr>
          <w:rStyle w:val="a7"/>
          <w:rFonts w:asciiTheme="minorBidi" w:hAnsiTheme="minorBidi"/>
          <w:color w:val="000000" w:themeColor="text1"/>
        </w:rPr>
        <w:footnoteRef/>
      </w:r>
      <w:r w:rsidRPr="005C6730">
        <w:rPr>
          <w:rFonts w:asciiTheme="minorBidi" w:hAnsiTheme="minorBidi"/>
          <w:color w:val="000000" w:themeColor="text1"/>
          <w:rtl/>
        </w:rPr>
        <w:t xml:space="preserve"> ולא חשיב כרותח לאסור הבשר, ולאו דוקא מים אלא ה"ה ציר</w:t>
      </w:r>
      <w:r w:rsidRPr="005C6730">
        <w:rPr>
          <w:rFonts w:asciiTheme="minorBidi" w:hAnsiTheme="minorBidi"/>
          <w:color w:val="000000" w:themeColor="text1"/>
          <w:sz w:val="14"/>
          <w:szCs w:val="14"/>
          <w:rtl/>
        </w:rPr>
        <w:t xml:space="preserve"> (היינו לד' השו"ע בסע' כ, דגמ"ר)</w:t>
      </w:r>
      <w:r w:rsidRPr="005C6730">
        <w:rPr>
          <w:rFonts w:asciiTheme="minorBidi" w:hAnsiTheme="minorBidi"/>
          <w:color w:val="000000" w:themeColor="text1"/>
          <w:rtl/>
        </w:rPr>
        <w:t>, אלא דנקט מים לאפוקי היכא דליכא לא מים ולא מוהל אלא מיחוי דם של איסור גרידא דאז המלח חוזר ונבלע בבשר ואסור עכ"פ כדי קליפה, ועיין בסע' כ', ש"ך</w:t>
      </w:r>
      <w:r w:rsidRPr="005C6730">
        <w:rPr>
          <w:rFonts w:asciiTheme="minorBidi" w:hAnsiTheme="minorBidi"/>
          <w:color w:val="000000" w:themeColor="text1"/>
          <w:sz w:val="16"/>
          <w:szCs w:val="16"/>
          <w:rtl/>
        </w:rPr>
        <w:t xml:space="preserve"> (סקל"א)</w:t>
      </w:r>
      <w:r w:rsidRPr="005C6730">
        <w:rPr>
          <w:rFonts w:asciiTheme="minorBidi" w:hAnsiTheme="minorBidi"/>
          <w:color w:val="000000" w:themeColor="text1"/>
          <w:rtl/>
        </w:rPr>
        <w:t>.</w:t>
      </w:r>
    </w:p>
  </w:footnote>
  <w:footnote w:id="108">
    <w:p w14:paraId="1A5EBA55" w14:textId="77777777" w:rsidR="004C5A3C" w:rsidRPr="005C6730" w:rsidRDefault="004C5A3C" w:rsidP="002C39F4">
      <w:pPr>
        <w:pStyle w:val="a5"/>
        <w:rPr>
          <w:rFonts w:asciiTheme="minorBidi" w:hAnsiTheme="minorBidi"/>
          <w:color w:val="000000" w:themeColor="text1"/>
        </w:rPr>
      </w:pPr>
      <w:r w:rsidRPr="005C6730">
        <w:rPr>
          <w:rStyle w:val="a7"/>
          <w:rFonts w:asciiTheme="minorBidi" w:hAnsiTheme="minorBidi"/>
          <w:color w:val="000000" w:themeColor="text1"/>
        </w:rPr>
        <w:footnoteRef/>
      </w:r>
      <w:r w:rsidRPr="005C6730">
        <w:rPr>
          <w:rFonts w:asciiTheme="minorBidi" w:hAnsiTheme="minorBidi"/>
          <w:color w:val="000000" w:themeColor="text1"/>
          <w:rtl/>
        </w:rPr>
        <w:t xml:space="preserve"> וכ' באו"ה כלל י' דין י"ט דאפי' נמצא קצת מוהל תוך הקערה שרי בזמן מועט כו' ע"ש, ולקמן ס"ק [פ] (ע"ד) יתבאר דאם נמצא ציר ממש בכלי נאסר מיד </w:t>
      </w:r>
      <w:r w:rsidRPr="005C6730">
        <w:rPr>
          <w:rFonts w:asciiTheme="minorBidi" w:hAnsiTheme="minorBidi"/>
          <w:color w:val="000000" w:themeColor="text1"/>
          <w:sz w:val="14"/>
          <w:szCs w:val="14"/>
          <w:rtl/>
        </w:rPr>
        <w:t>(היינו לד' הרמ"א בסע' כ, דגמ"ר)</w:t>
      </w:r>
      <w:r w:rsidRPr="005C6730">
        <w:rPr>
          <w:rFonts w:asciiTheme="minorBidi" w:hAnsiTheme="minorBidi"/>
          <w:color w:val="000000" w:themeColor="text1"/>
          <w:rtl/>
        </w:rPr>
        <w:t xml:space="preserve"> ע"ש, ש"ך (סקל"ב). </w:t>
      </w:r>
    </w:p>
  </w:footnote>
  <w:footnote w:id="109">
    <w:p w14:paraId="3F1F1529" w14:textId="77777777" w:rsidR="004C5A3C" w:rsidRPr="005C6730" w:rsidRDefault="004C5A3C" w:rsidP="002C39F4">
      <w:pPr>
        <w:pStyle w:val="a5"/>
        <w:rPr>
          <w:rFonts w:asciiTheme="minorBidi" w:hAnsiTheme="minorBidi"/>
        </w:rPr>
      </w:pPr>
      <w:r w:rsidRPr="005C6730">
        <w:rPr>
          <w:rStyle w:val="a7"/>
          <w:rFonts w:asciiTheme="minorBidi" w:hAnsiTheme="minorBidi"/>
          <w:color w:val="000000" w:themeColor="text1"/>
        </w:rPr>
        <w:footnoteRef/>
      </w:r>
      <w:r w:rsidRPr="005C6730">
        <w:rPr>
          <w:rFonts w:asciiTheme="minorBidi" w:hAnsiTheme="minorBidi"/>
          <w:color w:val="000000" w:themeColor="text1"/>
          <w:rtl/>
        </w:rPr>
        <w:t xml:space="preserve"> כלומר כיון שהכלי אינו מלוכלך אין חילוק אפי' אין שם מים בכלי, ומשמע מדברי הר"ב דאפי' הכלי בן יומו מותר כשאינו מלוכלך </w:t>
      </w:r>
      <w:r w:rsidRPr="005C6730">
        <w:rPr>
          <w:rFonts w:asciiTheme="minorBidi" w:hAnsiTheme="minorBidi"/>
          <w:rtl/>
        </w:rPr>
        <w:t xml:space="preserve">ועמ"ש מזה בסקע"ז, ש"ך </w:t>
      </w:r>
      <w:r w:rsidRPr="005C6730">
        <w:rPr>
          <w:rFonts w:asciiTheme="minorBidi" w:hAnsiTheme="minorBidi"/>
          <w:sz w:val="16"/>
          <w:szCs w:val="16"/>
          <w:rtl/>
        </w:rPr>
        <w:t>(סקל"ג)</w:t>
      </w:r>
      <w:r w:rsidRPr="005C6730">
        <w:rPr>
          <w:rFonts w:asciiTheme="minorBidi" w:hAnsiTheme="minorBidi"/>
          <w:rtl/>
        </w:rPr>
        <w:t>. אבל אם מלוכלך אין היתר אא"כ שיהיה מעט מים בכלי כדמסיק אח"כ, ט"ז</w:t>
      </w:r>
      <w:r w:rsidRPr="005C6730">
        <w:rPr>
          <w:rFonts w:asciiTheme="minorBidi" w:hAnsiTheme="minorBidi"/>
          <w:sz w:val="16"/>
          <w:szCs w:val="16"/>
          <w:rtl/>
        </w:rPr>
        <w:t xml:space="preserve"> (סקי"ח)</w:t>
      </w:r>
      <w:r w:rsidRPr="005C6730">
        <w:rPr>
          <w:rFonts w:asciiTheme="minorBidi" w:hAnsiTheme="minorBidi"/>
          <w:rtl/>
        </w:rPr>
        <w:t>. ורש"ל</w:t>
      </w:r>
      <w:r w:rsidRPr="005C6730">
        <w:rPr>
          <w:rFonts w:asciiTheme="minorBidi" w:hAnsiTheme="minorBidi"/>
          <w:sz w:val="16"/>
          <w:szCs w:val="16"/>
          <w:rtl/>
        </w:rPr>
        <w:t xml:space="preserve"> (פכ"ה סי' פג, הביאו הט"ז בסוף דבריו)</w:t>
      </w:r>
      <w:r w:rsidRPr="005C6730">
        <w:rPr>
          <w:rFonts w:asciiTheme="minorBidi" w:hAnsiTheme="minorBidi"/>
          <w:rtl/>
        </w:rPr>
        <w:t xml:space="preserve"> פסק דאף אם הכלי חולבת מלוכלך בשיורי פירורי מאכל חלב אפי' הוא לח אינו אוסר אא"כ נשתייר בו לכלוך חלב ממש.</w:t>
      </w:r>
    </w:p>
  </w:footnote>
  <w:footnote w:id="110">
    <w:p w14:paraId="267BAE4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ראב"ן </w:t>
      </w:r>
      <w:r w:rsidRPr="005C6730">
        <w:rPr>
          <w:rFonts w:asciiTheme="minorBidi" w:hAnsiTheme="minorBidi"/>
          <w:sz w:val="16"/>
          <w:szCs w:val="16"/>
          <w:rtl/>
        </w:rPr>
        <w:t xml:space="preserve">(סי' כד, ובהגשע"ד העתיק לשונו [סי' י סק"א]) </w:t>
      </w:r>
      <w:r w:rsidRPr="005C6730">
        <w:rPr>
          <w:rFonts w:asciiTheme="minorBidi" w:hAnsiTheme="minorBidi"/>
          <w:rtl/>
        </w:rPr>
        <w:t xml:space="preserve">סמ"ק </w:t>
      </w:r>
      <w:r w:rsidRPr="005C6730">
        <w:rPr>
          <w:rFonts w:asciiTheme="minorBidi" w:hAnsiTheme="minorBidi"/>
          <w:sz w:val="16"/>
          <w:szCs w:val="16"/>
          <w:rtl/>
        </w:rPr>
        <w:t xml:space="preserve">(סי' רה, וכ"כ בשמו ההגה"מ [ד"ק פ"ו ה"י]) </w:t>
      </w:r>
      <w:r w:rsidRPr="005C6730">
        <w:rPr>
          <w:rFonts w:asciiTheme="minorBidi" w:hAnsiTheme="minorBidi"/>
          <w:rtl/>
        </w:rPr>
        <w:t xml:space="preserve">מהר"ם </w:t>
      </w:r>
      <w:r w:rsidRPr="005C6730">
        <w:rPr>
          <w:rFonts w:asciiTheme="minorBidi" w:hAnsiTheme="minorBidi"/>
          <w:sz w:val="16"/>
          <w:szCs w:val="16"/>
          <w:rtl/>
        </w:rPr>
        <w:t>(פסקים ומנהגים ח"ב סי' לא, הביאוהו המרדכי וההגה"מ)</w:t>
      </w:r>
      <w:r w:rsidRPr="005C6730">
        <w:rPr>
          <w:rFonts w:asciiTheme="minorBidi" w:hAnsiTheme="minorBidi"/>
          <w:rtl/>
        </w:rPr>
        <w:t xml:space="preserve"> או"ז </w:t>
      </w:r>
      <w:r w:rsidRPr="005C6730">
        <w:rPr>
          <w:rFonts w:asciiTheme="minorBidi" w:hAnsiTheme="minorBidi"/>
          <w:sz w:val="16"/>
          <w:szCs w:val="16"/>
          <w:rtl/>
        </w:rPr>
        <w:t>(ח"א סי' תעד [הביאו ה</w:t>
      </w:r>
      <w:r>
        <w:rPr>
          <w:rFonts w:asciiTheme="minorBidi" w:hAnsiTheme="minorBidi"/>
          <w:sz w:val="16"/>
          <w:szCs w:val="16"/>
          <w:rtl/>
        </w:rPr>
        <w:t>הג"א</w:t>
      </w:r>
      <w:r w:rsidRPr="005C6730">
        <w:rPr>
          <w:rFonts w:asciiTheme="minorBidi" w:hAnsiTheme="minorBidi"/>
          <w:sz w:val="16"/>
          <w:szCs w:val="16"/>
          <w:rtl/>
        </w:rPr>
        <w:t xml:space="preserve"> [פכ"ה סי' מג]) </w:t>
      </w:r>
      <w:r w:rsidRPr="005C6730">
        <w:rPr>
          <w:rFonts w:asciiTheme="minorBidi" w:hAnsiTheme="minorBidi"/>
          <w:rtl/>
        </w:rPr>
        <w:t xml:space="preserve">וטור </w:t>
      </w:r>
      <w:r w:rsidRPr="005C6730">
        <w:rPr>
          <w:rFonts w:asciiTheme="minorBidi" w:hAnsiTheme="minorBidi"/>
          <w:sz w:val="16"/>
          <w:szCs w:val="16"/>
          <w:rtl/>
        </w:rPr>
        <w:t>(וכ' הב"י דאע"ג שכ' הטור בס"ס ק"ה סברות בדין זה העיקר כמו שסתם כאן)</w:t>
      </w:r>
      <w:r w:rsidRPr="005C6730">
        <w:rPr>
          <w:rFonts w:asciiTheme="minorBidi" w:hAnsiTheme="minorBidi"/>
          <w:rtl/>
        </w:rPr>
        <w:t xml:space="preserve">. וכ' הדרכ"מ </w:t>
      </w:r>
      <w:r w:rsidRPr="005C6730">
        <w:rPr>
          <w:rFonts w:asciiTheme="minorBidi" w:hAnsiTheme="minorBidi"/>
          <w:sz w:val="16"/>
          <w:szCs w:val="16"/>
          <w:rtl/>
        </w:rPr>
        <w:t xml:space="preserve">(אות טו, עיין בדרכ"מ הארוך על אתר) </w:t>
      </w:r>
      <w:r w:rsidRPr="005C6730">
        <w:rPr>
          <w:rFonts w:asciiTheme="minorBidi" w:hAnsiTheme="minorBidi"/>
          <w:rtl/>
        </w:rPr>
        <w:t xml:space="preserve">שכן פסקו שע"ד </w:t>
      </w:r>
      <w:r w:rsidRPr="005C6730">
        <w:rPr>
          <w:rFonts w:asciiTheme="minorBidi" w:hAnsiTheme="minorBidi"/>
          <w:sz w:val="16"/>
          <w:szCs w:val="16"/>
          <w:rtl/>
        </w:rPr>
        <w:t xml:space="preserve">(ש"א סי' א) </w:t>
      </w:r>
      <w:r w:rsidRPr="005C6730">
        <w:rPr>
          <w:rFonts w:asciiTheme="minorBidi" w:hAnsiTheme="minorBidi"/>
          <w:rtl/>
        </w:rPr>
        <w:t xml:space="preserve">מהרא"י </w:t>
      </w:r>
      <w:r w:rsidRPr="005C6730">
        <w:rPr>
          <w:rFonts w:asciiTheme="minorBidi" w:hAnsiTheme="minorBidi"/>
          <w:sz w:val="16"/>
          <w:szCs w:val="16"/>
          <w:rtl/>
        </w:rPr>
        <w:t xml:space="preserve">(בהגשע"ד סק"ו) </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י"א דין ד)</w:t>
      </w:r>
      <w:r w:rsidRPr="005C6730">
        <w:rPr>
          <w:rFonts w:asciiTheme="minorBidi" w:hAnsiTheme="minorBidi"/>
          <w:rtl/>
        </w:rPr>
        <w:t>.</w:t>
      </w:r>
    </w:p>
  </w:footnote>
  <w:footnote w:id="111">
    <w:p w14:paraId="71D967E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כאילו היה המלח כולו דם דקיי"ל דחתיכה עצמה נעשית נבלה גם בשאר איסורין </w:t>
      </w:r>
      <w:r w:rsidRPr="005C6730">
        <w:rPr>
          <w:rFonts w:asciiTheme="minorBidi" w:hAnsiTheme="minorBidi"/>
          <w:sz w:val="16"/>
          <w:szCs w:val="16"/>
          <w:rtl/>
        </w:rPr>
        <w:t>(דלא כפירוש רבינו אפרים שפירש בבשר בחלב דוקא)</w:t>
      </w:r>
      <w:r w:rsidRPr="005C6730">
        <w:rPr>
          <w:rFonts w:asciiTheme="minorBidi" w:hAnsiTheme="minorBidi"/>
          <w:rtl/>
        </w:rPr>
        <w:t xml:space="preserve">, הגה"מ בשם סמ"ק (הביאם הב"י). וכ' ההגשע"ד </w:t>
      </w:r>
      <w:r w:rsidRPr="005C6730">
        <w:rPr>
          <w:rFonts w:asciiTheme="minorBidi" w:hAnsiTheme="minorBidi"/>
          <w:sz w:val="16"/>
          <w:szCs w:val="16"/>
          <w:rtl/>
        </w:rPr>
        <w:t xml:space="preserve">(סי' א סק"א) </w:t>
      </w:r>
      <w:r w:rsidRPr="005C6730">
        <w:rPr>
          <w:rFonts w:asciiTheme="minorBidi" w:hAnsiTheme="minorBidi"/>
          <w:rtl/>
        </w:rPr>
        <w:t xml:space="preserve">וב"ז </w:t>
      </w:r>
      <w:r w:rsidRPr="005C6730">
        <w:rPr>
          <w:rFonts w:asciiTheme="minorBidi" w:hAnsiTheme="minorBidi"/>
          <w:sz w:val="16"/>
          <w:szCs w:val="16"/>
          <w:rtl/>
        </w:rPr>
        <w:t>(סי' שלב)</w:t>
      </w:r>
      <w:r w:rsidRPr="005C6730">
        <w:rPr>
          <w:rFonts w:asciiTheme="minorBidi" w:hAnsiTheme="minorBidi"/>
          <w:rtl/>
        </w:rPr>
        <w:t xml:space="preserve"> ע"פ דברי האו"ז דאין לומר שבכל חתיכה יש ששים כנגד הדם שעליה אלא רק בחתיכה עבה שדמה מרובה ומלחה מועט, אבל בחתיכה קלושה דמלחה מרובה ודמה מועט צריך לצרף את כל מה שיש בקדרה כדי לבטל הדם</w:t>
      </w:r>
      <w:r w:rsidRPr="005C6730">
        <w:rPr>
          <w:rFonts w:asciiTheme="minorBidi" w:hAnsiTheme="minorBidi"/>
          <w:sz w:val="16"/>
          <w:szCs w:val="16"/>
          <w:rtl/>
        </w:rPr>
        <w:t xml:space="preserve"> {לכן אם אין שם אלא החתיכה לבד אין להתיר}</w:t>
      </w:r>
      <w:r w:rsidRPr="005C6730">
        <w:rPr>
          <w:rFonts w:asciiTheme="minorBidi" w:hAnsiTheme="minorBidi"/>
          <w:rtl/>
        </w:rPr>
        <w:t>. הביאם הדרכ"מ (אות יד), וסיים שם דשאר הפוסקים אינן סוברין כן לכן אין להתיר רק בדאיכא שאר דבר ג"כ בקדרה המצטרף לבטל, וב</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י"א דין ד)</w:t>
      </w:r>
      <w:r w:rsidRPr="005C6730">
        <w:rPr>
          <w:rFonts w:asciiTheme="minorBidi" w:hAnsiTheme="minorBidi"/>
          <w:rtl/>
        </w:rPr>
        <w:t xml:space="preserve"> כתב דאי יש בקדרה שאר דברים כ"כ כמו הבשר אז הוי ודאי ששים עם הבשר ושרי.</w:t>
      </w:r>
    </w:p>
  </w:footnote>
  <w:footnote w:id="112">
    <w:p w14:paraId="3C73024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שדבר פשוט הוא שכל בשר יבש שהזכירו בענין זה הוא ע"פ מנהג האשכנזים שמולחים הבשר להוציאו מידי דמו ואין מדיחין אותו אחר המליחה אלא מייבשין אותו כמות שהוא עם מלחו דאילו למנהג הספרדים שמדיחין ומכשירין הבשר אחר מליחה שהיא להוציא דמו וחוזרין ומולחין אותו שנית ומייבשין אותו דכיון שכבר הודח ממליחה ראשונה והוכשר כי מלח ליה שנית מאי הוי אפילו לאכלו במלחו שרי בודאי ומוהל היוצא ממנו מישרא שרי. וכ"כ הדרכ"מ (אות יח).</w:t>
      </w:r>
    </w:p>
  </w:footnote>
  <w:footnote w:id="113">
    <w:p w14:paraId="232B01B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עד כאן אלו דברי הראב"ן, והטעם שיש להתיר בשר יבש אפי' ללא שיעור הוא משום שהדחה אחרונה היא כדי להדיחו מן הדם שנתלכלך מבחוץ ועתה שנתייבש אין בו לחלוחית הדם, ומיהו נהגו העולם כשמדיחין בשר יבש מן המלח במים חמין נזהרין שלא תהא היד סולדת בו והיינו לכתחלה ומ"מ דיעבד יש להתיר, וכ' שע"ד </w:t>
      </w:r>
      <w:r w:rsidRPr="005C6730">
        <w:rPr>
          <w:rFonts w:asciiTheme="minorBidi" w:hAnsiTheme="minorBidi"/>
          <w:sz w:val="16"/>
          <w:szCs w:val="16"/>
          <w:rtl/>
        </w:rPr>
        <w:t xml:space="preserve">(סי' י) </w:t>
      </w:r>
      <w:r w:rsidRPr="005C6730">
        <w:rPr>
          <w:rFonts w:asciiTheme="minorBidi" w:hAnsiTheme="minorBidi"/>
          <w:rtl/>
        </w:rPr>
        <w:t xml:space="preserve">שכן דעת ראבי"ה </w:t>
      </w:r>
      <w:r w:rsidRPr="005C6730">
        <w:rPr>
          <w:rFonts w:asciiTheme="minorBidi" w:hAnsiTheme="minorBidi"/>
          <w:sz w:val="16"/>
          <w:szCs w:val="16"/>
          <w:rtl/>
        </w:rPr>
        <w:t>(כך כ' הב"י (וכנראה כך היה גירסתו בשע"ד) אך לפני בשע"ד איתא- רבינו יעקב הלוי)</w:t>
      </w:r>
      <w:r w:rsidRPr="005C6730">
        <w:rPr>
          <w:rFonts w:asciiTheme="minorBidi" w:hAnsiTheme="minorBidi"/>
          <w:rtl/>
        </w:rPr>
        <w:t>. ומדברי הראב"ן משמע דמי שמתיר בבשר לח</w:t>
      </w:r>
      <w:r w:rsidRPr="005C6730">
        <w:rPr>
          <w:rFonts w:asciiTheme="minorBidi" w:hAnsiTheme="minorBidi"/>
          <w:sz w:val="16"/>
          <w:szCs w:val="16"/>
          <w:rtl/>
        </w:rPr>
        <w:t xml:space="preserve"> (כשיש בחתיכה שישים כנגד המלח) </w:t>
      </w:r>
      <w:r w:rsidRPr="005C6730">
        <w:rPr>
          <w:rFonts w:asciiTheme="minorBidi" w:hAnsiTheme="minorBidi"/>
          <w:rtl/>
        </w:rPr>
        <w:t xml:space="preserve">כל שכן שמתיר בשר יבש </w:t>
      </w:r>
      <w:r w:rsidRPr="005C6730">
        <w:rPr>
          <w:rFonts w:asciiTheme="minorBidi" w:hAnsiTheme="minorBidi"/>
          <w:sz w:val="16"/>
          <w:szCs w:val="16"/>
          <w:rtl/>
        </w:rPr>
        <w:t>(וכן משמע ממה שהעתיק המרדכי [בסי' תשכא] בשמו, וז"ל המרדכי- בשר יבש שנתבשל ולא הודח כתב ראב"ן להתיר והאריך בראיותיו ולא מיבעיא בשר יבש אלא אפילו לח מיד כשמשימין הבשר במים נמס המלח מעל הבשר ובטל בששים וכן נוהג הר"ם להתיר)</w:t>
      </w:r>
      <w:r w:rsidRPr="005C6730">
        <w:rPr>
          <w:rFonts w:asciiTheme="minorBidi" w:hAnsiTheme="minorBidi"/>
          <w:rtl/>
        </w:rPr>
        <w:t>. וכן משמע מהדרכ"מ (אות טז).</w:t>
      </w:r>
    </w:p>
  </w:footnote>
  <w:footnote w:id="114">
    <w:p w14:paraId="43EC70A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ואע"ג שבשו"ע לא הבדיל בין בשר לח ליבש </w:t>
      </w:r>
      <w:r w:rsidRPr="005C6730">
        <w:rPr>
          <w:rFonts w:asciiTheme="minorBidi" w:hAnsiTheme="minorBidi"/>
          <w:sz w:val="16"/>
          <w:szCs w:val="16"/>
          <w:rtl/>
        </w:rPr>
        <w:t>(אלא כתב בסתם שצריך ששים כנגד המלח שבו)</w:t>
      </w:r>
      <w:r w:rsidRPr="005C6730">
        <w:rPr>
          <w:rFonts w:asciiTheme="minorBidi" w:hAnsiTheme="minorBidi"/>
          <w:rtl/>
        </w:rPr>
        <w:t xml:space="preserve"> כתב הדרכ"מ (אות טז) וז"ל- ונראה דעת ב"י דהסכים להתיר כדעת רוב הפוסקים</w:t>
      </w:r>
      <w:r w:rsidRPr="005C6730">
        <w:rPr>
          <w:rFonts w:asciiTheme="minorBidi" w:hAnsiTheme="minorBidi"/>
          <w:sz w:val="16"/>
          <w:szCs w:val="16"/>
          <w:rtl/>
        </w:rPr>
        <w:t xml:space="preserve"> {גבי בשר יבש דחידוש הוא שאינו צריך שיעור}</w:t>
      </w:r>
      <w:r w:rsidRPr="005C6730">
        <w:rPr>
          <w:rFonts w:asciiTheme="minorBidi" w:hAnsiTheme="minorBidi"/>
          <w:rtl/>
        </w:rPr>
        <w:t>, אמנם ב</w:t>
      </w:r>
      <w:r>
        <w:rPr>
          <w:rFonts w:asciiTheme="minorBidi" w:hAnsiTheme="minorBidi"/>
          <w:rtl/>
        </w:rPr>
        <w:t>או"ה</w:t>
      </w:r>
      <w:r w:rsidRPr="005C6730">
        <w:rPr>
          <w:rFonts w:asciiTheme="minorBidi" w:hAnsiTheme="minorBidi"/>
          <w:rtl/>
        </w:rPr>
        <w:t xml:space="preserve"> (כלל י"א דין ה) משמע דיש נוהגין לאסרו, ולי נראה דהמיקל לא הפסיד דהרי אפילו בבשר לח סבירא להו למקצת רבוותא דאין לך חתיכה שאין בה ששים נגד מלח שעליה ולכן יש להתיר בבשר יבש דאפילו לא נתייבש לגמרי מכל מקום ודאי איכא ששים נגד דם ומלח שעליו כן נ"ל. </w:t>
      </w:r>
    </w:p>
  </w:footnote>
  <w:footnote w:id="115">
    <w:p w14:paraId="60AA03C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הביאם המרדכי (סי' תרעא). וכן דעת הרוקח </w:t>
      </w:r>
      <w:r w:rsidRPr="005C6730">
        <w:rPr>
          <w:rFonts w:asciiTheme="minorBidi" w:hAnsiTheme="minorBidi"/>
          <w:sz w:val="16"/>
          <w:szCs w:val="16"/>
          <w:rtl/>
        </w:rPr>
        <w:t>(סי' תיח, הביאו המרדכי [סי' תשכו])</w:t>
      </w:r>
      <w:r w:rsidRPr="005C6730">
        <w:rPr>
          <w:rFonts w:asciiTheme="minorBidi" w:hAnsiTheme="minorBidi"/>
          <w:rtl/>
        </w:rPr>
        <w:t xml:space="preserve"> וכ' דיש לאסור בשר שנמלח ולא הודח ונתנו בקדרה ואפילו בשר יבש שלא הודח באחרונה שהניחו לפשר במים והורתח אסור.</w:t>
      </w:r>
    </w:p>
  </w:footnote>
  <w:footnote w:id="116">
    <w:p w14:paraId="75604FC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דדוקא בציר וכיוצא בו מתבטל טעמו אבל בקדרה של מים ובשר אין בטל החומץ והמלח אפילו באלף </w:t>
      </w:r>
      <w:r w:rsidRPr="005C6730">
        <w:rPr>
          <w:rFonts w:asciiTheme="minorBidi" w:hAnsiTheme="minorBidi"/>
          <w:sz w:val="16"/>
          <w:szCs w:val="16"/>
          <w:rtl/>
        </w:rPr>
        <w:t>{כיון דלטעמא עביד}</w:t>
      </w:r>
      <w:r w:rsidRPr="005C6730">
        <w:rPr>
          <w:rFonts w:asciiTheme="minorBidi" w:hAnsiTheme="minorBidi"/>
          <w:rtl/>
        </w:rPr>
        <w:t>. וכ' הגה"מ בשם סמ"ק (הביאם הב"י) דליתא דאין לאסור דבר הבלוע מאיסור יותר מדבר האוסרו. וכ' הט"ז (סקי"ט) דא"ל הא קי"ל מילתא דעבידא לטעמא אפי' באלף לא בטיל ומלח הוא נותן טעם דכבר תירץ ריש שע"ד דזהו דוקא אם גוף האיסור הוא נותן טעם משא"כ כאן המלח אינו אוסר אלא מכח דם שבו והדם אינו נותן טעם.</w:t>
      </w:r>
    </w:p>
  </w:footnote>
  <w:footnote w:id="117">
    <w:p w14:paraId="0AE12E4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וטוב שידיחו הדחה אחרונה לבשר יבש במים פושרים שחזק יותר להסיר הדם והמלח שנתייבשו עליו ממים צוננים, </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יא דין ו, הביאו הדרכ"מ [אות טז])</w:t>
      </w:r>
      <w:r w:rsidRPr="005C6730">
        <w:rPr>
          <w:rFonts w:asciiTheme="minorBidi" w:hAnsiTheme="minorBidi"/>
          <w:rtl/>
        </w:rPr>
        <w:t>.</w:t>
      </w:r>
    </w:p>
  </w:footnote>
  <w:footnote w:id="118">
    <w:p w14:paraId="7BB9416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הדרכ"מ </w:t>
      </w:r>
      <w:r w:rsidRPr="005C6730">
        <w:rPr>
          <w:rFonts w:asciiTheme="minorBidi" w:hAnsiTheme="minorBidi"/>
          <w:sz w:val="16"/>
          <w:szCs w:val="16"/>
          <w:rtl/>
        </w:rPr>
        <w:t xml:space="preserve">(אות יז) </w:t>
      </w:r>
      <w:r w:rsidRPr="005C6730">
        <w:rPr>
          <w:rFonts w:asciiTheme="minorBidi" w:hAnsiTheme="minorBidi"/>
          <w:rtl/>
        </w:rPr>
        <w:t xml:space="preserve">דכ"ה דעת הסמ"ק </w:t>
      </w:r>
      <w:r w:rsidRPr="005C6730">
        <w:rPr>
          <w:rFonts w:asciiTheme="minorBidi" w:hAnsiTheme="minorBidi"/>
          <w:sz w:val="16"/>
          <w:szCs w:val="16"/>
          <w:rtl/>
        </w:rPr>
        <w:t>(כ"כ בשמו ההגה"מ [פ"ו מאכא אות ח])</w:t>
      </w:r>
      <w:r w:rsidRPr="005C6730">
        <w:rPr>
          <w:rFonts w:asciiTheme="minorBidi" w:hAnsiTheme="minorBidi"/>
          <w:rtl/>
        </w:rPr>
        <w:t>, וכ' עוד הדרכ"מ דאף בלא הטעם שכתב דיש ששים נגד דם אפ"ה שרי דהא כתבתי</w:t>
      </w:r>
      <w:r w:rsidRPr="005C6730">
        <w:rPr>
          <w:rFonts w:asciiTheme="minorBidi" w:hAnsiTheme="minorBidi"/>
          <w:sz w:val="16"/>
          <w:szCs w:val="16"/>
          <w:rtl/>
        </w:rPr>
        <w:t xml:space="preserve"> (אות יא יג) </w:t>
      </w:r>
      <w:r w:rsidRPr="005C6730">
        <w:rPr>
          <w:rFonts w:asciiTheme="minorBidi" w:hAnsiTheme="minorBidi"/>
          <w:rtl/>
        </w:rPr>
        <w:t>דאפי' בבשר לח המים מבטלים כח המלח ואינו נבלע תוך הבשר, ואי מיירי שמונח שם מעת לעת דהוי ככבוש או מיירי ששראו במים חמין ולכך היה ראוי לאסור אי לאו דאיכא ששים, וכ"מ שם דאיירי בכה"ג, מ"מ אין דבריו נראין, דא"כ הוא כמבושל וצריכין לבטל כל המלח כמו שאכתוב בסמוך (ארוך אות יא) ולא דם שבמלח בלבד, כן נראה לי.</w:t>
      </w:r>
    </w:p>
  </w:footnote>
  <w:footnote w:id="119">
    <w:p w14:paraId="0D0F87B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וכן אם נכבש הבשר לאחר המליחה במים מעל"ע הוי כמבושל, דרכ"מ (אות טז-יז). וכ"ה ב</w:t>
      </w:r>
      <w:r>
        <w:rPr>
          <w:rFonts w:asciiTheme="minorBidi" w:hAnsiTheme="minorBidi"/>
          <w:rtl/>
        </w:rPr>
        <w:t>או"ה</w:t>
      </w:r>
      <w:r w:rsidRPr="005C6730">
        <w:rPr>
          <w:rFonts w:asciiTheme="minorBidi" w:hAnsiTheme="minorBidi"/>
          <w:rtl/>
        </w:rPr>
        <w:t xml:space="preserve"> (כלל יא דין ז).</w:t>
      </w:r>
    </w:p>
  </w:footnote>
  <w:footnote w:id="120">
    <w:p w14:paraId="27D6CD1A" w14:textId="77777777" w:rsidR="004C5A3C" w:rsidRPr="005C6730" w:rsidRDefault="004C5A3C" w:rsidP="002C39F4">
      <w:pPr>
        <w:pStyle w:val="a5"/>
        <w:rPr>
          <w:rFonts w:asciiTheme="minorBidi" w:hAnsiTheme="minorBidi"/>
          <w:color w:val="000000" w:themeColor="text1"/>
          <w:rtl/>
        </w:rPr>
      </w:pPr>
      <w:r w:rsidRPr="005C6730">
        <w:rPr>
          <w:rStyle w:val="a7"/>
          <w:rFonts w:asciiTheme="minorBidi" w:hAnsiTheme="minorBidi"/>
          <w:color w:val="000000" w:themeColor="text1"/>
        </w:rPr>
        <w:footnoteRef/>
      </w:r>
      <w:r w:rsidRPr="005C6730">
        <w:rPr>
          <w:rFonts w:asciiTheme="minorBidi" w:hAnsiTheme="minorBidi"/>
          <w:color w:val="000000" w:themeColor="text1"/>
          <w:rtl/>
        </w:rPr>
        <w:t xml:space="preserve"> מטעם דלא ידעינן כמה דמא בלע </w:t>
      </w:r>
      <w:r w:rsidRPr="005C6730">
        <w:rPr>
          <w:rFonts w:asciiTheme="minorBidi" w:hAnsiTheme="minorBidi"/>
          <w:color w:val="000000" w:themeColor="text1"/>
          <w:sz w:val="16"/>
          <w:szCs w:val="16"/>
          <w:rtl/>
        </w:rPr>
        <w:t>(ב"י ס"ס קה)</w:t>
      </w:r>
      <w:r w:rsidRPr="005C6730">
        <w:rPr>
          <w:rFonts w:asciiTheme="minorBidi" w:hAnsiTheme="minorBidi"/>
          <w:color w:val="000000" w:themeColor="text1"/>
          <w:rtl/>
        </w:rPr>
        <w:t xml:space="preserve"> דליכא למימר מטעם דהמלח נעשה נבלה וכמ"ש הגה"מ בשם סמ"ק, דהא ס"ל להטור לקמן סי' צ"ב דלא אמרי' חנ"נ אלא בבשר בחלב דלא כהב"ח, ומ"מ מ"ש הטו"ה נגד המלח הוא לאו דוקא אלא ששים נגד לחלוחית דם ומלח שעליו מבחוץ בעינן, וכך מבואר בדברי הפוסקים ובת"ח </w:t>
      </w:r>
      <w:r w:rsidRPr="005C6730">
        <w:rPr>
          <w:rFonts w:asciiTheme="minorBidi" w:hAnsiTheme="minorBidi"/>
          <w:color w:val="000000" w:themeColor="text1"/>
          <w:sz w:val="16"/>
          <w:szCs w:val="16"/>
          <w:rtl/>
        </w:rPr>
        <w:t>(ריש כלל א')</w:t>
      </w:r>
      <w:r w:rsidRPr="005C6730">
        <w:rPr>
          <w:rFonts w:asciiTheme="minorBidi" w:hAnsiTheme="minorBidi"/>
          <w:color w:val="000000" w:themeColor="text1"/>
          <w:rtl/>
        </w:rPr>
        <w:t xml:space="preserve">, ש"ך </w:t>
      </w:r>
      <w:r w:rsidRPr="005C6730">
        <w:rPr>
          <w:rFonts w:asciiTheme="minorBidi" w:hAnsiTheme="minorBidi"/>
          <w:color w:val="000000" w:themeColor="text1"/>
          <w:sz w:val="16"/>
          <w:szCs w:val="16"/>
          <w:rtl/>
        </w:rPr>
        <w:t>(סקל"ד)</w:t>
      </w:r>
      <w:r w:rsidRPr="005C6730">
        <w:rPr>
          <w:rFonts w:asciiTheme="minorBidi" w:hAnsiTheme="minorBidi"/>
          <w:color w:val="000000" w:themeColor="text1"/>
          <w:rtl/>
        </w:rPr>
        <w:t xml:space="preserve">. אך הט"ז </w:t>
      </w:r>
      <w:r w:rsidRPr="005C6730">
        <w:rPr>
          <w:rFonts w:asciiTheme="minorBidi" w:hAnsiTheme="minorBidi"/>
          <w:color w:val="000000" w:themeColor="text1"/>
          <w:sz w:val="16"/>
          <w:szCs w:val="16"/>
          <w:rtl/>
        </w:rPr>
        <w:t xml:space="preserve">(סקי"ט) </w:t>
      </w:r>
      <w:r w:rsidRPr="005C6730">
        <w:rPr>
          <w:rFonts w:asciiTheme="minorBidi" w:hAnsiTheme="minorBidi"/>
          <w:color w:val="000000" w:themeColor="text1"/>
          <w:rtl/>
        </w:rPr>
        <w:t xml:space="preserve">כ' שהמלח נעשה כולו נבלה כמ"ש ב"י בזה בשם הגה"מ, ולכן צריך ס' נגד הדם והמלח. </w:t>
      </w:r>
    </w:p>
  </w:footnote>
  <w:footnote w:id="121">
    <w:p w14:paraId="768732D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וא"ל שהחתיכה עצמה תהיה כולה נבלה ויצטרך ס' נגד כולה, כי אין זה איסור דבוק כי תיכף שבא לקדירה נמס המלח מן הבשר, ט"ז (סקי"ט) וש"ך (סקל"ה) בשם כל הפוסקים. ורש"ל </w:t>
      </w:r>
      <w:r w:rsidRPr="005C6730">
        <w:rPr>
          <w:rFonts w:asciiTheme="minorBidi" w:hAnsiTheme="minorBidi"/>
          <w:sz w:val="16"/>
          <w:szCs w:val="16"/>
          <w:rtl/>
        </w:rPr>
        <w:t xml:space="preserve">(בא"ו שער ח') </w:t>
      </w:r>
      <w:r w:rsidRPr="005C6730">
        <w:rPr>
          <w:rFonts w:asciiTheme="minorBidi" w:hAnsiTheme="minorBidi"/>
          <w:rtl/>
        </w:rPr>
        <w:t>פסק דבעי' ס' נגד החתיכה, ואפילו יש ס' מ"מ החתיכה עצמה נאסרה מחמת שנתבשלה בדמה</w:t>
      </w:r>
      <w:r w:rsidRPr="005C6730">
        <w:rPr>
          <w:rFonts w:asciiTheme="minorBidi" w:hAnsiTheme="minorBidi"/>
          <w:sz w:val="16"/>
          <w:szCs w:val="16"/>
          <w:rtl/>
        </w:rPr>
        <w:t xml:space="preserve"> (רש"ל פרק ג"ה סי' ל')</w:t>
      </w:r>
      <w:r w:rsidRPr="005C6730">
        <w:rPr>
          <w:rFonts w:asciiTheme="minorBidi" w:hAnsiTheme="minorBidi"/>
          <w:rtl/>
        </w:rPr>
        <w:t>. ודחו את דבריו הב"ח ט"ז וש"ך ועוד.</w:t>
      </w:r>
    </w:p>
  </w:footnote>
  <w:footnote w:id="122">
    <w:p w14:paraId="3BB543A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פי' כל מה שבקדירה אבל הקדירה עצמה פשיטא דאינו מצטרף כמ"ש סי' צ"ט, ט"ז (סק"כ).</w:t>
      </w:r>
    </w:p>
  </w:footnote>
  <w:footnote w:id="123">
    <w:p w14:paraId="33F0713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דודאי אין החתיכה ס' נגד דם ומלח שעליה אפי' החתיכה עבה ת"ח כלל א', ש"ך (סקל"ו). וכתב באו"ה דיש דעות לומר שהחתיכה עצמה היא ס' נגד דם ומלח שעליה אבל שאין לפסוק כן להלכה, ט"ז (סקכ"א).</w:t>
      </w:r>
    </w:p>
  </w:footnote>
  <w:footnote w:id="124">
    <w:p w14:paraId="2A355E1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שהיד סולדת בו, תו"ח (כלל א, הביאו הש"ך [סקל"ז]). </w:t>
      </w:r>
    </w:p>
  </w:footnote>
  <w:footnote w:id="125">
    <w:p w14:paraId="5C67A13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וה"ה אם יש שם חומץ ושאר דבר חריף כה"ג מבשל אף בכ"ש כ"כ בס' אפי רברבי, ש"ך (סקל"ח).</w:t>
      </w:r>
    </w:p>
  </w:footnote>
  <w:footnote w:id="126">
    <w:p w14:paraId="0EA1E89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כתב זה שלא תקשה הא קי"ל כלי שני אינו מבשל וזה סברת או"ה, אבל רש"ל </w:t>
      </w:r>
      <w:r w:rsidRPr="005C6730">
        <w:rPr>
          <w:rFonts w:asciiTheme="minorBidi" w:hAnsiTheme="minorBidi"/>
          <w:sz w:val="16"/>
          <w:szCs w:val="16"/>
          <w:rtl/>
        </w:rPr>
        <w:t>(פכ"ה סי' כג, ובאו"ש סי' א')</w:t>
      </w:r>
      <w:r w:rsidRPr="005C6730">
        <w:rPr>
          <w:rFonts w:asciiTheme="minorBidi" w:hAnsiTheme="minorBidi"/>
          <w:rtl/>
        </w:rPr>
        <w:t xml:space="preserve"> כ' וז"ל- אבל בדיעבד אינו נאסר לפי מ"ש לעיל שכלי שני אינו מבשל וגם אינו מפליט ומבליע הדם שבתוך המלח בבשר דהא המלח לאחר שפסק כחו לא חשוב עוד כרותח ואל תשגיח במ"ש בת"ח לאסור אף בכלי שני בשם או"ה גם דעת מהרא"י שכלי שני אינו מבשל כלל ולא מפליט ומבליע כאחת עכ"ל, ונראה דהמיקל כדעת רש"ל לא הפסיד דמסתבר טעמיה ועיקר מלתא הוא מדרבנן דדם שמלחו אינו עובר עליו אף על פי שבמרדכי מסתפק בזה יש לילך לקולא, ט"ז (סקכ"ג). וכ' הש"ך (סקל"ז) דכן מוכח מל' המרדכי (פכ"ה) במה שמצא כתוב בשם מהר"מ ומל' תשובת הרשב"א (סי' תתמד) ומדברי הרא"ש (פ' כירה) והמחבר באו"ח (סי' שיח ס"ט) דלית להו האי סברא דהמלח גורמת להתבשל אף בכ"ש, אלא שיש לחוש לדברי האו"ה והרב </w:t>
      </w:r>
      <w:r w:rsidRPr="005C6730">
        <w:rPr>
          <w:rFonts w:asciiTheme="minorBidi" w:hAnsiTheme="minorBidi"/>
          <w:sz w:val="16"/>
          <w:szCs w:val="16"/>
          <w:rtl/>
        </w:rPr>
        <w:t xml:space="preserve">(וכן דעת מהר"מ מלובלין בתשו' סי' כט) </w:t>
      </w:r>
      <w:r w:rsidRPr="005C6730">
        <w:rPr>
          <w:rFonts w:asciiTheme="minorBidi" w:hAnsiTheme="minorBidi"/>
          <w:rtl/>
        </w:rPr>
        <w:t>במקום שאין הפסד מרובה כי יש לדחוק וליישב דברי הפוסקים הנ"ל לדעתם.</w:t>
      </w:r>
    </w:p>
  </w:footnote>
  <w:footnote w:id="127">
    <w:p w14:paraId="7465E37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 שלא הודח אחר מליחתו ונתייבש אח"כ, יש להתיר אפי' בכלי ראשון שהיד סולדת בו, אלא דלכתחלה יזהר כו' אבל אם הודח והוכשר כדינו קודם שנתייבש ודאי דהרי הוא כשאר בשר וא"צ זהירות אפי' לכתחלה, ש"ך (סקל"ט {ע"פ ב"י})</w:t>
      </w:r>
    </w:p>
  </w:footnote>
  <w:footnote w:id="128">
    <w:p w14:paraId="03D445E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אבל בדיעבד מותר, ת"ח (כלל ט"ו דין כ), ונ"ל דוקא אם נתבשל חשוב דיעבד אבל אם לא בישלו עדיין ידיחנו ויחזור וימלחנו, וכן משמע קצת בסימני ת"ח, ש"ך (סק"מ). </w:t>
      </w:r>
    </w:p>
  </w:footnote>
  <w:footnote w:id="129">
    <w:p w14:paraId="018AFB4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כתוב בס' אפי רברבי (לז:) מיהו כשנתייבש היטב נראה שמותר, </w:t>
      </w:r>
      <w:r w:rsidRPr="005C6730">
        <w:rPr>
          <w:rFonts w:asciiTheme="minorBidi" w:hAnsiTheme="minorBidi"/>
          <w:color w:val="FF0000"/>
          <w:rtl/>
        </w:rPr>
        <w:t>וצ"ע לדינא גם ממה שנתבאר מקודם דבשר יבש מותר מטעם דודאי יש ס' מאחר שכבר נתייבש, משמע הא לאו הכי אסור,</w:t>
      </w:r>
      <w:r w:rsidRPr="005C6730">
        <w:rPr>
          <w:rFonts w:asciiTheme="minorBidi" w:hAnsiTheme="minorBidi"/>
          <w:rtl/>
        </w:rPr>
        <w:t xml:space="preserve"> ש"ך (סקמ"א).</w:t>
      </w:r>
    </w:p>
  </w:footnote>
  <w:footnote w:id="130">
    <w:p w14:paraId="4BD5868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והביא ראייה מדברי הרא"ש שכ' דאף שאין הבשר מתבשל מ"מ הלחלוחית שעליו מתבשל ע"כ וז"ל הרא"ש בפ' כירה על מאי דמסקינן בגמרא דמותר לתת בשבת מלח בקדירה שהוסר' מעל האש דמילחא צריכה בישולא כבישרא דתורא משמע הכא דבישרא דתורא לא בישלה בכלי ראשון ומותר לתת בשר חי לתוך כלי ראשון שהעבירוהו מעל האור ומיהו אי מלוח ישן הוא אפשר דאסור דממהר להתבשל ואפילו נמלח מחדש נהי דבשר אינו מתבשל הלחלוחית והדם והמלח שבתוכו מתבשל ונבלע בבשר ואסור עכ"ל</w:t>
      </w:r>
      <w:r w:rsidRPr="005C6730">
        <w:rPr>
          <w:rFonts w:asciiTheme="minorBidi" w:hAnsiTheme="minorBidi"/>
          <w:sz w:val="16"/>
          <w:szCs w:val="16"/>
          <w:rtl/>
        </w:rPr>
        <w:t xml:space="preserve"> (משמע שרק אחרי שמולח שנית ושם בכלי ראשון מתבשלת הלחלוחית של בשר השור הא לא מלח ושם בכלי ראשון אף הלחלוחית אינה מתבשלת)</w:t>
      </w:r>
      <w:r w:rsidRPr="005C6730">
        <w:rPr>
          <w:rFonts w:asciiTheme="minorBidi" w:hAnsiTheme="minorBidi"/>
          <w:rtl/>
        </w:rPr>
        <w:t xml:space="preserve">, אבל שאר בשר אפשר שממהר להתבשל כדרך שמתבשל הלחלוחית מש"ה גם הבשר נאסר, ט"ז (סקכ"ג). </w:t>
      </w:r>
    </w:p>
  </w:footnote>
  <w:footnote w:id="131">
    <w:p w14:paraId="5997302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וז"ל הטור בא"ח סי' שי"ח כלי ראשון מבשל אפילו לאחר שהוסר מהאש הלכך אסור ליתן בו בשר אפילו בשר שור שצריך בישול רב ואינו מתבשל מ"מ לחלוחית שבו מתבשל עכ"ל וכתב בת"ח שם דאף דמשמע מדברי הרא"ש דדוקא בנמלח מתבשל הלחלוחית כי המליחה מועילה לרתיחת הלחלוחית מ"מ אין לחלק בהכי כיון שהא"ח כ' דמתבשל הלחלוחית אפי' בלא מליחה כלל ע"כ </w:t>
      </w:r>
      <w:r w:rsidRPr="005C6730">
        <w:rPr>
          <w:rFonts w:asciiTheme="minorBidi" w:hAnsiTheme="minorBidi"/>
          <w:sz w:val="16"/>
          <w:szCs w:val="16"/>
          <w:rtl/>
        </w:rPr>
        <w:t>(ותמוהין דבריו דהא ע"כ הרא"ש לא מיירי שם לענין איסור שבת אלא לענין איסור הבשר דהא סיים דהלחלוחית של דם ומלח חוזר ומבליע בבשר וא"כ ודאי דוקא בנמלח קאמר דאי לאו דוקא ואפי' בלא נמלח אין הבשר נאסר דהא הבשר שור עצמו אינו מתבשל אלא שהלחלוחית מתבשל הלכך אין איסור לבשר אלא בנמלח שהמלח מבליע הדם בבשר אבל אם אין שם מלח אף על פי שלחלוחית הדם מתבשל מ"מ אין בו כח להבליע כיון שהבשר אינו מבושל אבל הא"ח לא מיירי לענין איסור בשר אלא לענין איסור שבת דאין חילוק בין נמלחה או לא דמ"מ יש איסור בישול שבת מחמת הלחלוחית)</w:t>
      </w:r>
      <w:r w:rsidRPr="005C6730">
        <w:rPr>
          <w:rFonts w:asciiTheme="minorBidi" w:hAnsiTheme="minorBidi"/>
          <w:rtl/>
        </w:rPr>
        <w:t>, ט"ז (סקכ"ג).</w:t>
      </w:r>
    </w:p>
  </w:footnote>
  <w:footnote w:id="132">
    <w:p w14:paraId="181E38A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והא דכתב הפמ"א כגון שהשליח לא היה יכול לבוא כו'- ליתא, דזה אינה אומדנא דמוכח דאולי היתה כוונת המשלח למלוח זמן מה לכבוד שבת ולהטמין אותו סמוך לשבת או לצלות בשפוד ע"י מליחה קצת שא"צ שהות כ"כ.</w:t>
      </w:r>
    </w:p>
  </w:footnote>
  <w:footnote w:id="133">
    <w:p w14:paraId="5A714B1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כן הבין הב"י בדברי הטור. וכן משמע שהבין הדרכ"מ (אות כא) בד' הטור. </w:t>
      </w:r>
      <w:r w:rsidRPr="005C6730">
        <w:rPr>
          <w:rFonts w:asciiTheme="minorBidi" w:hAnsiTheme="minorBidi"/>
          <w:sz w:val="16"/>
          <w:szCs w:val="16"/>
          <w:rtl/>
        </w:rPr>
        <w:t xml:space="preserve">(וכ' הב"י דמה שכתב הטור בסוף דבריו- "ויש אוסרין בזה" נראה לי לפרש דהוי כאומר יש אוסרים בכל זה כלומר בין ברישא </w:t>
      </w:r>
      <w:r w:rsidRPr="005C6730">
        <w:rPr>
          <w:rFonts w:asciiTheme="minorBidi" w:hAnsiTheme="minorBidi"/>
          <w:sz w:val="14"/>
          <w:szCs w:val="14"/>
          <w:rtl/>
        </w:rPr>
        <w:t xml:space="preserve">{מסיח לפי תומו} </w:t>
      </w:r>
      <w:r w:rsidRPr="005C6730">
        <w:rPr>
          <w:rFonts w:asciiTheme="minorBidi" w:hAnsiTheme="minorBidi"/>
          <w:sz w:val="16"/>
          <w:szCs w:val="16"/>
          <w:rtl/>
        </w:rPr>
        <w:t xml:space="preserve">בין בסיפא </w:t>
      </w:r>
      <w:r w:rsidRPr="005C6730">
        <w:rPr>
          <w:rFonts w:asciiTheme="minorBidi" w:hAnsiTheme="minorBidi"/>
          <w:sz w:val="14"/>
          <w:szCs w:val="14"/>
          <w:rtl/>
        </w:rPr>
        <w:t>{נער שנכנס וכו'}</w:t>
      </w:r>
      <w:r w:rsidRPr="005C6730">
        <w:rPr>
          <w:rFonts w:asciiTheme="minorBidi" w:hAnsiTheme="minorBidi"/>
          <w:sz w:val="16"/>
          <w:szCs w:val="16"/>
          <w:rtl/>
        </w:rPr>
        <w:t xml:space="preserve">, והאוסרים הם ריב"א דאסר בין ברישא בין בסיפא מטעמא דאיכא למיקם עלה דמילתא </w:t>
      </w:r>
      <w:r w:rsidRPr="005C6730">
        <w:rPr>
          <w:rFonts w:asciiTheme="minorBidi" w:hAnsiTheme="minorBidi"/>
          <w:sz w:val="14"/>
          <w:szCs w:val="14"/>
          <w:rtl/>
        </w:rPr>
        <w:t>(ואע"פ שהוא לא אסר לגמרי אלא הצריך שיטעמנו קפילא לא חשש רבינו לכתוב כן בפירוש משום דממילא משמע דאינו אסור אלא בנותן טעם וכמו שכתב בסמוך דכשיהא בקדרה ששים לבטל כל המלח סגי)</w:t>
      </w:r>
      <w:r w:rsidRPr="005C6730">
        <w:rPr>
          <w:rFonts w:asciiTheme="minorBidi" w:hAnsiTheme="minorBidi"/>
          <w:sz w:val="16"/>
          <w:szCs w:val="16"/>
          <w:rtl/>
        </w:rPr>
        <w:t>, וסמ"ג אע"ג דשרי בסיפא אסר ברישא משום דאין גוי נאמן אלא לעדות אשה בלבד, וקצת נראה לומר דהיינו דדק וכתב יש אוסרים בלשון רבים דאי לא קאי אלא אסיפא יש אוסר מיבעי ליה דלא אשכחן מאן דאסר אלא ריב"א, ב"י בהב' הטור. וכ' הדרכ"מ (אות כא) דנראה שדעת הטור להתיר, דאל"כ היה למכתב דעת היש אוסרין שצריך לטעימה דקפילא, ומדלא פירש דעתו נראה דסבירא ליה דלית הלכתא כוותיה, וכן דעת ב"י לעיל (עמ' רחצ ד"ה ואם מלג) גבי מליגת תרנגולת דמותר אפילו ישראל יוצא ונכנס והוא הדין כאן)</w:t>
      </w:r>
    </w:p>
  </w:footnote>
  <w:footnote w:id="134">
    <w:p w14:paraId="475BAAE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ואע"ג דאין גוי שמסיח לפי תומו נאמן חוץ מלעדות אשה מ"מ כאן סמכינן משום דחזקתן שהן מדיחין דקפדי אנקיותא, א"נ משום דהא דאמרינן דאין גוי נאמן אלא לעדות אשה היינו דוקא באיסור דאורייתא אבל באיסור דרבנן נאמן במסיח לפי תומו </w:t>
      </w:r>
      <w:r w:rsidRPr="005C6730">
        <w:rPr>
          <w:rFonts w:asciiTheme="minorBidi" w:hAnsiTheme="minorBidi"/>
          <w:sz w:val="16"/>
          <w:szCs w:val="16"/>
          <w:rtl/>
        </w:rPr>
        <w:t>(וכמ"ש תרוה"ד בסי' עט)</w:t>
      </w:r>
      <w:r w:rsidRPr="005C6730">
        <w:rPr>
          <w:rFonts w:asciiTheme="minorBidi" w:hAnsiTheme="minorBidi"/>
          <w:rtl/>
        </w:rPr>
        <w:t xml:space="preserve"> והאי נמי איסורא דרבנן דכיון דמליח כרותח הוי דם שבשלו ואינו עובר עליו </w:t>
      </w:r>
      <w:r w:rsidRPr="005C6730">
        <w:rPr>
          <w:rFonts w:asciiTheme="minorBidi" w:hAnsiTheme="minorBidi"/>
          <w:sz w:val="16"/>
          <w:szCs w:val="16"/>
          <w:rtl/>
        </w:rPr>
        <w:t>(מנחות כא.)</w:t>
      </w:r>
      <w:r w:rsidRPr="005C6730">
        <w:rPr>
          <w:rFonts w:asciiTheme="minorBidi" w:hAnsiTheme="minorBidi"/>
          <w:rtl/>
        </w:rPr>
        <w:t>, ב"י בהב' הסמ"ק.</w:t>
      </w:r>
      <w:r w:rsidRPr="005C6730">
        <w:rPr>
          <w:rFonts w:asciiTheme="minorBidi" w:hAnsiTheme="minorBidi"/>
          <w:sz w:val="16"/>
          <w:szCs w:val="16"/>
          <w:rtl/>
        </w:rPr>
        <w:t xml:space="preserve"> (וכ' הדרכ"מ (אות יט) דאף ללא הטעם שכ' הב"י {דמליח הוא כרותח} אינו אסור אלא מדרבנן דהרי הוא מבושל לפנינו ומהאי טעמא אם מלגה תרנגולת ולא ידעינן אי בכלי ראשון או שני נמי נאמנת דאף אי עבדה בכלי ראשון אינו אלא איסור דרבנן ולכך נאמנת כנ"ל)</w:t>
      </w:r>
    </w:p>
  </w:footnote>
  <w:footnote w:id="135">
    <w:p w14:paraId="22B8DE3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דכיון שיודעים בטיב יהודים מסתמא אינו משנה ממנהגם, וכיון דמסיח לפי תומו אפילו אינו יודע בטיב יהודים נאמן כל שכן כשיודע בטיבם שיהא נאמן במסיח לפי תומו, ב"י בהב' הסמ"ק.</w:t>
      </w:r>
    </w:p>
  </w:footnote>
  <w:footnote w:id="136">
    <w:p w14:paraId="29321D4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והיכא דאין שם נער וגם הגוי לא הסיח ליכא למימר דמסתמא הדיח משום נקיותא דטעמא דנקיותא לא סגי אלא בדאיכא בהדיה סיחת גוי לפי תומו, ב"י בהב' הסמ"ק.</w:t>
      </w:r>
    </w:p>
  </w:footnote>
  <w:footnote w:id="137">
    <w:p w14:paraId="029A0E3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וקטן נמי סגי בנכנס ויוצא, והא דכ' סמ"ג "שום קטן בר דעת בבית"- אנכנס ויוצא דרישא סמיך, דכיון דבקטן שייך נמי טעמא דמירתת אע"פ שהוא יוצא ונכנס נמי שייך האי טעמא, ובהא סבר כסמ"ק דמתיר בקטן יוצא ונכנס, ב"י בהב' סמ"ג.</w:t>
      </w:r>
    </w:p>
  </w:footnote>
  <w:footnote w:id="138">
    <w:p w14:paraId="6B1F997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וכיון דישראל נכנס ויוצא ודאי סמכינן אטעמא דמירתת ואע"פ שאין הגוי מסיח כלל מותר, ועוד משום דקפדי אנקיותא, ע"פ ב"י בהב' הסמ"ג.</w:t>
      </w:r>
    </w:p>
  </w:footnote>
  <w:footnote w:id="139">
    <w:p w14:paraId="364F230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ואם אין שם ישראל כלל אע"פ שהגוי מסיח לפי תומו אסור, דאין גוי נאמן אלא לעדות אשה דטעמא דנקיותא לא סגי להחשיב גוי מסיח לפי תומו לסמוך עליו, ב"י בהב' הסמ"ג.</w:t>
      </w:r>
    </w:p>
  </w:footnote>
  <w:footnote w:id="140">
    <w:p w14:paraId="14FFA85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וטעמא דריב"א דאסר אלא על ידי טעימת קפילא היינו משום דסבר דלא סמכינן אטעמא דמירתת אלא היכא דליכא למיקם עלה דמילתא כי ההיא דהמניח נכרי בחנותו אבל הכא כיון דאיכא למיקם עלה דמילתא לא שרינן ליה בלאו הכי. וסמ"ג סבר דכיון דאיכא תרי טעמי חדא דמירתת ועוד דקפיד אנקיותא סמכינן עלייהו ושריא אף על גב דאיכא למיקם עלה דמילתא, ב"י.</w:t>
      </w:r>
    </w:p>
  </w:footnote>
  <w:footnote w:id="141">
    <w:p w14:paraId="2EE9376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הדרכ"מ (אות כא) על דבריו וז"ל- ונראה דאין להתיר רק במסיח לפי תומו או יוצא ונכנס כדעת ספר המצות שהביא הטור ודלא כר"י מאורליינ"ש מדהשמיטו הפוסקים דבריו.</w:t>
      </w:r>
    </w:p>
  </w:footnote>
  <w:footnote w:id="142">
    <w:p w14:paraId="43FEDCD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הש"ך </w:t>
      </w:r>
      <w:r w:rsidRPr="005C6730">
        <w:rPr>
          <w:rFonts w:asciiTheme="minorBidi" w:hAnsiTheme="minorBidi"/>
          <w:sz w:val="16"/>
          <w:szCs w:val="16"/>
          <w:rtl/>
        </w:rPr>
        <w:t xml:space="preserve">(סקמ"ב) </w:t>
      </w:r>
      <w:r w:rsidRPr="005C6730">
        <w:rPr>
          <w:rFonts w:asciiTheme="minorBidi" w:hAnsiTheme="minorBidi"/>
          <w:rtl/>
        </w:rPr>
        <w:t xml:space="preserve">הבין מזה שלא כתב כאן הרמ"א בתחילת דבריו "ויש אומרים" שהרמ"א הבין שהשו"ע גם מתיר בחד מנייהו, ואע"פ שהשו"ע לא הזכיר דין מסיח לפי תומו- יישב הש"ך את דברי הרמ"א בלשון השו"ע עיי"ש, ומ"מ סיים הש"ך שכהבנתו בדברי השו"ע עיקר </w:t>
      </w:r>
      <w:r w:rsidRPr="005C6730">
        <w:rPr>
          <w:rFonts w:asciiTheme="minorBidi" w:hAnsiTheme="minorBidi"/>
          <w:sz w:val="16"/>
          <w:szCs w:val="16"/>
          <w:rtl/>
        </w:rPr>
        <w:t>(דהיינו שהשו"ע לא מתיר במסיח לפי תומו לבד)</w:t>
      </w:r>
      <w:r w:rsidRPr="005C6730">
        <w:rPr>
          <w:rFonts w:asciiTheme="minorBidi" w:hAnsiTheme="minorBidi"/>
          <w:rtl/>
        </w:rPr>
        <w:t xml:space="preserve">. </w:t>
      </w:r>
    </w:p>
  </w:footnote>
  <w:footnote w:id="143">
    <w:p w14:paraId="236B9C1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בב"י כ' דאף כשיודע העכו"ם מנהג ישראל נאמן במסל"ת, והפרישה והב"ח תמהו עליו דהיאך שייך מסל"ת כשיודע שהאיסור והיתר תלוי בזה, אך הש"ך </w:t>
      </w:r>
      <w:r w:rsidRPr="005C6730">
        <w:rPr>
          <w:rFonts w:asciiTheme="minorBidi" w:hAnsiTheme="minorBidi"/>
          <w:sz w:val="16"/>
          <w:szCs w:val="16"/>
          <w:rtl/>
        </w:rPr>
        <w:t xml:space="preserve">(סקמ"ג) </w:t>
      </w:r>
      <w:r w:rsidRPr="005C6730">
        <w:rPr>
          <w:rFonts w:asciiTheme="minorBidi" w:hAnsiTheme="minorBidi"/>
          <w:rtl/>
        </w:rPr>
        <w:t>חלק על דבריהם וכ' דאפ"ל דאע"פ שיודע מנהג ישראל מ"מ משכחת לה כגון דהסיח לפ"ת לפני אחרים שלא שאלוהו אם הדיחו, והסל"ת דהדיחו</w:t>
      </w:r>
      <w:r w:rsidRPr="005C6730">
        <w:rPr>
          <w:rFonts w:asciiTheme="minorBidi" w:hAnsiTheme="minorBidi"/>
          <w:sz w:val="16"/>
          <w:szCs w:val="16"/>
          <w:rtl/>
        </w:rPr>
        <w:t xml:space="preserve"> (והביא ראיה ממומר לעכו"ם דנאמן לעדות אשה במסל"ת כמו שנתבאר בא"ע סי' י"ז)</w:t>
      </w:r>
      <w:r w:rsidRPr="005C6730">
        <w:rPr>
          <w:rFonts w:asciiTheme="minorBidi" w:hAnsiTheme="minorBidi"/>
          <w:rtl/>
        </w:rPr>
        <w:t>.</w:t>
      </w:r>
    </w:p>
  </w:footnote>
  <w:footnote w:id="144">
    <w:p w14:paraId="72510D9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ואפילו לא יודע בטיב הדחה אלא דוקא נער שראוי להיות שהוא יודע- מירתת העכו"ם, ע"פ פרישה (אות יא). </w:t>
      </w:r>
    </w:p>
  </w:footnote>
  <w:footnote w:id="145">
    <w:p w14:paraId="2A82C91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אפילו נכנס ויוצא, דרכ"מ בשם שע"ד (סי' לב סק"ד) ואו"ה (כלל כב דין ב).</w:t>
      </w:r>
    </w:p>
  </w:footnote>
  <w:footnote w:id="146">
    <w:p w14:paraId="76689D5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היינו מכח מה שהביא לפנ"כ בשם הדרכ"מ שכיון שהוא מבושל לפנינו הרי זה ספק דרבנן.</w:t>
      </w:r>
    </w:p>
  </w:footnote>
  <w:footnote w:id="147">
    <w:p w14:paraId="2669F338" w14:textId="77777777" w:rsidR="004C5A3C" w:rsidRPr="00EF26E7" w:rsidRDefault="004C5A3C" w:rsidP="002C39F4">
      <w:pPr>
        <w:pStyle w:val="a5"/>
      </w:pPr>
      <w:r>
        <w:rPr>
          <w:rStyle w:val="a7"/>
        </w:rPr>
        <w:footnoteRef/>
      </w:r>
      <w:r>
        <w:rPr>
          <w:rtl/>
        </w:rPr>
        <w:t xml:space="preserve"> </w:t>
      </w:r>
      <w:r w:rsidRPr="000A7AB3">
        <w:rPr>
          <w:rtl/>
        </w:rPr>
        <w:t>דלא שייך הכא אפשר לסחטו אסור דלא נאסר הבשר מעולם, ודמיא לצלי בלא מליחה דמה שנפלט האור שואבו ומה שנשאר בתוכו הוי דם האיברים שלא פירש, ועוד ראוי להתיר יותר במבושל שהרי בצלי שמהפכין בשפוד אצל האש הדם המופרש ממנו מתגלגל סביב הבשר אפ"ה שרי כ"ש במבושל דמה שנפלט ממנו מתבטל מיד במים</w:t>
      </w:r>
      <w:r>
        <w:rPr>
          <w:rFonts w:hint="cs"/>
          <w:rtl/>
        </w:rPr>
        <w:t xml:space="preserve">, רא"ש. </w:t>
      </w:r>
    </w:p>
  </w:footnote>
  <w:footnote w:id="148">
    <w:p w14:paraId="49A47DB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וגם ההגה"מ (ד"ק מאכ"א פ"ו ה"י) ומהרא"י (בהגשע"ד סי' ב סק"ד) כתבו שנוהגים לאסור.</w:t>
      </w:r>
    </w:p>
  </w:footnote>
  <w:footnote w:id="149">
    <w:p w14:paraId="4676BAA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w:t>
      </w:r>
      <w:r w:rsidRPr="005C6730">
        <w:rPr>
          <w:rFonts w:asciiTheme="minorBidi" w:hAnsiTheme="minorBidi"/>
          <w:sz w:val="16"/>
          <w:szCs w:val="16"/>
          <w:rtl/>
        </w:rPr>
        <w:t>עכ"ל הראב"ד, והמשך הדברים אלו דברי הא"ח שדן במקרה שהובא לפניו, כנה"ג (הגב"י אות קפז)</w:t>
      </w:r>
    </w:p>
  </w:footnote>
  <w:footnote w:id="150">
    <w:p w14:paraId="53E474B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הדרכ"מ (אות כג) דאע"ג דשאר פוסקים לא חלקו בזו ואדרבה כולם הושוו דבעינן לשער כנגד כל החתיכה דלא ידעינן כמה דמא נפיק מיניה מ"מ נ"ל שיש ללמוד מכאן דאע"ג דנוהגין בשאר ימות השבוע לאסור אותה חתיכה אפילו בדאיכא ששים מ"מ בערב שבת דאיכא דוחק יש להתיר אותה חתיכה ולסמוך על דברי המתירין.</w:t>
      </w:r>
    </w:p>
  </w:footnote>
  <w:footnote w:id="151">
    <w:p w14:paraId="7E5E393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הביאו הפת"ש (סקי"ח) וכתב שמצא שכתוב כן בשם האגודה בגליון יו"ד של אא"ז הרב.</w:t>
      </w:r>
    </w:p>
  </w:footnote>
  <w:footnote w:id="152">
    <w:p w14:paraId="7FC6D22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אף אם לא נתבשל הבשר לגמרי אלא דינא הכי אף כששמוהו בכלי ראשון ומקצת הבשר חם בשיעור יד סולדת בו, ע"פ ש"ך (סקמ"ד) כפי שהבין המנחת יעקב (כלל ב סק"ה) בדבריו, הביאו מחצה"ש, וגם הדגמ"ר הפנה לעיין בדבריו. </w:t>
      </w:r>
    </w:p>
  </w:footnote>
  <w:footnote w:id="153">
    <w:p w14:paraId="0979A2F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עיין בתשו' שמש צדקה </w:t>
      </w:r>
      <w:r w:rsidRPr="005C6730">
        <w:rPr>
          <w:rFonts w:asciiTheme="minorBidi" w:hAnsiTheme="minorBidi"/>
          <w:sz w:val="16"/>
          <w:szCs w:val="16"/>
          <w:rtl/>
        </w:rPr>
        <w:t xml:space="preserve">(יו"ד סי' לח) </w:t>
      </w:r>
      <w:r w:rsidRPr="005C6730">
        <w:rPr>
          <w:rFonts w:asciiTheme="minorBidi" w:hAnsiTheme="minorBidi"/>
          <w:rtl/>
        </w:rPr>
        <w:t xml:space="preserve">בשומן שלא נמלח שנתבשל אם צריך לשער ג"כ נגד כל השומן או לא מאחר שאין דם כ"כ בשומן ע"ש ונראה דאישתמיטתיה דברי הת"ח </w:t>
      </w:r>
      <w:r w:rsidRPr="005C6730">
        <w:rPr>
          <w:rFonts w:asciiTheme="minorBidi" w:hAnsiTheme="minorBidi"/>
          <w:sz w:val="16"/>
          <w:szCs w:val="16"/>
          <w:rtl/>
        </w:rPr>
        <w:t xml:space="preserve">(כלל ב ד"ה) </w:t>
      </w:r>
      <w:r w:rsidRPr="005C6730">
        <w:rPr>
          <w:rFonts w:asciiTheme="minorBidi" w:hAnsiTheme="minorBidi"/>
          <w:rtl/>
        </w:rPr>
        <w:t xml:space="preserve">וש"ך </w:t>
      </w:r>
      <w:r w:rsidRPr="005C6730">
        <w:rPr>
          <w:rFonts w:asciiTheme="minorBidi" w:hAnsiTheme="minorBidi"/>
          <w:sz w:val="16"/>
          <w:szCs w:val="16"/>
          <w:rtl/>
        </w:rPr>
        <w:t xml:space="preserve">(סי' עה סק"ח) </w:t>
      </w:r>
      <w:r w:rsidRPr="005C6730">
        <w:rPr>
          <w:rFonts w:asciiTheme="minorBidi" w:hAnsiTheme="minorBidi"/>
          <w:rtl/>
        </w:rPr>
        <w:t xml:space="preserve">דמבואר שם דצריך ס' נגד כל השומן, פת"ש </w:t>
      </w:r>
      <w:r w:rsidRPr="005C6730">
        <w:rPr>
          <w:rFonts w:asciiTheme="minorBidi" w:hAnsiTheme="minorBidi"/>
          <w:sz w:val="16"/>
          <w:szCs w:val="16"/>
          <w:rtl/>
        </w:rPr>
        <w:t>(סקי"ט)</w:t>
      </w:r>
      <w:r w:rsidRPr="005C6730">
        <w:rPr>
          <w:rFonts w:asciiTheme="minorBidi" w:hAnsiTheme="minorBidi"/>
          <w:rtl/>
        </w:rPr>
        <w:t>.</w:t>
      </w:r>
    </w:p>
  </w:footnote>
  <w:footnote w:id="154">
    <w:p w14:paraId="1A6D0A5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אין לפרש הטעם דחנ"נ דהא לא נאסר הבשר מעולם אלא עתה מחמת הבישול נאסר</w:t>
      </w:r>
      <w:r w:rsidRPr="005C6730">
        <w:rPr>
          <w:rFonts w:asciiTheme="minorBidi" w:hAnsiTheme="minorBidi"/>
          <w:sz w:val="16"/>
          <w:szCs w:val="16"/>
          <w:rtl/>
        </w:rPr>
        <w:t xml:space="preserve"> {היינו לפי שהחתיכה נתבשלה בדמה, רא"ש ט"ז וכו')</w:t>
      </w:r>
      <w:r w:rsidRPr="005C6730">
        <w:rPr>
          <w:rFonts w:asciiTheme="minorBidi" w:hAnsiTheme="minorBidi"/>
          <w:rtl/>
        </w:rPr>
        <w:t>, וכ"כ הרא"ש ומביאו ב"י, אלא הטעם משום דרוטב מבלבל טעם החתיכה וגורם שהדם שבתוכו פירש ממקום למקום וכדאיתא במרדכי והגשע"ד וע"ל סקע"ד, ש"ך (סקמ"ו). ואין להקשות הא בדם מעלמא שנפל על חתיכה שבקדירה שמקצתה תוך הרוטב מותר אפילו מה שהוא חוץ לרוטב, שאני הכא שהאיסור הוא מחמת עצמו נשאר הטעם במקומו ואסור, ועוד דחשוב כאיסור הדבוק ויש לחוש שמא הגביה פעם אחת חוץ לרוטב קודם שפולט כל דמה, עכ"ל או"ה (כלל ז דין א-ג), ט"ז (סקכ"ח).</w:t>
      </w:r>
    </w:p>
  </w:footnote>
  <w:footnote w:id="155">
    <w:p w14:paraId="643258B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ומ"מ אם נתערבה אח"כ באחרות מתבטלת ברוב אע"ג דהיא חתיכה הראויה להתכבד הואיל ואין איסורה מעצמה אלא מחמת דם שנבלע בה, </w:t>
      </w:r>
      <w:r>
        <w:rPr>
          <w:rFonts w:asciiTheme="minorBidi" w:hAnsiTheme="minorBidi"/>
          <w:rtl/>
        </w:rPr>
        <w:t>או"ה</w:t>
      </w:r>
      <w:r w:rsidRPr="005C6730">
        <w:rPr>
          <w:rFonts w:asciiTheme="minorBidi" w:hAnsiTheme="minorBidi"/>
          <w:rtl/>
        </w:rPr>
        <w:t xml:space="preserve"> (כלל ז דין ג, הביאו הדרכ"מ אות כד).</w:t>
      </w:r>
    </w:p>
  </w:footnote>
  <w:footnote w:id="156">
    <w:p w14:paraId="7A82254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או במקום הפסד מרובה, ת"ח כלל ב דין א, ש"ך (סקמ"ז).</w:t>
      </w:r>
    </w:p>
  </w:footnote>
  <w:footnote w:id="157">
    <w:p w14:paraId="6DDD8CA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בת"ח כלל ב' כתב בתרנגולת שהיא חלולה איכא למיחש שמא פירש ממקום למקום ואסור כה"ג אפי' בשעת הדחק והפסד מרובה, ט"ז (סקכ"ט).</w:t>
      </w:r>
    </w:p>
  </w:footnote>
  <w:footnote w:id="158">
    <w:p w14:paraId="6769DDC6" w14:textId="77777777" w:rsidR="004C5A3C" w:rsidRPr="005C6730" w:rsidRDefault="004C5A3C" w:rsidP="002C39F4">
      <w:pPr>
        <w:pStyle w:val="a5"/>
        <w:rPr>
          <w:rFonts w:asciiTheme="minorBidi" w:hAnsiTheme="minorBidi"/>
          <w:sz w:val="16"/>
          <w:szCs w:val="16"/>
          <w:rtl/>
        </w:rPr>
      </w:pPr>
      <w:r w:rsidRPr="005C6730">
        <w:rPr>
          <w:rStyle w:val="a7"/>
          <w:rFonts w:asciiTheme="minorBidi" w:hAnsiTheme="minorBidi"/>
        </w:rPr>
        <w:footnoteRef/>
      </w:r>
      <w:r w:rsidRPr="005C6730">
        <w:rPr>
          <w:rFonts w:asciiTheme="minorBidi" w:hAnsiTheme="minorBidi"/>
          <w:rtl/>
        </w:rPr>
        <w:t xml:space="preserve"> היינו שנמלח כראוי רק לא שהה שיעור מליחה </w:t>
      </w:r>
      <w:r w:rsidRPr="005C6730">
        <w:rPr>
          <w:rFonts w:asciiTheme="minorBidi" w:hAnsiTheme="minorBidi"/>
          <w:sz w:val="16"/>
          <w:szCs w:val="16"/>
          <w:rtl/>
        </w:rPr>
        <w:t>(שבאו"ה כתב שני דינים הא' בנמלח ולא שהה שיעור מליחה הב' אם לא נמלח רק מצד אחד בשניהם הוה כלא נמלח כלל והיינו היש אוסרים דסע' ד' שמביא רמ"א אבל רמ"א הכריע שם דבדיעבד מותר בנמלח צד א' וכן אם לא פיזר בכל מקום מלח וא"כ אמאי צריך כאן ס' דהוה כלא נמלח כלל אלא מיירי כאן בנמלח כראוי ולא שהה שיעור מליחה וע"ז אמר שלא נמלח כראוי ר"ל שלא שהה בו כראוי למליחה)</w:t>
      </w:r>
      <w:r w:rsidRPr="005C6730">
        <w:rPr>
          <w:rFonts w:asciiTheme="minorBidi" w:hAnsiTheme="minorBidi"/>
          <w:rtl/>
        </w:rPr>
        <w:t>, ט"ז</w:t>
      </w:r>
      <w:r w:rsidRPr="005C6730">
        <w:rPr>
          <w:rFonts w:asciiTheme="minorBidi" w:hAnsiTheme="minorBidi"/>
          <w:sz w:val="16"/>
          <w:szCs w:val="16"/>
          <w:rtl/>
        </w:rPr>
        <w:t xml:space="preserve"> (סק"ל).</w:t>
      </w:r>
    </w:p>
  </w:footnote>
  <w:footnote w:id="159">
    <w:p w14:paraId="636DDF8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להתיר מה שנתבשל עמה אבל החתיכה אסורה עכ"פ כדאיתא בת"ח שם דין ב', ש"ך (סקמ"ח).</w:t>
      </w:r>
    </w:p>
  </w:footnote>
  <w:footnote w:id="160">
    <w:p w14:paraId="0926104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והברכ"י שקיל וטרי קצת ומסיים דאם ברור הדבר שהיו המים רותחים מאד ויש דוחק כגון שהוא ער"ש יש להקל ע"ש, ועש"ך שם סק"י, וצ"ע.</w:t>
      </w:r>
    </w:p>
  </w:footnote>
  <w:footnote w:id="161">
    <w:p w14:paraId="144AFE1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ואם מלחו ובשלו, כיון דמליחה לא מהניא ביה הוי דינו כדין בשר שנתבשל בלא מליחה, ובשר שנמלח עמו מותר וזה פשוט, אגור </w:t>
      </w:r>
      <w:r w:rsidRPr="005C6730">
        <w:rPr>
          <w:rFonts w:asciiTheme="minorBidi" w:hAnsiTheme="minorBidi"/>
          <w:sz w:val="16"/>
          <w:szCs w:val="16"/>
          <w:rtl/>
        </w:rPr>
        <w:t>(סי' אלף קצה)</w:t>
      </w:r>
      <w:r w:rsidRPr="005C6730">
        <w:rPr>
          <w:rFonts w:asciiTheme="minorBidi" w:hAnsiTheme="minorBidi"/>
          <w:rtl/>
        </w:rPr>
        <w:t xml:space="preserve"> בשם אביו.</w:t>
      </w:r>
    </w:p>
  </w:footnote>
  <w:footnote w:id="162">
    <w:p w14:paraId="1C015AD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שהוא אדום ביותר ונכר שהדם נצרר בתוכו דאסיקנא בפג"ה</w:t>
      </w:r>
      <w:r w:rsidRPr="00C162D9">
        <w:rPr>
          <w:rFonts w:asciiTheme="minorBidi" w:hAnsiTheme="minorBidi"/>
          <w:sz w:val="16"/>
          <w:szCs w:val="16"/>
          <w:rtl/>
        </w:rPr>
        <w:t xml:space="preserve"> (צג:) </w:t>
      </w:r>
      <w:r w:rsidRPr="005C6730">
        <w:rPr>
          <w:rFonts w:asciiTheme="minorBidi" w:hAnsiTheme="minorBidi"/>
          <w:rtl/>
        </w:rPr>
        <w:t>דחתכיה ומלחיה אפילו לקדרה שפ</w:t>
      </w:r>
      <w:r>
        <w:rPr>
          <w:rFonts w:asciiTheme="minorBidi" w:hAnsiTheme="minorBidi" w:hint="cs"/>
          <w:rtl/>
        </w:rPr>
        <w:t>"ד,</w:t>
      </w:r>
      <w:r w:rsidRPr="005C6730">
        <w:rPr>
          <w:rFonts w:asciiTheme="minorBidi" w:hAnsiTheme="minorBidi"/>
          <w:rtl/>
        </w:rPr>
        <w:t xml:space="preserve"> תלייה בשפודא מידב דאיב ושרי, ומשמע אפי</w:t>
      </w:r>
      <w:r>
        <w:rPr>
          <w:rFonts w:asciiTheme="minorBidi" w:hAnsiTheme="minorBidi" w:hint="cs"/>
          <w:rtl/>
        </w:rPr>
        <w:t>'</w:t>
      </w:r>
      <w:r w:rsidRPr="005C6730">
        <w:rPr>
          <w:rFonts w:asciiTheme="minorBidi" w:hAnsiTheme="minorBidi"/>
          <w:rtl/>
        </w:rPr>
        <w:t xml:space="preserve"> בלא חתיכה ומליחה. ואותביה אגומרי דפליגי בה ר"א ורבינא אפסיק' הלכתא דמשאב שאיבי ליה ושרי, ריב"ש.</w:t>
      </w:r>
    </w:p>
  </w:footnote>
  <w:footnote w:id="163">
    <w:p w14:paraId="7B07D32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שאמרו בפכ"ה (קיג.) הרי זה מכביד את הבשר וגוזל את הבריות ומבליע דם באברים, לפי גרסת הרי"ף ז"ל דגריס מהו למיכל מיניה באומצא, וסלקא בתיקו ולחומרא. משמע דדוקא באומצא דהיינו חי בלא מליחה אבל בצלי אי נמי לקדרה ע"י מליחה פשיטא דשרי דנורא שאיב ליה ומלחא מפיק לי', שאע"פ שאין כח במלח להוציא הדם הנבלע הבא ממקום אחר מוציא הוא את זה, ריב"ש.</w:t>
      </w:r>
    </w:p>
  </w:footnote>
  <w:footnote w:id="164">
    <w:p w14:paraId="763D986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או"ז </w:t>
      </w:r>
      <w:r w:rsidRPr="005C6730">
        <w:rPr>
          <w:rFonts w:asciiTheme="minorBidi" w:hAnsiTheme="minorBidi"/>
          <w:sz w:val="16"/>
          <w:szCs w:val="16"/>
          <w:rtl/>
        </w:rPr>
        <w:t xml:space="preserve">(ח"א סי' תעז, וכ"כ בשמו המרדכי סי' תשכב) </w:t>
      </w:r>
      <w:r w:rsidRPr="005C6730">
        <w:rPr>
          <w:rFonts w:asciiTheme="minorBidi" w:hAnsiTheme="minorBidi"/>
          <w:rtl/>
        </w:rPr>
        <w:t xml:space="preserve">ומהר"ם </w:t>
      </w:r>
      <w:r w:rsidRPr="005C6730">
        <w:rPr>
          <w:rFonts w:asciiTheme="minorBidi" w:hAnsiTheme="minorBidi"/>
          <w:sz w:val="16"/>
          <w:szCs w:val="16"/>
          <w:rtl/>
        </w:rPr>
        <w:t>(תשב"ץ קטן סי' שמב שמג, וכ"כ בשמו הרא"ש בתשובה [כלל כ סימן כה])</w:t>
      </w:r>
      <w:r w:rsidRPr="005C6730">
        <w:rPr>
          <w:rFonts w:asciiTheme="minorBidi" w:hAnsiTheme="minorBidi"/>
          <w:rtl/>
        </w:rPr>
        <w:t>.</w:t>
      </w:r>
    </w:p>
  </w:footnote>
  <w:footnote w:id="165">
    <w:p w14:paraId="340D6C3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הביאו הדרכ"מ</w:t>
      </w:r>
      <w:r w:rsidRPr="005C6730">
        <w:rPr>
          <w:rFonts w:asciiTheme="minorBidi" w:hAnsiTheme="minorBidi"/>
          <w:sz w:val="16"/>
          <w:szCs w:val="16"/>
          <w:rtl/>
        </w:rPr>
        <w:t xml:space="preserve"> (אות כה)</w:t>
      </w:r>
      <w:r w:rsidRPr="005C6730">
        <w:rPr>
          <w:rFonts w:asciiTheme="minorBidi" w:hAnsiTheme="minorBidi"/>
          <w:rtl/>
        </w:rPr>
        <w:t xml:space="preserve"> וכ' עליו- אמנם מנהגינו לצלותו כשאר בשר. ועוד כתב באו"ה (שם דין א) דיש מקומות דאי לא נקרו מגידי הדם שבו דאוסרין אף בצלי אמנם מהר"י מולין </w:t>
      </w:r>
      <w:r w:rsidRPr="005C6730">
        <w:rPr>
          <w:rFonts w:asciiTheme="minorBidi" w:hAnsiTheme="minorBidi"/>
          <w:sz w:val="16"/>
          <w:szCs w:val="16"/>
          <w:rtl/>
        </w:rPr>
        <w:t xml:space="preserve">(שו"ת מהרי"ל סי' פז אות ג) </w:t>
      </w:r>
      <w:r w:rsidRPr="005C6730">
        <w:rPr>
          <w:rFonts w:asciiTheme="minorBidi" w:hAnsiTheme="minorBidi"/>
          <w:rtl/>
        </w:rPr>
        <w:t>התירו הלכה למעשה.</w:t>
      </w:r>
    </w:p>
  </w:footnote>
  <w:footnote w:id="166">
    <w:p w14:paraId="01FDFD2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עוד תרוה"ד וז"ל- וכך קבלתי מרבותי שכ"כ הר"ח או"ז, ונראה דמשמע הכי מתשובת הרא"ש דמדאמר דהא דשריא ע"י צלייה היינו משום דאפילו אם לא יפלוט הוי דם האברים שלא פירש משמע בפשיטות דלא ברירא ליה שיפלוט הדם ע"י צלייה וא"כ אם יתבשל אח"כ שמא יפלוט אחר רתיחת המים בבישול מה שלא פלטו ע"י צלייה דאפשר הבישול פועל יותר מהצלייה שהמים הרותחים מרככים הדם שנתקשה בשהייתו שלשה ימים ויפליט ויצא טפי מע"י צלייה, ואע"ג דמצאתי דהעתיק אחד מהגדולים בשם גדול אחד דשרי לבשל אחר צלייה וכן שמעתי שנוהגים כך בקצת ארצות אני מה שקבלתי כתבתי, עכ"ל. וכ' הדרכ"מ </w:t>
      </w:r>
      <w:r w:rsidRPr="005C6730">
        <w:rPr>
          <w:rFonts w:asciiTheme="minorBidi" w:hAnsiTheme="minorBidi"/>
          <w:sz w:val="16"/>
          <w:szCs w:val="16"/>
          <w:rtl/>
        </w:rPr>
        <w:t xml:space="preserve">(אות כו) </w:t>
      </w:r>
      <w:r w:rsidRPr="005C6730">
        <w:rPr>
          <w:rFonts w:asciiTheme="minorBidi" w:hAnsiTheme="minorBidi"/>
          <w:rtl/>
        </w:rPr>
        <w:t>וז"ל- ונ"ל דמלשון הטור מוכח כדעת מהרא"י שהרי כתב בסתמא דאין לאכלו מבושל ולא חילק בין קודם צלייה ובין אחר צלייה.</w:t>
      </w:r>
    </w:p>
  </w:footnote>
  <w:footnote w:id="167">
    <w:p w14:paraId="07E5CCB0" w14:textId="77777777" w:rsidR="004C5A3C" w:rsidRDefault="004C5A3C" w:rsidP="002C39F4">
      <w:pPr>
        <w:pStyle w:val="a5"/>
        <w:rPr>
          <w:rtl/>
        </w:rPr>
      </w:pPr>
      <w:r>
        <w:rPr>
          <w:rStyle w:val="a7"/>
        </w:rPr>
        <w:footnoteRef/>
      </w:r>
      <w:r>
        <w:rPr>
          <w:rtl/>
        </w:rPr>
        <w:t xml:space="preserve"> </w:t>
      </w:r>
      <w:r w:rsidRPr="0049416D">
        <w:rPr>
          <w:rtl/>
        </w:rPr>
        <w:t>ונראה דלעת הצורך כגון בלילי פסחים שאין אוכלין צלי רק צלי ואח"כ בישלו אוכלין</w:t>
      </w:r>
      <w:r w:rsidRPr="0049416D">
        <w:rPr>
          <w:sz w:val="16"/>
          <w:szCs w:val="16"/>
          <w:rtl/>
        </w:rPr>
        <w:t xml:space="preserve"> </w:t>
      </w:r>
      <w:r>
        <w:rPr>
          <w:rFonts w:hint="cs"/>
          <w:sz w:val="16"/>
          <w:szCs w:val="16"/>
          <w:rtl/>
        </w:rPr>
        <w:t>(</w:t>
      </w:r>
      <w:r w:rsidRPr="0049416D">
        <w:rPr>
          <w:sz w:val="16"/>
          <w:szCs w:val="16"/>
          <w:rtl/>
        </w:rPr>
        <w:t>א</w:t>
      </w:r>
      <w:r w:rsidRPr="0049416D">
        <w:rPr>
          <w:rFonts w:hint="cs"/>
          <w:sz w:val="16"/>
          <w:szCs w:val="16"/>
          <w:rtl/>
        </w:rPr>
        <w:t>ו</w:t>
      </w:r>
      <w:r w:rsidRPr="0049416D">
        <w:rPr>
          <w:sz w:val="16"/>
          <w:szCs w:val="16"/>
          <w:rtl/>
        </w:rPr>
        <w:t>"ח סי</w:t>
      </w:r>
      <w:r w:rsidRPr="0049416D">
        <w:rPr>
          <w:rFonts w:hint="cs"/>
          <w:sz w:val="16"/>
          <w:szCs w:val="16"/>
          <w:rtl/>
        </w:rPr>
        <w:t>'</w:t>
      </w:r>
      <w:r w:rsidRPr="0049416D">
        <w:rPr>
          <w:sz w:val="16"/>
          <w:szCs w:val="16"/>
          <w:rtl/>
        </w:rPr>
        <w:t xml:space="preserve"> תעו</w:t>
      </w:r>
      <w:r w:rsidRPr="0049416D">
        <w:rPr>
          <w:rFonts w:hint="cs"/>
          <w:sz w:val="16"/>
          <w:szCs w:val="16"/>
          <w:rtl/>
        </w:rPr>
        <w:t>)</w:t>
      </w:r>
      <w:r w:rsidRPr="0049416D">
        <w:rPr>
          <w:rtl/>
        </w:rPr>
        <w:t xml:space="preserve"> יש לסמוך ע"ז בפשיטות</w:t>
      </w:r>
      <w:r>
        <w:rPr>
          <w:rFonts w:hint="cs"/>
          <w:rtl/>
        </w:rPr>
        <w:t>, פת"ש</w:t>
      </w:r>
      <w:r w:rsidRPr="0049416D">
        <w:rPr>
          <w:rtl/>
        </w:rPr>
        <w:t>.</w:t>
      </w:r>
    </w:p>
  </w:footnote>
  <w:footnote w:id="168">
    <w:p w14:paraId="15EA37A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ואפילו שיתנו במים פושרים כדי שיתעורר דמו לצאת לא מהני, ת"ח</w:t>
      </w:r>
      <w:r w:rsidRPr="005C6730">
        <w:rPr>
          <w:rFonts w:asciiTheme="minorBidi" w:hAnsiTheme="minorBidi"/>
          <w:sz w:val="16"/>
          <w:szCs w:val="16"/>
          <w:rtl/>
        </w:rPr>
        <w:t xml:space="preserve"> (כלל ד דין ד)</w:t>
      </w:r>
      <w:r w:rsidRPr="005C6730">
        <w:rPr>
          <w:rFonts w:asciiTheme="minorBidi" w:hAnsiTheme="minorBidi"/>
          <w:rtl/>
        </w:rPr>
        <w:t xml:space="preserve"> ומהרש"ל </w:t>
      </w:r>
      <w:r w:rsidRPr="005C6730">
        <w:rPr>
          <w:rFonts w:asciiTheme="minorBidi" w:hAnsiTheme="minorBidi"/>
          <w:sz w:val="16"/>
          <w:szCs w:val="16"/>
          <w:rtl/>
        </w:rPr>
        <w:t>(באו"ש סי' ד ופכ"ה סי' פ"ה)</w:t>
      </w:r>
      <w:r w:rsidRPr="005C6730">
        <w:rPr>
          <w:rFonts w:asciiTheme="minorBidi" w:hAnsiTheme="minorBidi"/>
          <w:rtl/>
        </w:rPr>
        <w:t>, ש"ך</w:t>
      </w:r>
      <w:r w:rsidRPr="005C6730">
        <w:rPr>
          <w:rFonts w:asciiTheme="minorBidi" w:hAnsiTheme="minorBidi"/>
          <w:sz w:val="16"/>
          <w:szCs w:val="16"/>
          <w:rtl/>
        </w:rPr>
        <w:t xml:space="preserve"> (סקמ"ט)</w:t>
      </w:r>
      <w:r w:rsidRPr="005C6730">
        <w:rPr>
          <w:rFonts w:asciiTheme="minorBidi" w:hAnsiTheme="minorBidi"/>
          <w:rtl/>
        </w:rPr>
        <w:t>.</w:t>
      </w:r>
    </w:p>
  </w:footnote>
  <w:footnote w:id="169">
    <w:p w14:paraId="55660FF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ולצלי מותר בלא מליחה אלא דלכתח' יש למלחו קצת כשאר צלי וכדלקמן סי' עו ס"ב בהג"ה, אבל לא אמרינן כיון ששהה ג' ימים בלא מליחה ניבעי מליחה ממש אף לצלי, ת"ח </w:t>
      </w:r>
      <w:r w:rsidRPr="005C6730">
        <w:rPr>
          <w:rFonts w:asciiTheme="minorBidi" w:hAnsiTheme="minorBidi"/>
          <w:sz w:val="16"/>
          <w:szCs w:val="16"/>
          <w:rtl/>
        </w:rPr>
        <w:t>(ריש כלל ד')</w:t>
      </w:r>
      <w:r w:rsidRPr="005C6730">
        <w:rPr>
          <w:rFonts w:asciiTheme="minorBidi" w:hAnsiTheme="minorBidi"/>
          <w:rtl/>
        </w:rPr>
        <w:t>, ומבואר עוד שם דאפילו לא ניקר אותו מגידי הדם שבו מותר לצלי ולעיל סי' ס"ד סע' י"ח נתבאר דלכתח' יש לנקר הבשר מחלב שבו תוך ג' ימים ובדיע' אם מנקרו אח"כ מותר אף לקדירה, ש"ך</w:t>
      </w:r>
      <w:r w:rsidRPr="005C6730">
        <w:rPr>
          <w:rFonts w:asciiTheme="minorBidi" w:hAnsiTheme="minorBidi"/>
          <w:sz w:val="16"/>
          <w:szCs w:val="16"/>
          <w:rtl/>
        </w:rPr>
        <w:t xml:space="preserve"> (סק"נ)</w:t>
      </w:r>
      <w:r w:rsidRPr="005C6730">
        <w:rPr>
          <w:rFonts w:asciiTheme="minorBidi" w:hAnsiTheme="minorBidi"/>
          <w:rtl/>
        </w:rPr>
        <w:t>.</w:t>
      </w:r>
    </w:p>
  </w:footnote>
  <w:footnote w:id="170">
    <w:p w14:paraId="477EA56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שמא לא יצא כל דמו ע"י צלייה ויצא אח"כ ע"י בישול דהבישול פועל יותר מצלייה</w:t>
      </w:r>
      <w:r w:rsidRPr="005C6730">
        <w:rPr>
          <w:rFonts w:asciiTheme="minorBidi" w:hAnsiTheme="minorBidi"/>
          <w:sz w:val="16"/>
          <w:szCs w:val="16"/>
          <w:rtl/>
        </w:rPr>
        <w:t xml:space="preserve"> </w:t>
      </w:r>
      <w:r w:rsidRPr="0049416D">
        <w:rPr>
          <w:rFonts w:asciiTheme="minorBidi" w:hAnsiTheme="minorBidi" w:hint="cs"/>
          <w:sz w:val="12"/>
          <w:szCs w:val="12"/>
          <w:rtl/>
        </w:rPr>
        <w:t>(</w:t>
      </w:r>
      <w:r w:rsidRPr="0049416D">
        <w:rPr>
          <w:rFonts w:asciiTheme="minorBidi" w:hAnsiTheme="minorBidi"/>
          <w:sz w:val="16"/>
          <w:szCs w:val="16"/>
          <w:rtl/>
        </w:rPr>
        <w:t>ול"ד לכבד בר"ס ע"ג דג"כ אין לה היתר ע"י מליחה כי אם ע"י צלייה ומותר לבשלה אחר הצלייה ואפי' לכתח', דהתם אינו מועיל מליחה משום ריבוי דם שבה ומסתמא נפלט הכל בצלייה ומה שלא נפלט בצלייה לא יפלוט בבישול, אבל הכא אינו מועיל מליחה משום שכבר נתייבש דמו בתוכו ואפשר דצלי אינו פועל לרכך הדם שיצא הכל והבישול פועל לרככו</w:t>
      </w:r>
      <w:r>
        <w:rPr>
          <w:rFonts w:asciiTheme="minorBidi" w:hAnsiTheme="minorBidi" w:hint="cs"/>
          <w:sz w:val="16"/>
          <w:szCs w:val="16"/>
          <w:rtl/>
        </w:rPr>
        <w:t>)</w:t>
      </w:r>
      <w:r w:rsidRPr="005C6730">
        <w:rPr>
          <w:rFonts w:asciiTheme="minorBidi" w:hAnsiTheme="minorBidi"/>
          <w:rtl/>
        </w:rPr>
        <w:t xml:space="preserve">, ש"ך (סקנ"א). </w:t>
      </w:r>
      <w:r>
        <w:rPr>
          <w:rFonts w:hint="cs"/>
          <w:rtl/>
        </w:rPr>
        <w:t>ו</w:t>
      </w:r>
      <w:r w:rsidRPr="0049416D">
        <w:rPr>
          <w:rtl/>
        </w:rPr>
        <w:t>אף אם רוצים לצלותו בקדירה ביובש אסור</w:t>
      </w:r>
      <w:r>
        <w:rPr>
          <w:rFonts w:hint="cs"/>
          <w:rtl/>
        </w:rPr>
        <w:t>, חמו"ד (סי' ז, הביאו הפת"ש סקכ"ה).</w:t>
      </w:r>
      <w:r>
        <w:rPr>
          <w:rFonts w:asciiTheme="minorBidi" w:hAnsiTheme="minorBidi" w:hint="cs"/>
          <w:rtl/>
        </w:rPr>
        <w:t xml:space="preserve"> </w:t>
      </w:r>
      <w:r w:rsidRPr="005C6730">
        <w:rPr>
          <w:rFonts w:asciiTheme="minorBidi" w:hAnsiTheme="minorBidi"/>
          <w:rtl/>
        </w:rPr>
        <w:t>וכ' הט"ז (סקל"ב) וז"ל- רש"ל פסק דאפילו בדיעבד אסור, וכתב מו"ח ז"ל לא נראו דבריו.</w:t>
      </w:r>
    </w:p>
  </w:footnote>
  <w:footnote w:id="171">
    <w:p w14:paraId="609BFA3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שאנו תולין לומר שיצא הכל ומה שנשאר ולא יצא שוב לא יצא ג"כ ע"י בישול, ש"ך</w:t>
      </w:r>
      <w:r w:rsidRPr="005C6730">
        <w:rPr>
          <w:rFonts w:asciiTheme="minorBidi" w:hAnsiTheme="minorBidi"/>
          <w:sz w:val="16"/>
          <w:szCs w:val="16"/>
          <w:rtl/>
        </w:rPr>
        <w:t xml:space="preserve"> (סקנ"א)</w:t>
      </w:r>
      <w:r w:rsidRPr="005C6730">
        <w:rPr>
          <w:rFonts w:asciiTheme="minorBidi" w:hAnsiTheme="minorBidi"/>
          <w:rtl/>
        </w:rPr>
        <w:t>.</w:t>
      </w:r>
    </w:p>
  </w:footnote>
  <w:footnote w:id="172">
    <w:p w14:paraId="5ADA163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כדי לצלותו דחיישינן דילמא אישתלי ומבשל ליה, ש"ך (סקנ"ב).</w:t>
      </w:r>
    </w:p>
  </w:footnote>
  <w:footnote w:id="173">
    <w:p w14:paraId="7B935C2D" w14:textId="77777777" w:rsidR="004C5A3C" w:rsidRDefault="004C5A3C" w:rsidP="002C39F4">
      <w:pPr>
        <w:pStyle w:val="a5"/>
        <w:rPr>
          <w:rtl/>
        </w:rPr>
      </w:pPr>
      <w:r>
        <w:rPr>
          <w:rStyle w:val="a7"/>
        </w:rPr>
        <w:footnoteRef/>
      </w:r>
      <w:r>
        <w:rPr>
          <w:rtl/>
        </w:rPr>
        <w:t xml:space="preserve"> </w:t>
      </w:r>
      <w:r>
        <w:rPr>
          <w:rFonts w:cs="Arial" w:hint="cs"/>
          <w:rtl/>
        </w:rPr>
        <w:t xml:space="preserve">אבל </w:t>
      </w:r>
      <w:r w:rsidRPr="0049416D">
        <w:rPr>
          <w:rFonts w:cs="Arial"/>
          <w:rtl/>
        </w:rPr>
        <w:t>כבד וכחל מותר להשהות דודאי יצלנו אע</w:t>
      </w:r>
      <w:r>
        <w:rPr>
          <w:rFonts w:cs="Arial" w:hint="cs"/>
          <w:rtl/>
        </w:rPr>
        <w:t>"</w:t>
      </w:r>
      <w:r w:rsidRPr="0049416D">
        <w:rPr>
          <w:rFonts w:cs="Arial"/>
          <w:rtl/>
        </w:rPr>
        <w:t>ג דהכבד מבשלים אחר צלי וניחוש שמא יבשלנו אחר צלי מ"מ כל מידי דבדיעבד מותר לא חיישינן שמא ישכח</w:t>
      </w:r>
      <w:r>
        <w:rPr>
          <w:rFonts w:cs="Arial" w:hint="cs"/>
          <w:rtl/>
        </w:rPr>
        <w:t>,</w:t>
      </w:r>
      <w:r w:rsidRPr="0060508A">
        <w:rPr>
          <w:rFonts w:cs="Arial"/>
          <w:rtl/>
        </w:rPr>
        <w:t xml:space="preserve"> </w:t>
      </w:r>
      <w:r w:rsidRPr="0049416D">
        <w:rPr>
          <w:rFonts w:cs="Arial"/>
          <w:rtl/>
        </w:rPr>
        <w:t>חמו</w:t>
      </w:r>
      <w:r>
        <w:rPr>
          <w:rFonts w:cs="Arial" w:hint="cs"/>
          <w:rtl/>
        </w:rPr>
        <w:t>"</w:t>
      </w:r>
      <w:r w:rsidRPr="0049416D">
        <w:rPr>
          <w:rFonts w:cs="Arial"/>
          <w:rtl/>
        </w:rPr>
        <w:t xml:space="preserve">ד </w:t>
      </w:r>
      <w:r>
        <w:rPr>
          <w:rFonts w:cs="Arial" w:hint="cs"/>
          <w:rtl/>
        </w:rPr>
        <w:t>(</w:t>
      </w:r>
      <w:r w:rsidRPr="0049416D">
        <w:rPr>
          <w:rFonts w:cs="Arial"/>
          <w:rtl/>
        </w:rPr>
        <w:t>סי</w:t>
      </w:r>
      <w:r>
        <w:rPr>
          <w:rFonts w:cs="Arial" w:hint="cs"/>
          <w:rtl/>
        </w:rPr>
        <w:t>'</w:t>
      </w:r>
      <w:r w:rsidRPr="0049416D">
        <w:rPr>
          <w:rFonts w:cs="Arial"/>
          <w:rtl/>
        </w:rPr>
        <w:t xml:space="preserve"> לד</w:t>
      </w:r>
      <w:r>
        <w:rPr>
          <w:rFonts w:cs="Arial" w:hint="cs"/>
          <w:rtl/>
        </w:rPr>
        <w:t>, הביאו הפת"ש סקכ"ו)</w:t>
      </w:r>
      <w:r>
        <w:rPr>
          <w:rFonts w:hint="cs"/>
          <w:rtl/>
        </w:rPr>
        <w:t>.</w:t>
      </w:r>
    </w:p>
  </w:footnote>
  <w:footnote w:id="174">
    <w:p w14:paraId="5F441186" w14:textId="77777777" w:rsidR="004C5A3C" w:rsidRDefault="004C5A3C" w:rsidP="002C39F4">
      <w:pPr>
        <w:pStyle w:val="a5"/>
      </w:pPr>
      <w:r>
        <w:rPr>
          <w:rStyle w:val="a7"/>
        </w:rPr>
        <w:footnoteRef/>
      </w:r>
      <w:r>
        <w:rPr>
          <w:rtl/>
        </w:rPr>
        <w:t xml:space="preserve"> </w:t>
      </w:r>
      <w:r w:rsidRPr="00232821">
        <w:rPr>
          <w:rtl/>
        </w:rPr>
        <w:t xml:space="preserve">משמע </w:t>
      </w:r>
      <w:r w:rsidRPr="00232821">
        <w:rPr>
          <w:rFonts w:hint="cs"/>
          <w:rtl/>
        </w:rPr>
        <w:t>ד</w:t>
      </w:r>
      <w:r w:rsidRPr="00232821">
        <w:rPr>
          <w:rtl/>
        </w:rPr>
        <w:t>אילו מלחו בכלי שאינו מנוקב לחוד ולא מלחו תחלה בכלי מנוקב דאסור דשמא יצא קצת מן הדם שנתקשה בו ע"י המליחה</w:t>
      </w:r>
      <w:r w:rsidRPr="00232821">
        <w:rPr>
          <w:rFonts w:hint="cs"/>
          <w:rtl/>
        </w:rPr>
        <w:t>,</w:t>
      </w:r>
      <w:r w:rsidRPr="00232821">
        <w:rPr>
          <w:rtl/>
        </w:rPr>
        <w:t xml:space="preserve"> ט"ז (סקל"ב).</w:t>
      </w:r>
    </w:p>
  </w:footnote>
  <w:footnote w:id="175">
    <w:p w14:paraId="5161202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הט"ז וז"ל- נראה ביאור דבריו דבחשש זה שנתייבש הדם בבשר ולא מתעורר מחום המליחה לצאת בזה אמרינן שפיר ממ"נ אם נתעורר לצאת במליחה ראשונה, וכדעת ריב"ש שמביא ב"י, ממילא א"צ למליחה שנייה כלל ומותר במליחה שניה בכלי שאינו מנוקב, ואם לא יצא במליחה ראשונה והיבוש במקומו עומד גם מליחה השניה לא תאסור אותו ומותר לצלי</w:t>
      </w:r>
      <w:r w:rsidRPr="005C6730">
        <w:rPr>
          <w:rFonts w:asciiTheme="minorBidi" w:hAnsiTheme="minorBidi"/>
          <w:sz w:val="16"/>
          <w:szCs w:val="16"/>
          <w:rtl/>
        </w:rPr>
        <w:t xml:space="preserve"> {אמנם הש"ך</w:t>
      </w:r>
      <w:r w:rsidRPr="005C6730">
        <w:rPr>
          <w:rFonts w:asciiTheme="minorBidi" w:hAnsiTheme="minorBidi"/>
          <w:sz w:val="14"/>
          <w:szCs w:val="14"/>
          <w:rtl/>
        </w:rPr>
        <w:t xml:space="preserve"> (בנה"כ)</w:t>
      </w:r>
      <w:r w:rsidRPr="005C6730">
        <w:rPr>
          <w:rFonts w:asciiTheme="minorBidi" w:hAnsiTheme="minorBidi"/>
          <w:sz w:val="16"/>
          <w:szCs w:val="16"/>
          <w:rtl/>
        </w:rPr>
        <w:t xml:space="preserve"> השאיר את היתרו של רש"ל בצ"ע משום דהסברא נותנת הכא דהבשר פולט מעט}</w:t>
      </w:r>
      <w:r w:rsidRPr="005C6730">
        <w:rPr>
          <w:rFonts w:asciiTheme="minorBidi" w:hAnsiTheme="minorBidi"/>
          <w:rtl/>
        </w:rPr>
        <w:t>, משא"כ בהגעלה דאין שם טעם יבוש אלא שאין כח להגעלה להוציא לגמרי כיון שצריך ליבון מ"מ מהני כח ההגעלה שיזוז הבלוע ממקומו קצת וע"כ כשיבא רתיחת השניה יוצא לחוץ.</w:t>
      </w:r>
    </w:p>
  </w:footnote>
  <w:footnote w:id="176">
    <w:p w14:paraId="161BC6F9" w14:textId="77777777" w:rsidR="004C5A3C" w:rsidRPr="005C6730" w:rsidRDefault="004C5A3C" w:rsidP="002C39F4">
      <w:pPr>
        <w:pStyle w:val="a5"/>
        <w:rPr>
          <w:rFonts w:asciiTheme="minorBidi" w:hAnsiTheme="minorBidi"/>
        </w:rPr>
      </w:pPr>
      <w:r w:rsidRPr="005C6730">
        <w:rPr>
          <w:rStyle w:val="a7"/>
          <w:rFonts w:asciiTheme="minorBidi" w:hAnsiTheme="minorBidi"/>
          <w:color w:val="FF0000"/>
        </w:rPr>
        <w:footnoteRef/>
      </w:r>
      <w:r w:rsidRPr="005C6730">
        <w:rPr>
          <w:rFonts w:asciiTheme="minorBidi" w:hAnsiTheme="minorBidi"/>
          <w:color w:val="FF0000"/>
          <w:rtl/>
        </w:rPr>
        <w:t xml:space="preserve"> וכ' רעק"א (סק"מ) וז"ל- לענ"ד זהו אינו מספיק דמ"מ היה צלי מועיל בדרך ממנ"פ, דלפי החומרא דנתקשה הא לא בלע כלום ואם לא דנין דנתקשה ובלע הא מותר דאיידי דפלט דם דידיה פלט דם דאחריני, אלא דאסור מטעם הראשון דאף אם אמרינן דנתקשה דמו בתוכו ולא פליט מ"מ בלע, והא דאין לו תקנה בצלי ע"י איידי דיפלוט דם דידיה צ"ל דגם בצלי לא יפלוט דידיה כיון דנתקשה, והא דבשלו אחר צלי מותר צ"ל מטעם שכ' הש"ך סקנ"א ודוק.</w:t>
      </w:r>
    </w:p>
  </w:footnote>
  <w:footnote w:id="177">
    <w:p w14:paraId="42ACFE8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הט"ז על אותו מורה וז"ל- ונראה שטעה דודאי זה דומה למולח בשר שנמלח כבר ויצא מידי דמו וצירו עם שאר בשר שמולח להוציא דמו דאמרי' בכל סי' זה דודאי בולע מן האיסור ונשאר בתוכו כיון שאין לו מה להפליט ה"נ אמרינן ביה לחומרא. וטעמו של הש"ך להתיר הוא משום דהאי דינא שבשר ששהה ג' ימים בלא מליחה אסור בקדירה היא חומרת הגאונים ולא נזכר שום רמז בש"ס וגם הריב"ש (סי' פר) שדא ביה נרגא, והלכך הבו דלא לוסיף עלה ואין לך אלא מה שהחמירו בו בפירוש, ועוד די"ל דאף הגאונים לא קאמרי שאינו יוצא ע"י מליחה כלל, שהרי נראה הדבר לעין שיוצא, אלא ר"ל שאינו יוצא כל דמו, וא"כ כיון דעל כל פנים יוצא קצת דם אמרינן לגבי דם שבלע כבולעו כך פולטו. </w:t>
      </w:r>
    </w:p>
  </w:footnote>
  <w:footnote w:id="178">
    <w:p w14:paraId="01AD19C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רעק"א </w:t>
      </w:r>
      <w:r w:rsidRPr="005C6730">
        <w:rPr>
          <w:rFonts w:asciiTheme="minorBidi" w:hAnsiTheme="minorBidi"/>
          <w:sz w:val="16"/>
          <w:szCs w:val="16"/>
          <w:rtl/>
        </w:rPr>
        <w:t>(סקמ"א)</w:t>
      </w:r>
      <w:r w:rsidRPr="005C6730">
        <w:rPr>
          <w:rFonts w:asciiTheme="minorBidi" w:hAnsiTheme="minorBidi"/>
          <w:rtl/>
        </w:rPr>
        <w:t xml:space="preserve"> על מש"כ הט"ז "והודח בכלי שאינו מנוקב"- דאינו מדוקדק דגם במנוקב אסור.</w:t>
      </w:r>
    </w:p>
  </w:footnote>
  <w:footnote w:id="179">
    <w:p w14:paraId="68C2722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וכתב המעיל צדקה </w:t>
      </w:r>
      <w:r w:rsidRPr="005C6730">
        <w:rPr>
          <w:rFonts w:asciiTheme="minorBidi" w:hAnsiTheme="minorBidi"/>
          <w:sz w:val="16"/>
          <w:szCs w:val="16"/>
          <w:rtl/>
        </w:rPr>
        <w:t xml:space="preserve">(סי' יב, הביאו הפת"ש סקכ"ד) </w:t>
      </w:r>
      <w:r w:rsidRPr="005C6730">
        <w:rPr>
          <w:rFonts w:asciiTheme="minorBidi" w:hAnsiTheme="minorBidi"/>
          <w:rtl/>
        </w:rPr>
        <w:t xml:space="preserve">שאין לסמוך ע"ז אפילו בהפ"מ. וכ' רעק"א </w:t>
      </w:r>
      <w:r w:rsidRPr="005C6730">
        <w:rPr>
          <w:rFonts w:asciiTheme="minorBidi" w:hAnsiTheme="minorBidi"/>
          <w:sz w:val="16"/>
          <w:szCs w:val="16"/>
          <w:rtl/>
        </w:rPr>
        <w:t>(סקמ"ב)</w:t>
      </w:r>
      <w:r w:rsidRPr="005C6730">
        <w:rPr>
          <w:rFonts w:asciiTheme="minorBidi" w:hAnsiTheme="minorBidi"/>
          <w:rtl/>
        </w:rPr>
        <w:t xml:space="preserve"> שבמנחת יעקב </w:t>
      </w:r>
      <w:r w:rsidRPr="005C6730">
        <w:rPr>
          <w:rFonts w:asciiTheme="minorBidi" w:hAnsiTheme="minorBidi"/>
          <w:sz w:val="16"/>
          <w:szCs w:val="16"/>
          <w:rtl/>
        </w:rPr>
        <w:t>(כלל ד אות ב)</w:t>
      </w:r>
      <w:r w:rsidRPr="005C6730">
        <w:rPr>
          <w:rFonts w:asciiTheme="minorBidi" w:hAnsiTheme="minorBidi"/>
          <w:rtl/>
        </w:rPr>
        <w:t xml:space="preserve"> כתב דהר"ר עוזר ס"ל כהסוברים דמותר לבשל אחר צלייה אלא דס"ל לצלי ג"כ בעי מליחה מקודם כמ"ש בת"ח בשם או"ה, אבל לדידן דקיי"ל דאין לבשל אחר הצלייה גם במלחו וצלאו לא מהני. וכ"כ החת"ס </w:t>
      </w:r>
      <w:r w:rsidRPr="005C6730">
        <w:rPr>
          <w:rFonts w:asciiTheme="minorBidi" w:hAnsiTheme="minorBidi"/>
          <w:sz w:val="16"/>
          <w:szCs w:val="16"/>
          <w:rtl/>
        </w:rPr>
        <w:t>(הובא באוצר מפרשים)</w:t>
      </w:r>
      <w:r w:rsidRPr="005C6730">
        <w:rPr>
          <w:rFonts w:asciiTheme="minorBidi" w:hAnsiTheme="minorBidi"/>
          <w:rtl/>
        </w:rPr>
        <w:t>.</w:t>
      </w:r>
    </w:p>
  </w:footnote>
  <w:footnote w:id="180">
    <w:p w14:paraId="06A24F5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והשבו"י התיר את האסור, ואף לדעת השבו"י דוקא בשומן שהופשט אבל אם השומן לא הופשט עדיין מעל האווז גם הוא מודה שאפילו השומן אסור לבשל, ומי שהורה להתיר אפילו השומן לחוד ראוי לגעור בו בנזיפה, ואם כבר נעשה מעשה והפשיט השומן ובשלו אסורים הכלים וכל התערובת, נו"ב.</w:t>
      </w:r>
    </w:p>
  </w:footnote>
  <w:footnote w:id="181">
    <w:p w14:paraId="1BCA68D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ב"ז (סי' שכח) דכך המנהג באשכנז. וגם בשע"ד </w:t>
      </w:r>
      <w:r w:rsidRPr="005C6730">
        <w:rPr>
          <w:rFonts w:asciiTheme="minorBidi" w:hAnsiTheme="minorBidi"/>
          <w:sz w:val="16"/>
          <w:szCs w:val="16"/>
          <w:rtl/>
        </w:rPr>
        <w:t>(סו"ס ד, עיי"ש ונראה שהוא לא מדברי שע"ד אלא הגהה, וכן ביש"ש [פ"ח סי' פה] ובב"ז [סי' שכח] מובא בשם הגשע"ד)</w:t>
      </w:r>
      <w:r w:rsidRPr="005C6730">
        <w:rPr>
          <w:rFonts w:asciiTheme="minorBidi" w:hAnsiTheme="minorBidi"/>
          <w:rtl/>
        </w:rPr>
        <w:t xml:space="preserve"> כ' להתיר בשם ר' יצחק חוזה </w:t>
      </w:r>
      <w:r w:rsidRPr="005C6730">
        <w:rPr>
          <w:rFonts w:asciiTheme="minorBidi" w:hAnsiTheme="minorBidi"/>
          <w:sz w:val="16"/>
          <w:szCs w:val="16"/>
          <w:rtl/>
        </w:rPr>
        <w:t>(הביאו מהר"ם דפוס ברלין סי' לג, ר' יצחק חוזה היה בן דורם של מהר"ם ורא"ש)</w:t>
      </w:r>
      <w:r w:rsidRPr="005C6730">
        <w:rPr>
          <w:rFonts w:asciiTheme="minorBidi" w:hAnsiTheme="minorBidi"/>
          <w:rtl/>
        </w:rPr>
        <w:t xml:space="preserve">. וגם מהר"ם </w:t>
      </w:r>
      <w:r w:rsidRPr="005C6730">
        <w:rPr>
          <w:rFonts w:asciiTheme="minorBidi" w:hAnsiTheme="minorBidi"/>
          <w:sz w:val="16"/>
          <w:szCs w:val="16"/>
          <w:rtl/>
        </w:rPr>
        <w:t>(ד"ב סי' לג, הביאו רי"ו [נט"ו אות כה קלה:])</w:t>
      </w:r>
      <w:r w:rsidRPr="005C6730">
        <w:rPr>
          <w:rFonts w:asciiTheme="minorBidi" w:hAnsiTheme="minorBidi"/>
          <w:rtl/>
        </w:rPr>
        <w:t xml:space="preserve"> שיש קבלה מפי הר"ר יצחק חוזה זצ"ל דמותר לשרות תוך ג', אך כתב על זה מהר"ם- 'אם קבלה נקבל ומסתבר קצת, ואם לדין יש תשובה, וקל להבין', עכ"ל. </w:t>
      </w:r>
      <w:r w:rsidRPr="005C6730">
        <w:rPr>
          <w:rFonts w:asciiTheme="minorBidi" w:hAnsiTheme="minorBidi"/>
          <w:color w:val="FF0000"/>
          <w:rtl/>
        </w:rPr>
        <w:t xml:space="preserve">(הב"ז ושע"ד השתמשו בלשון " אם הודח" והדרכ"מ כ' בשמם "אם </w:t>
      </w:r>
      <w:r w:rsidRPr="005C6730">
        <w:rPr>
          <w:rFonts w:asciiTheme="minorBidi" w:hAnsiTheme="minorBidi"/>
          <w:color w:val="FF0000"/>
          <w:u w:val="single"/>
          <w:rtl/>
        </w:rPr>
        <w:t>נשרה</w:t>
      </w:r>
      <w:r w:rsidRPr="005C6730">
        <w:rPr>
          <w:rFonts w:asciiTheme="minorBidi" w:hAnsiTheme="minorBidi"/>
          <w:color w:val="FF0000"/>
          <w:rtl/>
        </w:rPr>
        <w:t xml:space="preserve"> שרי" וצל"ע לשון הדחה מאי)</w:t>
      </w:r>
      <w:r w:rsidRPr="005C6730">
        <w:rPr>
          <w:rFonts w:asciiTheme="minorBidi" w:hAnsiTheme="minorBidi"/>
          <w:rtl/>
        </w:rPr>
        <w:t>.</w:t>
      </w:r>
    </w:p>
  </w:footnote>
  <w:footnote w:id="182">
    <w:p w14:paraId="3F23D3D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אבל אם נקרו הבשר תוך הג' ימים אז מותר אפי' לבשלו, כי סומכין אז בדיע' על הדחה הראשונה דחללי בי טבחי. דהיינו אפילו ששפכו עליו מים פעם אחת בהעברה בעלמא מאחר שאין כאן דם הגידים דהוי דם שפירש אלא דם שמובלע בבשר שמותר. ומכל מקום צריך אז אח"כ הדחה אחרת קודם המליחה לקדירה אפי' בדיעבד, </w:t>
      </w:r>
      <w:r>
        <w:rPr>
          <w:rFonts w:asciiTheme="minorBidi" w:hAnsiTheme="minorBidi"/>
          <w:rtl/>
        </w:rPr>
        <w:t>או"ה</w:t>
      </w:r>
      <w:r w:rsidRPr="005C6730">
        <w:rPr>
          <w:rFonts w:asciiTheme="minorBidi" w:hAnsiTheme="minorBidi"/>
          <w:sz w:val="16"/>
          <w:szCs w:val="16"/>
          <w:rtl/>
        </w:rPr>
        <w:t xml:space="preserve"> (ש"ב דין ג, הביאוהו הדרכ"מ אות כז והט"ז סקל"ג)</w:t>
      </w:r>
      <w:r w:rsidRPr="005C6730">
        <w:rPr>
          <w:rFonts w:asciiTheme="minorBidi" w:hAnsiTheme="minorBidi"/>
          <w:rtl/>
        </w:rPr>
        <w:t>.</w:t>
      </w:r>
    </w:p>
  </w:footnote>
  <w:footnote w:id="183">
    <w:p w14:paraId="5C82EEF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וב</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 xml:space="preserve">(כלל ב דין א) </w:t>
      </w:r>
      <w:r w:rsidRPr="005C6730">
        <w:rPr>
          <w:rFonts w:asciiTheme="minorBidi" w:hAnsiTheme="minorBidi"/>
          <w:rtl/>
        </w:rPr>
        <w:t>כ' דאין לסמוך ע"ז להתיר ע"י שריית פושרים אחר ג' ימים, וכן משמע מדברי הטור דאין תקנה לאכלו מבושל, דרכ"מ (אות כט).</w:t>
      </w:r>
    </w:p>
  </w:footnote>
  <w:footnote w:id="184">
    <w:p w14:paraId="2616705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הדרכ"מ (אות כח) וז"ל- ונראה דלכתחלה יש לחוש לדברי מהרא"י אמנם בדיעבד אין לחוש כי רבו המתירים ואף כי האגור ובנימין זאב והארוך היו בתראי ופסקו להיתר ועוד כי כבר כתבתי</w:t>
      </w:r>
      <w:r w:rsidRPr="005C6730">
        <w:rPr>
          <w:rFonts w:asciiTheme="minorBidi" w:hAnsiTheme="minorBidi"/>
          <w:sz w:val="16"/>
          <w:szCs w:val="16"/>
          <w:rtl/>
        </w:rPr>
        <w:t xml:space="preserve"> (דרכ"מ ארוך ריש הסימן)</w:t>
      </w:r>
      <w:r w:rsidRPr="005C6730">
        <w:rPr>
          <w:rFonts w:asciiTheme="minorBidi" w:hAnsiTheme="minorBidi"/>
          <w:rtl/>
        </w:rPr>
        <w:t xml:space="preserve"> דאותה סברא דמיא מטרשי ליה דהביא מהרא"י ממנה ראיה לאסור אינה אליבא דהלכתא.</w:t>
      </w:r>
    </w:p>
  </w:footnote>
  <w:footnote w:id="185">
    <w:p w14:paraId="45E0A80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דהוא שיעור ההדחה ששרה במים כמ"ש רמ"א בסע' א, ט"ז </w:t>
      </w:r>
      <w:r w:rsidRPr="005C6730">
        <w:rPr>
          <w:rFonts w:asciiTheme="minorBidi" w:hAnsiTheme="minorBidi"/>
          <w:sz w:val="16"/>
          <w:szCs w:val="16"/>
          <w:rtl/>
        </w:rPr>
        <w:t>(סקל"ד)</w:t>
      </w:r>
      <w:r w:rsidRPr="005C6730">
        <w:rPr>
          <w:rFonts w:asciiTheme="minorBidi" w:hAnsiTheme="minorBidi"/>
          <w:rtl/>
        </w:rPr>
        <w:t xml:space="preserve">. וכ' הש"ך </w:t>
      </w:r>
      <w:r w:rsidRPr="005C6730">
        <w:rPr>
          <w:rFonts w:asciiTheme="minorBidi" w:hAnsiTheme="minorBidi"/>
          <w:sz w:val="16"/>
          <w:szCs w:val="16"/>
          <w:rtl/>
        </w:rPr>
        <w:t xml:space="preserve">(סקמ"ד) </w:t>
      </w:r>
      <w:r w:rsidRPr="005C6730">
        <w:rPr>
          <w:rFonts w:asciiTheme="minorBidi" w:hAnsiTheme="minorBidi"/>
          <w:rtl/>
        </w:rPr>
        <w:t>דלאו דוקא חצי שעה אלא פחות מעט. וכ' הפת"ש (סקכ"ב) דאם כשלקחוהו מהמים היה לח כמו ב' וג' שעות עד שהיו המים נוטפים ונשתהה ג"י היה לשאול מאיזה זמן מנינן אם משעה שלקחו מהמים או מעת שכלה כל לחלוחית המים ונראה להקל.</w:t>
      </w:r>
    </w:p>
  </w:footnote>
  <w:footnote w:id="186">
    <w:p w14:paraId="569BCA8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דעת הר"ב בת"ח דלכתחלה אין לשרות אותו תוך ג' ימים כדי להשהותו עוד ג' ימים אחרים אך בדיעבד שכבר שהה אותו ג' ימים מותר לבשלו אפילו לא שראו רק מעט תוך הג' ימי' אם היה מנוקר מגידי הדם וכן בשעת הדחק או במקום הפסד מרוב' יכול לשרותו אפילו לכתחלה ולשהותו עוד ג' ימים ע"ש ובסימני ת"ח שכן מוכרח דעת הר"ב ודוק וכאן השמיט כל זה לפי שכתב שם שיש מקומות רבים נוהגין היתר אפי' לכתחלה ושבק"ק קראקא נהגו כן והניח להן מנהגן לכך סתם כאן הדברים להיות נהרא נהרא ופשטיה ובאמת אין להחמיר בדינים אלו כיון שלא מצינו חומרא דבשר ששהה ג' ימים בלא מליחה בש"ס וגם הריב"ש סי' פ"ז שדא בה נרגא ומ"מ לכתחלה יש לשרותו היטב כשרוצה להשהותו עוד ג' ימים וכדאיתא באגור ות"ח שם, ש"ך (סקנ"ג).</w:t>
      </w:r>
    </w:p>
  </w:footnote>
  <w:footnote w:id="187">
    <w:p w14:paraId="31B53B5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ואע"ג דהרי"ף </w:t>
      </w:r>
      <w:r w:rsidRPr="005C6730">
        <w:rPr>
          <w:rFonts w:asciiTheme="minorBidi" w:hAnsiTheme="minorBidi"/>
          <w:sz w:val="16"/>
          <w:szCs w:val="16"/>
          <w:rtl/>
        </w:rPr>
        <w:t xml:space="preserve">(חולין לב:) </w:t>
      </w:r>
      <w:r w:rsidRPr="005C6730">
        <w:rPr>
          <w:rFonts w:asciiTheme="minorBidi" w:hAnsiTheme="minorBidi"/>
          <w:rtl/>
        </w:rPr>
        <w:t xml:space="preserve">חשיב כה"ג דבר שיש לו מתירין ראבי"ה </w:t>
      </w:r>
      <w:r w:rsidRPr="005C6730">
        <w:rPr>
          <w:rFonts w:asciiTheme="minorBidi" w:hAnsiTheme="minorBidi"/>
          <w:sz w:val="16"/>
          <w:szCs w:val="16"/>
          <w:rtl/>
        </w:rPr>
        <w:t xml:space="preserve">(פסחים סי' תקז) </w:t>
      </w:r>
      <w:r w:rsidRPr="005C6730">
        <w:rPr>
          <w:rFonts w:asciiTheme="minorBidi" w:hAnsiTheme="minorBidi"/>
          <w:rtl/>
        </w:rPr>
        <w:t xml:space="preserve">לא חשיב ליה ובפ' הערל </w:t>
      </w:r>
      <w:r w:rsidRPr="005C6730">
        <w:rPr>
          <w:rFonts w:asciiTheme="minorBidi" w:hAnsiTheme="minorBidi"/>
          <w:sz w:val="16"/>
          <w:szCs w:val="16"/>
          <w:rtl/>
        </w:rPr>
        <w:t xml:space="preserve">(יבמות פב.) </w:t>
      </w:r>
      <w:r w:rsidRPr="005C6730">
        <w:rPr>
          <w:rFonts w:asciiTheme="minorBidi" w:hAnsiTheme="minorBidi"/>
          <w:rtl/>
        </w:rPr>
        <w:t xml:space="preserve">משמע כוותיה, ואע"ג דאפשר לחלק כיון דדשיל"מ מידי דרבנן הוא לא דייקינן כולי האי להחמיר, תרוה"ד. </w:t>
      </w:r>
      <w:r w:rsidRPr="005C6730">
        <w:rPr>
          <w:rFonts w:asciiTheme="minorBidi" w:hAnsiTheme="minorBidi"/>
          <w:sz w:val="16"/>
          <w:szCs w:val="16"/>
          <w:rtl/>
        </w:rPr>
        <w:t xml:space="preserve">(ועוד דאין היתר למה שהוא אסור עכשיו, דהיינו לקדרה, ט"ז. ואי דיכול בבישול אחר הצלייה דמותר מדינא מ"מ צריך הוצאת עצים להסקה ולבשול, ולענ"ד קשה הא בצלי יפסיד השמנונית הנוטף לתוך האש דאם יעמיד כלי תחתיו לקבל השומן הנוטף שוב הוי בישול וא"כ בלא"ה לא הוי יש לו מתירין דיש לו הפסד שומן בנוטף, רעק"א </w:t>
      </w:r>
      <w:r w:rsidRPr="005C6730">
        <w:rPr>
          <w:rFonts w:asciiTheme="minorBidi" w:hAnsiTheme="minorBidi"/>
          <w:sz w:val="14"/>
          <w:szCs w:val="14"/>
          <w:rtl/>
        </w:rPr>
        <w:t>[סקמ"ה]</w:t>
      </w:r>
      <w:r w:rsidRPr="005C6730">
        <w:rPr>
          <w:rFonts w:asciiTheme="minorBidi" w:hAnsiTheme="minorBidi"/>
          <w:sz w:val="16"/>
          <w:szCs w:val="16"/>
          <w:rtl/>
        </w:rPr>
        <w:t>)</w:t>
      </w:r>
    </w:p>
  </w:footnote>
  <w:footnote w:id="188">
    <w:p w14:paraId="10B1549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פירוש שנתערבה בחתיכות אחרות שלא שהו עדיין ג' ימים ולא נמלחו עדיין מותר לבשל כולן כשימלח כולן, א"נ מיירי שכבר נמלחו כולן ואחת נמלחה אחר ששהה ג' ימים והאחרות נמלחו תוך ג' ימים דמותר לבשל כולן בלא מליחה, ש"ך (סקנ"ה). ופירש הפמ"ג (</w:t>
      </w:r>
      <w:r w:rsidRPr="005C6730">
        <w:rPr>
          <w:rFonts w:asciiTheme="minorBidi" w:hAnsiTheme="minorBidi"/>
          <w:rtl/>
        </w:rPr>
        <w:tab/>
        <w:t xml:space="preserve">שפתי דעת) הנה התנאי דבעינן שנמלחו כולן או שימלחנו הכל, הא לא"ה לא, ר"ל אם חתיכה ששהה ג' ימים בלא מליחה שנתערבה בלא מליחה עם אחרות מלוחות מזה לא דיבר המחבר דהשמיט גם הדין דהר"ב מטעם אם יבשלם יתן טעם. </w:t>
      </w:r>
    </w:p>
  </w:footnote>
  <w:footnote w:id="189">
    <w:p w14:paraId="7E06E73D" w14:textId="77777777" w:rsidR="004C5A3C" w:rsidRPr="005C6730" w:rsidRDefault="004C5A3C" w:rsidP="002C39F4">
      <w:pPr>
        <w:pStyle w:val="a5"/>
        <w:rPr>
          <w:rFonts w:asciiTheme="minorBidi" w:hAnsiTheme="minorBidi"/>
          <w:color w:val="000000" w:themeColor="text1"/>
        </w:rPr>
      </w:pPr>
      <w:r w:rsidRPr="005C6730">
        <w:rPr>
          <w:rStyle w:val="a7"/>
          <w:rFonts w:asciiTheme="minorBidi" w:hAnsiTheme="minorBidi"/>
          <w:color w:val="000000" w:themeColor="text1"/>
        </w:rPr>
        <w:footnoteRef/>
      </w:r>
      <w:r w:rsidRPr="005C6730">
        <w:rPr>
          <w:rFonts w:asciiTheme="minorBidi" w:hAnsiTheme="minorBidi"/>
          <w:color w:val="000000" w:themeColor="text1"/>
          <w:rtl/>
        </w:rPr>
        <w:t xml:space="preserve"> ואע"ג דמין בשא"מ לא בטיל (כמ"ש בר"ס קט) שאני כאן דאינו אלא חומרא בעלמא, ע"פ ש"ך (סקנ"ז). </w:t>
      </w:r>
      <w:r w:rsidRPr="005C6730">
        <w:rPr>
          <w:rFonts w:asciiTheme="minorBidi" w:hAnsiTheme="minorBidi"/>
          <w:color w:val="000000" w:themeColor="text1"/>
          <w:sz w:val="16"/>
          <w:szCs w:val="16"/>
          <w:rtl/>
        </w:rPr>
        <w:t>(אמנם תרוץ זה הוא לדברי מהרא"י והשו"ע, דס"ל דכיון דבשר ששהה ג' ימים בלא מליחה היא חומרת הגאונים י"ל דהגאונים לא גזרו כולי האי... אבל על הר"ב קשה דכתב וכן כו' משמע דבטל נמי ברוב וכדכתב בת"ח (כ"ב ד"ג) בהדיא והא בשר שנתבשל בלא מליחה מדינא אסור, מיהו אאו"ה לק"מ דאזיל לטעמיה דס"ל דהא דיבש ביבש שלא במינו צריך ס' אין הטעם משום דיתן טעם כשיבשלם אלא משום שנקרא דבר שיש לו תקנה קצת להכיר האיסור ולהסירו משם כו' וכמ"ש בשמו בסי' צח סק"ו א"כ הכא א"א להכירו שהרי הוא בלוע (ואפשר דמהרא"י נמי סובר האי טעמא) אבל הר"ב דס"ל הטעם דלעיל והוא עיקר כמ"ש שם קשיא ודוחק לחלק דהכא שאני דהאיסור בלוע ואפשר דהכא לא אתא אלא לאשמועינן דלא נאסר משום חתיכה ר"ל ורוב הוא לאו דוקא אלא צריך ששים וצ"ע, ש"ך (סקנ"ז). וצל"ע בנה"כ אות ט.</w:t>
      </w:r>
    </w:p>
  </w:footnote>
  <w:footnote w:id="190">
    <w:p w14:paraId="69E20CD0" w14:textId="77777777" w:rsidR="004C5A3C" w:rsidRPr="005C6730" w:rsidRDefault="004C5A3C" w:rsidP="002C39F4">
      <w:pPr>
        <w:pStyle w:val="a5"/>
        <w:rPr>
          <w:rFonts w:asciiTheme="minorBidi" w:hAnsiTheme="minorBidi"/>
          <w:rtl/>
        </w:rPr>
      </w:pPr>
      <w:r w:rsidRPr="005C6730">
        <w:rPr>
          <w:rStyle w:val="a7"/>
          <w:rFonts w:asciiTheme="minorBidi" w:hAnsiTheme="minorBidi"/>
          <w:color w:val="000000" w:themeColor="text1"/>
        </w:rPr>
        <w:footnoteRef/>
      </w:r>
      <w:r w:rsidRPr="005C6730">
        <w:rPr>
          <w:rFonts w:asciiTheme="minorBidi" w:hAnsiTheme="minorBidi"/>
          <w:color w:val="000000" w:themeColor="text1"/>
          <w:rtl/>
        </w:rPr>
        <w:t xml:space="preserve"> דוקא כל א' וא' בפני עצמו או אפילו כולן בקדרה א' כשירבה עליו היתר עד ס' הא לאו הכי לא וכדלקמן סי' קט ס"ב וע"ש, ומלשון </w:t>
      </w:r>
      <w:r w:rsidRPr="005C6730">
        <w:rPr>
          <w:rFonts w:asciiTheme="minorBidi" w:hAnsiTheme="minorBidi"/>
          <w:rtl/>
        </w:rPr>
        <w:t>ומותר לבשל כולן משמע שא"צ להשליך א' או ליתן לעובד כוכבים ואע"ג דבסימן הנזכר כתב הר"ב דיש מחמירין להשליך א' או ליתן לעובד כוכבים מ"מ סתם הכא כדברי המחבר דכבר כתב שם דאינו אלא חומרא בעלמא וכאן כיון שבשר ששהה ג' ימים בלא מליחה אינו אלא חומרת הגאונים אין להחמיר, ש"ך (סקנ"ח).</w:t>
      </w:r>
    </w:p>
  </w:footnote>
  <w:footnote w:id="191">
    <w:p w14:paraId="201278E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כמו בכלי בסי' ק"ב והוה על בשר דין יבש ביבש שמבואר בסי' ק"ט מה דינו. ועיין מה שכתבתי שם [סי' קב] סע' ג, ט"ז (סקל"ה).</w:t>
      </w:r>
    </w:p>
  </w:footnote>
  <w:footnote w:id="192">
    <w:p w14:paraId="7FB6157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אבל פחות מעת לעת מותר, אגור </w:t>
      </w:r>
      <w:r w:rsidRPr="005C6730">
        <w:rPr>
          <w:rFonts w:asciiTheme="minorBidi" w:hAnsiTheme="minorBidi"/>
          <w:sz w:val="16"/>
          <w:szCs w:val="16"/>
          <w:rtl/>
        </w:rPr>
        <w:t>(סי' אלף קצג)</w:t>
      </w:r>
      <w:r w:rsidRPr="005C6730">
        <w:rPr>
          <w:rFonts w:asciiTheme="minorBidi" w:hAnsiTheme="minorBidi"/>
          <w:rtl/>
        </w:rPr>
        <w:t xml:space="preserve"> ושע"ד </w:t>
      </w:r>
      <w:r w:rsidRPr="005C6730">
        <w:rPr>
          <w:rFonts w:asciiTheme="minorBidi" w:hAnsiTheme="minorBidi"/>
          <w:sz w:val="16"/>
          <w:szCs w:val="16"/>
          <w:rtl/>
        </w:rPr>
        <w:t>(סי' ג)</w:t>
      </w:r>
      <w:r w:rsidRPr="005C6730">
        <w:rPr>
          <w:rFonts w:asciiTheme="minorBidi" w:hAnsiTheme="minorBidi"/>
          <w:rtl/>
        </w:rPr>
        <w:t>.</w:t>
      </w:r>
    </w:p>
  </w:footnote>
  <w:footnote w:id="193">
    <w:p w14:paraId="0762F36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כדאמרינן </w:t>
      </w:r>
      <w:r w:rsidRPr="005C6730">
        <w:rPr>
          <w:rFonts w:asciiTheme="minorBidi" w:hAnsiTheme="minorBidi"/>
          <w:sz w:val="16"/>
          <w:szCs w:val="16"/>
          <w:rtl/>
        </w:rPr>
        <w:t xml:space="preserve">(פסחים מד:) </w:t>
      </w:r>
      <w:r w:rsidRPr="005C6730">
        <w:rPr>
          <w:rFonts w:asciiTheme="minorBidi" w:hAnsiTheme="minorBidi"/>
          <w:rtl/>
        </w:rPr>
        <w:t>בבשר בחלב דאי תרו ליה כולי יומא בחלבא שרי אע"ג דבלע משא"כ בשאר איסורין ופירוש כולי יומא יום ולילה דאי יומא ממש נתת דבריך לשיעורים יש יום קצר ויש יום ארוך, רי"ו בשם מהר"ם.</w:t>
      </w:r>
    </w:p>
  </w:footnote>
  <w:footnote w:id="194">
    <w:p w14:paraId="7A20FA5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ונ"ל דלא בעינן ששים מכל החתיכה מטעמא דלא ידעינן כמה דמא נפיק מיניה כמו בבישול דהא הדחה אינה מוציאה דם ואין לחוש אלא למעט דם שעליו, או"ה (כלל ב ד"ה). הביאו הדרכ"מ (אות לב) וכ' עליו- ואין דבריו נכונים דהואיל ושהה מעת לעת הוי כבוש כמבושל ומוציא דם ומבליע דם לכן בעינן ששים נגד כל החתיכה כמו חתיכה שנתבשלה בלא מליחה, וכ"ה בהדיא בהגשע"ד (סי' ג סק"ג) בשם מהר"י טרושין. (וכ"מ מלשון השו"ע, וכ"כ הש"ך [ס"ק ס] בד' השו"ע)</w:t>
      </w:r>
    </w:p>
  </w:footnote>
  <w:footnote w:id="195">
    <w:p w14:paraId="5E314E8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סי' מו, הביאו הב"י בשם מצאתי כתוב שכ' בשם מהר"ם, ונראה שהמקום בו מצא שכתוב כן הוא בהגשע"ד (ש"ב סי' ד אות ה) שכתב דבר זה בשם מהר"ם</w:t>
      </w:r>
      <w:r w:rsidRPr="005C6730">
        <w:rPr>
          <w:rFonts w:asciiTheme="minorBidi" w:hAnsiTheme="minorBidi"/>
          <w:color w:val="FF0000"/>
          <w:sz w:val="16"/>
          <w:szCs w:val="16"/>
          <w:rtl/>
        </w:rPr>
        <w:t xml:space="preserve"> (אך צל"ע מדוע בהגשע"ד כ' כן בשם מהר"ם והרי אלו דברי מהר"ח או"ז, ואולי כיון שמהר"ח או"ז היה תלמידו של מהר"ם קבלה בידם שזו תשובת מהר"ם רק מהר"ח הכניסה בספרו ולא כ' שהיא תשובת מהר"ם)</w:t>
      </w:r>
      <w:r w:rsidRPr="005C6730">
        <w:rPr>
          <w:rFonts w:asciiTheme="minorBidi" w:hAnsiTheme="minorBidi"/>
          <w:rtl/>
        </w:rPr>
        <w:t xml:space="preserve">.  </w:t>
      </w:r>
    </w:p>
  </w:footnote>
  <w:footnote w:id="196">
    <w:p w14:paraId="249E400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היינו ממה שהתירו רבנו שמשון בר אברהם </w:t>
      </w:r>
      <w:r w:rsidRPr="005C6730">
        <w:rPr>
          <w:rFonts w:asciiTheme="minorBidi" w:hAnsiTheme="minorBidi"/>
          <w:sz w:val="16"/>
          <w:szCs w:val="16"/>
          <w:rtl/>
        </w:rPr>
        <w:t xml:space="preserve">(הובא במהר"ח או"ז [שם] וברשב"א [ח"א סי' תתמג] ובמהר"ם [דפוס פראג סי' קיג]) </w:t>
      </w:r>
      <w:r w:rsidRPr="005C6730">
        <w:rPr>
          <w:rFonts w:asciiTheme="minorBidi" w:hAnsiTheme="minorBidi"/>
          <w:rtl/>
        </w:rPr>
        <w:t>בבשר מלא קרח וכפור לשרותו במים בכלי שני כדי למלחו אע"ג דבכוחו להפליט ולהבליע.</w:t>
      </w:r>
    </w:p>
  </w:footnote>
  <w:footnote w:id="197">
    <w:p w14:paraId="660AFBB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לאו דוקא מלוכלך בדמים אלא אפי' אינו מלוכלך אסור מטעם כבוש, סמ"ע </w:t>
      </w:r>
      <w:r w:rsidRPr="005C6730">
        <w:rPr>
          <w:rFonts w:asciiTheme="minorBidi" w:hAnsiTheme="minorBidi"/>
          <w:sz w:val="16"/>
          <w:szCs w:val="16"/>
          <w:rtl/>
        </w:rPr>
        <w:t xml:space="preserve">(בהגהות השו"ע) </w:t>
      </w:r>
      <w:r w:rsidRPr="005C6730">
        <w:rPr>
          <w:rFonts w:asciiTheme="minorBidi" w:hAnsiTheme="minorBidi"/>
          <w:rtl/>
        </w:rPr>
        <w:t xml:space="preserve">ש"ך </w:t>
      </w:r>
      <w:r w:rsidRPr="005C6730">
        <w:rPr>
          <w:rFonts w:asciiTheme="minorBidi" w:hAnsiTheme="minorBidi"/>
          <w:sz w:val="16"/>
          <w:szCs w:val="16"/>
          <w:rtl/>
        </w:rPr>
        <w:t xml:space="preserve">(ס"ק ס) </w:t>
      </w:r>
      <w:r w:rsidRPr="005C6730">
        <w:rPr>
          <w:rFonts w:asciiTheme="minorBidi" w:hAnsiTheme="minorBidi"/>
          <w:rtl/>
        </w:rPr>
        <w:t xml:space="preserve">באה"ט </w:t>
      </w:r>
      <w:r w:rsidRPr="005C6730">
        <w:rPr>
          <w:rFonts w:asciiTheme="minorBidi" w:hAnsiTheme="minorBidi"/>
          <w:sz w:val="16"/>
          <w:szCs w:val="16"/>
          <w:rtl/>
        </w:rPr>
        <w:t xml:space="preserve">(סקמ"ט) </w:t>
      </w:r>
      <w:r w:rsidRPr="005C6730">
        <w:rPr>
          <w:rFonts w:asciiTheme="minorBidi" w:hAnsiTheme="minorBidi"/>
          <w:rtl/>
        </w:rPr>
        <w:t xml:space="preserve">וגר"א </w:t>
      </w:r>
      <w:r w:rsidRPr="005C6730">
        <w:rPr>
          <w:rFonts w:asciiTheme="minorBidi" w:hAnsiTheme="minorBidi"/>
          <w:sz w:val="16"/>
          <w:szCs w:val="16"/>
          <w:rtl/>
        </w:rPr>
        <w:t>(סקנ"ז)</w:t>
      </w:r>
      <w:r w:rsidRPr="005C6730">
        <w:rPr>
          <w:rFonts w:asciiTheme="minorBidi" w:hAnsiTheme="minorBidi"/>
          <w:rtl/>
        </w:rPr>
        <w:t xml:space="preserve">. </w:t>
      </w:r>
      <w:r w:rsidRPr="005C6730">
        <w:rPr>
          <w:rFonts w:asciiTheme="minorBidi" w:hAnsiTheme="minorBidi"/>
          <w:sz w:val="16"/>
          <w:szCs w:val="16"/>
          <w:rtl/>
        </w:rPr>
        <w:t xml:space="preserve">(אך כ' הש"ך דצ"ע למה מתיר אותו לצלי אם הוא מלוכלך וזה לא נמצא בשום פוסק </w:t>
      </w:r>
      <w:r w:rsidRPr="005C6730">
        <w:rPr>
          <w:rFonts w:asciiTheme="minorBidi" w:hAnsiTheme="minorBidi"/>
          <w:sz w:val="14"/>
          <w:szCs w:val="14"/>
          <w:rtl/>
        </w:rPr>
        <w:t>[ושע"ד והאגור שהזכירו דיש מתירין לצלותו לא הזכירו בדבריהם מלוכלך בדמים וס"ל דכבוש לא עדיף ממליח ואינו כמבושל ממש ורי"ו ושאר פוסקים שהזכירו מלוכלך לא הזכירו היתר בצלייה וא"כ המחבר הוא מזכה שטרא אליבא דבי תרי]</w:t>
      </w:r>
      <w:r w:rsidRPr="005C6730">
        <w:rPr>
          <w:rFonts w:asciiTheme="minorBidi" w:hAnsiTheme="minorBidi"/>
          <w:sz w:val="16"/>
          <w:szCs w:val="16"/>
          <w:rtl/>
        </w:rPr>
        <w:t>, ואולי דעת המחבר אפילו מלוכלך מ"מ כיון שנשרה ונתערב הדם במים תו לא חשיב דם בעין, וצ"ע)</w:t>
      </w:r>
      <w:r w:rsidRPr="005C6730">
        <w:rPr>
          <w:rFonts w:asciiTheme="minorBidi" w:hAnsiTheme="minorBidi"/>
          <w:rtl/>
        </w:rPr>
        <w:t xml:space="preserve">. והט"ז (סקל"ו) כ'- מלוכלך בדמים פירושו שלא פלט עדיין דמו ע"י מליחה. </w:t>
      </w:r>
      <w:r w:rsidRPr="005C6730">
        <w:rPr>
          <w:rFonts w:asciiTheme="minorBidi" w:hAnsiTheme="minorBidi"/>
          <w:sz w:val="16"/>
          <w:szCs w:val="16"/>
          <w:rtl/>
        </w:rPr>
        <w:t>(אך לפי דברי הש"ך נראה דדוקא נקט השו"ע מלוכלך והיינו לרבותא)</w:t>
      </w:r>
    </w:p>
  </w:footnote>
  <w:footnote w:id="198">
    <w:p w14:paraId="4E68B8D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אז החתיכה עצמה מותרת גם כן, וכן דעת הרמ"א בת"ח </w:t>
      </w:r>
      <w:r w:rsidRPr="005C6730">
        <w:rPr>
          <w:rFonts w:asciiTheme="minorBidi" w:hAnsiTheme="minorBidi"/>
          <w:sz w:val="16"/>
          <w:szCs w:val="16"/>
          <w:rtl/>
        </w:rPr>
        <w:t xml:space="preserve">(כלל ג דין א) </w:t>
      </w:r>
      <w:r w:rsidRPr="005C6730">
        <w:rPr>
          <w:rFonts w:asciiTheme="minorBidi" w:hAnsiTheme="minorBidi"/>
          <w:rtl/>
        </w:rPr>
        <w:t xml:space="preserve">וכתב שם דלא דמי למבושל </w:t>
      </w:r>
      <w:r w:rsidRPr="005C6730">
        <w:rPr>
          <w:rFonts w:asciiTheme="minorBidi" w:hAnsiTheme="minorBidi"/>
          <w:sz w:val="16"/>
          <w:szCs w:val="16"/>
          <w:rtl/>
        </w:rPr>
        <w:t xml:space="preserve">(לעיל סי"א בהג"ה) </w:t>
      </w:r>
      <w:r w:rsidRPr="005C6730">
        <w:rPr>
          <w:rFonts w:asciiTheme="minorBidi" w:hAnsiTheme="minorBidi"/>
          <w:rtl/>
        </w:rPr>
        <w:t xml:space="preserve">דלא אמרו כבוש כמבושל לכל דבר רק שבלוע ומפליט אבל אינו מבלבל טעם החתיכה כמו ברוטב וגם שם אינו אלא מנהג לאסור אותה חתיכה ולכן אין להחמיר בכה"ג עכ"ל, ומהרש"ל </w:t>
      </w:r>
      <w:r w:rsidRPr="005C6730">
        <w:rPr>
          <w:rFonts w:asciiTheme="minorBidi" w:hAnsiTheme="minorBidi"/>
          <w:sz w:val="16"/>
          <w:szCs w:val="16"/>
          <w:rtl/>
        </w:rPr>
        <w:t>(יש"ש פ"ח סי' צ)</w:t>
      </w:r>
      <w:r w:rsidRPr="005C6730">
        <w:rPr>
          <w:rFonts w:asciiTheme="minorBidi" w:hAnsiTheme="minorBidi"/>
          <w:rtl/>
        </w:rPr>
        <w:t xml:space="preserve"> אסר אותה חתיכה בכל גווני, וכ' הש"ך </w:t>
      </w:r>
      <w:r w:rsidRPr="005C6730">
        <w:rPr>
          <w:rFonts w:asciiTheme="minorBidi" w:hAnsiTheme="minorBidi"/>
          <w:sz w:val="16"/>
          <w:szCs w:val="16"/>
          <w:rtl/>
        </w:rPr>
        <w:t xml:space="preserve">(ס"ק סא) </w:t>
      </w:r>
      <w:r w:rsidRPr="005C6730">
        <w:rPr>
          <w:rFonts w:asciiTheme="minorBidi" w:hAnsiTheme="minorBidi"/>
          <w:rtl/>
        </w:rPr>
        <w:t xml:space="preserve">ועכ"פ יש לסמוך על דברי הגשע"ד והמחבר והר"ב להתירו לצלי הואיל ובלא"ה יש מתירין כבוש לצלי ועוד דגם בשע"ד רס"ג משמע לכאורה הכי, והוסיף הש"ך דנראה דלהמתירין אפי' הוא מלוכלך בדמים שרי דכיון שיש במים ס' כנגדו נתבטל הדם בעין שעליו בס'. </w:t>
      </w:r>
    </w:p>
  </w:footnote>
  <w:footnote w:id="199">
    <w:p w14:paraId="2288AE09" w14:textId="77777777" w:rsidR="004C5A3C" w:rsidRPr="00AE2EB1" w:rsidRDefault="004C5A3C" w:rsidP="002C39F4">
      <w:pPr>
        <w:pStyle w:val="a5"/>
        <w:rPr>
          <w:rFonts w:asciiTheme="minorBidi" w:hAnsiTheme="minorBidi"/>
          <w:color w:val="000000" w:themeColor="text1"/>
          <w:rtl/>
        </w:rPr>
      </w:pPr>
      <w:r w:rsidRPr="00AE2EB1">
        <w:rPr>
          <w:rStyle w:val="a7"/>
          <w:rFonts w:asciiTheme="minorBidi" w:hAnsiTheme="minorBidi"/>
          <w:color w:val="000000" w:themeColor="text1"/>
        </w:rPr>
        <w:footnoteRef/>
      </w:r>
      <w:r w:rsidRPr="00AE2EB1">
        <w:rPr>
          <w:rFonts w:asciiTheme="minorBidi" w:hAnsiTheme="minorBidi"/>
          <w:color w:val="000000" w:themeColor="text1"/>
          <w:rtl/>
        </w:rPr>
        <w:t xml:space="preserve"> היינו בדליכא ששים במים כנגד החתיכה.</w:t>
      </w:r>
    </w:p>
  </w:footnote>
  <w:footnote w:id="200">
    <w:p w14:paraId="7089482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אפילו אינו מלוכלך כדמוכח בש"ד ואגור ות"ח שם וכן משמע בס' אפי רברבי (שער לג דין י), ש"ך (ס"ק סב).</w:t>
      </w:r>
    </w:p>
  </w:footnote>
  <w:footnote w:id="201">
    <w:p w14:paraId="5DA161BF" w14:textId="77777777" w:rsidR="004C5A3C" w:rsidRDefault="004C5A3C" w:rsidP="002C39F4">
      <w:pPr>
        <w:pStyle w:val="a5"/>
      </w:pPr>
      <w:r>
        <w:rPr>
          <w:rStyle w:val="a7"/>
        </w:rPr>
        <w:footnoteRef/>
      </w:r>
      <w:r>
        <w:rPr>
          <w:rtl/>
        </w:rPr>
        <w:t xml:space="preserve"> </w:t>
      </w:r>
      <w:r w:rsidRPr="00AE2EB1">
        <w:rPr>
          <w:rtl/>
        </w:rPr>
        <w:t>והוסיף הטור דבעינן שיצאו המים מיד</w:t>
      </w:r>
      <w:r>
        <w:rPr>
          <w:rFonts w:hint="cs"/>
          <w:rtl/>
        </w:rPr>
        <w:t>.</w:t>
      </w:r>
    </w:p>
  </w:footnote>
  <w:footnote w:id="202">
    <w:p w14:paraId="132FC01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ע"ז תרוה"ד דנראה לחלק ולומר דאו"ז איירי בדף שלא הוחלק ברהיטני, וכה"ג הואיל ואינו מונח במדרון וגם אינו חלק אפילו מים אינם יכולין לזוב ממנו מיד, וכ"כ באשירי- 'כלל, שכל דבר ששופך עליו מים והמים יוצאין לחוץ ממנו מולחין עליו', וביורה דעה הוסיף לבאר דבעינן שיצא המים מיד, אבל אם הדף חלק אז נראה שאם שופכין עליו קצת בשפע זבין ויוצאין מיד לחוץ ובהכי איירי הגה"מ </w:t>
      </w:r>
      <w:r w:rsidRPr="005C6730">
        <w:rPr>
          <w:rFonts w:asciiTheme="minorBidi" w:hAnsiTheme="minorBidi"/>
          <w:sz w:val="16"/>
          <w:szCs w:val="16"/>
          <w:rtl/>
        </w:rPr>
        <w:t>{היינו מש"כ ההגה"מ בשם הסמ"ג}</w:t>
      </w:r>
      <w:r w:rsidRPr="005C6730">
        <w:rPr>
          <w:rFonts w:asciiTheme="minorBidi" w:hAnsiTheme="minorBidi"/>
          <w:rtl/>
        </w:rPr>
        <w:t>.</w:t>
      </w:r>
      <w:r w:rsidRPr="00501CC6">
        <w:rPr>
          <w:rFonts w:asciiTheme="minorBidi" w:hAnsiTheme="minorBidi" w:hint="cs"/>
          <w:color w:val="00B0F0"/>
          <w:rtl/>
        </w:rPr>
        <w:t xml:space="preserve"> (וכ"פ הרמ"א)</w:t>
      </w:r>
    </w:p>
  </w:footnote>
  <w:footnote w:id="203">
    <w:p w14:paraId="29EA0FA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מב ע"ב ד"ה אין מניחין.</w:t>
      </w:r>
    </w:p>
  </w:footnote>
  <w:footnote w:id="204">
    <w:p w14:paraId="13680BF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לכו"ע אין להשתמש בכלי לדבר רותח</w:t>
      </w:r>
      <w:r w:rsidRPr="005C6730">
        <w:rPr>
          <w:rFonts w:asciiTheme="minorBidi" w:hAnsiTheme="minorBidi"/>
          <w:sz w:val="16"/>
          <w:szCs w:val="16"/>
          <w:rtl/>
        </w:rPr>
        <w:t xml:space="preserve"> (שהרי הוא בלוע מדם והרותח מפליטו ובולע ממנו, רשב"א)</w:t>
      </w:r>
      <w:r w:rsidRPr="005C6730">
        <w:rPr>
          <w:rFonts w:asciiTheme="minorBidi" w:hAnsiTheme="minorBidi"/>
          <w:rtl/>
        </w:rPr>
        <w:t>.</w:t>
      </w:r>
    </w:p>
  </w:footnote>
  <w:footnote w:id="205">
    <w:p w14:paraId="19A0758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קיא ע"ב ד"ה צונן, ובתוה"ב קצר ב"ג ש"ג עו ע"א.</w:t>
      </w:r>
    </w:p>
  </w:footnote>
  <w:footnote w:id="206">
    <w:p w14:paraId="3BC876C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כך משמע מדבריו בתוה"ב (קצר ב"ג ש"ג עו ע"א) וז"ל- נתן בה צונן לח יש מתירין לפי שהקערה אחר שהודחה צוננת היא, </w:t>
      </w:r>
      <w:r w:rsidRPr="005C6730">
        <w:rPr>
          <w:rFonts w:asciiTheme="minorBidi" w:hAnsiTheme="minorBidi"/>
          <w:u w:val="single"/>
          <w:rtl/>
        </w:rPr>
        <w:t>ויראה לי</w:t>
      </w:r>
      <w:r w:rsidRPr="005C6730">
        <w:rPr>
          <w:rFonts w:asciiTheme="minorBidi" w:hAnsiTheme="minorBidi"/>
          <w:rtl/>
        </w:rPr>
        <w:t xml:space="preserve"> שאפילו הדחה אינה צריכה אלא כל שמקנחה יפה מותר לאכול בה צונן ולא הצריכו הדחה אלא לסכין ששחט בה דע"י דחקו פולט קצת, ומקצת מן הגדולים אמרו שהקערה שמלחו בה בשר רותחת היא ואפילו אחר שהודחה, ונראה מדבריהם שאסור לאכול בה צונן לח גמור שהרי הוא כצונן לתוך חם שהתחתון גובר ואוסר את הכל, ויראה לי שאין זה עיקר.</w:t>
      </w:r>
    </w:p>
  </w:footnote>
  <w:footnote w:id="207">
    <w:p w14:paraId="1480C05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מהא דאמרינן הכא</w:t>
      </w:r>
      <w:r w:rsidRPr="005C6730">
        <w:rPr>
          <w:rFonts w:asciiTheme="minorBidi" w:hAnsiTheme="minorBidi"/>
          <w:sz w:val="16"/>
          <w:szCs w:val="16"/>
          <w:rtl/>
        </w:rPr>
        <w:t xml:space="preserve"> {גבי סכין ששחט בה}</w:t>
      </w:r>
      <w:r w:rsidRPr="005C6730">
        <w:rPr>
          <w:rFonts w:asciiTheme="minorBidi" w:hAnsiTheme="minorBidi"/>
          <w:rtl/>
        </w:rPr>
        <w:t xml:space="preserve"> דלא בעיא הדחה שמעינן לכלים שנשתמשו בהם איסור כגון קערה דמלח בה בשר או לקדרה של איסור דשרי לאישתמושי בהו בצונן דהיתרא בלא הדחה כלל, ואפילו למ"ד בסכין דבעיא הדחה התם הוא דאיכא דוחקא דסכינא אבל בקערה צוננת דליכא דוחקא מותר לאישתמושי בה היתר צונן לכתחלה ולא בעיא הדחה, והיינו דלא איפליגו בקערה שמלח בה בשר כדאיפליגו בסכין, וההיא פינכא דתבר ר' אמי אע"ג דחזיא לאשתמושי בה צונן משום גזרה דאתי לאשתמושי בה חמין הוא דתבר לה, וא"נ אפשר לומר דההיא פינכא כיון דשל חרס היתה ונבלעה ע"י רותח אין לה תקנה אפילו בצונן, שבולעת הרבה עד שפולטת אפילו בצונן, והילכך כל צונן שנשתמש בו מדיחו, וכמ"ש הרי"ף בפסחים בהא דגרסינן התם (ל:) כל הכלים שנשתמש בהם חמץ בצונן משתמש בהם מצה ופירש הרב ז"ל בהלכותיו (ט.) דדוקא בשנשתמש בהם חמץ בצונן אבל נשתמש בהם חמץ בחמין אינו משתמש בהם מצה אפילו בצונן, וכ"כ הרמב"ן ז"ל (חי' שם ד"ה צונן, ד"ה קערה, ד"ה וההיא).</w:t>
      </w:r>
    </w:p>
  </w:footnote>
  <w:footnote w:id="208">
    <w:p w14:paraId="2A60084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ראב"ד </w:t>
      </w:r>
      <w:r w:rsidRPr="005C6730">
        <w:rPr>
          <w:rFonts w:asciiTheme="minorBidi" w:hAnsiTheme="minorBidi"/>
          <w:sz w:val="16"/>
          <w:szCs w:val="16"/>
          <w:rtl/>
        </w:rPr>
        <w:t>(תשובות ופסקים סי' עז)</w:t>
      </w:r>
      <w:r w:rsidRPr="005C6730">
        <w:rPr>
          <w:rFonts w:asciiTheme="minorBidi" w:hAnsiTheme="minorBidi"/>
          <w:rtl/>
        </w:rPr>
        <w:t xml:space="preserve"> ורמב"ן</w:t>
      </w:r>
      <w:r w:rsidRPr="005C6730">
        <w:rPr>
          <w:rFonts w:asciiTheme="minorBidi" w:hAnsiTheme="minorBidi"/>
          <w:sz w:val="16"/>
          <w:szCs w:val="16"/>
          <w:rtl/>
        </w:rPr>
        <w:t xml:space="preserve"> (כ"כ הרשב"א בשמו ובשם הראב"ד)</w:t>
      </w:r>
      <w:r w:rsidRPr="005C6730">
        <w:rPr>
          <w:rFonts w:asciiTheme="minorBidi" w:hAnsiTheme="minorBidi"/>
          <w:rtl/>
        </w:rPr>
        <w:t>.</w:t>
      </w:r>
    </w:p>
  </w:footnote>
  <w:footnote w:id="209">
    <w:p w14:paraId="412B300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דקיי"ל כמ"ד בסכין בעיא הדחה, ואם נשתמש בה בצונן עד שלא הדיחה מדיח מה שנתן בתוכה ושפיר דמי, ואע"ג דבשעת מליחה רותחת היא כדשמואל מ"מ עכשיו צוננת היא, דלא עדיף מבשר וגבינה שנוגעים זה בזה </w:t>
      </w:r>
      <w:r w:rsidRPr="005C6730">
        <w:rPr>
          <w:rFonts w:asciiTheme="minorBidi" w:hAnsiTheme="minorBidi"/>
          <w:sz w:val="16"/>
          <w:szCs w:val="16"/>
          <w:rtl/>
        </w:rPr>
        <w:t xml:space="preserve">(חולין קז:) </w:t>
      </w:r>
      <w:r w:rsidRPr="005C6730">
        <w:rPr>
          <w:rFonts w:asciiTheme="minorBidi" w:hAnsiTheme="minorBidi"/>
          <w:rtl/>
        </w:rPr>
        <w:t xml:space="preserve">דבהדחה סגי להו וקליפה לא בעי, וזו סברת הרמב"ן ז"ל וכן סברת הראב"ד ז"ל </w:t>
      </w:r>
      <w:r w:rsidRPr="005C6730">
        <w:rPr>
          <w:rFonts w:asciiTheme="minorBidi" w:hAnsiTheme="minorBidi"/>
          <w:sz w:val="16"/>
          <w:szCs w:val="16"/>
          <w:rtl/>
        </w:rPr>
        <w:t>(תשובות ופסקים סי' עז)</w:t>
      </w:r>
      <w:r w:rsidRPr="005C6730">
        <w:rPr>
          <w:rFonts w:asciiTheme="minorBidi" w:hAnsiTheme="minorBidi"/>
          <w:rtl/>
        </w:rPr>
        <w:t>, ואע"פ שכתב דקערה שמלח בה בשר אע"פ שהדיחה כרותחת היא מ"מ לא עדיפא מסכין ששחט בה דסגי בהדחה ושפשוף לחתוך [בה צונן] ואע"ג דאיכא דוחקא דסכינא דהוא שקול כרתיחת הקערה, רשב"א.</w:t>
      </w:r>
    </w:p>
  </w:footnote>
  <w:footnote w:id="210">
    <w:p w14:paraId="30DDCC3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והרי היא כצונן לתוך רותח דלא סגי ליה בהדחה, ואם נשתמש בו- קליפה בעי, דלא דמי לסכין ששחט בו, דסכין אע"פ שהוא כרותח בשעת בליעת הדם מיהא צונן הוא, ושניהם צוננים, אבל קערה לעולם רותחת היא ולא סגי לה בהדחה ושפשוף, רשב"א (בחידו' שם) ובתוה"ב כ' הרשב"א שאין זה עיקר. וכ' הב"י- ורבינו</w:t>
      </w:r>
      <w:r w:rsidRPr="005C6730">
        <w:rPr>
          <w:rFonts w:asciiTheme="minorBidi" w:hAnsiTheme="minorBidi"/>
          <w:sz w:val="16"/>
          <w:szCs w:val="16"/>
          <w:rtl/>
        </w:rPr>
        <w:t xml:space="preserve"> {הטור}</w:t>
      </w:r>
      <w:r w:rsidRPr="005C6730">
        <w:rPr>
          <w:rFonts w:asciiTheme="minorBidi" w:hAnsiTheme="minorBidi"/>
          <w:rtl/>
        </w:rPr>
        <w:t xml:space="preserve"> הביא שתי סברות ראשונות ולא הביא האחרונה מפני שהרשב"א כתב שאינה עיקר.</w:t>
      </w:r>
    </w:p>
  </w:footnote>
  <w:footnote w:id="211">
    <w:p w14:paraId="47F02DC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והא דאמרינן דאין מליחה לעץ פירוש דאין נכנס לתוכו דהוי יוצא ע"י מליחה, אבל ע"י בישול יוצא, דנהי נמי דמליח כרותח פירוש כרותח דצלי אבל לא כמבושל, הגשע"ד. וכ' עוד </w:t>
      </w:r>
      <w:r w:rsidRPr="005C6730">
        <w:rPr>
          <w:rFonts w:asciiTheme="minorBidi" w:hAnsiTheme="minorBidi"/>
          <w:sz w:val="16"/>
          <w:szCs w:val="16"/>
          <w:rtl/>
        </w:rPr>
        <w:t xml:space="preserve">(סי' יא סק"א סוד"ה קערה, הביאו הב"י) </w:t>
      </w:r>
      <w:r w:rsidRPr="005C6730">
        <w:rPr>
          <w:rFonts w:asciiTheme="minorBidi" w:hAnsiTheme="minorBidi"/>
          <w:rtl/>
        </w:rPr>
        <w:t xml:space="preserve">דאף לדברי המחמיר בשל עץ הני מילי בכלי שיש לו בית קיבול ואינו מנוקב, אבל בדף ושולחן ועץ אם מלחו עליו בשיפוע אין לאסור לשום עליו פשטידא רותח ודי לו בהדחה, ומנהג כשר למלוח על דף מיוחד לכך. (וכ' הדרכ"מ </w:t>
      </w:r>
      <w:r w:rsidRPr="005C6730">
        <w:rPr>
          <w:rFonts w:asciiTheme="minorBidi" w:hAnsiTheme="minorBidi"/>
          <w:sz w:val="16"/>
          <w:szCs w:val="16"/>
          <w:rtl/>
        </w:rPr>
        <w:t>(אות לו)</w:t>
      </w:r>
      <w:r w:rsidRPr="005C6730">
        <w:rPr>
          <w:rFonts w:asciiTheme="minorBidi" w:hAnsiTheme="minorBidi"/>
          <w:rtl/>
        </w:rPr>
        <w:t>- ונראה שדעת הגה"ה זו כדעת מה"ר פרץ דמתיר בשל עץ בכלי מנוקב, אבל למאן דמחמיר בכלי עץ מנוקב ה"ה דכהאי גוונא נמי אסור, ולכן לא ידעתי למאי כתב ב"י הגה"ה זו דהא לא למדין ממנה כלום)</w:t>
      </w:r>
    </w:p>
  </w:footnote>
  <w:footnote w:id="212">
    <w:p w14:paraId="6417FB6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ראב"ד </w:t>
      </w:r>
      <w:r w:rsidRPr="005C6730">
        <w:rPr>
          <w:rFonts w:asciiTheme="minorBidi" w:hAnsiTheme="minorBidi"/>
          <w:sz w:val="16"/>
          <w:szCs w:val="16"/>
          <w:rtl/>
        </w:rPr>
        <w:t xml:space="preserve">(כ"כ בשמו הרשב"א בחידו' ד"ה אסור לאכול) </w:t>
      </w:r>
      <w:r w:rsidRPr="005C6730">
        <w:rPr>
          <w:rFonts w:asciiTheme="minorBidi" w:hAnsiTheme="minorBidi"/>
          <w:rtl/>
        </w:rPr>
        <w:t xml:space="preserve">ורשב"א </w:t>
      </w:r>
      <w:r w:rsidRPr="005C6730">
        <w:rPr>
          <w:rFonts w:asciiTheme="minorBidi" w:hAnsiTheme="minorBidi"/>
          <w:sz w:val="16"/>
          <w:szCs w:val="16"/>
          <w:rtl/>
        </w:rPr>
        <w:t>(תוה"ב קצר ב"ג ש"ג עו.)</w:t>
      </w:r>
      <w:r w:rsidRPr="005C6730">
        <w:rPr>
          <w:rFonts w:asciiTheme="minorBidi" w:hAnsiTheme="minorBidi"/>
          <w:rtl/>
        </w:rPr>
        <w:t>.</w:t>
      </w:r>
    </w:p>
  </w:footnote>
  <w:footnote w:id="213">
    <w:p w14:paraId="0715C59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כבשר רותח שא"א בלא רטיבות קצת, רשב"א (תוה"ב).</w:t>
      </w:r>
    </w:p>
  </w:footnote>
  <w:footnote w:id="214">
    <w:p w14:paraId="694AEE4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והוא יותר מן הקליפה. ואם הוא לח גמור כרוטב של היתר נראה דלפי סברת הראב"ד דחשיב לה לקערה רותחת כולו אסור דמשערינן בכולה קערה, רשב"א (חידו').</w:t>
      </w:r>
    </w:p>
  </w:footnote>
  <w:footnote w:id="215">
    <w:p w14:paraId="7AA3F64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ואם הוא לח גמור כרוטב של היתר נראה דלסברת התוספות ושאר רבותינו דחשבי לה כצוננת נראה שהוא מותר אי איכא ששים באומד יפה כנגד הקליפה, רשב"א (חידו').</w:t>
      </w:r>
      <w:r w:rsidRPr="005C6730">
        <w:rPr>
          <w:rFonts w:asciiTheme="minorBidi" w:hAnsiTheme="minorBidi"/>
          <w:color w:val="00B0F0"/>
          <w:rtl/>
        </w:rPr>
        <w:t xml:space="preserve"> (וכ"פ הרמ"א)</w:t>
      </w:r>
      <w:r w:rsidRPr="005C6730">
        <w:rPr>
          <w:rFonts w:asciiTheme="minorBidi" w:hAnsiTheme="minorBidi"/>
          <w:rtl/>
        </w:rPr>
        <w:t xml:space="preserve"> </w:t>
      </w:r>
    </w:p>
  </w:footnote>
  <w:footnote w:id="216">
    <w:p w14:paraId="7F2AFAF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רי"ף</w:t>
      </w:r>
      <w:r w:rsidRPr="005C6730">
        <w:rPr>
          <w:rFonts w:asciiTheme="minorBidi" w:hAnsiTheme="minorBidi"/>
          <w:sz w:val="16"/>
          <w:szCs w:val="16"/>
          <w:rtl/>
        </w:rPr>
        <w:t xml:space="preserve"> (כ"כ רשב"א ור"ן בשמו)</w:t>
      </w:r>
      <w:r w:rsidRPr="005C6730">
        <w:rPr>
          <w:rFonts w:asciiTheme="minorBidi" w:hAnsiTheme="minorBidi"/>
          <w:rtl/>
        </w:rPr>
        <w:t xml:space="preserve"> רמב"ן </w:t>
      </w:r>
      <w:r w:rsidRPr="005C6730">
        <w:rPr>
          <w:rFonts w:asciiTheme="minorBidi" w:hAnsiTheme="minorBidi"/>
          <w:sz w:val="16"/>
          <w:szCs w:val="16"/>
          <w:rtl/>
        </w:rPr>
        <w:t>(חי' שם ד"ה צונן, ד"ה קערה, ד"ה וההיא, כ"כ הרשב"א בשמו)</w:t>
      </w:r>
      <w:r w:rsidRPr="005C6730">
        <w:rPr>
          <w:rFonts w:asciiTheme="minorBidi" w:hAnsiTheme="minorBidi"/>
          <w:rtl/>
        </w:rPr>
        <w:t xml:space="preserve"> הה"מ </w:t>
      </w:r>
      <w:r w:rsidRPr="005C6730">
        <w:rPr>
          <w:rFonts w:asciiTheme="minorBidi" w:hAnsiTheme="minorBidi"/>
          <w:sz w:val="16"/>
          <w:szCs w:val="16"/>
          <w:rtl/>
        </w:rPr>
        <w:t>(פ"ו הלמ"א הכ"א)</w:t>
      </w:r>
      <w:r w:rsidRPr="005C6730">
        <w:rPr>
          <w:rFonts w:asciiTheme="minorBidi" w:hAnsiTheme="minorBidi"/>
          <w:rtl/>
        </w:rPr>
        <w:t xml:space="preserve"> ור"ן </w:t>
      </w:r>
      <w:r w:rsidRPr="005C6730">
        <w:rPr>
          <w:rFonts w:asciiTheme="minorBidi" w:hAnsiTheme="minorBidi"/>
          <w:sz w:val="16"/>
          <w:szCs w:val="16"/>
          <w:rtl/>
        </w:rPr>
        <w:t>(מ: ד"ה אימלח ליה)</w:t>
      </w:r>
      <w:r w:rsidRPr="005C6730">
        <w:rPr>
          <w:rFonts w:asciiTheme="minorBidi" w:hAnsiTheme="minorBidi"/>
          <w:rtl/>
        </w:rPr>
        <w:t>.</w:t>
      </w:r>
    </w:p>
  </w:footnote>
  <w:footnote w:id="217">
    <w:p w14:paraId="2EEBEB5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הש"ך (ס"ק סו) דבת"ח </w:t>
      </w:r>
      <w:r w:rsidRPr="005C6730">
        <w:rPr>
          <w:rFonts w:asciiTheme="minorBidi" w:hAnsiTheme="minorBidi"/>
          <w:sz w:val="16"/>
          <w:szCs w:val="16"/>
          <w:rtl/>
        </w:rPr>
        <w:t xml:space="preserve">(כלל י"א ד"ח) </w:t>
      </w:r>
      <w:r w:rsidRPr="005C6730">
        <w:rPr>
          <w:rFonts w:asciiTheme="minorBidi" w:hAnsiTheme="minorBidi"/>
          <w:rtl/>
        </w:rPr>
        <w:t xml:space="preserve">פסק דבכלי חרס אסור להשתמש לכתחלה בלא הדחה, וכ' שכ"פ מהרש"ל </w:t>
      </w:r>
      <w:r w:rsidRPr="005C6730">
        <w:rPr>
          <w:rFonts w:asciiTheme="minorBidi" w:hAnsiTheme="minorBidi"/>
          <w:sz w:val="16"/>
          <w:szCs w:val="16"/>
          <w:rtl/>
        </w:rPr>
        <w:t>(פכ"ה סי' ס)</w:t>
      </w:r>
      <w:r w:rsidRPr="005C6730">
        <w:rPr>
          <w:rFonts w:asciiTheme="minorBidi" w:hAnsiTheme="minorBidi"/>
          <w:rtl/>
        </w:rPr>
        <w:t>. והגיה הבית מאיר בדברי הש"ך שבמקום "בלא הדחה" צריך לכתוב "אפילו בהדחה" כמבואר בת"ח שם שהעתיק את דברי הה"מ.</w:t>
      </w:r>
    </w:p>
  </w:footnote>
  <w:footnote w:id="218">
    <w:p w14:paraId="2BAF64C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מפשט דבריו נראה דבכלי מנוקב מיירי מדכתב סתם שמלח בה משמע דבמלח כדרך מליחה שהיא בכלי מנוקב מיירי, ועוד שכתב דמשום שהיא של חרס הוא דאסורה הא אם אינה של חרס שריא, ואי במלח בכלי שאינו מנוקב מאי איריא של חרס אפילו אינה של חרס נמי אסורה, וזה כדברי סמ"ק, אבל הה"מ כתב וז"ל- כתב רבינו של חרס לפי שאם היתה מכלי שטף היתה נכשרת בהגעלה אבל כלי חרס אפילו משועין באבר אין להם תקנה, ע"כ. ובאמת שמ"ש הרמב"ם אסור לאכול בה רותח לעולם דייק כדברי הה"מ דהיינו לומר כלי חרס הוא דאסור לעולם אבל שאר כלים אע"פ שאסורים אינו לעולם שהרי יש להם תקנה בהגעלה</w:t>
      </w:r>
      <w:r>
        <w:rPr>
          <w:rFonts w:asciiTheme="minorBidi" w:hAnsiTheme="minorBidi" w:hint="cs"/>
          <w:rtl/>
        </w:rPr>
        <w:t>, ב"י</w:t>
      </w:r>
      <w:r w:rsidRPr="005C6730">
        <w:rPr>
          <w:rFonts w:asciiTheme="minorBidi" w:hAnsiTheme="minorBidi"/>
          <w:rtl/>
        </w:rPr>
        <w:t>.</w:t>
      </w:r>
    </w:p>
  </w:footnote>
  <w:footnote w:id="219">
    <w:p w14:paraId="02BB1FA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ונ"ל שלזה נהגו להשים הסל שמולחים בו ע"ג כלי מנוקב או עצים דאילו יניחו על קרקע בכלי הקרקע יסתום הנקבים והוי ככלי שאינו מנוקב, דרכ"מ.</w:t>
      </w:r>
    </w:p>
  </w:footnote>
  <w:footnote w:id="220">
    <w:p w14:paraId="5FB959C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אפילו אחר שהודח הכלי, ש"ך </w:t>
      </w:r>
      <w:r w:rsidRPr="005C6730">
        <w:rPr>
          <w:rFonts w:asciiTheme="minorBidi" w:hAnsiTheme="minorBidi"/>
          <w:sz w:val="16"/>
          <w:szCs w:val="16"/>
          <w:rtl/>
        </w:rPr>
        <w:t>(ס"ק סג)</w:t>
      </w:r>
      <w:r w:rsidRPr="005C6730">
        <w:rPr>
          <w:rFonts w:asciiTheme="minorBidi" w:hAnsiTheme="minorBidi"/>
          <w:rtl/>
        </w:rPr>
        <w:t xml:space="preserve">. וזהו ברותח אבל בצונן שרי אף ללא הדחה, וכ' הש"ך </w:t>
      </w:r>
      <w:r w:rsidRPr="005C6730">
        <w:rPr>
          <w:rFonts w:asciiTheme="minorBidi" w:hAnsiTheme="minorBidi"/>
          <w:sz w:val="16"/>
          <w:szCs w:val="16"/>
          <w:rtl/>
        </w:rPr>
        <w:t xml:space="preserve">(ס"ק סו) </w:t>
      </w:r>
      <w:r w:rsidRPr="005C6730">
        <w:rPr>
          <w:rFonts w:asciiTheme="minorBidi" w:hAnsiTheme="minorBidi"/>
          <w:rtl/>
        </w:rPr>
        <w:t xml:space="preserve">שכן פסקו הרמ"א בת"ח </w:t>
      </w:r>
      <w:r w:rsidRPr="005C6730">
        <w:rPr>
          <w:rFonts w:asciiTheme="minorBidi" w:hAnsiTheme="minorBidi"/>
          <w:sz w:val="16"/>
          <w:szCs w:val="16"/>
          <w:rtl/>
        </w:rPr>
        <w:t xml:space="preserve">(כלל י"א ד"ח) </w:t>
      </w:r>
      <w:r w:rsidRPr="005C6730">
        <w:rPr>
          <w:rFonts w:asciiTheme="minorBidi" w:hAnsiTheme="minorBidi"/>
          <w:rtl/>
        </w:rPr>
        <w:t xml:space="preserve">ומהרש"ל </w:t>
      </w:r>
      <w:r w:rsidRPr="005C6730">
        <w:rPr>
          <w:rFonts w:asciiTheme="minorBidi" w:hAnsiTheme="minorBidi"/>
          <w:sz w:val="16"/>
          <w:szCs w:val="16"/>
          <w:rtl/>
        </w:rPr>
        <w:t>(פכ"ה סי' ס)</w:t>
      </w:r>
      <w:r w:rsidRPr="005C6730">
        <w:rPr>
          <w:rFonts w:asciiTheme="minorBidi" w:hAnsiTheme="minorBidi"/>
          <w:rtl/>
        </w:rPr>
        <w:t xml:space="preserve">, והוסיף הש"ך דודאי צריך לקנחם היטב קודם שישתמש בהם וכמבואר ברשב"א ובמהרש"ל. </w:t>
      </w:r>
    </w:p>
  </w:footnote>
  <w:footnote w:id="221">
    <w:p w14:paraId="64B6E00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בתורת חטאת (כלל יב דין ח) כ'- ולי נראה דדין קערה זו כדין שאר כלי טרפה ששמו בו היתר ושייך לדין תתאה גבר ולכן אם הקערה קר ושמו בו רותח סגי ליה בקליפה ואם הוא רוטב בעינן ס' נגד הקליפה ואם החם למטה או שניהם חמין הכל אסור אי ליכא ס' נגד קליפה כל הקערה.</w:t>
      </w:r>
    </w:p>
  </w:footnote>
  <w:footnote w:id="222">
    <w:p w14:paraId="56BDFD4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לקמן סי' קל"ז מוכח בפשיטות דסתם כלי יש במה שבתוכו ס' נגד קליפת הכלי ואפשר דהיינו דוקא בשאר כלים אבל בקערה שרחבה ואינה גבוה מסתמא ליכא ס' וכן משמע באו"ה כלל ל"ו דין ב' דליכא ס' במה שבקערה נגד קליפתה וכ"כ בס' אפי' רברבי ריש דף ס' סתם תבשיל אין ס' נגד קליפה פנימי של הקערה, ש"ך (ס"ק סה).</w:t>
      </w:r>
    </w:p>
  </w:footnote>
  <w:footnote w:id="223">
    <w:p w14:paraId="51AA939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בת"ח </w:t>
      </w:r>
      <w:r w:rsidRPr="005C6730">
        <w:rPr>
          <w:rFonts w:asciiTheme="minorBidi" w:hAnsiTheme="minorBidi"/>
          <w:sz w:val="16"/>
          <w:szCs w:val="16"/>
          <w:rtl/>
        </w:rPr>
        <w:t>(כלל יא דין ט)</w:t>
      </w:r>
      <w:r w:rsidRPr="005C6730">
        <w:rPr>
          <w:rFonts w:asciiTheme="minorBidi" w:hAnsiTheme="minorBidi"/>
          <w:rtl/>
        </w:rPr>
        <w:t xml:space="preserve"> כתב הטעם בשם או"ה דאין מליחה לכלי להפליט מה שבתוכו ע"י מליחה, וכן הוא בהגשע"ד (סי' יז) ומביאם ב"י (ובכלל י"ז פסק דאפילו בכלי חרס אמרינן הכי) מיהו קשה כיון דאין מליחה לכלים להפליט ע"י מליחה כ"ש שמותר להשתמש בו צונן וא"כ אמאי כתב הרב האי דינא אחר הי"א שכתב המחבר, ונראה דשאני בשר כמ"ש הט"ו ר"ס צ"א דבשר חי וכיוצא בו דאורחיה בהדחה (כלומר קודם שיתנו בקדרה וע"ל סי' ע' סקי"ג) מותר להניח בכלי של איסור ולא אמרינן כיון דבעי הדחה דילמא מישתלי ואכיל בלא הדחה כיון דאורחיה בהדחה, אבל שאר דברים אפילו צוננים אסור להשתמש בקערה זו שמלחו בה בשר דכיון דבעי הדחה אח"כ אם נשתמש בהן חיישינן דילמא ישכח מלהדיח וכמ"ש הט"ו שם (וע' בסי' צא סק"ב) ולא בא הר"ב לאשמועינן דמותר לחזור ולמלוח בה אלא דלא הוי מליח כרותח ואדלעיל קאי, ש"ך (ס"ק סז).</w:t>
      </w:r>
    </w:p>
  </w:footnote>
  <w:footnote w:id="224">
    <w:p w14:paraId="17ECD8EE" w14:textId="77777777" w:rsidR="004C5A3C" w:rsidRPr="005C6730" w:rsidRDefault="004C5A3C" w:rsidP="002C39F4">
      <w:pPr>
        <w:pStyle w:val="a5"/>
        <w:rPr>
          <w:rFonts w:asciiTheme="minorBidi" w:hAnsiTheme="minorBidi"/>
        </w:rPr>
      </w:pPr>
      <w:r w:rsidRPr="005C6730">
        <w:rPr>
          <w:rStyle w:val="a7"/>
          <w:rFonts w:asciiTheme="minorBidi" w:hAnsiTheme="minorBidi"/>
          <w:color w:val="FF0000"/>
        </w:rPr>
        <w:footnoteRef/>
      </w:r>
      <w:r w:rsidRPr="005C6730">
        <w:rPr>
          <w:rFonts w:asciiTheme="minorBidi" w:hAnsiTheme="minorBidi"/>
          <w:color w:val="FF0000"/>
          <w:rtl/>
        </w:rPr>
        <w:t xml:space="preserve"> הקשה בדרישה סי"ב דליתסר מטעם דהוי כבוש אם שהה כשיעור שיתנו על האש ויתחיל להרתיח כמ"ש הט"ו בסי"ח א"כ מכח הציר הבשר כשר נעשה כבוש ומפליט הכלי והניחו בצ"ע. וכ' הש"ך (ס"ק סח) דלק"מ דדוקא לענין נמלח מתחלה בכלי שאינו מנוקב דנאסר הבשר מציר גופה אמרינן הכי אבל לענין אין מליחה לכלים אין חילוק דלעולם אין כח מלח והציר מפליט כלי ונראה דאפי' שהה בו הבשר כשר מע"ל מותר דנהי דבמע"ל הוי כבוש כמבושל ממש דמפליט כלי וכמו שנתבאר בר"ס ק"ה, מ"מ בשעת פליטה הוא נותן טעם לפגם כיון דאינו פולט רק אחר מע"ל שאינו בן יומו וכמ"ש ר"ס ק"ה ססק"ב, מיהו לכתחלה אסור להשהותו מע"ל דנ"ט לפגם לכתחלה אסור וכדלקמן ר"ס קכ"ב. והט"ז (סקמ"א) כ' דנותנו שם פחות מכדי כבישה דהיינו מעת לעת, דאל"כ יהיה אסור מחמת הכבישה שהרי יש שם ציר וכבוש כמבושל, אבל אין להחמיר ולומר דשיעור כבישה יהיה כאן כשיעור הנאמר בסי' ק"ה סעיף א' בכבוש בתוך ציר דשיעורו כדי שיתננו על האור דזה שייך על הבשר הנשרה בתוך הציר משא"כ כאן דהכלי לא מפליט בזמן קצר כזה הכבישה אלא בשיעור סתם כבישה מכל מקום שהוא מעת לעת.</w:t>
      </w:r>
    </w:p>
  </w:footnote>
  <w:footnote w:id="225">
    <w:p w14:paraId="744AEA7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ראב"ד רמב"ן </w:t>
      </w:r>
      <w:r w:rsidRPr="005C6730">
        <w:rPr>
          <w:rFonts w:asciiTheme="minorBidi" w:hAnsiTheme="minorBidi"/>
          <w:sz w:val="16"/>
          <w:szCs w:val="16"/>
          <w:rtl/>
        </w:rPr>
        <w:t xml:space="preserve">(כ"כ הרשב"א בשמם </w:t>
      </w:r>
      <w:r w:rsidRPr="005C6730">
        <w:rPr>
          <w:rFonts w:asciiTheme="minorBidi" w:hAnsiTheme="minorBidi"/>
          <w:sz w:val="14"/>
          <w:szCs w:val="14"/>
          <w:rtl/>
        </w:rPr>
        <w:t>[חידו' קיא: ד"ה קערה]</w:t>
      </w:r>
      <w:r w:rsidRPr="005C6730">
        <w:rPr>
          <w:rFonts w:asciiTheme="minorBidi" w:hAnsiTheme="minorBidi"/>
          <w:sz w:val="16"/>
          <w:szCs w:val="16"/>
          <w:rtl/>
        </w:rPr>
        <w:t>)</w:t>
      </w:r>
      <w:r w:rsidRPr="005C6730">
        <w:rPr>
          <w:rFonts w:asciiTheme="minorBidi" w:hAnsiTheme="minorBidi"/>
          <w:rtl/>
        </w:rPr>
        <w:t xml:space="preserve"> רשב"א </w:t>
      </w:r>
      <w:r w:rsidRPr="005C6730">
        <w:rPr>
          <w:rFonts w:asciiTheme="minorBidi" w:hAnsiTheme="minorBidi"/>
          <w:sz w:val="16"/>
          <w:szCs w:val="16"/>
          <w:rtl/>
        </w:rPr>
        <w:t>(תוה"א וקצר ב"ג ש"ג עו.)</w:t>
      </w:r>
      <w:r w:rsidRPr="005C6730">
        <w:rPr>
          <w:rFonts w:asciiTheme="minorBidi" w:hAnsiTheme="minorBidi"/>
          <w:rtl/>
        </w:rPr>
        <w:t xml:space="preserve"> ור"ן </w:t>
      </w:r>
      <w:r w:rsidRPr="005C6730">
        <w:rPr>
          <w:rFonts w:asciiTheme="minorBidi" w:hAnsiTheme="minorBidi"/>
          <w:sz w:val="16"/>
          <w:szCs w:val="16"/>
          <w:rtl/>
        </w:rPr>
        <w:t>(מ: ד"ה קערה שמלח בה)</w:t>
      </w:r>
      <w:r w:rsidRPr="005C6730">
        <w:rPr>
          <w:rFonts w:asciiTheme="minorBidi" w:hAnsiTheme="minorBidi"/>
          <w:rtl/>
        </w:rPr>
        <w:t>.</w:t>
      </w:r>
    </w:p>
  </w:footnote>
  <w:footnote w:id="226">
    <w:p w14:paraId="7911C66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רא"ש</w:t>
      </w:r>
      <w:r w:rsidRPr="005C6730">
        <w:rPr>
          <w:rFonts w:asciiTheme="minorBidi" w:hAnsiTheme="minorBidi"/>
          <w:sz w:val="16"/>
          <w:szCs w:val="16"/>
          <w:rtl/>
        </w:rPr>
        <w:t xml:space="preserve"> (סי' כח)</w:t>
      </w:r>
      <w:r w:rsidRPr="005C6730">
        <w:rPr>
          <w:rFonts w:asciiTheme="minorBidi" w:hAnsiTheme="minorBidi"/>
          <w:rtl/>
        </w:rPr>
        <w:t xml:space="preserve"> א"ח </w:t>
      </w:r>
      <w:r w:rsidRPr="005C6730">
        <w:rPr>
          <w:rFonts w:asciiTheme="minorBidi" w:hAnsiTheme="minorBidi"/>
          <w:sz w:val="16"/>
          <w:szCs w:val="16"/>
          <w:rtl/>
        </w:rPr>
        <w:t xml:space="preserve">(הל' איסורי מאכלות אות צח ד"ה קערה) </w:t>
      </w:r>
      <w:r w:rsidRPr="005C6730">
        <w:rPr>
          <w:rFonts w:asciiTheme="minorBidi" w:hAnsiTheme="minorBidi"/>
          <w:rtl/>
        </w:rPr>
        <w:t xml:space="preserve">בשם הרא"ה </w:t>
      </w:r>
      <w:r w:rsidRPr="005C6730">
        <w:rPr>
          <w:rFonts w:asciiTheme="minorBidi" w:hAnsiTheme="minorBidi"/>
          <w:sz w:val="16"/>
          <w:szCs w:val="16"/>
          <w:rtl/>
        </w:rPr>
        <w:t>(בדה"ב עו. ד"ה עוד כתב בשם)</w:t>
      </w:r>
      <w:r w:rsidRPr="005C6730">
        <w:rPr>
          <w:rFonts w:asciiTheme="minorBidi" w:hAnsiTheme="minorBidi"/>
          <w:rtl/>
        </w:rPr>
        <w:t xml:space="preserve"> ומהרא"י </w:t>
      </w:r>
      <w:r w:rsidRPr="005C6730">
        <w:rPr>
          <w:rFonts w:asciiTheme="minorBidi" w:hAnsiTheme="minorBidi"/>
          <w:sz w:val="16"/>
          <w:szCs w:val="16"/>
          <w:rtl/>
        </w:rPr>
        <w:t>(בהגשע"ד סי' יג סק"ב)</w:t>
      </w:r>
      <w:r w:rsidRPr="005C6730">
        <w:rPr>
          <w:rFonts w:asciiTheme="minorBidi" w:hAnsiTheme="minorBidi"/>
          <w:rtl/>
        </w:rPr>
        <w:t>.</w:t>
      </w:r>
    </w:p>
  </w:footnote>
  <w:footnote w:id="227">
    <w:p w14:paraId="39F60C5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והא"ח בשם הרא"ה נתן עוד טעם להיתר שעד שלא הגיע הבשר למליח כרותח כבר כלה כל הדם העתיד לצאת ע"י המלח </w:t>
      </w:r>
      <w:r w:rsidRPr="005C6730">
        <w:rPr>
          <w:rFonts w:asciiTheme="minorBidi" w:hAnsiTheme="minorBidi"/>
          <w:sz w:val="16"/>
          <w:szCs w:val="16"/>
          <w:rtl/>
        </w:rPr>
        <w:t>(ומן הטעם הזה ג"כ מותר לחתוך בשר מליח בסכין ואין הסכין נאסר)</w:t>
      </w:r>
      <w:r w:rsidRPr="005C6730">
        <w:rPr>
          <w:rFonts w:asciiTheme="minorBidi" w:hAnsiTheme="minorBidi"/>
          <w:rtl/>
        </w:rPr>
        <w:t>.</w:t>
      </w:r>
    </w:p>
  </w:footnote>
  <w:footnote w:id="228">
    <w:p w14:paraId="2F44C0E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כ"מ מדברי הארוך כלל ג דין ד. </w:t>
      </w:r>
      <w:r w:rsidRPr="005C6730">
        <w:rPr>
          <w:rFonts w:asciiTheme="minorBidi" w:hAnsiTheme="minorBidi"/>
          <w:sz w:val="16"/>
          <w:szCs w:val="16"/>
          <w:rtl/>
        </w:rPr>
        <w:t xml:space="preserve">(ואע"פ שאפשר להבין אחרת מהדרכ"מ </w:t>
      </w:r>
      <w:r w:rsidRPr="005C6730">
        <w:rPr>
          <w:rFonts w:asciiTheme="minorBidi" w:hAnsiTheme="minorBidi"/>
          <w:sz w:val="12"/>
          <w:szCs w:val="12"/>
          <w:rtl/>
        </w:rPr>
        <w:t>(אות לה)</w:t>
      </w:r>
      <w:r w:rsidRPr="005C6730">
        <w:rPr>
          <w:rFonts w:asciiTheme="minorBidi" w:hAnsiTheme="minorBidi"/>
          <w:sz w:val="16"/>
          <w:szCs w:val="16"/>
          <w:rtl/>
        </w:rPr>
        <w:t>, עיין בארוך בפנים ותראה שכן הוא, וגם דברי הדרכ"מ יתבארו לך כן)</w:t>
      </w:r>
      <w:r w:rsidRPr="005C6730">
        <w:rPr>
          <w:rFonts w:asciiTheme="minorBidi" w:hAnsiTheme="minorBidi"/>
          <w:rtl/>
        </w:rPr>
        <w:t xml:space="preserve">  </w:t>
      </w:r>
    </w:p>
  </w:footnote>
  <w:footnote w:id="229">
    <w:p w14:paraId="7BA9EA9C" w14:textId="77777777" w:rsidR="004C5A3C" w:rsidRPr="005C6730" w:rsidRDefault="004C5A3C" w:rsidP="002C39F4">
      <w:pPr>
        <w:pStyle w:val="a5"/>
        <w:spacing w:after="60"/>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סי' רה בהגהות הסמ"ק אות ו, הביאוהו הטור והגה"מ (ד"ק מאכ"א פ"ו הכ"א).</w:t>
      </w:r>
    </w:p>
  </w:footnote>
  <w:footnote w:id="230">
    <w:p w14:paraId="409A4A7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ראב"ד רמב"ן </w:t>
      </w:r>
      <w:r w:rsidRPr="005C6730">
        <w:rPr>
          <w:rFonts w:asciiTheme="minorBidi" w:hAnsiTheme="minorBidi"/>
          <w:sz w:val="16"/>
          <w:szCs w:val="16"/>
          <w:rtl/>
        </w:rPr>
        <w:t xml:space="preserve">(כ"כ הרשב"א בשמם </w:t>
      </w:r>
      <w:r w:rsidRPr="005C6730">
        <w:rPr>
          <w:rFonts w:asciiTheme="minorBidi" w:hAnsiTheme="minorBidi"/>
          <w:sz w:val="14"/>
          <w:szCs w:val="14"/>
          <w:rtl/>
        </w:rPr>
        <w:t>[חידו' קיא: ד"ה קערה]</w:t>
      </w:r>
      <w:r w:rsidRPr="005C6730">
        <w:rPr>
          <w:rFonts w:asciiTheme="minorBidi" w:hAnsiTheme="minorBidi"/>
          <w:sz w:val="16"/>
          <w:szCs w:val="16"/>
          <w:rtl/>
        </w:rPr>
        <w:t>)</w:t>
      </w:r>
      <w:r w:rsidRPr="005C6730">
        <w:rPr>
          <w:rFonts w:asciiTheme="minorBidi" w:hAnsiTheme="minorBidi"/>
          <w:rtl/>
        </w:rPr>
        <w:t xml:space="preserve"> רשב"א </w:t>
      </w:r>
      <w:r w:rsidRPr="005C6730">
        <w:rPr>
          <w:rFonts w:asciiTheme="minorBidi" w:hAnsiTheme="minorBidi"/>
          <w:sz w:val="16"/>
          <w:szCs w:val="16"/>
          <w:rtl/>
        </w:rPr>
        <w:t>(תוה"א וקצר ב"ג ש"ג עו.)</w:t>
      </w:r>
      <w:r w:rsidRPr="005C6730">
        <w:rPr>
          <w:rFonts w:asciiTheme="minorBidi" w:hAnsiTheme="minorBidi"/>
          <w:rtl/>
        </w:rPr>
        <w:t xml:space="preserve"> ור"ן </w:t>
      </w:r>
      <w:r w:rsidRPr="005C6730">
        <w:rPr>
          <w:rFonts w:asciiTheme="minorBidi" w:hAnsiTheme="minorBidi"/>
          <w:sz w:val="16"/>
          <w:szCs w:val="16"/>
          <w:rtl/>
        </w:rPr>
        <w:t>(מ: ד"ה קערה שמלח בה)</w:t>
      </w:r>
      <w:r w:rsidRPr="005C6730">
        <w:rPr>
          <w:rFonts w:asciiTheme="minorBidi" w:hAnsiTheme="minorBidi"/>
          <w:rtl/>
        </w:rPr>
        <w:t>.</w:t>
      </w:r>
    </w:p>
  </w:footnote>
  <w:footnote w:id="231">
    <w:p w14:paraId="7A26E74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דדם משרק שריק, ט"ז (סקמ"ב).</w:t>
      </w:r>
    </w:p>
  </w:footnote>
  <w:footnote w:id="232">
    <w:p w14:paraId="4183964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בציונים נכתב כאן "ארוך כלל ג", אבל אינו כן, שהרי בארוך (כלל ג דין ד) אסר אף בדיעבד כלי חרס, והרמ"א בת"ח (כלל יא דין ז) </w:t>
      </w:r>
      <w:r>
        <w:rPr>
          <w:rFonts w:asciiTheme="minorBidi" w:hAnsiTheme="minorBidi" w:hint="cs"/>
          <w:rtl/>
        </w:rPr>
        <w:t xml:space="preserve">כתב </w:t>
      </w:r>
      <w:r w:rsidRPr="005C6730">
        <w:rPr>
          <w:rFonts w:asciiTheme="minorBidi" w:hAnsiTheme="minorBidi"/>
          <w:rtl/>
        </w:rPr>
        <w:t>דלא שני בין חרס לשאר כלים ובשניהם יש להחמיר לכתחילה ובדיעבד מותר.</w:t>
      </w:r>
    </w:p>
  </w:footnote>
  <w:footnote w:id="233">
    <w:p w14:paraId="702871C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ישנם שני חכמים שנקראים ר"י אלברצלוני, הראשון הוא ר' יצחק ב"ר ראובן אלברצלוני </w:t>
      </w:r>
      <w:r w:rsidRPr="005C6730">
        <w:rPr>
          <w:rFonts w:asciiTheme="minorBidi" w:hAnsiTheme="minorBidi"/>
          <w:sz w:val="16"/>
          <w:szCs w:val="16"/>
          <w:rtl/>
        </w:rPr>
        <w:t>(נולד בשנת ד"א תת"ג בברצלונה, בן דורו של הרי"ף, למד תורה בקורדובה מפי ר' חנוך ב"ר משה, שימש דיין בקהילת דאניה שבדרום ספרד, בהיותו בן שלשים וחמש תרגם את ספר המקח והממכר של רב האי גאון מערבית לעברית, כמו כן חיבר את הספר שערי שבועות שנדפס בסוף הלכות הרי"ף, ר' יצחק היה גם פייטן)</w:t>
      </w:r>
      <w:r w:rsidRPr="005C6730">
        <w:rPr>
          <w:rFonts w:asciiTheme="minorBidi" w:hAnsiTheme="minorBidi"/>
          <w:rtl/>
        </w:rPr>
        <w:t xml:space="preserve">. והשני הוא ר' יהודה בן ברזילי הנשיא אלברצלוני, שהיה תלמידו של ר' יצחק אלברצלוני </w:t>
      </w:r>
      <w:r w:rsidRPr="005C6730">
        <w:rPr>
          <w:rFonts w:asciiTheme="minorBidi" w:hAnsiTheme="minorBidi"/>
          <w:sz w:val="16"/>
          <w:szCs w:val="16"/>
          <w:rtl/>
        </w:rPr>
        <w:t>(ר' יהודה חי בספרד בעיר ברצלונה בסוף המאה הי"א ובמאה הי"ב. כתב ספרים רבים שרובם לא הגיעו אלינו בין השאר בגלל היקיפם הגדול. בספרי ההלכה שלו התבסס בעיקר על תשובות הגאונים, על הלכות ר' שמואל הנגיד ועל פסקי הרי"ף ותשובותיו. הראשונים שבאו אחריו השתמשו רבות בספריו. בימינו הוא ידוע בעיקר מספרו 'העיתים', ספר מקיף ביותר על הלכות הזמנים, ממנו נותר רק חלק קטן על הלכות שבת, בספריו מובאות הרבה תשובות גאונים שאין להם מקור אחר, וכמה קבצים של תשובות גאונים נלקטו מהם. גם ספר 'האורה' מבוסס כנראה על ספרי ר"י אלברצלוני)</w:t>
      </w:r>
      <w:r w:rsidRPr="005C6730">
        <w:rPr>
          <w:rFonts w:asciiTheme="minorBidi" w:hAnsiTheme="minorBidi"/>
          <w:rtl/>
        </w:rPr>
        <w:t xml:space="preserve">. ונ"ל שכשמזכירים 'הרב אלברצלוני' בסתם הכוונה לר' יהודה </w:t>
      </w:r>
      <w:r w:rsidRPr="005C6730">
        <w:rPr>
          <w:rFonts w:asciiTheme="minorBidi" w:hAnsiTheme="minorBidi"/>
          <w:sz w:val="16"/>
          <w:szCs w:val="16"/>
          <w:rtl/>
        </w:rPr>
        <w:t>(גם משום שכשהרא"ש כותב 'הרב אלברצלוני' הטור מעתיק 'וה"ר יהודה אלברצלוני" {עי' בסע' זה},  וגם משום שלר' יהודה יש יותר ספרים {ואע"פ שאבדו ואינם אצלנו, לראשונים (רשב"א ורא"ש וכו') היו מצויים})</w:t>
      </w:r>
      <w:r w:rsidRPr="005C6730">
        <w:rPr>
          <w:rFonts w:asciiTheme="minorBidi" w:hAnsiTheme="minorBidi"/>
          <w:rtl/>
        </w:rPr>
        <w:t xml:space="preserve">. </w:t>
      </w:r>
    </w:p>
  </w:footnote>
  <w:footnote w:id="234">
    <w:p w14:paraId="5AA1357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סה"ת </w:t>
      </w:r>
      <w:r w:rsidRPr="005C6730">
        <w:rPr>
          <w:rFonts w:asciiTheme="minorBidi" w:hAnsiTheme="minorBidi"/>
          <w:sz w:val="16"/>
          <w:szCs w:val="16"/>
          <w:rtl/>
        </w:rPr>
        <w:t xml:space="preserve">(כן דקדק הרשב"א מדבריו בסי' סט) </w:t>
      </w:r>
      <w:r w:rsidRPr="005C6730">
        <w:rPr>
          <w:rFonts w:asciiTheme="minorBidi" w:hAnsiTheme="minorBidi"/>
          <w:rtl/>
        </w:rPr>
        <w:t xml:space="preserve">ר"י אלברצלוני </w:t>
      </w:r>
      <w:r w:rsidRPr="005C6730">
        <w:rPr>
          <w:rFonts w:asciiTheme="minorBidi" w:hAnsiTheme="minorBidi"/>
          <w:sz w:val="16"/>
          <w:szCs w:val="16"/>
          <w:rtl/>
        </w:rPr>
        <w:t xml:space="preserve">(כ"כ הרשב"א בשמו [בחידו']) </w:t>
      </w:r>
      <w:r w:rsidRPr="005C6730">
        <w:rPr>
          <w:rFonts w:asciiTheme="minorBidi" w:hAnsiTheme="minorBidi"/>
          <w:rtl/>
        </w:rPr>
        <w:t xml:space="preserve">מרדכי </w:t>
      </w:r>
      <w:r w:rsidRPr="005C6730">
        <w:rPr>
          <w:rFonts w:asciiTheme="minorBidi" w:hAnsiTheme="minorBidi"/>
          <w:sz w:val="16"/>
          <w:szCs w:val="16"/>
          <w:rtl/>
        </w:rPr>
        <w:t xml:space="preserve">(סו"ס תשכז) </w:t>
      </w:r>
      <w:r w:rsidRPr="005C6730">
        <w:rPr>
          <w:rFonts w:asciiTheme="minorBidi" w:hAnsiTheme="minorBidi"/>
          <w:rtl/>
        </w:rPr>
        <w:t xml:space="preserve">רשב"א </w:t>
      </w:r>
      <w:r w:rsidRPr="005C6730">
        <w:rPr>
          <w:rFonts w:asciiTheme="minorBidi" w:hAnsiTheme="minorBidi"/>
          <w:sz w:val="16"/>
          <w:szCs w:val="16"/>
          <w:rtl/>
        </w:rPr>
        <w:t xml:space="preserve">(קיג. ד"ה ולענין מולח, ותוה"ב ארוך וקצר ב"ג ש"ג עה:) </w:t>
      </w:r>
      <w:r w:rsidRPr="005C6730">
        <w:rPr>
          <w:rFonts w:asciiTheme="minorBidi" w:hAnsiTheme="minorBidi"/>
          <w:rtl/>
        </w:rPr>
        <w:t xml:space="preserve">ורא"ש </w:t>
      </w:r>
      <w:r w:rsidRPr="005C6730">
        <w:rPr>
          <w:rFonts w:asciiTheme="minorBidi" w:hAnsiTheme="minorBidi"/>
          <w:sz w:val="16"/>
          <w:szCs w:val="16"/>
          <w:rtl/>
        </w:rPr>
        <w:t>(סי' מט, וכ"כ בפג"ה סי' יג)</w:t>
      </w:r>
      <w:r w:rsidRPr="005C6730">
        <w:rPr>
          <w:rFonts w:asciiTheme="minorBidi" w:hAnsiTheme="minorBidi"/>
          <w:rtl/>
        </w:rPr>
        <w:t>.</w:t>
      </w:r>
    </w:p>
  </w:footnote>
  <w:footnote w:id="235">
    <w:p w14:paraId="758DA26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דנראה דה"ה דלא מהני ביה מליחה, וכ"כ המרדכי דאפילו חתיכת בשר תפל שנתערב בין חתיכות מלוחות בכלי שאינו מנוקב לא מהניא ביה מליחה דדם הבא ממקום אחר לא נפיק על ידי מליחה.</w:t>
      </w:r>
    </w:p>
  </w:footnote>
  <w:footnote w:id="236">
    <w:p w14:paraId="559C006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משמע דאם לא מלחו כ"כ שיהיה הבשר פגום אינו נאסר, ע"פ ב"י.</w:t>
      </w:r>
    </w:p>
  </w:footnote>
  <w:footnote w:id="237">
    <w:p w14:paraId="5CC8C8E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כך משמע מדבריו בב"י (שכ' על דברי סה"ת- "אבל אין דעת הרשב"א כן וכו'..."), וכן הבין הש"ך (סקע"א) בדברי הב"י.</w:t>
      </w:r>
    </w:p>
  </w:footnote>
  <w:footnote w:id="238">
    <w:p w14:paraId="1DD15E4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ר"ת </w:t>
      </w:r>
      <w:r w:rsidRPr="005C6730">
        <w:rPr>
          <w:rFonts w:asciiTheme="minorBidi" w:hAnsiTheme="minorBidi"/>
          <w:sz w:val="16"/>
          <w:szCs w:val="16"/>
          <w:rtl/>
        </w:rPr>
        <w:t>(תוס' פסחים עד. ד"ה כבולעו)</w:t>
      </w:r>
      <w:r w:rsidRPr="005C6730">
        <w:rPr>
          <w:rFonts w:asciiTheme="minorBidi" w:hAnsiTheme="minorBidi"/>
          <w:rtl/>
        </w:rPr>
        <w:t xml:space="preserve"> מרדכי </w:t>
      </w:r>
      <w:r w:rsidRPr="005C6730">
        <w:rPr>
          <w:rFonts w:asciiTheme="minorBidi" w:hAnsiTheme="minorBidi"/>
          <w:sz w:val="16"/>
          <w:szCs w:val="16"/>
          <w:rtl/>
        </w:rPr>
        <w:t xml:space="preserve">(חולין סי' תשכד) </w:t>
      </w:r>
      <w:r w:rsidRPr="005C6730">
        <w:rPr>
          <w:rFonts w:asciiTheme="minorBidi" w:hAnsiTheme="minorBidi"/>
          <w:rtl/>
        </w:rPr>
        <w:t xml:space="preserve">ור"פ </w:t>
      </w:r>
      <w:r w:rsidRPr="005C6730">
        <w:rPr>
          <w:rFonts w:asciiTheme="minorBidi" w:hAnsiTheme="minorBidi"/>
          <w:sz w:val="16"/>
          <w:szCs w:val="16"/>
          <w:rtl/>
        </w:rPr>
        <w:t>(סי' רד בהגהות הסמ"ק אות ב)</w:t>
      </w:r>
      <w:r w:rsidRPr="005C6730">
        <w:rPr>
          <w:rFonts w:asciiTheme="minorBidi" w:hAnsiTheme="minorBidi"/>
          <w:rtl/>
        </w:rPr>
        <w:t>.</w:t>
      </w:r>
    </w:p>
  </w:footnote>
  <w:footnote w:id="239">
    <w:p w14:paraId="041AA16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אע"פ שחתיכה שנמלחה ונפלה בציר של איסור אינו אסור אלא מה שממנה בתוך הציר הכא כולה אסורה, טור בשם ר"פ. וכ' המרדכי (שם) הטעם- דבחתיכה שנפלה לתוך הציר אינו אסור אלא מה שבתוך הציר דהתם נמלחה החתיכה כדינה ופלטה כל דמה הילכך אין אסור אלא מה שבתוך הציר דדם אינו מפעפע למעלה, אבל כשנמלחה בכלי שאינו מנוקב הכל אסור שלא יצא דמה ממנה לפי שהמקום דחוק כיון שאין הכלי מנוקב, ואע"פ שדם האברים שלא פירש מותר היינו דוקא שלא פירש כלל ממקומו אבל פירש ממקום למקום לא, כגון הכא דכיון שמלח מיד הדם פירש ויוצא ממקום למקום ואינו יוצא לגמרי כיון שאינו מנוקב.</w:t>
      </w:r>
      <w:r w:rsidRPr="005C6730">
        <w:rPr>
          <w:rFonts w:asciiTheme="minorBidi" w:hAnsiTheme="minorBidi"/>
          <w:sz w:val="16"/>
          <w:szCs w:val="16"/>
          <w:rtl/>
        </w:rPr>
        <w:t xml:space="preserve"> (הרא"ש חלק על המרדכי וכתב דאע"פ שנתלה באילן גדול אינם דברים של טעם ומה שהביא ראיה מדגים כשל עוזר ונפל עזור (ישעיה לא ג) גם דגים אינם אסורים כולם אע"פ שאמר בסתם אסורים מ"מ אינם אסורים אלא כדין מליח כרותח קאמר. וכן טמא מליח וטהור תפל אסור על כרחך אסור כדי קליפה קאמר דלא מצינו צלי אוסר יותר מכדי קליפה או כדי נטילה. וגם מה שחילק בין חתיכה שנפלה לתוך הציר להך דהכא אינו כלום דלמה ימנע מה שבתוך הציר את העליון מלפלוט וכי חתיכה גדולה שמלח חציה וכי חציה שאינו מלוח תמנע חציה המלוח מלפלוט הכא נמי אע"פ שמה שבתוך הציר אינה יכולה לפלוט מה שחוץ לציר פולטת כדינו ומי הוא הנביא שהגיד שפירש ממקום למקום ואינו יוצא לגמרי אין אלו אלא דברי נביאות להשחית ממונן של ישראל עכ"ל. ובכלל ב' (סי' יז) כ' ג"כ לסתור דברי ה"ר פרץ ועל מה שהביא ה"ר פרץ ראיה מר"ת שעשה מעשה בתרנגולת שנמלחה בכלי שאינו מנוקב ואסר כולה כתב אפשר שר"ת אסר כל התרנגולת מחמת שהוציאוה מן הציר ולא נודע איזה צד היה מונח בתוך הציר והשומע שמע וטעה והאוסר עליו להביא ראיה ברורה וחזקה כי התורה חסה על ממונם של ישראל ע"כ. וכ"כ הרשב"א [בתוה"ק שם ע"ה:, וכן בתשו' ח"א סי' תסו])</w:t>
      </w:r>
    </w:p>
  </w:footnote>
  <w:footnote w:id="240">
    <w:p w14:paraId="0CAE136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רשב"א </w:t>
      </w:r>
      <w:r w:rsidRPr="005C6730">
        <w:rPr>
          <w:rFonts w:asciiTheme="minorBidi" w:hAnsiTheme="minorBidi"/>
          <w:sz w:val="16"/>
          <w:szCs w:val="16"/>
          <w:rtl/>
        </w:rPr>
        <w:t xml:space="preserve">(תוה"ב קצר ע"ה:, וכן ענה לרא"ש בתשו' ח"א סי' תסו) </w:t>
      </w:r>
      <w:r w:rsidRPr="005C6730">
        <w:rPr>
          <w:rFonts w:asciiTheme="minorBidi" w:hAnsiTheme="minorBidi"/>
          <w:rtl/>
        </w:rPr>
        <w:t xml:space="preserve">ורא"ש </w:t>
      </w:r>
      <w:r w:rsidRPr="005C6730">
        <w:rPr>
          <w:rFonts w:asciiTheme="minorBidi" w:hAnsiTheme="minorBidi"/>
          <w:sz w:val="16"/>
          <w:szCs w:val="16"/>
          <w:rtl/>
        </w:rPr>
        <w:t>(סי' מט, וכן בפ"ז סי' כד)</w:t>
      </w:r>
      <w:r w:rsidRPr="005C6730">
        <w:rPr>
          <w:rFonts w:asciiTheme="minorBidi" w:hAnsiTheme="minorBidi"/>
          <w:rtl/>
        </w:rPr>
        <w:t>.</w:t>
      </w:r>
    </w:p>
  </w:footnote>
  <w:footnote w:id="241">
    <w:p w14:paraId="0D2B385A" w14:textId="77777777" w:rsidR="004C5A3C" w:rsidRPr="005C6730" w:rsidRDefault="004C5A3C" w:rsidP="002C39F4">
      <w:pPr>
        <w:spacing w:after="0" w:line="240" w:lineRule="auto"/>
        <w:rPr>
          <w:rFonts w:asciiTheme="minorBidi" w:hAnsiTheme="minorBidi"/>
          <w:sz w:val="20"/>
          <w:szCs w:val="20"/>
        </w:rPr>
      </w:pPr>
      <w:r w:rsidRPr="005C6730">
        <w:rPr>
          <w:rStyle w:val="a7"/>
          <w:rFonts w:asciiTheme="minorBidi" w:hAnsiTheme="minorBidi"/>
          <w:sz w:val="20"/>
          <w:szCs w:val="20"/>
        </w:rPr>
        <w:footnoteRef/>
      </w:r>
      <w:r w:rsidRPr="005C6730">
        <w:rPr>
          <w:rFonts w:asciiTheme="minorBidi" w:hAnsiTheme="minorBidi"/>
          <w:sz w:val="20"/>
          <w:szCs w:val="20"/>
          <w:rtl/>
        </w:rPr>
        <w:t xml:space="preserve"> וז"ל התוס' שם- היה אוסר ר"ת תרנגולת שנמלחה בקערה אע"פ שלא שהתה שם שיעור </w:t>
      </w:r>
      <w:r w:rsidRPr="005C6730">
        <w:rPr>
          <w:rFonts w:asciiTheme="minorBidi" w:hAnsiTheme="minorBidi"/>
          <w:color w:val="FF0000"/>
          <w:sz w:val="20"/>
          <w:szCs w:val="20"/>
          <w:rtl/>
        </w:rPr>
        <w:t>צלייה</w:t>
      </w:r>
      <w:r w:rsidRPr="005C6730">
        <w:rPr>
          <w:rFonts w:asciiTheme="minorBidi" w:hAnsiTheme="minorBidi"/>
          <w:color w:val="FF0000"/>
          <w:sz w:val="16"/>
          <w:szCs w:val="16"/>
          <w:rtl/>
        </w:rPr>
        <w:t xml:space="preserve"> (במרדכי איתא 'מליחה')</w:t>
      </w:r>
      <w:r w:rsidRPr="005C6730">
        <w:rPr>
          <w:rFonts w:asciiTheme="minorBidi" w:hAnsiTheme="minorBidi"/>
          <w:sz w:val="20"/>
          <w:szCs w:val="20"/>
          <w:rtl/>
        </w:rPr>
        <w:t xml:space="preserve"> ולא פלטה אפילו חצי דמה ואסרה לאוכלה צלי משום דלא מפליג רבא גבי אין מולחין בשר אלא בכלי מנוקב בין שהה הרבה לשהה מעט.</w:t>
      </w:r>
    </w:p>
  </w:footnote>
  <w:footnote w:id="242">
    <w:p w14:paraId="4E1D97A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ר"ת</w:t>
      </w:r>
      <w:r w:rsidRPr="005C6730">
        <w:rPr>
          <w:rFonts w:asciiTheme="minorBidi" w:hAnsiTheme="minorBidi"/>
          <w:sz w:val="16"/>
          <w:szCs w:val="16"/>
          <w:rtl/>
        </w:rPr>
        <w:t xml:space="preserve"> (תוס' </w:t>
      </w:r>
      <w:r w:rsidRPr="005C6730">
        <w:rPr>
          <w:rFonts w:asciiTheme="minorBidi" w:hAnsiTheme="minorBidi"/>
          <w:sz w:val="14"/>
          <w:szCs w:val="14"/>
          <w:rtl/>
        </w:rPr>
        <w:t>[פסחים עד. ד"ה כבולעו]</w:t>
      </w:r>
      <w:r w:rsidRPr="005C6730">
        <w:rPr>
          <w:rFonts w:asciiTheme="minorBidi" w:hAnsiTheme="minorBidi"/>
          <w:sz w:val="16"/>
          <w:szCs w:val="16"/>
          <w:rtl/>
        </w:rPr>
        <w:t xml:space="preserve">, הביאוהו מרדכי </w:t>
      </w:r>
      <w:r w:rsidRPr="005C6730">
        <w:rPr>
          <w:rFonts w:asciiTheme="minorBidi" w:hAnsiTheme="minorBidi"/>
          <w:sz w:val="14"/>
          <w:szCs w:val="14"/>
          <w:rtl/>
        </w:rPr>
        <w:t xml:space="preserve">[סי' תשכד] </w:t>
      </w:r>
      <w:r w:rsidRPr="005C6730">
        <w:rPr>
          <w:rFonts w:asciiTheme="minorBidi" w:hAnsiTheme="minorBidi"/>
          <w:sz w:val="16"/>
          <w:szCs w:val="16"/>
          <w:rtl/>
        </w:rPr>
        <w:t xml:space="preserve">והגה"מ </w:t>
      </w:r>
      <w:r w:rsidRPr="005C6730">
        <w:rPr>
          <w:rFonts w:asciiTheme="minorBidi" w:hAnsiTheme="minorBidi"/>
          <w:sz w:val="14"/>
          <w:szCs w:val="14"/>
          <w:rtl/>
        </w:rPr>
        <w:t>[פ"ו מ</w:t>
      </w:r>
      <w:r>
        <w:rPr>
          <w:rFonts w:asciiTheme="minorBidi" w:hAnsiTheme="minorBidi"/>
          <w:sz w:val="14"/>
          <w:szCs w:val="14"/>
          <w:rtl/>
        </w:rPr>
        <w:t>הלמ"א</w:t>
      </w:r>
      <w:r w:rsidRPr="005C6730">
        <w:rPr>
          <w:rFonts w:asciiTheme="minorBidi" w:hAnsiTheme="minorBidi"/>
          <w:sz w:val="14"/>
          <w:szCs w:val="14"/>
          <w:rtl/>
        </w:rPr>
        <w:t xml:space="preserve"> אות ש]</w:t>
      </w:r>
      <w:r w:rsidRPr="005C6730">
        <w:rPr>
          <w:rFonts w:asciiTheme="minorBidi" w:hAnsiTheme="minorBidi"/>
          <w:sz w:val="16"/>
          <w:szCs w:val="16"/>
          <w:rtl/>
        </w:rPr>
        <w:t>)</w:t>
      </w:r>
      <w:r w:rsidRPr="005C6730">
        <w:rPr>
          <w:rFonts w:asciiTheme="minorBidi" w:hAnsiTheme="minorBidi"/>
          <w:rtl/>
        </w:rPr>
        <w:t xml:space="preserve"> ומהרא"י </w:t>
      </w:r>
      <w:r w:rsidRPr="005C6730">
        <w:rPr>
          <w:rFonts w:asciiTheme="minorBidi" w:hAnsiTheme="minorBidi"/>
          <w:sz w:val="16"/>
          <w:szCs w:val="16"/>
          <w:rtl/>
        </w:rPr>
        <w:t>(בהגשע"ד סי' ט סק"ד ד"ה והוי כאלו, וסי' יב סק"ה, הביאו הדרכ"מ [אות לז])</w:t>
      </w:r>
      <w:r w:rsidRPr="005C6730">
        <w:rPr>
          <w:rFonts w:asciiTheme="minorBidi" w:hAnsiTheme="minorBidi"/>
          <w:rtl/>
        </w:rPr>
        <w:t>.</w:t>
      </w:r>
    </w:p>
  </w:footnote>
  <w:footnote w:id="243">
    <w:p w14:paraId="6050D6E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שהציר והדם מתחילין לצאת מן הבשר מיד והטיפות עצמן אינן נאכלין מחמת מלחן אע"פ שהבשר עדיין נאכל מחמת מלחו וכיון שכן הבשר שהוא מתכבש ומתבשל בתוך הציר והדם שהן מלוחין הוא חוזר ובולע מיד הדם שפולט, רשב"א </w:t>
      </w:r>
      <w:r w:rsidRPr="005C6730">
        <w:rPr>
          <w:rFonts w:asciiTheme="minorBidi" w:hAnsiTheme="minorBidi"/>
          <w:sz w:val="16"/>
          <w:szCs w:val="16"/>
          <w:rtl/>
        </w:rPr>
        <w:t>(חולין קיג. ד"ה ולענין)</w:t>
      </w:r>
      <w:r w:rsidRPr="005C6730">
        <w:rPr>
          <w:rFonts w:asciiTheme="minorBidi" w:hAnsiTheme="minorBidi"/>
          <w:rtl/>
        </w:rPr>
        <w:t>. וכ' ב</w:t>
      </w:r>
      <w:r>
        <w:rPr>
          <w:rFonts w:asciiTheme="minorBidi" w:hAnsiTheme="minorBidi"/>
          <w:rtl/>
        </w:rPr>
        <w:t>או"ה</w:t>
      </w:r>
      <w:r w:rsidRPr="005C6730">
        <w:rPr>
          <w:rFonts w:asciiTheme="minorBidi" w:hAnsiTheme="minorBidi"/>
          <w:rtl/>
        </w:rPr>
        <w:t xml:space="preserve"> (כלל י דין ג, ז) דכן נוהגין לאסרו אפילו לא שהה שיעור מליחה ולא נמלח רק מעט כדרך שמולחין לצלי אם שהה מעט עד שנראה רק מעט ציר בקערה הכל אסור בין הבשר בין הכלי ואפילו לצלי אסור ואין חילוק בין בשר כחוש לשמן ואין חילוק בין איכא ששים בבשר נגד ציר שיצא או ליכא ששים דאין האיסור משום דם שיצא אלא משום דם שבתוכו שפירש ממקום למקום ולא היה לו מקום לצאת ושוב לא יצא לא ע"י מליחה ולא ע"י צלייה. </w:t>
      </w:r>
    </w:p>
  </w:footnote>
  <w:footnote w:id="244">
    <w:p w14:paraId="185092C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וכ"כ הרשב"א </w:t>
      </w:r>
      <w:r w:rsidRPr="005C6730">
        <w:rPr>
          <w:rFonts w:asciiTheme="minorBidi" w:hAnsiTheme="minorBidi"/>
          <w:sz w:val="16"/>
          <w:szCs w:val="16"/>
          <w:rtl/>
        </w:rPr>
        <w:t xml:space="preserve">(בתוה"ב שם) </w:t>
      </w:r>
      <w:r w:rsidRPr="005C6730">
        <w:rPr>
          <w:rFonts w:asciiTheme="minorBidi" w:hAnsiTheme="minorBidi"/>
          <w:rtl/>
        </w:rPr>
        <w:t xml:space="preserve">בשם יש מי שאומר, וכ' שהטעם לזמן זה הוא שמזמן זה ואילך נעשה אינו נאכל מחמת מלחו ולא קודם לכן. </w:t>
      </w:r>
      <w:r w:rsidRPr="005C6730">
        <w:rPr>
          <w:rFonts w:asciiTheme="minorBidi" w:hAnsiTheme="minorBidi"/>
          <w:sz w:val="16"/>
          <w:szCs w:val="16"/>
          <w:rtl/>
        </w:rPr>
        <w:t>(ומ"מ נתבאר לעיל שהרשב"א סובר אחרת)</w:t>
      </w:r>
    </w:p>
  </w:footnote>
  <w:footnote w:id="245">
    <w:p w14:paraId="661C1E6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וסיים ה</w:t>
      </w:r>
      <w:r>
        <w:rPr>
          <w:rFonts w:asciiTheme="minorBidi" w:hAnsiTheme="minorBidi"/>
          <w:rtl/>
        </w:rPr>
        <w:t>הג"א</w:t>
      </w:r>
      <w:r w:rsidRPr="005C6730">
        <w:rPr>
          <w:rFonts w:asciiTheme="minorBidi" w:hAnsiTheme="minorBidi"/>
          <w:sz w:val="16"/>
          <w:szCs w:val="16"/>
          <w:rtl/>
        </w:rPr>
        <w:t xml:space="preserve"> (לאחר שהביא את דברי רש"י הנ"ל)</w:t>
      </w:r>
      <w:r w:rsidRPr="005C6730">
        <w:rPr>
          <w:rFonts w:asciiTheme="minorBidi" w:hAnsiTheme="minorBidi"/>
          <w:rtl/>
        </w:rPr>
        <w:t xml:space="preserve"> וז"ל- ומיהו אין מנהג להתיר בענין זה, וגם ר"ת אסר אע"פ שלא שהה כדי צלייה וגם לא היה בה רק מעט ציר וכך היה נוהג ר"י.</w:t>
      </w:r>
    </w:p>
  </w:footnote>
  <w:footnote w:id="246">
    <w:p w14:paraId="5FC8540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הרא"ש </w:t>
      </w:r>
      <w:r w:rsidRPr="005C6730">
        <w:rPr>
          <w:rFonts w:asciiTheme="minorBidi" w:hAnsiTheme="minorBidi"/>
          <w:sz w:val="16"/>
          <w:szCs w:val="16"/>
          <w:rtl/>
        </w:rPr>
        <w:t>(סי' מט)</w:t>
      </w:r>
      <w:r w:rsidRPr="005C6730">
        <w:rPr>
          <w:rFonts w:asciiTheme="minorBidi" w:hAnsiTheme="minorBidi"/>
          <w:rtl/>
        </w:rPr>
        <w:t xml:space="preserve"> הביא את דברי ר"י אלברצלוני </w:t>
      </w:r>
      <w:r w:rsidRPr="005C6730">
        <w:rPr>
          <w:rFonts w:asciiTheme="minorBidi" w:hAnsiTheme="minorBidi"/>
          <w:sz w:val="16"/>
          <w:szCs w:val="16"/>
          <w:rtl/>
        </w:rPr>
        <w:t>(שסובר שנאסר בשהה שיעור מליחה)</w:t>
      </w:r>
      <w:r w:rsidRPr="005C6730">
        <w:rPr>
          <w:rFonts w:asciiTheme="minorBidi" w:hAnsiTheme="minorBidi"/>
          <w:rtl/>
        </w:rPr>
        <w:t xml:space="preserve"> ואת דברי ר"ת</w:t>
      </w:r>
      <w:r w:rsidRPr="005C6730">
        <w:rPr>
          <w:rFonts w:asciiTheme="minorBidi" w:hAnsiTheme="minorBidi"/>
          <w:sz w:val="16"/>
          <w:szCs w:val="16"/>
          <w:rtl/>
        </w:rPr>
        <w:t xml:space="preserve"> (שסובר שנאסר מיד) </w:t>
      </w:r>
      <w:r w:rsidRPr="005C6730">
        <w:rPr>
          <w:rFonts w:asciiTheme="minorBidi" w:hAnsiTheme="minorBidi"/>
          <w:rtl/>
        </w:rPr>
        <w:t>וכ' וז"ל- אין אני אומר לא כדברי זה ולא כדברי זה לפי שהאיסור הוא מחמת שנכבש בציר ואמרינן הרי הוא כמבושל הילכך אני אומר ש- ....</w:t>
      </w:r>
    </w:p>
  </w:footnote>
  <w:footnote w:id="247">
    <w:p w14:paraId="234B6F60" w14:textId="77777777" w:rsidR="004C5A3C" w:rsidRPr="005C6730" w:rsidRDefault="004C5A3C" w:rsidP="002C39F4">
      <w:pPr>
        <w:pStyle w:val="a5"/>
        <w:rPr>
          <w:rFonts w:asciiTheme="minorBidi" w:hAnsiTheme="minorBidi"/>
          <w:sz w:val="16"/>
          <w:szCs w:val="16"/>
        </w:rPr>
      </w:pPr>
      <w:r w:rsidRPr="005C6730">
        <w:rPr>
          <w:rStyle w:val="a7"/>
          <w:rFonts w:asciiTheme="minorBidi" w:hAnsiTheme="minorBidi"/>
        </w:rPr>
        <w:footnoteRef/>
      </w:r>
      <w:r w:rsidRPr="005C6730">
        <w:rPr>
          <w:rFonts w:asciiTheme="minorBidi" w:hAnsiTheme="minorBidi"/>
          <w:rtl/>
        </w:rPr>
        <w:t xml:space="preserve"> ולא אמרינן כבולעו כך פולטו דדוקא היכא שנפלט מיד בשעת הבליעה, כגון מולייאתא אמרינן כבולעו כך פולטו, אבל דבר שנאסר כבר מחמת דם שבא עליו ממקום אחר תו לא שרינן ליה משום דכבולעו כך פולטו, רא"ש </w:t>
      </w:r>
      <w:r w:rsidRPr="005C6730">
        <w:rPr>
          <w:rFonts w:asciiTheme="minorBidi" w:hAnsiTheme="minorBidi"/>
          <w:sz w:val="16"/>
          <w:szCs w:val="16"/>
          <w:rtl/>
        </w:rPr>
        <w:t>(פ"ז סי' יג, הביאו הב"י)</w:t>
      </w:r>
      <w:r w:rsidRPr="005C6730">
        <w:rPr>
          <w:rFonts w:asciiTheme="minorBidi" w:hAnsiTheme="minorBidi"/>
          <w:rtl/>
        </w:rPr>
        <w:t xml:space="preserve">. </w:t>
      </w:r>
      <w:r w:rsidRPr="005C6730">
        <w:rPr>
          <w:rFonts w:asciiTheme="minorBidi" w:hAnsiTheme="minorBidi"/>
          <w:sz w:val="16"/>
          <w:szCs w:val="16"/>
          <w:rtl/>
        </w:rPr>
        <w:t xml:space="preserve">(ומה שכ' שם הרא"ש </w:t>
      </w:r>
      <w:r w:rsidRPr="005C6730">
        <w:rPr>
          <w:rFonts w:asciiTheme="minorBidi" w:hAnsiTheme="minorBidi"/>
          <w:sz w:val="14"/>
          <w:szCs w:val="14"/>
          <w:rtl/>
        </w:rPr>
        <w:t xml:space="preserve">["מעשים בכל יום שאוסרים בשר ששהה כדי שיעור מליחה שנפל בציר פליטת דם ואפילו לצלי. וכן אסר ר"ת וכו'] </w:t>
      </w:r>
      <w:r w:rsidRPr="005C6730">
        <w:rPr>
          <w:rFonts w:asciiTheme="minorBidi" w:hAnsiTheme="minorBidi"/>
          <w:sz w:val="16"/>
          <w:szCs w:val="16"/>
          <w:rtl/>
        </w:rPr>
        <w:t xml:space="preserve">לא קשה על מה שכתב לעיל </w:t>
      </w:r>
      <w:r w:rsidRPr="005C6730">
        <w:rPr>
          <w:rFonts w:asciiTheme="minorBidi" w:hAnsiTheme="minorBidi"/>
          <w:sz w:val="14"/>
          <w:szCs w:val="14"/>
          <w:rtl/>
        </w:rPr>
        <w:t>[שהשיעור שאוסר הוא שיעור כבישה היינו כאילו נתנו על האור כדי שירתיח ויתחיל להתבשל]</w:t>
      </w:r>
      <w:r w:rsidRPr="005C6730">
        <w:rPr>
          <w:rFonts w:asciiTheme="minorBidi" w:hAnsiTheme="minorBidi"/>
          <w:sz w:val="16"/>
          <w:szCs w:val="16"/>
          <w:rtl/>
        </w:rPr>
        <w:t xml:space="preserve"> משום ששם </w:t>
      </w:r>
      <w:r w:rsidRPr="005C6730">
        <w:rPr>
          <w:rFonts w:asciiTheme="minorBidi" w:hAnsiTheme="minorBidi"/>
          <w:sz w:val="14"/>
          <w:szCs w:val="14"/>
          <w:rtl/>
        </w:rPr>
        <w:t xml:space="preserve">[פ"ז סי' יג] </w:t>
      </w:r>
      <w:r w:rsidRPr="005C6730">
        <w:rPr>
          <w:rFonts w:asciiTheme="minorBidi" w:hAnsiTheme="minorBidi"/>
          <w:sz w:val="16"/>
          <w:szCs w:val="16"/>
          <w:rtl/>
        </w:rPr>
        <w:t xml:space="preserve">רק הזכיר דין זה ולא כתב את זה על דרך פסק, ולעומת זאת כאן </w:t>
      </w:r>
      <w:r w:rsidRPr="005C6730">
        <w:rPr>
          <w:rFonts w:asciiTheme="minorBidi" w:hAnsiTheme="minorBidi"/>
          <w:sz w:val="14"/>
          <w:szCs w:val="14"/>
          <w:rtl/>
        </w:rPr>
        <w:t>[פ"ח סי' מט]</w:t>
      </w:r>
      <w:r w:rsidRPr="005C6730">
        <w:rPr>
          <w:rFonts w:asciiTheme="minorBidi" w:hAnsiTheme="minorBidi"/>
          <w:sz w:val="16"/>
          <w:szCs w:val="16"/>
          <w:rtl/>
        </w:rPr>
        <w:t xml:space="preserve"> כתב את דברי האומרים שהוא כשיעור מליחה וחלק עליהם) </w:t>
      </w:r>
    </w:p>
  </w:footnote>
  <w:footnote w:id="248">
    <w:p w14:paraId="1FFC7484" w14:textId="77777777" w:rsidR="004C5A3C" w:rsidRPr="0025459F" w:rsidRDefault="004C5A3C" w:rsidP="002C39F4">
      <w:pPr>
        <w:pStyle w:val="a5"/>
        <w:rPr>
          <w:rFonts w:asciiTheme="minorBidi" w:hAnsiTheme="minorBidi"/>
          <w:color w:val="000000" w:themeColor="text1"/>
          <w:rtl/>
        </w:rPr>
      </w:pPr>
      <w:r w:rsidRPr="0025459F">
        <w:rPr>
          <w:rStyle w:val="a7"/>
          <w:rFonts w:asciiTheme="minorBidi" w:hAnsiTheme="minorBidi"/>
          <w:color w:val="000000" w:themeColor="text1"/>
        </w:rPr>
        <w:footnoteRef/>
      </w:r>
      <w:r w:rsidRPr="0025459F">
        <w:rPr>
          <w:rFonts w:asciiTheme="minorBidi" w:hAnsiTheme="minorBidi"/>
          <w:color w:val="000000" w:themeColor="text1"/>
          <w:rtl/>
        </w:rPr>
        <w:t xml:space="preserve"> הב"י הביא את דברי ראבי"ה וראב"ן אחרי דברי הר"ן</w:t>
      </w:r>
      <w:r w:rsidRPr="0025459F">
        <w:rPr>
          <w:rFonts w:asciiTheme="minorBidi" w:hAnsiTheme="minorBidi" w:hint="cs"/>
          <w:color w:val="000000" w:themeColor="text1"/>
          <w:rtl/>
        </w:rPr>
        <w:t xml:space="preserve"> בסי' ע סע' א לגבי מליחת עופות בהדי דגים</w:t>
      </w:r>
      <w:r w:rsidRPr="0025459F">
        <w:rPr>
          <w:rFonts w:asciiTheme="minorBidi" w:hAnsiTheme="minorBidi"/>
          <w:color w:val="000000" w:themeColor="text1"/>
          <w:rtl/>
        </w:rPr>
        <w:t xml:space="preserve">, </w:t>
      </w:r>
      <w:r w:rsidRPr="0025459F">
        <w:rPr>
          <w:rFonts w:asciiTheme="minorBidi" w:hAnsiTheme="minorBidi" w:hint="cs"/>
          <w:color w:val="000000" w:themeColor="text1"/>
          <w:rtl/>
        </w:rPr>
        <w:t xml:space="preserve">ומכיון שהיה נראה לי שאין </w:t>
      </w:r>
      <w:r w:rsidRPr="0025459F">
        <w:rPr>
          <w:rFonts w:asciiTheme="minorBidi" w:hAnsiTheme="minorBidi"/>
          <w:color w:val="000000" w:themeColor="text1"/>
          <w:rtl/>
        </w:rPr>
        <w:t xml:space="preserve">דבריהם </w:t>
      </w:r>
      <w:r w:rsidRPr="0025459F">
        <w:rPr>
          <w:rFonts w:asciiTheme="minorBidi" w:hAnsiTheme="minorBidi" w:hint="cs"/>
          <w:color w:val="000000" w:themeColor="text1"/>
          <w:rtl/>
        </w:rPr>
        <w:t xml:space="preserve">קשורים לשם הבאתים כאן </w:t>
      </w:r>
      <w:r w:rsidRPr="0025459F">
        <w:rPr>
          <w:rFonts w:asciiTheme="minorBidi" w:hAnsiTheme="minorBidi" w:hint="cs"/>
          <w:color w:val="000000" w:themeColor="text1"/>
          <w:sz w:val="16"/>
          <w:szCs w:val="16"/>
          <w:rtl/>
        </w:rPr>
        <w:t xml:space="preserve">(ואין תמיהה על הב"י, משום שדרך הב"י להביא דעות מאותו עניין, </w:t>
      </w:r>
      <w:r>
        <w:rPr>
          <w:rFonts w:asciiTheme="minorBidi" w:hAnsiTheme="minorBidi" w:hint="cs"/>
          <w:color w:val="000000" w:themeColor="text1"/>
          <w:sz w:val="16"/>
          <w:szCs w:val="16"/>
          <w:rtl/>
        </w:rPr>
        <w:t xml:space="preserve">ז"א, </w:t>
      </w:r>
      <w:r w:rsidRPr="0025459F">
        <w:rPr>
          <w:rFonts w:asciiTheme="minorBidi" w:hAnsiTheme="minorBidi" w:hint="cs"/>
          <w:color w:val="000000" w:themeColor="text1"/>
          <w:sz w:val="16"/>
          <w:szCs w:val="16"/>
          <w:rtl/>
        </w:rPr>
        <w:t xml:space="preserve">כמו שיש הבדל בין דגים לבשר בבליעת ציר, שדגים בולעים יותר מהר, כך יש הבדל בין ציר שחוטה לציר נבילה, ולכן הביא את דבריהם בהדי </w:t>
      </w:r>
      <w:r>
        <w:rPr>
          <w:rFonts w:asciiTheme="minorBidi" w:hAnsiTheme="minorBidi" w:hint="cs"/>
          <w:color w:val="000000" w:themeColor="text1"/>
          <w:sz w:val="16"/>
          <w:szCs w:val="16"/>
          <w:rtl/>
        </w:rPr>
        <w:t>דברי הר"ן שם</w:t>
      </w:r>
      <w:r w:rsidRPr="0025459F">
        <w:rPr>
          <w:rFonts w:asciiTheme="minorBidi" w:hAnsiTheme="minorBidi" w:hint="cs"/>
          <w:color w:val="000000" w:themeColor="text1"/>
          <w:sz w:val="16"/>
          <w:szCs w:val="16"/>
          <w:rtl/>
        </w:rPr>
        <w:t>)</w:t>
      </w:r>
      <w:r w:rsidRPr="0025459F">
        <w:rPr>
          <w:rFonts w:asciiTheme="minorBidi" w:hAnsiTheme="minorBidi"/>
          <w:color w:val="000000" w:themeColor="text1"/>
          <w:sz w:val="16"/>
          <w:szCs w:val="16"/>
          <w:rtl/>
        </w:rPr>
        <w:t>.</w:t>
      </w:r>
    </w:p>
  </w:footnote>
  <w:footnote w:id="249">
    <w:p w14:paraId="330EC01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צ"ל- נמוקי הר"י מפריש </w:t>
      </w:r>
      <w:r w:rsidRPr="005C6730">
        <w:rPr>
          <w:rFonts w:asciiTheme="minorBidi" w:hAnsiTheme="minorBidi"/>
          <w:sz w:val="16"/>
          <w:szCs w:val="16"/>
          <w:rtl/>
        </w:rPr>
        <w:t>(ר' יחיאל מפריש)</w:t>
      </w:r>
      <w:r w:rsidRPr="005C6730">
        <w:rPr>
          <w:rFonts w:asciiTheme="minorBidi" w:hAnsiTheme="minorBidi"/>
          <w:rtl/>
        </w:rPr>
        <w:t>, וכן הוא בכת"י, וכן ב</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 xml:space="preserve">(כלל ו דין ח) </w:t>
      </w:r>
      <w:r w:rsidRPr="005C6730">
        <w:rPr>
          <w:rFonts w:asciiTheme="minorBidi" w:hAnsiTheme="minorBidi"/>
          <w:rtl/>
        </w:rPr>
        <w:t>מביא ספק זה בשמו, שערי בינה (סק"ו).</w:t>
      </w:r>
    </w:p>
  </w:footnote>
  <w:footnote w:id="250">
    <w:p w14:paraId="57EC583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כן הוא לשון הטור, וקשה לי דבטור (עמ' רעט ב"י ד"ה כבוש) ושו"ע (רס"י ק"ה) לא נזכר לשון זה, רק סתם אם שהה כדי שיתנו על האש, משמע דמשערינן תמיד על הך חתיכה ששרה בציר אם היו נותנים אותו על האור אם הרתיח, ובמקור הדין בהרא"ש ג"כ לא נזכר לשון שיתנו מים וכו' רק אם נתנו וכו' וצ"ע.</w:t>
      </w:r>
      <w:r w:rsidRPr="005C6730">
        <w:rPr>
          <w:rFonts w:asciiTheme="minorBidi" w:hAnsiTheme="minorBidi"/>
          <w:sz w:val="16"/>
          <w:szCs w:val="16"/>
          <w:rtl/>
        </w:rPr>
        <w:t xml:space="preserve"> (ואולי אפ"ל דאע"פ שלא כ' הרא"ש כן בפירוש ואע"פ שלא כתבו הטו"ה שם לשון זו, מ"מ לזה התכוונו בודאי, דהרי כ' הרא"ש- "כאילו נתנו על האור כדי שירתיח ויתחיל לבשל" ואם לא ישים מים זה לא מקרי בישול אלא צלי קידר, וכ"מ מלשון הטו"ה שם)</w:t>
      </w:r>
    </w:p>
  </w:footnote>
  <w:footnote w:id="251">
    <w:p w14:paraId="2102489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אבל בפחות משיעור זה אף מה שבתוך הציר לא נאסר אלא כדי קליפה, רא"ש </w:t>
      </w:r>
      <w:r w:rsidRPr="005C6730">
        <w:rPr>
          <w:rFonts w:asciiTheme="minorBidi" w:hAnsiTheme="minorBidi"/>
          <w:sz w:val="16"/>
          <w:szCs w:val="16"/>
          <w:rtl/>
        </w:rPr>
        <w:t>(פ"ח סי' מט, הביאו הש"ך סקע"ב)</w:t>
      </w:r>
      <w:r w:rsidRPr="005C6730">
        <w:rPr>
          <w:rFonts w:asciiTheme="minorBidi" w:hAnsiTheme="minorBidi"/>
          <w:rtl/>
        </w:rPr>
        <w:t xml:space="preserve"> וטור. וכ' רעק"א </w:t>
      </w:r>
      <w:r w:rsidRPr="005C6730">
        <w:rPr>
          <w:rFonts w:asciiTheme="minorBidi" w:hAnsiTheme="minorBidi"/>
          <w:sz w:val="16"/>
          <w:szCs w:val="16"/>
          <w:rtl/>
        </w:rPr>
        <w:t xml:space="preserve">(סקנ"ו, על הש"ך שם) </w:t>
      </w:r>
      <w:r w:rsidRPr="005C6730">
        <w:rPr>
          <w:rFonts w:asciiTheme="minorBidi" w:hAnsiTheme="minorBidi"/>
          <w:rtl/>
        </w:rPr>
        <w:t>קשה לי, הא כיון דלא שהה שיעור כבישה והקליפה לא נאסר רק מדין מלוח א"כ יהיה לו תקנה במליחה ועיין.</w:t>
      </w:r>
    </w:p>
  </w:footnote>
  <w:footnote w:id="252">
    <w:p w14:paraId="6FA6E12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והא דבעינן בסע' ט"ו מעת לעת למחשביה כבוש היינו משום דהתם ליכא רותח דמליחה, ומה"ט כ' המחבר לעיל דמותר לצלי וכאן אסר אף לצלי, ש"ך (סקע"ב).</w:t>
      </w:r>
    </w:p>
  </w:footnote>
  <w:footnote w:id="253">
    <w:p w14:paraId="7018866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 במקום שנגע בחתיכה שהיה בציר, ואפילו אם יש בה שומן לא אמרינן שמוליך הדם עמו דבכל דוכתי קי"ל דאין הנאסר יכול לאסור אלא במקום שהאיסור עצמו יכול לילך שם מצד טבע, משא"כ הכא, ש"ך (סקע"ג).</w:t>
      </w:r>
    </w:p>
  </w:footnote>
  <w:footnote w:id="254">
    <w:p w14:paraId="77E8491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ולא דמי לחתיכה שנפלה תוך הציר שאינו אסור אלא מה שבתוך הציר, וכדלקמן ס"ס ע', דהתם נמלח החתיכה כדינה ופלטה כל דמה הלכך אינו אסור אלא מה שבתוך הציר דדם אינו מפעפע למעלה, אבל כשנמלח בכלי שאינו מנוקב הכל אסור שלא יצא דמה ממנה לפי שהמקום דחוק כיון שאין הכלי מנוקב, ואע"פ שדם האברים שלא פירש מותר היינו דוקא שלא פירש כלל ממקומו אבל פירש ממקום למקום לא כגון הכא דכיון שמלח מיד הדם פירש ויצא ממקום למקום ואינו יוצא לגמרי כיון שהוא בכלי שאינו מנוקב </w:t>
      </w:r>
      <w:r w:rsidRPr="005C6730">
        <w:rPr>
          <w:rFonts w:asciiTheme="minorBidi" w:hAnsiTheme="minorBidi"/>
          <w:sz w:val="16"/>
          <w:szCs w:val="16"/>
          <w:rtl/>
        </w:rPr>
        <w:t xml:space="preserve">(דהדם אינו פולט כלל לצדדין רק למטה, או"ה </w:t>
      </w:r>
      <w:r w:rsidRPr="005C6730">
        <w:rPr>
          <w:rFonts w:asciiTheme="minorBidi" w:hAnsiTheme="minorBidi"/>
          <w:sz w:val="12"/>
          <w:szCs w:val="12"/>
          <w:rtl/>
        </w:rPr>
        <w:t>[כלל י דין ט, הביאו הט"ז סקמ"ד]</w:t>
      </w:r>
      <w:r w:rsidRPr="005C6730">
        <w:rPr>
          <w:rFonts w:asciiTheme="minorBidi" w:hAnsiTheme="minorBidi"/>
          <w:sz w:val="16"/>
          <w:szCs w:val="16"/>
          <w:rtl/>
        </w:rPr>
        <w:t>)</w:t>
      </w:r>
      <w:r w:rsidRPr="005C6730">
        <w:rPr>
          <w:rFonts w:asciiTheme="minorBidi" w:hAnsiTheme="minorBidi"/>
          <w:rtl/>
        </w:rPr>
        <w:t xml:space="preserve"> ושוב אינו יוצא לא ע"י מליחה ולא ע"י צלייה </w:t>
      </w:r>
      <w:r w:rsidRPr="005C6730">
        <w:rPr>
          <w:rFonts w:asciiTheme="minorBidi" w:hAnsiTheme="minorBidi"/>
          <w:sz w:val="16"/>
          <w:szCs w:val="16"/>
          <w:rtl/>
        </w:rPr>
        <w:t>(כ"כ הפוסקים, וכ"כ האו"ה והרב בת"ח כלל י"ב דין י' ובסימנים שם, והעט"ז הטעם משום שפירש ממקום למקום, וכ"כ שאר אחרונים)</w:t>
      </w:r>
      <w:r w:rsidRPr="005C6730">
        <w:rPr>
          <w:rFonts w:asciiTheme="minorBidi" w:hAnsiTheme="minorBidi"/>
          <w:rtl/>
        </w:rPr>
        <w:t xml:space="preserve">, ואע"ג דבשובר מפרקתה של בהמה שאסור נמי לאכול ממנה באומצא משום שהדם פירש ממקום למקום ואפ"ה שרי ע"י מליחה וצלייה כמו שנתבאר לעיל סי' ס"ז, י"ל דהכא כיון שפירש ע"י מליחה גרע טפי, א"נ כיון שנמלח בכלי שאינו מנוקב הוי כבוש וכבוש הרי הוא כמבושל דלא מהני ליה מליחה וצלייה אח"כ, וע"ל סקמ"ג וסי' ע"ו סק"ב, ש"ך (סקע"ד). </w:t>
      </w:r>
    </w:p>
  </w:footnote>
  <w:footnote w:id="255">
    <w:p w14:paraId="254A1D4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ואם נתערב באחרות ולא ידעינן ליה- אפילו חד בתרי בטל, דמאחר דמדאו' אין כאן איסור, דחד בתרי בטל לעולם אלא שמדרבנן אסור עד ס' בבישול, כדאי הם הרשב"א והרא"ש שמקילין להתיר לכל הפחות בכה"ג, רש"ל (יש"ש סי' צז, הביאו הט"ז סקמ"ד). וכ' הש"ך (סקע"ו) על דבריו דצ"ע לדינא, ואולי יש לסמוך עליו בזה כיון דבלא"ה דם שמלחו ודם שבשלו אינו אלא מדרבנן, ומשמע שם בדבריו דאפילו נמלח כשיעור מליחה לקדרה ושהה ג"כ שיעור מליחה יש להתיר בכה"ג.</w:t>
      </w:r>
    </w:p>
  </w:footnote>
  <w:footnote w:id="256">
    <w:p w14:paraId="2751FFB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ואע"ג דפולט הבשר למטה כמ"ש בסמוך (סקמ"ד) וכאן החתיכות דלמטה הן סתומות מלפלוט- מ"מ אין חתיכה אחת דחוקה כ"כ ע"ג חברתה שיעכבו התחתונות את העליונות מלפלוט ואפילו קליפה לא בעי, </w:t>
      </w:r>
      <w:r>
        <w:rPr>
          <w:rFonts w:asciiTheme="minorBidi" w:hAnsiTheme="minorBidi"/>
          <w:rtl/>
        </w:rPr>
        <w:t>או"ה</w:t>
      </w:r>
      <w:r w:rsidRPr="005C6730">
        <w:rPr>
          <w:rFonts w:asciiTheme="minorBidi" w:hAnsiTheme="minorBidi"/>
          <w:rtl/>
        </w:rPr>
        <w:t xml:space="preserve"> (כלל י דין ט).</w:t>
      </w:r>
    </w:p>
  </w:footnote>
  <w:footnote w:id="257">
    <w:p w14:paraId="0FCCD26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עליו הש"ך (נה"כ) וז"ל- זה פשוט ולא הוצרך לכותבו, דודאי בכה"ג לכו"ע שרי, כיון שהאווז העליונה נמלחה והודחה ולא חזרה ומלחה רק העליונה, ותמהני עליו על מה שאסר מה שמונח בציר, כיון שהאווז העליונה נמלחה והודחה, ואפשר יש טעות סופר בדבריו וצ"ל שנמלחה ולא הודחה, או מיירי שלא נמלחה שיעור מליחה.</w:t>
      </w:r>
    </w:p>
  </w:footnote>
  <w:footnote w:id="258">
    <w:p w14:paraId="3FB14E2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וכ"פ בתשו' משא"ב (סי' לט) והוכיח כן מדברי או"ה (כלל ו' דין י"ד), וכן משמע להדיא מדברי הפוסקים שהבאתי בס"ק הקודם דכל זמן שלא נמלח כדינו ופלט כל דמו אסור כשהניחו בכלי שאינו מנוקב, ובספרי הוכחתי שגם הרב בת"ח מודה לזה דלא כמשאת בנימין שהשיג עליו בזה ועי' בס"ס ע' ובמ"ש שם בסק"מ וסקמ"ו.</w:t>
      </w:r>
    </w:p>
  </w:footnote>
  <w:footnote w:id="259">
    <w:p w14:paraId="100F1A1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פ"ו ה"י.</w:t>
      </w:r>
    </w:p>
  </w:footnote>
  <w:footnote w:id="260">
    <w:p w14:paraId="2E69810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ותמה עליו הרשב"א (שם ושם), והר"ן (מא: ד"ה דגים ועופות) גבי דגים ועופות שמלחן זה עם זה כ'- מדאמרינן אסורין סתמא משמע דאסורין לגמרי ולית להו תקנתא במליחה, וכ"ת אמאי לא, איכא למימר לפי שאין המלח מפליט כל דם שבחתיכה שכבר כתבו הגאונים ז"ל דשיעור מליחה כדי הילוך מיל ואנו רואים שהמוחל היוצא מן הבשר אחר שיעור זה יותר מאדים מן הראשון הילכך ודאי אין מליחה באה אלא להוציא הדם שעל פני הבשר והסמוך לו הא לדם הבלוע בחתיכה לא חיישינן דהוי ליה דם האיברים דשרי, וזהו דעת הרמב"ם ולפיכך הוא מצריך שלא לתת הבשר בקדרה עד שיהו המים רותחין שאח"כ אין מפליטין אדרבה חולטין הבשר ומונעין הדם שלא יצא ואעפ"כ צריך למלחו כדי שיצא הדם שעל שטח הבשר והסמוך לו דאי לא חיישינן שמא קודם שתרגיש הבשר בחום המים תפלוט מן הקרוב לשטחה, ואין סברא זו נכונה דהא אמרינן</w:t>
      </w:r>
      <w:r w:rsidRPr="005C6730">
        <w:rPr>
          <w:rFonts w:asciiTheme="minorBidi" w:hAnsiTheme="minorBidi"/>
          <w:sz w:val="16"/>
          <w:szCs w:val="16"/>
          <w:rtl/>
        </w:rPr>
        <w:t xml:space="preserve"> (חולין צג:) </w:t>
      </w:r>
      <w:r w:rsidRPr="005C6730">
        <w:rPr>
          <w:rFonts w:asciiTheme="minorBidi" w:hAnsiTheme="minorBidi"/>
          <w:rtl/>
        </w:rPr>
        <w:t>באומצא דאסמיק ביעי ומזרקי דחתכיה ומלחיה אפילו לקדרה שרי דאלמא המלח מוציא אפילו הדם שבתוך החוטים, ואע"פ שאחר שיעור המליחה המוחל מאדים איכא למימר דקים להו דבשיעור מליחה יוצא כל מה שהוא דם גמור והשאר מוחל אדום הוא שיוצא ומותר, ועוד נ"ל שלא רצו חכמים להחמיר בדבר כ"כ כיון דקיי"ל (מנחות כא.) דדם שמלחו אינו עובר עליו, עכ"ל הר"ן. וכ' הה"מ- מ"ש רבינו משליכו לתוך המים הרותחים נחלקו עליו ז"ל ואמרו שאחר מליחה אין צריך דבר אחר, וכ"כ בהשגות זה לא שמענו ולא ראינו מימינו וכל האדמימות שיצא ממנו אחר מליחה אינו אלא חמר בשר והמחמיר יותר מכן עליו להביא ראיה, ע"כ, וזה דעת כל האחרונים ז"ל ואיני מוצא בזה סמך ברור לדברי רבינו עכ"ל הה"מ. וכיוצא בזה כ' הריב"ש בתשובה (סי' קסה).</w:t>
      </w:r>
    </w:p>
  </w:footnote>
  <w:footnote w:id="261">
    <w:p w14:paraId="2087059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ראב"ד רשב"א </w:t>
      </w:r>
      <w:r w:rsidRPr="005C6730">
        <w:rPr>
          <w:rFonts w:asciiTheme="minorBidi" w:hAnsiTheme="minorBidi"/>
          <w:sz w:val="16"/>
          <w:szCs w:val="16"/>
          <w:rtl/>
        </w:rPr>
        <w:t xml:space="preserve">(תוה"א שם עג:, ובתשו' ח"ג סי' רנא) </w:t>
      </w:r>
      <w:r w:rsidRPr="005C6730">
        <w:rPr>
          <w:rFonts w:asciiTheme="minorBidi" w:hAnsiTheme="minorBidi"/>
          <w:rtl/>
        </w:rPr>
        <w:t xml:space="preserve">ר"ן </w:t>
      </w:r>
      <w:r w:rsidRPr="005C6730">
        <w:rPr>
          <w:rFonts w:asciiTheme="minorBidi" w:hAnsiTheme="minorBidi"/>
          <w:sz w:val="16"/>
          <w:szCs w:val="16"/>
          <w:rtl/>
        </w:rPr>
        <w:t xml:space="preserve">(מא: ד"ה דגים ועופות) </w:t>
      </w:r>
      <w:r w:rsidRPr="005C6730">
        <w:rPr>
          <w:rFonts w:asciiTheme="minorBidi" w:hAnsiTheme="minorBidi"/>
          <w:rtl/>
        </w:rPr>
        <w:t xml:space="preserve">הה"מ וריב"ש </w:t>
      </w:r>
      <w:r w:rsidRPr="005C6730">
        <w:rPr>
          <w:rFonts w:asciiTheme="minorBidi" w:hAnsiTheme="minorBidi"/>
          <w:sz w:val="16"/>
          <w:szCs w:val="16"/>
          <w:rtl/>
        </w:rPr>
        <w:t>(סי' קסה)</w:t>
      </w:r>
      <w:r w:rsidRPr="005C6730">
        <w:rPr>
          <w:rFonts w:asciiTheme="minorBidi" w:hAnsiTheme="minorBidi"/>
          <w:rtl/>
        </w:rPr>
        <w:t>.</w:t>
      </w:r>
    </w:p>
  </w:footnote>
  <w:footnote w:id="262">
    <w:p w14:paraId="76EE3FD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על זה הדרכ"מ (אות לח) וז"ל- ומימי לא ראיתי ולא שמעתי מי שהיה חושש לזה.</w:t>
      </w:r>
    </w:p>
  </w:footnote>
  <w:footnote w:id="263">
    <w:p w14:paraId="2D1491C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והביא המחבר סברא זו דהיכא דאפשר יש לחוש לעשות כן וכמ"ש בב"י, ודעת הר"ב דאין לחוש לכך כלל וכמבואר בדבריו בת"ח סוף כלל ט"ו, ש"ך (סקע"ח).</w:t>
      </w:r>
    </w:p>
  </w:footnote>
  <w:footnote w:id="264">
    <w:p w14:paraId="09290AE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רש"י </w:t>
      </w:r>
      <w:r w:rsidRPr="005C6730">
        <w:rPr>
          <w:rFonts w:asciiTheme="minorBidi" w:hAnsiTheme="minorBidi"/>
          <w:sz w:val="16"/>
          <w:szCs w:val="16"/>
          <w:rtl/>
        </w:rPr>
        <w:t xml:space="preserve">(בספר הפרדס (קנד:) והאורה (ח"א סי' קט). הביאוהו התוס' (קיב: סוד"ה ודגים) רוקח (סי' תיח) סמ"ג (לאוין קלז, הביאו ההגה"מ [פ"ו אות ש]) מרדכי (סי' תשכה) ורא"ש (סי' לח)) </w:t>
      </w:r>
      <w:r w:rsidRPr="005C6730">
        <w:rPr>
          <w:rFonts w:asciiTheme="minorBidi" w:hAnsiTheme="minorBidi"/>
          <w:rtl/>
        </w:rPr>
        <w:t xml:space="preserve">ראבי"ה </w:t>
      </w:r>
      <w:r w:rsidRPr="005C6730">
        <w:rPr>
          <w:rFonts w:asciiTheme="minorBidi" w:hAnsiTheme="minorBidi"/>
          <w:sz w:val="16"/>
          <w:szCs w:val="16"/>
          <w:rtl/>
        </w:rPr>
        <w:t>(סי' אלף קיט)</w:t>
      </w:r>
      <w:r w:rsidRPr="005C6730">
        <w:rPr>
          <w:rFonts w:asciiTheme="minorBidi" w:hAnsiTheme="minorBidi"/>
          <w:rtl/>
        </w:rPr>
        <w:t xml:space="preserve"> רוקח </w:t>
      </w:r>
      <w:r w:rsidRPr="005C6730">
        <w:rPr>
          <w:rFonts w:asciiTheme="minorBidi" w:hAnsiTheme="minorBidi"/>
          <w:sz w:val="16"/>
          <w:szCs w:val="16"/>
          <w:rtl/>
        </w:rPr>
        <w:t xml:space="preserve">(סי' תיח) </w:t>
      </w:r>
      <w:r w:rsidRPr="005C6730">
        <w:rPr>
          <w:rFonts w:asciiTheme="minorBidi" w:hAnsiTheme="minorBidi"/>
          <w:rtl/>
        </w:rPr>
        <w:t xml:space="preserve">רא"ש </w:t>
      </w:r>
      <w:r w:rsidRPr="005C6730">
        <w:rPr>
          <w:rFonts w:asciiTheme="minorBidi" w:hAnsiTheme="minorBidi"/>
          <w:sz w:val="16"/>
          <w:szCs w:val="16"/>
          <w:rtl/>
        </w:rPr>
        <w:t>(סי' לח, הביא את דברי רש"י ולא כתב אח"כ ואין להקל)</w:t>
      </w:r>
      <w:r w:rsidRPr="005C6730">
        <w:rPr>
          <w:rFonts w:asciiTheme="minorBidi" w:hAnsiTheme="minorBidi"/>
          <w:rtl/>
        </w:rPr>
        <w:t xml:space="preserve"> וטור.</w:t>
      </w:r>
    </w:p>
  </w:footnote>
  <w:footnote w:id="265">
    <w:p w14:paraId="0694460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דמאחר ששהה הבשר במלח כדי שיעור מליחה קודם שהושם בכלי אין המים הנמצאים בכלי מין דם אלא מוחל בעלמא, שהרי אחר ששהה שיעור צלייה מדיחין אותו לבשלו בקדרה ואין חוששין לציר הנפלט ממנו, ואע"פ שהמלח שעל הבשר אסור שהדם מעורב בו ולכך צריך להדיח הבשר יפה יפה קודם שיבשלוהו בקדרה מ"מ אותו דם שבמלח נדבק הוא במלח ומתייבש בתוכו ואין לו כח ליבלע בבשר, ואע"פ שמתמחה בתוך המוחל, דאל"כ יאסר כל בשר שמניחים אותו במים להדיחו כי מתמחה המלח והדם שבתוכו ונבלע בבשר, דמה לי מים ומה לי מוחל שניהם היתר הם, אלא ודאי דם המלח נתייבש בתוכו ואין לו עוד כח לצאת, א"נ פסק כח המלח מחמת שהפליט את הדם מן הבשר ויצא כח המלח עם הדם ומחמת אותו מלח לא יחשב עוד כרותח, תוס'. והרוקח </w:t>
      </w:r>
      <w:r w:rsidRPr="005C6730">
        <w:rPr>
          <w:rFonts w:asciiTheme="minorBidi" w:hAnsiTheme="minorBidi"/>
          <w:sz w:val="16"/>
          <w:szCs w:val="16"/>
          <w:rtl/>
        </w:rPr>
        <w:t>(סי' תיח, הביאו המרדכי [סי' תשכו])</w:t>
      </w:r>
      <w:r w:rsidRPr="005C6730">
        <w:rPr>
          <w:rFonts w:asciiTheme="minorBidi" w:hAnsiTheme="minorBidi"/>
          <w:rtl/>
        </w:rPr>
        <w:t xml:space="preserve"> כ' שהטעם הוא משום שהדחה אחרונה היא משום דם הנדבק בבשר, ודם האיברים אחר שפירש אסור, אבל המוחל היוצא מן הבשר אינו אסור, וכ' שקיבל כן ממורו הריב"ק </w:t>
      </w:r>
      <w:r w:rsidRPr="005C6730">
        <w:rPr>
          <w:rFonts w:asciiTheme="minorBidi" w:hAnsiTheme="minorBidi"/>
          <w:sz w:val="16"/>
          <w:szCs w:val="16"/>
          <w:rtl/>
        </w:rPr>
        <w:t xml:space="preserve">(ר' יהודה קלונימוס- אביו [של הרוקח]) </w:t>
      </w:r>
      <w:r w:rsidRPr="005C6730">
        <w:rPr>
          <w:rFonts w:asciiTheme="minorBidi" w:hAnsiTheme="minorBidi"/>
          <w:rtl/>
        </w:rPr>
        <w:t>ומרמ"ה. וכ' עוד שכן התירו ר"ת ורשב"ם.</w:t>
      </w:r>
    </w:p>
  </w:footnote>
  <w:footnote w:id="266">
    <w:p w14:paraId="014FCCB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תוס' </w:t>
      </w:r>
      <w:r w:rsidRPr="005C6730">
        <w:rPr>
          <w:rFonts w:asciiTheme="minorBidi" w:hAnsiTheme="minorBidi"/>
          <w:sz w:val="16"/>
          <w:szCs w:val="16"/>
          <w:rtl/>
        </w:rPr>
        <w:t xml:space="preserve">(קיב: סוד"ה ודגים, וכ"כ בשמו המרדכי [סי' תשכה]) </w:t>
      </w:r>
      <w:r w:rsidRPr="005C6730">
        <w:rPr>
          <w:rFonts w:asciiTheme="minorBidi" w:hAnsiTheme="minorBidi"/>
          <w:rtl/>
        </w:rPr>
        <w:t xml:space="preserve">וסמ"ג </w:t>
      </w:r>
      <w:r w:rsidRPr="005C6730">
        <w:rPr>
          <w:rFonts w:asciiTheme="minorBidi" w:hAnsiTheme="minorBidi"/>
          <w:sz w:val="16"/>
          <w:szCs w:val="16"/>
          <w:rtl/>
        </w:rPr>
        <w:t>(לאוין קלז מז ע"ד, וכ"כ בשמו ההגה"מ [פ"ו אות ש])</w:t>
      </w:r>
      <w:r w:rsidRPr="005C6730">
        <w:rPr>
          <w:rFonts w:asciiTheme="minorBidi" w:hAnsiTheme="minorBidi"/>
          <w:rtl/>
        </w:rPr>
        <w:t>.</w:t>
      </w:r>
    </w:p>
  </w:footnote>
  <w:footnote w:id="267">
    <w:p w14:paraId="6D6D759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ומ"מ אין לאסור אלא מה שנמצא תוך הציר דלא גרע מאילו נפל לציר גמור הואיל וכבר שהה שיעור מליחה בכלי מנוקב, וגם הכלי אסור, </w:t>
      </w:r>
      <w:r>
        <w:rPr>
          <w:rFonts w:asciiTheme="minorBidi" w:hAnsiTheme="minorBidi"/>
          <w:rtl/>
        </w:rPr>
        <w:t>או"ה</w:t>
      </w:r>
      <w:r w:rsidRPr="005C6730">
        <w:rPr>
          <w:rFonts w:asciiTheme="minorBidi" w:hAnsiTheme="minorBidi"/>
          <w:rtl/>
        </w:rPr>
        <w:t xml:space="preserve"> (כלל י דין יט, הביאו הדרכ"מ [אות מ]). </w:t>
      </w:r>
      <w:r w:rsidRPr="005C6730">
        <w:rPr>
          <w:rFonts w:asciiTheme="minorBidi" w:hAnsiTheme="minorBidi"/>
          <w:color w:val="00B0F0"/>
          <w:rtl/>
        </w:rPr>
        <w:t>(וכ"פ הרמ"א)</w:t>
      </w:r>
    </w:p>
  </w:footnote>
  <w:footnote w:id="268">
    <w:p w14:paraId="1B44743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רק דהא דרש"ל אוסר כולה היינו בשהה כדי כבישת ציר (ולא כהארוך דאוסר מיד), וכ"כ להדיא במנחת יעקב (כלל יד אות ב), וא"כ קודם ששהה כבר נאסר כדי קליפה, רעק"א (על הש"ך סקפ"א).</w:t>
      </w:r>
    </w:p>
  </w:footnote>
  <w:footnote w:id="269">
    <w:p w14:paraId="2C2BA2C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וכ"כ בשערים דמהרא"י </w:t>
      </w:r>
      <w:r w:rsidRPr="005C6730">
        <w:rPr>
          <w:rFonts w:asciiTheme="minorBidi" w:hAnsiTheme="minorBidi"/>
          <w:sz w:val="16"/>
          <w:szCs w:val="16"/>
          <w:rtl/>
        </w:rPr>
        <w:t>(ל"ו שערים [ש"ו אות ו])</w:t>
      </w:r>
      <w:r w:rsidRPr="005C6730">
        <w:rPr>
          <w:rFonts w:asciiTheme="minorBidi" w:hAnsiTheme="minorBidi"/>
          <w:rtl/>
        </w:rPr>
        <w:t>, וכן מצאתי כתוב בשם מהרי"ב ומהרי"ש, וכן נראה מסקנת ב"י, וכן ראוי לדון, דהא רש"י וראבי"ה ורא"ש והטור מתירין לגמרי ולכן די לנו שאנו מחמירין לאסרו כדי קליפה כן נ"ל, דרכ"מ (אות מ).</w:t>
      </w:r>
    </w:p>
  </w:footnote>
  <w:footnote w:id="270">
    <w:p w14:paraId="2110474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דרב דימי מנהרדעא מלח ליה מילחא גללניתא ומנפץ ליה, [ומפרש] בה"ג מנפץ ליה ומחזיר ליה במיא שפיר דאין מועיל לו ניפוץ וצריך הדחה אחרונה שאם לא ינפצנו נעשו המים שהדיחה בהם רותחת מאחר שאינו נאכל מחמת מלחו הוי כרותח דצלי ונאסר הכלי והבשר, לשון הרוקח בשם ר"א ממיץ.</w:t>
      </w:r>
    </w:p>
  </w:footnote>
  <w:footnote w:id="271">
    <w:p w14:paraId="088AE48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כ"כ בשמו הסמ"ק</w:t>
      </w:r>
      <w:r w:rsidRPr="005C6730">
        <w:rPr>
          <w:rFonts w:asciiTheme="minorBidi" w:hAnsiTheme="minorBidi"/>
          <w:sz w:val="16"/>
          <w:szCs w:val="16"/>
          <w:rtl/>
        </w:rPr>
        <w:t xml:space="preserve"> (סי' רה בהגה אות ט, במצוה שלא לאכול דם על מעשה דרש"י)</w:t>
      </w:r>
      <w:r w:rsidRPr="005C6730">
        <w:rPr>
          <w:rFonts w:asciiTheme="minorBidi" w:hAnsiTheme="minorBidi"/>
          <w:rtl/>
        </w:rPr>
        <w:t>.</w:t>
      </w:r>
    </w:p>
  </w:footnote>
  <w:footnote w:id="272">
    <w:p w14:paraId="536DED4D" w14:textId="77777777" w:rsidR="004C5A3C" w:rsidRPr="005C6730" w:rsidRDefault="004C5A3C" w:rsidP="002C39F4">
      <w:pPr>
        <w:pStyle w:val="a5"/>
        <w:rPr>
          <w:rFonts w:asciiTheme="minorBidi" w:hAnsiTheme="minorBidi"/>
          <w:rtl/>
        </w:rPr>
      </w:pPr>
      <w:r w:rsidRPr="005C6730">
        <w:rPr>
          <w:rFonts w:asciiTheme="minorBidi" w:hAnsiTheme="minorBidi"/>
        </w:rPr>
        <w:t xml:space="preserve"> </w:t>
      </w:r>
      <w:r w:rsidRPr="005C6730">
        <w:rPr>
          <w:rStyle w:val="a7"/>
          <w:rFonts w:asciiTheme="minorBidi" w:hAnsiTheme="minorBidi"/>
        </w:rPr>
        <w:footnoteRef/>
      </w:r>
      <w:r w:rsidRPr="00DF6810">
        <w:rPr>
          <w:rFonts w:asciiTheme="minorBidi" w:hAnsiTheme="minorBidi"/>
          <w:sz w:val="16"/>
          <w:szCs w:val="16"/>
          <w:rtl/>
        </w:rPr>
        <w:t xml:space="preserve"> </w:t>
      </w:r>
      <w:r w:rsidRPr="00DF6810">
        <w:rPr>
          <w:rFonts w:asciiTheme="minorBidi" w:hAnsiTheme="minorBidi"/>
          <w:rtl/>
        </w:rPr>
        <w:t>לפי זה אפילו למעשה דרש"י אם הכלי חולב בן יומו צריך ששים נגד כל הכלי, ונראה שהדין כן אפילו אינו מלוכלך בחלב, ואם הכלי אינו בן יומו ויש בו לכלוך צריך ששים נגד הלכלו</w:t>
      </w:r>
      <w:r w:rsidRPr="00DF6810">
        <w:rPr>
          <w:rFonts w:asciiTheme="minorBidi" w:hAnsiTheme="minorBidi" w:hint="cs"/>
          <w:rtl/>
        </w:rPr>
        <w:t>ך,</w:t>
      </w:r>
      <w:r w:rsidRPr="00DF6810">
        <w:rPr>
          <w:rFonts w:asciiTheme="minorBidi" w:hAnsiTheme="minorBidi"/>
          <w:rtl/>
        </w:rPr>
        <w:t xml:space="preserve"> הגשע"ד (סי' יד סק"ג). וכ' הדרכ"מ (אות מ*) דכן הוא לקמן סי' ע (אות י) דלאחר שיעור מליחה אפ"ה מחשיב רותח</w:t>
      </w:r>
      <w:r>
        <w:rPr>
          <w:rFonts w:asciiTheme="minorBidi" w:hAnsiTheme="minorBidi" w:hint="cs"/>
          <w:rtl/>
        </w:rPr>
        <w:t xml:space="preserve">. </w:t>
      </w:r>
      <w:r>
        <w:rPr>
          <w:rFonts w:asciiTheme="minorBidi" w:hAnsiTheme="minorBidi" w:hint="cs"/>
          <w:color w:val="00B0F0"/>
          <w:rtl/>
        </w:rPr>
        <w:t>(</w:t>
      </w:r>
      <w:r w:rsidRPr="00DF6810">
        <w:rPr>
          <w:rFonts w:asciiTheme="minorBidi" w:hAnsiTheme="minorBidi" w:hint="cs"/>
          <w:color w:val="00B0F0"/>
          <w:rtl/>
        </w:rPr>
        <w:t xml:space="preserve">וכ"פ </w:t>
      </w:r>
      <w:r>
        <w:rPr>
          <w:rFonts w:asciiTheme="minorBidi" w:hAnsiTheme="minorBidi" w:hint="cs"/>
          <w:color w:val="00B0F0"/>
          <w:rtl/>
        </w:rPr>
        <w:t>בהג"ה</w:t>
      </w:r>
      <w:r w:rsidRPr="00DF6810">
        <w:rPr>
          <w:rFonts w:asciiTheme="minorBidi" w:hAnsiTheme="minorBidi" w:hint="cs"/>
          <w:color w:val="00B0F0"/>
          <w:rtl/>
        </w:rPr>
        <w:t>)</w:t>
      </w:r>
      <w:r w:rsidRPr="00DF6810">
        <w:rPr>
          <w:rFonts w:asciiTheme="minorBidi" w:hAnsiTheme="minorBidi"/>
          <w:rtl/>
        </w:rPr>
        <w:t xml:space="preserve"> (וכ"פ </w:t>
      </w:r>
      <w:r w:rsidRPr="00DF6810">
        <w:rPr>
          <w:rFonts w:asciiTheme="minorBidi" w:hAnsiTheme="minorBidi" w:hint="cs"/>
          <w:rtl/>
        </w:rPr>
        <w:t>עט"ז</w:t>
      </w:r>
      <w:r w:rsidRPr="00DF6810">
        <w:rPr>
          <w:rFonts w:asciiTheme="minorBidi" w:hAnsiTheme="minorBidi"/>
          <w:rtl/>
        </w:rPr>
        <w:t xml:space="preserve"> וט"ז)</w:t>
      </w:r>
      <w:r>
        <w:rPr>
          <w:rFonts w:asciiTheme="minorBidi" w:hAnsiTheme="minorBidi" w:hint="cs"/>
          <w:rtl/>
        </w:rPr>
        <w:t xml:space="preserve">. </w:t>
      </w:r>
      <w:r w:rsidRPr="005C6730">
        <w:rPr>
          <w:rFonts w:asciiTheme="minorBidi" w:hAnsiTheme="minorBidi"/>
          <w:rtl/>
        </w:rPr>
        <w:t xml:space="preserve">וכ' הב"י- ונראה ממ"ש שם באותה הגהה </w:t>
      </w:r>
      <w:r>
        <w:rPr>
          <w:rFonts w:asciiTheme="minorBidi" w:hAnsiTheme="minorBidi" w:hint="cs"/>
          <w:sz w:val="16"/>
          <w:szCs w:val="16"/>
          <w:rtl/>
        </w:rPr>
        <w:t xml:space="preserve">{הגשע"ד} </w:t>
      </w:r>
      <w:r w:rsidRPr="005C6730">
        <w:rPr>
          <w:rFonts w:asciiTheme="minorBidi" w:hAnsiTheme="minorBidi"/>
          <w:rtl/>
        </w:rPr>
        <w:t>שאם נתן בכלי חולב מעט מים להדיח הבשר שנעשו אותם המים חתיכה דאיסורא וצריך ששים כנגד המים.</w:t>
      </w:r>
    </w:p>
  </w:footnote>
  <w:footnote w:id="273">
    <w:p w14:paraId="3B35902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וכבר כתבתי דנהיגי להחמיר בזה, דרכ"מ (סי' ע אות י).</w:t>
      </w:r>
    </w:p>
  </w:footnote>
  <w:footnote w:id="274">
    <w:p w14:paraId="10E7A7D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דהא דמליח כרותח אמרינן בפרק כל הבשר </w:t>
      </w:r>
      <w:r w:rsidRPr="005C6730">
        <w:rPr>
          <w:rFonts w:asciiTheme="minorBidi" w:hAnsiTheme="minorBidi"/>
          <w:sz w:val="16"/>
          <w:szCs w:val="16"/>
          <w:rtl/>
        </w:rPr>
        <w:t xml:space="preserve">(קיב.) </w:t>
      </w:r>
      <w:r w:rsidRPr="005C6730">
        <w:rPr>
          <w:rFonts w:asciiTheme="minorBidi" w:hAnsiTheme="minorBidi"/>
          <w:rtl/>
        </w:rPr>
        <w:t>אעובדא דבר גוזלא דנפל לכדא דכמכא דהני מילי באינו נאכל מחמת מלחו אבל נאכל מחמת מלחו לא, ומה נקרא אינו נאכל מחמת מלחו כתבו רבינו בסימן צ"א ושם יתבאר בס"ד, ב"י (סוף סי' ע).</w:t>
      </w:r>
    </w:p>
  </w:footnote>
  <w:footnote w:id="275">
    <w:p w14:paraId="221FD3F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הובא בסוף דברי הטור בשם "מצאתי כתוב באגרת תשובה להר"ר יונה".</w:t>
      </w:r>
    </w:p>
  </w:footnote>
  <w:footnote w:id="276">
    <w:p w14:paraId="3A13FFF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טעמו מפני דם בלוע במלח, ב"י.</w:t>
      </w:r>
    </w:p>
  </w:footnote>
  <w:footnote w:id="277">
    <w:p w14:paraId="2C4FF1B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הובא בסוף דברי הטור בשם "מצאתי כתוב באגרת תשובה להר"ר יונה".</w:t>
      </w:r>
    </w:p>
  </w:footnote>
  <w:footnote w:id="278">
    <w:p w14:paraId="11F8AF6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וז"ל- מ"ש ה"ר יונה שאם חתך ממנו בסכין צריך להגעילו ברותחין א"א ליישבו עם מה שנתבאר בסמוך במעשה דרש"י שהתיר שאחר ששהה הבשר במלחו אין דם שבמלח שבו אוסר את הבשר וכ"ש שאינו אוסר את הכלי, אלא צ"ל דלטעמיה אזיל שסובר דבשר שנמלח ועומד עם מלחו לאחר פליטת דם וציר אסור לפי שיש על פניו טיחת דם שנפלט וכן המלח מלוכלך בדם הפליטה וחוזר הוא ובולע מחמת חום המלח ולפיכך צריך ליזהר להדיח הבשר קודם פליטת צירו כמו שיתבאר בסי' שאחר זה בס"ד. ויש לתמוה על רבינו שכ' במעשה שהתיר רש"י סתם ואח"כ כ' דברי ה"ר יונה כאילו אין מחלוקת ביניהם והם רחוקים זה מזה כרחוק מזרח ממערב, ובספר מדוייק מצאתי שלא היה כתוב בו הא דאגרת התשובה וכן נראה שהוא האמת שלא כתבו רבינו אלא איזה תלמיד כתבו מבחוץ וטעה הסופר וכתבו מבפנים. וכ"כ הט"ז (סקמ"ו). וכ' הדרכ"מ (אות מב) ולי נראה דאע"ג דכ' רבינו סתם כדברי רש"י מ"מ אין להוכיח דלא כתב דברי רבינו יונה דאפשר כ' דין זה ללמוד ממנו שאם חתך בסכין קודם ששהה שיעור מליחה ואע"ג דמדברי רבינו יונה משמע דקאי על אחר ששהה שעור מליחה מ"מ לא חשש הטור בזה כי כבר גילה דעתו לעיל שהוא סובר כמעשה דרש"י, א"כ לא בא ללמד רק אם חתך בסכין תוך שיעור מליחה שהסכין נאסר כן נ"ל</w:t>
      </w:r>
      <w:r w:rsidRPr="005C6730">
        <w:rPr>
          <w:rFonts w:asciiTheme="minorBidi" w:hAnsiTheme="minorBidi"/>
          <w:sz w:val="16"/>
          <w:szCs w:val="16"/>
          <w:rtl/>
        </w:rPr>
        <w:t xml:space="preserve"> (אמנם מיד בסמוך </w:t>
      </w:r>
      <w:r w:rsidRPr="005C6730">
        <w:rPr>
          <w:rFonts w:asciiTheme="minorBidi" w:hAnsiTheme="minorBidi"/>
          <w:sz w:val="14"/>
          <w:szCs w:val="14"/>
          <w:rtl/>
        </w:rPr>
        <w:t>{לגבי עיקר הדין- האם מותר לחתוך עם סכין בשר שנמלח ולא הודח}</w:t>
      </w:r>
      <w:r w:rsidRPr="005C6730">
        <w:rPr>
          <w:rFonts w:asciiTheme="minorBidi" w:hAnsiTheme="minorBidi"/>
          <w:sz w:val="16"/>
          <w:szCs w:val="16"/>
          <w:rtl/>
        </w:rPr>
        <w:t xml:space="preserve"> כ' הדרכ"מ שבתרוה"ד (סי' קסב) כ' דמותר, וכ' תרוה"ד דבקצת טופסי יו"ד כתוב לאסור אבל במדוייקים ליתא עכ"ל, והביא הדרכ"מ ראיה לדבריו דהרי לקמן בסי' עו (עמ' שמ) כ' הטור דהסכין מותר אפילו בצלי כל שכן במליחה ומשמע שם דאפילו לכתחלה מותר, עכ"ל הדרכ"מ, </w:t>
      </w:r>
      <w:r w:rsidRPr="005C6730">
        <w:rPr>
          <w:rFonts w:asciiTheme="minorBidi" w:hAnsiTheme="minorBidi"/>
          <w:color w:val="FF0000"/>
          <w:sz w:val="16"/>
          <w:szCs w:val="16"/>
          <w:rtl/>
        </w:rPr>
        <w:t>ונראה דמודה לדברי הב"י</w:t>
      </w:r>
      <w:r w:rsidRPr="005C6730">
        <w:rPr>
          <w:rFonts w:asciiTheme="minorBidi" w:hAnsiTheme="minorBidi"/>
          <w:sz w:val="16"/>
          <w:szCs w:val="16"/>
          <w:rtl/>
        </w:rPr>
        <w:t>)</w:t>
      </w:r>
      <w:r w:rsidRPr="005C6730">
        <w:rPr>
          <w:rFonts w:asciiTheme="minorBidi" w:hAnsiTheme="minorBidi"/>
          <w:rtl/>
        </w:rPr>
        <w:t>.</w:t>
      </w:r>
    </w:p>
  </w:footnote>
  <w:footnote w:id="279">
    <w:p w14:paraId="0C6EE06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תרוה"ד </w:t>
      </w:r>
      <w:r w:rsidRPr="005C6730">
        <w:rPr>
          <w:rFonts w:asciiTheme="minorBidi" w:hAnsiTheme="minorBidi"/>
          <w:sz w:val="16"/>
          <w:szCs w:val="16"/>
          <w:rtl/>
        </w:rPr>
        <w:t xml:space="preserve">(סי' קסב) </w:t>
      </w:r>
      <w:r w:rsidRPr="005C6730">
        <w:rPr>
          <w:rFonts w:asciiTheme="minorBidi" w:hAnsiTheme="minorBidi"/>
          <w:rtl/>
        </w:rPr>
        <w:t xml:space="preserve">הגשע"ד </w:t>
      </w:r>
      <w:r w:rsidRPr="005C6730">
        <w:rPr>
          <w:rFonts w:asciiTheme="minorBidi" w:hAnsiTheme="minorBidi"/>
          <w:sz w:val="16"/>
          <w:szCs w:val="16"/>
          <w:rtl/>
        </w:rPr>
        <w:t xml:space="preserve">(סי' יט סק"ד ד"ה וא"ת הכא) </w:t>
      </w:r>
      <w:r w:rsidRPr="005C6730">
        <w:rPr>
          <w:rFonts w:asciiTheme="minorBidi" w:hAnsiTheme="minorBidi"/>
          <w:rtl/>
        </w:rPr>
        <w:t>ו</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לו דין יד)</w:t>
      </w:r>
      <w:r w:rsidRPr="005C6730">
        <w:rPr>
          <w:rFonts w:asciiTheme="minorBidi" w:hAnsiTheme="minorBidi"/>
          <w:rtl/>
        </w:rPr>
        <w:t>.</w:t>
      </w:r>
    </w:p>
  </w:footnote>
  <w:footnote w:id="280">
    <w:p w14:paraId="14A3E0A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תרוה"ד דבקצת טופסי יורה דעה</w:t>
      </w:r>
      <w:r w:rsidRPr="005C6730">
        <w:rPr>
          <w:rFonts w:asciiTheme="minorBidi" w:hAnsiTheme="minorBidi"/>
          <w:sz w:val="16"/>
          <w:szCs w:val="16"/>
          <w:rtl/>
        </w:rPr>
        <w:t xml:space="preserve"> {היינו טור}</w:t>
      </w:r>
      <w:r w:rsidRPr="005C6730">
        <w:rPr>
          <w:rFonts w:asciiTheme="minorBidi" w:hAnsiTheme="minorBidi"/>
          <w:rtl/>
        </w:rPr>
        <w:t xml:space="preserve"> כתוב לאסור אבל במדוייקים ליתא עכ"ל, וכ' הדרכ"מ (אות מב)- ונ"ל להביא ראיה לדברי תרוה"ד </w:t>
      </w:r>
      <w:r w:rsidRPr="005C6730">
        <w:rPr>
          <w:rFonts w:asciiTheme="minorBidi" w:hAnsiTheme="minorBidi"/>
          <w:sz w:val="16"/>
          <w:szCs w:val="16"/>
          <w:rtl/>
        </w:rPr>
        <w:t xml:space="preserve">(שהוא מהרא"י ז"ל) </w:t>
      </w:r>
      <w:r w:rsidRPr="005C6730">
        <w:rPr>
          <w:rFonts w:asciiTheme="minorBidi" w:hAnsiTheme="minorBidi"/>
          <w:rtl/>
        </w:rPr>
        <w:t>דהרי לקמן בסימן ע"ו (עמ' שמ) כתב הטור דהסכין מותר אפילו בצלי כל שכן במליחה ומשמע שם דאפילו לכתחלה מותר, וכ"כ בתרוה"ד שם.</w:t>
      </w:r>
    </w:p>
  </w:footnote>
  <w:footnote w:id="281">
    <w:p w14:paraId="6DED5B1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אך הסכין צריך הדחה אח"כ, ודוקא בעוד הציר לח על הסכין די לו בהדחה אבל אם נתקשה על הסכין צריך נעיצה בקרקע, </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נ"ח דין ב-ד)</w:t>
      </w:r>
      <w:r w:rsidRPr="005C6730">
        <w:rPr>
          <w:rFonts w:asciiTheme="minorBidi" w:hAnsiTheme="minorBidi"/>
          <w:rtl/>
        </w:rPr>
        <w:t xml:space="preserve">. </w:t>
      </w:r>
      <w:r w:rsidRPr="005C6730">
        <w:rPr>
          <w:rFonts w:asciiTheme="minorBidi" w:hAnsiTheme="minorBidi"/>
          <w:color w:val="00B0F0"/>
          <w:rtl/>
        </w:rPr>
        <w:t>וכ"פ הרמ"א</w:t>
      </w:r>
      <w:r w:rsidRPr="005C6730">
        <w:rPr>
          <w:rFonts w:asciiTheme="minorBidi" w:hAnsiTheme="minorBidi"/>
          <w:rtl/>
        </w:rPr>
        <w:t xml:space="preserve">. וכ' הט"ז (סקמ"ו) שכן הוא לסברת רש"י. </w:t>
      </w:r>
    </w:p>
  </w:footnote>
  <w:footnote w:id="282">
    <w:p w14:paraId="45CBD8E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הה"מ </w:t>
      </w:r>
      <w:r w:rsidRPr="005C6730">
        <w:rPr>
          <w:rFonts w:asciiTheme="minorBidi" w:hAnsiTheme="minorBidi"/>
          <w:sz w:val="16"/>
          <w:szCs w:val="16"/>
          <w:rtl/>
        </w:rPr>
        <w:t>(מאכ"א פ"ו הי"ב)</w:t>
      </w:r>
      <w:r w:rsidRPr="005C6730">
        <w:rPr>
          <w:rFonts w:asciiTheme="minorBidi" w:hAnsiTheme="minorBidi"/>
          <w:rtl/>
        </w:rPr>
        <w:t xml:space="preserve"> על דבריו- דברי תימה הם, שאם דוקא במעלהו מיד הוא שמותר ואם לאו נאסר ה"ל לחכמים לגזור בזה, אלא נראה שאפילו אם בלע המלח מן הדם הכל יוצא ע"י האור, עכ"ל. וכ' הב"י- ולי נראה שאין כאן מקום תימה דכיון דדם שמלחו אינו עובר עליו לא חשו לגזור בו.</w:t>
      </w:r>
    </w:p>
  </w:footnote>
  <w:footnote w:id="283">
    <w:p w14:paraId="384C9FB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וכתבו הטור בסי' עו, ומשמע דה"ר יונה נמי לא איירי אלא בשהה במלחו קצת דאילו במולחו ומיד מעלהו לצלי ודאי שרי, ב"י.</w:t>
      </w:r>
    </w:p>
  </w:footnote>
  <w:footnote w:id="284">
    <w:p w14:paraId="6E98C14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פ"ז סי' כד, כ"כ במהדורת שירת דבורה, אך לא מצאתי כן ברא"ש בכל פרק ז'.</w:t>
      </w:r>
    </w:p>
  </w:footnote>
  <w:footnote w:id="285">
    <w:p w14:paraId="753B42F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התוס'</w:t>
      </w:r>
      <w:r w:rsidRPr="005C6730">
        <w:rPr>
          <w:rFonts w:asciiTheme="minorBidi" w:hAnsiTheme="minorBidi"/>
          <w:sz w:val="14"/>
          <w:szCs w:val="14"/>
          <w:rtl/>
        </w:rPr>
        <w:t xml:space="preserve"> </w:t>
      </w:r>
      <w:r w:rsidRPr="005C6730">
        <w:rPr>
          <w:rFonts w:asciiTheme="minorBidi" w:hAnsiTheme="minorBidi"/>
          <w:rtl/>
        </w:rPr>
        <w:t xml:space="preserve">כתבו </w:t>
      </w:r>
      <w:r w:rsidRPr="005C6730">
        <w:rPr>
          <w:rFonts w:asciiTheme="minorBidi" w:hAnsiTheme="minorBidi"/>
          <w:sz w:val="16"/>
          <w:szCs w:val="16"/>
          <w:rtl/>
        </w:rPr>
        <w:t>(חולין צו: ד"ה אפילו)</w:t>
      </w:r>
      <w:r w:rsidRPr="005C6730">
        <w:rPr>
          <w:rFonts w:asciiTheme="minorBidi" w:hAnsiTheme="minorBidi"/>
          <w:rtl/>
        </w:rPr>
        <w:t xml:space="preserve"> דאין כח באיסור הנבלע בחתיכה לצאת מחתיכה לחתיכה כי אם ע"י רוטב אבל לא ע"י רותח דצלי או דמליחה. ע"כ. וכ' הרא"ש דאפילו לפי דבריהם-...</w:t>
      </w:r>
    </w:p>
  </w:footnote>
  <w:footnote w:id="286">
    <w:p w14:paraId="7D84E1E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רי"ו הביא את דברי ראב"ד תוס' ורא"ש, ומיד בסיום דברי הרא"ש כ'- "ולכך נהגו..." וצל"ע לשון מי זו, רא"ש או רי"ו.</w:t>
      </w:r>
    </w:p>
  </w:footnote>
  <w:footnote w:id="287">
    <w:p w14:paraId="6DDB7BF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וז"ל- לטעמיה אזיל ה"ר יונה שאפילו אחר ששהה כדי מליחה הוא אוסר ציר היוצא ממנו דאילו לסוברים כעובדא דרש"י דבסמוך אחר ששהה כדי מליחה אין ציר היוצא ממנו אוסר כמו שנתבאר.</w:t>
      </w:r>
    </w:p>
  </w:footnote>
  <w:footnote w:id="288">
    <w:p w14:paraId="182E8D5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הטעם דציר היוצא מבשר לאחר ששהה שיעור מליחה אינו אלא מוהל בעלמא, ואע"פ שהמלח שעל הבשר אסור שהדם מעורב בו והמלח נתמחה בציר מ"מ בטל הוא בציר, כ"כ הפוסקים, ש"ך (סקע"ט). </w:t>
      </w:r>
      <w:r w:rsidRPr="005C6730">
        <w:rPr>
          <w:rFonts w:asciiTheme="minorBidi" w:hAnsiTheme="minorBidi"/>
          <w:sz w:val="16"/>
          <w:szCs w:val="16"/>
          <w:rtl/>
        </w:rPr>
        <w:t>(וכ' הט"ז (סקמ"ו) דאין להקשות ממ"ש הטור לעיל ואין חילוק בין מלח במלח דק כו' כי המים שבכלי מבטלין כח המלח כו' משמע דבלא מים הוי רותח אע"פ שעבר שיעור מליחה, י"ל דהתם רוצה להתיר אפילו למאן דפליג אמעש' דרש"י ואוסר כמ"ש המחבר בסמוך מ"מ מודה לעיל כיון שהמים מבטלין המלח וכתבו הטור לרווחא דמלתא שהוא אליבא דכ"ע וכאן כתב והתירו רש"י כלומר שאין זה אליבא דכ"ע. ומו"ח ז"ל פירש טעם מעשה דרש"י לפי שהמוהל הוא היתר ואף שנתערב בו לחלוחית דם ומלח שעל הבשר המוהל מבטל כח המלח ולא חשיב כרותח דמה לי מים מ"ל מוהל והטור לא אתי לעיל אלא לאפוקי היכא דליכא לא מים ולא מוהל אלא מיחוי דם ומלח של איסור גרידא דהוה אסור וכו', ע"כ. ואין זה נייח, דהא התם ג"כ מיירי אחר ששהה שיעור מליחה וכבר הלך לו כל הדם ומה שיוצא אח"כ ג"כ מוהל הוא וכמו הכא. וגם מ"ש בטעם דרש"י שהמוהל מבטל כח המלח הא ודאי ליתא דלאו משום ביטול מתיר רש"י דא"כ היאך מדמה אותו למים אלא דבר ברור שלרש"י אין כאן איסור לגמרי שכבר פסק כחו של מלח בשעת הפליטה, כמו שאכתוב לקמן (סקמ"ז) בשם הרא"ש וסמ"ג או משום שנתייבש או משום שפסק כחו של מלח וא"צ כלל לבטלו ולא תקשה א"כ לרש"י למה לי הדחה אחרונה שאחר המליחה וכן למה אסרו לעיל אם נתבשל בלא הדחה אחרונה ל"ק מידי דודאי המלח עכ"פ אסור מכח דם שבתוכו אלא שאין לו כח לאסור הבשר כיון שנתייבש והוי כמו דם צונן הנדבק בו דצריך הדחה ואין כאן שום דבר רותח שיבליענו בתוך הבשר כי אין כאן אלא מוהל בעלמא ואין לו כח להבליע בבשר כמו שאין למים כח להבליע בבשר וע"ז אמרו בשם רש"י מ"ל מוהל מ"ל מים. וע"כ לרש"י אם חתך בסכין אחר שיעור מליחה א"צ אלא הדחה כיון שאין כאן אלא צונן משא"כ להחולקים עליו בסמוך צריך הגעלה ויפה כתב ב"י שמעשה דרש"י חולק עם אגרת דר' יונה שמביא הטור ולא כדעת מו"ח ז"ל שכתב דאף לרש"י הוא האיסור בחתיכת סכין כמו לר' יונה כיון שיש שם איסור דם ומלח ואין שם מוהל לבטל דזה אינו דאין כוונת רש"י שהמוהל יעשה ההיתר בביטולו האיסור אלא כוונתו דאין המוהל עושה שום איסור ונשאר על הבשר שם צונן)</w:t>
      </w:r>
    </w:p>
  </w:footnote>
  <w:footnote w:id="289">
    <w:p w14:paraId="4CF2074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דס"ל דציר זה הוי כשאר ציר ורותח הוא ונבלע בבשר ומ"מ אינו נבלע יותר מכדי קליפה. וכתוב בת"ח ריש כלל י"ד דאם הדיחו קודם שנתנו לכלי שאינו מנוקב שרי לכ"ע ומשמע שם דאפילו נתמלא אח"כ ציר קאמר,</w:t>
      </w:r>
      <w:r w:rsidRPr="005C6730">
        <w:rPr>
          <w:rFonts w:asciiTheme="minorBidi" w:hAnsiTheme="minorBidi"/>
          <w:color w:val="FF0000"/>
          <w:rtl/>
        </w:rPr>
        <w:t xml:space="preserve"> וכבר נתבאר לעיל סס"ח דבדיעבד סגי אפילו בהדחה א' אחרונה ונ"ל דה"ה הכא, ומשמע דהאוסרין אוסרין אותו מיד אפילו לא שהה בכלי כיון שיש ציר בכלי וכ"כ באו"ה כלל י' דין ט"ז להדיא ע"ש ועיין בסקל"א</w:t>
      </w:r>
      <w:r w:rsidRPr="005C6730">
        <w:rPr>
          <w:rFonts w:asciiTheme="minorBidi" w:hAnsiTheme="minorBidi"/>
          <w:rtl/>
        </w:rPr>
        <w:t>, ש"ך (סק"פ).</w:t>
      </w:r>
    </w:p>
  </w:footnote>
  <w:footnote w:id="290">
    <w:p w14:paraId="7C0DBDC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ואע"ג דהכא ליכא טעמא דפירש ממקום למקום שהרי כבר שהה שיעור מליחה מ"מ לא אמרינן איידי דפליט ציר לא בלע, וכדלקמן סי' ע, כיון שהוא בכלי שאינו מנוקב. ואם יש ששים בבשר שבתוך הציר נגד הציר נחלקו הדעות, לדברי הרמ"א לא מהני' ס' לבטל, דכל מקום דצריך קליפה אין מבטלין בס' וכדלקמן סי' ק"ה. אך לדברי ה</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4"/>
          <w:szCs w:val="14"/>
          <w:rtl/>
        </w:rPr>
        <w:t>(כלל י דין יט)</w:t>
      </w:r>
      <w:r w:rsidRPr="005C6730">
        <w:rPr>
          <w:rFonts w:asciiTheme="minorBidi" w:hAnsiTheme="minorBidi"/>
          <w:rtl/>
        </w:rPr>
        <w:t xml:space="preserve"> ומהרש"ל אם יש במה שבתוך הציר ס' נגד הציר שרי אבל מה שחוץ לציר אין מצטרף לבטל דדם אינו מפעפע למעלה, ע"פ ש"ך (סקפ"א).</w:t>
      </w:r>
    </w:p>
  </w:footnote>
  <w:footnote w:id="291">
    <w:p w14:paraId="363661B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רש"ל דמ"מ אם נתערבה אותה חתיכה באחרות אפי' חד בתרי בטל ובזה יש לסמוך אדברי רש"י, ט"ז</w:t>
      </w:r>
      <w:r w:rsidRPr="005C6730">
        <w:rPr>
          <w:rFonts w:asciiTheme="minorBidi" w:hAnsiTheme="minorBidi"/>
          <w:sz w:val="16"/>
          <w:szCs w:val="16"/>
          <w:rtl/>
        </w:rPr>
        <w:t xml:space="preserve"> (סקמ"ח)</w:t>
      </w:r>
      <w:r w:rsidRPr="005C6730">
        <w:rPr>
          <w:rFonts w:asciiTheme="minorBidi" w:hAnsiTheme="minorBidi"/>
          <w:rtl/>
        </w:rPr>
        <w:t>.</w:t>
      </w:r>
    </w:p>
  </w:footnote>
  <w:footnote w:id="292">
    <w:p w14:paraId="5F4FB55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ואע"ג דמחמירין במוהל שאחר שיעור מליחה היינו דוקא אם המוהל בעין והבשר מונח בתוכו, אבל משום לחלוחית בעלמא שעל הבשר בזה לא נהגו איסור, </w:t>
      </w:r>
      <w:r>
        <w:rPr>
          <w:rFonts w:asciiTheme="minorBidi" w:hAnsiTheme="minorBidi"/>
          <w:rtl/>
        </w:rPr>
        <w:t>או"ה</w:t>
      </w:r>
      <w:r w:rsidRPr="005C6730">
        <w:rPr>
          <w:rFonts w:asciiTheme="minorBidi" w:hAnsiTheme="minorBidi"/>
          <w:rtl/>
        </w:rPr>
        <w:t xml:space="preserve"> (כלל י"ג דין א-ב, הביאו הדרכ"מ סי' ע אות ו ואות י). </w:t>
      </w:r>
    </w:p>
  </w:footnote>
  <w:footnote w:id="293">
    <w:p w14:paraId="0FEDDC1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דהכלי נוח יותר לבלוע מן הבשר שאין לו מקום לצאת, ט"ז (סקמ"ט). והיינו בענין דא"א לקלפו כגון שנפל בו הרבה ציר או שהוא כלי חרס, וכדכ' הרב לקמן סי' צ"א סס"ה, והכי איתא בת"ח כלל י"ג </w:t>
      </w:r>
      <w:r w:rsidRPr="005C6730">
        <w:rPr>
          <w:rFonts w:asciiTheme="minorBidi" w:hAnsiTheme="minorBidi"/>
          <w:sz w:val="16"/>
          <w:szCs w:val="16"/>
          <w:rtl/>
        </w:rPr>
        <w:t>(ועי' בסע' טז בדין קערה שמלח בה בשר, ובס"ק סד)</w:t>
      </w:r>
      <w:r w:rsidRPr="005C6730">
        <w:rPr>
          <w:rFonts w:asciiTheme="minorBidi" w:hAnsiTheme="minorBidi"/>
          <w:rtl/>
        </w:rPr>
        <w:t>, ע"פ ש"ך</w:t>
      </w:r>
      <w:r w:rsidRPr="005C6730">
        <w:rPr>
          <w:rFonts w:asciiTheme="minorBidi" w:hAnsiTheme="minorBidi"/>
          <w:sz w:val="16"/>
          <w:szCs w:val="16"/>
          <w:rtl/>
        </w:rPr>
        <w:t xml:space="preserve"> (סקפ"ב)</w:t>
      </w:r>
      <w:r w:rsidRPr="005C6730">
        <w:rPr>
          <w:rFonts w:asciiTheme="minorBidi" w:hAnsiTheme="minorBidi"/>
          <w:rtl/>
        </w:rPr>
        <w:t>.</w:t>
      </w:r>
    </w:p>
  </w:footnote>
  <w:footnote w:id="294">
    <w:p w14:paraId="3320813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משמע מדברי הרב דכשהכלי אינו מלוכלך אפי' היה בן יומו מותר, וכ"מ מדבריו לעיל סוף ס"ח, וכ"כ בת"ח </w:t>
      </w:r>
      <w:r w:rsidRPr="005C6730">
        <w:rPr>
          <w:rFonts w:asciiTheme="minorBidi" w:hAnsiTheme="minorBidi"/>
          <w:sz w:val="16"/>
          <w:szCs w:val="16"/>
          <w:rtl/>
        </w:rPr>
        <w:t>(סוף כלל י"ד)</w:t>
      </w:r>
      <w:r w:rsidRPr="005C6730">
        <w:rPr>
          <w:rFonts w:asciiTheme="minorBidi" w:hAnsiTheme="minorBidi"/>
          <w:rtl/>
        </w:rPr>
        <w:t xml:space="preserve"> בהדיא, ואע"ג דבהגשע"ד </w:t>
      </w:r>
      <w:r w:rsidRPr="005C6730">
        <w:rPr>
          <w:rFonts w:asciiTheme="minorBidi" w:hAnsiTheme="minorBidi"/>
          <w:sz w:val="16"/>
          <w:szCs w:val="16"/>
          <w:rtl/>
        </w:rPr>
        <w:t xml:space="preserve">(בסוף ש"ז ומביאה ב"י) </w:t>
      </w:r>
      <w:r w:rsidRPr="005C6730">
        <w:rPr>
          <w:rFonts w:asciiTheme="minorBidi" w:hAnsiTheme="minorBidi"/>
          <w:rtl/>
        </w:rPr>
        <w:t xml:space="preserve">שממנה הוציא הר"ב מקור דין זה מבואר שאם הכלי בן יומו צריך ס' נגד כל הכלי, מ"מ היה נראה להרב לפסוק דלא כוותיה בזה כיון דקיי"ל דאין מליחה לכלים, וכ"כ בסי' קה סי"ב בהג"ה דאם נמלח היתר בכלי איסור מותר דאין מליח כרותח כ"כ להפליט מה שבלוע בכלי, וכ"נ להדיא דעת מהרש"ל </w:t>
      </w:r>
      <w:r w:rsidRPr="005C6730">
        <w:rPr>
          <w:rFonts w:asciiTheme="minorBidi" w:hAnsiTheme="minorBidi"/>
          <w:sz w:val="16"/>
          <w:szCs w:val="16"/>
          <w:rtl/>
        </w:rPr>
        <w:t>(פכ"ה סימן פ"ג)</w:t>
      </w:r>
      <w:r w:rsidRPr="005C6730">
        <w:rPr>
          <w:rFonts w:asciiTheme="minorBidi" w:hAnsiTheme="minorBidi"/>
          <w:rtl/>
        </w:rPr>
        <w:t xml:space="preserve">, והוא פשוט, דלא כהעט"ז </w:t>
      </w:r>
      <w:r w:rsidRPr="005C6730">
        <w:rPr>
          <w:rFonts w:asciiTheme="minorBidi" w:hAnsiTheme="minorBidi"/>
          <w:sz w:val="16"/>
          <w:szCs w:val="16"/>
          <w:rtl/>
        </w:rPr>
        <w:t>{וט"ז</w:t>
      </w:r>
      <w:r w:rsidRPr="005C6730">
        <w:rPr>
          <w:rFonts w:asciiTheme="minorBidi" w:hAnsiTheme="minorBidi"/>
          <w:sz w:val="14"/>
          <w:szCs w:val="14"/>
          <w:rtl/>
        </w:rPr>
        <w:t xml:space="preserve"> [סק"נ]</w:t>
      </w:r>
      <w:r w:rsidRPr="005C6730">
        <w:rPr>
          <w:rFonts w:asciiTheme="minorBidi" w:hAnsiTheme="minorBidi"/>
          <w:sz w:val="16"/>
          <w:szCs w:val="16"/>
          <w:rtl/>
        </w:rPr>
        <w:t xml:space="preserve">} </w:t>
      </w:r>
      <w:r w:rsidRPr="005C6730">
        <w:rPr>
          <w:rFonts w:asciiTheme="minorBidi" w:hAnsiTheme="minorBidi"/>
          <w:rtl/>
        </w:rPr>
        <w:t xml:space="preserve">שהעתיק הגשע"ד לפסק הלכה, ותימה עליו שהרי הוא עצמו כ' </w:t>
      </w:r>
      <w:r w:rsidRPr="005C6730">
        <w:rPr>
          <w:rFonts w:asciiTheme="minorBidi" w:hAnsiTheme="minorBidi"/>
          <w:sz w:val="16"/>
          <w:szCs w:val="16"/>
          <w:rtl/>
        </w:rPr>
        <w:t xml:space="preserve">(בסי' ק"ה סי"ג) </w:t>
      </w:r>
      <w:r w:rsidRPr="005C6730">
        <w:rPr>
          <w:rFonts w:asciiTheme="minorBidi" w:hAnsiTheme="minorBidi"/>
          <w:rtl/>
        </w:rPr>
        <w:t xml:space="preserve">דאם מלח בשר בכלי של איסור מותר שאין המלח מפליט האיסור מן הכלי, ומ"ש הר"ב אסור הבשר משמע דאסור כולו קאמר אי ליכא ס' נגד הלכלוך, וכ"כ בת"ח </w:t>
      </w:r>
      <w:r w:rsidRPr="005C6730">
        <w:rPr>
          <w:rFonts w:asciiTheme="minorBidi" w:hAnsiTheme="minorBidi"/>
          <w:sz w:val="16"/>
          <w:szCs w:val="16"/>
          <w:rtl/>
        </w:rPr>
        <w:t>(שם)</w:t>
      </w:r>
      <w:r w:rsidRPr="005C6730">
        <w:rPr>
          <w:rFonts w:asciiTheme="minorBidi" w:hAnsiTheme="minorBidi"/>
          <w:rtl/>
        </w:rPr>
        <w:t>, ש"ך</w:t>
      </w:r>
      <w:r w:rsidRPr="005C6730">
        <w:rPr>
          <w:rFonts w:asciiTheme="minorBidi" w:hAnsiTheme="minorBidi"/>
          <w:sz w:val="16"/>
          <w:szCs w:val="16"/>
          <w:rtl/>
        </w:rPr>
        <w:t xml:space="preserve"> (סקפ"ג)</w:t>
      </w:r>
      <w:r w:rsidRPr="005C6730">
        <w:rPr>
          <w:rFonts w:asciiTheme="minorBidi" w:hAnsiTheme="minorBidi"/>
          <w:rtl/>
        </w:rPr>
        <w:t>.</w:t>
      </w:r>
    </w:p>
  </w:footnote>
  <w:footnote w:id="295">
    <w:p w14:paraId="010A23A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דבכה"ג אפילו לענין לכלוך דחלב אמרינן דהציר לא מחשב רותח, וכן מבואר בסי' צא ס"ה בהג"ה ראשונה, וכן מוכח בתרוה"ד</w:t>
      </w:r>
      <w:r w:rsidRPr="005C6730">
        <w:rPr>
          <w:rFonts w:asciiTheme="minorBidi" w:hAnsiTheme="minorBidi"/>
          <w:sz w:val="16"/>
          <w:szCs w:val="16"/>
          <w:rtl/>
        </w:rPr>
        <w:t xml:space="preserve"> (סי' קנט)</w:t>
      </w:r>
      <w:r w:rsidRPr="005C6730">
        <w:rPr>
          <w:rFonts w:asciiTheme="minorBidi" w:hAnsiTheme="minorBidi"/>
          <w:rtl/>
        </w:rPr>
        <w:t xml:space="preserve"> להדיא, ש"ך (סקפ"ד). והטעם להיתר זה הוא מדברי הרא"ש בתירוצו השני להתיר את הבשר שנזכר בתחילת הסע' </w:t>
      </w:r>
      <w:r w:rsidRPr="005C6730">
        <w:rPr>
          <w:rFonts w:asciiTheme="minorBidi" w:hAnsiTheme="minorBidi"/>
          <w:sz w:val="16"/>
          <w:szCs w:val="16"/>
          <w:rtl/>
        </w:rPr>
        <w:t>(בשר שנמלח ולא הודח ששהא בציר שיצא ממנו)</w:t>
      </w:r>
      <w:r w:rsidRPr="005C6730">
        <w:rPr>
          <w:rFonts w:asciiTheme="minorBidi" w:hAnsiTheme="minorBidi"/>
          <w:rtl/>
        </w:rPr>
        <w:t xml:space="preserve"> דכתב דפסק כח המלח מחמת שהפליט את הדם ומחמת אותו המלח לא יחשב עוד כרותח </w:t>
      </w:r>
      <w:r w:rsidRPr="005C6730">
        <w:rPr>
          <w:rFonts w:asciiTheme="minorBidi" w:hAnsiTheme="minorBidi"/>
          <w:sz w:val="16"/>
          <w:szCs w:val="16"/>
          <w:rtl/>
        </w:rPr>
        <w:t>(ול"ד לבר יונה דנפל לכמכא שהיה נחשב כרותח אם היה הכמכא מלוח הרבה עד שאינו נאכל מחמת מלחו אף שהיה הכותח נמלח מזמן מרובה- דהתם לא פסק כח המלח)</w:t>
      </w:r>
      <w:r w:rsidRPr="005C6730">
        <w:rPr>
          <w:rFonts w:asciiTheme="minorBidi" w:hAnsiTheme="minorBidi"/>
          <w:rtl/>
        </w:rPr>
        <w:t>, וכ"כ הסמ"ג, וכ' על ד' הרא"ש שהוא טעם הגון, ומכח התירוץ הזה פסק בתרוה"ד</w:t>
      </w:r>
      <w:r w:rsidRPr="005C6730">
        <w:rPr>
          <w:rFonts w:asciiTheme="minorBidi" w:hAnsiTheme="minorBidi"/>
          <w:sz w:val="16"/>
          <w:szCs w:val="16"/>
          <w:rtl/>
        </w:rPr>
        <w:t xml:space="preserve"> (סי' קנט) </w:t>
      </w:r>
      <w:r w:rsidRPr="005C6730">
        <w:rPr>
          <w:rFonts w:asciiTheme="minorBidi" w:hAnsiTheme="minorBidi"/>
          <w:rtl/>
        </w:rPr>
        <w:t xml:space="preserve">להתיר, וכ"פ הרמ"א כאן </w:t>
      </w:r>
      <w:r w:rsidRPr="005C6730">
        <w:rPr>
          <w:rFonts w:asciiTheme="minorBidi" w:hAnsiTheme="minorBidi"/>
          <w:sz w:val="16"/>
          <w:szCs w:val="16"/>
          <w:rtl/>
        </w:rPr>
        <w:t>(ועי' בט"ז סקמ"ז דביאר העניין בארוכה)</w:t>
      </w:r>
      <w:r w:rsidRPr="005C6730">
        <w:rPr>
          <w:rFonts w:asciiTheme="minorBidi" w:hAnsiTheme="minorBidi"/>
          <w:rtl/>
        </w:rPr>
        <w:t>.</w:t>
      </w:r>
    </w:p>
  </w:footnote>
  <w:footnote w:id="296">
    <w:p w14:paraId="7D067D21" w14:textId="77777777" w:rsidR="004C5A3C" w:rsidRPr="005C6730" w:rsidRDefault="004C5A3C" w:rsidP="002C39F4">
      <w:pPr>
        <w:pStyle w:val="a5"/>
        <w:rPr>
          <w:rFonts w:asciiTheme="minorBidi" w:hAnsiTheme="minorBidi"/>
          <w:u w:val="single"/>
          <w:rtl/>
        </w:rPr>
      </w:pPr>
      <w:r w:rsidRPr="005C6730">
        <w:rPr>
          <w:rStyle w:val="a7"/>
          <w:rFonts w:asciiTheme="minorBidi" w:hAnsiTheme="minorBidi"/>
        </w:rPr>
        <w:footnoteRef/>
      </w:r>
      <w:r w:rsidRPr="005C6730">
        <w:rPr>
          <w:rFonts w:asciiTheme="minorBidi" w:hAnsiTheme="minorBidi"/>
          <w:rtl/>
        </w:rPr>
        <w:t xml:space="preserve"> </w:t>
      </w:r>
      <w:r w:rsidRPr="005C6730">
        <w:rPr>
          <w:rFonts w:asciiTheme="minorBidi" w:hAnsiTheme="minorBidi"/>
          <w:u w:val="single"/>
          <w:rtl/>
        </w:rPr>
        <w:t>קשה, הא ודאי גם לרש"י צריך הדחה יפה כמו שהוזכר בגמ' ופוסקים, וכ"כ השו"ע בסע' ז:</w:t>
      </w:r>
    </w:p>
    <w:p w14:paraId="7CFB556B" w14:textId="77777777" w:rsidR="004C5A3C" w:rsidRPr="005C6730" w:rsidRDefault="004C5A3C" w:rsidP="002C39F4">
      <w:pPr>
        <w:pStyle w:val="a5"/>
        <w:numPr>
          <w:ilvl w:val="0"/>
          <w:numId w:val="28"/>
        </w:numPr>
        <w:rPr>
          <w:rFonts w:asciiTheme="minorBidi" w:hAnsiTheme="minorBidi"/>
        </w:rPr>
      </w:pPr>
      <w:r w:rsidRPr="005C6730">
        <w:rPr>
          <w:rFonts w:asciiTheme="minorBidi" w:hAnsiTheme="minorBidi"/>
          <w:rtl/>
        </w:rPr>
        <w:t xml:space="preserve">ט"ז </w:t>
      </w:r>
      <w:r w:rsidRPr="005C6730">
        <w:rPr>
          <w:rFonts w:asciiTheme="minorBidi" w:hAnsiTheme="minorBidi"/>
          <w:sz w:val="16"/>
          <w:szCs w:val="16"/>
          <w:rtl/>
        </w:rPr>
        <w:t>(סקנ"ב)</w:t>
      </w:r>
      <w:r w:rsidRPr="005C6730">
        <w:rPr>
          <w:rFonts w:asciiTheme="minorBidi" w:hAnsiTheme="minorBidi"/>
          <w:rtl/>
        </w:rPr>
        <w:t>- יש לדחוק דה"ק, לרש"י א"צ תכף הדחה אחרונה אלא יכול להניחו בכלי שאינו מנוקב וכשירצה לבשלו ידיחנו אז, אבל לסברת החולקים דהוה עדיין רותח צריך תכף להדיחו קודם שיניחנו בכשא"מ, ולא ישימנו בכשא"מ עד לאחר ההדחה שימלחנו שנית כדמסיק אח"כ, אלא דאין לשון השו"ע מורה על זה.</w:t>
      </w:r>
    </w:p>
    <w:p w14:paraId="5108EDF8" w14:textId="77777777" w:rsidR="004C5A3C" w:rsidRPr="005C6730" w:rsidRDefault="004C5A3C" w:rsidP="002C39F4">
      <w:pPr>
        <w:pStyle w:val="a5"/>
        <w:numPr>
          <w:ilvl w:val="0"/>
          <w:numId w:val="28"/>
        </w:numPr>
        <w:rPr>
          <w:rFonts w:asciiTheme="minorBidi" w:hAnsiTheme="minorBidi"/>
        </w:rPr>
      </w:pPr>
      <w:r w:rsidRPr="005C6730">
        <w:rPr>
          <w:rFonts w:asciiTheme="minorBidi" w:hAnsiTheme="minorBidi"/>
          <w:rtl/>
        </w:rPr>
        <w:t xml:space="preserve">ש"ך </w:t>
      </w:r>
      <w:r w:rsidRPr="005C6730">
        <w:rPr>
          <w:rFonts w:asciiTheme="minorBidi" w:hAnsiTheme="minorBidi"/>
          <w:sz w:val="16"/>
          <w:szCs w:val="16"/>
          <w:rtl/>
        </w:rPr>
        <w:t>(סקפ"ה)</w:t>
      </w:r>
      <w:r w:rsidRPr="005C6730">
        <w:rPr>
          <w:rFonts w:asciiTheme="minorBidi" w:hAnsiTheme="minorBidi"/>
          <w:rtl/>
        </w:rPr>
        <w:t xml:space="preserve">- נראה דכוונת המחבר לומר דכיון דדעת היש מי שאוסר הוא דס"ל דציר היוצא מבשר מליח לאחר שיעור מליחתו רותח הוא וחשיב דם ולא מוהל ונבלע בבשר א"כ אסור לאכול ממנו עד שידיחנו יפה יפה מיד קודם פליטת כל צירו </w:t>
      </w:r>
      <w:r w:rsidRPr="005C6730">
        <w:rPr>
          <w:rFonts w:asciiTheme="minorBidi" w:hAnsiTheme="minorBidi"/>
          <w:sz w:val="16"/>
          <w:szCs w:val="16"/>
          <w:rtl/>
        </w:rPr>
        <w:t>(וכמ"ש לקמן סי' ע ס"ה מהאי טעמא, וכמו שיתבאר שם</w:t>
      </w:r>
      <w:r w:rsidRPr="005C6730">
        <w:rPr>
          <w:rFonts w:asciiTheme="minorBidi" w:hAnsiTheme="minorBidi"/>
          <w:sz w:val="14"/>
          <w:szCs w:val="14"/>
          <w:rtl/>
        </w:rPr>
        <w:t xml:space="preserve"> {סקכ"ד}</w:t>
      </w:r>
      <w:r w:rsidRPr="005C6730">
        <w:rPr>
          <w:rFonts w:asciiTheme="minorBidi" w:hAnsiTheme="minorBidi"/>
          <w:sz w:val="16"/>
          <w:szCs w:val="16"/>
          <w:rtl/>
        </w:rPr>
        <w:t>, וכן מוכח בב"י ס"ס זה ד"ה ומ"ש הר"ר יונה כו')</w:t>
      </w:r>
      <w:r w:rsidRPr="005C6730">
        <w:rPr>
          <w:rFonts w:asciiTheme="minorBidi" w:hAnsiTheme="minorBidi"/>
          <w:rtl/>
        </w:rPr>
        <w:t>.</w:t>
      </w:r>
    </w:p>
    <w:p w14:paraId="5E9E25EC" w14:textId="77777777" w:rsidR="004C5A3C" w:rsidRPr="000E1BBB" w:rsidRDefault="004C5A3C" w:rsidP="002C39F4">
      <w:pPr>
        <w:pStyle w:val="a5"/>
        <w:numPr>
          <w:ilvl w:val="0"/>
          <w:numId w:val="28"/>
        </w:numPr>
        <w:rPr>
          <w:rFonts w:asciiTheme="minorBidi" w:hAnsiTheme="minorBidi"/>
        </w:rPr>
      </w:pPr>
      <w:r w:rsidRPr="005C6730">
        <w:rPr>
          <w:rFonts w:asciiTheme="minorBidi" w:hAnsiTheme="minorBidi"/>
          <w:rtl/>
        </w:rPr>
        <w:t xml:space="preserve">ש"ך </w:t>
      </w:r>
      <w:r w:rsidRPr="005C6730">
        <w:rPr>
          <w:rFonts w:asciiTheme="minorBidi" w:hAnsiTheme="minorBidi"/>
          <w:sz w:val="16"/>
          <w:szCs w:val="16"/>
          <w:rtl/>
        </w:rPr>
        <w:t>(שם תרוץ ב)</w:t>
      </w:r>
      <w:r w:rsidRPr="005C6730">
        <w:rPr>
          <w:rFonts w:asciiTheme="minorBidi" w:hAnsiTheme="minorBidi"/>
          <w:rtl/>
        </w:rPr>
        <w:t>- עוד י"ל דודאי טעם הדחה לאחר מליחה הוא משום הלחלוחית ומלח שעליו, ולפ"ז כשחתכו מכל צדדים מותר לאכלו בלא הדחה, אבל לסברא זו דהציר קודם ההדחה חשיב דם א"כ לעולם צריך הדחה להסתים נקבי הפליטה.</w:t>
      </w:r>
    </w:p>
  </w:footnote>
  <w:footnote w:id="297">
    <w:p w14:paraId="7421BEF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היינו דוקא לסברא האחרונה, אבל לפי מה שפסק המחבר דלכתחילה יש לחוש לדבריו ובדיעבד שרי א"כ אינו אסור אלא לחתוך לכתחלה אבל אם חתך א"צ הגעלה, ש"ך (סקפ"ו).</w:t>
      </w:r>
    </w:p>
  </w:footnote>
  <w:footnote w:id="298">
    <w:p w14:paraId="4DA85A6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אפילו איכא גומות בסכין, כי ע"י הולכת והבאת סכין בבשר מתקנח הלכלוך זה מן הגומות, כ"כ מהרא"י בתרוה"ד</w:t>
      </w:r>
      <w:r w:rsidRPr="005C6730">
        <w:rPr>
          <w:rFonts w:asciiTheme="minorBidi" w:hAnsiTheme="minorBidi"/>
          <w:sz w:val="16"/>
          <w:szCs w:val="16"/>
          <w:rtl/>
        </w:rPr>
        <w:t xml:space="preserve"> (סי' קסב)</w:t>
      </w:r>
      <w:r w:rsidRPr="005C6730">
        <w:rPr>
          <w:rFonts w:asciiTheme="minorBidi" w:hAnsiTheme="minorBidi"/>
          <w:rtl/>
        </w:rPr>
        <w:t xml:space="preserve"> ובהגשע"ד</w:t>
      </w:r>
      <w:r w:rsidRPr="005C6730">
        <w:rPr>
          <w:rFonts w:asciiTheme="minorBidi" w:hAnsiTheme="minorBidi"/>
          <w:sz w:val="16"/>
          <w:szCs w:val="16"/>
          <w:rtl/>
        </w:rPr>
        <w:t xml:space="preserve"> (ש"ט)</w:t>
      </w:r>
      <w:r w:rsidRPr="005C6730">
        <w:rPr>
          <w:rFonts w:asciiTheme="minorBidi" w:hAnsiTheme="minorBidi"/>
          <w:rtl/>
        </w:rPr>
        <w:t xml:space="preserve"> ומביאו הרב בת"ח </w:t>
      </w:r>
      <w:r w:rsidRPr="005C6730">
        <w:rPr>
          <w:rFonts w:asciiTheme="minorBidi" w:hAnsiTheme="minorBidi"/>
          <w:sz w:val="16"/>
          <w:szCs w:val="16"/>
          <w:rtl/>
        </w:rPr>
        <w:t>(סוף כלל יז)</w:t>
      </w:r>
      <w:r w:rsidRPr="005C6730">
        <w:rPr>
          <w:rFonts w:asciiTheme="minorBidi" w:hAnsiTheme="minorBidi"/>
          <w:rtl/>
        </w:rPr>
        <w:t xml:space="preserve">. ומהרש"ל </w:t>
      </w:r>
      <w:r w:rsidRPr="005C6730">
        <w:rPr>
          <w:rFonts w:asciiTheme="minorBidi" w:hAnsiTheme="minorBidi"/>
          <w:sz w:val="16"/>
          <w:szCs w:val="16"/>
          <w:rtl/>
        </w:rPr>
        <w:t xml:space="preserve">(באוה"ש ש"ט) </w:t>
      </w:r>
      <w:r w:rsidRPr="005C6730">
        <w:rPr>
          <w:rFonts w:asciiTheme="minorBidi" w:hAnsiTheme="minorBidi"/>
          <w:rtl/>
        </w:rPr>
        <w:t>פסק דלכתחלה יש להגעילו ובדיעבד מותר אם קנחו בדבר קשה והמחמיר לאסור בלא הגעלה תע"ב והיינו דוקא לעצמו אבל לאחרים יש להורות להתיר בדיעבד אף אם לא קנחו וחתך בו רותח עכ"ד. וכן אם חתך בצלי שלא נצלה כל צרכו פסק ג"כ הכי, ועי' בסי' ע"ו ס"ד, ש"ך (סקפ"ז).</w:t>
      </w:r>
    </w:p>
  </w:footnote>
  <w:footnote w:id="299">
    <w:p w14:paraId="4EA11CA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דהדם מישרק שריק ואינו נבלע בסכין וכ"כ בת"ח סוף כלל י"ז אבל ודאי יש מליחה לכלים לענין שבולע שפיר ע"י מליחה היכא דליכא טעמא דמשריק שריק ומה"ט נאסר כלי שא"מ שנמלח בו, ש"ך (סקפ"ח).</w:t>
      </w:r>
    </w:p>
  </w:footnote>
  <w:footnote w:id="300">
    <w:p w14:paraId="15D5EAF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משמע דאפילו לכתחלה מתיר לחתוך, וכ"כ בת"ח שם להדיא, ותימה כיון דהסכין צריך הדחה אח"כ וכדמסיק א"כ אמאי לא חיישינן דלמא ישכח להדיחו, וכדלקמן ר"ס צ"א דאסור להניח היתר צונן שאין דרכו להדיח בקערה של איסור צונן דילמא אכיל בלא הדחה וסכין דבר שאין דרכו להדיח הוא כדלקמן סי' צ"ה סק"א, ודוחק לומר דשאני הכא כיון שאין גוף המאכל צריך הדחה אלא דאיכא למיחש שמא יחתוך אח"כ בלא הדחה- דהא הך דלקמן סי' צ"א מדברי הרשב"א הוא, והרשב"א כ' דבכלי של היתר נמי דינא הכי כמ"ש שם בסק"ב, ואפ"ל דדוקא גבי כלי חיישינן דילמא משתלי להדיח משא"כ בסכין דהאיסור שע"ג נראה לעין ואם ירצה להשתמש בו יראה לעינים הדם שע"ג וידיחו, א"נ שאני הכא כיון דמדינא ליכא איסורא לאחר ששהה שיעור מליחה לרוב הפוסקים, ש"ך (סקפ"ט).</w:t>
      </w:r>
    </w:p>
  </w:footnote>
  <w:footnote w:id="301">
    <w:p w14:paraId="4AA408E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מיהו בסכין של איסור משמע בת"ח שם דאסור לכתח' לחתוך בו בשר ובדיע' מותר </w:t>
      </w:r>
      <w:r w:rsidRPr="005C6730">
        <w:rPr>
          <w:rFonts w:asciiTheme="minorBidi" w:hAnsiTheme="minorBidi"/>
          <w:sz w:val="14"/>
          <w:szCs w:val="14"/>
          <w:rtl/>
        </w:rPr>
        <w:t>(ודמי למאי דלקמן סי' קה סי"ב בהג"ה)</w:t>
      </w:r>
      <w:r w:rsidRPr="005C6730">
        <w:rPr>
          <w:rFonts w:asciiTheme="minorBidi" w:hAnsiTheme="minorBidi"/>
          <w:rtl/>
        </w:rPr>
        <w:t xml:space="preserve">, ש"ך </w:t>
      </w:r>
      <w:r w:rsidRPr="005C6730">
        <w:rPr>
          <w:rFonts w:asciiTheme="minorBidi" w:hAnsiTheme="minorBidi"/>
          <w:sz w:val="16"/>
          <w:szCs w:val="16"/>
          <w:rtl/>
        </w:rPr>
        <w:t>(סקפ"ט)</w:t>
      </w:r>
      <w:r w:rsidRPr="005C6730">
        <w:rPr>
          <w:rFonts w:asciiTheme="minorBidi" w:hAnsiTheme="minorBidi"/>
          <w:rtl/>
        </w:rPr>
        <w:t>.</w:t>
      </w:r>
    </w:p>
  </w:footnote>
  <w:footnote w:id="302">
    <w:p w14:paraId="11F76E5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אף שעדיין לא נתיבשה הציר עליו, וכ"כ בדרכ"מ ובת"ח שם, ש"ך (סק"צ).</w:t>
      </w:r>
    </w:p>
  </w:footnote>
  <w:footnote w:id="303">
    <w:p w14:paraId="5C50342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משמע דהסכין מותר אפילו תוך שיעור מליחה, וכ"כ בת"ח מטעם דם מישרק שריק, וקשה דהא גבי כלי מנוקב ג"כ מותר מטעם זה כמ"ש סעי' י"ז (סקמ"ב) ואפ"ה אסר רמ"א שם לכתחלה מאי שנא מסכין, ט"ז (סקנ"ג). אך הש"ך (נה"כ) כ' דלא קשה מידי דשאני התם שנמלח ממש בכלי.</w:t>
      </w:r>
    </w:p>
  </w:footnote>
  <w:footnote w:id="304">
    <w:p w14:paraId="0BED996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זה נמשך ג"כ לסברא האחרונה הנ"ל ולפי מה שפסק המחבר דלכתחלה יש לחוש לה, ש"ך (סקצ"ב).</w:t>
      </w:r>
    </w:p>
  </w:footnote>
  <w:footnote w:id="305">
    <w:p w14:paraId="3521F694" w14:textId="77777777" w:rsidR="004C5A3C" w:rsidRDefault="004C5A3C" w:rsidP="002C39F4">
      <w:pPr>
        <w:pStyle w:val="a5"/>
      </w:pPr>
      <w:r>
        <w:rPr>
          <w:rStyle w:val="a7"/>
        </w:rPr>
        <w:footnoteRef/>
      </w:r>
      <w:r>
        <w:rPr>
          <w:rtl/>
        </w:rPr>
        <w:t xml:space="preserve"> </w:t>
      </w:r>
      <w:r>
        <w:rPr>
          <w:rFonts w:hint="cs"/>
          <w:rtl/>
        </w:rPr>
        <w:t>ברשב"א נכתב קצת אחרת- "</w:t>
      </w:r>
      <w:r w:rsidRPr="000E1BBB">
        <w:rPr>
          <w:rFonts w:cs="Arial"/>
          <w:rtl/>
        </w:rPr>
        <w:t>בשרא דלית ביה מלחא</w:t>
      </w:r>
      <w:r>
        <w:rPr>
          <w:rFonts w:cs="Arial" w:hint="cs"/>
          <w:rtl/>
        </w:rPr>
        <w:t>".</w:t>
      </w:r>
    </w:p>
  </w:footnote>
  <w:footnote w:id="306">
    <w:p w14:paraId="72FD6B8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הטור כ' וז"ל- במקום שאין מלח מצוי יצלו הבשר עד חצי צלייתו ואח"כ יבשלוהו, ע"כ. והב"י הבין שמקור דברי הטור הם מההג"א, ולכן כ' הב"י </w:t>
      </w:r>
      <w:r w:rsidRPr="005C6730">
        <w:rPr>
          <w:rFonts w:asciiTheme="minorBidi" w:hAnsiTheme="minorBidi"/>
          <w:sz w:val="16"/>
          <w:szCs w:val="16"/>
          <w:rtl/>
        </w:rPr>
        <w:t>(דכיון דכ' ההג"א "עד שיזוב כל דמו" והטור כ' "עד חצי צלייתו")</w:t>
      </w:r>
      <w:r w:rsidRPr="005C6730">
        <w:rPr>
          <w:rFonts w:asciiTheme="minorBidi" w:hAnsiTheme="minorBidi"/>
          <w:rtl/>
        </w:rPr>
        <w:t xml:space="preserve"> דמשמע לטור שבחצי צלייתו זב כל דמו. והשיג היד אברהם </w:t>
      </w:r>
      <w:r w:rsidRPr="005C6730">
        <w:rPr>
          <w:rFonts w:asciiTheme="minorBidi" w:hAnsiTheme="minorBidi"/>
          <w:sz w:val="16"/>
          <w:szCs w:val="16"/>
          <w:rtl/>
        </w:rPr>
        <w:t xml:space="preserve">(הובא באוצר מפרשים) </w:t>
      </w:r>
      <w:r w:rsidRPr="005C6730">
        <w:rPr>
          <w:rFonts w:asciiTheme="minorBidi" w:hAnsiTheme="minorBidi"/>
          <w:rtl/>
        </w:rPr>
        <w:t>על הב"י שלא ראה את דברי הרשב"א והרא"ש הנ"ל דשם מפורש כדברי הטור.</w:t>
      </w:r>
      <w:r w:rsidRPr="005C6730">
        <w:rPr>
          <w:rFonts w:asciiTheme="minorBidi" w:hAnsiTheme="minorBidi"/>
          <w:color w:val="FF0000"/>
          <w:rtl/>
        </w:rPr>
        <w:t xml:space="preserve"> (בקיצור פסקי הרא"ש כ' הטור שיצלה עד שליש בישול, וצל"ע)</w:t>
      </w:r>
    </w:p>
  </w:footnote>
  <w:footnote w:id="307">
    <w:p w14:paraId="7F12D2C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וז"ל- כשצולים יונים וכיוצא בהם שרגילים לטגן במחבת אח"כ קודם שיצלו כל צרכן- צריך למלוח ולשהות כדי מליחה לקדרה לפי שמטגנים אותם קודם גמר צלייתם. </w:t>
      </w:r>
      <w:r w:rsidRPr="005C6730">
        <w:rPr>
          <w:rFonts w:asciiTheme="minorBidi" w:hAnsiTheme="minorBidi"/>
          <w:sz w:val="16"/>
          <w:szCs w:val="16"/>
          <w:rtl/>
        </w:rPr>
        <w:t xml:space="preserve">(וכ' הדרכ"מ (אות מא) וז"ל- ואיני יודע אי ר"ל הואיל ודרכן לטגנן צריך למלחן קודם כל צלייה אע"פ שאין דעתו עכשיו לטגנן דחיישינן שמא ימלך ויטגנן הואיל ודרכן בכך או אי ר"ל אם דעתו לטגנן עכשיו ולכן צריך למלחן קודם הצלייה דדרכן לטגנן קודם גמר צלייה, וצ"ע, ולקמן סי' עו </w:t>
      </w:r>
      <w:r w:rsidRPr="005C6730">
        <w:rPr>
          <w:rFonts w:asciiTheme="minorBidi" w:hAnsiTheme="minorBidi"/>
          <w:sz w:val="12"/>
          <w:szCs w:val="12"/>
          <w:rtl/>
        </w:rPr>
        <w:t>(אות ב, ובארוך סוף אות א)</w:t>
      </w:r>
      <w:r w:rsidRPr="005C6730">
        <w:rPr>
          <w:rFonts w:asciiTheme="minorBidi" w:hAnsiTheme="minorBidi"/>
          <w:sz w:val="16"/>
          <w:szCs w:val="16"/>
          <w:rtl/>
        </w:rPr>
        <w:t xml:space="preserve"> כתבתי דמיירי דוקא כשרוצה לטגנן)</w:t>
      </w:r>
    </w:p>
  </w:footnote>
  <w:footnote w:id="308">
    <w:p w14:paraId="102C700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בד"א במולח בשר עם בשר ואפילו בשר שור עם בשר גדיים וטלאים ואפילו עם עופות שאי אפשר לגדיים וטלאים ואפילו לעופות לגמור כל פליטת צירן עד שיגמור בשר שור לפלוט את דמו </w:t>
      </w:r>
      <w:r w:rsidRPr="005C6730">
        <w:rPr>
          <w:rFonts w:asciiTheme="minorBidi" w:hAnsiTheme="minorBidi"/>
          <w:sz w:val="16"/>
          <w:szCs w:val="16"/>
          <w:rtl/>
        </w:rPr>
        <w:t xml:space="preserve">(רשב"א </w:t>
      </w:r>
      <w:r w:rsidRPr="005C6730">
        <w:rPr>
          <w:rFonts w:asciiTheme="minorBidi" w:hAnsiTheme="minorBidi"/>
          <w:sz w:val="14"/>
          <w:szCs w:val="14"/>
          <w:rtl/>
        </w:rPr>
        <w:t>[בתוה"ב קצר ב"ג ש"ג עב.]</w:t>
      </w:r>
      <w:r w:rsidRPr="005C6730">
        <w:rPr>
          <w:rFonts w:asciiTheme="minorBidi" w:hAnsiTheme="minorBidi"/>
          <w:sz w:val="16"/>
          <w:szCs w:val="16"/>
          <w:rtl/>
        </w:rPr>
        <w:t xml:space="preserve"> וטור)</w:t>
      </w:r>
      <w:r w:rsidRPr="005C6730">
        <w:rPr>
          <w:rFonts w:asciiTheme="minorBidi" w:hAnsiTheme="minorBidi"/>
          <w:rtl/>
        </w:rPr>
        <w:t>, אבל דין דגים עם בשר יתבאר לקמן.</w:t>
      </w:r>
    </w:p>
  </w:footnote>
  <w:footnote w:id="309">
    <w:p w14:paraId="13D1EF9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זוהי קושיית התוס' </w:t>
      </w:r>
      <w:r w:rsidRPr="005C6730">
        <w:rPr>
          <w:rFonts w:asciiTheme="minorBidi" w:hAnsiTheme="minorBidi"/>
          <w:sz w:val="16"/>
          <w:szCs w:val="16"/>
          <w:rtl/>
        </w:rPr>
        <w:t>(קיב: ד"ה ודגים)</w:t>
      </w:r>
      <w:r w:rsidRPr="005C6730">
        <w:rPr>
          <w:rFonts w:asciiTheme="minorBidi" w:hAnsiTheme="minorBidi"/>
          <w:rtl/>
        </w:rPr>
        <w:t xml:space="preserve"> על דברי רש"י, וז"ל- ולפירושו תימה כשמולחין הרבה חתיכות יחד זו אחר זו ומניחין שניה על הראשונה וכן שלישית וכן רביעית אפילו יש כמה חתיכות אף על פי שהראשונה גומרת פליטתה תחלה.</w:t>
      </w:r>
    </w:p>
  </w:footnote>
  <w:footnote w:id="310">
    <w:p w14:paraId="77E15F2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דמעשים בכל יום דמוצאים גומות בחתיכות התחתונות מליאות ציר ונוהגים בדבר היתר, תוס'. וכ"פ ב</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י דין כא)</w:t>
      </w:r>
      <w:r w:rsidRPr="005C6730">
        <w:rPr>
          <w:rFonts w:asciiTheme="minorBidi" w:hAnsiTheme="minorBidi"/>
          <w:rtl/>
        </w:rPr>
        <w:t>, וכ"כ רא"ם</w:t>
      </w:r>
      <w:r w:rsidRPr="005C6730">
        <w:rPr>
          <w:rFonts w:asciiTheme="minorBidi" w:hAnsiTheme="minorBidi"/>
          <w:sz w:val="16"/>
          <w:szCs w:val="16"/>
          <w:rtl/>
        </w:rPr>
        <w:t xml:space="preserve"> (יראים סי' מח ד"ה ומקומות, הביאו בדרכ"מ (סי' סט אות מ))</w:t>
      </w:r>
      <w:r w:rsidRPr="005C6730">
        <w:rPr>
          <w:rFonts w:asciiTheme="minorBidi" w:hAnsiTheme="minorBidi"/>
          <w:rtl/>
        </w:rPr>
        <w:t xml:space="preserve"> דאפילו צלעות של איל וכבש שלמים או בשר שיש לו בית קבול ונמצא בו ציר מותר, אך לכתחלה טוב להפוך הצלעות וכל בית קיבול החתיכות כדי שיזוב הדם עכ"ל. </w:t>
      </w:r>
      <w:r w:rsidRPr="005C6730">
        <w:rPr>
          <w:rFonts w:asciiTheme="minorBidi" w:hAnsiTheme="minorBidi"/>
          <w:color w:val="00B0F0"/>
          <w:rtl/>
        </w:rPr>
        <w:t>(וכ"פ הרמ"א)</w:t>
      </w:r>
    </w:p>
  </w:footnote>
  <w:footnote w:id="311">
    <w:p w14:paraId="1C0C393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התוס'- ולפי אותן שני טעמים שפירשתי </w:t>
      </w:r>
      <w:r w:rsidRPr="005C6730">
        <w:rPr>
          <w:rFonts w:asciiTheme="minorBidi" w:hAnsiTheme="minorBidi"/>
          <w:sz w:val="16"/>
          <w:szCs w:val="16"/>
          <w:rtl/>
        </w:rPr>
        <w:t>{היינו תירוץ ראשון ושני}</w:t>
      </w:r>
      <w:r w:rsidRPr="005C6730">
        <w:rPr>
          <w:rFonts w:asciiTheme="minorBidi" w:hAnsiTheme="minorBidi"/>
          <w:rtl/>
        </w:rPr>
        <w:t xml:space="preserve"> דכל זמן שהתחתונה פולטת ציר בולעת ופולטת דם העליונות עם ציר שלה או כל זמן שפתוחה לפלוט בולעת ופולטת צריך להמתין לתחתונה עד שתשהה העליונה שיעור צלייה שעד אותה שעה אין התחתונה יוצאת מידי דמה</w:t>
      </w:r>
      <w:r w:rsidRPr="005C6730">
        <w:rPr>
          <w:rFonts w:asciiTheme="minorBidi" w:hAnsiTheme="minorBidi"/>
          <w:sz w:val="16"/>
          <w:szCs w:val="16"/>
          <w:rtl/>
        </w:rPr>
        <w:t xml:space="preserve"> {ולכן הביא את התירוץ השלישי דלקמן}</w:t>
      </w:r>
      <w:r w:rsidRPr="005C6730">
        <w:rPr>
          <w:rFonts w:asciiTheme="minorBidi" w:hAnsiTheme="minorBidi"/>
          <w:rtl/>
        </w:rPr>
        <w:t>.</w:t>
      </w:r>
    </w:p>
  </w:footnote>
  <w:footnote w:id="312">
    <w:p w14:paraId="1BFB583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זו שאלת התוס', וז"ל- וא"ת נהי דלפי שני הטעמים האלו אין לאסור מחמת פליטת חתיכה העליונה מ"מ נאסור מחמת דם הבלוע במלח שבין חתיכה לחתיכה שנמחה בציר שבגומות אחר פליטת כל הדם והציר דבשלמא בכל חתיכה מלוחה דעלמא אין המלח שעליה אוסרה לפי שמועט הוא הדם הבלוע במלח ואינו יכול עוד לזוז משם כלל אבל כאן שנמחה המלח בציר שבגומא ונעשה צלול היה לו לדם זה לאסור כדי קליפה.</w:t>
      </w:r>
    </w:p>
  </w:footnote>
  <w:footnote w:id="313">
    <w:p w14:paraId="1474AF3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ולפי אותן השני טעמים שפירשתי דכל זמן שהתחתונה פולטת ציר בולעת ופולטת דם העליונות עם ציר שלה אז כל זמן שפתוחה לפלוט בולעת ופולטת צריך להמתין לתחתונה עד שתשהה העליונה שיעור צליה שעד אותה שעה אין התחתונה יוצאת מידי דמה, ומיהו-...</w:t>
      </w:r>
    </w:p>
  </w:footnote>
  <w:footnote w:id="314">
    <w:p w14:paraId="5B71C9E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ומ</w:t>
      </w:r>
      <w:r>
        <w:rPr>
          <w:rFonts w:asciiTheme="minorBidi" w:hAnsiTheme="minorBidi" w:hint="cs"/>
          <w:rtl/>
        </w:rPr>
        <w:t>"מ</w:t>
      </w:r>
      <w:r w:rsidRPr="005C6730">
        <w:rPr>
          <w:rFonts w:asciiTheme="minorBidi" w:hAnsiTheme="minorBidi"/>
          <w:rtl/>
        </w:rPr>
        <w:t xml:space="preserve"> בשר שבתוך הציר כגון בכלי שאינו מנוקב אין להתיר מטעם זה דאין לו שם כח לפלוט מחמת שהוא שקוע בתוך הציר ובולע, תוס'. וכל זה </w:t>
      </w:r>
      <w:r w:rsidRPr="005C6730">
        <w:rPr>
          <w:rFonts w:asciiTheme="minorBidi" w:hAnsiTheme="minorBidi"/>
          <w:sz w:val="16"/>
          <w:szCs w:val="16"/>
          <w:rtl/>
        </w:rPr>
        <w:t xml:space="preserve">{מהקושיה על דברי רש"י עד התירוץ האחרון} </w:t>
      </w:r>
      <w:r w:rsidRPr="005C6730">
        <w:rPr>
          <w:rFonts w:asciiTheme="minorBidi" w:hAnsiTheme="minorBidi"/>
          <w:rtl/>
        </w:rPr>
        <w:t xml:space="preserve">כתב הרא"ש </w:t>
      </w:r>
      <w:r w:rsidRPr="005C6730">
        <w:rPr>
          <w:rFonts w:asciiTheme="minorBidi" w:hAnsiTheme="minorBidi"/>
          <w:sz w:val="16"/>
          <w:szCs w:val="16"/>
          <w:rtl/>
        </w:rPr>
        <w:t>(סי' לז)</w:t>
      </w:r>
      <w:r w:rsidRPr="005C6730">
        <w:rPr>
          <w:rFonts w:asciiTheme="minorBidi" w:hAnsiTheme="minorBidi"/>
          <w:rtl/>
        </w:rPr>
        <w:t xml:space="preserve">. וגם המרדכי </w:t>
      </w:r>
      <w:r w:rsidRPr="005C6730">
        <w:rPr>
          <w:rFonts w:asciiTheme="minorBidi" w:hAnsiTheme="minorBidi"/>
          <w:sz w:val="16"/>
          <w:szCs w:val="16"/>
          <w:rtl/>
        </w:rPr>
        <w:t xml:space="preserve">(סי' תשכז) </w:t>
      </w:r>
      <w:r w:rsidRPr="005C6730">
        <w:rPr>
          <w:rFonts w:asciiTheme="minorBidi" w:hAnsiTheme="minorBidi"/>
          <w:rtl/>
        </w:rPr>
        <w:t xml:space="preserve">והגה"מ </w:t>
      </w:r>
      <w:r w:rsidRPr="005C6730">
        <w:rPr>
          <w:rFonts w:asciiTheme="minorBidi" w:hAnsiTheme="minorBidi"/>
          <w:sz w:val="16"/>
          <w:szCs w:val="16"/>
          <w:rtl/>
        </w:rPr>
        <w:t xml:space="preserve">(פ"ו אות ס) </w:t>
      </w:r>
      <w:r w:rsidRPr="005C6730">
        <w:rPr>
          <w:rFonts w:asciiTheme="minorBidi" w:hAnsiTheme="minorBidi"/>
          <w:rtl/>
        </w:rPr>
        <w:t>כתבו רוב דברים אלו.</w:t>
      </w:r>
    </w:p>
  </w:footnote>
  <w:footnote w:id="315">
    <w:p w14:paraId="375AD03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לאו דווקא עופות דכל שכן בשר אחר לפי שהוא קשה מבשר עופות, רש"י.</w:t>
      </w:r>
    </w:p>
  </w:footnote>
  <w:footnote w:id="316">
    <w:p w14:paraId="31F1F9F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קרום שלהן רך, רש"י.</w:t>
      </w:r>
    </w:p>
  </w:footnote>
  <w:footnote w:id="317">
    <w:p w14:paraId="2B10210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ממהרין לפלוט ציר שלהן, רש"י.</w:t>
      </w:r>
    </w:p>
  </w:footnote>
  <w:footnote w:id="318">
    <w:p w14:paraId="24CEB86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צומתין אשטרינ"ט, כלומר אין ממהרין לפלוט וכבר נחו הדגים מלפלוט ועדיין עופות פולטין הלכך בלעי דגים, אבל בשר ובשר כמה שזה שוהה לפלוט כך זה שוהה לפלוט ושניהם פולטין יחד וכל זמן שהתחתון טרוד בפליטה אינו בולע, רש"י. וכ' הב"י שכ"כ הרשב"א בתוה"ב וז"ל- שהדגים פולטים מיעוט דם וציריהן, וגומרים כל פליטתן עד שלא יגמור העוף את פליטת דמו, עכ"ל הרשב"א. </w:t>
      </w:r>
      <w:r w:rsidRPr="005C6730">
        <w:rPr>
          <w:rFonts w:asciiTheme="minorBidi" w:hAnsiTheme="minorBidi"/>
          <w:sz w:val="16"/>
          <w:szCs w:val="16"/>
          <w:rtl/>
        </w:rPr>
        <w:t xml:space="preserve">(וכ' הרשב"א שם שיש מגדולי החכמים שאמרו שכל זמן שהבשר פתוח לפלוט דם או ציר מותר למלוח עליו בשר חדש שכל שהוא פתוח כשם שהוא בולע כך הוא פולט </w:t>
      </w:r>
      <w:r w:rsidRPr="005C6730">
        <w:rPr>
          <w:rFonts w:asciiTheme="minorBidi" w:hAnsiTheme="minorBidi"/>
          <w:sz w:val="14"/>
          <w:szCs w:val="14"/>
          <w:rtl/>
        </w:rPr>
        <w:t>{וכאן בעופות ודגים אסור משום שהדגים מסיימים לפלוט את דמם וצירן לפני שהעופות בכלל מתחילים לפלוט, ולכן כ' הרשב"א-}</w:t>
      </w:r>
      <w:r w:rsidRPr="005C6730">
        <w:rPr>
          <w:rFonts w:asciiTheme="minorBidi" w:hAnsiTheme="minorBidi"/>
          <w:sz w:val="16"/>
          <w:szCs w:val="16"/>
          <w:rtl/>
        </w:rPr>
        <w:t>, ולפי דרכם למדנו שאם מלח עופות לעצמן ומשעה שהתחילו לפלוט מלח עמהם דגים מותרים, ודרך זו רחוקה היא בעיני</w:t>
      </w:r>
      <w:r w:rsidRPr="005C6730">
        <w:rPr>
          <w:rFonts w:asciiTheme="minorBidi" w:hAnsiTheme="minorBidi"/>
          <w:sz w:val="14"/>
          <w:szCs w:val="14"/>
          <w:rtl/>
        </w:rPr>
        <w:t xml:space="preserve"> {היינו דרך זו שהעופות לא פולטים עד שהדגים מסיימים}</w:t>
      </w:r>
      <w:r w:rsidRPr="005C6730">
        <w:rPr>
          <w:rFonts w:asciiTheme="minorBidi" w:hAnsiTheme="minorBidi"/>
          <w:sz w:val="16"/>
          <w:szCs w:val="16"/>
          <w:rtl/>
        </w:rPr>
        <w:t>, שא"א שלא יפלטו העופות כלל בתוך שיעור שיפלטו הדגים דמן וצירן, עכ"ל הרשב"א, וכ' הדרכ"מ (אות ב) דכן משמע סברת הטור, דהרי כתב דהדגים-"פולטין כל צירן קודם שיפלוט העוף את דמו", ומשום שהתחיל העוף לפלוט בעוד הדגים פתוחים לא מהני, וזהו כסברת הרשב"א)</w:t>
      </w:r>
    </w:p>
  </w:footnote>
  <w:footnote w:id="319">
    <w:p w14:paraId="2985BC4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 הרא"ש </w:t>
      </w:r>
      <w:r w:rsidRPr="005C6730">
        <w:rPr>
          <w:rFonts w:asciiTheme="minorBidi" w:hAnsiTheme="minorBidi"/>
          <w:sz w:val="16"/>
          <w:szCs w:val="16"/>
          <w:rtl/>
        </w:rPr>
        <w:t xml:space="preserve">(סי' לו) </w:t>
      </w:r>
      <w:r w:rsidRPr="005C6730">
        <w:rPr>
          <w:rFonts w:asciiTheme="minorBidi" w:hAnsiTheme="minorBidi"/>
          <w:rtl/>
        </w:rPr>
        <w:t xml:space="preserve">וז"ל- רשב"ם פירש שגם העופות אסורים לפי שהדגים הנאסרים נעשים נבלה וחוזרין ואוסרין את העופות בצירן האסור שנאסר מחמת דם העופות [משא"כ בשתי חתיכות בשר שאין הציר טרפה רק הדם ובדם אמרינן כבולעו כך פולטו], ולפירוש רבינו אפרים </w:t>
      </w:r>
      <w:r w:rsidRPr="005C6730">
        <w:rPr>
          <w:rFonts w:asciiTheme="minorBidi" w:hAnsiTheme="minorBidi"/>
          <w:sz w:val="16"/>
          <w:szCs w:val="16"/>
          <w:rtl/>
        </w:rPr>
        <w:t xml:space="preserve">(תוס' ק. ד"ה בשקדם) </w:t>
      </w:r>
      <w:r w:rsidRPr="005C6730">
        <w:rPr>
          <w:rFonts w:asciiTheme="minorBidi" w:hAnsiTheme="minorBidi"/>
          <w:rtl/>
        </w:rPr>
        <w:t xml:space="preserve">דלא אמרינן חתיכה עצמה נעשית נבלה אלא בבשר בחלב לא יתכן לומר כן, וג"כ לפי מה שפירש </w:t>
      </w:r>
      <w:r w:rsidRPr="005C6730">
        <w:rPr>
          <w:rFonts w:asciiTheme="minorBidi" w:hAnsiTheme="minorBidi"/>
          <w:sz w:val="16"/>
          <w:szCs w:val="16"/>
          <w:rtl/>
        </w:rPr>
        <w:t xml:space="preserve">(תוס' צו: ד"ה אפילו) </w:t>
      </w:r>
      <w:r w:rsidRPr="005C6730">
        <w:rPr>
          <w:rFonts w:asciiTheme="minorBidi" w:hAnsiTheme="minorBidi"/>
          <w:rtl/>
        </w:rPr>
        <w:t xml:space="preserve">גבי גדי שצלאו בחלבו דלא אמרינן חתיכה עצמה נעשית נבלה ואוסרת אלא במקום שהאיסור עצמו הנבלע בו הולך ומתפשט עם טעם שלו הנפלט, ומיהו לפי טעם זה יש ליישב קצת ולומר שגם מן הדם הנבלע בדגים יוצא קצת ע"י המליחה שעושה אותה כרותח ונבלע עם ציר הדגים בעופות דאע"פ שאחר שגמרו הדגים פליטתן אינם חוזרים ופולטין עוד דם העופות להיות מותרים ע"י כך זהו מחמת שאינן פולטין כל הדם אבל מקצתו פולטין ובולעין העופות ממנו אחר גמר פליטתן ונאסרין בכך, ומיהו קשה לאסור העופות מטעם זה דלמה לא נאמר דם מישרק שריק במליחה, אע"פ שבדגים אין אנו אומרים דשריק דם העופות מינייהו היינו משום דרכיכי ורפו קרמייהו, ונ"ל היכא שהדם מרובה על הציר המעורב בו שייך למימר מישרק שריק אבל הכא שרוב הדם נשאר בדגים ומעט ממנו נבלע עם ציר הרבה נבלע עם הציר בעופות ולא שייך למימר מישרק שריק, ונראה דלא נאסר מן הדגים אלא כדי קליפה דרותח דמליח אינו אוסר אלא כדי קליפה, וגם נראה דמיירי בחתיכות של דגים או דגים שלמים שניטלו קשקשיהן אבל בעוד הקשקשים עליהם נראה לעינים דקמיטי יותר מעופות עכ"ל, ואין בדבריו אלה הכרע לומר שהוא סובר כסברת רשב"ם שהרי לא הכריע בין שתי הסברות ואי איכא למידק דדבריו נוטים לאחת מהנה לסברת רש"י הוא דאיכא למימר דנוטים שהרי כתב ונראה דלא נאסר מן הדגים אלא כדי קליפה, ואי כרשב"ם סבירא ליה הול"ל דלא נאסר מן הדגים והעופות, ועוד דהא משמע בספג"ה דהרא"ש </w:t>
      </w:r>
      <w:r w:rsidRPr="005C6730">
        <w:rPr>
          <w:rFonts w:asciiTheme="minorBidi" w:hAnsiTheme="minorBidi"/>
          <w:sz w:val="16"/>
          <w:szCs w:val="16"/>
          <w:rtl/>
        </w:rPr>
        <w:t xml:space="preserve">(סי' לח) </w:t>
      </w:r>
      <w:r w:rsidRPr="005C6730">
        <w:rPr>
          <w:rFonts w:asciiTheme="minorBidi" w:hAnsiTheme="minorBidi"/>
          <w:rtl/>
        </w:rPr>
        <w:t xml:space="preserve">כרבינו אפרים ס"ל, וכ"כ רבינו בסי' צ"ב שמסקנת הרא"ש כרבינו אפרים, וכיון שהוא כ' דלדברי רבינו אפרים לא יתכן לומר פירוש רשב"ם ודאי פשיטא דלא סבר כוותיה, ולכן תמיהני על רבינו שכתב שמסקנת הרא"ש כרשב"ם, וברמזים </w:t>
      </w:r>
      <w:r w:rsidRPr="005C6730">
        <w:rPr>
          <w:rFonts w:asciiTheme="minorBidi" w:hAnsiTheme="minorBidi"/>
          <w:sz w:val="16"/>
          <w:szCs w:val="16"/>
          <w:rtl/>
        </w:rPr>
        <w:t xml:space="preserve">(פכ"ה סי' לו) </w:t>
      </w:r>
      <w:r w:rsidRPr="005C6730">
        <w:rPr>
          <w:rFonts w:asciiTheme="minorBidi" w:hAnsiTheme="minorBidi"/>
          <w:rtl/>
        </w:rPr>
        <w:t>כתב דגים ועופות שמלחן יחד נאסר מן הדגים כדי קליפה ועופות מותרים, ב"י.</w:t>
      </w:r>
    </w:p>
  </w:footnote>
  <w:footnote w:id="320">
    <w:p w14:paraId="0A95071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רש"י תוס' </w:t>
      </w:r>
      <w:r w:rsidRPr="005C6730">
        <w:rPr>
          <w:rFonts w:asciiTheme="minorBidi" w:hAnsiTheme="minorBidi"/>
          <w:sz w:val="16"/>
          <w:szCs w:val="16"/>
          <w:rtl/>
        </w:rPr>
        <w:t xml:space="preserve">(קיב: ד"ה דגים ועופות) </w:t>
      </w:r>
      <w:r w:rsidRPr="005C6730">
        <w:rPr>
          <w:rFonts w:asciiTheme="minorBidi" w:hAnsiTheme="minorBidi"/>
          <w:rtl/>
        </w:rPr>
        <w:t>רמב"ם</w:t>
      </w:r>
      <w:r w:rsidRPr="005C6730">
        <w:rPr>
          <w:rFonts w:asciiTheme="minorBidi" w:hAnsiTheme="minorBidi"/>
          <w:sz w:val="16"/>
          <w:szCs w:val="16"/>
          <w:rtl/>
        </w:rPr>
        <w:t xml:space="preserve"> (פ"ו הט"ז) </w:t>
      </w:r>
      <w:r w:rsidRPr="005C6730">
        <w:rPr>
          <w:rFonts w:asciiTheme="minorBidi" w:hAnsiTheme="minorBidi"/>
          <w:rtl/>
        </w:rPr>
        <w:t xml:space="preserve">רשב"א (רא"ש </w:t>
      </w:r>
      <w:r w:rsidRPr="005C6730">
        <w:rPr>
          <w:rFonts w:asciiTheme="minorBidi" w:hAnsiTheme="minorBidi"/>
          <w:sz w:val="16"/>
          <w:szCs w:val="16"/>
          <w:rtl/>
        </w:rPr>
        <w:t>להב' הב"י</w:t>
      </w:r>
      <w:r w:rsidRPr="005C6730">
        <w:rPr>
          <w:rFonts w:asciiTheme="minorBidi" w:hAnsiTheme="minorBidi"/>
          <w:rtl/>
        </w:rPr>
        <w:t xml:space="preserve">) הגה"מ </w:t>
      </w:r>
      <w:r w:rsidRPr="005C6730">
        <w:rPr>
          <w:rFonts w:asciiTheme="minorBidi" w:hAnsiTheme="minorBidi"/>
          <w:sz w:val="16"/>
          <w:szCs w:val="16"/>
          <w:rtl/>
        </w:rPr>
        <w:t>(ד"ק פ"ו הט"ז)</w:t>
      </w:r>
      <w:r w:rsidRPr="005C6730">
        <w:rPr>
          <w:rFonts w:asciiTheme="minorBidi" w:hAnsiTheme="minorBidi"/>
          <w:rtl/>
        </w:rPr>
        <w:t xml:space="preserve"> הגשע"ד </w:t>
      </w:r>
      <w:r w:rsidRPr="005C6730">
        <w:rPr>
          <w:rFonts w:asciiTheme="minorBidi" w:hAnsiTheme="minorBidi"/>
          <w:sz w:val="16"/>
          <w:szCs w:val="16"/>
          <w:rtl/>
        </w:rPr>
        <w:t xml:space="preserve">(שער י סי' כ סק"ו) </w:t>
      </w:r>
      <w:r w:rsidRPr="005C6730">
        <w:rPr>
          <w:rFonts w:asciiTheme="minorBidi" w:hAnsiTheme="minorBidi"/>
          <w:rtl/>
        </w:rPr>
        <w:t>ר"ן ו</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י"ג דין א)</w:t>
      </w:r>
      <w:r w:rsidRPr="005C6730">
        <w:rPr>
          <w:rFonts w:asciiTheme="minorBidi" w:hAnsiTheme="minorBidi"/>
          <w:rtl/>
        </w:rPr>
        <w:t xml:space="preserve">. </w:t>
      </w:r>
    </w:p>
  </w:footnote>
  <w:footnote w:id="321">
    <w:p w14:paraId="123D337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משא"כ בשתי חתיכות בשר שאין הציר טרפה רק הדם ובדם אמרינן כבולעו כך פולטו, רא"ש (הביאו הדרכ"מ [אות ב*]).</w:t>
      </w:r>
    </w:p>
  </w:footnote>
  <w:footnote w:id="322">
    <w:p w14:paraId="50ECA56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על דבריו- נראה מדבריו דבבציר מהכי לא מיתסרי, ומשמע דלענין שיעור המלח הוא דקפיד אבל לא לשהות מלוחים יחד, שהרי כתב (שם ריש ע"ב) גבי ההוא בר יונה (קיב.) דנפל לכדא דכמכא על מה שכתב הרב אלברגילוני [דכל ששהה במלחו שיעור שהייה לקדרה הוי רותח ומקמי הכי לא] וא"ת והא אמרינן בסמוך דדגים ועופות שמלחן זה עם זה אסורים דבעידנא דפלטי עופות בלעי דגים מינייהו אלמא אף על גב דלא שלימא פליטת עופות חושבין להו רותחים י"ל כיון דבשהייה דקדרה מיקרי רותח בעוד שמלחו עליו לגבי דגים דרפו קרמייהו מיקרי רותח מקמי הכי עכ"ל הר"ן.</w:t>
      </w:r>
    </w:p>
  </w:footnote>
  <w:footnote w:id="323">
    <w:p w14:paraId="2192A20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הרמ"א (סי' צא סע' ה)- וטוב להחמיר במקום שאין הפסד מרובה.</w:t>
      </w:r>
    </w:p>
  </w:footnote>
  <w:footnote w:id="324">
    <w:p w14:paraId="115EF48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ואע"פ שסתם דבריו גבי דגים ועופות שמלחן זה עם זה ביאר דבריו (תוה"א ב"ד ש"א ג.) בבשר שחוטה שנמלח עם בשר נבלה שאין המליח אוסר אלא כדי קליפה, ואע"פ ששם כתב שאם האיסור שמן מפעפע ואוסר את כל ההיתר- הכא לא שייך למימר הכי, דהכא שומן היתרא הוא, ומשמע דלא אמרינן שבכל מקום שהוא מפעפע מוליך הדם עמו כמו שכתבתי בשמו סימן ס"ט (קיב: ד"ה וכתב הר"פ) גבי חתיכה שמקצתה בציר, ב"י.</w:t>
      </w:r>
    </w:p>
  </w:footnote>
  <w:footnote w:id="325">
    <w:p w14:paraId="02D7E74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סי' לו. וכן כתב ג"כ בפג"ה (סי' כד) גבי ירך שנתבשל בה גיד הנשה שאין צריך להחמיר ברותח דמליחה ודי בקליפה.</w:t>
      </w:r>
    </w:p>
  </w:footnote>
  <w:footnote w:id="326">
    <w:p w14:paraId="2FCFD7B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רי"ו (נט"ו אות כה קלד ע"ג) שכן דעת כל המפרשים (ואפשר משום דרוב הוי ככל כתב כן, ב"י).</w:t>
      </w:r>
    </w:p>
  </w:footnote>
  <w:footnote w:id="327">
    <w:p w14:paraId="53939AA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הר"ן שכן נראה מדברי הרמב"ם, אך הב"י (עמ' צ-צא) דחה הבנה זו בדעת הרמב"ם וסיכם דלא אמר הרמב"ם שכל החתיכה אסורה אלא בנמלח עם נבלה או דג טמא ודכותייהו אבל בדם לא משום דדם מישרק שריק ואינו מפעפע ולפיכך אינו אוסר אלא כדי קליפה.</w:t>
      </w:r>
    </w:p>
  </w:footnote>
  <w:footnote w:id="328">
    <w:p w14:paraId="60A06C8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דרותח דמליחה משערים בששים, כמו שיתבאר סי' ק"ה </w:t>
      </w:r>
      <w:r w:rsidRPr="005C6730">
        <w:rPr>
          <w:rFonts w:asciiTheme="minorBidi" w:hAnsiTheme="minorBidi"/>
          <w:sz w:val="16"/>
          <w:szCs w:val="16"/>
          <w:rtl/>
        </w:rPr>
        <w:t>(אות י)</w:t>
      </w:r>
      <w:r w:rsidRPr="005C6730">
        <w:rPr>
          <w:rFonts w:asciiTheme="minorBidi" w:hAnsiTheme="minorBidi"/>
          <w:rtl/>
        </w:rPr>
        <w:t xml:space="preserve">, דרכ"מ </w:t>
      </w:r>
      <w:r w:rsidRPr="005C6730">
        <w:rPr>
          <w:rFonts w:asciiTheme="minorBidi" w:hAnsiTheme="minorBidi"/>
          <w:sz w:val="16"/>
          <w:szCs w:val="16"/>
          <w:rtl/>
        </w:rPr>
        <w:t>(אות ה)</w:t>
      </w:r>
      <w:r w:rsidRPr="005C6730">
        <w:rPr>
          <w:rFonts w:asciiTheme="minorBidi" w:hAnsiTheme="minorBidi"/>
          <w:rtl/>
        </w:rPr>
        <w:t>.</w:t>
      </w:r>
    </w:p>
  </w:footnote>
  <w:footnote w:id="329">
    <w:p w14:paraId="057066E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וכ"ת אמאי לא, איכ"ל לפי שאין המלח מפליט כל דם שבחתיכה דאין מליחה באה אלא להוציא הדם שעל פני הבשר והסמוך לו, דלדם הבלוע בחתיכה לא חיישינן דהוי ליה דם האיברים שלא פירש דשרי, וזהו דעת הרמב"ם </w:t>
      </w:r>
      <w:r w:rsidRPr="005C6730">
        <w:rPr>
          <w:rFonts w:asciiTheme="minorBidi" w:hAnsiTheme="minorBidi"/>
          <w:sz w:val="16"/>
          <w:szCs w:val="16"/>
          <w:rtl/>
        </w:rPr>
        <w:t xml:space="preserve">(מאכ"א פ"ו ה"י) </w:t>
      </w:r>
      <w:r w:rsidRPr="005C6730">
        <w:rPr>
          <w:rFonts w:asciiTheme="minorBidi" w:hAnsiTheme="minorBidi"/>
          <w:rtl/>
        </w:rPr>
        <w:t>ולפיכך הוא מצריך שלא לתת הבשר בקדרה עד שיהו המים רותחים שאח"כ אין מפליטין אדרבה חולטין הבשר ומונעין הדם שלא יצא, הילכך דגים שבולעין דם דאתא מעלמא כיון שאין המלח מוציאתו אסור, ואין סברא זו נכונה וכ"ת דגים שמלחן עם עופות יחזרו אחר מליחה להיתרן הראשון איכא למימר שאין המלח מפליט אלא דם המובלע באיברים אבל דם הבא ממקום אחר אין המלח מפליטו, ר"ן.</w:t>
      </w:r>
    </w:p>
  </w:footnote>
  <w:footnote w:id="330">
    <w:p w14:paraId="4428D9C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והוא הדין גם לאוסרים שמשערים במליחה בששים ולא די בקליפה, "דהואיל והקשקשים עליו לא מיקרי רפי קרמייהו והוה כשתי חתיכות בשר שנמלחו זו עם זו דשרי</w:t>
      </w:r>
      <w:r w:rsidRPr="005C6730">
        <w:rPr>
          <w:rFonts w:asciiTheme="minorBidi" w:hAnsiTheme="minorBidi"/>
          <w:sz w:val="16"/>
          <w:szCs w:val="16"/>
          <w:rtl/>
        </w:rPr>
        <w:t xml:space="preserve"> (עכ"ל ה</w:t>
      </w:r>
      <w:r>
        <w:rPr>
          <w:rFonts w:asciiTheme="minorBidi" w:hAnsiTheme="minorBidi"/>
          <w:sz w:val="16"/>
          <w:szCs w:val="16"/>
          <w:rtl/>
        </w:rPr>
        <w:t>או"ה</w:t>
      </w:r>
      <w:r w:rsidRPr="005C6730">
        <w:rPr>
          <w:rFonts w:asciiTheme="minorBidi" w:hAnsiTheme="minorBidi"/>
          <w:sz w:val="16"/>
          <w:szCs w:val="16"/>
          <w:rtl/>
        </w:rPr>
        <w:t xml:space="preserve"> שם)</w:t>
      </w:r>
      <w:r w:rsidRPr="005C6730">
        <w:rPr>
          <w:rFonts w:asciiTheme="minorBidi" w:hAnsiTheme="minorBidi"/>
          <w:rtl/>
        </w:rPr>
        <w:t>", ע"פ דרכ"מ (אות ה).:</w:t>
      </w:r>
    </w:p>
  </w:footnote>
  <w:footnote w:id="331">
    <w:p w14:paraId="6E36842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כן הבינו הדרכ"מ (אות ה) הט"ז (סק"ג) והש"ך (סק"ה) בדברי הטור </w:t>
      </w:r>
      <w:r w:rsidRPr="005C6730">
        <w:rPr>
          <w:rFonts w:asciiTheme="minorBidi" w:hAnsiTheme="minorBidi"/>
          <w:sz w:val="16"/>
          <w:szCs w:val="16"/>
          <w:rtl/>
        </w:rPr>
        <w:t>(וז"ל הטור- והא דאסרינן לדגים לא כולן אלא כדי קליפה מהם לפיכך אם הוא שלם ולא נטלו קשקשיו שרי)</w:t>
      </w:r>
      <w:r w:rsidRPr="005C6730">
        <w:rPr>
          <w:rFonts w:asciiTheme="minorBidi" w:hAnsiTheme="minorBidi"/>
          <w:rtl/>
        </w:rPr>
        <w:t xml:space="preserve">. וכ' הט"ז דלפי טעמו של הטור א"כ לדידן דדגים כולן אסורין לא יועילו הקשקשים, וכ' דליתא אלא עיקר הטעם דבעוד הקשקשים עליהם קמיטי ולא בלעי כמו העופות, וכ"כ רש"ל </w:t>
      </w:r>
      <w:r w:rsidRPr="005C6730">
        <w:rPr>
          <w:rFonts w:asciiTheme="minorBidi" w:hAnsiTheme="minorBidi"/>
          <w:sz w:val="16"/>
          <w:szCs w:val="16"/>
          <w:rtl/>
        </w:rPr>
        <w:t>(פכ"ה סי' ע"ד)</w:t>
      </w:r>
      <w:r w:rsidRPr="005C6730">
        <w:rPr>
          <w:rFonts w:asciiTheme="minorBidi" w:hAnsiTheme="minorBidi"/>
          <w:rtl/>
        </w:rPr>
        <w:t>, וכ"מ מדברי רמ"א בסמוך דמותרין לגמרי. אך הש"ך (סק"ה) כ' דעיקר הטעם הוא לפי שהקשקשין הם במקום קליפה, וכ' דגם הרמ"א מודה שהקשקשין הם במקום קליפה אלא דהוצרך לטעם דרפו קרמייהו למאי דאסרינן הדגים בס', ונפ"מ דאם נמלחו הדגים עם שאר איסור שאינו של דם אע"ג דלא אמרינן ביה איידי דפליט כו' מותרים הדגים דאע"ג דאנן קיי"ל כל מליחה בס' מ"מ הא כתב הר"ב סי' קה ס"ט דבאיסור שאין בו שמנונית כלל כגון חמץ בפסח וכה"ג לכו"ע מליחה אינה אוסרת רק כדי קליפה, ועמ"ש שם, וא"כ בכה"ג הכא הדגים מותרים בלא קליפה שהקשקשים הם במקום קליפה. ורעק"א (סק"א על הש"ך שם) כ' דבלאו הכי נפ"מ בפשוטו, דאם דגים חמים מונחים על איסור קר דקיי"ל תתאה גבר ומהני קליפה, הדגים מותרים בלא קליפה שהקשקשים במקום קליפה.</w:t>
      </w:r>
    </w:p>
  </w:footnote>
  <w:footnote w:id="332">
    <w:p w14:paraId="3C797BA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בפסקי מהרא"י סי' סו.</w:t>
      </w:r>
    </w:p>
  </w:footnote>
  <w:footnote w:id="333">
    <w:p w14:paraId="1B889BD8" w14:textId="77777777" w:rsidR="004C5A3C" w:rsidRDefault="004C5A3C" w:rsidP="002C39F4">
      <w:pPr>
        <w:pStyle w:val="a5"/>
      </w:pPr>
      <w:r>
        <w:rPr>
          <w:rStyle w:val="a7"/>
        </w:rPr>
        <w:footnoteRef/>
      </w:r>
      <w:r>
        <w:rPr>
          <w:rtl/>
        </w:rPr>
        <w:t xml:space="preserve"> </w:t>
      </w:r>
      <w:r>
        <w:rPr>
          <w:rFonts w:hint="cs"/>
          <w:rtl/>
        </w:rPr>
        <w:t xml:space="preserve">וכ"פ בשו"ע סי' סט סע' כ, דלכתחילה יש להדיח את החתיכה לאחר מליחה ראשונה, אבל בדיעבד אם לא הדיח- מותר. </w:t>
      </w:r>
    </w:p>
  </w:footnote>
  <w:footnote w:id="334">
    <w:p w14:paraId="62CF647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ומשמע מדברי הט"ז (סק"ב) דאף לדברי האוסרים (היינו </w:t>
      </w:r>
      <w:r>
        <w:rPr>
          <w:rFonts w:asciiTheme="minorBidi" w:hAnsiTheme="minorBidi"/>
          <w:rtl/>
        </w:rPr>
        <w:t>או"ה</w:t>
      </w:r>
      <w:r w:rsidRPr="005C6730">
        <w:rPr>
          <w:rFonts w:asciiTheme="minorBidi" w:hAnsiTheme="minorBidi"/>
          <w:rtl/>
        </w:rPr>
        <w:t>) מ"מ אם המליחה השניה הייתה תוך מעל"ע שרי, דכיון שהבשר עדיין טריד להפליט ציר בשעה שבא עליו מלח השני ע"כ המלח השני יפליט הציר ולא יבליע מה שפלט כבר כיון שבשעה שבא המלח יש שם פליטת הציר.</w:t>
      </w:r>
    </w:p>
  </w:footnote>
  <w:footnote w:id="335">
    <w:p w14:paraId="494E0F82" w14:textId="77777777" w:rsidR="004C5A3C" w:rsidRPr="005C6730" w:rsidRDefault="004C5A3C" w:rsidP="002C39F4">
      <w:pPr>
        <w:pStyle w:val="a5"/>
        <w:rPr>
          <w:rFonts w:asciiTheme="minorBidi" w:hAnsiTheme="minorBidi"/>
        </w:rPr>
      </w:pPr>
      <w:r w:rsidRPr="005C6730">
        <w:rPr>
          <w:rStyle w:val="a7"/>
          <w:rFonts w:asciiTheme="minorBidi" w:hAnsiTheme="minorBidi"/>
          <w:color w:val="FF0000"/>
        </w:rPr>
        <w:footnoteRef/>
      </w:r>
      <w:r w:rsidRPr="005C6730">
        <w:rPr>
          <w:rFonts w:asciiTheme="minorBidi" w:hAnsiTheme="minorBidi"/>
          <w:color w:val="FF0000"/>
          <w:rtl/>
        </w:rPr>
        <w:t xml:space="preserve"> כן הוא לחד תירוצא בתוס' שמביא ב"י כאן אלא שיש עוד תירוץ שם דס"ל דשפיר בולע אלא דיש לו היתר שיחזור ויפלטנו כשיפליט הציר שבו וכן משמע מדכתבו רמ"א סעיף ו' שיחזור וימלחנו כו' משמע דעכ"פ בלע כבר, ט"ז (סק"א).</w:t>
      </w:r>
    </w:p>
  </w:footnote>
  <w:footnote w:id="336">
    <w:p w14:paraId="52B5C5B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בלא הדחה בנתיים, ודוקא מלח אבל לכתחלה אסור לעשות כן אלא צריך להדיחו יפה יפה קודם מליחה שנית, וכן משמע בת"ח (כלל ט"ו דין כ), ש"ך (סק"ב).</w:t>
      </w:r>
    </w:p>
  </w:footnote>
  <w:footnote w:id="337">
    <w:p w14:paraId="226FE9D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הט"ז (סק"ב) דזה ע"פ דעת הרא"ש שכ' הטור משמו שאין דרך מלח להבליע רק להפליט, ולפי הפוסקים שסוברים שהמלח מבליע ג"כ </w:t>
      </w:r>
      <w:r w:rsidRPr="005C6730">
        <w:rPr>
          <w:rFonts w:asciiTheme="minorBidi" w:hAnsiTheme="minorBidi"/>
          <w:sz w:val="16"/>
          <w:szCs w:val="16"/>
          <w:rtl/>
        </w:rPr>
        <w:t>(כמו שזכרתי לעיל סי' סט ס"א בשם או"ה בטעם הדחה קמייתא וכן הגשע"ד ש"ג ובאו"ה סוף ש"ו)</w:t>
      </w:r>
      <w:r w:rsidRPr="005C6730">
        <w:rPr>
          <w:rFonts w:asciiTheme="minorBidi" w:hAnsiTheme="minorBidi"/>
          <w:rtl/>
        </w:rPr>
        <w:t xml:space="preserve"> דאוסרים בהדיא בנמלח שנית מטעם שהמלח השני יבליע המוהל שעליו לתוכו נ"ל טעם אחר בזה- דכיון שהבשר עדיין טריד להפליט ציר בשעה שבא עליו מלח השני ע"כ המלח השני יפליט הציר ולא יבליע מה שפלט כבר כיון שבשעה שבא המלח יש שם פליטת הציר, ואם שהה כבר כדי פליטת ציר דהיינו אחר מעל"ע אז אין היתר אלא לדעת הרא"ש. </w:t>
      </w:r>
    </w:p>
    <w:p w14:paraId="3A6B5C9D" w14:textId="77777777" w:rsidR="004C5A3C" w:rsidRPr="005C6730" w:rsidRDefault="004C5A3C" w:rsidP="002C39F4">
      <w:pPr>
        <w:pStyle w:val="a5"/>
        <w:rPr>
          <w:rFonts w:asciiTheme="minorBidi" w:hAnsiTheme="minorBidi"/>
          <w:u w:val="single"/>
          <w:rtl/>
        </w:rPr>
      </w:pPr>
      <w:r w:rsidRPr="005C6730">
        <w:rPr>
          <w:rFonts w:asciiTheme="minorBidi" w:hAnsiTheme="minorBidi"/>
          <w:u w:val="single"/>
          <w:rtl/>
        </w:rPr>
        <w:t>ויש לשאול אמאי אסור בסמוך בדם בעין שנפל על הבשר בשעת מליחה אע"ג דבאותה שעה היא טרודה לפלוט:</w:t>
      </w:r>
    </w:p>
    <w:p w14:paraId="43CCB5A6" w14:textId="77777777" w:rsidR="004C5A3C" w:rsidRPr="005C6730" w:rsidRDefault="004C5A3C" w:rsidP="002C39F4">
      <w:pPr>
        <w:pStyle w:val="a5"/>
        <w:numPr>
          <w:ilvl w:val="0"/>
          <w:numId w:val="32"/>
        </w:numPr>
        <w:rPr>
          <w:rFonts w:asciiTheme="minorBidi" w:hAnsiTheme="minorBidi"/>
        </w:rPr>
      </w:pPr>
      <w:r w:rsidRPr="005C6730">
        <w:rPr>
          <w:rFonts w:asciiTheme="minorBidi" w:hAnsiTheme="minorBidi"/>
          <w:rtl/>
        </w:rPr>
        <w:t>ט"ז- התם אין האיסור מחמת שהמלח מבליעו אלא שהבשר עצמו הוא רותח מחמת המליחה הוה כמו בצלי שנפל עליו דם משא"כ כאן שאין איסור רק מצד מלח השני ובזה אין איסור אבל אם נמלח בלא הדחה קמייתא יש איסור מצד המלח שבשעה שבא עליו המלח היה בלא פליטה ע"כ אמרינן שהמלח מבליעו.</w:t>
      </w:r>
    </w:p>
    <w:p w14:paraId="1F616724" w14:textId="77777777" w:rsidR="004C5A3C" w:rsidRPr="005C6730" w:rsidRDefault="004C5A3C" w:rsidP="002C39F4">
      <w:pPr>
        <w:pStyle w:val="a5"/>
        <w:rPr>
          <w:rFonts w:asciiTheme="minorBidi" w:hAnsiTheme="minorBidi"/>
          <w:u w:val="single"/>
          <w:rtl/>
        </w:rPr>
      </w:pPr>
      <w:r w:rsidRPr="005C6730">
        <w:rPr>
          <w:rFonts w:asciiTheme="minorBidi" w:hAnsiTheme="minorBidi"/>
          <w:u w:val="single"/>
          <w:rtl/>
        </w:rPr>
        <w:t>ויש עוד לשאול מדוע אסרינן בר"ס ס"ט בשר שנמלח בלא הדחה קמייתא מטעם שהמלח מבליע הדם שעליו:</w:t>
      </w:r>
    </w:p>
    <w:p w14:paraId="76BE8EA4" w14:textId="77777777" w:rsidR="004C5A3C" w:rsidRPr="005C6730" w:rsidRDefault="004C5A3C" w:rsidP="002C39F4">
      <w:pPr>
        <w:pStyle w:val="a5"/>
        <w:numPr>
          <w:ilvl w:val="0"/>
          <w:numId w:val="32"/>
        </w:numPr>
        <w:rPr>
          <w:rFonts w:asciiTheme="minorBidi" w:hAnsiTheme="minorBidi"/>
        </w:rPr>
      </w:pPr>
      <w:r w:rsidRPr="005C6730">
        <w:rPr>
          <w:rFonts w:asciiTheme="minorBidi" w:hAnsiTheme="minorBidi"/>
          <w:rtl/>
        </w:rPr>
        <w:t>ש"ך</w:t>
      </w:r>
      <w:r w:rsidRPr="005C6730">
        <w:rPr>
          <w:rFonts w:asciiTheme="minorBidi" w:hAnsiTheme="minorBidi"/>
          <w:sz w:val="16"/>
          <w:szCs w:val="16"/>
          <w:rtl/>
        </w:rPr>
        <w:t xml:space="preserve"> (סק"ג)</w:t>
      </w:r>
      <w:r w:rsidRPr="005C6730">
        <w:rPr>
          <w:rFonts w:asciiTheme="minorBidi" w:hAnsiTheme="minorBidi"/>
          <w:rtl/>
        </w:rPr>
        <w:t>- שאני התם דאיכא דם בעין, א"נ שאני הכא כיון שנמלח תחלה ולא הודח אח"כ א"כ עדיין הוא עומד לפלוט ציר ומתוך כך אמרינן דאין המלח השני מבליע הדם.</w:t>
      </w:r>
    </w:p>
  </w:footnote>
  <w:footnote w:id="338">
    <w:p w14:paraId="07731D1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לעולם, דאיידי דטרידי לפלוט לא בלעי, וכן דעת הרבה פוסקים מאד, דלא כהב"ח שפסק כיחידאי לאסור מן העופות עד ס', ע"ש, שדבריו ממילא נפרכים גם מ"ש דנקטינן להחמיר באיסורא דאו' ליתא דהא קיי"ל דם שמלחו אינו אלא מדרבנן, ש"ך (סק"ד).</w:t>
      </w:r>
    </w:p>
  </w:footnote>
  <w:footnote w:id="339">
    <w:p w14:paraId="6630E55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והא דאין הדגים אסורין משום סכנה דנמלחו עם בשר וקשה לדבר אחר- דאין סכנה במליחה כמ"ש סי' קט"ז סע' ג, ט"ז</w:t>
      </w:r>
      <w:r w:rsidRPr="005C6730">
        <w:rPr>
          <w:rFonts w:asciiTheme="minorBidi" w:hAnsiTheme="minorBidi"/>
          <w:sz w:val="16"/>
          <w:szCs w:val="16"/>
          <w:rtl/>
        </w:rPr>
        <w:t xml:space="preserve"> (סק"ג)</w:t>
      </w:r>
      <w:r w:rsidRPr="005C6730">
        <w:rPr>
          <w:rFonts w:asciiTheme="minorBidi" w:hAnsiTheme="minorBidi"/>
          <w:rtl/>
        </w:rPr>
        <w:t>. וכ' הש"ך (סקט"ז) דנפ"מ נמי כגון היכא דליכא משום איסור דם כגון ששהו שיעור מליחה והודחו וחזרו ונמלחו יחד וכה"ג.</w:t>
      </w:r>
    </w:p>
  </w:footnote>
  <w:footnote w:id="340">
    <w:p w14:paraId="7CDADB1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ושמע מינה ציר נמי לא מיבלע כל זמן שעסוקים בפליטה..., רש"י.</w:t>
      </w:r>
    </w:p>
  </w:footnote>
  <w:footnote w:id="341">
    <w:p w14:paraId="73152E0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מבלי מלח דהשתא לא פליט טמא מידי אבל שניהם מלוחים דטמא נמי פליט אסור וכ"ש טמא מליח וטהור תפל, רש"י.</w:t>
      </w:r>
    </w:p>
  </w:footnote>
  <w:footnote w:id="342">
    <w:p w14:paraId="0E93561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הטור כ' לעיל</w:t>
      </w:r>
      <w:r w:rsidRPr="005C6730">
        <w:rPr>
          <w:rFonts w:asciiTheme="minorBidi" w:hAnsiTheme="minorBidi"/>
          <w:sz w:val="16"/>
          <w:szCs w:val="16"/>
          <w:rtl/>
        </w:rPr>
        <w:t xml:space="preserve"> (עמ' פז)</w:t>
      </w:r>
      <w:r w:rsidRPr="005C6730">
        <w:rPr>
          <w:rFonts w:asciiTheme="minorBidi" w:hAnsiTheme="minorBidi"/>
          <w:rtl/>
        </w:rPr>
        <w:t xml:space="preserve"> "אבל לא מלחן יחד אלא שמלח הדג אצל העוף מותר", ולכאורה זה כדבריו כאן, ויש לשאול א"כ מדוע כ' כאן שוב אותו הדבר? וכ' הדרכ"מ (אות ו) דמשמע מדברי ב"י שבאמת זה אותו דין שכ' הטור למעלה, ואמנם ראיתי בקצת ספרים שמחקוהו למעלה, ולי נראה דזהו הדין דלעיל אבל כאן מיירי ששניהם מלוחין ואפילו הכי הדג מותר, דמיירי דלאחר ששהה העוף שיעור מליחה הניח הדג אצלו ולכך הדג מותר דכבר פלט העוף דמו, וז"ל ה</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יג דין א-ב)</w:t>
      </w:r>
      <w:r w:rsidRPr="005C6730">
        <w:rPr>
          <w:rFonts w:asciiTheme="minorBidi" w:hAnsiTheme="minorBidi"/>
          <w:rtl/>
        </w:rPr>
        <w:t>- ולא דמי לטהור וטמא, דאם שניהם מלוחין ונתנן זה אצל זה אע"פ שלא נמלחו יחד דאסור, דכאן אין איסור רק משום דם וכששהה העוף שיעור מליחה אין כאן עוד איסור, ואע"ג דמחמירין במוהל שאחר שיעור מליחה- היינו דוקא אם המוהל בעין והבשר מונח בתוכו כדלעיל, אבל משום לחלוחית בעלמא שעל הבשר בזה לא נהגו איסור וסגי לדגים בהדחה בעלמא כמו לבשר ואין לאסרן משום סכנה דנמלחו יחד וקשה לדבר אחר דאין סכנה במליחה עכ"ל. וטעם דבריו דגבי דם דוקא חשבינן לאחר שיעור מליחה למוהל בעלמא כמעשה דרש"י סימן ס"ט דאמרינן ציר הוא, אבל אם הניח בשר טמא אצל בשר טהור לאחר שיעור מליחה טרפה דעדיין חשיב כרותח כמו שיתבאר למטה (אות ט).</w:t>
      </w:r>
    </w:p>
  </w:footnote>
  <w:footnote w:id="343">
    <w:p w14:paraId="455AE6A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תוס' </w:t>
      </w:r>
      <w:r w:rsidRPr="005C6730">
        <w:rPr>
          <w:rFonts w:asciiTheme="minorBidi" w:hAnsiTheme="minorBidi"/>
          <w:sz w:val="16"/>
          <w:szCs w:val="16"/>
          <w:rtl/>
        </w:rPr>
        <w:t>(קיב: ד"ה דגים ועופות)</w:t>
      </w:r>
      <w:r w:rsidRPr="005C6730">
        <w:rPr>
          <w:rFonts w:asciiTheme="minorBidi" w:hAnsiTheme="minorBidi"/>
          <w:rtl/>
        </w:rPr>
        <w:t xml:space="preserve"> רא"ש </w:t>
      </w:r>
      <w:r w:rsidRPr="005C6730">
        <w:rPr>
          <w:rFonts w:asciiTheme="minorBidi" w:hAnsiTheme="minorBidi"/>
          <w:sz w:val="16"/>
          <w:szCs w:val="16"/>
          <w:rtl/>
        </w:rPr>
        <w:t xml:space="preserve">(פ"ח סי' לו) </w:t>
      </w:r>
      <w:r w:rsidRPr="005C6730">
        <w:rPr>
          <w:rFonts w:asciiTheme="minorBidi" w:hAnsiTheme="minorBidi"/>
          <w:rtl/>
        </w:rPr>
        <w:t xml:space="preserve">טור ור"ן </w:t>
      </w:r>
      <w:r w:rsidRPr="005C6730">
        <w:rPr>
          <w:rFonts w:asciiTheme="minorBidi" w:hAnsiTheme="minorBidi"/>
          <w:sz w:val="16"/>
          <w:szCs w:val="16"/>
          <w:rtl/>
        </w:rPr>
        <w:t>(מב. ד"ה והרב ר"י)</w:t>
      </w:r>
      <w:r w:rsidRPr="005C6730">
        <w:rPr>
          <w:rFonts w:asciiTheme="minorBidi" w:hAnsiTheme="minorBidi"/>
          <w:rtl/>
        </w:rPr>
        <w:t>.</w:t>
      </w:r>
    </w:p>
  </w:footnote>
  <w:footnote w:id="344">
    <w:p w14:paraId="4B4F923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וז"ל התוס' והרא"ש</w:t>
      </w:r>
      <w:r w:rsidRPr="005C6730">
        <w:rPr>
          <w:rFonts w:asciiTheme="minorBidi" w:hAnsiTheme="minorBidi"/>
          <w:sz w:val="16"/>
          <w:szCs w:val="16"/>
          <w:rtl/>
        </w:rPr>
        <w:t xml:space="preserve"> (הביאם הב"י [עמ' פו])</w:t>
      </w:r>
      <w:r w:rsidRPr="005C6730">
        <w:rPr>
          <w:rFonts w:asciiTheme="minorBidi" w:hAnsiTheme="minorBidi"/>
          <w:rtl/>
        </w:rPr>
        <w:t xml:space="preserve">- וי"ל דא"כ הוה משמע דאף אם העופות לא נמלחו אלא שהדגים נמלחו עמהם אסורים וזה אינו דבענין זה לא היו הדגים אסורים. וכ"כ הר"ן ז"ל. וכ' הב"י דלמדוהו מדין טהור מליח וטמא תפל דשרי כמו שיתבאר בסמוך, דאלמא אין מליח בולע מתפל הסמוך לו לפי שאין התפל פולט כלום, והכי נמי כיון שהעופות תפלים אע"פ שהדגים מלוחים אין הדגים בולעים מדם העופות כלום דכיון דעופות תפלים הם לא פלטי מידי. </w:t>
      </w:r>
    </w:p>
  </w:footnote>
  <w:footnote w:id="345">
    <w:p w14:paraId="46AA653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דבשניהן מלוחים כל אחד טרוד לפלוט ואפ"ה אמרינן שג"כ בולע, ק"ו בדג תפל שבולע מעוף מלוח, ט"ז.</w:t>
      </w:r>
    </w:p>
  </w:footnote>
  <w:footnote w:id="346">
    <w:p w14:paraId="11F998C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הדרכ"מ </w:t>
      </w:r>
      <w:r w:rsidRPr="005C6730">
        <w:rPr>
          <w:rFonts w:asciiTheme="minorBidi" w:hAnsiTheme="minorBidi"/>
          <w:sz w:val="16"/>
          <w:szCs w:val="16"/>
          <w:rtl/>
        </w:rPr>
        <w:t>(אות ט)</w:t>
      </w:r>
      <w:r w:rsidRPr="005C6730">
        <w:rPr>
          <w:rFonts w:asciiTheme="minorBidi" w:hAnsiTheme="minorBidi"/>
          <w:rtl/>
        </w:rPr>
        <w:t xml:space="preserve">- דמדברי הר"ר יונה </w:t>
      </w:r>
      <w:r w:rsidRPr="005C6730">
        <w:rPr>
          <w:rFonts w:asciiTheme="minorBidi" w:hAnsiTheme="minorBidi"/>
          <w:sz w:val="16"/>
          <w:szCs w:val="16"/>
          <w:rtl/>
        </w:rPr>
        <w:t xml:space="preserve">(יובא לקמן) </w:t>
      </w:r>
      <w:r w:rsidRPr="005C6730">
        <w:rPr>
          <w:rFonts w:asciiTheme="minorBidi" w:hAnsiTheme="minorBidi"/>
          <w:rtl/>
        </w:rPr>
        <w:t>משמע דאין לדגים דם כלל מגופן אלא אותן שבלעו דכבר נמלחו אבל אי הוה להם קצת דם מגופן משמע דהוה שרי, וכ"פ ב</w:t>
      </w:r>
      <w:r>
        <w:rPr>
          <w:rFonts w:asciiTheme="minorBidi" w:hAnsiTheme="minorBidi"/>
          <w:rtl/>
        </w:rPr>
        <w:t>או"ה</w:t>
      </w:r>
      <w:r w:rsidRPr="005C6730">
        <w:rPr>
          <w:rFonts w:asciiTheme="minorBidi" w:hAnsiTheme="minorBidi"/>
          <w:sz w:val="16"/>
          <w:szCs w:val="16"/>
          <w:rtl/>
        </w:rPr>
        <w:t xml:space="preserve"> (כלל ה דין ה)</w:t>
      </w:r>
      <w:r w:rsidRPr="005C6730">
        <w:rPr>
          <w:rFonts w:asciiTheme="minorBidi" w:hAnsiTheme="minorBidi"/>
          <w:rtl/>
        </w:rPr>
        <w:t xml:space="preserve"> וז"ל- ולאו דוקא בשר תפל שנפל לציר אלא הוא הדין בשר מלוח קודם ששהה שיעור מליחתו וכן נהג מהר"ש עכ"ל. משמע דאע"ג דכבר פלט מקצת דמו הואיל ונשאר בו מקצת דם אמרינן ביה הואיל ופולט דם דידיה פולט נמי דם שבלע, וראיה ג"כ מעופות שנמלחו עם בשר דשרי, וא"כ הוא הדין דגים תפלים המונחים עם בשר מלוח נראה דמהני בהו מליחה אח"כ דאיידי דפלטי דם דידהו פלטי נמי דם שבלעו, דלא כדברי ב"י דלעיל שדימהו לטהור תפל וטמא מלוח, ולאו ראיה הוא כמו שכתבתי לעיל </w:t>
      </w:r>
      <w:r w:rsidRPr="005C6730">
        <w:rPr>
          <w:rFonts w:asciiTheme="minorBidi" w:hAnsiTheme="minorBidi"/>
          <w:sz w:val="16"/>
          <w:szCs w:val="16"/>
          <w:rtl/>
        </w:rPr>
        <w:t>(אות ז)</w:t>
      </w:r>
      <w:r w:rsidRPr="005C6730">
        <w:rPr>
          <w:rFonts w:asciiTheme="minorBidi" w:hAnsiTheme="minorBidi"/>
          <w:rtl/>
        </w:rPr>
        <w:t>, וב</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 xml:space="preserve">(כלל ה דין ב) </w:t>
      </w:r>
      <w:r w:rsidRPr="005C6730">
        <w:rPr>
          <w:rFonts w:asciiTheme="minorBidi" w:hAnsiTheme="minorBidi"/>
          <w:rtl/>
        </w:rPr>
        <w:t>כ'- דגים תפלים המונחים עם ציר בשר אסורין דלא גרע מאילו נמלחו עמהם עכ"ל, ואין נראה אלא כמו שכתבתי</w:t>
      </w:r>
      <w:r w:rsidRPr="005C6730">
        <w:rPr>
          <w:rFonts w:asciiTheme="minorBidi" w:hAnsiTheme="minorBidi"/>
          <w:sz w:val="16"/>
          <w:szCs w:val="16"/>
          <w:rtl/>
        </w:rPr>
        <w:t xml:space="preserve"> </w:t>
      </w:r>
      <w:r w:rsidRPr="005C6730">
        <w:rPr>
          <w:rFonts w:asciiTheme="minorBidi" w:hAnsiTheme="minorBidi"/>
          <w:color w:val="FF0000"/>
          <w:sz w:val="16"/>
          <w:szCs w:val="16"/>
          <w:rtl/>
        </w:rPr>
        <w:t>(וצל"ע איך כ' [באות ז] דכן משמע מ</w:t>
      </w:r>
      <w:r>
        <w:rPr>
          <w:rFonts w:asciiTheme="minorBidi" w:hAnsiTheme="minorBidi"/>
          <w:color w:val="FF0000"/>
          <w:sz w:val="16"/>
          <w:szCs w:val="16"/>
          <w:rtl/>
        </w:rPr>
        <w:t>או"ה</w:t>
      </w:r>
      <w:r w:rsidRPr="005C6730">
        <w:rPr>
          <w:rFonts w:asciiTheme="minorBidi" w:hAnsiTheme="minorBidi"/>
          <w:color w:val="FF0000"/>
          <w:sz w:val="16"/>
          <w:szCs w:val="16"/>
          <w:rtl/>
        </w:rPr>
        <w:t xml:space="preserve"> והרי מלשון האו"ה שהביא בעצמו [באות ט] משמע להפך)</w:t>
      </w:r>
      <w:r w:rsidRPr="005C6730">
        <w:rPr>
          <w:rFonts w:asciiTheme="minorBidi" w:hAnsiTheme="minorBidi"/>
          <w:rtl/>
        </w:rPr>
        <w:t>, ואמת דלא גרע מאילו נמלחו עמהן אבל עדיף הואיל ופולט דם דידיה פולט נמי מה שבלע כן נ"ל.</w:t>
      </w:r>
    </w:p>
  </w:footnote>
  <w:footnote w:id="347">
    <w:p w14:paraId="2F6764D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מדסתים דבריו משמע שהוא תפל שלא נמלח עדיין ואפ"ה אסור ולא מהני ליה מליחה אח"כ, וכן משמע בב"י, וכמו שהבין הר"ב בת"ח </w:t>
      </w:r>
      <w:r w:rsidRPr="005C6730">
        <w:rPr>
          <w:rFonts w:asciiTheme="minorBidi" w:hAnsiTheme="minorBidi"/>
          <w:sz w:val="16"/>
          <w:szCs w:val="16"/>
          <w:rtl/>
        </w:rPr>
        <w:t>(כלל כ' דין י"ד)</w:t>
      </w:r>
      <w:r w:rsidRPr="005C6730">
        <w:rPr>
          <w:rFonts w:asciiTheme="minorBidi" w:hAnsiTheme="minorBidi"/>
          <w:rtl/>
        </w:rPr>
        <w:t xml:space="preserve"> דעתו, וקצת משמע כן דעת הטור דבדגים לא מהני מליחה לומר דאיידי דיפלטו דם דידהו יפלטו דם דאחריני כדאמרינן גבי בשר לקמן סי' זה, דשאני דגים כיון דרפו קרמייהו בלעי טובא והדם הבא להם מעלמא נסרך בהם ביותר, וגם צ"ל שכן דעת רבותיו של הרשב"א בת"ה הארוך דף ע"א ע"א, וכ"כ בדרישה סע' ד שכ"פ מהרש"ל, וכ"כ האו"ה כלל ה' דין ב' להדיא והוכחתי בספרי בכמה הוכחות שטעות סופר הוא באו"ה כלל י"ג ד"ג בשם הסמ"ק, וצריך להגיה שם קצת, דלא כמ"ש הר"ב בת"ח שם בשם או"ה בשם הסמ"ק דבדגים נמי אמרינן איידי דיפלטו כו', וכמו שכתב לקמן בהג"ה, והשיג שם על הב"י, מיהו נ"ל שדעת הרשב"א והר"ן כהר"ב, ובהגהות שנדפסו בגליון או"ה בכלל י"ג נסתפק בדין זה, ש"ך (סק"ו).</w:t>
      </w:r>
    </w:p>
  </w:footnote>
  <w:footnote w:id="348">
    <w:p w14:paraId="2C951FD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משמע להדיא שנוגעים זה בזה, ואע"ג דלקמן סע' ג' גבי בשר טריפה תפל ובשר שחוטה מלוח הביא המחבר דיש אוסרים כדי קליפה כשנוגעים זה בזה י"ל נהי דנחשב הטרפה תפלה -מחמת הכשירה- מלוח רותח כל כך שמפליטה ציר וציר טרפה אסור, מ"מ לא מחשב רותח כל כך שיפלוט דם, דהכא אין האיסור אלא משום דם, ועוד דאף אם מפליט דם מ"מ לא מחשב רותח כ"כ שיפלוט כל כך דם הרבה אפי' אחר פליטת דם וציר של הדגים, ש"ך (סק"ז).</w:t>
      </w:r>
    </w:p>
  </w:footnote>
  <w:footnote w:id="349">
    <w:p w14:paraId="6FF365B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שהדבר המליח מחמם התפל שיהא מבליע אבל לא כ"כ עד שיהא פולט, ב"י בשם רשב"א, ט"ז (סק"ד).</w:t>
      </w:r>
    </w:p>
  </w:footnote>
  <w:footnote w:id="350">
    <w:p w14:paraId="67927C9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וה"ה אפי' זו בצד זו אם חתיכות הדגים גדולים וגבוהים יותר ועולים עד למעלה מן הבשר מה שלמעלה מן החתיכה שאינו נוגע בה מותר אפי' באותה חתיכה עצמה דלא גרע מנפל חציה לציר ע"כ, הגהות שבסוף האו"ה </w:t>
      </w:r>
      <w:r w:rsidRPr="005C6730">
        <w:rPr>
          <w:rFonts w:asciiTheme="minorBidi" w:hAnsiTheme="minorBidi"/>
          <w:sz w:val="16"/>
          <w:szCs w:val="16"/>
          <w:rtl/>
        </w:rPr>
        <w:t>(שע' י"ג סי' א)</w:t>
      </w:r>
      <w:r w:rsidRPr="005C6730">
        <w:rPr>
          <w:rFonts w:asciiTheme="minorBidi" w:hAnsiTheme="minorBidi"/>
          <w:rtl/>
        </w:rPr>
        <w:t>, ע"פ ש"ך</w:t>
      </w:r>
      <w:r w:rsidRPr="005C6730">
        <w:rPr>
          <w:rFonts w:asciiTheme="minorBidi" w:hAnsiTheme="minorBidi"/>
          <w:sz w:val="16"/>
          <w:szCs w:val="16"/>
          <w:rtl/>
        </w:rPr>
        <w:t xml:space="preserve"> (סק"ט)</w:t>
      </w:r>
      <w:r w:rsidRPr="005C6730">
        <w:rPr>
          <w:rFonts w:asciiTheme="minorBidi" w:hAnsiTheme="minorBidi"/>
          <w:rtl/>
        </w:rPr>
        <w:t>.</w:t>
      </w:r>
    </w:p>
  </w:footnote>
  <w:footnote w:id="351">
    <w:p w14:paraId="79C3908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מיהו קליפה בעי, וכדלקמן ס"ס זה גבי חתיכה שמקצתה בציר, והר"ב כתב זה לדידן דאסרינן הדגים עד ששים דאם הדגים מונחים על העופות מותר בלא ששים, בקליפה, אבל לסברת המחבר לא שייך דין זה, וכמו שכתבתי בסק"ד ע"ש, ש"ך (סק"י).</w:t>
      </w:r>
      <w:r w:rsidRPr="005C6730">
        <w:rPr>
          <w:rFonts w:asciiTheme="minorBidi" w:hAnsiTheme="minorBidi"/>
          <w:color w:val="FF0000"/>
          <w:rtl/>
        </w:rPr>
        <w:t xml:space="preserve"> </w:t>
      </w:r>
    </w:p>
  </w:footnote>
  <w:footnote w:id="352">
    <w:p w14:paraId="5E8CE17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כתב מהרש"ל פרק כ"ה סי' ע"ג דוקא כשידוע בבירור שלא נשרקו הדגים מלמעלה אבל אם אינו ידוע בבירור אסור דסתם מליחה דרך להתהפך עליון לתחתון ע"כ, ש"ך (סק"ח).</w:t>
      </w:r>
    </w:p>
  </w:footnote>
  <w:footnote w:id="353">
    <w:p w14:paraId="5DB34CD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ואפילו שהו הדגים ג"כ מתחלה שיעור מליחה מותרים, כן מוכח להדיא בת"ח שם ע"ש וכן מתבאר מתוך הטעמים שכתבתי בס"ק הקודם, ש"ך (סקי"ב).</w:t>
      </w:r>
    </w:p>
  </w:footnote>
  <w:footnote w:id="354">
    <w:p w14:paraId="42983C3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ואע"ג דלקמן בסי' צ"א גבי בשר וגבינה מלוחים אמרינן דאף לאחר שיעור מליחתו חשוב רותח- שאני הכא דאין האיסור אלא משום דם ולאחר שיעור מליחתו פלט כל דמו, ואע"ג דלעיל סי' ס"ט ס"כ נהגינן לאסור במעשה דרש"י- שאני התם שהמוהל בעין והבשר מונח בתוכו, אבל משום לחלוחית בעלמא שעל הבשר לא נהגינן איסור וסגי לדגים בהדחה, וכן מתבאר בת"ח שם דין י"א בשם או"ה, ש"ך (סקי"א). וחלק מזה כתב גם הט"ז (סק"ו).</w:t>
      </w:r>
    </w:p>
  </w:footnote>
  <w:footnote w:id="355">
    <w:p w14:paraId="654B98F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משמע דיעבד, אבל לכתחלה לא משום דמ"מ הדחה מיהא בעי וחיישינן דלמא משתלי להדיח, וכדלקמן ר"ס צ"א, ואע"ג דלעיל סי' ס"ט סע' ט"ז כתב הר"ב דמותר למלוח אפי' לכתחלה בשר שכבר נמלח והודח בכלי שאינו מנוקב שמלחו בו בשר כבר כתבתי שם דהיינו טעמא דאורחיה דבשר להדיחו קודם הבישול משא"כ כאן גבי דגים, אבל מדברי הב"י </w:t>
      </w:r>
      <w:r w:rsidRPr="005C6730">
        <w:rPr>
          <w:rFonts w:asciiTheme="minorBidi" w:hAnsiTheme="minorBidi"/>
          <w:sz w:val="16"/>
          <w:szCs w:val="16"/>
          <w:rtl/>
        </w:rPr>
        <w:t>(בסוף ד"ה כתוב בשבולי הלקט)</w:t>
      </w:r>
      <w:r w:rsidRPr="005C6730">
        <w:rPr>
          <w:rFonts w:asciiTheme="minorBidi" w:hAnsiTheme="minorBidi"/>
          <w:rtl/>
        </w:rPr>
        <w:t xml:space="preserve"> משמע דס"ל דגם דגים דרכן להדיח קודם הבישול, וכ"כ הרשב"א </w:t>
      </w:r>
      <w:r w:rsidRPr="005C6730">
        <w:rPr>
          <w:rFonts w:asciiTheme="minorBidi" w:hAnsiTheme="minorBidi"/>
          <w:sz w:val="16"/>
          <w:szCs w:val="16"/>
          <w:rtl/>
        </w:rPr>
        <w:t>(בת"ה ב"ד סוף ש"א)</w:t>
      </w:r>
      <w:r w:rsidRPr="005C6730">
        <w:rPr>
          <w:rFonts w:asciiTheme="minorBidi" w:hAnsiTheme="minorBidi"/>
          <w:rtl/>
        </w:rPr>
        <w:t xml:space="preserve"> ונראה לחלק בין דגים שמולחין לקדרה לבשל מיד שאין דרכן להדיחן ובין דגים שמולחין לקיום שדרכן להדיחן אח"כ קודם הבישול ובהכי מיירי הרשב"א בתשובה סי' קכ"ט ומביאו ב"י דכתב דמותר לכתחלה למלוח דגים בכלי שמלחו בו בשר כשר, כן נראה ליישב דעת הר"ב אבל לפי מה שכתבתי לקמן ר"ס צ"א סק"ג בלאו הכי לק"מ ע"ש, ש"ך (סקי"ג).</w:t>
      </w:r>
    </w:p>
  </w:footnote>
  <w:footnote w:id="356">
    <w:p w14:paraId="2039484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דוקא דם, אבל בשאר איסורים שנאסר הכלי מהם ע"י מליחת בשר אפשר דהויין הדגים אסורין לפי שפליטות שאר איסורין מסתרכת יותר, ב"י בשם רשב"א, ורש"ל כ' פכ"ה סי' ע"ג אני אומר שאין מליחה לעץ להפליט איסור כלל אפי' בבליעה בכלי איסור דאורייתא עכ"ל, ט"ז (סק"ז).</w:t>
      </w:r>
    </w:p>
  </w:footnote>
  <w:footnote w:id="357">
    <w:p w14:paraId="5095A26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הר"ב מבאר כן לדעת עצמו אבל דעת המחבר אינו כן וכמ"ש בסק"ו וע"ש, ולא כתב הר"ב כן בלשון וי"א כיון שאין בדברי המחבר הכרח, וכן דרכו בכמה מקומות, ש"ך (סקי"ד).</w:t>
      </w:r>
    </w:p>
  </w:footnote>
  <w:footnote w:id="358">
    <w:p w14:paraId="178348F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אין לפרש דנקט והודח משום דאז נסתמין נקבי הפליטה וכדלקמן סקכ"ו אבל כשלא הודח אף שפלט דמו מ"מ עדיין פולט ציר ואיידי דפליט ציר לא בלע דהא עכ"פ הדג פולט כל צירו קודם שיפלוט העוף דמו א"כ אפי' בלא הודח נמי יהא אסור וכמו שנתבאר אלא והודח הוא לאו דוקא אלא שכתב כן דלישנא דתפל משמע שאינו עומד במלחו, ש"ך (סקט"ו).</w:t>
      </w:r>
    </w:p>
  </w:footnote>
  <w:footnote w:id="359">
    <w:p w14:paraId="2294056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כלומר דשם סעיף ה' בהג"ה נתבאר דציר מבשר שנמלח אפי' לא נמלח רק לצלי חשוב רותח וה"ה הכא ודוק, ועיין בת"ח שם סוף דין י"א, ש"ך (סקט"ז).</w:t>
      </w:r>
    </w:p>
  </w:footnote>
  <w:footnote w:id="360">
    <w:p w14:paraId="239F0A3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אימלח ליה בשר שחוטה בהדי בשר נבלה- ובכלי מנוקב כמשפט המולחים בשר, וקמיבעיא ליה מי אמרינן כי היכי דגבי דם לא חיישינן לדלמא פלט עליון ובלע תחתון דאמרינן כל זמן שטרודים בפליטה אינן בולעין ושניהם נחין יחד מפליטתן ה"נ לא שנא או לא, רש"י.</w:t>
      </w:r>
    </w:p>
  </w:footnote>
  <w:footnote w:id="361">
    <w:p w14:paraId="2756DD3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ה"א יתירא דגבי הטמאים לכם בכל השרץ (ויקרא יא), רש"י.</w:t>
      </w:r>
    </w:p>
  </w:footnote>
  <w:footnote w:id="362">
    <w:p w14:paraId="4A71FBB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פירמא בשר ותבלין הנקפה בשולי הקדירה, וכיון דצירן אסור מיתסר הבשר השחוט מחמת ציר הטרפה שהוא נוח ליבלע מן הדם, רש"י. </w:t>
      </w:r>
    </w:p>
  </w:footnote>
  <w:footnote w:id="363">
    <w:p w14:paraId="11D1BEA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ושמע מינה ציר נמי לא מיבלע כל זמן שעסוקים בפליטה..., רש"י.</w:t>
      </w:r>
    </w:p>
  </w:footnote>
  <w:footnote w:id="364">
    <w:p w14:paraId="368B97C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מבלי מלח דהשתא לא פליט טמא מידי אבל שניהם מלוחים דטמא נמי פליט אסור וכ"ש טמא מליח וטהור תפל, רש"י.</w:t>
      </w:r>
    </w:p>
  </w:footnote>
  <w:footnote w:id="365">
    <w:p w14:paraId="2449C2D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היינו, רישא דברייתא שרי שהיה טהור מליח וטמא תפל "דכל שהוא מליח פולט ומבליע את חבירו ואינו מחממו כ"כ שיהא פולט אלא מעט ואיידי דמטריד לפלוט אינו בולע אותה פליטה מועטת שחבירו פולט, וי"ל נמי שחבירו אינו חם כ"כ שיהא פולט כלל, וסיפא דסיפא בשהיה טמא מליח וטהור תפל ולפיכך אסור שהטמא שהוא מליח פולט ומבליע את הטהור התפל וה"ה כשהיו שניהם מלוחים ולא אמרינן איידי דטריד טהור למיפלט לא בלע דלא אמרו אלא גבי דם דשריק אבל גבי ציר ורוטב אסורים לא דמיסרך סרוכי אא"כ במקום פליטה מרובה כפליטת דם הכבד שאמרו</w:t>
      </w:r>
      <w:r w:rsidRPr="005C6730">
        <w:rPr>
          <w:rFonts w:asciiTheme="minorBidi" w:hAnsiTheme="minorBidi"/>
          <w:sz w:val="16"/>
          <w:szCs w:val="16"/>
          <w:rtl/>
        </w:rPr>
        <w:t xml:space="preserve"> </w:t>
      </w:r>
      <w:r w:rsidRPr="005C6730">
        <w:rPr>
          <w:rFonts w:asciiTheme="minorBidi" w:hAnsiTheme="minorBidi"/>
          <w:rtl/>
        </w:rPr>
        <w:t xml:space="preserve">הכבד אוסרת ואינה נאסרת", רשב"א </w:t>
      </w:r>
      <w:r w:rsidRPr="005C6730">
        <w:rPr>
          <w:rFonts w:asciiTheme="minorBidi" w:hAnsiTheme="minorBidi"/>
          <w:sz w:val="16"/>
          <w:szCs w:val="16"/>
          <w:rtl/>
        </w:rPr>
        <w:t>(תוה"א ב"ד ש"א ב:)</w:t>
      </w:r>
      <w:r w:rsidRPr="005C6730">
        <w:rPr>
          <w:rFonts w:asciiTheme="minorBidi" w:hAnsiTheme="minorBidi"/>
          <w:rtl/>
        </w:rPr>
        <w:t>.</w:t>
      </w:r>
    </w:p>
  </w:footnote>
  <w:footnote w:id="366">
    <w:p w14:paraId="3CC3C7D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דלכו"ע הם נאסרים. ואפילו מלח אותם בכלי מנוקב, שבה"ל</w:t>
      </w:r>
      <w:r w:rsidRPr="005C6730">
        <w:rPr>
          <w:rFonts w:asciiTheme="minorBidi" w:hAnsiTheme="minorBidi"/>
          <w:sz w:val="16"/>
          <w:szCs w:val="16"/>
          <w:rtl/>
        </w:rPr>
        <w:t xml:space="preserve"> </w:t>
      </w:r>
      <w:r w:rsidRPr="005C6730">
        <w:rPr>
          <w:rFonts w:asciiTheme="minorBidi" w:hAnsiTheme="minorBidi"/>
          <w:sz w:val="14"/>
          <w:szCs w:val="14"/>
          <w:rtl/>
        </w:rPr>
        <w:t>(ח"ב סי' לז ד"ה דג טמא)</w:t>
      </w:r>
      <w:r w:rsidRPr="005C6730">
        <w:rPr>
          <w:rFonts w:asciiTheme="minorBidi" w:hAnsiTheme="minorBidi"/>
          <w:rtl/>
        </w:rPr>
        <w:t>.</w:t>
      </w:r>
      <w:r w:rsidRPr="005C6730">
        <w:rPr>
          <w:rFonts w:asciiTheme="minorBidi" w:hAnsiTheme="minorBidi"/>
          <w:sz w:val="16"/>
          <w:szCs w:val="16"/>
          <w:rtl/>
        </w:rPr>
        <w:t xml:space="preserve"> </w:t>
      </w:r>
      <w:r w:rsidRPr="005C6730">
        <w:rPr>
          <w:rFonts w:asciiTheme="minorBidi" w:hAnsiTheme="minorBidi"/>
          <w:rtl/>
        </w:rPr>
        <w:t>וכ' הב"י דפשוט הוא.</w:t>
      </w:r>
    </w:p>
  </w:footnote>
  <w:footnote w:id="367">
    <w:p w14:paraId="3DD7070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תוס'</w:t>
      </w:r>
      <w:r w:rsidRPr="005C6730">
        <w:rPr>
          <w:rFonts w:asciiTheme="minorBidi" w:hAnsiTheme="minorBidi"/>
          <w:sz w:val="16"/>
          <w:szCs w:val="16"/>
          <w:rtl/>
        </w:rPr>
        <w:t xml:space="preserve"> (ד"ה טהור) </w:t>
      </w:r>
      <w:r w:rsidRPr="005C6730">
        <w:rPr>
          <w:rFonts w:asciiTheme="minorBidi" w:hAnsiTheme="minorBidi"/>
          <w:rtl/>
        </w:rPr>
        <w:t xml:space="preserve">רשב"א </w:t>
      </w:r>
      <w:r w:rsidRPr="005C6730">
        <w:rPr>
          <w:rFonts w:asciiTheme="minorBidi" w:hAnsiTheme="minorBidi"/>
          <w:sz w:val="16"/>
          <w:szCs w:val="16"/>
          <w:rtl/>
        </w:rPr>
        <w:t>(תוה"ק ב"ד ש"א)</w:t>
      </w:r>
      <w:r w:rsidRPr="005C6730">
        <w:rPr>
          <w:rFonts w:asciiTheme="minorBidi" w:hAnsiTheme="minorBidi"/>
          <w:rtl/>
        </w:rPr>
        <w:t xml:space="preserve"> רא"ש </w:t>
      </w:r>
      <w:r w:rsidRPr="005C6730">
        <w:rPr>
          <w:rFonts w:asciiTheme="minorBidi" w:hAnsiTheme="minorBidi"/>
          <w:sz w:val="16"/>
          <w:szCs w:val="16"/>
          <w:rtl/>
        </w:rPr>
        <w:t xml:space="preserve">(סי' כד וסי' מא) </w:t>
      </w:r>
      <w:r w:rsidRPr="005C6730">
        <w:rPr>
          <w:rFonts w:asciiTheme="minorBidi" w:hAnsiTheme="minorBidi"/>
          <w:rtl/>
        </w:rPr>
        <w:t>וטור</w:t>
      </w:r>
      <w:r w:rsidRPr="005C6730">
        <w:rPr>
          <w:rFonts w:asciiTheme="minorBidi" w:hAnsiTheme="minorBidi"/>
          <w:sz w:val="16"/>
          <w:szCs w:val="16"/>
          <w:rtl/>
        </w:rPr>
        <w:t xml:space="preserve"> (לקמן סימן ק"ה, ואע"פ שסתם כאן לאסור בשר שחוטה שנמלח עם טרפה סמך עמ"ש בסי' ק"ה דאינו אוסר אלא כדי קליפה)</w:t>
      </w:r>
      <w:r w:rsidRPr="005C6730">
        <w:rPr>
          <w:rFonts w:asciiTheme="minorBidi" w:hAnsiTheme="minorBidi"/>
          <w:rtl/>
        </w:rPr>
        <w:t>.</w:t>
      </w:r>
    </w:p>
  </w:footnote>
  <w:footnote w:id="368">
    <w:p w14:paraId="7D359C0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וכתבו התוס' </w:t>
      </w:r>
      <w:r w:rsidRPr="005C6730">
        <w:rPr>
          <w:rFonts w:asciiTheme="minorBidi" w:hAnsiTheme="minorBidi"/>
          <w:sz w:val="16"/>
          <w:szCs w:val="16"/>
          <w:rtl/>
        </w:rPr>
        <w:t xml:space="preserve">(ד"ה טהור) </w:t>
      </w:r>
      <w:r w:rsidRPr="005C6730">
        <w:rPr>
          <w:rFonts w:asciiTheme="minorBidi" w:hAnsiTheme="minorBidi"/>
          <w:rtl/>
        </w:rPr>
        <w:t xml:space="preserve">והרא"ש </w:t>
      </w:r>
      <w:r w:rsidRPr="005C6730">
        <w:rPr>
          <w:rFonts w:asciiTheme="minorBidi" w:hAnsiTheme="minorBidi"/>
          <w:sz w:val="16"/>
          <w:szCs w:val="16"/>
          <w:rtl/>
        </w:rPr>
        <w:t xml:space="preserve">(סי' מא) </w:t>
      </w:r>
      <w:r w:rsidRPr="005C6730">
        <w:rPr>
          <w:rFonts w:asciiTheme="minorBidi" w:hAnsiTheme="minorBidi"/>
          <w:rtl/>
        </w:rPr>
        <w:t xml:space="preserve">טהור מליח וטמא תפל מותר, {ד}גבי מליח כרותח לא שייך לא עילאה גבר ולא תתאה ואפילו קליפה לא בעי, והא דאמרינן </w:t>
      </w:r>
      <w:r w:rsidRPr="005C6730">
        <w:rPr>
          <w:rFonts w:asciiTheme="minorBidi" w:hAnsiTheme="minorBidi"/>
          <w:sz w:val="16"/>
          <w:szCs w:val="16"/>
          <w:rtl/>
        </w:rPr>
        <w:t xml:space="preserve">(פסחים עו.) </w:t>
      </w:r>
      <w:r w:rsidRPr="005C6730">
        <w:rPr>
          <w:rFonts w:asciiTheme="minorBidi" w:hAnsiTheme="minorBidi"/>
          <w:rtl/>
        </w:rPr>
        <w:t xml:space="preserve">גבי תתאה גבר או עילאה אדמיקר ליה בלע היינו בחום של צלי. וכ' הדרכ"מ </w:t>
      </w:r>
      <w:r w:rsidRPr="005C6730">
        <w:rPr>
          <w:rFonts w:asciiTheme="minorBidi" w:hAnsiTheme="minorBidi"/>
          <w:sz w:val="16"/>
          <w:szCs w:val="16"/>
          <w:rtl/>
        </w:rPr>
        <w:t>(אות ח)</w:t>
      </w:r>
      <w:r w:rsidRPr="005C6730">
        <w:rPr>
          <w:rFonts w:asciiTheme="minorBidi" w:hAnsiTheme="minorBidi"/>
          <w:rtl/>
        </w:rPr>
        <w:t>- וכבר כתבתי לעיל</w:t>
      </w:r>
      <w:r w:rsidRPr="005C6730">
        <w:rPr>
          <w:rFonts w:asciiTheme="minorBidi" w:hAnsiTheme="minorBidi"/>
          <w:sz w:val="16"/>
          <w:szCs w:val="16"/>
          <w:rtl/>
        </w:rPr>
        <w:t xml:space="preserve"> (אות ה) </w:t>
      </w:r>
      <w:r w:rsidRPr="005C6730">
        <w:rPr>
          <w:rFonts w:asciiTheme="minorBidi" w:hAnsiTheme="minorBidi"/>
          <w:rtl/>
        </w:rPr>
        <w:t>דאין נוהגין כן וגם ב"י כתב בשם הרבה פוסקים לאסור ועיין לקמן סימן ק"ה</w:t>
      </w:r>
      <w:r w:rsidRPr="005C6730">
        <w:rPr>
          <w:rFonts w:asciiTheme="minorBidi" w:hAnsiTheme="minorBidi"/>
          <w:sz w:val="16"/>
          <w:szCs w:val="16"/>
          <w:rtl/>
        </w:rPr>
        <w:t xml:space="preserve"> (אות יא) </w:t>
      </w:r>
      <w:r w:rsidRPr="005C6730">
        <w:rPr>
          <w:rFonts w:asciiTheme="minorBidi" w:hAnsiTheme="minorBidi"/>
          <w:rtl/>
        </w:rPr>
        <w:t>שיתבאר בע"ה.</w:t>
      </w:r>
    </w:p>
  </w:footnote>
  <w:footnote w:id="369">
    <w:p w14:paraId="0CAF24B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דבפסח שני (פסחים עה:) מוכח בהדיא דברותח דצלי בעי נטילת מקום. והביאו הר"ן (מב. ד"ה דג טהור) וכ'- ואיני מודה לו בזה דהתם שאני דנטף מרוטבו וחזר אליו אבל בצלי לא בעי אלא קליפה בלחוד, ומיהו הכא איפשר דכיון דציר זה יצא מן הטמא ועמד בעינו ונבלע אח"כ בטהור הוי ליה כנטף מרוטבו וחזר אליו ובעי נטילת מקום</w:t>
      </w:r>
      <w:r w:rsidRPr="005C6730">
        <w:rPr>
          <w:rFonts w:asciiTheme="minorBidi" w:hAnsiTheme="minorBidi"/>
          <w:sz w:val="16"/>
          <w:szCs w:val="16"/>
          <w:rtl/>
        </w:rPr>
        <w:t xml:space="preserve"> (אע"ג דבכל איסור שע"י מליחה סגי ליה בקליפה)</w:t>
      </w:r>
      <w:r w:rsidRPr="005C6730">
        <w:rPr>
          <w:rFonts w:asciiTheme="minorBidi" w:hAnsiTheme="minorBidi"/>
          <w:rtl/>
        </w:rPr>
        <w:t>.</w:t>
      </w:r>
    </w:p>
  </w:footnote>
  <w:footnote w:id="370">
    <w:p w14:paraId="361F48A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w:t>
      </w:r>
      <w:r>
        <w:rPr>
          <w:rFonts w:asciiTheme="minorBidi" w:hAnsiTheme="minorBidi" w:hint="cs"/>
          <w:rtl/>
        </w:rPr>
        <w:t>ה</w:t>
      </w:r>
      <w:r w:rsidRPr="00B9274D">
        <w:rPr>
          <w:rFonts w:asciiTheme="minorBidi" w:hAnsiTheme="minorBidi"/>
          <w:rtl/>
        </w:rPr>
        <w:t>רמב"ם (פט"ו הל"ד)</w:t>
      </w:r>
      <w:r>
        <w:rPr>
          <w:rFonts w:asciiTheme="minorBidi" w:hAnsiTheme="minorBidi" w:hint="cs"/>
          <w:rtl/>
        </w:rPr>
        <w:t xml:space="preserve"> כתב וז"ל</w:t>
      </w:r>
      <w:r w:rsidRPr="00B9274D">
        <w:rPr>
          <w:rFonts w:asciiTheme="minorBidi" w:hAnsiTheme="minorBidi"/>
          <w:rtl/>
        </w:rPr>
        <w:t>- בשר נבלה מליח שנבלל עמו בשר שחוטה הרי זה נאסר מפני שתמצית הנבלה נבלעת בגוף בשר השחוטה וא</w:t>
      </w:r>
      <w:r w:rsidRPr="00B9274D">
        <w:rPr>
          <w:rFonts w:asciiTheme="minorBidi" w:hAnsiTheme="minorBidi" w:hint="cs"/>
          <w:rtl/>
        </w:rPr>
        <w:t>י אפשר</w:t>
      </w:r>
      <w:r w:rsidRPr="00B9274D">
        <w:rPr>
          <w:rFonts w:asciiTheme="minorBidi" w:hAnsiTheme="minorBidi"/>
          <w:rtl/>
        </w:rPr>
        <w:t xml:space="preserve"> לעמוד כאן לא על הטעם ולא על השיעור</w:t>
      </w:r>
      <w:r w:rsidRPr="00B9274D">
        <w:rPr>
          <w:rFonts w:asciiTheme="minorBidi" w:hAnsiTheme="minorBidi" w:hint="cs"/>
          <w:rtl/>
        </w:rPr>
        <w:t>,</w:t>
      </w:r>
      <w:r w:rsidRPr="00B9274D">
        <w:rPr>
          <w:rFonts w:asciiTheme="minorBidi" w:hAnsiTheme="minorBidi"/>
          <w:rtl/>
        </w:rPr>
        <w:t xml:space="preserve"> וכן בשר דג טמא מליח שנבלל עמו דג תפל טהור נאסר מפני צירו</w:t>
      </w:r>
      <w:r w:rsidRPr="00B9274D">
        <w:rPr>
          <w:rFonts w:asciiTheme="minorBidi" w:hAnsiTheme="minorBidi" w:hint="cs"/>
          <w:rtl/>
        </w:rPr>
        <w:t>,</w:t>
      </w:r>
      <w:r w:rsidRPr="00B9274D">
        <w:rPr>
          <w:rFonts w:asciiTheme="minorBidi" w:hAnsiTheme="minorBidi"/>
          <w:rtl/>
        </w:rPr>
        <w:t xml:space="preserve"> אבל אם היה המליח טהור והתפל דג טמא לא נאסר המליח שהתפל בולע מן המליח</w:t>
      </w:r>
      <w:r>
        <w:rPr>
          <w:rFonts w:asciiTheme="minorBidi" w:hAnsiTheme="minorBidi" w:hint="cs"/>
          <w:rtl/>
        </w:rPr>
        <w:t xml:space="preserve">. עכ"ל. </w:t>
      </w:r>
      <w:r w:rsidRPr="005C6730">
        <w:rPr>
          <w:rFonts w:asciiTheme="minorBidi" w:hAnsiTheme="minorBidi"/>
          <w:rtl/>
        </w:rPr>
        <w:t>וכ' הב"י- נראה מדבריו שהוא סובר שהכל נאסר כדברי הרמב"ן ואינו ניתר לא בקליפה ולא בנטילת מקום ואינו מתבטל בששים</w:t>
      </w:r>
      <w:r w:rsidRPr="005C6730">
        <w:rPr>
          <w:rFonts w:asciiTheme="minorBidi" w:hAnsiTheme="minorBidi"/>
          <w:sz w:val="16"/>
          <w:szCs w:val="16"/>
          <w:rtl/>
        </w:rPr>
        <w:t xml:space="preserve"> {והביא הב"י הוכחות להבנתו בדברי הרמב"ם}</w:t>
      </w:r>
      <w:r w:rsidRPr="005C6730">
        <w:rPr>
          <w:rFonts w:asciiTheme="minorBidi" w:hAnsiTheme="minorBidi"/>
          <w:rtl/>
        </w:rPr>
        <w:t xml:space="preserve">... וע"פ הדברים האלה לדעת הרמב"ם דגים ועופות שמלחן זה עם זה דגים כולם אסורים ואע"פ שלא כתב כן בפירוש בפ"ו </w:t>
      </w:r>
      <w:r w:rsidRPr="005C6730">
        <w:rPr>
          <w:rFonts w:asciiTheme="minorBidi" w:hAnsiTheme="minorBidi"/>
          <w:sz w:val="14"/>
          <w:szCs w:val="14"/>
          <w:rtl/>
        </w:rPr>
        <w:t xml:space="preserve">(הט"ז) </w:t>
      </w:r>
      <w:r w:rsidRPr="005C6730">
        <w:rPr>
          <w:rFonts w:asciiTheme="minorBidi" w:hAnsiTheme="minorBidi"/>
          <w:rtl/>
        </w:rPr>
        <w:t>כשכתב דין זה</w:t>
      </w:r>
      <w:r>
        <w:rPr>
          <w:rFonts w:asciiTheme="minorBidi" w:hAnsiTheme="minorBidi" w:hint="cs"/>
          <w:rtl/>
        </w:rPr>
        <w:t xml:space="preserve"> </w:t>
      </w:r>
      <w:r w:rsidRPr="005C6730">
        <w:rPr>
          <w:rFonts w:asciiTheme="minorBidi" w:hAnsiTheme="minorBidi"/>
          <w:rtl/>
        </w:rPr>
        <w:t>- ממ"ש בפט"ו גבי בשר שחוטה שנמלח עם בשר נבלה נלמוד לדין זה שדבר הנאסר ע"י מליחה נבלע האיסור בכל גופו, ומיהו יש לדחות שלא אמר כן הרמב"ם אלא בנבלה ודג טמא ודכותייהו אבל בדם לא משום דדם מישרק שריק ואינו מפעפע ולפיכך אינו אוסר אלא כדי קליפה.</w:t>
      </w:r>
    </w:p>
  </w:footnote>
  <w:footnote w:id="371">
    <w:p w14:paraId="693425C2" w14:textId="77777777" w:rsidR="004C5A3C" w:rsidRDefault="004C5A3C" w:rsidP="002C39F4">
      <w:pPr>
        <w:pStyle w:val="a5"/>
        <w:rPr>
          <w:rtl/>
        </w:rPr>
      </w:pPr>
      <w:r>
        <w:rPr>
          <w:rStyle w:val="a7"/>
        </w:rPr>
        <w:footnoteRef/>
      </w:r>
      <w:r>
        <w:rPr>
          <w:rtl/>
        </w:rPr>
        <w:t xml:space="preserve"> </w:t>
      </w:r>
      <w:r w:rsidRPr="003024E5">
        <w:rPr>
          <w:rFonts w:asciiTheme="minorBidi" w:hAnsiTheme="minorBidi"/>
          <w:rtl/>
        </w:rPr>
        <w:t xml:space="preserve">רשב"א </w:t>
      </w:r>
      <w:r w:rsidRPr="003024E5">
        <w:rPr>
          <w:rFonts w:asciiTheme="minorBidi" w:hAnsiTheme="minorBidi"/>
          <w:sz w:val="16"/>
          <w:szCs w:val="16"/>
          <w:rtl/>
        </w:rPr>
        <w:t>(תוה"ק ב"ד ש"א)</w:t>
      </w:r>
      <w:r w:rsidRPr="003024E5">
        <w:rPr>
          <w:rFonts w:asciiTheme="minorBidi" w:hAnsiTheme="minorBidi"/>
          <w:rtl/>
        </w:rPr>
        <w:t xml:space="preserve"> רא"ש</w:t>
      </w:r>
      <w:r w:rsidRPr="003024E5">
        <w:rPr>
          <w:rFonts w:asciiTheme="minorBidi" w:hAnsiTheme="minorBidi"/>
          <w:sz w:val="16"/>
          <w:szCs w:val="16"/>
          <w:rtl/>
        </w:rPr>
        <w:t xml:space="preserve"> (סי' מב)</w:t>
      </w:r>
      <w:r>
        <w:rPr>
          <w:rFonts w:asciiTheme="minorBidi" w:hAnsiTheme="minorBidi" w:hint="cs"/>
          <w:sz w:val="16"/>
          <w:szCs w:val="16"/>
          <w:rtl/>
        </w:rPr>
        <w:t xml:space="preserve"> </w:t>
      </w:r>
      <w:r w:rsidRPr="003024E5">
        <w:rPr>
          <w:rFonts w:asciiTheme="minorBidi" w:hAnsiTheme="minorBidi"/>
          <w:rtl/>
        </w:rPr>
        <w:t xml:space="preserve">הג"א </w:t>
      </w:r>
      <w:r w:rsidRPr="003024E5">
        <w:rPr>
          <w:rFonts w:asciiTheme="minorBidi" w:hAnsiTheme="minorBidi"/>
          <w:sz w:val="16"/>
          <w:szCs w:val="16"/>
          <w:rtl/>
        </w:rPr>
        <w:t xml:space="preserve">(סי' מב) </w:t>
      </w:r>
      <w:r w:rsidRPr="003024E5">
        <w:rPr>
          <w:rFonts w:asciiTheme="minorBidi" w:hAnsiTheme="minorBidi"/>
          <w:rtl/>
        </w:rPr>
        <w:t>וטור</w:t>
      </w:r>
      <w:r>
        <w:rPr>
          <w:rFonts w:asciiTheme="minorBidi" w:hAnsiTheme="minorBidi" w:hint="cs"/>
          <w:rtl/>
        </w:rPr>
        <w:t>.</w:t>
      </w:r>
    </w:p>
  </w:footnote>
  <w:footnote w:id="372">
    <w:p w14:paraId="1099688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היינו כתירוצו השני של הרא"ש, וכ' הב"י דלפיכך כ' כאן הטור- ונתן הטהור אחר שמלחו על הטמא מותר, ולעיל גבי עופות ודגים כ' ג"כ- אם לא מלחן יחד אלא לאחר שמלח הדג נתנו עם העוף מותר, דלא תימא דבנמלח מכל צדדין רק לא במקום שהוא דבוק בטמא או בעוף הוא דשרי אלא אפילו מלחו בפני עצמו כסתם מליחה שהיא מכל צדדיו ואח"כ נתנו עם הטמא או עם העוף שרי דאע"ג שהטמא או העוף נמלחו בצד שהם דבוקים בו אינו נחשב כרותח להיות פולט. וכ' הב"י שכן נראה ד' המרדכי </w:t>
      </w:r>
      <w:r w:rsidRPr="005C6730">
        <w:rPr>
          <w:rFonts w:asciiTheme="minorBidi" w:hAnsiTheme="minorBidi"/>
          <w:sz w:val="16"/>
          <w:szCs w:val="16"/>
          <w:rtl/>
        </w:rPr>
        <w:t>(סי' תשיח)</w:t>
      </w:r>
      <w:r w:rsidRPr="005C6730">
        <w:rPr>
          <w:rFonts w:asciiTheme="minorBidi" w:hAnsiTheme="minorBidi"/>
          <w:rtl/>
        </w:rPr>
        <w:t>.</w:t>
      </w:r>
    </w:p>
  </w:footnote>
  <w:footnote w:id="373">
    <w:p w14:paraId="684CEAB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סה"ת</w:t>
      </w:r>
      <w:r w:rsidRPr="005C6730">
        <w:rPr>
          <w:rFonts w:asciiTheme="minorBidi" w:hAnsiTheme="minorBidi"/>
          <w:sz w:val="16"/>
          <w:szCs w:val="16"/>
          <w:rtl/>
        </w:rPr>
        <w:t xml:space="preserve"> (סי' סג) </w:t>
      </w:r>
      <w:r w:rsidRPr="005C6730">
        <w:rPr>
          <w:rFonts w:asciiTheme="minorBidi" w:hAnsiTheme="minorBidi"/>
          <w:rtl/>
        </w:rPr>
        <w:t>ור"ן</w:t>
      </w:r>
      <w:r w:rsidRPr="005C6730">
        <w:rPr>
          <w:rFonts w:asciiTheme="minorBidi" w:hAnsiTheme="minorBidi"/>
          <w:sz w:val="16"/>
          <w:szCs w:val="16"/>
          <w:rtl/>
        </w:rPr>
        <w:t xml:space="preserve"> (מב. ד"ה דג טהור)</w:t>
      </w:r>
      <w:r w:rsidRPr="005C6730">
        <w:rPr>
          <w:rFonts w:asciiTheme="minorBidi" w:hAnsiTheme="minorBidi"/>
          <w:rtl/>
        </w:rPr>
        <w:t>.</w:t>
      </w:r>
    </w:p>
  </w:footnote>
  <w:footnote w:id="374">
    <w:p w14:paraId="69D4AA1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עוד הר"ן- טמא מליח וטהור תפל אסור משום דטמא מליח פולט ציר וציר זה שהוא רותח מחמת מלח נבלע בטהור ואוסרו ואע"פ שהטהור אינו מליח כ"כ מחמת בליעתו שלא יהא נאכל מחמת מלחו ולעיל אמרינן דלא אמרינן מליח הרי הוא כרותח אלא כשאינו נאכל מחמת מלחו היינו לומר שאין הבשר רותח אבל מ"מ ציר זה הנופל עליו רותח הוא ונבלע בו, ומיהו הבשר צונן חשבינן ליה דמשום הכי אמרינן טהור מליח וטמא תפל מותר שאע"פ שנבלעים בתוכו טיפות רותחות מן הטהור אעפ"כ אינו מתחמם כ"כ עד שיפלוט.</w:t>
      </w:r>
    </w:p>
  </w:footnote>
  <w:footnote w:id="375">
    <w:p w14:paraId="1E8D5499" w14:textId="77777777" w:rsidR="004C5A3C" w:rsidRDefault="004C5A3C" w:rsidP="002C39F4">
      <w:pPr>
        <w:pStyle w:val="a5"/>
      </w:pPr>
      <w:r>
        <w:rPr>
          <w:rStyle w:val="a7"/>
        </w:rPr>
        <w:footnoteRef/>
      </w:r>
      <w:r>
        <w:rPr>
          <w:rtl/>
        </w:rPr>
        <w:t xml:space="preserve"> </w:t>
      </w:r>
      <w:r w:rsidRPr="00711EB1">
        <w:rPr>
          <w:rFonts w:cs="Arial"/>
          <w:rtl/>
        </w:rPr>
        <w:t>ר</w:t>
      </w:r>
      <w:r>
        <w:rPr>
          <w:rFonts w:cs="Arial" w:hint="cs"/>
          <w:rtl/>
        </w:rPr>
        <w:t>"</w:t>
      </w:r>
      <w:r w:rsidRPr="00711EB1">
        <w:rPr>
          <w:rFonts w:cs="Arial"/>
          <w:rtl/>
        </w:rPr>
        <w:t>ל אם הוא חלב חיה</w:t>
      </w:r>
      <w:r>
        <w:rPr>
          <w:rFonts w:cs="Arial" w:hint="cs"/>
          <w:rtl/>
        </w:rPr>
        <w:t>,</w:t>
      </w:r>
      <w:r w:rsidRPr="00711EB1">
        <w:rPr>
          <w:rFonts w:cs="Arial"/>
          <w:rtl/>
        </w:rPr>
        <w:t xml:space="preserve"> ומיהו שייך בחלב ג"כ איסור דם דמש"ה ה"ל למיסר אי לאו דטמא תפל</w:t>
      </w:r>
      <w:r>
        <w:rPr>
          <w:rFonts w:cs="Arial" w:hint="cs"/>
          <w:rtl/>
        </w:rPr>
        <w:t>, דברי חמודות</w:t>
      </w:r>
      <w:r w:rsidRPr="00711EB1">
        <w:rPr>
          <w:rFonts w:cs="Arial" w:hint="cs"/>
          <w:sz w:val="16"/>
          <w:szCs w:val="16"/>
          <w:rtl/>
        </w:rPr>
        <w:t xml:space="preserve"> (חולין פ"ח סי' מא)</w:t>
      </w:r>
      <w:r>
        <w:rPr>
          <w:rFonts w:cs="Arial" w:hint="cs"/>
          <w:rtl/>
        </w:rPr>
        <w:t>.</w:t>
      </w:r>
    </w:p>
  </w:footnote>
  <w:footnote w:id="376">
    <w:p w14:paraId="2EF3462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וכדברי האו"ז כן דעת סה"ת </w:t>
      </w:r>
      <w:r w:rsidRPr="005C6730">
        <w:rPr>
          <w:rFonts w:asciiTheme="minorBidi" w:hAnsiTheme="minorBidi"/>
          <w:sz w:val="16"/>
          <w:szCs w:val="16"/>
          <w:rtl/>
        </w:rPr>
        <w:t xml:space="preserve">(שם) </w:t>
      </w:r>
      <w:r w:rsidRPr="005C6730">
        <w:rPr>
          <w:rFonts w:asciiTheme="minorBidi" w:hAnsiTheme="minorBidi"/>
          <w:rtl/>
        </w:rPr>
        <w:t xml:space="preserve">ושע"ד </w:t>
      </w:r>
      <w:r w:rsidRPr="005C6730">
        <w:rPr>
          <w:rFonts w:asciiTheme="minorBidi" w:hAnsiTheme="minorBidi"/>
          <w:sz w:val="16"/>
          <w:szCs w:val="16"/>
          <w:rtl/>
        </w:rPr>
        <w:t>(סי' כא וכב)</w:t>
      </w:r>
      <w:r w:rsidRPr="005C6730">
        <w:rPr>
          <w:rFonts w:asciiTheme="minorBidi" w:hAnsiTheme="minorBidi"/>
          <w:rtl/>
        </w:rPr>
        <w:t>, ע"פ ב"י.</w:t>
      </w:r>
    </w:p>
  </w:footnote>
  <w:footnote w:id="377">
    <w:p w14:paraId="45D808F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ואי איכא ספיקא אם נמלח בשר שחוטה בהדי בשר נבילה הוי ספק דאורייתא לחומרא, שע"ד (ש"י סי' כ, הביאו הט"ז [סק"ט]).</w:t>
      </w:r>
    </w:p>
  </w:footnote>
  <w:footnote w:id="378">
    <w:p w14:paraId="0BDC8C5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לרבותא דסיפא נקט הכי דאם הכשרה מלוח והטריפה תפלה אפי' בנוגעים זה בזה מותר ולא אמרינן דמתוך נגיעתו יחשב התפלה רותח ויפלוט ע"י כך כיון שלא נמלח ממש, ולאפוקי סברא אחרונה, אבל אין לפרש דלהכי נקט נוגעים זה בזה משום דאל"כ אפילו הטריפה מלוח והכשרה תפלה מותר- דזה לא נמצא בשום פוסק ואדרבה משמע בב"י דכו"ע מודי בהא דאע"פ שאינן נוגעים זה בזה כל שעומדים בסמוך בכדי שפליטה של זה נוגעת בזה אסור, וגם אין סברא כלל להתיר בכהאי גוונא כיון דעכ"פ הציר נוטף על הכשרה מה לי נוגע או לא, אלא ודאי כדפירשתי, ש"ך (סקי"ז).</w:t>
      </w:r>
    </w:p>
  </w:footnote>
  <w:footnote w:id="379">
    <w:p w14:paraId="2700268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כיון שהוא טרוד לפלוט דם דידיה, מ"מ בולע מציר שהיא נוח ליבלע, דדוקא גבי דם אמרינן איידי דטריד למיפלט לא בלע אבל לא בשאר איסורים, וציר נבילה וטריפה ושרצים הוא מדאורייתא, משא"כ ציר דגים טמאים דהוי מדרבנן, וכדלקמן סי' פ"ג ס"ה, וכן ציר דבשר דאסור משום דם אינו אסור אלא מדרבנן, וכדלקמן בסוף הסי', ונפ"מ לענין ספיקא, ש"ך (סקי"ח).</w:t>
      </w:r>
    </w:p>
  </w:footnote>
  <w:footnote w:id="380">
    <w:p w14:paraId="4BD2720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כדין בשר וגבינה שנגעו זה בזה צוננים כמו שכתבתי בסי' צ"א </w:t>
      </w:r>
      <w:r w:rsidRPr="005C6730">
        <w:rPr>
          <w:rFonts w:asciiTheme="minorBidi" w:hAnsiTheme="minorBidi"/>
          <w:sz w:val="16"/>
          <w:szCs w:val="16"/>
          <w:rtl/>
        </w:rPr>
        <w:t>(קמד. ד"ה ומ"ש ואם הבשר)</w:t>
      </w:r>
      <w:r w:rsidRPr="005C6730">
        <w:rPr>
          <w:rFonts w:asciiTheme="minorBidi" w:hAnsiTheme="minorBidi"/>
          <w:rtl/>
        </w:rPr>
        <w:t xml:space="preserve">, וכמו שכתבתי בשם </w:t>
      </w:r>
      <w:r>
        <w:rPr>
          <w:rFonts w:asciiTheme="minorBidi" w:hAnsiTheme="minorBidi"/>
          <w:rtl/>
        </w:rPr>
        <w:t>הג"א</w:t>
      </w:r>
      <w:r w:rsidRPr="005C6730">
        <w:rPr>
          <w:rFonts w:asciiTheme="minorBidi" w:hAnsiTheme="minorBidi"/>
          <w:rtl/>
        </w:rPr>
        <w:t>, ומה שלא הזכיר הטור כאן הדחה היינו משום דלא איצטריך ליה דסתם בשר חי אין אוכלין ולא מבשלין אותו בלא הדחה, ב"י.</w:t>
      </w:r>
    </w:p>
  </w:footnote>
  <w:footnote w:id="381">
    <w:p w14:paraId="636DCC8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ונראה דאז אפילו הדחה לא צריך כיון שאין נוגעים זה בזה, וא"כ המחבר שכתב לקמן סי' ק"ה ס"י אם ההיתר מלוח והאיסור תפל א"צ אלא הדחה על כרחך מיירי בנוגעים וסתם שם כסברא הראשונה, וכן בסימן צ"א ס"ה סתם כן, וגם בספרו ב"י משמע להדיא שהסברא ראשונה עיקר בעיניו, ולכן כתב הסברא האחרונה בשם ויש מי שאוסר, ש"ך (סקי"ט).</w:t>
      </w:r>
    </w:p>
  </w:footnote>
  <w:footnote w:id="382">
    <w:p w14:paraId="064C9AF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היינו בעומדים בסמוך בכדי שפליטה של זה נוגעת בזה.</w:t>
      </w:r>
    </w:p>
  </w:footnote>
  <w:footnote w:id="383">
    <w:p w14:paraId="43E268A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אליבא דכו"ע, ש"ך (סוף סקי"ז).</w:t>
      </w:r>
    </w:p>
  </w:footnote>
  <w:footnote w:id="384">
    <w:p w14:paraId="5FD57D7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דשם סע' י' פסק הר"ב דיש להחמיר שלא במקום הפסד מרובה כסברא האחרונה, ובת"ח סוף כלל כ"א פסק לגמרי כסברא הראשונה, וכן דעת מהרש"ל פ' כל הבשר סימן פ', וכ"ד העט"ז (סע' ג), ש"ך (סק"כ).</w:t>
      </w:r>
    </w:p>
  </w:footnote>
  <w:footnote w:id="385">
    <w:p w14:paraId="1C3C5F22" w14:textId="77777777" w:rsidR="004C5A3C" w:rsidRDefault="004C5A3C" w:rsidP="002C39F4">
      <w:pPr>
        <w:pStyle w:val="a5"/>
        <w:rPr>
          <w:rtl/>
        </w:rPr>
      </w:pPr>
      <w:r>
        <w:rPr>
          <w:rStyle w:val="a7"/>
        </w:rPr>
        <w:footnoteRef/>
      </w:r>
      <w:r>
        <w:rPr>
          <w:rtl/>
        </w:rPr>
        <w:t xml:space="preserve"> </w:t>
      </w:r>
      <w:r>
        <w:rPr>
          <w:rFonts w:hint="cs"/>
          <w:rtl/>
        </w:rPr>
        <w:t>עד עתה דובר בשתי חתיכות כחושות, אבל אם אחת מהן שמינה הכל אסור אם אין ס' כנגדה, אך נחלקו הראשונים-...</w:t>
      </w:r>
    </w:p>
  </w:footnote>
  <w:footnote w:id="386">
    <w:p w14:paraId="531A67B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מקור הדברים בתוה"ק (ב"ד ש"א ב:), ושם כתב על דין בשר שחוטה שנמלח עם בשר נבלה ודג טהור שמלחו עם דג טמא שאסורים בששניהם מלוחים או בשטמא מליח וטהור תפל-...</w:t>
      </w:r>
    </w:p>
  </w:footnote>
  <w:footnote w:id="387">
    <w:p w14:paraId="370941C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הב"י הביא את דברי הרשב"א הללו, והטור הביא גם את דברי הרשב"א אבל הוא הביא רק חלק מהם, וכתב הטור על דברי הרשב"א- יראה שהוא סובר שחום ע"י מליח אוסר הכל וא"א הרא"ש ז"ל לא כתב כן, עכ"ל. וכ' הב"י שכתב הטור כן משום שראה תחלת דברי הרשב"א ולא הספיק לעיין בסופם עד שכתב עליו מה שכתב ואילו נסתכל בסופם היה רואה שלא היה מחלוקת בינו ובין הרא"ש בכך... </w:t>
      </w:r>
      <w:r w:rsidRPr="005C6730">
        <w:rPr>
          <w:rFonts w:asciiTheme="minorBidi" w:hAnsiTheme="minorBidi"/>
          <w:sz w:val="14"/>
          <w:szCs w:val="14"/>
          <w:rtl/>
        </w:rPr>
        <w:t xml:space="preserve"> {ואחרי שהעתיק הב"י את דברי הרשב"א דלעיל כתב-} </w:t>
      </w:r>
      <w:r w:rsidRPr="005C6730">
        <w:rPr>
          <w:rFonts w:asciiTheme="minorBidi" w:hAnsiTheme="minorBidi"/>
          <w:rtl/>
        </w:rPr>
        <w:t xml:space="preserve">הרי מפורש שלא אמר דחום ע"י מליח אוסר הכל אלא דוקא כשהאיסור שמן ובהא להרא"ש נמי אוסר הכל כדאשכחן בגדי שמן שצלאו בחלבו וקי"ל דמליח כרותח דצלי וכ"כ רבינו בהדיא בסמוך, וגדולה מזו כתב דאפילו איסור כחוש אם ההיתר שמן כל היכא דאיסור מליח והיתר תפל אוסר כולו וכבר פירשתי </w:t>
      </w:r>
      <w:r w:rsidRPr="005C6730">
        <w:rPr>
          <w:rFonts w:asciiTheme="minorBidi" w:hAnsiTheme="minorBidi"/>
          <w:sz w:val="16"/>
          <w:szCs w:val="16"/>
          <w:rtl/>
        </w:rPr>
        <w:t>(קסו. ד"ה כתב עוד הרשב"א)</w:t>
      </w:r>
      <w:r w:rsidRPr="005C6730">
        <w:rPr>
          <w:rFonts w:asciiTheme="minorBidi" w:hAnsiTheme="minorBidi"/>
          <w:rtl/>
        </w:rPr>
        <w:t xml:space="preserve"> דכשאין בו ס' קאמר דאוסר כולו וכך פירוש דברי הרשב"א ומ"מ נתברר שדברי הרשב"א בזה מוסכמים לד' הרא"ש ולדעת רבינו.</w:t>
      </w:r>
    </w:p>
  </w:footnote>
  <w:footnote w:id="388">
    <w:p w14:paraId="792C490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ר"י </w:t>
      </w:r>
      <w:r w:rsidRPr="005C6730">
        <w:rPr>
          <w:rFonts w:asciiTheme="minorBidi" w:hAnsiTheme="minorBidi"/>
          <w:sz w:val="16"/>
          <w:szCs w:val="16"/>
          <w:rtl/>
        </w:rPr>
        <w:t xml:space="preserve">(כ"כ הטור בשמו) </w:t>
      </w:r>
      <w:r w:rsidRPr="005C6730">
        <w:rPr>
          <w:rFonts w:asciiTheme="minorBidi" w:hAnsiTheme="minorBidi"/>
          <w:rtl/>
        </w:rPr>
        <w:t xml:space="preserve">תוס' </w:t>
      </w:r>
      <w:r w:rsidRPr="005C6730">
        <w:rPr>
          <w:rFonts w:asciiTheme="minorBidi" w:hAnsiTheme="minorBidi"/>
          <w:sz w:val="16"/>
          <w:szCs w:val="16"/>
          <w:rtl/>
        </w:rPr>
        <w:t xml:space="preserve">(קיג. ד"ה טהור מליח, גבי טהור מליח וטמא תפל מותר) </w:t>
      </w:r>
      <w:r w:rsidRPr="005C6730">
        <w:rPr>
          <w:rFonts w:asciiTheme="minorBidi" w:hAnsiTheme="minorBidi"/>
          <w:rtl/>
        </w:rPr>
        <w:t xml:space="preserve">סה"ת </w:t>
      </w:r>
      <w:r w:rsidRPr="005C6730">
        <w:rPr>
          <w:rFonts w:asciiTheme="minorBidi" w:hAnsiTheme="minorBidi"/>
          <w:sz w:val="16"/>
          <w:szCs w:val="16"/>
          <w:rtl/>
        </w:rPr>
        <w:t xml:space="preserve">(סי' סג) </w:t>
      </w:r>
      <w:r w:rsidRPr="005C6730">
        <w:rPr>
          <w:rFonts w:asciiTheme="minorBidi" w:hAnsiTheme="minorBidi"/>
          <w:rtl/>
        </w:rPr>
        <w:t xml:space="preserve">רא"ש </w:t>
      </w:r>
      <w:r w:rsidRPr="005C6730">
        <w:rPr>
          <w:rFonts w:asciiTheme="minorBidi" w:hAnsiTheme="minorBidi"/>
          <w:sz w:val="16"/>
          <w:szCs w:val="16"/>
          <w:rtl/>
        </w:rPr>
        <w:t xml:space="preserve">(פכ"ה סי' מא, גבי הנ"ל בתוס') </w:t>
      </w:r>
      <w:r w:rsidRPr="005C6730">
        <w:rPr>
          <w:rFonts w:asciiTheme="minorBidi" w:hAnsiTheme="minorBidi"/>
          <w:rtl/>
        </w:rPr>
        <w:t xml:space="preserve">הגה"מ </w:t>
      </w:r>
      <w:r w:rsidRPr="005C6730">
        <w:rPr>
          <w:rFonts w:asciiTheme="minorBidi" w:hAnsiTheme="minorBidi"/>
          <w:sz w:val="16"/>
          <w:szCs w:val="16"/>
          <w:rtl/>
        </w:rPr>
        <w:t xml:space="preserve">(ד"ק פ"ט הי"ז) </w:t>
      </w:r>
      <w:r w:rsidRPr="005C6730">
        <w:rPr>
          <w:rFonts w:asciiTheme="minorBidi" w:hAnsiTheme="minorBidi"/>
          <w:rtl/>
        </w:rPr>
        <w:t xml:space="preserve">בשם סמ"ק </w:t>
      </w:r>
      <w:r w:rsidRPr="005C6730">
        <w:rPr>
          <w:rFonts w:asciiTheme="minorBidi" w:hAnsiTheme="minorBidi"/>
          <w:sz w:val="16"/>
          <w:szCs w:val="16"/>
          <w:rtl/>
        </w:rPr>
        <w:t>(סי' רה, ובהגהות שם אות י)</w:t>
      </w:r>
      <w:r w:rsidRPr="005C6730">
        <w:rPr>
          <w:rFonts w:asciiTheme="minorBidi" w:hAnsiTheme="minorBidi"/>
          <w:rtl/>
        </w:rPr>
        <w:t xml:space="preserve"> וטור.</w:t>
      </w:r>
    </w:p>
  </w:footnote>
  <w:footnote w:id="389">
    <w:p w14:paraId="32FA690F" w14:textId="77777777" w:rsidR="004C5A3C" w:rsidRDefault="004C5A3C" w:rsidP="002C39F4">
      <w:pPr>
        <w:pStyle w:val="a5"/>
        <w:rPr>
          <w:rtl/>
        </w:rPr>
      </w:pPr>
      <w:r>
        <w:rPr>
          <w:rStyle w:val="a7"/>
        </w:rPr>
        <w:footnoteRef/>
      </w:r>
      <w:r>
        <w:rPr>
          <w:rtl/>
        </w:rPr>
        <w:t xml:space="preserve"> </w:t>
      </w:r>
      <w:r>
        <w:rPr>
          <w:rFonts w:hint="cs"/>
          <w:rtl/>
        </w:rPr>
        <w:t>הטור כתב דברים אלו לגבי חתיכות כחושות, אבל מ"מ שייכים דבריו אלו כאן משום שלגבי חתיכות שמנות כתב וז"ל-</w:t>
      </w:r>
      <w:r w:rsidRPr="002D2317">
        <w:rPr>
          <w:rtl/>
        </w:rPr>
        <w:t xml:space="preserve"> </w:t>
      </w:r>
      <w:r w:rsidRPr="002D2317">
        <w:rPr>
          <w:rFonts w:cs="Arial"/>
          <w:rtl/>
        </w:rPr>
        <w:t>ולא מיבעיא חתיכה אחת שיש בה חלב שמפעפע לכולה אלא אפי' חתיכת האיסור כחוש וחתיכת היתר שנצלה עמה שמנה האיסור מפעפע בכולו.</w:t>
      </w:r>
      <w:r>
        <w:rPr>
          <w:rFonts w:cs="Arial" w:hint="cs"/>
          <w:rtl/>
        </w:rPr>
        <w:t xml:space="preserve"> עכ"ל. ומתבאר מדבריו שאין חילוק בין אם הטהור התפל למטה והטמא השמן המלוח למעלה לבין אם להפך.</w:t>
      </w:r>
    </w:p>
  </w:footnote>
  <w:footnote w:id="390">
    <w:p w14:paraId="4B9D444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משום דאזיל הכשרה ומפטם לטריפה, ש"ך (סקכ"א).</w:t>
      </w:r>
    </w:p>
  </w:footnote>
  <w:footnote w:id="391">
    <w:p w14:paraId="6B51643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לאפוקי אם היתה הכשרה התפלה למטה אע"פ שהטריפה שמינה למעלה אינו אסור אלא כדי קליפה, דתתאה שהוא אינו מליח גובר ומצנן העליון, מיהו בשניהם כחושים לענין קליפה אין חילוק בין המלוח למטה או למעלה אלא לעולם טמא מליח כחוש אוסר טהור תפל כחוש על כל פנים כדי קליפה וכדלקמן סי' צ"א ס"ה, ודוק ועיין מה שכתבתי שם (סקי"ב), ש"ך (סקכ"ב).</w:t>
      </w:r>
    </w:p>
  </w:footnote>
  <w:footnote w:id="392">
    <w:p w14:paraId="2C7E2E3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דשם</w:t>
      </w:r>
      <w:r w:rsidRPr="005C6730">
        <w:rPr>
          <w:rFonts w:asciiTheme="minorBidi" w:hAnsiTheme="minorBidi"/>
          <w:sz w:val="16"/>
          <w:szCs w:val="16"/>
          <w:rtl/>
        </w:rPr>
        <w:t xml:space="preserve"> (סע' יא בהגה)</w:t>
      </w:r>
      <w:r w:rsidRPr="005C6730">
        <w:rPr>
          <w:rFonts w:asciiTheme="minorBidi" w:hAnsiTheme="minorBidi"/>
          <w:rtl/>
        </w:rPr>
        <w:t xml:space="preserve"> נתבאר דאף בשמן אין חילוק בין המליח עליון או תחתון, וגם נתבאר שם </w:t>
      </w:r>
      <w:r w:rsidRPr="005C6730">
        <w:rPr>
          <w:rFonts w:asciiTheme="minorBidi" w:hAnsiTheme="minorBidi"/>
          <w:sz w:val="16"/>
          <w:szCs w:val="16"/>
          <w:rtl/>
        </w:rPr>
        <w:t xml:space="preserve"> (סע' ט בהגה)</w:t>
      </w:r>
      <w:r w:rsidRPr="005C6730">
        <w:rPr>
          <w:rFonts w:asciiTheme="minorBidi" w:hAnsiTheme="minorBidi"/>
          <w:rtl/>
        </w:rPr>
        <w:t xml:space="preserve"> דאין אנו בקיאין בין כחוש לשמן ומשערים כל מליחה בס' וע"ש בסעיף י' וי"א, ש"ך (סקכ"ג).</w:t>
      </w:r>
    </w:p>
  </w:footnote>
  <w:footnote w:id="393">
    <w:p w14:paraId="7FC0535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ומ"מ אין ספק שאפילו עמד במלחו יותר משיעור זה בקליפה סגי דדם מישרק שריק ואינו מפעפע, ר"ן.</w:t>
      </w:r>
    </w:p>
  </w:footnote>
  <w:footnote w:id="394">
    <w:p w14:paraId="104A1C8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הדרכ"מ</w:t>
      </w:r>
      <w:r w:rsidRPr="005C6730">
        <w:rPr>
          <w:rFonts w:asciiTheme="minorBidi" w:hAnsiTheme="minorBidi"/>
          <w:sz w:val="16"/>
          <w:szCs w:val="16"/>
          <w:rtl/>
        </w:rPr>
        <w:t xml:space="preserve"> (אות י)</w:t>
      </w:r>
      <w:r w:rsidRPr="005C6730">
        <w:rPr>
          <w:rFonts w:asciiTheme="minorBidi" w:hAnsiTheme="minorBidi"/>
          <w:rtl/>
        </w:rPr>
        <w:t xml:space="preserve">- ולמאי שכתבתי לעיל סי' סט </w:t>
      </w:r>
      <w:r w:rsidRPr="005C6730">
        <w:rPr>
          <w:rFonts w:asciiTheme="minorBidi" w:hAnsiTheme="minorBidi"/>
          <w:sz w:val="16"/>
          <w:szCs w:val="16"/>
          <w:rtl/>
        </w:rPr>
        <w:t xml:space="preserve">(אות לט) </w:t>
      </w:r>
      <w:r w:rsidRPr="005C6730">
        <w:rPr>
          <w:rFonts w:asciiTheme="minorBidi" w:hAnsiTheme="minorBidi"/>
          <w:rtl/>
        </w:rPr>
        <w:t>דהמנהג דלא כרש"י אלא ס"ל דעדיין אע"ג דשהה שיעור מליחה אפ"ה תורת דם עליו וחוזר ונבלע בבשר... א"כ גם כאן אסור להשהות בשר במלחו לאחר פליטת כל צירו ויש לעשות כמו שכ' הטור לעיל ס"ס סט</w:t>
      </w:r>
      <w:r w:rsidRPr="005C6730">
        <w:rPr>
          <w:rFonts w:asciiTheme="minorBidi" w:hAnsiTheme="minorBidi"/>
          <w:sz w:val="16"/>
          <w:szCs w:val="16"/>
          <w:rtl/>
        </w:rPr>
        <w:t xml:space="preserve"> {שידיחנו וימליחנו שנית}</w:t>
      </w:r>
      <w:r w:rsidRPr="005C6730">
        <w:rPr>
          <w:rFonts w:asciiTheme="minorBidi" w:hAnsiTheme="minorBidi"/>
          <w:rtl/>
        </w:rPr>
        <w:t>, אמנם למאי שכתבתי לעיל</w:t>
      </w:r>
      <w:r w:rsidRPr="005C6730">
        <w:rPr>
          <w:rFonts w:asciiTheme="minorBidi" w:hAnsiTheme="minorBidi"/>
          <w:sz w:val="16"/>
          <w:szCs w:val="16"/>
          <w:rtl/>
        </w:rPr>
        <w:t xml:space="preserve"> (אות ו) </w:t>
      </w:r>
      <w:r w:rsidRPr="005C6730">
        <w:rPr>
          <w:rFonts w:asciiTheme="minorBidi" w:hAnsiTheme="minorBidi"/>
          <w:rtl/>
        </w:rPr>
        <w:t xml:space="preserve">בשם </w:t>
      </w:r>
      <w:r>
        <w:rPr>
          <w:rFonts w:asciiTheme="minorBidi" w:hAnsiTheme="minorBidi"/>
          <w:rtl/>
        </w:rPr>
        <w:t>או"ה</w:t>
      </w:r>
      <w:r w:rsidRPr="005C6730">
        <w:rPr>
          <w:rFonts w:asciiTheme="minorBidi" w:hAnsiTheme="minorBidi"/>
          <w:rtl/>
        </w:rPr>
        <w:t xml:space="preserve"> דאע"ג דאנו מחמירין דלא כרש"י היינו כשהציר בעין אבל בלאו הכי לא, דחשבינן ליה לציר ולא לדם, א"כ גם כאן אין לחוש דאף אם חוזר ונבלע בו חשבינן ליה לציר. </w:t>
      </w:r>
    </w:p>
  </w:footnote>
  <w:footnote w:id="395">
    <w:p w14:paraId="063449E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וע"פ עיקרון זה כ' הרא"ש </w:t>
      </w:r>
      <w:r w:rsidRPr="005C6730">
        <w:rPr>
          <w:rFonts w:asciiTheme="minorBidi" w:hAnsiTheme="minorBidi"/>
          <w:sz w:val="16"/>
          <w:szCs w:val="16"/>
          <w:rtl/>
        </w:rPr>
        <w:t xml:space="preserve">(פ"ז סי' כד, גבי ירך שנתבשל בה גיד הנשה) </w:t>
      </w:r>
      <w:r w:rsidRPr="005C6730">
        <w:rPr>
          <w:rFonts w:asciiTheme="minorBidi" w:hAnsiTheme="minorBidi"/>
          <w:rtl/>
        </w:rPr>
        <w:t>דחתיכה שקצתה תוך הציר אפילו יש בה שומן אינו אוסר לקצתה שחוץ לציר דאם לא תימא הכי אין לך בשר מותר לעולם דהא כל בשר שנמלח כששוהה במלח יותר מכדי שיעור מליחה זמן מרובה יש בו טעם מלח יותר ואפילו הכי לא אמרינן דמלח שעל הבשר הנאסר מחמת הדם יחזור ויאסור הבשר וצ"ל משום שאע"פ שטעם המלח נבלע בבשר הדם שבמלח אינו נבלע בו כלל מאחר שהדם אינו נכנס בבשר דדמא מישרק שריק.</w:t>
      </w:r>
    </w:p>
  </w:footnote>
  <w:footnote w:id="396">
    <w:p w14:paraId="1F049A0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כבר נתבאר בסימן שקודם זה גבי מעשה שנמלח בשר ושהה כדי מליחה ונתנוהו אח"כ בכלי בלא הדחה ונתמלא מציר והתירו רש"י </w:t>
      </w:r>
      <w:r w:rsidRPr="005C6730">
        <w:rPr>
          <w:rFonts w:asciiTheme="minorBidi" w:hAnsiTheme="minorBidi"/>
          <w:sz w:val="16"/>
          <w:szCs w:val="16"/>
          <w:rtl/>
        </w:rPr>
        <w:t>(וכ"פ ראבי"ה רוקח רא"ש וטור)</w:t>
      </w:r>
      <w:r w:rsidRPr="005C6730">
        <w:rPr>
          <w:rFonts w:asciiTheme="minorBidi" w:hAnsiTheme="minorBidi"/>
          <w:rtl/>
        </w:rPr>
        <w:t xml:space="preserve"> שכן דעת התוס' והרא"ש והמרדכי והגה"מ בשם סמ"ג, אלא שקצתם כתבו </w:t>
      </w:r>
      <w:r w:rsidRPr="005C6730">
        <w:rPr>
          <w:rFonts w:asciiTheme="minorBidi" w:hAnsiTheme="minorBidi"/>
          <w:sz w:val="16"/>
          <w:szCs w:val="16"/>
          <w:rtl/>
        </w:rPr>
        <w:t xml:space="preserve">(תוס' וסמ"ג) </w:t>
      </w:r>
      <w:r w:rsidRPr="005C6730">
        <w:rPr>
          <w:rFonts w:asciiTheme="minorBidi" w:hAnsiTheme="minorBidi"/>
          <w:rtl/>
        </w:rPr>
        <w:t xml:space="preserve">שאין להקל בדבר, ושיש חולקים על סברת רש"י. </w:t>
      </w:r>
    </w:p>
  </w:footnote>
  <w:footnote w:id="397">
    <w:p w14:paraId="0E9600B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ולפ"ז מותר למלוח בשר שלא נמלח עם בשר שנמלח ובלבד שלא יהיה בין זה לזה י"ב שעות והוא שעדיין הראשון במלחו שאם הדיחו כבר נאסר מחמת בשר שמלחו עמו ואין לו תקנה, רי"ו (נט"ו כה קלד ע"ד, הביאו הב"י בבדה"ב).</w:t>
      </w:r>
    </w:p>
  </w:footnote>
  <w:footnote w:id="398">
    <w:p w14:paraId="2BA573B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לכתחילה, וכ' הש"ך (סקל"ג) שכן דעת הר"ן (חולין מב. ד"ה והרב) והטור (עמ' צג) ורי"ו (נט"ו אות כ"ה) והרא"ה (בספר החנוך סוף מצוה קמ"ח) והה"מ (פ"ו הט"ז) והאגור (סי' אלף רב), וגם בכל בו נזכר דעה זו. </w:t>
      </w:r>
    </w:p>
  </w:footnote>
  <w:footnote w:id="399">
    <w:p w14:paraId="0554550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w:t>
      </w:r>
      <w:r>
        <w:rPr>
          <w:rFonts w:asciiTheme="minorBidi" w:hAnsiTheme="minorBidi" w:hint="cs"/>
          <w:rtl/>
        </w:rPr>
        <w:t>אע"פ שכתב סה"ת '</w:t>
      </w:r>
      <w:r w:rsidRPr="00730280">
        <w:rPr>
          <w:rFonts w:asciiTheme="minorBidi" w:hAnsiTheme="minorBidi"/>
          <w:rtl/>
        </w:rPr>
        <w:t>יום או יומים</w:t>
      </w:r>
      <w:r>
        <w:rPr>
          <w:rFonts w:asciiTheme="minorBidi" w:hAnsiTheme="minorBidi" w:hint="cs"/>
          <w:rtl/>
        </w:rPr>
        <w:t xml:space="preserve">', </w:t>
      </w:r>
      <w:r w:rsidRPr="005C6730">
        <w:rPr>
          <w:rFonts w:asciiTheme="minorBidi" w:hAnsiTheme="minorBidi"/>
          <w:rtl/>
        </w:rPr>
        <w:t xml:space="preserve">כ' המנח"י (כלל ו אות ט)- אם יומים פולט ציר כ"ש יום א', אלא דהכוונה יום שהוא כיומים דהיינו מע"ל, וכמו שפי' רש"י פ' משפטים על פסוק אם יום או יומים יעמוד, וכ"כ מהרש"ל בפכ"ה סי' ע"ד, וזה כוונת הרב במ"ש והסומך אדברי מהרא"י שכתב לנהוג היתר מע"ל כדברי הגאונים לא הפסיד.  </w:t>
      </w:r>
    </w:p>
  </w:footnote>
  <w:footnote w:id="400">
    <w:p w14:paraId="0F4D929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הטעם דדם מישרק שריק ונופל, </w:t>
      </w:r>
      <w:r w:rsidRPr="005C6730">
        <w:rPr>
          <w:rFonts w:asciiTheme="minorBidi" w:hAnsiTheme="minorBidi"/>
          <w:color w:val="000000" w:themeColor="text1"/>
          <w:rtl/>
        </w:rPr>
        <w:t>ועוד שהבשר הנמלח פולט ציר לעולם ואינו בולע מן הדם</w:t>
      </w:r>
      <w:r w:rsidRPr="005C6730">
        <w:rPr>
          <w:rFonts w:asciiTheme="minorBidi" w:hAnsiTheme="minorBidi"/>
          <w:rtl/>
        </w:rPr>
        <w:t>, ט"ז (סקי"ב, ע"פ שע"ד).</w:t>
      </w:r>
    </w:p>
  </w:footnote>
  <w:footnote w:id="401">
    <w:p w14:paraId="2DFE013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הב"י כתב בסוף הסימן וז"ל- ולענין הלכה לכתחלה יש ליזהר בכל הדברים האלו ולחוש לדברי האוסרים אבל בדיעבד יש לסמוך על דברי המתירים, עכ"ל. והיינו על כל הדברים שכתב לפני כן, וכוונתו גם על מה שהבאתי בסע' הבא</w:t>
      </w:r>
      <w:r w:rsidRPr="005C6730">
        <w:rPr>
          <w:rFonts w:asciiTheme="minorBidi" w:hAnsiTheme="minorBidi"/>
          <w:sz w:val="14"/>
          <w:szCs w:val="14"/>
          <w:rtl/>
        </w:rPr>
        <w:t xml:space="preserve"> (דבב"י הכל הובא ביחד)</w:t>
      </w:r>
      <w:r w:rsidRPr="005C6730">
        <w:rPr>
          <w:rFonts w:asciiTheme="minorBidi" w:hAnsiTheme="minorBidi"/>
          <w:rtl/>
        </w:rPr>
        <w:t>.</w:t>
      </w:r>
    </w:p>
  </w:footnote>
  <w:footnote w:id="402">
    <w:p w14:paraId="0481DB6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בב"י כתוב שדין זה תלוי בדין דסי' ס"ט ריש סעיף כ' ע"ש, ובת"ח </w:t>
      </w:r>
      <w:r w:rsidRPr="005C6730">
        <w:rPr>
          <w:rFonts w:asciiTheme="minorBidi" w:hAnsiTheme="minorBidi"/>
          <w:sz w:val="16"/>
          <w:szCs w:val="16"/>
          <w:rtl/>
        </w:rPr>
        <w:t xml:space="preserve">(כלל י"ד ד"ד) </w:t>
      </w:r>
      <w:r w:rsidRPr="005C6730">
        <w:rPr>
          <w:rFonts w:asciiTheme="minorBidi" w:hAnsiTheme="minorBidi"/>
          <w:rtl/>
        </w:rPr>
        <w:t xml:space="preserve">כתב דאפי' למאי דמחמירין לעיל לאסור בקליפה היינו משום דהתם אנו רואין שהמלח הוציא עוד הציר ומאחר שמונח בכלי שאינו מנוקב אסור, אבל הכא שהבשר מונח תמיד בכלי מנוקב לא חיישינן דהבשר יבלע מן המלח שעליו דאף אם יפליט דם מישרק שריק לכן שרי בדיעבד ע"כ </w:t>
      </w:r>
      <w:r w:rsidRPr="005C6730">
        <w:rPr>
          <w:rFonts w:asciiTheme="minorBidi" w:hAnsiTheme="minorBidi"/>
          <w:sz w:val="16"/>
          <w:szCs w:val="16"/>
          <w:rtl/>
        </w:rPr>
        <w:t>(וכ"כ בדרכ"מ אות י)</w:t>
      </w:r>
      <w:r w:rsidRPr="005C6730">
        <w:rPr>
          <w:rFonts w:asciiTheme="minorBidi" w:hAnsiTheme="minorBidi"/>
          <w:rtl/>
        </w:rPr>
        <w:t>, ואע"ג דאם נפל בשר שכבר פלט דמו וצירו אצל בשר שלא שהה עדיין שיעור מליחה אסור, כמ"ש הר"ב ריש ס"ו, ופשוט הוא דהיינו אפי' בכלי מנוקב ולא אמרינן מישרק שריק, י"ל דשאני הכא דמה שיצא מן הבשר תוך שיעור מליחה שהוא רותח ודם ממש כבר יצא לחוץ הכלי שהוא מנוקב ומה שנשאר ע"ג אינו אלא לחלוחית שיצא ממנו אחר ששהה שיעור מליחה דאינו אלא מוהל בעלמא לדעת הרבה פוסקים וכמו שנתבאר בסי' ס"ט שם, א"כ נהי דמחמירין לחשבו דם מ"מ איכא למסמך בכה"ג אטעמא דמישרק שריק, וכן המלח שעליו הרבה פוסקים ס"ל שלאחר שפלט דמו אין לו שום כח, וכמו שנתבאר שם, הלכך סמכינן הכא אטעמא דמישרק שריק משא"כ לקמן, ש"ך (סקכ"ד).</w:t>
      </w:r>
    </w:p>
  </w:footnote>
  <w:footnote w:id="403">
    <w:p w14:paraId="04CA9CE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רשב"א </w:t>
      </w:r>
      <w:r w:rsidRPr="005C6730">
        <w:rPr>
          <w:rFonts w:asciiTheme="minorBidi" w:hAnsiTheme="minorBidi"/>
          <w:sz w:val="16"/>
          <w:szCs w:val="16"/>
          <w:rtl/>
        </w:rPr>
        <w:t xml:space="preserve">(תוה"ב קצר ב"ג ש"ג עב:) </w:t>
      </w:r>
      <w:r w:rsidRPr="005C6730">
        <w:rPr>
          <w:rFonts w:asciiTheme="minorBidi" w:hAnsiTheme="minorBidi"/>
          <w:rtl/>
        </w:rPr>
        <w:t xml:space="preserve">ר"ן </w:t>
      </w:r>
      <w:r w:rsidRPr="005C6730">
        <w:rPr>
          <w:rFonts w:asciiTheme="minorBidi" w:hAnsiTheme="minorBidi"/>
          <w:sz w:val="16"/>
          <w:szCs w:val="16"/>
          <w:rtl/>
        </w:rPr>
        <w:t>(מב. דיבור ראשון)</w:t>
      </w:r>
      <w:r w:rsidRPr="005C6730">
        <w:rPr>
          <w:rFonts w:asciiTheme="minorBidi" w:hAnsiTheme="minorBidi"/>
          <w:rtl/>
        </w:rPr>
        <w:t xml:space="preserve"> והה"מ </w:t>
      </w:r>
      <w:r w:rsidRPr="005C6730">
        <w:rPr>
          <w:rFonts w:asciiTheme="minorBidi" w:hAnsiTheme="minorBidi"/>
          <w:sz w:val="16"/>
          <w:szCs w:val="16"/>
          <w:rtl/>
        </w:rPr>
        <w:t>(פ"ו הט"ז)</w:t>
      </w:r>
      <w:r w:rsidRPr="005C6730">
        <w:rPr>
          <w:rFonts w:asciiTheme="minorBidi" w:hAnsiTheme="minorBidi"/>
          <w:rtl/>
        </w:rPr>
        <w:t>.</w:t>
      </w:r>
    </w:p>
  </w:footnote>
  <w:footnote w:id="404">
    <w:p w14:paraId="6BF2941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וז"ל- מותר למלוח כמה חתיכות יחד ואפי' זו ע"ג זו ואפי' נמלחו זו אחר זו ושהה הרבה בין מליחה ראשונה לשניה מותר דאע"ג דגמרה קמייתא פליטת דם טרידא לפלוט ציר ואפילו שהתה זמן מרובה שאין דבר זב ממנה מותר דאמרינן דמא מישרק שריק.</w:t>
      </w:r>
    </w:p>
  </w:footnote>
  <w:footnote w:id="405">
    <w:p w14:paraId="5427794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יש לשים לב שדברים אלו של ר"ת מושלכים כמעט לגבי כל הדינים לקמן.</w:t>
      </w:r>
    </w:p>
  </w:footnote>
  <w:footnote w:id="406">
    <w:p w14:paraId="0964E46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והא"ח ושע"ד (סי' ו) כתבו שר"ת מתיר אפילו שהתה שבעה ימים או יותר מותר למלוח עליה חתיכה אחרת. </w:t>
      </w:r>
      <w:r w:rsidRPr="005C6730">
        <w:rPr>
          <w:rFonts w:asciiTheme="minorBidi" w:hAnsiTheme="minorBidi"/>
          <w:sz w:val="16"/>
          <w:szCs w:val="16"/>
          <w:rtl/>
        </w:rPr>
        <w:t>(ומ"מ כשהתוס' הביאו את דברי ר"ת לא כתבו כתבו כמה זמן אחרי שהחתיכה נמלחה מותר למלוח עליה שוב- וצל"ע אם יש תוס' או מקור אחר שמביא את דברי ר"ת בשלמותם)</w:t>
      </w:r>
      <w:r w:rsidRPr="005C6730">
        <w:rPr>
          <w:rFonts w:asciiTheme="minorBidi" w:hAnsiTheme="minorBidi"/>
          <w:rtl/>
        </w:rPr>
        <w:t>. וכ' עוד שע"ד- ועוד שהבשר המלוח כבר לפני זמן מרובה, אע"פ שכלה דמו, מ"מ פולט ציר לעולם ואינו בולע מן הדם ובדיעבד מותר.</w:t>
      </w:r>
    </w:p>
  </w:footnote>
  <w:footnote w:id="407">
    <w:p w14:paraId="7E99FE3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ולא נהירא דהא רב ששת מלח גרמא גרמא משום דילמא פליט האי ובלע האי אע"ג דלא שמעינן ליה דפליג בדמא מישרק שריק ואע"ג דאסיקנא דלא שנא ובין חדא ובין תרתי שרו היינו משום דאיידי דטריד למיפלט לא בלע אבל היכא דלא פלט ודאי בלע, ר"ן.</w:t>
      </w:r>
    </w:p>
  </w:footnote>
  <w:footnote w:id="408">
    <w:p w14:paraId="74BA0E1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והכי נהוג כי כן כתבו רוב הגאונים, ואפי' בדיע' יש לאסור דעינינו רואות שמתייבשות החתיכות שנמלחו לפני זמן מרובה, ואם תאמר משריק שריק, כיון דאיכא גומות לא שריק, כי כך כתבו התוס' ורוב החיבורים דמעשים בכל יום שמתירין כשנמצא גומות, אלמא רגילות הוא למצוא וקשה ליזהר בדבר </w:t>
      </w:r>
      <w:r w:rsidRPr="005C6730">
        <w:rPr>
          <w:rFonts w:asciiTheme="minorBidi" w:hAnsiTheme="minorBidi"/>
          <w:sz w:val="16"/>
          <w:szCs w:val="16"/>
          <w:rtl/>
        </w:rPr>
        <w:t>(ומה שכתבו דמעשים בכל יום שמתירין, מפרש התם הטעם יפה בכמה גוונא דלא שייך הכא)</w:t>
      </w:r>
      <w:r w:rsidRPr="005C6730">
        <w:rPr>
          <w:rFonts w:asciiTheme="minorBidi" w:hAnsiTheme="minorBidi"/>
          <w:rtl/>
        </w:rPr>
        <w:t>, מהרא"י.</w:t>
      </w:r>
    </w:p>
  </w:footnote>
  <w:footnote w:id="409">
    <w:p w14:paraId="20BB9CA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שם דאם מלח בשר ושהה שיעור מליחה ואח"כ מלח אחרת עליו הראשון טרפה אם לא שהניח השני למטה אבל אם מלחו תוך שיעור מליחה הראשון כשר דהואיל ועדיין פתוח לפלוט דם דידיה פולט גם דם שבולע מעליון מיהו צריך להשהותו עד שיעור מליחה לעליון דאז גם התחתון פלט מה שבלע מן העליון. וכ' עליו הדרכ"מ (אות יב) דהיא סברת ר"י מאורליינ"ש והפוסקים, דסברי דהא דמולחין בשר ע"ג בשר הוא מטעמא דהואיל והתחתון עדיין פתוח לפלוט פולט גם כן מה שבלע </w:t>
      </w:r>
      <w:r w:rsidRPr="005C6730">
        <w:rPr>
          <w:rFonts w:asciiTheme="minorBidi" w:hAnsiTheme="minorBidi"/>
          <w:color w:val="FF0000"/>
          <w:sz w:val="16"/>
          <w:szCs w:val="16"/>
          <w:rtl/>
        </w:rPr>
        <w:t>{צל"ע, דהרי או"ה התיר רק תוך זמן מליחה ולא אח"כ והר"י מאורליינש התיר אף לאחר מכן, ואם סברת האו"ה כסברת ר"י מאורליינש היה לו להתיר יותר}</w:t>
      </w:r>
      <w:r w:rsidRPr="005C6730">
        <w:rPr>
          <w:rFonts w:asciiTheme="minorBidi" w:hAnsiTheme="minorBidi"/>
          <w:rtl/>
        </w:rPr>
        <w:t>, אבל רוב הפוסקים הסכימו לסברת הטור דטעמא דהואיל ופולט ציר אינו בולע וא"כ כל זמן שפולט ציר אם נמלח שאר בשר עליו שרי לכן דברי מהרא"י עיקר.</w:t>
      </w:r>
    </w:p>
  </w:footnote>
  <w:footnote w:id="410">
    <w:p w14:paraId="5875050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וזו סברא בלא ראיה, ולפיכך נראה דכל שנגמרה פליטת ציר דהיאך מקמי פליטת דם דאידך אסור, ר"ן.</w:t>
      </w:r>
    </w:p>
  </w:footnote>
  <w:footnote w:id="411">
    <w:p w14:paraId="1C4F12B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כדגים ועופות שמלחן זה עם זה שאין הדג יוצא מדם שבלע מהעוף ע"י מליחה, דאין המלח מפליט אלא דם המובלע באיברים מעצמן אבל דם הבא ממקום אחר אין המלח מפליטו, ע"פ ר"ן.</w:t>
      </w:r>
    </w:p>
  </w:footnote>
  <w:footnote w:id="412">
    <w:p w14:paraId="208DFEA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ולא דמי לדגים דהתם הוא שאין בהם דם מגופן אלא אותו שבלעו ולפיכך אין כח במלח להפליטו אבל חתיכה זו שדמה בתוכה כשם שהמלח מפליט דם של גופה כך הוא מפליט דם הנבלע בה ממקום אחר, ה"ר יונה. </w:t>
      </w:r>
      <w:r w:rsidRPr="005C6730">
        <w:rPr>
          <w:rFonts w:asciiTheme="minorBidi" w:hAnsiTheme="minorBidi"/>
          <w:sz w:val="16"/>
          <w:szCs w:val="16"/>
          <w:rtl/>
        </w:rPr>
        <w:t>(ומדברי ה"ר יונה הללו למד הדרכ"מ [אות ט, עי' לעיל סע' ב] דאי יש לדגים דם מגופן כן מועיל [שלאחר שהונח עליהם עוף מלוח] שימלחו את הדגים ואגב שמוציאים את דמם יוציאו גם את הדם שבלעו מהעוף)</w:t>
      </w:r>
    </w:p>
  </w:footnote>
  <w:footnote w:id="413">
    <w:p w14:paraId="026E1B8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ואין דבר זה נכון בעיני וראיתי סתירת דבר זה ממה שאסרו דגים שמלחן עם עופות ואילו היה להם היתר במליחה לא אמרו אסורים ולא היו שותקים מללמד עליהם את ההיתר, רשב"א. </w:t>
      </w:r>
    </w:p>
  </w:footnote>
  <w:footnote w:id="414">
    <w:p w14:paraId="552347A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וההדחה מן הציר קודם שימלחנו חובה היא לו דאל"כ הוי כבשר שלא הודח ונמלח דאסור, הגשע"ד (סק"ג). וב</w:t>
      </w:r>
      <w:r>
        <w:rPr>
          <w:rFonts w:asciiTheme="minorBidi" w:hAnsiTheme="minorBidi"/>
          <w:rtl/>
        </w:rPr>
        <w:t>או"ה</w:t>
      </w:r>
      <w:r w:rsidRPr="005C6730">
        <w:rPr>
          <w:rFonts w:asciiTheme="minorBidi" w:hAnsiTheme="minorBidi"/>
          <w:rtl/>
        </w:rPr>
        <w:t xml:space="preserve"> (כלל ה דין ד) כ' דבדיעבד כהאי גוונא שרי דציר אינו אלא מדרבנן ואמרינן ביה כבולעו כך פולטו. </w:t>
      </w:r>
    </w:p>
  </w:footnote>
  <w:footnote w:id="415">
    <w:p w14:paraId="4581FA8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והא דשרינן לחזור ולמלחו לא שרי אלא שלא שהה שם שיעור כבישה אבל אי שהה שם שיעור כבישה פשיטא דאין לו תקנה עוד דלא עדיף מבשר ששרו במים מעת לעת דאין לו תקנה מטעם כבוש כמבושל, או"ה (כלל ה דין ב). </w:t>
      </w:r>
      <w:r w:rsidRPr="005C6730">
        <w:rPr>
          <w:rFonts w:asciiTheme="minorBidi" w:hAnsiTheme="minorBidi"/>
          <w:color w:val="00B0F0"/>
          <w:rtl/>
        </w:rPr>
        <w:t xml:space="preserve">(וכ"פ הרמ"א). </w:t>
      </w:r>
      <w:r w:rsidRPr="005C6730">
        <w:rPr>
          <w:rFonts w:asciiTheme="minorBidi" w:hAnsiTheme="minorBidi"/>
          <w:rtl/>
        </w:rPr>
        <w:t>ועיין לעיל סי' ס"ט (אות לז) חתיכה שנפלה לציר כמה צריך לשהות בתוכה שנוהגין לאסרה, דרכ"מ (אות יג).</w:t>
      </w:r>
    </w:p>
  </w:footnote>
  <w:footnote w:id="416">
    <w:p w14:paraId="267460B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ונהגו העולם לאסור אף בצלי </w:t>
      </w:r>
      <w:r w:rsidRPr="005C6730">
        <w:rPr>
          <w:rFonts w:asciiTheme="minorBidi" w:hAnsiTheme="minorBidi"/>
          <w:sz w:val="16"/>
          <w:szCs w:val="16"/>
          <w:rtl/>
        </w:rPr>
        <w:t>(אם נפל לציר לאחר שפלט כל צרכו)</w:t>
      </w:r>
      <w:r w:rsidRPr="005C6730">
        <w:rPr>
          <w:rFonts w:asciiTheme="minorBidi" w:hAnsiTheme="minorBidi"/>
          <w:rtl/>
        </w:rPr>
        <w:t xml:space="preserve">, מהרא"י </w:t>
      </w:r>
      <w:r w:rsidRPr="005C6730">
        <w:rPr>
          <w:rFonts w:asciiTheme="minorBidi" w:hAnsiTheme="minorBidi"/>
          <w:sz w:val="16"/>
          <w:szCs w:val="16"/>
          <w:rtl/>
        </w:rPr>
        <w:t>(הגשע"ד סק"ז)</w:t>
      </w:r>
      <w:r w:rsidRPr="005C6730">
        <w:rPr>
          <w:rFonts w:asciiTheme="minorBidi" w:hAnsiTheme="minorBidi"/>
          <w:rtl/>
        </w:rPr>
        <w:t>. וכ"כ ב"י בשם רא"ש ותוס'</w:t>
      </w:r>
      <w:r w:rsidRPr="005C6730">
        <w:rPr>
          <w:rFonts w:asciiTheme="minorBidi" w:hAnsiTheme="minorBidi"/>
          <w:sz w:val="16"/>
          <w:szCs w:val="16"/>
          <w:rtl/>
        </w:rPr>
        <w:t xml:space="preserve"> (דרכ"מ</w:t>
      </w:r>
      <w:r w:rsidRPr="005C6730">
        <w:rPr>
          <w:rFonts w:asciiTheme="minorBidi" w:hAnsiTheme="minorBidi"/>
          <w:sz w:val="12"/>
          <w:szCs w:val="12"/>
          <w:rtl/>
        </w:rPr>
        <w:t xml:space="preserve"> [אות יג]</w:t>
      </w:r>
      <w:r w:rsidRPr="005C6730">
        <w:rPr>
          <w:rFonts w:asciiTheme="minorBidi" w:hAnsiTheme="minorBidi"/>
          <w:sz w:val="16"/>
          <w:szCs w:val="16"/>
          <w:rtl/>
        </w:rPr>
        <w:t>)</w:t>
      </w:r>
      <w:r w:rsidRPr="005C6730">
        <w:rPr>
          <w:rFonts w:asciiTheme="minorBidi" w:hAnsiTheme="minorBidi"/>
          <w:rtl/>
        </w:rPr>
        <w:t xml:space="preserve">. </w:t>
      </w:r>
    </w:p>
  </w:footnote>
  <w:footnote w:id="417">
    <w:p w14:paraId="59AE056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משמע דאם לא מלחו כ"כ שיהיה הבשר פגום אינו נאסר, ע"פ ב"י.</w:t>
      </w:r>
    </w:p>
  </w:footnote>
  <w:footnote w:id="418">
    <w:p w14:paraId="0411DC2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כך משמע מדבריו בב"י (שכ' על דברי סה"ת- "אבל אין דעת הרשב"א כן וכו'..."), וכן הבין הש"ך (סקע"א) בדברי הב"י.</w:t>
      </w:r>
    </w:p>
  </w:footnote>
  <w:footnote w:id="419">
    <w:p w14:paraId="3C3732D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וכ"כ ב"י בשם הגשע"ד, וכתב- מיהו נ"ל דצריך הגעלה בכלי ראשון ולא סגי בעירוי עכ"ל בשם הג"ה. וכתבו בשע"ד (סי' יג) ו</w:t>
      </w:r>
      <w:r>
        <w:rPr>
          <w:rFonts w:asciiTheme="minorBidi" w:hAnsiTheme="minorBidi"/>
          <w:rtl/>
        </w:rPr>
        <w:t>או"ה</w:t>
      </w:r>
      <w:r w:rsidRPr="005C6730">
        <w:rPr>
          <w:rFonts w:asciiTheme="minorBidi" w:hAnsiTheme="minorBidi"/>
          <w:rtl/>
        </w:rPr>
        <w:t xml:space="preserve"> (שם)- ואם הוא כלי חרס לא מהני ביה הגעלה וצריך שבירה.</w:t>
      </w:r>
    </w:p>
  </w:footnote>
  <w:footnote w:id="420">
    <w:p w14:paraId="2CA6FD5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וכבר כתבתי לעיל סי' סט (דרכ"מ ארוך אות כא) בשם ב"י (סוף עמ' שי) שכן הוא במרדכי, ונראה סברתן דאין לו תקנה לחזור ולמלחו הואיל ובלע מחתיכה שנמלחה בכלי שאינו מנוקב נבלע בו כ"כ שאינו חוזר ויוצא ממנו ע"י מליחה כמו לחתיכה הנמלחה בעצמה, וכמו שמשמע לעיל מדברי המרדכי שכתב ב"י, אבל הוא תימה דאמאי גרע מחתיכה תפילה שנפלה לציר דכתבתי לעיל דיש לה תקנה אם חוזרין ומולחין אותה, וצ"ע, ונראה דמיירי בבשר תפל לאחר שנמלחה, אבל קודם שנמלחה לא גרע מחתיכה שנפל לציר דשרי בדיעבד וכן נ"ל, דרכ"מ</w:t>
      </w:r>
      <w:r>
        <w:rPr>
          <w:rFonts w:asciiTheme="minorBidi" w:hAnsiTheme="minorBidi" w:hint="cs"/>
          <w:rtl/>
        </w:rPr>
        <w:t xml:space="preserve"> (אות יג)</w:t>
      </w:r>
      <w:r w:rsidRPr="005C6730">
        <w:rPr>
          <w:rFonts w:asciiTheme="minorBidi" w:hAnsiTheme="minorBidi"/>
          <w:rtl/>
        </w:rPr>
        <w:t>.</w:t>
      </w:r>
    </w:p>
  </w:footnote>
  <w:footnote w:id="421">
    <w:p w14:paraId="1D5196C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אבל ציר בשר שחוטה דרבנן, הילכך ספק מים ספק ציר כשר דספיקא דרבנן לקולא, מרדכי</w:t>
      </w:r>
      <w:r w:rsidRPr="005C6730">
        <w:rPr>
          <w:rFonts w:asciiTheme="minorBidi" w:hAnsiTheme="minorBidi"/>
          <w:sz w:val="16"/>
          <w:szCs w:val="16"/>
          <w:rtl/>
        </w:rPr>
        <w:t xml:space="preserve"> (סי' תרעג, הביאו הדרכ"מ)</w:t>
      </w:r>
      <w:r w:rsidRPr="005C6730">
        <w:rPr>
          <w:rFonts w:asciiTheme="minorBidi" w:hAnsiTheme="minorBidi"/>
          <w:rtl/>
        </w:rPr>
        <w:t>.</w:t>
      </w:r>
      <w:r w:rsidRPr="003024E5">
        <w:rPr>
          <w:rFonts w:asciiTheme="minorBidi" w:hAnsiTheme="minorBidi"/>
          <w:color w:val="00B0F0"/>
          <w:rtl/>
        </w:rPr>
        <w:t>(וכ"פ הרמ"א)</w:t>
      </w:r>
    </w:p>
  </w:footnote>
  <w:footnote w:id="422">
    <w:p w14:paraId="5E12DFA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 עצם שיש בה מוח.</w:t>
      </w:r>
    </w:p>
  </w:footnote>
  <w:footnote w:id="423">
    <w:p w14:paraId="151C12A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ולטעמיה אזיל, שהוא סובר דאין מולחין מעים עם בשר משום דאין מחזיקין בהם דם וקסבר דבמוח שבקולית נמי אין בו דם, אבל לדידן דנקטינן דמולחין מעים עם בשר כמ"ש בסימן ע"ה הוא הדין דמולחין קולית שיש בו מוח עם בשר, ובפירוש כ' הרשב"א (מובא בסמוך) כן גבי מליחת הראש.</w:t>
      </w:r>
    </w:p>
  </w:footnote>
  <w:footnote w:id="424">
    <w:p w14:paraId="7104F8A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והודח, כן הוא בתוה"ב ובר"ן, ונראה דהיינו משום דכיון דהודח אחר שיעור מליחתו נסתמין נקבי הפליטה, וכדכתב בת"ח כלל ו' סוף דין ה', אבל אם לא הודח אף שכבר פלט כל דמו מ"מ כיון דעדיין פולט ציר אינו בולע, א"נ מ"ש הט"ו ופלט כל דמו ר"ל דמו וצירו, וכן מצאתי בהגהות מהרש"ל לטור שפי' כן, וכן הביא הדרישה על שמו, ופי' כן בפרישה, והיש מתירין מתירין אפי' בכה"ג כמו שהוכחתי בספרי מדברי הרשב"א בתוה"ב להדיא וחד טעמא הוא דכי היכא דמתירין בבשר שנמלח והודח דאפי' אין בו דם של עצמו וגם נסתמים נקבי פליטת צירו אפ"ה חוזר ופולט ע"י מליחה אח"כ ה"נ אם פלט כבר כל צירו, וזה ברור, דלא כהב"ח שדחה פי' זה מפני שהבין דבכה"ג ליכא מאן דמתיר והאריך להוכיח כן ע"ש שהוכחתו היא סתירתו, וגם הר"ב משמע שהבין כמו שכתבתי והוא פשוט, ש"ך (סקכ"ו).</w:t>
      </w:r>
    </w:p>
  </w:footnote>
  <w:footnote w:id="425">
    <w:p w14:paraId="66C3B99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ואין מלח מפליט אלא מה שהוא שלו ולא מה שבלע ממקום אחר כלל </w:t>
      </w:r>
      <w:r w:rsidRPr="005C6730">
        <w:rPr>
          <w:rFonts w:asciiTheme="minorBidi" w:hAnsiTheme="minorBidi"/>
          <w:sz w:val="16"/>
          <w:szCs w:val="16"/>
          <w:rtl/>
        </w:rPr>
        <w:t>(טעמם של היש אוסרין)</w:t>
      </w:r>
      <w:r w:rsidRPr="005C6730">
        <w:rPr>
          <w:rFonts w:asciiTheme="minorBidi" w:hAnsiTheme="minorBidi"/>
          <w:rtl/>
        </w:rPr>
        <w:t>.</w:t>
      </w:r>
    </w:p>
  </w:footnote>
  <w:footnote w:id="426">
    <w:p w14:paraId="7DB2D19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י</w:t>
      </w:r>
      <w:r>
        <w:rPr>
          <w:rFonts w:asciiTheme="minorBidi" w:hAnsiTheme="minorBidi" w:hint="cs"/>
          <w:rtl/>
        </w:rPr>
        <w:t xml:space="preserve">ש </w:t>
      </w:r>
      <w:r w:rsidRPr="005C6730">
        <w:rPr>
          <w:rFonts w:asciiTheme="minorBidi" w:hAnsiTheme="minorBidi"/>
          <w:rtl/>
        </w:rPr>
        <w:t>מ</w:t>
      </w:r>
      <w:r>
        <w:rPr>
          <w:rFonts w:asciiTheme="minorBidi" w:hAnsiTheme="minorBidi" w:hint="cs"/>
          <w:rtl/>
        </w:rPr>
        <w:t>תירים</w:t>
      </w:r>
      <w:r w:rsidRPr="005C6730">
        <w:rPr>
          <w:rFonts w:asciiTheme="minorBidi" w:hAnsiTheme="minorBidi"/>
          <w:rtl/>
        </w:rPr>
        <w:t xml:space="preserve"> בבשר שלא נמלח כלל ע"י מליחה אח"כ, שכמו שיפלוט אח"כ דם של עצמו יפלוט דם דאחריני, ש"ך (סקכ"ז).</w:t>
      </w:r>
    </w:p>
  </w:footnote>
  <w:footnote w:id="427">
    <w:p w14:paraId="502010A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כלומר אפי' בסיפא דלית בה דם של עצמו אפ"ה מותר ע"י מליחה אח"כ, ש"ך (סקכ"ח).</w:t>
      </w:r>
    </w:p>
  </w:footnote>
  <w:footnote w:id="428">
    <w:p w14:paraId="792BE5D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כלומר דלכתחלה יש ליזהר בכל זה שלא לעשותו, אבל בדיעבד יש לפסוק בכל זה דמותר, וכ"מ בב"י שכתב דלכתחלה יש ליזהר בכל הדברים האלו ולחוש לדברי האוסרין אבל בדיעבד יש לסמוך אהמתירין עכ"ל, משמע דקאמר דלכתחלה יש ליזהר שלא לעשותם, וכך נראה שהבין הרב </w:t>
      </w:r>
      <w:r w:rsidRPr="005C6730">
        <w:rPr>
          <w:rFonts w:asciiTheme="minorBidi" w:hAnsiTheme="minorBidi"/>
          <w:sz w:val="16"/>
          <w:szCs w:val="16"/>
          <w:rtl/>
        </w:rPr>
        <w:t>(ודלא כיש מי שרצ"ל שהב"י אוסר אף בדיעבד, עי' בש"ך ביתר ביאור)</w:t>
      </w:r>
      <w:r w:rsidRPr="005C6730">
        <w:rPr>
          <w:rFonts w:asciiTheme="minorBidi" w:hAnsiTheme="minorBidi"/>
          <w:rtl/>
        </w:rPr>
        <w:t>. ומה שכ' המחבר להתיר בדיעבד בשר שלא נמלח כלל- מיירי שהודח מתחלה, דאל"כ תיפוק ליה דנמלח בלא הדחה קמייתא דאסור אפי' דיעבד מפני שהמלח מבליעו לדם בעין שעליו ואינו יוצא שוב לא ע"י מליחה ולא ע"י צלייה וכדלעיל סי' ס"ט ס"ב, וכן מ"ש הר"ב דאם לא נמלח כלל ונפל לציר ממש דהותר ע"י הדחה ומליחה אח"כ- מיירי נמי שהודח קודם שנפל לציר, וזה פירשתי לדעת מהרא"י בהגשע"ד סי' ו' והרב בת"ח כלל ו' ד"ב, אבל בהגהה אחרת בשע"ד כתב ע"ש הר"ר יעקב שושן עמק דאפי' למאי דאסרינן בשר שנמלח בלא הדחה קמייתא שרי הכא בציר ע"ש הטעם, וכ"כ באו"ה ריש כלל ה' ע"ש המרדכי בשר שלא הודח ולא נמלח ונפל לציר חוזר ומדיחו ומולחו ומותר, ובדין ב' שם פי' הטעם דאין כח ברתיחת הציר אלא להתבלע היא עצמה ולא להבליע הדם בעין שעליו לתוכו, וכ"פ מהרש"ל באו"ש ובפרק כל הבשר סי' ע"ז וכ"פ הב"ח, והיינו שלא כתבו הפוסקים והמחבר בשר שהודח ולא נמלח כו', ומ"ש בא"ו של מהרי"ל חתיכה תפלה שלא נמלחה עדיין ונתערבה בין מלוחות ונשתהה ביניהם אותה חתיכה אסורה ולא מועיל למלחה שנית אמנם אם הודחה טרם שנתערבה יחזור וידיחנה וימלחנה עכ"ל נראה דשאני התם כיון שנתערבה בין המלוחות ונשתהא שם א"כ אפשר שקבלה טעם מהמלח עצמו, ש"ך (סקכ"ט).</w:t>
      </w:r>
    </w:p>
  </w:footnote>
  <w:footnote w:id="429">
    <w:p w14:paraId="241DE0D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וכן אם שהה שיעור מליחה והודח ונפל אצל בשר כו' דחד טעמא הוא וכמ"ש בסקכ"ו, ש"ך </w:t>
      </w:r>
      <w:r w:rsidRPr="005C6730">
        <w:rPr>
          <w:rFonts w:asciiTheme="minorBidi" w:hAnsiTheme="minorBidi"/>
          <w:sz w:val="16"/>
          <w:szCs w:val="16"/>
          <w:rtl/>
        </w:rPr>
        <w:t>(סקל"א</w:t>
      </w:r>
      <w:r w:rsidRPr="005C6730">
        <w:rPr>
          <w:rFonts w:asciiTheme="minorBidi" w:hAnsiTheme="minorBidi"/>
          <w:color w:val="000000" w:themeColor="text1"/>
          <w:sz w:val="16"/>
          <w:szCs w:val="16"/>
          <w:rtl/>
        </w:rPr>
        <w:t>)</w:t>
      </w:r>
      <w:r w:rsidRPr="005C6730">
        <w:rPr>
          <w:rFonts w:asciiTheme="minorBidi" w:hAnsiTheme="minorBidi"/>
          <w:color w:val="000000" w:themeColor="text1"/>
          <w:rtl/>
        </w:rPr>
        <w:t>.</w:t>
      </w:r>
      <w:r w:rsidRPr="005C6730">
        <w:rPr>
          <w:rFonts w:asciiTheme="minorBidi" w:hAnsiTheme="minorBidi"/>
          <w:color w:val="FF0000"/>
          <w:rtl/>
        </w:rPr>
        <w:t xml:space="preserve"> ועי' בב"מ </w:t>
      </w:r>
      <w:r w:rsidRPr="005C6730">
        <w:rPr>
          <w:rFonts w:asciiTheme="minorBidi" w:hAnsiTheme="minorBidi"/>
          <w:color w:val="FF0000"/>
          <w:sz w:val="14"/>
          <w:szCs w:val="14"/>
          <w:rtl/>
        </w:rPr>
        <w:t>(אוצמ"פ)</w:t>
      </w:r>
      <w:r w:rsidRPr="005C6730">
        <w:rPr>
          <w:rFonts w:asciiTheme="minorBidi" w:hAnsiTheme="minorBidi"/>
          <w:color w:val="FF0000"/>
          <w:rtl/>
        </w:rPr>
        <w:t xml:space="preserve"> שחולק</w:t>
      </w:r>
      <w:r w:rsidRPr="005C6730">
        <w:rPr>
          <w:rFonts w:asciiTheme="minorBidi" w:hAnsiTheme="minorBidi"/>
          <w:rtl/>
        </w:rPr>
        <w:t>.</w:t>
      </w:r>
    </w:p>
  </w:footnote>
  <w:footnote w:id="430">
    <w:p w14:paraId="29469F3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ולא מהני הדחה ומליחה אח"כ ואפילו לצלי אסור, ת"ח (שם ריש דין ה), וטעמא דכיון שכבר פלט דמו וצירו א"כ אינו טרוד שוב לפלוט ובולע ושוב אינו יוצא לא ע"י מליחה ולא ע"י צלייה כיון דלא פליט דם של עצמו, וגם לא אמרי' דמישרק שריק והלכך כולו אסר דאנן משערינן במליחה בס', וגם משמע דנאסר מיד, ואף מהרש"ל דס"ל דבשר שנפל לציר אינו אסור אלא כששהה שם שיעור כבישה והבאתיו בסקמ"ה משמע בספרו פכ"ה סי' ע"ד וע"ה דמודה הכא, ונראה דה"ט דכיון דמיד שנפלט מן הבשר נופל עליו א"כ מיד הוא נבלע ועוד דכאן הוי רותח מיד מחמת המליחה, ש"ך (סק"ל).</w:t>
      </w:r>
    </w:p>
  </w:footnote>
  <w:footnote w:id="431">
    <w:p w14:paraId="15580E4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כשידיחנו וימלחנו, ש"ך (סקל"ד).</w:t>
      </w:r>
    </w:p>
  </w:footnote>
  <w:footnote w:id="432">
    <w:p w14:paraId="6E27895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כשידיחנו ויחזור וימלחנו, וכמ"ש הר"ב לקמן בסמוך, והיינו טעמא דכיון דלא שהה שיעור מליחה ועדיין אית ביה דם שפיר אמרינן איידי דיפלוט דם דידיה יפלוט ג"כ דם דאחריני לכו"ע, וכמו שיתבאר </w:t>
      </w:r>
      <w:r w:rsidRPr="005C6730">
        <w:rPr>
          <w:rFonts w:asciiTheme="minorBidi" w:hAnsiTheme="minorBidi"/>
          <w:sz w:val="16"/>
          <w:szCs w:val="16"/>
          <w:rtl/>
        </w:rPr>
        <w:t>{סקמ"א}</w:t>
      </w:r>
      <w:r w:rsidRPr="005C6730">
        <w:rPr>
          <w:rFonts w:asciiTheme="minorBidi" w:hAnsiTheme="minorBidi"/>
          <w:rtl/>
        </w:rPr>
        <w:t xml:space="preserve">, ש"ך </w:t>
      </w:r>
      <w:r w:rsidRPr="005C6730">
        <w:rPr>
          <w:rFonts w:asciiTheme="minorBidi" w:hAnsiTheme="minorBidi"/>
          <w:sz w:val="16"/>
          <w:szCs w:val="16"/>
          <w:rtl/>
        </w:rPr>
        <w:t>(סקל"ה)</w:t>
      </w:r>
      <w:r w:rsidRPr="005C6730">
        <w:rPr>
          <w:rFonts w:asciiTheme="minorBidi" w:hAnsiTheme="minorBidi"/>
          <w:rtl/>
        </w:rPr>
        <w:t xml:space="preserve">. </w:t>
      </w:r>
    </w:p>
  </w:footnote>
  <w:footnote w:id="433">
    <w:p w14:paraId="7DCC8B2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כ"כ בהגשע"ד על שם רבינו שמשון בר אברהם </w:t>
      </w:r>
      <w:r w:rsidRPr="005C6730">
        <w:rPr>
          <w:rFonts w:asciiTheme="minorBidi" w:hAnsiTheme="minorBidi"/>
          <w:sz w:val="16"/>
          <w:szCs w:val="16"/>
          <w:rtl/>
        </w:rPr>
        <w:t>(ומביאה ב"י בסי' סט)</w:t>
      </w:r>
      <w:r w:rsidRPr="005C6730">
        <w:rPr>
          <w:rFonts w:asciiTheme="minorBidi" w:hAnsiTheme="minorBidi"/>
          <w:rtl/>
        </w:rPr>
        <w:t xml:space="preserve"> ומביאה הר"ב בת"ח שם ד"ט, אך קשה על דברי הרמ"א כאן, א- דלקמן ר"ס ק"ה סתם כדברי המחבר והרא"ש דאם הוא כבוש בציר כדי שיתננו על האור וירתיח ויתחיל להתבשל הוה כמבושל</w:t>
      </w:r>
      <w:r w:rsidRPr="005C6730">
        <w:rPr>
          <w:rFonts w:asciiTheme="minorBidi" w:hAnsiTheme="minorBidi"/>
          <w:sz w:val="16"/>
          <w:szCs w:val="16"/>
          <w:rtl/>
        </w:rPr>
        <w:t xml:space="preserve"> (ש"ך וט"ז)</w:t>
      </w:r>
      <w:r w:rsidRPr="005C6730">
        <w:rPr>
          <w:rFonts w:asciiTheme="minorBidi" w:hAnsiTheme="minorBidi"/>
          <w:rtl/>
        </w:rPr>
        <w:t xml:space="preserve">. ב- וגם אם נאמר דרמ"א כאן הדר ביה ממ"ש בת"ח וס"ל דבעינן יום שלם תוך שיעור מליחה וכדעת רש"ל, לא היה לו לתלות האיסור בציר דאפילו נכבש במים מע"ל אסור כדאיתא סי' סט סע' ט </w:t>
      </w:r>
      <w:r w:rsidRPr="005C6730">
        <w:rPr>
          <w:rFonts w:asciiTheme="minorBidi" w:hAnsiTheme="minorBidi"/>
          <w:sz w:val="16"/>
          <w:szCs w:val="16"/>
          <w:rtl/>
        </w:rPr>
        <w:t>(ט"ז)</w:t>
      </w:r>
      <w:r w:rsidRPr="005C6730">
        <w:rPr>
          <w:rFonts w:asciiTheme="minorBidi" w:hAnsiTheme="minorBidi"/>
          <w:rtl/>
        </w:rPr>
        <w:t xml:space="preserve">. </w:t>
      </w:r>
      <w:r w:rsidRPr="005C6730">
        <w:rPr>
          <w:rFonts w:asciiTheme="minorBidi" w:hAnsiTheme="minorBidi"/>
          <w:u w:val="single"/>
          <w:rtl/>
        </w:rPr>
        <w:t>וכמה טעמים ליישב:</w:t>
      </w:r>
    </w:p>
    <w:p w14:paraId="2B0301A7" w14:textId="77777777" w:rsidR="004C5A3C" w:rsidRPr="005C6730" w:rsidRDefault="004C5A3C" w:rsidP="002C39F4">
      <w:pPr>
        <w:pStyle w:val="a5"/>
        <w:numPr>
          <w:ilvl w:val="0"/>
          <w:numId w:val="32"/>
        </w:numPr>
        <w:rPr>
          <w:rFonts w:asciiTheme="minorBidi" w:hAnsiTheme="minorBidi"/>
        </w:rPr>
      </w:pPr>
      <w:r w:rsidRPr="005C6730">
        <w:rPr>
          <w:rFonts w:asciiTheme="minorBidi" w:hAnsiTheme="minorBidi"/>
          <w:rtl/>
        </w:rPr>
        <w:t>ש"ך (סקל"ו)- י"ל דלא קאמר התם דהוי כמבושל אלא לשאר מילי אבל לא לענין בשר דיהא כמבושל ממש ולא יצא אח"כ ע"י מליחה, וכמ"ש הר"ב לשם אדברי המחבר, וע"ל סי' ע' מדין בשר שנפל לציר ודוחק, ועוד י"ל דהכא ע"כ מיירי בכלי מנוקב דאי באין לציר מקום לזוב ס"ל להר"ב דלא מהני הדחה ומליחה שנית כמ"ש בסק"מ, וא"כ נראה דהכא הרא"ש מודה דלא הוי כבוש אלא ביום שלם דהא הרא"ש קאי להדיא אכלי שאינו מנוקב ולא אכלי מנוקב ודוק, מיהו ודאי מהרש"ל פשיטא דסובר דאם לא שהה שיעור מליחה ונפל לציר אע"פ ששהה בתוכו כדי שירתיח כו' שרי שהרי סובר דבשר ששהה שיעור מליחה ונפל לציר אינו אסור אלא בשיעור שירתיח וצ"ע לדינא.</w:t>
      </w:r>
    </w:p>
    <w:p w14:paraId="2D633D35" w14:textId="77777777" w:rsidR="004C5A3C" w:rsidRPr="005C6730" w:rsidRDefault="004C5A3C" w:rsidP="002C39F4">
      <w:pPr>
        <w:pStyle w:val="a5"/>
        <w:numPr>
          <w:ilvl w:val="0"/>
          <w:numId w:val="32"/>
        </w:numPr>
        <w:rPr>
          <w:rFonts w:asciiTheme="minorBidi" w:hAnsiTheme="minorBidi"/>
        </w:rPr>
      </w:pPr>
      <w:r w:rsidRPr="005C6730">
        <w:rPr>
          <w:rFonts w:asciiTheme="minorBidi" w:hAnsiTheme="minorBidi"/>
          <w:rtl/>
        </w:rPr>
        <w:t xml:space="preserve">ט"ז (סקי"ז)- כמדומה שט"ס יש כאן וצ"ל אם לא נכבש בתוכו שיעור כבישה אבל אם שהה שם שיעור כבישה אסור אע"ג דלא נכבש בתוכו יום שלם, ופשוט הוא דכאן לא מיירי מכלי שאינו מנוקב דאל"כ היה כאן איסור בלא ציר מטעם שאינו מנוקב והבשר לא שהה עדיין שיעור מליחה כדלעיל סימן ס"ט סעיף י"ח אלא מיירי כאן בכלי מנוקב כגון שמלח בגיגית על עצים והציר יורד למטה ונפל מקצת בשר לציר. </w:t>
      </w:r>
    </w:p>
  </w:footnote>
  <w:footnote w:id="434">
    <w:p w14:paraId="532FF66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ואין חילוק בין נפל לציר או נפל ציר עליו, וצ"ל דס"ל דציר גרע מנמלח בשר ע"ג בשר שכבר נמלח ולא אמרינן איידי דטריד למיפלט לא בלע ציר, ומ"מ הרמ"א  אינו מודה לרש"ל (שהרי הדברים שכתב לעיל אלו דברי רש"ל, הביאו בת"ח) דאף הדחה ומליחה שנית לא מהני, אלא לצורך הפסד גדול יש להתיר כל זמן פליטת צירו ע"י שיחזור וימלחנו דאיידי דיפלוט ציר דידיה יפלוט ג"כ דם דאחריני ולהכי לא התיר הר"ב בלא מליחה שנית משום דאע"ג דעדיין לא פלט כל צירו לא אמרינן איידי דטריד למפלט ציר לא בלע ציר, וצ"ע בת"ח שם מה שהביא בשם הרא"ש ובסימני ת"ח שם דמשמע שם להדיא דמתיר במקום צורך משום טעם דאף לאחר שיעור מליחה כיון דעדיין פולטת ציר לא בלעה, וא"כ אמאי מצריך כאן בהגה"ה הדחה ומליחה שנית, ואפשר דאה"נ מדינא לא צריך הדחה ומליחה שנית במקום צורך גדול אלא הרב חשש כאן להחמיר דדילמא דעת מהרש"ל עיקר דבלע ולכך יש להדיחו ולמלחו שנית לכתחלה (וכן משמע קצת בת"ח שם ובא"ו של מהרש"ל ע"ש ודוק), מיהו אם נתבשל בלא הדחה ומליחה שנית דעת הרב דמותר במקום צורך גדול ודו"ק, מיהו כל זה כשלא הודח אחר המליחה קודם שנפל לציר אבל הודח כבר נסתמים נקבי הפליטה ובולע ולא מהני אח"כ הדחה ומליחה שנית אליבא דכו"ע, וכמ"ש הרב בת"ח שם, וכמ"ש בסקכ"ו, ע"פ ש"ך (סקל"ז).</w:t>
      </w:r>
    </w:p>
  </w:footnote>
  <w:footnote w:id="435">
    <w:p w14:paraId="720D2A6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שאז אפילו שלא במקום הפסד מרובה אמרינן דפולט ציר וכמו שכתב הר"ב לעיל בסמוך ואם כן ממילא דבמקום הפסד מרובה סמכינן נמי דאיידי דיפלוט אחר כך ציר יפלוט דם משא"כ לאחר י"ב שעות, ש"ך (סקל"ח).</w:t>
      </w:r>
    </w:p>
  </w:footnote>
  <w:footnote w:id="436">
    <w:p w14:paraId="7E1FBE5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w:t>
      </w:r>
      <w:r w:rsidRPr="005C6730">
        <w:rPr>
          <w:rFonts w:asciiTheme="minorBidi" w:hAnsiTheme="minorBidi"/>
          <w:u w:val="single"/>
          <w:rtl/>
        </w:rPr>
        <w:t>וקשה, והרי הרמ"א בת"ח כ' דאם מדיחו לא מהני מליחה אח"כ משום שנסתתמים נקבי הפליטה ע"י ההדחה:</w:t>
      </w:r>
    </w:p>
    <w:p w14:paraId="22D5765B" w14:textId="77777777" w:rsidR="004C5A3C" w:rsidRPr="005C6730" w:rsidRDefault="004C5A3C" w:rsidP="002C39F4">
      <w:pPr>
        <w:pStyle w:val="a5"/>
        <w:numPr>
          <w:ilvl w:val="0"/>
          <w:numId w:val="32"/>
        </w:numPr>
        <w:rPr>
          <w:rFonts w:asciiTheme="minorBidi" w:hAnsiTheme="minorBidi"/>
        </w:rPr>
      </w:pPr>
      <w:r w:rsidRPr="005C6730">
        <w:rPr>
          <w:rFonts w:asciiTheme="minorBidi" w:hAnsiTheme="minorBidi"/>
          <w:rtl/>
        </w:rPr>
        <w:t xml:space="preserve">ש"ך </w:t>
      </w:r>
      <w:r w:rsidRPr="005C6730">
        <w:rPr>
          <w:rFonts w:asciiTheme="minorBidi" w:hAnsiTheme="minorBidi"/>
          <w:sz w:val="16"/>
          <w:szCs w:val="16"/>
          <w:rtl/>
        </w:rPr>
        <w:t>(סקל"ז וסקל"ט)</w:t>
      </w:r>
      <w:r w:rsidRPr="005C6730">
        <w:rPr>
          <w:rFonts w:asciiTheme="minorBidi" w:hAnsiTheme="minorBidi"/>
          <w:rtl/>
        </w:rPr>
        <w:t>- באמת היכא שהודח קודם שנפל לציר נסתמים נקבי הפליטה ובולע ולא מהני אח"כ הדחה ומליחה שנית אליבא דכו"ע, וכמ"ש הרב בת"ח שם, וכמו שכתבתי בסקכ"ו, אבל הכא לא אמרינן שכיון ששהה שיעור מליחה קודם שנפל לציר ועתה ידיחנו יסתמו נקבי הפליטה וכדלעיל, דשאני הכא דהדחה זו אינו אלא להעביר הלכלוך של הציר ולא אמרינן דכיון שהודח נסתמים נקבי הפליטה אלא כשהדיחו קודם שנפל לציר, ומכ"ש שלפי מ"ש בסקמ"ב דא"צ אלא לשפוך עליו מעט מים ודיו להעביר הלכלוך של הציר פשיטא דלא נסתמים בזה נקבי הפליטה דלא אמרינן דנסתמים כו' אלא כשהודח כדין בשר אחר מליחה משא"כ בזה.</w:t>
      </w:r>
    </w:p>
    <w:p w14:paraId="722A52CD" w14:textId="77777777" w:rsidR="004C5A3C" w:rsidRPr="005C6730" w:rsidRDefault="004C5A3C" w:rsidP="002C39F4">
      <w:pPr>
        <w:pStyle w:val="a5"/>
        <w:numPr>
          <w:ilvl w:val="0"/>
          <w:numId w:val="32"/>
        </w:numPr>
        <w:rPr>
          <w:rFonts w:asciiTheme="minorBidi" w:hAnsiTheme="minorBidi"/>
        </w:rPr>
      </w:pPr>
      <w:r w:rsidRPr="005C6730">
        <w:rPr>
          <w:rFonts w:asciiTheme="minorBidi" w:hAnsiTheme="minorBidi"/>
          <w:rtl/>
        </w:rPr>
        <w:t>ב"ח- ששגגה היא זו לפני הר"ב דאם ידיחו יסתמו נקבי הפליטה.</w:t>
      </w:r>
    </w:p>
    <w:p w14:paraId="5CB78931" w14:textId="77777777" w:rsidR="004C5A3C" w:rsidRPr="005C6730" w:rsidRDefault="004C5A3C" w:rsidP="002C39F4">
      <w:pPr>
        <w:pStyle w:val="a5"/>
        <w:numPr>
          <w:ilvl w:val="0"/>
          <w:numId w:val="32"/>
        </w:numPr>
        <w:rPr>
          <w:rFonts w:asciiTheme="minorBidi" w:hAnsiTheme="minorBidi"/>
        </w:rPr>
      </w:pPr>
      <w:r w:rsidRPr="005C6730">
        <w:rPr>
          <w:rFonts w:asciiTheme="minorBidi" w:hAnsiTheme="minorBidi"/>
          <w:rtl/>
        </w:rPr>
        <w:t xml:space="preserve">ט"ז </w:t>
      </w:r>
      <w:r w:rsidRPr="005C6730">
        <w:rPr>
          <w:rFonts w:asciiTheme="minorBidi" w:hAnsiTheme="minorBidi"/>
          <w:sz w:val="16"/>
          <w:szCs w:val="16"/>
          <w:rtl/>
        </w:rPr>
        <w:t>(סקט"ז)</w:t>
      </w:r>
      <w:r w:rsidRPr="005C6730">
        <w:rPr>
          <w:rFonts w:asciiTheme="minorBidi" w:hAnsiTheme="minorBidi"/>
          <w:rtl/>
        </w:rPr>
        <w:t xml:space="preserve">- הרמ"א חזר בו וכ' כאן דמהני מדחה ומליחה שנית אף ששהה כדי מליחה והודח </w:t>
      </w:r>
      <w:r w:rsidRPr="005C6730">
        <w:rPr>
          <w:rFonts w:asciiTheme="minorBidi" w:hAnsiTheme="minorBidi"/>
          <w:sz w:val="16"/>
          <w:szCs w:val="16"/>
          <w:rtl/>
        </w:rPr>
        <w:t>(אע"ג דמדברי הר"ן בשם ה"ר יונה משמע דסותם נקבי הפליטה, ומ"מ אם לא שהה עדיין שיעור מליחה ויש בו עדיין דם לא שייך חילוק זה דאפי' אם הודח מהני ליה מליחה)</w:t>
      </w:r>
      <w:r w:rsidRPr="005C6730">
        <w:rPr>
          <w:rFonts w:asciiTheme="minorBidi" w:hAnsiTheme="minorBidi"/>
          <w:rtl/>
        </w:rPr>
        <w:t>, וכ"כ ה</w:t>
      </w:r>
      <w:r>
        <w:rPr>
          <w:rFonts w:asciiTheme="minorBidi" w:hAnsiTheme="minorBidi"/>
          <w:rtl/>
        </w:rPr>
        <w:t>או"ה</w:t>
      </w:r>
      <w:r w:rsidRPr="005C6730">
        <w:rPr>
          <w:rFonts w:asciiTheme="minorBidi" w:hAnsiTheme="minorBidi"/>
          <w:rtl/>
        </w:rPr>
        <w:t>, וכ"מ דעת הטור, וכ"פ השו"ע.</w:t>
      </w:r>
      <w:r w:rsidRPr="005C6730">
        <w:rPr>
          <w:rFonts w:asciiTheme="minorBidi" w:hAnsiTheme="minorBidi"/>
          <w:sz w:val="16"/>
          <w:szCs w:val="16"/>
          <w:rtl/>
        </w:rPr>
        <w:t xml:space="preserve"> (וגם הצ"צ </w:t>
      </w:r>
      <w:r w:rsidRPr="005C6730">
        <w:rPr>
          <w:rFonts w:asciiTheme="minorBidi" w:hAnsiTheme="minorBidi"/>
          <w:sz w:val="14"/>
          <w:szCs w:val="14"/>
          <w:rtl/>
        </w:rPr>
        <w:t xml:space="preserve">(סי' ס) </w:t>
      </w:r>
      <w:r w:rsidRPr="005C6730">
        <w:rPr>
          <w:rFonts w:asciiTheme="minorBidi" w:hAnsiTheme="minorBidi"/>
          <w:sz w:val="16"/>
          <w:szCs w:val="16"/>
          <w:rtl/>
        </w:rPr>
        <w:t xml:space="preserve">והמנחת יעקב </w:t>
      </w:r>
      <w:r w:rsidRPr="005C6730">
        <w:rPr>
          <w:rFonts w:asciiTheme="minorBidi" w:hAnsiTheme="minorBidi"/>
          <w:sz w:val="14"/>
          <w:szCs w:val="14"/>
          <w:rtl/>
        </w:rPr>
        <w:t xml:space="preserve">(אות יד) </w:t>
      </w:r>
      <w:r w:rsidRPr="005C6730">
        <w:rPr>
          <w:rFonts w:asciiTheme="minorBidi" w:hAnsiTheme="minorBidi"/>
          <w:sz w:val="16"/>
          <w:szCs w:val="16"/>
          <w:rtl/>
        </w:rPr>
        <w:t>כתבו דהרמ"א חזר בו, וכ' החת"ס</w:t>
      </w:r>
      <w:r w:rsidRPr="005C6730">
        <w:rPr>
          <w:rFonts w:asciiTheme="minorBidi" w:hAnsiTheme="minorBidi"/>
          <w:sz w:val="14"/>
          <w:szCs w:val="14"/>
          <w:rtl/>
        </w:rPr>
        <w:t xml:space="preserve"> (הובא באוצ"מ) </w:t>
      </w:r>
      <w:r w:rsidRPr="005C6730">
        <w:rPr>
          <w:rFonts w:asciiTheme="minorBidi" w:hAnsiTheme="minorBidi"/>
          <w:sz w:val="16"/>
          <w:szCs w:val="16"/>
          <w:rtl/>
        </w:rPr>
        <w:t>דיש לסמוך על זה בשעה"ד)</w:t>
      </w:r>
    </w:p>
  </w:footnote>
  <w:footnote w:id="437">
    <w:p w14:paraId="08170D6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דוקא שנפל לציר שיש לה מקום לזוב (פי' שהיא בכלי מנוקב) אבל אין לה מקום לזוב אף קודם שיעור מליחה אסור ולא מהני מליחה אח"כ, כ"פ בת"ח כלל ז' דין ב' (ומינה דאם שהה שיעור מליחה אפילו נפל לציר בכלי מנוקב לא מהני הדחה ומליחה), </w:t>
      </w:r>
      <w:r w:rsidRPr="005C6730">
        <w:rPr>
          <w:rFonts w:asciiTheme="minorBidi" w:hAnsiTheme="minorBidi"/>
          <w:color w:val="FF0000"/>
          <w:rtl/>
        </w:rPr>
        <w:t>וכתוב בת"ח שם בשם או"ה כלל ו' (דין י"ד) דאף באין לציר מקום לזוב מה שחוץ לציר מותר, ונ"ל דלא מיירי מטעם כלי שאינו מנוקב דא"כ לא תלי בציר, ועוד דא"כ גם הרב מודה דמה שחוץ לציר נמי אסור וכמ"ש בסימן ס"ח סקס"ט אלא מיירי כמ"ש האו"ה שם ותוס' פג"ה דף צ"ו והפוסקים כגון המולח בשר הרבה בגיגית ע"ג עצים ולאח"כ מצא חתיכה חציה תוך הציר ואינה נוגעת בשולי הגיגית מותר מה שחוץ לציר מטעם דל"ד לכלי שאינו מנוקב כיון דמונחת ע"ג עצים ואינה נוגעת בשולי הגיגית וכמ"ש שם חילוק זה ע"ש אלא דכיון דנשרה בציר שאין לה מקום לזוב אסור מה שבציר</w:t>
      </w:r>
      <w:r w:rsidRPr="005C6730">
        <w:rPr>
          <w:rFonts w:asciiTheme="minorBidi" w:hAnsiTheme="minorBidi"/>
          <w:rtl/>
        </w:rPr>
        <w:t>, ש"ך (סק"מ).</w:t>
      </w:r>
    </w:p>
  </w:footnote>
  <w:footnote w:id="438">
    <w:p w14:paraId="776A9BE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וגם רש"ל מודה בזה דכיון שלא שהה שיעור מליחה אמרינן איידי דיפלוט דם דידיה יפלוט דם דאחריני ואפילו הודח קודם שנפל לציר לא אמרינן דנסתמין נקבי הפליטה כיון שהודח קודם שיעור מליחה וזה פשוט, ש"ך (סקמ"א). </w:t>
      </w:r>
    </w:p>
  </w:footnote>
  <w:footnote w:id="439">
    <w:p w14:paraId="4FED066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כיון שכבר הודח קודם המליחה הראשונה, ט"ז (סקי"ח). ולא אמרינן דהוי כבשר שנמלח בלא הדחה קמייתא כמו בר"ס ס"ט דהתם דוקא בדם שבעין אמרינן הכי משא"כ ציר זה דלא גרע משאר דם פליטה, ש"ך (סקמ"ג). ואין צריך לחזור ולהדיחו אפי' לכתחלה ואפילו הרוצה להחמיר ישפוך עליו מים ודיו כיון שהודח הדחה קמייתא, מהרש"ל (באו"ש ובפכ"ה סימן ע"ו), ונראה דגם הרב מודה בזה דאין צריך אלא לשפוך עליו מים ודיו ולכך לא פירש שיעור ההדחה, ש"ך (סקמ"ב). וכ' עוד הט"ז דהנה בהגשע"ד שער ד' בשם מהרא"י מסתפק אם לא הודח כלל ונפל לציר אי הוה כנמלח בלא הדחה קמייתא או לא והכריע לחומרא ואישתמיטתיה דברי המרדכי פכ"ה מביאו באו"ה ריש שער ה' דמותר כשמדיחו מן הציר וחוזר ומולחו וכ"פ רש"ל פכ"ה סימן ע"ז מסברא דנפשי' וכתב שאין ראייה למהרא"י להחמיר, והנה יש ראיה ברורה להתיר.</w:t>
      </w:r>
    </w:p>
  </w:footnote>
  <w:footnote w:id="440">
    <w:p w14:paraId="531B6A8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היינו דוקא בהפסד מרובה וסעודת מצוה ג"כ, דאל"כ אפי' לאחר שיעור מליחתו חשוב כרותח כדלקמן סי' צא ס"ה, ש"ך</w:t>
      </w:r>
      <w:r w:rsidRPr="005C6730">
        <w:rPr>
          <w:rFonts w:asciiTheme="minorBidi" w:hAnsiTheme="minorBidi"/>
          <w:sz w:val="16"/>
          <w:szCs w:val="16"/>
          <w:rtl/>
        </w:rPr>
        <w:t xml:space="preserve"> (סקמ"ד)</w:t>
      </w:r>
      <w:r w:rsidRPr="005C6730">
        <w:rPr>
          <w:rFonts w:asciiTheme="minorBidi" w:hAnsiTheme="minorBidi"/>
          <w:rtl/>
        </w:rPr>
        <w:t>.</w:t>
      </w:r>
    </w:p>
  </w:footnote>
  <w:footnote w:id="441">
    <w:p w14:paraId="5DD246A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פירוש אם נפל לציר אחר שכבר פלט כל ציר דידיה דהיינו אחר ששהה יום שלם, או שהודח אחר המליחה לדעת רש"ל ות"ח, או אפילו אם לא שהה יום שלם אלא תוך י"ב שעות ואין כאן הפסד גדול דאסור לפי פסק רמ"א דלעיל, ט"ז (סקי"ט).</w:t>
      </w:r>
    </w:p>
  </w:footnote>
  <w:footnote w:id="442">
    <w:p w14:paraId="66EC984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דדם אינו מפעפע למעלה ואפילו אותו מקצת שבציר שמן מותר כדלעיל סימן ס"ט סי"ח והכי איתא בת"ח ריש כלל י"ז, מיהו חותך גם כן כדי קליפה ממה שבחוץ לציר וכדאיתא בסימן ס"ט ובת"ח שם ועיין בסימן ס"ט ס"ק ע"ג, ש"ך (סקמ"ה).</w:t>
      </w:r>
    </w:p>
  </w:footnote>
  <w:footnote w:id="443">
    <w:p w14:paraId="1D9ADD6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פירוש אם אחר ששהה שיעור מליחה כנזכר לעיל במקום דלא מהני חזרת מליחה אבל במקום דמהני חזרת מליחה אינו פוסל עד שישהה שיעור כבישה בציר כמו שזכרנו, ט"ז (סק"כ).</w:t>
      </w:r>
    </w:p>
  </w:footnote>
  <w:footnote w:id="444">
    <w:p w14:paraId="592D34D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הש"ך (סקמ"ו) דכן דעת האו"ה בכמה דוכתי והכי נהגינן ואין לשנות, ודחה את הבנת רש"ל בדברי הרא"ש </w:t>
      </w:r>
      <w:r w:rsidRPr="005C6730">
        <w:rPr>
          <w:rFonts w:asciiTheme="minorBidi" w:hAnsiTheme="minorBidi"/>
          <w:sz w:val="16"/>
          <w:szCs w:val="16"/>
          <w:rtl/>
        </w:rPr>
        <w:t>(דרצה לומר דרק גבי בשר שנמלח בכלי שאינו מנוקב חולקים התוס' על הרא"ש ואומרים שנאסר מיד, והכי קיי"ל, אבל גבי בשר שנפל לציר מי יימר דפליגי התוס' על הרא"ש הילכך אינו אסור עד שישהה כשיעור כבישה היינו שיתנו על האור וירתח וכו', עיי"ש)</w:t>
      </w:r>
      <w:r w:rsidRPr="005C6730">
        <w:rPr>
          <w:rFonts w:asciiTheme="minorBidi" w:hAnsiTheme="minorBidi"/>
          <w:rtl/>
        </w:rPr>
        <w:t>.</w:t>
      </w:r>
    </w:p>
  </w:footnote>
  <w:footnote w:id="445">
    <w:p w14:paraId="3651670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ז"ל הת"ח (ד"ח)- כתוב באו"ה דראוי להסתפק אם קרקע מקרי כלי מנוקב ומאחר שנסתפק ראוי להחמיר עכ"ל, ונראה דמ"מ א"צ רק כדי קליפה במקום שנוגע בקרקע לציר אבל מה שלמעלה ממנו שרי דלא גרע מחתיכה שחציה בציר וחציה חוץ לציר, ע"כ </w:t>
      </w:r>
      <w:r w:rsidRPr="005C6730">
        <w:rPr>
          <w:rFonts w:asciiTheme="minorBidi" w:hAnsiTheme="minorBidi"/>
          <w:sz w:val="16"/>
          <w:szCs w:val="16"/>
          <w:rtl/>
        </w:rPr>
        <w:t>[בתורת חטאת]</w:t>
      </w:r>
      <w:r w:rsidRPr="005C6730">
        <w:rPr>
          <w:rFonts w:asciiTheme="minorBidi" w:hAnsiTheme="minorBidi"/>
          <w:rtl/>
        </w:rPr>
        <w:t xml:space="preserve">. ונראה דמיירי שנפל על הקרקע בשר שלא שהה עדיין שיעור מליחה דמסתפק אם מקרי כלי מנוקב והוה כנפל לציר דעלמא דמהני מליחה אח"כ דאיידי דיפלוט כו', או מקרי כלי שאינו מנוקב ולא מהני מליחה אח"כ ואפ"ה התיר מה שלמעלה מן הציר וכמ"ש בשמו בסק"מ ע"ש, </w:t>
      </w:r>
      <w:r w:rsidRPr="005C6730">
        <w:rPr>
          <w:rFonts w:asciiTheme="minorBidi" w:hAnsiTheme="minorBidi"/>
          <w:color w:val="FF0000"/>
          <w:rtl/>
        </w:rPr>
        <w:t>אבל אין לפרש דמיירי שנפל שם בשר שכבר פלט כל דמו דזה אסור אפילו בכלי מנוקב וכמו שנתבאר, ואע"ג דבלשון הגשע"ד שהביא בת"ח שם נסתפק אי נימא דהוי ככלי מנוקב ואגב דאזלא לא בלע כו' ומשמע לפ"ז דאפי' בכה"ג אפשר דשרי מטעם דלא בלע, הא נתבאר דאפי' בכלי מנוקב בלע מיהת, מיהו פשיטא דלא איירי בבשר שלא נמלח כלל דזה שרי אפילו בכלי שאינו מנוקב ע"י מליחה אח"כ דאין כח בציר לפרוש ממקום למקום כמ"ש האו"ה כלל ה' דין י"ב ודוקא מלח בכלי שאינו מנוקב הוא דאסור, מיהו אף למ"ש לעיל דאף מה שבחוץ לציר אסור אפילו להר"ב אם נפל תוך שיעור מליחה לציר בכלי שאינו מנוקב ממש מ"מ הכא גבי קרקע שרי מה שחוץ לציר כיון דמספקא לן אי הוי ככלי מנוקב או לא דהתם גופא חומרא בעלמא היא לאסור מה שחוץ לציר ודמי למ"ש בסי' ס"ט סקס"ט דבספק אם נפלה קודם ששהה שיעור מליחה בכלי שאינו מנוקב או לאחר שיעור מליחה דשרי מה שחוץ לציר מה"ט ע"ש</w:t>
      </w:r>
      <w:r w:rsidRPr="005C6730">
        <w:rPr>
          <w:rFonts w:asciiTheme="minorBidi" w:hAnsiTheme="minorBidi"/>
          <w:rtl/>
        </w:rPr>
        <w:t>, ש"ך (סקמ"ז).</w:t>
      </w:r>
    </w:p>
  </w:footnote>
  <w:footnote w:id="446">
    <w:p w14:paraId="6BE9B36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ומהני לה מליחה אח"כ איידי כו', וכן משמע בת"ח כלל ו' ד"ד וכלל י"ד דין י"ג ע"ש, וכ"ד מהרש"ל באו"ש ובספרו פכ"ה ס"ס ע"ז דחתיכה תפלה דהיינו שלא נמלחה שנתערבה בחתיכות מלוחות בכלי שאינו מנוקב ובלעה דם דמותרת על ידי מליחה דאינו נאסר אלא דוקא כשמלחה חתיכה בכלי שאינו מנוקב משום דהמקום הוא דחוק וע"י מליחה פירש ממקום למקום וכמ"ש סי' ס"ט ס"ק ס"ח משא"כ הכא, וכ"כ בס' באר שבע, דלא כדמשמע מדברי מהר"י כהן מקראקא בתשו' סי' כ"ו, ש"ך (סקמ"ח).</w:t>
      </w:r>
    </w:p>
  </w:footnote>
  <w:footnote w:id="447">
    <w:p w14:paraId="7F957EE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ואע"ג דבנפל לציר שבקרקע לעיל אזיל מספיקא לחומרא י"ל דשאני התם שאם אתה מיקל בזה יבאו להקל אם נפל ע"ג קרקע לדם ממש, וכן יש לומר בשאר ספיקות, משא"כ הכא דאיכא לספוקי שמא אין כאן ציר, ש"ך (סקמ"ט). </w:t>
      </w:r>
      <w:r w:rsidRPr="005C6730">
        <w:rPr>
          <w:rFonts w:asciiTheme="minorBidi" w:hAnsiTheme="minorBidi"/>
          <w:color w:val="FF0000"/>
          <w:rtl/>
        </w:rPr>
        <w:t>ולענ"ד י"ל בציר שבקרקע דליכא נ"מ אלא בנפל תוכו תוך שיעור מליחה, או בחתיכה תפילה ושהה כדי שירתיח דכיון דעדיין לא יצא החתיכה מידי דמה הוי כמו אתחזק איסורא, ואמרינן שמא קרקע הוי כלי שאינו מנוקב ולא מהני המליחה, משא"כ בספק ציר ספק מים דהנ"מ בנפל תוכה חתיכה שפלט כל דמה דהוי חזקת היתר, ובאמת י"ל בחתיכה תפילה שלא נמלח ונפל לתוך מקום ספק ציר ספק מים ושהה כדי שירתיח וכן בנפל לתוכו תוך שיעור מליחה אסור מה שבתוך הציר, ע"פ רעק"א (על הש"ך הנ"ל)</w:t>
      </w:r>
      <w:r w:rsidRPr="005C6730">
        <w:rPr>
          <w:rFonts w:asciiTheme="minorBidi" w:hAnsiTheme="minorBidi"/>
          <w:rtl/>
        </w:rPr>
        <w:t>.</w:t>
      </w:r>
    </w:p>
  </w:footnote>
  <w:footnote w:id="448">
    <w:p w14:paraId="2531DB7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פירוש שאין במים ס' נגד הציר אבל עכ"פ בעינן שיהיו מרובין מהציר, כ</w:t>
      </w:r>
      <w:r>
        <w:rPr>
          <w:rFonts w:asciiTheme="minorBidi" w:hAnsiTheme="minorBidi" w:hint="cs"/>
          <w:rtl/>
        </w:rPr>
        <w:t>"מ</w:t>
      </w:r>
      <w:r w:rsidRPr="005C6730">
        <w:rPr>
          <w:rFonts w:asciiTheme="minorBidi" w:hAnsiTheme="minorBidi"/>
          <w:rtl/>
        </w:rPr>
        <w:t xml:space="preserve"> להדיא בהג"א פכ"ה וש</w:t>
      </w:r>
      <w:r>
        <w:rPr>
          <w:rFonts w:asciiTheme="minorBidi" w:hAnsiTheme="minorBidi" w:hint="cs"/>
          <w:rtl/>
        </w:rPr>
        <w:t>א"פ</w:t>
      </w:r>
      <w:r w:rsidRPr="005C6730">
        <w:rPr>
          <w:rFonts w:asciiTheme="minorBidi" w:hAnsiTheme="minorBidi"/>
          <w:rtl/>
        </w:rPr>
        <w:t>, וכ</w:t>
      </w:r>
      <w:r>
        <w:rPr>
          <w:rFonts w:asciiTheme="minorBidi" w:hAnsiTheme="minorBidi" w:hint="cs"/>
          <w:rtl/>
        </w:rPr>
        <w:t>"</w:t>
      </w:r>
      <w:r w:rsidRPr="005C6730">
        <w:rPr>
          <w:rFonts w:asciiTheme="minorBidi" w:hAnsiTheme="minorBidi"/>
          <w:rtl/>
        </w:rPr>
        <w:t xml:space="preserve">ה בהדיא באו"ה </w:t>
      </w:r>
      <w:r>
        <w:rPr>
          <w:rFonts w:asciiTheme="minorBidi" w:hAnsiTheme="minorBidi" w:hint="cs"/>
          <w:rtl/>
        </w:rPr>
        <w:t>(</w:t>
      </w:r>
      <w:r w:rsidRPr="005C6730">
        <w:rPr>
          <w:rFonts w:asciiTheme="minorBidi" w:hAnsiTheme="minorBidi"/>
          <w:rtl/>
        </w:rPr>
        <w:t>כלל ב ד</w:t>
      </w:r>
      <w:r>
        <w:rPr>
          <w:rFonts w:asciiTheme="minorBidi" w:hAnsiTheme="minorBidi" w:hint="cs"/>
          <w:rtl/>
        </w:rPr>
        <w:t>"</w:t>
      </w:r>
      <w:r w:rsidRPr="005C6730">
        <w:rPr>
          <w:rFonts w:asciiTheme="minorBidi" w:hAnsiTheme="minorBidi"/>
          <w:rtl/>
        </w:rPr>
        <w:t>ה</w:t>
      </w:r>
      <w:r>
        <w:rPr>
          <w:rFonts w:asciiTheme="minorBidi" w:hAnsiTheme="minorBidi" w:hint="cs"/>
          <w:rtl/>
        </w:rPr>
        <w:t>)</w:t>
      </w:r>
      <w:r w:rsidRPr="005C6730">
        <w:rPr>
          <w:rFonts w:asciiTheme="minorBidi" w:hAnsiTheme="minorBidi"/>
          <w:rtl/>
        </w:rPr>
        <w:t xml:space="preserve"> ע"ש, ש"ך </w:t>
      </w:r>
      <w:r w:rsidRPr="00D90367">
        <w:rPr>
          <w:rFonts w:asciiTheme="minorBidi" w:hAnsiTheme="minorBidi"/>
          <w:sz w:val="16"/>
          <w:szCs w:val="16"/>
          <w:rtl/>
        </w:rPr>
        <w:t>(סק"נ)</w:t>
      </w:r>
      <w:r w:rsidRPr="005C6730">
        <w:rPr>
          <w:rFonts w:asciiTheme="minorBidi" w:hAnsiTheme="minorBidi"/>
          <w:rtl/>
        </w:rPr>
        <w:t>.</w:t>
      </w:r>
      <w:r>
        <w:rPr>
          <w:rFonts w:asciiTheme="minorBidi" w:hAnsiTheme="minorBidi" w:hint="cs"/>
          <w:rtl/>
        </w:rPr>
        <w:t xml:space="preserve"> אמנם </w:t>
      </w:r>
      <w:r>
        <w:rPr>
          <w:rFonts w:asciiTheme="minorBidi" w:hAnsiTheme="minorBidi" w:cs="Arial" w:hint="cs"/>
          <w:rtl/>
        </w:rPr>
        <w:t>ה</w:t>
      </w:r>
      <w:r w:rsidRPr="00D90367">
        <w:rPr>
          <w:rFonts w:asciiTheme="minorBidi" w:hAnsiTheme="minorBidi" w:cs="Arial"/>
          <w:rtl/>
        </w:rPr>
        <w:t xml:space="preserve">מג"א </w:t>
      </w:r>
      <w:r w:rsidRPr="00D90367">
        <w:rPr>
          <w:rFonts w:asciiTheme="minorBidi" w:hAnsiTheme="minorBidi" w:cs="Arial" w:hint="cs"/>
          <w:sz w:val="16"/>
          <w:szCs w:val="16"/>
          <w:rtl/>
        </w:rPr>
        <w:t>(</w:t>
      </w:r>
      <w:r w:rsidRPr="00D90367">
        <w:rPr>
          <w:rFonts w:asciiTheme="minorBidi" w:hAnsiTheme="minorBidi" w:cs="Arial"/>
          <w:sz w:val="16"/>
          <w:szCs w:val="16"/>
          <w:rtl/>
        </w:rPr>
        <w:t>סי</w:t>
      </w:r>
      <w:r w:rsidRPr="00D90367">
        <w:rPr>
          <w:rFonts w:asciiTheme="minorBidi" w:hAnsiTheme="minorBidi" w:cs="Arial" w:hint="cs"/>
          <w:sz w:val="16"/>
          <w:szCs w:val="16"/>
          <w:rtl/>
        </w:rPr>
        <w:t>'</w:t>
      </w:r>
      <w:r w:rsidRPr="00D90367">
        <w:rPr>
          <w:rFonts w:asciiTheme="minorBidi" w:hAnsiTheme="minorBidi" w:cs="Arial"/>
          <w:sz w:val="16"/>
          <w:szCs w:val="16"/>
          <w:rtl/>
        </w:rPr>
        <w:t xml:space="preserve"> תמז סקל"ט</w:t>
      </w:r>
      <w:r w:rsidRPr="00D90367">
        <w:rPr>
          <w:rFonts w:asciiTheme="minorBidi" w:hAnsiTheme="minorBidi" w:cs="Arial" w:hint="cs"/>
          <w:sz w:val="16"/>
          <w:szCs w:val="16"/>
          <w:rtl/>
        </w:rPr>
        <w:t>)</w:t>
      </w:r>
      <w:r w:rsidRPr="00D90367">
        <w:rPr>
          <w:rFonts w:asciiTheme="minorBidi" w:hAnsiTheme="minorBidi" w:cs="Arial"/>
          <w:sz w:val="16"/>
          <w:szCs w:val="16"/>
          <w:rtl/>
        </w:rPr>
        <w:t xml:space="preserve"> </w:t>
      </w:r>
      <w:r w:rsidRPr="00D90367">
        <w:rPr>
          <w:rFonts w:asciiTheme="minorBidi" w:hAnsiTheme="minorBidi" w:cs="Arial"/>
          <w:rtl/>
        </w:rPr>
        <w:t>כתב דמלשון רמ"א משמע אפילו אין המים מרובים</w:t>
      </w:r>
      <w:r>
        <w:rPr>
          <w:rFonts w:asciiTheme="minorBidi" w:hAnsiTheme="minorBidi" w:cs="Arial" w:hint="cs"/>
          <w:rtl/>
        </w:rPr>
        <w:t xml:space="preserve">. אך הפרי תואר </w:t>
      </w:r>
      <w:r w:rsidRPr="00D90367">
        <w:rPr>
          <w:rFonts w:asciiTheme="minorBidi" w:hAnsiTheme="minorBidi" w:cs="Arial" w:hint="cs"/>
          <w:sz w:val="16"/>
          <w:szCs w:val="16"/>
          <w:rtl/>
        </w:rPr>
        <w:t xml:space="preserve">(בתשו' </w:t>
      </w:r>
      <w:r w:rsidRPr="00D90367">
        <w:rPr>
          <w:rFonts w:asciiTheme="minorBidi" w:hAnsiTheme="minorBidi" w:cs="Arial"/>
          <w:sz w:val="16"/>
          <w:szCs w:val="16"/>
          <w:rtl/>
        </w:rPr>
        <w:t>סי</w:t>
      </w:r>
      <w:r w:rsidRPr="00D90367">
        <w:rPr>
          <w:rFonts w:asciiTheme="minorBidi" w:hAnsiTheme="minorBidi" w:cs="Arial" w:hint="cs"/>
          <w:sz w:val="16"/>
          <w:szCs w:val="16"/>
          <w:rtl/>
        </w:rPr>
        <w:t>'</w:t>
      </w:r>
      <w:r w:rsidRPr="00D90367">
        <w:rPr>
          <w:rFonts w:asciiTheme="minorBidi" w:hAnsiTheme="minorBidi" w:cs="Arial"/>
          <w:sz w:val="16"/>
          <w:szCs w:val="16"/>
          <w:rtl/>
        </w:rPr>
        <w:t xml:space="preserve"> יח בהגה</w:t>
      </w:r>
      <w:r w:rsidRPr="00D90367">
        <w:rPr>
          <w:rFonts w:asciiTheme="minorBidi" w:hAnsiTheme="minorBidi" w:cs="Arial" w:hint="cs"/>
          <w:sz w:val="16"/>
          <w:szCs w:val="16"/>
          <w:rtl/>
        </w:rPr>
        <w:t>)</w:t>
      </w:r>
      <w:r w:rsidRPr="00D90367">
        <w:rPr>
          <w:rFonts w:asciiTheme="minorBidi" w:hAnsiTheme="minorBidi" w:cs="Arial"/>
          <w:sz w:val="16"/>
          <w:szCs w:val="16"/>
          <w:rtl/>
        </w:rPr>
        <w:t xml:space="preserve"> </w:t>
      </w:r>
      <w:r w:rsidRPr="00D90367">
        <w:rPr>
          <w:rFonts w:asciiTheme="minorBidi" w:hAnsiTheme="minorBidi" w:cs="Arial"/>
          <w:rtl/>
        </w:rPr>
        <w:t>כתב עליו דלא עיין לקמן סי</w:t>
      </w:r>
      <w:r>
        <w:rPr>
          <w:rFonts w:asciiTheme="minorBidi" w:hAnsiTheme="minorBidi" w:cs="Arial" w:hint="cs"/>
          <w:rtl/>
        </w:rPr>
        <w:t>'</w:t>
      </w:r>
      <w:r w:rsidRPr="00D90367">
        <w:rPr>
          <w:rFonts w:asciiTheme="minorBidi" w:hAnsiTheme="minorBidi" w:cs="Arial"/>
          <w:rtl/>
        </w:rPr>
        <w:t xml:space="preserve"> קכב ס"ג בדברי הרמ"א</w:t>
      </w:r>
      <w:r>
        <w:rPr>
          <w:rFonts w:asciiTheme="minorBidi" w:hAnsiTheme="minorBidi" w:cs="Arial" w:hint="cs"/>
          <w:rtl/>
        </w:rPr>
        <w:t xml:space="preserve"> </w:t>
      </w:r>
      <w:r w:rsidRPr="00D90367">
        <w:rPr>
          <w:rFonts w:asciiTheme="minorBidi" w:hAnsiTheme="minorBidi" w:cs="Arial" w:hint="cs"/>
          <w:sz w:val="16"/>
          <w:szCs w:val="16"/>
          <w:rtl/>
        </w:rPr>
        <w:t>(דשם נתבאר דתערובת לא מקרי חריף עד דאיכא רוב חריף)</w:t>
      </w:r>
      <w:r>
        <w:rPr>
          <w:rFonts w:asciiTheme="minorBidi" w:hAnsiTheme="minorBidi" w:cs="Arial" w:hint="cs"/>
          <w:rtl/>
        </w:rPr>
        <w:t>.</w:t>
      </w:r>
    </w:p>
  </w:footnote>
  <w:footnote w:id="449">
    <w:p w14:paraId="04BCB6E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הביאם הרשב"א בארוך.</w:t>
      </w:r>
    </w:p>
  </w:footnote>
  <w:footnote w:id="450">
    <w:p w14:paraId="56C1738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הרשב"א שם- ולא ידעתי מה יצאנו ידי חובה אף בחומרא זו שאם מליחה ראשונה לא נכנסה בבשר רק מיעוט לא הועילה לנו ולמה היא באה.</w:t>
      </w:r>
    </w:p>
  </w:footnote>
  <w:footnote w:id="451">
    <w:p w14:paraId="5679604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מפני המוח שבפנים שלא היה פולט דמו אלולי כן </w:t>
      </w:r>
      <w:r w:rsidRPr="005C6730">
        <w:rPr>
          <w:rFonts w:asciiTheme="minorBidi" w:hAnsiTheme="minorBidi"/>
          <w:sz w:val="16"/>
          <w:szCs w:val="16"/>
          <w:rtl/>
        </w:rPr>
        <w:t>(היינו אלולי יעשה איזו תחבולה חיתוך או נקב וכדו')</w:t>
      </w:r>
      <w:r w:rsidRPr="005C6730">
        <w:rPr>
          <w:rFonts w:asciiTheme="minorBidi" w:hAnsiTheme="minorBidi"/>
          <w:rtl/>
        </w:rPr>
        <w:t xml:space="preserve">, ע"פ ב"י. והיינו למצווה מן המובחר, אבל מדינא אינו צריך לחתוך לשתיים אלא כיון שמולח מבחוץ מכל הצדדין סגי </w:t>
      </w:r>
      <w:r w:rsidRPr="005C6730">
        <w:rPr>
          <w:rFonts w:asciiTheme="minorBidi" w:hAnsiTheme="minorBidi"/>
          <w:u w:val="single"/>
          <w:rtl/>
        </w:rPr>
        <w:t>לבשר</w:t>
      </w:r>
      <w:r w:rsidRPr="005C6730">
        <w:rPr>
          <w:rFonts w:asciiTheme="minorBidi" w:hAnsiTheme="minorBidi"/>
          <w:rtl/>
        </w:rPr>
        <w:t xml:space="preserve"> הראש </w:t>
      </w:r>
      <w:r w:rsidRPr="005C6730">
        <w:rPr>
          <w:rFonts w:asciiTheme="minorBidi" w:hAnsiTheme="minorBidi"/>
          <w:sz w:val="16"/>
          <w:szCs w:val="16"/>
          <w:rtl/>
        </w:rPr>
        <w:t>(אבל למוח צריך או שיחתוך לשניים למצוה מן המובחר או שיניחו ע"ג בית שחיטתו או שינקוב העצם והקרום כדלקמן)</w:t>
      </w:r>
      <w:r w:rsidRPr="005C6730">
        <w:rPr>
          <w:rFonts w:asciiTheme="minorBidi" w:hAnsiTheme="minorBidi"/>
          <w:rtl/>
        </w:rPr>
        <w:t xml:space="preserve">, ט"ז </w:t>
      </w:r>
      <w:r w:rsidRPr="005C6730">
        <w:rPr>
          <w:rFonts w:asciiTheme="minorBidi" w:hAnsiTheme="minorBidi"/>
          <w:sz w:val="16"/>
          <w:szCs w:val="16"/>
          <w:rtl/>
        </w:rPr>
        <w:t xml:space="preserve">(סק"א) </w:t>
      </w:r>
      <w:r w:rsidRPr="005C6730">
        <w:rPr>
          <w:rFonts w:asciiTheme="minorBidi" w:hAnsiTheme="minorBidi"/>
          <w:rtl/>
        </w:rPr>
        <w:t xml:space="preserve">ש"ך </w:t>
      </w:r>
      <w:r w:rsidRPr="005C6730">
        <w:rPr>
          <w:rFonts w:asciiTheme="minorBidi" w:hAnsiTheme="minorBidi"/>
          <w:sz w:val="16"/>
          <w:szCs w:val="16"/>
          <w:rtl/>
        </w:rPr>
        <w:t xml:space="preserve">(סק"א) </w:t>
      </w:r>
      <w:r w:rsidRPr="005C6730">
        <w:rPr>
          <w:rFonts w:asciiTheme="minorBidi" w:hAnsiTheme="minorBidi"/>
          <w:rtl/>
        </w:rPr>
        <w:t xml:space="preserve">וגר"א </w:t>
      </w:r>
      <w:r w:rsidRPr="005C6730">
        <w:rPr>
          <w:rFonts w:asciiTheme="minorBidi" w:hAnsiTheme="minorBidi"/>
          <w:sz w:val="16"/>
          <w:szCs w:val="16"/>
          <w:rtl/>
        </w:rPr>
        <w:t>(סק"א)</w:t>
      </w:r>
      <w:r w:rsidRPr="005C6730">
        <w:rPr>
          <w:rFonts w:asciiTheme="minorBidi" w:hAnsiTheme="minorBidi"/>
          <w:rtl/>
        </w:rPr>
        <w:t>.</w:t>
      </w:r>
    </w:p>
  </w:footnote>
  <w:footnote w:id="452">
    <w:p w14:paraId="096E542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ואע"ג דבמליחה מצד אחד סגי </w:t>
      </w:r>
      <w:r w:rsidRPr="005C6730">
        <w:rPr>
          <w:rFonts w:asciiTheme="minorBidi" w:hAnsiTheme="minorBidi"/>
          <w:sz w:val="16"/>
          <w:szCs w:val="16"/>
          <w:rtl/>
        </w:rPr>
        <w:t>(כדלעיל סי' סט)</w:t>
      </w:r>
      <w:r w:rsidRPr="005C6730">
        <w:rPr>
          <w:rFonts w:asciiTheme="minorBidi" w:hAnsiTheme="minorBidi"/>
          <w:rtl/>
        </w:rPr>
        <w:t xml:space="preserve"> היינו דוקא בדיע' אבל לכתח' צריך למלוח משני צדדים, ע"פ ב"י. וכ"כ הש"ך</w:t>
      </w:r>
      <w:r w:rsidRPr="005C6730">
        <w:rPr>
          <w:rFonts w:asciiTheme="minorBidi" w:hAnsiTheme="minorBidi"/>
          <w:sz w:val="16"/>
          <w:szCs w:val="16"/>
          <w:rtl/>
        </w:rPr>
        <w:t xml:space="preserve"> (סק"ב)</w:t>
      </w:r>
      <w:r w:rsidRPr="005C6730">
        <w:rPr>
          <w:rFonts w:asciiTheme="minorBidi" w:hAnsiTheme="minorBidi"/>
          <w:rtl/>
        </w:rPr>
        <w:t>.</w:t>
      </w:r>
    </w:p>
  </w:footnote>
  <w:footnote w:id="453">
    <w:p w14:paraId="689F8BB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פירוש, כל מפרסת פרסה תרגם יונתן דמיטלפא טילפין.</w:t>
      </w:r>
    </w:p>
  </w:footnote>
  <w:footnote w:id="454">
    <w:p w14:paraId="4BC0287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ואם תאמר למה צריך לחתך מעט למטה, אם כדי שיזוב הדם דרך שם הרי יש בהם מקום חתך דרך הפרק שהם מחוברים שם לעצם, ועוד דע"כ הוא צריך למלוח כל הרגלים על השער דאין סברא לומר שאינו מולח אלא מקום חתך ומאחר דאין השער מעכב ע"י המלח להפליט הדם אם כן ל"ל לחתך כלל הרי הדם יוצא אע"פ שהשער מפסיק כשם שדם מוח העצמות יוצא אע"פ שהעצם סתום מכל צדדיו, וי"ל דאה"נ שהדם נפלט דרך השער ומה שצריך לחתך הטלפים היינו כדי שלא יתכנס הדם בפרסות וליהוי כמולח בכלי שאינו מנוקב ונאסר מה שבתוך הפרסות כמו שכתבו הגה"מ </w:t>
      </w:r>
      <w:r w:rsidRPr="005C6730">
        <w:rPr>
          <w:rFonts w:asciiTheme="minorBidi" w:hAnsiTheme="minorBidi"/>
          <w:sz w:val="16"/>
          <w:szCs w:val="16"/>
          <w:rtl/>
        </w:rPr>
        <w:t xml:space="preserve">(ד"ק פ"ו הי"ג) </w:t>
      </w:r>
      <w:r w:rsidRPr="005C6730">
        <w:rPr>
          <w:rFonts w:asciiTheme="minorBidi" w:hAnsiTheme="minorBidi"/>
          <w:rtl/>
        </w:rPr>
        <w:t xml:space="preserve">בשם סמ"ק </w:t>
      </w:r>
      <w:r w:rsidRPr="005C6730">
        <w:rPr>
          <w:rFonts w:asciiTheme="minorBidi" w:hAnsiTheme="minorBidi"/>
          <w:sz w:val="16"/>
          <w:szCs w:val="16"/>
          <w:rtl/>
        </w:rPr>
        <w:t>(סי' רה)</w:t>
      </w:r>
      <w:r w:rsidRPr="005C6730">
        <w:rPr>
          <w:rFonts w:asciiTheme="minorBidi" w:hAnsiTheme="minorBidi"/>
          <w:rtl/>
        </w:rPr>
        <w:t xml:space="preserve">, ב"י. וכ' הדרכ"מ </w:t>
      </w:r>
      <w:r w:rsidRPr="005C6730">
        <w:rPr>
          <w:rFonts w:asciiTheme="minorBidi" w:hAnsiTheme="minorBidi"/>
          <w:sz w:val="16"/>
          <w:szCs w:val="16"/>
          <w:rtl/>
        </w:rPr>
        <w:t xml:space="preserve">(אות ב) </w:t>
      </w:r>
      <w:r w:rsidRPr="005C6730">
        <w:rPr>
          <w:rFonts w:asciiTheme="minorBidi" w:hAnsiTheme="minorBidi"/>
          <w:rtl/>
        </w:rPr>
        <w:t xml:space="preserve">דכ"ה בהגהות מרדכי </w:t>
      </w:r>
      <w:r w:rsidRPr="005C6730">
        <w:rPr>
          <w:rFonts w:asciiTheme="minorBidi" w:hAnsiTheme="minorBidi"/>
          <w:sz w:val="16"/>
          <w:szCs w:val="16"/>
          <w:rtl/>
        </w:rPr>
        <w:t xml:space="preserve">(סי' תשדמ) </w:t>
      </w:r>
      <w:r w:rsidRPr="005C6730">
        <w:rPr>
          <w:rFonts w:asciiTheme="minorBidi" w:hAnsiTheme="minorBidi"/>
          <w:rtl/>
        </w:rPr>
        <w:t xml:space="preserve">דאם לא חתך הטלפים הוה כמולח בכלי שאינו מנוקב ומה שבתוך הפרסות אסור עכ"ל סמ"ק מיהו ר"ת כתב במולח בכלי שאינו מנוקב הכל אסור אפילו מה שחוץ לציר עכ"ל המרדכי. וכ' הש"ך </w:t>
      </w:r>
      <w:r w:rsidRPr="005C6730">
        <w:rPr>
          <w:rFonts w:asciiTheme="minorBidi" w:hAnsiTheme="minorBidi"/>
          <w:sz w:val="16"/>
          <w:szCs w:val="16"/>
          <w:rtl/>
        </w:rPr>
        <w:t xml:space="preserve">(סק"ג) </w:t>
      </w:r>
      <w:r w:rsidRPr="005C6730">
        <w:rPr>
          <w:rFonts w:asciiTheme="minorBidi" w:hAnsiTheme="minorBidi"/>
          <w:rtl/>
        </w:rPr>
        <w:t>שאין הדין כן בשאר עצמות, שבשאר עצמות מליחתן מועיל למוח שבתוכן, וכמו שכתב הר"ב ס"ג, לפי שהדם נפלט דרך העצמות ע"י מליחה.</w:t>
      </w:r>
    </w:p>
  </w:footnote>
  <w:footnote w:id="455">
    <w:p w14:paraId="25DCA15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לפי שאינו חתוך אלא ראש הפרסות בלבד ואם לא יניח חיתוכן למטה איכא למיחש שיתכנס הדם בהם ויאסר מה שבתוכן, א"נ משום חוטי דידא צריך להניח חיתוכן למטה, שכך הוא סובר בכל חוטין הנחתכין כמו שכתבתי בסימן ס"ז (קו: ד"ה יש מהגאונים), ואע"ג דבכלל טלפים הוו נמי דרגלים לא חש לפלוגי בינייהו, ב"י.</w:t>
      </w:r>
    </w:p>
  </w:footnote>
  <w:footnote w:id="456">
    <w:p w14:paraId="1C27419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רשב"א </w:t>
      </w:r>
      <w:r w:rsidRPr="005C6730">
        <w:rPr>
          <w:rFonts w:asciiTheme="minorBidi" w:hAnsiTheme="minorBidi"/>
          <w:sz w:val="16"/>
          <w:szCs w:val="16"/>
          <w:rtl/>
        </w:rPr>
        <w:t>(תוה"ב קצר וארוך ב"ג ש"ד)</w:t>
      </w:r>
      <w:r w:rsidRPr="005C6730">
        <w:rPr>
          <w:rFonts w:asciiTheme="minorBidi" w:hAnsiTheme="minorBidi"/>
          <w:rtl/>
        </w:rPr>
        <w:t xml:space="preserve">. כ' רש"ל </w:t>
      </w:r>
      <w:r w:rsidRPr="005C6730">
        <w:rPr>
          <w:rFonts w:asciiTheme="minorBidi" w:hAnsiTheme="minorBidi"/>
          <w:sz w:val="16"/>
          <w:szCs w:val="16"/>
          <w:rtl/>
        </w:rPr>
        <w:t>(פג"ה סי' י"ב)</w:t>
      </w:r>
      <w:r w:rsidRPr="005C6730">
        <w:rPr>
          <w:rFonts w:asciiTheme="minorBidi" w:hAnsiTheme="minorBidi"/>
          <w:rtl/>
        </w:rPr>
        <w:t xml:space="preserve"> מאחר שמנקבין הטלפים דהיינו המנעל למה צריכה להיות המליחה קודם החריכה, אדרבה עדיף טפי אח"כ, והיו"ד לא קאמר וכן הדין בטלפים כו' אלא שמהני מליחה קודם החירוך לאפוקי מן המחמירים, אבל מצוה מן המובחר למלוח אח"כ כיון שנוקב המנעלים תחלה, אע"פ שאין המנהג כן, עכ"ל. ועי' לעיל סי' ס"ח סע' ז, ט"ז</w:t>
      </w:r>
      <w:r w:rsidRPr="005C6730">
        <w:rPr>
          <w:rFonts w:asciiTheme="minorBidi" w:hAnsiTheme="minorBidi"/>
          <w:sz w:val="16"/>
          <w:szCs w:val="16"/>
          <w:rtl/>
        </w:rPr>
        <w:t xml:space="preserve"> (סק"ב)</w:t>
      </w:r>
      <w:r w:rsidRPr="005C6730">
        <w:rPr>
          <w:rFonts w:asciiTheme="minorBidi" w:hAnsiTheme="minorBidi"/>
          <w:rtl/>
        </w:rPr>
        <w:t>.</w:t>
      </w:r>
    </w:p>
  </w:footnote>
  <w:footnote w:id="457">
    <w:p w14:paraId="290CA27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כלומר דשם בסע' ח נתבאר דאם לא חתך אותם מעט למטה נהגינן לאסור אף דיעבד מה שבתוך הקליפה וע"ש, ש"ך (סק"ד).</w:t>
      </w:r>
    </w:p>
  </w:footnote>
  <w:footnote w:id="458">
    <w:p w14:paraId="64C169D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הרי"ף והרא"ש לא הזכירו את דברי האיכא דאמרי, משמע דפסקי אליבא דלישנא קמא, ומ"מ לא באו אלא להוציא ממה שאמרו האיכא דאמרי 'אנחיריה... דאיב' משום דסברי דלא דאיב אי לא דץ ביה, אבל אה"נ דלגבי הצדדין מודי דאי דץ שרי, וכ"כ הטור הב"י והדברי חמודות (אות סא ו-סד) בהב' דברי הרא"ש בחידו', וכך היא דעת הרשב"א.</w:t>
      </w:r>
    </w:p>
  </w:footnote>
  <w:footnote w:id="459">
    <w:p w14:paraId="6B059F2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הב"י- ונראה שזו זהירות יתירה ואין למדין ממקום שנהגו בה למקום שלא נהגו, ולפיכך השמיט רבינו תשובה זו ואדרבה נראה מדבריו שהרא"ש היה מתיר כדין התלמוד כמו שאכתוב בסמוך אלא שהשיב לשואלו טעם למנהג המקום ההוא. אך הדרכ"מ (אות ד) חלק וכ'- ואני אומר דתמוה לדחות דברי טעם בלא טעם כי מה שהוקשה לרב להתיר הראש [נ"א לרב דהתיר הרא"ש] ע"י מליחה ולא ע"י צלייה אין זו קושיא דמליחה כמו שמניחו מתחילה נשאר מונח ולכך מותר ע"י נקב כשהוא למטה, אבל צלי דמהפכין כל רגע על האש שלא יחרוך יש לחוש לדידן כמו שאנו צולין שהשפוד מונח לארכו שיתהפך צד של מטה ויבוא למעלה ולאו אדעתיה דצולה לראות תמיד שיהא הנקב למטה, וה"ה לבית השחיטה אף כשהוא למטה יש לחוש שמא ע"י היפוך השפוד יבוא למעלה, ודוקא בימיהם היה ליכא למיחש כי השפוד היה עומד זקוף ותמיד צד של מטה נשאר למטה. גם מ"ש דלכך השמיטו רבינו ג"כ תימה שהרי כמה דינים כתב ב"י בעצמו בשם תשובת הרא"ש שלא הביאן הטור ולא דחאן משום שהשמיטן הטור, ואפשר שאותן תשובות לא ראה הטור ולכך לא הביאן ואם כן זו היא כאחת מהן, ועוד תימה שכאן דחה ב"י דברים אלו ולקמן סימן ע"ג (עמ' שלד-שלה) כתב הטור חילוק זה בעצמו לענין כבדא עילוי בשרא, ולכן אומר אני שגם כאן אין לדחות דברי הרא"ש כי נכונים הן בטעמן ואילו לא נכתבו ראויין ליכתב, כן נ"ל.</w:t>
      </w:r>
    </w:p>
  </w:footnote>
  <w:footnote w:id="460">
    <w:p w14:paraId="51B6F99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הב"י שהמנהג הזה אינו מן הדין, והביא את דברי הה"מ שכ'- המנהג הזה לא פשט בכל ישראל ובמקומותינו מוציאין המוח מקדרת הראש שהוא נתון בו ואח"כ קורע הקרום שעליו ומולחו והרי הוא מותר אפילו לקדרה וזהו דין התלמוד עכ"ל, והביא גם את דברי הר"ש ב"ר צמח (שו"ת תשב"ץ ח"א סי' סח) שתמה על הרמב"ם בזה.</w:t>
      </w:r>
    </w:p>
  </w:footnote>
  <w:footnote w:id="461">
    <w:p w14:paraId="7392546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משום שהקרום שעל המוח יש בו חוטין והמוח עצמו יש בו דם יוצא מידי דמו במליחת הראש לפי שעצם הראש מקיפו ועומד לפניו ואין מקום לדם לזוב ואפילו צולהו על האש אי אפשר לאש לשאוב דמו והדם מתקבץ בעצם המוח העשוי כקדרה, רשב"א. </w:t>
      </w:r>
    </w:p>
  </w:footnote>
  <w:footnote w:id="462">
    <w:p w14:paraId="4FBCA38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אבל אם בשלוהו ולא ניקב נגד הקרום אע"פ שמלחו הכל אסור וצריך ששים נגד כל המוח, מרדכי </w:t>
      </w:r>
      <w:r w:rsidRPr="005C6730">
        <w:rPr>
          <w:rFonts w:asciiTheme="minorBidi" w:hAnsiTheme="minorBidi"/>
          <w:sz w:val="16"/>
          <w:szCs w:val="16"/>
          <w:rtl/>
        </w:rPr>
        <w:t>(סי' תרסא תרסב)</w:t>
      </w:r>
      <w:r w:rsidRPr="005C6730">
        <w:rPr>
          <w:rFonts w:asciiTheme="minorBidi" w:hAnsiTheme="minorBidi"/>
          <w:rtl/>
        </w:rPr>
        <w:t xml:space="preserve"> ור"ן </w:t>
      </w:r>
      <w:r w:rsidRPr="005C6730">
        <w:rPr>
          <w:rFonts w:asciiTheme="minorBidi" w:hAnsiTheme="minorBidi"/>
          <w:sz w:val="16"/>
          <w:szCs w:val="16"/>
          <w:rtl/>
        </w:rPr>
        <w:t>(לא: סוד"ה וכתבו בתוס')</w:t>
      </w:r>
      <w:r w:rsidRPr="005C6730">
        <w:rPr>
          <w:rFonts w:asciiTheme="minorBidi" w:hAnsiTheme="minorBidi"/>
          <w:rtl/>
        </w:rPr>
        <w:t xml:space="preserve">, וכ"ה בהגשע"ד </w:t>
      </w:r>
      <w:r w:rsidRPr="005C6730">
        <w:rPr>
          <w:rFonts w:asciiTheme="minorBidi" w:hAnsiTheme="minorBidi"/>
          <w:sz w:val="16"/>
          <w:szCs w:val="16"/>
          <w:rtl/>
        </w:rPr>
        <w:t>(סי' כח סק"ב ד"ה ראש התרנגולת)</w:t>
      </w:r>
      <w:r w:rsidRPr="005C6730">
        <w:rPr>
          <w:rFonts w:asciiTheme="minorBidi" w:hAnsiTheme="minorBidi"/>
          <w:rtl/>
        </w:rPr>
        <w:t>, וכ'</w:t>
      </w:r>
      <w:r w:rsidRPr="005C6730">
        <w:rPr>
          <w:rFonts w:asciiTheme="minorBidi" w:hAnsiTheme="minorBidi"/>
          <w:sz w:val="16"/>
          <w:szCs w:val="16"/>
          <w:rtl/>
        </w:rPr>
        <w:t xml:space="preserve"> {בהגשע"ד}</w:t>
      </w:r>
      <w:r w:rsidRPr="005C6730">
        <w:rPr>
          <w:rFonts w:asciiTheme="minorBidi" w:hAnsiTheme="minorBidi"/>
          <w:rtl/>
        </w:rPr>
        <w:t xml:space="preserve"> דאם התרנגולת מחוברת בראש התרנגולת מסייעת לבטל המוח ואם לאו צריכין ששים מן התרנגולת נגד הראש כי הראש נעשה חתיכה דאיסורא עכ"ל, מיהו לעיל סימן ס"ח </w:t>
      </w:r>
      <w:r w:rsidRPr="005C6730">
        <w:rPr>
          <w:rFonts w:asciiTheme="minorBidi" w:hAnsiTheme="minorBidi"/>
          <w:sz w:val="16"/>
          <w:szCs w:val="16"/>
          <w:rtl/>
        </w:rPr>
        <w:t xml:space="preserve">(דרכ"מ ארוך אות ב) </w:t>
      </w:r>
      <w:r w:rsidRPr="005C6730">
        <w:rPr>
          <w:rFonts w:asciiTheme="minorBidi" w:hAnsiTheme="minorBidi"/>
          <w:rtl/>
        </w:rPr>
        <w:t xml:space="preserve">כתבתי דיש חולקין וסבירא להו דכל מה שבקדרה מסייע לבטל, ועיין לקמן סימן ע"ב </w:t>
      </w:r>
      <w:r w:rsidRPr="005C6730">
        <w:rPr>
          <w:rFonts w:asciiTheme="minorBidi" w:hAnsiTheme="minorBidi"/>
          <w:sz w:val="16"/>
          <w:szCs w:val="16"/>
          <w:rtl/>
        </w:rPr>
        <w:t xml:space="preserve">(אות ו) </w:t>
      </w:r>
      <w:r w:rsidRPr="005C6730">
        <w:rPr>
          <w:rFonts w:asciiTheme="minorBidi" w:hAnsiTheme="minorBidi"/>
          <w:rtl/>
        </w:rPr>
        <w:t xml:space="preserve">וע"ג </w:t>
      </w:r>
      <w:r w:rsidRPr="005C6730">
        <w:rPr>
          <w:rFonts w:asciiTheme="minorBidi" w:hAnsiTheme="minorBidi"/>
          <w:sz w:val="16"/>
          <w:szCs w:val="16"/>
          <w:rtl/>
        </w:rPr>
        <w:t xml:space="preserve">(אות ט) </w:t>
      </w:r>
      <w:r w:rsidRPr="005C6730">
        <w:rPr>
          <w:rFonts w:asciiTheme="minorBidi" w:hAnsiTheme="minorBidi"/>
          <w:rtl/>
        </w:rPr>
        <w:t>כיצד נוהגין. וכתב ב</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 xml:space="preserve">(כלל יז דין ח) </w:t>
      </w:r>
      <w:r w:rsidRPr="005C6730">
        <w:rPr>
          <w:rFonts w:asciiTheme="minorBidi" w:hAnsiTheme="minorBidi"/>
          <w:rtl/>
        </w:rPr>
        <w:t xml:space="preserve">אם נמלח הראש כך שלם המוח אסור ושאר הראש מותר אפילו בעוף, וכ"ה בשע"ד </w:t>
      </w:r>
      <w:r w:rsidRPr="005C6730">
        <w:rPr>
          <w:rFonts w:asciiTheme="minorBidi" w:hAnsiTheme="minorBidi"/>
          <w:sz w:val="16"/>
          <w:szCs w:val="16"/>
          <w:rtl/>
        </w:rPr>
        <w:t xml:space="preserve">(עי' סי' צא בשם בה"ג ובהגש"ד סי' כח ס"ק ב ד"ה ראש התרנגולת) </w:t>
      </w:r>
      <w:r w:rsidRPr="005C6730">
        <w:rPr>
          <w:rFonts w:asciiTheme="minorBidi" w:hAnsiTheme="minorBidi"/>
          <w:rtl/>
        </w:rPr>
        <w:t xml:space="preserve">בשם מוהר"ם </w:t>
      </w:r>
      <w:r w:rsidRPr="005C6730">
        <w:rPr>
          <w:rFonts w:asciiTheme="minorBidi" w:hAnsiTheme="minorBidi"/>
          <w:sz w:val="16"/>
          <w:szCs w:val="16"/>
          <w:rtl/>
        </w:rPr>
        <w:t>(תשב"ץ קטן סי' שלט)</w:t>
      </w:r>
      <w:r w:rsidRPr="005C6730">
        <w:rPr>
          <w:rFonts w:asciiTheme="minorBidi" w:hAnsiTheme="minorBidi"/>
          <w:rtl/>
        </w:rPr>
        <w:t xml:space="preserve">, דלא כמרדכי פג"ה דמתיר אף המוח בשל עוף, וכ"פ ב"י לעיל סימן ס"ח, ועיין לעיל ריש סימן ס"ח </w:t>
      </w:r>
      <w:r w:rsidRPr="005C6730">
        <w:rPr>
          <w:rFonts w:asciiTheme="minorBidi" w:hAnsiTheme="minorBidi"/>
          <w:sz w:val="16"/>
          <w:szCs w:val="16"/>
          <w:rtl/>
        </w:rPr>
        <w:t xml:space="preserve">(בד"מ הארוך) </w:t>
      </w:r>
      <w:r w:rsidRPr="005C6730">
        <w:rPr>
          <w:rFonts w:asciiTheme="minorBidi" w:hAnsiTheme="minorBidi"/>
          <w:rtl/>
        </w:rPr>
        <w:t>כתבתי דינים אלו, דרכ"מ (אות ג).</w:t>
      </w:r>
    </w:p>
  </w:footnote>
  <w:footnote w:id="463">
    <w:p w14:paraId="12DA16D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טובא אתא לאשמועינן, </w:t>
      </w:r>
      <w:r w:rsidRPr="005C6730">
        <w:rPr>
          <w:rFonts w:asciiTheme="minorBidi" w:hAnsiTheme="minorBidi"/>
          <w:u w:val="single"/>
          <w:rtl/>
        </w:rPr>
        <w:t>חדא</w:t>
      </w:r>
      <w:r w:rsidRPr="005C6730">
        <w:rPr>
          <w:rFonts w:asciiTheme="minorBidi" w:hAnsiTheme="minorBidi"/>
          <w:rtl/>
        </w:rPr>
        <w:t xml:space="preserve"> שהיה מתיר לבשלו כדין התלמוד לאפוקי מדברי הרמב"ם, </w:t>
      </w:r>
      <w:r w:rsidRPr="005C6730">
        <w:rPr>
          <w:rFonts w:asciiTheme="minorBidi" w:hAnsiTheme="minorBidi"/>
          <w:u w:val="single"/>
          <w:rtl/>
        </w:rPr>
        <w:t>תרתי</w:t>
      </w:r>
      <w:r w:rsidRPr="005C6730">
        <w:rPr>
          <w:rFonts w:asciiTheme="minorBidi" w:hAnsiTheme="minorBidi"/>
          <w:rtl/>
        </w:rPr>
        <w:t xml:space="preserve"> שאע"פ שהראש שלם היה מתיר לבשלו ע"י מליחה רק שינקוב העצם כנגד הקרום וינקוב גם הקרום משום דכל כה"ג ודאי מידב דייב דמא דמוח וקרום שלו במליחה, </w:t>
      </w:r>
      <w:r w:rsidRPr="005C6730">
        <w:rPr>
          <w:rFonts w:asciiTheme="minorBidi" w:hAnsiTheme="minorBidi"/>
          <w:u w:val="single"/>
          <w:rtl/>
        </w:rPr>
        <w:t>ומשמע נמי</w:t>
      </w:r>
      <w:r w:rsidRPr="005C6730">
        <w:rPr>
          <w:rFonts w:asciiTheme="minorBidi" w:hAnsiTheme="minorBidi"/>
          <w:rtl/>
        </w:rPr>
        <w:t xml:space="preserve"> שהוא סובר שאין השער מעכב ע"י המלח להפליט דם שבבשר הראש, </w:t>
      </w:r>
      <w:r w:rsidRPr="005C6730">
        <w:rPr>
          <w:rFonts w:asciiTheme="minorBidi" w:hAnsiTheme="minorBidi"/>
          <w:u w:val="single"/>
          <w:rtl/>
        </w:rPr>
        <w:t>ומשמע נמי</w:t>
      </w:r>
      <w:r w:rsidRPr="005C6730">
        <w:rPr>
          <w:rFonts w:asciiTheme="minorBidi" w:hAnsiTheme="minorBidi"/>
          <w:rtl/>
        </w:rPr>
        <w:t xml:space="preserve"> שהוא מתיר להניחו על הצדדין לצלות ע"י נקיבת העצם כדברי הרשב"א, ואע"פ שהרשב"א לא הצריך לנקוב הקרום, התם שאני שהוא צולהו וכל שניקב העצם שוב אין הדם מתכנס בעצם הקדרה שיתבשל המוח בתוכו אע"פ שהקרום שלם אין בכך כלום דנורא מישב שייב כדין חוטין שיש בהם דם שאין צריכין חתיכה לצלי לדעת הרא"ש כמו שנתבאר בסימן ס"ה (ק. ד"ה ומ"ש רבינו ומליחה), </w:t>
      </w:r>
      <w:r w:rsidRPr="005C6730">
        <w:rPr>
          <w:rFonts w:asciiTheme="minorBidi" w:hAnsiTheme="minorBidi"/>
          <w:u w:val="single"/>
          <w:rtl/>
        </w:rPr>
        <w:t>ומשמע נמי</w:t>
      </w:r>
      <w:r w:rsidRPr="005C6730">
        <w:rPr>
          <w:rFonts w:asciiTheme="minorBidi" w:hAnsiTheme="minorBidi"/>
          <w:rtl/>
        </w:rPr>
        <w:t xml:space="preserve"> שהוא סובר שיש להורות כדין התלמוד בצליית ראש להתיר בהניחו על בית השחיטה או נחיריו ודץ ביה מידי ולא כאותם הנוהגין שלא לעשות כן משום דחיישי שמא לא יהיה בית השחיטה או הנחירים למטה </w:t>
      </w:r>
      <w:r w:rsidRPr="005C6730">
        <w:rPr>
          <w:rFonts w:asciiTheme="minorBidi" w:hAnsiTheme="minorBidi"/>
          <w:sz w:val="16"/>
          <w:szCs w:val="16"/>
          <w:rtl/>
        </w:rPr>
        <w:t>(דהא כשהיה מתיר לבשלו ע"י מליחה בנקיבת העצם והקרום על כרחך היה מצריך להניח מקום נקב למטה דאל"ה מיקוא קוי דמא ואסור המוח דמליח הרי הוא כרותח ואם איתא לא הוי ליה להתיר בהנחת נקב למטה שמא לא יהיה למטה אלא ודאי כדאמרן)</w:t>
      </w:r>
      <w:r w:rsidRPr="005C6730">
        <w:rPr>
          <w:rFonts w:asciiTheme="minorBidi" w:hAnsiTheme="minorBidi"/>
          <w:rtl/>
        </w:rPr>
        <w:t>. עכ"ל הב"י. וכ' הדרכ"מ (אות ה) דנוהגין כדברי הרא"ש, אבל לגבי הדבר האחרון שמשמע לב"י מדברי הרא"ש- עיין בדרכ"מ לעיל (אות ד) שחלק עליו.</w:t>
      </w:r>
    </w:p>
  </w:footnote>
  <w:footnote w:id="464">
    <w:p w14:paraId="53AACA5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נראה מדברי הארוך שהבין כן גם בדעת הטור, אך הב"י הבין שהטור התיר לכתחילה לנקוב המח בעודו בגולגולת.</w:t>
      </w:r>
    </w:p>
  </w:footnote>
  <w:footnote w:id="465">
    <w:p w14:paraId="5A2120BA" w14:textId="77777777" w:rsidR="004C5A3C" w:rsidRPr="005C6730" w:rsidRDefault="004C5A3C" w:rsidP="002C39F4">
      <w:pPr>
        <w:pStyle w:val="a5"/>
        <w:rPr>
          <w:rFonts w:asciiTheme="minorBidi" w:hAnsiTheme="minorBidi"/>
          <w:color w:val="FF0000"/>
          <w:rtl/>
        </w:rPr>
      </w:pPr>
      <w:r w:rsidRPr="005C6730">
        <w:rPr>
          <w:rStyle w:val="a7"/>
          <w:rFonts w:asciiTheme="minorBidi" w:hAnsiTheme="minorBidi"/>
          <w:color w:val="FF0000"/>
        </w:rPr>
        <w:footnoteRef/>
      </w:r>
      <w:r w:rsidRPr="005C6730">
        <w:rPr>
          <w:rFonts w:asciiTheme="minorBidi" w:hAnsiTheme="minorBidi"/>
          <w:color w:val="FF0000"/>
          <w:rtl/>
        </w:rPr>
        <w:t xml:space="preserve"> הטור כ</w:t>
      </w:r>
      <w:r>
        <w:rPr>
          <w:rFonts w:asciiTheme="minorBidi" w:hAnsiTheme="minorBidi" w:hint="cs"/>
          <w:color w:val="FF0000"/>
          <w:rtl/>
        </w:rPr>
        <w:t xml:space="preserve">תב כן בשמו </w:t>
      </w:r>
      <w:r w:rsidRPr="006E73F9">
        <w:rPr>
          <w:rFonts w:asciiTheme="minorBidi" w:hAnsiTheme="minorBidi"/>
          <w:color w:val="FF0000"/>
          <w:rtl/>
        </w:rPr>
        <w:t xml:space="preserve">בה"ג </w:t>
      </w:r>
      <w:r>
        <w:rPr>
          <w:rFonts w:asciiTheme="minorBidi" w:hAnsiTheme="minorBidi" w:hint="cs"/>
          <w:color w:val="FF0000"/>
          <w:rtl/>
        </w:rPr>
        <w:t xml:space="preserve">וכתוב בטור הוצ' שירת דבורה שהמקור הוא </w:t>
      </w:r>
      <w:r w:rsidRPr="006E73F9">
        <w:rPr>
          <w:rFonts w:asciiTheme="minorBidi" w:hAnsiTheme="minorBidi"/>
          <w:color w:val="FF0000"/>
          <w:rtl/>
        </w:rPr>
        <w:t xml:space="preserve">סי' סה </w:t>
      </w:r>
      <w:r>
        <w:rPr>
          <w:rFonts w:asciiTheme="minorBidi" w:hAnsiTheme="minorBidi" w:hint="cs"/>
          <w:color w:val="FF0000"/>
          <w:rtl/>
        </w:rPr>
        <w:t>מ</w:t>
      </w:r>
      <w:r w:rsidRPr="006E73F9">
        <w:rPr>
          <w:rFonts w:asciiTheme="minorBidi" w:hAnsiTheme="minorBidi"/>
          <w:color w:val="FF0000"/>
          <w:rtl/>
        </w:rPr>
        <w:t>הל' דם</w:t>
      </w:r>
      <w:r>
        <w:rPr>
          <w:rFonts w:asciiTheme="minorBidi" w:hAnsiTheme="minorBidi" w:hint="cs"/>
          <w:color w:val="FF0000"/>
          <w:rtl/>
        </w:rPr>
        <w:t>, ו</w:t>
      </w:r>
      <w:r w:rsidRPr="005C6730">
        <w:rPr>
          <w:rFonts w:asciiTheme="minorBidi" w:hAnsiTheme="minorBidi"/>
          <w:color w:val="FF0000"/>
          <w:rtl/>
        </w:rPr>
        <w:t>צל"ע איפה כתב כן כי לא מצאתי כן בדבריו בחיפוש מהיר.</w:t>
      </w:r>
    </w:p>
  </w:footnote>
  <w:footnote w:id="466">
    <w:p w14:paraId="43F1777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עד כאן דברי הרשב"א בתורת הבית (קצר ב"ג ש"ג עו:), ומכאן אלו דברי הרא"ש שכ' הטור בשמו, והמילים האחרונות בסע'- "ויניח הנקב למטה ומותר אפילו לקדרה" אלו דברי הב"י בהבנתו את דברי הרא"ש. </w:t>
      </w:r>
    </w:p>
  </w:footnote>
  <w:footnote w:id="467">
    <w:p w14:paraId="21808EF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ולא מהני אלא בכה"ג, אבל לא כשמניחו על בית השחיטה או אנחירין ודץ ביה מידי כדמהני בצלי לעיל ר"ס ס"ח, וכ"מ להדיא בתוה"ב ובטור ובהה"מ (פ"ו מהמ"א דין י"ד) ע"ש, ש"ך (סק"ה).</w:t>
      </w:r>
    </w:p>
  </w:footnote>
  <w:footnote w:id="468">
    <w:p w14:paraId="5BF9237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כלומר דשם בסעיף ד' בהג"ה נתבאר דלכתחלה נוהגין ליטול המוח קודם המליחה מתוך הגולגולת ולחתוך הגולגולת שתי וערב שאז מתחתך הקרום היטב וע"ש </w:t>
      </w:r>
      <w:r w:rsidRPr="005C6730">
        <w:rPr>
          <w:rFonts w:asciiTheme="minorBidi" w:hAnsiTheme="minorBidi"/>
          <w:sz w:val="16"/>
          <w:szCs w:val="16"/>
          <w:rtl/>
        </w:rPr>
        <w:t>(סק"ח)</w:t>
      </w:r>
      <w:r w:rsidRPr="005C6730">
        <w:rPr>
          <w:rFonts w:asciiTheme="minorBidi" w:hAnsiTheme="minorBidi"/>
          <w:rtl/>
        </w:rPr>
        <w:t>, ש"ך (סק"ו).</w:t>
      </w:r>
    </w:p>
  </w:footnote>
  <w:footnote w:id="469">
    <w:p w14:paraId="7FD2A3F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דהוה כנמלחו בכלי שאינו מנוקב, כתוב בת"ח (כלל ט"ו דין י"ח) דאף בעוף הדין כן, וע"ש, ש"ך (סק"ז).</w:t>
      </w:r>
    </w:p>
  </w:footnote>
  <w:footnote w:id="470">
    <w:p w14:paraId="4EE8E76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לפי שעצם הגולגולת מפסיק בין דם שבתוכו לבשר, ואפילו אם קצת מן הדם נפלט ונכנס לתוך הבשר כבולעו כך פולטו, רשב"א </w:t>
      </w:r>
      <w:r w:rsidRPr="005C6730">
        <w:rPr>
          <w:rFonts w:asciiTheme="minorBidi" w:hAnsiTheme="minorBidi"/>
          <w:sz w:val="16"/>
          <w:szCs w:val="16"/>
          <w:rtl/>
        </w:rPr>
        <w:t xml:space="preserve">(תוה"ב הארוך דף עה:) </w:t>
      </w:r>
      <w:r w:rsidRPr="005C6730">
        <w:rPr>
          <w:rFonts w:asciiTheme="minorBidi" w:hAnsiTheme="minorBidi"/>
          <w:rtl/>
        </w:rPr>
        <w:t xml:space="preserve">רא"ש </w:t>
      </w:r>
      <w:r w:rsidRPr="005C6730">
        <w:rPr>
          <w:rFonts w:asciiTheme="minorBidi" w:hAnsiTheme="minorBidi"/>
          <w:sz w:val="16"/>
          <w:szCs w:val="16"/>
          <w:rtl/>
        </w:rPr>
        <w:t xml:space="preserve">(פג"ה) </w:t>
      </w:r>
      <w:r w:rsidRPr="005C6730">
        <w:rPr>
          <w:rFonts w:asciiTheme="minorBidi" w:hAnsiTheme="minorBidi"/>
          <w:rtl/>
        </w:rPr>
        <w:t xml:space="preserve">ואו"ה </w:t>
      </w:r>
      <w:r w:rsidRPr="005C6730">
        <w:rPr>
          <w:rFonts w:asciiTheme="minorBidi" w:hAnsiTheme="minorBidi"/>
          <w:sz w:val="16"/>
          <w:szCs w:val="16"/>
          <w:rtl/>
        </w:rPr>
        <w:t xml:space="preserve">(כלל י"ז דין ז, הביאם הש"ך [סק"ח], וכ' עוד הש"ך- ונ"ל שטעם הראשון עיקר ולרווחא דמלתא כתבו הטעם השני, וגם הר"ן </w:t>
      </w:r>
      <w:r w:rsidRPr="005C6730">
        <w:rPr>
          <w:rFonts w:asciiTheme="minorBidi" w:hAnsiTheme="minorBidi"/>
          <w:sz w:val="12"/>
          <w:szCs w:val="12"/>
          <w:rtl/>
        </w:rPr>
        <w:t>(פג"ה)</w:t>
      </w:r>
      <w:r w:rsidRPr="005C6730">
        <w:rPr>
          <w:rFonts w:asciiTheme="minorBidi" w:hAnsiTheme="minorBidi"/>
          <w:sz w:val="16"/>
          <w:szCs w:val="16"/>
          <w:rtl/>
        </w:rPr>
        <w:t xml:space="preserve"> לא כתב אלא טעם הראשון, ולפי זה אפילו שאר בשר שעמו נמלח ופלט כבר כל דמו וצירו בענין דלא שייך ביה כבולעו כך פולטו, וכדלעיל ס"ס ע', אפילו הכי מותר (אם הוסר הבשר מעל הראש שבחוץ על הגולגולת), ויתר דיני מליחה וצליה ובישול הראש והמוח נתבארו בסי' ס"ח ע"ש)</w:t>
      </w:r>
      <w:r w:rsidRPr="005C6730">
        <w:rPr>
          <w:rFonts w:asciiTheme="minorBidi" w:hAnsiTheme="minorBidi"/>
          <w:rtl/>
        </w:rPr>
        <w:t>. וכ' הט"ז (סק"ג) דאין שייך לומר כאן דאסור בדיעבד מאחר שלא נמלח בפנים, וכההיא דסי' ס"ט סעיף ד' בלא נמלח רק מצד אחד, דכאן שהראש שלם הוה כמו חתיכה עבה אלא דאם קרעו לשנים אז דינו כדלעיל לענין נמלח מצד אחד וכמו שכתבתי שם (סקי"ג).</w:t>
      </w:r>
    </w:p>
  </w:footnote>
  <w:footnote w:id="471">
    <w:p w14:paraId="5801A4B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פירוש ואם נתבשל בלא מליחה המוח אסור משום דמחזקינן דם במוח, ומה"ט אם נמלח בדיעבד עם שאר בשר שרי, ומ"מ נראה דאם יש ס' בקדרה נגד המוח שבעצמות אף המוח עצמו מותר, ועיין בסי' ע"ה סק"ח, ש"ך (סק"ט).</w:t>
      </w:r>
    </w:p>
  </w:footnote>
  <w:footnote w:id="472">
    <w:p w14:paraId="5218117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ולא דמי למוח שבראש, דהתם שורייקי </w:t>
      </w:r>
      <w:r w:rsidRPr="005C6730">
        <w:rPr>
          <w:rFonts w:asciiTheme="minorBidi" w:hAnsiTheme="minorBidi"/>
          <w:sz w:val="14"/>
          <w:szCs w:val="14"/>
          <w:rtl/>
        </w:rPr>
        <w:t xml:space="preserve">{גידים וחוטים} </w:t>
      </w:r>
      <w:r w:rsidRPr="005C6730">
        <w:rPr>
          <w:rFonts w:asciiTheme="minorBidi" w:hAnsiTheme="minorBidi"/>
          <w:rtl/>
        </w:rPr>
        <w:t xml:space="preserve">דדמא שבקרום המוח הוא כדם כנוס בתוכו, אבל דם שבאיברים, מתוך שהוא קלוש, במעט מליחה נפלט ומתמצה רשב"א </w:t>
      </w:r>
      <w:r w:rsidRPr="005C6730">
        <w:rPr>
          <w:rFonts w:asciiTheme="minorBidi" w:hAnsiTheme="minorBidi"/>
          <w:sz w:val="16"/>
          <w:szCs w:val="16"/>
          <w:rtl/>
        </w:rPr>
        <w:t>(בתוה"ב הארוך ב"ג ש"ג עו., הביאו הש"ך [סק"י])</w:t>
      </w:r>
      <w:r w:rsidRPr="005C6730">
        <w:rPr>
          <w:rFonts w:asciiTheme="minorBidi" w:hAnsiTheme="minorBidi"/>
          <w:rtl/>
        </w:rPr>
        <w:t>.</w:t>
      </w:r>
    </w:p>
  </w:footnote>
  <w:footnote w:id="473">
    <w:p w14:paraId="0061C83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אבל בבשר שלהם נוהגים בכל יום למלוח אפילו לכתחלה ושפיר דמי, וכ"כ בת"ח שם דין י"א, ש"ך (סקי"א).</w:t>
      </w:r>
    </w:p>
  </w:footnote>
  <w:footnote w:id="474">
    <w:p w14:paraId="42498C6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להיות בכרת, ובמס' כריתות (דף כב) מוקים לה בלב עוף שאין בדמו כזית אבל בבהמה חייב כרת אם לא קרעו לאחר בשולו, אבל בשרו אינו נאסר שהלב חלק הוא ואינו בולע, והכי נמי אמרינן בפסחים (דף עד:) שאני לב דשיע, רש"י.</w:t>
      </w:r>
    </w:p>
  </w:footnote>
  <w:footnote w:id="475">
    <w:p w14:paraId="1A9B9F9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עד כאן לשון הרשב"א </w:t>
      </w:r>
      <w:r w:rsidRPr="005C6730">
        <w:rPr>
          <w:rFonts w:asciiTheme="minorBidi" w:hAnsiTheme="minorBidi"/>
          <w:sz w:val="16"/>
          <w:szCs w:val="16"/>
          <w:rtl/>
        </w:rPr>
        <w:t>(בתוה"ב קצר ב"ג ש"ג עג:, הטור העתיק לשונו)</w:t>
      </w:r>
      <w:r w:rsidRPr="005C6730">
        <w:rPr>
          <w:rFonts w:asciiTheme="minorBidi" w:hAnsiTheme="minorBidi"/>
          <w:rtl/>
        </w:rPr>
        <w:t xml:space="preserve">, וכיוצא בזה הוא לשון הרמב"ם </w:t>
      </w:r>
      <w:r w:rsidRPr="005C6730">
        <w:rPr>
          <w:rFonts w:asciiTheme="minorBidi" w:hAnsiTheme="minorBidi"/>
          <w:sz w:val="16"/>
          <w:szCs w:val="16"/>
          <w:rtl/>
        </w:rPr>
        <w:t>(פ"ו ה"ו)</w:t>
      </w:r>
      <w:r w:rsidRPr="005C6730">
        <w:rPr>
          <w:rFonts w:asciiTheme="minorBidi" w:hAnsiTheme="minorBidi"/>
          <w:rtl/>
        </w:rPr>
        <w:t>, וכ' הה"מ- מ"ש רבינו ואח"כ מולחו משמע דלקדרה הוא דקאמר דוקא ואפשר שהוא סבור שהצלי צריך מליחה ויתבאר לפנינו</w:t>
      </w:r>
      <w:r w:rsidRPr="005C6730">
        <w:rPr>
          <w:rFonts w:asciiTheme="minorBidi" w:hAnsiTheme="minorBidi"/>
          <w:sz w:val="16"/>
          <w:szCs w:val="16"/>
          <w:rtl/>
        </w:rPr>
        <w:t xml:space="preserve"> (הי"ב)</w:t>
      </w:r>
      <w:r w:rsidRPr="005C6730">
        <w:rPr>
          <w:rFonts w:asciiTheme="minorBidi" w:hAnsiTheme="minorBidi"/>
          <w:rtl/>
        </w:rPr>
        <w:t>, ע"כ, ע"פ ב"י.</w:t>
      </w:r>
    </w:p>
  </w:footnote>
  <w:footnote w:id="476">
    <w:p w14:paraId="5F461BC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לכתחלה... עם בשר אחר, וכן מעשים בכל יום, </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ט"ו דין ה, הביאו הדרכ"מ [אות א])</w:t>
      </w:r>
      <w:r w:rsidRPr="005C6730">
        <w:rPr>
          <w:rFonts w:asciiTheme="minorBidi" w:hAnsiTheme="minorBidi"/>
          <w:rtl/>
        </w:rPr>
        <w:t xml:space="preserve">, והמשיך לכתוב דזה- "דלא כשע"ד </w:t>
      </w:r>
      <w:r w:rsidRPr="005C6730">
        <w:rPr>
          <w:rFonts w:asciiTheme="minorBidi" w:hAnsiTheme="minorBidi"/>
          <w:sz w:val="16"/>
          <w:szCs w:val="16"/>
          <w:rtl/>
        </w:rPr>
        <w:t xml:space="preserve">(סו"ס כח) </w:t>
      </w:r>
      <w:r w:rsidRPr="005C6730">
        <w:rPr>
          <w:rFonts w:asciiTheme="minorBidi" w:hAnsiTheme="minorBidi"/>
          <w:rtl/>
        </w:rPr>
        <w:t>שכתב שאין המנהג לבשלו משום שמא יבשלו בלא קריעה, דהיינו לדידהו דס"ל דבמליחה וצלייה כשר הלב, אבל לדידן דקיי"ל בין במליחה ובין בצלייה אם לא קרעו הלב אסור- ליכא למיחש שמא יבשלו בלא קריעה, דהא אין בישול בלא מליחה ומיד היה נאסר במליחה אם לא נקרע", עכ"ל. וכ' הדרכ"מ שם- ולפי מה שכתבתי למטה (אות ד) דאין הלב נאסר במליחה נראה דאין לשנות מדברי שע"ד, וכן לא ראיתי מימי לבשלו רק אחר צלייה, אך שמעתי מרבים שמקילין ונוהגין לבשלו אחר מליחה. עכ"ל. וכ' הט"ז (סק"א) דכ"כ רש"ל להקל בזו שאין גזירה זו בתלמוד ולא בגאונים.</w:t>
      </w:r>
    </w:p>
  </w:footnote>
  <w:footnote w:id="477">
    <w:p w14:paraId="1FA381E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 אפילו ע"י קריעה ומליחה מחמירין לבשלו, גזרה שמא יבשלוהו בלא קריעה, אבל צולין אותו ע"י קריעה ומליחה קצת כשאר בשר לקמן סי' ע"ו ואח"כ מבשלין, וכתוב בת"ח ריש כלל כ"ז ואין לשנות במקום שנהגו להחמיר מיהו בדיעבד אם בשלוהו אחר קריעה ומליחה פשיטא דשרי אף להיש מחמירין. וכתוב בתשב"ץ (סי' תקס"א) ואינו אוכל</w:t>
      </w:r>
      <w:r w:rsidRPr="005C6730">
        <w:rPr>
          <w:rFonts w:asciiTheme="minorBidi" w:hAnsiTheme="minorBidi"/>
          <w:sz w:val="16"/>
          <w:szCs w:val="16"/>
          <w:rtl/>
        </w:rPr>
        <w:t xml:space="preserve"> {מהר"ם מרוטנבורג}</w:t>
      </w:r>
      <w:r w:rsidRPr="005C6730">
        <w:rPr>
          <w:rFonts w:asciiTheme="minorBidi" w:hAnsiTheme="minorBidi"/>
          <w:rtl/>
        </w:rPr>
        <w:t xml:space="preserve"> לב עוף אע"פ שהספר</w:t>
      </w:r>
      <w:r w:rsidRPr="005C6730">
        <w:rPr>
          <w:rFonts w:asciiTheme="minorBidi" w:hAnsiTheme="minorBidi"/>
          <w:sz w:val="16"/>
          <w:szCs w:val="16"/>
          <w:rtl/>
        </w:rPr>
        <w:t xml:space="preserve"> {גמ' הוריות יג:}</w:t>
      </w:r>
      <w:r w:rsidRPr="005C6730">
        <w:rPr>
          <w:rFonts w:asciiTheme="minorBidi" w:hAnsiTheme="minorBidi"/>
          <w:rtl/>
        </w:rPr>
        <w:t xml:space="preserve"> אינו מזכיר רק לב בהמה שקשה לשכחה מ"מ כמו כן מונע נמי לב עוף עכ"ל, וכן ראיתי נזהרין בזה, ש"ך (סק"ב).</w:t>
      </w:r>
    </w:p>
  </w:footnote>
  <w:footnote w:id="478">
    <w:p w14:paraId="5EBC072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תיבות אלו חלק מדברי השו"ע בחלק מהגירסאות, וכן היה בגירסת הש"ך (עיין סק"א).</w:t>
      </w:r>
    </w:p>
  </w:footnote>
  <w:footnote w:id="479">
    <w:p w14:paraId="6E6B943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קא סלקא דעתך לאחר בישולו צלי קאמר, דצלי נמי קרי בישול, כדכתיב בדברי הימים </w:t>
      </w:r>
      <w:r w:rsidRPr="005C6730">
        <w:rPr>
          <w:rFonts w:asciiTheme="minorBidi" w:hAnsiTheme="minorBidi"/>
          <w:sz w:val="16"/>
          <w:szCs w:val="16"/>
          <w:rtl/>
        </w:rPr>
        <w:t xml:space="preserve">(ב' לה) </w:t>
      </w:r>
      <w:r w:rsidRPr="005C6730">
        <w:rPr>
          <w:rFonts w:asciiTheme="minorBidi" w:hAnsiTheme="minorBidi"/>
          <w:rtl/>
        </w:rPr>
        <w:t>ויבשלו הפסח באש כמשפט, רש"י.</w:t>
      </w:r>
    </w:p>
  </w:footnote>
  <w:footnote w:id="480">
    <w:p w14:paraId="302230D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ולא בלע, ואפילו בקדירה נמי שרי, ואף על גב דליכא למימר כך פולטו, רש"י.</w:t>
      </w:r>
    </w:p>
  </w:footnote>
  <w:footnote w:id="481">
    <w:p w14:paraId="2AB9665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בתוה"ב (קצר ב"ג ש"ג עג:) העתיק הטור את דבריו.</w:t>
      </w:r>
    </w:p>
  </w:footnote>
  <w:footnote w:id="482">
    <w:p w14:paraId="25976867" w14:textId="77777777" w:rsidR="004C5A3C" w:rsidRPr="005C6730" w:rsidRDefault="004C5A3C" w:rsidP="002C39F4">
      <w:pPr>
        <w:pStyle w:val="a5"/>
        <w:rPr>
          <w:rFonts w:asciiTheme="minorBidi" w:hAnsiTheme="minorBidi"/>
        </w:rPr>
      </w:pPr>
      <w:r w:rsidRPr="005C6730">
        <w:rPr>
          <w:rStyle w:val="a7"/>
          <w:rFonts w:asciiTheme="minorBidi" w:hAnsiTheme="minorBidi"/>
          <w:color w:val="FF0000"/>
        </w:rPr>
        <w:footnoteRef/>
      </w:r>
      <w:r w:rsidRPr="005C6730">
        <w:rPr>
          <w:rFonts w:asciiTheme="minorBidi" w:hAnsiTheme="minorBidi"/>
          <w:color w:val="FF0000"/>
          <w:rtl/>
        </w:rPr>
        <w:t xml:space="preserve"> בהגשע"ד (סי' כז סק"ד) בשם מהרא"י ז"ל שמעתי להקשות הא לא אמרינן כבולעו כך פולטו אלא גבי דם פליטה, ודם שבלב הוה כדם צלול שנופל על החתיכה, ויש ליישב קצת דכיון דדרך של דם הלב להתייבש תוך חללו מה שזב הוי כדם פליטה ואמרינן ביה כבולעו כך פולטו, ולפ"ז צ"ל דגם במליחה מתייבש הדם ודוחק קצת עכ"ל</w:t>
      </w:r>
      <w:r w:rsidRPr="005C6730">
        <w:rPr>
          <w:rFonts w:asciiTheme="minorBidi" w:hAnsiTheme="minorBidi"/>
          <w:rtl/>
        </w:rPr>
        <w:t>, דרכ"מ (אות ב).</w:t>
      </w:r>
    </w:p>
  </w:footnote>
  <w:footnote w:id="483">
    <w:p w14:paraId="3C8D00A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הדרכ"מ</w:t>
      </w:r>
      <w:r w:rsidRPr="005C6730">
        <w:rPr>
          <w:rFonts w:asciiTheme="minorBidi" w:hAnsiTheme="minorBidi"/>
          <w:sz w:val="14"/>
          <w:szCs w:val="14"/>
          <w:rtl/>
        </w:rPr>
        <w:t xml:space="preserve"> (אות ח) </w:t>
      </w:r>
      <w:r w:rsidRPr="005C6730">
        <w:rPr>
          <w:rFonts w:asciiTheme="minorBidi" w:hAnsiTheme="minorBidi"/>
          <w:rtl/>
        </w:rPr>
        <w:t>על דבריו וז"ל- ואני אומר דאין לסמוך אהוראה זו דהרי כל הפוסקים פסקו גבי לב דמותר לאחר צלייה וה"ה במליחה ולא חילקו בין אם הוא סגור או פתוח למעלה גם ב"י לא חילק בזה ויש מתירין הלב אפילו בבישול ולכן אין לדברים אלו עיקר ומה שהביא ראיה מחוטין של לחי ויד לא דמי דהתם בחוטין עצמן אין בהם דם רק הכנוס בהן לכן מה שבלעו נשאר בהם, אבל גבי לב דיש דם בבשר הלב אמרינן ביה איידי דפולט דם דידיה פולט נמי דם שבלע ואמרינן ביה שפיר כבולעו כך פולטו, ועל כרחך צריכין לומר חילוק זה סוף סימן ע' לענין בשר שנגע בציר, ותו דגם בחוטים אינן אסורין רק מצד הדם שבהן ולא מצד החוטים עצמן אלא שאין דרך לקרען ולהוציא דמן ולאכול החוטים- קאמר החוטים אסורים, ור"ל משום דם שבהן ואע"ג דבסימן כ"ב דלעיל הצריך כדי נטילה סביב החוטים אף התם אינו אלא חומרא בעלמא, או גבי ורידין שאני וכמו שנתבאר כל זה סימן ס"ה, אבל גבי לב שקרעו אחר צלייתו ומליחתו ומסיר הדם שבתוכו ודאי הבשר שרי דבמליחה וצלייה אמרינן כבולעו כך פולטו, כן נ"ל.</w:t>
      </w:r>
    </w:p>
  </w:footnote>
  <w:footnote w:id="484">
    <w:p w14:paraId="085DBF5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גם בזה צ"ע דהא לשון קורע לא משמע הכי אלא שצריך לקרוע ממש אבל זה לא מיקרי קריעה, דרכ"מ (אות ח).</w:t>
      </w:r>
    </w:p>
  </w:footnote>
  <w:footnote w:id="485">
    <w:p w14:paraId="0F82FFF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הדרכ"מ (אות ח) דצ"ע, דאם כן הלב עצמו למה מותר מטעם דכבולעו כך פולטו שא"א לומר דהמחמירים יסברו תירוצו של מהרא"י דלעיל (אות ב) דא"כ מטעם זה גם שאר בשר שעמו היה להיות שרי, ונ"ל לומר דסבירא להו דמהני שיעתו של לב לעמוד נגד הדם שלא לבלוע ממנו רק מעט והוה לענין הלב כדם פליטה אבל לענין שאר בשר נקרא דם בעין, ואע"ג דלדידהו לית להו שאני לב דשיע דהא לא התירו אלא מטעם דכבולעו כך פולטו מ"מ אפשר דלהאי סברא אית להו דמהני שיעות הלב כמו שחילק מהרא"י ז"ל כמו שאכתוב למטה, וכן משמע קצת במרדכי פכ"ה (סי' תרצט) לאסור שאר בשר שנמלח עם הלב דקאמר שם מעשה בא לפני ר"י שנמלחה תרנגולת עם לב שבה והשיב נראה בעיני שהגאונים לא אסרו אלא בבישול שמפעפע אבל במליחה אינו מפעפע הלכך א"צ רק קליפה במקום הדבוק, וכ"כ ראבי"ה (סי' אלף קיב) ורבינו משה הכהן דבמליחה אין משערים בששים רק כדי קליפה עכ"ל א"כ לדידן דקיימא לן דבמליחה משערין בששים כמו שיתבאר סימן ק"ה (ד"מ אות יא) היה נראה לאסור הבשר שנמלח עם הלב אם אין בו ששים נגד הלב.</w:t>
      </w:r>
    </w:p>
  </w:footnote>
  <w:footnote w:id="486">
    <w:p w14:paraId="2FA294E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הדרכ"מ (אות ח) דכן הוא בהדיא באגרת מהר"א כ"ץ שנדפס בסוף שע"ד, וכן מטים דברי מהרא"י ז"ל דלעיל דהואיל וכ' דקרוי דם פליטה מכח שדרכו להתייבש א"כ אין לחלק בין שאר בשר ללב עצמו, וכן נראה דעת רבינו בעל הטור מדלא חילק אם נמלח עם שאר בשר כמו שמחלק לקמן </w:t>
      </w:r>
      <w:r w:rsidRPr="005C6730">
        <w:rPr>
          <w:rFonts w:asciiTheme="minorBidi" w:hAnsiTheme="minorBidi"/>
          <w:sz w:val="16"/>
          <w:szCs w:val="16"/>
          <w:rtl/>
        </w:rPr>
        <w:t xml:space="preserve">(עמ' שלה) </w:t>
      </w:r>
      <w:r w:rsidRPr="005C6730">
        <w:rPr>
          <w:rFonts w:asciiTheme="minorBidi" w:hAnsiTheme="minorBidi"/>
          <w:rtl/>
        </w:rPr>
        <w:t xml:space="preserve">בכבד, וכן נ"ל להוכיח דזה לא מיקרי רק דם פליטה ולא דם בעין כמו שמצינו לעיל סימן ס"ה </w:t>
      </w:r>
      <w:r w:rsidRPr="005C6730">
        <w:rPr>
          <w:rFonts w:asciiTheme="minorBidi" w:hAnsiTheme="minorBidi"/>
          <w:sz w:val="16"/>
          <w:szCs w:val="16"/>
          <w:rtl/>
        </w:rPr>
        <w:t xml:space="preserve">(עמ' רעו וד"מ אות ו) </w:t>
      </w:r>
      <w:r w:rsidRPr="005C6730">
        <w:rPr>
          <w:rFonts w:asciiTheme="minorBidi" w:hAnsiTheme="minorBidi"/>
          <w:rtl/>
        </w:rPr>
        <w:t xml:space="preserve">וסימן כ"ב </w:t>
      </w:r>
      <w:r w:rsidRPr="005C6730">
        <w:rPr>
          <w:rFonts w:asciiTheme="minorBidi" w:hAnsiTheme="minorBidi"/>
          <w:sz w:val="16"/>
          <w:szCs w:val="16"/>
          <w:rtl/>
        </w:rPr>
        <w:t xml:space="preserve">(עמ' סט) </w:t>
      </w:r>
      <w:r w:rsidRPr="005C6730">
        <w:rPr>
          <w:rFonts w:asciiTheme="minorBidi" w:hAnsiTheme="minorBidi"/>
          <w:rtl/>
        </w:rPr>
        <w:t>גבי חוטין שבלחי ושביד אם נצלו או נמלחו עם בשר דלכולי עלמא הבשר שרי מכח דכבולעו כך פולטו ולא אמרינן שהוא דם צלול אע"ג דגם בחוטים הדם כנוס.</w:t>
      </w:r>
    </w:p>
  </w:footnote>
  <w:footnote w:id="487">
    <w:p w14:paraId="0B362FA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וכן מסקנת הדרכ"מ </w:t>
      </w:r>
      <w:r w:rsidRPr="005C6730">
        <w:rPr>
          <w:rFonts w:asciiTheme="minorBidi" w:hAnsiTheme="minorBidi"/>
          <w:sz w:val="16"/>
          <w:szCs w:val="16"/>
          <w:rtl/>
        </w:rPr>
        <w:t xml:space="preserve">(אות ח, דלפי מה שכתב בסי' כ"ב </w:t>
      </w:r>
      <w:r w:rsidRPr="005C6730">
        <w:rPr>
          <w:rFonts w:asciiTheme="minorBidi" w:hAnsiTheme="minorBidi"/>
          <w:sz w:val="12"/>
          <w:szCs w:val="12"/>
          <w:rtl/>
        </w:rPr>
        <w:t xml:space="preserve">(אות ב) </w:t>
      </w:r>
      <w:r w:rsidRPr="005C6730">
        <w:rPr>
          <w:rFonts w:asciiTheme="minorBidi" w:hAnsiTheme="minorBidi"/>
          <w:sz w:val="16"/>
          <w:szCs w:val="16"/>
          <w:rtl/>
        </w:rPr>
        <w:t>דאף בחוטין יש מחמירין לקלוף סביב החוטין לכן גם כאן צריך קליפה מועטת)</w:t>
      </w:r>
      <w:r w:rsidRPr="005C6730">
        <w:rPr>
          <w:rFonts w:asciiTheme="minorBidi" w:hAnsiTheme="minorBidi"/>
          <w:rtl/>
        </w:rPr>
        <w:t>.</w:t>
      </w:r>
    </w:p>
  </w:footnote>
  <w:footnote w:id="488">
    <w:p w14:paraId="38CF61E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ר"ת</w:t>
      </w:r>
      <w:r w:rsidRPr="005C6730">
        <w:rPr>
          <w:rFonts w:asciiTheme="minorBidi" w:hAnsiTheme="minorBidi"/>
          <w:sz w:val="16"/>
          <w:szCs w:val="16"/>
          <w:rtl/>
        </w:rPr>
        <w:t xml:space="preserve"> (תוס' קט. ד"ה הלב קורעו)</w:t>
      </w:r>
      <w:r w:rsidRPr="005C6730">
        <w:rPr>
          <w:rFonts w:asciiTheme="minorBidi" w:hAnsiTheme="minorBidi"/>
          <w:rtl/>
        </w:rPr>
        <w:t xml:space="preserve"> ר"י </w:t>
      </w:r>
      <w:r w:rsidRPr="005C6730">
        <w:rPr>
          <w:rFonts w:asciiTheme="minorBidi" w:hAnsiTheme="minorBidi"/>
          <w:sz w:val="16"/>
          <w:szCs w:val="16"/>
          <w:rtl/>
        </w:rPr>
        <w:t xml:space="preserve">(כ"כ המרדכי בשמו [סי' תרצט]) </w:t>
      </w:r>
      <w:r w:rsidRPr="005C6730">
        <w:rPr>
          <w:rFonts w:asciiTheme="minorBidi" w:hAnsiTheme="minorBidi"/>
          <w:rtl/>
        </w:rPr>
        <w:t xml:space="preserve">ראב"ד </w:t>
      </w:r>
      <w:r w:rsidRPr="005C6730">
        <w:rPr>
          <w:rFonts w:asciiTheme="minorBidi" w:hAnsiTheme="minorBidi"/>
          <w:sz w:val="16"/>
          <w:szCs w:val="16"/>
          <w:rtl/>
        </w:rPr>
        <w:t>(כ"כ בשמו הה"מ [פ"ו ה"ו])</w:t>
      </w:r>
      <w:r w:rsidRPr="005C6730">
        <w:rPr>
          <w:rFonts w:asciiTheme="minorBidi" w:hAnsiTheme="minorBidi"/>
          <w:rtl/>
        </w:rPr>
        <w:t xml:space="preserve"> ורמב"ן </w:t>
      </w:r>
      <w:r w:rsidRPr="005C6730">
        <w:rPr>
          <w:rFonts w:asciiTheme="minorBidi" w:hAnsiTheme="minorBidi"/>
          <w:sz w:val="16"/>
          <w:szCs w:val="16"/>
          <w:rtl/>
        </w:rPr>
        <w:t xml:space="preserve">(חולין קי. ד"ה וזו, כן משמע לב"י מדברי הר"ן </w:t>
      </w:r>
      <w:r w:rsidRPr="005C6730">
        <w:rPr>
          <w:rFonts w:asciiTheme="minorBidi" w:hAnsiTheme="minorBidi"/>
          <w:sz w:val="14"/>
          <w:szCs w:val="14"/>
          <w:rtl/>
        </w:rPr>
        <w:t>[לט. ד"ה תניא]</w:t>
      </w:r>
      <w:r w:rsidRPr="005C6730">
        <w:rPr>
          <w:rFonts w:asciiTheme="minorBidi" w:hAnsiTheme="minorBidi"/>
          <w:sz w:val="16"/>
          <w:szCs w:val="16"/>
          <w:rtl/>
        </w:rPr>
        <w:t>)</w:t>
      </w:r>
      <w:r w:rsidRPr="005C6730">
        <w:rPr>
          <w:rFonts w:asciiTheme="minorBidi" w:hAnsiTheme="minorBidi"/>
          <w:rtl/>
        </w:rPr>
        <w:t xml:space="preserve">. וכ' הדרכ"מ </w:t>
      </w:r>
      <w:r w:rsidRPr="005C6730">
        <w:rPr>
          <w:rFonts w:asciiTheme="minorBidi" w:hAnsiTheme="minorBidi"/>
          <w:sz w:val="16"/>
          <w:szCs w:val="16"/>
          <w:rtl/>
        </w:rPr>
        <w:t xml:space="preserve">(אות ה) </w:t>
      </w:r>
      <w:r w:rsidRPr="005C6730">
        <w:rPr>
          <w:rFonts w:asciiTheme="minorBidi" w:hAnsiTheme="minorBidi"/>
          <w:rtl/>
        </w:rPr>
        <w:t xml:space="preserve">דהגשע"ד </w:t>
      </w:r>
      <w:r w:rsidRPr="005C6730">
        <w:rPr>
          <w:rFonts w:asciiTheme="minorBidi" w:hAnsiTheme="minorBidi"/>
          <w:sz w:val="16"/>
          <w:szCs w:val="16"/>
          <w:rtl/>
        </w:rPr>
        <w:t xml:space="preserve">(סי' כח סק"א) </w:t>
      </w:r>
      <w:r w:rsidRPr="005C6730">
        <w:rPr>
          <w:rFonts w:asciiTheme="minorBidi" w:hAnsiTheme="minorBidi"/>
          <w:rtl/>
        </w:rPr>
        <w:t xml:space="preserve">כ' בשם מהרא"י דנוהגים כר"ת וכ"מ בסמ"ק </w:t>
      </w:r>
      <w:r w:rsidRPr="005C6730">
        <w:rPr>
          <w:rFonts w:asciiTheme="minorBidi" w:hAnsiTheme="minorBidi"/>
          <w:sz w:val="16"/>
          <w:szCs w:val="16"/>
          <w:rtl/>
        </w:rPr>
        <w:t xml:space="preserve">(סי' רה) </w:t>
      </w:r>
      <w:r w:rsidRPr="005C6730">
        <w:rPr>
          <w:rFonts w:asciiTheme="minorBidi" w:hAnsiTheme="minorBidi"/>
          <w:rtl/>
        </w:rPr>
        <w:t>עכ"ל, וכ"כ הארוך.</w:t>
      </w:r>
    </w:p>
  </w:footnote>
  <w:footnote w:id="489">
    <w:p w14:paraId="06EAB56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ר"ת פי' דאע"פ דשני תלמודא 'שאני לב דשיע' </w:t>
      </w:r>
      <w:r w:rsidRPr="005C6730">
        <w:rPr>
          <w:rFonts w:asciiTheme="minorBidi" w:hAnsiTheme="minorBidi"/>
          <w:sz w:val="16"/>
          <w:szCs w:val="16"/>
          <w:rtl/>
        </w:rPr>
        <w:t xml:space="preserve">(פירוש- ואינו בולע ומותר אפילו אם בשלו בלא קריעה) </w:t>
      </w:r>
      <w:r w:rsidRPr="005C6730">
        <w:rPr>
          <w:rFonts w:asciiTheme="minorBidi" w:hAnsiTheme="minorBidi"/>
          <w:rtl/>
        </w:rPr>
        <w:t xml:space="preserve">למסקנא לא קאי הכי </w:t>
      </w:r>
      <w:r w:rsidRPr="005C6730">
        <w:rPr>
          <w:rFonts w:asciiTheme="minorBidi" w:hAnsiTheme="minorBidi"/>
          <w:sz w:val="16"/>
          <w:szCs w:val="16"/>
          <w:rtl/>
        </w:rPr>
        <w:t>(דדחיה בעלמא הוא בפרק כיצד צולין, דהוה בעי למיפשט מיניה דאמרינן כבולעו כך פולטו מדקתני קורעו לאחר בישולו, ודחי שאני לב דשיע, אבל למאי דמסיק דכבולעו כך פולטו- תו לא אמר דשיע ולא בלע, וקורעו לאחר בישולו היינו לאחר צלייתו דשייך ביה כבולעו כך פולטו שהדם נופל לחוץ, אבל בקדרה אסור ולא אמרינן דשיע ולא בלע)</w:t>
      </w:r>
      <w:r w:rsidRPr="005C6730">
        <w:rPr>
          <w:rFonts w:asciiTheme="minorBidi" w:hAnsiTheme="minorBidi"/>
          <w:rtl/>
        </w:rPr>
        <w:t>, לפיכך אם בשלו בלא קריעה אסור ואין להתירו אלא בקריעה שאחר צלייתו שאם צלאו ולא קרעו קורעו אחר כך.</w:t>
      </w:r>
    </w:p>
  </w:footnote>
  <w:footnote w:id="490">
    <w:p w14:paraId="753E00E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w:t>
      </w:r>
      <w:r w:rsidRPr="005C6730">
        <w:rPr>
          <w:rFonts w:asciiTheme="minorBidi" w:hAnsiTheme="minorBidi"/>
          <w:color w:val="FF0000"/>
          <w:rtl/>
        </w:rPr>
        <w:t xml:space="preserve">וכ' זה המרדכי </w:t>
      </w:r>
      <w:r w:rsidRPr="005C6730">
        <w:rPr>
          <w:rFonts w:asciiTheme="minorBidi" w:hAnsiTheme="minorBidi"/>
          <w:color w:val="FF0000"/>
          <w:sz w:val="16"/>
          <w:szCs w:val="16"/>
          <w:rtl/>
        </w:rPr>
        <w:t xml:space="preserve">(שם) </w:t>
      </w:r>
      <w:r w:rsidRPr="005C6730">
        <w:rPr>
          <w:rFonts w:asciiTheme="minorBidi" w:hAnsiTheme="minorBidi"/>
          <w:color w:val="FF0000"/>
          <w:rtl/>
        </w:rPr>
        <w:t xml:space="preserve">ואח"כ כ' והיינו לדברי ראבי"ה </w:t>
      </w:r>
      <w:r w:rsidRPr="005C6730">
        <w:rPr>
          <w:rFonts w:asciiTheme="minorBidi" w:hAnsiTheme="minorBidi"/>
          <w:color w:val="FF0000"/>
          <w:sz w:val="16"/>
          <w:szCs w:val="16"/>
          <w:rtl/>
        </w:rPr>
        <w:t xml:space="preserve">(סי' אלף קיב) </w:t>
      </w:r>
      <w:r w:rsidRPr="005C6730">
        <w:rPr>
          <w:rFonts w:asciiTheme="minorBidi" w:hAnsiTheme="minorBidi"/>
          <w:color w:val="FF0000"/>
          <w:rtl/>
        </w:rPr>
        <w:t xml:space="preserve">ולא כמו התוס' בפג"ה </w:t>
      </w:r>
      <w:r w:rsidRPr="005C6730">
        <w:rPr>
          <w:rFonts w:asciiTheme="minorBidi" w:hAnsiTheme="minorBidi"/>
          <w:color w:val="FF0000"/>
          <w:sz w:val="16"/>
          <w:szCs w:val="16"/>
          <w:rtl/>
        </w:rPr>
        <w:t xml:space="preserve">(צו: ד"ה אם יש) </w:t>
      </w:r>
      <w:r w:rsidRPr="005C6730">
        <w:rPr>
          <w:rFonts w:asciiTheme="minorBidi" w:hAnsiTheme="minorBidi"/>
          <w:color w:val="FF0000"/>
          <w:rtl/>
        </w:rPr>
        <w:t xml:space="preserve">ובפכ"ה </w:t>
      </w:r>
      <w:r w:rsidRPr="005C6730">
        <w:rPr>
          <w:rFonts w:asciiTheme="minorBidi" w:hAnsiTheme="minorBidi"/>
          <w:color w:val="FF0000"/>
          <w:sz w:val="16"/>
          <w:szCs w:val="16"/>
          <w:rtl/>
        </w:rPr>
        <w:t>(קח. ד"ה טיפת)</w:t>
      </w:r>
      <w:r w:rsidRPr="005C6730">
        <w:rPr>
          <w:rFonts w:asciiTheme="minorBidi" w:hAnsiTheme="minorBidi"/>
          <w:color w:val="FF0000"/>
          <w:rtl/>
        </w:rPr>
        <w:t>, ב"י.</w:t>
      </w:r>
    </w:p>
  </w:footnote>
  <w:footnote w:id="491">
    <w:p w14:paraId="66B507D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הפרדס עמ' קנג, האורה ח"ב סי' עג, או"ה לרש"י סי' סט, הביאו המרדכי שם.</w:t>
      </w:r>
    </w:p>
  </w:footnote>
  <w:footnote w:id="492">
    <w:p w14:paraId="49F9A07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ב</w:t>
      </w:r>
      <w:r>
        <w:rPr>
          <w:rFonts w:asciiTheme="minorBidi" w:hAnsiTheme="minorBidi"/>
          <w:rtl/>
        </w:rPr>
        <w:t>הג"א</w:t>
      </w:r>
      <w:r w:rsidRPr="005C6730">
        <w:rPr>
          <w:rFonts w:asciiTheme="minorBidi" w:hAnsiTheme="minorBidi"/>
          <w:rtl/>
        </w:rPr>
        <w:t xml:space="preserve"> (סי' כה) דאפילו לפי סברא זו אם היה דבוק בחתיכה של עוף היה אוסר החתיכה שאין בו כדי לבטל הדם שבחלל הלב דדוקא בעוף שלם הוא מתיר.</w:t>
      </w:r>
      <w:r w:rsidRPr="005C6730">
        <w:rPr>
          <w:rFonts w:asciiTheme="minorBidi" w:hAnsiTheme="minorBidi"/>
          <w:color w:val="00B0F0"/>
          <w:rtl/>
        </w:rPr>
        <w:t xml:space="preserve"> (וכ"פ הרמ"א)</w:t>
      </w:r>
      <w:r w:rsidRPr="005C6730">
        <w:rPr>
          <w:rFonts w:asciiTheme="minorBidi" w:hAnsiTheme="minorBidi"/>
          <w:rtl/>
        </w:rPr>
        <w:t>. וכ' הב"י- ונראה שאין לסמוך על זה שכתב בשם תשובת רש"י להקל.</w:t>
      </w:r>
    </w:p>
  </w:footnote>
  <w:footnote w:id="493">
    <w:p w14:paraId="088CB56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רשב"א </w:t>
      </w:r>
      <w:r w:rsidRPr="005C6730">
        <w:rPr>
          <w:rFonts w:asciiTheme="minorBidi" w:hAnsiTheme="minorBidi"/>
          <w:sz w:val="16"/>
          <w:szCs w:val="16"/>
          <w:rtl/>
        </w:rPr>
        <w:t>(תוה"ק ב"ג ש"ג)</w:t>
      </w:r>
      <w:r w:rsidRPr="005C6730">
        <w:rPr>
          <w:rFonts w:asciiTheme="minorBidi" w:hAnsiTheme="minorBidi"/>
          <w:rtl/>
        </w:rPr>
        <w:t xml:space="preserve"> טור ור"ן </w:t>
      </w:r>
      <w:r w:rsidRPr="005C6730">
        <w:rPr>
          <w:rFonts w:asciiTheme="minorBidi" w:hAnsiTheme="minorBidi"/>
          <w:sz w:val="16"/>
          <w:szCs w:val="16"/>
          <w:rtl/>
        </w:rPr>
        <w:t>(לט. ד"ה תניא)</w:t>
      </w:r>
      <w:r w:rsidRPr="005C6730">
        <w:rPr>
          <w:rFonts w:asciiTheme="minorBidi" w:hAnsiTheme="minorBidi"/>
          <w:rtl/>
        </w:rPr>
        <w:t>.</w:t>
      </w:r>
    </w:p>
  </w:footnote>
  <w:footnote w:id="494">
    <w:p w14:paraId="19187D5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לפי שהרוטב נכנס לתוכו ומוציא הדם ממנו ומוליכו בכל הקדרה, ר"ן.</w:t>
      </w:r>
      <w:r>
        <w:rPr>
          <w:rFonts w:asciiTheme="minorBidi" w:hAnsiTheme="minorBidi" w:hint="cs"/>
          <w:rtl/>
        </w:rPr>
        <w:t xml:space="preserve"> וכ' הב"י- </w:t>
      </w:r>
      <w:r w:rsidRPr="0054103F">
        <w:rPr>
          <w:rFonts w:asciiTheme="minorBidi" w:hAnsiTheme="minorBidi"/>
          <w:rtl/>
        </w:rPr>
        <w:t>משמע דלדברי האוסרים לב שנתבשל בדמו פשיטא שאוסרים מה שנתבשל עמו, ובמכל שכן מהמתירים יש ללמוד כן</w:t>
      </w:r>
      <w:r>
        <w:rPr>
          <w:rFonts w:asciiTheme="minorBidi" w:hAnsiTheme="minorBidi" w:hint="cs"/>
          <w:rtl/>
        </w:rPr>
        <w:t>.</w:t>
      </w:r>
    </w:p>
  </w:footnote>
  <w:footnote w:id="495">
    <w:p w14:paraId="5B8D910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מהרא"י</w:t>
      </w:r>
      <w:r w:rsidRPr="005C6730">
        <w:rPr>
          <w:rFonts w:asciiTheme="minorBidi" w:hAnsiTheme="minorBidi"/>
          <w:sz w:val="14"/>
          <w:szCs w:val="14"/>
          <w:rtl/>
        </w:rPr>
        <w:t xml:space="preserve"> (בהגשע"ד סי' כח סק"א, הביאו הדרכ"מ [אות ד])</w:t>
      </w:r>
      <w:r w:rsidRPr="005C6730">
        <w:rPr>
          <w:rFonts w:asciiTheme="minorBidi" w:hAnsiTheme="minorBidi"/>
          <w:rtl/>
        </w:rPr>
        <w:t xml:space="preserve"> דלא אמרינן דלא ידעינן כמה דמא נפיק מיניה, משום דאיתא בתשובת מיימוני </w:t>
      </w:r>
      <w:r w:rsidRPr="005C6730">
        <w:rPr>
          <w:rFonts w:asciiTheme="minorBidi" w:hAnsiTheme="minorBidi"/>
          <w:sz w:val="16"/>
          <w:szCs w:val="16"/>
          <w:rtl/>
        </w:rPr>
        <w:t>(ל</w:t>
      </w:r>
      <w:r>
        <w:rPr>
          <w:rFonts w:asciiTheme="minorBidi" w:hAnsiTheme="minorBidi"/>
          <w:sz w:val="16"/>
          <w:szCs w:val="16"/>
          <w:rtl/>
        </w:rPr>
        <w:t>הלמ"א</w:t>
      </w:r>
      <w:r w:rsidRPr="005C6730">
        <w:rPr>
          <w:rFonts w:asciiTheme="minorBidi" w:hAnsiTheme="minorBidi"/>
          <w:sz w:val="16"/>
          <w:szCs w:val="16"/>
          <w:rtl/>
        </w:rPr>
        <w:t xml:space="preserve"> סי' י) </w:t>
      </w:r>
      <w:r w:rsidRPr="005C6730">
        <w:rPr>
          <w:rFonts w:asciiTheme="minorBidi" w:hAnsiTheme="minorBidi"/>
          <w:rtl/>
        </w:rPr>
        <w:t>משום דדם הלב כנוס במקום אחד ונוכל לשער, ודם שבבשר הלב כבר יצא ע"י מליחה, ולא אמרינן דהלב חתיכה נעשה נבלה וניבעי ששים נגד כל הלב די"ל דאפילו לר"ת כל כך מהני שיעתו דלא נימא דממהר לבלוע טפי משאר העוף אע"ג דדבוק הדם בלב.</w:t>
      </w:r>
    </w:p>
  </w:footnote>
  <w:footnote w:id="496">
    <w:p w14:paraId="6100ACC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מהרי"ל </w:t>
      </w:r>
      <w:r w:rsidRPr="005C6730">
        <w:rPr>
          <w:rFonts w:asciiTheme="minorBidi" w:hAnsiTheme="minorBidi"/>
          <w:sz w:val="16"/>
          <w:szCs w:val="16"/>
          <w:rtl/>
        </w:rPr>
        <w:t>(הל' או"ה עמ' תקכט אות יח)</w:t>
      </w:r>
      <w:r w:rsidRPr="005C6730">
        <w:rPr>
          <w:rFonts w:asciiTheme="minorBidi" w:hAnsiTheme="minorBidi"/>
          <w:rtl/>
        </w:rPr>
        <w:t xml:space="preserve"> ו</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ט"ו דין ג)</w:t>
      </w:r>
      <w:r w:rsidRPr="005C6730">
        <w:rPr>
          <w:rFonts w:asciiTheme="minorBidi" w:hAnsiTheme="minorBidi"/>
          <w:rtl/>
        </w:rPr>
        <w:t>.</w:t>
      </w:r>
    </w:p>
  </w:footnote>
  <w:footnote w:id="497">
    <w:p w14:paraId="71F0365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עוד הר"ן- ואיפשר שאם אין בקדרה ששים אפילו הלב אסור, לפי שהנפלט מן החתיכות שנאסרו אוסר הלב שאין חלקות הלב מונע מלבלוע אלא דם דשריק אבל שמנונית לא, וכ"כ </w:t>
      </w:r>
      <w:r>
        <w:rPr>
          <w:rFonts w:asciiTheme="minorBidi" w:hAnsiTheme="minorBidi"/>
          <w:rtl/>
        </w:rPr>
        <w:t>הג"א</w:t>
      </w:r>
      <w:r w:rsidRPr="005C6730">
        <w:rPr>
          <w:rFonts w:asciiTheme="minorBidi" w:hAnsiTheme="minorBidi"/>
          <w:rtl/>
        </w:rPr>
        <w:t xml:space="preserve"> (סי' כה) והמרדכי (שם) דלא אמרן דלב שיע אלא לגבי דם דשריק אבל לגבי שמנוניתא לא, וכ' עוד הר"ן שיש מקילין לומר דלמאי דמסקינן דלב שיע אפילו שמנונית נמי לא בלע, וליתא.</w:t>
      </w:r>
    </w:p>
  </w:footnote>
  <w:footnote w:id="498">
    <w:p w14:paraId="2761735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ואין הפרש בדבר זה בין שהלב דבוק עם העוף ובין שאינו דבוק לעולם אין משערין בכל העוף אלא בלב לבדו, דלא כאותם שמחמירים לשער בכל העוף, דלא נראו דבריהם, רשב"א וטור.</w:t>
      </w:r>
    </w:p>
  </w:footnote>
  <w:footnote w:id="499">
    <w:p w14:paraId="60935C7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הדרכ"מ (אות ד) דהמנהג כדברי </w:t>
      </w:r>
      <w:r>
        <w:rPr>
          <w:rFonts w:asciiTheme="minorBidi" w:hAnsiTheme="minorBidi"/>
          <w:rtl/>
        </w:rPr>
        <w:t>או"ה</w:t>
      </w:r>
      <w:r w:rsidRPr="005C6730">
        <w:rPr>
          <w:rFonts w:asciiTheme="minorBidi" w:hAnsiTheme="minorBidi"/>
          <w:rtl/>
        </w:rPr>
        <w:t xml:space="preserve"> וכדברי הטור לשער נגד כל הלב (וכ"פ בת"ח</w:t>
      </w:r>
      <w:r w:rsidRPr="005C6730">
        <w:rPr>
          <w:rFonts w:asciiTheme="minorBidi" w:hAnsiTheme="minorBidi"/>
          <w:sz w:val="16"/>
          <w:szCs w:val="16"/>
          <w:rtl/>
        </w:rPr>
        <w:t xml:space="preserve"> [כלל כז דין ה])</w:t>
      </w:r>
      <w:r w:rsidRPr="005C6730">
        <w:rPr>
          <w:rFonts w:asciiTheme="minorBidi" w:hAnsiTheme="minorBidi"/>
          <w:rtl/>
        </w:rPr>
        <w:t>, ונ"ל דהיינו מטעם שכתב הטור דלא ידעינן כמה דמא נפיק מיניה ולא מטעם הארוך</w:t>
      </w:r>
      <w:r w:rsidRPr="005C6730">
        <w:rPr>
          <w:rFonts w:asciiTheme="minorBidi" w:hAnsiTheme="minorBidi"/>
          <w:sz w:val="16"/>
          <w:szCs w:val="16"/>
          <w:rtl/>
        </w:rPr>
        <w:t xml:space="preserve"> (שכ' דמשערין כנגד כל הלב כיון שכבר נמלח כבר נעשה נבלה ונאסר)</w:t>
      </w:r>
      <w:r w:rsidRPr="005C6730">
        <w:rPr>
          <w:rFonts w:asciiTheme="minorBidi" w:hAnsiTheme="minorBidi"/>
          <w:rtl/>
        </w:rPr>
        <w:t>, דכבר כתבתי לעיל דאין הלב נעשה נבילה משום המליחה.</w:t>
      </w:r>
    </w:p>
  </w:footnote>
  <w:footnote w:id="500">
    <w:p w14:paraId="104F75D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דהרי אם </w:t>
      </w:r>
      <w:r>
        <w:rPr>
          <w:rFonts w:asciiTheme="minorBidi" w:hAnsiTheme="minorBidi" w:hint="cs"/>
          <w:rtl/>
        </w:rPr>
        <w:t xml:space="preserve">הלב </w:t>
      </w:r>
      <w:r w:rsidRPr="005C6730">
        <w:rPr>
          <w:rFonts w:asciiTheme="minorBidi" w:hAnsiTheme="minorBidi"/>
          <w:rtl/>
        </w:rPr>
        <w:t xml:space="preserve">נמלח קודם הבישול </w:t>
      </w:r>
      <w:r>
        <w:rPr>
          <w:rFonts w:asciiTheme="minorBidi" w:hAnsiTheme="minorBidi" w:hint="cs"/>
          <w:rtl/>
        </w:rPr>
        <w:t>נראה לומר ד</w:t>
      </w:r>
      <w:r w:rsidRPr="005C6730">
        <w:rPr>
          <w:rFonts w:asciiTheme="minorBidi" w:hAnsiTheme="minorBidi"/>
          <w:rtl/>
        </w:rPr>
        <w:t>אין שם רק דם הכנוס ואז לא שייך לומר- לא ידעינן כמה נפק מיניה.</w:t>
      </w:r>
    </w:p>
  </w:footnote>
  <w:footnote w:id="501">
    <w:p w14:paraId="5367569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שבסי' כ"ב על מ"ש הטור דצריך ס' כנגד כל החוטין כתב וז"ל וא"ת למה צריך ששים נגד כל החוטין בדם שבהן ליסגי </w:t>
      </w:r>
      <w:r w:rsidRPr="005C6730">
        <w:rPr>
          <w:rFonts w:asciiTheme="minorBidi" w:hAnsiTheme="minorBidi"/>
          <w:sz w:val="16"/>
          <w:szCs w:val="16"/>
          <w:rtl/>
        </w:rPr>
        <w:t xml:space="preserve">(ועיין בסי' כ"ב סק"ט) </w:t>
      </w:r>
      <w:r w:rsidRPr="005C6730">
        <w:rPr>
          <w:rFonts w:asciiTheme="minorBidi" w:hAnsiTheme="minorBidi"/>
          <w:rtl/>
        </w:rPr>
        <w:t>כבר נתן הרשב"א ז"ל טעם לדבר דלא ידעינן כמה נפק מנייהו, אבל הר"ן כתב דמשערין בדם שבחוטין ונראין דבריו עכ"ל, וכ"פ בשו"ע שם, א"כ משמע להדיא דס"ל דבדם שהוא כנוס במקום א' נוכל לשערו, מיהו כתבתי שם בשם ד"מ שגם הר"ן סובר דלא ידעינן לשער ע"ש, וצ"ע לדינא, ש"ך (סק"ה)</w:t>
      </w:r>
    </w:p>
  </w:footnote>
  <w:footnote w:id="502">
    <w:p w14:paraId="3E72019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סמ"ק </w:t>
      </w:r>
      <w:r w:rsidRPr="005C6730">
        <w:rPr>
          <w:rFonts w:asciiTheme="minorBidi" w:hAnsiTheme="minorBidi"/>
          <w:sz w:val="16"/>
          <w:szCs w:val="16"/>
          <w:rtl/>
        </w:rPr>
        <w:t xml:space="preserve">(כ"כ בשמו האו"ה [כלל ט"ו ד"ד]) </w:t>
      </w:r>
      <w:r w:rsidRPr="005C6730">
        <w:rPr>
          <w:rFonts w:asciiTheme="minorBidi" w:hAnsiTheme="minorBidi"/>
          <w:rtl/>
        </w:rPr>
        <w:t xml:space="preserve">רשב"א </w:t>
      </w:r>
      <w:r w:rsidRPr="005C6730">
        <w:rPr>
          <w:rFonts w:asciiTheme="minorBidi" w:hAnsiTheme="minorBidi"/>
          <w:sz w:val="16"/>
          <w:szCs w:val="16"/>
          <w:rtl/>
        </w:rPr>
        <w:t xml:space="preserve">(תוה"ב ארוך ב"ג ש"ג עט:- פ.) </w:t>
      </w:r>
      <w:r w:rsidRPr="005C6730">
        <w:rPr>
          <w:rFonts w:asciiTheme="minorBidi" w:hAnsiTheme="minorBidi"/>
          <w:rtl/>
        </w:rPr>
        <w:t>(טור</w:t>
      </w:r>
      <w:r w:rsidRPr="005C6730">
        <w:rPr>
          <w:rFonts w:asciiTheme="minorBidi" w:hAnsiTheme="minorBidi"/>
          <w:sz w:val="16"/>
          <w:szCs w:val="16"/>
          <w:rtl/>
        </w:rPr>
        <w:t xml:space="preserve"> להב' ת"ח וש"ך</w:t>
      </w:r>
      <w:r w:rsidRPr="005C6730">
        <w:rPr>
          <w:rFonts w:asciiTheme="minorBidi" w:hAnsiTheme="minorBidi"/>
          <w:rtl/>
        </w:rPr>
        <w:t xml:space="preserve">) מהרי"ל ומהרא"י </w:t>
      </w:r>
      <w:r w:rsidRPr="005C6730">
        <w:rPr>
          <w:rFonts w:asciiTheme="minorBidi" w:hAnsiTheme="minorBidi"/>
          <w:sz w:val="16"/>
          <w:szCs w:val="16"/>
          <w:rtl/>
        </w:rPr>
        <w:t>(הגשע"ד סי' כח אות א)</w:t>
      </w:r>
      <w:r w:rsidRPr="005C6730">
        <w:rPr>
          <w:rFonts w:asciiTheme="minorBidi" w:hAnsiTheme="minorBidi"/>
          <w:rtl/>
        </w:rPr>
        <w:t>.</w:t>
      </w:r>
    </w:p>
  </w:footnote>
  <w:footnote w:id="503">
    <w:p w14:paraId="36B4388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ת"ח </w:t>
      </w:r>
      <w:r w:rsidRPr="005C6730">
        <w:rPr>
          <w:rFonts w:asciiTheme="minorBidi" w:hAnsiTheme="minorBidi"/>
          <w:sz w:val="16"/>
          <w:szCs w:val="16"/>
          <w:rtl/>
        </w:rPr>
        <w:t>[כלל כז ד"ה]</w:t>
      </w:r>
      <w:r w:rsidRPr="005C6730">
        <w:rPr>
          <w:rFonts w:asciiTheme="minorBidi" w:hAnsiTheme="minorBidi"/>
          <w:rtl/>
        </w:rPr>
        <w:t xml:space="preserve"> וט"ז</w:t>
      </w:r>
      <w:r w:rsidRPr="005C6730">
        <w:rPr>
          <w:rFonts w:asciiTheme="minorBidi" w:hAnsiTheme="minorBidi"/>
          <w:sz w:val="16"/>
          <w:szCs w:val="16"/>
          <w:rtl/>
        </w:rPr>
        <w:t xml:space="preserve"> [סק"ד]</w:t>
      </w:r>
      <w:r w:rsidRPr="005C6730">
        <w:rPr>
          <w:rFonts w:asciiTheme="minorBidi" w:hAnsiTheme="minorBidi"/>
          <w:rtl/>
        </w:rPr>
        <w:t>.</w:t>
      </w:r>
    </w:p>
  </w:footnote>
  <w:footnote w:id="504">
    <w:p w14:paraId="3AE8723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שכ' (סי' תרצט) וז"ל- הלכך לב שנתבשל לדברי ר"י אם אין ס' בהיתר כנגד הלב אף הלב עצמו אסור. (משמע אם יש ס'- מתיר)</w:t>
      </w:r>
    </w:p>
  </w:footnote>
  <w:footnote w:id="505">
    <w:p w14:paraId="0273BC5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שע"ד </w:t>
      </w:r>
      <w:r w:rsidRPr="005C6730">
        <w:rPr>
          <w:rFonts w:asciiTheme="minorBidi" w:hAnsiTheme="minorBidi"/>
          <w:sz w:val="16"/>
          <w:szCs w:val="16"/>
          <w:rtl/>
        </w:rPr>
        <w:t xml:space="preserve">(סי' כח) </w:t>
      </w:r>
      <w:r w:rsidRPr="005C6730">
        <w:rPr>
          <w:rFonts w:asciiTheme="minorBidi" w:hAnsiTheme="minorBidi"/>
          <w:rtl/>
        </w:rPr>
        <w:t xml:space="preserve">הגשע"ד </w:t>
      </w:r>
      <w:r w:rsidRPr="005C6730">
        <w:rPr>
          <w:rFonts w:asciiTheme="minorBidi" w:hAnsiTheme="minorBidi"/>
          <w:sz w:val="16"/>
          <w:szCs w:val="16"/>
          <w:rtl/>
        </w:rPr>
        <w:t xml:space="preserve">(שם סק"א) </w:t>
      </w:r>
      <w:r w:rsidRPr="005C6730">
        <w:rPr>
          <w:rFonts w:asciiTheme="minorBidi" w:hAnsiTheme="minorBidi"/>
          <w:rtl/>
        </w:rPr>
        <w:t>ו</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טו דין א בהגהות שבסוף הספר)</w:t>
      </w:r>
      <w:r w:rsidRPr="005C6730">
        <w:rPr>
          <w:rFonts w:asciiTheme="minorBidi" w:hAnsiTheme="minorBidi"/>
          <w:rtl/>
        </w:rPr>
        <w:t>.</w:t>
      </w:r>
    </w:p>
  </w:footnote>
  <w:footnote w:id="506">
    <w:p w14:paraId="2D0E480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הביאם הדרכ"מ (אות ג) כתשובה למה שהבין הב"י בדעת האוסרים, וכ' דכן הוא לקמן סימן ע"ג (אות ח) לענין כבד ולב.</w:t>
      </w:r>
    </w:p>
  </w:footnote>
  <w:footnote w:id="507">
    <w:p w14:paraId="17EEF5C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עכ"ל הרשב"א </w:t>
      </w:r>
      <w:r w:rsidRPr="005C6730">
        <w:rPr>
          <w:rFonts w:asciiTheme="minorBidi" w:hAnsiTheme="minorBidi"/>
          <w:sz w:val="16"/>
          <w:szCs w:val="16"/>
          <w:rtl/>
        </w:rPr>
        <w:t>(תוה"ב קצר ב"ג ש"ג עג:)</w:t>
      </w:r>
      <w:r w:rsidRPr="005C6730">
        <w:rPr>
          <w:rFonts w:asciiTheme="minorBidi" w:hAnsiTheme="minorBidi"/>
          <w:rtl/>
        </w:rPr>
        <w:t xml:space="preserve">. וכ' הש"ך </w:t>
      </w:r>
      <w:r w:rsidRPr="005C6730">
        <w:rPr>
          <w:rFonts w:asciiTheme="minorBidi" w:hAnsiTheme="minorBidi"/>
          <w:sz w:val="16"/>
          <w:szCs w:val="16"/>
          <w:rtl/>
        </w:rPr>
        <w:t xml:space="preserve">(סק"ג) </w:t>
      </w:r>
      <w:r w:rsidRPr="005C6730">
        <w:rPr>
          <w:rFonts w:asciiTheme="minorBidi" w:hAnsiTheme="minorBidi"/>
          <w:rtl/>
        </w:rPr>
        <w:t xml:space="preserve">דאע"ג דלגבי דם בעין לא אמרינן כבכ"פ </w:t>
      </w:r>
      <w:r w:rsidRPr="005C6730">
        <w:rPr>
          <w:rFonts w:asciiTheme="minorBidi" w:hAnsiTheme="minorBidi"/>
          <w:sz w:val="16"/>
          <w:szCs w:val="16"/>
          <w:rtl/>
        </w:rPr>
        <w:t>(וכדלעיל ר"ס ס"ט</w:t>
      </w:r>
      <w:r w:rsidRPr="005C6730">
        <w:rPr>
          <w:rFonts w:asciiTheme="minorBidi" w:hAnsiTheme="minorBidi"/>
          <w:sz w:val="14"/>
          <w:szCs w:val="14"/>
          <w:rtl/>
        </w:rPr>
        <w:t xml:space="preserve"> [סק"א]</w:t>
      </w:r>
      <w:r w:rsidRPr="005C6730">
        <w:rPr>
          <w:rFonts w:asciiTheme="minorBidi" w:hAnsiTheme="minorBidi"/>
          <w:sz w:val="16"/>
          <w:szCs w:val="16"/>
          <w:rtl/>
        </w:rPr>
        <w:t xml:space="preserve"> וס"ס ע</w:t>
      </w:r>
      <w:r w:rsidRPr="005C6730">
        <w:rPr>
          <w:rFonts w:asciiTheme="minorBidi" w:hAnsiTheme="minorBidi"/>
          <w:sz w:val="14"/>
          <w:szCs w:val="14"/>
          <w:rtl/>
        </w:rPr>
        <w:t xml:space="preserve"> [בהג"ה]</w:t>
      </w:r>
      <w:r w:rsidRPr="005C6730">
        <w:rPr>
          <w:rFonts w:asciiTheme="minorBidi" w:hAnsiTheme="minorBidi"/>
          <w:sz w:val="16"/>
          <w:szCs w:val="16"/>
          <w:rtl/>
        </w:rPr>
        <w:t>)</w:t>
      </w:r>
      <w:r w:rsidRPr="005C6730">
        <w:rPr>
          <w:rFonts w:asciiTheme="minorBidi" w:hAnsiTheme="minorBidi"/>
          <w:rtl/>
        </w:rPr>
        <w:t xml:space="preserve"> שאני גבי לב דשיע </w:t>
      </w:r>
      <w:r w:rsidRPr="005C6730">
        <w:rPr>
          <w:rFonts w:asciiTheme="minorBidi" w:hAnsiTheme="minorBidi"/>
          <w:sz w:val="16"/>
          <w:szCs w:val="16"/>
          <w:rtl/>
        </w:rPr>
        <w:t>(פי' חלק)</w:t>
      </w:r>
      <w:r w:rsidRPr="005C6730">
        <w:rPr>
          <w:rFonts w:asciiTheme="minorBidi" w:hAnsiTheme="minorBidi"/>
          <w:rtl/>
        </w:rPr>
        <w:t xml:space="preserve">, ולענין זה מהני עכ"פ שיעתו דלא בולע הרבה רק מעט ולגבי דידיה מיחשב דם פליטה, כ"כ בת"ח </w:t>
      </w:r>
      <w:r w:rsidRPr="005C6730">
        <w:rPr>
          <w:rFonts w:asciiTheme="minorBidi" w:hAnsiTheme="minorBidi"/>
          <w:sz w:val="16"/>
          <w:szCs w:val="16"/>
          <w:rtl/>
        </w:rPr>
        <w:t>(שם דין ב', וכ"כ ר' נתן שפירא במבוא שערים טעם זה)</w:t>
      </w:r>
      <w:r w:rsidRPr="005C6730">
        <w:rPr>
          <w:rFonts w:asciiTheme="minorBidi" w:hAnsiTheme="minorBidi"/>
          <w:rtl/>
        </w:rPr>
        <w:t xml:space="preserve"> והוצרך לטעם זה לסברת היש מחמירין שכתב בהג"ה</w:t>
      </w:r>
      <w:r w:rsidRPr="005C6730">
        <w:rPr>
          <w:rFonts w:asciiTheme="minorBidi" w:hAnsiTheme="minorBidi"/>
          <w:sz w:val="16"/>
          <w:szCs w:val="16"/>
          <w:rtl/>
        </w:rPr>
        <w:t xml:space="preserve"> (שע"ד שם אות ב)</w:t>
      </w:r>
      <w:r w:rsidRPr="005C6730">
        <w:rPr>
          <w:rFonts w:asciiTheme="minorBidi" w:hAnsiTheme="minorBidi"/>
          <w:rtl/>
        </w:rPr>
        <w:t xml:space="preserve"> לאסור בשר שנמלח עמו ע"ש, ומהרא"י כ' בהגשע"ד </w:t>
      </w:r>
      <w:r w:rsidRPr="005C6730">
        <w:rPr>
          <w:rFonts w:asciiTheme="minorBidi" w:hAnsiTheme="minorBidi"/>
          <w:sz w:val="16"/>
          <w:szCs w:val="16"/>
          <w:rtl/>
        </w:rPr>
        <w:t>(שם אות ד)</w:t>
      </w:r>
      <w:r w:rsidRPr="005C6730">
        <w:rPr>
          <w:rFonts w:asciiTheme="minorBidi" w:hAnsiTheme="minorBidi"/>
          <w:rtl/>
        </w:rPr>
        <w:t xml:space="preserve"> הטעם דכיון שהוא כנוס תוך חללו א"כ ע"י מליחה וצלייה מתייבש הדם תוך חללו וחשיב תו דם פליטה, ולפ"ז פשיטא דשאר בשר שנמלח עמו שרי ועיין בסק"ז, מיהו הרשב"א בת"ה ובחדושיו והר"ן פכ"ה כתבו בשם הרמב"ן דלצלי בלא"ה שרי דבצלי אמרינן דשיע ואינו בולע כלום, ונראה שם שכן דעת הר"ן, וה"נ במליחה אמרינן דשיע, ובספרי כתבתי שהיא השטה המחוורת בש"ס, וכן הסכים מהרש"ל פכ"ה סי' מ"ח, ונ"ל דנ"מ אם אחר שנמלח הלב נפל לציר דשרי מטעם דשיע ולא בלע אע"ג דאסור בשאר בשר וכדלעיל ס"ס ע.</w:t>
      </w:r>
    </w:p>
  </w:footnote>
  <w:footnote w:id="508">
    <w:p w14:paraId="45571EE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דע"י בישול בולע ולא אמרינן דשיע, ולא שייך למימר כבכ"פ בקדרה דהא כל מה שנפלה ממנו הוא בקדרה, ש"ך (סק"ד).</w:t>
      </w:r>
    </w:p>
  </w:footnote>
  <w:footnote w:id="509">
    <w:p w14:paraId="3A49F87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צ"ע קצת כיון דהמחבר כתב אסור עד שיהא בו ס' דמשמע דאם יש בו ס' גם הלב מותר וכמבואר ג"כ בב"י, א"כ הוה ליה להר"ב לכתוב וי"א דאפי' איכא ס' כו', ש"ך (סק"ו).</w:t>
      </w:r>
    </w:p>
  </w:footnote>
  <w:footnote w:id="510">
    <w:p w14:paraId="42CE821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הטעם כתב בת"ח (שם ד"ו) בשם מהרא"י (בהגשע"ד) משום דלפעמים הדם שבלב מתבשל ונתייבש כולו בחלל הלב ואינו יוצא לחוץ, והא דלא אסר ליה מטעם שהלב עצמו נעשה נבלה מהדם שבתוכו שהוא דבוק בו כבר כתב מהרא"י שם דלענין זה מהני שיעתו דלב דלא אמרינן ממהר לבלוע טפי משאר בשר ע"ש, והוכיח כן מדברי השע"ד, וכן מבואר דעת מהרש"ל שם, וכ"כ הד"מ בהדיא ע"ש, דלא כהעט"ז שאסר ליה מטעם דנעשה נבילה, ש"ך (סק"ז). </w:t>
      </w:r>
    </w:p>
  </w:footnote>
  <w:footnote w:id="511">
    <w:p w14:paraId="07618C6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פירוש אם נתבשל הלב עם העוף בענין שיש בחתיכה עצמה ס' אפ"ה צריך קליפה כיון דכבר נמלח עמו ונאסר כדי קליפה וכן מבואר בת"ח שם (ולפ"ז מוכח ג"כ דעת הר"ב דאפילו נמלח הלב תחילה צריך לשער נגד כל הלב ודוק ועי' בסק"ה), ש"ך</w:t>
      </w:r>
      <w:r w:rsidRPr="005C6730">
        <w:rPr>
          <w:rFonts w:asciiTheme="minorBidi" w:hAnsiTheme="minorBidi"/>
          <w:sz w:val="16"/>
          <w:szCs w:val="16"/>
          <w:rtl/>
        </w:rPr>
        <w:t xml:space="preserve"> (סק"ח)</w:t>
      </w:r>
      <w:r w:rsidRPr="005C6730">
        <w:rPr>
          <w:rFonts w:asciiTheme="minorBidi" w:hAnsiTheme="minorBidi"/>
          <w:rtl/>
        </w:rPr>
        <w:t>.</w:t>
      </w:r>
    </w:p>
  </w:footnote>
  <w:footnote w:id="512">
    <w:p w14:paraId="4454931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אבל הלב עצמו מותר דלכך מהני שיעתו דלא בולע רק מעט ולגבי דידיה מיחשב דם פליטה המעט שבולע אבל גבי שאר בשר מיחשב דם ממש עכ"ל ת"ח</w:t>
      </w:r>
      <w:r w:rsidRPr="005C6730">
        <w:rPr>
          <w:rFonts w:asciiTheme="minorBidi" w:hAnsiTheme="minorBidi"/>
          <w:sz w:val="16"/>
          <w:szCs w:val="16"/>
          <w:rtl/>
        </w:rPr>
        <w:t xml:space="preserve"> (שם ד"ב)</w:t>
      </w:r>
      <w:r w:rsidRPr="005C6730">
        <w:rPr>
          <w:rFonts w:asciiTheme="minorBidi" w:hAnsiTheme="minorBidi"/>
          <w:rtl/>
        </w:rPr>
        <w:t xml:space="preserve">, ומבואר בהגשע"ד שם דהאוסרים בשר שנמלח עמו אוסרים נמי בשר שנצלה עמו מה"ט דהוי דם בעין ע"ש, ומהרש"ל </w:t>
      </w:r>
      <w:r w:rsidRPr="005C6730">
        <w:rPr>
          <w:rFonts w:asciiTheme="minorBidi" w:hAnsiTheme="minorBidi"/>
          <w:sz w:val="16"/>
          <w:szCs w:val="16"/>
          <w:rtl/>
        </w:rPr>
        <w:t>(באו"ש ובספרו פכ"ה סי' מ"ח)</w:t>
      </w:r>
      <w:r w:rsidRPr="005C6730">
        <w:rPr>
          <w:rFonts w:asciiTheme="minorBidi" w:hAnsiTheme="minorBidi"/>
          <w:rtl/>
        </w:rPr>
        <w:t xml:space="preserve"> לא עיין שפיר אגב חורפיה והבין דהגשע"ד אוסרת במליחה דוקא ולא בצלייה, ולפ"ז הר"ב שחשש לדברי הגשע"ד להחמיר כדי קליפה במליחה אה"נ דבצלי מחמיר כדי נטילה כיון דבלא"ה קי"ל בצלי בכדי נטילה רק שאנו מחמירין בס' וכדלקמן סי' ק"ה ס"ה, וכן גבי ורידין בסי' כ"ב ס"א סתם הרב כדברי המחבר דאם צלאו שלם יחתוך סביבם כדי נטילה, וכ"כ הרשב"א (בתה"א דף כ"ח ע"ב) דכי היכי דגבי ורידין צריך נטילה ה"ה בלב ע"ש, ש"ך (סק"ט).</w:t>
      </w:r>
    </w:p>
  </w:footnote>
  <w:footnote w:id="513">
    <w:p w14:paraId="7B9C290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ואין להקשות לפי זה למה אמרינן בתחלת הסעיף קורעו אחר מליחתו ומותר, תירץ בדרכ"מ (אות ב) דס"ל דמהני סברא דהלב שיע לענין הלב עצמו דליהוי דם פליטה אבל לענין הבשר שעמו מקרי דם בעין, ט"ז (סק"ו).</w:t>
      </w:r>
    </w:p>
  </w:footnote>
  <w:footnote w:id="514">
    <w:p w14:paraId="30DFEB6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פי' במליחה מקילין בין הבשר שנמלח עמו בין הלב עצמו וכמו שמסיק אח"כ שאין חילוק בין בשר כו' רק בבישול קי"ל אפי' בדאיכא ס' הלב עצמו אסור ומ"ש רמ"א אח"כ ולכן אם העוף שלם הכל מותר לא נתכוין אהלב עצמו דמ"מ אסור בבישול ומו"ח ז"ל הקשה כאן דברי רמ"א אהדדי ולא קשה דהכל קאי אמה שבקדרה ועל העוף, ט"ז (סק"ז). מיהו פשיטא דלכתחלה אין למלוח או לצלות לב עם בשר כיון דעכ"פ צריך קליפה, ש"ך (סק"י).</w:t>
      </w:r>
    </w:p>
  </w:footnote>
  <w:footnote w:id="515">
    <w:p w14:paraId="1956CF3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ואז יוצאים לכ"ע שהרי רוב הפוסקים הסכימו שלא להצריך במליחה רק קליפה רק שאנו מחמירין בס' עכ"ל ת"ח שם ולפ"ז משמע להדיא דאפי' אינו דבוק הלב אלא שנמלח עם בשר שאינו דבוק בו צריך קליפה וכן מוכח עוד בת"ח שם ע"ש ודוק וכן בדין דהא מהרש"ל אוסר כולו ונהי דלא נהגינן הכי מ"מ יש להחמיר ולהצריך קליפה והב"ח כ' ואם נמצא הלב מונח תוך העוף במליחה או בצליה א"צ אפילו קליפה כמו לגבי כבד בסי' ע"ג עכ"ל וליתא דשאני הכא כיון דקצת פוסקים חשבי דם לב בעין ראוי להחמיר להצריך קליפה ול"ד לכבד כמ"ש בהגהת ש"ד עצמו לחלק דשאני כבד דכולי דם הוא ואפ"ה שרי רחמנא ומ"ש הר"ב במקום שהיה הלב דבוק לאו דוקא קאמר גם מ"ש הב"ח או בצלייה ודאי ליתא דהא אפילו בכבד נוהגים להצריך קליפה בצלי אפי' אינו דבוק וכמ"ש בסימן ע"ג ס"ק י"ז וכמ"ש הב"ח עצמו שם, ש"ך (סקי"א).</w:t>
      </w:r>
    </w:p>
  </w:footnote>
  <w:footnote w:id="516">
    <w:p w14:paraId="32587A6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וכי היכי דאמרינן בלב עצמו כבולעו כך פולטו ה"נ בבשר שעמו, וכמו שנתבאר וק"ל </w:t>
      </w:r>
      <w:r w:rsidRPr="005C6730">
        <w:rPr>
          <w:rFonts w:asciiTheme="minorBidi" w:hAnsiTheme="minorBidi"/>
          <w:sz w:val="16"/>
          <w:szCs w:val="16"/>
          <w:rtl/>
        </w:rPr>
        <w:t>(דלא כהב"ח שהבין דמ"ש הר"ב לעיל אפי' בדאיכא ס' הלב עצמו אסור קאי נמי אמליחה וכאן מיירי לפי הש"ס ע"ש)</w:t>
      </w:r>
      <w:r w:rsidRPr="005C6730">
        <w:rPr>
          <w:rFonts w:asciiTheme="minorBidi" w:hAnsiTheme="minorBidi"/>
          <w:rtl/>
        </w:rPr>
        <w:t>, ע"פ ש"ך (סקי"ב).</w:t>
      </w:r>
    </w:p>
  </w:footnote>
  <w:footnote w:id="517">
    <w:p w14:paraId="075C79D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דאפי' סגור למעלה מהני ליה קריעה אחר מליחה וצלייה, ואפי' אינו סגור למעלה צריך לחזור ולקרעו היטב דמה שפתוח למעלה לא מיקרי קרוע, וכן אם נתבשל כך אסור, וכן עיקר כאשר הוכיח הרב בת"ח שם ד"ג בראיות ברורות ע"ש, וכ"מ מדברי כל הפוסקים, שלא חילקו בכך, דלא כהב"ח, ש"ך (סקי"ג). ודלא כאו"ה שסובר בסגור למעלה אסור אפי' במליחה וצלייה ובפתוח למעלה סגי כמו קרוע ואם בישלו אח"כ מותר, דקשה עליו היכן מצינו מה שאמרו וקורעו לאחר מליחתו, אי בסתום למעלה הא כבר נאסר, ואי בפתוח למעלה הא א"צ קריעה אח"כ, אלא ודאי אין חילוק דכל שלא קרעו ממש אין שום היתר במקום שצריך קריעה, ומיהו אם הניחו על פיו דאיכא מקום לדם לזוב איכא למימר דמיקרי קרוע, כל זה כתוב בת"ח ודבריו נכונים, ט"ז (סק"ח).</w:t>
      </w:r>
    </w:p>
  </w:footnote>
  <w:footnote w:id="518">
    <w:p w14:paraId="01BAFE5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וברקנ"ט פרשת לך לך כתוב וז"ל- ובעבור כי הברית היא דוגמת הלב לכך חותכים גם חידוד הלב בראשיתו להעביר משם כחות הטומאה וזהו ומלתם את ערלת לבבכם ע"ש, ש"ך (סקי"ד).</w:t>
      </w:r>
    </w:p>
  </w:footnote>
  <w:footnote w:id="519">
    <w:p w14:paraId="7DBBB27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סי' אלף קיב, כ"כ המרדכי בשמו (סי' תרצט). ואע"ג דמשמע מפשט לשון הראבי"ה אחרת </w:t>
      </w:r>
      <w:r w:rsidRPr="005C6730">
        <w:rPr>
          <w:rFonts w:asciiTheme="minorBidi" w:hAnsiTheme="minorBidi"/>
          <w:sz w:val="16"/>
          <w:szCs w:val="16"/>
          <w:rtl/>
        </w:rPr>
        <w:t xml:space="preserve">(וז"ל- קבלתי שבבירור יש בעוף שלם ששים כנגד </w:t>
      </w:r>
      <w:r w:rsidRPr="005C6730">
        <w:rPr>
          <w:rFonts w:asciiTheme="minorBidi" w:hAnsiTheme="minorBidi"/>
          <w:b/>
          <w:bCs/>
          <w:sz w:val="16"/>
          <w:szCs w:val="16"/>
          <w:rtl/>
        </w:rPr>
        <w:t>דם</w:t>
      </w:r>
      <w:r w:rsidRPr="005C6730">
        <w:rPr>
          <w:rFonts w:asciiTheme="minorBidi" w:hAnsiTheme="minorBidi"/>
          <w:sz w:val="16"/>
          <w:szCs w:val="16"/>
          <w:rtl/>
        </w:rPr>
        <w:t xml:space="preserve"> שבלב אבל אין בו ששים בכבד כשהכבד שלם)</w:t>
      </w:r>
      <w:r w:rsidRPr="005C6730">
        <w:rPr>
          <w:rFonts w:asciiTheme="minorBidi" w:hAnsiTheme="minorBidi"/>
          <w:rtl/>
        </w:rPr>
        <w:t xml:space="preserve"> כבר הוכיח הש"ך </w:t>
      </w:r>
      <w:r w:rsidRPr="005C6730">
        <w:rPr>
          <w:rFonts w:asciiTheme="minorBidi" w:hAnsiTheme="minorBidi"/>
          <w:sz w:val="16"/>
          <w:szCs w:val="16"/>
          <w:rtl/>
        </w:rPr>
        <w:t>(בארוך מש"ך סי' עב ד"ה תנן בפרק כל)</w:t>
      </w:r>
      <w:r w:rsidRPr="005C6730">
        <w:rPr>
          <w:rFonts w:asciiTheme="minorBidi" w:hAnsiTheme="minorBidi"/>
          <w:rtl/>
        </w:rPr>
        <w:t xml:space="preserve"> דהם הם דברי הרא"ש וסיעתו.</w:t>
      </w:r>
    </w:p>
  </w:footnote>
  <w:footnote w:id="520">
    <w:p w14:paraId="24BA197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שם שדבר זה הוא ע"פ המרדכי. הט"ז (סק"י) הביא את דברי מהרי"ל וכ'- וכבר כתבו האחרונים דלא קי"ל כמהרי"ל במה שהחמיר להצריך כל העוף שלם אלא כמבואר בסמוך אפי' בלא הראש ורגלים.</w:t>
      </w:r>
    </w:p>
  </w:footnote>
  <w:footnote w:id="521">
    <w:p w14:paraId="126F7E1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דכדבריו מוכיח מה שכתוב בהג"א </w:t>
      </w:r>
      <w:r w:rsidRPr="005C6730">
        <w:rPr>
          <w:rFonts w:asciiTheme="minorBidi" w:hAnsiTheme="minorBidi"/>
          <w:sz w:val="14"/>
          <w:szCs w:val="14"/>
          <w:rtl/>
        </w:rPr>
        <w:t xml:space="preserve">(סי' כה) </w:t>
      </w:r>
      <w:r w:rsidRPr="005C6730">
        <w:rPr>
          <w:rFonts w:asciiTheme="minorBidi" w:hAnsiTheme="minorBidi"/>
          <w:rtl/>
        </w:rPr>
        <w:t xml:space="preserve">שאין עוף שלא יהא ששים כנגד לבו ויותר ע"כ אלמא דלא שיערו בצמצום. וכ' הדרכ"מ </w:t>
      </w:r>
      <w:r w:rsidRPr="005C6730">
        <w:rPr>
          <w:rFonts w:asciiTheme="minorBidi" w:hAnsiTheme="minorBidi"/>
          <w:sz w:val="14"/>
          <w:szCs w:val="14"/>
          <w:rtl/>
        </w:rPr>
        <w:t xml:space="preserve">(אות ז) </w:t>
      </w:r>
      <w:r w:rsidRPr="005C6730">
        <w:rPr>
          <w:rFonts w:asciiTheme="minorBidi" w:hAnsiTheme="minorBidi"/>
          <w:rtl/>
        </w:rPr>
        <w:t xml:space="preserve">דכ"פ ר"י מינץ בתשובה </w:t>
      </w:r>
      <w:r w:rsidRPr="005C6730">
        <w:rPr>
          <w:rFonts w:asciiTheme="minorBidi" w:hAnsiTheme="minorBidi"/>
          <w:sz w:val="14"/>
          <w:szCs w:val="14"/>
          <w:rtl/>
        </w:rPr>
        <w:t xml:space="preserve">(סי' טו) </w:t>
      </w:r>
      <w:r w:rsidRPr="005C6730">
        <w:rPr>
          <w:rFonts w:asciiTheme="minorBidi" w:hAnsiTheme="minorBidi"/>
          <w:rtl/>
        </w:rPr>
        <w:t xml:space="preserve">דיש לסמוך על זה להתיר, וכ"פ בארוך </w:t>
      </w:r>
      <w:r w:rsidRPr="005C6730">
        <w:rPr>
          <w:rFonts w:asciiTheme="minorBidi" w:hAnsiTheme="minorBidi"/>
          <w:sz w:val="14"/>
          <w:szCs w:val="14"/>
          <w:rtl/>
        </w:rPr>
        <w:t xml:space="preserve">(כלל טו דין ד) </w:t>
      </w:r>
      <w:r w:rsidRPr="005C6730">
        <w:rPr>
          <w:rFonts w:asciiTheme="minorBidi" w:hAnsiTheme="minorBidi"/>
          <w:rtl/>
        </w:rPr>
        <w:t>וכתב דוקא בעוף אבל בבהמה אין לך שום בהמה שיש בה ששים נגד לבה עכ"ל. וכ' ב</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4"/>
          <w:szCs w:val="14"/>
          <w:rtl/>
        </w:rPr>
        <w:t xml:space="preserve">(שם דין ב) </w:t>
      </w:r>
      <w:r w:rsidRPr="005C6730">
        <w:rPr>
          <w:rFonts w:asciiTheme="minorBidi" w:hAnsiTheme="minorBidi"/>
          <w:rtl/>
        </w:rPr>
        <w:t xml:space="preserve">ובשע"ד ובהגשע"ד </w:t>
      </w:r>
      <w:r w:rsidRPr="005C6730">
        <w:rPr>
          <w:rFonts w:asciiTheme="minorBidi" w:hAnsiTheme="minorBidi"/>
          <w:sz w:val="14"/>
          <w:szCs w:val="14"/>
          <w:rtl/>
        </w:rPr>
        <w:t xml:space="preserve">(סי' כח סק"ג ד"ה מעשה) </w:t>
      </w:r>
      <w:r w:rsidRPr="005C6730">
        <w:rPr>
          <w:rFonts w:asciiTheme="minorBidi" w:hAnsiTheme="minorBidi"/>
          <w:rtl/>
        </w:rPr>
        <w:t>דאף אי איכא ששים נוהגין לקלוף מקום דבוק הלב. ולא כתב טעם לקליפה זו ואולי חומרא בעלמא וטעמו דהואיל ונמלח כבר נאסר סביב הלב כדי קליפה וצריך להסיר הקליפה שנאסרה תחילה דלא חזרה והותרה, וכל זה אינו אלא חומרא בעלמא דאין דם אוסר במליחה דכבולעו כך פולטו ועיין לקמן סימן ע"ח</w:t>
      </w:r>
      <w:r w:rsidRPr="005C6730">
        <w:rPr>
          <w:rFonts w:asciiTheme="minorBidi" w:hAnsiTheme="minorBidi"/>
          <w:sz w:val="14"/>
          <w:szCs w:val="14"/>
          <w:rtl/>
        </w:rPr>
        <w:t xml:space="preserve"> (אות א) </w:t>
      </w:r>
      <w:r w:rsidRPr="005C6730">
        <w:rPr>
          <w:rFonts w:asciiTheme="minorBidi" w:hAnsiTheme="minorBidi"/>
          <w:rtl/>
        </w:rPr>
        <w:t>מדין לב הנמצא בפשטיד"א.</w:t>
      </w:r>
    </w:p>
  </w:footnote>
  <w:footnote w:id="522">
    <w:p w14:paraId="5A44F10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הביאו הט"ז (סק"ד), וחלק עליו (בסק"ט) וכ' שאף לאחר שהפשיטו עור האווז יש בו ששים כנגד הלב.</w:t>
      </w:r>
    </w:p>
  </w:footnote>
  <w:footnote w:id="523">
    <w:p w14:paraId="21DE732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ומשמע מדבריו שבכל עוף הדין כך ולאו דוקא באווז </w:t>
      </w:r>
      <w:r w:rsidRPr="005C6730">
        <w:rPr>
          <w:rFonts w:asciiTheme="minorBidi" w:hAnsiTheme="minorBidi"/>
          <w:sz w:val="16"/>
          <w:szCs w:val="16"/>
          <w:rtl/>
        </w:rPr>
        <w:t>(וז"ל-</w:t>
      </w:r>
      <w:r w:rsidRPr="005C6730">
        <w:rPr>
          <w:rFonts w:asciiTheme="minorBidi" w:hAnsiTheme="minorBidi"/>
          <w:rtl/>
        </w:rPr>
        <w:t xml:space="preserve"> </w:t>
      </w:r>
      <w:r w:rsidRPr="005C6730">
        <w:rPr>
          <w:rFonts w:asciiTheme="minorBidi" w:hAnsiTheme="minorBidi"/>
          <w:sz w:val="16"/>
          <w:szCs w:val="16"/>
          <w:rtl/>
        </w:rPr>
        <w:t>דהעוף דוקא עם עור שלו הוא ששים נגד לבו, וכמ"ש בסקט"ו)</w:t>
      </w:r>
      <w:r w:rsidRPr="005C6730">
        <w:rPr>
          <w:rFonts w:asciiTheme="minorBidi" w:hAnsiTheme="minorBidi"/>
          <w:rtl/>
        </w:rPr>
        <w:t>.</w:t>
      </w:r>
    </w:p>
  </w:footnote>
  <w:footnote w:id="524">
    <w:p w14:paraId="6DF3829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והטור הביא חומרא זו וכ' עליה- ולא נהירא דלמה נחוש לזה.</w:t>
      </w:r>
    </w:p>
  </w:footnote>
  <w:footnote w:id="525">
    <w:p w14:paraId="31E4DCC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הב"י- וכיוצא בזה כתב המרדכי. וכ' על זה הדרכ"מ (אות ו)- ואני אומר דבמרדכי שלי אינו כן ואדרבה (סי' תרצט) פסק דהחתיכה נעשית נבלה, וכ"פ בשע"ד (סי' כח), וכ' </w:t>
      </w:r>
      <w:r>
        <w:rPr>
          <w:rFonts w:asciiTheme="minorBidi" w:hAnsiTheme="minorBidi"/>
          <w:rtl/>
        </w:rPr>
        <w:t>או"ה</w:t>
      </w:r>
      <w:r w:rsidRPr="005C6730">
        <w:rPr>
          <w:rFonts w:asciiTheme="minorBidi" w:hAnsiTheme="minorBidi"/>
          <w:rtl/>
        </w:rPr>
        <w:t xml:space="preserve"> (כלל ט"ו דין ג) דכן נוהגין, וכ"כ מהרא"י בשעריו שער י"ב, ובב"י לקמן סימן ע"ג (עמ' שלה ד"ה ומ"ש ובקדרה) וסימן צ"ב (עמ' תח ד"ה ולענין) לא פסק כן.</w:t>
      </w:r>
    </w:p>
  </w:footnote>
  <w:footnote w:id="526">
    <w:p w14:paraId="33F5972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ורמ"א (ס"ס ע"ג) כתב דמילוי ביצים הוי ממש כבישול לכל דבר והוה כתבשיל אחר עם העוף אם אין הלב דבוק בו, וכ"כ באו"ה שהם פירשו דברי האגודה כפשוטן ולא כמו שדחק רש"ל בפירושן, גם בפירוש דברי מהרי"ל נדחק רש"ל לחלק בין מילוי בין עור ובשר למילוי בתוכו ואינו במשמע הלשון לחלק בין מילוי למילוי, גם מ"ש דכיון שהלב נחבא בתוכן מיקרי איסור הדבוק לא מסתבר לומר כן, ע"כ נראה דהעיקר כדברי רמ"א דכל מילוי ביצים נחשב כבישול ממש ומהני במקום ששאר בשר מהני לבטל אם אין דבוק בעוף אלא מונח בתוכו, ואם היה דבוק צריך בעוף עצמו ס' ואז הכל שרי, ומי שלבו נוקפו להחמיר יחמיר דוקא במילוי ביצים בתוך החלל לאסור אותם לחוד אף בדאיכא ס' אבל לא העוף כי די לנו בחומרא זו, ט"ז (סק"י).</w:t>
      </w:r>
    </w:p>
  </w:footnote>
  <w:footnote w:id="527">
    <w:p w14:paraId="6FB39D9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כלומר כנגד כל לבו לא כנגד דם שבחללו לבד וכן הוכחתי בספרי מדברי הרבה פוסקים ע"ש והלכך אפי' לב שלם שלא נמלח או לב שנאסר ונתבשל עם עוף שלו וכיוצא בו מותר דהעוף הוא ששים נגד כל לבו, ש"ך (סקט"ז).</w:t>
      </w:r>
    </w:p>
  </w:footnote>
  <w:footnote w:id="528">
    <w:p w14:paraId="58B2549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אין ר"ל דאילו לא היה בעוף ס' כנגד לבו היה העוף אסור אפי' אם יש בו עם הקדרה לבטל הלב בששים, וכדכתב הר"ב, דהא ס"ל להמחבר לקמן סי' צ"ב ס"ד דלא אמרינן חנ"נ רק בבשר בחלב</w:t>
      </w:r>
      <w:r w:rsidRPr="005C6730">
        <w:rPr>
          <w:rFonts w:asciiTheme="minorBidi" w:hAnsiTheme="minorBidi"/>
          <w:color w:val="FF0000"/>
          <w:sz w:val="14"/>
          <w:szCs w:val="14"/>
          <w:rtl/>
        </w:rPr>
        <w:t xml:space="preserve"> (צל"ע שהרי גם הדרכ"מ אמר שאינו אסור מטעם חנ"נ אלא מטעמו של הטור)</w:t>
      </w:r>
      <w:r w:rsidRPr="005C6730">
        <w:rPr>
          <w:rFonts w:asciiTheme="minorBidi" w:hAnsiTheme="minorBidi"/>
          <w:rtl/>
        </w:rPr>
        <w:t xml:space="preserve">, אלא מילי מילי קאמר וה"ק אין עוף שלא יהא בו ס' נגד לבו ולא בעינן לצירוף שאר דברים בקדרה כשהעוף שלם ומותר אפי' הוא דבוק בעוף ואפי' אין בחתיכה הדבוקה בו ס' אלא ע"י צירוף הקדרה מטעם דלא אמרינן חנ"נ בשאר איסורים ועוד דלא נאסרה החתיכה קודם לכן ועתה אינה ממהרת יותר לבלוע משאר דברים שבקדרה זאת היא דעת המחבר וכ"ה דעת הרשב"א והטור, ש"ך </w:t>
      </w:r>
      <w:r w:rsidRPr="005C6730">
        <w:rPr>
          <w:rFonts w:asciiTheme="minorBidi" w:hAnsiTheme="minorBidi"/>
          <w:sz w:val="16"/>
          <w:szCs w:val="16"/>
          <w:rtl/>
        </w:rPr>
        <w:t>(סקט"ו)</w:t>
      </w:r>
      <w:r w:rsidRPr="005C6730">
        <w:rPr>
          <w:rFonts w:asciiTheme="minorBidi" w:hAnsiTheme="minorBidi"/>
          <w:rtl/>
        </w:rPr>
        <w:t>.</w:t>
      </w:r>
    </w:p>
  </w:footnote>
  <w:footnote w:id="529">
    <w:p w14:paraId="4C642CD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בתשו' ר"י מינץ (סי' ט"ו) מיקל יותר להתיר העוף גם כשהוא בלא כנפים ורגלים דאפי' הכי מיקרי עוף שלם, וראיה מדכתב המרדכי ואם העוף מנותח לנתחים והלב דבוק בחתיכה ואין בחתיכה ס' לבטל דם הלב כו', אלמא דנמצא חתיכה אחת שיש בה ס' נגד דם הלב הרי שבשופי יש הרבה יותר בעוף שלם מן דם הלב כו', וכתב שם אם היה העוף לפניו היה משער במראית העין, ומש"ה לא נקיט רמ"א כאן רק ראש ורגלים שזה א"צ לעיין בו אפי' העוף לפנינו, וכן דעת בעל דרישה להקל בזה עכ"פ היכא שיש עוד איזה צד לקולא, דהיינו שאנו משערים ס' בכל החתיכה היכא שיש איסור דבוק שהוא עצמו חומרא, ונ"ל עוד דגם בלא העור עליה יש להקל שהרי גם בתרנגולת אמרו כן ושם העור דבר מועט ממילא ה"ה נמי בעור אווז שהופשטה, ט"ז (סק"ט).</w:t>
      </w:r>
    </w:p>
  </w:footnote>
  <w:footnote w:id="530">
    <w:p w14:paraId="3A1974A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מדברי מהרש"ל </w:t>
      </w:r>
      <w:r w:rsidRPr="005C6730">
        <w:rPr>
          <w:rFonts w:asciiTheme="minorBidi" w:hAnsiTheme="minorBidi"/>
          <w:sz w:val="16"/>
          <w:szCs w:val="16"/>
          <w:rtl/>
        </w:rPr>
        <w:t xml:space="preserve">(באו"ש ובספרו פכ"ה סי' מ"ט) </w:t>
      </w:r>
      <w:r w:rsidRPr="005C6730">
        <w:rPr>
          <w:rFonts w:asciiTheme="minorBidi" w:hAnsiTheme="minorBidi"/>
          <w:rtl/>
        </w:rPr>
        <w:t>מתוך מה שפירש דברי המרדכי וסמ"ג</w:t>
      </w:r>
      <w:r w:rsidRPr="005C6730">
        <w:rPr>
          <w:rFonts w:asciiTheme="minorBidi" w:hAnsiTheme="minorBidi"/>
          <w:sz w:val="16"/>
          <w:szCs w:val="16"/>
          <w:rtl/>
        </w:rPr>
        <w:t xml:space="preserve"> (דלקמן סקי"ט)</w:t>
      </w:r>
      <w:r w:rsidRPr="005C6730">
        <w:rPr>
          <w:rFonts w:asciiTheme="minorBidi" w:hAnsiTheme="minorBidi"/>
          <w:rtl/>
        </w:rPr>
        <w:t xml:space="preserve"> נראה דאם בתוך הרוטב דרך בישול נצטמק הלב בחתיכה מיקרי איסור דבוק וצריך בחתיכה עצמה ששים לבטל הלב, ואין דבריו מוכרחים, גם א"צ לפרש כלל דברי המרדכי וסמ"ג כן, כמ"ש בספרי ע"ש, ש"ך (סקי"ז).</w:t>
      </w:r>
    </w:p>
  </w:footnote>
  <w:footnote w:id="531">
    <w:p w14:paraId="7D9DBD4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הטעם דאותה חתיכה שהאיסור דבוק בה ממהרת לבלוע האיסור תחלה ונעשית מיד נבלה, וכל זה לא מיירי אלא לענין שאר דברים שבקדרה אבל הלב אסור לעולם אפי' יש בעוף עצמו ששים כנגדו משום דלפעמים הדם מתיבש בתוך חללו ואינו יוצא לחוץ, וכמו שכתבתי בסק"ז, ש"ך (סקי"ח). וזה דעת המרדכי שמביא בדרכ"מ (אות ו) דס"ל בכל איסור דבוק דנ"נ כמ"ש סי' צ"ב, אבל בטור כתוב בשם י"א דחיישינן שמא אותה חתיכה לבדה נשארה ברוטב ונאסרה וחזרה ואוסרת האחרת ולא נהירא דלמה נחוש לזה עכ"ל והטור לטעמיה דפסק בסי' צ"ב דלא אמרינן חתיכה עצמה נ"נ אלא בבשר בחלב אלא דכאן טעם י"א לאסור דשמא החתיכה נאסרה ואסרה האחרות ולא היה שם ששים ודחה הטור את זה דאמאי נחזיק ריעותא לומר כן והטעם שדם שבישלו אינו אלא מדרבנן וה"ל ספיקא דרבנן, ואין זה דומה למ"ש הטור סימן ק"ז גבי דגים דחיישינן שמא נשארו כו' דשם יש איסור דאורייתא וה"ה כאן בחתיכת בשר שנדבק בה חלב שנתבשל עם שאר חתיכות ויש מקום לחוש שמא היתה עם החתיכה אחרת אחת לבד בלי תערובת אחרים ודאי חיישינן כמו בדגים דלקמן ובחנם האריך בעל הדרישה בחילוקים דחוקים בזה, ט"ז (סק"י). </w:t>
      </w:r>
    </w:p>
  </w:footnote>
  <w:footnote w:id="532">
    <w:p w14:paraId="277341F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ז"ל העט"ז- וביש ספרים מצאתי מסיימים אבל אין לך בהמה שהיא ששים נגד לבה כך מצאתי ואינו נ"ל ובודאי טעות גמור הוא דהא לפי אומדנא קלה עינינו רואות שיש בבהמה ג"כ ששים ויותר עכ"ל, ומה אעשה שלא עיין בדרכ"מ ובת"ח כלל כ"ז דין ו' שכתב שם הרב כן בשם או"ה, וכן הוא באו"ה כלל ט"ו ד"ד, והכי משמע (בסה"ת ותשוב' מהר"מ סי' תרי"ו ותשו' מיי' ואגור) בסמ"ג ובמרדכי גבי מעשה בטלה א' שנמלח ונתבשל עם הלב והשיב ר"י דאם יש ששים במים ובטלה נגד הלב מותר אך לא נתיר עתה מטעם זה לפי שרש"י היה משער בכל החתיכה שדבוק בה ע"כ, ולענין מ"ש דהא לפי אומדנא קלה כו' נראה דכיון דבבהמה הדרך להסיר הראש וכרעיו וקרבו גם צריך לנקרה מן החלב וגיד הנשה גם מפשיטות עורה (דהעוף דוקא עם עור שלו הוא ששים נגד לבו וכמ"ש בס"ק ט"ו) א"כ אדרבה לפי האומדנא אין כאן ס' וכ"כ רנ"ש במ"ש, ש"ך (סקי"ט).</w:t>
      </w:r>
    </w:p>
  </w:footnote>
  <w:footnote w:id="533">
    <w:p w14:paraId="0BB7175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אבל פשיטא דאם בשלוה בלא קריעה דמותר בדיעבד, ש"ך (סק"כ).</w:t>
      </w:r>
    </w:p>
  </w:footnote>
  <w:footnote w:id="534">
    <w:p w14:paraId="0A06762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מה אתם נוהגין בו- מותר לבשל בקדרה או אסור מפני שפולט דם ואע"פ שכולו דם אפ"ה לאחר שפירש ויצא הרי הוא דם ואסור, רש"י. וכ' הרא"ש (סי' כז)- מתוך פירוש רש"י משמע דלבשלו בקדרה אחר מליחה קאמר ומספקא ליה משום דיש בו ריבוי דם ושמא אין כח במלח להפליט כל הדם וכשהוא מבשלו חוזר הדם ונבלע בתוכו. ור"ת (תוס' ד"ה כבדא) פירש דלא מספקא ליה אם מותר לבשלו אחר מליחה דמילתא דפשיטא היא שמותר כמו שנהגו לבשל אחר צלייה דמליחה מפלטת כמו צלייה אלא כי קא מיבעיא ליה אי שרי לבשלו עם הבשר בלא מליחה דכוליה דם הוא ושרייה רחמנא.</w:t>
      </w:r>
    </w:p>
  </w:footnote>
  <w:footnote w:id="535">
    <w:p w14:paraId="34EFE6C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ובעא מיניה, רש"י.</w:t>
      </w:r>
    </w:p>
  </w:footnote>
  <w:footnote w:id="536">
    <w:p w14:paraId="727518A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 זריקא, רש"י.</w:t>
      </w:r>
    </w:p>
  </w:footnote>
  <w:footnote w:id="537">
    <w:p w14:paraId="113F15D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בשלתי לו הכבד ואכלו, רש"י.</w:t>
      </w:r>
    </w:p>
  </w:footnote>
  <w:footnote w:id="538">
    <w:p w14:paraId="3C35668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רב ספרא לגבי דאביי סיפר לו מה ששמע, ע"פ רש"י.</w:t>
      </w:r>
    </w:p>
  </w:footnote>
  <w:footnote w:id="539">
    <w:p w14:paraId="67AAC37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אביי, רש"י.</w:t>
      </w:r>
    </w:p>
  </w:footnote>
  <w:footnote w:id="540">
    <w:p w14:paraId="1D1ACE6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שיהא דם הנפלט ממנה חוזר לתוכה ואוסרת, רש"י.</w:t>
      </w:r>
    </w:p>
  </w:footnote>
  <w:footnote w:id="541">
    <w:p w14:paraId="286D3B8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דפשיטא לי דכיון דטרודה היא לפלוט ולהוציא כל שעה לא בלעה, רש"י.</w:t>
      </w:r>
    </w:p>
  </w:footnote>
  <w:footnote w:id="542">
    <w:p w14:paraId="0190A7E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אם דם היוצא ממנה אוסר בשר אחר המתבשל עמו, רש"י.</w:t>
      </w:r>
    </w:p>
  </w:footnote>
  <w:footnote w:id="543">
    <w:p w14:paraId="2585C27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כלומר מדפשוט לך בדידה דשריא אלמא שמיעא לך הא מתני' אם כן למיסר נמי חבירתה לא תיבעי לך דהא הך משנה גופה תנן בה דאוסרת ובסדר זרעים היא, רש"י.</w:t>
      </w:r>
    </w:p>
  </w:footnote>
  <w:footnote w:id="544">
    <w:p w14:paraId="1782845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כגון דטרפה, רש"י.</w:t>
      </w:r>
    </w:p>
  </w:footnote>
  <w:footnote w:id="545">
    <w:p w14:paraId="051B973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קאמר דאוסרת את המתבשל עמה לפי שבולע מן הטרפה ואינה נאסרת אם של היתר היא ובשלה עם טרפה אינה נאסרת לפי שטרודה לפלוט כל שעה ואינה בולעת כלום אבל דמא דנפיק מינה דכשרה מיבעיא לי אי אסיר אחריני אי לא דאיכא למימר דמא דהיתירא הוא שהרי עיקרה דם וכל זמן שלא פירש פשיטא לי דמותר וכי פירש מיבעיא לי מאי, רש"י.</w:t>
      </w:r>
    </w:p>
  </w:footnote>
  <w:footnote w:id="546">
    <w:p w14:paraId="0E8420F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הקנה עם כל המחובר לו הריאה והלב וכבד וכולן נתבשלו יחד, רש"י.</w:t>
      </w:r>
    </w:p>
  </w:footnote>
  <w:footnote w:id="547">
    <w:p w14:paraId="7DF22E2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וסימפוני הכבד שופכין דרך קנה הכבד לתוך קנה הגדול של ריאה ויוצא דם דרך חללו חוץ לקדרה, רש"י.</w:t>
      </w:r>
    </w:p>
  </w:footnote>
  <w:footnote w:id="548">
    <w:p w14:paraId="4EE0DAF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ונתבשל דמו בתוכו כדי שלא יפלוט עוד כשיבשלהו עם האחר ודמו המובלע בתוכו מותר כל זמן שלא יצא, רש"י.</w:t>
      </w:r>
    </w:p>
  </w:footnote>
  <w:footnote w:id="549">
    <w:p w14:paraId="233CA9F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צומתו בחומץ שהחומץ צומתו אשטרוינ"ט ושוב אינו פולט עולמית והדר מבשלי ליה עם בשר אחר, רש"י.</w:t>
      </w:r>
    </w:p>
  </w:footnote>
  <w:footnote w:id="550">
    <w:p w14:paraId="6951551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אמרו לו לרב נחמן תלמיד שנתארח אצלך אינו אוכל מה שהביאו לפניו, רש"י.</w:t>
      </w:r>
    </w:p>
  </w:footnote>
  <w:footnote w:id="551">
    <w:p w14:paraId="7039ACC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הגמיאהו והלעיטהו לשבא על כרחו על שם אביו קראו, רש"י.</w:t>
      </w:r>
    </w:p>
  </w:footnote>
  <w:footnote w:id="552">
    <w:p w14:paraId="6FA5C67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התבלין מרככין אותה, רש"י.</w:t>
      </w:r>
    </w:p>
  </w:footnote>
  <w:footnote w:id="553">
    <w:p w14:paraId="45BCFA8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הרבה מאד, רש"י.</w:t>
      </w:r>
    </w:p>
  </w:footnote>
  <w:footnote w:id="554">
    <w:p w14:paraId="7DE4321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לפי שלאחר שגמרה פליטתה חוזרת ובולעת, רש"י.</w:t>
      </w:r>
    </w:p>
  </w:footnote>
  <w:footnote w:id="555">
    <w:p w14:paraId="36633BE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אף על פי שדם הנבלע בו היתר הוא מיהו דם הכנוס בסמפונות דם הוא, רש"י.</w:t>
      </w:r>
    </w:p>
  </w:footnote>
  <w:footnote w:id="556">
    <w:p w14:paraId="17FEF8B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חתוכו למטה כשנתנוהו בתנור לצלות כדי שיזוב הדם ויצא, רש"י. אך התוס' </w:t>
      </w:r>
      <w:r w:rsidRPr="005C6730">
        <w:rPr>
          <w:rFonts w:asciiTheme="minorBidi" w:hAnsiTheme="minorBidi"/>
          <w:sz w:val="16"/>
          <w:szCs w:val="16"/>
          <w:rtl/>
        </w:rPr>
        <w:t xml:space="preserve">(קיא. ד"ה וחתוכיה) </w:t>
      </w:r>
      <w:r w:rsidRPr="005C6730">
        <w:rPr>
          <w:rFonts w:asciiTheme="minorBidi" w:hAnsiTheme="minorBidi"/>
          <w:rtl/>
        </w:rPr>
        <w:t xml:space="preserve">והרא"ש פירשו דקרעוה שתי וערב וחיתוכיה לתחת על מנת לבשלו בקדרה אחר צלייה, או אחר מליחה לפירוש ר"ת </w:t>
      </w:r>
      <w:r w:rsidRPr="005C6730">
        <w:rPr>
          <w:rFonts w:asciiTheme="minorBidi" w:hAnsiTheme="minorBidi"/>
          <w:sz w:val="16"/>
          <w:szCs w:val="16"/>
          <w:rtl/>
        </w:rPr>
        <w:t>(דאי לאכלו צלי למה לי לחתוכיה ליה, אי נפלט הדם שריק ונפיל, ואי לא נפלט הוה ליה דם האיברים שלא פירש, ואי משום סמפוני הכבד- צריך קריעה אף לצלי, דההוא דם הוי בכרת אע"פ שלא פירש דמעלמא אתא ונכנס לתוך הסמפונות, א"כ בטחול נמי אי איכא סמפונות למה לא יצטרך קריעה, ואי אין סמפונות בטחול א"כ מה בא להשמיענו אבל טחלא לא)</w:t>
      </w:r>
      <w:r w:rsidRPr="005C6730">
        <w:rPr>
          <w:rFonts w:asciiTheme="minorBidi" w:hAnsiTheme="minorBidi"/>
          <w:rtl/>
        </w:rPr>
        <w:t>.</w:t>
      </w:r>
    </w:p>
  </w:footnote>
  <w:footnote w:id="557">
    <w:p w14:paraId="2B97995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דבעי קריעה בכבדא מפני שדם כנוס לתוכו אבל טחלא אין בו דם ואפילו לקדרה שרי, רש"י.</w:t>
      </w:r>
    </w:p>
  </w:footnote>
  <w:footnote w:id="558">
    <w:p w14:paraId="71E2357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משום דרוב פעמים אין הכבד מתבשל לבדו אלא עם דברים אחרים, כשבאו הגאונים לגזור על החליטה לא ראו להניח מקום לבשל כבד לבדו שחשו שמא יבואו לבשלו עם דברים אחרים כמו שהוא מנהג בני אדם ונמצאת תקנתם נעקרת ולכן גזרו סתם שלא לבשלו אלא ע"י צלייה תחלה.</w:t>
      </w:r>
    </w:p>
  </w:footnote>
  <w:footnote w:id="559">
    <w:p w14:paraId="0E29B2B5" w14:textId="77777777" w:rsidR="004C5A3C" w:rsidRPr="005C6730" w:rsidRDefault="004C5A3C" w:rsidP="002C39F4">
      <w:pPr>
        <w:spacing w:after="0" w:line="240" w:lineRule="auto"/>
        <w:rPr>
          <w:rFonts w:asciiTheme="minorBidi" w:hAnsiTheme="minorBidi"/>
          <w:sz w:val="20"/>
          <w:szCs w:val="20"/>
        </w:rPr>
      </w:pPr>
      <w:r w:rsidRPr="005C6730">
        <w:rPr>
          <w:rStyle w:val="a7"/>
          <w:rFonts w:asciiTheme="minorBidi" w:hAnsiTheme="minorBidi"/>
          <w:sz w:val="20"/>
          <w:szCs w:val="20"/>
        </w:rPr>
        <w:footnoteRef/>
      </w:r>
      <w:r w:rsidRPr="005C6730">
        <w:rPr>
          <w:rFonts w:asciiTheme="minorBidi" w:hAnsiTheme="minorBidi"/>
          <w:sz w:val="20"/>
          <w:szCs w:val="20"/>
          <w:rtl/>
        </w:rPr>
        <w:t xml:space="preserve"> דאע"פ שהדעת נוטה לסברת ר"ת מ"מ לא נהגו כן כדי לחוש לדברי האוסרים, ומאחר שלא נהגו כך מן הדין אלא משום חששא בעלמא לדברי האוסרים- בדיעבד מיהא לא מחמרינן ביה.</w:t>
      </w:r>
    </w:p>
  </w:footnote>
  <w:footnote w:id="560">
    <w:p w14:paraId="70B97E2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דלקדרה לא מהניא ליה חתיכה, ולצלייה לא צריך חתיכה כמו שיתבאר דנורא מישב שייב אפילו דם שבסמפונות </w:t>
      </w:r>
      <w:r w:rsidRPr="005C6730">
        <w:rPr>
          <w:rFonts w:asciiTheme="minorBidi" w:hAnsiTheme="minorBidi"/>
          <w:sz w:val="16"/>
          <w:szCs w:val="16"/>
          <w:rtl/>
        </w:rPr>
        <w:t>(כמו שנתבאר בסימן ס"ה (ק. ד"ה ומ"ש רבינו ומליחה) שהוא דעת רוב הפוסקים דלא אמרו שצריך לחתוך חוטין שיש בהם דם אלא לקדרה אבל לא לצלי)</w:t>
      </w:r>
      <w:r w:rsidRPr="005C6730">
        <w:rPr>
          <w:rFonts w:asciiTheme="minorBidi" w:hAnsiTheme="minorBidi"/>
          <w:rtl/>
        </w:rPr>
        <w:t>, אלא לחליטה קאמר רבה בר רב הונא, וכן נראה ממה שכתב 'הכבד שחתכה והשליכה לתוך החומץ או לתוך מים רותחים', וכן פירש הה"מ ז"ל (שם), וטעמא משום שהחליטה אינה מועלת אלא להצמית דם שבכבד עצמו דליהוי כדם האיברים שלא פירש, אבל לדם שבסמפונות דהוי ככנוס בכלי לא מהניא מידי, ולפיכך צריך לחתוך הכבד כדי שיצא אותו הדם, ב"י.</w:t>
      </w:r>
    </w:p>
  </w:footnote>
  <w:footnote w:id="561">
    <w:p w14:paraId="1728908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דבאיזה מהם יוצא כל דם שבסמפונות, ב"י.</w:t>
      </w:r>
    </w:p>
  </w:footnote>
  <w:footnote w:id="562">
    <w:p w14:paraId="0A3E660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כעין חתך דשתי וערב שהוא מעבר לעבר, שאם אין החתך בענין זה ישארו קצת סמפונות בלא חתך, ומפני כך כתב סתם הדבר אם חתכה ולא כתב אם חתכה שתי וערב ולא הוצרך להזכיר שיהא החתך בכל האורך או בכל הרוחב, דכיון דאין צריך לחתכה אלא מפני דם שבסמפונות ממילא משמע שצריך שיהיה על פני כל האורך או כל הרוחב שאל"כ איכא למיחש שישארו קצת סמפונות, ומטעם זה לא הוצרך לכתוב שיהיה חיתוכיה לתחת, שמאחר שאין צריך לחתכה אלא מפני דם הכנוס בסמפונות פשיטא שבעת חיתוכה ישים החתך לצד מטה עד שיזוב הדם, דאל"כ מה הועיל בחיתוכו, ב"י. </w:t>
      </w:r>
    </w:p>
  </w:footnote>
  <w:footnote w:id="563">
    <w:p w14:paraId="16DD47E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דס"ל דלא קיי"ל כרבי יוחנן בן נורי אלא כרבי ישמעאל בנו של רבי יוחנן בן ברוקה דאמר שלוקה אוסרת ונאסרת, וכדאמר' בגמ' </w:t>
      </w:r>
      <w:r w:rsidRPr="005C6730">
        <w:rPr>
          <w:rFonts w:asciiTheme="minorBidi" w:hAnsiTheme="minorBidi"/>
          <w:sz w:val="16"/>
          <w:szCs w:val="16"/>
          <w:rtl/>
        </w:rPr>
        <w:t>(קיא.)</w:t>
      </w:r>
      <w:r w:rsidRPr="005C6730">
        <w:rPr>
          <w:rFonts w:asciiTheme="minorBidi" w:hAnsiTheme="minorBidi"/>
          <w:rtl/>
        </w:rPr>
        <w:t xml:space="preserve">, וטעמא משום דמשמע ליה ז"ל דנהי דאביי כי איבעיא ליה כבדא מה אתון ביה </w:t>
      </w:r>
      <w:r w:rsidRPr="005C6730">
        <w:rPr>
          <w:rFonts w:asciiTheme="minorBidi" w:hAnsiTheme="minorBidi"/>
          <w:sz w:val="16"/>
          <w:szCs w:val="16"/>
          <w:rtl/>
        </w:rPr>
        <w:t>(היינו לומר אי סגי ליה לקדרה בקריעה ומליחה או לא)</w:t>
      </w:r>
      <w:r w:rsidRPr="005C6730">
        <w:rPr>
          <w:rFonts w:asciiTheme="minorBidi" w:hAnsiTheme="minorBidi"/>
          <w:rtl/>
        </w:rPr>
        <w:t xml:space="preserve">, מ"מ בהא דא"ר זריקא אנא שלקי לרבי אמי ואכל איכא לספוקי דילמא ע"י חליטה קאמר ורב ספרא הוא דלא דק במילתא </w:t>
      </w:r>
      <w:r w:rsidRPr="005C6730">
        <w:rPr>
          <w:rFonts w:asciiTheme="minorBidi" w:hAnsiTheme="minorBidi"/>
          <w:sz w:val="16"/>
          <w:szCs w:val="16"/>
          <w:rtl/>
        </w:rPr>
        <w:t>(כדאתקיף רב אשי... על כרחך רב ספרא לא דק במילתא, או מספקא לן דילמא לא דק במילתא)</w:t>
      </w:r>
      <w:r w:rsidRPr="005C6730">
        <w:rPr>
          <w:rFonts w:asciiTheme="minorBidi" w:hAnsiTheme="minorBidi"/>
          <w:rtl/>
        </w:rPr>
        <w:t>, וכיון שכן ליכא למיפשט מדרב ספרא מידי, וכיון דאשכחן דרב הונא ורב נחמן חלטי להו משמע דלא מהניא ביה קריעה ומליחה לקדרה כלל, דכל שלא חלטו ואפילו בשלו לבדו אסור כרבי ישמעאל בנו של רבי יוחנן בן ברוקה דאמר שלוקה אוסרת ונאסרת, לפי שאחר שגמרה פליטתה חוזרת ובולעת, ב"י</w:t>
      </w:r>
      <w:r w:rsidRPr="005C6730">
        <w:rPr>
          <w:rFonts w:asciiTheme="minorBidi" w:hAnsiTheme="minorBidi"/>
          <w:sz w:val="16"/>
          <w:szCs w:val="16"/>
          <w:rtl/>
        </w:rPr>
        <w:t xml:space="preserve"> {ע"ש שהאריך}</w:t>
      </w:r>
      <w:r w:rsidRPr="005C6730">
        <w:rPr>
          <w:rFonts w:asciiTheme="minorBidi" w:hAnsiTheme="minorBidi"/>
          <w:rtl/>
        </w:rPr>
        <w:t>.</w:t>
      </w:r>
    </w:p>
  </w:footnote>
  <w:footnote w:id="564">
    <w:p w14:paraId="421D351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אא"כ חלטו, אבל מליחה לא מהניא ביה מידי, ב"י. (ולגבי הכבד עצמו אם הוא מותר בדיעבד לאחר</w:t>
      </w:r>
      <w:r w:rsidRPr="005C6730">
        <w:rPr>
          <w:rFonts w:asciiTheme="minorBidi" w:hAnsiTheme="minorBidi"/>
          <w:u w:val="single"/>
          <w:rtl/>
        </w:rPr>
        <w:t xml:space="preserve"> בישול</w:t>
      </w:r>
      <w:r w:rsidRPr="005C6730">
        <w:rPr>
          <w:rFonts w:asciiTheme="minorBidi" w:hAnsiTheme="minorBidi"/>
          <w:rtl/>
        </w:rPr>
        <w:t xml:space="preserve"> </w:t>
      </w:r>
      <w:r w:rsidRPr="005C6730">
        <w:rPr>
          <w:rFonts w:asciiTheme="minorBidi" w:hAnsiTheme="minorBidi"/>
          <w:sz w:val="14"/>
          <w:szCs w:val="14"/>
          <w:rtl/>
        </w:rPr>
        <w:t xml:space="preserve">[דאי לאחר מליחה כר"ת כ' הב"י בהדיא דאסרי] </w:t>
      </w:r>
      <w:r w:rsidRPr="005C6730">
        <w:rPr>
          <w:rFonts w:asciiTheme="minorBidi" w:hAnsiTheme="minorBidi"/>
          <w:rtl/>
        </w:rPr>
        <w:t xml:space="preserve">- יש חילוק בין הרמב"ם לרי"ף, שלרמב"ם אסור, כדכ' הב"י, ולרי"ף מותר, כדכ' הרא"ש לקמן) </w:t>
      </w:r>
    </w:p>
  </w:footnote>
  <w:footnote w:id="565">
    <w:p w14:paraId="7589FBE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דנורא מישב שייב, ולחליטה הוא דאמרינן בגמרא דבעי קריעה כדפרישית, ב"י.</w:t>
      </w:r>
    </w:p>
  </w:footnote>
  <w:footnote w:id="566">
    <w:p w14:paraId="4991E39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 הר"ן בשמם דכולה סוגיא אליבא דרבי יוחנן בן נורי איתמר, אבל רבנן פליגי עליה התם וסברי דכבד נאסרת, ולפיכך לרבנן-...</w:t>
      </w:r>
    </w:p>
  </w:footnote>
  <w:footnote w:id="567">
    <w:p w14:paraId="7CD5493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והא דאמר להו קרעוה שתי וערב וחיתוכיה לתחת היינו בשעת מליחה ולהתירו לקדרה אליבא דרבי יוחנן בן נורי, אבל לדידן דלא קיי"ל כוותיה ולא שריא אלא לצלי אינה צריכה קריעה שתי וערב, ר"ן בשמם.</w:t>
      </w:r>
    </w:p>
  </w:footnote>
  <w:footnote w:id="568">
    <w:p w14:paraId="1D66744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דהא באומצא ביעי ומזרקי אמרינן לעיל (צג:) תלייה בשפודא מידב דייב- אלמא לצלי לא בעי חתיכה כלל, ר"ן.</w:t>
      </w:r>
    </w:p>
  </w:footnote>
  <w:footnote w:id="569">
    <w:p w14:paraId="7E87DC1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דקריעה לא מהניא אלא לדם הסמפונות אבל לדם כבד עצמו לא, ואע"ג דשרא לן כבדא לא שרא לן דם הפורש ממנו. </w:t>
      </w:r>
      <w:r w:rsidRPr="005C6730">
        <w:rPr>
          <w:rFonts w:asciiTheme="minorBidi" w:hAnsiTheme="minorBidi"/>
          <w:sz w:val="16"/>
          <w:szCs w:val="16"/>
          <w:rtl/>
        </w:rPr>
        <w:t xml:space="preserve">(לכאורה משמע מלשון הר"ן שמותר לבשל את הכבד בפני עצמו ע"י שקורעו ומניחו לתחת) </w:t>
      </w:r>
    </w:p>
  </w:footnote>
  <w:footnote w:id="570">
    <w:p w14:paraId="3D12B0A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ואחר שכ' הר"ן הסבר זה בדברי הגמ' כ'- ועדיין אין דעתי מתיישבת וכו'. ואז פירש אחרת ע"פ דברי הרי"ף והרמב"ם, ולאחמ"כ הקשה על פירושם, וסיכם דבריו וז"ל- אבל השיטה המחוורת אצלי היא אותה שפירשתי למעלה</w:t>
      </w:r>
      <w:r w:rsidRPr="005C6730">
        <w:rPr>
          <w:rFonts w:asciiTheme="minorBidi" w:hAnsiTheme="minorBidi"/>
          <w:sz w:val="16"/>
          <w:szCs w:val="16"/>
          <w:rtl/>
        </w:rPr>
        <w:t xml:space="preserve"> {היינו שיטה זו}</w:t>
      </w:r>
      <w:r w:rsidRPr="005C6730">
        <w:rPr>
          <w:rFonts w:asciiTheme="minorBidi" w:hAnsiTheme="minorBidi"/>
          <w:rtl/>
        </w:rPr>
        <w:t>.</w:t>
      </w:r>
    </w:p>
  </w:footnote>
  <w:footnote w:id="571">
    <w:p w14:paraId="110FB1F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דאגב חתיכה ומליחה נפיק מיניה דמא שפיר, מדקאמר אמאי עבדיתו הכי ולא אסר להו ש"מ דכבד גופיה שרי מדינא דגמרא אלא דדם שבסמפונות עצמן אע"פ שלא פירש הרי הוא ככנוס בכלי ואסור, ומשום הכי אמר להו אמאי עבדיתו הכי דהא איכא למיחש דילמא אכיל לסמפונות דיליה דמליאן דמא. </w:t>
      </w:r>
    </w:p>
  </w:footnote>
  <w:footnote w:id="572">
    <w:p w14:paraId="222A11A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יש לציין שהרמב"ן כ' שמעבר להא דשדרו ממתיבתא דאין אנו בקיאין בחליטה, חששו ממתיבתא לשמא לא יקרע שתי וערב ויניח חתוכו לתחת בשעת מליחה כשיעור מליחה, ואעפ"כ התיר הרמב"ן בדיעבד, כדלקמן.</w:t>
      </w:r>
    </w:p>
  </w:footnote>
  <w:footnote w:id="573">
    <w:p w14:paraId="42F4798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דכיון שקרעו שתי וערב ומלחו וחיתוכיה לתחת שוב אין נפלט ממנו דם שיאסור את המתבשל עמו בדיעבד.</w:t>
      </w:r>
    </w:p>
  </w:footnote>
  <w:footnote w:id="574">
    <w:p w14:paraId="37E80B6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שזה שהצריכוהו צלייה חששת האחרונים היא שמא לא יחתכנו יפה או לא ישים חיתוכו למטה ובחששת האחרונים כזו אין מדקדקין בה להחמיר בדיעבד אלא להקל שהתורה חסה על ממונן של ישראל וכן הורו רבותי, רשב"א (שם). וכ' הר"ן- ותמיהני לפי דבריהם נהי דלא בקיאינן בחליטה- בקריעה ומליחה ודאי בקיאינן, דהא אומצא דאסמיק (צג:) בחתיכה ומליחה שרי ולא מצינו שאסרוהו הגאונים, ואף בכבד נמי לא שדרו ממתיבתא אלא דלא בקיאינן בחליטה, וא"כ למה כתב הרי"ף דלא שרי למיכל כבדא שליקא אלא היכא דטוו ליה מעיקרא. עכ"ל. וכ' הב"י דמתוך דברי הרשב"א הנ"ל נתיישבה תמיהת הר"ן (לט: ד"ה גרסי' תו) והה"מ (פ"ו ה"ז) על שיטת הראשונים למה אסרו הכבד בקריעה ומליחה.</w:t>
      </w:r>
    </w:p>
  </w:footnote>
  <w:footnote w:id="575">
    <w:p w14:paraId="5C0A9847" w14:textId="77777777" w:rsidR="004C5A3C" w:rsidRDefault="004C5A3C" w:rsidP="002C39F4">
      <w:pPr>
        <w:pStyle w:val="a5"/>
      </w:pPr>
      <w:r>
        <w:rPr>
          <w:rStyle w:val="a7"/>
        </w:rPr>
        <w:footnoteRef/>
      </w:r>
      <w:r>
        <w:rPr>
          <w:rtl/>
        </w:rPr>
        <w:t xml:space="preserve"> </w:t>
      </w:r>
      <w:r w:rsidRPr="001461F0">
        <w:rPr>
          <w:rtl/>
        </w:rPr>
        <w:t>ואם צלאו שלם ולא חתכו כולו מותר חוץ מן הסמפונות</w:t>
      </w:r>
      <w:r>
        <w:rPr>
          <w:rFonts w:hint="cs"/>
          <w:rtl/>
        </w:rPr>
        <w:t>, ר"ן.</w:t>
      </w:r>
      <w:r w:rsidRPr="001461F0">
        <w:rPr>
          <w:rFonts w:hint="cs"/>
          <w:color w:val="00B0F0"/>
          <w:rtl/>
        </w:rPr>
        <w:t xml:space="preserve"> (וכ"פ הרמ"א)</w:t>
      </w:r>
    </w:p>
  </w:footnote>
  <w:footnote w:id="576">
    <w:p w14:paraId="1D80D38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וז"ל- מש"כ הרי"ף זה הלשון דלא שרי למיכל כבדא שליקא- לא שבא לאסרו אם נעשה כך דמסתמא הלכה כמתניתין דתרומות וכר' יוחנן בן נורי דכבד אוסרת ואינה נאסרת, ולא מפליג בין שלוקה למבושלת, וכן רבי אמי שלקו ליה ואכל, אלא אמנהגא דשדרו ממתיבתא קאי ולא שרי לכתחלה למיעבד הכי.</w:t>
      </w:r>
    </w:p>
  </w:footnote>
  <w:footnote w:id="577">
    <w:p w14:paraId="723FC5E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לא במלחו מיירי </w:t>
      </w:r>
      <w:r w:rsidRPr="005C6730">
        <w:rPr>
          <w:rFonts w:asciiTheme="minorBidi" w:hAnsiTheme="minorBidi"/>
          <w:sz w:val="16"/>
          <w:szCs w:val="16"/>
          <w:rtl/>
        </w:rPr>
        <w:t>(דעדיפא מינה כתב בסמוך דאפילו נתבשל עם בשר אחר שרי הכל בדיעבד)</w:t>
      </w:r>
      <w:r w:rsidRPr="005C6730">
        <w:rPr>
          <w:rFonts w:asciiTheme="minorBidi" w:hAnsiTheme="minorBidi"/>
          <w:rtl/>
        </w:rPr>
        <w:t xml:space="preserve">, אלא בלא מלחו איירי דכל כה"ג כל שנתבשל עמו אסור, וקמ"ל דהוא עצמו אינו נאסר, ובזה אין חילוק בין נתבשל בפני עצמו לנתבשל עם בשר אחר אלא דמשום דנחית לאגמורי לן היתרא לא נקטה בבשלו עם בשר אחר דהוה צריך לומר הוא מותר והבשר אסור, וטעמא דהיתרא דכבד הוא משום דאמר אביי למיסר נפשה לא קא מיבעיא לי דודאי שרי, וכדקתני דכבד אינה נאסרת מפני שפולטת ואינה בולעת, ולא מיבעיא לפירוש ר"ת שפירש דהא דקאמר מה אתון ביה לבשלו- בלא מליחה קאמר, אלא אפילו לדברי המפרשים דבמליחה קאמר כיון דסברי דקיי"ל כמאן דאמר אינה נאסרת מפני שאינה בולעת אפילו לא נמלח נמי שרי בדיעבד, שכן דעת הרא"ש דהלכה כמאן דאמר כבד אינה נאסרת, וכן דעת הרשב"א </w:t>
      </w:r>
      <w:r w:rsidRPr="005C6730">
        <w:rPr>
          <w:rFonts w:asciiTheme="minorBidi" w:hAnsiTheme="minorBidi"/>
          <w:sz w:val="16"/>
          <w:szCs w:val="16"/>
          <w:rtl/>
        </w:rPr>
        <w:t>(בתוה"ב קצר שם)</w:t>
      </w:r>
      <w:r w:rsidRPr="005C6730">
        <w:rPr>
          <w:rFonts w:asciiTheme="minorBidi" w:hAnsiTheme="minorBidi"/>
          <w:rtl/>
        </w:rPr>
        <w:t xml:space="preserve">. וכ' עוד הרשב"א </w:t>
      </w:r>
      <w:r w:rsidRPr="005C6730">
        <w:rPr>
          <w:rFonts w:asciiTheme="minorBidi" w:hAnsiTheme="minorBidi"/>
          <w:sz w:val="16"/>
          <w:szCs w:val="16"/>
          <w:rtl/>
        </w:rPr>
        <w:t xml:space="preserve">(בחידו' קיא. ד"ה כתנאי) </w:t>
      </w:r>
      <w:r w:rsidRPr="005C6730">
        <w:rPr>
          <w:rFonts w:asciiTheme="minorBidi" w:hAnsiTheme="minorBidi"/>
          <w:rtl/>
        </w:rPr>
        <w:t>דהא דחלטי ליה לרב הונא ורב נחמן- לבשולי בהדי בשר, אבל לבשולי באפי נפשיה לא חלטי ליה כלל, וכזה מצאתי בדברי רבותינו הצרפתים ז"ל... אע"פ שראיתי להרמב"ם ז"ל (מאכ"א פ"ו ה"ח) שכתב הכבד שבשלה ולא הבהבה באור ולא חלטה בחומץ או ברותחין הרי הקדרה כולה אסורה הכבד וכל שנתבשל עמו ע"כ ולא ידעתי טעם לאיסור הכבד אא"כ הוא גזרת אחרונים עכ"ל.</w:t>
      </w:r>
    </w:p>
  </w:footnote>
  <w:footnote w:id="578">
    <w:p w14:paraId="1398CD7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הה"מ- מ"ש רבינו שאם לא הוכשר לפי דין התלמוד שאוסרת ונאסרת פשוט הוא שאינה אוסרת ביותר מס' לא יהא חמור מדם עצמו ואם יש ס' ודאי שכל השאר מותר. וכ' הא"ח </w:t>
      </w:r>
      <w:r w:rsidRPr="005C6730">
        <w:rPr>
          <w:rFonts w:asciiTheme="minorBidi" w:hAnsiTheme="minorBidi"/>
          <w:sz w:val="16"/>
          <w:szCs w:val="16"/>
          <w:rtl/>
        </w:rPr>
        <w:t xml:space="preserve">(הלמ"א אות צה) </w:t>
      </w:r>
      <w:r w:rsidRPr="005C6730">
        <w:rPr>
          <w:rFonts w:asciiTheme="minorBidi" w:hAnsiTheme="minorBidi"/>
          <w:rtl/>
        </w:rPr>
        <w:t>דאפשר שדעת הרמב"ם שלא אסור הכל אם נמלח הכל שיעור מליחה קודם שנתבשל, אבל בלתי מליחה נאסר הכל אפילו ביותר מס' לפי שא"א לעמוד על פליטת הכבד שאולי פולט יותר משיעור גופו הרבה עכ"ל. וכ' הב"י- וזה דבר שאין לו שחר והשכל והמוחש מכחישים אותו.</w:t>
      </w:r>
    </w:p>
  </w:footnote>
  <w:footnote w:id="579">
    <w:p w14:paraId="680E58A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נראה מכאן דלכתחלה צריך להדיחו אחר צלייתו כשרוצים לבשלו</w:t>
      </w:r>
      <w:r w:rsidRPr="005C6730">
        <w:rPr>
          <w:rFonts w:asciiTheme="minorBidi" w:hAnsiTheme="minorBidi"/>
          <w:color w:val="00B0F0"/>
          <w:rtl/>
        </w:rPr>
        <w:t xml:space="preserve"> </w:t>
      </w:r>
      <w:r w:rsidRPr="005C6730">
        <w:rPr>
          <w:rFonts w:asciiTheme="minorBidi" w:hAnsiTheme="minorBidi"/>
          <w:color w:val="00B0F0"/>
          <w:sz w:val="16"/>
          <w:szCs w:val="16"/>
          <w:rtl/>
        </w:rPr>
        <w:t>(וכ"פ הרמ"א)</w:t>
      </w:r>
      <w:r w:rsidRPr="005C6730">
        <w:rPr>
          <w:rFonts w:asciiTheme="minorBidi" w:hAnsiTheme="minorBidi"/>
          <w:rtl/>
        </w:rPr>
        <w:t xml:space="preserve">, ומצאתי כתוב </w:t>
      </w:r>
      <w:r w:rsidRPr="005C6730">
        <w:rPr>
          <w:rFonts w:asciiTheme="minorBidi" w:hAnsiTheme="minorBidi"/>
          <w:sz w:val="16"/>
          <w:szCs w:val="16"/>
          <w:rtl/>
        </w:rPr>
        <w:t xml:space="preserve">(תשו' מהרי"ל סי' קכו) </w:t>
      </w:r>
      <w:r w:rsidRPr="005C6730">
        <w:rPr>
          <w:rFonts w:asciiTheme="minorBidi" w:hAnsiTheme="minorBidi"/>
          <w:rtl/>
        </w:rPr>
        <w:t>שהטעם מפני המלח הנדבק בו, ויש גם כן למיחש משום מראית העין שיתאדם הבשר, וכן בשר שנמלח בשפוד ורוצים לבשלו גם כן צריך להדיחו מטעם זה, ויתבאר זה בסימן ע"ו, ב"י.</w:t>
      </w:r>
    </w:p>
  </w:footnote>
  <w:footnote w:id="580">
    <w:p w14:paraId="096C723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וכ"פ </w:t>
      </w:r>
      <w:r>
        <w:rPr>
          <w:rFonts w:asciiTheme="minorBidi" w:hAnsiTheme="minorBidi"/>
          <w:rtl/>
        </w:rPr>
        <w:t>או"ה</w:t>
      </w:r>
      <w:r w:rsidRPr="005C6730">
        <w:rPr>
          <w:rFonts w:asciiTheme="minorBidi" w:hAnsiTheme="minorBidi"/>
          <w:rtl/>
        </w:rPr>
        <w:t xml:space="preserve"> (כלל טז דין יב), וכ' האגור (סי' אלף קצו) בשם מהר"י מולין (שו"ת מהרי"ל סי' קכו) דלזה נהגו לשפוך מים על הכבד אף כשרוצין לאכלה בלא בישול משום מלח הנדבק בה, דרכ"מ (אות י). </w:t>
      </w:r>
      <w:r w:rsidRPr="005C6730">
        <w:rPr>
          <w:rFonts w:asciiTheme="minorBidi" w:hAnsiTheme="minorBidi"/>
          <w:color w:val="00B0F0"/>
          <w:rtl/>
        </w:rPr>
        <w:t>(וכ"פ בהג"ה</w:t>
      </w:r>
      <w:r w:rsidRPr="005C6730">
        <w:rPr>
          <w:rFonts w:asciiTheme="minorBidi" w:hAnsiTheme="minorBidi"/>
          <w:color w:val="00B0F0"/>
          <w:sz w:val="16"/>
          <w:szCs w:val="16"/>
          <w:rtl/>
        </w:rPr>
        <w:t xml:space="preserve"> </w:t>
      </w:r>
      <w:r w:rsidRPr="005C6730">
        <w:rPr>
          <w:rFonts w:asciiTheme="minorBidi" w:hAnsiTheme="minorBidi"/>
          <w:sz w:val="16"/>
          <w:szCs w:val="16"/>
          <w:rtl/>
        </w:rPr>
        <w:t>[סע' ה]</w:t>
      </w:r>
      <w:r w:rsidRPr="005C6730">
        <w:rPr>
          <w:rFonts w:asciiTheme="minorBidi" w:hAnsiTheme="minorBidi"/>
          <w:color w:val="00B0F0"/>
          <w:rtl/>
        </w:rPr>
        <w:t>)</w:t>
      </w:r>
    </w:p>
  </w:footnote>
  <w:footnote w:id="581">
    <w:p w14:paraId="20655BA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אפילו רוצה לאסור הכלי, כ"כ בת"ח (כלל כ"ד ד"א) וכ"כ הב"ח, ש"ך (סק"א).</w:t>
      </w:r>
    </w:p>
  </w:footnote>
  <w:footnote w:id="582">
    <w:p w14:paraId="6B79E2B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ע"ל סי' ע"ו</w:t>
      </w:r>
      <w:r w:rsidRPr="005C6730">
        <w:rPr>
          <w:rFonts w:asciiTheme="minorBidi" w:hAnsiTheme="minorBidi"/>
          <w:sz w:val="16"/>
          <w:szCs w:val="16"/>
          <w:rtl/>
        </w:rPr>
        <w:t xml:space="preserve"> </w:t>
      </w:r>
      <w:r w:rsidRPr="005C6730">
        <w:rPr>
          <w:rFonts w:asciiTheme="minorBidi" w:hAnsiTheme="minorBidi"/>
          <w:rtl/>
        </w:rPr>
        <w:t xml:space="preserve">ס"ב וה' בהג"ה דנתבאר דבחצי צלייתו מיקרי ראוי לאכילה ומשמע דה"ה כאן וכ"כ באו"ה </w:t>
      </w:r>
      <w:r w:rsidRPr="005C6730">
        <w:rPr>
          <w:rFonts w:asciiTheme="minorBidi" w:hAnsiTheme="minorBidi"/>
          <w:sz w:val="14"/>
          <w:szCs w:val="14"/>
          <w:rtl/>
        </w:rPr>
        <w:t>(כלל ח)</w:t>
      </w:r>
      <w:r w:rsidRPr="005C6730">
        <w:rPr>
          <w:rFonts w:asciiTheme="minorBidi" w:hAnsiTheme="minorBidi"/>
          <w:rtl/>
        </w:rPr>
        <w:t xml:space="preserve"> בהדיא, ש"ך </w:t>
      </w:r>
      <w:r w:rsidRPr="005C6730">
        <w:rPr>
          <w:rFonts w:asciiTheme="minorBidi" w:hAnsiTheme="minorBidi"/>
          <w:sz w:val="14"/>
          <w:szCs w:val="14"/>
          <w:rtl/>
        </w:rPr>
        <w:t>(סק"ב)</w:t>
      </w:r>
      <w:r w:rsidRPr="005C6730">
        <w:rPr>
          <w:rFonts w:asciiTheme="minorBidi" w:hAnsiTheme="minorBidi"/>
          <w:rtl/>
        </w:rPr>
        <w:t>.</w:t>
      </w:r>
    </w:p>
  </w:footnote>
  <w:footnote w:id="583">
    <w:p w14:paraId="3DFA960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היינו בדיעבד אחר שצלאה ע"י שנקבה תחלה הרבה פעמים בסכין אבל לכתחלה אין מועיל נקיבה בסכין הרבה פעמים אם רוצה לבשלו אח"כ, כ"פ בת"ח שם ד"ו, ש"ך (סק"ג). וכתב רש"ל זהו לאותן שסוברים דלצלי אין צריך קריעה שתי וערב אלא מצד החומרא לחוד אבל לבה"ג ודעימיה דס"ל מדינא בעי קריעה שתי וערב אף לצלי אין לשנות ממשמעות הלכה דבעינן קריעה שתי וערב ע"כ וראוי להחמיר עכ"פ לעשות נקבים גם בכבד של עוף כמ"ש הפוסקים בשם הר"ר יונה שצריך לחתוך כל חלק ממנו שתי וערב. ובטור כתוב בשם בעל עיטור דבכבד של עוף קיל טפי לפי המנהג, נראה טעם לזה דדי בזה בחתיכה שחותכין המרה משא"כ בבהמה שיש שיעור גדול בין חתיכות המרה לשאר הכבד, וכתב דיפה לנקוב בסכין לחומרא, האי לחומרא הוא מיותר ונראה דכוון בזה דדוקא במקום שאין הכרח לחתוך שתי וערב שנזכר בגמרא דזה דוקא בצולה ע"מ לבשלו כמ"ש ב"י בסימן זה בשם התוס' ורא"ש אבל באכל צלי א"צ לזה ע"ז אמר דמ"מ יפה לנקבו בסכין שאינו אלא לחומרא משא"כ בצולה לבשלו שמן הדין צריך חתיכה שתי וערב בזה לא מהני נקיבת סכין כדי לפוטרו מחתיכה שתי וערב כנ"ל ברור ונכון כוונתו, ט"ז (סק"ב).</w:t>
      </w:r>
    </w:p>
  </w:footnote>
  <w:footnote w:id="584">
    <w:p w14:paraId="5159D8B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שחתך ממנה הגידים והקנוקנות באותו צד שהמרה תלויה בו וחתך מעט מבשר הכבד עמהן, וכן מבואר בת"ח שם, ובזה אפילו לכתחלה מותר כשרוצה לבשלה אח"כ כדמוכח בת"ח שם ע"ש, ש"ך (סק"ד).</w:t>
      </w:r>
    </w:p>
  </w:footnote>
  <w:footnote w:id="585">
    <w:p w14:paraId="7EDBC65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הטעם מפני המלח הנדבק בו ויש ג"כ למיחש משום מראית העין שיתאדם הבשר וכן בשר שנצלה בשפוד ורוצים לבשלו צריך להדיחו ג"כ מטעם זה עכ"ל ב"י (עמ' קיב ד"ה כתב) וכ"כ הר"ב בסי' ע"ו סוף ס"ב ע"ש, ש"ך (סק"ה).</w:t>
      </w:r>
    </w:p>
  </w:footnote>
  <w:footnote w:id="586">
    <w:p w14:paraId="5054B39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בדיעבד מותר אם נתבשל אפילו בלא מליחה לבדה בלא בשר שאם נתבשל עם בשר אז הבשר אסור כמו הקדרה לפי שהכבד פולטת דם שבה ואינה בולעת אפילו ע"י הבישול מחמת שהיא טרודה לפלוט דם הרבה, ש"ך (סק"ו).</w:t>
      </w:r>
    </w:p>
  </w:footnote>
  <w:footnote w:id="587">
    <w:p w14:paraId="5C7BC7A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פשטא דמילתא נקט הר"ב אבל אין לומר דבא לפרש דאף המתירין בדיעבד היינו דוקא בלא צלייה אבל לא בלא מליחה דזה אינו במשמע בלשונו ועוד דהא לפי הטעם דפולטת ואינה בולעת אפי' בלא מליחה שרי וכן מוכח מדברי הפוסקים, ש"ך (סק"ז). הטעם מבואר </w:t>
      </w:r>
      <w:r w:rsidRPr="005C6730">
        <w:rPr>
          <w:rFonts w:asciiTheme="minorBidi" w:hAnsiTheme="minorBidi"/>
          <w:sz w:val="16"/>
          <w:szCs w:val="16"/>
          <w:rtl/>
        </w:rPr>
        <w:t>(בהג"ה סמ"ק סימן ר"ה ובהגהת מהרא"י ובאו"ה כלל ט"ו ד"ב ובת"ח שם ד"ב ובשאר אחרונים)</w:t>
      </w:r>
      <w:r w:rsidRPr="005C6730">
        <w:rPr>
          <w:rFonts w:asciiTheme="minorBidi" w:hAnsiTheme="minorBidi"/>
          <w:rtl/>
        </w:rPr>
        <w:t xml:space="preserve"> משום דאיכא מאן דאמר בש"ס דשלוקה נאסרה ואנן לא בקיאינן מהו שלוק ומהו מבושל, ש"ך (סק"ח).</w:t>
      </w:r>
    </w:p>
  </w:footnote>
  <w:footnote w:id="588">
    <w:p w14:paraId="13A668C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הרמב"ם ס"ל כן דפוסק כרבנן דר"י בן נורי דהכבד בולעת ג"כ, ורוב הפוסקים לא ס"ל כן אלא כר"י בן נורי דאינה בולעת, אלא דנוהגין להחמיר כמ"ש רמ"א אח"כ, ורש"ל כתב להקל בזה כיון שאין שם בשר רק שצריך להדיח הכבד כיון שהרוטב נאסר. ואין אחר המנהג שהעיד עליו רמ"א כלום לשנות אותו, ומ"מ נלמד קולא מזה בסעיף ו' ע"ש, ט"ז (סק"ד).</w:t>
      </w:r>
    </w:p>
  </w:footnote>
  <w:footnote w:id="589">
    <w:p w14:paraId="720E1C03" w14:textId="77777777" w:rsidR="004C5A3C" w:rsidRPr="005C6730" w:rsidRDefault="004C5A3C" w:rsidP="002C39F4">
      <w:pPr>
        <w:spacing w:after="0" w:line="240" w:lineRule="auto"/>
        <w:rPr>
          <w:rFonts w:asciiTheme="minorBidi" w:hAnsiTheme="minorBidi"/>
          <w:sz w:val="20"/>
          <w:szCs w:val="20"/>
          <w:rtl/>
        </w:rPr>
      </w:pPr>
      <w:r w:rsidRPr="005C6730">
        <w:rPr>
          <w:rStyle w:val="a7"/>
          <w:rFonts w:asciiTheme="minorBidi" w:hAnsiTheme="minorBidi"/>
          <w:sz w:val="20"/>
          <w:szCs w:val="20"/>
        </w:rPr>
        <w:footnoteRef/>
      </w:r>
      <w:r w:rsidRPr="005C6730">
        <w:rPr>
          <w:rFonts w:asciiTheme="minorBidi" w:hAnsiTheme="minorBidi"/>
          <w:sz w:val="20"/>
          <w:szCs w:val="20"/>
          <w:rtl/>
        </w:rPr>
        <w:t xml:space="preserve"> דהיינו גם הכבד</w:t>
      </w:r>
      <w:r w:rsidRPr="005C6730">
        <w:rPr>
          <w:rFonts w:asciiTheme="minorBidi" w:hAnsiTheme="minorBidi"/>
          <w:sz w:val="14"/>
          <w:szCs w:val="14"/>
          <w:rtl/>
        </w:rPr>
        <w:t xml:space="preserve"> {וכמובן גם מה שנתבשל עמו}</w:t>
      </w:r>
      <w:r w:rsidRPr="005C6730">
        <w:rPr>
          <w:rFonts w:asciiTheme="minorBidi" w:hAnsiTheme="minorBidi"/>
          <w:sz w:val="20"/>
          <w:szCs w:val="20"/>
          <w:rtl/>
        </w:rPr>
        <w:t xml:space="preserve"> וגם הקדרה, אמנם הקערה שממנה אכל שרי, </w:t>
      </w:r>
      <w:r>
        <w:rPr>
          <w:rFonts w:asciiTheme="minorBidi" w:hAnsiTheme="minorBidi"/>
          <w:sz w:val="20"/>
          <w:szCs w:val="20"/>
          <w:rtl/>
        </w:rPr>
        <w:t>או"ה</w:t>
      </w:r>
      <w:r w:rsidRPr="005C6730">
        <w:rPr>
          <w:rFonts w:asciiTheme="minorBidi" w:hAnsiTheme="minorBidi"/>
          <w:sz w:val="20"/>
          <w:szCs w:val="20"/>
          <w:rtl/>
        </w:rPr>
        <w:t xml:space="preserve"> </w:t>
      </w:r>
      <w:r w:rsidRPr="005C6730">
        <w:rPr>
          <w:rFonts w:asciiTheme="minorBidi" w:hAnsiTheme="minorBidi"/>
          <w:sz w:val="16"/>
          <w:szCs w:val="16"/>
          <w:rtl/>
        </w:rPr>
        <w:t>(כלל טז דין ו)</w:t>
      </w:r>
      <w:r w:rsidRPr="005C6730">
        <w:rPr>
          <w:rFonts w:asciiTheme="minorBidi" w:hAnsiTheme="minorBidi"/>
          <w:sz w:val="20"/>
          <w:szCs w:val="20"/>
          <w:rtl/>
        </w:rPr>
        <w:t>, וכ"מ בהגשע"ד</w:t>
      </w:r>
      <w:r w:rsidRPr="005C6730">
        <w:rPr>
          <w:rFonts w:asciiTheme="minorBidi" w:hAnsiTheme="minorBidi"/>
          <w:sz w:val="16"/>
          <w:szCs w:val="16"/>
          <w:rtl/>
        </w:rPr>
        <w:t xml:space="preserve"> (שם ד"ה ואם בדיעבד, וסק"א ד"ה וכתב הר"ר פרץ) </w:t>
      </w:r>
      <w:r w:rsidRPr="005C6730">
        <w:rPr>
          <w:rFonts w:asciiTheme="minorBidi" w:hAnsiTheme="minorBidi"/>
          <w:sz w:val="20"/>
          <w:szCs w:val="20"/>
          <w:rtl/>
        </w:rPr>
        <w:t>בשם מהרא"י וכ"כ ב"י בשם הרי"ף והרמב"ם דאפילו הכבד לבדה הכל אסור, דרכ"מ</w:t>
      </w:r>
      <w:r w:rsidRPr="005C6730">
        <w:rPr>
          <w:rFonts w:asciiTheme="minorBidi" w:hAnsiTheme="minorBidi"/>
          <w:sz w:val="16"/>
          <w:szCs w:val="16"/>
          <w:rtl/>
        </w:rPr>
        <w:t xml:space="preserve"> (אות ג)</w:t>
      </w:r>
      <w:r w:rsidRPr="005C6730">
        <w:rPr>
          <w:rFonts w:asciiTheme="minorBidi" w:hAnsiTheme="minorBidi"/>
          <w:sz w:val="20"/>
          <w:szCs w:val="20"/>
          <w:rtl/>
        </w:rPr>
        <w:t>.</w:t>
      </w:r>
    </w:p>
  </w:footnote>
  <w:footnote w:id="590">
    <w:p w14:paraId="2255A61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אפילו נמלחה כשיעור מליחה לקדרה והודחה כדין קודם הבישול, לפי שהיא מרובה בדמים ואין מועיל לה מליחה אפי' ע"י קריעה שתי וערב וחתוכה לתחת כדמוכח בת"ח שם ד"ג ע"ש, ונתבאר שם בת"ח דאם אירע שהורה המורה להתיר אחר שנמלחה הכבד ע"י קריעה שתי וערב וחתוכה לתחת ונתבשלה וכר"ת דס"ל דלאחר מליחה הרי היא כשאר בשר לא מהדרינן עובדא ושרי הכל בין הכבד בין הבשר שנתבשל עמה, ומוכח שם דאם לא היתה חתוכה שתי וערב וחתוכה לתחת בשעת מליחה מהדרינן עובדא ואסור אפילו הכבד ע"ש ודו"ק, ומסקנת מהרש"ל </w:t>
      </w:r>
      <w:r w:rsidRPr="005C6730">
        <w:rPr>
          <w:rFonts w:asciiTheme="minorBidi" w:hAnsiTheme="minorBidi"/>
          <w:sz w:val="16"/>
          <w:szCs w:val="16"/>
          <w:rtl/>
        </w:rPr>
        <w:t>(באוה"ש ס"ס כ"ז)</w:t>
      </w:r>
      <w:r w:rsidRPr="005C6730">
        <w:rPr>
          <w:rFonts w:asciiTheme="minorBidi" w:hAnsiTheme="minorBidi"/>
          <w:rtl/>
        </w:rPr>
        <w:t xml:space="preserve"> וז"ל- כבד שנתבשל בלא מליחה שרי בדיעבד דפולטת ואינה בולעת, אבל אם אין בתבשיל ששים כנגד הכבד אף הכבד אסורה אפילו נמלחה וכמו שחלקתי בספרי דכיון שנאסר התבשיל מדם הכבד אז נעשית נבילה ונאסרה הכבד משמנונית התבשיל עכ"ל, וכ"כ בסימנים בספרו </w:t>
      </w:r>
      <w:r w:rsidRPr="005C6730">
        <w:rPr>
          <w:rFonts w:asciiTheme="minorBidi" w:hAnsiTheme="minorBidi"/>
          <w:sz w:val="16"/>
          <w:szCs w:val="16"/>
          <w:rtl/>
        </w:rPr>
        <w:t>(פרק כה"ב סי' נ"ד)</w:t>
      </w:r>
      <w:r w:rsidRPr="005C6730">
        <w:rPr>
          <w:rFonts w:asciiTheme="minorBidi" w:hAnsiTheme="minorBidi"/>
          <w:rtl/>
        </w:rPr>
        <w:t>, ותימה דהא קיי"ל בכל דוכתא דאין הנאסר יכול לאסור אלא במקום שהאיסור עצמו יכול לילך שם, וגם הוא בעצמו כ' בספרו שם בפנים דאין הכבד נאסר מהאי טעמא ע"ש, ש"ך (סק"ט).</w:t>
      </w:r>
    </w:p>
  </w:footnote>
  <w:footnote w:id="591">
    <w:p w14:paraId="4AD2664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צומתו בחומץ שהחומץ צומתו אשטרוינ"ט ושוב אינו פולט עולמית והדר מבשלי ליה עם בשר אחר, רש"י.</w:t>
      </w:r>
    </w:p>
  </w:footnote>
  <w:footnote w:id="592">
    <w:p w14:paraId="04AB618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התבלין מרככין אותה, רש"י.</w:t>
      </w:r>
    </w:p>
  </w:footnote>
  <w:footnote w:id="593">
    <w:p w14:paraId="3DCA464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הרבה מאד, רש"י.</w:t>
      </w:r>
    </w:p>
  </w:footnote>
  <w:footnote w:id="594">
    <w:p w14:paraId="13F7B6E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לפי שלאחר שגמרה פליטתה חוזרת ובולעת, רש"י.</w:t>
      </w:r>
    </w:p>
  </w:footnote>
  <w:footnote w:id="595">
    <w:p w14:paraId="2130F8A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ובאמת שיש לתמוה מה בקיאות יש בחליטה עד שאמרו שאין אנו בקיאין בה, ובשלמא בחליטת רותחין איכא למיגזר שמא לא יהיו רותחין יפה יפה אבל בחליטת חומץ ליכא למיחש שמא יבואו לחלוט בחומץ שאינו חזק דאע"פ שאינו חזק הוי שפיר חליטה כדאיתא בפכ"צ </w:t>
      </w:r>
      <w:r w:rsidRPr="005C6730">
        <w:rPr>
          <w:rFonts w:asciiTheme="minorBidi" w:hAnsiTheme="minorBidi"/>
          <w:sz w:val="16"/>
          <w:szCs w:val="16"/>
          <w:rtl/>
        </w:rPr>
        <w:t>(פסחים עד:)</w:t>
      </w:r>
      <w:r w:rsidRPr="005C6730">
        <w:rPr>
          <w:rFonts w:asciiTheme="minorBidi" w:hAnsiTheme="minorBidi"/>
          <w:rtl/>
        </w:rPr>
        <w:t xml:space="preserve">, ושמא י"ל שמאחר ששתי החליטות היו מתירות הכבד כיון שבאו לגזור באחת מהן לא ראו לחלוק בגזירתן ולפיכך גזרו שלא יחלטו ולא חילקו בין חליטת חומץ לחליטת רותחין, ולפ"ז אפשר דבשאר בשר לא גזרו על חליטתו בחומץ דהא בכבד לא נחתי למיגזר בחליטת חומץ אלא משום דהוו בעו למגזר בחליטת רותחין אבל בבשר שלא הוזכר בה חליטה אלא בחומץ לא גזרו בו כלל, ונראה שזהו דעת הפוסקים שכתבו דבשר שחלטו בחומץ שרי כמו שנתבאר בסי' סז </w:t>
      </w:r>
      <w:r w:rsidRPr="005C6730">
        <w:rPr>
          <w:rFonts w:asciiTheme="minorBidi" w:hAnsiTheme="minorBidi"/>
          <w:sz w:val="16"/>
          <w:szCs w:val="16"/>
          <w:rtl/>
        </w:rPr>
        <w:t xml:space="preserve">(קו:) </w:t>
      </w:r>
      <w:r w:rsidRPr="005C6730">
        <w:rPr>
          <w:rFonts w:asciiTheme="minorBidi" w:hAnsiTheme="minorBidi"/>
          <w:rtl/>
        </w:rPr>
        <w:t xml:space="preserve">ובכבד כתבו דלא משתרי בחליטה כלל, אלא שרי"ו </w:t>
      </w:r>
      <w:r w:rsidRPr="005C6730">
        <w:rPr>
          <w:rFonts w:asciiTheme="minorBidi" w:hAnsiTheme="minorBidi"/>
          <w:sz w:val="16"/>
          <w:szCs w:val="16"/>
          <w:rtl/>
        </w:rPr>
        <w:t xml:space="preserve">(נט"ו אות כה קלד:) </w:t>
      </w:r>
      <w:r w:rsidRPr="005C6730">
        <w:rPr>
          <w:rFonts w:asciiTheme="minorBidi" w:hAnsiTheme="minorBidi"/>
          <w:rtl/>
        </w:rPr>
        <w:t xml:space="preserve">כתב גבי חליטת בשר בשם רב עמרם </w:t>
      </w:r>
      <w:r w:rsidRPr="005C6730">
        <w:rPr>
          <w:rFonts w:asciiTheme="minorBidi" w:hAnsiTheme="minorBidi"/>
          <w:sz w:val="16"/>
          <w:szCs w:val="16"/>
          <w:rtl/>
        </w:rPr>
        <w:t xml:space="preserve">(תשו' הגאונים מהדו' אסף עמ' 44) </w:t>
      </w:r>
      <w:r w:rsidRPr="005C6730">
        <w:rPr>
          <w:rFonts w:asciiTheme="minorBidi" w:hAnsiTheme="minorBidi"/>
          <w:rtl/>
        </w:rPr>
        <w:t>שאין לחלוט בזמן הזה כי אין אנו בקיאין בחליטה, ב"י.</w:t>
      </w:r>
    </w:p>
  </w:footnote>
  <w:footnote w:id="596">
    <w:p w14:paraId="6EC05A7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דהכי קאמר ליה ר' ישמעאל לת"ק כשם שמתובלת אוסרת ונאסרת דבהא ודאי את גופך מודה בזה כך שלוקה אוסרת ונאסרת, ומשום הכי פלגינהו ר' ישמעאל בתרתי, ומשמע דקיי"ל דשלוקה אינה נאסרת ומיהו במתובלת לכו"ע נאסרת, ר"ן. וכ"כ הרשב"א בחידו' </w:t>
      </w:r>
      <w:r w:rsidRPr="005C6730">
        <w:rPr>
          <w:rFonts w:asciiTheme="minorBidi" w:hAnsiTheme="minorBidi"/>
          <w:sz w:val="16"/>
          <w:szCs w:val="16"/>
          <w:rtl/>
        </w:rPr>
        <w:t>(קיא. ד"ה כתנאי)</w:t>
      </w:r>
      <w:r w:rsidRPr="005C6730">
        <w:rPr>
          <w:rFonts w:asciiTheme="minorBidi" w:hAnsiTheme="minorBidi"/>
          <w:rtl/>
        </w:rPr>
        <w:t>, ויש לתמוה למה לא פסק בתוה"ב דמתובלת נאסרת, ושמא י"ל משום דאיכא דגריס שלוקה אוסרת ואינה נאסרת ולפי אותה גירסא ע"כ תנאי היא היינו במתובלת וכיון דפלוגתא היא ולא בריר ליה הלכה כדברי מי לא רצה לפסוק בה, ואע"פ שהוא כ' בחידושיו שגירסא זו אינה נכונה מ"מ מידי ספיקא לא נפקא וכיון דדם שבשלו אינו עובר עליו לא רצה לפסקה לחומרא. ועוד י"ל דכיון דלא פירש דת"ק מודה במתובלת אלא משום דפלגינהו ר' ישמעאל בתרתי אין זה כדאי לפסוק הלכה כן דהא איכא למימר דת"ק פליג במתובלת נמי והא דפלגינהו ר' ישמעאל בתרתי משום דהכי שמעינהו וגרסינהו, ב"י.</w:t>
      </w:r>
    </w:p>
  </w:footnote>
  <w:footnote w:id="597">
    <w:p w14:paraId="645A5BD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הש"ך (סק"י) דמותר בדיעבד אפי' להיש מי שאוסר שבסוף סעיף א' דשאני הכא כיון שכבר נחלטה שוב אין דם יוצא ממנה </w:t>
      </w:r>
      <w:r w:rsidRPr="005C6730">
        <w:rPr>
          <w:rFonts w:asciiTheme="minorBidi" w:hAnsiTheme="minorBidi"/>
          <w:sz w:val="16"/>
          <w:szCs w:val="16"/>
          <w:rtl/>
        </w:rPr>
        <w:t>(כ"מ דעת המחבר וכן מבואר ברמב"ם שם להדיא ובב"י)</w:t>
      </w:r>
      <w:r w:rsidRPr="005C6730">
        <w:rPr>
          <w:rFonts w:asciiTheme="minorBidi" w:hAnsiTheme="minorBidi"/>
          <w:rtl/>
        </w:rPr>
        <w:t xml:space="preserve">, ולפ"ז אפי' נתבשל אחר החליטה עם בשר מותר הבשר </w:t>
      </w:r>
      <w:r w:rsidRPr="005C6730">
        <w:rPr>
          <w:rFonts w:asciiTheme="minorBidi" w:hAnsiTheme="minorBidi"/>
          <w:sz w:val="16"/>
          <w:szCs w:val="16"/>
          <w:rtl/>
        </w:rPr>
        <w:t>(וכן מוכח להדיא בדברי הפוסקים)</w:t>
      </w:r>
      <w:r w:rsidRPr="005C6730">
        <w:rPr>
          <w:rFonts w:asciiTheme="minorBidi" w:hAnsiTheme="minorBidi"/>
          <w:rtl/>
        </w:rPr>
        <w:t xml:space="preserve">, והרב בת"ח </w:t>
      </w:r>
      <w:r w:rsidRPr="005C6730">
        <w:rPr>
          <w:rFonts w:asciiTheme="minorBidi" w:hAnsiTheme="minorBidi"/>
          <w:sz w:val="16"/>
          <w:szCs w:val="16"/>
          <w:rtl/>
        </w:rPr>
        <w:t>(שם ד"ה)</w:t>
      </w:r>
      <w:r w:rsidRPr="005C6730">
        <w:rPr>
          <w:rFonts w:asciiTheme="minorBidi" w:hAnsiTheme="minorBidi"/>
          <w:rtl/>
        </w:rPr>
        <w:t xml:space="preserve"> פסק דאף בדיעבד לא מהני חליטה, ותימה שלא הגיה כאן כלום...</w:t>
      </w:r>
    </w:p>
  </w:footnote>
  <w:footnote w:id="598">
    <w:p w14:paraId="7983441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אף על פי שדם הנבלע בו היתר הוא מיהו דם הכנוס בסמפונות דם הוא, רש"י.</w:t>
      </w:r>
    </w:p>
  </w:footnote>
  <w:footnote w:id="599">
    <w:p w14:paraId="3BD8FF0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דבעי קריעה בכבדא מפני שדם כנוס לתוכו אבל טחלא אין בו דם ואפילו לקדרה שרי, רש"י.</w:t>
      </w:r>
    </w:p>
  </w:footnote>
  <w:footnote w:id="600">
    <w:p w14:paraId="0EBC780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וגם הרשב"א (תוה"ב קצר ב"ג ש"ג עד:) כ' דראוי לחוש לדעה זו.</w:t>
      </w:r>
    </w:p>
  </w:footnote>
  <w:footnote w:id="601">
    <w:p w14:paraId="6F54644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כיון דאזיל דמא ומכניס לסמפונות, בה"ג. וכ' הב"י דאע"פ שבה"ג כ' שצריך חתיכה סתם- חתיכה שתי וערב קאמר כדאי' בגמ'.</w:t>
      </w:r>
    </w:p>
  </w:footnote>
  <w:footnote w:id="602">
    <w:p w14:paraId="1397CE3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ויוצא הדם הכנוס בסמפונות ולא חיישינן לדם הסמפון שמא חזר ונבלע בכבד דהא אסיקנא בפ</w:t>
      </w:r>
      <w:r>
        <w:rPr>
          <w:rFonts w:asciiTheme="minorBidi" w:hAnsiTheme="minorBidi" w:hint="cs"/>
          <w:rtl/>
        </w:rPr>
        <w:t xml:space="preserve">כ"צ </w:t>
      </w:r>
      <w:r w:rsidRPr="005C6730">
        <w:rPr>
          <w:rFonts w:asciiTheme="minorBidi" w:hAnsiTheme="minorBidi"/>
          <w:sz w:val="16"/>
          <w:szCs w:val="16"/>
          <w:rtl/>
        </w:rPr>
        <w:t xml:space="preserve">(עד.) </w:t>
      </w:r>
      <w:r w:rsidRPr="005C6730">
        <w:rPr>
          <w:rFonts w:asciiTheme="minorBidi" w:hAnsiTheme="minorBidi"/>
          <w:rtl/>
        </w:rPr>
        <w:t>כבולעו כך פולט, בה"ג.</w:t>
      </w:r>
    </w:p>
  </w:footnote>
  <w:footnote w:id="603">
    <w:p w14:paraId="41CDCB8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כ"כ הב"י בשמו, וכ'- ונראה שלזה דקדק רבינו לכתוב לעיל גבי בישול דכבד דאין לבשלו אא"כ קורעו שתי וערב והניח חיתוכו למטה וצולהו דמשמע דאין לבשלו ע"י צלייה אא"כ קרעו שתי וערב וכאן כ' ולצלותו פירש ר"י שמותר אפילו בלא חתיכה ומליחה דלישנא דלצלותו משמע שאין כוונתו אלא לצלותו בלבד ולא לבשלו אחר צלייה ומש"ה פירש ר"י שא"צ לא חתיכה ולא מליחה.</w:t>
      </w:r>
    </w:p>
  </w:footnote>
  <w:footnote w:id="604">
    <w:p w14:paraId="0F0697F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וטעמא רבה איכא במילתא, דכשאוכלו צלי דם שלא נפלט ממנו הוי דם האברים שלא פירש (כריתות כא:) ושרי ולדם שבסמפונות ליכא למיחש דכיון דצלול הוא נורא מישב שייב ליה אבל כי מטוי ליה לקדרה איכא למיחש שמא לא יפלוט ממנו כל דמו בצלייה וכשיבשל אותו יפלטנו ולכך צריך לקרעו תחילה כדי שיפלוט ממנו כל דמו בצלייה, ב"י.</w:t>
      </w:r>
    </w:p>
  </w:footnote>
  <w:footnote w:id="605">
    <w:p w14:paraId="0B00E45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דאי נפלט הדם שריק ונפיל, ואי לא נפלט הוה ליה דם האיברים שלא פירש, ואי משום סמפוני הכבד- צריך קריעה אף לצלי, דההוא דם הוי בכרת אע"פ שלא פירש דמעלמא אתא ונכנס לתוך הסמפונות, א"כ בטחול נמי אי איכא סמפונות למה לא יצטרך קריעה, ואי אין סמפונות בטחול א"כ מה בא להשמיענו אבל טחלא לא, ב"י בשם תוס' ורא"ש. וכ' הב"י דנראה לו דגם הרי"ף </w:t>
      </w:r>
      <w:r w:rsidRPr="005C6730">
        <w:rPr>
          <w:rFonts w:asciiTheme="minorBidi" w:hAnsiTheme="minorBidi"/>
          <w:sz w:val="16"/>
          <w:szCs w:val="16"/>
          <w:rtl/>
        </w:rPr>
        <w:t xml:space="preserve">(לט.) </w:t>
      </w:r>
      <w:r w:rsidRPr="005C6730">
        <w:rPr>
          <w:rFonts w:asciiTheme="minorBidi" w:hAnsiTheme="minorBidi"/>
          <w:rtl/>
        </w:rPr>
        <w:t xml:space="preserve">והרמב"ם </w:t>
      </w:r>
      <w:r w:rsidRPr="005C6730">
        <w:rPr>
          <w:rFonts w:asciiTheme="minorBidi" w:hAnsiTheme="minorBidi"/>
          <w:sz w:val="16"/>
          <w:szCs w:val="16"/>
          <w:rtl/>
        </w:rPr>
        <w:t xml:space="preserve">(פ"ו הל' ז-ח) </w:t>
      </w:r>
      <w:r w:rsidRPr="005C6730">
        <w:rPr>
          <w:rFonts w:asciiTheme="minorBidi" w:hAnsiTheme="minorBidi"/>
          <w:rtl/>
        </w:rPr>
        <w:t xml:space="preserve">אינם מצריכים קריעה לצלי שלא הזכירו הא דא"ל קרעוהו שתי וערב וחיתוכיה לתחת ואם איתא שהיו מפרשים אותו לצלייה לא הוה להו להשמיטו, וכ' הרשב"א </w:t>
      </w:r>
      <w:r w:rsidRPr="005C6730">
        <w:rPr>
          <w:rFonts w:asciiTheme="minorBidi" w:hAnsiTheme="minorBidi"/>
          <w:sz w:val="16"/>
          <w:szCs w:val="16"/>
          <w:rtl/>
        </w:rPr>
        <w:t xml:space="preserve">(בחידו' שם ד"ה אמר להו) </w:t>
      </w:r>
      <w:r w:rsidRPr="005C6730">
        <w:rPr>
          <w:rFonts w:asciiTheme="minorBidi" w:hAnsiTheme="minorBidi"/>
          <w:rtl/>
        </w:rPr>
        <w:t xml:space="preserve">שכן דעת הרז"ה </w:t>
      </w:r>
      <w:r w:rsidRPr="005C6730">
        <w:rPr>
          <w:rFonts w:asciiTheme="minorBidi" w:hAnsiTheme="minorBidi"/>
          <w:sz w:val="16"/>
          <w:szCs w:val="16"/>
          <w:rtl/>
        </w:rPr>
        <w:t xml:space="preserve">(לח:, מ.) </w:t>
      </w:r>
      <w:r w:rsidRPr="005C6730">
        <w:rPr>
          <w:rFonts w:asciiTheme="minorBidi" w:hAnsiTheme="minorBidi"/>
          <w:rtl/>
        </w:rPr>
        <w:t xml:space="preserve">והרמב"ן </w:t>
      </w:r>
      <w:r w:rsidRPr="005C6730">
        <w:rPr>
          <w:rFonts w:asciiTheme="minorBidi" w:hAnsiTheme="minorBidi"/>
          <w:sz w:val="16"/>
          <w:szCs w:val="16"/>
          <w:rtl/>
        </w:rPr>
        <w:t xml:space="preserve">(קיא. ד"ה כבדא, ובמלחמות שם) </w:t>
      </w:r>
      <w:r w:rsidRPr="005C6730">
        <w:rPr>
          <w:rFonts w:asciiTheme="minorBidi" w:hAnsiTheme="minorBidi"/>
          <w:rtl/>
        </w:rPr>
        <w:t xml:space="preserve">ושכ"כ הראב"ד ז"ל </w:t>
      </w:r>
      <w:r w:rsidRPr="005C6730">
        <w:rPr>
          <w:rFonts w:asciiTheme="minorBidi" w:hAnsiTheme="minorBidi"/>
          <w:sz w:val="16"/>
          <w:szCs w:val="16"/>
          <w:rtl/>
        </w:rPr>
        <w:t xml:space="preserve">(תמים דעים סי' כא) </w:t>
      </w:r>
      <w:r w:rsidRPr="005C6730">
        <w:rPr>
          <w:rFonts w:asciiTheme="minorBidi" w:hAnsiTheme="minorBidi"/>
          <w:rtl/>
        </w:rPr>
        <w:t xml:space="preserve">והביא ראיה מדהשמיט הרי"ף ז"ל מימרא זו מהלכותיו. וכ' </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טז דין יג, הביאו דרכ"מ</w:t>
      </w:r>
      <w:r w:rsidRPr="005C6730">
        <w:rPr>
          <w:rFonts w:asciiTheme="minorBidi" w:hAnsiTheme="minorBidi"/>
          <w:sz w:val="14"/>
          <w:szCs w:val="14"/>
          <w:rtl/>
        </w:rPr>
        <w:t xml:space="preserve"> [אות ה]</w:t>
      </w:r>
      <w:r w:rsidRPr="005C6730">
        <w:rPr>
          <w:rFonts w:asciiTheme="minorBidi" w:hAnsiTheme="minorBidi"/>
          <w:sz w:val="16"/>
          <w:szCs w:val="16"/>
          <w:rtl/>
        </w:rPr>
        <w:t>)</w:t>
      </w:r>
      <w:r w:rsidRPr="005C6730">
        <w:rPr>
          <w:rFonts w:asciiTheme="minorBidi" w:hAnsiTheme="minorBidi"/>
          <w:rtl/>
        </w:rPr>
        <w:t xml:space="preserve"> ונהגו עלמא היתר לצלות כבד שלם אף על האסכלא בלי שום חיתוך וניקוב אפילו בכבד של בהמה וכו'.</w:t>
      </w:r>
    </w:p>
  </w:footnote>
  <w:footnote w:id="606">
    <w:p w14:paraId="3C443F2F" w14:textId="77777777" w:rsidR="004C5A3C" w:rsidRDefault="004C5A3C" w:rsidP="002C39F4">
      <w:pPr>
        <w:pStyle w:val="a5"/>
        <w:rPr>
          <w:rtl/>
        </w:rPr>
      </w:pPr>
      <w:r>
        <w:rPr>
          <w:rStyle w:val="a7"/>
        </w:rPr>
        <w:footnoteRef/>
      </w:r>
      <w:r>
        <w:rPr>
          <w:rtl/>
        </w:rPr>
        <w:t xml:space="preserve"> </w:t>
      </w:r>
      <w:r>
        <w:rPr>
          <w:rFonts w:hint="cs"/>
          <w:rtl/>
        </w:rPr>
        <w:t>כ"כ הב"י בשמם.</w:t>
      </w:r>
    </w:p>
  </w:footnote>
  <w:footnote w:id="607">
    <w:p w14:paraId="2138D1A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הביאו הטור, וכ' הב"י דנראה שהכל הוא מדברי בהעי"ט ונראה שטעם מנהגם שהיו סוברים כדברי האומרים דלא בעי חתיכה לצלי ומפני כך כבד בהמה שדרך העולם לצלותו בשפוד היו תוחבים בו השפוד לא על דעת להוציא דמו אלא לצלותו בו וכבד העוף שאין דרך לצלותו בשפוד לא היו נוקבין אותו כלל, שאילו היו תוחבין השפוד בשל בהמה כדי להוציא דמו גם בשל עוף היה להם לעשות כן, דאין לומר דמשום דמניחין אותו ע"ג הגחלים ס"ל דמישב שייב טפי א"כ של בהמה נמי הו"ל להניחו ע"ג גחלים, ועוד דבפג"ה</w:t>
      </w:r>
      <w:r w:rsidRPr="005C6730">
        <w:rPr>
          <w:rFonts w:asciiTheme="minorBidi" w:hAnsiTheme="minorBidi"/>
          <w:sz w:val="16"/>
          <w:szCs w:val="16"/>
          <w:rtl/>
        </w:rPr>
        <w:t xml:space="preserve"> (צג:) </w:t>
      </w:r>
      <w:r w:rsidRPr="005C6730">
        <w:rPr>
          <w:rFonts w:asciiTheme="minorBidi" w:hAnsiTheme="minorBidi"/>
          <w:rtl/>
        </w:rPr>
        <w:t xml:space="preserve">גבי אומצא דאסמיק משמע איפכא דבתלייה בשפודא דייב דמא טפי מכי אנחיה אגומרי, ודוחק לומר דס"ל דלא אמרו בגמ' דצריך קריעה אלא בכבד דבהמה שסמפונותיו גסים וכנוס בהם דם הרבה אבל לא בכבד דעוף שסמפונותיו דקים ודם הכנוס בהם מועט, דא"כ לא לישתמיט חד מרבוותא דליפלוג בהכי, אדרבה אשכחן לה"ר יונה </w:t>
      </w:r>
      <w:r w:rsidRPr="005C6730">
        <w:rPr>
          <w:rFonts w:asciiTheme="minorBidi" w:hAnsiTheme="minorBidi"/>
          <w:sz w:val="16"/>
          <w:szCs w:val="16"/>
          <w:rtl/>
        </w:rPr>
        <w:t xml:space="preserve">(אגרת התשו' אות מג) </w:t>
      </w:r>
      <w:r w:rsidRPr="005C6730">
        <w:rPr>
          <w:rFonts w:asciiTheme="minorBidi" w:hAnsiTheme="minorBidi"/>
          <w:rtl/>
        </w:rPr>
        <w:t>שכ' בהדיא דכבד דעוף נמי בעי קריעה שתי וערב וכתב דכבד דעוף שהוא חלוק לשנים צריך לחתוך כל חלק מהם שתי וערב וכן נכון לעשות לכתחלה.</w:t>
      </w:r>
    </w:p>
  </w:footnote>
  <w:footnote w:id="608">
    <w:p w14:paraId="1BCFDCD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ואע"פ שבסמוך כתב הטור בשם ר"י שמותר לצלותו בלא חתיכה ומליחה אפשר דחד ר"י ר' יצחק ואידך ר"י ר' יהודה, אי נמי דר"י לא אמר כן אלא להלכה אבל למעשה היה נוהג כדברי בה"ג, ב"י.</w:t>
      </w:r>
    </w:p>
  </w:footnote>
  <w:footnote w:id="609">
    <w:p w14:paraId="10590B6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וכן נכון לעשות לכתחלה.</w:t>
      </w:r>
    </w:p>
  </w:footnote>
  <w:footnote w:id="610">
    <w:p w14:paraId="4316AD8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עוד דמה שהנשים עושות בחתיכת המרה, אינו דומה כלל לקריעה שתי וערב.</w:t>
      </w:r>
    </w:p>
  </w:footnote>
  <w:footnote w:id="611">
    <w:p w14:paraId="580C08B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ב</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 xml:space="preserve">(כלל טז דין יא-יב, הביאו הדרכ"מ [אות ה]) </w:t>
      </w:r>
      <w:r w:rsidRPr="005C6730">
        <w:rPr>
          <w:rFonts w:asciiTheme="minorBidi" w:hAnsiTheme="minorBidi"/>
          <w:rtl/>
        </w:rPr>
        <w:t>שאינה צריכה מליחה כלל קודם צלייה אפילו רוצה לבשלה אחר כך ולא הדחה קמייתא דצלי אינו צריך הדחה קמייתא אפילו בשאר בשר כל שכן בכבד שהוא מדרבנן.</w:t>
      </w:r>
    </w:p>
  </w:footnote>
  <w:footnote w:id="612">
    <w:p w14:paraId="60B6DA7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קשה, הא לעיל סעיף א' כתב המחבר וצולהו וע"ז כתב רמ"א דיני נקיבת הכבד וחיתוכה, משמע דגם בצלי צריך חיתוך, ואין לומר דהתם מיירי שבא לבשלה אח"כ וכאן מיירי שאוכלה צלי, וכן יש חילוק זה בדברי ב"י על מ"ש הטור ולצלותו כו', דהא כתב רמ"א לעיל וכשבא לבשלה אח"כ כו' משמע דקודם לזה לא איירי מבישול אחר צלייה, ותו דא"כ היה לו לרמ"א לכתוב כאן הכי נוהגין לכתחלה אם אינו רוצה לבשלה אח"כ ולא לכתוב סתם, וצ"ל דלעיל כתב אליבא דדעה ראשונה דהכא דבעי חתיכה אף לצלי ועיין מה שכתבתי שם בשם רש"ל, ט"ז (סק"ה).</w:t>
      </w:r>
    </w:p>
  </w:footnote>
  <w:footnote w:id="613">
    <w:p w14:paraId="61E8422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בתנור היו צולין כל צלי שלהן וחודו של שפוד תלוי למטה וכשהכבד נתון תחלה ואח"כ הבשר נמצא הכבד עליון כשתולין אותו, רש"י.</w:t>
      </w:r>
    </w:p>
  </w:footnote>
  <w:footnote w:id="614">
    <w:p w14:paraId="263F999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אע"פ שזב מן הכבד על הבשר אין בכך כלום לפי שהדם ע"י צלי אינו נוח ליבלע אלא מחליק ונופל, רש"י.</w:t>
      </w:r>
    </w:p>
  </w:footnote>
  <w:footnote w:id="615">
    <w:p w14:paraId="70F4A04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נדבק ונבלע, רש"י.</w:t>
      </w:r>
    </w:p>
  </w:footnote>
  <w:footnote w:id="616">
    <w:p w14:paraId="73B6B7B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ולדידן אסור לגמרי לכתחלה לפי ששפודים שלנו אינן תלויין אלא שוכבות ופעמים שמרים זנב השפוד ונמצא התחתון עליון ופעמים שמשפילו ונמצא חברו עליון הלכך בין שהכבד לצד הראש ובין שהוא לצד הזנב אסור, רש"י.</w:t>
      </w:r>
      <w:r w:rsidRPr="00F94A98">
        <w:rPr>
          <w:rFonts w:asciiTheme="minorBidi" w:hAnsiTheme="minorBidi" w:hint="cs"/>
          <w:color w:val="E36C0A" w:themeColor="accent6" w:themeShade="BF"/>
          <w:rtl/>
        </w:rPr>
        <w:t xml:space="preserve"> (וכ"פ בשו"ע)</w:t>
      </w:r>
    </w:p>
  </w:footnote>
  <w:footnote w:id="617">
    <w:p w14:paraId="43B39A9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שצלאו והיה למעלה...</w:t>
      </w:r>
    </w:p>
  </w:footnote>
  <w:footnote w:id="618">
    <w:p w14:paraId="5C3F417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משום דדמא מישרג שריג כלומר מחליק ונופל לארץ, ומ"מ לכתחלה אסור מפני שהבשר רך לבלוע ונראה לעין כל שנוטף עליו ,כ"כ המרדכי (סי' תשא), ב"י.</w:t>
      </w:r>
    </w:p>
  </w:footnote>
  <w:footnote w:id="619">
    <w:p w14:paraId="01C04B0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שפעמים מגביהין השפוד ונהפך העליון לתחתון, ש"ך (סקי"ג).</w:t>
      </w:r>
    </w:p>
  </w:footnote>
  <w:footnote w:id="620">
    <w:p w14:paraId="490C081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במליחת קדרה, תוס' </w:t>
      </w:r>
      <w:r w:rsidRPr="005C6730">
        <w:rPr>
          <w:rFonts w:asciiTheme="minorBidi" w:hAnsiTheme="minorBidi"/>
          <w:sz w:val="16"/>
          <w:szCs w:val="16"/>
          <w:rtl/>
        </w:rPr>
        <w:t>(פסחים עד. ד"ה כבולעו)</w:t>
      </w:r>
      <w:r w:rsidRPr="005C6730">
        <w:rPr>
          <w:rFonts w:asciiTheme="minorBidi" w:hAnsiTheme="minorBidi"/>
          <w:rtl/>
        </w:rPr>
        <w:t xml:space="preserve">. </w:t>
      </w:r>
    </w:p>
  </w:footnote>
  <w:footnote w:id="621">
    <w:p w14:paraId="6DA02AEF" w14:textId="77777777" w:rsidR="004C5A3C" w:rsidRPr="005C6730" w:rsidRDefault="004C5A3C" w:rsidP="002C39F4">
      <w:pPr>
        <w:pStyle w:val="a5"/>
        <w:rPr>
          <w:rFonts w:asciiTheme="minorBidi" w:hAnsiTheme="minorBidi"/>
          <w:sz w:val="16"/>
          <w:szCs w:val="16"/>
          <w:rtl/>
        </w:rPr>
      </w:pPr>
      <w:r w:rsidRPr="005C6730">
        <w:rPr>
          <w:rStyle w:val="a7"/>
          <w:rFonts w:asciiTheme="minorBidi" w:hAnsiTheme="minorBidi"/>
        </w:rPr>
        <w:footnoteRef/>
      </w:r>
      <w:r w:rsidRPr="005C6730">
        <w:rPr>
          <w:rFonts w:asciiTheme="minorBidi" w:hAnsiTheme="minorBidi"/>
          <w:rtl/>
        </w:rPr>
        <w:t xml:space="preserve"> </w:t>
      </w:r>
      <w:r w:rsidRPr="005C6730">
        <w:rPr>
          <w:rFonts w:asciiTheme="minorBidi" w:hAnsiTheme="minorBidi"/>
          <w:u w:val="single"/>
          <w:rtl/>
        </w:rPr>
        <w:t>משמע דכל שכן דשרי כשהכבד תותי בשרא, וקשה דהרי אסור לצלות בשר מלוח תחת בשר שלא נמלח:</w:t>
      </w:r>
      <w:r w:rsidRPr="005C6730">
        <w:rPr>
          <w:rFonts w:asciiTheme="minorBidi" w:hAnsiTheme="minorBidi"/>
          <w:sz w:val="16"/>
          <w:szCs w:val="16"/>
          <w:rtl/>
        </w:rPr>
        <w:t xml:space="preserve">  (דמתוך שאינו טרוד לפלוט- בולע, וכבד שנמלח דינו כבשר מלוח</w:t>
      </w:r>
      <w:r w:rsidRPr="005C6730">
        <w:rPr>
          <w:rFonts w:asciiTheme="minorBidi" w:hAnsiTheme="minorBidi"/>
          <w:rtl/>
        </w:rPr>
        <w:t xml:space="preserve"> </w:t>
      </w:r>
      <w:r w:rsidRPr="005C6730">
        <w:rPr>
          <w:rFonts w:asciiTheme="minorBidi" w:hAnsiTheme="minorBidi"/>
          <w:sz w:val="14"/>
          <w:szCs w:val="14"/>
          <w:rtl/>
        </w:rPr>
        <w:t xml:space="preserve">[ואע"ג דלא חשבינן ליה כבשר מלוח שמותר לקדרה- היינו לחומרא </w:t>
      </w:r>
      <w:r w:rsidRPr="005C6730">
        <w:rPr>
          <w:rFonts w:asciiTheme="minorBidi" w:hAnsiTheme="minorBidi"/>
          <w:sz w:val="12"/>
          <w:szCs w:val="12"/>
          <w:rtl/>
        </w:rPr>
        <w:t xml:space="preserve">{להצריך לצלותו} </w:t>
      </w:r>
      <w:r w:rsidRPr="005C6730">
        <w:rPr>
          <w:rFonts w:asciiTheme="minorBidi" w:hAnsiTheme="minorBidi"/>
          <w:sz w:val="14"/>
          <w:szCs w:val="14"/>
          <w:rtl/>
        </w:rPr>
        <w:t>אבל לקולא</w:t>
      </w:r>
      <w:r w:rsidRPr="005C6730">
        <w:rPr>
          <w:rFonts w:asciiTheme="minorBidi" w:hAnsiTheme="minorBidi"/>
          <w:sz w:val="12"/>
          <w:szCs w:val="12"/>
          <w:rtl/>
        </w:rPr>
        <w:t xml:space="preserve"> {להגיד שלא יבלע}</w:t>
      </w:r>
      <w:r w:rsidRPr="005C6730">
        <w:rPr>
          <w:rFonts w:asciiTheme="minorBidi" w:hAnsiTheme="minorBidi"/>
          <w:sz w:val="14"/>
          <w:szCs w:val="14"/>
          <w:rtl/>
        </w:rPr>
        <w:t xml:space="preserve"> לא]</w:t>
      </w:r>
      <w:r w:rsidRPr="005C6730">
        <w:rPr>
          <w:rFonts w:asciiTheme="minorBidi" w:hAnsiTheme="minorBidi"/>
          <w:sz w:val="16"/>
          <w:szCs w:val="16"/>
          <w:rtl/>
        </w:rPr>
        <w:t>)</w:t>
      </w:r>
    </w:p>
    <w:p w14:paraId="349C00F8" w14:textId="77777777" w:rsidR="004C5A3C" w:rsidRPr="005C6730" w:rsidRDefault="004C5A3C" w:rsidP="002C39F4">
      <w:pPr>
        <w:pStyle w:val="a5"/>
        <w:numPr>
          <w:ilvl w:val="0"/>
          <w:numId w:val="50"/>
        </w:numPr>
        <w:rPr>
          <w:rFonts w:asciiTheme="minorBidi" w:hAnsiTheme="minorBidi"/>
        </w:rPr>
      </w:pPr>
      <w:r w:rsidRPr="005C6730">
        <w:rPr>
          <w:rFonts w:asciiTheme="minorBidi" w:hAnsiTheme="minorBidi"/>
          <w:rtl/>
        </w:rPr>
        <w:t xml:space="preserve">ש"ך </w:t>
      </w:r>
      <w:r w:rsidRPr="005C6730">
        <w:rPr>
          <w:rFonts w:asciiTheme="minorBidi" w:hAnsiTheme="minorBidi"/>
          <w:sz w:val="16"/>
          <w:szCs w:val="16"/>
          <w:rtl/>
        </w:rPr>
        <w:t>(סקי"ד)</w:t>
      </w:r>
      <w:r w:rsidRPr="005C6730">
        <w:rPr>
          <w:rFonts w:asciiTheme="minorBidi" w:hAnsiTheme="minorBidi"/>
          <w:rtl/>
        </w:rPr>
        <w:t xml:space="preserve">- באמת כל שכן הוא דשרי תותי בישרא משום דכבולעו כן פולטו </w:t>
      </w:r>
      <w:r w:rsidRPr="005C6730">
        <w:rPr>
          <w:rFonts w:asciiTheme="minorBidi" w:hAnsiTheme="minorBidi"/>
          <w:sz w:val="16"/>
          <w:szCs w:val="16"/>
          <w:rtl/>
        </w:rPr>
        <w:t xml:space="preserve">(וכ"מ בתוס' </w:t>
      </w:r>
      <w:r w:rsidRPr="005C6730">
        <w:rPr>
          <w:rFonts w:asciiTheme="minorBidi" w:hAnsiTheme="minorBidi"/>
          <w:sz w:val="14"/>
          <w:szCs w:val="14"/>
          <w:rtl/>
        </w:rPr>
        <w:t>[פסחים עד. ד"ה כבכ"פ]</w:t>
      </w:r>
      <w:r w:rsidRPr="005C6730">
        <w:rPr>
          <w:rFonts w:asciiTheme="minorBidi" w:hAnsiTheme="minorBidi"/>
          <w:sz w:val="16"/>
          <w:szCs w:val="16"/>
          <w:rtl/>
        </w:rPr>
        <w:t xml:space="preserve"> להדיא, שכתבו ליישב דהא דצולין את הפסח עם הכבד דנותן כרעיו ובני מעיו לתוכו אפילו לכתחלה אליבא דמאן דאמר כבדא עלוי בישרא אפילו דיעבד אסור </w:t>
      </w:r>
      <w:r w:rsidRPr="005C6730">
        <w:rPr>
          <w:rFonts w:asciiTheme="minorBidi" w:hAnsiTheme="minorBidi"/>
          <w:sz w:val="14"/>
          <w:szCs w:val="14"/>
          <w:rtl/>
        </w:rPr>
        <w:t>(אבל למאן דאמר כבדא עלוי בישרא דלכתחלה הוא דאסור כתבו שם דגבי פסח לא החמירו ושרי לכתחלה)</w:t>
      </w:r>
      <w:r w:rsidRPr="005C6730">
        <w:rPr>
          <w:rFonts w:asciiTheme="minorBidi" w:hAnsiTheme="minorBidi"/>
          <w:sz w:val="16"/>
          <w:szCs w:val="16"/>
          <w:rtl/>
        </w:rPr>
        <w:t xml:space="preserve"> דהוא יעמיד כגון שמלח הבני מעיים מליחה גמורה דאפי' לקדרה התירו ר"ת ע"י מליחה גמורה, ואפי' לפי מנהגינו שאין מבשלים כבד ע"י שום מליחה מ"מ כיון דנמלח במליחת קדירה נתמעט דמו ולא אסר טפי משאר בשר שלא נמלח ובישרא ע"ג בישרא שרי לכתחלה לכ"ע עכ"ל (וכל זה כ' ג"כ המרדכי פכ"ה), וא"כ אף שנמלח הכבד והיתה למטה שרי לכתחילה, שהרי היתה מונחת בתוך הפסח, ולפ"ז מוכח דגם לר"ת שרי בכה"ג אפילו לכתחלה... אבל ק"ק דהא כתב הר"ב לקמן ס"ס ע"ז דלכתחלה אסור לצלות בשר שנמלח עם בשר שלא נמלח וי"ל דהא ודאי דמדינא שרי אפי' לכתחלה מטעמא דכבכ"פ אלא דהר"ב חשש שם להחמיר וכאן כיון דהרבה פוסקים ס"ל דאפילו אחר מליחה יש הרבה דם בכבד אוקמא אדינא)</w:t>
      </w:r>
      <w:r w:rsidRPr="005C6730">
        <w:rPr>
          <w:rFonts w:asciiTheme="minorBidi" w:hAnsiTheme="minorBidi"/>
          <w:rtl/>
        </w:rPr>
        <w:t>.</w:t>
      </w:r>
    </w:p>
    <w:p w14:paraId="5FDE0488" w14:textId="77777777" w:rsidR="004C5A3C" w:rsidRPr="005C6730" w:rsidRDefault="004C5A3C" w:rsidP="002C39F4">
      <w:pPr>
        <w:pStyle w:val="a5"/>
        <w:numPr>
          <w:ilvl w:val="0"/>
          <w:numId w:val="50"/>
        </w:numPr>
        <w:rPr>
          <w:rFonts w:asciiTheme="minorBidi" w:hAnsiTheme="minorBidi"/>
        </w:rPr>
      </w:pPr>
      <w:r w:rsidRPr="005C6730">
        <w:rPr>
          <w:rFonts w:asciiTheme="minorBidi" w:hAnsiTheme="minorBidi"/>
          <w:rtl/>
        </w:rPr>
        <w:t>דרישה</w:t>
      </w:r>
      <w:r w:rsidRPr="005C6730">
        <w:rPr>
          <w:rFonts w:asciiTheme="minorBidi" w:hAnsiTheme="minorBidi"/>
          <w:sz w:val="16"/>
          <w:szCs w:val="16"/>
          <w:rtl/>
        </w:rPr>
        <w:t xml:space="preserve"> (סע' יא אות ב)</w:t>
      </w:r>
      <w:r w:rsidRPr="005C6730">
        <w:rPr>
          <w:rFonts w:asciiTheme="minorBidi" w:hAnsiTheme="minorBidi"/>
          <w:rtl/>
        </w:rPr>
        <w:t xml:space="preserve">- מה שכתבו התוס' שמותר היינו דוקא כשהכבד למעלה, וצ"ל דרמ"א איירי בשכבר נמלח הכבד אבל לא הודח ופולט עדיין ציר. </w:t>
      </w:r>
      <w:r w:rsidRPr="005C6730">
        <w:rPr>
          <w:rFonts w:asciiTheme="minorBidi" w:hAnsiTheme="minorBidi"/>
          <w:sz w:val="16"/>
          <w:szCs w:val="16"/>
          <w:rtl/>
        </w:rPr>
        <w:t>(וגם הב"ח כתב כן קצת מזה, ודחה הש"ך דבריהם)</w:t>
      </w:r>
      <w:r w:rsidRPr="005C6730">
        <w:rPr>
          <w:rFonts w:asciiTheme="minorBidi" w:hAnsiTheme="minorBidi"/>
          <w:rtl/>
        </w:rPr>
        <w:t xml:space="preserve"> </w:t>
      </w:r>
    </w:p>
    <w:p w14:paraId="6360B876" w14:textId="77777777" w:rsidR="004C5A3C" w:rsidRPr="005C6730" w:rsidRDefault="004C5A3C" w:rsidP="002C39F4">
      <w:pPr>
        <w:pStyle w:val="a5"/>
        <w:numPr>
          <w:ilvl w:val="0"/>
          <w:numId w:val="50"/>
        </w:numPr>
        <w:rPr>
          <w:rFonts w:asciiTheme="minorBidi" w:hAnsiTheme="minorBidi"/>
          <w:rtl/>
        </w:rPr>
      </w:pPr>
      <w:r w:rsidRPr="005C6730">
        <w:rPr>
          <w:rFonts w:asciiTheme="minorBidi" w:hAnsiTheme="minorBidi"/>
          <w:rtl/>
        </w:rPr>
        <w:t xml:space="preserve">ט"ז </w:t>
      </w:r>
      <w:r w:rsidRPr="005C6730">
        <w:rPr>
          <w:rFonts w:asciiTheme="minorBidi" w:hAnsiTheme="minorBidi"/>
          <w:sz w:val="16"/>
          <w:szCs w:val="16"/>
          <w:rtl/>
        </w:rPr>
        <w:t>(סק"ו)</w:t>
      </w:r>
      <w:r w:rsidRPr="005C6730">
        <w:rPr>
          <w:rFonts w:asciiTheme="minorBidi" w:hAnsiTheme="minorBidi"/>
          <w:rtl/>
        </w:rPr>
        <w:t>- לא נראה להקל גם בזה ולצלותו תחת הבשר שלא נמלח, דלא מהני זה אלא במליחה משא"כ בצלייה שיבלע ע"י האש מן האיסור לכתחילה, ונראה פשוט דרמ"א לא התיר תחת הבשר, אלא מעיקרא אמר שמותר לצלותו עם בשר בשוה, ר"ל בשפודין שלנו שאצל האש, וע"ז אמר אפי' ע"ג הבשר נמי אבל תחת הבשר פשיטא שאסור.</w:t>
      </w:r>
    </w:p>
  </w:footnote>
  <w:footnote w:id="622">
    <w:p w14:paraId="109165A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דשרי לכתחילה לכו"ע, תוס' </w:t>
      </w:r>
      <w:r w:rsidRPr="005C6730">
        <w:rPr>
          <w:rFonts w:asciiTheme="minorBidi" w:hAnsiTheme="minorBidi"/>
          <w:sz w:val="16"/>
          <w:szCs w:val="16"/>
          <w:rtl/>
        </w:rPr>
        <w:t>(פסחים עד. ד"ה כבולעו)</w:t>
      </w:r>
      <w:r w:rsidRPr="005C6730">
        <w:rPr>
          <w:rFonts w:asciiTheme="minorBidi" w:hAnsiTheme="minorBidi"/>
          <w:rtl/>
        </w:rPr>
        <w:t>.</w:t>
      </w:r>
    </w:p>
  </w:footnote>
  <w:footnote w:id="623">
    <w:p w14:paraId="34F588E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וגם הר"ן (מ. ד"ה דרש מרימר) הזכיר סברא זו, ב"י.</w:t>
      </w:r>
    </w:p>
  </w:footnote>
  <w:footnote w:id="624">
    <w:p w14:paraId="4A9168C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וטעמא דכיון דמליח הרי הוא כרותח דצלי כשם שאסור לצלות כבדא עילוי בשרא כך אסור למלוח, ב"י.</w:t>
      </w:r>
    </w:p>
  </w:footnote>
  <w:footnote w:id="625">
    <w:p w14:paraId="476D348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w:t>
      </w:r>
      <w:r>
        <w:rPr>
          <w:rFonts w:asciiTheme="minorBidi" w:hAnsiTheme="minorBidi"/>
          <w:rtl/>
        </w:rPr>
        <w:t>או"ה</w:t>
      </w:r>
      <w:r w:rsidRPr="005C6730">
        <w:rPr>
          <w:rFonts w:asciiTheme="minorBidi" w:hAnsiTheme="minorBidi"/>
          <w:sz w:val="16"/>
          <w:szCs w:val="16"/>
          <w:rtl/>
        </w:rPr>
        <w:t xml:space="preserve"> (כלל טז דין א)</w:t>
      </w:r>
      <w:r w:rsidRPr="005C6730">
        <w:rPr>
          <w:rFonts w:asciiTheme="minorBidi" w:hAnsiTheme="minorBidi"/>
          <w:rtl/>
        </w:rPr>
        <w:t xml:space="preserve"> דיש מחמירין שאף במליחה אין למלוח כבד תחת בשר משום דלפעמים מתהפך והוי עילוי בישרא, ובדיעבד בכל ענין שרי.</w:t>
      </w:r>
    </w:p>
  </w:footnote>
  <w:footnote w:id="626">
    <w:p w14:paraId="43849BD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הביאו הה"מ (שם) וכתב שדעת יחיד הוא ולא חיישינן ליה.</w:t>
      </w:r>
    </w:p>
  </w:footnote>
  <w:footnote w:id="627">
    <w:p w14:paraId="515AA86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וכ"כ האגור בשם אגודה וז"ל נוהגין לצלות הכבד מיד אחר שנמלחה ואין להשהותה במליחה, דרכ"מ (אות ז).</w:t>
      </w:r>
      <w:r w:rsidRPr="005C6730">
        <w:rPr>
          <w:rFonts w:asciiTheme="minorBidi" w:hAnsiTheme="minorBidi"/>
          <w:color w:val="00B0F0"/>
          <w:rtl/>
        </w:rPr>
        <w:t xml:space="preserve"> (וכ"פ בהג"ה)</w:t>
      </w:r>
    </w:p>
  </w:footnote>
  <w:footnote w:id="628">
    <w:p w14:paraId="1DFB141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וכ"כ בארוך (שם דין ט) דלכתחלה אין להשהותו במלח ובדיעבד שרי, דרכ"מ (אות יא). </w:t>
      </w:r>
    </w:p>
  </w:footnote>
  <w:footnote w:id="629">
    <w:p w14:paraId="443F8C2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וכן הוא לקמן סימן ע"ו (אות א), דרכ"מ (אות יב).</w:t>
      </w:r>
    </w:p>
  </w:footnote>
  <w:footnote w:id="630">
    <w:p w14:paraId="54F18CE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ובהג"ה</w:t>
      </w:r>
      <w:r w:rsidRPr="005C6730">
        <w:rPr>
          <w:rFonts w:asciiTheme="minorBidi" w:hAnsiTheme="minorBidi"/>
          <w:sz w:val="16"/>
          <w:szCs w:val="16"/>
          <w:rtl/>
        </w:rPr>
        <w:t xml:space="preserve"> (שם סי' כד סק"ד ד"ה ומה) </w:t>
      </w:r>
      <w:r w:rsidRPr="005C6730">
        <w:rPr>
          <w:rFonts w:asciiTheme="minorBidi" w:hAnsiTheme="minorBidi"/>
          <w:rtl/>
        </w:rPr>
        <w:t>מצאתי שהטעם משום גזרה דילמא יתבשל עם בשר, כיון שמלח הכבד ושהה שיעור מליחה יסבור שיש לו דין בשר, הילכך עבדו היכרא.</w:t>
      </w:r>
    </w:p>
  </w:footnote>
  <w:footnote w:id="631">
    <w:p w14:paraId="51B7BC6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פי' כשמלח שניהם הוא דלכתחלה אסור ובדיעבד מותר אפי' הכבד למעלה, וכדכתב נמי הר"ב, אבל אם הבשר כבר נמלח והודח אסור אפי' דיעבד אם הכבד למעלה דודאי לא גרע משאר בשר שלא נמלח שנמלח ע"ג בשר שנמלח כבר והודח דנתבאר לעיל ס"ס ע' דאסור, וכן מוכח להדיא בתה"א שם דמיירי כשמולח שניהם, ש"ך (סקט"ו).</w:t>
      </w:r>
    </w:p>
  </w:footnote>
  <w:footnote w:id="632">
    <w:p w14:paraId="10C4B67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משום היכרא דאינו דומה לשאר בשר שלא יבואו לבשל עם בשר </w:t>
      </w:r>
      <w:r w:rsidRPr="005C6730">
        <w:rPr>
          <w:rFonts w:asciiTheme="minorBidi" w:hAnsiTheme="minorBidi"/>
          <w:sz w:val="14"/>
          <w:szCs w:val="14"/>
          <w:rtl/>
        </w:rPr>
        <w:t xml:space="preserve">(הג"ה שבסוף </w:t>
      </w:r>
      <w:r>
        <w:rPr>
          <w:rFonts w:asciiTheme="minorBidi" w:hAnsiTheme="minorBidi"/>
          <w:sz w:val="14"/>
          <w:szCs w:val="14"/>
          <w:rtl/>
        </w:rPr>
        <w:t>או"ה</w:t>
      </w:r>
      <w:r w:rsidRPr="005C6730">
        <w:rPr>
          <w:rFonts w:asciiTheme="minorBidi" w:hAnsiTheme="minorBidi"/>
          <w:sz w:val="14"/>
          <w:szCs w:val="14"/>
          <w:rtl/>
        </w:rPr>
        <w:t xml:space="preserve"> </w:t>
      </w:r>
      <w:r w:rsidRPr="005C6730">
        <w:rPr>
          <w:rFonts w:asciiTheme="minorBidi" w:hAnsiTheme="minorBidi"/>
          <w:sz w:val="12"/>
          <w:szCs w:val="12"/>
          <w:rtl/>
        </w:rPr>
        <w:t xml:space="preserve">[שער טז סי' ט] </w:t>
      </w:r>
      <w:r w:rsidRPr="005C6730">
        <w:rPr>
          <w:rFonts w:asciiTheme="minorBidi" w:hAnsiTheme="minorBidi"/>
          <w:sz w:val="14"/>
          <w:szCs w:val="14"/>
          <w:rtl/>
        </w:rPr>
        <w:t xml:space="preserve">ובהגשע"ד </w:t>
      </w:r>
      <w:r w:rsidRPr="005C6730">
        <w:rPr>
          <w:rFonts w:asciiTheme="minorBidi" w:hAnsiTheme="minorBidi"/>
          <w:sz w:val="12"/>
          <w:szCs w:val="12"/>
          <w:rtl/>
        </w:rPr>
        <w:t>[סי' כד אות ד]</w:t>
      </w:r>
      <w:r w:rsidRPr="005C6730">
        <w:rPr>
          <w:rFonts w:asciiTheme="minorBidi" w:hAnsiTheme="minorBidi"/>
          <w:sz w:val="14"/>
          <w:szCs w:val="14"/>
          <w:rtl/>
        </w:rPr>
        <w:t>)</w:t>
      </w:r>
      <w:r w:rsidRPr="005C6730">
        <w:rPr>
          <w:rFonts w:asciiTheme="minorBidi" w:hAnsiTheme="minorBidi"/>
          <w:rtl/>
        </w:rPr>
        <w:t xml:space="preserve">, א"נ משום דהאור חוזר ומבליע הדם </w:t>
      </w:r>
      <w:r w:rsidRPr="005C6730">
        <w:rPr>
          <w:rFonts w:asciiTheme="minorBidi" w:hAnsiTheme="minorBidi"/>
          <w:sz w:val="14"/>
          <w:szCs w:val="14"/>
          <w:rtl/>
        </w:rPr>
        <w:t>(אגור בשם מהרי"ל)</w:t>
      </w:r>
      <w:r w:rsidRPr="005C6730">
        <w:rPr>
          <w:rFonts w:asciiTheme="minorBidi" w:hAnsiTheme="minorBidi"/>
          <w:rtl/>
        </w:rPr>
        <w:t>, ולפ"ז נראה דאם אירע שמלחה ידיחנה קודם הצלייה וכדלעיל</w:t>
      </w:r>
      <w:r w:rsidRPr="005C6730">
        <w:rPr>
          <w:rFonts w:asciiTheme="minorBidi" w:hAnsiTheme="minorBidi"/>
          <w:sz w:val="14"/>
          <w:szCs w:val="14"/>
          <w:rtl/>
        </w:rPr>
        <w:t xml:space="preserve"> (סי' סט סס"כ)</w:t>
      </w:r>
      <w:r w:rsidRPr="005C6730">
        <w:rPr>
          <w:rFonts w:asciiTheme="minorBidi" w:hAnsiTheme="minorBidi"/>
          <w:rtl/>
        </w:rPr>
        <w:t>, ש"ך</w:t>
      </w:r>
      <w:r w:rsidRPr="005C6730">
        <w:rPr>
          <w:rFonts w:asciiTheme="minorBidi" w:hAnsiTheme="minorBidi"/>
          <w:sz w:val="16"/>
          <w:szCs w:val="16"/>
          <w:rtl/>
        </w:rPr>
        <w:t xml:space="preserve"> (סקט"ז)</w:t>
      </w:r>
      <w:r w:rsidRPr="005C6730">
        <w:rPr>
          <w:rFonts w:asciiTheme="minorBidi" w:hAnsiTheme="minorBidi"/>
          <w:rtl/>
        </w:rPr>
        <w:t>.</w:t>
      </w:r>
    </w:p>
  </w:footnote>
  <w:footnote w:id="633">
    <w:p w14:paraId="6599637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מלשון זה וגם מדנקט הר"ב עוף משמע דאתא לאשמועינן דבבהמה שאין דרך להיות הכבד דבוקה בה בשעת מליחה פשיטא דליכא מ"ד דבעי קליפה אבל נמצא בתוכה כשאינה דבוקה לא, וכ"כ באו"ה שם בהדיא, ופסקו בת"ח שם סוף דין י', דלא כדמשמע בעט"ז דאפי' אינה דבוקה בו בעי קליפה, ועיין בסק"כ, ש"ך (סקי"ז).</w:t>
      </w:r>
    </w:p>
  </w:footnote>
  <w:footnote w:id="634">
    <w:p w14:paraId="488919A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אפי' רוצה לאכלה כך צלויה, ש"ך (סקי"ח).</w:t>
      </w:r>
    </w:p>
  </w:footnote>
  <w:footnote w:id="635">
    <w:p w14:paraId="4EAA049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אם לא הדיחה כלל אפי' קודם צלייה ובישלה כך מותר וכ"כ בד"מ בשם או"ה כלל ט"ז וכן משמע בת"ח שם דין י' והטעם איתא שם דדם כבד דרבנן אבל אם לא הדיחה אחר הצלייה כבר כתבו הר"ב בסעיף א' מיהו מסיק בת"ח שם דלכתחלה נהגו להדיח גם קודם צלייה ומשמע שם אפילו לאכלה כך צלויה וע"ש, ש"ך (סקי"ט).</w:t>
      </w:r>
    </w:p>
  </w:footnote>
  <w:footnote w:id="636">
    <w:p w14:paraId="6B7E13E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על זה המרדכי- וחומרא בעלמא הוא דהא בכבדא עילוי בישרא לא בעי קליפה.</w:t>
      </w:r>
    </w:p>
  </w:footnote>
  <w:footnote w:id="637">
    <w:p w14:paraId="5ECE6DF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עליו הב"י (בבדה"ב)- וכבר נתבאר שאין הדבר כן אלא דברי המתיר עיקר משום דכבולעו כך פולטו, ומ"ש שיש בה יותר מששים- הדבר נראה לעין שאינו כן, ואם על מאי דנפיק מיניה נתכוין לאו כלום היא דהא קיי"ל (חולין צז:) דבכוליה משערינן.</w:t>
      </w:r>
    </w:p>
  </w:footnote>
  <w:footnote w:id="638">
    <w:p w14:paraId="305D900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מפשט דברי רבינו נראה שאפילו דבוק הכבד בעוף בששים כנגד הכבד סגי.</w:t>
      </w:r>
    </w:p>
  </w:footnote>
  <w:footnote w:id="639">
    <w:p w14:paraId="106BE4B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w:t>
      </w:r>
      <w:r w:rsidRPr="005C6730">
        <w:rPr>
          <w:rFonts w:asciiTheme="minorBidi" w:hAnsiTheme="minorBidi"/>
          <w:color w:val="FF0000"/>
          <w:rtl/>
        </w:rPr>
        <w:t>ועיין לעיל סימן ע"ב (אות ד) אם הוא דבוק בעוף אי אמרינן חתיכה נעשית נבלה דדינו כמו בלב, דרכ"מ (אות ט).</w:t>
      </w:r>
    </w:p>
  </w:footnote>
  <w:footnote w:id="640">
    <w:p w14:paraId="1633125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ובסימן צ"ב (קמו:) יתבאר דהלכה כרבינו אפרים דסובר דלא אמרינן חתיכה עצמה נעשית נבלה אלא בבשר בחלב אבל לא בשאר איסורין, וא"כ אפילו דבוק הכבד בעוף- בששים כנגד הכבד סגי, וכדמשמע מפשט דברי רבינו, ב"י.</w:t>
      </w:r>
    </w:p>
  </w:footnote>
  <w:footnote w:id="641">
    <w:p w14:paraId="4053216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ומשערין בעופות ובשר ורוטב לדברי הפוסקים דמין במינו בששים, אבל רש"י </w:t>
      </w:r>
      <w:r w:rsidRPr="005C6730">
        <w:rPr>
          <w:rFonts w:asciiTheme="minorBidi" w:hAnsiTheme="minorBidi"/>
          <w:sz w:val="16"/>
          <w:szCs w:val="16"/>
          <w:rtl/>
        </w:rPr>
        <w:t xml:space="preserve">(קט. ד"ה ותו לא) </w:t>
      </w:r>
      <w:r w:rsidRPr="005C6730">
        <w:rPr>
          <w:rFonts w:asciiTheme="minorBidi" w:hAnsiTheme="minorBidi"/>
          <w:rtl/>
        </w:rPr>
        <w:t>פסק שמין במינו במשהו</w:t>
      </w:r>
      <w:r w:rsidRPr="005C6730">
        <w:rPr>
          <w:rFonts w:asciiTheme="minorBidi" w:hAnsiTheme="minorBidi"/>
          <w:sz w:val="16"/>
          <w:szCs w:val="16"/>
          <w:rtl/>
        </w:rPr>
        <w:t xml:space="preserve"> </w:t>
      </w:r>
      <w:r w:rsidRPr="005C6730">
        <w:rPr>
          <w:rFonts w:asciiTheme="minorBidi" w:hAnsiTheme="minorBidi"/>
          <w:sz w:val="14"/>
          <w:szCs w:val="14"/>
          <w:rtl/>
        </w:rPr>
        <w:t>{ובסי' צח יתבאר שאין הלכה כדברי רש"י שסובר דמין במינו במשהו, ב"י}</w:t>
      </w:r>
      <w:r w:rsidRPr="005C6730">
        <w:rPr>
          <w:rFonts w:asciiTheme="minorBidi" w:hAnsiTheme="minorBidi"/>
          <w:rtl/>
        </w:rPr>
        <w:t xml:space="preserve">, ולדידיה לא משערין בעופות אלא בבשר ורוטב, דעופות ובשר שני מינין הם, וכבד ועוף שני מינין הם, דקיי"ל כרבא דאמר בפרק בתרא דע"ז </w:t>
      </w:r>
      <w:r w:rsidRPr="005C6730">
        <w:rPr>
          <w:rFonts w:asciiTheme="minorBidi" w:hAnsiTheme="minorBidi"/>
          <w:sz w:val="16"/>
          <w:szCs w:val="16"/>
          <w:rtl/>
        </w:rPr>
        <w:t xml:space="preserve">(סו.) </w:t>
      </w:r>
      <w:r w:rsidRPr="005C6730">
        <w:rPr>
          <w:rFonts w:asciiTheme="minorBidi" w:hAnsiTheme="minorBidi"/>
          <w:rtl/>
        </w:rPr>
        <w:t>דבתר שמא אזלינן, ראבי"ה.</w:t>
      </w:r>
    </w:p>
  </w:footnote>
  <w:footnote w:id="642">
    <w:p w14:paraId="5034E35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ועוד יתבאר זה בסי' עו (קכד:).</w:t>
      </w:r>
    </w:p>
  </w:footnote>
  <w:footnote w:id="643">
    <w:p w14:paraId="1802CE5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ראבי"ה</w:t>
      </w:r>
      <w:r w:rsidRPr="005C6730">
        <w:rPr>
          <w:rFonts w:asciiTheme="minorBidi" w:hAnsiTheme="minorBidi"/>
          <w:sz w:val="16"/>
          <w:szCs w:val="16"/>
          <w:rtl/>
        </w:rPr>
        <w:t xml:space="preserve"> (סי' אלף קיב, הביאו המרדכי [שם])</w:t>
      </w:r>
      <w:r w:rsidRPr="005C6730">
        <w:rPr>
          <w:rFonts w:asciiTheme="minorBidi" w:hAnsiTheme="minorBidi"/>
          <w:rtl/>
        </w:rPr>
        <w:t xml:space="preserve"> ורבינו יעבץ</w:t>
      </w:r>
      <w:r w:rsidRPr="005C6730">
        <w:rPr>
          <w:rFonts w:asciiTheme="minorBidi" w:hAnsiTheme="minorBidi"/>
          <w:sz w:val="16"/>
          <w:szCs w:val="16"/>
          <w:rtl/>
        </w:rPr>
        <w:t xml:space="preserve"> (בפסקיו, הביאו המרדכי [שם])</w:t>
      </w:r>
      <w:r w:rsidRPr="005C6730">
        <w:rPr>
          <w:rFonts w:asciiTheme="minorBidi" w:hAnsiTheme="minorBidi"/>
          <w:rtl/>
        </w:rPr>
        <w:t>.</w:t>
      </w:r>
    </w:p>
  </w:footnote>
  <w:footnote w:id="644">
    <w:p w14:paraId="3EB37105" w14:textId="77777777" w:rsidR="004C5A3C" w:rsidRPr="005C6730" w:rsidRDefault="004C5A3C" w:rsidP="002C39F4">
      <w:pPr>
        <w:pStyle w:val="a5"/>
        <w:rPr>
          <w:rFonts w:asciiTheme="minorBidi" w:hAnsiTheme="minorBidi"/>
          <w:color w:val="000000" w:themeColor="text1"/>
        </w:rPr>
      </w:pPr>
      <w:r w:rsidRPr="005C6730">
        <w:rPr>
          <w:rStyle w:val="a7"/>
          <w:rFonts w:asciiTheme="minorBidi" w:hAnsiTheme="minorBidi"/>
          <w:color w:val="000000" w:themeColor="text1"/>
        </w:rPr>
        <w:footnoteRef/>
      </w:r>
      <w:r w:rsidRPr="005C6730">
        <w:rPr>
          <w:rFonts w:asciiTheme="minorBidi" w:hAnsiTheme="minorBidi"/>
          <w:color w:val="000000" w:themeColor="text1"/>
          <w:rtl/>
        </w:rPr>
        <w:t xml:space="preserve"> וכ' עוד האגור (שם, הביאו הב"י)- הלב שנמצא במולייתא משערינן </w:t>
      </w:r>
      <w:r w:rsidRPr="005C6730">
        <w:rPr>
          <w:rFonts w:asciiTheme="minorBidi" w:hAnsiTheme="minorBidi"/>
          <w:color w:val="FF0000"/>
          <w:rtl/>
        </w:rPr>
        <w:t xml:space="preserve">בדם הנמצא בו </w:t>
      </w:r>
      <w:r w:rsidRPr="005C6730">
        <w:rPr>
          <w:rFonts w:asciiTheme="minorBidi" w:hAnsiTheme="minorBidi"/>
          <w:color w:val="000000" w:themeColor="text1"/>
          <w:rtl/>
        </w:rPr>
        <w:t>בששים.</w:t>
      </w:r>
    </w:p>
  </w:footnote>
  <w:footnote w:id="645">
    <w:p w14:paraId="05039F3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ונראה דהיינו למ"ד חתיכה עצמה נעשית נבלה בכל האיסורים אבל לדידן דקיי"ל כרבינו אפרים דלא אמרינן הכי אלא בבשר בחלב לא נאסר העוף אם יש בו ששים.</w:t>
      </w:r>
    </w:p>
  </w:footnote>
  <w:footnote w:id="646">
    <w:p w14:paraId="7700B981" w14:textId="77777777" w:rsidR="004C5A3C" w:rsidRDefault="004C5A3C" w:rsidP="002C39F4">
      <w:pPr>
        <w:pStyle w:val="a5"/>
      </w:pPr>
      <w:r>
        <w:rPr>
          <w:rStyle w:val="a7"/>
        </w:rPr>
        <w:footnoteRef/>
      </w:r>
      <w:r>
        <w:rPr>
          <w:rtl/>
        </w:rPr>
        <w:t xml:space="preserve"> </w:t>
      </w:r>
      <w:r>
        <w:rPr>
          <w:rFonts w:hint="cs"/>
          <w:rtl/>
        </w:rPr>
        <w:t xml:space="preserve">לאחר שיקרע את הסמפונות של הכבד </w:t>
      </w:r>
      <w:r w:rsidRPr="004E0F63">
        <w:rPr>
          <w:rFonts w:hint="cs"/>
          <w:sz w:val="16"/>
          <w:szCs w:val="16"/>
          <w:rtl/>
        </w:rPr>
        <w:t xml:space="preserve">(לא ראיתי </w:t>
      </w:r>
      <w:r>
        <w:rPr>
          <w:rFonts w:hint="cs"/>
          <w:sz w:val="16"/>
          <w:szCs w:val="16"/>
          <w:rtl/>
        </w:rPr>
        <w:t>אף אחד</w:t>
      </w:r>
      <w:r w:rsidRPr="004E0F63">
        <w:rPr>
          <w:rFonts w:hint="cs"/>
          <w:sz w:val="16"/>
          <w:szCs w:val="16"/>
          <w:rtl/>
        </w:rPr>
        <w:t xml:space="preserve"> מהפוסקים שהזכיר עניין הקריעה כאן, אבל נראה לי שכך הדין, עי' סע' ג)</w:t>
      </w:r>
      <w:r>
        <w:rPr>
          <w:rFonts w:hint="cs"/>
          <w:rtl/>
        </w:rPr>
        <w:t>.</w:t>
      </w:r>
    </w:p>
  </w:footnote>
  <w:footnote w:id="647">
    <w:p w14:paraId="71D97B9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משמע אפילו אינו דבוק מצריכין קליפה בצלי וכ"כ בד"מ ובת"ח ריש כלל כ"ו בשם או"ה, ש"ך (סק"כ).</w:t>
      </w:r>
    </w:p>
  </w:footnote>
  <w:footnote w:id="648">
    <w:p w14:paraId="3F67B8F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וסיים בת"ח שם ולכן אם לא קלפוה ונתבשל כך אין לחוש כלל עכ"ל, ונ"ל דאפי' קליפה א"צ אחר הבישול משא"כ גבי לב לעיל סי' ע"ב וע"ש סק"ח, ש"ך (סקכ"א).</w:t>
      </w:r>
    </w:p>
  </w:footnote>
  <w:footnote w:id="649">
    <w:p w14:paraId="092F6C2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המחבר סתם הדברים דבכל גוונא דאיכא ס' נגד הכבד הכל שרי דס"ל לקמן סי' צ"ב דלא אמרי' חנ"נ רק בבשר בחלב ולא בשאר איסורין, וע"ל סי' ע"ב סקט"ו, ש"ך (סקכ"ב).</w:t>
      </w:r>
    </w:p>
  </w:footnote>
  <w:footnote w:id="650">
    <w:p w14:paraId="7B54727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מפשט דברי הר"ב משמע דאפי' נמלחה קודם אסורה, דהא ארישא קאי דאיירי בנמלחה שהרי היא דבוקה בעוף, וכ"מ להדיא בסימני ת"ח (כלל כ"ד ד"ג) וכ"כ הב"ח, אמנם צ"ע בעיקר דין זה לפי שהרב בת"ח שם כ' שנ"ל להתיר הכבד אפי' לא נמלחה מקודם כשיש ס' מטעם דבשר שנתבשל בלא מליחה דאסור אפי' יש ס' גופיה חומרא בעלמא הוא וכדלעיל סי' ס"ט סי"א והלכך גבי כבד דבלא"ה רוב הפוסקים הסכימו דאין הכבד נאסר אין להחמיר עכ"ד, אלא שכתב אח"כ- אבל מצאתי שכ' רי"ו </w:t>
      </w:r>
      <w:r w:rsidRPr="005C6730">
        <w:rPr>
          <w:rFonts w:asciiTheme="minorBidi" w:hAnsiTheme="minorBidi"/>
          <w:sz w:val="16"/>
          <w:szCs w:val="16"/>
          <w:rtl/>
        </w:rPr>
        <w:t>(תא"ו נט"ו אות ח)</w:t>
      </w:r>
      <w:r w:rsidRPr="005C6730">
        <w:rPr>
          <w:rFonts w:asciiTheme="minorBidi" w:hAnsiTheme="minorBidi"/>
          <w:rtl/>
        </w:rPr>
        <w:t xml:space="preserve"> דאפילו איכא ס' נגד הכבד מ"מ הכבד אסור כמו גבי לב עכ"ל ואין לזוז מדבריו כי בטלה דעתי נגד דבריו עכ"ל הרב, וברי"ו (נט"ו אות ח) לא נמצא דבר, ואדרבה כ' לשם שמשערינן בכל הכבד כיון שאין אנו יודעים כמה דם יצא ממנו אע"פ שהכבד מותר כמ"ש שאינו נאסר דומיא דלב שמלחו בלא קריעה שמשערינן בכל הלב אע"פ שהלב מותר כמ"ש בדיני הלב עכ"ל אלא שכ' לשם בסוף האות דתרנגולת שנצלה עם הכבד שלה הכבד אסור ותרנגולת מותרת כי יש בה יותר מס' עכ"ל, וא"א לומר שהרב כוון לזה שהרי העתיק לשונו כמו גבי לב, ועוד דע"כ אין ראייה מזה דבלא"ה קשה דהא ס"ל לרי"ו דהכבד מותרת שפולטת ואינו בולעת אלא צ"ל דס"ל לרי"ו דבצלי שאני שפולטת דם הרבה וכנוס תחתיה בחלל התרנגולת וחוזר ונבלע בכבד וגם ס"ל כתוס' דפכ"ה שהבאתי בסקי"ב דלא אמרינן כבולעו כך פולטו בדם כבד </w:t>
      </w:r>
      <w:r w:rsidRPr="005C6730">
        <w:rPr>
          <w:rFonts w:asciiTheme="minorBidi" w:hAnsiTheme="minorBidi"/>
          <w:sz w:val="16"/>
          <w:szCs w:val="16"/>
          <w:rtl/>
        </w:rPr>
        <w:t>(מיהו אנן לא קי"ל כרי"ו בהא אלא כמ"ש הפוסקים והטור בס"ו דנמצא כבד בעוף צלי מותר מטעם דכבכ"פ וכ"כ הב"י בס' ב"ה גם במה שמשמע מדברי רי"ו דתרנגולת יש בה ס' נגד כבדה לא קי"ל כוותיה)</w:t>
      </w:r>
      <w:r w:rsidRPr="005C6730">
        <w:rPr>
          <w:rFonts w:asciiTheme="minorBidi" w:hAnsiTheme="minorBidi"/>
          <w:rtl/>
        </w:rPr>
        <w:t>, וגם ס"ל לרי"ו דלא אמרינן דם מישרק שריק אלא בכבדא ע"ג בישרא משא"כ בחלל התרנגולת דלא שריק דלא עדיף מאלו יש גומות בבשר דלא אמרינן מישרק שריק וכמ"ש בס"ס ע"ה בשם הגה"מ ושאר פוסקים וא"כ אין ראיה לדין דהכא וצ"ע, ש"ך (סקכ"ג). וכ' הט"ז (סק"ח) בת"ח כתב דנראה לו להתיר גם הכבד ואף על גב דקי"ל בסי' ס"ט בבשר שלא נמלח ונתבשל עם שאר בשר אף על גב דאיכא ס' נגד אותה חתיכה אסורה מ"מ בכה"ג הכבד שרי דהרי רוב הפוסקים הסכימו דאין הכבד בולעת אלא שאנו מחמירין, ותו דאף בשאר חתיכת בשר שלא נמלח ונתבשל חומרא בעלמא הוא לאסור אותה בדאיכא ס', ע"כ בכה"ג יש להתיר גם הכבד כיון דאיכא ס' אלא שרי"ו אוסר גם הכבד ע"כ מבטל דעתו נגד רי"ו ע"כ, וכיון שכתבתי בסעיף א' שרש"ל מתיר להלכה למעשה הכבד שנתבשלה לבדה יש לסמוך עליו בזה לכל הפחות דאין הכבד חוזרת ואוסרת אח"כ דברים אחרים בנתינת טעם דהיא עצמה אינה אסורה כלל מן הדין אלא מצד חומרא והיינו בנתבשלה בלא בשר אבל עם בשר פשיטא שאין לסמוך להקל בזה כנלע"ד.</w:t>
      </w:r>
    </w:p>
  </w:footnote>
  <w:footnote w:id="651">
    <w:p w14:paraId="71B789A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לכאורה היה נראה מדכתב הר"ב ונמצא בו וכן מדהוצרך לכתוב ובעינן ס' מן העוף בלא המלוי דאיירי אפילו כשאינו דבוק הלב או הכבד בעוף ואפ"ה אינו מצטרף המלוי לבטל בששים, וכדעת מהרש"ל וכך הבין העט"ז, אבל פשטא דלישנא דדינו כמבושל שכ' הר"ב לא משמע הכי אלא משמע דהוי כנתבשל הכל ביחד וכן משמע באו"ה כלל ט"ז ד"ח ובת"ח כלל כ"ו ד"ב שלא הזכירו שם דבעינן ס' מן העוף בלא המלוי וכן משמע מדברי הר"ב לקמן סי' ע"ז וכמו שיתבאר שם בס"ד וכן בכבד הנמצא בפשטיד"א כתב הר"ב בת"ח כלל כ"ח ד"ב ובהג"ה ס"ס ע"ח דיש לה דין בישול לקדרה בין לקולא בין לחומרא והיינו דאם יש ס' בפשטיד"א הכל שרי מלבד החתיכה שהאיסור דבוק בה וכמו שנתבאר שם ופשטיד"א דומה למילוי ביצים ואדרבה הסמ"ג לאוין קל"ז דף מ"ח ע"ג מחמיר טפי בפשטיד"א מבמלוי ביצים דס"ל התם דבפשטיד"א לא אמרינן כבולעו כך פולטו ובביצים אמרינן כבכ"פ וכן מהרש"ל באו"ש ובספרו דימה דין קמח לביצים (וכן מביא הב"ח על שמו בס"ס ע"ז) וא"כ ה"ה בביצים דאם אין האיסור דבוק מצטרף המלוי ג"כ לבטל וכן בדין דכיון דאמרינן דהביצים כיון שהם נקרשים גורמין דהוי כבישול למה לא יצטרפו גם כן לבטל וכן משמע דעת הב"ח בס"ס ע"ב בזה אלא הר"ב מיירי כאן שנמצא הלב או הכבד דבוק בעוף (וכן נ"ל מוכח מדברי האגודה פכ"ה סי' קכ"א ומדברי המרדכי שם ע"ש תשובת רש"י ומא"ו של מהרי"ל דמיירי בדבוק ולא כמהרש"ל באו"ש ובספרו ע"ש) ולכן בעינן ס' מן העוף בלא המלוי ולא בא הר"ב אלא לאשמועינן דל"ת דבכל צלייה אמרינן כבכ"פ אפילו במלוי ביצים (וכדעת הרמב"ם פ"ו מהמ"א וסמ"ג שם) אלא כיון דמלאוהו בביצים שהם נקרשים לא שייך כבולעו כך פולטו והוי כאלו נתבשל הכל יחד ואגב זה נקט נמי דבעינן ס' מן העוף בלא המלוי כלומר כשהאיסור דבוק בו כדין שאר בישול א"נ אתא לאשמועינן דל"ת כיון דהמלוי גורם דהוי כבישול אם כן נבלע אדרבה מתחלה במלוי ואם כן אף שהאיסור דבוק בעוף יצטרף המלוי קמ"ל, ש"ך (סקכ"ד).</w:t>
      </w:r>
    </w:p>
  </w:footnote>
  <w:footnote w:id="652">
    <w:p w14:paraId="2928D0D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אע"ג דאין עוף שהוא ס' נגד הכבד שלו י"ל דמיירי כשהכבד אינה שלימה וכן מ"ש ואם לאו הכל אסור ר"ל דאם אין העוף שלם דאז אפשר דאין בו ס' נגד לבו דאל"כ הא כבר נתבאר בס"ס ע"ב דאין לך עוף שלא יהא בו ס' נגד לבו וק"ל, ונראה מדברי הר"ב דבדאיכא ס' גם המלוי מותר וכן משמע דעתו בת"ח שם להדיא וכן משמע פשטא דמילתא באגודה שם וכן במהרי"ל ובאו"ה שם ואף על פי שדעת מהרש"ל והב"ח אינו כן מ"מ הא בלא"ה הרמב"ם והסמ"ג ס"ל דבביצים נמי אמרינן כבכ"פ, ש"ך (סקכ"ה).</w:t>
      </w:r>
    </w:p>
  </w:footnote>
  <w:footnote w:id="653">
    <w:p w14:paraId="1DDFB33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משמע דעת הר"ב דאם יש שם ביצים אע"פ שיש שם בשר שלא נמלח לא אמרינן כבכ"פ וכן יתבאר עוד דעת הר"ב בזה בסי' ע"ז, ש"ך (סקכ"ו). </w:t>
      </w:r>
    </w:p>
  </w:footnote>
  <w:footnote w:id="654">
    <w:p w14:paraId="29EB6E9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אף על פי שדם הנבלע בו היתר הוא מיהו דם הכנוס בסמפונות דם הוא, רש"י.</w:t>
      </w:r>
    </w:p>
  </w:footnote>
  <w:footnote w:id="655">
    <w:p w14:paraId="47FF863B" w14:textId="77777777" w:rsidR="004C5A3C" w:rsidRPr="00741E69" w:rsidRDefault="004C5A3C" w:rsidP="002C39F4">
      <w:pPr>
        <w:pStyle w:val="a5"/>
        <w:rPr>
          <w:rFonts w:asciiTheme="minorBidi" w:hAnsiTheme="minorBidi"/>
          <w:color w:val="FF0000"/>
        </w:rPr>
      </w:pPr>
      <w:r w:rsidRPr="005C6730">
        <w:rPr>
          <w:rStyle w:val="a7"/>
          <w:rFonts w:asciiTheme="minorBidi" w:hAnsiTheme="minorBidi"/>
        </w:rPr>
        <w:footnoteRef/>
      </w:r>
      <w:r w:rsidRPr="005C6730">
        <w:rPr>
          <w:rFonts w:asciiTheme="minorBidi" w:hAnsiTheme="minorBidi"/>
          <w:rtl/>
        </w:rPr>
        <w:t xml:space="preserve"> דבעי קריעה בכבדא מפני שדם כנוס לתוכו אבל טחלא אין בו דם ואפילו לקדרה שרי, רש"י.</w:t>
      </w:r>
      <w:r>
        <w:rPr>
          <w:rFonts w:asciiTheme="minorBidi" w:hAnsiTheme="minorBidi" w:hint="cs"/>
          <w:rtl/>
        </w:rPr>
        <w:t xml:space="preserve"> וכתבו התוס' (ד"ה אבל) </w:t>
      </w:r>
      <w:r w:rsidRPr="00C76A63">
        <w:rPr>
          <w:rFonts w:asciiTheme="minorBidi" w:hAnsiTheme="minorBidi"/>
          <w:rtl/>
        </w:rPr>
        <w:t>טחלא שומנא בעלמא הוא היינו דוקא גוף הטחול הוא שומן אבל דם היוצא ממנו אסור כדתניא פ' דם שחיטה (כריתות דף כא:).</w:t>
      </w:r>
      <w:r>
        <w:rPr>
          <w:rFonts w:asciiTheme="minorBidi" w:hAnsiTheme="minorBidi" w:hint="cs"/>
          <w:rtl/>
        </w:rPr>
        <w:t xml:space="preserve"> עכ"ל. </w:t>
      </w:r>
      <w:r w:rsidRPr="00741E69">
        <w:rPr>
          <w:rFonts w:asciiTheme="minorBidi" w:hAnsiTheme="minorBidi" w:hint="cs"/>
          <w:color w:val="FF0000"/>
          <w:rtl/>
        </w:rPr>
        <w:t>וצל"ע האם יש מחלוקת או שהם מדברים במצבים שונים.</w:t>
      </w:r>
    </w:p>
  </w:footnote>
  <w:footnote w:id="656">
    <w:p w14:paraId="30CD4F5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הקזה, רש"י.</w:t>
      </w:r>
    </w:p>
  </w:footnote>
  <w:footnote w:id="657">
    <w:p w14:paraId="4F688DA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ראיתי בדרישה ופרישה שטרח לתרץ, הא לצלי א"צ מליחה, ובחנם טרח דהאי בין לצלי לא קאי אדסמיך ליה אלא אדלעיל מיניה וה"ק הטחול אף על פי שיש בו אדמומית כו' דינו כשאר בשר דא"צ אלא מליחה והוה דינו בכל הדברים כבשר בין לצלי בין לקדרה בכל דבר שבעולם כגון לענין הדחה ושאר דברים, ט"ז (סק"א).</w:t>
      </w:r>
    </w:p>
  </w:footnote>
  <w:footnote w:id="658">
    <w:p w14:paraId="790EEE1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הדרכ"מ (אות א) דכן המנהג.</w:t>
      </w:r>
    </w:p>
  </w:footnote>
  <w:footnote w:id="659">
    <w:p w14:paraId="4CD20CC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בת"ח (כלל ל"א)- ומשמע הלשון דאסתם טחול קאמר דהוא כך, דאל"כ מאי קמ"ל, ומ"מ צ"ע דאמאי לא כתבוהו הפוסקים כמו שכתבוהו גבי לב, ואפשר דדוקא התם שיערו כך וקמ"ל דשומן הטחול מפעפע ודינו בס' אפילו בצלייה, ע"כ אין לסמוך להקל בסתם טחול מכח זה אא"כ ברור שיש ס' בהיתר נגדו הואיל ואפשר לדחוק וליישב הלשון עכ"ל. והביא הט"ז (סק"א) את דבריו וכ'- ולענ"ד נראה דודאי לא קאי על סתם טחול דגבי לב מצינו שהיה קבלה בידם ע"ז כמ"ש הטור בשם הרא"ש ולמה הוצרך לקבלה ולא שיערו בעצמו אלא דמידי דתלוי בשיעור אין לתת בו כלל כי לפעמים לא יהיה כך והא ראיה שכתבו האחרונים דלפעמים יש אף בחתיכה של עוף ס' נגד הלב או הכבד אף על פי שכתבו שאם אין העוף שלם אין שם ס' אלא ע"כ דהקבלה היא באם העוף שלם בודאי יש בריוח ס' ואם אינו שלם תלוי בראיית עין וא"כ היאך נאמר בטחול כיון שהם שיערו באחת יהיה כן לעולם והלא לפעמים יש חלב הרבה ולפעמים מעט שהוא כחוש, ע"כ אין כאן חומרא רק איסור גמור מן הדין עד שיהא ששים נגדו.</w:t>
      </w:r>
    </w:p>
  </w:footnote>
  <w:footnote w:id="660">
    <w:p w14:paraId="31410F5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ומותר לבשלו אפילו עם שאר בשר, ת"ח ריש כלל ל"א, ש"ך (סק"א).</w:t>
      </w:r>
    </w:p>
  </w:footnote>
  <w:footnote w:id="661">
    <w:p w14:paraId="27F5C59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בקדרה, ול' הב"י- ואנו נהגנו היתר לבשלם ולא שמענו פוצה פה ע"כ, ובמדינות אלו אין נוהגין כן, ש"ך (סק"ב).</w:t>
      </w:r>
    </w:p>
  </w:footnote>
  <w:footnote w:id="662">
    <w:p w14:paraId="1AAABF1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עי' בסי' ס"ה סע' ד' ומה שכתבתי שם (ס"קט-יא), ש"ך (סק"ג).</w:t>
      </w:r>
    </w:p>
  </w:footnote>
  <w:footnote w:id="663">
    <w:p w14:paraId="237107B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כלומר אע"ג דכבדא עלוי בישרא לכתח' אסור, וכמש"נ בסי' הקודם סע' ה', באלו מותר אפי' לכתח' ע"ג שאר בשר, ש"ך</w:t>
      </w:r>
      <w:r w:rsidRPr="005C6730">
        <w:rPr>
          <w:rFonts w:asciiTheme="minorBidi" w:hAnsiTheme="minorBidi"/>
          <w:sz w:val="14"/>
          <w:szCs w:val="14"/>
          <w:rtl/>
        </w:rPr>
        <w:t xml:space="preserve"> (סק"ד)</w:t>
      </w:r>
      <w:r w:rsidRPr="005C6730">
        <w:rPr>
          <w:rFonts w:asciiTheme="minorBidi" w:hAnsiTheme="minorBidi"/>
          <w:rtl/>
        </w:rPr>
        <w:t>.</w:t>
      </w:r>
    </w:p>
  </w:footnote>
  <w:footnote w:id="664">
    <w:p w14:paraId="424263E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דין קרום הטחול נתבאר בסי' ס"ד ס"י, ודין קרום הכוליא שם סעיף י"ב ע"ש, וע' לקמן בסי' ק"ה ס"ח, ש"ך (סק"ה).</w:t>
      </w:r>
    </w:p>
  </w:footnote>
  <w:footnote w:id="665">
    <w:p w14:paraId="07FE8B8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אינן בחזקת דם ליאסר אם לא נמלחו, רש"י.</w:t>
      </w:r>
    </w:p>
  </w:footnote>
  <w:footnote w:id="666">
    <w:p w14:paraId="4B3A826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טבחיי"א, אבל הלב והריאה והכבד וכנתא גופה יש בהן דם וצריכין לימלח, רש"י. </w:t>
      </w:r>
      <w:r w:rsidRPr="005C6730">
        <w:rPr>
          <w:rFonts w:asciiTheme="minorBidi" w:hAnsiTheme="minorBidi"/>
          <w:sz w:val="16"/>
          <w:szCs w:val="16"/>
          <w:rtl/>
        </w:rPr>
        <w:t>(כרכשא- המעי האחרון שהוא שוה ואין בו עיקום, והוא דבוק בין עיקרי הירכיים ובפי הטבעת, והרעי יוצא בו, הוא הנקרא חלחולת או כרכשא או טבחיא. ויש מחתכים ומשליכים אותו לפי שאינו ראוי לאכילה</w:t>
      </w:r>
      <w:r w:rsidRPr="005C6730">
        <w:rPr>
          <w:rFonts w:asciiTheme="minorBidi" w:hAnsiTheme="minorBidi"/>
          <w:sz w:val="14"/>
          <w:szCs w:val="14"/>
          <w:rtl/>
        </w:rPr>
        <w:t xml:space="preserve"> [אנציק' תל']</w:t>
      </w:r>
      <w:r w:rsidRPr="005C6730">
        <w:rPr>
          <w:rFonts w:asciiTheme="minorBidi" w:hAnsiTheme="minorBidi"/>
          <w:sz w:val="16"/>
          <w:szCs w:val="16"/>
          <w:rtl/>
        </w:rPr>
        <w:t>)</w:t>
      </w:r>
    </w:p>
  </w:footnote>
  <w:footnote w:id="667">
    <w:p w14:paraId="1EA92ED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קבה וכרס ושאר הדקין, רש"י.</w:t>
      </w:r>
    </w:p>
  </w:footnote>
  <w:footnote w:id="668">
    <w:p w14:paraId="5B75BE6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דקין שסביב הכנתא אנטרי"ל, רש"י.</w:t>
      </w:r>
      <w:r w:rsidRPr="003045FB">
        <w:rPr>
          <w:rtl/>
        </w:rPr>
        <w:t xml:space="preserve"> </w:t>
      </w:r>
      <w:r w:rsidRPr="003045FB">
        <w:rPr>
          <w:rFonts w:asciiTheme="minorBidi" w:hAnsiTheme="minorBidi" w:cs="Arial"/>
          <w:rtl/>
        </w:rPr>
        <w:t>ופי' רבינו יעקב דווקא הדקין אבל הכנתא גופה שהוא השומן שסביביו יש בו דם וצריך למלחו</w:t>
      </w:r>
      <w:r>
        <w:rPr>
          <w:rFonts w:asciiTheme="minorBidi" w:hAnsiTheme="minorBidi" w:cs="Arial" w:hint="cs"/>
          <w:rtl/>
        </w:rPr>
        <w:t>,</w:t>
      </w:r>
      <w:r w:rsidRPr="003045FB">
        <w:rPr>
          <w:rFonts w:asciiTheme="minorBidi" w:hAnsiTheme="minorBidi" w:cs="Arial"/>
          <w:rtl/>
        </w:rPr>
        <w:t xml:space="preserve"> וכן איתא בה"ג כנתא גופא אסור משום שורייקי דמא דהוו בגויה</w:t>
      </w:r>
      <w:r>
        <w:rPr>
          <w:rFonts w:asciiTheme="minorBidi" w:hAnsiTheme="minorBidi" w:cs="Arial" w:hint="cs"/>
          <w:rtl/>
        </w:rPr>
        <w:t>, סה"ת (סי' סה)</w:t>
      </w:r>
      <w:r w:rsidRPr="003045FB">
        <w:rPr>
          <w:rFonts w:asciiTheme="minorBidi" w:hAnsiTheme="minorBidi" w:cs="Arial"/>
          <w:rtl/>
        </w:rPr>
        <w:t>.</w:t>
      </w:r>
    </w:p>
  </w:footnote>
  <w:footnote w:id="669">
    <w:p w14:paraId="4F162AEB" w14:textId="77777777" w:rsidR="004C5A3C" w:rsidRDefault="004C5A3C" w:rsidP="002C39F4">
      <w:pPr>
        <w:pStyle w:val="a5"/>
      </w:pPr>
      <w:r>
        <w:rPr>
          <w:rStyle w:val="a7"/>
        </w:rPr>
        <w:footnoteRef/>
      </w:r>
      <w:r>
        <w:rPr>
          <w:rtl/>
        </w:rPr>
        <w:t xml:space="preserve"> </w:t>
      </w:r>
      <w:r>
        <w:rPr>
          <w:rFonts w:hint="cs"/>
          <w:rtl/>
        </w:rPr>
        <w:t>ונראה דלכן כתב המרדכי</w:t>
      </w:r>
      <w:r>
        <w:rPr>
          <w:rFonts w:asciiTheme="minorBidi" w:hAnsiTheme="minorBidi" w:cs="Arial" w:hint="cs"/>
          <w:rtl/>
        </w:rPr>
        <w:t xml:space="preserve">- </w:t>
      </w:r>
      <w:r w:rsidRPr="004F6953">
        <w:rPr>
          <w:rFonts w:asciiTheme="minorBidi" w:hAnsiTheme="minorBidi" w:cs="Arial"/>
          <w:rtl/>
        </w:rPr>
        <w:t>אם לא מלח המעים ובשלו מותרים הן וכל המתבשל עמם אמנם לכתחלה אין לעשות כן.</w:t>
      </w:r>
    </w:p>
  </w:footnote>
  <w:footnote w:id="670">
    <w:p w14:paraId="2079476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w:t>
      </w:r>
      <w:r>
        <w:rPr>
          <w:rFonts w:asciiTheme="minorBidi" w:hAnsiTheme="minorBidi" w:hint="cs"/>
          <w:rtl/>
        </w:rPr>
        <w:t>סה"ת</w:t>
      </w:r>
      <w:r w:rsidRPr="003045FB">
        <w:rPr>
          <w:rFonts w:asciiTheme="minorBidi" w:hAnsiTheme="minorBidi" w:hint="cs"/>
          <w:sz w:val="16"/>
          <w:szCs w:val="16"/>
          <w:rtl/>
        </w:rPr>
        <w:t xml:space="preserve"> (סי' סה) </w:t>
      </w:r>
      <w:r w:rsidRPr="005C6730">
        <w:rPr>
          <w:rFonts w:asciiTheme="minorBidi" w:hAnsiTheme="minorBidi"/>
          <w:rtl/>
        </w:rPr>
        <w:t xml:space="preserve">רשב"א </w:t>
      </w:r>
      <w:r w:rsidRPr="005C6730">
        <w:rPr>
          <w:rFonts w:asciiTheme="minorBidi" w:hAnsiTheme="minorBidi"/>
          <w:sz w:val="16"/>
          <w:szCs w:val="16"/>
          <w:rtl/>
        </w:rPr>
        <w:t xml:space="preserve">(קיג. ד"ה אין, ותוה"ק ב"ג ש"ג, וכ"כ בשמו הה"מ </w:t>
      </w:r>
      <w:r w:rsidRPr="005C6730">
        <w:rPr>
          <w:rFonts w:asciiTheme="minorBidi" w:hAnsiTheme="minorBidi"/>
          <w:sz w:val="14"/>
          <w:szCs w:val="14"/>
          <w:rtl/>
        </w:rPr>
        <w:t>[פ"ז הט"ו]</w:t>
      </w:r>
      <w:r w:rsidRPr="005C6730">
        <w:rPr>
          <w:rFonts w:asciiTheme="minorBidi" w:hAnsiTheme="minorBidi"/>
          <w:sz w:val="16"/>
          <w:szCs w:val="16"/>
          <w:rtl/>
        </w:rPr>
        <w:t xml:space="preserve">) </w:t>
      </w:r>
      <w:r w:rsidRPr="005C6730">
        <w:rPr>
          <w:rFonts w:asciiTheme="minorBidi" w:hAnsiTheme="minorBidi"/>
          <w:rtl/>
        </w:rPr>
        <w:t xml:space="preserve">ורא"ש </w:t>
      </w:r>
      <w:r w:rsidRPr="005C6730">
        <w:rPr>
          <w:rFonts w:asciiTheme="minorBidi" w:hAnsiTheme="minorBidi"/>
          <w:sz w:val="16"/>
          <w:szCs w:val="16"/>
          <w:rtl/>
        </w:rPr>
        <w:t xml:space="preserve">(סי' מח, וכ"כ בתוס' הרא"ש חולין קיג. ד"ה אין, וכ"כ הר"ן בשמם התוס' </w:t>
      </w:r>
      <w:r w:rsidRPr="005C6730">
        <w:rPr>
          <w:rFonts w:asciiTheme="minorBidi" w:hAnsiTheme="minorBidi"/>
          <w:sz w:val="14"/>
          <w:szCs w:val="14"/>
          <w:rtl/>
        </w:rPr>
        <w:t>[רא"ש]</w:t>
      </w:r>
      <w:r w:rsidRPr="005C6730">
        <w:rPr>
          <w:rFonts w:asciiTheme="minorBidi" w:hAnsiTheme="minorBidi"/>
          <w:sz w:val="16"/>
          <w:szCs w:val="16"/>
          <w:rtl/>
        </w:rPr>
        <w:t>)</w:t>
      </w:r>
      <w:r>
        <w:rPr>
          <w:rFonts w:asciiTheme="minorBidi" w:hAnsiTheme="minorBidi" w:hint="cs"/>
          <w:rtl/>
        </w:rPr>
        <w:t>.</w:t>
      </w:r>
    </w:p>
  </w:footnote>
  <w:footnote w:id="671">
    <w:p w14:paraId="67B3E4B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אבל הכרכשתא יש בה שומן וגידים ואסור אף בדיעבד אם לא נמלח בצד החיצון ונתבשלה כך, </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ד דין י, הביאו הדרכ"מ אות א)</w:t>
      </w:r>
      <w:r w:rsidRPr="005C6730">
        <w:rPr>
          <w:rFonts w:asciiTheme="minorBidi" w:hAnsiTheme="minorBidi"/>
          <w:rtl/>
        </w:rPr>
        <w:t xml:space="preserve">. </w:t>
      </w:r>
      <w:r w:rsidRPr="005C6730">
        <w:rPr>
          <w:rFonts w:asciiTheme="minorBidi" w:hAnsiTheme="minorBidi"/>
          <w:sz w:val="16"/>
          <w:szCs w:val="16"/>
          <w:rtl/>
        </w:rPr>
        <w:t>(והיינו בדאיכא שומן בכרכשא, דאי ליכא שומן בכרכשא שריה בלא מליחה דאמרי' בגמ' דאין מחזיקין בה דם, וכ"כ הדרכ"מ (אות ג) על דברי האו"ה גבי חלחולת, והיא כרכשא, וכן משמע מלשון השו"ע)</w:t>
      </w:r>
      <w:r w:rsidRPr="005C6730">
        <w:rPr>
          <w:rFonts w:asciiTheme="minorBidi" w:hAnsiTheme="minorBidi"/>
          <w:rtl/>
        </w:rPr>
        <w:t xml:space="preserve"> </w:t>
      </w:r>
    </w:p>
  </w:footnote>
  <w:footnote w:id="672">
    <w:p w14:paraId="7B5A658B" w14:textId="77777777" w:rsidR="004C5A3C" w:rsidRDefault="004C5A3C" w:rsidP="002C39F4">
      <w:pPr>
        <w:pStyle w:val="a5"/>
      </w:pPr>
      <w:r>
        <w:rPr>
          <w:rStyle w:val="a7"/>
        </w:rPr>
        <w:footnoteRef/>
      </w:r>
      <w:r>
        <w:rPr>
          <w:rtl/>
        </w:rPr>
        <w:t xml:space="preserve"> </w:t>
      </w:r>
      <w:r>
        <w:rPr>
          <w:rFonts w:hint="cs"/>
          <w:rtl/>
        </w:rPr>
        <w:t>לפיכך</w:t>
      </w:r>
      <w:r w:rsidRPr="007D55D0">
        <w:rPr>
          <w:rFonts w:asciiTheme="minorBidi" w:hAnsiTheme="minorBidi"/>
          <w:rtl/>
        </w:rPr>
        <w:t xml:space="preserve"> </w:t>
      </w:r>
      <w:r>
        <w:rPr>
          <w:rFonts w:asciiTheme="minorBidi" w:hAnsiTheme="minorBidi" w:hint="cs"/>
          <w:rtl/>
        </w:rPr>
        <w:t xml:space="preserve">אי לא מלח את הכרס </w:t>
      </w:r>
      <w:r w:rsidRPr="003024E5">
        <w:rPr>
          <w:rFonts w:asciiTheme="minorBidi" w:hAnsiTheme="minorBidi"/>
          <w:rtl/>
        </w:rPr>
        <w:t>אסרינן אפילו בדיעבד</w:t>
      </w:r>
      <w:r>
        <w:rPr>
          <w:rFonts w:asciiTheme="minorBidi" w:hAnsiTheme="minorBidi" w:hint="cs"/>
          <w:rtl/>
        </w:rPr>
        <w:t>,</w:t>
      </w:r>
      <w:r w:rsidRPr="003024E5">
        <w:rPr>
          <w:rFonts w:asciiTheme="minorBidi" w:hAnsiTheme="minorBidi"/>
          <w:rtl/>
        </w:rPr>
        <w:t xml:space="preserve"> </w:t>
      </w:r>
      <w:r>
        <w:rPr>
          <w:rFonts w:asciiTheme="minorBidi" w:hAnsiTheme="minorBidi" w:hint="cs"/>
          <w:rtl/>
        </w:rPr>
        <w:t>ו</w:t>
      </w:r>
      <w:r w:rsidRPr="003024E5">
        <w:rPr>
          <w:rFonts w:asciiTheme="minorBidi" w:hAnsiTheme="minorBidi"/>
          <w:rtl/>
        </w:rPr>
        <w:t>אפילו במליחה בלא הדחה</w:t>
      </w:r>
      <w:r>
        <w:rPr>
          <w:rFonts w:asciiTheme="minorBidi" w:hAnsiTheme="minorBidi" w:hint="cs"/>
          <w:rtl/>
        </w:rPr>
        <w:t xml:space="preserve">, </w:t>
      </w:r>
      <w:r>
        <w:rPr>
          <w:rFonts w:asciiTheme="minorBidi" w:hAnsiTheme="minorBidi"/>
          <w:rtl/>
        </w:rPr>
        <w:t>או"ה</w:t>
      </w:r>
      <w:r w:rsidRPr="003024E5">
        <w:rPr>
          <w:rFonts w:asciiTheme="minorBidi" w:hAnsiTheme="minorBidi"/>
          <w:sz w:val="16"/>
          <w:szCs w:val="16"/>
          <w:rtl/>
        </w:rPr>
        <w:t xml:space="preserve"> (כלל ד ד</w:t>
      </w:r>
      <w:r>
        <w:rPr>
          <w:rFonts w:asciiTheme="minorBidi" w:hAnsiTheme="minorBidi" w:hint="cs"/>
          <w:sz w:val="16"/>
          <w:szCs w:val="16"/>
          <w:rtl/>
        </w:rPr>
        <w:t>"</w:t>
      </w:r>
      <w:r w:rsidRPr="003024E5">
        <w:rPr>
          <w:rFonts w:asciiTheme="minorBidi" w:hAnsiTheme="minorBidi"/>
          <w:sz w:val="16"/>
          <w:szCs w:val="16"/>
          <w:rtl/>
        </w:rPr>
        <w:t xml:space="preserve">ט, הביאו הדרכ"מ </w:t>
      </w:r>
      <w:r w:rsidRPr="003024E5">
        <w:rPr>
          <w:rFonts w:asciiTheme="minorBidi" w:hAnsiTheme="minorBidi"/>
          <w:sz w:val="14"/>
          <w:szCs w:val="14"/>
          <w:rtl/>
        </w:rPr>
        <w:t>[אות</w:t>
      </w:r>
      <w:r w:rsidRPr="003024E5">
        <w:rPr>
          <w:rFonts w:asciiTheme="minorBidi" w:hAnsiTheme="minorBidi"/>
          <w:sz w:val="8"/>
          <w:szCs w:val="8"/>
          <w:rtl/>
        </w:rPr>
        <w:t xml:space="preserve"> </w:t>
      </w:r>
      <w:r w:rsidRPr="003024E5">
        <w:rPr>
          <w:rFonts w:asciiTheme="minorBidi" w:hAnsiTheme="minorBidi"/>
          <w:sz w:val="14"/>
          <w:szCs w:val="14"/>
          <w:rtl/>
        </w:rPr>
        <w:t>א**]</w:t>
      </w:r>
      <w:r w:rsidRPr="003024E5">
        <w:rPr>
          <w:rFonts w:asciiTheme="minorBidi" w:hAnsiTheme="minorBidi"/>
          <w:sz w:val="16"/>
          <w:szCs w:val="16"/>
          <w:rtl/>
        </w:rPr>
        <w:t>)</w:t>
      </w:r>
      <w:r>
        <w:rPr>
          <w:rFonts w:asciiTheme="minorBidi" w:hAnsiTheme="minorBidi" w:hint="cs"/>
          <w:rtl/>
        </w:rPr>
        <w:t>. וכתב עוד שבנוסף לכרס גם ב</w:t>
      </w:r>
      <w:r w:rsidRPr="003024E5">
        <w:rPr>
          <w:rFonts w:asciiTheme="minorBidi" w:hAnsiTheme="minorBidi"/>
          <w:rtl/>
        </w:rPr>
        <w:t>ית הכוסות</w:t>
      </w:r>
      <w:r>
        <w:rPr>
          <w:rFonts w:asciiTheme="minorBidi" w:hAnsiTheme="minorBidi" w:hint="cs"/>
          <w:rtl/>
        </w:rPr>
        <w:t xml:space="preserve"> אינו בכלל מעיים, וכתב שכן דעת סה"ת </w:t>
      </w:r>
      <w:r>
        <w:rPr>
          <w:rFonts w:asciiTheme="minorBidi" w:hAnsiTheme="minorBidi" w:hint="cs"/>
          <w:sz w:val="16"/>
          <w:szCs w:val="16"/>
          <w:rtl/>
        </w:rPr>
        <w:t>(</w:t>
      </w:r>
      <w:r w:rsidRPr="003024E5">
        <w:rPr>
          <w:rFonts w:asciiTheme="minorBidi" w:hAnsiTheme="minorBidi"/>
          <w:sz w:val="16"/>
          <w:szCs w:val="16"/>
          <w:rtl/>
        </w:rPr>
        <w:t>סי' סה)</w:t>
      </w:r>
      <w:r>
        <w:rPr>
          <w:rFonts w:asciiTheme="minorBidi" w:hAnsiTheme="minorBidi" w:hint="cs"/>
          <w:rtl/>
        </w:rPr>
        <w:t xml:space="preserve">.  </w:t>
      </w:r>
    </w:p>
  </w:footnote>
  <w:footnote w:id="673">
    <w:p w14:paraId="55F68B9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הר"ן הביא את דברי ר"ת דלעיל וכ' עליהם- ולדידי מיהא לא איריא, דאנן הכי אמרינן שמתוך שדמן מועט אין צריכין מליחה לפי שאותו דם המועט שבהם אינו פורש מהם בבישול והוה ליה דם האיברים שלא פירש ושרי, אבל לא שלא יהא בהם דם כלל שאפי' בדקין הדבר נראה לעין שיוצא מהם דם ע"י חבורה.</w:t>
      </w:r>
    </w:p>
  </w:footnote>
  <w:footnote w:id="674">
    <w:p w14:paraId="6E570BA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וצריך לומר דבשאין בהם שומן כלל קאמר. וכ' הדרכ"מ (אות א*) דפשוט הוא ושכן הוא ב</w:t>
      </w:r>
      <w:r>
        <w:rPr>
          <w:rFonts w:asciiTheme="minorBidi" w:hAnsiTheme="minorBidi"/>
          <w:rtl/>
        </w:rPr>
        <w:t>הג"א</w:t>
      </w:r>
      <w:r w:rsidRPr="005C6730">
        <w:rPr>
          <w:rFonts w:asciiTheme="minorBidi" w:hAnsiTheme="minorBidi"/>
          <w:rtl/>
        </w:rPr>
        <w:t xml:space="preserve"> (פכ"ה סי' מח) וז"ל- אסור למלחן בכלי שאינו מנוקב אם שומן דבוק בהן.</w:t>
      </w:r>
    </w:p>
  </w:footnote>
  <w:footnote w:id="675">
    <w:p w14:paraId="1C661A8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 xml:space="preserve">(כלל ד דין י, הביאו הדרכ"מ [אות ג]) </w:t>
      </w:r>
      <w:r w:rsidRPr="005C6730">
        <w:rPr>
          <w:rFonts w:asciiTheme="minorBidi" w:hAnsiTheme="minorBidi"/>
          <w:rtl/>
        </w:rPr>
        <w:t>בשם הרשב"א דאף לכתחלה א"צ למלוח רק בצד החיצון לבד, ואפילו בדיעבד אם בישלה ולא מלחה בצד החיצון טרפה, ומיהו אם נזכר קודם שבישלה מאחר שאינו מוחזק כל כך בדם אין לדמותו לבשר אחר שנמלח בצד אחד ויכול לחזור ולהדיחו ולמלחו בצד החיצונה ולבשלו. וכ' הדרכ"מ (אות ג)- ונ"ל הא דכתב דטרפה אם בישלה בלא מליחה היינו בדאיכא שם שומן אבל אי ליכא שם שומן פשיטא דכשר דהרי אין מחזיקין דם בבני מעיים.</w:t>
      </w:r>
      <w:r w:rsidRPr="005C6730">
        <w:rPr>
          <w:rFonts w:asciiTheme="minorBidi" w:hAnsiTheme="minorBidi"/>
          <w:color w:val="00B0F0"/>
          <w:rtl/>
        </w:rPr>
        <w:t xml:space="preserve"> (וכ"פ בהג"ה)</w:t>
      </w:r>
    </w:p>
  </w:footnote>
  <w:footnote w:id="676">
    <w:p w14:paraId="1414440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בדרישה </w:t>
      </w:r>
      <w:r w:rsidRPr="005C6730">
        <w:rPr>
          <w:rFonts w:asciiTheme="minorBidi" w:hAnsiTheme="minorBidi"/>
          <w:sz w:val="16"/>
          <w:szCs w:val="16"/>
          <w:rtl/>
        </w:rPr>
        <w:t xml:space="preserve">(אות א) </w:t>
      </w:r>
      <w:r w:rsidRPr="005C6730">
        <w:rPr>
          <w:rFonts w:asciiTheme="minorBidi" w:hAnsiTheme="minorBidi"/>
          <w:rtl/>
        </w:rPr>
        <w:t xml:space="preserve">דקורקבן של עוף הוה במקום כרס בבהמה ולא מחזקינן ביה דם, ורצה להוכיח כן בדעת הטור, וחלקו עליו הט"ז </w:t>
      </w:r>
      <w:r w:rsidRPr="005C6730">
        <w:rPr>
          <w:rFonts w:asciiTheme="minorBidi" w:hAnsiTheme="minorBidi"/>
          <w:sz w:val="16"/>
          <w:szCs w:val="16"/>
          <w:rtl/>
        </w:rPr>
        <w:t xml:space="preserve">(סק"א) </w:t>
      </w:r>
      <w:r w:rsidRPr="005C6730">
        <w:rPr>
          <w:rFonts w:asciiTheme="minorBidi" w:hAnsiTheme="minorBidi"/>
          <w:rtl/>
        </w:rPr>
        <w:t xml:space="preserve">והש"ך </w:t>
      </w:r>
      <w:r w:rsidRPr="005C6730">
        <w:rPr>
          <w:rFonts w:asciiTheme="minorBidi" w:hAnsiTheme="minorBidi"/>
          <w:sz w:val="16"/>
          <w:szCs w:val="16"/>
          <w:rtl/>
        </w:rPr>
        <w:t>(סק"א)</w:t>
      </w:r>
      <w:r w:rsidRPr="005C6730">
        <w:rPr>
          <w:rFonts w:asciiTheme="minorBidi" w:hAnsiTheme="minorBidi"/>
          <w:rtl/>
        </w:rPr>
        <w:t xml:space="preserve"> וכ' שמחזיקינן דם בקורקבן וכתבו שגם הטור מודה בזה </w:t>
      </w:r>
      <w:r w:rsidRPr="005C6730">
        <w:rPr>
          <w:rFonts w:asciiTheme="minorBidi" w:hAnsiTheme="minorBidi"/>
          <w:sz w:val="16"/>
          <w:szCs w:val="16"/>
          <w:rtl/>
        </w:rPr>
        <w:t>(וכ' בגליון מהרש"א [אות ב] דמ"מ אי איכא עוד צד ספק מתירין מכח ספק ספיקא)</w:t>
      </w:r>
      <w:r w:rsidRPr="005C6730">
        <w:rPr>
          <w:rFonts w:asciiTheme="minorBidi" w:hAnsiTheme="minorBidi"/>
          <w:rtl/>
        </w:rPr>
        <w:t>.</w:t>
      </w:r>
    </w:p>
  </w:footnote>
  <w:footnote w:id="677">
    <w:p w14:paraId="6883512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הם הסובבים סביב הכנתא אבל כנתא גופא יש בה דם, ש"ך (סק"ב).</w:t>
      </w:r>
    </w:p>
  </w:footnote>
  <w:footnote w:id="678">
    <w:p w14:paraId="10CC57D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כלומר דדוקא מסתמא לא מחזקינן בהו דם אבל אי אסמיק צריכין מליחה כשאר בשר, ש"ך (סק"ג).</w:t>
      </w:r>
    </w:p>
  </w:footnote>
  <w:footnote w:id="679">
    <w:p w14:paraId="0A52F92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מן הסתם אי לא אסמיק, ש"ך (סק"ד).</w:t>
      </w:r>
    </w:p>
  </w:footnote>
  <w:footnote w:id="680">
    <w:p w14:paraId="2C2CEE1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הטעם מפורש בסה"ת ובאו"ה (כלל ד ד"ט) לפי שא"א לנקר הבני מעיים שלא ישאר בהן מעט שומן ע"ש, ומה"ט סגי אפי' לכתחלה במליחת צד החיצון לבד וכדלקמן סק"ז, ש"ך (סק"ה).</w:t>
      </w:r>
    </w:p>
  </w:footnote>
  <w:footnote w:id="681">
    <w:p w14:paraId="52B5ABA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משמע דאפי' לכתחלה א"צ למלחו רק מצד החיצון ולא מצד הפנימי, וכ"כ באו"ה (כלל ד ד"י) ובת"ח (כלל ט"ו די"ב) בהדיא (ועי' בסק"ה) ואע"ג שכ' המחבר לעיל סי' ס"ט ס"ד דלכתחלה צריך למלוח הבשר משני צדדין והר"ב שם אוסר אפי' דיעבד וא"כ כאן כשאינו מולח אלא מצד החיצון נמצא שהשומן לא נמלח במקום שהוא דבוק י"ל דכיון דאין כ"כ דם בשומן וגם אית ביה חטי חטי סגי בהכי אף לכתחילה, ש"ך (סק"ז).</w:t>
      </w:r>
    </w:p>
  </w:footnote>
  <w:footnote w:id="682">
    <w:p w14:paraId="1E884A8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מיהו אם יש ס' רק נגד השומן והגידין שבה הכל מותר, ת"ח </w:t>
      </w:r>
      <w:r w:rsidRPr="005C6730">
        <w:rPr>
          <w:rFonts w:asciiTheme="minorBidi" w:hAnsiTheme="minorBidi"/>
          <w:sz w:val="14"/>
          <w:szCs w:val="14"/>
          <w:rtl/>
        </w:rPr>
        <w:t>(כלל טו דין יב, כן הוא בגיר' שהייתה לפני הש"ך אך לפנינו ליתא אלא מובא לשון זה בסימני תורת חטאת כלל ב דין ה)</w:t>
      </w:r>
      <w:r w:rsidRPr="005C6730">
        <w:rPr>
          <w:rFonts w:asciiTheme="minorBidi" w:hAnsiTheme="minorBidi"/>
          <w:rtl/>
        </w:rPr>
        <w:t>, ואע"ג דבשר שנתבשל בלא מליחה נהגינן לאסור אותה חתיכה אף בדאיכא ששים, כדלעיל סי' ס"ט סי"א, מ"מ הכא השומן נמס בקדרה ואינו ניכר ובטל, א"נ כיון דהתם גופא חומרא בעלמא היא יש להקל כיון דאין דם נראה לעין בשומן, ובזה א"ש הא דסגי בששים נגד השומן והגידין ולא בעינן ששים נגד כל החלחולת לפי שהאיסור דבוק בה ונעשית נבילה, אלא ודאי כיון דעינינו רואות דלית בהו דם למראית העין ובודאי הוא מעט מזער ראוי להקל בזה כיון דאיסור דבוק בלא"ה חומרא הוא, וכ"כ מהרש"ל פכ"ה סי' צו כה"ג, ש"ך (סק"ח).</w:t>
      </w:r>
    </w:p>
  </w:footnote>
  <w:footnote w:id="683">
    <w:p w14:paraId="6DA0748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פירוש אם ידוע שהיה שם שומן כדי לאסור, אבל אין לאסור בדיעבד מטעם שא"א לנקרה שלא ישאר בה שומן, ש"ך (סק"ט).</w:t>
      </w:r>
    </w:p>
  </w:footnote>
  <w:footnote w:id="684">
    <w:p w14:paraId="3FA394E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כ"כ בסימני ת"ח שם, ובת"ח שם בפנים כתב יחזור וידיחנה וימלחנה, ש"ך (סק"י).</w:t>
      </w:r>
    </w:p>
  </w:footnote>
  <w:footnote w:id="685">
    <w:p w14:paraId="0193E90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דמאחר שאינו מוחזק כ"כ בדם אין לדמותו לבשר אחר שנמלח מצד א', עכ"ל ת"ח שם בשם או"ה, ור"ל דהכא אפי' לאחר י"ב שעות שרי לחזור ולמלחו משא"כ גבי בשר לעיל סי' ס"ט ס"ד, וכן אפי' לאחר מע"ל להי"א בס"ס ע' דפליטת ציר היא מע"ל, וק"ל, ש"ך (סקי"א). ומאחר שאינו מוחזק כ"כ בדם לא חיישינן שיבלע הצד הפנימי מן החיצון, ע"פ ט"ז (סק"ד).</w:t>
      </w:r>
    </w:p>
  </w:footnote>
  <w:footnote w:id="686">
    <w:p w14:paraId="225FE1ED" w14:textId="77777777" w:rsidR="004C5A3C" w:rsidRDefault="004C5A3C" w:rsidP="002C39F4">
      <w:pPr>
        <w:pStyle w:val="a5"/>
      </w:pPr>
      <w:r>
        <w:rPr>
          <w:rStyle w:val="a7"/>
        </w:rPr>
        <w:footnoteRef/>
      </w:r>
      <w:r>
        <w:rPr>
          <w:rtl/>
        </w:rPr>
        <w:t xml:space="preserve"> </w:t>
      </w:r>
      <w:r w:rsidRPr="003B5753">
        <w:rPr>
          <w:rFonts w:cs="Arial"/>
          <w:rtl/>
        </w:rPr>
        <w:t>וכתב מנ</w:t>
      </w:r>
      <w:r>
        <w:rPr>
          <w:rFonts w:cs="Arial" w:hint="cs"/>
          <w:rtl/>
        </w:rPr>
        <w:t>חת יעקב (</w:t>
      </w:r>
      <w:r w:rsidRPr="003B5753">
        <w:rPr>
          <w:rFonts w:cs="Arial"/>
          <w:rtl/>
        </w:rPr>
        <w:t>כלל ע</w:t>
      </w:r>
      <w:r>
        <w:rPr>
          <w:rFonts w:cs="Arial" w:hint="cs"/>
          <w:rtl/>
        </w:rPr>
        <w:t>, הביאו הפת"ש סק"ב)</w:t>
      </w:r>
      <w:r w:rsidRPr="003B5753">
        <w:rPr>
          <w:rFonts w:cs="Arial"/>
          <w:rtl/>
        </w:rPr>
        <w:t xml:space="preserve"> בשם מהרי"ל ואו"ה דצריכים ג"כ שריה כשאר בש</w:t>
      </w:r>
      <w:r>
        <w:rPr>
          <w:rFonts w:cs="Arial" w:hint="cs"/>
          <w:rtl/>
        </w:rPr>
        <w:t>ר.</w:t>
      </w:r>
    </w:p>
  </w:footnote>
  <w:footnote w:id="687">
    <w:p w14:paraId="536B0AE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רש"ל (פכ"ה סי' ב) לא פסק כן, אלא כתב וז"ל- ולענין מליחה יראה שאין להקל כלל ולמלוח אותה ביצה שנמצא בתרנגולת עם התרנגולת, דאע"פ שאנו מחמירין ומולחין כל הביצים הלא מדינא לא בעי, ולא עוד אלא אפי' נגמר החלמון לבד דחשבינן כבשר מדינא, ולא כרש"י (בטור סי' פ"ז מביאו), סוף סוף עינים רואות שאין בו דם וגם אין לה ציר שפולט ממנה וא"כ אינה טרודה לפלוט ותבלע דם התרנגולת ואסורה, ועוד נ"ל דשפיר בלעה ופלטה ע"י מלח אפי' נתקשה לגמרי דהא אפי' כלי חרס שמלחו בו בשר אפי' הוא מנוקב אסור לאכול בו רותח כ"ש הכא כו', ואפ"ה נ"ל שאינה אוסרת את התרנגולת הנמלחה עמה כמו גבי דגים ועופות עכ"ל </w:t>
      </w:r>
      <w:r w:rsidRPr="005C6730">
        <w:rPr>
          <w:rFonts w:asciiTheme="minorBidi" w:hAnsiTheme="minorBidi"/>
          <w:sz w:val="16"/>
          <w:szCs w:val="16"/>
          <w:rtl/>
        </w:rPr>
        <w:t>(וכ"פ ב"ח וש"ך [סקי"ב])</w:t>
      </w:r>
      <w:r w:rsidRPr="005C6730">
        <w:rPr>
          <w:rFonts w:asciiTheme="minorBidi" w:hAnsiTheme="minorBidi"/>
          <w:rtl/>
        </w:rPr>
        <w:t xml:space="preserve">, ובאו"ה שלו כ' עוד דאם נתבשלה הביצה הזאת הנאסרה אוסרת מה שנתבשל עמה עד ס'. ודבריו נראין עיקר להלכה למעשה ועיין סי' פ"ז לענין בשר בחלב, ט"ז (סק"ה). </w:t>
      </w:r>
    </w:p>
  </w:footnote>
  <w:footnote w:id="688">
    <w:p w14:paraId="4C8E2209" w14:textId="77777777" w:rsidR="004C5A3C" w:rsidRDefault="004C5A3C" w:rsidP="002C39F4">
      <w:pPr>
        <w:pStyle w:val="a5"/>
        <w:rPr>
          <w:rtl/>
        </w:rPr>
      </w:pPr>
      <w:r>
        <w:rPr>
          <w:rStyle w:val="a7"/>
        </w:rPr>
        <w:footnoteRef/>
      </w:r>
      <w:r>
        <w:rPr>
          <w:rtl/>
        </w:rPr>
        <w:t xml:space="preserve"> </w:t>
      </w:r>
      <w:r>
        <w:rPr>
          <w:rFonts w:cs="Arial" w:hint="cs"/>
          <w:rtl/>
        </w:rPr>
        <w:t xml:space="preserve">וכתב </w:t>
      </w:r>
      <w:r w:rsidRPr="00D10695">
        <w:rPr>
          <w:rFonts w:cs="Arial"/>
          <w:rtl/>
        </w:rPr>
        <w:t xml:space="preserve">בשאילת יעב"ץ </w:t>
      </w:r>
      <w:r>
        <w:rPr>
          <w:rFonts w:cs="Arial" w:hint="cs"/>
          <w:rtl/>
        </w:rPr>
        <w:t>(</w:t>
      </w:r>
      <w:r w:rsidRPr="00D10695">
        <w:rPr>
          <w:rFonts w:cs="Arial"/>
          <w:rtl/>
        </w:rPr>
        <w:t>ח"א סי' צב</w:t>
      </w:r>
      <w:r>
        <w:rPr>
          <w:rFonts w:cs="Arial" w:hint="cs"/>
          <w:rtl/>
        </w:rPr>
        <w:t>, הביאו הפת"ש [סק"ג]</w:t>
      </w:r>
      <w:r w:rsidRPr="00D10695">
        <w:rPr>
          <w:rFonts w:cs="Arial"/>
          <w:rtl/>
        </w:rPr>
        <w:t>) דאם הביצה נולדה כדרכה אף שהקליפה רכה א"צ למלחה אף מצד המנהג דאם איתא דאיכא למיחש משום דם תיתסר לגמרי משום אבר מ"ה דלא כמורה אחד שטעה בזה</w:t>
      </w:r>
      <w:r>
        <w:rPr>
          <w:rFonts w:cs="Arial" w:hint="cs"/>
          <w:rtl/>
        </w:rPr>
        <w:t>.</w:t>
      </w:r>
    </w:p>
  </w:footnote>
  <w:footnote w:id="689">
    <w:p w14:paraId="03BC9AD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הביאו המרדכי (סי' תשכג), וכ"כ הטור בשם י"א.</w:t>
      </w:r>
    </w:p>
  </w:footnote>
  <w:footnote w:id="690">
    <w:p w14:paraId="758C452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רבינו יהודה ב"ר יצחק בשם רבינו יצחק ב"ר שמואל, הביאם האו"ז </w:t>
      </w:r>
      <w:r w:rsidRPr="005C6730">
        <w:rPr>
          <w:rFonts w:asciiTheme="minorBidi" w:hAnsiTheme="minorBidi"/>
          <w:sz w:val="16"/>
          <w:szCs w:val="16"/>
          <w:rtl/>
        </w:rPr>
        <w:t>(ח"א סי' תעה)</w:t>
      </w:r>
      <w:r w:rsidRPr="005C6730">
        <w:rPr>
          <w:rFonts w:asciiTheme="minorBidi" w:hAnsiTheme="minorBidi"/>
          <w:rtl/>
        </w:rPr>
        <w:t>, וגם</w:t>
      </w:r>
      <w:r w:rsidRPr="005C6730">
        <w:rPr>
          <w:rFonts w:asciiTheme="minorBidi" w:hAnsiTheme="minorBidi"/>
          <w:sz w:val="16"/>
          <w:szCs w:val="16"/>
          <w:rtl/>
        </w:rPr>
        <w:t xml:space="preserve"> </w:t>
      </w:r>
      <w:r w:rsidRPr="005C6730">
        <w:rPr>
          <w:rFonts w:asciiTheme="minorBidi" w:hAnsiTheme="minorBidi"/>
          <w:rtl/>
        </w:rPr>
        <w:t>ה</w:t>
      </w:r>
      <w:r>
        <w:rPr>
          <w:rFonts w:asciiTheme="minorBidi" w:hAnsiTheme="minorBidi"/>
          <w:rtl/>
        </w:rPr>
        <w:t>הג"א</w:t>
      </w:r>
      <w:r w:rsidRPr="005C6730">
        <w:rPr>
          <w:rFonts w:asciiTheme="minorBidi" w:hAnsiTheme="minorBidi"/>
          <w:rtl/>
        </w:rPr>
        <w:t xml:space="preserve"> (סי' מח) כ' כעין זה בשם האו"ז רק שכ' בלשון הזו- ורבינו יהודה שירלאו"ן כתב בשם ר"י שאסור למלוח בני מיעיים עם בשר והמחמיר תבא עליו ברכה, מא"ז. עכ"ל. ולא נתבאר אם אסור או האם זו חומרא, ומדברי האו"ז נתבאר שר"י אוסר והאוז כ' שהמחמיר תע"ב.</w:t>
      </w:r>
    </w:p>
  </w:footnote>
  <w:footnote w:id="691">
    <w:p w14:paraId="2146B5D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עכ"ל האו"ז. והטור כ' בשם הי"א שהטעם- כיון שאין מחזיקין דם בבני מעים אין מולחים אותם עם שאר הבשר כיון דלא טרידי לפלוט ובלעי.</w:t>
      </w:r>
    </w:p>
  </w:footnote>
  <w:footnote w:id="692">
    <w:p w14:paraId="30BB324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ר"י </w:t>
      </w:r>
      <w:r w:rsidRPr="005C6730">
        <w:rPr>
          <w:rFonts w:asciiTheme="minorBidi" w:hAnsiTheme="minorBidi"/>
          <w:sz w:val="16"/>
          <w:szCs w:val="16"/>
          <w:rtl/>
        </w:rPr>
        <w:t>(כ"כ הטור בשמו)</w:t>
      </w:r>
      <w:r w:rsidRPr="005C6730">
        <w:rPr>
          <w:rFonts w:asciiTheme="minorBidi" w:hAnsiTheme="minorBidi"/>
          <w:rtl/>
        </w:rPr>
        <w:t xml:space="preserve"> תוס' </w:t>
      </w:r>
      <w:r w:rsidRPr="005C6730">
        <w:rPr>
          <w:rFonts w:asciiTheme="minorBidi" w:hAnsiTheme="minorBidi"/>
          <w:sz w:val="16"/>
          <w:szCs w:val="16"/>
          <w:rtl/>
        </w:rPr>
        <w:t xml:space="preserve">(קיג. ד"ה אין) </w:t>
      </w:r>
      <w:r w:rsidRPr="005C6730">
        <w:rPr>
          <w:rFonts w:asciiTheme="minorBidi" w:hAnsiTheme="minorBidi"/>
          <w:rtl/>
        </w:rPr>
        <w:t xml:space="preserve">סה"ת </w:t>
      </w:r>
      <w:r w:rsidRPr="005C6730">
        <w:rPr>
          <w:rFonts w:asciiTheme="minorBidi" w:hAnsiTheme="minorBidi"/>
          <w:sz w:val="16"/>
          <w:szCs w:val="16"/>
          <w:rtl/>
        </w:rPr>
        <w:t>(כ"כ ה</w:t>
      </w:r>
      <w:r>
        <w:rPr>
          <w:rFonts w:asciiTheme="minorBidi" w:hAnsiTheme="minorBidi"/>
          <w:sz w:val="16"/>
          <w:szCs w:val="16"/>
          <w:rtl/>
        </w:rPr>
        <w:t>הג"א</w:t>
      </w:r>
      <w:r w:rsidRPr="005C6730">
        <w:rPr>
          <w:rFonts w:asciiTheme="minorBidi" w:hAnsiTheme="minorBidi"/>
          <w:sz w:val="16"/>
          <w:szCs w:val="16"/>
          <w:rtl/>
        </w:rPr>
        <w:t xml:space="preserve"> בשמו, וכן הוא במרדכי בשמו)</w:t>
      </w:r>
      <w:r w:rsidRPr="005C6730">
        <w:rPr>
          <w:rFonts w:asciiTheme="minorBidi" w:hAnsiTheme="minorBidi"/>
          <w:rtl/>
        </w:rPr>
        <w:t xml:space="preserve"> מרדכי </w:t>
      </w:r>
      <w:r w:rsidRPr="005C6730">
        <w:rPr>
          <w:rFonts w:asciiTheme="minorBidi" w:hAnsiTheme="minorBidi"/>
          <w:sz w:val="16"/>
          <w:szCs w:val="16"/>
          <w:rtl/>
        </w:rPr>
        <w:t xml:space="preserve">(סי' תשכג) </w:t>
      </w:r>
      <w:r w:rsidRPr="005C6730">
        <w:rPr>
          <w:rFonts w:asciiTheme="minorBidi" w:hAnsiTheme="minorBidi"/>
          <w:rtl/>
        </w:rPr>
        <w:t xml:space="preserve">רשב"א </w:t>
      </w:r>
      <w:r w:rsidRPr="005C6730">
        <w:rPr>
          <w:rFonts w:asciiTheme="minorBidi" w:hAnsiTheme="minorBidi"/>
          <w:sz w:val="16"/>
          <w:szCs w:val="16"/>
          <w:rtl/>
        </w:rPr>
        <w:t xml:space="preserve">(שם, וחי' שם ד"ה ולענין) </w:t>
      </w:r>
      <w:r w:rsidRPr="005C6730">
        <w:rPr>
          <w:rFonts w:asciiTheme="minorBidi" w:hAnsiTheme="minorBidi"/>
          <w:rtl/>
        </w:rPr>
        <w:t xml:space="preserve">רא"ש </w:t>
      </w:r>
      <w:r w:rsidRPr="005C6730">
        <w:rPr>
          <w:rFonts w:asciiTheme="minorBidi" w:hAnsiTheme="minorBidi"/>
          <w:sz w:val="16"/>
          <w:szCs w:val="16"/>
          <w:rtl/>
        </w:rPr>
        <w:t xml:space="preserve">(סי' מח) </w:t>
      </w:r>
      <w:r w:rsidRPr="005C6730">
        <w:rPr>
          <w:rFonts w:asciiTheme="minorBidi" w:hAnsiTheme="minorBidi"/>
          <w:rtl/>
        </w:rPr>
        <w:t xml:space="preserve">ור"ן </w:t>
      </w:r>
      <w:r w:rsidRPr="005C6730">
        <w:rPr>
          <w:rFonts w:asciiTheme="minorBidi" w:hAnsiTheme="minorBidi"/>
          <w:sz w:val="16"/>
          <w:szCs w:val="16"/>
          <w:rtl/>
        </w:rPr>
        <w:t>(מב: ד"ה ודקדק)</w:t>
      </w:r>
      <w:r w:rsidRPr="005C6730">
        <w:rPr>
          <w:rFonts w:asciiTheme="minorBidi" w:hAnsiTheme="minorBidi"/>
          <w:rtl/>
        </w:rPr>
        <w:t>.</w:t>
      </w:r>
    </w:p>
  </w:footnote>
  <w:footnote w:id="693">
    <w:p w14:paraId="1883BB16" w14:textId="77777777" w:rsidR="004C5A3C" w:rsidRDefault="004C5A3C" w:rsidP="002C39F4">
      <w:pPr>
        <w:pStyle w:val="a5"/>
        <w:rPr>
          <w:rtl/>
        </w:rPr>
      </w:pPr>
      <w:r>
        <w:rPr>
          <w:rStyle w:val="a7"/>
        </w:rPr>
        <w:footnoteRef/>
      </w:r>
      <w:r>
        <w:rPr>
          <w:rtl/>
        </w:rPr>
        <w:t xml:space="preserve"> </w:t>
      </w:r>
      <w:r w:rsidRPr="00EC5EB4">
        <w:rPr>
          <w:rFonts w:hint="cs"/>
          <w:u w:val="single"/>
          <w:rtl/>
        </w:rPr>
        <w:t>ושני טעמים בדבר:</w:t>
      </w:r>
      <w:r>
        <w:rPr>
          <w:rFonts w:hint="cs"/>
          <w:rtl/>
        </w:rPr>
        <w:t xml:space="preserve"> א-</w:t>
      </w:r>
      <w:r>
        <w:rPr>
          <w:rFonts w:asciiTheme="minorBidi" w:hAnsiTheme="minorBidi" w:cs="Arial" w:hint="cs"/>
          <w:rtl/>
        </w:rPr>
        <w:t xml:space="preserve"> ד</w:t>
      </w:r>
      <w:r w:rsidRPr="00EC5EB4">
        <w:rPr>
          <w:rFonts w:asciiTheme="minorBidi" w:hAnsiTheme="minorBidi" w:cs="Arial"/>
          <w:rtl/>
        </w:rPr>
        <w:t>לא דמי לדגים ועופות דהני כיון דלית בהו דם אין בולעין דם הבא עליהן אלא משרק שריק ואזיל ליה בהדי מילחא אבל דגים כיון דרפו קרמייהו ופלטי דמן הדר בלעי דם העופות</w:t>
      </w:r>
      <w:r>
        <w:rPr>
          <w:rFonts w:asciiTheme="minorBidi" w:hAnsiTheme="minorBidi" w:cs="Arial" w:hint="cs"/>
          <w:sz w:val="16"/>
          <w:szCs w:val="16"/>
          <w:rtl/>
        </w:rPr>
        <w:t xml:space="preserve"> (בעלי התוספות)</w:t>
      </w:r>
      <w:r w:rsidRPr="00EC5EB4">
        <w:rPr>
          <w:rFonts w:asciiTheme="minorBidi" w:hAnsiTheme="minorBidi" w:cs="Arial"/>
          <w:rtl/>
        </w:rPr>
        <w:t xml:space="preserve">. </w:t>
      </w:r>
      <w:r>
        <w:rPr>
          <w:rFonts w:asciiTheme="minorBidi" w:hAnsiTheme="minorBidi" w:cs="Arial" w:hint="cs"/>
          <w:rtl/>
        </w:rPr>
        <w:t xml:space="preserve">ב- </w:t>
      </w:r>
      <w:r w:rsidRPr="00EC5EB4">
        <w:rPr>
          <w:rFonts w:asciiTheme="minorBidi" w:hAnsiTheme="minorBidi" w:cs="Arial"/>
          <w:rtl/>
        </w:rPr>
        <w:t>דאעפ"י שאין מחזיקין בהן דם ציר ודאי יש בהן ודבר הניכר לעינים הוא וכל שפולטין ציר אין בולעין דם וגמורה פליטת דם הבשר ועדיין בני מעיין פולטין ציר</w:t>
      </w:r>
      <w:r>
        <w:rPr>
          <w:rFonts w:asciiTheme="minorBidi" w:hAnsiTheme="minorBidi" w:cs="Arial" w:hint="cs"/>
          <w:sz w:val="16"/>
          <w:szCs w:val="16"/>
          <w:rtl/>
        </w:rPr>
        <w:t xml:space="preserve"> (רשב"א)</w:t>
      </w:r>
      <w:r>
        <w:rPr>
          <w:rFonts w:asciiTheme="minorBidi" w:hAnsiTheme="minorBidi" w:cs="Arial" w:hint="cs"/>
          <w:rtl/>
        </w:rPr>
        <w:t>.</w:t>
      </w:r>
    </w:p>
  </w:footnote>
  <w:footnote w:id="694">
    <w:p w14:paraId="10ACFBC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שם שכן דעת האו"ז</w:t>
      </w:r>
      <w:r>
        <w:rPr>
          <w:rFonts w:asciiTheme="minorBidi" w:hAnsiTheme="minorBidi" w:hint="cs"/>
          <w:rtl/>
        </w:rPr>
        <w:t xml:space="preserve"> </w:t>
      </w:r>
      <w:r w:rsidRPr="00976E60">
        <w:rPr>
          <w:rFonts w:asciiTheme="minorBidi" w:hAnsiTheme="minorBidi" w:hint="cs"/>
          <w:sz w:val="16"/>
          <w:szCs w:val="16"/>
          <w:rtl/>
        </w:rPr>
        <w:t>(אמנם באו"ז שלפני [</w:t>
      </w:r>
      <w:r w:rsidRPr="00976E60">
        <w:rPr>
          <w:rFonts w:asciiTheme="minorBidi" w:hAnsiTheme="minorBidi"/>
          <w:sz w:val="16"/>
          <w:szCs w:val="16"/>
          <w:rtl/>
        </w:rPr>
        <w:t>ח"א סי' תעה</w:t>
      </w:r>
      <w:r w:rsidRPr="00976E60">
        <w:rPr>
          <w:rFonts w:asciiTheme="minorBidi" w:hAnsiTheme="minorBidi" w:hint="cs"/>
          <w:sz w:val="16"/>
          <w:szCs w:val="16"/>
          <w:rtl/>
        </w:rPr>
        <w:t>] כתוב-</w:t>
      </w:r>
      <w:r w:rsidRPr="00976E60">
        <w:rPr>
          <w:rFonts w:asciiTheme="minorBidi" w:hAnsiTheme="minorBidi"/>
          <w:sz w:val="16"/>
          <w:szCs w:val="16"/>
          <w:rtl/>
        </w:rPr>
        <w:t xml:space="preserve"> המחמיר תע"ב</w:t>
      </w:r>
      <w:r w:rsidRPr="00976E60">
        <w:rPr>
          <w:rFonts w:asciiTheme="minorBidi" w:hAnsiTheme="minorBidi" w:hint="cs"/>
          <w:sz w:val="16"/>
          <w:szCs w:val="16"/>
          <w:rtl/>
        </w:rPr>
        <w:t>)</w:t>
      </w:r>
      <w:r w:rsidRPr="005C6730">
        <w:rPr>
          <w:rFonts w:asciiTheme="minorBidi" w:hAnsiTheme="minorBidi"/>
          <w:rtl/>
        </w:rPr>
        <w:t>, וכ' שכן נוהגין, ודלא כרי' יואל.</w:t>
      </w:r>
    </w:p>
  </w:footnote>
  <w:footnote w:id="695">
    <w:p w14:paraId="5744EC3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ואע"ג דס"ל להנך פוסקים דלא כר"ת דסבירא ליה מישרק שריק במליחה וכמו שנתבאר בסי' ע' בב"י, הא כבר כתבו התוס' </w:t>
      </w:r>
      <w:r w:rsidRPr="005C6730">
        <w:rPr>
          <w:rFonts w:asciiTheme="minorBidi" w:hAnsiTheme="minorBidi"/>
          <w:sz w:val="16"/>
          <w:szCs w:val="16"/>
          <w:rtl/>
        </w:rPr>
        <w:t xml:space="preserve">(פכ"ה קיב:) </w:t>
      </w:r>
      <w:r w:rsidRPr="005C6730">
        <w:rPr>
          <w:rFonts w:asciiTheme="minorBidi" w:hAnsiTheme="minorBidi"/>
          <w:rtl/>
        </w:rPr>
        <w:t xml:space="preserve">והגה"מ </w:t>
      </w:r>
      <w:r w:rsidRPr="005C6730">
        <w:rPr>
          <w:rFonts w:asciiTheme="minorBidi" w:hAnsiTheme="minorBidi"/>
          <w:sz w:val="16"/>
          <w:szCs w:val="16"/>
          <w:rtl/>
        </w:rPr>
        <w:t xml:space="preserve">(פ"ו) </w:t>
      </w:r>
      <w:r w:rsidRPr="005C6730">
        <w:rPr>
          <w:rFonts w:asciiTheme="minorBidi" w:hAnsiTheme="minorBidi"/>
          <w:rtl/>
        </w:rPr>
        <w:t>והגשע"ד ושא"פ דה"ט משום דמסתמא איכא גומות בבשר ולא שריק, והלכך בבני מעיים דחלקים הם שפיר אמרינן דשריק, א"נ והוא עיקר דהיכא דפליט ציר אמרינן שפיר דשריק, וכ"כ מהרש"ל שם, וסברא זו מוכחת בכמה דוכתי, ש"ך</w:t>
      </w:r>
      <w:r w:rsidRPr="005C6730">
        <w:rPr>
          <w:rFonts w:asciiTheme="minorBidi" w:hAnsiTheme="minorBidi"/>
          <w:sz w:val="16"/>
          <w:szCs w:val="16"/>
          <w:rtl/>
        </w:rPr>
        <w:t xml:space="preserve"> (סקי"ג)</w:t>
      </w:r>
      <w:r w:rsidRPr="005C6730">
        <w:rPr>
          <w:rFonts w:asciiTheme="minorBidi" w:hAnsiTheme="minorBidi"/>
          <w:rtl/>
        </w:rPr>
        <w:t>. וכ' הט"ז (סק"ו) דאע"ג דלעיל סי' ע' ס"ו כתבתי בשם רש"ל דדוקא בפליטת דם אמרינן דלא בלע דם אבל לא מחמת פליטת ציר הא כבר הוזכר שם דבענין שיש לומר כבולעו כך פולטו כגון בחתיכה שהונחה עם חתיכות שלא נמלחו מודה רש"ל דמהני הך סברא כיון דטרוד לפלוט ציר לא בלע דם.</w:t>
      </w:r>
    </w:p>
  </w:footnote>
  <w:footnote w:id="696">
    <w:p w14:paraId="0A2801A2" w14:textId="77777777" w:rsidR="004C5A3C" w:rsidRDefault="004C5A3C" w:rsidP="002C39F4">
      <w:pPr>
        <w:pStyle w:val="a5"/>
        <w:rPr>
          <w:rtl/>
        </w:rPr>
      </w:pPr>
      <w:r>
        <w:rPr>
          <w:rStyle w:val="a7"/>
        </w:rPr>
        <w:footnoteRef/>
      </w:r>
      <w:r>
        <w:rPr>
          <w:rtl/>
        </w:rPr>
        <w:t xml:space="preserve"> </w:t>
      </w:r>
      <w:r w:rsidRPr="00D10695">
        <w:rPr>
          <w:rtl/>
        </w:rPr>
        <w:t>ואין דבריו מוכרחים ומ"מ נראה ברור דאף להמנ"י דלא מהני בזה הא דקרמא מפסיק מ"מ לא אמרינן בזה איסור דבוק שאם לא היה בעוף גופיה ס' יצטרך ס' נגד כל העוף אלא כל הקדירה מצטרף לבטל המאכל שבזפק דלענין זה מהני עכ"פ הקרום שאין העוף ממהר לבלוע טפי משאר דברים שבקדרה וכמ"ש הש"ך בסי' כב סק"ח גבי ורידין כן ע"ש והוא פשוט</w:t>
      </w:r>
      <w:r>
        <w:rPr>
          <w:rFonts w:hint="cs"/>
          <w:rtl/>
        </w:rPr>
        <w:t>, פת"ש.</w:t>
      </w:r>
    </w:p>
  </w:footnote>
  <w:footnote w:id="697">
    <w:p w14:paraId="3BD3680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אינן בחזקת דם ליאסר אם לא נמלחו, רש"י.</w:t>
      </w:r>
    </w:p>
  </w:footnote>
  <w:footnote w:id="698">
    <w:p w14:paraId="384B065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דקין שסביב הכנתא אנטרי"ל, רש"י. אבל הלב והריאה והכבד וכנתא גופה יש בהן דם וצריכין לימלח, רש"י (ד"ה וכרכשא). הדקין של בהמה הם חוט אחד ומשוך שהמאכל נכנס להם מן הקיבה, ויש מהדקין שמלופפים ומוקפים זו לפנים מזו בעיגול, כמו נחש שנכרך, ואלו הם הנקראים הדרא דכנתא, והחלב שלהם נקרא כנתא (ע"פ אנצי' תלמו').</w:t>
      </w:r>
    </w:p>
  </w:footnote>
  <w:footnote w:id="699">
    <w:p w14:paraId="313F5F7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כן כתב הב"י, אך לפני כתוב בסמ"ג בשם רב יהודאי גאון, וכן איתא במרדכי.</w:t>
      </w:r>
    </w:p>
  </w:footnote>
  <w:footnote w:id="700">
    <w:p w14:paraId="673D6D7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ויש ליישב דבריו שאע"פ שפסקנו למעלה </w:t>
      </w:r>
      <w:r w:rsidRPr="005C6730">
        <w:rPr>
          <w:rFonts w:asciiTheme="minorBidi" w:hAnsiTheme="minorBidi"/>
          <w:sz w:val="16"/>
          <w:szCs w:val="16"/>
          <w:rtl/>
        </w:rPr>
        <w:t xml:space="preserve">(מז:) </w:t>
      </w:r>
      <w:r w:rsidRPr="005C6730">
        <w:rPr>
          <w:rFonts w:asciiTheme="minorBidi" w:hAnsiTheme="minorBidi"/>
          <w:rtl/>
        </w:rPr>
        <w:t>בוורידי צוואר שדיין בחתיכה ומליחה מ"מ וורידי שומן הכנתא דקין מאד ואין יוצאין מהן דם אף בחתיכה ומליחה, סמ"ג.</w:t>
      </w:r>
    </w:p>
  </w:footnote>
  <w:footnote w:id="701">
    <w:p w14:paraId="3A9D019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תוה"ב קצר ב"ג ש"ג דף עד ע"א.</w:t>
      </w:r>
    </w:p>
  </w:footnote>
  <w:footnote w:id="702">
    <w:p w14:paraId="3451C5E8" w14:textId="77777777" w:rsidR="004C5A3C" w:rsidRDefault="004C5A3C" w:rsidP="002C39F4">
      <w:pPr>
        <w:pStyle w:val="a5"/>
        <w:rPr>
          <w:rtl/>
        </w:rPr>
      </w:pPr>
      <w:r>
        <w:rPr>
          <w:rStyle w:val="a7"/>
        </w:rPr>
        <w:footnoteRef/>
      </w:r>
      <w:r>
        <w:rPr>
          <w:rtl/>
        </w:rPr>
        <w:t xml:space="preserve"> </w:t>
      </w:r>
      <w:r>
        <w:rPr>
          <w:rFonts w:asciiTheme="minorBidi" w:hAnsiTheme="minorBidi" w:hint="cs"/>
          <w:rtl/>
        </w:rPr>
        <w:t>וכ' ה</w:t>
      </w:r>
      <w:r w:rsidRPr="003024E5">
        <w:rPr>
          <w:rFonts w:asciiTheme="minorBidi" w:hAnsiTheme="minorBidi"/>
          <w:rtl/>
        </w:rPr>
        <w:t>אגור</w:t>
      </w:r>
      <w:r w:rsidRPr="001A2FD5">
        <w:rPr>
          <w:rFonts w:asciiTheme="minorBidi" w:hAnsiTheme="minorBidi" w:hint="cs"/>
          <w:sz w:val="12"/>
          <w:szCs w:val="12"/>
          <w:rtl/>
        </w:rPr>
        <w:t xml:space="preserve"> </w:t>
      </w:r>
      <w:r w:rsidRPr="001A2FD5">
        <w:rPr>
          <w:rFonts w:asciiTheme="minorBidi" w:hAnsiTheme="minorBidi" w:hint="cs"/>
          <w:sz w:val="14"/>
          <w:szCs w:val="14"/>
          <w:rtl/>
        </w:rPr>
        <w:t>(סי' אלף קפט)</w:t>
      </w:r>
      <w:r>
        <w:rPr>
          <w:rFonts w:asciiTheme="minorBidi" w:hAnsiTheme="minorBidi" w:hint="cs"/>
          <w:rtl/>
        </w:rPr>
        <w:t xml:space="preserve">- </w:t>
      </w:r>
      <w:r w:rsidRPr="003024E5">
        <w:rPr>
          <w:rFonts w:asciiTheme="minorBidi" w:hAnsiTheme="minorBidi"/>
          <w:rtl/>
        </w:rPr>
        <w:t>אע"פ שהלכה כאותם שאין מצריכין מליחה לצלי וכן מנהג פשוט מ"מ נקיי הדעת נוהגים למלוח לצלי מעט.</w:t>
      </w:r>
    </w:p>
  </w:footnote>
  <w:footnote w:id="703">
    <w:p w14:paraId="402231E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אבל דם אחר שנוטף על הצלי שאצל האש לא אמרינן ביה שהאש שואבו ואם דם הנוטף עליו חם או אפי' צונן אוסר ממנו כדי נטילה, טור. וכ"כ תוס'</w:t>
      </w:r>
      <w:r w:rsidRPr="005C6730">
        <w:rPr>
          <w:rFonts w:asciiTheme="minorBidi" w:hAnsiTheme="minorBidi"/>
          <w:sz w:val="16"/>
          <w:szCs w:val="16"/>
          <w:rtl/>
        </w:rPr>
        <w:t xml:space="preserve"> (קיג. ד"ה אין)</w:t>
      </w:r>
      <w:r w:rsidRPr="005C6730">
        <w:rPr>
          <w:rFonts w:asciiTheme="minorBidi" w:hAnsiTheme="minorBidi"/>
          <w:rtl/>
        </w:rPr>
        <w:t xml:space="preserve"> ורא"ש </w:t>
      </w:r>
      <w:r w:rsidRPr="005C6730">
        <w:rPr>
          <w:rFonts w:asciiTheme="minorBidi" w:hAnsiTheme="minorBidi"/>
          <w:sz w:val="16"/>
          <w:szCs w:val="16"/>
          <w:rtl/>
        </w:rPr>
        <w:t>(פכ"ה סי' מח</w:t>
      </w:r>
      <w:r>
        <w:rPr>
          <w:rFonts w:asciiTheme="minorBidi" w:hAnsiTheme="minorBidi" w:hint="cs"/>
          <w:sz w:val="16"/>
          <w:szCs w:val="16"/>
          <w:rtl/>
        </w:rPr>
        <w:t>)</w:t>
      </w:r>
      <w:r w:rsidRPr="005C6730">
        <w:rPr>
          <w:rFonts w:asciiTheme="minorBidi" w:hAnsiTheme="minorBidi"/>
          <w:rtl/>
        </w:rPr>
        <w:t>.</w:t>
      </w:r>
      <w:r w:rsidRPr="005C6730">
        <w:rPr>
          <w:rFonts w:asciiTheme="minorBidi" w:hAnsiTheme="minorBidi"/>
          <w:color w:val="E36C0A" w:themeColor="accent6" w:themeShade="BF"/>
          <w:rtl/>
        </w:rPr>
        <w:t xml:space="preserve"> (וכ"פ בשו"ע)</w:t>
      </w:r>
    </w:p>
  </w:footnote>
  <w:footnote w:id="704">
    <w:p w14:paraId="7AE0E52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כן ביארו מדברי הגמ' השוחט לחולה בשבת מותר לבריא באומצא</w:t>
      </w:r>
      <w:r w:rsidRPr="0069113D">
        <w:rPr>
          <w:rFonts w:asciiTheme="minorBidi" w:hAnsiTheme="minorBidi"/>
          <w:sz w:val="16"/>
          <w:szCs w:val="16"/>
          <w:rtl/>
        </w:rPr>
        <w:t xml:space="preserve"> (פ"ק דחולין יד.)</w:t>
      </w:r>
      <w:r w:rsidRPr="005C6730">
        <w:rPr>
          <w:rFonts w:asciiTheme="minorBidi" w:hAnsiTheme="minorBidi"/>
          <w:rtl/>
        </w:rPr>
        <w:t>, וכתבו התוס' והרא"ש דאין לאסור משום שנכנס בו הדם מצד זה לצד זה וחשיב כדם האברים שפירש, דלא מבעיא אם נצלה יפה דאז נפלט הדם לחוץ אלא אפילו לא נצלה יפה ולא נפלט כל הדם לחוץ שרי</w:t>
      </w:r>
      <w:r>
        <w:rPr>
          <w:rFonts w:asciiTheme="minorBidi" w:hAnsiTheme="minorBidi" w:hint="cs"/>
          <w:rtl/>
        </w:rPr>
        <w:t>,</w:t>
      </w:r>
      <w:r w:rsidRPr="005C6730">
        <w:rPr>
          <w:rFonts w:asciiTheme="minorBidi" w:hAnsiTheme="minorBidi"/>
          <w:rtl/>
        </w:rPr>
        <w:t xml:space="preserve"> כי מה שיוצא לחוץ נורא מישב שייב ליה ומישרק שריק</w:t>
      </w:r>
      <w:r>
        <w:rPr>
          <w:rFonts w:asciiTheme="minorBidi" w:hAnsiTheme="minorBidi" w:hint="cs"/>
          <w:rtl/>
        </w:rPr>
        <w:t>,</w:t>
      </w:r>
      <w:r w:rsidRPr="005C6730">
        <w:rPr>
          <w:rFonts w:asciiTheme="minorBidi" w:hAnsiTheme="minorBidi"/>
          <w:rtl/>
        </w:rPr>
        <w:t xml:space="preserve"> ומה שנשאר בתוכו הוי דם האברים שלא פירש, ולא חשיב כפירש מה שהדם הולך בתוכו מצד זה לצד זה כדחזינן (חולין קיב.) בככר שחתך עליו בשר דאפי</w:t>
      </w:r>
      <w:r>
        <w:rPr>
          <w:rFonts w:asciiTheme="minorBidi" w:hAnsiTheme="minorBidi" w:hint="cs"/>
          <w:rtl/>
        </w:rPr>
        <w:t>ל</w:t>
      </w:r>
      <w:r w:rsidRPr="005C6730">
        <w:rPr>
          <w:rFonts w:asciiTheme="minorBidi" w:hAnsiTheme="minorBidi"/>
          <w:rtl/>
        </w:rPr>
        <w:t>ו מאן דאסר הככר מתיר הבשר אפילו שלא נצלה כל צרכו.</w:t>
      </w:r>
    </w:p>
  </w:footnote>
  <w:footnote w:id="705">
    <w:p w14:paraId="20C3BD2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משמע דלא בעי כולי האי כמו לקדרה, ודבר תימה הוא דמה מהניא מליחה קצת דאין הבשר יוצא מידי דמו עד שימלחנו יפה יפה, רא"ש.</w:t>
      </w:r>
    </w:p>
  </w:footnote>
  <w:footnote w:id="706">
    <w:p w14:paraId="103CF6D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הה"מ נראה מדברי רבינו שאף הצלי צריך מליחה אלא שאינו צריך לשהות במלחו</w:t>
      </w:r>
      <w:r>
        <w:rPr>
          <w:rFonts w:asciiTheme="minorBidi" w:hAnsiTheme="minorBidi" w:hint="cs"/>
          <w:rtl/>
        </w:rPr>
        <w:t>,</w:t>
      </w:r>
      <w:r w:rsidRPr="005C6730">
        <w:rPr>
          <w:rFonts w:asciiTheme="minorBidi" w:hAnsiTheme="minorBidi"/>
          <w:rtl/>
        </w:rPr>
        <w:t xml:space="preserve"> והביאו לזה מה שאמרו בפרק הקומץ רבה (מנחות כא.) גבי קדשים שאין צריך שיתן בו טעם הרבה</w:t>
      </w:r>
      <w:r>
        <w:rPr>
          <w:rFonts w:asciiTheme="minorBidi" w:hAnsiTheme="minorBidi" w:hint="cs"/>
          <w:rtl/>
        </w:rPr>
        <w:t>,</w:t>
      </w:r>
      <w:r w:rsidRPr="005C6730">
        <w:rPr>
          <w:rFonts w:asciiTheme="minorBidi" w:hAnsiTheme="minorBidi"/>
          <w:rtl/>
        </w:rPr>
        <w:t xml:space="preserve"> כיצד עושה</w:t>
      </w:r>
      <w:r>
        <w:rPr>
          <w:rFonts w:asciiTheme="minorBidi" w:hAnsiTheme="minorBidi" w:hint="cs"/>
          <w:rtl/>
        </w:rPr>
        <w:t>-</w:t>
      </w:r>
      <w:r w:rsidRPr="005C6730">
        <w:rPr>
          <w:rFonts w:asciiTheme="minorBidi" w:hAnsiTheme="minorBidi"/>
          <w:rtl/>
        </w:rPr>
        <w:t xml:space="preserve"> מביא את האבר ונותן עליו מלח ומעלהו</w:t>
      </w:r>
      <w:r>
        <w:rPr>
          <w:rFonts w:asciiTheme="minorBidi" w:hAnsiTheme="minorBidi" w:hint="cs"/>
          <w:rtl/>
        </w:rPr>
        <w:t>,</w:t>
      </w:r>
      <w:r w:rsidRPr="005C6730">
        <w:rPr>
          <w:rFonts w:asciiTheme="minorBidi" w:hAnsiTheme="minorBidi"/>
          <w:rtl/>
        </w:rPr>
        <w:t xml:space="preserve"> אמר אביי וכן לצלי</w:t>
      </w:r>
      <w:r>
        <w:rPr>
          <w:rFonts w:asciiTheme="minorBidi" w:hAnsiTheme="minorBidi" w:hint="cs"/>
          <w:rtl/>
        </w:rPr>
        <w:t>,</w:t>
      </w:r>
      <w:r w:rsidRPr="005C6730">
        <w:rPr>
          <w:rFonts w:asciiTheme="minorBidi" w:hAnsiTheme="minorBidi"/>
          <w:rtl/>
        </w:rPr>
        <w:t xml:space="preserve"> פירוש וכן לצלי מולחו וצולהו מיד</w:t>
      </w:r>
      <w:r>
        <w:rPr>
          <w:rFonts w:asciiTheme="minorBidi" w:hAnsiTheme="minorBidi" w:hint="cs"/>
          <w:rtl/>
        </w:rPr>
        <w:t>,</w:t>
      </w:r>
      <w:r w:rsidRPr="005C6730">
        <w:rPr>
          <w:rFonts w:asciiTheme="minorBidi" w:hAnsiTheme="minorBidi"/>
          <w:rtl/>
        </w:rPr>
        <w:t xml:space="preserve"> וזה דעת הראב"ד ז"ל (תמים דעים סי' יד). אבל יש מי שגורס וכן לקדרה</w:t>
      </w:r>
      <w:r>
        <w:rPr>
          <w:rFonts w:asciiTheme="minorBidi" w:hAnsiTheme="minorBidi" w:hint="cs"/>
          <w:rtl/>
        </w:rPr>
        <w:t>,</w:t>
      </w:r>
      <w:r w:rsidRPr="005C6730">
        <w:rPr>
          <w:rFonts w:asciiTheme="minorBidi" w:hAnsiTheme="minorBidi"/>
          <w:rtl/>
        </w:rPr>
        <w:t xml:space="preserve"> כלומר שאינו צריך מלח הרבה</w:t>
      </w:r>
      <w:r>
        <w:rPr>
          <w:rFonts w:asciiTheme="minorBidi" w:hAnsiTheme="minorBidi" w:hint="cs"/>
          <w:rtl/>
        </w:rPr>
        <w:t>,</w:t>
      </w:r>
      <w:r w:rsidRPr="005C6730">
        <w:rPr>
          <w:rFonts w:asciiTheme="minorBidi" w:hAnsiTheme="minorBidi"/>
          <w:rtl/>
        </w:rPr>
        <w:t xml:space="preserve"> ואף לגירסא האחרת פירשו הרבה מפרשים וכן לצלי אם רצה למלוח ולאכול בצלי בלא הדחה ע"כ</w:t>
      </w:r>
      <w:r>
        <w:rPr>
          <w:rFonts w:asciiTheme="minorBidi" w:hAnsiTheme="minorBidi" w:hint="cs"/>
          <w:rtl/>
        </w:rPr>
        <w:t>.</w:t>
      </w:r>
      <w:r w:rsidRPr="005C6730">
        <w:rPr>
          <w:rFonts w:asciiTheme="minorBidi" w:hAnsiTheme="minorBidi"/>
          <w:rtl/>
        </w:rPr>
        <w:t xml:space="preserve"> </w:t>
      </w:r>
      <w:r w:rsidRPr="0069113D">
        <w:rPr>
          <w:rFonts w:asciiTheme="minorBidi" w:hAnsiTheme="minorBidi" w:hint="cs"/>
          <w:sz w:val="16"/>
          <w:szCs w:val="16"/>
          <w:rtl/>
        </w:rPr>
        <w:t>(</w:t>
      </w:r>
      <w:r w:rsidRPr="0069113D">
        <w:rPr>
          <w:rFonts w:asciiTheme="minorBidi" w:hAnsiTheme="minorBidi"/>
          <w:sz w:val="16"/>
          <w:szCs w:val="16"/>
          <w:rtl/>
        </w:rPr>
        <w:t>וכבר האריך הר"ן בזה בפג"ה (ל: ד"ה חוטי היד) אהא דאמר רב יהודה אמר שמואל (צג.) חוטי היד אסורים משום דם והריב"ש בתשובה (סי' קסה)</w:t>
      </w:r>
      <w:r>
        <w:rPr>
          <w:rFonts w:asciiTheme="minorBidi" w:hAnsiTheme="minorBidi" w:hint="cs"/>
          <w:sz w:val="16"/>
          <w:szCs w:val="16"/>
          <w:rtl/>
        </w:rPr>
        <w:t>, ב"י)</w:t>
      </w:r>
      <w:r>
        <w:rPr>
          <w:rFonts w:asciiTheme="minorBidi" w:hAnsiTheme="minorBidi" w:hint="cs"/>
          <w:rtl/>
        </w:rPr>
        <w:t>.</w:t>
      </w:r>
    </w:p>
  </w:footnote>
  <w:footnote w:id="707">
    <w:p w14:paraId="0DD7206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כן הוא ג"כ לשון הטור, ומשמע דסבירא ליה אפי' הדחה נמי לא בעי לכתחלה משום דם בעין שעליו לפי שהכל האש שואבו, וכ"כ הרא"ש בהדיא ומביאו ב"י ועיין סק"ט, ש"ך (סק"א).</w:t>
      </w:r>
    </w:p>
  </w:footnote>
  <w:footnote w:id="708">
    <w:p w14:paraId="1102D80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 דם בעין, לאפוקי דם הנפלט ע"י מליחה או צלייה דביה אמרי' מישרק שריק, ט"ז (סק"א).</w:t>
      </w:r>
    </w:p>
  </w:footnote>
  <w:footnote w:id="709">
    <w:p w14:paraId="3526386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לשון הטור על הצלי שאצל האש, ובת"ח כלל ט' ד"ב כתב בשם או"ה דאם נפל דם צלול ובעין על הבשר וצלאו כך בלא הדחה טרפה דלא אמרינן כבכ"פ או אגב דפליט דם דידי' כו' גבי דם בעין שנפל עליו ממקום אחר עכ"ל, ואפשר שמטעם זה השמיט המחבר שאצל האש לומר דמ"ש הטור שאצל האש הוא לאו דוקא דאה"נ דאם נפל עליו ואח"כ צלאו כך, ש"ך (סק"ג).</w:t>
      </w:r>
    </w:p>
  </w:footnote>
  <w:footnote w:id="710">
    <w:p w14:paraId="164E48D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דקיי"ל תתאה גבר, וכדלקמן ר"ס צ"א, א"נ כיון שהוא על האש כחם לתוך חם דמי כמ"ש בת"ח כלל כ"ג ד"ד, ש"ך (סק"ד).</w:t>
      </w:r>
    </w:p>
  </w:footnote>
  <w:footnote w:id="711">
    <w:p w14:paraId="544D4B4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ושיעור כדי נטילה הוא כעובי אצבע. וכ' הש"ך (סק"ה) דזהו לדעת הטור והמחבר בסי' ק"ה ס"ה, משא"כ לדידן דנהגינן לאסור אפילו במליחה בדם בס' כמו שנתבאר בדוכתי טובי, כ"ש בצלייה, וכ"כ הר"ב לקמן סי' קה, וכ"כ מהרש"ל באו"ש ובפכ"ה סי' צה, וכ"כ האחרונים, והוא פשוט, ומה שלא הגיה הרב כאן מידי אדברי המחבר היינו שסמך עצמו אמ"ש בכמה דוכתי דנהגינן לאסור במליחה וצלייה בס' וממילא נשמע דזה לא כתב המחבר אלא לשטתו, אבל על העט"ז שהעתיק לשון המחבר כהווייתו יש לתמוה, עכ"ל הש"ך. אך צבי לצדיק </w:t>
      </w:r>
      <w:r w:rsidRPr="00BB30C9">
        <w:rPr>
          <w:rFonts w:asciiTheme="minorBidi" w:hAnsiTheme="minorBidi"/>
          <w:sz w:val="16"/>
          <w:szCs w:val="16"/>
          <w:rtl/>
        </w:rPr>
        <w:t xml:space="preserve">(אוצמ"פ אות ב) </w:t>
      </w:r>
      <w:r w:rsidRPr="005C6730">
        <w:rPr>
          <w:rFonts w:asciiTheme="minorBidi" w:hAnsiTheme="minorBidi"/>
          <w:rtl/>
        </w:rPr>
        <w:t>כ' על דברי הש"ך וז"ל- לא אבין התמיה על העט"ז, הא דבר שלא שייך בו שמנונית כלל כמו דם לא מחמיר רמ"א רק באיסור דאו', אבל בדם של צלי דרבנן לא מחמיר, וכמו שכתב הש"ך בעצמו בסי' ק"ה סקל"ח, מיהו הש"ך מיירי שהדם כשזב עליו היה דאו</w:t>
      </w:r>
      <w:r>
        <w:rPr>
          <w:rFonts w:asciiTheme="minorBidi" w:hAnsiTheme="minorBidi" w:hint="cs"/>
          <w:rtl/>
        </w:rPr>
        <w:t xml:space="preserve">' </w:t>
      </w:r>
      <w:r w:rsidRPr="005C6730">
        <w:rPr>
          <w:rFonts w:asciiTheme="minorBidi" w:hAnsiTheme="minorBidi"/>
          <w:rtl/>
        </w:rPr>
        <w:t>ואוסרו בטרם נצלה, והעט"ז ס"ל דמ"מ נצלה אח"כ והוי דרבנן.</w:t>
      </w:r>
      <w:r w:rsidRPr="005C6730">
        <w:rPr>
          <w:rFonts w:asciiTheme="minorBidi" w:hAnsiTheme="minorBidi"/>
          <w:color w:val="FF0000"/>
          <w:rtl/>
        </w:rPr>
        <w:t xml:space="preserve"> </w:t>
      </w:r>
      <w:r w:rsidRPr="00BB30C9">
        <w:rPr>
          <w:rFonts w:asciiTheme="minorBidi" w:hAnsiTheme="minorBidi"/>
          <w:color w:val="FF0000"/>
          <w:sz w:val="16"/>
          <w:szCs w:val="16"/>
          <w:rtl/>
        </w:rPr>
        <w:t xml:space="preserve">(צ"ע </w:t>
      </w:r>
      <w:r>
        <w:rPr>
          <w:rFonts w:asciiTheme="minorBidi" w:hAnsiTheme="minorBidi" w:hint="cs"/>
          <w:color w:val="FF0000"/>
          <w:sz w:val="16"/>
          <w:szCs w:val="16"/>
          <w:rtl/>
        </w:rPr>
        <w:t xml:space="preserve">שוב </w:t>
      </w:r>
      <w:r w:rsidRPr="00BB30C9">
        <w:rPr>
          <w:rFonts w:asciiTheme="minorBidi" w:hAnsiTheme="minorBidi"/>
          <w:color w:val="FF0000"/>
          <w:sz w:val="16"/>
          <w:szCs w:val="16"/>
          <w:rtl/>
        </w:rPr>
        <w:t>בט"ז סק"א)</w:t>
      </w:r>
    </w:p>
  </w:footnote>
  <w:footnote w:id="712">
    <w:p w14:paraId="344CCCB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הר"ן </w:t>
      </w:r>
      <w:r w:rsidRPr="005C6730">
        <w:rPr>
          <w:rFonts w:asciiTheme="minorBidi" w:hAnsiTheme="minorBidi"/>
          <w:sz w:val="16"/>
          <w:szCs w:val="16"/>
          <w:rtl/>
        </w:rPr>
        <w:t>(ד. ד"ה השוחט)</w:t>
      </w:r>
      <w:r w:rsidRPr="005C6730">
        <w:rPr>
          <w:rFonts w:asciiTheme="minorBidi" w:hAnsiTheme="minorBidi"/>
          <w:rtl/>
        </w:rPr>
        <w:t>- השוחט לחולה בשבת מותר לבריא באומצא... מהא שמעינן דבשר חי לאחר הדחה אפילו בלא מליחה שרי. וכ' הב"י- נראה דהדחה מיהא בעי משום דם שעל פניו, ואפשר דה"ה לצלי, ויש לדחות דצלי שאני דנורא מישב שייב ליה.</w:t>
      </w:r>
    </w:p>
  </w:footnote>
  <w:footnote w:id="713">
    <w:p w14:paraId="015642A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והאשיר"י והתוס' שכתבו דלא בעי הדחה משום דסבירא להו דלא בעי מליחה כלל, אמנם אנו דנוהגין כרש"י לכתחלה למלחו קצת בעי ג"כ הדחה, והכי נוהגין לכתח' למלחו כשכבר נתחב בשפוד ומניחים השפוד אצל האש מיד ואין שוהין בדבר שלא יתמלא המלח דם, מהרא"י. וכ' הדרכ"מ </w:t>
      </w:r>
      <w:r w:rsidRPr="005C6730">
        <w:rPr>
          <w:rFonts w:asciiTheme="minorBidi" w:hAnsiTheme="minorBidi"/>
          <w:sz w:val="16"/>
          <w:szCs w:val="16"/>
          <w:rtl/>
        </w:rPr>
        <w:t>(אות א)</w:t>
      </w:r>
      <w:r w:rsidRPr="005C6730">
        <w:rPr>
          <w:rFonts w:asciiTheme="minorBidi" w:hAnsiTheme="minorBidi"/>
          <w:rtl/>
        </w:rPr>
        <w:t>- ומשמע דאם צלאו בלא מליחה והדחה דכשר בדיעבד. וכ"פ ב</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ח דין א וד)</w:t>
      </w:r>
      <w:r w:rsidRPr="005C6730">
        <w:rPr>
          <w:rFonts w:asciiTheme="minorBidi" w:hAnsiTheme="minorBidi"/>
          <w:color w:val="00B0F0"/>
          <w:rtl/>
        </w:rPr>
        <w:t xml:space="preserve"> (וכ"פ הרמ"א)</w:t>
      </w:r>
      <w:r w:rsidRPr="005C6730">
        <w:rPr>
          <w:rFonts w:asciiTheme="minorBidi" w:hAnsiTheme="minorBidi"/>
          <w:rtl/>
        </w:rPr>
        <w:t xml:space="preserve">, וכ' עוד </w:t>
      </w:r>
      <w:r w:rsidRPr="005C6730">
        <w:rPr>
          <w:rFonts w:asciiTheme="minorBidi" w:hAnsiTheme="minorBidi"/>
          <w:sz w:val="16"/>
          <w:szCs w:val="16"/>
          <w:rtl/>
        </w:rPr>
        <w:t xml:space="preserve">(דין ד- ו) </w:t>
      </w:r>
      <w:r w:rsidRPr="005C6730">
        <w:rPr>
          <w:rFonts w:asciiTheme="minorBidi" w:hAnsiTheme="minorBidi"/>
          <w:rtl/>
        </w:rPr>
        <w:t xml:space="preserve">אפי' לא שפשף כלל כשר בדיע', דלא מחזקינן איסור שמא חתכו בסכין של חלב, ואפי' קנאו מן הגוי, ומיהו לכתח' בעי הדחה וימלחנו בשפוד וישימנו מיד על האש, ובדיע' מותר בשמלחו בשפוד בלתי הדחה כלל הואיל וצולהו מיד או תוך שיעור מליחה, אבל אם שהה באותו מלח שיעור מליחה אסור כדלעיל סי' ס"ט </w:t>
      </w:r>
      <w:r w:rsidRPr="005C6730">
        <w:rPr>
          <w:rFonts w:asciiTheme="minorBidi" w:hAnsiTheme="minorBidi"/>
          <w:sz w:val="16"/>
          <w:szCs w:val="16"/>
          <w:rtl/>
        </w:rPr>
        <w:t>(אות ד)</w:t>
      </w:r>
      <w:r w:rsidRPr="005C6730">
        <w:rPr>
          <w:rFonts w:asciiTheme="minorBidi" w:hAnsiTheme="minorBidi"/>
          <w:rtl/>
        </w:rPr>
        <w:t xml:space="preserve">. וכ' עוד </w:t>
      </w:r>
      <w:r w:rsidRPr="005C6730">
        <w:rPr>
          <w:rFonts w:asciiTheme="minorBidi" w:hAnsiTheme="minorBidi"/>
          <w:sz w:val="16"/>
          <w:szCs w:val="16"/>
          <w:rtl/>
        </w:rPr>
        <w:t xml:space="preserve">(כלל ט דין ח) </w:t>
      </w:r>
      <w:r w:rsidRPr="005C6730">
        <w:rPr>
          <w:rFonts w:asciiTheme="minorBidi" w:hAnsiTheme="minorBidi"/>
          <w:rtl/>
        </w:rPr>
        <w:t>בשר שצולין בלא מליחה או שנמלח מעט ולא שהה שיעור מליחה לקדרה אסור להפך השפוד תמיד בשעת הצלייה דאז מתגלגל הדם עליו ונשאר על הצלי אלא צריך להניחו לפעמים כדי שיזוב דמו מיהו בדיעבד נוהגין להתיר אפילו אם הפכו כל שעת הצלייה.</w:t>
      </w:r>
      <w:r w:rsidRPr="005C6730">
        <w:rPr>
          <w:rFonts w:asciiTheme="minorBidi" w:hAnsiTheme="minorBidi"/>
          <w:color w:val="00B0F0"/>
          <w:rtl/>
        </w:rPr>
        <w:t xml:space="preserve"> (וכ"פ הרמ"א)</w:t>
      </w:r>
    </w:p>
  </w:footnote>
  <w:footnote w:id="714">
    <w:p w14:paraId="6546CC2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w:t>
      </w:r>
      <w:r w:rsidRPr="00BB30C9">
        <w:rPr>
          <w:rFonts w:asciiTheme="minorBidi" w:hAnsiTheme="minorBidi"/>
          <w:u w:val="single"/>
          <w:rtl/>
        </w:rPr>
        <w:t>פירוש- המלח נאסר, ואז אסור לאכול החתיכה עד שידיחנה</w:t>
      </w:r>
      <w:r>
        <w:rPr>
          <w:rFonts w:asciiTheme="minorBidi" w:hAnsiTheme="minorBidi" w:hint="cs"/>
          <w:u w:val="single"/>
          <w:rtl/>
        </w:rPr>
        <w:t>,</w:t>
      </w:r>
      <w:r w:rsidRPr="00BB30C9">
        <w:rPr>
          <w:rFonts w:asciiTheme="minorBidi" w:hAnsiTheme="minorBidi"/>
          <w:u w:val="single"/>
          <w:rtl/>
        </w:rPr>
        <w:t xml:space="preserve"> </w:t>
      </w:r>
      <w:r w:rsidRPr="005C6730">
        <w:rPr>
          <w:rFonts w:asciiTheme="minorBidi" w:hAnsiTheme="minorBidi"/>
          <w:u w:val="single"/>
          <w:rtl/>
        </w:rPr>
        <w:t xml:space="preserve">ומה דין הבשר אם שהה במלחו </w:t>
      </w:r>
      <w:r w:rsidRPr="005C6730">
        <w:rPr>
          <w:rFonts w:asciiTheme="minorBidi" w:hAnsiTheme="minorBidi"/>
          <w:sz w:val="16"/>
          <w:szCs w:val="16"/>
          <w:u w:val="single"/>
          <w:rtl/>
        </w:rPr>
        <w:t>(בדיעבד)</w:t>
      </w:r>
      <w:r w:rsidRPr="005C6730">
        <w:rPr>
          <w:rFonts w:asciiTheme="minorBidi" w:hAnsiTheme="minorBidi"/>
          <w:u w:val="single"/>
          <w:rtl/>
        </w:rPr>
        <w:t>:</w:t>
      </w:r>
    </w:p>
    <w:p w14:paraId="68135181" w14:textId="77777777" w:rsidR="004C5A3C" w:rsidRPr="005C6730" w:rsidRDefault="004C5A3C" w:rsidP="002C39F4">
      <w:pPr>
        <w:pStyle w:val="a5"/>
        <w:numPr>
          <w:ilvl w:val="0"/>
          <w:numId w:val="68"/>
        </w:numPr>
        <w:rPr>
          <w:rFonts w:asciiTheme="minorBidi" w:hAnsiTheme="minorBidi"/>
        </w:rPr>
      </w:pPr>
      <w:r w:rsidRPr="005C6730">
        <w:rPr>
          <w:rFonts w:asciiTheme="minorBidi" w:hAnsiTheme="minorBidi"/>
          <w:rtl/>
        </w:rPr>
        <w:t xml:space="preserve">הגשע"ד </w:t>
      </w:r>
      <w:r w:rsidRPr="005C6730">
        <w:rPr>
          <w:rFonts w:asciiTheme="minorBidi" w:hAnsiTheme="minorBidi"/>
          <w:sz w:val="16"/>
          <w:szCs w:val="16"/>
          <w:rtl/>
        </w:rPr>
        <w:t>(סי' ה סק"א ד"ה אבל)</w:t>
      </w:r>
      <w:r w:rsidRPr="005C6730">
        <w:rPr>
          <w:rFonts w:asciiTheme="minorBidi" w:hAnsiTheme="minorBidi"/>
          <w:rtl/>
        </w:rPr>
        <w:t xml:space="preserve"> ו</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ט דין ד וה)</w:t>
      </w:r>
      <w:r w:rsidRPr="005C6730">
        <w:rPr>
          <w:rFonts w:asciiTheme="minorBidi" w:hAnsiTheme="minorBidi"/>
          <w:rtl/>
        </w:rPr>
        <w:t xml:space="preserve">- בדיעבד שרי </w:t>
      </w:r>
      <w:r w:rsidRPr="005C6730">
        <w:rPr>
          <w:rFonts w:asciiTheme="minorBidi" w:hAnsiTheme="minorBidi"/>
          <w:sz w:val="16"/>
          <w:szCs w:val="16"/>
          <w:rtl/>
        </w:rPr>
        <w:t>(וכ' הב"י דכ"מ בפשיטות מן המרדכי (סי' תרצב) דפסק בשם צפנת פענח דאם שהה הבשר כשיעור מליחה ולא הודח אח"כ ועשה ממנו מולייתא וצלה אותו בשר דשרי, ויראה דכ"ש בלא מולייתא וק"ל, וכ"מ בסה"ת (סי' סו) וסמ"ק (סי' רה) שפסקו אין מניחין כלי לקבל הנוטף מהבשר אא"כ הודח הדם הדחה האחרונה, משמע היכא דאין מניחין כלי לקבל הנוטף ממנו לא בעי הדחה אחרונה לצלי עכ"ל הגשע"ד. וכל זה כתוב בתרוה"ד (סי' קסט))</w:t>
      </w:r>
      <w:r w:rsidRPr="005C6730">
        <w:rPr>
          <w:rFonts w:asciiTheme="minorBidi" w:hAnsiTheme="minorBidi"/>
          <w:rtl/>
        </w:rPr>
        <w:t xml:space="preserve"> </w:t>
      </w:r>
      <w:r w:rsidRPr="005C6730">
        <w:rPr>
          <w:rFonts w:asciiTheme="minorBidi" w:hAnsiTheme="minorBidi"/>
          <w:color w:val="00B0F0"/>
          <w:rtl/>
        </w:rPr>
        <w:t>(וכ"פ הרמ"א)</w:t>
      </w:r>
    </w:p>
    <w:p w14:paraId="482ABCE5" w14:textId="77777777" w:rsidR="004C5A3C" w:rsidRPr="005C6730" w:rsidRDefault="004C5A3C" w:rsidP="002C39F4">
      <w:pPr>
        <w:pStyle w:val="a5"/>
        <w:numPr>
          <w:ilvl w:val="0"/>
          <w:numId w:val="68"/>
        </w:numPr>
        <w:rPr>
          <w:rFonts w:asciiTheme="minorBidi" w:hAnsiTheme="minorBidi"/>
          <w:rtl/>
        </w:rPr>
      </w:pPr>
      <w:r w:rsidRPr="005C6730">
        <w:rPr>
          <w:rFonts w:asciiTheme="minorBidi" w:hAnsiTheme="minorBidi"/>
          <w:rtl/>
        </w:rPr>
        <w:t xml:space="preserve">רי"ו </w:t>
      </w:r>
      <w:r w:rsidRPr="005C6730">
        <w:rPr>
          <w:rFonts w:asciiTheme="minorBidi" w:hAnsiTheme="minorBidi"/>
          <w:sz w:val="16"/>
          <w:szCs w:val="16"/>
          <w:rtl/>
        </w:rPr>
        <w:t>(תא"ו נט"ו אות כ"ה קלג ע"ד, הביאו הדרכ"מ אות ד)</w:t>
      </w:r>
      <w:r w:rsidRPr="005C6730">
        <w:rPr>
          <w:rFonts w:asciiTheme="minorBidi" w:hAnsiTheme="minorBidi"/>
          <w:rtl/>
        </w:rPr>
        <w:t xml:space="preserve">- אפילו בדיעבד צריך הבשר קליפה. </w:t>
      </w:r>
    </w:p>
  </w:footnote>
  <w:footnote w:id="715">
    <w:p w14:paraId="2A9D80C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והה"מ כ' (פ"ו מאכ"א הי"ב) על דברי הרשב"א- תימה, שאם דוקא במעלהו מיד הוא שמותר ואם לאו נאסר היה להם לחכמים לגזור בזה, אלא נראה שאפילו אם בלע המלח מן הדם הכל יוצא ע"י האור ע"כ. וכ' הב"י על דבריו- ולמה שכתבתי בסי' עג (קכא. ד"ה ומ"ש ובקדרה) אין כאן תימה כלל דכיון דאפילו שהה במלחו ולא הדיחו קודם צלייה נכשר ע"י הדחה לא שייך למגזר מידי.</w:t>
      </w:r>
    </w:p>
  </w:footnote>
  <w:footnote w:id="716">
    <w:p w14:paraId="7761EEC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אפילו אינו רוצה לבשלו, כ"מ משע"ד (סי' ט). וכ' הדרכ"מ (אות ג [וכ"כ בסי' עג אות י]) דכן דעת מהרי"ל (סי' קכו), וכן הוא המנהג, ובדיעבד אם לא הדיחו אפילו אם בשלו כך שרי כמו שנתבאר סימן ע"ג לענין כבדא.</w:t>
      </w:r>
      <w:r w:rsidRPr="005C6730">
        <w:rPr>
          <w:rFonts w:asciiTheme="minorBidi" w:hAnsiTheme="minorBidi"/>
          <w:color w:val="00B0F0"/>
          <w:rtl/>
        </w:rPr>
        <w:t xml:space="preserve"> (וכ"פ בהג"ה)</w:t>
      </w:r>
    </w:p>
  </w:footnote>
  <w:footnote w:id="717">
    <w:p w14:paraId="0311AFF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וגם מדברי מהרי"ק</w:t>
      </w:r>
      <w:r w:rsidRPr="005C6730">
        <w:rPr>
          <w:rFonts w:asciiTheme="minorBidi" w:hAnsiTheme="minorBidi"/>
          <w:sz w:val="16"/>
          <w:szCs w:val="16"/>
          <w:rtl/>
        </w:rPr>
        <w:t xml:space="preserve"> (שורש לט) </w:t>
      </w:r>
      <w:r w:rsidRPr="005C6730">
        <w:rPr>
          <w:rFonts w:asciiTheme="minorBidi" w:hAnsiTheme="minorBidi"/>
          <w:rtl/>
        </w:rPr>
        <w:t>משמע דאסור</w:t>
      </w:r>
      <w:r w:rsidRPr="005C6730">
        <w:rPr>
          <w:rFonts w:asciiTheme="minorBidi" w:hAnsiTheme="minorBidi"/>
          <w:sz w:val="16"/>
          <w:szCs w:val="16"/>
          <w:rtl/>
        </w:rPr>
        <w:t xml:space="preserve"> {כן הבין הדר</w:t>
      </w:r>
      <w:r w:rsidRPr="005C6730">
        <w:rPr>
          <w:rFonts w:asciiTheme="minorBidi" w:hAnsiTheme="minorBidi"/>
          <w:sz w:val="16"/>
          <w:szCs w:val="16"/>
        </w:rPr>
        <w:t>F</w:t>
      </w:r>
      <w:r w:rsidRPr="005C6730">
        <w:rPr>
          <w:rFonts w:asciiTheme="minorBidi" w:hAnsiTheme="minorBidi"/>
          <w:sz w:val="16"/>
          <w:szCs w:val="16"/>
          <w:rtl/>
        </w:rPr>
        <w:t>"מ מדבריו)</w:t>
      </w:r>
      <w:r w:rsidRPr="005C6730">
        <w:rPr>
          <w:rFonts w:asciiTheme="minorBidi" w:hAnsiTheme="minorBidi"/>
          <w:rtl/>
        </w:rPr>
        <w:t>, וכ' עוד דאין לחלק בין דיעב' לכתח' אלא בדבר הבא באקראי אבל אם נתיר דבר ואח"כ חוזר ונעשה לכתח' פשיטא שיש לאסור וא"כ גם בנדון זה הואיל ורבים נוהגין היתר ואין לנו כח למחות בידן הואיל והרבה פוסקים מתירין מכל מקום לדידן דנוהגין לאסור יש לאסרן אף בדיעבד הואיל והורגלו לעשות לכתחלה עכ"ל.</w:t>
      </w:r>
    </w:p>
  </w:footnote>
  <w:footnote w:id="718">
    <w:p w14:paraId="5897893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הב"י- אין טעם זה נראה בעיני, דא"כ היינו צריכין להמתין מלאכול מעוף הצלוי עד שיצלה שיעור שיפלוט כל דמו בין דם עצמו בין דם שבא לו מלמעלה ולא ראינו מי שנזהר בכך, לפיכך נ"ל דעיקר הטעם הוא משום דכיון שהעוף שלם דם הפורש מלמעלה למטה בתוך החלל הוי כדם הפורש בחתיכה מצד זה לצד זה דשרי, כמו שנתבאר בראש הסימן, ולא שני לן בין יש חלל בין צד זה לצד זה לאין ביניהם חלל, ועוד דאפילו אי חשיבי כשתי חתיכות ליכא למיסר שאל"כ שתי חתיכות זו אצל זו למה אין נאסרות שפולטת זו ובולעת זו, אלא על כרחך אמרינן בהו דם מישרק שריק, ואין לומר דמיקוא קוי דמא שהרי כל שעה מהפכין השפוד, ועי"ל דעוף שלם לא גרע ממולייתא דאמרינן בה</w:t>
      </w:r>
      <w:r w:rsidRPr="005C6730">
        <w:rPr>
          <w:rFonts w:asciiTheme="minorBidi" w:hAnsiTheme="minorBidi"/>
          <w:sz w:val="16"/>
          <w:szCs w:val="16"/>
          <w:rtl/>
        </w:rPr>
        <w:t xml:space="preserve"> (פסחים עד.) </w:t>
      </w:r>
      <w:r w:rsidRPr="005C6730">
        <w:rPr>
          <w:rFonts w:asciiTheme="minorBidi" w:hAnsiTheme="minorBidi"/>
          <w:rtl/>
        </w:rPr>
        <w:t>כבולעו כך פולטו כלומר דמיד בשעת הבליעה הוא נפלט וכמ"ש הרא"ש בפג"ה (סי' יג).</w:t>
      </w:r>
    </w:p>
  </w:footnote>
  <w:footnote w:id="719">
    <w:p w14:paraId="4876F21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כך משמע מדבריו, וכן הבין הדרכ"מ (אות ה) מדבריו, וכ' הדרכ"מ שכן הוא המנהג.</w:t>
      </w:r>
    </w:p>
  </w:footnote>
  <w:footnote w:id="720">
    <w:p w14:paraId="1631822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כ"כ בשמו ההגשע"ד וגם מהרא"י הביאו (ל"ו שערים ש"ב ד"ו) וז"ל- יש נשים שממלאות תרנגולין בביצים ואין שוהין כשיעור מליחה אין זה נכון עכ"ל, ומשמע הא אי לא מלאוהו בביצים מותר לצלותו בלא מליחה.</w:t>
      </w:r>
    </w:p>
  </w:footnote>
  <w:footnote w:id="721">
    <w:p w14:paraId="045A849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שאינו משים כלי תחתיה לקבל השומן, דאז מותר לצלותה במליחה כל דהו, כיון דלא חוששין שיתערב דם בשומן כמו אם ישים כלי לקבל השומן....</w:t>
      </w:r>
    </w:p>
  </w:footnote>
  <w:footnote w:id="722">
    <w:p w14:paraId="1F9E0CD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לשון ר"פ מעט שונה, וז"ל- כשאינו משים כלי תחתיה </w:t>
      </w:r>
      <w:r w:rsidRPr="005C6730">
        <w:rPr>
          <w:rFonts w:asciiTheme="minorBidi" w:hAnsiTheme="minorBidi"/>
          <w:sz w:val="16"/>
          <w:szCs w:val="16"/>
          <w:rtl/>
        </w:rPr>
        <w:t xml:space="preserve">{תחת העוף} </w:t>
      </w:r>
      <w:r w:rsidRPr="005C6730">
        <w:rPr>
          <w:rFonts w:asciiTheme="minorBidi" w:hAnsiTheme="minorBidi"/>
          <w:rtl/>
        </w:rPr>
        <w:t>מותר לצלותה במליחה כל דהו ומיהו כשצולים יונים וכיוצא מהם שרגילים לטגן במחבת אח"כ אומר בשם הר"ב שצריך למולחם ולשהותם כדי מליחה כמו לקדירה לפי שרגילות לטגנם במחבת קודם גמר צלייתה.</w:t>
      </w:r>
    </w:p>
  </w:footnote>
  <w:footnote w:id="723">
    <w:p w14:paraId="0D60835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ולא כמהר"ם</w:t>
      </w:r>
      <w:r w:rsidRPr="005C6730">
        <w:rPr>
          <w:rFonts w:asciiTheme="minorBidi" w:hAnsiTheme="minorBidi"/>
          <w:sz w:val="14"/>
          <w:szCs w:val="14"/>
          <w:rtl/>
        </w:rPr>
        <w:t xml:space="preserve"> {כ"ה בדרכ"מ}</w:t>
      </w:r>
      <w:r w:rsidRPr="005C6730">
        <w:rPr>
          <w:rFonts w:asciiTheme="minorBidi" w:hAnsiTheme="minorBidi"/>
          <w:rtl/>
        </w:rPr>
        <w:t>/כמהר"ר</w:t>
      </w:r>
      <w:r w:rsidRPr="005C6730">
        <w:rPr>
          <w:rFonts w:asciiTheme="minorBidi" w:hAnsiTheme="minorBidi"/>
          <w:sz w:val="14"/>
          <w:szCs w:val="14"/>
          <w:rtl/>
        </w:rPr>
        <w:t xml:space="preserve"> {כ"ה באו"ה}</w:t>
      </w:r>
      <w:r w:rsidRPr="005C6730">
        <w:rPr>
          <w:rFonts w:asciiTheme="minorBidi" w:hAnsiTheme="minorBidi"/>
          <w:rtl/>
        </w:rPr>
        <w:t xml:space="preserve"> דהצריך מליחה אם רוצה לבשלו אח"כ שמא לא יצלה כל צרכו, או"ה.</w:t>
      </w:r>
    </w:p>
  </w:footnote>
  <w:footnote w:id="724">
    <w:p w14:paraId="4A9B0FD2" w14:textId="77777777" w:rsidR="004C5A3C" w:rsidRDefault="004C5A3C" w:rsidP="002C39F4">
      <w:pPr>
        <w:pStyle w:val="a5"/>
      </w:pPr>
      <w:r>
        <w:rPr>
          <w:rStyle w:val="a7"/>
        </w:rPr>
        <w:footnoteRef/>
      </w:r>
      <w:r>
        <w:rPr>
          <w:rtl/>
        </w:rPr>
        <w:t xml:space="preserve"> </w:t>
      </w:r>
      <w:r w:rsidRPr="005C42E3">
        <w:rPr>
          <w:rFonts w:cs="Arial"/>
          <w:rtl/>
        </w:rPr>
        <w:t>ואפילו בדיעבד אסור בלא מליחה</w:t>
      </w:r>
      <w:r>
        <w:rPr>
          <w:rFonts w:cs="Arial" w:hint="cs"/>
          <w:rtl/>
        </w:rPr>
        <w:t>,</w:t>
      </w:r>
      <w:r w:rsidRPr="005C42E3">
        <w:rPr>
          <w:rFonts w:cs="Arial"/>
          <w:rtl/>
        </w:rPr>
        <w:t xml:space="preserve"> משמעות הפוסקי</w:t>
      </w:r>
      <w:r>
        <w:rPr>
          <w:rFonts w:cs="Arial" w:hint="cs"/>
          <w:rtl/>
        </w:rPr>
        <w:t>ם</w:t>
      </w:r>
      <w:r w:rsidRPr="005C42E3">
        <w:rPr>
          <w:rFonts w:cs="Arial"/>
          <w:rtl/>
        </w:rPr>
        <w:t xml:space="preserve"> וש"ך סי' סה סק"ז</w:t>
      </w:r>
      <w:r>
        <w:rPr>
          <w:rFonts w:cs="Arial" w:hint="cs"/>
          <w:rtl/>
        </w:rPr>
        <w:t>,</w:t>
      </w:r>
      <w:r w:rsidRPr="005C42E3">
        <w:rPr>
          <w:rFonts w:cs="Arial"/>
          <w:rtl/>
        </w:rPr>
        <w:t xml:space="preserve"> דמשק אליעזר </w:t>
      </w:r>
      <w:r w:rsidRPr="005C42E3">
        <w:rPr>
          <w:rFonts w:cs="Arial" w:hint="cs"/>
          <w:sz w:val="16"/>
          <w:szCs w:val="16"/>
          <w:rtl/>
        </w:rPr>
        <w:t>(</w:t>
      </w:r>
      <w:r>
        <w:rPr>
          <w:rFonts w:cs="Arial" w:hint="cs"/>
          <w:sz w:val="16"/>
          <w:szCs w:val="16"/>
          <w:rtl/>
        </w:rPr>
        <w:t>בהערות ל</w:t>
      </w:r>
      <w:r w:rsidRPr="005C42E3">
        <w:rPr>
          <w:rFonts w:cs="Arial"/>
          <w:sz w:val="16"/>
          <w:szCs w:val="16"/>
          <w:rtl/>
        </w:rPr>
        <w:t>סימני תורת החטאת</w:t>
      </w:r>
      <w:r>
        <w:rPr>
          <w:rFonts w:cs="Arial" w:hint="cs"/>
          <w:sz w:val="16"/>
          <w:szCs w:val="16"/>
          <w:rtl/>
        </w:rPr>
        <w:t>,</w:t>
      </w:r>
      <w:r w:rsidRPr="005C42E3">
        <w:rPr>
          <w:rFonts w:cs="Arial"/>
          <w:sz w:val="16"/>
          <w:szCs w:val="16"/>
          <w:rtl/>
        </w:rPr>
        <w:t xml:space="preserve"> כלל ט סעיף ח</w:t>
      </w:r>
      <w:r w:rsidRPr="005C42E3">
        <w:rPr>
          <w:rFonts w:cs="Arial" w:hint="cs"/>
          <w:sz w:val="16"/>
          <w:szCs w:val="16"/>
          <w:rtl/>
        </w:rPr>
        <w:t>)</w:t>
      </w:r>
      <w:r>
        <w:rPr>
          <w:rFonts w:cs="Arial" w:hint="cs"/>
          <w:rtl/>
        </w:rPr>
        <w:t>.</w:t>
      </w:r>
    </w:p>
  </w:footnote>
  <w:footnote w:id="725">
    <w:p w14:paraId="39BAD11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פי' אפי' קצת לא שיעור מליחה, ט"ז (סק"ג).</w:t>
      </w:r>
    </w:p>
  </w:footnote>
  <w:footnote w:id="726">
    <w:p w14:paraId="4EF53FF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היינו המלח. וע"כ ידיחנו קודם צלייה לכתחלה, ואם לא עשה כן ידיחנו אחר הצלייה, וכל זה מיירי שהדיחו קודם המליחה, ולא הוצרך להזכיר אותה הדחה כיון שזכר המליחה, אבל בלא מליחה א"צ הדחה תחלה, וע"ז קאי וי"א של רמ"א דלצלי בעי הדחה תחלה וי"א דבעי ג"כ קצת מליחה, ט"ז (סק"ד).</w:t>
      </w:r>
    </w:p>
  </w:footnote>
  <w:footnote w:id="727">
    <w:p w14:paraId="31A3DF4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דכל צלי בעי הדחה תחלה משום דם בעין שעליו, ש"ך (סק"ח).</w:t>
      </w:r>
    </w:p>
  </w:footnote>
  <w:footnote w:id="728">
    <w:p w14:paraId="76B9FDA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הטעם בזה דנורא מישאב שאיב ליה, וכמ"ש הט"ו בס"א, ואע"ג דאם דם אחר בעין נפל עליו לא אמרינן שהאש שואבו והאי נמי חשיב דם בעין כיון שלא הודח ולא נמלח דהא מה"ט אסור אם נמלח בלא הדחה תחלה ושהה שיעור מליחה אפי' לצלי וכן לקדרה אפי' לא שהה שיעור מליחה וכדלעיל סי' ס"ט ס"ב והיינו מטעמא דכיון דלא הודח המלח מבליע דם בעין שעליו וה"נ נימא כיון דהוי דם בעין ולא הדיחו ולא מלחו כלל אין האש שואבו י"ל דכיון דלא הוי דם בעין ממש אמרינן שפיר שהאש שואבו, ומ"מ אם לא הודח ונמלח ושהה שיעור מליחה אמרינן שהמלח מבליעו ושוב אינו יוצא אפי' ע"י צלייה דלגבי דם בעין שנבלע לא אמרינן כבולעו כך פולטו אבל אם לא הודח ונמלח ולא שהה שיעור מליחה אע"ג דהמלח הבליע דם בעין שעליו דמה"ט לא מהניא ליה מליחה שנית לקדרה מ"מ לא נבלע בחוזק וגם לא נבלע הרבה ויוצא ע"י צלייה אח"כ </w:t>
      </w:r>
      <w:r w:rsidRPr="005C6730">
        <w:rPr>
          <w:rFonts w:asciiTheme="minorBidi" w:hAnsiTheme="minorBidi"/>
          <w:sz w:val="16"/>
          <w:szCs w:val="16"/>
          <w:rtl/>
        </w:rPr>
        <w:t>(דטובא אשכחן כה"ג מה שיוצא ע"י צלייה ולא ע"י מליחה כגון בשר ששהה ג' ימים בלא מליחה בסי' ס"ט סי"ב ובשר שנשרה מעל"ע במים לדעת המחבר שם סט"ו, ושא"פ, וכה"ג טובי)</w:t>
      </w:r>
      <w:r w:rsidRPr="005C6730">
        <w:rPr>
          <w:rFonts w:asciiTheme="minorBidi" w:hAnsiTheme="minorBidi"/>
          <w:rtl/>
        </w:rPr>
        <w:t xml:space="preserve"> מיהו ודאי בדם בעין ממש שנפל ע"ג בשר מליח שחשוב כרותח אסור אפי' לצלי כדמשמע מדברי הרב ס"ס ע' וע"ש וע' בסי' ס"ט ס"ב ובמ"ש שם, ומ"ש או שמלחו בלא הדחה תחלה ונצלה כך מותר לאו למימרא דאסור לכתחלה אפי' לצלי דהא בת"ח כלל ה' ד"ב משמע להדיא דמותר לצלותו ועוד דאם אתה אוסרו לצלי נמצא דלית ליה תקנתא והוי כדיעבד אלא משום דכתב בריש ההג"ה דהמנהג להדיחו תחלה ולמלחו קצת כאשר נתחב בשפוד משום הכי כתב כאן לשון דיעבד, א"נ משום דלכתחלה בעי הדחה אחר המליחה לצלותו להכי נקט וצלאו כך בלא הדחה שאחר המליחה, ומ"ש אם שהה כ"כ קודם שצלאו אסור כבר נתבאר הטעם דהמלח מבליע הדם בעין שעליו ולפ"ז אפי' אם מדיחו אחר המליחה אסור ואפי' אם מדיחו אחר הצלייה ג"כ דבכל ענין אסור והכי מוכח להדיא בת"ח כלל ה' ד"ב וכלל ט' דין ג' ובאו"ה כלל ד' ד"ד והוא פשוט, ומ"ש המחבר אבל אם שהה במלחו המלח בולע ונאסר ולפיכך מדיחו יפה קודם צלייה מיירי שהודח תחלה ואח"כ נמלח וכמ"ש בסק"ו, וכל זה פשוט ולא הוצרכתי לכתבו רק מפני שהעט"ז השמיט כל דינים אלו שכתב הר"ב וקיצר וכתב וז"ל אם לא הדיחו ולא מלחו כלל או מלח בלא הדחה תחלה וצלאו כך מותר לאכלו וא"צ להדיחו מן הדם שיצא עליו בשעת צלייה ונשאר עליו ועל המלח שדרך שמולחין אותו בשפוד והוא שואב ומונע את המלח מלבלוע דם בד"א כשמלחו וצלאו מיד אבל אם שהה במלחו כבר בלע המלח ונאסר לפיכך צריך הדחה אחר צלייה קודם שיאכלנו עכ"ל נראה מדבריו דאף בשלא הודח מתחלה ונמלח שרי אח"כ ע"י הדחה שאחר הצלייה דאין כאן איסור אלא משום המלח שעליו שנאסר והבין דהר"ב והמחבר איירי בחדא מלתא ולא דק גם מ"ש מותר לאכלו וא"צ להדיחו מן הדם שיצא בשעת צלייה כו' ליתא וכמ"ש הר"ב לקמן דכל צלי צריך הדחה אחר צלייתו משום דם הדבוק בו, ש"ך (סק"ט).</w:t>
      </w:r>
    </w:p>
  </w:footnote>
  <w:footnote w:id="729">
    <w:p w14:paraId="584620AD" w14:textId="77777777" w:rsidR="004C5A3C" w:rsidRPr="005C6730" w:rsidRDefault="004C5A3C" w:rsidP="002C39F4">
      <w:pPr>
        <w:pStyle w:val="a5"/>
        <w:rPr>
          <w:rFonts w:asciiTheme="minorBidi" w:hAnsiTheme="minorBidi"/>
          <w:color w:val="FF0000"/>
          <w:rtl/>
        </w:rPr>
      </w:pPr>
      <w:r w:rsidRPr="005C6730">
        <w:rPr>
          <w:rStyle w:val="a7"/>
          <w:rFonts w:asciiTheme="minorBidi" w:hAnsiTheme="minorBidi"/>
        </w:rPr>
        <w:footnoteRef/>
      </w:r>
      <w:r w:rsidRPr="005C6730">
        <w:rPr>
          <w:rFonts w:asciiTheme="minorBidi" w:hAnsiTheme="minorBidi"/>
          <w:rtl/>
        </w:rPr>
        <w:t xml:space="preserve"> בת"ח לא פסק כן הוא עצמו אלא אין שיעור לדבר, וכ"פ רש"ל פרק השוחט סי' י"ח אפי' בלא שהה אסור כמו בבישול, וכן יש לפסוק, וכתב רש"ל מה שנהגו הנשים להדיחו אחר שנצלה קצת קודם שנגמר כל צרכו ושוב חוזרין וצולין אותו לאו משום איסור נהגו כן אלא שלא יתקלקל טעם הצלי אחר הדחתו, ט"ז (סק"ה). </w:t>
      </w:r>
      <w:r w:rsidRPr="005C6730">
        <w:rPr>
          <w:rFonts w:asciiTheme="minorBidi" w:hAnsiTheme="minorBidi"/>
          <w:color w:val="FF0000"/>
          <w:rtl/>
        </w:rPr>
        <w:t xml:space="preserve">צל"ע מה כתב הש"ך בנה"כ אות ג על הט"ז הנ"ל </w:t>
      </w:r>
    </w:p>
  </w:footnote>
  <w:footnote w:id="730">
    <w:p w14:paraId="156081A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ולא אמרינן דחשיב כאילו פירש מחתיכה לחתיכה אלא חשוב ממש כחתיכה אחת, ולא עוד אלא אפי' בב' חתיכות לא חיישינן למה שפירש מזו לזו בצלי שאצל האש, כ"כ רש"ל פ"ק דחולין סי' כ"ז, ולי משמע מדברי המרדכי פכ"ה דבדבר חלול לא הוה כחתיכה אחת אלא דמ"מ מותר במליחה וצלי דכבולעו כך פולטו, ט"ז (סק"ו).</w:t>
      </w:r>
    </w:p>
  </w:footnote>
  <w:footnote w:id="731">
    <w:p w14:paraId="325B110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לצדדים קתני, בביצים אפילו דיעבד אסור, ובבשר לכתחלה אסור, וכמו שיתבאר בסי' שאח"ז, ש"ך (סקי"א).</w:t>
      </w:r>
    </w:p>
  </w:footnote>
  <w:footnote w:id="732">
    <w:p w14:paraId="6AAA05B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או שנמלח ולא שהה שיעור מליחה, ובדיעבד אין לחוש אפי' הפכו כל שעת הצליה, ת"ח כלל ט' ד"ה בשם או"ה, ש"ך (סקי"ב).</w:t>
      </w:r>
    </w:p>
  </w:footnote>
  <w:footnote w:id="733">
    <w:p w14:paraId="17A9860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לכאורה משמע דאאם רוצה לבשלו אח"כ לחוד קאי דאז אם לא יצלנו כדי שיהא ראוי לאכילה נשאר דם בתוכו ויוצא אח"כ ע"י בישול אבל אם רוצה לאכלה כך צלוי אף שנצלה מעט שרי דמה שנשאר בתוכו הוי דם האברים שלא פי' ומותר אבל האו"ה כתב דאף לאכלו כך אסור אם לא נצלה כל צרכו וא"כ י"ל דקאי אתרווייהו ומשמע באו"ה סוף כלל ח' דמותר אפילו לכתחלה לצלותו חצי צלייתו כדי לבשלו אח"כ ולא חיישי' שמא לא יצלה כל צרכו כי יסמוך על הבישול ע"ש, ש"ך (סקי"ג).</w:t>
      </w:r>
    </w:p>
  </w:footnote>
  <w:footnote w:id="734">
    <w:p w14:paraId="5D87D13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כ"כ באו"ה שם וטעמא דאז יצא כבר כל דמו והכי איתא בהדיא בטור ס"ס ס"ט במקום שאין מלח מצוי יצלה הבשר עד חצי צלייתו ואח"כ יבשלהו עכ"ל משמע דבחצי צלייתו זב כל דמו כ"כ הב"י והב"ח והדרישה שם ועוד ביאר הב"ח דעת שאר מחברים כן ע"ש והיינו דלא כמהרש"ל באו"ש ובפ' כ"ה סי' ע"ב דאוסר בחצי צלייתו ע"ש, ש"ך (סקי"ד).</w:t>
      </w:r>
    </w:p>
  </w:footnote>
  <w:footnote w:id="735">
    <w:p w14:paraId="3E725C4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בת"ח</w:t>
      </w:r>
      <w:r w:rsidRPr="005C6730">
        <w:rPr>
          <w:rFonts w:asciiTheme="minorBidi" w:hAnsiTheme="minorBidi"/>
          <w:sz w:val="16"/>
          <w:szCs w:val="16"/>
          <w:rtl/>
        </w:rPr>
        <w:t xml:space="preserve"> (כלל ט די"ב)</w:t>
      </w:r>
      <w:r w:rsidRPr="005C6730">
        <w:rPr>
          <w:rFonts w:asciiTheme="minorBidi" w:hAnsiTheme="minorBidi"/>
          <w:rtl/>
        </w:rPr>
        <w:t xml:space="preserve"> בשם האגודה דאם נצלה בלא מליחה צריך להדיחו אחר הצליה ג"פ, והוא באגודה ר"פ כ"צ, וכ' שם שכן משמע מהגדולים, וכ"כ באו"ה כלל ח' ד"ח, וכ' דהכי נהוג עלמא, ומשמע שם באגודה ובאו"ה דה"ה אם נמלח ולא שהה או אפי' שהה ולא הודח אחר המליחה דצריך הדחה ג"פ אחר הצלייה ע"ש, ומהרש"ל באו"ש חלק ע"ז וכ' דלעולם א"צ אלא הדחה אחת אחר הצלייה, ולא ידעתי איך מלאו לבו לחלוק על הגדולים הקדמונים בסברא בעלמא בלי ראיה ברורה בפרט להקל, ש"ך</w:t>
      </w:r>
      <w:r w:rsidRPr="005C6730">
        <w:rPr>
          <w:rFonts w:asciiTheme="minorBidi" w:hAnsiTheme="minorBidi"/>
          <w:sz w:val="16"/>
          <w:szCs w:val="16"/>
          <w:rtl/>
        </w:rPr>
        <w:t xml:space="preserve"> (סקט"ו)</w:t>
      </w:r>
      <w:r w:rsidRPr="005C6730">
        <w:rPr>
          <w:rFonts w:asciiTheme="minorBidi" w:hAnsiTheme="minorBidi"/>
          <w:rtl/>
        </w:rPr>
        <w:t>.</w:t>
      </w:r>
    </w:p>
  </w:footnote>
  <w:footnote w:id="736">
    <w:p w14:paraId="444A470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 הרשב"א (תוה"ב קצר ב"ג ש"ג ע:)- רצה למלוח ולאכול בצלי ובלא הדחה עושה ואינו חושש לדם שעל המלח וכו' במה דברים אמורים בשחתך את הורידין בשעת שחיטה או סמוך לה שהדם חם ונפלט דרך הורידין...</w:t>
      </w:r>
    </w:p>
  </w:footnote>
  <w:footnote w:id="737">
    <w:p w14:paraId="7094162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אע"ג דמותר לאכול בשר חי בהדחה בלא מליחה וכמבואר בסימן ס"ו דדם האברים שלא פי' מותר הכא כיון שהדם שבורידין כנוס הוא אסור, ש"ך (סקי"ז).</w:t>
      </w:r>
    </w:p>
  </w:footnote>
  <w:footnote w:id="738">
    <w:p w14:paraId="7C23005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וכן לקדרה מותר ע"י מליחה כשאר בשר כיון שנקרו מחוטי הדם, ש"ך (סקי"ח).</w:t>
      </w:r>
    </w:p>
  </w:footnote>
  <w:footnote w:id="739">
    <w:p w14:paraId="65D083D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שדם האברים יוצא הוא דרך הסימנים אף על פי שלא חתך הורידין ולא הצריכו חתיכת הורידין או חתיכת אבר אבר אלא מפני דם החוטין שבבשר, רשב"א (שם).</w:t>
      </w:r>
    </w:p>
  </w:footnote>
  <w:footnote w:id="740">
    <w:p w14:paraId="0B5E832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דלא מהני ניקור, ש"ך (סקי"ט).</w:t>
      </w:r>
    </w:p>
  </w:footnote>
  <w:footnote w:id="741">
    <w:p w14:paraId="43DB5EC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וכבר נתבארו דברים אלו בסימן כ"ב (כח.) בס"ד, ב"י. וכ' הש"ך (סק"כ)- הטור סיים ושחיטת שני הסימנים, והמחבר השמיטו בכוונה משום דס"ל דשחיטת שני הסימנים לאו בהכי תליא, וכמ"ש בספרי (הארוך מש"ך) בסי' כ"ב. וכ' הט"ז (סק"ח)- בטור כתוב בסיום דברי רשב"א אלו ושחיטת ב' הסימנים עכ"ל, וכ' בפרישה משום בהמה נקט לה, וליתא דבת"ה הארוך ד' ס"ה כ' בהדיא אפי' בעוף, אלא לא מיירי כאן רק מדין חתיכת אבר אבר שכ"כ שם הרשב"א בשם הראב"ד שאם לא שחט כל הסימנים דצריך לחתכם בשעה שהדם חם כמו בורידין ואם לא עשה כן אפי' בעוף צריך חתיכת אבר אבר כו', ובב"י סי' כ"ב הביא כן בשם הר"ן וכ' דאין אחד מהפוסקים מזכיר זה ובד"מ שם כת' ע"ז ולדידן דאסור שהייה אפי' במיעוט בתרא גם בזה יהיה נראה כב' שחיטות.</w:t>
      </w:r>
    </w:p>
  </w:footnote>
  <w:footnote w:id="742">
    <w:p w14:paraId="51CF63F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בדפו"ר איתא הני סוגריים, אמנם במהדורת ויניציאה הושמטו, וגם בדפו"ר של הרמ"א ובעוד כמה דפוסים ליתא, וכן בדפוסים שהיו לפני הט"ז והש"ך ליתא. </w:t>
      </w:r>
    </w:p>
  </w:footnote>
  <w:footnote w:id="743">
    <w:p w14:paraId="1C3BB22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עוד המרדכי דאין הבדל בזה</w:t>
      </w:r>
      <w:r w:rsidRPr="005C6730">
        <w:rPr>
          <w:rFonts w:asciiTheme="minorBidi" w:hAnsiTheme="minorBidi"/>
          <w:sz w:val="16"/>
          <w:szCs w:val="16"/>
          <w:rtl/>
        </w:rPr>
        <w:t xml:space="preserve"> (בשיפוד או בסכין)</w:t>
      </w:r>
      <w:r w:rsidRPr="005C6730">
        <w:rPr>
          <w:rFonts w:asciiTheme="minorBidi" w:hAnsiTheme="minorBidi"/>
          <w:rtl/>
        </w:rPr>
        <w:t xml:space="preserve"> בין בשר לכבד.</w:t>
      </w:r>
    </w:p>
  </w:footnote>
  <w:footnote w:id="744">
    <w:p w14:paraId="392D984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w:t>
      </w:r>
      <w:r w:rsidRPr="003024E5">
        <w:rPr>
          <w:rFonts w:asciiTheme="minorBidi" w:hAnsiTheme="minorBidi"/>
          <w:rtl/>
        </w:rPr>
        <w:t xml:space="preserve">שע"ד </w:t>
      </w:r>
      <w:r w:rsidRPr="003024E5">
        <w:rPr>
          <w:rFonts w:asciiTheme="minorBidi" w:hAnsiTheme="minorBidi"/>
          <w:sz w:val="16"/>
          <w:szCs w:val="16"/>
          <w:rtl/>
        </w:rPr>
        <w:t>(סי' יח ויט)</w:t>
      </w:r>
      <w:r>
        <w:rPr>
          <w:rFonts w:asciiTheme="minorBidi" w:hAnsiTheme="minorBidi" w:hint="cs"/>
          <w:rtl/>
        </w:rPr>
        <w:t xml:space="preserve"> כתב</w:t>
      </w:r>
      <w:r w:rsidRPr="003024E5">
        <w:rPr>
          <w:rFonts w:asciiTheme="minorBidi" w:hAnsiTheme="minorBidi"/>
          <w:rtl/>
        </w:rPr>
        <w:t>- השפוד אסור, אמנם אין העולם נזהרים בזה ומתירין בדיעבד</w:t>
      </w:r>
      <w:r>
        <w:rPr>
          <w:rFonts w:asciiTheme="minorBidi" w:hAnsiTheme="minorBidi" w:hint="cs"/>
          <w:rtl/>
        </w:rPr>
        <w:t>.</w:t>
      </w:r>
      <w:r w:rsidRPr="005C6730">
        <w:rPr>
          <w:rFonts w:asciiTheme="minorBidi" w:hAnsiTheme="minorBidi"/>
          <w:rtl/>
        </w:rPr>
        <w:t xml:space="preserve"> </w:t>
      </w:r>
      <w:r>
        <w:rPr>
          <w:rFonts w:asciiTheme="minorBidi" w:hAnsiTheme="minorBidi" w:hint="cs"/>
          <w:rtl/>
        </w:rPr>
        <w:t xml:space="preserve">וכתב בהאו"ה </w:t>
      </w:r>
      <w:r>
        <w:rPr>
          <w:rFonts w:asciiTheme="minorBidi" w:hAnsiTheme="minorBidi" w:hint="cs"/>
          <w:sz w:val="16"/>
          <w:szCs w:val="16"/>
          <w:rtl/>
        </w:rPr>
        <w:t xml:space="preserve">(כלל לו די"א) </w:t>
      </w:r>
      <w:r>
        <w:rPr>
          <w:rFonts w:asciiTheme="minorBidi" w:hAnsiTheme="minorBidi" w:hint="cs"/>
          <w:rtl/>
        </w:rPr>
        <w:t xml:space="preserve">בשמו שדעתו להתיר בדיעבד, וכן </w:t>
      </w:r>
      <w:r w:rsidRPr="005C6730">
        <w:rPr>
          <w:rFonts w:asciiTheme="minorBidi" w:hAnsiTheme="minorBidi"/>
          <w:rtl/>
        </w:rPr>
        <w:t>משמע מהדרכ"מ (אות ו) שהבין מדברי</w:t>
      </w:r>
      <w:r>
        <w:rPr>
          <w:rFonts w:asciiTheme="minorBidi" w:hAnsiTheme="minorBidi" w:hint="cs"/>
          <w:rtl/>
        </w:rPr>
        <w:t xml:space="preserve"> שע"ד</w:t>
      </w:r>
      <w:r w:rsidRPr="005C6730">
        <w:rPr>
          <w:rFonts w:asciiTheme="minorBidi" w:hAnsiTheme="minorBidi"/>
          <w:rtl/>
        </w:rPr>
        <w:t xml:space="preserve"> דשרי בדיעבד (ולא רק שעולם נוהג בו היתר בדיעבד).</w:t>
      </w:r>
    </w:p>
  </w:footnote>
  <w:footnote w:id="745">
    <w:p w14:paraId="25385C3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מהרא"י </w:t>
      </w:r>
      <w:r w:rsidRPr="005C6730">
        <w:rPr>
          <w:rFonts w:asciiTheme="minorBidi" w:hAnsiTheme="minorBidi"/>
          <w:sz w:val="16"/>
          <w:szCs w:val="16"/>
          <w:rtl/>
        </w:rPr>
        <w:t>(הגשע"ד סי' יח סק"ג)</w:t>
      </w:r>
      <w:r w:rsidRPr="005C6730">
        <w:rPr>
          <w:rFonts w:asciiTheme="minorBidi" w:hAnsiTheme="minorBidi"/>
          <w:rtl/>
        </w:rPr>
        <w:t xml:space="preserve"> ו</w:t>
      </w:r>
      <w:r>
        <w:rPr>
          <w:rFonts w:asciiTheme="minorBidi" w:hAnsiTheme="minorBidi"/>
          <w:rtl/>
        </w:rPr>
        <w:t>או"ה</w:t>
      </w:r>
      <w:r w:rsidRPr="005C6730">
        <w:rPr>
          <w:rFonts w:asciiTheme="minorBidi" w:hAnsiTheme="minorBidi"/>
          <w:sz w:val="16"/>
          <w:szCs w:val="16"/>
          <w:rtl/>
        </w:rPr>
        <w:t xml:space="preserve"> (כלל ל"ו דין ט ויא).</w:t>
      </w:r>
    </w:p>
  </w:footnote>
  <w:footnote w:id="746">
    <w:p w14:paraId="7E35DA0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ראב"ד </w:t>
      </w:r>
      <w:r w:rsidRPr="005C6730">
        <w:rPr>
          <w:rFonts w:asciiTheme="minorBidi" w:hAnsiTheme="minorBidi"/>
          <w:sz w:val="16"/>
          <w:szCs w:val="16"/>
          <w:rtl/>
        </w:rPr>
        <w:t>(כ"כ הרשב"א והר"ן בשמו)</w:t>
      </w:r>
      <w:r w:rsidRPr="005C6730">
        <w:rPr>
          <w:rFonts w:asciiTheme="minorBidi" w:hAnsiTheme="minorBidi"/>
          <w:rtl/>
        </w:rPr>
        <w:t xml:space="preserve"> רמב"ן  </w:t>
      </w:r>
      <w:r w:rsidRPr="005C6730">
        <w:rPr>
          <w:rFonts w:asciiTheme="minorBidi" w:hAnsiTheme="minorBidi"/>
          <w:sz w:val="16"/>
          <w:szCs w:val="16"/>
          <w:rtl/>
        </w:rPr>
        <w:t xml:space="preserve">(כ"כ הר"ן בשמו) </w:t>
      </w:r>
      <w:r w:rsidRPr="005C6730">
        <w:rPr>
          <w:rFonts w:asciiTheme="minorBidi" w:hAnsiTheme="minorBidi"/>
          <w:rtl/>
        </w:rPr>
        <w:t xml:space="preserve">ה"ר יונה </w:t>
      </w:r>
      <w:r w:rsidRPr="005C6730">
        <w:rPr>
          <w:rFonts w:asciiTheme="minorBidi" w:hAnsiTheme="minorBidi"/>
          <w:sz w:val="16"/>
          <w:szCs w:val="16"/>
          <w:rtl/>
        </w:rPr>
        <w:t>(כ"כ הרשב"א בשמו)</w:t>
      </w:r>
      <w:r w:rsidRPr="005C6730">
        <w:rPr>
          <w:rFonts w:asciiTheme="minorBidi" w:hAnsiTheme="minorBidi"/>
          <w:rtl/>
        </w:rPr>
        <w:t xml:space="preserve"> רא"ה </w:t>
      </w:r>
      <w:r w:rsidRPr="005C6730">
        <w:rPr>
          <w:rFonts w:asciiTheme="minorBidi" w:hAnsiTheme="minorBidi"/>
          <w:sz w:val="16"/>
          <w:szCs w:val="16"/>
          <w:rtl/>
        </w:rPr>
        <w:t xml:space="preserve">(בדה"ב ב"ד ש"ד ל: ד"ה עוד כתב) </w:t>
      </w:r>
      <w:r w:rsidRPr="005C6730">
        <w:rPr>
          <w:rFonts w:asciiTheme="minorBidi" w:hAnsiTheme="minorBidi"/>
          <w:rtl/>
        </w:rPr>
        <w:t xml:space="preserve">ורשב"א </w:t>
      </w:r>
      <w:r w:rsidRPr="005C6730">
        <w:rPr>
          <w:rFonts w:asciiTheme="minorBidi" w:hAnsiTheme="minorBidi"/>
          <w:sz w:val="16"/>
          <w:szCs w:val="16"/>
          <w:rtl/>
        </w:rPr>
        <w:t>(תוה"ב קצר סוף ש"ד, ובארוך שם לה.)</w:t>
      </w:r>
      <w:r w:rsidRPr="005C6730">
        <w:rPr>
          <w:rFonts w:asciiTheme="minorBidi" w:hAnsiTheme="minorBidi"/>
          <w:rtl/>
        </w:rPr>
        <w:t>.</w:t>
      </w:r>
    </w:p>
  </w:footnote>
  <w:footnote w:id="747">
    <w:p w14:paraId="72FA460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הטור כ' דלפי דברי הרא"ש דלעיל יש"ל דה"ה דסכין נמי מותר. וכ' הב"י- לכאורה נראה דאיכא לדחויי דהא לא שייך למימר נורא מישאב שאיב אלא בשפוד שמניחין אותו סמוך לאש כל זמן שהבשר נצלה אבל סכין שחותכין בו בשר שלא נגמרה צלייתו מה עניינו אח"כ אצל האש דנימא ביה נורא מישאב שאיב, אך המדקדק בלשון הרא"ש יבין דשפיר דייק רבינו דהא טעמא דיהיב הרא"ש להיתר השפוד הוי משום דנורא שאיב כל הדם ואין מניחו ליבלע בשפוד דמאחר שלימדנו שהאור מושך הדם אליו ואינו מניחו ליבלע בשפוד אף אנו נאמר דאין מניחו ליבלע בסכין דמה לי שפוד מה לי סכין טבע האור גורם כשמתחיל לחמם הבשר שהוא מושך הדם אליו בענין שאינו נבלע בשום דבר הסמוך לו, וכן עמא דבר להתיר בין בשפוד בין בסכין.</w:t>
      </w:r>
    </w:p>
  </w:footnote>
  <w:footnote w:id="748">
    <w:p w14:paraId="065CCA8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שע"ד </w:t>
      </w:r>
      <w:r w:rsidRPr="005C6730">
        <w:rPr>
          <w:rFonts w:asciiTheme="minorBidi" w:hAnsiTheme="minorBidi"/>
          <w:sz w:val="16"/>
          <w:szCs w:val="16"/>
          <w:rtl/>
        </w:rPr>
        <w:t>(סי' יח ויט)</w:t>
      </w:r>
      <w:r w:rsidRPr="005C6730">
        <w:rPr>
          <w:rFonts w:asciiTheme="minorBidi" w:hAnsiTheme="minorBidi"/>
          <w:rtl/>
        </w:rPr>
        <w:t xml:space="preserve"> ו</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לו ד</w:t>
      </w:r>
      <w:r>
        <w:rPr>
          <w:rFonts w:asciiTheme="minorBidi" w:hAnsiTheme="minorBidi" w:hint="cs"/>
          <w:sz w:val="16"/>
          <w:szCs w:val="16"/>
          <w:rtl/>
        </w:rPr>
        <w:t>"</w:t>
      </w:r>
      <w:r w:rsidRPr="005C6730">
        <w:rPr>
          <w:rFonts w:asciiTheme="minorBidi" w:hAnsiTheme="minorBidi"/>
          <w:sz w:val="16"/>
          <w:szCs w:val="16"/>
          <w:rtl/>
        </w:rPr>
        <w:t xml:space="preserve">ט </w:t>
      </w:r>
      <w:r>
        <w:rPr>
          <w:rFonts w:asciiTheme="minorBidi" w:hAnsiTheme="minorBidi" w:hint="cs"/>
          <w:sz w:val="16"/>
          <w:szCs w:val="16"/>
          <w:rtl/>
        </w:rPr>
        <w:t>וד</w:t>
      </w:r>
      <w:r w:rsidRPr="005C6730">
        <w:rPr>
          <w:rFonts w:asciiTheme="minorBidi" w:hAnsiTheme="minorBidi"/>
          <w:sz w:val="16"/>
          <w:szCs w:val="16"/>
          <w:rtl/>
        </w:rPr>
        <w:t>י</w:t>
      </w:r>
      <w:r>
        <w:rPr>
          <w:rFonts w:asciiTheme="minorBidi" w:hAnsiTheme="minorBidi" w:hint="cs"/>
          <w:sz w:val="16"/>
          <w:szCs w:val="16"/>
          <w:rtl/>
        </w:rPr>
        <w:t>"</w:t>
      </w:r>
      <w:r w:rsidRPr="005C6730">
        <w:rPr>
          <w:rFonts w:asciiTheme="minorBidi" w:hAnsiTheme="minorBidi"/>
          <w:sz w:val="16"/>
          <w:szCs w:val="16"/>
          <w:rtl/>
        </w:rPr>
        <w:t>א)</w:t>
      </w:r>
      <w:r w:rsidRPr="005C6730">
        <w:rPr>
          <w:rFonts w:asciiTheme="minorBidi" w:hAnsiTheme="minorBidi"/>
          <w:rtl/>
        </w:rPr>
        <w:t>.</w:t>
      </w:r>
    </w:p>
  </w:footnote>
  <w:footnote w:id="749">
    <w:p w14:paraId="30D1F34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ובטור כתב בשמו שאסור ודאי ולא הזכיר שהסמ"ג כ' בסוף דבריו שצריך להתיישב בדבר (וז"ל הטור- כתב בספר המצות שאסור לחתוך בסכין צלי שאצל האש שלא נמלח כל זמן שאינו נצלה כל צרכו מפני דם שבו שנבלע בסכין).</w:t>
      </w:r>
    </w:p>
  </w:footnote>
  <w:footnote w:id="750">
    <w:p w14:paraId="016FF0E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משום דלגבי שפוד לא אמרינן כבולעו כך פולטו, ש"ך (סקכ"א).</w:t>
      </w:r>
    </w:p>
  </w:footnote>
  <w:footnote w:id="751">
    <w:p w14:paraId="3E78665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איכא תרי "לאחר", לאחר שהוסר מן האש, ולאחר שפסק הבשר מלזוב, לכן אסור להשאיר את הבשר בשיפוד רק אם התקיימו שניתנאים אלו, אך אם פסק כבר מלזוב דם של עצמו בעודו עדיין על האש מותר (ש"ך [סקכ"ב]), וכן אם הוסר מהאש בעוד שהבשר זב אין איסור בדבר (ט"ז [סק"ט]), והוסיף הט"ז דלפ"ז להיש מתירים שמביא השו"ע אח"כ, שהוא הרא"ש והר"ן, ממילא כ"ש דמותר הכל כל זמן שיש לו מה לפלוט והוסר מן האש, והטעם, דכל זמן שחום האש על הבשר אז מפליט הבשר דם שבתוכו לחוץ וכשנתקרר החום ההוא אין מפליט כלל והוי דם האיברים שלא פירש ושרי, ומו"ח ז"ל כתב שהרא"ש מודה שאם לא נצלה חצי צלייתו והוסר מן האש דאסור השפוד והסכין והצלי ותמוה הוא אלא הכל שרי וכן מעשים בכל יום כשצולין בשר שלא נמלח שאין נזהרין להסיר השפוד עם הבשר קצת מן האש לתקן האש.</w:t>
      </w:r>
    </w:p>
  </w:footnote>
  <w:footnote w:id="752">
    <w:p w14:paraId="2BF9F9F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כשהוא חותך מן הצלי, רש"י.</w:t>
      </w:r>
    </w:p>
  </w:footnote>
  <w:footnote w:id="753">
    <w:p w14:paraId="2FF70AB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מפני שהדם יוצא ונבלע בו, רש"י.</w:t>
      </w:r>
    </w:p>
  </w:footnote>
  <w:footnote w:id="754">
    <w:p w14:paraId="3362D8B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שהיה הבשר אדום שנקטרוד"א, רש"י.</w:t>
      </w:r>
    </w:p>
  </w:footnote>
  <w:footnote w:id="755">
    <w:p w14:paraId="72217E5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שנקב הדם את הככר כלומר עבר מצדו לצדו עד שנראה משני צדדין, רש"י.</w:t>
      </w:r>
    </w:p>
  </w:footnote>
  <w:footnote w:id="756">
    <w:p w14:paraId="09F9760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שהיה אותו מוהל היוצא מן הבשר עבה אבל צלול לאו דם הוא, רש"י.</w:t>
      </w:r>
    </w:p>
  </w:footnote>
  <w:footnote w:id="757">
    <w:p w14:paraId="4230AB1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לההוא ככר, רש"י.</w:t>
      </w:r>
    </w:p>
  </w:footnote>
  <w:footnote w:id="758">
    <w:p w14:paraId="6020DAC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דאיהו לא בעי למיכליה ולשמעיה ספי ליה איסורא, רש"י.</w:t>
      </w:r>
    </w:p>
  </w:footnote>
  <w:footnote w:id="759">
    <w:p w14:paraId="67754E4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האי דלא אכיל ליה משום דאיסטניס הוה ולאו משום איסורא, רש"י.</w:t>
      </w:r>
    </w:p>
  </w:footnote>
  <w:footnote w:id="760">
    <w:p w14:paraId="1A48885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יין הבשר, רש"י.</w:t>
      </w:r>
    </w:p>
  </w:footnote>
  <w:footnote w:id="761">
    <w:p w14:paraId="6BA2E17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לשון הטור- ועבר בכל הככר מעבר לעבר, והכי איתא בש"ס (קיב.), ש"ך (סקכ"ד). </w:t>
      </w:r>
    </w:p>
  </w:footnote>
  <w:footnote w:id="762">
    <w:p w14:paraId="62B19CF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הש"ך</w:t>
      </w:r>
      <w:r w:rsidRPr="005C6730">
        <w:rPr>
          <w:rFonts w:asciiTheme="minorBidi" w:hAnsiTheme="minorBidi"/>
          <w:sz w:val="16"/>
          <w:szCs w:val="16"/>
          <w:rtl/>
        </w:rPr>
        <w:t xml:space="preserve"> (סקכ"ד)</w:t>
      </w:r>
      <w:r w:rsidRPr="005C6730">
        <w:rPr>
          <w:rFonts w:asciiTheme="minorBidi" w:hAnsiTheme="minorBidi"/>
          <w:rtl/>
        </w:rPr>
        <w:t xml:space="preserve"> דנראה מן הש"ס דאפי' המוהל עב מותר, וכ"כ הרשב"א </w:t>
      </w:r>
      <w:r w:rsidRPr="005C6730">
        <w:rPr>
          <w:rFonts w:asciiTheme="minorBidi" w:hAnsiTheme="minorBidi"/>
          <w:sz w:val="16"/>
          <w:szCs w:val="16"/>
          <w:rtl/>
        </w:rPr>
        <w:t xml:space="preserve">(בחדו' קכד:, ובתוה"ב) </w:t>
      </w:r>
      <w:r w:rsidRPr="005C6730">
        <w:rPr>
          <w:rFonts w:asciiTheme="minorBidi" w:hAnsiTheme="minorBidi"/>
          <w:rtl/>
        </w:rPr>
        <w:t xml:space="preserve">בהדיא, וכ"כ ב"י, וכ"כ רי"ו </w:t>
      </w:r>
      <w:r w:rsidRPr="005C6730">
        <w:rPr>
          <w:rFonts w:asciiTheme="minorBidi" w:hAnsiTheme="minorBidi"/>
          <w:sz w:val="16"/>
          <w:szCs w:val="16"/>
          <w:rtl/>
        </w:rPr>
        <w:t xml:space="preserve">(נט"ו אות כ"ה) </w:t>
      </w:r>
      <w:r w:rsidRPr="005C6730">
        <w:rPr>
          <w:rFonts w:asciiTheme="minorBidi" w:hAnsiTheme="minorBidi"/>
          <w:rtl/>
        </w:rPr>
        <w:t xml:space="preserve">בהדיא, ונ"ל מוכח שכן דעת הרי"ף והר"ן והרמב"ם והה"מ והגה"מ </w:t>
      </w:r>
      <w:r w:rsidRPr="005C6730">
        <w:rPr>
          <w:rFonts w:asciiTheme="minorBidi" w:hAnsiTheme="minorBidi"/>
          <w:sz w:val="16"/>
          <w:szCs w:val="16"/>
          <w:rtl/>
        </w:rPr>
        <w:t xml:space="preserve">(פ"ו מהמ"א) </w:t>
      </w:r>
      <w:r w:rsidRPr="005C6730">
        <w:rPr>
          <w:rFonts w:asciiTheme="minorBidi" w:hAnsiTheme="minorBidi"/>
          <w:rtl/>
        </w:rPr>
        <w:t xml:space="preserve">והרא"ש וראב"ן וסמ"ג וסה"ת ואגודה (וכ"ד הטור וכמ"ש בב"ח) ושא"פ, ומהרש"ל </w:t>
      </w:r>
      <w:r w:rsidRPr="005C6730">
        <w:rPr>
          <w:rFonts w:asciiTheme="minorBidi" w:hAnsiTheme="minorBidi"/>
          <w:sz w:val="16"/>
          <w:szCs w:val="16"/>
          <w:rtl/>
        </w:rPr>
        <w:t xml:space="preserve">(פכ"ה סי' עב) </w:t>
      </w:r>
      <w:r w:rsidRPr="005C6730">
        <w:rPr>
          <w:rFonts w:asciiTheme="minorBidi" w:hAnsiTheme="minorBidi"/>
          <w:rtl/>
        </w:rPr>
        <w:t xml:space="preserve">תלה עצמו בדקדוק קלוש מא"ז ופסק לאסור אם המוהל עב ונעלם ממנו כל הנך פוסקים </w:t>
      </w:r>
      <w:r w:rsidRPr="005C6730">
        <w:rPr>
          <w:rFonts w:asciiTheme="minorBidi" w:hAnsiTheme="minorBidi"/>
          <w:sz w:val="16"/>
          <w:szCs w:val="16"/>
          <w:rtl/>
        </w:rPr>
        <w:t>(גם מ"ש להחמיר כיון דספק דאו' הוא ליתא דהא קי"ל דם שבישלו אינו אלא מדרבנן וכמו שנתבאר בדוכתי טובא וכמ"ש הטור והרשב"א בס"ס זה)</w:t>
      </w:r>
      <w:r w:rsidRPr="005C6730">
        <w:rPr>
          <w:rFonts w:asciiTheme="minorBidi" w:hAnsiTheme="minorBidi"/>
          <w:rtl/>
        </w:rPr>
        <w:t>.</w:t>
      </w:r>
    </w:p>
  </w:footnote>
  <w:footnote w:id="763">
    <w:p w14:paraId="52DF11F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משמע דלא סגי ליה בכדי מאכל בן דרוסאי אלא בעי דמטא לצלייה הראויה לאכילה לרוב בני אדם כמו שכתב גבי ככר שחתך עליה בשר, אלא שבחידושיו (שם) כתב דההוא דככר שחתך עליה בשר טפי מטוי מהאי דכלה אדמומית, דההוא דככר מטא לצלייה הראויה לאכילה </w:t>
      </w:r>
      <w:r w:rsidRPr="005C6730">
        <w:rPr>
          <w:rFonts w:asciiTheme="minorBidi" w:hAnsiTheme="minorBidi"/>
          <w:u w:val="single"/>
          <w:rtl/>
        </w:rPr>
        <w:t>לרוב</w:t>
      </w:r>
      <w:r w:rsidRPr="005C6730">
        <w:rPr>
          <w:rFonts w:asciiTheme="minorBidi" w:hAnsiTheme="minorBidi"/>
          <w:rtl/>
        </w:rPr>
        <w:t xml:space="preserve"> בני אדם עכ"ל, וא"כ אפשר דגבי בי דוגי בשהגיע למאכל בן דרוסאי סגי, וכדברי הר"ן, עכ"ל הב"י. וכ' הדרכ"מ (אות ז) דמדברי הטור לא משמע לחלק בין זו להאי דחתכוהו על הככר ולהכי סתם כאן וכתב שנצלה כדי צרכו מיהו אפשר דסמך וכתב סתם דנצלה כל צרכו כי כבר ביאר לעיל סימן ס"ט (בסופו) דזו היא כשנצלה כדי חצי צלייתו כנ"ל.</w:t>
      </w:r>
    </w:p>
  </w:footnote>
  <w:footnote w:id="764">
    <w:p w14:paraId="52C1C61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ואם יש תקנה ליתן הכלי </w:t>
      </w:r>
      <w:r>
        <w:rPr>
          <w:rFonts w:asciiTheme="minorBidi" w:hAnsiTheme="minorBidi" w:hint="cs"/>
          <w:rtl/>
        </w:rPr>
        <w:t>לפני כן -</w:t>
      </w:r>
      <w:r w:rsidRPr="005C6730">
        <w:rPr>
          <w:rFonts w:asciiTheme="minorBidi" w:hAnsiTheme="minorBidi"/>
          <w:rtl/>
        </w:rPr>
        <w:t xml:space="preserve"> יתבאר בסמוך.</w:t>
      </w:r>
    </w:p>
  </w:footnote>
  <w:footnote w:id="765">
    <w:p w14:paraId="6EDA310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שיהא כל דמו כבר נפלט ממנו, רש"י.</w:t>
      </w:r>
    </w:p>
  </w:footnote>
  <w:footnote w:id="766">
    <w:p w14:paraId="4396F7D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שהבשר מעלה עשן, לישנא אחרינא שיהו הגחלים מעלין עשן, שכל זמן שהדם שותת עליהן אינן אלא כבין והולכים אבל כשהשומן נוטף הן מעלין עשן, לשון מורי, רש"י.</w:t>
      </w:r>
    </w:p>
  </w:footnote>
  <w:footnote w:id="767">
    <w:p w14:paraId="11AEABF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צד התחתון של צד גחלים נצלה והעליון לא נצלה, רש"י.</w:t>
      </w:r>
    </w:p>
  </w:footnote>
  <w:footnote w:id="768">
    <w:p w14:paraId="75086A7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בין על הבשר ובין בתוך הכלי והדם נגרר אצל המלח לשוליים, רש"י. וכ' הב"י דמשמע מדברי המפרשים והפוסקים שלא היו נותנין בו אלא מלח בלבד, אבל הרשב"א כתב בתוה"ב (שם עט.) שהיו נותנים בו מים ובתוך המים היו נותנין בו גרגירי המלח.</w:t>
      </w:r>
    </w:p>
  </w:footnote>
  <w:footnote w:id="769">
    <w:p w14:paraId="5EEA20F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כמו השופה יין לחבירו </w:t>
      </w:r>
      <w:r w:rsidRPr="005C6730">
        <w:rPr>
          <w:rFonts w:asciiTheme="minorBidi" w:hAnsiTheme="minorBidi"/>
          <w:sz w:val="16"/>
          <w:szCs w:val="16"/>
          <w:rtl/>
        </w:rPr>
        <w:t xml:space="preserve">(ב"מ ס.) </w:t>
      </w:r>
      <w:r w:rsidRPr="005C6730">
        <w:rPr>
          <w:rFonts w:asciiTheme="minorBidi" w:hAnsiTheme="minorBidi"/>
          <w:rtl/>
        </w:rPr>
        <w:t>קולי"ר כלומר יערה השומן העליון בנחת מכלי אל כלי כדי שלא יתערב הדם בו, וראיתי בהלכות גדולות דדוקא נקט תרי גללי כלומר מעט מלח אבל מלח הרבה פוסק כח הדם ועושהו כמים והוא נעכר ומתערב עם השומן, רש"י.</w:t>
      </w:r>
    </w:p>
  </w:footnote>
  <w:footnote w:id="770">
    <w:p w14:paraId="5700732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כן הבי</w:t>
      </w:r>
      <w:r>
        <w:rPr>
          <w:rFonts w:asciiTheme="minorBidi" w:hAnsiTheme="minorBidi" w:hint="cs"/>
          <w:rtl/>
        </w:rPr>
        <w:t>נו הב"י</w:t>
      </w:r>
      <w:r w:rsidRPr="005C6730">
        <w:rPr>
          <w:rFonts w:asciiTheme="minorBidi" w:hAnsiTheme="minorBidi"/>
          <w:rtl/>
        </w:rPr>
        <w:t xml:space="preserve"> </w:t>
      </w:r>
      <w:r>
        <w:rPr>
          <w:rFonts w:asciiTheme="minorBidi" w:hAnsiTheme="minorBidi" w:hint="cs"/>
          <w:rtl/>
        </w:rPr>
        <w:t>ו</w:t>
      </w:r>
      <w:r w:rsidRPr="005C6730">
        <w:rPr>
          <w:rFonts w:asciiTheme="minorBidi" w:hAnsiTheme="minorBidi"/>
          <w:rtl/>
        </w:rPr>
        <w:t>הה"מ בדברי הרי"ף והרמב"ם.</w:t>
      </w:r>
    </w:p>
  </w:footnote>
  <w:footnote w:id="771">
    <w:p w14:paraId="474FB3C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הב"י כ' דהבין כן מדברי הרי"ף והרא"ש מדהשמיטוה לההיא דמשתעלה תמרתו, וכ' שכן משמע לפום ריהטא דסוגיא דשמעתין.</w:t>
      </w:r>
    </w:p>
  </w:footnote>
  <w:footnote w:id="772">
    <w:p w14:paraId="57B0D41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כך הבין הב"י שהטור הבין את דברי אביו, וכ' וז"ל- רבינו סתם דבריו כדעת הרשב"א ואם היה סבור שהרא"ש חלוק בדבר היה לו להזכיר סברתו, ולכן נראה לי שרבינו סובר דלהרא"ש נמי הא דרב אשי אחר שתעלה תמרתו היא ולא קודם, שהרי כתב אמר רב נחמן אמר אמר שמואל אין מניחין כלי תחת הצלי עד שתכלה כל מראה אדמומית שבו מנא ידעינן וכו' ואסקה רב אשי דלית ליה תקנתא עד דמייתי תרי גללי דמילחא וכו', ואם איתא שהיה מפרש דלרב אשי לא בעי משתעלה תמרתו כלל נמצא דרב אשי פליג אדשמואל דאמר אין מניחין עד שיכלה אדמומית ולרב אשי כילוי אדמומית זה לא מעלה ולא מוריד דאי יהיב תרי גללי מילחא אפילו קודם שתכלה מראה אדמומית נמי שרי, ואם כן לא הוה ליה לכתוב לדשמואל כלל, ומדכתבו לדשמואל וגם מדכתב עלה ואסקה רב אשי משמע דס"ל דרב אשי לא פליג אדשמואל אלא לאוסופי עליה אתא דבתר דכלה אדמומית שבו בעי תרי גללי מילחא וקודם שכלה אדמומית שבו לא מהני תרי גללי דמילחא וכדסתים שמואל ואמר אין מניחין כלי עד שיכלה אדמומית שבו ושמואל לא אתא לאשמועינן אלא דקודם כילוי אדמומית ליכא תקנתא כלל לאנוחי כלי אבל אין הכי נמי דבתר הכי איכא תקנתא כדמסיק רב אשי, ומה שלא כתב דברי רב פפא דאמר משתעלה תמרתו משום דלדידיה בתר דתעלה תמרתו בלא תרי גללי מילחא נמי שרי- וליתא, ומ"מ מדאמר שמואל עד שיכלה אדמומית שבו שמעינן שפיר דבעינן שתעלה תמרתו דזו וזו אחת היא, ולפירוש זה גם הרי"ף אפשר שסובר כן דתקנתיה דרב אשי ליתא אלא אחר שיכלה מראה אדמומית שבו שהרי הוא גם כן כתבה לדשמואל וכתב עלה ואסקה רב אשי.</w:t>
      </w:r>
    </w:p>
  </w:footnote>
  <w:footnote w:id="773">
    <w:p w14:paraId="35C5B81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הטור כ' שרש"י כ' כן </w:t>
      </w:r>
      <w:r w:rsidRPr="005C6730">
        <w:rPr>
          <w:rFonts w:asciiTheme="minorBidi" w:hAnsiTheme="minorBidi"/>
          <w:sz w:val="14"/>
          <w:szCs w:val="14"/>
          <w:rtl/>
        </w:rPr>
        <w:t>(דמכיון שאין אנו בקיאין... אין ליתן וכו')</w:t>
      </w:r>
      <w:r w:rsidRPr="005C6730">
        <w:rPr>
          <w:rFonts w:asciiTheme="minorBidi" w:hAnsiTheme="minorBidi"/>
          <w:rtl/>
        </w:rPr>
        <w:t xml:space="preserve">, וכ' הב"י דאע"ג דבפירושי רש"י דידן (קיב: ד"ה ומשפייה) אין כתוב אלא דברי בה"ג </w:t>
      </w:r>
      <w:r w:rsidRPr="005C6730">
        <w:rPr>
          <w:rFonts w:asciiTheme="minorBidi" w:hAnsiTheme="minorBidi"/>
          <w:sz w:val="16"/>
          <w:szCs w:val="16"/>
          <w:rtl/>
        </w:rPr>
        <w:t xml:space="preserve">(סי' סה קלג ריש ע"ג) </w:t>
      </w:r>
      <w:r w:rsidRPr="005C6730">
        <w:rPr>
          <w:rFonts w:asciiTheme="minorBidi" w:hAnsiTheme="minorBidi"/>
          <w:rtl/>
        </w:rPr>
        <w:t>בלבד- בנוסחת רש"י של רבינו אפשר שהיה כתוב כמו שכתב בשמו, ולפום נוסחא דידן נמי שפיר איכא למילף מיניה הכי דכיון דאין אנו בקיאין אין לנו ליתן כלי תחת הצלי מספק.</w:t>
      </w:r>
    </w:p>
  </w:footnote>
  <w:footnote w:id="774">
    <w:p w14:paraId="7D354C7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תוס' </w:t>
      </w:r>
      <w:r w:rsidRPr="005C6730">
        <w:rPr>
          <w:rFonts w:asciiTheme="minorBidi" w:hAnsiTheme="minorBidi"/>
          <w:sz w:val="16"/>
          <w:szCs w:val="16"/>
          <w:rtl/>
        </w:rPr>
        <w:t xml:space="preserve">(קיב. ד"ה תרי גללי, כן הבין הב"י מדבריהם) </w:t>
      </w:r>
      <w:r w:rsidRPr="005C6730">
        <w:rPr>
          <w:rFonts w:asciiTheme="minorBidi" w:hAnsiTheme="minorBidi"/>
          <w:rtl/>
        </w:rPr>
        <w:t xml:space="preserve">סה"ת </w:t>
      </w:r>
      <w:r w:rsidRPr="005C6730">
        <w:rPr>
          <w:rFonts w:asciiTheme="minorBidi" w:hAnsiTheme="minorBidi"/>
          <w:sz w:val="16"/>
          <w:szCs w:val="16"/>
          <w:rtl/>
        </w:rPr>
        <w:t xml:space="preserve">(סו"ס סה וריש סי' סו, הביאו הרשב"א בחידושיו [שם ד"ה אמר רב נחמן]) </w:t>
      </w:r>
      <w:r w:rsidRPr="005C6730">
        <w:rPr>
          <w:rFonts w:asciiTheme="minorBidi" w:hAnsiTheme="minorBidi"/>
          <w:rtl/>
        </w:rPr>
        <w:t xml:space="preserve">סמ"ג </w:t>
      </w:r>
      <w:r w:rsidRPr="005C6730">
        <w:rPr>
          <w:rFonts w:asciiTheme="minorBidi" w:hAnsiTheme="minorBidi"/>
          <w:sz w:val="16"/>
          <w:szCs w:val="16"/>
          <w:rtl/>
        </w:rPr>
        <w:t xml:space="preserve">(לאוין קלז מז ריש ע"ב) </w:t>
      </w:r>
      <w:r w:rsidRPr="005C6730">
        <w:rPr>
          <w:rFonts w:asciiTheme="minorBidi" w:hAnsiTheme="minorBidi"/>
          <w:rtl/>
        </w:rPr>
        <w:t xml:space="preserve">רשב"א </w:t>
      </w:r>
      <w:r w:rsidRPr="005C6730">
        <w:rPr>
          <w:rFonts w:asciiTheme="minorBidi" w:hAnsiTheme="minorBidi"/>
          <w:sz w:val="16"/>
          <w:szCs w:val="16"/>
          <w:rtl/>
        </w:rPr>
        <w:t xml:space="preserve">(תוה"ב קצר ב"ג ש"ג עט:, בשם יש מגדולי אחרונים) </w:t>
      </w:r>
      <w:r w:rsidRPr="005C6730">
        <w:rPr>
          <w:rFonts w:asciiTheme="minorBidi" w:hAnsiTheme="minorBidi"/>
          <w:rtl/>
        </w:rPr>
        <w:t xml:space="preserve">רא"ש </w:t>
      </w:r>
      <w:r w:rsidRPr="005C6730">
        <w:rPr>
          <w:rFonts w:asciiTheme="minorBidi" w:hAnsiTheme="minorBidi"/>
          <w:sz w:val="16"/>
          <w:szCs w:val="16"/>
          <w:rtl/>
        </w:rPr>
        <w:t xml:space="preserve">(סי' לו) </w:t>
      </w:r>
      <w:r w:rsidRPr="005C6730">
        <w:rPr>
          <w:rFonts w:asciiTheme="minorBidi" w:hAnsiTheme="minorBidi"/>
          <w:rtl/>
        </w:rPr>
        <w:t xml:space="preserve">טור ור"ן </w:t>
      </w:r>
      <w:r w:rsidRPr="005C6730">
        <w:rPr>
          <w:rFonts w:asciiTheme="minorBidi" w:hAnsiTheme="minorBidi"/>
          <w:sz w:val="16"/>
          <w:szCs w:val="16"/>
          <w:rtl/>
        </w:rPr>
        <w:t>(מא: ד"ה ומיהו, כ' כן על דברי בה"ג)</w:t>
      </w:r>
      <w:r w:rsidRPr="005C6730">
        <w:rPr>
          <w:rFonts w:asciiTheme="minorBidi" w:hAnsiTheme="minorBidi"/>
          <w:rtl/>
        </w:rPr>
        <w:t>.</w:t>
      </w:r>
    </w:p>
  </w:footnote>
  <w:footnote w:id="775">
    <w:p w14:paraId="00C3247C" w14:textId="77777777" w:rsidR="004C5A3C" w:rsidRDefault="004C5A3C" w:rsidP="002C39F4">
      <w:pPr>
        <w:pStyle w:val="a5"/>
      </w:pPr>
      <w:r>
        <w:rPr>
          <w:rStyle w:val="a7"/>
        </w:rPr>
        <w:footnoteRef/>
      </w:r>
      <w:r>
        <w:rPr>
          <w:rtl/>
        </w:rPr>
        <w:t xml:space="preserve"> </w:t>
      </w:r>
      <w:r>
        <w:rPr>
          <w:rFonts w:hint="cs"/>
          <w:rtl/>
        </w:rPr>
        <w:t>הרא"ש (חולין פ"ח סי' לו) כתב- "וישהה כדי צלייה", וכתב הדברי חמודות (אות קפו) שהוא שיעור מליחה לקדרה.</w:t>
      </w:r>
    </w:p>
  </w:footnote>
  <w:footnote w:id="776">
    <w:p w14:paraId="595B65D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הב"י- ורבינו </w:t>
      </w:r>
      <w:r w:rsidRPr="005C6730">
        <w:rPr>
          <w:rFonts w:asciiTheme="minorBidi" w:hAnsiTheme="minorBidi"/>
          <w:sz w:val="16"/>
          <w:szCs w:val="16"/>
          <w:rtl/>
        </w:rPr>
        <w:t>{הטור}</w:t>
      </w:r>
      <w:r w:rsidRPr="005C6730">
        <w:rPr>
          <w:rFonts w:asciiTheme="minorBidi" w:hAnsiTheme="minorBidi"/>
          <w:rtl/>
        </w:rPr>
        <w:t xml:space="preserve"> לא חשש להזכיר ההדחה לפי שהוא פשוט וקיצר במובן.</w:t>
      </w:r>
    </w:p>
  </w:footnote>
  <w:footnote w:id="777">
    <w:p w14:paraId="225DC25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וכתבו הרשב"א והטור דאם עבר ועשה ואפילו נתן בו מלח הרבה מותר לפי שאין כאן דם אסור דאו' דדם שבשלו הוא ואינו אסור דבר תורה </w:t>
      </w:r>
      <w:r w:rsidRPr="005C6730">
        <w:rPr>
          <w:rFonts w:asciiTheme="minorBidi" w:hAnsiTheme="minorBidi"/>
          <w:sz w:val="14"/>
          <w:szCs w:val="14"/>
          <w:rtl/>
        </w:rPr>
        <w:t>(מנחות כא.)</w:t>
      </w:r>
      <w:r w:rsidRPr="005C6730">
        <w:rPr>
          <w:rFonts w:asciiTheme="minorBidi" w:hAnsiTheme="minorBidi"/>
          <w:rtl/>
        </w:rPr>
        <w:t>, ועוד דאינו ודאי אלא ספק שמא משעלתה תמרתו נתבשל הכל ואפילו העליון ולפיכך מותר.</w:t>
      </w:r>
    </w:p>
  </w:footnote>
  <w:footnote w:id="778">
    <w:p w14:paraId="01F475F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הב"י- וטעמו ממה שיתבאר בסימן שאחר זה</w:t>
      </w:r>
      <w:r>
        <w:rPr>
          <w:rFonts w:asciiTheme="minorBidi" w:hAnsiTheme="minorBidi" w:hint="cs"/>
          <w:rtl/>
        </w:rPr>
        <w:t xml:space="preserve"> </w:t>
      </w:r>
      <w:r w:rsidRPr="003B33BC">
        <w:rPr>
          <w:rFonts w:asciiTheme="minorBidi" w:hAnsiTheme="minorBidi" w:hint="cs"/>
          <w:sz w:val="16"/>
          <w:szCs w:val="16"/>
          <w:rtl/>
        </w:rPr>
        <w:t>(ד</w:t>
      </w:r>
      <w:r>
        <w:rPr>
          <w:rFonts w:asciiTheme="minorBidi" w:hAnsiTheme="minorBidi" w:hint="cs"/>
          <w:sz w:val="16"/>
          <w:szCs w:val="16"/>
          <w:rtl/>
        </w:rPr>
        <w:t xml:space="preserve">כאן ושם </w:t>
      </w:r>
      <w:r w:rsidRPr="003B33BC">
        <w:rPr>
          <w:rFonts w:asciiTheme="minorBidi" w:hAnsiTheme="minorBidi" w:hint="cs"/>
          <w:sz w:val="16"/>
          <w:szCs w:val="16"/>
          <w:rtl/>
        </w:rPr>
        <w:t>מדובר בבשר שנמלח כהלכתו ואעפ"כ הדם היוצא ממנו אסור)</w:t>
      </w:r>
      <w:r w:rsidRPr="003B33BC">
        <w:rPr>
          <w:rFonts w:asciiTheme="minorBidi" w:hAnsiTheme="minorBidi"/>
          <w:rtl/>
        </w:rPr>
        <w:t>.</w:t>
      </w:r>
    </w:p>
  </w:footnote>
  <w:footnote w:id="779">
    <w:p w14:paraId="1A5F5F9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בבי דוגי דבישרא איכא למידק- יאסר השומן מפני שהוא בולע מהדם, וכי תימא דמשקה אינו בולע ממשקה, אפ"ה יאסר הכלי מחמת הדם ויאסר השומן מפני פליטת הכלי, י"ל דהאי דמא דבי דוגי מדינא לא מיתסר לפי שאין נותנין בי דוגי עד שנצלה כמאכל בן דרוסאי וכלה דמו אלא שמפני שעדיין יוצא מוחל אדום ממנו אסרוהו מפני מראית העין, </w:t>
      </w:r>
      <w:r w:rsidRPr="005C6730">
        <w:rPr>
          <w:rFonts w:asciiTheme="minorBidi" w:hAnsiTheme="minorBidi"/>
          <w:sz w:val="14"/>
          <w:szCs w:val="14"/>
          <w:rtl/>
        </w:rPr>
        <w:t xml:space="preserve">(וגבי הא דאסיק רב אשי לית ליה תקנתא אלא מישדא ביה תרי גללי מילחא וכו' [מא: ד"ה ומיהו] כתב-) </w:t>
      </w:r>
      <w:r w:rsidRPr="005C6730">
        <w:rPr>
          <w:rFonts w:asciiTheme="minorBidi" w:hAnsiTheme="minorBidi"/>
          <w:rtl/>
        </w:rPr>
        <w:t xml:space="preserve"> ומיהו כי שרי כה"ג דוקא לאחר שנתבשל כמאכל בן דרוסאי וליכא למיחש למוחל הנוטף אלא מפני מראית העין אבל קודם שנתבשל כמאכל בן דרוסאי כיון דדם גמור הוא ע"כ בי דוגי אסיר וכיון דאסיר אי אפשר לשומן שבתוכו שיהא ניתר וכמו שכתבתי למעלה, וכי תימא ואי בשנתבשל כמאכל בן דרוסאי עסקינן היכי מסקינן דלית ליה תקנתא אלא בתרי גללי מילחא והא בככר שחתך עליה בשר נקטינן כרבא דאכיל ליה ולא חייש למראית העין- לא דמי, דהתם היינו טעמא לפי שהמוחל בלוע בתוך הככר אבל בכלי שתחת הבשר שהוא עומד בפני עצמו איכא משום מראית העין טפי, אע"ג דמדינא ה"נ שרי שכיון שנתבשל כמאכל בן דרוסאי כבר נתמצה כל דם שבו והשאר אינו אלא מוחל בעלמא, ר"ן.</w:t>
      </w:r>
    </w:p>
  </w:footnote>
  <w:footnote w:id="780">
    <w:p w14:paraId="57E25D2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ובאמת שלדברי הרא"ש יש לתמוה מאחר שהכלי אסור למה לא יאסור את השומן, ושמא י"ל שמאחר שאין כלי זה מונח על האש נהי שהוא בולע מדם הנוטף בתוכו חם אינו כדאי לאסור את השומן, ב"י.</w:t>
      </w:r>
    </w:p>
  </w:footnote>
  <w:footnote w:id="781">
    <w:p w14:paraId="221B737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לפי שדם הכבד נוטף לתוך הבי דוגי ונמצא אוכלו, רש"י. </w:t>
      </w:r>
    </w:p>
  </w:footnote>
  <w:footnote w:id="782">
    <w:p w14:paraId="122A343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והרי אף דם הבשר כשאין שם כבד זב עם השומן ואנו אוכלין אותו, רש"י.</w:t>
      </w:r>
    </w:p>
  </w:footnote>
  <w:footnote w:id="783">
    <w:p w14:paraId="7822D9F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יורד לשולי הכלי והשומן צף למעלה ומניחין לתוך הכלי מראה אדמומית שבשולים, רש"י.</w:t>
      </w:r>
    </w:p>
  </w:footnote>
  <w:footnote w:id="784">
    <w:p w14:paraId="6C11598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צף למעלה כמו (מלכים ב ו) ויצף הברזל ומתרגמינן וקפא פרזלא..., רש"י.</w:t>
      </w:r>
    </w:p>
  </w:footnote>
  <w:footnote w:id="785">
    <w:p w14:paraId="70A3BCA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ואז מותר אפילו בלא נתינת מלח בכלי, כך מבואר מדברי הרשב"א הטור והשו"ע, והוא משום שנצלה שיעור הראוי לאכילה, דהיינו חצי צלייתו </w:t>
      </w:r>
      <w:r w:rsidRPr="005C6730">
        <w:rPr>
          <w:rFonts w:asciiTheme="minorBidi" w:hAnsiTheme="minorBidi"/>
          <w:sz w:val="16"/>
          <w:szCs w:val="16"/>
          <w:rtl/>
        </w:rPr>
        <w:t>(וכמ"ש הרמ"א ס"ב וס"ה)</w:t>
      </w:r>
      <w:r w:rsidRPr="005C6730">
        <w:rPr>
          <w:rFonts w:asciiTheme="minorBidi" w:hAnsiTheme="minorBidi"/>
          <w:rtl/>
        </w:rPr>
        <w:t xml:space="preserve"> כבר זב כל דמו ומה שזב אח"כ אינו אלא מוהל בעלמא, ט"ז (סקי"א) וש"ך (סקכ"ה). וכ' הט"ז- ואפי' למ"ש ב"י בשם ר"ן דבי דוגי דגמרא היינו אחר שנצלה כמאכל בן דרוסאי ואפ"ה בעינן גללי מלחא- ל"ק מידי, דהר"ן קרי למאכל ב"ד בשליש בישול כמ"ש ב"י בשם הה"מ בשם הרשב"א לעיל בסי' זה, אבל בחצי בישולו ודאי מיקרי ראוי לאכילה ולא בעינן תקנתא דמלחא כלל, ואפי' משום מראית עין אין כאן חשש כאלו הוא נצלה כל צרכו ממש, עכ"ל ט"ז. והב"ח פי' דהטור לא מתיר אף כשהוא ראוי לאכילה אלא ע"י גללי דמלחא, ולכך תמה תימה גדולה על המחבר, גם מתוך כך הוצרך לדחוק וליישב דמ"ש הטור ס"ס ס"ט דאחר צלייתו מותר לבשלו היינו משום דאפילו את"ל דאית ביה קצת דם נתבטל בבישול בקדרה במיעוטו, ותמהו עליו הט"ז והש"ך, וכ' הש"ך- וכל זה גרם לו מפני שחשב דאם נצלה חצי צלייתו עדיין אית ביה דם, אבל לפי מ"ש בסקי"ד דבחצי צלייתו כבר זב כל דמו ודאי דלק"מ והכל ברור ופשוט, ותימה עליו שהוא עצמו כתב בס"ס ס"ט דבחצי צלייתו כבר זב כל דמו ופשיטא דאין שם דם עכ"ל, ואולי מ"ש "כל דמו" הוא לאו דוקא, ור"ל דלא נשאר בו אלא מעט ואותו מעט בטל במיעוטו בבישול, מ"מ הדבר פשוט כמו שכתבתי, וכן מוכח באו"ה סוף כלל ח' להדיא דבחצי צלייתו שוב אין בו דם כלל שהרי אם לא נצלה כל צרכו דהיינו חצי צלייתו פסק שם דאסור לאכלו אפילו כך צלי משום דם שבו שפירש ממקום למקום ובחצי צלייתו התיר לאכלו כך צלוי ש"מ דבחצי צלייתו שוב אין בו דם כלל, וכן משמע דעת האחרונים וכמ"ש בסקי"ד.</w:t>
      </w:r>
    </w:p>
  </w:footnote>
  <w:footnote w:id="786">
    <w:p w14:paraId="5488FFD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אינפלדור"א </w:t>
      </w:r>
      <w:r w:rsidRPr="005C6730">
        <w:rPr>
          <w:rFonts w:asciiTheme="minorBidi" w:hAnsiTheme="minorBidi"/>
          <w:sz w:val="16"/>
          <w:szCs w:val="16"/>
          <w:rtl/>
        </w:rPr>
        <w:t xml:space="preserve">(מלוי/מלוי בשר) </w:t>
      </w:r>
      <w:r w:rsidRPr="005C6730">
        <w:rPr>
          <w:rFonts w:asciiTheme="minorBidi" w:hAnsiTheme="minorBidi"/>
          <w:rtl/>
        </w:rPr>
        <w:t>בלעז, כמו שאנו ממלאין הטלאין והתרנגולין בין בשר לעצמות, רש"י.</w:t>
      </w:r>
    </w:p>
  </w:footnote>
  <w:footnote w:id="787">
    <w:p w14:paraId="26CC160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הטלה דם היוצא מן הבשר הכנוס בתוכו, רש"י.</w:t>
      </w:r>
    </w:p>
  </w:footnote>
  <w:footnote w:id="788">
    <w:p w14:paraId="7E76D1F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לחוץ, ושואבו חום האור, רש"י.</w:t>
      </w:r>
    </w:p>
  </w:footnote>
  <w:footnote w:id="789">
    <w:p w14:paraId="2F625B2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כשהיא תלויה בתנור, ואף על גב דעכשיו אין נקב לצאת הדם - שרי, כבולעו בשר החיצון כך פולטו, וחום האור שואבו, רש"י. </w:t>
      </w:r>
    </w:p>
  </w:footnote>
  <w:footnote w:id="790">
    <w:p w14:paraId="6B50DB2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ראב"ד</w:t>
      </w:r>
      <w:r w:rsidRPr="005C6730">
        <w:rPr>
          <w:rFonts w:asciiTheme="minorBidi" w:hAnsiTheme="minorBidi"/>
          <w:sz w:val="16"/>
          <w:szCs w:val="16"/>
          <w:rtl/>
        </w:rPr>
        <w:t xml:space="preserve"> (בהשגות פ"ו הי"ז) </w:t>
      </w:r>
      <w:r w:rsidRPr="005C6730">
        <w:rPr>
          <w:rFonts w:asciiTheme="minorBidi" w:hAnsiTheme="minorBidi"/>
          <w:rtl/>
        </w:rPr>
        <w:t>רמב"ם</w:t>
      </w:r>
      <w:r w:rsidRPr="005C6730">
        <w:rPr>
          <w:rFonts w:asciiTheme="minorBidi" w:hAnsiTheme="minorBidi"/>
          <w:sz w:val="16"/>
          <w:szCs w:val="16"/>
          <w:rtl/>
        </w:rPr>
        <w:t xml:space="preserve"> (פ"ו הי"ז)</w:t>
      </w:r>
      <w:r w:rsidRPr="005C6730">
        <w:rPr>
          <w:rFonts w:asciiTheme="minorBidi" w:hAnsiTheme="minorBidi"/>
          <w:rtl/>
        </w:rPr>
        <w:t xml:space="preserve"> ורא"ש </w:t>
      </w:r>
      <w:r w:rsidRPr="005C6730">
        <w:rPr>
          <w:rFonts w:asciiTheme="minorBidi" w:hAnsiTheme="minorBidi"/>
          <w:sz w:val="16"/>
          <w:szCs w:val="16"/>
          <w:rtl/>
        </w:rPr>
        <w:t>(סי' יג)</w:t>
      </w:r>
      <w:r w:rsidRPr="005C6730">
        <w:rPr>
          <w:rFonts w:asciiTheme="minorBidi" w:hAnsiTheme="minorBidi"/>
          <w:rtl/>
        </w:rPr>
        <w:t>.</w:t>
      </w:r>
    </w:p>
  </w:footnote>
  <w:footnote w:id="791">
    <w:p w14:paraId="17F5945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וכבר כתבתי לעיל סימן ע"ו (אות א) דאנו נוהגין לכתחלה כרש"י, דרכ"מ. והביא עוד הדרכ"מ את האגור (סי' אלף רא) שכ'- ואני המחבר ראיתי בבית מורי למלוח מקודם בכל מיני מולייתא.</w:t>
      </w:r>
    </w:p>
  </w:footnote>
  <w:footnote w:id="792">
    <w:p w14:paraId="434951A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דאז לא שייך כבר לומר על החיצון 'כשם שפולט דם דידה פולט דם הבשר הפנימי' דכיון שנמלח תו אין לו מה לפלוט.</w:t>
      </w:r>
    </w:p>
  </w:footnote>
  <w:footnote w:id="793">
    <w:p w14:paraId="6ECF6C4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ונ"ל טעמו משום דנורא מישאב שאיב מן החיצון שלא יבלע בפנימי ולכך מתירו בדיעבד, כן נ"ל טעמו אבל לא משמע שם טעם זה, דרכ"מ.</w:t>
      </w:r>
    </w:p>
  </w:footnote>
  <w:footnote w:id="794">
    <w:p w14:paraId="2678F6F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שכן דעת כל הפוסקים.</w:t>
      </w:r>
    </w:p>
  </w:footnote>
  <w:footnote w:id="795">
    <w:p w14:paraId="09A75D9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כדכ' המרדכי בשם ר"י ור"ת, שאז בולע הפנימי קודם הצליי', ש"ך.</w:t>
      </w:r>
    </w:p>
  </w:footnote>
  <w:footnote w:id="796">
    <w:p w14:paraId="74BE26F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משום דלגבי פנימי לא אמרינן כבכ"פ כיון דלית ביה דם של עצמו לפלוט ובולע הפנימי ולא אמרי' בכה"ג מישב שייב ליה, ש"ך. וכ' עוד שכן דעת כל הפוסקים.</w:t>
      </w:r>
    </w:p>
  </w:footnote>
  <w:footnote w:id="797">
    <w:p w14:paraId="3DEAE6D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מהטעם הנ"ל, ש"ך. וכ' עוד שכן דעת כל הפוסקים.</w:t>
      </w:r>
    </w:p>
  </w:footnote>
  <w:footnote w:id="798">
    <w:p w14:paraId="77A7B19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עד. ד"ה כבולעו. וכ' הדרכ"מ (אות ב) דמשמע מלשון הב"י דמסקנתו כדברי התוספות.</w:t>
      </w:r>
    </w:p>
  </w:footnote>
  <w:footnote w:id="799">
    <w:p w14:paraId="7754804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ואע"פ דשהה כדי מליחה, דהשתא אינו טרוד לפלוט- כמו שבולע דם המלואים כך פולטו, ואע"פ שמעשים בכל יום שאוסרין בשר ששהה כדי שיעור מליחה שנפל בציר פליטת דם ואפילו לצלי ולא אמרינן כבכ"פ דדוקא היכא שנפלט מיד בשעת הבליעה כגון מולייתא אמרינן כבכ"פ אבל דבר שנאסר כבר מחמת דם שבא עליו ממקום אחר תו לא שרינן ליה משום דכבכ"פ, רא"ש.</w:t>
      </w:r>
    </w:p>
  </w:footnote>
  <w:footnote w:id="800">
    <w:p w14:paraId="7FCA64B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פ"ו הי"ז. הביא הב"י את דבריו, וכ' שדעת התוס' אינו כן, וכ' שדעת התוס' כדעת הרא"ש והטור.</w:t>
      </w:r>
    </w:p>
  </w:footnote>
  <w:footnote w:id="801">
    <w:p w14:paraId="12874FA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אגודה </w:t>
      </w:r>
      <w:r w:rsidRPr="005C6730">
        <w:rPr>
          <w:rFonts w:asciiTheme="minorBidi" w:hAnsiTheme="minorBidi"/>
          <w:sz w:val="16"/>
          <w:szCs w:val="16"/>
          <w:rtl/>
        </w:rPr>
        <w:t>(פכ"ה סי' קכא, ופרק כ"צ סי' ס)</w:t>
      </w:r>
      <w:r w:rsidRPr="005C6730">
        <w:rPr>
          <w:rFonts w:asciiTheme="minorBidi" w:hAnsiTheme="minorBidi"/>
          <w:rtl/>
        </w:rPr>
        <w:t xml:space="preserve"> ב"ז </w:t>
      </w:r>
      <w:r w:rsidRPr="005C6730">
        <w:rPr>
          <w:rFonts w:asciiTheme="minorBidi" w:hAnsiTheme="minorBidi"/>
          <w:sz w:val="16"/>
          <w:szCs w:val="16"/>
          <w:rtl/>
        </w:rPr>
        <w:t>(סי' שלו)</w:t>
      </w:r>
      <w:r w:rsidRPr="005C6730">
        <w:rPr>
          <w:rFonts w:asciiTheme="minorBidi" w:hAnsiTheme="minorBidi"/>
          <w:rtl/>
        </w:rPr>
        <w:t xml:space="preserve"> ו</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ט דין ג)</w:t>
      </w:r>
      <w:r w:rsidRPr="005C6730">
        <w:rPr>
          <w:rFonts w:asciiTheme="minorBidi" w:hAnsiTheme="minorBidi"/>
          <w:rtl/>
        </w:rPr>
        <w:t>.</w:t>
      </w:r>
    </w:p>
  </w:footnote>
  <w:footnote w:id="802">
    <w:p w14:paraId="6C07549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וכן כתבתי לעיל סימן ע"ג (אות ט) ובסימן ע"ו (אות ה), ע"פ דרכ"מ.</w:t>
      </w:r>
    </w:p>
  </w:footnote>
  <w:footnote w:id="803">
    <w:p w14:paraId="7044208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הרי"ף </w:t>
      </w:r>
      <w:r w:rsidRPr="005C6730">
        <w:rPr>
          <w:rFonts w:asciiTheme="minorBidi" w:hAnsiTheme="minorBidi"/>
          <w:sz w:val="16"/>
          <w:szCs w:val="16"/>
          <w:rtl/>
        </w:rPr>
        <w:t>(לא:)</w:t>
      </w:r>
      <w:r w:rsidRPr="005C6730">
        <w:rPr>
          <w:rFonts w:asciiTheme="minorBidi" w:hAnsiTheme="minorBidi"/>
          <w:rtl/>
        </w:rPr>
        <w:t xml:space="preserve"> כתב- הא דמולייתא שריא דוקא לצלי כעין הפסח שהוא צלי אבל לקדרה לא. עכ"ל. והשאלה האם הדין כך</w:t>
      </w:r>
      <w:r w:rsidRPr="005C6730">
        <w:rPr>
          <w:rFonts w:asciiTheme="minorBidi" w:hAnsiTheme="minorBidi"/>
          <w:sz w:val="16"/>
          <w:szCs w:val="16"/>
          <w:rtl/>
        </w:rPr>
        <w:t xml:space="preserve"> (שמולייתא </w:t>
      </w:r>
      <w:r>
        <w:rPr>
          <w:rFonts w:asciiTheme="minorBidi" w:hAnsiTheme="minorBidi" w:hint="cs"/>
          <w:sz w:val="16"/>
          <w:szCs w:val="16"/>
          <w:rtl/>
        </w:rPr>
        <w:t>נאסרת</w:t>
      </w:r>
      <w:r w:rsidRPr="005C6730">
        <w:rPr>
          <w:rFonts w:asciiTheme="minorBidi" w:hAnsiTheme="minorBidi"/>
          <w:sz w:val="16"/>
          <w:szCs w:val="16"/>
          <w:rtl/>
        </w:rPr>
        <w:t xml:space="preserve"> בקדרה)</w:t>
      </w:r>
      <w:r w:rsidRPr="005C6730">
        <w:rPr>
          <w:rFonts w:asciiTheme="minorBidi" w:hAnsiTheme="minorBidi"/>
          <w:rtl/>
        </w:rPr>
        <w:t xml:space="preserve"> גם כשהבשר מלוח כדין</w:t>
      </w:r>
      <w:r w:rsidRPr="005C6730">
        <w:rPr>
          <w:rFonts w:asciiTheme="minorBidi" w:hAnsiTheme="minorBidi"/>
          <w:sz w:val="16"/>
          <w:szCs w:val="16"/>
          <w:rtl/>
        </w:rPr>
        <w:t xml:space="preserve"> (כמליחת בשר לקדירה)</w:t>
      </w:r>
      <w:r w:rsidRPr="005C6730">
        <w:rPr>
          <w:rFonts w:asciiTheme="minorBidi" w:hAnsiTheme="minorBidi"/>
          <w:rtl/>
        </w:rPr>
        <w:t xml:space="preserve"> או שבכה"ג שרי.</w:t>
      </w:r>
    </w:p>
  </w:footnote>
  <w:footnote w:id="804">
    <w:p w14:paraId="00A0E3F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הה"מ שטעמו מפני שסובר שמ"ש הרי"ף 'אבל לקדרה לא'- אע"פ שהוא מלוח ומוכשר לקדרה, דאי לא מאי איריא מולייתא, ותו דפשיטא הוא דכל בשר שלא הוכשר כדינו אסור בקדרה ואוסר תערובתו, אלא ודאי דעת הרי"ף הוא שאע"פ שהכל מלוח אסור, והוסיף רבינו לבאר שאפילו הבשר שבתוכו מבושל, וכן בדין לפי שיטה זו, שהרי הטעם הוא מפני שהעופות פולטים ובולע מה שבתוכן וא"כ מה לי מבושל מה לי שאינו מבושל, והרמ"ך כתב זה תימה גדול ולא ידעתי מאין הוציא זה ומ"מ בתשו</w:t>
      </w:r>
      <w:r>
        <w:rPr>
          <w:rFonts w:asciiTheme="minorBidi" w:hAnsiTheme="minorBidi" w:hint="cs"/>
          <w:rtl/>
        </w:rPr>
        <w:t>'</w:t>
      </w:r>
      <w:r w:rsidRPr="005C6730">
        <w:rPr>
          <w:rFonts w:asciiTheme="minorBidi" w:hAnsiTheme="minorBidi"/>
          <w:rtl/>
        </w:rPr>
        <w:t xml:space="preserve"> הגאונים מצאתי כדבריו וצ"ע ע"כ, וכן אתה למד שדעת הגאונים כן הוא מדין בני מעים שהזכיר רבינו בסמוך בשם הגאונים, ונראה שהם סבורים שכל הסוגיא הזו אפילו בבשר מלוח ואעפ"כ הוה פליג אביי, וטעמא מפני שאין המלח כשיעור מליחה מפליט כל הדם, וזה הוא שהצריך רבינו למעלה </w:t>
      </w:r>
      <w:r w:rsidRPr="00DC7393">
        <w:rPr>
          <w:rFonts w:asciiTheme="minorBidi" w:hAnsiTheme="minorBidi"/>
          <w:sz w:val="16"/>
          <w:szCs w:val="16"/>
          <w:rtl/>
        </w:rPr>
        <w:t xml:space="preserve">(ה"י) </w:t>
      </w:r>
      <w:r w:rsidRPr="005C6730">
        <w:rPr>
          <w:rFonts w:asciiTheme="minorBidi" w:hAnsiTheme="minorBidi"/>
          <w:rtl/>
        </w:rPr>
        <w:t>להשליך הבשר לתוך מים רותחין אחר מליחה כדי שיתלבן מיד ולא יצא דם, וכשחללן מלא מבשר אין המים הרותחין נכנסין לתוכן יפה, וע"כ לא פליג עליה רבא אלא בצלי דכבולעו כך פולטו ע"י האור, אבל לקדרה אפילו רבא מודה, וזהו שלא הזכירו כאן מליחה כלל, ועוד דאם איתא דבמלוח ומוכשר לקדרה מודה אביי מאי קא מייתי ראיה בגמרא מההוא גוזלא דטפלו לרב, דילמא מלוח כדינו לקדרה היה, זהו דעתם ז"ל אבל כל האחרונים חלוקים בזה חוץ מהרא"ה</w:t>
      </w:r>
      <w:r w:rsidRPr="00DC7393">
        <w:rPr>
          <w:rFonts w:asciiTheme="minorBidi" w:hAnsiTheme="minorBidi"/>
          <w:sz w:val="16"/>
          <w:szCs w:val="16"/>
          <w:rtl/>
        </w:rPr>
        <w:t xml:space="preserve"> (בדה"ב ב"ג ש"ג פ.) </w:t>
      </w:r>
      <w:r w:rsidRPr="005C6730">
        <w:rPr>
          <w:rFonts w:asciiTheme="minorBidi" w:hAnsiTheme="minorBidi"/>
          <w:rtl/>
        </w:rPr>
        <w:t>שהוא סבור כן, עכ"ל הה"מ. והרשב"א כ</w:t>
      </w:r>
      <w:r>
        <w:rPr>
          <w:rFonts w:asciiTheme="minorBidi" w:hAnsiTheme="minorBidi" w:hint="cs"/>
          <w:rtl/>
        </w:rPr>
        <w:t>'</w:t>
      </w:r>
      <w:r w:rsidRPr="005C6730">
        <w:rPr>
          <w:rFonts w:asciiTheme="minorBidi" w:hAnsiTheme="minorBidi"/>
          <w:rtl/>
        </w:rPr>
        <w:t xml:space="preserve"> בתשו'</w:t>
      </w:r>
      <w:r w:rsidRPr="00DC7393">
        <w:rPr>
          <w:rFonts w:asciiTheme="minorBidi" w:hAnsiTheme="minorBidi"/>
          <w:sz w:val="16"/>
          <w:szCs w:val="16"/>
          <w:rtl/>
        </w:rPr>
        <w:t xml:space="preserve"> (ח"ג סי' רנא) </w:t>
      </w:r>
      <w:r w:rsidRPr="005C6730">
        <w:rPr>
          <w:rFonts w:asciiTheme="minorBidi" w:hAnsiTheme="minorBidi"/>
          <w:rtl/>
        </w:rPr>
        <w:t>על דברי הרמב"ם</w:t>
      </w:r>
      <w:r>
        <w:rPr>
          <w:rFonts w:asciiTheme="minorBidi" w:hAnsiTheme="minorBidi" w:hint="cs"/>
          <w:rtl/>
        </w:rPr>
        <w:t>-</w:t>
      </w:r>
      <w:r w:rsidRPr="005C6730">
        <w:rPr>
          <w:rFonts w:asciiTheme="minorBidi" w:hAnsiTheme="minorBidi"/>
          <w:rtl/>
        </w:rPr>
        <w:t xml:space="preserve"> דבריו באמת בעינינו מן המתמיהין, ומולייתא שאמרו פכ"צ בבשר שלא נמלח כל צרכו הוא אלא כמליחת בשר שנוהגין בצלי ובענין קדשים, ועל כן הביאו ראיה שם מנותן כרעיו ובני מעיו בתוכו לפי שבצלי ובקדשים אין מולח אלא לשעה ומעלהו, ואפ"ה קאמר רבא דאע"פ שפולטין דם בתוכו מותר דכבולעו כך פולטו, אבל בשר שנמלח ושהה כשיעור מליחה לקדרה קים להו דיצא מידי דמו לגמרי ואע"פ שאח"כ פולט ציר אדום- חמר בעלמא הוא ומותר לכתחלה. ועל מה שהצריך הרמב"ם להשליך הבשר לתוך מים רותחים כדי שיתלבן מיד כ</w:t>
      </w:r>
      <w:r>
        <w:rPr>
          <w:rFonts w:asciiTheme="minorBidi" w:hAnsiTheme="minorBidi" w:hint="cs"/>
          <w:rtl/>
        </w:rPr>
        <w:t>'</w:t>
      </w:r>
      <w:r w:rsidRPr="005C6730">
        <w:rPr>
          <w:rFonts w:asciiTheme="minorBidi" w:hAnsiTheme="minorBidi"/>
          <w:rtl/>
        </w:rPr>
        <w:t xml:space="preserve"> הרשב"א- כבוד הרב במקומו מונח שא"כ מליחה מאי מהניא, דמליחה הא אמרינן דאינה מוציאה מידי דם, ואי משום חליטה אפילו בלא מליחה נמי וטורח במליחה למה, סוף דבר לא ידענו דרכו של הרב ז"ל, וגם כל אותה סוגיא שבפכ"צ מוכחת כן, והלכה למעשה בכל גלילות ארצנו להתיר אחר המליחה כמליחת בשר לקדרה ע"כ. וגם הריב"ש כ</w:t>
      </w:r>
      <w:r>
        <w:rPr>
          <w:rFonts w:asciiTheme="minorBidi" w:hAnsiTheme="minorBidi" w:hint="cs"/>
          <w:rtl/>
        </w:rPr>
        <w:t>'</w:t>
      </w:r>
      <w:r w:rsidRPr="005C6730">
        <w:rPr>
          <w:rFonts w:asciiTheme="minorBidi" w:hAnsiTheme="minorBidi"/>
          <w:rtl/>
        </w:rPr>
        <w:t xml:space="preserve"> </w:t>
      </w:r>
      <w:r w:rsidRPr="00B94667">
        <w:rPr>
          <w:rFonts w:asciiTheme="minorBidi" w:hAnsiTheme="minorBidi"/>
          <w:sz w:val="16"/>
          <w:szCs w:val="16"/>
          <w:rtl/>
        </w:rPr>
        <w:t xml:space="preserve">(סי' קסה) </w:t>
      </w:r>
      <w:r w:rsidRPr="005C6730">
        <w:rPr>
          <w:rFonts w:asciiTheme="minorBidi" w:hAnsiTheme="minorBidi"/>
          <w:rtl/>
        </w:rPr>
        <w:t>שנהגו היתר בכל המקומות וכן המנהג פשוט</w:t>
      </w:r>
      <w:r>
        <w:rPr>
          <w:rFonts w:asciiTheme="minorBidi" w:hAnsiTheme="minorBidi" w:hint="cs"/>
          <w:rtl/>
        </w:rPr>
        <w:t>, ב"י</w:t>
      </w:r>
      <w:r w:rsidRPr="005C6730">
        <w:rPr>
          <w:rFonts w:asciiTheme="minorBidi" w:hAnsiTheme="minorBidi"/>
          <w:rtl/>
        </w:rPr>
        <w:t>.</w:t>
      </w:r>
    </w:p>
  </w:footnote>
  <w:footnote w:id="805">
    <w:p w14:paraId="375542A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הה"מ- ועל פיהם</w:t>
      </w:r>
      <w:r w:rsidRPr="005C6730">
        <w:rPr>
          <w:rFonts w:asciiTheme="minorBidi" w:hAnsiTheme="minorBidi"/>
          <w:sz w:val="16"/>
          <w:szCs w:val="16"/>
          <w:rtl/>
        </w:rPr>
        <w:t xml:space="preserve"> {ע"פ המפרשי' שהביא ובניהם הראב"ד}</w:t>
      </w:r>
      <w:r w:rsidRPr="005C6730">
        <w:rPr>
          <w:rFonts w:asciiTheme="minorBidi" w:hAnsiTheme="minorBidi"/>
          <w:rtl/>
        </w:rPr>
        <w:t xml:space="preserve"> נוהגים היתר בזה בכל מקומותינו שאין חוששין אחר מליחה לקדרה כלום.</w:t>
      </w:r>
    </w:p>
  </w:footnote>
  <w:footnote w:id="806">
    <w:p w14:paraId="5CEA0F8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עוד הוסיף בארוך דאפילו אותו בשר שלא נמלח לא הודח הדחה ראשונה אפ"ה הכל כשר ולא הוי מה שנוטף ממנו על המלוח רק כדם פליטה דאמרינן ביה שפיר כבולעו כך פולטו.</w:t>
      </w:r>
    </w:p>
  </w:footnote>
  <w:footnote w:id="807">
    <w:p w14:paraId="1A6288B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ושהה כדי מליחה שעתה אינו טרוד לפלוט, לשון הרא"ש וטור, ומוכח דר"ל אפילו שהה שיעור מליחה והודח דאז אינו פולט אפילו ציר, וכדלעיל סי' ע' סקכ"ו, וכן מוכח מהראיה שהביאו התוס' והרא"ש והמרדכי מטפילת בר גוזלא, ש"ך (סק"א).</w:t>
      </w:r>
    </w:p>
  </w:footnote>
  <w:footnote w:id="808">
    <w:p w14:paraId="5123595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ולא דמי לבשר שנמלח ונפל לציר דאסור דהתם הפליטה אחר זמן הבליעה, ט"ז (סק"ב).</w:t>
      </w:r>
    </w:p>
  </w:footnote>
  <w:footnote w:id="809">
    <w:p w14:paraId="5427A41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פי' וידיחם אחר המליחה כל אחד בפני עצמו, דאל"כ הוי בשר שנתבשל בלא הדחה אחרונה שאסור</w:t>
      </w:r>
      <w:r w:rsidRPr="005C6730">
        <w:rPr>
          <w:rFonts w:asciiTheme="minorBidi" w:hAnsiTheme="minorBidi"/>
          <w:sz w:val="16"/>
          <w:szCs w:val="16"/>
          <w:rtl/>
        </w:rPr>
        <w:t xml:space="preserve"> (כדלעיל סי' סט סע' ט)</w:t>
      </w:r>
      <w:r w:rsidRPr="005C6730">
        <w:rPr>
          <w:rFonts w:asciiTheme="minorBidi" w:hAnsiTheme="minorBidi"/>
          <w:rtl/>
        </w:rPr>
        <w:t xml:space="preserve"> וכן פירשו האחרונים, ש"ך (סק"ג). וכ"כ הט"ז (סק"ג)</w:t>
      </w:r>
    </w:p>
  </w:footnote>
  <w:footnote w:id="810">
    <w:p w14:paraId="0FCFE53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דל"ד לחתיכה עבה שנתבאר בסי' ס"ט סקי"ט דמותר, דהכא אין הפנימי נחשב כחתיכה א' עם החיצון, ולפי מה שנתבאר בסי' ס"ט ס"ד דאף דיעבד אסור אם לא מלח אווזים ועופות מבפנים ומבחוץ ונתבשלו ה"נ צריך למלוח לכתחלה החיצון מבפנים ומבחוץ והפנימי מכל צדדיו ולהדיחם היטב ולמלאותם, ובלא"ה אסור לקדרה אפילו דיעבד, וכן כתבו האחרונים, ש"ך (סק"ד). וכ' הט"ז (סק"ד) דרש"ל פירש וז"ל- אינו מפליט לדם שבפנים ר"ל של צד פנימי של חיצון עצמו, ואע"פ שנמלח הפנימי עכ"ל, ואף שהלשון אינו משמע כן מ"מ יש לחוש לדבריו להלכה ואינו דומה למה שפסק בסי' ס"ט דמותר בדיעבד כשנמלח מצד א' דהכא גרע טפי כיון דהמילוי שבפני' סתמו מכל צד.</w:t>
      </w:r>
    </w:p>
  </w:footnote>
  <w:footnote w:id="811">
    <w:p w14:paraId="359A6D4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משמע מדברי הר"ב דדוקא בשר לבדו מותר, אבל אם יש ביצים עם בשר, אפי' עם בשר שלא נמלח- דינו כביצים לבדם, וכ"מ מדברי האו"ה ואחרונים דאין חילוק בזה, וכן מסיק בספר לחם חמודות בפירוש, ודלא כמהרש"ל דס"ל דבמלוי ביצים עם בשר שלא נמלח הוי הכל כמילוי בשר, דאין לזה טעם כלל, ונראה עוד מדברי הר"ב דאם יש ס' במולייתא נגד האיסור שבמולייתא הכל מותר שהרי כתב סתם דדינו כאילו נתבשל בקדרה, וכבר נתבאר כל זה בס"ס ע"ג ע"ש, ש"ך (סק"ה).</w:t>
      </w:r>
    </w:p>
  </w:footnote>
  <w:footnote w:id="812">
    <w:p w14:paraId="005E993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 מליחה גמורה כל אחד בפנ"ע עד שיהיה ראוי לקדירה בכל דיניו אם היה בשר עם ביצים במילוי, ט"ז</w:t>
      </w:r>
      <w:r w:rsidRPr="005C6730">
        <w:rPr>
          <w:rFonts w:asciiTheme="minorBidi" w:hAnsiTheme="minorBidi"/>
          <w:sz w:val="14"/>
          <w:szCs w:val="14"/>
          <w:rtl/>
        </w:rPr>
        <w:t xml:space="preserve"> (סק"ה)</w:t>
      </w:r>
      <w:r w:rsidRPr="005C6730">
        <w:rPr>
          <w:rFonts w:asciiTheme="minorBidi" w:hAnsiTheme="minorBidi"/>
          <w:rtl/>
        </w:rPr>
        <w:t>. וכ"כ הש"ך</w:t>
      </w:r>
      <w:r w:rsidRPr="005C6730">
        <w:rPr>
          <w:rFonts w:asciiTheme="minorBidi" w:hAnsiTheme="minorBidi"/>
          <w:sz w:val="14"/>
          <w:szCs w:val="14"/>
          <w:rtl/>
        </w:rPr>
        <w:t xml:space="preserve"> (סק"ו)</w:t>
      </w:r>
      <w:r w:rsidRPr="005C6730">
        <w:rPr>
          <w:rFonts w:asciiTheme="minorBidi" w:hAnsiTheme="minorBidi"/>
          <w:rtl/>
        </w:rPr>
        <w:t>.</w:t>
      </w:r>
    </w:p>
  </w:footnote>
  <w:footnote w:id="813">
    <w:p w14:paraId="48282F0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בעיסה של סולת ואינה נדבקת כל כך ונפרכת מאליה והדם יוצא ממנה, רש"י.</w:t>
      </w:r>
    </w:p>
  </w:footnote>
  <w:footnote w:id="814">
    <w:p w14:paraId="48A07F1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לשון זכוכית לבן וצלול מראה מוהל הבשר שזב בלחם, רש"י.</w:t>
      </w:r>
    </w:p>
  </w:footnote>
  <w:footnote w:id="815">
    <w:p w14:paraId="5038D7B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קמח נקיה כעין שלנו שאינו סלת שהוא קשה ואינו פולטו, רש"י. וכ' הב"י שמדברי הרמב"ם </w:t>
      </w:r>
      <w:r w:rsidRPr="005C6730">
        <w:rPr>
          <w:rFonts w:asciiTheme="minorBidi" w:hAnsiTheme="minorBidi"/>
          <w:sz w:val="16"/>
          <w:szCs w:val="16"/>
          <w:rtl/>
        </w:rPr>
        <w:t xml:space="preserve">(פ"ו הי"ט) </w:t>
      </w:r>
      <w:r w:rsidRPr="005C6730">
        <w:rPr>
          <w:rFonts w:asciiTheme="minorBidi" w:hAnsiTheme="minorBidi"/>
          <w:rtl/>
        </w:rPr>
        <w:t>נראה דחיורתא היינו קמח חטים שלתתן.</w:t>
      </w:r>
    </w:p>
  </w:footnote>
  <w:footnote w:id="816">
    <w:p w14:paraId="2FB88E6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מוחל שבתוך הלחם בין לא אסמיק שרי שהדם ודאי יוצא ואודם זה ודאי לא דמות דם הוא, רש"י.</w:t>
      </w:r>
    </w:p>
  </w:footnote>
  <w:footnote w:id="817">
    <w:p w14:paraId="563CCA9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פירושו אינו דם אלא מראה אדום בעלמא, ב"י.</w:t>
      </w:r>
    </w:p>
  </w:footnote>
  <w:footnote w:id="818">
    <w:p w14:paraId="7535826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דין זה דטפילא לא מצאתיו בדברי הרי"ף והרא"ש ולא ידעתי למה השמיטוהו, ואפשר שהיו מפרשים דטפילא היינו כמו שפירשו התוספות </w:t>
      </w:r>
      <w:r w:rsidRPr="005C6730">
        <w:rPr>
          <w:rFonts w:asciiTheme="minorBidi" w:hAnsiTheme="minorBidi"/>
          <w:sz w:val="16"/>
          <w:szCs w:val="16"/>
          <w:rtl/>
        </w:rPr>
        <w:t>(היינו בשר עטוף בבצק)</w:t>
      </w:r>
      <w:r w:rsidRPr="005C6730">
        <w:rPr>
          <w:rFonts w:asciiTheme="minorBidi" w:hAnsiTheme="minorBidi"/>
          <w:rtl/>
        </w:rPr>
        <w:t xml:space="preserve"> ובזמנם לא היו נוהגים לצלות עופות בדרך זה לפיכך לא חשו לכתבו.</w:t>
      </w:r>
    </w:p>
  </w:footnote>
  <w:footnote w:id="819">
    <w:p w14:paraId="20D9CC4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ואפשר שמטעם זה השמיטוהו הרי"ף והרא"ש, ב"י.</w:t>
      </w:r>
    </w:p>
  </w:footnote>
  <w:footnote w:id="820">
    <w:p w14:paraId="5E7E34E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ומ"מ אין לחוש אלא בטפלה בלבד, וזהו שכתב (הרמב"ם הל' יט) "ואם לאו אסורה", ולפי שיטת האחרונים ז"ל כל זמן שהעופות מוכשרים לקדרה בכל גוונא אף טפילתן מותרת</w:t>
      </w:r>
      <w:r>
        <w:rPr>
          <w:rFonts w:asciiTheme="minorBidi" w:hAnsiTheme="minorBidi" w:hint="cs"/>
          <w:rtl/>
        </w:rPr>
        <w:t>, הה"מ</w:t>
      </w:r>
      <w:r w:rsidRPr="005C6730">
        <w:rPr>
          <w:rFonts w:asciiTheme="minorBidi" w:hAnsiTheme="minorBidi"/>
          <w:rtl/>
        </w:rPr>
        <w:t>.</w:t>
      </w:r>
    </w:p>
  </w:footnote>
  <w:footnote w:id="821">
    <w:p w14:paraId="2AC15B5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לפי שרבינו סובר כדעת האחרונים, כמו שנתבאר בסימן דלעיל, לפיכך סתם דבריו כאן כדעת האחרונים שכתב דבלא נמלח כשיעור מליחה עסקינן, דמשמע שאם נמלח כשיעור מליחה בכל גוונא שרי, וכתב הריב"ש (סי' קסו) שעל דעת זה נהגו לסמוך ושטופלים הבשר אחר שהוכשר לקדרה ואין מדקדקין בקמח הבצק, ב"י.</w:t>
      </w:r>
    </w:p>
  </w:footnote>
  <w:footnote w:id="822">
    <w:p w14:paraId="56D9DA0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שכן נראה מלשון הרשב"א בתורת הבית.</w:t>
      </w:r>
    </w:p>
  </w:footnote>
  <w:footnote w:id="823">
    <w:p w14:paraId="7E8DBB3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ר"ת וריב"א כ' על פרש"י- לשון טפל לא משמע הכי, דמשמע דהיינו טיחה כמו</w:t>
      </w:r>
      <w:r w:rsidRPr="00E531E8">
        <w:rPr>
          <w:rFonts w:asciiTheme="minorBidi" w:hAnsiTheme="minorBidi"/>
          <w:sz w:val="16"/>
          <w:szCs w:val="16"/>
          <w:rtl/>
        </w:rPr>
        <w:t xml:space="preserve"> (שבת פ:) </w:t>
      </w:r>
      <w:r w:rsidRPr="005C6730">
        <w:rPr>
          <w:rFonts w:asciiTheme="minorBidi" w:hAnsiTheme="minorBidi"/>
          <w:rtl/>
        </w:rPr>
        <w:t>בנות עשירים טופלות אותן בסלת, ועוד דבפשטיד"א לא אמרינן כבולעו כך פולטו דחזינן דלא פלטי שמקום מושבם יבש בתנור, ע"כ נראה ש</w:t>
      </w:r>
      <w:r w:rsidRPr="003024E5">
        <w:rPr>
          <w:rFonts w:asciiTheme="minorBidi" w:hAnsiTheme="minorBidi"/>
          <w:rtl/>
        </w:rPr>
        <w:t>הוא מה שרגילין לטוח ב</w:t>
      </w:r>
      <w:r w:rsidRPr="005C6730">
        <w:rPr>
          <w:rFonts w:asciiTheme="minorBidi" w:hAnsiTheme="minorBidi"/>
          <w:rtl/>
        </w:rPr>
        <w:t>-...</w:t>
      </w:r>
    </w:p>
  </w:footnote>
  <w:footnote w:id="824">
    <w:p w14:paraId="1E553A0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w:t>
      </w:r>
      <w:r w:rsidRPr="003024E5">
        <w:rPr>
          <w:rFonts w:asciiTheme="minorBidi" w:hAnsiTheme="minorBidi"/>
          <w:rtl/>
        </w:rPr>
        <w:t>ורגילין לעשות סביב קורקבנים ובני מעים שמשימין אותם בשפוד וטחין סביבותן בעיסה רכה</w:t>
      </w:r>
      <w:r>
        <w:rPr>
          <w:rFonts w:asciiTheme="minorBidi" w:hAnsiTheme="minorBidi" w:hint="cs"/>
          <w:rtl/>
        </w:rPr>
        <w:t>, ר"ת וריב"א.</w:t>
      </w:r>
      <w:r w:rsidRPr="005C6730">
        <w:rPr>
          <w:rFonts w:asciiTheme="minorBidi" w:hAnsiTheme="minorBidi"/>
          <w:rtl/>
        </w:rPr>
        <w:t xml:space="preserve"> וכ' הב"י דכן נראה קצת מדברי הרמב"ם ז"ל (שם) שכתב עופות שטפלן בבצק וצלאן, ואפשר שע"פ זה הוא מה שדייק הה"מ מלשונו שאין לחוש אלא בטפילא בלבד, דאילו היה פשטיד"א גם העוף היה נאסר אע"פ שהוא מלוח ומוכשר לקדרה לפי דעתו ודעת הגאונים ז"ל, דהאי פשטיד"א כמבושל בתוך קדרה או קערה דמי, ולדידהו כל שאינו נותן הבשר לתוך מים רותחים אסור משום דפירש דם מהבשר ומתערב בתבשיל והדר בשר ובלע מיניה כמו שקדם, וכיון דבפשטיד"א ליכא מים רותחין כדי שיחלטוהו דייב דמא מהעוף ונבלע בפשטיד"א וחוזר העוף ובולע ממנו, ומיהו אפשר דבקליפה סגי ליה.</w:t>
      </w:r>
    </w:p>
  </w:footnote>
  <w:footnote w:id="825">
    <w:p w14:paraId="469FE5CD" w14:textId="77777777" w:rsidR="004C5A3C" w:rsidRDefault="004C5A3C" w:rsidP="002C39F4">
      <w:pPr>
        <w:pStyle w:val="a5"/>
        <w:rPr>
          <w:rtl/>
        </w:rPr>
      </w:pPr>
      <w:r>
        <w:rPr>
          <w:rStyle w:val="a7"/>
        </w:rPr>
        <w:footnoteRef/>
      </w:r>
      <w:r>
        <w:rPr>
          <w:rtl/>
        </w:rPr>
        <w:t xml:space="preserve"> </w:t>
      </w:r>
      <w:r>
        <w:rPr>
          <w:rFonts w:hint="cs"/>
          <w:rtl/>
        </w:rPr>
        <w:t>בדרכ"מ (אות ב) הביא נוסחא אחרת שכתוב כאן "ציר" במקום "ביצים".</w:t>
      </w:r>
    </w:p>
  </w:footnote>
  <w:footnote w:id="826">
    <w:p w14:paraId="7F3FB95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כמ"ש הה"מ בדין זה דטפילא, ומיהו איכא לספוקי אם נאסר כל העוף או אם אינו אסור ממנו אלא כדי קליפה, דאיכא למימר הדם שנשאר בו הוי דם האיברים שלא פירש ושרי ומה שפירש ממנו לא חזר ונבלע בו אלא במקום שהוא דבוק לפשטיד"א, וכיון שאין שם רוטב אינו חוזר ונבלע בו יותר מכדי קליפה, והמרדכי כ' בפכ"ה </w:t>
      </w:r>
      <w:r w:rsidRPr="005C6730">
        <w:rPr>
          <w:rFonts w:asciiTheme="minorBidi" w:hAnsiTheme="minorBidi"/>
          <w:sz w:val="16"/>
          <w:szCs w:val="16"/>
          <w:rtl/>
        </w:rPr>
        <w:t xml:space="preserve">(סי' תש) </w:t>
      </w:r>
      <w:r w:rsidRPr="005C6730">
        <w:rPr>
          <w:rFonts w:asciiTheme="minorBidi" w:hAnsiTheme="minorBidi"/>
          <w:rtl/>
        </w:rPr>
        <w:t>בדין כבד או בשר שלא נמלח שנתנוהו בפשטיד"א, וכתבתיו בססע"ג</w:t>
      </w:r>
      <w:r w:rsidRPr="005C6730">
        <w:rPr>
          <w:rFonts w:asciiTheme="minorBidi" w:hAnsiTheme="minorBidi"/>
          <w:sz w:val="16"/>
          <w:szCs w:val="16"/>
          <w:rtl/>
        </w:rPr>
        <w:t xml:space="preserve"> (ד"ה כתב עוד המרדכי)</w:t>
      </w:r>
      <w:r w:rsidRPr="005C6730">
        <w:rPr>
          <w:rFonts w:asciiTheme="minorBidi" w:hAnsiTheme="minorBidi"/>
          <w:rtl/>
        </w:rPr>
        <w:t>, ב"י.</w:t>
      </w:r>
    </w:p>
  </w:footnote>
  <w:footnote w:id="827">
    <w:p w14:paraId="4AB656E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טו דין ה)</w:t>
      </w:r>
      <w:r w:rsidRPr="005C6730">
        <w:rPr>
          <w:rFonts w:asciiTheme="minorBidi" w:hAnsiTheme="minorBidi"/>
          <w:rtl/>
        </w:rPr>
        <w:t xml:space="preserve"> ומהרא"י</w:t>
      </w:r>
      <w:r w:rsidRPr="005C6730">
        <w:rPr>
          <w:rFonts w:asciiTheme="minorBidi" w:hAnsiTheme="minorBidi"/>
          <w:sz w:val="16"/>
          <w:szCs w:val="16"/>
          <w:rtl/>
        </w:rPr>
        <w:t xml:space="preserve"> (ל"ו שערים שי"ב סק"ג)</w:t>
      </w:r>
      <w:r w:rsidRPr="005C6730">
        <w:rPr>
          <w:rFonts w:asciiTheme="minorBidi" w:hAnsiTheme="minorBidi"/>
          <w:rtl/>
        </w:rPr>
        <w:t>.</w:t>
      </w:r>
    </w:p>
  </w:footnote>
  <w:footnote w:id="828">
    <w:p w14:paraId="5031F34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דלא כפירוש ר' ברוך דכתב דחיישינן שמא מתחלה נאסרו שתים או שלש חתיכות ע"י שומן שטפטף שם לכתחלה ויצטרך ששים נגד אותן שתים או שלש חתיכות, לא נהיגין הכי אלא כמ"ש רש"י בתשובתו, מהרא"י.</w:t>
      </w:r>
    </w:p>
  </w:footnote>
  <w:footnote w:id="829">
    <w:p w14:paraId="274FC11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ובב"י מסתפק בדבר, דרכ"מ (אות א).</w:t>
      </w:r>
    </w:p>
  </w:footnote>
  <w:footnote w:id="830">
    <w:p w14:paraId="39AE78D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לומר בשעת צלייה, וק"ל. והאי טפילה לאו היינו פשטיד"א שכתב הרב, דפשטיד"א מדינא דש"ס מיתסר דהא חזינן דלא פלטי שמקום מושבם יבש בתנור, אלא הוא מה שהיו רגילין לטוח בעיסה שבלילתה רכה והיו רגילין לעשות סביב קורקבנים ובני מעיים שמשימים אותם בשפוד וטחים סביבותם בעיסה רכה, כ"כ התוס' והאגודה ר"פ כ"צ והמרדכי פכ"ה והסמ"ג ושא"פ, וא"כ לדידן דלא בקיאינן במלתא אפילו בטפילת עיסה שבלילתה רכה יש לה כל דין בישול לקדרה בין לקולא בין לחומרא </w:t>
      </w:r>
      <w:r w:rsidRPr="005C6730">
        <w:rPr>
          <w:rFonts w:asciiTheme="minorBidi" w:hAnsiTheme="minorBidi"/>
          <w:sz w:val="16"/>
          <w:szCs w:val="16"/>
          <w:rtl/>
        </w:rPr>
        <w:t>(דהיינו אם נמלח העוף ונמצא בה חתיכות כבד ואינה דבוקה בה אם יש בין הכל ששים הכל מותר חוץ הכבד כדלעיל דיש לו כל דין בישול בקדירה, חגורת שמואל</w:t>
      </w:r>
      <w:r w:rsidRPr="005C6730">
        <w:rPr>
          <w:rFonts w:asciiTheme="minorBidi" w:hAnsiTheme="minorBidi"/>
          <w:sz w:val="14"/>
          <w:szCs w:val="14"/>
          <w:rtl/>
        </w:rPr>
        <w:t xml:space="preserve"> [סק"ד, מר' שמואל מלנצבורג, בהערותיו על הלבוש]</w:t>
      </w:r>
      <w:r w:rsidRPr="005C6730">
        <w:rPr>
          <w:rFonts w:asciiTheme="minorBidi" w:hAnsiTheme="minorBidi"/>
          <w:sz w:val="16"/>
          <w:szCs w:val="16"/>
          <w:rtl/>
        </w:rPr>
        <w:t>)</w:t>
      </w:r>
      <w:r w:rsidRPr="005C6730">
        <w:rPr>
          <w:rFonts w:asciiTheme="minorBidi" w:hAnsiTheme="minorBidi"/>
          <w:rtl/>
        </w:rPr>
        <w:t>, וכ"כ בעט"ז, ש"ך (סק"א).</w:t>
      </w:r>
    </w:p>
  </w:footnote>
  <w:footnote w:id="831">
    <w:p w14:paraId="755E13B6" w14:textId="77777777" w:rsidR="004C5A3C" w:rsidRDefault="004C5A3C" w:rsidP="002C39F4">
      <w:pPr>
        <w:pStyle w:val="a5"/>
      </w:pPr>
      <w:r>
        <w:rPr>
          <w:rStyle w:val="a7"/>
        </w:rPr>
        <w:footnoteRef/>
      </w:r>
      <w:r>
        <w:rPr>
          <w:rtl/>
        </w:rPr>
        <w:t xml:space="preserve"> </w:t>
      </w:r>
      <w:r w:rsidRPr="00E531E8">
        <w:rPr>
          <w:rFonts w:hint="cs"/>
          <w:color w:val="FF0000"/>
          <w:rtl/>
        </w:rPr>
        <w:t xml:space="preserve">משמע </w:t>
      </w:r>
      <w:r>
        <w:rPr>
          <w:rFonts w:hint="cs"/>
          <w:color w:val="FF0000"/>
          <w:rtl/>
        </w:rPr>
        <w:t xml:space="preserve">מלשונו </w:t>
      </w:r>
      <w:r w:rsidRPr="00E531E8">
        <w:rPr>
          <w:rFonts w:hint="cs"/>
          <w:color w:val="FF0000"/>
          <w:rtl/>
        </w:rPr>
        <w:t>דמותר לכתחילה, וצ"ע משום שהאו"ה כתב שמותר רק בדיעבד</w:t>
      </w:r>
      <w:r>
        <w:rPr>
          <w:rFonts w:hint="cs"/>
          <w:color w:val="FF0000"/>
          <w:rtl/>
        </w:rPr>
        <w:t>, והביא הרמ"א את דבריו בדרכ"מ (אות ב)</w:t>
      </w:r>
      <w:r>
        <w:rPr>
          <w:rFonts w:hint="cs"/>
          <w:rtl/>
        </w:rPr>
        <w:t>.</w:t>
      </w:r>
    </w:p>
  </w:footnote>
  <w:footnote w:id="832">
    <w:p w14:paraId="35271DE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 בציר מותר למשוח בשר שלא נמלח, והך ציר הוא ציר בשר, ובאו"ה כ' ביצים מתובלות ולא הוזכר שם בציר, ט"ז</w:t>
      </w:r>
      <w:r w:rsidRPr="005C6730">
        <w:rPr>
          <w:rFonts w:asciiTheme="minorBidi" w:hAnsiTheme="minorBidi"/>
          <w:sz w:val="16"/>
          <w:szCs w:val="16"/>
          <w:rtl/>
        </w:rPr>
        <w:t xml:space="preserve"> (סק"א)</w:t>
      </w:r>
      <w:r w:rsidRPr="005C6730">
        <w:rPr>
          <w:rFonts w:asciiTheme="minorBidi" w:hAnsiTheme="minorBidi"/>
          <w:rtl/>
        </w:rPr>
        <w:t>.</w:t>
      </w:r>
    </w:p>
  </w:footnote>
  <w:footnote w:id="833">
    <w:p w14:paraId="38B24F2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ומשערינן בששים בין לקולא בין לחומרא דאם יש ששים הכל שרי מלבד אותה חתיכה שהאיסור דבוק בה, ואי ליכא ששים הכל אסור, ת"ח </w:t>
      </w:r>
      <w:r w:rsidRPr="005C6730">
        <w:rPr>
          <w:rFonts w:asciiTheme="minorBidi" w:hAnsiTheme="minorBidi"/>
          <w:sz w:val="16"/>
          <w:szCs w:val="16"/>
          <w:rtl/>
        </w:rPr>
        <w:t>(כלל כח ד"ב, הביאו הש"ך [סק"ב])</w:t>
      </w:r>
      <w:r w:rsidRPr="005C6730">
        <w:rPr>
          <w:rFonts w:asciiTheme="minorBidi" w:hAnsiTheme="minorBidi"/>
          <w:rtl/>
        </w:rPr>
        <w:t>. ולא אמרי' דחיישינן שמא מתחלה נאסרו ב' או ג' חתיכות ע"י שומן שמטפטף שם מתחלה ויצטרך ששים נגד אותן ב' או ג' חתיכות לא אמרינן הכי, ט"ז (סק"ב).</w:t>
      </w:r>
    </w:p>
  </w:footnote>
  <w:footnote w:id="834">
    <w:p w14:paraId="2B9456A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ארוכין וקצרים, רש"י.</w:t>
      </w:r>
    </w:p>
  </w:footnote>
  <w:footnote w:id="835">
    <w:p w14:paraId="74CD0E5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רחבין כגון אותן שעושין לביברי דגים, רש"י.</w:t>
      </w:r>
    </w:p>
  </w:footnote>
  <w:footnote w:id="836">
    <w:p w14:paraId="79AB4ED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התוס' </w:t>
      </w:r>
      <w:r w:rsidRPr="005C6730">
        <w:rPr>
          <w:rFonts w:asciiTheme="minorBidi" w:hAnsiTheme="minorBidi"/>
          <w:sz w:val="16"/>
          <w:szCs w:val="16"/>
          <w:rtl/>
        </w:rPr>
        <w:t xml:space="preserve">(ד"ה במים) </w:t>
      </w:r>
      <w:r w:rsidRPr="005C6730">
        <w:rPr>
          <w:rFonts w:asciiTheme="minorBidi" w:hAnsiTheme="minorBidi"/>
          <w:rtl/>
        </w:rPr>
        <w:t>הקשו על דברי רש"י, דאם כדבריו, למה לו להזכיר טעמא דעצורין, הוי ליה למימר דחריצין ונעיצין איכא לרבויי טפי לאיסורא לפי שהם נובעים כימים ונחלים, לפיכך פירשו ד-...</w:t>
      </w:r>
    </w:p>
  </w:footnote>
  <w:footnote w:id="837">
    <w:p w14:paraId="3BFC22B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הה"מ </w:t>
      </w:r>
      <w:r w:rsidRPr="005C6730">
        <w:rPr>
          <w:rFonts w:asciiTheme="minorBidi" w:hAnsiTheme="minorBidi"/>
          <w:sz w:val="16"/>
          <w:szCs w:val="16"/>
          <w:rtl/>
        </w:rPr>
        <w:t xml:space="preserve">(שם) </w:t>
      </w:r>
      <w:r w:rsidRPr="005C6730">
        <w:rPr>
          <w:rFonts w:asciiTheme="minorBidi" w:hAnsiTheme="minorBidi"/>
          <w:rtl/>
        </w:rPr>
        <w:t xml:space="preserve">שנראה מדבריו שחריצין ונעיצין המושכין אע"פ שאינם נובעים אסורים, ולא הותרו אלא בורות שיחין ומערות שהן עצורין ככלים וכתנא דבי רבי ישמעאל דמשמע דפליג התם אתנא קמא בחריצין המושכין ואינם נובעים, וכן פירשו בעלי התוספות, וכן משמע בספרא </w:t>
      </w:r>
      <w:r w:rsidRPr="005C6730">
        <w:rPr>
          <w:rFonts w:asciiTheme="minorBidi" w:hAnsiTheme="minorBidi"/>
          <w:sz w:val="16"/>
          <w:szCs w:val="16"/>
          <w:rtl/>
        </w:rPr>
        <w:t>(פ' שמיני אות ב)</w:t>
      </w:r>
      <w:r w:rsidRPr="005C6730">
        <w:rPr>
          <w:rFonts w:asciiTheme="minorBidi" w:hAnsiTheme="minorBidi"/>
          <w:rtl/>
        </w:rPr>
        <w:t xml:space="preserve">, ולזה הסכים הרשב"א </w:t>
      </w:r>
      <w:r w:rsidRPr="005C6730">
        <w:rPr>
          <w:rFonts w:asciiTheme="minorBidi" w:hAnsiTheme="minorBidi"/>
          <w:sz w:val="16"/>
          <w:szCs w:val="16"/>
          <w:rtl/>
        </w:rPr>
        <w:t>(ארוך שם סו:, קצר סז.)</w:t>
      </w:r>
      <w:r w:rsidRPr="005C6730">
        <w:rPr>
          <w:rFonts w:asciiTheme="minorBidi" w:hAnsiTheme="minorBidi"/>
          <w:rtl/>
        </w:rPr>
        <w:t xml:space="preserve">. אך הט"ז </w:t>
      </w:r>
      <w:r w:rsidRPr="005C6730">
        <w:rPr>
          <w:rFonts w:asciiTheme="minorBidi" w:hAnsiTheme="minorBidi"/>
          <w:sz w:val="16"/>
          <w:szCs w:val="16"/>
          <w:rtl/>
        </w:rPr>
        <w:t xml:space="preserve">(בהקדמה לסימן זה) </w:t>
      </w:r>
      <w:r w:rsidRPr="005C6730">
        <w:rPr>
          <w:rFonts w:asciiTheme="minorBidi" w:hAnsiTheme="minorBidi"/>
          <w:rtl/>
        </w:rPr>
        <w:t>כ'- נראה לפרש דעת הרמב"ם ולתרץ לשון הטור שלא כתב וא"א כתב כסברא ראשונה</w:t>
      </w:r>
      <w:r w:rsidRPr="005C6730">
        <w:rPr>
          <w:rFonts w:asciiTheme="minorBidi" w:hAnsiTheme="minorBidi"/>
          <w:sz w:val="16"/>
          <w:szCs w:val="16"/>
          <w:rtl/>
        </w:rPr>
        <w:t xml:space="preserve"> {אלאל לאחר שהביא הטור את דברי הרמב"ם כ-</w:t>
      </w:r>
      <w:r w:rsidRPr="005C6730">
        <w:rPr>
          <w:rFonts w:asciiTheme="minorBidi" w:hAnsiTheme="minorBidi"/>
          <w:rtl/>
        </w:rPr>
        <w:t xml:space="preserve"> </w:t>
      </w:r>
      <w:r w:rsidRPr="005C6730">
        <w:rPr>
          <w:rFonts w:asciiTheme="minorBidi" w:hAnsiTheme="minorBidi"/>
          <w:sz w:val="16"/>
          <w:szCs w:val="16"/>
          <w:rtl/>
        </w:rPr>
        <w:t>וא"א הרא"ש ז"ל לא כתב כן}</w:t>
      </w:r>
      <w:r w:rsidRPr="005C6730">
        <w:rPr>
          <w:rFonts w:asciiTheme="minorBidi" w:hAnsiTheme="minorBidi"/>
          <w:rtl/>
        </w:rPr>
        <w:t xml:space="preserve"> לפי שגם הרמב"ם ס"ל כתנא דבי רב אלא דס"ל דהפלוגתא בין תנא דבי רב לתנא דבי רבי ישמעאל בדרך זה דגם בחריצין שאינם נובעין אלא נמשכין וזוחלין אסור לכו"ע, ולא פליגי אלא בחריצין שאינם נובעים וגם לא נמשכים, דלדבי רב הוה בזה כבורות, ולתנא דבי ר"י אסור כיון שהוא מקום גדול ואינו דומה לכלים שאין כלי גדול כ"כ </w:t>
      </w:r>
      <w:r w:rsidRPr="005C6730">
        <w:rPr>
          <w:rFonts w:asciiTheme="minorBidi" w:hAnsiTheme="minorBidi"/>
          <w:sz w:val="16"/>
          <w:szCs w:val="16"/>
          <w:rtl/>
        </w:rPr>
        <w:t>(ואפילו בכלי אמרי' בשאר מקומות דאם הוא מחזיק יותר מארבעים סאה בלח בטל מתורת כלי)</w:t>
      </w:r>
      <w:r w:rsidRPr="005C6730">
        <w:rPr>
          <w:rFonts w:asciiTheme="minorBidi" w:hAnsiTheme="minorBidi"/>
          <w:rtl/>
        </w:rPr>
        <w:t xml:space="preserve">, ופסק הרמב"ם כדבי רב כמו הרא"ש </w:t>
      </w:r>
      <w:r w:rsidRPr="005C6730">
        <w:rPr>
          <w:rFonts w:asciiTheme="minorBidi" w:hAnsiTheme="minorBidi"/>
          <w:sz w:val="16"/>
          <w:szCs w:val="16"/>
          <w:rtl/>
        </w:rPr>
        <w:t>(ולא כמ"ש המ"מ שהרמב"ם פוסק כתנא דבי ר"י)</w:t>
      </w:r>
      <w:r w:rsidRPr="005C6730">
        <w:rPr>
          <w:rFonts w:asciiTheme="minorBidi" w:hAnsiTheme="minorBidi"/>
          <w:rtl/>
        </w:rPr>
        <w:t>, וזה למד הטור מלשון הרמב"ם שכתב ש-'אינם נובעין והרי הם עצורים ככלים' שהוא כפל לשון, אלא ודאי דקמ"ל אפילו באין נובעים יש איסור כנובעים כל שהן זוחלין, ואין לך היתר אלא אם הם עצורים, ובאמת גם בחריצין מותר בדרך זה, אלא דמ"ה אמרו בורות בזה- לפי שהם בודאי עצורים, משא"כ בחריצים דאינם שווים בזה, וע"כ סיים הטור שהרא"ש לא כתב כן שהחריצים המושכין וזוחלין יהיו בזה כנובעים, אלא כתב סתם בנובעים שהם אסורים, גם בר"ן משמע שעיקר הרבותא שזוחלים הם כנובעים.</w:t>
      </w:r>
    </w:p>
  </w:footnote>
  <w:footnote w:id="838">
    <w:p w14:paraId="52CC782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לשון השופה יין לחמרא (ב"מ דף ס) לשון מוריק מכלי אל כלי, רש"י.</w:t>
      </w:r>
    </w:p>
  </w:footnote>
  <w:footnote w:id="839">
    <w:p w14:paraId="092A80C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של תמרים הוא ומצויין בהן תולעים, רש"י.</w:t>
      </w:r>
    </w:p>
  </w:footnote>
  <w:footnote w:id="840">
    <w:p w14:paraId="3E9B41D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ציבי שמסננין אותו דרך עצים וקשים דקים, רש"י. </w:t>
      </w:r>
    </w:p>
  </w:footnote>
  <w:footnote w:id="841">
    <w:p w14:paraId="653A808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שאם תפול תולעת על הקשים לא יראנה ומשם תפול לכלי ולמחר כשיראנה יהא סבר שלא יצתה מן השכר לקשים ותולעת המים מותרת כדאמרן, רש"י.</w:t>
      </w:r>
    </w:p>
  </w:footnote>
  <w:footnote w:id="842">
    <w:p w14:paraId="106141D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דכיון דרחשה והלכה קצת על הקשין נעשית שרץ הארץ, רש"י.</w:t>
      </w:r>
    </w:p>
  </w:footnote>
  <w:footnote w:id="843">
    <w:p w14:paraId="7E28831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וכמי שלא פירשה מן המים היא, רש"י.</w:t>
      </w:r>
    </w:p>
  </w:footnote>
  <w:footnote w:id="844">
    <w:p w14:paraId="7338FD7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ואף על פי שיזדמנו לו תולעים לתוך פיו אינו חושש, רא"ש (סי' סח).</w:t>
      </w:r>
      <w:r w:rsidRPr="005C6730">
        <w:rPr>
          <w:rFonts w:asciiTheme="minorBidi" w:hAnsiTheme="minorBidi"/>
          <w:color w:val="E36C0A" w:themeColor="accent6" w:themeShade="BF"/>
          <w:rtl/>
        </w:rPr>
        <w:t xml:space="preserve"> (וכ"פ בשו"ע)</w:t>
      </w:r>
    </w:p>
  </w:footnote>
  <w:footnote w:id="845">
    <w:p w14:paraId="6C60936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Pr>
          <w:rFonts w:asciiTheme="minorBidi" w:hAnsiTheme="minorBidi"/>
        </w:rPr>
        <w:t xml:space="preserve"> </w:t>
      </w:r>
      <w:r w:rsidRPr="003024E5">
        <w:rPr>
          <w:rFonts w:asciiTheme="minorBidi" w:hAnsiTheme="minorBidi"/>
          <w:rtl/>
        </w:rPr>
        <w:t>כשפורשים על דפנו שבפנים שרו דכיון שלא פירשו שם אלא עם המשקה היינו רביתייהו, ולא דמו לפירשה מתמרה לתמרה דאיבעיא לן ולא איפשיטא כמו שאכתוב בסמוך, ואע"פ שמדברי הרא"ש שכתבתי בסמוך גבי בורות נראה שאם שאב מים בכלי ופירשו לדפני הכלי אסורים אפשר דהתם שאני דמעיקרא היו בבור ועכשיו בכלי אבל הכא דמעיקרא כלי והשתא כלי שייך שפיר למימר היינו רביתיה</w:t>
      </w:r>
      <w:r>
        <w:rPr>
          <w:rFonts w:asciiTheme="minorBidi" w:hAnsiTheme="minorBidi" w:hint="cs"/>
          <w:rtl/>
        </w:rPr>
        <w:t>,</w:t>
      </w:r>
      <w:r w:rsidRPr="00856D41">
        <w:rPr>
          <w:rFonts w:asciiTheme="minorBidi" w:hAnsiTheme="minorBidi"/>
          <w:rtl/>
        </w:rPr>
        <w:t xml:space="preserve"> </w:t>
      </w:r>
      <w:r w:rsidRPr="003024E5">
        <w:rPr>
          <w:rFonts w:asciiTheme="minorBidi" w:hAnsiTheme="minorBidi"/>
          <w:rtl/>
        </w:rPr>
        <w:t>ב"י</w:t>
      </w:r>
      <w:r>
        <w:rPr>
          <w:rFonts w:asciiTheme="minorBidi" w:hAnsiTheme="minorBidi" w:hint="cs"/>
          <w:rtl/>
        </w:rPr>
        <w:t xml:space="preserve"> (סע' ג). </w:t>
      </w:r>
      <w:r w:rsidRPr="005C6730">
        <w:rPr>
          <w:rFonts w:asciiTheme="minorBidi" w:hAnsiTheme="minorBidi"/>
          <w:rtl/>
        </w:rPr>
        <w:t>ונ"ל ראיה לדבריו מדלא אסר אלא לסנן דחיישינן שמא יפרוש על הקשים או עצים ויחזור לכלי אבל להא לא חיישינן שיפרוש בכלי שני לדפני הכלי, דרכ"מ (אות ב). והוסיף הט"ז (סק"ה) דגם שם חשש הרא"ש שמא באותה שעה שתחב הכלי להבור פירשו מהבור על גבי הכלי</w:t>
      </w:r>
      <w:r>
        <w:rPr>
          <w:rFonts w:asciiTheme="minorBidi" w:hAnsiTheme="minorBidi" w:hint="cs"/>
          <w:rtl/>
        </w:rPr>
        <w:t>,</w:t>
      </w:r>
      <w:r w:rsidRPr="005C6730">
        <w:rPr>
          <w:rFonts w:asciiTheme="minorBidi" w:hAnsiTheme="minorBidi"/>
          <w:rtl/>
        </w:rPr>
        <w:t xml:space="preserve"> או אפילו בפנים קודם שנכנס המשקה שם, דדוקא אחר שיש המשקה שם אין איסור אם פירשו משם לדופן בפנים, אבל לא קודם לזה.</w:t>
      </w:r>
    </w:p>
  </w:footnote>
  <w:footnote w:id="846">
    <w:p w14:paraId="5004844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וה"ה בשאר משקים שבכלים </w:t>
      </w:r>
      <w:r w:rsidRPr="005C6730">
        <w:rPr>
          <w:rFonts w:asciiTheme="minorBidi" w:hAnsiTheme="minorBidi"/>
          <w:sz w:val="16"/>
          <w:szCs w:val="16"/>
          <w:rtl/>
        </w:rPr>
        <w:t>(וכמ"ש הטור והמחבר בס"ג וכ"כ הרמב"ם והג"מ בשם סמ"ג ומביאם ב"י וכן מבואר בשא"פ ופשוט הוא)</w:t>
      </w:r>
      <w:r w:rsidRPr="005C6730">
        <w:rPr>
          <w:rFonts w:asciiTheme="minorBidi" w:hAnsiTheme="minorBidi"/>
          <w:rtl/>
        </w:rPr>
        <w:t>, ש"ך</w:t>
      </w:r>
      <w:r w:rsidRPr="005C6730">
        <w:rPr>
          <w:rFonts w:asciiTheme="minorBidi" w:hAnsiTheme="minorBidi"/>
          <w:sz w:val="16"/>
          <w:szCs w:val="16"/>
          <w:rtl/>
        </w:rPr>
        <w:t xml:space="preserve"> (סק"א)</w:t>
      </w:r>
      <w:r w:rsidRPr="005C6730">
        <w:rPr>
          <w:rFonts w:asciiTheme="minorBidi" w:hAnsiTheme="minorBidi"/>
          <w:rtl/>
        </w:rPr>
        <w:t>.</w:t>
      </w:r>
    </w:p>
  </w:footnote>
  <w:footnote w:id="847">
    <w:p w14:paraId="585477B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פירש"י והר"ן פ' שור שנגח (נ:) בור- עגול, שיח- ארוכה וקצרה, מערה- מרובעת ומכוסה בקירוי ויש לה פה, חריצים- רחבים ומרובעים כמערה ואינם מקורים, נעיצים- קצרים מלמטה ורחבים מלמעלה. ונראה דכאן לענין שרצים לא נפקא לן מידי בהא אלא דאסורא דחריצים הוא שהן מושכים, כמו שכתבו הטור והמחבר בסע' ב, כלומר שהמים שבהם יש להם מוצא ובא, משא"כ בבורות, וכדאיתא ס"פ א"ט מרבה אני בורות שיחין ומערות שהן עצורים ככלים ומוציא אני חריצים ונעיצים שאין עצורים ככלים ופירש"י והר"ן שהן עצורים שאין להם מוצא ובא, וכ"מ להדיא בתוה"ב הקצר סוף דף כ"ה כמ"ש ע"ש, ש"ך (סק"ב).</w:t>
      </w:r>
    </w:p>
  </w:footnote>
  <w:footnote w:id="848">
    <w:p w14:paraId="3B82212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משמע דאפי</w:t>
      </w:r>
      <w:r>
        <w:rPr>
          <w:rFonts w:asciiTheme="minorBidi" w:hAnsiTheme="minorBidi" w:hint="cs"/>
          <w:rtl/>
        </w:rPr>
        <w:t>לו</w:t>
      </w:r>
      <w:r w:rsidRPr="005C6730">
        <w:rPr>
          <w:rFonts w:asciiTheme="minorBidi" w:hAnsiTheme="minorBidi"/>
          <w:rtl/>
        </w:rPr>
        <w:t xml:space="preserve"> משום בל תשקצו אין בהם, וכ"כ הרא"ה בספר החינוך</w:t>
      </w:r>
      <w:r w:rsidRPr="00A041E7">
        <w:rPr>
          <w:rFonts w:asciiTheme="minorBidi" w:hAnsiTheme="minorBidi"/>
          <w:sz w:val="16"/>
          <w:szCs w:val="16"/>
          <w:rtl/>
        </w:rPr>
        <w:t xml:space="preserve"> (מצוה קסג) </w:t>
      </w:r>
      <w:r w:rsidRPr="005C6730">
        <w:rPr>
          <w:rFonts w:asciiTheme="minorBidi" w:hAnsiTheme="minorBidi"/>
          <w:rtl/>
        </w:rPr>
        <w:t xml:space="preserve">בפי', ואע"ג דלעיל סי' יג כ' הר"ב דאפי' דגים טהורים אסור לאוכלן חיים משום בל תשקצו- שאני הכא כיון דאין כוונתו אלא לשתות המים וגם אינם בעין, ש"ך </w:t>
      </w:r>
      <w:r w:rsidRPr="00A041E7">
        <w:rPr>
          <w:rFonts w:asciiTheme="minorBidi" w:hAnsiTheme="minorBidi"/>
          <w:sz w:val="16"/>
          <w:szCs w:val="16"/>
          <w:rtl/>
        </w:rPr>
        <w:t>(סק"ג)</w:t>
      </w:r>
      <w:r w:rsidRPr="005C6730">
        <w:rPr>
          <w:rFonts w:asciiTheme="minorBidi" w:hAnsiTheme="minorBidi"/>
          <w:rtl/>
        </w:rPr>
        <w:t xml:space="preserve">. וכ' הט"ז </w:t>
      </w:r>
      <w:r w:rsidRPr="00A041E7">
        <w:rPr>
          <w:rFonts w:asciiTheme="minorBidi" w:hAnsiTheme="minorBidi"/>
          <w:sz w:val="16"/>
          <w:szCs w:val="16"/>
          <w:rtl/>
        </w:rPr>
        <w:t xml:space="preserve">(סק"ב) </w:t>
      </w:r>
      <w:r w:rsidRPr="005C6730">
        <w:rPr>
          <w:rFonts w:asciiTheme="minorBidi" w:hAnsiTheme="minorBidi"/>
          <w:rtl/>
        </w:rPr>
        <w:t>דבאו"ה כ'- ודוקא שאין מאוסין עליו אבל מאוסין עליו או שיש חשש סכנה כ' רמב"ם סוף הל</w:t>
      </w:r>
      <w:r>
        <w:rPr>
          <w:rFonts w:asciiTheme="minorBidi" w:hAnsiTheme="minorBidi" w:hint="cs"/>
          <w:rtl/>
        </w:rPr>
        <w:t>'</w:t>
      </w:r>
      <w:r w:rsidRPr="005C6730">
        <w:rPr>
          <w:rFonts w:asciiTheme="minorBidi" w:hAnsiTheme="minorBidi"/>
          <w:rtl/>
        </w:rPr>
        <w:t xml:space="preserve"> רוצח דאסור משום בל תשקצו, וכ"כ רש"ל בסע' ט"ז לקמן.</w:t>
      </w:r>
    </w:p>
  </w:footnote>
  <w:footnote w:id="849">
    <w:p w14:paraId="0A3E449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וכתב הכל בו </w:t>
      </w:r>
      <w:r w:rsidRPr="005C6730">
        <w:rPr>
          <w:rFonts w:asciiTheme="minorBidi" w:hAnsiTheme="minorBidi"/>
          <w:sz w:val="16"/>
          <w:szCs w:val="16"/>
          <w:rtl/>
        </w:rPr>
        <w:t>(סי' קא דף קי"ג ע"ג)</w:t>
      </w:r>
      <w:r w:rsidRPr="005C6730">
        <w:rPr>
          <w:rFonts w:asciiTheme="minorBidi" w:hAnsiTheme="minorBidi"/>
          <w:rtl/>
        </w:rPr>
        <w:t xml:space="preserve"> דה"ה ליקח מן המים ביד אסור, ש"ך (סק"ה).</w:t>
      </w:r>
    </w:p>
  </w:footnote>
  <w:footnote w:id="850">
    <w:p w14:paraId="11DAE90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דדלמא פריש בדופני הכלי</w:t>
      </w:r>
      <w:r>
        <w:rPr>
          <w:rFonts w:asciiTheme="minorBidi" w:hAnsiTheme="minorBidi" w:hint="cs"/>
          <w:rtl/>
        </w:rPr>
        <w:t>,</w:t>
      </w:r>
      <w:r w:rsidRPr="005C6730">
        <w:rPr>
          <w:rFonts w:asciiTheme="minorBidi" w:hAnsiTheme="minorBidi"/>
          <w:rtl/>
        </w:rPr>
        <w:t xml:space="preserve"> דדוקא על שפת הכלי הוא דלא שכיחי לפרוש אבל בדופני הכלי מבפנים שכיחי דפרשי ואסירי כיון שמתחלתן היו בבור, דדוקא כשפירשו עם המשקה מכלי אל כלי הוא דשרי אף כשפירשו אח"כ בדופני הכלי השני, וכמו שיתבאר בס"ג, דהיינו רביתייהו להיות עם המשקה בכלי, והלכך כלי שני דין כלי ראשון יש לו, משא"כ הכא שהיו מתחלה בבור, ולפ"ז מש"כ אבל אסור לשאוב כו' לא קאי אלא אבורות שיחין ומערות אבל מותר לשאוב בכלי קטן מכלי גדול דאף אם יפרשו אח"כ בכלי השני מותרים, ומבואר בדברי הרא"ש שם דאם שאב מן הבור אף דלא ידעינן בודאי שפירשו אסורים משום דחיישינן שמא פירשו וכ"מ להדיא באו"ה שם</w:t>
      </w:r>
      <w:r>
        <w:rPr>
          <w:rFonts w:asciiTheme="minorBidi" w:hAnsiTheme="minorBidi" w:hint="cs"/>
          <w:rtl/>
        </w:rPr>
        <w:t>...</w:t>
      </w:r>
      <w:r w:rsidRPr="005C6730">
        <w:rPr>
          <w:rFonts w:asciiTheme="minorBidi" w:hAnsiTheme="minorBidi"/>
          <w:rtl/>
        </w:rPr>
        <w:t xml:space="preserve"> ועי' בסק"י, ש"ך (סק"ד).</w:t>
      </w:r>
    </w:p>
  </w:footnote>
  <w:footnote w:id="851">
    <w:p w14:paraId="162B12B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כן הוא ג"כ בטור והלשון אינו מתוקן, ובתוה"ב להרשב"א כתוב 'לאחורי הכלי או על שפת הבור' והוא מתוקן, ומ"מ נראה דלפע' נמצא כלי ששפתו רחב ואין לחוש שמא פירשו על שפתו ול"ד למסנן בס</w:t>
      </w:r>
      <w:r>
        <w:rPr>
          <w:rFonts w:asciiTheme="minorBidi" w:hAnsiTheme="minorBidi" w:hint="cs"/>
          <w:rtl/>
        </w:rPr>
        <w:t xml:space="preserve">ע' </w:t>
      </w:r>
      <w:r w:rsidRPr="005C6730">
        <w:rPr>
          <w:rFonts w:asciiTheme="minorBidi" w:hAnsiTheme="minorBidi"/>
          <w:rtl/>
        </w:rPr>
        <w:t>ג דשכיחי דפרשי על הקסמים וקשים, ש"ך</w:t>
      </w:r>
      <w:r w:rsidRPr="005C6730">
        <w:rPr>
          <w:rFonts w:asciiTheme="minorBidi" w:hAnsiTheme="minorBidi"/>
          <w:sz w:val="16"/>
          <w:szCs w:val="16"/>
          <w:rtl/>
        </w:rPr>
        <w:t xml:space="preserve"> (סק"ו)</w:t>
      </w:r>
      <w:r w:rsidRPr="005C6730">
        <w:rPr>
          <w:rFonts w:asciiTheme="minorBidi" w:hAnsiTheme="minorBidi"/>
          <w:rtl/>
        </w:rPr>
        <w:t>.</w:t>
      </w:r>
    </w:p>
  </w:footnote>
  <w:footnote w:id="852">
    <w:p w14:paraId="0D7956B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ה"ה לדופן הבור מבפנים, וכ"כ הרמב"ם והרשב"א והאו"ה והוא פשוט, ש"ך (סק"ז).</w:t>
      </w:r>
    </w:p>
  </w:footnote>
  <w:footnote w:id="853">
    <w:p w14:paraId="03005D5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הוא הרמב"ם. וכ' הש"ך (סק"ח) דכ"פ מהרש"ל (פא"ט סי' קכג) וכן משמע דעת האו"ה (כלל מא דין ז).</w:t>
      </w:r>
    </w:p>
  </w:footnote>
  <w:footnote w:id="854">
    <w:p w14:paraId="400A52B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לשון השופה יין לחמרא (ב"מ דף ס) לשון מוריק מכלי אל כלי, רש"י.</w:t>
      </w:r>
    </w:p>
  </w:footnote>
  <w:footnote w:id="855">
    <w:p w14:paraId="6713E41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של תמרים הוא ומצויין בהן תולעים, רש"י.</w:t>
      </w:r>
    </w:p>
  </w:footnote>
  <w:footnote w:id="856">
    <w:p w14:paraId="01230EC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ציבי שמסננין אותו דרך עצים וקשים דקים, רש"י. </w:t>
      </w:r>
    </w:p>
  </w:footnote>
  <w:footnote w:id="857">
    <w:p w14:paraId="38FA541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שאם תפול תולעת על הקשים לא יראנה ומשם תפול לכלי ולמחר כשיראנה יהא סבר שלא יצתה מן השכר לקשים ותולעת המים מותרת כדאמרן, רש"י.</w:t>
      </w:r>
    </w:p>
  </w:footnote>
  <w:footnote w:id="858">
    <w:p w14:paraId="7677C20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דכיון דרחשה והלכה קצת על הקשין נעשית שרץ הארץ, רש"י.</w:t>
      </w:r>
    </w:p>
  </w:footnote>
  <w:footnote w:id="859">
    <w:p w14:paraId="6B5A7DA6"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וכמי שלא פירשה מן המים היא, רש"י.</w:t>
      </w:r>
    </w:p>
  </w:footnote>
  <w:footnote w:id="860">
    <w:p w14:paraId="099328B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ואף על פי שיזדמנו לו תולעים לתוך פיו אינו חושש, רא"ש (סי' סח).</w:t>
      </w:r>
      <w:r w:rsidRPr="005C6730">
        <w:rPr>
          <w:rFonts w:asciiTheme="minorBidi" w:hAnsiTheme="minorBidi"/>
          <w:color w:val="E36C0A" w:themeColor="accent6" w:themeShade="BF"/>
          <w:rtl/>
        </w:rPr>
        <w:t xml:space="preserve"> (וכ"פ בשו"ע)</w:t>
      </w:r>
    </w:p>
  </w:footnote>
  <w:footnote w:id="861">
    <w:p w14:paraId="6D8CCA9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כמין יתושין דקין הנמצאות במרתפות של יין, רש"י.</w:t>
      </w:r>
    </w:p>
  </w:footnote>
  <w:footnote w:id="862">
    <w:p w14:paraId="4D45F1B4" w14:textId="77777777" w:rsidR="004C5A3C" w:rsidRPr="00130014" w:rsidRDefault="004C5A3C" w:rsidP="002C39F4">
      <w:pPr>
        <w:pStyle w:val="a5"/>
        <w:rPr>
          <w:rtl/>
        </w:rPr>
      </w:pPr>
      <w:r w:rsidRPr="00130014">
        <w:rPr>
          <w:rStyle w:val="a7"/>
        </w:rPr>
        <w:footnoteRef/>
      </w:r>
      <w:r w:rsidRPr="00130014">
        <w:rPr>
          <w:rtl/>
        </w:rPr>
        <w:t xml:space="preserve"> </w:t>
      </w:r>
      <w:r w:rsidRPr="00130014">
        <w:rPr>
          <w:rFonts w:asciiTheme="minorBidi" w:hAnsiTheme="minorBidi"/>
          <w:rtl/>
        </w:rPr>
        <w:t>ונראה שמטעם זה לא כ' הרמב"ם (מאכ"א פ"ב ה"כ) דלא לישפי אינש שיכרא בצבייתא באורתא, משום דכיון דדוקא בצבייתא הוא דלא לישפי מאחר שהודיענו שכל שפירשו ע"י סינון אסורים ממילא יזהר האדם שלא לסנן בענין זה כיון שיכול לבא לידי איסור. והרשב"א ז"ל (קצר שם) שכתבו הרי הזכיר בקשין וכלישנא דגמרא ורבינו שכתבו ולא הזכיר קשין איני מוצא לו טעם</w:t>
      </w:r>
      <w:r>
        <w:rPr>
          <w:rFonts w:asciiTheme="minorBidi" w:hAnsiTheme="minorBidi" w:hint="cs"/>
          <w:rtl/>
        </w:rPr>
        <w:t>, ב"י</w:t>
      </w:r>
      <w:r w:rsidRPr="00130014">
        <w:rPr>
          <w:rFonts w:hint="cs"/>
          <w:rtl/>
        </w:rPr>
        <w:t>.</w:t>
      </w:r>
    </w:p>
  </w:footnote>
  <w:footnote w:id="863">
    <w:p w14:paraId="0F566C3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נראה מדבריו שיבחושין שביין וחומץ מותרים כל זמן שלא פירשו, וכ"כ הגה"מ (שם אות ו) בשם סמ"ג (לאוין קלב מד:) שאותם יבחושין הזבובים הקטנים הנמצאים בשכר וביין מותרים.</w:t>
      </w:r>
    </w:p>
  </w:footnote>
  <w:footnote w:id="864">
    <w:p w14:paraId="0182746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וכן חומץ שיש בו תולעים אם פירשו לאויר נקרא פירשו, אבל מן החומץ לתבשיל לא הוי פירשו ומותרים, רי"ו</w:t>
      </w:r>
      <w:r w:rsidRPr="005C6730">
        <w:rPr>
          <w:rFonts w:asciiTheme="minorBidi" w:hAnsiTheme="minorBidi"/>
          <w:sz w:val="14"/>
          <w:szCs w:val="14"/>
          <w:rtl/>
        </w:rPr>
        <w:t xml:space="preserve"> </w:t>
      </w:r>
      <w:r w:rsidRPr="005C6730">
        <w:rPr>
          <w:rFonts w:asciiTheme="minorBidi" w:hAnsiTheme="minorBidi"/>
          <w:sz w:val="16"/>
          <w:szCs w:val="16"/>
          <w:rtl/>
        </w:rPr>
        <w:t>(נט"ו ח"ה אות כז קלו ע"ג, הביאו הב"י בבדה"ב)</w:t>
      </w:r>
      <w:r w:rsidRPr="005C6730">
        <w:rPr>
          <w:rFonts w:asciiTheme="minorBidi" w:hAnsiTheme="minorBidi"/>
          <w:rtl/>
        </w:rPr>
        <w:t>.</w:t>
      </w:r>
    </w:p>
  </w:footnote>
  <w:footnote w:id="865">
    <w:p w14:paraId="04B8D8B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והרי כבר פירשו, אבל מסתמא אין לחוש שמא פירשו כל זמן שאין הוכחה בדבר, טור. וכ"כ הרשב"א בתוה"ב (שם) על שרצים שבמים, והטור כתבו בסוף דבריו ואכל מאי דכתב לעיל קאי בין אמים בין אשכר, ב"י. וכ' הש"ך (סק"ט) דאע"ג דמלשון הטור משמע לכאורה דזה פשיטא דאם חזרו בכלי דפירשו (שהרי כ- "והרי כבר פירשו") וכ"נ מדברי המחבר, מ"מ בש"ס משמע דליכא אלא ספיקא דשמא פירשו, וצ"ל דגם דעת הטור והמחבר כן אלא שקיצרו במובן.</w:t>
      </w:r>
    </w:p>
  </w:footnote>
  <w:footnote w:id="866">
    <w:p w14:paraId="425E553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וכתבו ב"י ודרכ"מ דהכלי השני יש לו דין הראשון דאם פירשו בו בפנים דמותר, ט"ז (סק"ד).</w:t>
      </w:r>
    </w:p>
  </w:footnote>
  <w:footnote w:id="867">
    <w:p w14:paraId="37F7426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סוג צמח.</w:t>
      </w:r>
    </w:p>
  </w:footnote>
  <w:footnote w:id="868">
    <w:p w14:paraId="23BB3ED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בעודה מחוברת, שרץ הארץ היא ואסורה התולעת לאכול, דכיון דמהלכת בתוך הקישות והיא מחוברת בקרקע הוי כמהלכת על גבי קרקע, אבל התליעה לאחר מכאן מותרת עד שתצא לאויר, רש"י.</w:t>
      </w:r>
    </w:p>
  </w:footnote>
  <w:footnote w:id="869">
    <w:p w14:paraId="6166744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כוצונ"ש וכמין יתושין הן אלא שבעדשים זיזין שמן, רש"י.</w:t>
      </w:r>
    </w:p>
  </w:footnote>
  <w:footnote w:id="870">
    <w:p w14:paraId="3287AE2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דמותרים דלאו על הארץ שורצין אלא בתוך העדשה, רש"י.</w:t>
      </w:r>
    </w:p>
  </w:footnote>
  <w:footnote w:id="871">
    <w:p w14:paraId="1A309FE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מין קטנית צידרא"ש בלע"ז, רש"י.</w:t>
      </w:r>
    </w:p>
  </w:footnote>
  <w:footnote w:id="872">
    <w:p w14:paraId="567422C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דאסירי, רש"י.</w:t>
      </w:r>
    </w:p>
  </w:footnote>
  <w:footnote w:id="873">
    <w:p w14:paraId="406845A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שהתליעו תמרים עצמן, רש"י.</w:t>
      </w:r>
    </w:p>
  </w:footnote>
  <w:footnote w:id="874">
    <w:p w14:paraId="7B43F09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אסירי וסיעתא דשמואל, רש"י.</w:t>
      </w:r>
    </w:p>
  </w:footnote>
  <w:footnote w:id="875">
    <w:p w14:paraId="7871355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כלומר הא דשרי נמי באביה דכל כמה דלא נפקא לאויר לאו שרץ הארץ היא ולא תסייעיה, רש"י.</w:t>
      </w:r>
    </w:p>
  </w:footnote>
  <w:footnote w:id="876">
    <w:p w14:paraId="2A18CAF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המתלעת לאחר תלישתה דשריא לדברי הכל פירשה מתוך הפרי לארץ ולא ריחשה שמתה מיד בנפילתה, רש"י.</w:t>
      </w:r>
    </w:p>
  </w:footnote>
  <w:footnote w:id="877">
    <w:p w14:paraId="142E1BC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מי אמרי' כיון דלא הלכה לאו שורץ על הארץ הוא או דלמא לא בעינן שריצה, שורץ היינו רוחש ומנענע, רש"י.</w:t>
      </w:r>
    </w:p>
  </w:footnote>
  <w:footnote w:id="878">
    <w:p w14:paraId="47ED4D4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מי הויא ככולה או דלמא בעינן כולה, רש"י.</w:t>
      </w:r>
    </w:p>
  </w:footnote>
  <w:footnote w:id="879">
    <w:p w14:paraId="75BB8E4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פירשה מן הפרי תלוש לאויר וקודם שהגיע לארץ קלטה בפיו לבולעה, אם תימצי לומר פירשה ומתה מותרת משום דאינה ראויה לרחוש אבל חיה דראויה לרחוש לא, רש"י.</w:t>
      </w:r>
    </w:p>
  </w:footnote>
  <w:footnote w:id="880">
    <w:p w14:paraId="374D93E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מתוכה פירשה לגגה מי אמרי' היינו רביתיה או דלמא כשורץ על גבי דבר אחר דמי, רש"י.</w:t>
      </w:r>
    </w:p>
  </w:footnote>
  <w:footnote w:id="881">
    <w:p w14:paraId="362EFC2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אם תמצי לומר לגג תמרה כדבר אחר הוא גג גרעינתה מהו כל תולעים מגרעיני הפרי הן גדלים, רש"י.</w:t>
      </w:r>
    </w:p>
  </w:footnote>
  <w:footnote w:id="882">
    <w:p w14:paraId="438D113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ולא שרץ על גבה אלא מזו על זו, מי אמרי' כיון דלאו היינו אמה שורץ קרינא ביה, או דלמא אויר העולם בעינן, וכולהו בתלושין בעי להו, רש"י.</w:t>
      </w:r>
    </w:p>
  </w:footnote>
  <w:footnote w:id="883">
    <w:p w14:paraId="15DAD7D5" w14:textId="77777777" w:rsidR="004C5A3C" w:rsidRPr="00FF1D90" w:rsidRDefault="004C5A3C" w:rsidP="002C39F4">
      <w:pPr>
        <w:pStyle w:val="a5"/>
      </w:pPr>
      <w:r>
        <w:rPr>
          <w:rStyle w:val="a7"/>
        </w:rPr>
        <w:footnoteRef/>
      </w:r>
      <w:r>
        <w:rPr>
          <w:rtl/>
        </w:rPr>
        <w:t xml:space="preserve"> </w:t>
      </w:r>
      <w:r>
        <w:rPr>
          <w:rFonts w:asciiTheme="minorBidi" w:hAnsiTheme="minorBidi" w:hint="cs"/>
          <w:rtl/>
        </w:rPr>
        <w:t xml:space="preserve">וכ"כ </w:t>
      </w:r>
      <w:r w:rsidRPr="003024E5">
        <w:rPr>
          <w:rFonts w:asciiTheme="minorBidi" w:hAnsiTheme="minorBidi"/>
          <w:rtl/>
        </w:rPr>
        <w:t xml:space="preserve">סה"ת </w:t>
      </w:r>
      <w:r w:rsidRPr="003024E5">
        <w:rPr>
          <w:rFonts w:asciiTheme="minorBidi" w:hAnsiTheme="minorBidi"/>
          <w:sz w:val="16"/>
          <w:szCs w:val="16"/>
          <w:rtl/>
        </w:rPr>
        <w:t>(סי' לד, העתיקו דבריו סמ"ג [לאוין קלב] מרדכי [סי' תרמד] והגשע"ד [סי' מו סק"ד])</w:t>
      </w:r>
      <w:r>
        <w:rPr>
          <w:rFonts w:asciiTheme="minorBidi" w:hAnsiTheme="minorBidi" w:hint="cs"/>
          <w:rtl/>
        </w:rPr>
        <w:t xml:space="preserve"> בפירוש, דכל שפירש מת מותר.</w:t>
      </w:r>
    </w:p>
  </w:footnote>
  <w:footnote w:id="884">
    <w:p w14:paraId="0796C03A" w14:textId="77777777" w:rsidR="004C5A3C" w:rsidRDefault="004C5A3C" w:rsidP="002C39F4">
      <w:pPr>
        <w:pStyle w:val="a5"/>
        <w:rPr>
          <w:rtl/>
        </w:rPr>
      </w:pPr>
      <w:r>
        <w:rPr>
          <w:rStyle w:val="a7"/>
        </w:rPr>
        <w:footnoteRef/>
      </w:r>
      <w:r>
        <w:rPr>
          <w:rtl/>
        </w:rPr>
        <w:t xml:space="preserve"> </w:t>
      </w:r>
      <w:r>
        <w:rPr>
          <w:rFonts w:hint="cs"/>
          <w:rtl/>
        </w:rPr>
        <w:t>וכ"פ בסע' טז.</w:t>
      </w:r>
    </w:p>
  </w:footnote>
  <w:footnote w:id="885">
    <w:p w14:paraId="3D592D3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ר"ח </w:t>
      </w:r>
      <w:r w:rsidRPr="005C6730">
        <w:rPr>
          <w:rFonts w:asciiTheme="minorBidi" w:hAnsiTheme="minorBidi"/>
          <w:sz w:val="16"/>
          <w:szCs w:val="16"/>
          <w:rtl/>
        </w:rPr>
        <w:t xml:space="preserve">(כ"כ הה"מ בשמו) </w:t>
      </w:r>
      <w:r w:rsidRPr="005C6730">
        <w:rPr>
          <w:rFonts w:asciiTheme="minorBidi" w:hAnsiTheme="minorBidi"/>
          <w:rtl/>
        </w:rPr>
        <w:t xml:space="preserve">רי"ף </w:t>
      </w:r>
      <w:r w:rsidRPr="005C6730">
        <w:rPr>
          <w:rFonts w:asciiTheme="minorBidi" w:hAnsiTheme="minorBidi"/>
          <w:sz w:val="16"/>
          <w:szCs w:val="16"/>
          <w:rtl/>
        </w:rPr>
        <w:t>(כד., כ"כ הה"מ בשמו)</w:t>
      </w:r>
      <w:r w:rsidRPr="005C6730">
        <w:rPr>
          <w:rFonts w:asciiTheme="minorBidi" w:hAnsiTheme="minorBidi"/>
          <w:rtl/>
        </w:rPr>
        <w:t xml:space="preserve"> רמב"ם </w:t>
      </w:r>
      <w:r w:rsidRPr="005C6730">
        <w:rPr>
          <w:rFonts w:asciiTheme="minorBidi" w:hAnsiTheme="minorBidi"/>
          <w:sz w:val="16"/>
          <w:szCs w:val="16"/>
          <w:rtl/>
        </w:rPr>
        <w:t xml:space="preserve">(פ"ב הט"ז) </w:t>
      </w:r>
      <w:r w:rsidRPr="005C6730">
        <w:rPr>
          <w:rFonts w:asciiTheme="minorBidi" w:hAnsiTheme="minorBidi"/>
          <w:rtl/>
        </w:rPr>
        <w:t xml:space="preserve">ורשב"א </w:t>
      </w:r>
      <w:r w:rsidRPr="005C6730">
        <w:rPr>
          <w:rFonts w:asciiTheme="minorBidi" w:hAnsiTheme="minorBidi"/>
          <w:sz w:val="16"/>
          <w:szCs w:val="16"/>
          <w:rtl/>
        </w:rPr>
        <w:t>(תוה"ק ב"ג ש"ג פג., ארוך פד.)</w:t>
      </w:r>
      <w:r w:rsidRPr="005C6730">
        <w:rPr>
          <w:rFonts w:asciiTheme="minorBidi" w:hAnsiTheme="minorBidi"/>
          <w:rtl/>
        </w:rPr>
        <w:t>.</w:t>
      </w:r>
    </w:p>
  </w:footnote>
  <w:footnote w:id="886">
    <w:p w14:paraId="2129518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נ"ל דטעמיה משום דיליף לה משרצים שבכלים ושבבורות שאע"פ שהכלים והבורות פתוחים שוחה ושותה מהם ואינו חושש שמא פירשו וחזרו, ב"י.</w:t>
      </w:r>
      <w:r>
        <w:rPr>
          <w:rFonts w:asciiTheme="minorBidi" w:hAnsiTheme="minorBidi" w:hint="cs"/>
          <w:rtl/>
        </w:rPr>
        <w:t xml:space="preserve"> וכ' הת"ח (כלל מו ד"ו) דכן דעת סה"ת (סי' לה).</w:t>
      </w:r>
    </w:p>
  </w:footnote>
  <w:footnote w:id="887">
    <w:p w14:paraId="4929961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והכי יש לנהוג, מבוא שערים </w:t>
      </w:r>
      <w:r w:rsidRPr="005C6730">
        <w:rPr>
          <w:rFonts w:asciiTheme="minorBidi" w:hAnsiTheme="minorBidi"/>
          <w:sz w:val="16"/>
          <w:szCs w:val="16"/>
          <w:rtl/>
        </w:rPr>
        <w:t xml:space="preserve">(בהגשע"ד סק"ה) </w:t>
      </w:r>
      <w:r w:rsidRPr="005C6730">
        <w:rPr>
          <w:rFonts w:asciiTheme="minorBidi" w:hAnsiTheme="minorBidi"/>
          <w:rtl/>
        </w:rPr>
        <w:t xml:space="preserve">בשם מהרא"י ובשם תרוה"ד </w:t>
      </w:r>
      <w:r w:rsidRPr="005C6730">
        <w:rPr>
          <w:rFonts w:asciiTheme="minorBidi" w:hAnsiTheme="minorBidi"/>
          <w:sz w:val="16"/>
          <w:szCs w:val="16"/>
          <w:rtl/>
        </w:rPr>
        <w:t>(סי' קעא)</w:t>
      </w:r>
      <w:r w:rsidRPr="005C6730">
        <w:rPr>
          <w:rFonts w:asciiTheme="minorBidi" w:hAnsiTheme="minorBidi"/>
          <w:rtl/>
        </w:rPr>
        <w:t>. ודוקא בודאי מתולעים, אבל מספק אם יש בהם תולעים יש לעשות כמ"ש בשם הרא"ש למטה (טור עמ' שעד) ליתנם במים צוננין וכו', דרכ"מ (אות ג).</w:t>
      </w:r>
    </w:p>
  </w:footnote>
  <w:footnote w:id="888">
    <w:p w14:paraId="5B70A9D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ומ"מ צ"ע לדינא דאף שבכל בו שם כתב ג"כ בשם ר"ת כהרמב"ם, מ"מ דעת הסה"ת והמרדכי והסמ"ג (לאוין קלב) והגה"מ והסמ"ק (סי' ריב) והשערים ושאר פוסקים כדעת הרא"ש </w:t>
      </w:r>
      <w:r w:rsidRPr="005C6730">
        <w:rPr>
          <w:rFonts w:asciiTheme="minorBidi" w:hAnsiTheme="minorBidi"/>
          <w:sz w:val="16"/>
          <w:szCs w:val="16"/>
          <w:rtl/>
        </w:rPr>
        <w:t>(ומש"כ בת"ח</w:t>
      </w:r>
      <w:r w:rsidRPr="005C6730">
        <w:rPr>
          <w:rFonts w:asciiTheme="minorBidi" w:hAnsiTheme="minorBidi"/>
          <w:sz w:val="14"/>
          <w:szCs w:val="14"/>
          <w:rtl/>
        </w:rPr>
        <w:t xml:space="preserve"> [כלל מ"ו ד"ה כתב, ובכלל מ"ז ד"ב]</w:t>
      </w:r>
      <w:r w:rsidRPr="005C6730">
        <w:rPr>
          <w:rFonts w:asciiTheme="minorBidi" w:hAnsiTheme="minorBidi"/>
          <w:sz w:val="16"/>
          <w:szCs w:val="16"/>
          <w:rtl/>
        </w:rPr>
        <w:t xml:space="preserve"> בדעת הרא"ש- טעות נזדקר לפניו, עיי"ש)</w:t>
      </w:r>
      <w:r w:rsidRPr="005C6730">
        <w:rPr>
          <w:rFonts w:asciiTheme="minorBidi" w:hAnsiTheme="minorBidi"/>
          <w:rtl/>
        </w:rPr>
        <w:t xml:space="preserve"> וגם רי"ו כ' שגדולי המורים הסכימו לדעת הרא"ש, וכ"פ האו"ה ומהרש"ל (סי' קיב), וכ"נ דעת המחבר שכן עיקר, ולפיכך הביא מתחלה סברת הרא"ש בסתם ואח"כ סברת הרמב"ם בשם הי"א, וכן לקמן סעיף ח' וסעיף ט"ז סתם כסברת הרא"ש, וכמו שיתבאר שם, ואע"ג דבספרו ב"י לא הביא אלא דברי הרא"ש וכתב אח"כ אבל הרמב"ם כו' וכתב הה"מ שכך היא גירסת ההלכות כו'- מ"מ ממה שכתב על זה בס' בדק הבית שלו נראה שדעתו שסברת הרא"ש עיקר, ש"ך (סקי"ב).</w:t>
      </w:r>
    </w:p>
  </w:footnote>
  <w:footnote w:id="889">
    <w:p w14:paraId="0C310FC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הט"ז </w:t>
      </w:r>
      <w:r w:rsidRPr="005C6730">
        <w:rPr>
          <w:rFonts w:asciiTheme="minorBidi" w:hAnsiTheme="minorBidi"/>
          <w:sz w:val="16"/>
          <w:szCs w:val="16"/>
          <w:rtl/>
        </w:rPr>
        <w:t xml:space="preserve">(סק"ו) </w:t>
      </w:r>
      <w:r w:rsidRPr="005C6730">
        <w:rPr>
          <w:rFonts w:asciiTheme="minorBidi" w:hAnsiTheme="minorBidi"/>
          <w:rtl/>
        </w:rPr>
        <w:t>דבתוה"ב הארוך ביאר טעמו- שאין הדבר מצוי שיחזרו לחוריהון אחר שיצאו, כדמשמע בא"ט</w:t>
      </w:r>
      <w:r w:rsidRPr="00FA2077">
        <w:rPr>
          <w:rFonts w:asciiTheme="minorBidi" w:hAnsiTheme="minorBidi" w:hint="cs"/>
          <w:sz w:val="16"/>
          <w:szCs w:val="16"/>
          <w:rtl/>
        </w:rPr>
        <w:t xml:space="preserve"> (סז.)</w:t>
      </w:r>
      <w:r w:rsidRPr="005C6730">
        <w:rPr>
          <w:rFonts w:asciiTheme="minorBidi" w:hAnsiTheme="minorBidi"/>
          <w:rtl/>
        </w:rPr>
        <w:t xml:space="preserve"> דלא חיישינן דלמא פריש אדופן הכלי מבחוץ וחזר להכלי, אלמא לא חיישינן שמא פירש ממקום רביתיה והדר לתוכו. </w:t>
      </w:r>
      <w:r w:rsidRPr="005C6730">
        <w:rPr>
          <w:rFonts w:asciiTheme="minorBidi" w:hAnsiTheme="minorBidi"/>
          <w:sz w:val="16"/>
          <w:szCs w:val="16"/>
          <w:rtl/>
        </w:rPr>
        <w:t xml:space="preserve">(והוסיף הט"ז שמדברי הרא"ש שמביא ב"י </w:t>
      </w:r>
      <w:r>
        <w:rPr>
          <w:rFonts w:asciiTheme="minorBidi" w:hAnsiTheme="minorBidi" w:hint="cs"/>
          <w:sz w:val="16"/>
          <w:szCs w:val="16"/>
          <w:rtl/>
        </w:rPr>
        <w:t>(</w:t>
      </w:r>
      <w:r w:rsidRPr="005C6730">
        <w:rPr>
          <w:rFonts w:asciiTheme="minorBidi" w:hAnsiTheme="minorBidi"/>
          <w:sz w:val="16"/>
          <w:szCs w:val="16"/>
          <w:rtl/>
        </w:rPr>
        <w:t>ד"ה כתב הרא"ש</w:t>
      </w:r>
      <w:r>
        <w:rPr>
          <w:rFonts w:asciiTheme="minorBidi" w:hAnsiTheme="minorBidi" w:hint="cs"/>
          <w:sz w:val="16"/>
          <w:szCs w:val="16"/>
          <w:rtl/>
        </w:rPr>
        <w:t>, וז"ל</w:t>
      </w:r>
      <w:r w:rsidRPr="005C6730">
        <w:rPr>
          <w:rFonts w:asciiTheme="minorBidi" w:hAnsiTheme="minorBidi"/>
          <w:sz w:val="16"/>
          <w:szCs w:val="16"/>
          <w:rtl/>
        </w:rPr>
        <w:t>- ולקמן בשמעתין משמע דכל היכא דאי פריש אסור חיישינן דילמא פריש, ע"כ</w:t>
      </w:r>
      <w:r>
        <w:rPr>
          <w:rFonts w:asciiTheme="minorBidi" w:hAnsiTheme="minorBidi" w:hint="cs"/>
          <w:sz w:val="16"/>
          <w:szCs w:val="16"/>
          <w:rtl/>
        </w:rPr>
        <w:t>)</w:t>
      </w:r>
      <w:r w:rsidRPr="005C6730">
        <w:rPr>
          <w:rFonts w:asciiTheme="minorBidi" w:hAnsiTheme="minorBidi"/>
          <w:sz w:val="16"/>
          <w:szCs w:val="16"/>
          <w:rtl/>
        </w:rPr>
        <w:t xml:space="preserve"> משמע כיש אוסרין האלו, וא"כ תמוה דעת הטור שלא הביא כאן רק דעת הרשב"א שהוא להיתר ולא הביא דעת אביו לאיסור, וגם לעיל מיניה הביא הטור בפירוש שלא כדעת אביו שכ'- אבל מסתמא אין לחוש כו', ותו דמשמע שפוסק הטור כלישנא קמא של הרא"ש דאפילו לשאוב בכלי מותר מן בורות שיחין ומערות כיון דלא חייש לשמא פירש, היה לו להביא דאפי' בכלי שואב ולמה לא כ' רק שוחה ושותה, </w:t>
      </w:r>
      <w:r w:rsidRPr="005C6730">
        <w:rPr>
          <w:rFonts w:asciiTheme="minorBidi" w:hAnsiTheme="minorBidi"/>
          <w:sz w:val="16"/>
          <w:szCs w:val="16"/>
          <w:u w:val="single"/>
          <w:rtl/>
        </w:rPr>
        <w:t>ונ"ל דהכל ניחא</w:t>
      </w:r>
      <w:r w:rsidRPr="005C6730">
        <w:rPr>
          <w:rFonts w:asciiTheme="minorBidi" w:hAnsiTheme="minorBidi"/>
          <w:sz w:val="16"/>
          <w:szCs w:val="16"/>
          <w:rtl/>
        </w:rPr>
        <w:t>-</w:t>
      </w:r>
      <w:r>
        <w:rPr>
          <w:rFonts w:asciiTheme="minorBidi" w:hAnsiTheme="minorBidi" w:hint="cs"/>
          <w:sz w:val="16"/>
          <w:szCs w:val="16"/>
          <w:rtl/>
        </w:rPr>
        <w:t xml:space="preserve"> </w:t>
      </w:r>
      <w:r w:rsidRPr="005C6730">
        <w:rPr>
          <w:rFonts w:asciiTheme="minorBidi" w:hAnsiTheme="minorBidi"/>
          <w:sz w:val="16"/>
          <w:szCs w:val="16"/>
          <w:rtl/>
        </w:rPr>
        <w:t>דבכ"מ לא מחזקינן ריעותא לומר שפירש כיון שאין ריעותא לפנינו, ולא חיישי' אלא דוקא במקום שע"י מעשה האדם יש חשש זה, כגון במסנן דיש סברא שע"י סינון שלו באו התולעים על הקסמין, משא"כ בההיא דפירש שנקוב לחוץ שלא נעשה כאן שום פעולה שניחוש לפרישה ע"כ לא מחזקינן ריעותא, מש"ה כ' הרא"ש שפיר דבשואב בכלי מבורות כו' יש ג"כ סברא שבשעת התחיבה לשם באו התולעים על גבו ואפילו אם באו לצד של פנים יש איסור כיון שבאו מהמים של הבור דאין היתר אלא אם באו בפנים מהמים שבכלי, וע"כ שפיר אמר הרא"ש ולקמן בשמעתין גבי סינון אמרי' דכל היכא דפירש אסור חיישינן שמא פירש, והיינו במקום שיש סברא בזה מצד מעשה האדם, וע"כ פסק הטור דוקא שוחה ושותה מבור אבל לא בכלי, וע"כ אמר הטור שפיר אבל מסתמא אין לחוש, דהיינו אם לא נעשה שום מעשה המביא לידי חשש שמא פירש)</w:t>
      </w:r>
      <w:r w:rsidRPr="009C7F7D">
        <w:rPr>
          <w:rFonts w:asciiTheme="minorBidi" w:hAnsiTheme="minorBidi" w:hint="cs"/>
          <w:color w:val="FF0000"/>
          <w:sz w:val="16"/>
          <w:szCs w:val="16"/>
          <w:rtl/>
        </w:rPr>
        <w:t xml:space="preserve">(עי' בב"י שחילק חילוק אחר והוא דכל היכא דהיינו רביתייהו לא חיישינן, והיכא דלא </w:t>
      </w:r>
      <w:r w:rsidRPr="009C7F7D">
        <w:rPr>
          <w:rFonts w:asciiTheme="minorBidi" w:hAnsiTheme="minorBidi"/>
          <w:color w:val="FF0000"/>
          <w:sz w:val="16"/>
          <w:szCs w:val="16"/>
          <w:rtl/>
        </w:rPr>
        <w:t>–</w:t>
      </w:r>
      <w:r w:rsidRPr="009C7F7D">
        <w:rPr>
          <w:rFonts w:asciiTheme="minorBidi" w:hAnsiTheme="minorBidi" w:hint="cs"/>
          <w:color w:val="FF0000"/>
          <w:sz w:val="16"/>
          <w:szCs w:val="16"/>
          <w:rtl/>
        </w:rPr>
        <w:t xml:space="preserve"> חיישינן)</w:t>
      </w:r>
      <w:r>
        <w:rPr>
          <w:rFonts w:asciiTheme="minorBidi" w:hAnsiTheme="minorBidi" w:hint="cs"/>
          <w:rtl/>
        </w:rPr>
        <w:t>.</w:t>
      </w:r>
    </w:p>
  </w:footnote>
  <w:footnote w:id="890">
    <w:p w14:paraId="5137EBC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דחיישינן שמא פירשו וחזרו, ול"ד לשרצים שבכלי בסע' א דלא חיישינן להכי, דהכא כיון שחורו נקוב לחוץ הוי קצת הוכחה שפירשו וחזרו, א"נ דרך התולעים לפרוש חוץ לפרי ולחזור ולא בכלי, ש"ך (סקי"ג). וכ' הט"ז (סק"ו) עוד טעם ליש אוסרים והוא דהכא בפרישה כל דהו יש איסור כשפורשים רק מהחור לחוץ, משא"כ לעיל בפרישה מהמשקה שבתוך הכלי לדופן מבחוץ.</w:t>
      </w:r>
    </w:p>
  </w:footnote>
  <w:footnote w:id="891">
    <w:p w14:paraId="695C6BD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מהר"ח או"ז </w:t>
      </w:r>
      <w:r w:rsidRPr="005C6730">
        <w:rPr>
          <w:rFonts w:asciiTheme="minorBidi" w:hAnsiTheme="minorBidi"/>
          <w:sz w:val="16"/>
          <w:szCs w:val="16"/>
          <w:rtl/>
        </w:rPr>
        <w:t>(בדרשות הל' פסח עמ' פב ד"ה ותולעים, הביאו בהגשע"ד)</w:t>
      </w:r>
      <w:r w:rsidRPr="005C6730">
        <w:rPr>
          <w:rFonts w:asciiTheme="minorBidi" w:hAnsiTheme="minorBidi"/>
          <w:rtl/>
        </w:rPr>
        <w:t xml:space="preserve"> </w:t>
      </w:r>
      <w:r w:rsidRPr="003024E5">
        <w:rPr>
          <w:rFonts w:asciiTheme="minorBidi" w:hAnsiTheme="minorBidi"/>
          <w:rtl/>
        </w:rPr>
        <w:t xml:space="preserve">רא"ש </w:t>
      </w:r>
      <w:r w:rsidRPr="003024E5">
        <w:rPr>
          <w:rFonts w:asciiTheme="minorBidi" w:hAnsiTheme="minorBidi"/>
          <w:sz w:val="16"/>
          <w:szCs w:val="16"/>
          <w:rtl/>
        </w:rPr>
        <w:t>(כלל כ ד</w:t>
      </w:r>
      <w:r>
        <w:rPr>
          <w:rFonts w:asciiTheme="minorBidi" w:hAnsiTheme="minorBidi" w:hint="cs"/>
          <w:sz w:val="16"/>
          <w:szCs w:val="16"/>
          <w:rtl/>
        </w:rPr>
        <w:t>"</w:t>
      </w:r>
      <w:r w:rsidRPr="003024E5">
        <w:rPr>
          <w:rFonts w:asciiTheme="minorBidi" w:hAnsiTheme="minorBidi"/>
          <w:sz w:val="16"/>
          <w:szCs w:val="16"/>
          <w:rtl/>
        </w:rPr>
        <w:t>ג)</w:t>
      </w:r>
      <w:r>
        <w:rPr>
          <w:rFonts w:asciiTheme="minorBidi" w:hAnsiTheme="minorBidi" w:hint="cs"/>
          <w:rtl/>
        </w:rPr>
        <w:t xml:space="preserve"> </w:t>
      </w:r>
      <w:r w:rsidRPr="005C6730">
        <w:rPr>
          <w:rFonts w:asciiTheme="minorBidi" w:hAnsiTheme="minorBidi"/>
          <w:rtl/>
        </w:rPr>
        <w:t xml:space="preserve">והגשע"ד </w:t>
      </w:r>
      <w:r w:rsidRPr="005C6730">
        <w:rPr>
          <w:rFonts w:asciiTheme="minorBidi" w:hAnsiTheme="minorBidi"/>
          <w:sz w:val="16"/>
          <w:szCs w:val="16"/>
          <w:rtl/>
        </w:rPr>
        <w:t>(סי' נב סק"א)</w:t>
      </w:r>
      <w:r w:rsidRPr="005C6730">
        <w:rPr>
          <w:rFonts w:asciiTheme="minorBidi" w:hAnsiTheme="minorBidi"/>
          <w:rtl/>
        </w:rPr>
        <w:t>.</w:t>
      </w:r>
      <w:r>
        <w:rPr>
          <w:rFonts w:asciiTheme="minorBidi" w:hAnsiTheme="minorBidi" w:hint="cs"/>
          <w:rtl/>
        </w:rPr>
        <w:t xml:space="preserve"> וכן משמע מדברי האגודה </w:t>
      </w:r>
      <w:r>
        <w:rPr>
          <w:rFonts w:asciiTheme="minorBidi" w:hAnsiTheme="minorBidi" w:hint="cs"/>
          <w:sz w:val="16"/>
          <w:szCs w:val="16"/>
          <w:rtl/>
        </w:rPr>
        <w:t>([</w:t>
      </w:r>
      <w:r w:rsidRPr="003024E5">
        <w:rPr>
          <w:rFonts w:asciiTheme="minorBidi" w:hAnsiTheme="minorBidi"/>
          <w:sz w:val="16"/>
          <w:szCs w:val="16"/>
          <w:rtl/>
        </w:rPr>
        <w:t>פא"ט סי' עב</w:t>
      </w:r>
      <w:r>
        <w:rPr>
          <w:rFonts w:asciiTheme="minorBidi" w:hAnsiTheme="minorBidi" w:hint="cs"/>
          <w:sz w:val="16"/>
          <w:szCs w:val="16"/>
          <w:rtl/>
        </w:rPr>
        <w:t xml:space="preserve">] שכתב וז"ל- </w:t>
      </w:r>
      <w:r w:rsidRPr="00FC602B">
        <w:rPr>
          <w:rFonts w:asciiTheme="minorBidi" w:hAnsiTheme="minorBidi"/>
          <w:sz w:val="16"/>
          <w:szCs w:val="16"/>
          <w:rtl/>
        </w:rPr>
        <w:t xml:space="preserve">תולעים הנמצאים בקמח או בתבואה מותרים וכ"מ במנחות פרק כל קרבנות צבור </w:t>
      </w:r>
      <w:r w:rsidRPr="00FC602B">
        <w:rPr>
          <w:rFonts w:asciiTheme="minorBidi" w:hAnsiTheme="minorBidi"/>
          <w:sz w:val="12"/>
          <w:szCs w:val="12"/>
          <w:rtl/>
        </w:rPr>
        <w:t xml:space="preserve">(פה:) </w:t>
      </w:r>
      <w:r w:rsidRPr="00FC602B">
        <w:rPr>
          <w:rFonts w:asciiTheme="minorBidi" w:hAnsiTheme="minorBidi"/>
          <w:sz w:val="16"/>
          <w:szCs w:val="16"/>
          <w:rtl/>
        </w:rPr>
        <w:t>דקאמר סולת שהתליע רובו ותבואה שהתליעה רובה פסולים מדאסר למנחות מכלל דלהדיוט שרי, אמנם יש לדחות דהתליע ואין התולעים עוד בתוכו</w:t>
      </w:r>
      <w:r w:rsidRPr="00FC602B">
        <w:rPr>
          <w:rFonts w:asciiTheme="minorBidi" w:hAnsiTheme="minorBidi" w:hint="cs"/>
          <w:sz w:val="16"/>
          <w:szCs w:val="16"/>
          <w:rtl/>
        </w:rPr>
        <w:t>,</w:t>
      </w:r>
      <w:r w:rsidRPr="00FC602B">
        <w:rPr>
          <w:rFonts w:asciiTheme="minorBidi" w:hAnsiTheme="minorBidi"/>
          <w:sz w:val="16"/>
          <w:szCs w:val="16"/>
          <w:rtl/>
        </w:rPr>
        <w:t xml:space="preserve"> ואם נשארו בנפה וחזרו ונפלו לתוכה אסורים</w:t>
      </w:r>
      <w:r w:rsidRPr="00FC602B">
        <w:rPr>
          <w:rFonts w:asciiTheme="minorBidi" w:hAnsiTheme="minorBidi" w:hint="cs"/>
          <w:sz w:val="16"/>
          <w:szCs w:val="16"/>
          <w:rtl/>
        </w:rPr>
        <w:t>)</w:t>
      </w:r>
      <w:r>
        <w:rPr>
          <w:rFonts w:asciiTheme="minorBidi" w:hAnsiTheme="minorBidi" w:hint="cs"/>
          <w:rtl/>
        </w:rPr>
        <w:t>.</w:t>
      </w:r>
    </w:p>
  </w:footnote>
  <w:footnote w:id="892">
    <w:p w14:paraId="19A1BBF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w:t>
      </w:r>
      <w:r>
        <w:rPr>
          <w:rFonts w:asciiTheme="minorBidi" w:hAnsiTheme="minorBidi" w:hint="cs"/>
          <w:rtl/>
        </w:rPr>
        <w:t xml:space="preserve">וז"ל מהר"ח או"ז- </w:t>
      </w:r>
      <w:r w:rsidRPr="003024E5">
        <w:rPr>
          <w:rFonts w:asciiTheme="minorBidi" w:hAnsiTheme="minorBidi"/>
          <w:rtl/>
        </w:rPr>
        <w:t>שמעתי שכ</w:t>
      </w:r>
      <w:r>
        <w:rPr>
          <w:rFonts w:asciiTheme="minorBidi" w:hAnsiTheme="minorBidi" w:hint="cs"/>
          <w:rtl/>
        </w:rPr>
        <w:t>'</w:t>
      </w:r>
      <w:r w:rsidRPr="003024E5">
        <w:rPr>
          <w:rFonts w:asciiTheme="minorBidi" w:hAnsiTheme="minorBidi"/>
          <w:rtl/>
        </w:rPr>
        <w:t xml:space="preserve"> מהר"ר יצחק ב"ר מרדכי </w:t>
      </w:r>
      <w:r>
        <w:rPr>
          <w:rFonts w:asciiTheme="minorBidi" w:hAnsiTheme="minorBidi" w:hint="cs"/>
          <w:sz w:val="14"/>
          <w:szCs w:val="14"/>
          <w:rtl/>
        </w:rPr>
        <w:t>{</w:t>
      </w:r>
      <w:r w:rsidRPr="003024E5">
        <w:rPr>
          <w:rFonts w:asciiTheme="minorBidi" w:hAnsiTheme="minorBidi"/>
          <w:sz w:val="14"/>
          <w:szCs w:val="14"/>
          <w:rtl/>
        </w:rPr>
        <w:t>ריב"ם- מבעלי התוס'</w:t>
      </w:r>
      <w:r>
        <w:rPr>
          <w:rFonts w:asciiTheme="minorBidi" w:hAnsiTheme="minorBidi" w:hint="cs"/>
          <w:sz w:val="14"/>
          <w:szCs w:val="14"/>
          <w:rtl/>
        </w:rPr>
        <w:t>}</w:t>
      </w:r>
      <w:r w:rsidRPr="003024E5">
        <w:rPr>
          <w:rFonts w:asciiTheme="minorBidi" w:hAnsiTheme="minorBidi"/>
          <w:rtl/>
        </w:rPr>
        <w:t xml:space="preserve"> בפסקיו שקמח שהתליע בכד אפילו אם פירשו התולעים לכותלי הכד וחזרו לתוך הקמח שמותרים כמו משקין שהתליעו ופירשו לדופני החבית, ואומר אני כי שגגה היא כי לֵשַם יש ייתור מכל אשר במים לרבות בורות שיחין ומערות ששוחה ושותה, אבל יבחושין שבכליסין וזיזין שבעדשים אפילו פירשו מקצתן לאויר העולם בעיא היא ולא איפשיטא, וע"כ איסור גמור הוא, ושמעתי שא"מ</w:t>
      </w:r>
      <w:r w:rsidRPr="003024E5">
        <w:rPr>
          <w:rFonts w:asciiTheme="minorBidi" w:hAnsiTheme="minorBidi"/>
          <w:sz w:val="16"/>
          <w:szCs w:val="16"/>
          <w:rtl/>
        </w:rPr>
        <w:t xml:space="preserve"> {אבא מארי- האו"ז}</w:t>
      </w:r>
      <w:r w:rsidRPr="003024E5">
        <w:rPr>
          <w:rFonts w:asciiTheme="minorBidi" w:hAnsiTheme="minorBidi"/>
          <w:rtl/>
        </w:rPr>
        <w:t xml:space="preserve"> עשה מעשה כן שהתליעו חטים וצוה להוליכן לנהר דונאי ולהשליכן בו ולא רצה להתיר למכור לגוי פן יאפה פת וימכרנו לישראל.</w:t>
      </w:r>
      <w:r>
        <w:rPr>
          <w:rFonts w:asciiTheme="minorBidi" w:hAnsiTheme="minorBidi" w:hint="cs"/>
          <w:rtl/>
        </w:rPr>
        <w:t xml:space="preserve"> עכ"ל. </w:t>
      </w:r>
      <w:r w:rsidRPr="005C6730">
        <w:rPr>
          <w:rFonts w:asciiTheme="minorBidi" w:hAnsiTheme="minorBidi"/>
          <w:rtl/>
        </w:rPr>
        <w:t>וכן קיבל מהרי"ב ממהרי"ש</w:t>
      </w:r>
      <w:r>
        <w:rPr>
          <w:rFonts w:asciiTheme="minorBidi" w:hAnsiTheme="minorBidi" w:hint="cs"/>
          <w:rtl/>
        </w:rPr>
        <w:t>, ב"י</w:t>
      </w:r>
      <w:r w:rsidRPr="005C6730">
        <w:rPr>
          <w:rFonts w:asciiTheme="minorBidi" w:hAnsiTheme="minorBidi"/>
          <w:rtl/>
        </w:rPr>
        <w:t>.</w:t>
      </w:r>
    </w:p>
  </w:footnote>
  <w:footnote w:id="893">
    <w:p w14:paraId="6CB5010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הט"ז (סק"ח) דנראה דאותן שס"ל בסעיף ד' דלא חיישינן שמא פירשו ואפי' חורו נקוב לחוץ כ"ש דלא חשו כאן, דהתם יש ריעותא לפנינו שיש נקב נעשה ע"י התולעת ואפ"ה לא חיישי' שמא פירשו אפי' מקצתו, ע"כ יש תימה על המחבר בשו"ע שפסק לעיל לקולא וכאן לחומרא, וכבר פסק רמ"א גם לעיל להחמיר.</w:t>
      </w:r>
    </w:p>
  </w:footnote>
  <w:footnote w:id="894">
    <w:p w14:paraId="76F4F42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הט"ז (סק"ח) דנראה פשוט שס"ל כהמתירים דלעיל דלא חיישינן שמא פירשו, נמצא לדידן ודאי חיישינן </w:t>
      </w:r>
      <w:r w:rsidRPr="00FC602B">
        <w:rPr>
          <w:rFonts w:asciiTheme="minorBidi" w:hAnsiTheme="minorBidi" w:hint="cs"/>
          <w:sz w:val="16"/>
          <w:szCs w:val="16"/>
          <w:rtl/>
        </w:rPr>
        <w:t>(</w:t>
      </w:r>
      <w:r w:rsidRPr="00FC602B">
        <w:rPr>
          <w:rFonts w:asciiTheme="minorBidi" w:hAnsiTheme="minorBidi"/>
          <w:sz w:val="16"/>
          <w:szCs w:val="16"/>
          <w:rtl/>
        </w:rPr>
        <w:t>וכתבתי זה לפי שמו"ח ז"ל הביא ראיה מזה להתיר המילבי"ן קטנים שבקמח וחילק בין גדולים קצת לקטנים, ותמיה מאד בעיני דלא נמצא מי שמתיר בתולעים שבקמח, רק באגודה בשם רוקח כתב שמתיר והוא מטעם דלא חייש שמא פירשו ואנן קי"ל דחיישינן שמא פירשו, כמ"ש בתרוה"ד סימן קע"א דהכי קי"ל בפירות, וע"כ אין שום חילוק בין המילבי"ן בזה</w:t>
      </w:r>
      <w:r>
        <w:rPr>
          <w:rFonts w:asciiTheme="minorBidi" w:hAnsiTheme="minorBidi" w:hint="cs"/>
          <w:sz w:val="16"/>
          <w:szCs w:val="16"/>
          <w:rtl/>
        </w:rPr>
        <w:t>)</w:t>
      </w:r>
      <w:r w:rsidRPr="005C6730">
        <w:rPr>
          <w:rFonts w:asciiTheme="minorBidi" w:hAnsiTheme="minorBidi"/>
          <w:rtl/>
        </w:rPr>
        <w:t>. אך הפר"ח (סקי"ז) כ' דכיון שרבו הפוסקים המתירים תולעים הנמצאים בקמח, מצינו למיסמך עלייהו בהפסד מרובה ובלבד שהיה מונח בכד, אבל אם מונח על גבי קרקע והתליע הדבר ברור דלכו"ע יש לחוש דילמא פריש ושריץ על הארץ והדר.</w:t>
      </w:r>
    </w:p>
  </w:footnote>
  <w:footnote w:id="895">
    <w:p w14:paraId="2E48811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 הרא"ש- שקורין מילוואי"ן, והיינו דוקא במילווי"ן שהם קטנים שא"א לנפות הקמח בנפה וכברה כדי שישארו התולעים למעלה, אבל ודאי אם נמצאו בקמח או בשאר דברים תולעים גדולים בענין שאפשר לבררם בנפה ובכברה או שאר דברים ודאי דהמאכל מותר וכדלקמן ס"ט בהג"ה, ש"ך (סקי"ד).</w:t>
      </w:r>
    </w:p>
  </w:footnote>
  <w:footnote w:id="896">
    <w:p w14:paraId="2E8E583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לאו דוקא, דה"ה אם הקמח מונח בכלי דאסור, דחיישינן שמא פרשו לדופני הכלי מבפנים כדלעיל ס"א, דדוקא בדבר של משקה הוא דאמרי' בס"א שמותרים כשפירשו בדופני הכלי מבפנים שנתרבה מכל אשר במים משא"כ בדבר שאינו של משקה והכי איתא בהגשע"ד, וזהו שכתב הרב בהג"ה או שאר דברים שאינו של משקה, ש"ך (סקט"ו).</w:t>
      </w:r>
    </w:p>
  </w:footnote>
  <w:footnote w:id="897">
    <w:p w14:paraId="25DAA9D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דכיון שמי שקונה מגוי דברים שאין דרכם להתליע לא צריך לבדוק כ"ז שלא ראה שום ריעותא, חיישינן שמא יקנה ולא יבדוק ויכשל, ע"פ ט"ז (סק"ט). אבל הש"ך (סקט"ז) כתב דמיירי שימכרנו לישראל בענין שאין האיסור ניכר, כגון קמח יעשה ממנו פת וימכרנו לישראל, וכן מלח יתננו בפת או שאר דברים, ע"כ. ושני הטעמים אמת לכן יש לחוש לשניהם, ע"פ פר"ח (סקי"ח). </w:t>
      </w:r>
    </w:p>
  </w:footnote>
  <w:footnote w:id="898">
    <w:p w14:paraId="50B28CF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הב"ח על זה דרמ"א לא דק דאין איסור במכירה לעכו"ם אלא בקמח שמא יאפה פת וימכרנו לישראל, אבל לא במלח וכן במיני קטניות כגון היר"ז וגרויפי"ן או מיני פירות כגון פלוימי"ן וראזיינ"י דאין לחוש שמא ימכור לישראל כיון דדרכן להתליע אסור לאוכלן עד שיבדוק תחלה, וראייה מתשו' הר"ן (סי' נז ס"ח) שסיים אבל כגון זה שרישומן ניכר ונתפרסם בעירם שרי למכרן לעכו"ם.</w:t>
      </w:r>
    </w:p>
    <w:p w14:paraId="6CD70D90" w14:textId="77777777" w:rsidR="004C5A3C" w:rsidRPr="005C6730" w:rsidRDefault="004C5A3C" w:rsidP="002C39F4">
      <w:pPr>
        <w:pStyle w:val="a5"/>
        <w:rPr>
          <w:rFonts w:asciiTheme="minorBidi" w:hAnsiTheme="minorBidi"/>
          <w:rtl/>
        </w:rPr>
      </w:pPr>
      <w:r w:rsidRPr="005C6730">
        <w:rPr>
          <w:rFonts w:asciiTheme="minorBidi" w:hAnsiTheme="minorBidi"/>
          <w:rtl/>
        </w:rPr>
        <w:t xml:space="preserve">פי' שיש לחוש שימכרנו אח"כ לישראל בענין שלא יהא האיסור ניכר, כגון קמח יעשה ממנו פת וימכרנו לישראל, וכן מלח יתננו בפת או שאר דברים וימכרנו לישראל, אבל דבר שהאיסור ניכר מותר למכרו לעכו"ם, וכמ"ש הרב בהג"ה סי' נ"ז סעיף כ"א דהא חזי ליה הישראל, והוא פשוט, רק שבב"ח כ' שהרב לא דק שאין איסור בדבר למכרו לעכו"ם רק בקמח דשמא יאפנו וימכרנו לישראל אבל לא במלח שהרי יבדקנו תחלה, ע"כ, ולא עמדתי על סוף דעתו שודאי הרב דקדק יפה שהרי גם במלח ושאר דברים איכא למיחש שמא יתננו בפת או בדגים מלוחים או בהערינ"ג או בכבשים שמותר ליקח מהן וכדלקמן סי' קי"ד וכה"ג טובא </w:t>
      </w:r>
      <w:r w:rsidRPr="005C6730">
        <w:rPr>
          <w:rFonts w:asciiTheme="minorBidi" w:hAnsiTheme="minorBidi"/>
          <w:sz w:val="16"/>
          <w:szCs w:val="16"/>
          <w:rtl/>
        </w:rPr>
        <w:t>(גם מ"ש שהרי יבדקנו תחלה ליתא דודאי מלח אין דרכו להתליע כלל וכדאיתא נמי בפ"ק דבכורות גבי סבי דבי אתונא וכל דבר שאין דרכו להתליע א"צ בדיקה והכא מיירי שנמצאו תולעים במלח שבאו מעלמא ואגב שיטפא נקטי' בהדי אינך אלא דמטעם אחר לא חיישינן שמא ימכרנו לישראל בעין דמסתמא אם יהיו בו תולעים קא חזי להו הישראל)</w:t>
      </w:r>
      <w:r w:rsidRPr="005C6730">
        <w:rPr>
          <w:rFonts w:asciiTheme="minorBidi" w:hAnsiTheme="minorBidi"/>
          <w:rtl/>
        </w:rPr>
        <w:t>. וגם הט"ז (סק"ט) דחה דברי הב"ח עיי"ש.</w:t>
      </w:r>
    </w:p>
  </w:footnote>
  <w:footnote w:id="899">
    <w:p w14:paraId="113036B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והא דכתב הרב בהג"ה ס"ס נ"ז דבספק טריפות יש שמכשירין אותו טריפות אע"ג דקי"ל לאוסרו מ"מ מותר למכרו לגוי דאיכא תרי ספיקי, חדא שמא הלכה כמאן דמכשיר, ואת"ל כמאן דאוסר שמא לא ימכרנו לישראל, וא"כ ה"נ איכא תרי ספיקי, שמא לא פירש, ואת"ל פירש שמא לא ימכרנו לישראל, שאני הכא כיון דהוא אסור לכ"ע וכדמחלק הת"ה שהבאתי בס"ס נ"ז ואע"ג דבהגשע"ד (סי' נב אות ב) כתב ע"ש ריב"ם להתיר ומביאו ב"י וכ"כ באגודה בשם הרוקח ומביאו בת"ח סוף כלל מ"ו, מ"מ בטלי הנך נגד כל הפוסקים, ועוד שבהגשע"ד שם כתב שזהו שגגה ע"ש ולא אמרי' דסמכינן אמאן דמכשיר אלא היכא דאין הכרע בדבר וגם אין כל הפוסקים חולקים אהמכשיר משא"כ הכא, א"נ שאני הכא כיון דמהר"מ גופיה אסרן למכרן לגוי וכן שאר פוסקים דלא אמרינן דמותר למכרן לגוי אלא היכא דגם האוסרים לא הזכירו בדבריהם שאסור למוכרן לגוי דאפשר דהם עצמם היו סומכין אהמתירין למכרו לגוי משא"כ הכא, ועוד דכבר כתבתי בס"ס נ"ז דלא אמרינן הכי אלא דוקא בספק דרוסה וכה"ג הואיל ויש בלא"ה כמה צדדים להתיר ע"ש וע"ל ס"ס כ"ג וסי' קי"ב ובמ"ש שם ובסי' קמ"ב סק"ח, ש"ך (סקי"ח).</w:t>
      </w:r>
    </w:p>
  </w:footnote>
  <w:footnote w:id="900">
    <w:p w14:paraId="01B0BA0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כדקיי"ל בהל' פסח </w:t>
      </w:r>
      <w:r w:rsidRPr="005C6730">
        <w:rPr>
          <w:rFonts w:asciiTheme="minorBidi" w:hAnsiTheme="minorBidi"/>
          <w:sz w:val="16"/>
          <w:szCs w:val="16"/>
          <w:rtl/>
        </w:rPr>
        <w:t>(או"ח סי' תסז סע' א)</w:t>
      </w:r>
      <w:r w:rsidRPr="005C6730">
        <w:rPr>
          <w:rFonts w:asciiTheme="minorBidi" w:hAnsiTheme="minorBidi"/>
          <w:rtl/>
        </w:rPr>
        <w:t>- דגן שנטבע בנהר או שנפל עליו מים, כשם שאסור לאכלו כך אסור לקיימו, אלא מוכרו לישראל  ומודיעו, כדי שיאכלנו קודם הפסח; ואם מכרו לאינו יהודי קודם פסח, מוכר מעט לכל אחד ואחד כדי שיכלה קודם הפסח, שמא יחזור האינו יהודי וימכרנו לישראל.</w:t>
      </w:r>
    </w:p>
  </w:footnote>
  <w:footnote w:id="901">
    <w:p w14:paraId="73DCFE9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וכ"כ בנו של הש"ך בנקודות הכסף (אות א) וחלק על אביו, והשאיר בצ"ע.</w:t>
      </w:r>
    </w:p>
  </w:footnote>
  <w:footnote w:id="902">
    <w:p w14:paraId="00210B6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ואולי לא כתב הש"ך כן אלא אקמח, אבל המלח אפילו מועט אסור.</w:t>
      </w:r>
    </w:p>
  </w:footnote>
  <w:footnote w:id="903">
    <w:p w14:paraId="0EC05A7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רק שלא ישהנו זמן מרובה שלא יבא לידי תקלה כמו בביעי דספק טריפה, רש"ל וש"ך.</w:t>
      </w:r>
    </w:p>
  </w:footnote>
  <w:footnote w:id="904">
    <w:p w14:paraId="045C8452" w14:textId="77777777" w:rsidR="004C5A3C" w:rsidRDefault="004C5A3C" w:rsidP="002C39F4">
      <w:pPr>
        <w:pStyle w:val="a5"/>
        <w:rPr>
          <w:rtl/>
        </w:rPr>
      </w:pPr>
      <w:r>
        <w:rPr>
          <w:rStyle w:val="a7"/>
        </w:rPr>
        <w:footnoteRef/>
      </w:r>
      <w:r>
        <w:rPr>
          <w:rtl/>
        </w:rPr>
        <w:t xml:space="preserve"> </w:t>
      </w:r>
      <w:r w:rsidRPr="005E1C9A">
        <w:rPr>
          <w:rtl/>
        </w:rPr>
        <w:t>וכן לעשות יין מראזיינ"ו שהתליעו ואח"כ לסננו דרך בגד עב ולא חיישינן כלל להאי חששא של הט"ז</w:t>
      </w:r>
      <w:r>
        <w:rPr>
          <w:rFonts w:hint="cs"/>
          <w:rtl/>
        </w:rPr>
        <w:t xml:space="preserve">, פנמ"א. </w:t>
      </w:r>
      <w:r>
        <w:rPr>
          <w:rFonts w:cs="Arial" w:hint="cs"/>
          <w:rtl/>
        </w:rPr>
        <w:t>ובתשו'</w:t>
      </w:r>
      <w:r w:rsidRPr="005E1C9A">
        <w:rPr>
          <w:rFonts w:cs="Arial"/>
          <w:rtl/>
        </w:rPr>
        <w:t xml:space="preserve"> שב יעקב </w:t>
      </w:r>
      <w:r>
        <w:rPr>
          <w:rFonts w:cs="Arial" w:hint="cs"/>
          <w:rtl/>
        </w:rPr>
        <w:t>(</w:t>
      </w:r>
      <w:r w:rsidRPr="005E1C9A">
        <w:rPr>
          <w:rFonts w:cs="Arial"/>
          <w:rtl/>
        </w:rPr>
        <w:t>סי</w:t>
      </w:r>
      <w:r>
        <w:rPr>
          <w:rFonts w:cs="Arial" w:hint="cs"/>
          <w:rtl/>
        </w:rPr>
        <w:t>'</w:t>
      </w:r>
      <w:r w:rsidRPr="005E1C9A">
        <w:rPr>
          <w:rFonts w:cs="Arial"/>
          <w:rtl/>
        </w:rPr>
        <w:t xml:space="preserve"> כט</w:t>
      </w:r>
      <w:r>
        <w:rPr>
          <w:rFonts w:cs="Arial" w:hint="cs"/>
          <w:rtl/>
        </w:rPr>
        <w:t>)</w:t>
      </w:r>
      <w:r w:rsidRPr="005E1C9A">
        <w:rPr>
          <w:rFonts w:cs="Arial"/>
          <w:rtl/>
        </w:rPr>
        <w:t xml:space="preserve"> התיר לתת גודגדניות המתולעים לתוך יין ובלבד שיתן אותם לתוך כיס קטן תפור מכל צדדיו</w:t>
      </w:r>
      <w:r>
        <w:rPr>
          <w:rFonts w:cs="Arial" w:hint="cs"/>
          <w:rtl/>
        </w:rPr>
        <w:t>.</w:t>
      </w:r>
    </w:p>
  </w:footnote>
  <w:footnote w:id="905">
    <w:p w14:paraId="6C4CF8E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סוג צמח.</w:t>
      </w:r>
    </w:p>
  </w:footnote>
  <w:footnote w:id="906">
    <w:p w14:paraId="5FF50A3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בעודה מחוברת, שרץ הארץ היא ואסורה התולעת לאכול, דכיון דמהלכת בתוך הקישות והיא מחוברת בקרקע הוי כמהלכת על גבי קרקע, אבל התליעה לאחר מכאן מותרת עד שתצא לאויר, רש"י.</w:t>
      </w:r>
    </w:p>
  </w:footnote>
  <w:footnote w:id="907">
    <w:p w14:paraId="5695C5A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כוצונ"ש וכמין יתושין הן אלא שבעדשים זיזין שמן, רש"י.</w:t>
      </w:r>
    </w:p>
  </w:footnote>
  <w:footnote w:id="908">
    <w:p w14:paraId="4ACCAA8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דמותרים דלאו על הארץ שורצין אלא בתוך העדשה, רש"י.</w:t>
      </w:r>
    </w:p>
  </w:footnote>
  <w:footnote w:id="909">
    <w:p w14:paraId="28B6D77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מין קטנית צידרא"ש בלע"ז, רש"י.</w:t>
      </w:r>
    </w:p>
  </w:footnote>
  <w:footnote w:id="910">
    <w:p w14:paraId="09756CB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דאסירי, רש"י.</w:t>
      </w:r>
    </w:p>
  </w:footnote>
  <w:footnote w:id="911">
    <w:p w14:paraId="78D96D7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שהתליעו תמרים עצמן, רש"י.</w:t>
      </w:r>
    </w:p>
  </w:footnote>
  <w:footnote w:id="912">
    <w:p w14:paraId="48487FA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אסירי וסיעתא דשמואל, רש"י.</w:t>
      </w:r>
    </w:p>
  </w:footnote>
  <w:footnote w:id="913">
    <w:p w14:paraId="2055662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כלומר הא דשרי נמי באביה דכל כמה דלא נפקא לאויר לאו שרץ הארץ היא ולא תסייעיה, רש"י.</w:t>
      </w:r>
    </w:p>
  </w:footnote>
  <w:footnote w:id="914">
    <w:p w14:paraId="073CF37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רבנו יעקב הלוי בן יצחק, מכונה רבנו יעב"ץ, רבו של הראבי"ה, וכ' בטור שדעתו כדעת ר"ת, אמנם בחלק מהדפוסים כתוב ראבי"ה במקום, וכ"כ התוס' (ד"ה דיקא), ומ"מ אפשר ששניהם אמת שהרי רבו הוא.</w:t>
      </w:r>
    </w:p>
  </w:footnote>
  <w:footnote w:id="915">
    <w:p w14:paraId="4855A58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רש"י </w:t>
      </w:r>
      <w:r w:rsidRPr="005C6730">
        <w:rPr>
          <w:rFonts w:asciiTheme="minorBidi" w:hAnsiTheme="minorBidi"/>
          <w:sz w:val="16"/>
          <w:szCs w:val="16"/>
          <w:rtl/>
        </w:rPr>
        <w:t>(תשו' רש"י מהדו' אלפנביין סי' קמג, הביאו המרדכי [סי' תרמג])</w:t>
      </w:r>
      <w:r w:rsidRPr="005C6730">
        <w:rPr>
          <w:rFonts w:asciiTheme="minorBidi" w:hAnsiTheme="minorBidi"/>
          <w:rtl/>
        </w:rPr>
        <w:t xml:space="preserve"> יעב"ץ ריב"א ור"ת </w:t>
      </w:r>
      <w:r w:rsidRPr="005C6730">
        <w:rPr>
          <w:rFonts w:asciiTheme="minorBidi" w:hAnsiTheme="minorBidi"/>
          <w:sz w:val="16"/>
          <w:szCs w:val="16"/>
          <w:rtl/>
        </w:rPr>
        <w:t>(הביאם התוס' ד"ה דיקא נמי)</w:t>
      </w:r>
      <w:r w:rsidRPr="005C6730">
        <w:rPr>
          <w:rFonts w:asciiTheme="minorBidi" w:hAnsiTheme="minorBidi"/>
          <w:rtl/>
        </w:rPr>
        <w:t>.</w:t>
      </w:r>
    </w:p>
  </w:footnote>
  <w:footnote w:id="916">
    <w:p w14:paraId="18BCF35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ומיהו היכא דניקב הפרי לחוץ אסור התולעת משום השרץ השורץ על הארץ</w:t>
      </w:r>
      <w:r>
        <w:rPr>
          <w:rFonts w:asciiTheme="minorBidi" w:hAnsiTheme="minorBidi" w:hint="cs"/>
          <w:rtl/>
        </w:rPr>
        <w:t>,</w:t>
      </w:r>
      <w:r w:rsidRPr="005C6730">
        <w:rPr>
          <w:rFonts w:asciiTheme="minorBidi" w:hAnsiTheme="minorBidi"/>
          <w:rtl/>
        </w:rPr>
        <w:t xml:space="preserve"> ואותם התולעים שנמצאו בתוך השומר של מיני קטנית בקליפה החיצונה הארוכה הנופלת ע"י דישה אסורים אף לדברי רש"י ור"ת כיון שסופו להתקשות הוי כמו אילן, מרדכי.</w:t>
      </w:r>
    </w:p>
  </w:footnote>
  <w:footnote w:id="917">
    <w:p w14:paraId="23CFC6F1"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בה"ג </w:t>
      </w:r>
      <w:r w:rsidRPr="005C6730">
        <w:rPr>
          <w:rFonts w:asciiTheme="minorBidi" w:hAnsiTheme="minorBidi"/>
          <w:sz w:val="16"/>
          <w:szCs w:val="16"/>
          <w:rtl/>
        </w:rPr>
        <w:t xml:space="preserve">(סו"ס סב) </w:t>
      </w:r>
      <w:r w:rsidRPr="005C6730">
        <w:rPr>
          <w:rFonts w:asciiTheme="minorBidi" w:hAnsiTheme="minorBidi"/>
          <w:rtl/>
        </w:rPr>
        <w:t xml:space="preserve">שאילתות </w:t>
      </w:r>
      <w:r w:rsidRPr="005C6730">
        <w:rPr>
          <w:rFonts w:asciiTheme="minorBidi" w:hAnsiTheme="minorBidi"/>
          <w:sz w:val="16"/>
          <w:szCs w:val="16"/>
          <w:rtl/>
        </w:rPr>
        <w:t xml:space="preserve">(פרשת שמיני סי' פד) </w:t>
      </w:r>
      <w:r w:rsidRPr="005C6730">
        <w:rPr>
          <w:rFonts w:asciiTheme="minorBidi" w:hAnsiTheme="minorBidi"/>
          <w:rtl/>
        </w:rPr>
        <w:t>רי"ף</w:t>
      </w:r>
      <w:r w:rsidRPr="005C6730">
        <w:rPr>
          <w:rFonts w:asciiTheme="minorBidi" w:hAnsiTheme="minorBidi"/>
          <w:sz w:val="16"/>
          <w:szCs w:val="16"/>
          <w:rtl/>
        </w:rPr>
        <w:t xml:space="preserve"> (כג:) </w:t>
      </w:r>
      <w:r w:rsidRPr="005C6730">
        <w:rPr>
          <w:rFonts w:asciiTheme="minorBidi" w:hAnsiTheme="minorBidi"/>
          <w:rtl/>
        </w:rPr>
        <w:t xml:space="preserve">רמב"ם </w:t>
      </w:r>
      <w:r w:rsidRPr="005C6730">
        <w:rPr>
          <w:rFonts w:asciiTheme="minorBidi" w:hAnsiTheme="minorBidi"/>
          <w:sz w:val="16"/>
          <w:szCs w:val="16"/>
          <w:rtl/>
        </w:rPr>
        <w:t xml:space="preserve">(פ"ב הט"ו) </w:t>
      </w:r>
      <w:r w:rsidRPr="005C6730">
        <w:rPr>
          <w:rFonts w:asciiTheme="minorBidi" w:hAnsiTheme="minorBidi"/>
          <w:rtl/>
        </w:rPr>
        <w:t xml:space="preserve">סה"ת </w:t>
      </w:r>
      <w:r w:rsidRPr="005C6730">
        <w:rPr>
          <w:rFonts w:asciiTheme="minorBidi" w:hAnsiTheme="minorBidi"/>
          <w:sz w:val="16"/>
          <w:szCs w:val="16"/>
          <w:rtl/>
        </w:rPr>
        <w:t>(סי' לה)</w:t>
      </w:r>
      <w:r w:rsidRPr="005C6730">
        <w:rPr>
          <w:rFonts w:asciiTheme="minorBidi" w:hAnsiTheme="minorBidi"/>
          <w:rtl/>
        </w:rPr>
        <w:t xml:space="preserve"> סמ"ג </w:t>
      </w:r>
      <w:r w:rsidRPr="005C6730">
        <w:rPr>
          <w:rFonts w:asciiTheme="minorBidi" w:hAnsiTheme="minorBidi"/>
          <w:sz w:val="16"/>
          <w:szCs w:val="16"/>
          <w:rtl/>
        </w:rPr>
        <w:t>(לאוין קלב מד</w:t>
      </w:r>
      <w:r>
        <w:rPr>
          <w:rFonts w:asciiTheme="minorBidi" w:hAnsiTheme="minorBidi" w:hint="cs"/>
          <w:sz w:val="16"/>
          <w:szCs w:val="16"/>
          <w:rtl/>
        </w:rPr>
        <w:t xml:space="preserve"> ע"א.</w:t>
      </w:r>
      <w:r w:rsidRPr="00DC63AE">
        <w:rPr>
          <w:rFonts w:asciiTheme="minorBidi" w:hAnsiTheme="minorBidi"/>
          <w:sz w:val="16"/>
          <w:szCs w:val="16"/>
          <w:rtl/>
        </w:rPr>
        <w:t xml:space="preserve"> הביאו ההגה"מ </w:t>
      </w:r>
      <w:r>
        <w:rPr>
          <w:rFonts w:asciiTheme="minorBidi" w:hAnsiTheme="minorBidi" w:hint="cs"/>
          <w:sz w:val="16"/>
          <w:szCs w:val="16"/>
          <w:rtl/>
        </w:rPr>
        <w:t>[</w:t>
      </w:r>
      <w:r w:rsidRPr="00DC63AE">
        <w:rPr>
          <w:rFonts w:asciiTheme="minorBidi" w:hAnsiTheme="minorBidi"/>
          <w:sz w:val="16"/>
          <w:szCs w:val="16"/>
          <w:rtl/>
        </w:rPr>
        <w:t>פ"ב אות ג</w:t>
      </w:r>
      <w:r>
        <w:rPr>
          <w:rFonts w:asciiTheme="minorBidi" w:hAnsiTheme="minorBidi" w:hint="cs"/>
          <w:sz w:val="16"/>
          <w:szCs w:val="16"/>
          <w:rtl/>
        </w:rPr>
        <w:t>]</w:t>
      </w:r>
      <w:r w:rsidRPr="005C6730">
        <w:rPr>
          <w:rFonts w:asciiTheme="minorBidi" w:hAnsiTheme="minorBidi"/>
          <w:sz w:val="16"/>
          <w:szCs w:val="16"/>
          <w:rtl/>
        </w:rPr>
        <w:t>)</w:t>
      </w:r>
      <w:r w:rsidRPr="005C6730">
        <w:rPr>
          <w:rFonts w:asciiTheme="minorBidi" w:hAnsiTheme="minorBidi"/>
          <w:rtl/>
        </w:rPr>
        <w:t xml:space="preserve"> רמב"ן </w:t>
      </w:r>
      <w:r w:rsidRPr="005C6730">
        <w:rPr>
          <w:rFonts w:asciiTheme="minorBidi" w:hAnsiTheme="minorBidi"/>
          <w:sz w:val="16"/>
          <w:szCs w:val="16"/>
          <w:rtl/>
        </w:rPr>
        <w:t xml:space="preserve">(כ"כ הה"מ בשמו [פ"ב הי"ד]) </w:t>
      </w:r>
      <w:r w:rsidRPr="005C6730">
        <w:rPr>
          <w:rFonts w:asciiTheme="minorBidi" w:hAnsiTheme="minorBidi"/>
          <w:rtl/>
        </w:rPr>
        <w:t xml:space="preserve">רשב"א </w:t>
      </w:r>
      <w:r w:rsidRPr="005C6730">
        <w:rPr>
          <w:rFonts w:asciiTheme="minorBidi" w:hAnsiTheme="minorBidi"/>
          <w:sz w:val="16"/>
          <w:szCs w:val="16"/>
          <w:rtl/>
        </w:rPr>
        <w:t xml:space="preserve">(תוה"ב ארוך ב"ג ש"ג פד., קצר שם פב:) </w:t>
      </w:r>
      <w:r w:rsidRPr="005C6730">
        <w:rPr>
          <w:rFonts w:asciiTheme="minorBidi" w:hAnsiTheme="minorBidi"/>
          <w:rtl/>
        </w:rPr>
        <w:t xml:space="preserve">טור ור"ן </w:t>
      </w:r>
      <w:r w:rsidRPr="005C6730">
        <w:rPr>
          <w:rFonts w:asciiTheme="minorBidi" w:hAnsiTheme="minorBidi"/>
          <w:sz w:val="16"/>
          <w:szCs w:val="16"/>
          <w:rtl/>
        </w:rPr>
        <w:t>(כג: ד"ה והוי יודע)</w:t>
      </w:r>
      <w:r w:rsidRPr="005C6730">
        <w:rPr>
          <w:rFonts w:asciiTheme="minorBidi" w:hAnsiTheme="minorBidi"/>
          <w:rtl/>
        </w:rPr>
        <w:t>.</w:t>
      </w:r>
    </w:p>
  </w:footnote>
  <w:footnote w:id="918">
    <w:p w14:paraId="750FD4D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ואסור אפילו לא ניקב</w:t>
      </w:r>
      <w:r w:rsidRPr="005C6730">
        <w:rPr>
          <w:rFonts w:asciiTheme="minorBidi" w:hAnsiTheme="minorBidi"/>
          <w:sz w:val="16"/>
          <w:szCs w:val="16"/>
          <w:rtl/>
        </w:rPr>
        <w:t xml:space="preserve"> (ע"פ סה"ת, אבל מ"מ כל סיעתו מודי לזה [דהרי בסמוך יתבאר שלא תלי האיסור בניקב או לא אלא בריחש או לא ריחש])</w:t>
      </w:r>
      <w:r w:rsidRPr="005C6730">
        <w:rPr>
          <w:rFonts w:asciiTheme="minorBidi" w:hAnsiTheme="minorBidi"/>
          <w:rtl/>
        </w:rPr>
        <w:t>.</w:t>
      </w:r>
    </w:p>
  </w:footnote>
  <w:footnote w:id="919">
    <w:p w14:paraId="7B64BB94" w14:textId="77777777" w:rsidR="004C5A3C" w:rsidRDefault="004C5A3C" w:rsidP="002C39F4">
      <w:pPr>
        <w:pStyle w:val="a5"/>
      </w:pPr>
      <w:r>
        <w:rPr>
          <w:rStyle w:val="a7"/>
        </w:rPr>
        <w:footnoteRef/>
      </w:r>
      <w:r>
        <w:rPr>
          <w:rtl/>
        </w:rPr>
        <w:t xml:space="preserve"> </w:t>
      </w:r>
      <w:r w:rsidRPr="005C6730">
        <w:rPr>
          <w:rFonts w:asciiTheme="minorBidi" w:hAnsiTheme="minorBidi"/>
          <w:rtl/>
        </w:rPr>
        <w:t>ולענין הלכה כיון שהרי"ף והרמב"ם מסכימים לאיסור הכי נקטינן, וכל שכן שכל הפוסקים מסכימים לדבריהם וחולקים על ריב"א ור"ת</w:t>
      </w:r>
      <w:r>
        <w:rPr>
          <w:rFonts w:asciiTheme="minorBidi" w:hAnsiTheme="minorBidi" w:hint="cs"/>
          <w:rtl/>
        </w:rPr>
        <w:t>, ב"י.</w:t>
      </w:r>
    </w:p>
  </w:footnote>
  <w:footnote w:id="920">
    <w:p w14:paraId="627D12A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הש"ך (סקי"ט) וז"ל- מה שכתבו הפוסקים</w:t>
      </w:r>
      <w:r w:rsidRPr="005C6730">
        <w:rPr>
          <w:rFonts w:asciiTheme="minorBidi" w:hAnsiTheme="minorBidi"/>
          <w:sz w:val="16"/>
          <w:szCs w:val="16"/>
          <w:rtl/>
        </w:rPr>
        <w:t xml:space="preserve"> {תוס' ורא"ש}</w:t>
      </w:r>
      <w:r w:rsidRPr="005C6730">
        <w:rPr>
          <w:rFonts w:asciiTheme="minorBidi" w:hAnsiTheme="minorBidi"/>
          <w:rtl/>
        </w:rPr>
        <w:t xml:space="preserve"> שדעת רש"י להתיר לא ידעתי היכן נראה כן דעת רש"י.</w:t>
      </w:r>
    </w:p>
  </w:footnote>
  <w:footnote w:id="921">
    <w:p w14:paraId="734079A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תוס' </w:t>
      </w:r>
      <w:r w:rsidRPr="005C6730">
        <w:rPr>
          <w:rFonts w:asciiTheme="minorBidi" w:hAnsiTheme="minorBidi"/>
          <w:sz w:val="16"/>
          <w:szCs w:val="16"/>
          <w:rtl/>
        </w:rPr>
        <w:t xml:space="preserve">(סז: ד"ה דיקא) </w:t>
      </w:r>
      <w:r w:rsidRPr="005C6730">
        <w:rPr>
          <w:rFonts w:asciiTheme="minorBidi" w:hAnsiTheme="minorBidi"/>
          <w:rtl/>
        </w:rPr>
        <w:t>רש"י</w:t>
      </w:r>
      <w:r w:rsidRPr="005C6730">
        <w:rPr>
          <w:rFonts w:asciiTheme="minorBidi" w:hAnsiTheme="minorBidi"/>
          <w:sz w:val="16"/>
          <w:szCs w:val="16"/>
          <w:rtl/>
        </w:rPr>
        <w:t xml:space="preserve"> (ד"ה באביה, כן הבינו התוס' והרא"ש מדבריו)</w:t>
      </w:r>
      <w:r w:rsidRPr="005C6730">
        <w:rPr>
          <w:rFonts w:asciiTheme="minorBidi" w:hAnsiTheme="minorBidi"/>
          <w:rtl/>
        </w:rPr>
        <w:t xml:space="preserve"> ר"מ </w:t>
      </w:r>
      <w:r w:rsidRPr="005C6730">
        <w:rPr>
          <w:rFonts w:asciiTheme="minorBidi" w:hAnsiTheme="minorBidi"/>
          <w:sz w:val="16"/>
          <w:szCs w:val="16"/>
          <w:rtl/>
        </w:rPr>
        <w:t xml:space="preserve">(כ"כ בשמו ההגה"מ [פ"ב אות ד]) </w:t>
      </w:r>
      <w:r w:rsidRPr="005C6730">
        <w:rPr>
          <w:rFonts w:asciiTheme="minorBidi" w:hAnsiTheme="minorBidi"/>
          <w:rtl/>
        </w:rPr>
        <w:t xml:space="preserve">ורא"ש </w:t>
      </w:r>
      <w:r w:rsidRPr="005C6730">
        <w:rPr>
          <w:rFonts w:asciiTheme="minorBidi" w:hAnsiTheme="minorBidi"/>
          <w:sz w:val="16"/>
          <w:szCs w:val="16"/>
          <w:rtl/>
        </w:rPr>
        <w:t>(פ"ג סי' סח)</w:t>
      </w:r>
      <w:r w:rsidRPr="005C6730">
        <w:rPr>
          <w:rFonts w:asciiTheme="minorBidi" w:hAnsiTheme="minorBidi"/>
          <w:rtl/>
        </w:rPr>
        <w:t>.</w:t>
      </w:r>
    </w:p>
  </w:footnote>
  <w:footnote w:id="922">
    <w:p w14:paraId="0B892E8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ולענין הלכה כיון שהתוספות והרא"ש ורש"י והר"ם מסכימים להתיר הכי נקטינן, ב"י.</w:t>
      </w:r>
    </w:p>
  </w:footnote>
  <w:footnote w:id="923">
    <w:p w14:paraId="28CBBA5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ומזה שהב"י לא הזכיר את דעת הרמב"ם בדין זה מוכח שדעתו שאין הכרע בדברי הרמב"ם לכאן ולכאן, וגם הה"מ לא נימק מדוע סובר כך בדעת הרמב"ם.</w:t>
      </w:r>
    </w:p>
  </w:footnote>
  <w:footnote w:id="924">
    <w:p w14:paraId="2AB8F47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רבינו יחיאל </w:t>
      </w:r>
      <w:r w:rsidRPr="005C6730">
        <w:rPr>
          <w:rFonts w:asciiTheme="minorBidi" w:hAnsiTheme="minorBidi"/>
          <w:sz w:val="16"/>
          <w:szCs w:val="16"/>
          <w:rtl/>
        </w:rPr>
        <w:t xml:space="preserve">(כ"כ בשמו ההגה"מ [פ"ב ד"ק הט"ו]) </w:t>
      </w:r>
      <w:r w:rsidRPr="005C6730">
        <w:rPr>
          <w:rFonts w:asciiTheme="minorBidi" w:hAnsiTheme="minorBidi"/>
          <w:rtl/>
        </w:rPr>
        <w:t>(רמב"ם</w:t>
      </w:r>
      <w:r w:rsidRPr="005C6730">
        <w:rPr>
          <w:rFonts w:asciiTheme="minorBidi" w:hAnsiTheme="minorBidi"/>
          <w:sz w:val="16"/>
          <w:szCs w:val="16"/>
          <w:rtl/>
        </w:rPr>
        <w:t xml:space="preserve"> להב' הה"מ [פ"ב הי"ד]</w:t>
      </w:r>
      <w:r w:rsidRPr="005C6730">
        <w:rPr>
          <w:rFonts w:asciiTheme="minorBidi" w:hAnsiTheme="minorBidi"/>
          <w:rtl/>
        </w:rPr>
        <w:t xml:space="preserve">) רמב"ן </w:t>
      </w:r>
      <w:r w:rsidRPr="005C6730">
        <w:rPr>
          <w:rFonts w:asciiTheme="minorBidi" w:hAnsiTheme="minorBidi"/>
          <w:sz w:val="16"/>
          <w:szCs w:val="16"/>
          <w:rtl/>
        </w:rPr>
        <w:t xml:space="preserve">(כ"כ הה"מ בשמו [פ"ב הי"ד]) </w:t>
      </w:r>
      <w:r w:rsidRPr="005C6730">
        <w:rPr>
          <w:rFonts w:asciiTheme="minorBidi" w:hAnsiTheme="minorBidi"/>
          <w:rtl/>
        </w:rPr>
        <w:t xml:space="preserve">רשב"א </w:t>
      </w:r>
      <w:r w:rsidRPr="005C6730">
        <w:rPr>
          <w:rFonts w:asciiTheme="minorBidi" w:hAnsiTheme="minorBidi"/>
          <w:sz w:val="16"/>
          <w:szCs w:val="16"/>
          <w:rtl/>
        </w:rPr>
        <w:t>(תוה"ק שם פג.)</w:t>
      </w:r>
      <w:r w:rsidRPr="005C6730">
        <w:rPr>
          <w:rFonts w:asciiTheme="minorBidi" w:hAnsiTheme="minorBidi"/>
          <w:rtl/>
        </w:rPr>
        <w:t xml:space="preserve"> ור"ן </w:t>
      </w:r>
      <w:r w:rsidRPr="005C6730">
        <w:rPr>
          <w:rFonts w:asciiTheme="minorBidi" w:hAnsiTheme="minorBidi"/>
          <w:sz w:val="16"/>
          <w:szCs w:val="16"/>
          <w:rtl/>
        </w:rPr>
        <w:t>(יט. ד"ה קישות)</w:t>
      </w:r>
      <w:r w:rsidRPr="005C6730">
        <w:rPr>
          <w:rFonts w:asciiTheme="minorBidi" w:hAnsiTheme="minorBidi"/>
          <w:rtl/>
        </w:rPr>
        <w:t xml:space="preserve"> ו</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מא דין ב, הביאו הדרכ"מ אות ה)</w:t>
      </w:r>
      <w:r w:rsidRPr="005C6730">
        <w:rPr>
          <w:rFonts w:asciiTheme="minorBidi" w:hAnsiTheme="minorBidi"/>
          <w:rtl/>
        </w:rPr>
        <w:t>.</w:t>
      </w:r>
    </w:p>
  </w:footnote>
  <w:footnote w:id="925">
    <w:p w14:paraId="1486ACE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דודאי תולע הגדל בתוך הפרי בעוד שהפרי מחובר לקרקע לדברי שמואל הרי הוא כתולע הגדל על גבי קרקע, וההיא ודאי אפילו לא הלך שרץ השורץ על הארץ קרינן ביה, והוא הדין לקישות לשמואל, ר"ן. וכ"כ הרשב"א בשינוי לשון קצת.</w:t>
      </w:r>
    </w:p>
  </w:footnote>
  <w:footnote w:id="926">
    <w:p w14:paraId="0DA30A0F" w14:textId="77777777" w:rsidR="004C5A3C" w:rsidRDefault="004C5A3C" w:rsidP="002C39F4">
      <w:pPr>
        <w:pStyle w:val="a5"/>
        <w:rPr>
          <w:rtl/>
        </w:rPr>
      </w:pPr>
      <w:r>
        <w:rPr>
          <w:rStyle w:val="a7"/>
        </w:rPr>
        <w:footnoteRef/>
      </w:r>
      <w:r>
        <w:rPr>
          <w:rtl/>
        </w:rPr>
        <w:t xml:space="preserve"> </w:t>
      </w:r>
      <w:r>
        <w:rPr>
          <w:rFonts w:asciiTheme="minorBidi" w:hAnsiTheme="minorBidi" w:hint="cs"/>
          <w:rtl/>
        </w:rPr>
        <w:t>אך ה</w:t>
      </w:r>
      <w:r w:rsidRPr="003024E5">
        <w:rPr>
          <w:rFonts w:asciiTheme="minorBidi" w:hAnsiTheme="minorBidi"/>
          <w:rtl/>
        </w:rPr>
        <w:t>דרכ"מ</w:t>
      </w:r>
      <w:r>
        <w:rPr>
          <w:rFonts w:asciiTheme="minorBidi" w:hAnsiTheme="minorBidi" w:hint="cs"/>
          <w:sz w:val="16"/>
          <w:szCs w:val="16"/>
          <w:rtl/>
        </w:rPr>
        <w:t xml:space="preserve"> (אות ד)</w:t>
      </w:r>
      <w:r>
        <w:rPr>
          <w:rFonts w:asciiTheme="minorBidi" w:hAnsiTheme="minorBidi" w:hint="cs"/>
          <w:rtl/>
        </w:rPr>
        <w:t xml:space="preserve"> כתב ד</w:t>
      </w:r>
      <w:r w:rsidRPr="003024E5">
        <w:rPr>
          <w:rFonts w:asciiTheme="minorBidi" w:hAnsiTheme="minorBidi"/>
          <w:rtl/>
        </w:rPr>
        <w:t xml:space="preserve">אע"פ שלא מיקרי גדולי קרקע לענין קנין מעשר ולענין בורא פרי האדמה מ"מ מיקרי מחובר לקרקע וקרינן ביה שרץ השורץ על הארץ דבחבורא תליא מילתא ולא בגדולו מן הארץ, גם הנודר מגדולי הקרקע אסור בכמהין ופטריות כדלקמן סי' ריז </w:t>
      </w:r>
      <w:r w:rsidRPr="003024E5">
        <w:rPr>
          <w:rFonts w:asciiTheme="minorBidi" w:hAnsiTheme="minorBidi"/>
          <w:sz w:val="16"/>
          <w:szCs w:val="16"/>
          <w:rtl/>
        </w:rPr>
        <w:t xml:space="preserve">(עמ' תמט) </w:t>
      </w:r>
      <w:r w:rsidRPr="003024E5">
        <w:rPr>
          <w:rFonts w:asciiTheme="minorBidi" w:hAnsiTheme="minorBidi"/>
          <w:rtl/>
        </w:rPr>
        <w:t>ש"מ דמיקרי קצת גדולי קרקע רק שאינן גדולי קרקע לגמרי, ועוד אמרינן פרק כיצד מברכין</w:t>
      </w:r>
      <w:r w:rsidRPr="003024E5">
        <w:rPr>
          <w:rFonts w:asciiTheme="minorBidi" w:hAnsiTheme="minorBidi"/>
          <w:sz w:val="16"/>
          <w:szCs w:val="16"/>
          <w:rtl/>
        </w:rPr>
        <w:t xml:space="preserve"> (מ:)</w:t>
      </w:r>
      <w:r w:rsidRPr="003024E5">
        <w:rPr>
          <w:rFonts w:asciiTheme="minorBidi" w:hAnsiTheme="minorBidi"/>
          <w:rtl/>
        </w:rPr>
        <w:t xml:space="preserve"> דרביתן מן הארץ רק דלא ינקי מן הארץ, לכן יש להחמיר. </w:t>
      </w:r>
      <w:r w:rsidRPr="003024E5">
        <w:rPr>
          <w:rFonts w:asciiTheme="minorBidi" w:hAnsiTheme="minorBidi"/>
          <w:color w:val="00B0F0"/>
          <w:rtl/>
        </w:rPr>
        <w:t>(וכ"פ בהג"ה)</w:t>
      </w:r>
      <w:r>
        <w:rPr>
          <w:rFonts w:hint="cs"/>
          <w:rtl/>
        </w:rPr>
        <w:t xml:space="preserve"> </w:t>
      </w:r>
    </w:p>
  </w:footnote>
  <w:footnote w:id="927">
    <w:p w14:paraId="42C59E8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בת"ח </w:t>
      </w:r>
      <w:r w:rsidRPr="005C6730">
        <w:rPr>
          <w:rFonts w:asciiTheme="minorBidi" w:hAnsiTheme="minorBidi"/>
          <w:sz w:val="16"/>
          <w:szCs w:val="16"/>
          <w:rtl/>
        </w:rPr>
        <w:t xml:space="preserve">(כלל מו ד"ב) </w:t>
      </w:r>
      <w:r w:rsidRPr="005C6730">
        <w:rPr>
          <w:rFonts w:asciiTheme="minorBidi" w:hAnsiTheme="minorBidi"/>
          <w:rtl/>
        </w:rPr>
        <w:t xml:space="preserve">כ' וז"ל- ולי נראה דטוב להחמיר כל זמן שהפרי לא נתבשל, שאין לחוש לתולע מאחר שהפרי שרי, אבל אם נתבשל עם התולע אין לאסור התבשיל ויש לסמוך אדברי המתירין. וכן הסכים הש"ך </w:t>
      </w:r>
      <w:r w:rsidRPr="005C6730">
        <w:rPr>
          <w:rFonts w:asciiTheme="minorBidi" w:hAnsiTheme="minorBidi"/>
          <w:sz w:val="16"/>
          <w:szCs w:val="16"/>
          <w:rtl/>
        </w:rPr>
        <w:t xml:space="preserve">(סקי"ט, ונימק דבריו וז"ל- כיון שהרשב"א והר"ן ור"י כתבו לאסור אפילו במקום צר שלא ריחש וגם בשערים משמע כן, וכ"כ הה"מ </w:t>
      </w:r>
      <w:r w:rsidRPr="005C6730">
        <w:rPr>
          <w:rFonts w:asciiTheme="minorBidi" w:hAnsiTheme="minorBidi"/>
          <w:sz w:val="12"/>
          <w:szCs w:val="12"/>
          <w:rtl/>
        </w:rPr>
        <w:t>(פ"ב מהל' מ"א)</w:t>
      </w:r>
      <w:r w:rsidRPr="005C6730">
        <w:rPr>
          <w:rFonts w:asciiTheme="minorBidi" w:hAnsiTheme="minorBidi"/>
          <w:sz w:val="16"/>
          <w:szCs w:val="16"/>
          <w:rtl/>
        </w:rPr>
        <w:t xml:space="preserve"> שכן דעת הרמב"ם והרמב"ן וכ"נ דעתו, וגם מ"ש הפוסקים שדעת רש"י להתיר לא ידעתי היכן נראה כן דעת רש"י, וכ"כ באו"ה</w:t>
      </w:r>
      <w:r w:rsidRPr="005C6730">
        <w:rPr>
          <w:rFonts w:asciiTheme="minorBidi" w:hAnsiTheme="minorBidi"/>
          <w:sz w:val="12"/>
          <w:szCs w:val="12"/>
          <w:rtl/>
        </w:rPr>
        <w:t xml:space="preserve"> (שם ד"ב)</w:t>
      </w:r>
      <w:r w:rsidRPr="005C6730">
        <w:rPr>
          <w:rFonts w:asciiTheme="minorBidi" w:hAnsiTheme="minorBidi"/>
          <w:sz w:val="16"/>
          <w:szCs w:val="16"/>
          <w:rtl/>
        </w:rPr>
        <w:t>, א"כ ודאי ראוי להחמיר באיסורא דאו' כל זמן שלא נתבשל)</w:t>
      </w:r>
      <w:r w:rsidRPr="005C6730">
        <w:rPr>
          <w:rFonts w:asciiTheme="minorBidi" w:hAnsiTheme="minorBidi"/>
          <w:rtl/>
        </w:rPr>
        <w:t xml:space="preserve">, והוסיף דודאי אם נתבשל אפילו פרי קטן מותר, כיון דבלא"ה י"א דכל פרי אפילו הוא קטן הוא ס' נגד התולע וכמו שיתבאר בס"ט. וגם הט"ז </w:t>
      </w:r>
      <w:r w:rsidRPr="005C6730">
        <w:rPr>
          <w:rFonts w:asciiTheme="minorBidi" w:hAnsiTheme="minorBidi"/>
          <w:sz w:val="16"/>
          <w:szCs w:val="16"/>
          <w:rtl/>
        </w:rPr>
        <w:t xml:space="preserve">(סק"י) </w:t>
      </w:r>
      <w:r w:rsidRPr="005C6730">
        <w:rPr>
          <w:rFonts w:asciiTheme="minorBidi" w:hAnsiTheme="minorBidi"/>
          <w:rtl/>
        </w:rPr>
        <w:t xml:space="preserve">הסכים לדברי הת"ח, וכ' דהת"ח מיירי בפרי שאפשר להשליך משם התולע ולאכול הפרי ומ"ה טוב להחמיר כ"ז שלא נתבשל, ולפ"ז אם נמצא בקטניות בענין שאין שייך שם לומר כן ודאי לכתחלה ישליך אפילו בתבשיל אותה הקטניות שהתולע בתוכה כל שיש חשש שמא היה שם התולע בעודו מחובר, ולא הקיל אלא בטעם התולע שלא יאסר התבשיל... אבל כל שיש חשש שבתוך התבשיל יאכל היבחושין עצמן ודאי יש להחמיר </w:t>
      </w:r>
      <w:r w:rsidRPr="005C6730">
        <w:rPr>
          <w:rFonts w:asciiTheme="minorBidi" w:hAnsiTheme="minorBidi"/>
          <w:sz w:val="16"/>
          <w:szCs w:val="16"/>
          <w:rtl/>
        </w:rPr>
        <w:t>(וכ' הט"ז דכן איתא בהג"ה סמ"ק בשם ר"י שלפעמים נמצא בהם תולעים כשהן לחין במחובר סמוך ללקיטתן ואותן תולעים גדלים ונעשים זבובים והמחמיר תע"ב עכ"ל</w:t>
      </w:r>
      <w:r>
        <w:rPr>
          <w:rFonts w:asciiTheme="minorBidi" w:hAnsiTheme="minorBidi" w:hint="cs"/>
          <w:sz w:val="16"/>
          <w:szCs w:val="16"/>
          <w:rtl/>
        </w:rPr>
        <w:t>,</w:t>
      </w:r>
      <w:r w:rsidRPr="005C6730">
        <w:rPr>
          <w:rFonts w:asciiTheme="minorBidi" w:hAnsiTheme="minorBidi"/>
          <w:sz w:val="16"/>
          <w:szCs w:val="16"/>
          <w:rtl/>
        </w:rPr>
        <w:t xml:space="preserve"> ונראה שמה שלא עשה מזה רק חומרא היינו דר"י לשטתו שהוא בעל התוס' דכתבו כהר"ש דמותר מדינא וע"כ כתב שהמחמיר תע"ב אבל להרשב"א ודאי מדינא אסור כנלע"ד ברור למעשה, עכ"ל הט"ז. וכ' עליו כנה"ג </w:t>
      </w:r>
      <w:r w:rsidRPr="005C6730">
        <w:rPr>
          <w:rFonts w:asciiTheme="minorBidi" w:hAnsiTheme="minorBidi"/>
          <w:sz w:val="14"/>
          <w:szCs w:val="14"/>
          <w:rtl/>
        </w:rPr>
        <w:t xml:space="preserve">[הגב"י אות לג] </w:t>
      </w:r>
      <w:r w:rsidRPr="005C6730">
        <w:rPr>
          <w:rFonts w:asciiTheme="minorBidi" w:hAnsiTheme="minorBidi"/>
          <w:sz w:val="16"/>
          <w:szCs w:val="16"/>
          <w:rtl/>
        </w:rPr>
        <w:t>וז"ל- ולא דק כלל, שהוא חשב דר"י המוזכר בדברי הגהת סמ"ק הוא ר"י בעל התוס', וליתא דבהגהת סמ"ק כתב בפי' רבינו יחיאל, וכ"כ בהגמ"י, ושם במקומות הללו מבואר דתוס' ורבינו יחיאל חולקים ובפרט בהגמ"י)</w:t>
      </w:r>
      <w:r w:rsidRPr="005C6730">
        <w:rPr>
          <w:rFonts w:asciiTheme="minorBidi" w:hAnsiTheme="minorBidi"/>
          <w:rtl/>
        </w:rPr>
        <w:t>.</w:t>
      </w:r>
    </w:p>
  </w:footnote>
  <w:footnote w:id="928">
    <w:p w14:paraId="325F093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הט"ז (סק"י) דנראה דהרשב"א לטעמיה אזיל דלא בעי כאן שיהיה שם מקום לרחוש דוקא, אבל להרא"ש דמתיר כאן והמחבר פסק כמותו מותר גם באותו דין דנקודה שחורה, דהא אפילו אי הוה הנקודה שחורה תולע בבירור לא היה נאסר כיון שאין לו מקום לרחוש ולא פירש ממקומו לחוץ, אלא ודאי זה דוקא להרשב"א, ורמ"א חש לדבריו, וא"כ יש תימה עליו שלא כתב תחילה לחלוק על המחבר במה שפסק להיתר בתולעים הנמצאים תחת הקליפה דיש אוסרים. והש"ך (סק"כ) יישב את דברי הרמ"א בכך שכאן כ' הרמ"א לפי מ"ש בת"ח דאף בפולים יש להחמיר ליטלו משם כל זמן שלא נתבשל, ומה שסתם כדברי המחבר היינו לענין דינא, ונ"מ שאינו אוסר התבשיל.</w:t>
      </w:r>
    </w:p>
  </w:footnote>
  <w:footnote w:id="929">
    <w:p w14:paraId="02F165F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שהתליעו ואין ידוע אם במחובר אם בתלוש, רש"י.</w:t>
      </w:r>
    </w:p>
  </w:footnote>
  <w:footnote w:id="930">
    <w:p w14:paraId="01E1663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דאי במחובר התליע לא הוי חיי עד השתא, רש"י.</w:t>
      </w:r>
    </w:p>
  </w:footnote>
  <w:footnote w:id="931">
    <w:p w14:paraId="3F19EE6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אפילו לא ידעינן שדרכו להתליע במחובר כיון שהוא מותלע לפנינו ואיכא לספוקי דבמחובר התליע אסור, ולדעת הרב בהג"ה ס"ס ד' צ"ל דהיינו באין נקוב לחוץ דאי בנקוב לחוץ אפי' התליע בתלוש אסור, ופשוט הוא, ש"ך (סקכ"א).</w:t>
      </w:r>
    </w:p>
  </w:footnote>
  <w:footnote w:id="932">
    <w:p w14:paraId="60DC6B70"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דאי במחובר התליע לא הוי חיי עד השתא, רש"י.</w:t>
      </w:r>
    </w:p>
  </w:footnote>
  <w:footnote w:id="933">
    <w:p w14:paraId="0312817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ואין לאסור הזבובים מטעם שרץ העוף אפילו לא פירשו חיים לפי שהיו פורחין אם היה מניח אותם הא ליתא דהא זיזין שבעדשים וגם שבכליסין אין אסור אלא משום שרץ השורץ ואפילו שרץ הארץ ליכא עד שיפרשו לאויר העולם הוא הדין אינם אסורין משום שרץ העוף, סה"ת.</w:t>
      </w:r>
    </w:p>
  </w:footnote>
  <w:footnote w:id="934">
    <w:p w14:paraId="77FD09D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עד כאן העתיק השערי דורא (סי' מו).</w:t>
      </w:r>
      <w:r w:rsidRPr="005C6730">
        <w:rPr>
          <w:rFonts w:asciiTheme="minorBidi" w:hAnsiTheme="minorBidi"/>
          <w:color w:val="FF0000"/>
          <w:sz w:val="16"/>
          <w:szCs w:val="16"/>
          <w:rtl/>
        </w:rPr>
        <w:t xml:space="preserve"> (ואולי אפשר להבין מזה דלא סבירא ליה כהיש מחמירין, אולם אח"כ הביא את דברי הראב"ן, הלכך צ"ע)</w:t>
      </w:r>
    </w:p>
  </w:footnote>
  <w:footnote w:id="935">
    <w:p w14:paraId="416F80F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רמב"ם </w:t>
      </w:r>
      <w:r w:rsidRPr="005C6730">
        <w:rPr>
          <w:rFonts w:asciiTheme="minorBidi" w:hAnsiTheme="minorBidi"/>
          <w:sz w:val="16"/>
          <w:szCs w:val="16"/>
          <w:rtl/>
        </w:rPr>
        <w:t>(פ"ב הט"ו)</w:t>
      </w:r>
      <w:r w:rsidRPr="005C6730">
        <w:rPr>
          <w:rFonts w:asciiTheme="minorBidi" w:hAnsiTheme="minorBidi"/>
          <w:rtl/>
        </w:rPr>
        <w:t xml:space="preserve"> רשב"א </w:t>
      </w:r>
      <w:r w:rsidRPr="005C6730">
        <w:rPr>
          <w:rFonts w:asciiTheme="minorBidi" w:hAnsiTheme="minorBidi"/>
          <w:sz w:val="16"/>
          <w:szCs w:val="16"/>
          <w:rtl/>
        </w:rPr>
        <w:t>(תוה"ב קצר ב"ג ש"ג פג.)</w:t>
      </w:r>
      <w:r w:rsidRPr="005C6730">
        <w:rPr>
          <w:rFonts w:asciiTheme="minorBidi" w:hAnsiTheme="minorBidi"/>
          <w:rtl/>
        </w:rPr>
        <w:t xml:space="preserve"> רא"ש</w:t>
      </w:r>
      <w:r w:rsidRPr="005C6730">
        <w:rPr>
          <w:rFonts w:asciiTheme="minorBidi" w:hAnsiTheme="minorBidi"/>
          <w:sz w:val="16"/>
          <w:szCs w:val="16"/>
          <w:rtl/>
        </w:rPr>
        <w:t xml:space="preserve"> (סי' נג)</w:t>
      </w:r>
      <w:r w:rsidRPr="005C6730">
        <w:rPr>
          <w:rFonts w:asciiTheme="minorBidi" w:hAnsiTheme="minorBidi"/>
          <w:rtl/>
        </w:rPr>
        <w:t xml:space="preserve"> ור"ן</w:t>
      </w:r>
      <w:r w:rsidRPr="005C6730">
        <w:rPr>
          <w:rFonts w:asciiTheme="minorBidi" w:hAnsiTheme="minorBidi"/>
          <w:sz w:val="16"/>
          <w:szCs w:val="16"/>
          <w:rtl/>
        </w:rPr>
        <w:t xml:space="preserve"> (יט: דיבור ראשון)</w:t>
      </w:r>
      <w:r w:rsidRPr="005C6730">
        <w:rPr>
          <w:rFonts w:asciiTheme="minorBidi" w:hAnsiTheme="minorBidi"/>
          <w:rtl/>
        </w:rPr>
        <w:t>.</w:t>
      </w:r>
    </w:p>
  </w:footnote>
  <w:footnote w:id="936">
    <w:p w14:paraId="6DB4021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והרשב"א כ' בפירוש שפולין דרכן להתליע בעודם מחוברים</w:t>
      </w:r>
      <w:r w:rsidRPr="005C6730">
        <w:rPr>
          <w:rFonts w:asciiTheme="minorBidi" w:hAnsiTheme="minorBidi"/>
          <w:sz w:val="16"/>
          <w:szCs w:val="16"/>
          <w:rtl/>
        </w:rPr>
        <w:t xml:space="preserve"> (וכ"כ הש"ך [סקכ"ב] בשם הרא"ש </w:t>
      </w:r>
      <w:r w:rsidRPr="005C6730">
        <w:rPr>
          <w:rFonts w:asciiTheme="minorBidi" w:hAnsiTheme="minorBidi"/>
          <w:color w:val="FF0000"/>
          <w:sz w:val="16"/>
          <w:szCs w:val="16"/>
          <w:rtl/>
        </w:rPr>
        <w:t>{</w:t>
      </w:r>
      <w:r>
        <w:rPr>
          <w:rFonts w:asciiTheme="minorBidi" w:hAnsiTheme="minorBidi" w:hint="cs"/>
          <w:color w:val="FF0000"/>
          <w:sz w:val="16"/>
          <w:szCs w:val="16"/>
          <w:rtl/>
        </w:rPr>
        <w:t>עדיין</w:t>
      </w:r>
      <w:r w:rsidRPr="005C6730">
        <w:rPr>
          <w:rFonts w:asciiTheme="minorBidi" w:hAnsiTheme="minorBidi"/>
          <w:color w:val="FF0000"/>
          <w:sz w:val="16"/>
          <w:szCs w:val="16"/>
          <w:rtl/>
        </w:rPr>
        <w:t xml:space="preserve"> לא הצלחתי </w:t>
      </w:r>
      <w:r>
        <w:rPr>
          <w:rFonts w:asciiTheme="minorBidi" w:hAnsiTheme="minorBidi" w:hint="cs"/>
          <w:color w:val="FF0000"/>
          <w:sz w:val="16"/>
          <w:szCs w:val="16"/>
          <w:rtl/>
        </w:rPr>
        <w:t xml:space="preserve">למצוא </w:t>
      </w:r>
      <w:r w:rsidRPr="005C6730">
        <w:rPr>
          <w:rFonts w:asciiTheme="minorBidi" w:hAnsiTheme="minorBidi"/>
          <w:color w:val="FF0000"/>
          <w:sz w:val="16"/>
          <w:szCs w:val="16"/>
          <w:rtl/>
        </w:rPr>
        <w:t xml:space="preserve">איפה </w:t>
      </w:r>
      <w:r>
        <w:rPr>
          <w:rFonts w:asciiTheme="minorBidi" w:hAnsiTheme="minorBidi" w:hint="cs"/>
          <w:color w:val="FF0000"/>
          <w:sz w:val="16"/>
          <w:szCs w:val="16"/>
          <w:rtl/>
        </w:rPr>
        <w:t>כתב כן</w:t>
      </w:r>
      <w:r w:rsidRPr="005C6730">
        <w:rPr>
          <w:rFonts w:asciiTheme="minorBidi" w:hAnsiTheme="minorBidi"/>
          <w:color w:val="FF0000"/>
          <w:sz w:val="16"/>
          <w:szCs w:val="16"/>
          <w:rtl/>
        </w:rPr>
        <w:t>}</w:t>
      </w:r>
      <w:r w:rsidRPr="005C6730">
        <w:rPr>
          <w:rFonts w:asciiTheme="minorBidi" w:hAnsiTheme="minorBidi"/>
          <w:sz w:val="16"/>
          <w:szCs w:val="16"/>
          <w:rtl/>
        </w:rPr>
        <w:t>)</w:t>
      </w:r>
      <w:r w:rsidRPr="005C6730">
        <w:rPr>
          <w:rFonts w:asciiTheme="minorBidi" w:hAnsiTheme="minorBidi"/>
          <w:rtl/>
        </w:rPr>
        <w:t>.</w:t>
      </w:r>
    </w:p>
  </w:footnote>
  <w:footnote w:id="937">
    <w:p w14:paraId="2DC1DFB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והכי נהוג, ויראה דהני מילי שודאי מתולעים אבל נמצא בפולין ועדשים שנעשו הרבה מהם מתולעים לאחר שנתלשו יש לברור יפה להשליך הנקובים וליתנם בתחלת בישולם במים רותחים ודי בכך, הגשע"ד </w:t>
      </w:r>
      <w:r w:rsidRPr="005C6730">
        <w:rPr>
          <w:rFonts w:asciiTheme="minorBidi" w:hAnsiTheme="minorBidi"/>
          <w:sz w:val="16"/>
          <w:szCs w:val="16"/>
          <w:rtl/>
        </w:rPr>
        <w:t>(סי' מו סק"ה, הביאו הב"י אך לא הביא את דברי ראב"ן)</w:t>
      </w:r>
      <w:r w:rsidRPr="005C6730">
        <w:rPr>
          <w:rFonts w:asciiTheme="minorBidi" w:hAnsiTheme="minorBidi"/>
          <w:rtl/>
        </w:rPr>
        <w:t>.</w:t>
      </w:r>
    </w:p>
  </w:footnote>
  <w:footnote w:id="938">
    <w:p w14:paraId="01B0268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הה"מ שמדברי הרשב"א והרמב"ם והרמב"ן נראה דלאחר י"ב חודש א"צ שום בדיקה דלא חיישינן שמא יפרשו בשעת הבישול ע"ש, והב"י לא הביאו, ובאמת צ"ע על הה"מ, שבדברי הרשב"א</w:t>
      </w:r>
      <w:r w:rsidRPr="005C6730">
        <w:rPr>
          <w:rFonts w:asciiTheme="minorBidi" w:hAnsiTheme="minorBidi"/>
          <w:sz w:val="16"/>
          <w:szCs w:val="16"/>
          <w:rtl/>
        </w:rPr>
        <w:t xml:space="preserve"> (בתוה"ב הקצר סוף ש"ג ב"ג)</w:t>
      </w:r>
      <w:r w:rsidRPr="005C6730">
        <w:rPr>
          <w:rFonts w:asciiTheme="minorBidi" w:hAnsiTheme="minorBidi"/>
          <w:rtl/>
        </w:rPr>
        <w:t xml:space="preserve"> מוכח להדיא דס"ל דאף לאחר י"ב חודש צריך תקון זה ע"ש ומביאו ב"י, ש"ך (סקכ"ו).</w:t>
      </w:r>
    </w:p>
  </w:footnote>
  <w:footnote w:id="939">
    <w:p w14:paraId="5DC3DC7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 הרשב"א וז"ל- פולין שני מיני רחשין מצויין בהם, אחד קטן הגדל במחובר והוא גדל בין קליפה לבשר או בבשר סמוך לקליפה, ואחד גדול הנוקב ויורד פעמים עד אמצעו, אותו הגדול הגדל לאחר מכאן מותר קודם שפירש, אבל אם פירש ואפילו מת אסור כמו שביארנו, ולפיכך-...</w:t>
      </w:r>
    </w:p>
  </w:footnote>
  <w:footnote w:id="940">
    <w:p w14:paraId="3DEDBAF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וא"ת אמאי שרו בתר שנים עשר חודש דילמא גדלו במחובר ושרץ שמת אסור, ותירץ הראב"ד ז"ל </w:t>
      </w:r>
      <w:r w:rsidRPr="005C6730">
        <w:rPr>
          <w:rFonts w:asciiTheme="minorBidi" w:hAnsiTheme="minorBidi"/>
          <w:sz w:val="16"/>
          <w:szCs w:val="16"/>
          <w:rtl/>
        </w:rPr>
        <w:t xml:space="preserve">(תשובות ופסקים סי' רז עמ' רנ) </w:t>
      </w:r>
      <w:r w:rsidRPr="005C6730">
        <w:rPr>
          <w:rFonts w:asciiTheme="minorBidi" w:hAnsiTheme="minorBidi"/>
          <w:rtl/>
        </w:rPr>
        <w:t>דהא דקאמר אינו מתקיים שנים עשר חודש רוצה לומר דאחר שנים עשר חודש אין בו לחות כלל והוי כעפרא בעלמא, ודייק מלישנא דקאמר אינו מתקיים ולא קאמר אינו חי, רא"ש. וגם הר"ן (יט: דיבור ראשון) כתב כן.</w:t>
      </w:r>
    </w:p>
  </w:footnote>
  <w:footnote w:id="941">
    <w:p w14:paraId="642B731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ברא"ש ורשב"א איתא דפולים ועדשים וקטנית דרכן להתליע במחובר, מיהו בשערים ומרדכי ובדברי מהרא"י בהגשע"ד איתא דקטנית וכיוצא בהן אין דרכן להתליע אלא בתלוש, ונראה דע"ז סמכו האידנא שאין נוהגין לברור הקטנית אפילו תוך שנתן רק נותנין אותן בקדרה צוננת ושופכים כל מה שעולה למעלה והנשאר מבשלין ברותחין, אף שפסק בת"ח שם ד"ז שיש לברור אותן על השלחן, וגם מהרש"ל באו"ש ובפא"ט סי' ק' החמיר יותר לברור כל אחד ואחד בפני עצמו דוקא, והעולם מקילין בזה, ואפשר נמי שהאידנא אין דרכן להתליע במחובר וכמ"ש בת"ח שם דדבר זה משתנה לפי המקום והזמן והמחמיר בזה תע"ב, ש"ך</w:t>
      </w:r>
      <w:r w:rsidRPr="005C6730">
        <w:rPr>
          <w:rFonts w:asciiTheme="minorBidi" w:hAnsiTheme="minorBidi"/>
          <w:sz w:val="16"/>
          <w:szCs w:val="16"/>
          <w:rtl/>
        </w:rPr>
        <w:t xml:space="preserve"> (סקכ"ב)</w:t>
      </w:r>
      <w:r w:rsidRPr="005C6730">
        <w:rPr>
          <w:rFonts w:asciiTheme="minorBidi" w:hAnsiTheme="minorBidi"/>
          <w:rtl/>
        </w:rPr>
        <w:t>.</w:t>
      </w:r>
    </w:p>
  </w:footnote>
  <w:footnote w:id="942">
    <w:p w14:paraId="71EC45B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משמע אבל באם אין דרך להתליע אלא בתלוש א"צ בדיקה, וע"כ אין חיוב בדיקה בקמח או בפירות יבשים כגון רוזינ"י וכיוצא בהם אם יש שם מילבי"ן קטנים דאין שם איסור אלא אחר שפירשו ונמצא דהוי ספק ספיקא, ובס"ס מותר אפי' בשל תורה כמ"ש ב"י בשם הרשב"א גבי עבר ובישל תוך י"ב חודש, ועיין מה שכתבתי בסע' ט (סקי"ז), ט"ז (סקי"ב). </w:t>
      </w:r>
    </w:p>
  </w:footnote>
  <w:footnote w:id="943">
    <w:p w14:paraId="103BC5C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כלומר באותן שדרכן להתליע נהי דא"צ לבדוק בפנים כיון ששהו י"ב חודש ונרקב התולעת שבתוכן והוי כעפרא בעלמא מ"מ צריך לבדקן להשליך התולעים הנמצאים ביניהם בחוץ, אבל אותן פירות שאין דרכן להתליע כלל ודאי אין צריך בדיקה כלל אפי' מבחוץ (ועיין בהה"מ פ"ב הט"ו ד"ה אם שהה), ש"ך (סקכ"ג).</w:t>
      </w:r>
    </w:p>
  </w:footnote>
  <w:footnote w:id="944">
    <w:p w14:paraId="601EB7E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היינו משום דכיון שפירשו אע"פ שלא נבראו אלא בתלוש אסורים כמו שקדם, ב"י.</w:t>
      </w:r>
    </w:p>
  </w:footnote>
  <w:footnote w:id="945">
    <w:p w14:paraId="158238F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דאיבעיא לן פירש לגג תמרה מהו וסליק בתיקו ולחומרא, ב"י.</w:t>
      </w:r>
    </w:p>
  </w:footnote>
  <w:footnote w:id="946">
    <w:p w14:paraId="3FD034F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הוא לשון הרא"ש והטור, ואזלי לטעמייהו דסבירא להו פירשה מתה מותרת, וגם המחבר סובר כן כמ"ש בסקי"ב, והא דלא מהני כשנותנים אותן ברותחים משום דימותו ולא יצאו היינו משום דלא ברירא לן שימותו מיד כולם אלא יצאו מחיים, אבל כשנתנן מתחלה בצוננים א"כ כל המנוקבים יעלו למעלה, א"כ אף דאיכא למיחש שמא נשארו קצת שלא עלו למעלה ותולעים בתוכן מ"מ יש לסמוך בכה"ג דימותו מיד ולא יפרשו כלל </w:t>
      </w:r>
      <w:r w:rsidRPr="005C6730">
        <w:rPr>
          <w:rFonts w:asciiTheme="minorBidi" w:hAnsiTheme="minorBidi"/>
          <w:sz w:val="16"/>
          <w:szCs w:val="16"/>
          <w:rtl/>
        </w:rPr>
        <w:t>(ודברי הב"ח בסי' יא דחוקים בזה, גם דברי הפרישה בסט"ז מגומגמים בזה</w:t>
      </w:r>
      <w:r w:rsidRPr="005C6730">
        <w:rPr>
          <w:rFonts w:asciiTheme="minorBidi" w:hAnsiTheme="minorBidi"/>
          <w:sz w:val="14"/>
          <w:szCs w:val="14"/>
          <w:rtl/>
        </w:rPr>
        <w:t xml:space="preserve"> [ובפרט מ"ש ועוד דחיישי' שמא יש ביניהם שפירשו וחזרו דהא הטור והמחבר בס"ס ד' ס"ל דלא חיישינן להכי]</w:t>
      </w:r>
      <w:r w:rsidRPr="005C6730">
        <w:rPr>
          <w:rFonts w:asciiTheme="minorBidi" w:hAnsiTheme="minorBidi"/>
          <w:sz w:val="16"/>
          <w:szCs w:val="16"/>
          <w:rtl/>
        </w:rPr>
        <w:t xml:space="preserve"> אלא הברור כמו שכתבתי)</w:t>
      </w:r>
      <w:r w:rsidRPr="005C6730">
        <w:rPr>
          <w:rFonts w:asciiTheme="minorBidi" w:hAnsiTheme="minorBidi"/>
          <w:rtl/>
        </w:rPr>
        <w:t xml:space="preserve"> מיהו מדברי סה"ת הובא בשערים ומרדכי ומדברי הסמ"ג</w:t>
      </w:r>
      <w:r w:rsidRPr="005C6730">
        <w:rPr>
          <w:rFonts w:asciiTheme="minorBidi" w:hAnsiTheme="minorBidi"/>
          <w:sz w:val="16"/>
          <w:szCs w:val="16"/>
          <w:rtl/>
        </w:rPr>
        <w:t xml:space="preserve"> (לאוין קלב)</w:t>
      </w:r>
      <w:r w:rsidRPr="005C6730">
        <w:rPr>
          <w:rFonts w:asciiTheme="minorBidi" w:hAnsiTheme="minorBidi"/>
          <w:rtl/>
        </w:rPr>
        <w:t xml:space="preserve"> משמע להדיא דא"צ אלא מים רותחים לבד משום דימותו מיד וכ"כ הר"ן בהדיא, והב"י לא הביאם, ש"ך (סקכ"ד).</w:t>
      </w:r>
    </w:p>
  </w:footnote>
  <w:footnote w:id="947">
    <w:p w14:paraId="318CF4B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ומהרש"ל </w:t>
      </w:r>
      <w:r w:rsidRPr="005C6730">
        <w:rPr>
          <w:rFonts w:asciiTheme="minorBidi" w:hAnsiTheme="minorBidi"/>
          <w:sz w:val="14"/>
          <w:szCs w:val="14"/>
          <w:rtl/>
        </w:rPr>
        <w:t>(באו"ש ובספרו שם סי' קכה)</w:t>
      </w:r>
      <w:r w:rsidRPr="005C6730">
        <w:rPr>
          <w:rFonts w:asciiTheme="minorBidi" w:hAnsiTheme="minorBidi"/>
          <w:rtl/>
        </w:rPr>
        <w:t xml:space="preserve"> פסק דדוקא בקטניות ופולין וכיוצא בהן מהני תקון זה, אבל בפירות שיש להם גרעינים מבפנים לא, דאפי' בתלוש חיישינן שמא פירש על גבי הגרעינין הלכך לא מהני להו רותחים ולא ברירה עכ"ד, ודעת הרב בת"ח שם נראה כדעת המחבר, וכ"מ מדברי הרא"ש והטור להדיא ע"ש, וכן מבואר בר"ן, והיינו דלא לשתמיט חד מהפוסקים לפלוגי בהכי, ועוד דאיכא ספיקי טובא ודוק, וע' בפרישה סעיף ו' ודוק, ש"ך (סקכ"ז).</w:t>
      </w:r>
    </w:p>
  </w:footnote>
  <w:footnote w:id="948">
    <w:p w14:paraId="07961763"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כלומר וישליכם לחוץ ואח"כ יתן הנשארים בקדרת מים רותחים שאם נשאר בו תולעת ימות מיד ולא יפרוש לחוץ, וכך מפורש בדברי הרא"ש ז"ל (סי' נג), ב"י.</w:t>
      </w:r>
    </w:p>
  </w:footnote>
  <w:footnote w:id="949">
    <w:p w14:paraId="240BD5D5" w14:textId="77777777" w:rsidR="004C5A3C" w:rsidRPr="005C6730" w:rsidRDefault="004C5A3C" w:rsidP="002C39F4">
      <w:pPr>
        <w:spacing w:after="0" w:line="240" w:lineRule="auto"/>
        <w:rPr>
          <w:rFonts w:asciiTheme="minorBidi" w:hAnsiTheme="minorBidi"/>
          <w:sz w:val="20"/>
          <w:szCs w:val="20"/>
        </w:rPr>
      </w:pPr>
      <w:r w:rsidRPr="005C6730">
        <w:rPr>
          <w:rStyle w:val="a7"/>
          <w:rFonts w:asciiTheme="minorBidi" w:hAnsiTheme="minorBidi"/>
          <w:sz w:val="20"/>
          <w:szCs w:val="20"/>
        </w:rPr>
        <w:footnoteRef/>
      </w:r>
      <w:r w:rsidRPr="005C6730">
        <w:rPr>
          <w:rFonts w:asciiTheme="minorBidi" w:hAnsiTheme="minorBidi"/>
          <w:sz w:val="20"/>
          <w:szCs w:val="20"/>
          <w:rtl/>
        </w:rPr>
        <w:t xml:space="preserve"> וכ' הב"י- וא"ת א"כ אף תוך י"ב חודש יעשה כן שיתנם לתוך מים צוננים ויעלו למעלה המתולעים והמנוקבים ויזרקם לחוץ ואח"כ יתן הנשארים בקדרת מים רותחים, ולמה סתם וכ'</w:t>
      </w:r>
      <w:r w:rsidRPr="005C6730">
        <w:rPr>
          <w:rFonts w:asciiTheme="minorBidi" w:hAnsiTheme="minorBidi"/>
          <w:sz w:val="14"/>
          <w:szCs w:val="14"/>
          <w:rtl/>
        </w:rPr>
        <w:t xml:space="preserve"> {הרא"ש}</w:t>
      </w:r>
      <w:r w:rsidRPr="005C6730">
        <w:rPr>
          <w:rFonts w:asciiTheme="minorBidi" w:hAnsiTheme="minorBidi"/>
          <w:sz w:val="20"/>
          <w:szCs w:val="20"/>
          <w:rtl/>
        </w:rPr>
        <w:t xml:space="preserve"> דתוך י"ב חודש אין לו תקנה? ונ"ל דחיישי' שמא קצת מתולעים לא יעלו למעלה ויתבשלו ויאכלם והם אסורים אע"פ שלא פירשו לפי שגדלו במחובר, אבל אחר י"ב חודש דליכא למיחש לאותם שגדלו במחובר, דהא ליתנהו, אף אם ישארו קצת מתולעים ויתבשלו ויאכלם לית לן בה דכיון דגדלו בתלוש כל שלא פירשו מותרים הם </w:t>
      </w:r>
      <w:r w:rsidRPr="005C6730">
        <w:rPr>
          <w:rFonts w:asciiTheme="minorBidi" w:hAnsiTheme="minorBidi"/>
          <w:sz w:val="16"/>
          <w:szCs w:val="16"/>
          <w:rtl/>
        </w:rPr>
        <w:t xml:space="preserve">(ותדע דאין כל המתולעים עולים למעלה שהרי כ'- 'ואח"כ יתנם בקדרה רותחת שאם נשאר בו תולע ימות מיד', אלמא אין כל המתולעים עולים למעלה, וכן נראה ממ"ש הרשב"א ז"ל בחידו' </w:t>
      </w:r>
      <w:r w:rsidRPr="005C6730">
        <w:rPr>
          <w:rFonts w:asciiTheme="minorBidi" w:hAnsiTheme="minorBidi"/>
          <w:sz w:val="14"/>
          <w:szCs w:val="14"/>
          <w:rtl/>
        </w:rPr>
        <w:t xml:space="preserve">(נח. ד"ה אמר רב פפא) </w:t>
      </w:r>
      <w:r w:rsidRPr="005C6730">
        <w:rPr>
          <w:rFonts w:asciiTheme="minorBidi" w:hAnsiTheme="minorBidi"/>
          <w:sz w:val="16"/>
          <w:szCs w:val="16"/>
          <w:rtl/>
        </w:rPr>
        <w:t>צריך ליזהר לשרותן תחלה במים צוננין כדי שיפרוש שם העתיד לפרוש ואח"כ ישים במים רותחים ודיו בכך ואם נמצאו אחד או שנים בקדרה משליכם ואוכל את השאר, ע"כ, משמע מדבריו שאינו עולה למעלה אלא המתולעים העתידים לפרוש אבל המתולעים שאינם עתידים לפרוש אינם עולים למעלה)</w:t>
      </w:r>
      <w:r w:rsidRPr="005C6730">
        <w:rPr>
          <w:rFonts w:asciiTheme="minorBidi" w:hAnsiTheme="minorBidi"/>
          <w:sz w:val="20"/>
          <w:szCs w:val="20"/>
          <w:rtl/>
        </w:rPr>
        <w:t>. ומדברי הר"ן</w:t>
      </w:r>
      <w:r w:rsidRPr="005C6730">
        <w:rPr>
          <w:rFonts w:asciiTheme="minorBidi" w:hAnsiTheme="minorBidi"/>
          <w:sz w:val="14"/>
          <w:szCs w:val="14"/>
          <w:rtl/>
        </w:rPr>
        <w:t xml:space="preserve"> (שם) </w:t>
      </w:r>
      <w:r w:rsidRPr="005C6730">
        <w:rPr>
          <w:rFonts w:asciiTheme="minorBidi" w:hAnsiTheme="minorBidi"/>
          <w:sz w:val="20"/>
          <w:szCs w:val="20"/>
          <w:rtl/>
        </w:rPr>
        <w:t>למדתי תירוץ אחר שכ'- צריך ליזהר לשהותן תחלה במים צוננים וכל הפירות הקלין צפין ועולין למעלה וזורקין אותן ואינך שרו דמסתמא לא נשאר בהם פרי שהתליע, ואם מצא מהן בתבשיל בשעה שהוא אוכלן- זורקן ואוכל את השאר, מיהו הך תקנתא תוך י"ב חודש לא סגיא שאין הפירות שמתליעים במחובר צפין כמו אותם שמתליעין בתלוש.</w:t>
      </w:r>
    </w:p>
  </w:footnote>
  <w:footnote w:id="950">
    <w:p w14:paraId="75170DF0" w14:textId="77777777" w:rsidR="004C5A3C" w:rsidRDefault="004C5A3C" w:rsidP="002C39F4">
      <w:pPr>
        <w:pStyle w:val="a5"/>
        <w:rPr>
          <w:rtl/>
        </w:rPr>
      </w:pPr>
      <w:r>
        <w:rPr>
          <w:rStyle w:val="a7"/>
        </w:rPr>
        <w:footnoteRef/>
      </w:r>
      <w:r>
        <w:rPr>
          <w:rtl/>
        </w:rPr>
        <w:t xml:space="preserve"> </w:t>
      </w:r>
      <w:r>
        <w:rPr>
          <w:rFonts w:asciiTheme="minorBidi" w:hAnsiTheme="minorBidi"/>
          <w:rtl/>
        </w:rPr>
        <w:t>או"ה</w:t>
      </w:r>
      <w:r w:rsidRPr="005C6730">
        <w:rPr>
          <w:rFonts w:asciiTheme="minorBidi" w:hAnsiTheme="minorBidi"/>
          <w:rtl/>
        </w:rPr>
        <w:t xml:space="preserve"> </w:t>
      </w:r>
      <w:r w:rsidRPr="005C6730">
        <w:rPr>
          <w:rFonts w:asciiTheme="minorBidi" w:hAnsiTheme="minorBidi"/>
          <w:sz w:val="16"/>
          <w:szCs w:val="16"/>
          <w:rtl/>
        </w:rPr>
        <w:t>(כלל מא ד"ג, הביאו הש"ך)</w:t>
      </w:r>
      <w:r w:rsidRPr="005C6730">
        <w:rPr>
          <w:rFonts w:asciiTheme="minorBidi" w:hAnsiTheme="minorBidi"/>
          <w:rtl/>
        </w:rPr>
        <w:t xml:space="preserve"> מהר"ם מלובלין </w:t>
      </w:r>
      <w:r w:rsidRPr="005C6730">
        <w:rPr>
          <w:rFonts w:asciiTheme="minorBidi" w:hAnsiTheme="minorBidi"/>
          <w:sz w:val="16"/>
          <w:szCs w:val="16"/>
          <w:rtl/>
        </w:rPr>
        <w:t>(סי' כז)</w:t>
      </w:r>
      <w:r w:rsidRPr="005C6730">
        <w:rPr>
          <w:rFonts w:asciiTheme="minorBidi" w:hAnsiTheme="minorBidi"/>
          <w:rtl/>
        </w:rPr>
        <w:t xml:space="preserve"> ש"ך </w:t>
      </w:r>
      <w:r w:rsidRPr="007560C9">
        <w:rPr>
          <w:rFonts w:asciiTheme="minorBidi" w:hAnsiTheme="minorBidi"/>
          <w:sz w:val="16"/>
          <w:szCs w:val="16"/>
          <w:rtl/>
        </w:rPr>
        <w:t>(סקכ"ט)</w:t>
      </w:r>
      <w:r>
        <w:rPr>
          <w:rFonts w:asciiTheme="minorBidi" w:hAnsiTheme="minorBidi" w:hint="cs"/>
          <w:rtl/>
        </w:rPr>
        <w:t xml:space="preserve"> ופר"ח </w:t>
      </w:r>
      <w:r>
        <w:rPr>
          <w:rFonts w:asciiTheme="minorBidi" w:hAnsiTheme="minorBidi" w:hint="cs"/>
          <w:sz w:val="16"/>
          <w:szCs w:val="16"/>
          <w:rtl/>
        </w:rPr>
        <w:t>(סקל"א)</w:t>
      </w:r>
      <w:r w:rsidRPr="005C6730">
        <w:rPr>
          <w:rFonts w:asciiTheme="minorBidi" w:hAnsiTheme="minorBidi"/>
          <w:rtl/>
        </w:rPr>
        <w:t>.</w:t>
      </w:r>
      <w:r>
        <w:rPr>
          <w:rFonts w:hint="cs"/>
          <w:rtl/>
        </w:rPr>
        <w:t xml:space="preserve"> וכן מפורש בדבריו בתשובה </w:t>
      </w:r>
      <w:r w:rsidRPr="00663B18">
        <w:rPr>
          <w:rFonts w:hint="cs"/>
          <w:sz w:val="16"/>
          <w:szCs w:val="16"/>
          <w:rtl/>
        </w:rPr>
        <w:t>(ח"א סי' קיג)</w:t>
      </w:r>
      <w:r>
        <w:rPr>
          <w:rFonts w:hint="cs"/>
          <w:rtl/>
        </w:rPr>
        <w:t xml:space="preserve">. אך הט"ז </w:t>
      </w:r>
      <w:r w:rsidRPr="007560C9">
        <w:rPr>
          <w:rFonts w:hint="cs"/>
          <w:sz w:val="16"/>
          <w:szCs w:val="16"/>
          <w:rtl/>
        </w:rPr>
        <w:t>(סקי"ז</w:t>
      </w:r>
      <w:r>
        <w:rPr>
          <w:rFonts w:hint="cs"/>
          <w:sz w:val="16"/>
          <w:szCs w:val="16"/>
          <w:rtl/>
        </w:rPr>
        <w:t>)</w:t>
      </w:r>
      <w:r w:rsidRPr="007560C9">
        <w:rPr>
          <w:rFonts w:hint="cs"/>
          <w:sz w:val="16"/>
          <w:szCs w:val="16"/>
          <w:rtl/>
        </w:rPr>
        <w:t xml:space="preserve"> </w:t>
      </w:r>
      <w:r>
        <w:rPr>
          <w:rFonts w:hint="cs"/>
          <w:rtl/>
        </w:rPr>
        <w:t>כ' דהרשב"א מיירי בפירות שדרכן להתליע והוה כודאי ואעפ"כ התיר.</w:t>
      </w:r>
    </w:p>
  </w:footnote>
  <w:footnote w:id="951">
    <w:p w14:paraId="107EADE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הא למה הדבר דומה לבא זאב ונטל בני מעים של בהמה דמעמידים אותה בחזקת היתר. ועוד שהרי יש כאן שתי ספיקות, ספק היה שם רחש ספק לא היה, ואם תמצא לומר היה שם שמא נימוח ונתבטל. ואעפ"י שאמרו בריה לא בטלה, לא אמרו אלא בבריה שלימה אבל מחויה ואפילו חתוכה בטלה, כמו שיתבאר בבית התערובות </w:t>
      </w:r>
      <w:r w:rsidRPr="005C6730">
        <w:rPr>
          <w:rFonts w:asciiTheme="minorBidi" w:hAnsiTheme="minorBidi"/>
          <w:sz w:val="16"/>
          <w:szCs w:val="16"/>
          <w:rtl/>
        </w:rPr>
        <w:t>(ב"ד ש"א)</w:t>
      </w:r>
      <w:r w:rsidRPr="005C6730">
        <w:rPr>
          <w:rFonts w:asciiTheme="minorBidi" w:hAnsiTheme="minorBidi"/>
          <w:rtl/>
        </w:rPr>
        <w:t xml:space="preserve">. ולפיכך כל שיש בו שתי ספיקות אפילו באסורי תורה הולכין להקל, רשב"א </w:t>
      </w:r>
      <w:r w:rsidRPr="005C6730">
        <w:rPr>
          <w:rFonts w:asciiTheme="minorBidi" w:hAnsiTheme="minorBidi"/>
          <w:sz w:val="16"/>
          <w:szCs w:val="16"/>
          <w:rtl/>
        </w:rPr>
        <w:t>(הביאו הב"י לשונו)</w:t>
      </w:r>
      <w:r w:rsidRPr="005C6730">
        <w:rPr>
          <w:rFonts w:asciiTheme="minorBidi" w:hAnsiTheme="minorBidi"/>
          <w:rtl/>
        </w:rPr>
        <w:t xml:space="preserve">. </w:t>
      </w:r>
    </w:p>
  </w:footnote>
  <w:footnote w:id="952">
    <w:p w14:paraId="66E2E26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הב"י וז"ל- ואע"ג דהרשב"א ז"ל ב-'עבר עליהם שנים עשר חודש' כתבו </w:t>
      </w:r>
      <w:r w:rsidRPr="005C6730">
        <w:rPr>
          <w:rFonts w:asciiTheme="minorBidi" w:hAnsiTheme="minorBidi"/>
          <w:sz w:val="16"/>
          <w:szCs w:val="16"/>
          <w:rtl/>
        </w:rPr>
        <w:t>{והב"י הביא את לשונו, והעתקתיו לעיל}</w:t>
      </w:r>
      <w:r w:rsidRPr="005C6730">
        <w:rPr>
          <w:rFonts w:asciiTheme="minorBidi" w:hAnsiTheme="minorBidi"/>
          <w:rtl/>
        </w:rPr>
        <w:t xml:space="preserve">, לא נמנע רבינו </w:t>
      </w:r>
      <w:r w:rsidRPr="005C6730">
        <w:rPr>
          <w:rFonts w:asciiTheme="minorBidi" w:hAnsiTheme="minorBidi"/>
          <w:sz w:val="16"/>
          <w:szCs w:val="16"/>
          <w:rtl/>
        </w:rPr>
        <w:t xml:space="preserve">{הטור} </w:t>
      </w:r>
      <w:r w:rsidRPr="005C6730">
        <w:rPr>
          <w:rFonts w:asciiTheme="minorBidi" w:hAnsiTheme="minorBidi"/>
          <w:rtl/>
        </w:rPr>
        <w:t>מלכתבו ל-'תוך שנים עשר חודש', דכיון דבפירשו התולעים מיירי כדמשמע מלישנא דאם נמצאו קצת בתוך הקדרה וכו', ועוד דאי בלא פירשו מישרא שרי, אלא על כרחך בפירשו מיירי, ואפילו הכי קאמר דמשליך ואוכל את השאר, א"כ ה"ה לתוך שנים עשר חודש, דכל שפירשו אף לאחר שנים עשר חודש אסורים, אפילו פירשו משמתו לדעת הרשב"א כמו שקדם, ואפ"ה שרי השאר משום דאין בפליטתן כדי לאסור תערובתן, א"כ מינה נלמוד להיכא שבשלו תוך שנים עשר חודש בין פירשו בין לא פירשו.</w:t>
      </w:r>
    </w:p>
  </w:footnote>
  <w:footnote w:id="953">
    <w:p w14:paraId="2914F8BE"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ראב"ד</w:t>
      </w:r>
      <w:r w:rsidRPr="005C6730">
        <w:rPr>
          <w:rFonts w:asciiTheme="minorBidi" w:hAnsiTheme="minorBidi"/>
          <w:sz w:val="16"/>
          <w:szCs w:val="16"/>
          <w:rtl/>
        </w:rPr>
        <w:t xml:space="preserve"> (הביאוהו הר"ן והא"ח [הל</w:t>
      </w:r>
      <w:r>
        <w:rPr>
          <w:rFonts w:asciiTheme="minorBidi" w:hAnsiTheme="minorBidi" w:hint="cs"/>
          <w:sz w:val="16"/>
          <w:szCs w:val="16"/>
          <w:rtl/>
        </w:rPr>
        <w:t xml:space="preserve">א"מ </w:t>
      </w:r>
      <w:r w:rsidRPr="005C6730">
        <w:rPr>
          <w:rFonts w:asciiTheme="minorBidi" w:hAnsiTheme="minorBidi"/>
          <w:sz w:val="16"/>
          <w:szCs w:val="16"/>
          <w:rtl/>
        </w:rPr>
        <w:t>סי' מא, לענין תבשיל של ירק שנמצאו בו תולעים])</w:t>
      </w:r>
      <w:r w:rsidRPr="005C6730">
        <w:rPr>
          <w:rFonts w:asciiTheme="minorBidi" w:hAnsiTheme="minorBidi"/>
          <w:rtl/>
        </w:rPr>
        <w:t xml:space="preserve"> ור"ן</w:t>
      </w:r>
      <w:r w:rsidRPr="005C6730">
        <w:rPr>
          <w:rFonts w:asciiTheme="minorBidi" w:hAnsiTheme="minorBidi"/>
          <w:sz w:val="16"/>
          <w:szCs w:val="16"/>
          <w:rtl/>
        </w:rPr>
        <w:t xml:space="preserve"> (יט: דיבור ראשון)</w:t>
      </w:r>
    </w:p>
  </w:footnote>
  <w:footnote w:id="954">
    <w:p w14:paraId="24974AA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הר"ן (שם, גבי הני תמרי דכדא) הביא את דברי הרשב"א הנ"ל וכתב עליו- מיהו כתב הראב"ד ד-...</w:t>
      </w:r>
    </w:p>
  </w:footnote>
  <w:footnote w:id="955">
    <w:p w14:paraId="5B17699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מאי איכא למימר שמא נימוחו ובטלו, משום חד ספיקא לא שרינן ליה</w:t>
      </w:r>
      <w:r>
        <w:rPr>
          <w:rFonts w:asciiTheme="minorBidi" w:hAnsiTheme="minorBidi" w:hint="cs"/>
          <w:rtl/>
        </w:rPr>
        <w:t xml:space="preserve"> </w:t>
      </w:r>
      <w:r w:rsidRPr="002F0769">
        <w:rPr>
          <w:rFonts w:asciiTheme="minorBidi" w:hAnsiTheme="minorBidi" w:cs="Arial"/>
          <w:rtl/>
        </w:rPr>
        <w:t>והדעת מכרעת כדבריו</w:t>
      </w:r>
      <w:r w:rsidRPr="005C6730">
        <w:rPr>
          <w:rFonts w:asciiTheme="minorBidi" w:hAnsiTheme="minorBidi"/>
          <w:rtl/>
        </w:rPr>
        <w:t>, ר"ן.</w:t>
      </w:r>
      <w:r>
        <w:rPr>
          <w:rFonts w:asciiTheme="minorBidi" w:hAnsiTheme="minorBidi" w:hint="cs"/>
          <w:rtl/>
        </w:rPr>
        <w:t xml:space="preserve"> </w:t>
      </w:r>
    </w:p>
  </w:footnote>
  <w:footnote w:id="956">
    <w:p w14:paraId="2C39C069" w14:textId="77777777" w:rsidR="004C5A3C" w:rsidRDefault="004C5A3C" w:rsidP="002C39F4">
      <w:pPr>
        <w:pStyle w:val="a5"/>
      </w:pPr>
      <w:r>
        <w:rPr>
          <w:rStyle w:val="a7"/>
        </w:rPr>
        <w:footnoteRef/>
      </w:r>
      <w:r>
        <w:rPr>
          <w:rtl/>
        </w:rPr>
        <w:t xml:space="preserve"> </w:t>
      </w:r>
      <w:r>
        <w:rPr>
          <w:rFonts w:hint="cs"/>
          <w:rtl/>
        </w:rPr>
        <w:t xml:space="preserve">הרשב"א לא כתב במפורש ג' תולעים כמו שכתבו הר"ן והראב"ד אבל מ"מ השאלה שנשאל הרשב"א היא שנמצאו ג' תולעים ועל שאלה זו הוא ענה שאסור ושזה מיירי מוחזק בתולעים, א"כ מפורש בדבריו שדעתו כן. </w:t>
      </w:r>
      <w:r w:rsidRPr="008F267F">
        <w:rPr>
          <w:rFonts w:hint="cs"/>
          <w:color w:val="FF0000"/>
          <w:rtl/>
        </w:rPr>
        <w:t>ומ"מ צל"ע מדוע השו"ע חילק בין הדיעות וכתב אחרי דברי הרשב"א את דברי הר"ן כיש מי שאומר, והרי זו גם דעת הרשב"א</w:t>
      </w:r>
      <w:r>
        <w:rPr>
          <w:rFonts w:hint="cs"/>
          <w:rtl/>
        </w:rPr>
        <w:t>.</w:t>
      </w:r>
    </w:p>
  </w:footnote>
  <w:footnote w:id="957">
    <w:p w14:paraId="3E9742BA"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אחד מהגדולים </w:t>
      </w:r>
      <w:r w:rsidRPr="005C6730">
        <w:rPr>
          <w:rFonts w:asciiTheme="minorBidi" w:hAnsiTheme="minorBidi"/>
          <w:sz w:val="16"/>
          <w:szCs w:val="16"/>
          <w:rtl/>
        </w:rPr>
        <w:t>(הביאו תרוה"</w:t>
      </w:r>
      <w:r>
        <w:rPr>
          <w:rFonts w:asciiTheme="minorBidi" w:hAnsiTheme="minorBidi" w:hint="cs"/>
          <w:sz w:val="16"/>
          <w:szCs w:val="16"/>
          <w:rtl/>
        </w:rPr>
        <w:t>ד</w:t>
      </w:r>
      <w:r w:rsidRPr="005C6730">
        <w:rPr>
          <w:rFonts w:asciiTheme="minorBidi" w:hAnsiTheme="minorBidi"/>
          <w:sz w:val="16"/>
          <w:szCs w:val="16"/>
          <w:rtl/>
        </w:rPr>
        <w:t xml:space="preserve"> שם)</w:t>
      </w:r>
      <w:r w:rsidRPr="005C6730">
        <w:rPr>
          <w:rFonts w:asciiTheme="minorBidi" w:hAnsiTheme="minorBidi"/>
          <w:rtl/>
        </w:rPr>
        <w:t xml:space="preserve"> שנראה לו שאפילו בגודגדניות יש לסמוך אשיעור דמהר"ם, ואיהו</w:t>
      </w:r>
      <w:r w:rsidRPr="005C6730">
        <w:rPr>
          <w:rFonts w:asciiTheme="minorBidi" w:hAnsiTheme="minorBidi"/>
          <w:sz w:val="14"/>
          <w:szCs w:val="14"/>
          <w:rtl/>
        </w:rPr>
        <w:t xml:space="preserve"> {מהר"ם}</w:t>
      </w:r>
      <w:r w:rsidRPr="005C6730">
        <w:rPr>
          <w:rFonts w:asciiTheme="minorBidi" w:hAnsiTheme="minorBidi"/>
          <w:sz w:val="16"/>
          <w:szCs w:val="16"/>
          <w:rtl/>
        </w:rPr>
        <w:t xml:space="preserve"> </w:t>
      </w:r>
      <w:r w:rsidRPr="005C6730">
        <w:rPr>
          <w:rFonts w:asciiTheme="minorBidi" w:hAnsiTheme="minorBidi"/>
          <w:rtl/>
        </w:rPr>
        <w:t>ע"כ סבר שאין לחלק בין פירות גסים ובין שאינם גסים, שהרי כתב שאין לך שום פירי שלא יהא בו ס' כנגד התולעת שבו, ואין לתמוה על הדבר ואע"פ שעינינו רואות לפעמים התולעת גדול בפירי קטן, דשמא מה שהוא נותן טעם מבשר התולעת דבר מועט הוא, דרוב גופו סרוח ופגום ובאוש מעיקרא הוא. כל זה כתב אחד מהגדולים. וכ' עליו תרוה"ד וז"ל- אך אתמהה לפי זה היאך ידע מהר"ם לשער זה אם לא היה מקובל רב מפי רב עד חכמי התלמוד מה שהוא נותן טעם או מה שהוא סרוח מעיקרא בתולעת. וכ' עוד תרוה"ד דדוקא בתפוחים גסים וכן שאר פירות הגסים סמכינן אשיעורה דמהר"ם דלעיל.</w:t>
      </w:r>
    </w:p>
  </w:footnote>
  <w:footnote w:id="958">
    <w:p w14:paraId="4BE7B774" w14:textId="77777777" w:rsidR="004C5A3C" w:rsidRPr="005C6730" w:rsidRDefault="004C5A3C" w:rsidP="002C39F4">
      <w:pPr>
        <w:spacing w:after="0" w:line="240" w:lineRule="auto"/>
        <w:rPr>
          <w:rFonts w:asciiTheme="minorBidi" w:hAnsiTheme="minorBidi"/>
          <w:sz w:val="20"/>
          <w:szCs w:val="20"/>
        </w:rPr>
      </w:pPr>
      <w:r w:rsidRPr="005C6730">
        <w:rPr>
          <w:rStyle w:val="a7"/>
          <w:rFonts w:asciiTheme="minorBidi" w:hAnsiTheme="minorBidi"/>
          <w:sz w:val="20"/>
          <w:szCs w:val="20"/>
        </w:rPr>
        <w:footnoteRef/>
      </w:r>
      <w:r w:rsidRPr="005C6730">
        <w:rPr>
          <w:rFonts w:asciiTheme="minorBidi" w:hAnsiTheme="minorBidi"/>
          <w:sz w:val="20"/>
          <w:szCs w:val="20"/>
          <w:rtl/>
        </w:rPr>
        <w:t xml:space="preserve"> כן הבין הש"ך (סק"ל) מדברי הרמ"א, וז"ל- מדסתם הדברים משמע דאפי' בפירות קטנים כגון גודגדניות וכיוצא בהן יש ס', דאע"פ שאין בפרי עצמה ס' נגד התולע מ"מ איכא ס' נגד טעם התולע, וכמ"ש מהרא"י בשם גדול אחד</w:t>
      </w:r>
      <w:r>
        <w:rPr>
          <w:rFonts w:asciiTheme="minorBidi" w:hAnsiTheme="minorBidi" w:hint="cs"/>
          <w:sz w:val="20"/>
          <w:szCs w:val="20"/>
          <w:rtl/>
        </w:rPr>
        <w:t>,</w:t>
      </w:r>
      <w:r w:rsidRPr="005C6730">
        <w:rPr>
          <w:rFonts w:asciiTheme="minorBidi" w:hAnsiTheme="minorBidi"/>
          <w:sz w:val="20"/>
          <w:szCs w:val="20"/>
          <w:rtl/>
        </w:rPr>
        <w:t xml:space="preserve"> והיינו שכתב הרב</w:t>
      </w:r>
      <w:r>
        <w:rPr>
          <w:rFonts w:asciiTheme="minorBidi" w:hAnsiTheme="minorBidi" w:hint="cs"/>
          <w:sz w:val="20"/>
          <w:szCs w:val="20"/>
          <w:rtl/>
        </w:rPr>
        <w:t>-</w:t>
      </w:r>
      <w:r w:rsidRPr="005C6730">
        <w:rPr>
          <w:rFonts w:asciiTheme="minorBidi" w:hAnsiTheme="minorBidi"/>
          <w:sz w:val="20"/>
          <w:szCs w:val="20"/>
          <w:rtl/>
        </w:rPr>
        <w:t xml:space="preserve"> </w:t>
      </w:r>
      <w:r>
        <w:rPr>
          <w:rFonts w:asciiTheme="minorBidi" w:hAnsiTheme="minorBidi" w:hint="cs"/>
          <w:sz w:val="20"/>
          <w:szCs w:val="20"/>
          <w:rtl/>
        </w:rPr>
        <w:t>'</w:t>
      </w:r>
      <w:r w:rsidRPr="005C6730">
        <w:rPr>
          <w:rFonts w:asciiTheme="minorBidi" w:hAnsiTheme="minorBidi"/>
          <w:sz w:val="20"/>
          <w:szCs w:val="20"/>
          <w:rtl/>
        </w:rPr>
        <w:t>נגד טעם התולע</w:t>
      </w:r>
      <w:r>
        <w:rPr>
          <w:rFonts w:asciiTheme="minorBidi" w:hAnsiTheme="minorBidi" w:hint="cs"/>
          <w:sz w:val="20"/>
          <w:szCs w:val="20"/>
          <w:rtl/>
        </w:rPr>
        <w:t>'</w:t>
      </w:r>
      <w:r w:rsidRPr="005C6730">
        <w:rPr>
          <w:rFonts w:asciiTheme="minorBidi" w:hAnsiTheme="minorBidi"/>
          <w:sz w:val="20"/>
          <w:szCs w:val="20"/>
          <w:rtl/>
        </w:rPr>
        <w:t xml:space="preserve">, וכ"כ בת"ח (כלל מו ד"ח) שכן עיקר לדינא, אלא שכתב אח"כ דיש לחוש לדברי מהרא"י לנהוג חומרא בפרי עצמה אבל אם יש בתבשיל ג"כ דברים אחרים מלבד הפרי שרי לכ"ע אם ששים נגד התולע עכ"ד. </w:t>
      </w:r>
    </w:p>
  </w:footnote>
  <w:footnote w:id="959">
    <w:p w14:paraId="1375CDD6" w14:textId="77777777" w:rsidR="004C5A3C" w:rsidRDefault="004C5A3C" w:rsidP="002C39F4">
      <w:pPr>
        <w:pStyle w:val="a5"/>
      </w:pPr>
      <w:r>
        <w:rPr>
          <w:rStyle w:val="a7"/>
        </w:rPr>
        <w:footnoteRef/>
      </w:r>
      <w:r>
        <w:rPr>
          <w:rtl/>
        </w:rPr>
        <w:t xml:space="preserve"> </w:t>
      </w:r>
      <w:r>
        <w:rPr>
          <w:rFonts w:hint="cs"/>
          <w:rtl/>
        </w:rPr>
        <w:t xml:space="preserve">הראבי"ה סיים- </w:t>
      </w:r>
      <w:r w:rsidRPr="00B940A0">
        <w:rPr>
          <w:rtl/>
        </w:rPr>
        <w:t>אבל שאר פירות לא מהני לבטל לפי מאי דנהגינן כדפסק רש"י דמין במינו לא בטיל</w:t>
      </w:r>
      <w:r>
        <w:rPr>
          <w:rFonts w:hint="cs"/>
          <w:rtl/>
        </w:rPr>
        <w:t>. עכ"ל. ובזה כבר נתבאר דלא קיי"ל הכי.</w:t>
      </w:r>
    </w:p>
  </w:footnote>
  <w:footnote w:id="960">
    <w:p w14:paraId="2966456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אם יש לחוש שהתליע במחובר אפי' לא ניקב לחוץ, ובתלוש בשניקב לחוץ, רש"ל.</w:t>
      </w:r>
    </w:p>
  </w:footnote>
  <w:footnote w:id="961">
    <w:p w14:paraId="5381AF9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סק"ל. וכ' דכ"כ השערים </w:t>
      </w:r>
      <w:r w:rsidRPr="005C6730">
        <w:rPr>
          <w:rFonts w:asciiTheme="minorBidi" w:hAnsiTheme="minorBidi"/>
          <w:sz w:val="16"/>
          <w:szCs w:val="16"/>
          <w:rtl/>
        </w:rPr>
        <w:t xml:space="preserve">(ס"ס מ"ט) </w:t>
      </w:r>
      <w:r w:rsidRPr="005C6730">
        <w:rPr>
          <w:rFonts w:asciiTheme="minorBidi" w:hAnsiTheme="minorBidi"/>
          <w:rtl/>
        </w:rPr>
        <w:t xml:space="preserve">להדיא, וכ"פ באגור </w:t>
      </w:r>
      <w:r w:rsidRPr="005C6730">
        <w:rPr>
          <w:rFonts w:asciiTheme="minorBidi" w:hAnsiTheme="minorBidi"/>
          <w:sz w:val="16"/>
          <w:szCs w:val="16"/>
          <w:rtl/>
        </w:rPr>
        <w:t>(סי' אלף רצב)</w:t>
      </w:r>
      <w:r w:rsidRPr="005C6730">
        <w:rPr>
          <w:rFonts w:asciiTheme="minorBidi" w:hAnsiTheme="minorBidi"/>
          <w:rtl/>
        </w:rPr>
        <w:t xml:space="preserve">, וכ"מ באו"ה </w:t>
      </w:r>
      <w:r w:rsidRPr="005C6730">
        <w:rPr>
          <w:rFonts w:asciiTheme="minorBidi" w:hAnsiTheme="minorBidi"/>
          <w:sz w:val="16"/>
          <w:szCs w:val="16"/>
          <w:rtl/>
        </w:rPr>
        <w:t>(כלל כז וכ"כ בכלל לו די"ב)</w:t>
      </w:r>
      <w:r w:rsidRPr="005C6730">
        <w:rPr>
          <w:rFonts w:asciiTheme="minorBidi" w:hAnsiTheme="minorBidi"/>
          <w:rtl/>
        </w:rPr>
        <w:t xml:space="preserve"> בהדיא, וכ"מ במהרי"ל, גם מ"ש הרב בת"ח שמדברי הרשב"א והטור משמע דאין חילוק, אין ראיה כלל דאינהו לטעמייהו אזלי דלא ס"ל חנ"נ בשאר אסורים כדלקמן סי' צ"ב, וכן באיסור דבוק הכל מצטרף וכדלעיל סי' ע"ב סקט"ו, והלכך אין חילוק דכל הקדרה מצטרף, גם מה שצידד שם להתיר מטעם דלקמן יתבאר דרבים אומרים דאין טעם התולע אוסר משום דהוא פגום עכ"ל ור"ל שהביא בסוף כלל נ"א בשם הרבה פוסקים דאין טעם הזבוב אוסר ומשמע ליה להרב דה"ה טעם התולע וכן השוה אותם בפירוש בסוף כלל נ"א, וז"א דהא המקילים בזבוב הם הרשב"א והרוקח שהביא שם והם עצמם אוסרים בתולע דהא כ' הרשב"א ומביאו הטור שאין בהם כ"כ שיאסרו בפליטתן, וכן מחלק הרוקח</w:t>
      </w:r>
      <w:r w:rsidRPr="005C6730">
        <w:rPr>
          <w:rFonts w:asciiTheme="minorBidi" w:hAnsiTheme="minorBidi"/>
          <w:sz w:val="16"/>
          <w:szCs w:val="16"/>
          <w:rtl/>
        </w:rPr>
        <w:t xml:space="preserve"> (סי' תסח)</w:t>
      </w:r>
      <w:r w:rsidRPr="005C6730">
        <w:rPr>
          <w:rFonts w:asciiTheme="minorBidi" w:hAnsiTheme="minorBidi"/>
          <w:rtl/>
        </w:rPr>
        <w:t xml:space="preserve"> בהדיא בין זבוב לתולעת בפרי גם לקמן ס"ס ק"ז יתבאר דרבו האוסרים גבי זבוב.</w:t>
      </w:r>
    </w:p>
  </w:footnote>
  <w:footnote w:id="962">
    <w:p w14:paraId="313A7459"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יליף רש"ל מזה דגם תוך י"ב מהני בדיקה יפה דהיינו לבדוק כל פרי בפני עצמו לראות אם אין בו ריעותא מבחוץ סגי, ומ"ש הטור תוך י"ב אין לו תקנה- היינו בתקנה דמים רותחין, ורמ"א בת"ח כ'- והמנהג דבוררין הקטניות שקורין ערביס"ן תוך י"ב חודש על השולחן ובוררין הנקובין מהן עכ"ל, וכ' רש"ל דכיון דצריך בדיקה יפה ואיכא טירחא אין להאמין לנשים בבדיקה זו, ות"ח כתב דהמנהג להקל בזה כי יש הרבה צדדין להקל בזה, ט"ז (סקי"ד).</w:t>
      </w:r>
    </w:p>
  </w:footnote>
  <w:footnote w:id="963">
    <w:p w14:paraId="2A8E4629" w14:textId="77777777" w:rsidR="004C5A3C" w:rsidRDefault="004C5A3C" w:rsidP="002C39F4">
      <w:pPr>
        <w:pStyle w:val="a5"/>
      </w:pPr>
      <w:r>
        <w:rPr>
          <w:rStyle w:val="a7"/>
        </w:rPr>
        <w:footnoteRef/>
      </w:r>
      <w:r>
        <w:rPr>
          <w:rtl/>
        </w:rPr>
        <w:t xml:space="preserve"> </w:t>
      </w:r>
      <w:r>
        <w:rPr>
          <w:rFonts w:hint="cs"/>
          <w:rtl/>
        </w:rPr>
        <w:t>כיון דאינם מוחזקים בתולעים, אבל אם אלו פירות שהוחזקו בתולעים ודאי אין להם היתר בלא בדיקה וכמו שנתבאר לעיל.</w:t>
      </w:r>
    </w:p>
  </w:footnote>
  <w:footnote w:id="964">
    <w:p w14:paraId="2F2665D7"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לכאורה תמוה למה לי ד' כיון שבג' אסור לא משכחת ליה ד' בלא ג', ונראה דהר"ן דכתב כן כמו שמביא ב"י קמ"ל דאפי' בד' יש היתר ברוטב ע"י סינון כמו שכתוב בסמוך (סע' י), וזה רמז במ"ש הר"ן 'והכל אסור ולא סגי בזריקתן' להורות דזריקה לא מהני אבל סינון, מהני והשו"ע גריר בתריה בלשון, אף שלא סיים כן, וע' סי' ק, ט"ז (סקט"ז).</w:t>
      </w:r>
    </w:p>
  </w:footnote>
  <w:footnote w:id="965">
    <w:p w14:paraId="6F1DC5D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הש"ך (סקל"א) דכך הדין בפירות שדרכן להתליע, אפי' דרכן להתליע בתלוש ורגיל להיות ביניהם תולעים בחוץ אפילו לאחר י"ב חודש </w:t>
      </w:r>
      <w:r w:rsidRPr="005C6730">
        <w:rPr>
          <w:rFonts w:asciiTheme="minorBidi" w:hAnsiTheme="minorBidi"/>
          <w:sz w:val="16"/>
          <w:szCs w:val="16"/>
          <w:rtl/>
        </w:rPr>
        <w:t>(דעדיין ליכא כאן אלא חדא ספיקא דנמוח- לכן הכל אסור)</w:t>
      </w:r>
      <w:r w:rsidRPr="005C6730">
        <w:rPr>
          <w:rFonts w:asciiTheme="minorBidi" w:hAnsiTheme="minorBidi"/>
          <w:rtl/>
        </w:rPr>
        <w:t xml:space="preserve">, אבל כשאין לחוש אלא לתולעים שבפנים יש להתיר לאחר י"ב חודש מטעם ספק ספיקא- ספק פירש חי או פירש מת דשרי ואת"ל פירש חי שמא נימוח, ואע"ג דהר"ן ס"ל פירש מת אסור, מ"מ דעת המחבר והרבה פוסקים שהבאתי לעיל בסקי"ב דפירש מת מותר, ואע"ג דכתבתי שם דבתולעת עצמו שפירש מת יש להחמיר מ"מ הכא יש להתיר שאר התבשיל מטעם ס"ס וכדפירשתי, ובפרט שמסה"ת </w:t>
      </w:r>
      <w:r w:rsidRPr="005C6730">
        <w:rPr>
          <w:rFonts w:asciiTheme="minorBidi" w:hAnsiTheme="minorBidi"/>
          <w:sz w:val="16"/>
          <w:szCs w:val="16"/>
          <w:rtl/>
        </w:rPr>
        <w:t>(הובא בשערים ומרדכי)</w:t>
      </w:r>
      <w:r w:rsidRPr="005C6730">
        <w:rPr>
          <w:rFonts w:asciiTheme="minorBidi" w:hAnsiTheme="minorBidi"/>
          <w:rtl/>
        </w:rPr>
        <w:t xml:space="preserve"> משמע להדיא דתולעים מתים מיד בשעת הבישול קודם שפורשים, ולכך כתב דאם נמצאו הרבה תולעים בתבשיל הכל מותר אפי' התולעים עצמם אם אין אותו פרי דרכו להתליע במחובר ע"ש, ע"כ יש להקל כאן כיון דאין כאן איסור ודאי אלא חששא דשמא יש עוד תולעים כיון שהוחזק. </w:t>
      </w:r>
    </w:p>
  </w:footnote>
  <w:footnote w:id="966">
    <w:p w14:paraId="643CAA8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 רש"ל </w:t>
      </w:r>
      <w:r w:rsidRPr="005C6730">
        <w:rPr>
          <w:rFonts w:asciiTheme="minorBidi" w:hAnsiTheme="minorBidi"/>
          <w:sz w:val="16"/>
          <w:szCs w:val="16"/>
          <w:rtl/>
        </w:rPr>
        <w:t>(פא"ט סי' ק, הביאו הט"ז סקי"ז)</w:t>
      </w:r>
      <w:r w:rsidRPr="005C6730">
        <w:rPr>
          <w:rFonts w:asciiTheme="minorBidi" w:hAnsiTheme="minorBidi"/>
          <w:rtl/>
        </w:rPr>
        <w:t>- ומש"ה הנהגתי בעצמי שלא לאכול הכמהין היבשים כי הוחזקו בתולעים, כי לאחר הבדיקה והברירה מצאתי בתבשיל בשולי הקדרה כמה תולעים וכן נמצא כמה פעמים והוחזקו בכך, ונראה דוקא במה שמצוי בהם הכנימה אלא שלא בדק כדינו אמרינן הכי אבל בדבר שאין מצוי בו כנימה אמרינן מעלמא נפל ולא חיישינן לטפי מהני שנמצאו.</w:t>
      </w:r>
    </w:p>
  </w:footnote>
  <w:footnote w:id="967">
    <w:p w14:paraId="066768B2"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אפי' ידוע שהיו שם עוד תולעים הרבה בודאי קודם הבישול מעביר משם התולעים והשאר מותר, וע' בתשובת מהר"ם מלובלין (סי' כז) שהתיר בדוחק בשנה שהתליעו בה כל הכישות ובישלו בה ההמון אח"כ שכר בלא סינון משום הפסד מרובה ומשום מעוות לא יוכל לתקון, ש"ך (סקל"ג).</w:t>
      </w:r>
    </w:p>
  </w:footnote>
  <w:footnote w:id="968">
    <w:p w14:paraId="4828321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נ"ל דלא טב הורה, דגם אותם שלקחו קודם שנודע שיש שם מילווין אסורים, דכיון דדרכם להתליע א"כ ספק הרגיל הוא ולאו שמיה ספק. וכן מוכח להדיא מדברי ה</w:t>
      </w:r>
      <w:r>
        <w:rPr>
          <w:rFonts w:asciiTheme="minorBidi" w:hAnsiTheme="minorBidi"/>
          <w:rtl/>
        </w:rPr>
        <w:t>או"ה</w:t>
      </w:r>
      <w:r w:rsidRPr="005C6730">
        <w:rPr>
          <w:rFonts w:asciiTheme="minorBidi" w:hAnsiTheme="minorBidi"/>
          <w:rtl/>
        </w:rPr>
        <w:t xml:space="preserve"> ומהר"ם מלובלין שהבאתי בש"ך סקכ"ט. ומהרשב"א אין ראיה כלל, דלא קאמר התם אלא בבישל פירות שדרכם להתליע במחובר, כלומר כשמתליעים אין דרכם להתליע אלא במחובר ולא בתלוש, אבל לא מיירי שדרכם להתליע, וכן מבואר ב</w:t>
      </w:r>
      <w:r>
        <w:rPr>
          <w:rFonts w:asciiTheme="minorBidi" w:hAnsiTheme="minorBidi"/>
          <w:rtl/>
        </w:rPr>
        <w:t>או"ה</w:t>
      </w:r>
      <w:r w:rsidRPr="005C6730">
        <w:rPr>
          <w:rFonts w:asciiTheme="minorBidi" w:hAnsiTheme="minorBidi"/>
          <w:rtl/>
        </w:rPr>
        <w:t xml:space="preserve"> שם שכן הוא דעת הרשב"א, ש"ך (נה"כ אות ה). וכ' רעק"א (אות ג, על הט"ז) ובתשו' ב"ח </w:t>
      </w:r>
      <w:r w:rsidRPr="005C6730">
        <w:rPr>
          <w:rFonts w:asciiTheme="minorBidi" w:hAnsiTheme="minorBidi"/>
          <w:sz w:val="16"/>
          <w:szCs w:val="16"/>
          <w:rtl/>
        </w:rPr>
        <w:t xml:space="preserve">(ח"ב סי' סג) </w:t>
      </w:r>
      <w:r w:rsidRPr="005C6730">
        <w:rPr>
          <w:rFonts w:asciiTheme="minorBidi" w:hAnsiTheme="minorBidi"/>
          <w:rtl/>
        </w:rPr>
        <w:t>מתיר מטעם ס"ס, ספק דלא פירש לעיסה וספק דנימוח ובטלה בס' ואף אם עודה עיסה עיי"ש.</w:t>
      </w:r>
    </w:p>
  </w:footnote>
  <w:footnote w:id="969">
    <w:p w14:paraId="49170D8D" w14:textId="16B62B8B" w:rsidR="004C5A3C" w:rsidRDefault="004C5A3C" w:rsidP="002C39F4">
      <w:pPr>
        <w:pStyle w:val="a5"/>
        <w:rPr>
          <w:rtl/>
        </w:rPr>
      </w:pPr>
      <w:r>
        <w:rPr>
          <w:rStyle w:val="a7"/>
        </w:rPr>
        <w:footnoteRef/>
      </w:r>
      <w:r>
        <w:rPr>
          <w:rtl/>
        </w:rPr>
        <w:t xml:space="preserve"> </w:t>
      </w:r>
      <w:r w:rsidR="00CC41B3">
        <w:rPr>
          <w:rtl/>
        </w:rPr>
        <w:t>אין הכוונה למלפפון גזר וכדומה אלא לירקות עלים (כוסברה וכדומה), וכן שאר עלים וגבעולים הצומחים מהזרעים לפני שמגיע הצמח לשלב הוצאת הפרי, כמו שכתב הרמב"ם בהל' כלאים</w:t>
      </w:r>
      <w:r w:rsidR="00CC41B3">
        <w:rPr>
          <w:sz w:val="16"/>
          <w:szCs w:val="16"/>
          <w:rtl/>
        </w:rPr>
        <w:t xml:space="preserve"> (פ"א ה"ח, וז"ל- </w:t>
      </w:r>
      <w:r w:rsidR="00CC41B3">
        <w:rPr>
          <w:rFonts w:cs="Arial"/>
          <w:sz w:val="16"/>
          <w:szCs w:val="16"/>
          <w:rtl/>
        </w:rPr>
        <w:t>כשיזרעו כל מיני זרעונים אלו, ויצמחו, נקרא הצמח כולו כל זמן שלא ניכר הזרע- דשא, ונקרא ירק</w:t>
      </w:r>
      <w:r w:rsidR="00CC41B3">
        <w:rPr>
          <w:sz w:val="16"/>
          <w:szCs w:val="16"/>
          <w:rtl/>
        </w:rPr>
        <w:t>)</w:t>
      </w:r>
      <w:r w:rsidR="00CC41B3">
        <w:rPr>
          <w:rtl/>
        </w:rPr>
        <w:t>. וכן מוכח מדברי הרמ"א (או"ח סי' תפו ס"א) שכשאומרים ירקות הכוונה היא לירק עלים.</w:t>
      </w:r>
      <w:r>
        <w:rPr>
          <w:rFonts w:hint="cs"/>
          <w:rtl/>
        </w:rPr>
        <w:t xml:space="preserve">  </w:t>
      </w:r>
    </w:p>
  </w:footnote>
  <w:footnote w:id="970">
    <w:p w14:paraId="146FA89A"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w:t>
      </w:r>
      <w:r>
        <w:rPr>
          <w:rFonts w:asciiTheme="minorBidi" w:hAnsiTheme="minorBidi" w:hint="cs"/>
          <w:rtl/>
        </w:rPr>
        <w:t>כן הוא ב</w:t>
      </w:r>
      <w:r w:rsidRPr="005C6730">
        <w:rPr>
          <w:rFonts w:asciiTheme="minorBidi" w:hAnsiTheme="minorBidi"/>
          <w:rtl/>
        </w:rPr>
        <w:t xml:space="preserve">מהדו' קראקא ש"מ </w:t>
      </w:r>
      <w:r w:rsidRPr="005C6730">
        <w:rPr>
          <w:rFonts w:asciiTheme="minorBidi" w:hAnsiTheme="minorBidi"/>
          <w:sz w:val="16"/>
          <w:szCs w:val="16"/>
          <w:rtl/>
        </w:rPr>
        <w:t>(רמ"א דפו"ר)</w:t>
      </w:r>
      <w:r>
        <w:rPr>
          <w:rFonts w:asciiTheme="minorBidi" w:hAnsiTheme="minorBidi" w:hint="cs"/>
          <w:rtl/>
        </w:rPr>
        <w:t>,</w:t>
      </w:r>
      <w:r w:rsidRPr="005C6730">
        <w:rPr>
          <w:rFonts w:asciiTheme="minorBidi" w:hAnsiTheme="minorBidi"/>
          <w:rtl/>
        </w:rPr>
        <w:t xml:space="preserve"> וכן דעת הט"ז </w:t>
      </w:r>
      <w:r w:rsidRPr="005C6730">
        <w:rPr>
          <w:rFonts w:asciiTheme="minorBidi" w:hAnsiTheme="minorBidi"/>
          <w:sz w:val="16"/>
          <w:szCs w:val="16"/>
          <w:rtl/>
        </w:rPr>
        <w:t>(סי' ק סק"ו)</w:t>
      </w:r>
      <w:r>
        <w:rPr>
          <w:rFonts w:asciiTheme="minorBidi" w:hAnsiTheme="minorBidi" w:hint="cs"/>
          <w:rtl/>
        </w:rPr>
        <w:t xml:space="preserve"> וכן הוא בתשו' הרשב"א שלפני</w:t>
      </w:r>
      <w:r w:rsidRPr="005C6730">
        <w:rPr>
          <w:rFonts w:asciiTheme="minorBidi" w:hAnsiTheme="minorBidi"/>
          <w:rtl/>
        </w:rPr>
        <w:t>.</w:t>
      </w:r>
      <w:r>
        <w:rPr>
          <w:rFonts w:asciiTheme="minorBidi" w:hAnsiTheme="minorBidi" w:hint="cs"/>
          <w:rtl/>
        </w:rPr>
        <w:t xml:space="preserve"> אך</w:t>
      </w:r>
      <w:r w:rsidRPr="005C6730">
        <w:rPr>
          <w:rFonts w:asciiTheme="minorBidi" w:hAnsiTheme="minorBidi"/>
          <w:rtl/>
        </w:rPr>
        <w:t xml:space="preserve"> בדפו"ר</w:t>
      </w:r>
      <w:r>
        <w:rPr>
          <w:rFonts w:asciiTheme="minorBidi" w:hAnsiTheme="minorBidi" w:hint="cs"/>
          <w:rtl/>
        </w:rPr>
        <w:t xml:space="preserve"> הגירסא 'שתי'</w:t>
      </w:r>
      <w:r w:rsidRPr="005C6730">
        <w:rPr>
          <w:rFonts w:asciiTheme="minorBidi" w:hAnsiTheme="minorBidi"/>
          <w:rtl/>
        </w:rPr>
        <w:t xml:space="preserve">, וכ"ה בב"י בשם תשובת הרשב"א. </w:t>
      </w:r>
    </w:p>
  </w:footnote>
  <w:footnote w:id="971">
    <w:p w14:paraId="1AA3CF4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 העט"ז</w:t>
      </w:r>
      <w:r w:rsidRPr="005C6730">
        <w:rPr>
          <w:rFonts w:asciiTheme="minorBidi" w:hAnsiTheme="minorBidi"/>
          <w:sz w:val="16"/>
          <w:szCs w:val="16"/>
          <w:rtl/>
        </w:rPr>
        <w:t xml:space="preserve"> (ס"ס ק)</w:t>
      </w:r>
      <w:r w:rsidRPr="005C6730">
        <w:rPr>
          <w:rFonts w:asciiTheme="minorBidi" w:hAnsiTheme="minorBidi"/>
          <w:rtl/>
        </w:rPr>
        <w:t xml:space="preserve"> ונ"ל דוקא ירקות, אבל שאר פירות ואפי' כמהין ופטריות אפשר לבודקן אפי' אחר שנתבשלו ומותרים בבדיקה, ש"ך (סקל"ד).</w:t>
      </w:r>
      <w:r>
        <w:rPr>
          <w:rFonts w:asciiTheme="minorBidi" w:hAnsiTheme="minorBidi" w:hint="cs"/>
          <w:rtl/>
        </w:rPr>
        <w:t xml:space="preserve"> היינו כיון דהירקות רככי ואי אפשר לבודקן לאחר הבישול.</w:t>
      </w:r>
    </w:p>
  </w:footnote>
  <w:footnote w:id="972">
    <w:p w14:paraId="1953742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דרך הטבח לנקר הבשר, רש"י.</w:t>
      </w:r>
    </w:p>
  </w:footnote>
  <w:footnote w:id="973">
    <w:p w14:paraId="319C50E4"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בכזית, רש"י.</w:t>
      </w:r>
    </w:p>
  </w:footnote>
  <w:footnote w:id="974">
    <w:p w14:paraId="54D8084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בכשעורה, רש"י.</w:t>
      </w:r>
    </w:p>
  </w:footnote>
  <w:footnote w:id="975">
    <w:p w14:paraId="7EC36B21"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דעת מהרש"ל באו"ש ובספרו שם דאין הנשים נאמנות בבדיקה שיש בה טורח דאמרינן עצלניות הן, והא"ח והמחבר מיירי בדבר שאין בה טורח, אבל בברירת קטניות ודגים קטנים ושאר דברים שיש בהן טורח אין נאמנות באיסור דאו', והר"ב בת"ח שם ד"ט כ' שאין המנהג כדבריו רק הנשים בודקות הקטניות והפירות וסמכינן עלייהו. ואע"ג דבברירת דגים קטנים כתב בהג"ה ס"ס קכז דאשה אינה נאמנת, שאני הכא כיון דלא אתחזק איסורא גם כי יש הרבה צדדים להקל והילכך אע"ג דקיי"ל לאיסור מ"מ סמכינן עלייהו, וכ"כ בת"ח שם, ש"ך (סקל"ה).</w:t>
      </w:r>
    </w:p>
  </w:footnote>
  <w:footnote w:id="976">
    <w:p w14:paraId="29F1C62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להעמיד ולקיים הדברים השלמים הנטמנים בתוכו (כך היא לשון הרשב"א שהביא בב"י). </w:t>
      </w:r>
    </w:p>
  </w:footnote>
  <w:footnote w:id="977">
    <w:p w14:paraId="3B4C897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אבל הדברים הנחתכים הנופלים לתוכו דרכו למהר למחות ולכלות, כ"כ הרשב"א (סי' פ) וכ"כ ה"ר יונה (בפכמ"ב) שדרך הדבש להחזיר החתיכת איסור שנפל לשם דבש, ואף הרא"ש שם משמע דלא נחלק עליו אלא מטעם דשמא אע"פ שנמחה נותן טעם לשבח</w:t>
      </w:r>
      <w:r>
        <w:rPr>
          <w:rFonts w:asciiTheme="minorBidi" w:hAnsiTheme="minorBidi" w:hint="cs"/>
          <w:rtl/>
        </w:rPr>
        <w:t>...</w:t>
      </w:r>
      <w:r w:rsidRPr="005C6730">
        <w:rPr>
          <w:rFonts w:asciiTheme="minorBidi" w:hAnsiTheme="minorBidi"/>
          <w:rtl/>
        </w:rPr>
        <w:t xml:space="preserve"> אבל מודה דנמחה בדבש, ש"ך (סקל"ז).</w:t>
      </w:r>
    </w:p>
  </w:footnote>
  <w:footnote w:id="978">
    <w:p w14:paraId="02432B6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ואין כאן משום מבטל איסור שאין כוונתינו אלא לתקן הדבש, א"ח (הביאו הב"י).</w:t>
      </w:r>
    </w:p>
  </w:footnote>
  <w:footnote w:id="979">
    <w:p w14:paraId="65E58BC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הש"ך</w:t>
      </w:r>
      <w:r w:rsidRPr="005C6730">
        <w:rPr>
          <w:rFonts w:asciiTheme="minorBidi" w:hAnsiTheme="minorBidi"/>
          <w:sz w:val="16"/>
          <w:szCs w:val="16"/>
          <w:rtl/>
        </w:rPr>
        <w:t xml:space="preserve"> (סק"מ)</w:t>
      </w:r>
      <w:r w:rsidRPr="005C6730">
        <w:rPr>
          <w:rFonts w:asciiTheme="minorBidi" w:hAnsiTheme="minorBidi"/>
          <w:rtl/>
        </w:rPr>
        <w:t xml:space="preserve"> דלפי הטעם הראשון </w:t>
      </w:r>
      <w:r w:rsidRPr="005C6730">
        <w:rPr>
          <w:rFonts w:asciiTheme="minorBidi" w:hAnsiTheme="minorBidi"/>
          <w:sz w:val="16"/>
          <w:szCs w:val="16"/>
          <w:rtl/>
        </w:rPr>
        <w:t xml:space="preserve">(שהתולעים בורחים מהרעש) </w:t>
      </w:r>
      <w:r w:rsidRPr="005C6730">
        <w:rPr>
          <w:rFonts w:asciiTheme="minorBidi" w:hAnsiTheme="minorBidi"/>
          <w:rtl/>
        </w:rPr>
        <w:t xml:space="preserve">יוצא שברחיים שאין בהם אפרכסת כגון רחיים דידא היה אסור, אלא שלפי הטעם השני שנתן </w:t>
      </w:r>
      <w:r w:rsidRPr="005C6730">
        <w:rPr>
          <w:rFonts w:asciiTheme="minorBidi" w:hAnsiTheme="minorBidi"/>
          <w:sz w:val="16"/>
          <w:szCs w:val="16"/>
          <w:rtl/>
        </w:rPr>
        <w:t xml:space="preserve">(שאף אם יטחנו- התולעים בטלים...) </w:t>
      </w:r>
      <w:r w:rsidRPr="005C6730">
        <w:rPr>
          <w:rFonts w:asciiTheme="minorBidi" w:hAnsiTheme="minorBidi"/>
          <w:rtl/>
        </w:rPr>
        <w:t>בכל רחיים מותר, וכ"מ מדברי המחבר, אך נראה דבמקום שאפשר לטחון ברחיים גדול שיש בהן אפרכסת אין לטחנן ברחיים אחרת.</w:t>
      </w:r>
    </w:p>
  </w:footnote>
  <w:footnote w:id="980">
    <w:p w14:paraId="322F237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ובב"י סיים- וכן קבל מהרי"ב ממהר"ש</w:t>
      </w:r>
      <w:r w:rsidRPr="005C6730">
        <w:rPr>
          <w:rFonts w:asciiTheme="minorBidi" w:hAnsiTheme="minorBidi"/>
          <w:sz w:val="16"/>
          <w:szCs w:val="16"/>
          <w:rtl/>
        </w:rPr>
        <w:t xml:space="preserve"> {לפנינו מהרי"ש}</w:t>
      </w:r>
      <w:r w:rsidRPr="005C6730">
        <w:rPr>
          <w:rFonts w:asciiTheme="minorBidi" w:hAnsiTheme="minorBidi"/>
          <w:rtl/>
        </w:rPr>
        <w:t>, וכן הביא בת"ח ע</w:t>
      </w:r>
      <w:r>
        <w:rPr>
          <w:rFonts w:asciiTheme="minorBidi" w:hAnsiTheme="minorBidi" w:hint="cs"/>
          <w:rtl/>
        </w:rPr>
        <w:t>"</w:t>
      </w:r>
      <w:r w:rsidRPr="005C6730">
        <w:rPr>
          <w:rFonts w:asciiTheme="minorBidi" w:hAnsiTheme="minorBidi"/>
          <w:rtl/>
        </w:rPr>
        <w:t>ש מהר"ם, וכן הוא בתשו</w:t>
      </w:r>
      <w:r>
        <w:rPr>
          <w:rFonts w:asciiTheme="minorBidi" w:hAnsiTheme="minorBidi" w:hint="cs"/>
          <w:rtl/>
        </w:rPr>
        <w:t>'</w:t>
      </w:r>
      <w:r w:rsidRPr="005C6730">
        <w:rPr>
          <w:rFonts w:asciiTheme="minorBidi" w:hAnsiTheme="minorBidi"/>
          <w:rtl/>
        </w:rPr>
        <w:t xml:space="preserve"> מיימוני ובאו"ה בשם מהר"מ, ודוחק לומר דמהרא"י פליג אכל הנך רבוותא, ועוד דא"כ לא היה לנו לסמוך עליו להתיר, ונראה לחלק דהנך פוסקים מיירי כשהם מתולעים ברוב בענין דא"א לבררן דאז ודאי לא סמכינן אהנך צדדין שמצא מהרא"י להתיר, דגם מהרא"י לא התיר אלא בענין שיבררו קודם הטחינה כמבואר מדבריו בתרוה"ד ובהגשע"ד להדיא דאז כיון דליכא אלא חששא דיש עוד תולעים שם סמכינן אהנך טעמי, אבל לא כשנמצאו מתולעים ברובן בענין דא"א לבררן, וכן חילק מהרש"ל </w:t>
      </w:r>
      <w:r w:rsidRPr="005C6730">
        <w:rPr>
          <w:rFonts w:asciiTheme="minorBidi" w:hAnsiTheme="minorBidi"/>
          <w:sz w:val="16"/>
          <w:szCs w:val="16"/>
          <w:rtl/>
        </w:rPr>
        <w:t xml:space="preserve">(פא"ט סי' קכה) </w:t>
      </w:r>
      <w:r w:rsidRPr="005C6730">
        <w:rPr>
          <w:rFonts w:asciiTheme="minorBidi" w:hAnsiTheme="minorBidi"/>
          <w:rtl/>
        </w:rPr>
        <w:t xml:space="preserve">בהדיא ע"ש, ש"ך </w:t>
      </w:r>
      <w:r w:rsidRPr="005C6730">
        <w:rPr>
          <w:rFonts w:asciiTheme="minorBidi" w:hAnsiTheme="minorBidi"/>
          <w:sz w:val="16"/>
          <w:szCs w:val="16"/>
          <w:rtl/>
        </w:rPr>
        <w:t>(סקל"ט)</w:t>
      </w:r>
      <w:r w:rsidRPr="005C6730">
        <w:rPr>
          <w:rFonts w:asciiTheme="minorBidi" w:hAnsiTheme="minorBidi"/>
          <w:rtl/>
        </w:rPr>
        <w:t>.</w:t>
      </w:r>
    </w:p>
  </w:footnote>
  <w:footnote w:id="981">
    <w:p w14:paraId="5570472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נראה דהא דשאר מותר, הטעם דהא יש ספק ספיקא, ספק אין שם, ואת"ל יש שם ספק נימוח בשעת האפייה..., ט"ז (סק"כ).</w:t>
      </w:r>
    </w:p>
  </w:footnote>
  <w:footnote w:id="982">
    <w:p w14:paraId="4F65679F"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וכ' הש"ך (סקמ"א)- והסכמת הפוסקים כהמחבר, וכן דעת האחרונים, וכ"כ באו"ה סוף כלל ט' בשם הרבה פוסקים וכתב דהכי נהגינן, וכ"פ בת"ח סוף כלל מ"ו.</w:t>
      </w:r>
    </w:p>
  </w:footnote>
  <w:footnote w:id="983">
    <w:p w14:paraId="0045262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תולעים שבכבד ושבריאה, רש"י.</w:t>
      </w:r>
    </w:p>
  </w:footnote>
  <w:footnote w:id="984">
    <w:p w14:paraId="77D5E635"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שבלעתן הבהמה עם האוכלים ותחלתן שרצו על הארץ, רש"י.</w:t>
      </w:r>
    </w:p>
  </w:footnote>
  <w:footnote w:id="985">
    <w:p w14:paraId="63ED6DFF"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לשון גדלי, מן הבהמה עצמה הן גדלין, ולאו שרץ הארץ נינהו, רש"י.</w:t>
      </w:r>
    </w:p>
  </w:footnote>
  <w:footnote w:id="986">
    <w:p w14:paraId="26A1C9B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כשהבהמה ישנה נכנסים בחוטמה ומשם לקנה ריאה וכבד הלכך לא משתכחי דרך בית הרעי, רש"י.</w:t>
      </w:r>
    </w:p>
  </w:footnote>
  <w:footnote w:id="987">
    <w:p w14:paraId="27C3876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תולעים הנמצאים בין עור לבשר כשמפשיטין הבהמה ובלע"ז גרביליי"ש, רש"י.</w:t>
      </w:r>
    </w:p>
  </w:footnote>
  <w:footnote w:id="988">
    <w:p w14:paraId="132D8CA7"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וטעמא כדמפרש רבינא, רש"י.</w:t>
      </w:r>
    </w:p>
  </w:footnote>
  <w:footnote w:id="989">
    <w:p w14:paraId="5579922C"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ואלו שגדלו בתוכה עד שלא נשחטה באו מאיסור אבר מן החי ושחיטת הבהמה לא אהניא לדידהו שהרי יש להם חיות לעצמן ואע"ג דשליל מותר בשחיטת אמו מכל בבהמה תאכלו </w:t>
      </w:r>
      <w:r w:rsidRPr="005C6730">
        <w:rPr>
          <w:rFonts w:asciiTheme="minorBidi" w:hAnsiTheme="minorBidi"/>
          <w:sz w:val="16"/>
          <w:szCs w:val="16"/>
          <w:rtl/>
        </w:rPr>
        <w:t xml:space="preserve">(דברים יד ו) </w:t>
      </w:r>
      <w:r w:rsidRPr="005C6730">
        <w:rPr>
          <w:rFonts w:asciiTheme="minorBidi" w:hAnsiTheme="minorBidi"/>
          <w:rtl/>
        </w:rPr>
        <w:t xml:space="preserve">נפקא לן </w:t>
      </w:r>
      <w:r w:rsidRPr="005C6730">
        <w:rPr>
          <w:rFonts w:asciiTheme="minorBidi" w:hAnsiTheme="minorBidi"/>
          <w:sz w:val="16"/>
          <w:szCs w:val="16"/>
          <w:rtl/>
        </w:rPr>
        <w:t xml:space="preserve">(חולין סט.) </w:t>
      </w:r>
      <w:r w:rsidRPr="005C6730">
        <w:rPr>
          <w:rFonts w:asciiTheme="minorBidi" w:hAnsiTheme="minorBidi"/>
          <w:rtl/>
        </w:rPr>
        <w:t>לקמן אבל הכא באיסורייהו קיימי, רש"י.</w:t>
      </w:r>
    </w:p>
  </w:footnote>
  <w:footnote w:id="990">
    <w:p w14:paraId="33E981F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והיכן מצינו בגמ' לעיל שתולעים במעי הדג אסורין? אלא דרש"י פירש דקוקאיני אלו תולעים בבהמה, והביא הב"י את דברי התוס' </w:t>
      </w:r>
      <w:r w:rsidRPr="005C6730">
        <w:rPr>
          <w:rFonts w:asciiTheme="minorBidi" w:hAnsiTheme="minorBidi"/>
          <w:sz w:val="16"/>
          <w:szCs w:val="16"/>
          <w:rtl/>
        </w:rPr>
        <w:t xml:space="preserve">(סז: ד"ה קוקיאני) </w:t>
      </w:r>
      <w:r w:rsidRPr="005C6730">
        <w:rPr>
          <w:rFonts w:asciiTheme="minorBidi" w:hAnsiTheme="minorBidi"/>
          <w:rtl/>
        </w:rPr>
        <w:t xml:space="preserve">הרא"ש </w:t>
      </w:r>
      <w:r w:rsidRPr="005C6730">
        <w:rPr>
          <w:rFonts w:asciiTheme="minorBidi" w:hAnsiTheme="minorBidi"/>
          <w:sz w:val="16"/>
          <w:szCs w:val="16"/>
          <w:rtl/>
        </w:rPr>
        <w:t xml:space="preserve">(סי' סט) </w:t>
      </w:r>
      <w:r w:rsidRPr="005C6730">
        <w:rPr>
          <w:rFonts w:asciiTheme="minorBidi" w:hAnsiTheme="minorBidi"/>
          <w:rtl/>
        </w:rPr>
        <w:t xml:space="preserve">והרשב"א </w:t>
      </w:r>
      <w:r w:rsidRPr="005C6730">
        <w:rPr>
          <w:rFonts w:asciiTheme="minorBidi" w:hAnsiTheme="minorBidi"/>
          <w:sz w:val="16"/>
          <w:szCs w:val="16"/>
          <w:rtl/>
        </w:rPr>
        <w:t xml:space="preserve">(שם ד"ה אמר רב משרשיא, תוה"א ב"ג ש"ג פג:) </w:t>
      </w:r>
      <w:r w:rsidRPr="005C6730">
        <w:rPr>
          <w:rFonts w:asciiTheme="minorBidi" w:hAnsiTheme="minorBidi"/>
          <w:rtl/>
        </w:rPr>
        <w:t xml:space="preserve">שכתבו שר"ת הקשה על מה שפירש רש"י בקוקיאני, ופירש דבדגים מיירי, וכ' הרשב"א- וכן פירשו הגאונים וברוב הספרים גרסינן בהדיא- 'והלכתא קוקיאני אסירי מאי טעמא מינם ניים </w:t>
      </w:r>
      <w:r w:rsidRPr="005C6730">
        <w:rPr>
          <w:rFonts w:asciiTheme="minorBidi" w:hAnsiTheme="minorBidi"/>
          <w:u w:val="single"/>
          <w:rtl/>
        </w:rPr>
        <w:t>כוורא</w:t>
      </w:r>
      <w:r w:rsidRPr="005C6730">
        <w:rPr>
          <w:rFonts w:asciiTheme="minorBidi" w:hAnsiTheme="minorBidi"/>
          <w:rtl/>
        </w:rPr>
        <w:t xml:space="preserve"> ועייל באוסייה', דאלמא בדגים מיירי, ע"כ. וכך היא גי' הרי"ף ז"ל </w:t>
      </w:r>
      <w:r w:rsidRPr="005C6730">
        <w:rPr>
          <w:rFonts w:asciiTheme="minorBidi" w:hAnsiTheme="minorBidi"/>
          <w:sz w:val="16"/>
          <w:szCs w:val="16"/>
          <w:rtl/>
        </w:rPr>
        <w:t>(כד.)</w:t>
      </w:r>
      <w:r w:rsidRPr="005C6730">
        <w:rPr>
          <w:rFonts w:asciiTheme="minorBidi" w:hAnsiTheme="minorBidi"/>
          <w:rtl/>
        </w:rPr>
        <w:t xml:space="preserve">. וכ' עוד הב"י- ומשמע דלא אסר ר"ת בדגים אלא הנמצאים במעים וכיוצא בהם דאיכא למימר בהו דאתו מעלמא, אבל הנמצאים בבשר הדג שרו דמיניה קא גבילי, וכ"כ </w:t>
      </w:r>
      <w:r>
        <w:rPr>
          <w:rFonts w:asciiTheme="minorBidi" w:hAnsiTheme="minorBidi"/>
          <w:rtl/>
        </w:rPr>
        <w:t>הג"א</w:t>
      </w:r>
      <w:r w:rsidRPr="005C6730">
        <w:rPr>
          <w:rFonts w:asciiTheme="minorBidi" w:hAnsiTheme="minorBidi"/>
          <w:rtl/>
        </w:rPr>
        <w:t xml:space="preserve"> </w:t>
      </w:r>
      <w:r w:rsidRPr="005C6730">
        <w:rPr>
          <w:rFonts w:asciiTheme="minorBidi" w:hAnsiTheme="minorBidi"/>
          <w:sz w:val="16"/>
          <w:szCs w:val="16"/>
          <w:rtl/>
        </w:rPr>
        <w:t>(שם הג"ה ב)</w:t>
      </w:r>
      <w:r w:rsidRPr="005C6730">
        <w:rPr>
          <w:rFonts w:asciiTheme="minorBidi" w:hAnsiTheme="minorBidi"/>
          <w:rtl/>
        </w:rPr>
        <w:t>, ונ"ל דלגי' רש"י נמי אסירי תולעים שבמעי הדגים דהא איכא למימר בהו נמי דמעלמא אתו ועיילו ליה באוסייה.</w:t>
      </w:r>
    </w:p>
  </w:footnote>
  <w:footnote w:id="991">
    <w:p w14:paraId="202BD4B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דאילו בדג לא שאני לן בין חי למת, וכמו שכ' הראב"ד </w:t>
      </w:r>
      <w:r w:rsidRPr="001C6F90">
        <w:rPr>
          <w:rFonts w:asciiTheme="minorBidi" w:hAnsiTheme="minorBidi"/>
          <w:sz w:val="16"/>
          <w:szCs w:val="16"/>
          <w:rtl/>
        </w:rPr>
        <w:t>(בהשגות פ"ב הי"ז)</w:t>
      </w:r>
      <w:r w:rsidRPr="005C6730">
        <w:rPr>
          <w:rFonts w:asciiTheme="minorBidi" w:hAnsiTheme="minorBidi"/>
          <w:rtl/>
        </w:rPr>
        <w:t>- דחיי הדגים כמיתתן דמו. ולכן התירו מורנא דכוורי אע"ג שהיו בו מחיים.</w:t>
      </w:r>
    </w:p>
  </w:footnote>
  <w:footnote w:id="992">
    <w:p w14:paraId="4C8C7793"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וכתב הה"מ נראה שרבינו סובר שכל התולעים שנמצאים בדג מחיים אסורים, וזהו קוקיאני דאסירי, והטעם מפני שאינם מתהוים ממנו אלא נכנסים לו דרך נחיריו, וכשאמרו דכוורי שריין הוא בשהתליעו אחר מיתה.</w:t>
      </w:r>
    </w:p>
  </w:footnote>
  <w:footnote w:id="993">
    <w:p w14:paraId="43D42F59"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סה"ת </w:t>
      </w:r>
      <w:r w:rsidRPr="005C6730">
        <w:rPr>
          <w:rFonts w:asciiTheme="minorBidi" w:hAnsiTheme="minorBidi"/>
          <w:sz w:val="16"/>
          <w:szCs w:val="16"/>
          <w:rtl/>
        </w:rPr>
        <w:t xml:space="preserve">(סי' לו, וכ"כ הרא"ש בשמו) </w:t>
      </w:r>
      <w:r w:rsidRPr="005C6730">
        <w:rPr>
          <w:rFonts w:asciiTheme="minorBidi" w:hAnsiTheme="minorBidi"/>
          <w:rtl/>
        </w:rPr>
        <w:t xml:space="preserve">סמ"ג </w:t>
      </w:r>
      <w:r w:rsidRPr="005C6730">
        <w:rPr>
          <w:rFonts w:asciiTheme="minorBidi" w:hAnsiTheme="minorBidi"/>
          <w:sz w:val="16"/>
          <w:szCs w:val="16"/>
          <w:rtl/>
        </w:rPr>
        <w:t xml:space="preserve">([לאוין קלב מד:] כ"כ ההגה"מ [פ"ב אות ה] בשמו) </w:t>
      </w:r>
      <w:r w:rsidRPr="005C6730">
        <w:rPr>
          <w:rFonts w:asciiTheme="minorBidi" w:hAnsiTheme="minorBidi"/>
          <w:rtl/>
        </w:rPr>
        <w:t xml:space="preserve">ורא"ש </w:t>
      </w:r>
      <w:r w:rsidRPr="005C6730">
        <w:rPr>
          <w:rFonts w:asciiTheme="minorBidi" w:hAnsiTheme="minorBidi"/>
          <w:sz w:val="16"/>
          <w:szCs w:val="16"/>
          <w:rtl/>
        </w:rPr>
        <w:t>(פ"ג סי' סט)</w:t>
      </w:r>
      <w:r w:rsidRPr="005C6730">
        <w:rPr>
          <w:rFonts w:asciiTheme="minorBidi" w:hAnsiTheme="minorBidi"/>
          <w:rtl/>
        </w:rPr>
        <w:t>.</w:t>
      </w:r>
    </w:p>
  </w:footnote>
  <w:footnote w:id="994">
    <w:p w14:paraId="3E294738" w14:textId="77777777" w:rsidR="004C5A3C" w:rsidRDefault="004C5A3C" w:rsidP="002C39F4">
      <w:pPr>
        <w:pStyle w:val="a5"/>
      </w:pPr>
      <w:r>
        <w:rPr>
          <w:rStyle w:val="a7"/>
        </w:rPr>
        <w:footnoteRef/>
      </w:r>
      <w:r>
        <w:rPr>
          <w:rtl/>
        </w:rPr>
        <w:t xml:space="preserve"> </w:t>
      </w:r>
      <w:r>
        <w:rPr>
          <w:rFonts w:asciiTheme="minorBidi" w:hAnsiTheme="minorBidi" w:hint="cs"/>
          <w:rtl/>
        </w:rPr>
        <w:t>וכ"כ ה</w:t>
      </w:r>
      <w:r w:rsidRPr="003024E5">
        <w:rPr>
          <w:rFonts w:asciiTheme="minorBidi" w:hAnsiTheme="minorBidi"/>
          <w:rtl/>
        </w:rPr>
        <w:t>רשב"א</w:t>
      </w:r>
      <w:r>
        <w:rPr>
          <w:rFonts w:asciiTheme="minorBidi" w:hAnsiTheme="minorBidi" w:hint="cs"/>
          <w:rtl/>
        </w:rPr>
        <w:t xml:space="preserve"> </w:t>
      </w:r>
      <w:r w:rsidRPr="000708B5">
        <w:rPr>
          <w:rFonts w:asciiTheme="minorBidi" w:hAnsiTheme="minorBidi" w:hint="cs"/>
          <w:sz w:val="16"/>
          <w:szCs w:val="16"/>
          <w:rtl/>
        </w:rPr>
        <w:t>(</w:t>
      </w:r>
      <w:r w:rsidRPr="000708B5">
        <w:rPr>
          <w:rFonts w:asciiTheme="minorBidi" w:hAnsiTheme="minorBidi"/>
          <w:sz w:val="16"/>
          <w:szCs w:val="16"/>
          <w:rtl/>
        </w:rPr>
        <w:t>סז</w:t>
      </w:r>
      <w:r w:rsidRPr="000708B5">
        <w:rPr>
          <w:rFonts w:asciiTheme="minorBidi" w:hAnsiTheme="minorBidi" w:hint="cs"/>
          <w:sz w:val="16"/>
          <w:szCs w:val="16"/>
          <w:rtl/>
        </w:rPr>
        <w:t>:</w:t>
      </w:r>
      <w:r w:rsidRPr="000708B5">
        <w:rPr>
          <w:rFonts w:asciiTheme="minorBidi" w:hAnsiTheme="minorBidi"/>
          <w:sz w:val="16"/>
          <w:szCs w:val="16"/>
          <w:rtl/>
        </w:rPr>
        <w:t xml:space="preserve"> ד"ה מוראנא</w:t>
      </w:r>
      <w:r w:rsidRPr="000708B5">
        <w:rPr>
          <w:rFonts w:asciiTheme="minorBidi" w:hAnsiTheme="minorBidi" w:hint="cs"/>
          <w:sz w:val="16"/>
          <w:szCs w:val="16"/>
          <w:rtl/>
        </w:rPr>
        <w:t>. הביא</w:t>
      </w:r>
      <w:r>
        <w:rPr>
          <w:rFonts w:asciiTheme="minorBidi" w:hAnsiTheme="minorBidi" w:hint="cs"/>
          <w:sz w:val="16"/>
          <w:szCs w:val="16"/>
          <w:rtl/>
        </w:rPr>
        <w:t>ו</w:t>
      </w:r>
      <w:r w:rsidRPr="000708B5">
        <w:rPr>
          <w:rFonts w:asciiTheme="minorBidi" w:hAnsiTheme="minorBidi" w:hint="cs"/>
          <w:sz w:val="16"/>
          <w:szCs w:val="16"/>
          <w:rtl/>
        </w:rPr>
        <w:t xml:space="preserve"> הה"מ </w:t>
      </w:r>
      <w:r w:rsidRPr="000708B5">
        <w:rPr>
          <w:rFonts w:asciiTheme="minorBidi" w:hAnsiTheme="minorBidi" w:hint="cs"/>
          <w:sz w:val="12"/>
          <w:szCs w:val="12"/>
          <w:rtl/>
        </w:rPr>
        <w:t>(פ"ב די"ז)</w:t>
      </w:r>
      <w:r w:rsidRPr="000708B5">
        <w:rPr>
          <w:rFonts w:asciiTheme="minorBidi" w:hAnsiTheme="minorBidi" w:hint="cs"/>
          <w:sz w:val="16"/>
          <w:szCs w:val="16"/>
          <w:rtl/>
        </w:rPr>
        <w:t>.</w:t>
      </w:r>
      <w:r w:rsidRPr="000708B5">
        <w:rPr>
          <w:rFonts w:asciiTheme="minorBidi" w:hAnsiTheme="minorBidi"/>
          <w:sz w:val="16"/>
          <w:szCs w:val="16"/>
          <w:rtl/>
        </w:rPr>
        <w:t xml:space="preserve"> </w:t>
      </w:r>
      <w:r w:rsidRPr="000708B5">
        <w:rPr>
          <w:rFonts w:asciiTheme="minorBidi" w:hAnsiTheme="minorBidi" w:hint="cs"/>
          <w:sz w:val="16"/>
          <w:szCs w:val="16"/>
          <w:rtl/>
        </w:rPr>
        <w:t>ו</w:t>
      </w:r>
      <w:r>
        <w:rPr>
          <w:rFonts w:asciiTheme="minorBidi" w:hAnsiTheme="minorBidi" w:hint="cs"/>
          <w:sz w:val="16"/>
          <w:szCs w:val="16"/>
          <w:rtl/>
        </w:rPr>
        <w:t xml:space="preserve">כ' </w:t>
      </w:r>
      <w:r w:rsidRPr="000708B5">
        <w:rPr>
          <w:rFonts w:asciiTheme="minorBidi" w:hAnsiTheme="minorBidi" w:hint="cs"/>
          <w:sz w:val="16"/>
          <w:szCs w:val="16"/>
          <w:rtl/>
        </w:rPr>
        <w:t>הב"י את דברי הרשב"א</w:t>
      </w:r>
      <w:r w:rsidRPr="000708B5">
        <w:rPr>
          <w:rFonts w:asciiTheme="minorBidi" w:hAnsiTheme="minorBidi"/>
          <w:sz w:val="16"/>
          <w:szCs w:val="16"/>
          <w:rtl/>
        </w:rPr>
        <w:t xml:space="preserve"> באחרונה</w:t>
      </w:r>
      <w:r w:rsidRPr="000708B5">
        <w:rPr>
          <w:rFonts w:asciiTheme="minorBidi" w:hAnsiTheme="minorBidi" w:hint="cs"/>
          <w:sz w:val="16"/>
          <w:szCs w:val="16"/>
          <w:rtl/>
        </w:rPr>
        <w:t>)</w:t>
      </w:r>
      <w:r>
        <w:rPr>
          <w:rFonts w:asciiTheme="minorBidi" w:hAnsiTheme="minorBidi" w:hint="cs"/>
          <w:rtl/>
        </w:rPr>
        <w:t xml:space="preserve"> וז"ל</w:t>
      </w:r>
      <w:r w:rsidRPr="003024E5">
        <w:rPr>
          <w:rFonts w:asciiTheme="minorBidi" w:hAnsiTheme="minorBidi"/>
          <w:rtl/>
        </w:rPr>
        <w:t xml:space="preserve">- כשהתליע לאחר מיתה לא שנא בדבישרא לא שנא דכוורא שרו, ודוקא בשלא פירשו ע"ג חתיכה, אבל פירשו ע"ג חתיכה אסירי, וכדאמרינן </w:t>
      </w:r>
      <w:r w:rsidRPr="003024E5">
        <w:rPr>
          <w:rFonts w:asciiTheme="minorBidi" w:hAnsiTheme="minorBidi"/>
          <w:sz w:val="16"/>
          <w:szCs w:val="16"/>
          <w:rtl/>
        </w:rPr>
        <w:t xml:space="preserve">(סז:) </w:t>
      </w:r>
      <w:r w:rsidRPr="003024E5">
        <w:rPr>
          <w:rFonts w:asciiTheme="minorBidi" w:hAnsiTheme="minorBidi"/>
          <w:rtl/>
        </w:rPr>
        <w:t>בפירשה ע"ג תמרה דסלקא בתיקו ולחומרא</w:t>
      </w:r>
      <w:r>
        <w:rPr>
          <w:rFonts w:asciiTheme="minorBidi" w:hAnsiTheme="minorBidi" w:hint="cs"/>
          <w:rtl/>
        </w:rPr>
        <w:t xml:space="preserve">. עכ"ל. ומ"מ לא הכנסתי את שמו ביחד עם שמותם של סה"ת והרא"ש וסיעתם משום דהרשב"א גורס כדברי הרמב"ם "פרש מת" </w:t>
      </w:r>
      <w:r w:rsidRPr="000708B5">
        <w:rPr>
          <w:rFonts w:asciiTheme="minorBidi" w:hAnsiTheme="minorBidi" w:hint="cs"/>
          <w:sz w:val="16"/>
          <w:szCs w:val="16"/>
          <w:rtl/>
        </w:rPr>
        <w:t>(ולא כגירסת רש"י סה"ת והרא"ש "פרשה ומתה"</w:t>
      </w:r>
      <w:r>
        <w:rPr>
          <w:rFonts w:asciiTheme="minorBidi" w:hAnsiTheme="minorBidi" w:hint="cs"/>
          <w:sz w:val="16"/>
          <w:szCs w:val="16"/>
          <w:rtl/>
        </w:rPr>
        <w:t>)</w:t>
      </w:r>
      <w:r>
        <w:rPr>
          <w:rFonts w:asciiTheme="minorBidi" w:hAnsiTheme="minorBidi" w:hint="cs"/>
          <w:rtl/>
        </w:rPr>
        <w:t>, הילכך הרשב"א יאסור את מה שהתירו בתולעים מתים הנמצאים בקערה, ובשו"ע פסק כהרא"ש.</w:t>
      </w:r>
      <w:r w:rsidRPr="0030540C">
        <w:rPr>
          <w:rFonts w:asciiTheme="minorBidi" w:hAnsiTheme="minorBidi"/>
          <w:rtl/>
        </w:rPr>
        <w:t xml:space="preserve"> </w:t>
      </w:r>
      <w:r>
        <w:rPr>
          <w:rFonts w:asciiTheme="minorBidi" w:hAnsiTheme="minorBidi" w:hint="cs"/>
          <w:rtl/>
        </w:rPr>
        <w:t>וגם ה</w:t>
      </w:r>
      <w:r w:rsidRPr="005C6730">
        <w:rPr>
          <w:rFonts w:asciiTheme="minorBidi" w:hAnsiTheme="minorBidi"/>
          <w:rtl/>
        </w:rPr>
        <w:t>דרכ"מ</w:t>
      </w:r>
      <w:r w:rsidRPr="005C6730">
        <w:rPr>
          <w:rFonts w:asciiTheme="minorBidi" w:hAnsiTheme="minorBidi"/>
          <w:sz w:val="16"/>
          <w:szCs w:val="16"/>
          <w:rtl/>
        </w:rPr>
        <w:t xml:space="preserve"> (ארוך אות יד</w:t>
      </w:r>
      <w:r>
        <w:rPr>
          <w:rFonts w:asciiTheme="minorBidi" w:hAnsiTheme="minorBidi" w:hint="cs"/>
          <w:sz w:val="16"/>
          <w:szCs w:val="16"/>
          <w:rtl/>
        </w:rPr>
        <w:t>)</w:t>
      </w:r>
      <w:r w:rsidRPr="005C6730">
        <w:rPr>
          <w:rFonts w:asciiTheme="minorBidi" w:hAnsiTheme="minorBidi"/>
          <w:sz w:val="16"/>
          <w:szCs w:val="16"/>
          <w:rtl/>
        </w:rPr>
        <w:t xml:space="preserve"> </w:t>
      </w:r>
      <w:r>
        <w:rPr>
          <w:rFonts w:asciiTheme="minorBidi" w:hAnsiTheme="minorBidi" w:hint="cs"/>
          <w:rtl/>
        </w:rPr>
        <w:t>כ' ד</w:t>
      </w:r>
      <w:r w:rsidRPr="005C6730">
        <w:rPr>
          <w:rFonts w:asciiTheme="minorBidi" w:hAnsiTheme="minorBidi"/>
          <w:rtl/>
        </w:rPr>
        <w:t>המנהג הוא פשוט להקל לאכלן בעודן בקערה</w:t>
      </w:r>
      <w:r>
        <w:rPr>
          <w:rFonts w:asciiTheme="minorBidi" w:hAnsiTheme="minorBidi" w:hint="cs"/>
          <w:sz w:val="16"/>
          <w:szCs w:val="16"/>
          <w:rtl/>
        </w:rPr>
        <w:t xml:space="preserve"> (</w:t>
      </w:r>
      <w:r w:rsidRPr="005C6730">
        <w:rPr>
          <w:rFonts w:asciiTheme="minorBidi" w:hAnsiTheme="minorBidi"/>
          <w:sz w:val="16"/>
          <w:szCs w:val="16"/>
          <w:rtl/>
        </w:rPr>
        <w:t>ומה שכתבו בדרכ"מ קצר אות י' במהד' שירת דבורה</w:t>
      </w:r>
      <w:r>
        <w:rPr>
          <w:rFonts w:asciiTheme="minorBidi" w:hAnsiTheme="minorBidi" w:hint="cs"/>
          <w:sz w:val="16"/>
          <w:szCs w:val="16"/>
          <w:rtl/>
        </w:rPr>
        <w:t xml:space="preserve"> </w:t>
      </w:r>
      <w:r w:rsidRPr="005C6730">
        <w:rPr>
          <w:rFonts w:asciiTheme="minorBidi" w:hAnsiTheme="minorBidi"/>
          <w:sz w:val="16"/>
          <w:szCs w:val="16"/>
          <w:rtl/>
        </w:rPr>
        <w:t xml:space="preserve">-"לכן טוב להחמיר שלא לאכלן אם פירשו" </w:t>
      </w:r>
      <w:r>
        <w:rPr>
          <w:rFonts w:asciiTheme="minorBidi" w:hAnsiTheme="minorBidi"/>
          <w:sz w:val="16"/>
          <w:szCs w:val="16"/>
          <w:rtl/>
        </w:rPr>
        <w:t>–</w:t>
      </w:r>
      <w:r w:rsidRPr="005C6730">
        <w:rPr>
          <w:rFonts w:asciiTheme="minorBidi" w:hAnsiTheme="minorBidi"/>
          <w:sz w:val="16"/>
          <w:szCs w:val="16"/>
          <w:rtl/>
        </w:rPr>
        <w:t xml:space="preserve"> </w:t>
      </w:r>
      <w:r>
        <w:rPr>
          <w:rFonts w:asciiTheme="minorBidi" w:hAnsiTheme="minorBidi" w:hint="cs"/>
          <w:sz w:val="16"/>
          <w:szCs w:val="16"/>
          <w:rtl/>
        </w:rPr>
        <w:t xml:space="preserve">נ"ל דהוי </w:t>
      </w:r>
      <w:r w:rsidRPr="005C6730">
        <w:rPr>
          <w:rFonts w:asciiTheme="minorBidi" w:hAnsiTheme="minorBidi"/>
          <w:sz w:val="16"/>
          <w:szCs w:val="16"/>
          <w:rtl/>
        </w:rPr>
        <w:t>טעות</w:t>
      </w:r>
      <w:r>
        <w:rPr>
          <w:rFonts w:asciiTheme="minorBidi" w:hAnsiTheme="minorBidi" w:hint="cs"/>
          <w:sz w:val="16"/>
          <w:szCs w:val="16"/>
          <w:rtl/>
        </w:rPr>
        <w:t>,</w:t>
      </w:r>
      <w:r w:rsidRPr="005C6730">
        <w:rPr>
          <w:rFonts w:asciiTheme="minorBidi" w:hAnsiTheme="minorBidi"/>
          <w:sz w:val="16"/>
          <w:szCs w:val="16"/>
          <w:rtl/>
        </w:rPr>
        <w:t xml:space="preserve"> </w:t>
      </w:r>
      <w:r>
        <w:rPr>
          <w:rFonts w:asciiTheme="minorBidi" w:hAnsiTheme="minorBidi" w:hint="cs"/>
          <w:sz w:val="16"/>
          <w:szCs w:val="16"/>
          <w:rtl/>
        </w:rPr>
        <w:t>דבדרכ"מ הארוך נתבאר ד</w:t>
      </w:r>
      <w:r w:rsidRPr="005C6730">
        <w:rPr>
          <w:rFonts w:asciiTheme="minorBidi" w:hAnsiTheme="minorBidi"/>
          <w:sz w:val="16"/>
          <w:szCs w:val="16"/>
          <w:rtl/>
        </w:rPr>
        <w:t xml:space="preserve">אין </w:t>
      </w:r>
      <w:r>
        <w:rPr>
          <w:rFonts w:asciiTheme="minorBidi" w:hAnsiTheme="minorBidi" w:hint="cs"/>
          <w:sz w:val="16"/>
          <w:szCs w:val="16"/>
          <w:rtl/>
        </w:rPr>
        <w:t>אלו</w:t>
      </w:r>
      <w:r w:rsidRPr="005C6730">
        <w:rPr>
          <w:rFonts w:asciiTheme="minorBidi" w:hAnsiTheme="minorBidi"/>
          <w:sz w:val="16"/>
          <w:szCs w:val="16"/>
          <w:rtl/>
        </w:rPr>
        <w:t xml:space="preserve"> </w:t>
      </w:r>
      <w:r>
        <w:rPr>
          <w:rFonts w:asciiTheme="minorBidi" w:hAnsiTheme="minorBidi" w:hint="cs"/>
          <w:sz w:val="16"/>
          <w:szCs w:val="16"/>
          <w:rtl/>
        </w:rPr>
        <w:t>דברי</w:t>
      </w:r>
      <w:r w:rsidRPr="005C6730">
        <w:rPr>
          <w:rFonts w:asciiTheme="minorBidi" w:hAnsiTheme="minorBidi"/>
          <w:sz w:val="16"/>
          <w:szCs w:val="16"/>
          <w:rtl/>
        </w:rPr>
        <w:t xml:space="preserve"> הדרכ"מ אלא כ' כן בשם הב"י)</w:t>
      </w:r>
      <w:r w:rsidRPr="005C6730">
        <w:rPr>
          <w:rFonts w:asciiTheme="minorBidi" w:hAnsiTheme="minorBidi"/>
          <w:rtl/>
        </w:rPr>
        <w:t>.</w:t>
      </w:r>
    </w:p>
  </w:footnote>
  <w:footnote w:id="995">
    <w:p w14:paraId="509DF9AC"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ולא חיישינן שמא פירשו מחיים חוץ לחתיכה, דמסתמא אותם שפירשו מחיים נפלו כשהדיחו הבשר ואלו נשארו בבשר ועתה יצאו, וראוי היה לחוש כששם הבשר במים צוננים בקדירה אולי פירשו לדופני הקדירה ולאו היינו רביתייהו</w:t>
      </w:r>
      <w:r w:rsidRPr="005C6730">
        <w:rPr>
          <w:rFonts w:asciiTheme="minorBidi" w:hAnsiTheme="minorBidi"/>
          <w:sz w:val="16"/>
          <w:szCs w:val="16"/>
          <w:rtl/>
        </w:rPr>
        <w:t xml:space="preserve"> </w:t>
      </w:r>
      <w:r>
        <w:rPr>
          <w:rFonts w:asciiTheme="minorBidi" w:hAnsiTheme="minorBidi" w:hint="cs"/>
          <w:sz w:val="14"/>
          <w:szCs w:val="14"/>
          <w:rtl/>
        </w:rPr>
        <w:t>{כדחיישינן גבי</w:t>
      </w:r>
      <w:r w:rsidRPr="005C6730">
        <w:rPr>
          <w:rFonts w:asciiTheme="minorBidi" w:hAnsiTheme="minorBidi"/>
          <w:sz w:val="14"/>
          <w:szCs w:val="14"/>
          <w:rtl/>
        </w:rPr>
        <w:t xml:space="preserve"> פירות דלעיל</w:t>
      </w:r>
      <w:r>
        <w:rPr>
          <w:rFonts w:asciiTheme="minorBidi" w:hAnsiTheme="minorBidi" w:hint="cs"/>
          <w:sz w:val="14"/>
          <w:szCs w:val="14"/>
          <w:rtl/>
        </w:rPr>
        <w:t>}</w:t>
      </w:r>
      <w:r w:rsidRPr="005C6730">
        <w:rPr>
          <w:rFonts w:asciiTheme="minorBidi" w:hAnsiTheme="minorBidi"/>
          <w:rtl/>
        </w:rPr>
        <w:t>, ונהגו להתיר, רא"ש. וכ' הב"י וז"ל- ודבריהם אינם אלא לגי' רש"י 'פירשה ומתה מהו', אבל לדברי הגורסים 'פירש מת מהו'</w:t>
      </w:r>
      <w:r>
        <w:rPr>
          <w:rFonts w:asciiTheme="minorBidi" w:hAnsiTheme="minorBidi" w:hint="cs"/>
          <w:rtl/>
        </w:rPr>
        <w:t>,</w:t>
      </w:r>
      <w:r w:rsidRPr="005C6730">
        <w:rPr>
          <w:rFonts w:asciiTheme="minorBidi" w:hAnsiTheme="minorBidi"/>
          <w:rtl/>
        </w:rPr>
        <w:t xml:space="preserve"> כמו שנתבאר בסי' זה</w:t>
      </w:r>
      <w:r>
        <w:rPr>
          <w:rFonts w:asciiTheme="minorBidi" w:hAnsiTheme="minorBidi" w:hint="cs"/>
          <w:rtl/>
        </w:rPr>
        <w:t>,</w:t>
      </w:r>
      <w:r w:rsidRPr="005C6730">
        <w:rPr>
          <w:rFonts w:asciiTheme="minorBidi" w:hAnsiTheme="minorBidi"/>
          <w:rtl/>
        </w:rPr>
        <w:t xml:space="preserve"> תולעים הנמצאים בקערה אסורים, שאע"פ שלא פירשו עד לאחר שמתו אסורים דהא סלקא בעיין בתיקו.</w:t>
      </w:r>
      <w:r>
        <w:rPr>
          <w:rFonts w:asciiTheme="minorBidi" w:hAnsiTheme="minorBidi" w:hint="cs"/>
          <w:rtl/>
        </w:rPr>
        <w:t xml:space="preserve"> עכ"ל. וכ' ה</w:t>
      </w:r>
      <w:r w:rsidRPr="005C6730">
        <w:rPr>
          <w:rFonts w:asciiTheme="minorBidi" w:hAnsiTheme="minorBidi"/>
          <w:rtl/>
        </w:rPr>
        <w:t xml:space="preserve">ש"ך </w:t>
      </w:r>
      <w:r w:rsidRPr="00F4163F">
        <w:rPr>
          <w:rFonts w:asciiTheme="minorBidi" w:hAnsiTheme="minorBidi"/>
          <w:sz w:val="16"/>
          <w:szCs w:val="16"/>
          <w:rtl/>
        </w:rPr>
        <w:t xml:space="preserve">(סקמ"ה) </w:t>
      </w:r>
      <w:r w:rsidRPr="005C6730">
        <w:rPr>
          <w:rFonts w:asciiTheme="minorBidi" w:hAnsiTheme="minorBidi"/>
          <w:rtl/>
        </w:rPr>
        <w:t>דסברת המתירים עיקר בעיני</w:t>
      </w:r>
      <w:r>
        <w:rPr>
          <w:rFonts w:asciiTheme="minorBidi" w:hAnsiTheme="minorBidi" w:hint="cs"/>
          <w:rtl/>
        </w:rPr>
        <w:t xml:space="preserve"> הב"י</w:t>
      </w:r>
      <w:r w:rsidRPr="005C6730">
        <w:rPr>
          <w:rFonts w:asciiTheme="minorBidi" w:hAnsiTheme="minorBidi"/>
          <w:rtl/>
        </w:rPr>
        <w:t xml:space="preserve"> </w:t>
      </w:r>
      <w:r w:rsidRPr="00F4163F">
        <w:rPr>
          <w:rFonts w:asciiTheme="minorBidi" w:hAnsiTheme="minorBidi" w:hint="cs"/>
          <w:sz w:val="16"/>
          <w:szCs w:val="16"/>
          <w:rtl/>
        </w:rPr>
        <w:t>(ו</w:t>
      </w:r>
      <w:r w:rsidRPr="00F4163F">
        <w:rPr>
          <w:rFonts w:asciiTheme="minorBidi" w:hAnsiTheme="minorBidi"/>
          <w:sz w:val="16"/>
          <w:szCs w:val="16"/>
          <w:rtl/>
        </w:rPr>
        <w:t>כמש</w:t>
      </w:r>
      <w:r>
        <w:rPr>
          <w:rFonts w:asciiTheme="minorBidi" w:hAnsiTheme="minorBidi" w:hint="cs"/>
          <w:sz w:val="16"/>
          <w:szCs w:val="16"/>
          <w:rtl/>
        </w:rPr>
        <w:t>"</w:t>
      </w:r>
      <w:r w:rsidRPr="00F4163F">
        <w:rPr>
          <w:rFonts w:asciiTheme="minorBidi" w:hAnsiTheme="minorBidi"/>
          <w:sz w:val="16"/>
          <w:szCs w:val="16"/>
          <w:rtl/>
        </w:rPr>
        <w:t>כ</w:t>
      </w:r>
      <w:r w:rsidRPr="00F4163F">
        <w:rPr>
          <w:rFonts w:asciiTheme="minorBidi" w:hAnsiTheme="minorBidi" w:hint="cs"/>
          <w:sz w:val="16"/>
          <w:szCs w:val="16"/>
          <w:rtl/>
        </w:rPr>
        <w:t xml:space="preserve"> הש"ך</w:t>
      </w:r>
      <w:r w:rsidRPr="00F4163F">
        <w:rPr>
          <w:rFonts w:asciiTheme="minorBidi" w:hAnsiTheme="minorBidi"/>
          <w:sz w:val="16"/>
          <w:szCs w:val="16"/>
          <w:rtl/>
        </w:rPr>
        <w:t xml:space="preserve"> בסקי"ב</w:t>
      </w:r>
      <w:r w:rsidRPr="00F4163F">
        <w:rPr>
          <w:rFonts w:asciiTheme="minorBidi" w:hAnsiTheme="minorBidi" w:hint="cs"/>
          <w:sz w:val="16"/>
          <w:szCs w:val="16"/>
          <w:rtl/>
        </w:rPr>
        <w:t>, דלכן כתב השו"ע בסע' ד את דעת האוסרים ב</w:t>
      </w:r>
      <w:r w:rsidRPr="00F4163F">
        <w:rPr>
          <w:rFonts w:asciiTheme="minorBidi" w:hAnsiTheme="minorBidi"/>
          <w:sz w:val="16"/>
          <w:szCs w:val="16"/>
          <w:rtl/>
        </w:rPr>
        <w:t>יש אוסרים</w:t>
      </w:r>
      <w:r w:rsidRPr="00F4163F">
        <w:rPr>
          <w:rFonts w:asciiTheme="minorBidi" w:hAnsiTheme="minorBidi" w:hint="cs"/>
          <w:sz w:val="16"/>
          <w:szCs w:val="16"/>
          <w:rtl/>
        </w:rPr>
        <w:t xml:space="preserve"> ולא בסתם)</w:t>
      </w:r>
      <w:r w:rsidRPr="00F4163F">
        <w:rPr>
          <w:rFonts w:asciiTheme="minorBidi" w:hAnsiTheme="minorBidi"/>
          <w:rtl/>
        </w:rPr>
        <w:t>.</w:t>
      </w:r>
    </w:p>
  </w:footnote>
  <w:footnote w:id="996">
    <w:p w14:paraId="57801C84"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הביאוהו האו"ז (סי' תלז, והעתיקו ב</w:t>
      </w:r>
      <w:r>
        <w:rPr>
          <w:rFonts w:asciiTheme="minorBidi" w:hAnsiTheme="minorBidi"/>
          <w:rtl/>
        </w:rPr>
        <w:t>הג"א</w:t>
      </w:r>
      <w:r w:rsidRPr="005C6730">
        <w:rPr>
          <w:rFonts w:asciiTheme="minorBidi" w:hAnsiTheme="minorBidi"/>
          <w:rtl/>
        </w:rPr>
        <w:t xml:space="preserve"> </w:t>
      </w:r>
      <w:r w:rsidRPr="005C6730">
        <w:rPr>
          <w:rFonts w:asciiTheme="minorBidi" w:hAnsiTheme="minorBidi"/>
          <w:sz w:val="16"/>
          <w:szCs w:val="16"/>
          <w:rtl/>
        </w:rPr>
        <w:t>[סי' סט הג"ה ג]</w:t>
      </w:r>
      <w:r w:rsidRPr="005C6730">
        <w:rPr>
          <w:rFonts w:asciiTheme="minorBidi" w:hAnsiTheme="minorBidi"/>
          <w:rtl/>
        </w:rPr>
        <w:t>) והמרדכי (סי' תרמו).</w:t>
      </w:r>
    </w:p>
  </w:footnote>
  <w:footnote w:id="997">
    <w:p w14:paraId="68D2D66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ולא דמיא לפירש לגג התמרה דאין דרכו להיות אלא בגרעינין, רשב"ט.</w:t>
      </w:r>
      <w:r w:rsidRPr="00836015">
        <w:rPr>
          <w:rFonts w:asciiTheme="minorBidi" w:hAnsiTheme="minorBidi"/>
          <w:rtl/>
        </w:rPr>
        <w:t xml:space="preserve"> </w:t>
      </w:r>
    </w:p>
  </w:footnote>
  <w:footnote w:id="998">
    <w:p w14:paraId="7B78478B"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w:t>
      </w:r>
      <w:r>
        <w:rPr>
          <w:rFonts w:asciiTheme="minorBidi" w:hAnsiTheme="minorBidi" w:hint="cs"/>
          <w:rtl/>
        </w:rPr>
        <w:t xml:space="preserve">וכ"כ </w:t>
      </w:r>
      <w:r w:rsidRPr="005C6730">
        <w:rPr>
          <w:rFonts w:asciiTheme="minorBidi" w:hAnsiTheme="minorBidi"/>
          <w:rtl/>
        </w:rPr>
        <w:t xml:space="preserve">מהרא"י </w:t>
      </w:r>
      <w:r w:rsidRPr="005C6730">
        <w:rPr>
          <w:rFonts w:asciiTheme="minorBidi" w:hAnsiTheme="minorBidi"/>
          <w:sz w:val="16"/>
          <w:szCs w:val="16"/>
          <w:rtl/>
        </w:rPr>
        <w:t>(בהגשע"ד סי' מז סק"</w:t>
      </w:r>
      <w:r>
        <w:rPr>
          <w:rFonts w:asciiTheme="minorBidi" w:hAnsiTheme="minorBidi" w:hint="cs"/>
          <w:sz w:val="16"/>
          <w:szCs w:val="16"/>
          <w:rtl/>
        </w:rPr>
        <w:t>א</w:t>
      </w:r>
      <w:r w:rsidRPr="005C6730">
        <w:rPr>
          <w:rFonts w:asciiTheme="minorBidi" w:hAnsiTheme="minorBidi"/>
          <w:sz w:val="16"/>
          <w:szCs w:val="16"/>
          <w:rtl/>
        </w:rPr>
        <w:t xml:space="preserve"> </w:t>
      </w:r>
      <w:r>
        <w:rPr>
          <w:rFonts w:asciiTheme="minorBidi" w:hAnsiTheme="minorBidi" w:hint="cs"/>
          <w:sz w:val="16"/>
          <w:szCs w:val="16"/>
          <w:rtl/>
        </w:rPr>
        <w:t xml:space="preserve">ד"ה כתב באו"ז, וסק"ב </w:t>
      </w:r>
      <w:r w:rsidRPr="005C6730">
        <w:rPr>
          <w:rFonts w:asciiTheme="minorBidi" w:hAnsiTheme="minorBidi"/>
          <w:sz w:val="16"/>
          <w:szCs w:val="16"/>
          <w:rtl/>
        </w:rPr>
        <w:t>ד"ה והרא"ש)</w:t>
      </w:r>
      <w:r>
        <w:rPr>
          <w:rFonts w:asciiTheme="minorBidi" w:hAnsiTheme="minorBidi" w:hint="cs"/>
          <w:rtl/>
        </w:rPr>
        <w:t xml:space="preserve"> ד</w:t>
      </w:r>
      <w:r w:rsidRPr="005C6730">
        <w:rPr>
          <w:rFonts w:asciiTheme="minorBidi" w:hAnsiTheme="minorBidi"/>
          <w:rtl/>
        </w:rPr>
        <w:t>רבים נהגו היתר בתולעים של גבינות לאכלן בהדיא אפי</w:t>
      </w:r>
      <w:r>
        <w:rPr>
          <w:rFonts w:asciiTheme="minorBidi" w:hAnsiTheme="minorBidi" w:hint="cs"/>
          <w:rtl/>
        </w:rPr>
        <w:t>'</w:t>
      </w:r>
      <w:r w:rsidRPr="005C6730">
        <w:rPr>
          <w:rFonts w:asciiTheme="minorBidi" w:hAnsiTheme="minorBidi"/>
          <w:rtl/>
        </w:rPr>
        <w:t xml:space="preserve"> שקופצין הנה והנה בקערה</w:t>
      </w:r>
      <w:r>
        <w:rPr>
          <w:rFonts w:asciiTheme="minorBidi" w:hAnsiTheme="minorBidi" w:hint="cs"/>
          <w:rtl/>
        </w:rPr>
        <w:t>...</w:t>
      </w:r>
      <w:r w:rsidRPr="005C6730">
        <w:rPr>
          <w:rFonts w:asciiTheme="minorBidi" w:hAnsiTheme="minorBidi"/>
          <w:rtl/>
        </w:rPr>
        <w:t xml:space="preserve"> </w:t>
      </w:r>
      <w:r>
        <w:rPr>
          <w:rFonts w:asciiTheme="minorBidi" w:hAnsiTheme="minorBidi" w:hint="cs"/>
          <w:rtl/>
        </w:rPr>
        <w:t>ו</w:t>
      </w:r>
      <w:r w:rsidRPr="005C6730">
        <w:rPr>
          <w:rFonts w:asciiTheme="minorBidi" w:hAnsiTheme="minorBidi"/>
          <w:rtl/>
        </w:rPr>
        <w:t>נהוג שלא להקפיד לאכול דגים שיוצאין מגופן תולעים לבנים ורגילין לצאת מקצת ולחזור... דניכר וידוע הוא דמגוף הדגים קאתו והיינו רביתייהו לצאת מקצת ולחזור.</w:t>
      </w:r>
      <w:r>
        <w:rPr>
          <w:rFonts w:asciiTheme="minorBidi" w:hAnsiTheme="minorBidi" w:hint="cs"/>
          <w:rtl/>
        </w:rPr>
        <w:t xml:space="preserve"> עכ"ל.</w:t>
      </w:r>
      <w:r w:rsidRPr="005C6730">
        <w:rPr>
          <w:rFonts w:asciiTheme="minorBidi" w:hAnsiTheme="minorBidi"/>
          <w:rtl/>
        </w:rPr>
        <w:t xml:space="preserve"> </w:t>
      </w:r>
      <w:r>
        <w:rPr>
          <w:rFonts w:asciiTheme="minorBidi" w:hAnsiTheme="minorBidi" w:hint="cs"/>
          <w:color w:val="00B0F0"/>
          <w:rtl/>
        </w:rPr>
        <w:t>(</w:t>
      </w:r>
      <w:r w:rsidRPr="005C6730">
        <w:rPr>
          <w:rFonts w:asciiTheme="minorBidi" w:hAnsiTheme="minorBidi"/>
          <w:color w:val="00B0F0"/>
          <w:rtl/>
        </w:rPr>
        <w:t>וכ"פ הרמ"א</w:t>
      </w:r>
      <w:r>
        <w:rPr>
          <w:rFonts w:asciiTheme="minorBidi" w:hAnsiTheme="minorBidi" w:hint="cs"/>
          <w:color w:val="00B0F0"/>
          <w:rtl/>
        </w:rPr>
        <w:t>)</w:t>
      </w:r>
      <w:r>
        <w:rPr>
          <w:rFonts w:asciiTheme="minorBidi" w:hAnsiTheme="minorBidi" w:hint="cs"/>
          <w:rtl/>
        </w:rPr>
        <w:t xml:space="preserve"> </w:t>
      </w:r>
      <w:r>
        <w:rPr>
          <w:rFonts w:asciiTheme="minorBidi" w:hAnsiTheme="minorBidi" w:hint="cs"/>
          <w:sz w:val="16"/>
          <w:szCs w:val="16"/>
          <w:rtl/>
        </w:rPr>
        <w:t>{</w:t>
      </w:r>
      <w:r w:rsidRPr="00836015">
        <w:rPr>
          <w:rFonts w:asciiTheme="minorBidi" w:hAnsiTheme="minorBidi" w:hint="cs"/>
          <w:sz w:val="16"/>
          <w:szCs w:val="16"/>
          <w:rtl/>
        </w:rPr>
        <w:t xml:space="preserve">ואע"ג דהרמ"א שינה מלשון מהרא"י וכתב- "קופצין הנה והנה </w:t>
      </w:r>
      <w:r w:rsidRPr="00836015">
        <w:rPr>
          <w:rFonts w:asciiTheme="minorBidi" w:hAnsiTheme="minorBidi" w:hint="cs"/>
          <w:sz w:val="16"/>
          <w:szCs w:val="16"/>
          <w:u w:val="single"/>
          <w:rtl/>
        </w:rPr>
        <w:t>על הגבינה</w:t>
      </w:r>
      <w:r w:rsidRPr="00836015">
        <w:rPr>
          <w:rFonts w:asciiTheme="minorBidi" w:hAnsiTheme="minorBidi" w:hint="cs"/>
          <w:sz w:val="16"/>
          <w:szCs w:val="16"/>
          <w:rtl/>
        </w:rPr>
        <w:t xml:space="preserve">", אפ"ל שפירש את מאי דקאמר מהראי "בקערה" היינו </w:t>
      </w:r>
      <w:r>
        <w:rPr>
          <w:rFonts w:asciiTheme="minorBidi" w:hAnsiTheme="minorBidi" w:hint="cs"/>
          <w:sz w:val="16"/>
          <w:szCs w:val="16"/>
          <w:rtl/>
        </w:rPr>
        <w:t>'</w:t>
      </w:r>
      <w:r w:rsidRPr="00836015">
        <w:rPr>
          <w:rFonts w:asciiTheme="minorBidi" w:hAnsiTheme="minorBidi" w:hint="cs"/>
          <w:sz w:val="16"/>
          <w:szCs w:val="16"/>
          <w:rtl/>
        </w:rPr>
        <w:t>באוכל שבקערה</w:t>
      </w:r>
      <w:r>
        <w:rPr>
          <w:rFonts w:asciiTheme="minorBidi" w:hAnsiTheme="minorBidi" w:hint="cs"/>
          <w:sz w:val="16"/>
          <w:szCs w:val="16"/>
          <w:rtl/>
        </w:rPr>
        <w:t>'</w:t>
      </w:r>
      <w:r w:rsidRPr="00836015">
        <w:rPr>
          <w:rFonts w:asciiTheme="minorBidi" w:hAnsiTheme="minorBidi" w:hint="cs"/>
          <w:sz w:val="16"/>
          <w:szCs w:val="16"/>
          <w:rtl/>
        </w:rPr>
        <w:t xml:space="preserve"> אבל לא שפירשו לגמרי, וכמו שכתב מהרא"י עצמו לאחמ"כ גבי דגים "והיינו רביתייהו לצאת </w:t>
      </w:r>
      <w:r w:rsidRPr="00836015">
        <w:rPr>
          <w:rFonts w:asciiTheme="minorBidi" w:hAnsiTheme="minorBidi" w:hint="cs"/>
          <w:sz w:val="16"/>
          <w:szCs w:val="16"/>
          <w:u w:val="single"/>
          <w:rtl/>
        </w:rPr>
        <w:t>מקצת</w:t>
      </w:r>
      <w:r w:rsidRPr="00836015">
        <w:rPr>
          <w:rFonts w:asciiTheme="minorBidi" w:hAnsiTheme="minorBidi" w:hint="cs"/>
          <w:sz w:val="16"/>
          <w:szCs w:val="16"/>
          <w:rtl/>
        </w:rPr>
        <w:t xml:space="preserve"> ולחזור", דווקא מקצת, אבל אם פירשו לגמרי לא</w:t>
      </w:r>
      <w:r>
        <w:rPr>
          <w:rFonts w:asciiTheme="minorBidi" w:hAnsiTheme="minorBidi" w:hint="cs"/>
          <w:sz w:val="16"/>
          <w:szCs w:val="16"/>
          <w:rtl/>
        </w:rPr>
        <w:t xml:space="preserve">, ואפשר דדברי הרמ"א היינו דברי מהרא"י וכוונת שתיהם היא שתולעים שיצאו מהגבינה על דופני גם כן שרי דהוי רביתייהו כמו תולעים שרחשו על דופני הכלי מבפנים </w:t>
      </w:r>
      <w:r w:rsidRPr="009C24DC">
        <w:rPr>
          <w:rFonts w:asciiTheme="minorBidi" w:hAnsiTheme="minorBidi" w:hint="cs"/>
          <w:sz w:val="14"/>
          <w:szCs w:val="14"/>
          <w:rtl/>
        </w:rPr>
        <w:t xml:space="preserve">[אבל פירשו לגמרי על השלחן לא </w:t>
      </w:r>
      <w:r w:rsidRPr="009C24DC">
        <w:rPr>
          <w:rFonts w:asciiTheme="minorBidi" w:hAnsiTheme="minorBidi"/>
          <w:sz w:val="14"/>
          <w:szCs w:val="14"/>
          <w:rtl/>
        </w:rPr>
        <w:t>–</w:t>
      </w:r>
      <w:r w:rsidRPr="009C24DC">
        <w:rPr>
          <w:rFonts w:asciiTheme="minorBidi" w:hAnsiTheme="minorBidi" w:hint="cs"/>
          <w:sz w:val="14"/>
          <w:szCs w:val="14"/>
          <w:rtl/>
        </w:rPr>
        <w:t xml:space="preserve"> כדכתב הרמ"א]</w:t>
      </w:r>
      <w:r>
        <w:rPr>
          <w:rFonts w:asciiTheme="minorBidi" w:hAnsiTheme="minorBidi" w:hint="cs"/>
          <w:sz w:val="16"/>
          <w:szCs w:val="16"/>
          <w:rtl/>
        </w:rPr>
        <w:t>, אבל בדגים לאו היינו רביתייהו לצאת לגמרי, ולכן אינם מותרים אלא בפירשו מקצתן}</w:t>
      </w:r>
      <w:r>
        <w:rPr>
          <w:rFonts w:asciiTheme="minorBidi" w:hAnsiTheme="minorBidi" w:hint="cs"/>
          <w:rtl/>
        </w:rPr>
        <w:t>.</w:t>
      </w:r>
    </w:p>
  </w:footnote>
  <w:footnote w:id="999">
    <w:p w14:paraId="505D91B0"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דאין בהן לא משום אבר מן החי ולא משום שרץ השורץ על הארץ, דדינינן לנולד כמוליד והכא הבשר המולידם אין בו בשעת לידה משום אבר מן החי, ודמי קצת הוולד לבן פקועה, וכ"ש הנמצאים בבשר דגים, ראבי"ה.</w:t>
      </w:r>
    </w:p>
  </w:footnote>
  <w:footnote w:id="1000">
    <w:p w14:paraId="30AADFE2"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שהמוליד אע"פ שהולך על הארץ מותר, ראבי"ה. </w:t>
      </w:r>
      <w:r>
        <w:rPr>
          <w:rFonts w:asciiTheme="minorBidi" w:hAnsiTheme="minorBidi" w:hint="cs"/>
          <w:rtl/>
        </w:rPr>
        <w:t>והעתיק ה</w:t>
      </w:r>
      <w:r>
        <w:rPr>
          <w:rFonts w:asciiTheme="minorBidi" w:hAnsiTheme="minorBidi"/>
          <w:rtl/>
        </w:rPr>
        <w:t>או"ה</w:t>
      </w:r>
      <w:r w:rsidRPr="005C6730">
        <w:rPr>
          <w:rFonts w:asciiTheme="minorBidi" w:hAnsiTheme="minorBidi"/>
          <w:rtl/>
        </w:rPr>
        <w:t xml:space="preserve"> (כלל מא דין י)</w:t>
      </w:r>
      <w:r>
        <w:rPr>
          <w:rFonts w:asciiTheme="minorBidi" w:hAnsiTheme="minorBidi" w:hint="cs"/>
          <w:rtl/>
        </w:rPr>
        <w:t xml:space="preserve"> דבריו אך הוסיף ד</w:t>
      </w:r>
      <w:r w:rsidRPr="005C6730">
        <w:rPr>
          <w:rFonts w:asciiTheme="minorBidi" w:hAnsiTheme="minorBidi"/>
          <w:rtl/>
        </w:rPr>
        <w:t>אם פירשו על השולחן נראה דאסורין משום מראית העין, ואין אוסרין מאכל בפליטתן, ואם לא נמצאו במאכל כל המאכל שרי</w:t>
      </w:r>
      <w:r>
        <w:rPr>
          <w:rFonts w:asciiTheme="minorBidi" w:hAnsiTheme="minorBidi" w:hint="cs"/>
          <w:rtl/>
        </w:rPr>
        <w:t>, עכ"ל.</w:t>
      </w:r>
      <w:r w:rsidRPr="005C6730">
        <w:rPr>
          <w:rFonts w:asciiTheme="minorBidi" w:hAnsiTheme="minorBidi"/>
          <w:rtl/>
        </w:rPr>
        <w:t xml:space="preserve"> </w:t>
      </w:r>
      <w:r w:rsidRPr="000708B5">
        <w:rPr>
          <w:rFonts w:asciiTheme="minorBidi" w:hAnsiTheme="minorBidi"/>
          <w:rtl/>
        </w:rPr>
        <w:t>וכ' עליו הדרכ"מ (אות ט)</w:t>
      </w:r>
      <w:r>
        <w:rPr>
          <w:rFonts w:asciiTheme="minorBidi" w:hAnsiTheme="minorBidi" w:hint="cs"/>
          <w:rtl/>
        </w:rPr>
        <w:t>-</w:t>
      </w:r>
      <w:r w:rsidRPr="000708B5">
        <w:rPr>
          <w:rFonts w:asciiTheme="minorBidi" w:hAnsiTheme="minorBidi"/>
          <w:rtl/>
        </w:rPr>
        <w:t xml:space="preserve"> ולא ידעתי מנ"ל דהא לא גרוע מאותן הגדלים בשכר דאסורין לאחר שסיננן</w:t>
      </w:r>
      <w:r>
        <w:rPr>
          <w:rFonts w:asciiTheme="minorBidi" w:hAnsiTheme="minorBidi" w:hint="cs"/>
          <w:rtl/>
        </w:rPr>
        <w:t xml:space="preserve"> (אמנם אעפ"כ פסק הרמ"א בהג"ה כדברי האו"ה דאם נתערבו בתבשיל אינו נאסר)</w:t>
      </w:r>
      <w:r w:rsidRPr="005C6730">
        <w:rPr>
          <w:rFonts w:asciiTheme="minorBidi" w:hAnsiTheme="minorBidi"/>
          <w:rtl/>
        </w:rPr>
        <w:t>.</w:t>
      </w:r>
      <w:r w:rsidRPr="005C6730">
        <w:rPr>
          <w:rFonts w:asciiTheme="minorBidi" w:hAnsiTheme="minorBidi"/>
          <w:sz w:val="14"/>
          <w:szCs w:val="14"/>
          <w:rtl/>
        </w:rPr>
        <w:t xml:space="preserve"> </w:t>
      </w:r>
    </w:p>
  </w:footnote>
  <w:footnote w:id="1001">
    <w:p w14:paraId="265BBDDD"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וכתב הה"מ נראה שרבינו סובר שכל התולעים שנמצאים בדג מחיים אסורים, וזהו קוקיאני דאסירי, והטעם מפני שאינם מתהוים ממנו אלא נכנסים לו דרך נחיריו, וכשאמרו דכוורי שריין הוא בשהתליעו אחר מיתה, ודכוותה בבישרא- אסירי, וזהו שאמרו מורנא דבישרא ולא אמרו דבהמה, משמע דאפילו לאחר מיתה אסירי, ונתנו טעם לדבר לפי שבשר הבהמה אינה מותרת אלא בשחיטה וכל דבר חי שיצא ממנה אפילו לאחר מיתה אסור כיון שא"א לו בשחיטה אבל הדגים אינם צריכים שחיטה וכל דבר הגדל ממנו בהיתר הוא גדל, וכמו תולעת הפירות, ואף בדגים אם פירשו אסורים זה נראה דעתו ז"ל. ובהשגות (שם) אמר אברהם זה שיבוש שאף בשר המליח תולעתו מותרת אבל מה שאמרו מורנא דבישרא אסירי דכוורי שריין תולעת שהיו בו מחיים קאמר ודכוורי שריין משום דחיי הדגים כמיתתן דמי ע"כ וזו היא שיטת האחרונים ז"ל וזהו דעת הרשב"א</w:t>
      </w:r>
      <w:r>
        <w:rPr>
          <w:rFonts w:asciiTheme="minorBidi" w:hAnsiTheme="minorBidi" w:hint="cs"/>
          <w:rtl/>
        </w:rPr>
        <w:t>. עכ"ל</w:t>
      </w:r>
      <w:r w:rsidRPr="005C6730">
        <w:rPr>
          <w:rFonts w:asciiTheme="minorBidi" w:hAnsiTheme="minorBidi"/>
          <w:rtl/>
        </w:rPr>
        <w:t xml:space="preserve"> הה"מ.</w:t>
      </w:r>
    </w:p>
  </w:footnote>
  <w:footnote w:id="1002">
    <w:p w14:paraId="288F9C2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סי' רסו רסז, כ"כ בשמו האו"ז (והעתיקו ב</w:t>
      </w:r>
      <w:r>
        <w:rPr>
          <w:rFonts w:asciiTheme="minorBidi" w:hAnsiTheme="minorBidi"/>
          <w:rtl/>
        </w:rPr>
        <w:t>הג"א</w:t>
      </w:r>
      <w:r w:rsidRPr="005C6730">
        <w:rPr>
          <w:rFonts w:asciiTheme="minorBidi" w:hAnsiTheme="minorBidi"/>
          <w:rtl/>
        </w:rPr>
        <w:t xml:space="preserve">). </w:t>
      </w:r>
      <w:r w:rsidRPr="005C6730">
        <w:rPr>
          <w:rFonts w:asciiTheme="minorBidi" w:hAnsiTheme="minorBidi"/>
          <w:color w:val="FF0000"/>
          <w:rtl/>
        </w:rPr>
        <w:t>אך לא מצאתי כן בדברי הראב"ן (תשובות וביאורי סוגיות) שלפני</w:t>
      </w:r>
    </w:p>
  </w:footnote>
  <w:footnote w:id="1003">
    <w:p w14:paraId="286762D6"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היינו כשלא פירשו לגמרי אבל אם פירשו לגמרי אסורים דודאי לא עדיפי מתולעים שבגבינה לקמן בהג"ה, ש"ך (סקמ"ד).</w:t>
      </w:r>
    </w:p>
  </w:footnote>
  <w:footnote w:id="1004">
    <w:p w14:paraId="21476238"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ר"ל לדעת המתירים בבשר לאחר שחיטה לאפוקי היש מי שאוסר, ש"ך (סקמ"ה).</w:t>
      </w:r>
    </w:p>
  </w:footnote>
  <w:footnote w:id="1005">
    <w:p w14:paraId="4A8FB3D8"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לאו דוקא אלא ה"ה בקערה וכן הוא בדברי מהרא"י שם וכ"כ בדרכ"מ ובת"ח (כלל מ"ז ד"ב) בהדיא דבקערה מותרים אבל אם פירשו על השלחן אסורים משום מראית העין, וכ"כ מהרש"ל (פא"ט סי' ק"ד), מיהו משמע שם מדברי מהרש"ל דאפי' פירשו על השלחן מותרים ע"ש ודוק, ולא נהגו כן, אבל בקערה ודאי מותרים כי כן רביתייהו לפרוש בקערה ולחזור, דלא כדמשמע בעט"ז דבקערה אסור וכן נוהגין, ש"ך (סקמ"ו). וכ' הט"ז (סקכ"ג) ונראה דה"ה בתולעים של בשר כן דהוה כמו בגבינה, אלא שרש"ל כ' (פא"ט סי' קד) אחר דברי ראבי"ה דלעיל דכל הבא מרוב שומן או מסרחון אין עליו שם שרץ כלל דלא הוי שרץ רק בגידולי קרקע או בעניני שתייה שדומה לשרץ המים, ומ"מ דוקא בגבינה שבאים משום שומן ולא מסרחון משא"כ בבשר דאסור לאכלו אפילו דעתו יפה מ"מ אסור משום בל תשקצו עכ"ל.</w:t>
      </w:r>
    </w:p>
  </w:footnote>
  <w:footnote w:id="1006">
    <w:p w14:paraId="05F33379" w14:textId="77777777" w:rsidR="004C5A3C" w:rsidRPr="000708B5" w:rsidRDefault="004C5A3C" w:rsidP="002C39F4">
      <w:pPr>
        <w:pStyle w:val="a5"/>
        <w:rPr>
          <w:rtl/>
        </w:rPr>
      </w:pPr>
      <w:r w:rsidRPr="000708B5">
        <w:rPr>
          <w:rStyle w:val="a7"/>
        </w:rPr>
        <w:footnoteRef/>
      </w:r>
      <w:r w:rsidRPr="000708B5">
        <w:rPr>
          <w:rtl/>
        </w:rPr>
        <w:t xml:space="preserve"> </w:t>
      </w:r>
      <w:r w:rsidRPr="000708B5">
        <w:rPr>
          <w:rFonts w:hint="cs"/>
          <w:rtl/>
        </w:rPr>
        <w:t>בציונים לרמ"א נכתב כאן-</w:t>
      </w:r>
      <w:r w:rsidRPr="000708B5">
        <w:rPr>
          <w:rFonts w:asciiTheme="minorBidi" w:hAnsiTheme="minorBidi"/>
          <w:rtl/>
        </w:rPr>
        <w:t xml:space="preserve"> מהרא"י ובארוך כמ"א ד"י</w:t>
      </w:r>
      <w:r>
        <w:rPr>
          <w:rFonts w:asciiTheme="minorBidi" w:hAnsiTheme="minorBidi" w:hint="cs"/>
          <w:rtl/>
        </w:rPr>
        <w:t>.</w:t>
      </w:r>
      <w:r>
        <w:rPr>
          <w:rFonts w:hint="cs"/>
          <w:rtl/>
        </w:rPr>
        <w:t xml:space="preserve"> עד כאן. וצ"ע דהרי בדבריהם לא משמע כך ונראה שהש"ך כתב ציון זה.</w:t>
      </w:r>
    </w:p>
  </w:footnote>
  <w:footnote w:id="1007">
    <w:p w14:paraId="5E0A5FCE"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וא"צ ס' כנגדן, או"ה שם, מיהו נראה דצריך רוב כנגדן, וע"ל סי' ק"ג ס"ב, ש"ך (סקמ"ז).</w:t>
      </w:r>
    </w:p>
  </w:footnote>
  <w:footnote w:id="1008">
    <w:p w14:paraId="4F0A3A2D"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דלא גריעי מאותן הגדלים בשכר דאסורין לאחר שסיננן, דרכ"מ (אות ט). וכ' הש"ך (סקמ"ח) שבת"ח משמע דמתיר לגמרי.</w:t>
      </w:r>
    </w:p>
  </w:footnote>
  <w:footnote w:id="1009">
    <w:p w14:paraId="5666B01B" w14:textId="77777777" w:rsidR="004C5A3C" w:rsidRPr="005C6730" w:rsidRDefault="004C5A3C" w:rsidP="002C39F4">
      <w:pPr>
        <w:pStyle w:val="a5"/>
        <w:rPr>
          <w:rFonts w:asciiTheme="minorBidi" w:hAnsiTheme="minorBidi"/>
          <w:rtl/>
        </w:rPr>
      </w:pPr>
      <w:r w:rsidRPr="005C6730">
        <w:rPr>
          <w:rStyle w:val="a7"/>
          <w:rFonts w:asciiTheme="minorBidi" w:hAnsiTheme="minorBidi"/>
        </w:rPr>
        <w:footnoteRef/>
      </w:r>
      <w:r w:rsidRPr="005C6730">
        <w:rPr>
          <w:rFonts w:asciiTheme="minorBidi" w:hAnsiTheme="minorBidi"/>
          <w:rtl/>
        </w:rPr>
        <w:t xml:space="preserve"> רש"ל </w:t>
      </w:r>
      <w:r w:rsidRPr="005C6730">
        <w:rPr>
          <w:rFonts w:asciiTheme="minorBidi" w:hAnsiTheme="minorBidi"/>
          <w:sz w:val="16"/>
          <w:szCs w:val="16"/>
          <w:rtl/>
        </w:rPr>
        <w:t xml:space="preserve">(בביאורו לטור וביש"ש פ"ג סי' קכו) </w:t>
      </w:r>
      <w:r w:rsidRPr="005C6730">
        <w:rPr>
          <w:rFonts w:asciiTheme="minorBidi" w:hAnsiTheme="minorBidi"/>
          <w:rtl/>
        </w:rPr>
        <w:t>העתיק בשם תשובת ר"י על נכפה שהיא כמכה של חלל ומותר להאכילו מאכל שיש בו שרץ עוף אם הרפואה בידוע ואם לאו אסור ואם ביטל העובד כוכבים הרפואה בס' מותר, ט"ז (סקכ"ד).</w:t>
      </w:r>
    </w:p>
  </w:footnote>
  <w:footnote w:id="1010">
    <w:p w14:paraId="3C7EDAE5" w14:textId="77777777" w:rsidR="004C5A3C" w:rsidRPr="005C6730" w:rsidRDefault="004C5A3C" w:rsidP="002C39F4">
      <w:pPr>
        <w:pStyle w:val="a5"/>
        <w:rPr>
          <w:rFonts w:asciiTheme="minorBidi" w:hAnsiTheme="minorBidi"/>
        </w:rPr>
      </w:pPr>
      <w:r w:rsidRPr="005C6730">
        <w:rPr>
          <w:rStyle w:val="a7"/>
          <w:rFonts w:asciiTheme="minorBidi" w:hAnsiTheme="minorBidi"/>
        </w:rPr>
        <w:footnoteRef/>
      </w:r>
      <w:r w:rsidRPr="005C6730">
        <w:rPr>
          <w:rFonts w:asciiTheme="minorBidi" w:hAnsiTheme="minorBidi"/>
          <w:rtl/>
        </w:rPr>
        <w:t xml:space="preserve"> וביתר ביאור כ' הרמ"א בסי' קנה סע' ג וז"ל- מותר לשרוף שרץ או שאר דבר איסור ולאכלו לרפואה אפילו חולה שאין בו סכנה, חוץ מעצי עכו"ם (ארוך כלל לב), וכל חולה שמאכילין לו איסור צריכים שתהא הרפואה ידועה או על פי מומחה (שם כלל נט). ואין מתירין שום דבר איסור לחולה אם יוכל לעשות הרפואה בהיתר כמו באיסור אע"פ שצריך לשהות קצת קודם שימצא ההיתר מאחר שאין סכנה בדבר (ב"י ותשו' הרשב"א ח"ג סי' ריד). עכ"ל. וכ' הש"ך (סקי"ט) דהא שמותר לשרוף דבר איסור- שרי אפי' הוא מאיסורי הנאה, דקי"ל כל הנשרפין אפרן מותר חוץ מעצי </w:t>
      </w:r>
      <w:r>
        <w:rPr>
          <w:rFonts w:asciiTheme="minorBidi" w:hAnsiTheme="minorBidi" w:hint="cs"/>
          <w:rtl/>
        </w:rPr>
        <w:t>עכו"ם</w:t>
      </w:r>
      <w:r w:rsidRPr="005C6730">
        <w:rPr>
          <w:rFonts w:asciiTheme="minorBidi" w:hAnsiTheme="minorBidi"/>
          <w:rtl/>
        </w:rPr>
        <w:t xml:space="preserve"> ויי"נ, ריב"ש </w:t>
      </w:r>
      <w:r>
        <w:rPr>
          <w:rFonts w:asciiTheme="minorBidi" w:hAnsiTheme="minorBidi" w:hint="cs"/>
          <w:rtl/>
        </w:rPr>
        <w:t>(</w:t>
      </w:r>
      <w:r w:rsidRPr="005C6730">
        <w:rPr>
          <w:rFonts w:asciiTheme="minorBidi" w:hAnsiTheme="minorBidi"/>
          <w:rtl/>
        </w:rPr>
        <w:t>סי' רכה</w:t>
      </w:r>
      <w:r>
        <w:rPr>
          <w:rFonts w:asciiTheme="minorBidi" w:hAnsiTheme="minorBidi" w:hint="cs"/>
          <w:rtl/>
        </w:rPr>
        <w:t>)</w:t>
      </w:r>
      <w:r w:rsidRPr="005C6730">
        <w:rPr>
          <w:rFonts w:asciiTheme="minorBidi" w:hAnsiTheme="minorBidi"/>
          <w:rtl/>
        </w:rPr>
        <w:t>, וכן נראה דעת הרב.</w:t>
      </w:r>
    </w:p>
  </w:footnote>
  <w:footnote w:id="1011">
    <w:p w14:paraId="69A049EC"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w:t>
      </w:r>
      <w:r>
        <w:rPr>
          <w:rFonts w:asciiTheme="minorBidi" w:hAnsiTheme="minorBidi"/>
          <w:rtl/>
        </w:rPr>
        <w:t>הג"א</w:t>
      </w:r>
      <w:r w:rsidRPr="00C233C9">
        <w:rPr>
          <w:rFonts w:asciiTheme="minorBidi" w:hAnsiTheme="minorBidi"/>
          <w:rtl/>
        </w:rPr>
        <w:t xml:space="preserve"> </w:t>
      </w:r>
      <w:r w:rsidRPr="00C233C9">
        <w:rPr>
          <w:rFonts w:asciiTheme="minorBidi" w:hAnsiTheme="minorBidi"/>
          <w:sz w:val="16"/>
          <w:szCs w:val="16"/>
          <w:rtl/>
        </w:rPr>
        <w:t xml:space="preserve">(פ' בתרא דע"ז סי' ל) </w:t>
      </w:r>
      <w:r>
        <w:rPr>
          <w:rFonts w:asciiTheme="minorBidi" w:hAnsiTheme="minorBidi" w:hint="cs"/>
          <w:rtl/>
        </w:rPr>
        <w:t xml:space="preserve">בשם או"ז </w:t>
      </w:r>
      <w:r w:rsidRPr="00C233C9">
        <w:rPr>
          <w:rFonts w:asciiTheme="minorBidi" w:hAnsiTheme="minorBidi"/>
          <w:rtl/>
        </w:rPr>
        <w:t>מרדכי</w:t>
      </w:r>
      <w:r w:rsidRPr="00C233C9">
        <w:rPr>
          <w:rFonts w:asciiTheme="minorBidi" w:hAnsiTheme="minorBidi"/>
          <w:sz w:val="16"/>
          <w:szCs w:val="16"/>
          <w:rtl/>
        </w:rPr>
        <w:t xml:space="preserve"> (ע"ז סי' תתכח)</w:t>
      </w:r>
      <w:r w:rsidRPr="00F540EE">
        <w:rPr>
          <w:rFonts w:cs="Arial" w:hint="cs"/>
          <w:rtl/>
        </w:rPr>
        <w:t xml:space="preserve"> </w:t>
      </w:r>
      <w:r>
        <w:rPr>
          <w:rFonts w:cs="Arial" w:hint="cs"/>
          <w:rtl/>
        </w:rPr>
        <w:t>ו</w:t>
      </w:r>
      <w:r w:rsidRPr="003B72FA">
        <w:rPr>
          <w:rFonts w:cs="Arial"/>
          <w:rtl/>
        </w:rPr>
        <w:t xml:space="preserve">אגור </w:t>
      </w:r>
      <w:r w:rsidRPr="003B72FA">
        <w:rPr>
          <w:rFonts w:cs="Arial"/>
          <w:sz w:val="16"/>
          <w:szCs w:val="16"/>
          <w:rtl/>
        </w:rPr>
        <w:t>(סי' אלף רנד)</w:t>
      </w:r>
      <w:r w:rsidRPr="00C233C9">
        <w:rPr>
          <w:rFonts w:asciiTheme="minorBidi" w:hAnsiTheme="minorBidi"/>
          <w:sz w:val="16"/>
          <w:szCs w:val="16"/>
          <w:rtl/>
        </w:rPr>
        <w:t>.</w:t>
      </w:r>
    </w:p>
  </w:footnote>
  <w:footnote w:id="1012">
    <w:p w14:paraId="4540CE8E" w14:textId="77777777" w:rsidR="004C5A3C" w:rsidRDefault="004C5A3C" w:rsidP="002C39F4">
      <w:pPr>
        <w:pStyle w:val="a5"/>
        <w:rPr>
          <w:rtl/>
        </w:rPr>
      </w:pPr>
      <w:r>
        <w:rPr>
          <w:rStyle w:val="a7"/>
        </w:rPr>
        <w:footnoteRef/>
      </w:r>
      <w:r>
        <w:rPr>
          <w:rtl/>
        </w:rPr>
        <w:t xml:space="preserve"> </w:t>
      </w:r>
      <w:r w:rsidRPr="00AA53D1">
        <w:rPr>
          <w:rFonts w:cs="Arial"/>
          <w:rtl/>
        </w:rPr>
        <w:t>ואף שלא כדרך אכילה והנאה אסור והיה לוקה משא"כ בשאר איסורים חוץ מכלאי הכרם כ"כ הרמב"ם ספי"ד מהלכות מ"א הביאו הפמ"ג בפתיחה</w:t>
      </w:r>
      <w:r>
        <w:rPr>
          <w:rFonts w:hint="cs"/>
          <w:rtl/>
        </w:rPr>
        <w:t>, פת"ש (סק"א).</w:t>
      </w:r>
    </w:p>
  </w:footnote>
  <w:footnote w:id="1013">
    <w:p w14:paraId="62410609"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כלומר אבל לא ע"י כבוש ומליחה שאינו דרך בישול, ש"ך (סק"א).</w:t>
      </w:r>
      <w:r>
        <w:rPr>
          <w:rFonts w:asciiTheme="minorBidi" w:hAnsiTheme="minorBidi" w:hint="cs"/>
          <w:rtl/>
        </w:rPr>
        <w:t xml:space="preserve"> </w:t>
      </w:r>
    </w:p>
  </w:footnote>
  <w:footnote w:id="1014">
    <w:p w14:paraId="7391690C"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ל' הטור. ומקור דבריו הוא הרשב"א (תוה"ק ב"ג ש"ד פד:).</w:t>
      </w:r>
    </w:p>
  </w:footnote>
  <w:footnote w:id="1015">
    <w:p w14:paraId="2C77F323"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וכן דעת המחבר בס"ג דבשר עוף בחלב שאינו אסור באכילה אלא מדרבנן מותר בהנאה אף מדרבנן, וכן דעת הרא"ה </w:t>
      </w:r>
      <w:r w:rsidRPr="00C233C9">
        <w:rPr>
          <w:rFonts w:asciiTheme="minorBidi" w:hAnsiTheme="minorBidi"/>
          <w:sz w:val="16"/>
          <w:szCs w:val="16"/>
          <w:rtl/>
        </w:rPr>
        <w:t xml:space="preserve">(בס' החינוך מצוה קי"ג) </w:t>
      </w:r>
      <w:r w:rsidRPr="00C233C9">
        <w:rPr>
          <w:rFonts w:asciiTheme="minorBidi" w:hAnsiTheme="minorBidi"/>
          <w:rtl/>
        </w:rPr>
        <w:t xml:space="preserve">וכן דעת הרמב"ם </w:t>
      </w:r>
      <w:r w:rsidRPr="00C233C9">
        <w:rPr>
          <w:rFonts w:asciiTheme="minorBidi" w:hAnsiTheme="minorBidi"/>
          <w:sz w:val="16"/>
          <w:szCs w:val="16"/>
          <w:rtl/>
        </w:rPr>
        <w:t xml:space="preserve">(פ"ט מהמ"א ד"ד) </w:t>
      </w:r>
      <w:r w:rsidRPr="00C233C9">
        <w:rPr>
          <w:rFonts w:asciiTheme="minorBidi" w:hAnsiTheme="minorBidi"/>
          <w:rtl/>
        </w:rPr>
        <w:t xml:space="preserve">להדיא, וכן ביאר דבריו בפי' המשנה </w:t>
      </w:r>
      <w:r w:rsidRPr="00C233C9">
        <w:rPr>
          <w:rFonts w:asciiTheme="minorBidi" w:hAnsiTheme="minorBidi"/>
          <w:sz w:val="16"/>
          <w:szCs w:val="16"/>
          <w:rtl/>
        </w:rPr>
        <w:t xml:space="preserve">(פכ"ה) </w:t>
      </w:r>
      <w:r w:rsidRPr="00C233C9">
        <w:rPr>
          <w:rFonts w:asciiTheme="minorBidi" w:hAnsiTheme="minorBidi"/>
          <w:rtl/>
        </w:rPr>
        <w:t xml:space="preserve">וכן פי' הה"מ דעתו וכן הבין מהרש"ל </w:t>
      </w:r>
      <w:r w:rsidRPr="00C233C9">
        <w:rPr>
          <w:rFonts w:asciiTheme="minorBidi" w:hAnsiTheme="minorBidi"/>
          <w:sz w:val="16"/>
          <w:szCs w:val="16"/>
          <w:rtl/>
        </w:rPr>
        <w:t xml:space="preserve">(פא"ט סי' ק) </w:t>
      </w:r>
      <w:r w:rsidRPr="00C233C9">
        <w:rPr>
          <w:rFonts w:asciiTheme="minorBidi" w:hAnsiTheme="minorBidi"/>
          <w:rtl/>
        </w:rPr>
        <w:t xml:space="preserve">ושאר אחרונים דעת הרמב"ם, ולא כמ"ש הב"ח דדעת הרמב"ם דבשר עוף בחלב אסור בהנאה מדרבנן כמו שאסור באכילה מדרבנן </w:t>
      </w:r>
      <w:r w:rsidRPr="00C233C9">
        <w:rPr>
          <w:rFonts w:asciiTheme="minorBidi" w:hAnsiTheme="minorBidi"/>
          <w:sz w:val="16"/>
          <w:szCs w:val="16"/>
          <w:rtl/>
        </w:rPr>
        <w:t>(ומה שכתב ודוחק לומר דהאי לבשל לאכול הוא כו' כבר השבתי עליו בספרי ע"ש)</w:t>
      </w:r>
      <w:r w:rsidRPr="00C233C9">
        <w:rPr>
          <w:rFonts w:asciiTheme="minorBidi" w:hAnsiTheme="minorBidi"/>
          <w:rtl/>
        </w:rPr>
        <w:t xml:space="preserve">, וכ"כ המרדכי </w:t>
      </w:r>
      <w:r w:rsidRPr="00C233C9">
        <w:rPr>
          <w:rFonts w:asciiTheme="minorBidi" w:hAnsiTheme="minorBidi"/>
          <w:sz w:val="16"/>
          <w:szCs w:val="16"/>
          <w:rtl/>
        </w:rPr>
        <w:t xml:space="preserve">(פ' אין מעמידין) </w:t>
      </w:r>
      <w:r w:rsidRPr="00C233C9">
        <w:rPr>
          <w:rFonts w:asciiTheme="minorBidi" w:hAnsiTheme="minorBidi"/>
          <w:rtl/>
        </w:rPr>
        <w:t>ו</w:t>
      </w:r>
      <w:r>
        <w:rPr>
          <w:rFonts w:asciiTheme="minorBidi" w:hAnsiTheme="minorBidi"/>
          <w:rtl/>
        </w:rPr>
        <w:t>הג"א</w:t>
      </w:r>
      <w:r w:rsidRPr="00C233C9">
        <w:rPr>
          <w:rFonts w:asciiTheme="minorBidi" w:hAnsiTheme="minorBidi"/>
          <w:rtl/>
        </w:rPr>
        <w:t xml:space="preserve"> </w:t>
      </w:r>
      <w:r w:rsidRPr="00C233C9">
        <w:rPr>
          <w:rFonts w:asciiTheme="minorBidi" w:hAnsiTheme="minorBidi"/>
          <w:sz w:val="16"/>
          <w:szCs w:val="16"/>
          <w:rtl/>
        </w:rPr>
        <w:t xml:space="preserve">(פ' בתרא דע"ז) </w:t>
      </w:r>
      <w:r w:rsidRPr="00C233C9">
        <w:rPr>
          <w:rFonts w:asciiTheme="minorBidi" w:hAnsiTheme="minorBidi"/>
          <w:rtl/>
        </w:rPr>
        <w:t xml:space="preserve">מא"ז דע"י כבוש או ע"י מליחה מותר בהנאה, וכ"כ המחבר לקמן ס"ס צ"א, והוא מדברי האגור שהביא בב"י שם, ומהרש"ל שם חלק ע"ז ואין דבריו מוכרחים, ש"ך </w:t>
      </w:r>
      <w:r w:rsidRPr="00C233C9">
        <w:rPr>
          <w:rFonts w:asciiTheme="minorBidi" w:hAnsiTheme="minorBidi"/>
          <w:sz w:val="16"/>
          <w:szCs w:val="16"/>
          <w:rtl/>
        </w:rPr>
        <w:t>(סק"ג)</w:t>
      </w:r>
      <w:r w:rsidRPr="00C233C9">
        <w:rPr>
          <w:rFonts w:asciiTheme="minorBidi" w:hAnsiTheme="minorBidi"/>
          <w:rtl/>
        </w:rPr>
        <w:t>. וכ"פ הט"ז (סק"א).</w:t>
      </w:r>
    </w:p>
  </w:footnote>
  <w:footnote w:id="1016">
    <w:p w14:paraId="10B75046" w14:textId="77777777" w:rsidR="004C5A3C" w:rsidRDefault="004C5A3C" w:rsidP="002C39F4">
      <w:pPr>
        <w:pStyle w:val="a5"/>
      </w:pPr>
      <w:r>
        <w:rPr>
          <w:rStyle w:val="a7"/>
        </w:rPr>
        <w:footnoteRef/>
      </w:r>
      <w:r>
        <w:rPr>
          <w:rtl/>
        </w:rPr>
        <w:t xml:space="preserve"> </w:t>
      </w:r>
      <w:r w:rsidRPr="00037FEB">
        <w:rPr>
          <w:rtl/>
        </w:rPr>
        <w:t>ומ"מ אף באלו שאינם אלא דרבנן ומותר בהנאה צריך ליתנם ל</w:t>
      </w:r>
      <w:r>
        <w:rPr>
          <w:rFonts w:hint="cs"/>
          <w:rtl/>
        </w:rPr>
        <w:t xml:space="preserve">גוי </w:t>
      </w:r>
      <w:r w:rsidRPr="00037FEB">
        <w:rPr>
          <w:rtl/>
        </w:rPr>
        <w:t>כך ולא יבשל מתחלה דא"כ עובר על הבישול ואסור בהנאה מה"ת דאף דהחתיכה בלעה שלא כדרך בישול מ"מ הרי אח"כ נתבשל הבשר עם החלב הבלוע בו וזה פשוט</w:t>
      </w:r>
      <w:r>
        <w:rPr>
          <w:rFonts w:hint="cs"/>
          <w:rtl/>
        </w:rPr>
        <w:t>,</w:t>
      </w:r>
      <w:r w:rsidRPr="00037FEB">
        <w:rPr>
          <w:rtl/>
        </w:rPr>
        <w:t xml:space="preserve"> וכ"כ </w:t>
      </w:r>
      <w:r>
        <w:rPr>
          <w:rFonts w:hint="cs"/>
          <w:rtl/>
        </w:rPr>
        <w:t>ה</w:t>
      </w:r>
      <w:r w:rsidRPr="00037FEB">
        <w:rPr>
          <w:rtl/>
        </w:rPr>
        <w:t xml:space="preserve">נו"ב </w:t>
      </w:r>
      <w:r>
        <w:rPr>
          <w:rFonts w:hint="cs"/>
          <w:rtl/>
        </w:rPr>
        <w:t>(</w:t>
      </w:r>
      <w:r w:rsidRPr="00037FEB">
        <w:rPr>
          <w:rtl/>
        </w:rPr>
        <w:t>יו"ד סי' כו ד"ה ומזה</w:t>
      </w:r>
      <w:r>
        <w:rPr>
          <w:rFonts w:hint="cs"/>
          <w:rtl/>
        </w:rPr>
        <w:t>), פת"ש (סק"ג).</w:t>
      </w:r>
    </w:p>
  </w:footnote>
  <w:footnote w:id="1017">
    <w:p w14:paraId="638F36A3" w14:textId="77777777" w:rsidR="004C5A3C" w:rsidRDefault="004C5A3C" w:rsidP="002C39F4">
      <w:pPr>
        <w:pStyle w:val="a5"/>
        <w:rPr>
          <w:rtl/>
        </w:rPr>
      </w:pPr>
      <w:r>
        <w:rPr>
          <w:rStyle w:val="a7"/>
        </w:rPr>
        <w:footnoteRef/>
      </w:r>
      <w:r>
        <w:rPr>
          <w:rtl/>
        </w:rPr>
        <w:t xml:space="preserve"> </w:t>
      </w:r>
      <w:r w:rsidRPr="00037FEB">
        <w:rPr>
          <w:rtl/>
        </w:rPr>
        <w:t>ועי' בא</w:t>
      </w:r>
      <w:r>
        <w:rPr>
          <w:rFonts w:hint="cs"/>
          <w:rtl/>
        </w:rPr>
        <w:t xml:space="preserve">ליה </w:t>
      </w:r>
      <w:r w:rsidRPr="00037FEB">
        <w:rPr>
          <w:rtl/>
        </w:rPr>
        <w:t>ז</w:t>
      </w:r>
      <w:r>
        <w:rPr>
          <w:rFonts w:hint="cs"/>
          <w:rtl/>
        </w:rPr>
        <w:t>וטא</w:t>
      </w:r>
      <w:r w:rsidRPr="00037FEB">
        <w:rPr>
          <w:rtl/>
        </w:rPr>
        <w:t xml:space="preserve"> </w:t>
      </w:r>
      <w:r>
        <w:rPr>
          <w:rFonts w:hint="cs"/>
          <w:rtl/>
        </w:rPr>
        <w:t>(</w:t>
      </w:r>
      <w:r w:rsidRPr="00037FEB">
        <w:rPr>
          <w:rtl/>
        </w:rPr>
        <w:t>א</w:t>
      </w:r>
      <w:r>
        <w:rPr>
          <w:rFonts w:hint="cs"/>
          <w:rtl/>
        </w:rPr>
        <w:t>ו</w:t>
      </w:r>
      <w:r w:rsidRPr="00037FEB">
        <w:rPr>
          <w:rtl/>
        </w:rPr>
        <w:t>"ח</w:t>
      </w:r>
      <w:r>
        <w:rPr>
          <w:rFonts w:hint="cs"/>
          <w:rtl/>
        </w:rPr>
        <w:t xml:space="preserve"> סי' תרעג סק"ב)</w:t>
      </w:r>
      <w:r w:rsidRPr="00037FEB">
        <w:rPr>
          <w:rtl/>
        </w:rPr>
        <w:t xml:space="preserve"> שתמה דהא בלא"ה אסור משום בישול בב"ח</w:t>
      </w:r>
      <w:r>
        <w:rPr>
          <w:rFonts w:hint="cs"/>
          <w:rtl/>
        </w:rPr>
        <w:t>.</w:t>
      </w:r>
    </w:p>
  </w:footnote>
  <w:footnote w:id="1018">
    <w:p w14:paraId="083007AD"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דכל בהמה במשמע, רש"י.</w:t>
      </w:r>
    </w:p>
  </w:footnote>
  <w:footnote w:id="1019">
    <w:p w14:paraId="35A32003"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פירש לך הכתוב שגדי זה מעזים היה, רש"י.</w:t>
      </w:r>
    </w:p>
  </w:footnote>
  <w:footnote w:id="1020">
    <w:p w14:paraId="4E0FD45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אם לא פירש יש במשמע אף שאר בהמה מדאיצטריך ביה לפרושי, רש"י.</w:t>
      </w:r>
    </w:p>
  </w:footnote>
  <w:footnote w:id="1021">
    <w:p w14:paraId="5052628D"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גזירה שוה מיניה מה גדי האמור כאן עזים אף גדי האמור בבשר וחלב עזים הוא, רש"י.</w:t>
      </w:r>
    </w:p>
  </w:footnote>
  <w:footnote w:id="1022">
    <w:p w14:paraId="039B9D9C"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ה"א דכתיב בכל חד- מיעוטא הוא, רש"י.</w:t>
      </w:r>
    </w:p>
  </w:footnote>
  <w:footnote w:id="1023">
    <w:p w14:paraId="03FA09BF"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אמנם מהרש"ל וב"ח פסקו דבשר חיה ועוף בחלב דאו' </w:t>
      </w:r>
      <w:r w:rsidRPr="00C233C9">
        <w:rPr>
          <w:rFonts w:asciiTheme="minorBidi" w:hAnsiTheme="minorBidi"/>
          <w:sz w:val="16"/>
          <w:szCs w:val="16"/>
          <w:rtl/>
        </w:rPr>
        <w:t>(ותלו עצמן בדברי מהרא"י בהגשע"ד [סי' עו] במ"ש קשה להקל נגד התוס', וחלקו על המחבר שסובר דבשר חיה ועוף אינו אסור באכילה אפילו דרך בישול אלא מדרבנן ומותר בהנאה ובבישול לגמרי)</w:t>
      </w:r>
      <w:r w:rsidRPr="00C233C9">
        <w:rPr>
          <w:rFonts w:asciiTheme="minorBidi" w:hAnsiTheme="minorBidi"/>
          <w:rtl/>
        </w:rPr>
        <w:t xml:space="preserve"> אך כבר דחה דבריהם הש"ך </w:t>
      </w:r>
      <w:r w:rsidRPr="00C233C9">
        <w:rPr>
          <w:rFonts w:asciiTheme="minorBidi" w:hAnsiTheme="minorBidi"/>
          <w:sz w:val="16"/>
          <w:szCs w:val="16"/>
          <w:rtl/>
        </w:rPr>
        <w:t>(בארוך ובקצר סק"ג. וכ' שאף מהרא"י לא קאמר אלא שקשה להקל נגד התוס' שלא לאכול גבינה אחר בשר עוף מיד אבל מודה לדינא דבשר עוף בחלב דרבנן, שהרי כ' בהגשע"ד סי' ס"ט דביצים גמורים מותר לאכלן בחלב משום דבשר עוף בחלב דרבנן הקילו (וכ"כ רנ"ש במ"ש סי' ס"ט שמהרא"י תופס עיקר כבה"ג), ואף שהתוס' תלו דין אכילת גבינה אחר בשר עוף בזה דבשר עוף בחלב דאו' או דרבנן מ"מ אין זה מוכרח כמ"ש שם, וגם מדברי התוס' עצמן שם משמע שאין מוכרח לומר כן אלא שבאו ליישב מנהג העולם ע"ש)</w:t>
      </w:r>
      <w:r w:rsidRPr="00C233C9">
        <w:rPr>
          <w:rFonts w:asciiTheme="minorBidi" w:hAnsiTheme="minorBidi"/>
          <w:rtl/>
        </w:rPr>
        <w:t xml:space="preserve"> וסיים בדברי הרמב"ם</w:t>
      </w:r>
      <w:r w:rsidRPr="00C233C9">
        <w:rPr>
          <w:rFonts w:asciiTheme="minorBidi" w:hAnsiTheme="minorBidi"/>
          <w:sz w:val="14"/>
          <w:szCs w:val="14"/>
          <w:rtl/>
        </w:rPr>
        <w:t xml:space="preserve"> (סוף פ"ב מהל' ממרים) </w:t>
      </w:r>
      <w:r w:rsidRPr="00C233C9">
        <w:rPr>
          <w:rFonts w:asciiTheme="minorBidi" w:hAnsiTheme="minorBidi"/>
          <w:rtl/>
        </w:rPr>
        <w:t>שהאומר בשר עוף בחלב אסור מן התורה עובר בבל תוסיף.</w:t>
      </w:r>
    </w:p>
  </w:footnote>
  <w:footnote w:id="1024">
    <w:p w14:paraId="2A548DF9"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וכבר יישב הה"מ מה שקשה על זה, ולשון הטור אינו מכוון, שכלל דין בשר בהמה טהורה בחלב בהמה טמאה ובשר טמאה בחלב טהורה עם דין בשר חיה ועוף בחלב טהורה, ונהי דלענין שלא גזרו על בישולם והנייתם הם שוים כדמשמע מפשטא דמתניתין ומדברי הרמב"ם ז"ל, מ"מ מ"ש אינו אלא מדרבנן לא מצי קאי אלא לחיה ועוף בחלב טהורה, דאילו לבשר טהורה בחלב טמאה ובשר טמאה בחלב טהורה לא אשכחן שיאסרוהו חכמים באכילה משום בשר בחלב, וגם לא היה להם ענין לאסרו מדבריהם אחר שכבר הוא אסור ועומד מן התורה משום בשר טמא או משום חלב טמא, וכך ה"ל לכתוב- אבל בשר טהורה בחלב טמאה או בשר טמאה בחלב טהורה מותרים בבישול ובהנאה ובשר חיה ועוף אפילו בחלב טהורה מותר בבישול והנאה ואף באכילה אינו אסור אלא מדרבנן, ב"י. וכ' הב"ח </w:t>
      </w:r>
      <w:r w:rsidRPr="00C233C9">
        <w:rPr>
          <w:rFonts w:asciiTheme="minorBidi" w:hAnsiTheme="minorBidi"/>
          <w:sz w:val="16"/>
          <w:szCs w:val="16"/>
          <w:rtl/>
        </w:rPr>
        <w:t xml:space="preserve">(ד"ה ומ"ש ואינו) </w:t>
      </w:r>
      <w:r w:rsidRPr="00C233C9">
        <w:rPr>
          <w:rFonts w:asciiTheme="minorBidi" w:hAnsiTheme="minorBidi"/>
          <w:rtl/>
        </w:rPr>
        <w:t xml:space="preserve">והדרישה </w:t>
      </w:r>
      <w:r w:rsidRPr="00C233C9">
        <w:rPr>
          <w:rFonts w:asciiTheme="minorBidi" w:hAnsiTheme="minorBidi"/>
          <w:sz w:val="16"/>
          <w:szCs w:val="16"/>
          <w:rtl/>
        </w:rPr>
        <w:t xml:space="preserve">(אות ב) </w:t>
      </w:r>
      <w:r w:rsidRPr="00C233C9">
        <w:rPr>
          <w:rFonts w:asciiTheme="minorBidi" w:hAnsiTheme="minorBidi"/>
          <w:rtl/>
        </w:rPr>
        <w:t xml:space="preserve">דיפה כ' הטור ויש נפקותא מזה שגם רבנן גזרו בזה, ולכן אין דברי הב"י </w:t>
      </w:r>
      <w:r w:rsidRPr="00C233C9">
        <w:rPr>
          <w:rFonts w:asciiTheme="minorBidi" w:hAnsiTheme="minorBidi"/>
          <w:sz w:val="16"/>
          <w:szCs w:val="16"/>
          <w:rtl/>
        </w:rPr>
        <w:t>(וממילא מש"כ בשו"ע)</w:t>
      </w:r>
      <w:r w:rsidRPr="00C233C9">
        <w:rPr>
          <w:rFonts w:asciiTheme="minorBidi" w:hAnsiTheme="minorBidi"/>
          <w:rtl/>
        </w:rPr>
        <w:t xml:space="preserve"> נכונים. והט"ז </w:t>
      </w:r>
      <w:r w:rsidRPr="00C233C9">
        <w:rPr>
          <w:rFonts w:asciiTheme="minorBidi" w:hAnsiTheme="minorBidi"/>
          <w:sz w:val="16"/>
          <w:szCs w:val="16"/>
          <w:rtl/>
        </w:rPr>
        <w:t xml:space="preserve">(סק"ב) </w:t>
      </w:r>
      <w:r w:rsidRPr="00C233C9">
        <w:rPr>
          <w:rFonts w:asciiTheme="minorBidi" w:hAnsiTheme="minorBidi"/>
          <w:rtl/>
        </w:rPr>
        <w:t xml:space="preserve">והש"ך </w:t>
      </w:r>
      <w:r w:rsidRPr="00C233C9">
        <w:rPr>
          <w:rFonts w:asciiTheme="minorBidi" w:hAnsiTheme="minorBidi"/>
          <w:sz w:val="16"/>
          <w:szCs w:val="16"/>
          <w:rtl/>
        </w:rPr>
        <w:t xml:space="preserve">(סק"ג) </w:t>
      </w:r>
      <w:r w:rsidRPr="00C233C9">
        <w:rPr>
          <w:rFonts w:asciiTheme="minorBidi" w:hAnsiTheme="minorBidi"/>
          <w:rtl/>
        </w:rPr>
        <w:t xml:space="preserve">דחו דבריהם </w:t>
      </w:r>
      <w:r w:rsidRPr="00C233C9">
        <w:rPr>
          <w:rFonts w:asciiTheme="minorBidi" w:hAnsiTheme="minorBidi"/>
          <w:sz w:val="16"/>
          <w:szCs w:val="16"/>
          <w:rtl/>
        </w:rPr>
        <w:t xml:space="preserve">(כל אחד מטעמו) </w:t>
      </w:r>
      <w:r w:rsidRPr="00C233C9">
        <w:rPr>
          <w:rFonts w:asciiTheme="minorBidi" w:hAnsiTheme="minorBidi"/>
          <w:rtl/>
        </w:rPr>
        <w:t>והסכימו לב"י.</w:t>
      </w:r>
    </w:p>
  </w:footnote>
  <w:footnote w:id="1025">
    <w:p w14:paraId="08D75C08"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דאע"ג דאמר רחמנא גדי- הוא הדין לחיה ועוף, ומיפלג פליגי בה לקמן (קיג.) איכא למ"ד דאורייתא ואיכא למ"ד דרבנן, רש"י.</w:t>
      </w:r>
    </w:p>
  </w:footnote>
  <w:footnote w:id="1026">
    <w:p w14:paraId="48F258D3"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והלבוש כתב כדברי הב"י. וכ' הדרכ"מ (אות ד)- ולא ראיתי מימי נזהרין בזה, וגם באו"ח סי' קעג </w:t>
      </w:r>
      <w:r w:rsidRPr="00812FA5">
        <w:rPr>
          <w:rFonts w:asciiTheme="minorBidi" w:hAnsiTheme="minorBidi"/>
          <w:sz w:val="16"/>
          <w:szCs w:val="16"/>
          <w:rtl/>
        </w:rPr>
        <w:t xml:space="preserve">(עמ' תלג) </w:t>
      </w:r>
      <w:r w:rsidRPr="00C233C9">
        <w:rPr>
          <w:rFonts w:asciiTheme="minorBidi" w:hAnsiTheme="minorBidi"/>
          <w:rtl/>
        </w:rPr>
        <w:t xml:space="preserve">אינו אלא שלא לאכלו בבשר משום סכנה, אבל בחלב שרי, ועיין לקמן סי' קטז </w:t>
      </w:r>
      <w:r w:rsidRPr="00812FA5">
        <w:rPr>
          <w:rFonts w:asciiTheme="minorBidi" w:hAnsiTheme="minorBidi"/>
          <w:sz w:val="16"/>
          <w:szCs w:val="16"/>
          <w:rtl/>
        </w:rPr>
        <w:t>(דרכ"מ אות ג)</w:t>
      </w:r>
      <w:r w:rsidRPr="00C233C9">
        <w:rPr>
          <w:rFonts w:asciiTheme="minorBidi" w:hAnsiTheme="minorBidi"/>
          <w:rtl/>
        </w:rPr>
        <w:t>, ולכן נראה שנתערב להרב ב"י בשר בחלב, עכ"ל. ו</w:t>
      </w:r>
      <w:r>
        <w:rPr>
          <w:rFonts w:asciiTheme="minorBidi" w:hAnsiTheme="minorBidi" w:hint="cs"/>
          <w:rtl/>
        </w:rPr>
        <w:t xml:space="preserve">כן </w:t>
      </w:r>
      <w:r w:rsidRPr="00C233C9">
        <w:rPr>
          <w:rFonts w:asciiTheme="minorBidi" w:hAnsiTheme="minorBidi"/>
          <w:rtl/>
        </w:rPr>
        <w:t xml:space="preserve">כל הבאים אחרי הב"י תפסוהו בזה. וז"ל ספר שארית יאודה, אשתמטיתיה לרב שלא נתבאר שם נטילה אלא בין בשר ודגים. אמת ששמעתי מפי הרופאים שגם באכילת דגים וחלב יש שם סכנת צרעת, ע"כ. גם הפרישה ול"ח </w:t>
      </w:r>
      <w:r w:rsidRPr="00812FA5">
        <w:rPr>
          <w:rFonts w:asciiTheme="minorBidi" w:hAnsiTheme="minorBidi"/>
          <w:sz w:val="16"/>
          <w:szCs w:val="16"/>
          <w:rtl/>
        </w:rPr>
        <w:t xml:space="preserve">(אות רלט) </w:t>
      </w:r>
      <w:r w:rsidRPr="00C233C9">
        <w:rPr>
          <w:rFonts w:asciiTheme="minorBidi" w:hAnsiTheme="minorBidi"/>
          <w:rtl/>
        </w:rPr>
        <w:t xml:space="preserve">וש"ך </w:t>
      </w:r>
      <w:r w:rsidRPr="00812FA5">
        <w:rPr>
          <w:rFonts w:asciiTheme="minorBidi" w:hAnsiTheme="minorBidi"/>
          <w:sz w:val="16"/>
          <w:szCs w:val="16"/>
          <w:rtl/>
        </w:rPr>
        <w:t xml:space="preserve">(סק"ה) </w:t>
      </w:r>
      <w:r w:rsidRPr="00C233C9">
        <w:rPr>
          <w:rFonts w:asciiTheme="minorBidi" w:hAnsiTheme="minorBidi"/>
          <w:rtl/>
        </w:rPr>
        <w:t xml:space="preserve">וט"ז </w:t>
      </w:r>
      <w:r w:rsidRPr="00812FA5">
        <w:rPr>
          <w:rFonts w:asciiTheme="minorBidi" w:hAnsiTheme="minorBidi"/>
          <w:sz w:val="16"/>
          <w:szCs w:val="16"/>
          <w:rtl/>
        </w:rPr>
        <w:t xml:space="preserve">(סק"ד) </w:t>
      </w:r>
      <w:r w:rsidRPr="00C233C9">
        <w:rPr>
          <w:rFonts w:asciiTheme="minorBidi" w:hAnsiTheme="minorBidi"/>
          <w:rtl/>
        </w:rPr>
        <w:t xml:space="preserve">ובאר שבע </w:t>
      </w:r>
      <w:r w:rsidRPr="00812FA5">
        <w:rPr>
          <w:rFonts w:asciiTheme="minorBidi" w:hAnsiTheme="minorBidi"/>
          <w:sz w:val="16"/>
          <w:szCs w:val="16"/>
          <w:rtl/>
        </w:rPr>
        <w:t xml:space="preserve">(קא:) </w:t>
      </w:r>
      <w:r w:rsidRPr="00C233C9">
        <w:rPr>
          <w:rFonts w:asciiTheme="minorBidi" w:hAnsiTheme="minorBidi"/>
          <w:rtl/>
        </w:rPr>
        <w:t xml:space="preserve">תפסוהו בזה. ומיהו כ' כנה"ג </w:t>
      </w:r>
      <w:r w:rsidRPr="00812FA5">
        <w:rPr>
          <w:rFonts w:asciiTheme="minorBidi" w:hAnsiTheme="minorBidi"/>
          <w:sz w:val="16"/>
          <w:szCs w:val="16"/>
          <w:rtl/>
        </w:rPr>
        <w:t xml:space="preserve">(הגב"י אות יט) </w:t>
      </w:r>
      <w:r w:rsidRPr="00C233C9">
        <w:rPr>
          <w:rFonts w:asciiTheme="minorBidi" w:hAnsiTheme="minorBidi"/>
          <w:rtl/>
        </w:rPr>
        <w:t xml:space="preserve">דנראה שמה שהביא לרבנים הנז' לתפוס לרב"י בזה, הוא מפני שסוברים שמ"ש רב"י כמו שנתבאר באו"ח סימן קעג שהכונה לומר ששם נתבאר דאין לאכול חלב עם דגים מפני הסכנה, וליתא, שאין כונתו כך אלא כונתו לומר אין לאכול דגים בחלב מפני הסכנה כמ"ש הרופאים, כמו שנתבאר באו"ח סימן קעג, דמפני הסכנה אין לאכול בשר עם דגים, והוא הדין נמי דגבינה ודגים שיש סכנה באכילתם כמ"ש הרופאים אסור. ומכאן סמך למה שנוהגים ליטול ידיהם בין גבינה לדגים, וכמו שכתבתי באו"ח סי' קעג </w:t>
      </w:r>
      <w:r w:rsidRPr="00812FA5">
        <w:rPr>
          <w:rFonts w:asciiTheme="minorBidi" w:hAnsiTheme="minorBidi"/>
          <w:sz w:val="16"/>
          <w:szCs w:val="16"/>
          <w:rtl/>
        </w:rPr>
        <w:t xml:space="preserve">(קעג.) </w:t>
      </w:r>
      <w:r w:rsidRPr="00C233C9">
        <w:rPr>
          <w:rFonts w:asciiTheme="minorBidi" w:hAnsiTheme="minorBidi"/>
          <w:rtl/>
        </w:rPr>
        <w:t>שטה כ"ט בהגב"י, עכ"ל כנה"ג.</w:t>
      </w:r>
      <w:r w:rsidRPr="00B60796">
        <w:rPr>
          <w:rtl/>
        </w:rPr>
        <w:t xml:space="preserve"> </w:t>
      </w:r>
      <w:r w:rsidRPr="00B60796">
        <w:rPr>
          <w:rFonts w:hint="cs"/>
          <w:sz w:val="16"/>
          <w:szCs w:val="16"/>
          <w:rtl/>
        </w:rPr>
        <w:t>(</w:t>
      </w:r>
      <w:r w:rsidRPr="00B60796">
        <w:rPr>
          <w:rFonts w:asciiTheme="minorBidi" w:hAnsiTheme="minorBidi" w:cs="Arial"/>
          <w:sz w:val="16"/>
          <w:szCs w:val="16"/>
          <w:rtl/>
        </w:rPr>
        <w:t xml:space="preserve">ועיין בתשובת חינוך ב"י </w:t>
      </w:r>
      <w:r w:rsidRPr="00B60796">
        <w:rPr>
          <w:rFonts w:asciiTheme="minorBidi" w:hAnsiTheme="minorBidi" w:cs="Arial" w:hint="cs"/>
          <w:sz w:val="16"/>
          <w:szCs w:val="16"/>
          <w:rtl/>
        </w:rPr>
        <w:t>(</w:t>
      </w:r>
      <w:r w:rsidRPr="00B60796">
        <w:rPr>
          <w:rFonts w:asciiTheme="minorBidi" w:hAnsiTheme="minorBidi" w:cs="Arial"/>
          <w:sz w:val="16"/>
          <w:szCs w:val="16"/>
          <w:rtl/>
        </w:rPr>
        <w:t>סי' סא</w:t>
      </w:r>
      <w:r w:rsidRPr="00B60796">
        <w:rPr>
          <w:rFonts w:asciiTheme="minorBidi" w:hAnsiTheme="minorBidi" w:cs="Arial" w:hint="cs"/>
          <w:sz w:val="16"/>
          <w:szCs w:val="16"/>
          <w:rtl/>
        </w:rPr>
        <w:t>)</w:t>
      </w:r>
      <w:r w:rsidRPr="00B60796">
        <w:rPr>
          <w:rFonts w:asciiTheme="minorBidi" w:hAnsiTheme="minorBidi" w:cs="Arial"/>
          <w:sz w:val="16"/>
          <w:szCs w:val="16"/>
          <w:rtl/>
        </w:rPr>
        <w:t xml:space="preserve"> שמקיים דברי הלבוש דאסור לאכול בחלב משום דחקר אצל חכמי הרופאים דדוקא דגים המטוגנים עם חמאה מותר לאכול אבל דגים המבושלים בחלב יש בו סכנת חולי דדגים מקררים מאד וגם החלב רע ומזיק לגוף ע"ש</w:t>
      </w:r>
      <w:r w:rsidRPr="00B60796">
        <w:rPr>
          <w:rFonts w:asciiTheme="minorBidi" w:hAnsiTheme="minorBidi" w:cs="Arial" w:hint="cs"/>
          <w:sz w:val="16"/>
          <w:szCs w:val="16"/>
          <w:rtl/>
        </w:rPr>
        <w:t>.</w:t>
      </w:r>
      <w:r w:rsidRPr="00B60796">
        <w:rPr>
          <w:rFonts w:asciiTheme="minorBidi" w:hAnsiTheme="minorBidi" w:cs="Arial"/>
          <w:sz w:val="16"/>
          <w:szCs w:val="16"/>
          <w:rtl/>
        </w:rPr>
        <w:t xml:space="preserve"> ועי</w:t>
      </w:r>
      <w:r w:rsidRPr="00B60796">
        <w:rPr>
          <w:rFonts w:asciiTheme="minorBidi" w:hAnsiTheme="minorBidi" w:cs="Arial" w:hint="cs"/>
          <w:sz w:val="16"/>
          <w:szCs w:val="16"/>
          <w:rtl/>
        </w:rPr>
        <w:t>'</w:t>
      </w:r>
      <w:r w:rsidRPr="00B60796">
        <w:rPr>
          <w:rFonts w:asciiTheme="minorBidi" w:hAnsiTheme="minorBidi" w:cs="Arial"/>
          <w:sz w:val="16"/>
          <w:szCs w:val="16"/>
          <w:rtl/>
        </w:rPr>
        <w:t xml:space="preserve"> בתשו</w:t>
      </w:r>
      <w:r w:rsidRPr="00B60796">
        <w:rPr>
          <w:rFonts w:asciiTheme="minorBidi" w:hAnsiTheme="minorBidi" w:cs="Arial" w:hint="cs"/>
          <w:sz w:val="16"/>
          <w:szCs w:val="16"/>
          <w:rtl/>
        </w:rPr>
        <w:t>'</w:t>
      </w:r>
      <w:r w:rsidRPr="00B60796">
        <w:rPr>
          <w:rFonts w:asciiTheme="minorBidi" w:hAnsiTheme="minorBidi" w:cs="Arial"/>
          <w:sz w:val="16"/>
          <w:szCs w:val="16"/>
          <w:rtl/>
        </w:rPr>
        <w:t xml:space="preserve"> ח</w:t>
      </w:r>
      <w:r w:rsidRPr="00B60796">
        <w:rPr>
          <w:rFonts w:asciiTheme="minorBidi" w:hAnsiTheme="minorBidi" w:cs="Arial" w:hint="cs"/>
          <w:sz w:val="16"/>
          <w:szCs w:val="16"/>
          <w:rtl/>
        </w:rPr>
        <w:t>ת</w:t>
      </w:r>
      <w:r w:rsidRPr="00B60796">
        <w:rPr>
          <w:rFonts w:asciiTheme="minorBidi" w:hAnsiTheme="minorBidi" w:cs="Arial"/>
          <w:sz w:val="16"/>
          <w:szCs w:val="16"/>
          <w:rtl/>
        </w:rPr>
        <w:t xml:space="preserve">"ס </w:t>
      </w:r>
      <w:r w:rsidRPr="00B60796">
        <w:rPr>
          <w:rFonts w:asciiTheme="minorBidi" w:hAnsiTheme="minorBidi" w:cs="Arial" w:hint="cs"/>
          <w:sz w:val="16"/>
          <w:szCs w:val="16"/>
          <w:rtl/>
        </w:rPr>
        <w:t>(</w:t>
      </w:r>
      <w:r w:rsidRPr="00B60796">
        <w:rPr>
          <w:rFonts w:asciiTheme="minorBidi" w:hAnsiTheme="minorBidi" w:cs="Arial"/>
          <w:sz w:val="16"/>
          <w:szCs w:val="16"/>
          <w:rtl/>
        </w:rPr>
        <w:t>סי</w:t>
      </w:r>
      <w:r w:rsidRPr="00B60796">
        <w:rPr>
          <w:rFonts w:asciiTheme="minorBidi" w:hAnsiTheme="minorBidi" w:cs="Arial" w:hint="cs"/>
          <w:sz w:val="16"/>
          <w:szCs w:val="16"/>
          <w:rtl/>
        </w:rPr>
        <w:t>'</w:t>
      </w:r>
      <w:r w:rsidRPr="00B60796">
        <w:rPr>
          <w:rFonts w:asciiTheme="minorBidi" w:hAnsiTheme="minorBidi" w:cs="Arial"/>
          <w:sz w:val="16"/>
          <w:szCs w:val="16"/>
          <w:rtl/>
        </w:rPr>
        <w:t xml:space="preserve"> קא) שכתב דזה אינו אמת ונאמן עלינו הרמב"ם גדול הרופאים</w:t>
      </w:r>
      <w:r w:rsidRPr="00B60796">
        <w:rPr>
          <w:rFonts w:asciiTheme="minorBidi" w:hAnsiTheme="minorBidi" w:cs="Arial" w:hint="cs"/>
          <w:sz w:val="16"/>
          <w:szCs w:val="16"/>
          <w:rtl/>
        </w:rPr>
        <w:t>.</w:t>
      </w:r>
      <w:r w:rsidRPr="00B60796">
        <w:rPr>
          <w:rFonts w:asciiTheme="minorBidi" w:hAnsiTheme="minorBidi" w:cs="Arial"/>
          <w:sz w:val="16"/>
          <w:szCs w:val="16"/>
          <w:rtl/>
        </w:rPr>
        <w:t xml:space="preserve"> וכ"כ הפמ"ג בשם כה"ג דדגים עם חלב יש סכנה ובחמאה ושומן הנקלט מע"ג החלב אין סכנה וע"ש דמשמע דעתו דאף עם חלב דוקא לכתחלה יש ליזהר אבל בדיעבד אין לאסור</w:t>
      </w:r>
      <w:r w:rsidRPr="00B60796">
        <w:rPr>
          <w:rFonts w:asciiTheme="minorBidi" w:hAnsiTheme="minorBidi" w:cs="Arial" w:hint="cs"/>
          <w:sz w:val="16"/>
          <w:szCs w:val="16"/>
          <w:rtl/>
        </w:rPr>
        <w:t>.</w:t>
      </w:r>
      <w:r w:rsidRPr="00B60796">
        <w:rPr>
          <w:rFonts w:asciiTheme="minorBidi" w:hAnsiTheme="minorBidi" w:cs="Arial"/>
          <w:sz w:val="16"/>
          <w:szCs w:val="16"/>
          <w:rtl/>
        </w:rPr>
        <w:t xml:space="preserve"> ועיין בתשו</w:t>
      </w:r>
      <w:r w:rsidRPr="00B60796">
        <w:rPr>
          <w:rFonts w:asciiTheme="minorBidi" w:hAnsiTheme="minorBidi" w:cs="Arial" w:hint="cs"/>
          <w:sz w:val="16"/>
          <w:szCs w:val="16"/>
          <w:rtl/>
        </w:rPr>
        <w:t>'</w:t>
      </w:r>
      <w:r w:rsidRPr="00B60796">
        <w:rPr>
          <w:rFonts w:asciiTheme="minorBidi" w:hAnsiTheme="minorBidi" w:cs="Arial"/>
          <w:sz w:val="16"/>
          <w:szCs w:val="16"/>
          <w:rtl/>
        </w:rPr>
        <w:t xml:space="preserve"> אדני פז </w:t>
      </w:r>
      <w:r w:rsidRPr="00B60796">
        <w:rPr>
          <w:rFonts w:asciiTheme="minorBidi" w:hAnsiTheme="minorBidi" w:cs="Arial" w:hint="cs"/>
          <w:sz w:val="16"/>
          <w:szCs w:val="16"/>
          <w:rtl/>
        </w:rPr>
        <w:t>(</w:t>
      </w:r>
      <w:r w:rsidRPr="00B60796">
        <w:rPr>
          <w:rFonts w:asciiTheme="minorBidi" w:hAnsiTheme="minorBidi" w:cs="Arial"/>
          <w:sz w:val="16"/>
          <w:szCs w:val="16"/>
          <w:rtl/>
        </w:rPr>
        <w:t>סי</w:t>
      </w:r>
      <w:r w:rsidRPr="00B60796">
        <w:rPr>
          <w:rFonts w:asciiTheme="minorBidi" w:hAnsiTheme="minorBidi" w:cs="Arial" w:hint="cs"/>
          <w:sz w:val="16"/>
          <w:szCs w:val="16"/>
          <w:rtl/>
        </w:rPr>
        <w:t>'</w:t>
      </w:r>
      <w:r w:rsidRPr="00B60796">
        <w:rPr>
          <w:rFonts w:asciiTheme="minorBidi" w:hAnsiTheme="minorBidi" w:cs="Arial"/>
          <w:sz w:val="16"/>
          <w:szCs w:val="16"/>
          <w:rtl/>
        </w:rPr>
        <w:t xml:space="preserve"> מב</w:t>
      </w:r>
      <w:r w:rsidRPr="00B60796">
        <w:rPr>
          <w:rFonts w:asciiTheme="minorBidi" w:hAnsiTheme="minorBidi" w:cs="Arial" w:hint="cs"/>
          <w:sz w:val="16"/>
          <w:szCs w:val="16"/>
          <w:rtl/>
        </w:rPr>
        <w:t>)</w:t>
      </w:r>
      <w:r w:rsidRPr="00B60796">
        <w:rPr>
          <w:rFonts w:asciiTheme="minorBidi" w:hAnsiTheme="minorBidi" w:cs="Arial"/>
          <w:sz w:val="16"/>
          <w:szCs w:val="16"/>
          <w:rtl/>
        </w:rPr>
        <w:t xml:space="preserve"> שכתב בשם הבחיי פרשת משפטים דיש סכנה גמורה בדג עם גבינה וה"ה עם חלב ולכן פסק דאף בדיעבד אסור אבל בדג עם חמאה כתב דשרי כיון שכל העולם עושים כן ע"ש</w:t>
      </w:r>
      <w:r w:rsidRPr="00B60796">
        <w:rPr>
          <w:rFonts w:asciiTheme="minorBidi" w:hAnsiTheme="minorBidi" w:cs="Arial" w:hint="cs"/>
          <w:sz w:val="16"/>
          <w:szCs w:val="16"/>
          <w:rtl/>
        </w:rPr>
        <w:t>,</w:t>
      </w:r>
      <w:r w:rsidRPr="00B60796">
        <w:rPr>
          <w:rFonts w:asciiTheme="minorBidi" w:hAnsiTheme="minorBidi" w:cs="Arial"/>
          <w:sz w:val="16"/>
          <w:szCs w:val="16"/>
          <w:rtl/>
        </w:rPr>
        <w:t xml:space="preserve"> ונ"ל דהאידנא שכל העולם מבשלים גם עם חלב שרי דכיון דדשו בה רבים</w:t>
      </w:r>
      <w:r>
        <w:rPr>
          <w:rFonts w:asciiTheme="minorBidi" w:hAnsiTheme="minorBidi" w:cs="Arial" w:hint="cs"/>
          <w:sz w:val="16"/>
          <w:szCs w:val="16"/>
          <w:rtl/>
        </w:rPr>
        <w:t>, פת"ש [סק"ט])</w:t>
      </w:r>
    </w:p>
  </w:footnote>
  <w:footnote w:id="1027">
    <w:p w14:paraId="14468028" w14:textId="77777777" w:rsidR="004C5A3C" w:rsidRDefault="004C5A3C" w:rsidP="002C39F4">
      <w:pPr>
        <w:pStyle w:val="a5"/>
        <w:rPr>
          <w:rtl/>
        </w:rPr>
      </w:pPr>
      <w:r>
        <w:rPr>
          <w:rStyle w:val="a7"/>
        </w:rPr>
        <w:footnoteRef/>
      </w:r>
      <w:r>
        <w:rPr>
          <w:rtl/>
        </w:rPr>
        <w:t xml:space="preserve"> </w:t>
      </w:r>
      <w:r w:rsidRPr="00B60796">
        <w:rPr>
          <w:rFonts w:cs="Arial"/>
          <w:rtl/>
        </w:rPr>
        <w:t>וה"ה איפכא בשר בהמה טהורה בחלב חיה טהורה אינו אסור מה"ת</w:t>
      </w:r>
      <w:r>
        <w:rPr>
          <w:rFonts w:cs="Arial" w:hint="cs"/>
          <w:rtl/>
        </w:rPr>
        <w:t>,</w:t>
      </w:r>
      <w:r w:rsidRPr="00B60796">
        <w:rPr>
          <w:rFonts w:cs="Arial"/>
          <w:rtl/>
        </w:rPr>
        <w:t xml:space="preserve"> תפל"מ</w:t>
      </w:r>
      <w:r>
        <w:rPr>
          <w:rFonts w:hint="cs"/>
          <w:rtl/>
        </w:rPr>
        <w:t>, פת"ש (סק"ז).</w:t>
      </w:r>
    </w:p>
  </w:footnote>
  <w:footnote w:id="1028">
    <w:p w14:paraId="6FAF286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כלומר ול"ד לדם דגים</w:t>
      </w:r>
      <w:r w:rsidRPr="00C233C9">
        <w:rPr>
          <w:rFonts w:asciiTheme="minorBidi" w:hAnsiTheme="minorBidi"/>
          <w:sz w:val="16"/>
          <w:szCs w:val="16"/>
          <w:rtl/>
        </w:rPr>
        <w:t xml:space="preserve"> (ס"ס ס"ו)</w:t>
      </w:r>
      <w:r w:rsidRPr="00C233C9">
        <w:rPr>
          <w:rFonts w:asciiTheme="minorBidi" w:hAnsiTheme="minorBidi"/>
          <w:rtl/>
        </w:rPr>
        <w:t xml:space="preserve"> שמותר לגמרי ואפ"ה אם כנסו בכלי אסור מפני מראית עין אא"כ יש בו קשקשים שניכר שהוא דם דגים, דהתם דם גופיה אסור מדאו' הילכך הרואה יאמר דאכיל דם בהמה שאסור מדאו', אבל בשר עוף בחלב ממש הוא מדרבנן וליכא למיחש למראית העין, ולכן בשר בהמה בחלב שהוא אסור מדאו' יש להניח אצלו שקדים כדי שלא יחשוב הרואה שהוא חלב ממש, וכ"כ בת"ח </w:t>
      </w:r>
      <w:r w:rsidRPr="00C233C9">
        <w:rPr>
          <w:rFonts w:asciiTheme="minorBidi" w:hAnsiTheme="minorBidi"/>
          <w:sz w:val="16"/>
          <w:szCs w:val="16"/>
          <w:rtl/>
        </w:rPr>
        <w:t xml:space="preserve">(שם סוף כלל ס"ב) </w:t>
      </w:r>
      <w:r w:rsidRPr="00C233C9">
        <w:rPr>
          <w:rFonts w:asciiTheme="minorBidi" w:hAnsiTheme="minorBidi"/>
          <w:rtl/>
        </w:rPr>
        <w:t xml:space="preserve">ולפ"ז צ"ל דמיירי בבישול דאי לאו הכי אפילו בשר בהמה ליכא איסורא דאו', וא"צ להניח שקדים </w:t>
      </w:r>
      <w:r w:rsidRPr="00C233C9">
        <w:rPr>
          <w:rFonts w:asciiTheme="minorBidi" w:hAnsiTheme="minorBidi"/>
          <w:sz w:val="16"/>
          <w:szCs w:val="16"/>
          <w:rtl/>
        </w:rPr>
        <w:t>(וכן מוכח בת"ח שם להדיא ע"ש ובסימני ת"ח)</w:t>
      </w:r>
      <w:r w:rsidRPr="00C233C9">
        <w:rPr>
          <w:rFonts w:asciiTheme="minorBidi" w:hAnsiTheme="minorBidi"/>
          <w:rtl/>
        </w:rPr>
        <w:t xml:space="preserve">. אבל מהרש"ל </w:t>
      </w:r>
      <w:r w:rsidRPr="00C233C9">
        <w:rPr>
          <w:rFonts w:asciiTheme="minorBidi" w:hAnsiTheme="minorBidi"/>
          <w:sz w:val="16"/>
          <w:szCs w:val="16"/>
          <w:rtl/>
        </w:rPr>
        <w:t xml:space="preserve">(פכ"ה סי' נב) </w:t>
      </w:r>
      <w:r w:rsidRPr="00C233C9">
        <w:rPr>
          <w:rFonts w:asciiTheme="minorBidi" w:hAnsiTheme="minorBidi"/>
          <w:rtl/>
        </w:rPr>
        <w:t xml:space="preserve">למד מהך דדם דגים, דבפורים וכיוצא בו שרגילים לאכול תרנגולת בחלב שקדים שאסור אם לא שיניח שקדים אצלו בתוכן ובצידן להיכירא, ובפרט גבי בשר עוף דאיכא למיחש טפי שלא ידמו לומר בשר עוף בחלב שרי אפי' מדרבנן כר"י הגלילי, עכ"ל, וכן הסכימו האחרונים, וכן נלפע"ד </w:t>
      </w:r>
      <w:r w:rsidRPr="00C233C9">
        <w:rPr>
          <w:rFonts w:asciiTheme="minorBidi" w:hAnsiTheme="minorBidi"/>
          <w:sz w:val="16"/>
          <w:szCs w:val="16"/>
          <w:rtl/>
        </w:rPr>
        <w:t xml:space="preserve">(שוב בא לידי ס' באר שבע ומצאתי שפסק נמי הכי) </w:t>
      </w:r>
      <w:r w:rsidRPr="00C233C9">
        <w:rPr>
          <w:rFonts w:asciiTheme="minorBidi" w:hAnsiTheme="minorBidi"/>
          <w:rtl/>
        </w:rPr>
        <w:t xml:space="preserve">דהא אפילו במידי דרבנן חיישינן למראית העין בכמה דוכתי </w:t>
      </w:r>
      <w:r w:rsidRPr="00C233C9">
        <w:rPr>
          <w:rFonts w:asciiTheme="minorBidi" w:hAnsiTheme="minorBidi"/>
          <w:sz w:val="16"/>
          <w:szCs w:val="16"/>
          <w:rtl/>
        </w:rPr>
        <w:t>(ומהם בש"ס שבת נד:, ולא בזוג אע"פ שהוא פקוק משום דמיחזי כמאן דאזיל לחינגא, והוא מוסכם מכל הפוסקים וכמו שנתבאר באא"ח סי' שה אע"פ שאיסור מקח וממכר בשבת אינו אלא מדרבנן)</w:t>
      </w:r>
      <w:r w:rsidRPr="00C233C9">
        <w:rPr>
          <w:rFonts w:asciiTheme="minorBidi" w:hAnsiTheme="minorBidi"/>
          <w:rtl/>
        </w:rPr>
        <w:t xml:space="preserve">, ש"ך </w:t>
      </w:r>
      <w:r w:rsidRPr="00C233C9">
        <w:rPr>
          <w:rFonts w:asciiTheme="minorBidi" w:hAnsiTheme="minorBidi"/>
          <w:sz w:val="16"/>
          <w:szCs w:val="16"/>
          <w:rtl/>
        </w:rPr>
        <w:t>(סק"ו)</w:t>
      </w:r>
      <w:r w:rsidRPr="00C233C9">
        <w:rPr>
          <w:rFonts w:asciiTheme="minorBidi" w:hAnsiTheme="minorBidi"/>
          <w:rtl/>
        </w:rPr>
        <w:t xml:space="preserve">. והט"ז </w:t>
      </w:r>
      <w:r w:rsidRPr="00C233C9">
        <w:rPr>
          <w:rFonts w:asciiTheme="minorBidi" w:hAnsiTheme="minorBidi"/>
          <w:sz w:val="16"/>
          <w:szCs w:val="16"/>
          <w:rtl/>
        </w:rPr>
        <w:t xml:space="preserve">(סק"ד) </w:t>
      </w:r>
      <w:r w:rsidRPr="00C233C9">
        <w:rPr>
          <w:rFonts w:asciiTheme="minorBidi" w:hAnsiTheme="minorBidi"/>
          <w:rtl/>
        </w:rPr>
        <w:t>גם הביא את דברי רש"ל, וכ' דאף כי דברי רמ"א נכונים וכבר נתפשט המנהג כן מ"מ נראה שיש להניח לכתחלה שקדים גם אצל בשר עוף אלא במקום שאין לו שקדים אין לאסור בשביל זה האכילה דכל מאי דאפשר לן לתקוני מתקנינן, כבחלב אשה בסמוך, ומשמע שגם הרמ"א מודה שאם לא שם שקדים כשמבשל בשר בהמה מ"מ לא מעכב, שכ'- "יש להניח...", משמע בדיעבד שרי.</w:t>
      </w:r>
    </w:p>
  </w:footnote>
  <w:footnote w:id="1029">
    <w:p w14:paraId="2DAE58F4" w14:textId="77777777" w:rsidR="004C5A3C" w:rsidRDefault="004C5A3C" w:rsidP="002C39F4">
      <w:pPr>
        <w:pStyle w:val="a5"/>
        <w:rPr>
          <w:rtl/>
        </w:rPr>
      </w:pPr>
      <w:r>
        <w:rPr>
          <w:rStyle w:val="a7"/>
        </w:rPr>
        <w:footnoteRef/>
      </w:r>
      <w:r>
        <w:rPr>
          <w:rtl/>
        </w:rPr>
        <w:t xml:space="preserve"> </w:t>
      </w:r>
      <w:r w:rsidRPr="00DA03A0">
        <w:rPr>
          <w:rtl/>
        </w:rPr>
        <w:t>ועי' פמ"ג שכתב דע"ז לחוד ודאי אין לסמוך ולהקל מכח גדי ולא דם</w:t>
      </w:r>
      <w:r>
        <w:rPr>
          <w:rFonts w:hint="cs"/>
          <w:rtl/>
        </w:rPr>
        <w:t>,</w:t>
      </w:r>
      <w:r w:rsidRPr="00DA03A0">
        <w:rPr>
          <w:rtl/>
        </w:rPr>
        <w:t xml:space="preserve"> ומהר"מ שיף לא כתב זה רק לסניף בעלמא. ועי' בתשובת בשמים ראש ר"ס רפ"א בהגהת כס"ד שם מה שכתב על דברי מהרמ"ש הנ"ל</w:t>
      </w:r>
      <w:r>
        <w:rPr>
          <w:rFonts w:hint="cs"/>
          <w:rtl/>
        </w:rPr>
        <w:t>, פת"ש.</w:t>
      </w:r>
    </w:p>
  </w:footnote>
  <w:footnote w:id="1030">
    <w:p w14:paraId="14975898"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רשב"א (ח"ג סי' רנז)</w:t>
      </w:r>
      <w:r>
        <w:rPr>
          <w:rFonts w:asciiTheme="minorBidi" w:hAnsiTheme="minorBidi" w:hint="cs"/>
          <w:rtl/>
        </w:rPr>
        <w:t>.</w:t>
      </w:r>
    </w:p>
  </w:footnote>
  <w:footnote w:id="1031">
    <w:p w14:paraId="0D2E6B6E"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u w:val="single"/>
          <w:rtl/>
        </w:rPr>
        <w:t xml:space="preserve"> וקשה, דהרי משנה ערוכה</w:t>
      </w:r>
      <w:r w:rsidRPr="00C233C9">
        <w:rPr>
          <w:rFonts w:asciiTheme="minorBidi" w:hAnsiTheme="minorBidi"/>
          <w:sz w:val="16"/>
          <w:szCs w:val="16"/>
          <w:u w:val="single"/>
          <w:rtl/>
        </w:rPr>
        <w:t xml:space="preserve"> (קיג.)</w:t>
      </w:r>
      <w:r w:rsidRPr="00C233C9">
        <w:rPr>
          <w:rFonts w:asciiTheme="minorBidi" w:hAnsiTheme="minorBidi"/>
          <w:u w:val="single"/>
          <w:rtl/>
        </w:rPr>
        <w:t xml:space="preserve"> דאינו אסור אלא באכילה אבל בישול שרי לגמרי, וכ"פ הט"ו בסע' ג ולא אסרו משום מרא"ע:</w:t>
      </w:r>
      <w:r w:rsidRPr="00C233C9">
        <w:rPr>
          <w:rFonts w:asciiTheme="minorBidi" w:hAnsiTheme="minorBidi"/>
          <w:rtl/>
        </w:rPr>
        <w:t xml:space="preserve"> </w:t>
      </w:r>
    </w:p>
    <w:p w14:paraId="48DC14E1" w14:textId="77777777" w:rsidR="004C5A3C" w:rsidRPr="00C233C9" w:rsidRDefault="004C5A3C" w:rsidP="0032102C">
      <w:pPr>
        <w:pStyle w:val="a5"/>
        <w:numPr>
          <w:ilvl w:val="0"/>
          <w:numId w:val="143"/>
        </w:numPr>
        <w:rPr>
          <w:rFonts w:asciiTheme="minorBidi" w:hAnsiTheme="minorBidi"/>
        </w:rPr>
      </w:pPr>
      <w:r w:rsidRPr="00C233C9">
        <w:rPr>
          <w:rFonts w:asciiTheme="minorBidi" w:hAnsiTheme="minorBidi"/>
          <w:rtl/>
        </w:rPr>
        <w:t xml:space="preserve">ש"ך </w:t>
      </w:r>
      <w:r w:rsidRPr="00C233C9">
        <w:rPr>
          <w:rFonts w:asciiTheme="minorBidi" w:hAnsiTheme="minorBidi"/>
          <w:sz w:val="16"/>
          <w:szCs w:val="16"/>
          <w:rtl/>
        </w:rPr>
        <w:t>(</w:t>
      </w:r>
      <w:r>
        <w:rPr>
          <w:rFonts w:asciiTheme="minorBidi" w:hAnsiTheme="minorBidi" w:hint="cs"/>
          <w:sz w:val="16"/>
          <w:szCs w:val="16"/>
          <w:rtl/>
        </w:rPr>
        <w:t>[</w:t>
      </w:r>
      <w:r w:rsidRPr="00C233C9">
        <w:rPr>
          <w:rFonts w:asciiTheme="minorBidi" w:hAnsiTheme="minorBidi"/>
          <w:sz w:val="16"/>
          <w:szCs w:val="16"/>
          <w:rtl/>
        </w:rPr>
        <w:t>סק"ז</w:t>
      </w:r>
      <w:r>
        <w:rPr>
          <w:rFonts w:asciiTheme="minorBidi" w:hAnsiTheme="minorBidi" w:hint="cs"/>
          <w:sz w:val="16"/>
          <w:szCs w:val="16"/>
          <w:rtl/>
        </w:rPr>
        <w:t>]</w:t>
      </w:r>
      <w:r w:rsidRPr="00C233C9">
        <w:rPr>
          <w:rFonts w:asciiTheme="minorBidi" w:hAnsiTheme="minorBidi"/>
          <w:sz w:val="16"/>
          <w:szCs w:val="16"/>
          <w:rtl/>
        </w:rPr>
        <w:t xml:space="preserve"> תירוץ א)</w:t>
      </w:r>
      <w:r w:rsidRPr="00C233C9">
        <w:rPr>
          <w:rFonts w:asciiTheme="minorBidi" w:hAnsiTheme="minorBidi"/>
          <w:rtl/>
        </w:rPr>
        <w:t xml:space="preserve">- הא דכתבו הטור והמחבר בס"ג מותרים בבישול והנאה והוא משנה ערוכה בפכ"ה ומוסכם מכל הפוסקים דהיינו דמותר מדינא אבל משום מראית העין לא מיירי, ונפקא מינה בגווני דליכא למיחש למראית העין כגון לרפואה וכיוצא בו וכמ"ש מהרש"ל </w:t>
      </w:r>
      <w:r w:rsidRPr="00C233C9">
        <w:rPr>
          <w:rFonts w:asciiTheme="minorBidi" w:hAnsiTheme="minorBidi"/>
          <w:sz w:val="16"/>
          <w:szCs w:val="16"/>
          <w:rtl/>
        </w:rPr>
        <w:t>(פכ"ה סי' קב)</w:t>
      </w:r>
      <w:r w:rsidRPr="00C233C9">
        <w:rPr>
          <w:rFonts w:asciiTheme="minorBidi" w:hAnsiTheme="minorBidi"/>
          <w:rtl/>
        </w:rPr>
        <w:t xml:space="preserve"> גבי חלב אשה דלרפואה שרי אפילו אין בו סכנה כלל מאחר דאין בו איסור כלל אלא משום מראית העין</w:t>
      </w:r>
      <w:r w:rsidRPr="00C233C9">
        <w:rPr>
          <w:rFonts w:asciiTheme="minorBidi" w:hAnsiTheme="minorBidi"/>
          <w:sz w:val="16"/>
          <w:szCs w:val="16"/>
          <w:rtl/>
        </w:rPr>
        <w:t xml:space="preserve"> {עכ"ל רש"ל}</w:t>
      </w:r>
      <w:r w:rsidRPr="00C233C9">
        <w:rPr>
          <w:rFonts w:asciiTheme="minorBidi" w:hAnsiTheme="minorBidi"/>
          <w:rtl/>
        </w:rPr>
        <w:t>, א"נ משכחת לה בגווני אחריני דליכא משום מראית העין.</w:t>
      </w:r>
      <w:r w:rsidRPr="00C233C9">
        <w:rPr>
          <w:rFonts w:asciiTheme="minorBidi" w:hAnsiTheme="minorBidi"/>
          <w:sz w:val="14"/>
          <w:szCs w:val="14"/>
          <w:rtl/>
        </w:rPr>
        <w:t xml:space="preserve"> (וסיים הש"ך לאחר כל התירוצים דראשון עיקר, ו</w:t>
      </w:r>
      <w:r>
        <w:rPr>
          <w:rFonts w:asciiTheme="minorBidi" w:hAnsiTheme="minorBidi" w:hint="cs"/>
          <w:sz w:val="14"/>
          <w:szCs w:val="14"/>
          <w:rtl/>
        </w:rPr>
        <w:t>נראה</w:t>
      </w:r>
      <w:r w:rsidRPr="00C233C9">
        <w:rPr>
          <w:rFonts w:asciiTheme="minorBidi" w:hAnsiTheme="minorBidi"/>
          <w:sz w:val="14"/>
          <w:szCs w:val="14"/>
          <w:rtl/>
        </w:rPr>
        <w:t xml:space="preserve"> דכוונתו לתירוץ זה, וכ"כ הבאה"ט [סק"ז])</w:t>
      </w:r>
    </w:p>
    <w:p w14:paraId="3E19E53D" w14:textId="77777777" w:rsidR="004C5A3C" w:rsidRPr="00C233C9" w:rsidRDefault="004C5A3C" w:rsidP="0032102C">
      <w:pPr>
        <w:pStyle w:val="a5"/>
        <w:numPr>
          <w:ilvl w:val="0"/>
          <w:numId w:val="143"/>
        </w:numPr>
        <w:rPr>
          <w:rFonts w:asciiTheme="minorBidi" w:hAnsiTheme="minorBidi"/>
        </w:rPr>
      </w:pPr>
      <w:r w:rsidRPr="00C233C9">
        <w:rPr>
          <w:rFonts w:asciiTheme="minorBidi" w:hAnsiTheme="minorBidi"/>
          <w:rtl/>
        </w:rPr>
        <w:t xml:space="preserve">ש"ך </w:t>
      </w:r>
      <w:r w:rsidRPr="00C233C9">
        <w:rPr>
          <w:rFonts w:asciiTheme="minorBidi" w:hAnsiTheme="minorBidi"/>
          <w:sz w:val="16"/>
          <w:szCs w:val="16"/>
          <w:rtl/>
        </w:rPr>
        <w:t>(תירוץ ב)</w:t>
      </w:r>
      <w:r w:rsidRPr="00C233C9">
        <w:rPr>
          <w:rFonts w:asciiTheme="minorBidi" w:hAnsiTheme="minorBidi"/>
          <w:rtl/>
        </w:rPr>
        <w:t>- כיון דמכל הפוסקים נראה דליכא גם משום מראית העין נראה ליישב דשאני התם</w:t>
      </w:r>
      <w:r w:rsidRPr="00C233C9">
        <w:rPr>
          <w:rFonts w:asciiTheme="minorBidi" w:hAnsiTheme="minorBidi"/>
          <w:sz w:val="16"/>
          <w:szCs w:val="16"/>
          <w:rtl/>
        </w:rPr>
        <w:t xml:space="preserve"> {דשרי לבשל בשר טהורה בחלב טמאה או להיפך}</w:t>
      </w:r>
      <w:r w:rsidRPr="00C233C9">
        <w:rPr>
          <w:rFonts w:asciiTheme="minorBidi" w:hAnsiTheme="minorBidi"/>
          <w:rtl/>
        </w:rPr>
        <w:t xml:space="preserve"> כיון דעל כל פנים אחד מהן אסור באכילה ודאי בבישול לחודיה ליכא משום מראית העין דהא יכול להיות שמבשל לצורך רפואה או שאר דברים, והאי אסור לבשל </w:t>
      </w:r>
      <w:r w:rsidRPr="00C233C9">
        <w:rPr>
          <w:rFonts w:asciiTheme="minorBidi" w:hAnsiTheme="minorBidi"/>
          <w:sz w:val="16"/>
          <w:szCs w:val="16"/>
          <w:rtl/>
        </w:rPr>
        <w:t xml:space="preserve">{דכ' הרמ"א כאן} </w:t>
      </w:r>
      <w:r w:rsidRPr="00C233C9">
        <w:rPr>
          <w:rFonts w:asciiTheme="minorBidi" w:hAnsiTheme="minorBidi"/>
          <w:rtl/>
        </w:rPr>
        <w:t xml:space="preserve">היינו לאכול </w:t>
      </w:r>
      <w:r w:rsidRPr="00C233C9">
        <w:rPr>
          <w:rFonts w:asciiTheme="minorBidi" w:hAnsiTheme="minorBidi"/>
          <w:sz w:val="16"/>
          <w:szCs w:val="16"/>
          <w:rtl/>
        </w:rPr>
        <w:t>(וכן מ"ש המחבר בס"ה אסור לבשלם על כרחך צריך נמי לפרשו לאכלם, וכה"ג מצינו במקרא ומשנה דאפקיה לאכילה בלשון בישול ע"ש)</w:t>
      </w:r>
      <w:r w:rsidRPr="00C233C9">
        <w:rPr>
          <w:rFonts w:asciiTheme="minorBidi" w:hAnsiTheme="minorBidi"/>
          <w:rtl/>
        </w:rPr>
        <w:t xml:space="preserve">, ובכה"ג דוקא הוא דאיכא משום מראית העין </w:t>
      </w:r>
      <w:r w:rsidRPr="00C233C9">
        <w:rPr>
          <w:rFonts w:asciiTheme="minorBidi" w:hAnsiTheme="minorBidi"/>
          <w:sz w:val="16"/>
          <w:szCs w:val="16"/>
          <w:rtl/>
        </w:rPr>
        <w:t>(וע"כ גם לדעת הרב צריך אתה לומר כן דהא אפי' בבשר בהמה טהורה בחלב שקדים ס"ל דא"צ להניח אצלו שקדים אלא בבישול וכמ"ש בס"ק שלפני זה וא"כ תקשי היאך בישלם מתחלה יחד, ודוחק גדול לומר דבשעת בישול היה מניח שקדים אצל הקדירה, אלא ודאי דבבישול לחודיה ליכא משום מראית העין, והלכך הא דאסור לבשל בשר בחלב אשה היינו לאכול והלכך בשר בהמה טמאה בחלב טהורה או איפכא כיון דע"כ לאו לאכלם מבשל להו דהא עכ"פ אסורים משום בשר או חלב טמאה ליכא משום מראית העין, ובזה אתי נמי שפיר דברי הרשב"א שהניחם הרב בת"ח בתימה)</w:t>
      </w:r>
      <w:r w:rsidRPr="00C233C9">
        <w:rPr>
          <w:rFonts w:asciiTheme="minorBidi" w:hAnsiTheme="minorBidi"/>
          <w:rtl/>
        </w:rPr>
        <w:t>.</w:t>
      </w:r>
    </w:p>
    <w:p w14:paraId="027C256A" w14:textId="77777777" w:rsidR="004C5A3C" w:rsidRPr="00C233C9" w:rsidRDefault="004C5A3C" w:rsidP="0032102C">
      <w:pPr>
        <w:pStyle w:val="a5"/>
        <w:numPr>
          <w:ilvl w:val="0"/>
          <w:numId w:val="143"/>
        </w:numPr>
        <w:rPr>
          <w:rFonts w:asciiTheme="minorBidi" w:hAnsiTheme="minorBidi"/>
        </w:rPr>
      </w:pPr>
      <w:r w:rsidRPr="00C233C9">
        <w:rPr>
          <w:rFonts w:asciiTheme="minorBidi" w:hAnsiTheme="minorBidi"/>
          <w:rtl/>
        </w:rPr>
        <w:t xml:space="preserve">ש"ך </w:t>
      </w:r>
      <w:r w:rsidRPr="00C233C9">
        <w:rPr>
          <w:rFonts w:asciiTheme="minorBidi" w:hAnsiTheme="minorBidi"/>
          <w:sz w:val="16"/>
          <w:szCs w:val="16"/>
          <w:rtl/>
        </w:rPr>
        <w:t>(תירוץ ג)</w:t>
      </w:r>
      <w:r w:rsidRPr="00C233C9">
        <w:rPr>
          <w:rFonts w:asciiTheme="minorBidi" w:hAnsiTheme="minorBidi"/>
          <w:rtl/>
        </w:rPr>
        <w:t xml:space="preserve">- בבשר טמא ליכא למיחש למראית העין דניכר לעין שהוא בשר טמא וכן בחלב טמאה כדאיתא בש"ס </w:t>
      </w:r>
      <w:r w:rsidRPr="00C233C9">
        <w:rPr>
          <w:rFonts w:asciiTheme="minorBidi" w:hAnsiTheme="minorBidi"/>
          <w:sz w:val="16"/>
          <w:szCs w:val="16"/>
          <w:rtl/>
        </w:rPr>
        <w:t xml:space="preserve">(ע"ז לה:) </w:t>
      </w:r>
      <w:r w:rsidRPr="00C233C9">
        <w:rPr>
          <w:rFonts w:asciiTheme="minorBidi" w:hAnsiTheme="minorBidi"/>
          <w:rtl/>
        </w:rPr>
        <w:t>חלב טהור חיור טמא ירוק, אבל חלב אשה וחלב שקדים לא מינכר ואסור משום מראית העין.</w:t>
      </w:r>
    </w:p>
    <w:p w14:paraId="6FB3F539" w14:textId="77777777" w:rsidR="004C5A3C" w:rsidRPr="00764DCD" w:rsidRDefault="004C5A3C" w:rsidP="0032102C">
      <w:pPr>
        <w:pStyle w:val="a5"/>
        <w:numPr>
          <w:ilvl w:val="0"/>
          <w:numId w:val="143"/>
        </w:numPr>
        <w:rPr>
          <w:rFonts w:asciiTheme="minorBidi" w:hAnsiTheme="minorBidi"/>
          <w:rtl/>
        </w:rPr>
      </w:pPr>
      <w:r w:rsidRPr="00C233C9">
        <w:rPr>
          <w:rFonts w:asciiTheme="minorBidi" w:hAnsiTheme="minorBidi"/>
          <w:rtl/>
        </w:rPr>
        <w:t xml:space="preserve">ט"ז </w:t>
      </w:r>
      <w:r w:rsidRPr="00C233C9">
        <w:rPr>
          <w:rFonts w:asciiTheme="minorBidi" w:hAnsiTheme="minorBidi"/>
          <w:sz w:val="16"/>
          <w:szCs w:val="16"/>
          <w:rtl/>
        </w:rPr>
        <w:t>(סק"ה)</w:t>
      </w:r>
      <w:r w:rsidRPr="00C233C9">
        <w:rPr>
          <w:rFonts w:asciiTheme="minorBidi" w:hAnsiTheme="minorBidi"/>
          <w:rtl/>
        </w:rPr>
        <w:t xml:space="preserve">- לא גזרו משום מראית עין אלא במידי דכשר לאכילה כל אחד לחוד דאז דומה לבשר טהור וחלב טהור, ומ"ה בבישול עם חלב שקדים צריך להניח שם שקדים לכתחלה, ובחלב אשה שג"כ מותר כל שפירש ממנה כמ"ש בסי' פא ע"כ אסור לבשל עם בשר משום מראית עין, משא"כ באם החלב טמא או הבשר טמא אין דומה לבשר בחלב של טהורים וע"כ לא גזרו שם מפני מראית עין </w:t>
      </w:r>
      <w:r w:rsidRPr="00C233C9">
        <w:rPr>
          <w:rFonts w:asciiTheme="minorBidi" w:hAnsiTheme="minorBidi"/>
          <w:sz w:val="16"/>
          <w:szCs w:val="16"/>
          <w:rtl/>
        </w:rPr>
        <w:t>(וסיים הט"ז- כנלע"ד ברור אלא שאין בידי להקל במה שהחמיר רמ"א, ומ"מ פשוט בעיני דלפי זה כ"ש שיש לאסור מפני מראית עין לבשל בשר עוף בחלב שגזרו בו רבנן בהדיא איסור בשר וחלב, ולחד תנא הוי באמת דאו', וכ"מ מדברי ד"מ דבשר עוף בחלב גרע טפי מטמאה בחלב, ולא כמ"ש בלבוש דבזה מותר מפני מראית עין משום דמנכרי, דודאי מצינו לפעמים שנחתך בענין שלא מינכר ותו דהרואה לא ידע לחלק בין בשר עוף לשל בהמה, ובאמת פלוגת' דתנאי היא, ותו דרש"ל כ' [פכ"ה סי' נב] דבבשר עוף איכא למיחש טפי שלא יטעו לומר בשר עוף בחלב שרי כר"י הגלילי עכ"ל, ולשון לכתחלה שזכר רמ"א כאן וכן בסמוך גבי חלב מתה לענין בישול נראה שנתכוין שיש ליזהר במקום שאין צורך גדול אבל במקום צורך לרפואה אף שאין סכנה בדבר יש להתיר בישול בחלב במה שאין האיסור אכילה אלא מדרבנן וכ"ש חלב טמאה או בשר טמא)</w:t>
      </w:r>
      <w:r w:rsidRPr="00C233C9">
        <w:rPr>
          <w:rFonts w:asciiTheme="minorBidi" w:hAnsiTheme="minorBidi"/>
          <w:rtl/>
        </w:rPr>
        <w:t>.</w:t>
      </w:r>
    </w:p>
  </w:footnote>
  <w:footnote w:id="1032">
    <w:p w14:paraId="65D381DF"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נמשך לשיטתו בס</w:t>
      </w:r>
      <w:r>
        <w:rPr>
          <w:rFonts w:asciiTheme="minorBidi" w:hAnsiTheme="minorBidi" w:hint="cs"/>
          <w:rtl/>
        </w:rPr>
        <w:t>"</w:t>
      </w:r>
      <w:r w:rsidRPr="00C233C9">
        <w:rPr>
          <w:rFonts w:asciiTheme="minorBidi" w:hAnsiTheme="minorBidi"/>
          <w:rtl/>
        </w:rPr>
        <w:t xml:space="preserve">ג אבל לפמ"ש בסק"ו אף בעוף יש לחוש והיינו דסתמו הרשב"א והמחבר </w:t>
      </w:r>
      <w:r w:rsidRPr="00764DCD">
        <w:rPr>
          <w:rFonts w:asciiTheme="minorBidi" w:hAnsiTheme="minorBidi" w:hint="cs"/>
          <w:sz w:val="16"/>
          <w:szCs w:val="16"/>
          <w:rtl/>
        </w:rPr>
        <w:t>(</w:t>
      </w:r>
      <w:r w:rsidRPr="00764DCD">
        <w:rPr>
          <w:rFonts w:asciiTheme="minorBidi" w:hAnsiTheme="minorBidi"/>
          <w:sz w:val="16"/>
          <w:szCs w:val="16"/>
          <w:rtl/>
        </w:rPr>
        <w:t>ולא חלקו בין בהמה לעוף</w:t>
      </w:r>
      <w:r>
        <w:rPr>
          <w:rFonts w:asciiTheme="minorBidi" w:hAnsiTheme="minorBidi" w:hint="cs"/>
          <w:sz w:val="16"/>
          <w:szCs w:val="16"/>
          <w:rtl/>
        </w:rPr>
        <w:t>)</w:t>
      </w:r>
      <w:r w:rsidRPr="00C233C9">
        <w:rPr>
          <w:rFonts w:asciiTheme="minorBidi" w:hAnsiTheme="minorBidi"/>
          <w:rtl/>
        </w:rPr>
        <w:t>, ש"ך</w:t>
      </w:r>
      <w:r w:rsidRPr="00C233C9">
        <w:rPr>
          <w:rFonts w:asciiTheme="minorBidi" w:hAnsiTheme="minorBidi"/>
          <w:sz w:val="16"/>
          <w:szCs w:val="16"/>
          <w:rtl/>
        </w:rPr>
        <w:t xml:space="preserve"> (סק"ח)</w:t>
      </w:r>
      <w:r w:rsidRPr="00C233C9">
        <w:rPr>
          <w:rFonts w:asciiTheme="minorBidi" w:hAnsiTheme="minorBidi"/>
          <w:rtl/>
        </w:rPr>
        <w:t>.</w:t>
      </w:r>
    </w:p>
  </w:footnote>
  <w:footnote w:id="1033">
    <w:p w14:paraId="7E2A23A5"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מחוברות, רש"י.</w:t>
      </w:r>
    </w:p>
  </w:footnote>
  <w:footnote w:id="1034">
    <w:p w14:paraId="31A676C4"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אך הש"ך </w:t>
      </w:r>
      <w:r w:rsidRPr="002D5CEE">
        <w:rPr>
          <w:rFonts w:asciiTheme="minorBidi" w:hAnsiTheme="minorBidi"/>
          <w:sz w:val="16"/>
          <w:szCs w:val="16"/>
          <w:rtl/>
        </w:rPr>
        <w:t xml:space="preserve">(סק"י) </w:t>
      </w:r>
      <w:r w:rsidRPr="00C233C9">
        <w:rPr>
          <w:rFonts w:asciiTheme="minorBidi" w:hAnsiTheme="minorBidi"/>
          <w:rtl/>
        </w:rPr>
        <w:t xml:space="preserve">כ' דבה"ג </w:t>
      </w:r>
      <w:r w:rsidRPr="002D5CEE">
        <w:rPr>
          <w:rFonts w:asciiTheme="minorBidi" w:hAnsiTheme="minorBidi"/>
          <w:sz w:val="16"/>
          <w:szCs w:val="16"/>
          <w:rtl/>
        </w:rPr>
        <w:t xml:space="preserve">(לה ע"ג) </w:t>
      </w:r>
      <w:r w:rsidRPr="00C233C9">
        <w:rPr>
          <w:rFonts w:asciiTheme="minorBidi" w:hAnsiTheme="minorBidi"/>
          <w:rtl/>
        </w:rPr>
        <w:t xml:space="preserve">פסק כר' יעקב, וכן הוא בכל נוסחאות הרי"ף שלפנינו בפ"ק דביצה, וכ"כ בשלט"ג </w:t>
      </w:r>
      <w:r w:rsidRPr="002D5CEE">
        <w:rPr>
          <w:rFonts w:asciiTheme="minorBidi" w:hAnsiTheme="minorBidi"/>
          <w:sz w:val="16"/>
          <w:szCs w:val="16"/>
          <w:rtl/>
        </w:rPr>
        <w:t xml:space="preserve">(פכ"ה תשטו ע"א) </w:t>
      </w:r>
      <w:r w:rsidRPr="00C233C9">
        <w:rPr>
          <w:rFonts w:asciiTheme="minorBidi" w:hAnsiTheme="minorBidi"/>
          <w:rtl/>
        </w:rPr>
        <w:t>בשם הרי"ף, וגם דעת הר"ן מוכח כן אם לא נגיה בדבריו בפכ"ה, וכ</w:t>
      </w:r>
      <w:r>
        <w:rPr>
          <w:rFonts w:asciiTheme="minorBidi" w:hAnsiTheme="minorBidi" w:hint="cs"/>
          <w:rtl/>
        </w:rPr>
        <w:t>"</w:t>
      </w:r>
      <w:r w:rsidRPr="00C233C9">
        <w:rPr>
          <w:rFonts w:asciiTheme="minorBidi" w:hAnsiTheme="minorBidi"/>
          <w:rtl/>
        </w:rPr>
        <w:t xml:space="preserve">ה דעת הר"ר יונתן שהובא בא"ח ובכל בו </w:t>
      </w:r>
      <w:r w:rsidRPr="002D5CEE">
        <w:rPr>
          <w:rFonts w:asciiTheme="minorBidi" w:hAnsiTheme="minorBidi"/>
          <w:sz w:val="16"/>
          <w:szCs w:val="16"/>
          <w:rtl/>
        </w:rPr>
        <w:t>(ר"ס קו)</w:t>
      </w:r>
      <w:r w:rsidRPr="00C233C9">
        <w:rPr>
          <w:rFonts w:asciiTheme="minorBidi" w:hAnsiTheme="minorBidi"/>
          <w:rtl/>
        </w:rPr>
        <w:t>, וכן מוכח דעת רשב"ם וסייעתו הנזכרים דהל</w:t>
      </w:r>
      <w:r>
        <w:rPr>
          <w:rFonts w:asciiTheme="minorBidi" w:hAnsiTheme="minorBidi" w:hint="cs"/>
          <w:rtl/>
        </w:rPr>
        <w:t>כה</w:t>
      </w:r>
      <w:r w:rsidRPr="00C233C9">
        <w:rPr>
          <w:rFonts w:asciiTheme="minorBidi" w:hAnsiTheme="minorBidi"/>
          <w:rtl/>
        </w:rPr>
        <w:t xml:space="preserve"> כר</w:t>
      </w:r>
      <w:r>
        <w:rPr>
          <w:rFonts w:asciiTheme="minorBidi" w:hAnsiTheme="minorBidi" w:hint="cs"/>
          <w:rtl/>
        </w:rPr>
        <w:t>'</w:t>
      </w:r>
      <w:r w:rsidRPr="00C233C9">
        <w:rPr>
          <w:rFonts w:asciiTheme="minorBidi" w:hAnsiTheme="minorBidi"/>
          <w:rtl/>
        </w:rPr>
        <w:t xml:space="preserve"> יעקב </w:t>
      </w:r>
      <w:r w:rsidRPr="002D5CEE">
        <w:rPr>
          <w:rFonts w:asciiTheme="minorBidi" w:hAnsiTheme="minorBidi" w:hint="cs"/>
          <w:sz w:val="16"/>
          <w:szCs w:val="16"/>
          <w:rtl/>
        </w:rPr>
        <w:t>(</w:t>
      </w:r>
      <w:r w:rsidRPr="002D5CEE">
        <w:rPr>
          <w:rFonts w:asciiTheme="minorBidi" w:hAnsiTheme="minorBidi"/>
          <w:sz w:val="16"/>
          <w:szCs w:val="16"/>
          <w:rtl/>
        </w:rPr>
        <w:t>דאל"כ א"א ליישב הסוגיא דפ"ק דביצה לדבריהם</w:t>
      </w:r>
      <w:r>
        <w:rPr>
          <w:rFonts w:asciiTheme="minorBidi" w:hAnsiTheme="minorBidi" w:hint="cs"/>
          <w:sz w:val="16"/>
          <w:szCs w:val="16"/>
          <w:rtl/>
        </w:rPr>
        <w:t>)</w:t>
      </w:r>
      <w:r w:rsidRPr="00C233C9">
        <w:rPr>
          <w:rFonts w:asciiTheme="minorBidi" w:hAnsiTheme="minorBidi"/>
          <w:rtl/>
        </w:rPr>
        <w:t xml:space="preserve">, וכ"כ האגודה </w:t>
      </w:r>
      <w:r w:rsidRPr="002D5CEE">
        <w:rPr>
          <w:rFonts w:asciiTheme="minorBidi" w:hAnsiTheme="minorBidi"/>
          <w:sz w:val="16"/>
          <w:szCs w:val="16"/>
          <w:rtl/>
        </w:rPr>
        <w:t xml:space="preserve">(פא"ט סי' ס"ב) </w:t>
      </w:r>
      <w:r w:rsidRPr="00C233C9">
        <w:rPr>
          <w:rFonts w:asciiTheme="minorBidi" w:hAnsiTheme="minorBidi"/>
          <w:rtl/>
        </w:rPr>
        <w:t>להדיא, וגם בירושלמי פסק בהדיא כרבי יעקב, וכן משמע קצת בש"ס דילן דבתרתי לישני מהדר לאוקמי ברייתא כותיה, ודלא כש</w:t>
      </w:r>
      <w:r>
        <w:rPr>
          <w:rFonts w:asciiTheme="minorBidi" w:hAnsiTheme="minorBidi" w:hint="cs"/>
          <w:rtl/>
        </w:rPr>
        <w:t>לט</w:t>
      </w:r>
      <w:r w:rsidRPr="00C233C9">
        <w:rPr>
          <w:rFonts w:asciiTheme="minorBidi" w:hAnsiTheme="minorBidi"/>
          <w:rtl/>
        </w:rPr>
        <w:t>"ג שם שהניח בקושיא מה שפסק הרי"ף כרבי יעקב, גם הב"י ושאר אחרונים כתבו סתמא דכל הפוסקים פסקו כת"ק</w:t>
      </w:r>
      <w:r>
        <w:rPr>
          <w:rFonts w:asciiTheme="minorBidi" w:hAnsiTheme="minorBidi" w:hint="cs"/>
          <w:rtl/>
        </w:rPr>
        <w:t xml:space="preserve"> </w:t>
      </w:r>
      <w:r w:rsidRPr="00C233C9">
        <w:rPr>
          <w:rFonts w:asciiTheme="minorBidi" w:hAnsiTheme="minorBidi"/>
          <w:rtl/>
        </w:rPr>
        <w:t>- וז"א וכמ"ש.</w:t>
      </w:r>
    </w:p>
  </w:footnote>
  <w:footnote w:id="1035">
    <w:p w14:paraId="5A270090"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רש"י </w:t>
      </w:r>
      <w:r w:rsidRPr="00C233C9">
        <w:rPr>
          <w:rFonts w:asciiTheme="minorBidi" w:hAnsiTheme="minorBidi"/>
          <w:sz w:val="16"/>
          <w:szCs w:val="16"/>
          <w:rtl/>
        </w:rPr>
        <w:t xml:space="preserve">(ביצה ו: ד"ה ביצים גמורות) </w:t>
      </w:r>
      <w:r w:rsidRPr="00C233C9">
        <w:rPr>
          <w:rFonts w:asciiTheme="minorBidi" w:hAnsiTheme="minorBidi"/>
          <w:rtl/>
        </w:rPr>
        <w:t xml:space="preserve">רא"ש </w:t>
      </w:r>
      <w:r w:rsidRPr="00C233C9">
        <w:rPr>
          <w:rFonts w:asciiTheme="minorBidi" w:hAnsiTheme="minorBidi"/>
          <w:sz w:val="16"/>
          <w:szCs w:val="16"/>
          <w:rtl/>
        </w:rPr>
        <w:t xml:space="preserve">(סי' ח) </w:t>
      </w:r>
      <w:r w:rsidRPr="00C233C9">
        <w:rPr>
          <w:rFonts w:asciiTheme="minorBidi" w:hAnsiTheme="minorBidi"/>
          <w:rtl/>
        </w:rPr>
        <w:t xml:space="preserve">ורי"ו </w:t>
      </w:r>
      <w:r w:rsidRPr="00C233C9">
        <w:rPr>
          <w:rFonts w:asciiTheme="minorBidi" w:hAnsiTheme="minorBidi"/>
          <w:sz w:val="16"/>
          <w:szCs w:val="16"/>
          <w:rtl/>
        </w:rPr>
        <w:t>(נט"ו אות כח קלז.)</w:t>
      </w:r>
      <w:r w:rsidRPr="00C233C9">
        <w:rPr>
          <w:rFonts w:asciiTheme="minorBidi" w:hAnsiTheme="minorBidi"/>
          <w:rtl/>
        </w:rPr>
        <w:t>.</w:t>
      </w:r>
    </w:p>
  </w:footnote>
  <w:footnote w:id="1036">
    <w:p w14:paraId="254D7978"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דמדאסר ר' אליעזר בן יעקב מעורות מכלל דת"ק שרי ואפי' הן מעורות אלא שנגמר החלמון</w:t>
      </w:r>
      <w:r>
        <w:rPr>
          <w:rFonts w:asciiTheme="minorBidi" w:hAnsiTheme="minorBidi" w:hint="cs"/>
          <w:rtl/>
        </w:rPr>
        <w:t>,</w:t>
      </w:r>
      <w:r w:rsidRPr="00C233C9">
        <w:rPr>
          <w:rFonts w:asciiTheme="minorBidi" w:hAnsiTheme="minorBidi"/>
          <w:rtl/>
        </w:rPr>
        <w:t xml:space="preserve"> והיינו שלל של ביצים כשמחוברות באשכול ובלבד שיגמור החלמון אבל אותם שלא נגמר החלמון שלהם אסורים, רא"ש. וכ' הב"י דבאמת שמפשט לשון הרא"ש</w:t>
      </w:r>
      <w:r w:rsidRPr="00C233C9">
        <w:rPr>
          <w:rFonts w:asciiTheme="minorBidi" w:hAnsiTheme="minorBidi"/>
          <w:sz w:val="16"/>
          <w:szCs w:val="16"/>
          <w:rtl/>
        </w:rPr>
        <w:t xml:space="preserve"> (שכתב והיינו שלל ביצים כשמחוברת באשכול)</w:t>
      </w:r>
      <w:r w:rsidRPr="00C233C9">
        <w:rPr>
          <w:rFonts w:asciiTheme="minorBidi" w:hAnsiTheme="minorBidi"/>
          <w:rtl/>
        </w:rPr>
        <w:t xml:space="preserve"> וגם מפירוש רש"י </w:t>
      </w:r>
      <w:r w:rsidRPr="00C233C9">
        <w:rPr>
          <w:rFonts w:asciiTheme="minorBidi" w:hAnsiTheme="minorBidi"/>
          <w:sz w:val="16"/>
          <w:szCs w:val="16"/>
          <w:rtl/>
        </w:rPr>
        <w:t>(ז.)</w:t>
      </w:r>
      <w:r w:rsidRPr="00C233C9">
        <w:rPr>
          <w:rFonts w:asciiTheme="minorBidi" w:hAnsiTheme="minorBidi"/>
          <w:rtl/>
        </w:rPr>
        <w:t xml:space="preserve"> באותה סוגיא </w:t>
      </w:r>
      <w:r w:rsidRPr="00C233C9">
        <w:rPr>
          <w:rFonts w:asciiTheme="minorBidi" w:hAnsiTheme="minorBidi"/>
          <w:sz w:val="16"/>
          <w:szCs w:val="16"/>
          <w:rtl/>
        </w:rPr>
        <w:t>(אהא דתניא האוכל מנבלת עוף טהור מן השלל של ביצים וכו' מן השלל של ביצים כשהם כבושים ושלולין וקבועין בשדרה כלומר האוכל אותם ביצים בעודן מעורין בגידים, ועל מעורות בגידים פירש מחוברות)</w:t>
      </w:r>
      <w:r w:rsidRPr="00C233C9">
        <w:rPr>
          <w:rFonts w:asciiTheme="minorBidi" w:hAnsiTheme="minorBidi"/>
          <w:rtl/>
        </w:rPr>
        <w:t xml:space="preserve"> משמע שאע"פ שעודם מחוברים באשכול אם נראה בהם שנגמר החלמון לגמרי, כלומר שגדל כבר כל מה שדרכו ליגדל, מיקרי גמורות ומותר לאכלן בחלב, אבל מדברי רבינו </w:t>
      </w:r>
      <w:r w:rsidRPr="00C233C9">
        <w:rPr>
          <w:rFonts w:asciiTheme="minorBidi" w:hAnsiTheme="minorBidi"/>
          <w:sz w:val="16"/>
          <w:szCs w:val="16"/>
          <w:rtl/>
        </w:rPr>
        <w:t xml:space="preserve">(שכתב- ועדיין היא אדומה ומעורה כמו השלל של ביצים המחובר באשכול) </w:t>
      </w:r>
      <w:r w:rsidRPr="00C233C9">
        <w:rPr>
          <w:rFonts w:asciiTheme="minorBidi" w:hAnsiTheme="minorBidi"/>
          <w:rtl/>
        </w:rPr>
        <w:t>נראה שהוא מפרש כל שהיא מחוברת באשכול עדיין לא נגמרה, אלא בשכבר פירשה מן האשכול עסקינן, ומפני שעדיין היא אדומה ואית בה שורייני סומקי קרי לה מעורה בגידין, ומפני שהיא דומה לאותן שמחוברות באשכול כתב הרא"ש 'והיינו שלל של ביצים כשמחוברות באשכול', כלומר שהיא דומה לאותן שבשלל דהיינו המחוברות באשכול, ונ"ל לפי זה דכשפורשת מן האשכול עדיין אינה נגמרת כל צרכה, דאל"כ כיון דבפירשה מן האשכול מיירי למה הוצרך לכתוב ובלבד שיגמור החלמון וכו', אלא ודאי לפירוש זה אתי למימר שאע"פ שפירשה מן האשכול אינה מותרת בחלב עד שתגמר ותגדל כל מה שדרכה ליגדל.</w:t>
      </w:r>
    </w:p>
  </w:footnote>
  <w:footnote w:id="1037">
    <w:p w14:paraId="2839AC50" w14:textId="77777777" w:rsidR="004C5A3C" w:rsidRDefault="004C5A3C" w:rsidP="002C39F4">
      <w:pPr>
        <w:pStyle w:val="a5"/>
        <w:rPr>
          <w:rtl/>
        </w:rPr>
      </w:pPr>
      <w:r>
        <w:rPr>
          <w:rStyle w:val="a7"/>
        </w:rPr>
        <w:footnoteRef/>
      </w:r>
      <w:r>
        <w:rPr>
          <w:rtl/>
        </w:rPr>
        <w:t xml:space="preserve"> </w:t>
      </w:r>
      <w:r>
        <w:rPr>
          <w:rFonts w:hint="cs"/>
          <w:rtl/>
        </w:rPr>
        <w:t xml:space="preserve">וכ"כ </w:t>
      </w:r>
      <w:r w:rsidRPr="003024E5">
        <w:rPr>
          <w:rFonts w:asciiTheme="minorBidi" w:hAnsiTheme="minorBidi"/>
          <w:rtl/>
        </w:rPr>
        <w:t>ה"ר יהונתן</w:t>
      </w:r>
      <w:r w:rsidRPr="003024E5">
        <w:rPr>
          <w:rFonts w:asciiTheme="minorBidi" w:hAnsiTheme="minorBidi"/>
          <w:sz w:val="16"/>
          <w:szCs w:val="16"/>
          <w:rtl/>
        </w:rPr>
        <w:t xml:space="preserve"> (הביאו הא"ח</w:t>
      </w:r>
      <w:r>
        <w:rPr>
          <w:rFonts w:asciiTheme="minorBidi" w:hAnsiTheme="minorBidi" w:hint="cs"/>
          <w:sz w:val="16"/>
          <w:szCs w:val="16"/>
          <w:rtl/>
        </w:rPr>
        <w:t xml:space="preserve"> [שם]</w:t>
      </w:r>
      <w:r w:rsidRPr="003024E5">
        <w:rPr>
          <w:rFonts w:asciiTheme="minorBidi" w:hAnsiTheme="minorBidi"/>
          <w:sz w:val="16"/>
          <w:szCs w:val="16"/>
          <w:rtl/>
        </w:rPr>
        <w:t>)</w:t>
      </w:r>
      <w:r w:rsidRPr="003024E5">
        <w:rPr>
          <w:rFonts w:asciiTheme="minorBidi" w:hAnsiTheme="minorBidi"/>
          <w:rtl/>
        </w:rPr>
        <w:t xml:space="preserve"> </w:t>
      </w:r>
      <w:r>
        <w:rPr>
          <w:rFonts w:asciiTheme="minorBidi" w:hAnsiTheme="minorBidi" w:hint="cs"/>
          <w:rtl/>
        </w:rPr>
        <w:t>ד</w:t>
      </w:r>
      <w:r w:rsidRPr="003024E5">
        <w:rPr>
          <w:rFonts w:asciiTheme="minorBidi" w:hAnsiTheme="minorBidi"/>
          <w:rtl/>
        </w:rPr>
        <w:t>אפילו אין להם קליפה דקה החיצונה מותר</w:t>
      </w:r>
      <w:r>
        <w:rPr>
          <w:rFonts w:asciiTheme="minorBidi" w:hAnsiTheme="minorBidi" w:hint="cs"/>
          <w:rtl/>
        </w:rPr>
        <w:t>, אבל הוסיף</w:t>
      </w:r>
      <w:r w:rsidRPr="003024E5">
        <w:rPr>
          <w:rFonts w:asciiTheme="minorBidi" w:hAnsiTheme="minorBidi"/>
          <w:rtl/>
        </w:rPr>
        <w:t xml:space="preserve"> </w:t>
      </w:r>
      <w:r>
        <w:rPr>
          <w:rFonts w:asciiTheme="minorBidi" w:hAnsiTheme="minorBidi" w:hint="cs"/>
          <w:rtl/>
        </w:rPr>
        <w:t>דמותר בתנאי</w:t>
      </w:r>
      <w:r w:rsidRPr="003024E5">
        <w:rPr>
          <w:rFonts w:asciiTheme="minorBidi" w:hAnsiTheme="minorBidi"/>
          <w:rtl/>
        </w:rPr>
        <w:t xml:space="preserve"> שנעקרו מן האשכול אבל אם עדיין תלויים באשכול אסור</w:t>
      </w:r>
      <w:r>
        <w:rPr>
          <w:rFonts w:hint="cs"/>
          <w:rtl/>
        </w:rPr>
        <w:t>, משום דפסק כרבי יעקב שמעורה בגידים אסורה בחלב.</w:t>
      </w:r>
    </w:p>
  </w:footnote>
  <w:footnote w:id="1038">
    <w:p w14:paraId="479449FC"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גם רי"ו</w:t>
      </w:r>
      <w:r w:rsidRPr="00C233C9">
        <w:rPr>
          <w:rFonts w:asciiTheme="minorBidi" w:hAnsiTheme="minorBidi"/>
          <w:sz w:val="16"/>
          <w:szCs w:val="16"/>
          <w:rtl/>
        </w:rPr>
        <w:t xml:space="preserve"> (נט"ו אות כב)</w:t>
      </w:r>
      <w:r w:rsidRPr="00C233C9">
        <w:rPr>
          <w:rFonts w:asciiTheme="minorBidi" w:hAnsiTheme="minorBidi"/>
          <w:rtl/>
        </w:rPr>
        <w:t xml:space="preserve"> כ' שכל שאין להן חלבון בשר נינהו וצריכין מליחה</w:t>
      </w:r>
      <w:r w:rsidRPr="00C233C9">
        <w:rPr>
          <w:rFonts w:asciiTheme="minorBidi" w:hAnsiTheme="minorBidi"/>
          <w:color w:val="FF0000"/>
          <w:sz w:val="16"/>
          <w:szCs w:val="16"/>
          <w:rtl/>
        </w:rPr>
        <w:t xml:space="preserve"> {וצל"ע ברי"ו דזה לכאורה סותר למה שהסכים לדברי רש"י והרא"ש}</w:t>
      </w:r>
      <w:r w:rsidRPr="00C233C9">
        <w:rPr>
          <w:rFonts w:asciiTheme="minorBidi" w:hAnsiTheme="minorBidi"/>
          <w:rtl/>
        </w:rPr>
        <w:t>.</w:t>
      </w:r>
    </w:p>
  </w:footnote>
  <w:footnote w:id="1039">
    <w:p w14:paraId="1EE728FB"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 הב"י- נראה דלענין בשר בחלב אין להחמיר ביותר כיון דבשר עוף בחלב דרבנן, ונראה דהוא הדין לענין מליחה שגם היא אינה אלא מדרבנן, ואיפשר שהמחמיר בזה הויא חומרא דאתיא לידי קולא שיבוא למלחם עם עוף או בשר ואם אינם צריכין מליחה נמצא שאין בהם מה לפלוט ובלעי מדם דפלטי עוף ובשר הנמלחים עמהם, ומ"מ העולם נוהגין שכל שאין להם חלבון מולחין אותם ואפילו עם בשר ובכל כיוצא בדברים אלו סומכין על המנהג. וכ' הדרכ"מ (אות ג)- ונ"ל דטוב למולחה לבד בלא שאר בשר.</w:t>
      </w:r>
    </w:p>
  </w:footnote>
  <w:footnote w:id="1040">
    <w:p w14:paraId="251BF642"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רשב"ם </w:t>
      </w:r>
      <w:r w:rsidRPr="00C233C9">
        <w:rPr>
          <w:rFonts w:asciiTheme="minorBidi" w:hAnsiTheme="minorBidi"/>
          <w:sz w:val="16"/>
          <w:szCs w:val="16"/>
          <w:rtl/>
        </w:rPr>
        <w:t>(כ"כ המרדכי בשמו [סי' תרנ])</w:t>
      </w:r>
      <w:r w:rsidRPr="00C233C9">
        <w:rPr>
          <w:rFonts w:asciiTheme="minorBidi" w:hAnsiTheme="minorBidi"/>
          <w:rtl/>
        </w:rPr>
        <w:t xml:space="preserve"> מרדכי </w:t>
      </w:r>
      <w:r w:rsidRPr="00C233C9">
        <w:rPr>
          <w:rFonts w:asciiTheme="minorBidi" w:hAnsiTheme="minorBidi"/>
          <w:sz w:val="16"/>
          <w:szCs w:val="16"/>
          <w:rtl/>
        </w:rPr>
        <w:t xml:space="preserve">(חולין סי' תרפו) </w:t>
      </w:r>
      <w:r w:rsidRPr="00C233C9">
        <w:rPr>
          <w:rFonts w:asciiTheme="minorBidi" w:hAnsiTheme="minorBidi"/>
          <w:rtl/>
        </w:rPr>
        <w:t xml:space="preserve">ושע"ד </w:t>
      </w:r>
      <w:r w:rsidRPr="00C233C9">
        <w:rPr>
          <w:rFonts w:asciiTheme="minorBidi" w:hAnsiTheme="minorBidi"/>
          <w:sz w:val="16"/>
          <w:szCs w:val="16"/>
          <w:rtl/>
        </w:rPr>
        <w:t>(סי' ע)</w:t>
      </w:r>
      <w:r w:rsidRPr="00C233C9">
        <w:rPr>
          <w:rFonts w:asciiTheme="minorBidi" w:hAnsiTheme="minorBidi"/>
          <w:rtl/>
        </w:rPr>
        <w:t>.</w:t>
      </w:r>
      <w:r>
        <w:rPr>
          <w:rFonts w:asciiTheme="minorBidi" w:hAnsiTheme="minorBidi" w:hint="cs"/>
          <w:rtl/>
        </w:rPr>
        <w:t xml:space="preserve"> ונ"ל שכן דעת הי"א שהביא הרשב"א</w:t>
      </w:r>
      <w:r w:rsidRPr="00FF7EEF">
        <w:rPr>
          <w:rFonts w:asciiTheme="minorBidi" w:hAnsiTheme="minorBidi"/>
          <w:rtl/>
        </w:rPr>
        <w:t xml:space="preserve"> </w:t>
      </w:r>
      <w:r>
        <w:rPr>
          <w:rFonts w:asciiTheme="minorBidi" w:hAnsiTheme="minorBidi" w:hint="cs"/>
          <w:rtl/>
        </w:rPr>
        <w:t>ו</w:t>
      </w: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מב ד</w:t>
      </w:r>
      <w:r>
        <w:rPr>
          <w:rFonts w:asciiTheme="minorBidi" w:hAnsiTheme="minorBidi" w:hint="cs"/>
          <w:sz w:val="16"/>
          <w:szCs w:val="16"/>
          <w:rtl/>
        </w:rPr>
        <w:t>"</w:t>
      </w:r>
      <w:r w:rsidRPr="003024E5">
        <w:rPr>
          <w:rFonts w:asciiTheme="minorBidi" w:hAnsiTheme="minorBidi"/>
          <w:sz w:val="16"/>
          <w:szCs w:val="16"/>
          <w:rtl/>
        </w:rPr>
        <w:t>ח)</w:t>
      </w:r>
      <w:r w:rsidRPr="003024E5">
        <w:rPr>
          <w:rFonts w:asciiTheme="minorBidi" w:hAnsiTheme="minorBidi"/>
          <w:rtl/>
        </w:rPr>
        <w:t xml:space="preserve"> </w:t>
      </w:r>
      <w:r>
        <w:rPr>
          <w:rFonts w:asciiTheme="minorBidi" w:hAnsiTheme="minorBidi" w:hint="cs"/>
          <w:rtl/>
        </w:rPr>
        <w:t>שכתבו ד</w:t>
      </w:r>
      <w:r w:rsidRPr="003024E5">
        <w:rPr>
          <w:rFonts w:asciiTheme="minorBidi" w:hAnsiTheme="minorBidi"/>
          <w:rtl/>
        </w:rPr>
        <w:t>אינה גמורה עד שתגמר קליפתה ותתקשה</w:t>
      </w:r>
      <w:r>
        <w:rPr>
          <w:rFonts w:asciiTheme="minorBidi" w:hAnsiTheme="minorBidi" w:hint="cs"/>
          <w:sz w:val="16"/>
          <w:szCs w:val="16"/>
          <w:rtl/>
        </w:rPr>
        <w:t xml:space="preserve"> (ל' י"א)</w:t>
      </w:r>
      <w:r>
        <w:rPr>
          <w:rFonts w:asciiTheme="minorBidi" w:hAnsiTheme="minorBidi" w:hint="cs"/>
          <w:rtl/>
        </w:rPr>
        <w:t>, ו</w:t>
      </w:r>
      <w:r w:rsidRPr="003024E5">
        <w:rPr>
          <w:rFonts w:asciiTheme="minorBidi" w:hAnsiTheme="minorBidi"/>
          <w:rtl/>
        </w:rPr>
        <w:t>כל זמן שאינה גמורה שכמוה נמכרת בשוק צריכה מליחה ואסורה לאכלה בחלב</w:t>
      </w:r>
      <w:r>
        <w:rPr>
          <w:rFonts w:asciiTheme="minorBidi" w:hAnsiTheme="minorBidi" w:hint="cs"/>
          <w:rtl/>
        </w:rPr>
        <w:t xml:space="preserve"> </w:t>
      </w:r>
      <w:r>
        <w:rPr>
          <w:rFonts w:asciiTheme="minorBidi" w:hAnsiTheme="minorBidi" w:hint="cs"/>
          <w:sz w:val="16"/>
          <w:szCs w:val="16"/>
          <w:rtl/>
        </w:rPr>
        <w:t>(ל' או"ה)</w:t>
      </w:r>
      <w:r>
        <w:rPr>
          <w:rFonts w:asciiTheme="minorBidi" w:hAnsiTheme="minorBidi" w:hint="cs"/>
          <w:rtl/>
        </w:rPr>
        <w:t>.</w:t>
      </w:r>
    </w:p>
  </w:footnote>
  <w:footnote w:id="1041">
    <w:p w14:paraId="3CC309FC"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לשון המרדכי. וכ' מהרא"י</w:t>
      </w:r>
      <w:r w:rsidRPr="00C233C9">
        <w:rPr>
          <w:rFonts w:asciiTheme="minorBidi" w:hAnsiTheme="minorBidi"/>
          <w:sz w:val="16"/>
          <w:szCs w:val="16"/>
          <w:rtl/>
        </w:rPr>
        <w:t xml:space="preserve"> (בהגשע"ד אות ד) </w:t>
      </w:r>
      <w:r w:rsidRPr="00C233C9">
        <w:rPr>
          <w:rFonts w:asciiTheme="minorBidi" w:hAnsiTheme="minorBidi"/>
          <w:rtl/>
        </w:rPr>
        <w:t>דאפילו נגמרה קליפתן החיצונה רק שהיא רכה מולחין אותו כשאר בשר</w:t>
      </w:r>
      <w:r w:rsidRPr="00C233C9">
        <w:rPr>
          <w:rFonts w:asciiTheme="minorBidi" w:hAnsiTheme="minorBidi"/>
          <w:sz w:val="16"/>
          <w:szCs w:val="16"/>
          <w:rtl/>
        </w:rPr>
        <w:t xml:space="preserve"> {וכ"כ רשב"ם בפירוש}</w:t>
      </w:r>
      <w:r w:rsidRPr="00C233C9">
        <w:rPr>
          <w:rFonts w:asciiTheme="minorBidi" w:hAnsiTheme="minorBidi"/>
          <w:rtl/>
        </w:rPr>
        <w:t>, וכמדומה שנוהגין הנשים איסור אפילו אם הקליפה קשה לגמרי ואפשר משום דאמרינן</w:t>
      </w:r>
      <w:r w:rsidRPr="00C233C9">
        <w:rPr>
          <w:rFonts w:asciiTheme="minorBidi" w:hAnsiTheme="minorBidi"/>
          <w:sz w:val="16"/>
          <w:szCs w:val="16"/>
          <w:rtl/>
        </w:rPr>
        <w:t xml:space="preserve"> (כתובות ס:) </w:t>
      </w:r>
      <w:r w:rsidRPr="00C233C9">
        <w:rPr>
          <w:rFonts w:asciiTheme="minorBidi" w:hAnsiTheme="minorBidi"/>
          <w:rtl/>
        </w:rPr>
        <w:t>אפילו ביעתא בכותחא לא לישרי אינש קמי רביה ומפרשים התוס'</w:t>
      </w:r>
      <w:r w:rsidRPr="00C233C9">
        <w:rPr>
          <w:rFonts w:asciiTheme="minorBidi" w:hAnsiTheme="minorBidi"/>
          <w:sz w:val="16"/>
          <w:szCs w:val="16"/>
          <w:rtl/>
        </w:rPr>
        <w:t xml:space="preserve"> (שם ד"ה אפילו) </w:t>
      </w:r>
      <w:r w:rsidRPr="00C233C9">
        <w:rPr>
          <w:rFonts w:asciiTheme="minorBidi" w:hAnsiTheme="minorBidi"/>
          <w:rtl/>
        </w:rPr>
        <w:t xml:space="preserve">דר"ל בכה"ג, מש"ה היו נמנעים לפעמים להורות בו לפי שנזכר בתלמוד בהדיא וע"י כך נשתרבב המנהג. עכ"ל מהרא"י. והביא רש"ל </w:t>
      </w:r>
      <w:r w:rsidRPr="00C233C9">
        <w:rPr>
          <w:rFonts w:asciiTheme="minorBidi" w:hAnsiTheme="minorBidi"/>
          <w:sz w:val="16"/>
          <w:szCs w:val="16"/>
          <w:rtl/>
        </w:rPr>
        <w:t>(פכ"ה סי' ב)</w:t>
      </w:r>
      <w:r w:rsidRPr="00C233C9">
        <w:rPr>
          <w:rFonts w:asciiTheme="minorBidi" w:hAnsiTheme="minorBidi"/>
          <w:rtl/>
        </w:rPr>
        <w:t xml:space="preserve"> את דבריו וכ' דאין להחמיר בזה אלא לכתחלה אבל בדיעבד כל זמן שנגמרה הקליפה אפי' בקרום לבן לחוד סגי ואין עליו דין בשר כלל.</w:t>
      </w:r>
    </w:p>
  </w:footnote>
  <w:footnote w:id="1042">
    <w:p w14:paraId="2162D161"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סק"י. וכ' שם דבדיעבד אם נתבשלו עם חלב נראה דמותר, אבל אם הן מעורות אפי' בדיעבד אסור אפילו יש להן קליפה דקה, אבל אותן הקטנים שלא נגמרו אלא בחלמון לבד אפילו אינן מעורות אסור אפילו דיעבד דכגוף הבשר נינהו </w:t>
      </w:r>
      <w:r w:rsidRPr="00C233C9">
        <w:rPr>
          <w:rFonts w:asciiTheme="minorBidi" w:hAnsiTheme="minorBidi"/>
          <w:sz w:val="16"/>
          <w:szCs w:val="16"/>
          <w:rtl/>
        </w:rPr>
        <w:t>(וכ"פ בת"ח כלל ע' אלא שלא חילק שם בין מעורות או לאו, ומשמע שם מדבריו דאותן שנגמרו בחלמון וחלבון אפילו מעורות מותר בדיעבד, והעיקר כמ"ש, גם צ"ע קצת למה לא הגיה כאן כלום)</w:t>
      </w:r>
      <w:r w:rsidRPr="00C233C9">
        <w:rPr>
          <w:rFonts w:asciiTheme="minorBidi" w:hAnsiTheme="minorBidi"/>
          <w:rtl/>
        </w:rPr>
        <w:t>, מיהו נראה דאפילו לא נגמר אלא החלמון והן מעורות יש להקל במקום הפסד מרובה וכה"ג דכדאי הם רש"י ותוס' והרא"ש והטור ורי"ו לסמוך עליהם בכה"ג, גם נ"ל דלדעתם מעורות היינו אותן הקטנים שנגמרו בחלמון לבד המעורין ומחוברים בבשר השדרה, ודלא כמ"ש בב"י דלסברת הטור בשם רש"י היינו כשפירש מן בשר השדרה ואית בהו שורייקי סומקי, ואחריו נמשך העט"ז, דרש"י גופיה לא פירש כן, גם בלישנא קמא ובלישנא בתרא בש"ס מוכח בהדיא דלא כהב"י אלא כדפירשתי.</w:t>
      </w:r>
    </w:p>
  </w:footnote>
  <w:footnote w:id="1043">
    <w:p w14:paraId="67073EFE" w14:textId="77777777" w:rsidR="004C5A3C" w:rsidRPr="00C233C9" w:rsidRDefault="004C5A3C" w:rsidP="002C39F4">
      <w:pPr>
        <w:pStyle w:val="a5"/>
        <w:rPr>
          <w:rFonts w:asciiTheme="minorBidi" w:hAnsiTheme="minorBidi"/>
          <w:u w:val="single"/>
          <w:rtl/>
        </w:rPr>
      </w:pPr>
      <w:r w:rsidRPr="00C233C9">
        <w:rPr>
          <w:rStyle w:val="a7"/>
          <w:rFonts w:asciiTheme="minorBidi" w:hAnsiTheme="minorBidi"/>
        </w:rPr>
        <w:footnoteRef/>
      </w:r>
      <w:r w:rsidRPr="00C233C9">
        <w:rPr>
          <w:rFonts w:asciiTheme="minorBidi" w:hAnsiTheme="minorBidi"/>
          <w:rtl/>
        </w:rPr>
        <w:t xml:space="preserve"> </w:t>
      </w:r>
      <w:r w:rsidRPr="00C233C9">
        <w:rPr>
          <w:rFonts w:asciiTheme="minorBidi" w:hAnsiTheme="minorBidi"/>
          <w:u w:val="single"/>
          <w:rtl/>
        </w:rPr>
        <w:t>וקשה, דהרי הרשב"א עצמו כ' (הביאו הטור בסי' פו) דתרנגולת שהכה בזנבה והטילה ביצים דאסורות משום אבר מן החי אם מעורות בגידין אע"פ שנגמרה בחלבון וחלמון:</w:t>
      </w:r>
    </w:p>
    <w:p w14:paraId="1C087E6D" w14:textId="77777777" w:rsidR="004C5A3C" w:rsidRPr="00C233C9" w:rsidRDefault="004C5A3C" w:rsidP="0032102C">
      <w:pPr>
        <w:pStyle w:val="a5"/>
        <w:numPr>
          <w:ilvl w:val="0"/>
          <w:numId w:val="144"/>
        </w:numPr>
        <w:rPr>
          <w:rFonts w:asciiTheme="minorBidi" w:hAnsiTheme="minorBidi"/>
        </w:rPr>
      </w:pPr>
      <w:r w:rsidRPr="00C233C9">
        <w:rPr>
          <w:rFonts w:asciiTheme="minorBidi" w:hAnsiTheme="minorBidi"/>
          <w:rtl/>
        </w:rPr>
        <w:t xml:space="preserve">רש"ל </w:t>
      </w:r>
      <w:r w:rsidRPr="00C233C9">
        <w:rPr>
          <w:rFonts w:asciiTheme="minorBidi" w:hAnsiTheme="minorBidi"/>
          <w:sz w:val="16"/>
          <w:szCs w:val="16"/>
          <w:rtl/>
        </w:rPr>
        <w:t>(פכ"ה סי' ב, הביאו הט"ז [סק"ו])</w:t>
      </w:r>
      <w:r w:rsidRPr="00C233C9">
        <w:rPr>
          <w:rFonts w:asciiTheme="minorBidi" w:hAnsiTheme="minorBidi"/>
          <w:rtl/>
        </w:rPr>
        <w:t xml:space="preserve">- א"ל שאני התם דיש איסור דאו'- דמנא ליה לחלק, </w:t>
      </w:r>
      <w:r w:rsidRPr="00C233C9">
        <w:rPr>
          <w:rFonts w:asciiTheme="minorBidi" w:hAnsiTheme="minorBidi"/>
          <w:color w:val="FF0000"/>
          <w:rtl/>
        </w:rPr>
        <w:t>אלא נראה דמ"ש לעיל שלא נגמרו היינו שלא נגמרו כל צרכן ואע"פ שיש להם חלמון וחלבון והיה ראוי לאוכלן בחלב אפי' הן מעורות בגידין והטעם לפי שאין להם טעם בשר כלל אכן כשהכה עד שהפילה כל זמן שהם מעורים חשוב כבשר מן החי ולאו בטעם תליא מילתא</w:t>
      </w:r>
      <w:r w:rsidRPr="00C233C9">
        <w:rPr>
          <w:rFonts w:asciiTheme="minorBidi" w:hAnsiTheme="minorBidi"/>
          <w:rtl/>
        </w:rPr>
        <w:t xml:space="preserve"> וכל זה דוחק להלכה, אלא כל זמן שמעורה בגידין חשוב כבשר לכל מילי כו'. </w:t>
      </w:r>
    </w:p>
    <w:p w14:paraId="0CE6E182" w14:textId="77777777" w:rsidR="004C5A3C" w:rsidRPr="00C233C9" w:rsidRDefault="004C5A3C" w:rsidP="0032102C">
      <w:pPr>
        <w:pStyle w:val="a5"/>
        <w:numPr>
          <w:ilvl w:val="0"/>
          <w:numId w:val="144"/>
        </w:numPr>
        <w:rPr>
          <w:rFonts w:asciiTheme="minorBidi" w:hAnsiTheme="minorBidi"/>
          <w:rtl/>
        </w:rPr>
      </w:pPr>
      <w:r w:rsidRPr="00C233C9">
        <w:rPr>
          <w:rFonts w:asciiTheme="minorBidi" w:hAnsiTheme="minorBidi"/>
          <w:rtl/>
        </w:rPr>
        <w:t xml:space="preserve">ש"ך </w:t>
      </w:r>
      <w:r w:rsidRPr="00C233C9">
        <w:rPr>
          <w:rFonts w:asciiTheme="minorBidi" w:hAnsiTheme="minorBidi"/>
          <w:sz w:val="16"/>
          <w:szCs w:val="16"/>
          <w:rtl/>
        </w:rPr>
        <w:t>(סק"ט)</w:t>
      </w:r>
      <w:r w:rsidRPr="00C233C9">
        <w:rPr>
          <w:rFonts w:asciiTheme="minorBidi" w:hAnsiTheme="minorBidi"/>
          <w:rtl/>
        </w:rPr>
        <w:t xml:space="preserve">- שאני הכא לענין בשר בחלב דעוף שהוא מדרבנן הקילו, א"נ שאני הכא כיון דכל חד בפני עצמו שרי </w:t>
      </w:r>
      <w:r w:rsidRPr="00C233C9">
        <w:rPr>
          <w:rFonts w:asciiTheme="minorBidi" w:hAnsiTheme="minorBidi"/>
          <w:sz w:val="16"/>
          <w:szCs w:val="16"/>
          <w:rtl/>
        </w:rPr>
        <w:t>(כ"כ האחרונים, וחלוק זה הוזכר בתוס' ופוסקים והרשב"א מכללם לחלק בין הא דביצת נבילה לעיל סי' פו ס"ג דאסור ובין הך דהכא, ונ"ל דבלאו הכי לא קשה מידי מהך דהכה תרנגולת על זנבה, דאע"ג דלא חשיב בשר מ"מ אפילו חלב ממש הוה אסור משום אבר מן החי אי לאו דגלי לן קרא ארץ זבת חלב ודבש וכדלעיל סי' פ"א סקי"א, וא"כ נהי דגלי לן קרא דחלב שרי היינו משום דאינו מחובר בשום דבר ואינו פורש מן הבשר, אבל ביצים מעורות ומחוברות ודאי באיסורייהו קיימי, וגדולה מזו היו יש אוסרים אפילו מימי חלב משום אבר מן החי וכמ"ש לעיל סימן פ"א, ונהי דלא קי"ל כוותייהו מהני טעמי שנתבארו לשם מ"מ ודאי דביצים מעורות לכ"ע אסירי משום אבר מן החי, ועוד כ' ר"ת דאפילו ביצים ממש היו אסורות משום אבר מן החי אי לאו דגלי לן קרא דשרי וכמו שכתבו השערים סי' ס"ד ושא"פ על שמו, וא"כ ודאי כשהן מעורות דלא גלי לן קרא דאסירי משום אבר מן החי וזה ברור)</w:t>
      </w:r>
      <w:r>
        <w:rPr>
          <w:rFonts w:asciiTheme="minorBidi" w:hAnsiTheme="minorBidi" w:hint="cs"/>
          <w:rtl/>
        </w:rPr>
        <w:t>.</w:t>
      </w:r>
    </w:p>
  </w:footnote>
  <w:footnote w:id="1044">
    <w:p w14:paraId="1065FDC3"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משמע אע"פ שאינה מעורה, דכל שלא נגמר אלא החלמון כגוף הבשר נינהו, כדכתב הרשב"א, ש"ך (סק"י). וכל' השו"ע</w:t>
      </w:r>
      <w:r w:rsidRPr="00C233C9">
        <w:rPr>
          <w:rFonts w:asciiTheme="minorBidi" w:hAnsiTheme="minorBidi"/>
          <w:sz w:val="16"/>
          <w:szCs w:val="16"/>
          <w:rtl/>
        </w:rPr>
        <w:t xml:space="preserve"> {"אסור לבשלם"}</w:t>
      </w:r>
      <w:r w:rsidRPr="00C233C9">
        <w:rPr>
          <w:rFonts w:asciiTheme="minorBidi" w:hAnsiTheme="minorBidi"/>
          <w:rtl/>
        </w:rPr>
        <w:t xml:space="preserve"> כתב גם כן העט"ז, והוא מגומגם, דהא לבשל פשיטא דשרי דאפילו עוף גופיה נתבאר לעיל בס"ג דמותר בבישול אף מדרבנן, אלא האי לבשלם ר"ל לאכלם..., ש"ך (סקי"א).</w:t>
      </w:r>
    </w:p>
  </w:footnote>
  <w:footnote w:id="1045">
    <w:p w14:paraId="33C4EAE5"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אפילו אם הם מעורים עדיין באשכול כן הוא בא"ח שם ומשמע שם אפילו לא נגמר אלא החלמון וגם הם מעורות באשכול מותר לאכול אחריהן גבינה או חלב ע"ש ופירוש מעורות באשכול פירש"י מחוברות בבשר השדרה, ש"ך (סקי"ב).</w:t>
      </w:r>
    </w:p>
  </w:footnote>
  <w:footnote w:id="1046">
    <w:p w14:paraId="247430DB"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ובמדינות אלו נוהגין בהן היתר והטעם נ"ל משום דאין לחוש להחזיק ריעותא בדבר דלא חזינן ובפרט במדינות אלו שאין רגילין כ"כ לבשל ולצלות באותם תנורים במקום שהקדרות עומדות שם, דרכ"מ.</w:t>
      </w:r>
    </w:p>
  </w:footnote>
  <w:footnote w:id="1047">
    <w:p w14:paraId="1882F6FC"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אבל איסורא מיהא איכא וכן בחלב מתה איסורא מיהא איכא כדלקמן סימן צ' גבי כחל וכמ"ש הרב בהג"ה בסמוך וכן כולהו משמע דאיסורא מיהו איכא אפילו בחלב זכר..., ש"ך (סקי"ג).</w:t>
      </w:r>
    </w:p>
  </w:footnote>
  <w:footnote w:id="1048">
    <w:p w14:paraId="7349E893"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כלומר חלב שיצא ממנה לאחר מיתתה, ול"ש מתה מעצמה או נשחטה, כדלקמן סי' צ' גבי כחל, ש"ך (סקי"ד).</w:t>
      </w:r>
    </w:p>
  </w:footnote>
  <w:footnote w:id="1049">
    <w:p w14:paraId="756C5718"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ל' הרמב"ם (פ"ט ה"ו-ז). וכ' הב"י דמשמע מדבריו דמשום בשר וחלב לא לוקין עליו אבל משום דבר אחר לוקין עליו</w:t>
      </w:r>
      <w:r w:rsidRPr="00C233C9">
        <w:rPr>
          <w:rFonts w:asciiTheme="minorBidi" w:hAnsiTheme="minorBidi"/>
          <w:sz w:val="16"/>
          <w:szCs w:val="16"/>
          <w:rtl/>
        </w:rPr>
        <w:t xml:space="preserve"> (המבשל דם בחלב לוקה משום דם, והמבשל בשר בחלב מתה לוקה משום נבלה. ועל דין זה דדם שבשלו בחלב דמשמע מדברי הרמב"ם שלוקין עליו משום דם כ' הב"י- יש לתמוה מדאמרינן בפרק הקומץ רבה (מנחות כא.) דם שבשלו אינו עובר עליו, ומיהו רש"י בפכ"ה (קט.) אמתניתין דהלב קורעו ומוציא את דמו כתב דדם שבשלו חייב עליו כרת וצריך לומר דסבירא ליה דההיא דהקומץ רבה אתיא דלא כהלכתא ונראה שזהו דעת הרמב"ם ז"ל)</w:t>
      </w:r>
      <w:r w:rsidRPr="00C233C9">
        <w:rPr>
          <w:rFonts w:asciiTheme="minorBidi" w:hAnsiTheme="minorBidi"/>
          <w:rtl/>
        </w:rPr>
        <w:t>. וכ' הש"ך (סקט"ו) דאינו לוקה על דם שבישלו בחלב כיון דקיי"ל דדם שבישלו או שמלחו אינו אלא מדרבנן, וכמש"ל סימן ס"ט סקמ"ב ובכמה דוכתי.</w:t>
      </w:r>
    </w:p>
  </w:footnote>
  <w:footnote w:id="1050">
    <w:p w14:paraId="5856321F" w14:textId="77777777" w:rsidR="004C5A3C" w:rsidRPr="00C233C9" w:rsidRDefault="004C5A3C" w:rsidP="002C39F4">
      <w:pPr>
        <w:pStyle w:val="a5"/>
        <w:rPr>
          <w:rFonts w:asciiTheme="minorBidi" w:hAnsiTheme="minorBidi"/>
          <w:sz w:val="16"/>
          <w:szCs w:val="16"/>
          <w:rtl/>
        </w:rPr>
      </w:pPr>
      <w:r w:rsidRPr="00C233C9">
        <w:rPr>
          <w:rStyle w:val="a7"/>
          <w:rFonts w:asciiTheme="minorBidi" w:hAnsiTheme="minorBidi"/>
        </w:rPr>
        <w:footnoteRef/>
      </w:r>
      <w:r w:rsidRPr="00C233C9">
        <w:rPr>
          <w:rFonts w:asciiTheme="minorBidi" w:hAnsiTheme="minorBidi"/>
          <w:rtl/>
        </w:rPr>
        <w:t xml:space="preserve"> ולא מיקרי חלב אפילו מדרבנן לאסור תערובתו, </w:t>
      </w:r>
      <w:r>
        <w:rPr>
          <w:rFonts w:asciiTheme="minorBidi" w:hAnsiTheme="minorBidi"/>
          <w:rtl/>
        </w:rPr>
        <w:t>או"ה</w:t>
      </w:r>
      <w:r w:rsidRPr="00C233C9">
        <w:rPr>
          <w:rFonts w:asciiTheme="minorBidi" w:hAnsiTheme="minorBidi"/>
          <w:sz w:val="16"/>
          <w:szCs w:val="16"/>
          <w:rtl/>
        </w:rPr>
        <w:t xml:space="preserve"> (כלל ל"א דין יב-יג, הביאו הדרכ"מ אות ה)</w:t>
      </w:r>
      <w:r w:rsidRPr="00C233C9">
        <w:rPr>
          <w:rFonts w:asciiTheme="minorBidi" w:hAnsiTheme="minorBidi"/>
          <w:rtl/>
        </w:rPr>
        <w:t xml:space="preserve">. ולא פליג הר"ב אמחבר, אלא המחבר מיירי בזכר של בהמה ולכן פטור אבל אסור </w:t>
      </w:r>
      <w:r w:rsidRPr="00C233C9">
        <w:rPr>
          <w:rFonts w:asciiTheme="minorBidi" w:hAnsiTheme="minorBidi"/>
          <w:sz w:val="16"/>
          <w:szCs w:val="16"/>
          <w:rtl/>
        </w:rPr>
        <w:t>(כן נראה מדברי הה"מ פ"ט מהמ"א , וכ' שכן נראה מדברי הרמב"ם, והעתיק המחבר לשונו, וכ"מ קצת בש"ס פכ"ה (דף קיג:) דאמר שמואל התם בחלב אמו ולא בחלב זכר בחלב אמו ולא בחלב שחוטה וא"כ כיון דמחד קרא מפיק להו וחלב שחוטה קי"ל דמדרבנן מיהא אסור וכדלקמן סי' צ' ה"נ בחלב זכר, ונראה דהה"מ מיירי בחלב זכר של בהמה וכדפרש"י בש"ס שם וז"ל- ולא בחלב זכר שהיה לו חלב מועט מן הדדים כגון אם נשתנה והיו לו דדים, וכן פי' מהרש"ל שם סי' ק', וכן מוכח מהש"ס שם להדיא דקאמר בתר הכי בעי מיניה המבשל בחלב גדי שלא הניקה מהו אמר ליה מדאיצטריך לשמואל למימר בחלב אמו ולא בחלב זכר זכר הוא דלא אתי לכלל אם אבל האי כיון דאתי לכלל אם אסור ש"מ דבחלב זכר של בהמה איירי אבל בחלב זכר דאדם פשיטא דלא גרע מחלב אשה)</w:t>
      </w:r>
      <w:r w:rsidRPr="00C233C9">
        <w:rPr>
          <w:rFonts w:asciiTheme="minorBidi" w:hAnsiTheme="minorBidi"/>
          <w:rtl/>
        </w:rPr>
        <w:t xml:space="preserve">, והרמ"א מיירי בחלב של זכר אדם ולכן לא מיקרי חלב כלל </w:t>
      </w:r>
      <w:r w:rsidRPr="00C233C9">
        <w:rPr>
          <w:rFonts w:asciiTheme="minorBidi" w:hAnsiTheme="minorBidi"/>
          <w:sz w:val="16"/>
          <w:szCs w:val="16"/>
          <w:rtl/>
        </w:rPr>
        <w:t xml:space="preserve">(והוי כחלב אשה שאסור משום מראית העין, באה"ט [סקי"ד]) </w:t>
      </w:r>
      <w:r w:rsidRPr="00C233C9">
        <w:rPr>
          <w:rFonts w:asciiTheme="minorBidi" w:hAnsiTheme="minorBidi"/>
          <w:rtl/>
        </w:rPr>
        <w:t xml:space="preserve">ולית ביה אפילו איסור דרבנן ולכן אינו אוסר המאכל </w:t>
      </w:r>
      <w:r w:rsidRPr="00C233C9">
        <w:rPr>
          <w:rFonts w:asciiTheme="minorBidi" w:hAnsiTheme="minorBidi"/>
          <w:sz w:val="16"/>
          <w:szCs w:val="16"/>
          <w:rtl/>
        </w:rPr>
        <w:t>(וכ"כ באו"ה שם דחלב זכר לא גרע מחלב אשה)</w:t>
      </w:r>
      <w:r w:rsidRPr="00C233C9">
        <w:rPr>
          <w:rFonts w:asciiTheme="minorBidi" w:hAnsiTheme="minorBidi"/>
          <w:rtl/>
        </w:rPr>
        <w:t xml:space="preserve">, ע"פ ש"ך </w:t>
      </w:r>
      <w:r w:rsidRPr="00C233C9">
        <w:rPr>
          <w:rFonts w:asciiTheme="minorBidi" w:hAnsiTheme="minorBidi"/>
          <w:sz w:val="16"/>
          <w:szCs w:val="16"/>
          <w:rtl/>
        </w:rPr>
        <w:t>(סקט"ז)</w:t>
      </w:r>
      <w:r w:rsidRPr="00C233C9">
        <w:rPr>
          <w:rFonts w:asciiTheme="minorBidi" w:hAnsiTheme="minorBidi"/>
          <w:rtl/>
        </w:rPr>
        <w:t>.</w:t>
      </w:r>
    </w:p>
  </w:footnote>
  <w:footnote w:id="1051">
    <w:p w14:paraId="7DCDB995"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וכתוב באו"ה שם דאפי' אותו מי חלב שנשאר אחר שעושין הגבינות וכמ"ש המחבר בסעיף שאח"ז אוסר המאכל, ש"ך (סקי"ז).</w:t>
      </w:r>
    </w:p>
  </w:footnote>
  <w:footnote w:id="1052">
    <w:p w14:paraId="58557FAA"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וב</w:t>
      </w:r>
      <w:r>
        <w:rPr>
          <w:rFonts w:asciiTheme="minorBidi" w:hAnsiTheme="minorBidi"/>
          <w:rtl/>
        </w:rPr>
        <w:t>או"ה</w:t>
      </w:r>
      <w:r w:rsidRPr="00C233C9">
        <w:rPr>
          <w:rFonts w:asciiTheme="minorBidi" w:hAnsiTheme="minorBidi"/>
          <w:rtl/>
        </w:rPr>
        <w:t xml:space="preserve"> (כלל ל"א דין יב-יג) הוסיף דגם חלב טמאה דינו כשאר חלב לאסור תערובתן עכ"ל. וכ' עליו הדרכ"מ (אות ה)- ומה שכתב דחלב טמאה אוסר תערובתו לא ידעתי למאי נפקא מינה תיפוק ליה דאוסרת משום טומאה וצ"ע.</w:t>
      </w:r>
    </w:p>
  </w:footnote>
  <w:footnote w:id="1053">
    <w:p w14:paraId="630F8462"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ובמרדכי שם כתב שאסור לבשל בשר איסור בבית ישראל בקדירה של גוי שמא יחתה הישראל כו' לכן צריך לשפחות גויות שתי קדרות א' של בשר וא' של חלב, וכ"פ בת"ח סוף כלל ע"ו, מיהו בשר לאו דוקא אלא ה"ה שאר דברים דזיל בתר טעמא, מיהו אין בזה אלא חומרא בעלמא ואין העולם נזהרין בזה, ש"ך (סקי"ח).</w:t>
      </w:r>
    </w:p>
  </w:footnote>
  <w:footnote w:id="1054">
    <w:p w14:paraId="65568575"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היינו כשהדיחם במים רותחים ועירבם כך רותחין הא לא"ה אינו אסור בהנאה כיון דאינו אסור מן התורה אלא דרך בישול וכדלעיל בס"א וס"ג, ש"ך (סקי"ט).</w:t>
      </w:r>
    </w:p>
  </w:footnote>
  <w:footnote w:id="1055">
    <w:p w14:paraId="434ABBE3"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והא דלא מיתסר מה"ט לחפיפת הראש שהרי נהנה- משום דלרחוץ ראשו כיון שאינו דבר של אכילה לא חשיב הנאה כיון שאינו נהנה מגוף האיסור, וכמו שיתבאר לקמן סי' צ"ד ע"ש, וע"ל סי' ק"ח ס"ה בהג"ה וס"ס קנ"ה בהג"ה, ש"ך (סק"כ).</w:t>
      </w:r>
    </w:p>
  </w:footnote>
  <w:footnote w:id="1056">
    <w:p w14:paraId="2516B9E6" w14:textId="77777777" w:rsidR="004C5A3C" w:rsidRPr="00C233C9" w:rsidRDefault="004C5A3C" w:rsidP="002C39F4">
      <w:pPr>
        <w:pStyle w:val="a5"/>
        <w:rPr>
          <w:rFonts w:asciiTheme="minorBidi" w:hAnsiTheme="minorBidi"/>
          <w:color w:val="FF0000"/>
        </w:rPr>
      </w:pPr>
      <w:r w:rsidRPr="00C233C9">
        <w:rPr>
          <w:rStyle w:val="a7"/>
          <w:rFonts w:asciiTheme="minorBidi" w:hAnsiTheme="minorBidi"/>
        </w:rPr>
        <w:footnoteRef/>
      </w:r>
      <w:r w:rsidRPr="00C233C9">
        <w:rPr>
          <w:rFonts w:asciiTheme="minorBidi" w:hAnsiTheme="minorBidi"/>
          <w:rtl/>
        </w:rPr>
        <w:t xml:space="preserve"> עיין בת"ח כלל עו ומשמע שם דבקדירות של מתכות אין להחמיר אפילו לכתחלה משום דאף אם היה ניתז היה חוזר ומתלבן ע"י האש ע"ש, ש"ך (סקכ"א). </w:t>
      </w:r>
      <w:r w:rsidRPr="00C233C9">
        <w:rPr>
          <w:rFonts w:asciiTheme="minorBidi" w:hAnsiTheme="minorBidi"/>
          <w:color w:val="FF0000"/>
          <w:rtl/>
        </w:rPr>
        <w:t>עיין רעק"א</w:t>
      </w:r>
    </w:p>
  </w:footnote>
  <w:footnote w:id="1057">
    <w:p w14:paraId="73E67C80"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והרמב"ם סובר דהוא הדין לעור, הה"מ.</w:t>
      </w:r>
      <w:r>
        <w:rPr>
          <w:rFonts w:asciiTheme="minorBidi" w:hAnsiTheme="minorBidi" w:hint="cs"/>
          <w:rtl/>
        </w:rPr>
        <w:t xml:space="preserve"> </w:t>
      </w:r>
      <w:r w:rsidRPr="00A22C20">
        <w:rPr>
          <w:rFonts w:asciiTheme="minorBidi" w:hAnsiTheme="minorBidi" w:hint="cs"/>
          <w:color w:val="E36C0A" w:themeColor="accent6" w:themeShade="BF"/>
          <w:rtl/>
        </w:rPr>
        <w:t>(וכ"פ בשו"ע)</w:t>
      </w:r>
    </w:p>
  </w:footnote>
  <w:footnote w:id="1058">
    <w:p w14:paraId="6C43336F"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הכא נמי איסורא מיהא איכא, ש"ך (סקכ"ב).</w:t>
      </w:r>
    </w:p>
  </w:footnote>
  <w:footnote w:id="1059">
    <w:p w14:paraId="691909C1" w14:textId="77777777" w:rsidR="004C5A3C" w:rsidRDefault="004C5A3C" w:rsidP="002C39F4">
      <w:pPr>
        <w:pStyle w:val="a5"/>
        <w:rPr>
          <w:rtl/>
        </w:rPr>
      </w:pPr>
      <w:r>
        <w:rPr>
          <w:rStyle w:val="a7"/>
        </w:rPr>
        <w:footnoteRef/>
      </w:r>
      <w:r>
        <w:rPr>
          <w:rtl/>
        </w:rPr>
        <w:t xml:space="preserve"> </w:t>
      </w:r>
      <w:r>
        <w:rPr>
          <w:rFonts w:hint="cs"/>
          <w:rtl/>
        </w:rPr>
        <w:t>ועי' ב</w:t>
      </w:r>
      <w:r w:rsidRPr="001541A9">
        <w:rPr>
          <w:rtl/>
        </w:rPr>
        <w:t>פמ"ג שתמה עליהם דהרי כאן משמע דעצמות הקשים בלי מוח אוסרים ג"כ מדרבנן ע"ש. עוד כתב הפמ"ג דיש להסתפק לענין עור בחלב. דאינו אלא דרבנן. אפשר באותן שעורותיהן כבשרן כגון עור השליל ועור שתחת האליה ועור בית הבושת כמ"ש הרמב"ם פ"ד מהלמ"א שמא דינם כבשר גם לענין בב"ח ואסור באכילה ובהנאה ע"ש</w:t>
      </w:r>
      <w:r>
        <w:rPr>
          <w:rFonts w:hint="cs"/>
          <w:rtl/>
        </w:rPr>
        <w:t>, פת"ש.</w:t>
      </w:r>
    </w:p>
  </w:footnote>
  <w:footnote w:id="1060">
    <w:p w14:paraId="009828A1"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הרא"ש הביא את דברי התוס' הנ"ל וכ'- ואני....</w:t>
      </w:r>
    </w:p>
  </w:footnote>
  <w:footnote w:id="1061">
    <w:p w14:paraId="685B5119"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 הב"י דאפשר דאיסורא דרבנן מיהא איכא לבשל בו בשר מדקתני פטור ולא קתני מותר.</w:t>
      </w:r>
    </w:p>
  </w:footnote>
  <w:footnote w:id="1062">
    <w:p w14:paraId="12431729" w14:textId="77777777" w:rsidR="004C5A3C" w:rsidRDefault="004C5A3C" w:rsidP="002C39F4">
      <w:pPr>
        <w:pStyle w:val="a5"/>
      </w:pPr>
      <w:r>
        <w:rPr>
          <w:rStyle w:val="a7"/>
        </w:rPr>
        <w:footnoteRef/>
      </w:r>
      <w:r>
        <w:rPr>
          <w:rtl/>
        </w:rPr>
        <w:t xml:space="preserve"> </w:t>
      </w:r>
      <w:r w:rsidRPr="00134269">
        <w:rPr>
          <w:rFonts w:cs="Arial"/>
          <w:rtl/>
        </w:rPr>
        <w:t>ומשיצא מדדי הבהמה חלב הוא</w:t>
      </w:r>
      <w:r>
        <w:rPr>
          <w:rFonts w:cs="Arial" w:hint="cs"/>
          <w:rtl/>
        </w:rPr>
        <w:t>,</w:t>
      </w:r>
      <w:r w:rsidRPr="00134269">
        <w:rPr>
          <w:rFonts w:cs="Arial"/>
          <w:rtl/>
        </w:rPr>
        <w:t xml:space="preserve"> וכחל אינו כנוס במעיו שלא יצא מדדי הבהמה בחייה ולא נאסף אלא מובלע בבשר הוא ולא בא לכלל חלב</w:t>
      </w:r>
      <w:r>
        <w:rPr>
          <w:rFonts w:cs="Arial" w:hint="cs"/>
          <w:rtl/>
        </w:rPr>
        <w:t>,</w:t>
      </w:r>
      <w:r w:rsidRPr="00134269">
        <w:rPr>
          <w:rFonts w:cs="Arial"/>
          <w:rtl/>
        </w:rPr>
        <w:t xml:space="preserve"> ומיהו לכתחלה בעי קריעה מדרבנן</w:t>
      </w:r>
      <w:r>
        <w:rPr>
          <w:rFonts w:cs="Arial" w:hint="cs"/>
          <w:rtl/>
        </w:rPr>
        <w:t>, רש"י</w:t>
      </w:r>
      <w:r w:rsidRPr="00134269">
        <w:rPr>
          <w:rFonts w:cs="Arial"/>
          <w:rtl/>
        </w:rPr>
        <w:t>.</w:t>
      </w:r>
    </w:p>
  </w:footnote>
  <w:footnote w:id="1063">
    <w:p w14:paraId="32DC2E20" w14:textId="77777777" w:rsidR="004C5A3C" w:rsidRDefault="004C5A3C" w:rsidP="002C39F4">
      <w:pPr>
        <w:pStyle w:val="a5"/>
      </w:pPr>
      <w:r>
        <w:rPr>
          <w:rStyle w:val="a7"/>
        </w:rPr>
        <w:footnoteRef/>
      </w:r>
      <w:r>
        <w:rPr>
          <w:rtl/>
        </w:rPr>
        <w:t xml:space="preserve"> </w:t>
      </w:r>
      <w:r>
        <w:rPr>
          <w:rFonts w:hint="cs"/>
          <w:rtl/>
        </w:rPr>
        <w:t xml:space="preserve">היינו בחלב הכנוס בה. וכ' רש"י </w:t>
      </w:r>
      <w:r w:rsidRPr="00134269">
        <w:rPr>
          <w:rFonts w:hint="cs"/>
          <w:sz w:val="16"/>
          <w:szCs w:val="16"/>
          <w:rtl/>
        </w:rPr>
        <w:t>(ד"ה מעמידין בין)</w:t>
      </w:r>
      <w:r w:rsidRPr="00134269">
        <w:rPr>
          <w:sz w:val="16"/>
          <w:szCs w:val="16"/>
          <w:rtl/>
        </w:rPr>
        <w:t xml:space="preserve"> </w:t>
      </w:r>
      <w:r w:rsidRPr="00134269">
        <w:rPr>
          <w:rFonts w:cs="Arial"/>
          <w:rtl/>
        </w:rPr>
        <w:t>דלאו מגופה הוא אלא כנוס במעיה.</w:t>
      </w:r>
    </w:p>
  </w:footnote>
  <w:footnote w:id="1064">
    <w:p w14:paraId="43E25E3D"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הרי"ף </w:t>
      </w:r>
      <w:r w:rsidRPr="00C233C9">
        <w:rPr>
          <w:rFonts w:asciiTheme="minorBidi" w:hAnsiTheme="minorBidi"/>
          <w:sz w:val="16"/>
          <w:szCs w:val="16"/>
          <w:rtl/>
        </w:rPr>
        <w:t xml:space="preserve">(מג.) </w:t>
      </w:r>
      <w:r w:rsidRPr="00104992">
        <w:rPr>
          <w:rFonts w:asciiTheme="minorBidi" w:hAnsiTheme="minorBidi"/>
          <w:rtl/>
        </w:rPr>
        <w:t xml:space="preserve">גורס </w:t>
      </w:r>
      <w:r w:rsidRPr="00C233C9">
        <w:rPr>
          <w:rFonts w:asciiTheme="minorBidi" w:hAnsiTheme="minorBidi"/>
          <w:rtl/>
        </w:rPr>
        <w:t xml:space="preserve">סוגריים אלו, וכ"פ הרמב"ם </w:t>
      </w:r>
      <w:r w:rsidRPr="00C233C9">
        <w:rPr>
          <w:rFonts w:asciiTheme="minorBidi" w:hAnsiTheme="minorBidi"/>
          <w:sz w:val="16"/>
          <w:szCs w:val="16"/>
          <w:rtl/>
        </w:rPr>
        <w:t>(פ"ט הט"ו)</w:t>
      </w:r>
      <w:r w:rsidRPr="00C233C9">
        <w:rPr>
          <w:rFonts w:asciiTheme="minorBidi" w:hAnsiTheme="minorBidi"/>
          <w:rtl/>
        </w:rPr>
        <w:t xml:space="preserve">, אבל רש"י </w:t>
      </w:r>
      <w:r w:rsidRPr="00C233C9">
        <w:rPr>
          <w:rFonts w:asciiTheme="minorBidi" w:hAnsiTheme="minorBidi"/>
          <w:sz w:val="16"/>
          <w:szCs w:val="16"/>
          <w:rtl/>
        </w:rPr>
        <w:t xml:space="preserve">(קטז: ד"ה הרי זו אסורה) </w:t>
      </w:r>
      <w:r w:rsidRPr="00C233C9">
        <w:rPr>
          <w:rFonts w:asciiTheme="minorBidi" w:hAnsiTheme="minorBidi"/>
          <w:rtl/>
        </w:rPr>
        <w:t xml:space="preserve">אינו גורס 'כשרה שינקה מן הטרפה' דההיא </w:t>
      </w:r>
      <w:r>
        <w:rPr>
          <w:rFonts w:asciiTheme="minorBidi" w:hAnsiTheme="minorBidi" w:hint="cs"/>
          <w:rtl/>
        </w:rPr>
        <w:t>החלב שב</w:t>
      </w:r>
      <w:r w:rsidRPr="00C233C9">
        <w:rPr>
          <w:rFonts w:asciiTheme="minorBidi" w:hAnsiTheme="minorBidi"/>
          <w:rtl/>
        </w:rPr>
        <w:t xml:space="preserve">קיבתה אסור, וכ"נ דעת הר"ן </w:t>
      </w:r>
      <w:r w:rsidRPr="00C233C9">
        <w:rPr>
          <w:rFonts w:asciiTheme="minorBidi" w:hAnsiTheme="minorBidi"/>
          <w:sz w:val="16"/>
          <w:szCs w:val="16"/>
          <w:rtl/>
        </w:rPr>
        <w:t>(מג. ד"ה והלכתא)</w:t>
      </w:r>
      <w:r w:rsidRPr="00C233C9">
        <w:rPr>
          <w:rFonts w:asciiTheme="minorBidi" w:hAnsiTheme="minorBidi"/>
          <w:rtl/>
        </w:rPr>
        <w:t xml:space="preserve">, </w:t>
      </w:r>
      <w:r>
        <w:rPr>
          <w:rFonts w:asciiTheme="minorBidi" w:hAnsiTheme="minorBidi" w:hint="cs"/>
          <w:rtl/>
        </w:rPr>
        <w:t xml:space="preserve">אך </w:t>
      </w:r>
      <w:r w:rsidRPr="00C233C9">
        <w:rPr>
          <w:rFonts w:asciiTheme="minorBidi" w:hAnsiTheme="minorBidi"/>
          <w:rtl/>
        </w:rPr>
        <w:t xml:space="preserve">ר"ת </w:t>
      </w:r>
      <w:r w:rsidRPr="00C233C9">
        <w:rPr>
          <w:rFonts w:asciiTheme="minorBidi" w:hAnsiTheme="minorBidi"/>
          <w:sz w:val="16"/>
          <w:szCs w:val="16"/>
          <w:rtl/>
        </w:rPr>
        <w:t xml:space="preserve">(תוס' שם ד"ה הכי גרסינן) </w:t>
      </w:r>
      <w:r w:rsidRPr="00C233C9">
        <w:rPr>
          <w:rFonts w:asciiTheme="minorBidi" w:hAnsiTheme="minorBidi"/>
          <w:rtl/>
        </w:rPr>
        <w:t xml:space="preserve">מקיים הגירסא אלא שמחלק עי' לקמן, ע"פ ב"י </w:t>
      </w:r>
      <w:r w:rsidRPr="00C233C9">
        <w:rPr>
          <w:rFonts w:asciiTheme="minorBidi" w:hAnsiTheme="minorBidi"/>
          <w:sz w:val="16"/>
          <w:szCs w:val="16"/>
          <w:rtl/>
        </w:rPr>
        <w:t>(כאן ובסי' פא [קכז. ד"ה טריפה])</w:t>
      </w:r>
      <w:r w:rsidRPr="00C233C9">
        <w:rPr>
          <w:rFonts w:asciiTheme="minorBidi" w:hAnsiTheme="minorBidi"/>
          <w:rtl/>
        </w:rPr>
        <w:t>.</w:t>
      </w:r>
    </w:p>
  </w:footnote>
  <w:footnote w:id="1065">
    <w:p w14:paraId="5E46111E"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אע"פ שבחידושיו (שם ד"ה מתניתין) כתב שנראין דברי ר"ת בתוה"ב (הקצר ב"ג ש"ד פד:) כתב- המבשל בחלב שבקיבה אפילו היה צלול מותר דאינו אלא כפירשא בעלמא ויש מי שאוסר בצלול אבל בשנקרש בחיי הבהמה מותר דכיון שנקרש בחיי הבהמה חשוב כפרש והגאונים מסכימים להתיר עכ"ל, נראה מדבריו אלה שהוא סובר כדברי הגאונים, ב"י.</w:t>
      </w:r>
    </w:p>
  </w:footnote>
  <w:footnote w:id="1066">
    <w:p w14:paraId="410B8643"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 הב"י דהדין כך לפי גירסת הרי"ף והרמב"ם בגמ' </w:t>
      </w:r>
      <w:r w:rsidRPr="00C233C9">
        <w:rPr>
          <w:rFonts w:asciiTheme="minorBidi" w:hAnsiTheme="minorBidi"/>
          <w:sz w:val="16"/>
          <w:szCs w:val="16"/>
          <w:rtl/>
        </w:rPr>
        <w:t>(דאיפסיקא הלכתא דמעמידין בקיבת נבלה דפירשא בעלמא הוא)</w:t>
      </w:r>
      <w:r w:rsidRPr="00C233C9">
        <w:rPr>
          <w:rFonts w:asciiTheme="minorBidi" w:hAnsiTheme="minorBidi"/>
          <w:rtl/>
        </w:rPr>
        <w:t>, ולפיכך כתב הרי"ף (לח:) בשמעתא דכחל דהא דתניא (קט:) קיבה שבשלה בחלבה אסורה- קודם חזרה נשנית, ונראה שהוא מפרש דכי אמרינן פירשא בעלמא הוא היינו לומר דנפק ליה מתורת אוכל וחשיב כפרש וטנופת.</w:t>
      </w:r>
    </w:p>
  </w:footnote>
  <w:footnote w:id="1067">
    <w:p w14:paraId="722A946D"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וז"ל בב"י- ולענין הלכה כיון שהרי"ף והרמב"ם מסכימים לדעת אחת הכי נקטינן דבין קרוש בין צלול פירשא בעלמא הוא וכן נהגו.</w:t>
      </w:r>
    </w:p>
  </w:footnote>
  <w:footnote w:id="1068">
    <w:p w14:paraId="668CFC80"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והיינו ההיא דקיבה שבשלה בחלבה אסור, ב"י.</w:t>
      </w:r>
    </w:p>
  </w:footnote>
  <w:footnote w:id="1069">
    <w:p w14:paraId="49BFB1B6"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והוא דאסיקנא ד-'כשרה שינקה מן הטרפה קיבתה מותרת משום דחלב המכונס בה פירשא בעלמא הוא' היינו דוקא בחלב הקרוש שבה שכיון שנקרש יצא מתורת חלב והוי פירשא בעלמא, וכתבו התוס' שם ואותו הקרוש לפי דבריו אפילו נמלח בתוך הקיבה מותר, ע"פ ב"י.</w:t>
      </w:r>
    </w:p>
  </w:footnote>
  <w:footnote w:id="1070">
    <w:p w14:paraId="5A116C95"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הרא"ש </w:t>
      </w:r>
      <w:r w:rsidRPr="00C233C9">
        <w:rPr>
          <w:rFonts w:asciiTheme="minorBidi" w:hAnsiTheme="minorBidi"/>
          <w:sz w:val="16"/>
          <w:szCs w:val="16"/>
          <w:rtl/>
        </w:rPr>
        <w:t xml:space="preserve">(פ"ח סי' נב) </w:t>
      </w:r>
      <w:r w:rsidRPr="00C233C9">
        <w:rPr>
          <w:rFonts w:asciiTheme="minorBidi" w:hAnsiTheme="minorBidi"/>
          <w:rtl/>
        </w:rPr>
        <w:t xml:space="preserve">דחה סברת הרי"ף וכ' סברת רש"י ואח"כ סברת ר"ת וכתבתי לשונו בסימן פ"א (שם), ומשמע לטור שמאחר שהביא דברי ר"ת באחרונה דהכי סבירא ליה, ולי נראה שהוא נוטה לדעת רש"י שהרי כתב שאין הלשון מוכח כגירסת רב אשי אלא שהוגה אח"כ בספרים, ועוד שכ'- ור"ת היה אומר דלגירסא זו יש לחלק וכו' משמע דאיהו לא סבר לה לאותה גירסא, ב"י. </w:t>
      </w:r>
      <w:r w:rsidRPr="00C233C9">
        <w:rPr>
          <w:rFonts w:asciiTheme="minorBidi" w:hAnsiTheme="minorBidi"/>
          <w:color w:val="FF0000"/>
          <w:sz w:val="16"/>
          <w:szCs w:val="16"/>
          <w:rtl/>
        </w:rPr>
        <w:t>(וכ' הדרכ"מ [אות ה*] דלעיל כתב [סי' פא (עי' עמ' שנב ד"ה טריפה)] דהרא"ש ס"ל כר"ת, וצ"ע)</w:t>
      </w:r>
    </w:p>
  </w:footnote>
  <w:footnote w:id="1071">
    <w:p w14:paraId="697F6552"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רש"י </w:t>
      </w:r>
      <w:r w:rsidRPr="00C233C9">
        <w:rPr>
          <w:rFonts w:asciiTheme="minorBidi" w:hAnsiTheme="minorBidi"/>
          <w:sz w:val="16"/>
          <w:szCs w:val="16"/>
          <w:rtl/>
        </w:rPr>
        <w:t xml:space="preserve">(קטז: ד"ה הרי זו אסורה) </w:t>
      </w:r>
      <w:r w:rsidRPr="00C233C9">
        <w:rPr>
          <w:rFonts w:asciiTheme="minorBidi" w:hAnsiTheme="minorBidi"/>
          <w:rtl/>
        </w:rPr>
        <w:t xml:space="preserve">(רא"ש </w:t>
      </w:r>
      <w:r w:rsidRPr="00C233C9">
        <w:rPr>
          <w:rFonts w:asciiTheme="minorBidi" w:hAnsiTheme="minorBidi"/>
          <w:sz w:val="16"/>
          <w:szCs w:val="16"/>
          <w:rtl/>
        </w:rPr>
        <w:t>להב' הב"י</w:t>
      </w:r>
      <w:r w:rsidRPr="00C233C9">
        <w:rPr>
          <w:rFonts w:asciiTheme="minorBidi" w:hAnsiTheme="minorBidi"/>
          <w:rtl/>
        </w:rPr>
        <w:t xml:space="preserve">) ר"ן </w:t>
      </w:r>
      <w:r w:rsidRPr="00C233C9">
        <w:rPr>
          <w:rFonts w:asciiTheme="minorBidi" w:hAnsiTheme="minorBidi"/>
          <w:sz w:val="16"/>
          <w:szCs w:val="16"/>
          <w:rtl/>
        </w:rPr>
        <w:t xml:space="preserve">(מג. ד"ה והלכתא) </w:t>
      </w:r>
      <w:r w:rsidRPr="00C233C9">
        <w:rPr>
          <w:rFonts w:asciiTheme="minorBidi" w:hAnsiTheme="minorBidi"/>
          <w:rtl/>
        </w:rPr>
        <w:t>ו</w:t>
      </w:r>
      <w:r>
        <w:rPr>
          <w:rFonts w:asciiTheme="minorBidi" w:hAnsiTheme="minorBidi"/>
          <w:rtl/>
        </w:rPr>
        <w:t>או"ה</w:t>
      </w:r>
      <w:r w:rsidRPr="00C233C9">
        <w:rPr>
          <w:rFonts w:asciiTheme="minorBidi" w:hAnsiTheme="minorBidi"/>
          <w:rtl/>
        </w:rPr>
        <w:t xml:space="preserve"> </w:t>
      </w:r>
      <w:r w:rsidRPr="00C233C9">
        <w:rPr>
          <w:rFonts w:asciiTheme="minorBidi" w:hAnsiTheme="minorBidi"/>
          <w:sz w:val="16"/>
          <w:szCs w:val="16"/>
          <w:rtl/>
        </w:rPr>
        <w:t>(כלל מו דין א)</w:t>
      </w:r>
      <w:r w:rsidRPr="00C233C9">
        <w:rPr>
          <w:rFonts w:asciiTheme="minorBidi" w:hAnsiTheme="minorBidi"/>
          <w:rtl/>
        </w:rPr>
        <w:t>.</w:t>
      </w:r>
    </w:p>
  </w:footnote>
  <w:footnote w:id="1072">
    <w:p w14:paraId="575EE8C8"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דרש"י אינו גורס 'כשרה שינקה מן הטרפה'- דההיא </w:t>
      </w:r>
      <w:r>
        <w:rPr>
          <w:rFonts w:asciiTheme="minorBidi" w:hAnsiTheme="minorBidi" w:hint="cs"/>
          <w:rtl/>
        </w:rPr>
        <w:t>החלב שב</w:t>
      </w:r>
      <w:r w:rsidRPr="00C233C9">
        <w:rPr>
          <w:rFonts w:asciiTheme="minorBidi" w:hAnsiTheme="minorBidi"/>
          <w:rtl/>
        </w:rPr>
        <w:t>קיבתה אסור.</w:t>
      </w:r>
    </w:p>
  </w:footnote>
  <w:footnote w:id="1073">
    <w:p w14:paraId="6F15335E"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הביאו ה</w:t>
      </w:r>
      <w:r>
        <w:rPr>
          <w:rFonts w:asciiTheme="minorBidi" w:hAnsiTheme="minorBidi"/>
          <w:rtl/>
        </w:rPr>
        <w:t>או"ה</w:t>
      </w:r>
      <w:r w:rsidRPr="00C233C9">
        <w:rPr>
          <w:rFonts w:asciiTheme="minorBidi" w:hAnsiTheme="minorBidi"/>
          <w:sz w:val="16"/>
          <w:szCs w:val="16"/>
          <w:rtl/>
        </w:rPr>
        <w:t xml:space="preserve"> (כלל י"ח דין טז, הביאו הדרכ"מ אות ט)</w:t>
      </w:r>
      <w:r w:rsidRPr="00C233C9">
        <w:rPr>
          <w:rFonts w:asciiTheme="minorBidi" w:hAnsiTheme="minorBidi"/>
          <w:rtl/>
        </w:rPr>
        <w:t xml:space="preserve"> </w:t>
      </w:r>
      <w:r>
        <w:rPr>
          <w:rFonts w:asciiTheme="minorBidi" w:hAnsiTheme="minorBidi" w:hint="cs"/>
          <w:rtl/>
        </w:rPr>
        <w:t xml:space="preserve">בקצת שינוי לשון, וז"ל- </w:t>
      </w:r>
      <w:r w:rsidRPr="006E2532">
        <w:rPr>
          <w:rFonts w:asciiTheme="minorBidi" w:hAnsiTheme="minorBidi" w:cs="Arial"/>
          <w:rtl/>
        </w:rPr>
        <w:t>רבינו שמחה אוסר לכתחילה באכילה בין הקיבה בין העור או שאר בני מעיים שנמצא בהן חלב אפי' מיד לאחר שנצטננו כל צרכו משום בשר בחלב אפי' אם לא נמלחו עם החלב לפי שחלבו חמוץ וחריף שהרי מעמיד גבינות. אך אם נתנו בדיעבד עם בשר בקדירה וליכא ס' התבשיל והקדירה מותרים אפי' לכתחילה אם לא נשהתה בהן החלב מע"ל</w:t>
      </w:r>
      <w:r>
        <w:rPr>
          <w:rFonts w:asciiTheme="minorBidi" w:hAnsiTheme="minorBidi" w:cs="Arial" w:hint="cs"/>
          <w:rtl/>
        </w:rPr>
        <w:t>. עכ"ל.</w:t>
      </w:r>
      <w:r w:rsidRPr="006E2532">
        <w:rPr>
          <w:rFonts w:asciiTheme="minorBidi" w:hAnsiTheme="minorBidi" w:cs="Arial"/>
          <w:rtl/>
        </w:rPr>
        <w:t xml:space="preserve"> </w:t>
      </w:r>
      <w:r w:rsidRPr="006E2532">
        <w:rPr>
          <w:rFonts w:asciiTheme="minorBidi" w:hAnsiTheme="minorBidi" w:hint="cs"/>
          <w:color w:val="00B0F0"/>
          <w:rtl/>
        </w:rPr>
        <w:t>(וכ"פ הרמ"א)</w:t>
      </w:r>
      <w:r>
        <w:rPr>
          <w:rFonts w:asciiTheme="minorBidi" w:hAnsiTheme="minorBidi" w:hint="cs"/>
          <w:rtl/>
        </w:rPr>
        <w:t xml:space="preserve"> ומה שכת בהאו"ה (וכן הרמ"א לקמן) "שנצתננו", נ"ל דכוונתו שעיקר סברת ר' שמחה לאסור לכתחילה היא משום מעמיד, ואינו מתחיל להעמיד עד שיצטנן מהחום שהיה לבהמה בחיותה.</w:t>
      </w:r>
    </w:p>
  </w:footnote>
  <w:footnote w:id="1074">
    <w:p w14:paraId="1B60A0E0" w14:textId="77777777" w:rsidR="004C5A3C" w:rsidRDefault="004C5A3C" w:rsidP="002C39F4">
      <w:pPr>
        <w:pStyle w:val="a5"/>
        <w:rPr>
          <w:rtl/>
        </w:rPr>
      </w:pPr>
      <w:r>
        <w:rPr>
          <w:rStyle w:val="a7"/>
        </w:rPr>
        <w:footnoteRef/>
      </w:r>
      <w:r>
        <w:rPr>
          <w:rtl/>
        </w:rPr>
        <w:t xml:space="preserve"> </w:t>
      </w:r>
      <w:r>
        <w:rPr>
          <w:rFonts w:hint="cs"/>
          <w:rtl/>
        </w:rPr>
        <w:t xml:space="preserve">הב"י שינה מלשון האו"ז והג"א, וז"ל הב"י </w:t>
      </w:r>
      <w:r w:rsidRPr="00DE5425">
        <w:rPr>
          <w:rFonts w:hint="cs"/>
          <w:sz w:val="14"/>
          <w:szCs w:val="14"/>
          <w:rtl/>
        </w:rPr>
        <w:t>(בשמם)</w:t>
      </w:r>
      <w:r>
        <w:rPr>
          <w:rFonts w:hint="cs"/>
          <w:rtl/>
        </w:rPr>
        <w:t xml:space="preserve">- </w:t>
      </w:r>
      <w:r w:rsidRPr="00DE5425">
        <w:rPr>
          <w:rtl/>
        </w:rPr>
        <w:t>בין הקיבה בין העור או שאר בני מעיים שנמצא בהן חלב אסור לכתח</w:t>
      </w:r>
      <w:r>
        <w:rPr>
          <w:rFonts w:hint="cs"/>
          <w:rtl/>
        </w:rPr>
        <w:t>'</w:t>
      </w:r>
      <w:r w:rsidRPr="00DE5425">
        <w:rPr>
          <w:rtl/>
        </w:rPr>
        <w:t xml:space="preserve"> באכילה אפי' מיד לאחר שנצטננו כל צרכו משום בשר בחלב אפי' אם לא נמלחו עם החלב לפי שחלבו חמוץ וחריף שהרי מעמיד גבינות</w:t>
      </w:r>
      <w:r>
        <w:rPr>
          <w:rFonts w:hint="cs"/>
          <w:rtl/>
        </w:rPr>
        <w:t>.</w:t>
      </w:r>
    </w:p>
  </w:footnote>
  <w:footnote w:id="1075">
    <w:p w14:paraId="65087170"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כך הבין הב"י מדברי הטור, וכ' הב"י דכן משמע מתשובת רבינו שמשון ב"ר אברהם שהביא המרדכי (חולין סי' תשלג) דהטעם היוצא מן הבשר נעשה פרש כשנבלע בקיבה, והטעם, משום דאין כח בטעם שקבל פרש זה מן העור לכשיתחבר אח"כ עם חלב גמור שממנו נעשה גבינה שיוליך עמו טעם בשר ויעשה אח"כ בשר בחלב, שהרי דגים שקבלו טעם בשר מותר לחברם אח"כ עם חלב וכל שכן זה שהוא פרש ודבר בטל שאין בו כח לקבל טעם בשר ולהוליך זה הטעם עמו לחבר אותו עם חלב הגבינה הנקפא בו לעשות אז בשר בחלב דהוי גרוע מנ"ט בר נ"ט מצד שהוא פרש גמור, עכ"ל הב"י. וכ' הדרכ"מ (אות ח) דנראה שמה שדימה זה לדגים שעלו בקערה דלא דמי כלל, דהתם לא קיבל טעם מן הבשר עצמו אלא מן הקערה שקבלה טעם מן הבשר והוי נ"ט בר נ"ט, לאפוקי כאן שקיבל החלב טעם מן הקיבה הוי טעם ראשון, אלא נ"ל טעם המתירים משום דלא מיחשב טעם הואיל והחלב הוי פירשא גם הטעם שקיבל מן הבשר הוי פירשא כן נ"ל.</w:t>
      </w:r>
    </w:p>
  </w:footnote>
  <w:footnote w:id="1076">
    <w:p w14:paraId="0FF4BB25"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 הב"י דכן נראה ממ"ש המרדכי (סי' תשלד) בשם אבי העזרי (סי' אלף קכג) וסה"ת (סי' עב). ולגבי כבישה כ' רי"ו </w:t>
      </w:r>
      <w:r w:rsidRPr="00C233C9">
        <w:rPr>
          <w:rFonts w:asciiTheme="minorBidi" w:hAnsiTheme="minorBidi"/>
          <w:sz w:val="16"/>
          <w:szCs w:val="16"/>
          <w:rtl/>
        </w:rPr>
        <w:t>(נט"ו אות לא קמא:)</w:t>
      </w:r>
      <w:r w:rsidRPr="00C233C9">
        <w:rPr>
          <w:rFonts w:asciiTheme="minorBidi" w:hAnsiTheme="minorBidi"/>
          <w:rtl/>
        </w:rPr>
        <w:t xml:space="preserve"> דיש מי שאומר </w:t>
      </w:r>
      <w:r w:rsidRPr="00C233C9">
        <w:rPr>
          <w:rFonts w:asciiTheme="minorBidi" w:hAnsiTheme="minorBidi"/>
          <w:sz w:val="16"/>
          <w:szCs w:val="16"/>
          <w:rtl/>
        </w:rPr>
        <w:t xml:space="preserve">{יש לשים לב </w:t>
      </w:r>
      <w:r w:rsidRPr="00C233C9">
        <w:rPr>
          <w:rFonts w:asciiTheme="minorBidi" w:hAnsiTheme="minorBidi"/>
          <w:sz w:val="16"/>
          <w:szCs w:val="16"/>
          <w:u w:val="single"/>
          <w:rtl/>
        </w:rPr>
        <w:t>שאין</w:t>
      </w:r>
      <w:r w:rsidRPr="00C233C9">
        <w:rPr>
          <w:rFonts w:asciiTheme="minorBidi" w:hAnsiTheme="minorBidi"/>
          <w:sz w:val="16"/>
          <w:szCs w:val="16"/>
          <w:rtl/>
        </w:rPr>
        <w:t xml:space="preserve"> כוונתו לגאונים רי"ף ורמב"ם} </w:t>
      </w:r>
      <w:r w:rsidRPr="00C233C9">
        <w:rPr>
          <w:rFonts w:asciiTheme="minorBidi" w:hAnsiTheme="minorBidi"/>
          <w:rtl/>
        </w:rPr>
        <w:t>שאם עמד החלב ימים רבים כנוס בתוך הקיבה ליבשו עד שנעשה יבש נאסר, שהרי הוא ככבוש והרי הוא כמלוח, וכ"ש אם העמידו בעשן ליבשו עד שנעשה יבש והוא כמו קיבה שנמלחה בעורה, ולא מטעם בשר בחלב שכבר אמרנו דבשר בחלב אפילו תרו ליה כולי יומא כשרה אלא מטעם אם היא קיבת נבלה או טרפה או לפי מה שכתבתי כי אפילו שהקיבה פירשא בעלמא מ"מ לקח טעם העור ומעמיד החלב בבשר.</w:t>
      </w:r>
    </w:p>
  </w:footnote>
  <w:footnote w:id="1077">
    <w:p w14:paraId="3ABC2BAC"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 הב"י דכ"כ רש"י בסוף פכ"ה (קטז: ד"ה הרי זו אסורה) וחלק על המתירין משום דהוי נ"ט בר נ"ט דלא דמו כלל משום דכיון שיש בחלב זה טעם מהבשר נעשה חתיכת איסור וכשמתערב עם חלב הגבינה הרי הוא אוסרו, ואע"פ שרש"י פוסק שם דבכל שהוא אוסר משום דהוי מין במינו לא חשש רבינו לכתוב כך אלא כתב שאם העמיד בה גבינות אינו אוסר עד שיהא בה בנותן טעם וזה מפני שהוא כתב בסימן צ"ח (קנה:) שמסקנת הרא"ש (ע"ז פ"ה סי' כט) כדברי האומר דמין במינו בששים וסתם בזה דבריו כאן כדעת הרא"ש, והשיעור שצריך שישהה במליחה לשיחשב כרותח נתבאר בסימן ס"ט (קיב:) גבי מולח בכלי שאינו מנוקב, ושיעור מליחתו לשיהיה כרותח כתב רבינו בסימן צ"א.</w:t>
      </w:r>
    </w:p>
  </w:footnote>
  <w:footnote w:id="1078">
    <w:p w14:paraId="5FE425EC" w14:textId="77777777" w:rsidR="004C5A3C" w:rsidRPr="00C233C9" w:rsidRDefault="004C5A3C" w:rsidP="002C39F4">
      <w:pPr>
        <w:pStyle w:val="a5"/>
        <w:rPr>
          <w:rFonts w:asciiTheme="minorBidi" w:hAnsiTheme="minorBidi"/>
          <w:u w:val="single"/>
          <w:rtl/>
        </w:rPr>
      </w:pPr>
      <w:r w:rsidRPr="00C233C9">
        <w:rPr>
          <w:rStyle w:val="a7"/>
          <w:rFonts w:asciiTheme="minorBidi" w:hAnsiTheme="minorBidi"/>
        </w:rPr>
        <w:footnoteRef/>
      </w:r>
      <w:r w:rsidRPr="00C233C9">
        <w:rPr>
          <w:rFonts w:asciiTheme="minorBidi" w:hAnsiTheme="minorBidi"/>
          <w:rtl/>
        </w:rPr>
        <w:t xml:space="preserve"> </w:t>
      </w:r>
      <w:r w:rsidRPr="00C233C9">
        <w:rPr>
          <w:rFonts w:asciiTheme="minorBidi" w:hAnsiTheme="minorBidi"/>
          <w:u w:val="single"/>
          <w:rtl/>
        </w:rPr>
        <w:t>האם הדין כך אף כשיש ששים כנגדו:</w:t>
      </w:r>
    </w:p>
    <w:p w14:paraId="4E8FB0AA" w14:textId="77777777" w:rsidR="004C5A3C" w:rsidRPr="00C233C9" w:rsidRDefault="004C5A3C" w:rsidP="0032102C">
      <w:pPr>
        <w:pStyle w:val="a5"/>
        <w:numPr>
          <w:ilvl w:val="0"/>
          <w:numId w:val="146"/>
        </w:numPr>
        <w:rPr>
          <w:rFonts w:asciiTheme="minorBidi" w:hAnsiTheme="minorBidi"/>
        </w:rPr>
      </w:pPr>
      <w:r w:rsidRPr="00C233C9">
        <w:rPr>
          <w:rFonts w:asciiTheme="minorBidi" w:hAnsiTheme="minorBidi"/>
          <w:rtl/>
        </w:rPr>
        <w:t xml:space="preserve">מרדכי </w:t>
      </w:r>
      <w:r w:rsidRPr="00C233C9">
        <w:rPr>
          <w:rFonts w:asciiTheme="minorBidi" w:hAnsiTheme="minorBidi"/>
          <w:sz w:val="16"/>
          <w:szCs w:val="16"/>
          <w:rtl/>
        </w:rPr>
        <w:t xml:space="preserve">(סי' תשלג) </w:t>
      </w:r>
      <w:r w:rsidRPr="00C233C9">
        <w:rPr>
          <w:rFonts w:asciiTheme="minorBidi" w:hAnsiTheme="minorBidi"/>
          <w:rtl/>
        </w:rPr>
        <w:t xml:space="preserve">בשם ר"ש ב"ר אברהם- אינו בטל בששים דהואיל והוא מעמיד אינו בטל ואף ר"ת דסבירא ליה דבטל לא אמר כן להלכה למעשה. </w:t>
      </w:r>
      <w:r w:rsidRPr="00C233C9">
        <w:rPr>
          <w:rFonts w:asciiTheme="minorBidi" w:hAnsiTheme="minorBidi"/>
          <w:sz w:val="16"/>
          <w:szCs w:val="16"/>
          <w:rtl/>
        </w:rPr>
        <w:t>(ודחה הדרכ"מ דבריו)</w:t>
      </w:r>
      <w:r w:rsidRPr="00C233C9">
        <w:rPr>
          <w:rFonts w:asciiTheme="minorBidi" w:hAnsiTheme="minorBidi"/>
          <w:rtl/>
        </w:rPr>
        <w:t xml:space="preserve"> </w:t>
      </w:r>
    </w:p>
    <w:p w14:paraId="7979531B" w14:textId="77777777" w:rsidR="004C5A3C" w:rsidRPr="00C233C9" w:rsidRDefault="004C5A3C" w:rsidP="0032102C">
      <w:pPr>
        <w:pStyle w:val="a5"/>
        <w:numPr>
          <w:ilvl w:val="0"/>
          <w:numId w:val="146"/>
        </w:numPr>
        <w:rPr>
          <w:rFonts w:asciiTheme="minorBidi" w:hAnsiTheme="minorBidi"/>
          <w:rtl/>
        </w:rPr>
      </w:pPr>
      <w:r w:rsidRPr="00C233C9">
        <w:rPr>
          <w:rFonts w:asciiTheme="minorBidi" w:hAnsiTheme="minorBidi"/>
          <w:rtl/>
        </w:rPr>
        <w:t xml:space="preserve">הגשע"ד </w:t>
      </w:r>
      <w:r w:rsidRPr="00C233C9">
        <w:rPr>
          <w:rFonts w:asciiTheme="minorBidi" w:hAnsiTheme="minorBidi"/>
          <w:sz w:val="16"/>
          <w:szCs w:val="16"/>
          <w:rtl/>
        </w:rPr>
        <w:t>(סי' פג סק"א)</w:t>
      </w:r>
      <w:r w:rsidRPr="00C233C9">
        <w:rPr>
          <w:rFonts w:asciiTheme="minorBidi" w:hAnsiTheme="minorBidi"/>
          <w:rtl/>
        </w:rPr>
        <w:t>- בדיעבד יש לסמוך אדברי ר"ת ולהתיר אם העמיד בקיבה אסורה אם אינו בנותן טעם.</w:t>
      </w:r>
    </w:p>
    <w:p w14:paraId="3E761B7C" w14:textId="77777777" w:rsidR="004C5A3C" w:rsidRPr="00C233C9" w:rsidRDefault="004C5A3C" w:rsidP="0032102C">
      <w:pPr>
        <w:pStyle w:val="a5"/>
        <w:numPr>
          <w:ilvl w:val="0"/>
          <w:numId w:val="146"/>
        </w:numPr>
        <w:rPr>
          <w:rFonts w:asciiTheme="minorBidi" w:hAnsiTheme="minorBidi"/>
          <w:rtl/>
        </w:rPr>
      </w:pPr>
      <w:r>
        <w:rPr>
          <w:rFonts w:asciiTheme="minorBidi" w:hAnsiTheme="minorBidi"/>
          <w:rtl/>
        </w:rPr>
        <w:t>או"ה</w:t>
      </w:r>
      <w:r w:rsidRPr="00C233C9">
        <w:rPr>
          <w:rFonts w:asciiTheme="minorBidi" w:hAnsiTheme="minorBidi"/>
          <w:rtl/>
        </w:rPr>
        <w:t xml:space="preserve"> </w:t>
      </w:r>
      <w:r w:rsidRPr="00C233C9">
        <w:rPr>
          <w:rFonts w:asciiTheme="minorBidi" w:hAnsiTheme="minorBidi"/>
          <w:sz w:val="16"/>
          <w:szCs w:val="16"/>
          <w:rtl/>
        </w:rPr>
        <w:t xml:space="preserve">(כלל מו דין ד) </w:t>
      </w:r>
      <w:r w:rsidRPr="00C233C9">
        <w:rPr>
          <w:rFonts w:asciiTheme="minorBidi" w:hAnsiTheme="minorBidi"/>
          <w:rtl/>
        </w:rPr>
        <w:t xml:space="preserve">ודרכ"מ </w:t>
      </w:r>
      <w:r w:rsidRPr="00C233C9">
        <w:rPr>
          <w:rFonts w:asciiTheme="minorBidi" w:hAnsiTheme="minorBidi"/>
          <w:sz w:val="16"/>
          <w:szCs w:val="16"/>
          <w:rtl/>
        </w:rPr>
        <w:t>(אות ח)</w:t>
      </w:r>
      <w:r w:rsidRPr="00C233C9">
        <w:rPr>
          <w:rFonts w:asciiTheme="minorBidi" w:hAnsiTheme="minorBidi"/>
          <w:rtl/>
        </w:rPr>
        <w:t xml:space="preserve">- אם יש ששים לבטל שרי </w:t>
      </w:r>
      <w:r w:rsidRPr="00C233C9">
        <w:rPr>
          <w:rFonts w:asciiTheme="minorBidi" w:hAnsiTheme="minorBidi"/>
          <w:sz w:val="16"/>
          <w:szCs w:val="16"/>
          <w:rtl/>
        </w:rPr>
        <w:t>(וכ' הדרכ"מ דדברי הטור צ"ע, דכאן פסק דבטל בששים ובאו"ח (סי' תמ"ב עמ' לט) פסק דדבר המעמיד חשוב בעין ואינו בטל, ובב"י האריך בזה והביא הרבה פוסקים שסבירא להו דבדבר המעמיד לא בטיל ואפילו איכא ששים נגדו מלבד בשר בחלב, דאפילו העמיד בעור קיבה עצמו בטל בששים דבשר בחלב בטעמא תלי רחמנא דדרך בישול אסרה תורה משא"כ במעמיד בעור נבלה דאזלינן בתר מעמיד ואינו בטל, כ"כ הרשב"א והר"ן פרק אין מעמידין והרמב"ם (פ"ג הי"ג) עכ"ל. ונראה שזו היא סברת הטור, ועוד נראה לתרץ ממ"ש המרדכי דלעיל בשם רבינו ברוך להתיר וכתב טעמא דמסתמא לא העמיד הגבינה מקיבה שכולה אסורה דהיינו הצלול אלא גם מן הקרוש ואין רגילות שיתנו קיבה להעמיד החלב שלא יהא בה מקיבה הקרושה וגם פעמים יהיה הקרוש יותר והוה ליה זה וזה גורם כו' ונראה דר"ל דמטעם זה אין להחשיבו דבר המעמיד דהוי זה וזה גורם ומיהו ששים צריך נגד הצלול ובזה מיושבים דברי הטור דכאן פסק דבטל בששים היינו מטעם שפסק רבינו ברוך כנ"ל)</w:t>
      </w:r>
    </w:p>
  </w:footnote>
  <w:footnote w:id="1079">
    <w:p w14:paraId="54093472"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פירוש- בצלול, וכמו שכתב לעיל בסי' פ"א סע' ו, וע"ז כתב הרב בהג"ה וכן נוהגין, וכדכתב בהג"ה בסע' י', לחלק בין קרוש לצלול, ואף לכתחלה משמע בת"ח כלל ס"ה דמותר בקרוש ע"ש, מיהו בצלול דעתו דאפילו בדיעבד אסור וכדכתב בהג"ה בס"י, מיהו נראה דלכתחלה אסור אף בקרוש משום מראית העין כמו שכתוב בסע' ד, ועיין בסק"ז..., ש"ך (סקכ"ה).</w:t>
      </w:r>
    </w:p>
  </w:footnote>
  <w:footnote w:id="1080">
    <w:p w14:paraId="002DCF70"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 הדרכ"מ (אות ז) דכ"מ בשע"ד (סי' פ). אך הב"י כ'- מתוך דברי הרשב"א שכתב נקרש בחיי הבהמה יתבאר לך שאינו סובר כן, וכן הוא משמעות דברי הפוסקים ז"ל.</w:t>
      </w:r>
    </w:p>
  </w:footnote>
  <w:footnote w:id="1081">
    <w:p w14:paraId="787B9CE1"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ז"ל ב"י- והשיעור שצריך שישהה במליחה שיחשב רותח נתבאר בסי' ס"ט גבי מולח בכלי שאינו מנוקב, ושיעור מליחתו לשיהיה רותח כתב רבינו סי' צ"א, עכ"ל, וא"כ דעתו שצריך שישהה במליחתו כדי שיתנו על האור ויתחיל להרתיח וכדלעיל סי' ס"ט סי"ח, וצריך שיהא נמלח כ"כ שאינו נאכל מחמת מלחו וכדלקמן סי' צ"א ס"ה, ונראה דאף לדידן דקים לן במליחה לאסור מיד וכן אפילו לא נמלח רק מעט כדרך שמולחין לצלי מ"מ יש להתיר כאן בדיעבד אם העמידו בו גבינות אם לא נמלח בכה"ג, כיון דבלאו הכי הרבה פוסקים והמחבר מכללם חשבי ליה כפרש בעלמא אפילו לצלול וגם הוא מילתא דרבנן דמן התורה אינו אסור אלא דרך בישול ולא ע"י מליחה, ש"ך (סקכ"ז).</w:t>
      </w:r>
    </w:p>
  </w:footnote>
  <w:footnote w:id="1082">
    <w:p w14:paraId="393E4F7D"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פירוש מעל"ע דהוי ככבוש, ש"ך (סקכ"ח).</w:t>
      </w:r>
    </w:p>
  </w:footnote>
  <w:footnote w:id="1083">
    <w:p w14:paraId="267C37EB"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פי' שלא יתן מאותו חלב שנמלח בקיבה או הועמד בה יום אחד לחלב בשביל שיקפיא לעשות ממנה גבינה, ט"ז (סק"ט).</w:t>
      </w:r>
    </w:p>
  </w:footnote>
  <w:footnote w:id="1084">
    <w:p w14:paraId="0679ED1E"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משמע דאין חילוק בין קרוש לצלול, והיינו לכתחלה, ואע"ג דמותר לבשל בקרוש אפילו לכתחלה, וכמ"ש בסקכ"ה, התם שאני שאין כאן איסור אלא משום חלב וכיון דקרוש הוא הוי כפירשא, אבל הכא נהי דפירשא הוא מ"מ כיון דנמלח או שהה מעל"ע בקיבה על כן קבלה טעם מעור הקיבה, ולהכי אסור לכתחלה להעמיד בו גבינות, מיהא לענין דיעבד דעת המחבר בספרו ב"י דיש להתיר בכל ענין ולכך סתם כאן, ואין כן דעת הרב בהג"ה, ש"ך (סקכ"ט).</w:t>
      </w:r>
    </w:p>
  </w:footnote>
  <w:footnote w:id="1085">
    <w:p w14:paraId="0E8A5AF6"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כלומר עד שיהא ס' בחלב שהעמיד ונעשו גבינות, נגד החלב שהיה בקיבה שנאסרה בקיבה משום בשר בחלב </w:t>
      </w:r>
      <w:r w:rsidRPr="00C233C9">
        <w:rPr>
          <w:rFonts w:asciiTheme="minorBidi" w:hAnsiTheme="minorBidi"/>
          <w:sz w:val="16"/>
          <w:szCs w:val="16"/>
          <w:rtl/>
        </w:rPr>
        <w:t>(ולכאורה קשה אמאי סגי בס' הא החלב שבקיבה אסור מעצמו שנעשית נבלה, וה"נ אמרינן לקמן ר"ס ק"א דאין דין חתיכה הראויה להתכבד אלא אם איסורא מחמת עצמה כגון נבילה ובשר בחלב, ע"כ, וא"כ כאן כיון שהוא דבר המעמיד אפי' באלף לא בטיל, וכמ"ש בסע' י"א, וכ"כ המרדכי פכ"ה ותשובת מיימוני סי' ח על שם תשובת הר"ר שמשון ב"א במעשה שנעשו גבינות מחלב שבקיבה ונמצא לאחר זמן בתוך השק שהחלב היה בו מעט מן הדקין שהגבינות אסורות כיון שהאיסור מעמיד היינו נותן טעם עכ"ל, ואף שהטור כתב גם כן כמ"ש הרב י"ל דהטור ס"ל דדבר המעמיד שאסור בטל בס' וכדעת ר"ת במרדכי ובתשובת מיימוני שם, וי"ל דדוקא דבר מעמיד שאסור מעצמו ממש כגון נבילה אמרינן דלא בטיל משא"כ הכא שאין המעמיד אסור מעצמו אלא משום תערובת בשר בחלב ולכך בטיל שפיר (ואפי' אי נימא דבשר בחלב ממש שנאסר ע"י בישול חשיב כגופו של איסור ואם העמידו בו אח"כ אוסר במשהו מ"מ הכא כיון דלא נאסר אלא על ידי מליחה וכבוש דאינו אלא מדרבנן ס"ל להרב דלא חשיב כגופו של איסור לענין שיאסור במעמיד בכל שהוא ע"ש מיהו באו"ה כלל מ"ז דין ח' איתא שאלה אי כבוש חשוב כמבושל לענין זה ונראה דס"ל להרב להקל בזה) ותשובת ר"ש ב"א אזיל לטעמי' דס"ל דאפילו מעמיד בעור קיבת כשירה לא בטיל וכמבואר בדבריו שם, אבל לדידן דלא קי"ל הכי וכמ"ש המחבר בסי"א א"כ נהי דאסרינן החלב משום שבלעה מהקיבה מ"מ בס' סגי, ודוק, ודוחק קצת)</w:t>
      </w:r>
      <w:r w:rsidRPr="00C233C9">
        <w:rPr>
          <w:rFonts w:asciiTheme="minorBidi" w:hAnsiTheme="minorBidi"/>
          <w:rtl/>
        </w:rPr>
        <w:t xml:space="preserve">, ש"ך </w:t>
      </w:r>
      <w:r w:rsidRPr="00C233C9">
        <w:rPr>
          <w:rFonts w:asciiTheme="minorBidi" w:hAnsiTheme="minorBidi"/>
          <w:sz w:val="16"/>
          <w:szCs w:val="16"/>
          <w:rtl/>
        </w:rPr>
        <w:t>(סק"ל)</w:t>
      </w:r>
      <w:r w:rsidRPr="00C233C9">
        <w:rPr>
          <w:rFonts w:asciiTheme="minorBidi" w:hAnsiTheme="minorBidi"/>
          <w:rtl/>
        </w:rPr>
        <w:t xml:space="preserve">. </w:t>
      </w:r>
      <w:r w:rsidRPr="00C233C9">
        <w:rPr>
          <w:rFonts w:asciiTheme="minorBidi" w:hAnsiTheme="minorBidi"/>
          <w:color w:val="FF0000"/>
          <w:rtl/>
        </w:rPr>
        <w:t>צל"ע בט"ז</w:t>
      </w:r>
      <w:r w:rsidRPr="00C233C9">
        <w:rPr>
          <w:rFonts w:asciiTheme="minorBidi" w:hAnsiTheme="minorBidi"/>
          <w:color w:val="FF0000"/>
          <w:sz w:val="16"/>
          <w:szCs w:val="16"/>
          <w:rtl/>
        </w:rPr>
        <w:t xml:space="preserve"> (סק"י) </w:t>
      </w:r>
      <w:r w:rsidRPr="00C233C9">
        <w:rPr>
          <w:rFonts w:asciiTheme="minorBidi" w:hAnsiTheme="minorBidi"/>
          <w:color w:val="FF0000"/>
          <w:rtl/>
        </w:rPr>
        <w:t>שהשאיר משהו בצ"ע</w:t>
      </w:r>
    </w:p>
  </w:footnote>
  <w:footnote w:id="1086">
    <w:p w14:paraId="6CD058A5"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כלומר אם היה החלב שבקיבה קרושה אינה אוסרת כלום אפילו לא היה ס' בחלב שהועמד נגד החלב שבקיבה, דבקרוש חשיב החלב כפירשא בעלמא </w:t>
      </w:r>
      <w:r w:rsidRPr="00C233C9">
        <w:rPr>
          <w:rFonts w:asciiTheme="minorBidi" w:hAnsiTheme="minorBidi"/>
          <w:sz w:val="16"/>
          <w:szCs w:val="16"/>
          <w:rtl/>
        </w:rPr>
        <w:t>(וליכא למימר עכ"פ קבלה טעם מעור הקיבה ונותן טעם בגבינות ולא הוי נ"ט בר נ"ט להיתירא דהא טעם השני דאיסורא הוא ודמי לבצלים שבלועים מבשר ובשלם בקדרה חולבת שכ' הט"ו</w:t>
      </w:r>
      <w:r w:rsidRPr="00C233C9">
        <w:rPr>
          <w:rFonts w:asciiTheme="minorBidi" w:hAnsiTheme="minorBidi"/>
          <w:sz w:val="14"/>
          <w:szCs w:val="14"/>
          <w:rtl/>
        </w:rPr>
        <w:t xml:space="preserve"> (סי' צד ס"ו)</w:t>
      </w:r>
      <w:r w:rsidRPr="00C233C9">
        <w:rPr>
          <w:rFonts w:asciiTheme="minorBidi" w:hAnsiTheme="minorBidi"/>
          <w:sz w:val="16"/>
          <w:szCs w:val="16"/>
          <w:rtl/>
        </w:rPr>
        <w:t xml:space="preserve"> דצריך עכ"פ ס' נגד הבשר שבבצלים וה"נ נצטרך ס' נגד החלב שהיה בקיבה דלא ידעינן כמה בלע מהקיבה- דהכא שאני דאין כח בטעם שקבל פרש זה מן העור לכשיתחבר אח"כ עם חלב גמור שממנו נעשה הגבינה שיוליך עמו טעם בשר)</w:t>
      </w:r>
      <w:r w:rsidRPr="00C233C9">
        <w:rPr>
          <w:rFonts w:asciiTheme="minorBidi" w:hAnsiTheme="minorBidi"/>
          <w:rtl/>
        </w:rPr>
        <w:t xml:space="preserve">, ש"ך </w:t>
      </w:r>
      <w:r w:rsidRPr="00C233C9">
        <w:rPr>
          <w:rFonts w:asciiTheme="minorBidi" w:hAnsiTheme="minorBidi"/>
          <w:sz w:val="14"/>
          <w:szCs w:val="14"/>
          <w:rtl/>
        </w:rPr>
        <w:t>(סקל"א)</w:t>
      </w:r>
      <w:r w:rsidRPr="00C233C9">
        <w:rPr>
          <w:rFonts w:asciiTheme="minorBidi" w:hAnsiTheme="minorBidi"/>
          <w:rtl/>
        </w:rPr>
        <w:t>.</w:t>
      </w:r>
    </w:p>
    <w:p w14:paraId="0FE5A483" w14:textId="77777777" w:rsidR="004C5A3C" w:rsidRPr="00C233C9" w:rsidRDefault="004C5A3C" w:rsidP="002C39F4">
      <w:pPr>
        <w:pStyle w:val="a5"/>
        <w:rPr>
          <w:rFonts w:asciiTheme="minorBidi" w:hAnsiTheme="minorBidi"/>
        </w:rPr>
      </w:pPr>
      <w:r w:rsidRPr="00C233C9">
        <w:rPr>
          <w:rFonts w:asciiTheme="minorBidi" w:hAnsiTheme="minorBidi"/>
          <w:color w:val="FF0000"/>
          <w:rtl/>
        </w:rPr>
        <w:t xml:space="preserve">צל"ע שוב בטעם </w:t>
      </w:r>
      <w:r>
        <w:rPr>
          <w:rFonts w:asciiTheme="minorBidi" w:hAnsiTheme="minorBidi" w:hint="cs"/>
          <w:color w:val="FF0000"/>
          <w:rtl/>
        </w:rPr>
        <w:t>ש</w:t>
      </w:r>
      <w:r w:rsidRPr="00C233C9">
        <w:rPr>
          <w:rFonts w:asciiTheme="minorBidi" w:hAnsiTheme="minorBidi"/>
          <w:color w:val="FF0000"/>
          <w:rtl/>
        </w:rPr>
        <w:t>נתן הב"י לדבר זה ובמה שהשיג עליו הדרכ"מ (אות ח) ובמש"כ למסקנה הש"ך כאן, ובדחייתו לדברי עט"ז (שלא העתקתי) ובדברי הט"ז (סקי"א) איך הבין את הב"י.</w:t>
      </w:r>
      <w:r w:rsidRPr="00C233C9">
        <w:rPr>
          <w:rFonts w:asciiTheme="minorBidi" w:hAnsiTheme="minorBidi"/>
          <w:rtl/>
        </w:rPr>
        <w:t xml:space="preserve"> </w:t>
      </w:r>
    </w:p>
  </w:footnote>
  <w:footnote w:id="1087">
    <w:p w14:paraId="77E4DEB9"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ואף לפי מה שכתבתי בסקכ"ה דאפי' בקרוש ממש יש מחמירים נראה דהכא בצלול ונקרש יש להקל ג"כ במקום הפסד מרובה כיון דאין כאן אלא איסור דרבנן ויש לסמוך בכה"ג אתשובת ר"ש ב"א שבמרדכי ותשובת מיימוני, וכן הוא דעת סה"ת ושע"ד שיש לו דין קרוש, ועוד שבת"ח </w:t>
      </w:r>
      <w:r w:rsidRPr="00C233C9">
        <w:rPr>
          <w:rFonts w:asciiTheme="minorBidi" w:hAnsiTheme="minorBidi"/>
          <w:sz w:val="16"/>
          <w:szCs w:val="16"/>
          <w:rtl/>
        </w:rPr>
        <w:t xml:space="preserve">(כלל עט ד"ג) </w:t>
      </w:r>
      <w:r w:rsidRPr="00C233C9">
        <w:rPr>
          <w:rFonts w:asciiTheme="minorBidi" w:hAnsiTheme="minorBidi"/>
          <w:rtl/>
        </w:rPr>
        <w:t>כ' דבדיע' יש לסמוך אהיש מקילין, משמע אפילו במקום שאין הפסד מרובה, א"כ הוא משוה דין צלול ונקרש לגמרי לדין קרוש, וא"כ אף לפי מה שכתבתי דבמקום שאין הפסד יש להחמיר אף בקרוש ה"נ בצלול ונקרש, ותו דהרי הרי"ף והרמב"ם ושא"פ והמחבר מכללם מתירין אפי' בצלול, והב"ח בסי' פ"א פסק בקרוש ממש כהרב ובצלול ונקרש כ' דנקטינן להחמיר באיסורא דאו' ויש לו דין צלול ואפי' בהפסד מרובה ודלא כמ"ש בהגהת ש"ע סי' פ"ז, עכ"ל, ותימה דמאי איסורא דאו' איכא הכא הא מן התורה אינו אסור אלא דרך בישול וחלב שהיה בקיבה זו לא נאסר אלא ע"י מליחה או כבוש, ואולי לא קאי אלא אחלב שנמצא בקיבה כשרה שינקה מן הטרפה אלא דפשט לשונו משמע דבכל גווני מיירי, ועוד דא"כ מאי השיג על הרב, מיהו נראה דיש להתיר אפילו בכשרה שינקה מן הטרפה בצלול ונקרש במקום הפסד מרובה דהא הרבה פוסקים מתירין אפילו בצלול וא"כ כדאי הם כל הנך פוסקים דמשוים צלול ונקרש לקרוש מתחלה לסמוך עליהם בכה"ג, וגם שי"ל שהרשב"א שכ' בת"ה הקצר 'נקרש בחיי הבהמה' אין בדבריו הכרע כ"כ די"ל דאורחא דמילתא נקט כדי להשוותו עם כל הנך פוסקים דלעיל שהרי בת"ה הארוך לא הזכיר כלום מזה ואדרבה משמע שם איפכא שכתב בת"ה הארוך (פא:) וז"ל- ונראין דברי ר"ת ז"ל שפי' דהא דאמרינן דמעמידין בחלב שבקיבה היינו בקרוש דכל שנקרש ה"ל כפירשא ואורחיה דמילתא הכי דאין מעמידין בחלב צלול אלא בקרוש עכ"ל, משמע שבא לפרש הא דקתני סתמא דמעמידין ולא מחלק בין קרוש לצלול דהיינו משום דאורחא דמילתא הכי הוא דמעמידין בקרוש, ואי תימא דצלול ונקרש ס"ל דאסור אכתי לא ה"ל לתנא למיסתם, אלא ודאי כיון שנקרש אח"כ חשוב כנקרש בחיי הבהמה, גם מ"ש הב"י שמשמעות כל הפוסקים דבעינן נקרש בחיי הבהמה אינו מוכרח כלל, ש"ך (סקל"ב).</w:t>
      </w:r>
    </w:p>
  </w:footnote>
  <w:footnote w:id="1088">
    <w:p w14:paraId="224154B2" w14:textId="77777777" w:rsidR="004C5A3C" w:rsidRDefault="004C5A3C" w:rsidP="002C39F4">
      <w:pPr>
        <w:pStyle w:val="a5"/>
        <w:rPr>
          <w:rtl/>
        </w:rPr>
      </w:pPr>
      <w:r>
        <w:rPr>
          <w:rStyle w:val="a7"/>
        </w:rPr>
        <w:footnoteRef/>
      </w:r>
      <w:r>
        <w:rPr>
          <w:rtl/>
        </w:rPr>
        <w:t xml:space="preserve"> </w:t>
      </w:r>
      <w:r>
        <w:rPr>
          <w:rFonts w:cs="Arial" w:hint="cs"/>
          <w:rtl/>
        </w:rPr>
        <w:t>ב</w:t>
      </w:r>
      <w:r w:rsidRPr="001541A9">
        <w:rPr>
          <w:rFonts w:cs="Arial"/>
          <w:rtl/>
        </w:rPr>
        <w:t>תפארת צבי</w:t>
      </w:r>
      <w:r w:rsidRPr="001541A9">
        <w:rPr>
          <w:rFonts w:cs="Arial"/>
          <w:sz w:val="16"/>
          <w:szCs w:val="16"/>
          <w:rtl/>
        </w:rPr>
        <w:t xml:space="preserve"> </w:t>
      </w:r>
      <w:r w:rsidRPr="001541A9">
        <w:rPr>
          <w:rFonts w:cs="Arial" w:hint="cs"/>
          <w:sz w:val="16"/>
          <w:szCs w:val="16"/>
          <w:rtl/>
        </w:rPr>
        <w:t>(</w:t>
      </w:r>
      <w:r w:rsidRPr="001541A9">
        <w:rPr>
          <w:rFonts w:cs="Arial"/>
          <w:sz w:val="16"/>
          <w:szCs w:val="16"/>
          <w:rtl/>
        </w:rPr>
        <w:t>י</w:t>
      </w:r>
      <w:r w:rsidRPr="001541A9">
        <w:rPr>
          <w:rFonts w:cs="Arial" w:hint="cs"/>
          <w:sz w:val="16"/>
          <w:szCs w:val="16"/>
          <w:rtl/>
        </w:rPr>
        <w:t>ו</w:t>
      </w:r>
      <w:r w:rsidRPr="001541A9">
        <w:rPr>
          <w:rFonts w:cs="Arial"/>
          <w:sz w:val="16"/>
          <w:szCs w:val="16"/>
          <w:rtl/>
        </w:rPr>
        <w:t>"ד סי</w:t>
      </w:r>
      <w:r w:rsidRPr="001541A9">
        <w:rPr>
          <w:rFonts w:cs="Arial" w:hint="cs"/>
          <w:sz w:val="16"/>
          <w:szCs w:val="16"/>
          <w:rtl/>
        </w:rPr>
        <w:t>'</w:t>
      </w:r>
      <w:r w:rsidRPr="001541A9">
        <w:rPr>
          <w:rFonts w:cs="Arial"/>
          <w:sz w:val="16"/>
          <w:szCs w:val="16"/>
          <w:rtl/>
        </w:rPr>
        <w:t xml:space="preserve"> עג</w:t>
      </w:r>
      <w:r w:rsidRPr="001541A9">
        <w:rPr>
          <w:rFonts w:cs="Arial" w:hint="cs"/>
          <w:sz w:val="16"/>
          <w:szCs w:val="16"/>
          <w:rtl/>
        </w:rPr>
        <w:t>)</w:t>
      </w:r>
      <w:r w:rsidRPr="001541A9">
        <w:rPr>
          <w:rFonts w:cs="Arial"/>
          <w:rtl/>
        </w:rPr>
        <w:t xml:space="preserve"> כ</w:t>
      </w:r>
      <w:r>
        <w:rPr>
          <w:rFonts w:cs="Arial" w:hint="cs"/>
          <w:rtl/>
        </w:rPr>
        <w:t>'</w:t>
      </w:r>
      <w:r w:rsidRPr="001541A9">
        <w:rPr>
          <w:rFonts w:cs="Arial"/>
          <w:rtl/>
        </w:rPr>
        <w:t xml:space="preserve"> בתולעים אדומים שמייבשים אותם וצובעים בהם משקה יי"ש דמותר ג"כ מטעם זה</w:t>
      </w:r>
      <w:r>
        <w:rPr>
          <w:rFonts w:cs="Arial" w:hint="cs"/>
          <w:rtl/>
        </w:rPr>
        <w:t xml:space="preserve">, פת"ש </w:t>
      </w:r>
      <w:r w:rsidRPr="001541A9">
        <w:rPr>
          <w:rFonts w:cs="Arial" w:hint="cs"/>
          <w:sz w:val="16"/>
          <w:szCs w:val="16"/>
          <w:rtl/>
        </w:rPr>
        <w:t>(סק"כ)</w:t>
      </w:r>
      <w:r>
        <w:rPr>
          <w:rFonts w:cs="Arial" w:hint="cs"/>
          <w:rtl/>
        </w:rPr>
        <w:t>.</w:t>
      </w:r>
    </w:p>
  </w:footnote>
  <w:footnote w:id="1089">
    <w:p w14:paraId="3F5B034F"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וה"ה שאר בני מעיים כשמייבשים אותן עד שנעשו כעץ ומ"מ נראה דלכתחלה אין לעשות כן, ש"ך (סקל"ג). וכ"כ במהריק"ש (ערך לחם סע' יא) להחמיר, רעק"א (אות כב, על הש"ך).</w:t>
      </w:r>
    </w:p>
  </w:footnote>
  <w:footnote w:id="1090">
    <w:p w14:paraId="219AD4F4" w14:textId="77777777" w:rsidR="004C5A3C" w:rsidRDefault="004C5A3C" w:rsidP="002C39F4">
      <w:pPr>
        <w:pStyle w:val="a5"/>
      </w:pPr>
      <w:r>
        <w:rPr>
          <w:rStyle w:val="a7"/>
        </w:rPr>
        <w:footnoteRef/>
      </w:r>
      <w:r>
        <w:rPr>
          <w:rtl/>
        </w:rPr>
        <w:t xml:space="preserve"> </w:t>
      </w:r>
      <w:r>
        <w:rPr>
          <w:rFonts w:hint="cs"/>
          <w:rtl/>
        </w:rPr>
        <w:t xml:space="preserve">היינו בחלב הכנוס בה. וכ' רש"י </w:t>
      </w:r>
      <w:r w:rsidRPr="00134269">
        <w:rPr>
          <w:rFonts w:hint="cs"/>
          <w:sz w:val="16"/>
          <w:szCs w:val="16"/>
          <w:rtl/>
        </w:rPr>
        <w:t>(ד"ה מעמידין בין)</w:t>
      </w:r>
      <w:r w:rsidRPr="00134269">
        <w:rPr>
          <w:sz w:val="16"/>
          <w:szCs w:val="16"/>
          <w:rtl/>
        </w:rPr>
        <w:t xml:space="preserve"> </w:t>
      </w:r>
      <w:r w:rsidRPr="00134269">
        <w:rPr>
          <w:rFonts w:cs="Arial"/>
          <w:rtl/>
        </w:rPr>
        <w:t>דלאו מגופה הוא אלא כנוס במעיה.</w:t>
      </w:r>
    </w:p>
  </w:footnote>
  <w:footnote w:id="1091">
    <w:p w14:paraId="4BE853A8"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כ"כ הר"ן (מב: ד"ה קיבת, ובע"ז יג:) בשמו לגבי</w:t>
      </w:r>
      <w:r>
        <w:rPr>
          <w:rFonts w:asciiTheme="minorBidi" w:hAnsiTheme="minorBidi" w:hint="cs"/>
          <w:rtl/>
        </w:rPr>
        <w:t xml:space="preserve"> </w:t>
      </w:r>
      <w:r w:rsidRPr="00C233C9">
        <w:rPr>
          <w:rFonts w:asciiTheme="minorBidi" w:hAnsiTheme="minorBidi"/>
          <w:rtl/>
        </w:rPr>
        <w:t>אהא דאמר שמואל (ע"ז כט:) מפני מה אסרו גבינות הגוים מפני שמעמידין אותה בעור קיבת נבלה דהיינו טעמא דנקט עור קיבת נבלה משום דמאחר שהוא בעצמו אסור כיון דאוקומי אוקים לא בטיל אבל עור קיבת כשרה מאחר שהוא מותר בפני עצמו ולית ביה איסורא אלא משום חיבורו עם החלב ליכא למימר הכי דכל אימת דלא יהיב טעמא לאו בשר בחלב הוא אלא האי באפיה קאי והאי באפיה קאי.</w:t>
      </w:r>
    </w:p>
  </w:footnote>
  <w:footnote w:id="1092">
    <w:p w14:paraId="2ADE24A8"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דאע"ג דמעמיד הוא בשר בחלב בטעמו תלה ליה רחמנא כדאמר רבא לעיל דרך בישול אסרה תורה משא"כ במעמיד בעור נבלה דאזלינן בתר מעמיד ואע"ג דלית בה נותן טעם רואין אותו כאילו הנבלה קיימת בעין, רשב"א.</w:t>
      </w:r>
    </w:p>
  </w:footnote>
  <w:footnote w:id="1093">
    <w:p w14:paraId="27310598" w14:textId="77777777" w:rsidR="004C5A3C" w:rsidRDefault="004C5A3C" w:rsidP="002C39F4">
      <w:pPr>
        <w:pStyle w:val="a5"/>
        <w:rPr>
          <w:rtl/>
        </w:rPr>
      </w:pPr>
      <w:r>
        <w:rPr>
          <w:rStyle w:val="a7"/>
        </w:rPr>
        <w:footnoteRef/>
      </w:r>
      <w:r>
        <w:rPr>
          <w:rtl/>
        </w:rPr>
        <w:t xml:space="preserve"> </w:t>
      </w:r>
      <w:r>
        <w:rPr>
          <w:rFonts w:hint="cs"/>
          <w:rtl/>
        </w:rPr>
        <w:t xml:space="preserve">כתב המרדכי- </w:t>
      </w:r>
      <w:r w:rsidRPr="00283396">
        <w:rPr>
          <w:rtl/>
        </w:rPr>
        <w:t>אע"פ שכ' ר"ת (</w:t>
      </w:r>
      <w:r w:rsidRPr="00283396">
        <w:rPr>
          <w:rFonts w:hint="cs"/>
          <w:rtl/>
        </w:rPr>
        <w:t>שם</w:t>
      </w:r>
      <w:r w:rsidRPr="00283396">
        <w:rPr>
          <w:rtl/>
        </w:rPr>
        <w:t>) דאין העמדה אוסרת אלא בס' שמא לא אמר הלכה למעשה</w:t>
      </w:r>
      <w:r w:rsidRPr="00283396">
        <w:rPr>
          <w:rFonts w:hint="cs"/>
          <w:rtl/>
        </w:rPr>
        <w:t>,</w:t>
      </w:r>
      <w:r w:rsidRPr="00283396">
        <w:rPr>
          <w:rtl/>
        </w:rPr>
        <w:t xml:space="preserve"> שיש לדחות ראייתו ש</w:t>
      </w:r>
      <w:r>
        <w:rPr>
          <w:rFonts w:hint="cs"/>
          <w:rtl/>
        </w:rPr>
        <w:t>-...</w:t>
      </w:r>
    </w:p>
  </w:footnote>
  <w:footnote w:id="1094">
    <w:p w14:paraId="1EB0536A"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המרדכי כ' להתיר גם בשם רבנו שמשון ב"ר אברהם והאריך בטעמו, ולאחמ"כ כתב שגם רבינו ברוך התיר אבל מטעם אחר.</w:t>
      </w:r>
    </w:p>
  </w:footnote>
  <w:footnote w:id="1095">
    <w:p w14:paraId="6D7CD003" w14:textId="77777777" w:rsidR="004C5A3C" w:rsidRDefault="004C5A3C" w:rsidP="002C39F4">
      <w:pPr>
        <w:pStyle w:val="a5"/>
        <w:rPr>
          <w:rtl/>
        </w:rPr>
      </w:pPr>
      <w:r>
        <w:rPr>
          <w:rStyle w:val="a7"/>
        </w:rPr>
        <w:footnoteRef/>
      </w:r>
      <w:r>
        <w:rPr>
          <w:rtl/>
        </w:rPr>
        <w:t xml:space="preserve"> </w:t>
      </w:r>
      <w:r w:rsidRPr="003024E5">
        <w:rPr>
          <w:rFonts w:asciiTheme="minorBidi" w:hAnsiTheme="minorBidi"/>
          <w:rtl/>
        </w:rPr>
        <w:t>מידי דהוה גבי שאור פרק בתרא דע"ז שאור של תרומה ושל חולין ובזה כדי להחמיץ ובזה כדי להחמיץ וחמצו העיסה אסורה ור"ש מתיר אבל אם אין באיסור לבדו כדי להחמיץ אם לא שיסייענו ההיתר לכ"ע מותר וכו'</w:t>
      </w:r>
      <w:r>
        <w:rPr>
          <w:rFonts w:asciiTheme="minorBidi" w:hAnsiTheme="minorBidi" w:hint="cs"/>
          <w:rtl/>
        </w:rPr>
        <w:t>, מרדכי</w:t>
      </w:r>
      <w:r w:rsidRPr="003024E5">
        <w:rPr>
          <w:rFonts w:asciiTheme="minorBidi" w:hAnsiTheme="minorBidi"/>
          <w:rtl/>
        </w:rPr>
        <w:t>.</w:t>
      </w:r>
    </w:p>
  </w:footnote>
  <w:footnote w:id="1096">
    <w:p w14:paraId="6845005E"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w:t>
      </w:r>
      <w:r>
        <w:rPr>
          <w:rFonts w:asciiTheme="minorBidi" w:hAnsiTheme="minorBidi"/>
          <w:rtl/>
        </w:rPr>
        <w:t>הג"א</w:t>
      </w:r>
      <w:r w:rsidRPr="00C233C9">
        <w:rPr>
          <w:rFonts w:asciiTheme="minorBidi" w:hAnsiTheme="minorBidi"/>
          <w:rtl/>
        </w:rPr>
        <w:t xml:space="preserve"> </w:t>
      </w:r>
      <w:r w:rsidRPr="00C233C9">
        <w:rPr>
          <w:rFonts w:asciiTheme="minorBidi" w:hAnsiTheme="minorBidi"/>
          <w:sz w:val="16"/>
          <w:szCs w:val="16"/>
          <w:rtl/>
        </w:rPr>
        <w:t xml:space="preserve">(פ' בתרא דע"ז סי' ל) </w:t>
      </w:r>
      <w:r>
        <w:rPr>
          <w:rFonts w:asciiTheme="minorBidi" w:hAnsiTheme="minorBidi" w:hint="cs"/>
          <w:rtl/>
        </w:rPr>
        <w:t xml:space="preserve">בשם או"ז </w:t>
      </w:r>
      <w:r w:rsidRPr="00C233C9">
        <w:rPr>
          <w:rFonts w:asciiTheme="minorBidi" w:hAnsiTheme="minorBidi"/>
          <w:rtl/>
        </w:rPr>
        <w:t>מרדכי</w:t>
      </w:r>
      <w:r w:rsidRPr="00C233C9">
        <w:rPr>
          <w:rFonts w:asciiTheme="minorBidi" w:hAnsiTheme="minorBidi"/>
          <w:sz w:val="16"/>
          <w:szCs w:val="16"/>
          <w:rtl/>
        </w:rPr>
        <w:t xml:space="preserve"> (ע"ז סי' תתכח)</w:t>
      </w:r>
      <w:r w:rsidRPr="00F540EE">
        <w:rPr>
          <w:rFonts w:cs="Arial" w:hint="cs"/>
          <w:rtl/>
        </w:rPr>
        <w:t xml:space="preserve"> </w:t>
      </w:r>
      <w:r>
        <w:rPr>
          <w:rFonts w:cs="Arial" w:hint="cs"/>
          <w:rtl/>
        </w:rPr>
        <w:t>ו</w:t>
      </w:r>
      <w:r w:rsidRPr="003B72FA">
        <w:rPr>
          <w:rFonts w:cs="Arial"/>
          <w:rtl/>
        </w:rPr>
        <w:t xml:space="preserve">אגור </w:t>
      </w:r>
      <w:r w:rsidRPr="003B72FA">
        <w:rPr>
          <w:rFonts w:cs="Arial"/>
          <w:sz w:val="16"/>
          <w:szCs w:val="16"/>
          <w:rtl/>
        </w:rPr>
        <w:t>(סי' אלף רנד)</w:t>
      </w:r>
      <w:r w:rsidRPr="00C233C9">
        <w:rPr>
          <w:rFonts w:asciiTheme="minorBidi" w:hAnsiTheme="minorBidi"/>
          <w:sz w:val="16"/>
          <w:szCs w:val="16"/>
          <w:rtl/>
        </w:rPr>
        <w:t>.</w:t>
      </w:r>
    </w:p>
  </w:footnote>
  <w:footnote w:id="1097">
    <w:p w14:paraId="3A2C0AF6"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כלומר כשאין בגבינה ס' נגד העור, והמחבר אזיל לטעמיה דס"ל לקמן ר"ס צ"ח דסמכינן אטעימת הגוי לכך כתב סתם אם יש ביה טעם בשר, אבל אנן קי"ל דלא סמכינן האידנא אטעימת גוי, וכמ"ש הרב בהג"ה שם, והלכך לעולם משערינן בס', והיינו דכתב הרב בהג"ה לישנא דאיכא ס', ש"ך (סקל"ד).</w:t>
      </w:r>
    </w:p>
  </w:footnote>
  <w:footnote w:id="1098">
    <w:p w14:paraId="46AD6006"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ומהרש"ל פסק בפכ"ה סי' ק"ו דאפילו המעמיד בעור קיבת נבילה בטל בס', ואין דבריו מוכרחים, ש"ך (סקל"ה).</w:t>
      </w:r>
    </w:p>
  </w:footnote>
  <w:footnote w:id="1099">
    <w:p w14:paraId="0449AC29"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 הט"ז (סקי"ג) והש"ך (סקל"ו) דצ"ל דהדין כך דדוקא כשאין האיסור יכול להעמיד לבדו בלא ההיתר, הא לאו הכי אסור, והכי מוכח להדיא במרדכי שם שכתב שם ראיה לדין זה מידי דהוי גבי שאור, וכ"כ תוס' (ע"ז סח. ד"ה ולר"ש). והש"ך סיים- מיהו יש לחלק דכדי להחמיץ שאני דהוי נ"ט ממש וכדאיתא בש"ס פג"ה (חולין צט:) ע"ש, אבל פשט דברי המרדכי לא משמעינן לחלק בכך, ועוד דא"כ לא היה צריך לסיים- 'אבל אם אין באיסור לבדו כדי להחמיץ אם לא שיסייענו ההיתר לכו"ע מותר' דהא הכא בלא"ה מותר, וצ"ע לדינא, ועיין לקמן סי' קמ"ב ס"ד וסי"א ובמ"ש שם.</w:t>
      </w:r>
    </w:p>
  </w:footnote>
  <w:footnote w:id="1100">
    <w:p w14:paraId="195E5C8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ואע"פ דכשאוכלם יחד נמי ליכא איסור דאו' שאין איסור אלא דוקא דרך בישול יחד ונמצא דהוי גזירה לגזירה בגמרא (קד:) אמרי' דבכה"ג גזרינן גזירה לגזירה </w:t>
      </w:r>
      <w:r w:rsidRPr="00C233C9">
        <w:rPr>
          <w:rFonts w:asciiTheme="minorBidi" w:hAnsiTheme="minorBidi"/>
          <w:sz w:val="16"/>
          <w:szCs w:val="16"/>
          <w:rtl/>
        </w:rPr>
        <w:t>(ז"ל הגמ'- אי שרית ליה לאסוקי עוף וגבינה אתי לאסוקי בשר וגבינה ומיכל בשר בחלב דאורייתא. מתקיף לה רב ששת: סוף סוף צונן בצונן הוא! אמר אביי: גזירה שמא יעלה באילפס רותח, סוף סוף כלי שני הוא וכלי שני אינו מבשל! אלא גזירה שמא יעלה באילפס ראשון)</w:t>
      </w:r>
      <w:r w:rsidRPr="00C233C9">
        <w:rPr>
          <w:rFonts w:asciiTheme="minorBidi" w:hAnsiTheme="minorBidi"/>
          <w:rtl/>
        </w:rPr>
        <w:t>, ט"ז</w:t>
      </w:r>
      <w:r w:rsidRPr="00C233C9">
        <w:rPr>
          <w:rFonts w:asciiTheme="minorBidi" w:hAnsiTheme="minorBidi"/>
          <w:sz w:val="14"/>
          <w:szCs w:val="14"/>
          <w:rtl/>
        </w:rPr>
        <w:t xml:space="preserve"> (סק"א)</w:t>
      </w:r>
      <w:r w:rsidRPr="00C233C9">
        <w:rPr>
          <w:rFonts w:asciiTheme="minorBidi" w:hAnsiTheme="minorBidi"/>
          <w:rtl/>
        </w:rPr>
        <w:t>.</w:t>
      </w:r>
    </w:p>
  </w:footnote>
  <w:footnote w:id="1101">
    <w:p w14:paraId="5410E416"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וכ"מ בדברי הר"ן ומביאו ב"י בסימן צ"ז מיהו ממ"ש הרא"ש בפירושו לנדרים סוף דף מ"א גבי המודר הנאה מחבירו אוכל עמו על השלחן וז"ל ולא חיישינן שמא יאכל עמו דכיון שהדירו מסתמא שונאים זא"ז טפי מב' אכסנאים האוכלים על שלחן א' זה בשר וזה גבינה עכ"ל ומביאו ב"י לקמן סי' רכ"א משמע דאפילו בשאר איסורים נמי דינא הכי וי"ל דנדרים כיון שאינו אסור אלא מצד נדרו חשוב כבשר וחלב שכל א' היתר בפני עצמו אבל בשאר איסורים י"ל דמודה הרא"ש... אכן מדברי הא"ח שהביא הב"י לשם לא משמע הכי לכאורה שכ' שם וז"ל אם רוצה העכו"ם לאכול חמץ בבית ישראל מותר ואפי' על שלחן ישראל קרוב הדבר להתיר זה מצה וזה חמץ דומיא דשני אכסנאים ע"כ, ומדהתיר מטעמא דומיא דשני אכסנאים דוקא מכלל דס"ל דאפילו דבר שהוא אסור בפני עצמו אסור להעלות עמו על השלחן, ומ"מ דברי הר"ן נראים וכן משמעות כל הפוסקים שלא כתבו איסור זה אלא גבי בשר וחלב וגם נ"ל דהא"ח מודה לזה, אלא דשאני התם דעל הלחם יחיה האדם ורגיל בו כל השנה ולא בדילי אינשי מיניה, וכה"ג כ' הרא"ש בפרק אין מעמידין גבי בישול עכו"ם דפת צריך הרחקה טפי משום דעל הלחם יחיה האדם, ומביאו ב"י לקמן ר"ס קי"ד ע"ש, תדע דהא ע"כ הר"ן גופיה מודה בלחם דהא אמרינן ר"פ כ"ה (קד:) חלת חו"ל אי לאו דהיא דרבנן הוי גזרינן העלאה אטו אכילה (וע"ל סי' שכג סק"ב) אע"ג דאסירה באפי נפשה, אלא ודאי דבלחם שייך למיגזר טפי ודו"ק, ש"ך </w:t>
      </w:r>
      <w:r w:rsidRPr="00C233C9">
        <w:rPr>
          <w:rFonts w:asciiTheme="minorBidi" w:hAnsiTheme="minorBidi"/>
          <w:sz w:val="14"/>
          <w:szCs w:val="14"/>
          <w:rtl/>
        </w:rPr>
        <w:t>(סק"ב)</w:t>
      </w:r>
      <w:r w:rsidRPr="00C233C9">
        <w:rPr>
          <w:rFonts w:asciiTheme="minorBidi" w:hAnsiTheme="minorBidi"/>
          <w:rtl/>
        </w:rPr>
        <w:t>.</w:t>
      </w:r>
    </w:p>
  </w:footnote>
  <w:footnote w:id="1102">
    <w:p w14:paraId="270B048C"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כדכתב הרשב"א בתשובה ס"ס קע"ז ומביאו ב"י בא"ח סימן ת"מ, ופסק כך בשו"ע שם. </w:t>
      </w:r>
    </w:p>
  </w:footnote>
  <w:footnote w:id="1103">
    <w:p w14:paraId="6CBA3F8E"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כמ"ש הרשב"א שם תדע דהא אפילו בהפסק מפה קאסר התם. </w:t>
      </w:r>
    </w:p>
  </w:footnote>
  <w:footnote w:id="1104">
    <w:p w14:paraId="40251C7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אין לחוש שיאכל זה משל חבירו, רש"י.</w:t>
      </w:r>
    </w:p>
  </w:footnote>
  <w:footnote w:id="1105">
    <w:p w14:paraId="6AC251C1" w14:textId="77777777" w:rsidR="004C5A3C" w:rsidRPr="00C233C9" w:rsidRDefault="004C5A3C" w:rsidP="002C39F4">
      <w:pPr>
        <w:pStyle w:val="a5"/>
        <w:rPr>
          <w:rFonts w:asciiTheme="minorBidi" w:hAnsiTheme="minorBidi"/>
          <w:color w:val="E36C0A" w:themeColor="accent6" w:themeShade="BF"/>
        </w:rPr>
      </w:pPr>
      <w:r w:rsidRPr="00C233C9">
        <w:rPr>
          <w:rStyle w:val="a7"/>
          <w:rFonts w:asciiTheme="minorBidi" w:hAnsiTheme="minorBidi"/>
        </w:rPr>
        <w:footnoteRef/>
      </w:r>
      <w:r w:rsidRPr="00C233C9">
        <w:rPr>
          <w:rFonts w:asciiTheme="minorBidi" w:hAnsiTheme="minorBidi"/>
          <w:rtl/>
        </w:rPr>
        <w:t xml:space="preserve"> ופירשו התוס' </w:t>
      </w:r>
      <w:r w:rsidRPr="00C233C9">
        <w:rPr>
          <w:rFonts w:asciiTheme="minorBidi" w:hAnsiTheme="minorBidi"/>
          <w:sz w:val="16"/>
          <w:szCs w:val="16"/>
          <w:rtl/>
        </w:rPr>
        <w:t>(ד"ה כעין)</w:t>
      </w:r>
      <w:r w:rsidRPr="00C233C9">
        <w:rPr>
          <w:rFonts w:asciiTheme="minorBidi" w:hAnsiTheme="minorBidi"/>
          <w:rtl/>
        </w:rPr>
        <w:t xml:space="preserve"> והרא"ש </w:t>
      </w:r>
      <w:r w:rsidRPr="00C233C9">
        <w:rPr>
          <w:rFonts w:asciiTheme="minorBidi" w:hAnsiTheme="minorBidi"/>
          <w:sz w:val="16"/>
          <w:szCs w:val="16"/>
          <w:rtl/>
        </w:rPr>
        <w:t xml:space="preserve">(סי' כ) </w:t>
      </w:r>
      <w:r w:rsidRPr="00C233C9">
        <w:rPr>
          <w:rFonts w:asciiTheme="minorBidi" w:hAnsiTheme="minorBidi"/>
          <w:rtl/>
        </w:rPr>
        <w:t xml:space="preserve">שאם יש דבר מפסיק בנתיים לא הוי כעין תפיסה אחת </w:t>
      </w:r>
      <w:r w:rsidRPr="00C233C9">
        <w:rPr>
          <w:rFonts w:asciiTheme="minorBidi" w:hAnsiTheme="minorBidi"/>
          <w:sz w:val="16"/>
          <w:szCs w:val="16"/>
          <w:rtl/>
        </w:rPr>
        <w:t>(כי ההיא דפרק רבי ישמעאל (ע"ז נ.) גבי מרקוליס שאמר כאן בתפיסה אחת כאן בשתי תפיסות היכי דמי שתי תפיסות כגון דאיכא גובהה ביני וביני)</w:t>
      </w:r>
      <w:r w:rsidRPr="00C233C9">
        <w:rPr>
          <w:rFonts w:asciiTheme="minorBidi" w:hAnsiTheme="minorBidi"/>
          <w:rtl/>
        </w:rPr>
        <w:t xml:space="preserve"> ולכך נוהגים עכשיו שנים שאוכלין על שולחן אחד זה בשר וזה גבינה שמניחין לחם או קנקן לעשות מחיצה ביניהם להיכרא או אוכל על מפה אחרת דהוי כעין שתי תפיסות, וכתבו דיש מפרשים בתפיסה אחת שהם בהוצאה אחת </w:t>
      </w:r>
      <w:r w:rsidRPr="00C233C9">
        <w:rPr>
          <w:rFonts w:asciiTheme="minorBidi" w:hAnsiTheme="minorBidi"/>
          <w:sz w:val="16"/>
          <w:szCs w:val="16"/>
          <w:rtl/>
        </w:rPr>
        <w:t>(</w:t>
      </w:r>
      <w:r w:rsidRPr="00C233C9">
        <w:rPr>
          <w:rFonts w:asciiTheme="minorBidi" w:hAnsiTheme="minorBidi"/>
          <w:sz w:val="14"/>
          <w:szCs w:val="14"/>
          <w:rtl/>
        </w:rPr>
        <w:t>{ז"א, מכסף של שניהם}</w:t>
      </w:r>
      <w:r w:rsidRPr="00C233C9">
        <w:rPr>
          <w:rFonts w:asciiTheme="minorBidi" w:hAnsiTheme="minorBidi"/>
          <w:sz w:val="16"/>
          <w:szCs w:val="16"/>
          <w:rtl/>
        </w:rPr>
        <w:t xml:space="preserve"> כמו אחים שקנו אתרוג בתפוסת הבית </w:t>
      </w:r>
      <w:r w:rsidRPr="00C233C9">
        <w:rPr>
          <w:rFonts w:asciiTheme="minorBidi" w:hAnsiTheme="minorBidi"/>
          <w:sz w:val="14"/>
          <w:szCs w:val="14"/>
          <w:rtl/>
        </w:rPr>
        <w:t xml:space="preserve">{כסף ששייך לשניהם מחמת ירושה וכדו'} </w:t>
      </w:r>
      <w:r w:rsidRPr="00C233C9">
        <w:rPr>
          <w:rFonts w:asciiTheme="minorBidi" w:hAnsiTheme="minorBidi"/>
          <w:sz w:val="16"/>
          <w:szCs w:val="16"/>
          <w:rtl/>
        </w:rPr>
        <w:t xml:space="preserve">בפרק יש נוחלין (ב"ב קלז:)) </w:t>
      </w:r>
      <w:r w:rsidRPr="00C233C9">
        <w:rPr>
          <w:rFonts w:asciiTheme="minorBidi" w:hAnsiTheme="minorBidi"/>
          <w:rtl/>
        </w:rPr>
        <w:t xml:space="preserve">ופריך </w:t>
      </w:r>
      <w:r w:rsidRPr="00C233C9">
        <w:rPr>
          <w:rFonts w:asciiTheme="minorBidi" w:hAnsiTheme="minorBidi"/>
          <w:sz w:val="14"/>
          <w:szCs w:val="14"/>
          <w:rtl/>
        </w:rPr>
        <w:t>{בגמ' שלנו}</w:t>
      </w:r>
      <w:r w:rsidRPr="00C233C9">
        <w:rPr>
          <w:rFonts w:asciiTheme="minorBidi" w:hAnsiTheme="minorBidi"/>
          <w:sz w:val="16"/>
          <w:szCs w:val="16"/>
          <w:rtl/>
        </w:rPr>
        <w:t xml:space="preserve"> </w:t>
      </w:r>
      <w:r w:rsidRPr="00C233C9">
        <w:rPr>
          <w:rFonts w:asciiTheme="minorBidi" w:hAnsiTheme="minorBidi"/>
          <w:rtl/>
        </w:rPr>
        <w:t xml:space="preserve">תפיסה אחת סלקא דעתך- מה לי הוצאה אחת מה לי שתי הוצאות אם מכירים זה את זה, ומשני- כעין תפיסה אחת- דהיינו שמכירים זה את זה, ולפירוש זה לא מצינו שהם מותרים על שולחן אחד מחמת הפסק שיש ביניהם ע"כ. וכ' הב"י- הרי"ף לא הזכיר הא דכעין תפיסה אחת ונראה שהוא היה מפרש כפירוש אחרון שכתבו התוס' והרא"ש, וכן נראה שהוא דעת הרמב"ם </w:t>
      </w:r>
      <w:r w:rsidRPr="00C233C9">
        <w:rPr>
          <w:rFonts w:asciiTheme="minorBidi" w:hAnsiTheme="minorBidi"/>
          <w:sz w:val="16"/>
          <w:szCs w:val="16"/>
          <w:rtl/>
        </w:rPr>
        <w:t>(פ"ט הכ"א)</w:t>
      </w:r>
      <w:r w:rsidRPr="00C233C9">
        <w:rPr>
          <w:rFonts w:asciiTheme="minorBidi" w:hAnsiTheme="minorBidi"/>
          <w:rtl/>
        </w:rPr>
        <w:t xml:space="preserve">, והעולם נוהגים כדברי הפירוש הראשון לאכול זה בשר וזה גבינה ע"י הפסק שביניהם או ע"י שכל אחד אוכל במפה אחרת, וכ"כ רי"ו </w:t>
      </w:r>
      <w:r w:rsidRPr="00C233C9">
        <w:rPr>
          <w:rFonts w:asciiTheme="minorBidi" w:hAnsiTheme="minorBidi"/>
          <w:sz w:val="16"/>
          <w:szCs w:val="16"/>
          <w:rtl/>
        </w:rPr>
        <w:t>(נט"ו אות כח קלז ע"ג)</w:t>
      </w:r>
      <w:r w:rsidRPr="00C233C9">
        <w:rPr>
          <w:rFonts w:asciiTheme="minorBidi" w:hAnsiTheme="minorBidi"/>
          <w:rtl/>
        </w:rPr>
        <w:t xml:space="preserve">, וכ"מ דעת הטור, וכ"פ הרשב"א </w:t>
      </w:r>
      <w:r w:rsidRPr="00C233C9">
        <w:rPr>
          <w:rFonts w:asciiTheme="minorBidi" w:hAnsiTheme="minorBidi"/>
          <w:sz w:val="16"/>
          <w:szCs w:val="16"/>
          <w:rtl/>
        </w:rPr>
        <w:t>(תוה"</w:t>
      </w:r>
      <w:r>
        <w:rPr>
          <w:rFonts w:asciiTheme="minorBidi" w:hAnsiTheme="minorBidi" w:hint="cs"/>
          <w:sz w:val="16"/>
          <w:szCs w:val="16"/>
          <w:rtl/>
        </w:rPr>
        <w:t>ק</w:t>
      </w:r>
      <w:r w:rsidRPr="00C233C9">
        <w:rPr>
          <w:rFonts w:asciiTheme="minorBidi" w:hAnsiTheme="minorBidi"/>
          <w:sz w:val="16"/>
          <w:szCs w:val="16"/>
          <w:rtl/>
        </w:rPr>
        <w:t xml:space="preserve"> ב"ג ש"ד פה:)</w:t>
      </w:r>
      <w:r w:rsidRPr="00C233C9">
        <w:rPr>
          <w:rFonts w:asciiTheme="minorBidi" w:hAnsiTheme="minorBidi"/>
          <w:rtl/>
        </w:rPr>
        <w:t xml:space="preserve">. </w:t>
      </w:r>
      <w:r w:rsidRPr="00C233C9">
        <w:rPr>
          <w:rFonts w:asciiTheme="minorBidi" w:hAnsiTheme="minorBidi"/>
          <w:color w:val="E36C0A" w:themeColor="accent6" w:themeShade="BF"/>
          <w:rtl/>
        </w:rPr>
        <w:t>(וכ"פ בשו"ע)</w:t>
      </w:r>
    </w:p>
  </w:footnote>
  <w:footnote w:id="1106">
    <w:p w14:paraId="3BC7465C"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כיון דמקפידין שאין זה אוכל משל זה מותר או לא, רש"י.</w:t>
      </w:r>
    </w:p>
  </w:footnote>
  <w:footnote w:id="1107">
    <w:p w14:paraId="66E30AD1"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לענין מצות דפסח תנא אין עושין סריקין המצויירין בפסח מפני שהאשה שוהה עליהן ומחמצתן ונחתום אחד ובייתוס שמו היה לו דפוס אחד מצוייר והיה מושיב לתוכו את הסריק והוא מצוייר מיד אמר להם אפשר יעשנה בדפוס ויקבענה מיד אמרו לו א"כ יאמרו כל הסריקין אסורין וסריקי בייתוס מותרין והכא נמי יאמרו כל האחין אסורין ואלו מותרין, רש"י.</w:t>
      </w:r>
    </w:p>
  </w:footnote>
  <w:footnote w:id="1108">
    <w:p w14:paraId="2F22D423"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w:t>
      </w:r>
      <w:r>
        <w:rPr>
          <w:rFonts w:asciiTheme="minorBidi" w:hAnsiTheme="minorBidi" w:hint="cs"/>
          <w:rtl/>
        </w:rPr>
        <w:t>וכ' ה</w:t>
      </w:r>
      <w:r w:rsidRPr="00C233C9">
        <w:rPr>
          <w:rFonts w:asciiTheme="minorBidi" w:hAnsiTheme="minorBidi"/>
          <w:rtl/>
        </w:rPr>
        <w:t>ש"ך (סק"ד)</w:t>
      </w:r>
      <w:r>
        <w:rPr>
          <w:rFonts w:asciiTheme="minorBidi" w:hAnsiTheme="minorBidi" w:hint="cs"/>
          <w:rtl/>
        </w:rPr>
        <w:t xml:space="preserve"> ד</w:t>
      </w:r>
      <w:r w:rsidRPr="00C233C9">
        <w:rPr>
          <w:rFonts w:asciiTheme="minorBidi" w:hAnsiTheme="minorBidi"/>
          <w:rtl/>
        </w:rPr>
        <w:t>ז</w:t>
      </w:r>
      <w:r>
        <w:rPr>
          <w:rFonts w:asciiTheme="minorBidi" w:hAnsiTheme="minorBidi" w:hint="cs"/>
          <w:rtl/>
        </w:rPr>
        <w:t>ו</w:t>
      </w:r>
      <w:r w:rsidRPr="00C233C9">
        <w:rPr>
          <w:rFonts w:asciiTheme="minorBidi" w:hAnsiTheme="minorBidi"/>
          <w:rtl/>
        </w:rPr>
        <w:t xml:space="preserve"> דעת האחרונים, ודלא כמהרש"ל </w:t>
      </w:r>
      <w:r w:rsidRPr="00C233C9">
        <w:rPr>
          <w:rFonts w:asciiTheme="minorBidi" w:hAnsiTheme="minorBidi"/>
          <w:sz w:val="16"/>
          <w:szCs w:val="16"/>
          <w:rtl/>
        </w:rPr>
        <w:t xml:space="preserve">(פכ"ה סי' מג, וז"ל- ולא נהירא {דברי השו"ע} דהא איתא בגמרא א"ל רב יימר לאביי אחין ומקפידין זע"ז מהו ופשט ליה דאסור ולא מבעיא ליה בשאר בני אדם מכירין זא"ז ומקפידין אלא ש"מ דוקא אחין שמקפידין אבל בשאר בני אדם אין שייך מכירין ומקפידין דלשון מכירין משמע שאוהבין זא"ז בלא הקפדה, ובטור או"ח סי' קע"ג נזהר מזה וכתב אם היו מכירין זא"ז או ב' אחין אפילו מקפידין זע"ז אסור עכ"ל) </w:t>
      </w:r>
      <w:r w:rsidRPr="00C233C9">
        <w:rPr>
          <w:rFonts w:asciiTheme="minorBidi" w:hAnsiTheme="minorBidi"/>
          <w:rtl/>
        </w:rPr>
        <w:t>שמתיר בשני בני אדם שאינן אחין אפילו מכירין זא"ז אם מקפידין.</w:t>
      </w:r>
      <w:r>
        <w:rPr>
          <w:rFonts w:asciiTheme="minorBidi" w:hAnsiTheme="minorBidi" w:hint="cs"/>
          <w:rtl/>
        </w:rPr>
        <w:t xml:space="preserve"> עכ"ל הש"ך.</w:t>
      </w:r>
      <w:r w:rsidRPr="00C233C9">
        <w:rPr>
          <w:rFonts w:asciiTheme="minorBidi" w:hAnsiTheme="minorBidi"/>
          <w:rtl/>
        </w:rPr>
        <w:t xml:space="preserve"> וגם הט"ז (סק"ב) חלק על המהרש"ל </w:t>
      </w:r>
      <w:r w:rsidRPr="00C233C9">
        <w:rPr>
          <w:rFonts w:asciiTheme="minorBidi" w:hAnsiTheme="minorBidi"/>
          <w:sz w:val="16"/>
          <w:szCs w:val="16"/>
          <w:rtl/>
        </w:rPr>
        <w:t>(וז"ל- דהא בשני אחין ומקפידין היה ג"כ הסברא להתיר בגמ' אלא משום לא פלוג רבנן אסרו מטעם שלא יאמרו כל הסריקין כו', א"כ ה"נ בשאר המכירים זא"ז אמרי' לא פלוג, א"כ מ"ש הטור בא"ח אפי' מקפידין קאי גם ארישא דהיינו מכירין זא"ז וכדבריו כאן)</w:t>
      </w:r>
      <w:r w:rsidRPr="00C233C9">
        <w:rPr>
          <w:rFonts w:asciiTheme="minorBidi" w:hAnsiTheme="minorBidi"/>
          <w:rtl/>
        </w:rPr>
        <w:t>.</w:t>
      </w:r>
    </w:p>
  </w:footnote>
  <w:footnote w:id="1109">
    <w:p w14:paraId="6630FEE1"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 הב"י (באו"ח סי' קעג)- ונראה דה"ה לקנקן שמפסיקין בו שצריך שלא ישתו ממנו, ומיהו יש לחלק ולומר דדוקא בלחם שכן דרך להניחו על השלחן ליכא היכרא אי אכלי מיניה, אבל קנקן אם אין דרכן להניחו על השולחן והניחו עכשיו להפסיק אע"פ ששותין ממנו מינכרא מילתא ושפיר הוי הפסק. </w:t>
      </w:r>
      <w:r w:rsidRPr="00C233C9">
        <w:rPr>
          <w:rFonts w:asciiTheme="minorBidi" w:hAnsiTheme="minorBidi"/>
          <w:color w:val="00B0F0"/>
          <w:rtl/>
        </w:rPr>
        <w:t>(וכ"פ הרמ"א)</w:t>
      </w:r>
      <w:r w:rsidRPr="00C233C9">
        <w:rPr>
          <w:rFonts w:asciiTheme="minorBidi" w:hAnsiTheme="minorBidi"/>
          <w:rtl/>
        </w:rPr>
        <w:t>. והב"ח פסק דאם שותין ממנו לא הוי היכר אע"פ שאין דרכו להיות על השלחן. וכ' הש"ך (סק"ו) דדברי הב"י והרב עיקר.</w:t>
      </w:r>
    </w:p>
  </w:footnote>
  <w:footnote w:id="1110">
    <w:p w14:paraId="00AEF87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 הדרכ"מ (אות א)- ונ"ל דאם אין אוכלין מן הפת שהניחו ביניהם להיכירא הוי כמנורה וקנקן. וכ' עוד הדרכ"מ דמשמע בארוך (שם) דבעינן היכר וגם שני מפות, ולא די באחד מהן, אמנם כ' הדרכ"מ דהמנהג כדברי הטור </w:t>
      </w:r>
      <w:r w:rsidRPr="00C233C9">
        <w:rPr>
          <w:rFonts w:asciiTheme="minorBidi" w:hAnsiTheme="minorBidi"/>
          <w:sz w:val="16"/>
          <w:szCs w:val="16"/>
          <w:rtl/>
        </w:rPr>
        <w:t>{והרשב"א}</w:t>
      </w:r>
      <w:r w:rsidRPr="00C233C9">
        <w:rPr>
          <w:rFonts w:asciiTheme="minorBidi" w:hAnsiTheme="minorBidi"/>
          <w:rtl/>
        </w:rPr>
        <w:t>.</w:t>
      </w:r>
    </w:p>
  </w:footnote>
  <w:footnote w:id="1111">
    <w:p w14:paraId="537F01A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שאינם מתביישים זה מזה ויאכל כל אחד מחבירו, ש"ך (סק"ג).</w:t>
      </w:r>
    </w:p>
  </w:footnote>
  <w:footnote w:id="1112">
    <w:p w14:paraId="4A6FAA14"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ולא דמי ללחם, דלחם אי אכלי מיניה לא הוי היכרא בזה שנתנוהו על השולחן, ע"פ ב"י (או"ח סי' קעג).</w:t>
      </w:r>
    </w:p>
  </w:footnote>
  <w:footnote w:id="1113">
    <w:p w14:paraId="38DCA5F8"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היינו כשאין דרכה להיות שם כגון ביום ובכה"ג אבל אם דרכה להיות בלילה במקום הזה לא הוי היכר, ש"ך (סק"ז).</w:t>
      </w:r>
    </w:p>
  </w:footnote>
  <w:footnote w:id="1114">
    <w:p w14:paraId="03D7F9BB"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ז"ל הב"י באו"ח </w:t>
      </w:r>
      <w:r w:rsidRPr="00C233C9">
        <w:rPr>
          <w:rFonts w:asciiTheme="minorBidi" w:hAnsiTheme="minorBidi"/>
          <w:sz w:val="16"/>
          <w:szCs w:val="16"/>
          <w:rtl/>
        </w:rPr>
        <w:t>(סי' קעג)</w:t>
      </w:r>
      <w:r w:rsidRPr="00C233C9">
        <w:rPr>
          <w:rFonts w:asciiTheme="minorBidi" w:hAnsiTheme="minorBidi"/>
          <w:rtl/>
        </w:rPr>
        <w:t xml:space="preserve">- וכתבו עוד </w:t>
      </w:r>
      <w:r>
        <w:rPr>
          <w:rFonts w:asciiTheme="minorBidi" w:hAnsiTheme="minorBidi"/>
          <w:rtl/>
        </w:rPr>
        <w:t>הג"א</w:t>
      </w:r>
      <w:r w:rsidRPr="00C233C9">
        <w:rPr>
          <w:rFonts w:asciiTheme="minorBidi" w:hAnsiTheme="minorBidi"/>
          <w:rtl/>
        </w:rPr>
        <w:t xml:space="preserve"> מנהג רבינו קלונימוס ורבינו יהודה שלא היו שותין מכוס אחד כשאוכלין בשר וגבינה ואפי' מוחלקין על השולחן אבל איסורא ליכא אלא משום הרחקה היה עושה כך וצריך נמי מפה בפני זה ובפני זה, עכ"ל. וכ"כ בשע"ד דמנהג שלא ישתו מכוס אחד. וכ' האו"ה (כלל מ דין יד) על דבריו דנכון ליזהר אפילו אם ישבו על שתי שולחנות אם לא שידיח הכוס בין כל שתייה ושתייה משום דרוב פעמים נדבק קצת שמנונית של המאכל מכל אחד בפיו ונדבק אז בכלי ובולע כל אחד ממנו, וה"ה לשני אכסנאים, ע"כ. והביא הש"ך (סק"ח) את דבריו.</w:t>
      </w:r>
    </w:p>
  </w:footnote>
  <w:footnote w:id="1115">
    <w:p w14:paraId="0F943E39" w14:textId="77777777" w:rsidR="004C5A3C" w:rsidRDefault="004C5A3C" w:rsidP="002C39F4">
      <w:pPr>
        <w:pStyle w:val="a5"/>
        <w:rPr>
          <w:rtl/>
        </w:rPr>
      </w:pPr>
      <w:r>
        <w:rPr>
          <w:rStyle w:val="a7"/>
        </w:rPr>
        <w:footnoteRef/>
      </w:r>
      <w:r>
        <w:rPr>
          <w:rtl/>
        </w:rPr>
        <w:t xml:space="preserve"> </w:t>
      </w:r>
      <w:r>
        <w:rPr>
          <w:rFonts w:hint="cs"/>
          <w:rtl/>
        </w:rPr>
        <w:t xml:space="preserve">וכן מבואר </w:t>
      </w:r>
      <w:r w:rsidRPr="00632A9A">
        <w:rPr>
          <w:rtl/>
        </w:rPr>
        <w:t>מדברי הרא"ש שהביא הש"ך בסק</w:t>
      </w:r>
      <w:r w:rsidRPr="00632A9A">
        <w:rPr>
          <w:rFonts w:hint="cs"/>
          <w:rtl/>
        </w:rPr>
        <w:t>"</w:t>
      </w:r>
      <w:r w:rsidRPr="00632A9A">
        <w:rPr>
          <w:rtl/>
        </w:rPr>
        <w:t>ב</w:t>
      </w:r>
      <w:r>
        <w:rPr>
          <w:rFonts w:hint="cs"/>
          <w:rtl/>
        </w:rPr>
        <w:t>, פת"ש.</w:t>
      </w:r>
    </w:p>
  </w:footnote>
  <w:footnote w:id="1116">
    <w:p w14:paraId="4523C887"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משמע שאכל בשר ורוצה לאכול גבינה, רש"י.</w:t>
      </w:r>
    </w:p>
  </w:footnote>
  <w:footnote w:id="1117">
    <w:p w14:paraId="08D0C940"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משום דבשר מוציא שומן והוא נדבק בפה ומאריך בטעמו, רש"י. והרמב"ם </w:t>
      </w:r>
      <w:r w:rsidRPr="00C233C9">
        <w:rPr>
          <w:rFonts w:asciiTheme="minorBidi" w:hAnsiTheme="minorBidi"/>
          <w:sz w:val="16"/>
          <w:szCs w:val="16"/>
          <w:rtl/>
        </w:rPr>
        <w:t xml:space="preserve">(פ"ט הכ"ח) </w:t>
      </w:r>
      <w:r w:rsidRPr="00C233C9">
        <w:rPr>
          <w:rFonts w:asciiTheme="minorBidi" w:hAnsiTheme="minorBidi"/>
          <w:rtl/>
        </w:rPr>
        <w:t>פירש- מפני הבשר של בין השינים שאינו סר בקינוח.</w:t>
      </w:r>
    </w:p>
  </w:footnote>
  <w:footnote w:id="1118">
    <w:p w14:paraId="4CC5466F"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מי חשיב בשר שלא לאכול גבינה עמו עד שיטלנו, רש"י.</w:t>
      </w:r>
    </w:p>
  </w:footnote>
  <w:footnote w:id="1119">
    <w:p w14:paraId="472BF447"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אלמא מיקרי בשר, רש"י.</w:t>
      </w:r>
    </w:p>
  </w:footnote>
  <w:footnote w:id="1120">
    <w:p w14:paraId="7C472D78"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מעת לעת, רש"י.</w:t>
      </w:r>
    </w:p>
  </w:footnote>
  <w:footnote w:id="1121">
    <w:p w14:paraId="51A84117"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כ"כ התוס' (קד: ד"ה עוף וגבינה) והרא"ש (סי' ה) בשמם.</w:t>
      </w:r>
    </w:p>
  </w:footnote>
  <w:footnote w:id="1122">
    <w:p w14:paraId="3ED5E9CB"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כ"כ הגה"מ (פ"ט הכ"ח אות ג) בשמו.</w:t>
      </w:r>
    </w:p>
  </w:footnote>
  <w:footnote w:id="1123">
    <w:p w14:paraId="2F76F3CD"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ומר עוקבא דלא אכיל עד סעודה אחריתי היינו בלא נטילה וקינוח</w:t>
      </w:r>
      <w:r>
        <w:rPr>
          <w:rFonts w:asciiTheme="minorBidi" w:hAnsiTheme="minorBidi" w:hint="cs"/>
          <w:rtl/>
        </w:rPr>
        <w:t>,</w:t>
      </w:r>
      <w:r w:rsidRPr="00C233C9">
        <w:rPr>
          <w:rFonts w:asciiTheme="minorBidi" w:hAnsiTheme="minorBidi"/>
          <w:rtl/>
        </w:rPr>
        <w:t xml:space="preserve"> אי נמי מחמיר על עצמו היה, תוס'.</w:t>
      </w:r>
    </w:p>
  </w:footnote>
  <w:footnote w:id="1124">
    <w:p w14:paraId="0173DE43"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ולדבריהם אין לו לברך ברכת המזון על מנת לאכול גבינה, </w:t>
      </w:r>
      <w:r>
        <w:rPr>
          <w:rFonts w:asciiTheme="minorBidi" w:hAnsiTheme="minorBidi"/>
          <w:rtl/>
        </w:rPr>
        <w:t>או"ה</w:t>
      </w:r>
      <w:r w:rsidRPr="00C233C9">
        <w:rPr>
          <w:rFonts w:asciiTheme="minorBidi" w:hAnsiTheme="minorBidi"/>
          <w:rtl/>
        </w:rPr>
        <w:t xml:space="preserve"> (כלל מ דין ג) בשם מהר"ח.</w:t>
      </w:r>
    </w:p>
  </w:footnote>
  <w:footnote w:id="1125">
    <w:p w14:paraId="55225B33"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w:t>
      </w:r>
      <w:r>
        <w:rPr>
          <w:rFonts w:asciiTheme="minorBidi" w:hAnsiTheme="minorBidi" w:hint="cs"/>
          <w:rtl/>
        </w:rPr>
        <w:t xml:space="preserve">וכ' מהרא"י </w:t>
      </w:r>
      <w:r w:rsidRPr="00B476AD">
        <w:rPr>
          <w:rFonts w:asciiTheme="minorBidi" w:hAnsiTheme="minorBidi" w:hint="cs"/>
          <w:sz w:val="16"/>
          <w:szCs w:val="16"/>
          <w:rtl/>
        </w:rPr>
        <w:t>(</w:t>
      </w:r>
      <w:r>
        <w:rPr>
          <w:rFonts w:asciiTheme="minorBidi" w:hAnsiTheme="minorBidi" w:hint="cs"/>
          <w:sz w:val="16"/>
          <w:szCs w:val="16"/>
          <w:rtl/>
        </w:rPr>
        <w:t>ב</w:t>
      </w:r>
      <w:r w:rsidRPr="00B476AD">
        <w:rPr>
          <w:rFonts w:asciiTheme="minorBidi" w:hAnsiTheme="minorBidi"/>
          <w:sz w:val="16"/>
          <w:szCs w:val="16"/>
          <w:rtl/>
        </w:rPr>
        <w:t xml:space="preserve">הגשע"ד </w:t>
      </w:r>
      <w:r w:rsidRPr="003024E5">
        <w:rPr>
          <w:rFonts w:asciiTheme="minorBidi" w:hAnsiTheme="minorBidi"/>
          <w:sz w:val="16"/>
          <w:szCs w:val="16"/>
          <w:rtl/>
        </w:rPr>
        <w:t>סי' עו סק"ב)</w:t>
      </w:r>
      <w:r w:rsidRPr="003024E5">
        <w:rPr>
          <w:rFonts w:asciiTheme="minorBidi" w:hAnsiTheme="minorBidi"/>
          <w:rtl/>
        </w:rPr>
        <w:t xml:space="preserve">- </w:t>
      </w:r>
      <w:r w:rsidRPr="00B476AD">
        <w:rPr>
          <w:rFonts w:asciiTheme="minorBidi" w:hAnsiTheme="minorBidi" w:cs="Arial"/>
          <w:rtl/>
        </w:rPr>
        <w:t>רבים נוהגים להקל ועושין להם פשרה מדעתם להמתין שעה א</w:t>
      </w:r>
      <w:r>
        <w:rPr>
          <w:rFonts w:asciiTheme="minorBidi" w:hAnsiTheme="minorBidi" w:cs="Arial" w:hint="cs"/>
          <w:rtl/>
        </w:rPr>
        <w:t>'</w:t>
      </w:r>
      <w:r w:rsidRPr="00B476AD">
        <w:rPr>
          <w:rFonts w:asciiTheme="minorBidi" w:hAnsiTheme="minorBidi" w:cs="Arial"/>
          <w:rtl/>
        </w:rPr>
        <w:t xml:space="preserve"> אחר סעודת בשר וסליקו וברכו ואז אוכלין גבינה. ואע</w:t>
      </w:r>
      <w:r>
        <w:rPr>
          <w:rFonts w:asciiTheme="minorBidi" w:hAnsiTheme="minorBidi" w:cs="Arial" w:hint="cs"/>
          <w:rtl/>
        </w:rPr>
        <w:t>"</w:t>
      </w:r>
      <w:r w:rsidRPr="00B476AD">
        <w:rPr>
          <w:rFonts w:asciiTheme="minorBidi" w:hAnsiTheme="minorBidi" w:cs="Arial"/>
          <w:rtl/>
        </w:rPr>
        <w:t>פ דלא אשכחנא טעמא ורמז לשיעור זה ממה נפשך, מ</w:t>
      </w:r>
      <w:r>
        <w:rPr>
          <w:rFonts w:asciiTheme="minorBidi" w:hAnsiTheme="minorBidi" w:cs="Arial" w:hint="cs"/>
          <w:rtl/>
        </w:rPr>
        <w:t>"מ</w:t>
      </w:r>
      <w:r w:rsidRPr="00B476AD">
        <w:rPr>
          <w:rFonts w:asciiTheme="minorBidi" w:hAnsiTheme="minorBidi" w:cs="Arial"/>
          <w:rtl/>
        </w:rPr>
        <w:t xml:space="preserve"> מי ימחה בידם הואיל ותוס</w:t>
      </w:r>
      <w:r>
        <w:rPr>
          <w:rFonts w:asciiTheme="minorBidi" w:hAnsiTheme="minorBidi" w:cs="Arial" w:hint="cs"/>
          <w:rtl/>
        </w:rPr>
        <w:t>'</w:t>
      </w:r>
      <w:r w:rsidRPr="00B476AD">
        <w:rPr>
          <w:rFonts w:asciiTheme="minorBidi" w:hAnsiTheme="minorBidi" w:cs="Arial"/>
          <w:rtl/>
        </w:rPr>
        <w:t xml:space="preserve"> וראבי"ה מתירין. אכן הצנועים מושכין ידיהם עד מסעודת שחרית לסעודת ערבית</w:t>
      </w:r>
      <w:r w:rsidRPr="003024E5">
        <w:rPr>
          <w:rFonts w:asciiTheme="minorBidi" w:hAnsiTheme="minorBidi"/>
          <w:rtl/>
        </w:rPr>
        <w:t>.</w:t>
      </w:r>
      <w:r>
        <w:rPr>
          <w:rFonts w:asciiTheme="minorBidi" w:hAnsiTheme="minorBidi" w:hint="cs"/>
          <w:rtl/>
        </w:rPr>
        <w:t xml:space="preserve"> עכ"ל. וכ' </w:t>
      </w:r>
      <w:r w:rsidRPr="001F627E">
        <w:rPr>
          <w:rFonts w:asciiTheme="minorBidi" w:hAnsiTheme="minorBidi"/>
          <w:rtl/>
        </w:rPr>
        <w:t xml:space="preserve">או"ה </w:t>
      </w:r>
      <w:r w:rsidRPr="001F627E">
        <w:rPr>
          <w:rFonts w:asciiTheme="minorBidi" w:hAnsiTheme="minorBidi"/>
          <w:sz w:val="16"/>
          <w:szCs w:val="16"/>
          <w:rtl/>
        </w:rPr>
        <w:t>(</w:t>
      </w:r>
      <w:r>
        <w:rPr>
          <w:rFonts w:asciiTheme="minorBidi" w:hAnsiTheme="minorBidi" w:hint="cs"/>
          <w:sz w:val="16"/>
          <w:szCs w:val="16"/>
          <w:rtl/>
        </w:rPr>
        <w:t>כ"</w:t>
      </w:r>
      <w:r w:rsidRPr="001F627E">
        <w:rPr>
          <w:rFonts w:asciiTheme="minorBidi" w:hAnsiTheme="minorBidi"/>
          <w:sz w:val="16"/>
          <w:szCs w:val="16"/>
          <w:rtl/>
        </w:rPr>
        <w:t>מ ד</w:t>
      </w:r>
      <w:r>
        <w:rPr>
          <w:rFonts w:asciiTheme="minorBidi" w:hAnsiTheme="minorBidi" w:hint="cs"/>
          <w:sz w:val="16"/>
          <w:szCs w:val="16"/>
          <w:rtl/>
        </w:rPr>
        <w:t>"</w:t>
      </w:r>
      <w:r w:rsidRPr="001F627E">
        <w:rPr>
          <w:rFonts w:asciiTheme="minorBidi" w:hAnsiTheme="minorBidi"/>
          <w:sz w:val="16"/>
          <w:szCs w:val="16"/>
          <w:rtl/>
        </w:rPr>
        <w:t>ד-ז)</w:t>
      </w:r>
      <w:r w:rsidRPr="001F627E">
        <w:rPr>
          <w:rFonts w:asciiTheme="minorBidi" w:hAnsiTheme="minorBidi"/>
          <w:rtl/>
        </w:rPr>
        <w:t>- נוהגים העולם להמתין שעה א</w:t>
      </w:r>
      <w:r>
        <w:rPr>
          <w:rFonts w:asciiTheme="minorBidi" w:hAnsiTheme="minorBidi" w:hint="cs"/>
          <w:rtl/>
        </w:rPr>
        <w:t>'</w:t>
      </w:r>
      <w:r w:rsidRPr="001F627E">
        <w:rPr>
          <w:rFonts w:asciiTheme="minorBidi" w:hAnsiTheme="minorBidi"/>
          <w:rtl/>
        </w:rPr>
        <w:t xml:space="preserve"> מכ"ד ליום אחר ברכת המזון ואז אוכלין גבינה אפילו בלא קינוח והדחה אפילו אחר בשר בהמה</w:t>
      </w:r>
      <w:r w:rsidRPr="001F627E">
        <w:rPr>
          <w:rFonts w:asciiTheme="minorBidi" w:hAnsiTheme="minorBidi" w:hint="cs"/>
          <w:rtl/>
        </w:rPr>
        <w:t>,</w:t>
      </w:r>
      <w:r w:rsidRPr="001F627E">
        <w:rPr>
          <w:rFonts w:asciiTheme="minorBidi" w:hAnsiTheme="minorBidi"/>
          <w:rtl/>
        </w:rPr>
        <w:t xml:space="preserve"> וממתינין גם כן השעה אחר בשר חיה ועוף</w:t>
      </w:r>
      <w:r>
        <w:rPr>
          <w:rFonts w:asciiTheme="minorBidi" w:hAnsiTheme="minorBidi" w:hint="cs"/>
          <w:rtl/>
        </w:rPr>
        <w:t xml:space="preserve">. עכ"ל. </w:t>
      </w:r>
      <w:r w:rsidRPr="00C233C9">
        <w:rPr>
          <w:rFonts w:asciiTheme="minorBidi" w:hAnsiTheme="minorBidi"/>
          <w:rtl/>
        </w:rPr>
        <w:t xml:space="preserve">וכ' הדרכ"מ </w:t>
      </w:r>
      <w:r w:rsidRPr="00C233C9">
        <w:rPr>
          <w:rFonts w:asciiTheme="minorBidi" w:hAnsiTheme="minorBidi"/>
          <w:sz w:val="16"/>
          <w:szCs w:val="16"/>
          <w:rtl/>
        </w:rPr>
        <w:t>(אות ה)</w:t>
      </w:r>
      <w:r w:rsidRPr="00C233C9">
        <w:rPr>
          <w:rFonts w:asciiTheme="minorBidi" w:hAnsiTheme="minorBidi"/>
          <w:rtl/>
        </w:rPr>
        <w:t>- ונ"ל דלאחר שסלקו וברכו הוא דמהני שעה, אבל באותה סעודה קודם בר</w:t>
      </w:r>
      <w:r>
        <w:rPr>
          <w:rFonts w:asciiTheme="minorBidi" w:hAnsiTheme="minorBidi" w:hint="cs"/>
          <w:rtl/>
        </w:rPr>
        <w:t>המ"ז</w:t>
      </w:r>
      <w:r w:rsidRPr="00C233C9">
        <w:rPr>
          <w:rFonts w:asciiTheme="minorBidi" w:hAnsiTheme="minorBidi"/>
          <w:rtl/>
        </w:rPr>
        <w:t xml:space="preserve"> פשיטא דלא מהני שיעור שעה, ומדברי </w:t>
      </w:r>
      <w:r>
        <w:rPr>
          <w:rFonts w:asciiTheme="minorBidi" w:hAnsiTheme="minorBidi"/>
          <w:rtl/>
        </w:rPr>
        <w:t>או"ה</w:t>
      </w:r>
      <w:r w:rsidRPr="00C233C9">
        <w:rPr>
          <w:rFonts w:asciiTheme="minorBidi" w:hAnsiTheme="minorBidi"/>
          <w:rtl/>
        </w:rPr>
        <w:t xml:space="preserve"> משמע דהמתנת שעה צריכה להיות אחר ברהמ</w:t>
      </w:r>
      <w:r>
        <w:rPr>
          <w:rFonts w:asciiTheme="minorBidi" w:hAnsiTheme="minorBidi" w:hint="cs"/>
          <w:rtl/>
        </w:rPr>
        <w:t>"</w:t>
      </w:r>
      <w:r w:rsidRPr="00C233C9">
        <w:rPr>
          <w:rFonts w:asciiTheme="minorBidi" w:hAnsiTheme="minorBidi"/>
          <w:rtl/>
        </w:rPr>
        <w:t>ז אבל אם המתין קודם ברהמ</w:t>
      </w:r>
      <w:r>
        <w:rPr>
          <w:rFonts w:asciiTheme="minorBidi" w:hAnsiTheme="minorBidi" w:hint="cs"/>
          <w:rtl/>
        </w:rPr>
        <w:t>"</w:t>
      </w:r>
      <w:r w:rsidRPr="00C233C9">
        <w:rPr>
          <w:rFonts w:asciiTheme="minorBidi" w:hAnsiTheme="minorBidi"/>
          <w:rtl/>
        </w:rPr>
        <w:t>ז אע"ג דבירך לא מהני</w:t>
      </w:r>
      <w:r w:rsidRPr="00C233C9">
        <w:rPr>
          <w:rFonts w:asciiTheme="minorBidi" w:hAnsiTheme="minorBidi"/>
          <w:sz w:val="16"/>
          <w:szCs w:val="16"/>
          <w:rtl/>
        </w:rPr>
        <w:t xml:space="preserve"> (דהא קאמר- ונהגו להמתין שעה... אחר ברכת המזון)</w:t>
      </w:r>
      <w:r w:rsidRPr="00C233C9">
        <w:rPr>
          <w:rFonts w:asciiTheme="minorBidi" w:hAnsiTheme="minorBidi"/>
          <w:rtl/>
        </w:rPr>
        <w:t xml:space="preserve">, אמנם לפי הטעם שכ' מהרא"י </w:t>
      </w:r>
      <w:r w:rsidRPr="00C233C9">
        <w:rPr>
          <w:rFonts w:asciiTheme="minorBidi" w:hAnsiTheme="minorBidi"/>
          <w:sz w:val="16"/>
          <w:szCs w:val="16"/>
          <w:rtl/>
        </w:rPr>
        <w:t>(דאין למחות בידם משום דהואיל ועבדי כתוס' וראבי"ה)</w:t>
      </w:r>
      <w:r w:rsidRPr="00C233C9">
        <w:rPr>
          <w:rFonts w:asciiTheme="minorBidi" w:hAnsiTheme="minorBidi"/>
          <w:rtl/>
        </w:rPr>
        <w:t xml:space="preserve"> נראה דאין לחלק בהא, ואפשר דאף הארוך לא קאמר אלא אורחא דמילתא וה"ה אם המתין השעה קודם ובירך וסילק דשרי.</w:t>
      </w:r>
      <w:r w:rsidRPr="00F357B0">
        <w:rPr>
          <w:rFonts w:asciiTheme="minorBidi" w:hAnsiTheme="minorBidi" w:hint="cs"/>
          <w:color w:val="00B0F0"/>
          <w:rtl/>
        </w:rPr>
        <w:t xml:space="preserve"> (וכ"פ בהגה)</w:t>
      </w:r>
    </w:p>
  </w:footnote>
  <w:footnote w:id="1126">
    <w:p w14:paraId="22118979"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ר"ח </w:t>
      </w:r>
      <w:r w:rsidRPr="00C233C9">
        <w:rPr>
          <w:rFonts w:asciiTheme="minorBidi" w:hAnsiTheme="minorBidi"/>
          <w:sz w:val="16"/>
          <w:szCs w:val="16"/>
          <w:rtl/>
        </w:rPr>
        <w:t xml:space="preserve">(כ"כ הרשב"א [חולין קה. ד"ה הא דאמרינן] בשמו) </w:t>
      </w:r>
      <w:r w:rsidRPr="00C233C9">
        <w:rPr>
          <w:rFonts w:asciiTheme="minorBidi" w:hAnsiTheme="minorBidi"/>
          <w:rtl/>
        </w:rPr>
        <w:t xml:space="preserve">רי"ף </w:t>
      </w:r>
      <w:r w:rsidRPr="00C233C9">
        <w:rPr>
          <w:rFonts w:asciiTheme="minorBidi" w:hAnsiTheme="minorBidi"/>
          <w:sz w:val="16"/>
          <w:szCs w:val="16"/>
          <w:rtl/>
        </w:rPr>
        <w:t xml:space="preserve">(כן הכריע הר"ן (לז: ד"ה אמר) בדעת רי"ף ולאפוקי מהרא"ה (חולין קה. ד"ה אמר מר עוקבא) שהיה מסופק בדבר לדעת הרי"ף) </w:t>
      </w:r>
      <w:r w:rsidRPr="00C233C9">
        <w:rPr>
          <w:rFonts w:asciiTheme="minorBidi" w:hAnsiTheme="minorBidi"/>
          <w:rtl/>
        </w:rPr>
        <w:t xml:space="preserve">בהעי"ט </w:t>
      </w:r>
      <w:r w:rsidRPr="00C233C9">
        <w:rPr>
          <w:rFonts w:asciiTheme="minorBidi" w:hAnsiTheme="minorBidi"/>
          <w:sz w:val="16"/>
          <w:szCs w:val="16"/>
          <w:rtl/>
        </w:rPr>
        <w:t>(ח"ב יג:, וכ"כ הרשב"א בשמו)</w:t>
      </w:r>
      <w:r w:rsidRPr="00C233C9">
        <w:rPr>
          <w:rFonts w:asciiTheme="minorBidi" w:hAnsiTheme="minorBidi"/>
          <w:rtl/>
        </w:rPr>
        <w:t xml:space="preserve"> רמב"ם </w:t>
      </w:r>
      <w:r w:rsidRPr="00C233C9">
        <w:rPr>
          <w:rFonts w:asciiTheme="minorBidi" w:hAnsiTheme="minorBidi"/>
          <w:sz w:val="16"/>
          <w:szCs w:val="16"/>
          <w:rtl/>
        </w:rPr>
        <w:t>(פ"ט הכ"ח)</w:t>
      </w:r>
      <w:r w:rsidRPr="00C233C9">
        <w:rPr>
          <w:rFonts w:asciiTheme="minorBidi" w:hAnsiTheme="minorBidi"/>
          <w:rtl/>
        </w:rPr>
        <w:t xml:space="preserve"> ורשב"א </w:t>
      </w:r>
      <w:r w:rsidRPr="00C233C9">
        <w:rPr>
          <w:rFonts w:asciiTheme="minorBidi" w:hAnsiTheme="minorBidi"/>
          <w:sz w:val="16"/>
          <w:szCs w:val="16"/>
          <w:rtl/>
        </w:rPr>
        <w:t>(תוה"ב ארוך ב"ג ש"ד פו:)</w:t>
      </w:r>
      <w:r w:rsidRPr="00C233C9">
        <w:rPr>
          <w:rFonts w:asciiTheme="minorBidi" w:hAnsiTheme="minorBidi"/>
          <w:rtl/>
        </w:rPr>
        <w:t>.</w:t>
      </w:r>
    </w:p>
  </w:footnote>
  <w:footnote w:id="1127">
    <w:p w14:paraId="15D3B303" w14:textId="77777777" w:rsidR="004C5A3C" w:rsidRPr="00C233C9" w:rsidRDefault="004C5A3C" w:rsidP="002C39F4">
      <w:pPr>
        <w:pStyle w:val="a5"/>
        <w:rPr>
          <w:rFonts w:asciiTheme="minorBidi" w:hAnsiTheme="minorBidi"/>
          <w:color w:val="FF0000"/>
        </w:rPr>
      </w:pPr>
      <w:r w:rsidRPr="00C233C9">
        <w:rPr>
          <w:rStyle w:val="a7"/>
          <w:rFonts w:asciiTheme="minorBidi" w:hAnsiTheme="minorBidi"/>
        </w:rPr>
        <w:footnoteRef/>
      </w:r>
      <w:r w:rsidRPr="00C233C9">
        <w:rPr>
          <w:rFonts w:asciiTheme="minorBidi" w:hAnsiTheme="minorBidi"/>
          <w:rtl/>
        </w:rPr>
        <w:t xml:space="preserve"> הרמב"ם והרשב"א הם אלו שכתבו שאין חילוק בין בשר לגבינה. </w:t>
      </w:r>
      <w:r w:rsidRPr="00C233C9">
        <w:rPr>
          <w:rFonts w:asciiTheme="minorBidi" w:hAnsiTheme="minorBidi"/>
          <w:color w:val="FF0000"/>
          <w:rtl/>
        </w:rPr>
        <w:t>וצל"ע אם גם דעת שאר הפוסקים הנ"ל מודי לזה.</w:t>
      </w:r>
    </w:p>
  </w:footnote>
  <w:footnote w:id="1128">
    <w:p w14:paraId="75873B93"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דשמעינן מהא דהא דאמר רב חסדא אכל בשר אסור לאכול גבינה דלא שרי למיכל גבינה בתר בישרא אלא דשהי ליה שיעור מאי דצריך לסעודתא אחריתא, ולא אשכחינן מאן דשרי למיכל גבינה בתר בישרא פחות מהאי שיעורא דהא מר עוקבא אע"ג דשהי ליה כי האי שיעורא קרי אנפשיה חלא בר חמרא, רי"ף.</w:t>
      </w:r>
    </w:p>
  </w:footnote>
  <w:footnote w:id="1129">
    <w:p w14:paraId="60056D29"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דהא דאמר רב חסדא אכל בשר אסור לאכול גבינה אפילו בקינוח הפה ובנטילת ידים קאמר, ב"י. וכ' שע"ד (ס"ס עו) שנוהגים כרמב"ם ולא כתוס' שמתירים, ט"ז (סק"ב).</w:t>
      </w:r>
    </w:p>
  </w:footnote>
  <w:footnote w:id="1130">
    <w:p w14:paraId="4B39BA5A"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דרך הפקר שאינו נזהר לקנח פיו וליטול ידיו ביניהם, ב"י.</w:t>
      </w:r>
    </w:p>
  </w:footnote>
  <w:footnote w:id="1131">
    <w:p w14:paraId="00AEDD39"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 הב"י שטעמו של הרמב"ם הוא מהא דתאני אגרא </w:t>
      </w:r>
      <w:r w:rsidRPr="00C233C9">
        <w:rPr>
          <w:rFonts w:asciiTheme="minorBidi" w:hAnsiTheme="minorBidi"/>
          <w:sz w:val="16"/>
          <w:szCs w:val="16"/>
          <w:rtl/>
        </w:rPr>
        <w:t>(חמוה דרבי אבא עוף וגבינה נאכלין באפיקורן, כלומר דרך הפקר שאינו נזהר לקנח פיו וליטול ידיו ביניהם)</w:t>
      </w:r>
      <w:r w:rsidRPr="00C233C9">
        <w:rPr>
          <w:rFonts w:asciiTheme="minorBidi" w:hAnsiTheme="minorBidi"/>
          <w:rtl/>
        </w:rPr>
        <w:t xml:space="preserve">, ומפרש הוא ז"ל דבאוכל גבינה ואח"כ עוף מיירי, דאילו אכל עוף תחלה אסור לאכול אחריו גבינה, ושלא כדברי הרמב"ן </w:t>
      </w:r>
      <w:r w:rsidRPr="00C233C9">
        <w:rPr>
          <w:rFonts w:asciiTheme="minorBidi" w:hAnsiTheme="minorBidi"/>
          <w:sz w:val="16"/>
          <w:szCs w:val="16"/>
          <w:rtl/>
        </w:rPr>
        <w:t xml:space="preserve">(שכתבו הרשב"א (תוה"א ב"ג ש"ד פז.) והר"ן (לז. ד"ה עוף)) </w:t>
      </w:r>
      <w:r w:rsidRPr="00C233C9">
        <w:rPr>
          <w:rFonts w:asciiTheme="minorBidi" w:hAnsiTheme="minorBidi"/>
          <w:rtl/>
        </w:rPr>
        <w:t xml:space="preserve">שסובר דאפילו עוף ואח"כ גבינה שרא אגרא </w:t>
      </w:r>
      <w:r w:rsidRPr="00C233C9">
        <w:rPr>
          <w:rFonts w:asciiTheme="minorBidi" w:hAnsiTheme="minorBidi"/>
          <w:sz w:val="16"/>
          <w:szCs w:val="16"/>
          <w:rtl/>
        </w:rPr>
        <w:t>(וכ' הרשב"א שאין דברי הרמב"ן מחוורים)</w:t>
      </w:r>
      <w:r w:rsidRPr="00C233C9">
        <w:rPr>
          <w:rFonts w:asciiTheme="minorBidi" w:hAnsiTheme="minorBidi"/>
          <w:rtl/>
        </w:rPr>
        <w:t xml:space="preserve">. וכ' הר"ן שהרמב"ם פסק כך אע"פ שהוא עצמו </w:t>
      </w:r>
      <w:r w:rsidRPr="00C233C9">
        <w:rPr>
          <w:rFonts w:asciiTheme="minorBidi" w:hAnsiTheme="minorBidi"/>
          <w:sz w:val="16"/>
          <w:szCs w:val="16"/>
          <w:rtl/>
        </w:rPr>
        <w:t xml:space="preserve">(פ"ט ה"ד) </w:t>
      </w:r>
      <w:r w:rsidRPr="00C233C9">
        <w:rPr>
          <w:rFonts w:asciiTheme="minorBidi" w:hAnsiTheme="minorBidi"/>
          <w:rtl/>
        </w:rPr>
        <w:t xml:space="preserve">פסק דחיה ועוף אינם מן התורה, ואיפשר שטעמו לפי שבשר החיה דומה לבהמה. וכן מפרש ר"ת </w:t>
      </w:r>
      <w:r w:rsidRPr="00C233C9">
        <w:rPr>
          <w:rFonts w:asciiTheme="minorBidi" w:hAnsiTheme="minorBidi"/>
          <w:sz w:val="16"/>
          <w:szCs w:val="16"/>
          <w:rtl/>
        </w:rPr>
        <w:t>(תוס' קד: ד"ה עוף, הביאו הרא"ש)</w:t>
      </w:r>
      <w:r w:rsidRPr="00C233C9">
        <w:rPr>
          <w:rFonts w:asciiTheme="minorBidi" w:hAnsiTheme="minorBidi"/>
          <w:rtl/>
        </w:rPr>
        <w:t xml:space="preserve"> טעמא דאגרא משום דעוף אין נדבק בידים ובשינים ובחניכים.</w:t>
      </w:r>
    </w:p>
  </w:footnote>
  <w:footnote w:id="1132">
    <w:p w14:paraId="4F6994F8" w14:textId="77777777" w:rsidR="004C5A3C" w:rsidRDefault="004C5A3C" w:rsidP="002C39F4">
      <w:pPr>
        <w:pStyle w:val="a5"/>
      </w:pPr>
      <w:r>
        <w:rPr>
          <w:rStyle w:val="a7"/>
        </w:rPr>
        <w:footnoteRef/>
      </w:r>
      <w:r>
        <w:rPr>
          <w:rtl/>
        </w:rPr>
        <w:t xml:space="preserve"> </w:t>
      </w:r>
      <w:r w:rsidRPr="00833AE2">
        <w:rPr>
          <w:rFonts w:asciiTheme="minorBidi" w:hAnsiTheme="minorBidi"/>
          <w:rtl/>
        </w:rPr>
        <w:t>וכ' הרשב"א שאין דברי הרמב"ן מחוורים</w:t>
      </w:r>
      <w:r>
        <w:rPr>
          <w:rFonts w:hint="cs"/>
          <w:rtl/>
        </w:rPr>
        <w:t>.</w:t>
      </w:r>
    </w:p>
  </w:footnote>
  <w:footnote w:id="1133">
    <w:p w14:paraId="2084CFF4"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בהעי"ט </w:t>
      </w:r>
      <w:r w:rsidRPr="00C233C9">
        <w:rPr>
          <w:rFonts w:asciiTheme="minorBidi" w:hAnsiTheme="minorBidi"/>
          <w:sz w:val="16"/>
          <w:szCs w:val="16"/>
          <w:rtl/>
        </w:rPr>
        <w:t xml:space="preserve">(ח"ב יג:, וכ"כ בשמו הרשב"א) </w:t>
      </w:r>
      <w:r w:rsidRPr="00C233C9">
        <w:rPr>
          <w:rFonts w:asciiTheme="minorBidi" w:hAnsiTheme="minorBidi"/>
          <w:rtl/>
        </w:rPr>
        <w:t xml:space="preserve">רשב"א </w:t>
      </w:r>
      <w:r w:rsidRPr="00C233C9">
        <w:rPr>
          <w:rFonts w:asciiTheme="minorBidi" w:hAnsiTheme="minorBidi"/>
          <w:sz w:val="16"/>
          <w:szCs w:val="16"/>
          <w:rtl/>
        </w:rPr>
        <w:t xml:space="preserve">(חידו' שם ד"ה נמצא) </w:t>
      </w:r>
      <w:r w:rsidRPr="00C233C9">
        <w:rPr>
          <w:rFonts w:asciiTheme="minorBidi" w:hAnsiTheme="minorBidi"/>
          <w:rtl/>
        </w:rPr>
        <w:t xml:space="preserve">רי"ו </w:t>
      </w:r>
      <w:r w:rsidRPr="00C233C9">
        <w:rPr>
          <w:rFonts w:asciiTheme="minorBidi" w:hAnsiTheme="minorBidi"/>
          <w:sz w:val="16"/>
          <w:szCs w:val="16"/>
          <w:rtl/>
        </w:rPr>
        <w:t>(נט"ו אות כח קלז.)</w:t>
      </w:r>
      <w:r w:rsidRPr="009122D9">
        <w:rPr>
          <w:rFonts w:asciiTheme="minorBidi" w:hAnsiTheme="minorBidi"/>
          <w:rtl/>
        </w:rPr>
        <w:t xml:space="preserve"> </w:t>
      </w:r>
      <w:r>
        <w:rPr>
          <w:rFonts w:asciiTheme="minorBidi" w:hAnsiTheme="minorBidi" w:hint="cs"/>
          <w:rtl/>
        </w:rPr>
        <w:t>ו</w:t>
      </w:r>
      <w:r>
        <w:rPr>
          <w:rFonts w:asciiTheme="minorBidi" w:hAnsiTheme="minorBidi"/>
          <w:rtl/>
        </w:rPr>
        <w:t>או"ה</w:t>
      </w:r>
      <w:r w:rsidRPr="003024E5">
        <w:rPr>
          <w:rFonts w:asciiTheme="minorBidi" w:hAnsiTheme="minorBidi"/>
          <w:rtl/>
        </w:rPr>
        <w:t xml:space="preserve"> </w:t>
      </w:r>
      <w:r w:rsidRPr="003024E5">
        <w:rPr>
          <w:rFonts w:asciiTheme="minorBidi" w:hAnsiTheme="minorBidi"/>
          <w:sz w:val="16"/>
          <w:szCs w:val="16"/>
          <w:rtl/>
        </w:rPr>
        <w:t>(כלל מ דין ד-ז)</w:t>
      </w:r>
      <w:r w:rsidRPr="00C233C9">
        <w:rPr>
          <w:rFonts w:asciiTheme="minorBidi" w:hAnsiTheme="minorBidi"/>
          <w:rtl/>
        </w:rPr>
        <w:t>.</w:t>
      </w:r>
    </w:p>
  </w:footnote>
  <w:footnote w:id="1134">
    <w:p w14:paraId="222A8B20" w14:textId="77777777" w:rsidR="004C5A3C" w:rsidRDefault="004C5A3C" w:rsidP="002C39F4">
      <w:pPr>
        <w:pStyle w:val="a5"/>
        <w:rPr>
          <w:rtl/>
        </w:rPr>
      </w:pPr>
      <w:r>
        <w:rPr>
          <w:rStyle w:val="a7"/>
        </w:rPr>
        <w:footnoteRef/>
      </w:r>
      <w:r>
        <w:rPr>
          <w:rtl/>
        </w:rPr>
        <w:t xml:space="preserve"> </w:t>
      </w:r>
      <w:r>
        <w:rPr>
          <w:rFonts w:asciiTheme="minorBidi" w:hAnsiTheme="minorBidi" w:hint="cs"/>
          <w:rtl/>
        </w:rPr>
        <w:t>ו</w:t>
      </w:r>
      <w:r w:rsidRPr="003024E5">
        <w:rPr>
          <w:rFonts w:asciiTheme="minorBidi" w:hAnsiTheme="minorBidi"/>
          <w:rtl/>
        </w:rPr>
        <w:t>נראין הדברים שמי שאכל בשר ושהה קצת ואח"כ מצא בשר בין שיניו שאינו צריך שהייה כדי סעודה מאותו זמן שנטל הבשר משם אלא מאכילה ראשונה חשבינן ליה לזמן שהייה, ומיהו קינוח הפה מיהא משמע דבעי</w:t>
      </w:r>
      <w:r>
        <w:rPr>
          <w:rFonts w:asciiTheme="minorBidi" w:hAnsiTheme="minorBidi" w:hint="cs"/>
          <w:rtl/>
        </w:rPr>
        <w:t>,</w:t>
      </w:r>
      <w:r w:rsidRPr="00F31EF5">
        <w:rPr>
          <w:rFonts w:asciiTheme="minorBidi" w:hAnsiTheme="minorBidi"/>
          <w:rtl/>
        </w:rPr>
        <w:t xml:space="preserve"> </w:t>
      </w:r>
      <w:r w:rsidRPr="003024E5">
        <w:rPr>
          <w:rFonts w:asciiTheme="minorBidi" w:hAnsiTheme="minorBidi"/>
          <w:rtl/>
        </w:rPr>
        <w:t>ר"ן</w:t>
      </w:r>
      <w:r w:rsidRPr="003024E5">
        <w:rPr>
          <w:rFonts w:asciiTheme="minorBidi" w:hAnsiTheme="minorBidi"/>
          <w:sz w:val="16"/>
          <w:szCs w:val="16"/>
          <w:rtl/>
        </w:rPr>
        <w:t xml:space="preserve"> (חולין לז: סוד"ה אמר)</w:t>
      </w:r>
      <w:r w:rsidRPr="003024E5">
        <w:rPr>
          <w:rFonts w:asciiTheme="minorBidi" w:hAnsiTheme="minorBidi"/>
          <w:rtl/>
        </w:rPr>
        <w:t>.</w:t>
      </w:r>
      <w:r w:rsidRPr="003024E5">
        <w:rPr>
          <w:rFonts w:asciiTheme="minorBidi" w:hAnsiTheme="minorBidi"/>
          <w:color w:val="00B0F0"/>
          <w:rtl/>
        </w:rPr>
        <w:t xml:space="preserve"> (וכ"פ הרמ"א)</w:t>
      </w:r>
      <w:r>
        <w:rPr>
          <w:rFonts w:asciiTheme="minorBidi" w:hAnsiTheme="minorBidi" w:hint="cs"/>
          <w:rtl/>
        </w:rPr>
        <w:t xml:space="preserve">. </w:t>
      </w:r>
      <w:r w:rsidRPr="00F31EF5">
        <w:rPr>
          <w:rFonts w:asciiTheme="minorBidi" w:hAnsiTheme="minorBidi" w:hint="cs"/>
          <w:rtl/>
        </w:rPr>
        <w:t>ו</w:t>
      </w:r>
      <w:r w:rsidRPr="00F31EF5">
        <w:rPr>
          <w:rFonts w:asciiTheme="minorBidi" w:hAnsiTheme="minorBidi"/>
          <w:rtl/>
        </w:rPr>
        <w:t xml:space="preserve">ה"ה לענין המנהג בהמתנת שעה, ת"ח (כלל ע"ו דין א) </w:t>
      </w:r>
      <w:r w:rsidRPr="00F31EF5">
        <w:rPr>
          <w:rFonts w:asciiTheme="minorBidi" w:hAnsiTheme="minorBidi" w:hint="cs"/>
          <w:rtl/>
        </w:rPr>
        <w:t>ו</w:t>
      </w:r>
      <w:r w:rsidRPr="00F31EF5">
        <w:rPr>
          <w:rFonts w:asciiTheme="minorBidi" w:hAnsiTheme="minorBidi"/>
          <w:rtl/>
        </w:rPr>
        <w:t>ש"ך (סק"ג)</w:t>
      </w:r>
      <w:r>
        <w:rPr>
          <w:rFonts w:hint="cs"/>
          <w:rtl/>
        </w:rPr>
        <w:t>.</w:t>
      </w:r>
    </w:p>
  </w:footnote>
  <w:footnote w:id="1135">
    <w:p w14:paraId="5528090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הטור (כאן- יו"ד סי' פט) כתב שזה שצריך להסיר הבשר שנשאר בין שיניו הוא לדעת האומרים שהטעם שצריך לשהות הוא משום שהבשר מוציא שומן ומושך טעם עד זמן ארוך, אבל לדעת הרמב"ם (שם) שנתן טעם לשהייה משום בשר שבין השינים לאחר ששהה כשיעור- מותר אפילו נשאר בשר בין השינים.</w:t>
      </w:r>
    </w:p>
  </w:footnote>
  <w:footnote w:id="1136">
    <w:p w14:paraId="7BEFAA3B" w14:textId="77777777" w:rsidR="004C5A3C" w:rsidRDefault="004C5A3C" w:rsidP="002C39F4">
      <w:pPr>
        <w:pStyle w:val="a5"/>
        <w:rPr>
          <w:rtl/>
        </w:rPr>
      </w:pPr>
      <w:r>
        <w:rPr>
          <w:rStyle w:val="a7"/>
        </w:rPr>
        <w:footnoteRef/>
      </w:r>
      <w:r>
        <w:rPr>
          <w:rtl/>
        </w:rPr>
        <w:t xml:space="preserve"> </w:t>
      </w:r>
      <w:r w:rsidRPr="00EA5230">
        <w:rPr>
          <w:rFonts w:cs="Arial"/>
          <w:rtl/>
        </w:rPr>
        <w:t>עיין ש"ך אם לועס לתינוק תבשיל שיש בו שומן לכאורה לכל הפירושים אין צריך להמתין דמושך ליכא כיון דלא אכל ובין שינים ליכא אלא דמ"מ כתב הפמ"ג דיש להחמיר להמתין שש שעות משום לא פלוג ולא לפרוץ גדר</w:t>
      </w:r>
      <w:r>
        <w:rPr>
          <w:rFonts w:hint="cs"/>
          <w:rtl/>
        </w:rPr>
        <w:t>, פת"ש (סק"א).</w:t>
      </w:r>
    </w:p>
  </w:footnote>
  <w:footnote w:id="1137">
    <w:p w14:paraId="3462A553"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והר"ן כתב שצריך קנוח הפה ולא הזכיר הדחת הפה, וכן העתיק בב"י באו"ח שם ובת"ח, והיינו דאזיל </w:t>
      </w:r>
      <w:r w:rsidRPr="00C233C9">
        <w:rPr>
          <w:rFonts w:asciiTheme="minorBidi" w:hAnsiTheme="minorBidi"/>
          <w:sz w:val="16"/>
          <w:szCs w:val="16"/>
          <w:rtl/>
        </w:rPr>
        <w:t>{הר"ן}</w:t>
      </w:r>
      <w:r w:rsidRPr="00C233C9">
        <w:rPr>
          <w:rFonts w:asciiTheme="minorBidi" w:hAnsiTheme="minorBidi"/>
          <w:rtl/>
        </w:rPr>
        <w:t xml:space="preserve"> לטעמיה דס"ל בעלמא דלא בעינן הדחת הפה, אבל לדידן דבעינן הדחת הפה, וכמ"ש הט"ו בסעיף ב', ה"ה הכא, ולזה כתב הרב צריך להדיח פיו, ופשיטא דבעי נמי קנוח אלא שקיצר בלשון, נראה לי, ש"ך (סק"ד).</w:t>
      </w:r>
    </w:p>
  </w:footnote>
  <w:footnote w:id="1138">
    <w:p w14:paraId="476D3FC9"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נראה דאם אכל בשר בלא סעודה צריך לברך ברכה אחרונה מקודם ובלאו הכי לא הוה סילוק, ש"ך (סק"ו).</w:t>
      </w:r>
    </w:p>
  </w:footnote>
  <w:footnote w:id="1139">
    <w:p w14:paraId="4534EBAB"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 מהרש"ל שם דלכו"ע אם לא סילק ובירך אפי' כל היום כולו אסור דהא בעינן סעודה אחרת והרבה בני אדם מקילין בזה וטעות הוא בידם, עכ"ל</w:t>
      </w:r>
      <w:r w:rsidRPr="00C233C9">
        <w:rPr>
          <w:rFonts w:asciiTheme="minorBidi" w:hAnsiTheme="minorBidi"/>
          <w:sz w:val="16"/>
          <w:szCs w:val="16"/>
          <w:rtl/>
        </w:rPr>
        <w:t xml:space="preserve"> {וכ"כ שע"ד ס"ס עו}</w:t>
      </w:r>
      <w:r w:rsidRPr="00C233C9">
        <w:rPr>
          <w:rFonts w:asciiTheme="minorBidi" w:hAnsiTheme="minorBidi"/>
          <w:rtl/>
        </w:rPr>
        <w:t>, ומ"ש הרב בהג"ה 'אבל בלא ברכת המזון לא מהני המתנת שעה' הוא לאו דוקא דאה"נ דכל היום כולו אסור עד שסילק ובירך, ש"ך (סק"ה).</w:t>
      </w:r>
    </w:p>
  </w:footnote>
  <w:footnote w:id="1140">
    <w:p w14:paraId="1A41DD4F" w14:textId="77777777" w:rsidR="004C5A3C" w:rsidRPr="00C233C9" w:rsidRDefault="004C5A3C" w:rsidP="002C39F4">
      <w:pPr>
        <w:pStyle w:val="a5"/>
        <w:rPr>
          <w:rFonts w:asciiTheme="minorBidi" w:hAnsiTheme="minorBidi"/>
          <w:u w:val="single"/>
          <w:rtl/>
        </w:rPr>
      </w:pPr>
      <w:r w:rsidRPr="00C233C9">
        <w:rPr>
          <w:rStyle w:val="a7"/>
          <w:rFonts w:asciiTheme="minorBidi" w:hAnsiTheme="minorBidi"/>
        </w:rPr>
        <w:footnoteRef/>
      </w:r>
      <w:r w:rsidRPr="00C233C9">
        <w:rPr>
          <w:rFonts w:asciiTheme="minorBidi" w:hAnsiTheme="minorBidi"/>
          <w:rtl/>
        </w:rPr>
        <w:t xml:space="preserve"> </w:t>
      </w:r>
      <w:r w:rsidRPr="00C233C9">
        <w:rPr>
          <w:rFonts w:asciiTheme="minorBidi" w:hAnsiTheme="minorBidi"/>
          <w:u w:val="single"/>
          <w:rtl/>
        </w:rPr>
        <w:t>האם צריך קינוח והדחה לאחר שחיכה שעה:</w:t>
      </w:r>
    </w:p>
    <w:p w14:paraId="6BD3DF89" w14:textId="77777777" w:rsidR="004C5A3C" w:rsidRPr="00C233C9" w:rsidRDefault="004C5A3C" w:rsidP="0032102C">
      <w:pPr>
        <w:pStyle w:val="a5"/>
        <w:numPr>
          <w:ilvl w:val="0"/>
          <w:numId w:val="154"/>
        </w:numPr>
        <w:rPr>
          <w:rFonts w:asciiTheme="minorBidi" w:hAnsiTheme="minorBidi"/>
          <w:rtl/>
        </w:rPr>
      </w:pPr>
      <w:r w:rsidRPr="00C233C9">
        <w:rPr>
          <w:rFonts w:asciiTheme="minorBidi" w:hAnsiTheme="minorBidi"/>
          <w:rtl/>
        </w:rPr>
        <w:t xml:space="preserve">ט"ז (סק"ב)- דבר פשוט הוא דמי שנוהג בקולא זו להמתין שעה אחת שצריך ג"כ לקינוח והדחה, כמו שהוזכר בדברי י"א של רמ"א שמזה נמשכה הקולא הזאת. </w:t>
      </w:r>
    </w:p>
    <w:p w14:paraId="3A3381AE" w14:textId="77777777" w:rsidR="004C5A3C" w:rsidRPr="00C233C9" w:rsidRDefault="004C5A3C" w:rsidP="0032102C">
      <w:pPr>
        <w:pStyle w:val="a5"/>
        <w:numPr>
          <w:ilvl w:val="0"/>
          <w:numId w:val="154"/>
        </w:numPr>
        <w:rPr>
          <w:rFonts w:asciiTheme="minorBidi" w:hAnsiTheme="minorBidi"/>
          <w:rtl/>
        </w:rPr>
      </w:pPr>
      <w:r w:rsidRPr="00C233C9">
        <w:rPr>
          <w:rFonts w:asciiTheme="minorBidi" w:hAnsiTheme="minorBidi"/>
          <w:rtl/>
        </w:rPr>
        <w:t>ש"ך (סק"ז)- כבר נתבאר בסק"ד דצריך הדחה וקינוח הפה, אבל ודאי אם לא מצא בשר בין שיניו דהמנהג בהמתנת שעה סגי אפי' בלא קינוח והדחה, וכ"כ או"ה</w:t>
      </w:r>
      <w:r w:rsidRPr="00C233C9">
        <w:rPr>
          <w:rFonts w:asciiTheme="minorBidi" w:hAnsiTheme="minorBidi"/>
          <w:sz w:val="16"/>
          <w:szCs w:val="16"/>
          <w:rtl/>
        </w:rPr>
        <w:t xml:space="preserve"> (כלל מ ד"ד, גבי קנוח)</w:t>
      </w:r>
      <w:r w:rsidRPr="00C233C9">
        <w:rPr>
          <w:rFonts w:asciiTheme="minorBidi" w:hAnsiTheme="minorBidi"/>
          <w:rtl/>
        </w:rPr>
        <w:t xml:space="preserve"> ומביאו בת"ח </w:t>
      </w:r>
      <w:r w:rsidRPr="00C233C9">
        <w:rPr>
          <w:rFonts w:asciiTheme="minorBidi" w:hAnsiTheme="minorBidi"/>
          <w:sz w:val="16"/>
          <w:szCs w:val="16"/>
          <w:rtl/>
        </w:rPr>
        <w:t xml:space="preserve">(כלל עו דין א) </w:t>
      </w:r>
      <w:r w:rsidRPr="00C233C9">
        <w:rPr>
          <w:rFonts w:asciiTheme="minorBidi" w:hAnsiTheme="minorBidi"/>
          <w:rtl/>
        </w:rPr>
        <w:t>לפסק הלכה, וכן נוהגין...</w:t>
      </w:r>
    </w:p>
  </w:footnote>
  <w:footnote w:id="1141">
    <w:p w14:paraId="6502D43D"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לא ידעתי במה סמכו בזה דהא עיקר הקולא הוא דס"ל כהי"א שזכר רמ"א שהוא דעת התוס' וראבי"ה, כמ"ש לעיל בשם מהרא"י, ושם הוזכר בפי' בתוס' בלשון זה 'אלא אפילו לאלתר אם סילק ובירך שפיר דמי עכ"ל, משמע דלא מהני ברכת המזון אלא כשכבר סילק עצמו מן הסעודה של בשר, ואלו כאן לא סילקו עצמם מן האכילה, אדרבה מכינים עצמם לאכילה אחרת, וא"כ ברכת המזון לא מהני כלום נמצא שאין להם על מה שיסמוכו ועושים נגד דברי התלמוד לפי כל הדעות והירא דבר ה' יחדול עצמו מלישב עם שאינן נזהרין בזה במסיבה אחת, ט"ז (סק"ג).</w:t>
      </w:r>
    </w:p>
  </w:footnote>
  <w:footnote w:id="1142">
    <w:p w14:paraId="389514CF"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וכ"כ מהרש"ל דכן ראוי לעשות לכל מי שיש בו ריח תורה ע"ש, ש"ך (סק"ח). </w:t>
      </w:r>
    </w:p>
  </w:footnote>
  <w:footnote w:id="1143">
    <w:p w14:paraId="4A4C0B36"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דרך הפקר שאינו נזהר לקנח פיו וליטול ידיו ביניהם, ב"י.</w:t>
      </w:r>
    </w:p>
  </w:footnote>
  <w:footnote w:id="1144">
    <w:p w14:paraId="6256F16E"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דתרווייהו בעינן, רש"י. וגם הרי"ף (לז:) כתב הילכך בעי קינוח והדחה, וכ"כ הרא"ש ז"ל (סי' ה).</w:t>
      </w:r>
    </w:p>
  </w:footnote>
  <w:footnote w:id="1145">
    <w:p w14:paraId="3C78E87F"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מפני שמתפרר בתוך הפה ואינו נקשר יחד כשלועסו לפיכך אינו מקנח, רש"י.</w:t>
      </w:r>
    </w:p>
  </w:footnote>
  <w:footnote w:id="1146">
    <w:p w14:paraId="057C1A52"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נעשה רך ונדבק בחיך ודוגמתו בהשוכר (ב"מ דף פה:) אשטר מישטר תחבושת על העין, רש"י.</w:t>
      </w:r>
    </w:p>
  </w:footnote>
  <w:footnote w:id="1147">
    <w:p w14:paraId="050A6886"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קשה יותר מדאי וגם הוא מתפרר בתוך הפה כשל שעורים, רש"י.</w:t>
      </w:r>
    </w:p>
  </w:footnote>
  <w:footnote w:id="1148">
    <w:p w14:paraId="7B58A103"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רכין הן, רש"י.</w:t>
      </w:r>
    </w:p>
  </w:footnote>
  <w:footnote w:id="1149">
    <w:p w14:paraId="1225E31C" w14:textId="77777777" w:rsidR="004C5A3C" w:rsidRDefault="004C5A3C" w:rsidP="002C39F4">
      <w:pPr>
        <w:pStyle w:val="a5"/>
        <w:rPr>
          <w:rtl/>
        </w:rPr>
      </w:pPr>
      <w:r>
        <w:rPr>
          <w:rStyle w:val="a7"/>
        </w:rPr>
        <w:footnoteRef/>
      </w:r>
      <w:r>
        <w:rPr>
          <w:rtl/>
        </w:rPr>
        <w:t xml:space="preserve"> </w:t>
      </w:r>
      <w:r>
        <w:rPr>
          <w:rFonts w:hint="cs"/>
          <w:rtl/>
        </w:rPr>
        <w:t>אע"פ שהם בב' סעודות, מתוק מדבש.</w:t>
      </w:r>
    </w:p>
  </w:footnote>
  <w:footnote w:id="1150">
    <w:p w14:paraId="528655C1" w14:textId="77777777" w:rsidR="004C5A3C" w:rsidRDefault="004C5A3C" w:rsidP="002C39F4">
      <w:pPr>
        <w:pStyle w:val="a5"/>
        <w:rPr>
          <w:rtl/>
        </w:rPr>
      </w:pPr>
      <w:r>
        <w:rPr>
          <w:rStyle w:val="a7"/>
        </w:rPr>
        <w:footnoteRef/>
      </w:r>
      <w:r>
        <w:rPr>
          <w:rtl/>
        </w:rPr>
        <w:t xml:space="preserve"> </w:t>
      </w:r>
      <w:r>
        <w:rPr>
          <w:rFonts w:hint="cs"/>
          <w:rtl/>
        </w:rPr>
        <w:t>אע"פ שהם בב' שעות, מתוק מדבש.</w:t>
      </w:r>
    </w:p>
  </w:footnote>
  <w:footnote w:id="1151">
    <w:p w14:paraId="0694A9E1"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מפני שהגבינה רכה היא ואינה מתעכבת בין השינים, רשב"א (תוה"</w:t>
      </w:r>
      <w:r>
        <w:rPr>
          <w:rFonts w:asciiTheme="minorBidi" w:hAnsiTheme="minorBidi" w:hint="cs"/>
          <w:rtl/>
        </w:rPr>
        <w:t xml:space="preserve">ק </w:t>
      </w:r>
      <w:r w:rsidRPr="00C233C9">
        <w:rPr>
          <w:rFonts w:asciiTheme="minorBidi" w:hAnsiTheme="minorBidi"/>
          <w:rtl/>
        </w:rPr>
        <w:t>ב"ג ש"ד פו.). וכ"כ הגה"מ.</w:t>
      </w:r>
    </w:p>
  </w:footnote>
  <w:footnote w:id="1152">
    <w:p w14:paraId="1045CB46" w14:textId="77777777" w:rsidR="004C5A3C" w:rsidRDefault="004C5A3C" w:rsidP="002C39F4">
      <w:pPr>
        <w:pStyle w:val="a5"/>
      </w:pPr>
      <w:r>
        <w:rPr>
          <w:rStyle w:val="a7"/>
        </w:rPr>
        <w:footnoteRef/>
      </w:r>
      <w:r>
        <w:rPr>
          <w:rtl/>
        </w:rPr>
        <w:t xml:space="preserve"> </w:t>
      </w:r>
      <w:r w:rsidRPr="00BD7F9A">
        <w:rPr>
          <w:rFonts w:cs="Arial"/>
          <w:rtl/>
        </w:rPr>
        <w:t>רבי אברהם ב"ר יעקב סבע נולד בערך בשנת ר' (1440) בקסטיליה שבספרד. היה תלמידו של ר' יצחק די ליאון, ושימש כרב קהילה. בגירוש ספרד בשנת רנ"ב (1492) גורש לפורטוגל, ובעקבות גירוש פורטוגל בשנת רנ"ז (1497) עבר לפאס שבמרוקו. שנים מבניו נחטפו ע"י הנוצרים, ואת כתבי היד של ספריו נאלץ לקבור, ועל אלו ואלו התאבל כל ימיו. ממרוקו עבר לאדריאנופול שבטורקיה, שם כתב כמה מספריו מחדש. נודע בעיקר על שם ספרו 'צרור המור', ביאור על התורה על דרך הדרוש והקבלה, דפו"ר ונציה רפ"ג (1523). חיבר גם את הספר 'אשכול הכופר' על מגילות אסתר ורות. נפטר באוניה בדרכו לאיטליה בערב יו"כ רס"ט (1508), ונקבר בוורונה שבאיטליה. נכדתו, בתו של בנו ר' יצחק, נישאה למרן ר"י קארו</w:t>
      </w:r>
      <w:r>
        <w:rPr>
          <w:rFonts w:cs="Arial" w:hint="cs"/>
          <w:rtl/>
        </w:rPr>
        <w:t xml:space="preserve"> </w:t>
      </w:r>
      <w:r>
        <w:rPr>
          <w:rFonts w:cs="Arial" w:hint="cs"/>
          <w:sz w:val="16"/>
          <w:szCs w:val="16"/>
          <w:rtl/>
        </w:rPr>
        <w:t>(ביוגרפיה פרוייקט השו"ת)</w:t>
      </w:r>
      <w:r w:rsidRPr="00BD7F9A">
        <w:rPr>
          <w:rFonts w:cs="Arial"/>
          <w:rtl/>
        </w:rPr>
        <w:t xml:space="preserve">. </w:t>
      </w:r>
    </w:p>
  </w:footnote>
  <w:footnote w:id="1153">
    <w:p w14:paraId="6093E830" w14:textId="77777777" w:rsidR="004C5A3C" w:rsidRDefault="004C5A3C" w:rsidP="002C39F4">
      <w:pPr>
        <w:pStyle w:val="a5"/>
      </w:pPr>
      <w:r>
        <w:rPr>
          <w:rStyle w:val="a7"/>
        </w:rPr>
        <w:footnoteRef/>
      </w:r>
      <w:r>
        <w:rPr>
          <w:rtl/>
        </w:rPr>
        <w:t xml:space="preserve"> </w:t>
      </w:r>
      <w:r>
        <w:rPr>
          <w:rFonts w:asciiTheme="minorBidi" w:hAnsiTheme="minorBidi" w:hint="cs"/>
          <w:rtl/>
        </w:rPr>
        <w:t>ה</w:t>
      </w:r>
      <w:r w:rsidRPr="003024E5">
        <w:rPr>
          <w:rFonts w:asciiTheme="minorBidi" w:hAnsiTheme="minorBidi"/>
          <w:rtl/>
        </w:rPr>
        <w:t>ב"י</w:t>
      </w:r>
      <w:r>
        <w:rPr>
          <w:rFonts w:asciiTheme="minorBidi" w:hAnsiTheme="minorBidi" w:hint="cs"/>
          <w:rtl/>
        </w:rPr>
        <w:t xml:space="preserve"> </w:t>
      </w:r>
      <w:r w:rsidRPr="0074067E">
        <w:rPr>
          <w:rFonts w:asciiTheme="minorBidi" w:hAnsiTheme="minorBidi" w:hint="cs"/>
          <w:sz w:val="16"/>
          <w:szCs w:val="16"/>
          <w:rtl/>
        </w:rPr>
        <w:t xml:space="preserve">(או"ח סי' קעג) </w:t>
      </w:r>
      <w:r>
        <w:rPr>
          <w:rFonts w:asciiTheme="minorBidi" w:hAnsiTheme="minorBidi" w:hint="cs"/>
          <w:rtl/>
        </w:rPr>
        <w:t>לא הביא את דברי צרור המור אבל כתב ד</w:t>
      </w:r>
      <w:r w:rsidRPr="003024E5">
        <w:rPr>
          <w:rFonts w:asciiTheme="minorBidi" w:hAnsiTheme="minorBidi"/>
          <w:rtl/>
        </w:rPr>
        <w:t>יש מחמירין על עצמם שלא לאכול בשר אחר גבינה בסעודה אחת מפני מה שכתוב בספר הזוהר.</w:t>
      </w:r>
    </w:p>
  </w:footnote>
  <w:footnote w:id="1154">
    <w:p w14:paraId="253F5647" w14:textId="77777777" w:rsidR="004C5A3C" w:rsidRDefault="004C5A3C" w:rsidP="002C39F4">
      <w:pPr>
        <w:pStyle w:val="a5"/>
        <w:rPr>
          <w:rtl/>
        </w:rPr>
      </w:pPr>
      <w:r>
        <w:rPr>
          <w:rStyle w:val="a7"/>
        </w:rPr>
        <w:footnoteRef/>
      </w:r>
      <w:r>
        <w:rPr>
          <w:rtl/>
        </w:rPr>
        <w:t xml:space="preserve"> </w:t>
      </w:r>
      <w:r w:rsidRPr="00BD7F9A">
        <w:rPr>
          <w:rFonts w:asciiTheme="minorBidi" w:hAnsiTheme="minorBidi" w:cs="Arial"/>
          <w:rtl/>
        </w:rPr>
        <w:t>כי הבישול האמור כאן על בישול האצטומכא הוא. בענין שלא יתבשלו הבשר והחלב באצטומכא בזמן אחד. ולפי שיש אצטומכא מאחרת העיכול. ליראי ה' ולחושבי שמו אין לאכול גבינה ובשר ביום אחד. וכל שכן בשר וגבינה. וכן נוהגים המדקדקים במצות ואנשי מעשה</w:t>
      </w:r>
      <w:r>
        <w:rPr>
          <w:rFonts w:asciiTheme="minorBidi" w:hAnsiTheme="minorBidi" w:cs="Arial" w:hint="cs"/>
          <w:rtl/>
        </w:rPr>
        <w:t xml:space="preserve">. </w:t>
      </w:r>
      <w:r w:rsidRPr="00BD7F9A">
        <w:rPr>
          <w:rFonts w:asciiTheme="minorBidi" w:hAnsiTheme="minorBidi" w:cs="Arial"/>
          <w:rtl/>
        </w:rPr>
        <w:t>והטעם בזה לפי שאין ראוי לערב הכוחות אלו באלו. כח הדין בכח הרחמים. וכח הרחמים בכח הדין. כי הבשר הוא מדת הדין בסוד קץ כל בשר. כי מנפש ועד בשר יכלה הצר. והחלב הוא סוד הרחמים הגמורים המלבינים עונותיהם של ישראל. כאומרו כשלג ילבינו. והחטא הוא אדום בסוד הלעיטני נא מן האדום האדום הזה. ולכן יש להפרידם זה מזה</w:t>
      </w:r>
      <w:r>
        <w:rPr>
          <w:rFonts w:hint="cs"/>
          <w:rtl/>
        </w:rPr>
        <w:t>, צרור המור.</w:t>
      </w:r>
    </w:p>
  </w:footnote>
  <w:footnote w:id="1155">
    <w:p w14:paraId="09DD974C"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 הב"י על דברי מהר"ם וז"ל- והא ודאי שהוא ז"ל לא ראה ספר הזוהר ואפילו הכי היה מחמיר על עצמו משום מעשה שהיה ואע"פ שהיה מיקל בעוף היינו לפי שלא ראה ספר הזוהר אבל אנו שזכינו לראותו טוב ונכון להחמיר אפילו בבשר עוף, עכ"ל. והביא הדרכ"מ (אות ב) את דבריו.</w:t>
      </w:r>
    </w:p>
  </w:footnote>
  <w:footnote w:id="1156">
    <w:p w14:paraId="1501E640"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כ"כ התוס' (קד: ד"ה עוף וגבינה) והרא"ש (סי' ה) בשמם. והביאם הרשב"א </w:t>
      </w:r>
      <w:r w:rsidRPr="00C233C9">
        <w:rPr>
          <w:rFonts w:asciiTheme="minorBidi" w:hAnsiTheme="minorBidi"/>
          <w:sz w:val="16"/>
          <w:szCs w:val="16"/>
          <w:rtl/>
        </w:rPr>
        <w:t xml:space="preserve">(תוה"ב ארוך ב"ג ש"ד פו.) </w:t>
      </w:r>
      <w:r w:rsidRPr="00C233C9">
        <w:rPr>
          <w:rFonts w:asciiTheme="minorBidi" w:hAnsiTheme="minorBidi"/>
          <w:rtl/>
        </w:rPr>
        <w:t>בשם י"א.</w:t>
      </w:r>
    </w:p>
  </w:footnote>
  <w:footnote w:id="1157">
    <w:p w14:paraId="04EADC1A"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הקינוח הוא שילעוס פת ויקנח בו פיו יפה או בכל דבר חוץ מקמחא דשערא מפני שהוא רך ונדבק בשינים וכן לא בתמרא וירקא, ואחר הקינוח ידיח פיו במים או ביין, טור. </w:t>
      </w:r>
      <w:r w:rsidRPr="00C233C9">
        <w:rPr>
          <w:rFonts w:asciiTheme="minorBidi" w:hAnsiTheme="minorBidi"/>
          <w:color w:val="E36C0A" w:themeColor="accent6" w:themeShade="BF"/>
          <w:rtl/>
        </w:rPr>
        <w:t>(וכ"פ בשו"ע)</w:t>
      </w:r>
    </w:p>
  </w:footnote>
  <w:footnote w:id="1158">
    <w:p w14:paraId="410A836C" w14:textId="77777777" w:rsidR="004C5A3C" w:rsidRDefault="004C5A3C" w:rsidP="002C39F4">
      <w:pPr>
        <w:pStyle w:val="a5"/>
        <w:rPr>
          <w:rtl/>
        </w:rPr>
      </w:pPr>
      <w:r>
        <w:rPr>
          <w:rStyle w:val="a7"/>
        </w:rPr>
        <w:footnoteRef/>
      </w:r>
      <w:r>
        <w:rPr>
          <w:rtl/>
        </w:rPr>
        <w:t xml:space="preserve"> </w:t>
      </w:r>
      <w:r>
        <w:rPr>
          <w:rFonts w:asciiTheme="minorBidi" w:hAnsiTheme="minorBidi" w:hint="cs"/>
          <w:rtl/>
        </w:rPr>
        <w:t xml:space="preserve">וכ' </w:t>
      </w:r>
      <w:r w:rsidRPr="003024E5">
        <w:rPr>
          <w:rFonts w:asciiTheme="minorBidi" w:hAnsiTheme="minorBidi"/>
          <w:rtl/>
        </w:rPr>
        <w:t xml:space="preserve">רי"ו </w:t>
      </w:r>
      <w:r w:rsidRPr="003024E5">
        <w:rPr>
          <w:rFonts w:asciiTheme="minorBidi" w:hAnsiTheme="minorBidi"/>
          <w:sz w:val="16"/>
          <w:szCs w:val="16"/>
          <w:rtl/>
        </w:rPr>
        <w:t>(נט"ו אות כח קלז., הביאו הב"י)</w:t>
      </w:r>
      <w:r w:rsidRPr="003024E5">
        <w:rPr>
          <w:rFonts w:asciiTheme="minorBidi" w:hAnsiTheme="minorBidi"/>
          <w:rtl/>
        </w:rPr>
        <w:t xml:space="preserve"> </w:t>
      </w:r>
      <w:r>
        <w:rPr>
          <w:rFonts w:asciiTheme="minorBidi" w:hAnsiTheme="minorBidi" w:hint="cs"/>
          <w:rtl/>
        </w:rPr>
        <w:t xml:space="preserve">דאף </w:t>
      </w:r>
      <w:r w:rsidRPr="003024E5">
        <w:rPr>
          <w:rFonts w:asciiTheme="minorBidi" w:hAnsiTheme="minorBidi"/>
          <w:rtl/>
        </w:rPr>
        <w:t>בלילה</w:t>
      </w:r>
      <w:r>
        <w:rPr>
          <w:rFonts w:asciiTheme="minorBidi" w:hAnsiTheme="minorBidi" w:hint="cs"/>
          <w:rtl/>
        </w:rPr>
        <w:t>,</w:t>
      </w:r>
      <w:r w:rsidRPr="003024E5">
        <w:rPr>
          <w:rFonts w:asciiTheme="minorBidi" w:hAnsiTheme="minorBidi"/>
          <w:rtl/>
        </w:rPr>
        <w:t xml:space="preserve"> אם יש לו נר יפה</w:t>
      </w:r>
      <w:r>
        <w:rPr>
          <w:rFonts w:asciiTheme="minorBidi" w:hAnsiTheme="minorBidi" w:hint="cs"/>
          <w:rtl/>
        </w:rPr>
        <w:t>-</w:t>
      </w:r>
      <w:r w:rsidRPr="003024E5">
        <w:rPr>
          <w:rFonts w:asciiTheme="minorBidi" w:hAnsiTheme="minorBidi"/>
          <w:rtl/>
        </w:rPr>
        <w:t xml:space="preserve"> אינו צריך נטילה.</w:t>
      </w:r>
    </w:p>
  </w:footnote>
  <w:footnote w:id="1159">
    <w:p w14:paraId="4B60A5FE"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הרמב"ם לא הזכיר הדחת פה כלל, ומתוך לשונו משמע דמדיח דקתני לאו הדחת פה היא אלא נטילת ידים, ובית שמאי איירו בהכשר פה, ובית הלל בהכשר ידים, וכולהו מודו דתרוייהו בעינן, וכן דעת הר"ן ז"ל (לז: ד"ה בית שמאי), ב"י.</w:t>
      </w:r>
    </w:p>
  </w:footnote>
  <w:footnote w:id="1160">
    <w:p w14:paraId="55CCE05B" w14:textId="77777777" w:rsidR="004C5A3C" w:rsidRDefault="004C5A3C" w:rsidP="002C39F4">
      <w:pPr>
        <w:pStyle w:val="a5"/>
        <w:rPr>
          <w:rtl/>
        </w:rPr>
      </w:pPr>
      <w:r>
        <w:rPr>
          <w:rStyle w:val="a7"/>
        </w:rPr>
        <w:footnoteRef/>
      </w:r>
      <w:r>
        <w:rPr>
          <w:rtl/>
        </w:rPr>
        <w:t xml:space="preserve"> </w:t>
      </w:r>
      <w:r>
        <w:rPr>
          <w:rFonts w:hint="cs"/>
          <w:rtl/>
        </w:rPr>
        <w:t xml:space="preserve">בילקו"י </w:t>
      </w:r>
      <w:r w:rsidRPr="005F71C4">
        <w:rPr>
          <w:rFonts w:hint="cs"/>
          <w:sz w:val="16"/>
          <w:szCs w:val="16"/>
          <w:rtl/>
        </w:rPr>
        <w:t>(</w:t>
      </w:r>
      <w:r>
        <w:rPr>
          <w:rFonts w:hint="cs"/>
          <w:sz w:val="16"/>
          <w:szCs w:val="16"/>
          <w:rtl/>
        </w:rPr>
        <w:t xml:space="preserve">סי' פט </w:t>
      </w:r>
      <w:r w:rsidRPr="005F71C4">
        <w:rPr>
          <w:rFonts w:hint="cs"/>
          <w:sz w:val="16"/>
          <w:szCs w:val="16"/>
          <w:rtl/>
        </w:rPr>
        <w:t>סע' נז)</w:t>
      </w:r>
      <w:r>
        <w:rPr>
          <w:rFonts w:hint="cs"/>
          <w:rtl/>
        </w:rPr>
        <w:t xml:space="preserve"> כ' דכן המנהג, אך כ'</w:t>
      </w:r>
      <w:r>
        <w:rPr>
          <w:rFonts w:cs="Arial" w:hint="cs"/>
          <w:rtl/>
        </w:rPr>
        <w:t xml:space="preserve"> ד</w:t>
      </w:r>
      <w:r w:rsidRPr="005F71C4">
        <w:rPr>
          <w:rFonts w:cs="Arial"/>
          <w:rtl/>
        </w:rPr>
        <w:t>אם אין לו מים בסמוך ליטול ידיו, יסמוך על דעת הש</w:t>
      </w:r>
      <w:r>
        <w:rPr>
          <w:rFonts w:cs="Arial" w:hint="cs"/>
          <w:rtl/>
        </w:rPr>
        <w:t>ו"ע</w:t>
      </w:r>
      <w:r w:rsidRPr="005F71C4">
        <w:rPr>
          <w:rFonts w:cs="Arial"/>
          <w:rtl/>
        </w:rPr>
        <w:t xml:space="preserve"> דביום אין צריך נטילה כלל.</w:t>
      </w:r>
    </w:p>
  </w:footnote>
  <w:footnote w:id="1161">
    <w:p w14:paraId="2FC7F028"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ואפשר שאע"פ שרבינו כתב כאן ובספר יו"ד</w:t>
      </w:r>
      <w:r w:rsidRPr="00C233C9">
        <w:rPr>
          <w:rFonts w:asciiTheme="minorBidi" w:hAnsiTheme="minorBidi"/>
          <w:sz w:val="16"/>
          <w:szCs w:val="16"/>
          <w:rtl/>
        </w:rPr>
        <w:t xml:space="preserve"> (סי' פט) </w:t>
      </w:r>
      <w:r w:rsidRPr="00C233C9">
        <w:rPr>
          <w:rFonts w:asciiTheme="minorBidi" w:hAnsiTheme="minorBidi"/>
          <w:rtl/>
        </w:rPr>
        <w:t>שיקנח פיו ואח"כ ידיחנו, לאו דוקא, דה"ה אי עבד איפכא שפיר דמי, ב"י.</w:t>
      </w:r>
    </w:p>
  </w:footnote>
  <w:footnote w:id="1162">
    <w:p w14:paraId="2454F3FE"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ואע"פ שכתב בשו"ע את לשון הטור צריך לפרש את דבריו לפי מה שכתב בב"י- שא"צ לדקדק מה קודם. וגם הש"ך (סקי"א וסקי"ג) הביא להלכה את דברי מהר"ם. </w:t>
      </w:r>
    </w:p>
  </w:footnote>
  <w:footnote w:id="1163">
    <w:p w14:paraId="6A21195C"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הביא הטור (ביו"ד סי' פט) דברים אלו בשם 'יש נוהגין' וכ' על זה וז"ל- ויותר טוב להיות כל אחד ואחד בפני עצמו.</w:t>
      </w:r>
    </w:p>
  </w:footnote>
  <w:footnote w:id="1164">
    <w:p w14:paraId="12D6C035"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 הב"י שטעמו של הרמב"ם הוא מהא דתאני אגרא </w:t>
      </w:r>
      <w:r w:rsidRPr="00C233C9">
        <w:rPr>
          <w:rFonts w:asciiTheme="minorBidi" w:hAnsiTheme="minorBidi"/>
          <w:sz w:val="16"/>
          <w:szCs w:val="16"/>
          <w:rtl/>
        </w:rPr>
        <w:t>(חמוה דרבי אבא עוף וגבינה נאכלין באפיקורן, כלומר דרך הפקר שאינו נזהר לקנח פיו וליטול ידיו ביניהם)</w:t>
      </w:r>
      <w:r w:rsidRPr="00C233C9">
        <w:rPr>
          <w:rFonts w:asciiTheme="minorBidi" w:hAnsiTheme="minorBidi"/>
          <w:rtl/>
        </w:rPr>
        <w:t xml:space="preserve">, ומפרש הוא ז"ל דבאוכל גבינה ואח"כ עוף מיירי, דאילו אכל עוף תחלה אסור לאכול אחריו גבינה, ושלא כדברי הרמב"ן </w:t>
      </w:r>
      <w:r w:rsidRPr="00C233C9">
        <w:rPr>
          <w:rFonts w:asciiTheme="minorBidi" w:hAnsiTheme="minorBidi"/>
          <w:sz w:val="16"/>
          <w:szCs w:val="16"/>
          <w:rtl/>
        </w:rPr>
        <w:t xml:space="preserve">(שכתבו הרשב"א (תוה"א ב"ג ש"ד פז.) והר"ן (לז. ד"ה עוף)) </w:t>
      </w:r>
      <w:r w:rsidRPr="00C233C9">
        <w:rPr>
          <w:rFonts w:asciiTheme="minorBidi" w:hAnsiTheme="minorBidi"/>
          <w:rtl/>
        </w:rPr>
        <w:t xml:space="preserve">שסובר דאפילו עוף ואח"כ גבינה שרא אגרא </w:t>
      </w:r>
      <w:r w:rsidRPr="00C233C9">
        <w:rPr>
          <w:rFonts w:asciiTheme="minorBidi" w:hAnsiTheme="minorBidi"/>
          <w:sz w:val="16"/>
          <w:szCs w:val="16"/>
          <w:rtl/>
        </w:rPr>
        <w:t>(וכ' הרשב"א שאין דברי הרמב"ן מחוורים)</w:t>
      </w:r>
      <w:r w:rsidRPr="00C233C9">
        <w:rPr>
          <w:rFonts w:asciiTheme="minorBidi" w:hAnsiTheme="minorBidi"/>
          <w:rtl/>
        </w:rPr>
        <w:t xml:space="preserve">. וכ' הר"ן שהרמב"ם פסק כך אע"פ שהוא עצמו </w:t>
      </w:r>
      <w:r w:rsidRPr="00C233C9">
        <w:rPr>
          <w:rFonts w:asciiTheme="minorBidi" w:hAnsiTheme="minorBidi"/>
          <w:sz w:val="16"/>
          <w:szCs w:val="16"/>
          <w:rtl/>
        </w:rPr>
        <w:t xml:space="preserve">(פ"ט ה"ד) </w:t>
      </w:r>
      <w:r w:rsidRPr="00C233C9">
        <w:rPr>
          <w:rFonts w:asciiTheme="minorBidi" w:hAnsiTheme="minorBidi"/>
          <w:rtl/>
        </w:rPr>
        <w:t xml:space="preserve">פסק דחיה ועוף אינם מן התורה, ואיפשר שטעמו לפי שבשר החיה דומה לבהמה. וכן מפרש ר"ת </w:t>
      </w:r>
      <w:r w:rsidRPr="00C233C9">
        <w:rPr>
          <w:rFonts w:asciiTheme="minorBidi" w:hAnsiTheme="minorBidi"/>
          <w:sz w:val="16"/>
          <w:szCs w:val="16"/>
          <w:rtl/>
        </w:rPr>
        <w:t>(תוס' קד: ד"ה עוף, הביאו הרא"ש)</w:t>
      </w:r>
      <w:r w:rsidRPr="00C233C9">
        <w:rPr>
          <w:rFonts w:asciiTheme="minorBidi" w:hAnsiTheme="minorBidi"/>
          <w:rtl/>
        </w:rPr>
        <w:t xml:space="preserve"> טעמא דאגרא משום דעוף אין נדבק בידים ובשינים ובחניכים.</w:t>
      </w:r>
    </w:p>
  </w:footnote>
  <w:footnote w:id="1165">
    <w:p w14:paraId="5398664D"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רי"ף </w:t>
      </w:r>
      <w:r w:rsidRPr="00C233C9">
        <w:rPr>
          <w:rFonts w:asciiTheme="minorBidi" w:hAnsiTheme="minorBidi"/>
          <w:sz w:val="16"/>
          <w:szCs w:val="16"/>
          <w:rtl/>
        </w:rPr>
        <w:t>([לז.] להב' הרא"ש [פכ"ה סי' ה])</w:t>
      </w:r>
      <w:r w:rsidRPr="00C233C9">
        <w:rPr>
          <w:rFonts w:asciiTheme="minorBidi" w:hAnsiTheme="minorBidi"/>
          <w:rtl/>
        </w:rPr>
        <w:t xml:space="preserve"> רשב"א </w:t>
      </w:r>
      <w:r w:rsidRPr="00C233C9">
        <w:rPr>
          <w:rFonts w:asciiTheme="minorBidi" w:hAnsiTheme="minorBidi"/>
          <w:sz w:val="16"/>
          <w:szCs w:val="16"/>
          <w:rtl/>
        </w:rPr>
        <w:t xml:space="preserve">(תוה"ב הקצר ב"ג ש"ד פו.) </w:t>
      </w:r>
      <w:r w:rsidRPr="00C233C9">
        <w:rPr>
          <w:rFonts w:asciiTheme="minorBidi" w:hAnsiTheme="minorBidi"/>
          <w:rtl/>
        </w:rPr>
        <w:t xml:space="preserve">ור"ן </w:t>
      </w:r>
      <w:r w:rsidRPr="00C233C9">
        <w:rPr>
          <w:rFonts w:asciiTheme="minorBidi" w:hAnsiTheme="minorBidi"/>
          <w:sz w:val="16"/>
          <w:szCs w:val="16"/>
          <w:rtl/>
        </w:rPr>
        <w:t>(שם)</w:t>
      </w:r>
      <w:r w:rsidRPr="00C233C9">
        <w:rPr>
          <w:rFonts w:asciiTheme="minorBidi" w:hAnsiTheme="minorBidi"/>
          <w:rtl/>
        </w:rPr>
        <w:t>.</w:t>
      </w:r>
    </w:p>
  </w:footnote>
  <w:footnote w:id="1166">
    <w:p w14:paraId="189988E4"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 רי"ו דה"ה בלילה אם יש לו נר יפה א"צ נטילה, ומביאו ב"י באו"ח שם, ונראה דדוקא נקט נר יפה אבל בסתם נר צריך נטילה כדמשמע בש"ס ופוסקים, ומהרש"ל (שם סי' י) פי' יותר נר יפה כעין אבוקה, מיהו הטור כתב בשם הר"ף שיש לרחצם אף ביום לפי שלפעמים הגבינה שמינה ונדבקת בלחלוחית הידים ולאו אדעתיה, וכן דעת האחרונים וכ"כ העט"ז דכן נוהגין, ש"ך</w:t>
      </w:r>
      <w:r w:rsidRPr="00C233C9">
        <w:rPr>
          <w:rFonts w:asciiTheme="minorBidi" w:hAnsiTheme="minorBidi"/>
          <w:sz w:val="16"/>
          <w:szCs w:val="16"/>
          <w:rtl/>
        </w:rPr>
        <w:t xml:space="preserve"> (סק"ט)</w:t>
      </w:r>
      <w:r w:rsidRPr="00C233C9">
        <w:rPr>
          <w:rFonts w:asciiTheme="minorBidi" w:hAnsiTheme="minorBidi"/>
          <w:rtl/>
        </w:rPr>
        <w:t>.</w:t>
      </w:r>
    </w:p>
  </w:footnote>
  <w:footnote w:id="1167">
    <w:p w14:paraId="55256267"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 ב"י באו"ח סי' קעג וז"ל- כתוב בספר א"ח בשם הראב"ד דכל הדברים הנוהגים באחרונים נוהגים באמצעים שבין גבינה לתבשיל בין להקל בין להחמיר, חוץ משפשוף בגופו או בכותל או בהיסח הדעת שפוסלים באמצעים ואינם פוסלים באחרונים מפני שעדיין רוצה לאכול וידיו צריכות שימור, וחוץ מניגוב הידים שאף האמצעים צריכין ניגוב כראשונים, וחוץ משאר משקים שאינם כשרים לאמצעים מפני שהן שמנים וצחים ואינם מנקין את השומן ואת המאכל עכ"ל, וכ"כ בת"ח שם, אבל מהרש"ל שם חלק וכ'- מאחר שכל המשקים כשרים למים אחרונים לנקות הזוהמא כ"ש שמנקין ומעבירין לחלוחית המאכל עכ"ל, ואין כדאי בסברא זו לדחות דברי הראב"ד והנמשכים אליו ובפרט להקל בדבר שאין בו טורח כלל, ודין מים אחרונים עיין בא"ח סימן קפ"א, ש"ך</w:t>
      </w:r>
      <w:r w:rsidRPr="00C233C9">
        <w:rPr>
          <w:rFonts w:asciiTheme="minorBidi" w:hAnsiTheme="minorBidi"/>
          <w:sz w:val="16"/>
          <w:szCs w:val="16"/>
          <w:rtl/>
        </w:rPr>
        <w:t xml:space="preserve"> (סק"י)</w:t>
      </w:r>
      <w:r w:rsidRPr="00C233C9">
        <w:rPr>
          <w:rFonts w:asciiTheme="minorBidi" w:hAnsiTheme="minorBidi"/>
          <w:rtl/>
        </w:rPr>
        <w:t>.</w:t>
      </w:r>
    </w:p>
  </w:footnote>
  <w:footnote w:id="1168">
    <w:p w14:paraId="163CDF83" w14:textId="68D5F894" w:rsidR="004C5A3C" w:rsidRDefault="004C5A3C" w:rsidP="002C39F4">
      <w:pPr>
        <w:pStyle w:val="a5"/>
        <w:rPr>
          <w:rtl/>
        </w:rPr>
      </w:pPr>
      <w:r>
        <w:rPr>
          <w:rStyle w:val="a7"/>
        </w:rPr>
        <w:footnoteRef/>
      </w:r>
      <w:r>
        <w:rPr>
          <w:rtl/>
        </w:rPr>
        <w:t xml:space="preserve"> </w:t>
      </w:r>
      <w:r w:rsidR="00CC41B3">
        <w:rPr>
          <w:rtl/>
        </w:rPr>
        <w:t>אין הכוונה למלפפון גזר וכדומה אלא לירקות עלים (כוסברה וכדומה), וכן שאר עלים וגבעולים הצומחים מהזרעים לפני שמגיע הצמח לשלב הוצאת הפרי, כמו שכתב הרמב"ם בהל' כלאים</w:t>
      </w:r>
      <w:r w:rsidR="00CC41B3">
        <w:rPr>
          <w:sz w:val="16"/>
          <w:szCs w:val="16"/>
          <w:rtl/>
        </w:rPr>
        <w:t xml:space="preserve"> (פ"א ה"ח, וז"ל- </w:t>
      </w:r>
      <w:r w:rsidR="00CC41B3">
        <w:rPr>
          <w:rFonts w:cs="Arial"/>
          <w:sz w:val="16"/>
          <w:szCs w:val="16"/>
          <w:rtl/>
        </w:rPr>
        <w:t>כשיזרעו כל מיני זרעונים אלו, ויצמחו, נקרא הצמח כולו כל זמן שלא ניכר הזרע- דשא, ונקרא ירק</w:t>
      </w:r>
      <w:r w:rsidR="00CC41B3">
        <w:rPr>
          <w:sz w:val="16"/>
          <w:szCs w:val="16"/>
          <w:rtl/>
        </w:rPr>
        <w:t>)</w:t>
      </w:r>
      <w:r w:rsidR="00CC41B3">
        <w:rPr>
          <w:rtl/>
        </w:rPr>
        <w:t>. וכן מוכח מדברי הרמ"א (או"ח סי' תפו ס"א) שכשאומרים ירקות הכוונה היא לירק עלים.</w:t>
      </w:r>
      <w:r>
        <w:rPr>
          <w:rFonts w:hint="cs"/>
          <w:rtl/>
        </w:rPr>
        <w:t xml:space="preserve"> </w:t>
      </w:r>
    </w:p>
  </w:footnote>
  <w:footnote w:id="1169">
    <w:p w14:paraId="3857731E"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פי' להמתין שש שעות, ושיעור גבינה קשה שזכר רמ"א היינו שעברו עליה ו' חדשים או שהיא מתולעת, כ"כ או"ה, ודוקא בגבינה מותלעת יש להחמיר כן והוא מדינא מטעם שזכרנו אבל בגבינה ישנה ואינה מותלעת ולא נעשה מחלב אשר הועמדה בקיבה כדי להקפיא החלב רק נעשה מחלב בעלמא ונתייבשה או אוכל חמאה אין להחמיר בזה יותר מקינוח וניקור שינים והדחת פה וידים כי אם מי שנוהג בתוספת פרישות וזהירות, ט"ז (סק"ד). וכתוב בספר מצרף לחכמה</w:t>
      </w:r>
      <w:r w:rsidRPr="00C233C9">
        <w:rPr>
          <w:rFonts w:asciiTheme="minorBidi" w:hAnsiTheme="minorBidi"/>
          <w:sz w:val="16"/>
          <w:szCs w:val="16"/>
          <w:rtl/>
        </w:rPr>
        <w:t xml:space="preserve"> (פכ"ג דף כז.) </w:t>
      </w:r>
      <w:r w:rsidRPr="00C233C9">
        <w:rPr>
          <w:rFonts w:asciiTheme="minorBidi" w:hAnsiTheme="minorBidi"/>
          <w:rtl/>
        </w:rPr>
        <w:t>דלפי מה שנתבאר בסעיף א' דאחר אכילת בשר נוהגין להמתין שעה א' א"כ אפשר דגם הזוהר מודה שלא אסר רק בסעודה חדא ובשעתא חדא ודוק עכ"ל ולישנא דהזוהר פרשת משפטי' הכי משמע ע"ש, ש"ך (סקט"ז).</w:t>
      </w:r>
    </w:p>
  </w:footnote>
  <w:footnote w:id="1170">
    <w:p w14:paraId="0DE8072A"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ומהרש"ל שם קרא תגר על המחמירים שהוא כמו מינות ואמר דוקא מהר"מ שבא מכשול לידו פעם א' החמיר אבל מי שלא בא לידו תקלה לא יכול להחמיר. ע"ש שאין דבריו מוכרחים, ואדרבה בדברי מהר"מ שם משמע איפכא ע"ש ודוק, ש"ך (סקי"ז).</w:t>
      </w:r>
    </w:p>
  </w:footnote>
  <w:footnote w:id="1171">
    <w:p w14:paraId="196791C1"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הביאוהו התוס' (ד"ה לא שנו) והרא"ש (סי' ז).</w:t>
      </w:r>
    </w:p>
  </w:footnote>
  <w:footnote w:id="1172">
    <w:p w14:paraId="354F5522"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אחרי שהתוס' הביאו דברי רבנו שמואל כתבו וז"ל- ואין נראה לר"ת דבין תבשיל לגבינה משמע תבשיל תחלה </w:t>
      </w:r>
      <w:r w:rsidRPr="00C233C9">
        <w:rPr>
          <w:rFonts w:asciiTheme="minorBidi" w:hAnsiTheme="minorBidi"/>
          <w:sz w:val="16"/>
          <w:szCs w:val="16"/>
          <w:rtl/>
        </w:rPr>
        <w:t>(כדאמר לעיל כמה ישהה בין בשר לגבינה- ולא כלום, ופריך והא אמר רב חסדא אכל בשר אסור לאכול גבינה, אלא כמה ישהה בין גבינה לבשר כו')</w:t>
      </w:r>
      <w:r w:rsidRPr="00C233C9">
        <w:rPr>
          <w:rFonts w:asciiTheme="minorBidi" w:hAnsiTheme="minorBidi"/>
          <w:rtl/>
        </w:rPr>
        <w:t xml:space="preserve"> ועוד בין תבשיל לתבשיל בשניהם של בשר או של גבינה למה יש לו ליטול כלל ומפרש ר"ת ד-...</w:t>
      </w:r>
    </w:p>
  </w:footnote>
  <w:footnote w:id="1173">
    <w:p w14:paraId="3F81BFC9"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ויתכן פירוש זה אפילו לדברי האוסרים גבינה אחר בשר באותה סעודה אפילו בנטילה וקינוח, תוס' ורא"ש. וכ' הב"י- ורבינו תפס עיקר כפירוש ר"ת</w:t>
      </w:r>
      <w:r w:rsidRPr="00C233C9">
        <w:rPr>
          <w:rFonts w:asciiTheme="minorBidi" w:hAnsiTheme="minorBidi"/>
          <w:sz w:val="16"/>
          <w:szCs w:val="16"/>
          <w:rtl/>
        </w:rPr>
        <w:t xml:space="preserve"> {היינו ע"פ דברי הרא"ש שכ' שיתכן פירוש זה וכו}</w:t>
      </w:r>
      <w:r w:rsidRPr="00C233C9">
        <w:rPr>
          <w:rFonts w:asciiTheme="minorBidi" w:hAnsiTheme="minorBidi"/>
          <w:rtl/>
        </w:rPr>
        <w:t>, ולפ"ז מותר לאכול גבינה אחר תבשיל של בשר ע"י נטילה בנתיים, והבא לאכול בשר אחר תבשיל של גבינה אינו צריך ליטול ידיו, וכ"כ הוא ז"ל בטור יו"ד סי' פ"ט.</w:t>
      </w:r>
    </w:p>
  </w:footnote>
  <w:footnote w:id="1174">
    <w:p w14:paraId="6FA751F7"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ה"ר יונה</w:t>
      </w:r>
      <w:r w:rsidRPr="00C233C9">
        <w:rPr>
          <w:rFonts w:asciiTheme="minorBidi" w:hAnsiTheme="minorBidi"/>
          <w:sz w:val="16"/>
          <w:szCs w:val="16"/>
          <w:rtl/>
        </w:rPr>
        <w:t xml:space="preserve"> (על הרי"ף פרק אלו דברים [מ: ד"ה לא שנו])</w:t>
      </w:r>
      <w:r w:rsidRPr="00C233C9">
        <w:rPr>
          <w:rFonts w:asciiTheme="minorBidi" w:hAnsiTheme="minorBidi"/>
          <w:rtl/>
        </w:rPr>
        <w:t xml:space="preserve"> וטור </w:t>
      </w:r>
      <w:r w:rsidRPr="00C233C9">
        <w:rPr>
          <w:rFonts w:asciiTheme="minorBidi" w:hAnsiTheme="minorBidi"/>
          <w:sz w:val="16"/>
          <w:szCs w:val="16"/>
          <w:rtl/>
        </w:rPr>
        <w:t>(כאן, כ"כ הב"י באו"ח בשמו)</w:t>
      </w:r>
      <w:r w:rsidRPr="00C233C9">
        <w:rPr>
          <w:rFonts w:asciiTheme="minorBidi" w:hAnsiTheme="minorBidi"/>
          <w:rtl/>
        </w:rPr>
        <w:t>.</w:t>
      </w:r>
    </w:p>
  </w:footnote>
  <w:footnote w:id="1175">
    <w:p w14:paraId="010069AB"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וכן אם בא לאכול בשר אחר תבשיל של גבינה נוטל ידיו ומותר, ע"פ טור (כאן). </w:t>
      </w:r>
      <w:r w:rsidRPr="00C233C9">
        <w:rPr>
          <w:rFonts w:asciiTheme="minorBidi" w:hAnsiTheme="minorBidi"/>
          <w:color w:val="00B0F0"/>
          <w:rtl/>
        </w:rPr>
        <w:t>(וכ"פ הרמ"א)</w:t>
      </w:r>
    </w:p>
  </w:footnote>
  <w:footnote w:id="1176">
    <w:p w14:paraId="07E27F32"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וכ"כ ה</w:t>
      </w:r>
      <w:r>
        <w:rPr>
          <w:rFonts w:asciiTheme="minorBidi" w:hAnsiTheme="minorBidi"/>
          <w:rtl/>
        </w:rPr>
        <w:t>או"ה</w:t>
      </w:r>
      <w:r w:rsidRPr="00C233C9">
        <w:rPr>
          <w:rFonts w:asciiTheme="minorBidi" w:hAnsiTheme="minorBidi"/>
          <w:sz w:val="16"/>
          <w:szCs w:val="16"/>
          <w:rtl/>
        </w:rPr>
        <w:t xml:space="preserve"> (כלל מ דין ב)</w:t>
      </w:r>
      <w:r w:rsidRPr="00C233C9">
        <w:rPr>
          <w:rFonts w:asciiTheme="minorBidi" w:hAnsiTheme="minorBidi"/>
          <w:rtl/>
        </w:rPr>
        <w:t>.</w:t>
      </w:r>
    </w:p>
  </w:footnote>
  <w:footnote w:id="1177">
    <w:p w14:paraId="17364BE1"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w:t>
      </w:r>
      <w:r>
        <w:rPr>
          <w:rFonts w:asciiTheme="minorBidi" w:hAnsiTheme="minorBidi" w:hint="cs"/>
          <w:rtl/>
        </w:rPr>
        <w:t xml:space="preserve">וז"ל הרשב"א- </w:t>
      </w:r>
      <w:r w:rsidRPr="00030221">
        <w:rPr>
          <w:rFonts w:asciiTheme="minorBidi" w:hAnsiTheme="minorBidi"/>
          <w:rtl/>
        </w:rPr>
        <w:t>ראיתי מורי שאסר לאכול גבינה אחר ביצים מטוגנין בשומן אווזא משום גזירה אטו בשר בחלב</w:t>
      </w:r>
      <w:r>
        <w:rPr>
          <w:rFonts w:asciiTheme="minorBidi" w:hAnsiTheme="minorBidi" w:hint="cs"/>
          <w:rtl/>
        </w:rPr>
        <w:t xml:space="preserve">. עכ"ל. </w:t>
      </w:r>
      <w:r w:rsidRPr="00C233C9">
        <w:rPr>
          <w:rFonts w:asciiTheme="minorBidi" w:hAnsiTheme="minorBidi"/>
          <w:rtl/>
        </w:rPr>
        <w:t>וכ"כ בארוך</w:t>
      </w:r>
      <w:r w:rsidRPr="00C233C9">
        <w:rPr>
          <w:rFonts w:asciiTheme="minorBidi" w:hAnsiTheme="minorBidi"/>
          <w:sz w:val="16"/>
          <w:szCs w:val="16"/>
          <w:rtl/>
        </w:rPr>
        <w:t xml:space="preserve"> (כלל מ סי' ב) </w:t>
      </w:r>
      <w:r w:rsidRPr="00C233C9">
        <w:rPr>
          <w:rFonts w:asciiTheme="minorBidi" w:hAnsiTheme="minorBidi"/>
          <w:rtl/>
        </w:rPr>
        <w:t xml:space="preserve">בשם המרדכי, וכתב שכן המנהג. אך כ' הדרכ"מ </w:t>
      </w:r>
      <w:r w:rsidRPr="00C233C9">
        <w:rPr>
          <w:rFonts w:asciiTheme="minorBidi" w:hAnsiTheme="minorBidi"/>
          <w:sz w:val="16"/>
          <w:szCs w:val="16"/>
          <w:rtl/>
        </w:rPr>
        <w:t xml:space="preserve">(אות ו) </w:t>
      </w:r>
      <w:r w:rsidRPr="00C233C9">
        <w:rPr>
          <w:rFonts w:asciiTheme="minorBidi" w:hAnsiTheme="minorBidi"/>
          <w:rtl/>
        </w:rPr>
        <w:t>וז"ל- אמנם במרדכי שלנו אינו</w:t>
      </w:r>
      <w:r w:rsidRPr="00C233C9">
        <w:rPr>
          <w:rFonts w:asciiTheme="minorBidi" w:hAnsiTheme="minorBidi"/>
          <w:sz w:val="16"/>
          <w:szCs w:val="16"/>
          <w:rtl/>
        </w:rPr>
        <w:t xml:space="preserve"> {ולפני כן נמצאת לשון זו במרדכי}</w:t>
      </w:r>
      <w:r w:rsidRPr="00C233C9">
        <w:rPr>
          <w:rFonts w:asciiTheme="minorBidi" w:hAnsiTheme="minorBidi"/>
          <w:rtl/>
        </w:rPr>
        <w:t xml:space="preserve">, וגם שמעתי שרבים מקילין בשומן עוף, אבל בשומן בהמה מחמירין כמו בשאר בשר. ומ"מ בת"ח (כלל עז) </w:t>
      </w:r>
      <w:r>
        <w:rPr>
          <w:rFonts w:asciiTheme="minorBidi" w:hAnsiTheme="minorBidi" w:hint="cs"/>
          <w:rtl/>
        </w:rPr>
        <w:t xml:space="preserve">כתב </w:t>
      </w:r>
      <w:r w:rsidRPr="00C233C9">
        <w:rPr>
          <w:rFonts w:asciiTheme="minorBidi" w:hAnsiTheme="minorBidi"/>
          <w:rtl/>
        </w:rPr>
        <w:t>בשם הגשע"ד דאפי' בשומן אווז יש להחמיר כן.</w:t>
      </w:r>
    </w:p>
  </w:footnote>
  <w:footnote w:id="1178">
    <w:p w14:paraId="1909A3E3" w14:textId="77777777" w:rsidR="004C5A3C" w:rsidRDefault="004C5A3C" w:rsidP="002C39F4">
      <w:pPr>
        <w:pStyle w:val="a5"/>
        <w:rPr>
          <w:rtl/>
        </w:rPr>
      </w:pPr>
      <w:r>
        <w:rPr>
          <w:rStyle w:val="a7"/>
        </w:rPr>
        <w:footnoteRef/>
      </w:r>
      <w:r>
        <w:rPr>
          <w:rtl/>
        </w:rPr>
        <w:t xml:space="preserve"> </w:t>
      </w:r>
      <w:r>
        <w:rPr>
          <w:rFonts w:hint="cs"/>
          <w:rtl/>
        </w:rPr>
        <w:t xml:space="preserve">וז"ל- </w:t>
      </w:r>
      <w:r>
        <w:rPr>
          <w:rFonts w:cs="Arial"/>
          <w:rtl/>
        </w:rPr>
        <w:t>אמרת עוד שהם חלוקין במעשה אלפס שנעשה בשומן של בשר. שמתיר האחד לאכול אחריו מיד גבינה ועושה בזה כמו כן מעשה והאחד אוסר. תשובה הדין עם האוסר והמקל הזה טועה בשקול הדעת. שהוא סבור שלא אסרו בשר ואחר כך גבינה אלא מפני בשר שבין השינים. וכשהוא אוכל ממשו של בשר יש לחשש זה מפני חוטי בשר וגידין שנאחזין בבין השינים והחנכין. אבל שומן הנתך הרי הוא כגבינה ואחר כך בשר דדי לך בקנוח הפה ונטילת ידים. ואינו לפי שלא חלקו באכילת בשר עד שנאמר האוכל בשר גס אסור והאוכל דק דק של בשר מותר. שאם אתה אומר כן נתת דבריך לשיעורין ולדברי המתיר אין קצבה. ואיני רואה בזה צד פקפוק כלל. שומר פיו שומר מצרת נפשו.</w:t>
      </w:r>
    </w:p>
  </w:footnote>
  <w:footnote w:id="1179">
    <w:p w14:paraId="21E0EC95"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w:t>
      </w:r>
      <w:r>
        <w:rPr>
          <w:rFonts w:asciiTheme="minorBidi" w:hAnsiTheme="minorBidi" w:hint="cs"/>
          <w:rtl/>
        </w:rPr>
        <w:t xml:space="preserve">כ"כ בשמו </w:t>
      </w:r>
      <w:r w:rsidRPr="00C233C9">
        <w:rPr>
          <w:rFonts w:asciiTheme="minorBidi" w:hAnsiTheme="minorBidi"/>
          <w:rtl/>
        </w:rPr>
        <w:t>ההגה"מ (פ"ט דפ"ק הכ"ח ד"ה והוא) וההגשע"ד (סי' עו סק"</w:t>
      </w:r>
      <w:r>
        <w:rPr>
          <w:rFonts w:asciiTheme="minorBidi" w:hAnsiTheme="minorBidi" w:hint="cs"/>
          <w:rtl/>
        </w:rPr>
        <w:t>ג</w:t>
      </w:r>
      <w:r w:rsidRPr="00C233C9">
        <w:rPr>
          <w:rFonts w:asciiTheme="minorBidi" w:hAnsiTheme="minorBidi"/>
          <w:rtl/>
        </w:rPr>
        <w:t>).</w:t>
      </w:r>
    </w:p>
  </w:footnote>
  <w:footnote w:id="1180">
    <w:p w14:paraId="4CE0D94C"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ומיהו כתבו בשם סמ"ק </w:t>
      </w:r>
      <w:r w:rsidRPr="00C233C9">
        <w:rPr>
          <w:rFonts w:asciiTheme="minorBidi" w:hAnsiTheme="minorBidi"/>
          <w:sz w:val="16"/>
          <w:szCs w:val="16"/>
          <w:rtl/>
        </w:rPr>
        <w:t>(סי' ריג הגה ד</w:t>
      </w:r>
      <w:r w:rsidRPr="00C233C9">
        <w:rPr>
          <w:rFonts w:asciiTheme="minorBidi" w:hAnsiTheme="minorBidi"/>
          <w:color w:val="FF0000"/>
          <w:sz w:val="16"/>
          <w:szCs w:val="16"/>
          <w:rtl/>
        </w:rPr>
        <w:t>- לא מצאתי שם</w:t>
      </w:r>
      <w:r w:rsidRPr="00C233C9">
        <w:rPr>
          <w:rFonts w:asciiTheme="minorBidi" w:hAnsiTheme="minorBidi"/>
          <w:sz w:val="16"/>
          <w:szCs w:val="16"/>
          <w:rtl/>
        </w:rPr>
        <w:t>)</w:t>
      </w:r>
      <w:r w:rsidRPr="00C233C9">
        <w:rPr>
          <w:rFonts w:asciiTheme="minorBidi" w:hAnsiTheme="minorBidi"/>
          <w:rtl/>
        </w:rPr>
        <w:t xml:space="preserve"> דצריך עיון ברוטב של בשר דכשיש בו בשר מושך המים בפה, ע"כ, כלומר דדילמא הא דשרי לאכול גבינה אחר תבשיל של בשר דוקא בכגון ביצים מטוגנים בשומן שאינם מושכים המים בפה כל כך אבל רוטב של בשר לא, ב"י.</w:t>
      </w:r>
    </w:p>
  </w:footnote>
  <w:footnote w:id="1181">
    <w:p w14:paraId="68FD0D8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ח"א סי' תס, וכ"כ בשמו בשערים (שער כו) ובהגשע"ד (סי' עו אות ח).</w:t>
      </w:r>
    </w:p>
  </w:footnote>
  <w:footnote w:id="1182">
    <w:p w14:paraId="4EFD4FE2"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וכן נהגו ליטול ידים אחר כל תבשיל של חלב, ואם יש להקל שלא להצריך נטילה זהו דוקא בגבינה עצמה שהיא קשה ויבשה ולא בשום מאכל חלב ולא בתבשיל, מהרא"י (בהגשע"ד סי' עו אות ח).</w:t>
      </w:r>
    </w:p>
  </w:footnote>
  <w:footnote w:id="1183">
    <w:p w14:paraId="66EE6864"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ואפילו שומן של עוף דינו כבשר ממש, כ"כ בת"ח שם ד"ד בשם המרדכי והגשע"ד, וכ"פ בסימני ת"ח שם, ש"ך (סקי"ח).</w:t>
      </w:r>
    </w:p>
  </w:footnote>
  <w:footnote w:id="1184">
    <w:p w14:paraId="6327B59E"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לקמן ריש סי' צ"ה יתבאר דאפי' לאכלו עם גבינה מותר דהוי נ"ט בר נ"ט, ונראה דהא דאשמועינן הכא דמותר לאכול גבינה אח"כ היינו אפילו נתבשל בקדרה שלא הודחה יפה דהוי קצת ממשות של איסור, דבכה"ג אסור לאכלו עם גבינה כמבואר לשם, ושרי הכא, ש"ך (סקי"ט).</w:t>
      </w:r>
      <w:r w:rsidRPr="00EA5230">
        <w:rPr>
          <w:rtl/>
        </w:rPr>
        <w:t xml:space="preserve"> </w:t>
      </w:r>
      <w:r w:rsidRPr="00EA5230">
        <w:rPr>
          <w:rFonts w:asciiTheme="minorBidi" w:hAnsiTheme="minorBidi" w:cs="Arial"/>
          <w:rtl/>
        </w:rPr>
        <w:t>ו</w:t>
      </w:r>
      <w:r>
        <w:rPr>
          <w:rFonts w:asciiTheme="minorBidi" w:hAnsiTheme="minorBidi" w:cs="Arial" w:hint="cs"/>
          <w:rtl/>
        </w:rPr>
        <w:t xml:space="preserve">כ' הפת"ש (סק"ז)- </w:t>
      </w:r>
      <w:r w:rsidRPr="00EA5230">
        <w:rPr>
          <w:rFonts w:asciiTheme="minorBidi" w:hAnsiTheme="minorBidi" w:cs="Arial"/>
          <w:rtl/>
        </w:rPr>
        <w:t>נראה דר"ל אפילו אם אין ס' נגד הטוח בעין שע</w:t>
      </w:r>
      <w:r>
        <w:rPr>
          <w:rFonts w:asciiTheme="minorBidi" w:hAnsiTheme="minorBidi" w:cs="Arial" w:hint="cs"/>
          <w:rtl/>
        </w:rPr>
        <w:t>"</w:t>
      </w:r>
      <w:r w:rsidRPr="00EA5230">
        <w:rPr>
          <w:rFonts w:asciiTheme="minorBidi" w:hAnsiTheme="minorBidi" w:cs="Arial"/>
          <w:rtl/>
        </w:rPr>
        <w:t>פ הקדרה דאל"כ הד</w:t>
      </w:r>
      <w:r>
        <w:rPr>
          <w:rFonts w:asciiTheme="minorBidi" w:hAnsiTheme="minorBidi" w:cs="Arial" w:hint="cs"/>
          <w:rtl/>
        </w:rPr>
        <w:t xml:space="preserve">רא </w:t>
      </w:r>
      <w:r w:rsidRPr="00EA5230">
        <w:rPr>
          <w:rFonts w:asciiTheme="minorBidi" w:hAnsiTheme="minorBidi" w:cs="Arial"/>
          <w:rtl/>
        </w:rPr>
        <w:t>ק</w:t>
      </w:r>
      <w:r>
        <w:rPr>
          <w:rFonts w:asciiTheme="minorBidi" w:hAnsiTheme="minorBidi" w:cs="Arial" w:hint="cs"/>
          <w:rtl/>
        </w:rPr>
        <w:t xml:space="preserve">ושיא </w:t>
      </w:r>
      <w:r w:rsidRPr="00EA5230">
        <w:rPr>
          <w:rFonts w:asciiTheme="minorBidi" w:hAnsiTheme="minorBidi" w:cs="Arial"/>
          <w:rtl/>
        </w:rPr>
        <w:t>ל</w:t>
      </w:r>
      <w:r>
        <w:rPr>
          <w:rFonts w:asciiTheme="minorBidi" w:hAnsiTheme="minorBidi" w:cs="Arial" w:hint="cs"/>
          <w:rtl/>
        </w:rPr>
        <w:t>דוכתא</w:t>
      </w:r>
      <w:r w:rsidRPr="00EA5230">
        <w:rPr>
          <w:rFonts w:asciiTheme="minorBidi" w:hAnsiTheme="minorBidi" w:cs="Arial"/>
          <w:rtl/>
        </w:rPr>
        <w:t>. ולפ"ז פשיטא דתבשיל שהושם בו מעט שומן מותר לאכול אחריו גבינה אף אם לא היה ס' נגד השומן</w:t>
      </w:r>
      <w:r>
        <w:rPr>
          <w:rFonts w:asciiTheme="minorBidi" w:hAnsiTheme="minorBidi" w:cs="Arial" w:hint="cs"/>
          <w:rtl/>
        </w:rPr>
        <w:t xml:space="preserve">, </w:t>
      </w:r>
      <w:r w:rsidRPr="00EA5230">
        <w:rPr>
          <w:rFonts w:asciiTheme="minorBidi" w:hAnsiTheme="minorBidi" w:cs="Arial"/>
          <w:rtl/>
        </w:rPr>
        <w:t>כעת ראיתי בס' ב</w:t>
      </w:r>
      <w:r>
        <w:rPr>
          <w:rFonts w:asciiTheme="minorBidi" w:hAnsiTheme="minorBidi" w:cs="Arial" w:hint="cs"/>
          <w:rtl/>
        </w:rPr>
        <w:t xml:space="preserve">ית </w:t>
      </w:r>
      <w:r w:rsidRPr="00EA5230">
        <w:rPr>
          <w:rFonts w:asciiTheme="minorBidi" w:hAnsiTheme="minorBidi" w:cs="Arial"/>
          <w:rtl/>
        </w:rPr>
        <w:t>ל</w:t>
      </w:r>
      <w:r>
        <w:rPr>
          <w:rFonts w:asciiTheme="minorBidi" w:hAnsiTheme="minorBidi" w:cs="Arial" w:hint="cs"/>
          <w:rtl/>
        </w:rPr>
        <w:t xml:space="preserve">חם </w:t>
      </w:r>
      <w:r w:rsidRPr="00EA5230">
        <w:rPr>
          <w:rFonts w:asciiTheme="minorBidi" w:hAnsiTheme="minorBidi" w:cs="Arial"/>
          <w:rtl/>
        </w:rPr>
        <w:t>י</w:t>
      </w:r>
      <w:r>
        <w:rPr>
          <w:rFonts w:asciiTheme="minorBidi" w:hAnsiTheme="minorBidi" w:cs="Arial" w:hint="cs"/>
          <w:rtl/>
        </w:rPr>
        <w:t>הודה</w:t>
      </w:r>
      <w:r w:rsidRPr="00EA5230">
        <w:rPr>
          <w:rFonts w:asciiTheme="minorBidi" w:hAnsiTheme="minorBidi" w:cs="Arial"/>
          <w:rtl/>
        </w:rPr>
        <w:t xml:space="preserve"> </w:t>
      </w:r>
      <w:r>
        <w:rPr>
          <w:rFonts w:asciiTheme="minorBidi" w:hAnsiTheme="minorBidi" w:cs="Arial" w:hint="cs"/>
          <w:rtl/>
        </w:rPr>
        <w:t>(</w:t>
      </w:r>
      <w:r w:rsidRPr="00EA5230">
        <w:rPr>
          <w:rFonts w:asciiTheme="minorBidi" w:hAnsiTheme="minorBidi" w:cs="Arial"/>
          <w:rtl/>
        </w:rPr>
        <w:t>סקט"ו</w:t>
      </w:r>
      <w:r>
        <w:rPr>
          <w:rFonts w:asciiTheme="minorBidi" w:hAnsiTheme="minorBidi" w:cs="Arial" w:hint="cs"/>
          <w:rtl/>
        </w:rPr>
        <w:t xml:space="preserve">) </w:t>
      </w:r>
      <w:r w:rsidRPr="00EA5230">
        <w:rPr>
          <w:rFonts w:asciiTheme="minorBidi" w:hAnsiTheme="minorBidi" w:cs="Arial"/>
          <w:rtl/>
        </w:rPr>
        <w:t>שכ</w:t>
      </w:r>
      <w:r>
        <w:rPr>
          <w:rFonts w:asciiTheme="minorBidi" w:hAnsiTheme="minorBidi" w:cs="Arial" w:hint="cs"/>
          <w:rtl/>
        </w:rPr>
        <w:t>'</w:t>
      </w:r>
      <w:r w:rsidRPr="00EA5230">
        <w:rPr>
          <w:rFonts w:asciiTheme="minorBidi" w:hAnsiTheme="minorBidi" w:cs="Arial"/>
          <w:rtl/>
        </w:rPr>
        <w:t xml:space="preserve"> על דברי הש"ך וז"ל</w:t>
      </w:r>
      <w:r>
        <w:rPr>
          <w:rFonts w:asciiTheme="minorBidi" w:hAnsiTheme="minorBidi" w:cs="Arial" w:hint="cs"/>
          <w:rtl/>
        </w:rPr>
        <w:t>-</w:t>
      </w:r>
      <w:r w:rsidRPr="00EA5230">
        <w:rPr>
          <w:rFonts w:asciiTheme="minorBidi" w:hAnsiTheme="minorBidi" w:cs="Arial"/>
          <w:rtl/>
        </w:rPr>
        <w:t xml:space="preserve"> ונראה לי דוקא שאינו נותן טעם ממשות בתבשיל רק לחלוחית טוח על פניו אבל אם נותן הממשות טעם בתבשיל הוי כמו שומן עכ"ל ולפ"ז בתבשיל שיש בו שומן ואין בתבשיל ס' נגדו אין להקל</w:t>
      </w:r>
      <w:r>
        <w:rPr>
          <w:rFonts w:asciiTheme="minorBidi" w:hAnsiTheme="minorBidi" w:cs="Arial" w:hint="cs"/>
          <w:rtl/>
        </w:rPr>
        <w:t>.</w:t>
      </w:r>
    </w:p>
  </w:footnote>
  <w:footnote w:id="1185">
    <w:p w14:paraId="056F60D1"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אף ביום לכו"ע, דיותר נדבק בידים מגבינה עצמה, כן הסכימו הפוסקים כמ"ש בת"ח שם דין ג', ש"ך (סק"כ).</w:t>
      </w:r>
    </w:p>
  </w:footnote>
  <w:footnote w:id="1186">
    <w:p w14:paraId="1CE1F36A"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כ"כ גם הב"י בשם רש"י</w:t>
      </w:r>
      <w:r w:rsidRPr="00C233C9">
        <w:rPr>
          <w:rFonts w:asciiTheme="minorBidi" w:hAnsiTheme="minorBidi"/>
          <w:sz w:val="14"/>
          <w:szCs w:val="14"/>
          <w:rtl/>
        </w:rPr>
        <w:t xml:space="preserve"> (קז:)</w:t>
      </w:r>
      <w:r w:rsidRPr="00C233C9">
        <w:rPr>
          <w:rFonts w:asciiTheme="minorBidi" w:hAnsiTheme="minorBidi"/>
          <w:rtl/>
        </w:rPr>
        <w:t>, ובאמת לא דקדקו כלל, דרש"י לא איירי התם אלא לענין נט"י הראשונים לאכילה, והוא פשוט בש"ס שם ומוסכם מכל הפוסקים</w:t>
      </w:r>
      <w:r w:rsidRPr="00C233C9">
        <w:rPr>
          <w:rFonts w:asciiTheme="minorBidi" w:hAnsiTheme="minorBidi"/>
          <w:sz w:val="16"/>
          <w:szCs w:val="16"/>
          <w:rtl/>
        </w:rPr>
        <w:t xml:space="preserve"> (כמו שנתבאר באו"ח סי' קסג)</w:t>
      </w:r>
      <w:r w:rsidRPr="00C233C9">
        <w:rPr>
          <w:rFonts w:asciiTheme="minorBidi" w:hAnsiTheme="minorBidi"/>
          <w:rtl/>
        </w:rPr>
        <w:t xml:space="preserve"> שאין המאכיל צריך נט"י אע"פ שנוגע, אבל מים אמצעים בין תבשיל לגבינה או איפכא דטעמא הוא דנדבק בידים פשיטא דאין חילוק בין אוכל לנוגע, ולא לישתמיט חד מהפוסקים לפלוגי בהכי, ש"ך (סקכ"א). ומיהו מסתברא שאם מוליך ומביא המאכל מונח בקערה שאין צריך נטילה, פר"ח (סקכ"א).</w:t>
      </w:r>
    </w:p>
  </w:footnote>
  <w:footnote w:id="1187">
    <w:p w14:paraId="2343F9E8"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הטור (סי' צא) כ' וז"ל- כיון דבצונן בעי הדחה</w:t>
      </w:r>
      <w:r w:rsidRPr="00C233C9">
        <w:rPr>
          <w:rFonts w:asciiTheme="minorBidi" w:hAnsiTheme="minorBidi"/>
          <w:sz w:val="16"/>
          <w:szCs w:val="16"/>
          <w:rtl/>
        </w:rPr>
        <w:t xml:space="preserve"> {אם נגע היתר צונן באיסור צונן}</w:t>
      </w:r>
      <w:r w:rsidRPr="00C233C9">
        <w:rPr>
          <w:rFonts w:asciiTheme="minorBidi" w:hAnsiTheme="minorBidi"/>
          <w:rtl/>
        </w:rPr>
        <w:t xml:space="preserve"> צריך ליזהר שלא יגע בשר לח בלחם שאם יגע בו אסור לאוכלו עם גבינה וכן אם יגע בו גבינה אסור לאוכלו עם בשר והכי איתא בירושלמי-...</w:t>
      </w:r>
    </w:p>
  </w:footnote>
  <w:footnote w:id="1188">
    <w:p w14:paraId="01D70F4E"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במיוחסות סי' קעב, וכ"כ בשו"ת ח"א סי' עו.</w:t>
      </w:r>
    </w:p>
  </w:footnote>
  <w:footnote w:id="1189">
    <w:p w14:paraId="3272C488"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שא"א שאין עליה כמה טיפי בשר, ולא מחמת מה שנבלע בתוכה אני אומר, שהבלוע אינו יוצא אלא ע"י דבר חם ואי משום הא היה אסור להניח עליו גבינה חמה אבל הצוננת לא, אלא שאני אומר וכן אמת שלכלוכי בשר יש עליה, שהרבה פעמים יש שנופלים עליה טיפי התבשיל, וכן שמקנחים עליה סכין שחותכין בה הבשר, וכל שהוא בעין כשמניחין עליה גבינה בין חמה בין צוננת נוגעים זה לזה לפחות והדחה מיהא בעי וכדתנן </w:t>
      </w:r>
      <w:r w:rsidRPr="00C233C9">
        <w:rPr>
          <w:rFonts w:asciiTheme="minorBidi" w:hAnsiTheme="minorBidi"/>
          <w:sz w:val="16"/>
          <w:szCs w:val="16"/>
          <w:rtl/>
        </w:rPr>
        <w:t xml:space="preserve">(חולין קז:) </w:t>
      </w:r>
      <w:r w:rsidRPr="00C233C9">
        <w:rPr>
          <w:rFonts w:asciiTheme="minorBidi" w:hAnsiTheme="minorBidi"/>
          <w:rtl/>
        </w:rPr>
        <w:t>צורר אדם בשר וגבינה וכו' נהי דקליפה לא בעי הדחה מיהא בעי, ועוד שזה חמור יותר כי הרבה פעמים ידבקו לכלים הבשר בעצמו והגבינה בעצמה או בלחם אשר הוא אוכל ויאכל בשר וגבינה בתפיסה אחת, וזה דבר ברור, רשב"א.</w:t>
      </w:r>
    </w:p>
  </w:footnote>
  <w:footnote w:id="1190">
    <w:p w14:paraId="77EA5ACA"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לפי שלפעמים הסכינין שומנו של בשר קרוש עליהם וכשחותכים הפת נדבק בו כדאמרינן </w:t>
      </w:r>
      <w:r w:rsidRPr="00C233C9">
        <w:rPr>
          <w:rFonts w:asciiTheme="minorBidi" w:hAnsiTheme="minorBidi"/>
          <w:sz w:val="16"/>
          <w:szCs w:val="16"/>
          <w:rtl/>
        </w:rPr>
        <w:t xml:space="preserve">(חולין קיא:) </w:t>
      </w:r>
      <w:r w:rsidRPr="00C233C9">
        <w:rPr>
          <w:rFonts w:asciiTheme="minorBidi" w:hAnsiTheme="minorBidi"/>
          <w:rtl/>
        </w:rPr>
        <w:t xml:space="preserve">צנון שחתכו בסכין של בשר מותר לאכלו בכותח ואוקימנא בדטעים ליה וליכא טעם בשר כלל, ואפשר כי טעימת קפילא בעי כדעת רש"י, ואמרינן נמי </w:t>
      </w:r>
      <w:r w:rsidRPr="00C233C9">
        <w:rPr>
          <w:rFonts w:asciiTheme="minorBidi" w:hAnsiTheme="minorBidi"/>
          <w:sz w:val="16"/>
          <w:szCs w:val="16"/>
          <w:rtl/>
        </w:rPr>
        <w:t xml:space="preserve">(שם קיב.) </w:t>
      </w:r>
      <w:r w:rsidRPr="00C233C9">
        <w:rPr>
          <w:rFonts w:asciiTheme="minorBidi" w:hAnsiTheme="minorBidi"/>
          <w:rtl/>
        </w:rPr>
        <w:t>קישות ואבטיח גריר להו לבי פסקיה, רשב"א.</w:t>
      </w:r>
    </w:p>
  </w:footnote>
  <w:footnote w:id="1191">
    <w:p w14:paraId="74A9EFDD"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הא"ח (הל' אמא"כ סי' סא) הביא את דברי הרשב"א (בשו"ת ח"א סי' עו) הנ"ל ואח"כ כתב-</w:t>
      </w:r>
    </w:p>
  </w:footnote>
  <w:footnote w:id="1192">
    <w:p w14:paraId="3663F47C"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וכ"כ סה"ת</w:t>
      </w:r>
      <w:r w:rsidRPr="00C233C9">
        <w:rPr>
          <w:rFonts w:asciiTheme="minorBidi" w:hAnsiTheme="minorBidi"/>
          <w:sz w:val="16"/>
          <w:szCs w:val="16"/>
          <w:rtl/>
        </w:rPr>
        <w:t xml:space="preserve"> (ר"ס עא)</w:t>
      </w:r>
      <w:r w:rsidRPr="00C233C9">
        <w:rPr>
          <w:rFonts w:asciiTheme="minorBidi" w:hAnsiTheme="minorBidi"/>
          <w:rtl/>
        </w:rPr>
        <w:t xml:space="preserve">, </w:t>
      </w:r>
      <w:r w:rsidRPr="00C233C9">
        <w:rPr>
          <w:rFonts w:asciiTheme="minorBidi" w:hAnsiTheme="minorBidi"/>
          <w:u w:val="single"/>
          <w:rtl/>
        </w:rPr>
        <w:t>ויש לשים לב שסה"ת לא הזכיר דין חיתוך לחם שרוצה לאכול עמו גבינה אלא גבי חיתוך גבינה ממש, ודלא כמו שאפשר להבין מדברי הב"י</w:t>
      </w:r>
      <w:r w:rsidRPr="00C233C9">
        <w:rPr>
          <w:rFonts w:asciiTheme="minorBidi" w:hAnsiTheme="minorBidi"/>
          <w:rtl/>
        </w:rPr>
        <w:t>, וז"ל סה"ת</w:t>
      </w:r>
      <w:r w:rsidRPr="00C233C9">
        <w:rPr>
          <w:rFonts w:asciiTheme="minorBidi" w:hAnsiTheme="minorBidi"/>
          <w:sz w:val="16"/>
          <w:szCs w:val="16"/>
          <w:rtl/>
        </w:rPr>
        <w:t xml:space="preserve"> (וכ"כ בכלבו סי' קו)</w:t>
      </w:r>
      <w:r w:rsidRPr="00C233C9">
        <w:rPr>
          <w:rFonts w:asciiTheme="minorBidi" w:hAnsiTheme="minorBidi"/>
          <w:rtl/>
        </w:rPr>
        <w:t>- אם רוצה לחתוך בה גבינה צוננת בסכין שחתך בה בשר או אפכא שרוצה לחתוך לו בשר צונן בסכין חולבת או מסכין של עכו"ם הסכין צריך תחלה נעיצה בקרקע עשר פעמים... ואם יש גומות בסכין שאינו חלק מפרש התם</w:t>
      </w:r>
      <w:r w:rsidRPr="00C233C9">
        <w:rPr>
          <w:rFonts w:asciiTheme="minorBidi" w:hAnsiTheme="minorBidi"/>
          <w:sz w:val="16"/>
          <w:szCs w:val="16"/>
          <w:rtl/>
        </w:rPr>
        <w:t xml:space="preserve"> </w:t>
      </w:r>
      <w:r w:rsidRPr="00C233C9">
        <w:rPr>
          <w:rFonts w:asciiTheme="minorBidi" w:hAnsiTheme="minorBidi"/>
          <w:sz w:val="14"/>
          <w:szCs w:val="14"/>
          <w:rtl/>
        </w:rPr>
        <w:t>{פ' בתרא דע"ז}</w:t>
      </w:r>
      <w:r w:rsidRPr="00C233C9">
        <w:rPr>
          <w:rFonts w:asciiTheme="minorBidi" w:hAnsiTheme="minorBidi"/>
          <w:sz w:val="16"/>
          <w:szCs w:val="16"/>
          <w:rtl/>
        </w:rPr>
        <w:t xml:space="preserve"> </w:t>
      </w:r>
      <w:r w:rsidRPr="00C233C9">
        <w:rPr>
          <w:rFonts w:asciiTheme="minorBidi" w:hAnsiTheme="minorBidi"/>
          <w:rtl/>
        </w:rPr>
        <w:t>דלא סגי בנעיצה בקרקע וי"ל שישפשפנו באבן רך או בפיחם שיכנס בגומות וסגי.</w:t>
      </w:r>
    </w:p>
  </w:footnote>
  <w:footnote w:id="1193">
    <w:p w14:paraId="33A714FC"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w:t>
      </w:r>
      <w:r>
        <w:rPr>
          <w:rFonts w:asciiTheme="minorBidi" w:hAnsiTheme="minorBidi" w:hint="cs"/>
          <w:rtl/>
        </w:rPr>
        <w:t xml:space="preserve">וכ' </w:t>
      </w:r>
      <w:r w:rsidRPr="00BA2951">
        <w:rPr>
          <w:rFonts w:asciiTheme="minorBidi" w:hAnsiTheme="minorBidi"/>
          <w:rtl/>
        </w:rPr>
        <w:t xml:space="preserve">רש"ל (פכ"ה סי' ח)- אסור לחתוך בו פת לאכול עם גבינה אף אם נעצו, דלא התירו נעיצה אלא אם אירע </w:t>
      </w:r>
      <w:r w:rsidRPr="00BA2951">
        <w:rPr>
          <w:rFonts w:asciiTheme="minorBidi" w:hAnsiTheme="minorBidi"/>
          <w:u w:val="single"/>
          <w:rtl/>
        </w:rPr>
        <w:t>במקרה</w:t>
      </w:r>
      <w:r w:rsidRPr="00BA2951">
        <w:rPr>
          <w:rFonts w:asciiTheme="minorBidi" w:hAnsiTheme="minorBidi"/>
          <w:rtl/>
        </w:rPr>
        <w:t xml:space="preserve"> שחתכו בסכין בשר או איפכא שצריך נעיצה להכשירו מן האיסור, משא"כ בכה"ג</w:t>
      </w:r>
      <w:r>
        <w:rPr>
          <w:rFonts w:asciiTheme="minorBidi" w:hAnsiTheme="minorBidi" w:hint="cs"/>
          <w:rtl/>
        </w:rPr>
        <w:t xml:space="preserve">. עכ"ל. </w:t>
      </w:r>
      <w:r w:rsidRPr="00C233C9">
        <w:rPr>
          <w:rFonts w:asciiTheme="minorBidi" w:hAnsiTheme="minorBidi"/>
          <w:rtl/>
        </w:rPr>
        <w:t>והש"ך (סקכ"ב) דחה דבריו.</w:t>
      </w:r>
    </w:p>
  </w:footnote>
  <w:footnote w:id="1194">
    <w:p w14:paraId="2BDCDC84" w14:textId="77777777" w:rsidR="004C5A3C" w:rsidRDefault="004C5A3C" w:rsidP="002C39F4">
      <w:pPr>
        <w:pStyle w:val="a5"/>
      </w:pPr>
      <w:r>
        <w:rPr>
          <w:rStyle w:val="a7"/>
        </w:rPr>
        <w:footnoteRef/>
      </w:r>
      <w:r>
        <w:rPr>
          <w:rtl/>
        </w:rPr>
        <w:t xml:space="preserve"> </w:t>
      </w:r>
      <w:r>
        <w:rPr>
          <w:rFonts w:cs="Arial" w:hint="cs"/>
          <w:rtl/>
        </w:rPr>
        <w:t xml:space="preserve">היינו </w:t>
      </w:r>
      <w:r w:rsidRPr="00EA5230">
        <w:rPr>
          <w:rFonts w:cs="Arial"/>
          <w:rtl/>
        </w:rPr>
        <w:t>כשמניחין הבשר והגבינה על המפה ואז יש לחוש שמא ידבקו זה בזה</w:t>
      </w:r>
      <w:r>
        <w:rPr>
          <w:rFonts w:cs="Arial" w:hint="cs"/>
          <w:rtl/>
        </w:rPr>
        <w:t>,</w:t>
      </w:r>
      <w:r w:rsidRPr="00EA5230">
        <w:rPr>
          <w:rFonts w:cs="Arial"/>
          <w:rtl/>
        </w:rPr>
        <w:t xml:space="preserve"> אבל מנהגינו להביא כל מאכל על השלחן בקערות כו' הלכך אפי' לצאת י</w:t>
      </w:r>
      <w:r>
        <w:rPr>
          <w:rFonts w:cs="Arial" w:hint="cs"/>
          <w:rtl/>
        </w:rPr>
        <w:t xml:space="preserve">"ח </w:t>
      </w:r>
      <w:r w:rsidRPr="00EA5230">
        <w:rPr>
          <w:rFonts w:cs="Arial"/>
          <w:rtl/>
        </w:rPr>
        <w:t>הרשב"א בהפוך המפה לחוד ובהסרת הפתיתין סגי</w:t>
      </w:r>
      <w:r>
        <w:rPr>
          <w:rFonts w:cs="Arial" w:hint="cs"/>
          <w:rtl/>
        </w:rPr>
        <w:t>,</w:t>
      </w:r>
      <w:r w:rsidRPr="00EA5230">
        <w:rPr>
          <w:rFonts w:cs="Arial"/>
          <w:rtl/>
        </w:rPr>
        <w:t xml:space="preserve"> וכן נהגו</w:t>
      </w:r>
      <w:r>
        <w:rPr>
          <w:rFonts w:cs="Arial" w:hint="cs"/>
          <w:rtl/>
        </w:rPr>
        <w:t>,</w:t>
      </w:r>
      <w:r w:rsidRPr="00F6096F">
        <w:rPr>
          <w:rFonts w:cs="Arial"/>
          <w:rtl/>
        </w:rPr>
        <w:t xml:space="preserve"> </w:t>
      </w:r>
      <w:r w:rsidRPr="00EA5230">
        <w:rPr>
          <w:rFonts w:cs="Arial"/>
          <w:rtl/>
        </w:rPr>
        <w:t>רדב"ז</w:t>
      </w:r>
      <w:r w:rsidRPr="00F6096F">
        <w:rPr>
          <w:rFonts w:cs="Arial"/>
          <w:sz w:val="16"/>
          <w:szCs w:val="16"/>
          <w:rtl/>
        </w:rPr>
        <w:t xml:space="preserve"> </w:t>
      </w:r>
      <w:r w:rsidRPr="00F6096F">
        <w:rPr>
          <w:rFonts w:cs="Arial" w:hint="cs"/>
          <w:sz w:val="16"/>
          <w:szCs w:val="16"/>
          <w:rtl/>
        </w:rPr>
        <w:t>(</w:t>
      </w:r>
      <w:r w:rsidRPr="00F6096F">
        <w:rPr>
          <w:rFonts w:cs="Arial"/>
          <w:sz w:val="16"/>
          <w:szCs w:val="16"/>
          <w:rtl/>
        </w:rPr>
        <w:t>ח"ב סי' תשכ</w:t>
      </w:r>
      <w:r w:rsidRPr="00F6096F">
        <w:rPr>
          <w:rFonts w:cs="Arial" w:hint="cs"/>
          <w:sz w:val="16"/>
          <w:szCs w:val="16"/>
          <w:rtl/>
        </w:rPr>
        <w:t>א, הביאו הפת"ש סק"ח</w:t>
      </w:r>
      <w:r w:rsidRPr="00F6096F">
        <w:rPr>
          <w:rFonts w:cs="Arial"/>
          <w:sz w:val="16"/>
          <w:szCs w:val="16"/>
          <w:rtl/>
        </w:rPr>
        <w:t>)</w:t>
      </w:r>
      <w:r>
        <w:rPr>
          <w:rFonts w:cs="Arial" w:hint="cs"/>
          <w:rtl/>
        </w:rPr>
        <w:t>.</w:t>
      </w:r>
    </w:p>
  </w:footnote>
  <w:footnote w:id="1195">
    <w:p w14:paraId="53048D0B"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זה קאי אמה שכתב שרוצה לחתוך גבינה בסכין של בשר, אבל במ"ש שאסור לחתוך לחם כו' לא צריך רק קינוח הסכין כדמשמע בב"י במ"ש בשם א"ח בשם רבינו שמשון, ושם כתוב הטעם דהוה נ"ט בר נ"ט, ולדידן א"צ לזה שהרי מבואר בסי' צ"ו דדוקא בדבר חריף אמרינן דבולע משום דוחקא דסכין, ט"ז (סק"ו). והש"ך </w:t>
      </w:r>
      <w:r>
        <w:rPr>
          <w:rFonts w:asciiTheme="minorBidi" w:hAnsiTheme="minorBidi" w:hint="cs"/>
          <w:sz w:val="16"/>
          <w:szCs w:val="16"/>
          <w:rtl/>
        </w:rPr>
        <w:t>(</w:t>
      </w:r>
      <w:r w:rsidRPr="00C233C9">
        <w:rPr>
          <w:rFonts w:asciiTheme="minorBidi" w:hAnsiTheme="minorBidi"/>
          <w:sz w:val="16"/>
          <w:szCs w:val="16"/>
          <w:rtl/>
        </w:rPr>
        <w:t>סקכ"ב, עי' פמ"ג שפתי דעת סקכ"ב</w:t>
      </w:r>
      <w:r>
        <w:rPr>
          <w:rFonts w:asciiTheme="minorBidi" w:hAnsiTheme="minorBidi" w:hint="cs"/>
          <w:sz w:val="16"/>
          <w:szCs w:val="16"/>
          <w:rtl/>
        </w:rPr>
        <w:t>)</w:t>
      </w:r>
      <w:r w:rsidRPr="00C233C9">
        <w:rPr>
          <w:rFonts w:asciiTheme="minorBidi" w:hAnsiTheme="minorBidi"/>
          <w:sz w:val="16"/>
          <w:szCs w:val="16"/>
          <w:rtl/>
        </w:rPr>
        <w:t xml:space="preserve"> </w:t>
      </w:r>
      <w:r w:rsidRPr="00C233C9">
        <w:rPr>
          <w:rFonts w:asciiTheme="minorBidi" w:hAnsiTheme="minorBidi"/>
          <w:rtl/>
        </w:rPr>
        <w:t>חולק</w:t>
      </w:r>
      <w:r>
        <w:rPr>
          <w:rFonts w:asciiTheme="minorBidi" w:hAnsiTheme="minorBidi" w:hint="cs"/>
          <w:rtl/>
        </w:rPr>
        <w:t>,</w:t>
      </w:r>
      <w:r w:rsidRPr="00C233C9">
        <w:rPr>
          <w:rFonts w:asciiTheme="minorBidi" w:hAnsiTheme="minorBidi"/>
          <w:rtl/>
        </w:rPr>
        <w:t xml:space="preserve"> </w:t>
      </w:r>
      <w:r w:rsidRPr="001A3392">
        <w:rPr>
          <w:rFonts w:asciiTheme="minorBidi" w:hAnsiTheme="minorBidi"/>
          <w:rtl/>
        </w:rPr>
        <w:t xml:space="preserve">וז"ל- משמע דאם נעצו בקרקע קשה מותר לכתחלה לחתוך בו </w:t>
      </w:r>
      <w:r w:rsidRPr="001A3392">
        <w:rPr>
          <w:rFonts w:asciiTheme="minorBidi" w:hAnsiTheme="minorBidi"/>
          <w:u w:val="single"/>
          <w:rtl/>
        </w:rPr>
        <w:t>פת</w:t>
      </w:r>
      <w:r w:rsidRPr="001A3392">
        <w:rPr>
          <w:rFonts w:asciiTheme="minorBidi" w:hAnsiTheme="minorBidi"/>
          <w:rtl/>
        </w:rPr>
        <w:t xml:space="preserve"> לאכול עם גבינה, וכן משמע מדברי הא"ח והכל בו שם</w:t>
      </w:r>
      <w:r w:rsidRPr="00C233C9">
        <w:rPr>
          <w:rFonts w:asciiTheme="minorBidi" w:hAnsiTheme="minorBidi"/>
          <w:sz w:val="16"/>
          <w:szCs w:val="16"/>
          <w:rtl/>
        </w:rPr>
        <w:t xml:space="preserve"> {לא מצאתי היכן כתבו כן} </w:t>
      </w:r>
      <w:r w:rsidRPr="001A3392">
        <w:rPr>
          <w:rFonts w:asciiTheme="minorBidi" w:hAnsiTheme="minorBidi"/>
          <w:rtl/>
        </w:rPr>
        <w:t>וכ"כ בת"ח שם ד"ז להדיא.</w:t>
      </w:r>
      <w:r>
        <w:rPr>
          <w:rFonts w:asciiTheme="minorBidi" w:hAnsiTheme="minorBidi" w:hint="cs"/>
          <w:rtl/>
        </w:rPr>
        <w:t xml:space="preserve"> עכ"ל.</w:t>
      </w:r>
      <w:r w:rsidRPr="00C233C9">
        <w:rPr>
          <w:rFonts w:asciiTheme="minorBidi" w:hAnsiTheme="minorBidi"/>
          <w:rtl/>
        </w:rPr>
        <w:t xml:space="preserve"> </w:t>
      </w:r>
      <w:r w:rsidRPr="00C233C9">
        <w:rPr>
          <w:rFonts w:asciiTheme="minorBidi" w:hAnsiTheme="minorBidi"/>
          <w:color w:val="FF0000"/>
          <w:rtl/>
        </w:rPr>
        <w:t>וצל"ע שהרי בסה"ת א"ח וכלבו משמע הפך מדבריו</w:t>
      </w:r>
      <w:r>
        <w:rPr>
          <w:rFonts w:asciiTheme="minorBidi" w:hAnsiTheme="minorBidi" w:hint="cs"/>
          <w:rtl/>
        </w:rPr>
        <w:t>.</w:t>
      </w:r>
    </w:p>
  </w:footnote>
  <w:footnote w:id="1196">
    <w:p w14:paraId="70A3B7B5"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נראה כוונתו דלפי המנהג אסור לחתוך גבינה בסכין של בשר אפי' ע"י נעיצה בקרקע כי כך החמירו על עצמם ליקח לגבינה סכין אחר דוקא, אבל מ"מ לחתוך בו לחם לאכול גבינה בזה שפיר יש לנו לסמוך אמה שמקנחו תחלה, כנלע"ד פשוט, ט"ז (סק"ז). וכ' הש"ך (סקכ"ב) דבשעת הדחק שאין לו סכין אחר מוקמינן לה אדינא.</w:t>
      </w:r>
    </w:p>
  </w:footnote>
  <w:footnote w:id="1197">
    <w:p w14:paraId="53CB9D5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ומשיצא מדדי הבהמה חלב הוא, וכחל אינו כנוס במעיו שלא יצא מדדי הבהמה בחייה ולא נאסף אלא מובלע בבשר הוא ולא בא לכלל חלב, ומיהו לכתחלה בעי קריעה מדרבנן, רש"י.</w:t>
      </w:r>
    </w:p>
  </w:footnote>
  <w:footnote w:id="1198">
    <w:p w14:paraId="4560769D"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כובשו בידיו לכותל כדי שיסחט חלבו, רש"י. </w:t>
      </w:r>
    </w:p>
  </w:footnote>
  <w:footnote w:id="1199">
    <w:p w14:paraId="20B3349C" w14:textId="77777777" w:rsidR="004C5A3C" w:rsidRDefault="004C5A3C" w:rsidP="002C39F4">
      <w:pPr>
        <w:pStyle w:val="a5"/>
        <w:rPr>
          <w:rtl/>
        </w:rPr>
      </w:pPr>
      <w:r>
        <w:rPr>
          <w:rStyle w:val="a7"/>
        </w:rPr>
        <w:footnoteRef/>
      </w:r>
      <w:r>
        <w:rPr>
          <w:rtl/>
        </w:rPr>
        <w:t xml:space="preserve"> </w:t>
      </w:r>
      <w:r>
        <w:rPr>
          <w:rFonts w:hint="cs"/>
          <w:rtl/>
        </w:rPr>
        <w:t xml:space="preserve">והרי"ף </w:t>
      </w:r>
      <w:r w:rsidRPr="009D0060">
        <w:rPr>
          <w:rFonts w:hint="cs"/>
          <w:sz w:val="14"/>
          <w:szCs w:val="14"/>
          <w:rtl/>
        </w:rPr>
        <w:t xml:space="preserve">(כ"כ הב"י בשמו) </w:t>
      </w:r>
      <w:r>
        <w:rPr>
          <w:rFonts w:hint="cs"/>
          <w:rtl/>
        </w:rPr>
        <w:t>והרמב"ם</w:t>
      </w:r>
      <w:r w:rsidRPr="009D0060">
        <w:rPr>
          <w:rFonts w:hint="cs"/>
          <w:sz w:val="14"/>
          <w:szCs w:val="14"/>
          <w:rtl/>
        </w:rPr>
        <w:t xml:space="preserve"> (כ"</w:t>
      </w:r>
      <w:r>
        <w:rPr>
          <w:rFonts w:hint="cs"/>
          <w:sz w:val="14"/>
          <w:szCs w:val="14"/>
          <w:rtl/>
        </w:rPr>
        <w:t xml:space="preserve">כ </w:t>
      </w:r>
      <w:r w:rsidRPr="009D0060">
        <w:rPr>
          <w:rFonts w:asciiTheme="minorBidi" w:hAnsiTheme="minorBidi"/>
          <w:sz w:val="14"/>
          <w:szCs w:val="14"/>
          <w:rtl/>
        </w:rPr>
        <w:t xml:space="preserve">הר"ן </w:t>
      </w:r>
      <w:r w:rsidRPr="009D0060">
        <w:rPr>
          <w:rFonts w:asciiTheme="minorBidi" w:hAnsiTheme="minorBidi"/>
          <w:sz w:val="12"/>
          <w:szCs w:val="12"/>
          <w:rtl/>
        </w:rPr>
        <w:t>(לח: ד"ה כיצד קורעו)</w:t>
      </w:r>
      <w:r w:rsidRPr="009D0060">
        <w:rPr>
          <w:rFonts w:asciiTheme="minorBidi" w:hAnsiTheme="minorBidi" w:hint="cs"/>
          <w:sz w:val="14"/>
          <w:szCs w:val="14"/>
          <w:rtl/>
        </w:rPr>
        <w:t xml:space="preserve"> בשמו)</w:t>
      </w:r>
      <w:r>
        <w:rPr>
          <w:rFonts w:asciiTheme="minorBidi" w:hAnsiTheme="minorBidi" w:hint="cs"/>
          <w:rtl/>
        </w:rPr>
        <w:t xml:space="preserve"> </w:t>
      </w:r>
      <w:r>
        <w:rPr>
          <w:rFonts w:hint="cs"/>
          <w:rtl/>
        </w:rPr>
        <w:t xml:space="preserve">גורסים כאן- "אי נמי </w:t>
      </w:r>
      <w:r w:rsidRPr="00C233C9">
        <w:rPr>
          <w:rFonts w:asciiTheme="minorBidi" w:hAnsiTheme="minorBidi"/>
          <w:rtl/>
        </w:rPr>
        <w:t>לא בעי שתי וערב אלא לקדרה</w:t>
      </w:r>
      <w:r>
        <w:rPr>
          <w:rFonts w:asciiTheme="minorBidi" w:hAnsiTheme="minorBidi" w:hint="cs"/>
          <w:rtl/>
        </w:rPr>
        <w:t>".</w:t>
      </w:r>
    </w:p>
  </w:footnote>
  <w:footnote w:id="1200">
    <w:p w14:paraId="15F61AC4"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והא ודאי בצלי הוא מדקתני מותר דאי בקדרה אמאי מותר הא יצא החלב וחזר ונבלע, רש"י.</w:t>
      </w:r>
    </w:p>
  </w:footnote>
  <w:footnote w:id="1201">
    <w:p w14:paraId="1D6D9FBB"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כ"כ בשמו התוס' </w:t>
      </w:r>
      <w:r w:rsidRPr="00C233C9">
        <w:rPr>
          <w:rFonts w:asciiTheme="minorBidi" w:hAnsiTheme="minorBidi"/>
          <w:sz w:val="16"/>
          <w:szCs w:val="16"/>
          <w:rtl/>
        </w:rPr>
        <w:t xml:space="preserve">(קט: ד"ה ההוא לקדרה) </w:t>
      </w:r>
      <w:r w:rsidRPr="00C233C9">
        <w:rPr>
          <w:rFonts w:asciiTheme="minorBidi" w:hAnsiTheme="minorBidi"/>
          <w:rtl/>
        </w:rPr>
        <w:t xml:space="preserve">והרא"ש </w:t>
      </w:r>
      <w:r w:rsidRPr="00C233C9">
        <w:rPr>
          <w:rFonts w:asciiTheme="minorBidi" w:hAnsiTheme="minorBidi"/>
          <w:sz w:val="16"/>
          <w:szCs w:val="16"/>
          <w:rtl/>
        </w:rPr>
        <w:t>(סי' כד)</w:t>
      </w:r>
      <w:r w:rsidRPr="00C233C9">
        <w:rPr>
          <w:rFonts w:asciiTheme="minorBidi" w:hAnsiTheme="minorBidi"/>
          <w:rtl/>
        </w:rPr>
        <w:t xml:space="preserve">. וכתבו הרשב"א </w:t>
      </w:r>
      <w:r w:rsidRPr="00C233C9">
        <w:rPr>
          <w:rFonts w:asciiTheme="minorBidi" w:hAnsiTheme="minorBidi"/>
          <w:sz w:val="16"/>
          <w:szCs w:val="16"/>
          <w:rtl/>
        </w:rPr>
        <w:t xml:space="preserve">(בחידושיו קט: ד"ה ורב נחמן) </w:t>
      </w:r>
      <w:r w:rsidRPr="00C233C9">
        <w:rPr>
          <w:rFonts w:asciiTheme="minorBidi" w:hAnsiTheme="minorBidi"/>
          <w:rtl/>
        </w:rPr>
        <w:t xml:space="preserve">והר"ן </w:t>
      </w:r>
      <w:r w:rsidRPr="00C233C9">
        <w:rPr>
          <w:rFonts w:asciiTheme="minorBidi" w:hAnsiTheme="minorBidi"/>
          <w:sz w:val="16"/>
          <w:szCs w:val="16"/>
          <w:rtl/>
        </w:rPr>
        <w:t xml:space="preserve">(לט. דבור ראשון בסופו) </w:t>
      </w:r>
      <w:r w:rsidRPr="00C233C9">
        <w:rPr>
          <w:rFonts w:asciiTheme="minorBidi" w:hAnsiTheme="minorBidi"/>
          <w:rtl/>
        </w:rPr>
        <w:t>ששיטה זו של ר"ת כתבה בסה"ת</w:t>
      </w:r>
      <w:r w:rsidRPr="00C233C9">
        <w:rPr>
          <w:rFonts w:asciiTheme="minorBidi" w:hAnsiTheme="minorBidi"/>
          <w:sz w:val="16"/>
          <w:szCs w:val="16"/>
          <w:rtl/>
        </w:rPr>
        <w:t xml:space="preserve"> (סי' נז)</w:t>
      </w:r>
      <w:r w:rsidRPr="00C233C9">
        <w:rPr>
          <w:rFonts w:asciiTheme="minorBidi" w:hAnsiTheme="minorBidi"/>
          <w:rtl/>
        </w:rPr>
        <w:t xml:space="preserve"> בשמו של ר"ת בחילוף קצת, שהוא כותב- דלצלי ולקדרה בלא בשר לא בעי קריעה כלל. </w:t>
      </w:r>
    </w:p>
  </w:footnote>
  <w:footnote w:id="1202">
    <w:p w14:paraId="11958A33"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דהחלב הנפלט חוזר ונבלע וכיון שפירש איקרי חלב מדרבנן, וכי נבלע אוסר בשר הכחל, סה"ת.</w:t>
      </w:r>
    </w:p>
  </w:footnote>
  <w:footnote w:id="1203">
    <w:p w14:paraId="30E38206"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טור. וכ' הב"י- לא מצאתיו מבואר אבל יש ללמוד כן מדחזינן שהצריכוהו קריעה וטיחה אלמא אין החלב מתמצה ממנו בפחות מכן וכל שאין החלב גומר להתמצות ממנו צריך ס' כנגד הכחל דבכוליה משערינן</w:t>
      </w:r>
      <w:r w:rsidRPr="00C233C9">
        <w:rPr>
          <w:rFonts w:asciiTheme="minorBidi" w:hAnsiTheme="minorBidi"/>
          <w:sz w:val="16"/>
          <w:szCs w:val="16"/>
          <w:rtl/>
        </w:rPr>
        <w:t xml:space="preserve"> (חולין צז:)</w:t>
      </w:r>
      <w:r w:rsidRPr="00C233C9">
        <w:rPr>
          <w:rFonts w:asciiTheme="minorBidi" w:hAnsiTheme="minorBidi"/>
          <w:rtl/>
        </w:rPr>
        <w:t>.</w:t>
      </w:r>
    </w:p>
  </w:footnote>
  <w:footnote w:id="1204">
    <w:p w14:paraId="22FFDC33"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לפי שהחלב הנפלט מתבטל במים, תוס' </w:t>
      </w:r>
      <w:r w:rsidRPr="00C233C9">
        <w:rPr>
          <w:rFonts w:asciiTheme="minorBidi" w:hAnsiTheme="minorBidi"/>
          <w:sz w:val="14"/>
          <w:szCs w:val="14"/>
          <w:rtl/>
        </w:rPr>
        <w:t xml:space="preserve">(קט: ד"ה אינו עובר) </w:t>
      </w:r>
      <w:r w:rsidRPr="00C233C9">
        <w:rPr>
          <w:rFonts w:asciiTheme="minorBidi" w:hAnsiTheme="minorBidi"/>
          <w:rtl/>
        </w:rPr>
        <w:t>ורא"ש</w:t>
      </w:r>
      <w:r w:rsidRPr="00C233C9">
        <w:rPr>
          <w:rFonts w:asciiTheme="minorBidi" w:hAnsiTheme="minorBidi"/>
          <w:sz w:val="14"/>
          <w:szCs w:val="14"/>
          <w:rtl/>
        </w:rPr>
        <w:t xml:space="preserve"> (סי' כד)</w:t>
      </w:r>
      <w:r w:rsidRPr="00C233C9">
        <w:rPr>
          <w:rFonts w:asciiTheme="minorBidi" w:hAnsiTheme="minorBidi"/>
          <w:rtl/>
        </w:rPr>
        <w:t>.</w:t>
      </w:r>
      <w:r w:rsidRPr="00C233C9">
        <w:rPr>
          <w:rFonts w:asciiTheme="minorBidi" w:hAnsiTheme="minorBidi"/>
          <w:sz w:val="16"/>
          <w:szCs w:val="16"/>
          <w:rtl/>
        </w:rPr>
        <w:t xml:space="preserve"> </w:t>
      </w:r>
    </w:p>
  </w:footnote>
  <w:footnote w:id="1205">
    <w:p w14:paraId="4CAF56F6"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ובשיעור 'קצת' זה כ' ר"פ</w:t>
      </w:r>
      <w:r w:rsidRPr="00C233C9">
        <w:rPr>
          <w:rFonts w:asciiTheme="minorBidi" w:hAnsiTheme="minorBidi"/>
          <w:sz w:val="16"/>
          <w:szCs w:val="16"/>
          <w:rtl/>
        </w:rPr>
        <w:t xml:space="preserve"> (בהגה</w:t>
      </w:r>
      <w:r>
        <w:rPr>
          <w:rFonts w:asciiTheme="minorBidi" w:hAnsiTheme="minorBidi" w:hint="cs"/>
          <w:sz w:val="16"/>
          <w:szCs w:val="16"/>
          <w:rtl/>
        </w:rPr>
        <w:t xml:space="preserve">' </w:t>
      </w:r>
      <w:r w:rsidRPr="00C233C9">
        <w:rPr>
          <w:rFonts w:asciiTheme="minorBidi" w:hAnsiTheme="minorBidi"/>
          <w:sz w:val="16"/>
          <w:szCs w:val="16"/>
          <w:rtl/>
        </w:rPr>
        <w:t>סמ"ק סי' ריג אות יג</w:t>
      </w:r>
      <w:r>
        <w:rPr>
          <w:rFonts w:asciiTheme="minorBidi" w:hAnsiTheme="minorBidi" w:hint="cs"/>
          <w:sz w:val="16"/>
          <w:szCs w:val="16"/>
          <w:rtl/>
        </w:rPr>
        <w:t>, וכן הוא בהגשע"ד סי' כט סק"ד</w:t>
      </w:r>
      <w:r w:rsidRPr="00C233C9">
        <w:rPr>
          <w:rFonts w:asciiTheme="minorBidi" w:hAnsiTheme="minorBidi"/>
          <w:sz w:val="16"/>
          <w:szCs w:val="16"/>
          <w:rtl/>
        </w:rPr>
        <w:t xml:space="preserve">) </w:t>
      </w:r>
      <w:r w:rsidRPr="00C233C9">
        <w:rPr>
          <w:rFonts w:asciiTheme="minorBidi" w:hAnsiTheme="minorBidi"/>
          <w:rtl/>
        </w:rPr>
        <w:t xml:space="preserve">דלפי לשון התוס' נראה דהוה סגי באותה קריעה שקורעין הכחל לשנים כשחולקים הרבעים של צד האליה, ושמא דיעבד יש לסמוך על זה אבל לכתחלה נכון לעשות כמו שפירש רבינו בפנים </w:t>
      </w:r>
      <w:r w:rsidRPr="00C233C9">
        <w:rPr>
          <w:rFonts w:asciiTheme="minorBidi" w:hAnsiTheme="minorBidi"/>
          <w:sz w:val="16"/>
          <w:szCs w:val="16"/>
          <w:rtl/>
        </w:rPr>
        <w:t xml:space="preserve">(בסמ"ק, היינו שיקרע שתי </w:t>
      </w:r>
      <w:r w:rsidRPr="00C233C9">
        <w:rPr>
          <w:rFonts w:asciiTheme="minorBidi" w:hAnsiTheme="minorBidi"/>
          <w:sz w:val="16"/>
          <w:szCs w:val="16"/>
          <w:u w:val="single"/>
          <w:rtl/>
        </w:rPr>
        <w:t>או</w:t>
      </w:r>
      <w:r w:rsidRPr="00C233C9">
        <w:rPr>
          <w:rFonts w:asciiTheme="minorBidi" w:hAnsiTheme="minorBidi"/>
          <w:sz w:val="16"/>
          <w:szCs w:val="16"/>
          <w:rtl/>
        </w:rPr>
        <w:t xml:space="preserve"> ערב </w:t>
      </w:r>
      <w:r w:rsidRPr="00C24064">
        <w:rPr>
          <w:rFonts w:asciiTheme="minorBidi" w:hAnsiTheme="minorBidi"/>
          <w:color w:val="FF0000"/>
          <w:sz w:val="16"/>
          <w:szCs w:val="16"/>
          <w:rtl/>
        </w:rPr>
        <w:t>{כך כ' הב"י שהעתיק לשון ההגה, אבל לפני בסמ"ק כתוב 'שתי וערב', וצ"ע}</w:t>
      </w:r>
      <w:r w:rsidRPr="00C233C9">
        <w:rPr>
          <w:rFonts w:asciiTheme="minorBidi" w:hAnsiTheme="minorBidi"/>
          <w:sz w:val="16"/>
          <w:szCs w:val="16"/>
          <w:rtl/>
        </w:rPr>
        <w:t>)</w:t>
      </w:r>
      <w:r w:rsidRPr="00C233C9">
        <w:rPr>
          <w:rFonts w:asciiTheme="minorBidi" w:hAnsiTheme="minorBidi"/>
          <w:rtl/>
        </w:rPr>
        <w:t>.</w:t>
      </w:r>
      <w:r>
        <w:rPr>
          <w:rFonts w:asciiTheme="minorBidi" w:hAnsiTheme="minorBidi" w:hint="cs"/>
          <w:rtl/>
        </w:rPr>
        <w:t xml:space="preserve"> וכ' הדרכ"מ</w:t>
      </w:r>
      <w:r w:rsidRPr="00C24064">
        <w:rPr>
          <w:rFonts w:asciiTheme="minorBidi" w:hAnsiTheme="minorBidi" w:hint="cs"/>
          <w:sz w:val="16"/>
          <w:szCs w:val="16"/>
          <w:rtl/>
        </w:rPr>
        <w:t xml:space="preserve"> (אות ג)</w:t>
      </w:r>
      <w:r w:rsidRPr="00C24064">
        <w:rPr>
          <w:sz w:val="16"/>
          <w:szCs w:val="16"/>
          <w:rtl/>
        </w:rPr>
        <w:t xml:space="preserve"> </w:t>
      </w:r>
      <w:r w:rsidRPr="00C24064">
        <w:rPr>
          <w:rFonts w:asciiTheme="minorBidi" w:hAnsiTheme="minorBidi" w:cs="Arial"/>
          <w:rtl/>
        </w:rPr>
        <w:t>דהא דקאמר דבדיעבד אין להחמיר לא קאי על צלי</w:t>
      </w:r>
      <w:r>
        <w:rPr>
          <w:rFonts w:asciiTheme="minorBidi" w:hAnsiTheme="minorBidi" w:cs="Arial" w:hint="cs"/>
          <w:rtl/>
        </w:rPr>
        <w:t>,</w:t>
      </w:r>
      <w:r w:rsidRPr="00C24064">
        <w:rPr>
          <w:rFonts w:asciiTheme="minorBidi" w:hAnsiTheme="minorBidi" w:cs="Arial"/>
          <w:rtl/>
        </w:rPr>
        <w:t xml:space="preserve"> דבצלי אפילו בלא קריעה כלל שרי</w:t>
      </w:r>
      <w:r>
        <w:rPr>
          <w:rFonts w:asciiTheme="minorBidi" w:hAnsiTheme="minorBidi" w:cs="Arial"/>
          <w:rtl/>
        </w:rPr>
        <w:t xml:space="preserve"> בין לרש"י ובין לר</w:t>
      </w:r>
      <w:r>
        <w:rPr>
          <w:rFonts w:asciiTheme="minorBidi" w:hAnsiTheme="minorBidi" w:cs="Arial" w:hint="cs"/>
          <w:rtl/>
        </w:rPr>
        <w:t>"</w:t>
      </w:r>
      <w:r>
        <w:rPr>
          <w:rFonts w:asciiTheme="minorBidi" w:hAnsiTheme="minorBidi" w:cs="Arial"/>
          <w:rtl/>
        </w:rPr>
        <w:t>ת</w:t>
      </w:r>
      <w:r>
        <w:rPr>
          <w:rFonts w:asciiTheme="minorBidi" w:hAnsiTheme="minorBidi" w:cs="Arial" w:hint="cs"/>
          <w:rtl/>
        </w:rPr>
        <w:t>,</w:t>
      </w:r>
      <w:r w:rsidRPr="00C24064">
        <w:rPr>
          <w:rFonts w:asciiTheme="minorBidi" w:hAnsiTheme="minorBidi" w:cs="Arial"/>
          <w:rtl/>
        </w:rPr>
        <w:t xml:space="preserve"> אלא נראה דהכי קאמר דבדיעבד זו מיקרי </w:t>
      </w:r>
      <w:r>
        <w:rPr>
          <w:rFonts w:asciiTheme="minorBidi" w:hAnsiTheme="minorBidi" w:cs="Arial"/>
          <w:rtl/>
        </w:rPr>
        <w:t>קריעה מועטת ונפקא מינה לר</w:t>
      </w:r>
      <w:r>
        <w:rPr>
          <w:rFonts w:asciiTheme="minorBidi" w:hAnsiTheme="minorBidi" w:cs="Arial" w:hint="cs"/>
          <w:rtl/>
        </w:rPr>
        <w:t>"</w:t>
      </w:r>
      <w:r>
        <w:rPr>
          <w:rFonts w:asciiTheme="minorBidi" w:hAnsiTheme="minorBidi" w:cs="Arial"/>
          <w:rtl/>
        </w:rPr>
        <w:t>ת</w:t>
      </w:r>
      <w:r w:rsidRPr="00C24064">
        <w:rPr>
          <w:rFonts w:asciiTheme="minorBidi" w:hAnsiTheme="minorBidi" w:cs="Arial"/>
          <w:rtl/>
        </w:rPr>
        <w:t xml:space="preserve"> אם בשלו עם בשר בקרי</w:t>
      </w:r>
      <w:r>
        <w:rPr>
          <w:rFonts w:asciiTheme="minorBidi" w:hAnsiTheme="minorBidi" w:cs="Arial"/>
          <w:rtl/>
        </w:rPr>
        <w:t>עה זו דמותר בדיעבד לדעת ר</w:t>
      </w:r>
      <w:r>
        <w:rPr>
          <w:rFonts w:asciiTheme="minorBidi" w:hAnsiTheme="minorBidi" w:cs="Arial" w:hint="cs"/>
          <w:rtl/>
        </w:rPr>
        <w:t>"</w:t>
      </w:r>
      <w:r>
        <w:rPr>
          <w:rFonts w:asciiTheme="minorBidi" w:hAnsiTheme="minorBidi" w:cs="Arial"/>
          <w:rtl/>
        </w:rPr>
        <w:t>ת</w:t>
      </w:r>
      <w:r>
        <w:rPr>
          <w:rFonts w:asciiTheme="minorBidi" w:hAnsiTheme="minorBidi" w:hint="cs"/>
          <w:rtl/>
        </w:rPr>
        <w:t>.</w:t>
      </w:r>
    </w:p>
  </w:footnote>
  <w:footnote w:id="1206">
    <w:p w14:paraId="7DA7EB50"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וטעמא דהחמירו בה עם הבשר לפי שטעם החלב נכנס בבשר ומשתנה טעם הבשר ויש בו טעם בשר בחלב, אבל כשאין בשר עם הכחל כיון שקרעו קצת מותר לכתחלה משום דאין החלב בעינו עוד בכחל כמו שהיה קודם, ואע"פ שנפלט וחזר ונבלע תוך הכחל לא גזרו ביה חכמים כיון שלא נשתנה טעמו של כחל מפני בליעה זו, ר"ת </w:t>
      </w:r>
      <w:r w:rsidRPr="00C233C9">
        <w:rPr>
          <w:rFonts w:asciiTheme="minorBidi" w:hAnsiTheme="minorBidi"/>
          <w:sz w:val="16"/>
          <w:szCs w:val="16"/>
          <w:rtl/>
        </w:rPr>
        <w:t>(כ"כ התוס' והרא"ש בשמו)</w:t>
      </w:r>
      <w:r>
        <w:rPr>
          <w:rFonts w:asciiTheme="minorBidi" w:hAnsiTheme="minorBidi" w:hint="cs"/>
          <w:rtl/>
        </w:rPr>
        <w:t>.</w:t>
      </w:r>
      <w:r w:rsidRPr="00C233C9">
        <w:rPr>
          <w:rFonts w:asciiTheme="minorBidi" w:hAnsiTheme="minorBidi"/>
          <w:rtl/>
        </w:rPr>
        <w:t xml:space="preserve"> </w:t>
      </w:r>
    </w:p>
  </w:footnote>
  <w:footnote w:id="1207">
    <w:p w14:paraId="2DFB5500"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ואם קרעו קצת </w:t>
      </w:r>
      <w:r w:rsidRPr="00263F6D">
        <w:rPr>
          <w:rFonts w:asciiTheme="minorBidi" w:hAnsiTheme="minorBidi"/>
          <w:sz w:val="16"/>
          <w:szCs w:val="16"/>
          <w:rtl/>
        </w:rPr>
        <w:t xml:space="preserve">(לא כהלכתו) </w:t>
      </w:r>
      <w:r w:rsidRPr="00C233C9">
        <w:rPr>
          <w:rFonts w:asciiTheme="minorBidi" w:hAnsiTheme="minorBidi"/>
          <w:rtl/>
        </w:rPr>
        <w:t>מותר בדיעבד</w:t>
      </w:r>
      <w:r>
        <w:rPr>
          <w:rFonts w:asciiTheme="minorBidi" w:hAnsiTheme="minorBidi" w:hint="cs"/>
          <w:rtl/>
        </w:rPr>
        <w:t>, ר"ת</w:t>
      </w:r>
      <w:r w:rsidRPr="00C233C9">
        <w:rPr>
          <w:rFonts w:asciiTheme="minorBidi" w:hAnsiTheme="minorBidi"/>
          <w:rtl/>
        </w:rPr>
        <w:t>.</w:t>
      </w:r>
      <w:r w:rsidRPr="00263F6D">
        <w:rPr>
          <w:rFonts w:asciiTheme="minorBidi" w:hAnsiTheme="minorBidi"/>
          <w:rtl/>
        </w:rPr>
        <w:t xml:space="preserve"> ובטעם האיסור נחלקו הראשונים</w:t>
      </w:r>
      <w:r>
        <w:rPr>
          <w:rFonts w:asciiTheme="minorBidi" w:hAnsiTheme="minorBidi" w:hint="cs"/>
          <w:rtl/>
        </w:rPr>
        <w:t>, ה</w:t>
      </w:r>
      <w:r w:rsidRPr="00C233C9">
        <w:rPr>
          <w:rFonts w:asciiTheme="minorBidi" w:hAnsiTheme="minorBidi"/>
          <w:rtl/>
        </w:rPr>
        <w:t xml:space="preserve">תוס' </w:t>
      </w:r>
      <w:r w:rsidRPr="00C233C9">
        <w:rPr>
          <w:rFonts w:asciiTheme="minorBidi" w:hAnsiTheme="minorBidi"/>
          <w:sz w:val="14"/>
          <w:szCs w:val="14"/>
          <w:rtl/>
        </w:rPr>
        <w:t>(קט: ד"ה אינו עובר)</w:t>
      </w:r>
      <w:r w:rsidRPr="00C233C9">
        <w:rPr>
          <w:rFonts w:asciiTheme="minorBidi" w:hAnsiTheme="minorBidi"/>
          <w:rtl/>
        </w:rPr>
        <w:t xml:space="preserve"> ו</w:t>
      </w:r>
      <w:r>
        <w:rPr>
          <w:rFonts w:asciiTheme="minorBidi" w:hAnsiTheme="minorBidi" w:hint="cs"/>
          <w:rtl/>
        </w:rPr>
        <w:t>ה</w:t>
      </w:r>
      <w:r w:rsidRPr="00C233C9">
        <w:rPr>
          <w:rFonts w:asciiTheme="minorBidi" w:hAnsiTheme="minorBidi"/>
          <w:rtl/>
        </w:rPr>
        <w:t>רא"ש</w:t>
      </w:r>
      <w:r w:rsidRPr="00C233C9">
        <w:rPr>
          <w:rFonts w:asciiTheme="minorBidi" w:hAnsiTheme="minorBidi"/>
          <w:sz w:val="14"/>
          <w:szCs w:val="14"/>
          <w:rtl/>
        </w:rPr>
        <w:t xml:space="preserve"> (סי' כד)</w:t>
      </w:r>
      <w:r w:rsidRPr="00C233C9">
        <w:rPr>
          <w:rFonts w:asciiTheme="minorBidi" w:hAnsiTheme="minorBidi"/>
          <w:rtl/>
        </w:rPr>
        <w:t xml:space="preserve"> </w:t>
      </w:r>
      <w:r>
        <w:rPr>
          <w:rFonts w:asciiTheme="minorBidi" w:hAnsiTheme="minorBidi" w:hint="cs"/>
          <w:rtl/>
        </w:rPr>
        <w:t xml:space="preserve">כתבו דהוא </w:t>
      </w:r>
      <w:r w:rsidRPr="00C233C9">
        <w:rPr>
          <w:rFonts w:asciiTheme="minorBidi" w:hAnsiTheme="minorBidi"/>
          <w:rtl/>
        </w:rPr>
        <w:t>משום טעם הבשר הנבלע בחלב שבכחל.</w:t>
      </w:r>
      <w:r>
        <w:rPr>
          <w:rFonts w:asciiTheme="minorBidi" w:hAnsiTheme="minorBidi" w:hint="cs"/>
          <w:rtl/>
        </w:rPr>
        <w:t xml:space="preserve"> וה</w:t>
      </w:r>
      <w:r w:rsidRPr="00C233C9">
        <w:rPr>
          <w:rFonts w:asciiTheme="minorBidi" w:hAnsiTheme="minorBidi"/>
          <w:rtl/>
        </w:rPr>
        <w:t>ר"ן</w:t>
      </w:r>
      <w:r w:rsidRPr="00C233C9">
        <w:rPr>
          <w:rFonts w:asciiTheme="minorBidi" w:hAnsiTheme="minorBidi"/>
          <w:sz w:val="14"/>
          <w:szCs w:val="14"/>
          <w:rtl/>
        </w:rPr>
        <w:t xml:space="preserve"> (לה. ד"ה וכחל עצמו)</w:t>
      </w:r>
      <w:r w:rsidRPr="00C233C9">
        <w:rPr>
          <w:rFonts w:asciiTheme="minorBidi" w:hAnsiTheme="minorBidi"/>
          <w:rtl/>
        </w:rPr>
        <w:t xml:space="preserve"> </w:t>
      </w:r>
      <w:r>
        <w:rPr>
          <w:rFonts w:asciiTheme="minorBidi" w:hAnsiTheme="minorBidi" w:hint="cs"/>
          <w:rtl/>
        </w:rPr>
        <w:t xml:space="preserve">כתב דאסור </w:t>
      </w:r>
      <w:r w:rsidRPr="00C233C9">
        <w:rPr>
          <w:rFonts w:asciiTheme="minorBidi" w:hAnsiTheme="minorBidi"/>
          <w:rtl/>
        </w:rPr>
        <w:t>מפני מראית העי</w:t>
      </w:r>
      <w:r>
        <w:rPr>
          <w:rFonts w:asciiTheme="minorBidi" w:hAnsiTheme="minorBidi" w:hint="cs"/>
          <w:rtl/>
        </w:rPr>
        <w:t>ן</w:t>
      </w:r>
      <w:r w:rsidRPr="00C233C9">
        <w:rPr>
          <w:rFonts w:asciiTheme="minorBidi" w:hAnsiTheme="minorBidi"/>
          <w:rtl/>
        </w:rPr>
        <w:t>.</w:t>
      </w:r>
    </w:p>
  </w:footnote>
  <w:footnote w:id="1208">
    <w:p w14:paraId="1DF89B12"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קט ע"ב ד"ה אינו עובר </w:t>
      </w:r>
      <w:r w:rsidRPr="0019695B">
        <w:rPr>
          <w:rFonts w:asciiTheme="minorBidi" w:hAnsiTheme="minorBidi"/>
          <w:sz w:val="16"/>
          <w:szCs w:val="16"/>
          <w:rtl/>
        </w:rPr>
        <w:t>(כך כ' הב"י שהבינו התוס' בדברי רש"י, וכ' כן גם בדעת הרא"ש)</w:t>
      </w:r>
      <w:r w:rsidRPr="00C233C9">
        <w:rPr>
          <w:rFonts w:asciiTheme="minorBidi" w:hAnsiTheme="minorBidi"/>
          <w:rtl/>
        </w:rPr>
        <w:t xml:space="preserve">. וכן הבינו בדעת רש"י סמ"ג </w:t>
      </w:r>
      <w:r w:rsidRPr="0019695B">
        <w:rPr>
          <w:rFonts w:asciiTheme="minorBidi" w:hAnsiTheme="minorBidi"/>
          <w:sz w:val="16"/>
          <w:szCs w:val="16"/>
          <w:rtl/>
        </w:rPr>
        <w:t>(לאוין קמ וקמא נב:)</w:t>
      </w:r>
      <w:r w:rsidRPr="00C233C9">
        <w:rPr>
          <w:rFonts w:asciiTheme="minorBidi" w:hAnsiTheme="minorBidi"/>
          <w:rtl/>
        </w:rPr>
        <w:t xml:space="preserve"> רא"ש </w:t>
      </w:r>
      <w:r w:rsidRPr="0019695B">
        <w:rPr>
          <w:rFonts w:asciiTheme="minorBidi" w:hAnsiTheme="minorBidi"/>
          <w:sz w:val="16"/>
          <w:szCs w:val="16"/>
          <w:rtl/>
        </w:rPr>
        <w:t xml:space="preserve">(סי' כד) </w:t>
      </w:r>
      <w:r w:rsidRPr="00C233C9">
        <w:rPr>
          <w:rFonts w:asciiTheme="minorBidi" w:hAnsiTheme="minorBidi"/>
          <w:rtl/>
        </w:rPr>
        <w:t xml:space="preserve">רי"ו </w:t>
      </w:r>
      <w:r w:rsidRPr="0019695B">
        <w:rPr>
          <w:rFonts w:asciiTheme="minorBidi" w:hAnsiTheme="minorBidi"/>
          <w:sz w:val="16"/>
          <w:szCs w:val="16"/>
          <w:rtl/>
        </w:rPr>
        <w:t xml:space="preserve">(נט"ו אות יא קכו סוע"ד) </w:t>
      </w:r>
      <w:r w:rsidRPr="00C233C9">
        <w:rPr>
          <w:rFonts w:asciiTheme="minorBidi" w:hAnsiTheme="minorBidi"/>
          <w:rtl/>
        </w:rPr>
        <w:t xml:space="preserve">ור"ן </w:t>
      </w:r>
      <w:r w:rsidRPr="0019695B">
        <w:rPr>
          <w:rFonts w:asciiTheme="minorBidi" w:hAnsiTheme="minorBidi"/>
          <w:sz w:val="16"/>
          <w:szCs w:val="16"/>
          <w:rtl/>
        </w:rPr>
        <w:t>(לח:)</w:t>
      </w:r>
      <w:r w:rsidRPr="00C233C9">
        <w:rPr>
          <w:rFonts w:asciiTheme="minorBidi" w:hAnsiTheme="minorBidi"/>
          <w:rtl/>
        </w:rPr>
        <w:t>.</w:t>
      </w:r>
    </w:p>
  </w:footnote>
  <w:footnote w:id="1209">
    <w:p w14:paraId="6561D29C"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סי' נז. וכן הבינו בדעת רש"י המרדכי (סי' תרחצ) הגה"מ (דפ"ק מאכ"א פ"ט הי"ב) וטור (כ"כ הב"י בשמו).</w:t>
      </w:r>
    </w:p>
  </w:footnote>
  <w:footnote w:id="1210">
    <w:p w14:paraId="74D9990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והביא הדרכ"מ </w:t>
      </w:r>
      <w:r w:rsidRPr="00C233C9">
        <w:rPr>
          <w:rFonts w:asciiTheme="minorBidi" w:hAnsiTheme="minorBidi"/>
          <w:sz w:val="12"/>
          <w:szCs w:val="12"/>
          <w:rtl/>
        </w:rPr>
        <w:t xml:space="preserve">(אות א) </w:t>
      </w:r>
      <w:r w:rsidRPr="00C233C9">
        <w:rPr>
          <w:rFonts w:asciiTheme="minorBidi" w:hAnsiTheme="minorBidi"/>
          <w:rtl/>
        </w:rPr>
        <w:t xml:space="preserve">את דברי ראבי"ה </w:t>
      </w:r>
      <w:r w:rsidRPr="00C233C9">
        <w:rPr>
          <w:rFonts w:asciiTheme="minorBidi" w:hAnsiTheme="minorBidi"/>
          <w:sz w:val="12"/>
          <w:szCs w:val="12"/>
          <w:rtl/>
        </w:rPr>
        <w:t xml:space="preserve">(סי' אלף קי) </w:t>
      </w:r>
      <w:r w:rsidRPr="00C233C9">
        <w:rPr>
          <w:rFonts w:asciiTheme="minorBidi" w:hAnsiTheme="minorBidi"/>
          <w:rtl/>
        </w:rPr>
        <w:t>או"ז</w:t>
      </w:r>
      <w:r w:rsidRPr="00C233C9">
        <w:rPr>
          <w:rFonts w:asciiTheme="minorBidi" w:hAnsiTheme="minorBidi"/>
          <w:sz w:val="16"/>
          <w:szCs w:val="16"/>
          <w:rtl/>
        </w:rPr>
        <w:t xml:space="preserve"> </w:t>
      </w:r>
      <w:r w:rsidRPr="00C233C9">
        <w:rPr>
          <w:rFonts w:asciiTheme="minorBidi" w:hAnsiTheme="minorBidi"/>
          <w:sz w:val="12"/>
          <w:szCs w:val="12"/>
          <w:rtl/>
        </w:rPr>
        <w:t>([הל' בב"ח סי' תסג] הביאם בהגשע"ד [סי' כט סק"ג])</w:t>
      </w:r>
      <w:r w:rsidRPr="00C233C9">
        <w:rPr>
          <w:rFonts w:asciiTheme="minorBidi" w:hAnsiTheme="minorBidi"/>
          <w:rtl/>
        </w:rPr>
        <w:t xml:space="preserve"> ו</w:t>
      </w:r>
      <w:r>
        <w:rPr>
          <w:rFonts w:asciiTheme="minorBidi" w:hAnsiTheme="minorBidi"/>
          <w:rtl/>
        </w:rPr>
        <w:t>או"ה</w:t>
      </w:r>
      <w:r w:rsidRPr="00C233C9">
        <w:rPr>
          <w:rFonts w:asciiTheme="minorBidi" w:hAnsiTheme="minorBidi"/>
          <w:rtl/>
        </w:rPr>
        <w:t xml:space="preserve"> </w:t>
      </w:r>
      <w:r w:rsidRPr="00C233C9">
        <w:rPr>
          <w:rFonts w:asciiTheme="minorBidi" w:hAnsiTheme="minorBidi"/>
          <w:sz w:val="12"/>
          <w:szCs w:val="12"/>
          <w:rtl/>
        </w:rPr>
        <w:t>(כלל יח ד"י)</w:t>
      </w:r>
      <w:r w:rsidRPr="00C233C9">
        <w:rPr>
          <w:rFonts w:asciiTheme="minorBidi" w:hAnsiTheme="minorBidi"/>
          <w:sz w:val="16"/>
          <w:szCs w:val="16"/>
          <w:rtl/>
        </w:rPr>
        <w:t xml:space="preserve"> </w:t>
      </w:r>
      <w:r w:rsidRPr="00C233C9">
        <w:rPr>
          <w:rFonts w:asciiTheme="minorBidi" w:hAnsiTheme="minorBidi"/>
          <w:rtl/>
        </w:rPr>
        <w:t xml:space="preserve">שכתבו לאסור אפילו בדיעבד </w:t>
      </w:r>
      <w:r w:rsidRPr="00C233C9">
        <w:rPr>
          <w:rFonts w:asciiTheme="minorBidi" w:hAnsiTheme="minorBidi"/>
          <w:sz w:val="16"/>
          <w:szCs w:val="16"/>
          <w:rtl/>
        </w:rPr>
        <w:t>{לדעתם- ולא אמרו כן בדעת רש"י}</w:t>
      </w:r>
      <w:r w:rsidRPr="00C233C9">
        <w:rPr>
          <w:rFonts w:asciiTheme="minorBidi" w:hAnsiTheme="minorBidi"/>
          <w:rtl/>
        </w:rPr>
        <w:t>, וכ'- ולי נראה דאין להחמיר בדיע' כי יש לסמוך אדברי המתירין וראבי"ה יחיד הוא בדבר זה.</w:t>
      </w:r>
    </w:p>
  </w:footnote>
  <w:footnote w:id="1211">
    <w:p w14:paraId="5AD103D3"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דהא דגזרו רבנן בקדרה בחלב שחוטה הוא דילמא אתי למיכל בשר בחלב, והכא כיון שהוציא את כל החלב שיכול להוציא תו ליכא למיגזר, ע"פ תוס' ורא"ש (הביאם הב"י).</w:t>
      </w:r>
    </w:p>
  </w:footnote>
  <w:footnote w:id="1212">
    <w:p w14:paraId="1F8CA4C6"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דאין חילוק בין צלי לקדרה בלא בשר דאין שום טעם להקל בצלי יותר דבצלי נמי נוטף החלב ונופל על הכחל מבחוץ.</w:t>
      </w:r>
    </w:p>
  </w:footnote>
  <w:footnote w:id="1213">
    <w:p w14:paraId="719A01B7"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w:t>
      </w:r>
      <w:r>
        <w:rPr>
          <w:rFonts w:asciiTheme="minorBidi" w:hAnsiTheme="minorBidi" w:hint="cs"/>
          <w:rtl/>
        </w:rPr>
        <w:t>ומשמע לה</w:t>
      </w:r>
      <w:r w:rsidRPr="00C233C9">
        <w:rPr>
          <w:rFonts w:asciiTheme="minorBidi" w:hAnsiTheme="minorBidi"/>
          <w:rtl/>
        </w:rPr>
        <w:t xml:space="preserve">רשב"א </w:t>
      </w:r>
      <w:r w:rsidRPr="008F08E2">
        <w:rPr>
          <w:rFonts w:asciiTheme="minorBidi" w:hAnsiTheme="minorBidi"/>
          <w:sz w:val="16"/>
          <w:szCs w:val="16"/>
          <w:rtl/>
        </w:rPr>
        <w:t xml:space="preserve">(תוה"א ב"ג סוף ש"ד) </w:t>
      </w:r>
      <w:r>
        <w:rPr>
          <w:rFonts w:asciiTheme="minorBidi" w:hAnsiTheme="minorBidi"/>
          <w:rtl/>
        </w:rPr>
        <w:t>ו</w:t>
      </w:r>
      <w:r>
        <w:rPr>
          <w:rFonts w:asciiTheme="minorBidi" w:hAnsiTheme="minorBidi" w:hint="cs"/>
          <w:rtl/>
        </w:rPr>
        <w:t>ה</w:t>
      </w:r>
      <w:r>
        <w:rPr>
          <w:rFonts w:asciiTheme="minorBidi" w:hAnsiTheme="minorBidi"/>
          <w:rtl/>
        </w:rPr>
        <w:t xml:space="preserve">ר"ן </w:t>
      </w:r>
      <w:r w:rsidRPr="008F08E2">
        <w:rPr>
          <w:rFonts w:asciiTheme="minorBidi" w:hAnsiTheme="minorBidi"/>
          <w:sz w:val="16"/>
          <w:szCs w:val="16"/>
          <w:rtl/>
        </w:rPr>
        <w:t>(לט.)</w:t>
      </w:r>
      <w:r w:rsidRPr="008F08E2">
        <w:rPr>
          <w:rFonts w:asciiTheme="minorBidi" w:hAnsiTheme="minorBidi" w:hint="cs"/>
          <w:sz w:val="16"/>
          <w:szCs w:val="16"/>
          <w:rtl/>
        </w:rPr>
        <w:t xml:space="preserve"> </w:t>
      </w:r>
      <w:r>
        <w:rPr>
          <w:rFonts w:asciiTheme="minorBidi" w:hAnsiTheme="minorBidi" w:hint="cs"/>
          <w:rtl/>
        </w:rPr>
        <w:t>ד</w:t>
      </w:r>
      <w:r w:rsidRPr="00C233C9">
        <w:rPr>
          <w:rFonts w:asciiTheme="minorBidi" w:hAnsiTheme="minorBidi"/>
          <w:rtl/>
        </w:rPr>
        <w:t>הרי"ף לא בעי קריעה לצלי כלל,</w:t>
      </w:r>
      <w:r>
        <w:rPr>
          <w:rFonts w:asciiTheme="minorBidi" w:hAnsiTheme="minorBidi"/>
          <w:rtl/>
        </w:rPr>
        <w:t xml:space="preserve"> והרמב"ם </w:t>
      </w:r>
      <w:r w:rsidRPr="008F08E2">
        <w:rPr>
          <w:rFonts w:asciiTheme="minorBidi" w:hAnsiTheme="minorBidi" w:hint="cs"/>
          <w:sz w:val="16"/>
          <w:szCs w:val="16"/>
          <w:rtl/>
        </w:rPr>
        <w:t>(</w:t>
      </w:r>
      <w:r w:rsidRPr="008F08E2">
        <w:rPr>
          <w:rFonts w:asciiTheme="minorBidi" w:hAnsiTheme="minorBidi"/>
          <w:sz w:val="16"/>
          <w:szCs w:val="16"/>
          <w:rtl/>
        </w:rPr>
        <w:t>פ"</w:t>
      </w:r>
      <w:r w:rsidRPr="008F08E2">
        <w:rPr>
          <w:rFonts w:asciiTheme="minorBidi" w:hAnsiTheme="minorBidi" w:hint="cs"/>
          <w:sz w:val="16"/>
          <w:szCs w:val="16"/>
          <w:rtl/>
        </w:rPr>
        <w:t>ט</w:t>
      </w:r>
      <w:r w:rsidRPr="008F08E2">
        <w:rPr>
          <w:rFonts w:asciiTheme="minorBidi" w:hAnsiTheme="minorBidi"/>
          <w:sz w:val="16"/>
          <w:szCs w:val="16"/>
          <w:rtl/>
        </w:rPr>
        <w:t xml:space="preserve"> הי"ב) </w:t>
      </w:r>
      <w:r w:rsidRPr="00C233C9">
        <w:rPr>
          <w:rFonts w:asciiTheme="minorBidi" w:hAnsiTheme="minorBidi"/>
          <w:rtl/>
        </w:rPr>
        <w:t>פסק כדברי הרי"ף אלא ש</w:t>
      </w:r>
      <w:r>
        <w:rPr>
          <w:rFonts w:asciiTheme="minorBidi" w:hAnsiTheme="minorBidi"/>
          <w:rtl/>
        </w:rPr>
        <w:t xml:space="preserve">הוא מצריך לצלי קריעה כל דהו </w:t>
      </w:r>
      <w:r w:rsidRPr="008F08E2">
        <w:rPr>
          <w:rFonts w:asciiTheme="minorBidi" w:hAnsiTheme="minorBidi" w:hint="cs"/>
          <w:sz w:val="16"/>
          <w:szCs w:val="16"/>
          <w:rtl/>
        </w:rPr>
        <w:t>(</w:t>
      </w:r>
      <w:r w:rsidRPr="008F08E2">
        <w:rPr>
          <w:rFonts w:asciiTheme="minorBidi" w:hAnsiTheme="minorBidi"/>
          <w:sz w:val="16"/>
          <w:szCs w:val="16"/>
          <w:rtl/>
        </w:rPr>
        <w:t>ז"ל</w:t>
      </w:r>
      <w:r w:rsidRPr="008F08E2">
        <w:rPr>
          <w:rFonts w:asciiTheme="minorBidi" w:hAnsiTheme="minorBidi" w:hint="cs"/>
          <w:sz w:val="16"/>
          <w:szCs w:val="16"/>
          <w:rtl/>
        </w:rPr>
        <w:t>-</w:t>
      </w:r>
      <w:r w:rsidRPr="008F08E2">
        <w:rPr>
          <w:rFonts w:asciiTheme="minorBidi" w:hAnsiTheme="minorBidi"/>
          <w:sz w:val="16"/>
          <w:szCs w:val="16"/>
          <w:rtl/>
        </w:rPr>
        <w:t xml:space="preserve"> הכחל שקרעו ומירק החלב שבו מותר לצלותו ולאכלו</w:t>
      </w:r>
      <w:r w:rsidRPr="008F08E2">
        <w:rPr>
          <w:rFonts w:asciiTheme="minorBidi" w:hAnsiTheme="minorBidi" w:hint="cs"/>
          <w:sz w:val="16"/>
          <w:szCs w:val="16"/>
          <w:rtl/>
        </w:rPr>
        <w:t>,</w:t>
      </w:r>
      <w:r w:rsidRPr="008F08E2">
        <w:rPr>
          <w:rFonts w:asciiTheme="minorBidi" w:hAnsiTheme="minorBidi"/>
          <w:sz w:val="16"/>
          <w:szCs w:val="16"/>
          <w:rtl/>
        </w:rPr>
        <w:t xml:space="preserve"> ואם קרעו שתי וערב וטחו בכותל עד שלא נשאר בו לחלוחית חלב מותר לבשלו עם הבשר</w:t>
      </w:r>
      <w:r>
        <w:rPr>
          <w:rFonts w:asciiTheme="minorBidi" w:hAnsiTheme="minorBidi" w:hint="cs"/>
          <w:sz w:val="16"/>
          <w:szCs w:val="16"/>
          <w:rtl/>
        </w:rPr>
        <w:t>)</w:t>
      </w:r>
      <w:r>
        <w:rPr>
          <w:rFonts w:asciiTheme="minorBidi" w:hAnsiTheme="minorBidi" w:hint="cs"/>
          <w:color w:val="E36C0A" w:themeColor="accent6" w:themeShade="BF"/>
          <w:sz w:val="16"/>
          <w:szCs w:val="16"/>
          <w:rtl/>
        </w:rPr>
        <w:t xml:space="preserve"> </w:t>
      </w:r>
      <w:r w:rsidRPr="00E5392E">
        <w:rPr>
          <w:rFonts w:asciiTheme="minorBidi" w:hAnsiTheme="minorBidi" w:hint="cs"/>
          <w:color w:val="E36C0A" w:themeColor="accent6" w:themeShade="BF"/>
          <w:rtl/>
        </w:rPr>
        <w:t>וכ"פ בשו"ע</w:t>
      </w:r>
      <w:r>
        <w:rPr>
          <w:rFonts w:asciiTheme="minorBidi" w:hAnsiTheme="minorBidi" w:hint="cs"/>
          <w:rtl/>
        </w:rPr>
        <w:t xml:space="preserve">. </w:t>
      </w:r>
      <w:r w:rsidRPr="00C233C9">
        <w:rPr>
          <w:rFonts w:asciiTheme="minorBidi" w:hAnsiTheme="minorBidi"/>
          <w:rtl/>
        </w:rPr>
        <w:t>ו</w:t>
      </w:r>
      <w:r>
        <w:rPr>
          <w:rFonts w:asciiTheme="minorBidi" w:hAnsiTheme="minorBidi" w:hint="cs"/>
          <w:rtl/>
        </w:rPr>
        <w:t>כ' הב"י ד</w:t>
      </w:r>
      <w:r w:rsidRPr="00C233C9">
        <w:rPr>
          <w:rFonts w:asciiTheme="minorBidi" w:hAnsiTheme="minorBidi"/>
          <w:rtl/>
        </w:rPr>
        <w:t xml:space="preserve">אפשר דהרי"ף נמי סבר דלצלי בעי קריעה כל דהו </w:t>
      </w:r>
      <w:r>
        <w:rPr>
          <w:rFonts w:asciiTheme="minorBidi" w:hAnsiTheme="minorBidi" w:hint="cs"/>
          <w:sz w:val="16"/>
          <w:szCs w:val="16"/>
          <w:rtl/>
        </w:rPr>
        <w:t>(</w:t>
      </w:r>
      <w:r w:rsidRPr="009D0060">
        <w:rPr>
          <w:rFonts w:asciiTheme="minorBidi" w:hAnsiTheme="minorBidi"/>
          <w:sz w:val="16"/>
          <w:szCs w:val="16"/>
          <w:rtl/>
        </w:rPr>
        <w:t>שהרי כ</w:t>
      </w:r>
      <w:r>
        <w:rPr>
          <w:rFonts w:asciiTheme="minorBidi" w:hAnsiTheme="minorBidi" w:hint="cs"/>
          <w:sz w:val="16"/>
          <w:szCs w:val="16"/>
          <w:rtl/>
        </w:rPr>
        <w:t>'-</w:t>
      </w:r>
      <w:r w:rsidRPr="009D0060">
        <w:rPr>
          <w:rFonts w:asciiTheme="minorBidi" w:hAnsiTheme="minorBidi"/>
          <w:sz w:val="16"/>
          <w:szCs w:val="16"/>
          <w:rtl/>
        </w:rPr>
        <w:t xml:space="preserve"> </w:t>
      </w:r>
      <w:r w:rsidRPr="009D0060">
        <w:rPr>
          <w:rFonts w:asciiTheme="minorBidi" w:hAnsiTheme="minorBidi" w:hint="cs"/>
          <w:sz w:val="16"/>
          <w:szCs w:val="16"/>
          <w:rtl/>
        </w:rPr>
        <w:t>'</w:t>
      </w:r>
      <w:r w:rsidRPr="009D0060">
        <w:rPr>
          <w:rFonts w:asciiTheme="minorBidi" w:hAnsiTheme="minorBidi"/>
          <w:sz w:val="16"/>
          <w:szCs w:val="16"/>
          <w:rtl/>
        </w:rPr>
        <w:t>והיכא דלא עביד ליה הכי שרי למטוייה לכתחלה</w:t>
      </w:r>
      <w:r w:rsidRPr="009D0060">
        <w:rPr>
          <w:rFonts w:asciiTheme="minorBidi" w:hAnsiTheme="minorBidi" w:hint="cs"/>
          <w:sz w:val="16"/>
          <w:szCs w:val="16"/>
          <w:rtl/>
        </w:rPr>
        <w:t>'</w:t>
      </w:r>
      <w:r w:rsidRPr="009D0060">
        <w:rPr>
          <w:rFonts w:asciiTheme="minorBidi" w:hAnsiTheme="minorBidi"/>
          <w:sz w:val="16"/>
          <w:szCs w:val="16"/>
          <w:rtl/>
        </w:rPr>
        <w:t xml:space="preserve"> דמשמע דלא עבד ליה כולי האי קריעה שתי וערב וטיחה אבל קריעה קצת מיהא עבד, דאל"כ הכי ה</w:t>
      </w:r>
      <w:r>
        <w:rPr>
          <w:rFonts w:asciiTheme="minorBidi" w:hAnsiTheme="minorBidi" w:hint="cs"/>
          <w:sz w:val="16"/>
          <w:szCs w:val="16"/>
          <w:rtl/>
        </w:rPr>
        <w:t>"</w:t>
      </w:r>
      <w:r w:rsidRPr="009D0060">
        <w:rPr>
          <w:rFonts w:asciiTheme="minorBidi" w:hAnsiTheme="minorBidi"/>
          <w:sz w:val="16"/>
          <w:szCs w:val="16"/>
          <w:rtl/>
        </w:rPr>
        <w:t>ל למיכתב 'והיכא דלא קרעיה כלל שרי למטוייה לכתחלה', ואע"פ שהוא גורס 'א</w:t>
      </w:r>
      <w:r>
        <w:rPr>
          <w:rFonts w:asciiTheme="minorBidi" w:hAnsiTheme="minorBidi" w:hint="cs"/>
          <w:sz w:val="16"/>
          <w:szCs w:val="16"/>
          <w:rtl/>
        </w:rPr>
        <w:t>"נ</w:t>
      </w:r>
      <w:r w:rsidRPr="009D0060">
        <w:rPr>
          <w:rFonts w:asciiTheme="minorBidi" w:hAnsiTheme="minorBidi"/>
          <w:sz w:val="16"/>
          <w:szCs w:val="16"/>
          <w:rtl/>
        </w:rPr>
        <w:t xml:space="preserve"> לקדרה' יש לפרש דהכי קאמר הא דמצריך רב יהודה שתי וערב וטיחה דוקא לקדרה אבל לא לצלי, ודר' אלעזר לצלי</w:t>
      </w:r>
      <w:r w:rsidRPr="009D0060">
        <w:rPr>
          <w:rFonts w:asciiTheme="minorBidi" w:hAnsiTheme="minorBidi" w:hint="cs"/>
          <w:sz w:val="16"/>
          <w:szCs w:val="16"/>
          <w:rtl/>
        </w:rPr>
        <w:t>)</w:t>
      </w:r>
      <w:r>
        <w:rPr>
          <w:rFonts w:asciiTheme="minorBidi" w:hAnsiTheme="minorBidi" w:hint="cs"/>
          <w:rtl/>
        </w:rPr>
        <w:t>.</w:t>
      </w:r>
    </w:p>
  </w:footnote>
  <w:footnote w:id="1214">
    <w:p w14:paraId="3C40B5C1" w14:textId="77777777" w:rsidR="004C5A3C" w:rsidRDefault="004C5A3C" w:rsidP="002C39F4">
      <w:pPr>
        <w:pStyle w:val="a5"/>
        <w:rPr>
          <w:rtl/>
        </w:rPr>
      </w:pPr>
      <w:r>
        <w:rPr>
          <w:rStyle w:val="a7"/>
        </w:rPr>
        <w:footnoteRef/>
      </w:r>
      <w:r>
        <w:rPr>
          <w:rtl/>
        </w:rPr>
        <w:t xml:space="preserve"> </w:t>
      </w:r>
      <w:r>
        <w:rPr>
          <w:rFonts w:cs="Arial"/>
          <w:rtl/>
        </w:rPr>
        <w:t>באו"ה</w:t>
      </w:r>
      <w:r w:rsidRPr="00654BF3">
        <w:rPr>
          <w:rFonts w:cs="Arial"/>
          <w:rtl/>
        </w:rPr>
        <w:t xml:space="preserve"> </w:t>
      </w:r>
      <w:r>
        <w:rPr>
          <w:rFonts w:cs="Arial" w:hint="cs"/>
          <w:rtl/>
        </w:rPr>
        <w:t>(</w:t>
      </w:r>
      <w:r>
        <w:rPr>
          <w:rFonts w:cs="Arial"/>
          <w:rtl/>
        </w:rPr>
        <w:t>כלל יח ד</w:t>
      </w:r>
      <w:r>
        <w:rPr>
          <w:rFonts w:cs="Arial" w:hint="cs"/>
          <w:rtl/>
        </w:rPr>
        <w:t>"</w:t>
      </w:r>
      <w:r>
        <w:rPr>
          <w:rFonts w:cs="Arial"/>
          <w:rtl/>
        </w:rPr>
        <w:t xml:space="preserve">א) </w:t>
      </w:r>
      <w:r>
        <w:rPr>
          <w:rFonts w:cs="Arial" w:hint="cs"/>
          <w:rtl/>
        </w:rPr>
        <w:t>כ' ד</w:t>
      </w:r>
      <w:r w:rsidRPr="00654BF3">
        <w:rPr>
          <w:rFonts w:cs="Arial"/>
          <w:rtl/>
        </w:rPr>
        <w:t>נהגו העולם אף בצלי לעשות קריעת שתי וערב ולטוחו בכותל עכ"ל</w:t>
      </w:r>
      <w:r>
        <w:rPr>
          <w:rFonts w:cs="Arial" w:hint="cs"/>
          <w:rtl/>
        </w:rPr>
        <w:t>,</w:t>
      </w:r>
      <w:r w:rsidRPr="00654BF3">
        <w:rPr>
          <w:rFonts w:cs="Arial"/>
          <w:rtl/>
        </w:rPr>
        <w:t xml:space="preserve"> ובב</w:t>
      </w:r>
      <w:r>
        <w:rPr>
          <w:rFonts w:cs="Arial" w:hint="cs"/>
          <w:rtl/>
        </w:rPr>
        <w:t>"</w:t>
      </w:r>
      <w:r w:rsidRPr="00654BF3">
        <w:rPr>
          <w:rFonts w:cs="Arial"/>
          <w:rtl/>
        </w:rPr>
        <w:t>י (ד"ה ומ"ש ולצלי) משמע דנכו</w:t>
      </w:r>
      <w:r>
        <w:rPr>
          <w:rFonts w:cs="Arial" w:hint="cs"/>
          <w:rtl/>
        </w:rPr>
        <w:t>נה</w:t>
      </w:r>
      <w:r w:rsidRPr="00654BF3">
        <w:rPr>
          <w:rFonts w:cs="Arial"/>
          <w:rtl/>
        </w:rPr>
        <w:t xml:space="preserve"> חומרא זו לדעת רש"י</w:t>
      </w:r>
      <w:r>
        <w:rPr>
          <w:rFonts w:cs="Arial" w:hint="cs"/>
          <w:rtl/>
        </w:rPr>
        <w:t>, דרכ"מ (אות ב).</w:t>
      </w:r>
    </w:p>
  </w:footnote>
  <w:footnote w:id="1215">
    <w:p w14:paraId="198972B9"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שהרי הבשר נתן בו טעם והוא לא נתן טעם בבשר לפי שמועט היה, רש"י.</w:t>
      </w:r>
    </w:p>
  </w:footnote>
  <w:footnote w:id="1216">
    <w:p w14:paraId="4902F33B"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דבעינן שיהא בהיתר ששים כמותו, רש"י.</w:t>
      </w:r>
    </w:p>
  </w:footnote>
  <w:footnote w:id="1217">
    <w:p w14:paraId="1139F7F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אין צריכין שיהא בהיתר אלא בששים מה שפלט זה דהאי מאי דאתי קמן לאו בקדרה הוא ומישדא שדינן ליה לבר, רש"י.</w:t>
      </w:r>
    </w:p>
  </w:footnote>
  <w:footnote w:id="1218">
    <w:p w14:paraId="77EAE79E"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הואיל ובדידיה משערינן הא איבטיל כוליה, שהלך כל עצמו בתבשיל, דאי לאו הכי אמאי בעית ששים כמות כולו, וכיון דכוליה בטלתיה נפל בקדרה אחרת אל יאסר, רש"י.</w:t>
      </w:r>
    </w:p>
  </w:footnote>
  <w:footnote w:id="1219">
    <w:p w14:paraId="09C48247"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מפני שבתחלה נאסר עד שלא נצטמק משנתנה הקדרה בו טעם מיד נאסר ומאז שויוה רבנן כחתיכת איסור שהיא לעולם אסורה כדאמר במתניתין בזמן שמכירו כו', רש"י. והר"ן </w:t>
      </w:r>
      <w:r w:rsidRPr="00C233C9">
        <w:rPr>
          <w:rFonts w:asciiTheme="minorBidi" w:hAnsiTheme="minorBidi"/>
          <w:sz w:val="16"/>
          <w:szCs w:val="16"/>
          <w:rtl/>
        </w:rPr>
        <w:t xml:space="preserve">(לה. ד"ה וכחל עצמו) </w:t>
      </w:r>
      <w:r w:rsidRPr="00C233C9">
        <w:rPr>
          <w:rFonts w:asciiTheme="minorBidi" w:hAnsiTheme="minorBidi"/>
          <w:rtl/>
        </w:rPr>
        <w:t>פירש כיון דא"ר יצחק בר משרשיא כחל עצמו אסור שויוה רבנן כחתיכת נבלה מפני מראית העין.</w:t>
      </w:r>
    </w:p>
  </w:footnote>
  <w:footnote w:id="1220">
    <w:p w14:paraId="52C6843B"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 הב"י שהכחל עצמו משלים לששים כל היכא שצריך ששים בין שיהיה כחל עצמו מותר בין שיהיה אסור, שהרי אכחל בששים וכחל מן המנין אמר רבי יצחק בריה דרב משרשיא וכחל עצמו אסור, וכ"כ הרמב"ם </w:t>
      </w:r>
      <w:r w:rsidRPr="00C233C9">
        <w:rPr>
          <w:rFonts w:asciiTheme="minorBidi" w:hAnsiTheme="minorBidi"/>
          <w:sz w:val="16"/>
          <w:szCs w:val="16"/>
          <w:rtl/>
        </w:rPr>
        <w:t>(פ"ט הי"ג)</w:t>
      </w:r>
      <w:r w:rsidRPr="00C233C9">
        <w:rPr>
          <w:rFonts w:asciiTheme="minorBidi" w:hAnsiTheme="minorBidi"/>
          <w:rtl/>
        </w:rPr>
        <w:t xml:space="preserve">. </w:t>
      </w:r>
    </w:p>
    <w:p w14:paraId="24CBAC3E" w14:textId="77777777" w:rsidR="004C5A3C" w:rsidRPr="00C233C9" w:rsidRDefault="004C5A3C" w:rsidP="002C39F4">
      <w:pPr>
        <w:pStyle w:val="a5"/>
        <w:rPr>
          <w:rFonts w:asciiTheme="minorBidi" w:hAnsiTheme="minorBidi"/>
          <w:rtl/>
        </w:rPr>
      </w:pPr>
      <w:r w:rsidRPr="00C233C9">
        <w:rPr>
          <w:rFonts w:asciiTheme="minorBidi" w:hAnsiTheme="minorBidi"/>
          <w:u w:val="single"/>
          <w:rtl/>
        </w:rPr>
        <w:t xml:space="preserve">ובטעם הדבר </w:t>
      </w:r>
      <w:r w:rsidRPr="00C233C9">
        <w:rPr>
          <w:rFonts w:asciiTheme="minorBidi" w:hAnsiTheme="minorBidi"/>
          <w:sz w:val="16"/>
          <w:szCs w:val="16"/>
          <w:u w:val="single"/>
          <w:rtl/>
        </w:rPr>
        <w:t>(דמצטרף למנין ס' אע"פ שהוא עצמו אסור)</w:t>
      </w:r>
      <w:r w:rsidRPr="00C233C9">
        <w:rPr>
          <w:rFonts w:asciiTheme="minorBidi" w:hAnsiTheme="minorBidi"/>
          <w:u w:val="single"/>
          <w:rtl/>
        </w:rPr>
        <w:t xml:space="preserve"> נחלקו הראשונים:</w:t>
      </w:r>
      <w:r w:rsidRPr="00C233C9">
        <w:rPr>
          <w:rFonts w:asciiTheme="minorBidi" w:hAnsiTheme="minorBidi"/>
          <w:rtl/>
        </w:rPr>
        <w:t xml:space="preserve"> </w:t>
      </w:r>
    </w:p>
    <w:p w14:paraId="349B9413" w14:textId="77777777" w:rsidR="004C5A3C" w:rsidRPr="00C233C9" w:rsidRDefault="004C5A3C" w:rsidP="0032102C">
      <w:pPr>
        <w:pStyle w:val="a5"/>
        <w:numPr>
          <w:ilvl w:val="0"/>
          <w:numId w:val="158"/>
        </w:numPr>
        <w:rPr>
          <w:rFonts w:asciiTheme="minorBidi" w:hAnsiTheme="minorBidi"/>
        </w:rPr>
      </w:pPr>
      <w:r w:rsidRPr="00C233C9">
        <w:rPr>
          <w:rFonts w:asciiTheme="minorBidi" w:hAnsiTheme="minorBidi"/>
          <w:rtl/>
        </w:rPr>
        <w:t xml:space="preserve">תוס' </w:t>
      </w:r>
      <w:r w:rsidRPr="00C233C9">
        <w:rPr>
          <w:rFonts w:asciiTheme="minorBidi" w:hAnsiTheme="minorBidi"/>
          <w:sz w:val="16"/>
          <w:szCs w:val="16"/>
          <w:rtl/>
        </w:rPr>
        <w:t xml:space="preserve">(צז: ד"ה וכחל) </w:t>
      </w:r>
      <w:r w:rsidRPr="00C233C9">
        <w:rPr>
          <w:rFonts w:asciiTheme="minorBidi" w:hAnsiTheme="minorBidi"/>
          <w:rtl/>
        </w:rPr>
        <w:t xml:space="preserve">ורא"ש </w:t>
      </w:r>
      <w:r w:rsidRPr="00C233C9">
        <w:rPr>
          <w:rFonts w:asciiTheme="minorBidi" w:hAnsiTheme="minorBidi"/>
          <w:sz w:val="16"/>
          <w:szCs w:val="16"/>
          <w:rtl/>
        </w:rPr>
        <w:t>(סי' כז)</w:t>
      </w:r>
      <w:r w:rsidRPr="00C233C9">
        <w:rPr>
          <w:rFonts w:asciiTheme="minorBidi" w:hAnsiTheme="minorBidi"/>
          <w:rtl/>
        </w:rPr>
        <w:t>- מפני שאיסורו של כחל אינו משום שיש בו טעם חלב יותר משאר בשר אלא לפי שיש בו גומות שהחלב כנוס לתוכו ויש באותו חלב טעם בשר וא"א להפרישו מן הבשר דלא מהני קריעה לאחר בישולו ואע"ג דבגמר בישולו יוצא כל החלב מ"מ קודם גמר בישולו נאסר בשביל חלב שבגומות ותו לא מישתרי דחיישינן שמא יאכלנו קודם גמר בישולו ולפי שאין הכחל נאסר מחמת עצמו אלא מחמת חלב הכנוס בגומות לכך הוי כמו שאר בשר לבטלו.</w:t>
      </w:r>
    </w:p>
    <w:p w14:paraId="4F8C76AA" w14:textId="77777777" w:rsidR="004C5A3C" w:rsidRPr="00C233C9" w:rsidRDefault="004C5A3C" w:rsidP="0032102C">
      <w:pPr>
        <w:pStyle w:val="a5"/>
        <w:numPr>
          <w:ilvl w:val="0"/>
          <w:numId w:val="158"/>
        </w:numPr>
        <w:rPr>
          <w:rFonts w:asciiTheme="minorBidi" w:hAnsiTheme="minorBidi"/>
        </w:rPr>
      </w:pPr>
      <w:r w:rsidRPr="00C233C9">
        <w:rPr>
          <w:rFonts w:asciiTheme="minorBidi" w:hAnsiTheme="minorBidi"/>
          <w:rtl/>
        </w:rPr>
        <w:t xml:space="preserve">רמב"ם </w:t>
      </w:r>
      <w:r w:rsidRPr="00C233C9">
        <w:rPr>
          <w:rFonts w:asciiTheme="minorBidi" w:hAnsiTheme="minorBidi"/>
          <w:sz w:val="16"/>
          <w:szCs w:val="16"/>
          <w:rtl/>
        </w:rPr>
        <w:t>(פט"ו הי"ז-י"ח)</w:t>
      </w:r>
      <w:r w:rsidRPr="00C233C9">
        <w:rPr>
          <w:rFonts w:asciiTheme="minorBidi" w:hAnsiTheme="minorBidi"/>
          <w:rtl/>
        </w:rPr>
        <w:t xml:space="preserve">- מפני שהכחל מדבריהם לפיכך הקילו בשיעורו, ואע"פ ששומן גיד בששים אע"פ שהוא מדבריהם הואיל וגיד הנשה בריה בפני עצמו החמירו בו כאיסורי תורה. </w:t>
      </w:r>
      <w:r w:rsidRPr="00C233C9">
        <w:rPr>
          <w:rFonts w:asciiTheme="minorBidi" w:hAnsiTheme="minorBidi"/>
          <w:sz w:val="16"/>
          <w:szCs w:val="16"/>
          <w:rtl/>
        </w:rPr>
        <w:t xml:space="preserve">(והרשב"א </w:t>
      </w:r>
      <w:r w:rsidRPr="00C233C9">
        <w:rPr>
          <w:rFonts w:asciiTheme="minorBidi" w:hAnsiTheme="minorBidi"/>
          <w:sz w:val="12"/>
          <w:szCs w:val="12"/>
          <w:rtl/>
        </w:rPr>
        <w:t xml:space="preserve">(שם) </w:t>
      </w:r>
      <w:r w:rsidRPr="00C233C9">
        <w:rPr>
          <w:rFonts w:asciiTheme="minorBidi" w:hAnsiTheme="minorBidi"/>
          <w:sz w:val="16"/>
          <w:szCs w:val="16"/>
          <w:rtl/>
        </w:rPr>
        <w:t>דחה טעם זה שהרי איסורי סופרים גם הם צריכים ששים)</w:t>
      </w:r>
      <w:r w:rsidRPr="00C233C9">
        <w:rPr>
          <w:rFonts w:asciiTheme="minorBidi" w:hAnsiTheme="minorBidi"/>
          <w:rtl/>
        </w:rPr>
        <w:t xml:space="preserve"> </w:t>
      </w:r>
    </w:p>
    <w:p w14:paraId="5AB148D3" w14:textId="77777777" w:rsidR="004C5A3C" w:rsidRDefault="004C5A3C" w:rsidP="0032102C">
      <w:pPr>
        <w:pStyle w:val="a5"/>
        <w:numPr>
          <w:ilvl w:val="0"/>
          <w:numId w:val="158"/>
        </w:numPr>
        <w:rPr>
          <w:rFonts w:asciiTheme="minorBidi" w:hAnsiTheme="minorBidi"/>
        </w:rPr>
      </w:pPr>
      <w:r w:rsidRPr="00C233C9">
        <w:rPr>
          <w:rFonts w:asciiTheme="minorBidi" w:hAnsiTheme="minorBidi"/>
          <w:rtl/>
        </w:rPr>
        <w:t xml:space="preserve">רשב"א </w:t>
      </w:r>
      <w:r w:rsidRPr="00C233C9">
        <w:rPr>
          <w:rFonts w:asciiTheme="minorBidi" w:hAnsiTheme="minorBidi"/>
          <w:sz w:val="16"/>
          <w:szCs w:val="16"/>
          <w:rtl/>
        </w:rPr>
        <w:t>(שם)</w:t>
      </w:r>
      <w:r w:rsidRPr="00C233C9">
        <w:rPr>
          <w:rFonts w:asciiTheme="minorBidi" w:hAnsiTheme="minorBidi"/>
          <w:rtl/>
        </w:rPr>
        <w:t>- מפני שהוא עצמו בשר הוא.</w:t>
      </w:r>
      <w:r>
        <w:rPr>
          <w:rFonts w:asciiTheme="minorBidi" w:hAnsiTheme="minorBidi" w:hint="cs"/>
          <w:rtl/>
        </w:rPr>
        <w:t xml:space="preserve"> </w:t>
      </w:r>
      <w:r>
        <w:rPr>
          <w:rFonts w:asciiTheme="minorBidi" w:hAnsiTheme="minorBidi" w:hint="cs"/>
          <w:sz w:val="16"/>
          <w:szCs w:val="16"/>
          <w:rtl/>
        </w:rPr>
        <w:t xml:space="preserve">(והא דאין אומרים כן בחתיכת בשר שתעלה לששים עם הקדרה לבטל הדם שבה הוא משום שדם שנפרש קודם הבישול אסור מדאו' לפיכך החמירו בו, משא"כ בכחל דאף לאחר שנפרש הוא מדרבנן, ש"ך [נה"כ אות א]) </w:t>
      </w:r>
    </w:p>
    <w:p w14:paraId="5E43A429" w14:textId="77777777" w:rsidR="004C5A3C" w:rsidRPr="00AF0C75" w:rsidRDefault="004C5A3C" w:rsidP="0032102C">
      <w:pPr>
        <w:pStyle w:val="a5"/>
        <w:numPr>
          <w:ilvl w:val="0"/>
          <w:numId w:val="158"/>
        </w:numPr>
        <w:rPr>
          <w:rFonts w:asciiTheme="minorBidi" w:hAnsiTheme="minorBidi"/>
        </w:rPr>
      </w:pPr>
      <w:r w:rsidRPr="00C233C9">
        <w:rPr>
          <w:rFonts w:asciiTheme="minorBidi" w:hAnsiTheme="minorBidi"/>
          <w:rtl/>
        </w:rPr>
        <w:t>י"א</w:t>
      </w:r>
      <w:r w:rsidRPr="00C233C9">
        <w:rPr>
          <w:rFonts w:asciiTheme="minorBidi" w:hAnsiTheme="minorBidi"/>
          <w:sz w:val="16"/>
          <w:szCs w:val="16"/>
          <w:rtl/>
        </w:rPr>
        <w:t xml:space="preserve"> (הביאם הה"מ </w:t>
      </w:r>
      <w:r w:rsidRPr="00AD3923">
        <w:rPr>
          <w:rFonts w:asciiTheme="minorBidi" w:hAnsiTheme="minorBidi"/>
          <w:sz w:val="14"/>
          <w:szCs w:val="14"/>
          <w:rtl/>
        </w:rPr>
        <w:t>[פ"ט הי"ג]</w:t>
      </w:r>
      <w:r w:rsidRPr="00C233C9">
        <w:rPr>
          <w:rFonts w:asciiTheme="minorBidi" w:hAnsiTheme="minorBidi"/>
          <w:sz w:val="16"/>
          <w:szCs w:val="16"/>
          <w:rtl/>
        </w:rPr>
        <w:t>)</w:t>
      </w:r>
      <w:r w:rsidRPr="00C233C9">
        <w:rPr>
          <w:rFonts w:asciiTheme="minorBidi" w:hAnsiTheme="minorBidi"/>
          <w:rtl/>
        </w:rPr>
        <w:t xml:space="preserve"> ור"ן </w:t>
      </w:r>
      <w:r w:rsidRPr="00C233C9">
        <w:rPr>
          <w:rFonts w:asciiTheme="minorBidi" w:hAnsiTheme="minorBidi"/>
          <w:sz w:val="16"/>
          <w:szCs w:val="16"/>
          <w:rtl/>
        </w:rPr>
        <w:t>(לה. ד"ה כחל בששים)</w:t>
      </w:r>
      <w:r w:rsidRPr="00C233C9">
        <w:rPr>
          <w:rFonts w:asciiTheme="minorBidi" w:hAnsiTheme="minorBidi"/>
          <w:rtl/>
        </w:rPr>
        <w:t>- מפני שהוא מותר בפני עצמו.</w:t>
      </w:r>
      <w:r>
        <w:rPr>
          <w:rFonts w:asciiTheme="minorBidi" w:hAnsiTheme="minorBidi" w:hint="cs"/>
          <w:rtl/>
        </w:rPr>
        <w:t xml:space="preserve"> </w:t>
      </w:r>
      <w:r w:rsidRPr="00AD3923">
        <w:rPr>
          <w:rFonts w:asciiTheme="minorBidi" w:hAnsiTheme="minorBidi" w:hint="cs"/>
          <w:sz w:val="16"/>
          <w:szCs w:val="16"/>
          <w:rtl/>
        </w:rPr>
        <w:t>(הט"ז [סק"ב] כ' שטע</w:t>
      </w:r>
      <w:r>
        <w:rPr>
          <w:rFonts w:asciiTheme="minorBidi" w:hAnsiTheme="minorBidi" w:hint="cs"/>
          <w:sz w:val="16"/>
          <w:szCs w:val="16"/>
          <w:rtl/>
        </w:rPr>
        <w:t>ם הר"ן</w:t>
      </w:r>
      <w:r w:rsidRPr="00AD3923">
        <w:rPr>
          <w:rFonts w:asciiTheme="minorBidi" w:hAnsiTheme="minorBidi" w:hint="cs"/>
          <w:sz w:val="16"/>
          <w:szCs w:val="16"/>
          <w:rtl/>
        </w:rPr>
        <w:t xml:space="preserve"> הוא כטעם הרשב"א)</w:t>
      </w:r>
    </w:p>
  </w:footnote>
  <w:footnote w:id="1221">
    <w:p w14:paraId="63FDAD1B"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וכ' הה"מ </w:t>
      </w:r>
      <w:r w:rsidRPr="00C233C9">
        <w:rPr>
          <w:rFonts w:asciiTheme="minorBidi" w:hAnsiTheme="minorBidi"/>
          <w:sz w:val="16"/>
          <w:szCs w:val="16"/>
          <w:rtl/>
        </w:rPr>
        <w:t xml:space="preserve">(פ"ט הי"ב-י"ג) </w:t>
      </w:r>
      <w:r w:rsidRPr="00C233C9">
        <w:rPr>
          <w:rFonts w:asciiTheme="minorBidi" w:hAnsiTheme="minorBidi"/>
          <w:rtl/>
        </w:rPr>
        <w:t xml:space="preserve">שכן דעת הרמב"ם, וכ' הב"י דכן דעת הטור </w:t>
      </w:r>
      <w:r w:rsidRPr="00C233C9">
        <w:rPr>
          <w:rFonts w:asciiTheme="minorBidi" w:hAnsiTheme="minorBidi"/>
          <w:sz w:val="16"/>
          <w:szCs w:val="16"/>
          <w:rtl/>
        </w:rPr>
        <w:t xml:space="preserve">(אע"פ שהיה אפשר להבין </w:t>
      </w:r>
      <w:r>
        <w:rPr>
          <w:rFonts w:asciiTheme="minorBidi" w:hAnsiTheme="minorBidi" w:hint="cs"/>
          <w:sz w:val="16"/>
          <w:szCs w:val="16"/>
          <w:rtl/>
        </w:rPr>
        <w:t xml:space="preserve">אחרת </w:t>
      </w:r>
      <w:r w:rsidRPr="00C233C9">
        <w:rPr>
          <w:rFonts w:asciiTheme="minorBidi" w:hAnsiTheme="minorBidi"/>
          <w:sz w:val="16"/>
          <w:szCs w:val="16"/>
          <w:rtl/>
        </w:rPr>
        <w:t>מדבריו)</w:t>
      </w:r>
      <w:r w:rsidRPr="00C233C9">
        <w:rPr>
          <w:rFonts w:asciiTheme="minorBidi" w:hAnsiTheme="minorBidi"/>
          <w:rtl/>
        </w:rPr>
        <w:t>, ו</w:t>
      </w:r>
      <w:r>
        <w:rPr>
          <w:rFonts w:asciiTheme="minorBidi" w:hAnsiTheme="minorBidi" w:hint="cs"/>
          <w:rtl/>
        </w:rPr>
        <w:t>כ"</w:t>
      </w:r>
      <w:r w:rsidRPr="00C233C9">
        <w:rPr>
          <w:rFonts w:asciiTheme="minorBidi" w:hAnsiTheme="minorBidi"/>
          <w:rtl/>
        </w:rPr>
        <w:t xml:space="preserve">ד </w:t>
      </w:r>
      <w:r>
        <w:rPr>
          <w:rFonts w:asciiTheme="minorBidi" w:hAnsiTheme="minorBidi" w:hint="cs"/>
          <w:rtl/>
        </w:rPr>
        <w:t>ה</w:t>
      </w:r>
      <w:r w:rsidRPr="00C233C9">
        <w:rPr>
          <w:rFonts w:asciiTheme="minorBidi" w:hAnsiTheme="minorBidi"/>
          <w:rtl/>
        </w:rPr>
        <w:t xml:space="preserve">ר"ן </w:t>
      </w:r>
      <w:r w:rsidRPr="00C233C9">
        <w:rPr>
          <w:rFonts w:asciiTheme="minorBidi" w:hAnsiTheme="minorBidi"/>
          <w:sz w:val="16"/>
          <w:szCs w:val="16"/>
          <w:rtl/>
        </w:rPr>
        <w:t>(לה.)</w:t>
      </w:r>
      <w:r w:rsidRPr="00C233C9">
        <w:rPr>
          <w:rFonts w:asciiTheme="minorBidi" w:hAnsiTheme="minorBidi"/>
          <w:rtl/>
        </w:rPr>
        <w:t xml:space="preserve">. </w:t>
      </w:r>
    </w:p>
  </w:footnote>
  <w:footnote w:id="1222">
    <w:p w14:paraId="15E6DA73"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העתיקו הטור. וכ' הב"י שסברא זו הוא מדאמר רבי יצחק בריה דרב משרשיא דכחל עצמו אסור ואי נפל לקדרה אחרת אוסר.</w:t>
      </w:r>
    </w:p>
  </w:footnote>
  <w:footnote w:id="1223">
    <w:p w14:paraId="545727FF"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הרי כתב בהדיא 'בין כך ובין כך' כלומר בין נפל לפחות מששים בין נפל לששים אוסר ומשערים בו בששים כבראשונה, כלומר שהכחל מן המנין, וכ' הה"מ שלדעת זה הסכים הרא"ה </w:t>
      </w:r>
      <w:r w:rsidRPr="00C233C9">
        <w:rPr>
          <w:rFonts w:asciiTheme="minorBidi" w:hAnsiTheme="minorBidi"/>
          <w:sz w:val="16"/>
          <w:szCs w:val="16"/>
          <w:rtl/>
        </w:rPr>
        <w:t>(בדה"ב</w:t>
      </w:r>
      <w:r>
        <w:rPr>
          <w:rFonts w:asciiTheme="minorBidi" w:hAnsiTheme="minorBidi"/>
          <w:sz w:val="16"/>
          <w:szCs w:val="16"/>
          <w:rtl/>
        </w:rPr>
        <w:t xml:space="preserve"> ב"ד ש"א</w:t>
      </w:r>
      <w:r w:rsidRPr="00C233C9">
        <w:rPr>
          <w:rFonts w:asciiTheme="minorBidi" w:hAnsiTheme="minorBidi"/>
          <w:sz w:val="16"/>
          <w:szCs w:val="16"/>
          <w:rtl/>
        </w:rPr>
        <w:t xml:space="preserve"> ד"ה עוד כתב)</w:t>
      </w:r>
      <w:r>
        <w:rPr>
          <w:rFonts w:asciiTheme="minorBidi" w:hAnsiTheme="minorBidi" w:hint="cs"/>
          <w:rtl/>
        </w:rPr>
        <w:t>.</w:t>
      </w:r>
      <w:r w:rsidRPr="00C233C9">
        <w:rPr>
          <w:rFonts w:asciiTheme="minorBidi" w:hAnsiTheme="minorBidi"/>
          <w:rtl/>
        </w:rPr>
        <w:t xml:space="preserve"> והר"ן </w:t>
      </w:r>
      <w:r w:rsidRPr="00C233C9">
        <w:rPr>
          <w:rFonts w:asciiTheme="minorBidi" w:hAnsiTheme="minorBidi"/>
          <w:sz w:val="16"/>
          <w:szCs w:val="16"/>
          <w:rtl/>
        </w:rPr>
        <w:t xml:space="preserve">(לה. ד"ה וכחל עצמו אסור) </w:t>
      </w:r>
      <w:r w:rsidRPr="00C233C9">
        <w:rPr>
          <w:rFonts w:asciiTheme="minorBidi" w:hAnsiTheme="minorBidi"/>
          <w:rtl/>
        </w:rPr>
        <w:t>כ' שטעם סברא זו משום דכיון שאינו נאסר אלא מפני מראית העין אין להחמיר בקדרה שנייה יותר מבראשונה, ב"י.</w:t>
      </w:r>
      <w:r w:rsidRPr="00E4437E">
        <w:rPr>
          <w:rFonts w:asciiTheme="minorBidi" w:hAnsiTheme="minorBidi" w:hint="cs"/>
          <w:sz w:val="16"/>
          <w:szCs w:val="16"/>
          <w:rtl/>
        </w:rPr>
        <w:t xml:space="preserve"> (</w:t>
      </w:r>
      <w:r>
        <w:rPr>
          <w:rFonts w:asciiTheme="minorBidi" w:hAnsiTheme="minorBidi" w:hint="cs"/>
          <w:sz w:val="16"/>
          <w:szCs w:val="16"/>
          <w:rtl/>
        </w:rPr>
        <w:t xml:space="preserve">אמנם הדרכ"מ [אות ד] </w:t>
      </w:r>
      <w:r>
        <w:rPr>
          <w:rFonts w:asciiTheme="minorBidi" w:hAnsiTheme="minorBidi" w:cs="Arial" w:hint="cs"/>
          <w:sz w:val="16"/>
          <w:szCs w:val="16"/>
          <w:rtl/>
        </w:rPr>
        <w:t xml:space="preserve">כ'- </w:t>
      </w:r>
      <w:r>
        <w:rPr>
          <w:rFonts w:asciiTheme="minorBidi" w:hAnsiTheme="minorBidi" w:cs="Arial"/>
          <w:sz w:val="16"/>
          <w:szCs w:val="16"/>
          <w:rtl/>
        </w:rPr>
        <w:t>ול</w:t>
      </w:r>
      <w:r>
        <w:rPr>
          <w:rFonts w:asciiTheme="minorBidi" w:hAnsiTheme="minorBidi" w:cs="Arial" w:hint="cs"/>
          <w:sz w:val="16"/>
          <w:szCs w:val="16"/>
          <w:rtl/>
        </w:rPr>
        <w:t>י נראה</w:t>
      </w:r>
      <w:r>
        <w:rPr>
          <w:rFonts w:asciiTheme="minorBidi" w:hAnsiTheme="minorBidi" w:cs="Arial"/>
          <w:sz w:val="16"/>
          <w:szCs w:val="16"/>
          <w:rtl/>
        </w:rPr>
        <w:t xml:space="preserve"> דדברי הר"ן הם כד</w:t>
      </w:r>
      <w:r>
        <w:rPr>
          <w:rFonts w:asciiTheme="minorBidi" w:hAnsiTheme="minorBidi" w:cs="Arial" w:hint="cs"/>
          <w:sz w:val="16"/>
          <w:szCs w:val="16"/>
          <w:rtl/>
        </w:rPr>
        <w:t>ברי</w:t>
      </w:r>
      <w:r w:rsidRPr="00C24064">
        <w:rPr>
          <w:rFonts w:asciiTheme="minorBidi" w:hAnsiTheme="minorBidi" w:cs="Arial"/>
          <w:sz w:val="16"/>
          <w:szCs w:val="16"/>
          <w:rtl/>
        </w:rPr>
        <w:t xml:space="preserve"> הרשב"א דמדתלה טעמא שלא נאסר תחילה רק מכח מראית העין דמשמע דוקא שהיה בתחילה ששים בקדרה אבל אם היה בתחילה פחות מששים דנאסר הכחל ממש אינו מצטרף בקדרה שנייה כדברי הרשב"א</w:t>
      </w:r>
      <w:r>
        <w:rPr>
          <w:rFonts w:asciiTheme="minorBidi" w:hAnsiTheme="minorBidi" w:cs="Arial" w:hint="cs"/>
          <w:sz w:val="16"/>
          <w:szCs w:val="16"/>
          <w:rtl/>
        </w:rPr>
        <w:t>,</w:t>
      </w:r>
      <w:r w:rsidRPr="00C24064">
        <w:rPr>
          <w:rFonts w:asciiTheme="minorBidi" w:hAnsiTheme="minorBidi" w:cs="Arial"/>
          <w:sz w:val="16"/>
          <w:szCs w:val="16"/>
          <w:rtl/>
        </w:rPr>
        <w:t xml:space="preserve"> וכן עיקר</w:t>
      </w:r>
      <w:r w:rsidRPr="00E4437E">
        <w:rPr>
          <w:rFonts w:asciiTheme="minorBidi" w:hAnsiTheme="minorBidi" w:hint="cs"/>
          <w:sz w:val="16"/>
          <w:szCs w:val="16"/>
          <w:rtl/>
        </w:rPr>
        <w:t>)</w:t>
      </w:r>
    </w:p>
  </w:footnote>
  <w:footnote w:id="1224">
    <w:p w14:paraId="2EA640A6"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 הה"מ שנראה שהוא פירוש למה שאמרו בגמ' (צז:) בדידיה משערינן או במאי דנפיק מיניה, ויפרש רבינו </w:t>
      </w:r>
      <w:r>
        <w:rPr>
          <w:rFonts w:asciiTheme="minorBidi" w:hAnsiTheme="minorBidi" w:hint="cs"/>
          <w:rtl/>
        </w:rPr>
        <w:t>'</w:t>
      </w:r>
      <w:r w:rsidRPr="00C233C9">
        <w:rPr>
          <w:rFonts w:asciiTheme="minorBidi" w:hAnsiTheme="minorBidi"/>
          <w:rtl/>
        </w:rPr>
        <w:t>או אף במאי דנפיק מיניה</w:t>
      </w:r>
      <w:r>
        <w:rPr>
          <w:rFonts w:asciiTheme="minorBidi" w:hAnsiTheme="minorBidi" w:hint="cs"/>
          <w:rtl/>
        </w:rPr>
        <w:t>'</w:t>
      </w:r>
      <w:r w:rsidRPr="00C233C9">
        <w:rPr>
          <w:rFonts w:asciiTheme="minorBidi" w:hAnsiTheme="minorBidi"/>
          <w:rtl/>
        </w:rPr>
        <w:t>, ע"כ, והקשה עליו הב"י מקושיית הגמ' בסמוך (שם), ולכן תירץ דהרמב"ם ז"ל נתכוין בזה למאי דגרסינן בפג</w:t>
      </w:r>
      <w:r>
        <w:rPr>
          <w:rFonts w:asciiTheme="minorBidi" w:hAnsiTheme="minorBidi" w:hint="cs"/>
          <w:rtl/>
        </w:rPr>
        <w:t>"</w:t>
      </w:r>
      <w:r w:rsidRPr="00C233C9">
        <w:rPr>
          <w:rFonts w:asciiTheme="minorBidi" w:hAnsiTheme="minorBidi"/>
          <w:rtl/>
        </w:rPr>
        <w:t>ה (צח.) ההוא כזיתא דתרבא דנפל לדיקולא דבישרא סבר רב אשי לשעוריה במאי דבלע דיקולא אמרו ליה רבנן לרב אשי אטו דיקולא דהיתרא בלע דאיסורא לא בלע</w:t>
      </w:r>
      <w:r>
        <w:rPr>
          <w:rFonts w:asciiTheme="minorBidi" w:hAnsiTheme="minorBidi" w:hint="cs"/>
          <w:rtl/>
        </w:rPr>
        <w:t>,</w:t>
      </w:r>
      <w:r w:rsidRPr="00C233C9">
        <w:rPr>
          <w:rFonts w:asciiTheme="minorBidi" w:hAnsiTheme="minorBidi"/>
          <w:rtl/>
        </w:rPr>
        <w:t xml:space="preserve"> דמשמע מינה דבין איסור בין היתר הכל משערינן כמו שבא לפנינו לא כמות שהיה בשעה שנפל</w:t>
      </w:r>
      <w:r>
        <w:rPr>
          <w:rFonts w:asciiTheme="minorBidi" w:hAnsiTheme="minorBidi" w:hint="cs"/>
          <w:rtl/>
        </w:rPr>
        <w:t>,</w:t>
      </w:r>
      <w:r w:rsidRPr="00C233C9">
        <w:rPr>
          <w:rFonts w:asciiTheme="minorBidi" w:hAnsiTheme="minorBidi"/>
          <w:rtl/>
        </w:rPr>
        <w:t xml:space="preserve"> וכתבו הרמב"ם בכחל והוא הדין בשאר איסורים.</w:t>
      </w:r>
    </w:p>
  </w:footnote>
  <w:footnote w:id="1225">
    <w:p w14:paraId="3B0AE012"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בהאי דוכתא, רש"י.</w:t>
      </w:r>
    </w:p>
  </w:footnote>
  <w:footnote w:id="1226">
    <w:p w14:paraId="2B42DC1F"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יש כאן מי ששנה לרב כחל שבשלו בלא קריעה אסור באכילה ולישנא בתרא דרב הוה שמיעא ליה לרבי אלעזר, רש"י.</w:t>
      </w:r>
    </w:p>
  </w:footnote>
  <w:footnote w:id="1227">
    <w:p w14:paraId="3F0352F9"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בני המקום, רש"י.</w:t>
      </w:r>
    </w:p>
  </w:footnote>
  <w:footnote w:id="1228">
    <w:p w14:paraId="7D92FFC2"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אמרו לו לרבי אלעזר</w:t>
      </w:r>
      <w:r>
        <w:rPr>
          <w:rFonts w:asciiTheme="minorBidi" w:hAnsiTheme="minorBidi" w:hint="cs"/>
          <w:rtl/>
        </w:rPr>
        <w:t>-</w:t>
      </w:r>
      <w:r w:rsidRPr="00C233C9">
        <w:rPr>
          <w:rFonts w:asciiTheme="minorBidi" w:hAnsiTheme="minorBidi"/>
          <w:rtl/>
        </w:rPr>
        <w:t xml:space="preserve"> </w:t>
      </w:r>
      <w:r>
        <w:rPr>
          <w:rFonts w:asciiTheme="minorBidi" w:hAnsiTheme="minorBidi" w:hint="cs"/>
          <w:rtl/>
        </w:rPr>
        <w:t>'</w:t>
      </w:r>
      <w:r w:rsidRPr="00C233C9">
        <w:rPr>
          <w:rFonts w:asciiTheme="minorBidi" w:hAnsiTheme="minorBidi"/>
          <w:rtl/>
        </w:rPr>
        <w:t>זה שנאה לו</w:t>
      </w:r>
      <w:r>
        <w:rPr>
          <w:rFonts w:asciiTheme="minorBidi" w:hAnsiTheme="minorBidi" w:hint="cs"/>
          <w:rtl/>
        </w:rPr>
        <w:t>'</w:t>
      </w:r>
      <w:r w:rsidRPr="00C233C9">
        <w:rPr>
          <w:rFonts w:asciiTheme="minorBidi" w:hAnsiTheme="minorBidi"/>
          <w:rtl/>
        </w:rPr>
        <w:t>, רש"י.</w:t>
      </w:r>
    </w:p>
  </w:footnote>
  <w:footnote w:id="1229">
    <w:p w14:paraId="0B6AA57F"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כלומר שום כחל לא שניתי לו לאיסור בין כחל מניקה ובין כחל שאינה מניקה, רש"י.</w:t>
      </w:r>
    </w:p>
  </w:footnote>
  <w:footnote w:id="1230">
    <w:p w14:paraId="155BC1E5"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ששנה להם כחל שאסור, רש"י.</w:t>
      </w:r>
    </w:p>
  </w:footnote>
  <w:footnote w:id="1231">
    <w:p w14:paraId="7C2A2FF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כלומר ראה שהיו מזלזלים באיסור בשר בחלב והחמיר עליהן, רש"י.</w:t>
      </w:r>
    </w:p>
  </w:footnote>
  <w:footnote w:id="1232">
    <w:p w14:paraId="797F7617"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ליטרא, רש"י.</w:t>
      </w:r>
    </w:p>
  </w:footnote>
  <w:footnote w:id="1233">
    <w:p w14:paraId="29E23C54"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כמו שאמרנו שכן השיבו רב יצחק לרבי אלעזר לא שניתי לו כל עיקר, רש"י.</w:t>
      </w:r>
    </w:p>
  </w:footnote>
  <w:footnote w:id="1234">
    <w:p w14:paraId="6731329D"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שהיתה מניקה ויש בדדיה חלב כנוס הרבה, רש"י.</w:t>
      </w:r>
    </w:p>
  </w:footnote>
  <w:footnote w:id="1235">
    <w:p w14:paraId="656F918A"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שהוא מחודד מאד ומבין מעצמו וכסבור שתלמידיו מחודדין כמותו כשחזר ושנאה לפני ר' חייא שנה לו סתם וסבור שיבין רב שאין אסור אלא מניקה ולא הבין, רש"י.</w:t>
      </w:r>
    </w:p>
  </w:footnote>
  <w:footnote w:id="1236">
    <w:p w14:paraId="042F598A"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שכול</w:t>
      </w:r>
      <w:r>
        <w:rPr>
          <w:rFonts w:asciiTheme="minorBidi" w:hAnsiTheme="minorBidi" w:hint="cs"/>
          <w:rtl/>
        </w:rPr>
        <w:t>,</w:t>
      </w:r>
      <w:r w:rsidRPr="00C233C9">
        <w:rPr>
          <w:rFonts w:asciiTheme="minorBidi" w:hAnsiTheme="minorBidi"/>
          <w:rtl/>
        </w:rPr>
        <w:t xml:space="preserve"> קובר את בניו, רש"י.</w:t>
      </w:r>
    </w:p>
  </w:footnote>
  <w:footnote w:id="1237">
    <w:p w14:paraId="278AC705"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זהיר במעשים טובים, רש"י.</w:t>
      </w:r>
    </w:p>
  </w:footnote>
  <w:footnote w:id="1238">
    <w:p w14:paraId="1201D406" w14:textId="77777777" w:rsidR="004C5A3C" w:rsidRDefault="004C5A3C" w:rsidP="002C39F4">
      <w:pPr>
        <w:pStyle w:val="a5"/>
      </w:pPr>
      <w:r>
        <w:rPr>
          <w:rStyle w:val="a7"/>
        </w:rPr>
        <w:footnoteRef/>
      </w:r>
      <w:r>
        <w:rPr>
          <w:rtl/>
        </w:rPr>
        <w:t xml:space="preserve"> </w:t>
      </w:r>
      <w:r w:rsidRPr="00CE3A76">
        <w:rPr>
          <w:rFonts w:cs="Arial"/>
          <w:rtl/>
        </w:rPr>
        <w:t>לגמרי אפילו צלי ואפילו קרעו</w:t>
      </w:r>
      <w:r>
        <w:rPr>
          <w:rFonts w:cs="Arial" w:hint="cs"/>
          <w:rtl/>
        </w:rPr>
        <w:t>, רש"י.</w:t>
      </w:r>
    </w:p>
  </w:footnote>
  <w:footnote w:id="1239">
    <w:p w14:paraId="6B2FAF69"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 הב"י דלפ"ז רבותא הוא לומר דאפילו של מניקה שרי ע"י קריעה וטיחה, ורבינו שכתב הכחל בין שהוא של מניקה בין אינו של מניקה אסור מדרבנן לבשלן וכו', דמשמע דרבותא הוא לומר דאינו של מניקה נמי אסור לבשלו בלא קריעה- אינו מדוקדק, דהא לכולהו לישני אסור, ולא איפליגו אלא אי מהניא קריעה בשל מניקה או לא, וכך היה ראוי לכתוב- 'הכחל אסור מדרבנן לבשלו אפילו בקדרה לבדו בלא בשר וכ"ש עם הבשר אלא קורעו שתי וערב וכו'... צלאו בלא קריעה מותר, ובכל אלו הדברים אין חילוק בין מניקה לאינו של מניקה', ומיהו מצאתי להרשב"א </w:t>
      </w:r>
      <w:r w:rsidRPr="00E5392E">
        <w:rPr>
          <w:rFonts w:asciiTheme="minorBidi" w:hAnsiTheme="minorBidi"/>
          <w:sz w:val="16"/>
          <w:szCs w:val="16"/>
          <w:rtl/>
        </w:rPr>
        <w:t>(תוה"</w:t>
      </w:r>
      <w:r w:rsidRPr="00E5392E">
        <w:rPr>
          <w:rFonts w:asciiTheme="minorBidi" w:hAnsiTheme="minorBidi" w:hint="cs"/>
          <w:sz w:val="16"/>
          <w:szCs w:val="16"/>
          <w:rtl/>
        </w:rPr>
        <w:t>ק</w:t>
      </w:r>
      <w:r w:rsidRPr="00E5392E">
        <w:rPr>
          <w:rFonts w:asciiTheme="minorBidi" w:hAnsiTheme="minorBidi"/>
          <w:sz w:val="16"/>
          <w:szCs w:val="16"/>
          <w:rtl/>
        </w:rPr>
        <w:t xml:space="preserve"> ב"ג ש"ד פז.) </w:t>
      </w:r>
      <w:r w:rsidRPr="00C233C9">
        <w:rPr>
          <w:rFonts w:asciiTheme="minorBidi" w:hAnsiTheme="minorBidi"/>
          <w:rtl/>
        </w:rPr>
        <w:t xml:space="preserve">כלשון רבינו ממש וגם הרמב"ם </w:t>
      </w:r>
      <w:r w:rsidRPr="00E5392E">
        <w:rPr>
          <w:rFonts w:asciiTheme="minorBidi" w:hAnsiTheme="minorBidi"/>
          <w:sz w:val="16"/>
          <w:szCs w:val="16"/>
          <w:rtl/>
        </w:rPr>
        <w:t xml:space="preserve">(פ"ט הי"ב) </w:t>
      </w:r>
      <w:r w:rsidRPr="00C233C9">
        <w:rPr>
          <w:rFonts w:asciiTheme="minorBidi" w:hAnsiTheme="minorBidi"/>
          <w:rtl/>
        </w:rPr>
        <w:t>כתב כלשון הזה 'כחל שלא קרעו בין של קטנה שלא הניקה בין של גדולה אסור לבשלו', ואפשר שטעמו מפני שהיה מפרש דהא דאמר איכא תנא דאתנייה לרב כחל היינו כדפירש רש"י דמשום דהוה שמיע ליה לישנא בתרא דרב דאמר לא קרעו אינו עובר עליו ואסור ואמר ליה רב יצחק דבקעה מצא וגדר בה ולא מדינא ואידך אמר דבשל מניקה דוקא הוא דאמר הכי ואנן קי</w:t>
      </w:r>
      <w:r>
        <w:rPr>
          <w:rFonts w:asciiTheme="minorBidi" w:hAnsiTheme="minorBidi" w:hint="cs"/>
          <w:rtl/>
        </w:rPr>
        <w:t>י"</w:t>
      </w:r>
      <w:r w:rsidRPr="00C233C9">
        <w:rPr>
          <w:rFonts w:asciiTheme="minorBidi" w:hAnsiTheme="minorBidi"/>
          <w:rtl/>
        </w:rPr>
        <w:t>ל כל</w:t>
      </w:r>
      <w:r>
        <w:rPr>
          <w:rFonts w:asciiTheme="minorBidi" w:hAnsiTheme="minorBidi" w:hint="cs"/>
          <w:rtl/>
        </w:rPr>
        <w:t>"'</w:t>
      </w:r>
      <w:r w:rsidRPr="00C233C9">
        <w:rPr>
          <w:rFonts w:asciiTheme="minorBidi" w:hAnsiTheme="minorBidi"/>
          <w:rtl/>
        </w:rPr>
        <w:t xml:space="preserve"> דבקעה מצא וכו' דלא מפלגי בין מניקה לאינה של מניקה וכפשטא דמתני' ולישני דרב עלה דלא מפלגי בינייהו ובלישני דרב קיי"ל כל</w:t>
      </w:r>
      <w:r>
        <w:rPr>
          <w:rFonts w:asciiTheme="minorBidi" w:hAnsiTheme="minorBidi" w:hint="cs"/>
          <w:rtl/>
        </w:rPr>
        <w:t>"ק</w:t>
      </w:r>
      <w:r w:rsidRPr="00C233C9">
        <w:rPr>
          <w:rFonts w:asciiTheme="minorBidi" w:hAnsiTheme="minorBidi"/>
          <w:rtl/>
        </w:rPr>
        <w:t xml:space="preserve"> דאינו עובר עליו ומותר דתניא כוותיה.</w:t>
      </w:r>
    </w:p>
  </w:footnote>
  <w:footnote w:id="1240">
    <w:p w14:paraId="1F69490E" w14:textId="77777777" w:rsidR="004C5A3C" w:rsidRDefault="004C5A3C" w:rsidP="002C39F4">
      <w:pPr>
        <w:pStyle w:val="a5"/>
      </w:pPr>
      <w:r>
        <w:rPr>
          <w:rStyle w:val="a7"/>
        </w:rPr>
        <w:footnoteRef/>
      </w:r>
      <w:r>
        <w:rPr>
          <w:rtl/>
        </w:rPr>
        <w:t xml:space="preserve"> </w:t>
      </w:r>
      <w:r w:rsidRPr="006D327B">
        <w:rPr>
          <w:rFonts w:cs="Arial"/>
          <w:rtl/>
        </w:rPr>
        <w:t>עד סוף הסעיף הוא לשון הרמב"ם פ"ט מהמ"א</w:t>
      </w:r>
      <w:r>
        <w:rPr>
          <w:rFonts w:cs="Arial" w:hint="cs"/>
          <w:rtl/>
        </w:rPr>
        <w:t>,</w:t>
      </w:r>
      <w:r w:rsidRPr="006D327B">
        <w:rPr>
          <w:rFonts w:cs="Arial"/>
          <w:rtl/>
        </w:rPr>
        <w:t xml:space="preserve"> והרב בהג"ה סעיף ב' חולק בהרבה דינים ולא כתב בלשון י"א אלא סידר סברתו הכל ביחד כדי לקצר</w:t>
      </w:r>
      <w:r>
        <w:rPr>
          <w:rFonts w:hint="cs"/>
          <w:rtl/>
        </w:rPr>
        <w:t>, ש"ך (סק"א).</w:t>
      </w:r>
    </w:p>
  </w:footnote>
  <w:footnote w:id="1241">
    <w:p w14:paraId="252465F2" w14:textId="77777777" w:rsidR="004C5A3C" w:rsidRDefault="004C5A3C" w:rsidP="002C39F4">
      <w:pPr>
        <w:pStyle w:val="a5"/>
      </w:pPr>
      <w:r>
        <w:rPr>
          <w:rStyle w:val="a7"/>
        </w:rPr>
        <w:footnoteRef/>
      </w:r>
      <w:r>
        <w:rPr>
          <w:rtl/>
        </w:rPr>
        <w:t xml:space="preserve"> </w:t>
      </w:r>
      <w:r>
        <w:rPr>
          <w:rFonts w:hint="cs"/>
          <w:rtl/>
        </w:rPr>
        <w:t xml:space="preserve">ואם תאמר למה לי למרקו שהרי </w:t>
      </w:r>
      <w:r w:rsidRPr="00C233C9">
        <w:rPr>
          <w:rFonts w:asciiTheme="minorBidi" w:hAnsiTheme="minorBidi"/>
          <w:rtl/>
        </w:rPr>
        <w:t xml:space="preserve">צלי הוא </w:t>
      </w:r>
      <w:r>
        <w:rPr>
          <w:rFonts w:asciiTheme="minorBidi" w:hAnsiTheme="minorBidi" w:hint="cs"/>
          <w:rtl/>
        </w:rPr>
        <w:t>ו</w:t>
      </w:r>
      <w:r w:rsidRPr="00C233C9">
        <w:rPr>
          <w:rFonts w:asciiTheme="minorBidi" w:hAnsiTheme="minorBidi"/>
          <w:rtl/>
        </w:rPr>
        <w:t>נורא מישב שייב ליה (חולין צג:)</w:t>
      </w:r>
      <w:r>
        <w:rPr>
          <w:rFonts w:asciiTheme="minorBidi" w:hAnsiTheme="minorBidi" w:hint="cs"/>
          <w:rtl/>
        </w:rPr>
        <w:t>,</w:t>
      </w:r>
      <w:r>
        <w:rPr>
          <w:rFonts w:asciiTheme="minorBidi" w:hAnsiTheme="minorBidi"/>
          <w:rtl/>
        </w:rPr>
        <w:t xml:space="preserve"> </w:t>
      </w:r>
      <w:r>
        <w:rPr>
          <w:rFonts w:asciiTheme="minorBidi" w:hAnsiTheme="minorBidi" w:hint="cs"/>
          <w:rtl/>
        </w:rPr>
        <w:t>י"ל ד</w:t>
      </w:r>
      <w:r w:rsidRPr="00C233C9">
        <w:rPr>
          <w:rFonts w:asciiTheme="minorBidi" w:hAnsiTheme="minorBidi"/>
          <w:rtl/>
        </w:rPr>
        <w:t>שמא לא אמרינן הכי אלא כשהוא דבר מועט אבל כשהוא מרובה ועומד בעין מיחזי כמתבשל בו</w:t>
      </w:r>
      <w:r>
        <w:rPr>
          <w:rFonts w:asciiTheme="minorBidi" w:hAnsiTheme="minorBidi" w:hint="cs"/>
          <w:rtl/>
        </w:rPr>
        <w:t>, ע"פ ב"י</w:t>
      </w:r>
      <w:r w:rsidRPr="00C233C9">
        <w:rPr>
          <w:rFonts w:asciiTheme="minorBidi" w:hAnsiTheme="minorBidi"/>
          <w:rtl/>
        </w:rPr>
        <w:t xml:space="preserve">. </w:t>
      </w:r>
      <w:r>
        <w:rPr>
          <w:rFonts w:hint="cs"/>
          <w:rtl/>
        </w:rPr>
        <w:t xml:space="preserve"> </w:t>
      </w:r>
    </w:p>
  </w:footnote>
  <w:footnote w:id="1242">
    <w:p w14:paraId="0067AFD0" w14:textId="77777777" w:rsidR="004C5A3C" w:rsidRDefault="004C5A3C" w:rsidP="002C39F4">
      <w:pPr>
        <w:pStyle w:val="a5"/>
      </w:pPr>
      <w:r>
        <w:rPr>
          <w:rStyle w:val="a7"/>
        </w:rPr>
        <w:footnoteRef/>
      </w:r>
      <w:r>
        <w:rPr>
          <w:rtl/>
        </w:rPr>
        <w:t xml:space="preserve"> </w:t>
      </w:r>
      <w:r w:rsidRPr="006D327B">
        <w:rPr>
          <w:rFonts w:cs="Arial"/>
          <w:rtl/>
        </w:rPr>
        <w:t>וכן בכל דיני כחל אין חילוק בין של גדולה או של קטנה שלא הניקה וכ"כ הפוסקים</w:t>
      </w:r>
      <w:r>
        <w:rPr>
          <w:rFonts w:cs="Arial" w:hint="cs"/>
          <w:rtl/>
        </w:rPr>
        <w:t>, ש"ך (סק"ב).</w:t>
      </w:r>
    </w:p>
  </w:footnote>
  <w:footnote w:id="1243">
    <w:p w14:paraId="24D06933" w14:textId="77777777" w:rsidR="004C5A3C" w:rsidRDefault="004C5A3C" w:rsidP="002C39F4">
      <w:pPr>
        <w:pStyle w:val="a5"/>
        <w:rPr>
          <w:rtl/>
        </w:rPr>
      </w:pPr>
      <w:r>
        <w:rPr>
          <w:rStyle w:val="a7"/>
        </w:rPr>
        <w:footnoteRef/>
      </w:r>
      <w:r>
        <w:rPr>
          <w:rtl/>
        </w:rPr>
        <w:t xml:space="preserve"> </w:t>
      </w:r>
      <w:r w:rsidRPr="006D327B">
        <w:rPr>
          <w:rFonts w:cs="Arial"/>
          <w:rtl/>
        </w:rPr>
        <w:t>פי' בלא בשר אבל פשיטא דבמים וירקות ושאר דברים חשיב כבישול בפני עצמו</w:t>
      </w:r>
      <w:r>
        <w:rPr>
          <w:rFonts w:cs="Arial" w:hint="cs"/>
          <w:rtl/>
        </w:rPr>
        <w:t xml:space="preserve">, ש"ך (סק"ג). </w:t>
      </w:r>
    </w:p>
  </w:footnote>
  <w:footnote w:id="1244">
    <w:p w14:paraId="6A608A90" w14:textId="77777777" w:rsidR="004C5A3C" w:rsidRDefault="004C5A3C" w:rsidP="002C39F4">
      <w:pPr>
        <w:pStyle w:val="a5"/>
        <w:rPr>
          <w:rtl/>
        </w:rPr>
      </w:pPr>
      <w:r>
        <w:rPr>
          <w:rStyle w:val="a7"/>
        </w:rPr>
        <w:footnoteRef/>
      </w:r>
      <w:r>
        <w:rPr>
          <w:rtl/>
        </w:rPr>
        <w:t xml:space="preserve"> </w:t>
      </w:r>
      <w:r w:rsidRPr="006D327B">
        <w:rPr>
          <w:rFonts w:cs="Arial"/>
          <w:rtl/>
        </w:rPr>
        <w:t>בגמרא מפרש הטעם לפי שאין החלב כנוס במיעיו ופירש"י שלא יצא מדדי הבהמה בחייה ולא נאסף אלא מובלע בבשר הוא ולא בא לכלל חלב ומיהו לכתחלה בעי קריעה מדרבנן עכ"ל</w:t>
      </w:r>
      <w:r>
        <w:rPr>
          <w:rFonts w:hint="cs"/>
          <w:rtl/>
        </w:rPr>
        <w:t>, ט"ז (סק"א).</w:t>
      </w:r>
    </w:p>
  </w:footnote>
  <w:footnote w:id="1245">
    <w:p w14:paraId="14B0B804" w14:textId="77777777" w:rsidR="004C5A3C" w:rsidRDefault="004C5A3C" w:rsidP="002C39F4">
      <w:pPr>
        <w:pStyle w:val="a5"/>
      </w:pPr>
      <w:r>
        <w:rPr>
          <w:rStyle w:val="a7"/>
        </w:rPr>
        <w:footnoteRef/>
      </w:r>
      <w:r>
        <w:rPr>
          <w:rtl/>
        </w:rPr>
        <w:t xml:space="preserve"> </w:t>
      </w:r>
      <w:r w:rsidRPr="006D327B">
        <w:rPr>
          <w:rFonts w:cs="Arial"/>
          <w:rtl/>
        </w:rPr>
        <w:t>ואיתא בש"ס ומוסכם מכל הפוסקים דבעינן ס' נגד כל הכחל ולא משערינן במאי דנפק מיניה דלא ידעינן כמה נפק והמחבר לא כתבו מפני שהוא פשוט מעצמו וכבר כתב כיוצא בזה בסי' ס"ט סי"א גבי בשר שנתבשל בלא מליחה שצריך ס' נגד אותו בשר ולא סגי נגד דם שבתוכו וכן בכמה דוכתי א"נ הוא בכלל מ"ש שמשערין אותו בס' שמשמע שמשערין הכחל עצמו בס'</w:t>
      </w:r>
      <w:r>
        <w:rPr>
          <w:rFonts w:cs="Arial" w:hint="cs"/>
          <w:rtl/>
        </w:rPr>
        <w:t>, ש"ך (סק"ד).</w:t>
      </w:r>
    </w:p>
  </w:footnote>
  <w:footnote w:id="1246">
    <w:p w14:paraId="5A90350A" w14:textId="77777777" w:rsidR="004C5A3C" w:rsidRDefault="004C5A3C" w:rsidP="002C39F4">
      <w:pPr>
        <w:pStyle w:val="a5"/>
      </w:pPr>
      <w:r>
        <w:rPr>
          <w:rStyle w:val="a7"/>
        </w:rPr>
        <w:footnoteRef/>
      </w:r>
      <w:r>
        <w:rPr>
          <w:rtl/>
        </w:rPr>
        <w:t xml:space="preserve"> </w:t>
      </w:r>
      <w:r>
        <w:rPr>
          <w:rFonts w:cs="Arial"/>
          <w:rtl/>
        </w:rPr>
        <w:t>פי</w:t>
      </w:r>
      <w:r>
        <w:rPr>
          <w:rFonts w:cs="Arial" w:hint="cs"/>
          <w:rtl/>
        </w:rPr>
        <w:t>רוש</w:t>
      </w:r>
      <w:r w:rsidRPr="00BB0F67">
        <w:rPr>
          <w:rFonts w:cs="Arial"/>
          <w:rtl/>
        </w:rPr>
        <w:t xml:space="preserve"> בין שהיה שם ס' עם הכחל בין פחות מס'</w:t>
      </w:r>
      <w:r>
        <w:rPr>
          <w:rFonts w:cs="Arial" w:hint="cs"/>
          <w:rtl/>
        </w:rPr>
        <w:t>-</w:t>
      </w:r>
      <w:r w:rsidRPr="00BB0F67">
        <w:rPr>
          <w:rFonts w:cs="Arial"/>
          <w:rtl/>
        </w:rPr>
        <w:t xml:space="preserve"> אסורה הכחל מ"מ</w:t>
      </w:r>
      <w:r>
        <w:rPr>
          <w:rFonts w:cs="Arial" w:hint="cs"/>
          <w:rtl/>
        </w:rPr>
        <w:t>,</w:t>
      </w:r>
      <w:r>
        <w:rPr>
          <w:rFonts w:cs="Arial"/>
          <w:rtl/>
        </w:rPr>
        <w:t xml:space="preserve"> וכתב בת</w:t>
      </w:r>
      <w:r>
        <w:rPr>
          <w:rFonts w:cs="Arial" w:hint="cs"/>
          <w:rtl/>
        </w:rPr>
        <w:t>ו</w:t>
      </w:r>
      <w:r w:rsidRPr="00BB0F67">
        <w:rPr>
          <w:rFonts w:cs="Arial"/>
          <w:rtl/>
        </w:rPr>
        <w:t>ה</w:t>
      </w:r>
      <w:r>
        <w:rPr>
          <w:rFonts w:cs="Arial" w:hint="cs"/>
          <w:rtl/>
        </w:rPr>
        <w:t>"ב</w:t>
      </w:r>
      <w:r w:rsidRPr="00BB0F67">
        <w:rPr>
          <w:rFonts w:cs="Arial"/>
          <w:rtl/>
        </w:rPr>
        <w:t xml:space="preserve"> הארוך הטעם שאסורה כשהיה ס' לפי שאנו חוששין שמא לא פלט כל חלבו בקדירה ראשונה ועדיין נשאר קצת חלבו בתוך הכחל לפיכך חוזר ואוסר כבתחילה</w:t>
      </w:r>
      <w:r>
        <w:rPr>
          <w:rFonts w:cs="Arial" w:hint="cs"/>
          <w:rtl/>
        </w:rPr>
        <w:t>,</w:t>
      </w:r>
      <w:r>
        <w:rPr>
          <w:rFonts w:cs="Arial"/>
          <w:rtl/>
        </w:rPr>
        <w:t xml:space="preserve"> וק</w:t>
      </w:r>
      <w:r>
        <w:rPr>
          <w:rFonts w:cs="Arial" w:hint="cs"/>
          <w:rtl/>
        </w:rPr>
        <w:t xml:space="preserve">שה </w:t>
      </w:r>
      <w:r w:rsidRPr="00BB0F67">
        <w:rPr>
          <w:rFonts w:cs="Arial"/>
          <w:rtl/>
        </w:rPr>
        <w:t>ל</w:t>
      </w:r>
      <w:r>
        <w:rPr>
          <w:rFonts w:cs="Arial" w:hint="cs"/>
          <w:rtl/>
        </w:rPr>
        <w:t>י</w:t>
      </w:r>
      <w:r w:rsidRPr="00BB0F67">
        <w:rPr>
          <w:rFonts w:cs="Arial"/>
          <w:rtl/>
        </w:rPr>
        <w:t xml:space="preserve"> א"כ למה הוצרך בגמרא לומר כיון דאמר ר' יצחק וכחל עצמו אסור כחתיכת נבילה שוויוה רבנן</w:t>
      </w:r>
      <w:r>
        <w:rPr>
          <w:rFonts w:cs="Arial" w:hint="cs"/>
          <w:rtl/>
        </w:rPr>
        <w:t>-</w:t>
      </w:r>
      <w:r w:rsidRPr="00BB0F67">
        <w:rPr>
          <w:rFonts w:cs="Arial"/>
          <w:rtl/>
        </w:rPr>
        <w:t xml:space="preserve"> הא יש טעם לאיסור בשנייה כמו בראשונה</w:t>
      </w:r>
      <w:r>
        <w:rPr>
          <w:rFonts w:cs="Arial" w:hint="cs"/>
          <w:rtl/>
        </w:rPr>
        <w:t>,</w:t>
      </w:r>
      <w:r w:rsidRPr="00BB0F67">
        <w:rPr>
          <w:rFonts w:cs="Arial"/>
          <w:rtl/>
        </w:rPr>
        <w:t xml:space="preserve"> ולפי דברי הר"ן שכתב שאין כאן איסור בכחל אחר שנתבטל ואסור משום מראית עין</w:t>
      </w:r>
      <w:r>
        <w:rPr>
          <w:rFonts w:cs="Arial" w:hint="cs"/>
          <w:rtl/>
        </w:rPr>
        <w:t>-</w:t>
      </w:r>
      <w:r w:rsidRPr="00BB0F67">
        <w:rPr>
          <w:rFonts w:cs="Arial"/>
          <w:rtl/>
        </w:rPr>
        <w:t xml:space="preserve"> אתי שפיר</w:t>
      </w:r>
      <w:r>
        <w:rPr>
          <w:rFonts w:cs="Arial" w:hint="cs"/>
          <w:rtl/>
        </w:rPr>
        <w:t>,</w:t>
      </w:r>
      <w:r w:rsidRPr="00BB0F67">
        <w:rPr>
          <w:rFonts w:cs="Arial"/>
          <w:rtl/>
        </w:rPr>
        <w:t xml:space="preserve"> וכן הוא בתו</w:t>
      </w:r>
      <w:r>
        <w:rPr>
          <w:rFonts w:cs="Arial" w:hint="cs"/>
          <w:rtl/>
        </w:rPr>
        <w:t>ס</w:t>
      </w:r>
      <w:r w:rsidRPr="00BB0F67">
        <w:rPr>
          <w:rFonts w:cs="Arial"/>
          <w:rtl/>
        </w:rPr>
        <w:t>' שגזרו אחר שנצטמק ונתבטל משום קודם שנצטמק ואיסורו בתוכו</w:t>
      </w:r>
      <w:r>
        <w:rPr>
          <w:rFonts w:cs="Arial" w:hint="cs"/>
          <w:rtl/>
        </w:rPr>
        <w:t>,</w:t>
      </w:r>
      <w:r w:rsidRPr="00BB0F67">
        <w:rPr>
          <w:rFonts w:cs="Arial"/>
          <w:rtl/>
        </w:rPr>
        <w:t xml:space="preserve"> וצ"ל לדעת הרשב"א דזהו באמת עיקר התירוץ בגמ' דשוויוה כנבילה בשביל זה דשמא לא נפלט לגמרי החמירו בו רבנן</w:t>
      </w:r>
      <w:r>
        <w:rPr>
          <w:rFonts w:cs="Arial" w:hint="cs"/>
          <w:rtl/>
        </w:rPr>
        <w:t>, ט"ז (סק"ג).</w:t>
      </w:r>
    </w:p>
  </w:footnote>
  <w:footnote w:id="1247">
    <w:p w14:paraId="694F9453" w14:textId="77777777" w:rsidR="004C5A3C" w:rsidRDefault="004C5A3C" w:rsidP="002C39F4">
      <w:pPr>
        <w:pStyle w:val="a5"/>
      </w:pPr>
      <w:r>
        <w:rPr>
          <w:rStyle w:val="a7"/>
        </w:rPr>
        <w:footnoteRef/>
      </w:r>
      <w:r>
        <w:rPr>
          <w:rtl/>
        </w:rPr>
        <w:t xml:space="preserve"> </w:t>
      </w:r>
      <w:r w:rsidRPr="00E4437E">
        <w:rPr>
          <w:rFonts w:cs="Arial"/>
          <w:rtl/>
        </w:rPr>
        <w:t>כלומר לקדרה של בשר שאין בה ס' אפילו עם הכחל</w:t>
      </w:r>
      <w:r>
        <w:rPr>
          <w:rFonts w:cs="Arial" w:hint="cs"/>
          <w:rtl/>
        </w:rPr>
        <w:t>,</w:t>
      </w:r>
      <w:r w:rsidRPr="00E4437E">
        <w:rPr>
          <w:rFonts w:cs="Arial"/>
          <w:rtl/>
        </w:rPr>
        <w:t xml:space="preserve"> דהיינו שנפל לפחות מחמשים ותשעה שאז החלב היוצא ממנה לא נתבטל א"כ נאסר הכחל מדינא</w:t>
      </w:r>
      <w:r>
        <w:rPr>
          <w:rFonts w:cs="Arial" w:hint="cs"/>
          <w:rtl/>
        </w:rPr>
        <w:t>,</w:t>
      </w:r>
      <w:r w:rsidRPr="00E4437E">
        <w:rPr>
          <w:rFonts w:cs="Arial"/>
          <w:rtl/>
        </w:rPr>
        <w:t xml:space="preserve"> אבל כשנפל בס' שאז החלב היוצא ממנה נתבטל ולא נאסר הכחל אלא מפני מראית העין אף בקדרה שנית מצטרף הכחל לס' דלא גרע מפני שנאסר דהא בקדירה</w:t>
      </w:r>
      <w:r>
        <w:rPr>
          <w:rFonts w:cs="Arial"/>
          <w:rtl/>
        </w:rPr>
        <w:t xml:space="preserve"> הראשונה מצטרף הכחל לס' א</w:t>
      </w:r>
      <w:r>
        <w:rPr>
          <w:rFonts w:cs="Arial" w:hint="cs"/>
          <w:rtl/>
        </w:rPr>
        <w:t>ע"פ</w:t>
      </w:r>
      <w:r w:rsidRPr="00E4437E">
        <w:rPr>
          <w:rFonts w:cs="Arial"/>
          <w:rtl/>
        </w:rPr>
        <w:t xml:space="preserve"> שהוא עצמו אסור</w:t>
      </w:r>
      <w:r>
        <w:rPr>
          <w:rFonts w:cs="Arial" w:hint="cs"/>
          <w:rtl/>
        </w:rPr>
        <w:t>,</w:t>
      </w:r>
      <w:r w:rsidRPr="00E4437E">
        <w:rPr>
          <w:rFonts w:cs="Arial"/>
          <w:rtl/>
        </w:rPr>
        <w:t xml:space="preserve"> וטעמא הסכימו הפוסקים מפני שאין איסור של הכחל מפני שיש טעם חלב יותר משאר בשר אלא מפני שיש בו גומות בכחל שהחלב כנוס בתוכן ויש באותו חלב טעם מן הבשר שנתבשל עמה ואותו חלב שבגומות א"א להפרישו מן הבשר דלא מהני קריע</w:t>
      </w:r>
      <w:r>
        <w:rPr>
          <w:rFonts w:cs="Arial"/>
          <w:rtl/>
        </w:rPr>
        <w:t>ה לאחר בישול ואע</w:t>
      </w:r>
      <w:r>
        <w:rPr>
          <w:rFonts w:cs="Arial" w:hint="cs"/>
          <w:rtl/>
        </w:rPr>
        <w:t>"</w:t>
      </w:r>
      <w:r>
        <w:rPr>
          <w:rFonts w:cs="Arial"/>
          <w:rtl/>
        </w:rPr>
        <w:t>ג</w:t>
      </w:r>
      <w:r w:rsidRPr="00E4437E">
        <w:rPr>
          <w:rFonts w:cs="Arial"/>
          <w:rtl/>
        </w:rPr>
        <w:t xml:space="preserve"> דבגמר בישולו יוצא כל חלב מ"מ קודם גמר בישולו נאסר בשביל חלב שבגומות ותו לא משתרי משום דחיישינן שמא יאכלנו קודם גמר בישולו</w:t>
      </w:r>
      <w:r>
        <w:rPr>
          <w:rFonts w:cs="Arial" w:hint="cs"/>
          <w:rtl/>
        </w:rPr>
        <w:t>,</w:t>
      </w:r>
      <w:r w:rsidRPr="00E4437E">
        <w:rPr>
          <w:rFonts w:cs="Arial"/>
          <w:rtl/>
        </w:rPr>
        <w:t xml:space="preserve"> א"נ משום מראית העין</w:t>
      </w:r>
      <w:r>
        <w:rPr>
          <w:rFonts w:cs="Arial" w:hint="cs"/>
          <w:rtl/>
        </w:rPr>
        <w:t>,</w:t>
      </w:r>
      <w:r>
        <w:rPr>
          <w:rFonts w:cs="Arial"/>
          <w:rtl/>
        </w:rPr>
        <w:t xml:space="preserve"> והה</w:t>
      </w:r>
      <w:r>
        <w:rPr>
          <w:rFonts w:cs="Arial" w:hint="cs"/>
          <w:rtl/>
        </w:rPr>
        <w:t>"</w:t>
      </w:r>
      <w:r>
        <w:rPr>
          <w:rFonts w:cs="Arial"/>
          <w:rtl/>
        </w:rPr>
        <w:t>מ כ</w:t>
      </w:r>
      <w:r>
        <w:rPr>
          <w:rFonts w:cs="Arial" w:hint="cs"/>
          <w:rtl/>
        </w:rPr>
        <w:t>'</w:t>
      </w:r>
      <w:r w:rsidRPr="00E4437E">
        <w:rPr>
          <w:rFonts w:cs="Arial"/>
          <w:rtl/>
        </w:rPr>
        <w:t xml:space="preserve"> שהטעם שהכחל מן המנין מפני שהוא מותר בפני עצמו</w:t>
      </w:r>
      <w:r>
        <w:rPr>
          <w:rFonts w:cs="Arial" w:hint="cs"/>
          <w:rtl/>
        </w:rPr>
        <w:t>,</w:t>
      </w:r>
      <w:r w:rsidRPr="00E4437E">
        <w:rPr>
          <w:rFonts w:cs="Arial"/>
          <w:rtl/>
        </w:rPr>
        <w:t xml:space="preserve"> וגם הראב"ד בהשגות כתב טעם זה ומביאו בת"ח כלל כ"ט ד"ב ונראה שגם זה הוא מכוון למ"ש הפוסקים והכל הולך למקום אחד</w:t>
      </w:r>
      <w:r>
        <w:rPr>
          <w:rFonts w:cs="Arial" w:hint="cs"/>
          <w:rtl/>
        </w:rPr>
        <w:t>,</w:t>
      </w:r>
      <w:r w:rsidRPr="00E4437E">
        <w:rPr>
          <w:rFonts w:cs="Arial"/>
          <w:rtl/>
        </w:rPr>
        <w:t xml:space="preserve"> ודוק</w:t>
      </w:r>
      <w:r>
        <w:rPr>
          <w:rFonts w:cs="Arial" w:hint="cs"/>
          <w:rtl/>
        </w:rPr>
        <w:t>,</w:t>
      </w:r>
      <w:r w:rsidRPr="00E4437E">
        <w:rPr>
          <w:rFonts w:cs="Arial"/>
          <w:rtl/>
        </w:rPr>
        <w:t xml:space="preserve"> ועמ"ש הב"ח דכחל הוי בריה כמו גיד הנשה</w:t>
      </w:r>
      <w:r>
        <w:rPr>
          <w:rFonts w:cs="Arial" w:hint="cs"/>
          <w:rtl/>
        </w:rPr>
        <w:t>,</w:t>
      </w:r>
      <w:r w:rsidRPr="00E4437E">
        <w:rPr>
          <w:rFonts w:cs="Arial"/>
          <w:rtl/>
        </w:rPr>
        <w:t xml:space="preserve"> והוא תמוה כדאיתא בש"ס ופוסקים לקמן סימן ק' דלא הוי בריה אלא מה שנאסר מתחלת ברייתו</w:t>
      </w:r>
      <w:r>
        <w:rPr>
          <w:rFonts w:cs="Arial" w:hint="cs"/>
          <w:rtl/>
        </w:rPr>
        <w:t>,</w:t>
      </w:r>
      <w:r w:rsidRPr="00E4437E">
        <w:rPr>
          <w:rFonts w:cs="Arial"/>
          <w:rtl/>
        </w:rPr>
        <w:t xml:space="preserve"> וכן מבואר ברמב"ם פט"ו מהמ"א דין י"ז דגיד הנשה הוי בריה וכחל לא הוי בריה ע"ש</w:t>
      </w:r>
      <w:r>
        <w:rPr>
          <w:rFonts w:cs="Arial" w:hint="cs"/>
          <w:rtl/>
        </w:rPr>
        <w:t>, ש"ך (סק"ה).</w:t>
      </w:r>
    </w:p>
  </w:footnote>
  <w:footnote w:id="1248">
    <w:p w14:paraId="2CFA303C" w14:textId="77777777" w:rsidR="004C5A3C" w:rsidRDefault="004C5A3C" w:rsidP="002C39F4">
      <w:pPr>
        <w:pStyle w:val="a5"/>
        <w:rPr>
          <w:rtl/>
        </w:rPr>
      </w:pPr>
      <w:r>
        <w:rPr>
          <w:rStyle w:val="a7"/>
        </w:rPr>
        <w:footnoteRef/>
      </w:r>
      <w:r>
        <w:rPr>
          <w:rtl/>
        </w:rPr>
        <w:t xml:space="preserve"> </w:t>
      </w:r>
      <w:r w:rsidRPr="00790A14">
        <w:rPr>
          <w:rFonts w:cs="Arial"/>
          <w:rtl/>
        </w:rPr>
        <w:t>והרשב"א נסתפק בחידושיו (קט: ד"ה והכחל שנצלה) אם מותר לבשל כ</w:t>
      </w:r>
      <w:r>
        <w:rPr>
          <w:rFonts w:cs="Arial"/>
          <w:rtl/>
        </w:rPr>
        <w:t>חל בקדרה שנתבשל בה בשר או בהיפך</w:t>
      </w:r>
      <w:r>
        <w:rPr>
          <w:rFonts w:cs="Arial" w:hint="cs"/>
          <w:rtl/>
        </w:rPr>
        <w:t xml:space="preserve">, </w:t>
      </w:r>
      <w:r w:rsidRPr="00790A14">
        <w:rPr>
          <w:rFonts w:cs="Arial"/>
          <w:rtl/>
        </w:rPr>
        <w:t>ומשמע מדבריו שאפילו כשלא נקרע כהלכתו מיירי</w:t>
      </w:r>
      <w:r>
        <w:rPr>
          <w:rFonts w:cs="Arial" w:hint="cs"/>
          <w:rtl/>
        </w:rPr>
        <w:t>,</w:t>
      </w:r>
      <w:r>
        <w:rPr>
          <w:rFonts w:cs="Arial"/>
          <w:rtl/>
        </w:rPr>
        <w:t xml:space="preserve"> אבל בתו</w:t>
      </w:r>
      <w:r>
        <w:rPr>
          <w:rFonts w:cs="Arial" w:hint="cs"/>
          <w:rtl/>
        </w:rPr>
        <w:t>ה"ב</w:t>
      </w:r>
      <w:r w:rsidRPr="00790A14">
        <w:rPr>
          <w:rFonts w:cs="Arial"/>
          <w:rtl/>
        </w:rPr>
        <w:t xml:space="preserve"> לא הזכיר מזה כלל</w:t>
      </w:r>
      <w:r>
        <w:rPr>
          <w:rFonts w:cs="Arial" w:hint="cs"/>
          <w:rtl/>
        </w:rPr>
        <w:t>-</w:t>
      </w:r>
      <w:r w:rsidRPr="00790A14">
        <w:rPr>
          <w:rFonts w:cs="Arial"/>
          <w:rtl/>
        </w:rPr>
        <w:t xml:space="preserve"> משמע דנקיט ליה לאיסורא</w:t>
      </w:r>
      <w:r>
        <w:rPr>
          <w:rFonts w:cs="Arial" w:hint="cs"/>
          <w:rtl/>
        </w:rPr>
        <w:t>, ב"י</w:t>
      </w:r>
      <w:r w:rsidRPr="00790A14">
        <w:rPr>
          <w:rFonts w:cs="Arial"/>
          <w:rtl/>
        </w:rPr>
        <w:t>.</w:t>
      </w:r>
    </w:p>
  </w:footnote>
  <w:footnote w:id="1249">
    <w:p w14:paraId="15193FD9" w14:textId="77777777" w:rsidR="004C5A3C" w:rsidRDefault="004C5A3C" w:rsidP="002C39F4">
      <w:pPr>
        <w:pStyle w:val="a5"/>
      </w:pPr>
      <w:r>
        <w:rPr>
          <w:rStyle w:val="a7"/>
        </w:rPr>
        <w:footnoteRef/>
      </w:r>
      <w:r>
        <w:rPr>
          <w:rtl/>
        </w:rPr>
        <w:t xml:space="preserve"> </w:t>
      </w:r>
      <w:r w:rsidRPr="003024E5">
        <w:rPr>
          <w:rFonts w:asciiTheme="minorBidi" w:hAnsiTheme="minorBidi"/>
          <w:rtl/>
        </w:rPr>
        <w:t>וצ"ע מאי שנא מקדרה בלא בשר שהחמירו שלא לבשל בשר אחריו, ושמא מה שהחמירו בקדרה אין זה משום בשר דאח"כ אלא גזרה דילמא אתי לבשל בשר עם הכחל ביחד וזה לא שייך גבי סכין וצ"ע</w:t>
      </w:r>
      <w:r>
        <w:rPr>
          <w:rFonts w:asciiTheme="minorBidi" w:hAnsiTheme="minorBidi" w:hint="cs"/>
          <w:rtl/>
        </w:rPr>
        <w:t>, ר"פ.</w:t>
      </w:r>
    </w:p>
  </w:footnote>
  <w:footnote w:id="1250">
    <w:p w14:paraId="04B31757" w14:textId="77777777" w:rsidR="004C5A3C" w:rsidRDefault="004C5A3C" w:rsidP="002C39F4">
      <w:pPr>
        <w:pStyle w:val="a5"/>
      </w:pPr>
      <w:r>
        <w:rPr>
          <w:rStyle w:val="a7"/>
        </w:rPr>
        <w:footnoteRef/>
      </w:r>
      <w:r>
        <w:rPr>
          <w:rtl/>
        </w:rPr>
        <w:t xml:space="preserve"> </w:t>
      </w:r>
      <w:r>
        <w:rPr>
          <w:rFonts w:hint="cs"/>
          <w:rtl/>
        </w:rPr>
        <w:t xml:space="preserve">אך מדברי </w:t>
      </w:r>
      <w:r>
        <w:rPr>
          <w:rFonts w:cs="Arial"/>
          <w:rtl/>
        </w:rPr>
        <w:t>דברי הר"ן ור</w:t>
      </w:r>
      <w:r>
        <w:rPr>
          <w:rFonts w:cs="Arial" w:hint="cs"/>
          <w:rtl/>
        </w:rPr>
        <w:t>י"ו</w:t>
      </w:r>
      <w:r w:rsidRPr="00790A14">
        <w:rPr>
          <w:rFonts w:cs="Arial"/>
          <w:rtl/>
        </w:rPr>
        <w:t xml:space="preserve"> על מה שנוהגים שלא לבשלו עם בשר</w:t>
      </w:r>
      <w:r>
        <w:rPr>
          <w:rFonts w:cs="Arial"/>
          <w:rtl/>
        </w:rPr>
        <w:t xml:space="preserve"> משמע </w:t>
      </w:r>
      <w:r>
        <w:rPr>
          <w:rFonts w:cs="Arial" w:hint="cs"/>
          <w:rtl/>
        </w:rPr>
        <w:t>ד</w:t>
      </w:r>
      <w:r w:rsidRPr="00790A14">
        <w:rPr>
          <w:rFonts w:cs="Arial"/>
          <w:rtl/>
        </w:rPr>
        <w:t>בלא בשר לא היה שום אדם נוהג איסור בו</w:t>
      </w:r>
      <w:r>
        <w:rPr>
          <w:rFonts w:cs="Arial" w:hint="cs"/>
          <w:rtl/>
        </w:rPr>
        <w:t>, ע"פ ב"י.</w:t>
      </w:r>
    </w:p>
  </w:footnote>
  <w:footnote w:id="1251">
    <w:p w14:paraId="65931E39" w14:textId="77777777" w:rsidR="004C5A3C" w:rsidRDefault="004C5A3C" w:rsidP="002C39F4">
      <w:pPr>
        <w:pStyle w:val="a5"/>
        <w:rPr>
          <w:rtl/>
        </w:rPr>
      </w:pPr>
      <w:r>
        <w:rPr>
          <w:rStyle w:val="a7"/>
        </w:rPr>
        <w:footnoteRef/>
      </w:r>
      <w:r>
        <w:rPr>
          <w:rtl/>
        </w:rPr>
        <w:t xml:space="preserve"> </w:t>
      </w:r>
      <w:r>
        <w:rPr>
          <w:rFonts w:cs="Arial"/>
          <w:rtl/>
        </w:rPr>
        <w:t>וכ</w:t>
      </w:r>
      <w:r>
        <w:rPr>
          <w:rFonts w:cs="Arial" w:hint="cs"/>
          <w:rtl/>
        </w:rPr>
        <w:t xml:space="preserve">' </w:t>
      </w:r>
      <w:r>
        <w:rPr>
          <w:rFonts w:cs="Arial"/>
          <w:rtl/>
        </w:rPr>
        <w:t>מהרא"י</w:t>
      </w:r>
      <w:r w:rsidRPr="002143A3">
        <w:rPr>
          <w:rFonts w:cs="Arial" w:hint="cs"/>
          <w:sz w:val="16"/>
          <w:szCs w:val="16"/>
          <w:rtl/>
        </w:rPr>
        <w:t xml:space="preserve"> </w:t>
      </w:r>
      <w:r w:rsidRPr="002143A3">
        <w:rPr>
          <w:rFonts w:cs="Arial"/>
          <w:sz w:val="16"/>
          <w:szCs w:val="16"/>
          <w:rtl/>
        </w:rPr>
        <w:t>(</w:t>
      </w:r>
      <w:r w:rsidRPr="002143A3">
        <w:rPr>
          <w:rFonts w:cs="Arial" w:hint="cs"/>
          <w:sz w:val="16"/>
          <w:szCs w:val="16"/>
          <w:rtl/>
        </w:rPr>
        <w:t xml:space="preserve">בהגשע"ד </w:t>
      </w:r>
      <w:r w:rsidRPr="002143A3">
        <w:rPr>
          <w:rFonts w:cs="Arial"/>
          <w:sz w:val="16"/>
          <w:szCs w:val="16"/>
          <w:rtl/>
        </w:rPr>
        <w:t>סק</w:t>
      </w:r>
      <w:r w:rsidRPr="002143A3">
        <w:rPr>
          <w:rFonts w:cs="Arial" w:hint="cs"/>
          <w:sz w:val="16"/>
          <w:szCs w:val="16"/>
          <w:rtl/>
        </w:rPr>
        <w:t>"</w:t>
      </w:r>
      <w:r w:rsidRPr="002143A3">
        <w:rPr>
          <w:rFonts w:cs="Arial"/>
          <w:sz w:val="16"/>
          <w:szCs w:val="16"/>
          <w:rtl/>
        </w:rPr>
        <w:t>ז ד"ה שלא לבשל)</w:t>
      </w:r>
      <w:r>
        <w:rPr>
          <w:rFonts w:cs="Arial" w:hint="cs"/>
          <w:rtl/>
        </w:rPr>
        <w:t xml:space="preserve"> </w:t>
      </w:r>
      <w:r>
        <w:rPr>
          <w:rFonts w:cs="Arial"/>
          <w:rtl/>
        </w:rPr>
        <w:t>דכן נהיגין שלא לבשלו אפי</w:t>
      </w:r>
      <w:r>
        <w:rPr>
          <w:rFonts w:cs="Arial" w:hint="cs"/>
          <w:rtl/>
        </w:rPr>
        <w:t>'</w:t>
      </w:r>
      <w:r w:rsidRPr="002143A3">
        <w:rPr>
          <w:rFonts w:cs="Arial"/>
          <w:rtl/>
        </w:rPr>
        <w:t xml:space="preserve"> בלא בשר כלל אך בפשטיד"א בכחל בלא בשר נהגו רוב העולם היתר</w:t>
      </w:r>
      <w:r>
        <w:rPr>
          <w:rFonts w:cs="Arial" w:hint="cs"/>
          <w:rtl/>
        </w:rPr>
        <w:t>,</w:t>
      </w:r>
      <w:r w:rsidRPr="002143A3">
        <w:rPr>
          <w:rFonts w:cs="Arial"/>
          <w:rtl/>
        </w:rPr>
        <w:t xml:space="preserve"> רק תלמידי חכמים ה</w:t>
      </w:r>
      <w:r>
        <w:rPr>
          <w:rFonts w:cs="Arial"/>
          <w:rtl/>
        </w:rPr>
        <w:t>מדקדקים מושכין ידיהם שלא לאכול כחל בפשטיד"א אפי</w:t>
      </w:r>
      <w:r>
        <w:rPr>
          <w:rFonts w:cs="Arial" w:hint="cs"/>
          <w:rtl/>
        </w:rPr>
        <w:t>'</w:t>
      </w:r>
      <w:r w:rsidRPr="002143A3">
        <w:rPr>
          <w:rFonts w:cs="Arial"/>
          <w:rtl/>
        </w:rPr>
        <w:t xml:space="preserve"> קרעו שתי וערב וטחו בכותל אם לא ביבש וא</w:t>
      </w:r>
      <w:r>
        <w:rPr>
          <w:rFonts w:cs="Arial" w:hint="cs"/>
          <w:rtl/>
        </w:rPr>
        <w:t>ע"ג</w:t>
      </w:r>
      <w:r w:rsidRPr="002143A3">
        <w:rPr>
          <w:rFonts w:cs="Arial"/>
          <w:rtl/>
        </w:rPr>
        <w:t xml:space="preserve"> דהאידנא רגילין במדינתינו לאפות במחבת ואיכא למי</w:t>
      </w:r>
      <w:r>
        <w:rPr>
          <w:rFonts w:cs="Arial"/>
          <w:rtl/>
        </w:rPr>
        <w:t>חש שמא יאפה אח"כ בה בשר מ</w:t>
      </w:r>
      <w:r>
        <w:rPr>
          <w:rFonts w:cs="Arial" w:hint="cs"/>
          <w:rtl/>
        </w:rPr>
        <w:t>"</w:t>
      </w:r>
      <w:r>
        <w:rPr>
          <w:rFonts w:cs="Arial"/>
          <w:rtl/>
        </w:rPr>
        <w:t>מ</w:t>
      </w:r>
      <w:r w:rsidRPr="002143A3">
        <w:rPr>
          <w:rFonts w:cs="Arial"/>
          <w:rtl/>
        </w:rPr>
        <w:t xml:space="preserve"> לא חזינן בקמאי דהוה מוחין בנהיגי היתר לאחר שקרעוהו שתי וערב כמה פעמים על פני כולו וגם מחתכין אח"כ לחתיכות קטנות</w:t>
      </w:r>
      <w:r>
        <w:rPr>
          <w:rFonts w:cs="Arial" w:hint="cs"/>
          <w:rtl/>
        </w:rPr>
        <w:t>,</w:t>
      </w:r>
      <w:r w:rsidRPr="002143A3">
        <w:rPr>
          <w:rFonts w:cs="Arial"/>
          <w:rtl/>
        </w:rPr>
        <w:t xml:space="preserve"> ובמחבת אין להקל כלל</w:t>
      </w:r>
      <w:r>
        <w:rPr>
          <w:rFonts w:cs="Arial" w:hint="cs"/>
          <w:rtl/>
        </w:rPr>
        <w:t>.</w:t>
      </w:r>
    </w:p>
  </w:footnote>
  <w:footnote w:id="1252">
    <w:p w14:paraId="57FB64B2" w14:textId="77777777" w:rsidR="004C5A3C" w:rsidRDefault="004C5A3C" w:rsidP="002C39F4">
      <w:pPr>
        <w:pStyle w:val="a5"/>
      </w:pPr>
      <w:r>
        <w:rPr>
          <w:rStyle w:val="a7"/>
        </w:rPr>
        <w:footnoteRef/>
      </w:r>
      <w:r>
        <w:rPr>
          <w:rtl/>
        </w:rPr>
        <w:t xml:space="preserve"> </w:t>
      </w:r>
      <w:r w:rsidRPr="002143A3">
        <w:rPr>
          <w:rFonts w:asciiTheme="minorBidi" w:hAnsiTheme="minorBidi"/>
          <w:rtl/>
        </w:rPr>
        <w:t>ונראה שכתב כן לפי שראה שהיו העולם נזהרים מלבשלו עם בשר כלל אפילו אחר קריעת שתי וערב וטיחה בכותל, ב"י</w:t>
      </w:r>
      <w:r>
        <w:rPr>
          <w:rFonts w:asciiTheme="minorBidi" w:hAnsiTheme="minorBidi" w:hint="cs"/>
          <w:rtl/>
        </w:rPr>
        <w:t>.</w:t>
      </w:r>
    </w:p>
  </w:footnote>
  <w:footnote w:id="1253">
    <w:p w14:paraId="6252E165" w14:textId="77777777" w:rsidR="004C5A3C" w:rsidRDefault="004C5A3C" w:rsidP="002C39F4">
      <w:pPr>
        <w:pStyle w:val="a5"/>
        <w:rPr>
          <w:rtl/>
        </w:rPr>
      </w:pPr>
      <w:r>
        <w:rPr>
          <w:rStyle w:val="a7"/>
        </w:rPr>
        <w:footnoteRef/>
      </w:r>
      <w:r>
        <w:rPr>
          <w:rtl/>
        </w:rPr>
        <w:t xml:space="preserve"> </w:t>
      </w:r>
      <w:r w:rsidRPr="002143A3">
        <w:rPr>
          <w:rFonts w:asciiTheme="minorBidi" w:hAnsiTheme="minorBidi"/>
          <w:rtl/>
        </w:rPr>
        <w:t>כוונתו לומר דלעולם אותו מנהג</w:t>
      </w:r>
      <w:r>
        <w:rPr>
          <w:rFonts w:asciiTheme="minorBidi" w:hAnsiTheme="minorBidi" w:hint="cs"/>
          <w:rtl/>
        </w:rPr>
        <w:t xml:space="preserve"> </w:t>
      </w:r>
      <w:r w:rsidRPr="002143A3">
        <w:rPr>
          <w:rFonts w:asciiTheme="minorBidi" w:hAnsiTheme="minorBidi"/>
          <w:rtl/>
        </w:rPr>
        <w:t>- טעות הוא, וחומרא יתירה היא בלא טעם, ורצה לומר דאע"ג דלפירוש ר"ת לבשלו לבדו סגי בקריעה קצת ראוי להחמיר שלא לבשלו לכתחלה אפילו לבדו אלא ע"י קריעה שתי וערב וטיחה כדברי שאר מפרשים</w:t>
      </w:r>
      <w:r>
        <w:rPr>
          <w:rFonts w:hint="cs"/>
          <w:rtl/>
        </w:rPr>
        <w:t>, ב"י.</w:t>
      </w:r>
    </w:p>
  </w:footnote>
  <w:footnote w:id="1254">
    <w:p w14:paraId="209DCCA4" w14:textId="77777777" w:rsidR="004C5A3C" w:rsidRDefault="004C5A3C" w:rsidP="002C39F4">
      <w:pPr>
        <w:pStyle w:val="a5"/>
        <w:rPr>
          <w:rtl/>
        </w:rPr>
      </w:pPr>
      <w:r>
        <w:rPr>
          <w:rStyle w:val="a7"/>
        </w:rPr>
        <w:footnoteRef/>
      </w:r>
      <w:r>
        <w:rPr>
          <w:rtl/>
        </w:rPr>
        <w:t xml:space="preserve"> </w:t>
      </w:r>
      <w:r w:rsidRPr="00790A14">
        <w:rPr>
          <w:rFonts w:cs="Arial"/>
          <w:rtl/>
        </w:rPr>
        <w:t>ומ"ש בתרו</w:t>
      </w:r>
      <w:r>
        <w:rPr>
          <w:rFonts w:cs="Arial" w:hint="cs"/>
          <w:rtl/>
        </w:rPr>
        <w:t>ה"ד</w:t>
      </w:r>
      <w:r w:rsidRPr="00790A14">
        <w:rPr>
          <w:rFonts w:cs="Arial"/>
          <w:rtl/>
        </w:rPr>
        <w:t xml:space="preserve"> (סי' קפב) דאין להקל לאפות פשטיד"א של כחל ב</w:t>
      </w:r>
      <w:r>
        <w:rPr>
          <w:rFonts w:cs="Arial"/>
          <w:rtl/>
        </w:rPr>
        <w:t>מחבת וגם שלא לאפותו עם פשטיד"א של בשר</w:t>
      </w:r>
      <w:r w:rsidRPr="00790A14">
        <w:rPr>
          <w:rFonts w:cs="Arial"/>
          <w:rtl/>
        </w:rPr>
        <w:t xml:space="preserve"> תוך תנור אחד אם לא בפי התנור</w:t>
      </w:r>
      <w:r>
        <w:rPr>
          <w:rFonts w:cs="Arial" w:hint="cs"/>
          <w:rtl/>
        </w:rPr>
        <w:t>,</w:t>
      </w:r>
      <w:r w:rsidRPr="00790A14">
        <w:rPr>
          <w:rFonts w:cs="Arial"/>
          <w:rtl/>
        </w:rPr>
        <w:t xml:space="preserve"> </w:t>
      </w:r>
      <w:r>
        <w:rPr>
          <w:rFonts w:cs="Arial" w:hint="cs"/>
          <w:rtl/>
        </w:rPr>
        <w:t xml:space="preserve">ע"כ, </w:t>
      </w:r>
      <w:r w:rsidRPr="00790A14">
        <w:rPr>
          <w:rFonts w:cs="Arial"/>
          <w:rtl/>
        </w:rPr>
        <w:t>חומרות יתרות הן ולית דחש להו</w:t>
      </w:r>
      <w:r>
        <w:rPr>
          <w:rFonts w:cs="Arial" w:hint="cs"/>
          <w:rtl/>
        </w:rPr>
        <w:t xml:space="preserve">, ב"י. </w:t>
      </w:r>
      <w:r>
        <w:rPr>
          <w:rFonts w:cs="Arial"/>
          <w:rtl/>
        </w:rPr>
        <w:t>וכ</w:t>
      </w:r>
      <w:r>
        <w:rPr>
          <w:rFonts w:cs="Arial" w:hint="cs"/>
          <w:rtl/>
        </w:rPr>
        <w:t>"</w:t>
      </w:r>
      <w:r>
        <w:rPr>
          <w:rFonts w:cs="Arial"/>
          <w:rtl/>
        </w:rPr>
        <w:t>כ</w:t>
      </w:r>
      <w:r w:rsidRPr="0019695B">
        <w:rPr>
          <w:rFonts w:cs="Arial"/>
          <w:rtl/>
        </w:rPr>
        <w:t xml:space="preserve"> ב</w:t>
      </w:r>
      <w:r>
        <w:rPr>
          <w:rFonts w:cs="Arial"/>
          <w:rtl/>
        </w:rPr>
        <w:t>או"ה</w:t>
      </w:r>
      <w:r w:rsidRPr="0019695B">
        <w:rPr>
          <w:rFonts w:cs="Arial"/>
          <w:rtl/>
        </w:rPr>
        <w:t xml:space="preserve"> </w:t>
      </w:r>
      <w:r>
        <w:rPr>
          <w:rFonts w:cs="Arial" w:hint="cs"/>
          <w:rtl/>
        </w:rPr>
        <w:t>(</w:t>
      </w:r>
      <w:r>
        <w:rPr>
          <w:rFonts w:cs="Arial"/>
          <w:rtl/>
        </w:rPr>
        <w:t>כלל יח ד</w:t>
      </w:r>
      <w:r>
        <w:rPr>
          <w:rFonts w:cs="Arial" w:hint="cs"/>
          <w:rtl/>
        </w:rPr>
        <w:t>"</w:t>
      </w:r>
      <w:r>
        <w:rPr>
          <w:rFonts w:cs="Arial"/>
          <w:rtl/>
        </w:rPr>
        <w:t>ח</w:t>
      </w:r>
      <w:r>
        <w:rPr>
          <w:rFonts w:cs="Arial" w:hint="cs"/>
          <w:rtl/>
        </w:rPr>
        <w:t>-</w:t>
      </w:r>
      <w:r w:rsidRPr="0019695B">
        <w:rPr>
          <w:rFonts w:cs="Arial"/>
          <w:rtl/>
        </w:rPr>
        <w:t>ט) דמותר לאפותו עם פשטיד"א של בשר אפילו בתנור קטן עכ"</w:t>
      </w:r>
      <w:r>
        <w:rPr>
          <w:rFonts w:cs="Arial"/>
          <w:rtl/>
        </w:rPr>
        <w:t>ל. ובה</w:t>
      </w:r>
      <w:r>
        <w:rPr>
          <w:rFonts w:cs="Arial" w:hint="cs"/>
          <w:rtl/>
        </w:rPr>
        <w:t xml:space="preserve">גמ"ר </w:t>
      </w:r>
      <w:r w:rsidRPr="0019695B">
        <w:rPr>
          <w:rFonts w:cs="Arial"/>
          <w:rtl/>
        </w:rPr>
        <w:t>(סי' תשנו)</w:t>
      </w:r>
      <w:r>
        <w:rPr>
          <w:rFonts w:cs="Arial" w:hint="cs"/>
          <w:rtl/>
        </w:rPr>
        <w:t xml:space="preserve"> כ'-</w:t>
      </w:r>
      <w:r w:rsidRPr="0019695B">
        <w:rPr>
          <w:rFonts w:cs="Arial"/>
          <w:rtl/>
        </w:rPr>
        <w:t xml:space="preserve"> מעשה היה ששמו מולייתא של בשר חם על מולייתא של כח</w:t>
      </w:r>
      <w:r>
        <w:rPr>
          <w:rFonts w:cs="Arial"/>
          <w:rtl/>
        </w:rPr>
        <w:t>ל חם והתירו בדיעבד עכ"ל. וכ</w:t>
      </w:r>
      <w:r>
        <w:rPr>
          <w:rFonts w:cs="Arial" w:hint="cs"/>
          <w:rtl/>
        </w:rPr>
        <w:t>"</w:t>
      </w:r>
      <w:r>
        <w:rPr>
          <w:rFonts w:cs="Arial"/>
          <w:rtl/>
        </w:rPr>
        <w:t>כ</w:t>
      </w:r>
      <w:r w:rsidRPr="0019695B">
        <w:rPr>
          <w:rFonts w:cs="Arial"/>
          <w:rtl/>
        </w:rPr>
        <w:t xml:space="preserve"> בתרו</w:t>
      </w:r>
      <w:r>
        <w:rPr>
          <w:rFonts w:cs="Arial" w:hint="cs"/>
          <w:rtl/>
        </w:rPr>
        <w:t>ה"ד ס</w:t>
      </w:r>
      <w:r w:rsidRPr="0019695B">
        <w:rPr>
          <w:rFonts w:cs="Arial"/>
          <w:rtl/>
        </w:rPr>
        <w:t>י</w:t>
      </w:r>
      <w:r>
        <w:rPr>
          <w:rFonts w:cs="Arial" w:hint="cs"/>
          <w:rtl/>
        </w:rPr>
        <w:t>'</w:t>
      </w:r>
      <w:r w:rsidRPr="0019695B">
        <w:rPr>
          <w:rFonts w:cs="Arial"/>
          <w:rtl/>
        </w:rPr>
        <w:t xml:space="preserve"> קפ"ב דמותר</w:t>
      </w:r>
      <w:r>
        <w:rPr>
          <w:rFonts w:hint="cs"/>
          <w:rtl/>
        </w:rPr>
        <w:t>.</w:t>
      </w:r>
    </w:p>
  </w:footnote>
  <w:footnote w:id="1255">
    <w:p w14:paraId="60C06719"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סי' קפב, ובהגשע"ד (סי' כט סק"ב).</w:t>
      </w:r>
    </w:p>
  </w:footnote>
  <w:footnote w:id="1256">
    <w:p w14:paraId="50401AC6" w14:textId="77777777" w:rsidR="004C5A3C" w:rsidRDefault="004C5A3C" w:rsidP="002C39F4">
      <w:pPr>
        <w:pStyle w:val="a5"/>
        <w:rPr>
          <w:rtl/>
        </w:rPr>
      </w:pPr>
      <w:r>
        <w:rPr>
          <w:rStyle w:val="a7"/>
        </w:rPr>
        <w:footnoteRef/>
      </w:r>
      <w:r>
        <w:rPr>
          <w:rtl/>
        </w:rPr>
        <w:t xml:space="preserve"> </w:t>
      </w:r>
      <w:r w:rsidRPr="00EB1E93">
        <w:rPr>
          <w:rFonts w:cs="Arial"/>
          <w:rtl/>
        </w:rPr>
        <w:t>כל זה מצד המנהג אבל לענין דינא בדיעבד נתבאר דעת המחבר בס"א ודעת הר"ב בהג"ה בסעיף זה</w:t>
      </w:r>
      <w:r>
        <w:rPr>
          <w:rFonts w:hint="cs"/>
          <w:rtl/>
        </w:rPr>
        <w:t>, ש"ך (סק"ו).</w:t>
      </w:r>
    </w:p>
  </w:footnote>
  <w:footnote w:id="1257">
    <w:p w14:paraId="464FFEF6" w14:textId="77777777" w:rsidR="004C5A3C" w:rsidRDefault="004C5A3C" w:rsidP="002C39F4">
      <w:pPr>
        <w:pStyle w:val="a5"/>
      </w:pPr>
      <w:r>
        <w:rPr>
          <w:rStyle w:val="a7"/>
        </w:rPr>
        <w:footnoteRef/>
      </w:r>
      <w:r>
        <w:rPr>
          <w:rtl/>
        </w:rPr>
        <w:t xml:space="preserve"> </w:t>
      </w:r>
      <w:r w:rsidRPr="00EB1E93">
        <w:rPr>
          <w:rFonts w:cs="Arial"/>
          <w:rtl/>
        </w:rPr>
        <w:t>אפי' במחבת</w:t>
      </w:r>
      <w:r>
        <w:rPr>
          <w:rFonts w:cs="Arial" w:hint="cs"/>
          <w:rtl/>
        </w:rPr>
        <w:t>,</w:t>
      </w:r>
      <w:r w:rsidRPr="00EB1E93">
        <w:rPr>
          <w:rFonts w:cs="Arial"/>
          <w:rtl/>
        </w:rPr>
        <w:t xml:space="preserve"> כן דעתו בספרו ב"י</w:t>
      </w:r>
      <w:r>
        <w:rPr>
          <w:rFonts w:cs="Arial" w:hint="cs"/>
          <w:rtl/>
        </w:rPr>
        <w:t>,</w:t>
      </w:r>
      <w:r w:rsidRPr="00EB1E93">
        <w:rPr>
          <w:rFonts w:cs="Arial"/>
          <w:rtl/>
        </w:rPr>
        <w:t xml:space="preserve"> ואנן לא נהיגין הכי וכמ"ש הרב בהג"ה</w:t>
      </w:r>
      <w:r>
        <w:rPr>
          <w:rFonts w:cs="Arial" w:hint="cs"/>
          <w:rtl/>
        </w:rPr>
        <w:t>, ש"ך (סק"ז).</w:t>
      </w:r>
    </w:p>
  </w:footnote>
  <w:footnote w:id="1258">
    <w:p w14:paraId="05F505D4" w14:textId="77777777" w:rsidR="004C5A3C" w:rsidRDefault="004C5A3C" w:rsidP="002C39F4">
      <w:pPr>
        <w:pStyle w:val="a5"/>
      </w:pPr>
      <w:r>
        <w:rPr>
          <w:rStyle w:val="a7"/>
        </w:rPr>
        <w:footnoteRef/>
      </w:r>
      <w:r>
        <w:rPr>
          <w:rtl/>
        </w:rPr>
        <w:t xml:space="preserve"> </w:t>
      </w:r>
      <w:r w:rsidRPr="00EB1E93">
        <w:rPr>
          <w:rFonts w:cs="Arial"/>
          <w:rtl/>
        </w:rPr>
        <w:t>אפילו עם בשר</w:t>
      </w:r>
      <w:r>
        <w:rPr>
          <w:rFonts w:cs="Arial" w:hint="cs"/>
          <w:rtl/>
        </w:rPr>
        <w:t>,</w:t>
      </w:r>
      <w:r w:rsidRPr="00EB1E93">
        <w:rPr>
          <w:rFonts w:cs="Arial"/>
          <w:rtl/>
        </w:rPr>
        <w:t xml:space="preserve"> כן מוכח להדיא בת"ח שם ד"ג</w:t>
      </w:r>
      <w:r>
        <w:rPr>
          <w:rFonts w:cs="Arial" w:hint="cs"/>
          <w:rtl/>
        </w:rPr>
        <w:t>,</w:t>
      </w:r>
      <w:r w:rsidRPr="00EB1E93">
        <w:rPr>
          <w:rFonts w:cs="Arial"/>
          <w:rtl/>
        </w:rPr>
        <w:t xml:space="preserve"> אבל לבדה מותר ע"י קריעת שתי וערב וטיחה בכותל אפילו בלא הפסד מרובה כדמוכח שם ד"ב</w:t>
      </w:r>
      <w:r>
        <w:rPr>
          <w:rFonts w:cs="Arial" w:hint="cs"/>
          <w:rtl/>
        </w:rPr>
        <w:t>,</w:t>
      </w:r>
      <w:r w:rsidRPr="00EB1E93">
        <w:rPr>
          <w:rFonts w:cs="Arial"/>
          <w:rtl/>
        </w:rPr>
        <w:t xml:space="preserve"> וכמ"ש בהג"ה בסמוך</w:t>
      </w:r>
      <w:r>
        <w:rPr>
          <w:rFonts w:cs="Arial" w:hint="cs"/>
          <w:rtl/>
        </w:rPr>
        <w:t>...</w:t>
      </w:r>
      <w:r w:rsidRPr="00EB1E93">
        <w:rPr>
          <w:rFonts w:cs="Arial"/>
          <w:rtl/>
        </w:rPr>
        <w:t xml:space="preserve"> והב"ח פסק וז"ל ואם בשלו עם שאר בשר ואין ס' כנגדו הכל אסור אף בדיעבד אפי' קרע</w:t>
      </w:r>
      <w:r>
        <w:rPr>
          <w:rFonts w:cs="Arial"/>
          <w:rtl/>
        </w:rPr>
        <w:t>ו שתי וערב וטחו בכותל ודלא כהגה</w:t>
      </w:r>
      <w:r>
        <w:rPr>
          <w:rFonts w:cs="Arial" w:hint="cs"/>
          <w:rtl/>
        </w:rPr>
        <w:t>'</w:t>
      </w:r>
      <w:r w:rsidRPr="00EB1E93">
        <w:rPr>
          <w:rFonts w:cs="Arial"/>
          <w:rtl/>
        </w:rPr>
        <w:t xml:space="preserve"> ש</w:t>
      </w:r>
      <w:r>
        <w:rPr>
          <w:rFonts w:cs="Arial" w:hint="cs"/>
          <w:rtl/>
        </w:rPr>
        <w:t>ו</w:t>
      </w:r>
      <w:r w:rsidRPr="00EB1E93">
        <w:rPr>
          <w:rFonts w:cs="Arial"/>
          <w:rtl/>
        </w:rPr>
        <w:t>"ע דמיקל בזה במקום הפסד מרובה</w:t>
      </w:r>
      <w:r>
        <w:rPr>
          <w:rFonts w:cs="Arial" w:hint="cs"/>
          <w:rtl/>
        </w:rPr>
        <w:t>,</w:t>
      </w:r>
      <w:r w:rsidRPr="00EB1E93">
        <w:rPr>
          <w:rFonts w:cs="Arial"/>
          <w:rtl/>
        </w:rPr>
        <w:t xml:space="preserve"> עכ"ל</w:t>
      </w:r>
      <w:r>
        <w:rPr>
          <w:rFonts w:cs="Arial" w:hint="cs"/>
          <w:rtl/>
        </w:rPr>
        <w:t>,</w:t>
      </w:r>
      <w:r w:rsidRPr="00EB1E93">
        <w:rPr>
          <w:rFonts w:cs="Arial"/>
          <w:rtl/>
        </w:rPr>
        <w:t xml:space="preserve"> ולא ירדתי לסוף דעתו שהרי כל הפו</w:t>
      </w:r>
      <w:r>
        <w:rPr>
          <w:rFonts w:cs="Arial"/>
          <w:rtl/>
        </w:rPr>
        <w:t>סקים הרי"ף והרמב"ם ור"ת והתוס</w:t>
      </w:r>
      <w:r>
        <w:rPr>
          <w:rFonts w:cs="Arial" w:hint="cs"/>
          <w:rtl/>
        </w:rPr>
        <w:t>'</w:t>
      </w:r>
      <w:r w:rsidRPr="00EB1E93">
        <w:rPr>
          <w:rFonts w:cs="Arial"/>
          <w:rtl/>
        </w:rPr>
        <w:t xml:space="preserve"> והרא"ש והרשב"א והר"ן וסמ"ג וסמ"ק ומרדכי וש</w:t>
      </w:r>
      <w:r>
        <w:rPr>
          <w:rFonts w:cs="Arial" w:hint="cs"/>
          <w:rtl/>
        </w:rPr>
        <w:t>ע</w:t>
      </w:r>
      <w:r w:rsidRPr="00EB1E93">
        <w:rPr>
          <w:rFonts w:cs="Arial"/>
          <w:rtl/>
        </w:rPr>
        <w:t>"ד ושאר פוסקים והמחבר מכללם מתירין בדיעבד והרבה מהם מתירין אפילו לכתחלה אפילו לדעת רש"י אלא שראבי"ה וא</w:t>
      </w:r>
      <w:r>
        <w:rPr>
          <w:rFonts w:cs="Arial" w:hint="cs"/>
          <w:rtl/>
        </w:rPr>
        <w:t>ו</w:t>
      </w:r>
      <w:r w:rsidRPr="00EB1E93">
        <w:rPr>
          <w:rFonts w:cs="Arial"/>
          <w:rtl/>
        </w:rPr>
        <w:t>"ז מחמירין אפי' דיעבד א"כ ודאי דעכ"</w:t>
      </w:r>
      <w:r>
        <w:rPr>
          <w:rFonts w:cs="Arial"/>
          <w:rtl/>
        </w:rPr>
        <w:t>פ יש לסמוך אכל הנך רבוותא בדיע</w:t>
      </w:r>
      <w:r>
        <w:rPr>
          <w:rFonts w:cs="Arial" w:hint="cs"/>
          <w:rtl/>
        </w:rPr>
        <w:t>בד</w:t>
      </w:r>
      <w:r w:rsidRPr="00EB1E93">
        <w:rPr>
          <w:rFonts w:cs="Arial"/>
          <w:rtl/>
        </w:rPr>
        <w:t xml:space="preserve"> במקום הפסד מרובה בפרט באיסור דרבנן ובשגם שפשטא דסוגיא משמע כוותייהו</w:t>
      </w:r>
      <w:r>
        <w:rPr>
          <w:rFonts w:cs="Arial" w:hint="cs"/>
          <w:rtl/>
        </w:rPr>
        <w:t>, ש"ך</w:t>
      </w:r>
      <w:r w:rsidRPr="00EB1E93">
        <w:rPr>
          <w:rFonts w:cs="Arial" w:hint="cs"/>
          <w:sz w:val="16"/>
          <w:szCs w:val="16"/>
          <w:rtl/>
        </w:rPr>
        <w:t xml:space="preserve"> (סק"ח)</w:t>
      </w:r>
      <w:r>
        <w:rPr>
          <w:rFonts w:cs="Arial" w:hint="cs"/>
          <w:rtl/>
        </w:rPr>
        <w:t>.</w:t>
      </w:r>
    </w:p>
  </w:footnote>
  <w:footnote w:id="1259">
    <w:p w14:paraId="23ED3D0E" w14:textId="77777777" w:rsidR="004C5A3C" w:rsidRDefault="004C5A3C" w:rsidP="002C39F4">
      <w:pPr>
        <w:pStyle w:val="a5"/>
      </w:pPr>
      <w:r>
        <w:rPr>
          <w:rStyle w:val="a7"/>
        </w:rPr>
        <w:footnoteRef/>
      </w:r>
      <w:r>
        <w:rPr>
          <w:rtl/>
        </w:rPr>
        <w:t xml:space="preserve"> </w:t>
      </w:r>
      <w:r w:rsidRPr="005A3378">
        <w:rPr>
          <w:rFonts w:cs="Arial"/>
          <w:rtl/>
        </w:rPr>
        <w:t>פירוש בלא ס'</w:t>
      </w:r>
      <w:r>
        <w:rPr>
          <w:rFonts w:cs="Arial" w:hint="cs"/>
          <w:rtl/>
        </w:rPr>
        <w:t>,</w:t>
      </w:r>
      <w:r w:rsidRPr="005A3378">
        <w:rPr>
          <w:rFonts w:cs="Arial"/>
          <w:rtl/>
        </w:rPr>
        <w:t xml:space="preserve"> אבל אם יש ס' בבשר שבקדירה עם הכחל נגד ה</w:t>
      </w:r>
      <w:r>
        <w:rPr>
          <w:rFonts w:cs="Arial"/>
          <w:rtl/>
        </w:rPr>
        <w:t>כחל אז הבשר מותר והכחל אסור ע</w:t>
      </w:r>
      <w:r>
        <w:rPr>
          <w:rFonts w:cs="Arial" w:hint="cs"/>
          <w:rtl/>
        </w:rPr>
        <w:t>ל כל פנים,</w:t>
      </w:r>
      <w:r>
        <w:rPr>
          <w:rFonts w:cs="Arial"/>
          <w:rtl/>
        </w:rPr>
        <w:t xml:space="preserve"> כ</w:t>
      </w:r>
      <w:r>
        <w:rPr>
          <w:rFonts w:cs="Arial" w:hint="cs"/>
          <w:rtl/>
        </w:rPr>
        <w:t>"</w:t>
      </w:r>
      <w:r>
        <w:rPr>
          <w:rFonts w:cs="Arial"/>
          <w:rtl/>
        </w:rPr>
        <w:t>פ הטור בשם רש"י וכ</w:t>
      </w:r>
      <w:r>
        <w:rPr>
          <w:rFonts w:cs="Arial" w:hint="cs"/>
          <w:rtl/>
        </w:rPr>
        <w:t>"</w:t>
      </w:r>
      <w:r>
        <w:rPr>
          <w:rFonts w:cs="Arial"/>
          <w:rtl/>
        </w:rPr>
        <w:t xml:space="preserve">כ בת"ח </w:t>
      </w:r>
      <w:r>
        <w:rPr>
          <w:rFonts w:cs="Arial" w:hint="cs"/>
          <w:rtl/>
        </w:rPr>
        <w:t>(</w:t>
      </w:r>
      <w:r>
        <w:rPr>
          <w:rFonts w:cs="Arial"/>
          <w:rtl/>
        </w:rPr>
        <w:t xml:space="preserve">כלל </w:t>
      </w:r>
      <w:r>
        <w:rPr>
          <w:rFonts w:cs="Arial" w:hint="cs"/>
          <w:rtl/>
        </w:rPr>
        <w:t>ל</w:t>
      </w:r>
      <w:r>
        <w:rPr>
          <w:rFonts w:cs="Arial"/>
          <w:rtl/>
        </w:rPr>
        <w:t xml:space="preserve"> </w:t>
      </w:r>
      <w:r w:rsidRPr="005A3378">
        <w:rPr>
          <w:rFonts w:cs="Arial"/>
          <w:rtl/>
        </w:rPr>
        <w:t>ד"ג</w:t>
      </w:r>
      <w:r>
        <w:rPr>
          <w:rFonts w:cs="Arial" w:hint="cs"/>
          <w:rtl/>
        </w:rPr>
        <w:t>), ט"ז (סק"ו).</w:t>
      </w:r>
    </w:p>
  </w:footnote>
  <w:footnote w:id="1260">
    <w:p w14:paraId="5F4C0DE9" w14:textId="77777777" w:rsidR="004C5A3C" w:rsidRDefault="004C5A3C" w:rsidP="002C39F4">
      <w:pPr>
        <w:pStyle w:val="a5"/>
        <w:rPr>
          <w:rtl/>
        </w:rPr>
      </w:pPr>
      <w:r>
        <w:rPr>
          <w:rStyle w:val="a7"/>
        </w:rPr>
        <w:footnoteRef/>
      </w:r>
      <w:r>
        <w:rPr>
          <w:rtl/>
        </w:rPr>
        <w:t xml:space="preserve"> </w:t>
      </w:r>
      <w:r w:rsidRPr="005A3378">
        <w:rPr>
          <w:rFonts w:cs="Arial"/>
          <w:rtl/>
        </w:rPr>
        <w:t>אפילו ידוע שנתהפכו דכיון שנקרע שתי וערב וטחו בכותל חשוב כבשר ממש לענין זה</w:t>
      </w:r>
      <w:r>
        <w:rPr>
          <w:rFonts w:hint="cs"/>
          <w:rtl/>
        </w:rPr>
        <w:t>, ש"ך (סקי"א).</w:t>
      </w:r>
    </w:p>
  </w:footnote>
  <w:footnote w:id="1261">
    <w:p w14:paraId="03BE9CF5" w14:textId="77777777" w:rsidR="004C5A3C" w:rsidRDefault="004C5A3C" w:rsidP="002C39F4">
      <w:pPr>
        <w:pStyle w:val="a5"/>
        <w:rPr>
          <w:rtl/>
        </w:rPr>
      </w:pPr>
      <w:r>
        <w:rPr>
          <w:rStyle w:val="a7"/>
        </w:rPr>
        <w:footnoteRef/>
      </w:r>
      <w:r>
        <w:rPr>
          <w:rtl/>
        </w:rPr>
        <w:t xml:space="preserve"> </w:t>
      </w:r>
      <w:r w:rsidRPr="00F31226">
        <w:rPr>
          <w:rFonts w:cs="Arial"/>
          <w:rtl/>
        </w:rPr>
        <w:t>ונראה דאם ידוע ששניהם היו תחובים בשוה בשפוד ולא היה שום א' מהן עליון או תחתון שניהם מותרין</w:t>
      </w:r>
      <w:r>
        <w:rPr>
          <w:rFonts w:cs="Arial" w:hint="cs"/>
          <w:rtl/>
        </w:rPr>
        <w:t>, ש"ך (סקי"ב).</w:t>
      </w:r>
    </w:p>
  </w:footnote>
  <w:footnote w:id="1262">
    <w:p w14:paraId="42981967" w14:textId="77777777" w:rsidR="004C5A3C" w:rsidRDefault="004C5A3C" w:rsidP="002C39F4">
      <w:pPr>
        <w:pStyle w:val="a5"/>
      </w:pPr>
      <w:r>
        <w:rPr>
          <w:rStyle w:val="a7"/>
        </w:rPr>
        <w:footnoteRef/>
      </w:r>
      <w:r>
        <w:rPr>
          <w:rtl/>
        </w:rPr>
        <w:t xml:space="preserve"> </w:t>
      </w:r>
      <w:r w:rsidRPr="00F31226">
        <w:rPr>
          <w:rFonts w:cs="Arial"/>
          <w:rtl/>
        </w:rPr>
        <w:t>משום ששפודים שלנו מונחים לארכן ופעמים ראש זה למעלה ו</w:t>
      </w:r>
      <w:r>
        <w:rPr>
          <w:rFonts w:cs="Arial"/>
          <w:rtl/>
        </w:rPr>
        <w:t>פעמים זה למעלה וכמו שנתבאר בסי</w:t>
      </w:r>
      <w:r>
        <w:rPr>
          <w:rFonts w:cs="Arial" w:hint="cs"/>
          <w:rtl/>
        </w:rPr>
        <w:t>'</w:t>
      </w:r>
      <w:r w:rsidRPr="00F31226">
        <w:rPr>
          <w:rFonts w:cs="Arial"/>
          <w:rtl/>
        </w:rPr>
        <w:t xml:space="preserve"> ע"ג גבי כב</w:t>
      </w:r>
      <w:r>
        <w:rPr>
          <w:rFonts w:cs="Arial" w:hint="cs"/>
          <w:rtl/>
        </w:rPr>
        <w:t>ד, ש"ך</w:t>
      </w:r>
      <w:r w:rsidRPr="00F31226">
        <w:rPr>
          <w:rFonts w:cs="Arial" w:hint="cs"/>
          <w:sz w:val="16"/>
          <w:szCs w:val="16"/>
          <w:rtl/>
        </w:rPr>
        <w:t xml:space="preserve"> (סקי"ג)</w:t>
      </w:r>
      <w:r>
        <w:rPr>
          <w:rFonts w:cs="Arial" w:hint="cs"/>
          <w:rtl/>
        </w:rPr>
        <w:t>.</w:t>
      </w:r>
    </w:p>
  </w:footnote>
  <w:footnote w:id="1263">
    <w:p w14:paraId="6013594F" w14:textId="77777777" w:rsidR="004C5A3C" w:rsidRDefault="004C5A3C" w:rsidP="002C39F4">
      <w:pPr>
        <w:pStyle w:val="a5"/>
      </w:pPr>
      <w:r>
        <w:rPr>
          <w:rStyle w:val="a7"/>
        </w:rPr>
        <w:footnoteRef/>
      </w:r>
      <w:r>
        <w:rPr>
          <w:rtl/>
        </w:rPr>
        <w:t xml:space="preserve"> </w:t>
      </w:r>
      <w:r w:rsidRPr="00F31226">
        <w:rPr>
          <w:rFonts w:cs="Arial"/>
          <w:rtl/>
        </w:rPr>
        <w:t>אפילו</w:t>
      </w:r>
      <w:r>
        <w:rPr>
          <w:rFonts w:cs="Arial"/>
          <w:rtl/>
        </w:rPr>
        <w:t xml:space="preserve"> ע"י קריעה שתי וערב וטיחה בכותל</w:t>
      </w:r>
      <w:r>
        <w:rPr>
          <w:rFonts w:cs="Arial" w:hint="cs"/>
          <w:rtl/>
        </w:rPr>
        <w:t xml:space="preserve">, ש"ך </w:t>
      </w:r>
      <w:r w:rsidRPr="00950EB7">
        <w:rPr>
          <w:rFonts w:cs="Arial" w:hint="cs"/>
          <w:sz w:val="16"/>
          <w:szCs w:val="16"/>
          <w:rtl/>
        </w:rPr>
        <w:t>(סקי"ד)</w:t>
      </w:r>
      <w:r>
        <w:rPr>
          <w:rFonts w:cs="Arial" w:hint="cs"/>
          <w:rtl/>
        </w:rPr>
        <w:t>.</w:t>
      </w:r>
      <w:r w:rsidRPr="00F31226">
        <w:rPr>
          <w:rFonts w:cs="Arial"/>
          <w:rtl/>
        </w:rPr>
        <w:t xml:space="preserve"> </w:t>
      </w:r>
      <w:r>
        <w:rPr>
          <w:rFonts w:cs="Arial" w:hint="cs"/>
          <w:rtl/>
        </w:rPr>
        <w:t>ו</w:t>
      </w:r>
      <w:r w:rsidRPr="005A3378">
        <w:rPr>
          <w:rFonts w:cs="Arial"/>
          <w:rtl/>
        </w:rPr>
        <w:t>הטעם משום גזירה שמא יבשל עם בשר ובלא קריעה שתי וערב</w:t>
      </w:r>
      <w:r>
        <w:rPr>
          <w:rFonts w:cs="Arial" w:hint="cs"/>
          <w:rtl/>
        </w:rPr>
        <w:t xml:space="preserve">, ט"ז </w:t>
      </w:r>
      <w:r w:rsidRPr="00950EB7">
        <w:rPr>
          <w:rFonts w:cs="Arial" w:hint="cs"/>
          <w:sz w:val="16"/>
          <w:szCs w:val="16"/>
          <w:rtl/>
        </w:rPr>
        <w:t>(סק"ז)</w:t>
      </w:r>
      <w:r>
        <w:rPr>
          <w:rFonts w:cs="Arial" w:hint="cs"/>
          <w:rtl/>
        </w:rPr>
        <w:t>.</w:t>
      </w:r>
      <w:r>
        <w:rPr>
          <w:rFonts w:hint="cs"/>
          <w:rtl/>
        </w:rPr>
        <w:t xml:space="preserve"> וכ"כ הש"ך </w:t>
      </w:r>
      <w:r w:rsidRPr="00950EB7">
        <w:rPr>
          <w:rFonts w:hint="cs"/>
          <w:sz w:val="16"/>
          <w:szCs w:val="16"/>
          <w:rtl/>
        </w:rPr>
        <w:t>(סקכ"א)</w:t>
      </w:r>
      <w:r>
        <w:rPr>
          <w:rFonts w:hint="cs"/>
          <w:rtl/>
        </w:rPr>
        <w:t xml:space="preserve">. </w:t>
      </w:r>
      <w:r>
        <w:rPr>
          <w:rFonts w:cs="Arial" w:hint="cs"/>
          <w:rtl/>
        </w:rPr>
        <w:t xml:space="preserve">וכ' </w:t>
      </w:r>
      <w:r>
        <w:rPr>
          <w:rFonts w:cs="Arial"/>
          <w:rtl/>
        </w:rPr>
        <w:t xml:space="preserve">רש"ל </w:t>
      </w:r>
      <w:r w:rsidRPr="00950EB7">
        <w:rPr>
          <w:rFonts w:cs="Arial" w:hint="cs"/>
          <w:sz w:val="16"/>
          <w:szCs w:val="16"/>
          <w:rtl/>
        </w:rPr>
        <w:t>(</w:t>
      </w:r>
      <w:r w:rsidRPr="00950EB7">
        <w:rPr>
          <w:rFonts w:cs="Arial"/>
          <w:sz w:val="16"/>
          <w:szCs w:val="16"/>
          <w:rtl/>
        </w:rPr>
        <w:t>פכ"ה סי' מז</w:t>
      </w:r>
      <w:r w:rsidRPr="00950EB7">
        <w:rPr>
          <w:rFonts w:cs="Arial" w:hint="cs"/>
          <w:sz w:val="16"/>
          <w:szCs w:val="16"/>
          <w:rtl/>
        </w:rPr>
        <w:t>, הביאו הט"ז [סק"י])</w:t>
      </w:r>
      <w:r w:rsidRPr="00950EB7">
        <w:rPr>
          <w:rFonts w:cs="Arial"/>
          <w:sz w:val="16"/>
          <w:szCs w:val="16"/>
          <w:rtl/>
        </w:rPr>
        <w:t xml:space="preserve"> </w:t>
      </w:r>
      <w:r w:rsidRPr="00484323">
        <w:rPr>
          <w:rFonts w:cs="Arial"/>
          <w:rtl/>
        </w:rPr>
        <w:t>דאפי</w:t>
      </w:r>
      <w:r>
        <w:rPr>
          <w:rFonts w:cs="Arial"/>
          <w:rtl/>
        </w:rPr>
        <w:t>לו אחר צלייה אסור לבשלו אע</w:t>
      </w:r>
      <w:r>
        <w:rPr>
          <w:rFonts w:cs="Arial" w:hint="cs"/>
          <w:rtl/>
        </w:rPr>
        <w:t>"</w:t>
      </w:r>
      <w:r>
        <w:rPr>
          <w:rFonts w:cs="Arial"/>
          <w:rtl/>
        </w:rPr>
        <w:t>ג</w:t>
      </w:r>
      <w:r w:rsidRPr="00484323">
        <w:rPr>
          <w:rFonts w:cs="Arial"/>
          <w:rtl/>
        </w:rPr>
        <w:t xml:space="preserve"> דגבי כבד מותר</w:t>
      </w:r>
      <w:r>
        <w:rPr>
          <w:rFonts w:cs="Arial" w:hint="cs"/>
          <w:rtl/>
        </w:rPr>
        <w:t>...</w:t>
      </w:r>
      <w:r w:rsidRPr="00484323">
        <w:rPr>
          <w:rFonts w:cs="Arial"/>
          <w:rtl/>
        </w:rPr>
        <w:t xml:space="preserve"> </w:t>
      </w:r>
      <w:r>
        <w:rPr>
          <w:rFonts w:cs="Arial" w:hint="cs"/>
          <w:rtl/>
        </w:rPr>
        <w:t>ד</w:t>
      </w:r>
      <w:r w:rsidRPr="00484323">
        <w:rPr>
          <w:rFonts w:cs="Arial"/>
          <w:rtl/>
        </w:rPr>
        <w:t>בכבד טעמו משום רבוי דם להכי לא התירו אותה בבישול לכתחלה כ"א אחר הצלייה</w:t>
      </w:r>
      <w:r>
        <w:rPr>
          <w:rFonts w:cs="Arial" w:hint="cs"/>
          <w:rtl/>
        </w:rPr>
        <w:t>,</w:t>
      </w:r>
      <w:r>
        <w:rPr>
          <w:rFonts w:cs="Arial"/>
          <w:rtl/>
        </w:rPr>
        <w:t xml:space="preserve"> אבל כחל דאיסור משום גזירה הוא </w:t>
      </w:r>
      <w:r>
        <w:rPr>
          <w:rFonts w:cs="Arial" w:hint="cs"/>
          <w:rtl/>
        </w:rPr>
        <w:t>ש</w:t>
      </w:r>
      <w:r w:rsidRPr="00484323">
        <w:rPr>
          <w:rFonts w:cs="Arial"/>
          <w:rtl/>
        </w:rPr>
        <w:t>י</w:t>
      </w:r>
      <w:r>
        <w:rPr>
          <w:rFonts w:cs="Arial" w:hint="cs"/>
          <w:rtl/>
        </w:rPr>
        <w:t>ב</w:t>
      </w:r>
      <w:r>
        <w:rPr>
          <w:rFonts w:cs="Arial"/>
          <w:rtl/>
        </w:rPr>
        <w:t>של בלא קריעה שתי וערב ועם בשר אין חילוק עכ"</w:t>
      </w:r>
      <w:r>
        <w:rPr>
          <w:rFonts w:cs="Arial" w:hint="cs"/>
          <w:rtl/>
        </w:rPr>
        <w:t>ד.</w:t>
      </w:r>
      <w:r w:rsidRPr="00484323">
        <w:rPr>
          <w:rFonts w:cs="Arial"/>
          <w:rtl/>
        </w:rPr>
        <w:t xml:space="preserve"> ו</w:t>
      </w:r>
      <w:r>
        <w:rPr>
          <w:rFonts w:cs="Arial" w:hint="cs"/>
          <w:rtl/>
        </w:rPr>
        <w:t xml:space="preserve">כ' הט"ז </w:t>
      </w:r>
      <w:r w:rsidRPr="00950EB7">
        <w:rPr>
          <w:rFonts w:cs="Arial" w:hint="cs"/>
          <w:sz w:val="16"/>
          <w:szCs w:val="16"/>
          <w:rtl/>
        </w:rPr>
        <w:t>(</w:t>
      </w:r>
      <w:r>
        <w:rPr>
          <w:rFonts w:cs="Arial" w:hint="cs"/>
          <w:sz w:val="16"/>
          <w:szCs w:val="16"/>
          <w:rtl/>
        </w:rPr>
        <w:t>שם</w:t>
      </w:r>
      <w:r w:rsidRPr="00950EB7">
        <w:rPr>
          <w:rFonts w:cs="Arial" w:hint="cs"/>
          <w:sz w:val="16"/>
          <w:szCs w:val="16"/>
          <w:rtl/>
        </w:rPr>
        <w:t>)</w:t>
      </w:r>
      <w:r>
        <w:rPr>
          <w:rFonts w:cs="Arial" w:hint="cs"/>
          <w:rtl/>
        </w:rPr>
        <w:t xml:space="preserve"> ד</w:t>
      </w:r>
      <w:r w:rsidRPr="00484323">
        <w:rPr>
          <w:rFonts w:cs="Arial"/>
          <w:rtl/>
        </w:rPr>
        <w:t>היינו לכתחלה דוקא</w:t>
      </w:r>
      <w:r>
        <w:rPr>
          <w:rFonts w:cs="Arial" w:hint="cs"/>
          <w:rtl/>
        </w:rPr>
        <w:t>.</w:t>
      </w:r>
    </w:p>
  </w:footnote>
  <w:footnote w:id="1264">
    <w:p w14:paraId="6156242F" w14:textId="77777777" w:rsidR="004C5A3C" w:rsidRDefault="004C5A3C" w:rsidP="002C39F4">
      <w:pPr>
        <w:pStyle w:val="a5"/>
      </w:pPr>
      <w:r>
        <w:rPr>
          <w:rStyle w:val="a7"/>
        </w:rPr>
        <w:footnoteRef/>
      </w:r>
      <w:r>
        <w:rPr>
          <w:rtl/>
        </w:rPr>
        <w:t xml:space="preserve"> </w:t>
      </w:r>
      <w:r w:rsidRPr="00A82DC5">
        <w:rPr>
          <w:rFonts w:cs="Arial"/>
          <w:rtl/>
        </w:rPr>
        <w:t>מה שנרשם בש</w:t>
      </w:r>
      <w:r>
        <w:rPr>
          <w:rFonts w:cs="Arial" w:hint="cs"/>
          <w:rtl/>
        </w:rPr>
        <w:t>ו</w:t>
      </w:r>
      <w:r w:rsidRPr="00A82DC5">
        <w:rPr>
          <w:rFonts w:cs="Arial"/>
          <w:rtl/>
        </w:rPr>
        <w:t xml:space="preserve">"ע </w:t>
      </w:r>
      <w:r>
        <w:rPr>
          <w:rFonts w:cs="Arial" w:hint="cs"/>
          <w:sz w:val="16"/>
          <w:szCs w:val="16"/>
          <w:rtl/>
        </w:rPr>
        <w:t xml:space="preserve">{בציונים} </w:t>
      </w:r>
      <w:r>
        <w:rPr>
          <w:rFonts w:cs="Arial" w:hint="cs"/>
          <w:rtl/>
        </w:rPr>
        <w:t>-</w:t>
      </w:r>
      <w:r w:rsidRPr="00A82DC5">
        <w:rPr>
          <w:rFonts w:cs="Arial"/>
          <w:rtl/>
        </w:rPr>
        <w:t>ב"י</w:t>
      </w:r>
      <w:r>
        <w:rPr>
          <w:rFonts w:cs="Arial" w:hint="cs"/>
          <w:rtl/>
        </w:rPr>
        <w:t>-</w:t>
      </w:r>
      <w:r>
        <w:rPr>
          <w:rFonts w:cs="Arial"/>
          <w:rtl/>
        </w:rPr>
        <w:t xml:space="preserve"> ר</w:t>
      </w:r>
      <w:r>
        <w:rPr>
          <w:rFonts w:cs="Arial" w:hint="cs"/>
          <w:rtl/>
        </w:rPr>
        <w:t>"</w:t>
      </w:r>
      <w:r>
        <w:rPr>
          <w:rFonts w:cs="Arial"/>
          <w:rtl/>
        </w:rPr>
        <w:t>ל</w:t>
      </w:r>
      <w:r w:rsidRPr="00A82DC5">
        <w:rPr>
          <w:rFonts w:cs="Arial"/>
          <w:rtl/>
        </w:rPr>
        <w:t xml:space="preserve"> דהב"י משוה דין טיגון לבישול כמבואר שם ובחבור זה בס"ב</w:t>
      </w:r>
      <w:r>
        <w:rPr>
          <w:rFonts w:cs="Arial" w:hint="cs"/>
          <w:rtl/>
        </w:rPr>
        <w:t>,</w:t>
      </w:r>
      <w:r>
        <w:rPr>
          <w:rFonts w:cs="Arial"/>
          <w:rtl/>
        </w:rPr>
        <w:t xml:space="preserve"> וא</w:t>
      </w:r>
      <w:r>
        <w:rPr>
          <w:rFonts w:cs="Arial" w:hint="cs"/>
          <w:rtl/>
        </w:rPr>
        <w:t>"</w:t>
      </w:r>
      <w:r>
        <w:rPr>
          <w:rFonts w:cs="Arial"/>
          <w:rtl/>
        </w:rPr>
        <w:t>כ</w:t>
      </w:r>
      <w:r w:rsidRPr="00A82DC5">
        <w:rPr>
          <w:rFonts w:cs="Arial"/>
          <w:rtl/>
        </w:rPr>
        <w:t xml:space="preserve"> למאי דנוהגין בארצותינו שלא לבשלה כלל אפילו לבדה ה"ה לטגנה</w:t>
      </w:r>
      <w:r>
        <w:rPr>
          <w:rFonts w:cs="Arial" w:hint="cs"/>
          <w:rtl/>
        </w:rPr>
        <w:t>,</w:t>
      </w:r>
      <w:r w:rsidRPr="00A82DC5">
        <w:rPr>
          <w:rFonts w:cs="Arial"/>
          <w:rtl/>
        </w:rPr>
        <w:t xml:space="preserve"> אבל ודאי דעת הב"י בהדיא דבין בבישול בין בטיגון נוהגין לכתחלה לבשלה לבדה וכמבואר שם ובס"ב בהדיא</w:t>
      </w:r>
      <w:r>
        <w:rPr>
          <w:rFonts w:cs="Arial" w:hint="cs"/>
          <w:rtl/>
        </w:rPr>
        <w:t>, ש"ך (סקט"ו).</w:t>
      </w:r>
    </w:p>
  </w:footnote>
  <w:footnote w:id="1265">
    <w:p w14:paraId="40B6FBE9" w14:textId="77777777" w:rsidR="004C5A3C" w:rsidRDefault="004C5A3C" w:rsidP="002C39F4">
      <w:pPr>
        <w:pStyle w:val="a5"/>
        <w:rPr>
          <w:rtl/>
        </w:rPr>
      </w:pPr>
      <w:r>
        <w:rPr>
          <w:rStyle w:val="a7"/>
        </w:rPr>
        <w:footnoteRef/>
      </w:r>
      <w:r>
        <w:rPr>
          <w:rtl/>
        </w:rPr>
        <w:t xml:space="preserve"> </w:t>
      </w:r>
      <w:r w:rsidRPr="00A82DC5">
        <w:rPr>
          <w:rFonts w:cs="Arial"/>
          <w:rtl/>
        </w:rPr>
        <w:t>בלא ששים</w:t>
      </w:r>
      <w:r>
        <w:rPr>
          <w:rFonts w:cs="Arial" w:hint="cs"/>
          <w:rtl/>
        </w:rPr>
        <w:t>,</w:t>
      </w:r>
      <w:r w:rsidRPr="00A82DC5">
        <w:rPr>
          <w:rFonts w:cs="Arial"/>
          <w:rtl/>
        </w:rPr>
        <w:t xml:space="preserve"> אבל אם לא קרעו שתי וערב או לא טחו בכותל אפי' דיעבד אסור עד שיהא ס' במים נגד הכחל וכחל מן המנין </w:t>
      </w:r>
      <w:r>
        <w:rPr>
          <w:rFonts w:cs="Arial" w:hint="cs"/>
          <w:sz w:val="16"/>
          <w:szCs w:val="16"/>
          <w:rtl/>
        </w:rPr>
        <w:t>{</w:t>
      </w:r>
      <w:r w:rsidRPr="00A82DC5">
        <w:rPr>
          <w:rFonts w:cs="Arial"/>
          <w:sz w:val="16"/>
          <w:szCs w:val="16"/>
          <w:rtl/>
        </w:rPr>
        <w:t>ובזה אף הכחל עצמו שרי וכ"כ המנ"י</w:t>
      </w:r>
      <w:r>
        <w:rPr>
          <w:rFonts w:cs="Arial" w:hint="cs"/>
          <w:sz w:val="16"/>
          <w:szCs w:val="16"/>
          <w:rtl/>
        </w:rPr>
        <w:t>, רעק"א}</w:t>
      </w:r>
      <w:r>
        <w:rPr>
          <w:rFonts w:cs="Arial" w:hint="cs"/>
          <w:rtl/>
        </w:rPr>
        <w:t xml:space="preserve">, </w:t>
      </w:r>
      <w:r w:rsidRPr="00A82DC5">
        <w:rPr>
          <w:rFonts w:cs="Arial"/>
          <w:rtl/>
        </w:rPr>
        <w:t>כ"כ הפוסקים</w:t>
      </w:r>
      <w:r>
        <w:rPr>
          <w:rFonts w:hint="cs"/>
          <w:rtl/>
        </w:rPr>
        <w:t>, ש"ך (סקט"ז).</w:t>
      </w:r>
    </w:p>
  </w:footnote>
  <w:footnote w:id="1266">
    <w:p w14:paraId="46EAF582" w14:textId="77777777" w:rsidR="004C5A3C" w:rsidRDefault="004C5A3C" w:rsidP="002C39F4">
      <w:pPr>
        <w:pStyle w:val="a5"/>
      </w:pPr>
      <w:r>
        <w:rPr>
          <w:rStyle w:val="a7"/>
        </w:rPr>
        <w:footnoteRef/>
      </w:r>
      <w:r>
        <w:rPr>
          <w:rtl/>
        </w:rPr>
        <w:t xml:space="preserve"> </w:t>
      </w:r>
      <w:r>
        <w:rPr>
          <w:rFonts w:cs="Arial" w:hint="cs"/>
          <w:rtl/>
        </w:rPr>
        <w:t>ו</w:t>
      </w:r>
      <w:r>
        <w:rPr>
          <w:rFonts w:cs="Arial"/>
          <w:rtl/>
        </w:rPr>
        <w:t xml:space="preserve">רש"ל </w:t>
      </w:r>
      <w:r>
        <w:rPr>
          <w:rFonts w:cs="Arial" w:hint="cs"/>
          <w:rtl/>
        </w:rPr>
        <w:t>(</w:t>
      </w:r>
      <w:r>
        <w:rPr>
          <w:rFonts w:cs="Arial"/>
          <w:rtl/>
        </w:rPr>
        <w:t>פכ"ה סי' מ</w:t>
      </w:r>
      <w:r w:rsidRPr="005A3378">
        <w:rPr>
          <w:rFonts w:cs="Arial"/>
          <w:rtl/>
        </w:rPr>
        <w:t>ז</w:t>
      </w:r>
      <w:r>
        <w:rPr>
          <w:rFonts w:cs="Arial" w:hint="cs"/>
          <w:rtl/>
        </w:rPr>
        <w:t>) כ'</w:t>
      </w:r>
      <w:r w:rsidRPr="005A3378">
        <w:rPr>
          <w:rFonts w:cs="Arial"/>
          <w:rtl/>
        </w:rPr>
        <w:t xml:space="preserve"> </w:t>
      </w:r>
      <w:r>
        <w:rPr>
          <w:rFonts w:cs="Arial" w:hint="cs"/>
          <w:rtl/>
        </w:rPr>
        <w:t>ד</w:t>
      </w:r>
      <w:r w:rsidRPr="005A3378">
        <w:rPr>
          <w:rFonts w:cs="Arial"/>
          <w:rtl/>
        </w:rPr>
        <w:t>נראה דאסור אף בדיעבד ואף שאינו מן הדין כלל מ"מ מאחר שכתבו הגאונים דנהגו כל ישראל דלא מבשלין כחל כלל הוי כדבר שנאסר במנין כו' ומ"מ ביבש לא נראה להחמיר כו' עכ"ל</w:t>
      </w:r>
      <w:r>
        <w:rPr>
          <w:rFonts w:cs="Arial" w:hint="cs"/>
          <w:rtl/>
        </w:rPr>
        <w:t>, ט"ז (סק"ח).</w:t>
      </w:r>
    </w:p>
  </w:footnote>
  <w:footnote w:id="1267">
    <w:p w14:paraId="3ED94A3A" w14:textId="77777777" w:rsidR="004C5A3C" w:rsidRDefault="004C5A3C" w:rsidP="002C39F4">
      <w:pPr>
        <w:pStyle w:val="a5"/>
        <w:rPr>
          <w:rtl/>
        </w:rPr>
      </w:pPr>
      <w:r>
        <w:rPr>
          <w:rStyle w:val="a7"/>
        </w:rPr>
        <w:footnoteRef/>
      </w:r>
      <w:r>
        <w:rPr>
          <w:rtl/>
        </w:rPr>
        <w:t xml:space="preserve"> </w:t>
      </w:r>
      <w:r w:rsidRPr="00A82DC5">
        <w:rPr>
          <w:rFonts w:cs="Arial"/>
          <w:rtl/>
        </w:rPr>
        <w:t>היינו מסתמא אבל אי חזינן דיבשה היא ממש פשיטא דאפילו תוך ל' מותר</w:t>
      </w:r>
      <w:r>
        <w:rPr>
          <w:rFonts w:hint="cs"/>
          <w:rtl/>
        </w:rPr>
        <w:t>, ש"ך (סקי"ז).</w:t>
      </w:r>
    </w:p>
  </w:footnote>
  <w:footnote w:id="1268">
    <w:p w14:paraId="31017048" w14:textId="77777777" w:rsidR="004C5A3C" w:rsidRDefault="004C5A3C" w:rsidP="002C39F4">
      <w:pPr>
        <w:pStyle w:val="a5"/>
        <w:rPr>
          <w:rtl/>
        </w:rPr>
      </w:pPr>
      <w:r>
        <w:rPr>
          <w:rStyle w:val="a7"/>
        </w:rPr>
        <w:footnoteRef/>
      </w:r>
      <w:r>
        <w:rPr>
          <w:rtl/>
        </w:rPr>
        <w:t xml:space="preserve"> </w:t>
      </w:r>
      <w:r w:rsidRPr="00A82DC5">
        <w:rPr>
          <w:rFonts w:cs="Arial"/>
          <w:rtl/>
        </w:rPr>
        <w:t>אפילו בלא קריעה כלל</w:t>
      </w:r>
      <w:r>
        <w:rPr>
          <w:rFonts w:cs="Arial" w:hint="cs"/>
          <w:rtl/>
        </w:rPr>
        <w:t>..., ש"ך (סקי"ח).</w:t>
      </w:r>
      <w:r w:rsidRPr="00A82DC5">
        <w:rPr>
          <w:rFonts w:cs="Arial"/>
          <w:rtl/>
        </w:rPr>
        <w:t xml:space="preserve"> </w:t>
      </w:r>
      <w:r w:rsidRPr="00632272">
        <w:rPr>
          <w:rFonts w:hint="cs"/>
          <w:color w:val="FF0000"/>
          <w:rtl/>
        </w:rPr>
        <w:t>צ"ע שוב בדרכ"מ אות ה ובהערה שם אות יב</w:t>
      </w:r>
    </w:p>
  </w:footnote>
  <w:footnote w:id="1269">
    <w:p w14:paraId="1F3D5280" w14:textId="77777777" w:rsidR="004C5A3C" w:rsidRDefault="004C5A3C" w:rsidP="002C39F4">
      <w:pPr>
        <w:pStyle w:val="a5"/>
      </w:pPr>
      <w:r>
        <w:rPr>
          <w:rStyle w:val="a7"/>
        </w:rPr>
        <w:footnoteRef/>
      </w:r>
      <w:r>
        <w:rPr>
          <w:rtl/>
        </w:rPr>
        <w:t xml:space="preserve"> </w:t>
      </w:r>
      <w:r w:rsidRPr="00632272">
        <w:rPr>
          <w:rFonts w:cs="Arial"/>
          <w:rtl/>
        </w:rPr>
        <w:t>והא דקי"ל לעיל ס"ס ע"ח דפשטיד"א אפילו בלא מחבת יש לה דין בישול בקדרה שאני הכא כיון דמדינא שרי אלא משום גזירה אסור וכמו שכתבתי בס"ק כ"א א"כ ודאי דבמחבת דוקא דהוי דומיא דקדירה יש לגזור אבל לא בלא"</w:t>
      </w:r>
      <w:r>
        <w:rPr>
          <w:rFonts w:cs="Arial" w:hint="cs"/>
          <w:rtl/>
        </w:rPr>
        <w:t>ה, ש"ך (סקי"ט).</w:t>
      </w:r>
    </w:p>
  </w:footnote>
  <w:footnote w:id="1270">
    <w:p w14:paraId="0E92B1E6" w14:textId="77777777" w:rsidR="004C5A3C" w:rsidRDefault="004C5A3C" w:rsidP="002C39F4">
      <w:pPr>
        <w:pStyle w:val="a5"/>
      </w:pPr>
      <w:r>
        <w:rPr>
          <w:rStyle w:val="a7"/>
        </w:rPr>
        <w:footnoteRef/>
      </w:r>
      <w:r>
        <w:rPr>
          <w:rtl/>
        </w:rPr>
        <w:t xml:space="preserve"> </w:t>
      </w:r>
      <w:r w:rsidRPr="003024E5">
        <w:rPr>
          <w:rFonts w:asciiTheme="minorBidi" w:hAnsiTheme="minorBidi"/>
          <w:rtl/>
        </w:rPr>
        <w:t>אע"ג ששומן הבשר נכנס בכחל הקילו בכך לפי שאין טעם השומן ניכר בכחל ועוד שלבסוף הוא נפלט דכבולעו כך פולטו</w:t>
      </w:r>
      <w:r>
        <w:rPr>
          <w:rFonts w:asciiTheme="minorBidi" w:hAnsiTheme="minorBidi" w:hint="cs"/>
          <w:rtl/>
        </w:rPr>
        <w:t>, ר"ן.</w:t>
      </w:r>
    </w:p>
  </w:footnote>
  <w:footnote w:id="1271">
    <w:p w14:paraId="2CBF7D47" w14:textId="77777777" w:rsidR="004C5A3C" w:rsidRDefault="004C5A3C" w:rsidP="002C39F4">
      <w:pPr>
        <w:pStyle w:val="a5"/>
        <w:rPr>
          <w:rtl/>
        </w:rPr>
      </w:pPr>
      <w:r>
        <w:rPr>
          <w:rStyle w:val="a7"/>
        </w:rPr>
        <w:footnoteRef/>
      </w:r>
      <w:r>
        <w:rPr>
          <w:rtl/>
        </w:rPr>
        <w:t xml:space="preserve"> </w:t>
      </w:r>
      <w:r>
        <w:rPr>
          <w:rFonts w:hint="cs"/>
          <w:rtl/>
        </w:rPr>
        <w:t>התוס' והרא"ש כתבו דאם נאמר שמדובר בכחל שלם</w:t>
      </w:r>
      <w:r w:rsidRPr="00EA560A">
        <w:rPr>
          <w:rFonts w:cs="Arial"/>
          <w:rtl/>
        </w:rPr>
        <w:t xml:space="preserve"> היאך מותר תותי בישרא והלא שמנונית הבשר נוטף על הכחל</w:t>
      </w:r>
      <w:r w:rsidRPr="00EA560A">
        <w:rPr>
          <w:rFonts w:cs="Arial" w:hint="cs"/>
          <w:rtl/>
        </w:rPr>
        <w:t>,</w:t>
      </w:r>
      <w:r w:rsidRPr="00EA560A">
        <w:rPr>
          <w:rFonts w:cs="Arial"/>
          <w:rtl/>
        </w:rPr>
        <w:t xml:space="preserve"> ואי בקרעו שתי וערב וטחו בכותל </w:t>
      </w:r>
      <w:r>
        <w:rPr>
          <w:rFonts w:cs="Arial" w:hint="cs"/>
          <w:rtl/>
        </w:rPr>
        <w:t xml:space="preserve">מיירי </w:t>
      </w:r>
      <w:r w:rsidRPr="00EA560A">
        <w:rPr>
          <w:rFonts w:cs="Arial"/>
          <w:rtl/>
        </w:rPr>
        <w:t>א</w:t>
      </w:r>
      <w:r w:rsidRPr="00EA560A">
        <w:rPr>
          <w:rFonts w:cs="Arial" w:hint="cs"/>
          <w:rtl/>
        </w:rPr>
        <w:t>"</w:t>
      </w:r>
      <w:r w:rsidRPr="00EA560A">
        <w:rPr>
          <w:rFonts w:cs="Arial"/>
          <w:rtl/>
        </w:rPr>
        <w:t>כ עילוי בישרא נמי לישתרי דהא מותר לבשלו עם הבשר בקדרה</w:t>
      </w:r>
      <w:r w:rsidRPr="00EA560A">
        <w:rPr>
          <w:rFonts w:cs="Arial" w:hint="cs"/>
          <w:rtl/>
        </w:rPr>
        <w:t>,</w:t>
      </w:r>
      <w:r>
        <w:rPr>
          <w:rFonts w:cs="Arial"/>
          <w:rtl/>
        </w:rPr>
        <w:t xml:space="preserve"> </w:t>
      </w:r>
      <w:r>
        <w:rPr>
          <w:rFonts w:cs="Arial" w:hint="cs"/>
          <w:rtl/>
        </w:rPr>
        <w:t xml:space="preserve">לכן </w:t>
      </w:r>
      <w:r w:rsidRPr="00EA560A">
        <w:rPr>
          <w:rFonts w:cs="Arial"/>
          <w:rtl/>
        </w:rPr>
        <w:t>י"</w:t>
      </w:r>
      <w:r>
        <w:rPr>
          <w:rFonts w:cs="Arial" w:hint="cs"/>
          <w:rtl/>
        </w:rPr>
        <w:t>ל ד-...</w:t>
      </w:r>
    </w:p>
  </w:footnote>
  <w:footnote w:id="1272">
    <w:p w14:paraId="4935D386" w14:textId="77777777" w:rsidR="004C5A3C" w:rsidRDefault="004C5A3C" w:rsidP="002C39F4">
      <w:pPr>
        <w:pStyle w:val="a5"/>
      </w:pPr>
      <w:r>
        <w:rPr>
          <w:rStyle w:val="a7"/>
        </w:rPr>
        <w:footnoteRef/>
      </w:r>
      <w:r>
        <w:rPr>
          <w:rtl/>
        </w:rPr>
        <w:t xml:space="preserve"> </w:t>
      </w:r>
      <w:r>
        <w:rPr>
          <w:rFonts w:asciiTheme="minorBidi" w:hAnsiTheme="minorBidi" w:hint="cs"/>
          <w:rtl/>
        </w:rPr>
        <w:t xml:space="preserve">ואם </w:t>
      </w:r>
      <w:r>
        <w:rPr>
          <w:rFonts w:asciiTheme="minorBidi" w:hAnsiTheme="minorBidi"/>
          <w:rtl/>
        </w:rPr>
        <w:t>לא קרעו שתי וערב וטחו אפי</w:t>
      </w:r>
      <w:r>
        <w:rPr>
          <w:rFonts w:asciiTheme="minorBidi" w:hAnsiTheme="minorBidi" w:hint="cs"/>
          <w:rtl/>
        </w:rPr>
        <w:t>'</w:t>
      </w:r>
      <w:r w:rsidRPr="003024E5">
        <w:rPr>
          <w:rFonts w:asciiTheme="minorBidi" w:hAnsiTheme="minorBidi"/>
          <w:rtl/>
        </w:rPr>
        <w:t xml:space="preserve"> תותי בישרא אסור מפני שמנונית הבשר הנוטף על הכחל שיש בו עדיין חלב</w:t>
      </w:r>
      <w:r>
        <w:rPr>
          <w:rFonts w:asciiTheme="minorBidi" w:hAnsiTheme="minorBidi" w:hint="cs"/>
          <w:rtl/>
        </w:rPr>
        <w:t xml:space="preserve">, תוס' ורא"ש. </w:t>
      </w:r>
      <w:r>
        <w:rPr>
          <w:rFonts w:cs="Arial" w:hint="cs"/>
          <w:rtl/>
        </w:rPr>
        <w:t>וכ' ה</w:t>
      </w:r>
      <w:r>
        <w:rPr>
          <w:rFonts w:cs="Arial"/>
          <w:rtl/>
        </w:rPr>
        <w:t>מר</w:t>
      </w:r>
      <w:r>
        <w:rPr>
          <w:rFonts w:cs="Arial" w:hint="cs"/>
          <w:rtl/>
        </w:rPr>
        <w:t>דכי</w:t>
      </w:r>
      <w:r w:rsidRPr="00E72FCB">
        <w:rPr>
          <w:rFonts w:cs="Arial"/>
          <w:rtl/>
        </w:rPr>
        <w:t xml:space="preserve"> </w:t>
      </w:r>
      <w:r w:rsidRPr="00782864">
        <w:rPr>
          <w:rFonts w:cs="Arial"/>
          <w:sz w:val="16"/>
          <w:szCs w:val="16"/>
          <w:rtl/>
        </w:rPr>
        <w:t>(סי' תשב</w:t>
      </w:r>
      <w:r w:rsidRPr="00782864">
        <w:rPr>
          <w:rFonts w:cs="Arial" w:hint="cs"/>
          <w:sz w:val="16"/>
          <w:szCs w:val="16"/>
          <w:rtl/>
        </w:rPr>
        <w:t>, הביאו הדרכ"מ [אות יב]</w:t>
      </w:r>
      <w:r w:rsidRPr="00782864">
        <w:rPr>
          <w:rFonts w:cs="Arial"/>
          <w:sz w:val="16"/>
          <w:szCs w:val="16"/>
          <w:rtl/>
        </w:rPr>
        <w:t xml:space="preserve">) </w:t>
      </w:r>
      <w:r>
        <w:rPr>
          <w:rFonts w:cs="Arial"/>
          <w:rtl/>
        </w:rPr>
        <w:t>דאסור אף בדיע</w:t>
      </w:r>
      <w:r>
        <w:rPr>
          <w:rFonts w:cs="Arial" w:hint="cs"/>
          <w:rtl/>
        </w:rPr>
        <w:t>בד</w:t>
      </w:r>
      <w:r w:rsidRPr="00E72FCB">
        <w:rPr>
          <w:rFonts w:cs="Arial"/>
          <w:rtl/>
        </w:rPr>
        <w:t xml:space="preserve"> </w:t>
      </w:r>
      <w:r>
        <w:rPr>
          <w:rFonts w:cs="Arial" w:hint="cs"/>
          <w:sz w:val="16"/>
          <w:szCs w:val="16"/>
          <w:rtl/>
        </w:rPr>
        <w:t>{תותי בשרא}</w:t>
      </w:r>
      <w:r>
        <w:rPr>
          <w:rFonts w:cs="Arial" w:hint="cs"/>
          <w:rtl/>
        </w:rPr>
        <w:t xml:space="preserve">, </w:t>
      </w:r>
      <w:r>
        <w:rPr>
          <w:rFonts w:cs="Arial"/>
          <w:rtl/>
        </w:rPr>
        <w:t>וכ</w:t>
      </w:r>
      <w:r>
        <w:rPr>
          <w:rFonts w:cs="Arial" w:hint="cs"/>
          <w:rtl/>
        </w:rPr>
        <w:t>"פ ב</w:t>
      </w:r>
      <w:r>
        <w:rPr>
          <w:rFonts w:cs="Arial"/>
          <w:rtl/>
        </w:rPr>
        <w:t xml:space="preserve">או"ה </w:t>
      </w:r>
      <w:r w:rsidRPr="00782864">
        <w:rPr>
          <w:rFonts w:cs="Arial"/>
          <w:sz w:val="16"/>
          <w:szCs w:val="16"/>
          <w:rtl/>
        </w:rPr>
        <w:t>(כלל יח ד</w:t>
      </w:r>
      <w:r w:rsidRPr="00782864">
        <w:rPr>
          <w:rFonts w:cs="Arial" w:hint="cs"/>
          <w:sz w:val="16"/>
          <w:szCs w:val="16"/>
          <w:rtl/>
        </w:rPr>
        <w:t>"</w:t>
      </w:r>
      <w:r w:rsidRPr="00782864">
        <w:rPr>
          <w:rFonts w:cs="Arial"/>
          <w:sz w:val="16"/>
          <w:szCs w:val="16"/>
          <w:rtl/>
        </w:rPr>
        <w:t xml:space="preserve">ב) </w:t>
      </w:r>
      <w:r>
        <w:rPr>
          <w:rFonts w:cs="Arial"/>
          <w:rtl/>
        </w:rPr>
        <w:t>וכ</w:t>
      </w:r>
      <w:r>
        <w:rPr>
          <w:rFonts w:cs="Arial" w:hint="cs"/>
          <w:rtl/>
        </w:rPr>
        <w:t>'</w:t>
      </w:r>
      <w:r w:rsidRPr="00E72FCB">
        <w:rPr>
          <w:rFonts w:cs="Arial"/>
          <w:rtl/>
        </w:rPr>
        <w:t xml:space="preserve"> דדוקא הכחל אסור</w:t>
      </w:r>
      <w:r>
        <w:rPr>
          <w:rFonts w:cs="Arial" w:hint="cs"/>
          <w:rtl/>
        </w:rPr>
        <w:t>,</w:t>
      </w:r>
      <w:r w:rsidRPr="00E72FCB">
        <w:rPr>
          <w:rFonts w:cs="Arial"/>
          <w:rtl/>
        </w:rPr>
        <w:t xml:space="preserve"> א</w:t>
      </w:r>
      <w:r>
        <w:rPr>
          <w:rFonts w:cs="Arial"/>
          <w:rtl/>
        </w:rPr>
        <w:t>בל בשר שעליו שרי בדיעבד אע</w:t>
      </w:r>
      <w:r>
        <w:rPr>
          <w:rFonts w:cs="Arial" w:hint="cs"/>
          <w:rtl/>
        </w:rPr>
        <w:t>"</w:t>
      </w:r>
      <w:r>
        <w:rPr>
          <w:rFonts w:cs="Arial"/>
          <w:rtl/>
        </w:rPr>
        <w:t>ג</w:t>
      </w:r>
      <w:r w:rsidRPr="00E72FCB">
        <w:rPr>
          <w:rFonts w:cs="Arial"/>
          <w:rtl/>
        </w:rPr>
        <w:t xml:space="preserve"> דבשפודים שלנו אין לחלק היינו לכתחילה אבל בדיעבד לא מחזקינן איסורא לחוש שמא נתהפך</w:t>
      </w:r>
      <w:r>
        <w:rPr>
          <w:rFonts w:cs="Arial" w:hint="cs"/>
          <w:rtl/>
        </w:rPr>
        <w:t>.</w:t>
      </w:r>
    </w:p>
  </w:footnote>
  <w:footnote w:id="1273">
    <w:p w14:paraId="3100A781" w14:textId="77777777" w:rsidR="004C5A3C" w:rsidRDefault="004C5A3C" w:rsidP="002C39F4">
      <w:pPr>
        <w:pStyle w:val="a5"/>
      </w:pPr>
      <w:r>
        <w:rPr>
          <w:rStyle w:val="a7"/>
        </w:rPr>
        <w:footnoteRef/>
      </w:r>
      <w:r>
        <w:rPr>
          <w:rtl/>
        </w:rPr>
        <w:t xml:space="preserve"> </w:t>
      </w:r>
      <w:r w:rsidRPr="00491C13">
        <w:rPr>
          <w:rFonts w:cs="Arial"/>
          <w:rtl/>
        </w:rPr>
        <w:t xml:space="preserve">וגם רבינו כתבו אצל דין הכבד </w:t>
      </w:r>
      <w:r w:rsidRPr="00491C13">
        <w:rPr>
          <w:rFonts w:cs="Arial" w:hint="cs"/>
          <w:sz w:val="16"/>
          <w:szCs w:val="16"/>
          <w:rtl/>
        </w:rPr>
        <w:t>(</w:t>
      </w:r>
      <w:r w:rsidRPr="00491C13">
        <w:rPr>
          <w:rFonts w:cs="Arial"/>
          <w:sz w:val="16"/>
          <w:szCs w:val="16"/>
          <w:rtl/>
        </w:rPr>
        <w:t>סי</w:t>
      </w:r>
      <w:r w:rsidRPr="00491C13">
        <w:rPr>
          <w:rFonts w:cs="Arial" w:hint="cs"/>
          <w:sz w:val="16"/>
          <w:szCs w:val="16"/>
          <w:rtl/>
        </w:rPr>
        <w:t>'</w:t>
      </w:r>
      <w:r>
        <w:rPr>
          <w:rFonts w:cs="Arial"/>
          <w:sz w:val="16"/>
          <w:szCs w:val="16"/>
          <w:rtl/>
        </w:rPr>
        <w:t xml:space="preserve"> ע</w:t>
      </w:r>
      <w:r w:rsidRPr="00491C13">
        <w:rPr>
          <w:rFonts w:cs="Arial" w:hint="cs"/>
          <w:sz w:val="16"/>
          <w:szCs w:val="16"/>
          <w:rtl/>
        </w:rPr>
        <w:t>ג</w:t>
      </w:r>
      <w:r>
        <w:rPr>
          <w:rFonts w:cs="Arial" w:hint="cs"/>
          <w:sz w:val="16"/>
          <w:szCs w:val="16"/>
          <w:rtl/>
        </w:rPr>
        <w:t>)</w:t>
      </w:r>
      <w:r w:rsidRPr="00491C13">
        <w:rPr>
          <w:rFonts w:cs="Arial" w:hint="cs"/>
          <w:rtl/>
        </w:rPr>
        <w:t>,</w:t>
      </w:r>
      <w:r w:rsidRPr="00491C13">
        <w:rPr>
          <w:rFonts w:cs="Arial"/>
          <w:rtl/>
        </w:rPr>
        <w:t xml:space="preserve"> ולא ידעתי למה לא כתבו כאן דודאי משמע דגם בכחל סובר רש"י כן דמאי שנא הרי מרימר נתן דין אחד לשניהם ואע"פ שרש"י תפס </w:t>
      </w:r>
      <w:r>
        <w:rPr>
          <w:rFonts w:cs="Arial"/>
          <w:rtl/>
        </w:rPr>
        <w:t>כבד לאו דוקא אלא חדא מינייהו נק</w:t>
      </w:r>
      <w:r>
        <w:rPr>
          <w:rFonts w:cs="Arial" w:hint="cs"/>
          <w:rtl/>
        </w:rPr>
        <w:t>ט</w:t>
      </w:r>
      <w:r>
        <w:rPr>
          <w:rFonts w:hint="cs"/>
          <w:rtl/>
        </w:rPr>
        <w:t xml:space="preserve">, ב"י. וכן נראה מדברי המרדכי (סי' תשא) שלאחר שהשווה בין דין כבד למליחה כ'- </w:t>
      </w:r>
      <w:r w:rsidRPr="00D244ED">
        <w:rPr>
          <w:rFonts w:cs="Arial"/>
          <w:rtl/>
        </w:rPr>
        <w:t>פסק רש"י דשפודין דידן לעולם אסור</w:t>
      </w:r>
      <w:r>
        <w:rPr>
          <w:rFonts w:cs="Arial" w:hint="cs"/>
          <w:rtl/>
        </w:rPr>
        <w:t>.</w:t>
      </w:r>
    </w:p>
  </w:footnote>
  <w:footnote w:id="1274">
    <w:p w14:paraId="0126C1F4" w14:textId="77777777" w:rsidR="004C5A3C" w:rsidRPr="00C61DD5" w:rsidRDefault="004C5A3C" w:rsidP="002C39F4">
      <w:pPr>
        <w:pStyle w:val="a5"/>
        <w:rPr>
          <w:rtl/>
        </w:rPr>
      </w:pPr>
      <w:r>
        <w:rPr>
          <w:rStyle w:val="a7"/>
        </w:rPr>
        <w:footnoteRef/>
      </w:r>
      <w:r>
        <w:rPr>
          <w:rtl/>
        </w:rPr>
        <w:t xml:space="preserve"> </w:t>
      </w:r>
      <w:r>
        <w:rPr>
          <w:rFonts w:asciiTheme="minorBidi" w:hAnsiTheme="minorBidi" w:hint="cs"/>
          <w:rtl/>
        </w:rPr>
        <w:t xml:space="preserve">אך טעמו לאסור שונה מטעמם של התוס' והרא"ש </w:t>
      </w:r>
      <w:r w:rsidRPr="00C61DD5">
        <w:rPr>
          <w:rFonts w:asciiTheme="minorBidi" w:hAnsiTheme="minorBidi" w:hint="cs"/>
          <w:sz w:val="16"/>
          <w:szCs w:val="16"/>
          <w:rtl/>
        </w:rPr>
        <w:t>(שהרי הר"ן סובר שבגמ' מיירי בכחל שלא קרעוהו</w:t>
      </w:r>
      <w:r>
        <w:rPr>
          <w:rFonts w:asciiTheme="minorBidi" w:hAnsiTheme="minorBidi" w:hint="cs"/>
          <w:sz w:val="16"/>
          <w:szCs w:val="16"/>
          <w:rtl/>
        </w:rPr>
        <w:t>)</w:t>
      </w:r>
      <w:r>
        <w:rPr>
          <w:rFonts w:cs="Arial" w:hint="cs"/>
          <w:rtl/>
        </w:rPr>
        <w:t>, וטעמו הוא ד</w:t>
      </w:r>
      <w:r>
        <w:rPr>
          <w:rFonts w:cs="Arial"/>
          <w:rtl/>
        </w:rPr>
        <w:t>בשפוד</w:t>
      </w:r>
      <w:r>
        <w:rPr>
          <w:rFonts w:cs="Arial" w:hint="cs"/>
          <w:rtl/>
        </w:rPr>
        <w:t xml:space="preserve"> הקילו</w:t>
      </w:r>
      <w:r>
        <w:rPr>
          <w:rFonts w:cs="Arial"/>
          <w:rtl/>
        </w:rPr>
        <w:t xml:space="preserve"> </w:t>
      </w:r>
      <w:r>
        <w:rPr>
          <w:rFonts w:cs="Arial" w:hint="cs"/>
          <w:rtl/>
        </w:rPr>
        <w:t>אע"ג</w:t>
      </w:r>
      <w:r>
        <w:rPr>
          <w:rFonts w:cs="Arial"/>
          <w:rtl/>
        </w:rPr>
        <w:t xml:space="preserve"> ששומן הבשר נכנס בכחל</w:t>
      </w:r>
      <w:r w:rsidRPr="00C61DD5">
        <w:rPr>
          <w:rFonts w:cs="Arial"/>
          <w:rtl/>
        </w:rPr>
        <w:t xml:space="preserve"> לפי שאין טעם השומן ניכר בכחל ועוד שלבסוף הוא נפלט דכבולעו כך פולטו</w:t>
      </w:r>
      <w:r>
        <w:rPr>
          <w:rFonts w:cs="Arial" w:hint="cs"/>
          <w:rtl/>
        </w:rPr>
        <w:t xml:space="preserve">, משא"כ בסכין שיש </w:t>
      </w:r>
      <w:r w:rsidRPr="00C61DD5">
        <w:rPr>
          <w:rFonts w:cs="Arial"/>
          <w:rtl/>
        </w:rPr>
        <w:t xml:space="preserve">עליו טיחת בשר </w:t>
      </w:r>
      <w:r>
        <w:rPr>
          <w:rFonts w:cs="Arial" w:hint="cs"/>
          <w:rtl/>
        </w:rPr>
        <w:t>ורוצה לחתוך בו כחל.</w:t>
      </w:r>
    </w:p>
  </w:footnote>
  <w:footnote w:id="1275">
    <w:p w14:paraId="46EB690F" w14:textId="77777777" w:rsidR="004C5A3C" w:rsidRDefault="004C5A3C" w:rsidP="002C39F4">
      <w:pPr>
        <w:pStyle w:val="a5"/>
        <w:rPr>
          <w:rtl/>
        </w:rPr>
      </w:pPr>
      <w:r>
        <w:rPr>
          <w:rStyle w:val="a7"/>
        </w:rPr>
        <w:footnoteRef/>
      </w:r>
      <w:r>
        <w:rPr>
          <w:rtl/>
        </w:rPr>
        <w:t xml:space="preserve"> </w:t>
      </w:r>
      <w:r>
        <w:rPr>
          <w:rFonts w:cs="Arial" w:hint="cs"/>
          <w:rtl/>
        </w:rPr>
        <w:t xml:space="preserve">אבל היכא </w:t>
      </w:r>
      <w:r w:rsidRPr="00AD1B22">
        <w:rPr>
          <w:rFonts w:cs="Arial"/>
          <w:rtl/>
        </w:rPr>
        <w:t>שצלאו בלא קריעה</w:t>
      </w:r>
      <w:r>
        <w:rPr>
          <w:rFonts w:cs="Arial" w:hint="cs"/>
          <w:rtl/>
        </w:rPr>
        <w:t xml:space="preserve"> אין להתיר לחותכו</w:t>
      </w:r>
      <w:r w:rsidRPr="00AD1B22">
        <w:rPr>
          <w:rFonts w:cs="Arial"/>
          <w:rtl/>
        </w:rPr>
        <w:t xml:space="preserve"> בסכין שיש עליו טיחת בשר</w:t>
      </w:r>
      <w:r>
        <w:rPr>
          <w:rFonts w:cs="Arial" w:hint="cs"/>
          <w:rtl/>
        </w:rPr>
        <w:t>,</w:t>
      </w:r>
      <w:r w:rsidRPr="00AD1B22">
        <w:rPr>
          <w:rFonts w:cs="Arial"/>
          <w:rtl/>
        </w:rPr>
        <w:t xml:space="preserve"> שלא כדעת מקצת מפרשים שמקילים בכך</w:t>
      </w:r>
      <w:r>
        <w:rPr>
          <w:rFonts w:hint="cs"/>
          <w:rtl/>
        </w:rPr>
        <w:t>, ר"ן.</w:t>
      </w:r>
      <w:r w:rsidRPr="00435455">
        <w:rPr>
          <w:rFonts w:asciiTheme="minorBidi" w:hAnsiTheme="minorBidi" w:hint="cs"/>
          <w:rtl/>
        </w:rPr>
        <w:t xml:space="preserve"> </w:t>
      </w:r>
      <w:r>
        <w:rPr>
          <w:rFonts w:asciiTheme="minorBidi" w:hAnsiTheme="minorBidi" w:hint="cs"/>
          <w:rtl/>
        </w:rPr>
        <w:t xml:space="preserve">ומיהו </w:t>
      </w:r>
      <w:r w:rsidRPr="00435455">
        <w:rPr>
          <w:rFonts w:asciiTheme="minorBidi" w:hAnsiTheme="minorBidi"/>
          <w:rtl/>
        </w:rPr>
        <w:t>מותר לחתוך כחל בסכין בעודו חי</w:t>
      </w:r>
      <w:r>
        <w:rPr>
          <w:rFonts w:asciiTheme="minorBidi" w:hAnsiTheme="minorBidi"/>
          <w:rtl/>
        </w:rPr>
        <w:t xml:space="preserve"> אע</w:t>
      </w:r>
      <w:r>
        <w:rPr>
          <w:rFonts w:asciiTheme="minorBidi" w:hAnsiTheme="minorBidi" w:hint="cs"/>
          <w:rtl/>
        </w:rPr>
        <w:t>"</w:t>
      </w:r>
      <w:r>
        <w:rPr>
          <w:rFonts w:asciiTheme="minorBidi" w:hAnsiTheme="minorBidi"/>
          <w:rtl/>
        </w:rPr>
        <w:t>פ שלא קרעוהו עדיין</w:t>
      </w:r>
      <w:r>
        <w:rPr>
          <w:rFonts w:asciiTheme="minorBidi" w:hAnsiTheme="minorBidi" w:hint="cs"/>
          <w:rtl/>
        </w:rPr>
        <w:t>,</w:t>
      </w:r>
      <w:r w:rsidRPr="00435455">
        <w:rPr>
          <w:rFonts w:asciiTheme="minorBidi" w:hAnsiTheme="minorBidi" w:hint="cs"/>
          <w:rtl/>
        </w:rPr>
        <w:t xml:space="preserve"> </w:t>
      </w:r>
      <w:r>
        <w:rPr>
          <w:rFonts w:asciiTheme="minorBidi" w:hAnsiTheme="minorBidi" w:hint="cs"/>
          <w:rtl/>
        </w:rPr>
        <w:t xml:space="preserve">רי"ו </w:t>
      </w:r>
      <w:r w:rsidRPr="00435455">
        <w:rPr>
          <w:rFonts w:asciiTheme="minorBidi" w:hAnsiTheme="minorBidi" w:hint="cs"/>
          <w:sz w:val="16"/>
          <w:szCs w:val="16"/>
          <w:rtl/>
        </w:rPr>
        <w:t>([</w:t>
      </w:r>
      <w:r w:rsidRPr="00435455">
        <w:rPr>
          <w:rFonts w:asciiTheme="minorBidi" w:hAnsiTheme="minorBidi"/>
          <w:sz w:val="16"/>
          <w:szCs w:val="16"/>
          <w:rtl/>
        </w:rPr>
        <w:t>ת</w:t>
      </w:r>
      <w:r w:rsidRPr="00435455">
        <w:rPr>
          <w:rFonts w:asciiTheme="minorBidi" w:hAnsiTheme="minorBidi" w:hint="cs"/>
          <w:sz w:val="16"/>
          <w:szCs w:val="16"/>
          <w:rtl/>
        </w:rPr>
        <w:t>א"ו</w:t>
      </w:r>
      <w:r w:rsidRPr="00435455">
        <w:rPr>
          <w:rFonts w:asciiTheme="minorBidi" w:hAnsiTheme="minorBidi"/>
          <w:sz w:val="16"/>
          <w:szCs w:val="16"/>
          <w:rtl/>
        </w:rPr>
        <w:t xml:space="preserve"> נט"ו אות י"א קכז</w:t>
      </w:r>
      <w:r w:rsidRPr="00435455">
        <w:rPr>
          <w:rFonts w:asciiTheme="minorBidi" w:hAnsiTheme="minorBidi" w:hint="cs"/>
          <w:sz w:val="16"/>
          <w:szCs w:val="16"/>
          <w:rtl/>
        </w:rPr>
        <w:t>.] הביאו הדרכ"מ [אות יב]</w:t>
      </w:r>
      <w:r w:rsidRPr="00435455">
        <w:rPr>
          <w:rFonts w:asciiTheme="minorBidi" w:hAnsiTheme="minorBidi"/>
          <w:sz w:val="16"/>
          <w:szCs w:val="16"/>
          <w:rtl/>
        </w:rPr>
        <w:t>)</w:t>
      </w:r>
      <w:r>
        <w:rPr>
          <w:rFonts w:asciiTheme="minorBidi" w:hAnsiTheme="minorBidi" w:hint="cs"/>
          <w:rtl/>
        </w:rPr>
        <w:t>.</w:t>
      </w:r>
    </w:p>
  </w:footnote>
  <w:footnote w:id="1276">
    <w:p w14:paraId="502A3FDD" w14:textId="77777777" w:rsidR="004C5A3C" w:rsidRDefault="004C5A3C" w:rsidP="002C39F4">
      <w:pPr>
        <w:pStyle w:val="a5"/>
        <w:rPr>
          <w:rtl/>
        </w:rPr>
      </w:pPr>
      <w:r>
        <w:rPr>
          <w:rStyle w:val="a7"/>
        </w:rPr>
        <w:footnoteRef/>
      </w:r>
      <w:r>
        <w:rPr>
          <w:rtl/>
        </w:rPr>
        <w:t xml:space="preserve"> </w:t>
      </w:r>
      <w:r w:rsidRPr="00395EE5">
        <w:rPr>
          <w:rFonts w:cs="Arial"/>
          <w:rtl/>
        </w:rPr>
        <w:t xml:space="preserve">ולאפוקי מהני שנזהרים שלא לחתוך כחל רותח בסכין של בשר </w:t>
      </w:r>
      <w:r w:rsidRPr="00782864">
        <w:rPr>
          <w:rFonts w:hint="cs"/>
          <w:sz w:val="16"/>
          <w:szCs w:val="16"/>
          <w:rtl/>
        </w:rPr>
        <w:t>{דמנהג הבל הוא, תוס'</w:t>
      </w:r>
      <w:r>
        <w:rPr>
          <w:rFonts w:hint="cs"/>
          <w:sz w:val="16"/>
          <w:szCs w:val="16"/>
          <w:rtl/>
        </w:rPr>
        <w:t xml:space="preserve">} </w:t>
      </w:r>
      <w:r w:rsidRPr="00395EE5">
        <w:rPr>
          <w:rFonts w:cs="Arial"/>
          <w:rtl/>
        </w:rPr>
        <w:t>דאפילו בשפוד אחד שרי לכתחלה</w:t>
      </w:r>
      <w:r>
        <w:rPr>
          <w:rFonts w:cs="Arial" w:hint="cs"/>
          <w:sz w:val="16"/>
          <w:szCs w:val="16"/>
          <w:rtl/>
        </w:rPr>
        <w:t xml:space="preserve"> {כשהוא תותי בשרא}</w:t>
      </w:r>
      <w:r>
        <w:rPr>
          <w:rFonts w:cs="Arial" w:hint="cs"/>
          <w:rtl/>
        </w:rPr>
        <w:t>, רא"ש</w:t>
      </w:r>
      <w:r w:rsidRPr="00395EE5">
        <w:rPr>
          <w:rFonts w:cs="Arial" w:hint="cs"/>
          <w:rtl/>
        </w:rPr>
        <w:t>.</w:t>
      </w:r>
    </w:p>
  </w:footnote>
  <w:footnote w:id="1277">
    <w:p w14:paraId="7FE0D74D" w14:textId="77777777" w:rsidR="004C5A3C" w:rsidRDefault="004C5A3C" w:rsidP="002C39F4">
      <w:pPr>
        <w:pStyle w:val="a5"/>
      </w:pPr>
      <w:r>
        <w:rPr>
          <w:rStyle w:val="a7"/>
        </w:rPr>
        <w:footnoteRef/>
      </w:r>
      <w:r>
        <w:rPr>
          <w:rtl/>
        </w:rPr>
        <w:t xml:space="preserve"> </w:t>
      </w:r>
      <w:r w:rsidRPr="00C61DD5">
        <w:rPr>
          <w:rFonts w:asciiTheme="minorBidi" w:hAnsiTheme="minorBidi"/>
          <w:rtl/>
        </w:rPr>
        <w:t xml:space="preserve">וכל שכן דאין צריך לחטט שיניו אם רוצה לאכול אח"כ בשר </w:t>
      </w:r>
      <w:r>
        <w:rPr>
          <w:rFonts w:asciiTheme="minorBidi" w:hAnsiTheme="minorBidi"/>
          <w:rtl/>
        </w:rPr>
        <w:t>ודלא כמרדכי דכ</w:t>
      </w:r>
      <w:r>
        <w:rPr>
          <w:rFonts w:asciiTheme="minorBidi" w:hAnsiTheme="minorBidi" w:hint="cs"/>
          <w:rtl/>
        </w:rPr>
        <w:t xml:space="preserve">' </w:t>
      </w:r>
      <w:r w:rsidRPr="00C61DD5">
        <w:rPr>
          <w:rFonts w:asciiTheme="minorBidi" w:hAnsiTheme="minorBidi"/>
          <w:rtl/>
        </w:rPr>
        <w:t>(סי' תרחצ) בשם רש"</w:t>
      </w:r>
      <w:r>
        <w:rPr>
          <w:rFonts w:asciiTheme="minorBidi" w:hAnsiTheme="minorBidi"/>
          <w:rtl/>
        </w:rPr>
        <w:t>י (ספר הפרדס עמ' שב) דבעי חטיטה</w:t>
      </w:r>
      <w:r>
        <w:rPr>
          <w:rFonts w:asciiTheme="minorBidi" w:hAnsiTheme="minorBidi" w:hint="cs"/>
          <w:rtl/>
        </w:rPr>
        <w:t>, או</w:t>
      </w:r>
      <w:r>
        <w:rPr>
          <w:rFonts w:asciiTheme="minorBidi" w:hAnsiTheme="minorBidi"/>
          <w:rtl/>
        </w:rPr>
        <w:t>"</w:t>
      </w:r>
      <w:r>
        <w:rPr>
          <w:rFonts w:asciiTheme="minorBidi" w:hAnsiTheme="minorBidi" w:hint="cs"/>
          <w:rtl/>
        </w:rPr>
        <w:t>ה.</w:t>
      </w:r>
    </w:p>
  </w:footnote>
  <w:footnote w:id="1278">
    <w:p w14:paraId="6FB092E4" w14:textId="77777777" w:rsidR="004C5A3C" w:rsidRDefault="004C5A3C" w:rsidP="002C39F4">
      <w:pPr>
        <w:pStyle w:val="a5"/>
      </w:pPr>
      <w:r>
        <w:rPr>
          <w:rStyle w:val="a7"/>
        </w:rPr>
        <w:footnoteRef/>
      </w:r>
      <w:r>
        <w:rPr>
          <w:rtl/>
        </w:rPr>
        <w:t xml:space="preserve"> </w:t>
      </w:r>
      <w:r>
        <w:rPr>
          <w:rFonts w:hint="cs"/>
          <w:rtl/>
        </w:rPr>
        <w:t>אע"ג דלא קרעו שתי וערב וטחו בכותל לפני הצלייה (כן נ"ל פירוש דבריו).</w:t>
      </w:r>
    </w:p>
  </w:footnote>
  <w:footnote w:id="1279">
    <w:p w14:paraId="640020A6" w14:textId="77777777" w:rsidR="004C5A3C" w:rsidRDefault="004C5A3C" w:rsidP="002C39F4">
      <w:pPr>
        <w:pStyle w:val="a5"/>
        <w:rPr>
          <w:rtl/>
        </w:rPr>
      </w:pPr>
      <w:r>
        <w:rPr>
          <w:rStyle w:val="a7"/>
        </w:rPr>
        <w:footnoteRef/>
      </w:r>
      <w:r>
        <w:rPr>
          <w:rtl/>
        </w:rPr>
        <w:t xml:space="preserve"> </w:t>
      </w:r>
      <w:r w:rsidRPr="003024E5">
        <w:rPr>
          <w:rFonts w:asciiTheme="minorBidi" w:hAnsiTheme="minorBidi"/>
          <w:rtl/>
        </w:rPr>
        <w:t>דהא פסקינן לקמן הלכתא דכחלא עילוי בישרא בשפוד לצלי דיעבד שרי ואע"פ ששניהם רותחים ונוגעים זה בזה</w:t>
      </w:r>
      <w:r>
        <w:rPr>
          <w:rFonts w:asciiTheme="minorBidi" w:hAnsiTheme="minorBidi" w:hint="cs"/>
          <w:rtl/>
        </w:rPr>
        <w:t>,</w:t>
      </w:r>
      <w:r w:rsidRPr="003024E5">
        <w:rPr>
          <w:rFonts w:asciiTheme="minorBidi" w:hAnsiTheme="minorBidi"/>
          <w:rtl/>
        </w:rPr>
        <w:t xml:space="preserve"> וכי אסרינן נמי לכתחלה</w:t>
      </w:r>
      <w:r>
        <w:rPr>
          <w:rFonts w:asciiTheme="minorBidi" w:hAnsiTheme="minorBidi" w:hint="cs"/>
          <w:rtl/>
        </w:rPr>
        <w:t>-</w:t>
      </w:r>
      <w:r w:rsidRPr="003024E5">
        <w:rPr>
          <w:rFonts w:asciiTheme="minorBidi" w:hAnsiTheme="minorBidi"/>
          <w:rtl/>
        </w:rPr>
        <w:t xml:space="preserve"> עילוי בישרא הוא דאסרינן</w:t>
      </w:r>
      <w:r>
        <w:rPr>
          <w:rFonts w:asciiTheme="minorBidi" w:hAnsiTheme="minorBidi" w:hint="cs"/>
          <w:rtl/>
        </w:rPr>
        <w:t>,</w:t>
      </w:r>
      <w:r w:rsidRPr="003024E5">
        <w:rPr>
          <w:rFonts w:asciiTheme="minorBidi" w:hAnsiTheme="minorBidi"/>
          <w:rtl/>
        </w:rPr>
        <w:t xml:space="preserve"> ומשום חלב הנוטף על הבשר</w:t>
      </w:r>
      <w:r>
        <w:rPr>
          <w:rFonts w:asciiTheme="minorBidi" w:hAnsiTheme="minorBidi" w:hint="cs"/>
          <w:rtl/>
        </w:rPr>
        <w:t>,</w:t>
      </w:r>
      <w:r w:rsidRPr="003024E5">
        <w:rPr>
          <w:rFonts w:asciiTheme="minorBidi" w:hAnsiTheme="minorBidi"/>
          <w:rtl/>
        </w:rPr>
        <w:t xml:space="preserve"> אבל תחותי בישרא אע"ג דרותחין הם שרי</w:t>
      </w:r>
      <w:r>
        <w:rPr>
          <w:rFonts w:asciiTheme="minorBidi" w:hAnsiTheme="minorBidi" w:hint="cs"/>
          <w:rtl/>
        </w:rPr>
        <w:t>, רשב"א</w:t>
      </w:r>
      <w:r w:rsidRPr="003024E5">
        <w:rPr>
          <w:rFonts w:asciiTheme="minorBidi" w:hAnsiTheme="minorBidi"/>
          <w:rtl/>
        </w:rPr>
        <w:t xml:space="preserve">. </w:t>
      </w:r>
    </w:p>
  </w:footnote>
  <w:footnote w:id="1280">
    <w:p w14:paraId="73F168D4" w14:textId="77777777" w:rsidR="004C5A3C" w:rsidRDefault="004C5A3C" w:rsidP="002C39F4">
      <w:pPr>
        <w:pStyle w:val="a5"/>
        <w:rPr>
          <w:rtl/>
        </w:rPr>
      </w:pPr>
      <w:r>
        <w:rPr>
          <w:rStyle w:val="a7"/>
        </w:rPr>
        <w:footnoteRef/>
      </w:r>
      <w:r>
        <w:rPr>
          <w:rtl/>
        </w:rPr>
        <w:t xml:space="preserve"> </w:t>
      </w:r>
      <w:r w:rsidRPr="00C61DD5">
        <w:rPr>
          <w:rFonts w:asciiTheme="minorBidi" w:hAnsiTheme="minorBidi"/>
          <w:rtl/>
        </w:rPr>
        <w:t>אף אם נאמר דאסור לחתכו ב</w:t>
      </w:r>
      <w:r>
        <w:rPr>
          <w:rFonts w:asciiTheme="minorBidi" w:hAnsiTheme="minorBidi"/>
          <w:rtl/>
        </w:rPr>
        <w:t>סכין של בשר לאחר צלייתו</w:t>
      </w:r>
      <w:r>
        <w:rPr>
          <w:rFonts w:asciiTheme="minorBidi" w:hAnsiTheme="minorBidi" w:hint="cs"/>
          <w:rtl/>
        </w:rPr>
        <w:t>, כן הבין הדרכ"מ (אות יא) מדברי ה</w:t>
      </w:r>
      <w:r>
        <w:rPr>
          <w:rFonts w:asciiTheme="minorBidi" w:hAnsiTheme="minorBidi"/>
          <w:rtl/>
        </w:rPr>
        <w:t>ר"ן</w:t>
      </w:r>
      <w:r w:rsidRPr="00C61DD5">
        <w:rPr>
          <w:rFonts w:asciiTheme="minorBidi" w:hAnsiTheme="minorBidi"/>
          <w:rtl/>
        </w:rPr>
        <w:t xml:space="preserve"> (</w:t>
      </w:r>
      <w:r>
        <w:rPr>
          <w:rFonts w:asciiTheme="minorBidi" w:hAnsiTheme="minorBidi" w:hint="cs"/>
          <w:rtl/>
        </w:rPr>
        <w:t xml:space="preserve">שם), וכ' שגם </w:t>
      </w:r>
      <w:r>
        <w:rPr>
          <w:rFonts w:asciiTheme="minorBidi" w:hAnsiTheme="minorBidi"/>
          <w:rtl/>
        </w:rPr>
        <w:t>בתוס</w:t>
      </w:r>
      <w:r>
        <w:rPr>
          <w:rFonts w:asciiTheme="minorBidi" w:hAnsiTheme="minorBidi" w:hint="cs"/>
          <w:rtl/>
        </w:rPr>
        <w:t>'</w:t>
      </w:r>
      <w:r w:rsidRPr="00C61DD5">
        <w:rPr>
          <w:rFonts w:asciiTheme="minorBidi" w:hAnsiTheme="minorBidi"/>
          <w:rtl/>
        </w:rPr>
        <w:t xml:space="preserve"> (קיא. ד"ה תותי) ובאשיר"י (פכ"ה סי' כז) משמע נמי להיתר</w:t>
      </w:r>
      <w:r>
        <w:rPr>
          <w:rFonts w:asciiTheme="minorBidi" w:hAnsiTheme="minorBidi" w:hint="cs"/>
          <w:rtl/>
        </w:rPr>
        <w:t>.</w:t>
      </w:r>
      <w:r>
        <w:rPr>
          <w:rFonts w:hint="cs"/>
          <w:rtl/>
        </w:rPr>
        <w:t xml:space="preserve"> אך מדברי הב"י משמע שהבין בדעת התוס' והרא"ש שכיון שאינם מתירים תותי בשרא בלא שקרעו לפנ"כ שתי וערב וטחו בכותל כך </w:t>
      </w:r>
      <w:r w:rsidRPr="00904880">
        <w:rPr>
          <w:rFonts w:cs="Arial" w:hint="cs"/>
          <w:rtl/>
        </w:rPr>
        <w:t>גם בשפוד בזה אחר זה אינם מתירים</w:t>
      </w:r>
      <w:r>
        <w:rPr>
          <w:rFonts w:cs="Arial" w:hint="cs"/>
          <w:rtl/>
        </w:rPr>
        <w:t xml:space="preserve"> אם לא קרעו וטחו לפנ"כ.</w:t>
      </w:r>
    </w:p>
  </w:footnote>
  <w:footnote w:id="1281">
    <w:p w14:paraId="0F4F75C5" w14:textId="77777777" w:rsidR="004C5A3C" w:rsidRDefault="004C5A3C" w:rsidP="002C39F4">
      <w:pPr>
        <w:pStyle w:val="a5"/>
      </w:pPr>
      <w:r>
        <w:rPr>
          <w:rStyle w:val="a7"/>
        </w:rPr>
        <w:footnoteRef/>
      </w:r>
      <w:r>
        <w:rPr>
          <w:rtl/>
        </w:rPr>
        <w:t xml:space="preserve"> </w:t>
      </w:r>
      <w:r w:rsidRPr="00B24749">
        <w:rPr>
          <w:rFonts w:cs="Arial"/>
          <w:rtl/>
        </w:rPr>
        <w:t>דין זה אפילו לדידן אם קר</w:t>
      </w:r>
      <w:r>
        <w:rPr>
          <w:rFonts w:cs="Arial"/>
          <w:rtl/>
        </w:rPr>
        <w:t>עו שתי וערב וטחו בכותל</w:t>
      </w:r>
      <w:r>
        <w:rPr>
          <w:rFonts w:cs="Arial" w:hint="cs"/>
          <w:rtl/>
        </w:rPr>
        <w:t>,</w:t>
      </w:r>
      <w:r>
        <w:rPr>
          <w:rFonts w:cs="Arial"/>
          <w:rtl/>
        </w:rPr>
        <w:t xml:space="preserve"> וכמש</w:t>
      </w:r>
      <w:r>
        <w:rPr>
          <w:rFonts w:cs="Arial" w:hint="cs"/>
          <w:rtl/>
        </w:rPr>
        <w:t>"</w:t>
      </w:r>
      <w:r>
        <w:rPr>
          <w:rFonts w:cs="Arial"/>
          <w:rtl/>
        </w:rPr>
        <w:t>כ</w:t>
      </w:r>
      <w:r w:rsidRPr="00B24749">
        <w:rPr>
          <w:rFonts w:cs="Arial"/>
          <w:rtl/>
        </w:rPr>
        <w:t xml:space="preserve"> הרב בהג"ה</w:t>
      </w:r>
      <w:r>
        <w:rPr>
          <w:rFonts w:cs="Arial" w:hint="cs"/>
          <w:rtl/>
        </w:rPr>
        <w:t>,</w:t>
      </w:r>
      <w:r w:rsidRPr="00B24749">
        <w:rPr>
          <w:rFonts w:cs="Arial"/>
          <w:rtl/>
        </w:rPr>
        <w:t xml:space="preserve"> ול"ד לקדירה שנהגו שלא לבשלה לבדה אפילו ע"י קריעה שתי וערב וטיחה בכותל דמה שהחמירו בקדרה אינו אלא משום גזירה שמא יבאו לבשל עם בשר יחד וזה לא שייך גבי סכין</w:t>
      </w:r>
      <w:r>
        <w:rPr>
          <w:rFonts w:cs="Arial" w:hint="cs"/>
          <w:rtl/>
        </w:rPr>
        <w:t>,</w:t>
      </w:r>
      <w:r w:rsidRPr="00B24749">
        <w:rPr>
          <w:rFonts w:cs="Arial"/>
          <w:rtl/>
        </w:rPr>
        <w:t xml:space="preserve"> סמ"ק סי' רי"ג והגה"מ</w:t>
      </w:r>
      <w:r>
        <w:rPr>
          <w:rFonts w:cs="Arial" w:hint="cs"/>
          <w:rtl/>
        </w:rPr>
        <w:t>, ש"ך (סק"כ).</w:t>
      </w:r>
    </w:p>
  </w:footnote>
  <w:footnote w:id="1282">
    <w:p w14:paraId="7665B7A4" w14:textId="77777777" w:rsidR="004C5A3C" w:rsidRDefault="004C5A3C" w:rsidP="002C39F4">
      <w:pPr>
        <w:pStyle w:val="a5"/>
      </w:pPr>
      <w:r>
        <w:rPr>
          <w:rStyle w:val="a7"/>
        </w:rPr>
        <w:footnoteRef/>
      </w:r>
      <w:r>
        <w:rPr>
          <w:rtl/>
        </w:rPr>
        <w:t xml:space="preserve"> </w:t>
      </w:r>
      <w:r w:rsidRPr="00B24749">
        <w:rPr>
          <w:rFonts w:cs="Arial"/>
          <w:rtl/>
        </w:rPr>
        <w:t xml:space="preserve">ברי"ו כתוב </w:t>
      </w:r>
      <w:r>
        <w:rPr>
          <w:rFonts w:cs="Arial" w:hint="cs"/>
          <w:rtl/>
        </w:rPr>
        <w:t>'</w:t>
      </w:r>
      <w:r w:rsidRPr="00B24749">
        <w:rPr>
          <w:rFonts w:cs="Arial"/>
          <w:rtl/>
        </w:rPr>
        <w:t>ואפילו כחל חי</w:t>
      </w:r>
      <w:r>
        <w:rPr>
          <w:rFonts w:cs="Arial" w:hint="cs"/>
          <w:rtl/>
        </w:rPr>
        <w:t>'</w:t>
      </w:r>
      <w:r w:rsidRPr="00B24749">
        <w:rPr>
          <w:rFonts w:cs="Arial"/>
          <w:rtl/>
        </w:rPr>
        <w:t xml:space="preserve"> וקאי הרבותא על שהיא מלאה חלב</w:t>
      </w:r>
      <w:r>
        <w:rPr>
          <w:rFonts w:cs="Arial" w:hint="cs"/>
          <w:rtl/>
        </w:rPr>
        <w:t>,</w:t>
      </w:r>
      <w:r>
        <w:rPr>
          <w:rFonts w:cs="Arial"/>
          <w:rtl/>
        </w:rPr>
        <w:t xml:space="preserve"> והרב שכ</w:t>
      </w:r>
      <w:r>
        <w:rPr>
          <w:rFonts w:cs="Arial" w:hint="cs"/>
          <w:rtl/>
        </w:rPr>
        <w:t>תב</w:t>
      </w:r>
      <w:r>
        <w:rPr>
          <w:rFonts w:cs="Arial"/>
          <w:rtl/>
        </w:rPr>
        <w:t xml:space="preserve"> </w:t>
      </w:r>
      <w:r>
        <w:rPr>
          <w:rFonts w:cs="Arial" w:hint="cs"/>
          <w:rtl/>
        </w:rPr>
        <w:t>'</w:t>
      </w:r>
      <w:r>
        <w:rPr>
          <w:rFonts w:cs="Arial"/>
          <w:rtl/>
        </w:rPr>
        <w:t>כ</w:t>
      </w:r>
      <w:r>
        <w:rPr>
          <w:rFonts w:cs="Arial" w:hint="cs"/>
          <w:rtl/>
        </w:rPr>
        <w:t xml:space="preserve">ל </w:t>
      </w:r>
      <w:r w:rsidRPr="00B24749">
        <w:rPr>
          <w:rFonts w:cs="Arial"/>
          <w:rtl/>
        </w:rPr>
        <w:t>ש</w:t>
      </w:r>
      <w:r>
        <w:rPr>
          <w:rFonts w:cs="Arial" w:hint="cs"/>
          <w:rtl/>
        </w:rPr>
        <w:t>כן'</w:t>
      </w:r>
      <w:r w:rsidRPr="00B24749">
        <w:rPr>
          <w:rFonts w:cs="Arial"/>
          <w:rtl/>
        </w:rPr>
        <w:t xml:space="preserve"> </w:t>
      </w:r>
      <w:r>
        <w:rPr>
          <w:rFonts w:cs="Arial" w:hint="cs"/>
          <w:rtl/>
        </w:rPr>
        <w:t xml:space="preserve">ר"ל כל שכן </w:t>
      </w:r>
      <w:r w:rsidRPr="00B24749">
        <w:rPr>
          <w:rFonts w:cs="Arial"/>
          <w:rtl/>
        </w:rPr>
        <w:t>כחל חי שאינו רותחת</w:t>
      </w:r>
      <w:r>
        <w:rPr>
          <w:rFonts w:cs="Arial" w:hint="cs"/>
          <w:rtl/>
        </w:rPr>
        <w:t>,</w:t>
      </w:r>
      <w:r w:rsidRPr="00B24749">
        <w:rPr>
          <w:rFonts w:cs="Arial"/>
          <w:rtl/>
        </w:rPr>
        <w:t xml:space="preserve"> ויותר נראה להגיה בלשון הרב </w:t>
      </w:r>
      <w:r>
        <w:rPr>
          <w:rFonts w:cs="Arial" w:hint="cs"/>
          <w:rtl/>
        </w:rPr>
        <w:t>'</w:t>
      </w:r>
      <w:r>
        <w:rPr>
          <w:rFonts w:cs="Arial"/>
          <w:rtl/>
        </w:rPr>
        <w:t>וכן כחל חי</w:t>
      </w:r>
      <w:r w:rsidRPr="00B24749">
        <w:rPr>
          <w:rFonts w:cs="Arial"/>
          <w:rtl/>
        </w:rPr>
        <w:t>'</w:t>
      </w:r>
      <w:r>
        <w:rPr>
          <w:rFonts w:cs="Arial" w:hint="cs"/>
          <w:rtl/>
        </w:rPr>
        <w:t>, ש"ך (סקכ"א). וכ"כ הגר"א (סקכ"ז).</w:t>
      </w:r>
    </w:p>
  </w:footnote>
  <w:footnote w:id="1283">
    <w:p w14:paraId="37430DCF" w14:textId="77777777" w:rsidR="004C5A3C" w:rsidRDefault="004C5A3C" w:rsidP="002C39F4">
      <w:pPr>
        <w:pStyle w:val="a5"/>
        <w:rPr>
          <w:rtl/>
        </w:rPr>
      </w:pPr>
      <w:r>
        <w:rPr>
          <w:rStyle w:val="a7"/>
        </w:rPr>
        <w:footnoteRef/>
      </w:r>
      <w:r>
        <w:rPr>
          <w:rtl/>
        </w:rPr>
        <w:t xml:space="preserve"> </w:t>
      </w:r>
      <w:r w:rsidRPr="00950EB7">
        <w:rPr>
          <w:rFonts w:cs="Arial"/>
          <w:rtl/>
        </w:rPr>
        <w:t>מיירי שמלח הכחל</w:t>
      </w:r>
      <w:r>
        <w:rPr>
          <w:rFonts w:cs="Arial" w:hint="cs"/>
          <w:rtl/>
        </w:rPr>
        <w:t>,</w:t>
      </w:r>
      <w:r w:rsidRPr="00950EB7">
        <w:rPr>
          <w:rFonts w:cs="Arial"/>
          <w:rtl/>
        </w:rPr>
        <w:t xml:space="preserve"> דאל"כ הא עכ"פ צריך ללבן השפוד בלא"ה מכח בשר הכחל שיש בו דם</w:t>
      </w:r>
      <w:r>
        <w:rPr>
          <w:rFonts w:hint="cs"/>
          <w:rtl/>
        </w:rPr>
        <w:t>, ט"ז (סק"ט).</w:t>
      </w:r>
    </w:p>
  </w:footnote>
  <w:footnote w:id="1284">
    <w:p w14:paraId="22758229" w14:textId="77777777" w:rsidR="004C5A3C" w:rsidRDefault="004C5A3C" w:rsidP="002C39F4">
      <w:pPr>
        <w:pStyle w:val="a5"/>
        <w:rPr>
          <w:rtl/>
        </w:rPr>
      </w:pPr>
      <w:r>
        <w:rPr>
          <w:rStyle w:val="a7"/>
        </w:rPr>
        <w:footnoteRef/>
      </w:r>
      <w:r>
        <w:rPr>
          <w:rtl/>
        </w:rPr>
        <w:t xml:space="preserve"> </w:t>
      </w:r>
      <w:r>
        <w:rPr>
          <w:rFonts w:cs="Arial"/>
          <w:rtl/>
        </w:rPr>
        <w:t>וכ</w:t>
      </w:r>
      <w:r>
        <w:rPr>
          <w:rFonts w:cs="Arial" w:hint="cs"/>
          <w:rtl/>
        </w:rPr>
        <w:t>'</w:t>
      </w:r>
      <w:r>
        <w:rPr>
          <w:rFonts w:cs="Arial"/>
          <w:rtl/>
        </w:rPr>
        <w:t xml:space="preserve"> מהרש"ל</w:t>
      </w:r>
      <w:r w:rsidRPr="00950EB7">
        <w:rPr>
          <w:rFonts w:cs="Arial"/>
          <w:sz w:val="14"/>
          <w:szCs w:val="14"/>
          <w:rtl/>
        </w:rPr>
        <w:t xml:space="preserve"> </w:t>
      </w:r>
      <w:r w:rsidRPr="00950EB7">
        <w:rPr>
          <w:rFonts w:cs="Arial" w:hint="cs"/>
          <w:sz w:val="14"/>
          <w:szCs w:val="14"/>
          <w:rtl/>
        </w:rPr>
        <w:t>(ב</w:t>
      </w:r>
      <w:r w:rsidRPr="00950EB7">
        <w:rPr>
          <w:rFonts w:cs="Arial"/>
          <w:sz w:val="14"/>
          <w:szCs w:val="14"/>
          <w:rtl/>
        </w:rPr>
        <w:t>או"ש</w:t>
      </w:r>
      <w:r w:rsidRPr="00950EB7">
        <w:rPr>
          <w:rFonts w:cs="Arial" w:hint="cs"/>
          <w:sz w:val="14"/>
          <w:szCs w:val="14"/>
          <w:rtl/>
        </w:rPr>
        <w:t>, הביאו הש"ך [סקכ"ג])</w:t>
      </w:r>
      <w:r w:rsidRPr="00950EB7">
        <w:rPr>
          <w:rFonts w:cs="Arial"/>
          <w:rtl/>
        </w:rPr>
        <w:t xml:space="preserve"> דאם נצלה כל צרכו אפילו לא טחו בכותל אלא קרעו שתי וערב מותר לחתכו בסכין של בשר ולא בעינן טיחה אלא כשלא נצלה כל צרכו</w:t>
      </w:r>
      <w:r>
        <w:rPr>
          <w:rFonts w:cs="Arial" w:hint="cs"/>
          <w:rtl/>
        </w:rPr>
        <w:t>,</w:t>
      </w:r>
      <w:r w:rsidRPr="00950EB7">
        <w:rPr>
          <w:rFonts w:cs="Arial"/>
          <w:rtl/>
        </w:rPr>
        <w:t xml:space="preserve"> אבל לאחר שנצלה כל צרכו וגם קרעו היטב קורא אני</w:t>
      </w:r>
      <w:r>
        <w:rPr>
          <w:rFonts w:cs="Arial"/>
          <w:rtl/>
        </w:rPr>
        <w:t xml:space="preserve"> על המחמיר חסיד שוטה והדיוט</w:t>
      </w:r>
      <w:r>
        <w:rPr>
          <w:rFonts w:cs="Arial" w:hint="cs"/>
          <w:rtl/>
        </w:rPr>
        <w:t>.</w:t>
      </w:r>
    </w:p>
  </w:footnote>
  <w:footnote w:id="1285">
    <w:p w14:paraId="110F2F12" w14:textId="77777777" w:rsidR="004C5A3C" w:rsidRDefault="004C5A3C" w:rsidP="002C39F4">
      <w:pPr>
        <w:pStyle w:val="a5"/>
      </w:pPr>
      <w:r>
        <w:rPr>
          <w:rStyle w:val="a7"/>
        </w:rPr>
        <w:footnoteRef/>
      </w:r>
      <w:r>
        <w:rPr>
          <w:rtl/>
        </w:rPr>
        <w:t xml:space="preserve"> </w:t>
      </w:r>
      <w:r w:rsidRPr="006C747E">
        <w:rPr>
          <w:rFonts w:cs="Arial"/>
          <w:rtl/>
        </w:rPr>
        <w:t>ומדברי מהרש"ל באו"ש נראה דאם לא קרעו שתי וערב וטוח בכותל צריך השפוד לבון</w:t>
      </w:r>
      <w:r>
        <w:rPr>
          <w:rFonts w:cs="Arial" w:hint="cs"/>
          <w:rtl/>
        </w:rPr>
        <w:t>,</w:t>
      </w:r>
      <w:r w:rsidRPr="006C747E">
        <w:rPr>
          <w:rFonts w:cs="Arial"/>
          <w:rtl/>
        </w:rPr>
        <w:t xml:space="preserve"> ובלא"ה</w:t>
      </w:r>
      <w:r>
        <w:rPr>
          <w:rFonts w:cs="Arial" w:hint="cs"/>
          <w:rtl/>
        </w:rPr>
        <w:t>-</w:t>
      </w:r>
      <w:r w:rsidRPr="006C747E">
        <w:rPr>
          <w:rFonts w:cs="Arial"/>
          <w:rtl/>
        </w:rPr>
        <w:t xml:space="preserve"> אפילו דיעבד אסור</w:t>
      </w:r>
      <w:r>
        <w:rPr>
          <w:rFonts w:cs="Arial" w:hint="cs"/>
          <w:rtl/>
        </w:rPr>
        <w:t>,</w:t>
      </w:r>
      <w:r w:rsidRPr="006C747E">
        <w:rPr>
          <w:rFonts w:cs="Arial"/>
          <w:rtl/>
        </w:rPr>
        <w:t xml:space="preserve"> ודברי הרב נראין</w:t>
      </w:r>
      <w:r>
        <w:rPr>
          <w:rFonts w:cs="Arial" w:hint="cs"/>
          <w:rtl/>
        </w:rPr>
        <w:t>,</w:t>
      </w:r>
      <w:r w:rsidRPr="006C747E">
        <w:rPr>
          <w:rFonts w:cs="Arial"/>
          <w:rtl/>
        </w:rPr>
        <w:t xml:space="preserve"> ועוד שמדברי הרשב"א והר"ן ומביאם ב"י בקוצר נראה להדיא דאפילו לכתחלה מותר לצלות בשפוד א' פעמים בשר ופעמים כחל אפילו בלא קריעה כלל</w:t>
      </w:r>
      <w:r>
        <w:rPr>
          <w:rFonts w:cs="Arial" w:hint="cs"/>
          <w:rtl/>
        </w:rPr>
        <w:t>,</w:t>
      </w:r>
      <w:r w:rsidRPr="006C747E">
        <w:rPr>
          <w:rFonts w:cs="Arial"/>
          <w:rtl/>
        </w:rPr>
        <w:t xml:space="preserve"> ואפשר לומר דאף מהרש"ל לכתחלה קאמר</w:t>
      </w:r>
      <w:r>
        <w:rPr>
          <w:rFonts w:cs="Arial" w:hint="cs"/>
          <w:rtl/>
        </w:rPr>
        <w:t>, ש"ך (סקכ"ד).</w:t>
      </w:r>
    </w:p>
  </w:footnote>
  <w:footnote w:id="1286">
    <w:p w14:paraId="0E8D86A8" w14:textId="77777777" w:rsidR="004C5A3C" w:rsidRDefault="004C5A3C" w:rsidP="002C39F4">
      <w:pPr>
        <w:pStyle w:val="a5"/>
        <w:rPr>
          <w:rtl/>
        </w:rPr>
      </w:pPr>
      <w:r>
        <w:rPr>
          <w:rStyle w:val="a7"/>
        </w:rPr>
        <w:footnoteRef/>
      </w:r>
      <w:r>
        <w:rPr>
          <w:rtl/>
        </w:rPr>
        <w:t xml:space="preserve"> </w:t>
      </w:r>
      <w:r w:rsidRPr="00950EB7">
        <w:rPr>
          <w:rFonts w:cs="Arial"/>
          <w:rtl/>
        </w:rPr>
        <w:t>הטעם שם באו"ה שחלב שחוטה היא גזירת חכמים משום בשר בחלב וכל שלא פירש לא גזרו</w:t>
      </w:r>
      <w:r>
        <w:rPr>
          <w:rFonts w:cs="Arial" w:hint="cs"/>
          <w:rtl/>
        </w:rPr>
        <w:t>,</w:t>
      </w:r>
      <w:r w:rsidRPr="00950EB7">
        <w:rPr>
          <w:rFonts w:cs="Arial"/>
          <w:rtl/>
        </w:rPr>
        <w:t xml:space="preserve"> ועוד דלא גרע מדם האיברים שלא פירש בצלייה שמותר</w:t>
      </w:r>
      <w:r>
        <w:rPr>
          <w:rFonts w:cs="Arial" w:hint="cs"/>
          <w:rtl/>
        </w:rPr>
        <w:t>,</w:t>
      </w:r>
      <w:r w:rsidRPr="00950EB7">
        <w:rPr>
          <w:rFonts w:cs="Arial"/>
          <w:rtl/>
        </w:rPr>
        <w:t xml:space="preserve"> אבל אם לא נקרע כדינו הוי חלב כנוס בתוכו ומקרי פירש ואסור מדרבנן</w:t>
      </w:r>
      <w:r>
        <w:rPr>
          <w:rFonts w:hint="cs"/>
          <w:rtl/>
        </w:rPr>
        <w:t>, ט"ז (סקי"א).</w:t>
      </w:r>
    </w:p>
  </w:footnote>
  <w:footnote w:id="1287">
    <w:p w14:paraId="66738896" w14:textId="77777777" w:rsidR="004C5A3C" w:rsidRDefault="004C5A3C" w:rsidP="002C39F4">
      <w:pPr>
        <w:pStyle w:val="a5"/>
      </w:pPr>
      <w:r>
        <w:rPr>
          <w:rStyle w:val="a7"/>
        </w:rPr>
        <w:footnoteRef/>
      </w:r>
      <w:r>
        <w:rPr>
          <w:rtl/>
        </w:rPr>
        <w:t xml:space="preserve"> </w:t>
      </w:r>
      <w:r w:rsidRPr="006C747E">
        <w:rPr>
          <w:rFonts w:cs="Arial"/>
          <w:rtl/>
        </w:rPr>
        <w:t>הטעם שם באו"ה לפי שחלב שחוטה מדרבנן לא גזרו ביה רבנן</w:t>
      </w:r>
      <w:r>
        <w:rPr>
          <w:rFonts w:cs="Arial"/>
          <w:rtl/>
        </w:rPr>
        <w:t xml:space="preserve"> בצונן לומר כבוש כמבושל א</w:t>
      </w:r>
      <w:r>
        <w:rPr>
          <w:rFonts w:cs="Arial" w:hint="cs"/>
          <w:rtl/>
        </w:rPr>
        <w:t>ע"פ</w:t>
      </w:r>
      <w:r w:rsidRPr="006C747E">
        <w:rPr>
          <w:rFonts w:cs="Arial"/>
          <w:rtl/>
        </w:rPr>
        <w:t xml:space="preserve"> שהחלב הוא צלול בעין</w:t>
      </w:r>
      <w:r>
        <w:rPr>
          <w:rFonts w:cs="Arial" w:hint="cs"/>
          <w:rtl/>
        </w:rPr>
        <w:t>,</w:t>
      </w:r>
      <w:r w:rsidRPr="006C747E">
        <w:rPr>
          <w:rFonts w:cs="Arial"/>
          <w:rtl/>
        </w:rPr>
        <w:t xml:space="preserve"> ומיהו אם היה בשר אחר שרוי בצונן בחלב שחוטה או אפילו הכחל עצמה לאחר שפירש החלב פעם אחת ממנה בזה אין אנו מחלקים ואפי' בצונן אסור כמו בחלב אחר</w:t>
      </w:r>
      <w:r>
        <w:rPr>
          <w:rFonts w:cs="Arial" w:hint="cs"/>
          <w:rtl/>
        </w:rPr>
        <w:t>,</w:t>
      </w:r>
      <w:r w:rsidRPr="006C747E">
        <w:rPr>
          <w:rFonts w:cs="Arial"/>
          <w:rtl/>
        </w:rPr>
        <w:t xml:space="preserve"> ותמוהי</w:t>
      </w:r>
      <w:r>
        <w:rPr>
          <w:rFonts w:cs="Arial"/>
          <w:rtl/>
        </w:rPr>
        <w:t>ן דבריו דבסמוך לפני זה</w:t>
      </w:r>
      <w:r>
        <w:rPr>
          <w:rFonts w:cs="Arial" w:hint="cs"/>
          <w:rtl/>
        </w:rPr>
        <w:t xml:space="preserve"> </w:t>
      </w:r>
      <w:r>
        <w:rPr>
          <w:rFonts w:cs="Arial" w:hint="cs"/>
          <w:sz w:val="14"/>
          <w:szCs w:val="14"/>
          <w:rtl/>
        </w:rPr>
        <w:t>(סקי"א)</w:t>
      </w:r>
      <w:r>
        <w:rPr>
          <w:rFonts w:cs="Arial"/>
          <w:rtl/>
        </w:rPr>
        <w:t xml:space="preserve"> העתקתי דבריו שכ</w:t>
      </w:r>
      <w:r>
        <w:rPr>
          <w:rFonts w:cs="Arial" w:hint="cs"/>
          <w:rtl/>
        </w:rPr>
        <w:t>תב</w:t>
      </w:r>
      <w:r w:rsidRPr="006C747E">
        <w:rPr>
          <w:rFonts w:cs="Arial"/>
          <w:rtl/>
        </w:rPr>
        <w:t xml:space="preserve"> דמה שכנוס בתוכו מיקרי פירש</w:t>
      </w:r>
      <w:r>
        <w:rPr>
          <w:rFonts w:cs="Arial" w:hint="cs"/>
          <w:rtl/>
        </w:rPr>
        <w:t>,</w:t>
      </w:r>
      <w:r w:rsidRPr="006C747E">
        <w:rPr>
          <w:rFonts w:cs="Arial"/>
          <w:rtl/>
        </w:rPr>
        <w:t xml:space="preserve"> וצ"ל דעתו מאחר שהוא עדיין כנוס בתוכו הוי היכרא ולא את</w:t>
      </w:r>
      <w:r>
        <w:rPr>
          <w:rFonts w:cs="Arial"/>
          <w:rtl/>
        </w:rPr>
        <w:t>א למטעי להתיר בבשר בחלב דאו</w:t>
      </w:r>
      <w:r>
        <w:rPr>
          <w:rFonts w:cs="Arial" w:hint="cs"/>
          <w:rtl/>
        </w:rPr>
        <w:t>',</w:t>
      </w:r>
      <w:r w:rsidRPr="006C747E">
        <w:rPr>
          <w:rFonts w:cs="Arial"/>
          <w:rtl/>
        </w:rPr>
        <w:t xml:space="preserve"> אמנם תמהתי על פה קדוש יאמר כן לאסור בזה בשאר בשר בכבוש בחלב שחוטה דהא עיקר האיסור משום גזירה דבשר בחלב בעלמא והא בכבוש כמבושל אפילו בשאר בשר בחלב מן התורה שרי דלא אסרה התורה רק דרך בישול רק שמדרבנן אסורה</w:t>
      </w:r>
      <w:r>
        <w:rPr>
          <w:rFonts w:cs="Arial" w:hint="cs"/>
          <w:rtl/>
        </w:rPr>
        <w:t>,</w:t>
      </w:r>
      <w:r w:rsidRPr="006C747E">
        <w:rPr>
          <w:rFonts w:cs="Arial"/>
          <w:rtl/>
        </w:rPr>
        <w:t xml:space="preserve"> כמ"ש סי' ק"ה</w:t>
      </w:r>
      <w:r>
        <w:rPr>
          <w:rFonts w:cs="Arial" w:hint="cs"/>
          <w:rtl/>
        </w:rPr>
        <w:t>,</w:t>
      </w:r>
      <w:r w:rsidRPr="006C747E">
        <w:rPr>
          <w:rFonts w:cs="Arial"/>
          <w:rtl/>
        </w:rPr>
        <w:t xml:space="preserve"> א"כ ה"ל גזירה לגזירה בחלב שחוטה ומנלן למיגזר ביה גזירה לגזירה</w:t>
      </w:r>
      <w:r>
        <w:rPr>
          <w:rFonts w:cs="Arial" w:hint="cs"/>
          <w:rtl/>
        </w:rPr>
        <w:t>,</w:t>
      </w:r>
      <w:r w:rsidRPr="006C747E">
        <w:rPr>
          <w:rFonts w:cs="Arial"/>
          <w:rtl/>
        </w:rPr>
        <w:t xml:space="preserve"> וכ"נ דעת רמ"א כאן שלא העתיק לאיסור בש</w:t>
      </w:r>
      <w:r>
        <w:rPr>
          <w:rFonts w:cs="Arial"/>
          <w:rtl/>
        </w:rPr>
        <w:t>אר בשר בכבוש בחלב שחוטה א</w:t>
      </w:r>
      <w:r>
        <w:rPr>
          <w:rFonts w:cs="Arial" w:hint="cs"/>
          <w:rtl/>
        </w:rPr>
        <w:t>ע"</w:t>
      </w:r>
      <w:r>
        <w:rPr>
          <w:rFonts w:cs="Arial"/>
          <w:rtl/>
        </w:rPr>
        <w:t>פ</w:t>
      </w:r>
      <w:r w:rsidRPr="006C747E">
        <w:rPr>
          <w:rFonts w:cs="Arial"/>
          <w:rtl/>
        </w:rPr>
        <w:t xml:space="preserve"> שבת"ח העתיקו אפשר דכאן עשה כן בכוונה מטעם שכתבתי כנלע"ד</w:t>
      </w:r>
      <w:r>
        <w:rPr>
          <w:rFonts w:cs="Arial" w:hint="cs"/>
          <w:rtl/>
        </w:rPr>
        <w:t>, ט"ז (סקי"ב).</w:t>
      </w:r>
    </w:p>
  </w:footnote>
  <w:footnote w:id="1288">
    <w:p w14:paraId="794BCD1D" w14:textId="77777777" w:rsidR="004C5A3C" w:rsidRDefault="004C5A3C" w:rsidP="002C39F4">
      <w:pPr>
        <w:pStyle w:val="a5"/>
      </w:pPr>
      <w:r>
        <w:rPr>
          <w:rStyle w:val="a7"/>
        </w:rPr>
        <w:footnoteRef/>
      </w:r>
      <w:r>
        <w:rPr>
          <w:rtl/>
        </w:rPr>
        <w:t xml:space="preserve"> </w:t>
      </w:r>
      <w:r>
        <w:rPr>
          <w:rFonts w:hint="cs"/>
          <w:rtl/>
        </w:rPr>
        <w:t>וז"ל-</w:t>
      </w:r>
      <w:r w:rsidRPr="00111F9D">
        <w:rPr>
          <w:rFonts w:asciiTheme="minorBidi" w:hAnsiTheme="minorBidi" w:cs="Arial"/>
          <w:rtl/>
        </w:rPr>
        <w:t xml:space="preserve"> </w:t>
      </w:r>
      <w:r w:rsidRPr="00D244ED">
        <w:rPr>
          <w:rFonts w:asciiTheme="minorBidi" w:hAnsiTheme="minorBidi" w:cs="Arial"/>
          <w:rtl/>
        </w:rPr>
        <w:t>כדין צליה כך דין מליחה עילוי בישרא לכתח</w:t>
      </w:r>
      <w:r>
        <w:rPr>
          <w:rFonts w:asciiTheme="minorBidi" w:hAnsiTheme="minorBidi" w:cs="Arial" w:hint="cs"/>
          <w:rtl/>
        </w:rPr>
        <w:t>'</w:t>
      </w:r>
      <w:r>
        <w:rPr>
          <w:rFonts w:asciiTheme="minorBidi" w:hAnsiTheme="minorBidi" w:cs="Arial"/>
          <w:rtl/>
        </w:rPr>
        <w:t xml:space="preserve"> אסור דיעבד שרי</w:t>
      </w:r>
      <w:r>
        <w:rPr>
          <w:rFonts w:asciiTheme="minorBidi" w:hAnsiTheme="minorBidi" w:cs="Arial" w:hint="cs"/>
          <w:rtl/>
        </w:rPr>
        <w:t>,</w:t>
      </w:r>
      <w:r>
        <w:rPr>
          <w:rFonts w:asciiTheme="minorBidi" w:hAnsiTheme="minorBidi" w:cs="Arial"/>
          <w:rtl/>
        </w:rPr>
        <w:t xml:space="preserve"> בכבדא אע</w:t>
      </w:r>
      <w:r>
        <w:rPr>
          <w:rFonts w:asciiTheme="minorBidi" w:hAnsiTheme="minorBidi" w:cs="Arial" w:hint="cs"/>
          <w:rtl/>
        </w:rPr>
        <w:t>"</w:t>
      </w:r>
      <w:r>
        <w:rPr>
          <w:rFonts w:asciiTheme="minorBidi" w:hAnsiTheme="minorBidi" w:cs="Arial"/>
          <w:rtl/>
        </w:rPr>
        <w:t>פ</w:t>
      </w:r>
      <w:r w:rsidRPr="00D244ED">
        <w:rPr>
          <w:rFonts w:asciiTheme="minorBidi" w:hAnsiTheme="minorBidi" w:cs="Arial"/>
          <w:rtl/>
        </w:rPr>
        <w:t xml:space="preserve"> שרוב</w:t>
      </w:r>
      <w:r>
        <w:rPr>
          <w:rFonts w:asciiTheme="minorBidi" w:hAnsiTheme="minorBidi" w:cs="Arial"/>
          <w:rtl/>
        </w:rPr>
        <w:t xml:space="preserve"> דם מ"מ משרק שריק</w:t>
      </w:r>
      <w:r>
        <w:rPr>
          <w:rFonts w:asciiTheme="minorBidi" w:hAnsiTheme="minorBidi" w:cs="Arial" w:hint="cs"/>
          <w:rtl/>
        </w:rPr>
        <w:t>,</w:t>
      </w:r>
      <w:r>
        <w:rPr>
          <w:rFonts w:asciiTheme="minorBidi" w:hAnsiTheme="minorBidi" w:cs="Arial"/>
          <w:rtl/>
        </w:rPr>
        <w:t xml:space="preserve"> ובכחל אע</w:t>
      </w:r>
      <w:r>
        <w:rPr>
          <w:rFonts w:asciiTheme="minorBidi" w:hAnsiTheme="minorBidi" w:cs="Arial" w:hint="cs"/>
          <w:rtl/>
        </w:rPr>
        <w:t>"</w:t>
      </w:r>
      <w:r>
        <w:rPr>
          <w:rFonts w:asciiTheme="minorBidi" w:hAnsiTheme="minorBidi" w:cs="Arial"/>
          <w:rtl/>
        </w:rPr>
        <w:t>פ</w:t>
      </w:r>
      <w:r w:rsidRPr="00D244ED">
        <w:rPr>
          <w:rFonts w:asciiTheme="minorBidi" w:hAnsiTheme="minorBidi" w:cs="Arial"/>
          <w:rtl/>
        </w:rPr>
        <w:t xml:space="preserve"> שהחלב הנוטף ממנו סריך קצת על הבשר מ"מ כיון דחלב שחוטה דרבנן מותר</w:t>
      </w:r>
      <w:r>
        <w:rPr>
          <w:rFonts w:asciiTheme="minorBidi" w:hAnsiTheme="minorBidi" w:cs="Arial" w:hint="cs"/>
          <w:rtl/>
        </w:rPr>
        <w:t>.</w:t>
      </w:r>
    </w:p>
  </w:footnote>
  <w:footnote w:id="1289">
    <w:p w14:paraId="6C08BD94" w14:textId="77777777" w:rsidR="004C5A3C" w:rsidRPr="00111F9D" w:rsidRDefault="004C5A3C" w:rsidP="002C39F4">
      <w:pPr>
        <w:pStyle w:val="a5"/>
        <w:rPr>
          <w:rtl/>
        </w:rPr>
      </w:pPr>
      <w:r w:rsidRPr="00111F9D">
        <w:rPr>
          <w:rStyle w:val="a7"/>
        </w:rPr>
        <w:footnoteRef/>
      </w:r>
      <w:r w:rsidRPr="00111F9D">
        <w:rPr>
          <w:rtl/>
        </w:rPr>
        <w:t xml:space="preserve"> </w:t>
      </w:r>
      <w:r w:rsidRPr="00111F9D">
        <w:rPr>
          <w:rFonts w:asciiTheme="minorBidi" w:hAnsiTheme="minorBidi"/>
          <w:rtl/>
        </w:rPr>
        <w:t>משום דמליח כרותח דצלי, ב"י</w:t>
      </w:r>
      <w:r w:rsidRPr="00111F9D">
        <w:rPr>
          <w:rFonts w:hint="cs"/>
          <w:rtl/>
        </w:rPr>
        <w:t>.</w:t>
      </w:r>
    </w:p>
  </w:footnote>
  <w:footnote w:id="1290">
    <w:p w14:paraId="265DD446" w14:textId="77777777" w:rsidR="004C5A3C" w:rsidRDefault="004C5A3C" w:rsidP="002C39F4">
      <w:pPr>
        <w:pStyle w:val="a5"/>
        <w:rPr>
          <w:rtl/>
        </w:rPr>
      </w:pPr>
      <w:r>
        <w:rPr>
          <w:rStyle w:val="a7"/>
        </w:rPr>
        <w:footnoteRef/>
      </w:r>
      <w:r>
        <w:rPr>
          <w:rtl/>
        </w:rPr>
        <w:t xml:space="preserve"> </w:t>
      </w:r>
      <w:r>
        <w:rPr>
          <w:rFonts w:cs="Arial" w:hint="cs"/>
          <w:rtl/>
        </w:rPr>
        <w:t>ומדברי ה</w:t>
      </w:r>
      <w:r w:rsidRPr="009C5D4B">
        <w:rPr>
          <w:rFonts w:cs="Arial"/>
          <w:rtl/>
        </w:rPr>
        <w:t>רמב"ם</w:t>
      </w:r>
      <w:r>
        <w:rPr>
          <w:rFonts w:cs="Arial" w:hint="cs"/>
          <w:rtl/>
        </w:rPr>
        <w:t xml:space="preserve"> </w:t>
      </w:r>
      <w:r w:rsidRPr="009C5D4B">
        <w:rPr>
          <w:rFonts w:cs="Arial" w:hint="cs"/>
          <w:sz w:val="16"/>
          <w:szCs w:val="16"/>
          <w:rtl/>
        </w:rPr>
        <w:t>(</w:t>
      </w:r>
      <w:r w:rsidRPr="009C5D4B">
        <w:rPr>
          <w:rFonts w:cs="Arial"/>
          <w:sz w:val="16"/>
          <w:szCs w:val="16"/>
          <w:rtl/>
        </w:rPr>
        <w:t>פ"ט</w:t>
      </w:r>
      <w:r w:rsidRPr="009C5D4B">
        <w:rPr>
          <w:rFonts w:cs="Arial" w:hint="cs"/>
          <w:sz w:val="16"/>
          <w:szCs w:val="16"/>
          <w:rtl/>
        </w:rPr>
        <w:t xml:space="preserve"> </w:t>
      </w:r>
      <w:r w:rsidRPr="009C5D4B">
        <w:rPr>
          <w:rFonts w:cs="Arial"/>
          <w:sz w:val="16"/>
          <w:szCs w:val="16"/>
          <w:rtl/>
        </w:rPr>
        <w:t>הכ"ה)</w:t>
      </w:r>
      <w:r>
        <w:rPr>
          <w:rFonts w:cs="Arial" w:hint="cs"/>
          <w:rtl/>
        </w:rPr>
        <w:t xml:space="preserve"> ור"ח, בפירושם לדברי הגמרא (חולין קיב.) דאסור לאנוחי כדא דמלחא גבי כדא דכמכא, משמע בפירוש דמלח שואב את החלב</w:t>
      </w:r>
      <w:r>
        <w:rPr>
          <w:rFonts w:hint="cs"/>
          <w:rtl/>
        </w:rPr>
        <w:t>.</w:t>
      </w:r>
    </w:p>
  </w:footnote>
  <w:footnote w:id="1291">
    <w:p w14:paraId="78A53E7E" w14:textId="77777777" w:rsidR="004C5A3C" w:rsidRDefault="004C5A3C" w:rsidP="002C39F4">
      <w:pPr>
        <w:pStyle w:val="a5"/>
      </w:pPr>
      <w:r>
        <w:rPr>
          <w:rStyle w:val="a7"/>
        </w:rPr>
        <w:footnoteRef/>
      </w:r>
      <w:r>
        <w:rPr>
          <w:rtl/>
        </w:rPr>
        <w:t xml:space="preserve"> </w:t>
      </w:r>
      <w:r w:rsidRPr="00A06388">
        <w:rPr>
          <w:rFonts w:cs="Arial"/>
          <w:rtl/>
        </w:rPr>
        <w:t>ואין במלח כח להפליט מה שכנוס ואינו נבלע</w:t>
      </w:r>
      <w:r>
        <w:rPr>
          <w:rFonts w:cs="Arial" w:hint="cs"/>
          <w:rtl/>
        </w:rPr>
        <w:t>...</w:t>
      </w:r>
      <w:r>
        <w:rPr>
          <w:rFonts w:cs="Arial"/>
          <w:rtl/>
        </w:rPr>
        <w:t xml:space="preserve"> והא דתניא בגמ</w:t>
      </w:r>
      <w:r>
        <w:rPr>
          <w:rFonts w:cs="Arial" w:hint="cs"/>
          <w:rtl/>
        </w:rPr>
        <w:t>'</w:t>
      </w:r>
      <w:r w:rsidRPr="00A06388">
        <w:rPr>
          <w:rFonts w:cs="Arial"/>
          <w:rtl/>
        </w:rPr>
        <w:t xml:space="preserve"> לעיל בשיטה דכחל דמפרש ההפרש שבין קיבה לכחל וקתני זה כנוס במעיו וזה אינו כנוס במעיו ופירש רש"י הכחל לא יצא החלב שבה מדדי הבהמה ולא </w:t>
      </w:r>
      <w:r>
        <w:rPr>
          <w:rFonts w:cs="Arial"/>
          <w:rtl/>
        </w:rPr>
        <w:t>נאסף אלא מובלע בבשר הוא וכו'</w:t>
      </w:r>
      <w:r>
        <w:rPr>
          <w:rFonts w:cs="Arial" w:hint="cs"/>
          <w:rtl/>
        </w:rPr>
        <w:t>...</w:t>
      </w:r>
      <w:r w:rsidRPr="00A06388">
        <w:rPr>
          <w:rFonts w:cs="Arial"/>
          <w:rtl/>
        </w:rPr>
        <w:t xml:space="preserve"> י"ל דכלפי החלב שבקיבה לא מקרו כנוס במעיו לפי שאינו בא לו מבחוץ אבל כלפי דם שבאברים דאנן קיימין ביה לענין מליחה מקרי שפיר כנוס במעיו שאינו מובלע כל כך כמו הדם המובלע בבשר ממש</w:t>
      </w:r>
      <w:r>
        <w:rPr>
          <w:rFonts w:cs="Arial" w:hint="cs"/>
          <w:rtl/>
        </w:rPr>
        <w:t>, מעיו"ט (פ"ח סי' כז אות י).</w:t>
      </w:r>
    </w:p>
  </w:footnote>
  <w:footnote w:id="1292">
    <w:p w14:paraId="765B6965" w14:textId="77777777" w:rsidR="004C5A3C" w:rsidRDefault="004C5A3C" w:rsidP="002C39F4">
      <w:pPr>
        <w:pStyle w:val="a5"/>
      </w:pPr>
      <w:r>
        <w:rPr>
          <w:rStyle w:val="a7"/>
        </w:rPr>
        <w:footnoteRef/>
      </w:r>
      <w:r>
        <w:rPr>
          <w:rtl/>
        </w:rPr>
        <w:t xml:space="preserve"> </w:t>
      </w:r>
      <w:r>
        <w:rPr>
          <w:rFonts w:cs="Arial" w:hint="cs"/>
          <w:rtl/>
        </w:rPr>
        <w:t xml:space="preserve">וכ' הדרכ"מ </w:t>
      </w:r>
      <w:r w:rsidRPr="00C070ED">
        <w:rPr>
          <w:rFonts w:cs="Arial" w:hint="cs"/>
          <w:sz w:val="16"/>
          <w:szCs w:val="16"/>
          <w:rtl/>
        </w:rPr>
        <w:t xml:space="preserve">(אות י) </w:t>
      </w:r>
      <w:r>
        <w:rPr>
          <w:rFonts w:cs="Arial" w:hint="cs"/>
          <w:rtl/>
        </w:rPr>
        <w:t xml:space="preserve">על דבריו- </w:t>
      </w:r>
      <w:r w:rsidRPr="00C070ED">
        <w:rPr>
          <w:rFonts w:cs="Arial"/>
          <w:rtl/>
        </w:rPr>
        <w:t xml:space="preserve">ואני כתבתי למעלה </w:t>
      </w:r>
      <w:r w:rsidRPr="00C070ED">
        <w:rPr>
          <w:rFonts w:cs="Arial"/>
          <w:sz w:val="16"/>
          <w:szCs w:val="16"/>
          <w:rtl/>
        </w:rPr>
        <w:t xml:space="preserve">(אות ג) </w:t>
      </w:r>
      <w:r>
        <w:rPr>
          <w:rFonts w:cs="Arial"/>
          <w:rtl/>
        </w:rPr>
        <w:t>דאפי</w:t>
      </w:r>
      <w:r>
        <w:rPr>
          <w:rFonts w:cs="Arial" w:hint="cs"/>
          <w:rtl/>
        </w:rPr>
        <w:t>'</w:t>
      </w:r>
      <w:r w:rsidRPr="00C070ED">
        <w:rPr>
          <w:rFonts w:cs="Arial"/>
          <w:rtl/>
        </w:rPr>
        <w:t xml:space="preserve"> בצלי שרי בדיעבד בלא ב</w:t>
      </w:r>
      <w:r>
        <w:rPr>
          <w:rFonts w:cs="Arial"/>
          <w:rtl/>
        </w:rPr>
        <w:t>שר אפי</w:t>
      </w:r>
      <w:r>
        <w:rPr>
          <w:rFonts w:cs="Arial" w:hint="cs"/>
          <w:rtl/>
        </w:rPr>
        <w:t>'</w:t>
      </w:r>
      <w:r>
        <w:rPr>
          <w:rFonts w:cs="Arial"/>
          <w:rtl/>
        </w:rPr>
        <w:t xml:space="preserve"> בלא קריעה כלל כ</w:t>
      </w:r>
      <w:r>
        <w:rPr>
          <w:rFonts w:cs="Arial" w:hint="cs"/>
          <w:rtl/>
        </w:rPr>
        <w:t>"</w:t>
      </w:r>
      <w:r>
        <w:rPr>
          <w:rFonts w:cs="Arial"/>
          <w:rtl/>
        </w:rPr>
        <w:t>ש</w:t>
      </w:r>
      <w:r w:rsidRPr="00C070ED">
        <w:rPr>
          <w:rFonts w:cs="Arial"/>
          <w:rtl/>
        </w:rPr>
        <w:t xml:space="preserve"> במליחה</w:t>
      </w:r>
      <w:r>
        <w:rPr>
          <w:rFonts w:cs="Arial" w:hint="cs"/>
          <w:rtl/>
        </w:rPr>
        <w:t>,</w:t>
      </w:r>
      <w:r w:rsidRPr="00C070ED">
        <w:rPr>
          <w:rFonts w:cs="Arial"/>
          <w:rtl/>
        </w:rPr>
        <w:t xml:space="preserve"> ואפילו עם בשר נראה דאין להחמיר במליחה בדיעבד</w:t>
      </w:r>
      <w:r>
        <w:rPr>
          <w:rFonts w:cs="Arial" w:hint="cs"/>
          <w:rtl/>
        </w:rPr>
        <w:t>,</w:t>
      </w:r>
      <w:r w:rsidRPr="00C070ED">
        <w:rPr>
          <w:rFonts w:cs="Arial"/>
          <w:rtl/>
        </w:rPr>
        <w:t xml:space="preserve"> כד</w:t>
      </w:r>
      <w:r>
        <w:rPr>
          <w:rFonts w:cs="Arial"/>
          <w:rtl/>
        </w:rPr>
        <w:t xml:space="preserve">ברי הרשב"א </w:t>
      </w:r>
      <w:r>
        <w:rPr>
          <w:rFonts w:cs="Arial" w:hint="cs"/>
          <w:rtl/>
        </w:rPr>
        <w:t>[</w:t>
      </w:r>
      <w:r>
        <w:rPr>
          <w:rFonts w:cs="Arial"/>
          <w:rtl/>
        </w:rPr>
        <w:t>והרמב"</w:t>
      </w:r>
      <w:r>
        <w:rPr>
          <w:rFonts w:cs="Arial" w:hint="cs"/>
          <w:rtl/>
        </w:rPr>
        <w:t>ן],</w:t>
      </w:r>
      <w:r>
        <w:rPr>
          <w:rFonts w:cs="Arial"/>
          <w:rtl/>
        </w:rPr>
        <w:t xml:space="preserve"> ואע</w:t>
      </w:r>
      <w:r>
        <w:rPr>
          <w:rFonts w:cs="Arial" w:hint="cs"/>
          <w:rtl/>
        </w:rPr>
        <w:t>"</w:t>
      </w:r>
      <w:r>
        <w:rPr>
          <w:rFonts w:cs="Arial"/>
          <w:rtl/>
        </w:rPr>
        <w:t>ג דהתוס</w:t>
      </w:r>
      <w:r>
        <w:rPr>
          <w:rFonts w:cs="Arial" w:hint="cs"/>
          <w:rtl/>
        </w:rPr>
        <w:t>'</w:t>
      </w:r>
      <w:r w:rsidRPr="00C070ED">
        <w:rPr>
          <w:rFonts w:cs="Arial"/>
          <w:rtl/>
        </w:rPr>
        <w:t xml:space="preserve"> והרא"ש מחמירין בצלי בלא קריע</w:t>
      </w:r>
      <w:r>
        <w:rPr>
          <w:rFonts w:cs="Arial"/>
          <w:rtl/>
        </w:rPr>
        <w:t>ה כלל וכמו שנתבאר בסמוך מ</w:t>
      </w:r>
      <w:r>
        <w:rPr>
          <w:rFonts w:cs="Arial" w:hint="cs"/>
          <w:rtl/>
        </w:rPr>
        <w:t>"</w:t>
      </w:r>
      <w:r>
        <w:rPr>
          <w:rFonts w:cs="Arial"/>
          <w:rtl/>
        </w:rPr>
        <w:t>מ במליחה אין להחמיר שהרי כ</w:t>
      </w:r>
      <w:r>
        <w:rPr>
          <w:rFonts w:cs="Arial" w:hint="cs"/>
          <w:rtl/>
        </w:rPr>
        <w:t>'</w:t>
      </w:r>
      <w:r w:rsidRPr="00C070ED">
        <w:rPr>
          <w:rFonts w:cs="Arial"/>
          <w:rtl/>
        </w:rPr>
        <w:t xml:space="preserve"> הרא"ש דאין המלח מוציא חלב וא"כ לפי דבריו נ</w:t>
      </w:r>
      <w:r>
        <w:rPr>
          <w:rFonts w:cs="Arial"/>
          <w:rtl/>
        </w:rPr>
        <w:t>מי שרי</w:t>
      </w:r>
      <w:r>
        <w:rPr>
          <w:rFonts w:cs="Arial" w:hint="cs"/>
          <w:rtl/>
        </w:rPr>
        <w:t>.</w:t>
      </w:r>
    </w:p>
  </w:footnote>
  <w:footnote w:id="1293">
    <w:p w14:paraId="2BE75130" w14:textId="77777777" w:rsidR="004C5A3C" w:rsidRDefault="004C5A3C" w:rsidP="002C39F4">
      <w:pPr>
        <w:pStyle w:val="a5"/>
        <w:rPr>
          <w:rtl/>
        </w:rPr>
      </w:pPr>
      <w:r>
        <w:rPr>
          <w:rStyle w:val="a7"/>
        </w:rPr>
        <w:footnoteRef/>
      </w:r>
      <w:r>
        <w:rPr>
          <w:rtl/>
        </w:rPr>
        <w:t xml:space="preserve"> </w:t>
      </w:r>
      <w:r>
        <w:rPr>
          <w:rFonts w:hint="cs"/>
          <w:rtl/>
        </w:rPr>
        <w:t>וכ' הדרכ"מ</w:t>
      </w:r>
      <w:r w:rsidRPr="003C1B65">
        <w:rPr>
          <w:rFonts w:hint="cs"/>
          <w:sz w:val="10"/>
          <w:szCs w:val="10"/>
          <w:rtl/>
        </w:rPr>
        <w:t xml:space="preserve"> </w:t>
      </w:r>
      <w:r w:rsidRPr="003C1B65">
        <w:rPr>
          <w:rFonts w:hint="cs"/>
          <w:sz w:val="14"/>
          <w:szCs w:val="14"/>
          <w:rtl/>
        </w:rPr>
        <w:t xml:space="preserve">(אות י) </w:t>
      </w:r>
      <w:r>
        <w:rPr>
          <w:rFonts w:hint="cs"/>
          <w:rtl/>
        </w:rPr>
        <w:t>ד</w:t>
      </w:r>
      <w:r w:rsidRPr="00C070ED">
        <w:rPr>
          <w:rFonts w:cs="Arial"/>
          <w:rtl/>
        </w:rPr>
        <w:t xml:space="preserve">צ"ע </w:t>
      </w:r>
      <w:r>
        <w:rPr>
          <w:rFonts w:cs="Arial" w:hint="cs"/>
          <w:rtl/>
        </w:rPr>
        <w:t xml:space="preserve">על </w:t>
      </w:r>
      <w:r w:rsidRPr="00C070ED">
        <w:rPr>
          <w:rFonts w:cs="Arial"/>
          <w:rtl/>
        </w:rPr>
        <w:t>תשובה זו דמאי שנא כלי מנוקב או אינו מנוקב דלענין חלב הנפלט אין לחלק דלא שייך מישרק שריק או כב</w:t>
      </w:r>
      <w:r>
        <w:rPr>
          <w:rFonts w:cs="Arial" w:hint="cs"/>
          <w:rtl/>
        </w:rPr>
        <w:t>כ"פ</w:t>
      </w:r>
      <w:r w:rsidRPr="00C070ED">
        <w:rPr>
          <w:rFonts w:cs="Arial"/>
          <w:rtl/>
        </w:rPr>
        <w:t xml:space="preserve"> רק בדם ולא בשאר איסורין ואפשר דמשום דם היוצא מן הכחל והבשר נקיט כלי מנוקב אבל לענין חלב אין לחלק</w:t>
      </w:r>
      <w:r>
        <w:rPr>
          <w:rFonts w:hint="cs"/>
          <w:rtl/>
        </w:rPr>
        <w:t>.</w:t>
      </w:r>
    </w:p>
  </w:footnote>
  <w:footnote w:id="1294">
    <w:p w14:paraId="64225DE6" w14:textId="77777777" w:rsidR="004C5A3C" w:rsidRDefault="004C5A3C" w:rsidP="002C39F4">
      <w:pPr>
        <w:pStyle w:val="a5"/>
      </w:pPr>
      <w:r>
        <w:rPr>
          <w:rStyle w:val="a7"/>
        </w:rPr>
        <w:footnoteRef/>
      </w:r>
      <w:r>
        <w:rPr>
          <w:rtl/>
        </w:rPr>
        <w:t xml:space="preserve"> </w:t>
      </w:r>
      <w:r w:rsidRPr="006C747E">
        <w:rPr>
          <w:rFonts w:cs="Arial"/>
          <w:rtl/>
        </w:rPr>
        <w:t>ר"ל דלכתחלה אסור לצלות או למלוח כחל על בשר אלא תחת הבשר</w:t>
      </w:r>
      <w:r>
        <w:rPr>
          <w:rFonts w:cs="Arial" w:hint="cs"/>
          <w:rtl/>
        </w:rPr>
        <w:t>,</w:t>
      </w:r>
      <w:r w:rsidRPr="006C747E">
        <w:rPr>
          <w:rFonts w:cs="Arial"/>
          <w:rtl/>
        </w:rPr>
        <w:t xml:space="preserve"> ובדיעבד אפילו על הבשר מותר</w:t>
      </w:r>
      <w:r>
        <w:rPr>
          <w:rFonts w:cs="Arial" w:hint="cs"/>
          <w:rtl/>
        </w:rPr>
        <w:t>,</w:t>
      </w:r>
      <w:r w:rsidRPr="006C747E">
        <w:rPr>
          <w:rFonts w:cs="Arial"/>
          <w:rtl/>
        </w:rPr>
        <w:t xml:space="preserve"> ובשפודים שלנו אסור לכתחלה בכל ענין</w:t>
      </w:r>
      <w:r>
        <w:rPr>
          <w:rFonts w:cs="Arial" w:hint="cs"/>
          <w:rtl/>
        </w:rPr>
        <w:t>,</w:t>
      </w:r>
      <w:r w:rsidRPr="006C747E">
        <w:rPr>
          <w:rFonts w:cs="Arial"/>
          <w:rtl/>
        </w:rPr>
        <w:t xml:space="preserve"> וכמו שנתבאר בסי' ע"ג </w:t>
      </w:r>
      <w:r>
        <w:rPr>
          <w:rFonts w:cs="Arial" w:hint="cs"/>
          <w:rtl/>
        </w:rPr>
        <w:t>(</w:t>
      </w:r>
      <w:r w:rsidRPr="006C747E">
        <w:rPr>
          <w:rFonts w:cs="Arial"/>
          <w:rtl/>
        </w:rPr>
        <w:t>ס"ד</w:t>
      </w:r>
      <w:r>
        <w:rPr>
          <w:rFonts w:cs="Arial" w:hint="cs"/>
          <w:rtl/>
        </w:rPr>
        <w:t>-</w:t>
      </w:r>
      <w:r>
        <w:rPr>
          <w:rFonts w:cs="Arial"/>
          <w:rtl/>
        </w:rPr>
        <w:t>ה</w:t>
      </w:r>
      <w:r>
        <w:rPr>
          <w:rFonts w:cs="Arial" w:hint="cs"/>
          <w:rtl/>
        </w:rPr>
        <w:t xml:space="preserve">)... </w:t>
      </w:r>
      <w:r w:rsidRPr="006C747E">
        <w:rPr>
          <w:rFonts w:cs="Arial"/>
          <w:rtl/>
        </w:rPr>
        <w:t>ודעת הרב בהג"ה בצליה נתבאר בס"ב</w:t>
      </w:r>
      <w:r>
        <w:rPr>
          <w:rFonts w:cs="Arial" w:hint="cs"/>
          <w:rtl/>
        </w:rPr>
        <w:t>, ש"ך (סקכ"ה).</w:t>
      </w:r>
    </w:p>
  </w:footnote>
  <w:footnote w:id="1295">
    <w:p w14:paraId="15793AFE" w14:textId="77777777" w:rsidR="004C5A3C" w:rsidRDefault="004C5A3C" w:rsidP="002C39F4">
      <w:pPr>
        <w:pStyle w:val="a5"/>
      </w:pPr>
      <w:r>
        <w:rPr>
          <w:rStyle w:val="a7"/>
        </w:rPr>
        <w:footnoteRef/>
      </w:r>
      <w:r>
        <w:rPr>
          <w:rtl/>
        </w:rPr>
        <w:t xml:space="preserve"> </w:t>
      </w:r>
      <w:r>
        <w:rPr>
          <w:rFonts w:hint="cs"/>
          <w:rtl/>
        </w:rPr>
        <w:t>וכן לבשלו, וכ"כ באו</w:t>
      </w:r>
      <w:r>
        <w:rPr>
          <w:rtl/>
        </w:rPr>
        <w:t>"</w:t>
      </w:r>
      <w:r>
        <w:rPr>
          <w:rFonts w:hint="cs"/>
          <w:rtl/>
        </w:rPr>
        <w:t>ה (כלל יח דט"ז)..., ש"ך (סקכ"ח).</w:t>
      </w:r>
    </w:p>
  </w:footnote>
  <w:footnote w:id="1296">
    <w:p w14:paraId="66D8CE1B" w14:textId="77777777" w:rsidR="004C5A3C" w:rsidRDefault="004C5A3C" w:rsidP="002C39F4">
      <w:pPr>
        <w:pStyle w:val="a5"/>
      </w:pPr>
      <w:r>
        <w:rPr>
          <w:rStyle w:val="a7"/>
        </w:rPr>
        <w:footnoteRef/>
      </w:r>
      <w:r>
        <w:rPr>
          <w:rtl/>
        </w:rPr>
        <w:t xml:space="preserve"> </w:t>
      </w:r>
      <w:r>
        <w:rPr>
          <w:rFonts w:asciiTheme="minorBidi" w:hAnsiTheme="minorBidi"/>
          <w:rtl/>
        </w:rPr>
        <w:t>וכ</w:t>
      </w:r>
      <w:r>
        <w:rPr>
          <w:rFonts w:asciiTheme="minorBidi" w:hAnsiTheme="minorBidi" w:hint="cs"/>
          <w:rtl/>
        </w:rPr>
        <w:t>'</w:t>
      </w:r>
      <w:r>
        <w:rPr>
          <w:rFonts w:asciiTheme="minorBidi" w:hAnsiTheme="minorBidi"/>
          <w:rtl/>
        </w:rPr>
        <w:t xml:space="preserve"> שבה</w:t>
      </w:r>
      <w:r>
        <w:rPr>
          <w:rFonts w:asciiTheme="minorBidi" w:hAnsiTheme="minorBidi" w:hint="cs"/>
          <w:rtl/>
        </w:rPr>
        <w:t>"</w:t>
      </w:r>
      <w:r>
        <w:rPr>
          <w:rFonts w:asciiTheme="minorBidi" w:hAnsiTheme="minorBidi"/>
          <w:rtl/>
        </w:rPr>
        <w:t>ל</w:t>
      </w:r>
      <w:r w:rsidRPr="003024E5">
        <w:rPr>
          <w:rFonts w:asciiTheme="minorBidi" w:hAnsiTheme="minorBidi"/>
          <w:rtl/>
        </w:rPr>
        <w:t xml:space="preserve"> </w:t>
      </w:r>
      <w:r>
        <w:rPr>
          <w:rFonts w:asciiTheme="minorBidi" w:hAnsiTheme="minorBidi" w:hint="cs"/>
          <w:rtl/>
        </w:rPr>
        <w:t>ש</w:t>
      </w:r>
      <w:r w:rsidRPr="003024E5">
        <w:rPr>
          <w:rFonts w:asciiTheme="minorBidi" w:hAnsiTheme="minorBidi"/>
          <w:rtl/>
        </w:rPr>
        <w:t>האוכל כחל לא יאכל גבינה עד שישהה כשיעור שצריך</w:t>
      </w:r>
      <w:r>
        <w:rPr>
          <w:rFonts w:asciiTheme="minorBidi" w:hAnsiTheme="minorBidi"/>
          <w:rtl/>
        </w:rPr>
        <w:t xml:space="preserve"> לשהות בין בשר לגבינה ופשוט הוא</w:t>
      </w:r>
      <w:r>
        <w:rPr>
          <w:rFonts w:asciiTheme="minorBidi" w:hAnsiTheme="minorBidi" w:hint="cs"/>
          <w:rtl/>
        </w:rPr>
        <w:t>, ב"י.</w:t>
      </w:r>
    </w:p>
  </w:footnote>
  <w:footnote w:id="1297">
    <w:p w14:paraId="2667C59D" w14:textId="77777777" w:rsidR="004C5A3C" w:rsidRDefault="004C5A3C" w:rsidP="002C39F4">
      <w:pPr>
        <w:pStyle w:val="a5"/>
        <w:rPr>
          <w:rtl/>
        </w:rPr>
      </w:pPr>
      <w:r>
        <w:rPr>
          <w:rStyle w:val="a7"/>
        </w:rPr>
        <w:footnoteRef/>
      </w:r>
      <w:r>
        <w:rPr>
          <w:rtl/>
        </w:rPr>
        <w:t xml:space="preserve"> </w:t>
      </w:r>
      <w:r w:rsidRPr="00BC5E97">
        <w:rPr>
          <w:rFonts w:cs="Arial"/>
          <w:rtl/>
        </w:rPr>
        <w:t xml:space="preserve">וכ' הב"ח דדוקא כשהאחד מהן לח </w:t>
      </w:r>
      <w:r>
        <w:rPr>
          <w:rFonts w:cs="Arial"/>
          <w:rtl/>
        </w:rPr>
        <w:t>אבל אם שניהם יבשים אפילו הדחה א</w:t>
      </w:r>
      <w:r>
        <w:rPr>
          <w:rFonts w:cs="Arial" w:hint="cs"/>
          <w:rtl/>
        </w:rPr>
        <w:t xml:space="preserve">ין </w:t>
      </w:r>
      <w:r w:rsidRPr="00BC5E97">
        <w:rPr>
          <w:rFonts w:cs="Arial"/>
          <w:rtl/>
        </w:rPr>
        <w:t>צ</w:t>
      </w:r>
      <w:r>
        <w:rPr>
          <w:rFonts w:cs="Arial" w:hint="cs"/>
          <w:rtl/>
        </w:rPr>
        <w:t>ריך</w:t>
      </w:r>
      <w:r>
        <w:rPr>
          <w:rFonts w:hint="cs"/>
          <w:rtl/>
        </w:rPr>
        <w:t>, ש"ך (סק"א).</w:t>
      </w:r>
    </w:p>
  </w:footnote>
  <w:footnote w:id="1298">
    <w:p w14:paraId="7614EFC6" w14:textId="77777777" w:rsidR="004C5A3C" w:rsidRDefault="004C5A3C" w:rsidP="002C39F4">
      <w:pPr>
        <w:pStyle w:val="a5"/>
        <w:rPr>
          <w:rtl/>
        </w:rPr>
      </w:pPr>
      <w:r>
        <w:rPr>
          <w:rStyle w:val="a7"/>
        </w:rPr>
        <w:footnoteRef/>
      </w:r>
      <w:r>
        <w:rPr>
          <w:rtl/>
        </w:rPr>
        <w:t xml:space="preserve"> </w:t>
      </w:r>
      <w:r>
        <w:rPr>
          <w:rFonts w:cs="Arial" w:hint="cs"/>
          <w:rtl/>
        </w:rPr>
        <w:t>בהעי"ט</w:t>
      </w:r>
      <w:r w:rsidRPr="00D36BC7">
        <w:rPr>
          <w:rFonts w:cs="Arial"/>
          <w:rtl/>
        </w:rPr>
        <w:t xml:space="preserve"> </w:t>
      </w:r>
      <w:r w:rsidRPr="00BC5E97">
        <w:rPr>
          <w:rFonts w:cs="Arial"/>
          <w:sz w:val="16"/>
          <w:szCs w:val="16"/>
          <w:rtl/>
        </w:rPr>
        <w:t xml:space="preserve">(ח"ב, שער ראשון ח"ד הל' הכשר הבשר יג ע"ד) </w:t>
      </w:r>
      <w:r>
        <w:rPr>
          <w:rFonts w:cs="Arial"/>
          <w:rtl/>
        </w:rPr>
        <w:t xml:space="preserve">ראב"ד </w:t>
      </w:r>
      <w:r w:rsidRPr="00BC5E97">
        <w:rPr>
          <w:rFonts w:cs="Arial" w:hint="cs"/>
          <w:sz w:val="16"/>
          <w:szCs w:val="16"/>
          <w:rtl/>
        </w:rPr>
        <w:t>(</w:t>
      </w:r>
      <w:r w:rsidRPr="00BC5E97">
        <w:rPr>
          <w:rFonts w:cs="Arial"/>
          <w:sz w:val="16"/>
          <w:szCs w:val="16"/>
          <w:rtl/>
        </w:rPr>
        <w:t xml:space="preserve">כ"כ הרשב"א </w:t>
      </w:r>
      <w:r w:rsidRPr="00BC5E97">
        <w:rPr>
          <w:rFonts w:cs="Arial" w:hint="cs"/>
          <w:sz w:val="16"/>
          <w:szCs w:val="16"/>
          <w:rtl/>
        </w:rPr>
        <w:t>בשמו בתוה"א [</w:t>
      </w:r>
      <w:r w:rsidRPr="00BC5E97">
        <w:rPr>
          <w:rFonts w:cs="Arial"/>
          <w:sz w:val="16"/>
          <w:szCs w:val="16"/>
          <w:rtl/>
        </w:rPr>
        <w:t>ב"ד ש"א כא:</w:t>
      </w:r>
      <w:r w:rsidRPr="00BC5E97">
        <w:rPr>
          <w:rFonts w:cs="Arial" w:hint="cs"/>
          <w:sz w:val="16"/>
          <w:szCs w:val="16"/>
          <w:rtl/>
        </w:rPr>
        <w:t>]</w:t>
      </w:r>
      <w:r w:rsidRPr="00BC5E97">
        <w:rPr>
          <w:rFonts w:cs="Arial"/>
          <w:sz w:val="16"/>
          <w:szCs w:val="16"/>
          <w:rtl/>
        </w:rPr>
        <w:t xml:space="preserve">) </w:t>
      </w:r>
      <w:r>
        <w:rPr>
          <w:rFonts w:cs="Arial"/>
          <w:rtl/>
        </w:rPr>
        <w:t>ו</w:t>
      </w:r>
      <w:r>
        <w:rPr>
          <w:rFonts w:cs="Arial" w:hint="cs"/>
          <w:rtl/>
        </w:rPr>
        <w:t>רשב"א</w:t>
      </w:r>
      <w:r>
        <w:rPr>
          <w:rFonts w:cs="Arial"/>
          <w:rtl/>
        </w:rPr>
        <w:t xml:space="preserve"> </w:t>
      </w:r>
      <w:r w:rsidRPr="00BC5E97">
        <w:rPr>
          <w:rFonts w:cs="Arial" w:hint="cs"/>
          <w:sz w:val="16"/>
          <w:szCs w:val="16"/>
          <w:rtl/>
        </w:rPr>
        <w:t xml:space="preserve">(תוה"ק </w:t>
      </w:r>
      <w:r w:rsidRPr="00BC5E97">
        <w:rPr>
          <w:rFonts w:cs="Arial"/>
          <w:sz w:val="16"/>
          <w:szCs w:val="16"/>
          <w:rtl/>
        </w:rPr>
        <w:t>שם יט.)</w:t>
      </w:r>
      <w:r>
        <w:rPr>
          <w:rFonts w:hint="cs"/>
          <w:rtl/>
        </w:rPr>
        <w:t>.</w:t>
      </w:r>
    </w:p>
  </w:footnote>
  <w:footnote w:id="1299">
    <w:p w14:paraId="1C3F73AC" w14:textId="77777777" w:rsidR="004C5A3C" w:rsidRDefault="004C5A3C" w:rsidP="002C39F4">
      <w:pPr>
        <w:pStyle w:val="a5"/>
        <w:rPr>
          <w:rtl/>
        </w:rPr>
      </w:pPr>
      <w:r>
        <w:rPr>
          <w:rStyle w:val="a7"/>
        </w:rPr>
        <w:footnoteRef/>
      </w:r>
      <w:r>
        <w:rPr>
          <w:rFonts w:cs="Arial" w:hint="cs"/>
          <w:rtl/>
        </w:rPr>
        <w:t xml:space="preserve"> </w:t>
      </w:r>
      <w:r w:rsidRPr="00067160">
        <w:rPr>
          <w:rFonts w:cs="Arial"/>
          <w:rtl/>
        </w:rPr>
        <w:t>ודבר פשוט הוא שבעל העיטור קאי אהא דאמרינן שצריך להדיח מקום נגיעתן וקאמר דמדתנן ובלבד שלא יהו נוגעים זה בזה שמע מינה כל מידי דבעי הדחה וכו' אסור לכתחלה</w:t>
      </w:r>
      <w:r>
        <w:rPr>
          <w:rFonts w:cs="Arial" w:hint="cs"/>
          <w:rtl/>
        </w:rPr>
        <w:t>, ב"י.</w:t>
      </w:r>
    </w:p>
  </w:footnote>
  <w:footnote w:id="1300">
    <w:p w14:paraId="494540F6" w14:textId="77777777" w:rsidR="004C5A3C" w:rsidRDefault="004C5A3C" w:rsidP="002C39F4">
      <w:pPr>
        <w:pStyle w:val="a5"/>
      </w:pPr>
      <w:r>
        <w:rPr>
          <w:rStyle w:val="a7"/>
        </w:rPr>
        <w:footnoteRef/>
      </w:r>
      <w:r>
        <w:rPr>
          <w:rtl/>
        </w:rPr>
        <w:t xml:space="preserve"> </w:t>
      </w:r>
      <w:r w:rsidRPr="00AB1208">
        <w:rPr>
          <w:rFonts w:cs="Arial"/>
          <w:rtl/>
        </w:rPr>
        <w:t xml:space="preserve">ויש להקשות </w:t>
      </w:r>
      <w:r>
        <w:rPr>
          <w:rFonts w:cs="Arial"/>
          <w:rtl/>
        </w:rPr>
        <w:t>דהא אמרינן פכ</w:t>
      </w:r>
      <w:r>
        <w:rPr>
          <w:rFonts w:cs="Arial" w:hint="cs"/>
          <w:rtl/>
        </w:rPr>
        <w:t>"</w:t>
      </w:r>
      <w:r>
        <w:rPr>
          <w:rFonts w:cs="Arial"/>
          <w:rtl/>
        </w:rPr>
        <w:t xml:space="preserve">ש </w:t>
      </w:r>
      <w:r w:rsidRPr="00E336EE">
        <w:rPr>
          <w:rFonts w:cs="Arial"/>
          <w:sz w:val="16"/>
          <w:szCs w:val="16"/>
          <w:rtl/>
        </w:rPr>
        <w:t xml:space="preserve">(פסחים </w:t>
      </w:r>
      <w:r w:rsidRPr="00E336EE">
        <w:rPr>
          <w:rFonts w:cs="Arial" w:hint="cs"/>
          <w:sz w:val="16"/>
          <w:szCs w:val="16"/>
          <w:rtl/>
        </w:rPr>
        <w:t>ל:</w:t>
      </w:r>
      <w:r w:rsidRPr="00E336EE">
        <w:rPr>
          <w:rFonts w:cs="Arial"/>
          <w:sz w:val="16"/>
          <w:szCs w:val="16"/>
          <w:rtl/>
        </w:rPr>
        <w:t xml:space="preserve">) </w:t>
      </w:r>
      <w:r w:rsidRPr="00AB1208">
        <w:rPr>
          <w:rFonts w:cs="Arial"/>
          <w:rtl/>
        </w:rPr>
        <w:t xml:space="preserve">כלי שנשתמש בו חמץ </w:t>
      </w:r>
      <w:r w:rsidRPr="00E336EE">
        <w:rPr>
          <w:rFonts w:cs="Arial"/>
          <w:sz w:val="16"/>
          <w:szCs w:val="16"/>
          <w:rtl/>
        </w:rPr>
        <w:t>(י"ג</w:t>
      </w:r>
      <w:r>
        <w:rPr>
          <w:rFonts w:cs="Arial" w:hint="cs"/>
          <w:sz w:val="16"/>
          <w:szCs w:val="16"/>
          <w:rtl/>
        </w:rPr>
        <w:t>-</w:t>
      </w:r>
      <w:r w:rsidRPr="00E336EE">
        <w:rPr>
          <w:rFonts w:cs="Arial"/>
          <w:sz w:val="16"/>
          <w:szCs w:val="16"/>
          <w:rtl/>
        </w:rPr>
        <w:t xml:space="preserve"> צונן) </w:t>
      </w:r>
      <w:r w:rsidRPr="00AB1208">
        <w:rPr>
          <w:rFonts w:cs="Arial"/>
          <w:rtl/>
        </w:rPr>
        <w:t>משתמש בו מצה</w:t>
      </w:r>
      <w:r>
        <w:rPr>
          <w:rFonts w:cs="Arial" w:hint="cs"/>
          <w:rtl/>
        </w:rPr>
        <w:t>,</w:t>
      </w:r>
      <w:r w:rsidRPr="00AB1208">
        <w:rPr>
          <w:rFonts w:cs="Arial"/>
          <w:rtl/>
        </w:rPr>
        <w:t xml:space="preserve"> וכ"כ הטור או</w:t>
      </w:r>
      <w:r>
        <w:rPr>
          <w:rFonts w:cs="Arial" w:hint="cs"/>
          <w:rtl/>
        </w:rPr>
        <w:t>"</w:t>
      </w:r>
      <w:r w:rsidRPr="00AB1208">
        <w:rPr>
          <w:rFonts w:cs="Arial"/>
          <w:rtl/>
        </w:rPr>
        <w:t>ח סי</w:t>
      </w:r>
      <w:r>
        <w:rPr>
          <w:rFonts w:cs="Arial" w:hint="cs"/>
          <w:rtl/>
        </w:rPr>
        <w:t>'</w:t>
      </w:r>
      <w:r w:rsidRPr="00AB1208">
        <w:rPr>
          <w:rFonts w:cs="Arial"/>
          <w:rtl/>
        </w:rPr>
        <w:t xml:space="preserve"> תנא</w:t>
      </w:r>
      <w:r>
        <w:rPr>
          <w:rFonts w:cs="Arial" w:hint="cs"/>
          <w:rtl/>
        </w:rPr>
        <w:t>,</w:t>
      </w:r>
      <w:r w:rsidRPr="00AB1208">
        <w:rPr>
          <w:rFonts w:cs="Arial"/>
          <w:rtl/>
        </w:rPr>
        <w:t xml:space="preserve"> א</w:t>
      </w:r>
      <w:r>
        <w:rPr>
          <w:rFonts w:cs="Arial" w:hint="cs"/>
          <w:rtl/>
        </w:rPr>
        <w:t>"כ</w:t>
      </w:r>
      <w:r w:rsidRPr="00AB1208">
        <w:rPr>
          <w:rFonts w:cs="Arial"/>
          <w:rtl/>
        </w:rPr>
        <w:t xml:space="preserve"> ש</w:t>
      </w:r>
      <w:r>
        <w:rPr>
          <w:rFonts w:cs="Arial" w:hint="cs"/>
          <w:rtl/>
        </w:rPr>
        <w:t>"</w:t>
      </w:r>
      <w:r w:rsidRPr="00AB1208">
        <w:rPr>
          <w:rFonts w:cs="Arial"/>
          <w:rtl/>
        </w:rPr>
        <w:t xml:space="preserve">מ דמותר </w:t>
      </w:r>
      <w:r>
        <w:rPr>
          <w:rFonts w:cs="Arial"/>
          <w:rtl/>
        </w:rPr>
        <w:t>להשתמש בצונן בכלי איסור אע</w:t>
      </w:r>
      <w:r>
        <w:rPr>
          <w:rFonts w:cs="Arial" w:hint="cs"/>
          <w:rtl/>
        </w:rPr>
        <w:t>"</w:t>
      </w:r>
      <w:r>
        <w:rPr>
          <w:rFonts w:cs="Arial"/>
          <w:rtl/>
        </w:rPr>
        <w:t>ג</w:t>
      </w:r>
      <w:r w:rsidRPr="00AB1208">
        <w:rPr>
          <w:rFonts w:cs="Arial"/>
          <w:rtl/>
        </w:rPr>
        <w:t xml:space="preserve"> דלא ידיחו לבסוף</w:t>
      </w:r>
      <w:r>
        <w:rPr>
          <w:rFonts w:cs="Arial" w:hint="cs"/>
          <w:rtl/>
        </w:rPr>
        <w:t>,</w:t>
      </w:r>
      <w:r w:rsidRPr="00AB1208">
        <w:rPr>
          <w:rFonts w:cs="Arial"/>
          <w:rtl/>
        </w:rPr>
        <w:t xml:space="preserve"> ולכן נ"ל דלא אסור להשתמש בו אלא בשר וכיוצא בו דאית ביה לחלוחית אבל דבר יבש כגון מצה בכלי חמץ שרי</w:t>
      </w:r>
      <w:r>
        <w:rPr>
          <w:rFonts w:cs="Arial" w:hint="cs"/>
          <w:rtl/>
        </w:rPr>
        <w:t>,</w:t>
      </w:r>
      <w:r w:rsidRPr="00AB1208">
        <w:rPr>
          <w:rFonts w:cs="Arial"/>
          <w:rtl/>
        </w:rPr>
        <w:t xml:space="preserve"> וצ"ע</w:t>
      </w:r>
      <w:r>
        <w:rPr>
          <w:rFonts w:cs="Arial" w:hint="cs"/>
          <w:rtl/>
        </w:rPr>
        <w:t>,</w:t>
      </w:r>
      <w:r w:rsidRPr="00AB1208">
        <w:rPr>
          <w:rFonts w:cs="Arial"/>
          <w:rtl/>
        </w:rPr>
        <w:t xml:space="preserve"> ואפשר לחלק בין חמץ לשאר איסורין</w:t>
      </w:r>
      <w:r>
        <w:rPr>
          <w:rFonts w:cs="Arial" w:hint="cs"/>
          <w:rtl/>
        </w:rPr>
        <w:t>,</w:t>
      </w:r>
      <w:r w:rsidRPr="00AB1208">
        <w:rPr>
          <w:rFonts w:cs="Arial"/>
          <w:rtl/>
        </w:rPr>
        <w:t xml:space="preserve"> ועוד נראה דיש לחלק בין דבר שבלע איסור בחמין אז אסור להשתמש בו צונן כדאיתא לקמן סי</w:t>
      </w:r>
      <w:r>
        <w:rPr>
          <w:rFonts w:cs="Arial" w:hint="cs"/>
          <w:rtl/>
        </w:rPr>
        <w:t>'</w:t>
      </w:r>
      <w:r w:rsidRPr="00AB1208">
        <w:rPr>
          <w:rFonts w:cs="Arial"/>
          <w:rtl/>
        </w:rPr>
        <w:t xml:space="preserve"> קכא</w:t>
      </w:r>
      <w:r>
        <w:rPr>
          <w:rFonts w:cs="Arial" w:hint="cs"/>
          <w:rtl/>
        </w:rPr>
        <w:t>,</w:t>
      </w:r>
      <w:r w:rsidRPr="00AB1208">
        <w:rPr>
          <w:rFonts w:cs="Arial"/>
          <w:rtl/>
        </w:rPr>
        <w:t xml:space="preserve"> אבל דבר שמשתמשין בו איסור צונן מותר להניח בו היתר צונן דומיא דחמץ ומצה וזה התירוץ נ"ל עיקר</w:t>
      </w:r>
      <w:r>
        <w:rPr>
          <w:rFonts w:cs="Arial" w:hint="cs"/>
          <w:rtl/>
        </w:rPr>
        <w:t>,</w:t>
      </w:r>
      <w:r>
        <w:rPr>
          <w:rFonts w:cs="Arial"/>
          <w:rtl/>
        </w:rPr>
        <w:t xml:space="preserve"> ועיין לעיל סי</w:t>
      </w:r>
      <w:r>
        <w:rPr>
          <w:rFonts w:cs="Arial" w:hint="cs"/>
          <w:rtl/>
        </w:rPr>
        <w:t>'</w:t>
      </w:r>
      <w:r>
        <w:rPr>
          <w:rFonts w:cs="Arial"/>
          <w:rtl/>
        </w:rPr>
        <w:t xml:space="preserve"> סט</w:t>
      </w:r>
      <w:r w:rsidRPr="00E336EE">
        <w:rPr>
          <w:rFonts w:cs="Arial"/>
          <w:sz w:val="16"/>
          <w:szCs w:val="16"/>
          <w:rtl/>
        </w:rPr>
        <w:t xml:space="preserve"> (עמ' שט-שי) </w:t>
      </w:r>
      <w:r w:rsidRPr="00AB1208">
        <w:rPr>
          <w:rFonts w:cs="Arial"/>
          <w:rtl/>
        </w:rPr>
        <w:t>דמותר לאכו</w:t>
      </w:r>
      <w:r>
        <w:rPr>
          <w:rFonts w:cs="Arial"/>
          <w:rtl/>
        </w:rPr>
        <w:t>ל צונן בלא הדחה בכלי שמולחין בו</w:t>
      </w:r>
      <w:r>
        <w:rPr>
          <w:rFonts w:cs="Arial" w:hint="cs"/>
          <w:rtl/>
        </w:rPr>
        <w:t>,</w:t>
      </w:r>
      <w:r w:rsidRPr="00AB1208">
        <w:rPr>
          <w:rFonts w:cs="Arial" w:hint="cs"/>
          <w:rtl/>
        </w:rPr>
        <w:t xml:space="preserve"> </w:t>
      </w:r>
      <w:r>
        <w:rPr>
          <w:rFonts w:cs="Arial" w:hint="cs"/>
          <w:rtl/>
        </w:rPr>
        <w:t>דרכ"מ</w:t>
      </w:r>
      <w:r w:rsidRPr="00E336EE">
        <w:rPr>
          <w:rFonts w:cs="Arial" w:hint="cs"/>
          <w:sz w:val="16"/>
          <w:szCs w:val="16"/>
          <w:rtl/>
        </w:rPr>
        <w:t xml:space="preserve"> </w:t>
      </w:r>
      <w:r w:rsidRPr="00E336EE">
        <w:rPr>
          <w:rFonts w:cs="Arial"/>
          <w:sz w:val="16"/>
          <w:szCs w:val="16"/>
          <w:rtl/>
        </w:rPr>
        <w:t>(</w:t>
      </w:r>
      <w:r w:rsidRPr="00E336EE">
        <w:rPr>
          <w:rFonts w:cs="Arial" w:hint="cs"/>
          <w:sz w:val="16"/>
          <w:szCs w:val="16"/>
          <w:rtl/>
        </w:rPr>
        <w:t xml:space="preserve">אות </w:t>
      </w:r>
      <w:r w:rsidRPr="00E336EE">
        <w:rPr>
          <w:rFonts w:cs="Arial"/>
          <w:sz w:val="16"/>
          <w:szCs w:val="16"/>
          <w:rtl/>
        </w:rPr>
        <w:t>א)</w:t>
      </w:r>
      <w:r>
        <w:rPr>
          <w:rFonts w:cs="Arial" w:hint="cs"/>
          <w:rtl/>
        </w:rPr>
        <w:t>.</w:t>
      </w:r>
      <w:r w:rsidRPr="00483D66">
        <w:rPr>
          <w:rFonts w:hint="cs"/>
          <w:color w:val="00B0F0"/>
          <w:rtl/>
        </w:rPr>
        <w:t xml:space="preserve"> (וכ"פ בהג"ה</w:t>
      </w:r>
      <w:r>
        <w:rPr>
          <w:rFonts w:hint="cs"/>
          <w:color w:val="00B0F0"/>
          <w:sz w:val="16"/>
          <w:szCs w:val="16"/>
          <w:rtl/>
        </w:rPr>
        <w:t xml:space="preserve"> </w:t>
      </w:r>
      <w:r w:rsidRPr="00E336EE">
        <w:rPr>
          <w:rFonts w:hint="cs"/>
          <w:color w:val="000000" w:themeColor="text1"/>
          <w:sz w:val="16"/>
          <w:szCs w:val="16"/>
          <w:rtl/>
        </w:rPr>
        <w:t>{</w:t>
      </w:r>
      <w:r>
        <w:rPr>
          <w:rFonts w:hint="cs"/>
          <w:color w:val="000000" w:themeColor="text1"/>
          <w:sz w:val="16"/>
          <w:szCs w:val="16"/>
          <w:rtl/>
        </w:rPr>
        <w:t>כשני התרוצים ביחד}</w:t>
      </w:r>
      <w:r w:rsidRPr="00483D66">
        <w:rPr>
          <w:rFonts w:hint="cs"/>
          <w:color w:val="00B0F0"/>
          <w:rtl/>
        </w:rPr>
        <w:t>)</w:t>
      </w:r>
    </w:p>
  </w:footnote>
  <w:footnote w:id="1301">
    <w:p w14:paraId="00D9EF0B" w14:textId="77777777" w:rsidR="004C5A3C" w:rsidRDefault="004C5A3C" w:rsidP="002C39F4">
      <w:pPr>
        <w:pStyle w:val="a5"/>
      </w:pPr>
      <w:r>
        <w:rPr>
          <w:rStyle w:val="a7"/>
        </w:rPr>
        <w:footnoteRef/>
      </w:r>
      <w:r>
        <w:rPr>
          <w:rtl/>
        </w:rPr>
        <w:t xml:space="preserve"> </w:t>
      </w:r>
      <w:r>
        <w:rPr>
          <w:rFonts w:cs="Arial"/>
          <w:rtl/>
        </w:rPr>
        <w:t>כ</w:t>
      </w:r>
      <w:r>
        <w:rPr>
          <w:rFonts w:cs="Arial" w:hint="cs"/>
          <w:rtl/>
        </w:rPr>
        <w:t>'</w:t>
      </w:r>
      <w:r>
        <w:rPr>
          <w:rFonts w:cs="Arial"/>
          <w:rtl/>
        </w:rPr>
        <w:t xml:space="preserve"> רש"ל </w:t>
      </w:r>
      <w:r>
        <w:rPr>
          <w:rFonts w:cs="Arial" w:hint="cs"/>
          <w:rtl/>
        </w:rPr>
        <w:t>(</w:t>
      </w:r>
      <w:r>
        <w:rPr>
          <w:rFonts w:cs="Arial"/>
          <w:rtl/>
        </w:rPr>
        <w:t>פכ"ה סי' מ</w:t>
      </w:r>
      <w:r w:rsidRPr="00AF0C1B">
        <w:rPr>
          <w:rFonts w:cs="Arial"/>
          <w:rtl/>
        </w:rPr>
        <w:t>ד</w:t>
      </w:r>
      <w:r>
        <w:rPr>
          <w:rFonts w:cs="Arial" w:hint="cs"/>
          <w:rtl/>
        </w:rPr>
        <w:t>)</w:t>
      </w:r>
      <w:r w:rsidRPr="00AF0C1B">
        <w:rPr>
          <w:rFonts w:cs="Arial"/>
          <w:rtl/>
        </w:rPr>
        <w:t xml:space="preserve"> ולפ"ז לא יפה עושין ההולכי דרכים שאוכלים הרינג"ש מלוחים על כלי הכותיים שהרי צריך הדחה אחר שמונח עליהם</w:t>
      </w:r>
      <w:r>
        <w:rPr>
          <w:rFonts w:cs="Arial" w:hint="cs"/>
          <w:rtl/>
        </w:rPr>
        <w:t>,</w:t>
      </w:r>
      <w:r w:rsidRPr="00AF0C1B">
        <w:rPr>
          <w:rFonts w:cs="Arial"/>
          <w:rtl/>
        </w:rPr>
        <w:t xml:space="preserve"> וכ"ש שלא יפה עושים אותם הקונים מיני קשואים מלוחים שקורין אוגרקי"ש עם מי המלח ואוכלים בקערה שלהם שהרי אפי' הקשואים צריכים הדחה אם הושמו בקערה שלהם וא"כ המי המלח דלא שייך בו הדחה נאסר</w:t>
      </w:r>
      <w:r>
        <w:rPr>
          <w:rFonts w:cs="Arial"/>
          <w:rtl/>
        </w:rPr>
        <w:t>ה כולה עכ"ל</w:t>
      </w:r>
      <w:r>
        <w:rPr>
          <w:rFonts w:cs="Arial" w:hint="cs"/>
          <w:rtl/>
        </w:rPr>
        <w:t>,</w:t>
      </w:r>
      <w:r>
        <w:rPr>
          <w:rFonts w:cs="Arial"/>
          <w:rtl/>
        </w:rPr>
        <w:t xml:space="preserve"> ובת"ח </w:t>
      </w:r>
      <w:r>
        <w:rPr>
          <w:rFonts w:cs="Arial" w:hint="cs"/>
          <w:rtl/>
        </w:rPr>
        <w:t>(</w:t>
      </w:r>
      <w:r>
        <w:rPr>
          <w:rFonts w:cs="Arial"/>
          <w:rtl/>
        </w:rPr>
        <w:t>כלל י"ז ד"ד</w:t>
      </w:r>
      <w:r>
        <w:rPr>
          <w:rFonts w:cs="Arial" w:hint="cs"/>
          <w:rtl/>
        </w:rPr>
        <w:t>)</w:t>
      </w:r>
      <w:r w:rsidRPr="00AF0C1B">
        <w:rPr>
          <w:rFonts w:cs="Arial"/>
          <w:rtl/>
        </w:rPr>
        <w:t xml:space="preserve"> כ'</w:t>
      </w:r>
      <w:r>
        <w:rPr>
          <w:rFonts w:cs="Arial" w:hint="cs"/>
          <w:rtl/>
        </w:rPr>
        <w:t>-</w:t>
      </w:r>
      <w:r w:rsidRPr="00AF0C1B">
        <w:rPr>
          <w:rFonts w:cs="Arial"/>
          <w:rtl/>
        </w:rPr>
        <w:t xml:space="preserve"> ושעת הדחק כגון שנתאכסן בבית עובד כוכבים כדיעבד דמי עכ"ל</w:t>
      </w:r>
      <w:r>
        <w:rPr>
          <w:rFonts w:cs="Arial" w:hint="cs"/>
          <w:rtl/>
        </w:rPr>
        <w:t>, ט"ז (סק"ב).</w:t>
      </w:r>
    </w:p>
  </w:footnote>
  <w:footnote w:id="1302">
    <w:p w14:paraId="43B42C06" w14:textId="77777777" w:rsidR="004C5A3C" w:rsidRDefault="004C5A3C" w:rsidP="002C39F4">
      <w:pPr>
        <w:pStyle w:val="a5"/>
        <w:rPr>
          <w:rtl/>
        </w:rPr>
      </w:pPr>
      <w:r>
        <w:rPr>
          <w:rStyle w:val="a7"/>
        </w:rPr>
        <w:footnoteRef/>
      </w:r>
      <w:r>
        <w:rPr>
          <w:rtl/>
        </w:rPr>
        <w:t xml:space="preserve"> </w:t>
      </w:r>
      <w:r>
        <w:rPr>
          <w:rFonts w:hint="cs"/>
          <w:rtl/>
        </w:rPr>
        <w:t xml:space="preserve">והש"ך </w:t>
      </w:r>
      <w:r w:rsidRPr="00E336EE">
        <w:rPr>
          <w:rFonts w:hint="cs"/>
          <w:sz w:val="14"/>
          <w:szCs w:val="14"/>
          <w:rtl/>
        </w:rPr>
        <w:t xml:space="preserve">(סק"ג) </w:t>
      </w:r>
      <w:r>
        <w:rPr>
          <w:rFonts w:hint="cs"/>
          <w:rtl/>
        </w:rPr>
        <w:t xml:space="preserve">הביא את דברי הרמ"א בת"ח </w:t>
      </w:r>
      <w:r w:rsidRPr="00E336EE">
        <w:rPr>
          <w:rFonts w:hint="cs"/>
          <w:sz w:val="14"/>
          <w:szCs w:val="14"/>
          <w:rtl/>
        </w:rPr>
        <w:t xml:space="preserve">(כלל יז ד"ב) </w:t>
      </w:r>
      <w:r>
        <w:rPr>
          <w:rFonts w:hint="cs"/>
          <w:rtl/>
        </w:rPr>
        <w:t xml:space="preserve">ובדרכ"מ </w:t>
      </w:r>
      <w:r w:rsidRPr="00E336EE">
        <w:rPr>
          <w:rFonts w:hint="cs"/>
          <w:sz w:val="14"/>
          <w:szCs w:val="14"/>
          <w:rtl/>
        </w:rPr>
        <w:t xml:space="preserve">(אות א) </w:t>
      </w:r>
      <w:r>
        <w:rPr>
          <w:rFonts w:hint="cs"/>
          <w:rtl/>
        </w:rPr>
        <w:t xml:space="preserve">וחלק על כל דבריו וזו מסקנת דבריו- </w:t>
      </w:r>
      <w:r w:rsidRPr="005E7208">
        <w:rPr>
          <w:rFonts w:cs="Arial"/>
          <w:rtl/>
        </w:rPr>
        <w:t xml:space="preserve">כלים שנשתמשו בהם בחמין </w:t>
      </w:r>
      <w:r w:rsidRPr="00657E96">
        <w:rPr>
          <w:rFonts w:cs="Arial" w:hint="cs"/>
          <w:sz w:val="14"/>
          <w:szCs w:val="14"/>
          <w:rtl/>
        </w:rPr>
        <w:t>{בבשר או באיסור}</w:t>
      </w:r>
      <w:r>
        <w:rPr>
          <w:rFonts w:cs="Arial" w:hint="cs"/>
          <w:sz w:val="16"/>
          <w:szCs w:val="16"/>
          <w:rtl/>
        </w:rPr>
        <w:t xml:space="preserve"> </w:t>
      </w:r>
      <w:r w:rsidRPr="005E7208">
        <w:rPr>
          <w:rFonts w:cs="Arial"/>
          <w:rtl/>
        </w:rPr>
        <w:t xml:space="preserve">כגון קדרות ויורות </w:t>
      </w:r>
      <w:r>
        <w:rPr>
          <w:rFonts w:cs="Arial" w:hint="cs"/>
          <w:rtl/>
        </w:rPr>
        <w:t xml:space="preserve">יכול </w:t>
      </w:r>
      <w:r w:rsidRPr="005E7208">
        <w:rPr>
          <w:rFonts w:cs="Arial"/>
          <w:rtl/>
        </w:rPr>
        <w:t xml:space="preserve">להשתמש בו צונן </w:t>
      </w:r>
      <w:r>
        <w:rPr>
          <w:rFonts w:cs="Arial" w:hint="cs"/>
          <w:sz w:val="14"/>
          <w:szCs w:val="14"/>
          <w:rtl/>
        </w:rPr>
        <w:t>(ר"י רא"ש וטור)</w:t>
      </w:r>
      <w:r>
        <w:rPr>
          <w:rFonts w:cs="Arial" w:hint="cs"/>
          <w:rtl/>
        </w:rPr>
        <w:t>, ואפי'</w:t>
      </w:r>
      <w:r>
        <w:rPr>
          <w:rFonts w:cs="Arial"/>
          <w:rtl/>
        </w:rPr>
        <w:t xml:space="preserve"> אם נבלע חמץ בחמין </w:t>
      </w:r>
      <w:r w:rsidRPr="005E7208">
        <w:rPr>
          <w:rFonts w:cs="Arial"/>
          <w:rtl/>
        </w:rPr>
        <w:t>מותר להשתמש בהן מצה בצונן</w:t>
      </w:r>
      <w:r>
        <w:rPr>
          <w:rFonts w:cs="Arial" w:hint="cs"/>
          <w:rtl/>
        </w:rPr>
        <w:t>,</w:t>
      </w:r>
      <w:r w:rsidRPr="005E7208">
        <w:rPr>
          <w:rFonts w:cs="Arial"/>
          <w:rtl/>
        </w:rPr>
        <w:t xml:space="preserve"> דמה לי נבלע ע"י צונן או ע"י חמין</w:t>
      </w:r>
      <w:r>
        <w:rPr>
          <w:rFonts w:cs="Arial" w:hint="cs"/>
          <w:sz w:val="14"/>
          <w:szCs w:val="14"/>
          <w:rtl/>
        </w:rPr>
        <w:t xml:space="preserve"> (סה"ת סמ"ג רשב"א רא"ש שע"ד טור ור"ן)</w:t>
      </w:r>
      <w:r>
        <w:rPr>
          <w:rFonts w:cs="Arial" w:hint="cs"/>
          <w:rtl/>
        </w:rPr>
        <w:t>,</w:t>
      </w:r>
      <w:r w:rsidRPr="005E7208">
        <w:rPr>
          <w:rFonts w:cs="Arial"/>
          <w:rtl/>
        </w:rPr>
        <w:t xml:space="preserve"> </w:t>
      </w:r>
      <w:r>
        <w:rPr>
          <w:rFonts w:cs="Arial" w:hint="cs"/>
          <w:rtl/>
        </w:rPr>
        <w:t xml:space="preserve">ואפילו </w:t>
      </w:r>
      <w:r w:rsidRPr="005E7208">
        <w:rPr>
          <w:rFonts w:cs="Arial"/>
          <w:rtl/>
        </w:rPr>
        <w:t xml:space="preserve">הדחה </w:t>
      </w:r>
      <w:r>
        <w:rPr>
          <w:rFonts w:cs="Arial" w:hint="cs"/>
          <w:rtl/>
        </w:rPr>
        <w:t xml:space="preserve">לא </w:t>
      </w:r>
      <w:r w:rsidRPr="005E7208">
        <w:rPr>
          <w:rFonts w:cs="Arial"/>
          <w:rtl/>
        </w:rPr>
        <w:t xml:space="preserve">בעינן </w:t>
      </w:r>
      <w:r>
        <w:rPr>
          <w:rFonts w:cs="Arial" w:hint="cs"/>
          <w:rtl/>
        </w:rPr>
        <w:t>אלא די בקינוח,</w:t>
      </w:r>
      <w:r>
        <w:rPr>
          <w:rFonts w:cs="Arial"/>
          <w:rtl/>
        </w:rPr>
        <w:t xml:space="preserve"> שהקנוח יפה הוא בכ</w:t>
      </w:r>
      <w:r>
        <w:rPr>
          <w:rFonts w:cs="Arial" w:hint="cs"/>
          <w:rtl/>
        </w:rPr>
        <w:t xml:space="preserve">ל </w:t>
      </w:r>
      <w:r>
        <w:rPr>
          <w:rFonts w:cs="Arial"/>
          <w:rtl/>
        </w:rPr>
        <w:t>מ</w:t>
      </w:r>
      <w:r>
        <w:rPr>
          <w:rFonts w:cs="Arial" w:hint="cs"/>
          <w:rtl/>
        </w:rPr>
        <w:t>קום</w:t>
      </w:r>
      <w:r>
        <w:rPr>
          <w:rFonts w:cs="Arial"/>
          <w:rtl/>
        </w:rPr>
        <w:t xml:space="preserve"> כהדח</w:t>
      </w:r>
      <w:r>
        <w:rPr>
          <w:rFonts w:cs="Arial" w:hint="cs"/>
          <w:rtl/>
        </w:rPr>
        <w:t>ה</w:t>
      </w:r>
      <w:r>
        <w:rPr>
          <w:rFonts w:cs="Arial" w:hint="cs"/>
          <w:sz w:val="14"/>
          <w:szCs w:val="14"/>
          <w:rtl/>
        </w:rPr>
        <w:t xml:space="preserve"> (רא"ה וא"ח)</w:t>
      </w:r>
      <w:r>
        <w:rPr>
          <w:rFonts w:cs="Arial" w:hint="cs"/>
          <w:rtl/>
        </w:rPr>
        <w:t>,</w:t>
      </w:r>
      <w:r w:rsidRPr="005E7208">
        <w:rPr>
          <w:rFonts w:cs="Arial"/>
          <w:rtl/>
        </w:rPr>
        <w:t xml:space="preserve"> </w:t>
      </w:r>
      <w:r>
        <w:rPr>
          <w:rFonts w:cs="Arial" w:hint="cs"/>
          <w:rtl/>
        </w:rPr>
        <w:t>אבל ב</w:t>
      </w:r>
      <w:r w:rsidRPr="005E7208">
        <w:rPr>
          <w:rFonts w:cs="Arial"/>
          <w:rtl/>
        </w:rPr>
        <w:t>כלי חרס</w:t>
      </w:r>
      <w:r>
        <w:rPr>
          <w:rFonts w:cs="Arial" w:hint="cs"/>
          <w:rtl/>
        </w:rPr>
        <w:t xml:space="preserve"> אין ליתן דבר לח </w:t>
      </w:r>
      <w:r>
        <w:rPr>
          <w:rFonts w:cs="Arial" w:hint="cs"/>
          <w:sz w:val="14"/>
          <w:szCs w:val="14"/>
          <w:rtl/>
        </w:rPr>
        <w:t>(תוס' רשב"א ומרדכי)</w:t>
      </w:r>
      <w:r>
        <w:rPr>
          <w:rFonts w:cs="Arial" w:hint="cs"/>
          <w:rtl/>
        </w:rPr>
        <w:t>,</w:t>
      </w:r>
      <w:r>
        <w:rPr>
          <w:rFonts w:cs="Arial"/>
          <w:rtl/>
        </w:rPr>
        <w:t xml:space="preserve"> </w:t>
      </w:r>
      <w:r>
        <w:rPr>
          <w:rFonts w:cs="Arial" w:hint="cs"/>
          <w:rtl/>
        </w:rPr>
        <w:t>ו</w:t>
      </w:r>
      <w:r w:rsidRPr="005E7208">
        <w:rPr>
          <w:rFonts w:cs="Arial"/>
          <w:rtl/>
        </w:rPr>
        <w:t>כל זה בדרך עראי אבל אם בא להשתמש בהן דרך קבע אפילו צונן אסור גזירה שמא ישתמש בהן חמין</w:t>
      </w:r>
      <w:r>
        <w:rPr>
          <w:rFonts w:cs="Arial" w:hint="cs"/>
          <w:rtl/>
        </w:rPr>
        <w:t>,</w:t>
      </w:r>
      <w:r>
        <w:rPr>
          <w:rFonts w:cs="Arial"/>
          <w:rtl/>
        </w:rPr>
        <w:t xml:space="preserve"> וכמ"ש הרב בהג"ה סי</w:t>
      </w:r>
      <w:r>
        <w:rPr>
          <w:rFonts w:cs="Arial" w:hint="cs"/>
          <w:rtl/>
        </w:rPr>
        <w:t>'</w:t>
      </w:r>
      <w:r>
        <w:rPr>
          <w:rFonts w:cs="Arial"/>
          <w:rtl/>
        </w:rPr>
        <w:t xml:space="preserve"> קכא ס"ה</w:t>
      </w:r>
      <w:r>
        <w:rPr>
          <w:rFonts w:cs="Arial" w:hint="cs"/>
          <w:rtl/>
        </w:rPr>
        <w:t>.</w:t>
      </w:r>
      <w:r w:rsidRPr="005E7208">
        <w:rPr>
          <w:rFonts w:cs="Arial"/>
          <w:rtl/>
        </w:rPr>
        <w:t xml:space="preserve"> </w:t>
      </w:r>
      <w:r>
        <w:rPr>
          <w:rFonts w:hint="cs"/>
          <w:rtl/>
        </w:rPr>
        <w:t xml:space="preserve"> </w:t>
      </w:r>
    </w:p>
  </w:footnote>
  <w:footnote w:id="1303">
    <w:p w14:paraId="7209B067" w14:textId="77777777" w:rsidR="004C5A3C" w:rsidRDefault="004C5A3C" w:rsidP="002C39F4">
      <w:pPr>
        <w:pStyle w:val="a5"/>
      </w:pPr>
      <w:r>
        <w:rPr>
          <w:rStyle w:val="a7"/>
        </w:rPr>
        <w:footnoteRef/>
      </w:r>
      <w:r>
        <w:rPr>
          <w:rtl/>
        </w:rPr>
        <w:t xml:space="preserve"> </w:t>
      </w:r>
      <w:r w:rsidRPr="00657E96">
        <w:rPr>
          <w:rFonts w:cs="Arial"/>
          <w:rtl/>
        </w:rPr>
        <w:t>בלא הדחה</w:t>
      </w:r>
      <w:r>
        <w:rPr>
          <w:rFonts w:cs="Arial" w:hint="cs"/>
          <w:rtl/>
        </w:rPr>
        <w:t>,</w:t>
      </w:r>
      <w:r w:rsidRPr="00657E96">
        <w:rPr>
          <w:rFonts w:cs="Arial"/>
          <w:rtl/>
        </w:rPr>
        <w:t xml:space="preserve"> וחיישינן דלמא אשתלי ו</w:t>
      </w:r>
      <w:r>
        <w:rPr>
          <w:rFonts w:cs="Arial"/>
          <w:rtl/>
        </w:rPr>
        <w:t>אכיל בלא הדחה וכבר נתבאר בסק</w:t>
      </w:r>
      <w:r>
        <w:rPr>
          <w:rFonts w:cs="Arial" w:hint="cs"/>
          <w:rtl/>
        </w:rPr>
        <w:t>"</w:t>
      </w:r>
      <w:r>
        <w:rPr>
          <w:rFonts w:cs="Arial"/>
          <w:rtl/>
        </w:rPr>
        <w:t>א</w:t>
      </w:r>
      <w:r w:rsidRPr="00657E96">
        <w:rPr>
          <w:rFonts w:cs="Arial"/>
          <w:rtl/>
        </w:rPr>
        <w:t xml:space="preserve"> דדוקא כשאחד מהן לח ע"ש</w:t>
      </w:r>
      <w:r>
        <w:rPr>
          <w:rFonts w:cs="Arial" w:hint="cs"/>
          <w:rtl/>
        </w:rPr>
        <w:t>, ש"ך (סק"ד).</w:t>
      </w:r>
    </w:p>
  </w:footnote>
  <w:footnote w:id="1304">
    <w:p w14:paraId="78C15CFF" w14:textId="77777777" w:rsidR="004C5A3C" w:rsidRDefault="004C5A3C" w:rsidP="002C39F4">
      <w:pPr>
        <w:pStyle w:val="a5"/>
        <w:rPr>
          <w:rtl/>
        </w:rPr>
      </w:pPr>
      <w:r>
        <w:rPr>
          <w:rStyle w:val="a7"/>
        </w:rPr>
        <w:footnoteRef/>
      </w:r>
      <w:r>
        <w:rPr>
          <w:rtl/>
        </w:rPr>
        <w:t xml:space="preserve"> </w:t>
      </w:r>
      <w:r>
        <w:rPr>
          <w:rFonts w:cs="Arial"/>
          <w:rtl/>
        </w:rPr>
        <w:t>קודם שיצטנן בלע כל דהו</w:t>
      </w:r>
      <w:r>
        <w:rPr>
          <w:rFonts w:cs="Arial" w:hint="cs"/>
          <w:rtl/>
        </w:rPr>
        <w:t>, רש"י. וכן פירש הרשב"א (תוה"א</w:t>
      </w:r>
      <w:r>
        <w:rPr>
          <w:rFonts w:cs="Arial"/>
          <w:rtl/>
        </w:rPr>
        <w:t xml:space="preserve"> ב"ד ש"א ג:)</w:t>
      </w:r>
      <w:r>
        <w:rPr>
          <w:rFonts w:cs="Arial" w:hint="cs"/>
          <w:rtl/>
        </w:rPr>
        <w:t xml:space="preserve"> והש"ך (סק"ז).</w:t>
      </w:r>
      <w:r>
        <w:rPr>
          <w:rFonts w:cs="Arial"/>
          <w:rtl/>
        </w:rPr>
        <w:t xml:space="preserve"> </w:t>
      </w:r>
      <w:r>
        <w:rPr>
          <w:rFonts w:cs="Arial" w:hint="cs"/>
          <w:rtl/>
        </w:rPr>
        <w:t xml:space="preserve">אבל </w:t>
      </w:r>
      <w:r w:rsidRPr="009B5D15">
        <w:rPr>
          <w:rFonts w:cs="Arial"/>
          <w:rtl/>
        </w:rPr>
        <w:t xml:space="preserve">באו"ה </w:t>
      </w:r>
      <w:r>
        <w:rPr>
          <w:rFonts w:cs="Arial" w:hint="cs"/>
          <w:rtl/>
        </w:rPr>
        <w:t>(</w:t>
      </w:r>
      <w:r>
        <w:rPr>
          <w:rFonts w:cs="Arial"/>
          <w:rtl/>
        </w:rPr>
        <w:t>כלל כ"ט ס"א</w:t>
      </w:r>
      <w:r>
        <w:rPr>
          <w:rFonts w:cs="Arial" w:hint="cs"/>
          <w:rtl/>
        </w:rPr>
        <w:t>)</w:t>
      </w:r>
      <w:r>
        <w:rPr>
          <w:rFonts w:cs="Arial"/>
          <w:rtl/>
        </w:rPr>
        <w:t xml:space="preserve"> </w:t>
      </w:r>
      <w:r>
        <w:rPr>
          <w:rFonts w:cs="Arial" w:hint="cs"/>
          <w:rtl/>
        </w:rPr>
        <w:t>פירש-</w:t>
      </w:r>
      <w:r w:rsidRPr="009B5D15">
        <w:rPr>
          <w:rFonts w:cs="Arial"/>
          <w:rtl/>
        </w:rPr>
        <w:t xml:space="preserve"> שמכביד עליו</w:t>
      </w:r>
      <w:r>
        <w:rPr>
          <w:rFonts w:cs="Arial" w:hint="cs"/>
          <w:rtl/>
        </w:rPr>
        <w:t>.</w:t>
      </w:r>
      <w:r w:rsidRPr="009B5D15">
        <w:rPr>
          <w:rFonts w:cs="Arial"/>
          <w:rtl/>
        </w:rPr>
        <w:t xml:space="preserve"> </w:t>
      </w:r>
      <w:r>
        <w:rPr>
          <w:rFonts w:cs="Arial" w:hint="cs"/>
          <w:rtl/>
        </w:rPr>
        <w:t>(</w:t>
      </w:r>
      <w:r>
        <w:rPr>
          <w:rFonts w:cs="Arial"/>
          <w:rtl/>
        </w:rPr>
        <w:t>ו</w:t>
      </w:r>
      <w:r>
        <w:rPr>
          <w:rFonts w:cs="Arial" w:hint="cs"/>
          <w:rtl/>
        </w:rPr>
        <w:t>הביא ה</w:t>
      </w:r>
      <w:r w:rsidRPr="009B5D15">
        <w:rPr>
          <w:rFonts w:cs="Arial"/>
          <w:rtl/>
        </w:rPr>
        <w:t>מרדכי פכ"ה</w:t>
      </w:r>
      <w:r>
        <w:rPr>
          <w:rFonts w:cs="Arial" w:hint="cs"/>
          <w:rtl/>
        </w:rPr>
        <w:t xml:space="preserve"> פירוש זה אבל הקשה עליו).</w:t>
      </w:r>
    </w:p>
  </w:footnote>
  <w:footnote w:id="1305">
    <w:p w14:paraId="2D198CF6" w14:textId="77777777" w:rsidR="004C5A3C" w:rsidRPr="0072699E" w:rsidRDefault="004C5A3C" w:rsidP="002C39F4">
      <w:pPr>
        <w:spacing w:after="0" w:line="240" w:lineRule="auto"/>
        <w:rPr>
          <w:rFonts w:asciiTheme="minorBidi" w:hAnsiTheme="minorBidi"/>
          <w:sz w:val="20"/>
          <w:szCs w:val="20"/>
        </w:rPr>
      </w:pPr>
      <w:r w:rsidRPr="00E17A9F">
        <w:rPr>
          <w:rStyle w:val="a7"/>
          <w:rFonts w:asciiTheme="minorBidi" w:hAnsiTheme="minorBidi"/>
        </w:rPr>
        <w:footnoteRef/>
      </w:r>
      <w:r w:rsidRPr="00E17A9F">
        <w:rPr>
          <w:rFonts w:asciiTheme="minorBidi" w:hAnsiTheme="minorBidi"/>
          <w:sz w:val="20"/>
          <w:szCs w:val="20"/>
          <w:rtl/>
        </w:rPr>
        <w:t xml:space="preserve"> </w:t>
      </w:r>
      <w:r w:rsidRPr="00E17A9F">
        <w:rPr>
          <w:rFonts w:asciiTheme="minorBidi" w:hAnsiTheme="minorBidi" w:hint="cs"/>
          <w:sz w:val="20"/>
          <w:szCs w:val="20"/>
          <w:rtl/>
        </w:rPr>
        <w:t>התוס' שאלו מדוע היו צריכים להביא עוד ברייתא</w:t>
      </w:r>
      <w:r w:rsidRPr="00672E27">
        <w:rPr>
          <w:rFonts w:asciiTheme="minorBidi" w:hAnsiTheme="minorBidi" w:hint="cs"/>
          <w:sz w:val="16"/>
          <w:szCs w:val="16"/>
          <w:rtl/>
        </w:rPr>
        <w:t xml:space="preserve"> (תניא אידך)</w:t>
      </w:r>
      <w:r w:rsidRPr="00E17A9F">
        <w:rPr>
          <w:rFonts w:asciiTheme="minorBidi" w:hAnsiTheme="minorBidi" w:hint="cs"/>
          <w:sz w:val="20"/>
          <w:szCs w:val="20"/>
          <w:rtl/>
        </w:rPr>
        <w:t>,</w:t>
      </w:r>
      <w:r w:rsidRPr="00E17A9F">
        <w:rPr>
          <w:rFonts w:asciiTheme="minorBidi" w:hAnsiTheme="minorBidi"/>
          <w:sz w:val="20"/>
          <w:szCs w:val="20"/>
          <w:rtl/>
        </w:rPr>
        <w:t xml:space="preserve"> ו</w:t>
      </w:r>
      <w:r w:rsidRPr="00E17A9F">
        <w:rPr>
          <w:rFonts w:asciiTheme="minorBidi" w:hAnsiTheme="minorBidi" w:hint="cs"/>
          <w:sz w:val="20"/>
          <w:szCs w:val="20"/>
          <w:rtl/>
        </w:rPr>
        <w:t xml:space="preserve">הביאו את </w:t>
      </w:r>
      <w:r>
        <w:rPr>
          <w:rFonts w:asciiTheme="minorBidi" w:hAnsiTheme="minorBidi" w:hint="cs"/>
          <w:sz w:val="20"/>
          <w:szCs w:val="20"/>
          <w:rtl/>
        </w:rPr>
        <w:t xml:space="preserve">דברי </w:t>
      </w:r>
      <w:r w:rsidRPr="00E17A9F">
        <w:rPr>
          <w:rFonts w:asciiTheme="minorBidi" w:hAnsiTheme="minorBidi"/>
          <w:sz w:val="20"/>
          <w:szCs w:val="20"/>
          <w:rtl/>
        </w:rPr>
        <w:t xml:space="preserve">ר"ת </w:t>
      </w:r>
      <w:r w:rsidRPr="00E17A9F">
        <w:rPr>
          <w:rFonts w:asciiTheme="minorBidi" w:hAnsiTheme="minorBidi" w:hint="cs"/>
          <w:sz w:val="20"/>
          <w:szCs w:val="20"/>
          <w:rtl/>
        </w:rPr>
        <w:t xml:space="preserve">שתירץ </w:t>
      </w:r>
      <w:r w:rsidRPr="00E17A9F">
        <w:rPr>
          <w:rFonts w:asciiTheme="minorBidi" w:hAnsiTheme="minorBidi"/>
          <w:sz w:val="20"/>
          <w:szCs w:val="20"/>
          <w:rtl/>
        </w:rPr>
        <w:t>דקמ"ל דאפילו חלב שרי דאע"ג דחם</w:t>
      </w:r>
      <w:r w:rsidRPr="0072699E">
        <w:rPr>
          <w:rFonts w:asciiTheme="minorBidi" w:hAnsiTheme="minorBidi"/>
          <w:sz w:val="20"/>
          <w:szCs w:val="20"/>
          <w:rtl/>
        </w:rPr>
        <w:t xml:space="preserve"> לתוך צונן בעי קליפה</w:t>
      </w:r>
      <w:r>
        <w:rPr>
          <w:rFonts w:asciiTheme="minorBidi" w:hAnsiTheme="minorBidi" w:hint="cs"/>
          <w:sz w:val="20"/>
          <w:szCs w:val="20"/>
          <w:rtl/>
        </w:rPr>
        <w:t xml:space="preserve"> -</w:t>
      </w:r>
      <w:r w:rsidRPr="0072699E">
        <w:rPr>
          <w:rFonts w:asciiTheme="minorBidi" w:hAnsiTheme="minorBidi"/>
          <w:sz w:val="20"/>
          <w:szCs w:val="20"/>
          <w:rtl/>
        </w:rPr>
        <w:t xml:space="preserve"> בדבר שיכול לעשות קליפה</w:t>
      </w:r>
      <w:r>
        <w:rPr>
          <w:rFonts w:asciiTheme="minorBidi" w:hAnsiTheme="minorBidi" w:hint="cs"/>
          <w:sz w:val="20"/>
          <w:szCs w:val="20"/>
          <w:rtl/>
        </w:rPr>
        <w:t>,</w:t>
      </w:r>
      <w:r w:rsidRPr="0072699E">
        <w:rPr>
          <w:rFonts w:asciiTheme="minorBidi" w:hAnsiTheme="minorBidi"/>
          <w:sz w:val="20"/>
          <w:szCs w:val="20"/>
          <w:rtl/>
        </w:rPr>
        <w:t xml:space="preserve"> בדבר דלא שייך קליפה כמו בחלב מותר</w:t>
      </w:r>
      <w:r>
        <w:rPr>
          <w:rFonts w:asciiTheme="minorBidi" w:hAnsiTheme="minorBidi" w:hint="cs"/>
          <w:sz w:val="20"/>
          <w:szCs w:val="20"/>
          <w:rtl/>
        </w:rPr>
        <w:t>,</w:t>
      </w:r>
      <w:r w:rsidRPr="0072699E">
        <w:rPr>
          <w:rFonts w:asciiTheme="minorBidi" w:hAnsiTheme="minorBidi"/>
          <w:sz w:val="20"/>
          <w:szCs w:val="20"/>
          <w:rtl/>
        </w:rPr>
        <w:t xml:space="preserve"> מדלא קתני איסורא גבי חלב כדקתני קליפה גבי בשר.</w:t>
      </w:r>
    </w:p>
  </w:footnote>
  <w:footnote w:id="1306">
    <w:p w14:paraId="4841899D" w14:textId="77777777" w:rsidR="004C5A3C" w:rsidRDefault="004C5A3C" w:rsidP="002C39F4">
      <w:pPr>
        <w:pStyle w:val="a5"/>
        <w:rPr>
          <w:rtl/>
        </w:rPr>
      </w:pPr>
      <w:r>
        <w:rPr>
          <w:rStyle w:val="a7"/>
        </w:rPr>
        <w:footnoteRef/>
      </w:r>
      <w:r>
        <w:rPr>
          <w:rtl/>
        </w:rPr>
        <w:t xml:space="preserve"> </w:t>
      </w:r>
      <w:r w:rsidRPr="00E905AC">
        <w:rPr>
          <w:rFonts w:cs="Arial"/>
          <w:rtl/>
        </w:rPr>
        <w:t>ריב"א</w:t>
      </w:r>
      <w:r w:rsidRPr="00E905AC">
        <w:rPr>
          <w:rFonts w:cs="Arial" w:hint="cs"/>
          <w:rtl/>
        </w:rPr>
        <w:t xml:space="preserve"> </w:t>
      </w:r>
      <w:r w:rsidRPr="00E905AC">
        <w:rPr>
          <w:rFonts w:cs="Arial" w:hint="cs"/>
          <w:sz w:val="16"/>
          <w:szCs w:val="16"/>
          <w:rtl/>
        </w:rPr>
        <w:t>(הביאוהו התוס')</w:t>
      </w:r>
      <w:r w:rsidRPr="00A54690">
        <w:rPr>
          <w:rFonts w:cs="Arial" w:hint="cs"/>
          <w:rtl/>
        </w:rPr>
        <w:t xml:space="preserve"> </w:t>
      </w:r>
      <w:r>
        <w:rPr>
          <w:rFonts w:cs="Arial" w:hint="cs"/>
          <w:rtl/>
        </w:rPr>
        <w:t xml:space="preserve">ומהרא"י </w:t>
      </w:r>
      <w:r w:rsidRPr="00A54690">
        <w:rPr>
          <w:rFonts w:cs="Arial" w:hint="cs"/>
          <w:sz w:val="16"/>
          <w:szCs w:val="16"/>
          <w:rtl/>
        </w:rPr>
        <w:t>(ב</w:t>
      </w:r>
      <w:r w:rsidRPr="00A54690">
        <w:rPr>
          <w:rFonts w:cs="Arial"/>
          <w:sz w:val="16"/>
          <w:szCs w:val="16"/>
          <w:rtl/>
        </w:rPr>
        <w:t>הגשע</w:t>
      </w:r>
      <w:r w:rsidRPr="00A54690">
        <w:rPr>
          <w:rFonts w:cs="Arial" w:hint="cs"/>
          <w:sz w:val="16"/>
          <w:szCs w:val="16"/>
          <w:rtl/>
        </w:rPr>
        <w:t>"</w:t>
      </w:r>
      <w:r w:rsidRPr="00A54690">
        <w:rPr>
          <w:rFonts w:cs="Arial"/>
          <w:sz w:val="16"/>
          <w:szCs w:val="16"/>
          <w:rtl/>
        </w:rPr>
        <w:t>ד סי' כב סק</w:t>
      </w:r>
      <w:r w:rsidRPr="00A54690">
        <w:rPr>
          <w:rFonts w:cs="Arial" w:hint="cs"/>
          <w:sz w:val="16"/>
          <w:szCs w:val="16"/>
          <w:rtl/>
        </w:rPr>
        <w:t>"</w:t>
      </w:r>
      <w:r w:rsidRPr="00A54690">
        <w:rPr>
          <w:rFonts w:cs="Arial"/>
          <w:sz w:val="16"/>
          <w:szCs w:val="16"/>
          <w:rtl/>
        </w:rPr>
        <w:t>ו ד"ה בשר רותח)</w:t>
      </w:r>
      <w:r>
        <w:rPr>
          <w:rFonts w:hint="cs"/>
          <w:rtl/>
        </w:rPr>
        <w:t>.</w:t>
      </w:r>
    </w:p>
  </w:footnote>
  <w:footnote w:id="1307">
    <w:p w14:paraId="15493A7B" w14:textId="77777777" w:rsidR="004C5A3C" w:rsidRPr="000F4990" w:rsidRDefault="004C5A3C" w:rsidP="002C39F4">
      <w:pPr>
        <w:pStyle w:val="a5"/>
        <w:rPr>
          <w:color w:val="000000" w:themeColor="text1"/>
          <w:rtl/>
        </w:rPr>
      </w:pPr>
      <w:r>
        <w:rPr>
          <w:rStyle w:val="a7"/>
        </w:rPr>
        <w:footnoteRef/>
      </w:r>
      <w:r>
        <w:rPr>
          <w:rtl/>
        </w:rPr>
        <w:t xml:space="preserve"> </w:t>
      </w:r>
      <w:r>
        <w:rPr>
          <w:rFonts w:cs="Arial"/>
          <w:rtl/>
        </w:rPr>
        <w:t>אמנם בהגה</w:t>
      </w:r>
      <w:r>
        <w:rPr>
          <w:rFonts w:cs="Arial" w:hint="cs"/>
          <w:rtl/>
        </w:rPr>
        <w:t>ות</w:t>
      </w:r>
      <w:r>
        <w:rPr>
          <w:rFonts w:cs="Arial"/>
          <w:rtl/>
        </w:rPr>
        <w:t xml:space="preserve"> או"ה</w:t>
      </w:r>
      <w:r w:rsidRPr="00FB3CC5">
        <w:rPr>
          <w:rFonts w:cs="Arial"/>
          <w:rtl/>
        </w:rPr>
        <w:t xml:space="preserve"> (כלל ל ד</w:t>
      </w:r>
      <w:r>
        <w:rPr>
          <w:rFonts w:cs="Arial"/>
          <w:rtl/>
        </w:rPr>
        <w:t>י</w:t>
      </w:r>
      <w:r>
        <w:rPr>
          <w:rFonts w:cs="Arial" w:hint="cs"/>
          <w:rtl/>
        </w:rPr>
        <w:t>"</w:t>
      </w:r>
      <w:r>
        <w:rPr>
          <w:rFonts w:cs="Arial"/>
          <w:rtl/>
        </w:rPr>
        <w:t>ד) משמע דאנו מתירין בדיעבד עכ</w:t>
      </w:r>
      <w:r>
        <w:rPr>
          <w:rFonts w:cs="Arial" w:hint="cs"/>
          <w:rtl/>
        </w:rPr>
        <w:t>"ל.</w:t>
      </w:r>
      <w:r w:rsidRPr="00FB3CC5">
        <w:rPr>
          <w:rFonts w:cs="Arial"/>
          <w:rtl/>
        </w:rPr>
        <w:t xml:space="preserve"> וכ</w:t>
      </w:r>
      <w:r>
        <w:rPr>
          <w:rFonts w:cs="Arial" w:hint="cs"/>
          <w:rtl/>
        </w:rPr>
        <w:t>"כ באו</w:t>
      </w:r>
      <w:r>
        <w:rPr>
          <w:rFonts w:cs="Arial"/>
          <w:rtl/>
        </w:rPr>
        <w:t>"</w:t>
      </w:r>
      <w:r>
        <w:rPr>
          <w:rFonts w:cs="Arial" w:hint="cs"/>
          <w:rtl/>
        </w:rPr>
        <w:t>ה</w:t>
      </w:r>
      <w:r w:rsidRPr="00FB3CC5">
        <w:rPr>
          <w:rFonts w:cs="Arial"/>
          <w:rtl/>
        </w:rPr>
        <w:t xml:space="preserve"> </w:t>
      </w:r>
      <w:r>
        <w:rPr>
          <w:rFonts w:cs="Arial" w:hint="cs"/>
          <w:rtl/>
        </w:rPr>
        <w:t>(</w:t>
      </w:r>
      <w:r>
        <w:rPr>
          <w:rFonts w:cs="Arial"/>
          <w:rtl/>
        </w:rPr>
        <w:t>כלל כ</w:t>
      </w:r>
      <w:r>
        <w:rPr>
          <w:rFonts w:cs="Arial" w:hint="cs"/>
          <w:rtl/>
        </w:rPr>
        <w:t>ט ד"ב)</w:t>
      </w:r>
      <w:r w:rsidRPr="00FB3CC5">
        <w:rPr>
          <w:rFonts w:cs="Arial"/>
          <w:rtl/>
        </w:rPr>
        <w:t xml:space="preserve"> דנוהגין להתיר</w:t>
      </w:r>
      <w:r>
        <w:rPr>
          <w:rFonts w:cs="Arial" w:hint="cs"/>
          <w:rtl/>
        </w:rPr>
        <w:t>,</w:t>
      </w:r>
      <w:r>
        <w:rPr>
          <w:rFonts w:cs="Arial"/>
          <w:rtl/>
        </w:rPr>
        <w:t xml:space="preserve"> וכתב </w:t>
      </w:r>
      <w:r w:rsidRPr="000F4990">
        <w:rPr>
          <w:rFonts w:cs="Arial"/>
          <w:color w:val="000000" w:themeColor="text1"/>
          <w:rtl/>
        </w:rPr>
        <w:t>ד</w:t>
      </w:r>
      <w:r w:rsidRPr="000F4990">
        <w:rPr>
          <w:rFonts w:cs="Arial" w:hint="cs"/>
          <w:color w:val="000000" w:themeColor="text1"/>
          <w:rtl/>
        </w:rPr>
        <w:t>ה"ה</w:t>
      </w:r>
      <w:r w:rsidRPr="000F4990">
        <w:rPr>
          <w:rFonts w:cs="Arial"/>
          <w:color w:val="000000" w:themeColor="text1"/>
          <w:rtl/>
        </w:rPr>
        <w:t xml:space="preserve"> דבר יבש שנאסר בו כדי קליפה ובשלו אותו אח"כ בלא קליפה דאינו נאסר בדיעבד</w:t>
      </w:r>
      <w:r w:rsidRPr="000F4990">
        <w:rPr>
          <w:rFonts w:cs="Arial" w:hint="cs"/>
          <w:color w:val="000000" w:themeColor="text1"/>
          <w:rtl/>
        </w:rPr>
        <w:t>.</w:t>
      </w:r>
      <w:r>
        <w:rPr>
          <w:rFonts w:hint="cs"/>
          <w:color w:val="000000" w:themeColor="text1"/>
          <w:rtl/>
        </w:rPr>
        <w:t xml:space="preserve"> </w:t>
      </w:r>
      <w:r w:rsidRPr="000F4990">
        <w:rPr>
          <w:rFonts w:hint="cs"/>
          <w:color w:val="00B0F0"/>
          <w:rtl/>
        </w:rPr>
        <w:t>(וכ"פ הרמ"א)</w:t>
      </w:r>
    </w:p>
  </w:footnote>
  <w:footnote w:id="1308">
    <w:p w14:paraId="3555507C" w14:textId="77777777" w:rsidR="004C5A3C" w:rsidRPr="000F4990" w:rsidRDefault="004C5A3C" w:rsidP="002C39F4">
      <w:pPr>
        <w:pStyle w:val="a5"/>
        <w:rPr>
          <w:color w:val="000000" w:themeColor="text1"/>
        </w:rPr>
      </w:pPr>
      <w:r w:rsidRPr="000F4990">
        <w:rPr>
          <w:rStyle w:val="a7"/>
          <w:color w:val="000000" w:themeColor="text1"/>
        </w:rPr>
        <w:footnoteRef/>
      </w:r>
      <w:r w:rsidRPr="000F4990">
        <w:rPr>
          <w:color w:val="000000" w:themeColor="text1"/>
          <w:rtl/>
        </w:rPr>
        <w:t xml:space="preserve"> </w:t>
      </w:r>
      <w:r w:rsidRPr="000F4990">
        <w:rPr>
          <w:rFonts w:hint="cs"/>
          <w:color w:val="000000" w:themeColor="text1"/>
          <w:rtl/>
        </w:rPr>
        <w:t>ובת"ח (כלל כג דין ה) כ' שיש להחמיר במקום שאין הפסד כל כך.</w:t>
      </w:r>
    </w:p>
  </w:footnote>
  <w:footnote w:id="1309">
    <w:p w14:paraId="24FD69AF" w14:textId="77777777" w:rsidR="004C5A3C" w:rsidRDefault="004C5A3C" w:rsidP="002C39F4">
      <w:pPr>
        <w:pStyle w:val="a5"/>
      </w:pPr>
      <w:r>
        <w:rPr>
          <w:rStyle w:val="a7"/>
        </w:rPr>
        <w:footnoteRef/>
      </w:r>
      <w:r>
        <w:rPr>
          <w:rtl/>
        </w:rPr>
        <w:t xml:space="preserve"> </w:t>
      </w:r>
      <w:r>
        <w:rPr>
          <w:rFonts w:cs="Arial"/>
          <w:rtl/>
        </w:rPr>
        <w:t>והביא ראיה מ</w:t>
      </w:r>
      <w:r>
        <w:rPr>
          <w:rFonts w:cs="Arial" w:hint="cs"/>
          <w:rtl/>
        </w:rPr>
        <w:t>פ</w:t>
      </w:r>
      <w:r>
        <w:rPr>
          <w:rFonts w:cs="Arial"/>
          <w:rtl/>
        </w:rPr>
        <w:t>כ</w:t>
      </w:r>
      <w:r>
        <w:rPr>
          <w:rFonts w:cs="Arial" w:hint="cs"/>
          <w:rtl/>
        </w:rPr>
        <w:t>"</w:t>
      </w:r>
      <w:r>
        <w:rPr>
          <w:rFonts w:cs="Arial"/>
          <w:rtl/>
        </w:rPr>
        <w:t xml:space="preserve">צ </w:t>
      </w:r>
      <w:r>
        <w:rPr>
          <w:rFonts w:cs="Arial" w:hint="cs"/>
          <w:sz w:val="16"/>
          <w:szCs w:val="16"/>
          <w:rtl/>
        </w:rPr>
        <w:t>{</w:t>
      </w:r>
      <w:r w:rsidRPr="006F210A">
        <w:rPr>
          <w:rFonts w:cs="Arial" w:hint="cs"/>
          <w:sz w:val="16"/>
          <w:szCs w:val="16"/>
          <w:rtl/>
        </w:rPr>
        <w:t>היינו מ</w:t>
      </w:r>
      <w:r>
        <w:rPr>
          <w:rFonts w:cs="Arial" w:hint="cs"/>
          <w:sz w:val="16"/>
          <w:szCs w:val="16"/>
          <w:rtl/>
        </w:rPr>
        <w:t>ה</w:t>
      </w:r>
      <w:r w:rsidRPr="006F210A">
        <w:rPr>
          <w:rFonts w:cs="Arial" w:hint="cs"/>
          <w:sz w:val="16"/>
          <w:szCs w:val="16"/>
          <w:rtl/>
        </w:rPr>
        <w:t>גמ</w:t>
      </w:r>
      <w:r>
        <w:rPr>
          <w:rFonts w:cs="Arial" w:hint="cs"/>
          <w:sz w:val="16"/>
          <w:szCs w:val="16"/>
          <w:rtl/>
        </w:rPr>
        <w:t>' לעיל</w:t>
      </w:r>
      <w:r w:rsidRPr="006F210A">
        <w:rPr>
          <w:rFonts w:cs="Arial" w:hint="cs"/>
          <w:sz w:val="16"/>
          <w:szCs w:val="16"/>
          <w:rtl/>
        </w:rPr>
        <w:t>}</w:t>
      </w:r>
      <w:r>
        <w:rPr>
          <w:rFonts w:cs="Arial" w:hint="cs"/>
          <w:rtl/>
        </w:rPr>
        <w:t xml:space="preserve">, </w:t>
      </w:r>
      <w:r>
        <w:rPr>
          <w:rFonts w:cs="Arial"/>
          <w:rtl/>
        </w:rPr>
        <w:t xml:space="preserve">והר"ן </w:t>
      </w:r>
      <w:r w:rsidRPr="006F210A">
        <w:rPr>
          <w:rFonts w:cs="Arial"/>
          <w:sz w:val="16"/>
          <w:szCs w:val="16"/>
          <w:rtl/>
        </w:rPr>
        <w:t>(מא: ד"ה גרסינן)</w:t>
      </w:r>
      <w:r>
        <w:rPr>
          <w:rFonts w:cs="Arial" w:hint="cs"/>
          <w:rtl/>
        </w:rPr>
        <w:t xml:space="preserve"> הביאו ו</w:t>
      </w:r>
      <w:r>
        <w:rPr>
          <w:rFonts w:cs="Arial"/>
          <w:rtl/>
        </w:rPr>
        <w:t>דחה ראייתו</w:t>
      </w:r>
      <w:r>
        <w:rPr>
          <w:rFonts w:cs="Arial" w:hint="cs"/>
          <w:rtl/>
        </w:rPr>
        <w:t>,</w:t>
      </w:r>
      <w:r>
        <w:rPr>
          <w:rFonts w:cs="Arial"/>
          <w:rtl/>
        </w:rPr>
        <w:t xml:space="preserve"> ואמר דהתם בצלי אבל במבושל כולו אסור</w:t>
      </w:r>
      <w:r>
        <w:rPr>
          <w:rFonts w:cs="Arial" w:hint="cs"/>
          <w:rtl/>
        </w:rPr>
        <w:t>.</w:t>
      </w:r>
    </w:p>
  </w:footnote>
  <w:footnote w:id="1310">
    <w:p w14:paraId="28CC20BD" w14:textId="77777777" w:rsidR="004C5A3C" w:rsidRDefault="004C5A3C" w:rsidP="002C39F4">
      <w:pPr>
        <w:pStyle w:val="a5"/>
        <w:rPr>
          <w:rtl/>
        </w:rPr>
      </w:pPr>
      <w:r>
        <w:rPr>
          <w:rStyle w:val="a7"/>
        </w:rPr>
        <w:footnoteRef/>
      </w:r>
      <w:r>
        <w:rPr>
          <w:rtl/>
        </w:rPr>
        <w:t xml:space="preserve"> </w:t>
      </w:r>
      <w:r w:rsidRPr="006F210A">
        <w:rPr>
          <w:rFonts w:cs="Arial"/>
          <w:rtl/>
        </w:rPr>
        <w:t>ונראה דעל כרחך הבשר היה צונן דאל"כ למה הוצרך לומר שחלב חשיב עירוי מכלי ראשון הא אפילו היה צונן גמור הוה אסר לבשל משום דהוה צונן לתוך חם</w:t>
      </w:r>
      <w:r>
        <w:rPr>
          <w:rFonts w:cs="Arial" w:hint="cs"/>
          <w:rtl/>
        </w:rPr>
        <w:t>,</w:t>
      </w:r>
      <w:r w:rsidRPr="006F210A">
        <w:rPr>
          <w:rFonts w:cs="Arial"/>
          <w:rtl/>
        </w:rPr>
        <w:t xml:space="preserve"> וכיון שכן על כרחך צריכין לומר דנאסר הבשר לא ליאסר הכל קאמר אלא דוקא כדי קליפה דהא חם לתוך צונן אינו אוסר אלא כדי קליפה</w:t>
      </w:r>
      <w:r>
        <w:rPr>
          <w:rFonts w:hint="cs"/>
          <w:rtl/>
        </w:rPr>
        <w:t>, ב"י.</w:t>
      </w:r>
    </w:p>
  </w:footnote>
  <w:footnote w:id="1311">
    <w:p w14:paraId="3A10B50C" w14:textId="77777777" w:rsidR="004C5A3C" w:rsidRDefault="004C5A3C" w:rsidP="002C39F4">
      <w:pPr>
        <w:pStyle w:val="a5"/>
      </w:pPr>
      <w:r>
        <w:rPr>
          <w:rStyle w:val="a7"/>
        </w:rPr>
        <w:footnoteRef/>
      </w:r>
      <w:r>
        <w:rPr>
          <w:rtl/>
        </w:rPr>
        <w:t xml:space="preserve"> </w:t>
      </w:r>
      <w:r>
        <w:rPr>
          <w:rFonts w:hint="cs"/>
          <w:rtl/>
        </w:rPr>
        <w:t xml:space="preserve">וכ' הב"י- </w:t>
      </w:r>
      <w:r w:rsidRPr="00A54690">
        <w:rPr>
          <w:rFonts w:cs="Arial"/>
          <w:rtl/>
        </w:rPr>
        <w:t>והא דתניא בשר רותח שנפל לתוך חלב רותח וכן צונן שנפל לתוך חם אסור דמשמע דבין בשר בין חלב אסור היינו בשאין בחלב ששים כנגד הבשר אבל אם יש בחלב ששים כנגד הבשר חלב מותר ובשר אסור וכמו שיתבאר בסימן שלאחר זה</w:t>
      </w:r>
      <w:r>
        <w:rPr>
          <w:rFonts w:cs="Arial" w:hint="cs"/>
          <w:rtl/>
        </w:rPr>
        <w:t>, ע</w:t>
      </w:r>
      <w:r w:rsidRPr="000F4990">
        <w:rPr>
          <w:rFonts w:cs="Arial" w:hint="cs"/>
          <w:color w:val="000000" w:themeColor="text1"/>
          <w:rtl/>
        </w:rPr>
        <w:t>כ"ל</w:t>
      </w:r>
      <w:r w:rsidRPr="000F4990">
        <w:rPr>
          <w:rFonts w:cs="Arial"/>
          <w:color w:val="000000" w:themeColor="text1"/>
          <w:rtl/>
        </w:rPr>
        <w:t>.</w:t>
      </w:r>
      <w:r w:rsidRPr="000F4990">
        <w:rPr>
          <w:rFonts w:cs="Arial" w:hint="cs"/>
          <w:color w:val="000000" w:themeColor="text1"/>
          <w:rtl/>
        </w:rPr>
        <w:t xml:space="preserve"> וכ"כ הש"ך (סק"ה)</w:t>
      </w:r>
      <w:r w:rsidRPr="000F4990">
        <w:rPr>
          <w:rFonts w:hint="cs"/>
          <w:color w:val="000000" w:themeColor="text1"/>
          <w:rtl/>
        </w:rPr>
        <w:t>, וכ' עוד ש</w:t>
      </w:r>
      <w:r w:rsidRPr="000F4990">
        <w:rPr>
          <w:rFonts w:cs="Arial"/>
          <w:color w:val="000000" w:themeColor="text1"/>
          <w:rtl/>
        </w:rPr>
        <w:t xml:space="preserve">דוקא </w:t>
      </w:r>
      <w:r w:rsidRPr="000F4990">
        <w:rPr>
          <w:rFonts w:cs="Arial" w:hint="cs"/>
          <w:color w:val="000000" w:themeColor="text1"/>
          <w:rtl/>
        </w:rPr>
        <w:t>כ</w:t>
      </w:r>
      <w:r w:rsidRPr="000F4990">
        <w:rPr>
          <w:rFonts w:cs="Arial"/>
          <w:color w:val="000000" w:themeColor="text1"/>
          <w:rtl/>
        </w:rPr>
        <w:t>שנפל לתוך בשר רותח שמונח בקדירה אבל לא על בשר רותח צלי חוץ לקדירה לדעת הטור</w:t>
      </w:r>
      <w:r w:rsidRPr="000F4990">
        <w:rPr>
          <w:rFonts w:cs="Arial" w:hint="cs"/>
          <w:color w:val="000000" w:themeColor="text1"/>
          <w:rtl/>
        </w:rPr>
        <w:t>,</w:t>
      </w:r>
      <w:r w:rsidRPr="000F4990">
        <w:rPr>
          <w:rFonts w:cs="Arial"/>
          <w:color w:val="000000" w:themeColor="text1"/>
          <w:rtl/>
        </w:rPr>
        <w:t xml:space="preserve"> ולדידן בכל ענין אסור עד ס' וכמ"ש בסי' צב ססק</w:t>
      </w:r>
      <w:r w:rsidRPr="000F4990">
        <w:rPr>
          <w:rFonts w:cs="Arial" w:hint="cs"/>
          <w:color w:val="000000" w:themeColor="text1"/>
          <w:rtl/>
        </w:rPr>
        <w:t>"</w:t>
      </w:r>
      <w:r w:rsidRPr="000F4990">
        <w:rPr>
          <w:rFonts w:cs="Arial"/>
          <w:color w:val="000000" w:themeColor="text1"/>
          <w:rtl/>
        </w:rPr>
        <w:t>ג ובסי' קה ע"ש</w:t>
      </w:r>
      <w:r w:rsidRPr="000F4990">
        <w:rPr>
          <w:rFonts w:cs="Arial" w:hint="cs"/>
          <w:color w:val="000000" w:themeColor="text1"/>
          <w:rtl/>
        </w:rPr>
        <w:t>.</w:t>
      </w:r>
      <w:r w:rsidRPr="009B5D15">
        <w:rPr>
          <w:rFonts w:cs="Arial"/>
          <w:rtl/>
        </w:rPr>
        <w:t xml:space="preserve"> </w:t>
      </w:r>
      <w:r>
        <w:rPr>
          <w:rFonts w:cs="Arial" w:hint="cs"/>
          <w:rtl/>
        </w:rPr>
        <w:t xml:space="preserve"> </w:t>
      </w:r>
    </w:p>
  </w:footnote>
  <w:footnote w:id="1312">
    <w:p w14:paraId="2DFE64A7" w14:textId="77777777" w:rsidR="004C5A3C" w:rsidRDefault="004C5A3C" w:rsidP="002C39F4">
      <w:pPr>
        <w:pStyle w:val="a5"/>
      </w:pPr>
      <w:r w:rsidRPr="000F4990">
        <w:rPr>
          <w:rStyle w:val="a7"/>
          <w:color w:val="000000" w:themeColor="text1"/>
        </w:rPr>
        <w:footnoteRef/>
      </w:r>
      <w:r w:rsidRPr="000F4990">
        <w:rPr>
          <w:color w:val="000000" w:themeColor="text1"/>
          <w:rtl/>
        </w:rPr>
        <w:t xml:space="preserve"> </w:t>
      </w:r>
      <w:r w:rsidRPr="000F4990">
        <w:rPr>
          <w:rFonts w:cs="Arial"/>
          <w:color w:val="000000" w:themeColor="text1"/>
          <w:rtl/>
        </w:rPr>
        <w:t>והיינו דוקא באיסור מחמת עצמו אבל אם הוא איסור בלוע אינו יוצא מחתיכ</w:t>
      </w:r>
      <w:r w:rsidRPr="000F4990">
        <w:rPr>
          <w:rFonts w:cs="Arial" w:hint="cs"/>
          <w:color w:val="000000" w:themeColor="text1"/>
          <w:rtl/>
        </w:rPr>
        <w:t>ה</w:t>
      </w:r>
      <w:r w:rsidRPr="000F4990">
        <w:rPr>
          <w:rFonts w:cs="Arial"/>
          <w:color w:val="000000" w:themeColor="text1"/>
          <w:rtl/>
        </w:rPr>
        <w:t xml:space="preserve"> לחתיכ</w:t>
      </w:r>
      <w:r w:rsidRPr="000F4990">
        <w:rPr>
          <w:rFonts w:cs="Arial" w:hint="cs"/>
          <w:color w:val="000000" w:themeColor="text1"/>
          <w:rtl/>
        </w:rPr>
        <w:t>ה</w:t>
      </w:r>
      <w:r w:rsidRPr="000F4990">
        <w:rPr>
          <w:rFonts w:cs="Arial"/>
          <w:color w:val="000000" w:themeColor="text1"/>
          <w:rtl/>
        </w:rPr>
        <w:t xml:space="preserve"> בלא רוטב</w:t>
      </w:r>
      <w:r w:rsidRPr="000F4990">
        <w:rPr>
          <w:rFonts w:cs="Arial" w:hint="cs"/>
          <w:color w:val="000000" w:themeColor="text1"/>
          <w:rtl/>
        </w:rPr>
        <w:t>,</w:t>
      </w:r>
      <w:r w:rsidRPr="000F4990">
        <w:rPr>
          <w:rFonts w:cs="Arial"/>
          <w:color w:val="000000" w:themeColor="text1"/>
          <w:rtl/>
        </w:rPr>
        <w:t xml:space="preserve"> כ"כ ת"ח כלל כ"ג</w:t>
      </w:r>
      <w:r w:rsidRPr="000F4990">
        <w:rPr>
          <w:rFonts w:cs="Arial" w:hint="cs"/>
          <w:color w:val="000000" w:themeColor="text1"/>
          <w:rtl/>
        </w:rPr>
        <w:t>,</w:t>
      </w:r>
      <w:r w:rsidRPr="000F4990">
        <w:rPr>
          <w:rFonts w:cs="Arial"/>
          <w:color w:val="000000" w:themeColor="text1"/>
          <w:rtl/>
        </w:rPr>
        <w:t xml:space="preserve"> ועיין סי' קה סע</w:t>
      </w:r>
      <w:r w:rsidRPr="000F4990">
        <w:rPr>
          <w:rFonts w:cs="Arial" w:hint="cs"/>
          <w:color w:val="000000" w:themeColor="text1"/>
          <w:rtl/>
        </w:rPr>
        <w:t>'</w:t>
      </w:r>
      <w:r w:rsidRPr="000F4990">
        <w:rPr>
          <w:rFonts w:cs="Arial"/>
          <w:color w:val="000000" w:themeColor="text1"/>
          <w:rtl/>
        </w:rPr>
        <w:t xml:space="preserve"> ז</w:t>
      </w:r>
      <w:r w:rsidRPr="000F4990">
        <w:rPr>
          <w:rFonts w:cs="Arial" w:hint="cs"/>
          <w:color w:val="000000" w:themeColor="text1"/>
          <w:rtl/>
        </w:rPr>
        <w:t xml:space="preserve"> (סקי"ג)</w:t>
      </w:r>
      <w:r w:rsidRPr="000F4990">
        <w:rPr>
          <w:rFonts w:cs="Arial"/>
          <w:color w:val="000000" w:themeColor="text1"/>
          <w:rtl/>
        </w:rPr>
        <w:t xml:space="preserve"> מ</w:t>
      </w:r>
      <w:r w:rsidRPr="000F4990">
        <w:rPr>
          <w:rFonts w:cs="Arial" w:hint="cs"/>
          <w:color w:val="000000" w:themeColor="text1"/>
          <w:rtl/>
        </w:rPr>
        <w:t xml:space="preserve">ה </w:t>
      </w:r>
      <w:r w:rsidRPr="000F4990">
        <w:rPr>
          <w:rFonts w:cs="Arial"/>
          <w:color w:val="000000" w:themeColor="text1"/>
          <w:rtl/>
        </w:rPr>
        <w:t>ש</w:t>
      </w:r>
      <w:r w:rsidRPr="000F4990">
        <w:rPr>
          <w:rFonts w:cs="Arial" w:hint="cs"/>
          <w:color w:val="000000" w:themeColor="text1"/>
          <w:rtl/>
        </w:rPr>
        <w:t>כתבתי</w:t>
      </w:r>
      <w:r w:rsidRPr="000F4990">
        <w:rPr>
          <w:rFonts w:cs="Arial"/>
          <w:color w:val="000000" w:themeColor="text1"/>
          <w:rtl/>
        </w:rPr>
        <w:t xml:space="preserve"> שם</w:t>
      </w:r>
      <w:r w:rsidRPr="000F4990">
        <w:rPr>
          <w:rFonts w:cs="Arial" w:hint="cs"/>
          <w:color w:val="000000" w:themeColor="text1"/>
          <w:rtl/>
        </w:rPr>
        <w:t>, ט"ז (סק"ה).</w:t>
      </w:r>
    </w:p>
  </w:footnote>
  <w:footnote w:id="1313">
    <w:p w14:paraId="13682599" w14:textId="77777777" w:rsidR="004C5A3C" w:rsidRDefault="004C5A3C" w:rsidP="002C39F4">
      <w:pPr>
        <w:pStyle w:val="a5"/>
        <w:rPr>
          <w:rtl/>
        </w:rPr>
      </w:pPr>
      <w:r>
        <w:rPr>
          <w:rStyle w:val="a7"/>
        </w:rPr>
        <w:footnoteRef/>
      </w:r>
      <w:r>
        <w:rPr>
          <w:rtl/>
        </w:rPr>
        <w:t xml:space="preserve"> </w:t>
      </w:r>
      <w:r w:rsidRPr="007C5AF0">
        <w:rPr>
          <w:rFonts w:cs="Arial"/>
          <w:rtl/>
        </w:rPr>
        <w:t>משום דכאן דהתחתון הוא צונן הוא מקרר העליון אלא דאדמיקר ליה בלע פורתא לכך צריך קליפה</w:t>
      </w:r>
      <w:r>
        <w:rPr>
          <w:rFonts w:cs="Arial" w:hint="cs"/>
          <w:rtl/>
        </w:rPr>
        <w:t>,</w:t>
      </w:r>
      <w:r w:rsidRPr="007C5AF0">
        <w:rPr>
          <w:rFonts w:cs="Arial"/>
          <w:rtl/>
        </w:rPr>
        <w:t xml:space="preserve"> ועי' בסי' ק"ה ס"ג עוד מדיני תתאה גבר</w:t>
      </w:r>
      <w:r>
        <w:rPr>
          <w:rFonts w:cs="Arial" w:hint="cs"/>
          <w:rtl/>
        </w:rPr>
        <w:t>,</w:t>
      </w:r>
      <w:r w:rsidRPr="007C5AF0">
        <w:rPr>
          <w:rFonts w:cs="Arial"/>
          <w:rtl/>
        </w:rPr>
        <w:t xml:space="preserve"> גם נתבאר שם דאפי' נפל החלב רותח על בשר צונן ע"י עירוי שלא נפסק הקלוח סגי בקליפה וכן אפילו נפסק הקלוח בעי קליפה וע"ש</w:t>
      </w:r>
      <w:r>
        <w:rPr>
          <w:rFonts w:hint="cs"/>
          <w:rtl/>
        </w:rPr>
        <w:t>, ש"ך (סק"ז).</w:t>
      </w:r>
    </w:p>
  </w:footnote>
  <w:footnote w:id="1314">
    <w:p w14:paraId="1D772AA3" w14:textId="77777777" w:rsidR="004C5A3C" w:rsidRDefault="004C5A3C" w:rsidP="002C39F4">
      <w:pPr>
        <w:pStyle w:val="a5"/>
        <w:rPr>
          <w:rtl/>
        </w:rPr>
      </w:pPr>
      <w:r>
        <w:rPr>
          <w:rStyle w:val="a7"/>
        </w:rPr>
        <w:footnoteRef/>
      </w:r>
      <w:r>
        <w:rPr>
          <w:rtl/>
        </w:rPr>
        <w:t xml:space="preserve"> </w:t>
      </w:r>
      <w:r>
        <w:rPr>
          <w:rFonts w:cs="Arial" w:hint="cs"/>
          <w:rtl/>
        </w:rPr>
        <w:t>ומ"מ הדין כך רק במקרים</w:t>
      </w:r>
      <w:r>
        <w:rPr>
          <w:rFonts w:cs="Arial"/>
          <w:rtl/>
        </w:rPr>
        <w:t xml:space="preserve"> </w:t>
      </w:r>
      <w:r>
        <w:rPr>
          <w:rFonts w:cs="Arial" w:hint="cs"/>
          <w:rtl/>
        </w:rPr>
        <w:t>הדומים</w:t>
      </w:r>
      <w:r>
        <w:rPr>
          <w:rFonts w:cs="Arial"/>
          <w:rtl/>
        </w:rPr>
        <w:t xml:space="preserve"> </w:t>
      </w:r>
      <w:r>
        <w:rPr>
          <w:rFonts w:cs="Arial" w:hint="cs"/>
          <w:rtl/>
        </w:rPr>
        <w:t>למקרה כאן,</w:t>
      </w:r>
      <w:r>
        <w:rPr>
          <w:rFonts w:cs="Arial"/>
          <w:rtl/>
        </w:rPr>
        <w:t xml:space="preserve"> דחלב מותר</w:t>
      </w:r>
      <w:r>
        <w:rPr>
          <w:rFonts w:cs="Arial" w:hint="cs"/>
          <w:rtl/>
        </w:rPr>
        <w:t>,</w:t>
      </w:r>
      <w:r>
        <w:rPr>
          <w:rFonts w:cs="Arial"/>
          <w:rtl/>
        </w:rPr>
        <w:t xml:space="preserve"> מטעמא </w:t>
      </w:r>
      <w:r w:rsidRPr="00E97B75">
        <w:rPr>
          <w:rFonts w:cs="Arial" w:hint="cs"/>
          <w:sz w:val="16"/>
          <w:szCs w:val="16"/>
          <w:rtl/>
        </w:rPr>
        <w:t>(</w:t>
      </w:r>
      <w:r w:rsidRPr="00E97B75">
        <w:rPr>
          <w:rFonts w:cs="Arial"/>
          <w:sz w:val="16"/>
          <w:szCs w:val="16"/>
          <w:rtl/>
        </w:rPr>
        <w:t>דכתבו התוס</w:t>
      </w:r>
      <w:r w:rsidRPr="00E97B75">
        <w:rPr>
          <w:rFonts w:cs="Arial" w:hint="cs"/>
          <w:sz w:val="16"/>
          <w:szCs w:val="16"/>
          <w:rtl/>
        </w:rPr>
        <w:t>'</w:t>
      </w:r>
      <w:r w:rsidRPr="00E97B75">
        <w:rPr>
          <w:rFonts w:cs="Arial"/>
          <w:sz w:val="16"/>
          <w:szCs w:val="16"/>
          <w:rtl/>
        </w:rPr>
        <w:t xml:space="preserve"> והרא"ש ושא</w:t>
      </w:r>
      <w:r w:rsidRPr="00E97B75">
        <w:rPr>
          <w:rFonts w:cs="Arial" w:hint="cs"/>
          <w:sz w:val="16"/>
          <w:szCs w:val="16"/>
          <w:rtl/>
        </w:rPr>
        <w:t>"פ</w:t>
      </w:r>
      <w:r>
        <w:rPr>
          <w:rFonts w:cs="Arial" w:hint="cs"/>
          <w:sz w:val="16"/>
          <w:szCs w:val="16"/>
          <w:rtl/>
        </w:rPr>
        <w:t>)</w:t>
      </w:r>
      <w:r w:rsidRPr="00476A17">
        <w:rPr>
          <w:rFonts w:cs="Arial"/>
          <w:rtl/>
        </w:rPr>
        <w:t xml:space="preserve"> דלא שייך ביה קליפה דהיינו שהוא דבר הנבלל והקליפה נתערבה</w:t>
      </w:r>
      <w:r>
        <w:rPr>
          <w:rFonts w:cs="Arial" w:hint="cs"/>
          <w:rtl/>
        </w:rPr>
        <w:t>,</w:t>
      </w:r>
      <w:r w:rsidRPr="00476A17">
        <w:rPr>
          <w:rFonts w:cs="Arial"/>
          <w:rtl/>
        </w:rPr>
        <w:t xml:space="preserve"> וכה"ג אם נתבשל הבשר בלא קליפה ונבלל בענין דאינו מכירו דלא שייך ביה קליפה</w:t>
      </w:r>
      <w:r>
        <w:rPr>
          <w:rFonts w:cs="Arial" w:hint="cs"/>
          <w:rtl/>
        </w:rPr>
        <w:t>-</w:t>
      </w:r>
      <w:r w:rsidRPr="00476A17">
        <w:rPr>
          <w:rFonts w:cs="Arial"/>
          <w:rtl/>
        </w:rPr>
        <w:t xml:space="preserve"> מותר בדיעבד</w:t>
      </w:r>
      <w:r>
        <w:rPr>
          <w:rFonts w:cs="Arial" w:hint="cs"/>
          <w:rtl/>
        </w:rPr>
        <w:t>,</w:t>
      </w:r>
      <w:r w:rsidRPr="00476A17">
        <w:rPr>
          <w:rFonts w:cs="Arial"/>
          <w:rtl/>
        </w:rPr>
        <w:t xml:space="preserve"> והשתא ניחא הא דכתב סתם מותר בדיעבד</w:t>
      </w:r>
      <w:r>
        <w:rPr>
          <w:rFonts w:cs="Arial" w:hint="cs"/>
          <w:rtl/>
        </w:rPr>
        <w:t>,</w:t>
      </w:r>
      <w:r w:rsidRPr="00476A17">
        <w:rPr>
          <w:rFonts w:cs="Arial"/>
          <w:rtl/>
        </w:rPr>
        <w:t xml:space="preserve"> דאי במכירו ה"ל לפרש דקליפה מיהא בעי </w:t>
      </w:r>
      <w:r w:rsidRPr="00E97B75">
        <w:rPr>
          <w:rFonts w:cs="Arial" w:hint="cs"/>
          <w:sz w:val="16"/>
          <w:szCs w:val="16"/>
          <w:rtl/>
        </w:rPr>
        <w:t xml:space="preserve">(כמו שכתבתי </w:t>
      </w:r>
      <w:r w:rsidRPr="00E97B75">
        <w:rPr>
          <w:rFonts w:cs="Arial"/>
          <w:sz w:val="16"/>
          <w:szCs w:val="16"/>
          <w:rtl/>
        </w:rPr>
        <w:t>בסי' עב</w:t>
      </w:r>
      <w:r w:rsidRPr="00E97B75">
        <w:rPr>
          <w:rFonts w:cs="Arial" w:hint="cs"/>
          <w:sz w:val="16"/>
          <w:szCs w:val="16"/>
          <w:rtl/>
        </w:rPr>
        <w:t xml:space="preserve"> סק"ח)</w:t>
      </w:r>
      <w:r>
        <w:rPr>
          <w:rFonts w:cs="Arial" w:hint="cs"/>
          <w:rtl/>
        </w:rPr>
        <w:t>,</w:t>
      </w:r>
      <w:r w:rsidRPr="00476A17">
        <w:rPr>
          <w:rFonts w:cs="Arial"/>
          <w:rtl/>
        </w:rPr>
        <w:t xml:space="preserve"> אבל כשנתבשל ועדיין מכירו בענין דשייך ביה קליפה צריך ס'</w:t>
      </w:r>
      <w:r>
        <w:rPr>
          <w:rFonts w:cs="Arial" w:hint="cs"/>
          <w:rtl/>
        </w:rPr>
        <w:t>,</w:t>
      </w:r>
      <w:r w:rsidRPr="00476A17">
        <w:rPr>
          <w:rFonts w:cs="Arial"/>
          <w:rtl/>
        </w:rPr>
        <w:t xml:space="preserve"> </w:t>
      </w:r>
      <w:r>
        <w:rPr>
          <w:rFonts w:cs="Arial" w:hint="cs"/>
          <w:rtl/>
        </w:rPr>
        <w:t xml:space="preserve">ע"פ </w:t>
      </w:r>
      <w:r>
        <w:rPr>
          <w:rFonts w:hint="cs"/>
          <w:rtl/>
        </w:rPr>
        <w:t>ש"ך (סק"ח).</w:t>
      </w:r>
    </w:p>
  </w:footnote>
  <w:footnote w:id="1315">
    <w:p w14:paraId="7FAB70B3" w14:textId="77777777" w:rsidR="004C5A3C" w:rsidRDefault="004C5A3C" w:rsidP="002C39F4">
      <w:pPr>
        <w:pStyle w:val="a5"/>
        <w:rPr>
          <w:rtl/>
        </w:rPr>
      </w:pPr>
      <w:r>
        <w:rPr>
          <w:rStyle w:val="a7"/>
        </w:rPr>
        <w:footnoteRef/>
      </w:r>
      <w:r>
        <w:rPr>
          <w:rtl/>
        </w:rPr>
        <w:t xml:space="preserve"> </w:t>
      </w:r>
      <w:r w:rsidRPr="00ED6833">
        <w:rPr>
          <w:rFonts w:cs="Arial"/>
          <w:rtl/>
        </w:rPr>
        <w:t xml:space="preserve">ובאו"ה </w:t>
      </w:r>
      <w:r>
        <w:rPr>
          <w:rFonts w:cs="Arial" w:hint="cs"/>
          <w:rtl/>
        </w:rPr>
        <w:t>(</w:t>
      </w:r>
      <w:r>
        <w:rPr>
          <w:rFonts w:cs="Arial"/>
          <w:rtl/>
        </w:rPr>
        <w:t>כלל ל ד</w:t>
      </w:r>
      <w:r>
        <w:rPr>
          <w:rFonts w:cs="Arial" w:hint="cs"/>
          <w:rtl/>
        </w:rPr>
        <w:t>"</w:t>
      </w:r>
      <w:r>
        <w:rPr>
          <w:rFonts w:cs="Arial"/>
          <w:rtl/>
        </w:rPr>
        <w:t>י</w:t>
      </w:r>
      <w:r>
        <w:rPr>
          <w:rFonts w:cs="Arial" w:hint="cs"/>
          <w:rtl/>
        </w:rPr>
        <w:t>)</w:t>
      </w:r>
      <w:r w:rsidRPr="00ED6833">
        <w:rPr>
          <w:rFonts w:cs="Arial"/>
          <w:rtl/>
        </w:rPr>
        <w:t xml:space="preserve"> כ' בשם מרדכי </w:t>
      </w:r>
      <w:r>
        <w:rPr>
          <w:rFonts w:cs="Arial" w:hint="cs"/>
          <w:rtl/>
        </w:rPr>
        <w:t>(</w:t>
      </w:r>
      <w:r w:rsidRPr="00ED6833">
        <w:rPr>
          <w:rFonts w:cs="Arial"/>
          <w:rtl/>
        </w:rPr>
        <w:t>פכ"ה</w:t>
      </w:r>
      <w:r>
        <w:rPr>
          <w:rFonts w:cs="Arial" w:hint="cs"/>
          <w:rtl/>
        </w:rPr>
        <w:t>)</w:t>
      </w:r>
      <w:r w:rsidRPr="00ED6833">
        <w:rPr>
          <w:rFonts w:cs="Arial"/>
          <w:rtl/>
        </w:rPr>
        <w:t xml:space="preserve"> וסמ"ג דהיינו דוקא בבשר בחלב</w:t>
      </w:r>
      <w:r>
        <w:rPr>
          <w:rFonts w:cs="Arial" w:hint="cs"/>
          <w:rtl/>
        </w:rPr>
        <w:t>,</w:t>
      </w:r>
      <w:r w:rsidRPr="00ED6833">
        <w:rPr>
          <w:rFonts w:cs="Arial"/>
          <w:rtl/>
        </w:rPr>
        <w:t xml:space="preserve"> אבל אם נפל היתר צונן בתוך איסור צלול צונן צריך קליפה</w:t>
      </w:r>
      <w:r>
        <w:rPr>
          <w:rFonts w:cs="Arial" w:hint="cs"/>
          <w:rtl/>
        </w:rPr>
        <w:t>,</w:t>
      </w:r>
      <w:r w:rsidRPr="00ED6833">
        <w:rPr>
          <w:rFonts w:cs="Arial"/>
          <w:rtl/>
        </w:rPr>
        <w:t xml:space="preserve"> ומביאו הרב בת"ח </w:t>
      </w:r>
      <w:r>
        <w:rPr>
          <w:rFonts w:cs="Arial" w:hint="cs"/>
          <w:rtl/>
        </w:rPr>
        <w:t>(</w:t>
      </w:r>
      <w:r w:rsidRPr="00ED6833">
        <w:rPr>
          <w:rFonts w:cs="Arial"/>
          <w:rtl/>
        </w:rPr>
        <w:t>ריש כלל כ"ב</w:t>
      </w:r>
      <w:r>
        <w:rPr>
          <w:rFonts w:cs="Arial" w:hint="cs"/>
          <w:rtl/>
        </w:rPr>
        <w:t>),</w:t>
      </w:r>
      <w:r w:rsidRPr="00ED6833">
        <w:rPr>
          <w:rFonts w:cs="Arial"/>
          <w:rtl/>
        </w:rPr>
        <w:t xml:space="preserve"> וצ"ע כי לא נמצא מזה דבר במרדכי וסמ"ג ואדרבה מסתימת דבריהם שם משמע איפכא ע"ש</w:t>
      </w:r>
      <w:r>
        <w:rPr>
          <w:rFonts w:cs="Arial" w:hint="cs"/>
          <w:rtl/>
        </w:rPr>
        <w:t>,</w:t>
      </w:r>
      <w:r w:rsidRPr="00ED6833">
        <w:rPr>
          <w:rFonts w:cs="Arial"/>
          <w:rtl/>
        </w:rPr>
        <w:t xml:space="preserve"> וכן משמע לכאור</w:t>
      </w:r>
      <w:r>
        <w:rPr>
          <w:rFonts w:cs="Arial"/>
          <w:rtl/>
        </w:rPr>
        <w:t>ה בש"ס פ</w:t>
      </w:r>
      <w:r>
        <w:rPr>
          <w:rFonts w:cs="Arial" w:hint="cs"/>
          <w:rtl/>
        </w:rPr>
        <w:t>כ"צ</w:t>
      </w:r>
      <w:r>
        <w:rPr>
          <w:rFonts w:cs="Arial"/>
          <w:rtl/>
        </w:rPr>
        <w:t xml:space="preserve"> (עו</w:t>
      </w:r>
      <w:r>
        <w:rPr>
          <w:rFonts w:cs="Arial" w:hint="cs"/>
          <w:rtl/>
        </w:rPr>
        <w:t>.</w:t>
      </w:r>
      <w:r w:rsidRPr="00ED6833">
        <w:rPr>
          <w:rFonts w:cs="Arial"/>
          <w:rtl/>
        </w:rPr>
        <w:t>) דאין חילוק</w:t>
      </w:r>
      <w:r>
        <w:rPr>
          <w:rFonts w:cs="Arial" w:hint="cs"/>
          <w:rtl/>
        </w:rPr>
        <w:t>,</w:t>
      </w:r>
      <w:r w:rsidRPr="00ED6833">
        <w:rPr>
          <w:rFonts w:cs="Arial"/>
          <w:rtl/>
        </w:rPr>
        <w:t xml:space="preserve"> וכ"כ ש</w:t>
      </w:r>
      <w:r>
        <w:rPr>
          <w:rFonts w:cs="Arial" w:hint="cs"/>
          <w:rtl/>
        </w:rPr>
        <w:t>ע</w:t>
      </w:r>
      <w:r>
        <w:rPr>
          <w:rFonts w:cs="Arial"/>
          <w:rtl/>
        </w:rPr>
        <w:t>"ד סי</w:t>
      </w:r>
      <w:r>
        <w:rPr>
          <w:rFonts w:cs="Arial" w:hint="cs"/>
          <w:rtl/>
        </w:rPr>
        <w:t>'</w:t>
      </w:r>
      <w:r w:rsidRPr="00ED6833">
        <w:rPr>
          <w:rFonts w:cs="Arial"/>
          <w:rtl/>
        </w:rPr>
        <w:t xml:space="preserve"> כ' ומהרי"ל באו"ש בדיני בשר בחלב בהדיא</w:t>
      </w:r>
      <w:r>
        <w:rPr>
          <w:rFonts w:cs="Arial" w:hint="cs"/>
          <w:rtl/>
        </w:rPr>
        <w:t>,</w:t>
      </w:r>
      <w:r w:rsidRPr="00ED6833">
        <w:rPr>
          <w:rFonts w:cs="Arial"/>
          <w:rtl/>
        </w:rPr>
        <w:t xml:space="preserve"> וכן משמעות הפוסקים</w:t>
      </w:r>
      <w:r>
        <w:rPr>
          <w:rFonts w:hint="cs"/>
          <w:rtl/>
        </w:rPr>
        <w:t>, ש"ך (סק"י).</w:t>
      </w:r>
    </w:p>
  </w:footnote>
  <w:footnote w:id="1316">
    <w:p w14:paraId="6F0F79C9"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אימלח ליה בשר שחוטה בהדי בשר נבלה- ובכלי מנוקב כמשפט המולחים בשר, וקמיבעיא ליה מי אמרינן כי היכי דגבי דם לא חיישינן לדלמא פלט עליון ובלע תחתון דאמרינן כל זמן שטרודים בפליטה אינן בולעין ושניהם נחין יחד מפליטתן ה"נ לא שנא או לא, רש"י.</w:t>
      </w:r>
    </w:p>
  </w:footnote>
  <w:footnote w:id="1317">
    <w:p w14:paraId="3FC0107A"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ה"א יתירא דגבי הטמאים לכם בכל השרץ (ויקרא יא), רש"י.</w:t>
      </w:r>
    </w:p>
  </w:footnote>
  <w:footnote w:id="1318">
    <w:p w14:paraId="4644E6EC"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פירמא בשר ותבלין הנקפה בשולי הקדירה, וכיון דצירן אסור מיתסר הבשר השחוט מחמת ציר הטרפה שהוא נוח ליבלע מן הדם, רש"י. </w:t>
      </w:r>
    </w:p>
  </w:footnote>
  <w:footnote w:id="1319">
    <w:p w14:paraId="5C5BB3F7"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ושמע מינה ציר נמי לא מיבלע כל זמן שעסוקים בפליטה, וש"מ צירן מותר- לא גרסינן, רש"י.</w:t>
      </w:r>
    </w:p>
  </w:footnote>
  <w:footnote w:id="1320">
    <w:p w14:paraId="4513E877"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מבלי מלח דהשתא לא פליט טמא מידי אבל שניהם מלוחים דטמא נמי פליט אסור וכ"ש טמא מליח וטהור תפל, רש"י.</w:t>
      </w:r>
    </w:p>
  </w:footnote>
  <w:footnote w:id="1321">
    <w:p w14:paraId="27C9FFFD"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היינו, רישא דברייתא שרי שהיה טהור מליח וטמא תפל "דכל שהוא מליח פולט ומבליע את חבירו ואינו מחממו כ"כ שיהא פולט אלא מעט- ואיידי דמטריד לפלוט אינו בולע אותה פליטה מועטת שחבירו פולט, וי"ל נמי שחבירו אינו חם כ"כ שיהא פולט כלל, וסיפא דסיפא בשהיה טמא מליח וטהור תפל ולפיכך אסור שהטמא שהוא מליח פולט ומבליע את הטהור התפל וה"ה כשהיו שניהם מלוחים ולא אמרינן איידי דטריד טהור למיפלט לא בלע דלא אמרו אלא גבי דם דשריק אבל גבי ציר ורוטב אסורים לא דמיסרך סרוכי אא"כ במקום פליטה מרובה כפליטת דם הכבד שאמרו </w:t>
      </w:r>
      <w:r w:rsidRPr="00C233C9">
        <w:rPr>
          <w:rFonts w:asciiTheme="minorBidi" w:hAnsiTheme="minorBidi"/>
          <w:sz w:val="16"/>
          <w:szCs w:val="16"/>
          <w:rtl/>
        </w:rPr>
        <w:t xml:space="preserve">(תרומות פ"י מי"א) </w:t>
      </w:r>
      <w:r w:rsidRPr="00C233C9">
        <w:rPr>
          <w:rFonts w:asciiTheme="minorBidi" w:hAnsiTheme="minorBidi"/>
          <w:rtl/>
        </w:rPr>
        <w:t xml:space="preserve">הכבד אוסרת ואינה נאסרת", רשב"א </w:t>
      </w:r>
      <w:r w:rsidRPr="00C233C9">
        <w:rPr>
          <w:rFonts w:asciiTheme="minorBidi" w:hAnsiTheme="minorBidi"/>
          <w:sz w:val="16"/>
          <w:szCs w:val="16"/>
          <w:rtl/>
        </w:rPr>
        <w:t>(תוה"</w:t>
      </w:r>
      <w:r>
        <w:rPr>
          <w:rFonts w:asciiTheme="minorBidi" w:hAnsiTheme="minorBidi" w:hint="cs"/>
          <w:sz w:val="16"/>
          <w:szCs w:val="16"/>
          <w:rtl/>
        </w:rPr>
        <w:t xml:space="preserve">א            </w:t>
      </w:r>
      <w:r w:rsidRPr="00C233C9">
        <w:rPr>
          <w:rFonts w:asciiTheme="minorBidi" w:hAnsiTheme="minorBidi"/>
          <w:sz w:val="16"/>
          <w:szCs w:val="16"/>
          <w:rtl/>
        </w:rPr>
        <w:t>ב"ד ש"א ב:)</w:t>
      </w:r>
      <w:r w:rsidRPr="00C233C9">
        <w:rPr>
          <w:rFonts w:asciiTheme="minorBidi" w:hAnsiTheme="minorBidi"/>
          <w:rtl/>
        </w:rPr>
        <w:t>.</w:t>
      </w:r>
    </w:p>
  </w:footnote>
  <w:footnote w:id="1322">
    <w:p w14:paraId="0B6E4FD3"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w:t>
      </w:r>
      <w:r>
        <w:rPr>
          <w:rFonts w:asciiTheme="minorBidi" w:hAnsiTheme="minorBidi" w:hint="cs"/>
          <w:rtl/>
        </w:rPr>
        <w:t>שלהלכה הם נ</w:t>
      </w:r>
      <w:r>
        <w:rPr>
          <w:rFonts w:asciiTheme="minorBidi" w:hAnsiTheme="minorBidi"/>
          <w:rtl/>
        </w:rPr>
        <w:t>אס</w:t>
      </w:r>
      <w:r w:rsidRPr="00C233C9">
        <w:rPr>
          <w:rFonts w:asciiTheme="minorBidi" w:hAnsiTheme="minorBidi"/>
          <w:rtl/>
        </w:rPr>
        <w:t>ר</w:t>
      </w:r>
      <w:r>
        <w:rPr>
          <w:rFonts w:asciiTheme="minorBidi" w:hAnsiTheme="minorBidi" w:hint="cs"/>
          <w:rtl/>
        </w:rPr>
        <w:t>ים</w:t>
      </w:r>
      <w:r w:rsidRPr="00C233C9">
        <w:rPr>
          <w:rFonts w:asciiTheme="minorBidi" w:hAnsiTheme="minorBidi"/>
          <w:rtl/>
        </w:rPr>
        <w:t xml:space="preserve"> </w:t>
      </w:r>
      <w:r w:rsidRPr="00513D77">
        <w:rPr>
          <w:rFonts w:asciiTheme="minorBidi" w:hAnsiTheme="minorBidi" w:hint="cs"/>
          <w:sz w:val="16"/>
          <w:szCs w:val="16"/>
          <w:rtl/>
        </w:rPr>
        <w:t>(ו</w:t>
      </w:r>
      <w:r>
        <w:rPr>
          <w:rFonts w:asciiTheme="minorBidi" w:hAnsiTheme="minorBidi"/>
          <w:sz w:val="16"/>
          <w:szCs w:val="16"/>
          <w:rtl/>
        </w:rPr>
        <w:t xml:space="preserve">אפילו מלחם בכלי מנוקב, שבה"ל </w:t>
      </w:r>
      <w:r w:rsidRPr="00513D77">
        <w:rPr>
          <w:rFonts w:asciiTheme="minorBidi" w:hAnsiTheme="minorBidi" w:hint="cs"/>
          <w:sz w:val="14"/>
          <w:szCs w:val="14"/>
          <w:rtl/>
        </w:rPr>
        <w:t>[</w:t>
      </w:r>
      <w:r w:rsidRPr="00513D77">
        <w:rPr>
          <w:rFonts w:asciiTheme="minorBidi" w:hAnsiTheme="minorBidi"/>
          <w:sz w:val="14"/>
          <w:szCs w:val="14"/>
          <w:rtl/>
        </w:rPr>
        <w:t>ח"ב סי' לז ד"ה דג טמא</w:t>
      </w:r>
      <w:r w:rsidRPr="00513D77">
        <w:rPr>
          <w:rFonts w:asciiTheme="minorBidi" w:hAnsiTheme="minorBidi" w:hint="cs"/>
          <w:sz w:val="14"/>
          <w:szCs w:val="14"/>
          <w:rtl/>
        </w:rPr>
        <w:t>]</w:t>
      </w:r>
      <w:r w:rsidRPr="00513D77">
        <w:rPr>
          <w:rFonts w:asciiTheme="minorBidi" w:hAnsiTheme="minorBidi"/>
          <w:sz w:val="16"/>
          <w:szCs w:val="16"/>
          <w:rtl/>
        </w:rPr>
        <w:t>. וכ' הב"י דפשוט הוא</w:t>
      </w:r>
      <w:r>
        <w:rPr>
          <w:rFonts w:asciiTheme="minorBidi" w:hAnsiTheme="minorBidi" w:hint="cs"/>
          <w:sz w:val="16"/>
          <w:szCs w:val="16"/>
          <w:rtl/>
        </w:rPr>
        <w:t>)</w:t>
      </w:r>
      <w:r w:rsidRPr="00C233C9">
        <w:rPr>
          <w:rFonts w:asciiTheme="minorBidi" w:hAnsiTheme="minorBidi"/>
          <w:rtl/>
        </w:rPr>
        <w:t>.</w:t>
      </w:r>
    </w:p>
  </w:footnote>
  <w:footnote w:id="1323">
    <w:p w14:paraId="21F90CFF"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תוס'</w:t>
      </w:r>
      <w:r w:rsidRPr="00C233C9">
        <w:rPr>
          <w:rFonts w:asciiTheme="minorBidi" w:hAnsiTheme="minorBidi"/>
          <w:sz w:val="16"/>
          <w:szCs w:val="16"/>
          <w:rtl/>
        </w:rPr>
        <w:t xml:space="preserve"> (ד"ה טהור) </w:t>
      </w:r>
      <w:r w:rsidRPr="00C233C9">
        <w:rPr>
          <w:rFonts w:asciiTheme="minorBidi" w:hAnsiTheme="minorBidi"/>
          <w:rtl/>
        </w:rPr>
        <w:t xml:space="preserve">רשב"א </w:t>
      </w:r>
      <w:r w:rsidRPr="00C233C9">
        <w:rPr>
          <w:rFonts w:asciiTheme="minorBidi" w:hAnsiTheme="minorBidi"/>
          <w:sz w:val="16"/>
          <w:szCs w:val="16"/>
          <w:rtl/>
        </w:rPr>
        <w:t>(תוה"ק ב"ד ש"א)</w:t>
      </w:r>
      <w:r w:rsidRPr="00C233C9">
        <w:rPr>
          <w:rFonts w:asciiTheme="minorBidi" w:hAnsiTheme="minorBidi"/>
          <w:rtl/>
        </w:rPr>
        <w:t xml:space="preserve"> רא"ש </w:t>
      </w:r>
      <w:r w:rsidRPr="00C233C9">
        <w:rPr>
          <w:rFonts w:asciiTheme="minorBidi" w:hAnsiTheme="minorBidi"/>
          <w:sz w:val="16"/>
          <w:szCs w:val="16"/>
          <w:rtl/>
        </w:rPr>
        <w:t xml:space="preserve">(סי' כד וסי' מא) </w:t>
      </w:r>
      <w:r w:rsidRPr="00C233C9">
        <w:rPr>
          <w:rFonts w:asciiTheme="minorBidi" w:hAnsiTheme="minorBidi"/>
          <w:rtl/>
        </w:rPr>
        <w:t>טור</w:t>
      </w:r>
      <w:r w:rsidRPr="00C233C9">
        <w:rPr>
          <w:rFonts w:asciiTheme="minorBidi" w:hAnsiTheme="minorBidi"/>
          <w:sz w:val="16"/>
          <w:szCs w:val="16"/>
          <w:rtl/>
        </w:rPr>
        <w:t xml:space="preserve"> (לקמן סימן ק"ה, ואע"פ שסתם כאן לאסור בשר שחוטה שנמלח עם טרפה סמך עמ"ש בסי' ק"ה דאינו אוסר אלא כדי קליפה)</w:t>
      </w:r>
      <w:r>
        <w:rPr>
          <w:rFonts w:asciiTheme="minorBidi" w:hAnsiTheme="minorBidi" w:hint="cs"/>
          <w:rtl/>
        </w:rPr>
        <w:t xml:space="preserve"> ו</w:t>
      </w:r>
      <w:r>
        <w:rPr>
          <w:rFonts w:cs="Arial"/>
          <w:rtl/>
        </w:rPr>
        <w:t>ר"ן</w:t>
      </w:r>
      <w:r w:rsidRPr="00576C15">
        <w:rPr>
          <w:rFonts w:cs="Arial"/>
          <w:sz w:val="16"/>
          <w:szCs w:val="16"/>
          <w:rtl/>
        </w:rPr>
        <w:t xml:space="preserve"> (מב. ד"ה דג טהור)</w:t>
      </w:r>
      <w:r w:rsidRPr="00C233C9">
        <w:rPr>
          <w:rFonts w:asciiTheme="minorBidi" w:hAnsiTheme="minorBidi"/>
          <w:rtl/>
        </w:rPr>
        <w:t>.</w:t>
      </w:r>
    </w:p>
  </w:footnote>
  <w:footnote w:id="1324">
    <w:p w14:paraId="6A746714"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וכתבו התוס' </w:t>
      </w:r>
      <w:r w:rsidRPr="00C233C9">
        <w:rPr>
          <w:rFonts w:asciiTheme="minorBidi" w:hAnsiTheme="minorBidi"/>
          <w:sz w:val="16"/>
          <w:szCs w:val="16"/>
          <w:rtl/>
        </w:rPr>
        <w:t xml:space="preserve">(ד"ה טהור) </w:t>
      </w:r>
      <w:r w:rsidRPr="00C233C9">
        <w:rPr>
          <w:rFonts w:asciiTheme="minorBidi" w:hAnsiTheme="minorBidi"/>
          <w:rtl/>
        </w:rPr>
        <w:t xml:space="preserve">והרא"ש </w:t>
      </w:r>
      <w:r w:rsidRPr="00C233C9">
        <w:rPr>
          <w:rFonts w:asciiTheme="minorBidi" w:hAnsiTheme="minorBidi"/>
          <w:sz w:val="16"/>
          <w:szCs w:val="16"/>
          <w:rtl/>
        </w:rPr>
        <w:t>(סי' מא)</w:t>
      </w:r>
      <w:r>
        <w:rPr>
          <w:rFonts w:asciiTheme="minorBidi" w:hAnsiTheme="minorBidi" w:hint="cs"/>
          <w:rtl/>
        </w:rPr>
        <w:t xml:space="preserve">- </w:t>
      </w:r>
      <w:r w:rsidRPr="00C233C9">
        <w:rPr>
          <w:rFonts w:asciiTheme="minorBidi" w:hAnsiTheme="minorBidi"/>
          <w:rtl/>
        </w:rPr>
        <w:t xml:space="preserve">טהור מליח וטמא תפל מותר, {ד}גבי מליח כרותח לא שייך לא עילאה גבר ולא תתאה ואפילו קליפה לא בעי, והא דאמרינן </w:t>
      </w:r>
      <w:r w:rsidRPr="00C233C9">
        <w:rPr>
          <w:rFonts w:asciiTheme="minorBidi" w:hAnsiTheme="minorBidi"/>
          <w:sz w:val="16"/>
          <w:szCs w:val="16"/>
          <w:rtl/>
        </w:rPr>
        <w:t xml:space="preserve">(פסחים עו.) </w:t>
      </w:r>
      <w:r w:rsidRPr="00C233C9">
        <w:rPr>
          <w:rFonts w:asciiTheme="minorBidi" w:hAnsiTheme="minorBidi"/>
          <w:rtl/>
        </w:rPr>
        <w:t xml:space="preserve">גבי תתאה גבר או עילאה אדמיקר ליה בלע היינו בחום של צלי. וכ' הדרכ"מ </w:t>
      </w:r>
      <w:r w:rsidRPr="00C233C9">
        <w:rPr>
          <w:rFonts w:asciiTheme="minorBidi" w:hAnsiTheme="minorBidi"/>
          <w:sz w:val="16"/>
          <w:szCs w:val="16"/>
          <w:rtl/>
        </w:rPr>
        <w:t>(אות ח)</w:t>
      </w:r>
      <w:r w:rsidRPr="00C233C9">
        <w:rPr>
          <w:rFonts w:asciiTheme="minorBidi" w:hAnsiTheme="minorBidi"/>
          <w:rtl/>
        </w:rPr>
        <w:t>- וכבר כתבתי לעיל</w:t>
      </w:r>
      <w:r w:rsidRPr="00C233C9">
        <w:rPr>
          <w:rFonts w:asciiTheme="minorBidi" w:hAnsiTheme="minorBidi"/>
          <w:sz w:val="16"/>
          <w:szCs w:val="16"/>
          <w:rtl/>
        </w:rPr>
        <w:t xml:space="preserve"> (אות ה) </w:t>
      </w:r>
      <w:r w:rsidRPr="00C233C9">
        <w:rPr>
          <w:rFonts w:asciiTheme="minorBidi" w:hAnsiTheme="minorBidi"/>
          <w:rtl/>
        </w:rPr>
        <w:t>דאין נוהגין כן וגם ב"י כתב בשם הרבה פוסקים לאסור ועיין לקמן סי</w:t>
      </w:r>
      <w:r>
        <w:rPr>
          <w:rFonts w:asciiTheme="minorBidi" w:hAnsiTheme="minorBidi" w:hint="cs"/>
          <w:rtl/>
        </w:rPr>
        <w:t xml:space="preserve">' </w:t>
      </w:r>
      <w:r w:rsidRPr="00C233C9">
        <w:rPr>
          <w:rFonts w:asciiTheme="minorBidi" w:hAnsiTheme="minorBidi"/>
          <w:rtl/>
        </w:rPr>
        <w:t>קה</w:t>
      </w:r>
      <w:r w:rsidRPr="00C233C9">
        <w:rPr>
          <w:rFonts w:asciiTheme="minorBidi" w:hAnsiTheme="minorBidi"/>
          <w:sz w:val="16"/>
          <w:szCs w:val="16"/>
          <w:rtl/>
        </w:rPr>
        <w:t xml:space="preserve"> (אות יא) </w:t>
      </w:r>
      <w:r w:rsidRPr="00C233C9">
        <w:rPr>
          <w:rFonts w:asciiTheme="minorBidi" w:hAnsiTheme="minorBidi"/>
          <w:rtl/>
        </w:rPr>
        <w:t>שיתבאר בע"ה.</w:t>
      </w:r>
    </w:p>
  </w:footnote>
  <w:footnote w:id="1325">
    <w:p w14:paraId="0EA35F4F"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דבפסח שני (פסחים עה:) מוכח בהדיא דברותח דצלי בעי נטילת מקום. והביאו הר"ן (מב. ד"ה דג טהור) וכ'- ואיני מודה לו בזה דהתם שאני דנטף מרוטבו וחזר אליו אבל בצלי לא בעי אלא קליפה בלחוד, ומיהו הכא איפשר דכיון דציר זה יצא מן הטמא ועמד בעינו ונבלע אח"כ בטהור הוי ליה כנטף מרוטבו וחזר אליו ובעי נטילת מקום</w:t>
      </w:r>
      <w:r w:rsidRPr="00C233C9">
        <w:rPr>
          <w:rFonts w:asciiTheme="minorBidi" w:hAnsiTheme="minorBidi"/>
          <w:sz w:val="16"/>
          <w:szCs w:val="16"/>
          <w:rtl/>
        </w:rPr>
        <w:t xml:space="preserve"> (אע"ג דבכל איסור שע"י מליחה סגי ליה בקליפה)</w:t>
      </w:r>
      <w:r w:rsidRPr="00C233C9">
        <w:rPr>
          <w:rFonts w:asciiTheme="minorBidi" w:hAnsiTheme="minorBidi"/>
          <w:rtl/>
        </w:rPr>
        <w:t>.</w:t>
      </w:r>
    </w:p>
  </w:footnote>
  <w:footnote w:id="1326">
    <w:p w14:paraId="2C8C0289"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w:t>
      </w:r>
      <w:r>
        <w:rPr>
          <w:rFonts w:asciiTheme="minorBidi" w:hAnsiTheme="minorBidi" w:hint="cs"/>
          <w:rtl/>
        </w:rPr>
        <w:t xml:space="preserve">וז"ל- </w:t>
      </w:r>
      <w:r w:rsidRPr="003024E5">
        <w:rPr>
          <w:rFonts w:asciiTheme="minorBidi" w:hAnsiTheme="minorBidi"/>
          <w:rtl/>
        </w:rPr>
        <w:t>בשר נבלה מליח שנבלל עמו בשר שחוטה הרי זה נאסר</w:t>
      </w:r>
      <w:r>
        <w:rPr>
          <w:rFonts w:asciiTheme="minorBidi" w:hAnsiTheme="minorBidi" w:hint="cs"/>
          <w:rtl/>
        </w:rPr>
        <w:t>,</w:t>
      </w:r>
      <w:r w:rsidRPr="003024E5">
        <w:rPr>
          <w:rFonts w:asciiTheme="minorBidi" w:hAnsiTheme="minorBidi"/>
          <w:rtl/>
        </w:rPr>
        <w:t xml:space="preserve"> מפני שתמצית הנבל</w:t>
      </w:r>
      <w:r>
        <w:rPr>
          <w:rFonts w:asciiTheme="minorBidi" w:hAnsiTheme="minorBidi"/>
          <w:rtl/>
        </w:rPr>
        <w:t>ה נבלעת בגוף בשר השחוטה וא</w:t>
      </w:r>
      <w:r>
        <w:rPr>
          <w:rFonts w:asciiTheme="minorBidi" w:hAnsiTheme="minorBidi" w:hint="cs"/>
          <w:rtl/>
        </w:rPr>
        <w:t>"א</w:t>
      </w:r>
      <w:r w:rsidRPr="003024E5">
        <w:rPr>
          <w:rFonts w:asciiTheme="minorBidi" w:hAnsiTheme="minorBidi"/>
          <w:rtl/>
        </w:rPr>
        <w:t xml:space="preserve"> לעמוד כאן לא על הטעם ולא על השיעור</w:t>
      </w:r>
      <w:r>
        <w:rPr>
          <w:rFonts w:asciiTheme="minorBidi" w:hAnsiTheme="minorBidi" w:hint="cs"/>
          <w:rtl/>
        </w:rPr>
        <w:t>,</w:t>
      </w:r>
      <w:r w:rsidRPr="003024E5">
        <w:rPr>
          <w:rFonts w:asciiTheme="minorBidi" w:hAnsiTheme="minorBidi"/>
          <w:rtl/>
        </w:rPr>
        <w:t xml:space="preserve"> וכן בשר דג טמא מליח שנבלל עמו דג תפל טהור נאסר מפני צירו</w:t>
      </w:r>
      <w:r>
        <w:rPr>
          <w:rFonts w:asciiTheme="minorBidi" w:hAnsiTheme="minorBidi" w:hint="cs"/>
          <w:rtl/>
        </w:rPr>
        <w:t>,</w:t>
      </w:r>
      <w:r w:rsidRPr="003024E5">
        <w:rPr>
          <w:rFonts w:asciiTheme="minorBidi" w:hAnsiTheme="minorBidi"/>
          <w:rtl/>
        </w:rPr>
        <w:t xml:space="preserve"> אבל אם היה המליח טהור והתפל דג טמא לא נאסר המליח</w:t>
      </w:r>
      <w:r>
        <w:rPr>
          <w:rFonts w:asciiTheme="minorBidi" w:hAnsiTheme="minorBidi" w:hint="cs"/>
          <w:rtl/>
        </w:rPr>
        <w:t>,</w:t>
      </w:r>
      <w:r w:rsidRPr="003024E5">
        <w:rPr>
          <w:rFonts w:asciiTheme="minorBidi" w:hAnsiTheme="minorBidi"/>
          <w:rtl/>
        </w:rPr>
        <w:t xml:space="preserve"> שהתפל בולע מן המליח.</w:t>
      </w:r>
      <w:r>
        <w:rPr>
          <w:rFonts w:asciiTheme="minorBidi" w:hAnsiTheme="minorBidi" w:hint="cs"/>
          <w:rtl/>
        </w:rPr>
        <w:t xml:space="preserve"> </w:t>
      </w:r>
      <w:r w:rsidRPr="00C233C9">
        <w:rPr>
          <w:rFonts w:asciiTheme="minorBidi" w:hAnsiTheme="minorBidi"/>
          <w:rtl/>
        </w:rPr>
        <w:t>וכ' הב"י- נראה מדבריו שהוא סובר שהכל נאסר כדברי הרמב"ן ואינו ניתר לא בקליפה ולא בנטילת מקום ואינו מתבטל ב</w:t>
      </w:r>
      <w:r>
        <w:rPr>
          <w:rFonts w:asciiTheme="minorBidi" w:hAnsiTheme="minorBidi" w:hint="cs"/>
          <w:rtl/>
        </w:rPr>
        <w:t>ס'</w:t>
      </w:r>
      <w:r w:rsidRPr="00C233C9">
        <w:rPr>
          <w:rFonts w:asciiTheme="minorBidi" w:hAnsiTheme="minorBidi"/>
          <w:rtl/>
        </w:rPr>
        <w:t>.</w:t>
      </w:r>
    </w:p>
  </w:footnote>
  <w:footnote w:id="1327">
    <w:p w14:paraId="124A1B63" w14:textId="77777777" w:rsidR="004C5A3C" w:rsidRDefault="004C5A3C" w:rsidP="002C39F4">
      <w:pPr>
        <w:pStyle w:val="a5"/>
        <w:rPr>
          <w:rtl/>
        </w:rPr>
      </w:pPr>
      <w:r>
        <w:rPr>
          <w:rStyle w:val="a7"/>
        </w:rPr>
        <w:footnoteRef/>
      </w:r>
      <w:r>
        <w:rPr>
          <w:rtl/>
        </w:rPr>
        <w:t xml:space="preserve"> </w:t>
      </w:r>
      <w:r>
        <w:rPr>
          <w:rFonts w:cs="Arial" w:hint="cs"/>
          <w:rtl/>
        </w:rPr>
        <w:t>והטור</w:t>
      </w:r>
      <w:r w:rsidRPr="00513D77">
        <w:rPr>
          <w:rFonts w:cs="Arial"/>
          <w:rtl/>
        </w:rPr>
        <w:t xml:space="preserve"> לא כתב זה כאן לפי שסמך על מה שכתב בסימן ק"ה (קסז:) דכי היכי דמפלגינן בין כחוש לשמן בצלי הכי נמי מפלגינן במליח</w:t>
      </w:r>
      <w:r>
        <w:rPr>
          <w:rFonts w:cs="Arial" w:hint="cs"/>
          <w:rtl/>
        </w:rPr>
        <w:t>, ב"י. וכ' הדרכ"מ</w:t>
      </w:r>
      <w:r w:rsidRPr="00AD3606">
        <w:rPr>
          <w:rFonts w:cs="Arial"/>
          <w:rtl/>
        </w:rPr>
        <w:t xml:space="preserve"> </w:t>
      </w:r>
      <w:r w:rsidRPr="00513D77">
        <w:rPr>
          <w:rFonts w:cs="Arial"/>
          <w:sz w:val="16"/>
          <w:szCs w:val="16"/>
          <w:rtl/>
        </w:rPr>
        <w:t>(</w:t>
      </w:r>
      <w:r w:rsidRPr="00513D77">
        <w:rPr>
          <w:rFonts w:cs="Arial" w:hint="cs"/>
          <w:sz w:val="16"/>
          <w:szCs w:val="16"/>
          <w:rtl/>
        </w:rPr>
        <w:t xml:space="preserve">אות </w:t>
      </w:r>
      <w:r w:rsidRPr="00513D77">
        <w:rPr>
          <w:rFonts w:cs="Arial"/>
          <w:sz w:val="16"/>
          <w:szCs w:val="16"/>
          <w:rtl/>
        </w:rPr>
        <w:t xml:space="preserve">ד) </w:t>
      </w:r>
      <w:r>
        <w:rPr>
          <w:rFonts w:cs="Arial" w:hint="cs"/>
          <w:rtl/>
        </w:rPr>
        <w:t>ל</w:t>
      </w:r>
      <w:r>
        <w:rPr>
          <w:rFonts w:cs="Arial"/>
          <w:rtl/>
        </w:rPr>
        <w:t>עי</w:t>
      </w:r>
      <w:r>
        <w:rPr>
          <w:rFonts w:cs="Arial" w:hint="cs"/>
          <w:rtl/>
        </w:rPr>
        <w:t>'</w:t>
      </w:r>
      <w:r>
        <w:rPr>
          <w:rFonts w:cs="Arial"/>
          <w:rtl/>
        </w:rPr>
        <w:t xml:space="preserve"> לקמן סי</w:t>
      </w:r>
      <w:r>
        <w:rPr>
          <w:rFonts w:cs="Arial" w:hint="cs"/>
          <w:rtl/>
        </w:rPr>
        <w:t>'</w:t>
      </w:r>
      <w:r>
        <w:rPr>
          <w:rFonts w:cs="Arial"/>
          <w:rtl/>
        </w:rPr>
        <w:t xml:space="preserve"> ק"ה </w:t>
      </w:r>
      <w:r w:rsidRPr="00513D77">
        <w:rPr>
          <w:rFonts w:cs="Arial"/>
          <w:sz w:val="16"/>
          <w:szCs w:val="16"/>
          <w:rtl/>
        </w:rPr>
        <w:t xml:space="preserve">(ד"מ אות י) </w:t>
      </w:r>
      <w:r>
        <w:rPr>
          <w:rFonts w:cs="Arial"/>
          <w:rtl/>
        </w:rPr>
        <w:t>ד</w:t>
      </w:r>
      <w:r>
        <w:rPr>
          <w:rFonts w:cs="Arial" w:hint="cs"/>
          <w:rtl/>
        </w:rPr>
        <w:t>הם</w:t>
      </w:r>
      <w:r w:rsidRPr="00AD3606">
        <w:rPr>
          <w:rFonts w:cs="Arial"/>
          <w:rtl/>
        </w:rPr>
        <w:t xml:space="preserve"> נוהגין לשער בכל מליחה בששים ואין חילוק בין שמן לכחוש</w:t>
      </w:r>
      <w:r>
        <w:rPr>
          <w:rFonts w:cs="Arial" w:hint="cs"/>
          <w:rtl/>
        </w:rPr>
        <w:t>.</w:t>
      </w:r>
    </w:p>
  </w:footnote>
  <w:footnote w:id="1328">
    <w:p w14:paraId="400961BB" w14:textId="77777777" w:rsidR="004C5A3C" w:rsidRDefault="004C5A3C" w:rsidP="002C39F4">
      <w:pPr>
        <w:pStyle w:val="a5"/>
        <w:rPr>
          <w:rtl/>
        </w:rPr>
      </w:pPr>
      <w:r>
        <w:rPr>
          <w:rStyle w:val="a7"/>
        </w:rPr>
        <w:footnoteRef/>
      </w:r>
      <w:r>
        <w:rPr>
          <w:rtl/>
        </w:rPr>
        <w:t xml:space="preserve"> </w:t>
      </w:r>
      <w:r>
        <w:rPr>
          <w:rFonts w:hint="cs"/>
          <w:rtl/>
        </w:rPr>
        <w:t>ועי' בסי' קה שכ' שם הב"י שגם הרשב"א מודה לזה ולא חילק בין מליח למטה למליח למעלה אלא בחתיכה שמנה.</w:t>
      </w:r>
    </w:p>
  </w:footnote>
  <w:footnote w:id="1329">
    <w:p w14:paraId="42F728B0" w14:textId="77777777" w:rsidR="004C5A3C" w:rsidRPr="00AD3606" w:rsidRDefault="004C5A3C" w:rsidP="002C39F4">
      <w:pPr>
        <w:pStyle w:val="a5"/>
        <w:rPr>
          <w:rtl/>
        </w:rPr>
      </w:pPr>
      <w:r w:rsidRPr="00AD3606">
        <w:rPr>
          <w:rStyle w:val="a7"/>
        </w:rPr>
        <w:footnoteRef/>
      </w:r>
      <w:r w:rsidRPr="00AD3606">
        <w:rPr>
          <w:rFonts w:hint="cs"/>
          <w:rtl/>
        </w:rPr>
        <w:t xml:space="preserve"> </w:t>
      </w:r>
      <w:r w:rsidRPr="00AD3606">
        <w:rPr>
          <w:rFonts w:asciiTheme="minorBidi" w:hAnsiTheme="minorBidi" w:hint="cs"/>
          <w:rtl/>
        </w:rPr>
        <w:t>הועתק מסימן ע סע' ג.</w:t>
      </w:r>
    </w:p>
  </w:footnote>
  <w:footnote w:id="1330">
    <w:p w14:paraId="1EE0B50B"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היינו כתירוצו השני של הרא"ש, וכ' הב"י דלפיכך כ' כאן הטור- ונתן הטהור אחר שמלחו על הטמא מותר, ולעיל גבי עופות ודגים כ' ג"כ- אם לא מלחן יחד אלא לאחר שמלח הדג נתנו עם העוף מותר, דלא תימא דבנמלח מכל צדדין רק לא במקום שהוא דבוק בטמא או בעוף הוא דשרי אלא אפילו מלחו בפני עצמו כסתם מליחה שהיא מכל צדדיו ואח"כ נתנו עם הטמא או עם העוף שרי דאע"ג שהטמא או העוף נמלחו בצד שהם דבוקים בו אינו נחשב כרותח להיות פולט. וכ' הב"י שכן נראה ד' המרדכי </w:t>
      </w:r>
      <w:r w:rsidRPr="00C233C9">
        <w:rPr>
          <w:rFonts w:asciiTheme="minorBidi" w:hAnsiTheme="minorBidi"/>
          <w:sz w:val="16"/>
          <w:szCs w:val="16"/>
          <w:rtl/>
        </w:rPr>
        <w:t>(סי' תשיח)</w:t>
      </w:r>
      <w:r w:rsidRPr="00C233C9">
        <w:rPr>
          <w:rFonts w:asciiTheme="minorBidi" w:hAnsiTheme="minorBidi"/>
          <w:rtl/>
        </w:rPr>
        <w:t>.</w:t>
      </w:r>
    </w:p>
  </w:footnote>
  <w:footnote w:id="1331">
    <w:p w14:paraId="2D8E16F4"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סה"ת</w:t>
      </w:r>
      <w:r w:rsidRPr="00C233C9">
        <w:rPr>
          <w:rFonts w:asciiTheme="minorBidi" w:hAnsiTheme="minorBidi"/>
          <w:sz w:val="16"/>
          <w:szCs w:val="16"/>
          <w:rtl/>
        </w:rPr>
        <w:t xml:space="preserve"> (סי' סג) </w:t>
      </w:r>
      <w:r w:rsidRPr="00C233C9">
        <w:rPr>
          <w:rFonts w:asciiTheme="minorBidi" w:hAnsiTheme="minorBidi"/>
          <w:rtl/>
        </w:rPr>
        <w:t>ור"ן</w:t>
      </w:r>
      <w:r w:rsidRPr="00C233C9">
        <w:rPr>
          <w:rFonts w:asciiTheme="minorBidi" w:hAnsiTheme="minorBidi"/>
          <w:sz w:val="16"/>
          <w:szCs w:val="16"/>
          <w:rtl/>
        </w:rPr>
        <w:t xml:space="preserve"> (מב. ד"ה דג טהור)</w:t>
      </w:r>
      <w:r w:rsidRPr="00C233C9">
        <w:rPr>
          <w:rFonts w:asciiTheme="minorBidi" w:hAnsiTheme="minorBidi"/>
          <w:rtl/>
        </w:rPr>
        <w:t>.</w:t>
      </w:r>
    </w:p>
  </w:footnote>
  <w:footnote w:id="1332">
    <w:p w14:paraId="3F134BB5" w14:textId="77777777" w:rsidR="004C5A3C" w:rsidRPr="00C233C9" w:rsidRDefault="004C5A3C" w:rsidP="002C39F4">
      <w:pPr>
        <w:pStyle w:val="a5"/>
        <w:rPr>
          <w:rFonts w:asciiTheme="minorBidi" w:hAnsiTheme="minorBidi"/>
          <w:rtl/>
        </w:rPr>
      </w:pPr>
      <w:r w:rsidRPr="00C233C9">
        <w:rPr>
          <w:rStyle w:val="a7"/>
          <w:rFonts w:asciiTheme="minorBidi" w:hAnsiTheme="minorBidi"/>
        </w:rPr>
        <w:footnoteRef/>
      </w:r>
      <w:r w:rsidRPr="00C233C9">
        <w:rPr>
          <w:rFonts w:asciiTheme="minorBidi" w:hAnsiTheme="minorBidi"/>
          <w:rtl/>
        </w:rPr>
        <w:t xml:space="preserve"> וכ' עוד הר"ן- טמא מליח וטהור תפל אסור משום דטמא מליח פולט ציר וציר זה שהוא רותח מחמת מלח נבלע בטהור ואוסרו ואע"פ שהטהור אינו מליח כ"כ מחמת בליעתו שלא יהא נאכל מחמת מלחו ולעיל אמרינן דלא אמרינן מליח הרי הוא כרותח אלא כשאינו נאכל מחמת מלחו היינו לומר שאין הבשר רותח אבל מ"מ ציר זה הנופל עליו רותח הוא ונבלע בו, ומיהו הבשר צונן חשבינן ליה דמשום הכי אמרינן טהור מליח וטמא תפל מותר שאע"פ שנבלעים בתוכו טיפות רותחות מן הטהור אעפ"כ אינו מתחמם כ"כ עד שיפלוט.</w:t>
      </w:r>
    </w:p>
  </w:footnote>
  <w:footnote w:id="1333">
    <w:p w14:paraId="624C3A04" w14:textId="77777777" w:rsidR="004C5A3C" w:rsidRDefault="004C5A3C" w:rsidP="002C39F4">
      <w:pPr>
        <w:pStyle w:val="a5"/>
        <w:rPr>
          <w:rtl/>
        </w:rPr>
      </w:pPr>
      <w:r>
        <w:rPr>
          <w:rStyle w:val="a7"/>
        </w:rPr>
        <w:footnoteRef/>
      </w:r>
      <w:r>
        <w:rPr>
          <w:rtl/>
        </w:rPr>
        <w:t xml:space="preserve"> </w:t>
      </w:r>
      <w:r w:rsidRPr="00492ADD">
        <w:rPr>
          <w:rFonts w:cs="Arial"/>
          <w:rtl/>
        </w:rPr>
        <w:t>כלומר שאם הבשר תפל והגבינה מלוחה הבשר צריך קליפה והגבינה שריא בהדחה</w:t>
      </w:r>
      <w:r>
        <w:rPr>
          <w:rFonts w:cs="Arial" w:hint="cs"/>
          <w:rtl/>
        </w:rPr>
        <w:t>,</w:t>
      </w:r>
      <w:r w:rsidRPr="00492ADD">
        <w:rPr>
          <w:rFonts w:cs="Arial"/>
          <w:rtl/>
        </w:rPr>
        <w:t xml:space="preserve"> </w:t>
      </w:r>
      <w:r>
        <w:rPr>
          <w:rFonts w:cs="Arial" w:hint="cs"/>
          <w:rtl/>
        </w:rPr>
        <w:t>ו</w:t>
      </w:r>
      <w:r w:rsidRPr="00492ADD">
        <w:rPr>
          <w:rFonts w:cs="Arial"/>
          <w:rtl/>
        </w:rPr>
        <w:t>גם זה מבואר ממה שכ</w:t>
      </w:r>
      <w:r>
        <w:rPr>
          <w:rFonts w:cs="Arial"/>
          <w:rtl/>
        </w:rPr>
        <w:t>תבתי בסימן ע' דאיתא בפכ</w:t>
      </w:r>
      <w:r>
        <w:rPr>
          <w:rFonts w:cs="Arial" w:hint="cs"/>
          <w:rtl/>
        </w:rPr>
        <w:t>"</w:t>
      </w:r>
      <w:r>
        <w:rPr>
          <w:rFonts w:cs="Arial"/>
          <w:rtl/>
        </w:rPr>
        <w:t>ה</w:t>
      </w:r>
      <w:r w:rsidRPr="00492ADD">
        <w:rPr>
          <w:rFonts w:cs="Arial"/>
          <w:rtl/>
        </w:rPr>
        <w:t xml:space="preserve"> (שם) שאם היה טהור מליח וטמא תפל מותר</w:t>
      </w:r>
      <w:r>
        <w:rPr>
          <w:rFonts w:cs="Arial" w:hint="cs"/>
          <w:rtl/>
        </w:rPr>
        <w:t>,</w:t>
      </w:r>
      <w:r w:rsidRPr="00492ADD">
        <w:rPr>
          <w:rFonts w:cs="Arial"/>
          <w:rtl/>
        </w:rPr>
        <w:t xml:space="preserve"> מפני שאין הטמא התפל מבליע את הטהור המליח</w:t>
      </w:r>
      <w:r>
        <w:rPr>
          <w:rFonts w:cs="Arial" w:hint="cs"/>
          <w:rtl/>
        </w:rPr>
        <w:t>,</w:t>
      </w:r>
      <w:r w:rsidRPr="00492ADD">
        <w:rPr>
          <w:rFonts w:cs="Arial"/>
          <w:rtl/>
        </w:rPr>
        <w:t xml:space="preserve"> ואם היה טהור תפל וטמא מליח אסור מפני שהטמא המליח מבליע את הטהור התפל</w:t>
      </w:r>
      <w:r>
        <w:rPr>
          <w:rFonts w:cs="Arial" w:hint="cs"/>
          <w:rtl/>
        </w:rPr>
        <w:t>,</w:t>
      </w:r>
      <w:r w:rsidRPr="00492ADD">
        <w:rPr>
          <w:rFonts w:cs="Arial"/>
          <w:rtl/>
        </w:rPr>
        <w:t xml:space="preserve"> וה"נ הדבר המליח מבליע את חבירו התפל והוא אינו בולע ממנו</w:t>
      </w:r>
      <w:r>
        <w:rPr>
          <w:rFonts w:cs="Arial" w:hint="cs"/>
          <w:rtl/>
        </w:rPr>
        <w:t>,</w:t>
      </w:r>
      <w:r w:rsidRPr="00492ADD">
        <w:rPr>
          <w:rFonts w:cs="Arial"/>
          <w:rtl/>
        </w:rPr>
        <w:t xml:space="preserve"> ומשום הכי אותו שהוא תפל צריך קליפה ואותו שהוא מליח סגי ליה בהדחה</w:t>
      </w:r>
      <w:r>
        <w:rPr>
          <w:rFonts w:cs="Arial" w:hint="cs"/>
          <w:rtl/>
        </w:rPr>
        <w:t>, ב"י</w:t>
      </w:r>
      <w:r w:rsidRPr="00492ADD">
        <w:rPr>
          <w:rFonts w:cs="Arial"/>
          <w:rtl/>
        </w:rPr>
        <w:t>.</w:t>
      </w:r>
    </w:p>
  </w:footnote>
  <w:footnote w:id="1334">
    <w:p w14:paraId="215A8E70" w14:textId="77777777" w:rsidR="004C5A3C" w:rsidRDefault="004C5A3C" w:rsidP="002C39F4">
      <w:pPr>
        <w:pStyle w:val="a5"/>
        <w:rPr>
          <w:rtl/>
        </w:rPr>
      </w:pPr>
      <w:r>
        <w:rPr>
          <w:rStyle w:val="a7"/>
        </w:rPr>
        <w:footnoteRef/>
      </w:r>
      <w:r>
        <w:rPr>
          <w:rtl/>
        </w:rPr>
        <w:t xml:space="preserve"> </w:t>
      </w:r>
      <w:r>
        <w:rPr>
          <w:rFonts w:cs="Arial"/>
          <w:rtl/>
        </w:rPr>
        <w:t>זה מבואר ממה שכתבתי בסימן ע' דאיתא בפ</w:t>
      </w:r>
      <w:r>
        <w:rPr>
          <w:rFonts w:cs="Arial" w:hint="cs"/>
          <w:rtl/>
        </w:rPr>
        <w:t>כ"ה</w:t>
      </w:r>
      <w:r>
        <w:rPr>
          <w:rFonts w:cs="Arial"/>
          <w:rtl/>
        </w:rPr>
        <w:t xml:space="preserve"> (קיג.) דבשר שחוטה שמלחו עם בשר טרפה וכן דג טהור שמלחו עם דג טמא אם היו שניהם מלוחים אסור שאע"פ שהטהור מליח אין זה מעכבו מלבלוע מהטמא שהוא מליח</w:t>
      </w:r>
      <w:r>
        <w:rPr>
          <w:rFonts w:hint="cs"/>
          <w:rtl/>
        </w:rPr>
        <w:t>, ב"י.</w:t>
      </w:r>
    </w:p>
  </w:footnote>
  <w:footnote w:id="1335">
    <w:p w14:paraId="2A171024" w14:textId="77777777" w:rsidR="004C5A3C" w:rsidRDefault="004C5A3C" w:rsidP="002C39F4">
      <w:pPr>
        <w:pStyle w:val="a5"/>
        <w:rPr>
          <w:rtl/>
        </w:rPr>
      </w:pPr>
      <w:r>
        <w:rPr>
          <w:rStyle w:val="a7"/>
        </w:rPr>
        <w:footnoteRef/>
      </w:r>
      <w:r>
        <w:rPr>
          <w:rtl/>
        </w:rPr>
        <w:t xml:space="preserve"> </w:t>
      </w:r>
      <w:r w:rsidRPr="000F2759">
        <w:rPr>
          <w:rFonts w:cs="Arial" w:hint="cs"/>
          <w:rtl/>
        </w:rPr>
        <w:t xml:space="preserve">סה"ת </w:t>
      </w:r>
      <w:r w:rsidRPr="000F2759">
        <w:rPr>
          <w:rFonts w:cs="Arial" w:hint="cs"/>
          <w:sz w:val="16"/>
          <w:szCs w:val="16"/>
          <w:rtl/>
        </w:rPr>
        <w:t>(סי' סג)</w:t>
      </w:r>
      <w:r w:rsidRPr="00F074E9">
        <w:rPr>
          <w:rFonts w:cs="Arial" w:hint="cs"/>
          <w:rtl/>
        </w:rPr>
        <w:t xml:space="preserve"> </w:t>
      </w:r>
      <w:r>
        <w:rPr>
          <w:rFonts w:cs="Arial" w:hint="cs"/>
          <w:rtl/>
        </w:rPr>
        <w:t>הגה"מ</w:t>
      </w:r>
      <w:r w:rsidRPr="000F2759">
        <w:rPr>
          <w:rFonts w:cs="Arial"/>
          <w:rtl/>
        </w:rPr>
        <w:t xml:space="preserve"> </w:t>
      </w:r>
      <w:r w:rsidRPr="00F074E9">
        <w:rPr>
          <w:rFonts w:cs="Arial"/>
          <w:sz w:val="16"/>
          <w:szCs w:val="16"/>
          <w:rtl/>
        </w:rPr>
        <w:t>(</w:t>
      </w:r>
      <w:r w:rsidRPr="00F074E9">
        <w:rPr>
          <w:rFonts w:cs="Arial" w:hint="cs"/>
          <w:sz w:val="16"/>
          <w:szCs w:val="16"/>
          <w:rtl/>
        </w:rPr>
        <w:t>פ"ט</w:t>
      </w:r>
      <w:r w:rsidRPr="00F074E9">
        <w:rPr>
          <w:rFonts w:cs="Arial"/>
          <w:sz w:val="16"/>
          <w:szCs w:val="16"/>
          <w:rtl/>
        </w:rPr>
        <w:t xml:space="preserve"> הי"ז) </w:t>
      </w:r>
      <w:r w:rsidRPr="000F2759">
        <w:rPr>
          <w:rFonts w:cs="Arial"/>
          <w:rtl/>
        </w:rPr>
        <w:t>מרדכי</w:t>
      </w:r>
      <w:r w:rsidRPr="00F074E9">
        <w:rPr>
          <w:rFonts w:cs="Arial"/>
          <w:sz w:val="16"/>
          <w:szCs w:val="16"/>
          <w:rtl/>
        </w:rPr>
        <w:t xml:space="preserve"> (סי' תשיח)</w:t>
      </w:r>
      <w:r>
        <w:rPr>
          <w:rFonts w:cs="Arial" w:hint="cs"/>
          <w:rtl/>
        </w:rPr>
        <w:t xml:space="preserve"> שע"ד</w:t>
      </w:r>
      <w:r>
        <w:rPr>
          <w:rFonts w:cs="Arial" w:hint="cs"/>
          <w:sz w:val="16"/>
          <w:szCs w:val="16"/>
          <w:rtl/>
        </w:rPr>
        <w:t xml:space="preserve"> (סי' כב)</w:t>
      </w:r>
      <w:r>
        <w:rPr>
          <w:rFonts w:hint="cs"/>
          <w:rtl/>
        </w:rPr>
        <w:t xml:space="preserve"> וטור.</w:t>
      </w:r>
    </w:p>
  </w:footnote>
  <w:footnote w:id="1336">
    <w:p w14:paraId="51D30A6C" w14:textId="77777777" w:rsidR="004C5A3C" w:rsidRDefault="004C5A3C" w:rsidP="002C39F4">
      <w:pPr>
        <w:pStyle w:val="a5"/>
      </w:pPr>
      <w:r>
        <w:rPr>
          <w:rStyle w:val="a7"/>
        </w:rPr>
        <w:footnoteRef/>
      </w:r>
      <w:r>
        <w:rPr>
          <w:rtl/>
        </w:rPr>
        <w:t xml:space="preserve"> </w:t>
      </w:r>
      <w:r>
        <w:rPr>
          <w:rFonts w:cs="Arial" w:hint="cs"/>
          <w:rtl/>
        </w:rPr>
        <w:t>הר"י למד כן מדברי ה</w:t>
      </w:r>
      <w:r>
        <w:rPr>
          <w:rFonts w:cs="Arial"/>
          <w:rtl/>
        </w:rPr>
        <w:t>או</w:t>
      </w:r>
      <w:r>
        <w:rPr>
          <w:rFonts w:cs="Arial" w:hint="cs"/>
          <w:rtl/>
        </w:rPr>
        <w:t>"</w:t>
      </w:r>
      <w:r>
        <w:rPr>
          <w:rFonts w:cs="Arial"/>
          <w:rtl/>
        </w:rPr>
        <w:t>ז</w:t>
      </w:r>
      <w:r>
        <w:rPr>
          <w:rFonts w:cs="Arial" w:hint="cs"/>
          <w:rtl/>
        </w:rPr>
        <w:t xml:space="preserve"> </w:t>
      </w:r>
      <w:r w:rsidRPr="000F2759">
        <w:rPr>
          <w:rFonts w:cs="Arial"/>
          <w:rtl/>
        </w:rPr>
        <w:t>(סי' תסט) דקאמר בשר או גבינה שיש קצת זמן ארוך שנמלחו וכו' עד לענין דברים שיפלו עליהם או שיפלו בהם אבל אם הם יבשים וניכרים לעינים שאין כאן לחלוחית כלל אין לחוש וכו' משמע אפילו שיפול בדבר לח</w:t>
      </w:r>
      <w:r>
        <w:rPr>
          <w:rFonts w:cs="Arial" w:hint="cs"/>
          <w:rtl/>
        </w:rPr>
        <w:t>.</w:t>
      </w:r>
    </w:p>
  </w:footnote>
  <w:footnote w:id="1337">
    <w:p w14:paraId="2843A6CE" w14:textId="77777777" w:rsidR="004C5A3C" w:rsidRDefault="004C5A3C" w:rsidP="002C39F4">
      <w:pPr>
        <w:pStyle w:val="a5"/>
        <w:rPr>
          <w:rtl/>
        </w:rPr>
      </w:pPr>
      <w:r>
        <w:rPr>
          <w:rStyle w:val="a7"/>
        </w:rPr>
        <w:footnoteRef/>
      </w:r>
      <w:r>
        <w:rPr>
          <w:rtl/>
        </w:rPr>
        <w:t xml:space="preserve"> </w:t>
      </w:r>
      <w:r>
        <w:rPr>
          <w:rFonts w:hint="cs"/>
          <w:rtl/>
        </w:rPr>
        <w:t xml:space="preserve">וכעין זה כ' </w:t>
      </w:r>
      <w:r w:rsidRPr="003A3377">
        <w:rPr>
          <w:rFonts w:cs="Arial"/>
          <w:rtl/>
        </w:rPr>
        <w:t>רש"י</w:t>
      </w:r>
      <w:r>
        <w:rPr>
          <w:rFonts w:cs="Arial" w:hint="cs"/>
          <w:sz w:val="16"/>
          <w:szCs w:val="16"/>
          <w:rtl/>
        </w:rPr>
        <w:t xml:space="preserve"> </w:t>
      </w:r>
      <w:r>
        <w:rPr>
          <w:rFonts w:cs="Arial" w:hint="cs"/>
          <w:rtl/>
        </w:rPr>
        <w:t>ב</w:t>
      </w:r>
      <w:r w:rsidRPr="009A6BBC">
        <w:rPr>
          <w:rFonts w:cs="Arial" w:hint="cs"/>
          <w:rtl/>
        </w:rPr>
        <w:t>פסחים</w:t>
      </w:r>
      <w:r>
        <w:rPr>
          <w:rFonts w:cs="Arial" w:hint="cs"/>
          <w:sz w:val="16"/>
          <w:szCs w:val="16"/>
          <w:rtl/>
        </w:rPr>
        <w:t xml:space="preserve"> (עו.)</w:t>
      </w:r>
      <w:r>
        <w:rPr>
          <w:rFonts w:cs="Arial" w:hint="cs"/>
          <w:rtl/>
        </w:rPr>
        <w:t>, וז"ל-</w:t>
      </w:r>
      <w:r w:rsidRPr="003A3377">
        <w:rPr>
          <w:rFonts w:cs="Arial"/>
          <w:rtl/>
        </w:rPr>
        <w:t xml:space="preserve"> שהמליחו הרבה עד שמקדיח טעמו מחמת מלחו </w:t>
      </w:r>
      <w:r>
        <w:rPr>
          <w:rFonts w:cs="Arial"/>
          <w:rtl/>
        </w:rPr>
        <w:t>קצת, ואינו ראוי לאוכלו אא</w:t>
      </w:r>
      <w:r>
        <w:rPr>
          <w:rFonts w:cs="Arial" w:hint="cs"/>
          <w:rtl/>
        </w:rPr>
        <w:t>"</w:t>
      </w:r>
      <w:r>
        <w:rPr>
          <w:rFonts w:cs="Arial"/>
          <w:rtl/>
        </w:rPr>
        <w:t>כ היה מדיחו, והאי אין נאכל</w:t>
      </w:r>
      <w:r w:rsidRPr="003A3377">
        <w:rPr>
          <w:rFonts w:cs="Arial"/>
          <w:rtl/>
        </w:rPr>
        <w:t xml:space="preserve"> לאו לגמרי קאמר שאין שום אדם יכול</w:t>
      </w:r>
      <w:r>
        <w:rPr>
          <w:rFonts w:cs="Arial"/>
          <w:rtl/>
        </w:rPr>
        <w:t xml:space="preserve"> לאוכלו, אלא כיון שנתקלקל טעמו אינו נאכל מחמת מלחו קרי ליה</w:t>
      </w:r>
      <w:r w:rsidRPr="003A3377">
        <w:rPr>
          <w:rFonts w:cs="Arial"/>
          <w:rtl/>
        </w:rPr>
        <w:t xml:space="preserve"> ואסור.</w:t>
      </w:r>
      <w:r w:rsidRPr="0002069C">
        <w:rPr>
          <w:rFonts w:hint="cs"/>
          <w:sz w:val="16"/>
          <w:szCs w:val="16"/>
          <w:rtl/>
        </w:rPr>
        <w:t xml:space="preserve"> </w:t>
      </w:r>
    </w:p>
  </w:footnote>
  <w:footnote w:id="1338">
    <w:p w14:paraId="4662F0F2" w14:textId="77777777" w:rsidR="004C5A3C" w:rsidRPr="003A3377" w:rsidRDefault="004C5A3C" w:rsidP="002C39F4">
      <w:pPr>
        <w:pStyle w:val="a5"/>
      </w:pPr>
      <w:r w:rsidRPr="003A3377">
        <w:rPr>
          <w:rStyle w:val="a7"/>
        </w:rPr>
        <w:footnoteRef/>
      </w:r>
      <w:r w:rsidRPr="003A3377">
        <w:rPr>
          <w:rtl/>
        </w:rPr>
        <w:t xml:space="preserve"> </w:t>
      </w:r>
      <w:r>
        <w:rPr>
          <w:rFonts w:cs="Arial" w:hint="cs"/>
          <w:rtl/>
        </w:rPr>
        <w:t xml:space="preserve">מבעלי התוס', בן דורו של ר"ת, </w:t>
      </w:r>
      <w:r w:rsidRPr="003A3377">
        <w:rPr>
          <w:rFonts w:cs="Arial" w:hint="cs"/>
          <w:rtl/>
        </w:rPr>
        <w:t>הביאוהו</w:t>
      </w:r>
      <w:r w:rsidRPr="003A3377">
        <w:rPr>
          <w:rFonts w:cs="Arial"/>
          <w:rtl/>
        </w:rPr>
        <w:t xml:space="preserve"> תו</w:t>
      </w:r>
      <w:r w:rsidRPr="003A3377">
        <w:rPr>
          <w:rFonts w:cs="Arial" w:hint="cs"/>
          <w:rtl/>
        </w:rPr>
        <w:t>ס'</w:t>
      </w:r>
      <w:r w:rsidRPr="003A3377">
        <w:rPr>
          <w:rFonts w:cs="Arial"/>
          <w:rtl/>
        </w:rPr>
        <w:t xml:space="preserve"> (חולין קיב. ד"ה הני מילי) רא"ש (פכ"ה סי' לג) ומרדכי (סי' תשיד)</w:t>
      </w:r>
      <w:r w:rsidRPr="003A3377">
        <w:rPr>
          <w:rFonts w:cs="Arial" w:hint="cs"/>
          <w:rtl/>
        </w:rPr>
        <w:t>.</w:t>
      </w:r>
      <w:r w:rsidRPr="009A6BBC">
        <w:rPr>
          <w:rFonts w:cs="Arial"/>
          <w:rtl/>
        </w:rPr>
        <w:t xml:space="preserve"> </w:t>
      </w:r>
    </w:p>
  </w:footnote>
  <w:footnote w:id="1339">
    <w:p w14:paraId="5CC25206" w14:textId="77777777" w:rsidR="004C5A3C" w:rsidRDefault="004C5A3C" w:rsidP="002C39F4">
      <w:pPr>
        <w:pStyle w:val="a5"/>
        <w:rPr>
          <w:rtl/>
        </w:rPr>
      </w:pPr>
      <w:r>
        <w:rPr>
          <w:rStyle w:val="a7"/>
        </w:rPr>
        <w:footnoteRef/>
      </w:r>
      <w:r>
        <w:rPr>
          <w:rtl/>
        </w:rPr>
        <w:t xml:space="preserve"> </w:t>
      </w:r>
      <w:r>
        <w:rPr>
          <w:rFonts w:cs="Arial" w:hint="cs"/>
          <w:rtl/>
        </w:rPr>
        <w:t>ר"ת</w:t>
      </w:r>
      <w:r w:rsidRPr="002A0384">
        <w:rPr>
          <w:rFonts w:cs="Arial"/>
          <w:rtl/>
        </w:rPr>
        <w:t xml:space="preserve"> </w:t>
      </w:r>
      <w:r>
        <w:rPr>
          <w:rFonts w:cs="Arial" w:hint="cs"/>
          <w:sz w:val="16"/>
          <w:szCs w:val="16"/>
          <w:rtl/>
        </w:rPr>
        <w:t>(</w:t>
      </w:r>
      <w:r w:rsidRPr="002A0384">
        <w:rPr>
          <w:rFonts w:cs="Arial"/>
          <w:sz w:val="16"/>
          <w:szCs w:val="16"/>
          <w:rtl/>
        </w:rPr>
        <w:t>כ</w:t>
      </w:r>
      <w:r w:rsidRPr="002A0384">
        <w:rPr>
          <w:rFonts w:cs="Arial" w:hint="cs"/>
          <w:sz w:val="16"/>
          <w:szCs w:val="16"/>
          <w:rtl/>
        </w:rPr>
        <w:t>"כ</w:t>
      </w:r>
      <w:r w:rsidRPr="002A0384">
        <w:rPr>
          <w:rFonts w:cs="Arial"/>
          <w:sz w:val="16"/>
          <w:szCs w:val="16"/>
          <w:rtl/>
        </w:rPr>
        <w:t xml:space="preserve"> שם התוס</w:t>
      </w:r>
      <w:r w:rsidRPr="002A0384">
        <w:rPr>
          <w:rFonts w:cs="Arial" w:hint="cs"/>
          <w:sz w:val="16"/>
          <w:szCs w:val="16"/>
          <w:rtl/>
        </w:rPr>
        <w:t>'</w:t>
      </w:r>
      <w:r w:rsidRPr="002A0384">
        <w:rPr>
          <w:rFonts w:cs="Arial"/>
          <w:sz w:val="16"/>
          <w:szCs w:val="16"/>
          <w:rtl/>
        </w:rPr>
        <w:t xml:space="preserve"> והרא"ש והמרדכי בשמו</w:t>
      </w:r>
      <w:r w:rsidRPr="002A0384">
        <w:rPr>
          <w:rFonts w:cs="Arial" w:hint="cs"/>
          <w:sz w:val="16"/>
          <w:szCs w:val="16"/>
          <w:rtl/>
        </w:rPr>
        <w:t>)</w:t>
      </w:r>
      <w:r>
        <w:rPr>
          <w:rFonts w:cs="Arial" w:hint="cs"/>
          <w:rtl/>
        </w:rPr>
        <w:t xml:space="preserve"> </w:t>
      </w:r>
      <w:r>
        <w:rPr>
          <w:rFonts w:cs="Arial"/>
          <w:rtl/>
        </w:rPr>
        <w:t xml:space="preserve">רשב"א </w:t>
      </w:r>
      <w:r w:rsidRPr="002A0384">
        <w:rPr>
          <w:rFonts w:cs="Arial" w:hint="cs"/>
          <w:sz w:val="16"/>
          <w:szCs w:val="16"/>
          <w:rtl/>
        </w:rPr>
        <w:t>(תוה"ק</w:t>
      </w:r>
      <w:r w:rsidRPr="002A0384">
        <w:rPr>
          <w:rFonts w:cs="Arial"/>
          <w:sz w:val="16"/>
          <w:szCs w:val="16"/>
          <w:rtl/>
        </w:rPr>
        <w:t xml:space="preserve"> ובארוך שם) </w:t>
      </w:r>
      <w:r>
        <w:rPr>
          <w:rFonts w:cs="Arial" w:hint="cs"/>
          <w:rtl/>
        </w:rPr>
        <w:t>רי"ו</w:t>
      </w:r>
      <w:r w:rsidRPr="003A3377">
        <w:rPr>
          <w:rFonts w:cs="Arial"/>
          <w:rtl/>
        </w:rPr>
        <w:t xml:space="preserve"> </w:t>
      </w:r>
      <w:r w:rsidRPr="002A0384">
        <w:rPr>
          <w:rFonts w:cs="Arial"/>
          <w:sz w:val="16"/>
          <w:szCs w:val="16"/>
          <w:rtl/>
        </w:rPr>
        <w:t xml:space="preserve">(נט"ו אות כה קלד ע"ג) </w:t>
      </w:r>
      <w:r>
        <w:rPr>
          <w:rFonts w:cs="Arial"/>
          <w:rtl/>
        </w:rPr>
        <w:t>ו</w:t>
      </w:r>
      <w:r w:rsidRPr="003A3377">
        <w:rPr>
          <w:rFonts w:cs="Arial"/>
          <w:rtl/>
        </w:rPr>
        <w:t xml:space="preserve">ר"ן </w:t>
      </w:r>
      <w:r w:rsidRPr="002A0384">
        <w:rPr>
          <w:rFonts w:cs="Arial"/>
          <w:sz w:val="16"/>
          <w:szCs w:val="16"/>
          <w:rtl/>
        </w:rPr>
        <w:t>(חולין מא: בדיבור ראשון)</w:t>
      </w:r>
      <w:r>
        <w:rPr>
          <w:rFonts w:hint="cs"/>
          <w:rtl/>
        </w:rPr>
        <w:t>.</w:t>
      </w:r>
      <w:r w:rsidRPr="00971480">
        <w:rPr>
          <w:rFonts w:hint="cs"/>
          <w:rtl/>
        </w:rPr>
        <w:t xml:space="preserve"> </w:t>
      </w:r>
      <w:r>
        <w:rPr>
          <w:rFonts w:hint="cs"/>
          <w:rtl/>
        </w:rPr>
        <w:t>וכ' הב"י שכן נראה דעת התוס' הרא"ש והמרדכי שם.</w:t>
      </w:r>
    </w:p>
  </w:footnote>
  <w:footnote w:id="1340">
    <w:p w14:paraId="25D18F6A" w14:textId="77777777" w:rsidR="004C5A3C" w:rsidRDefault="004C5A3C" w:rsidP="002C39F4">
      <w:pPr>
        <w:pStyle w:val="a5"/>
        <w:rPr>
          <w:rtl/>
        </w:rPr>
      </w:pPr>
      <w:r>
        <w:rPr>
          <w:rStyle w:val="a7"/>
        </w:rPr>
        <w:footnoteRef/>
      </w:r>
      <w:r>
        <w:rPr>
          <w:rtl/>
        </w:rPr>
        <w:t xml:space="preserve"> </w:t>
      </w:r>
      <w:r w:rsidRPr="003A3377">
        <w:rPr>
          <w:rFonts w:cs="Arial"/>
          <w:rtl/>
        </w:rPr>
        <w:t>הילכך נקטינן דכל ששהה שיעור מליחה לקדרה מיקרי אינו נאכל מחמת מלח</w:t>
      </w:r>
      <w:r>
        <w:rPr>
          <w:rFonts w:cs="Arial"/>
          <w:rtl/>
        </w:rPr>
        <w:t>ו לפי שאינו ראוי לאכלו א</w:t>
      </w:r>
      <w:r>
        <w:rPr>
          <w:rFonts w:cs="Arial" w:hint="cs"/>
          <w:rtl/>
        </w:rPr>
        <w:t>א"כ</w:t>
      </w:r>
      <w:r w:rsidRPr="003A3377">
        <w:rPr>
          <w:rFonts w:cs="Arial"/>
          <w:rtl/>
        </w:rPr>
        <w:t xml:space="preserve"> מדיחו</w:t>
      </w:r>
      <w:r>
        <w:rPr>
          <w:rFonts w:cs="Arial" w:hint="cs"/>
          <w:rtl/>
        </w:rPr>
        <w:t>,</w:t>
      </w:r>
      <w:r w:rsidRPr="003A3377">
        <w:rPr>
          <w:rFonts w:cs="Arial"/>
          <w:rtl/>
        </w:rPr>
        <w:t xml:space="preserve"> וכן נמי מליח דקא בעי ליה לאורחא דאפילו אחר שהעביר מלחו מעליו אין דרך לאכלו אלא לאחר שרייה במים הוה כרותח לעולם ואפילו אחר הדחה</w:t>
      </w:r>
      <w:r>
        <w:rPr>
          <w:rFonts w:cs="Arial" w:hint="cs"/>
          <w:rtl/>
        </w:rPr>
        <w:t>,</w:t>
      </w:r>
      <w:r w:rsidRPr="003A3377">
        <w:rPr>
          <w:rFonts w:cs="Arial"/>
          <w:rtl/>
        </w:rPr>
        <w:t xml:space="preserve"> ותרי הני גווני הוו בכלל אינו נאכל מחמת מלחו</w:t>
      </w:r>
      <w:r>
        <w:rPr>
          <w:rFonts w:cs="Arial" w:hint="cs"/>
          <w:rtl/>
        </w:rPr>
        <w:t>,</w:t>
      </w:r>
      <w:r w:rsidRPr="00971480">
        <w:rPr>
          <w:rFonts w:hint="cs"/>
          <w:rtl/>
        </w:rPr>
        <w:t xml:space="preserve"> </w:t>
      </w:r>
      <w:r>
        <w:rPr>
          <w:rFonts w:hint="cs"/>
          <w:rtl/>
        </w:rPr>
        <w:t>ר"ן (שם)</w:t>
      </w:r>
      <w:r>
        <w:rPr>
          <w:rFonts w:cs="Arial" w:hint="cs"/>
          <w:rtl/>
        </w:rPr>
        <w:t xml:space="preserve">. </w:t>
      </w:r>
      <w:r w:rsidRPr="00971480">
        <w:rPr>
          <w:rFonts w:cs="Arial" w:hint="cs"/>
          <w:color w:val="E36C0A" w:themeColor="accent6" w:themeShade="BF"/>
          <w:rtl/>
        </w:rPr>
        <w:t>(וכ"פ בשו"ע)</w:t>
      </w:r>
    </w:p>
  </w:footnote>
  <w:footnote w:id="1341">
    <w:p w14:paraId="7377AA2D" w14:textId="77777777" w:rsidR="004C5A3C" w:rsidRDefault="004C5A3C" w:rsidP="002C39F4">
      <w:pPr>
        <w:pStyle w:val="a5"/>
      </w:pPr>
      <w:r>
        <w:rPr>
          <w:rStyle w:val="a7"/>
        </w:rPr>
        <w:footnoteRef/>
      </w:r>
      <w:r>
        <w:rPr>
          <w:rtl/>
        </w:rPr>
        <w:t xml:space="preserve"> </w:t>
      </w:r>
      <w:r>
        <w:rPr>
          <w:rFonts w:cs="Arial" w:hint="cs"/>
          <w:rtl/>
        </w:rPr>
        <w:t>הרשב"א הביא את דברי התוס'</w:t>
      </w:r>
      <w:r w:rsidRPr="003A3377">
        <w:rPr>
          <w:rFonts w:cs="Arial"/>
          <w:rtl/>
        </w:rPr>
        <w:t xml:space="preserve"> דמליח אין שם רותח עליו עד שימלחנו משני צדדיו וכתב שאינו מחוור בעיניו אלא</w:t>
      </w:r>
      <w:r>
        <w:rPr>
          <w:rFonts w:cs="Arial" w:hint="cs"/>
          <w:rtl/>
        </w:rPr>
        <w:t>-...</w:t>
      </w:r>
    </w:p>
  </w:footnote>
  <w:footnote w:id="1342">
    <w:p w14:paraId="50C863ED" w14:textId="77777777" w:rsidR="004C5A3C" w:rsidRDefault="004C5A3C" w:rsidP="002C39F4">
      <w:pPr>
        <w:pStyle w:val="a5"/>
        <w:rPr>
          <w:rtl/>
        </w:rPr>
      </w:pPr>
      <w:r>
        <w:rPr>
          <w:rStyle w:val="a7"/>
        </w:rPr>
        <w:footnoteRef/>
      </w:r>
      <w:r>
        <w:rPr>
          <w:rtl/>
        </w:rPr>
        <w:t xml:space="preserve"> </w:t>
      </w:r>
      <w:r>
        <w:rPr>
          <w:rFonts w:cs="Arial"/>
          <w:rtl/>
        </w:rPr>
        <w:t>הרב הנשיא אלברצילונ</w:t>
      </w:r>
      <w:r w:rsidRPr="003A3377">
        <w:rPr>
          <w:rFonts w:cs="Arial"/>
          <w:rtl/>
        </w:rPr>
        <w:t>י</w:t>
      </w:r>
      <w:r>
        <w:rPr>
          <w:rFonts w:cs="Arial" w:hint="cs"/>
          <w:sz w:val="16"/>
          <w:szCs w:val="16"/>
          <w:rtl/>
        </w:rPr>
        <w:t xml:space="preserve"> </w:t>
      </w:r>
      <w:r w:rsidRPr="00C17B22">
        <w:rPr>
          <w:rFonts w:cs="Arial" w:hint="cs"/>
          <w:sz w:val="14"/>
          <w:szCs w:val="14"/>
          <w:rtl/>
        </w:rPr>
        <w:t>(הביאו הר"ן שם)</w:t>
      </w:r>
      <w:r w:rsidRPr="00156F35">
        <w:rPr>
          <w:rFonts w:cs="Arial"/>
          <w:rtl/>
        </w:rPr>
        <w:t xml:space="preserve"> </w:t>
      </w:r>
      <w:r>
        <w:rPr>
          <w:rFonts w:cs="Arial" w:hint="cs"/>
          <w:rtl/>
        </w:rPr>
        <w:t>ו</w:t>
      </w:r>
      <w:r>
        <w:rPr>
          <w:rFonts w:cs="Arial"/>
          <w:rtl/>
        </w:rPr>
        <w:t>ראב"ן</w:t>
      </w:r>
      <w:r w:rsidRPr="00112C72">
        <w:rPr>
          <w:rFonts w:cs="Arial"/>
          <w:sz w:val="16"/>
          <w:szCs w:val="16"/>
          <w:rtl/>
        </w:rPr>
        <w:t xml:space="preserve"> </w:t>
      </w:r>
      <w:r w:rsidRPr="00C17B22">
        <w:rPr>
          <w:rFonts w:cs="Arial"/>
          <w:sz w:val="14"/>
          <w:szCs w:val="14"/>
          <w:rtl/>
        </w:rPr>
        <w:t>(סי' ערה</w:t>
      </w:r>
      <w:r w:rsidRPr="00C17B22">
        <w:rPr>
          <w:rFonts w:cs="Arial" w:hint="cs"/>
          <w:sz w:val="14"/>
          <w:szCs w:val="14"/>
          <w:rtl/>
        </w:rPr>
        <w:t xml:space="preserve">, הביאו המרדכי ס"ס תשכ [גבי </w:t>
      </w:r>
      <w:r w:rsidRPr="00C17B22">
        <w:rPr>
          <w:rFonts w:cs="Arial"/>
          <w:sz w:val="14"/>
          <w:szCs w:val="14"/>
          <w:rtl/>
        </w:rPr>
        <w:t xml:space="preserve">טמא </w:t>
      </w:r>
      <w:r w:rsidRPr="00C17B22">
        <w:rPr>
          <w:rFonts w:cs="Arial" w:hint="cs"/>
          <w:sz w:val="14"/>
          <w:szCs w:val="14"/>
          <w:rtl/>
        </w:rPr>
        <w:t>ותפל</w:t>
      </w:r>
      <w:r w:rsidRPr="00C17B22">
        <w:rPr>
          <w:rFonts w:cs="Arial"/>
          <w:sz w:val="14"/>
          <w:szCs w:val="14"/>
          <w:rtl/>
        </w:rPr>
        <w:t xml:space="preserve"> </w:t>
      </w:r>
      <w:r w:rsidRPr="00C17B22">
        <w:rPr>
          <w:rFonts w:cs="Arial" w:hint="cs"/>
          <w:sz w:val="14"/>
          <w:szCs w:val="14"/>
          <w:rtl/>
        </w:rPr>
        <w:t>ש</w:t>
      </w:r>
      <w:r w:rsidRPr="00C17B22">
        <w:rPr>
          <w:rFonts w:cs="Arial"/>
          <w:sz w:val="14"/>
          <w:szCs w:val="14"/>
          <w:rtl/>
        </w:rPr>
        <w:t>מלחן יחד</w:t>
      </w:r>
      <w:r w:rsidRPr="00C17B22">
        <w:rPr>
          <w:rFonts w:cs="Arial" w:hint="cs"/>
          <w:sz w:val="14"/>
          <w:szCs w:val="14"/>
          <w:rtl/>
        </w:rPr>
        <w:t xml:space="preserve">- אם </w:t>
      </w:r>
      <w:r w:rsidRPr="00C17B22">
        <w:rPr>
          <w:rFonts w:cs="Arial"/>
          <w:sz w:val="14"/>
          <w:szCs w:val="14"/>
          <w:rtl/>
        </w:rPr>
        <w:t>סילקן קודם גמר פליטתן</w:t>
      </w:r>
      <w:r w:rsidRPr="00C17B22">
        <w:rPr>
          <w:rFonts w:cs="Arial" w:hint="cs"/>
          <w:sz w:val="14"/>
          <w:szCs w:val="14"/>
          <w:rtl/>
        </w:rPr>
        <w:t xml:space="preserve"> מותר</w:t>
      </w:r>
      <w:r>
        <w:rPr>
          <w:rFonts w:cs="Arial" w:hint="cs"/>
          <w:sz w:val="14"/>
          <w:szCs w:val="14"/>
          <w:rtl/>
        </w:rPr>
        <w:t>])</w:t>
      </w:r>
      <w:r>
        <w:rPr>
          <w:rFonts w:hint="cs"/>
          <w:rtl/>
        </w:rPr>
        <w:t xml:space="preserve"> ור"ן</w:t>
      </w:r>
      <w:r>
        <w:rPr>
          <w:rFonts w:hint="cs"/>
          <w:sz w:val="14"/>
          <w:szCs w:val="14"/>
          <w:rtl/>
        </w:rPr>
        <w:t xml:space="preserve"> (שם)</w:t>
      </w:r>
      <w:r>
        <w:rPr>
          <w:rFonts w:hint="cs"/>
          <w:rtl/>
        </w:rPr>
        <w:t>.</w:t>
      </w:r>
    </w:p>
  </w:footnote>
  <w:footnote w:id="1343">
    <w:p w14:paraId="32AE645F" w14:textId="77777777" w:rsidR="004C5A3C" w:rsidRDefault="004C5A3C" w:rsidP="002C39F4">
      <w:pPr>
        <w:pStyle w:val="a5"/>
      </w:pPr>
      <w:r>
        <w:rPr>
          <w:rStyle w:val="a7"/>
        </w:rPr>
        <w:footnoteRef/>
      </w:r>
      <w:r>
        <w:rPr>
          <w:rtl/>
        </w:rPr>
        <w:t xml:space="preserve"> </w:t>
      </w:r>
      <w:r>
        <w:rPr>
          <w:rFonts w:hint="cs"/>
          <w:rtl/>
        </w:rPr>
        <w:t xml:space="preserve">ולפיכך אפילו מלח דג טמא ודג טהור ביחד </w:t>
      </w:r>
      <w:r w:rsidRPr="007E36A2">
        <w:rPr>
          <w:rFonts w:cs="Arial"/>
          <w:rtl/>
        </w:rPr>
        <w:t xml:space="preserve">וסילקן מיד קודם גמר פליטתן </w:t>
      </w:r>
      <w:r>
        <w:rPr>
          <w:rFonts w:cs="Arial" w:hint="cs"/>
          <w:rtl/>
        </w:rPr>
        <w:t>מותר,</w:t>
      </w:r>
      <w:r w:rsidRPr="007E36A2">
        <w:rPr>
          <w:rFonts w:cs="Arial"/>
          <w:rtl/>
        </w:rPr>
        <w:t xml:space="preserve"> ראב"ן </w:t>
      </w:r>
      <w:r>
        <w:rPr>
          <w:rFonts w:cs="Arial" w:hint="cs"/>
          <w:rtl/>
        </w:rPr>
        <w:t>(</w:t>
      </w:r>
      <w:r w:rsidRPr="007E36A2">
        <w:rPr>
          <w:rFonts w:cs="Arial"/>
          <w:rtl/>
        </w:rPr>
        <w:t>סי' ערה).</w:t>
      </w:r>
      <w:r>
        <w:rPr>
          <w:rFonts w:cs="Arial" w:hint="cs"/>
          <w:rtl/>
        </w:rPr>
        <w:t xml:space="preserve"> וכ' הראבי"ה </w:t>
      </w:r>
      <w:r>
        <w:rPr>
          <w:rFonts w:cs="Arial" w:hint="cs"/>
          <w:sz w:val="16"/>
          <w:szCs w:val="16"/>
          <w:rtl/>
        </w:rPr>
        <w:t xml:space="preserve">(סי' אלף קיט תשובות וביאורי סוגיות קיג.) </w:t>
      </w:r>
      <w:r>
        <w:rPr>
          <w:rFonts w:cs="Arial" w:hint="cs"/>
          <w:rtl/>
        </w:rPr>
        <w:t xml:space="preserve">על דבריו אלו- </w:t>
      </w:r>
      <w:r w:rsidRPr="007E36A2">
        <w:rPr>
          <w:rFonts w:cs="Arial"/>
          <w:rtl/>
        </w:rPr>
        <w:t>ואין נ"ל דציר נבילה חזק ומבליע אפילו בכלי מנוקב ואפילו קודם גמר הפליטה</w:t>
      </w:r>
      <w:r>
        <w:rPr>
          <w:rFonts w:cs="Arial" w:hint="cs"/>
          <w:rtl/>
        </w:rPr>
        <w:t>..</w:t>
      </w:r>
      <w:r w:rsidRPr="007E36A2">
        <w:rPr>
          <w:rFonts w:cs="Arial"/>
          <w:rtl/>
        </w:rPr>
        <w:t>.</w:t>
      </w:r>
    </w:p>
  </w:footnote>
  <w:footnote w:id="1344">
    <w:p w14:paraId="674D7237" w14:textId="77777777" w:rsidR="004C5A3C" w:rsidRDefault="004C5A3C" w:rsidP="002C39F4">
      <w:pPr>
        <w:pStyle w:val="a5"/>
        <w:rPr>
          <w:rtl/>
        </w:rPr>
      </w:pPr>
      <w:r>
        <w:rPr>
          <w:rStyle w:val="a7"/>
        </w:rPr>
        <w:footnoteRef/>
      </w:r>
      <w:r>
        <w:rPr>
          <w:rtl/>
        </w:rPr>
        <w:t xml:space="preserve"> </w:t>
      </w:r>
      <w:r>
        <w:rPr>
          <w:rFonts w:cs="Arial" w:hint="cs"/>
          <w:rtl/>
        </w:rPr>
        <w:t>הש"ך (סקי"א) חלק על תרוה"ד וממילא על הרמ"א שהלך בעקבותיו</w:t>
      </w:r>
      <w:r w:rsidRPr="003919CA">
        <w:rPr>
          <w:rFonts w:cs="Arial" w:hint="cs"/>
          <w:sz w:val="16"/>
          <w:szCs w:val="16"/>
          <w:rtl/>
        </w:rPr>
        <w:t xml:space="preserve"> (טעמו של תרוה"ד הוא דיש לסמוך על מה שכתבו התוס' והרא"ש לחד שינויא וגם הסמ"ג כ' שטעם הגון הוא)</w:t>
      </w:r>
      <w:r>
        <w:rPr>
          <w:rFonts w:cs="Arial" w:hint="cs"/>
          <w:rtl/>
        </w:rPr>
        <w:t>,</w:t>
      </w:r>
      <w:r w:rsidRPr="003919CA">
        <w:rPr>
          <w:rFonts w:cs="Arial"/>
          <w:rtl/>
        </w:rPr>
        <w:t xml:space="preserve"> </w:t>
      </w:r>
      <w:r>
        <w:rPr>
          <w:rFonts w:cs="Arial" w:hint="cs"/>
          <w:rtl/>
        </w:rPr>
        <w:t>ותוכן דברי הש"ך הם-</w:t>
      </w:r>
      <w:r w:rsidRPr="003919CA">
        <w:rPr>
          <w:rFonts w:cs="Arial"/>
          <w:rtl/>
        </w:rPr>
        <w:t xml:space="preserve"> דלא אמרינן שפסק כח המלח אלא היכא שהפליט דם כי דרך המלח להפליט דם ולא שאר דברים</w:t>
      </w:r>
      <w:r>
        <w:rPr>
          <w:rFonts w:cs="Arial" w:hint="cs"/>
          <w:rtl/>
        </w:rPr>
        <w:t>,</w:t>
      </w:r>
      <w:r w:rsidRPr="003919CA">
        <w:rPr>
          <w:rFonts w:cs="Arial"/>
          <w:rtl/>
        </w:rPr>
        <w:t xml:space="preserve"> א"כ </w:t>
      </w:r>
      <w:r>
        <w:rPr>
          <w:rFonts w:cs="Arial" w:hint="cs"/>
          <w:rtl/>
        </w:rPr>
        <w:t xml:space="preserve">היכא דאינו מפליט דם הרי הוא רותח גם לאחר שעבר שיעור מליחה, </w:t>
      </w:r>
      <w:r w:rsidRPr="003919CA">
        <w:rPr>
          <w:rFonts w:cs="Arial"/>
          <w:rtl/>
        </w:rPr>
        <w:t>והלכך סה"ת וסייעתו דמיירי בבשר וגבינה מאיסור בשר בחלב ולא מאיסור דם ולא פסק כח המלח שלא הפליט כלום פשיטא דאחר שיעור מליחה חשוב כרותח</w:t>
      </w:r>
      <w:r>
        <w:rPr>
          <w:rFonts w:cs="Arial" w:hint="cs"/>
          <w:rtl/>
        </w:rPr>
        <w:t>,</w:t>
      </w:r>
      <w:r w:rsidRPr="003919CA">
        <w:rPr>
          <w:rFonts w:cs="Arial"/>
          <w:rtl/>
        </w:rPr>
        <w:t xml:space="preserve"> וכ"כ האו"ה </w:t>
      </w:r>
      <w:r w:rsidRPr="0095267F">
        <w:rPr>
          <w:rFonts w:cs="Arial" w:hint="cs"/>
          <w:sz w:val="16"/>
          <w:szCs w:val="16"/>
          <w:rtl/>
        </w:rPr>
        <w:t>(</w:t>
      </w:r>
      <w:r w:rsidRPr="0095267F">
        <w:rPr>
          <w:rFonts w:cs="Arial"/>
          <w:sz w:val="16"/>
          <w:szCs w:val="16"/>
          <w:rtl/>
        </w:rPr>
        <w:t>כלל נח דל</w:t>
      </w:r>
      <w:r w:rsidRPr="0095267F">
        <w:rPr>
          <w:rFonts w:cs="Arial" w:hint="cs"/>
          <w:sz w:val="16"/>
          <w:szCs w:val="16"/>
          <w:rtl/>
        </w:rPr>
        <w:t>"</w:t>
      </w:r>
      <w:r w:rsidRPr="0095267F">
        <w:rPr>
          <w:rFonts w:cs="Arial"/>
          <w:sz w:val="16"/>
          <w:szCs w:val="16"/>
          <w:rtl/>
        </w:rPr>
        <w:t>ב</w:t>
      </w:r>
      <w:r w:rsidRPr="0095267F">
        <w:rPr>
          <w:rFonts w:cs="Arial" w:hint="cs"/>
          <w:sz w:val="16"/>
          <w:szCs w:val="16"/>
          <w:rtl/>
        </w:rPr>
        <w:t>)</w:t>
      </w:r>
      <w:r w:rsidRPr="0095267F">
        <w:rPr>
          <w:rFonts w:cs="Arial"/>
          <w:sz w:val="16"/>
          <w:szCs w:val="16"/>
          <w:rtl/>
        </w:rPr>
        <w:t xml:space="preserve"> </w:t>
      </w:r>
      <w:r w:rsidRPr="003919CA">
        <w:rPr>
          <w:rFonts w:cs="Arial"/>
          <w:rtl/>
        </w:rPr>
        <w:t>דבשר כשר שמלחוה המלח לעולם בתקפו דהא לא הפליט דבר ע"ש</w:t>
      </w:r>
      <w:r>
        <w:rPr>
          <w:rFonts w:cs="Arial" w:hint="cs"/>
          <w:rtl/>
        </w:rPr>
        <w:t>,</w:t>
      </w:r>
      <w:r w:rsidRPr="003919CA">
        <w:rPr>
          <w:rFonts w:cs="Arial"/>
          <w:rtl/>
        </w:rPr>
        <w:t xml:space="preserve"> והיינו דכתבו הרא"ש והסמ"ג דבכותח לא פסק כח המלח שלא פלט כלום </w:t>
      </w:r>
      <w:r w:rsidRPr="0095267F">
        <w:rPr>
          <w:rFonts w:cs="Arial" w:hint="cs"/>
          <w:sz w:val="16"/>
          <w:szCs w:val="16"/>
          <w:rtl/>
        </w:rPr>
        <w:t>(</w:t>
      </w:r>
      <w:r w:rsidRPr="0095267F">
        <w:rPr>
          <w:rFonts w:cs="Arial"/>
          <w:sz w:val="16"/>
          <w:szCs w:val="16"/>
          <w:rtl/>
        </w:rPr>
        <w:t>ולפ"ז היה נראה להתיר אפילו שלא במקום הפסד מרובה וסעודת מצוה אך דמדברי שאר פוסקים גבי מעשה דרש"י משמע להדיא דאפי' גבי דם לא אמרינן דפסק כח המלח לאחר ששהה שיעור מליחה ולכך כתב הרב בהגהת סמ"ק דריב"א אומר דציר היוצא מן הבשר לאחר שיעור מליחה אין עליו דין דם רותח אבל יש עליו דין בשר רותח לאסור הגבינות כאשר נפל הציר שם (מביאו ב"י וד"מ ס"ס ס"ט) ר"ל דאף לאחר שיעור מליחה נחשב רותח אלא דאין עליו דין דם כיון דשהה שיעור מליחה ויצא כבר כל דמו וכן הוא בהגש"ד ס"ס יד</w:t>
      </w:r>
      <w:r>
        <w:rPr>
          <w:rFonts w:cs="Arial" w:hint="cs"/>
          <w:sz w:val="16"/>
          <w:szCs w:val="16"/>
          <w:rtl/>
        </w:rPr>
        <w:t>,</w:t>
      </w:r>
      <w:r w:rsidRPr="0095267F">
        <w:rPr>
          <w:rFonts w:cs="Arial"/>
          <w:sz w:val="16"/>
          <w:szCs w:val="16"/>
          <w:rtl/>
        </w:rPr>
        <w:t xml:space="preserve"> והלכך הבו לה דלא לוסיף עלה ואין להקל אלא במקום הפסד מרובה וסעודת מצוה</w:t>
      </w:r>
      <w:r>
        <w:rPr>
          <w:rFonts w:cs="Arial" w:hint="cs"/>
          <w:sz w:val="16"/>
          <w:szCs w:val="16"/>
          <w:rtl/>
        </w:rPr>
        <w:t>,</w:t>
      </w:r>
      <w:r w:rsidRPr="0095267F">
        <w:rPr>
          <w:rFonts w:cs="Arial"/>
          <w:sz w:val="16"/>
          <w:szCs w:val="16"/>
          <w:rtl/>
        </w:rPr>
        <w:t xml:space="preserve"> ומיהו בתוך שיעור מליחה לעולם אסור אפילו בהפסד מרובה וסעודת מצוה דכל הפוסקים סוברים דתוך שיעור מליחה הוי רותח</w:t>
      </w:r>
      <w:r>
        <w:rPr>
          <w:rFonts w:cs="Arial" w:hint="cs"/>
          <w:sz w:val="16"/>
          <w:szCs w:val="16"/>
          <w:rtl/>
        </w:rPr>
        <w:t>,</w:t>
      </w:r>
      <w:r w:rsidRPr="0095267F">
        <w:rPr>
          <w:rFonts w:cs="Arial"/>
          <w:sz w:val="16"/>
          <w:szCs w:val="16"/>
          <w:rtl/>
        </w:rPr>
        <w:t xml:space="preserve"> והר"ן יחיד הוא לגבייהו גם כבר דחה הרשב"א במשמרת הבית (דף עג) סברא זו בשתי ידים</w:t>
      </w:r>
      <w:r>
        <w:rPr>
          <w:rFonts w:cs="Arial" w:hint="cs"/>
          <w:sz w:val="16"/>
          <w:szCs w:val="16"/>
          <w:rtl/>
        </w:rPr>
        <w:t>)</w:t>
      </w:r>
      <w:r>
        <w:rPr>
          <w:rFonts w:hint="cs"/>
          <w:rtl/>
        </w:rPr>
        <w:t>.</w:t>
      </w:r>
    </w:p>
  </w:footnote>
  <w:footnote w:id="1345">
    <w:p w14:paraId="2123A2CA" w14:textId="77777777" w:rsidR="004C5A3C" w:rsidRDefault="004C5A3C" w:rsidP="002C39F4">
      <w:pPr>
        <w:pStyle w:val="a5"/>
        <w:rPr>
          <w:rtl/>
        </w:rPr>
      </w:pPr>
      <w:r>
        <w:rPr>
          <w:rStyle w:val="a7"/>
        </w:rPr>
        <w:footnoteRef/>
      </w:r>
      <w:r>
        <w:rPr>
          <w:rtl/>
        </w:rPr>
        <w:t xml:space="preserve"> </w:t>
      </w:r>
      <w:r w:rsidRPr="003A3377">
        <w:rPr>
          <w:rFonts w:cs="Arial"/>
          <w:rtl/>
        </w:rPr>
        <w:t>וא"ת ומאי שנא מחום של בית השחיטה או מחומו של אש שאע"פ שאינו אלא חום מועט אמרינן דמבליע</w:t>
      </w:r>
      <w:r>
        <w:rPr>
          <w:rFonts w:cs="Arial" w:hint="cs"/>
          <w:rtl/>
        </w:rPr>
        <w:t>,</w:t>
      </w:r>
      <w:r w:rsidRPr="003A3377">
        <w:rPr>
          <w:rFonts w:cs="Arial"/>
          <w:rtl/>
        </w:rPr>
        <w:t xml:space="preserve"> י"ל דמלח אין </w:t>
      </w:r>
      <w:r>
        <w:rPr>
          <w:rFonts w:cs="Arial"/>
          <w:rtl/>
        </w:rPr>
        <w:t>מבליע</w:t>
      </w:r>
      <w:r w:rsidRPr="003A3377">
        <w:rPr>
          <w:rFonts w:cs="Arial"/>
          <w:rtl/>
        </w:rPr>
        <w:t xml:space="preserve"> בחומו אלא בחריפותו וכל שאין בו אלא מלח מועט עד שנאכל עם</w:t>
      </w:r>
      <w:r>
        <w:rPr>
          <w:rFonts w:cs="Arial"/>
          <w:rtl/>
        </w:rPr>
        <w:t xml:space="preserve"> אותו המלח אין בו כח להבליע</w:t>
      </w:r>
      <w:r>
        <w:rPr>
          <w:rFonts w:cs="Arial" w:hint="cs"/>
          <w:rtl/>
        </w:rPr>
        <w:t>,</w:t>
      </w:r>
      <w:r>
        <w:rPr>
          <w:rFonts w:cs="Arial"/>
          <w:rtl/>
        </w:rPr>
        <w:t xml:space="preserve"> וא</w:t>
      </w:r>
      <w:r w:rsidRPr="003A3377">
        <w:rPr>
          <w:rFonts w:cs="Arial"/>
          <w:rtl/>
        </w:rPr>
        <w:t>ע"פ שמלח מועט יש בו כח להפליט קצת היינו משום דעיקר טבע של מלח למשו</w:t>
      </w:r>
      <w:r>
        <w:rPr>
          <w:rFonts w:cs="Arial"/>
          <w:rtl/>
        </w:rPr>
        <w:t>ך דם ולהפליטו וכיון שכן א</w:t>
      </w:r>
      <w:r>
        <w:rPr>
          <w:rFonts w:cs="Arial" w:hint="cs"/>
          <w:rtl/>
        </w:rPr>
        <w:t>ע"</w:t>
      </w:r>
      <w:r>
        <w:rPr>
          <w:rFonts w:cs="Arial"/>
          <w:rtl/>
        </w:rPr>
        <w:t>פ</w:t>
      </w:r>
      <w:r w:rsidRPr="003A3377">
        <w:rPr>
          <w:rFonts w:cs="Arial"/>
          <w:rtl/>
        </w:rPr>
        <w:t xml:space="preserve"> שאין בו אלא מועט מפליט הוא אלא שאם יש</w:t>
      </w:r>
      <w:r>
        <w:rPr>
          <w:rFonts w:cs="Arial"/>
          <w:rtl/>
        </w:rPr>
        <w:t xml:space="preserve"> בו הרבה מבליע ג"כ בחריפותו</w:t>
      </w:r>
      <w:r>
        <w:rPr>
          <w:rFonts w:cs="Arial" w:hint="cs"/>
          <w:rtl/>
        </w:rPr>
        <w:t>, רשב"א.</w:t>
      </w:r>
    </w:p>
  </w:footnote>
  <w:footnote w:id="1346">
    <w:p w14:paraId="6F28EE0E" w14:textId="77777777" w:rsidR="004C5A3C" w:rsidRPr="00F667F2" w:rsidRDefault="004C5A3C" w:rsidP="002C39F4">
      <w:pPr>
        <w:spacing w:after="0" w:line="240" w:lineRule="auto"/>
        <w:rPr>
          <w:rFonts w:asciiTheme="minorBidi" w:hAnsiTheme="minorBidi"/>
          <w:sz w:val="20"/>
          <w:szCs w:val="20"/>
          <w:rtl/>
        </w:rPr>
      </w:pPr>
      <w:r w:rsidRPr="00053595">
        <w:rPr>
          <w:rStyle w:val="a7"/>
          <w:rFonts w:asciiTheme="minorBidi" w:hAnsiTheme="minorBidi"/>
        </w:rPr>
        <w:footnoteRef/>
      </w:r>
      <w:r w:rsidRPr="00053595">
        <w:rPr>
          <w:rFonts w:asciiTheme="minorBidi" w:hAnsiTheme="minorBidi"/>
          <w:sz w:val="20"/>
          <w:szCs w:val="20"/>
          <w:rtl/>
        </w:rPr>
        <w:t xml:space="preserve"> סה"ת </w:t>
      </w:r>
      <w:r>
        <w:rPr>
          <w:rFonts w:asciiTheme="minorBidi" w:hAnsiTheme="minorBidi" w:hint="cs"/>
          <w:sz w:val="16"/>
          <w:szCs w:val="16"/>
          <w:rtl/>
        </w:rPr>
        <w:t>(</w:t>
      </w:r>
      <w:r w:rsidRPr="00F667F2">
        <w:rPr>
          <w:rFonts w:asciiTheme="minorBidi" w:hAnsiTheme="minorBidi"/>
          <w:sz w:val="16"/>
          <w:szCs w:val="16"/>
          <w:rtl/>
        </w:rPr>
        <w:t>סי' סג</w:t>
      </w:r>
      <w:r>
        <w:rPr>
          <w:rFonts w:asciiTheme="minorBidi" w:hAnsiTheme="minorBidi" w:hint="cs"/>
          <w:sz w:val="16"/>
          <w:szCs w:val="16"/>
          <w:rtl/>
        </w:rPr>
        <w:t>, כ"כ ר"פ בשמו</w:t>
      </w:r>
      <w:r w:rsidRPr="00F667F2">
        <w:rPr>
          <w:rFonts w:asciiTheme="minorBidi" w:hAnsiTheme="minorBidi"/>
          <w:sz w:val="16"/>
          <w:szCs w:val="16"/>
          <w:rtl/>
        </w:rPr>
        <w:t>)</w:t>
      </w:r>
      <w:r>
        <w:rPr>
          <w:rFonts w:asciiTheme="minorBidi" w:hAnsiTheme="minorBidi" w:hint="cs"/>
          <w:sz w:val="20"/>
          <w:szCs w:val="20"/>
          <w:rtl/>
        </w:rPr>
        <w:t xml:space="preserve"> </w:t>
      </w:r>
      <w:r w:rsidRPr="00F667F2">
        <w:rPr>
          <w:rFonts w:asciiTheme="minorBidi" w:hAnsiTheme="minorBidi"/>
          <w:sz w:val="20"/>
          <w:szCs w:val="20"/>
          <w:rtl/>
        </w:rPr>
        <w:t xml:space="preserve">ר"פ </w:t>
      </w:r>
      <w:r w:rsidRPr="00F667F2">
        <w:rPr>
          <w:rFonts w:asciiTheme="minorBidi" w:hAnsiTheme="minorBidi"/>
          <w:sz w:val="16"/>
          <w:szCs w:val="16"/>
          <w:rtl/>
        </w:rPr>
        <w:t xml:space="preserve">(בהגה' סמ"ק סי' רה אות ח, הביאו ההגה"מ [פ"ט הי"ח]) </w:t>
      </w:r>
      <w:r w:rsidRPr="00F667F2">
        <w:rPr>
          <w:rFonts w:asciiTheme="minorBidi" w:hAnsiTheme="minorBidi"/>
          <w:sz w:val="20"/>
          <w:szCs w:val="20"/>
          <w:rtl/>
        </w:rPr>
        <w:t xml:space="preserve">ומרדכי </w:t>
      </w:r>
      <w:r w:rsidRPr="00F667F2">
        <w:rPr>
          <w:rFonts w:asciiTheme="minorBidi" w:hAnsiTheme="minorBidi"/>
          <w:sz w:val="16"/>
          <w:szCs w:val="16"/>
          <w:rtl/>
        </w:rPr>
        <w:t>(סי' תשיח)</w:t>
      </w:r>
      <w:r>
        <w:rPr>
          <w:rFonts w:asciiTheme="minorBidi" w:hAnsiTheme="minorBidi" w:hint="cs"/>
          <w:sz w:val="20"/>
          <w:szCs w:val="20"/>
          <w:rtl/>
        </w:rPr>
        <w:t xml:space="preserve">. </w:t>
      </w:r>
    </w:p>
  </w:footnote>
  <w:footnote w:id="1347">
    <w:p w14:paraId="104184A7" w14:textId="77777777" w:rsidR="004C5A3C" w:rsidRDefault="004C5A3C" w:rsidP="002C39F4">
      <w:pPr>
        <w:pStyle w:val="a5"/>
        <w:rPr>
          <w:rtl/>
        </w:rPr>
      </w:pPr>
      <w:r>
        <w:rPr>
          <w:rStyle w:val="a7"/>
        </w:rPr>
        <w:footnoteRef/>
      </w:r>
      <w:r>
        <w:rPr>
          <w:rtl/>
        </w:rPr>
        <w:t xml:space="preserve"> מרדכ</w:t>
      </w:r>
      <w:r>
        <w:rPr>
          <w:rFonts w:hint="cs"/>
          <w:rtl/>
        </w:rPr>
        <w:t xml:space="preserve">י </w:t>
      </w:r>
      <w:r>
        <w:rPr>
          <w:sz w:val="16"/>
          <w:szCs w:val="16"/>
          <w:rtl/>
        </w:rPr>
        <w:t>(</w:t>
      </w:r>
      <w:r w:rsidRPr="004610A5">
        <w:rPr>
          <w:sz w:val="16"/>
          <w:szCs w:val="16"/>
          <w:rtl/>
        </w:rPr>
        <w:t>סי' תשיח)</w:t>
      </w:r>
      <w:r w:rsidRPr="004610A5">
        <w:rPr>
          <w:rFonts w:hint="cs"/>
          <w:rtl/>
        </w:rPr>
        <w:t xml:space="preserve"> </w:t>
      </w:r>
      <w:r>
        <w:rPr>
          <w:rFonts w:hint="cs"/>
          <w:rtl/>
        </w:rPr>
        <w:t xml:space="preserve">הגה"מ </w:t>
      </w:r>
      <w:r w:rsidRPr="004610A5">
        <w:rPr>
          <w:rFonts w:hint="cs"/>
          <w:sz w:val="16"/>
          <w:szCs w:val="16"/>
          <w:rtl/>
        </w:rPr>
        <w:t>(</w:t>
      </w:r>
      <w:r w:rsidRPr="004610A5">
        <w:rPr>
          <w:sz w:val="16"/>
          <w:szCs w:val="16"/>
          <w:rtl/>
        </w:rPr>
        <w:t xml:space="preserve">פ"ט אות ס) </w:t>
      </w:r>
      <w:r>
        <w:rPr>
          <w:rtl/>
        </w:rPr>
        <w:t>ושע</w:t>
      </w:r>
      <w:r>
        <w:rPr>
          <w:rFonts w:hint="cs"/>
          <w:rtl/>
        </w:rPr>
        <w:t>"</w:t>
      </w:r>
      <w:r>
        <w:rPr>
          <w:rtl/>
        </w:rPr>
        <w:t xml:space="preserve">ד </w:t>
      </w:r>
      <w:r w:rsidRPr="004610A5">
        <w:rPr>
          <w:sz w:val="16"/>
          <w:szCs w:val="16"/>
          <w:rtl/>
        </w:rPr>
        <w:t>(סי' כב)</w:t>
      </w:r>
    </w:p>
  </w:footnote>
  <w:footnote w:id="1348">
    <w:p w14:paraId="3C8AADFF" w14:textId="77777777" w:rsidR="004C5A3C" w:rsidRDefault="004C5A3C" w:rsidP="002C39F4">
      <w:pPr>
        <w:pStyle w:val="a5"/>
      </w:pPr>
      <w:r>
        <w:rPr>
          <w:rStyle w:val="a7"/>
        </w:rPr>
        <w:footnoteRef/>
      </w:r>
      <w:r>
        <w:rPr>
          <w:rtl/>
        </w:rPr>
        <w:t xml:space="preserve"> </w:t>
      </w:r>
      <w:r>
        <w:rPr>
          <w:rFonts w:hint="cs"/>
          <w:rtl/>
        </w:rPr>
        <w:t>וכ' הדרכ"מ דב</w:t>
      </w:r>
      <w:r>
        <w:rPr>
          <w:rtl/>
        </w:rPr>
        <w:t>ב</w:t>
      </w:r>
      <w:r>
        <w:rPr>
          <w:rFonts w:hint="cs"/>
          <w:rtl/>
        </w:rPr>
        <w:t>"</w:t>
      </w:r>
      <w:r>
        <w:rPr>
          <w:rtl/>
        </w:rPr>
        <w:t>י</w:t>
      </w:r>
      <w:r>
        <w:rPr>
          <w:rFonts w:hint="cs"/>
          <w:rtl/>
        </w:rPr>
        <w:t xml:space="preserve"> </w:t>
      </w:r>
      <w:r w:rsidRPr="009A26A2">
        <w:rPr>
          <w:rFonts w:hint="cs"/>
          <w:sz w:val="16"/>
          <w:szCs w:val="16"/>
          <w:rtl/>
        </w:rPr>
        <w:t>(</w:t>
      </w:r>
      <w:r>
        <w:rPr>
          <w:sz w:val="16"/>
          <w:szCs w:val="16"/>
          <w:rtl/>
        </w:rPr>
        <w:t>סי</w:t>
      </w:r>
      <w:r>
        <w:rPr>
          <w:rFonts w:hint="cs"/>
          <w:sz w:val="16"/>
          <w:szCs w:val="16"/>
          <w:rtl/>
        </w:rPr>
        <w:t xml:space="preserve">' </w:t>
      </w:r>
      <w:r>
        <w:rPr>
          <w:sz w:val="16"/>
          <w:szCs w:val="16"/>
          <w:rtl/>
        </w:rPr>
        <w:t>ע</w:t>
      </w:r>
      <w:r w:rsidRPr="009A26A2">
        <w:rPr>
          <w:rFonts w:hint="cs"/>
          <w:sz w:val="16"/>
          <w:szCs w:val="16"/>
          <w:rtl/>
        </w:rPr>
        <w:t xml:space="preserve">, </w:t>
      </w:r>
      <w:r w:rsidRPr="009A26A2">
        <w:rPr>
          <w:sz w:val="16"/>
          <w:szCs w:val="16"/>
          <w:rtl/>
        </w:rPr>
        <w:t>עי' עמ' שכ ד"ה כתוב בהגהות)</w:t>
      </w:r>
      <w:r>
        <w:rPr>
          <w:rtl/>
        </w:rPr>
        <w:t xml:space="preserve"> כ</w:t>
      </w:r>
      <w:r>
        <w:rPr>
          <w:rFonts w:hint="cs"/>
          <w:rtl/>
        </w:rPr>
        <w:t>'</w:t>
      </w:r>
      <w:r>
        <w:rPr>
          <w:rtl/>
        </w:rPr>
        <w:t xml:space="preserve"> דיש חולקים בז</w:t>
      </w:r>
      <w:r>
        <w:rPr>
          <w:rFonts w:hint="cs"/>
          <w:rtl/>
        </w:rPr>
        <w:t>ה. ו</w:t>
      </w:r>
      <w:r>
        <w:rPr>
          <w:rFonts w:cs="Arial" w:hint="cs"/>
          <w:rtl/>
        </w:rPr>
        <w:t xml:space="preserve">הם דברי </w:t>
      </w:r>
      <w:r>
        <w:rPr>
          <w:rFonts w:cs="Arial"/>
          <w:rtl/>
        </w:rPr>
        <w:t>ה</w:t>
      </w:r>
      <w:r>
        <w:rPr>
          <w:rFonts w:cs="Arial" w:hint="cs"/>
          <w:rtl/>
        </w:rPr>
        <w:t>ה</w:t>
      </w:r>
      <w:r>
        <w:rPr>
          <w:rFonts w:cs="Arial"/>
          <w:rtl/>
        </w:rPr>
        <w:t>ג</w:t>
      </w:r>
      <w:r w:rsidRPr="009A26A2">
        <w:rPr>
          <w:rFonts w:cs="Arial"/>
          <w:rtl/>
        </w:rPr>
        <w:t>ש</w:t>
      </w:r>
      <w:r>
        <w:rPr>
          <w:rFonts w:cs="Arial" w:hint="cs"/>
          <w:rtl/>
        </w:rPr>
        <w:t>ע</w:t>
      </w:r>
      <w:r w:rsidRPr="009A26A2">
        <w:rPr>
          <w:rFonts w:cs="Arial"/>
          <w:rtl/>
        </w:rPr>
        <w:t xml:space="preserve">"ד </w:t>
      </w:r>
      <w:r w:rsidRPr="009A26A2">
        <w:rPr>
          <w:rFonts w:hint="cs"/>
          <w:sz w:val="16"/>
          <w:szCs w:val="16"/>
          <w:rtl/>
        </w:rPr>
        <w:t>(הביאו הש"ך סקי"ד)</w:t>
      </w:r>
      <w:r w:rsidRPr="009A26A2">
        <w:rPr>
          <w:rFonts w:cs="Arial"/>
          <w:sz w:val="16"/>
          <w:szCs w:val="16"/>
          <w:rtl/>
        </w:rPr>
        <w:t xml:space="preserve"> </w:t>
      </w:r>
      <w:r>
        <w:rPr>
          <w:rFonts w:cs="Arial" w:hint="cs"/>
          <w:rtl/>
        </w:rPr>
        <w:t>ד</w:t>
      </w:r>
      <w:r w:rsidRPr="009A26A2">
        <w:rPr>
          <w:rFonts w:cs="Arial"/>
          <w:rtl/>
        </w:rPr>
        <w:t>משמע</w:t>
      </w:r>
      <w:r>
        <w:rPr>
          <w:rFonts w:cs="Arial" w:hint="cs"/>
          <w:rtl/>
        </w:rPr>
        <w:t xml:space="preserve"> שם</w:t>
      </w:r>
      <w:r w:rsidRPr="009A26A2">
        <w:rPr>
          <w:rFonts w:cs="Arial"/>
          <w:rtl/>
        </w:rPr>
        <w:t xml:space="preserve"> דחלב רך שאינו מהותך לא מיקרי דבר צלול</w:t>
      </w:r>
      <w:r>
        <w:rPr>
          <w:rFonts w:cs="Arial" w:hint="cs"/>
          <w:rtl/>
        </w:rPr>
        <w:t>,</w:t>
      </w:r>
      <w:r>
        <w:rPr>
          <w:rFonts w:cs="Arial"/>
          <w:rtl/>
        </w:rPr>
        <w:t xml:space="preserve"> </w:t>
      </w:r>
      <w:r>
        <w:rPr>
          <w:rFonts w:cs="Arial" w:hint="cs"/>
          <w:rtl/>
        </w:rPr>
        <w:t>וכ' הש"ך ד</w:t>
      </w:r>
      <w:r w:rsidRPr="009A26A2">
        <w:rPr>
          <w:rFonts w:cs="Arial"/>
          <w:rtl/>
        </w:rPr>
        <w:t>כן הוא ב</w:t>
      </w:r>
      <w:r>
        <w:rPr>
          <w:rFonts w:cs="Arial"/>
          <w:rtl/>
        </w:rPr>
        <w:t>הג"א</w:t>
      </w:r>
      <w:r w:rsidRPr="009A26A2">
        <w:rPr>
          <w:rFonts w:cs="Arial"/>
          <w:rtl/>
        </w:rPr>
        <w:t xml:space="preserve"> </w:t>
      </w:r>
      <w:r w:rsidRPr="009A26A2">
        <w:rPr>
          <w:rFonts w:cs="Arial" w:hint="cs"/>
          <w:sz w:val="16"/>
          <w:szCs w:val="16"/>
          <w:rtl/>
        </w:rPr>
        <w:t>(</w:t>
      </w:r>
      <w:r w:rsidRPr="009A26A2">
        <w:rPr>
          <w:rFonts w:cs="Arial"/>
          <w:sz w:val="16"/>
          <w:szCs w:val="16"/>
          <w:rtl/>
        </w:rPr>
        <w:t>פכ"ה</w:t>
      </w:r>
      <w:r w:rsidRPr="009A26A2">
        <w:rPr>
          <w:rFonts w:cs="Arial" w:hint="cs"/>
          <w:sz w:val="16"/>
          <w:szCs w:val="16"/>
          <w:rtl/>
        </w:rPr>
        <w:t>)</w:t>
      </w:r>
      <w:r w:rsidRPr="009A26A2">
        <w:rPr>
          <w:rFonts w:cs="Arial"/>
          <w:sz w:val="16"/>
          <w:szCs w:val="16"/>
          <w:rtl/>
        </w:rPr>
        <w:t xml:space="preserve"> </w:t>
      </w:r>
      <w:r w:rsidRPr="009A26A2">
        <w:rPr>
          <w:rFonts w:cs="Arial"/>
          <w:rtl/>
        </w:rPr>
        <w:t>מא</w:t>
      </w:r>
      <w:r>
        <w:rPr>
          <w:rFonts w:cs="Arial" w:hint="cs"/>
          <w:rtl/>
        </w:rPr>
        <w:t>ו</w:t>
      </w:r>
      <w:r w:rsidRPr="009A26A2">
        <w:rPr>
          <w:rFonts w:cs="Arial"/>
          <w:rtl/>
        </w:rPr>
        <w:t>"ז ו</w:t>
      </w:r>
      <w:r>
        <w:rPr>
          <w:rFonts w:cs="Arial" w:hint="cs"/>
          <w:rtl/>
        </w:rPr>
        <w:t>ש</w:t>
      </w:r>
      <w:r>
        <w:rPr>
          <w:rFonts w:cs="Arial"/>
          <w:rtl/>
        </w:rPr>
        <w:t>כ</w:t>
      </w:r>
      <w:r>
        <w:rPr>
          <w:rFonts w:cs="Arial" w:hint="cs"/>
          <w:rtl/>
        </w:rPr>
        <w:t xml:space="preserve">ן </w:t>
      </w:r>
      <w:r w:rsidRPr="009A26A2">
        <w:rPr>
          <w:rFonts w:cs="Arial"/>
          <w:rtl/>
        </w:rPr>
        <w:t>פ</w:t>
      </w:r>
      <w:r>
        <w:rPr>
          <w:rFonts w:cs="Arial" w:hint="cs"/>
          <w:rtl/>
        </w:rPr>
        <w:t>סק</w:t>
      </w:r>
      <w:r w:rsidRPr="009A26A2">
        <w:rPr>
          <w:rFonts w:cs="Arial"/>
          <w:rtl/>
        </w:rPr>
        <w:t xml:space="preserve"> מהרש"ל </w:t>
      </w:r>
      <w:r w:rsidRPr="009A26A2">
        <w:rPr>
          <w:rFonts w:cs="Arial" w:hint="cs"/>
          <w:sz w:val="16"/>
          <w:szCs w:val="16"/>
          <w:rtl/>
        </w:rPr>
        <w:t>(</w:t>
      </w:r>
      <w:r>
        <w:rPr>
          <w:rFonts w:cs="Arial"/>
          <w:sz w:val="16"/>
          <w:szCs w:val="16"/>
          <w:rtl/>
        </w:rPr>
        <w:t>פכ"ה ס"ס פ</w:t>
      </w:r>
      <w:r>
        <w:rPr>
          <w:rFonts w:cs="Arial" w:hint="cs"/>
          <w:sz w:val="16"/>
          <w:szCs w:val="16"/>
          <w:rtl/>
        </w:rPr>
        <w:t>)</w:t>
      </w:r>
      <w:r>
        <w:rPr>
          <w:rFonts w:cs="Arial" w:hint="cs"/>
          <w:rtl/>
        </w:rPr>
        <w:t>.</w:t>
      </w:r>
    </w:p>
  </w:footnote>
  <w:footnote w:id="1349">
    <w:p w14:paraId="2F41D360" w14:textId="77777777" w:rsidR="004C5A3C" w:rsidRDefault="004C5A3C" w:rsidP="002C39F4">
      <w:pPr>
        <w:pStyle w:val="a5"/>
        <w:rPr>
          <w:rtl/>
        </w:rPr>
      </w:pPr>
      <w:r>
        <w:rPr>
          <w:rStyle w:val="a7"/>
        </w:rPr>
        <w:footnoteRef/>
      </w:r>
      <w:r>
        <w:rPr>
          <w:rtl/>
        </w:rPr>
        <w:t xml:space="preserve"> </w:t>
      </w:r>
      <w:r>
        <w:rPr>
          <w:rFonts w:cs="Arial"/>
          <w:rtl/>
        </w:rPr>
        <w:t>המחבר סובר כר"ן</w:t>
      </w:r>
      <w:r w:rsidRPr="0095267F">
        <w:rPr>
          <w:rFonts w:cs="Arial"/>
          <w:rtl/>
        </w:rPr>
        <w:t xml:space="preserve"> לפסק הלכה דהיינו כששהה שיעור מליחה לקדירה הוי רותח ומקמי הכי לא</w:t>
      </w:r>
      <w:r>
        <w:rPr>
          <w:rFonts w:cs="Arial" w:hint="cs"/>
          <w:rtl/>
        </w:rPr>
        <w:t>,</w:t>
      </w:r>
      <w:r>
        <w:rPr>
          <w:rFonts w:cs="Arial"/>
          <w:rtl/>
        </w:rPr>
        <w:t xml:space="preserve"> והא דמבואר בדבריו סי' סט</w:t>
      </w:r>
      <w:r w:rsidRPr="009B0D65">
        <w:rPr>
          <w:rFonts w:cs="Arial"/>
          <w:sz w:val="16"/>
          <w:szCs w:val="16"/>
          <w:rtl/>
        </w:rPr>
        <w:t xml:space="preserve"> </w:t>
      </w:r>
      <w:r w:rsidRPr="009B0D65">
        <w:rPr>
          <w:rFonts w:cs="Arial" w:hint="cs"/>
          <w:sz w:val="16"/>
          <w:szCs w:val="16"/>
          <w:rtl/>
        </w:rPr>
        <w:t>(</w:t>
      </w:r>
      <w:r w:rsidRPr="009B0D65">
        <w:rPr>
          <w:rFonts w:cs="Arial"/>
          <w:sz w:val="16"/>
          <w:szCs w:val="16"/>
          <w:rtl/>
        </w:rPr>
        <w:t>ס"</w:t>
      </w:r>
      <w:r w:rsidRPr="009B0D65">
        <w:rPr>
          <w:rFonts w:cs="Arial" w:hint="cs"/>
          <w:sz w:val="16"/>
          <w:szCs w:val="16"/>
          <w:rtl/>
        </w:rPr>
        <w:t>כ)</w:t>
      </w:r>
      <w:r>
        <w:rPr>
          <w:rFonts w:cs="Arial"/>
          <w:rtl/>
        </w:rPr>
        <w:t xml:space="preserve"> דאפי</w:t>
      </w:r>
      <w:r>
        <w:rPr>
          <w:rFonts w:cs="Arial" w:hint="cs"/>
          <w:rtl/>
        </w:rPr>
        <w:t>'</w:t>
      </w:r>
      <w:r w:rsidRPr="0095267F">
        <w:rPr>
          <w:rFonts w:cs="Arial"/>
          <w:rtl/>
        </w:rPr>
        <w:t xml:space="preserve"> מקמי הכי הוי רותח וקצת משמע שם דלאחר ששהה שיעור מליחה לא הוי רותח צ"ל דשאני התם דאיירי ב</w:t>
      </w:r>
      <w:r>
        <w:rPr>
          <w:rFonts w:cs="Arial"/>
          <w:rtl/>
        </w:rPr>
        <w:t>איסו</w:t>
      </w:r>
      <w:r>
        <w:rPr>
          <w:rFonts w:cs="Arial" w:hint="cs"/>
          <w:rtl/>
        </w:rPr>
        <w:t>ר</w:t>
      </w:r>
      <w:r w:rsidRPr="0095267F">
        <w:rPr>
          <w:rFonts w:cs="Arial"/>
          <w:rtl/>
        </w:rPr>
        <w:t xml:space="preserve"> דם והלכך הדם והמלח רותחין הם בשעת המליחה </w:t>
      </w:r>
      <w:r w:rsidRPr="0095267F">
        <w:rPr>
          <w:rFonts w:cs="Arial"/>
          <w:sz w:val="16"/>
          <w:szCs w:val="16"/>
          <w:rtl/>
        </w:rPr>
        <w:t xml:space="preserve">(וכמ"ש הרב בהג"ה דאפילו במקום שאין הבשר מיחשב רותח צירו חשוב רותח ע"ש) </w:t>
      </w:r>
      <w:r w:rsidRPr="0095267F">
        <w:rPr>
          <w:rFonts w:cs="Arial"/>
          <w:rtl/>
        </w:rPr>
        <w:t>אבל לא כששהה שיעור מליחה שאז פסק כח המלח מחמת שפלט כל הדם</w:t>
      </w:r>
      <w:r>
        <w:rPr>
          <w:rFonts w:cs="Arial" w:hint="cs"/>
          <w:rtl/>
        </w:rPr>
        <w:t>,</w:t>
      </w:r>
      <w:r w:rsidRPr="0095267F">
        <w:rPr>
          <w:rFonts w:cs="Arial"/>
          <w:rtl/>
        </w:rPr>
        <w:t xml:space="preserve"> אבל הכא מיירי באיסור בשר וגבינה דכל כמה דלא נמלח כהוגן אין הבשר רותח אבל כששהה שיעור מליחה נחשב רותח שהרי לא פסק כח המלח שלא פלט כלום דודאי איירי שכבר נמלח הבשר והודח כדינו </w:t>
      </w:r>
      <w:r>
        <w:rPr>
          <w:rFonts w:cs="Arial"/>
          <w:rtl/>
        </w:rPr>
        <w:t>ועתה נמלח שניתך דאל"כ היה הגבינ</w:t>
      </w:r>
      <w:r>
        <w:rPr>
          <w:rFonts w:cs="Arial" w:hint="cs"/>
          <w:rtl/>
        </w:rPr>
        <w:t>ה</w:t>
      </w:r>
      <w:r>
        <w:rPr>
          <w:rFonts w:cs="Arial"/>
          <w:rtl/>
        </w:rPr>
        <w:t xml:space="preserve"> נאסר משו</w:t>
      </w:r>
      <w:r>
        <w:rPr>
          <w:rFonts w:cs="Arial" w:hint="cs"/>
          <w:rtl/>
        </w:rPr>
        <w:t>ם</w:t>
      </w:r>
      <w:r>
        <w:rPr>
          <w:rFonts w:cs="Arial"/>
          <w:rtl/>
        </w:rPr>
        <w:t xml:space="preserve"> דם </w:t>
      </w:r>
      <w:r w:rsidRPr="0095267F">
        <w:rPr>
          <w:rFonts w:cs="Arial" w:hint="cs"/>
          <w:sz w:val="16"/>
          <w:szCs w:val="16"/>
          <w:rtl/>
        </w:rPr>
        <w:t>(</w:t>
      </w:r>
      <w:r w:rsidRPr="0095267F">
        <w:rPr>
          <w:rFonts w:cs="Arial"/>
          <w:sz w:val="16"/>
          <w:szCs w:val="16"/>
          <w:rtl/>
        </w:rPr>
        <w:t>והר</w:t>
      </w:r>
      <w:r w:rsidRPr="0095267F">
        <w:rPr>
          <w:rFonts w:cs="Arial" w:hint="cs"/>
          <w:sz w:val="16"/>
          <w:szCs w:val="16"/>
          <w:rtl/>
        </w:rPr>
        <w:t>מ"א</w:t>
      </w:r>
      <w:r w:rsidRPr="0095267F">
        <w:rPr>
          <w:rFonts w:cs="Arial"/>
          <w:sz w:val="16"/>
          <w:szCs w:val="16"/>
          <w:rtl/>
        </w:rPr>
        <w:t xml:space="preserve"> משוה דין בשר וגבינה לאיסור דם</w:t>
      </w:r>
      <w:r>
        <w:rPr>
          <w:rFonts w:cs="Arial" w:hint="cs"/>
          <w:sz w:val="16"/>
          <w:szCs w:val="16"/>
          <w:rtl/>
        </w:rPr>
        <w:t>)</w:t>
      </w:r>
      <w:r>
        <w:rPr>
          <w:rFonts w:hint="cs"/>
          <w:rtl/>
        </w:rPr>
        <w:t>, ש"ך (סקי"א).</w:t>
      </w:r>
    </w:p>
  </w:footnote>
  <w:footnote w:id="1350">
    <w:p w14:paraId="0B56C526" w14:textId="77777777" w:rsidR="004C5A3C" w:rsidRDefault="004C5A3C" w:rsidP="002C39F4">
      <w:pPr>
        <w:pStyle w:val="a5"/>
        <w:rPr>
          <w:rtl/>
        </w:rPr>
      </w:pPr>
      <w:r>
        <w:rPr>
          <w:rStyle w:val="a7"/>
        </w:rPr>
        <w:footnoteRef/>
      </w:r>
      <w:r>
        <w:rPr>
          <w:rtl/>
        </w:rPr>
        <w:t xml:space="preserve"> </w:t>
      </w:r>
      <w:r w:rsidRPr="009B0D65">
        <w:rPr>
          <w:rFonts w:cs="Arial"/>
          <w:rtl/>
        </w:rPr>
        <w:t>ולעיל סי' ע' ס"ד ולקמן סי' ק"ה סי"א פסק כסברת הרשב"א לחלק במליח בין עליון לתחתון</w:t>
      </w:r>
      <w:r>
        <w:rPr>
          <w:rFonts w:cs="Arial" w:hint="cs"/>
          <w:rtl/>
        </w:rPr>
        <w:t>,</w:t>
      </w:r>
      <w:r w:rsidRPr="009B0D65">
        <w:rPr>
          <w:rFonts w:cs="Arial"/>
          <w:rtl/>
        </w:rPr>
        <w:t xml:space="preserve"> וצ"ל דדוקא לאסור כולה דהיינו בשמן יש חילוק</w:t>
      </w:r>
      <w:r>
        <w:rPr>
          <w:rFonts w:cs="Arial" w:hint="cs"/>
          <w:rtl/>
        </w:rPr>
        <w:t>,</w:t>
      </w:r>
      <w:r>
        <w:rPr>
          <w:rFonts w:cs="Arial"/>
          <w:rtl/>
        </w:rPr>
        <w:t xml:space="preserve"> אבל לאסור כ</w:t>
      </w:r>
      <w:r>
        <w:rPr>
          <w:rFonts w:cs="Arial" w:hint="cs"/>
          <w:rtl/>
        </w:rPr>
        <w:t xml:space="preserve">די </w:t>
      </w:r>
      <w:r w:rsidRPr="009B0D65">
        <w:rPr>
          <w:rFonts w:cs="Arial"/>
          <w:rtl/>
        </w:rPr>
        <w:t>ק</w:t>
      </w:r>
      <w:r>
        <w:rPr>
          <w:rFonts w:cs="Arial" w:hint="cs"/>
          <w:rtl/>
        </w:rPr>
        <w:t>ליפה</w:t>
      </w:r>
      <w:r w:rsidRPr="009B0D65">
        <w:rPr>
          <w:rFonts w:cs="Arial"/>
          <w:rtl/>
        </w:rPr>
        <w:t xml:space="preserve"> כגון בכחוש אין חילוק</w:t>
      </w:r>
      <w:r>
        <w:rPr>
          <w:rFonts w:cs="Arial" w:hint="cs"/>
          <w:rtl/>
        </w:rPr>
        <w:t>,</w:t>
      </w:r>
      <w:r w:rsidRPr="009B0D65">
        <w:rPr>
          <w:rFonts w:cs="Arial"/>
          <w:rtl/>
        </w:rPr>
        <w:t xml:space="preserve"> דנהי דתתאה גבר מ"מ קליפה מיהא בעי כמו בסעיף ד'</w:t>
      </w:r>
      <w:r>
        <w:rPr>
          <w:rFonts w:cs="Arial" w:hint="cs"/>
          <w:rtl/>
        </w:rPr>
        <w:t>,</w:t>
      </w:r>
      <w:r>
        <w:rPr>
          <w:rFonts w:cs="Arial"/>
          <w:rtl/>
        </w:rPr>
        <w:t xml:space="preserve"> והכי משמע מדברי הרשב"א בת</w:t>
      </w:r>
      <w:r>
        <w:rPr>
          <w:rFonts w:cs="Arial" w:hint="cs"/>
          <w:rtl/>
        </w:rPr>
        <w:t>וה"ק</w:t>
      </w:r>
      <w:r w:rsidRPr="009B0D65">
        <w:rPr>
          <w:rFonts w:cs="Arial"/>
          <w:rtl/>
        </w:rPr>
        <w:t xml:space="preserve"> </w:t>
      </w:r>
      <w:r>
        <w:rPr>
          <w:rFonts w:cs="Arial" w:hint="cs"/>
          <w:rtl/>
        </w:rPr>
        <w:t>ו</w:t>
      </w:r>
      <w:r w:rsidRPr="009B0D65">
        <w:rPr>
          <w:rFonts w:cs="Arial"/>
          <w:rtl/>
        </w:rPr>
        <w:t>בש</w:t>
      </w:r>
      <w:r>
        <w:rPr>
          <w:rFonts w:cs="Arial" w:hint="cs"/>
          <w:rtl/>
        </w:rPr>
        <w:t>ו</w:t>
      </w:r>
      <w:r w:rsidRPr="009B0D65">
        <w:rPr>
          <w:rFonts w:cs="Arial"/>
          <w:rtl/>
        </w:rPr>
        <w:t>"ע שם (וצ"ע בב"י בסי' זה ד"ה ואינו תלוי כו' דלא משמע הכי)</w:t>
      </w:r>
      <w:r>
        <w:rPr>
          <w:rFonts w:cs="Arial" w:hint="cs"/>
          <w:rtl/>
        </w:rPr>
        <w:t>, ש"ך (סקי"ב).</w:t>
      </w:r>
    </w:p>
  </w:footnote>
  <w:footnote w:id="1351">
    <w:p w14:paraId="1AD5E9EB" w14:textId="77777777" w:rsidR="004C5A3C" w:rsidRDefault="004C5A3C" w:rsidP="002C39F4">
      <w:pPr>
        <w:pStyle w:val="a5"/>
        <w:rPr>
          <w:rtl/>
        </w:rPr>
      </w:pPr>
      <w:r>
        <w:rPr>
          <w:rStyle w:val="a7"/>
        </w:rPr>
        <w:footnoteRef/>
      </w:r>
      <w:r>
        <w:rPr>
          <w:rtl/>
        </w:rPr>
        <w:t xml:space="preserve"> </w:t>
      </w:r>
      <w:r w:rsidRPr="009B0D65">
        <w:rPr>
          <w:rFonts w:cs="Arial"/>
          <w:rtl/>
        </w:rPr>
        <w:t>ולא שייך כאן למימר איידי דטריד למיפלט לא בלע א"נ כבכ"פ דדוקא גבי דם אמרינן הכי ולא בשאר איסורים כמ"ש הפוסקים בכמה דוכתי</w:t>
      </w:r>
      <w:r>
        <w:rPr>
          <w:rFonts w:cs="Arial"/>
          <w:rtl/>
        </w:rPr>
        <w:t xml:space="preserve"> ודלא כאו"ה כלל י"ב דין י"א ע"ש</w:t>
      </w:r>
      <w:r>
        <w:rPr>
          <w:rFonts w:cs="Arial" w:hint="cs"/>
          <w:rtl/>
        </w:rPr>
        <w:t>, ש"ך (סקי"ג). ו</w:t>
      </w:r>
      <w:r>
        <w:rPr>
          <w:rFonts w:cs="Arial"/>
          <w:rtl/>
        </w:rPr>
        <w:t xml:space="preserve">כ"כ המרדכי </w:t>
      </w:r>
      <w:r>
        <w:rPr>
          <w:rFonts w:cs="Arial" w:hint="cs"/>
          <w:rtl/>
        </w:rPr>
        <w:t>(</w:t>
      </w:r>
      <w:r>
        <w:rPr>
          <w:rFonts w:cs="Arial"/>
          <w:rtl/>
        </w:rPr>
        <w:t>פ</w:t>
      </w:r>
      <w:r>
        <w:rPr>
          <w:rFonts w:cs="Arial" w:hint="cs"/>
          <w:rtl/>
        </w:rPr>
        <w:t>כ"</w:t>
      </w:r>
      <w:r w:rsidRPr="009B0D65">
        <w:rPr>
          <w:rFonts w:cs="Arial"/>
          <w:rtl/>
        </w:rPr>
        <w:t>ה</w:t>
      </w:r>
      <w:r>
        <w:rPr>
          <w:rFonts w:cs="Arial" w:hint="cs"/>
          <w:rtl/>
        </w:rPr>
        <w:t xml:space="preserve"> סי' תשיח) וכ"כ הט"ז (סק"י).</w:t>
      </w:r>
    </w:p>
  </w:footnote>
  <w:footnote w:id="1352">
    <w:p w14:paraId="1B7BAF2B" w14:textId="77777777" w:rsidR="004C5A3C" w:rsidRDefault="004C5A3C" w:rsidP="002C39F4">
      <w:pPr>
        <w:pStyle w:val="a5"/>
        <w:rPr>
          <w:rtl/>
        </w:rPr>
      </w:pPr>
      <w:r>
        <w:rPr>
          <w:rStyle w:val="a7"/>
        </w:rPr>
        <w:footnoteRef/>
      </w:r>
      <w:r>
        <w:rPr>
          <w:rtl/>
        </w:rPr>
        <w:t xml:space="preserve"> </w:t>
      </w:r>
      <w:r w:rsidRPr="009A26A2">
        <w:rPr>
          <w:rFonts w:cs="Arial"/>
          <w:rtl/>
        </w:rPr>
        <w:t>ול"ד לבשר רותח שנפל לתוך חלב צונן דלא נאסר אלא כדי קליפה ולא אמרינן דמחמת רתיחתו בולע האיסור צלול שאצלו דהתם כיון דתתאה גבר נצטנן הבשר אבל במליחה לא שייך תתאה גבר</w:t>
      </w:r>
      <w:r>
        <w:rPr>
          <w:rFonts w:hint="cs"/>
          <w:rtl/>
        </w:rPr>
        <w:t>, ש"ך (סקט"ו).</w:t>
      </w:r>
    </w:p>
  </w:footnote>
  <w:footnote w:id="1353">
    <w:p w14:paraId="72FBD371" w14:textId="77777777" w:rsidR="004C5A3C" w:rsidRDefault="004C5A3C" w:rsidP="002C39F4">
      <w:pPr>
        <w:pStyle w:val="a5"/>
      </w:pPr>
      <w:r>
        <w:rPr>
          <w:rStyle w:val="a7"/>
        </w:rPr>
        <w:footnoteRef/>
      </w:r>
      <w:r>
        <w:rPr>
          <w:rtl/>
        </w:rPr>
        <w:t xml:space="preserve"> </w:t>
      </w:r>
      <w:r w:rsidRPr="00545170">
        <w:rPr>
          <w:rFonts w:cs="Arial"/>
          <w:rtl/>
        </w:rPr>
        <w:t>כלומר בבשר בחלב</w:t>
      </w:r>
      <w:r>
        <w:rPr>
          <w:rFonts w:cs="Arial" w:hint="cs"/>
          <w:rtl/>
        </w:rPr>
        <w:t>,</w:t>
      </w:r>
      <w:r w:rsidRPr="00545170">
        <w:rPr>
          <w:rFonts w:cs="Arial"/>
          <w:rtl/>
        </w:rPr>
        <w:t xml:space="preserve"> א</w:t>
      </w:r>
      <w:r>
        <w:rPr>
          <w:rFonts w:cs="Arial" w:hint="cs"/>
          <w:rtl/>
        </w:rPr>
        <w:t>ע"פ</w:t>
      </w:r>
      <w:r w:rsidRPr="00545170">
        <w:rPr>
          <w:rFonts w:cs="Arial"/>
          <w:rtl/>
        </w:rPr>
        <w:t xml:space="preserve"> שהבשר לבדו מלוח שניהם אסורים</w:t>
      </w:r>
      <w:r>
        <w:rPr>
          <w:rFonts w:cs="Arial" w:hint="cs"/>
          <w:rtl/>
        </w:rPr>
        <w:t>,</w:t>
      </w:r>
      <w:r>
        <w:rPr>
          <w:rFonts w:cs="Arial"/>
          <w:rtl/>
        </w:rPr>
        <w:t xml:space="preserve"> אבל אם החלב לבדו מלוח כ</w:t>
      </w:r>
      <w:r>
        <w:rPr>
          <w:rFonts w:cs="Arial" w:hint="cs"/>
          <w:rtl/>
        </w:rPr>
        <w:t>'</w:t>
      </w:r>
      <w:r w:rsidRPr="00545170">
        <w:rPr>
          <w:rFonts w:cs="Arial"/>
          <w:rtl/>
        </w:rPr>
        <w:t xml:space="preserve"> בת"ח</w:t>
      </w:r>
      <w:r w:rsidRPr="00545170">
        <w:rPr>
          <w:rFonts w:cs="Arial"/>
          <w:sz w:val="16"/>
          <w:szCs w:val="16"/>
          <w:rtl/>
        </w:rPr>
        <w:t xml:space="preserve"> </w:t>
      </w:r>
      <w:r w:rsidRPr="00545170">
        <w:rPr>
          <w:rFonts w:cs="Arial" w:hint="cs"/>
          <w:sz w:val="16"/>
          <w:szCs w:val="16"/>
          <w:rtl/>
        </w:rPr>
        <w:t>(</w:t>
      </w:r>
      <w:r w:rsidRPr="00545170">
        <w:rPr>
          <w:rFonts w:cs="Arial"/>
          <w:sz w:val="16"/>
          <w:szCs w:val="16"/>
          <w:rtl/>
        </w:rPr>
        <w:t>כלל כב ד"ב</w:t>
      </w:r>
      <w:r w:rsidRPr="00545170">
        <w:rPr>
          <w:rFonts w:cs="Arial" w:hint="cs"/>
          <w:sz w:val="16"/>
          <w:szCs w:val="16"/>
          <w:rtl/>
        </w:rPr>
        <w:t>)</w:t>
      </w:r>
      <w:r w:rsidRPr="00545170">
        <w:rPr>
          <w:rFonts w:cs="Arial"/>
          <w:rtl/>
        </w:rPr>
        <w:t xml:space="preserve"> דמשמע מדברי המרדכי דהחלב מותר דלא כהסמ"ג עכ"ל</w:t>
      </w:r>
      <w:r>
        <w:rPr>
          <w:rFonts w:cs="Arial" w:hint="cs"/>
          <w:rtl/>
        </w:rPr>
        <w:t>,</w:t>
      </w:r>
      <w:r w:rsidRPr="00545170">
        <w:rPr>
          <w:rFonts w:cs="Arial"/>
          <w:rtl/>
        </w:rPr>
        <w:t xml:space="preserve"> ופסק שם כך</w:t>
      </w:r>
      <w:r>
        <w:rPr>
          <w:rFonts w:cs="Arial" w:hint="cs"/>
          <w:rtl/>
        </w:rPr>
        <w:t>,</w:t>
      </w:r>
      <w:r>
        <w:rPr>
          <w:rFonts w:cs="Arial"/>
          <w:rtl/>
        </w:rPr>
        <w:t xml:space="preserve"> ותימה שבמרדכי פכ"ה</w:t>
      </w:r>
      <w:r w:rsidRPr="00545170">
        <w:rPr>
          <w:rFonts w:cs="Arial"/>
          <w:sz w:val="16"/>
          <w:szCs w:val="16"/>
          <w:rtl/>
        </w:rPr>
        <w:t xml:space="preserve"> (סי' אלף ריד)</w:t>
      </w:r>
      <w:r w:rsidRPr="00545170">
        <w:rPr>
          <w:rFonts w:cs="Arial"/>
          <w:rtl/>
        </w:rPr>
        <w:t xml:space="preserve"> איתא אדרבה כסמ"ג</w:t>
      </w:r>
      <w:r>
        <w:rPr>
          <w:rFonts w:cs="Arial" w:hint="cs"/>
          <w:rtl/>
        </w:rPr>
        <w:t>,</w:t>
      </w:r>
      <w:r w:rsidRPr="00545170">
        <w:rPr>
          <w:rFonts w:cs="Arial"/>
          <w:rtl/>
        </w:rPr>
        <w:t xml:space="preserve"> ונראה שט"ס הוא וצ"ל הגהת מרדכי</w:t>
      </w:r>
      <w:r>
        <w:rPr>
          <w:rFonts w:cs="Arial" w:hint="cs"/>
          <w:rtl/>
        </w:rPr>
        <w:t>,</w:t>
      </w:r>
      <w:r w:rsidRPr="00545170">
        <w:rPr>
          <w:rFonts w:cs="Arial"/>
          <w:rtl/>
        </w:rPr>
        <w:t xml:space="preserve"> דהכי איתא בהגהת מרדכי בשם מהר"ף</w:t>
      </w:r>
      <w:r>
        <w:rPr>
          <w:rFonts w:cs="Arial" w:hint="cs"/>
          <w:rtl/>
        </w:rPr>
        <w:t>,</w:t>
      </w:r>
      <w:r w:rsidRPr="00545170">
        <w:rPr>
          <w:rFonts w:cs="Arial"/>
          <w:rtl/>
        </w:rPr>
        <w:t xml:space="preserve"> גם באו"ה</w:t>
      </w:r>
      <w:r w:rsidRPr="00545170">
        <w:rPr>
          <w:rFonts w:cs="Arial"/>
          <w:sz w:val="16"/>
          <w:szCs w:val="16"/>
          <w:rtl/>
        </w:rPr>
        <w:t xml:space="preserve"> </w:t>
      </w:r>
      <w:r w:rsidRPr="00545170">
        <w:rPr>
          <w:rFonts w:cs="Arial" w:hint="cs"/>
          <w:sz w:val="16"/>
          <w:szCs w:val="16"/>
          <w:rtl/>
        </w:rPr>
        <w:t>(</w:t>
      </w:r>
      <w:r w:rsidRPr="00545170">
        <w:rPr>
          <w:rFonts w:cs="Arial"/>
          <w:sz w:val="16"/>
          <w:szCs w:val="16"/>
          <w:rtl/>
        </w:rPr>
        <w:t>כלל ל ד</w:t>
      </w:r>
      <w:r w:rsidRPr="00545170">
        <w:rPr>
          <w:rFonts w:cs="Arial" w:hint="cs"/>
          <w:sz w:val="16"/>
          <w:szCs w:val="16"/>
          <w:rtl/>
        </w:rPr>
        <w:t>י</w:t>
      </w:r>
      <w:r w:rsidRPr="00545170">
        <w:rPr>
          <w:rFonts w:cs="Arial"/>
          <w:sz w:val="16"/>
          <w:szCs w:val="16"/>
          <w:rtl/>
        </w:rPr>
        <w:t>"ד</w:t>
      </w:r>
      <w:r w:rsidRPr="00545170">
        <w:rPr>
          <w:rFonts w:cs="Arial" w:hint="cs"/>
          <w:sz w:val="16"/>
          <w:szCs w:val="16"/>
          <w:rtl/>
        </w:rPr>
        <w:t>)</w:t>
      </w:r>
      <w:r>
        <w:rPr>
          <w:rFonts w:cs="Arial"/>
          <w:rtl/>
        </w:rPr>
        <w:t xml:space="preserve"> כתב כן ע</w:t>
      </w:r>
      <w:r>
        <w:rPr>
          <w:rFonts w:cs="Arial" w:hint="cs"/>
          <w:rtl/>
        </w:rPr>
        <w:t>ל שם</w:t>
      </w:r>
      <w:r w:rsidRPr="00545170">
        <w:rPr>
          <w:rFonts w:cs="Arial"/>
          <w:rtl/>
        </w:rPr>
        <w:t xml:space="preserve"> המרדכי בשם מהר"ף</w:t>
      </w:r>
      <w:r>
        <w:rPr>
          <w:rFonts w:cs="Arial" w:hint="cs"/>
          <w:rtl/>
        </w:rPr>
        <w:t>,</w:t>
      </w:r>
      <w:r>
        <w:rPr>
          <w:rFonts w:cs="Arial"/>
          <w:rtl/>
        </w:rPr>
        <w:t xml:space="preserve"> והוא ג"כ ט"</w:t>
      </w:r>
      <w:r>
        <w:rPr>
          <w:rFonts w:cs="Arial" w:hint="cs"/>
          <w:rtl/>
        </w:rPr>
        <w:t>ס</w:t>
      </w:r>
      <w:r w:rsidRPr="00545170">
        <w:rPr>
          <w:rFonts w:cs="Arial"/>
          <w:rtl/>
        </w:rPr>
        <w:t xml:space="preserve"> וצ"ל הגהת מרדכי</w:t>
      </w:r>
      <w:r>
        <w:rPr>
          <w:rFonts w:cs="Arial" w:hint="cs"/>
          <w:rtl/>
        </w:rPr>
        <w:t>,</w:t>
      </w:r>
      <w:r w:rsidRPr="00545170">
        <w:rPr>
          <w:rFonts w:cs="Arial"/>
          <w:rtl/>
        </w:rPr>
        <w:t xml:space="preserve"> ומ"מ צ"ע לדינא כיון דהמרדכי וסמ"ג אוסרים ובש</w:t>
      </w:r>
      <w:r>
        <w:rPr>
          <w:rFonts w:cs="Arial" w:hint="cs"/>
          <w:rtl/>
        </w:rPr>
        <w:t>ע</w:t>
      </w:r>
      <w:r w:rsidRPr="00545170">
        <w:rPr>
          <w:rFonts w:cs="Arial"/>
          <w:rtl/>
        </w:rPr>
        <w:t>"ד אין הכרע כ"כ א"כ מאן לימא לן להקל בשגם שהר"ן סובר דכל טהור מליח וטמא תפל לא שרי אלא כשאינן נוגעים ונהי דהסכמת הפוס</w:t>
      </w:r>
      <w:r>
        <w:rPr>
          <w:rFonts w:cs="Arial"/>
          <w:rtl/>
        </w:rPr>
        <w:t>קים דלא כוותיה כמ"ש בסי' ע' סק</w:t>
      </w:r>
      <w:r>
        <w:rPr>
          <w:rFonts w:cs="Arial" w:hint="cs"/>
          <w:rtl/>
        </w:rPr>
        <w:t>"</w:t>
      </w:r>
      <w:r>
        <w:rPr>
          <w:rFonts w:cs="Arial"/>
          <w:rtl/>
        </w:rPr>
        <w:t>כ</w:t>
      </w:r>
      <w:r w:rsidRPr="00545170">
        <w:rPr>
          <w:rFonts w:cs="Arial"/>
          <w:rtl/>
        </w:rPr>
        <w:t xml:space="preserve"> מ"מ כאן דהוא צלול אפשר דהכל אסור</w:t>
      </w:r>
      <w:r>
        <w:rPr>
          <w:rFonts w:cs="Arial" w:hint="cs"/>
          <w:rtl/>
        </w:rPr>
        <w:t>,</w:t>
      </w:r>
      <w:r>
        <w:rPr>
          <w:rFonts w:cs="Arial"/>
          <w:rtl/>
        </w:rPr>
        <w:t xml:space="preserve"> ועוד הרב בהג"ה בסי' ק"ה ס"</w:t>
      </w:r>
      <w:r>
        <w:rPr>
          <w:rFonts w:cs="Arial" w:hint="cs"/>
          <w:rtl/>
        </w:rPr>
        <w:t>י</w:t>
      </w:r>
      <w:r w:rsidRPr="00545170">
        <w:rPr>
          <w:rFonts w:cs="Arial"/>
          <w:rtl/>
        </w:rPr>
        <w:t xml:space="preserve"> חשש לסברת הר"ן במקום שאין הפסד גם מהרש"ל באו"ש כתב וז"ל וצ"ע דבסמ"ג איתא לאיסור</w:t>
      </w:r>
      <w:r>
        <w:rPr>
          <w:rFonts w:hint="cs"/>
          <w:rtl/>
        </w:rPr>
        <w:t>, ש"ך (סקט"ז).</w:t>
      </w:r>
    </w:p>
  </w:footnote>
  <w:footnote w:id="1354">
    <w:p w14:paraId="41EB998D" w14:textId="77777777" w:rsidR="004C5A3C" w:rsidRDefault="004C5A3C" w:rsidP="002C39F4">
      <w:pPr>
        <w:pStyle w:val="a5"/>
        <w:rPr>
          <w:rtl/>
        </w:rPr>
      </w:pPr>
      <w:r>
        <w:rPr>
          <w:rStyle w:val="a7"/>
        </w:rPr>
        <w:footnoteRef/>
      </w:r>
      <w:r>
        <w:rPr>
          <w:rtl/>
        </w:rPr>
        <w:t xml:space="preserve"> </w:t>
      </w:r>
      <w:r w:rsidRPr="00545170">
        <w:rPr>
          <w:rFonts w:cs="Arial"/>
          <w:rtl/>
        </w:rPr>
        <w:t>משמע אפילו מלוח הכל מותר וכן כתב האו"ה שם</w:t>
      </w:r>
      <w:r>
        <w:rPr>
          <w:rFonts w:hint="cs"/>
          <w:rtl/>
        </w:rPr>
        <w:t>, ש"ך (סקי"ז).</w:t>
      </w:r>
    </w:p>
  </w:footnote>
  <w:footnote w:id="1355">
    <w:p w14:paraId="066E87AC" w14:textId="77777777" w:rsidR="004C5A3C" w:rsidRDefault="004C5A3C" w:rsidP="002C39F4">
      <w:pPr>
        <w:pStyle w:val="a5"/>
      </w:pPr>
      <w:r>
        <w:rPr>
          <w:rStyle w:val="a7"/>
        </w:rPr>
        <w:footnoteRef/>
      </w:r>
      <w:r>
        <w:rPr>
          <w:rtl/>
        </w:rPr>
        <w:t xml:space="preserve"> </w:t>
      </w:r>
      <w:r w:rsidRPr="00545170">
        <w:rPr>
          <w:rFonts w:cs="Arial"/>
          <w:rtl/>
        </w:rPr>
        <w:t>פי' דאם נפל על כל הכלי לא שייך קליפה דיפסיד</w:t>
      </w:r>
      <w:r>
        <w:rPr>
          <w:rFonts w:cs="Arial"/>
          <w:rtl/>
        </w:rPr>
        <w:t xml:space="preserve"> הכלי א"נ טורח גדול הוא</w:t>
      </w:r>
      <w:r>
        <w:rPr>
          <w:rFonts w:cs="Arial" w:hint="cs"/>
          <w:rtl/>
        </w:rPr>
        <w:t>,</w:t>
      </w:r>
      <w:r>
        <w:rPr>
          <w:rFonts w:cs="Arial"/>
          <w:rtl/>
        </w:rPr>
        <w:t xml:space="preserve"> וכ</w:t>
      </w:r>
      <w:r>
        <w:rPr>
          <w:rFonts w:cs="Arial" w:hint="cs"/>
          <w:rtl/>
        </w:rPr>
        <w:t>"</w:t>
      </w:r>
      <w:r>
        <w:rPr>
          <w:rFonts w:cs="Arial"/>
          <w:rtl/>
        </w:rPr>
        <w:t>מ</w:t>
      </w:r>
      <w:r w:rsidRPr="00545170">
        <w:rPr>
          <w:rFonts w:cs="Arial"/>
          <w:rtl/>
        </w:rPr>
        <w:t xml:space="preserve"> בת"ח </w:t>
      </w:r>
      <w:r w:rsidRPr="00545170">
        <w:rPr>
          <w:rFonts w:cs="Arial" w:hint="cs"/>
          <w:sz w:val="16"/>
          <w:szCs w:val="16"/>
          <w:rtl/>
        </w:rPr>
        <w:t>(</w:t>
      </w:r>
      <w:r w:rsidRPr="00545170">
        <w:rPr>
          <w:rFonts w:cs="Arial"/>
          <w:sz w:val="16"/>
          <w:szCs w:val="16"/>
          <w:rtl/>
        </w:rPr>
        <w:t>כלל יג</w:t>
      </w:r>
      <w:r w:rsidRPr="00545170">
        <w:rPr>
          <w:rFonts w:cs="Arial" w:hint="cs"/>
          <w:sz w:val="16"/>
          <w:szCs w:val="16"/>
          <w:rtl/>
        </w:rPr>
        <w:t>)</w:t>
      </w:r>
      <w:r w:rsidRPr="00545170">
        <w:rPr>
          <w:rFonts w:cs="Arial"/>
          <w:sz w:val="16"/>
          <w:szCs w:val="16"/>
          <w:rtl/>
        </w:rPr>
        <w:t xml:space="preserve"> </w:t>
      </w:r>
      <w:r w:rsidRPr="00545170">
        <w:rPr>
          <w:rFonts w:cs="Arial"/>
          <w:rtl/>
        </w:rPr>
        <w:t>ובאו"ה</w:t>
      </w:r>
      <w:r w:rsidRPr="00545170">
        <w:rPr>
          <w:rFonts w:cs="Arial"/>
          <w:sz w:val="16"/>
          <w:szCs w:val="16"/>
          <w:rtl/>
        </w:rPr>
        <w:t xml:space="preserve"> </w:t>
      </w:r>
      <w:r w:rsidRPr="00545170">
        <w:rPr>
          <w:rFonts w:cs="Arial" w:hint="cs"/>
          <w:sz w:val="16"/>
          <w:szCs w:val="16"/>
          <w:rtl/>
        </w:rPr>
        <w:t>(</w:t>
      </w:r>
      <w:r w:rsidRPr="00545170">
        <w:rPr>
          <w:rFonts w:cs="Arial"/>
          <w:sz w:val="16"/>
          <w:szCs w:val="16"/>
          <w:rtl/>
        </w:rPr>
        <w:t>כלל י די"ב</w:t>
      </w:r>
      <w:r w:rsidRPr="00545170">
        <w:rPr>
          <w:rFonts w:cs="Arial" w:hint="cs"/>
          <w:sz w:val="16"/>
          <w:szCs w:val="16"/>
          <w:rtl/>
        </w:rPr>
        <w:t>)</w:t>
      </w:r>
      <w:r w:rsidRPr="00545170">
        <w:rPr>
          <w:rFonts w:cs="Arial"/>
          <w:rtl/>
        </w:rPr>
        <w:t xml:space="preserve"> ולפ"ז אם הוא בענין שאין פסידא ורוצה לטרוח מותר</w:t>
      </w:r>
      <w:r>
        <w:rPr>
          <w:rFonts w:cs="Arial" w:hint="cs"/>
          <w:rtl/>
        </w:rPr>
        <w:t>,</w:t>
      </w:r>
      <w:r w:rsidRPr="00545170">
        <w:rPr>
          <w:rFonts w:cs="Arial"/>
          <w:rtl/>
        </w:rPr>
        <w:t xml:space="preserve"> וא</w:t>
      </w:r>
      <w:r>
        <w:rPr>
          <w:rFonts w:cs="Arial" w:hint="cs"/>
          <w:rtl/>
        </w:rPr>
        <w:t>ע"ג</w:t>
      </w:r>
      <w:r w:rsidRPr="00545170">
        <w:rPr>
          <w:rFonts w:cs="Arial"/>
          <w:rtl/>
        </w:rPr>
        <w:t xml:space="preserve"> דלקמן סי' קכ"א ס"ב ובא</w:t>
      </w:r>
      <w:r>
        <w:rPr>
          <w:rFonts w:cs="Arial" w:hint="cs"/>
          <w:rtl/>
        </w:rPr>
        <w:t>ו</w:t>
      </w:r>
      <w:r w:rsidRPr="00545170">
        <w:rPr>
          <w:rFonts w:cs="Arial"/>
          <w:rtl/>
        </w:rPr>
        <w:t>"ח סי' תנ"א סי"ו כתב הרב בהג"ה דכל מקום שצריך הגעלה לא מהני אם קלפו לכלי התם מיירי בדבר שנבלע בו ע"י חמין וכה"ג דנבלע בכל הכלי אבל ציר מלוח אינו נבלע אלא כדי קליפה וכמ"ש בסי' ס"ט לכך די בקליפה</w:t>
      </w:r>
      <w:r>
        <w:rPr>
          <w:rFonts w:cs="Arial" w:hint="cs"/>
          <w:rtl/>
        </w:rPr>
        <w:t>..., ש"ך (סקי"ח).</w:t>
      </w:r>
    </w:p>
  </w:footnote>
  <w:footnote w:id="1356">
    <w:p w14:paraId="595795F8" w14:textId="77777777" w:rsidR="004C5A3C" w:rsidRPr="006573A8" w:rsidRDefault="004C5A3C" w:rsidP="002C39F4">
      <w:pPr>
        <w:pStyle w:val="a5"/>
        <w:rPr>
          <w:rtl/>
        </w:rPr>
      </w:pPr>
      <w:r w:rsidRPr="006573A8">
        <w:rPr>
          <w:rStyle w:val="a7"/>
        </w:rPr>
        <w:footnoteRef/>
      </w:r>
      <w:r w:rsidRPr="006573A8">
        <w:rPr>
          <w:rtl/>
        </w:rPr>
        <w:t xml:space="preserve"> </w:t>
      </w:r>
      <w:r w:rsidRPr="006573A8">
        <w:rPr>
          <w:rFonts w:cs="Arial"/>
          <w:rtl/>
        </w:rPr>
        <w:t>כלומר דאם היתה אחת מהן שמינה או הגבינה או הבשר הכל אסור דאזיל האי ומפטם להאי והוי כאילו הכל שמן</w:t>
      </w:r>
      <w:r>
        <w:rPr>
          <w:rFonts w:cs="Arial" w:hint="cs"/>
          <w:rtl/>
        </w:rPr>
        <w:t>,</w:t>
      </w:r>
      <w:r w:rsidRPr="006573A8">
        <w:rPr>
          <w:rFonts w:cs="Arial"/>
          <w:rtl/>
        </w:rPr>
        <w:t xml:space="preserve"> וכדלעיל סי' ע' ס"ד וסי' ק"ה</w:t>
      </w:r>
      <w:r>
        <w:rPr>
          <w:rFonts w:cs="Arial" w:hint="cs"/>
          <w:rtl/>
        </w:rPr>
        <w:t>, ש"ך (סקי"ט).</w:t>
      </w:r>
      <w:r w:rsidRPr="006573A8">
        <w:rPr>
          <w:rFonts w:cs="Arial"/>
          <w:rtl/>
        </w:rPr>
        <w:t xml:space="preserve"> </w:t>
      </w:r>
      <w:r>
        <w:rPr>
          <w:rFonts w:cs="Arial" w:hint="cs"/>
          <w:rtl/>
        </w:rPr>
        <w:t>ו</w:t>
      </w:r>
      <w:r w:rsidRPr="006573A8">
        <w:rPr>
          <w:rFonts w:asciiTheme="minorBidi" w:hAnsiTheme="minorBidi"/>
          <w:rtl/>
        </w:rPr>
        <w:t>ע</w:t>
      </w:r>
      <w:r>
        <w:rPr>
          <w:rFonts w:asciiTheme="minorBidi" w:hAnsiTheme="minorBidi" w:hint="cs"/>
          <w:rtl/>
        </w:rPr>
        <w:t xml:space="preserve">י' </w:t>
      </w:r>
      <w:r w:rsidRPr="006573A8">
        <w:rPr>
          <w:rFonts w:asciiTheme="minorBidi" w:hAnsiTheme="minorBidi"/>
          <w:rtl/>
        </w:rPr>
        <w:t>ל</w:t>
      </w:r>
      <w:r>
        <w:rPr>
          <w:rFonts w:asciiTheme="minorBidi" w:hAnsiTheme="minorBidi" w:hint="cs"/>
          <w:rtl/>
        </w:rPr>
        <w:t>קמן</w:t>
      </w:r>
      <w:r w:rsidRPr="006573A8">
        <w:rPr>
          <w:rFonts w:asciiTheme="minorBidi" w:hAnsiTheme="minorBidi"/>
          <w:rtl/>
        </w:rPr>
        <w:t xml:space="preserve"> סימן ק"ה סי"א</w:t>
      </w:r>
      <w:r>
        <w:rPr>
          <w:rFonts w:asciiTheme="minorBidi" w:hAnsiTheme="minorBidi" w:hint="cs"/>
          <w:rtl/>
        </w:rPr>
        <w:t xml:space="preserve"> </w:t>
      </w:r>
      <w:r>
        <w:rPr>
          <w:rFonts w:asciiTheme="minorBidi" w:hAnsiTheme="minorBidi" w:hint="cs"/>
          <w:sz w:val="16"/>
          <w:szCs w:val="16"/>
          <w:rtl/>
        </w:rPr>
        <w:t>(</w:t>
      </w:r>
      <w:r w:rsidRPr="006573A8">
        <w:rPr>
          <w:rFonts w:asciiTheme="minorBidi" w:hAnsiTheme="minorBidi" w:hint="cs"/>
          <w:sz w:val="16"/>
          <w:szCs w:val="16"/>
          <w:rtl/>
        </w:rPr>
        <w:t>באר הגולה עם ציונים מהש"ך)</w:t>
      </w:r>
      <w:r>
        <w:rPr>
          <w:rFonts w:asciiTheme="minorBidi" w:hAnsiTheme="minorBidi" w:hint="cs"/>
          <w:rtl/>
        </w:rPr>
        <w:t>.</w:t>
      </w:r>
    </w:p>
  </w:footnote>
  <w:footnote w:id="1357">
    <w:p w14:paraId="102125AF" w14:textId="77777777" w:rsidR="004C5A3C" w:rsidRDefault="004C5A3C" w:rsidP="002C39F4">
      <w:pPr>
        <w:pStyle w:val="a5"/>
      </w:pPr>
      <w:r>
        <w:rPr>
          <w:rStyle w:val="a7"/>
        </w:rPr>
        <w:footnoteRef/>
      </w:r>
      <w:r>
        <w:rPr>
          <w:rtl/>
        </w:rPr>
        <w:t xml:space="preserve"> </w:t>
      </w:r>
      <w:r>
        <w:rPr>
          <w:rFonts w:hint="cs"/>
          <w:rtl/>
        </w:rPr>
        <w:t>סעיף ט בהגה. ד</w:t>
      </w:r>
      <w:r w:rsidRPr="006573A8">
        <w:rPr>
          <w:rFonts w:cs="Arial"/>
          <w:rtl/>
        </w:rPr>
        <w:t xml:space="preserve">נתבאר </w:t>
      </w:r>
      <w:r>
        <w:rPr>
          <w:rFonts w:cs="Arial" w:hint="cs"/>
          <w:rtl/>
        </w:rPr>
        <w:t xml:space="preserve">שם </w:t>
      </w:r>
      <w:r w:rsidRPr="006573A8">
        <w:rPr>
          <w:rFonts w:cs="Arial"/>
          <w:rtl/>
        </w:rPr>
        <w:t>דלדידן אין חילוק בין כחוש לשמן וכל מליחה אנו משערין בס' וע"ש</w:t>
      </w:r>
      <w:r>
        <w:rPr>
          <w:rFonts w:cs="Arial" w:hint="cs"/>
          <w:rtl/>
        </w:rPr>
        <w:t>, ש"ך (סק"כ).</w:t>
      </w:r>
    </w:p>
  </w:footnote>
  <w:footnote w:id="1358">
    <w:p w14:paraId="62AF7533" w14:textId="77777777" w:rsidR="004C5A3C" w:rsidRDefault="004C5A3C" w:rsidP="002C39F4">
      <w:pPr>
        <w:pStyle w:val="a5"/>
      </w:pPr>
      <w:r>
        <w:rPr>
          <w:rStyle w:val="a7"/>
        </w:rPr>
        <w:footnoteRef/>
      </w:r>
      <w:r>
        <w:rPr>
          <w:rtl/>
        </w:rPr>
        <w:t xml:space="preserve"> </w:t>
      </w:r>
      <w:r w:rsidRPr="00661008">
        <w:rPr>
          <w:rFonts w:cs="Arial"/>
          <w:rtl/>
        </w:rPr>
        <w:t>כותח, ואית ביה נסיובי דחלבא</w:t>
      </w:r>
      <w:r>
        <w:rPr>
          <w:rFonts w:cs="Arial" w:hint="cs"/>
          <w:rtl/>
        </w:rPr>
        <w:t>, רש"י (פסחים עו.)</w:t>
      </w:r>
      <w:r w:rsidRPr="00661008">
        <w:rPr>
          <w:rFonts w:cs="Arial"/>
          <w:rtl/>
        </w:rPr>
        <w:t>.</w:t>
      </w:r>
    </w:p>
  </w:footnote>
  <w:footnote w:id="1359">
    <w:p w14:paraId="00302270" w14:textId="77777777" w:rsidR="004C5A3C" w:rsidRDefault="004C5A3C" w:rsidP="002C39F4">
      <w:pPr>
        <w:pStyle w:val="a5"/>
      </w:pPr>
      <w:r>
        <w:rPr>
          <w:rStyle w:val="a7"/>
        </w:rPr>
        <w:footnoteRef/>
      </w:r>
      <w:r>
        <w:rPr>
          <w:rtl/>
        </w:rPr>
        <w:t xml:space="preserve"> </w:t>
      </w:r>
      <w:r w:rsidRPr="00C977FA">
        <w:rPr>
          <w:rFonts w:cs="Arial"/>
          <w:rtl/>
        </w:rPr>
        <w:t>אף על פי שהכותח מליח הוא</w:t>
      </w:r>
      <w:r>
        <w:rPr>
          <w:rFonts w:cs="Arial" w:hint="cs"/>
          <w:rtl/>
        </w:rPr>
        <w:t>, רש"י</w:t>
      </w:r>
      <w:r w:rsidRPr="00C977FA">
        <w:rPr>
          <w:rFonts w:cs="Arial"/>
          <w:rtl/>
        </w:rPr>
        <w:t>.</w:t>
      </w:r>
    </w:p>
  </w:footnote>
  <w:footnote w:id="1360">
    <w:p w14:paraId="51A5CE4C" w14:textId="77777777" w:rsidR="004C5A3C" w:rsidRPr="00F810F4" w:rsidRDefault="004C5A3C" w:rsidP="002C39F4">
      <w:pPr>
        <w:pStyle w:val="a5"/>
      </w:pPr>
      <w:r w:rsidRPr="00F810F4">
        <w:rPr>
          <w:rStyle w:val="a7"/>
        </w:rPr>
        <w:footnoteRef/>
      </w:r>
      <w:r w:rsidRPr="00F810F4">
        <w:rPr>
          <w:rtl/>
        </w:rPr>
        <w:t xml:space="preserve"> </w:t>
      </w:r>
      <w:r>
        <w:rPr>
          <w:rFonts w:cs="Arial" w:hint="cs"/>
          <w:rtl/>
        </w:rPr>
        <w:t xml:space="preserve">רש"י </w:t>
      </w:r>
      <w:r w:rsidRPr="00D80107">
        <w:rPr>
          <w:rFonts w:cs="Arial" w:hint="cs"/>
          <w:sz w:val="16"/>
          <w:szCs w:val="16"/>
          <w:rtl/>
        </w:rPr>
        <w:t>(</w:t>
      </w:r>
      <w:r>
        <w:rPr>
          <w:rFonts w:cs="Arial" w:hint="cs"/>
          <w:sz w:val="14"/>
          <w:szCs w:val="14"/>
          <w:rtl/>
        </w:rPr>
        <w:t>[</w:t>
      </w:r>
      <w:r w:rsidRPr="00D80107">
        <w:rPr>
          <w:rFonts w:cs="Arial"/>
          <w:sz w:val="14"/>
          <w:szCs w:val="14"/>
          <w:rtl/>
        </w:rPr>
        <w:t>חולין קיב. ד"ה ואי אית, פסחים עו. ד"ה ולא אמרן</w:t>
      </w:r>
      <w:r w:rsidRPr="00D80107">
        <w:rPr>
          <w:rFonts w:cs="Arial" w:hint="cs"/>
          <w:sz w:val="14"/>
          <w:szCs w:val="14"/>
          <w:rtl/>
        </w:rPr>
        <w:t>]</w:t>
      </w:r>
      <w:r w:rsidRPr="00D80107">
        <w:rPr>
          <w:rFonts w:cs="Arial" w:hint="cs"/>
          <w:sz w:val="16"/>
          <w:szCs w:val="16"/>
          <w:rtl/>
        </w:rPr>
        <w:t xml:space="preserve"> להב' הרשב"א</w:t>
      </w:r>
      <w:r>
        <w:rPr>
          <w:rFonts w:cs="Arial" w:hint="cs"/>
          <w:sz w:val="16"/>
          <w:szCs w:val="16"/>
          <w:rtl/>
        </w:rPr>
        <w:t>)</w:t>
      </w:r>
      <w:r w:rsidRPr="00D80107">
        <w:rPr>
          <w:rFonts w:cs="Arial" w:hint="cs"/>
          <w:rtl/>
        </w:rPr>
        <w:t xml:space="preserve"> </w:t>
      </w:r>
      <w:r>
        <w:rPr>
          <w:rFonts w:cs="Arial" w:hint="cs"/>
          <w:rtl/>
        </w:rPr>
        <w:t>רשב"א</w:t>
      </w:r>
      <w:r w:rsidRPr="00632A5F">
        <w:rPr>
          <w:rFonts w:cs="Arial"/>
          <w:rtl/>
        </w:rPr>
        <w:t xml:space="preserve"> </w:t>
      </w:r>
      <w:r>
        <w:rPr>
          <w:rFonts w:cs="Arial"/>
          <w:sz w:val="16"/>
          <w:szCs w:val="16"/>
          <w:rtl/>
        </w:rPr>
        <w:t>(</w:t>
      </w:r>
      <w:r>
        <w:rPr>
          <w:rFonts w:cs="Arial" w:hint="cs"/>
          <w:sz w:val="16"/>
          <w:szCs w:val="16"/>
          <w:rtl/>
        </w:rPr>
        <w:t>שם</w:t>
      </w:r>
      <w:r w:rsidRPr="00632A5F">
        <w:rPr>
          <w:rFonts w:cs="Arial"/>
          <w:sz w:val="16"/>
          <w:szCs w:val="16"/>
          <w:rtl/>
        </w:rPr>
        <w:t>)</w:t>
      </w:r>
      <w:r>
        <w:rPr>
          <w:rFonts w:cs="Arial" w:hint="cs"/>
          <w:rtl/>
        </w:rPr>
        <w:t xml:space="preserve"> </w:t>
      </w:r>
      <w:r w:rsidRPr="00D36BC7">
        <w:rPr>
          <w:rFonts w:cs="Arial"/>
          <w:rtl/>
        </w:rPr>
        <w:t xml:space="preserve">ר"ן </w:t>
      </w:r>
      <w:r w:rsidRPr="00661008">
        <w:rPr>
          <w:rFonts w:cs="Arial"/>
          <w:sz w:val="16"/>
          <w:szCs w:val="16"/>
          <w:rtl/>
        </w:rPr>
        <w:t>(</w:t>
      </w:r>
      <w:r>
        <w:rPr>
          <w:rFonts w:cs="Arial" w:hint="cs"/>
          <w:sz w:val="16"/>
          <w:szCs w:val="16"/>
          <w:rtl/>
        </w:rPr>
        <w:t>שם</w:t>
      </w:r>
      <w:r w:rsidRPr="00661008">
        <w:rPr>
          <w:rFonts w:cs="Arial"/>
          <w:sz w:val="16"/>
          <w:szCs w:val="16"/>
          <w:rtl/>
        </w:rPr>
        <w:t>)</w:t>
      </w:r>
      <w:r w:rsidRPr="00F810F4">
        <w:rPr>
          <w:rFonts w:cs="Arial" w:hint="cs"/>
          <w:rtl/>
        </w:rPr>
        <w:t xml:space="preserve"> </w:t>
      </w:r>
      <w:r>
        <w:rPr>
          <w:rFonts w:cs="Arial" w:hint="cs"/>
          <w:rtl/>
        </w:rPr>
        <w:t xml:space="preserve">והגשע"ד </w:t>
      </w:r>
      <w:r w:rsidRPr="00F810F4">
        <w:rPr>
          <w:rFonts w:cs="Arial" w:hint="cs"/>
          <w:sz w:val="16"/>
          <w:szCs w:val="16"/>
          <w:rtl/>
        </w:rPr>
        <w:t>(</w:t>
      </w:r>
      <w:r w:rsidRPr="00F810F4">
        <w:rPr>
          <w:rFonts w:cs="Arial"/>
          <w:sz w:val="16"/>
          <w:szCs w:val="16"/>
          <w:rtl/>
        </w:rPr>
        <w:t>סי' כב סק</w:t>
      </w:r>
      <w:r w:rsidRPr="00F810F4">
        <w:rPr>
          <w:rFonts w:cs="Arial" w:hint="cs"/>
          <w:sz w:val="16"/>
          <w:szCs w:val="16"/>
          <w:rtl/>
        </w:rPr>
        <w:t>"</w:t>
      </w:r>
      <w:r w:rsidRPr="00F810F4">
        <w:rPr>
          <w:rFonts w:cs="Arial"/>
          <w:sz w:val="16"/>
          <w:szCs w:val="16"/>
          <w:rtl/>
        </w:rPr>
        <w:t>ג)</w:t>
      </w:r>
      <w:r>
        <w:rPr>
          <w:rFonts w:cs="Arial" w:hint="cs"/>
          <w:rtl/>
        </w:rPr>
        <w:t>.</w:t>
      </w:r>
    </w:p>
  </w:footnote>
  <w:footnote w:id="1361">
    <w:p w14:paraId="60E80882" w14:textId="77777777" w:rsidR="004C5A3C" w:rsidRDefault="004C5A3C" w:rsidP="002C39F4">
      <w:pPr>
        <w:pStyle w:val="a5"/>
      </w:pPr>
      <w:r>
        <w:rPr>
          <w:rStyle w:val="a7"/>
        </w:rPr>
        <w:footnoteRef/>
      </w:r>
      <w:r>
        <w:rPr>
          <w:rtl/>
        </w:rPr>
        <w:t xml:space="preserve"> </w:t>
      </w:r>
      <w:r>
        <w:rPr>
          <w:rFonts w:cs="Arial" w:hint="cs"/>
          <w:rtl/>
        </w:rPr>
        <w:t xml:space="preserve">וכ' הרשב"א וז"ל- </w:t>
      </w:r>
      <w:r w:rsidRPr="00632A5F">
        <w:rPr>
          <w:rFonts w:cs="Arial"/>
          <w:rtl/>
        </w:rPr>
        <w:t>ודברי רש"י נראה לי עיקר</w:t>
      </w:r>
      <w:r>
        <w:rPr>
          <w:rFonts w:cs="Arial" w:hint="cs"/>
          <w:rtl/>
        </w:rPr>
        <w:t>,</w:t>
      </w:r>
      <w:r w:rsidRPr="00632A5F">
        <w:rPr>
          <w:rFonts w:cs="Arial"/>
          <w:rtl/>
        </w:rPr>
        <w:t xml:space="preserve"> שאם אתה אומר כן</w:t>
      </w:r>
      <w:r>
        <w:rPr>
          <w:rFonts w:cs="Arial" w:hint="cs"/>
          <w:sz w:val="16"/>
          <w:szCs w:val="16"/>
          <w:rtl/>
        </w:rPr>
        <w:t xml:space="preserve"> {היינו כסה"ת}</w:t>
      </w:r>
      <w:r w:rsidRPr="00632A5F">
        <w:rPr>
          <w:rFonts w:cs="Arial"/>
          <w:rtl/>
        </w:rPr>
        <w:t xml:space="preserve"> נמצאת אתה אומר דאפילו צונן בצונן אי אית ביה פילי אסור</w:t>
      </w:r>
      <w:r>
        <w:rPr>
          <w:rFonts w:cs="Arial" w:hint="cs"/>
          <w:rtl/>
        </w:rPr>
        <w:t>,</w:t>
      </w:r>
      <w:r w:rsidRPr="00632A5F">
        <w:rPr>
          <w:rFonts w:cs="Arial"/>
          <w:rtl/>
        </w:rPr>
        <w:t xml:space="preserve"> ואי קשיא לך לדברי רש"י כיון דצלי רותח הוא אפילו כי לית ביה פילי היאך מספיק לו בקליפה והלא הכמכא רך וחזר הבר יונה שנפל לתוכו חם כמתבשל בתוכו</w:t>
      </w:r>
      <w:r>
        <w:rPr>
          <w:rFonts w:cs="Arial" w:hint="cs"/>
          <w:rtl/>
        </w:rPr>
        <w:t>,</w:t>
      </w:r>
      <w:r w:rsidRPr="00632A5F">
        <w:rPr>
          <w:rFonts w:cs="Arial"/>
          <w:rtl/>
        </w:rPr>
        <w:t xml:space="preserve"> י"ל כל שנפל הבר יונה לתוך הכמכא ה"ל כחם לתוך צ</w:t>
      </w:r>
      <w:r>
        <w:rPr>
          <w:rFonts w:cs="Arial"/>
          <w:rtl/>
        </w:rPr>
        <w:t>ונן וקיי</w:t>
      </w:r>
      <w:r>
        <w:rPr>
          <w:rFonts w:cs="Arial" w:hint="cs"/>
          <w:rtl/>
        </w:rPr>
        <w:t>"</w:t>
      </w:r>
      <w:r>
        <w:rPr>
          <w:rFonts w:cs="Arial"/>
          <w:rtl/>
        </w:rPr>
        <w:t>ל כשמואל דאמר תתאה גבר</w:t>
      </w:r>
      <w:r>
        <w:rPr>
          <w:rFonts w:cs="Arial" w:hint="cs"/>
          <w:rtl/>
        </w:rPr>
        <w:t>,</w:t>
      </w:r>
      <w:r>
        <w:rPr>
          <w:rFonts w:cs="Arial"/>
          <w:rtl/>
        </w:rPr>
        <w:t xml:space="preserve"> וא</w:t>
      </w:r>
      <w:r>
        <w:rPr>
          <w:rFonts w:cs="Arial" w:hint="cs"/>
          <w:rtl/>
        </w:rPr>
        <w:t>ע"פ</w:t>
      </w:r>
      <w:r w:rsidRPr="00632A5F">
        <w:rPr>
          <w:rFonts w:cs="Arial"/>
          <w:rtl/>
        </w:rPr>
        <w:t xml:space="preserve"> שהבר יונה שוקע לתוך הכמכא והכמכא צף על הבר יונה אינו כצונן לתוך חם וכל שהוא במקומו</w:t>
      </w:r>
      <w:r>
        <w:rPr>
          <w:rFonts w:cs="Arial" w:hint="cs"/>
          <w:rtl/>
        </w:rPr>
        <w:t>-</w:t>
      </w:r>
      <w:r w:rsidRPr="00632A5F">
        <w:rPr>
          <w:rFonts w:cs="Arial"/>
          <w:rtl/>
        </w:rPr>
        <w:t xml:space="preserve"> הוא הגובר</w:t>
      </w:r>
      <w:r>
        <w:rPr>
          <w:rFonts w:cs="Arial" w:hint="cs"/>
          <w:rtl/>
        </w:rPr>
        <w:t>,</w:t>
      </w:r>
      <w:r w:rsidRPr="00632A5F">
        <w:rPr>
          <w:rFonts w:cs="Arial"/>
          <w:rtl/>
        </w:rPr>
        <w:t xml:space="preserve"> והילכך כיון שנפל הבר יונה לתוך הכמכא שהוא במקומה הוא הגובר ומקרר הבר יונה דנפיל לגוויה</w:t>
      </w:r>
      <w:r>
        <w:rPr>
          <w:rFonts w:cs="Arial" w:hint="cs"/>
          <w:rtl/>
        </w:rPr>
        <w:t>,</w:t>
      </w:r>
      <w:r>
        <w:rPr>
          <w:rFonts w:cs="Arial"/>
          <w:rtl/>
        </w:rPr>
        <w:t xml:space="preserve"> הילכך בקליפה סגי ליה</w:t>
      </w:r>
      <w:r>
        <w:rPr>
          <w:rFonts w:cs="Arial" w:hint="cs"/>
          <w:rtl/>
        </w:rPr>
        <w:t>.</w:t>
      </w:r>
    </w:p>
  </w:footnote>
  <w:footnote w:id="1362">
    <w:p w14:paraId="409B55B8" w14:textId="77777777" w:rsidR="004C5A3C" w:rsidRDefault="004C5A3C" w:rsidP="002C39F4">
      <w:pPr>
        <w:pStyle w:val="a5"/>
      </w:pPr>
      <w:r>
        <w:rPr>
          <w:rStyle w:val="a7"/>
        </w:rPr>
        <w:footnoteRef/>
      </w:r>
      <w:r>
        <w:rPr>
          <w:rtl/>
        </w:rPr>
        <w:t xml:space="preserve"> </w:t>
      </w:r>
      <w:r w:rsidRPr="00E97BBF">
        <w:rPr>
          <w:rFonts w:cs="Arial"/>
          <w:rtl/>
        </w:rPr>
        <w:t>א</w:t>
      </w:r>
      <w:r>
        <w:rPr>
          <w:rFonts w:cs="Arial" w:hint="cs"/>
          <w:rtl/>
        </w:rPr>
        <w:t>ו</w:t>
      </w:r>
      <w:r>
        <w:rPr>
          <w:rFonts w:cs="Arial"/>
          <w:rtl/>
        </w:rPr>
        <w:t>"ז</w:t>
      </w:r>
      <w:r>
        <w:rPr>
          <w:rFonts w:cs="Arial" w:hint="cs"/>
          <w:rtl/>
        </w:rPr>
        <w:t xml:space="preserve"> </w:t>
      </w:r>
      <w:r w:rsidRPr="00E97BBF">
        <w:rPr>
          <w:rFonts w:cs="Arial" w:hint="cs"/>
          <w:sz w:val="16"/>
          <w:szCs w:val="16"/>
          <w:rtl/>
        </w:rPr>
        <w:t xml:space="preserve">(ח"א סי' תסט) </w:t>
      </w:r>
      <w:r>
        <w:rPr>
          <w:rFonts w:cs="Arial"/>
          <w:rtl/>
        </w:rPr>
        <w:t xml:space="preserve">סמ"ק </w:t>
      </w:r>
      <w:r w:rsidRPr="00E97BBF">
        <w:rPr>
          <w:rFonts w:cs="Arial" w:hint="cs"/>
          <w:sz w:val="16"/>
          <w:szCs w:val="16"/>
          <w:rtl/>
        </w:rPr>
        <w:t>(</w:t>
      </w:r>
      <w:r w:rsidRPr="00E97BBF">
        <w:rPr>
          <w:rFonts w:cs="Arial"/>
          <w:sz w:val="16"/>
          <w:szCs w:val="16"/>
          <w:rtl/>
        </w:rPr>
        <w:t>סי' רה</w:t>
      </w:r>
      <w:r w:rsidRPr="00E97BBF">
        <w:rPr>
          <w:rFonts w:cs="Arial" w:hint="cs"/>
          <w:sz w:val="16"/>
          <w:szCs w:val="16"/>
          <w:rtl/>
        </w:rPr>
        <w:t>)</w:t>
      </w:r>
      <w:r w:rsidRPr="00E97BBF">
        <w:rPr>
          <w:rFonts w:cs="Arial"/>
          <w:sz w:val="16"/>
          <w:szCs w:val="16"/>
          <w:rtl/>
        </w:rPr>
        <w:t xml:space="preserve"> </w:t>
      </w:r>
      <w:r>
        <w:rPr>
          <w:rFonts w:cs="Arial" w:hint="cs"/>
          <w:rtl/>
        </w:rPr>
        <w:t>ו</w:t>
      </w:r>
      <w:r>
        <w:rPr>
          <w:rFonts w:cs="Arial"/>
          <w:rtl/>
        </w:rPr>
        <w:t>ר"</w:t>
      </w:r>
      <w:r>
        <w:rPr>
          <w:rFonts w:cs="Arial" w:hint="cs"/>
          <w:rtl/>
        </w:rPr>
        <w:t xml:space="preserve">פ </w:t>
      </w:r>
      <w:r w:rsidRPr="00E97BBF">
        <w:rPr>
          <w:rFonts w:cs="Arial" w:hint="cs"/>
          <w:sz w:val="16"/>
          <w:szCs w:val="16"/>
          <w:rtl/>
        </w:rPr>
        <w:t>(כ"כ בשמו ההגמ"ר</w:t>
      </w:r>
      <w:r>
        <w:rPr>
          <w:rFonts w:cs="Arial" w:hint="cs"/>
          <w:sz w:val="16"/>
          <w:szCs w:val="16"/>
          <w:rtl/>
        </w:rPr>
        <w:t xml:space="preserve"> [חולין סי' תשנח]</w:t>
      </w:r>
      <w:r w:rsidRPr="00E97BBF">
        <w:rPr>
          <w:rFonts w:cs="Arial" w:hint="cs"/>
          <w:sz w:val="16"/>
          <w:szCs w:val="16"/>
          <w:rtl/>
        </w:rPr>
        <w:t>)</w:t>
      </w:r>
      <w:r>
        <w:rPr>
          <w:rFonts w:hint="cs"/>
          <w:rtl/>
        </w:rPr>
        <w:t>.</w:t>
      </w:r>
    </w:p>
  </w:footnote>
  <w:footnote w:id="1363">
    <w:p w14:paraId="22343C4D" w14:textId="77777777" w:rsidR="004C5A3C" w:rsidRDefault="004C5A3C" w:rsidP="002C39F4">
      <w:pPr>
        <w:pStyle w:val="a5"/>
        <w:rPr>
          <w:rtl/>
        </w:rPr>
      </w:pPr>
      <w:r>
        <w:rPr>
          <w:rStyle w:val="a7"/>
        </w:rPr>
        <w:footnoteRef/>
      </w:r>
      <w:r>
        <w:rPr>
          <w:rtl/>
        </w:rPr>
        <w:t xml:space="preserve"> </w:t>
      </w:r>
      <w:r>
        <w:rPr>
          <w:rFonts w:hint="cs"/>
          <w:rtl/>
        </w:rPr>
        <w:t>וז"ל הרא"ש-</w:t>
      </w:r>
      <w:r w:rsidRPr="001B3724">
        <w:rPr>
          <w:rtl/>
        </w:rPr>
        <w:t xml:space="preserve"> </w:t>
      </w:r>
      <w:r>
        <w:rPr>
          <w:rFonts w:cs="Arial"/>
          <w:rtl/>
        </w:rPr>
        <w:t>לכאורה משמע דאצלי קאי</w:t>
      </w:r>
      <w:r>
        <w:rPr>
          <w:rFonts w:cs="Arial" w:hint="cs"/>
          <w:rtl/>
        </w:rPr>
        <w:t>,</w:t>
      </w:r>
      <w:r w:rsidRPr="001B3724">
        <w:rPr>
          <w:rFonts w:cs="Arial"/>
          <w:rtl/>
        </w:rPr>
        <w:t xml:space="preserve"> ובספר התרומה כתב דאפילו חי.</w:t>
      </w:r>
      <w:r w:rsidRPr="001B3724">
        <w:rPr>
          <w:rFonts w:hint="cs"/>
          <w:sz w:val="16"/>
          <w:szCs w:val="16"/>
          <w:rtl/>
        </w:rPr>
        <w:t xml:space="preserve"> (ומסתימת הטור משמע שהבין שדעת הרא"ש למסקנה כסה"ת</w:t>
      </w:r>
      <w:r>
        <w:rPr>
          <w:rFonts w:hint="cs"/>
          <w:sz w:val="16"/>
          <w:szCs w:val="16"/>
          <w:rtl/>
        </w:rPr>
        <w:t>, וכ"כ הטור בקיצור פסקי הרא"ש [פ"ח סי' לב]</w:t>
      </w:r>
      <w:r w:rsidRPr="001B3724">
        <w:rPr>
          <w:rFonts w:hint="cs"/>
          <w:sz w:val="16"/>
          <w:szCs w:val="16"/>
          <w:rtl/>
        </w:rPr>
        <w:t>)</w:t>
      </w:r>
    </w:p>
  </w:footnote>
  <w:footnote w:id="1364">
    <w:p w14:paraId="48FA2240" w14:textId="77777777" w:rsidR="004C5A3C" w:rsidRDefault="004C5A3C" w:rsidP="002C39F4">
      <w:pPr>
        <w:pStyle w:val="a5"/>
        <w:rPr>
          <w:rtl/>
        </w:rPr>
      </w:pPr>
      <w:r>
        <w:rPr>
          <w:rStyle w:val="a7"/>
        </w:rPr>
        <w:footnoteRef/>
      </w:r>
      <w:r>
        <w:rPr>
          <w:rtl/>
        </w:rPr>
        <w:t xml:space="preserve"> </w:t>
      </w:r>
      <w:r w:rsidRPr="00632A5F">
        <w:rPr>
          <w:rFonts w:cs="Arial"/>
          <w:rtl/>
        </w:rPr>
        <w:t xml:space="preserve">רש"י </w:t>
      </w:r>
      <w:r w:rsidRPr="0018637E">
        <w:rPr>
          <w:rFonts w:cs="Arial"/>
          <w:sz w:val="16"/>
          <w:szCs w:val="16"/>
          <w:rtl/>
        </w:rPr>
        <w:t>(</w:t>
      </w:r>
      <w:r>
        <w:rPr>
          <w:rFonts w:cs="Arial" w:hint="cs"/>
          <w:sz w:val="16"/>
          <w:szCs w:val="16"/>
          <w:rtl/>
        </w:rPr>
        <w:t>להב' הרשב"א</w:t>
      </w:r>
      <w:r w:rsidRPr="0018637E">
        <w:rPr>
          <w:rFonts w:cs="Arial"/>
          <w:sz w:val="16"/>
          <w:szCs w:val="16"/>
          <w:rtl/>
        </w:rPr>
        <w:t>)</w:t>
      </w:r>
      <w:r>
        <w:rPr>
          <w:rFonts w:cs="Arial" w:hint="cs"/>
          <w:rtl/>
        </w:rPr>
        <w:t xml:space="preserve"> רשב"א</w:t>
      </w:r>
      <w:r w:rsidRPr="00632A5F">
        <w:rPr>
          <w:rFonts w:cs="Arial"/>
          <w:rtl/>
        </w:rPr>
        <w:t xml:space="preserve"> </w:t>
      </w:r>
      <w:r>
        <w:rPr>
          <w:rFonts w:cs="Arial"/>
          <w:sz w:val="16"/>
          <w:szCs w:val="16"/>
          <w:rtl/>
        </w:rPr>
        <w:t>(</w:t>
      </w:r>
      <w:r>
        <w:rPr>
          <w:rFonts w:cs="Arial" w:hint="cs"/>
          <w:sz w:val="16"/>
          <w:szCs w:val="16"/>
          <w:rtl/>
        </w:rPr>
        <w:t>שם</w:t>
      </w:r>
      <w:r w:rsidRPr="00632A5F">
        <w:rPr>
          <w:rFonts w:cs="Arial"/>
          <w:sz w:val="16"/>
          <w:szCs w:val="16"/>
          <w:rtl/>
        </w:rPr>
        <w:t>)</w:t>
      </w:r>
      <w:r>
        <w:rPr>
          <w:rFonts w:cs="Arial" w:hint="cs"/>
          <w:rtl/>
        </w:rPr>
        <w:t xml:space="preserve"> ו</w:t>
      </w:r>
      <w:r w:rsidRPr="00632A5F">
        <w:rPr>
          <w:rFonts w:cs="Arial"/>
          <w:rtl/>
        </w:rPr>
        <w:t xml:space="preserve">ר"ן </w:t>
      </w:r>
      <w:r w:rsidRPr="00632A5F">
        <w:rPr>
          <w:rFonts w:cs="Arial"/>
          <w:sz w:val="16"/>
          <w:szCs w:val="16"/>
          <w:rtl/>
        </w:rPr>
        <w:t>(</w:t>
      </w:r>
      <w:r w:rsidRPr="00632A5F">
        <w:rPr>
          <w:rFonts w:cs="Arial" w:hint="cs"/>
          <w:sz w:val="16"/>
          <w:szCs w:val="16"/>
          <w:rtl/>
        </w:rPr>
        <w:t>ש</w:t>
      </w:r>
      <w:r>
        <w:rPr>
          <w:rFonts w:cs="Arial" w:hint="cs"/>
          <w:sz w:val="16"/>
          <w:szCs w:val="16"/>
          <w:rtl/>
        </w:rPr>
        <w:t>ם)</w:t>
      </w:r>
      <w:r>
        <w:rPr>
          <w:rFonts w:hint="cs"/>
          <w:rtl/>
        </w:rPr>
        <w:t>.</w:t>
      </w:r>
    </w:p>
  </w:footnote>
  <w:footnote w:id="1365">
    <w:p w14:paraId="3F00C7A5" w14:textId="77777777" w:rsidR="004C5A3C" w:rsidRDefault="004C5A3C" w:rsidP="002C39F4">
      <w:pPr>
        <w:pStyle w:val="a5"/>
      </w:pPr>
      <w:r>
        <w:rPr>
          <w:rStyle w:val="a7"/>
        </w:rPr>
        <w:footnoteRef/>
      </w:r>
      <w:r>
        <w:rPr>
          <w:rtl/>
        </w:rPr>
        <w:t xml:space="preserve"> </w:t>
      </w:r>
      <w:r w:rsidRPr="00E97BBF">
        <w:rPr>
          <w:rFonts w:cs="Arial"/>
          <w:rtl/>
        </w:rPr>
        <w:t>א</w:t>
      </w:r>
      <w:r>
        <w:rPr>
          <w:rFonts w:cs="Arial" w:hint="cs"/>
          <w:rtl/>
        </w:rPr>
        <w:t>ו</w:t>
      </w:r>
      <w:r>
        <w:rPr>
          <w:rFonts w:cs="Arial"/>
          <w:rtl/>
        </w:rPr>
        <w:t>"ז</w:t>
      </w:r>
      <w:r>
        <w:rPr>
          <w:rFonts w:cs="Arial" w:hint="cs"/>
          <w:rtl/>
        </w:rPr>
        <w:t xml:space="preserve"> </w:t>
      </w:r>
      <w:r w:rsidRPr="00E97BBF">
        <w:rPr>
          <w:rFonts w:cs="Arial" w:hint="cs"/>
          <w:sz w:val="16"/>
          <w:szCs w:val="16"/>
          <w:rtl/>
        </w:rPr>
        <w:t xml:space="preserve">(ח"א סי' תסט) </w:t>
      </w:r>
      <w:r>
        <w:rPr>
          <w:rFonts w:cs="Arial"/>
          <w:rtl/>
        </w:rPr>
        <w:t xml:space="preserve">סמ"ק </w:t>
      </w:r>
      <w:r w:rsidRPr="00E97BBF">
        <w:rPr>
          <w:rFonts w:cs="Arial" w:hint="cs"/>
          <w:sz w:val="16"/>
          <w:szCs w:val="16"/>
          <w:rtl/>
        </w:rPr>
        <w:t>(</w:t>
      </w:r>
      <w:r w:rsidRPr="00E97BBF">
        <w:rPr>
          <w:rFonts w:cs="Arial"/>
          <w:sz w:val="16"/>
          <w:szCs w:val="16"/>
          <w:rtl/>
        </w:rPr>
        <w:t>סי' רה</w:t>
      </w:r>
      <w:r w:rsidRPr="00E97BBF">
        <w:rPr>
          <w:rFonts w:cs="Arial" w:hint="cs"/>
          <w:sz w:val="16"/>
          <w:szCs w:val="16"/>
          <w:rtl/>
        </w:rPr>
        <w:t>)</w:t>
      </w:r>
      <w:r w:rsidRPr="00E97BBF">
        <w:rPr>
          <w:rFonts w:cs="Arial"/>
          <w:sz w:val="16"/>
          <w:szCs w:val="16"/>
          <w:rtl/>
        </w:rPr>
        <w:t xml:space="preserve"> </w:t>
      </w:r>
      <w:r>
        <w:rPr>
          <w:rFonts w:cs="Arial" w:hint="cs"/>
          <w:rtl/>
        </w:rPr>
        <w:t>ו</w:t>
      </w:r>
      <w:r>
        <w:rPr>
          <w:rFonts w:cs="Arial"/>
          <w:rtl/>
        </w:rPr>
        <w:t>ר"</w:t>
      </w:r>
      <w:r>
        <w:rPr>
          <w:rFonts w:cs="Arial" w:hint="cs"/>
          <w:rtl/>
        </w:rPr>
        <w:t xml:space="preserve">פ </w:t>
      </w:r>
      <w:r w:rsidRPr="00E97BBF">
        <w:rPr>
          <w:rFonts w:cs="Arial" w:hint="cs"/>
          <w:sz w:val="16"/>
          <w:szCs w:val="16"/>
          <w:rtl/>
        </w:rPr>
        <w:t>(כ"כ בשמו ההגמ"ר</w:t>
      </w:r>
      <w:r>
        <w:rPr>
          <w:rFonts w:cs="Arial" w:hint="cs"/>
          <w:sz w:val="16"/>
          <w:szCs w:val="16"/>
          <w:rtl/>
        </w:rPr>
        <w:t xml:space="preserve"> [חולין סי' תשנח]</w:t>
      </w:r>
      <w:r w:rsidRPr="00E97BBF">
        <w:rPr>
          <w:rFonts w:cs="Arial" w:hint="cs"/>
          <w:sz w:val="16"/>
          <w:szCs w:val="16"/>
          <w:rtl/>
        </w:rPr>
        <w:t>)</w:t>
      </w:r>
      <w:r>
        <w:rPr>
          <w:rFonts w:hint="cs"/>
          <w:rtl/>
        </w:rPr>
        <w:t>.</w:t>
      </w:r>
    </w:p>
  </w:footnote>
  <w:footnote w:id="1366">
    <w:p w14:paraId="1BF7C8FB" w14:textId="77777777" w:rsidR="004C5A3C" w:rsidRDefault="004C5A3C" w:rsidP="002C39F4">
      <w:pPr>
        <w:pStyle w:val="a5"/>
        <w:rPr>
          <w:rtl/>
        </w:rPr>
      </w:pPr>
      <w:r>
        <w:rPr>
          <w:rStyle w:val="a7"/>
        </w:rPr>
        <w:footnoteRef/>
      </w:r>
      <w:r>
        <w:rPr>
          <w:rtl/>
        </w:rPr>
        <w:t xml:space="preserve"> </w:t>
      </w:r>
      <w:r w:rsidRPr="00661008">
        <w:rPr>
          <w:rFonts w:cs="Arial"/>
          <w:rtl/>
        </w:rPr>
        <w:t xml:space="preserve">רא"ש </w:t>
      </w:r>
      <w:r w:rsidRPr="00661008">
        <w:rPr>
          <w:rFonts w:cs="Arial"/>
          <w:sz w:val="16"/>
          <w:szCs w:val="16"/>
          <w:rtl/>
        </w:rPr>
        <w:t>(פכ"ה סו"ס לג)</w:t>
      </w:r>
      <w:r w:rsidRPr="001B702C">
        <w:rPr>
          <w:rFonts w:cs="Arial"/>
          <w:rtl/>
        </w:rPr>
        <w:t xml:space="preserve"> </w:t>
      </w:r>
      <w:r>
        <w:rPr>
          <w:rFonts w:cs="Arial"/>
          <w:rtl/>
        </w:rPr>
        <w:t>הגה</w:t>
      </w:r>
      <w:r>
        <w:rPr>
          <w:rFonts w:cs="Arial" w:hint="cs"/>
          <w:rtl/>
        </w:rPr>
        <w:t>"</w:t>
      </w:r>
      <w:r>
        <w:rPr>
          <w:rFonts w:cs="Arial"/>
          <w:rtl/>
        </w:rPr>
        <w:t xml:space="preserve">מ </w:t>
      </w:r>
      <w:r w:rsidRPr="001B702C">
        <w:rPr>
          <w:rFonts w:cs="Arial"/>
          <w:sz w:val="16"/>
          <w:szCs w:val="16"/>
          <w:rtl/>
        </w:rPr>
        <w:t>(פט"ו אות ס</w:t>
      </w:r>
      <w:r w:rsidRPr="001B702C">
        <w:rPr>
          <w:rFonts w:cs="Arial" w:hint="cs"/>
          <w:sz w:val="16"/>
          <w:szCs w:val="16"/>
          <w:rtl/>
        </w:rPr>
        <w:t>, הביאו הדרכ"מ אות ז</w:t>
      </w:r>
      <w:r w:rsidRPr="001B702C">
        <w:rPr>
          <w:rFonts w:cs="Arial"/>
          <w:sz w:val="16"/>
          <w:szCs w:val="16"/>
          <w:rtl/>
        </w:rPr>
        <w:t>)</w:t>
      </w:r>
      <w:r>
        <w:rPr>
          <w:rFonts w:cs="Arial" w:hint="cs"/>
          <w:rtl/>
        </w:rPr>
        <w:t xml:space="preserve"> ושע"ד</w:t>
      </w:r>
      <w:r>
        <w:rPr>
          <w:rFonts w:cs="Arial" w:hint="cs"/>
          <w:sz w:val="16"/>
          <w:szCs w:val="16"/>
          <w:rtl/>
        </w:rPr>
        <w:t xml:space="preserve"> (סי' כב)</w:t>
      </w:r>
      <w:r>
        <w:rPr>
          <w:rFonts w:hint="cs"/>
          <w:rtl/>
        </w:rPr>
        <w:t>.</w:t>
      </w:r>
    </w:p>
  </w:footnote>
  <w:footnote w:id="1367">
    <w:p w14:paraId="0BE5F5F7" w14:textId="77777777" w:rsidR="004C5A3C" w:rsidRDefault="004C5A3C" w:rsidP="002C39F4">
      <w:pPr>
        <w:pStyle w:val="a5"/>
        <w:rPr>
          <w:rtl/>
        </w:rPr>
      </w:pPr>
      <w:r>
        <w:rPr>
          <w:rStyle w:val="a7"/>
        </w:rPr>
        <w:footnoteRef/>
      </w:r>
      <w:r>
        <w:rPr>
          <w:rtl/>
        </w:rPr>
        <w:t xml:space="preserve"> </w:t>
      </w:r>
      <w:r w:rsidRPr="00632A5F">
        <w:rPr>
          <w:rFonts w:cs="Arial"/>
          <w:rtl/>
        </w:rPr>
        <w:t>ראב</w:t>
      </w:r>
      <w:r>
        <w:rPr>
          <w:rFonts w:cs="Arial"/>
          <w:rtl/>
        </w:rPr>
        <w:t>"ד</w:t>
      </w:r>
      <w:r w:rsidRPr="00632A5F">
        <w:rPr>
          <w:rFonts w:cs="Arial"/>
          <w:sz w:val="16"/>
          <w:szCs w:val="16"/>
          <w:rtl/>
        </w:rPr>
        <w:t xml:space="preserve"> (תשובות ופסקים סי' עה</w:t>
      </w:r>
      <w:r>
        <w:rPr>
          <w:rFonts w:cs="Arial" w:hint="cs"/>
          <w:sz w:val="16"/>
          <w:szCs w:val="16"/>
          <w:rtl/>
        </w:rPr>
        <w:t>, כ"כ בשמו הרשב"א</w:t>
      </w:r>
      <w:r w:rsidRPr="00632A5F">
        <w:rPr>
          <w:rFonts w:cs="Arial"/>
          <w:sz w:val="16"/>
          <w:szCs w:val="16"/>
          <w:rtl/>
        </w:rPr>
        <w:t>)</w:t>
      </w:r>
      <w:r>
        <w:rPr>
          <w:rFonts w:cs="Arial" w:hint="cs"/>
          <w:rtl/>
        </w:rPr>
        <w:t xml:space="preserve"> רשב"א</w:t>
      </w:r>
      <w:r w:rsidRPr="00632A5F">
        <w:rPr>
          <w:rFonts w:cs="Arial"/>
          <w:rtl/>
        </w:rPr>
        <w:t xml:space="preserve"> </w:t>
      </w:r>
      <w:r>
        <w:rPr>
          <w:rFonts w:cs="Arial"/>
          <w:sz w:val="16"/>
          <w:szCs w:val="16"/>
          <w:rtl/>
        </w:rPr>
        <w:t>(</w:t>
      </w:r>
      <w:r>
        <w:rPr>
          <w:rFonts w:cs="Arial" w:hint="cs"/>
          <w:sz w:val="16"/>
          <w:szCs w:val="16"/>
          <w:rtl/>
        </w:rPr>
        <w:t>תוה"א</w:t>
      </w:r>
      <w:r w:rsidRPr="00632A5F">
        <w:rPr>
          <w:rFonts w:cs="Arial"/>
          <w:sz w:val="16"/>
          <w:szCs w:val="16"/>
          <w:rtl/>
        </w:rPr>
        <w:t xml:space="preserve"> ב"ד ש"א ג:)</w:t>
      </w:r>
      <w:r>
        <w:rPr>
          <w:rFonts w:cs="Arial" w:hint="cs"/>
          <w:rtl/>
        </w:rPr>
        <w:t xml:space="preserve"> ו</w:t>
      </w:r>
      <w:r w:rsidRPr="001B3724">
        <w:rPr>
          <w:rFonts w:cs="Arial"/>
          <w:rtl/>
        </w:rPr>
        <w:t xml:space="preserve">ר"ן </w:t>
      </w:r>
      <w:r w:rsidRPr="001B3724">
        <w:rPr>
          <w:rFonts w:cs="Arial"/>
          <w:sz w:val="16"/>
          <w:szCs w:val="16"/>
          <w:rtl/>
        </w:rPr>
        <w:t>(מא: ד"ה וחי וצלי)</w:t>
      </w:r>
      <w:r>
        <w:rPr>
          <w:rFonts w:hint="cs"/>
          <w:rtl/>
        </w:rPr>
        <w:t>.</w:t>
      </w:r>
    </w:p>
  </w:footnote>
  <w:footnote w:id="1368">
    <w:p w14:paraId="1019C1BA" w14:textId="77777777" w:rsidR="004C5A3C" w:rsidRPr="00F810F4" w:rsidRDefault="004C5A3C" w:rsidP="002C39F4">
      <w:pPr>
        <w:pStyle w:val="a5"/>
      </w:pPr>
      <w:r w:rsidRPr="00F810F4">
        <w:rPr>
          <w:rStyle w:val="a7"/>
        </w:rPr>
        <w:footnoteRef/>
      </w:r>
      <w:r w:rsidRPr="00F810F4">
        <w:rPr>
          <w:rtl/>
        </w:rPr>
        <w:t xml:space="preserve"> </w:t>
      </w:r>
      <w:r>
        <w:rPr>
          <w:rFonts w:cs="Arial" w:hint="cs"/>
          <w:rtl/>
        </w:rPr>
        <w:t xml:space="preserve">דמה שכ' בגמ' </w:t>
      </w:r>
      <w:r w:rsidRPr="00F810F4">
        <w:rPr>
          <w:rFonts w:cs="Arial"/>
          <w:rtl/>
        </w:rPr>
        <w:t>חי היינו צונן</w:t>
      </w:r>
      <w:r w:rsidRPr="00F810F4">
        <w:rPr>
          <w:rFonts w:cs="Arial" w:hint="cs"/>
          <w:rtl/>
        </w:rPr>
        <w:t>,</w:t>
      </w:r>
      <w:r w:rsidRPr="00F810F4">
        <w:rPr>
          <w:rFonts w:cs="Arial"/>
          <w:rtl/>
        </w:rPr>
        <w:t xml:space="preserve"> וצלי היינו רותח</w:t>
      </w:r>
      <w:r w:rsidRPr="00F810F4">
        <w:rPr>
          <w:rFonts w:cs="Arial" w:hint="cs"/>
          <w:rtl/>
        </w:rPr>
        <w:t>, ר"ן.</w:t>
      </w:r>
    </w:p>
  </w:footnote>
  <w:footnote w:id="1369">
    <w:p w14:paraId="4729AA80" w14:textId="77777777" w:rsidR="004C5A3C" w:rsidRDefault="004C5A3C" w:rsidP="002C39F4">
      <w:pPr>
        <w:pStyle w:val="a5"/>
        <w:rPr>
          <w:rtl/>
        </w:rPr>
      </w:pPr>
      <w:r>
        <w:rPr>
          <w:rStyle w:val="a7"/>
        </w:rPr>
        <w:footnoteRef/>
      </w:r>
      <w:r>
        <w:rPr>
          <w:rtl/>
        </w:rPr>
        <w:t xml:space="preserve"> </w:t>
      </w:r>
      <w:r w:rsidRPr="008D1E94">
        <w:rPr>
          <w:rFonts w:cs="Arial"/>
          <w:rtl/>
        </w:rPr>
        <w:t>אינו מכוון דעדיפא מינה ה"ל לאשמועינן אפילו לא נמלח כלל כיון דהוא רותח כדין כל חם לתוך צונן דבעי קליפה וצ"ל משום דכיון דנאכל מחמת מלחו ולא נמלח כלל דין אחד להם לא ירד לדקדק בכך</w:t>
      </w:r>
      <w:r>
        <w:rPr>
          <w:rFonts w:hint="cs"/>
          <w:rtl/>
        </w:rPr>
        <w:t>, ש"ך (סקכ"ב).</w:t>
      </w:r>
    </w:p>
  </w:footnote>
  <w:footnote w:id="1370">
    <w:p w14:paraId="247ED79A" w14:textId="77777777" w:rsidR="004C5A3C" w:rsidRDefault="004C5A3C" w:rsidP="002C39F4">
      <w:pPr>
        <w:pStyle w:val="a5"/>
        <w:rPr>
          <w:rtl/>
        </w:rPr>
      </w:pPr>
      <w:r>
        <w:rPr>
          <w:rStyle w:val="a7"/>
        </w:rPr>
        <w:footnoteRef/>
      </w:r>
      <w:r>
        <w:rPr>
          <w:rtl/>
        </w:rPr>
        <w:t xml:space="preserve"> </w:t>
      </w:r>
      <w:r w:rsidRPr="00C6784B">
        <w:rPr>
          <w:rFonts w:cs="Arial"/>
          <w:rtl/>
        </w:rPr>
        <w:t>כלומר דאפוי ומבושל חשוב כצלי למר ברותח ולמר בצונן</w:t>
      </w:r>
      <w:r>
        <w:rPr>
          <w:rFonts w:hint="cs"/>
          <w:rtl/>
        </w:rPr>
        <w:t>, ש"ך (סקכ"ד).</w:t>
      </w:r>
    </w:p>
  </w:footnote>
  <w:footnote w:id="1371">
    <w:p w14:paraId="31220663" w14:textId="77777777" w:rsidR="004C5A3C" w:rsidRDefault="004C5A3C" w:rsidP="002C39F4">
      <w:pPr>
        <w:pStyle w:val="a5"/>
      </w:pPr>
      <w:r>
        <w:rPr>
          <w:rStyle w:val="a7"/>
        </w:rPr>
        <w:footnoteRef/>
      </w:r>
      <w:r>
        <w:rPr>
          <w:rtl/>
        </w:rPr>
        <w:t xml:space="preserve"> </w:t>
      </w:r>
      <w:r w:rsidRPr="0024375B">
        <w:rPr>
          <w:rFonts w:cs="Arial"/>
          <w:rtl/>
        </w:rPr>
        <w:t>משום דכיון דנצלה או נאפה או נתבשל אף על גב דצונן הוא רכיך ובולע</w:t>
      </w:r>
      <w:r>
        <w:rPr>
          <w:rFonts w:cs="Arial" w:hint="cs"/>
          <w:rtl/>
        </w:rPr>
        <w:t>,</w:t>
      </w:r>
      <w:r w:rsidRPr="0024375B">
        <w:rPr>
          <w:rFonts w:cs="Arial"/>
          <w:rtl/>
        </w:rPr>
        <w:t xml:space="preserve"> ומשמע מדברי הפוסקים דאין חילוק בין נמלח קצת שנאכל מחמת מלחו ובין לא נמלח כלל לעולם בצלי צונן נמי דינא הכי</w:t>
      </w:r>
      <w:r>
        <w:rPr>
          <w:rFonts w:cs="Arial" w:hint="cs"/>
          <w:rtl/>
        </w:rPr>
        <w:t>,</w:t>
      </w:r>
      <w:r w:rsidRPr="0024375B">
        <w:rPr>
          <w:rFonts w:cs="Arial"/>
          <w:rtl/>
        </w:rPr>
        <w:t xml:space="preserve"> וכן</w:t>
      </w:r>
      <w:r>
        <w:rPr>
          <w:rFonts w:cs="Arial"/>
          <w:rtl/>
        </w:rPr>
        <w:t xml:space="preserve"> מסיק מהרש"ל בספרו שם, כתוב בהג</w:t>
      </w:r>
      <w:r w:rsidRPr="0024375B">
        <w:rPr>
          <w:rFonts w:cs="Arial"/>
          <w:rtl/>
        </w:rPr>
        <w:t>מ</w:t>
      </w:r>
      <w:r>
        <w:rPr>
          <w:rFonts w:cs="Arial" w:hint="cs"/>
          <w:rtl/>
        </w:rPr>
        <w:t>"ר</w:t>
      </w:r>
      <w:r w:rsidRPr="0024375B">
        <w:rPr>
          <w:rFonts w:cs="Arial"/>
          <w:rtl/>
        </w:rPr>
        <w:t xml:space="preserve"> שם דמ"מ החלב מותר ולא אמרינן דמפליט הצלי או האפוי והמבושל</w:t>
      </w:r>
      <w:r>
        <w:rPr>
          <w:rFonts w:cs="Arial" w:hint="cs"/>
          <w:rtl/>
        </w:rPr>
        <w:t>,</w:t>
      </w:r>
      <w:r w:rsidRPr="0024375B">
        <w:rPr>
          <w:rFonts w:cs="Arial"/>
          <w:rtl/>
        </w:rPr>
        <w:t xml:space="preserve"> ומביאו באו"ה ובת"ח שם</w:t>
      </w:r>
      <w:r>
        <w:rPr>
          <w:rFonts w:cs="Arial"/>
          <w:rtl/>
        </w:rPr>
        <w:t xml:space="preserve"> </w:t>
      </w:r>
      <w:r w:rsidRPr="0024375B">
        <w:rPr>
          <w:rFonts w:cs="Arial" w:hint="cs"/>
          <w:sz w:val="16"/>
          <w:szCs w:val="16"/>
          <w:rtl/>
        </w:rPr>
        <w:t>(</w:t>
      </w:r>
      <w:r w:rsidRPr="0024375B">
        <w:rPr>
          <w:rFonts w:cs="Arial"/>
          <w:sz w:val="16"/>
          <w:szCs w:val="16"/>
          <w:rtl/>
        </w:rPr>
        <w:t>ודין אם החלב מלוח עי</w:t>
      </w:r>
      <w:r w:rsidRPr="0024375B">
        <w:rPr>
          <w:rFonts w:cs="Arial" w:hint="cs"/>
          <w:sz w:val="16"/>
          <w:szCs w:val="16"/>
          <w:rtl/>
        </w:rPr>
        <w:t>'</w:t>
      </w:r>
      <w:r w:rsidRPr="0024375B">
        <w:rPr>
          <w:rFonts w:cs="Arial"/>
          <w:sz w:val="16"/>
          <w:szCs w:val="16"/>
          <w:rtl/>
        </w:rPr>
        <w:t xml:space="preserve"> בס</w:t>
      </w:r>
      <w:r w:rsidRPr="0024375B">
        <w:rPr>
          <w:rFonts w:cs="Arial" w:hint="cs"/>
          <w:sz w:val="16"/>
          <w:szCs w:val="16"/>
          <w:rtl/>
        </w:rPr>
        <w:t>ק</w:t>
      </w:r>
      <w:r w:rsidRPr="0024375B">
        <w:rPr>
          <w:rFonts w:cs="Arial"/>
          <w:sz w:val="16"/>
          <w:szCs w:val="16"/>
          <w:rtl/>
        </w:rPr>
        <w:t>ט"ז</w:t>
      </w:r>
      <w:r>
        <w:rPr>
          <w:rFonts w:cs="Arial" w:hint="cs"/>
          <w:sz w:val="16"/>
          <w:szCs w:val="16"/>
          <w:rtl/>
        </w:rPr>
        <w:t>)</w:t>
      </w:r>
      <w:r>
        <w:rPr>
          <w:rFonts w:cs="Arial" w:hint="cs"/>
          <w:rtl/>
        </w:rPr>
        <w:t>, ש"ך</w:t>
      </w:r>
      <w:r w:rsidRPr="0024375B">
        <w:rPr>
          <w:rFonts w:cs="Arial" w:hint="cs"/>
          <w:sz w:val="16"/>
          <w:szCs w:val="16"/>
          <w:rtl/>
        </w:rPr>
        <w:t xml:space="preserve"> (סקכ"ה)</w:t>
      </w:r>
      <w:r>
        <w:rPr>
          <w:rFonts w:cs="Arial" w:hint="cs"/>
          <w:rtl/>
        </w:rPr>
        <w:t>.</w:t>
      </w:r>
    </w:p>
  </w:footnote>
  <w:footnote w:id="1372">
    <w:p w14:paraId="015BDCD5" w14:textId="77777777" w:rsidR="004C5A3C" w:rsidRDefault="004C5A3C" w:rsidP="002C39F4">
      <w:pPr>
        <w:pStyle w:val="a5"/>
      </w:pPr>
      <w:r>
        <w:rPr>
          <w:rStyle w:val="a7"/>
        </w:rPr>
        <w:footnoteRef/>
      </w:r>
      <w:r>
        <w:rPr>
          <w:rtl/>
        </w:rPr>
        <w:t xml:space="preserve"> </w:t>
      </w:r>
      <w:r>
        <w:rPr>
          <w:rFonts w:hint="cs"/>
          <w:rtl/>
        </w:rPr>
        <w:t>וכ' הש"ך (סקכ"א) דצ"ע אם יש להקל כן כיון דהרבה פוסקים אוסרים אפילו בחי (והם סה"ת שערים רא"ש טור מהרי"ל) מלבד אלו שאסרו בצלי צונן (או"ז ר"פ סמ"ק כלבו או</w:t>
      </w:r>
      <w:r>
        <w:rPr>
          <w:rtl/>
        </w:rPr>
        <w:t>"</w:t>
      </w:r>
      <w:r>
        <w:rPr>
          <w:rFonts w:hint="cs"/>
          <w:rtl/>
        </w:rPr>
        <w:t>ה מהרש"ל מהר"ם מרוטנבורג וכו').</w:t>
      </w:r>
    </w:p>
  </w:footnote>
  <w:footnote w:id="1373">
    <w:p w14:paraId="3C339B31" w14:textId="77777777" w:rsidR="004C5A3C" w:rsidRPr="00C233C9" w:rsidRDefault="004C5A3C" w:rsidP="002C39F4">
      <w:pPr>
        <w:pStyle w:val="a5"/>
        <w:rPr>
          <w:rFonts w:asciiTheme="minorBidi" w:hAnsiTheme="minorBidi"/>
        </w:rPr>
      </w:pPr>
      <w:r w:rsidRPr="00C233C9">
        <w:rPr>
          <w:rStyle w:val="a7"/>
          <w:rFonts w:asciiTheme="minorBidi" w:hAnsiTheme="minorBidi"/>
        </w:rPr>
        <w:footnoteRef/>
      </w:r>
      <w:r w:rsidRPr="00C233C9">
        <w:rPr>
          <w:rFonts w:asciiTheme="minorBidi" w:hAnsiTheme="minorBidi"/>
          <w:rtl/>
        </w:rPr>
        <w:t xml:space="preserve"> </w:t>
      </w:r>
      <w:r>
        <w:rPr>
          <w:rFonts w:asciiTheme="minorBidi" w:hAnsiTheme="minorBidi"/>
          <w:rtl/>
        </w:rPr>
        <w:t>הג"א</w:t>
      </w:r>
      <w:r w:rsidRPr="00C233C9">
        <w:rPr>
          <w:rFonts w:asciiTheme="minorBidi" w:hAnsiTheme="minorBidi"/>
          <w:rtl/>
        </w:rPr>
        <w:t xml:space="preserve"> </w:t>
      </w:r>
      <w:r w:rsidRPr="00C233C9">
        <w:rPr>
          <w:rFonts w:asciiTheme="minorBidi" w:hAnsiTheme="minorBidi"/>
          <w:sz w:val="16"/>
          <w:szCs w:val="16"/>
          <w:rtl/>
        </w:rPr>
        <w:t xml:space="preserve">(פ' בתרא דע"ז סי' ל) </w:t>
      </w:r>
      <w:r>
        <w:rPr>
          <w:rFonts w:asciiTheme="minorBidi" w:hAnsiTheme="minorBidi" w:hint="cs"/>
          <w:rtl/>
        </w:rPr>
        <w:t xml:space="preserve">בשם או"ז </w:t>
      </w:r>
      <w:r w:rsidRPr="00C233C9">
        <w:rPr>
          <w:rFonts w:asciiTheme="minorBidi" w:hAnsiTheme="minorBidi"/>
          <w:rtl/>
        </w:rPr>
        <w:t>מרדכי</w:t>
      </w:r>
      <w:r w:rsidRPr="00C233C9">
        <w:rPr>
          <w:rFonts w:asciiTheme="minorBidi" w:hAnsiTheme="minorBidi"/>
          <w:sz w:val="16"/>
          <w:szCs w:val="16"/>
          <w:rtl/>
        </w:rPr>
        <w:t xml:space="preserve"> (ע"ז סי' תתכח)</w:t>
      </w:r>
      <w:r w:rsidRPr="00F540EE">
        <w:rPr>
          <w:rFonts w:cs="Arial" w:hint="cs"/>
          <w:rtl/>
        </w:rPr>
        <w:t xml:space="preserve"> </w:t>
      </w:r>
      <w:r>
        <w:rPr>
          <w:rFonts w:cs="Arial" w:hint="cs"/>
          <w:rtl/>
        </w:rPr>
        <w:t>ו</w:t>
      </w:r>
      <w:r w:rsidRPr="003B72FA">
        <w:rPr>
          <w:rFonts w:cs="Arial"/>
          <w:rtl/>
        </w:rPr>
        <w:t xml:space="preserve">אגור </w:t>
      </w:r>
      <w:r w:rsidRPr="003B72FA">
        <w:rPr>
          <w:rFonts w:cs="Arial"/>
          <w:sz w:val="16"/>
          <w:szCs w:val="16"/>
          <w:rtl/>
        </w:rPr>
        <w:t>(סי' אלף רנד)</w:t>
      </w:r>
      <w:r w:rsidRPr="00C233C9">
        <w:rPr>
          <w:rFonts w:asciiTheme="minorBidi" w:hAnsiTheme="minorBidi"/>
          <w:sz w:val="16"/>
          <w:szCs w:val="16"/>
          <w:rtl/>
        </w:rPr>
        <w:t>.</w:t>
      </w:r>
    </w:p>
  </w:footnote>
  <w:footnote w:id="1374">
    <w:p w14:paraId="22D5690A" w14:textId="77777777" w:rsidR="004C5A3C" w:rsidRDefault="004C5A3C" w:rsidP="002C39F4">
      <w:pPr>
        <w:pStyle w:val="a5"/>
        <w:rPr>
          <w:rtl/>
        </w:rPr>
      </w:pPr>
      <w:r>
        <w:rPr>
          <w:rStyle w:val="a7"/>
        </w:rPr>
        <w:footnoteRef/>
      </w:r>
      <w:r>
        <w:rPr>
          <w:rtl/>
        </w:rPr>
        <w:t xml:space="preserve"> </w:t>
      </w:r>
      <w:r w:rsidRPr="00D36BC7">
        <w:rPr>
          <w:rFonts w:cs="Arial"/>
          <w:rtl/>
        </w:rPr>
        <w:t>ועיין לעיל סימן פ"ז (קלט: ד"ה כתוב בהגהות)</w:t>
      </w:r>
      <w:r>
        <w:rPr>
          <w:rFonts w:hint="cs"/>
          <w:rtl/>
        </w:rPr>
        <w:t>, ב"י (בבדה"ב). דשם נתבאר איסורי הנאה.</w:t>
      </w:r>
    </w:p>
  </w:footnote>
  <w:footnote w:id="1375">
    <w:p w14:paraId="702B7973" w14:textId="77777777" w:rsidR="004C5A3C" w:rsidRDefault="004C5A3C" w:rsidP="002C39F4">
      <w:pPr>
        <w:pStyle w:val="a5"/>
        <w:rPr>
          <w:rtl/>
        </w:rPr>
      </w:pPr>
      <w:r>
        <w:rPr>
          <w:rStyle w:val="a7"/>
        </w:rPr>
        <w:footnoteRef/>
      </w:r>
      <w:r>
        <w:rPr>
          <w:rtl/>
        </w:rPr>
        <w:t xml:space="preserve"> </w:t>
      </w:r>
      <w:r w:rsidRPr="003B72FA">
        <w:rPr>
          <w:rFonts w:cs="Arial"/>
          <w:rtl/>
        </w:rPr>
        <w:t>דאמרינן בפרק אלו עוברין (פסחים מד:) דאי תרו ליה כולי יומא שרי משמע הא יותר מיומא חד אסור מטעם כבוש ודלא כאותם האומרים דלא אמרינן כבוש אלא בחומץ דהא עכברא בשיכרא פרק בתרא דע"ז (סח:) דהיינו צונן בצונן דאסור מטעם כבוש ותנן במסכת שביעית סוף פ"ז ורד שכבשו בשמן חדש חייב בביעור</w:t>
      </w:r>
    </w:p>
  </w:footnote>
  <w:footnote w:id="1376">
    <w:p w14:paraId="4EDF224B"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הרי חלב מעט שנבלע בבשר נעשה נבלה שהרי נאסר וכשחזר ונפלט בשאר החלב הוה ליה מין במינו חלב אסור בחלב היתר ורב אית ליה מין במינו לא בטיל, רש"י.</w:t>
      </w:r>
    </w:p>
  </w:footnote>
  <w:footnote w:id="1377">
    <w:p w14:paraId="6133784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זה שנבלע ונסחט, רש"י.</w:t>
      </w:r>
    </w:p>
  </w:footnote>
  <w:footnote w:id="1378">
    <w:p w14:paraId="0E9A1E41"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דאמר רב לעיל בשר אסור חלב מותר כגון שנפל אותו זית לתוך יורה רותחת דמה שבולע אינו פולט שכל זמן שאינו נח מרתיחותיו אינו פולט, רש"י.</w:t>
      </w:r>
    </w:p>
  </w:footnote>
  <w:footnote w:id="1379">
    <w:p w14:paraId="49874AA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w:t>
      </w:r>
      <w:r w:rsidRPr="00085E47">
        <w:rPr>
          <w:rFonts w:asciiTheme="minorBidi" w:hAnsiTheme="minorBidi"/>
          <w:u w:val="single"/>
          <w:rtl/>
        </w:rPr>
        <w:t>ונחלקו הפוסקים בפירוש המילים- "כשקדם וסילקו":</w:t>
      </w:r>
      <w:r w:rsidRPr="00085E47">
        <w:rPr>
          <w:rFonts w:asciiTheme="minorBidi" w:hAnsiTheme="minorBidi"/>
          <w:sz w:val="16"/>
          <w:szCs w:val="16"/>
          <w:rtl/>
        </w:rPr>
        <w:t xml:space="preserve">  (הה"מ [פ"ט ה"ח])</w:t>
      </w:r>
    </w:p>
    <w:p w14:paraId="6647B47E" w14:textId="77777777" w:rsidR="004C5A3C" w:rsidRPr="00085E47" w:rsidRDefault="004C5A3C" w:rsidP="002C39F4">
      <w:pPr>
        <w:pStyle w:val="a5"/>
        <w:numPr>
          <w:ilvl w:val="0"/>
          <w:numId w:val="99"/>
        </w:numPr>
        <w:rPr>
          <w:rFonts w:asciiTheme="minorBidi" w:hAnsiTheme="minorBidi"/>
        </w:rPr>
      </w:pPr>
      <w:r w:rsidRPr="00085E47">
        <w:rPr>
          <w:rFonts w:asciiTheme="minorBidi" w:hAnsiTheme="minorBidi"/>
          <w:rtl/>
        </w:rPr>
        <w:t xml:space="preserve">רש"י </w:t>
      </w:r>
      <w:r w:rsidRPr="00085E47">
        <w:rPr>
          <w:rFonts w:asciiTheme="minorBidi" w:hAnsiTheme="minorBidi"/>
          <w:sz w:val="16"/>
          <w:szCs w:val="16"/>
          <w:rtl/>
        </w:rPr>
        <w:t>(קח: ד"ה והכא וד"ה כשקדם)</w:t>
      </w:r>
      <w:r>
        <w:rPr>
          <w:rFonts w:asciiTheme="minorBidi" w:hAnsiTheme="minorBidi" w:hint="cs"/>
          <w:rtl/>
        </w:rPr>
        <w:t xml:space="preserve"> ו</w:t>
      </w:r>
      <w:r w:rsidRPr="00085E47">
        <w:rPr>
          <w:rFonts w:asciiTheme="minorBidi" w:hAnsiTheme="minorBidi"/>
          <w:rtl/>
        </w:rPr>
        <w:t xml:space="preserve">טור- </w:t>
      </w:r>
      <w:r>
        <w:rPr>
          <w:rFonts w:asciiTheme="minorBidi" w:hAnsiTheme="minorBidi" w:hint="cs"/>
          <w:rtl/>
        </w:rPr>
        <w:t>כש</w:t>
      </w:r>
      <w:r w:rsidRPr="00085E47">
        <w:rPr>
          <w:rFonts w:asciiTheme="minorBidi" w:hAnsiTheme="minorBidi"/>
          <w:rtl/>
        </w:rPr>
        <w:t xml:space="preserve">קדם וסילקו </w:t>
      </w:r>
      <w:r>
        <w:rPr>
          <w:rFonts w:asciiTheme="minorBidi" w:hAnsiTheme="minorBidi" w:hint="cs"/>
          <w:rtl/>
        </w:rPr>
        <w:t xml:space="preserve">לאותו זית </w:t>
      </w:r>
      <w:r w:rsidRPr="00085E47">
        <w:rPr>
          <w:rFonts w:asciiTheme="minorBidi" w:hAnsiTheme="minorBidi"/>
          <w:rtl/>
        </w:rPr>
        <w:t>קודם שתנוח היורה מרתיח</w:t>
      </w:r>
      <w:r>
        <w:rPr>
          <w:rFonts w:asciiTheme="minorBidi" w:hAnsiTheme="minorBidi" w:hint="cs"/>
          <w:rtl/>
        </w:rPr>
        <w:t>ת</w:t>
      </w:r>
      <w:r w:rsidRPr="00085E47">
        <w:rPr>
          <w:rFonts w:asciiTheme="minorBidi" w:hAnsiTheme="minorBidi"/>
          <w:rtl/>
        </w:rPr>
        <w:t>ה</w:t>
      </w:r>
      <w:r>
        <w:rPr>
          <w:rFonts w:asciiTheme="minorBidi" w:hAnsiTheme="minorBidi" w:hint="cs"/>
          <w:rtl/>
        </w:rPr>
        <w:t xml:space="preserve">, </w:t>
      </w:r>
      <w:r w:rsidRPr="0076157A">
        <w:rPr>
          <w:rFonts w:asciiTheme="minorBidi" w:hAnsiTheme="minorBidi"/>
          <w:rtl/>
        </w:rPr>
        <w:t>שכל זמן שאינו נח מרתיחותיו אינו פולט</w:t>
      </w:r>
      <w:r w:rsidRPr="00085E47">
        <w:rPr>
          <w:rFonts w:asciiTheme="minorBidi" w:hAnsiTheme="minorBidi"/>
          <w:rtl/>
        </w:rPr>
        <w:t xml:space="preserve"> </w:t>
      </w:r>
      <w:r w:rsidRPr="00085E47">
        <w:rPr>
          <w:rFonts w:asciiTheme="minorBidi" w:hAnsiTheme="minorBidi"/>
          <w:sz w:val="16"/>
          <w:szCs w:val="16"/>
          <w:rtl/>
        </w:rPr>
        <w:t>(אע"פ שפולט של עצמו קודם לכן, הה"מ)</w:t>
      </w:r>
      <w:r w:rsidRPr="00085E47">
        <w:rPr>
          <w:rFonts w:asciiTheme="minorBidi" w:hAnsiTheme="minorBidi"/>
          <w:rtl/>
        </w:rPr>
        <w:t xml:space="preserve">. </w:t>
      </w:r>
      <w:r w:rsidRPr="00085E47">
        <w:rPr>
          <w:rFonts w:asciiTheme="minorBidi" w:hAnsiTheme="minorBidi"/>
          <w:color w:val="E36C0A" w:themeColor="accent6" w:themeShade="BF"/>
          <w:rtl/>
        </w:rPr>
        <w:t xml:space="preserve">(וכ"פ בשו"ע) </w:t>
      </w:r>
    </w:p>
    <w:p w14:paraId="67E43F15" w14:textId="77777777" w:rsidR="004C5A3C" w:rsidRPr="00085E47" w:rsidRDefault="004C5A3C" w:rsidP="002C39F4">
      <w:pPr>
        <w:pStyle w:val="a5"/>
        <w:numPr>
          <w:ilvl w:val="0"/>
          <w:numId w:val="99"/>
        </w:numPr>
        <w:rPr>
          <w:rFonts w:asciiTheme="minorBidi" w:hAnsiTheme="minorBidi"/>
        </w:rPr>
      </w:pPr>
      <w:r w:rsidRPr="00085E47">
        <w:rPr>
          <w:rFonts w:asciiTheme="minorBidi" w:hAnsiTheme="minorBidi"/>
          <w:rtl/>
        </w:rPr>
        <w:t>רבינו שמואל ורבינו ישעיה</w:t>
      </w:r>
      <w:r w:rsidRPr="00085E47">
        <w:rPr>
          <w:rFonts w:asciiTheme="minorBidi" w:hAnsiTheme="minorBidi"/>
          <w:sz w:val="16"/>
          <w:szCs w:val="16"/>
          <w:rtl/>
        </w:rPr>
        <w:t xml:space="preserve"> (בתוס' שם)</w:t>
      </w:r>
      <w:r w:rsidRPr="00085E47">
        <w:rPr>
          <w:rFonts w:asciiTheme="minorBidi" w:hAnsiTheme="minorBidi"/>
          <w:rtl/>
        </w:rPr>
        <w:t xml:space="preserve">- היינו כשקדם וסילק קודם שנח מבליעתו, דכי נייח מבליעתו הדר פליט. </w:t>
      </w:r>
      <w:r w:rsidRPr="00085E47">
        <w:rPr>
          <w:rFonts w:asciiTheme="minorBidi" w:hAnsiTheme="minorBidi"/>
          <w:sz w:val="16"/>
          <w:szCs w:val="16"/>
          <w:rtl/>
        </w:rPr>
        <w:t>(ותמהו התוס' על דבריהם, דמי בקי לידע שיעור זה, וכ' הה"מ- דאפשר שכן הוא דעת רבינו הרמב"ם ואין זה תלוי אלא באומד הדעת)</w:t>
      </w:r>
    </w:p>
  </w:footnote>
  <w:footnote w:id="1380">
    <w:p w14:paraId="3A54E564"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מ"ש רבינו שאם אין בחלב ששים אע"פ שקדם וסילקו גם החלב אסור אינו מכוון בעיני</w:t>
      </w:r>
      <w:r>
        <w:rPr>
          <w:rFonts w:asciiTheme="minorBidi" w:hAnsiTheme="minorBidi" w:hint="cs"/>
          <w:rtl/>
        </w:rPr>
        <w:t>,</w:t>
      </w:r>
      <w:r w:rsidRPr="00085E47">
        <w:rPr>
          <w:rFonts w:asciiTheme="minorBidi" w:hAnsiTheme="minorBidi"/>
          <w:rtl/>
        </w:rPr>
        <w:t xml:space="preserve"> דכיון שקדם וסילקו הרי אנו אומרים שלא נפלט ממנו לתוך החלב כלום וא"כ אע"פ שאין בחלב ששים כנגדו מותר, וכן נראה מדברי הרמב"ם.... וכ"כ הרשב"א... וטעם רבינו נראה שהוא מפני שסובר כמש"כ סמ"ג </w:t>
      </w:r>
      <w:r w:rsidRPr="00085E47">
        <w:rPr>
          <w:rFonts w:asciiTheme="minorBidi" w:hAnsiTheme="minorBidi"/>
          <w:sz w:val="16"/>
          <w:szCs w:val="16"/>
          <w:rtl/>
        </w:rPr>
        <w:t xml:space="preserve">(לאוין קמ וקמא נא ע"ד) </w:t>
      </w:r>
      <w:r w:rsidRPr="00085E47">
        <w:rPr>
          <w:rFonts w:asciiTheme="minorBidi" w:hAnsiTheme="minorBidi"/>
          <w:rtl/>
        </w:rPr>
        <w:t>דהא דאמרינן כגון שנפל לתוך יורה של חלב רותחת דמיבלע בלע מיפלט לא פליט פירושו שמה שבולע השתא אינו פולט שכל זמן שאינו נח מרתיחותיו אינו פולט אבל מה שבלע קודם לכן הוא פולט שהרי דבר הנראה לעינים כשנותנין ירק בקדרה רותחת משתנית מראית המים ומוריק ובשר שמן נימוח בתוכה ונראית שמנונית על הרוטב עכ"ל, וכ"כ הר"ן</w:t>
      </w:r>
      <w:r w:rsidRPr="00085E47">
        <w:rPr>
          <w:rFonts w:asciiTheme="minorBidi" w:hAnsiTheme="minorBidi"/>
          <w:sz w:val="16"/>
          <w:szCs w:val="16"/>
          <w:rtl/>
        </w:rPr>
        <w:t xml:space="preserve"> (מד.) </w:t>
      </w:r>
      <w:r w:rsidRPr="00085E47">
        <w:rPr>
          <w:rFonts w:asciiTheme="minorBidi" w:hAnsiTheme="minorBidi"/>
          <w:rtl/>
        </w:rPr>
        <w:t>בשם ר"ת</w:t>
      </w:r>
      <w:r>
        <w:rPr>
          <w:rFonts w:asciiTheme="minorBidi" w:hAnsiTheme="minorBidi" w:hint="cs"/>
          <w:rtl/>
        </w:rPr>
        <w:t>,</w:t>
      </w:r>
      <w:r w:rsidRPr="00085E47">
        <w:rPr>
          <w:rFonts w:asciiTheme="minorBidi" w:hAnsiTheme="minorBidi"/>
          <w:rtl/>
        </w:rPr>
        <w:t xml:space="preserve"> דלפי זה לא מהני קדם וסילקו אלא לשלא יחזור ויפלוט החלב שבלע וליהוי מין במינו אבל לעולם פולט הוא טעם בשר אע"פ שקדם וסילקו, ולפיכך כל שקדם וסילקו אם אין בחלב </w:t>
      </w:r>
      <w:r>
        <w:rPr>
          <w:rFonts w:asciiTheme="minorBidi" w:hAnsiTheme="minorBidi" w:hint="cs"/>
          <w:rtl/>
        </w:rPr>
        <w:t>ס'</w:t>
      </w:r>
      <w:r w:rsidRPr="00085E47">
        <w:rPr>
          <w:rFonts w:asciiTheme="minorBidi" w:hAnsiTheme="minorBidi"/>
          <w:rtl/>
        </w:rPr>
        <w:t xml:space="preserve"> כנגדו אסור</w:t>
      </w:r>
      <w:r>
        <w:rPr>
          <w:rFonts w:asciiTheme="minorBidi" w:hAnsiTheme="minorBidi" w:hint="cs"/>
          <w:rtl/>
        </w:rPr>
        <w:t>,</w:t>
      </w:r>
      <w:r w:rsidRPr="00085E47">
        <w:rPr>
          <w:rFonts w:asciiTheme="minorBidi" w:hAnsiTheme="minorBidi"/>
          <w:rtl/>
        </w:rPr>
        <w:t xml:space="preserve"> דבכוליה משערינן</w:t>
      </w:r>
      <w:r>
        <w:rPr>
          <w:rFonts w:asciiTheme="minorBidi" w:hAnsiTheme="minorBidi" w:hint="cs"/>
          <w:rtl/>
        </w:rPr>
        <w:t>,</w:t>
      </w:r>
      <w:r w:rsidRPr="00085E47">
        <w:rPr>
          <w:rFonts w:asciiTheme="minorBidi" w:hAnsiTheme="minorBidi"/>
          <w:rtl/>
        </w:rPr>
        <w:t xml:space="preserve"> דאי במאי דנפק מיניה מנא ידעינן. והרמב"ם והרשב"א נראה שגם הם סוברים כסמ"ג ומפני כך הצריכו טעימה</w:t>
      </w:r>
      <w:r>
        <w:rPr>
          <w:rFonts w:asciiTheme="minorBidi" w:hAnsiTheme="minorBidi" w:hint="cs"/>
          <w:rtl/>
        </w:rPr>
        <w:t>,</w:t>
      </w:r>
      <w:r w:rsidRPr="00085E47">
        <w:rPr>
          <w:rFonts w:asciiTheme="minorBidi" w:hAnsiTheme="minorBidi"/>
          <w:rtl/>
        </w:rPr>
        <w:t xml:space="preserve"> ואם אין בו טעם בשר אע"פ שאין בחלב ששים כנגדו מותר כדין שאר איסורין שיתבאר בסי' צח</w:t>
      </w:r>
      <w:r w:rsidRPr="00085E47">
        <w:rPr>
          <w:rFonts w:asciiTheme="minorBidi" w:hAnsiTheme="minorBidi"/>
          <w:sz w:val="16"/>
          <w:szCs w:val="16"/>
          <w:rtl/>
        </w:rPr>
        <w:t xml:space="preserve"> (קנד:)</w:t>
      </w:r>
      <w:r w:rsidRPr="00085E47">
        <w:rPr>
          <w:rFonts w:asciiTheme="minorBidi" w:hAnsiTheme="minorBidi"/>
          <w:rtl/>
        </w:rPr>
        <w:t xml:space="preserve"> להסכמת הרא"ש</w:t>
      </w:r>
      <w:r w:rsidRPr="00085E47">
        <w:rPr>
          <w:rFonts w:asciiTheme="minorBidi" w:hAnsiTheme="minorBidi"/>
          <w:sz w:val="16"/>
          <w:szCs w:val="16"/>
          <w:rtl/>
        </w:rPr>
        <w:t xml:space="preserve"> (פג"ה סי' כט)</w:t>
      </w:r>
      <w:r w:rsidRPr="00085E47">
        <w:rPr>
          <w:rFonts w:asciiTheme="minorBidi" w:hAnsiTheme="minorBidi"/>
          <w:rtl/>
        </w:rPr>
        <w:t>, ב"י.</w:t>
      </w:r>
    </w:p>
  </w:footnote>
  <w:footnote w:id="1381">
    <w:p w14:paraId="65F10238"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וז"ל בשר שנפל לתוך החלב או חלב שנפל לתוך הבשר ונתבשל עמו שיעורו בנותן טעם כיצד חתיכה של בשר שנפלה לקדרה רותחת של חלב טועם הגוי את הקדרה אם אמר שיש בה טעם בשר אסורה ואם לאו מותרת ואותה חתיכה אסורה במה דברים אמורים בשקדם והוציא את החתיכה קודם שתפלוט חלב שבלעה אבל אם לא סילק משערין אותה בששים מפני שהחלב שנבלע בה ונאסר יצא ונתערב עם שאר החלב עכ"ל</w:t>
      </w:r>
    </w:p>
  </w:footnote>
  <w:footnote w:id="1382">
    <w:p w14:paraId="69EF16D4"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קודם שתפלוט חלב שבלעה, רמב"ם. וכ"כ הרשב"א.</w:t>
      </w:r>
    </w:p>
  </w:footnote>
  <w:footnote w:id="1383">
    <w:p w14:paraId="144B9FDB"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דכיון שלא נימוח שם ממשו של בשר ואין כאן אלא פליטתו ולא ידענו כמה הוא סומכין על הקפילא להקל אפילו בפחות מששים אבל אם לא הספיק לסלקו עד שיוכל לפלוט החלב שבלע אע"פ שטעמו קפילא ואין בו טעם בשר כלל אפ"ה אסור, רשב"א. וכן דקדק הב"י מדברי הרמב"ם (שם).</w:t>
      </w:r>
    </w:p>
  </w:footnote>
  <w:footnote w:id="1384">
    <w:p w14:paraId="34404A0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ואין דבריו נכונים מדאמרינן בגמ' </w:t>
      </w:r>
      <w:r w:rsidRPr="00085E47">
        <w:rPr>
          <w:rFonts w:asciiTheme="minorBidi" w:hAnsiTheme="minorBidi"/>
          <w:sz w:val="16"/>
          <w:szCs w:val="16"/>
          <w:rtl/>
        </w:rPr>
        <w:t xml:space="preserve">(חולין צז:) </w:t>
      </w:r>
      <w:r w:rsidRPr="00085E47">
        <w:rPr>
          <w:rFonts w:asciiTheme="minorBidi" w:hAnsiTheme="minorBidi"/>
          <w:rtl/>
        </w:rPr>
        <w:t>בכוליה משערינן דאי במאי דנפק מיניה מי ידעינן כמה נפק מיניה, ב"י</w:t>
      </w:r>
      <w:r w:rsidRPr="00085E47">
        <w:rPr>
          <w:rFonts w:asciiTheme="minorBidi" w:hAnsiTheme="minorBidi"/>
          <w:sz w:val="16"/>
          <w:szCs w:val="16"/>
          <w:rtl/>
        </w:rPr>
        <w:t xml:space="preserve"> (בבדה"ב)</w:t>
      </w:r>
      <w:r w:rsidRPr="00085E47">
        <w:rPr>
          <w:rFonts w:asciiTheme="minorBidi" w:hAnsiTheme="minorBidi"/>
          <w:rtl/>
        </w:rPr>
        <w:t>.</w:t>
      </w:r>
    </w:p>
  </w:footnote>
  <w:footnote w:id="1385">
    <w:p w14:paraId="2165EF74"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יתבאר בסימן צח (קנד</w:t>
      </w:r>
      <w:r>
        <w:rPr>
          <w:rFonts w:asciiTheme="minorBidi" w:hAnsiTheme="minorBidi" w:hint="cs"/>
          <w:rtl/>
        </w:rPr>
        <w:t>:</w:t>
      </w:r>
      <w:r w:rsidRPr="00085E47">
        <w:rPr>
          <w:rFonts w:asciiTheme="minorBidi" w:hAnsiTheme="minorBidi"/>
          <w:rtl/>
        </w:rPr>
        <w:t>) שהפוסקים הסכימו לדעת ר"ת ז"ל דמין במינו בטל בששים, ב"י.</w:t>
      </w:r>
    </w:p>
  </w:footnote>
  <w:footnote w:id="1386">
    <w:p w14:paraId="5E9FEBFD"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עיין לקמן ר"ס צ"ח דבעינן שיהא דוקא קפילא או מסיח לפי תומו וע"ש במ"ש שם (סק"ב), ש"ך (סק"א).</w:t>
      </w:r>
    </w:p>
  </w:footnote>
  <w:footnote w:id="1387">
    <w:p w14:paraId="382D2140"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דאז ליכא אלא משום טעם הבשר עצמו וכיון דטעמו עובד כוכבים ואמר דלית ביה טעם שרי..., ש"ך (סק"ב). </w:t>
      </w:r>
    </w:p>
  </w:footnote>
  <w:footnote w:id="1388">
    <w:p w14:paraId="36617402"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דאז אפשר שהחלב עצמה שנבלע בבשר ונעשית נבילה יצא ונתערב בשאר החלב וא"א למטעמיה דחלב בחלב הוא הלכך צריך בחלב ס' נגד כל החתיכה דלא ידעינן כמה נבלע ונפיק מיניה, ש"ך (סק"ב).</w:t>
      </w:r>
    </w:p>
  </w:footnote>
  <w:footnote w:id="1389">
    <w:p w14:paraId="53AC4FCF"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בתוך הקדרה על אחת מן החתיכות ולא הגיס הקדרה ולא נחלק טעם הטיפה אלא לאותה חתיכה בלבד, רש"י.</w:t>
      </w:r>
    </w:p>
  </w:footnote>
  <w:footnote w:id="1390">
    <w:p w14:paraId="147EA54C"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כלומר שאין באותה חתיכה לבדה ששים לבטל הטיפה מיד נאסרה החתיכה ובשאר חתיכות דקדרה לא איירי תנא דמתניתין ובגמרא פליגי בה אם חוזרת אותה החתיכה ואוסרתן או לאו, רש"י. </w:t>
      </w:r>
    </w:p>
  </w:footnote>
  <w:footnote w:id="1391">
    <w:p w14:paraId="59981A11"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הגיס בה מיד קודם שקבלה החתיכה טעם מן הטיפה דהשתא נתערבה הטיפה בכולן, רש"י.</w:t>
      </w:r>
    </w:p>
  </w:footnote>
  <w:footnote w:id="1392">
    <w:p w14:paraId="3B2CE6A0"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כלומר אין כח בטיפה לאסור את כולן אא"כ יש בנותן טעם ליתן בכל הקדרה, רש"י.</w:t>
      </w:r>
    </w:p>
  </w:footnote>
  <w:footnote w:id="1393">
    <w:p w14:paraId="449869E8"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הגיס בה במגיס המנער את הקדרה מתפשט הטעם בכולה וכן המכסה אותה מפני שמי השוליים עולין עד פה ויורדין, רש"י.</w:t>
      </w:r>
    </w:p>
  </w:footnote>
  <w:footnote w:id="1394">
    <w:p w14:paraId="2623C4B2"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הב"י דאין דברי הטור אלא לדברי הסוברים דטעימת קפילא אינו מתיר אלא בדאיכא ששים, אבל דעת רוב הפוסקים שסוברים דטעימת קפילא מתיר אע"ג דליכא ששים כמו שיתבאר בסימן צ"ח (קנד:) וכ"כ הרמב"ם (פ"ט ה"ט).</w:t>
      </w:r>
    </w:p>
  </w:footnote>
  <w:footnote w:id="1395">
    <w:p w14:paraId="453DAB38"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ר"י </w:t>
      </w:r>
      <w:r w:rsidRPr="00085E47">
        <w:rPr>
          <w:rFonts w:asciiTheme="minorBidi" w:hAnsiTheme="minorBidi"/>
          <w:sz w:val="16"/>
          <w:szCs w:val="16"/>
          <w:rtl/>
        </w:rPr>
        <w:t>(בתוס' [צו: ד"ה אם יש, ק. ד"ה חתיכה, קח. ד"ה טיפת])</w:t>
      </w:r>
      <w:r w:rsidRPr="00085E47">
        <w:rPr>
          <w:rFonts w:asciiTheme="minorBidi" w:hAnsiTheme="minorBidi"/>
          <w:rtl/>
        </w:rPr>
        <w:t xml:space="preserve"> סמ"ג </w:t>
      </w:r>
      <w:r w:rsidRPr="00085E47">
        <w:rPr>
          <w:rFonts w:asciiTheme="minorBidi" w:hAnsiTheme="minorBidi"/>
          <w:sz w:val="16"/>
          <w:szCs w:val="16"/>
          <w:rtl/>
        </w:rPr>
        <w:t>(לאוין קמ וקמא נא:)</w:t>
      </w:r>
      <w:r w:rsidRPr="00085E47">
        <w:rPr>
          <w:rFonts w:asciiTheme="minorBidi" w:hAnsiTheme="minorBidi"/>
          <w:rtl/>
        </w:rPr>
        <w:t xml:space="preserve"> ו</w:t>
      </w:r>
      <w:r>
        <w:rPr>
          <w:rFonts w:asciiTheme="minorBidi" w:hAnsiTheme="minorBidi"/>
          <w:rtl/>
        </w:rPr>
        <w:t>או"ה</w:t>
      </w:r>
      <w:r w:rsidRPr="00085E47">
        <w:rPr>
          <w:rFonts w:asciiTheme="minorBidi" w:hAnsiTheme="minorBidi"/>
          <w:sz w:val="16"/>
          <w:szCs w:val="16"/>
          <w:rtl/>
        </w:rPr>
        <w:t xml:space="preserve"> (כלל כח ד"א וד"ג)</w:t>
      </w:r>
      <w:r w:rsidRPr="00085E47">
        <w:rPr>
          <w:rFonts w:asciiTheme="minorBidi" w:hAnsiTheme="minorBidi"/>
          <w:rtl/>
        </w:rPr>
        <w:t>.</w:t>
      </w:r>
    </w:p>
  </w:footnote>
  <w:footnote w:id="1396">
    <w:p w14:paraId="69DE52EA"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כגון שהחתיכה שתחתיה קצתה חוץ לרוטב וזו מונחת עליה דכולה חוץ לרוטב, ר"י.</w:t>
      </w:r>
    </w:p>
  </w:footnote>
  <w:footnote w:id="1397">
    <w:p w14:paraId="111FD778"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וכ' האו"ה שם שנוהגים כן דוקא בטיפת חלב או שאר איסור שנפל על החתיכה שהאיסור אינו דבוק, אבל אי לב או כבד או חלב מחובר לחתיכה אין הקדרה כולה מהני לבטל דחיישינן שמא פעם אחת היה כולה חוץ לרוטב והאיסור דבוק בו ונעשה נבלה, אבל באיסור שאינו דבוק אמרינן אף אם היה כולו חוץ לרוטב דילמא האיסור נשאר לבדו בקדרה.</w:t>
      </w:r>
    </w:p>
  </w:footnote>
  <w:footnote w:id="1398">
    <w:p w14:paraId="0D99BEC2"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רש"י </w:t>
      </w:r>
      <w:r w:rsidRPr="00085E47">
        <w:rPr>
          <w:rFonts w:asciiTheme="minorBidi" w:hAnsiTheme="minorBidi"/>
          <w:sz w:val="16"/>
          <w:szCs w:val="16"/>
          <w:rtl/>
        </w:rPr>
        <w:t>(כ"כ הטור בשמו, וכ"כ התוס' (צו: שם) בשם רש"י, וכ' הב"י דכ"מ מפירושו בסוף פג"ה (ק. ד"ה כיון שנתנה))</w:t>
      </w:r>
      <w:r w:rsidRPr="00085E47">
        <w:rPr>
          <w:rFonts w:asciiTheme="minorBidi" w:hAnsiTheme="minorBidi"/>
          <w:rtl/>
        </w:rPr>
        <w:t xml:space="preserve"> בהעי"ט</w:t>
      </w:r>
      <w:r w:rsidRPr="00085E47">
        <w:rPr>
          <w:rFonts w:asciiTheme="minorBidi" w:hAnsiTheme="minorBidi"/>
          <w:sz w:val="16"/>
          <w:szCs w:val="16"/>
          <w:rtl/>
        </w:rPr>
        <w:t xml:space="preserve"> (כ"כ הטור בשמו)</w:t>
      </w:r>
      <w:r w:rsidRPr="00085E47">
        <w:rPr>
          <w:rFonts w:asciiTheme="minorBidi" w:hAnsiTheme="minorBidi"/>
          <w:rtl/>
        </w:rPr>
        <w:t xml:space="preserve"> ורי"ו</w:t>
      </w:r>
      <w:r w:rsidRPr="00085E47">
        <w:rPr>
          <w:rFonts w:asciiTheme="minorBidi" w:hAnsiTheme="minorBidi"/>
          <w:sz w:val="16"/>
          <w:szCs w:val="16"/>
          <w:rtl/>
        </w:rPr>
        <w:t xml:space="preserve"> (נט"ו אות כח קלז ע"ג)</w:t>
      </w:r>
      <w:r w:rsidRPr="00085E47">
        <w:rPr>
          <w:rFonts w:asciiTheme="minorBidi" w:hAnsiTheme="minorBidi"/>
          <w:rtl/>
        </w:rPr>
        <w:t>.</w:t>
      </w:r>
    </w:p>
  </w:footnote>
  <w:footnote w:id="1399">
    <w:p w14:paraId="5E37D9BD"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הטור- ודוקא כשלא ניער הקדרה מיד כשנפל החלב וגם לא כיסה אותה מיד אבל אם מיד כשנפל החלב על החתיכה ניער הקדרה או כיסה אותה הכל מצטרף לבטל החלב, עכ"ל. וכ' מהר"ר יעקב ן' חביב ז"ל</w:t>
      </w:r>
      <w:r w:rsidRPr="00085E47">
        <w:rPr>
          <w:rFonts w:asciiTheme="minorBidi" w:hAnsiTheme="minorBidi"/>
          <w:sz w:val="16"/>
          <w:szCs w:val="16"/>
          <w:rtl/>
        </w:rPr>
        <w:t xml:space="preserve"> (הביאו הב"י)</w:t>
      </w:r>
      <w:r w:rsidRPr="00085E47">
        <w:rPr>
          <w:rFonts w:asciiTheme="minorBidi" w:hAnsiTheme="minorBidi"/>
          <w:rtl/>
        </w:rPr>
        <w:t xml:space="preserve">- מתוך דברי הר"ן </w:t>
      </w:r>
      <w:r w:rsidRPr="00085E47">
        <w:rPr>
          <w:rFonts w:asciiTheme="minorBidi" w:hAnsiTheme="minorBidi"/>
          <w:sz w:val="16"/>
          <w:szCs w:val="16"/>
          <w:rtl/>
        </w:rPr>
        <w:t xml:space="preserve">(מג. ד"ה תנן) </w:t>
      </w:r>
      <w:r w:rsidRPr="00085E47">
        <w:rPr>
          <w:rFonts w:asciiTheme="minorBidi" w:hAnsiTheme="minorBidi"/>
          <w:rtl/>
        </w:rPr>
        <w:t>יתבאר לך שמ"ש רבינו יעקב ודוקא בשלא ניער הקדרה וכו' הוא נקשר עם פירוש רש"י ואינו מוסב גם על פירוש ר"י כי לדעת ר"י אין צורך לניעור הקדרה אלא שתהיה קצתה ברוטב אבל לפירוש רש"י אע"פ שמקצתה ברוטב אין הכל מצטרף עד שינער הקדרה כי אותו הניעור מוליך הטיפה בכל הקדרה ומסייע כל מה שבתוכה לבטל הטיפה וכן כאשר כיסה הקדרה עולות הרתיחות משוליה לפיה ומוליכות הטיפה בכל הקדרה ואפשר שיחזור גם על פירוש ר"י שגם כאשר תהיה החתיכה חוץ לרוטב די בשכיסה הקדרה לערב הכל אע"פ שלא תכנס זאת החתיכה ברוטב כלל וכ"ש בניעור. (אך הט"ז [סק"ד] כ' שאפשר לומר שגם לדעת ר"י יש לנער דאע"ג דסגי בנוגעת קצת ברוטב לדעתו מ"מ כאן כיון שהקדירה מליאה א"א להכניס היטב החתיכה שמונחת בחוץ על החתיכה אחרת שמקצתה ברוטב ע"כ צריך שינער הקדירה ויהיו עליונים למטה)</w:t>
      </w:r>
    </w:p>
  </w:footnote>
  <w:footnote w:id="1400">
    <w:p w14:paraId="1FA90985"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וכ' עוד שכן נראה לו מדברי השו"ע שהם דברי הרמב"ם</w:t>
      </w:r>
      <w:r w:rsidRPr="00085E47">
        <w:rPr>
          <w:rFonts w:asciiTheme="minorBidi" w:hAnsiTheme="minorBidi"/>
          <w:sz w:val="16"/>
          <w:szCs w:val="16"/>
          <w:rtl/>
        </w:rPr>
        <w:t xml:space="preserve"> (מדכתב דאם נאסרה החתיכה אוסרת השאר)</w:t>
      </w:r>
      <w:r w:rsidRPr="00085E47">
        <w:rPr>
          <w:rFonts w:asciiTheme="minorBidi" w:hAnsiTheme="minorBidi"/>
          <w:rtl/>
        </w:rPr>
        <w:t>. אך הש"ך</w:t>
      </w:r>
      <w:r w:rsidRPr="00085E47">
        <w:rPr>
          <w:rFonts w:asciiTheme="minorBidi" w:hAnsiTheme="minorBidi"/>
          <w:sz w:val="16"/>
          <w:szCs w:val="16"/>
          <w:rtl/>
        </w:rPr>
        <w:t xml:space="preserve"> (בנה"כ אות ב) </w:t>
      </w:r>
      <w:r w:rsidRPr="00085E47">
        <w:rPr>
          <w:rFonts w:asciiTheme="minorBidi" w:hAnsiTheme="minorBidi"/>
          <w:rtl/>
        </w:rPr>
        <w:t xml:space="preserve">דחה דבריו. וגם הבית מאיר </w:t>
      </w:r>
      <w:r w:rsidRPr="00085E47">
        <w:rPr>
          <w:rFonts w:asciiTheme="minorBidi" w:hAnsiTheme="minorBidi"/>
          <w:sz w:val="16"/>
          <w:szCs w:val="16"/>
          <w:rtl/>
        </w:rPr>
        <w:t xml:space="preserve">(אוצמ"פ אות ד) </w:t>
      </w:r>
      <w:r w:rsidRPr="00085E47">
        <w:rPr>
          <w:rFonts w:asciiTheme="minorBidi" w:hAnsiTheme="minorBidi"/>
          <w:rtl/>
        </w:rPr>
        <w:t xml:space="preserve">כ' שאין הכרע מדברי הרמב"ם. וגם הב"ח </w:t>
      </w:r>
      <w:r w:rsidRPr="00085E47">
        <w:rPr>
          <w:rFonts w:asciiTheme="minorBidi" w:hAnsiTheme="minorBidi"/>
          <w:sz w:val="16"/>
          <w:szCs w:val="16"/>
          <w:rtl/>
        </w:rPr>
        <w:t xml:space="preserve">(עמ' ריב) </w:t>
      </w:r>
      <w:r w:rsidRPr="00085E47">
        <w:rPr>
          <w:rFonts w:asciiTheme="minorBidi" w:hAnsiTheme="minorBidi"/>
          <w:rtl/>
        </w:rPr>
        <w:t>כ' שהרמב"ם סובר כר"י.</w:t>
      </w:r>
    </w:p>
  </w:footnote>
  <w:footnote w:id="1401">
    <w:p w14:paraId="32DEEF56"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משמע מדבריו שאע"פ שכולה בתוך הרוטב רק שפניה העליונים מגולים אין הכל מצטרף </w:t>
      </w:r>
      <w:r w:rsidRPr="00085E47">
        <w:rPr>
          <w:rFonts w:asciiTheme="minorBidi" w:hAnsiTheme="minorBidi"/>
          <w:sz w:val="16"/>
          <w:szCs w:val="16"/>
          <w:rtl/>
        </w:rPr>
        <w:t>(שאילו היתה משוקעת כולה בתוך הרוטב מאחר שהרוטב צף עליה פשיטא דטיפת חלב הנופלת מתערבת עם כל הרוטב)</w:t>
      </w:r>
      <w:r w:rsidRPr="00085E47">
        <w:rPr>
          <w:rFonts w:asciiTheme="minorBidi" w:hAnsiTheme="minorBidi"/>
          <w:rtl/>
        </w:rPr>
        <w:t xml:space="preserve">, ב"י. וכ' הדרכ"מ </w:t>
      </w:r>
      <w:r w:rsidRPr="00085E47">
        <w:rPr>
          <w:rFonts w:asciiTheme="minorBidi" w:hAnsiTheme="minorBidi"/>
          <w:sz w:val="16"/>
          <w:szCs w:val="16"/>
          <w:rtl/>
        </w:rPr>
        <w:t xml:space="preserve">(אות א) </w:t>
      </w:r>
      <w:r w:rsidRPr="00085E47">
        <w:rPr>
          <w:rFonts w:asciiTheme="minorBidi" w:hAnsiTheme="minorBidi"/>
          <w:rtl/>
        </w:rPr>
        <w:t xml:space="preserve">שבמרדכי </w:t>
      </w:r>
      <w:r w:rsidRPr="00085E47">
        <w:rPr>
          <w:rFonts w:asciiTheme="minorBidi" w:hAnsiTheme="minorBidi"/>
          <w:sz w:val="16"/>
          <w:szCs w:val="16"/>
          <w:rtl/>
        </w:rPr>
        <w:t xml:space="preserve">(סי' תרצא) </w:t>
      </w:r>
      <w:r w:rsidRPr="00085E47">
        <w:rPr>
          <w:rFonts w:asciiTheme="minorBidi" w:hAnsiTheme="minorBidi"/>
          <w:rtl/>
        </w:rPr>
        <w:t xml:space="preserve">לא משמע כן שכ' שם דמיירי שמקצתה מגולה עיי"ש. </w:t>
      </w:r>
    </w:p>
  </w:footnote>
  <w:footnote w:id="1402">
    <w:p w14:paraId="2D907CAD"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הט"ז (סק"ב)- ולא נראה לע"ד דאע"פ שאין הרוטב דלמטה מסייע לבטל טיפת חלב שנפלה לפי שאין הרתיחה מגיע לשם מ"מ אותה חתיכה עצמה נאסרת חלק התחתון מחלק העליון וחוזרת ואוסרת למטה כל הרוטב ומה שבתוכו עד ששים נגד כל החתיכה דכל החתיכה נעשית נבילה כיון דמקצת החתיכה מונחת תוך הרוטב הרוטב מוליך לשאר. </w:t>
      </w:r>
    </w:p>
  </w:footnote>
  <w:footnote w:id="1403">
    <w:p w14:paraId="1B0BC8CC"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הה"מ (שם וה"ח, הביאו הב"י) שאפשר שאף כן דעת הרמב"ם (שם ה"ט-י) שכתב שאם יש בחתיכה טעם חלב 'משערין בכולה בד"א בשלא ניער הקדרה בתחלה אלא בסוף' הנה שהזכיר ניעור בסוף, וכפשט הסוגיא דאמרינן 'מאי לא ניער ולא כיסה אילימא לא ניער כלל ולא כיסה כלל מיבלע בלע מיפלט לא פליט', וזה דעת קצת מפרשים.</w:t>
      </w:r>
    </w:p>
  </w:footnote>
  <w:footnote w:id="1404">
    <w:p w14:paraId="2E230CAF" w14:textId="77777777" w:rsidR="004C5A3C" w:rsidRDefault="004C5A3C" w:rsidP="002C39F4">
      <w:pPr>
        <w:pStyle w:val="a5"/>
        <w:rPr>
          <w:rtl/>
        </w:rPr>
      </w:pPr>
      <w:r>
        <w:rPr>
          <w:rStyle w:val="a7"/>
        </w:rPr>
        <w:footnoteRef/>
      </w:r>
      <w:r>
        <w:rPr>
          <w:rtl/>
        </w:rPr>
        <w:t xml:space="preserve"> </w:t>
      </w:r>
      <w:r>
        <w:rPr>
          <w:rFonts w:hint="cs"/>
          <w:rtl/>
        </w:rPr>
        <w:t xml:space="preserve">ואע"ג דהראב"ד סובר אפשר לסוחטו מותר (כמו שיתבאר לקמן) פסק הרמ"א כוותיה, אך מ"מ לא פסק לגמרי כדבריו, שלסברת הראב"ד הייתה גם החתיכה עצמה אמורה להיות מותרת, ואילו הרמ"א פסק שהחתיכה אסורה ושאר החתיכות מותרת, וזה כיוון דמספקא ליה אי הלכתא כר"י או כרש"י גבי חתיכה שנמצאת ברוטב, עי' ש"ך (סק"ו) ופר"ח (סק"ו).  </w:t>
      </w:r>
    </w:p>
  </w:footnote>
  <w:footnote w:id="1405">
    <w:p w14:paraId="11AA4F7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הדרכ"מ (אות ב) דיש להסתפק בדבריו... אי ר"ל דוקא לסברת ר"י דלכתחלה היה מונחת כולה חוץ לרוטב ונאסרה ולכן אם מונחת אח"כ מקצתה ברוטב נאסרו כולן אפילו בלא ניער וכיסה, דהא ר"י ס"ל דאפילו ע"י מקצת רוטב מתפשט בכל הקדרה, אבל לדברי רש"י אין שאר הקדרה נאסרת ע"י שמונחת מקצתה ברוטב, או אם ר"ל דאפי' לדעת רש"י אע"ג דמתחלה נאסרה החתיכה ולא מתפשט בכל הקדרה שתצטרף הקדרה לבטל הטיפה מ"מ לאחר שנאסרה החתיכה אוסרת כל הקדרה אפי' בלא ניער וכיסה הואיל ומקצתה ברוטב, וכ"כ הר"ן (מג. ד"ה תנן) דלדעת רש"י גרע לא ניער משניער דבלא ניער החתיכה נאסרה תחילה ואוסרת כל הקדרה אח"כ אפילו לא ניער כלל, וכ"כ הה"מ (פ"ט ה"ח) לדעת קצת המפרשים. ובמרדכי משמע (סי' תרצא) דאין לאסור בלא ניער לבסוף דמשמע שם דלדברי רש"י אין לאסור באותה חתיכה רק מה שחוץ לרוטב אבל מה שבתוך הרוטב שרי כיון שפעפוע גוף החלב אינו מגיע לשם אפילו משהו, דאי מגיע לשם למה לא תצטרף כל הקדרה לבטל וצריך להמתין עד שתצטנן ולחתוך מה שחוץ לרוטב עכ"ל, וא"כ הואיל וס"ל דאף באותה חתיכה שרי מה שבתוך הרוטב כל שכן שאר הקדרה, וכ"כ בהגה"מ (פ"ט ה"ט) כדברי המרדכי. עכ"ל הדרכ"מ, והוכיח כן גם מדברי הטור, ומסקנתו דאין שאר הקדרה נאסרת אא"כ חזר ובישל אותה חתיכה עם האחרות דהיינו שניער או כיסה לבסוף. וכ' עוד שדלדברי הטור ושא"פ אותה חתיכה כולה אסורה לדעת רש"י, מדלא חלקו בה כמ"ש המרדכי, אלא ס"ל דבאותה חתיכה מתפשט בכולה אבל אינו יוצא לחוץ הואיל ואינה כולה ברוטב.</w:t>
      </w:r>
    </w:p>
  </w:footnote>
  <w:footnote w:id="1406">
    <w:p w14:paraId="4DB87E46"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w:t>
      </w:r>
      <w:r w:rsidRPr="00085E47">
        <w:rPr>
          <w:rFonts w:asciiTheme="minorBidi" w:hAnsiTheme="minorBidi"/>
          <w:u w:val="single"/>
          <w:rtl/>
        </w:rPr>
        <w:t>לדעת הרמב"ם</w:t>
      </w:r>
      <w:r>
        <w:rPr>
          <w:rFonts w:asciiTheme="minorBidi" w:hAnsiTheme="minorBidi" w:hint="cs"/>
          <w:u w:val="single"/>
          <w:rtl/>
        </w:rPr>
        <w:t xml:space="preserve"> </w:t>
      </w:r>
      <w:r w:rsidRPr="00085E47">
        <w:rPr>
          <w:rFonts w:asciiTheme="minorBidi" w:hAnsiTheme="minorBidi"/>
          <w:u w:val="single"/>
          <w:rtl/>
        </w:rPr>
        <w:t>- מה הדין אם מיד כשנפלה הטיפה ניע</w:t>
      </w:r>
      <w:r>
        <w:rPr>
          <w:rFonts w:asciiTheme="minorBidi" w:hAnsiTheme="minorBidi" w:hint="cs"/>
          <w:u w:val="single"/>
          <w:rtl/>
        </w:rPr>
        <w:t>ר/</w:t>
      </w:r>
      <w:r w:rsidRPr="00085E47">
        <w:rPr>
          <w:rFonts w:asciiTheme="minorBidi" w:hAnsiTheme="minorBidi"/>
          <w:u w:val="single"/>
          <w:rtl/>
        </w:rPr>
        <w:t>כיסה</w:t>
      </w:r>
      <w:r>
        <w:rPr>
          <w:rFonts w:asciiTheme="minorBidi" w:hAnsiTheme="minorBidi" w:hint="cs"/>
          <w:u w:val="single"/>
          <w:rtl/>
        </w:rPr>
        <w:t xml:space="preserve"> את הקדרה </w:t>
      </w:r>
      <w:r w:rsidRPr="00F21AD4">
        <w:rPr>
          <w:rFonts w:asciiTheme="minorBidi" w:hAnsiTheme="minorBidi" w:hint="cs"/>
          <w:b/>
          <w:bCs/>
          <w:u w:val="single"/>
          <w:rtl/>
        </w:rPr>
        <w:t>ולא</w:t>
      </w:r>
      <w:r>
        <w:rPr>
          <w:rFonts w:asciiTheme="minorBidi" w:hAnsiTheme="minorBidi" w:hint="cs"/>
          <w:u w:val="single"/>
          <w:rtl/>
        </w:rPr>
        <w:t xml:space="preserve"> המשיך לנער/לכסות עד הסוף</w:t>
      </w:r>
      <w:r w:rsidRPr="00085E47">
        <w:rPr>
          <w:rFonts w:asciiTheme="minorBidi" w:hAnsiTheme="minorBidi"/>
          <w:u w:val="single"/>
          <w:rtl/>
        </w:rPr>
        <w:t>:</w:t>
      </w:r>
    </w:p>
    <w:p w14:paraId="39D113AE" w14:textId="77777777" w:rsidR="004C5A3C" w:rsidRPr="00085E47" w:rsidRDefault="004C5A3C" w:rsidP="002C39F4">
      <w:pPr>
        <w:pStyle w:val="a5"/>
        <w:numPr>
          <w:ilvl w:val="0"/>
          <w:numId w:val="105"/>
        </w:numPr>
        <w:rPr>
          <w:rFonts w:asciiTheme="minorBidi" w:hAnsiTheme="minorBidi"/>
        </w:rPr>
      </w:pPr>
      <w:r w:rsidRPr="00085E47">
        <w:rPr>
          <w:rFonts w:asciiTheme="minorBidi" w:hAnsiTheme="minorBidi"/>
          <w:rtl/>
        </w:rPr>
        <w:t xml:space="preserve">מהר"י בן חביב </w:t>
      </w:r>
      <w:r w:rsidRPr="00085E47">
        <w:rPr>
          <w:rFonts w:asciiTheme="minorBidi" w:hAnsiTheme="minorBidi"/>
          <w:sz w:val="16"/>
          <w:szCs w:val="16"/>
          <w:rtl/>
        </w:rPr>
        <w:t>(בהב' דברי הרמב"ם, הביאו הב"י)</w:t>
      </w:r>
      <w:r w:rsidRPr="00085E47">
        <w:rPr>
          <w:rFonts w:asciiTheme="minorBidi" w:hAnsiTheme="minorBidi"/>
          <w:rtl/>
        </w:rPr>
        <w:t xml:space="preserve">- אם מיד בעת הנפילה ניער או כיסה הקדרה מצטרף בכולה והרי היא בנותן טעם </w:t>
      </w:r>
      <w:r w:rsidRPr="00085E47">
        <w:rPr>
          <w:rFonts w:asciiTheme="minorBidi" w:hAnsiTheme="minorBidi"/>
          <w:sz w:val="16"/>
          <w:szCs w:val="16"/>
          <w:rtl/>
        </w:rPr>
        <w:t xml:space="preserve">(שכיון שניער מיד בעת נפילה באותה שעה נעשה כל מה שבקדרה דבר אחד מחובר </w:t>
      </w:r>
      <w:r w:rsidRPr="00085E47">
        <w:rPr>
          <w:rFonts w:asciiTheme="minorBidi" w:hAnsiTheme="minorBidi"/>
          <w:sz w:val="14"/>
          <w:szCs w:val="14"/>
          <w:rtl/>
        </w:rPr>
        <w:t>[ומה שהזכיר הרמב"ם 'ניער מתחלה ועד סוף' היה מוכרח להמשיך הלשון שאמר בתחילת דבריו 'בד"א בשלא ניער בתחלה אלא לבסוף' כי בזאת החלוקה מן ההכרח להזכיר ניעור לבסוף כפי סוגיית הגמ' וכפי פירוש המפרשים אשר הרמב"ם הלך לדרכם]</w:t>
      </w:r>
      <w:r w:rsidRPr="00085E47">
        <w:rPr>
          <w:rFonts w:asciiTheme="minorBidi" w:hAnsiTheme="minorBidi"/>
          <w:sz w:val="16"/>
          <w:szCs w:val="16"/>
          <w:rtl/>
        </w:rPr>
        <w:t>)</w:t>
      </w:r>
      <w:r w:rsidRPr="00085E47">
        <w:rPr>
          <w:rFonts w:asciiTheme="minorBidi" w:hAnsiTheme="minorBidi"/>
          <w:rtl/>
        </w:rPr>
        <w:t>.</w:t>
      </w:r>
      <w:r w:rsidRPr="00085E47">
        <w:rPr>
          <w:rFonts w:asciiTheme="minorBidi" w:hAnsiTheme="minorBidi"/>
          <w:sz w:val="14"/>
          <w:szCs w:val="14"/>
          <w:rtl/>
        </w:rPr>
        <w:t xml:space="preserve"> </w:t>
      </w:r>
      <w:r w:rsidRPr="00085E47">
        <w:rPr>
          <w:rFonts w:asciiTheme="minorBidi" w:hAnsiTheme="minorBidi"/>
          <w:sz w:val="16"/>
          <w:szCs w:val="16"/>
          <w:rtl/>
        </w:rPr>
        <w:t xml:space="preserve"> (וכ' בדרכ"מ (אות ב*) על דבריו- נראה לי ישוב רחוק רק שביקש לזכות הרמב"ם ז"ל והוצרך לדחוק את עצמו)</w:t>
      </w:r>
    </w:p>
    <w:p w14:paraId="24ECC24B" w14:textId="77777777" w:rsidR="004C5A3C" w:rsidRPr="00085E47" w:rsidRDefault="004C5A3C" w:rsidP="002C39F4">
      <w:pPr>
        <w:pStyle w:val="a5"/>
        <w:numPr>
          <w:ilvl w:val="0"/>
          <w:numId w:val="105"/>
        </w:numPr>
        <w:rPr>
          <w:rFonts w:asciiTheme="minorBidi" w:hAnsiTheme="minorBidi"/>
          <w:rtl/>
        </w:rPr>
      </w:pPr>
      <w:r w:rsidRPr="00085E47">
        <w:rPr>
          <w:rFonts w:asciiTheme="minorBidi" w:hAnsiTheme="minorBidi"/>
          <w:rtl/>
        </w:rPr>
        <w:t>ב"י- נ"ל שטעמו של הרמב"ם מדאמרינן בגמ'- "מכלל דרבי יהודה סבר כי ניער מתחלה ועד סוף וכיסה מתחלה ועד סוף אסור, אמאי, הא לא בלע כלל, אימור לא ניער יפה יפה ולא כיסה יפה יפה", ומדאמרינן ניער מתחלה ועד סוף וכיסה מתחלה ועד סוף משמע להרמב"ם דוקא בכהאי גוונא שרו רבנן אבל בניער וכיסה בתחלה ולא בסוף לא.</w:t>
      </w:r>
    </w:p>
  </w:footnote>
  <w:footnote w:id="1407">
    <w:p w14:paraId="29E6870C"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הטור הביא את דברי הרמב"ם וכ' עליהם- ואיני מבין דבריו ש-...</w:t>
      </w:r>
    </w:p>
  </w:footnote>
  <w:footnote w:id="1408">
    <w:p w14:paraId="0BD79BF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ותירץ מהר"י בן חביב את תמיהת הטור על הרמב"ם- דאין כוונתו</w:t>
      </w:r>
      <w:r w:rsidRPr="00085E47">
        <w:rPr>
          <w:rFonts w:asciiTheme="minorBidi" w:hAnsiTheme="minorBidi"/>
          <w:sz w:val="16"/>
          <w:szCs w:val="16"/>
          <w:rtl/>
        </w:rPr>
        <w:t xml:space="preserve"> {של הרמב"ם}</w:t>
      </w:r>
      <w:r w:rsidRPr="00085E47">
        <w:rPr>
          <w:rFonts w:asciiTheme="minorBidi" w:hAnsiTheme="minorBidi"/>
          <w:rtl/>
        </w:rPr>
        <w:t xml:space="preserve"> בזה לומר שאם יש שהות קצת אחר הנפילה שינער אח"כ כי זה לא יועיל בודאי אבל כוונתו שמיד כשראה נפילת הטיפה לקדרה ולא השגיח על איזו חתיכה נפלה ימהר לנער או לכסות מיד ובזה תצטרף כל מה שבקדרה כיון שלא ידע מקום הטיפה איו</w:t>
      </w:r>
      <w:r w:rsidRPr="00085E47">
        <w:rPr>
          <w:rFonts w:asciiTheme="minorBidi" w:hAnsiTheme="minorBidi"/>
          <w:sz w:val="16"/>
          <w:szCs w:val="16"/>
          <w:rtl/>
        </w:rPr>
        <w:t xml:space="preserve"> (וזה הכרח כפי דקדוק לשון וכן אם נפל חלב וכו' שיורה שהיא חלוקה שוה בקירוב למה שכבר הזכיר אבל אם ניער מתחלה וכו')</w:t>
      </w:r>
      <w:r w:rsidRPr="00085E47">
        <w:rPr>
          <w:rFonts w:asciiTheme="minorBidi" w:hAnsiTheme="minorBidi"/>
          <w:rtl/>
        </w:rPr>
        <w:t xml:space="preserve">, ובזה נשיב קושיא אחרת שיקשה לכאורה נגד לשון הרמב"ם במה שכתב נוער את הקדרה והלא אין מבטלין איסור לכתחלה ובמה שכתבתי נסתלקה קושיא זו, עכ"ל. והב"י תירץ דטעמו של הרמב"ם הוא שאע"פ שנפל בתוך המרק צריך לנער כדי שיתערב יפה וכ"ש כשנפל לחתיכות שבתוך המרק שהוא צריך לנער דהא חזינן דאפילו בניער מתחלה ועד סוף חייש רבי יהודה שמא לא עירב יפה יפה </w:t>
      </w:r>
      <w:r w:rsidRPr="00085E47">
        <w:rPr>
          <w:rFonts w:asciiTheme="minorBidi" w:hAnsiTheme="minorBidi"/>
          <w:sz w:val="16"/>
          <w:szCs w:val="16"/>
          <w:rtl/>
        </w:rPr>
        <w:t>(ואע"ג דרבנן פליגי עליה מ"מ מודי דצריך לעשות בענין שיתערב יפה יפה)</w:t>
      </w:r>
      <w:r w:rsidRPr="00085E47">
        <w:rPr>
          <w:rFonts w:asciiTheme="minorBidi" w:hAnsiTheme="minorBidi"/>
          <w:rtl/>
        </w:rPr>
        <w:t>.</w:t>
      </w:r>
    </w:p>
  </w:footnote>
  <w:footnote w:id="1409">
    <w:p w14:paraId="698847CC"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זה מיירי שנפלה הטיפה על החתיכה אחת חוץ לרוטב</w:t>
      </w:r>
      <w:r w:rsidRPr="00085E47">
        <w:rPr>
          <w:rFonts w:asciiTheme="minorBidi" w:hAnsiTheme="minorBidi"/>
          <w:sz w:val="16"/>
          <w:szCs w:val="16"/>
          <w:rtl/>
        </w:rPr>
        <w:t xml:space="preserve"> (כגון שחתיכה אחת קצתה חוץ לרוטב וזו מונחת עליה וע"כ נאסרה החתיכה לבדה)</w:t>
      </w:r>
      <w:r w:rsidRPr="00085E47">
        <w:rPr>
          <w:rFonts w:asciiTheme="minorBidi" w:hAnsiTheme="minorBidi"/>
          <w:rtl/>
        </w:rPr>
        <w:t xml:space="preserve"> דאי בתוך הרוטב ודאי כל מה שבקדירה מצטרף לבטל הטיפה , ט"ז (סק"ב). ודי שתהא מקצת החתיכה ברוטב, ר"י </w:t>
      </w:r>
      <w:r w:rsidRPr="00085E47">
        <w:rPr>
          <w:rFonts w:asciiTheme="minorBidi" w:hAnsiTheme="minorBidi"/>
          <w:sz w:val="16"/>
          <w:szCs w:val="16"/>
          <w:rtl/>
        </w:rPr>
        <w:t xml:space="preserve">(וכ' הש"ך </w:t>
      </w:r>
      <w:r w:rsidRPr="00085E47">
        <w:rPr>
          <w:rFonts w:asciiTheme="minorBidi" w:hAnsiTheme="minorBidi"/>
          <w:sz w:val="14"/>
          <w:szCs w:val="14"/>
          <w:rtl/>
        </w:rPr>
        <w:t xml:space="preserve">[סק"ד] </w:t>
      </w:r>
      <w:r w:rsidRPr="00085E47">
        <w:rPr>
          <w:rFonts w:asciiTheme="minorBidi" w:hAnsiTheme="minorBidi"/>
          <w:sz w:val="16"/>
          <w:szCs w:val="16"/>
          <w:rtl/>
        </w:rPr>
        <w:t xml:space="preserve">שכן דעת כל המחברים </w:t>
      </w:r>
      <w:r w:rsidRPr="00085E47">
        <w:rPr>
          <w:rFonts w:asciiTheme="minorBidi" w:hAnsiTheme="minorBidi"/>
          <w:sz w:val="14"/>
          <w:szCs w:val="14"/>
          <w:rtl/>
        </w:rPr>
        <w:t>(חוץ (מהרשב"א)[מבהעי"ט] ורי"ו הביאו הב"י בבדה"ב)</w:t>
      </w:r>
      <w:r w:rsidRPr="00085E47">
        <w:rPr>
          <w:rFonts w:asciiTheme="minorBidi" w:hAnsiTheme="minorBidi"/>
          <w:sz w:val="16"/>
          <w:szCs w:val="16"/>
          <w:rtl/>
        </w:rPr>
        <w:t xml:space="preserve"> וכן דעת כל האחרונים חוץ מרש"ל שבא"ו שלו פסק כר"י וביש"ש</w:t>
      </w:r>
      <w:r w:rsidRPr="00085E47">
        <w:rPr>
          <w:rFonts w:asciiTheme="minorBidi" w:hAnsiTheme="minorBidi"/>
          <w:sz w:val="14"/>
          <w:szCs w:val="14"/>
          <w:rtl/>
        </w:rPr>
        <w:t xml:space="preserve"> (פכ"ה סי' מט)</w:t>
      </w:r>
      <w:r w:rsidRPr="00085E47">
        <w:rPr>
          <w:rFonts w:asciiTheme="minorBidi" w:hAnsiTheme="minorBidi"/>
          <w:sz w:val="16"/>
          <w:szCs w:val="16"/>
          <w:rtl/>
        </w:rPr>
        <w:t xml:space="preserve"> החמיר כרש"י)</w:t>
      </w:r>
      <w:r w:rsidRPr="00085E47">
        <w:rPr>
          <w:rFonts w:asciiTheme="minorBidi" w:hAnsiTheme="minorBidi"/>
          <w:rtl/>
        </w:rPr>
        <w:t>.</w:t>
      </w:r>
    </w:p>
    <w:p w14:paraId="2C3745DC" w14:textId="77777777" w:rsidR="004C5A3C" w:rsidRPr="00085E47" w:rsidRDefault="004C5A3C" w:rsidP="002C39F4">
      <w:pPr>
        <w:pStyle w:val="a5"/>
        <w:rPr>
          <w:rFonts w:asciiTheme="minorBidi" w:hAnsiTheme="minorBidi"/>
          <w:rtl/>
        </w:rPr>
      </w:pPr>
      <w:r w:rsidRPr="00085E47">
        <w:rPr>
          <w:rFonts w:asciiTheme="minorBidi" w:hAnsiTheme="minorBidi"/>
          <w:u w:val="single"/>
          <w:rtl/>
        </w:rPr>
        <w:t>וקשה, דדברי הט"ו אלו סותרים למ"ש בסי' קה ס</w:t>
      </w:r>
      <w:r>
        <w:rPr>
          <w:rFonts w:asciiTheme="minorBidi" w:hAnsiTheme="minorBidi" w:hint="cs"/>
          <w:u w:val="single"/>
          <w:rtl/>
        </w:rPr>
        <w:t xml:space="preserve">ע' </w:t>
      </w:r>
      <w:r w:rsidRPr="00085E47">
        <w:rPr>
          <w:rFonts w:asciiTheme="minorBidi" w:hAnsiTheme="minorBidi"/>
          <w:u w:val="single"/>
          <w:rtl/>
        </w:rPr>
        <w:t>ד דכשנפל איסור על חתיכה שבקדירה אינו אוסר רק כדי נטילה:</w:t>
      </w:r>
    </w:p>
    <w:p w14:paraId="5F7FE036" w14:textId="77777777" w:rsidR="004C5A3C" w:rsidRPr="00085E47" w:rsidRDefault="004C5A3C" w:rsidP="002C39F4">
      <w:pPr>
        <w:pStyle w:val="a5"/>
        <w:numPr>
          <w:ilvl w:val="0"/>
          <w:numId w:val="104"/>
        </w:numPr>
        <w:rPr>
          <w:rFonts w:asciiTheme="minorBidi" w:hAnsiTheme="minorBidi"/>
        </w:rPr>
      </w:pPr>
      <w:r w:rsidRPr="00085E47">
        <w:rPr>
          <w:rFonts w:asciiTheme="minorBidi" w:hAnsiTheme="minorBidi"/>
          <w:rtl/>
        </w:rPr>
        <w:t xml:space="preserve">רש"ל- הכא מיירי באיסור צלול ושם מיירי באיסור עב שאינו מתפשט כ"כ. </w:t>
      </w:r>
    </w:p>
    <w:p w14:paraId="47C968E9" w14:textId="77777777" w:rsidR="004C5A3C" w:rsidRPr="00085E47" w:rsidRDefault="004C5A3C" w:rsidP="002C39F4">
      <w:pPr>
        <w:pStyle w:val="a5"/>
        <w:numPr>
          <w:ilvl w:val="0"/>
          <w:numId w:val="104"/>
        </w:numPr>
        <w:rPr>
          <w:rFonts w:asciiTheme="minorBidi" w:hAnsiTheme="minorBidi"/>
        </w:rPr>
      </w:pPr>
      <w:r w:rsidRPr="00085E47">
        <w:rPr>
          <w:rFonts w:asciiTheme="minorBidi" w:hAnsiTheme="minorBidi"/>
          <w:rtl/>
        </w:rPr>
        <w:t xml:space="preserve">דרכ"מ </w:t>
      </w:r>
      <w:r w:rsidRPr="00085E47">
        <w:rPr>
          <w:rFonts w:asciiTheme="minorBidi" w:hAnsiTheme="minorBidi"/>
          <w:sz w:val="16"/>
          <w:szCs w:val="16"/>
          <w:rtl/>
        </w:rPr>
        <w:t>(סי' קה אות ט)</w:t>
      </w:r>
      <w:r w:rsidRPr="00085E47">
        <w:rPr>
          <w:rFonts w:asciiTheme="minorBidi" w:hAnsiTheme="minorBidi"/>
          <w:rtl/>
        </w:rPr>
        <w:t xml:space="preserve"> ט"ז </w:t>
      </w:r>
      <w:r w:rsidRPr="00085E47">
        <w:rPr>
          <w:rFonts w:asciiTheme="minorBidi" w:hAnsiTheme="minorBidi"/>
          <w:sz w:val="16"/>
          <w:szCs w:val="16"/>
          <w:rtl/>
        </w:rPr>
        <w:t>(סק"ג)</w:t>
      </w:r>
      <w:r w:rsidRPr="00085E47">
        <w:rPr>
          <w:rFonts w:asciiTheme="minorBidi" w:hAnsiTheme="minorBidi"/>
          <w:rtl/>
        </w:rPr>
        <w:t xml:space="preserve"> וש"ך </w:t>
      </w:r>
      <w:r w:rsidRPr="00085E47">
        <w:rPr>
          <w:rFonts w:asciiTheme="minorBidi" w:hAnsiTheme="minorBidi"/>
          <w:sz w:val="16"/>
          <w:szCs w:val="16"/>
          <w:rtl/>
        </w:rPr>
        <w:t>(סק"ג, תירוץ א)</w:t>
      </w:r>
      <w:r w:rsidRPr="00085E47">
        <w:rPr>
          <w:rFonts w:asciiTheme="minorBidi" w:hAnsiTheme="minorBidi"/>
          <w:rtl/>
        </w:rPr>
        <w:t xml:space="preserve">- שאני חלב דהוי איסור שמן שהרי יש בה שמנונית של חמאה ונבלע בכל החתיכה </w:t>
      </w:r>
      <w:r w:rsidRPr="00085E47">
        <w:rPr>
          <w:rFonts w:asciiTheme="minorBidi" w:hAnsiTheme="minorBidi"/>
          <w:sz w:val="16"/>
          <w:szCs w:val="16"/>
          <w:rtl/>
        </w:rPr>
        <w:t>(כדאיתא בש"ס פג"ה ומוסכם מכל הפוסקים לקמן סי' ק"ה ס"ה דאיסור שמן מפעפע בכל החתיכה, והיינו דכתבו הט"ו ר"ס ע"ו דדם שנטף על הצלי שאצל האש אינו אוסר אלא בכדי נטילה עכ"ל דדם לאו איסור שמן הוא כדמוכח בכמה דוכתי,</w:t>
      </w:r>
      <w:r w:rsidRPr="00085E47">
        <w:rPr>
          <w:rFonts w:asciiTheme="minorBidi" w:hAnsiTheme="minorBidi"/>
          <w:rtl/>
        </w:rPr>
        <w:t xml:space="preserve"> </w:t>
      </w:r>
      <w:r w:rsidRPr="00085E47">
        <w:rPr>
          <w:rFonts w:asciiTheme="minorBidi" w:hAnsiTheme="minorBidi"/>
          <w:sz w:val="16"/>
          <w:szCs w:val="16"/>
          <w:rtl/>
        </w:rPr>
        <w:t>אך כתבו הט"ז והש"ך דיש לדחות משום דמשמע מדברי הרשב"א בתה"א והר"ן שם (ספכ"ה) דחלב לא חשיב איסור שמן, וכ"מ מדברי הט"ו סי' ק"ה ס"ז דפסקו דאיסור כחוש אינו מפעפע מחתיכה לחתיכה בלא רוטב ואיסור שמן מפעפע כהרשב"א, והרשב"א יליף לה מחלב דהכא דאינו מפעפע מחתיכה לחתיכה בלא רוטב אלמא דס"ל דחלב איסור כחוש הוא {ל' הש"ך})</w:t>
      </w:r>
      <w:r w:rsidRPr="00085E47">
        <w:rPr>
          <w:rFonts w:asciiTheme="minorBidi" w:hAnsiTheme="minorBidi"/>
          <w:rtl/>
        </w:rPr>
        <w:t>.</w:t>
      </w:r>
    </w:p>
    <w:p w14:paraId="14CA7EB3" w14:textId="77777777" w:rsidR="004C5A3C" w:rsidRPr="00085E47" w:rsidRDefault="004C5A3C" w:rsidP="002C39F4">
      <w:pPr>
        <w:pStyle w:val="a5"/>
        <w:numPr>
          <w:ilvl w:val="0"/>
          <w:numId w:val="104"/>
        </w:numPr>
        <w:rPr>
          <w:rFonts w:asciiTheme="minorBidi" w:hAnsiTheme="minorBidi"/>
        </w:rPr>
      </w:pPr>
      <w:r w:rsidRPr="00085E47">
        <w:rPr>
          <w:rFonts w:asciiTheme="minorBidi" w:hAnsiTheme="minorBidi"/>
          <w:rtl/>
        </w:rPr>
        <w:t xml:space="preserve">ש"ך </w:t>
      </w:r>
      <w:r w:rsidRPr="00085E47">
        <w:rPr>
          <w:rFonts w:asciiTheme="minorBidi" w:hAnsiTheme="minorBidi"/>
          <w:sz w:val="16"/>
          <w:szCs w:val="16"/>
          <w:rtl/>
        </w:rPr>
        <w:t>(תירוץ ב)</w:t>
      </w:r>
      <w:r w:rsidRPr="00085E47">
        <w:rPr>
          <w:rFonts w:asciiTheme="minorBidi" w:hAnsiTheme="minorBidi"/>
          <w:rtl/>
        </w:rPr>
        <w:t xml:space="preserve">- יש לחלק כמ"ש הר"ן ספכ"ה וז"ל- ה"מ בחום של צלי וכיוצא בו אבל חתיכה זו כיון שעומדת בקדירה מתוך שיש בה הבל ולחלוחית החלב מתפשט בכולה אע"פ שהיא חוץ לרוטב עכ"ל </w:t>
      </w:r>
      <w:r w:rsidRPr="00085E47">
        <w:rPr>
          <w:rFonts w:asciiTheme="minorBidi" w:hAnsiTheme="minorBidi"/>
          <w:sz w:val="16"/>
          <w:szCs w:val="16"/>
          <w:rtl/>
        </w:rPr>
        <w:t>(ולקמן סי' ק"ה אע"ג דמיירי נמי בקדירה י"ל דהתם מיירי באיסור גוש דאינו צלול דודאי אינו מתפשט בכל החתיכה אלא ע"י רוטב וכן חילק מהרש"ל ומביאו הדרישה)</w:t>
      </w:r>
      <w:r w:rsidRPr="00085E47">
        <w:rPr>
          <w:rFonts w:asciiTheme="minorBidi" w:hAnsiTheme="minorBidi"/>
          <w:rtl/>
        </w:rPr>
        <w:t xml:space="preserve">. </w:t>
      </w:r>
    </w:p>
    <w:p w14:paraId="376B5A84" w14:textId="77777777" w:rsidR="004C5A3C" w:rsidRPr="00085E47" w:rsidRDefault="004C5A3C" w:rsidP="002C39F4">
      <w:pPr>
        <w:pStyle w:val="a5"/>
        <w:numPr>
          <w:ilvl w:val="0"/>
          <w:numId w:val="104"/>
        </w:numPr>
        <w:rPr>
          <w:rFonts w:asciiTheme="minorBidi" w:hAnsiTheme="minorBidi"/>
        </w:rPr>
      </w:pPr>
      <w:r w:rsidRPr="00085E47">
        <w:rPr>
          <w:rFonts w:asciiTheme="minorBidi" w:hAnsiTheme="minorBidi"/>
          <w:rtl/>
        </w:rPr>
        <w:t xml:space="preserve">ש"ך </w:t>
      </w:r>
      <w:r w:rsidRPr="00085E47">
        <w:rPr>
          <w:rFonts w:asciiTheme="minorBidi" w:hAnsiTheme="minorBidi"/>
          <w:sz w:val="16"/>
          <w:szCs w:val="16"/>
          <w:rtl/>
        </w:rPr>
        <w:t>(תירוץ ג)</w:t>
      </w:r>
      <w:r w:rsidRPr="00085E47">
        <w:rPr>
          <w:rFonts w:asciiTheme="minorBidi" w:hAnsiTheme="minorBidi"/>
          <w:rtl/>
        </w:rPr>
        <w:t xml:space="preserve">- כאן מיירי שחתיכת הבשר הוא שמן כמ"ש הט"ו בסימן ק"ה ס"ה. </w:t>
      </w:r>
    </w:p>
  </w:footnote>
  <w:footnote w:id="1410">
    <w:p w14:paraId="2C7C4A5A"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תימא דכשאין ס' בקדירה נמי יהא מותר כיון שלא ניער כלל ולא נתן טעם אלא באותה חתיכה עצמה כדאיתא בש"ס ופוסקים, וכן מבואר בהדיא בהשגות הראב"ד (פ"ט מהמ"א ה"ט) ומביאו בדרכ"מ (אות ג) בקוצר, ונ"ל הא דבעי ס' בקדירה היינו אי מקצתה בתוך הרוטב דמספקא ליה להרב אי קי"ל כר"י דמערב הטעם בכולו או כרש"י הלכך הקדירה מותר ממ"נ והחתיכה אסורה דלמא אינו מערב הטעם בכולה ואין הקדירה מצטרף וע"ל סקי"ג, ש"ך (סק"ו).</w:t>
      </w:r>
    </w:p>
  </w:footnote>
  <w:footnote w:id="1411">
    <w:p w14:paraId="373D34B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ובאו"ה (כלל כח ד"א) כ' שכשיש ס' בכל הקדרה כנגד הטיפה גם החתיכה חוזרת להיתר.</w:t>
      </w:r>
    </w:p>
  </w:footnote>
  <w:footnote w:id="1412">
    <w:p w14:paraId="421C180A"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ומ"מ שאר החתיכות שנגעו בזו החתיכה צריכים נטילה (כדלקמן סי' ק"ה ס"ז סקט"ז), ש"ך (סק"ז). </w:t>
      </w:r>
    </w:p>
  </w:footnote>
  <w:footnote w:id="1413">
    <w:p w14:paraId="4AD2FD04"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ולא כתב הר"ב דין זה בשם י"א משום דאפשר לפרש גם דברי המחבר הכי, כמו שמפרש מהר"י ן' חביב לדברי הרמב"ם, אבל דעת המחבר עצמו אינו כן וכמ"ש, ומ"מ דעת מהר"י ן' חביב והרב עיקר, וכן משמע מפרש"י (קט.) ע"ש, וכן דעת מהרש"ל פכ"ה סי' מ"ה והאחרונים, ונראה שגם הטור לא כוון להשיג אלא לפרש דברי הרמב"ם, ש"ך (סק"ה).</w:t>
      </w:r>
    </w:p>
  </w:footnote>
  <w:footnote w:id="1414">
    <w:p w14:paraId="1B4163F0"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ואין להקשות היאך ינער הקדרה שיתערב הכל דלמא יש טעם בחתיכה אחת ואיך יבטל איסור לכתחלה וא"כ הוי ליה למימר שיטעום הגוי כל חתיכה וחתיכה בפני עצמו, י"ל דכיון דלא נודע לאיזה נפל הרי נכנס כל הקדרה בספק ואין כאן משום מבטל איסור... ונראה דגם הטור הבין דעת הרמב"ם כן אלא ס"ל כיון דאפשר למיקם עלה דמילתא א"כ לא נכנס הכל בספק שהרי יודע הדבר על ידי שיטעום הגוי כל חתיכה וחתיכה בפני עצמה והלכך כיון שחתיכה א' היתה מתבררת בודאי שהיא אסורה א"כ מאי מועיל ניעור אח"כ..., ש"ך (סק"ח). </w:t>
      </w:r>
    </w:p>
  </w:footnote>
  <w:footnote w:id="1415">
    <w:p w14:paraId="36A3ADBA"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איסור שנבלע בהיתר ונתן בו טעם ואסרו וחזר ובישל ההיתר הזה עם היתר אחר שאפשר האיסור הנבלע בזה ליסחט ממנו וליחלק בהיתר האחרון ואין בו כשיעור לאסור את האחרון, רש"י (ד"ה ומאי קסבר).</w:t>
      </w:r>
    </w:p>
  </w:footnote>
  <w:footnote w:id="1416">
    <w:p w14:paraId="404C939C"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ואע"פ שכ' הראב"ד </w:t>
      </w:r>
      <w:r w:rsidRPr="00085E47">
        <w:rPr>
          <w:rFonts w:asciiTheme="minorBidi" w:hAnsiTheme="minorBidi"/>
          <w:sz w:val="16"/>
          <w:szCs w:val="16"/>
          <w:rtl/>
        </w:rPr>
        <w:t xml:space="preserve">(שם ה"ט) </w:t>
      </w:r>
      <w:r w:rsidRPr="00085E47">
        <w:rPr>
          <w:rFonts w:asciiTheme="minorBidi" w:hAnsiTheme="minorBidi"/>
          <w:rtl/>
        </w:rPr>
        <w:t xml:space="preserve">שלא אמרו חתיכה עצמה נעשית נבלה אלא לר' יהודה דמחמיר במין במינו אבל לדידן דקיי"ל מין במינו בטל לא וכ' הר"ן </w:t>
      </w:r>
      <w:r w:rsidRPr="00085E47">
        <w:rPr>
          <w:rFonts w:asciiTheme="minorBidi" w:hAnsiTheme="minorBidi"/>
          <w:sz w:val="16"/>
          <w:szCs w:val="16"/>
          <w:rtl/>
        </w:rPr>
        <w:t xml:space="preserve">(ספכ"ה מד:) </w:t>
      </w:r>
      <w:r w:rsidRPr="00085E47">
        <w:rPr>
          <w:rFonts w:asciiTheme="minorBidi" w:hAnsiTheme="minorBidi"/>
          <w:rtl/>
        </w:rPr>
        <w:t xml:space="preserve">שי"א שזהו דעת הרי"ף </w:t>
      </w:r>
      <w:r w:rsidRPr="00085E47">
        <w:rPr>
          <w:rFonts w:asciiTheme="minorBidi" w:hAnsiTheme="minorBidi"/>
          <w:sz w:val="16"/>
          <w:szCs w:val="16"/>
          <w:rtl/>
        </w:rPr>
        <w:t>(שלא כתב דחתיכה עצמה נעשית נבלה להצריכה שיעור כיוצא בה לדברי חכמים שאומרים מין במינו בטל)</w:t>
      </w:r>
      <w:r w:rsidRPr="00085E47">
        <w:rPr>
          <w:rFonts w:asciiTheme="minorBidi" w:hAnsiTheme="minorBidi"/>
          <w:rtl/>
        </w:rPr>
        <w:t xml:space="preserve">- מ"מ כבר כתב הר"ן שאין זה מחוור וירושלמי דערלה </w:t>
      </w:r>
      <w:r w:rsidRPr="00085E47">
        <w:rPr>
          <w:rFonts w:asciiTheme="minorBidi" w:hAnsiTheme="minorBidi"/>
          <w:sz w:val="16"/>
          <w:szCs w:val="16"/>
          <w:rtl/>
        </w:rPr>
        <w:t xml:space="preserve">(פ"ב מ"ז) </w:t>
      </w:r>
      <w:r w:rsidRPr="00085E47">
        <w:rPr>
          <w:rFonts w:asciiTheme="minorBidi" w:hAnsiTheme="minorBidi"/>
          <w:rtl/>
        </w:rPr>
        <w:t xml:space="preserve">הוי תיובתיה ואף הרמב"ן </w:t>
      </w:r>
      <w:r w:rsidRPr="00085E47">
        <w:rPr>
          <w:rFonts w:asciiTheme="minorBidi" w:hAnsiTheme="minorBidi"/>
          <w:sz w:val="16"/>
          <w:szCs w:val="16"/>
          <w:rtl/>
        </w:rPr>
        <w:t xml:space="preserve">(קח: ד"ה ויש לומר) </w:t>
      </w:r>
      <w:r w:rsidRPr="00085E47">
        <w:rPr>
          <w:rFonts w:asciiTheme="minorBidi" w:hAnsiTheme="minorBidi"/>
          <w:rtl/>
        </w:rPr>
        <w:t xml:space="preserve">כ' שהלכה רווחת היא חתיכה עצמה נעשית נבלה ואוסרת אפילו לדברי חכמים, וכן ראוי לדון ולהורות לענין מעשה </w:t>
      </w:r>
      <w:r w:rsidRPr="00085E47">
        <w:rPr>
          <w:rFonts w:asciiTheme="minorBidi" w:hAnsiTheme="minorBidi"/>
          <w:sz w:val="16"/>
          <w:szCs w:val="16"/>
          <w:rtl/>
        </w:rPr>
        <w:t>{עכ"ל הר"ן}</w:t>
      </w:r>
      <w:r w:rsidRPr="00085E47">
        <w:rPr>
          <w:rFonts w:asciiTheme="minorBidi" w:hAnsiTheme="minorBidi"/>
          <w:rtl/>
        </w:rPr>
        <w:t xml:space="preserve">. וגם הה"מ </w:t>
      </w:r>
      <w:r w:rsidRPr="00085E47">
        <w:rPr>
          <w:rFonts w:asciiTheme="minorBidi" w:hAnsiTheme="minorBidi"/>
          <w:sz w:val="16"/>
          <w:szCs w:val="16"/>
          <w:rtl/>
        </w:rPr>
        <w:t>(שם ה"ח)</w:t>
      </w:r>
      <w:r w:rsidRPr="00085E47">
        <w:rPr>
          <w:rFonts w:asciiTheme="minorBidi" w:hAnsiTheme="minorBidi"/>
          <w:rtl/>
        </w:rPr>
        <w:t xml:space="preserve"> כ' שכבר הסכימו רוב המפרשים דאפילו לרבנן חתיכה עצמה נעשית נבלה לאסור בששים כנגדה.</w:t>
      </w:r>
    </w:p>
  </w:footnote>
  <w:footnote w:id="1417">
    <w:p w14:paraId="54C795BF"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דברי הכל היא דכיון דלבטל החתיכה עצמה אנו באים ה"ל מין במינו וליכא למיקם ביה אטעמא הילכך צריך ששים לכו"ע, ב"י.</w:t>
      </w:r>
    </w:p>
  </w:footnote>
  <w:footnote w:id="1418">
    <w:p w14:paraId="07C8A492" w14:textId="77777777" w:rsidR="004C5A3C" w:rsidRDefault="004C5A3C" w:rsidP="002C39F4">
      <w:pPr>
        <w:pStyle w:val="a5"/>
        <w:rPr>
          <w:rtl/>
        </w:rPr>
      </w:pPr>
      <w:r>
        <w:rPr>
          <w:rStyle w:val="a7"/>
        </w:rPr>
        <w:footnoteRef/>
      </w:r>
      <w:r>
        <w:rPr>
          <w:rtl/>
        </w:rPr>
        <w:t xml:space="preserve"> </w:t>
      </w:r>
      <w:r w:rsidRPr="001C5837">
        <w:rPr>
          <w:rFonts w:cs="Arial"/>
          <w:rtl/>
        </w:rPr>
        <w:t>הרוטב מותר אם אין בחתיכות האיסור כדי לתת טעם בכל החתיכות והקיפה והרוטב</w:t>
      </w:r>
      <w:r>
        <w:rPr>
          <w:rFonts w:cs="Arial" w:hint="cs"/>
          <w:rtl/>
        </w:rPr>
        <w:t>, רש"י</w:t>
      </w:r>
      <w:r w:rsidRPr="001C5837">
        <w:rPr>
          <w:rFonts w:cs="Arial"/>
          <w:rtl/>
        </w:rPr>
        <w:t>.</w:t>
      </w:r>
    </w:p>
  </w:footnote>
  <w:footnote w:id="1419">
    <w:p w14:paraId="375E22E5" w14:textId="77777777" w:rsidR="004C5A3C" w:rsidRDefault="004C5A3C" w:rsidP="002C39F4">
      <w:pPr>
        <w:pStyle w:val="a5"/>
        <w:rPr>
          <w:rtl/>
        </w:rPr>
      </w:pPr>
      <w:r>
        <w:rPr>
          <w:rStyle w:val="a7"/>
        </w:rPr>
        <w:footnoteRef/>
      </w:r>
      <w:r>
        <w:rPr>
          <w:rtl/>
        </w:rPr>
        <w:t xml:space="preserve"> </w:t>
      </w:r>
      <w:r w:rsidRPr="001C5837">
        <w:rPr>
          <w:rFonts w:cs="Arial"/>
          <w:rtl/>
        </w:rPr>
        <w:t xml:space="preserve">והביאו בב"י </w:t>
      </w:r>
      <w:r w:rsidRPr="001C5837">
        <w:rPr>
          <w:rFonts w:cs="Arial" w:hint="cs"/>
          <w:sz w:val="16"/>
          <w:szCs w:val="16"/>
          <w:rtl/>
        </w:rPr>
        <w:t>(</w:t>
      </w:r>
      <w:r w:rsidRPr="001C5837">
        <w:rPr>
          <w:rFonts w:cs="Arial"/>
          <w:sz w:val="16"/>
          <w:szCs w:val="16"/>
          <w:rtl/>
        </w:rPr>
        <w:t>עמ</w:t>
      </w:r>
      <w:r w:rsidRPr="001C5837">
        <w:rPr>
          <w:rFonts w:cs="Arial" w:hint="cs"/>
          <w:sz w:val="16"/>
          <w:szCs w:val="16"/>
          <w:rtl/>
        </w:rPr>
        <w:t>'</w:t>
      </w:r>
      <w:r w:rsidRPr="001C5837">
        <w:rPr>
          <w:rFonts w:cs="Arial"/>
          <w:sz w:val="16"/>
          <w:szCs w:val="16"/>
          <w:rtl/>
        </w:rPr>
        <w:t xml:space="preserve"> ריג ד"ה כתוב</w:t>
      </w:r>
      <w:r w:rsidRPr="001C5837">
        <w:rPr>
          <w:rFonts w:cs="Arial" w:hint="cs"/>
          <w:sz w:val="16"/>
          <w:szCs w:val="16"/>
          <w:rtl/>
        </w:rPr>
        <w:t>)</w:t>
      </w:r>
      <w:r w:rsidRPr="001C5837">
        <w:rPr>
          <w:rFonts w:cs="Arial"/>
          <w:sz w:val="16"/>
          <w:szCs w:val="16"/>
          <w:rtl/>
        </w:rPr>
        <w:t xml:space="preserve"> </w:t>
      </w:r>
      <w:r w:rsidRPr="001C5837">
        <w:rPr>
          <w:rFonts w:cs="Arial"/>
          <w:rtl/>
        </w:rPr>
        <w:t>בלי חולק. ואין לסמוך על זה</w:t>
      </w:r>
      <w:r>
        <w:rPr>
          <w:rFonts w:cs="Arial" w:hint="cs"/>
          <w:rtl/>
        </w:rPr>
        <w:t>,</w:t>
      </w:r>
      <w:r w:rsidRPr="001C5837">
        <w:rPr>
          <w:rFonts w:cs="Arial"/>
          <w:rtl/>
        </w:rPr>
        <w:t xml:space="preserve"> שהרי בדברי הרמב"ם </w:t>
      </w:r>
      <w:r w:rsidRPr="001C5837">
        <w:rPr>
          <w:rFonts w:cs="Arial" w:hint="cs"/>
          <w:sz w:val="16"/>
          <w:szCs w:val="16"/>
          <w:rtl/>
        </w:rPr>
        <w:t>(פט"ו הכ"ז)</w:t>
      </w:r>
      <w:r w:rsidRPr="001C5837">
        <w:rPr>
          <w:rFonts w:cs="Arial"/>
          <w:sz w:val="16"/>
          <w:szCs w:val="16"/>
          <w:rtl/>
        </w:rPr>
        <w:t xml:space="preserve"> </w:t>
      </w:r>
      <w:r w:rsidRPr="001C5837">
        <w:rPr>
          <w:rFonts w:cs="Arial"/>
          <w:rtl/>
        </w:rPr>
        <w:t>מבואר דאף בשר עוף בחלב בנותן טעם, וכן בדברי התוס</w:t>
      </w:r>
      <w:r>
        <w:rPr>
          <w:rFonts w:cs="Arial" w:hint="cs"/>
          <w:rtl/>
        </w:rPr>
        <w:t>'</w:t>
      </w:r>
      <w:r w:rsidRPr="001C5837">
        <w:rPr>
          <w:rFonts w:cs="Arial"/>
          <w:rtl/>
        </w:rPr>
        <w:t xml:space="preserve"> </w:t>
      </w:r>
      <w:r w:rsidRPr="001C5837">
        <w:rPr>
          <w:rFonts w:cs="Arial" w:hint="cs"/>
          <w:sz w:val="16"/>
          <w:szCs w:val="16"/>
          <w:rtl/>
        </w:rPr>
        <w:t>(</w:t>
      </w:r>
      <w:r w:rsidRPr="001C5837">
        <w:rPr>
          <w:rFonts w:cs="Arial"/>
          <w:sz w:val="16"/>
          <w:szCs w:val="16"/>
          <w:rtl/>
        </w:rPr>
        <w:t>פסחים ל</w:t>
      </w:r>
      <w:r w:rsidRPr="001C5837">
        <w:rPr>
          <w:rFonts w:cs="Arial" w:hint="cs"/>
          <w:sz w:val="16"/>
          <w:szCs w:val="16"/>
          <w:rtl/>
        </w:rPr>
        <w:t>.</w:t>
      </w:r>
      <w:r w:rsidRPr="001C5837">
        <w:rPr>
          <w:rFonts w:cs="Arial"/>
          <w:sz w:val="16"/>
          <w:szCs w:val="16"/>
          <w:rtl/>
        </w:rPr>
        <w:t xml:space="preserve"> ד"ה לישהינהו</w:t>
      </w:r>
      <w:r w:rsidRPr="001C5837">
        <w:rPr>
          <w:rFonts w:cs="Arial" w:hint="cs"/>
          <w:sz w:val="16"/>
          <w:szCs w:val="16"/>
          <w:rtl/>
        </w:rPr>
        <w:t>)</w:t>
      </w:r>
      <w:r w:rsidRPr="001C5837">
        <w:rPr>
          <w:rFonts w:cs="Arial"/>
          <w:sz w:val="16"/>
          <w:szCs w:val="16"/>
          <w:rtl/>
        </w:rPr>
        <w:t xml:space="preserve"> </w:t>
      </w:r>
      <w:r w:rsidRPr="001C5837">
        <w:rPr>
          <w:rFonts w:cs="Arial"/>
          <w:rtl/>
        </w:rPr>
        <w:t xml:space="preserve">איתא דכל איסורין דרבנן צריך ששים, וכן דעת הרשב"א </w:t>
      </w:r>
      <w:r w:rsidRPr="001C5837">
        <w:rPr>
          <w:rFonts w:cs="Arial" w:hint="cs"/>
          <w:sz w:val="16"/>
          <w:szCs w:val="16"/>
          <w:rtl/>
        </w:rPr>
        <w:t>(</w:t>
      </w:r>
      <w:r w:rsidRPr="001C5837">
        <w:rPr>
          <w:rFonts w:cs="Arial"/>
          <w:sz w:val="16"/>
          <w:szCs w:val="16"/>
          <w:rtl/>
        </w:rPr>
        <w:t>בתו</w:t>
      </w:r>
      <w:r w:rsidRPr="001C5837">
        <w:rPr>
          <w:rFonts w:cs="Arial" w:hint="cs"/>
          <w:sz w:val="16"/>
          <w:szCs w:val="16"/>
          <w:rtl/>
        </w:rPr>
        <w:t xml:space="preserve">ה"ב </w:t>
      </w:r>
      <w:r w:rsidRPr="001C5837">
        <w:rPr>
          <w:rFonts w:cs="Arial"/>
          <w:sz w:val="16"/>
          <w:szCs w:val="16"/>
          <w:rtl/>
        </w:rPr>
        <w:t>שם ה, א; יח, א</w:t>
      </w:r>
      <w:r w:rsidRPr="001C5837">
        <w:rPr>
          <w:rFonts w:cs="Arial" w:hint="cs"/>
          <w:sz w:val="16"/>
          <w:szCs w:val="16"/>
          <w:rtl/>
        </w:rPr>
        <w:t>)</w:t>
      </w:r>
      <w:r w:rsidRPr="001C5837">
        <w:rPr>
          <w:rFonts w:cs="Arial"/>
          <w:sz w:val="16"/>
          <w:szCs w:val="16"/>
          <w:rtl/>
        </w:rPr>
        <w:t xml:space="preserve"> </w:t>
      </w:r>
      <w:r w:rsidRPr="001C5837">
        <w:rPr>
          <w:rFonts w:cs="Arial"/>
          <w:rtl/>
        </w:rPr>
        <w:t>ע"ש. והא דאמרינן בפ</w:t>
      </w:r>
      <w:r>
        <w:rPr>
          <w:rFonts w:cs="Arial" w:hint="cs"/>
          <w:rtl/>
        </w:rPr>
        <w:t>"</w:t>
      </w:r>
      <w:r w:rsidRPr="001C5837">
        <w:rPr>
          <w:rFonts w:cs="Arial"/>
          <w:rtl/>
        </w:rPr>
        <w:t xml:space="preserve">ק דביצה </w:t>
      </w:r>
      <w:r w:rsidRPr="001C5837">
        <w:rPr>
          <w:rFonts w:cs="Arial" w:hint="cs"/>
          <w:sz w:val="16"/>
          <w:szCs w:val="16"/>
          <w:rtl/>
        </w:rPr>
        <w:t>(</w:t>
      </w:r>
      <w:r w:rsidRPr="001C5837">
        <w:rPr>
          <w:rFonts w:cs="Arial"/>
          <w:sz w:val="16"/>
          <w:szCs w:val="16"/>
          <w:rtl/>
        </w:rPr>
        <w:t>ד</w:t>
      </w:r>
      <w:r w:rsidRPr="001C5837">
        <w:rPr>
          <w:rFonts w:cs="Arial" w:hint="cs"/>
          <w:sz w:val="16"/>
          <w:szCs w:val="16"/>
          <w:rtl/>
        </w:rPr>
        <w:t>:)</w:t>
      </w:r>
      <w:r w:rsidRPr="001C5837">
        <w:rPr>
          <w:rFonts w:cs="Arial"/>
          <w:sz w:val="16"/>
          <w:szCs w:val="16"/>
          <w:rtl/>
        </w:rPr>
        <w:t xml:space="preserve"> </w:t>
      </w:r>
      <w:r w:rsidRPr="001C5837">
        <w:rPr>
          <w:rFonts w:cs="Arial"/>
          <w:rtl/>
        </w:rPr>
        <w:t xml:space="preserve">דעצים שנשרו מן הדקל לתוך התנור ביום טוב מרבה עליה עצים מוכנים ומסיקם, שאני התם דמקלא קלי איסורא לדעת הרא"ש </w:t>
      </w:r>
      <w:r w:rsidRPr="001C5837">
        <w:rPr>
          <w:rFonts w:cs="Arial" w:hint="cs"/>
          <w:sz w:val="16"/>
          <w:szCs w:val="16"/>
          <w:rtl/>
        </w:rPr>
        <w:t>(</w:t>
      </w:r>
      <w:r w:rsidRPr="001C5837">
        <w:rPr>
          <w:rFonts w:cs="Arial"/>
          <w:sz w:val="16"/>
          <w:szCs w:val="16"/>
          <w:rtl/>
        </w:rPr>
        <w:t>ביצה פ"א סי</w:t>
      </w:r>
      <w:r w:rsidRPr="001C5837">
        <w:rPr>
          <w:rFonts w:cs="Arial" w:hint="cs"/>
          <w:sz w:val="16"/>
          <w:szCs w:val="16"/>
          <w:rtl/>
        </w:rPr>
        <w:t>'</w:t>
      </w:r>
      <w:r w:rsidRPr="001C5837">
        <w:rPr>
          <w:rFonts w:cs="Arial"/>
          <w:sz w:val="16"/>
          <w:szCs w:val="16"/>
          <w:rtl/>
        </w:rPr>
        <w:t xml:space="preserve"> ב</w:t>
      </w:r>
      <w:r w:rsidRPr="001C5837">
        <w:rPr>
          <w:rFonts w:cs="Arial" w:hint="cs"/>
          <w:sz w:val="16"/>
          <w:szCs w:val="16"/>
          <w:rtl/>
        </w:rPr>
        <w:t>)</w:t>
      </w:r>
      <w:r w:rsidRPr="001C5837">
        <w:rPr>
          <w:rFonts w:cs="Arial"/>
          <w:sz w:val="16"/>
          <w:szCs w:val="16"/>
          <w:rtl/>
        </w:rPr>
        <w:t xml:space="preserve"> </w:t>
      </w:r>
      <w:r w:rsidRPr="001C5837">
        <w:rPr>
          <w:rFonts w:cs="Arial"/>
          <w:rtl/>
        </w:rPr>
        <w:t>ולהכי סגי ליה ברובא, א</w:t>
      </w:r>
      <w:r>
        <w:rPr>
          <w:rFonts w:cs="Arial" w:hint="cs"/>
          <w:rtl/>
        </w:rPr>
        <w:t>"נ</w:t>
      </w:r>
      <w:r w:rsidRPr="001C5837">
        <w:rPr>
          <w:rFonts w:cs="Arial"/>
          <w:rtl/>
        </w:rPr>
        <w:t xml:space="preserve"> דיבש ביבש חד בתרי בטיל</w:t>
      </w:r>
      <w:r>
        <w:rPr>
          <w:rFonts w:cs="Arial" w:hint="cs"/>
          <w:rtl/>
        </w:rPr>
        <w:t>,</w:t>
      </w:r>
      <w:r w:rsidRPr="001C5837">
        <w:rPr>
          <w:rFonts w:cs="Arial"/>
          <w:rtl/>
        </w:rPr>
        <w:t xml:space="preserve"> וזה עיקר. וכן חלת ח</w:t>
      </w:r>
      <w:r>
        <w:rPr>
          <w:rFonts w:cs="Arial" w:hint="cs"/>
          <w:rtl/>
        </w:rPr>
        <w:t>ו"ל</w:t>
      </w:r>
      <w:r w:rsidRPr="001C5837">
        <w:rPr>
          <w:rFonts w:cs="Arial"/>
          <w:rtl/>
        </w:rPr>
        <w:t xml:space="preserve"> דאיתא בפרק עד כמה </w:t>
      </w:r>
      <w:r w:rsidRPr="001C5837">
        <w:rPr>
          <w:rFonts w:cs="Arial" w:hint="cs"/>
          <w:sz w:val="16"/>
          <w:szCs w:val="16"/>
          <w:rtl/>
        </w:rPr>
        <w:t>(</w:t>
      </w:r>
      <w:r w:rsidRPr="001C5837">
        <w:rPr>
          <w:rFonts w:cs="Arial"/>
          <w:sz w:val="16"/>
          <w:szCs w:val="16"/>
          <w:rtl/>
        </w:rPr>
        <w:t>בכורות כז</w:t>
      </w:r>
      <w:r w:rsidRPr="001C5837">
        <w:rPr>
          <w:rFonts w:cs="Arial" w:hint="cs"/>
          <w:sz w:val="16"/>
          <w:szCs w:val="16"/>
          <w:rtl/>
        </w:rPr>
        <w:t>.)</w:t>
      </w:r>
      <w:r w:rsidRPr="001C5837">
        <w:rPr>
          <w:rFonts w:cs="Arial"/>
          <w:sz w:val="16"/>
          <w:szCs w:val="16"/>
          <w:rtl/>
        </w:rPr>
        <w:t xml:space="preserve"> </w:t>
      </w:r>
      <w:r w:rsidRPr="001C5837">
        <w:rPr>
          <w:rFonts w:cs="Arial"/>
          <w:rtl/>
        </w:rPr>
        <w:t>דמותר לבטלה ברוב, אין למדין הימנה שבתרומת חו</w:t>
      </w:r>
      <w:r>
        <w:rPr>
          <w:rFonts w:cs="Arial" w:hint="cs"/>
          <w:rtl/>
        </w:rPr>
        <w:t>"</w:t>
      </w:r>
      <w:r w:rsidRPr="001C5837">
        <w:rPr>
          <w:rFonts w:cs="Arial"/>
          <w:rtl/>
        </w:rPr>
        <w:t>ל היקלו יותר</w:t>
      </w:r>
      <w:r>
        <w:rPr>
          <w:rFonts w:cs="Arial" w:hint="cs"/>
          <w:rtl/>
        </w:rPr>
        <w:t>,</w:t>
      </w:r>
      <w:r w:rsidRPr="001C5837">
        <w:rPr>
          <w:rFonts w:cs="Arial"/>
          <w:rtl/>
        </w:rPr>
        <w:t xml:space="preserve"> וכמו שכתב הרשב"א </w:t>
      </w:r>
      <w:r>
        <w:rPr>
          <w:rFonts w:cs="Arial" w:hint="cs"/>
          <w:sz w:val="16"/>
          <w:szCs w:val="16"/>
          <w:rtl/>
        </w:rPr>
        <w:t>(</w:t>
      </w:r>
      <w:r w:rsidRPr="001C5837">
        <w:rPr>
          <w:rFonts w:cs="Arial"/>
          <w:sz w:val="16"/>
          <w:szCs w:val="16"/>
          <w:rtl/>
        </w:rPr>
        <w:t>תו</w:t>
      </w:r>
      <w:r w:rsidRPr="001C5837">
        <w:rPr>
          <w:rFonts w:cs="Arial" w:hint="cs"/>
          <w:sz w:val="16"/>
          <w:szCs w:val="16"/>
          <w:rtl/>
        </w:rPr>
        <w:t>ה"ב</w:t>
      </w:r>
      <w:r w:rsidRPr="001C5837">
        <w:rPr>
          <w:rFonts w:cs="Arial"/>
          <w:sz w:val="16"/>
          <w:szCs w:val="16"/>
          <w:rtl/>
        </w:rPr>
        <w:t xml:space="preserve"> </w:t>
      </w:r>
      <w:r w:rsidRPr="001C5837">
        <w:rPr>
          <w:rFonts w:cs="Arial" w:hint="cs"/>
          <w:sz w:val="16"/>
          <w:szCs w:val="16"/>
          <w:rtl/>
        </w:rPr>
        <w:t>ב"</w:t>
      </w:r>
      <w:r w:rsidRPr="001C5837">
        <w:rPr>
          <w:rFonts w:cs="Arial"/>
          <w:sz w:val="16"/>
          <w:szCs w:val="16"/>
          <w:rtl/>
        </w:rPr>
        <w:t>ד ש</w:t>
      </w:r>
      <w:r w:rsidRPr="001C5837">
        <w:rPr>
          <w:rFonts w:cs="Arial" w:hint="cs"/>
          <w:sz w:val="16"/>
          <w:szCs w:val="16"/>
          <w:rtl/>
        </w:rPr>
        <w:t>"</w:t>
      </w:r>
      <w:r w:rsidRPr="001C5837">
        <w:rPr>
          <w:rFonts w:cs="Arial"/>
          <w:sz w:val="16"/>
          <w:szCs w:val="16"/>
          <w:rtl/>
        </w:rPr>
        <w:t>ג לב, ב</w:t>
      </w:r>
      <w:r w:rsidRPr="001C5837">
        <w:rPr>
          <w:rFonts w:cs="Arial" w:hint="cs"/>
          <w:sz w:val="16"/>
          <w:szCs w:val="16"/>
          <w:rtl/>
        </w:rPr>
        <w:t>)</w:t>
      </w:r>
      <w:r w:rsidRPr="001C5837">
        <w:rPr>
          <w:rFonts w:cs="Arial"/>
          <w:sz w:val="16"/>
          <w:szCs w:val="16"/>
          <w:rtl/>
        </w:rPr>
        <w:t xml:space="preserve"> </w:t>
      </w:r>
      <w:r w:rsidRPr="001C5837">
        <w:rPr>
          <w:rFonts w:cs="Arial"/>
          <w:rtl/>
        </w:rPr>
        <w:t>ע"ש</w:t>
      </w:r>
      <w:r>
        <w:rPr>
          <w:rFonts w:cs="Arial" w:hint="cs"/>
          <w:rtl/>
        </w:rPr>
        <w:t>,</w:t>
      </w:r>
      <w:r w:rsidRPr="001C5837">
        <w:rPr>
          <w:rFonts w:cs="Arial"/>
          <w:rtl/>
        </w:rPr>
        <w:t xml:space="preserve"> וכדלקמן בסי</w:t>
      </w:r>
      <w:r>
        <w:rPr>
          <w:rFonts w:cs="Arial" w:hint="cs"/>
          <w:rtl/>
        </w:rPr>
        <w:t>'</w:t>
      </w:r>
      <w:r w:rsidRPr="001C5837">
        <w:rPr>
          <w:rFonts w:cs="Arial"/>
          <w:rtl/>
        </w:rPr>
        <w:t xml:space="preserve"> צט סקי"ז</w:t>
      </w:r>
      <w:r>
        <w:rPr>
          <w:rFonts w:cs="Arial" w:hint="cs"/>
          <w:rtl/>
        </w:rPr>
        <w:t xml:space="preserve">, פר"ח </w:t>
      </w:r>
      <w:r w:rsidRPr="001C5837">
        <w:rPr>
          <w:rFonts w:cs="Arial" w:hint="cs"/>
          <w:sz w:val="16"/>
          <w:szCs w:val="16"/>
          <w:rtl/>
        </w:rPr>
        <w:t>(סקי"א)</w:t>
      </w:r>
      <w:r>
        <w:rPr>
          <w:rFonts w:cs="Arial" w:hint="cs"/>
          <w:rtl/>
        </w:rPr>
        <w:t xml:space="preserve"> </w:t>
      </w:r>
    </w:p>
  </w:footnote>
  <w:footnote w:id="1420">
    <w:p w14:paraId="316D8B53"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אבל בלא בישול אינה אוסרת אפילו בשניהם חמין, ולא אמרו בסי' צא סע' ד בחם לתוך חם דאוסר הכל אלא באיסור מחמת עצמו משא"כ כאן באיסור בלוע, ואע"ג דבסי' ק"ה ס"ז השוה בשר בחלב לאיסור מחמת עצמו היינו בשר עצמו עם חלב עצמה כמו שמבואר שם בדברינו </w:t>
      </w:r>
      <w:r w:rsidRPr="00085E47">
        <w:rPr>
          <w:rFonts w:asciiTheme="minorBidi" w:hAnsiTheme="minorBidi"/>
          <w:sz w:val="16"/>
          <w:szCs w:val="16"/>
          <w:rtl/>
        </w:rPr>
        <w:t xml:space="preserve">{סקי"ג} </w:t>
      </w:r>
      <w:r w:rsidRPr="00085E47">
        <w:rPr>
          <w:rFonts w:asciiTheme="minorBidi" w:hAnsiTheme="minorBidi"/>
          <w:rtl/>
        </w:rPr>
        <w:t>בס"ד, ט"ז (סק"ז).</w:t>
      </w:r>
    </w:p>
  </w:footnote>
  <w:footnote w:id="1421">
    <w:p w14:paraId="5286CAB7"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כשיש ששים נגד החתיכה, ואם אינה מכירה הרוטב מותר כשיש ס' בחתיכות וברוטב וכל החתיכות אסורות אם חתיכת האיסור, כלומר שנאסרה מבשר בחלב, הוי ראויה להתכבד, דקי"ל לקמן ר"ס ק"א דבשר בחלב הוי איסור מחמת עצמו, ואם היא ראויה להתכבד לא בטיל באלף, ואם אינה ראויה להתכבד בטלה ברוב כדלקמן סי' ק"ט, ש"ך (סק"ט).</w:t>
      </w:r>
    </w:p>
  </w:footnote>
  <w:footnote w:id="1422">
    <w:p w14:paraId="181BA6F9"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התוס' הביאו את דברי ה"ר אפרים לאחר דברי ר"ת והאריכו הרבה בדבר ובסוף דבריהם כתבו- כתב רבינו יהודה דנראה לר"י להחמיר בדבר כיון דאין ראיה ברורה בדבר, ע"כ. וכ"כ סמ"ג (לאוין קמ קמא נא ע"ג) דאין לעשות מעשה להקל כדברי ה"ר אפרים כי כל רבותינו הקדמונים חולקים עליו. וסמ"ק (סי' ריג) כתב דאין השיטה מוכחת כדברי ה"ר אפרים.</w:t>
      </w:r>
    </w:p>
  </w:footnote>
  <w:footnote w:id="1423">
    <w:p w14:paraId="77E165C9"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אפשר לסוחטו אסור פירושו חתיכה נעשית נבילה, כי אם היא נבילה מה יעזור שיסחוט ממנה? הרי כולה איסור.</w:t>
      </w:r>
    </w:p>
  </w:footnote>
  <w:footnote w:id="1424">
    <w:p w14:paraId="1D0ACD3A"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כן הבין הה"מ (פ"ט סוף ה"ח) מדבריו, שהרי לא הזכיר הרמב"ם חנ"נ בשאר איסורין, ובהלכות תרומות (פי"ג ה"ג) כתב שאין המדומע מדמע אלא לפי חשבון ולא חילק בין המדומע לשאר איסורין מחמת בלע.</w:t>
      </w:r>
    </w:p>
  </w:footnote>
  <w:footnote w:id="1425">
    <w:p w14:paraId="426FF1A1"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ה"ר אפרים </w:t>
      </w:r>
      <w:r w:rsidRPr="00085E47">
        <w:rPr>
          <w:rFonts w:asciiTheme="minorBidi" w:hAnsiTheme="minorBidi"/>
          <w:sz w:val="16"/>
          <w:szCs w:val="16"/>
          <w:rtl/>
        </w:rPr>
        <w:t>(תוס' ק. ד"ה בשקדם וסילק)</w:t>
      </w:r>
      <w:r w:rsidRPr="00085E47">
        <w:rPr>
          <w:rFonts w:asciiTheme="minorBidi" w:hAnsiTheme="minorBidi"/>
          <w:rtl/>
        </w:rPr>
        <w:t xml:space="preserve"> רמב"ם רשב"א</w:t>
      </w:r>
      <w:r w:rsidRPr="00085E47">
        <w:rPr>
          <w:rFonts w:asciiTheme="minorBidi" w:hAnsiTheme="minorBidi"/>
          <w:sz w:val="16"/>
          <w:szCs w:val="16"/>
          <w:rtl/>
        </w:rPr>
        <w:t xml:space="preserve"> (תוה"א ב"ד ש"א ח.,</w:t>
      </w:r>
      <w:r w:rsidRPr="00085E47">
        <w:rPr>
          <w:rFonts w:asciiTheme="minorBidi" w:hAnsiTheme="minorBidi"/>
          <w:rtl/>
        </w:rPr>
        <w:t xml:space="preserve"> </w:t>
      </w:r>
      <w:r w:rsidRPr="00085E47">
        <w:rPr>
          <w:rFonts w:asciiTheme="minorBidi" w:hAnsiTheme="minorBidi"/>
          <w:sz w:val="16"/>
          <w:szCs w:val="16"/>
          <w:rtl/>
        </w:rPr>
        <w:t>ובמיוחסות סי' קסז)</w:t>
      </w:r>
      <w:r w:rsidRPr="00085E47">
        <w:rPr>
          <w:rFonts w:asciiTheme="minorBidi" w:hAnsiTheme="minorBidi"/>
          <w:rtl/>
        </w:rPr>
        <w:t xml:space="preserve"> רא"ש </w:t>
      </w:r>
      <w:r w:rsidRPr="00085E47">
        <w:rPr>
          <w:rFonts w:asciiTheme="minorBidi" w:hAnsiTheme="minorBidi"/>
          <w:sz w:val="16"/>
          <w:szCs w:val="16"/>
          <w:rtl/>
        </w:rPr>
        <w:t>(כ"כ הטור בשמו</w:t>
      </w:r>
      <w:r w:rsidRPr="00085E47">
        <w:rPr>
          <w:rStyle w:val="a7"/>
          <w:rFonts w:asciiTheme="minorBidi" w:hAnsiTheme="minorBidi"/>
          <w:sz w:val="16"/>
          <w:szCs w:val="16"/>
          <w:rtl/>
        </w:rPr>
        <w:footnoteRef/>
      </w:r>
      <w:r w:rsidRPr="00085E47">
        <w:rPr>
          <w:rFonts w:asciiTheme="minorBidi" w:hAnsiTheme="minorBidi"/>
          <w:sz w:val="16"/>
          <w:szCs w:val="16"/>
          <w:rtl/>
        </w:rPr>
        <w:t>)</w:t>
      </w:r>
      <w:r w:rsidRPr="00085E47">
        <w:rPr>
          <w:rFonts w:asciiTheme="minorBidi" w:hAnsiTheme="minorBidi"/>
          <w:rtl/>
        </w:rPr>
        <w:t xml:space="preserve"> והה"מ</w:t>
      </w:r>
      <w:r w:rsidRPr="00085E47">
        <w:rPr>
          <w:rFonts w:asciiTheme="minorBidi" w:hAnsiTheme="minorBidi"/>
          <w:sz w:val="16"/>
          <w:szCs w:val="16"/>
          <w:rtl/>
        </w:rPr>
        <w:t xml:space="preserve"> (פ"ט ה"ח)</w:t>
      </w:r>
      <w:r w:rsidRPr="00085E47">
        <w:rPr>
          <w:rFonts w:asciiTheme="minorBidi" w:hAnsiTheme="minorBidi"/>
          <w:rtl/>
        </w:rPr>
        <w:t>.</w:t>
      </w:r>
    </w:p>
  </w:footnote>
  <w:footnote w:id="1426">
    <w:p w14:paraId="5B9572DF"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משום שהכל חזר כגוף אחד של איסור, רשב"א.</w:t>
      </w:r>
    </w:p>
  </w:footnote>
  <w:footnote w:id="1427">
    <w:p w14:paraId="0F64B67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דמאיזה טעם יאסור כשיעור כולה והלא מה שהיא פולטת אינו פליטת האיסור, רשב"א. וכ' עוד הרשב"א במיוחסות (סי' קסז) על דברי רבינו אפרים וז"ל- ודרכו ישרה והלכתו ברורה מכמה ראיות וכן אנו נוהגין ועושים מעשה.</w:t>
      </w:r>
    </w:p>
  </w:footnote>
  <w:footnote w:id="1428">
    <w:p w14:paraId="25B9E5AE" w14:textId="77777777" w:rsidR="004C5A3C" w:rsidRPr="00085E47" w:rsidRDefault="004C5A3C" w:rsidP="002C39F4">
      <w:pPr>
        <w:pStyle w:val="a5"/>
        <w:rPr>
          <w:rFonts w:asciiTheme="minorBidi" w:hAnsiTheme="minorBidi"/>
        </w:rPr>
      </w:pPr>
      <w:r w:rsidRPr="00401A7C">
        <w:rPr>
          <w:rStyle w:val="a7"/>
          <w:rFonts w:asciiTheme="minorBidi" w:hAnsiTheme="minorBidi"/>
        </w:rPr>
        <w:footnoteRef/>
      </w:r>
      <w:r w:rsidRPr="00401A7C">
        <w:rPr>
          <w:rFonts w:asciiTheme="minorBidi" w:hAnsiTheme="minorBidi"/>
          <w:rtl/>
        </w:rPr>
        <w:t xml:space="preserve"> </w:t>
      </w:r>
      <w:r w:rsidRPr="00401A7C">
        <w:rPr>
          <w:rFonts w:asciiTheme="minorBidi" w:hAnsiTheme="minorBidi" w:hint="cs"/>
          <w:rtl/>
        </w:rPr>
        <w:t xml:space="preserve">ונחלקו הפוסקים האם </w:t>
      </w:r>
      <w:r w:rsidRPr="00401A7C">
        <w:rPr>
          <w:rFonts w:asciiTheme="minorBidi" w:hAnsiTheme="minorBidi"/>
          <w:rtl/>
        </w:rPr>
        <w:t>לד</w:t>
      </w:r>
      <w:r>
        <w:rPr>
          <w:rFonts w:asciiTheme="minorBidi" w:hAnsiTheme="minorBidi" w:hint="cs"/>
          <w:rtl/>
        </w:rPr>
        <w:t>'</w:t>
      </w:r>
      <w:r w:rsidRPr="00401A7C">
        <w:rPr>
          <w:rFonts w:asciiTheme="minorBidi" w:hAnsiTheme="minorBidi"/>
          <w:rtl/>
        </w:rPr>
        <w:t xml:space="preserve"> רבנו אפרים</w:t>
      </w:r>
      <w:r w:rsidRPr="00401A7C">
        <w:rPr>
          <w:rFonts w:asciiTheme="minorBidi" w:hAnsiTheme="minorBidi" w:hint="cs"/>
          <w:rtl/>
        </w:rPr>
        <w:t xml:space="preserve"> בכה"ג </w:t>
      </w:r>
      <w:r w:rsidRPr="00401A7C">
        <w:rPr>
          <w:rFonts w:cs="Arial" w:hint="cs"/>
          <w:sz w:val="16"/>
          <w:szCs w:val="16"/>
          <w:rtl/>
        </w:rPr>
        <w:t>(</w:t>
      </w:r>
      <w:r w:rsidRPr="00401A7C">
        <w:rPr>
          <w:rFonts w:cs="Arial"/>
          <w:sz w:val="16"/>
          <w:szCs w:val="16"/>
          <w:rtl/>
        </w:rPr>
        <w:t xml:space="preserve">שנבלע </w:t>
      </w:r>
      <w:r w:rsidRPr="00401A7C">
        <w:rPr>
          <w:rFonts w:cs="Arial" w:hint="cs"/>
          <w:sz w:val="16"/>
          <w:szCs w:val="16"/>
          <w:rtl/>
        </w:rPr>
        <w:t xml:space="preserve">איסור </w:t>
      </w:r>
      <w:r w:rsidRPr="00401A7C">
        <w:rPr>
          <w:rFonts w:cs="Arial"/>
          <w:sz w:val="16"/>
          <w:szCs w:val="16"/>
          <w:rtl/>
        </w:rPr>
        <w:t>בחתיכה ואין בה ס' לבטלו ונאסרה</w:t>
      </w:r>
      <w:r>
        <w:rPr>
          <w:rFonts w:cs="Arial" w:hint="cs"/>
          <w:sz w:val="16"/>
          <w:szCs w:val="16"/>
          <w:rtl/>
        </w:rPr>
        <w:t>,</w:t>
      </w:r>
      <w:r w:rsidRPr="00401A7C">
        <w:rPr>
          <w:rFonts w:cs="Arial"/>
          <w:sz w:val="16"/>
          <w:szCs w:val="16"/>
          <w:rtl/>
        </w:rPr>
        <w:t xml:space="preserve"> ואח"כ בשלה עם אחרות</w:t>
      </w:r>
      <w:r w:rsidRPr="00401A7C">
        <w:rPr>
          <w:rFonts w:cs="Arial" w:hint="cs"/>
          <w:sz w:val="16"/>
          <w:szCs w:val="16"/>
          <w:rtl/>
        </w:rPr>
        <w:t xml:space="preserve"> ויש בהם ס' כנגד האיסור)</w:t>
      </w:r>
      <w:r w:rsidRPr="00401A7C">
        <w:rPr>
          <w:rFonts w:asciiTheme="minorBidi" w:hAnsiTheme="minorBidi" w:hint="cs"/>
          <w:rtl/>
        </w:rPr>
        <w:t xml:space="preserve"> החתיכה עצמה חוזרת להיות מותרת או לא</w:t>
      </w:r>
      <w:r>
        <w:rPr>
          <w:rFonts w:asciiTheme="minorBidi" w:hAnsiTheme="minorBidi" w:hint="cs"/>
          <w:rtl/>
        </w:rPr>
        <w:t>, ה</w:t>
      </w:r>
      <w:r w:rsidRPr="00085E47">
        <w:rPr>
          <w:rFonts w:asciiTheme="minorBidi" w:hAnsiTheme="minorBidi"/>
          <w:rtl/>
        </w:rPr>
        <w:t>טור</w:t>
      </w:r>
      <w:r>
        <w:rPr>
          <w:rFonts w:asciiTheme="minorBidi" w:hAnsiTheme="minorBidi" w:hint="cs"/>
          <w:rtl/>
        </w:rPr>
        <w:t xml:space="preserve"> כתב ש</w:t>
      </w:r>
      <w:r w:rsidRPr="00085E47">
        <w:rPr>
          <w:rFonts w:asciiTheme="minorBidi" w:hAnsiTheme="minorBidi"/>
          <w:rtl/>
        </w:rPr>
        <w:t>אפי</w:t>
      </w:r>
      <w:r>
        <w:rPr>
          <w:rFonts w:asciiTheme="minorBidi" w:hAnsiTheme="minorBidi" w:hint="cs"/>
          <w:rtl/>
        </w:rPr>
        <w:t>לו</w:t>
      </w:r>
      <w:r w:rsidRPr="00085E47">
        <w:rPr>
          <w:rFonts w:asciiTheme="minorBidi" w:hAnsiTheme="minorBidi"/>
          <w:rtl/>
        </w:rPr>
        <w:t xml:space="preserve"> החתיכה עצמה חוזרת להיות מותרת. </w:t>
      </w:r>
      <w:r w:rsidRPr="00085E47">
        <w:rPr>
          <w:rFonts w:asciiTheme="minorBidi" w:hAnsiTheme="minorBidi"/>
          <w:color w:val="E36C0A" w:themeColor="accent6" w:themeShade="BF"/>
          <w:rtl/>
        </w:rPr>
        <w:t>(וכ"פ בשו"ע</w:t>
      </w:r>
      <w:r>
        <w:rPr>
          <w:rFonts w:asciiTheme="minorBidi" w:hAnsiTheme="minorBidi" w:hint="cs"/>
          <w:color w:val="E36C0A" w:themeColor="accent6" w:themeShade="BF"/>
          <w:sz w:val="16"/>
          <w:szCs w:val="16"/>
          <w:rtl/>
        </w:rPr>
        <w:t xml:space="preserve"> </w:t>
      </w:r>
      <w:r>
        <w:rPr>
          <w:rFonts w:asciiTheme="minorBidi" w:hAnsiTheme="minorBidi" w:hint="cs"/>
          <w:color w:val="000000" w:themeColor="text1"/>
          <w:sz w:val="16"/>
          <w:szCs w:val="16"/>
          <w:rtl/>
        </w:rPr>
        <w:t>[כאן]</w:t>
      </w:r>
      <w:r w:rsidRPr="00085E47">
        <w:rPr>
          <w:rFonts w:asciiTheme="minorBidi" w:hAnsiTheme="minorBidi"/>
          <w:color w:val="E36C0A" w:themeColor="accent6" w:themeShade="BF"/>
          <w:rtl/>
        </w:rPr>
        <w:t>)</w:t>
      </w:r>
      <w:r>
        <w:rPr>
          <w:rFonts w:asciiTheme="minorBidi" w:hAnsiTheme="minorBidi" w:hint="cs"/>
          <w:rtl/>
        </w:rPr>
        <w:t>. אך ה</w:t>
      </w:r>
      <w:r w:rsidRPr="00085E47">
        <w:rPr>
          <w:rFonts w:asciiTheme="minorBidi" w:hAnsiTheme="minorBidi"/>
          <w:rtl/>
        </w:rPr>
        <w:t>רשב"א</w:t>
      </w:r>
      <w:r w:rsidRPr="00085E47">
        <w:rPr>
          <w:rFonts w:asciiTheme="minorBidi" w:hAnsiTheme="minorBidi"/>
          <w:sz w:val="16"/>
          <w:szCs w:val="16"/>
          <w:rtl/>
        </w:rPr>
        <w:t xml:space="preserve"> (תוה"</w:t>
      </w:r>
      <w:r>
        <w:rPr>
          <w:rFonts w:asciiTheme="minorBidi" w:hAnsiTheme="minorBidi" w:hint="cs"/>
          <w:sz w:val="16"/>
          <w:szCs w:val="16"/>
          <w:rtl/>
        </w:rPr>
        <w:t>א</w:t>
      </w:r>
      <w:r w:rsidRPr="00085E47">
        <w:rPr>
          <w:rFonts w:asciiTheme="minorBidi" w:hAnsiTheme="minorBidi"/>
          <w:sz w:val="16"/>
          <w:szCs w:val="16"/>
          <w:rtl/>
        </w:rPr>
        <w:t xml:space="preserve"> שם)</w:t>
      </w:r>
      <w:r>
        <w:rPr>
          <w:rFonts w:asciiTheme="minorBidi" w:hAnsiTheme="minorBidi" w:hint="cs"/>
          <w:rtl/>
        </w:rPr>
        <w:t xml:space="preserve"> כ'</w:t>
      </w:r>
      <w:r w:rsidRPr="00085E47">
        <w:rPr>
          <w:rFonts w:asciiTheme="minorBidi" w:hAnsiTheme="minorBidi"/>
          <w:rtl/>
        </w:rPr>
        <w:t xml:space="preserve"> </w:t>
      </w:r>
      <w:r>
        <w:rPr>
          <w:rFonts w:asciiTheme="minorBidi" w:hAnsiTheme="minorBidi" w:hint="cs"/>
          <w:rtl/>
        </w:rPr>
        <w:t>ש</w:t>
      </w:r>
      <w:r w:rsidRPr="00085E47">
        <w:rPr>
          <w:rFonts w:asciiTheme="minorBidi" w:hAnsiTheme="minorBidi"/>
          <w:rtl/>
        </w:rPr>
        <w:t xml:space="preserve">מודה ה"ר אפרים שהיא עצמה אסורה, ובזמן שמכירה זורקה ואוכל השאר </w:t>
      </w:r>
      <w:r w:rsidRPr="00085E47">
        <w:rPr>
          <w:rFonts w:asciiTheme="minorBidi" w:hAnsiTheme="minorBidi"/>
          <w:color w:val="E36C0A" w:themeColor="accent6" w:themeShade="BF"/>
          <w:rtl/>
        </w:rPr>
        <w:t>(וכ"פ בשו"ע</w:t>
      </w:r>
      <w:r>
        <w:rPr>
          <w:rFonts w:asciiTheme="minorBidi" w:hAnsiTheme="minorBidi" w:hint="cs"/>
          <w:color w:val="E36C0A" w:themeColor="accent6" w:themeShade="BF"/>
          <w:sz w:val="16"/>
          <w:szCs w:val="16"/>
          <w:rtl/>
        </w:rPr>
        <w:t xml:space="preserve"> </w:t>
      </w:r>
      <w:r>
        <w:rPr>
          <w:rFonts w:asciiTheme="minorBidi" w:hAnsiTheme="minorBidi" w:hint="cs"/>
          <w:color w:val="000000" w:themeColor="text1"/>
          <w:sz w:val="16"/>
          <w:szCs w:val="16"/>
          <w:rtl/>
        </w:rPr>
        <w:t>[סי' קו ס"א]</w:t>
      </w:r>
      <w:r w:rsidRPr="00085E47">
        <w:rPr>
          <w:rFonts w:asciiTheme="minorBidi" w:hAnsiTheme="minorBidi"/>
          <w:color w:val="E36C0A" w:themeColor="accent6" w:themeShade="BF"/>
          <w:rtl/>
        </w:rPr>
        <w:t>)</w:t>
      </w:r>
      <w:r w:rsidRPr="00085E47">
        <w:rPr>
          <w:rFonts w:asciiTheme="minorBidi" w:hAnsiTheme="minorBidi"/>
          <w:rtl/>
        </w:rPr>
        <w:t>.</w:t>
      </w:r>
      <w:r>
        <w:rPr>
          <w:rFonts w:asciiTheme="minorBidi" w:hAnsiTheme="minorBidi" w:hint="cs"/>
          <w:rtl/>
        </w:rPr>
        <w:t xml:space="preserve"> ועיין לקמן בדברי האחרונים שדנים בסתירה זו.</w:t>
      </w:r>
      <w:r w:rsidRPr="00085E47">
        <w:rPr>
          <w:rFonts w:asciiTheme="minorBidi" w:hAnsiTheme="minorBidi"/>
          <w:rtl/>
        </w:rPr>
        <w:t xml:space="preserve"> </w:t>
      </w:r>
    </w:p>
  </w:footnote>
  <w:footnote w:id="1429">
    <w:p w14:paraId="67ACF8E2" w14:textId="77777777" w:rsidR="004C5A3C" w:rsidRPr="00085E47" w:rsidRDefault="004C5A3C" w:rsidP="002C39F4">
      <w:pPr>
        <w:pStyle w:val="a5"/>
        <w:rPr>
          <w:rFonts w:asciiTheme="minorBidi" w:hAnsiTheme="minorBidi"/>
          <w:u w:val="single"/>
          <w:rtl/>
        </w:rPr>
      </w:pPr>
      <w:r w:rsidRPr="00085E47">
        <w:rPr>
          <w:rStyle w:val="a7"/>
          <w:rFonts w:asciiTheme="minorBidi" w:hAnsiTheme="minorBidi"/>
        </w:rPr>
        <w:footnoteRef/>
      </w:r>
      <w:r>
        <w:rPr>
          <w:rFonts w:asciiTheme="minorBidi" w:hAnsiTheme="minorBidi" w:hint="cs"/>
          <w:rtl/>
        </w:rPr>
        <w:t xml:space="preserve"> </w:t>
      </w:r>
      <w:r w:rsidRPr="00085E47">
        <w:rPr>
          <w:rFonts w:asciiTheme="minorBidi" w:hAnsiTheme="minorBidi"/>
          <w:u w:val="single"/>
          <w:rtl/>
        </w:rPr>
        <w:t>ונחלקו הפוסקים בפירוש לשון הטור:</w:t>
      </w:r>
    </w:p>
    <w:p w14:paraId="71D4EA8A" w14:textId="77777777" w:rsidR="004C5A3C" w:rsidRPr="00085E47" w:rsidRDefault="004C5A3C" w:rsidP="0032102C">
      <w:pPr>
        <w:pStyle w:val="a5"/>
        <w:numPr>
          <w:ilvl w:val="0"/>
          <w:numId w:val="113"/>
        </w:numPr>
        <w:rPr>
          <w:rFonts w:asciiTheme="minorBidi" w:hAnsiTheme="minorBidi"/>
        </w:rPr>
      </w:pPr>
      <w:r w:rsidRPr="00085E47">
        <w:rPr>
          <w:rFonts w:asciiTheme="minorBidi" w:hAnsiTheme="minorBidi"/>
          <w:rtl/>
        </w:rPr>
        <w:t>ב"י- מ"ש רבינו בדברי ר"ת 'אבל נאסר במשהו אפילו נאסר מחמת מינו שאסור במשהו לרבי יהודה' לא ידענא מאי 'אפילו' דקאמר, וכך הוה ליה לכתוב 'אבל נאסר במשהו כגון שנאסר מחמת מינו שאסור במשהו לרבי יהודה'.</w:t>
      </w:r>
    </w:p>
    <w:p w14:paraId="10369451" w14:textId="77777777" w:rsidR="004C5A3C" w:rsidRPr="00085E47" w:rsidRDefault="004C5A3C" w:rsidP="0032102C">
      <w:pPr>
        <w:pStyle w:val="a5"/>
        <w:numPr>
          <w:ilvl w:val="0"/>
          <w:numId w:val="113"/>
        </w:numPr>
        <w:rPr>
          <w:rFonts w:asciiTheme="minorBidi" w:hAnsiTheme="minorBidi"/>
        </w:rPr>
      </w:pPr>
      <w:r w:rsidRPr="00085E47">
        <w:rPr>
          <w:rFonts w:asciiTheme="minorBidi" w:hAnsiTheme="minorBidi"/>
          <w:rtl/>
        </w:rPr>
        <w:t xml:space="preserve">ט"ז </w:t>
      </w:r>
      <w:r w:rsidRPr="00085E47">
        <w:rPr>
          <w:rFonts w:asciiTheme="minorBidi" w:hAnsiTheme="minorBidi"/>
          <w:sz w:val="16"/>
          <w:szCs w:val="16"/>
          <w:rtl/>
        </w:rPr>
        <w:t>(סקט"ז)</w:t>
      </w:r>
      <w:r w:rsidRPr="00085E47">
        <w:rPr>
          <w:rFonts w:asciiTheme="minorBidi" w:hAnsiTheme="minorBidi"/>
          <w:rtl/>
        </w:rPr>
        <w:t>- ע"פ תירוצו של ר"ת לקושיית התוס'</w:t>
      </w:r>
      <w:r>
        <w:rPr>
          <w:rFonts w:asciiTheme="minorBidi" w:hAnsiTheme="minorBidi" w:hint="cs"/>
          <w:sz w:val="16"/>
          <w:szCs w:val="16"/>
          <w:rtl/>
        </w:rPr>
        <w:t xml:space="preserve"> </w:t>
      </w:r>
      <w:r w:rsidRPr="00085E47">
        <w:rPr>
          <w:rFonts w:asciiTheme="minorBidi" w:hAnsiTheme="minorBidi"/>
          <w:rtl/>
        </w:rPr>
        <w:t>מבואר דאע"פ שלר' יהודה הוי מין במינו במשהו מ"מ היינו דוקא שתחילה נאסר במשהו, אבל אם נתבשל אח"כ במינו אין כח לאסור אם יש ס' נגד החתיכה שנאסרה ולא אסרינן מכח מין במינו במשהו כיון שאין גוף האיסור כאן אלא שבלעה מאיסור משהו</w:t>
      </w:r>
      <w:r>
        <w:rPr>
          <w:rFonts w:asciiTheme="minorBidi" w:hAnsiTheme="minorBidi" w:hint="cs"/>
          <w:rtl/>
        </w:rPr>
        <w:t>,</w:t>
      </w:r>
      <w:r w:rsidRPr="00085E47">
        <w:rPr>
          <w:rFonts w:asciiTheme="minorBidi" w:hAnsiTheme="minorBidi"/>
          <w:rtl/>
        </w:rPr>
        <w:t xml:space="preserve"> ע"כ היו שאר החתיכות הכשירות מותרות</w:t>
      </w:r>
      <w:r>
        <w:rPr>
          <w:rFonts w:asciiTheme="minorBidi" w:hAnsiTheme="minorBidi" w:hint="cs"/>
          <w:rtl/>
        </w:rPr>
        <w:t>,</w:t>
      </w:r>
      <w:r w:rsidRPr="00085E47">
        <w:rPr>
          <w:rFonts w:asciiTheme="minorBidi" w:hAnsiTheme="minorBidi"/>
          <w:rtl/>
        </w:rPr>
        <w:t xml:space="preserve"> אבל אם נאסרה החתיכה תחילה מאיסור הרבה שנתן בה טעם אז אוסרת במשהו את מינה האחרות ולא מהני ס' נגדה</w:t>
      </w:r>
      <w:r>
        <w:rPr>
          <w:rFonts w:asciiTheme="minorBidi" w:hAnsiTheme="minorBidi" w:hint="cs"/>
          <w:rtl/>
        </w:rPr>
        <w:t>.</w:t>
      </w:r>
    </w:p>
  </w:footnote>
  <w:footnote w:id="1430">
    <w:p w14:paraId="18E4955C" w14:textId="77777777" w:rsidR="004C5A3C" w:rsidRPr="00085E47" w:rsidRDefault="004C5A3C" w:rsidP="002C39F4">
      <w:pPr>
        <w:pStyle w:val="a5"/>
        <w:rPr>
          <w:rFonts w:asciiTheme="minorBidi" w:hAnsiTheme="minorBidi"/>
          <w:color w:val="FF0000"/>
        </w:rPr>
      </w:pPr>
      <w:r w:rsidRPr="00085E47">
        <w:rPr>
          <w:rStyle w:val="a7"/>
          <w:rFonts w:asciiTheme="minorBidi" w:hAnsiTheme="minorBidi"/>
        </w:rPr>
        <w:footnoteRef/>
      </w:r>
      <w:r w:rsidRPr="00085E47">
        <w:rPr>
          <w:rFonts w:asciiTheme="minorBidi" w:hAnsiTheme="minorBidi"/>
          <w:rtl/>
        </w:rPr>
        <w:t xml:space="preserve"> וכ' הדרכ"מ </w:t>
      </w:r>
      <w:r w:rsidRPr="003C704D">
        <w:rPr>
          <w:rFonts w:asciiTheme="minorBidi" w:hAnsiTheme="minorBidi"/>
          <w:sz w:val="16"/>
          <w:szCs w:val="16"/>
          <w:rtl/>
        </w:rPr>
        <w:t xml:space="preserve">(אות ד) </w:t>
      </w:r>
      <w:r w:rsidRPr="00085E47">
        <w:rPr>
          <w:rFonts w:asciiTheme="minorBidi" w:hAnsiTheme="minorBidi"/>
          <w:rtl/>
        </w:rPr>
        <w:t xml:space="preserve">וז"ל- ובהר"ן ספכ"ה </w:t>
      </w:r>
      <w:r w:rsidRPr="003C704D">
        <w:rPr>
          <w:rFonts w:asciiTheme="minorBidi" w:hAnsiTheme="minorBidi"/>
          <w:sz w:val="16"/>
          <w:szCs w:val="16"/>
          <w:rtl/>
        </w:rPr>
        <w:t xml:space="preserve">(מג ומד) </w:t>
      </w:r>
      <w:r w:rsidRPr="00085E47">
        <w:rPr>
          <w:rFonts w:asciiTheme="minorBidi" w:hAnsiTheme="minorBidi"/>
          <w:rtl/>
        </w:rPr>
        <w:t xml:space="preserve">דאנו נוהגין איסור בכל אפשר לסוחטו ואמרינן בכל חנ"נ, וכ"ה במרדכי </w:t>
      </w:r>
      <w:r w:rsidRPr="003C704D">
        <w:rPr>
          <w:rFonts w:asciiTheme="minorBidi" w:hAnsiTheme="minorBidi"/>
          <w:sz w:val="16"/>
          <w:szCs w:val="16"/>
          <w:rtl/>
        </w:rPr>
        <w:t xml:space="preserve">(סי' תרפ) </w:t>
      </w:r>
      <w:r w:rsidRPr="00085E47">
        <w:rPr>
          <w:rFonts w:asciiTheme="minorBidi" w:hAnsiTheme="minorBidi"/>
          <w:rtl/>
        </w:rPr>
        <w:t xml:space="preserve">וכ"כ בהגה"מ </w:t>
      </w:r>
      <w:r w:rsidRPr="003C704D">
        <w:rPr>
          <w:rFonts w:asciiTheme="minorBidi" w:hAnsiTheme="minorBidi"/>
          <w:sz w:val="16"/>
          <w:szCs w:val="16"/>
          <w:rtl/>
        </w:rPr>
        <w:t xml:space="preserve">(פ"ט אות ו) </w:t>
      </w:r>
      <w:r w:rsidRPr="00085E47">
        <w:rPr>
          <w:rFonts w:asciiTheme="minorBidi" w:hAnsiTheme="minorBidi"/>
          <w:rtl/>
        </w:rPr>
        <w:t xml:space="preserve">בשם סמ"ג </w:t>
      </w:r>
      <w:r w:rsidRPr="003C704D">
        <w:rPr>
          <w:rFonts w:asciiTheme="minorBidi" w:hAnsiTheme="minorBidi"/>
          <w:sz w:val="16"/>
          <w:szCs w:val="16"/>
          <w:rtl/>
        </w:rPr>
        <w:t xml:space="preserve">(לאוין קמ וקמא נא ע"ג) </w:t>
      </w:r>
      <w:r w:rsidRPr="00085E47">
        <w:rPr>
          <w:rFonts w:asciiTheme="minorBidi" w:hAnsiTheme="minorBidi"/>
          <w:rtl/>
        </w:rPr>
        <w:t>דאין להקל לעשות מעשה כדברי רבינו אפרים כי כל הקדמונים חולקים עכ"ל, וכ"פ ב</w:t>
      </w:r>
      <w:r>
        <w:rPr>
          <w:rFonts w:asciiTheme="minorBidi" w:hAnsiTheme="minorBidi"/>
          <w:rtl/>
        </w:rPr>
        <w:t>או"ה</w:t>
      </w:r>
      <w:r w:rsidRPr="00085E47">
        <w:rPr>
          <w:rFonts w:asciiTheme="minorBidi" w:hAnsiTheme="minorBidi"/>
          <w:rtl/>
        </w:rPr>
        <w:t xml:space="preserve"> </w:t>
      </w:r>
      <w:r w:rsidRPr="003C704D">
        <w:rPr>
          <w:rFonts w:asciiTheme="minorBidi" w:hAnsiTheme="minorBidi"/>
          <w:sz w:val="16"/>
          <w:szCs w:val="16"/>
          <w:rtl/>
        </w:rPr>
        <w:t>(כלל כ"ד ד</w:t>
      </w:r>
      <w:r>
        <w:rPr>
          <w:rFonts w:asciiTheme="minorBidi" w:hAnsiTheme="minorBidi" w:hint="cs"/>
          <w:sz w:val="16"/>
          <w:szCs w:val="16"/>
          <w:rtl/>
        </w:rPr>
        <w:t>"</w:t>
      </w:r>
      <w:r w:rsidRPr="003C704D">
        <w:rPr>
          <w:rFonts w:asciiTheme="minorBidi" w:hAnsiTheme="minorBidi"/>
          <w:sz w:val="16"/>
          <w:szCs w:val="16"/>
          <w:rtl/>
        </w:rPr>
        <w:t xml:space="preserve">א) </w:t>
      </w:r>
      <w:r w:rsidRPr="00085E47">
        <w:rPr>
          <w:rFonts w:asciiTheme="minorBidi" w:hAnsiTheme="minorBidi"/>
          <w:rtl/>
        </w:rPr>
        <w:t xml:space="preserve">דכן נוהגין, וכ"כ האגור </w:t>
      </w:r>
      <w:r w:rsidRPr="003C704D">
        <w:rPr>
          <w:rFonts w:asciiTheme="minorBidi" w:hAnsiTheme="minorBidi"/>
          <w:sz w:val="16"/>
          <w:szCs w:val="16"/>
          <w:rtl/>
        </w:rPr>
        <w:t xml:space="preserve">(סי' אלף רמט) </w:t>
      </w:r>
      <w:r w:rsidRPr="00085E47">
        <w:rPr>
          <w:rFonts w:asciiTheme="minorBidi" w:hAnsiTheme="minorBidi"/>
          <w:rtl/>
        </w:rPr>
        <w:t>דכן נוהגין בכל איסורים, ועיין לעיל סי</w:t>
      </w:r>
      <w:r>
        <w:rPr>
          <w:rFonts w:asciiTheme="minorBidi" w:hAnsiTheme="minorBidi" w:hint="cs"/>
          <w:rtl/>
        </w:rPr>
        <w:t>'</w:t>
      </w:r>
      <w:r w:rsidRPr="00085E47">
        <w:rPr>
          <w:rFonts w:asciiTheme="minorBidi" w:hAnsiTheme="minorBidi"/>
          <w:rtl/>
        </w:rPr>
        <w:t xml:space="preserve"> עב. </w:t>
      </w:r>
    </w:p>
  </w:footnote>
  <w:footnote w:id="1431">
    <w:p w14:paraId="1442AB2A" w14:textId="77777777" w:rsidR="004C5A3C" w:rsidRDefault="004C5A3C" w:rsidP="002C39F4">
      <w:pPr>
        <w:pStyle w:val="a5"/>
      </w:pPr>
      <w:r>
        <w:rPr>
          <w:rStyle w:val="a7"/>
        </w:rPr>
        <w:footnoteRef/>
      </w:r>
      <w:r>
        <w:rPr>
          <w:rtl/>
        </w:rPr>
        <w:t xml:space="preserve"> </w:t>
      </w:r>
      <w:r w:rsidRPr="00085E47">
        <w:rPr>
          <w:rFonts w:asciiTheme="minorBidi" w:hAnsiTheme="minorBidi"/>
          <w:rtl/>
        </w:rPr>
        <w:t xml:space="preserve">וסברא זו כתבוה הרשב"א </w:t>
      </w:r>
      <w:r w:rsidRPr="00085E47">
        <w:rPr>
          <w:rFonts w:asciiTheme="minorBidi" w:hAnsiTheme="minorBidi"/>
          <w:sz w:val="16"/>
          <w:szCs w:val="16"/>
          <w:rtl/>
        </w:rPr>
        <w:t xml:space="preserve">(תוה"א ב"ד ש"א ז ע"ג) </w:t>
      </w:r>
      <w:r w:rsidRPr="00085E47">
        <w:rPr>
          <w:rFonts w:asciiTheme="minorBidi" w:hAnsiTheme="minorBidi"/>
          <w:rtl/>
        </w:rPr>
        <w:t xml:space="preserve">והר"ן בספכ"ה </w:t>
      </w:r>
      <w:r w:rsidRPr="00085E47">
        <w:rPr>
          <w:rFonts w:asciiTheme="minorBidi" w:hAnsiTheme="minorBidi"/>
          <w:sz w:val="16"/>
          <w:szCs w:val="16"/>
          <w:rtl/>
        </w:rPr>
        <w:t xml:space="preserve">(מד:) </w:t>
      </w:r>
      <w:r w:rsidRPr="00085E47">
        <w:rPr>
          <w:rFonts w:asciiTheme="minorBidi" w:hAnsiTheme="minorBidi"/>
          <w:rtl/>
        </w:rPr>
        <w:t>בשם ה</w:t>
      </w:r>
      <w:r>
        <w:rPr>
          <w:rFonts w:hint="cs"/>
          <w:rtl/>
        </w:rPr>
        <w:t>ראב"ד</w:t>
      </w:r>
      <w:r w:rsidRPr="008E4533">
        <w:rPr>
          <w:rFonts w:asciiTheme="minorBidi" w:hAnsiTheme="minorBidi"/>
          <w:rtl/>
        </w:rPr>
        <w:t xml:space="preserve"> </w:t>
      </w:r>
      <w:r w:rsidRPr="00085E47">
        <w:rPr>
          <w:rFonts w:asciiTheme="minorBidi" w:hAnsiTheme="minorBidi"/>
          <w:rtl/>
        </w:rPr>
        <w:t>והעלו דאינם דברים מחוורים</w:t>
      </w:r>
      <w:r>
        <w:rPr>
          <w:rFonts w:asciiTheme="minorBidi" w:hAnsiTheme="minorBidi" w:hint="cs"/>
          <w:rtl/>
        </w:rPr>
        <w:t>.</w:t>
      </w:r>
    </w:p>
  </w:footnote>
  <w:footnote w:id="1432">
    <w:p w14:paraId="5CAD1B56"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w:t>
      </w:r>
      <w:r w:rsidRPr="00DF61AA">
        <w:rPr>
          <w:rFonts w:cs="Arial"/>
          <w:rtl/>
        </w:rPr>
        <w:t xml:space="preserve">מרדכי </w:t>
      </w:r>
      <w:r w:rsidRPr="00DF61AA">
        <w:rPr>
          <w:rFonts w:cs="Arial"/>
          <w:sz w:val="16"/>
          <w:szCs w:val="16"/>
          <w:rtl/>
        </w:rPr>
        <w:t>(סי' תרצז)</w:t>
      </w:r>
      <w:r w:rsidRPr="0001409D">
        <w:rPr>
          <w:rFonts w:cs="Arial"/>
          <w:rtl/>
        </w:rPr>
        <w:t xml:space="preserve"> </w:t>
      </w:r>
      <w:r w:rsidRPr="00085E47">
        <w:rPr>
          <w:rFonts w:asciiTheme="minorBidi" w:hAnsiTheme="minorBidi"/>
          <w:rtl/>
        </w:rPr>
        <w:t xml:space="preserve">או"ז </w:t>
      </w:r>
      <w:r w:rsidRPr="00085E47">
        <w:rPr>
          <w:rFonts w:asciiTheme="minorBidi" w:hAnsiTheme="minorBidi"/>
          <w:sz w:val="16"/>
          <w:szCs w:val="16"/>
          <w:rtl/>
        </w:rPr>
        <w:t xml:space="preserve">(ח"א סי' תנג, וסי' תנח סו ע"ד) </w:t>
      </w:r>
      <w:r w:rsidRPr="00085E47">
        <w:rPr>
          <w:rFonts w:asciiTheme="minorBidi" w:hAnsiTheme="minorBidi"/>
          <w:rtl/>
        </w:rPr>
        <w:t>מהרא"י</w:t>
      </w:r>
      <w:r w:rsidRPr="00085E47">
        <w:rPr>
          <w:rFonts w:asciiTheme="minorBidi" w:hAnsiTheme="minorBidi"/>
          <w:sz w:val="16"/>
          <w:szCs w:val="16"/>
          <w:rtl/>
        </w:rPr>
        <w:t xml:space="preserve"> (הביאו האגור)</w:t>
      </w:r>
      <w:r w:rsidRPr="00085E47">
        <w:rPr>
          <w:rFonts w:asciiTheme="minorBidi" w:hAnsiTheme="minorBidi"/>
          <w:rtl/>
        </w:rPr>
        <w:t xml:space="preserve"> אגור </w:t>
      </w:r>
      <w:r w:rsidRPr="00085E47">
        <w:rPr>
          <w:rFonts w:asciiTheme="minorBidi" w:hAnsiTheme="minorBidi"/>
          <w:sz w:val="16"/>
          <w:szCs w:val="16"/>
          <w:rtl/>
        </w:rPr>
        <w:t>(סי' אלף קעז)</w:t>
      </w:r>
      <w:r w:rsidRPr="00085E47">
        <w:rPr>
          <w:rFonts w:asciiTheme="minorBidi" w:hAnsiTheme="minorBidi"/>
          <w:rtl/>
        </w:rPr>
        <w:t>.</w:t>
      </w:r>
    </w:p>
  </w:footnote>
  <w:footnote w:id="1433">
    <w:p w14:paraId="77FE8B1B"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w:t>
      </w:r>
      <w:r>
        <w:rPr>
          <w:rFonts w:cs="Arial" w:hint="cs"/>
          <w:rtl/>
        </w:rPr>
        <w:t xml:space="preserve">וז"ל האגור בשם האו"ז- יש </w:t>
      </w:r>
      <w:r>
        <w:rPr>
          <w:rFonts w:cs="Arial"/>
          <w:rtl/>
        </w:rPr>
        <w:t>ח</w:t>
      </w:r>
      <w:r>
        <w:rPr>
          <w:rFonts w:cs="Arial" w:hint="cs"/>
          <w:rtl/>
        </w:rPr>
        <w:t>י</w:t>
      </w:r>
      <w:r>
        <w:rPr>
          <w:rFonts w:cs="Arial"/>
          <w:rtl/>
        </w:rPr>
        <w:t>ל</w:t>
      </w:r>
      <w:r>
        <w:rPr>
          <w:rFonts w:cs="Arial" w:hint="cs"/>
          <w:rtl/>
        </w:rPr>
        <w:t>ו</w:t>
      </w:r>
      <w:r>
        <w:rPr>
          <w:rFonts w:cs="Arial"/>
          <w:rtl/>
        </w:rPr>
        <w:t>ק בין חתיכה שנבלע בה האיסור ובין דבר לח המעורב בהיתר דלא שייך חתיכה עצמה נעשית נבלה שאין האיסור נבלע בהיתר אלא מעורב בו</w:t>
      </w:r>
      <w:r>
        <w:rPr>
          <w:rFonts w:asciiTheme="minorBidi" w:hAnsiTheme="minorBidi" w:hint="cs"/>
          <w:rtl/>
        </w:rPr>
        <w:t xml:space="preserve"> </w:t>
      </w:r>
      <w:r w:rsidRPr="0001409D">
        <w:rPr>
          <w:rFonts w:asciiTheme="minorBidi" w:hAnsiTheme="minorBidi" w:hint="cs"/>
          <w:sz w:val="16"/>
          <w:szCs w:val="16"/>
          <w:rtl/>
        </w:rPr>
        <w:t>(</w:t>
      </w:r>
      <w:r>
        <w:rPr>
          <w:rFonts w:asciiTheme="minorBidi" w:hAnsiTheme="minorBidi" w:hint="cs"/>
          <w:sz w:val="16"/>
          <w:szCs w:val="16"/>
          <w:rtl/>
        </w:rPr>
        <w:t xml:space="preserve">וסיים האגור- </w:t>
      </w:r>
      <w:r w:rsidRPr="0001409D">
        <w:rPr>
          <w:rFonts w:asciiTheme="minorBidi" w:hAnsiTheme="minorBidi"/>
          <w:sz w:val="16"/>
          <w:szCs w:val="16"/>
          <w:rtl/>
        </w:rPr>
        <w:t xml:space="preserve">וא"כ בנדון </w:t>
      </w:r>
      <w:r w:rsidRPr="0001409D">
        <w:rPr>
          <w:rFonts w:asciiTheme="minorBidi" w:hAnsiTheme="minorBidi" w:hint="cs"/>
          <w:sz w:val="16"/>
          <w:szCs w:val="16"/>
          <w:rtl/>
        </w:rPr>
        <w:t xml:space="preserve">דידן שרי </w:t>
      </w:r>
      <w:r w:rsidRPr="0001409D">
        <w:rPr>
          <w:rFonts w:asciiTheme="minorBidi" w:hAnsiTheme="minorBidi" w:hint="cs"/>
          <w:sz w:val="14"/>
          <w:szCs w:val="14"/>
          <w:rtl/>
        </w:rPr>
        <w:t>{</w:t>
      </w:r>
      <w:r w:rsidRPr="0001409D">
        <w:rPr>
          <w:rFonts w:asciiTheme="minorBidi" w:hAnsiTheme="minorBidi"/>
          <w:sz w:val="14"/>
          <w:szCs w:val="14"/>
          <w:rtl/>
        </w:rPr>
        <w:t xml:space="preserve">היינו מה שנשאל מהרא"י- הביאו האגור דחלב שנתערב בשומן וספק אם יש בשומן </w:t>
      </w:r>
      <w:r w:rsidRPr="0001409D">
        <w:rPr>
          <w:rFonts w:asciiTheme="minorBidi" w:hAnsiTheme="minorBidi" w:hint="cs"/>
          <w:sz w:val="14"/>
          <w:szCs w:val="14"/>
          <w:rtl/>
        </w:rPr>
        <w:t>ס'</w:t>
      </w:r>
      <w:r w:rsidRPr="0001409D">
        <w:rPr>
          <w:rFonts w:asciiTheme="minorBidi" w:hAnsiTheme="minorBidi"/>
          <w:sz w:val="14"/>
          <w:szCs w:val="14"/>
          <w:rtl/>
        </w:rPr>
        <w:t xml:space="preserve"> לבטלו ואח"כ הושם מהשומן בקדרה</w:t>
      </w:r>
      <w:r w:rsidRPr="0001409D">
        <w:rPr>
          <w:rFonts w:asciiTheme="minorBidi" w:hAnsiTheme="minorBidi" w:hint="cs"/>
          <w:sz w:val="14"/>
          <w:szCs w:val="14"/>
          <w:rtl/>
        </w:rPr>
        <w:t>}</w:t>
      </w:r>
      <w:r w:rsidRPr="0001409D">
        <w:rPr>
          <w:rFonts w:asciiTheme="minorBidi" w:hAnsiTheme="minorBidi"/>
          <w:sz w:val="14"/>
          <w:szCs w:val="14"/>
          <w:rtl/>
        </w:rPr>
        <w:t xml:space="preserve"> </w:t>
      </w:r>
      <w:r w:rsidRPr="0001409D">
        <w:rPr>
          <w:rFonts w:asciiTheme="minorBidi" w:hAnsiTheme="minorBidi" w:hint="cs"/>
          <w:sz w:val="16"/>
          <w:szCs w:val="16"/>
          <w:rtl/>
        </w:rPr>
        <w:t xml:space="preserve">שאע"ג </w:t>
      </w:r>
      <w:r w:rsidRPr="0001409D">
        <w:rPr>
          <w:rFonts w:asciiTheme="minorBidi" w:hAnsiTheme="minorBidi"/>
          <w:sz w:val="16"/>
          <w:szCs w:val="16"/>
          <w:rtl/>
        </w:rPr>
        <w:t xml:space="preserve">דמוכח שם דהרא"ש לית ליה האי סברא לחלק בין לח המתערב לדבר הנבלע מ"מ אין להחמיר בשביל זה דלכו"ע הך סברא </w:t>
      </w:r>
      <w:r>
        <w:rPr>
          <w:rFonts w:asciiTheme="minorBidi" w:hAnsiTheme="minorBidi" w:hint="cs"/>
          <w:sz w:val="16"/>
          <w:szCs w:val="16"/>
          <w:rtl/>
        </w:rPr>
        <w:t>דחענ"נ</w:t>
      </w:r>
      <w:r w:rsidRPr="0001409D">
        <w:rPr>
          <w:rFonts w:asciiTheme="minorBidi" w:hAnsiTheme="minorBidi"/>
          <w:sz w:val="16"/>
          <w:szCs w:val="16"/>
          <w:rtl/>
        </w:rPr>
        <w:t xml:space="preserve"> אינה אלא מדרבנן ונדון דידן בין למר ובין למר שרי, לדעת או"ז משום דדבר לח הוא ולהרא"ש משום שאין אומרים </w:t>
      </w:r>
      <w:r w:rsidRPr="0001409D">
        <w:rPr>
          <w:rFonts w:asciiTheme="minorBidi" w:hAnsiTheme="minorBidi" w:hint="cs"/>
          <w:sz w:val="16"/>
          <w:szCs w:val="16"/>
          <w:rtl/>
        </w:rPr>
        <w:t>חענ"נ</w:t>
      </w:r>
      <w:r w:rsidRPr="0001409D">
        <w:rPr>
          <w:rFonts w:asciiTheme="minorBidi" w:hAnsiTheme="minorBidi"/>
          <w:sz w:val="16"/>
          <w:szCs w:val="16"/>
          <w:rtl/>
        </w:rPr>
        <w:t xml:space="preserve"> אלא בב</w:t>
      </w:r>
      <w:r>
        <w:rPr>
          <w:rFonts w:asciiTheme="minorBidi" w:hAnsiTheme="minorBidi" w:hint="cs"/>
          <w:sz w:val="16"/>
          <w:szCs w:val="16"/>
          <w:rtl/>
        </w:rPr>
        <w:t>"ח)</w:t>
      </w:r>
      <w:r w:rsidRPr="00085E47">
        <w:rPr>
          <w:rFonts w:asciiTheme="minorBidi" w:hAnsiTheme="minorBidi"/>
          <w:rtl/>
        </w:rPr>
        <w:t>.</w:t>
      </w:r>
    </w:p>
  </w:footnote>
  <w:footnote w:id="1434">
    <w:p w14:paraId="7B2B74FB" w14:textId="77777777" w:rsidR="004C5A3C" w:rsidRDefault="004C5A3C" w:rsidP="002C39F4">
      <w:pPr>
        <w:pStyle w:val="a5"/>
      </w:pPr>
      <w:r>
        <w:rPr>
          <w:rStyle w:val="a7"/>
        </w:rPr>
        <w:footnoteRef/>
      </w:r>
      <w:r>
        <w:rPr>
          <w:rtl/>
        </w:rPr>
        <w:t xml:space="preserve"> </w:t>
      </w:r>
      <w:r w:rsidRPr="00085E47">
        <w:rPr>
          <w:rFonts w:asciiTheme="minorBidi" w:hAnsiTheme="minorBidi"/>
          <w:rtl/>
        </w:rPr>
        <w:t>ו</w:t>
      </w:r>
      <w:r>
        <w:rPr>
          <w:rFonts w:asciiTheme="minorBidi" w:hAnsiTheme="minorBidi" w:hint="cs"/>
          <w:rtl/>
        </w:rPr>
        <w:t xml:space="preserve">גם על </w:t>
      </w:r>
      <w:r w:rsidRPr="00085E47">
        <w:rPr>
          <w:rFonts w:asciiTheme="minorBidi" w:hAnsiTheme="minorBidi"/>
          <w:rtl/>
        </w:rPr>
        <w:t xml:space="preserve">סברא זו כתבו הרשב"א </w:t>
      </w:r>
      <w:r w:rsidRPr="00085E47">
        <w:rPr>
          <w:rFonts w:asciiTheme="minorBidi" w:hAnsiTheme="minorBidi"/>
          <w:sz w:val="16"/>
          <w:szCs w:val="16"/>
          <w:rtl/>
        </w:rPr>
        <w:t>(</w:t>
      </w:r>
      <w:r>
        <w:rPr>
          <w:rFonts w:asciiTheme="minorBidi" w:hAnsiTheme="minorBidi" w:hint="cs"/>
          <w:sz w:val="16"/>
          <w:szCs w:val="16"/>
          <w:rtl/>
        </w:rPr>
        <w:t>שם</w:t>
      </w:r>
      <w:r w:rsidRPr="00085E47">
        <w:rPr>
          <w:rFonts w:asciiTheme="minorBidi" w:hAnsiTheme="minorBidi"/>
          <w:sz w:val="16"/>
          <w:szCs w:val="16"/>
          <w:rtl/>
        </w:rPr>
        <w:t xml:space="preserve">) </w:t>
      </w:r>
      <w:r w:rsidRPr="00085E47">
        <w:rPr>
          <w:rFonts w:asciiTheme="minorBidi" w:hAnsiTheme="minorBidi"/>
          <w:rtl/>
        </w:rPr>
        <w:t xml:space="preserve">והר"ן </w:t>
      </w:r>
      <w:r>
        <w:rPr>
          <w:rFonts w:asciiTheme="minorBidi" w:hAnsiTheme="minorBidi" w:hint="cs"/>
          <w:sz w:val="16"/>
          <w:szCs w:val="16"/>
          <w:rtl/>
        </w:rPr>
        <w:t>(שם</w:t>
      </w:r>
      <w:r w:rsidRPr="00085E47">
        <w:rPr>
          <w:rFonts w:asciiTheme="minorBidi" w:hAnsiTheme="minorBidi"/>
          <w:sz w:val="16"/>
          <w:szCs w:val="16"/>
          <w:rtl/>
        </w:rPr>
        <w:t xml:space="preserve">) </w:t>
      </w:r>
      <w:r>
        <w:rPr>
          <w:rFonts w:asciiTheme="minorBidi" w:hAnsiTheme="minorBidi" w:hint="cs"/>
          <w:rtl/>
        </w:rPr>
        <w:t>ד</w:t>
      </w:r>
      <w:r w:rsidRPr="00085E47">
        <w:rPr>
          <w:rFonts w:asciiTheme="minorBidi" w:hAnsiTheme="minorBidi"/>
          <w:rtl/>
        </w:rPr>
        <w:t>אינם דברים מחוורים</w:t>
      </w:r>
      <w:r>
        <w:rPr>
          <w:rFonts w:asciiTheme="minorBidi" w:hAnsiTheme="minorBidi" w:hint="cs"/>
          <w:rtl/>
        </w:rPr>
        <w:t>.</w:t>
      </w:r>
      <w:r>
        <w:rPr>
          <w:rFonts w:hint="cs"/>
          <w:rtl/>
        </w:rPr>
        <w:t xml:space="preserve"> אך </w:t>
      </w:r>
      <w:r>
        <w:rPr>
          <w:rFonts w:cs="Arial" w:hint="cs"/>
          <w:rtl/>
        </w:rPr>
        <w:t>ה</w:t>
      </w:r>
      <w:r w:rsidRPr="008B130A">
        <w:rPr>
          <w:rFonts w:cs="Arial" w:hint="cs"/>
          <w:rtl/>
        </w:rPr>
        <w:t xml:space="preserve">דרכ"מ </w:t>
      </w:r>
      <w:r w:rsidRPr="008B130A">
        <w:rPr>
          <w:rFonts w:cs="Arial" w:hint="cs"/>
          <w:sz w:val="16"/>
          <w:szCs w:val="16"/>
          <w:rtl/>
        </w:rPr>
        <w:t>(אות ג</w:t>
      </w:r>
      <w:r>
        <w:rPr>
          <w:rFonts w:cs="Arial" w:hint="cs"/>
          <w:sz w:val="16"/>
          <w:szCs w:val="16"/>
          <w:rtl/>
        </w:rPr>
        <w:t>, ובסי' צט אות ב)</w:t>
      </w:r>
      <w:r>
        <w:rPr>
          <w:rFonts w:cs="Arial" w:hint="cs"/>
          <w:rtl/>
        </w:rPr>
        <w:t>-</w:t>
      </w:r>
      <w:r w:rsidRPr="008B130A">
        <w:rPr>
          <w:rFonts w:cs="Arial"/>
          <w:rtl/>
        </w:rPr>
        <w:t xml:space="preserve"> נהיגין דלא אמרינן חתיכה נעשית נבלה בדבר יבש הנתערב ביבש</w:t>
      </w:r>
      <w:r>
        <w:rPr>
          <w:rFonts w:cs="Arial" w:hint="cs"/>
          <w:rtl/>
        </w:rPr>
        <w:t>.</w:t>
      </w:r>
    </w:p>
  </w:footnote>
  <w:footnote w:id="1435">
    <w:p w14:paraId="4D33A9DC" w14:textId="77777777" w:rsidR="004C5A3C" w:rsidRDefault="004C5A3C" w:rsidP="002C39F4">
      <w:pPr>
        <w:pStyle w:val="a5"/>
        <w:rPr>
          <w:rtl/>
        </w:rPr>
      </w:pPr>
      <w:r>
        <w:rPr>
          <w:rStyle w:val="a7"/>
        </w:rPr>
        <w:footnoteRef/>
      </w:r>
      <w:r>
        <w:rPr>
          <w:rtl/>
        </w:rPr>
        <w:t xml:space="preserve"> </w:t>
      </w:r>
      <w:r>
        <w:rPr>
          <w:rFonts w:hint="cs"/>
          <w:rtl/>
        </w:rPr>
        <w:t>וכ"כ ה</w:t>
      </w:r>
      <w:r w:rsidRPr="008E4533">
        <w:rPr>
          <w:rFonts w:asciiTheme="minorBidi" w:hAnsiTheme="minorBidi"/>
          <w:rtl/>
        </w:rPr>
        <w:t xml:space="preserve">רא"ש </w:t>
      </w:r>
      <w:r>
        <w:rPr>
          <w:rFonts w:asciiTheme="minorBidi" w:hAnsiTheme="minorBidi" w:hint="cs"/>
          <w:sz w:val="16"/>
          <w:szCs w:val="16"/>
          <w:rtl/>
        </w:rPr>
        <w:t>(</w:t>
      </w:r>
      <w:r w:rsidRPr="008E4533">
        <w:rPr>
          <w:rFonts w:asciiTheme="minorBidi" w:hAnsiTheme="minorBidi"/>
          <w:sz w:val="16"/>
          <w:szCs w:val="16"/>
          <w:rtl/>
        </w:rPr>
        <w:t>ע"ז</w:t>
      </w:r>
      <w:r>
        <w:rPr>
          <w:rFonts w:asciiTheme="minorBidi" w:hAnsiTheme="minorBidi" w:hint="cs"/>
          <w:sz w:val="16"/>
          <w:szCs w:val="16"/>
          <w:rtl/>
        </w:rPr>
        <w:t xml:space="preserve"> פ"ה</w:t>
      </w:r>
      <w:r w:rsidRPr="008E4533">
        <w:rPr>
          <w:rFonts w:asciiTheme="minorBidi" w:hAnsiTheme="minorBidi"/>
          <w:sz w:val="16"/>
          <w:szCs w:val="16"/>
          <w:rtl/>
        </w:rPr>
        <w:t xml:space="preserve"> סי' כח</w:t>
      </w:r>
      <w:r>
        <w:rPr>
          <w:rFonts w:asciiTheme="minorBidi" w:hAnsiTheme="minorBidi" w:hint="cs"/>
          <w:sz w:val="16"/>
          <w:szCs w:val="16"/>
          <w:rtl/>
        </w:rPr>
        <w:t xml:space="preserve"> ד"ה כי אתא</w:t>
      </w:r>
      <w:r w:rsidRPr="008E4533">
        <w:rPr>
          <w:rFonts w:asciiTheme="minorBidi" w:hAnsiTheme="minorBidi"/>
          <w:sz w:val="16"/>
          <w:szCs w:val="16"/>
          <w:rtl/>
        </w:rPr>
        <w:t>)</w:t>
      </w:r>
      <w:r>
        <w:rPr>
          <w:rFonts w:asciiTheme="minorBidi" w:hAnsiTheme="minorBidi" w:hint="cs"/>
          <w:rtl/>
        </w:rPr>
        <w:t>- ד</w:t>
      </w:r>
      <w:r w:rsidRPr="008E4533">
        <w:rPr>
          <w:rFonts w:asciiTheme="minorBidi" w:hAnsiTheme="minorBidi"/>
          <w:rtl/>
        </w:rPr>
        <w:t>אף בדבר לח בלח אמרינן חנ"נ</w:t>
      </w:r>
      <w:r>
        <w:rPr>
          <w:rFonts w:hint="cs"/>
          <w:rtl/>
        </w:rPr>
        <w:t>.</w:t>
      </w:r>
    </w:p>
  </w:footnote>
  <w:footnote w:id="1436">
    <w:p w14:paraId="52082D52" w14:textId="77777777" w:rsidR="004C5A3C" w:rsidRDefault="004C5A3C" w:rsidP="002C39F4">
      <w:pPr>
        <w:pStyle w:val="a5"/>
        <w:rPr>
          <w:rtl/>
        </w:rPr>
      </w:pPr>
      <w:r>
        <w:rPr>
          <w:rStyle w:val="a7"/>
        </w:rPr>
        <w:footnoteRef/>
      </w:r>
      <w:r>
        <w:rPr>
          <w:rtl/>
        </w:rPr>
        <w:t xml:space="preserve"> </w:t>
      </w:r>
      <w:r w:rsidRPr="008E4533">
        <w:rPr>
          <w:rFonts w:asciiTheme="minorBidi" w:hAnsiTheme="minorBidi"/>
          <w:rtl/>
        </w:rPr>
        <w:t>וכ' הדרכ"מ</w:t>
      </w:r>
      <w:r w:rsidRPr="008E4533">
        <w:rPr>
          <w:rFonts w:asciiTheme="minorBidi" w:hAnsiTheme="minorBidi"/>
          <w:sz w:val="16"/>
          <w:szCs w:val="16"/>
          <w:rtl/>
        </w:rPr>
        <w:t xml:space="preserve"> (אות ב ***)</w:t>
      </w:r>
      <w:r w:rsidRPr="008E4533">
        <w:rPr>
          <w:rFonts w:asciiTheme="minorBidi" w:hAnsiTheme="minorBidi"/>
          <w:rtl/>
        </w:rPr>
        <w:t xml:space="preserve"> דכ"מ במרדכי </w:t>
      </w:r>
      <w:r w:rsidRPr="008E4533">
        <w:rPr>
          <w:rFonts w:asciiTheme="minorBidi" w:hAnsiTheme="minorBidi"/>
          <w:sz w:val="16"/>
          <w:szCs w:val="16"/>
          <w:rtl/>
        </w:rPr>
        <w:t xml:space="preserve">(סי' תרצט) </w:t>
      </w:r>
      <w:r w:rsidRPr="008E4533">
        <w:rPr>
          <w:rFonts w:asciiTheme="minorBidi" w:hAnsiTheme="minorBidi"/>
          <w:rtl/>
        </w:rPr>
        <w:t>בתשו' ר"י כדעת הר"ן והרשב"א</w:t>
      </w:r>
      <w:r>
        <w:rPr>
          <w:rFonts w:hint="cs"/>
          <w:rtl/>
        </w:rPr>
        <w:t>.</w:t>
      </w:r>
    </w:p>
  </w:footnote>
  <w:footnote w:id="1437">
    <w:p w14:paraId="1EBF78C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וכן הוא לקמן סי' צח בטור דלא אמרינן בכלי חתיכה נעשה נבילה, ונ"ל לומר דוקא כלי עץ או כלי מתכת דאפשר להן הגעלה או ליבון אבל כלי חרס דאין לו תקנה אלא בשבירה אמרינן ביה חנ"נ, ומוכרחת סברא זו דהא לקמן בסי' זה גבי טיפת חלב שנפלה ע"ג דופן הקדרה אמרינן ביה חנ"נ, אמנם ב</w:t>
      </w:r>
      <w:r>
        <w:rPr>
          <w:rFonts w:asciiTheme="minorBidi" w:hAnsiTheme="minorBidi"/>
          <w:rtl/>
        </w:rPr>
        <w:t>או"ה</w:t>
      </w:r>
      <w:r w:rsidRPr="00085E47">
        <w:rPr>
          <w:rFonts w:asciiTheme="minorBidi" w:hAnsiTheme="minorBidi"/>
          <w:rtl/>
        </w:rPr>
        <w:t xml:space="preserve"> </w:t>
      </w:r>
      <w:r w:rsidRPr="00085E47">
        <w:rPr>
          <w:rFonts w:asciiTheme="minorBidi" w:hAnsiTheme="minorBidi"/>
          <w:sz w:val="16"/>
          <w:szCs w:val="16"/>
          <w:rtl/>
        </w:rPr>
        <w:t>(כלל כ"ד ד"ט, וכלל לא ד</w:t>
      </w:r>
      <w:r>
        <w:rPr>
          <w:rFonts w:asciiTheme="minorBidi" w:hAnsiTheme="minorBidi" w:hint="cs"/>
          <w:sz w:val="16"/>
          <w:szCs w:val="16"/>
          <w:rtl/>
        </w:rPr>
        <w:t>"א</w:t>
      </w:r>
      <w:r w:rsidRPr="00085E47">
        <w:rPr>
          <w:rFonts w:asciiTheme="minorBidi" w:hAnsiTheme="minorBidi"/>
          <w:sz w:val="16"/>
          <w:szCs w:val="16"/>
          <w:rtl/>
        </w:rPr>
        <w:t xml:space="preserve"> ו</w:t>
      </w:r>
      <w:r>
        <w:rPr>
          <w:rFonts w:asciiTheme="minorBidi" w:hAnsiTheme="minorBidi" w:hint="cs"/>
          <w:sz w:val="16"/>
          <w:szCs w:val="16"/>
          <w:rtl/>
        </w:rPr>
        <w:t>ד"</w:t>
      </w:r>
      <w:r w:rsidRPr="00085E47">
        <w:rPr>
          <w:rFonts w:asciiTheme="minorBidi" w:hAnsiTheme="minorBidi"/>
          <w:sz w:val="16"/>
          <w:szCs w:val="16"/>
          <w:rtl/>
        </w:rPr>
        <w:t xml:space="preserve">ח) </w:t>
      </w:r>
      <w:r w:rsidRPr="00085E47">
        <w:rPr>
          <w:rFonts w:asciiTheme="minorBidi" w:hAnsiTheme="minorBidi"/>
          <w:rtl/>
        </w:rPr>
        <w:t>פסק סתם כדברי המרדכי דאין אומרים בכלי חנ"נ ואפילו בכלי חרס עכ"ל, וההיא דטיפת חלב שנפלה על הקדרה קשיא לפי דבריו, וצ"ע, ונ"ל לומר דס"ל דגם לקמן גבי קדרה אין הקדרה נעשית נבלה והא דצריכים ששים פעמים ששים נגד הטיפה משום מה שבלוע בתוך הקדרה דזהו נעשית נבלה והואיל ולא ידעינן כמה בלע צריכים ששים פעמים ששים, אבל כלי שאינו בלוע אינו נעשה נבלה</w:t>
      </w:r>
      <w:r>
        <w:rPr>
          <w:rFonts w:asciiTheme="minorBidi" w:hAnsiTheme="minorBidi" w:hint="cs"/>
          <w:rtl/>
        </w:rPr>
        <w:t>, דרכ"מ (אות ד)</w:t>
      </w:r>
      <w:r w:rsidRPr="00085E47">
        <w:rPr>
          <w:rFonts w:asciiTheme="minorBidi" w:hAnsiTheme="minorBidi"/>
          <w:rtl/>
        </w:rPr>
        <w:t>.</w:t>
      </w:r>
    </w:p>
  </w:footnote>
  <w:footnote w:id="1438">
    <w:p w14:paraId="328A64C2"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הטעם משום דכל חד באנפיה נפשיה שרי וכי איתנהו בהדדי אסור הלכך הבשר נעשה איסור ולוקה אם אוכל חצי זית מבשר וחצי זית מחלב לכך צריך ס' ברוטב לבטל כל החתיכה שנפלה עליה טפת חלב, כ"כ התוס', וביאור דבריהם- כיון דבבשר וחלב אין שם איסור ניכר אלא אחר התערובות על כן כל התערובות הוי גוף האיסור שזהו האיסור האמור בתורה עירוב בשר בחלב, משא"כ בשאר דבר שהוא איסור בפני עצמו ואותו הוא האיסור האמור בתורה אלא שכאן נתערב ממילא אין לך אלא תערובת איסור דאו' ואין שייך בזה חתיכה עצמה נעשה נבילה, כ"כ במגיד משנה, ט"ז (סק"ט).</w:t>
      </w:r>
    </w:p>
  </w:footnote>
  <w:footnote w:id="1439">
    <w:p w14:paraId="02482BDD"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w:t>
      </w:r>
      <w:r w:rsidRPr="00085E47">
        <w:rPr>
          <w:rFonts w:asciiTheme="minorBidi" w:hAnsiTheme="minorBidi"/>
          <w:u w:val="single"/>
          <w:rtl/>
        </w:rPr>
        <w:t>וקשה, דלקמן ר"ס ק"ו כתב דהחתיכה עצמה עומדת באיסורה לפי שהאיסור שבה אינו נפלט ממנה לגמרי עכ"ל:</w:t>
      </w:r>
      <w:r w:rsidRPr="00085E47">
        <w:rPr>
          <w:rFonts w:asciiTheme="minorBidi" w:hAnsiTheme="minorBidi"/>
          <w:rtl/>
        </w:rPr>
        <w:t xml:space="preserve"> </w:t>
      </w:r>
    </w:p>
    <w:p w14:paraId="25C77868" w14:textId="77777777" w:rsidR="004C5A3C" w:rsidRDefault="004C5A3C" w:rsidP="0032102C">
      <w:pPr>
        <w:pStyle w:val="a5"/>
        <w:numPr>
          <w:ilvl w:val="0"/>
          <w:numId w:val="109"/>
        </w:numPr>
        <w:rPr>
          <w:rFonts w:asciiTheme="minorBidi" w:hAnsiTheme="minorBidi"/>
        </w:rPr>
      </w:pPr>
      <w:r w:rsidRPr="00085E47">
        <w:rPr>
          <w:rFonts w:asciiTheme="minorBidi" w:hAnsiTheme="minorBidi"/>
          <w:rtl/>
        </w:rPr>
        <w:t xml:space="preserve">ש"ך </w:t>
      </w:r>
      <w:r w:rsidRPr="00085E47">
        <w:rPr>
          <w:rFonts w:asciiTheme="minorBidi" w:hAnsiTheme="minorBidi"/>
          <w:sz w:val="16"/>
          <w:szCs w:val="16"/>
          <w:rtl/>
        </w:rPr>
        <w:t>(סקי"א)</w:t>
      </w:r>
      <w:r w:rsidRPr="00085E47">
        <w:rPr>
          <w:rFonts w:asciiTheme="minorBidi" w:hAnsiTheme="minorBidi"/>
          <w:rtl/>
        </w:rPr>
        <w:t>- כדי שלא יסתרו הדברים זא"ז כ"כ בפירוש נראה ליישב דמה שכתב כאן ר"ל לפי שכתב מקודם גבי בשר בחלב דאף דהרוטב מותר בס'</w:t>
      </w:r>
      <w:r>
        <w:rPr>
          <w:rFonts w:asciiTheme="minorBidi" w:hAnsiTheme="minorBidi" w:hint="cs"/>
          <w:rtl/>
        </w:rPr>
        <w:t>,</w:t>
      </w:r>
      <w:r w:rsidRPr="00085E47">
        <w:rPr>
          <w:rFonts w:asciiTheme="minorBidi" w:hAnsiTheme="minorBidi"/>
          <w:rtl/>
        </w:rPr>
        <w:t xml:space="preserve"> מ"מ החתיכה באיסורה עומדת</w:t>
      </w:r>
      <w:r>
        <w:rPr>
          <w:rFonts w:asciiTheme="minorBidi" w:hAnsiTheme="minorBidi" w:hint="cs"/>
          <w:rtl/>
        </w:rPr>
        <w:t>,</w:t>
      </w:r>
      <w:r w:rsidRPr="00085E47">
        <w:rPr>
          <w:rFonts w:asciiTheme="minorBidi" w:hAnsiTheme="minorBidi"/>
          <w:rtl/>
        </w:rPr>
        <w:t xml:space="preserve"> דאם היתה ראויה להתכבד ואינו מכירה אינה בטילה באלף, וקמ"ל דאין כן בשאר איסורים אלא דבטיל ברוב כשאינו מכירה כיון דאין איסור מחמת עצמה</w:t>
      </w:r>
      <w:r>
        <w:rPr>
          <w:rFonts w:asciiTheme="minorBidi" w:hAnsiTheme="minorBidi" w:hint="cs"/>
          <w:rtl/>
        </w:rPr>
        <w:t>,</w:t>
      </w:r>
      <w:r w:rsidRPr="00085E47">
        <w:rPr>
          <w:rFonts w:asciiTheme="minorBidi" w:hAnsiTheme="minorBidi"/>
          <w:rtl/>
        </w:rPr>
        <w:t xml:space="preserve"> וכדלקמן ר"ס קא </w:t>
      </w:r>
      <w:r w:rsidRPr="00085E47">
        <w:rPr>
          <w:rFonts w:asciiTheme="minorBidi" w:hAnsiTheme="minorBidi"/>
          <w:sz w:val="16"/>
          <w:szCs w:val="16"/>
          <w:rtl/>
        </w:rPr>
        <w:t>(סע' ב)</w:t>
      </w:r>
      <w:r w:rsidRPr="00085E47">
        <w:rPr>
          <w:rFonts w:asciiTheme="minorBidi" w:hAnsiTheme="minorBidi"/>
          <w:rtl/>
        </w:rPr>
        <w:t>, ואז אפילו חתיכה עצמה חוזרת להיות מותרת ומותר לאכול כולם וא"צ להשליך אחת מהן וכדלקמן ר"ס קט.</w:t>
      </w:r>
    </w:p>
    <w:p w14:paraId="7062ED52" w14:textId="77777777" w:rsidR="004C5A3C" w:rsidRPr="00085E47" w:rsidRDefault="004C5A3C" w:rsidP="0032102C">
      <w:pPr>
        <w:pStyle w:val="a5"/>
        <w:numPr>
          <w:ilvl w:val="0"/>
          <w:numId w:val="109"/>
        </w:numPr>
        <w:rPr>
          <w:rFonts w:asciiTheme="minorBidi" w:hAnsiTheme="minorBidi"/>
          <w:rtl/>
        </w:rPr>
      </w:pPr>
      <w:r w:rsidRPr="00085E47">
        <w:rPr>
          <w:rFonts w:asciiTheme="minorBidi" w:hAnsiTheme="minorBidi"/>
          <w:rtl/>
        </w:rPr>
        <w:t xml:space="preserve">ט"ז </w:t>
      </w:r>
      <w:r w:rsidRPr="00085E47">
        <w:rPr>
          <w:rFonts w:asciiTheme="minorBidi" w:hAnsiTheme="minorBidi"/>
          <w:sz w:val="16"/>
          <w:szCs w:val="16"/>
          <w:rtl/>
        </w:rPr>
        <w:t>(סק"י)</w:t>
      </w:r>
      <w:r w:rsidRPr="00085E47">
        <w:rPr>
          <w:rFonts w:asciiTheme="minorBidi" w:hAnsiTheme="minorBidi"/>
          <w:rtl/>
        </w:rPr>
        <w:t>- דבריו סותרים זא"ז ומה שכתב בסי' ק"ו ס"א הוא האמת.</w:t>
      </w:r>
    </w:p>
    <w:p w14:paraId="1E3754D5" w14:textId="77777777" w:rsidR="004C5A3C" w:rsidRPr="004906B4" w:rsidRDefault="004C5A3C" w:rsidP="0032102C">
      <w:pPr>
        <w:pStyle w:val="a5"/>
        <w:numPr>
          <w:ilvl w:val="0"/>
          <w:numId w:val="109"/>
        </w:numPr>
        <w:rPr>
          <w:rFonts w:asciiTheme="minorBidi" w:hAnsiTheme="minorBidi"/>
        </w:rPr>
      </w:pPr>
      <w:r>
        <w:rPr>
          <w:rFonts w:asciiTheme="minorBidi" w:hAnsiTheme="minorBidi" w:cs="Arial" w:hint="cs"/>
          <w:rtl/>
        </w:rPr>
        <w:t xml:space="preserve">כו"פ </w:t>
      </w:r>
      <w:r w:rsidRPr="004906B4">
        <w:rPr>
          <w:rFonts w:asciiTheme="minorBidi" w:hAnsiTheme="minorBidi" w:cs="Arial" w:hint="cs"/>
          <w:sz w:val="16"/>
          <w:szCs w:val="16"/>
          <w:rtl/>
        </w:rPr>
        <w:t>(פלתי סק"ח</w:t>
      </w:r>
      <w:r>
        <w:rPr>
          <w:rFonts w:asciiTheme="minorBidi" w:hAnsiTheme="minorBidi" w:cs="Arial" w:hint="cs"/>
          <w:sz w:val="16"/>
          <w:szCs w:val="16"/>
          <w:rtl/>
        </w:rPr>
        <w:t>, תירוץ א</w:t>
      </w:r>
      <w:r w:rsidRPr="004906B4">
        <w:rPr>
          <w:rFonts w:asciiTheme="minorBidi" w:hAnsiTheme="minorBidi" w:cs="Arial" w:hint="cs"/>
          <w:sz w:val="16"/>
          <w:szCs w:val="16"/>
          <w:rtl/>
        </w:rPr>
        <w:t>)</w:t>
      </w:r>
      <w:r>
        <w:rPr>
          <w:rFonts w:asciiTheme="minorBidi" w:hAnsiTheme="minorBidi" w:cs="Arial" w:hint="cs"/>
          <w:rtl/>
        </w:rPr>
        <w:t xml:space="preserve">- </w:t>
      </w:r>
      <w:r w:rsidRPr="004906B4">
        <w:rPr>
          <w:rFonts w:asciiTheme="minorBidi" w:hAnsiTheme="minorBidi" w:cs="Arial"/>
          <w:rtl/>
        </w:rPr>
        <w:t>אולי איירי לקמן במין בשאינו מינו דהוא איסור תורה, על כן חשש כדעת המחמירין. אבל כאן מיירי בחֵלב בבשר דהוי ליה מין במינו</w:t>
      </w:r>
      <w:r>
        <w:rPr>
          <w:rFonts w:asciiTheme="minorBidi" w:hAnsiTheme="minorBidi" w:cs="Arial" w:hint="cs"/>
          <w:rtl/>
        </w:rPr>
        <w:t>...</w:t>
      </w:r>
      <w:r w:rsidRPr="004906B4">
        <w:rPr>
          <w:rFonts w:asciiTheme="minorBidi" w:hAnsiTheme="minorBidi" w:cs="Arial"/>
          <w:rtl/>
        </w:rPr>
        <w:t xml:space="preserve"> וא"כ דבר תורה ברוב בטל, וליכא כאן רק איסור דרבנן, ופסק כמקילין. </w:t>
      </w:r>
    </w:p>
    <w:p w14:paraId="4BBE348A" w14:textId="77777777" w:rsidR="004C5A3C" w:rsidRDefault="004C5A3C" w:rsidP="0032102C">
      <w:pPr>
        <w:pStyle w:val="a5"/>
        <w:numPr>
          <w:ilvl w:val="0"/>
          <w:numId w:val="109"/>
        </w:numPr>
        <w:rPr>
          <w:rFonts w:asciiTheme="minorBidi" w:hAnsiTheme="minorBidi"/>
        </w:rPr>
      </w:pPr>
      <w:r>
        <w:rPr>
          <w:rFonts w:asciiTheme="minorBidi" w:hAnsiTheme="minorBidi" w:cs="Arial" w:hint="cs"/>
          <w:rtl/>
        </w:rPr>
        <w:t xml:space="preserve">כו"פ </w:t>
      </w:r>
      <w:r w:rsidRPr="004906B4">
        <w:rPr>
          <w:rFonts w:asciiTheme="minorBidi" w:hAnsiTheme="minorBidi" w:cs="Arial" w:hint="cs"/>
          <w:sz w:val="16"/>
          <w:szCs w:val="16"/>
          <w:rtl/>
        </w:rPr>
        <w:t>(</w:t>
      </w:r>
      <w:r>
        <w:rPr>
          <w:rFonts w:asciiTheme="minorBidi" w:hAnsiTheme="minorBidi" w:cs="Arial" w:hint="cs"/>
          <w:sz w:val="16"/>
          <w:szCs w:val="16"/>
          <w:rtl/>
        </w:rPr>
        <w:t>שם, תירוץ ב</w:t>
      </w:r>
      <w:r w:rsidRPr="004906B4">
        <w:rPr>
          <w:rFonts w:asciiTheme="minorBidi" w:hAnsiTheme="minorBidi" w:cs="Arial" w:hint="cs"/>
          <w:sz w:val="16"/>
          <w:szCs w:val="16"/>
          <w:rtl/>
        </w:rPr>
        <w:t>)</w:t>
      </w:r>
      <w:r>
        <w:rPr>
          <w:rFonts w:asciiTheme="minorBidi" w:hAnsiTheme="minorBidi" w:cs="Arial" w:hint="cs"/>
          <w:rtl/>
        </w:rPr>
        <w:t xml:space="preserve">- </w:t>
      </w:r>
      <w:r w:rsidRPr="004906B4">
        <w:rPr>
          <w:rFonts w:asciiTheme="minorBidi" w:hAnsiTheme="minorBidi" w:cs="Arial"/>
          <w:rtl/>
        </w:rPr>
        <w:t>כיון דנחלקו הפוסקים אי אפשר לסחטו אסור או מותר, בהא דאם נפל לקדרה לאסור הקדרה, בהא מקילינן כמ"ש ודאי נפק כולו, ואינו אוסר, ולזה נתכוין הש</w:t>
      </w:r>
      <w:r>
        <w:rPr>
          <w:rFonts w:asciiTheme="minorBidi" w:hAnsiTheme="minorBidi" w:cs="Arial" w:hint="cs"/>
          <w:rtl/>
        </w:rPr>
        <w:t>ו</w:t>
      </w:r>
      <w:r w:rsidRPr="004906B4">
        <w:rPr>
          <w:rFonts w:asciiTheme="minorBidi" w:hAnsiTheme="minorBidi" w:cs="Arial"/>
          <w:rtl/>
        </w:rPr>
        <w:t>"ע באומרו ואז חתיכה עצמה מותר, רצונו לומר שלא לאסור הקדרה</w:t>
      </w:r>
      <w:r>
        <w:rPr>
          <w:rFonts w:asciiTheme="minorBidi" w:hAnsiTheme="minorBidi" w:cs="Arial" w:hint="cs"/>
          <w:rtl/>
        </w:rPr>
        <w:t>,</w:t>
      </w:r>
      <w:r w:rsidRPr="004906B4">
        <w:rPr>
          <w:rFonts w:asciiTheme="minorBidi" w:hAnsiTheme="minorBidi" w:cs="Arial"/>
          <w:rtl/>
        </w:rPr>
        <w:t xml:space="preserve"> אבל לגוף החתיכה ודאי באיסור קיימא, הואיל וחל עליה שם א</w:t>
      </w:r>
      <w:r>
        <w:rPr>
          <w:rFonts w:asciiTheme="minorBidi" w:hAnsiTheme="minorBidi" w:cs="Arial" w:hint="cs"/>
          <w:rtl/>
        </w:rPr>
        <w:t>י</w:t>
      </w:r>
      <w:r w:rsidRPr="004906B4">
        <w:rPr>
          <w:rFonts w:asciiTheme="minorBidi" w:hAnsiTheme="minorBidi" w:cs="Arial"/>
          <w:rtl/>
        </w:rPr>
        <w:t>סור, וזהו כוונתו בסי</w:t>
      </w:r>
      <w:r>
        <w:rPr>
          <w:rFonts w:asciiTheme="minorBidi" w:hAnsiTheme="minorBidi" w:cs="Arial" w:hint="cs"/>
          <w:rtl/>
        </w:rPr>
        <w:t>'</w:t>
      </w:r>
      <w:r w:rsidRPr="004906B4">
        <w:rPr>
          <w:rFonts w:asciiTheme="minorBidi" w:hAnsiTheme="minorBidi" w:cs="Arial"/>
          <w:rtl/>
        </w:rPr>
        <w:t xml:space="preserve"> קו</w:t>
      </w:r>
      <w:r>
        <w:rPr>
          <w:rFonts w:asciiTheme="minorBidi" w:hAnsiTheme="minorBidi" w:cs="Arial" w:hint="cs"/>
          <w:rtl/>
        </w:rPr>
        <w:t>.</w:t>
      </w:r>
    </w:p>
    <w:p w14:paraId="5AF25EB5" w14:textId="77777777" w:rsidR="004C5A3C" w:rsidRPr="004906B4" w:rsidRDefault="004C5A3C" w:rsidP="0032102C">
      <w:pPr>
        <w:pStyle w:val="a5"/>
        <w:numPr>
          <w:ilvl w:val="0"/>
          <w:numId w:val="109"/>
        </w:numPr>
        <w:rPr>
          <w:rFonts w:asciiTheme="minorBidi" w:hAnsiTheme="minorBidi"/>
          <w:rtl/>
        </w:rPr>
      </w:pPr>
      <w:r>
        <w:rPr>
          <w:rFonts w:asciiTheme="minorBidi" w:hAnsiTheme="minorBidi" w:hint="cs"/>
          <w:rtl/>
        </w:rPr>
        <w:t xml:space="preserve">גר"א </w:t>
      </w:r>
      <w:r w:rsidRPr="00C152A7">
        <w:rPr>
          <w:rFonts w:asciiTheme="minorBidi" w:hAnsiTheme="minorBidi" w:hint="cs"/>
          <w:sz w:val="16"/>
          <w:szCs w:val="16"/>
          <w:rtl/>
        </w:rPr>
        <w:t>(סי' קו סק"ד)</w:t>
      </w:r>
      <w:r>
        <w:rPr>
          <w:rFonts w:asciiTheme="minorBidi" w:hAnsiTheme="minorBidi" w:hint="cs"/>
          <w:rtl/>
        </w:rPr>
        <w:t>-</w:t>
      </w:r>
      <w:r w:rsidRPr="00C152A7">
        <w:rPr>
          <w:rtl/>
        </w:rPr>
        <w:t xml:space="preserve"> </w:t>
      </w:r>
      <w:r w:rsidRPr="00C152A7">
        <w:rPr>
          <w:rFonts w:asciiTheme="minorBidi" w:hAnsiTheme="minorBidi" w:cs="Arial"/>
          <w:rtl/>
        </w:rPr>
        <w:t xml:space="preserve">שם </w:t>
      </w:r>
      <w:r>
        <w:rPr>
          <w:rFonts w:asciiTheme="minorBidi" w:hAnsiTheme="minorBidi" w:cs="Arial" w:hint="cs"/>
          <w:sz w:val="16"/>
          <w:szCs w:val="16"/>
          <w:rtl/>
        </w:rPr>
        <w:t xml:space="preserve">{כאן, סי' צב} </w:t>
      </w:r>
      <w:r w:rsidRPr="00C152A7">
        <w:rPr>
          <w:rFonts w:asciiTheme="minorBidi" w:hAnsiTheme="minorBidi" w:cs="Arial"/>
          <w:rtl/>
        </w:rPr>
        <w:t>נמשך אחר לשון הטור</w:t>
      </w:r>
      <w:r>
        <w:rPr>
          <w:rFonts w:asciiTheme="minorBidi" w:hAnsiTheme="minorBidi" w:cs="Arial" w:hint="cs"/>
          <w:rtl/>
        </w:rPr>
        <w:t>,</w:t>
      </w:r>
      <w:r w:rsidRPr="00C152A7">
        <w:rPr>
          <w:rFonts w:asciiTheme="minorBidi" w:hAnsiTheme="minorBidi" w:cs="Arial"/>
          <w:rtl/>
        </w:rPr>
        <w:t xml:space="preserve"> והטור אזיל לשטתו שחולק כאן </w:t>
      </w:r>
      <w:r>
        <w:rPr>
          <w:rFonts w:asciiTheme="minorBidi" w:hAnsiTheme="minorBidi" w:cs="Arial" w:hint="cs"/>
          <w:sz w:val="16"/>
          <w:szCs w:val="16"/>
          <w:rtl/>
        </w:rPr>
        <w:t xml:space="preserve">{סי' קו} </w:t>
      </w:r>
      <w:r w:rsidRPr="00C152A7">
        <w:rPr>
          <w:rFonts w:asciiTheme="minorBidi" w:hAnsiTheme="minorBidi" w:cs="Arial"/>
          <w:rtl/>
        </w:rPr>
        <w:t>על הרשב"א וסובר דגם אפשר לסוחטו דוקא בבב"ח</w:t>
      </w:r>
      <w:r>
        <w:rPr>
          <w:rFonts w:asciiTheme="minorBidi" w:hAnsiTheme="minorBidi" w:cs="Arial" w:hint="cs"/>
          <w:rtl/>
        </w:rPr>
        <w:t>,</w:t>
      </w:r>
      <w:r w:rsidRPr="00C152A7">
        <w:rPr>
          <w:rFonts w:asciiTheme="minorBidi" w:hAnsiTheme="minorBidi" w:cs="Arial"/>
          <w:rtl/>
        </w:rPr>
        <w:t xml:space="preserve"> וכפירש"י דהכל א'</w:t>
      </w:r>
      <w:r>
        <w:rPr>
          <w:rFonts w:asciiTheme="minorBidi" w:hAnsiTheme="minorBidi" w:cs="Arial" w:hint="cs"/>
          <w:rtl/>
        </w:rPr>
        <w:t>.</w:t>
      </w:r>
      <w:r>
        <w:rPr>
          <w:rFonts w:asciiTheme="minorBidi" w:hAnsiTheme="minorBidi" w:cs="Arial" w:hint="cs"/>
          <w:sz w:val="16"/>
          <w:szCs w:val="16"/>
          <w:rtl/>
        </w:rPr>
        <w:t xml:space="preserve"> (ובאמת הב"י כתב בסי' קו דדברי הרשב"א "נכונים וברורים בטעמם... וכבר הוכחתי דדברי הרשב"א עיקר", א"כ ברור שדעת השו"ע לאסור את החתיכה עצמה, וכ"כ הרמ"א שם (סי' קו) דעיקר כדברי השו"ע שהחתיכה אסורה)</w:t>
      </w:r>
      <w:r w:rsidRPr="00C152A7">
        <w:rPr>
          <w:rFonts w:asciiTheme="minorBidi" w:hAnsiTheme="minorBidi" w:cs="Arial"/>
          <w:rtl/>
        </w:rPr>
        <w:t xml:space="preserve"> </w:t>
      </w:r>
      <w:r>
        <w:rPr>
          <w:rFonts w:asciiTheme="minorBidi" w:hAnsiTheme="minorBidi" w:hint="cs"/>
          <w:rtl/>
        </w:rPr>
        <w:t xml:space="preserve"> </w:t>
      </w:r>
    </w:p>
  </w:footnote>
  <w:footnote w:id="1440">
    <w:p w14:paraId="1F283806"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האגור בשם מהרא"י דמ"מ לכו"ע אינו אלא מדרבנן, ומביאו ב"י ודרכ"מ, וכ"כ הר"ן דבשאר איסורים הוי מדרבנן והבאתיו בסי' כ"ב סק"י, ש"ך (סקי"ב). וכיון שהוא מדרבנן יש לצדד להיתר במקום שאזכיר בסמוך</w:t>
      </w:r>
      <w:r w:rsidRPr="00085E47">
        <w:rPr>
          <w:rFonts w:asciiTheme="minorBidi" w:hAnsiTheme="minorBidi"/>
          <w:sz w:val="16"/>
          <w:szCs w:val="16"/>
          <w:rtl/>
        </w:rPr>
        <w:t xml:space="preserve"> (בשם רש"ל </w:t>
      </w:r>
      <w:r w:rsidRPr="00085E47">
        <w:rPr>
          <w:rFonts w:asciiTheme="minorBidi" w:hAnsiTheme="minorBidi"/>
          <w:sz w:val="14"/>
          <w:szCs w:val="14"/>
          <w:rtl/>
        </w:rPr>
        <w:t>[סקט"ו]</w:t>
      </w:r>
      <w:r w:rsidRPr="00085E47">
        <w:rPr>
          <w:rFonts w:asciiTheme="minorBidi" w:hAnsiTheme="minorBidi"/>
          <w:sz w:val="16"/>
          <w:szCs w:val="16"/>
          <w:rtl/>
        </w:rPr>
        <w:t>/מהרי"ל</w:t>
      </w:r>
      <w:r w:rsidRPr="00085E47">
        <w:rPr>
          <w:rFonts w:asciiTheme="minorBidi" w:hAnsiTheme="minorBidi"/>
          <w:sz w:val="14"/>
          <w:szCs w:val="14"/>
          <w:rtl/>
        </w:rPr>
        <w:t xml:space="preserve"> [סקי"ב]</w:t>
      </w:r>
      <w:r w:rsidRPr="00085E47">
        <w:rPr>
          <w:rFonts w:asciiTheme="minorBidi" w:hAnsiTheme="minorBidi"/>
          <w:sz w:val="16"/>
          <w:szCs w:val="16"/>
          <w:rtl/>
        </w:rPr>
        <w:t>)</w:t>
      </w:r>
      <w:r w:rsidRPr="00085E47">
        <w:rPr>
          <w:rFonts w:asciiTheme="minorBidi" w:hAnsiTheme="minorBidi"/>
          <w:rtl/>
        </w:rPr>
        <w:t>, ומבואר באו"ה כלל כ"ד דאפי' באיסור דרבנן אמרינן חתיכה עצמה נ"נ, והיינו כרשב"א שזכרתי בסי' צ' סעיף א', ט"ז (סקי"א).</w:t>
      </w:r>
    </w:p>
  </w:footnote>
  <w:footnote w:id="1441">
    <w:p w14:paraId="64F9F1BA"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מאחר שדבוק בזה האיסור וכן התולע בגופו וכן דג טהור שנמצא במיעיו לאחר שנתבשל שרץ או דג טמא ולא היה בדג עצמו ס' נגדו וכל כה"ג חיישי' שמא פעם א' נשאר לבדו ברוטב בסוף העירוי או שמא פעם א' הוציאוה רותחת חוץ לקדירה ונעשית נבילה ומשהחזירה לא הותרה עוד ואוסרת השאר עד ס' נגדה, או"ה </w:t>
      </w:r>
      <w:r w:rsidRPr="00085E47">
        <w:rPr>
          <w:rFonts w:asciiTheme="minorBidi" w:hAnsiTheme="minorBidi"/>
          <w:sz w:val="16"/>
          <w:szCs w:val="16"/>
          <w:rtl/>
        </w:rPr>
        <w:t xml:space="preserve">(כלל כח ד"ג) </w:t>
      </w:r>
      <w:r w:rsidRPr="00085E47">
        <w:rPr>
          <w:rFonts w:asciiTheme="minorBidi" w:hAnsiTheme="minorBidi"/>
          <w:rtl/>
        </w:rPr>
        <w:t xml:space="preserve">בשם סמ"ק </w:t>
      </w:r>
      <w:r w:rsidRPr="00085E47">
        <w:rPr>
          <w:rFonts w:asciiTheme="minorBidi" w:hAnsiTheme="minorBidi"/>
          <w:sz w:val="16"/>
          <w:szCs w:val="16"/>
          <w:rtl/>
        </w:rPr>
        <w:t>(סי' רה, הביאם הט"ז)</w:t>
      </w:r>
      <w:r w:rsidRPr="00085E47">
        <w:rPr>
          <w:rFonts w:asciiTheme="minorBidi" w:hAnsiTheme="minorBidi"/>
          <w:rtl/>
        </w:rPr>
        <w:t xml:space="preserve">. וכ' הט"ז </w:t>
      </w:r>
      <w:r w:rsidRPr="00085E47">
        <w:rPr>
          <w:rFonts w:asciiTheme="minorBidi" w:hAnsiTheme="minorBidi"/>
          <w:sz w:val="16"/>
          <w:szCs w:val="16"/>
          <w:rtl/>
        </w:rPr>
        <w:t xml:space="preserve">(סקי"ב) </w:t>
      </w:r>
      <w:r w:rsidRPr="00085E47">
        <w:rPr>
          <w:rFonts w:asciiTheme="minorBidi" w:hAnsiTheme="minorBidi"/>
          <w:rtl/>
        </w:rPr>
        <w:t>דמזה נ"ל בדג שנמצא שרץ או חתיכת שרץ בראשו ונתבשל כך עם שאר הדגים דבעינן ס' נגד כל ראש הדג דחד דינא וחד טעמא הוא עם שנמצא במיעיו, והיינו דוקא באיסור דאו', וכמו שחילקתי סי' ע"ב סעיף ג', ועוד ראיה ממ"ש או"ה (כלל ל"ו דין י"ב) בתפוח שיש בו תולע דחשיב איסור הדבוק וצריך ס' בבישול נגד כל התפוח אם אין בתפוח עצמו ס' נגד התולע וה"ה כאן, וכן ראיתי במהרי"ל וז"ל תולע שצדו בו הדג נמצא בדג מלוח תחוב בחכה והורה מהרי"ל לקלוף מקומו דטעמו נתבטל בס' אפילו בבישול אם יש בחתיכה שנמצא בו ס' כנגדו וכן היה מורה על חתיכה קרעפ"ש שנמצא בראש הדג מבושל לבטל טעמו אם יש בראש הדג ס' כנגדו עכ"ל, אלא דלפי הסברא נראה דלא הוי דבוק דהא מונח במקום שאפשר לרוטב לבוא לכל הצדדין וכיון שדין דחנ"נ בשאר איסורים אינה אלא מדרבנן, וכמ"ש, יש לצדד גם כאן להקל ולא הוי חנ"נ.</w:t>
      </w:r>
    </w:p>
  </w:footnote>
  <w:footnote w:id="1442">
    <w:p w14:paraId="63BB6B92"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פי' בעודו רותח נפל האיסור, אבל אם תחילה נפלה לחלב צונן ואח"כ נפלה לתבשיל של בשר פשיטא שמהני הבשר עצמו עם שאר התבשיל לבטל החלב מאחר שלא נאסרה עד שתבא לתבשיל ואז מתחיל האיסור ומתחיל גם הביטול בכל מה שבקדירה, וכ"כ באו"ה </w:t>
      </w:r>
      <w:r w:rsidRPr="00085E47">
        <w:rPr>
          <w:rFonts w:asciiTheme="minorBidi" w:hAnsiTheme="minorBidi"/>
          <w:sz w:val="16"/>
          <w:szCs w:val="16"/>
          <w:rtl/>
        </w:rPr>
        <w:t>(כלל כ"ח)</w:t>
      </w:r>
      <w:r w:rsidRPr="00085E47">
        <w:rPr>
          <w:rFonts w:asciiTheme="minorBidi" w:hAnsiTheme="minorBidi"/>
          <w:rtl/>
        </w:rPr>
        <w:t>, וכ' עוד דאפי' אם מגביה את החתיכה ההיא לחוץ לבדה בעודה רותח לא תיאסר ולא דמי לאיסור הדבוק, ט"ז</w:t>
      </w:r>
      <w:r w:rsidRPr="00085E47">
        <w:rPr>
          <w:rFonts w:asciiTheme="minorBidi" w:hAnsiTheme="minorBidi"/>
          <w:sz w:val="16"/>
          <w:szCs w:val="16"/>
          <w:rtl/>
        </w:rPr>
        <w:t xml:space="preserve"> (סקי"ג)</w:t>
      </w:r>
      <w:r w:rsidRPr="00085E47">
        <w:rPr>
          <w:rFonts w:asciiTheme="minorBidi" w:hAnsiTheme="minorBidi"/>
          <w:rtl/>
        </w:rPr>
        <w:t>.</w:t>
      </w:r>
    </w:p>
  </w:footnote>
  <w:footnote w:id="1443">
    <w:p w14:paraId="281ABBAC"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זהו כדעת ר"י שזכרנו בסעיף ב' גבי טפת חלב שנפלה על החתיכה של בשר, אלא שרמ"א הכריע כאן כדבריו בשאר איסורין, וכבר כתבתי שזה סותר מה שכתב רמ"א עצמו בסעיף ב', ודקי"ל כרש"י דאפילו מקצתה ברוטב הוה ככולה חוץ לרוטב לחומרא מ"מ כאן בשאר איסורין מסתבר שיש לסמוך על רמ"א שאין נעשה נבלה כדעת ר"י, ט"ז (סקי"ד).</w:t>
      </w:r>
    </w:p>
  </w:footnote>
  <w:footnote w:id="1444">
    <w:p w14:paraId="249E8416"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וכ' הש"ך (סקי"ג) דהרב הכריע כן הכל מסברתו כעין פשר, ומי כהחכם יודע פשר, אבל באמת צ"ע בענין זה דמקצתן חוץ לרוטב, דמה שנרשם בשו"ע שהוציא מהאו"ה כלל כ"ח דאפי' בשאר איסורים ומקצתן תוך הרוטב יש לאסור אותה חתיכה עצמה- ליתא, דאדרבה באו"ה כתב שם בהדיא כמה פעמים דאפילו בבשר בחלב אם מקצתה תוך הרוטב כל הקדרה מצטרף לבטל האיסור ואפילו החתיכה עצמה מותרת ע"ש, והיינו שפסק כר"י שהבאתי בסק"ד וכן מביא בד"מ להדיא על שם האו"ה במסקנא לפסק הלכה, ומ"ש דבבשר בחלב אפילו מקצת החתיכה תוך הרוטב חנ"נ ג"כ צ"ע דהוא נגד כל הפוסקים </w:t>
      </w:r>
      <w:r w:rsidRPr="00085E47">
        <w:rPr>
          <w:rFonts w:asciiTheme="minorBidi" w:hAnsiTheme="minorBidi"/>
          <w:sz w:val="16"/>
          <w:szCs w:val="16"/>
          <w:rtl/>
        </w:rPr>
        <w:t>(דבש"ס פכ"ה (דף קח-קט) אמרינן דטפת חלב שנפלה על חתיכת בשר החתיכה אסורה ואינה אוסרת כל שאר החתיכות (עד ס' כנגדה) אלא ע"י ניעור וכסוי, ופירשו ר"י ור"ת שכולה חוץ לרוטב אבל אם מקצתה תוך הרוטב מצטרף כל הקדרה לבטל ואז אפילו החתיכה מותרת וכן פסקו הסמ"ג (לאוין קמ"א דנ"א ע"ב) והסמ"ק (סי' ריג דק"א ע"ב) והשערים (סימן צ"ה) והמרדכי והאגודה (פכ"ה) והרא"ה (בבדה"ב דף צ"ט) ומהרי"ל ושאר מחברים כר"י)</w:t>
      </w:r>
      <w:r w:rsidRPr="00085E47">
        <w:rPr>
          <w:rFonts w:asciiTheme="minorBidi" w:hAnsiTheme="minorBidi"/>
          <w:rtl/>
        </w:rPr>
        <w:t>, ואפילו לרש"י שפירש דמיירי שמקצתה תוך הרוטב מ"מ מוכח דאין נ"נ לאסור האחרות אלא ע"י ניעור וכסוי, ונראה דמ"ש הרב דבבשר בחלב אפילו מקצתה תוך הרוטב חנ"נ היינו בשניער אח"כ עד שנכנסה כולה לתוך הרוטב, ולאפוקי דלא נימא דמיד בתחלה מצטרף כל הקדרה לבטל הואיל ומקצתה תוך הרוטב כדאמרי' בשאר אסורים, דהא ברישא או שהחתיכה כולה חוץ לרוטב ונפלה עליה איסור כו' על כרחך בניער מיירי, דאל"כ לא נ"נ לאסור שאר הקדרה, א"כ ע"כ סיפא נמי בהכי מיירי, ולענין מ"ש בשאר איסורים דמ"מ יש להחמיר לאסור אותה חתיכה נראה שהוא סברת הרב עצמו דמספקא ליה אי קי"ל כרש"י או כר"י, וכמ"ש סק"ז, אלא דלענין שאר הקדרה לא רצה להחמיר כיון דבלא"ה י"א דלא אמרינן חנ"נ רק בבשר בחלב, ומ"מ כבר נתבאר בסק"ד שדעת כל המחברים והאחרונים כר"י.</w:t>
      </w:r>
    </w:p>
  </w:footnote>
  <w:footnote w:id="1445">
    <w:p w14:paraId="703E0838" w14:textId="77777777" w:rsidR="004C5A3C" w:rsidRDefault="004C5A3C" w:rsidP="002C39F4">
      <w:pPr>
        <w:pStyle w:val="a5"/>
      </w:pPr>
      <w:r>
        <w:rPr>
          <w:rStyle w:val="a7"/>
        </w:rPr>
        <w:footnoteRef/>
      </w:r>
      <w:r>
        <w:rPr>
          <w:rtl/>
        </w:rPr>
        <w:t xml:space="preserve"> </w:t>
      </w:r>
      <w:r w:rsidRPr="003E1357">
        <w:rPr>
          <w:rFonts w:cs="Arial"/>
          <w:rtl/>
        </w:rPr>
        <w:t>היינו בשניער אח"כ עד שנכנסה כולה לתוך הרוטב</w:t>
      </w:r>
      <w:r>
        <w:rPr>
          <w:rFonts w:cs="Arial" w:hint="cs"/>
          <w:rtl/>
        </w:rPr>
        <w:t>, ש"ך (סקי"ג).</w:t>
      </w:r>
    </w:p>
  </w:footnote>
  <w:footnote w:id="1446">
    <w:p w14:paraId="16CE5072"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דדוקא כשנתערב איסור לח בהיתר יבש אמרינן חנ"נ מטעם חשיבות כי החתיכות איסור ניכר ומובדל נ"נ הוא אבל לא כשנתערב איסור לח בהיתר לח כגון יין נסך ליין כשר או חלב לשומן ואח"כ נתערב הכל להיתר אחר ואין חילוק בין אם ההיתר האחר לח או יבש, ש"ך (סקי"ד). וכ"כ הט"ז.</w:t>
      </w:r>
    </w:p>
  </w:footnote>
  <w:footnote w:id="1447">
    <w:p w14:paraId="03F0E1E3"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ומשמע מרש"ל (יש"ש פ"ז סי' ס) דאין אומרים בלח שנעשה נבלה אפילו שלא במקום הפסד, ע"פ ט"ז (סקט"ו).</w:t>
      </w:r>
    </w:p>
  </w:footnote>
  <w:footnote w:id="1448">
    <w:p w14:paraId="4B1664FB"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ל' הס' אפי רברבי (דף נג.) מיהו בבשר בחלב יש להחמיר אף בלח עכ"ל, ולפע"ד אינו משום חומרא אלא דכו"ע מודו בזה כדמוכח בהדיא בש"ס פכ"ה (קח:) גבי הא דקאמר התם חלב אמאי מותר חלב נבילה הוא דגבי בשר בחלב אפילו בלח חנ"נ, וכ"כ הרשב"א בתה"א (צח.), ש"ך (סקט"ו).</w:t>
      </w:r>
    </w:p>
  </w:footnote>
  <w:footnote w:id="1449">
    <w:p w14:paraId="352CCEC5"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פי' שלא בדרך בישול יחד דאז דינו דבטל האיסור ברוב על כן אם נתערב תחילה שלא ברוב א"צ אח"כ רוב נגד כל התערובות הראשון אבל אם נתבשלו יחד ודאי אמרינן חתיכה עצמה נעשית נבילה וצריך ס' בהיתר נגד כל החתיכה, ט"ז (סקט"ז).</w:t>
      </w:r>
    </w:p>
  </w:footnote>
  <w:footnote w:id="1450">
    <w:p w14:paraId="13053063"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כלומר בין בבשר בחלב בין בשאר איסורים, אלא לעולם כל שניתוסף אח"כ היתר הוי כנתערב כן לכתחלה ודינו כדלקמן סי' ק"ט וע"ל סימן צ"ט ס"ה ובמ"ש שם (סקט"ו), ש"ך (סקט"ז).</w:t>
      </w:r>
    </w:p>
  </w:footnote>
  <w:footnote w:id="1451">
    <w:p w14:paraId="491E111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ומשמע שם דאפילו בדבר שמן שאוסר עד ס' אפילו לדעת הט"ו לקמן סי' ק"ה, והרבה פוסקים פסקו כן ע"ש, וכ"נ עיקר וכמ"ש בספרי ודלא כבאר שבע (דף פב:), ש"ך</w:t>
      </w:r>
      <w:r w:rsidRPr="00085E47">
        <w:rPr>
          <w:rFonts w:asciiTheme="minorBidi" w:hAnsiTheme="minorBidi"/>
          <w:sz w:val="16"/>
          <w:szCs w:val="16"/>
          <w:rtl/>
        </w:rPr>
        <w:t xml:space="preserve"> (סקט"ז)</w:t>
      </w:r>
      <w:r w:rsidRPr="00085E47">
        <w:rPr>
          <w:rFonts w:asciiTheme="minorBidi" w:hAnsiTheme="minorBidi"/>
          <w:rtl/>
        </w:rPr>
        <w:t>.</w:t>
      </w:r>
    </w:p>
  </w:footnote>
  <w:footnote w:id="1452">
    <w:p w14:paraId="21838CDC"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המרדכי (סי' תרעט) כתב בתחלה תשובת ראב"ן (שם) ואח"כ כתב שוב מצאתי תשובת מהר"ם </w:t>
      </w:r>
      <w:r w:rsidRPr="00085E47">
        <w:rPr>
          <w:rFonts w:asciiTheme="minorBidi" w:hAnsiTheme="minorBidi"/>
          <w:sz w:val="16"/>
          <w:szCs w:val="16"/>
          <w:rtl/>
        </w:rPr>
        <w:t xml:space="preserve">(כת"י פארמא סי' תקטו) </w:t>
      </w:r>
      <w:r w:rsidRPr="00085E47">
        <w:rPr>
          <w:rFonts w:asciiTheme="minorBidi" w:hAnsiTheme="minorBidi"/>
          <w:rtl/>
        </w:rPr>
        <w:t xml:space="preserve">וז"ל- וששאלת מה עמדי על טיפת חלב שנפלה על דופן הקדרה מבחוץ תשובת רבינו שמשון </w:t>
      </w:r>
      <w:r w:rsidRPr="00085E47">
        <w:rPr>
          <w:rFonts w:asciiTheme="minorBidi" w:hAnsiTheme="minorBidi"/>
          <w:sz w:val="16"/>
          <w:szCs w:val="16"/>
          <w:rtl/>
        </w:rPr>
        <w:t xml:space="preserve">{משאנץ} </w:t>
      </w:r>
      <w:r w:rsidRPr="00085E47">
        <w:rPr>
          <w:rFonts w:asciiTheme="minorBidi" w:hAnsiTheme="minorBidi"/>
          <w:rtl/>
        </w:rPr>
        <w:t>בידי להתיר, ומקצת הלשון אעתיק למורי, פעם אחת היו מבשלין בשר בקדרה ונפל מעט חלב על דופן הקדרה מבחוץ שאילו נפל בתוכה היה ברוטב ובחתיכה לבטל החלב, ואפ"ה לא רצה רבינו</w:t>
      </w:r>
      <w:r w:rsidRPr="00085E47">
        <w:rPr>
          <w:rFonts w:asciiTheme="minorBidi" w:hAnsiTheme="minorBidi"/>
          <w:sz w:val="16"/>
          <w:szCs w:val="16"/>
          <w:rtl/>
        </w:rPr>
        <w:t xml:space="preserve"> {ר"י הזקן}</w:t>
      </w:r>
      <w:r w:rsidRPr="00085E47">
        <w:rPr>
          <w:rFonts w:asciiTheme="minorBidi" w:hAnsiTheme="minorBidi"/>
          <w:rtl/>
        </w:rPr>
        <w:t xml:space="preserve"> להתיר מפני שאין החלב מתפשט בכל דופני הקדרה כמו שמוכיח בפרק דם חטאת </w:t>
      </w:r>
      <w:r w:rsidRPr="00085E47">
        <w:rPr>
          <w:rFonts w:asciiTheme="minorBidi" w:hAnsiTheme="minorBidi"/>
          <w:sz w:val="16"/>
          <w:szCs w:val="16"/>
          <w:rtl/>
        </w:rPr>
        <w:t xml:space="preserve">(זבחים צו:) </w:t>
      </w:r>
      <w:r w:rsidRPr="00085E47">
        <w:rPr>
          <w:rFonts w:asciiTheme="minorBidi" w:hAnsiTheme="minorBidi"/>
          <w:rtl/>
        </w:rPr>
        <w:t>גבי 'בישל במקצת כלי טעון מריקה ושטיפה כל הכלי' וקאמר 'וטעמא מאי ואם בכלי נחשת בושלה- ואפילו במקצת כלי' ומדאיצטריך קרא לקדשים אלמא דאינו מפעפע בכולו אע"פ שהכלי חם ו-...</w:t>
      </w:r>
    </w:p>
  </w:footnote>
  <w:footnote w:id="1453">
    <w:p w14:paraId="4EBF890C"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ונראה שהר"מ אינו מחלק בין נפלה כנגד הרוטב לשלא כנגד הרוטב כמו שמחלק בספר המצות דא"כ ה"ל לפרושי, ב"י.</w:t>
      </w:r>
    </w:p>
  </w:footnote>
  <w:footnote w:id="1454">
    <w:p w14:paraId="24F962E2"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הטעם שהוא מצריך ששים פעמים ששים היינו משום דקיי"ל דחתיכה עצמה נעשית נבלה, וא"כ טיפה זו אסרה עד ששים כנגדה, וכיון שאותן ששים נעשו נבלה צריך ששים פעמים כמותם לבטלם</w:t>
      </w:r>
      <w:r>
        <w:rPr>
          <w:rFonts w:cs="Arial" w:hint="cs"/>
          <w:rtl/>
        </w:rPr>
        <w:t xml:space="preserve">, ב"י.  וכ' </w:t>
      </w:r>
      <w:r w:rsidRPr="00B35927">
        <w:rPr>
          <w:rFonts w:cs="Arial"/>
          <w:rtl/>
        </w:rPr>
        <w:t>מהרא"י</w:t>
      </w:r>
      <w:r>
        <w:rPr>
          <w:rFonts w:cs="Arial" w:hint="cs"/>
          <w:rtl/>
        </w:rPr>
        <w:t xml:space="preserve"> </w:t>
      </w:r>
      <w:r w:rsidRPr="00B35927">
        <w:rPr>
          <w:rFonts w:cs="Arial"/>
          <w:sz w:val="16"/>
          <w:szCs w:val="16"/>
          <w:rtl/>
        </w:rPr>
        <w:t>(</w:t>
      </w:r>
      <w:r>
        <w:rPr>
          <w:rFonts w:cs="Arial" w:hint="cs"/>
          <w:sz w:val="16"/>
          <w:szCs w:val="16"/>
          <w:rtl/>
        </w:rPr>
        <w:t xml:space="preserve">בהגשע"ד </w:t>
      </w:r>
      <w:r w:rsidRPr="00B35927">
        <w:rPr>
          <w:rFonts w:cs="Arial"/>
          <w:sz w:val="16"/>
          <w:szCs w:val="16"/>
          <w:rtl/>
        </w:rPr>
        <w:t xml:space="preserve">סי' פה </w:t>
      </w:r>
      <w:r w:rsidRPr="00B35927">
        <w:rPr>
          <w:rFonts w:cs="Arial" w:hint="cs"/>
          <w:sz w:val="16"/>
          <w:szCs w:val="16"/>
          <w:rtl/>
        </w:rPr>
        <w:t>ס</w:t>
      </w:r>
      <w:r w:rsidRPr="00B35927">
        <w:rPr>
          <w:rFonts w:cs="Arial"/>
          <w:sz w:val="16"/>
          <w:szCs w:val="16"/>
          <w:rtl/>
        </w:rPr>
        <w:t>סקט</w:t>
      </w:r>
      <w:r w:rsidRPr="00B35927">
        <w:rPr>
          <w:rFonts w:cs="Arial" w:hint="cs"/>
          <w:sz w:val="16"/>
          <w:szCs w:val="16"/>
          <w:rtl/>
        </w:rPr>
        <w:t>"</w:t>
      </w:r>
      <w:r w:rsidRPr="00B35927">
        <w:rPr>
          <w:rFonts w:cs="Arial"/>
          <w:sz w:val="16"/>
          <w:szCs w:val="16"/>
          <w:rtl/>
        </w:rPr>
        <w:t>ז)</w:t>
      </w:r>
      <w:r w:rsidRPr="00B35927">
        <w:rPr>
          <w:rFonts w:cs="Arial" w:hint="cs"/>
          <w:rtl/>
        </w:rPr>
        <w:t xml:space="preserve"> </w:t>
      </w:r>
      <w:r>
        <w:rPr>
          <w:rFonts w:cs="Arial" w:hint="cs"/>
          <w:rtl/>
        </w:rPr>
        <w:t>ד</w:t>
      </w:r>
      <w:r w:rsidRPr="00B35927">
        <w:rPr>
          <w:rFonts w:cs="Arial"/>
          <w:rtl/>
        </w:rPr>
        <w:t>אין נוהגין להצריך ששים פעמים ששים כנגד הטיפה שנפלה כנגד הרוטב אלא די בפעם אחד ששים והמחמיר ת</w:t>
      </w:r>
      <w:r w:rsidRPr="00B35927">
        <w:rPr>
          <w:rFonts w:cs="Arial" w:hint="cs"/>
          <w:rtl/>
        </w:rPr>
        <w:t>ע"ב</w:t>
      </w:r>
      <w:r>
        <w:rPr>
          <w:rFonts w:asciiTheme="minorBidi" w:hAnsiTheme="minorBidi" w:hint="cs"/>
          <w:rtl/>
        </w:rPr>
        <w:t xml:space="preserve">. עכ"ל </w:t>
      </w:r>
      <w:r w:rsidRPr="007F7963">
        <w:rPr>
          <w:rFonts w:asciiTheme="minorBidi" w:hAnsiTheme="minorBidi" w:hint="cs"/>
          <w:sz w:val="16"/>
          <w:szCs w:val="16"/>
          <w:rtl/>
        </w:rPr>
        <w:t>(</w:t>
      </w:r>
      <w:r w:rsidRPr="007F7963">
        <w:rPr>
          <w:rFonts w:asciiTheme="minorBidi" w:hAnsiTheme="minorBidi"/>
          <w:sz w:val="16"/>
          <w:szCs w:val="16"/>
          <w:rtl/>
        </w:rPr>
        <w:t>ושם כתב הטעם ברמז ועיקר הדברים על פי מה שכתב בתרוה"ד סי' קפג, ב"י (על סע' ו)</w:t>
      </w:r>
      <w:r>
        <w:rPr>
          <w:rFonts w:asciiTheme="minorBidi" w:hAnsiTheme="minorBidi" w:hint="cs"/>
          <w:sz w:val="16"/>
          <w:szCs w:val="16"/>
          <w:rtl/>
        </w:rPr>
        <w:t>)</w:t>
      </w:r>
      <w:r w:rsidRPr="00085E47">
        <w:rPr>
          <w:rFonts w:asciiTheme="minorBidi" w:hAnsiTheme="minorBidi"/>
          <w:rtl/>
        </w:rPr>
        <w:t>.</w:t>
      </w:r>
    </w:p>
  </w:footnote>
  <w:footnote w:id="1455">
    <w:p w14:paraId="0E53438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הב"י דקודם לכן כתב מהר"ם</w:t>
      </w:r>
      <w:r w:rsidRPr="00085E47">
        <w:rPr>
          <w:rFonts w:asciiTheme="minorBidi" w:hAnsiTheme="minorBidi"/>
          <w:sz w:val="16"/>
          <w:szCs w:val="16"/>
          <w:rtl/>
        </w:rPr>
        <w:t xml:space="preserve"> (ד"ל תשו' סי' קכא, הביאוהו המרדכי (סי' תרעט) והרא"ש (כלל כ סי' כו))</w:t>
      </w:r>
      <w:r w:rsidRPr="00085E47">
        <w:rPr>
          <w:rFonts w:asciiTheme="minorBidi" w:hAnsiTheme="minorBidi"/>
          <w:rtl/>
        </w:rPr>
        <w:t xml:space="preserve">- מורי היה רגיל להורות כשנופל איסור על דופן הקדרה והיא אצל האש ואפילו היא של חרס מתיר אם יש בתבשיל ששים פעמים ששים כנגד הטיפה, ע"כ. ולא חילק שם בין שבת ויו"ט לשאר ימים ולא בין איכא הפסד לליכא הפסד, וע"פ תשובה זו כתב רבינו בשמו להתיר סתם כל שיש בתבשיל ששים פעמים ששים כנגד הטיפה. </w:t>
      </w:r>
    </w:p>
  </w:footnote>
  <w:footnote w:id="1456">
    <w:p w14:paraId="2B53750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טיפה שנפלה על דופן הכלי מספקא לן פרק דם חטאת אי מפעפעת בכל הכלי אי לא הילכך-...</w:t>
      </w:r>
    </w:p>
  </w:footnote>
  <w:footnote w:id="1457">
    <w:p w14:paraId="3BBE6517"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ונראה שהוא סובר כמו שכתבתי בשם הר"מ שיותר ראוי להתיר אם היה ברור לנו שהטיפה מפעפעת בכל הכלי, וזהו שכתב 'אי מפעפעת בכל הכלי הרי נתבטלה', ורבינו לא חשש לכתוב טעם זה אלא {כתב} משום דכיון דמפעפעת לפנים הוי כאילו נפלה בתבשיל, ונראה שזהו פירוש מ"ש סמ"ק 'ואם אינה מפעפעת אז לא יאסר' דהיינו לומר אם אינה מפעפעת בכל הכלי אז לא יאסר משום דמסתמא מפעפעת לפנים והוי כאילו נפלה בתבשיל, ב"י.</w:t>
      </w:r>
    </w:p>
  </w:footnote>
  <w:footnote w:id="1458">
    <w:p w14:paraId="1238F661"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ומ"מ טוב לערות הקדרה מיד לקדרה אחרת שלא כנגד הטיפה אלא בצד אחר, </w:t>
      </w:r>
      <w:r>
        <w:rPr>
          <w:rFonts w:asciiTheme="minorBidi" w:hAnsiTheme="minorBidi"/>
          <w:rtl/>
        </w:rPr>
        <w:t>או"ה</w:t>
      </w:r>
      <w:r w:rsidRPr="00085E47">
        <w:rPr>
          <w:rFonts w:asciiTheme="minorBidi" w:hAnsiTheme="minorBidi"/>
          <w:rtl/>
        </w:rPr>
        <w:t xml:space="preserve"> </w:t>
      </w:r>
      <w:r w:rsidRPr="00085E47">
        <w:rPr>
          <w:rFonts w:asciiTheme="minorBidi" w:hAnsiTheme="minorBidi"/>
          <w:sz w:val="16"/>
          <w:szCs w:val="16"/>
          <w:rtl/>
        </w:rPr>
        <w:t>(כלל לא דין א-ב, ח-י)</w:t>
      </w:r>
      <w:r w:rsidRPr="00085E47">
        <w:rPr>
          <w:rFonts w:asciiTheme="minorBidi" w:hAnsiTheme="minorBidi"/>
          <w:rtl/>
        </w:rPr>
        <w:t>.</w:t>
      </w:r>
    </w:p>
  </w:footnote>
  <w:footnote w:id="1459">
    <w:p w14:paraId="2E50A49B"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נראה דהכי קאמר שמא מה שמפעפע בדופן הקדרה הריקן עד סמוך לרוטב הוא בענין שאין בלחלוחית אותו מקום שמפעפע בו ששים מן הטיפה ולפנים ועשה אותו מקצת כלי נבלה, ב"י. </w:t>
      </w:r>
    </w:p>
  </w:footnote>
  <w:footnote w:id="1460">
    <w:p w14:paraId="66C79F14"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ודע דבנפלה בריקן נתן סמ"ק תיקון אחר דהיינו שינקוב שולי הכלי מתחת כדי שיצא הרוטב דרך אותו נקב ולא יגע באותו מקצת כלי הנאסר ואפילו בעודו רותח מותר להוציא ממנו הרוטב בענין זה ולא כתב רבינו תיקון זה מפני שסמ"ק עצמו כתב אח"כ דבקושי יש להתיר ע"י כך דהא אי אפשר שלא ינענע הכלי מעט ויגע הרוטב באותו מקצת שנאסר ולכך טוב להמתין שלא יגע בכלי עד שיצטנן, ב"י.</w:t>
      </w:r>
    </w:p>
  </w:footnote>
  <w:footnote w:id="1461">
    <w:p w14:paraId="132EBB21"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על פי או"ז (ח"א הל' סעודה סי' קפא ד"ה מתני' אכל) שהיה תלמידו של ר' יהודה שירליאון. </w:t>
      </w:r>
    </w:p>
  </w:footnote>
  <w:footnote w:id="1462">
    <w:p w14:paraId="02CD93F2"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w:t>
      </w:r>
      <w:r>
        <w:rPr>
          <w:rFonts w:asciiTheme="minorBidi" w:hAnsiTheme="minorBidi" w:hint="cs"/>
          <w:rtl/>
        </w:rPr>
        <w:t>וכ"כ הטור בתחילת דבריו, וז"ל</w:t>
      </w:r>
      <w:r>
        <w:rPr>
          <w:rFonts w:cs="Arial" w:hint="cs"/>
          <w:rtl/>
        </w:rPr>
        <w:t xml:space="preserve">- </w:t>
      </w:r>
      <w:r w:rsidRPr="0069223B">
        <w:rPr>
          <w:rFonts w:cs="Arial" w:hint="cs"/>
          <w:rtl/>
        </w:rPr>
        <w:t>טיפת</w:t>
      </w:r>
      <w:r w:rsidRPr="0069223B">
        <w:rPr>
          <w:rFonts w:cs="Arial"/>
          <w:rtl/>
        </w:rPr>
        <w:t xml:space="preserve"> </w:t>
      </w:r>
      <w:r w:rsidRPr="0069223B">
        <w:rPr>
          <w:rFonts w:cs="Arial" w:hint="cs"/>
          <w:rtl/>
        </w:rPr>
        <w:t>חלב</w:t>
      </w:r>
      <w:r w:rsidRPr="0069223B">
        <w:rPr>
          <w:rFonts w:cs="Arial"/>
          <w:rtl/>
        </w:rPr>
        <w:t xml:space="preserve"> </w:t>
      </w:r>
      <w:r w:rsidRPr="0069223B">
        <w:rPr>
          <w:rFonts w:cs="Arial" w:hint="cs"/>
          <w:rtl/>
        </w:rPr>
        <w:t>שנפלה</w:t>
      </w:r>
      <w:r w:rsidRPr="0069223B">
        <w:rPr>
          <w:rFonts w:cs="Arial"/>
          <w:rtl/>
        </w:rPr>
        <w:t xml:space="preserve"> </w:t>
      </w:r>
      <w:r w:rsidRPr="0069223B">
        <w:rPr>
          <w:rFonts w:cs="Arial" w:hint="cs"/>
          <w:rtl/>
        </w:rPr>
        <w:t>על</w:t>
      </w:r>
      <w:r w:rsidRPr="0069223B">
        <w:rPr>
          <w:rFonts w:cs="Arial"/>
          <w:rtl/>
        </w:rPr>
        <w:t xml:space="preserve"> </w:t>
      </w:r>
      <w:r w:rsidRPr="0069223B">
        <w:rPr>
          <w:rFonts w:cs="Arial" w:hint="cs"/>
          <w:rtl/>
        </w:rPr>
        <w:t>הקדרה</w:t>
      </w:r>
      <w:r w:rsidRPr="0069223B">
        <w:rPr>
          <w:rFonts w:cs="Arial"/>
          <w:rtl/>
        </w:rPr>
        <w:t xml:space="preserve"> </w:t>
      </w:r>
      <w:r w:rsidRPr="0069223B">
        <w:rPr>
          <w:rFonts w:cs="Arial" w:hint="cs"/>
          <w:rtl/>
        </w:rPr>
        <w:t>שאצל</w:t>
      </w:r>
      <w:r w:rsidRPr="0069223B">
        <w:rPr>
          <w:rFonts w:cs="Arial"/>
          <w:rtl/>
        </w:rPr>
        <w:t xml:space="preserve"> </w:t>
      </w:r>
      <w:r w:rsidRPr="0069223B">
        <w:rPr>
          <w:rFonts w:cs="Arial" w:hint="cs"/>
          <w:rtl/>
        </w:rPr>
        <w:t>האש</w:t>
      </w:r>
      <w:r w:rsidRPr="0069223B">
        <w:rPr>
          <w:rFonts w:cs="Arial"/>
          <w:rtl/>
        </w:rPr>
        <w:t xml:space="preserve"> </w:t>
      </w:r>
      <w:r w:rsidRPr="0069223B">
        <w:rPr>
          <w:rFonts w:cs="Arial" w:hint="cs"/>
          <w:rtl/>
        </w:rPr>
        <w:t>מבחוץ</w:t>
      </w:r>
      <w:r w:rsidRPr="0069223B">
        <w:rPr>
          <w:rFonts w:cs="Arial"/>
          <w:rtl/>
        </w:rPr>
        <w:t xml:space="preserve"> </w:t>
      </w:r>
      <w:r w:rsidRPr="00470B8B">
        <w:rPr>
          <w:rFonts w:cs="Arial"/>
          <w:rtl/>
        </w:rPr>
        <w:t>אפי</w:t>
      </w:r>
      <w:r w:rsidRPr="00470B8B">
        <w:rPr>
          <w:rFonts w:cs="Arial" w:hint="cs"/>
          <w:rtl/>
        </w:rPr>
        <w:t>לו</w:t>
      </w:r>
      <w:r w:rsidRPr="00470B8B">
        <w:rPr>
          <w:rFonts w:cs="Arial"/>
          <w:rtl/>
        </w:rPr>
        <w:t xml:space="preserve"> אם יש בתבשיל הקדרה ס' כנגדה אינו יכול לבטלה</w:t>
      </w:r>
      <w:r>
        <w:rPr>
          <w:rFonts w:cs="Arial" w:hint="cs"/>
          <w:rtl/>
        </w:rPr>
        <w:t>,</w:t>
      </w:r>
      <w:r w:rsidRPr="00470B8B">
        <w:rPr>
          <w:rFonts w:cs="Arial"/>
          <w:rtl/>
        </w:rPr>
        <w:t xml:space="preserve"> וא"כ הטיפה אוסרת הקדרה כל סביבותיה ונאסרה התבשיל שבה</w:t>
      </w:r>
      <w:r>
        <w:rPr>
          <w:rFonts w:asciiTheme="minorBidi" w:hAnsiTheme="minorBidi" w:hint="cs"/>
          <w:sz w:val="14"/>
          <w:szCs w:val="14"/>
          <w:rtl/>
        </w:rPr>
        <w:t xml:space="preserve"> {</w:t>
      </w:r>
      <w:r w:rsidRPr="0069223B">
        <w:rPr>
          <w:rFonts w:asciiTheme="minorBidi" w:hAnsiTheme="minorBidi"/>
          <w:sz w:val="14"/>
          <w:szCs w:val="14"/>
          <w:rtl/>
        </w:rPr>
        <w:t>כלומר הטיפה אוסרת כל הקדרה והקדרה אוסרת כל התבשיל שבה שא"א לתבשיל שבקדרה שיהא בו ששים כנגדה ובכולה קדרה משערינן הילכך הכל אסור, ב"י</w:t>
      </w:r>
      <w:r>
        <w:rPr>
          <w:rFonts w:asciiTheme="minorBidi" w:hAnsiTheme="minorBidi" w:hint="cs"/>
          <w:sz w:val="14"/>
          <w:szCs w:val="14"/>
          <w:rtl/>
        </w:rPr>
        <w:t>}</w:t>
      </w:r>
      <w:r>
        <w:rPr>
          <w:rFonts w:cs="Arial" w:hint="cs"/>
          <w:rtl/>
        </w:rPr>
        <w:t xml:space="preserve">, </w:t>
      </w:r>
      <w:r w:rsidRPr="0069223B">
        <w:rPr>
          <w:rFonts w:cs="Arial" w:hint="cs"/>
          <w:rtl/>
        </w:rPr>
        <w:t>וכתב</w:t>
      </w:r>
      <w:r w:rsidRPr="0069223B">
        <w:rPr>
          <w:rFonts w:cs="Arial"/>
          <w:rtl/>
        </w:rPr>
        <w:t xml:space="preserve"> </w:t>
      </w:r>
      <w:r w:rsidRPr="0069223B">
        <w:rPr>
          <w:rFonts w:cs="Arial" w:hint="cs"/>
          <w:rtl/>
        </w:rPr>
        <w:t>ה</w:t>
      </w:r>
      <w:r w:rsidRPr="0069223B">
        <w:rPr>
          <w:rFonts w:cs="Arial"/>
          <w:rtl/>
        </w:rPr>
        <w:t>"</w:t>
      </w:r>
      <w:r w:rsidRPr="0069223B">
        <w:rPr>
          <w:rFonts w:cs="Arial" w:hint="cs"/>
          <w:rtl/>
        </w:rPr>
        <w:t>ר</w:t>
      </w:r>
      <w:r w:rsidRPr="0069223B">
        <w:rPr>
          <w:rFonts w:cs="Arial"/>
          <w:rtl/>
        </w:rPr>
        <w:t xml:space="preserve"> </w:t>
      </w:r>
      <w:r w:rsidRPr="0069223B">
        <w:rPr>
          <w:rFonts w:cs="Arial" w:hint="cs"/>
          <w:rtl/>
        </w:rPr>
        <w:t>מאיר</w:t>
      </w:r>
      <w:r w:rsidRPr="0069223B">
        <w:rPr>
          <w:rFonts w:cs="Arial"/>
          <w:rtl/>
        </w:rPr>
        <w:t xml:space="preserve"> </w:t>
      </w:r>
      <w:r w:rsidRPr="0069223B">
        <w:rPr>
          <w:rFonts w:cs="Arial" w:hint="cs"/>
          <w:rtl/>
        </w:rPr>
        <w:t>מרוטנבורק</w:t>
      </w:r>
      <w:r w:rsidRPr="0069223B">
        <w:rPr>
          <w:rFonts w:cs="Arial"/>
          <w:rtl/>
        </w:rPr>
        <w:t xml:space="preserve"> </w:t>
      </w:r>
      <w:r w:rsidRPr="0069223B">
        <w:rPr>
          <w:rFonts w:cs="Arial" w:hint="cs"/>
          <w:rtl/>
        </w:rPr>
        <w:t>שאם</w:t>
      </w:r>
      <w:r>
        <w:rPr>
          <w:rFonts w:cs="Arial" w:hint="cs"/>
          <w:rtl/>
        </w:rPr>
        <w:t xml:space="preserve"> וכו'. עכ"ל.</w:t>
      </w:r>
      <w:r w:rsidRPr="0069223B">
        <w:rPr>
          <w:rFonts w:cs="Arial"/>
          <w:rtl/>
        </w:rPr>
        <w:t xml:space="preserve"> </w:t>
      </w:r>
      <w:r w:rsidRPr="00085E47">
        <w:rPr>
          <w:rFonts w:asciiTheme="minorBidi" w:hAnsiTheme="minorBidi"/>
          <w:rtl/>
        </w:rPr>
        <w:t xml:space="preserve">וכ' הב"י- ודבר ברור הוא שהר"מ חולק עמש"כ הטור בתחלה שנאסרה הקדרה והתבשיל, לפי שהר"מ סובר היפך מסמ"ג כמו שאכתוב בסמוך </w:t>
      </w:r>
      <w:r w:rsidRPr="0069223B">
        <w:rPr>
          <w:rFonts w:asciiTheme="minorBidi" w:hAnsiTheme="minorBidi" w:hint="cs"/>
          <w:sz w:val="16"/>
          <w:szCs w:val="16"/>
          <w:rtl/>
        </w:rPr>
        <w:t>(</w:t>
      </w:r>
      <w:r w:rsidRPr="0069223B">
        <w:rPr>
          <w:rFonts w:asciiTheme="minorBidi" w:hAnsiTheme="minorBidi"/>
          <w:sz w:val="16"/>
          <w:szCs w:val="16"/>
          <w:rtl/>
        </w:rPr>
        <w:t>דאי אמרינן שהטיפה מפעפעת בכל הכלי הוה שרינן</w:t>
      </w:r>
      <w:r>
        <w:rPr>
          <w:rFonts w:asciiTheme="minorBidi" w:hAnsiTheme="minorBidi" w:hint="cs"/>
          <w:sz w:val="16"/>
          <w:szCs w:val="16"/>
          <w:rtl/>
        </w:rPr>
        <w:t xml:space="preserve">, </w:t>
      </w:r>
      <w:r w:rsidRPr="0069223B">
        <w:rPr>
          <w:rFonts w:asciiTheme="minorBidi" w:hAnsiTheme="minorBidi"/>
          <w:sz w:val="16"/>
          <w:szCs w:val="16"/>
          <w:rtl/>
        </w:rPr>
        <w:t>משום דכל לחלוחית שבדפנות הוי מסייע לבטל, אלא משום דחיישינן שמא אינה מפעפעת אלא במקצת כלי הוא דאסרינן</w:t>
      </w:r>
      <w:r>
        <w:rPr>
          <w:rFonts w:asciiTheme="minorBidi" w:hAnsiTheme="minorBidi" w:hint="cs"/>
          <w:sz w:val="16"/>
          <w:szCs w:val="16"/>
          <w:rtl/>
        </w:rPr>
        <w:t>,</w:t>
      </w:r>
      <w:r w:rsidRPr="0069223B">
        <w:rPr>
          <w:rFonts w:asciiTheme="minorBidi" w:hAnsiTheme="minorBidi"/>
          <w:sz w:val="16"/>
          <w:szCs w:val="16"/>
          <w:rtl/>
        </w:rPr>
        <w:t xml:space="preserve"> דאין בלחלוחית שבאותו מקצת שיעור לבטל הטיפה, ומשו"ה כי איכא בתבשיל ששים פעמים ששים כנגד הטיפה שרי ממה נפשך- אם הטיפה מפעפעת בכל הכלי הרי נתבטלה ואם אינה מפעפעת לא יאסר)</w:t>
      </w:r>
      <w:r w:rsidRPr="00085E47">
        <w:rPr>
          <w:rFonts w:asciiTheme="minorBidi" w:hAnsiTheme="minorBidi"/>
          <w:rtl/>
        </w:rPr>
        <w:t xml:space="preserve">, וא"כ הו"ל </w:t>
      </w:r>
      <w:r w:rsidRPr="00085E47">
        <w:rPr>
          <w:rFonts w:asciiTheme="minorBidi" w:hAnsiTheme="minorBidi"/>
          <w:sz w:val="16"/>
          <w:szCs w:val="16"/>
          <w:rtl/>
        </w:rPr>
        <w:t xml:space="preserve">{לטור} </w:t>
      </w:r>
      <w:r w:rsidRPr="00085E47">
        <w:rPr>
          <w:rFonts w:asciiTheme="minorBidi" w:hAnsiTheme="minorBidi"/>
          <w:rtl/>
        </w:rPr>
        <w:t>לכתוב 'והר"ם כתב' דלישתמע דאתי לאיפלוגי.</w:t>
      </w:r>
    </w:p>
  </w:footnote>
  <w:footnote w:id="1463">
    <w:p w14:paraId="23B14BCF"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פירוש אפשר שתפעפע ויש לחוש לזה, ט"ז (סקי"ח).</w:t>
      </w:r>
    </w:p>
  </w:footnote>
  <w:footnote w:id="1464">
    <w:p w14:paraId="63B61413"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מיירי כשאין בתבשיל ס' כנגד אותו מקום הריקן דהיינו ס' פעמים ס"א פחות מעט נגד הטיפה לפי שהטיפה אסרה עד ס' א"כ עם הטיפה יש ס"א פחות מעט, ומ"ש הפוסקים דסגי בס' של ס' טיפין כמוהו נראה דלאו דוקא הוא, ודוק, ונראה דמ"מ אין לערות התבשיל דרך אותו מקום הקדירה דאין לבטל איסור לכתחלה, ואפילו בקדרה חדשה נראה דאסור לערות דשמא אין מפעפע אלא במקצת הכלי ולא נתבטל מתחלה ועכשיו כשעירה יבטל הטיפה, ומש"כ הרב בהג"ה דבקדרה חדשה בכל ענין א"צ רק ס' נגד הטיפה ר"ל אם עירה בדיעבד סגי בס' נגד הטיפה לחוד, אבל מ"מ לכתחלה לא יערה, והיינו דלא כתב אבל אם היא קדרה חדשה בכל ענין מותר לערות דהוי קאי אדברי המחבר אלא ודאי כמו שכתבתי, ש"ך (סק"כ).</w:t>
      </w:r>
    </w:p>
  </w:footnote>
  <w:footnote w:id="1465">
    <w:p w14:paraId="5B2CFF82"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אבל לא מהני שינקוב הכלי מתחת דחיישינן שמא יגע הרוטב בדופן שנאסר ע"י נענוע, כ"כ סמ"ק והפוסקים, ומשמע נמי דלא מועיל שיערה מיד בצד האחר דשמא ינענע הקדרה, וכ"מ בסמ"ק ופוסקים שם ובאו"ש מהרש"ל </w:t>
      </w:r>
      <w:r w:rsidRPr="00085E47">
        <w:rPr>
          <w:rFonts w:asciiTheme="minorBidi" w:hAnsiTheme="minorBidi"/>
          <w:sz w:val="16"/>
          <w:szCs w:val="16"/>
          <w:rtl/>
        </w:rPr>
        <w:t>(ובספרו פג"ה סי' לז)</w:t>
      </w:r>
      <w:r w:rsidRPr="00085E47">
        <w:rPr>
          <w:rFonts w:asciiTheme="minorBidi" w:hAnsiTheme="minorBidi"/>
          <w:rtl/>
        </w:rPr>
        <w:t>, ש"ך</w:t>
      </w:r>
      <w:r w:rsidRPr="00085E47">
        <w:rPr>
          <w:rFonts w:asciiTheme="minorBidi" w:hAnsiTheme="minorBidi"/>
          <w:sz w:val="16"/>
          <w:szCs w:val="16"/>
          <w:rtl/>
        </w:rPr>
        <w:t xml:space="preserve"> (סקכ"א)</w:t>
      </w:r>
      <w:r w:rsidRPr="00085E47">
        <w:rPr>
          <w:rFonts w:asciiTheme="minorBidi" w:hAnsiTheme="minorBidi"/>
          <w:rtl/>
        </w:rPr>
        <w:t>. ואע"פ שמדברי ה</w:t>
      </w:r>
      <w:r>
        <w:rPr>
          <w:rFonts w:asciiTheme="minorBidi" w:hAnsiTheme="minorBidi"/>
          <w:rtl/>
        </w:rPr>
        <w:t>או"ה</w:t>
      </w:r>
      <w:r w:rsidRPr="00085E47">
        <w:rPr>
          <w:rFonts w:asciiTheme="minorBidi" w:hAnsiTheme="minorBidi"/>
          <w:rtl/>
        </w:rPr>
        <w:t xml:space="preserve"> </w:t>
      </w:r>
      <w:r w:rsidRPr="00085E47">
        <w:rPr>
          <w:rFonts w:asciiTheme="minorBidi" w:hAnsiTheme="minorBidi"/>
          <w:sz w:val="16"/>
          <w:szCs w:val="16"/>
          <w:rtl/>
        </w:rPr>
        <w:t>(כלל לא דין א-ב, ח-י)</w:t>
      </w:r>
      <w:r w:rsidRPr="00085E47">
        <w:rPr>
          <w:rFonts w:asciiTheme="minorBidi" w:hAnsiTheme="minorBidi"/>
          <w:rtl/>
        </w:rPr>
        <w:t xml:space="preserve"> משמע שאין מועיל להניח עד שיצטנן, וכ"פ הט"ז (סק"כ), מ"מ כל הפוסקים חלקו עליו </w:t>
      </w:r>
      <w:r w:rsidRPr="00085E47">
        <w:rPr>
          <w:rFonts w:asciiTheme="minorBidi" w:hAnsiTheme="minorBidi"/>
          <w:sz w:val="16"/>
          <w:szCs w:val="16"/>
          <w:rtl/>
        </w:rPr>
        <w:t>(דרכ"מ אות ה, ש"ך סקכ"ד)</w:t>
      </w:r>
      <w:r w:rsidRPr="00085E47">
        <w:rPr>
          <w:rFonts w:asciiTheme="minorBidi" w:hAnsiTheme="minorBidi"/>
          <w:rtl/>
        </w:rPr>
        <w:t>.</w:t>
      </w:r>
    </w:p>
  </w:footnote>
  <w:footnote w:id="1466">
    <w:p w14:paraId="6852F990"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לדעת הרב בהג"ה סי' צ"ח ס"ה דיש לחוש לחומרא לומר דאף כלי חרס חדש נ"נ א"כ הכא דוקא בטפת חלב אמרינן הכי דלא שייך לומר חנ"נ כיון דעדיין כולו היתר וכדלקמן סימן צ"ד ס"ו אבל לא בטיפת איסור אבל כבר נתבאר בסי' צ"ח ס"ק כ' דלא שייך כלל לומר שגוף החרס יעשה נבילה ואם כן הכא אפי' בטיפת איסור נמי דינא הכי אבל בישנה מה שבלוע בה נ"נ מיהו דוקא בישנה בת יומה דאל"כ מה שבדופני הקדירה לא נעשה נבילה כיון דנותן טעם לפגם וכדלקמן סי' צ"ח שם ודו"ק, ש"ך (סקכ"ב).</w:t>
      </w:r>
    </w:p>
  </w:footnote>
  <w:footnote w:id="1467">
    <w:p w14:paraId="523CF343"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ואע"ג דלכאורה ל"ד לכף דהתם כיון שהיא חדשה וניער אחר כך בהקדרה א"צ ס' אלא כנגד מה שבלעה אבל הכא הקדרה חשיבה כמו ישנה שהרי מבשלים בה עתה בשר ונפל עליה טפת חלב בשעת בישול מ"מ כיון שאתה בא לאסור דופן הקדרה מחמת הטפה ע"כ צ"ל שמא בישול אינו מפעפע בכל הכלי ואם כן לא מפעפע נמי התבשיל למעלה ואם פעפע למעלה אם כן גם הטפה מתפשטת עד למטה או י"ל דמיירי בקדרה חדשה שנפל עליה הטפה כשעדיין לא חם התבשיל א"נ אחר שנפל' הטפה על הקדרה של מים נתנו בו הבשר וק"ל, ש"ך (סקכ"ג).</w:t>
      </w:r>
    </w:p>
  </w:footnote>
  <w:footnote w:id="1468">
    <w:p w14:paraId="074D250A"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סמ"ק מרדכי </w:t>
      </w:r>
      <w:r w:rsidRPr="00085E47">
        <w:rPr>
          <w:rFonts w:asciiTheme="minorBidi" w:hAnsiTheme="minorBidi"/>
          <w:sz w:val="16"/>
          <w:szCs w:val="16"/>
          <w:rtl/>
        </w:rPr>
        <w:t xml:space="preserve">(תרעט) </w:t>
      </w:r>
      <w:r w:rsidRPr="00085E47">
        <w:rPr>
          <w:rFonts w:asciiTheme="minorBidi" w:hAnsiTheme="minorBidi"/>
          <w:rtl/>
        </w:rPr>
        <w:t xml:space="preserve">הגה"מ </w:t>
      </w:r>
      <w:r w:rsidRPr="00085E47">
        <w:rPr>
          <w:rFonts w:asciiTheme="minorBidi" w:hAnsiTheme="minorBidi"/>
          <w:sz w:val="16"/>
          <w:szCs w:val="16"/>
          <w:rtl/>
        </w:rPr>
        <w:t xml:space="preserve">(פ"ט ה"ט) </w:t>
      </w:r>
      <w:r w:rsidRPr="00085E47">
        <w:rPr>
          <w:rFonts w:asciiTheme="minorBidi" w:hAnsiTheme="minorBidi"/>
          <w:rtl/>
        </w:rPr>
        <w:t xml:space="preserve">טור ואגור </w:t>
      </w:r>
      <w:r w:rsidRPr="00085E47">
        <w:rPr>
          <w:rFonts w:asciiTheme="minorBidi" w:hAnsiTheme="minorBidi"/>
          <w:sz w:val="16"/>
          <w:szCs w:val="16"/>
          <w:rtl/>
        </w:rPr>
        <w:t>(סי' אלף רנ</w:t>
      </w:r>
      <w:r w:rsidRPr="00085E47">
        <w:rPr>
          <w:rFonts w:asciiTheme="minorBidi" w:hAnsiTheme="minorBidi"/>
          <w:sz w:val="14"/>
          <w:szCs w:val="14"/>
          <w:rtl/>
        </w:rPr>
        <w:t xml:space="preserve"> [הב"י ציטט את לשון האגור, ונראה לכאורה שבא להראות בזה שיש הבדל בין דבריו לבין הפוסקים שהזכיר לפני כן (ז"ל האגור שהעתיק הב"י- נפל כנגד האש אפילו שלא כנגד הרוטב הכל מותר שהאש שורפו), </w:t>
      </w:r>
      <w:r w:rsidRPr="00085E47">
        <w:rPr>
          <w:rFonts w:asciiTheme="minorBidi" w:hAnsiTheme="minorBidi"/>
          <w:color w:val="FF0000"/>
          <w:sz w:val="14"/>
          <w:szCs w:val="14"/>
          <w:rtl/>
        </w:rPr>
        <w:t>וצל"ע משום שפתחתי את ספר האגור והוא מצטט את דברי המרדכי</w:t>
      </w:r>
      <w:r w:rsidRPr="00085E47">
        <w:rPr>
          <w:rFonts w:asciiTheme="minorBidi" w:hAnsiTheme="minorBidi"/>
          <w:sz w:val="14"/>
          <w:szCs w:val="14"/>
          <w:rtl/>
        </w:rPr>
        <w:t>]</w:t>
      </w:r>
      <w:r w:rsidRPr="00085E47">
        <w:rPr>
          <w:rFonts w:asciiTheme="minorBidi" w:hAnsiTheme="minorBidi"/>
          <w:sz w:val="16"/>
          <w:szCs w:val="16"/>
          <w:rtl/>
        </w:rPr>
        <w:t>)</w:t>
      </w:r>
      <w:r w:rsidRPr="00085E47">
        <w:rPr>
          <w:rFonts w:asciiTheme="minorBidi" w:hAnsiTheme="minorBidi"/>
          <w:rtl/>
        </w:rPr>
        <w:t>.</w:t>
      </w:r>
    </w:p>
  </w:footnote>
  <w:footnote w:id="1469">
    <w:p w14:paraId="35929FFD"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מהר"ם </w:t>
      </w:r>
      <w:r w:rsidRPr="00085E47">
        <w:rPr>
          <w:rFonts w:asciiTheme="minorBidi" w:hAnsiTheme="minorBidi"/>
          <w:sz w:val="16"/>
          <w:szCs w:val="16"/>
          <w:rtl/>
        </w:rPr>
        <w:t>(פסקים ומנהגים ח"ב סי' עג, וכ"כ המרדכי בשמו [סי' תרעט])</w:t>
      </w:r>
      <w:r w:rsidRPr="00085E47">
        <w:rPr>
          <w:rFonts w:asciiTheme="minorBidi" w:hAnsiTheme="minorBidi"/>
          <w:rtl/>
        </w:rPr>
        <w:t xml:space="preserve"> הגה"מ </w:t>
      </w:r>
      <w:r w:rsidRPr="00085E47">
        <w:rPr>
          <w:rFonts w:asciiTheme="minorBidi" w:hAnsiTheme="minorBidi"/>
          <w:sz w:val="16"/>
          <w:szCs w:val="16"/>
          <w:rtl/>
        </w:rPr>
        <w:t>(פ"ט אות ג)</w:t>
      </w:r>
      <w:r w:rsidRPr="00085E47">
        <w:rPr>
          <w:rFonts w:asciiTheme="minorBidi" w:hAnsiTheme="minorBidi"/>
          <w:rtl/>
        </w:rPr>
        <w:t xml:space="preserve"> ו</w:t>
      </w:r>
      <w:r>
        <w:rPr>
          <w:rFonts w:asciiTheme="minorBidi" w:hAnsiTheme="minorBidi"/>
          <w:rtl/>
        </w:rPr>
        <w:t>או"ה</w:t>
      </w:r>
      <w:r w:rsidRPr="00085E47">
        <w:rPr>
          <w:rFonts w:asciiTheme="minorBidi" w:hAnsiTheme="minorBidi"/>
          <w:rtl/>
        </w:rPr>
        <w:t xml:space="preserve"> </w:t>
      </w:r>
      <w:r w:rsidRPr="00085E47">
        <w:rPr>
          <w:rFonts w:asciiTheme="minorBidi" w:hAnsiTheme="minorBidi"/>
          <w:sz w:val="16"/>
          <w:szCs w:val="16"/>
          <w:rtl/>
        </w:rPr>
        <w:t>(כלל לא)</w:t>
      </w:r>
      <w:r w:rsidRPr="00085E47">
        <w:rPr>
          <w:rFonts w:asciiTheme="minorBidi" w:hAnsiTheme="minorBidi"/>
          <w:rtl/>
        </w:rPr>
        <w:t xml:space="preserve">. וכ"פ הרמ"א בת"ח </w:t>
      </w:r>
      <w:r w:rsidRPr="00085E47">
        <w:rPr>
          <w:rFonts w:asciiTheme="minorBidi" w:hAnsiTheme="minorBidi"/>
          <w:sz w:val="16"/>
          <w:szCs w:val="16"/>
          <w:rtl/>
        </w:rPr>
        <w:t>(כלל נו)</w:t>
      </w:r>
      <w:r w:rsidRPr="00085E47">
        <w:rPr>
          <w:rFonts w:asciiTheme="minorBidi" w:hAnsiTheme="minorBidi"/>
          <w:rtl/>
        </w:rPr>
        <w:t>.</w:t>
      </w:r>
    </w:p>
  </w:footnote>
  <w:footnote w:id="1470">
    <w:p w14:paraId="55107EF5" w14:textId="77777777" w:rsidR="004C5A3C" w:rsidRDefault="004C5A3C" w:rsidP="002C39F4">
      <w:pPr>
        <w:pStyle w:val="a5"/>
      </w:pPr>
      <w:r>
        <w:rPr>
          <w:rStyle w:val="a7"/>
        </w:rPr>
        <w:footnoteRef/>
      </w:r>
      <w:r>
        <w:rPr>
          <w:rtl/>
        </w:rPr>
        <w:t xml:space="preserve"> </w:t>
      </w:r>
      <w:r>
        <w:rPr>
          <w:rFonts w:hint="cs"/>
          <w:rtl/>
        </w:rPr>
        <w:t xml:space="preserve">וכ"פ </w:t>
      </w:r>
      <w:r w:rsidRPr="00AB46EF">
        <w:rPr>
          <w:rFonts w:hint="cs"/>
          <w:rtl/>
        </w:rPr>
        <w:t xml:space="preserve">ש"ך </w:t>
      </w:r>
      <w:r w:rsidRPr="009D39F6">
        <w:rPr>
          <w:rFonts w:hint="cs"/>
          <w:sz w:val="16"/>
          <w:szCs w:val="16"/>
          <w:rtl/>
        </w:rPr>
        <w:t>(</w:t>
      </w:r>
      <w:r w:rsidRPr="009D39F6">
        <w:rPr>
          <w:sz w:val="16"/>
          <w:szCs w:val="16"/>
          <w:rtl/>
        </w:rPr>
        <w:t>סקי"ט</w:t>
      </w:r>
      <w:r w:rsidRPr="009D39F6">
        <w:rPr>
          <w:rFonts w:hint="cs"/>
          <w:sz w:val="16"/>
          <w:szCs w:val="16"/>
          <w:rtl/>
        </w:rPr>
        <w:t xml:space="preserve">) </w:t>
      </w:r>
      <w:r w:rsidRPr="00AB46EF">
        <w:rPr>
          <w:rFonts w:hint="cs"/>
          <w:rtl/>
        </w:rPr>
        <w:t>מנח"י חכ"א הלכ"פ פר"ח</w:t>
      </w:r>
      <w:r w:rsidRPr="009D39F6">
        <w:rPr>
          <w:rFonts w:hint="cs"/>
          <w:sz w:val="16"/>
          <w:szCs w:val="16"/>
          <w:rtl/>
        </w:rPr>
        <w:t xml:space="preserve"> (הביאם הזבח"צ) </w:t>
      </w:r>
      <w:r w:rsidRPr="00AB46EF">
        <w:rPr>
          <w:rFonts w:hint="cs"/>
          <w:rtl/>
        </w:rPr>
        <w:t xml:space="preserve">זבחי צדק </w:t>
      </w:r>
      <w:r w:rsidRPr="009D39F6">
        <w:rPr>
          <w:rFonts w:hint="cs"/>
          <w:sz w:val="16"/>
          <w:szCs w:val="16"/>
          <w:rtl/>
        </w:rPr>
        <w:t>(אות כד)</w:t>
      </w:r>
      <w:r w:rsidRPr="00AB46EF">
        <w:rPr>
          <w:rFonts w:hint="cs"/>
          <w:rtl/>
        </w:rPr>
        <w:t xml:space="preserve"> וכה"ח</w:t>
      </w:r>
      <w:r>
        <w:rPr>
          <w:rFonts w:hint="cs"/>
          <w:rtl/>
        </w:rPr>
        <w:t>,</w:t>
      </w:r>
      <w:r w:rsidRPr="00AB46EF">
        <w:rPr>
          <w:rFonts w:hint="cs"/>
          <w:rtl/>
        </w:rPr>
        <w:t xml:space="preserve"> </w:t>
      </w:r>
      <w:r>
        <w:rPr>
          <w:rFonts w:hint="cs"/>
          <w:rtl/>
        </w:rPr>
        <w:t>וכתבו ד</w:t>
      </w:r>
      <w:r w:rsidRPr="00AB46EF">
        <w:rPr>
          <w:rFonts w:hint="cs"/>
          <w:rtl/>
        </w:rPr>
        <w:t xml:space="preserve">אף </w:t>
      </w:r>
      <w:r>
        <w:rPr>
          <w:rFonts w:hint="cs"/>
          <w:rtl/>
        </w:rPr>
        <w:t>ל</w:t>
      </w:r>
      <w:r w:rsidRPr="00AB46EF">
        <w:rPr>
          <w:rFonts w:hint="cs"/>
          <w:rtl/>
        </w:rPr>
        <w:t>דעת מרן השו"ע הדין כן</w:t>
      </w:r>
      <w:r>
        <w:rPr>
          <w:rFonts w:hint="cs"/>
          <w:rtl/>
        </w:rPr>
        <w:t>.</w:t>
      </w:r>
    </w:p>
  </w:footnote>
  <w:footnote w:id="1471">
    <w:p w14:paraId="74E352D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w:t>
      </w:r>
      <w:r w:rsidRPr="00433C52">
        <w:rPr>
          <w:rFonts w:cs="Arial"/>
          <w:rtl/>
        </w:rPr>
        <w:t>ו</w:t>
      </w:r>
      <w:r>
        <w:rPr>
          <w:rFonts w:cs="Arial" w:hint="cs"/>
          <w:rtl/>
        </w:rPr>
        <w:t>כ' האו"ה ד</w:t>
      </w:r>
      <w:r w:rsidRPr="00433C52">
        <w:rPr>
          <w:rFonts w:cs="Arial"/>
          <w:rtl/>
        </w:rPr>
        <w:t>אם עבר ובשל בקדרה אח"כ צריך ששים נגד הטיפה אם ידעינן</w:t>
      </w:r>
      <w:r>
        <w:rPr>
          <w:rFonts w:cs="Arial"/>
          <w:rtl/>
        </w:rPr>
        <w:t xml:space="preserve"> כמה היתה ואז מ</w:t>
      </w:r>
      <w:r>
        <w:rPr>
          <w:rFonts w:cs="Arial" w:hint="cs"/>
          <w:rtl/>
        </w:rPr>
        <w:t>ו</w:t>
      </w:r>
      <w:r w:rsidRPr="00433C52">
        <w:rPr>
          <w:rFonts w:cs="Arial"/>
          <w:rtl/>
        </w:rPr>
        <w:t>תר ואע</w:t>
      </w:r>
      <w:r w:rsidRPr="00433C52">
        <w:rPr>
          <w:rFonts w:cs="Arial" w:hint="cs"/>
          <w:rtl/>
        </w:rPr>
        <w:t>"</w:t>
      </w:r>
      <w:r w:rsidRPr="00433C52">
        <w:rPr>
          <w:rFonts w:cs="Arial"/>
          <w:rtl/>
        </w:rPr>
        <w:t>פ שאין ששים נגד</w:t>
      </w:r>
      <w:r>
        <w:rPr>
          <w:rFonts w:cs="Arial"/>
          <w:rtl/>
        </w:rPr>
        <w:t xml:space="preserve"> הקדרה דלא נעשית הקדרה נבלה</w:t>
      </w:r>
      <w:r>
        <w:rPr>
          <w:rFonts w:cs="Arial" w:hint="cs"/>
          <w:rtl/>
        </w:rPr>
        <w:t>. עכ"ל.</w:t>
      </w:r>
      <w:r w:rsidRPr="00085E47">
        <w:rPr>
          <w:rFonts w:asciiTheme="minorBidi" w:hAnsiTheme="minorBidi"/>
          <w:rtl/>
        </w:rPr>
        <w:t xml:space="preserve"> הביאו הדרכ"מ (אות ו) וכ' דזהו לפי סברתו דלעיל (דרכ"מ אות ד) דס"ל דאף בכלי חרס לא אמרינן נעשית נבלה, וכבר כתבתי דדבריו צ"ע דא"כ גם בראשונה שנפלה הטיפה עליו למה בעינן ששים פעמים ששים אם אין הקדרה נעשית נבלה בששים לחוד מן התבשיל נגד הטיפה היה סגי, וכ"כ ב"י בהדיא הא דבעינן ששים פעמים ששים היינו מטעמא דקדרה נעשית נבלה, ולכן נראה דאין לחלק בין אותו תבשיל בין אם בשל אח"כ בו מאכל אחר.</w:t>
      </w:r>
      <w:r w:rsidRPr="00085E47">
        <w:rPr>
          <w:rFonts w:asciiTheme="minorBidi" w:hAnsiTheme="minorBidi"/>
          <w:color w:val="FF0000"/>
          <w:rtl/>
        </w:rPr>
        <w:t xml:space="preserve"> </w:t>
      </w:r>
      <w:r>
        <w:rPr>
          <w:rFonts w:asciiTheme="minorBidi" w:hAnsiTheme="minorBidi" w:hint="cs"/>
          <w:color w:val="FF0000"/>
          <w:sz w:val="16"/>
          <w:szCs w:val="16"/>
          <w:rtl/>
        </w:rPr>
        <w:t>{</w:t>
      </w:r>
      <w:r w:rsidRPr="008F60AF">
        <w:rPr>
          <w:rFonts w:asciiTheme="minorBidi" w:hAnsiTheme="minorBidi"/>
          <w:color w:val="FF0000"/>
          <w:sz w:val="16"/>
          <w:szCs w:val="16"/>
          <w:rtl/>
        </w:rPr>
        <w:t>וא"כ צ"ע מדוע כ' בת"ח</w:t>
      </w:r>
      <w:r w:rsidRPr="008F60AF">
        <w:rPr>
          <w:rFonts w:asciiTheme="minorBidi" w:hAnsiTheme="minorBidi"/>
          <w:color w:val="FF0000"/>
          <w:sz w:val="12"/>
          <w:szCs w:val="12"/>
          <w:rtl/>
        </w:rPr>
        <w:t xml:space="preserve"> [כלל נו ד"ג]</w:t>
      </w:r>
      <w:r w:rsidRPr="008F60AF">
        <w:rPr>
          <w:rFonts w:asciiTheme="minorBidi" w:hAnsiTheme="minorBidi"/>
          <w:color w:val="FF0000"/>
          <w:sz w:val="16"/>
          <w:szCs w:val="16"/>
          <w:rtl/>
        </w:rPr>
        <w:t xml:space="preserve"> דיש להחמיר לכתחילה כדבריו</w:t>
      </w:r>
      <w:r>
        <w:rPr>
          <w:rFonts w:asciiTheme="minorBidi" w:hAnsiTheme="minorBidi" w:hint="cs"/>
          <w:color w:val="FF0000"/>
          <w:sz w:val="16"/>
          <w:szCs w:val="16"/>
          <w:rtl/>
        </w:rPr>
        <w:t>}</w:t>
      </w:r>
    </w:p>
  </w:footnote>
  <w:footnote w:id="1472">
    <w:p w14:paraId="4FEF14FF" w14:textId="77777777" w:rsidR="004C5A3C" w:rsidRDefault="004C5A3C" w:rsidP="002C39F4">
      <w:pPr>
        <w:pStyle w:val="a5"/>
        <w:rPr>
          <w:rtl/>
        </w:rPr>
      </w:pPr>
      <w:r>
        <w:rPr>
          <w:rStyle w:val="a7"/>
        </w:rPr>
        <w:footnoteRef/>
      </w:r>
      <w:r>
        <w:rPr>
          <w:rtl/>
        </w:rPr>
        <w:t xml:space="preserve"> </w:t>
      </w:r>
      <w:r>
        <w:rPr>
          <w:rFonts w:hint="cs"/>
          <w:rtl/>
        </w:rPr>
        <w:t xml:space="preserve">וכ"פ הרב משאש (במזרח שמש, על אתר) וכתבו דהדין כן </w:t>
      </w:r>
      <w:r w:rsidRPr="009D39F6">
        <w:rPr>
          <w:rFonts w:hint="cs"/>
          <w:rtl/>
        </w:rPr>
        <w:t>אף לדעת מרן השו"ע</w:t>
      </w:r>
      <w:r>
        <w:rPr>
          <w:rFonts w:hint="cs"/>
          <w:rtl/>
        </w:rPr>
        <w:t>.</w:t>
      </w:r>
    </w:p>
  </w:footnote>
  <w:footnote w:id="1473">
    <w:p w14:paraId="22054857"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ומהרא"י דהיה אחרון וגדול בדורו ואיזן וחיקר כל המנהגים כתב דנוהגים להתיר על ידי צינון כמו שכתוב בסעיף ה', ומביאו בהגשע"ד ס"ס נ"ה וכ"כ מהרש"ל באו"ש ובספרו שם, ש"ך (סקכ"ד).</w:t>
      </w:r>
    </w:p>
  </w:footnote>
  <w:footnote w:id="1474">
    <w:p w14:paraId="3FB4F2F1"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פי' בעודנו עומד אצל האש אבל לאחר שסילקו אע"פ שהוא רותח עדיין מ"מ אינו שורף ומייבש ואף שזה פשוט מ"מ ראיתי מי שטעה בזה, ט"ז (סקכ"א).</w:t>
      </w:r>
    </w:p>
  </w:footnote>
  <w:footnote w:id="1475">
    <w:p w14:paraId="1BD8F061"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משום דחיישינן שמא לא פעפע הכל לפנים אלא נשאר משהו בדופן הקדרה ואין להקשות דילמא נשאר בדופן הקדירה ונתפשט ברוחב עד שאין בדופן ס' נגדה וא"כ יצטרך ס' בתבשיל נגד אותו דופן שנאסר דאם איתא דנתפשט ברוחב נתפשט בכל עד ס' ואם לא נתפשט בכל הכלי מסתמא נכנס לפנים ונתבטל ולכך התבשיל מותר אבל לענין הקדרה חיישינן שמא נשאר בה מעט בעובי שלא נכנס לפנים ואסורה לכך אם בשל בקדרה תבשיל אחר דינו כמו בפעם הראשון וסגי בששים נגד הטפה אם נפלה כנגד הרוטב כמו בפעם הראשון דהא ליכא למיחש אלא לשמא נשאר בה מעט וודאי לא נשאר יותר מטיפה ומ"מ כיון דלא ידעינן כמה נשאר צריך בפעם השני ס' נגד כל הטיפה ודו"ק היטב ועיין באו"ה (כלל נא דין ז-ט), ש"ך (סקכ"ז).</w:t>
      </w:r>
    </w:p>
  </w:footnote>
  <w:footnote w:id="1476">
    <w:p w14:paraId="6C8A7122"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בצד האחר ואל יניחו להצטנן כך מאחר שנפלה כנגד הרוטב דשמא יפעפע יותר מכאן ואילך עכ"ל או"ה </w:t>
      </w:r>
      <w:r w:rsidRPr="00085E47">
        <w:rPr>
          <w:rFonts w:asciiTheme="minorBidi" w:hAnsiTheme="minorBidi"/>
          <w:sz w:val="14"/>
          <w:szCs w:val="14"/>
          <w:rtl/>
        </w:rPr>
        <w:t>(כלל לא דין א)</w:t>
      </w:r>
      <w:r w:rsidRPr="00085E47">
        <w:rPr>
          <w:rFonts w:asciiTheme="minorBidi" w:hAnsiTheme="minorBidi"/>
          <w:rtl/>
        </w:rPr>
        <w:t xml:space="preserve">, ש"ך </w:t>
      </w:r>
      <w:r w:rsidRPr="00085E47">
        <w:rPr>
          <w:rFonts w:asciiTheme="minorBidi" w:hAnsiTheme="minorBidi"/>
          <w:sz w:val="14"/>
          <w:szCs w:val="14"/>
          <w:rtl/>
        </w:rPr>
        <w:t>(סקכ"ח)</w:t>
      </w:r>
      <w:r w:rsidRPr="00085E47">
        <w:rPr>
          <w:rFonts w:asciiTheme="minorBidi" w:hAnsiTheme="minorBidi"/>
          <w:rtl/>
        </w:rPr>
        <w:t>.</w:t>
      </w:r>
    </w:p>
  </w:footnote>
  <w:footnote w:id="1477">
    <w:p w14:paraId="16231286"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והכי נהוג, </w:t>
      </w:r>
      <w:r>
        <w:rPr>
          <w:rFonts w:asciiTheme="minorBidi" w:hAnsiTheme="minorBidi"/>
          <w:rtl/>
        </w:rPr>
        <w:t>או"ה</w:t>
      </w:r>
      <w:r w:rsidRPr="00085E47">
        <w:rPr>
          <w:rFonts w:asciiTheme="minorBidi" w:hAnsiTheme="minorBidi"/>
          <w:rtl/>
        </w:rPr>
        <w:t xml:space="preserve"> (כלל לא דין ד-ה).</w:t>
      </w:r>
    </w:p>
  </w:footnote>
  <w:footnote w:id="1478">
    <w:p w14:paraId="5A8A6B2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וז"ל- טיפה שנפלה על כיסוי של קדרה ושהה הכיסוי על הקדרה לאחר שנפלה עליו הטיפה אפ"ה התבשיל מותר אם הרוטב הוא ששים כנגד הטיפה ולא אמרינן שצריך ששים כנגד כל הכיסוי.</w:t>
      </w:r>
    </w:p>
  </w:footnote>
  <w:footnote w:id="1479">
    <w:p w14:paraId="0B3EAF03"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וסיים בשע"ד וז"ל- אך הכיסוי רגילין ללבנו או להגעיל אם הוא של ברזל, ואם הוא של חרס אין לו תקנה, עכ"ל.</w:t>
      </w:r>
      <w:r w:rsidRPr="00085E47">
        <w:rPr>
          <w:rFonts w:asciiTheme="minorBidi" w:hAnsiTheme="minorBidi"/>
          <w:color w:val="FF0000"/>
          <w:rtl/>
        </w:rPr>
        <w:t xml:space="preserve"> וצ</w:t>
      </w:r>
      <w:r>
        <w:rPr>
          <w:rFonts w:asciiTheme="minorBidi" w:hAnsiTheme="minorBidi" w:hint="cs"/>
          <w:color w:val="FF0000"/>
          <w:rtl/>
        </w:rPr>
        <w:t>ל</w:t>
      </w:r>
      <w:r w:rsidRPr="00085E47">
        <w:rPr>
          <w:rFonts w:asciiTheme="minorBidi" w:hAnsiTheme="minorBidi"/>
          <w:color w:val="FF0000"/>
          <w:rtl/>
        </w:rPr>
        <w:t>"ע למה לא הזכירו האחרונים את דבריו.</w:t>
      </w:r>
    </w:p>
  </w:footnote>
  <w:footnote w:id="1480">
    <w:p w14:paraId="7ECCBDC2"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הביאו הדרכ"מ (אות י) וכ' שדבריו הם כדברי ההגשע"ד.</w:t>
      </w:r>
    </w:p>
  </w:footnote>
  <w:footnote w:id="1481">
    <w:p w14:paraId="0F98BA1C"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וכ' דכן מסתבר דשאני בקדירה נגד הרוטב שהרוטב עצמו הוא תמיד שם מה שאין כן בכסוי שמא באותו פעם שנפלה הטיפה לא עלתה הרתיחה עד הכיסוי ממש וספיקא דאורייתא לחומרא רק באיסור דרבנן יש להקל בזה.</w:t>
      </w:r>
    </w:p>
  </w:footnote>
  <w:footnote w:id="1482">
    <w:p w14:paraId="712876B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וצ"ל דמיירי שיש במה שבקדרה ששים כנגד החלב שבתיבה דאל"כ לא היה מתיר מה שבקדרה שלא כנגד החלב, ב"י. וכ' הדרכ"מ (אות יא) דאין דבריו נראין אלא אפילו בדליכא ששים מיירי, ומה שלא כנגד החלב שרי משום דהוי חם לתוך צונן דלא בעי רק קליפה, ולכן מה שכנגד החלב אסור ר"ל כדי קליפה והשאר שרי, ומ"מ הקדרה אסורה כמו אם נפלה טיפה על הקדרה דאע"ג דאיכא ששים הקדרה אסורה כדלעיל (אות ד), ואפילו קליפה אינו צריך דהקדרה הוי יותר מכדי קליפה, כן נ"ל.</w:t>
      </w:r>
      <w:r w:rsidRPr="00E16399">
        <w:rPr>
          <w:rFonts w:cs="Arial" w:hint="cs"/>
          <w:color w:val="00B0F0"/>
          <w:rtl/>
        </w:rPr>
        <w:t xml:space="preserve"> </w:t>
      </w:r>
      <w:r w:rsidRPr="00CC3D42">
        <w:rPr>
          <w:rFonts w:cs="Arial" w:hint="cs"/>
          <w:color w:val="00B0F0"/>
          <w:rtl/>
        </w:rPr>
        <w:t xml:space="preserve">(וכ"פ </w:t>
      </w:r>
      <w:r>
        <w:rPr>
          <w:rFonts w:cs="Arial" w:hint="cs"/>
          <w:color w:val="00B0F0"/>
          <w:rtl/>
        </w:rPr>
        <w:t>בהג"ה</w:t>
      </w:r>
      <w:r w:rsidRPr="00CC3D42">
        <w:rPr>
          <w:rFonts w:cs="Arial" w:hint="cs"/>
          <w:color w:val="00B0F0"/>
          <w:rtl/>
        </w:rPr>
        <w:t>)</w:t>
      </w:r>
    </w:p>
  </w:footnote>
  <w:footnote w:id="1483">
    <w:p w14:paraId="38606E8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רש"ל (פג"ה סי' לח) שלא נראה לו פסק זה דהא לא הוי אלא כלי שני, וכתב שיש לחלק היכא שהקדרה עומדת אצל האש שחום האש שבקדירה מרתיח התחתון מלהתקרר ובולע שפיר, וכן נראה עיקר, עכ"ל </w:t>
      </w:r>
      <w:r w:rsidRPr="00085E47">
        <w:rPr>
          <w:rFonts w:asciiTheme="minorBidi" w:hAnsiTheme="minorBidi"/>
          <w:sz w:val="16"/>
          <w:szCs w:val="16"/>
          <w:rtl/>
        </w:rPr>
        <w:t>(ומשמע מדבריו דאפי' הנשפך הוא צונן אסור כיון שהקדרה מרתחת מחמת חום האש..., ש"ך [סקל"ג])</w:t>
      </w:r>
      <w:r w:rsidRPr="00085E47">
        <w:rPr>
          <w:rFonts w:asciiTheme="minorBidi" w:hAnsiTheme="minorBidi"/>
          <w:rtl/>
        </w:rPr>
        <w:t>. וכ' הט"ז (סקכ"ה) דבלאו רתיחת הקדירה לא קשיא מידי דכיון שהכירה אצל האש והיא חמה שהיד סולדת שם הוי החלב שבתוכה ככלי ראשון ומהר"ם דמתיר מיירי בנשפך במקום הכירה שאינה חמה מחמת האש ואין היד סולדת שם, וכ' עוד דכן נראה עיקר להלכה.</w:t>
      </w:r>
    </w:p>
  </w:footnote>
  <w:footnote w:id="1484">
    <w:p w14:paraId="667D15AB"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וזה שלא כדברי ה</w:t>
      </w:r>
      <w:r>
        <w:rPr>
          <w:rFonts w:asciiTheme="minorBidi" w:hAnsiTheme="minorBidi"/>
          <w:rtl/>
        </w:rPr>
        <w:t>או"ה</w:t>
      </w:r>
      <w:r w:rsidRPr="00085E47">
        <w:rPr>
          <w:rFonts w:asciiTheme="minorBidi" w:hAnsiTheme="minorBidi"/>
          <w:rtl/>
        </w:rPr>
        <w:t>, דרכ"מ</w:t>
      </w:r>
      <w:r w:rsidRPr="00EB51E0">
        <w:rPr>
          <w:rFonts w:asciiTheme="minorBidi" w:hAnsiTheme="minorBidi" w:hint="cs"/>
          <w:sz w:val="16"/>
          <w:szCs w:val="16"/>
          <w:rtl/>
        </w:rPr>
        <w:t xml:space="preserve"> (אות ז)</w:t>
      </w:r>
      <w:r w:rsidRPr="00085E47">
        <w:rPr>
          <w:rFonts w:asciiTheme="minorBidi" w:hAnsiTheme="minorBidi"/>
          <w:rtl/>
        </w:rPr>
        <w:t>.</w:t>
      </w:r>
      <w:r w:rsidRPr="00EB51E0">
        <w:rPr>
          <w:rFonts w:asciiTheme="minorBidi" w:hAnsiTheme="minorBidi"/>
          <w:rtl/>
        </w:rPr>
        <w:t xml:space="preserve"> </w:t>
      </w:r>
      <w:r>
        <w:rPr>
          <w:rFonts w:asciiTheme="minorBidi" w:hAnsiTheme="minorBidi" w:hint="cs"/>
          <w:rtl/>
        </w:rPr>
        <w:t>וכ' עוד הדרכ"מ- ו</w:t>
      </w:r>
      <w:r w:rsidRPr="00085E47">
        <w:rPr>
          <w:rFonts w:asciiTheme="minorBidi" w:hAnsiTheme="minorBidi"/>
          <w:rtl/>
        </w:rPr>
        <w:t>נ"ל דדוקא בכה"ג מחשיב ככלי שני</w:t>
      </w:r>
      <w:r>
        <w:rPr>
          <w:rFonts w:asciiTheme="minorBidi" w:hAnsiTheme="minorBidi" w:hint="cs"/>
          <w:rtl/>
        </w:rPr>
        <w:t>,</w:t>
      </w:r>
      <w:r w:rsidRPr="00085E47">
        <w:rPr>
          <w:rFonts w:asciiTheme="minorBidi" w:hAnsiTheme="minorBidi"/>
          <w:rtl/>
        </w:rPr>
        <w:t xml:space="preserve"> אבל אם נשאר הקדרה ג"כ אצל האש</w:t>
      </w:r>
      <w:r>
        <w:rPr>
          <w:rFonts w:asciiTheme="minorBidi" w:hAnsiTheme="minorBidi" w:hint="cs"/>
          <w:rtl/>
        </w:rPr>
        <w:t>,</w:t>
      </w:r>
      <w:r w:rsidRPr="00085E47">
        <w:rPr>
          <w:rFonts w:asciiTheme="minorBidi" w:hAnsiTheme="minorBidi"/>
          <w:rtl/>
        </w:rPr>
        <w:t xml:space="preserve"> או בלא אש רק שהיה שם בשעה שנשפך הרוטב</w:t>
      </w:r>
      <w:r>
        <w:rPr>
          <w:rFonts w:asciiTheme="minorBidi" w:hAnsiTheme="minorBidi" w:hint="cs"/>
          <w:rtl/>
        </w:rPr>
        <w:t>-</w:t>
      </w:r>
      <w:r w:rsidRPr="00085E47">
        <w:rPr>
          <w:rFonts w:asciiTheme="minorBidi" w:hAnsiTheme="minorBidi"/>
          <w:rtl/>
        </w:rPr>
        <w:t xml:space="preserve"> אסור</w:t>
      </w:r>
      <w:r>
        <w:rPr>
          <w:rFonts w:asciiTheme="minorBidi" w:hAnsiTheme="minorBidi" w:hint="cs"/>
          <w:rtl/>
        </w:rPr>
        <w:t>,</w:t>
      </w:r>
      <w:r w:rsidRPr="00085E47">
        <w:rPr>
          <w:rFonts w:asciiTheme="minorBidi" w:hAnsiTheme="minorBidi"/>
          <w:rtl/>
        </w:rPr>
        <w:t xml:space="preserve"> דהוי כעירוי </w:t>
      </w:r>
      <w:r w:rsidRPr="00A50643">
        <w:rPr>
          <w:rFonts w:asciiTheme="minorBidi" w:hAnsiTheme="minorBidi" w:hint="cs"/>
          <w:sz w:val="16"/>
          <w:szCs w:val="16"/>
          <w:rtl/>
        </w:rPr>
        <w:t>(</w:t>
      </w:r>
      <w:r w:rsidRPr="00A50643">
        <w:rPr>
          <w:rFonts w:asciiTheme="minorBidi" w:hAnsiTheme="minorBidi"/>
          <w:sz w:val="16"/>
          <w:szCs w:val="16"/>
          <w:rtl/>
        </w:rPr>
        <w:t>כמ"ש בתרוה"ד סי</w:t>
      </w:r>
      <w:r w:rsidRPr="00A50643">
        <w:rPr>
          <w:rFonts w:asciiTheme="minorBidi" w:hAnsiTheme="minorBidi" w:hint="cs"/>
          <w:sz w:val="16"/>
          <w:szCs w:val="16"/>
          <w:rtl/>
        </w:rPr>
        <w:t>'</w:t>
      </w:r>
      <w:r w:rsidRPr="00A50643">
        <w:rPr>
          <w:rFonts w:asciiTheme="minorBidi" w:hAnsiTheme="minorBidi"/>
          <w:sz w:val="16"/>
          <w:szCs w:val="16"/>
          <w:rtl/>
        </w:rPr>
        <w:t xml:space="preserve"> קפא והביאו ב"י סי</w:t>
      </w:r>
      <w:r w:rsidRPr="00A50643">
        <w:rPr>
          <w:rFonts w:asciiTheme="minorBidi" w:hAnsiTheme="minorBidi" w:hint="cs"/>
          <w:sz w:val="16"/>
          <w:szCs w:val="16"/>
          <w:rtl/>
        </w:rPr>
        <w:t>'</w:t>
      </w:r>
      <w:r w:rsidRPr="00A50643">
        <w:rPr>
          <w:rFonts w:asciiTheme="minorBidi" w:hAnsiTheme="minorBidi"/>
          <w:sz w:val="16"/>
          <w:szCs w:val="16"/>
          <w:rtl/>
        </w:rPr>
        <w:t xml:space="preserve"> צא </w:t>
      </w:r>
      <w:r w:rsidRPr="00A50643">
        <w:rPr>
          <w:rFonts w:asciiTheme="minorBidi" w:hAnsiTheme="minorBidi"/>
          <w:sz w:val="12"/>
          <w:szCs w:val="12"/>
          <w:rtl/>
        </w:rPr>
        <w:t>(עמ' ת ד"ה כתוב)</w:t>
      </w:r>
      <w:r w:rsidRPr="00A50643">
        <w:rPr>
          <w:rFonts w:asciiTheme="minorBidi" w:hAnsiTheme="minorBidi"/>
          <w:sz w:val="16"/>
          <w:szCs w:val="16"/>
          <w:rtl/>
        </w:rPr>
        <w:t xml:space="preserve"> וז"ל קדרה מלאה חלב רותח שפותה אצל האש על הכירה ומחמת הרתיחה יצא חלב למעלה מאוגני הכלי והיה נזחל ונמשך בקילוח בלי הפסק דרך דופני הקדרה על גבי הכירה עד שהגיע אצל בשר שהיה ג"כ ע</w:t>
      </w:r>
      <w:r w:rsidRPr="00A50643">
        <w:rPr>
          <w:rFonts w:asciiTheme="minorBidi" w:hAnsiTheme="minorBidi" w:hint="cs"/>
          <w:sz w:val="16"/>
          <w:szCs w:val="16"/>
          <w:rtl/>
        </w:rPr>
        <w:t>"</w:t>
      </w:r>
      <w:r w:rsidRPr="00A50643">
        <w:rPr>
          <w:rFonts w:asciiTheme="minorBidi" w:hAnsiTheme="minorBidi"/>
          <w:sz w:val="16"/>
          <w:szCs w:val="16"/>
          <w:rtl/>
        </w:rPr>
        <w:t xml:space="preserve">ג הכירה יראה דאם היד סולדת בחלב במקום שנגע בבשר חשיבי כהאי גוונא עירוי מכלי ראשון ונאסר הבשר עכ"ל, וכ"מ בשבת פרק כירה </w:t>
      </w:r>
      <w:r w:rsidRPr="00A50643">
        <w:rPr>
          <w:rFonts w:asciiTheme="minorBidi" w:hAnsiTheme="minorBidi"/>
          <w:sz w:val="12"/>
          <w:szCs w:val="12"/>
          <w:rtl/>
        </w:rPr>
        <w:t xml:space="preserve">(מ:) </w:t>
      </w:r>
      <w:r w:rsidRPr="00A50643">
        <w:rPr>
          <w:rFonts w:asciiTheme="minorBidi" w:hAnsiTheme="minorBidi"/>
          <w:sz w:val="16"/>
          <w:szCs w:val="16"/>
          <w:rtl/>
        </w:rPr>
        <w:t xml:space="preserve">בפירוש רש"י </w:t>
      </w:r>
      <w:r w:rsidRPr="00A50643">
        <w:rPr>
          <w:rFonts w:asciiTheme="minorBidi" w:hAnsiTheme="minorBidi"/>
          <w:sz w:val="12"/>
          <w:szCs w:val="12"/>
          <w:rtl/>
        </w:rPr>
        <w:t xml:space="preserve">(ד"ה בכלי שני) </w:t>
      </w:r>
      <w:r w:rsidRPr="00A50643">
        <w:rPr>
          <w:rFonts w:asciiTheme="minorBidi" w:hAnsiTheme="minorBidi"/>
          <w:sz w:val="16"/>
          <w:szCs w:val="16"/>
          <w:rtl/>
        </w:rPr>
        <w:t>דכה"ג מיקרי כלי ראשון. וכתב ב"י שם ונראה דעל כרחך הבשר היה צונן דאל"כ למה הוצרך לומר שחלב חשיב עירוי אפי' בלא עירוי נמי אסור הבשר משום דהוי צונן לתוך חם דתתאי גבר ואסר וכיון שכן ע"כ נראה לומר דנאסר הבשר לא לאסור כולו אלא דוקא כדי קליפה כדין חם לתוך צונן עכ"ל</w:t>
      </w:r>
      <w:r>
        <w:rPr>
          <w:rFonts w:asciiTheme="minorBidi" w:hAnsiTheme="minorBidi" w:hint="cs"/>
          <w:sz w:val="16"/>
          <w:szCs w:val="16"/>
          <w:rtl/>
        </w:rPr>
        <w:t>)</w:t>
      </w:r>
      <w:r>
        <w:rPr>
          <w:rFonts w:asciiTheme="minorBidi" w:hAnsiTheme="minorBidi" w:hint="cs"/>
          <w:rtl/>
        </w:rPr>
        <w:t>.</w:t>
      </w:r>
    </w:p>
  </w:footnote>
  <w:footnote w:id="1485">
    <w:p w14:paraId="67B53F26"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וה"ה לכל צורך גדול כגון לצורך אורחים או הפסד מרובה או לעני כפי ראות עיני המורה, ת"ח </w:t>
      </w:r>
      <w:r w:rsidRPr="00085E47">
        <w:rPr>
          <w:rFonts w:asciiTheme="minorBidi" w:hAnsiTheme="minorBidi"/>
          <w:sz w:val="16"/>
          <w:szCs w:val="16"/>
          <w:rtl/>
        </w:rPr>
        <w:t>(כלל נה)</w:t>
      </w:r>
      <w:r w:rsidRPr="00085E47">
        <w:rPr>
          <w:rFonts w:asciiTheme="minorBidi" w:hAnsiTheme="minorBidi"/>
          <w:rtl/>
        </w:rPr>
        <w:t xml:space="preserve">. הביאוהו הט"ז </w:t>
      </w:r>
      <w:r w:rsidRPr="00085E47">
        <w:rPr>
          <w:rFonts w:asciiTheme="minorBidi" w:hAnsiTheme="minorBidi"/>
          <w:sz w:val="16"/>
          <w:szCs w:val="16"/>
          <w:rtl/>
        </w:rPr>
        <w:t xml:space="preserve">(סקכ"ב) </w:t>
      </w:r>
      <w:r w:rsidRPr="00085E47">
        <w:rPr>
          <w:rFonts w:asciiTheme="minorBidi" w:hAnsiTheme="minorBidi"/>
          <w:rtl/>
        </w:rPr>
        <w:t xml:space="preserve">והש"ך </w:t>
      </w:r>
      <w:r w:rsidRPr="00085E47">
        <w:rPr>
          <w:rFonts w:asciiTheme="minorBidi" w:hAnsiTheme="minorBidi"/>
          <w:sz w:val="16"/>
          <w:szCs w:val="16"/>
          <w:rtl/>
        </w:rPr>
        <w:t>(סקכ"ט)</w:t>
      </w:r>
      <w:r w:rsidRPr="00085E47">
        <w:rPr>
          <w:rFonts w:asciiTheme="minorBidi" w:hAnsiTheme="minorBidi"/>
          <w:rtl/>
        </w:rPr>
        <w:t xml:space="preserve">. וכ' מהר"י מינץ </w:t>
      </w:r>
      <w:r w:rsidRPr="00085E47">
        <w:rPr>
          <w:rFonts w:asciiTheme="minorBidi" w:hAnsiTheme="minorBidi"/>
          <w:sz w:val="16"/>
          <w:szCs w:val="16"/>
          <w:rtl/>
        </w:rPr>
        <w:t xml:space="preserve">(סי' טו, הביאו הט"ז) </w:t>
      </w:r>
      <w:r w:rsidRPr="00085E47">
        <w:rPr>
          <w:rFonts w:asciiTheme="minorBidi" w:hAnsiTheme="minorBidi"/>
          <w:rtl/>
        </w:rPr>
        <w:t>דהמנהג לומר להם הטעם שמפני מה הוא מיקל לו כדי שלא יתמהו למה אוסר לפעמים ולפעמים מתיר.</w:t>
      </w:r>
    </w:p>
  </w:footnote>
  <w:footnote w:id="1486">
    <w:p w14:paraId="2F448293"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ואז יניח עד שיצטנן</w:t>
      </w:r>
      <w:r w:rsidRPr="00085E47">
        <w:rPr>
          <w:rFonts w:asciiTheme="minorBidi" w:hAnsiTheme="minorBidi"/>
          <w:sz w:val="16"/>
          <w:szCs w:val="16"/>
          <w:rtl/>
        </w:rPr>
        <w:t xml:space="preserve"> (וכמו שכתוב בסע' ו' וכ"כ הש"ך [סקכ"ד])</w:t>
      </w:r>
      <w:r w:rsidRPr="00085E47">
        <w:rPr>
          <w:rFonts w:asciiTheme="minorBidi" w:hAnsiTheme="minorBidi"/>
          <w:rtl/>
        </w:rPr>
        <w:t xml:space="preserve">, והיינו אם אפשר, אבל אם צריך מיד לצורך אורחים וכה"ג אין צריך להמתין עד שיצטנן אלא יערה בצד האחר, כ"כ מהרש"ל שם, ש"ך (סק"ל). </w:t>
      </w:r>
    </w:p>
  </w:footnote>
  <w:footnote w:id="1487">
    <w:p w14:paraId="72521F36"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פירוש, בששים בתבשיל נגד הטיפה לחוד, ט"ז (סקכ"ד). </w:t>
      </w:r>
    </w:p>
  </w:footnote>
  <w:footnote w:id="1488">
    <w:p w14:paraId="5384445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דאם הוא אצל האש והוא חם פשיטא דהוי ככלי ראשון ועדיף מיניה ואפילו העמידו עליו קדירה צוננת הכל אסור אפילו התבשיל, ש"ך (סקל"ב).</w:t>
      </w:r>
    </w:p>
  </w:footnote>
  <w:footnote w:id="1489">
    <w:p w14:paraId="143EA2D6"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נראה לענ"ד דזה נמי דוקא שאין המקום ההוא רותח ואין היד סולדת דאל"כ הוי ככלי ראשון וכמ"ש בסמוך</w:t>
      </w:r>
      <w:r w:rsidRPr="00085E47">
        <w:rPr>
          <w:rFonts w:asciiTheme="minorBidi" w:hAnsiTheme="minorBidi"/>
          <w:sz w:val="16"/>
          <w:szCs w:val="16"/>
          <w:rtl/>
        </w:rPr>
        <w:t xml:space="preserve"> (סקכ"ה)</w:t>
      </w:r>
      <w:r w:rsidRPr="00085E47">
        <w:rPr>
          <w:rFonts w:asciiTheme="minorBidi" w:hAnsiTheme="minorBidi"/>
          <w:rtl/>
        </w:rPr>
        <w:t>, ט"ז (סקכ"ו).</w:t>
      </w:r>
    </w:p>
  </w:footnote>
  <w:footnote w:id="1490">
    <w:p w14:paraId="41F9AE6E"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ולכן אפילו יש בקדרה תבשיל דשייך ביה קליפה אין צריך לקולפו דהקדרה הוי כמו קליפה, וכ"כ מהרש"ל שם, ש"ך (סקל"ה). והט"ז (סקכ"ז) מבין אחרת מהב"י (והרמ"א כ' כאן לפי הב' הב"י) את דברי תרוה"ד, עי' בדבריו, ומסקנתו דיש להחמיר אפילו בבשר צונן וחלב רותח במקום שאין הפסד מרובה. (ועי' ברעק"א שהשאיר את דבריו בצע"ג).</w:t>
      </w:r>
    </w:p>
  </w:footnote>
  <w:footnote w:id="1491">
    <w:p w14:paraId="22A57EC4"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ולא דמי לדלקמן סימן ק"ה ס"ג בהג"ה דאם הניח היתר ואיסור זה אצל זה ואחד מהן צונן דסגי בקליפה דהכא כיון שבא הקלוח מלמעלה הוי כמו עילאה, אי נמי כיון שהקדירה עומד במקומו חשוב תתאה כמ"ש בדרישה בר"ס צ"א ס"ב, א"נ הכא מקלח על הקדרה כמ"ש הב"ח סוף סימן צ"א, ש"ך (סקל"ו).</w:t>
      </w:r>
    </w:p>
  </w:footnote>
  <w:footnote w:id="1492">
    <w:p w14:paraId="41FCDFA6"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אבל לא התחיל להרתיח לא נאסר מה שבקדרה כלל אף אם אין בו ס' דעדיין הוי כצונן ואינו מפעפע למה שבקדרה עכ"ל ת"ח כלל נו דין ד', ש"ך (סקל"ז).</w:t>
      </w:r>
    </w:p>
  </w:footnote>
  <w:footnote w:id="1493">
    <w:p w14:paraId="1D1CB0DC"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עיין לקמן סי' קח</w:t>
      </w:r>
      <w:r w:rsidRPr="00085E47">
        <w:rPr>
          <w:rFonts w:asciiTheme="minorBidi" w:hAnsiTheme="minorBidi"/>
          <w:sz w:val="16"/>
          <w:szCs w:val="16"/>
          <w:rtl/>
        </w:rPr>
        <w:t xml:space="preserve"> (ד"מ אות ג בסופו) </w:t>
      </w:r>
      <w:r w:rsidRPr="00085E47">
        <w:rPr>
          <w:rFonts w:asciiTheme="minorBidi" w:hAnsiTheme="minorBidi"/>
          <w:rtl/>
        </w:rPr>
        <w:t>דמיירי כאן שהיה חלב במחבת דאי לאו הכי לא היה ריח הכלי של חלב אוסר, דרכ"מ</w:t>
      </w:r>
      <w:r w:rsidRPr="00085E47">
        <w:rPr>
          <w:rFonts w:asciiTheme="minorBidi" w:hAnsiTheme="minorBidi"/>
          <w:sz w:val="16"/>
          <w:szCs w:val="16"/>
          <w:rtl/>
        </w:rPr>
        <w:t xml:space="preserve"> (אות ח)</w:t>
      </w:r>
      <w:r w:rsidRPr="00085E47">
        <w:rPr>
          <w:rFonts w:asciiTheme="minorBidi" w:hAnsiTheme="minorBidi"/>
          <w:rtl/>
        </w:rPr>
        <w:t>.</w:t>
      </w:r>
    </w:p>
  </w:footnote>
  <w:footnote w:id="1494">
    <w:p w14:paraId="70B99B52"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ולי נראה דלפי מה שכתבתי לעיל (דרכ"מ אות ה) דאנו נוהגים בטיפת חלב שנפלה על הקדרה נגד הרוטב דדי בפעם אחת ששים גם כאן די בכך, והרא"ש שהצריך ששים פעמים ששים אזיל לסברת מוהר"ם מרוטנבורג דלעיל דכתב כן גבי טיפת חלב שנפלה על הקדרה, אבל לפי מה שאנו נוהגין די בפעם אחת ששים כן נ"ל, דרכ"מ </w:t>
      </w:r>
      <w:r w:rsidRPr="00085E47">
        <w:rPr>
          <w:rFonts w:asciiTheme="minorBidi" w:hAnsiTheme="minorBidi"/>
          <w:sz w:val="16"/>
          <w:szCs w:val="16"/>
          <w:rtl/>
        </w:rPr>
        <w:t>(אות ח*)</w:t>
      </w:r>
      <w:r w:rsidRPr="00085E47">
        <w:rPr>
          <w:rFonts w:asciiTheme="minorBidi" w:hAnsiTheme="minorBidi"/>
          <w:rtl/>
        </w:rPr>
        <w:t>.</w:t>
      </w:r>
    </w:p>
  </w:footnote>
  <w:footnote w:id="1495">
    <w:p w14:paraId="1B8889DC"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וסיים שם</w:t>
      </w:r>
      <w:r w:rsidRPr="00085E47">
        <w:rPr>
          <w:rFonts w:asciiTheme="minorBidi" w:hAnsiTheme="minorBidi"/>
          <w:sz w:val="16"/>
          <w:szCs w:val="16"/>
          <w:rtl/>
        </w:rPr>
        <w:t xml:space="preserve"> (הביאו הדרכ"מ [אות ט])</w:t>
      </w:r>
      <w:r w:rsidRPr="00085E47">
        <w:rPr>
          <w:rFonts w:asciiTheme="minorBidi" w:hAnsiTheme="minorBidi"/>
          <w:rtl/>
        </w:rPr>
        <w:t>- ותדע שהרי תולין בשר לייבש למעלה מן הכירה שמבשלין עליו חלב תדיר אע"פ שהזיעה עולה מן התבשיל של חלב הואיל ואין היד סולדת בבשר מחמת אותה הזיעה אינה אוסרת.</w:t>
      </w:r>
    </w:p>
  </w:footnote>
  <w:footnote w:id="1496">
    <w:p w14:paraId="601D7424"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וכ"כ מהר"ם </w:t>
      </w:r>
      <w:r w:rsidRPr="00085E47">
        <w:rPr>
          <w:rFonts w:asciiTheme="minorBidi" w:hAnsiTheme="minorBidi"/>
          <w:sz w:val="16"/>
          <w:szCs w:val="16"/>
          <w:rtl/>
        </w:rPr>
        <w:t>(הביאוהו המרדכי (חולין סי' תרצא) והגה"מ (פ"ט אות ג))</w:t>
      </w:r>
      <w:r w:rsidRPr="00085E47">
        <w:rPr>
          <w:rFonts w:asciiTheme="minorBidi" w:hAnsiTheme="minorBidi"/>
          <w:rtl/>
        </w:rPr>
        <w:t xml:space="preserve"> דשתי קדרות שאצל האש אחת של חלב ואחת של בשר והן רותחות אין נבלע מזו לזו אע"פ שנוגעין. אך מהרא"י </w:t>
      </w:r>
      <w:r w:rsidRPr="00085E47">
        <w:rPr>
          <w:rFonts w:asciiTheme="minorBidi" w:hAnsiTheme="minorBidi"/>
          <w:sz w:val="16"/>
          <w:szCs w:val="16"/>
          <w:rtl/>
        </w:rPr>
        <w:t>(בהגשע"ד סי' נא סק"ג, וסי' נו סק"א)</w:t>
      </w:r>
      <w:r w:rsidRPr="00085E47">
        <w:rPr>
          <w:rFonts w:asciiTheme="minorBidi" w:hAnsiTheme="minorBidi"/>
          <w:rtl/>
        </w:rPr>
        <w:t xml:space="preserve"> כ' דיש להחמיר בכהאי גוונא</w:t>
      </w:r>
      <w:r w:rsidRPr="00085E47">
        <w:rPr>
          <w:rFonts w:asciiTheme="minorBidi" w:hAnsiTheme="minorBidi"/>
          <w:sz w:val="16"/>
          <w:szCs w:val="16"/>
          <w:rtl/>
        </w:rPr>
        <w:t xml:space="preserve"> (ע"ש סי' נא (סק"א) גבי דגים שנתבשלו ונמצא בהם דגים טמאים, דרכ"מ (אות ט))</w:t>
      </w:r>
      <w:r w:rsidRPr="00085E47">
        <w:rPr>
          <w:rFonts w:asciiTheme="minorBidi" w:hAnsiTheme="minorBidi"/>
          <w:rtl/>
        </w:rPr>
        <w:t>.</w:t>
      </w:r>
      <w:r w:rsidRPr="0094262C">
        <w:rPr>
          <w:rFonts w:cs="Arial" w:hint="cs"/>
          <w:color w:val="00B0F0"/>
          <w:rtl/>
        </w:rPr>
        <w:t xml:space="preserve"> (וכ"פ הרמ"א)</w:t>
      </w:r>
    </w:p>
  </w:footnote>
  <w:footnote w:id="1497">
    <w:p w14:paraId="64FD8442"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מטעם זה נ"ל להתיר באם אפו בתנור פלאדי"ן של חלב ואח"כ באותו מקום רותח הושיבו שם קדירה ובתוכו בשר דכל שאין החלב בעין במקום ההוא בתנור הוי כקדירה של חלב ושתי קדירות לא אסרי אהדדי, ט"ז (סקכ"ט).</w:t>
      </w:r>
    </w:p>
  </w:footnote>
  <w:footnote w:id="1498">
    <w:p w14:paraId="6CC7C97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ודוקא כשנפל על הקתא אבל כשנפל על הברזל של סכין נועץ י' פעמים בקרקע ודיו </w:t>
      </w:r>
      <w:r w:rsidRPr="00085E47">
        <w:rPr>
          <w:rFonts w:asciiTheme="minorBidi" w:hAnsiTheme="minorBidi"/>
          <w:sz w:val="16"/>
          <w:szCs w:val="16"/>
          <w:rtl/>
        </w:rPr>
        <w:t>(תשב"ץ סי' שמט)</w:t>
      </w:r>
      <w:r w:rsidRPr="00085E47">
        <w:rPr>
          <w:rFonts w:asciiTheme="minorBidi" w:hAnsiTheme="minorBidi"/>
          <w:rtl/>
        </w:rPr>
        <w:t>, הגשע"ד</w:t>
      </w:r>
      <w:r w:rsidRPr="00085E47">
        <w:rPr>
          <w:rFonts w:asciiTheme="minorBidi" w:hAnsiTheme="minorBidi"/>
          <w:sz w:val="16"/>
          <w:szCs w:val="16"/>
          <w:rtl/>
        </w:rPr>
        <w:t xml:space="preserve"> (סי' נה אות ב, הביאו הט"ז [סק"ל])</w:t>
      </w:r>
      <w:r w:rsidRPr="00085E47">
        <w:rPr>
          <w:rFonts w:asciiTheme="minorBidi" w:hAnsiTheme="minorBidi"/>
          <w:rtl/>
        </w:rPr>
        <w:t>.</w:t>
      </w:r>
    </w:p>
  </w:footnote>
  <w:footnote w:id="1499">
    <w:p w14:paraId="4789C7BB" w14:textId="77777777" w:rsidR="004C5A3C" w:rsidRDefault="004C5A3C" w:rsidP="002C39F4">
      <w:pPr>
        <w:pStyle w:val="a5"/>
      </w:pPr>
      <w:r>
        <w:rPr>
          <w:rStyle w:val="a7"/>
        </w:rPr>
        <w:footnoteRef/>
      </w:r>
      <w:r>
        <w:rPr>
          <w:rtl/>
        </w:rPr>
        <w:t xml:space="preserve"> </w:t>
      </w:r>
      <w:r>
        <w:rPr>
          <w:rFonts w:hint="cs"/>
          <w:rtl/>
        </w:rPr>
        <w:t xml:space="preserve">תרוה"ד מדבר על ג' מצבים שנפל </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Pr>
          <w:rFonts w:hint="cs"/>
          <w:rtl/>
        </w:rPr>
        <w:t xml:space="preserve"> על כלי: (א) שנפלה טיפה מנר של </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Pr>
          <w:rFonts w:hint="cs"/>
          <w:rtl/>
        </w:rPr>
        <w:t xml:space="preserve"> מהותך </w:t>
      </w:r>
      <w:r>
        <w:rPr>
          <w:rtl/>
        </w:rPr>
        <w:t>–</w:t>
      </w:r>
      <w:r>
        <w:rPr>
          <w:rFonts w:hint="cs"/>
          <w:rtl/>
        </w:rPr>
        <w:t xml:space="preserve"> צריך הגעלה. (ב) שנפלה טיפה מנר </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Pr>
          <w:rFonts w:hint="cs"/>
          <w:rtl/>
        </w:rPr>
        <w:t xml:space="preserve"> קרוש </w:t>
      </w:r>
      <w:r>
        <w:rPr>
          <w:rtl/>
        </w:rPr>
        <w:t>–</w:t>
      </w:r>
      <w:r>
        <w:rPr>
          <w:rFonts w:hint="cs"/>
          <w:rtl/>
        </w:rPr>
        <w:t xml:space="preserve"> צריך גרירה. (ג) שנפלה טיפה מ</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Pr>
          <w:rFonts w:hint="cs"/>
          <w:rtl/>
        </w:rPr>
        <w:t xml:space="preserve"> שנרתח בקדרה אצל האש </w:t>
      </w:r>
      <w:r>
        <w:rPr>
          <w:rtl/>
        </w:rPr>
        <w:t>–</w:t>
      </w:r>
      <w:r>
        <w:rPr>
          <w:rFonts w:hint="cs"/>
          <w:rtl/>
        </w:rPr>
        <w:t xml:space="preserve"> צריך גרירה.</w:t>
      </w:r>
    </w:p>
  </w:footnote>
  <w:footnote w:id="1500">
    <w:p w14:paraId="0BC02C93"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הט"ז (סק"ל) הביא את דברי מהרי"ל הנ"ל ודחאם, וכ' שמקרי כלי ראשון אע"פ שלא השהה אותו בפנים עד שהעלה רתיחות, אמנם בסוף דבריו הביא את דברי התוס' הנ"ל וכ' דכן משמע שפסק הרמ"א ע"פ הגה"מ (או"ח סי' תנא) לחומרא, דלא הוי ככלי ראשון, דהא כתב שם ויערה עליהן רותחין מכלי ראשון כו', וכ' הט"ז למסקנה דנראה להחמיר כדברי התוס' </w:t>
      </w:r>
      <w:r w:rsidRPr="00085E47">
        <w:rPr>
          <w:rFonts w:asciiTheme="minorBidi" w:hAnsiTheme="minorBidi"/>
          <w:sz w:val="16"/>
          <w:szCs w:val="16"/>
          <w:rtl/>
        </w:rPr>
        <w:t>(אע"ג דהרא"ש [ע"ז פ"ב סי' כב] כ' בשם ר"י דהוה ככלי ראשון כיון שהוציאו מן היורה מרותח, וכ"כ הטור ביו"ד (סי' קלה) בשם ר"י, דצ"ל דגירסא אחרת היתה להם בתוס')</w:t>
      </w:r>
      <w:r w:rsidRPr="00085E47">
        <w:rPr>
          <w:rFonts w:asciiTheme="minorBidi" w:hAnsiTheme="minorBidi"/>
          <w:rtl/>
        </w:rPr>
        <w:t>.</w:t>
      </w:r>
    </w:p>
  </w:footnote>
  <w:footnote w:id="1501">
    <w:p w14:paraId="667ABC7F"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פירוש, מפיו במקום שהפתילה דולקת, אותו צד חשוב ע"י האור עצמו, כ"כ בהגשע"ד (סי' נה אותת ב) בשם מהרא"י. ממילא אם נטף מצד אחר מן הכלי שהפתילה בתוכו לא מקרי רותח לאסור מה שנוטף עליו..., ט"ז (סק"ל).</w:t>
      </w:r>
    </w:p>
  </w:footnote>
  <w:footnote w:id="1502">
    <w:p w14:paraId="0D9E3DB7"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ופסקו הפוסקים כמאן דשרי, ב"י.</w:t>
      </w:r>
    </w:p>
  </w:footnote>
  <w:footnote w:id="1503">
    <w:p w14:paraId="0AB24656"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פירוש אפילו לכתחלה, ב"י.</w:t>
      </w:r>
    </w:p>
  </w:footnote>
  <w:footnote w:id="1504">
    <w:p w14:paraId="74411533" w14:textId="77777777" w:rsidR="004C5A3C" w:rsidRDefault="004C5A3C" w:rsidP="002C39F4">
      <w:pPr>
        <w:pStyle w:val="a5"/>
      </w:pPr>
      <w:r>
        <w:rPr>
          <w:rStyle w:val="a7"/>
        </w:rPr>
        <w:footnoteRef/>
      </w:r>
      <w:r>
        <w:rPr>
          <w:rtl/>
        </w:rPr>
        <w:t xml:space="preserve"> </w:t>
      </w:r>
      <w:r>
        <w:rPr>
          <w:rFonts w:cs="Arial" w:hint="cs"/>
          <w:rtl/>
        </w:rPr>
        <w:t xml:space="preserve">פירוש, </w:t>
      </w:r>
      <w:r w:rsidRPr="00B1758D">
        <w:rPr>
          <w:rFonts w:cs="Arial" w:hint="cs"/>
          <w:rtl/>
        </w:rPr>
        <w:t>לדעת</w:t>
      </w:r>
      <w:r w:rsidRPr="00B1758D">
        <w:rPr>
          <w:rFonts w:cs="Arial"/>
          <w:rtl/>
        </w:rPr>
        <w:t xml:space="preserve"> </w:t>
      </w:r>
      <w:r w:rsidRPr="00B1758D">
        <w:rPr>
          <w:rFonts w:cs="Arial" w:hint="cs"/>
          <w:rtl/>
        </w:rPr>
        <w:t>הסובר</w:t>
      </w:r>
      <w:r w:rsidRPr="00B1758D">
        <w:rPr>
          <w:rFonts w:cs="Arial"/>
          <w:rtl/>
        </w:rPr>
        <w:t xml:space="preserve"> </w:t>
      </w:r>
      <w:r w:rsidRPr="00B1758D">
        <w:rPr>
          <w:rFonts w:cs="Arial" w:hint="cs"/>
          <w:rtl/>
        </w:rPr>
        <w:t>שנותן</w:t>
      </w:r>
      <w:r w:rsidRPr="00B1758D">
        <w:rPr>
          <w:rFonts w:cs="Arial"/>
          <w:rtl/>
        </w:rPr>
        <w:t xml:space="preserve"> </w:t>
      </w:r>
      <w:r w:rsidRPr="00B1758D">
        <w:rPr>
          <w:rFonts w:cs="Arial" w:hint="cs"/>
          <w:rtl/>
        </w:rPr>
        <w:t>טעם</w:t>
      </w:r>
      <w:r w:rsidRPr="00B1758D">
        <w:rPr>
          <w:rFonts w:cs="Arial"/>
          <w:rtl/>
        </w:rPr>
        <w:t xml:space="preserve"> </w:t>
      </w:r>
      <w:r w:rsidRPr="00B1758D">
        <w:rPr>
          <w:rFonts w:cs="Arial" w:hint="cs"/>
          <w:rtl/>
        </w:rPr>
        <w:t>לפגם</w:t>
      </w:r>
      <w:r w:rsidRPr="00B1758D">
        <w:rPr>
          <w:rFonts w:cs="Arial"/>
          <w:rtl/>
        </w:rPr>
        <w:t xml:space="preserve"> </w:t>
      </w:r>
      <w:r w:rsidRPr="00B1758D">
        <w:rPr>
          <w:rFonts w:cs="Arial" w:hint="cs"/>
          <w:rtl/>
        </w:rPr>
        <w:t>אסור</w:t>
      </w:r>
      <w:r w:rsidRPr="00B1758D">
        <w:rPr>
          <w:rFonts w:cs="Arial"/>
          <w:rtl/>
        </w:rPr>
        <w:t xml:space="preserve">, </w:t>
      </w:r>
      <w:r>
        <w:rPr>
          <w:rFonts w:cs="Arial" w:hint="cs"/>
          <w:rtl/>
        </w:rPr>
        <w:t>סבר ד</w:t>
      </w:r>
      <w:r w:rsidRPr="00B1758D">
        <w:rPr>
          <w:rFonts w:cs="Arial" w:hint="cs"/>
          <w:rtl/>
        </w:rPr>
        <w:t>קדירה</w:t>
      </w:r>
      <w:r w:rsidRPr="00B1758D">
        <w:rPr>
          <w:rFonts w:cs="Arial"/>
          <w:rtl/>
        </w:rPr>
        <w:t xml:space="preserve"> </w:t>
      </w:r>
      <w:r w:rsidRPr="00B1758D">
        <w:rPr>
          <w:rFonts w:cs="Arial" w:hint="cs"/>
          <w:rtl/>
        </w:rPr>
        <w:t>בת</w:t>
      </w:r>
      <w:r w:rsidRPr="00B1758D">
        <w:rPr>
          <w:rFonts w:cs="Arial"/>
          <w:rtl/>
        </w:rPr>
        <w:t xml:space="preserve"> </w:t>
      </w:r>
      <w:r w:rsidRPr="00B1758D">
        <w:rPr>
          <w:rFonts w:cs="Arial" w:hint="cs"/>
          <w:rtl/>
        </w:rPr>
        <w:t>יומא</w:t>
      </w:r>
      <w:r w:rsidRPr="00B1758D">
        <w:rPr>
          <w:rFonts w:cs="Arial"/>
          <w:rtl/>
        </w:rPr>
        <w:t xml:space="preserve"> </w:t>
      </w:r>
      <w:r w:rsidRPr="00B1758D">
        <w:rPr>
          <w:rFonts w:cs="Arial" w:hint="cs"/>
          <w:rtl/>
        </w:rPr>
        <w:t>נמי</w:t>
      </w:r>
      <w:r w:rsidRPr="00B1758D">
        <w:rPr>
          <w:rFonts w:cs="Arial"/>
          <w:rtl/>
        </w:rPr>
        <w:t xml:space="preserve"> </w:t>
      </w:r>
      <w:r w:rsidRPr="00B1758D">
        <w:rPr>
          <w:rFonts w:cs="Arial" w:hint="cs"/>
          <w:rtl/>
        </w:rPr>
        <w:t>מפגם</w:t>
      </w:r>
      <w:r w:rsidRPr="00B1758D">
        <w:rPr>
          <w:rFonts w:cs="Arial"/>
          <w:rtl/>
        </w:rPr>
        <w:t xml:space="preserve"> </w:t>
      </w:r>
      <w:r w:rsidRPr="00B1758D">
        <w:rPr>
          <w:rFonts w:cs="Arial" w:hint="cs"/>
          <w:rtl/>
        </w:rPr>
        <w:t>פגמה</w:t>
      </w:r>
      <w:r>
        <w:rPr>
          <w:rFonts w:cs="Arial" w:hint="cs"/>
          <w:rtl/>
        </w:rPr>
        <w:t>,</w:t>
      </w:r>
      <w:r w:rsidRPr="00B1758D">
        <w:rPr>
          <w:rFonts w:cs="Arial"/>
          <w:rtl/>
        </w:rPr>
        <w:t xml:space="preserve"> </w:t>
      </w:r>
      <w:r>
        <w:rPr>
          <w:rFonts w:cs="Arial" w:hint="cs"/>
          <w:rtl/>
        </w:rPr>
        <w:t xml:space="preserve">וחזינן דאעפ"כ </w:t>
      </w:r>
      <w:r w:rsidRPr="00B1758D">
        <w:rPr>
          <w:rFonts w:cs="Arial" w:hint="cs"/>
          <w:rtl/>
        </w:rPr>
        <w:t>אסר</w:t>
      </w:r>
      <w:r>
        <w:rPr>
          <w:rFonts w:cs="Arial" w:hint="cs"/>
          <w:rtl/>
        </w:rPr>
        <w:t>ת</w:t>
      </w:r>
      <w:r w:rsidRPr="00B1758D">
        <w:rPr>
          <w:rFonts w:cs="Arial" w:hint="cs"/>
          <w:rtl/>
        </w:rPr>
        <w:t>ה</w:t>
      </w:r>
      <w:r w:rsidRPr="00B1758D">
        <w:rPr>
          <w:rFonts w:cs="Arial"/>
          <w:rtl/>
        </w:rPr>
        <w:t xml:space="preserve"> </w:t>
      </w:r>
      <w:r w:rsidRPr="00B1758D">
        <w:rPr>
          <w:rFonts w:cs="Arial" w:hint="cs"/>
          <w:rtl/>
        </w:rPr>
        <w:t>התורה</w:t>
      </w:r>
      <w:r>
        <w:rPr>
          <w:rFonts w:cs="Arial" w:hint="cs"/>
          <w:rtl/>
        </w:rPr>
        <w:t>,</w:t>
      </w:r>
      <w:r w:rsidRPr="00B1758D">
        <w:rPr>
          <w:rFonts w:cs="Arial"/>
          <w:rtl/>
        </w:rPr>
        <w:t xml:space="preserve"> </w:t>
      </w:r>
      <w:r w:rsidRPr="00B1758D">
        <w:rPr>
          <w:rFonts w:cs="Arial" w:hint="cs"/>
          <w:rtl/>
        </w:rPr>
        <w:t>משמע</w:t>
      </w:r>
      <w:r w:rsidRPr="00B1758D">
        <w:rPr>
          <w:rFonts w:cs="Arial"/>
          <w:rtl/>
        </w:rPr>
        <w:t xml:space="preserve"> </w:t>
      </w:r>
      <w:r w:rsidRPr="00B1758D">
        <w:rPr>
          <w:rFonts w:cs="Arial" w:hint="cs"/>
          <w:rtl/>
        </w:rPr>
        <w:t>שנתינת</w:t>
      </w:r>
      <w:r w:rsidRPr="00B1758D">
        <w:rPr>
          <w:rFonts w:cs="Arial"/>
          <w:rtl/>
        </w:rPr>
        <w:t xml:space="preserve"> </w:t>
      </w:r>
      <w:r w:rsidRPr="00B1758D">
        <w:rPr>
          <w:rFonts w:cs="Arial" w:hint="cs"/>
          <w:rtl/>
        </w:rPr>
        <w:t>טעם</w:t>
      </w:r>
      <w:r w:rsidRPr="00B1758D">
        <w:rPr>
          <w:rFonts w:cs="Arial"/>
          <w:rtl/>
        </w:rPr>
        <w:t xml:space="preserve"> </w:t>
      </w:r>
      <w:r w:rsidRPr="00B1758D">
        <w:rPr>
          <w:rFonts w:cs="Arial" w:hint="cs"/>
          <w:rtl/>
        </w:rPr>
        <w:t>לפגם</w:t>
      </w:r>
      <w:r w:rsidRPr="00B1758D">
        <w:rPr>
          <w:rFonts w:cs="Arial"/>
          <w:rtl/>
        </w:rPr>
        <w:t xml:space="preserve"> </w:t>
      </w:r>
      <w:r w:rsidRPr="00B1758D">
        <w:rPr>
          <w:rFonts w:cs="Arial" w:hint="cs"/>
          <w:rtl/>
        </w:rPr>
        <w:t>אינה</w:t>
      </w:r>
      <w:r w:rsidRPr="00B1758D">
        <w:rPr>
          <w:rFonts w:cs="Arial"/>
          <w:rtl/>
        </w:rPr>
        <w:t xml:space="preserve"> </w:t>
      </w:r>
      <w:r w:rsidRPr="00B1758D">
        <w:rPr>
          <w:rFonts w:cs="Arial" w:hint="cs"/>
          <w:rtl/>
        </w:rPr>
        <w:t>סיבה</w:t>
      </w:r>
      <w:r w:rsidRPr="00B1758D">
        <w:rPr>
          <w:rFonts w:cs="Arial"/>
          <w:rtl/>
        </w:rPr>
        <w:t xml:space="preserve"> </w:t>
      </w:r>
      <w:r w:rsidRPr="00B1758D">
        <w:rPr>
          <w:rFonts w:cs="Arial" w:hint="cs"/>
          <w:rtl/>
        </w:rPr>
        <w:t>להתיר</w:t>
      </w:r>
      <w:r>
        <w:rPr>
          <w:rFonts w:cs="Arial" w:hint="cs"/>
          <w:rtl/>
        </w:rPr>
        <w:t>,</w:t>
      </w:r>
      <w:r w:rsidRPr="00B1758D">
        <w:rPr>
          <w:rFonts w:cs="Arial"/>
          <w:rtl/>
        </w:rPr>
        <w:t xml:space="preserve"> </w:t>
      </w:r>
      <w:r w:rsidRPr="00B1758D">
        <w:rPr>
          <w:rFonts w:cs="Arial" w:hint="cs"/>
          <w:rtl/>
        </w:rPr>
        <w:t>ולכן</w:t>
      </w:r>
      <w:r w:rsidRPr="00B1758D">
        <w:rPr>
          <w:rFonts w:cs="Arial"/>
          <w:rtl/>
        </w:rPr>
        <w:t xml:space="preserve"> </w:t>
      </w:r>
      <w:r w:rsidRPr="00B1758D">
        <w:rPr>
          <w:rFonts w:cs="Arial" w:hint="cs"/>
          <w:rtl/>
        </w:rPr>
        <w:t>כל</w:t>
      </w:r>
      <w:r w:rsidRPr="00B1758D">
        <w:rPr>
          <w:rFonts w:cs="Arial"/>
          <w:rtl/>
        </w:rPr>
        <w:t xml:space="preserve"> </w:t>
      </w:r>
      <w:r w:rsidRPr="00B1758D">
        <w:rPr>
          <w:rFonts w:cs="Arial" w:hint="cs"/>
          <w:rtl/>
        </w:rPr>
        <w:t>כלי</w:t>
      </w:r>
      <w:r w:rsidRPr="00B1758D">
        <w:rPr>
          <w:rFonts w:cs="Arial"/>
          <w:rtl/>
        </w:rPr>
        <w:t xml:space="preserve"> </w:t>
      </w:r>
      <w:r w:rsidRPr="00B1758D">
        <w:rPr>
          <w:rFonts w:cs="Arial" w:hint="cs"/>
          <w:rtl/>
        </w:rPr>
        <w:t>גוי</w:t>
      </w:r>
      <w:r w:rsidRPr="00B1758D">
        <w:rPr>
          <w:rFonts w:cs="Arial"/>
          <w:rtl/>
        </w:rPr>
        <w:t xml:space="preserve"> - </w:t>
      </w:r>
      <w:r w:rsidRPr="00B1758D">
        <w:rPr>
          <w:rFonts w:cs="Arial" w:hint="cs"/>
          <w:rtl/>
        </w:rPr>
        <w:t>אף</w:t>
      </w:r>
      <w:r w:rsidRPr="00B1758D">
        <w:rPr>
          <w:rFonts w:cs="Arial"/>
          <w:rtl/>
        </w:rPr>
        <w:t xml:space="preserve"> </w:t>
      </w:r>
      <w:r w:rsidRPr="00B1758D">
        <w:rPr>
          <w:rFonts w:cs="Arial" w:hint="cs"/>
          <w:rtl/>
        </w:rPr>
        <w:t>אם</w:t>
      </w:r>
      <w:r w:rsidRPr="00B1758D">
        <w:rPr>
          <w:rFonts w:cs="Arial"/>
          <w:rtl/>
        </w:rPr>
        <w:t xml:space="preserve"> </w:t>
      </w:r>
      <w:r w:rsidRPr="00B1758D">
        <w:rPr>
          <w:rFonts w:cs="Arial" w:hint="cs"/>
          <w:rtl/>
        </w:rPr>
        <w:t>נותן</w:t>
      </w:r>
      <w:r w:rsidRPr="00B1758D">
        <w:rPr>
          <w:rFonts w:cs="Arial"/>
          <w:rtl/>
        </w:rPr>
        <w:t xml:space="preserve"> </w:t>
      </w:r>
      <w:r w:rsidRPr="00B1758D">
        <w:rPr>
          <w:rFonts w:cs="Arial" w:hint="cs"/>
          <w:rtl/>
        </w:rPr>
        <w:t>טעם</w:t>
      </w:r>
      <w:r w:rsidRPr="00B1758D">
        <w:rPr>
          <w:rFonts w:cs="Arial"/>
          <w:rtl/>
        </w:rPr>
        <w:t xml:space="preserve"> </w:t>
      </w:r>
      <w:r w:rsidRPr="00B1758D">
        <w:rPr>
          <w:rFonts w:cs="Arial" w:hint="cs"/>
          <w:rtl/>
        </w:rPr>
        <w:t>לפגם</w:t>
      </w:r>
      <w:r w:rsidRPr="00B1758D">
        <w:rPr>
          <w:rFonts w:cs="Arial"/>
          <w:rtl/>
        </w:rPr>
        <w:t xml:space="preserve"> </w:t>
      </w:r>
      <w:r>
        <w:rPr>
          <w:rFonts w:cs="Arial"/>
          <w:rtl/>
        </w:rPr>
        <w:t>–</w:t>
      </w:r>
      <w:r w:rsidRPr="00B1758D">
        <w:rPr>
          <w:rFonts w:cs="Arial"/>
          <w:rtl/>
        </w:rPr>
        <w:t xml:space="preserve"> </w:t>
      </w:r>
      <w:r>
        <w:rPr>
          <w:rFonts w:cs="Arial" w:hint="cs"/>
          <w:rtl/>
        </w:rPr>
        <w:t xml:space="preserve">אם נעשה </w:t>
      </w:r>
      <w:r w:rsidRPr="00B1758D">
        <w:rPr>
          <w:rFonts w:cs="Arial" w:hint="cs"/>
          <w:rtl/>
        </w:rPr>
        <w:t>מאכל</w:t>
      </w:r>
      <w:r w:rsidRPr="00B1758D">
        <w:rPr>
          <w:rFonts w:cs="Arial"/>
          <w:rtl/>
        </w:rPr>
        <w:t xml:space="preserve"> </w:t>
      </w:r>
      <w:r w:rsidRPr="00B1758D">
        <w:rPr>
          <w:rFonts w:cs="Arial" w:hint="cs"/>
          <w:rtl/>
        </w:rPr>
        <w:t>בתוכ</w:t>
      </w:r>
      <w:r>
        <w:rPr>
          <w:rFonts w:cs="Arial" w:hint="cs"/>
          <w:rtl/>
        </w:rPr>
        <w:t>ו</w:t>
      </w:r>
      <w:r w:rsidRPr="00B1758D">
        <w:rPr>
          <w:rFonts w:cs="Arial"/>
          <w:rtl/>
        </w:rPr>
        <w:t xml:space="preserve"> </w:t>
      </w:r>
      <w:r w:rsidRPr="00B1758D">
        <w:rPr>
          <w:rFonts w:cs="Arial" w:hint="cs"/>
          <w:rtl/>
        </w:rPr>
        <w:t>אסור</w:t>
      </w:r>
      <w:r>
        <w:rPr>
          <w:rFonts w:cs="Arial" w:hint="cs"/>
          <w:rtl/>
        </w:rPr>
        <w:t xml:space="preserve"> </w:t>
      </w:r>
      <w:r w:rsidRPr="00B1758D">
        <w:rPr>
          <w:rFonts w:cs="Arial" w:hint="cs"/>
          <w:sz w:val="16"/>
          <w:szCs w:val="16"/>
          <w:rtl/>
        </w:rPr>
        <w:t>(ע"פ המאירי)</w:t>
      </w:r>
      <w:r>
        <w:rPr>
          <w:rFonts w:cs="Arial" w:hint="cs"/>
          <w:rtl/>
        </w:rPr>
        <w:t>.</w:t>
      </w:r>
    </w:p>
  </w:footnote>
  <w:footnote w:id="1505">
    <w:p w14:paraId="7FD73C0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כך היא מסקנת הרא"ש ז"ל </w:t>
      </w:r>
      <w:r w:rsidRPr="00085E47">
        <w:rPr>
          <w:rFonts w:asciiTheme="minorBidi" w:hAnsiTheme="minorBidi"/>
          <w:sz w:val="16"/>
          <w:szCs w:val="16"/>
          <w:rtl/>
        </w:rPr>
        <w:t>(סי' לו)</w:t>
      </w:r>
      <w:r w:rsidRPr="00085E47">
        <w:rPr>
          <w:rFonts w:asciiTheme="minorBidi" w:hAnsiTheme="minorBidi"/>
          <w:rtl/>
        </w:rPr>
        <w:t xml:space="preserve">, דכל תוך מעל"ע מיקריא בת יומא, ויתבאר בסי' קג </w:t>
      </w:r>
      <w:r w:rsidRPr="00085E47">
        <w:rPr>
          <w:rFonts w:asciiTheme="minorBidi" w:hAnsiTheme="minorBidi"/>
          <w:sz w:val="16"/>
          <w:szCs w:val="16"/>
          <w:rtl/>
        </w:rPr>
        <w:t xml:space="preserve">(קסב: ד"ה ומ"ש ומיקריא) </w:t>
      </w:r>
      <w:r w:rsidRPr="00085E47">
        <w:rPr>
          <w:rFonts w:asciiTheme="minorBidi" w:hAnsiTheme="minorBidi"/>
          <w:rtl/>
        </w:rPr>
        <w:t xml:space="preserve">בס"ד, ומ"מ דברי רבינו סתומים במ"ש 'ואם בשל בה בתוך מעל"ע אסור' דמשמע דלא משכחת לה צד היתר, והא ליתא, דנהי שהסכימו רוב הפוסקים דבכולה קדרה משערינן כמו שכתב בסי' צח </w:t>
      </w:r>
      <w:r w:rsidRPr="00085E47">
        <w:rPr>
          <w:rFonts w:asciiTheme="minorBidi" w:hAnsiTheme="minorBidi"/>
          <w:sz w:val="16"/>
          <w:szCs w:val="16"/>
          <w:rtl/>
        </w:rPr>
        <w:t xml:space="preserve">(קנו.) </w:t>
      </w:r>
      <w:r w:rsidRPr="00085E47">
        <w:rPr>
          <w:rFonts w:asciiTheme="minorBidi" w:hAnsiTheme="minorBidi"/>
          <w:rtl/>
        </w:rPr>
        <w:t xml:space="preserve">ואין במה שבתוך הכלי ששים כנגד כל הכלי כדמשמע דברי הרא"ש </w:t>
      </w:r>
      <w:r w:rsidRPr="00085E47">
        <w:rPr>
          <w:rFonts w:asciiTheme="minorBidi" w:hAnsiTheme="minorBidi"/>
          <w:sz w:val="16"/>
          <w:szCs w:val="16"/>
          <w:rtl/>
        </w:rPr>
        <w:t xml:space="preserve">(פסחים פ"ב סי' ז) </w:t>
      </w:r>
      <w:r w:rsidRPr="00085E47">
        <w:rPr>
          <w:rFonts w:asciiTheme="minorBidi" w:hAnsiTheme="minorBidi"/>
          <w:rtl/>
        </w:rPr>
        <w:t xml:space="preserve">שכ' רבינו בטור או"ח ס"ס תנב </w:t>
      </w:r>
      <w:r w:rsidRPr="00085E47">
        <w:rPr>
          <w:rFonts w:asciiTheme="minorBidi" w:hAnsiTheme="minorBidi"/>
          <w:sz w:val="16"/>
          <w:szCs w:val="16"/>
          <w:rtl/>
        </w:rPr>
        <w:t>(קצז.)</w:t>
      </w:r>
      <w:r w:rsidRPr="00085E47">
        <w:rPr>
          <w:rFonts w:asciiTheme="minorBidi" w:hAnsiTheme="minorBidi"/>
          <w:rtl/>
        </w:rPr>
        <w:t xml:space="preserve">, מ"מ הו"ל לפרושי דאינו אלא בנותן טעם </w:t>
      </w:r>
      <w:r w:rsidRPr="00085E47">
        <w:rPr>
          <w:rFonts w:asciiTheme="minorBidi" w:hAnsiTheme="minorBidi"/>
          <w:sz w:val="16"/>
          <w:szCs w:val="16"/>
          <w:rtl/>
        </w:rPr>
        <w:t>(וכמ"ש רבינו בסי' צח (קנד:) שהוא דעת הרא"ש (פג"ה סי' כט), והרמב"ן (חולין צח. ד"ה כל איסורין) נמי אע"ג דסבר דהיכא דליכא ס' לא סמכינן אקפילא הא קאמר דהיינו כשנתערב גוף האיסור אבל כשאין שם אלא טעמו כי הכא בנותן טעם שרי אע"פ שאין בו ששים כמ"ש בסימן צ"ח, וכ"פ הרשב"א וז"ל כל היכא דלא ידעינן מאי דנפיק מיניה אי איכא קפילא וטעמיה וליכא טעמא אע"ג דלית ס' בדידיה מותר דכיון דליכא טעמא מידע ידעינן דלא נפק מיניה טפי מאחד מס' בהיתר, והוא דלא נמחה שם גופו של איסור וכמו שאני עתיד לכתוב באיסור שבטל בששים, אבל ליכא קפילא בכולה קדרה משערינן דבמאי דנפק מיניה לא ידעינן עכ"ל בתוה"א בתחלת ב"ד (ש"א א ע"ד), ובהדיא תניא בפג"ה (צז.) קדרה שבשל בה בשר לא יבשל בה חלב ואם בשל בנותן טעם, ופסקה הרמב"ם (פ"ט הי"א))</w:t>
      </w:r>
      <w:r w:rsidRPr="00085E47">
        <w:rPr>
          <w:rFonts w:asciiTheme="minorBidi" w:hAnsiTheme="minorBidi"/>
          <w:rtl/>
        </w:rPr>
        <w:t xml:space="preserve">, ב"י. </w:t>
      </w:r>
      <w:r w:rsidRPr="00085E47">
        <w:rPr>
          <w:rFonts w:asciiTheme="minorBidi" w:hAnsiTheme="minorBidi"/>
          <w:color w:val="E36C0A" w:themeColor="accent6" w:themeShade="BF"/>
          <w:rtl/>
        </w:rPr>
        <w:t>(וכ"פ בשו"ע)</w:t>
      </w:r>
    </w:p>
  </w:footnote>
  <w:footnote w:id="1506">
    <w:p w14:paraId="7F28196F" w14:textId="77777777" w:rsidR="004C5A3C" w:rsidRDefault="004C5A3C" w:rsidP="002C39F4">
      <w:pPr>
        <w:pStyle w:val="a5"/>
        <w:rPr>
          <w:rtl/>
        </w:rPr>
      </w:pPr>
      <w:r>
        <w:rPr>
          <w:rStyle w:val="a7"/>
        </w:rPr>
        <w:footnoteRef/>
      </w:r>
      <w:r>
        <w:rPr>
          <w:rtl/>
        </w:rPr>
        <w:t xml:space="preserve"> </w:t>
      </w:r>
      <w:r w:rsidRPr="00085E47">
        <w:rPr>
          <w:rFonts w:asciiTheme="minorBidi" w:hAnsiTheme="minorBidi"/>
          <w:rtl/>
        </w:rPr>
        <w:t>וכ' הב"י- וא"ת דמשמע מדברי בהעי"ט דאפשר דבחלב שבקדרה יהא ששים כנגד כל הקדרה</w:t>
      </w:r>
      <w:r>
        <w:rPr>
          <w:rFonts w:asciiTheme="minorBidi" w:hAnsiTheme="minorBidi" w:hint="cs"/>
          <w:rtl/>
        </w:rPr>
        <w:t>,</w:t>
      </w:r>
      <w:r w:rsidRPr="00085E47">
        <w:rPr>
          <w:rFonts w:asciiTheme="minorBidi" w:hAnsiTheme="minorBidi"/>
          <w:rtl/>
        </w:rPr>
        <w:t xml:space="preserve"> ומדברי רבינו באו"ח סי' תנב בשם הרא"ש וגם מדברי סה"ת שכ' רבינו בסי' שאחר זה </w:t>
      </w:r>
      <w:r w:rsidRPr="00085E47">
        <w:rPr>
          <w:rFonts w:asciiTheme="minorBidi" w:hAnsiTheme="minorBidi"/>
          <w:sz w:val="16"/>
          <w:szCs w:val="16"/>
          <w:rtl/>
        </w:rPr>
        <w:t xml:space="preserve">(קמט:) </w:t>
      </w:r>
      <w:r w:rsidRPr="00085E47">
        <w:rPr>
          <w:rFonts w:asciiTheme="minorBidi" w:hAnsiTheme="minorBidi"/>
          <w:rtl/>
        </w:rPr>
        <w:t xml:space="preserve">משמע דאין במה שבתוך הכלי ששים כנגד כל הכלי- י"ל דאפשר דבהעי"ט סבר כהראב"ד </w:t>
      </w:r>
      <w:r w:rsidRPr="00085E47">
        <w:rPr>
          <w:rFonts w:asciiTheme="minorBidi" w:hAnsiTheme="minorBidi"/>
          <w:sz w:val="16"/>
          <w:szCs w:val="16"/>
          <w:rtl/>
        </w:rPr>
        <w:t>(תמים דעים סי' ז)</w:t>
      </w:r>
      <w:r w:rsidRPr="00085E47">
        <w:rPr>
          <w:rFonts w:asciiTheme="minorBidi" w:hAnsiTheme="minorBidi"/>
          <w:rtl/>
        </w:rPr>
        <w:t xml:space="preserve"> דלא משערינן בכוליה כלי אלא במאי דנפיק מיניה הוא דמשערינן כמו שאכתוב בסי' צח </w:t>
      </w:r>
      <w:r w:rsidRPr="00085E47">
        <w:rPr>
          <w:rFonts w:asciiTheme="minorBidi" w:hAnsiTheme="minorBidi"/>
          <w:sz w:val="16"/>
          <w:szCs w:val="16"/>
          <w:rtl/>
        </w:rPr>
        <w:t xml:space="preserve">(קנו. ד"ה ומ"ש לפיכך) </w:t>
      </w:r>
      <w:r w:rsidRPr="00085E47">
        <w:rPr>
          <w:rFonts w:asciiTheme="minorBidi" w:hAnsiTheme="minorBidi"/>
          <w:rtl/>
        </w:rPr>
        <w:t>בס"ד</w:t>
      </w:r>
      <w:r w:rsidRPr="00085E47">
        <w:rPr>
          <w:rFonts w:asciiTheme="minorBidi" w:hAnsiTheme="minorBidi"/>
          <w:sz w:val="16"/>
          <w:szCs w:val="16"/>
          <w:rtl/>
        </w:rPr>
        <w:t xml:space="preserve"> (וכ' הש"ך </w:t>
      </w:r>
      <w:r w:rsidRPr="00085E47">
        <w:rPr>
          <w:rFonts w:asciiTheme="minorBidi" w:hAnsiTheme="minorBidi"/>
          <w:sz w:val="14"/>
          <w:szCs w:val="14"/>
          <w:rtl/>
        </w:rPr>
        <w:t>[נה"כ סוף אות ג]</w:t>
      </w:r>
      <w:r w:rsidRPr="00085E47">
        <w:rPr>
          <w:rFonts w:asciiTheme="minorBidi" w:hAnsiTheme="minorBidi"/>
          <w:sz w:val="16"/>
          <w:szCs w:val="16"/>
          <w:rtl/>
        </w:rPr>
        <w:t xml:space="preserve">- קשה שהרי בסי' צח </w:t>
      </w:r>
      <w:r w:rsidRPr="00085E47">
        <w:rPr>
          <w:rFonts w:asciiTheme="minorBidi" w:hAnsiTheme="minorBidi"/>
          <w:sz w:val="14"/>
          <w:szCs w:val="14"/>
          <w:rtl/>
        </w:rPr>
        <w:t xml:space="preserve">[עמ' רנא ד"ה ומ"ש לפיכך] </w:t>
      </w:r>
      <w:r w:rsidRPr="00085E47">
        <w:rPr>
          <w:rFonts w:asciiTheme="minorBidi" w:hAnsiTheme="minorBidi"/>
          <w:sz w:val="16"/>
          <w:szCs w:val="16"/>
          <w:rtl/>
        </w:rPr>
        <w:t>מביא את דברי הראב"ד דלא קאמר הכי אלא בכלי שטף אבל בכלי חרס גם הראב"ד מודה דבכוליה משערינן, וי"ל דהכי קאמר] בהעי"ט סובר בכלי חרס כמו שסובר הראב"ד בשאר כלים וצ"ע)</w:t>
      </w:r>
      <w:r w:rsidRPr="00085E47">
        <w:rPr>
          <w:rFonts w:asciiTheme="minorBidi" w:hAnsiTheme="minorBidi"/>
          <w:rtl/>
        </w:rPr>
        <w:t xml:space="preserve">, א"נ בשידוע שיעור הבשר שנתבשל בה איירי בהעי"ט, דכל כהאי גוונא לדברי הכל לא משערינן בכוליה כלי כמ"ש בסי' צח </w:t>
      </w:r>
      <w:r w:rsidRPr="00085E47">
        <w:rPr>
          <w:rFonts w:asciiTheme="minorBidi" w:hAnsiTheme="minorBidi"/>
          <w:sz w:val="16"/>
          <w:szCs w:val="16"/>
          <w:rtl/>
        </w:rPr>
        <w:t>(קנו.)</w:t>
      </w:r>
      <w:r w:rsidRPr="00085E47">
        <w:rPr>
          <w:rFonts w:asciiTheme="minorBidi" w:hAnsiTheme="minorBidi"/>
          <w:rtl/>
        </w:rPr>
        <w:t xml:space="preserve">. א"נ משכחת לה שיהא רוחב הקדרה גדולה כ"כ שיחזיק מים שיהו ששים כנגד כל הקדרה כגון שנחושתה דק ורחבה גדול, עכ"ל הב"י. וכ' הדרכ"מ </w:t>
      </w:r>
      <w:r w:rsidRPr="00085E47">
        <w:rPr>
          <w:rFonts w:asciiTheme="minorBidi" w:hAnsiTheme="minorBidi"/>
          <w:sz w:val="16"/>
          <w:szCs w:val="16"/>
          <w:rtl/>
        </w:rPr>
        <w:t xml:space="preserve">(אות ג) </w:t>
      </w:r>
      <w:r w:rsidRPr="00085E47">
        <w:rPr>
          <w:rFonts w:asciiTheme="minorBidi" w:hAnsiTheme="minorBidi"/>
          <w:rtl/>
        </w:rPr>
        <w:t xml:space="preserve">דהמרדכי </w:t>
      </w:r>
      <w:r w:rsidRPr="00085E47">
        <w:rPr>
          <w:rFonts w:asciiTheme="minorBidi" w:hAnsiTheme="minorBidi"/>
          <w:sz w:val="16"/>
          <w:szCs w:val="16"/>
          <w:rtl/>
        </w:rPr>
        <w:t xml:space="preserve">(סי' תרפה) </w:t>
      </w:r>
      <w:r w:rsidRPr="00085E47">
        <w:rPr>
          <w:rFonts w:asciiTheme="minorBidi" w:hAnsiTheme="minorBidi"/>
          <w:rtl/>
        </w:rPr>
        <w:t xml:space="preserve">הביא את דברי ראבי"ה </w:t>
      </w:r>
      <w:r w:rsidRPr="00085E47">
        <w:rPr>
          <w:rFonts w:asciiTheme="minorBidi" w:hAnsiTheme="minorBidi"/>
          <w:sz w:val="16"/>
          <w:szCs w:val="16"/>
          <w:rtl/>
        </w:rPr>
        <w:t xml:space="preserve">(סו"ס אלף קא) </w:t>
      </w:r>
      <w:r w:rsidRPr="00085E47">
        <w:rPr>
          <w:rFonts w:asciiTheme="minorBidi" w:hAnsiTheme="minorBidi"/>
          <w:rtl/>
        </w:rPr>
        <w:t>דכיצד משערינן נגד כלי האיסור, מביאין כלי מלא מים וממלאין הקדרה האסורה באותן מים עצמן ויתן הקדרה האסורה באותו כלי גדול והמים היוצאים הן הן שיעור דופני הקדרה האסורה ואח</w:t>
      </w:r>
      <w:r>
        <w:rPr>
          <w:rFonts w:asciiTheme="minorBidi" w:hAnsiTheme="minorBidi" w:hint="cs"/>
          <w:rtl/>
        </w:rPr>
        <w:t>"</w:t>
      </w:r>
      <w:r w:rsidRPr="00085E47">
        <w:rPr>
          <w:rFonts w:asciiTheme="minorBidi" w:hAnsiTheme="minorBidi"/>
          <w:rtl/>
        </w:rPr>
        <w:t xml:space="preserve">כ ימדוד המים המבטלים אותו אם יש בהן ששים או לאו עכ"ל </w:t>
      </w:r>
      <w:r w:rsidRPr="00085E47">
        <w:rPr>
          <w:rFonts w:asciiTheme="minorBidi" w:hAnsiTheme="minorBidi"/>
          <w:sz w:val="16"/>
          <w:szCs w:val="16"/>
          <w:rtl/>
        </w:rPr>
        <w:t>{המרדכי}</w:t>
      </w:r>
      <w:r w:rsidRPr="00085E47">
        <w:rPr>
          <w:rFonts w:asciiTheme="minorBidi" w:hAnsiTheme="minorBidi"/>
          <w:rtl/>
        </w:rPr>
        <w:t>, ולפ"ז נראה תירוץ אחרון של ב"י הוא העיקר דהרי ס"ל לראבי"ה דמשערינן בכל דופני הכלי ואפ"ה ס"ל דמצינו ששים.</w:t>
      </w:r>
    </w:p>
  </w:footnote>
  <w:footnote w:id="1507">
    <w:p w14:paraId="4064BF9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ואני תמה היאך מותר לבשל בה חלב</w:t>
      </w:r>
      <w:r>
        <w:rPr>
          <w:rFonts w:asciiTheme="minorBidi" w:hAnsiTheme="minorBidi" w:hint="cs"/>
          <w:rtl/>
        </w:rPr>
        <w:t>,</w:t>
      </w:r>
      <w:r w:rsidRPr="00085E47">
        <w:rPr>
          <w:rFonts w:asciiTheme="minorBidi" w:hAnsiTheme="minorBidi"/>
          <w:rtl/>
        </w:rPr>
        <w:t xml:space="preserve"> וכי עדיף מהגעלה</w:t>
      </w:r>
      <w:r>
        <w:rPr>
          <w:rFonts w:asciiTheme="minorBidi" w:hAnsiTheme="minorBidi" w:hint="cs"/>
          <w:rtl/>
        </w:rPr>
        <w:t>,</w:t>
      </w:r>
      <w:r w:rsidRPr="00085E47">
        <w:rPr>
          <w:rFonts w:asciiTheme="minorBidi" w:hAnsiTheme="minorBidi"/>
          <w:rtl/>
        </w:rPr>
        <w:t xml:space="preserve"> דאפילו הגעלה לא מהני לכלי חרס שפולט תמיד מעט מעט, טור </w:t>
      </w:r>
      <w:r w:rsidRPr="00085E47">
        <w:rPr>
          <w:rFonts w:asciiTheme="minorBidi" w:hAnsiTheme="minorBidi"/>
          <w:sz w:val="16"/>
          <w:szCs w:val="16"/>
          <w:rtl/>
        </w:rPr>
        <w:t>(וכ' הב"י דקשה דעדיפא מינה הו"ל לאקשויי לבהעי"ט שמתיר לבשל בה מאיזה מין שירצה</w:t>
      </w:r>
      <w:r>
        <w:rPr>
          <w:rFonts w:asciiTheme="minorBidi" w:hAnsiTheme="minorBidi" w:hint="cs"/>
          <w:sz w:val="16"/>
          <w:szCs w:val="16"/>
          <w:rtl/>
        </w:rPr>
        <w:t>,</w:t>
      </w:r>
      <w:r w:rsidRPr="00085E47">
        <w:rPr>
          <w:rFonts w:asciiTheme="minorBidi" w:hAnsiTheme="minorBidi"/>
          <w:sz w:val="16"/>
          <w:szCs w:val="16"/>
          <w:rtl/>
        </w:rPr>
        <w:t xml:space="preserve"> היאך מתיר לבשל בה בשר אחר שבשל בה חלב בלי הפסק שום תבשיל ביניהם, ונ"ל דלרבותא נקט שהוא תמה היאך מותר לבשל חלב אע"פ שכבר בשל בה חלב ונתמעט טעם בשר הבלוע בה וכ"ש שיש לתמוה היאך מתיר לבשל בה בשר אחר שבשל בה חלב בלי הפסק שום תבשיל ביניהם)</w:t>
      </w:r>
      <w:r>
        <w:rPr>
          <w:rFonts w:asciiTheme="minorBidi" w:hAnsiTheme="minorBidi" w:hint="cs"/>
          <w:rtl/>
        </w:rPr>
        <w:t>.</w:t>
      </w:r>
      <w:r w:rsidRPr="00085E47">
        <w:rPr>
          <w:rFonts w:asciiTheme="minorBidi" w:hAnsiTheme="minorBidi"/>
          <w:rtl/>
        </w:rPr>
        <w:t xml:space="preserve"> ומהר"י בן חביב </w:t>
      </w:r>
      <w:r w:rsidRPr="00085E47">
        <w:rPr>
          <w:rFonts w:asciiTheme="minorBidi" w:hAnsiTheme="minorBidi"/>
          <w:sz w:val="16"/>
          <w:szCs w:val="16"/>
          <w:rtl/>
        </w:rPr>
        <w:t xml:space="preserve">(הביאו הב"י) </w:t>
      </w:r>
      <w:r w:rsidRPr="00085E47">
        <w:rPr>
          <w:rFonts w:asciiTheme="minorBidi" w:hAnsiTheme="minorBidi"/>
          <w:rtl/>
        </w:rPr>
        <w:t>כ'- נ"ל שדעת בהעי"ט דאם בשל חלב בקדרה שבשל בה בשר חשיב בישול החלב בה כהגעלה אם נזהר לשפוך אותו חלב מהקדרה קודם שתנוח הרתיחה, דמה לי מים הבלועים מאיסור מה לי חלב אסור</w:t>
      </w:r>
      <w:r>
        <w:rPr>
          <w:rFonts w:asciiTheme="minorBidi" w:hAnsiTheme="minorBidi" w:hint="cs"/>
          <w:rtl/>
        </w:rPr>
        <w:t>,</w:t>
      </w:r>
      <w:r w:rsidRPr="00085E47">
        <w:rPr>
          <w:rFonts w:asciiTheme="minorBidi" w:hAnsiTheme="minorBidi"/>
          <w:rtl/>
        </w:rPr>
        <w:t xml:space="preserve"> הלא ודאי כבר הלך לו כל טעם החלב</w:t>
      </w:r>
      <w:r>
        <w:rPr>
          <w:rFonts w:asciiTheme="minorBidi" w:hAnsiTheme="minorBidi" w:hint="cs"/>
          <w:rtl/>
        </w:rPr>
        <w:t>,</w:t>
      </w:r>
      <w:r w:rsidRPr="00085E47">
        <w:rPr>
          <w:rFonts w:asciiTheme="minorBidi" w:hAnsiTheme="minorBidi"/>
          <w:rtl/>
        </w:rPr>
        <w:t xml:space="preserve"> בין מה שקבל מטעם הבשר בין טעם החלב עצמו</w:t>
      </w:r>
      <w:r>
        <w:rPr>
          <w:rFonts w:asciiTheme="minorBidi" w:hAnsiTheme="minorBidi" w:hint="cs"/>
          <w:rtl/>
        </w:rPr>
        <w:t>,</w:t>
      </w:r>
      <w:r w:rsidRPr="00085E47">
        <w:rPr>
          <w:rFonts w:asciiTheme="minorBidi" w:hAnsiTheme="minorBidi"/>
          <w:rtl/>
        </w:rPr>
        <w:t xml:space="preserve"> דאיידי דטריד לפלוט לא בלע, ורבינו יעקב תמה עליו משום דאפילו את"ל שלא נשאר בקדרה טעם חלב לפי שנשפך בעודו רותח אבל טעם הבשר שקבלה תחלה לא יצא כולו והיאך מתיר לבשל בה חלב ע"כ. </w:t>
      </w:r>
    </w:p>
  </w:footnote>
  <w:footnote w:id="1508">
    <w:p w14:paraId="7417F9D2"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ה"ר פרץ </w:t>
      </w:r>
      <w:r w:rsidRPr="00085E47">
        <w:rPr>
          <w:rFonts w:asciiTheme="minorBidi" w:hAnsiTheme="minorBidi"/>
          <w:sz w:val="16"/>
          <w:szCs w:val="16"/>
          <w:rtl/>
        </w:rPr>
        <w:t xml:space="preserve">(הגה' סמ"ק סי' ריג בדיני ביטול אות א, וכתבוהו הגה"מ [פ"ט הי"ג]) </w:t>
      </w:r>
      <w:r w:rsidRPr="00085E47">
        <w:rPr>
          <w:rFonts w:asciiTheme="minorBidi" w:hAnsiTheme="minorBidi"/>
          <w:rtl/>
        </w:rPr>
        <w:t xml:space="preserve">רי"ו </w:t>
      </w:r>
      <w:r w:rsidRPr="00085E47">
        <w:rPr>
          <w:rFonts w:asciiTheme="minorBidi" w:hAnsiTheme="minorBidi"/>
          <w:sz w:val="16"/>
          <w:szCs w:val="16"/>
          <w:rtl/>
        </w:rPr>
        <w:t xml:space="preserve">(אות כח נט"ו קלח:) </w:t>
      </w:r>
      <w:r w:rsidRPr="00085E47">
        <w:rPr>
          <w:rFonts w:asciiTheme="minorBidi" w:hAnsiTheme="minorBidi"/>
          <w:rtl/>
        </w:rPr>
        <w:t>בשם הגאונים</w:t>
      </w:r>
      <w:r w:rsidRPr="002B123E">
        <w:rPr>
          <w:rFonts w:asciiTheme="minorBidi" w:hAnsiTheme="minorBidi" w:hint="cs"/>
          <w:rtl/>
        </w:rPr>
        <w:t xml:space="preserve"> </w:t>
      </w:r>
      <w:r>
        <w:rPr>
          <w:rFonts w:asciiTheme="minorBidi" w:hAnsiTheme="minorBidi" w:hint="cs"/>
          <w:rtl/>
        </w:rPr>
        <w:t>ו</w:t>
      </w:r>
      <w:r w:rsidRPr="00085E47">
        <w:rPr>
          <w:rFonts w:asciiTheme="minorBidi" w:hAnsiTheme="minorBidi"/>
          <w:rtl/>
        </w:rPr>
        <w:t xml:space="preserve">ריב"ש </w:t>
      </w:r>
      <w:r w:rsidRPr="002B123E">
        <w:rPr>
          <w:rFonts w:asciiTheme="minorBidi" w:hAnsiTheme="minorBidi"/>
          <w:sz w:val="16"/>
          <w:szCs w:val="16"/>
          <w:rtl/>
        </w:rPr>
        <w:t>(סי' קכו)</w:t>
      </w:r>
      <w:r w:rsidRPr="00085E47">
        <w:rPr>
          <w:rFonts w:asciiTheme="minorBidi" w:hAnsiTheme="minorBidi"/>
          <w:rtl/>
        </w:rPr>
        <w:t>.</w:t>
      </w:r>
    </w:p>
  </w:footnote>
  <w:footnote w:id="1509">
    <w:p w14:paraId="56D7DCE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ונתן טעם לדבר בשם סמ"ק</w:t>
      </w:r>
      <w:r>
        <w:rPr>
          <w:rFonts w:asciiTheme="minorBidi" w:hAnsiTheme="minorBidi" w:hint="cs"/>
          <w:rtl/>
        </w:rPr>
        <w:t>, ב"י</w:t>
      </w:r>
      <w:r w:rsidRPr="00085E47">
        <w:rPr>
          <w:rFonts w:asciiTheme="minorBidi" w:hAnsiTheme="minorBidi"/>
          <w:rtl/>
        </w:rPr>
        <w:t xml:space="preserve">. </w:t>
      </w:r>
      <w:r>
        <w:rPr>
          <w:rFonts w:asciiTheme="minorBidi" w:hAnsiTheme="minorBidi" w:hint="cs"/>
          <w:rtl/>
        </w:rPr>
        <w:t xml:space="preserve">וכ' הדרכ"מ </w:t>
      </w:r>
      <w:r w:rsidRPr="00085E47">
        <w:rPr>
          <w:rFonts w:asciiTheme="minorBidi" w:hAnsiTheme="minorBidi"/>
          <w:rtl/>
        </w:rPr>
        <w:t>(אות ג*)</w:t>
      </w:r>
      <w:r>
        <w:rPr>
          <w:rFonts w:asciiTheme="minorBidi" w:hAnsiTheme="minorBidi" w:hint="cs"/>
          <w:rtl/>
        </w:rPr>
        <w:t xml:space="preserve"> ד</w:t>
      </w:r>
      <w:r w:rsidRPr="00085E47">
        <w:rPr>
          <w:rFonts w:asciiTheme="minorBidi" w:hAnsiTheme="minorBidi"/>
          <w:rtl/>
        </w:rPr>
        <w:t xml:space="preserve">כ"מ מדברי הגה"מ </w:t>
      </w:r>
      <w:r>
        <w:rPr>
          <w:rFonts w:asciiTheme="minorBidi" w:hAnsiTheme="minorBidi" w:hint="cs"/>
          <w:rtl/>
        </w:rPr>
        <w:t>(</w:t>
      </w:r>
      <w:r w:rsidRPr="00085E47">
        <w:rPr>
          <w:rFonts w:asciiTheme="minorBidi" w:hAnsiTheme="minorBidi"/>
          <w:rtl/>
        </w:rPr>
        <w:t>פ"ט</w:t>
      </w:r>
      <w:r>
        <w:rPr>
          <w:rFonts w:asciiTheme="minorBidi" w:hAnsiTheme="minorBidi" w:hint="cs"/>
          <w:rtl/>
        </w:rPr>
        <w:t>)</w:t>
      </w:r>
      <w:r w:rsidRPr="00085E47">
        <w:rPr>
          <w:rFonts w:asciiTheme="minorBidi" w:hAnsiTheme="minorBidi"/>
          <w:rtl/>
        </w:rPr>
        <w:t xml:space="preserve"> בשם סמ"ק. </w:t>
      </w:r>
    </w:p>
  </w:footnote>
  <w:footnote w:id="1510">
    <w:p w14:paraId="3243892D"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ז"ל הרשב"א בתוה"א </w:t>
      </w:r>
      <w:r w:rsidRPr="00085E47">
        <w:rPr>
          <w:rFonts w:asciiTheme="minorBidi" w:hAnsiTheme="minorBidi"/>
          <w:sz w:val="16"/>
          <w:szCs w:val="16"/>
          <w:rtl/>
        </w:rPr>
        <w:t>(ב"ד ש"א א ע"ד)</w:t>
      </w:r>
      <w:r w:rsidRPr="00085E47">
        <w:rPr>
          <w:rFonts w:asciiTheme="minorBidi" w:hAnsiTheme="minorBidi"/>
          <w:rtl/>
        </w:rPr>
        <w:t>- שנינו בפרק בתרא דע"ז (עה:) השפוד והאסכלא מלבנן באור, ואמרינן עלה בגמרא (עו.) רמי ליה רב עמרם לרב ששת תנן השפוד והאסכלא מלבנן, והתניא גבי קדשים השפוד והאסכלא מגעילן, ופריק רבא קדשים היינו טעמא דכל יום עושה גיעול לחבירו, ואקשינן אי הכי הגעלה נמי לא ליבעי, וסלקא בקושיא, שמעינן מהא דכל שבשל בו לאחר מכאן נפלט ממנו האיסור ונכשר לגמרי עד שהקשו אמאי תני בברייתא מגעילן שהרי נגעל בבישול של יום שני ונכשר לגמרי, וקשיא לי טובא, וכי עדיף בישול דיום שני מהגעלה גמורה, ואם הגעלה גמורה הוה קשיא ליה לרב עמרם היאך מכשירתו מה היתה תשובתו של רבא דאמר בכל יום ויום נעשה גיעול, והלא ליבון הוא צריך כמו ששנינו במשנתינו, והליבון שיהו הניצוצות מנתזין הימנו, ועוד הא קיי"ל (פסחים עד.) בכלי מתכות חם מקצתו חם כולו שהאיסור הנבלע מתפשט בכל הכלי, ונ"ל דהכי קאמר- דקדשים התירא בלע וכיון שבישל בו קודם שיבוא לידי איסור נותר, לכשיגיע זמנו להיות חל שם נותר כבר נקלש ונחלש האיסור כ"כ ע"י בישול זה השני עד שלא נשאר בו אלא בלע מועט, ואין ראוי לחול עליו שם נותר על דבר בלוע מועט כזה, וכענין שאמרו (חולין קיא:) לענין בשר בחלב בדגים שעלו בקערה של בשר שמותר לאכלם בכותח משום שכיון שטעם הבשר שקלטו הדגים מן הקערה נקלש ונחלש כ"כ קודם שיבוא לידי איסור בשר בחלב, וכן הבלע שנתפשט בכל הכלי אינו אלא דבר מועט ועם בישול זה השני אע"פ שאין האור מגיע לכולו מ"מ גם הוא ע"י חם מקצתו חם כולו מתמעט קצת עד שלא נשאר בכל השפוד שום בלע שיהיה ראוי לחול עליו שם נותר, אבל קודם שבשל בו שנית הבלע מרובה וראוי לחול עליו שם נותר בתוך דופני הכלי, וכן כלי שבלע איסור גמור לעולם אין נכשר עד שיגעיל הראוי להגעיל וילבן את שראוי ללבן דמתחלתו איסור גמור היה ועד שנפלט ונגעל לגמרי איסור מיקרי, ולפיכך אע"פ שבשל בו לאחמ"כ פעם או שתים אין יוצא מידי דפיו עד שיגעילנו כדרכו, ואם דבר שדרכו ללבן עד שילבן, והילכך</w:t>
      </w:r>
      <w:r>
        <w:rPr>
          <w:rFonts w:asciiTheme="minorBidi" w:hAnsiTheme="minorBidi" w:hint="cs"/>
          <w:rtl/>
        </w:rPr>
        <w:t>-...</w:t>
      </w:r>
    </w:p>
  </w:footnote>
  <w:footnote w:id="1511">
    <w:p w14:paraId="63F260B5" w14:textId="77777777" w:rsidR="004C5A3C" w:rsidRDefault="004C5A3C" w:rsidP="002C39F4">
      <w:pPr>
        <w:pStyle w:val="a5"/>
      </w:pPr>
      <w:r>
        <w:rPr>
          <w:rStyle w:val="a7"/>
        </w:rPr>
        <w:footnoteRef/>
      </w:r>
      <w:r>
        <w:rPr>
          <w:rtl/>
        </w:rPr>
        <w:t xml:space="preserve"> </w:t>
      </w:r>
      <w:r w:rsidRPr="00850AF0">
        <w:rPr>
          <w:rFonts w:asciiTheme="minorBidi" w:hAnsiTheme="minorBidi"/>
          <w:rtl/>
        </w:rPr>
        <w:t>ה"ה הרתיח בה מים</w:t>
      </w:r>
      <w:r>
        <w:rPr>
          <w:rFonts w:asciiTheme="minorBidi" w:hAnsiTheme="minorBidi" w:hint="cs"/>
          <w:rtl/>
        </w:rPr>
        <w:t>,</w:t>
      </w:r>
      <w:r w:rsidRPr="00850AF0">
        <w:rPr>
          <w:rFonts w:asciiTheme="minorBidi" w:hAnsiTheme="minorBidi"/>
          <w:rtl/>
        </w:rPr>
        <w:t xml:space="preserve"> אלא אורחא דמילתא נקט שאין דרך להרתיח מים אם לא לבשל בהם שום דבר</w:t>
      </w:r>
      <w:r w:rsidRPr="00850AF0">
        <w:rPr>
          <w:rFonts w:asciiTheme="minorBidi" w:hAnsiTheme="minorBidi" w:hint="cs"/>
          <w:rtl/>
        </w:rPr>
        <w:t>, ב"י</w:t>
      </w:r>
      <w:r>
        <w:rPr>
          <w:rFonts w:asciiTheme="minorBidi" w:hAnsiTheme="minorBidi" w:hint="cs"/>
          <w:rtl/>
        </w:rPr>
        <w:t>.</w:t>
      </w:r>
    </w:p>
  </w:footnote>
  <w:footnote w:id="1512">
    <w:p w14:paraId="6474E60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w:t>
      </w:r>
      <w:r w:rsidRPr="00085E47">
        <w:rPr>
          <w:rFonts w:asciiTheme="minorBidi" w:hAnsiTheme="minorBidi"/>
          <w:u w:val="single"/>
          <w:rtl/>
        </w:rPr>
        <w:t>מדוע תמה הטור על בהעי"ט</w:t>
      </w:r>
      <w:r w:rsidRPr="00085E47">
        <w:rPr>
          <w:rFonts w:asciiTheme="minorBidi" w:hAnsiTheme="minorBidi"/>
          <w:sz w:val="16"/>
          <w:szCs w:val="16"/>
          <w:u w:val="single"/>
          <w:rtl/>
        </w:rPr>
        <w:t xml:space="preserve"> </w:t>
      </w:r>
      <w:r w:rsidRPr="00085E47">
        <w:rPr>
          <w:rFonts w:asciiTheme="minorBidi" w:hAnsiTheme="minorBidi"/>
          <w:sz w:val="12"/>
          <w:szCs w:val="12"/>
          <w:u w:val="single"/>
          <w:rtl/>
        </w:rPr>
        <w:t>(דאמר מבשל בה ממין שבשל בה עכשיו כיון שהתבשיל מותר טעם הראשון בטל וקדרה נמי מותרת)</w:t>
      </w:r>
      <w:r w:rsidRPr="00085E47">
        <w:rPr>
          <w:rFonts w:asciiTheme="minorBidi" w:hAnsiTheme="minorBidi"/>
          <w:u w:val="single"/>
          <w:rtl/>
        </w:rPr>
        <w:t xml:space="preserve"> ולא תמה על דברי הרשב"א הנ"ל:</w:t>
      </w:r>
      <w:r w:rsidRPr="00085E47">
        <w:rPr>
          <w:rFonts w:asciiTheme="minorBidi" w:hAnsiTheme="minorBidi"/>
          <w:rtl/>
        </w:rPr>
        <w:t xml:space="preserve"> </w:t>
      </w:r>
    </w:p>
    <w:p w14:paraId="73A9986B" w14:textId="77777777" w:rsidR="004C5A3C" w:rsidRPr="00085E47" w:rsidRDefault="004C5A3C" w:rsidP="0032102C">
      <w:pPr>
        <w:pStyle w:val="a5"/>
        <w:numPr>
          <w:ilvl w:val="0"/>
          <w:numId w:val="119"/>
        </w:numPr>
        <w:rPr>
          <w:rFonts w:asciiTheme="minorBidi" w:hAnsiTheme="minorBidi"/>
        </w:rPr>
      </w:pPr>
      <w:r w:rsidRPr="00085E47">
        <w:rPr>
          <w:rFonts w:asciiTheme="minorBidi" w:hAnsiTheme="minorBidi"/>
          <w:rtl/>
        </w:rPr>
        <w:t xml:space="preserve">ב"י- הרשב"א התיר רק בכלי שטף </w:t>
      </w:r>
      <w:r w:rsidRPr="00085E47">
        <w:rPr>
          <w:rFonts w:asciiTheme="minorBidi" w:hAnsiTheme="minorBidi"/>
          <w:sz w:val="16"/>
          <w:szCs w:val="16"/>
          <w:rtl/>
        </w:rPr>
        <w:t>(דלא מהני טעמא דנחלש ונקלש טעם האיסור ע"י בישול זה השני אלא בכלי שטף שבליעתן מועטת אבל לא בכלי חרס שבליעתו מרובה עד שאמרו בו שאינו יוצא מידי דפיו לעולם וכיון שכן אפילו לאחר הגעלה גמורה הרי הוא ככלי שטף שלא הוגעל כלל ולא בישלו בו ירקות שאסור לבשל בו חלב)</w:t>
      </w:r>
      <w:r w:rsidRPr="00085E47">
        <w:rPr>
          <w:rFonts w:asciiTheme="minorBidi" w:hAnsiTheme="minorBidi"/>
          <w:rtl/>
        </w:rPr>
        <w:t xml:space="preserve">, ובהעי"ט התיר גם בכלי חרס. </w:t>
      </w:r>
    </w:p>
    <w:p w14:paraId="4C494711" w14:textId="77777777" w:rsidR="004C5A3C" w:rsidRPr="00085E47" w:rsidRDefault="004C5A3C" w:rsidP="0032102C">
      <w:pPr>
        <w:pStyle w:val="a5"/>
        <w:numPr>
          <w:ilvl w:val="0"/>
          <w:numId w:val="119"/>
        </w:numPr>
        <w:rPr>
          <w:rFonts w:asciiTheme="minorBidi" w:hAnsiTheme="minorBidi"/>
        </w:rPr>
      </w:pPr>
      <w:r w:rsidRPr="00085E47">
        <w:rPr>
          <w:rFonts w:asciiTheme="minorBidi" w:hAnsiTheme="minorBidi"/>
          <w:rtl/>
        </w:rPr>
        <w:t xml:space="preserve">רי"ו </w:t>
      </w:r>
      <w:r w:rsidRPr="00085E47">
        <w:rPr>
          <w:rFonts w:asciiTheme="minorBidi" w:hAnsiTheme="minorBidi"/>
          <w:sz w:val="16"/>
          <w:szCs w:val="16"/>
          <w:rtl/>
        </w:rPr>
        <w:t>(נט"ו אות כח קלח:)</w:t>
      </w:r>
      <w:r w:rsidRPr="00085E47">
        <w:rPr>
          <w:rFonts w:asciiTheme="minorBidi" w:hAnsiTheme="minorBidi"/>
          <w:rtl/>
        </w:rPr>
        <w:t xml:space="preserve"> להב' הב"י- </w:t>
      </w:r>
      <w:r w:rsidRPr="00085E47">
        <w:rPr>
          <w:rFonts w:asciiTheme="minorBidi" w:hAnsiTheme="minorBidi"/>
          <w:sz w:val="16"/>
          <w:szCs w:val="16"/>
          <w:rtl/>
        </w:rPr>
        <w:t>[כיון דכ</w:t>
      </w:r>
      <w:r>
        <w:rPr>
          <w:rFonts w:asciiTheme="minorBidi" w:hAnsiTheme="minorBidi" w:hint="cs"/>
          <w:sz w:val="16"/>
          <w:szCs w:val="16"/>
          <w:rtl/>
        </w:rPr>
        <w:t>'</w:t>
      </w:r>
      <w:r w:rsidRPr="00085E47">
        <w:rPr>
          <w:rFonts w:asciiTheme="minorBidi" w:hAnsiTheme="minorBidi"/>
          <w:sz w:val="16"/>
          <w:szCs w:val="16"/>
          <w:rtl/>
        </w:rPr>
        <w:t xml:space="preserve"> דברי הרשב"א בשם הפסקנים ואח"כ כ</w:t>
      </w:r>
      <w:r>
        <w:rPr>
          <w:rFonts w:asciiTheme="minorBidi" w:hAnsiTheme="minorBidi" w:hint="cs"/>
          <w:sz w:val="16"/>
          <w:szCs w:val="16"/>
          <w:rtl/>
        </w:rPr>
        <w:t>'</w:t>
      </w:r>
      <w:r w:rsidRPr="00085E47">
        <w:rPr>
          <w:rFonts w:asciiTheme="minorBidi" w:hAnsiTheme="minorBidi"/>
          <w:sz w:val="16"/>
          <w:szCs w:val="16"/>
          <w:rtl/>
        </w:rPr>
        <w:t xml:space="preserve"> כדברי </w:t>
      </w:r>
      <w:r>
        <w:rPr>
          <w:rFonts w:asciiTheme="minorBidi" w:hAnsiTheme="minorBidi" w:hint="cs"/>
          <w:sz w:val="16"/>
          <w:szCs w:val="16"/>
          <w:rtl/>
        </w:rPr>
        <w:t>ר"פ</w:t>
      </w:r>
      <w:r w:rsidRPr="00085E47">
        <w:rPr>
          <w:rFonts w:asciiTheme="minorBidi" w:hAnsiTheme="minorBidi"/>
          <w:sz w:val="16"/>
          <w:szCs w:val="16"/>
          <w:rtl/>
        </w:rPr>
        <w:t xml:space="preserve"> בשם הגאונים כ' הב"י דנראה מדבריו דמר אמר חדא ומר אמר חדא ולא פליגי ולפי זה צ"ל שהוא סובר דעל כרחך-]</w:t>
      </w:r>
      <w:r w:rsidRPr="00085E47">
        <w:rPr>
          <w:rFonts w:asciiTheme="minorBidi" w:hAnsiTheme="minorBidi"/>
          <w:rtl/>
        </w:rPr>
        <w:t xml:space="preserve"> לא שרי הרשב"א אלא בשבשל בה ירקות וכיוצא בהם אבל בבשל בה חלב לא, דאע"ג דכל שאינה בת יומא או שיש בחלב </w:t>
      </w:r>
      <w:r>
        <w:rPr>
          <w:rFonts w:asciiTheme="minorBidi" w:hAnsiTheme="minorBidi" w:hint="cs"/>
          <w:rtl/>
        </w:rPr>
        <w:t>ס'</w:t>
      </w:r>
      <w:r w:rsidRPr="00085E47">
        <w:rPr>
          <w:rFonts w:asciiTheme="minorBidi" w:hAnsiTheme="minorBidi"/>
          <w:rtl/>
        </w:rPr>
        <w:t xml:space="preserve"> כיון דחלב שרי ה"ל כבשל בה ירקות מ"מ כיון דחלב הוא אסור בבשר אינו בדין שיהא הוא הגורם היתר לקדרת בשר לבשל בה חלב </w:t>
      </w:r>
      <w:r w:rsidRPr="00085E47">
        <w:rPr>
          <w:rFonts w:asciiTheme="minorBidi" w:hAnsiTheme="minorBidi"/>
          <w:sz w:val="16"/>
          <w:szCs w:val="16"/>
          <w:rtl/>
        </w:rPr>
        <w:t>{</w:t>
      </w:r>
      <w:r>
        <w:rPr>
          <w:rFonts w:asciiTheme="minorBidi" w:hAnsiTheme="minorBidi" w:hint="cs"/>
          <w:sz w:val="16"/>
          <w:szCs w:val="16"/>
          <w:rtl/>
        </w:rPr>
        <w:t>ו</w:t>
      </w:r>
      <w:r w:rsidRPr="00085E47">
        <w:rPr>
          <w:rFonts w:asciiTheme="minorBidi" w:hAnsiTheme="minorBidi"/>
          <w:sz w:val="16"/>
          <w:szCs w:val="16"/>
          <w:rtl/>
        </w:rPr>
        <w:t>יישוב זה עיקר</w:t>
      </w:r>
      <w:r>
        <w:rPr>
          <w:rFonts w:asciiTheme="minorBidi" w:hAnsiTheme="minorBidi" w:hint="cs"/>
          <w:sz w:val="16"/>
          <w:szCs w:val="16"/>
          <w:rtl/>
        </w:rPr>
        <w:t>,</w:t>
      </w:r>
      <w:r w:rsidRPr="00445C00">
        <w:rPr>
          <w:rFonts w:asciiTheme="minorBidi" w:hAnsiTheme="minorBidi"/>
          <w:sz w:val="16"/>
          <w:szCs w:val="16"/>
          <w:rtl/>
        </w:rPr>
        <w:t xml:space="preserve"> </w:t>
      </w:r>
      <w:r w:rsidRPr="00085E47">
        <w:rPr>
          <w:rFonts w:asciiTheme="minorBidi" w:hAnsiTheme="minorBidi"/>
          <w:sz w:val="16"/>
          <w:szCs w:val="16"/>
          <w:rtl/>
        </w:rPr>
        <w:t xml:space="preserve">דרכ"מ </w:t>
      </w:r>
      <w:r w:rsidRPr="00085E47">
        <w:rPr>
          <w:rFonts w:asciiTheme="minorBidi" w:hAnsiTheme="minorBidi"/>
          <w:sz w:val="14"/>
          <w:szCs w:val="14"/>
          <w:rtl/>
        </w:rPr>
        <w:t>[אות ד]</w:t>
      </w:r>
      <w:r w:rsidRPr="00085E47">
        <w:rPr>
          <w:rFonts w:asciiTheme="minorBidi" w:hAnsiTheme="minorBidi"/>
          <w:sz w:val="16"/>
          <w:szCs w:val="16"/>
          <w:rtl/>
        </w:rPr>
        <w:t>}</w:t>
      </w:r>
      <w:r w:rsidRPr="00085E47">
        <w:rPr>
          <w:rFonts w:asciiTheme="minorBidi" w:hAnsiTheme="minorBidi"/>
          <w:rtl/>
        </w:rPr>
        <w:t>, א"נ דדוקא במים הוא דקאמר הרשב"א שיש בהם כח להקליש ולהחליש בלע האיסור אבל חלב אין בו כח להקליש כ"כ בלע האיסור.</w:t>
      </w:r>
    </w:p>
    <w:p w14:paraId="32383D4E" w14:textId="77777777" w:rsidR="004C5A3C" w:rsidRPr="00085E47" w:rsidRDefault="004C5A3C" w:rsidP="0032102C">
      <w:pPr>
        <w:pStyle w:val="a5"/>
        <w:numPr>
          <w:ilvl w:val="0"/>
          <w:numId w:val="119"/>
        </w:numPr>
        <w:rPr>
          <w:rFonts w:asciiTheme="minorBidi" w:hAnsiTheme="minorBidi"/>
          <w:rtl/>
        </w:rPr>
      </w:pPr>
      <w:r w:rsidRPr="00085E47">
        <w:rPr>
          <w:rFonts w:asciiTheme="minorBidi" w:hAnsiTheme="minorBidi"/>
          <w:rtl/>
        </w:rPr>
        <w:t xml:space="preserve">ט"ז </w:t>
      </w:r>
      <w:r w:rsidRPr="00085E47">
        <w:rPr>
          <w:rFonts w:asciiTheme="minorBidi" w:hAnsiTheme="minorBidi"/>
          <w:sz w:val="16"/>
          <w:szCs w:val="16"/>
          <w:rtl/>
        </w:rPr>
        <w:t>(סק"ב)</w:t>
      </w:r>
      <w:r w:rsidRPr="00085E47">
        <w:rPr>
          <w:rFonts w:asciiTheme="minorBidi" w:hAnsiTheme="minorBidi"/>
          <w:rtl/>
        </w:rPr>
        <w:t xml:space="preserve">- כאן מיירי שבישל הירקות בקדירה ממש כשיעור שבישלו בו בשר </w:t>
      </w:r>
      <w:r w:rsidRPr="00085E47">
        <w:rPr>
          <w:rFonts w:asciiTheme="minorBidi" w:hAnsiTheme="minorBidi"/>
          <w:sz w:val="16"/>
          <w:szCs w:val="16"/>
          <w:rtl/>
        </w:rPr>
        <w:t>(וראיה</w:t>
      </w:r>
      <w:r>
        <w:rPr>
          <w:rFonts w:asciiTheme="minorBidi" w:hAnsiTheme="minorBidi" w:hint="cs"/>
          <w:sz w:val="16"/>
          <w:szCs w:val="16"/>
          <w:rtl/>
        </w:rPr>
        <w:t>,</w:t>
      </w:r>
      <w:r w:rsidRPr="00085E47">
        <w:rPr>
          <w:rFonts w:asciiTheme="minorBidi" w:hAnsiTheme="minorBidi"/>
          <w:sz w:val="16"/>
          <w:szCs w:val="16"/>
          <w:rtl/>
        </w:rPr>
        <w:t xml:space="preserve"> שלמדו ממ"ש גבי חטאות דכל יום נעשה גיעול לחבירו ומסתמא בכל יום היו מבשלין חטאות בשוה)</w:t>
      </w:r>
      <w:r w:rsidRPr="00085E47">
        <w:rPr>
          <w:rFonts w:asciiTheme="minorBidi" w:hAnsiTheme="minorBidi"/>
          <w:rtl/>
        </w:rPr>
        <w:t xml:space="preserve"> ומ"ה הוה כהגעלה ממש משא"כ בשאר מקומות שאירע מעשה שבישל מים ולא נתכוין שיהיה ממש כשיעור שבישל בשר וזה לא עדיף כהגעלה.</w:t>
      </w:r>
    </w:p>
  </w:footnote>
  <w:footnote w:id="1513">
    <w:p w14:paraId="3294A2EB"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משמע דלית להו הא דהרשב"א</w:t>
      </w:r>
      <w:r>
        <w:rPr>
          <w:rFonts w:asciiTheme="minorBidi" w:hAnsiTheme="minorBidi" w:hint="cs"/>
          <w:rtl/>
        </w:rPr>
        <w:t xml:space="preserve">... </w:t>
      </w:r>
      <w:r w:rsidRPr="00085E47">
        <w:rPr>
          <w:rFonts w:asciiTheme="minorBidi" w:hAnsiTheme="minorBidi"/>
          <w:rtl/>
        </w:rPr>
        <w:t>וכן נראה עוד ממ"ש רבינו בסי' שאחר זה</w:t>
      </w:r>
      <w:r w:rsidRPr="00085E47">
        <w:rPr>
          <w:rFonts w:asciiTheme="minorBidi" w:hAnsiTheme="minorBidi"/>
          <w:sz w:val="16"/>
          <w:szCs w:val="16"/>
          <w:rtl/>
        </w:rPr>
        <w:t xml:space="preserve"> (קמט:)</w:t>
      </w:r>
      <w:r w:rsidRPr="00085E47">
        <w:rPr>
          <w:rFonts w:asciiTheme="minorBidi" w:hAnsiTheme="minorBidi"/>
          <w:rtl/>
        </w:rPr>
        <w:t xml:space="preserve"> בשם סה"ת דאע"ג דבשאר איסורין קדרה של איסור ששהתה מע</w:t>
      </w:r>
      <w:r>
        <w:rPr>
          <w:rFonts w:asciiTheme="minorBidi" w:hAnsiTheme="minorBidi" w:hint="cs"/>
          <w:rtl/>
        </w:rPr>
        <w:t>"</w:t>
      </w:r>
      <w:r w:rsidRPr="00085E47">
        <w:rPr>
          <w:rFonts w:asciiTheme="minorBidi" w:hAnsiTheme="minorBidi"/>
          <w:rtl/>
        </w:rPr>
        <w:t>ל וכו' בבשר בחלב אינו כן וכו' חלב מותר אע"ג שהוא בתוך מע</w:t>
      </w:r>
      <w:r>
        <w:rPr>
          <w:rFonts w:asciiTheme="minorBidi" w:hAnsiTheme="minorBidi" w:hint="cs"/>
          <w:rtl/>
        </w:rPr>
        <w:t>"</w:t>
      </w:r>
      <w:r w:rsidRPr="00085E47">
        <w:rPr>
          <w:rFonts w:asciiTheme="minorBidi" w:hAnsiTheme="minorBidi"/>
          <w:rtl/>
        </w:rPr>
        <w:t>ל לחימום המים, משמע דלית ליה דהרשב"א דא"כ דעדיפא מינה ה</w:t>
      </w:r>
      <w:r>
        <w:rPr>
          <w:rFonts w:asciiTheme="minorBidi" w:hAnsiTheme="minorBidi" w:hint="cs"/>
          <w:rtl/>
        </w:rPr>
        <w:t>"</w:t>
      </w:r>
      <w:r w:rsidRPr="00085E47">
        <w:rPr>
          <w:rFonts w:asciiTheme="minorBidi" w:hAnsiTheme="minorBidi"/>
          <w:rtl/>
        </w:rPr>
        <w:t>ל לאשמועינן דמותר לבשל בה חלב לכתחלה אחר שהורתחו בה המים, וכן למה שאכתוב בסימן שאחר זה</w:t>
      </w:r>
      <w:r w:rsidRPr="00085E47">
        <w:rPr>
          <w:rFonts w:asciiTheme="minorBidi" w:hAnsiTheme="minorBidi"/>
          <w:sz w:val="16"/>
          <w:szCs w:val="16"/>
          <w:rtl/>
        </w:rPr>
        <w:t xml:space="preserve"> (קמט. ד"ה וכתב עוד בסמ"ק) </w:t>
      </w:r>
      <w:r w:rsidRPr="00085E47">
        <w:rPr>
          <w:rFonts w:asciiTheme="minorBidi" w:hAnsiTheme="minorBidi"/>
          <w:rtl/>
        </w:rPr>
        <w:t>בשם סמ"ק גבי תחיבת כף לית ליה דהרשב"א כלל, אם לא ע"פ טעם ראשון שכתבתי לדברי רי"ו, ב"י. ונ</w:t>
      </w:r>
      <w:r>
        <w:rPr>
          <w:rFonts w:asciiTheme="minorBidi" w:hAnsiTheme="minorBidi" w:hint="cs"/>
          <w:rtl/>
        </w:rPr>
        <w:t>"ל</w:t>
      </w:r>
      <w:r w:rsidRPr="00085E47">
        <w:rPr>
          <w:rFonts w:asciiTheme="minorBidi" w:hAnsiTheme="minorBidi"/>
          <w:rtl/>
        </w:rPr>
        <w:t xml:space="preserve"> שדחה הב"י את דברי הרשב"א מההלכה</w:t>
      </w:r>
      <w:r>
        <w:rPr>
          <w:rFonts w:asciiTheme="minorBidi" w:hAnsiTheme="minorBidi" w:hint="cs"/>
          <w:rtl/>
        </w:rPr>
        <w:t>.</w:t>
      </w:r>
      <w:r w:rsidRPr="00085E47">
        <w:rPr>
          <w:rFonts w:asciiTheme="minorBidi" w:hAnsiTheme="minorBidi"/>
          <w:rtl/>
        </w:rPr>
        <w:t xml:space="preserve"> וגם הש"ך </w:t>
      </w:r>
      <w:r w:rsidRPr="00850AF0">
        <w:rPr>
          <w:rFonts w:asciiTheme="minorBidi" w:hAnsiTheme="minorBidi"/>
          <w:sz w:val="16"/>
          <w:szCs w:val="16"/>
          <w:rtl/>
        </w:rPr>
        <w:t xml:space="preserve">(נה"כ אות ב) </w:t>
      </w:r>
      <w:r w:rsidRPr="00085E47">
        <w:rPr>
          <w:rFonts w:asciiTheme="minorBidi" w:hAnsiTheme="minorBidi"/>
          <w:rtl/>
        </w:rPr>
        <w:t>הבין כ</w:t>
      </w:r>
      <w:r>
        <w:rPr>
          <w:rFonts w:asciiTheme="minorBidi" w:hAnsiTheme="minorBidi" w:hint="cs"/>
          <w:rtl/>
        </w:rPr>
        <w:t>ך ב</w:t>
      </w:r>
      <w:r w:rsidRPr="00085E47">
        <w:rPr>
          <w:rFonts w:asciiTheme="minorBidi" w:hAnsiTheme="minorBidi"/>
          <w:rtl/>
        </w:rPr>
        <w:t>דברי</w:t>
      </w:r>
      <w:r>
        <w:rPr>
          <w:rFonts w:asciiTheme="minorBidi" w:hAnsiTheme="minorBidi" w:hint="cs"/>
          <w:rtl/>
        </w:rPr>
        <w:t xml:space="preserve"> הב"י.</w:t>
      </w:r>
      <w:r w:rsidRPr="00085E47">
        <w:rPr>
          <w:rFonts w:asciiTheme="minorBidi" w:hAnsiTheme="minorBidi"/>
          <w:rtl/>
        </w:rPr>
        <w:t xml:space="preserve"> וגם מהרש"ל דחה את דברי הרשב"א מההלכה. אך הדרכ"מ </w:t>
      </w:r>
      <w:r w:rsidRPr="00085E47">
        <w:rPr>
          <w:rFonts w:asciiTheme="minorBidi" w:hAnsiTheme="minorBidi"/>
          <w:sz w:val="16"/>
          <w:szCs w:val="16"/>
          <w:rtl/>
        </w:rPr>
        <w:t xml:space="preserve">(אות ה) </w:t>
      </w:r>
      <w:r w:rsidRPr="00085E47">
        <w:rPr>
          <w:rFonts w:asciiTheme="minorBidi" w:hAnsiTheme="minorBidi"/>
          <w:rtl/>
        </w:rPr>
        <w:t xml:space="preserve">כ' וז"ל- ונ"ל דאפשר דמ"מ בעיקר דינא דלא פליגי, על כן לא הביא הטור רק דברי הרשב"א דמשמע דס"ל הכי. וגם הש"ך </w:t>
      </w:r>
      <w:r w:rsidRPr="00085E47">
        <w:rPr>
          <w:rFonts w:asciiTheme="minorBidi" w:hAnsiTheme="minorBidi"/>
          <w:sz w:val="16"/>
          <w:szCs w:val="16"/>
          <w:rtl/>
        </w:rPr>
        <w:t>(נה"כ אות ב, ובארוך מש"ך סי' צד ד"ה בב"י וכתב)</w:t>
      </w:r>
      <w:r w:rsidRPr="00085E47">
        <w:rPr>
          <w:rFonts w:asciiTheme="minorBidi" w:hAnsiTheme="minorBidi"/>
          <w:rtl/>
        </w:rPr>
        <w:t xml:space="preserve"> קבע את דברי הרשב"א להלכה והוכיח שכן דעת התוס' והרא"ש ושאין דבריהם שם חלוקים על דברי הרשב"א, וכ' שכן דעת כל הפוסקים </w:t>
      </w:r>
      <w:r w:rsidRPr="00085E47">
        <w:rPr>
          <w:rFonts w:asciiTheme="minorBidi" w:hAnsiTheme="minorBidi"/>
          <w:sz w:val="16"/>
          <w:szCs w:val="16"/>
          <w:rtl/>
        </w:rPr>
        <w:t>(סמ"ג רמב"ם סה"ת ראב"ד כל בו הר"ר משולם יראים הגה"מ ראבי"ה סמ"ק וכו')</w:t>
      </w:r>
      <w:r w:rsidRPr="00085E47">
        <w:rPr>
          <w:rFonts w:asciiTheme="minorBidi" w:hAnsiTheme="minorBidi"/>
          <w:rtl/>
        </w:rPr>
        <w:t xml:space="preserve"> והוכיח כן </w:t>
      </w:r>
      <w:r>
        <w:rPr>
          <w:rFonts w:asciiTheme="minorBidi" w:hAnsiTheme="minorBidi" w:hint="cs"/>
          <w:rtl/>
        </w:rPr>
        <w:t>מהל'</w:t>
      </w:r>
      <w:r w:rsidRPr="00085E47">
        <w:rPr>
          <w:rFonts w:asciiTheme="minorBidi" w:hAnsiTheme="minorBidi"/>
          <w:rtl/>
        </w:rPr>
        <w:t xml:space="preserve"> חמץ דהיכא דהיתירא בלע אע"ג שהוא כלי שתשמישו ע"י האור סגי ליה בהגעלה ע"ש.</w:t>
      </w:r>
    </w:p>
  </w:footnote>
  <w:footnote w:id="1514">
    <w:p w14:paraId="0B3AD316"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כוסות של חרס ואין מכניסן לקיום אלא שותין בהם, רש"י</w:t>
      </w:r>
      <w:r w:rsidRPr="00085E47">
        <w:rPr>
          <w:rFonts w:asciiTheme="minorBidi" w:hAnsiTheme="minorBidi"/>
          <w:rtl/>
        </w:rPr>
        <w:tab/>
        <w:t>.</w:t>
      </w:r>
    </w:p>
  </w:footnote>
  <w:footnote w:id="1515">
    <w:p w14:paraId="6AC0B1E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ההגשע"ד כתב בסוף דבריו שמקור הדברים הם מהמרדכי</w:t>
      </w:r>
      <w:r w:rsidRPr="00085E47">
        <w:rPr>
          <w:rFonts w:asciiTheme="minorBidi" w:hAnsiTheme="minorBidi"/>
          <w:sz w:val="16"/>
          <w:szCs w:val="16"/>
          <w:rtl/>
        </w:rPr>
        <w:t xml:space="preserve"> (פרק אין מעמידין סי' תתכב)</w:t>
      </w:r>
      <w:r w:rsidRPr="00085E47">
        <w:rPr>
          <w:rFonts w:asciiTheme="minorBidi" w:hAnsiTheme="minorBidi"/>
          <w:rtl/>
        </w:rPr>
        <w:t xml:space="preserve">, אך במרדכי שלפני אין את דברי ר"י הלבן אלא רק את פירוש רש"י לסוגייא שם ואת ר"ת שחולק. </w:t>
      </w:r>
    </w:p>
  </w:footnote>
  <w:footnote w:id="1516">
    <w:p w14:paraId="7D76E77A" w14:textId="77777777" w:rsidR="004C5A3C" w:rsidRPr="00085E47" w:rsidRDefault="004C5A3C" w:rsidP="002C39F4">
      <w:pPr>
        <w:pStyle w:val="a5"/>
        <w:rPr>
          <w:rFonts w:asciiTheme="minorBidi" w:hAnsiTheme="minorBidi"/>
          <w:u w:val="single"/>
          <w:rtl/>
        </w:rPr>
      </w:pPr>
      <w:r w:rsidRPr="00085E47">
        <w:rPr>
          <w:rStyle w:val="a7"/>
          <w:rFonts w:asciiTheme="minorBidi" w:hAnsiTheme="minorBidi"/>
        </w:rPr>
        <w:footnoteRef/>
      </w:r>
      <w:r w:rsidRPr="00085E47">
        <w:rPr>
          <w:rFonts w:asciiTheme="minorBidi" w:hAnsiTheme="minorBidi"/>
          <w:rtl/>
        </w:rPr>
        <w:t xml:space="preserve"> </w:t>
      </w:r>
      <w:r w:rsidRPr="00085E47">
        <w:rPr>
          <w:rFonts w:asciiTheme="minorBidi" w:hAnsiTheme="minorBidi"/>
          <w:u w:val="single"/>
          <w:rtl/>
        </w:rPr>
        <w:t>ומה הדין אם החלב שהה בקדרה מעת לעת:</w:t>
      </w:r>
    </w:p>
    <w:p w14:paraId="559B225D" w14:textId="77777777" w:rsidR="004C5A3C" w:rsidRPr="00085E47" w:rsidRDefault="004C5A3C" w:rsidP="0032102C">
      <w:pPr>
        <w:pStyle w:val="a5"/>
        <w:numPr>
          <w:ilvl w:val="0"/>
          <w:numId w:val="121"/>
        </w:numPr>
        <w:rPr>
          <w:rFonts w:asciiTheme="minorBidi" w:hAnsiTheme="minorBidi"/>
        </w:rPr>
      </w:pPr>
      <w:r w:rsidRPr="00085E47">
        <w:rPr>
          <w:rFonts w:asciiTheme="minorBidi" w:hAnsiTheme="minorBidi"/>
          <w:rtl/>
        </w:rPr>
        <w:t xml:space="preserve">לבוש </w:t>
      </w:r>
      <w:r w:rsidRPr="00085E47">
        <w:rPr>
          <w:rFonts w:asciiTheme="minorBidi" w:hAnsiTheme="minorBidi"/>
          <w:sz w:val="16"/>
          <w:szCs w:val="16"/>
          <w:rtl/>
        </w:rPr>
        <w:t xml:space="preserve">(סע' א) </w:t>
      </w:r>
      <w:r w:rsidRPr="00085E47">
        <w:rPr>
          <w:rFonts w:asciiTheme="minorBidi" w:hAnsiTheme="minorBidi"/>
          <w:rtl/>
        </w:rPr>
        <w:t xml:space="preserve">וב"ח </w:t>
      </w:r>
      <w:r w:rsidRPr="00085E47">
        <w:rPr>
          <w:rFonts w:asciiTheme="minorBidi" w:hAnsiTheme="minorBidi"/>
          <w:sz w:val="16"/>
          <w:szCs w:val="16"/>
          <w:rtl/>
        </w:rPr>
        <w:t>(סי' קג עמ' רעד ד"ה ומ"ש ומיקריא)</w:t>
      </w:r>
      <w:r w:rsidRPr="00085E47">
        <w:rPr>
          <w:rFonts w:asciiTheme="minorBidi" w:hAnsiTheme="minorBidi"/>
          <w:rtl/>
        </w:rPr>
        <w:t>- אפילו היה שם מעל"ע אינו מבליע בכלי כיון שהוא ישן.</w:t>
      </w:r>
    </w:p>
    <w:p w14:paraId="3B822B1E" w14:textId="77777777" w:rsidR="004C5A3C" w:rsidRPr="00085E47" w:rsidRDefault="004C5A3C" w:rsidP="0032102C">
      <w:pPr>
        <w:pStyle w:val="a5"/>
        <w:numPr>
          <w:ilvl w:val="0"/>
          <w:numId w:val="121"/>
        </w:numPr>
        <w:rPr>
          <w:rFonts w:asciiTheme="minorBidi" w:hAnsiTheme="minorBidi"/>
        </w:rPr>
      </w:pPr>
      <w:r w:rsidRPr="00085E47">
        <w:rPr>
          <w:rFonts w:asciiTheme="minorBidi" w:hAnsiTheme="minorBidi"/>
          <w:rtl/>
        </w:rPr>
        <w:t xml:space="preserve">רש"ל </w:t>
      </w:r>
      <w:r w:rsidRPr="00085E47">
        <w:rPr>
          <w:rFonts w:asciiTheme="minorBidi" w:hAnsiTheme="minorBidi"/>
          <w:sz w:val="16"/>
          <w:szCs w:val="16"/>
          <w:rtl/>
        </w:rPr>
        <w:t xml:space="preserve">(בהגה' לשע"ד סי' פה סקי"ב) </w:t>
      </w:r>
      <w:r w:rsidRPr="00085E47">
        <w:rPr>
          <w:rFonts w:asciiTheme="minorBidi" w:hAnsiTheme="minorBidi"/>
          <w:rtl/>
        </w:rPr>
        <w:t xml:space="preserve">ט"ז </w:t>
      </w:r>
      <w:r w:rsidRPr="00085E47">
        <w:rPr>
          <w:rFonts w:asciiTheme="minorBidi" w:hAnsiTheme="minorBidi"/>
          <w:sz w:val="16"/>
          <w:szCs w:val="16"/>
          <w:rtl/>
        </w:rPr>
        <w:t xml:space="preserve">(סק"ב) </w:t>
      </w:r>
      <w:r w:rsidRPr="00085E47">
        <w:rPr>
          <w:rFonts w:asciiTheme="minorBidi" w:hAnsiTheme="minorBidi"/>
          <w:rtl/>
        </w:rPr>
        <w:t xml:space="preserve">וש"ך </w:t>
      </w:r>
      <w:r w:rsidRPr="00085E47">
        <w:rPr>
          <w:rFonts w:asciiTheme="minorBidi" w:hAnsiTheme="minorBidi"/>
          <w:sz w:val="16"/>
          <w:szCs w:val="16"/>
          <w:rtl/>
        </w:rPr>
        <w:t>(נה"כ אות ג)</w:t>
      </w:r>
      <w:r w:rsidRPr="00085E47">
        <w:rPr>
          <w:rFonts w:asciiTheme="minorBidi" w:hAnsiTheme="minorBidi"/>
          <w:rtl/>
        </w:rPr>
        <w:t>- אם היה החלב מעת לעת באותו כלי ודאי הוה אמרי' שבלע שפיר החלב ואסור אח"כ הבשר כיון שכבוש כמבושל, אפי' הוא כלי ישן, דבישול פשיטא שמבליע בכלי ישן.</w:t>
      </w:r>
    </w:p>
  </w:footnote>
  <w:footnote w:id="1517">
    <w:p w14:paraId="0BBCF5D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רש"ל </w:t>
      </w:r>
      <w:r w:rsidRPr="00085E47">
        <w:rPr>
          <w:rFonts w:asciiTheme="minorBidi" w:hAnsiTheme="minorBidi"/>
          <w:sz w:val="16"/>
          <w:szCs w:val="16"/>
          <w:rtl/>
        </w:rPr>
        <w:t>(באו"ש סי' פה סקי"ב)</w:t>
      </w:r>
      <w:r w:rsidRPr="00085E47">
        <w:rPr>
          <w:rFonts w:asciiTheme="minorBidi" w:hAnsiTheme="minorBidi"/>
          <w:rtl/>
        </w:rPr>
        <w:t xml:space="preserve"> ומ"מ בחצי מעת לעת שפיר קרי בליעה אם היו חדשות</w:t>
      </w:r>
      <w:r>
        <w:rPr>
          <w:rFonts w:asciiTheme="minorBidi" w:hAnsiTheme="minorBidi" w:hint="cs"/>
          <w:rtl/>
        </w:rPr>
        <w:t xml:space="preserve"> </w:t>
      </w:r>
      <w:r w:rsidRPr="00085E47">
        <w:rPr>
          <w:rFonts w:asciiTheme="minorBidi" w:hAnsiTheme="minorBidi"/>
          <w:rtl/>
        </w:rPr>
        <w:t xml:space="preserve">אע"ג דבפחות מעל"ע לא קרי כבוש. וכ' הש"ך </w:t>
      </w:r>
      <w:r w:rsidRPr="00085E47">
        <w:rPr>
          <w:rFonts w:asciiTheme="minorBidi" w:hAnsiTheme="minorBidi"/>
          <w:sz w:val="16"/>
          <w:szCs w:val="16"/>
          <w:rtl/>
        </w:rPr>
        <w:t>(נה"כ אות ג)</w:t>
      </w:r>
      <w:r w:rsidRPr="00085E47">
        <w:rPr>
          <w:rFonts w:asciiTheme="minorBidi" w:hAnsiTheme="minorBidi"/>
          <w:rtl/>
        </w:rPr>
        <w:t xml:space="preserve"> דמ"מ אין דעת רש"ל כן אלא שפירש כך את דעת ר"י הלבן שסובר כדעת רש"י</w:t>
      </w:r>
      <w:r>
        <w:rPr>
          <w:rFonts w:asciiTheme="minorBidi" w:hAnsiTheme="minorBidi" w:hint="cs"/>
          <w:rtl/>
        </w:rPr>
        <w:t>.</w:t>
      </w:r>
      <w:r w:rsidRPr="00085E47">
        <w:rPr>
          <w:rFonts w:asciiTheme="minorBidi" w:hAnsiTheme="minorBidi"/>
          <w:rtl/>
        </w:rPr>
        <w:t xml:space="preserve"> </w:t>
      </w:r>
    </w:p>
  </w:footnote>
  <w:footnote w:id="1518">
    <w:p w14:paraId="6B310290" w14:textId="77777777" w:rsidR="004C5A3C" w:rsidRDefault="004C5A3C" w:rsidP="002C39F4">
      <w:pPr>
        <w:pStyle w:val="a5"/>
        <w:rPr>
          <w:rtl/>
        </w:rPr>
      </w:pPr>
      <w:r>
        <w:rPr>
          <w:rStyle w:val="a7"/>
        </w:rPr>
        <w:footnoteRef/>
      </w:r>
      <w:r>
        <w:rPr>
          <w:rtl/>
        </w:rPr>
        <w:t xml:space="preserve"> </w:t>
      </w:r>
      <w:r w:rsidRPr="00085E47">
        <w:rPr>
          <w:rFonts w:asciiTheme="minorBidi" w:hAnsiTheme="minorBidi"/>
          <w:rtl/>
        </w:rPr>
        <w:t>ולא נהיגינן כר"י הלבן</w:t>
      </w:r>
      <w:r>
        <w:rPr>
          <w:rFonts w:asciiTheme="minorBidi" w:hAnsiTheme="minorBidi" w:hint="cs"/>
          <w:rtl/>
        </w:rPr>
        <w:t>,</w:t>
      </w:r>
      <w:r w:rsidRPr="00120965">
        <w:rPr>
          <w:rFonts w:asciiTheme="minorBidi" w:hAnsiTheme="minorBidi"/>
          <w:rtl/>
        </w:rPr>
        <w:t xml:space="preserve"> </w:t>
      </w:r>
      <w:r w:rsidRPr="00085E47">
        <w:rPr>
          <w:rFonts w:asciiTheme="minorBidi" w:hAnsiTheme="minorBidi"/>
          <w:rtl/>
        </w:rPr>
        <w:t xml:space="preserve">דרכ"מ </w:t>
      </w:r>
      <w:r w:rsidRPr="00120965">
        <w:rPr>
          <w:rFonts w:asciiTheme="minorBidi" w:hAnsiTheme="minorBidi"/>
          <w:sz w:val="16"/>
          <w:szCs w:val="16"/>
          <w:rtl/>
        </w:rPr>
        <w:t>(אות א)</w:t>
      </w:r>
      <w:r w:rsidRPr="00085E47">
        <w:rPr>
          <w:rFonts w:asciiTheme="minorBidi" w:hAnsiTheme="minorBidi"/>
          <w:rtl/>
        </w:rPr>
        <w:t>.</w:t>
      </w:r>
      <w:r>
        <w:rPr>
          <w:rFonts w:asciiTheme="minorBidi" w:hAnsiTheme="minorBidi" w:hint="cs"/>
          <w:rtl/>
        </w:rPr>
        <w:t xml:space="preserve"> וכ"כ </w:t>
      </w:r>
      <w:r w:rsidRPr="00085E47">
        <w:rPr>
          <w:rFonts w:asciiTheme="minorBidi" w:hAnsiTheme="minorBidi"/>
          <w:rtl/>
        </w:rPr>
        <w:t xml:space="preserve">הש"ך </w:t>
      </w:r>
      <w:r w:rsidRPr="00085E47">
        <w:rPr>
          <w:rFonts w:asciiTheme="minorBidi" w:hAnsiTheme="minorBidi"/>
          <w:sz w:val="16"/>
          <w:szCs w:val="16"/>
          <w:rtl/>
        </w:rPr>
        <w:t>(נה"כ אות ג)</w:t>
      </w:r>
      <w:r w:rsidRPr="00085E47">
        <w:rPr>
          <w:rFonts w:asciiTheme="minorBidi" w:hAnsiTheme="minorBidi"/>
          <w:rtl/>
        </w:rPr>
        <w:t xml:space="preserve"> דלא קיי"ל הכי </w:t>
      </w:r>
      <w:r w:rsidRPr="00120965">
        <w:rPr>
          <w:rFonts w:asciiTheme="minorBidi" w:hAnsiTheme="minorBidi" w:hint="cs"/>
          <w:sz w:val="16"/>
          <w:szCs w:val="16"/>
          <w:rtl/>
        </w:rPr>
        <w:t>(</w:t>
      </w:r>
      <w:r w:rsidRPr="00120965">
        <w:rPr>
          <w:rFonts w:asciiTheme="minorBidi" w:hAnsiTheme="minorBidi"/>
          <w:sz w:val="16"/>
          <w:szCs w:val="16"/>
          <w:rtl/>
        </w:rPr>
        <w:t>דכבר הקשו התוס' והפוסקים על דברי רש"י כ</w:t>
      </w:r>
      <w:r>
        <w:rPr>
          <w:rFonts w:asciiTheme="minorBidi" w:hAnsiTheme="minorBidi" w:hint="cs"/>
          <w:sz w:val="16"/>
          <w:szCs w:val="16"/>
          <w:rtl/>
        </w:rPr>
        <w:t>מ</w:t>
      </w:r>
      <w:r w:rsidRPr="00120965">
        <w:rPr>
          <w:rFonts w:asciiTheme="minorBidi" w:hAnsiTheme="minorBidi"/>
          <w:sz w:val="16"/>
          <w:szCs w:val="16"/>
          <w:rtl/>
        </w:rPr>
        <w:t>ב</w:t>
      </w:r>
      <w:r>
        <w:rPr>
          <w:rFonts w:asciiTheme="minorBidi" w:hAnsiTheme="minorBidi" w:hint="cs"/>
          <w:sz w:val="16"/>
          <w:szCs w:val="16"/>
          <w:rtl/>
        </w:rPr>
        <w:t>ו</w:t>
      </w:r>
      <w:r w:rsidRPr="00120965">
        <w:rPr>
          <w:rFonts w:asciiTheme="minorBidi" w:hAnsiTheme="minorBidi"/>
          <w:sz w:val="16"/>
          <w:szCs w:val="16"/>
          <w:rtl/>
        </w:rPr>
        <w:t>אר בסי' קלה</w:t>
      </w:r>
      <w:r>
        <w:rPr>
          <w:rFonts w:asciiTheme="minorBidi" w:hAnsiTheme="minorBidi" w:hint="cs"/>
          <w:sz w:val="16"/>
          <w:szCs w:val="16"/>
          <w:rtl/>
        </w:rPr>
        <w:t>)</w:t>
      </w:r>
      <w:r>
        <w:rPr>
          <w:rFonts w:asciiTheme="minorBidi" w:hAnsiTheme="minorBidi" w:hint="cs"/>
          <w:rtl/>
        </w:rPr>
        <w:t>.</w:t>
      </w:r>
      <w:r w:rsidRPr="00085E47">
        <w:rPr>
          <w:rFonts w:asciiTheme="minorBidi" w:hAnsiTheme="minorBidi"/>
          <w:rtl/>
        </w:rPr>
        <w:t xml:space="preserve"> </w:t>
      </w:r>
    </w:p>
  </w:footnote>
  <w:footnote w:id="1519">
    <w:p w14:paraId="523C4200"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וכתב שכן הסכימו הפוסקים ודקדקו מכמה דוכתי ע"כ, ומיהו להרשב"א שסובר דאפילו כלי שני אינו מבשל מ"מ מבליע ומפליט הוא, וכמ"ש בסי' קה (קסד:), משמע דצריך הגעלה, ב"י.</w:t>
      </w:r>
    </w:p>
  </w:footnote>
  <w:footnote w:id="1520">
    <w:p w14:paraId="6CBCE538"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הדרכ"מ </w:t>
      </w:r>
      <w:r w:rsidRPr="00085E47">
        <w:rPr>
          <w:rFonts w:asciiTheme="minorBidi" w:hAnsiTheme="minorBidi"/>
          <w:sz w:val="16"/>
          <w:szCs w:val="16"/>
          <w:rtl/>
        </w:rPr>
        <w:t xml:space="preserve">(אות ב) </w:t>
      </w:r>
      <w:r w:rsidRPr="00085E47">
        <w:rPr>
          <w:rFonts w:asciiTheme="minorBidi" w:hAnsiTheme="minorBidi"/>
          <w:rtl/>
        </w:rPr>
        <w:t xml:space="preserve">וז"ל- ואני ראיתי כל רבותי נוהגין כהגה"ה זו, וכן המנהג פשוט במדינתינו שאין פוסקין נותן טעם לפגם בכיסוי, ואני אומר כי דבר זה גורם הפסד ממון ישראל כי הוא דבר רגיל ושכיח והוא חומרא בלא טעם, כי מי גרעה אותה רתיחה שעולה למעלה אצל הכיסוי מן הרוטב וגוף המאכל עצמו שבתוך הקדרה ומבשל בה </w:t>
      </w:r>
      <w:r w:rsidRPr="00085E47">
        <w:rPr>
          <w:rFonts w:asciiTheme="minorBidi" w:hAnsiTheme="minorBidi"/>
          <w:sz w:val="14"/>
          <w:szCs w:val="14"/>
          <w:rtl/>
        </w:rPr>
        <w:t xml:space="preserve">{ונתן </w:t>
      </w:r>
      <w:r>
        <w:rPr>
          <w:rFonts w:asciiTheme="minorBidi" w:hAnsiTheme="minorBidi" w:hint="cs"/>
          <w:sz w:val="14"/>
          <w:szCs w:val="14"/>
          <w:rtl/>
        </w:rPr>
        <w:t xml:space="preserve">הדרכ"מ </w:t>
      </w:r>
      <w:r w:rsidRPr="00085E47">
        <w:rPr>
          <w:rFonts w:asciiTheme="minorBidi" w:hAnsiTheme="minorBidi"/>
          <w:sz w:val="14"/>
          <w:szCs w:val="14"/>
          <w:rtl/>
        </w:rPr>
        <w:t>לדבריו כמה טעמים והוכחות}</w:t>
      </w:r>
      <w:r w:rsidRPr="00085E47">
        <w:rPr>
          <w:rFonts w:asciiTheme="minorBidi" w:hAnsiTheme="minorBidi"/>
          <w:rtl/>
        </w:rPr>
        <w:t>... ותו דלא נמצא מקום לחומרא זו לא בגמ</w:t>
      </w:r>
      <w:r>
        <w:rPr>
          <w:rFonts w:asciiTheme="minorBidi" w:hAnsiTheme="minorBidi" w:hint="cs"/>
          <w:rtl/>
        </w:rPr>
        <w:t>'</w:t>
      </w:r>
      <w:r w:rsidRPr="00085E47">
        <w:rPr>
          <w:rFonts w:asciiTheme="minorBidi" w:hAnsiTheme="minorBidi"/>
          <w:rtl/>
        </w:rPr>
        <w:t xml:space="preserve"> ולא בשום פוסק ומחבר, גם בספר ב"י לא חילק בזה, ואדרבה באו"ה </w:t>
      </w:r>
      <w:r w:rsidRPr="00085E47">
        <w:rPr>
          <w:rFonts w:asciiTheme="minorBidi" w:hAnsiTheme="minorBidi"/>
          <w:sz w:val="14"/>
          <w:szCs w:val="14"/>
          <w:rtl/>
        </w:rPr>
        <w:t>(כלל לא ד</w:t>
      </w:r>
      <w:r>
        <w:rPr>
          <w:rFonts w:asciiTheme="minorBidi" w:hAnsiTheme="minorBidi" w:hint="cs"/>
          <w:sz w:val="14"/>
          <w:szCs w:val="14"/>
          <w:rtl/>
        </w:rPr>
        <w:t>"</w:t>
      </w:r>
      <w:r w:rsidRPr="00085E47">
        <w:rPr>
          <w:rFonts w:asciiTheme="minorBidi" w:hAnsiTheme="minorBidi"/>
          <w:sz w:val="14"/>
          <w:szCs w:val="14"/>
          <w:rtl/>
        </w:rPr>
        <w:t>כ)</w:t>
      </w:r>
      <w:r w:rsidRPr="00085E47">
        <w:rPr>
          <w:rFonts w:asciiTheme="minorBidi" w:hAnsiTheme="minorBidi"/>
          <w:rtl/>
        </w:rPr>
        <w:t xml:space="preserve"> כ'... בהדיא דאין לחלק בין כיסוי לקדרה, וגם על הג"ה מקובץ- לאו מר בר רב אשי חתים עליה </w:t>
      </w:r>
      <w:r w:rsidRPr="00085E47">
        <w:rPr>
          <w:rFonts w:asciiTheme="minorBidi" w:hAnsiTheme="minorBidi"/>
          <w:sz w:val="16"/>
          <w:szCs w:val="16"/>
          <w:rtl/>
        </w:rPr>
        <w:t xml:space="preserve">(יבמות כב.) </w:t>
      </w:r>
      <w:r w:rsidRPr="00085E47">
        <w:rPr>
          <w:rFonts w:asciiTheme="minorBidi" w:hAnsiTheme="minorBidi"/>
          <w:rtl/>
        </w:rPr>
        <w:t>דידעינן דיש לסמוך עליה, ולכך אומר אני דהמיקל לא הפסיד</w:t>
      </w:r>
      <w:r>
        <w:rPr>
          <w:rFonts w:asciiTheme="minorBidi" w:hAnsiTheme="minorBidi" w:hint="cs"/>
          <w:rtl/>
        </w:rPr>
        <w:t>,</w:t>
      </w:r>
      <w:r w:rsidRPr="00085E47">
        <w:rPr>
          <w:rFonts w:asciiTheme="minorBidi" w:hAnsiTheme="minorBidi"/>
          <w:rtl/>
        </w:rPr>
        <w:t xml:space="preserve"> והמחמיר בשלו תע"ב</w:t>
      </w:r>
      <w:r>
        <w:rPr>
          <w:rFonts w:asciiTheme="minorBidi" w:hAnsiTheme="minorBidi" w:hint="cs"/>
          <w:rtl/>
        </w:rPr>
        <w:t>,</w:t>
      </w:r>
      <w:r w:rsidRPr="00085E47">
        <w:rPr>
          <w:rFonts w:asciiTheme="minorBidi" w:hAnsiTheme="minorBidi"/>
          <w:rtl/>
        </w:rPr>
        <w:t xml:space="preserve"> אבל אין להחמיר בשל אחרים כלל, וכל זה אני אומר במקום שאין מנהג</w:t>
      </w:r>
      <w:r>
        <w:rPr>
          <w:rFonts w:asciiTheme="minorBidi" w:hAnsiTheme="minorBidi" w:hint="cs"/>
          <w:rtl/>
        </w:rPr>
        <w:t>,</w:t>
      </w:r>
      <w:r w:rsidRPr="00085E47">
        <w:rPr>
          <w:rFonts w:asciiTheme="minorBidi" w:hAnsiTheme="minorBidi"/>
          <w:rtl/>
        </w:rPr>
        <w:t xml:space="preserve"> אבל במקום שנהגו להחמיר אין לשנות, אבל אם יש צד בעולם להקל עם הטעם של נטל"פ אני מקיל בו כי אף שנהגו בחומרא גדולה הזאת הבו דלא לוסיף עלה, ואי איישר חילי אבטל המנהג כי מנהג טעות הוא ואין לו טעם לסמוך עליו. </w:t>
      </w:r>
      <w:r w:rsidRPr="00085E47">
        <w:rPr>
          <w:rFonts w:asciiTheme="minorBidi" w:hAnsiTheme="minorBidi"/>
          <w:color w:val="00B0F0"/>
          <w:rtl/>
        </w:rPr>
        <w:t>(וכ"פ בהג"ה)</w:t>
      </w:r>
      <w:r w:rsidRPr="00085E47">
        <w:rPr>
          <w:rFonts w:asciiTheme="minorBidi" w:hAnsiTheme="minorBidi"/>
          <w:sz w:val="16"/>
          <w:szCs w:val="16"/>
          <w:rtl/>
        </w:rPr>
        <w:t xml:space="preserve"> (וכ"כ העט"ז ט"ז [סק"ב] וש"ך [סק"ד], אמנם הב"ח נתן טעם לחומרא זו- אך הט"ז דחה דבריו, והרש"ל [סי' מז] כ' שעיקר החומרא דוקא באותן כיסויים שהן קצרים למעלה ויש בהם חלל וא"א לקנחם יפה מן הרתיחה שעולה לשם דכל שיש איסור בעין לא אמרינן ביה נותן טעם לפגם אבל בכסוי רחב שיכולה היד לשלוט שם לקנח יפה מותר כל שהוא אינו בן יומו ע"כ. וכ' ע"ז הט"ז דיש לנהוג בזה שיש לשער אם יש בתבשיל ס' נגד מקום הקצר שבכיסוי אז אין שם חשש איסור בכסוי טפי מקדירה)</w:t>
      </w:r>
    </w:p>
  </w:footnote>
  <w:footnote w:id="1521">
    <w:p w14:paraId="25B292C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הדרכ"מ (אות ב) דהביאו הב"י (סוף סי' צב) ולא השיג עליו, והנה מבואר שהג"ה זו פליגא אדברי </w:t>
      </w:r>
      <w:r>
        <w:rPr>
          <w:rFonts w:asciiTheme="minorBidi" w:hAnsiTheme="minorBidi"/>
          <w:rtl/>
        </w:rPr>
        <w:t>או"ה</w:t>
      </w:r>
      <w:r w:rsidRPr="00085E47">
        <w:rPr>
          <w:rFonts w:asciiTheme="minorBidi" w:hAnsiTheme="minorBidi"/>
          <w:rtl/>
        </w:rPr>
        <w:t xml:space="preserve"> בתרתי, </w:t>
      </w:r>
      <w:r w:rsidRPr="00085E47">
        <w:rPr>
          <w:rFonts w:asciiTheme="minorBidi" w:hAnsiTheme="minorBidi"/>
          <w:u w:val="single"/>
          <w:rtl/>
        </w:rPr>
        <w:t>חדא</w:t>
      </w:r>
      <w:r w:rsidRPr="00085E47">
        <w:rPr>
          <w:rFonts w:asciiTheme="minorBidi" w:hAnsiTheme="minorBidi"/>
          <w:rtl/>
        </w:rPr>
        <w:t xml:space="preserve">- דהיא אוסרת הקדרה אע"פ שהיא צוננת מידי דהוי אטיפה רותחת שנפלה על הכלי, ובזה נראים דברי הארוך דהרי כתב טעם הגון דלא דמי לשאר עירוי טיפה רותחת שנפלה על הכלי, ולקמן סי' קה (דרכ"מ אות ג) מבואר בשם מהר"ם כדברי </w:t>
      </w:r>
      <w:r>
        <w:rPr>
          <w:rFonts w:asciiTheme="minorBidi" w:hAnsiTheme="minorBidi"/>
          <w:rtl/>
        </w:rPr>
        <w:t>או"ה</w:t>
      </w:r>
      <w:r w:rsidRPr="00085E47">
        <w:rPr>
          <w:rFonts w:asciiTheme="minorBidi" w:hAnsiTheme="minorBidi"/>
          <w:rtl/>
        </w:rPr>
        <w:t xml:space="preserve"> </w:t>
      </w:r>
      <w:r w:rsidRPr="00085E47">
        <w:rPr>
          <w:rFonts w:asciiTheme="minorBidi" w:hAnsiTheme="minorBidi"/>
          <w:sz w:val="16"/>
          <w:szCs w:val="16"/>
          <w:rtl/>
        </w:rPr>
        <w:t>{וכ' הש"ך [סק"ו] דצ"ע במה שמתיר גם הקדרה, ומדברי מהר"מ שהביא בדרכ"מ סי' ק"ה (ובת"ח כלל נ"ה ד"ו) שכ' דלא אמרינן עירוי ככלי ראשון אלא כשנפל בקלוח אבל בטיפה שנפלה על הקתא סגי בגרידה ועל הלהב בנעיצה עכ"ל אין ראיה כלל, דגרידה ונעיצה הוי כקליפה, וכ"כ באו"ה גופי' כלל נ"ח ד"ח אדברי מהר"מ אלו דהיכא שהסכין צריך נעיצה המאכל צריך קליפה עכ"ל, ועוד דהכא עדיף מטיפה רותחת שנפלה על הכלי דהכיסוי גופה עם הלחלוחית חם נגע בקדרה, ועוד דבסי' ק"ה ד' הבאתי הרבה פוסקים דס"ל דכלי חרס בולע אפי' בכלי שני וכ"ש עירוי שנפסק הקלוח שמבליע עיין שם, מיהו כל זה כשיש לחלוחית בכסוי אבל יבשה פשיטא דלכ"ע הכל שרי, וכן דעת מהרש"ל פכ"ה סי' מ"ו מיהו מן הסתם אמרינן שיש בה לחלוחית כן כתב בד"מ וכן משמע מדבריו בהג"ה כאן}</w:t>
      </w:r>
      <w:r w:rsidRPr="00085E47">
        <w:rPr>
          <w:rFonts w:asciiTheme="minorBidi" w:hAnsiTheme="minorBidi"/>
          <w:rtl/>
        </w:rPr>
        <w:t xml:space="preserve">, </w:t>
      </w:r>
      <w:r w:rsidRPr="00085E47">
        <w:rPr>
          <w:rFonts w:asciiTheme="minorBidi" w:hAnsiTheme="minorBidi"/>
          <w:u w:val="single"/>
          <w:rtl/>
        </w:rPr>
        <w:t>השנית</w:t>
      </w:r>
      <w:r w:rsidRPr="00085E47">
        <w:rPr>
          <w:rFonts w:asciiTheme="minorBidi" w:hAnsiTheme="minorBidi"/>
          <w:rtl/>
        </w:rPr>
        <w:t xml:space="preserve">- דהג"ה זו מצריך דבעינן לידע שלא נפל מן הכיסוי לקדרה, והארוך כ' מסתמא דשרי דודאי איכא ששים נגדו, ובזה נראין דברי ההג"ה דבחם על הצונן לא שייך ששים אלא קליפה ולכן בעינן לידע שלא נפל לשם כלום, ואי לא ידעינן סגי בקליפה אי התבשיל הוא דבר יבש, ואפשר דאף קליפה לא צריך אבל לא מטעם הארוך אלא דלא מחזקינן איסור לחוש שמא נפל לשם כל כמה דלא ידעינן, ואי הוא דבר לח שאין שייך בו קליפה נתבאר לעיל סימן צ"א (דרכ"מ אות ג). </w:t>
      </w:r>
      <w:r w:rsidRPr="00085E47">
        <w:rPr>
          <w:rFonts w:asciiTheme="minorBidi" w:hAnsiTheme="minorBidi"/>
          <w:color w:val="00B0F0"/>
          <w:rtl/>
        </w:rPr>
        <w:t>(וכ"פ בהג"ה)</w:t>
      </w:r>
    </w:p>
  </w:footnote>
  <w:footnote w:id="1522">
    <w:p w14:paraId="4EB59277"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כלומר יטעימנו קפילא אם יש בו טעם</w:t>
      </w:r>
      <w:r w:rsidRPr="00085E47">
        <w:rPr>
          <w:rFonts w:asciiTheme="minorBidi" w:hAnsiTheme="minorBidi"/>
          <w:sz w:val="16"/>
          <w:szCs w:val="16"/>
          <w:rtl/>
        </w:rPr>
        <w:t xml:space="preserve"> (ואע"פ שבודאי אין במה שבקדירה ס' כנגד כל הקדרה- שאני הכא שאין בו אלא טעמו, באה"ג </w:t>
      </w:r>
      <w:r w:rsidRPr="00085E47">
        <w:rPr>
          <w:rFonts w:asciiTheme="minorBidi" w:hAnsiTheme="minorBidi"/>
          <w:sz w:val="14"/>
          <w:szCs w:val="14"/>
          <w:rtl/>
        </w:rPr>
        <w:t>[*]</w:t>
      </w:r>
      <w:r w:rsidRPr="00085E47">
        <w:rPr>
          <w:rFonts w:asciiTheme="minorBidi" w:hAnsiTheme="minorBidi"/>
          <w:sz w:val="16"/>
          <w:szCs w:val="16"/>
          <w:rtl/>
        </w:rPr>
        <w:t>)</w:t>
      </w:r>
      <w:r w:rsidRPr="00085E47">
        <w:rPr>
          <w:rFonts w:asciiTheme="minorBidi" w:hAnsiTheme="minorBidi"/>
          <w:rtl/>
        </w:rPr>
        <w:t>, וכדלעיל ר"ס צב וצח, וכ"כ ב"י, והרב אזיל לטעמי' שכ' שם דאין נוהגים לסמוך אטעימת גוי, לכך כתב וצריך לשער נגד כל הקדרה, ואע"ג דמשמע בכמה דוכתי דאין מה שבתוך הכלי ששים כנגד כל הכלי י"ל דאה"נ קאמר- שצריך לשער נגד כל הקדרה ולפיכך התבשיל אסור, א"נ משכחת לפעמים שיהא רוחב הקדרה גדול כ"כ שיחזיק מים שיהיו ששים נגדו כגון שנחושתה דק ורחבה גדול, וכמ"ש ב"י, ומ"מ הא דצריך לשער נגד כל הקדרה היינו בקדרה ישנה דלא ידעינן כמה בלע אבל אי ידעינן כמה בלע א"צ לשער אלא כנגד הבלוע בו וכדלעיל סי' צב ס"ה בהג"ה וסי' צד ס"ו וכמה דוכתי, וכן אפי' היא ישנה ולא ידעינן כמה בלע אלא דידוע כמה בשלו בה תוך מעל"ע מבישול חלב זה, דמה שבשלו בו קודם מעל"ע נותן טעם לפגם הוא, אפילו בישלו בו בשר תוך מעל"ע מבישול הבשר הראשון א"צ ששים אלא נגד הבשר השני, ש"ך (סק"א).</w:t>
      </w:r>
    </w:p>
  </w:footnote>
  <w:footnote w:id="1523">
    <w:p w14:paraId="26C0C596"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ולקמן סי' צ"ח יתבאר דאין חילוק בין קדרה של מתכת או של חרס לעולם צריך לשער נגד כל הקדרה, ש"ך (סק"ב).</w:t>
      </w:r>
    </w:p>
  </w:footnote>
  <w:footnote w:id="1524">
    <w:p w14:paraId="4C68C39D"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לפי שהיא בלוע משניהם הלכך אסור לבשל בה בשר לכתחלה אפילו אחר מעל"ע מבישול זה, כמו שאסור לבשל חלב לכתחלה בקדרה של בשר אחר מעל"ע, מיהו אם בישל בה בשר תוך מעל"ע לבישול בה חלב פשיטא דהתבשיל אסור, אבל אם בישל בה חלב פשיטא דמותר בדיעבד, אבל שאר דברים שאינן לא של בשר ולא של חלב כגון ירקות ודגים וכה"ג מותר לבשל בה אפילו לכתחלה, ולקמן סי' צד ס"ה כ' הרב דנוהגין לאסור הכלי שאינו בן יומו אפילו לשאר דברים אפי' בשנתחב בו רק כף בן יומו, א"כ כ"ש כאן דנתבשל בו בשר ממש, וצ"ל דכאן סתם הדברים לענין דינא, ועמ"ש שם בסי' צ"ד, ש"ך (סק"ג).</w:t>
      </w:r>
    </w:p>
  </w:footnote>
  <w:footnote w:id="1525">
    <w:p w14:paraId="6A2539BF" w14:textId="77777777" w:rsidR="004C5A3C" w:rsidRDefault="004C5A3C" w:rsidP="002C39F4">
      <w:pPr>
        <w:pStyle w:val="a5"/>
      </w:pPr>
      <w:r>
        <w:rPr>
          <w:rStyle w:val="a7"/>
        </w:rPr>
        <w:footnoteRef/>
      </w:r>
      <w:r>
        <w:rPr>
          <w:rtl/>
        </w:rPr>
        <w:t xml:space="preserve"> </w:t>
      </w:r>
      <w:r>
        <w:rPr>
          <w:rFonts w:cs="Arial" w:hint="cs"/>
          <w:rtl/>
        </w:rPr>
        <w:t>וכ'</w:t>
      </w:r>
      <w:r w:rsidRPr="00FE51B8">
        <w:rPr>
          <w:rFonts w:cs="Arial"/>
          <w:rtl/>
        </w:rPr>
        <w:t xml:space="preserve"> בשו"ת בא"ח</w:t>
      </w:r>
      <w:r w:rsidRPr="00FE51B8">
        <w:rPr>
          <w:rFonts w:cs="Arial"/>
          <w:sz w:val="16"/>
          <w:szCs w:val="16"/>
          <w:rtl/>
        </w:rPr>
        <w:t xml:space="preserve"> </w:t>
      </w:r>
      <w:r w:rsidRPr="00FE51B8">
        <w:rPr>
          <w:rFonts w:cs="Arial" w:hint="cs"/>
          <w:sz w:val="16"/>
          <w:szCs w:val="16"/>
          <w:rtl/>
        </w:rPr>
        <w:t>(</w:t>
      </w:r>
      <w:r w:rsidRPr="00FE51B8">
        <w:rPr>
          <w:rFonts w:cs="Arial"/>
          <w:sz w:val="16"/>
          <w:szCs w:val="16"/>
          <w:rtl/>
        </w:rPr>
        <w:t>סי' תמז סק"ב</w:t>
      </w:r>
      <w:r w:rsidRPr="00FE51B8">
        <w:rPr>
          <w:rFonts w:cs="Arial" w:hint="cs"/>
          <w:sz w:val="16"/>
          <w:szCs w:val="16"/>
          <w:rtl/>
        </w:rPr>
        <w:t>, הביאו הפת"ש סק"ג)</w:t>
      </w:r>
      <w:r w:rsidRPr="00FE51B8">
        <w:rPr>
          <w:rFonts w:cs="Arial"/>
          <w:rtl/>
        </w:rPr>
        <w:t xml:space="preserve"> בשם השבו"י </w:t>
      </w:r>
      <w:r w:rsidRPr="00FE51B8">
        <w:rPr>
          <w:rFonts w:cs="Arial" w:hint="cs"/>
          <w:sz w:val="16"/>
          <w:szCs w:val="16"/>
          <w:rtl/>
        </w:rPr>
        <w:t>(</w:t>
      </w:r>
      <w:r w:rsidRPr="00FE51B8">
        <w:rPr>
          <w:rFonts w:cs="Arial"/>
          <w:sz w:val="16"/>
          <w:szCs w:val="16"/>
          <w:rtl/>
        </w:rPr>
        <w:t xml:space="preserve">ח"א סי' כא) </w:t>
      </w:r>
      <w:r w:rsidRPr="00FE51B8">
        <w:rPr>
          <w:rFonts w:cs="Arial"/>
          <w:rtl/>
        </w:rPr>
        <w:t>דאף המחמיר בכיסוי קדרה אע</w:t>
      </w:r>
      <w:r>
        <w:rPr>
          <w:rFonts w:cs="Arial" w:hint="cs"/>
          <w:rtl/>
        </w:rPr>
        <w:t>"</w:t>
      </w:r>
      <w:r w:rsidRPr="00FE51B8">
        <w:rPr>
          <w:rFonts w:cs="Arial"/>
          <w:rtl/>
        </w:rPr>
        <w:t>פ שאינו ב"י מ"מ אחר שני חדשים יש להתיר</w:t>
      </w:r>
      <w:r>
        <w:rPr>
          <w:rFonts w:cs="Arial" w:hint="cs"/>
          <w:rtl/>
        </w:rPr>
        <w:t>,</w:t>
      </w:r>
      <w:r w:rsidRPr="00FE51B8">
        <w:rPr>
          <w:rFonts w:cs="Arial"/>
          <w:rtl/>
        </w:rPr>
        <w:t xml:space="preserve"> ולכתחלה בכל איסורים אסור להשתמש בכלים אף שלא נשתמש בהם שנים הרבה ומכ"ש בחמץ</w:t>
      </w:r>
      <w:r>
        <w:rPr>
          <w:rFonts w:cs="Arial" w:hint="cs"/>
          <w:rtl/>
        </w:rPr>
        <w:t>.</w:t>
      </w:r>
      <w:r>
        <w:rPr>
          <w:rFonts w:hint="cs"/>
          <w:rtl/>
        </w:rPr>
        <w:t xml:space="preserve"> </w:t>
      </w:r>
      <w:r w:rsidRPr="00FE51B8">
        <w:rPr>
          <w:rFonts w:cs="Arial"/>
          <w:rtl/>
        </w:rPr>
        <w:t>וכתב בספר בני חייא דאף לדברי המחמירים דוקא כיסוי מיוחד לכך אבל אם נתן קערה של חלב על קדרה של בשר מותר לדברי הכל כשאינו בן יומו ופשוט הוא</w:t>
      </w:r>
      <w:r>
        <w:rPr>
          <w:rFonts w:cs="Arial" w:hint="cs"/>
          <w:rtl/>
        </w:rPr>
        <w:t>, פת"ש (סק"ד).</w:t>
      </w:r>
    </w:p>
  </w:footnote>
  <w:footnote w:id="1526">
    <w:p w14:paraId="31253AD1"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ונראה שצריך שתהא היד סולדת בזיעה וכדלעיל סי' צ"ב ס"ח בהג"ה, ש"ך (סק"ה).</w:t>
      </w:r>
    </w:p>
  </w:footnote>
  <w:footnote w:id="1527">
    <w:p w14:paraId="7C4E2303"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היינו דידעינן שנשתמש בו בחלב רותח תוך מעת לעת, אבל אם לא נשתמש עמו רק בכלי שני לא בעינן כלום, </w:t>
      </w:r>
      <w:r>
        <w:rPr>
          <w:rFonts w:asciiTheme="minorBidi" w:hAnsiTheme="minorBidi"/>
          <w:rtl/>
        </w:rPr>
        <w:t>או"ה</w:t>
      </w:r>
      <w:r w:rsidRPr="00085E47">
        <w:rPr>
          <w:rFonts w:asciiTheme="minorBidi" w:hAnsiTheme="minorBidi"/>
          <w:rtl/>
        </w:rPr>
        <w:t xml:space="preserve"> </w:t>
      </w:r>
      <w:r w:rsidRPr="00085E47">
        <w:rPr>
          <w:rFonts w:asciiTheme="minorBidi" w:hAnsiTheme="minorBidi"/>
          <w:sz w:val="16"/>
          <w:szCs w:val="16"/>
          <w:rtl/>
        </w:rPr>
        <w:t>(כלל לז דין א)</w:t>
      </w:r>
      <w:r w:rsidRPr="00085E47">
        <w:rPr>
          <w:rFonts w:asciiTheme="minorBidi" w:hAnsiTheme="minorBidi"/>
          <w:rtl/>
        </w:rPr>
        <w:t xml:space="preserve">, הביאו הדרכ"מ (אות א) וכ' דפשוט הוא. </w:t>
      </w:r>
      <w:r w:rsidRPr="00085E47">
        <w:rPr>
          <w:rFonts w:asciiTheme="minorBidi" w:hAnsiTheme="minorBidi"/>
          <w:color w:val="00B0F0"/>
          <w:rtl/>
        </w:rPr>
        <w:t>(וכ"פ בהג"ה)</w:t>
      </w:r>
    </w:p>
  </w:footnote>
  <w:footnote w:id="1528">
    <w:p w14:paraId="5CA2280B"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סה"ת</w:t>
      </w:r>
      <w:r w:rsidRPr="00085E47">
        <w:rPr>
          <w:rFonts w:asciiTheme="minorBidi" w:hAnsiTheme="minorBidi"/>
          <w:sz w:val="16"/>
          <w:szCs w:val="16"/>
          <w:rtl/>
        </w:rPr>
        <w:t xml:space="preserve"> (סי' מט, כ"כ הב"י בשמו) </w:t>
      </w:r>
      <w:r w:rsidRPr="00085E47">
        <w:rPr>
          <w:rFonts w:asciiTheme="minorBidi" w:hAnsiTheme="minorBidi"/>
          <w:rtl/>
        </w:rPr>
        <w:t xml:space="preserve">שע"ד </w:t>
      </w:r>
      <w:r w:rsidRPr="00085E47">
        <w:rPr>
          <w:rFonts w:asciiTheme="minorBidi" w:hAnsiTheme="minorBidi"/>
          <w:sz w:val="16"/>
          <w:szCs w:val="16"/>
          <w:rtl/>
        </w:rPr>
        <w:t xml:space="preserve">(סי' פה) </w:t>
      </w:r>
      <w:r w:rsidRPr="00085E47">
        <w:rPr>
          <w:rFonts w:asciiTheme="minorBidi" w:hAnsiTheme="minorBidi"/>
          <w:rtl/>
        </w:rPr>
        <w:t xml:space="preserve">מרדכי </w:t>
      </w:r>
      <w:r w:rsidRPr="00085E47">
        <w:rPr>
          <w:rFonts w:asciiTheme="minorBidi" w:hAnsiTheme="minorBidi"/>
          <w:sz w:val="16"/>
          <w:szCs w:val="16"/>
          <w:rtl/>
        </w:rPr>
        <w:t xml:space="preserve">(חולין סי' תרעח) </w:t>
      </w:r>
      <w:r w:rsidRPr="00085E47">
        <w:rPr>
          <w:rFonts w:asciiTheme="minorBidi" w:hAnsiTheme="minorBidi"/>
          <w:rtl/>
        </w:rPr>
        <w:t xml:space="preserve">הגשע"ד </w:t>
      </w:r>
      <w:r w:rsidRPr="00085E47">
        <w:rPr>
          <w:rFonts w:asciiTheme="minorBidi" w:hAnsiTheme="minorBidi"/>
          <w:sz w:val="16"/>
          <w:szCs w:val="16"/>
          <w:rtl/>
        </w:rPr>
        <w:t xml:space="preserve">(סי' פה סק"ג) </w:t>
      </w:r>
      <w:r w:rsidRPr="00085E47">
        <w:rPr>
          <w:rFonts w:asciiTheme="minorBidi" w:hAnsiTheme="minorBidi"/>
          <w:rtl/>
        </w:rPr>
        <w:t xml:space="preserve">ואו"ה </w:t>
      </w:r>
      <w:r w:rsidRPr="00085E47">
        <w:rPr>
          <w:rFonts w:asciiTheme="minorBidi" w:hAnsiTheme="minorBidi"/>
          <w:sz w:val="16"/>
          <w:szCs w:val="16"/>
          <w:rtl/>
        </w:rPr>
        <w:t>(כלל לז דין ב)</w:t>
      </w:r>
      <w:r w:rsidRPr="00085E47">
        <w:rPr>
          <w:rFonts w:asciiTheme="minorBidi" w:hAnsiTheme="minorBidi"/>
          <w:rtl/>
        </w:rPr>
        <w:t>.</w:t>
      </w:r>
    </w:p>
  </w:footnote>
  <w:footnote w:id="1529">
    <w:p w14:paraId="53E714D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כלומר הא דבעינן לשעורי בכל מה שתחב ממנה ולא סגי לן לשעורי בטעם בשר הבלוע במה שתחב ממנה ונפלט לתוך החלב או איפכא היינו טעמא- משום דלא ידעינן כמה נפיק מינה, הילכך בעינן לשעורי בכל מה שתחב ממנה, ומיהו היכא שידוע כמה בלעה, כגון שהיתה חדשה וניער בה כזית חלב ואח"כ תחבה בקדרת בשר או איפכא[ כיון שידוע שלא היתה בלועה אלא מכזית אין צריך לשער אלא בכזית, וכבר כתב כן רבינו בסי' צ"ח (קנו.), ב"י.</w:t>
      </w:r>
    </w:p>
  </w:footnote>
  <w:footnote w:id="1530">
    <w:p w14:paraId="631897E9"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היינו דאף בשל מתכות א"צ לשער רק כמה שהכניס. ואע"פ שחם מקצתו חם כולו מ"מ לא אמרינן דהוליך בליעתו, שע"ד.</w:t>
      </w:r>
    </w:p>
  </w:footnote>
  <w:footnote w:id="1531">
    <w:p w14:paraId="4188AADF"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בסי' ריג דיני ביטול אות יד. והסמ"ק (שם אות ב) כתב את שתי הסברות.</w:t>
      </w:r>
    </w:p>
  </w:footnote>
  <w:footnote w:id="1532">
    <w:p w14:paraId="33101610"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והרמב"ן </w:t>
      </w:r>
      <w:r w:rsidRPr="00085E47">
        <w:rPr>
          <w:rFonts w:asciiTheme="minorBidi" w:hAnsiTheme="minorBidi"/>
          <w:sz w:val="16"/>
          <w:szCs w:val="16"/>
          <w:rtl/>
        </w:rPr>
        <w:t xml:space="preserve">(חולין צז: ד"ה בדידיה משערינן) </w:t>
      </w:r>
      <w:r w:rsidRPr="00085E47">
        <w:rPr>
          <w:rFonts w:asciiTheme="minorBidi" w:hAnsiTheme="minorBidi"/>
          <w:rtl/>
        </w:rPr>
        <w:t xml:space="preserve">כ' דאין נראה לו לחלק אלא בכולהו משערינן בכולו, ובסי' צח </w:t>
      </w:r>
      <w:r w:rsidRPr="00085E47">
        <w:rPr>
          <w:rFonts w:asciiTheme="minorBidi" w:hAnsiTheme="minorBidi"/>
          <w:sz w:val="16"/>
          <w:szCs w:val="16"/>
          <w:rtl/>
        </w:rPr>
        <w:t xml:space="preserve">(קנו. ד"ה ומ"ש לפיכך) </w:t>
      </w:r>
      <w:r w:rsidRPr="00085E47">
        <w:rPr>
          <w:rFonts w:asciiTheme="minorBidi" w:hAnsiTheme="minorBidi"/>
          <w:rtl/>
        </w:rPr>
        <w:t>אכתוב שהסכימו הפוסקים כדברי הרמב"ן, ומיהו היכא דלא ניער בכף אלא מעט חלב ותחבה בקדרה של בשר אין משערין אלא באותו חלב שניער ולא בכל הכף, ב"י (בבדה"ב).</w:t>
      </w:r>
    </w:p>
  </w:footnote>
  <w:footnote w:id="1533">
    <w:p w14:paraId="0B2B309E"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ואם אינו ברור לו עד כמה תחב משערינן בסתם דרך לתחוב דהיינו עד ראש הכף</w:t>
      </w:r>
      <w:r w:rsidRPr="00085E47">
        <w:rPr>
          <w:rFonts w:asciiTheme="minorBidi" w:hAnsiTheme="minorBidi"/>
          <w:sz w:val="16"/>
          <w:szCs w:val="16"/>
          <w:rtl/>
        </w:rPr>
        <w:t xml:space="preserve"> {דהיינו כמו שהוא עגול, רעק"א}</w:t>
      </w:r>
      <w:r w:rsidRPr="00085E47">
        <w:rPr>
          <w:rFonts w:asciiTheme="minorBidi" w:hAnsiTheme="minorBidi"/>
          <w:rtl/>
        </w:rPr>
        <w:t>, רש"ל</w:t>
      </w:r>
      <w:r w:rsidRPr="00085E47">
        <w:rPr>
          <w:rFonts w:asciiTheme="minorBidi" w:hAnsiTheme="minorBidi"/>
          <w:sz w:val="16"/>
          <w:szCs w:val="16"/>
          <w:rtl/>
        </w:rPr>
        <w:t xml:space="preserve"> (באו"ש ס"ס סא ופג"ה סי' מא)</w:t>
      </w:r>
      <w:r w:rsidRPr="00085E47">
        <w:rPr>
          <w:rFonts w:asciiTheme="minorBidi" w:hAnsiTheme="minorBidi"/>
          <w:rtl/>
        </w:rPr>
        <w:t>. הביאו הש"ך (סק"א).</w:t>
      </w:r>
    </w:p>
  </w:footnote>
  <w:footnote w:id="1534">
    <w:p w14:paraId="12F4D7D8"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חלב, אבל אם שמשו בו בכלי ראשון מים אינו מחשבו מעל"ע, אבל בכף של איסור אפילו שמשו בו בכלי ראשון של מים מחשבו מעל"ע כשלא היה במים ס' נגד הכף, כדלקמן סע' ו' וסי' קג (סע' ז), ש"ך (סק"ב). וכלי ראשון זה צריך שתיהיה יד סולדת בו כדי שיאסור, ואל"ה אפילו בכלי ראשון שעל האש אינו אוסר, או"ה ב"י ות"ח </w:t>
      </w:r>
      <w:r w:rsidRPr="00085E47">
        <w:rPr>
          <w:rFonts w:asciiTheme="minorBidi" w:hAnsiTheme="minorBidi"/>
          <w:sz w:val="14"/>
          <w:szCs w:val="14"/>
          <w:rtl/>
        </w:rPr>
        <w:t>(כלל נז)</w:t>
      </w:r>
      <w:r w:rsidRPr="00085E47">
        <w:rPr>
          <w:rFonts w:asciiTheme="minorBidi" w:hAnsiTheme="minorBidi"/>
          <w:rtl/>
        </w:rPr>
        <w:t>. (וכ"פ הט"ז</w:t>
      </w:r>
      <w:r w:rsidRPr="00085E47">
        <w:rPr>
          <w:rFonts w:asciiTheme="minorBidi" w:hAnsiTheme="minorBidi"/>
          <w:sz w:val="16"/>
          <w:szCs w:val="16"/>
          <w:rtl/>
        </w:rPr>
        <w:t xml:space="preserve"> [סק"א]</w:t>
      </w:r>
      <w:r w:rsidRPr="00085E47">
        <w:rPr>
          <w:rFonts w:asciiTheme="minorBidi" w:hAnsiTheme="minorBidi"/>
          <w:rtl/>
        </w:rPr>
        <w:t xml:space="preserve">). ואע"ג דרש"ל </w:t>
      </w:r>
      <w:r w:rsidRPr="00085E47">
        <w:rPr>
          <w:rFonts w:asciiTheme="minorBidi" w:hAnsiTheme="minorBidi"/>
          <w:sz w:val="16"/>
          <w:szCs w:val="16"/>
          <w:rtl/>
        </w:rPr>
        <w:t>(פכ"ה סי' עא)</w:t>
      </w:r>
      <w:r w:rsidRPr="00085E47">
        <w:rPr>
          <w:rFonts w:asciiTheme="minorBidi" w:hAnsiTheme="minorBidi"/>
          <w:rtl/>
        </w:rPr>
        <w:t xml:space="preserve"> כ' דמסתבר דכלי ראשון כל זמן שאין היד סולדת בו אין בו כח להבליע כלל אלא דמסתפינא להקל בכלי ראשון שעומד אצל האש כל שהוא חם ואפי' אין היס"ב ראוי לאסור דעשו הרחקה לכלי ראשון כדאית' בירושלמי, עכ"ל. והביא הט"ז דבריו וכ' שעיקר כהב"י. </w:t>
      </w:r>
    </w:p>
  </w:footnote>
  <w:footnote w:id="1535">
    <w:p w14:paraId="56094705"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דאע"ג דחם מקצתו חם כולו מ"מ אינו מוליך בליעתו בכולו, כ"כ הפוסקים, וע"ל סי' קכא סקי"ז, ואף דעת המחבר שסברא הראשונה עיקר וכמו שכתבתי בסי' זה סקכ"ח*, ולכן כתב סברא האחרונה בשם יש מי שאומר, וע"ל סי' צח ס"ד, ש"ך (סק"ד).</w:t>
      </w:r>
    </w:p>
  </w:footnote>
  <w:footnote w:id="1536">
    <w:p w14:paraId="3CF66495"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נראה שהטעם מפני שאם נודע בנתיים בחד זמנא ששים סגי, דבשעה שנודע כבר נתבטל האיסור בששים וכשחזר ותחב פעם שניה בששים בטל הוא באותם הששים</w:t>
      </w:r>
      <w:r>
        <w:rPr>
          <w:rFonts w:asciiTheme="minorBidi" w:hAnsiTheme="minorBidi" w:hint="cs"/>
          <w:rtl/>
        </w:rPr>
        <w:t>,</w:t>
      </w:r>
      <w:r w:rsidRPr="00085E47">
        <w:rPr>
          <w:rFonts w:asciiTheme="minorBidi" w:hAnsiTheme="minorBidi"/>
          <w:rtl/>
        </w:rPr>
        <w:t xml:space="preserve"> ואף האיסור שנפל בתחלה מצטרף עם ההיתר להעלות את האיסור שנפל שנית, וכדתנן בערלה פ"ב (מ"ב) הערלה מעלה את הכלאים והכלאים את הערלה והערלה את הערלה. והחילוק בין ידע בנפילת האיסור בנתיים ללא ידע מבואר בפ"ה דתרומות (מ"ח) סאה תרומה שנפלה למאה ולא הספיק להגביה עד שנפלה אחרת הרי זו אסורה והביא זה הרא"ש בפג"ה (סי' לז) סמוך לדין חתיכה הראויה להתכבד, ב"י.</w:t>
      </w:r>
    </w:p>
  </w:footnote>
  <w:footnote w:id="1537">
    <w:p w14:paraId="537D72D5"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תרוה"ד</w:t>
      </w:r>
      <w:r w:rsidRPr="00085E47">
        <w:rPr>
          <w:rFonts w:asciiTheme="minorBidi" w:hAnsiTheme="minorBidi"/>
          <w:sz w:val="16"/>
          <w:szCs w:val="16"/>
          <w:rtl/>
        </w:rPr>
        <w:t xml:space="preserve"> (סי' קפג, וכן בהגשע"ד סי' פה אות כ) </w:t>
      </w:r>
      <w:r w:rsidRPr="00085E47">
        <w:rPr>
          <w:rFonts w:asciiTheme="minorBidi" w:hAnsiTheme="minorBidi"/>
          <w:rtl/>
        </w:rPr>
        <w:t xml:space="preserve">מהרי"ל </w:t>
      </w:r>
      <w:r w:rsidRPr="00085E47">
        <w:rPr>
          <w:rFonts w:asciiTheme="minorBidi" w:hAnsiTheme="minorBidi"/>
          <w:sz w:val="16"/>
          <w:szCs w:val="16"/>
          <w:rtl/>
        </w:rPr>
        <w:t xml:space="preserve">(בדרשותיו בדיני בשר בחלב עמ' תקנא) </w:t>
      </w:r>
      <w:r w:rsidRPr="00085E47">
        <w:rPr>
          <w:rFonts w:asciiTheme="minorBidi" w:hAnsiTheme="minorBidi"/>
          <w:rtl/>
        </w:rPr>
        <w:t>ו</w:t>
      </w:r>
      <w:r>
        <w:rPr>
          <w:rFonts w:asciiTheme="minorBidi" w:hAnsiTheme="minorBidi"/>
          <w:rtl/>
        </w:rPr>
        <w:t>או"ה</w:t>
      </w:r>
      <w:r w:rsidRPr="00085E47">
        <w:rPr>
          <w:rFonts w:asciiTheme="minorBidi" w:hAnsiTheme="minorBidi"/>
          <w:rtl/>
        </w:rPr>
        <w:t xml:space="preserve"> </w:t>
      </w:r>
      <w:r w:rsidRPr="00085E47">
        <w:rPr>
          <w:rFonts w:asciiTheme="minorBidi" w:hAnsiTheme="minorBidi"/>
          <w:sz w:val="16"/>
          <w:szCs w:val="16"/>
          <w:rtl/>
        </w:rPr>
        <w:t>(כלל לז ד"ב)</w:t>
      </w:r>
      <w:r w:rsidRPr="00085E47">
        <w:rPr>
          <w:rFonts w:asciiTheme="minorBidi" w:hAnsiTheme="minorBidi"/>
          <w:rtl/>
        </w:rPr>
        <w:t>.</w:t>
      </w:r>
    </w:p>
  </w:footnote>
  <w:footnote w:id="1538">
    <w:p w14:paraId="0EAB32E5"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ולא חזינן לרבנן קשישי דהוו דייקי לדרוש בשואלי הוראה אם נתחב פעם אחת או שתים אלא היו משערין בסתם בששים ומתוך כך קרוב בעיני שאפילו הוו ידעי בודאי שנתחב שתי פעמים לא היו מצריכים יותר מששים ומפני שדומה לי שלא נהגו להקפיד ולהחמיר דקדקתי למצוא ראיות להיתר ליישב דעת הקדמונים, תרוה"ד</w:t>
      </w:r>
      <w:r w:rsidRPr="00085E47">
        <w:rPr>
          <w:rFonts w:asciiTheme="minorBidi" w:hAnsiTheme="minorBidi"/>
          <w:sz w:val="16"/>
          <w:szCs w:val="16"/>
          <w:rtl/>
        </w:rPr>
        <w:t xml:space="preserve"> (שם, וכעין זה העתיק בשמו ההגשע"ד שם)</w:t>
      </w:r>
      <w:r w:rsidRPr="00085E47">
        <w:rPr>
          <w:rFonts w:asciiTheme="minorBidi" w:hAnsiTheme="minorBidi"/>
          <w:rtl/>
        </w:rPr>
        <w:t xml:space="preserve">. ובהגשע"ד </w:t>
      </w:r>
      <w:r w:rsidRPr="00085E47">
        <w:rPr>
          <w:rFonts w:asciiTheme="minorBidi" w:hAnsiTheme="minorBidi"/>
          <w:sz w:val="16"/>
          <w:szCs w:val="16"/>
          <w:rtl/>
        </w:rPr>
        <w:t xml:space="preserve">(סי' פה סקט"ז) </w:t>
      </w:r>
      <w:r w:rsidRPr="00085E47">
        <w:rPr>
          <w:rFonts w:asciiTheme="minorBidi" w:hAnsiTheme="minorBidi"/>
          <w:rtl/>
        </w:rPr>
        <w:t>כתב על זה- המחמיר תבא עליו ברכה והמיקל לא הפסיד, ב"י (עמ' רכו).</w:t>
      </w:r>
    </w:p>
  </w:footnote>
  <w:footnote w:id="1539">
    <w:p w14:paraId="58CC22AD"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דאם נודע בנתיים כבר נתבטל הראשון ושוב גם בפעם הב' בטל באותן הס', ואע"ג דמשמע דעת ב"י ס"ס צ"ט דאם נפל כזית איסור לתוך ס' זיתים היתר ואח"כ חזר ונפל כזית איסור חוזר וניעור אפי' מין במינו אפילו נודע בנתיים וכמ"ש הרב שם, מ"מ הכא אין טעם כלל, דהא יש ס' נגד כל הכף ולא יהא הכף אלא כולו חלב אלא דמטעם נ"נ צריך ב"פ ס' ואע"ג דמין במינו נמי אינו נ"ט מ"מ כיון דראוי ליתן טעם בכנגדו בשאינו מינו אסור וכמ"ש הרמב"ן </w:t>
      </w:r>
      <w:r w:rsidRPr="00085E47">
        <w:rPr>
          <w:rFonts w:asciiTheme="minorBidi" w:hAnsiTheme="minorBidi"/>
          <w:sz w:val="16"/>
          <w:szCs w:val="16"/>
          <w:rtl/>
        </w:rPr>
        <w:t>(ע"ז עג.)</w:t>
      </w:r>
      <w:r w:rsidRPr="00085E47">
        <w:rPr>
          <w:rFonts w:asciiTheme="minorBidi" w:hAnsiTheme="minorBidi"/>
          <w:rtl/>
        </w:rPr>
        <w:t xml:space="preserve"> והר"ן  ומביאם ב"י שם וזה לא שייך הכא, ש"ך </w:t>
      </w:r>
      <w:r w:rsidRPr="00085E47">
        <w:rPr>
          <w:rFonts w:asciiTheme="minorBidi" w:hAnsiTheme="minorBidi"/>
          <w:sz w:val="16"/>
          <w:szCs w:val="16"/>
          <w:rtl/>
        </w:rPr>
        <w:t>(סק"ה)</w:t>
      </w:r>
      <w:r w:rsidRPr="00085E47">
        <w:rPr>
          <w:rFonts w:asciiTheme="minorBidi" w:hAnsiTheme="minorBidi"/>
          <w:rtl/>
        </w:rPr>
        <w:t>.</w:t>
      </w:r>
    </w:p>
  </w:footnote>
  <w:footnote w:id="1540">
    <w:p w14:paraId="2A5B3C7D"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הטעם כתבו הגמ"ר (חולין סי' תשמה) ומהרי"ל (סי' קסא) ותרוה"ד (סי' קפג) דמתחלה צריך ס' נגד החלב וחיישינן דלמא נשאר בו מעט חלב וכשהוציאו מן הקדרה נעשה כל הכף נבילה מבשר בחלב ולכך צריך לבטל הכף בפעם הב', ונראה דמה"ט כ' הט"ו אם תחב ב' פעמים כו' צריך ב' פעמים ס', ולא כתבו סתמא ואם תחב הרבה פעמים צריך ס' בכל פעם, משום דאזלי לטעמייהו דס"ל דלא אמרינן חנ"נ רק בבשר בחלב, דטעמא הוא מפני שכל א' היתר בפני עצמו וע"י חבורן נאסרו משא"כ בשאר איסורים וכמ"ש בסי' צ"ב סק"י והלכך כשתחבו פעם ב' תו ליכא למימר דנ"נ דכיון שכבר נאסר הכף לא נ"נ אח"כ אפי' תחבו הרבה פעמים סגי בב' פעמים ס', והסמ"ק דס"ל בכל איסורים חנ"נ באמת לא כ' בסי' רי"ג האי לישנא דצריך ב"פ</w:t>
      </w:r>
      <w:r w:rsidRPr="00085E47">
        <w:rPr>
          <w:rFonts w:asciiTheme="minorBidi" w:hAnsiTheme="minorBidi"/>
          <w:sz w:val="14"/>
          <w:szCs w:val="14"/>
          <w:rtl/>
        </w:rPr>
        <w:t xml:space="preserve"> </w:t>
      </w:r>
      <w:r w:rsidRPr="00085E47">
        <w:rPr>
          <w:rFonts w:asciiTheme="minorBidi" w:hAnsiTheme="minorBidi"/>
          <w:sz w:val="16"/>
          <w:szCs w:val="16"/>
          <w:rtl/>
        </w:rPr>
        <w:t>(ובסמ"ק שלפני כן כתוב לשון "ב פעמים", וכן העיר האמרי ברוך על דברי הש"ך)</w:t>
      </w:r>
      <w:r w:rsidRPr="00085E47">
        <w:rPr>
          <w:rFonts w:asciiTheme="minorBidi" w:hAnsiTheme="minorBidi"/>
          <w:rtl/>
        </w:rPr>
        <w:t>, ש"ך (סק"ד).</w:t>
      </w:r>
    </w:p>
  </w:footnote>
  <w:footnote w:id="1541">
    <w:p w14:paraId="092C41A2"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דהרבה פוסקים ס"ל דבדבר הבלוע לא אמרינן חנ"נ, כדלקמן סי' צח ס"ה... ואע"ג דקי"ל התם לחומרא מ"מ בכה"ג אין להחמיר ואפי' באיסור עצמו שנפל לקדרה כמה פעמים קי"ל דא"צ אלא פעם א' ס' וכדלקמן סי' צ"ח סוף ס"ד בהגה"ה..., ש"ך</w:t>
      </w:r>
      <w:r w:rsidRPr="00085E47">
        <w:rPr>
          <w:rFonts w:asciiTheme="minorBidi" w:hAnsiTheme="minorBidi"/>
          <w:sz w:val="16"/>
          <w:szCs w:val="16"/>
          <w:rtl/>
        </w:rPr>
        <w:t xml:space="preserve"> (סק"ו)</w:t>
      </w:r>
      <w:r w:rsidRPr="00085E47">
        <w:rPr>
          <w:rFonts w:asciiTheme="minorBidi" w:hAnsiTheme="minorBidi"/>
          <w:rtl/>
        </w:rPr>
        <w:t>.</w:t>
      </w:r>
      <w:r w:rsidRPr="006D5861">
        <w:rPr>
          <w:rtl/>
        </w:rPr>
        <w:t xml:space="preserve"> </w:t>
      </w:r>
      <w:r w:rsidRPr="006D5861">
        <w:rPr>
          <w:rFonts w:asciiTheme="minorBidi" w:hAnsiTheme="minorBidi" w:cs="Arial"/>
          <w:rtl/>
        </w:rPr>
        <w:t>וכ</w:t>
      </w:r>
      <w:r>
        <w:rPr>
          <w:rFonts w:asciiTheme="minorBidi" w:hAnsiTheme="minorBidi" w:cs="Arial" w:hint="cs"/>
          <w:rtl/>
        </w:rPr>
        <w:t>'</w:t>
      </w:r>
      <w:r w:rsidRPr="006D5861">
        <w:rPr>
          <w:rFonts w:asciiTheme="minorBidi" w:hAnsiTheme="minorBidi" w:cs="Arial"/>
          <w:rtl/>
        </w:rPr>
        <w:t xml:space="preserve"> </w:t>
      </w:r>
      <w:r>
        <w:rPr>
          <w:rFonts w:asciiTheme="minorBidi" w:hAnsiTheme="minorBidi" w:cs="Arial" w:hint="cs"/>
          <w:rtl/>
        </w:rPr>
        <w:t xml:space="preserve">בספר </w:t>
      </w:r>
      <w:r w:rsidRPr="006D5861">
        <w:rPr>
          <w:rFonts w:asciiTheme="minorBidi" w:hAnsiTheme="minorBidi" w:cs="Arial"/>
          <w:rtl/>
        </w:rPr>
        <w:t>חמו</w:t>
      </w:r>
      <w:r>
        <w:rPr>
          <w:rFonts w:asciiTheme="minorBidi" w:hAnsiTheme="minorBidi" w:cs="Arial" w:hint="cs"/>
          <w:rtl/>
        </w:rPr>
        <w:t>"</w:t>
      </w:r>
      <w:r w:rsidRPr="006D5861">
        <w:rPr>
          <w:rFonts w:asciiTheme="minorBidi" w:hAnsiTheme="minorBidi" w:cs="Arial"/>
          <w:rtl/>
        </w:rPr>
        <w:t xml:space="preserve">ד </w:t>
      </w:r>
      <w:r w:rsidRPr="006D5861">
        <w:rPr>
          <w:rFonts w:asciiTheme="minorBidi" w:hAnsiTheme="minorBidi" w:cs="Arial" w:hint="cs"/>
          <w:sz w:val="16"/>
          <w:szCs w:val="16"/>
          <w:rtl/>
        </w:rPr>
        <w:t>(</w:t>
      </w:r>
      <w:r w:rsidRPr="006D5861">
        <w:rPr>
          <w:rFonts w:asciiTheme="minorBidi" w:hAnsiTheme="minorBidi" w:cs="Arial"/>
          <w:sz w:val="16"/>
          <w:szCs w:val="16"/>
          <w:rtl/>
        </w:rPr>
        <w:t>כ"י</w:t>
      </w:r>
      <w:r w:rsidRPr="006D5861">
        <w:rPr>
          <w:rFonts w:asciiTheme="minorBidi" w:hAnsiTheme="minorBidi" w:cs="Arial" w:hint="cs"/>
          <w:sz w:val="16"/>
          <w:szCs w:val="16"/>
          <w:rtl/>
        </w:rPr>
        <w:t>, הביאו הפת"ש סק"ד)</w:t>
      </w:r>
      <w:r w:rsidRPr="006D5861">
        <w:rPr>
          <w:rFonts w:asciiTheme="minorBidi" w:hAnsiTheme="minorBidi" w:cs="Arial"/>
          <w:rtl/>
        </w:rPr>
        <w:t xml:space="preserve"> דאם תחבו לקדרה והיה ששים ואח"כ תחבו לקדרה אחרת ולא היה ששים ואח"כ חזר ותחב לראשונה צריך ב' פעמים ששים</w:t>
      </w:r>
      <w:r>
        <w:rPr>
          <w:rFonts w:asciiTheme="minorBidi" w:hAnsiTheme="minorBidi" w:hint="cs"/>
          <w:rtl/>
        </w:rPr>
        <w:t>.</w:t>
      </w:r>
    </w:p>
  </w:footnote>
  <w:footnote w:id="1542">
    <w:p w14:paraId="01DE9C80"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וכ' ר"פ </w:t>
      </w:r>
      <w:r w:rsidRPr="00085E47">
        <w:rPr>
          <w:rFonts w:asciiTheme="minorBidi" w:hAnsiTheme="minorBidi"/>
          <w:sz w:val="16"/>
          <w:szCs w:val="16"/>
          <w:rtl/>
        </w:rPr>
        <w:t>(בהגה' סמ"ק סי' ריג בדיני ביטול אות ה, הביאו הב"י)</w:t>
      </w:r>
      <w:r w:rsidRPr="00085E47">
        <w:rPr>
          <w:rFonts w:asciiTheme="minorBidi" w:hAnsiTheme="minorBidi"/>
          <w:rtl/>
        </w:rPr>
        <w:t xml:space="preserve"> דיש לתמוה כשהכף בת יומא ויש ששים מן הכף דאמרינן דהקדרה מותרת והכף אסורה בין עם בשר בין עם חלב, ולמה, כיון שיש ששים בקדרה מן הכף א"כ יחשב לכף כהגעלה מבליעה ראשונה ויהיה לה דין הקדרה עצמה אם בשר בשר אם חלב חלב, וי"ל דילמא אתי למיטעי אטו היכא דלא נתחבה הכף בקדרה כי אם מקצתה, ועוד דהגעלה אינה מועלת כי אם דוקא ברותחין כ"כ שמעלין רתיחה ולענין הצרכת ששים אפילו שאינה מעלת רתיחה רק שתהא רותחת שהיד סולדת בה, ועוד דמספק רתיחה מצריכינן ששים והגעלה אינה מועלת כי אם ודאי רותחת, ועוד אנו מצריכים ששים מכל הכף אפילו בספק תחיבת כולה והגעלה אינה מועלת כי אם בודאי תחיבת כולה, עכ"ל. וכ' הב"י- ודברים אלו שלא כדעת הרשב"א שכתב רבינו בסימן שקודם זה (קמח.) דלדידיה כיון שיש ששים אע"פ שהוא בן יומו הרי נחלש ונקלש טעם החלב ומותר להשתמש בה אח"כ בשר, ומיהו לטעם ראשון שכתבתי (קמח: ד"ה ורבינו ירוחם) לדברי רי"ו אפשר דהרשב"א מודה נמי בדין זה.</w:t>
      </w:r>
    </w:p>
  </w:footnote>
  <w:footnote w:id="1543">
    <w:p w14:paraId="54269A43"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ולא דמי לכלים בפסח דאסורים להשתמש בהן כמו שנתבאר באו"ח סי' ת"נ משום דרוצה בקיומו של איסור ע"י דבר אחר, די"ל דשאני התם דרוצה ליהנות מן האיסור אחר הפסח משא"כ כאן, דרכ"מ (אות ד).</w:t>
      </w:r>
    </w:p>
  </w:footnote>
  <w:footnote w:id="1544">
    <w:p w14:paraId="67F8EC48" w14:textId="77777777" w:rsidR="004C5A3C" w:rsidRPr="00085E47" w:rsidRDefault="004C5A3C" w:rsidP="002C39F4">
      <w:pPr>
        <w:pStyle w:val="a5"/>
        <w:rPr>
          <w:rFonts w:asciiTheme="minorBidi" w:hAnsiTheme="minorBidi"/>
          <w:sz w:val="16"/>
          <w:szCs w:val="16"/>
          <w:rtl/>
        </w:rPr>
      </w:pPr>
      <w:r w:rsidRPr="00085E47">
        <w:rPr>
          <w:rStyle w:val="a7"/>
          <w:rFonts w:asciiTheme="minorBidi" w:hAnsiTheme="minorBidi"/>
        </w:rPr>
        <w:footnoteRef/>
      </w:r>
      <w:r w:rsidRPr="00085E47">
        <w:rPr>
          <w:rFonts w:asciiTheme="minorBidi" w:hAnsiTheme="minorBidi"/>
          <w:rtl/>
        </w:rPr>
        <w:t xml:space="preserve"> וכ' הב"י דמשמע דאפילו דבר לח- כל שהוא צונן מותר, ושע"ד </w:t>
      </w:r>
      <w:r w:rsidRPr="00085E47">
        <w:rPr>
          <w:rFonts w:asciiTheme="minorBidi" w:hAnsiTheme="minorBidi"/>
          <w:sz w:val="16"/>
          <w:szCs w:val="16"/>
          <w:rtl/>
        </w:rPr>
        <w:t>(ריש סי' פה)</w:t>
      </w:r>
      <w:r w:rsidRPr="00085E47">
        <w:rPr>
          <w:rFonts w:asciiTheme="minorBidi" w:hAnsiTheme="minorBidi"/>
          <w:rtl/>
        </w:rPr>
        <w:t xml:space="preserve"> הביא ראיה לדבר, וכתב דהוא הדין לדבר שאינו צורך אכילה ואפילו חמין כגון מים לרחוץ ראשו דשרי. וכ' הרמ"א </w:t>
      </w:r>
      <w:r w:rsidRPr="00085E47">
        <w:rPr>
          <w:rFonts w:asciiTheme="minorBidi" w:hAnsiTheme="minorBidi"/>
          <w:sz w:val="16"/>
          <w:szCs w:val="16"/>
          <w:rtl/>
        </w:rPr>
        <w:t>(בת"ח [כלל פה ד"ג] ובדרכ"מ [אות ג])</w:t>
      </w:r>
      <w:r w:rsidRPr="00085E47">
        <w:rPr>
          <w:rFonts w:asciiTheme="minorBidi" w:hAnsiTheme="minorBidi"/>
          <w:rtl/>
        </w:rPr>
        <w:t xml:space="preserve"> דלפי המנהג הזה שכתב בשע"ד יש להקל ג"כ אם נאסרה קדירה מבשר בחלב ואחר מעת לעת בשלו בו מאכל אינו צריך להשליך דמי הקדירה לנהר כמו שפסק מהרא"י, עד כאן, ורש"ל (פכ"ה סי' מו) חולק על רמ"א כי לא נהגו לחום אלא לויג"א בעלמא לחוף ראש אבל לא מים הראויים לשום מאכל ומשתה והא ראייה דלחוף ראש מותר אפילו לכתחלה כו' על כן צריך להשליך דמי הקדירה לנהר עכ"ל רש"ל </w:t>
      </w:r>
      <w:r w:rsidRPr="00085E47">
        <w:rPr>
          <w:rFonts w:asciiTheme="minorBidi" w:hAnsiTheme="minorBidi"/>
          <w:sz w:val="16"/>
          <w:szCs w:val="16"/>
          <w:rtl/>
        </w:rPr>
        <w:t>(הביאו הש"ך (סקי"א) בסוף דבריו)</w:t>
      </w:r>
      <w:r w:rsidRPr="00085E47">
        <w:rPr>
          <w:rFonts w:asciiTheme="minorBidi" w:hAnsiTheme="minorBidi"/>
          <w:rtl/>
        </w:rPr>
        <w:t>. וכ' הט"ז (סק"ד) דכל זה בקדירה שנאסרה אבל המאכל שנאסר כתוב ב</w:t>
      </w:r>
      <w:r>
        <w:rPr>
          <w:rFonts w:asciiTheme="minorBidi" w:hAnsiTheme="minorBidi"/>
          <w:rtl/>
        </w:rPr>
        <w:t>או"ה</w:t>
      </w:r>
      <w:r w:rsidRPr="00085E47">
        <w:rPr>
          <w:rFonts w:asciiTheme="minorBidi" w:hAnsiTheme="minorBidi"/>
          <w:rtl/>
        </w:rPr>
        <w:t xml:space="preserve"> ורש"ל ות"ח שצריך להשליכו דוקא לבית הכסא אבל לא לפני הכלב אפילו אין הכלב שלו.</w:t>
      </w:r>
    </w:p>
  </w:footnote>
  <w:footnote w:id="1545">
    <w:p w14:paraId="538D853C"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לדעת הרב בסי' צה ס"ג אפי</w:t>
      </w:r>
      <w:r>
        <w:rPr>
          <w:rFonts w:asciiTheme="minorBidi" w:hAnsiTheme="minorBidi" w:hint="cs"/>
          <w:rtl/>
        </w:rPr>
        <w:t>'</w:t>
      </w:r>
      <w:r w:rsidRPr="00085E47">
        <w:rPr>
          <w:rFonts w:asciiTheme="minorBidi" w:hAnsiTheme="minorBidi"/>
          <w:rtl/>
        </w:rPr>
        <w:t xml:space="preserve"> לא היה בקדרה אלא מים או שאר דברים אם היה הקדרה בן יומו ונבלע מתחלה ע"י גוף הבשר הכף אסור, והכי קיי"ל</w:t>
      </w:r>
      <w:r>
        <w:rPr>
          <w:rFonts w:asciiTheme="minorBidi" w:hAnsiTheme="minorBidi" w:hint="cs"/>
          <w:rtl/>
        </w:rPr>
        <w:t xml:space="preserve"> </w:t>
      </w:r>
      <w:r w:rsidRPr="00085E47">
        <w:rPr>
          <w:rFonts w:asciiTheme="minorBidi" w:hAnsiTheme="minorBidi"/>
          <w:color w:val="FF0000"/>
          <w:sz w:val="16"/>
          <w:szCs w:val="16"/>
          <w:rtl/>
        </w:rPr>
        <w:t>{צ</w:t>
      </w:r>
      <w:r>
        <w:rPr>
          <w:rFonts w:asciiTheme="minorBidi" w:hAnsiTheme="minorBidi" w:hint="cs"/>
          <w:color w:val="FF0000"/>
          <w:sz w:val="16"/>
          <w:szCs w:val="16"/>
          <w:rtl/>
        </w:rPr>
        <w:t>ל</w:t>
      </w:r>
      <w:r w:rsidRPr="00085E47">
        <w:rPr>
          <w:rFonts w:asciiTheme="minorBidi" w:hAnsiTheme="minorBidi"/>
          <w:color w:val="FF0000"/>
          <w:sz w:val="16"/>
          <w:szCs w:val="16"/>
          <w:rtl/>
        </w:rPr>
        <w:t>"ע שהרי מדברי האו"ה שהביא הדרכ"מ</w:t>
      </w:r>
      <w:r w:rsidRPr="00085E47">
        <w:rPr>
          <w:rFonts w:asciiTheme="minorBidi" w:hAnsiTheme="minorBidi"/>
          <w:color w:val="FF0000"/>
          <w:sz w:val="14"/>
          <w:szCs w:val="14"/>
          <w:rtl/>
        </w:rPr>
        <w:t xml:space="preserve"> (אות ה, הובאו דבריו בסע' הבא) </w:t>
      </w:r>
      <w:r w:rsidRPr="00085E47">
        <w:rPr>
          <w:rFonts w:asciiTheme="minorBidi" w:hAnsiTheme="minorBidi"/>
          <w:color w:val="FF0000"/>
          <w:sz w:val="16"/>
          <w:szCs w:val="16"/>
          <w:rtl/>
        </w:rPr>
        <w:t>משמע להיפך, וכן תמה רעק"א</w:t>
      </w:r>
      <w:r w:rsidRPr="00085E47">
        <w:rPr>
          <w:rFonts w:asciiTheme="minorBidi" w:hAnsiTheme="minorBidi"/>
          <w:color w:val="FF0000"/>
          <w:sz w:val="14"/>
          <w:szCs w:val="14"/>
          <w:rtl/>
        </w:rPr>
        <w:t xml:space="preserve"> (אות ה) </w:t>
      </w:r>
      <w:r w:rsidRPr="00085E47">
        <w:rPr>
          <w:rFonts w:asciiTheme="minorBidi" w:hAnsiTheme="minorBidi"/>
          <w:color w:val="FF0000"/>
          <w:sz w:val="16"/>
          <w:szCs w:val="16"/>
          <w:rtl/>
        </w:rPr>
        <w:t>על דברי הש"ך דהא ביש במים ששים גם להרמ"א הכף מותר}</w:t>
      </w:r>
      <w:r w:rsidRPr="00085E47">
        <w:rPr>
          <w:rFonts w:asciiTheme="minorBidi" w:hAnsiTheme="minorBidi"/>
          <w:rtl/>
        </w:rPr>
        <w:t>, אבל לדעת המחבר שם אין הכף נאסר אלא כשתחבו בקדירה שמבשל בה עתה בשר בעין, ש"ך (סק"ח).</w:t>
      </w:r>
      <w:r w:rsidRPr="00445C00">
        <w:rPr>
          <w:rFonts w:asciiTheme="minorBidi" w:hAnsiTheme="minorBidi"/>
          <w:color w:val="FF0000"/>
          <w:sz w:val="16"/>
          <w:szCs w:val="16"/>
          <w:rtl/>
        </w:rPr>
        <w:t xml:space="preserve"> </w:t>
      </w:r>
    </w:p>
  </w:footnote>
  <w:footnote w:id="1546">
    <w:p w14:paraId="773D2B08"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וכן אפילו עם שאר דברים דהא הכף נ"נ, וע"ל סי' צ"ח ס"ה ובמ"ש שם (סקכ"א), ש"ך (סק"ט). וכ"כ הגר"א (סקי"ב).</w:t>
      </w:r>
    </w:p>
  </w:footnote>
  <w:footnote w:id="1547">
    <w:p w14:paraId="00A8C2C1"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פי' משעת התחיבה, אפי' אינה בת יומא משעה שבישל בה חלב, כיון שהיתה בת יומא בשעת התחיבה ראשונה נ"נ ואוסרת אח"כ אפי' דיעבד אם היא בת יומא משעת התחיבה ופשוט הוא, וכ"כ האו"ה בכמה דוכתי וכ"כ בד"מ ס"ס זה בהדיא, דלא כהב"ח שכ' בס"ג בפשיטות להפך, ופשוט הוא דטעות הוא, אבל אם אינו בת יומא בשעת התחיבה השנייה הכל מותר דנהי דנ"נ מ"מ השתא נותן טעם לפגם ומותר, אבל ודאי לכתח' אסור לתוחבו אפי' בשאר דברים אפי' אינו בן יומו כיון דנ"נ מתחלה, ש"ך </w:t>
      </w:r>
      <w:r w:rsidRPr="00085E47">
        <w:rPr>
          <w:rFonts w:asciiTheme="minorBidi" w:hAnsiTheme="minorBidi"/>
          <w:sz w:val="16"/>
          <w:szCs w:val="16"/>
          <w:rtl/>
        </w:rPr>
        <w:t>(סק"י)</w:t>
      </w:r>
      <w:r w:rsidRPr="00085E47">
        <w:rPr>
          <w:rFonts w:asciiTheme="minorBidi" w:hAnsiTheme="minorBidi"/>
          <w:rtl/>
        </w:rPr>
        <w:t>.</w:t>
      </w:r>
    </w:p>
  </w:footnote>
  <w:footnote w:id="1548">
    <w:p w14:paraId="65440881"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ואם תאמר מה בין קדרה לכף, הרי גם הקדרה בלועה מבשר בחלב ומאי טעמא שרית לה מפני שטעם החלב שבה הוא פגום כף נמי טעם חלב שבו הוא פגום, וי"ל דכף שאני- שבלע החלב בשעת שבחו, הילכך אף לאחר שנפגם אסור כדין כלי שאינו בת יומא שאסור לבשל בו לכתחלה, משא"כ בקדרה שלא בלעה טעם החלב אלא אחר שנפגם שהרי כשנתחב הכף בקדרה לא היה בן יומו הילכך שרי, וכיוצא בזה כתבו התוס' (עו. ד"ה מכאן ואילך) והרא"ש (סי' לו) בסוף ע"ז וז"ל אם בשל בדיעבד בכלי שאינו בן יומא הקדרה אסורה והתבשיל מותר כי הקדרה היה בה איסור קודם שנפגם אבל התבשיל לא היה בו איסור מעולם, וכיוצא בזה כ' הרשב"א ג"כ בסוף בית התערובות (תוה"ק ב"ד ש"ד לו.) דכל כלי שבלע מן המושבח אע"פ שחזר להיות בתוכו פגום כשאינו בן יומו הרי הוא עומד באיסורו שלא להשתמש בו לכתחלה, ומטעם זה כ' רי"ו (נט"ו אות כח קלח:) בשם הרא"ש דגבינה שמטגנים בבצק בשמן שהניחוה בקערה שאינה בת יומא שהם מותרים והקערה אסורה, ב"י.</w:t>
      </w:r>
    </w:p>
  </w:footnote>
  <w:footnote w:id="1549">
    <w:p w14:paraId="7E072503"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היינו דוקא כשחזר ותחבה במין שתחבה פעם ראשון אם חלב חלב ואם בשר בשר דאילו חזר ותחבה במין שהיתה בלועה ממנו תחלה בתוך מעת לעת לתחיבה ראשונה פשיטא שהיא אוסרת, ב"י.</w:t>
      </w:r>
    </w:p>
  </w:footnote>
  <w:footnote w:id="1550">
    <w:p w14:paraId="7323DBD3"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כיון שבלע החלב בשעת שבחו הילכך אף לאחר שנפגם אסור כדין כלי שאינו בת יומא שאסור לבשל בו לכתח', משא"כ בקדרה שלא בלעה טעם החלב אלא אחר שנפגם שהרי כשנתחב הכף בקדרה לא היה בן יומו הילכך שרי, ב"י בשם תוס' רשב"א ורא"ש.</w:t>
      </w:r>
    </w:p>
  </w:footnote>
  <w:footnote w:id="1551">
    <w:p w14:paraId="41B511AF"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היינו דוקא כשחזר ותחבה במין שתחבה פעם ראשון אם חלב חלב ואם בשר בשר דאילו חזר ותחבה במין שהיתה בלועה ממנו תחלה בתוך מעת לעת לתחיבה ראשונה פשיטא שהיא אוסרת, ב"י. וכ"כ רש"ל (סי' מו) בשם סמ"ג, וכ"כ ט"ז (סק"ה) וש"ך (סקי"ד), וכ' הש"ך שם דכ"ש אם חזר ותחבה בשאר דברים כגון מים וירקות דמותר בדיעבד אפי' תוך מע"ל מתחיבה הראשונה.</w:t>
      </w:r>
    </w:p>
  </w:footnote>
  <w:footnote w:id="1552">
    <w:p w14:paraId="5A742CEE"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וכ' הדרכ"מ (אות ו) דצ"ע דהואיל והקדרה היתה חדשה הוי נ"ט בר נ"ט המאכל בכף והכף לקדרה, או אפילו איכא למימר הכף למים והמים לקדרה והוי ג' נותן טעם ועדיין היתר הוא, וא"כ אמאי אינו מותר לבשל בו בשר להדיא מאי שנא מדגים שעלו בקערה דמותר לאכלן בחלב כדלקמן סי</w:t>
      </w:r>
      <w:r>
        <w:rPr>
          <w:rFonts w:asciiTheme="minorBidi" w:hAnsiTheme="minorBidi" w:hint="cs"/>
          <w:rtl/>
        </w:rPr>
        <w:t>'</w:t>
      </w:r>
      <w:r w:rsidRPr="00085E47">
        <w:rPr>
          <w:rFonts w:asciiTheme="minorBidi" w:hAnsiTheme="minorBidi"/>
          <w:rtl/>
        </w:rPr>
        <w:t xml:space="preserve"> צה, ואפשר דסמ"ק מחלק בין עלו לנתבשלו ועי</w:t>
      </w:r>
      <w:r>
        <w:rPr>
          <w:rFonts w:asciiTheme="minorBidi" w:hAnsiTheme="minorBidi" w:hint="cs"/>
          <w:rtl/>
        </w:rPr>
        <w:t>'</w:t>
      </w:r>
      <w:r w:rsidRPr="00085E47">
        <w:rPr>
          <w:rFonts w:asciiTheme="minorBidi" w:hAnsiTheme="minorBidi"/>
          <w:rtl/>
        </w:rPr>
        <w:t xml:space="preserve"> לקמן סי</w:t>
      </w:r>
      <w:r>
        <w:rPr>
          <w:rFonts w:asciiTheme="minorBidi" w:hAnsiTheme="minorBidi" w:hint="cs"/>
          <w:rtl/>
        </w:rPr>
        <w:t xml:space="preserve">' </w:t>
      </w:r>
      <w:r w:rsidRPr="00085E47">
        <w:rPr>
          <w:rFonts w:asciiTheme="minorBidi" w:hAnsiTheme="minorBidi"/>
          <w:rtl/>
        </w:rPr>
        <w:t xml:space="preserve">צה (ד"מ אות א) אם נוהגין כן. גם למטה (ד"מ אות ז) משמע דהסמ"ק ס"ל נ"ט בר נ"ט אפילו בבישול וכ"ה בהדיא בהגה"מ (פ"ט הי"ג) להתיר בדיעבד מטעם שכתבתי </w:t>
      </w:r>
      <w:r w:rsidRPr="00085E47">
        <w:rPr>
          <w:rFonts w:asciiTheme="minorBidi" w:hAnsiTheme="minorBidi"/>
          <w:color w:val="00B0F0"/>
          <w:sz w:val="16"/>
          <w:szCs w:val="16"/>
          <w:rtl/>
        </w:rPr>
        <w:t>(וכ"פ בהג"ה)</w:t>
      </w:r>
      <w:r>
        <w:rPr>
          <w:rFonts w:asciiTheme="minorBidi" w:hAnsiTheme="minorBidi" w:hint="cs"/>
          <w:rtl/>
        </w:rPr>
        <w:t xml:space="preserve">, </w:t>
      </w:r>
      <w:r w:rsidRPr="00085E47">
        <w:rPr>
          <w:rFonts w:asciiTheme="minorBidi" w:hAnsiTheme="minorBidi"/>
          <w:rtl/>
        </w:rPr>
        <w:t>אבל לכתחלה משמע דאסור וצ"ע מאי שנא מדגים דמותר לכתחלה הואיל והסמ"ק אינו מחלק בין עלו לנתבשלו כמו שאכתוב סי</w:t>
      </w:r>
      <w:r>
        <w:rPr>
          <w:rFonts w:asciiTheme="minorBidi" w:hAnsiTheme="minorBidi" w:hint="cs"/>
          <w:rtl/>
        </w:rPr>
        <w:t>'</w:t>
      </w:r>
      <w:r w:rsidRPr="00085E47">
        <w:rPr>
          <w:rFonts w:asciiTheme="minorBidi" w:hAnsiTheme="minorBidi"/>
          <w:rtl/>
        </w:rPr>
        <w:t xml:space="preserve"> צה (אות ב)</w:t>
      </w:r>
      <w:r>
        <w:rPr>
          <w:rFonts w:asciiTheme="minorBidi" w:hAnsiTheme="minorBidi" w:hint="cs"/>
          <w:rtl/>
        </w:rPr>
        <w:t>,</w:t>
      </w:r>
      <w:r w:rsidRPr="00085E47">
        <w:rPr>
          <w:rFonts w:asciiTheme="minorBidi" w:hAnsiTheme="minorBidi"/>
          <w:rtl/>
        </w:rPr>
        <w:t xml:space="preserve"> ואפשר דהחמיר לכתחלה בנתבשלו משום דיש מחמירין בנתבשלו, ועיין לקמן.</w:t>
      </w:r>
    </w:p>
  </w:footnote>
  <w:footnote w:id="1553">
    <w:p w14:paraId="35EC95C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ב- "הדף אחרון לט"ז", והביא את דברי הש"ך וחלק עליו. והש"ך (בקונטרס אחרון) הביא את דברי הט"ז הללו ודחאם.</w:t>
      </w:r>
    </w:p>
  </w:footnote>
  <w:footnote w:id="1554">
    <w:p w14:paraId="503BD687"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אם הכפות שתיהן אינן בן יומא או אפילו אחת מהן או שתיהן בן יומא ויש ששים נגדן מותר לאכול המאכל מאיזה מין שירצה וכן יוכל להשתמש בקדרה לאיזה מין שירצה אבל-...</w:t>
      </w:r>
    </w:p>
  </w:footnote>
  <w:footnote w:id="1555">
    <w:p w14:paraId="22A1D8F4"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וזה שלא כדברי הסמ"ק שכתב ב"י... ונ"ל דיש יותר טעם לדברי הסמ"ק והגה"מ מלדברי הארוך, משום דהסמ"ק והגה"מ ס"ל דנ"ט בר נ"ט תוך מעת לעת הוי כנותן טעם לפגם דלכתחלה אסור ובדיעבד שרי ומשום הכי לא יבשלו בו אח"כ לכתחלה לא בשר ולא חלב, אבל דברי הארוך צ"ע דהואיל ומתיר להשתמש במין האחרון א"כ ס"ל דנ"ט בר נ"ט לא הוי כנותן טעם לפגם א"כ היה להיות מותר להשתמש בו מאיזה מין שירצה דהרי הטעם האחרון אינו אלא נ"ט בר נ"ט, דרכ"מ (אות ו).</w:t>
      </w:r>
    </w:p>
  </w:footnote>
  <w:footnote w:id="1556">
    <w:p w14:paraId="360CCF4D"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בסקט"ו. וכ' שם דכנראה הזדמנה לפני הב"י והרמ"א גירסא מוטעית של הסמ"ק ולכן הבינו שר"פ לא חולק על הסמ"ק, אבל באמת אינו כן, אלא ר"פ חולק על דברי הסמ"ק, והדברים שכתבו אלו דברי הסמ"ק ולא ר"פ, וטענת ר"פ היא- דכיון שהקדרה חדשה אין הקדירה נעשית חולבת בהכי כו' הלכך מה"ט מותר להשתמש בקדרה זו לכתחלה בשר דטעם חלב לא חשיב טעם, ודינו של הרב </w:t>
      </w:r>
      <w:r w:rsidRPr="00085E47">
        <w:rPr>
          <w:rFonts w:asciiTheme="minorBidi" w:hAnsiTheme="minorBidi"/>
          <w:sz w:val="16"/>
          <w:szCs w:val="16"/>
          <w:rtl/>
        </w:rPr>
        <w:t xml:space="preserve">{היינו הסמ"ק} </w:t>
      </w:r>
      <w:r w:rsidRPr="00085E47">
        <w:rPr>
          <w:rFonts w:asciiTheme="minorBidi" w:hAnsiTheme="minorBidi"/>
          <w:rtl/>
        </w:rPr>
        <w:t xml:space="preserve">דבשר וחלב אסור ושאר דברים מותר משכחת לה בענין אם בישלו בשר בקדרה של חלב שנשתמש בה חלב בעין שאינו בן יומו </w:t>
      </w:r>
      <w:r w:rsidRPr="00085E47">
        <w:rPr>
          <w:rFonts w:asciiTheme="minorBidi" w:hAnsiTheme="minorBidi"/>
          <w:sz w:val="16"/>
          <w:szCs w:val="16"/>
          <w:rtl/>
        </w:rPr>
        <w:t>(וכ' הש"ך דכן הבינו הכל בו (סי' קו דף עח.) ו</w:t>
      </w:r>
      <w:r>
        <w:rPr>
          <w:rFonts w:asciiTheme="minorBidi" w:hAnsiTheme="minorBidi"/>
          <w:sz w:val="16"/>
          <w:szCs w:val="16"/>
          <w:rtl/>
        </w:rPr>
        <w:t>או"ה</w:t>
      </w:r>
      <w:r w:rsidRPr="00085E47">
        <w:rPr>
          <w:rFonts w:asciiTheme="minorBidi" w:hAnsiTheme="minorBidi"/>
          <w:sz w:val="16"/>
          <w:szCs w:val="16"/>
          <w:rtl/>
        </w:rPr>
        <w:t xml:space="preserve"> (כלל לה די"א) בדברי ר"פ)</w:t>
      </w:r>
      <w:r w:rsidRPr="00085E47">
        <w:rPr>
          <w:rFonts w:asciiTheme="minorBidi" w:hAnsiTheme="minorBidi"/>
          <w:rtl/>
        </w:rPr>
        <w:t xml:space="preserve">, וא"כ יש לתמוה על המחבר למה אסר לבשל בה בשר </w:t>
      </w:r>
      <w:r w:rsidRPr="00085E47">
        <w:rPr>
          <w:rFonts w:asciiTheme="minorBidi" w:hAnsiTheme="minorBidi"/>
          <w:sz w:val="16"/>
          <w:szCs w:val="16"/>
          <w:rtl/>
        </w:rPr>
        <w:t>(בפרט שהוא מתיר לקמן ר"ס צ"ה נ"ט בר נ"ט בבישול)</w:t>
      </w:r>
      <w:r w:rsidRPr="00085E47">
        <w:rPr>
          <w:rFonts w:asciiTheme="minorBidi" w:hAnsiTheme="minorBidi"/>
          <w:rtl/>
        </w:rPr>
        <w:t xml:space="preserve">, ועוד תימא דהיאך כתב מאחר שהיתה חדשה כו' דמשמע הא אם בישל בה מתחלה חלב בעין אסור לבשל בה שאר דברים </w:t>
      </w:r>
      <w:r w:rsidRPr="00085E47">
        <w:rPr>
          <w:rFonts w:asciiTheme="minorBidi" w:hAnsiTheme="minorBidi"/>
          <w:sz w:val="16"/>
          <w:szCs w:val="16"/>
          <w:rtl/>
        </w:rPr>
        <w:t>(וזה אינו למ"ש לקמן סי' צ"ה ס"ג דקערות של בשר שהודחו ביורה חולבת במים רותחין אפי' שניהם בני יומן הכל מותר מטעם דהוי נ"ט בר נ"ט, ואע"ג דהר"ף נמי מתיר גבי הדחה כשאחד מהם אינו בן יומו מ"מ נקט חדשה דקאי על המעשה שהיה שם)</w:t>
      </w:r>
      <w:r w:rsidRPr="00085E47">
        <w:rPr>
          <w:rFonts w:asciiTheme="minorBidi" w:hAnsiTheme="minorBidi"/>
          <w:rtl/>
        </w:rPr>
        <w:t>... ועוד תימא דהא כתב המחבר באו"ח ר"ס תנ"ב וז"ל יש להגעיל קודם שעה חמישית כדי שלא יצטרך לדקדק אם הכלי בן יומו או לאו או אם יש ס' במים נגד הכלי שמגעיל עכ"ל אלמא דמטעם נ"ט בר נ"ט מותר אפי' לכתחלה... מיהו הא לא קשיא דלמה לא יהא מותר לבשל בה אפי' חלב דכיון דעכ"פ צריך לקבוע תשמיש א' בקדרה זו א"כ יש לקבוע לה תשמיש בשר דמ"מ יותר נשאר בה טעם האחרון וכ"כ באו"ה שם בהדיא... ובת"ח</w:t>
      </w:r>
      <w:r w:rsidRPr="00085E47">
        <w:rPr>
          <w:rFonts w:asciiTheme="minorBidi" w:hAnsiTheme="minorBidi"/>
          <w:sz w:val="16"/>
          <w:szCs w:val="16"/>
          <w:rtl/>
        </w:rPr>
        <w:t xml:space="preserve"> (כלל פה ד"ה)</w:t>
      </w:r>
      <w:r w:rsidRPr="00085E47">
        <w:rPr>
          <w:rFonts w:asciiTheme="minorBidi" w:hAnsiTheme="minorBidi"/>
          <w:rtl/>
        </w:rPr>
        <w:t xml:space="preserve"> השיג על האו"ה בזה שלא כדת דכדבריו מוכח להדיא בסמ"ק, עוד כתב באו"ה שם דה"ה אם נתחב בתוכו הכף הב' תוך מע"ל מתחיבת כף הא' דינא הכי דהא התירא שלו הוא מטעם שכבר הוי בו ג' נ"ט שהוא מותר אפי' בתוך מע"ל והא דכתב הר"ף אחר מע"ל היינו משום דקאי שם על המעשה שהי' עכ"ל ודבריו נכונים... ומ"ש הר"ף לאחר מע"ל לאו דוקא... ונראה דאפי' למאי דמחמרינן לקמן סי' צ"ה לאסור דגים שנתבשלו בקדרה של בשר לאכלן בכותח לכתחלה מותר כאן הקדרה לבשל בה בשר בתחיבת כף האחרון... דהחלב הבלוע בקדרה אינו חשוב טעם כשיחזור ויפלוט לבשר... ועוד דהכא כיון דאיכא ג' נ"ט הטעם היוצא אל הכף ומן הכף אל המים ומן המים לקדרה לכ"ע שרי... וא"כ גם על הרב בהג"ה יש לתמוה שסתם כהמחבר והא ליתא אפי' לדידן, ונראה דכ"ש אם נשתמשו בשר בעין בקדרה זו שתחבו בה בראשונה כף חולבת בת יומא דמותר לבשל אח"כ בה בשר אבל לאחר תחיבת הכף הראשון לא היינו מתירים הקדרה לבשל בה בשר לכתחלה, עכ"ל הש"ך. והביא הגר"א </w:t>
      </w:r>
      <w:r w:rsidRPr="00085E47">
        <w:rPr>
          <w:rFonts w:asciiTheme="minorBidi" w:hAnsiTheme="minorBidi"/>
          <w:sz w:val="16"/>
          <w:szCs w:val="16"/>
          <w:rtl/>
        </w:rPr>
        <w:t xml:space="preserve">(סקט"ז) </w:t>
      </w:r>
      <w:r w:rsidRPr="00085E47">
        <w:rPr>
          <w:rFonts w:asciiTheme="minorBidi" w:hAnsiTheme="minorBidi"/>
          <w:rtl/>
        </w:rPr>
        <w:t xml:space="preserve">מסקנת דבריו, ונראה שמסכים עמו. וגם הבאה"ט </w:t>
      </w:r>
      <w:r w:rsidRPr="00085E47">
        <w:rPr>
          <w:rFonts w:asciiTheme="minorBidi" w:hAnsiTheme="minorBidi"/>
          <w:sz w:val="16"/>
          <w:szCs w:val="16"/>
          <w:rtl/>
        </w:rPr>
        <w:t xml:space="preserve">(סקי"ב) </w:t>
      </w:r>
      <w:r w:rsidRPr="00085E47">
        <w:rPr>
          <w:rFonts w:asciiTheme="minorBidi" w:hAnsiTheme="minorBidi"/>
          <w:rtl/>
        </w:rPr>
        <w:t>הביא את דברי הש"ך וכ' וז"ל- והנה בודאי תיובתא גדולה היא על הב"י ורמ"א, ונ"ל לתרץ דבריהם בדוחק דמיירי שהכפות היו בני יומן, ומסתמא כשהיה בן יומו מסתמא שמנונית קצת דבוק עליו, כמש"כ בסי' צה סע' ג דצריך שיאמר ברי לי שלא היה שם שום שומן דבוק עליו וכו', וא"כ הוי נתנית טעם ממש, ואפ"ה סובר רמ"א דבדיעבד מותר דהוי נ"ט בר נ"ט כי זה הטעם נותן לקדרה ומהקדרה למים שניים.</w:t>
      </w:r>
    </w:p>
  </w:footnote>
  <w:footnote w:id="1557">
    <w:p w14:paraId="24797B7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וטעמא דשרי בבשר בחלב יותר מבשאר איסורין אע"פ שהחמין שבנתיים משוו לה בת יומא והוי לשבח היינו משום דהוי נ"ט בר נ"ט דהיתרא מן הבשר לקדרה ומן הקדרה למים חמין שהוחמו בנתיים ומן המים חמין לקדרה והכל בהיתר, אבל בקדרה הבלועה מאיסור אין להתיר מטעם זה, דלא שייך היתר דנ"ט בר נ"ט כי אם מהיתר להיתר כמו גבי בשר בחלב, אבל גבי איסור אע"ג דלגבי האיסור עצמו הוי נ"ט בר נ"ט מ"מ כל מה שיוצא ממנו אפילו ההיתר אסור משום דקיי"ל דחתיכה עצמה נעשית נבלה אפילו ההיתר שבה, הילכך אע"ג דלגבי האיסור הנבלע במים חמין שהוחמו בנתיים הוי נ"ט בר נ"ט בהיתר שבא אח"כ מ"מ המים עצמן לבדם אוסרין משום דחתיכה עצמה נעשית נבלה כדפרישית, וכמו כן המים נעשו נבלה כשיבלעו מאיסור, אבל גבי היתר בהיתר כמו בשר בחלב כשהמים בולעים מטעם בשר מ"מ אין שם בשר על כל המים הילכך כשחוזר ונותן טעם בחלב אין לחוש כי אם מטעם הבשר שבתוך המים שחוזר ונכנס בחלב ואותו טעם דבשר שבמים הוי נ"ט בר נ"ט כדפרישית, ר"פ </w:t>
      </w:r>
      <w:r w:rsidRPr="00085E47">
        <w:rPr>
          <w:rFonts w:asciiTheme="minorBidi" w:hAnsiTheme="minorBidi"/>
          <w:sz w:val="16"/>
          <w:szCs w:val="16"/>
          <w:rtl/>
        </w:rPr>
        <w:t>(שם הגהה ו*, הביאו הב"י)</w:t>
      </w:r>
      <w:r w:rsidRPr="00085E47">
        <w:rPr>
          <w:rFonts w:asciiTheme="minorBidi" w:hAnsiTheme="minorBidi"/>
          <w:rtl/>
        </w:rPr>
        <w:t xml:space="preserve">. וכ' הדרכ"מ </w:t>
      </w:r>
      <w:r w:rsidRPr="00085E47">
        <w:rPr>
          <w:rFonts w:asciiTheme="minorBidi" w:hAnsiTheme="minorBidi"/>
          <w:sz w:val="16"/>
          <w:szCs w:val="16"/>
          <w:rtl/>
        </w:rPr>
        <w:t xml:space="preserve">(אות ז) </w:t>
      </w:r>
      <w:r w:rsidRPr="00085E47">
        <w:rPr>
          <w:rFonts w:asciiTheme="minorBidi" w:hAnsiTheme="minorBidi"/>
          <w:rtl/>
        </w:rPr>
        <w:t xml:space="preserve">דמשמע דלסמ"ק </w:t>
      </w:r>
      <w:r w:rsidRPr="00085E47">
        <w:rPr>
          <w:rFonts w:asciiTheme="minorBidi" w:hAnsiTheme="minorBidi"/>
          <w:sz w:val="16"/>
          <w:szCs w:val="16"/>
          <w:rtl/>
        </w:rPr>
        <w:t xml:space="preserve">{היינו לר"פ} </w:t>
      </w:r>
      <w:r w:rsidRPr="00085E47">
        <w:rPr>
          <w:rFonts w:asciiTheme="minorBidi" w:hAnsiTheme="minorBidi"/>
          <w:rtl/>
        </w:rPr>
        <w:t xml:space="preserve">ס"ל נ"ט בר נ"ט ועדיין היתר מותר אפילו בבישול א"כ קשה אמה דכתב לעיל וצ"ע.  </w:t>
      </w:r>
    </w:p>
  </w:footnote>
  <w:footnote w:id="1558">
    <w:p w14:paraId="63824A70"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ופשוט דר"ל דכשבשלו בו בשר הראשון לא היה בן יומא מן החלב, ומ"מ ס"ד למימר דהואיל ואנו מחמירין בקדרה שלא לבשל בו לא בשר ולא חלב יחשב ב"י מבישול הבשר, קמ"ל דאינו, והכי משמע דברי הטור דכתב לעיל גבי הכף מ"מ בדיעבד אינו אוסר כו', אבל אין להבינו דכשבשלו בו הבשר הראשון היה בן יומא מן החלב דבזה פשיטא דטרפה והקדרה נעשית נבלה וחשבינן בן יומא מבישול הבשר ופשוט הוא, דרכ"מ (אות ז).</w:t>
      </w:r>
    </w:p>
  </w:footnote>
  <w:footnote w:id="1559">
    <w:p w14:paraId="186E8C19"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פי' מן הכף למים ומן המים לקדירה ושניהם להיתר </w:t>
      </w:r>
      <w:r w:rsidRPr="00085E47">
        <w:rPr>
          <w:rFonts w:asciiTheme="minorBidi" w:hAnsiTheme="minorBidi"/>
          <w:sz w:val="16"/>
          <w:szCs w:val="16"/>
          <w:rtl/>
        </w:rPr>
        <w:t>(דאף בפעם השני הוא היתר מן הדין והא דאסור לכתחלה הוא מטעם כיון שנתפשט המנהג לאסור אותו שאינו בן יומא כמ"ש אחר זה)</w:t>
      </w:r>
      <w:r w:rsidRPr="00085E47">
        <w:rPr>
          <w:rFonts w:asciiTheme="minorBidi" w:hAnsiTheme="minorBidi"/>
          <w:rtl/>
        </w:rPr>
        <w:t>, ט"ז (סק"ו).</w:t>
      </w:r>
    </w:p>
  </w:footnote>
  <w:footnote w:id="1560">
    <w:p w14:paraId="640153A7"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דאלו היא נמי בת יומא הכל אסור הקדרה והמאכל והכף כדלקמן סימן צ"ה ס"ג בהג"ה, ודוקא כשהקדרה בלעה מתחלה הגוף הדבר בעין, אבל אם בלעה ע"י כף וכה"ג נתבאר בס"ק שלפני זה, ש"ך (סקט"ז).</w:t>
      </w:r>
    </w:p>
  </w:footnote>
  <w:footnote w:id="1561">
    <w:p w14:paraId="21F30CD4"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קאי אחלוקה ראשונה ולא קאי איש במאכל ששים, ש"ך (סקי"ז).</w:t>
      </w:r>
    </w:p>
  </w:footnote>
  <w:footnote w:id="1562">
    <w:p w14:paraId="043FEEB8"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דוקא המאכל אבל המים הואיל ואינם מאכל</w:t>
      </w:r>
      <w:r>
        <w:rPr>
          <w:rFonts w:asciiTheme="minorBidi" w:hAnsiTheme="minorBidi" w:hint="cs"/>
          <w:rtl/>
        </w:rPr>
        <w:t>-</w:t>
      </w:r>
      <w:r w:rsidRPr="00085E47">
        <w:rPr>
          <w:rFonts w:asciiTheme="minorBidi" w:hAnsiTheme="minorBidi"/>
          <w:rtl/>
        </w:rPr>
        <w:t xml:space="preserve"> אסורים </w:t>
      </w:r>
      <w:r>
        <w:rPr>
          <w:rFonts w:asciiTheme="minorBidi" w:hAnsiTheme="minorBidi" w:hint="cs"/>
          <w:sz w:val="16"/>
          <w:szCs w:val="16"/>
          <w:rtl/>
        </w:rPr>
        <w:t>(</w:t>
      </w:r>
      <w:r w:rsidRPr="005A1C03">
        <w:rPr>
          <w:rFonts w:asciiTheme="minorBidi" w:hAnsiTheme="minorBidi"/>
          <w:sz w:val="16"/>
          <w:szCs w:val="16"/>
          <w:rtl/>
        </w:rPr>
        <w:t>כדלקמן סי' צה ס"ג בהג"ה</w:t>
      </w:r>
      <w:r>
        <w:rPr>
          <w:rFonts w:asciiTheme="minorBidi" w:hAnsiTheme="minorBidi" w:hint="cs"/>
          <w:sz w:val="16"/>
          <w:szCs w:val="16"/>
          <w:rtl/>
        </w:rPr>
        <w:t>,</w:t>
      </w:r>
      <w:r w:rsidRPr="005A1C03">
        <w:rPr>
          <w:rFonts w:asciiTheme="minorBidi" w:hAnsiTheme="minorBidi"/>
          <w:sz w:val="16"/>
          <w:szCs w:val="16"/>
          <w:rtl/>
        </w:rPr>
        <w:t xml:space="preserve"> וכ"מ בת"ח שם בהדיא</w:t>
      </w:r>
      <w:r>
        <w:rPr>
          <w:rFonts w:asciiTheme="minorBidi" w:hAnsiTheme="minorBidi" w:hint="cs"/>
          <w:sz w:val="16"/>
          <w:szCs w:val="16"/>
          <w:rtl/>
        </w:rPr>
        <w:t>)</w:t>
      </w:r>
      <w:r w:rsidRPr="00085E47">
        <w:rPr>
          <w:rFonts w:asciiTheme="minorBidi" w:hAnsiTheme="minorBidi"/>
          <w:rtl/>
        </w:rPr>
        <w:t xml:space="preserve">, ש"ך </w:t>
      </w:r>
      <w:r w:rsidRPr="00085E47">
        <w:rPr>
          <w:rFonts w:asciiTheme="minorBidi" w:hAnsiTheme="minorBidi"/>
          <w:sz w:val="16"/>
          <w:szCs w:val="16"/>
          <w:rtl/>
        </w:rPr>
        <w:t>(סקי"ט)</w:t>
      </w:r>
      <w:r w:rsidRPr="00085E47">
        <w:rPr>
          <w:rFonts w:asciiTheme="minorBidi" w:hAnsiTheme="minorBidi"/>
          <w:rtl/>
        </w:rPr>
        <w:t>. וכ"כ הט"ז</w:t>
      </w:r>
      <w:r w:rsidRPr="005A1C03">
        <w:rPr>
          <w:rFonts w:asciiTheme="minorBidi" w:hAnsiTheme="minorBidi"/>
          <w:sz w:val="16"/>
          <w:szCs w:val="16"/>
          <w:rtl/>
        </w:rPr>
        <w:t xml:space="preserve"> (סק"ט)</w:t>
      </w:r>
      <w:r w:rsidRPr="00085E47">
        <w:rPr>
          <w:rFonts w:asciiTheme="minorBidi" w:hAnsiTheme="minorBidi"/>
          <w:rtl/>
        </w:rPr>
        <w:t>.</w:t>
      </w:r>
    </w:p>
  </w:footnote>
  <w:footnote w:id="1563">
    <w:p w14:paraId="23B5CA2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כן הוא בכל הספרים ואינו נכון, דא"כ משמע דנוהגים לאכלו כמין הכלי שהוא בן יומו, דהיינו אם הכלי בן יומו הוא חלב אוכלין אותו עם חלב ואם בשר עם בשר, א"כ היאך כתב ע"ז דאינו אלא חומרא בעלמא הא הרבה פוסקים ס"ל הכי דנ"ט בר נ"ט אסור בבישול, והביאם הרב לקמן סי' צ"ה ס"ב וכ' שכן המנהג, אלא נראה דצ"ל- במין הכלי, בבי"ת, וכ"כ בת"ח </w:t>
      </w:r>
      <w:r w:rsidRPr="00085E47">
        <w:rPr>
          <w:rFonts w:asciiTheme="minorBidi" w:hAnsiTheme="minorBidi"/>
          <w:sz w:val="16"/>
          <w:szCs w:val="16"/>
          <w:rtl/>
        </w:rPr>
        <w:t>(כלל נ"ז די"ד)</w:t>
      </w:r>
      <w:r w:rsidRPr="00085E47">
        <w:rPr>
          <w:rFonts w:asciiTheme="minorBidi" w:hAnsiTheme="minorBidi"/>
          <w:rtl/>
        </w:rPr>
        <w:t xml:space="preserve">- וראיתי מורים לאסור אותו כלי שאינו בן יומו לאכול המאכל במין הכלי שהוא בן יומו, ונ"ל שלא לאסור שום כלי ולגבי המאכל נ"ל דאין לאכלו לא עם בשר ולא עם חלב אבל לשומו בכלי של א' מהן אין להקפיד עכ"ל </w:t>
      </w:r>
      <w:r w:rsidRPr="00085E47">
        <w:rPr>
          <w:rFonts w:asciiTheme="minorBidi" w:hAnsiTheme="minorBidi"/>
          <w:sz w:val="16"/>
          <w:szCs w:val="16"/>
          <w:rtl/>
        </w:rPr>
        <w:t>{הת"ח}</w:t>
      </w:r>
      <w:r w:rsidRPr="00085E47">
        <w:rPr>
          <w:rFonts w:asciiTheme="minorBidi" w:hAnsiTheme="minorBidi"/>
          <w:rtl/>
        </w:rPr>
        <w:t xml:space="preserve"> (ולא ידעתי למה לא יאכל המאכל כמין של הכלי בן יומו דהא הכלי שאינו בן יומו הוא נותן טעם לפגם וא"כ אם הכף של חלב הוא אינו בן יומו והקדרה של בשר בן יומו מותר לאכלה לכתחלה עם בשר וכן להפך, וכ"כ האו"ה כלל ל"ה ד"י ובכמה דוכתי, וכ"כ הרב גופי' בסי' צ"ה- וכן אם היה הכלי שנתבשלו בו או נצלו בו לפגם שלא היה בן יומו נוהגים בו היתר לכתחלה לאכלו עם המין הב' עכ"ל, ומהרש"ל החמיר קצת בדברים אלו ומחלק בין כף שתחב בו באקראי ובין קדירה ואחריו נמשך הב"ח בס"ס זה, ולפעד"נ דאין לחלק בין כף לקדירה אלא לתפוס דנ"ט בר נ"ט אסור לכתחלה בבישול וכדלקמן סי' צ"ה והיכא דנתן טעם לפגם מותר לכתחלה ודו"ק) אבל קשה דלקמן סי' צ"ה ס"ב כתב הרב דדגים שנתבשלו בקדרה של בשר מותר לאכלן לכתחלה בכלי של חלב וכן נהגו, עכ"ל ועוד קשה דכתב שם בהג"ה דקערות של בשר שאינן בני יומן שהודחו ביורה חולבת שהכל מותר ושכן נוהגין, ואולי כאן לא קאמר אלא דקצת נוהגין להחמיר והכי דייק לישניה בת"ח וראיתי מורים לאיסור כו' אבל רוב העולם אין נוהגין כן, א"נ אפשר שאני הכא כיון שנתבשל בקדרה שאינה בת יומא אי שרינן לאכול באיזה כלי שירצה איכא למיחש דלמא אתי למטעי ולומר דלעולם כף של בן יומו אינו אוסר במים וכה"ג אפי' היה הקדרה בת יומא והא ודאי אסור לדעת הרב וכמ"ש בסק"ח אע"ג דחששא רחוקה היא מ"מ יש ליישב המנהג כן, ועל הקושיא השניה י"ל כיון דאירע ע"י בישול נוהגין להחמיר טפי, ש"ך (סקי"ח).</w:t>
      </w:r>
    </w:p>
  </w:footnote>
  <w:footnote w:id="1564">
    <w:p w14:paraId="101A2F8A"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אפי' לבשל בו שאר דברים, כ"כ בת"ח </w:t>
      </w:r>
      <w:r w:rsidRPr="00085E47">
        <w:rPr>
          <w:rFonts w:asciiTheme="minorBidi" w:hAnsiTheme="minorBidi"/>
          <w:sz w:val="16"/>
          <w:szCs w:val="16"/>
          <w:rtl/>
        </w:rPr>
        <w:t>(כלל פה ד"ה, וע"ש במ"ש דל"ד למה שהתיר המחבר לבשל בה שאר דברים)</w:t>
      </w:r>
      <w:r w:rsidRPr="00085E47">
        <w:rPr>
          <w:rFonts w:asciiTheme="minorBidi" w:hAnsiTheme="minorBidi"/>
          <w:rtl/>
        </w:rPr>
        <w:t>, ש"ך (סק"כ). ונ"ל הטעם דהחמירו בקדירה כאן לפי שנותנין המאכל לכלי שהוא כמין הכלי שהוא בן יומו על כן אין נכון להתיר הכלי שאינו בן יומו כיון שמערה ממנו כנ"ל כוונת רמ"א, ט"ז (סק"ו).</w:t>
      </w:r>
    </w:p>
  </w:footnote>
  <w:footnote w:id="1565">
    <w:p w14:paraId="579E790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w:t>
      </w:r>
      <w:r w:rsidRPr="00085E47">
        <w:rPr>
          <w:rFonts w:asciiTheme="minorBidi" w:hAnsiTheme="minorBidi"/>
          <w:u w:val="single"/>
          <w:rtl/>
        </w:rPr>
        <w:t>וקשה, דמאי שנא ממ"ש השו"ע בסמוך גבי ב' כפות דאסור לבשל בה לא בשר ולא חלב א"כ בקדירה זו ודאי דאסור לבשל בה לכתחילה ממין אחר שהיא ואינו חומרא בעלמא:</w:t>
      </w:r>
      <w:r w:rsidRPr="00085E47">
        <w:rPr>
          <w:rFonts w:asciiTheme="minorBidi" w:hAnsiTheme="minorBidi"/>
          <w:rtl/>
        </w:rPr>
        <w:t xml:space="preserve"> </w:t>
      </w:r>
    </w:p>
    <w:p w14:paraId="7595EEB6" w14:textId="77777777" w:rsidR="004C5A3C" w:rsidRPr="00085E47" w:rsidRDefault="004C5A3C" w:rsidP="0032102C">
      <w:pPr>
        <w:pStyle w:val="a5"/>
        <w:numPr>
          <w:ilvl w:val="0"/>
          <w:numId w:val="128"/>
        </w:numPr>
        <w:rPr>
          <w:rFonts w:asciiTheme="minorBidi" w:hAnsiTheme="minorBidi"/>
        </w:rPr>
      </w:pPr>
      <w:r w:rsidRPr="00085E47">
        <w:rPr>
          <w:rFonts w:asciiTheme="minorBidi" w:hAnsiTheme="minorBidi"/>
          <w:rtl/>
        </w:rPr>
        <w:t xml:space="preserve">ש"ך </w:t>
      </w:r>
      <w:r w:rsidRPr="00085E47">
        <w:rPr>
          <w:rFonts w:asciiTheme="minorBidi" w:hAnsiTheme="minorBidi"/>
          <w:sz w:val="16"/>
          <w:szCs w:val="16"/>
          <w:rtl/>
        </w:rPr>
        <w:t>(סקכ"א)</w:t>
      </w:r>
      <w:r w:rsidRPr="00085E47">
        <w:rPr>
          <w:rFonts w:asciiTheme="minorBidi" w:hAnsiTheme="minorBidi"/>
          <w:rtl/>
        </w:rPr>
        <w:t>- שאני הכא דכיון שהיתה של חלב מתחלה אין מוציאין אותה מחזקתה במאי דנתחב בה כף בן יומא דנ"ט בר נ"ט, משא"כ התם דלא נעשית מתחלה של חלב ממש אלא שנתחב בה כף של חלב הלכך גרע טפי</w:t>
      </w:r>
      <w:r w:rsidRPr="00085E47">
        <w:rPr>
          <w:rFonts w:asciiTheme="minorBidi" w:hAnsiTheme="minorBidi"/>
          <w:sz w:val="16"/>
          <w:szCs w:val="16"/>
          <w:rtl/>
        </w:rPr>
        <w:t xml:space="preserve"> (ומ"מ לענין דינא עי' לעיל סקט"ו)</w:t>
      </w:r>
      <w:r w:rsidRPr="00085E47">
        <w:rPr>
          <w:rFonts w:asciiTheme="minorBidi" w:hAnsiTheme="minorBidi"/>
          <w:rtl/>
        </w:rPr>
        <w:t>.</w:t>
      </w:r>
    </w:p>
    <w:p w14:paraId="13F3AEE9" w14:textId="77777777" w:rsidR="004C5A3C" w:rsidRPr="00085E47" w:rsidRDefault="004C5A3C" w:rsidP="0032102C">
      <w:pPr>
        <w:pStyle w:val="a5"/>
        <w:numPr>
          <w:ilvl w:val="0"/>
          <w:numId w:val="128"/>
        </w:numPr>
        <w:rPr>
          <w:rFonts w:asciiTheme="minorBidi" w:hAnsiTheme="minorBidi"/>
        </w:rPr>
      </w:pPr>
      <w:r w:rsidRPr="00085E47">
        <w:rPr>
          <w:rFonts w:asciiTheme="minorBidi" w:hAnsiTheme="minorBidi"/>
          <w:rtl/>
        </w:rPr>
        <w:t>ט"ז</w:t>
      </w:r>
      <w:r w:rsidRPr="00085E47">
        <w:rPr>
          <w:rFonts w:asciiTheme="minorBidi" w:hAnsiTheme="minorBidi"/>
          <w:sz w:val="16"/>
          <w:szCs w:val="16"/>
          <w:rtl/>
        </w:rPr>
        <w:t xml:space="preserve"> (סק"ט)</w:t>
      </w:r>
      <w:r w:rsidRPr="00085E47">
        <w:rPr>
          <w:rFonts w:asciiTheme="minorBidi" w:hAnsiTheme="minorBidi"/>
          <w:rtl/>
        </w:rPr>
        <w:t xml:space="preserve">- באמת גם מ"ש השו"ע בתחבו ב' כפות בקדרה חדשה כו' אינו אלא חומרא בעלמא דחד טעמא הוא עם דין זה. </w:t>
      </w:r>
      <w:r w:rsidRPr="00085E47">
        <w:rPr>
          <w:rFonts w:asciiTheme="minorBidi" w:hAnsiTheme="minorBidi"/>
          <w:sz w:val="16"/>
          <w:szCs w:val="16"/>
          <w:rtl/>
        </w:rPr>
        <w:t>(אך הש"ך [בנה"כ] דחה דבריו שהרי הב"י כתב כן בשם הסמ"ק)</w:t>
      </w:r>
    </w:p>
  </w:footnote>
  <w:footnote w:id="1566">
    <w:p w14:paraId="0689DE9D"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ול"ד לדלעיל סימן צ"ג דקדרה של בשר שאינה בת יומא שבישל בה חלב דאסור לבשל בה אח"כ לא חלב ולא בשר דהתם נבלע בעין אבל הכא הקדרה לא נאסרת דהיוצא מן הכף הוי נ"ט בר נ"ט ושרי אפי' למאי דכתב הרב סי' צ"ה דנוהגין לאסור לכתחלה נ"ט בר נ"ט בבישול וכדהבאתי בסקט"ו דברי הרא"ש ודמי להדחה כשאחד מהן אינו בן יומו..., ש"ך (סקכ"א). </w:t>
      </w:r>
    </w:p>
  </w:footnote>
  <w:footnote w:id="1567">
    <w:p w14:paraId="722DE8D3"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וגם דין זה הוא מהטעם הנזכר בסמוך דהוי נ"ט בר נ"ט דהיתרא, ב"י. וז"ל ר"פ </w:t>
      </w:r>
      <w:r w:rsidRPr="00085E47">
        <w:rPr>
          <w:rFonts w:asciiTheme="minorBidi" w:hAnsiTheme="minorBidi"/>
          <w:sz w:val="16"/>
          <w:szCs w:val="16"/>
          <w:rtl/>
        </w:rPr>
        <w:t xml:space="preserve">(בהגהות סמ"ק סי' ריג דיני ביטול אות ו, הביאו הב"י) </w:t>
      </w:r>
      <w:r w:rsidRPr="00085E47">
        <w:rPr>
          <w:rFonts w:asciiTheme="minorBidi" w:hAnsiTheme="minorBidi"/>
          <w:rtl/>
        </w:rPr>
        <w:t>והיינו טעמא משום דגבי איסור הבלוע שם האיסור על כל החתיכה כדפרישית, וכ"ת היא גופה מאי טעמא ומ"ש זה מזה דגבי בליעת האיסור חשבינן כולה חתיכה כבליעה עצמה וגבי בליעת היתר בבשר בחלב לא חשבינן כולה חתיכה כבליעה עצמה, וי"ל דטעמא דבליעת איסור היינו משום דאפשר לסוחטו אסור פירוש שאם היה יכול ליסחט האיסור הנבלע חוץ מן החתיכה לעולם אסור כיון שחל עליה איסור שעה אחת וזה הטעם לא שייך גבי בליעת היתר.</w:t>
      </w:r>
    </w:p>
  </w:footnote>
  <w:footnote w:id="1568">
    <w:p w14:paraId="6649E4E8"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פי' מבשר עצמו או שחתכן בסכין של בשר דק דק אבל אם חתך במקום א' מהם מבואר לקמן בסי' צ"ו בדברי רמ"א שא"צ רק ס' נגד מקום הנטילה, ט"ז (סק"י). וכ' הש"ך (סקכ"ג) שהשו"ע לא אתי לאפוקי שאר איסורים, דהא ס"ל דלא אמרינן חנ"נ בשאר איסורים, אלא אתא לאפוקי בצלים שהיו בלועים כולן מחלב, שבלעו אח"כ בשר, דלא סגי בס' נגד הבשר, ולדידן דקי"ל בכל איסורים חנ"נ א"כ דוקא בבלועים מבשר דינא הכי, וכתוב בתשובת מהר"מ מלובלין סי' כ"ח דאם יש ס' נגד הבשר הבלוע בבצל אז אף הבצל מותר אע"פ שלא נמחה ונתמעך וא"צ להפרישה</w:t>
      </w:r>
      <w:r w:rsidRPr="00085E47">
        <w:rPr>
          <w:rFonts w:asciiTheme="minorBidi" w:hAnsiTheme="minorBidi"/>
          <w:sz w:val="16"/>
          <w:szCs w:val="16"/>
          <w:rtl/>
        </w:rPr>
        <w:t xml:space="preserve"> {ובנכבשו בחלב י"ל דגם הבצלים אסורים, רעק"א </w:t>
      </w:r>
      <w:r w:rsidRPr="00085E47">
        <w:rPr>
          <w:rFonts w:asciiTheme="minorBidi" w:hAnsiTheme="minorBidi"/>
          <w:sz w:val="14"/>
          <w:szCs w:val="14"/>
          <w:rtl/>
        </w:rPr>
        <w:t>[אות יב]</w:t>
      </w:r>
      <w:r w:rsidRPr="00085E47">
        <w:rPr>
          <w:rFonts w:asciiTheme="minorBidi" w:hAnsiTheme="minorBidi"/>
          <w:sz w:val="16"/>
          <w:szCs w:val="16"/>
          <w:rtl/>
        </w:rPr>
        <w:t>}</w:t>
      </w:r>
      <w:r w:rsidRPr="00085E47">
        <w:rPr>
          <w:rFonts w:asciiTheme="minorBidi" w:hAnsiTheme="minorBidi"/>
          <w:rtl/>
        </w:rPr>
        <w:t xml:space="preserve">, אבל אם חתכו הבצל בסכין של איסור אפילו יש ס' צריך להפריש הבצלים מן התבשיל ע"י סינון </w:t>
      </w:r>
      <w:r w:rsidRPr="00085E47">
        <w:rPr>
          <w:rFonts w:asciiTheme="minorBidi" w:hAnsiTheme="minorBidi"/>
          <w:sz w:val="16"/>
          <w:szCs w:val="16"/>
          <w:rtl/>
        </w:rPr>
        <w:t xml:space="preserve">{וצריך שימתין עד שיצטנן דאל"כ יש לחוש שישאר עם פחות מס' ויחזור ויאסור הכל, דגמ"ר} </w:t>
      </w:r>
      <w:r w:rsidRPr="00085E47">
        <w:rPr>
          <w:rFonts w:asciiTheme="minorBidi" w:hAnsiTheme="minorBidi"/>
          <w:rtl/>
        </w:rPr>
        <w:t>או בע"א במה שאפשר דקי"ל אפשר לסוחטו אסור ע"כ וע"ל סי' צ"ו.</w:t>
      </w:r>
    </w:p>
  </w:footnote>
  <w:footnote w:id="1569">
    <w:p w14:paraId="3BDF74AB"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כלומר כל שכן בקדרה דאינו אלא נ"ט בר נ"ט דאמרינן הכי, ועיין בסקכ"ב, ש"ך (סקכ"ד).</w:t>
      </w:r>
    </w:p>
  </w:footnote>
  <w:footnote w:id="1570">
    <w:p w14:paraId="068B9C8A"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פירוש אפילו תוך מעל"ע של בישול חלב, והא דהוה זה כל שכן- לפי שכאן אין בלוע מחלב עצמו וטעם החלב הבלוע כבר נקלש ע"י המים, ט"ז (סקי"א).</w:t>
      </w:r>
    </w:p>
  </w:footnote>
  <w:footnote w:id="1571">
    <w:p w14:paraId="35011A7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ומה שהוא מצריך ששים כנגד כל הסכין לטעמיה אזיל הר"פ (סי' ריג דיני ביטול אות ב) שהוא סובר בתוחב כף חולבת בקדרת בשר שאם היא של מתכת משערים בכולה אף מה שלא נכנס ממנה בקדרה משום דחם מקצתו חם כולו אבל לדברי החולקים עליו שם הכא נמי אין צריך אלא ששים כנגד חלק הסכין שחתך הבשר, ב"י. ודעת הב"י (תחילת הסימן) שלא כר"פ. וכ"כ הדרכ"מ (אות ב ואות ח) שאין נוהגים כר"פ אלא כהמרדכי (סי' תרעח) דאין לחלק ואף בשל מתכות א"צ לשער רק כמה שהכניס. </w:t>
      </w:r>
      <w:r w:rsidRPr="00085E47">
        <w:rPr>
          <w:rFonts w:asciiTheme="minorBidi" w:hAnsiTheme="minorBidi"/>
          <w:color w:val="E36C0A" w:themeColor="accent6" w:themeShade="BF"/>
          <w:rtl/>
        </w:rPr>
        <w:t>(וכ"פ בשו"ע)</w:t>
      </w:r>
    </w:p>
  </w:footnote>
  <w:footnote w:id="1572">
    <w:p w14:paraId="0662551A"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משום שמנונית הנדבק בדופני הסכין, ר"פ (שם אות טו). הביאו הב"י. </w:t>
      </w:r>
      <w:r w:rsidRPr="00085E47">
        <w:rPr>
          <w:rFonts w:asciiTheme="minorBidi" w:hAnsiTheme="minorBidi"/>
          <w:color w:val="FF0000"/>
          <w:rtl/>
        </w:rPr>
        <w:t>(וכ' הדרכ"מ (אות ט) לעי' לקמן סי' קה (ד"מ אות ה) כיצד נוהגין בדין זה)</w:t>
      </w:r>
    </w:p>
  </w:footnote>
  <w:footnote w:id="1573">
    <w:p w14:paraId="05678D8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ואע"ג דלקמן סי' קה ס"ד כתבו הט"ו דאם נפל איסור על חתיכה שבקדרה שהוא חוץ לרוטב סגי בנטילה, י"ל דשאני הכא דאגב דוחקא דסכינא מתפשט בכולו </w:t>
      </w:r>
      <w:r w:rsidRPr="00085E47">
        <w:rPr>
          <w:rFonts w:asciiTheme="minorBidi" w:hAnsiTheme="minorBidi"/>
          <w:sz w:val="16"/>
          <w:szCs w:val="16"/>
          <w:rtl/>
        </w:rPr>
        <w:t>(וכ"מ חילוק זה בב"י ובאו"ה שם ע"ש)</w:t>
      </w:r>
      <w:r w:rsidRPr="00085E47">
        <w:rPr>
          <w:rFonts w:asciiTheme="minorBidi" w:hAnsiTheme="minorBidi"/>
          <w:rtl/>
        </w:rPr>
        <w:t>, עי"ל דסתם סכין הוא בלוע ג"כ משמנונית של חמאה וכה"ג, א"נ מיירי שהבשר שמן ובדבר של שמן כתבו הט"ו שם סע' ה' דאוסר עד ס' וע"ש, ואע"ג דלקמן ר"ס צ"ו אם חתך בסכין של איסור או של חלב צנון אינו אסור אלא כדי נטילה, י"ל דהתם ליכא אלא משום חורפא דצנון ואע"ג דיש פוסקים והביאם המחבר שם דחורפיה דצנון עדיף מרותח דאפילו אין הסכין בן יומו משוי ליה נ"ט לשבח מ"מ לענין להתפשט בכולה בישול עדיף, ש"ך</w:t>
      </w:r>
      <w:r w:rsidRPr="00085E47">
        <w:rPr>
          <w:rFonts w:asciiTheme="minorBidi" w:hAnsiTheme="minorBidi"/>
          <w:sz w:val="16"/>
          <w:szCs w:val="16"/>
          <w:rtl/>
        </w:rPr>
        <w:t xml:space="preserve"> (סקכ"ז)</w:t>
      </w:r>
      <w:r w:rsidRPr="00085E47">
        <w:rPr>
          <w:rFonts w:asciiTheme="minorBidi" w:hAnsiTheme="minorBidi"/>
          <w:rtl/>
        </w:rPr>
        <w:t>.</w:t>
      </w:r>
    </w:p>
  </w:footnote>
  <w:footnote w:id="1574">
    <w:p w14:paraId="70AE4285"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אבל רש"ל (פג"ה סי' מב) כ' שצריך לשער נגד כל הסכין דהיינו הלהב חוץ לקתא, דכל חותך בסכין אינו מדקדק כמה חתך בסכין, ואף אם יאמר ברי לי שלא חתכתי רק במקום זה אינו נאמן דכל מלתא דלא רמיא עליה דאינש לאו אדעתיה, עכ"ל. והביאוהו הט"ז (סקי"א) והש"ך (סקכ"ח), וכ' הש"ך שדברי המחבר והרב עיקר, מיהו ודאי דלא אמרו אלא כשידוע לו בבירור עד כמה חתך אבל מן הסתם ודאי הדרך לחתוך בכל הסכין וצריך ס' כנגד כל הסכין חוץ מן הקתא.</w:t>
      </w:r>
    </w:p>
  </w:footnote>
  <w:footnote w:id="1575">
    <w:p w14:paraId="683AE286"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וכ' הש"ך (סקכ"ט) דאע"ג דבסי' י ובסי' צו ובאו"ח סי' תמז קיי"ל דסתם סכין אינו נקי מ"מ השמנונית שעליו אינו אוסר יותר מכדי קליפה, ואע"ג דלקמן ר"ס צ"ו גבי צנון משמע דאם אינו בן יומו ואינו מקונח אוסר כדי נטילה י"ל דהתם אגב חורפיה דצנון ודוחקא דסכינא משוי למה שבקליפת הסכין ולמה שעל פני הסכין בן יומו ואוסר עד כדי נטילה. וכ' הט"ז (סקי"ג) דגם ברישא אם יש ששים נגד מקום הסכין אפ"ה צריך קליפה, וכן נמי אפי' אינו בן יומו אם אין ששים נגד השמנונית שעל הסכין אסור כולה והמיקל בזה אינו אלא מן המתמיהים </w:t>
      </w:r>
      <w:r w:rsidRPr="00085E47">
        <w:rPr>
          <w:rFonts w:asciiTheme="minorBidi" w:hAnsiTheme="minorBidi"/>
          <w:sz w:val="16"/>
          <w:szCs w:val="16"/>
          <w:rtl/>
        </w:rPr>
        <w:t>{והסכים עימו הש"ך בנה"כ אות ג}</w:t>
      </w:r>
      <w:r w:rsidRPr="00085E47">
        <w:rPr>
          <w:rFonts w:asciiTheme="minorBidi" w:hAnsiTheme="minorBidi"/>
          <w:rtl/>
        </w:rPr>
        <w:t>. עכ"ל הבאה"ט (סקכ"א).</w:t>
      </w:r>
    </w:p>
  </w:footnote>
  <w:footnote w:id="1576">
    <w:p w14:paraId="36111269"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בציונים לרמ"א נרשם כאן ארוך כלל ל"ו </w:t>
      </w:r>
      <w:r w:rsidRPr="00085E47">
        <w:rPr>
          <w:rFonts w:asciiTheme="minorBidi" w:hAnsiTheme="minorBidi"/>
          <w:sz w:val="16"/>
          <w:szCs w:val="16"/>
          <w:rtl/>
        </w:rPr>
        <w:t>(דין ז-ח)</w:t>
      </w:r>
      <w:r w:rsidRPr="00085E47">
        <w:rPr>
          <w:rFonts w:asciiTheme="minorBidi" w:hAnsiTheme="minorBidi"/>
          <w:rtl/>
        </w:rPr>
        <w:t xml:space="preserve">, אך דברי האו"ה הללו לא הובאו לא בדרכ"מ ולא בת"ח, ואדרבה דעת האו"ה </w:t>
      </w:r>
      <w:r w:rsidRPr="00085E47">
        <w:rPr>
          <w:rFonts w:asciiTheme="minorBidi" w:hAnsiTheme="minorBidi"/>
          <w:sz w:val="16"/>
          <w:szCs w:val="16"/>
          <w:rtl/>
        </w:rPr>
        <w:t xml:space="preserve">(כלל לו ד"ז) </w:t>
      </w:r>
      <w:r w:rsidRPr="00085E47">
        <w:rPr>
          <w:rFonts w:asciiTheme="minorBidi" w:hAnsiTheme="minorBidi"/>
          <w:rtl/>
        </w:rPr>
        <w:t xml:space="preserve">דאפילו בכלי שני נדון ככלי ראשון כל זמן שהיד סולדת בו וצריך הגעלה הואיל והוא דבר גוש, וכן דעת מהרש"ל </w:t>
      </w:r>
      <w:r w:rsidRPr="00085E47">
        <w:rPr>
          <w:rFonts w:asciiTheme="minorBidi" w:hAnsiTheme="minorBidi"/>
          <w:sz w:val="16"/>
          <w:szCs w:val="16"/>
          <w:rtl/>
        </w:rPr>
        <w:t xml:space="preserve">(באו"ש סי' נא) </w:t>
      </w:r>
      <w:r w:rsidRPr="00085E47">
        <w:rPr>
          <w:rFonts w:asciiTheme="minorBidi" w:hAnsiTheme="minorBidi"/>
          <w:rtl/>
        </w:rPr>
        <w:t xml:space="preserve">דבדבר גוש כגון בשר וכיוצא בו שאינו צלול אין חילוק בין כלי ראשון לכלי שני אלא כל זמן שהיד סולדת בו אסור, ויתבאר זה בסי' ק"ה סק"ז בס"ד, אלא הוא דעת הרב עצמו כדאיתא בת"ח סוף כלל ס"א, ע"פ ש"ך </w:t>
      </w:r>
      <w:r w:rsidRPr="00085E47">
        <w:rPr>
          <w:rFonts w:asciiTheme="minorBidi" w:hAnsiTheme="minorBidi"/>
          <w:sz w:val="16"/>
          <w:szCs w:val="16"/>
          <w:rtl/>
        </w:rPr>
        <w:t>(סק"ל)</w:t>
      </w:r>
      <w:r w:rsidRPr="00085E47">
        <w:rPr>
          <w:rFonts w:asciiTheme="minorBidi" w:hAnsiTheme="minorBidi"/>
          <w:rtl/>
        </w:rPr>
        <w:t>. וכ' הט"ז</w:t>
      </w:r>
      <w:r w:rsidRPr="00085E47">
        <w:rPr>
          <w:rFonts w:asciiTheme="minorBidi" w:hAnsiTheme="minorBidi"/>
          <w:sz w:val="16"/>
          <w:szCs w:val="16"/>
          <w:rtl/>
        </w:rPr>
        <w:t xml:space="preserve"> (סקי"ד) </w:t>
      </w:r>
      <w:r w:rsidRPr="00085E47">
        <w:rPr>
          <w:rFonts w:asciiTheme="minorBidi" w:hAnsiTheme="minorBidi"/>
          <w:rtl/>
        </w:rPr>
        <w:t>דבמקום שיש דוחקא דסכינא יש להחמיר כאו"ה אבל באין דוחקא דסכינא כההיא דתחב כף שזכר רש"ל בזה יש להקל כדעת רמ"א.</w:t>
      </w:r>
    </w:p>
  </w:footnote>
  <w:footnote w:id="1577">
    <w:p w14:paraId="47FC16EB"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הא דכתב כן אסכין בן יומו דצריך הגעלה ולא כ"כ נמי אאינו בן יומו דהא הוא בלוע מבשר וחלב דאסור להשתמש בו לא בשר ולא חלב כדלעיל ס"ד גבי כף היינו משום דבאינו בן יומו מותר להשתמש בו שאר דברים כגון דגים וירקות וכה"ג וכדלעיל סי' צ"ג בהג"ה משא"כ בבן יומו דנעשה הסכין נבילה ואסור להשתמש בו אפילו שאר דברים והלכך צריך הגעלה, ש"ך (סקל"א).</w:t>
      </w:r>
    </w:p>
  </w:footnote>
  <w:footnote w:id="1578">
    <w:p w14:paraId="2D0807DE"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מ"ש והסכין צריך נעיצה אף שהבשר הוא רך אבל אם חתך בו דבר קשה כגון גבינה קשה וכה"ג אע"פ שהוא צונן צריך הסכין נעיצה, כמ"ש האו"ה כלל נ"ח ד"ד. ועי' לעיל סי' פט סקכ"ב, ועי' לקמן ס"ס קכ"א מדין נעיצה, ש"ך (סקל"א).</w:t>
      </w:r>
    </w:p>
  </w:footnote>
  <w:footnote w:id="1579">
    <w:p w14:paraId="2822A8F7" w14:textId="77777777" w:rsidR="004C5A3C" w:rsidRDefault="004C5A3C" w:rsidP="002C39F4">
      <w:pPr>
        <w:pStyle w:val="a5"/>
        <w:rPr>
          <w:rtl/>
        </w:rPr>
      </w:pPr>
      <w:r>
        <w:rPr>
          <w:rStyle w:val="a7"/>
        </w:rPr>
        <w:footnoteRef/>
      </w:r>
      <w:r>
        <w:rPr>
          <w:rtl/>
        </w:rPr>
        <w:t xml:space="preserve"> </w:t>
      </w:r>
      <w:r w:rsidRPr="009D6846">
        <w:rPr>
          <w:rFonts w:cs="Arial"/>
          <w:rtl/>
        </w:rPr>
        <w:t>פנאד"ש</w:t>
      </w:r>
      <w:r>
        <w:rPr>
          <w:rFonts w:hint="cs"/>
          <w:rtl/>
        </w:rPr>
        <w:t xml:space="preserve"> הוא מאכל בשר, והמקרה כאן הוא שלא היה בפנים </w:t>
      </w:r>
      <w:r w:rsidRPr="009D6846">
        <w:rPr>
          <w:rFonts w:cs="Arial"/>
          <w:rtl/>
        </w:rPr>
        <w:t>פנאד"ש</w:t>
      </w:r>
      <w:r>
        <w:rPr>
          <w:rFonts w:cs="Arial" w:hint="cs"/>
          <w:rtl/>
        </w:rPr>
        <w:t xml:space="preserve"> אלא הגבינה נפלה על תנור של </w:t>
      </w:r>
      <w:r w:rsidRPr="009D6846">
        <w:rPr>
          <w:rFonts w:cs="Arial"/>
          <w:rtl/>
        </w:rPr>
        <w:t>פנאד"ש</w:t>
      </w:r>
      <w:r>
        <w:rPr>
          <w:rFonts w:cs="Arial" w:hint="cs"/>
          <w:rtl/>
        </w:rPr>
        <w:t xml:space="preserve"> כשהיה ריק אך בן יומו, והא דצריך קליפה נפ"מ למקרה שאפשר לקלוף מהכלי/מהתנור, וכן נפ"מ לשיעור האיסור (כגון שבישלו בכלי דבר לח).</w:t>
      </w:r>
    </w:p>
  </w:footnote>
  <w:footnote w:id="1580">
    <w:p w14:paraId="54B8D2FD"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ונראה דלא דמי לבשר רותח שחתכו בסכין חולבת דאסר הר"פ, דהתם שאני דאגב דוחקא דסכינא מיבלע טובא, א"נ התם היינו טעמא משום דהסכין פעמים שהשומן קרוש עליו ואינו ניכר וכשחותך בו הרי טעם הבא מן הממש משא"כ בקערה. ונראה ללמוד מכאן לגבינה בבצק שמטגנין בשמן, שנתנוה חמה בקערת בשר בת יומא, שאינה צריכה אלא קליפה בלבד דהתם הא ליכא טעמא דדוחקא דסכינא וכיון דאין שם רוטב להבליע ולהפליט אינו אוסר יותר מכדי קליפה, וכך נראה ממה שכתבו התוס' </w:t>
      </w:r>
      <w:r w:rsidRPr="00085E47">
        <w:rPr>
          <w:rFonts w:asciiTheme="minorBidi" w:hAnsiTheme="minorBidi"/>
          <w:sz w:val="16"/>
          <w:szCs w:val="16"/>
          <w:rtl/>
        </w:rPr>
        <w:t xml:space="preserve">(קיא: ד"ה הלכתא דגים) </w:t>
      </w:r>
      <w:r w:rsidRPr="00085E47">
        <w:rPr>
          <w:rFonts w:asciiTheme="minorBidi" w:hAnsiTheme="minorBidi"/>
          <w:rtl/>
        </w:rPr>
        <w:t xml:space="preserve">והרא"ש </w:t>
      </w:r>
      <w:r w:rsidRPr="00085E47">
        <w:rPr>
          <w:rFonts w:asciiTheme="minorBidi" w:hAnsiTheme="minorBidi"/>
          <w:sz w:val="16"/>
          <w:szCs w:val="16"/>
          <w:rtl/>
        </w:rPr>
        <w:t>(פכ"ה סי' כט)</w:t>
      </w:r>
      <w:r w:rsidRPr="00085E47">
        <w:rPr>
          <w:rFonts w:asciiTheme="minorBidi" w:hAnsiTheme="minorBidi"/>
          <w:rtl/>
        </w:rPr>
        <w:t xml:space="preserve"> גבי דגים שעלו בקערה פירוש שעלו מן הצלי, או צוננין בקערה רותחת, בין למאן דאמר עילאה גבר בין למאן דאמר תתאה גבר אדמיקר ליה בלע ובעי כדי קליפה כדאמרינן בפכ"צ</w:t>
      </w:r>
      <w:r w:rsidRPr="00085E47">
        <w:rPr>
          <w:rFonts w:asciiTheme="minorBidi" w:hAnsiTheme="minorBidi"/>
          <w:sz w:val="16"/>
          <w:szCs w:val="16"/>
          <w:rtl/>
        </w:rPr>
        <w:t xml:space="preserve"> (פסחים עו.)</w:t>
      </w:r>
      <w:r w:rsidRPr="00085E47">
        <w:rPr>
          <w:rFonts w:asciiTheme="minorBidi" w:hAnsiTheme="minorBidi"/>
          <w:rtl/>
        </w:rPr>
        <w:t xml:space="preserve"> ויתבאר זה עוד בסי' קה </w:t>
      </w:r>
      <w:r w:rsidRPr="00085E47">
        <w:rPr>
          <w:rFonts w:asciiTheme="minorBidi" w:hAnsiTheme="minorBidi"/>
          <w:sz w:val="16"/>
          <w:szCs w:val="16"/>
          <w:rtl/>
        </w:rPr>
        <w:t xml:space="preserve">(קסה.) </w:t>
      </w:r>
      <w:r w:rsidRPr="00085E47">
        <w:rPr>
          <w:rFonts w:asciiTheme="minorBidi" w:hAnsiTheme="minorBidi"/>
          <w:rtl/>
        </w:rPr>
        <w:t>בס"ד, ב"י.</w:t>
      </w:r>
    </w:p>
  </w:footnote>
  <w:footnote w:id="1581">
    <w:p w14:paraId="518303C8"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פי', שנפל על פנאד"ש חמה- גבינה, אפילו לחה, סגי לפנאד"ש בקליפה, ול"ד לדלקמן סימן ק"ה דאיסור שנפל על היתר חם צריך נטילה דאין דרך גבינה ליכנס כל כך, רי"ו בשם ר"י, וא"כ הגבינה עצמה צריך נטילה, ש"ך </w:t>
      </w:r>
      <w:r w:rsidRPr="00085E47">
        <w:rPr>
          <w:rFonts w:asciiTheme="minorBidi" w:hAnsiTheme="minorBidi"/>
          <w:sz w:val="16"/>
          <w:szCs w:val="16"/>
          <w:rtl/>
        </w:rPr>
        <w:t>(סקל"ב, וכ"ד הגר"א סקכ"ט)</w:t>
      </w:r>
      <w:r w:rsidRPr="00085E47">
        <w:rPr>
          <w:rFonts w:asciiTheme="minorBidi" w:hAnsiTheme="minorBidi"/>
          <w:rtl/>
        </w:rPr>
        <w:t xml:space="preserve">. ואם הפנאד"ש שמן נאסרה הגבינה כולה, ולדידן </w:t>
      </w:r>
      <w:r w:rsidRPr="00085E47">
        <w:rPr>
          <w:rFonts w:asciiTheme="minorBidi" w:hAnsiTheme="minorBidi"/>
          <w:sz w:val="16"/>
          <w:szCs w:val="16"/>
          <w:rtl/>
        </w:rPr>
        <w:t xml:space="preserve">[סי' קה סע' ה בהגה] </w:t>
      </w:r>
      <w:r w:rsidRPr="00085E47">
        <w:rPr>
          <w:rFonts w:asciiTheme="minorBidi" w:hAnsiTheme="minorBidi"/>
          <w:rtl/>
        </w:rPr>
        <w:t>בכל עניין נאסרה כולה, דגמ"ר (אוצמ"פ).</w:t>
      </w:r>
    </w:p>
  </w:footnote>
  <w:footnote w:id="1582">
    <w:p w14:paraId="2A3501A0"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דין זה למד בב"י מדין פנאד"ש, וס"ל דדבר הבלוע אינו נכנס יותר מגבינה, וכ' דה"ט דבקערה ליכא טעמא דדוחקא דסכינא (כמו בגבינה), וכיון דאין שם רוטב להבליע ולהפליט אינו אוסר יותר מכדי קליפה, והשו"ע מיירי כשגם הקערה חמה, אבל הרשב"א</w:t>
      </w:r>
      <w:r w:rsidRPr="00085E47">
        <w:rPr>
          <w:rFonts w:asciiTheme="minorBidi" w:hAnsiTheme="minorBidi"/>
          <w:sz w:val="16"/>
          <w:szCs w:val="16"/>
          <w:rtl/>
        </w:rPr>
        <w:t xml:space="preserve"> (חולין קיא:, ותוה"ב ב"ג ש"ג עו.)</w:t>
      </w:r>
      <w:r w:rsidRPr="00085E47">
        <w:rPr>
          <w:rFonts w:asciiTheme="minorBidi" w:hAnsiTheme="minorBidi"/>
          <w:rtl/>
        </w:rPr>
        <w:t xml:space="preserve"> כתב ג' חילוקים, בנגוב אוסר כדי קליפה, וברטוב קצת אוסר כדי נטילה, ואם הוא לח גמור צריך ס' נגד כל הקערה, והש"ך </w:t>
      </w:r>
      <w:r w:rsidRPr="00085E47">
        <w:rPr>
          <w:rFonts w:asciiTheme="minorBidi" w:hAnsiTheme="minorBidi"/>
          <w:sz w:val="16"/>
          <w:szCs w:val="16"/>
          <w:rtl/>
        </w:rPr>
        <w:t xml:space="preserve">(סקל"ג) </w:t>
      </w:r>
      <w:r w:rsidRPr="00085E47">
        <w:rPr>
          <w:rFonts w:asciiTheme="minorBidi" w:hAnsiTheme="minorBidi"/>
          <w:rtl/>
        </w:rPr>
        <w:t xml:space="preserve">תפס דברי הרשב"א כאן להלכה, ע"פ ש"ך </w:t>
      </w:r>
      <w:r w:rsidRPr="00085E47">
        <w:rPr>
          <w:rFonts w:asciiTheme="minorBidi" w:hAnsiTheme="minorBidi"/>
          <w:sz w:val="16"/>
          <w:szCs w:val="16"/>
          <w:rtl/>
        </w:rPr>
        <w:t xml:space="preserve">(סקל"ג) </w:t>
      </w:r>
      <w:r w:rsidRPr="00085E47">
        <w:rPr>
          <w:rFonts w:asciiTheme="minorBidi" w:hAnsiTheme="minorBidi"/>
          <w:rtl/>
        </w:rPr>
        <w:t xml:space="preserve">וגר"א </w:t>
      </w:r>
      <w:r w:rsidRPr="00085E47">
        <w:rPr>
          <w:rFonts w:asciiTheme="minorBidi" w:hAnsiTheme="minorBidi"/>
          <w:sz w:val="16"/>
          <w:szCs w:val="16"/>
          <w:rtl/>
        </w:rPr>
        <w:t>(סק"ל)</w:t>
      </w:r>
      <w:r w:rsidRPr="00085E47">
        <w:rPr>
          <w:rFonts w:asciiTheme="minorBidi" w:hAnsiTheme="minorBidi"/>
          <w:rtl/>
        </w:rPr>
        <w:t>.</w:t>
      </w:r>
    </w:p>
  </w:footnote>
  <w:footnote w:id="1583">
    <w:p w14:paraId="4E8C152A"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והרב שלא הגיה כלום אפשר דמודה נמי לזה דאע"ג דבכל דברים של מאכל יבשים לגמרי ס"ל דאוסר כולו, וכדלקמן סי' קה </w:t>
      </w:r>
      <w:r w:rsidRPr="00C8571C">
        <w:rPr>
          <w:rFonts w:asciiTheme="minorBidi" w:hAnsiTheme="minorBidi" w:hint="cs"/>
          <w:sz w:val="16"/>
          <w:szCs w:val="16"/>
          <w:rtl/>
        </w:rPr>
        <w:t>(</w:t>
      </w:r>
      <w:r w:rsidRPr="00C8571C">
        <w:rPr>
          <w:rFonts w:asciiTheme="minorBidi" w:hAnsiTheme="minorBidi"/>
          <w:sz w:val="16"/>
          <w:szCs w:val="16"/>
          <w:rtl/>
        </w:rPr>
        <w:t>ובת"ח כלל כג</w:t>
      </w:r>
      <w:r>
        <w:rPr>
          <w:rFonts w:asciiTheme="minorBidi" w:hAnsiTheme="minorBidi" w:hint="cs"/>
          <w:sz w:val="16"/>
          <w:szCs w:val="16"/>
          <w:rtl/>
        </w:rPr>
        <w:t>)</w:t>
      </w:r>
      <w:r w:rsidRPr="00085E47">
        <w:rPr>
          <w:rFonts w:asciiTheme="minorBidi" w:hAnsiTheme="minorBidi"/>
          <w:rtl/>
        </w:rPr>
        <w:t xml:space="preserve">, מ"מ בכלי גרע כיון דאין האיסור בעין, ואע"ג דכתב </w:t>
      </w:r>
      <w:r w:rsidRPr="00085E47">
        <w:rPr>
          <w:rFonts w:asciiTheme="minorBidi" w:hAnsiTheme="minorBidi"/>
          <w:sz w:val="16"/>
          <w:szCs w:val="16"/>
          <w:rtl/>
        </w:rPr>
        <w:t xml:space="preserve">{הרמ"א} </w:t>
      </w:r>
      <w:r w:rsidRPr="00085E47">
        <w:rPr>
          <w:rFonts w:asciiTheme="minorBidi" w:hAnsiTheme="minorBidi"/>
          <w:rtl/>
        </w:rPr>
        <w:t xml:space="preserve">בסי' קה ס"ז דכלי עדיף שאוסרת היתר שנוגע בו באיסור שאינו שמן אפי' בלא רוטב- י"ל דנהי דעדיף </w:t>
      </w:r>
      <w:r w:rsidRPr="00085E47">
        <w:rPr>
          <w:rFonts w:asciiTheme="minorBidi" w:hAnsiTheme="minorBidi"/>
          <w:u w:val="single"/>
          <w:rtl/>
        </w:rPr>
        <w:t>דמפליט</w:t>
      </w:r>
      <w:r w:rsidRPr="00085E47">
        <w:rPr>
          <w:rFonts w:asciiTheme="minorBidi" w:hAnsiTheme="minorBidi"/>
          <w:rtl/>
        </w:rPr>
        <w:t xml:space="preserve"> בלא רוטב מאחר שאין בו פליטה מגופו מ"מ אינו </w:t>
      </w:r>
      <w:r w:rsidRPr="00085E47">
        <w:rPr>
          <w:rFonts w:asciiTheme="minorBidi" w:hAnsiTheme="minorBidi"/>
          <w:u w:val="single"/>
          <w:rtl/>
        </w:rPr>
        <w:t>פולט</w:t>
      </w:r>
      <w:r w:rsidRPr="00085E47">
        <w:rPr>
          <w:rFonts w:asciiTheme="minorBidi" w:hAnsiTheme="minorBidi"/>
          <w:rtl/>
        </w:rPr>
        <w:t xml:space="preserve"> בלא רוטב רק כדי קליפה, וכ"כ בדרכ"מ סי' קה, הבאתיו סי' קה סקכ"ג ע"ש, ומ"מ צ"ע, ש"ך (סקל"ג).</w:t>
      </w:r>
    </w:p>
  </w:footnote>
  <w:footnote w:id="1584">
    <w:p w14:paraId="6F14D561"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ולי נראה אפילו אם היה נותן טעם לשבח שרי משום דהוי נ"ט בר נ"ט דהיתרא, ב"י.</w:t>
      </w:r>
      <w:r w:rsidRPr="00085E47">
        <w:rPr>
          <w:rFonts w:asciiTheme="minorBidi" w:hAnsiTheme="minorBidi"/>
          <w:color w:val="E36C0A" w:themeColor="accent6" w:themeShade="BF"/>
          <w:rtl/>
        </w:rPr>
        <w:t xml:space="preserve"> (וכ"פ בשו"ע)</w:t>
      </w:r>
      <w:r w:rsidRPr="00085E47">
        <w:rPr>
          <w:rFonts w:asciiTheme="minorBidi" w:hAnsiTheme="minorBidi"/>
          <w:rtl/>
        </w:rPr>
        <w:t>. והביא הט"ז (סקי"ז) את סיום דברי המרדכי וז"ל- אבל אם היה לשבח היה אסור משום דס"ל דגים שעלו בקערה עלו אין נתבשלו לא, ע"כ. אך הב"י לא הביא סיום דבריו. וכ' הט"ז דיש נפ"מ בטעם המרדכי דאפילו היה בשר בעין במחבת שבשלו הדבש דאז הוה אסור ולא הוה נ"ט בר נ"ט כמ"ש בסי' צ"ה גבי ביצה שנתבשלה עם בשר כו' מ"מ כאן שרי מטעם דהוה נ"ט לפגם, ואם כן לא היה לו לשו"ע להשמיט טעמו של המרדכי בזה, אך השיג עליו הש"ך (בנה"כ) וכ' דהשו"ע ראה את סיום דברי המרדכי אך לא הביאם כאן משום דאין זה מקומו אבל לקמן בסי' קג סע' ד' בדין נטל"פ הביא השו"ע דבריו בהדיא.</w:t>
      </w:r>
    </w:p>
  </w:footnote>
  <w:footnote w:id="1585">
    <w:p w14:paraId="0D4AE460" w14:textId="77777777" w:rsidR="004C5A3C" w:rsidRDefault="004C5A3C" w:rsidP="002C39F4">
      <w:pPr>
        <w:pStyle w:val="a5"/>
        <w:rPr>
          <w:rtl/>
        </w:rPr>
      </w:pPr>
      <w:r>
        <w:rPr>
          <w:rStyle w:val="a7"/>
        </w:rPr>
        <w:footnoteRef/>
      </w:r>
      <w:r>
        <w:rPr>
          <w:rtl/>
        </w:rPr>
        <w:t xml:space="preserve"> </w:t>
      </w:r>
      <w:r w:rsidRPr="00C8571C">
        <w:rPr>
          <w:rFonts w:cs="Arial"/>
          <w:rtl/>
        </w:rPr>
        <w:t>אף לכתחילה מותר לאוכלו עם חלב</w:t>
      </w:r>
      <w:r>
        <w:rPr>
          <w:rFonts w:cs="Arial" w:hint="cs"/>
          <w:rtl/>
        </w:rPr>
        <w:t>,</w:t>
      </w:r>
      <w:r w:rsidRPr="00C8571C">
        <w:rPr>
          <w:rFonts w:cs="Arial"/>
          <w:rtl/>
        </w:rPr>
        <w:t xml:space="preserve"> וכ</w:t>
      </w:r>
      <w:r>
        <w:rPr>
          <w:rFonts w:cs="Arial" w:hint="cs"/>
          <w:rtl/>
        </w:rPr>
        <w:t>"</w:t>
      </w:r>
      <w:r w:rsidRPr="00C8571C">
        <w:rPr>
          <w:rFonts w:cs="Arial"/>
          <w:rtl/>
        </w:rPr>
        <w:t>ש להריקו בקערה של חלב</w:t>
      </w:r>
      <w:r>
        <w:rPr>
          <w:rFonts w:cs="Arial" w:hint="cs"/>
          <w:rtl/>
        </w:rPr>
        <w:t>,</w:t>
      </w:r>
      <w:r w:rsidRPr="00C8571C">
        <w:rPr>
          <w:rFonts w:cs="Arial"/>
          <w:rtl/>
        </w:rPr>
        <w:t xml:space="preserve"> וכדלקמן בריש סי</w:t>
      </w:r>
      <w:r>
        <w:rPr>
          <w:rFonts w:cs="Arial" w:hint="cs"/>
          <w:rtl/>
        </w:rPr>
        <w:t>'</w:t>
      </w:r>
      <w:r w:rsidRPr="00C8571C">
        <w:rPr>
          <w:rFonts w:cs="Arial"/>
          <w:rtl/>
        </w:rPr>
        <w:t xml:space="preserve"> צה, אלא שנמשך אחר ל</w:t>
      </w:r>
      <w:r>
        <w:rPr>
          <w:rFonts w:cs="Arial" w:hint="cs"/>
          <w:rtl/>
        </w:rPr>
        <w:t>'</w:t>
      </w:r>
      <w:r w:rsidRPr="00C8571C">
        <w:rPr>
          <w:rFonts w:cs="Arial"/>
          <w:rtl/>
        </w:rPr>
        <w:t xml:space="preserve"> המרדכי </w:t>
      </w:r>
      <w:r w:rsidRPr="00C8571C">
        <w:rPr>
          <w:rFonts w:cs="Arial" w:hint="cs"/>
          <w:sz w:val="16"/>
          <w:szCs w:val="16"/>
          <w:rtl/>
        </w:rPr>
        <w:t>(</w:t>
      </w:r>
      <w:r w:rsidRPr="00C8571C">
        <w:rPr>
          <w:rFonts w:cs="Arial"/>
          <w:sz w:val="16"/>
          <w:szCs w:val="16"/>
          <w:rtl/>
        </w:rPr>
        <w:t>פסחים רמז תקסב; ע</w:t>
      </w:r>
      <w:r>
        <w:rPr>
          <w:rFonts w:cs="Arial" w:hint="cs"/>
          <w:sz w:val="16"/>
          <w:szCs w:val="16"/>
          <w:rtl/>
        </w:rPr>
        <w:t>"</w:t>
      </w:r>
      <w:r w:rsidRPr="00C8571C">
        <w:rPr>
          <w:rFonts w:cs="Arial"/>
          <w:sz w:val="16"/>
          <w:szCs w:val="16"/>
          <w:rtl/>
        </w:rPr>
        <w:t>ז רמז תתלו</w:t>
      </w:r>
      <w:r>
        <w:rPr>
          <w:rFonts w:cs="Arial" w:hint="cs"/>
          <w:sz w:val="16"/>
          <w:szCs w:val="16"/>
          <w:rtl/>
        </w:rPr>
        <w:t>)</w:t>
      </w:r>
      <w:r w:rsidRPr="00C8571C">
        <w:rPr>
          <w:rFonts w:cs="Arial"/>
          <w:rtl/>
        </w:rPr>
        <w:t xml:space="preserve"> שהתירו מטעם נ</w:t>
      </w:r>
      <w:r>
        <w:rPr>
          <w:rFonts w:cs="Arial" w:hint="cs"/>
          <w:rtl/>
        </w:rPr>
        <w:t>טל"פ,</w:t>
      </w:r>
      <w:r w:rsidRPr="00C8571C">
        <w:rPr>
          <w:rFonts w:cs="Arial"/>
          <w:rtl/>
        </w:rPr>
        <w:t xml:space="preserve"> דמההוא טעמא לא שרי אלא בדיעבד</w:t>
      </w:r>
      <w:r>
        <w:rPr>
          <w:rFonts w:cs="Arial" w:hint="cs"/>
          <w:rtl/>
        </w:rPr>
        <w:t>...</w:t>
      </w:r>
      <w:r w:rsidRPr="00C8571C">
        <w:rPr>
          <w:rFonts w:cs="Arial"/>
          <w:rtl/>
        </w:rPr>
        <w:t xml:space="preserve"> וזה ברור</w:t>
      </w:r>
      <w:r>
        <w:rPr>
          <w:rFonts w:hint="cs"/>
          <w:rtl/>
        </w:rPr>
        <w:t>, פר"ח (סקל"א).</w:t>
      </w:r>
    </w:p>
  </w:footnote>
  <w:footnote w:id="1586">
    <w:p w14:paraId="0D27ED5A"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וא"כ מוכח דמיירי שהריקוהו בעירוי ולא פסק הקלוח דאל"כ בלאו הכי פשיטא דשרי, וכדלעיל סי' ס"ח ס"י וסי' צ"ב ס"ו בהג"ה, וא"כ ע"כ צ"ל דלא שרי אלא הדבש, דאפילו מאן דאסר לקמן סי' צ"ה דגים שנתבשלו בקדרה של בשר לאכלן בכותח הא שרי התם לאכלן בכלי של חלב אבל הקערה אסור לדעת הרב בהג"ה שם ס"ג שכתב דאם עירה מכלי של בשר ראשון על חלב דינו ככלי ראשון ואוסר הכלי (עיין בסי' צ"ה סק"ה), וליכא למימר דמ"מ שרי מטעם שכתב המרדכי, דהא כתב הרב לקמן סי' ק"ג ס"ד דבמקום שאין הפסד מרובה יש להחמיר לומר דשמנונית בדבש לא הוי נטל"פ, ואפשר דמיירי הכא במשקה מע"ד העשוי מדבש דבכה"ג לכ"ע נטל"פ כמ"ש הרב שם, וכ"כ מהרי"ל בהגשע"ד בסי' כ"ב דבהכי מיירי המרדכי בשם ר"י (שהביא המחבר), אכן מסתימת לשון המחבר משמע דאפילו הקערה מותר, וא"כ לא הי"ל להרב לסתום כוותיה, ואולי כיון דיש כאן תרתי למעליותא דאפילו בנתבשלו הרבה פוסקים והמחבר מכללם מתירין לאכלן בכותח וכן יש פוסקים דשמנונית בדבש הוי נטל"פ שרי לדעת הרב אפילו הקערה וע"ל סי' ק"ג ס"ב בהג"ה, ש"ך (סקל"ד).</w:t>
      </w:r>
    </w:p>
  </w:footnote>
  <w:footnote w:id="1587">
    <w:p w14:paraId="4FC94B32"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מן הצלי כשהיו רותחין נתנן לתוך הקערה שאכלו בה בשר, רש"י.</w:t>
      </w:r>
    </w:p>
  </w:footnote>
  <w:footnote w:id="1588">
    <w:p w14:paraId="78568B29"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הבשר בקערה והקערה בדגים ואיכא תרי נתינת טעם </w:t>
      </w:r>
      <w:r w:rsidRPr="00F40585">
        <w:rPr>
          <w:rFonts w:asciiTheme="minorBidi" w:hAnsiTheme="minorBidi"/>
          <w:b/>
          <w:bCs/>
          <w:rtl/>
        </w:rPr>
        <w:t>קודם שיבוא לכלל איסור</w:t>
      </w:r>
      <w:r w:rsidRPr="00085E47">
        <w:rPr>
          <w:rFonts w:asciiTheme="minorBidi" w:hAnsiTheme="minorBidi"/>
          <w:rtl/>
        </w:rPr>
        <w:t>, ב"י.</w:t>
      </w:r>
    </w:p>
  </w:footnote>
  <w:footnote w:id="1589">
    <w:p w14:paraId="2B25A778"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התוס' והרא"ש כתבו שמתוך לשון רש"י משמע דאין חילוק בין עלו לנתבשלו, והב"י כ' על כל מי שכתב דמיירי בבישול שה"ה לצלייה דאל"ה הוי ליה לפרושיה.</w:t>
      </w:r>
    </w:p>
  </w:footnote>
  <w:footnote w:id="1590">
    <w:p w14:paraId="5E967EE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הביאם ה</w:t>
      </w:r>
      <w:r>
        <w:rPr>
          <w:rFonts w:asciiTheme="minorBidi" w:hAnsiTheme="minorBidi"/>
          <w:rtl/>
        </w:rPr>
        <w:t>הג"א</w:t>
      </w:r>
      <w:r w:rsidRPr="00085E47">
        <w:rPr>
          <w:rFonts w:asciiTheme="minorBidi" w:hAnsiTheme="minorBidi"/>
          <w:rtl/>
        </w:rPr>
        <w:t xml:space="preserve"> </w:t>
      </w:r>
      <w:r w:rsidRPr="00085E47">
        <w:rPr>
          <w:rFonts w:asciiTheme="minorBidi" w:hAnsiTheme="minorBidi"/>
          <w:sz w:val="16"/>
          <w:szCs w:val="16"/>
          <w:rtl/>
        </w:rPr>
        <w:t xml:space="preserve">(סי' כט) </w:t>
      </w:r>
      <w:r w:rsidRPr="00085E47">
        <w:rPr>
          <w:rFonts w:asciiTheme="minorBidi" w:hAnsiTheme="minorBidi"/>
          <w:rtl/>
        </w:rPr>
        <w:t>וז"ל- לר"י נראה הלכה למעשה דאין חילוק בין עלו לנתבשלו והכל שרי וכן קבל מר"ת שהורה כן הלכה למעשה. עכ"ל. וכ' הב"י שנראה מדבריהם שאינם מחלקים בין נצלו לנתבשלו דאם היו מחלקים בין צלייה לבישול לא הוה ליה למישתק מיניה.</w:t>
      </w:r>
    </w:p>
  </w:footnote>
  <w:footnote w:id="1591">
    <w:p w14:paraId="4E907695"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ז"ל הרמב"ם (הכ"ג)- פת שאפאה עם הצלי ודגים שצלאן עם הבשר אסור לאכלן בחלב, קערה שאכלו בה בשר ובשלו בה דגים אותן הדגים מותר לאכלן בכותח, עכ"ל. והבין הטור מדבריו שמותר בנתבשלה, ותמה עליו מדוע כתב ש-'צלויין עם הבשר אסור לאוכלן בחלב', דה"ה נמי מבושלין עמו, שהרי לא התיר אלא כשנתבשל בקערה של בשר, ואם בא להחמיר בצלי א"כ למה כתב עם הבשר, אפי' בלא בשר נמי בכלי של בשר אסור, עכ"ל הטור. וכ' הב"י שמתוך דלא חילק הרמב"ם בין צלייה לבישול נראה דשרי בין בבישול בין בצלייה, שמ"ש (שם) 'דגים שצלאן עם הבשר אסור לאכלן בחלב'- לא בצלאן מחוברים ממש לבשר מיירי כדקס"ד דרבינו עד שמפני כך כתב עליו שאינו מבין דבריו, אלא בצלאן בתנור אחד נפרדין מן הבשר מיירי, דס"ל דריחא מילתא היא לענין בשר בחלב, כמ"ש בסי' צז (קנג. ד"ה וכתב ע"ז), ונקט לישנא דגמ' דאיירי בדג שצלאו עם הבשר דגרסינן פכ"צ (פסחים עו:) ההיא ביניתא דאיטווא בהדי בישרא אסרה רבא מפרזקייא למיכלא בכותחא, ופירש רש"י 'דאיטוי בהדי בישרא'- בתנור אחד. 'אסרה רבא למיכלא בכותחא'- שיש בו חלב משום דקסבר ריחא מילתא היא. ומתוך לשונו של הרמב"ם עצמו (שם) משמע כן שכ' כלשון הזה 'פת שאפאה עם הצלי ודגים שצלאן עם הבשר אסור לאכלן בחלב' ומה פת שאפאה עם הצלי בתנור אחד משמע ואע"פ שאינם מחוברים יחד כיון שהם בתנור אחד אפאה עם הצלי קרי ליה- אף דגים שצלאן עם הבשר דקאמר בצלאן בתנור אחד מיירי ואע"פ שהם נפרדים מן הבשר, ובלאו הכי, כיון דבגמ' אשכחן ההיא דדגים שצלאן עם הבשר לענין ריחא מילתא היא ולא אשכחן לה בענין צלאן מחוברים ממש לבשר ועוד דמילתא דפשיטא דאסורים ולא ניתן ליכתב על כרחך לומר דהא דדגים שצלאן עם הבשר נמי לענין ריחא מילתא היא איירי ואינו ענין לנדון שלפנינו כלל, וכן פירש בעל ההגה"מ (שם אות ק).</w:t>
      </w:r>
    </w:p>
  </w:footnote>
  <w:footnote w:id="1592">
    <w:p w14:paraId="1722113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הרשב"א והר"ן לא כ"כ בפירוש אלא כתבו דבנתבשלו שרי והב"י הבין מדבריהם שאינם מחלקים בין נצלו לנתבשלו דאם היו מחלקים בין צלייה לבישול לא הוה ליה למישתק מיניה.</w:t>
      </w:r>
    </w:p>
  </w:footnote>
  <w:footnote w:id="1593">
    <w:p w14:paraId="10FB31B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(רש"י </w:t>
      </w:r>
      <w:r w:rsidRPr="00085E47">
        <w:rPr>
          <w:rFonts w:asciiTheme="minorBidi" w:hAnsiTheme="minorBidi"/>
          <w:sz w:val="16"/>
          <w:szCs w:val="16"/>
          <w:rtl/>
        </w:rPr>
        <w:t>להב' תוס' ורא"ש</w:t>
      </w:r>
      <w:r w:rsidRPr="00085E47">
        <w:rPr>
          <w:rStyle w:val="a7"/>
          <w:rFonts w:asciiTheme="minorBidi" w:hAnsiTheme="minorBidi"/>
          <w:sz w:val="16"/>
          <w:szCs w:val="16"/>
          <w:rtl/>
        </w:rPr>
        <w:footnoteRef/>
      </w:r>
      <w:r w:rsidRPr="00085E47">
        <w:rPr>
          <w:rFonts w:asciiTheme="minorBidi" w:hAnsiTheme="minorBidi"/>
          <w:sz w:val="14"/>
          <w:szCs w:val="14"/>
          <w:rtl/>
        </w:rPr>
        <w:t xml:space="preserve"> [סי' כט]</w:t>
      </w:r>
      <w:r w:rsidRPr="00085E47">
        <w:rPr>
          <w:rFonts w:asciiTheme="minorBidi" w:hAnsiTheme="minorBidi"/>
          <w:rtl/>
        </w:rPr>
        <w:t xml:space="preserve">) ר"י ר"ת תוס' </w:t>
      </w:r>
      <w:r w:rsidRPr="00085E47">
        <w:rPr>
          <w:rFonts w:asciiTheme="minorBidi" w:hAnsiTheme="minorBidi"/>
          <w:sz w:val="16"/>
          <w:szCs w:val="16"/>
          <w:rtl/>
        </w:rPr>
        <w:t>(ד"ה הלכתא)</w:t>
      </w:r>
      <w:r w:rsidRPr="00085E47">
        <w:rPr>
          <w:rFonts w:asciiTheme="minorBidi" w:hAnsiTheme="minorBidi"/>
          <w:rtl/>
        </w:rPr>
        <w:t xml:space="preserve"> ראב"ן </w:t>
      </w:r>
      <w:r w:rsidRPr="00085E47">
        <w:rPr>
          <w:rFonts w:asciiTheme="minorBidi" w:hAnsiTheme="minorBidi"/>
          <w:sz w:val="16"/>
          <w:szCs w:val="16"/>
          <w:rtl/>
        </w:rPr>
        <w:t xml:space="preserve">(סי' רעג, כ"כ בשמו הראבי"ה) </w:t>
      </w:r>
      <w:r w:rsidRPr="00085E47">
        <w:rPr>
          <w:rFonts w:asciiTheme="minorBidi" w:hAnsiTheme="minorBidi"/>
          <w:rtl/>
        </w:rPr>
        <w:t xml:space="preserve">ראבי"ה </w:t>
      </w:r>
      <w:r w:rsidRPr="00085E47">
        <w:rPr>
          <w:rFonts w:asciiTheme="minorBidi" w:hAnsiTheme="minorBidi"/>
          <w:sz w:val="16"/>
          <w:szCs w:val="16"/>
          <w:rtl/>
        </w:rPr>
        <w:t xml:space="preserve">(סי' אלף קטו) </w:t>
      </w:r>
      <w:r w:rsidRPr="00085E47">
        <w:rPr>
          <w:rFonts w:asciiTheme="minorBidi" w:hAnsiTheme="minorBidi"/>
          <w:rtl/>
        </w:rPr>
        <w:t xml:space="preserve">רמב"ם </w:t>
      </w:r>
      <w:r w:rsidRPr="00085E47">
        <w:rPr>
          <w:rFonts w:asciiTheme="minorBidi" w:hAnsiTheme="minorBidi"/>
          <w:sz w:val="16"/>
          <w:szCs w:val="16"/>
          <w:rtl/>
        </w:rPr>
        <w:t xml:space="preserve">(פ"ט הכ"ג) </w:t>
      </w:r>
      <w:r w:rsidRPr="00085E47">
        <w:rPr>
          <w:rFonts w:asciiTheme="minorBidi" w:hAnsiTheme="minorBidi"/>
          <w:rtl/>
        </w:rPr>
        <w:t xml:space="preserve">רשב"א </w:t>
      </w:r>
      <w:r w:rsidRPr="00085E47">
        <w:rPr>
          <w:rFonts w:asciiTheme="minorBidi" w:hAnsiTheme="minorBidi"/>
          <w:sz w:val="16"/>
          <w:szCs w:val="16"/>
          <w:rtl/>
        </w:rPr>
        <w:t xml:space="preserve">(תוה"א ב"ג ש"ד פו., ובקצר פה:) </w:t>
      </w:r>
      <w:r w:rsidRPr="00085E47">
        <w:rPr>
          <w:rFonts w:asciiTheme="minorBidi" w:hAnsiTheme="minorBidi"/>
          <w:rtl/>
        </w:rPr>
        <w:t xml:space="preserve">ור"ן </w:t>
      </w:r>
      <w:r w:rsidRPr="00085E47">
        <w:rPr>
          <w:rFonts w:asciiTheme="minorBidi" w:hAnsiTheme="minorBidi"/>
          <w:sz w:val="16"/>
          <w:szCs w:val="16"/>
          <w:rtl/>
        </w:rPr>
        <w:t>(מ: ד"ה דגים שעלו)</w:t>
      </w:r>
      <w:r w:rsidRPr="00085E47">
        <w:rPr>
          <w:rFonts w:asciiTheme="minorBidi" w:hAnsiTheme="minorBidi"/>
          <w:rtl/>
        </w:rPr>
        <w:t>.</w:t>
      </w:r>
    </w:p>
  </w:footnote>
  <w:footnote w:id="1594">
    <w:p w14:paraId="0FAEFEF1"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וכ' מהרא"י (בהגשע"ד סי' נז סק"ב, הביאו הדרכ"מ [אות ב*]) דהכי נהיגין.</w:t>
      </w:r>
    </w:p>
  </w:footnote>
  <w:footnote w:id="1595">
    <w:p w14:paraId="477725A3"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w:t>
      </w:r>
      <w:r>
        <w:rPr>
          <w:rFonts w:cs="Arial" w:hint="cs"/>
          <w:rtl/>
        </w:rPr>
        <w:t>ע"י צלי</w:t>
      </w:r>
      <w:r>
        <w:rPr>
          <w:rFonts w:asciiTheme="minorBidi" w:hAnsiTheme="minorBidi" w:hint="cs"/>
          <w:rtl/>
        </w:rPr>
        <w:t xml:space="preserve">, </w:t>
      </w:r>
      <w:r w:rsidRPr="00085E47">
        <w:rPr>
          <w:rFonts w:asciiTheme="minorBidi" w:hAnsiTheme="minorBidi"/>
          <w:rtl/>
        </w:rPr>
        <w:t xml:space="preserve">כ"כ ראבי"ה </w:t>
      </w:r>
      <w:r w:rsidRPr="00085E47">
        <w:rPr>
          <w:rFonts w:asciiTheme="minorBidi" w:hAnsiTheme="minorBidi"/>
          <w:sz w:val="16"/>
          <w:szCs w:val="16"/>
          <w:rtl/>
        </w:rPr>
        <w:t xml:space="preserve">(סי' אלף קטו) </w:t>
      </w:r>
      <w:r w:rsidRPr="00085E47">
        <w:rPr>
          <w:rFonts w:asciiTheme="minorBidi" w:hAnsiTheme="minorBidi"/>
          <w:rtl/>
        </w:rPr>
        <w:t xml:space="preserve">בשם רש"י </w:t>
      </w:r>
      <w:r w:rsidRPr="00085E47">
        <w:rPr>
          <w:rFonts w:asciiTheme="minorBidi" w:hAnsiTheme="minorBidi"/>
          <w:sz w:val="16"/>
          <w:szCs w:val="16"/>
          <w:rtl/>
        </w:rPr>
        <w:t>(וז"ל- ורבינו שלמה פירש שעלו בקערה על ידי צלי, וכן פסק בתשובותיו דווקא בצלי אבל נתבשלו ובלעו הרבה מטעם הבשר הוי כמבושל וטעם ראשון)</w:t>
      </w:r>
      <w:r w:rsidRPr="00085E47">
        <w:rPr>
          <w:rFonts w:asciiTheme="minorBidi" w:hAnsiTheme="minorBidi"/>
          <w:rtl/>
        </w:rPr>
        <w:t>. ואפשר שהיא כוונת הראב"ן בדברי רש"י.</w:t>
      </w:r>
    </w:p>
  </w:footnote>
  <w:footnote w:id="1596">
    <w:p w14:paraId="40EBBFFF" w14:textId="77777777" w:rsidR="004C5A3C" w:rsidRDefault="004C5A3C" w:rsidP="002C39F4">
      <w:pPr>
        <w:pStyle w:val="a5"/>
        <w:rPr>
          <w:rtl/>
        </w:rPr>
      </w:pPr>
      <w:r>
        <w:rPr>
          <w:rStyle w:val="a7"/>
        </w:rPr>
        <w:footnoteRef/>
      </w:r>
      <w:r>
        <w:rPr>
          <w:rtl/>
        </w:rPr>
        <w:t xml:space="preserve"> </w:t>
      </w:r>
      <w:r>
        <w:rPr>
          <w:rFonts w:hint="cs"/>
          <w:rtl/>
        </w:rPr>
        <w:t xml:space="preserve">וז"ל- </w:t>
      </w:r>
      <w:r>
        <w:rPr>
          <w:rFonts w:cs="Arial" w:hint="cs"/>
          <w:rtl/>
        </w:rPr>
        <w:t xml:space="preserve">עלו מן הצלי </w:t>
      </w:r>
      <w:r>
        <w:rPr>
          <w:rFonts w:cs="Arial" w:hint="cs"/>
          <w:sz w:val="16"/>
          <w:szCs w:val="16"/>
          <w:rtl/>
        </w:rPr>
        <w:t>{לקערה צוננת}</w:t>
      </w:r>
      <w:r>
        <w:rPr>
          <w:rFonts w:cs="Arial" w:hint="cs"/>
          <w:rtl/>
        </w:rPr>
        <w:t xml:space="preserve"> או צוננים בקערה רותחת.</w:t>
      </w:r>
    </w:p>
  </w:footnote>
  <w:footnote w:id="1597">
    <w:p w14:paraId="2F31750D" w14:textId="77777777" w:rsidR="004C5A3C" w:rsidRPr="009E4266" w:rsidRDefault="004C5A3C" w:rsidP="002C39F4">
      <w:pPr>
        <w:pStyle w:val="a5"/>
        <w:rPr>
          <w:rtl/>
        </w:rPr>
      </w:pPr>
      <w:r w:rsidRPr="009E4266">
        <w:rPr>
          <w:rStyle w:val="a7"/>
        </w:rPr>
        <w:footnoteRef/>
      </w:r>
      <w:r w:rsidRPr="009E4266">
        <w:rPr>
          <w:rtl/>
        </w:rPr>
        <w:t xml:space="preserve"> </w:t>
      </w:r>
      <w:r w:rsidRPr="009E4266">
        <w:rPr>
          <w:rFonts w:asciiTheme="minorBidi" w:hAnsiTheme="minorBidi" w:hint="cs"/>
          <w:rtl/>
        </w:rPr>
        <w:t>כ"כ בשמו ה</w:t>
      </w:r>
      <w:r w:rsidRPr="009E4266">
        <w:rPr>
          <w:rFonts w:asciiTheme="minorBidi" w:hAnsiTheme="minorBidi"/>
          <w:rtl/>
        </w:rPr>
        <w:t xml:space="preserve">או"ה </w:t>
      </w:r>
      <w:r>
        <w:rPr>
          <w:rFonts w:asciiTheme="minorBidi" w:hAnsiTheme="minorBidi" w:hint="cs"/>
          <w:rtl/>
        </w:rPr>
        <w:t>(</w:t>
      </w:r>
      <w:r w:rsidRPr="009E4266">
        <w:rPr>
          <w:rFonts w:asciiTheme="minorBidi" w:hAnsiTheme="minorBidi" w:hint="cs"/>
          <w:rtl/>
        </w:rPr>
        <w:t>כ</w:t>
      </w:r>
      <w:r w:rsidRPr="009E4266">
        <w:rPr>
          <w:rFonts w:asciiTheme="minorBidi" w:hAnsiTheme="minorBidi"/>
          <w:rtl/>
        </w:rPr>
        <w:t>לל לד ד</w:t>
      </w:r>
      <w:r w:rsidRPr="009E4266">
        <w:rPr>
          <w:rFonts w:asciiTheme="minorBidi" w:hAnsiTheme="minorBidi" w:hint="cs"/>
          <w:rtl/>
        </w:rPr>
        <w:t>"</w:t>
      </w:r>
      <w:r w:rsidRPr="009E4266">
        <w:rPr>
          <w:rFonts w:asciiTheme="minorBidi" w:hAnsiTheme="minorBidi"/>
          <w:rtl/>
        </w:rPr>
        <w:t>א</w:t>
      </w:r>
      <w:r>
        <w:rPr>
          <w:rFonts w:asciiTheme="minorBidi" w:hAnsiTheme="minorBidi" w:hint="cs"/>
          <w:rtl/>
        </w:rPr>
        <w:t>)</w:t>
      </w:r>
      <w:r w:rsidRPr="009E4266">
        <w:rPr>
          <w:rFonts w:asciiTheme="minorBidi" w:hAnsiTheme="minorBidi" w:hint="cs"/>
          <w:rtl/>
        </w:rPr>
        <w:t xml:space="preserve">, הביאו הדרכ"מ </w:t>
      </w:r>
      <w:r>
        <w:rPr>
          <w:rFonts w:asciiTheme="minorBidi" w:hAnsiTheme="minorBidi" w:hint="cs"/>
          <w:rtl/>
        </w:rPr>
        <w:t>(</w:t>
      </w:r>
      <w:r w:rsidRPr="009E4266">
        <w:rPr>
          <w:rFonts w:asciiTheme="minorBidi" w:hAnsiTheme="minorBidi" w:hint="cs"/>
          <w:rtl/>
        </w:rPr>
        <w:t>אות א</w:t>
      </w:r>
      <w:r w:rsidRPr="009E4266">
        <w:rPr>
          <w:rFonts w:asciiTheme="minorBidi" w:hAnsiTheme="minorBidi"/>
          <w:rtl/>
        </w:rPr>
        <w:t>)</w:t>
      </w:r>
      <w:r>
        <w:rPr>
          <w:rFonts w:asciiTheme="minorBidi" w:hAnsiTheme="minorBidi" w:hint="cs"/>
          <w:rtl/>
        </w:rPr>
        <w:t>.</w:t>
      </w:r>
    </w:p>
  </w:footnote>
  <w:footnote w:id="1598">
    <w:p w14:paraId="17643E4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הב"י דנראה מדבריו דדייק לה מדכתב רבינו בתחילת הדיבור 'דגים רותחים שנתנן בקערה צוננת או שהדגים צוננים והקערה רותחת מותר לאכלן בחלב' משמע דוקא משום דחד מינייהו צונן הא אם שניהם חמין אסור, ונראה דהיינו בשאין שם רוטב משום דהוי כנצלו בקערה, אבל כשיש שם רוטב פשיטא דשרי דלא גרע מנתבשלו, וא"ת לדברי האוסרים</w:t>
      </w:r>
      <w:r>
        <w:rPr>
          <w:rFonts w:asciiTheme="minorBidi" w:hAnsiTheme="minorBidi" w:hint="cs"/>
          <w:sz w:val="16"/>
          <w:szCs w:val="16"/>
          <w:rtl/>
        </w:rPr>
        <w:t xml:space="preserve"> </w:t>
      </w:r>
      <w:r w:rsidRPr="00085E47">
        <w:rPr>
          <w:rFonts w:asciiTheme="minorBidi" w:hAnsiTheme="minorBidi"/>
          <w:rtl/>
        </w:rPr>
        <w:t xml:space="preserve">נצלו בקערה רותחת ודגים צוננים הוה להו למיסר דהא קיי"ל דתתאה גבר והוי כאילו שניהם חמין, ונ"ל דאע"ג דקיי"ל תתאה גבר מ"מ אין נתינת טעם שלו כ"כ כמו כששניהם חמין הילכך לא מחמירין ביה טפי מבנתבשלו, ולפי מה שפסקתי דבין נצלו בין נתבשלו מותר- אפילו בשניהם חמין שרי. </w:t>
      </w:r>
    </w:p>
  </w:footnote>
  <w:footnote w:id="1599">
    <w:p w14:paraId="7BB5F95D"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בהגהות בסוף הספר שער לד סי' ג, הביאו הדרכ"מ אות א.</w:t>
      </w:r>
    </w:p>
  </w:footnote>
  <w:footnote w:id="1600">
    <w:p w14:paraId="0F2C613F"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והא דנוהגין לאסור לכתחלה בבישול וצלייה היינו לאכול עם חלב עצמו אבל ליתן בכלי חולבת שרי, וכן אם לא היתה הקדרה שנתבשל בה בת יומא אף לכתחלה שרי דהואיל והוא נותן טעם לפגם וגם נ"ט בר נ"ט, </w:t>
      </w:r>
      <w:r>
        <w:rPr>
          <w:rFonts w:asciiTheme="minorBidi" w:hAnsiTheme="minorBidi" w:hint="cs"/>
          <w:rtl/>
        </w:rPr>
        <w:t xml:space="preserve">הגה' </w:t>
      </w:r>
      <w:r>
        <w:rPr>
          <w:rFonts w:asciiTheme="minorBidi" w:hAnsiTheme="minorBidi"/>
          <w:rtl/>
        </w:rPr>
        <w:t>או"ה</w:t>
      </w:r>
      <w:r w:rsidRPr="00085E47">
        <w:rPr>
          <w:rFonts w:asciiTheme="minorBidi" w:hAnsiTheme="minorBidi"/>
          <w:rtl/>
        </w:rPr>
        <w:t xml:space="preserve"> (שם).</w:t>
      </w:r>
    </w:p>
  </w:footnote>
  <w:footnote w:id="1601">
    <w:p w14:paraId="349B5620"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ר"פ </w:t>
      </w:r>
      <w:r w:rsidRPr="00085E47">
        <w:rPr>
          <w:rFonts w:asciiTheme="minorBidi" w:hAnsiTheme="minorBidi"/>
          <w:sz w:val="16"/>
          <w:szCs w:val="16"/>
          <w:rtl/>
        </w:rPr>
        <w:t xml:space="preserve">(בהגהות סמ"ק סו"ס ריג אות ח, וכ"כ בסי' קצח) </w:t>
      </w:r>
      <w:r w:rsidRPr="00085E47">
        <w:rPr>
          <w:rFonts w:asciiTheme="minorBidi" w:hAnsiTheme="minorBidi"/>
          <w:rtl/>
        </w:rPr>
        <w:t>והגה"מ</w:t>
      </w:r>
      <w:r w:rsidRPr="00085E47">
        <w:rPr>
          <w:rFonts w:asciiTheme="minorBidi" w:hAnsiTheme="minorBidi"/>
          <w:sz w:val="16"/>
          <w:szCs w:val="16"/>
          <w:rtl/>
        </w:rPr>
        <w:t xml:space="preserve"> (פ"ט הכ"ג ד"ה ובשלו)</w:t>
      </w:r>
      <w:r w:rsidRPr="00085E47">
        <w:rPr>
          <w:rFonts w:asciiTheme="minorBidi" w:hAnsiTheme="minorBidi"/>
          <w:rtl/>
        </w:rPr>
        <w:t>.</w:t>
      </w:r>
    </w:p>
  </w:footnote>
  <w:footnote w:id="1602">
    <w:p w14:paraId="4643D1DB"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וכ"כ רי"ו </w:t>
      </w:r>
      <w:r w:rsidRPr="00085E47">
        <w:rPr>
          <w:rFonts w:asciiTheme="minorBidi" w:hAnsiTheme="minorBidi"/>
          <w:sz w:val="16"/>
          <w:szCs w:val="16"/>
          <w:rtl/>
        </w:rPr>
        <w:t>(נט"ו אות כח קלז ע"ד</w:t>
      </w:r>
      <w:r>
        <w:rPr>
          <w:rFonts w:asciiTheme="minorBidi" w:hAnsiTheme="minorBidi" w:hint="cs"/>
          <w:sz w:val="16"/>
          <w:szCs w:val="16"/>
          <w:rtl/>
        </w:rPr>
        <w:t>,</w:t>
      </w:r>
      <w:r w:rsidRPr="00AE4AF0">
        <w:rPr>
          <w:rFonts w:asciiTheme="minorBidi" w:hAnsiTheme="minorBidi"/>
          <w:sz w:val="16"/>
          <w:szCs w:val="16"/>
          <w:rtl/>
        </w:rPr>
        <w:t xml:space="preserve"> וז"ל- ירקות וקטניות שנתבשלו בקדרה חולבת אפילו היא בת יומא מותר לאכלו בתבשיל של בשר ונראה דוקא בדיעבד אבל לכתחלה אין לו לבשל בכלי של חלב דבר שרוצה לאכול עם בשר</w:t>
      </w:r>
      <w:r>
        <w:rPr>
          <w:rFonts w:asciiTheme="minorBidi" w:hAnsiTheme="minorBidi" w:hint="cs"/>
          <w:sz w:val="16"/>
          <w:szCs w:val="16"/>
          <w:rtl/>
        </w:rPr>
        <w:t>)</w:t>
      </w:r>
      <w:r w:rsidRPr="00085E47">
        <w:rPr>
          <w:rFonts w:asciiTheme="minorBidi" w:hAnsiTheme="minorBidi"/>
          <w:rtl/>
        </w:rPr>
        <w:t xml:space="preserve"> והביא הב"י </w:t>
      </w:r>
      <w:r w:rsidRPr="00AE4AF0">
        <w:rPr>
          <w:rFonts w:asciiTheme="minorBidi" w:hAnsiTheme="minorBidi" w:hint="cs"/>
          <w:sz w:val="16"/>
          <w:szCs w:val="16"/>
          <w:rtl/>
        </w:rPr>
        <w:t>(</w:t>
      </w:r>
      <w:r w:rsidRPr="00AE4AF0">
        <w:rPr>
          <w:rFonts w:asciiTheme="minorBidi" w:hAnsiTheme="minorBidi"/>
          <w:sz w:val="16"/>
          <w:szCs w:val="16"/>
          <w:rtl/>
        </w:rPr>
        <w:t>בבדה"ב</w:t>
      </w:r>
      <w:r>
        <w:rPr>
          <w:rFonts w:asciiTheme="minorBidi" w:hAnsiTheme="minorBidi" w:hint="cs"/>
          <w:sz w:val="16"/>
          <w:szCs w:val="16"/>
          <w:rtl/>
        </w:rPr>
        <w:t>)</w:t>
      </w:r>
      <w:r w:rsidRPr="00085E47">
        <w:rPr>
          <w:rFonts w:asciiTheme="minorBidi" w:hAnsiTheme="minorBidi"/>
          <w:rtl/>
        </w:rPr>
        <w:t xml:space="preserve"> </w:t>
      </w:r>
      <w:r>
        <w:rPr>
          <w:rFonts w:asciiTheme="minorBidi" w:hAnsiTheme="minorBidi" w:hint="cs"/>
          <w:rtl/>
        </w:rPr>
        <w:t xml:space="preserve">את דבריו </w:t>
      </w:r>
      <w:r w:rsidRPr="00085E47">
        <w:rPr>
          <w:rFonts w:asciiTheme="minorBidi" w:hAnsiTheme="minorBidi"/>
          <w:rtl/>
        </w:rPr>
        <w:t>וכ' עליו וז"ל- ואין דבריו נראים אלא לכתחלה נמי מותר לבשל בכלי של חלב דבר שרוצה לאכול עם בשר.</w:t>
      </w:r>
    </w:p>
  </w:footnote>
  <w:footnote w:id="1603">
    <w:p w14:paraId="32D69C4C"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לאחר שהב"י הביא את דברי ר"פ והגה"מ הוא כתב 'אבל בעל התרומה</w:t>
      </w:r>
      <w:r>
        <w:rPr>
          <w:rFonts w:asciiTheme="minorBidi" w:hAnsiTheme="minorBidi" w:hint="cs"/>
          <w:rtl/>
        </w:rPr>
        <w:t xml:space="preserve"> וכו'</w:t>
      </w:r>
      <w:r w:rsidRPr="00085E47">
        <w:rPr>
          <w:rFonts w:asciiTheme="minorBidi" w:hAnsiTheme="minorBidi"/>
          <w:rtl/>
        </w:rPr>
        <w:t>...'</w:t>
      </w:r>
      <w:r>
        <w:rPr>
          <w:rFonts w:asciiTheme="minorBidi" w:hAnsiTheme="minorBidi" w:hint="cs"/>
          <w:rtl/>
        </w:rPr>
        <w:t>,</w:t>
      </w:r>
      <w:r w:rsidRPr="00085E47">
        <w:rPr>
          <w:rFonts w:asciiTheme="minorBidi" w:hAnsiTheme="minorBidi"/>
          <w:rtl/>
        </w:rPr>
        <w:t xml:space="preserve"> ורצונו לומר שהוא חולק על דבריהם ומתיר לכתחילה לעשות כן, וכ' הדרכ"מ</w:t>
      </w:r>
      <w:r w:rsidRPr="00197606">
        <w:rPr>
          <w:rFonts w:asciiTheme="minorBidi" w:hAnsiTheme="minorBidi"/>
          <w:sz w:val="16"/>
          <w:szCs w:val="16"/>
          <w:rtl/>
        </w:rPr>
        <w:t xml:space="preserve"> (אות ב) </w:t>
      </w:r>
      <w:r w:rsidRPr="00085E47">
        <w:rPr>
          <w:rFonts w:asciiTheme="minorBidi" w:hAnsiTheme="minorBidi"/>
          <w:rtl/>
        </w:rPr>
        <w:t>על דברי הב"י- ואני אומר כי ניים ושכיב אמר להאי מילתא, דמאי אבל בעל התרומה כתב כו' שהרי גם הסמ"ק לא אמר אלא דלכתחלה אסור להעלותן בקערה כדי לאכלן עם חלב אבל אם כבר העלה פשיטא שמותר לכתחלה לאכלן עם חלב, דהא לא פליג על הג</w:t>
      </w:r>
      <w:r>
        <w:rPr>
          <w:rFonts w:asciiTheme="minorBidi" w:hAnsiTheme="minorBidi" w:hint="cs"/>
          <w:rtl/>
        </w:rPr>
        <w:t>מ'</w:t>
      </w:r>
      <w:r w:rsidRPr="00085E47">
        <w:rPr>
          <w:rFonts w:asciiTheme="minorBidi" w:hAnsiTheme="minorBidi"/>
          <w:rtl/>
        </w:rPr>
        <w:t xml:space="preserve"> דקתני דמותר לאכלן בחלב ומותר לכתחלה משמע </w:t>
      </w:r>
      <w:r w:rsidRPr="00511D08">
        <w:rPr>
          <w:rFonts w:asciiTheme="minorBidi" w:hAnsiTheme="minorBidi" w:hint="cs"/>
          <w:sz w:val="16"/>
          <w:szCs w:val="16"/>
          <w:rtl/>
        </w:rPr>
        <w:t>(</w:t>
      </w:r>
      <w:r w:rsidRPr="00511D08">
        <w:rPr>
          <w:rFonts w:asciiTheme="minorBidi" w:hAnsiTheme="minorBidi"/>
          <w:sz w:val="16"/>
          <w:szCs w:val="16"/>
          <w:rtl/>
        </w:rPr>
        <w:t>ועוד דאל"כ מ"ש בשם הסמ"ק דבין נצלה בין נתבשל דוקא דיעבד אבל לכתחלה לא וכו' סותר דבריו הראשונים שכתב בשם הסמ"ק לחלק בין צלייה לבישול, אלא על כרחך צריכין למימר דהא דאינו מחלק בין צלייה לבישול היינו לענין שלכתחלה אסור לעשות על מנת לאכלו בחלב אבל אם כבר עבר פשיטא דיש לחלק בין בישול דמותר לאכלו ובין צלייה דאסור לפי סברת הסמ"ק, וכ"ה בהדיא בהגהות סמ"ק (סי' ריג אות ח), וא"כ מאי אבל בעל התרומה דכתב</w:t>
      </w:r>
      <w:r>
        <w:rPr>
          <w:rFonts w:asciiTheme="minorBidi" w:hAnsiTheme="minorBidi" w:hint="cs"/>
          <w:sz w:val="16"/>
          <w:szCs w:val="16"/>
          <w:rtl/>
        </w:rPr>
        <w:t>)</w:t>
      </w:r>
      <w:r w:rsidRPr="00085E47">
        <w:rPr>
          <w:rFonts w:asciiTheme="minorBidi" w:hAnsiTheme="minorBidi"/>
          <w:rtl/>
        </w:rPr>
        <w:t>, וכבר כתבתי לעיל סי</w:t>
      </w:r>
      <w:r>
        <w:rPr>
          <w:rFonts w:asciiTheme="minorBidi" w:hAnsiTheme="minorBidi" w:hint="cs"/>
          <w:rtl/>
        </w:rPr>
        <w:t>'</w:t>
      </w:r>
      <w:r w:rsidRPr="00085E47">
        <w:rPr>
          <w:rFonts w:asciiTheme="minorBidi" w:hAnsiTheme="minorBidi"/>
          <w:rtl/>
        </w:rPr>
        <w:t xml:space="preserve"> צד </w:t>
      </w:r>
      <w:r w:rsidRPr="00511D08">
        <w:rPr>
          <w:rFonts w:asciiTheme="minorBidi" w:hAnsiTheme="minorBidi"/>
          <w:sz w:val="16"/>
          <w:szCs w:val="16"/>
          <w:rtl/>
        </w:rPr>
        <w:t xml:space="preserve">(אות ו) </w:t>
      </w:r>
      <w:r w:rsidRPr="00085E47">
        <w:rPr>
          <w:rFonts w:asciiTheme="minorBidi" w:hAnsiTheme="minorBidi"/>
          <w:rtl/>
        </w:rPr>
        <w:t>דאע"ג דדעת הסמ"ק להתיר בנתבשלו מ"מ מחמיר לכתחלה בנתבשלו משום הואיל ויש מחמירין, וכ"פ ב</w:t>
      </w:r>
      <w:r>
        <w:rPr>
          <w:rFonts w:asciiTheme="minorBidi" w:hAnsiTheme="minorBidi"/>
          <w:rtl/>
        </w:rPr>
        <w:t>או"ה</w:t>
      </w:r>
      <w:r w:rsidRPr="00085E47">
        <w:rPr>
          <w:rFonts w:asciiTheme="minorBidi" w:hAnsiTheme="minorBidi"/>
          <w:rtl/>
        </w:rPr>
        <w:t xml:space="preserve"> </w:t>
      </w:r>
      <w:r w:rsidRPr="00511D08">
        <w:rPr>
          <w:rFonts w:asciiTheme="minorBidi" w:hAnsiTheme="minorBidi"/>
          <w:sz w:val="16"/>
          <w:szCs w:val="16"/>
          <w:rtl/>
        </w:rPr>
        <w:t>(כלל לד דין ד-ה)</w:t>
      </w:r>
      <w:r w:rsidRPr="00085E47">
        <w:rPr>
          <w:rFonts w:asciiTheme="minorBidi" w:hAnsiTheme="minorBidi"/>
          <w:rtl/>
        </w:rPr>
        <w:t xml:space="preserve"> דלכתחלה יש להחמיר אפילו בבישול אמנם בדיעבד יש לסמוך אדברי המקילין אפילו בצלי עכ"ל, ונ"ל דמ</w:t>
      </w:r>
      <w:r>
        <w:rPr>
          <w:rFonts w:asciiTheme="minorBidi" w:hAnsiTheme="minorBidi" w:hint="cs"/>
          <w:rtl/>
        </w:rPr>
        <w:t>"</w:t>
      </w:r>
      <w:r w:rsidRPr="00085E47">
        <w:rPr>
          <w:rFonts w:asciiTheme="minorBidi" w:hAnsiTheme="minorBidi"/>
          <w:rtl/>
        </w:rPr>
        <w:t>מ בדגים שעלו בקערה שלא נתבשלו ולא נצלו מותר אף לכתחלה לאכלן בחלב דבהא לא מצאנו מאן דפליג.</w:t>
      </w:r>
      <w:r w:rsidRPr="00886A03">
        <w:rPr>
          <w:rFonts w:cs="Arial" w:hint="cs"/>
          <w:color w:val="00B0F0"/>
          <w:rtl/>
        </w:rPr>
        <w:t xml:space="preserve"> </w:t>
      </w:r>
      <w:r w:rsidRPr="00BC5C41">
        <w:rPr>
          <w:rFonts w:cs="Arial" w:hint="cs"/>
          <w:color w:val="00B0F0"/>
          <w:rtl/>
        </w:rPr>
        <w:t xml:space="preserve">(וכ"פ </w:t>
      </w:r>
      <w:r>
        <w:rPr>
          <w:rFonts w:cs="Arial" w:hint="cs"/>
          <w:color w:val="00B0F0"/>
          <w:rtl/>
        </w:rPr>
        <w:t>בהג"ה</w:t>
      </w:r>
      <w:r>
        <w:rPr>
          <w:rFonts w:cs="Arial" w:hint="cs"/>
          <w:color w:val="00B0F0"/>
          <w:sz w:val="16"/>
          <w:szCs w:val="16"/>
          <w:rtl/>
        </w:rPr>
        <w:t xml:space="preserve"> </w:t>
      </w:r>
      <w:r>
        <w:rPr>
          <w:rFonts w:cs="Arial" w:hint="cs"/>
          <w:color w:val="000000" w:themeColor="text1"/>
          <w:sz w:val="16"/>
          <w:szCs w:val="16"/>
          <w:rtl/>
        </w:rPr>
        <w:t>[סע' ב]</w:t>
      </w:r>
      <w:r w:rsidRPr="00BC5C41">
        <w:rPr>
          <w:rFonts w:cs="Arial" w:hint="cs"/>
          <w:color w:val="00B0F0"/>
          <w:rtl/>
        </w:rPr>
        <w:t>)</w:t>
      </w:r>
      <w:r w:rsidRPr="00085E47">
        <w:rPr>
          <w:rFonts w:asciiTheme="minorBidi" w:hAnsiTheme="minorBidi"/>
          <w:rtl/>
        </w:rPr>
        <w:t xml:space="preserve"> </w:t>
      </w:r>
      <w:r w:rsidRPr="00511D08">
        <w:rPr>
          <w:rFonts w:asciiTheme="minorBidi" w:hAnsiTheme="minorBidi"/>
          <w:sz w:val="16"/>
          <w:szCs w:val="16"/>
          <w:rtl/>
        </w:rPr>
        <w:t xml:space="preserve">(ונ"ל ליישב את לשון הב"י, שכוונתו היא שר"פ וסיעתו אסרו לכתחילה גם </w:t>
      </w:r>
      <w:r w:rsidRPr="00511D08">
        <w:rPr>
          <w:rFonts w:asciiTheme="minorBidi" w:hAnsiTheme="minorBidi"/>
          <w:sz w:val="16"/>
          <w:szCs w:val="16"/>
          <w:u w:val="single"/>
          <w:rtl/>
        </w:rPr>
        <w:t>להעלות</w:t>
      </w:r>
      <w:r w:rsidRPr="00511D08">
        <w:rPr>
          <w:rFonts w:asciiTheme="minorBidi" w:hAnsiTheme="minorBidi"/>
          <w:sz w:val="16"/>
          <w:szCs w:val="16"/>
          <w:rtl/>
        </w:rPr>
        <w:t xml:space="preserve"> על קדרה של בשר כדי לאוכלו בכותח אבל סה"ת מתיר לכתחילה </w:t>
      </w:r>
      <w:r w:rsidRPr="00511D08">
        <w:rPr>
          <w:rFonts w:asciiTheme="minorBidi" w:hAnsiTheme="minorBidi"/>
          <w:sz w:val="16"/>
          <w:szCs w:val="16"/>
          <w:u w:val="single"/>
          <w:rtl/>
        </w:rPr>
        <w:t>להעלותו</w:t>
      </w:r>
      <w:r w:rsidRPr="00511D08">
        <w:rPr>
          <w:rFonts w:asciiTheme="minorBidi" w:hAnsiTheme="minorBidi"/>
          <w:sz w:val="16"/>
          <w:szCs w:val="16"/>
          <w:rtl/>
        </w:rPr>
        <w:t xml:space="preserve">, ולא כמו שהבין הדרכ"מ שהב"י הביא את דברי סה"ת כדי להתיר </w:t>
      </w:r>
      <w:r w:rsidRPr="00511D08">
        <w:rPr>
          <w:rFonts w:asciiTheme="minorBidi" w:hAnsiTheme="minorBidi"/>
          <w:sz w:val="16"/>
          <w:szCs w:val="16"/>
          <w:u w:val="single"/>
          <w:rtl/>
        </w:rPr>
        <w:t>לאוכלו</w:t>
      </w:r>
      <w:r w:rsidRPr="00511D08">
        <w:rPr>
          <w:rFonts w:asciiTheme="minorBidi" w:hAnsiTheme="minorBidi"/>
          <w:sz w:val="16"/>
          <w:szCs w:val="16"/>
          <w:rtl/>
        </w:rPr>
        <w:t xml:space="preserve"> לכתחילה)</w:t>
      </w:r>
    </w:p>
  </w:footnote>
  <w:footnote w:id="1604">
    <w:p w14:paraId="6E36CC00"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w:t>
      </w:r>
      <w:r>
        <w:rPr>
          <w:rFonts w:asciiTheme="minorBidi" w:hAnsiTheme="minorBidi" w:hint="cs"/>
          <w:rtl/>
        </w:rPr>
        <w:t xml:space="preserve">וכ' הב"י על דבריו, וז"ל- </w:t>
      </w:r>
      <w:r w:rsidRPr="00085E47">
        <w:rPr>
          <w:rFonts w:asciiTheme="minorBidi" w:hAnsiTheme="minorBidi"/>
          <w:rtl/>
        </w:rPr>
        <w:t>ולא משמע לי הכי כלל דא</w:t>
      </w:r>
      <w:r>
        <w:rPr>
          <w:rFonts w:asciiTheme="minorBidi" w:hAnsiTheme="minorBidi" w:hint="cs"/>
          <w:rtl/>
        </w:rPr>
        <w:t>"</w:t>
      </w:r>
      <w:r w:rsidRPr="00085E47">
        <w:rPr>
          <w:rFonts w:asciiTheme="minorBidi" w:hAnsiTheme="minorBidi"/>
          <w:rtl/>
        </w:rPr>
        <w:t>כ אמאי איצטריכין לטעמא דהוי נ"ט בר נ"ט דהיתרא כיון שאנו מסירים עד מקום שמתפשט הטעם, ועוד מאי טעמא דמאן דאסר בגמ</w:t>
      </w:r>
      <w:r>
        <w:rPr>
          <w:rFonts w:asciiTheme="minorBidi" w:hAnsiTheme="minorBidi" w:hint="cs"/>
          <w:rtl/>
        </w:rPr>
        <w:t>'</w:t>
      </w:r>
      <w:r w:rsidRPr="00085E47">
        <w:rPr>
          <w:rFonts w:asciiTheme="minorBidi" w:hAnsiTheme="minorBidi"/>
          <w:rtl/>
        </w:rPr>
        <w:t xml:space="preserve"> דגים שעלו בקערה, ואין לדחות ולומר דאע"ג דבקערה צוננת סגי בקליפה- בקערה חמה לא סגי בקליפה דתתאה גבר, דהא בגמ</w:t>
      </w:r>
      <w:r>
        <w:rPr>
          <w:rFonts w:asciiTheme="minorBidi" w:hAnsiTheme="minorBidi" w:hint="cs"/>
          <w:rtl/>
        </w:rPr>
        <w:t>'</w:t>
      </w:r>
      <w:r w:rsidRPr="00085E47">
        <w:rPr>
          <w:rFonts w:asciiTheme="minorBidi" w:hAnsiTheme="minorBidi"/>
          <w:rtl/>
        </w:rPr>
        <w:t xml:space="preserve"> לא אידכר קליפה כי היכי דנימא הכי, ועוד דהא אפילו בקערה רותחת אינו אוסר אלא כדי נטילת מקום בלבד כמבואר בסי</w:t>
      </w:r>
      <w:r>
        <w:rPr>
          <w:rFonts w:asciiTheme="minorBidi" w:hAnsiTheme="minorBidi" w:hint="cs"/>
          <w:rtl/>
        </w:rPr>
        <w:t>'</w:t>
      </w:r>
      <w:r w:rsidRPr="00085E47">
        <w:rPr>
          <w:rFonts w:asciiTheme="minorBidi" w:hAnsiTheme="minorBidi"/>
          <w:rtl/>
        </w:rPr>
        <w:t xml:space="preserve"> קה</w:t>
      </w:r>
      <w:r w:rsidRPr="00511D08">
        <w:rPr>
          <w:rFonts w:asciiTheme="minorBidi" w:hAnsiTheme="minorBidi"/>
          <w:sz w:val="16"/>
          <w:szCs w:val="16"/>
          <w:rtl/>
        </w:rPr>
        <w:t xml:space="preserve"> (קסה.)</w:t>
      </w:r>
      <w:r w:rsidRPr="00085E47">
        <w:rPr>
          <w:rFonts w:asciiTheme="minorBidi" w:hAnsiTheme="minorBidi"/>
          <w:rtl/>
        </w:rPr>
        <w:t>, ואם כדבריך לא נחלקו אלא בקערה רותחת ובמה שבין קליפה לנטילת מקום, ואין זה במשמע דבריהם כלל, אלא ודאי אפילו בקערה רותחת לא בעי קליפה כמו שכתבתי, ורי"ו לישנא דתוס</w:t>
      </w:r>
      <w:r>
        <w:rPr>
          <w:rFonts w:asciiTheme="minorBidi" w:hAnsiTheme="minorBidi" w:hint="cs"/>
          <w:rtl/>
        </w:rPr>
        <w:t>'</w:t>
      </w:r>
      <w:r w:rsidRPr="00511D08">
        <w:rPr>
          <w:rFonts w:asciiTheme="minorBidi" w:hAnsiTheme="minorBidi"/>
          <w:sz w:val="16"/>
          <w:szCs w:val="16"/>
          <w:rtl/>
        </w:rPr>
        <w:t xml:space="preserve"> (קיא: ד"ה הלכתא) </w:t>
      </w:r>
      <w:r w:rsidRPr="00085E47">
        <w:rPr>
          <w:rFonts w:asciiTheme="minorBidi" w:hAnsiTheme="minorBidi"/>
          <w:rtl/>
        </w:rPr>
        <w:t xml:space="preserve">והרא"ש </w:t>
      </w:r>
      <w:r w:rsidRPr="00511D08">
        <w:rPr>
          <w:rFonts w:asciiTheme="minorBidi" w:hAnsiTheme="minorBidi"/>
          <w:sz w:val="16"/>
          <w:szCs w:val="16"/>
          <w:rtl/>
        </w:rPr>
        <w:t xml:space="preserve">(פכ"ה סי' כט) </w:t>
      </w:r>
      <w:r w:rsidRPr="00085E47">
        <w:rPr>
          <w:rFonts w:asciiTheme="minorBidi" w:hAnsiTheme="minorBidi"/>
          <w:rtl/>
        </w:rPr>
        <w:t>אטעייה שכתבו- אם הקערה והדגים צוננים לא איצטריך לפסוק אלא כשהאחד מהם חם דבין עילאה גבר בין תתאה גבר קליפה מיהא בעי ע"כ, ועלה בדעתו דלמימרא דהכי נמי בעי קליפה ואין הדבר כן כמו שהוכחתי אלא הכי קאמר דקליפה מיהא בעי היכא דהוי נ"ט גופיה</w:t>
      </w:r>
      <w:r>
        <w:rPr>
          <w:rFonts w:asciiTheme="minorBidi" w:hAnsiTheme="minorBidi" w:hint="cs"/>
          <w:rtl/>
        </w:rPr>
        <w:t>,</w:t>
      </w:r>
      <w:r w:rsidRPr="00085E47">
        <w:rPr>
          <w:rFonts w:asciiTheme="minorBidi" w:hAnsiTheme="minorBidi"/>
          <w:rtl/>
        </w:rPr>
        <w:t xml:space="preserve"> אבל הכא דהוי נ"ט בר נ"ט שרי בלא קליפה כלל וזה נ"ל ברור.</w:t>
      </w:r>
    </w:p>
  </w:footnote>
  <w:footnote w:id="1605">
    <w:p w14:paraId="473D0546"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הב"י וז"ל- ואין דבריו נכונים אלא אפילו היא בת יומא מותר לאכלו עם גבינה דהוה נ"ט בר נ"ט כמו שנתבאר.</w:t>
      </w:r>
    </w:p>
  </w:footnote>
  <w:footnote w:id="1606">
    <w:p w14:paraId="0B00303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הדרכ"מ וז"ל- ונ"ל טעמו דס"ל דבדבר חריף אינו מועיל נ"ט בר נ"ט כמו שאינו מועיל בו נותן טעם לפגם כמו שיתבאר לקמן סי</w:t>
      </w:r>
      <w:r>
        <w:rPr>
          <w:rFonts w:asciiTheme="minorBidi" w:hAnsiTheme="minorBidi" w:hint="cs"/>
          <w:rtl/>
        </w:rPr>
        <w:t>'</w:t>
      </w:r>
      <w:r w:rsidRPr="00085E47">
        <w:rPr>
          <w:rFonts w:asciiTheme="minorBidi" w:hAnsiTheme="minorBidi"/>
          <w:rtl/>
        </w:rPr>
        <w:t xml:space="preserve"> קכב (ד</w:t>
      </w:r>
      <w:r>
        <w:rPr>
          <w:rFonts w:asciiTheme="minorBidi" w:hAnsiTheme="minorBidi" w:hint="cs"/>
          <w:rtl/>
        </w:rPr>
        <w:t>רכ</w:t>
      </w:r>
      <w:r w:rsidRPr="00085E47">
        <w:rPr>
          <w:rFonts w:asciiTheme="minorBidi" w:hAnsiTheme="minorBidi"/>
          <w:rtl/>
        </w:rPr>
        <w:t>"מ אות א)</w:t>
      </w:r>
      <w:r>
        <w:rPr>
          <w:rFonts w:asciiTheme="minorBidi" w:hAnsiTheme="minorBidi" w:hint="cs"/>
          <w:rtl/>
        </w:rPr>
        <w:t>,</w:t>
      </w:r>
      <w:r w:rsidRPr="00085E47">
        <w:rPr>
          <w:rFonts w:asciiTheme="minorBidi" w:hAnsiTheme="minorBidi"/>
          <w:rtl/>
        </w:rPr>
        <w:t xml:space="preserve"> ובתשו</w:t>
      </w:r>
      <w:r>
        <w:rPr>
          <w:rFonts w:asciiTheme="minorBidi" w:hAnsiTheme="minorBidi" w:hint="cs"/>
          <w:rtl/>
        </w:rPr>
        <w:t>'</w:t>
      </w:r>
      <w:r w:rsidRPr="00085E47">
        <w:rPr>
          <w:rFonts w:asciiTheme="minorBidi" w:hAnsiTheme="minorBidi"/>
          <w:rtl/>
        </w:rPr>
        <w:t xml:space="preserve"> הרשב"א (ח"א) סי</w:t>
      </w:r>
      <w:r>
        <w:rPr>
          <w:rFonts w:asciiTheme="minorBidi" w:hAnsiTheme="minorBidi" w:hint="cs"/>
          <w:rtl/>
        </w:rPr>
        <w:t>'</w:t>
      </w:r>
      <w:r w:rsidRPr="00085E47">
        <w:rPr>
          <w:rFonts w:asciiTheme="minorBidi" w:hAnsiTheme="minorBidi"/>
          <w:rtl/>
        </w:rPr>
        <w:t xml:space="preserve"> תמט משמע כדברי</w:t>
      </w:r>
      <w:r>
        <w:rPr>
          <w:rFonts w:asciiTheme="minorBidi" w:hAnsiTheme="minorBidi" w:hint="cs"/>
          <w:rtl/>
        </w:rPr>
        <w:t>,</w:t>
      </w:r>
      <w:r w:rsidRPr="00085E47">
        <w:rPr>
          <w:rFonts w:asciiTheme="minorBidi" w:hAnsiTheme="minorBidi"/>
          <w:rtl/>
        </w:rPr>
        <w:t xml:space="preserve"> שכתב שם במעשה שדכו ביצים עם תבלין במדוך חולבת שאינו ב"י ושמו בתרנגולת</w:t>
      </w:r>
      <w:r>
        <w:rPr>
          <w:rFonts w:asciiTheme="minorBidi" w:hAnsiTheme="minorBidi" w:hint="cs"/>
          <w:rtl/>
        </w:rPr>
        <w:t>,</w:t>
      </w:r>
      <w:r w:rsidRPr="00085E47">
        <w:rPr>
          <w:rFonts w:asciiTheme="minorBidi" w:hAnsiTheme="minorBidi"/>
          <w:rtl/>
        </w:rPr>
        <w:t xml:space="preserve"> ופסק דשרי</w:t>
      </w:r>
      <w:r>
        <w:rPr>
          <w:rFonts w:asciiTheme="minorBidi" w:hAnsiTheme="minorBidi" w:hint="cs"/>
          <w:rtl/>
        </w:rPr>
        <w:t>,</w:t>
      </w:r>
      <w:r w:rsidRPr="00085E47">
        <w:rPr>
          <w:rFonts w:asciiTheme="minorBidi" w:hAnsiTheme="minorBidi"/>
          <w:rtl/>
        </w:rPr>
        <w:t xml:space="preserve"> דמשום מעט תבלין שבו לא מיקרי דבר חריף</w:t>
      </w:r>
      <w:r>
        <w:rPr>
          <w:rFonts w:asciiTheme="minorBidi" w:hAnsiTheme="minorBidi" w:hint="cs"/>
          <w:rtl/>
        </w:rPr>
        <w:t>,</w:t>
      </w:r>
      <w:r w:rsidRPr="00085E47">
        <w:rPr>
          <w:rFonts w:asciiTheme="minorBidi" w:hAnsiTheme="minorBidi"/>
          <w:rtl/>
        </w:rPr>
        <w:t xml:space="preserve"> וא"כ הוי נ"ט בר נ"ט ונותן טעם לפגם עכ"ל</w:t>
      </w:r>
      <w:r>
        <w:rPr>
          <w:rFonts w:asciiTheme="minorBidi" w:hAnsiTheme="minorBidi" w:hint="cs"/>
          <w:rtl/>
        </w:rPr>
        <w:t>,</w:t>
      </w:r>
      <w:r w:rsidRPr="00085E47">
        <w:rPr>
          <w:rFonts w:asciiTheme="minorBidi" w:hAnsiTheme="minorBidi"/>
          <w:rtl/>
        </w:rPr>
        <w:t xml:space="preserve"> משמע הא אי הוי דבר חריף אסור</w:t>
      </w:r>
      <w:r>
        <w:rPr>
          <w:rFonts w:asciiTheme="minorBidi" w:hAnsiTheme="minorBidi" w:hint="cs"/>
          <w:rtl/>
        </w:rPr>
        <w:t>,</w:t>
      </w:r>
      <w:r w:rsidRPr="00085E47">
        <w:rPr>
          <w:rFonts w:asciiTheme="minorBidi" w:hAnsiTheme="minorBidi"/>
          <w:rtl/>
        </w:rPr>
        <w:t xml:space="preserve"> וכ"כ ב"י בסי' צו (עמ' תכד ד"ה וכתב בס"ה וד"ה וכתוב) בשם סה"ת (סי' נג).</w:t>
      </w:r>
    </w:p>
  </w:footnote>
  <w:footnote w:id="1607">
    <w:p w14:paraId="21466308"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ונראה שדעת כל הפוסקים שוה לזה, וכ"כ בפירוש בשע"ד (סי' נז נט) דלא שרי דגים שעלו בקערה לאכלם בכותח אלא משום דהוי נ"ט בר נ"ט דהיתרא אבל במחבת או יורה של גוי שיש בהן נותן טעם של איסור ונכנס טעמו של איסור במים אסור לכתחלה ללוש פת במים שנתחממו בהם, אע"ג דסתם כלים של גוים אינן בני יומן מ"מ אסור ללוש פת בבתינו מן המים שחממו בהן דאין להתיר נותן טעם לפגם לכתחלה, אבל לאכול מפת של גוי מותר דהיינו דיעבד עכ"ל. וכתוב בהגהות (סי' נט סק"ג) </w:t>
      </w:r>
      <w:r>
        <w:rPr>
          <w:rFonts w:asciiTheme="minorBidi" w:hAnsiTheme="minorBidi" w:hint="cs"/>
          <w:rtl/>
        </w:rPr>
        <w:t>'</w:t>
      </w:r>
      <w:r w:rsidRPr="00085E47">
        <w:rPr>
          <w:rFonts w:asciiTheme="minorBidi" w:hAnsiTheme="minorBidi"/>
          <w:rtl/>
        </w:rPr>
        <w:t>דאין להתיר נותן טעם לפגם לכתחלה</w:t>
      </w:r>
      <w:r>
        <w:rPr>
          <w:rFonts w:asciiTheme="minorBidi" w:hAnsiTheme="minorBidi" w:hint="cs"/>
          <w:rtl/>
        </w:rPr>
        <w:t>'-</w:t>
      </w:r>
      <w:r w:rsidRPr="00085E47">
        <w:rPr>
          <w:rFonts w:asciiTheme="minorBidi" w:hAnsiTheme="minorBidi"/>
          <w:rtl/>
        </w:rPr>
        <w:t xml:space="preserve"> שעדיין לא התחילה הנאתן שהרי לא הוחמו לשתייה אלא לאפייה ולענין זה הוי לכתחלה</w:t>
      </w:r>
      <w:r>
        <w:rPr>
          <w:rFonts w:asciiTheme="minorBidi" w:hAnsiTheme="minorBidi" w:hint="cs"/>
          <w:rtl/>
        </w:rPr>
        <w:t>, ב"י</w:t>
      </w:r>
      <w:r w:rsidRPr="00085E47">
        <w:rPr>
          <w:rFonts w:asciiTheme="minorBidi" w:hAnsiTheme="minorBidi"/>
          <w:rtl/>
        </w:rPr>
        <w:t>.</w:t>
      </w:r>
    </w:p>
  </w:footnote>
  <w:footnote w:id="1608">
    <w:p w14:paraId="2451F476"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לאו למימרא דכל שנתבשל בה בסתמא מחזקינן לה שהיה שם שומן דבוק וכמ"ש הרא"ש והט"ו בס"ג גבי הדחה דאפי' אינו בן יומו מחזקינן בה שומן ושלא הי' מקונח יפה דדוקא גבי הדחה אמרינן מסתמא שומן דבוק בהן דהא השתא הוא דמדיחן אבל כשנתבשלה בקדרה אמרינן מסתמא דלא היה שומן דבוק בהן וכדכתב בת"ח כלל י"ז ד"ב וכדמוכח להדיא מהפוסקים בדוכתי טובא ומ"ש המחבר רחוצה יפה היינו לאפוקי כשידוע בבירור שלא היתה רחוצה יפה, ש"ך (סק"א).</w:t>
      </w:r>
    </w:p>
  </w:footnote>
  <w:footnote w:id="1609">
    <w:p w14:paraId="771C2270" w14:textId="77777777" w:rsidR="004C5A3C" w:rsidRDefault="004C5A3C" w:rsidP="002C39F4">
      <w:pPr>
        <w:pStyle w:val="a5"/>
      </w:pPr>
      <w:r>
        <w:rPr>
          <w:rStyle w:val="a7"/>
        </w:rPr>
        <w:footnoteRef/>
      </w:r>
      <w:r>
        <w:rPr>
          <w:rtl/>
        </w:rPr>
        <w:t xml:space="preserve"> </w:t>
      </w:r>
      <w:r w:rsidRPr="00053CF3">
        <w:rPr>
          <w:rFonts w:cs="Arial"/>
          <w:rtl/>
        </w:rPr>
        <w:t>אף על פי שנרגש טעם בשר בדגים</w:t>
      </w:r>
      <w:r>
        <w:rPr>
          <w:rFonts w:cs="Arial" w:hint="cs"/>
          <w:rtl/>
        </w:rPr>
        <w:t>, פר"ח (סק"ג).</w:t>
      </w:r>
    </w:p>
  </w:footnote>
  <w:footnote w:id="1610">
    <w:p w14:paraId="0D621F26"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ואפילו ביצה קלופה..., ש"ך (סק"ב).</w:t>
      </w:r>
    </w:p>
  </w:footnote>
  <w:footnote w:id="1611">
    <w:p w14:paraId="08519D0B"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אם הקדרה רחוצה יפה, כמו בסע' א, ש"ך (סק"ב).</w:t>
      </w:r>
    </w:p>
  </w:footnote>
  <w:footnote w:id="1612">
    <w:p w14:paraId="3E02773A"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דבזה הוה כמו ממש של בשר בדגים, ולא התירו נ"ט בר נ"ט אלא עלו לחוד, דהיינו דגים רותחין מיד לאחר שסלקן מן האש ונתנן בקערה של בשר צוננת, או איפכא שהדגים צוננים והקערה רותחת, דמותר לאוכלן בחלב, ובשניהם חמין הדגים והקערה, אסור לפי זה, דהוה כנתבשלו או נצלו, ואין לדקדק דמשמע כאן דדוקא עם חלב אסור הדג אבל בפני עצמו שרי, הא יש בו איסור משום סכנה כמ"ש סי' קי"ו שיש סכנה אם נתבשל דג עם בשר דכאן לא נחית לדין זה אלא במה שנוגע לענין נ"ט בר נ"ט, וכ"כ רש"ל בפרק ג"ה סי' ט"ו, אלא שבאו"ה כלל ל"ט כ' וז"ל וכן כל דבר שהוא משום פליטת כלים אין אוסרים מבשר לדגים בדיעבד משום סכנת דבר אחר דהא מתיר בגמרא דגים שעלו בקערה רותחת של בשר. וצ"ע לפי זה ממה שזכרתי כאן. אבל מה שאמרו בזה דגים שעלו בקערה כו' יש ללמוד מזה שאין סכנה באכילת דג שיש בו טעם בשר במה שנתבשל בכלי בן יומו של בשר דהא אמרי' בגמרא דהרבה אכלו דגים שעלו בקערה כו' ועיין סי' קי"ו מ"ש שם, ט"ז (סק"ג).</w:t>
      </w:r>
    </w:p>
  </w:footnote>
  <w:footnote w:id="1613">
    <w:p w14:paraId="7FA4C9CD" w14:textId="77777777" w:rsidR="004C5A3C" w:rsidRPr="00085E47" w:rsidRDefault="004C5A3C" w:rsidP="002C39F4">
      <w:pPr>
        <w:pStyle w:val="a5"/>
        <w:rPr>
          <w:rFonts w:asciiTheme="minorBidi" w:hAnsiTheme="minorBidi"/>
          <w:color w:val="FF0000"/>
          <w:rtl/>
        </w:rPr>
      </w:pPr>
      <w:r w:rsidRPr="00085E47">
        <w:rPr>
          <w:rStyle w:val="a7"/>
          <w:rFonts w:asciiTheme="minorBidi" w:hAnsiTheme="minorBidi"/>
        </w:rPr>
        <w:footnoteRef/>
      </w:r>
      <w:r w:rsidRPr="00085E47">
        <w:rPr>
          <w:rFonts w:asciiTheme="minorBidi" w:hAnsiTheme="minorBidi"/>
          <w:rtl/>
        </w:rPr>
        <w:t xml:space="preserve"> לאכלו בכותח, ובדיעבד מותר אם נתן בכותח, אבל לבשלן לכתחלה בקדרה של בשר כדי לאכלן בכותח אסור אפי' להמחבר וסייעתו..., ש"ך (סק"ג). </w:t>
      </w:r>
      <w:r w:rsidRPr="00085E47">
        <w:rPr>
          <w:rFonts w:asciiTheme="minorBidi" w:hAnsiTheme="minorBidi"/>
          <w:color w:val="FF0000"/>
          <w:sz w:val="16"/>
          <w:szCs w:val="16"/>
          <w:rtl/>
        </w:rPr>
        <w:t>וצל"ע על סוף דבריו שהרי הב"י כ' (לאחר שהביא את דברי רי"ו) בהדיא שאפשר לבשל לכתח' בקדרה חולבת ולאכול עם בשר.</w:t>
      </w:r>
      <w:r w:rsidRPr="00085E47">
        <w:rPr>
          <w:rFonts w:asciiTheme="minorBidi" w:hAnsiTheme="minorBidi"/>
          <w:color w:val="FF0000"/>
          <w:rtl/>
        </w:rPr>
        <w:t xml:space="preserve"> </w:t>
      </w:r>
    </w:p>
  </w:footnote>
  <w:footnote w:id="1614">
    <w:p w14:paraId="6FDEC69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דבזה אנו סומכים על המתירין גם בבישול וצלייה נ"ט בר נ"ט, ט"ז </w:t>
      </w:r>
      <w:r w:rsidRPr="00085E47">
        <w:rPr>
          <w:rFonts w:asciiTheme="minorBidi" w:hAnsiTheme="minorBidi"/>
          <w:sz w:val="16"/>
          <w:szCs w:val="16"/>
          <w:rtl/>
        </w:rPr>
        <w:t xml:space="preserve">(סק"ה) </w:t>
      </w:r>
      <w:r w:rsidRPr="00085E47">
        <w:rPr>
          <w:rFonts w:asciiTheme="minorBidi" w:hAnsiTheme="minorBidi"/>
          <w:rtl/>
        </w:rPr>
        <w:t xml:space="preserve">וגר"א </w:t>
      </w:r>
      <w:r w:rsidRPr="00085E47">
        <w:rPr>
          <w:rFonts w:asciiTheme="minorBidi" w:hAnsiTheme="minorBidi"/>
          <w:sz w:val="16"/>
          <w:szCs w:val="16"/>
          <w:rtl/>
        </w:rPr>
        <w:t>(סק"ח)</w:t>
      </w:r>
      <w:r w:rsidRPr="00085E47">
        <w:rPr>
          <w:rFonts w:asciiTheme="minorBidi" w:hAnsiTheme="minorBidi"/>
          <w:rtl/>
        </w:rPr>
        <w:t xml:space="preserve">. </w:t>
      </w:r>
      <w:r w:rsidRPr="00085E47">
        <w:rPr>
          <w:rFonts w:asciiTheme="minorBidi" w:hAnsiTheme="minorBidi"/>
          <w:color w:val="FF0000"/>
          <w:rtl/>
        </w:rPr>
        <w:t xml:space="preserve">אך </w:t>
      </w:r>
      <w:r w:rsidRPr="00085E47">
        <w:rPr>
          <w:rFonts w:asciiTheme="minorBidi" w:hAnsiTheme="minorBidi"/>
          <w:rtl/>
        </w:rPr>
        <w:t xml:space="preserve">הש"ך </w:t>
      </w:r>
      <w:r w:rsidRPr="00085E47">
        <w:rPr>
          <w:rFonts w:asciiTheme="minorBidi" w:hAnsiTheme="minorBidi"/>
          <w:sz w:val="16"/>
          <w:szCs w:val="16"/>
          <w:rtl/>
        </w:rPr>
        <w:t xml:space="preserve">(סק"ה) </w:t>
      </w:r>
      <w:r w:rsidRPr="00085E47">
        <w:rPr>
          <w:rFonts w:asciiTheme="minorBidi" w:hAnsiTheme="minorBidi"/>
          <w:rtl/>
        </w:rPr>
        <w:t xml:space="preserve">כ'- לכאורה משמע דאפי' ליתנן דרך עירוי מותר... אלא שקשה דהרי כ' בס"ג דאם עירה מכלי ראשון של בשר על כלי חלב דינו ככלי ראשון ואוסר אם היה בן יומו... וצ"ל דכאן לא מיירי אלא דמותר ליתנן בלא עירוי, ומ"מ לענין דינא צ"ע... דנראה דאם עירה מכלי ראשון של בשר על כלי של חלב דשרי דהוו דיעבד </w:t>
      </w:r>
      <w:r w:rsidRPr="00085E47">
        <w:rPr>
          <w:rFonts w:asciiTheme="minorBidi" w:hAnsiTheme="minorBidi"/>
          <w:sz w:val="16"/>
          <w:szCs w:val="16"/>
          <w:rtl/>
        </w:rPr>
        <w:t>(ול"ד למאי דאסרינן קערות של בשר שהודחו ביורה חולבת דהתם שאני, דמאן לימא לן שלא יתערבו פליטת הבשר ופליטת החלב בעצמם שלא באמצעית המים הילכך לא הוי נ"ט בר נ"ט... וכל זה לא שייך בעירוי)</w:t>
      </w:r>
      <w:r w:rsidRPr="00085E47">
        <w:rPr>
          <w:rFonts w:asciiTheme="minorBidi" w:hAnsiTheme="minorBidi"/>
          <w:rtl/>
        </w:rPr>
        <w:t xml:space="preserve"> וכן דעת האו"ה דאם עירה מכלי ראשון של בשר על של חלב מותר, ואף הרב בת"ח שם דין י"ב כתב שכל דבריו נ"ל הלכה כי דברי טעם הם אלא כמדומה לי שלא נהגו להקל בכה"ג אמנם בהפסד מרובה או לעת הצורך יש לסמוך עליו, ע"כ. וגם בתשו' משא"ב </w:t>
      </w:r>
      <w:r w:rsidRPr="00085E47">
        <w:rPr>
          <w:rFonts w:asciiTheme="minorBidi" w:hAnsiTheme="minorBidi"/>
          <w:sz w:val="16"/>
          <w:szCs w:val="16"/>
          <w:rtl/>
        </w:rPr>
        <w:t xml:space="preserve">(סי' כ) </w:t>
      </w:r>
      <w:r w:rsidRPr="00085E47">
        <w:rPr>
          <w:rFonts w:asciiTheme="minorBidi" w:hAnsiTheme="minorBidi"/>
          <w:rtl/>
        </w:rPr>
        <w:t xml:space="preserve">כ' שכל המחמיר בזה אינו אלא מן המתמיהין. </w:t>
      </w:r>
    </w:p>
  </w:footnote>
  <w:footnote w:id="1615">
    <w:p w14:paraId="5075784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דחורפיה דתבלין משוי ליה כאלו האיסור בעין ומשוי ליה בן יומו, כדלקמן סי' צו, ולקמן סי' קכב ס"ג נתבאר דדוקא המאכל עצמו שהוא חריף נעשה לשבח אבל לא משוי הקדרה לשבח וע"ש, וע"ל סי' צו וסי' קג ס"ו, ש"ך (סק"ז).</w:t>
      </w:r>
    </w:p>
  </w:footnote>
  <w:footnote w:id="1616">
    <w:p w14:paraId="45942B83"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ואם אין ידוע הבלוע צריך ס' נגד כל התבלין, ט"ז (סק"ו). ולא אמרינן דתבלין כיון דלטעמא עבידי לא בטילי כיון דאין איסורן מחמת עצמן וכדלקמן סי' צ"ח ס"ח, ש"ך (סק"ח). </w:t>
      </w:r>
    </w:p>
  </w:footnote>
  <w:footnote w:id="1617">
    <w:p w14:paraId="605613C2" w14:textId="77777777" w:rsidR="004C5A3C" w:rsidRDefault="004C5A3C" w:rsidP="002C39F4">
      <w:pPr>
        <w:pStyle w:val="a5"/>
        <w:rPr>
          <w:rtl/>
        </w:rPr>
      </w:pPr>
      <w:r>
        <w:rPr>
          <w:rStyle w:val="a7"/>
        </w:rPr>
        <w:footnoteRef/>
      </w:r>
      <w:r>
        <w:rPr>
          <w:rtl/>
        </w:rPr>
        <w:t xml:space="preserve"> </w:t>
      </w:r>
      <w:r>
        <w:rPr>
          <w:rFonts w:cs="Arial" w:hint="cs"/>
          <w:rtl/>
        </w:rPr>
        <w:t>ו</w:t>
      </w:r>
      <w:r w:rsidRPr="008F44EF">
        <w:rPr>
          <w:rFonts w:cs="Arial"/>
          <w:rtl/>
        </w:rPr>
        <w:t>עי</w:t>
      </w:r>
      <w:r>
        <w:rPr>
          <w:rFonts w:cs="Arial" w:hint="cs"/>
          <w:rtl/>
        </w:rPr>
        <w:t>'</w:t>
      </w:r>
      <w:r w:rsidRPr="008F44EF">
        <w:rPr>
          <w:rFonts w:cs="Arial"/>
          <w:rtl/>
        </w:rPr>
        <w:t xml:space="preserve"> בתשו</w:t>
      </w:r>
      <w:r>
        <w:rPr>
          <w:rFonts w:cs="Arial" w:hint="cs"/>
          <w:rtl/>
        </w:rPr>
        <w:t>'</w:t>
      </w:r>
      <w:r w:rsidRPr="008F44EF">
        <w:rPr>
          <w:rFonts w:cs="Arial"/>
          <w:rtl/>
        </w:rPr>
        <w:t xml:space="preserve"> מקום שמואל </w:t>
      </w:r>
      <w:r w:rsidRPr="003936F4">
        <w:rPr>
          <w:rFonts w:cs="Arial" w:hint="cs"/>
          <w:sz w:val="16"/>
          <w:szCs w:val="16"/>
          <w:rtl/>
        </w:rPr>
        <w:t>(</w:t>
      </w:r>
      <w:r w:rsidRPr="003936F4">
        <w:rPr>
          <w:rFonts w:cs="Arial"/>
          <w:sz w:val="16"/>
          <w:szCs w:val="16"/>
          <w:rtl/>
        </w:rPr>
        <w:t>סי</w:t>
      </w:r>
      <w:r w:rsidRPr="003936F4">
        <w:rPr>
          <w:rFonts w:cs="Arial" w:hint="cs"/>
          <w:sz w:val="16"/>
          <w:szCs w:val="16"/>
          <w:rtl/>
        </w:rPr>
        <w:t>'</w:t>
      </w:r>
      <w:r w:rsidRPr="003936F4">
        <w:rPr>
          <w:rFonts w:cs="Arial"/>
          <w:sz w:val="16"/>
          <w:szCs w:val="16"/>
          <w:rtl/>
        </w:rPr>
        <w:t xml:space="preserve"> פט</w:t>
      </w:r>
      <w:r w:rsidRPr="003936F4">
        <w:rPr>
          <w:rFonts w:cs="Arial" w:hint="cs"/>
          <w:sz w:val="16"/>
          <w:szCs w:val="16"/>
          <w:rtl/>
        </w:rPr>
        <w:t>)</w:t>
      </w:r>
      <w:r w:rsidRPr="003936F4">
        <w:rPr>
          <w:rFonts w:cs="Arial"/>
          <w:sz w:val="16"/>
          <w:szCs w:val="16"/>
          <w:rtl/>
        </w:rPr>
        <w:t xml:space="preserve"> </w:t>
      </w:r>
      <w:r w:rsidRPr="008F44EF">
        <w:rPr>
          <w:rFonts w:cs="Arial"/>
          <w:rtl/>
        </w:rPr>
        <w:t>שהאריך הרבה לסתור פסק זה שבתשובת הרשב"א שם לא משמע מידי</w:t>
      </w:r>
      <w:r>
        <w:rPr>
          <w:rFonts w:cs="Arial" w:hint="cs"/>
          <w:rtl/>
        </w:rPr>
        <w:t>,</w:t>
      </w:r>
      <w:r w:rsidRPr="008F44EF">
        <w:rPr>
          <w:rFonts w:cs="Arial"/>
          <w:rtl/>
        </w:rPr>
        <w:t xml:space="preserve"> ומדברי האו"ה ג"כ אין ראייה </w:t>
      </w:r>
      <w:r w:rsidRPr="008F44EF">
        <w:rPr>
          <w:rFonts w:cs="Arial" w:hint="cs"/>
          <w:sz w:val="16"/>
          <w:szCs w:val="16"/>
          <w:rtl/>
        </w:rPr>
        <w:t>(</w:t>
      </w:r>
      <w:r w:rsidRPr="008F44EF">
        <w:rPr>
          <w:rFonts w:cs="Arial"/>
          <w:sz w:val="16"/>
          <w:szCs w:val="16"/>
          <w:rtl/>
        </w:rPr>
        <w:t>דמה שהצריך ס' נגד כל התבלין אינו מטעם דבד"ח לא אמרינן נ"ט בר נ"ט רק משום דאין כאן ב' נ"ט)</w:t>
      </w:r>
      <w:r>
        <w:rPr>
          <w:rFonts w:cs="Arial" w:hint="cs"/>
          <w:rtl/>
        </w:rPr>
        <w:t xml:space="preserve">, </w:t>
      </w:r>
      <w:r w:rsidRPr="008F44EF">
        <w:rPr>
          <w:rFonts w:cs="Arial"/>
          <w:rtl/>
        </w:rPr>
        <w:t>ולפ"ז בנתבשלו דאיכא ג' נ"ט אפילו בדבר חריף מותר ולא כמו שמדמה הרמ"א דין בישול בדברים חריפים לדין תבלין שנדוכו. ומסיק דבדבר חריף גמור אין לזוז מפסק הרמ"א מאחר שכן פשט המנהג אבל במקום שיש להסתפק אי מקרי דבר חריף</w:t>
      </w:r>
      <w:r w:rsidRPr="008F44EF">
        <w:rPr>
          <w:rFonts w:cs="Arial"/>
          <w:sz w:val="16"/>
          <w:szCs w:val="16"/>
          <w:rtl/>
        </w:rPr>
        <w:t xml:space="preserve"> (כמו בארש"ט</w:t>
      </w:r>
      <w:r w:rsidRPr="008F44EF">
        <w:rPr>
          <w:rFonts w:cs="Arial" w:hint="cs"/>
          <w:sz w:val="16"/>
          <w:szCs w:val="16"/>
          <w:rtl/>
        </w:rPr>
        <w:t>,</w:t>
      </w:r>
      <w:r w:rsidRPr="008F44EF">
        <w:rPr>
          <w:rFonts w:cs="Arial"/>
          <w:sz w:val="16"/>
          <w:szCs w:val="16"/>
          <w:rtl/>
        </w:rPr>
        <w:t xml:space="preserve"> שנחלקו בו הט"ז ובה"י</w:t>
      </w:r>
      <w:r w:rsidRPr="008F44EF">
        <w:rPr>
          <w:rFonts w:cs="Arial" w:hint="cs"/>
          <w:sz w:val="16"/>
          <w:szCs w:val="16"/>
          <w:rtl/>
        </w:rPr>
        <w:t>,</w:t>
      </w:r>
      <w:r w:rsidRPr="008F44EF">
        <w:rPr>
          <w:rFonts w:cs="Arial"/>
          <w:sz w:val="16"/>
          <w:szCs w:val="16"/>
          <w:rtl/>
        </w:rPr>
        <w:t xml:space="preserve"> כמ"ש הבה"ט סי</w:t>
      </w:r>
      <w:r w:rsidRPr="008F44EF">
        <w:rPr>
          <w:rFonts w:cs="Arial" w:hint="cs"/>
          <w:sz w:val="16"/>
          <w:szCs w:val="16"/>
          <w:rtl/>
        </w:rPr>
        <w:t>'</w:t>
      </w:r>
      <w:r w:rsidRPr="008F44EF">
        <w:rPr>
          <w:rFonts w:cs="Arial"/>
          <w:sz w:val="16"/>
          <w:szCs w:val="16"/>
          <w:rtl/>
        </w:rPr>
        <w:t xml:space="preserve"> צו סק"י)</w:t>
      </w:r>
      <w:r w:rsidRPr="008F44EF">
        <w:rPr>
          <w:rFonts w:cs="Arial"/>
          <w:rtl/>
        </w:rPr>
        <w:t xml:space="preserve"> וכדומה יש להתיר ע"ש</w:t>
      </w:r>
      <w:r>
        <w:rPr>
          <w:rFonts w:cs="Arial" w:hint="cs"/>
          <w:rtl/>
        </w:rPr>
        <w:t>,</w:t>
      </w:r>
      <w:r w:rsidRPr="008F44EF">
        <w:rPr>
          <w:rFonts w:cs="Arial"/>
          <w:rtl/>
        </w:rPr>
        <w:t xml:space="preserve"> וכן הסכים בתשו</w:t>
      </w:r>
      <w:r>
        <w:rPr>
          <w:rFonts w:cs="Arial" w:hint="cs"/>
          <w:rtl/>
        </w:rPr>
        <w:t>'</w:t>
      </w:r>
      <w:r w:rsidRPr="008F44EF">
        <w:rPr>
          <w:rFonts w:cs="Arial"/>
          <w:rtl/>
        </w:rPr>
        <w:t xml:space="preserve"> פרי תבואה </w:t>
      </w:r>
      <w:r w:rsidRPr="003936F4">
        <w:rPr>
          <w:rFonts w:cs="Arial" w:hint="cs"/>
          <w:sz w:val="16"/>
          <w:szCs w:val="16"/>
          <w:rtl/>
        </w:rPr>
        <w:t>(</w:t>
      </w:r>
      <w:r w:rsidRPr="003936F4">
        <w:rPr>
          <w:rFonts w:cs="Arial"/>
          <w:sz w:val="16"/>
          <w:szCs w:val="16"/>
          <w:rtl/>
        </w:rPr>
        <w:t>סי' כב</w:t>
      </w:r>
      <w:r w:rsidRPr="003936F4">
        <w:rPr>
          <w:rFonts w:cs="Arial" w:hint="cs"/>
          <w:sz w:val="16"/>
          <w:szCs w:val="16"/>
          <w:rtl/>
        </w:rPr>
        <w:t>)</w:t>
      </w:r>
      <w:r w:rsidRPr="008F44EF">
        <w:rPr>
          <w:rFonts w:cs="Arial"/>
          <w:rtl/>
        </w:rPr>
        <w:t>. ויש להסתפק הא דחורפא מחליא אם הוא מדאו</w:t>
      </w:r>
      <w:r>
        <w:rPr>
          <w:rFonts w:cs="Arial" w:hint="cs"/>
          <w:rtl/>
        </w:rPr>
        <w:t>'</w:t>
      </w:r>
      <w:r w:rsidRPr="008F44EF">
        <w:rPr>
          <w:rFonts w:cs="Arial"/>
          <w:rtl/>
        </w:rPr>
        <w:t xml:space="preserve"> או מדרבנן</w:t>
      </w:r>
      <w:r>
        <w:rPr>
          <w:rFonts w:cs="Arial" w:hint="cs"/>
          <w:rtl/>
        </w:rPr>
        <w:t>,</w:t>
      </w:r>
      <w:r w:rsidRPr="008F44EF">
        <w:rPr>
          <w:rFonts w:cs="Arial"/>
          <w:rtl/>
        </w:rPr>
        <w:t xml:space="preserve"> ונפ"מ להקל בספיקו</w:t>
      </w:r>
      <w:r>
        <w:rPr>
          <w:rFonts w:cs="Arial" w:hint="cs"/>
          <w:rtl/>
        </w:rPr>
        <w:t>,</w:t>
      </w:r>
      <w:r w:rsidRPr="008F44EF">
        <w:rPr>
          <w:rFonts w:cs="Arial"/>
          <w:rtl/>
        </w:rPr>
        <w:t xml:space="preserve"> וראיתי בתש</w:t>
      </w:r>
      <w:r>
        <w:rPr>
          <w:rFonts w:cs="Arial" w:hint="cs"/>
          <w:rtl/>
        </w:rPr>
        <w:t>ו'</w:t>
      </w:r>
      <w:r w:rsidRPr="008F44EF">
        <w:rPr>
          <w:rFonts w:cs="Arial"/>
          <w:rtl/>
        </w:rPr>
        <w:t xml:space="preserve"> כנסת יחזקאל </w:t>
      </w:r>
      <w:r w:rsidRPr="003936F4">
        <w:rPr>
          <w:rFonts w:cs="Arial" w:hint="cs"/>
          <w:sz w:val="16"/>
          <w:szCs w:val="16"/>
          <w:rtl/>
        </w:rPr>
        <w:t>(</w:t>
      </w:r>
      <w:r w:rsidRPr="003936F4">
        <w:rPr>
          <w:rFonts w:cs="Arial"/>
          <w:sz w:val="16"/>
          <w:szCs w:val="16"/>
          <w:rtl/>
        </w:rPr>
        <w:t>סוף סי' כד</w:t>
      </w:r>
      <w:r w:rsidRPr="003936F4">
        <w:rPr>
          <w:rFonts w:cs="Arial" w:hint="cs"/>
          <w:sz w:val="16"/>
          <w:szCs w:val="16"/>
          <w:rtl/>
        </w:rPr>
        <w:t>)</w:t>
      </w:r>
      <w:r w:rsidRPr="003936F4">
        <w:rPr>
          <w:rFonts w:cs="Arial"/>
          <w:sz w:val="16"/>
          <w:szCs w:val="16"/>
          <w:rtl/>
        </w:rPr>
        <w:t xml:space="preserve"> </w:t>
      </w:r>
      <w:r>
        <w:rPr>
          <w:rFonts w:cs="Arial" w:hint="cs"/>
          <w:rtl/>
        </w:rPr>
        <w:t>שכ'</w:t>
      </w:r>
      <w:r w:rsidRPr="008F44EF">
        <w:rPr>
          <w:rFonts w:cs="Arial"/>
          <w:rtl/>
        </w:rPr>
        <w:t xml:space="preserve"> דהוא מדרבנן</w:t>
      </w:r>
      <w:r>
        <w:rPr>
          <w:rFonts w:cs="Arial" w:hint="cs"/>
          <w:rtl/>
        </w:rPr>
        <w:t>,</w:t>
      </w:r>
      <w:r w:rsidRPr="008F44EF">
        <w:rPr>
          <w:rFonts w:cs="Arial"/>
          <w:rtl/>
        </w:rPr>
        <w:t xml:space="preserve"> ועי</w:t>
      </w:r>
      <w:r>
        <w:rPr>
          <w:rFonts w:cs="Arial" w:hint="cs"/>
          <w:rtl/>
        </w:rPr>
        <w:t>'</w:t>
      </w:r>
      <w:r w:rsidRPr="008F44EF">
        <w:rPr>
          <w:rFonts w:cs="Arial"/>
          <w:rtl/>
        </w:rPr>
        <w:t xml:space="preserve"> בתשו' </w:t>
      </w:r>
      <w:r>
        <w:rPr>
          <w:rFonts w:cs="Arial" w:hint="cs"/>
          <w:rtl/>
        </w:rPr>
        <w:t>אא"ז פנמ"א</w:t>
      </w:r>
      <w:r w:rsidRPr="008F44EF">
        <w:rPr>
          <w:rFonts w:cs="Arial"/>
          <w:rtl/>
        </w:rPr>
        <w:t xml:space="preserve"> </w:t>
      </w:r>
      <w:r w:rsidRPr="003936F4">
        <w:rPr>
          <w:rFonts w:cs="Arial" w:hint="cs"/>
          <w:sz w:val="16"/>
          <w:szCs w:val="16"/>
          <w:rtl/>
        </w:rPr>
        <w:t>(</w:t>
      </w:r>
      <w:r w:rsidRPr="003936F4">
        <w:rPr>
          <w:rFonts w:cs="Arial"/>
          <w:sz w:val="16"/>
          <w:szCs w:val="16"/>
          <w:rtl/>
        </w:rPr>
        <w:t xml:space="preserve">ח"א סי' סד) </w:t>
      </w:r>
      <w:r>
        <w:rPr>
          <w:rFonts w:cs="Arial" w:hint="cs"/>
          <w:rtl/>
        </w:rPr>
        <w:t>ש</w:t>
      </w:r>
      <w:r w:rsidRPr="008F44EF">
        <w:rPr>
          <w:rFonts w:cs="Arial"/>
          <w:rtl/>
        </w:rPr>
        <w:t>הביא ראיה דהוא דאו</w:t>
      </w:r>
      <w:r>
        <w:rPr>
          <w:rFonts w:cs="Arial" w:hint="cs"/>
          <w:rtl/>
        </w:rPr>
        <w:t>'</w:t>
      </w:r>
      <w:r w:rsidRPr="008F44EF">
        <w:rPr>
          <w:rFonts w:cs="Arial"/>
          <w:rtl/>
        </w:rPr>
        <w:t>. שוב ראיתי בתשו</w:t>
      </w:r>
      <w:r>
        <w:rPr>
          <w:rFonts w:cs="Arial" w:hint="cs"/>
          <w:rtl/>
        </w:rPr>
        <w:t>'</w:t>
      </w:r>
      <w:r w:rsidRPr="008F44EF">
        <w:rPr>
          <w:rFonts w:cs="Arial"/>
          <w:rtl/>
        </w:rPr>
        <w:t xml:space="preserve"> שיבת ציון </w:t>
      </w:r>
      <w:r w:rsidRPr="003936F4">
        <w:rPr>
          <w:rFonts w:cs="Arial" w:hint="cs"/>
          <w:sz w:val="16"/>
          <w:szCs w:val="16"/>
          <w:rtl/>
        </w:rPr>
        <w:t>(</w:t>
      </w:r>
      <w:r w:rsidRPr="003936F4">
        <w:rPr>
          <w:rFonts w:cs="Arial"/>
          <w:sz w:val="16"/>
          <w:szCs w:val="16"/>
          <w:rtl/>
        </w:rPr>
        <w:t xml:space="preserve">רס"י לב) </w:t>
      </w:r>
      <w:r>
        <w:rPr>
          <w:rFonts w:cs="Arial" w:hint="cs"/>
          <w:rtl/>
        </w:rPr>
        <w:t>ד</w:t>
      </w:r>
      <w:r w:rsidRPr="008F44EF">
        <w:rPr>
          <w:rFonts w:cs="Arial"/>
          <w:rtl/>
        </w:rPr>
        <w:t>כ</w:t>
      </w:r>
      <w:r>
        <w:rPr>
          <w:rFonts w:cs="Arial" w:hint="cs"/>
          <w:rtl/>
        </w:rPr>
        <w:t>'</w:t>
      </w:r>
      <w:r w:rsidRPr="008F44EF">
        <w:rPr>
          <w:rFonts w:cs="Arial"/>
          <w:rtl/>
        </w:rPr>
        <w:t xml:space="preserve"> דלא שייך בזה כלל לומר דין דאו</w:t>
      </w:r>
      <w:r>
        <w:rPr>
          <w:rFonts w:cs="Arial" w:hint="cs"/>
          <w:rtl/>
        </w:rPr>
        <w:t>'</w:t>
      </w:r>
      <w:r w:rsidRPr="008F44EF">
        <w:rPr>
          <w:rFonts w:cs="Arial"/>
          <w:rtl/>
        </w:rPr>
        <w:t xml:space="preserve"> או דרבנן דחיך אוכל יטעם וכיון דחז"ל עמדו בזה על הנסיון וידעו דבדבר חריף משוי ליה לשבח פשיטא דהוא דאו</w:t>
      </w:r>
      <w:r>
        <w:rPr>
          <w:rFonts w:cs="Arial" w:hint="cs"/>
          <w:rtl/>
        </w:rPr>
        <w:t>'.</w:t>
      </w:r>
      <w:r w:rsidRPr="008F44EF">
        <w:rPr>
          <w:rFonts w:cs="Arial"/>
          <w:rtl/>
        </w:rPr>
        <w:t xml:space="preserve"> ועמש"ל ס"ס ק"י בדיני ס"ס אות יט שכן דעת הגאון ר</w:t>
      </w:r>
      <w:r>
        <w:rPr>
          <w:rFonts w:cs="Arial" w:hint="cs"/>
          <w:rtl/>
        </w:rPr>
        <w:t xml:space="preserve">עק"א, פת"ש </w:t>
      </w:r>
      <w:r w:rsidRPr="003936F4">
        <w:rPr>
          <w:rFonts w:cs="Arial" w:hint="cs"/>
          <w:sz w:val="16"/>
          <w:szCs w:val="16"/>
          <w:rtl/>
        </w:rPr>
        <w:t>(סק"ד)</w:t>
      </w:r>
      <w:r>
        <w:rPr>
          <w:rFonts w:hint="cs"/>
          <w:rtl/>
        </w:rPr>
        <w:t>.</w:t>
      </w:r>
    </w:p>
  </w:footnote>
  <w:footnote w:id="1618">
    <w:p w14:paraId="6140EB24"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ונראה שאע"פ שהיא על האש נמי אם אין היד סולדת בהם שרי, ב"י. וכ"פ ה</w:t>
      </w:r>
      <w:r>
        <w:rPr>
          <w:rFonts w:asciiTheme="minorBidi" w:hAnsiTheme="minorBidi"/>
          <w:rtl/>
        </w:rPr>
        <w:t>או"ה</w:t>
      </w:r>
      <w:r w:rsidRPr="00085E47">
        <w:rPr>
          <w:rFonts w:asciiTheme="minorBidi" w:hAnsiTheme="minorBidi"/>
          <w:rtl/>
        </w:rPr>
        <w:t xml:space="preserve"> (כלל לד דין יט), דרכ"מ (אות ד*).</w:t>
      </w:r>
    </w:p>
  </w:footnote>
  <w:footnote w:id="1619">
    <w:p w14:paraId="1289B2FA"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היינו לומר דאם אין היד סולדת בהם אין שם רותח עליהם, ב"י.</w:t>
      </w:r>
    </w:p>
  </w:footnote>
  <w:footnote w:id="1620">
    <w:p w14:paraId="47A3CDB4"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סה"ת </w:t>
      </w:r>
      <w:r w:rsidRPr="00085E47">
        <w:rPr>
          <w:rFonts w:asciiTheme="minorBidi" w:hAnsiTheme="minorBidi"/>
          <w:sz w:val="16"/>
          <w:szCs w:val="16"/>
          <w:rtl/>
        </w:rPr>
        <w:t>(סי' סא)</w:t>
      </w:r>
      <w:r w:rsidRPr="00085E47">
        <w:rPr>
          <w:rFonts w:asciiTheme="minorBidi" w:hAnsiTheme="minorBidi"/>
          <w:rtl/>
        </w:rPr>
        <w:t xml:space="preserve"> סמ"ג </w:t>
      </w:r>
      <w:r w:rsidRPr="00085E47">
        <w:rPr>
          <w:rFonts w:asciiTheme="minorBidi" w:hAnsiTheme="minorBidi"/>
          <w:sz w:val="16"/>
          <w:szCs w:val="16"/>
          <w:rtl/>
        </w:rPr>
        <w:t xml:space="preserve">(לאוין קמ וקמא) </w:t>
      </w:r>
      <w:r w:rsidRPr="00085E47">
        <w:rPr>
          <w:rFonts w:asciiTheme="minorBidi" w:hAnsiTheme="minorBidi"/>
          <w:rtl/>
        </w:rPr>
        <w:t xml:space="preserve">ר"פ </w:t>
      </w:r>
      <w:r w:rsidRPr="00085E47">
        <w:rPr>
          <w:rFonts w:asciiTheme="minorBidi" w:hAnsiTheme="minorBidi"/>
          <w:sz w:val="16"/>
          <w:szCs w:val="16"/>
          <w:rtl/>
        </w:rPr>
        <w:t>(הגה' סמ"ק ס</w:t>
      </w:r>
      <w:r>
        <w:rPr>
          <w:rFonts w:asciiTheme="minorBidi" w:hAnsiTheme="minorBidi" w:hint="cs"/>
          <w:sz w:val="16"/>
          <w:szCs w:val="16"/>
          <w:rtl/>
        </w:rPr>
        <w:t>י'</w:t>
      </w:r>
      <w:r w:rsidRPr="00085E47">
        <w:rPr>
          <w:rFonts w:asciiTheme="minorBidi" w:hAnsiTheme="minorBidi"/>
          <w:sz w:val="16"/>
          <w:szCs w:val="16"/>
          <w:rtl/>
        </w:rPr>
        <w:t xml:space="preserve"> ריג אות ט) </w:t>
      </w:r>
      <w:r w:rsidRPr="00085E47">
        <w:rPr>
          <w:rFonts w:asciiTheme="minorBidi" w:hAnsiTheme="minorBidi"/>
          <w:rtl/>
        </w:rPr>
        <w:t xml:space="preserve">שע"ד </w:t>
      </w:r>
      <w:r w:rsidRPr="00085E47">
        <w:rPr>
          <w:rFonts w:asciiTheme="minorBidi" w:hAnsiTheme="minorBidi"/>
          <w:sz w:val="16"/>
          <w:szCs w:val="16"/>
          <w:rtl/>
        </w:rPr>
        <w:t>(סי' נז)</w:t>
      </w:r>
      <w:r w:rsidRPr="00085E47">
        <w:rPr>
          <w:rFonts w:asciiTheme="minorBidi" w:hAnsiTheme="minorBidi"/>
          <w:rtl/>
        </w:rPr>
        <w:t xml:space="preserve"> מרדכי </w:t>
      </w:r>
      <w:r w:rsidRPr="00085E47">
        <w:rPr>
          <w:rFonts w:asciiTheme="minorBidi" w:hAnsiTheme="minorBidi"/>
          <w:sz w:val="16"/>
          <w:szCs w:val="16"/>
          <w:rtl/>
        </w:rPr>
        <w:t>(סי' תשי)</w:t>
      </w:r>
      <w:r w:rsidRPr="00085E47">
        <w:rPr>
          <w:rFonts w:asciiTheme="minorBidi" w:hAnsiTheme="minorBidi"/>
          <w:rtl/>
        </w:rPr>
        <w:t xml:space="preserve"> </w:t>
      </w:r>
      <w:r>
        <w:rPr>
          <w:rFonts w:asciiTheme="minorBidi" w:hAnsiTheme="minorBidi"/>
          <w:rtl/>
        </w:rPr>
        <w:t>או"ה</w:t>
      </w:r>
      <w:r w:rsidRPr="00085E47">
        <w:rPr>
          <w:rFonts w:asciiTheme="minorBidi" w:hAnsiTheme="minorBidi"/>
          <w:sz w:val="16"/>
          <w:szCs w:val="16"/>
          <w:rtl/>
        </w:rPr>
        <w:t xml:space="preserve"> (כל</w:t>
      </w:r>
      <w:r>
        <w:rPr>
          <w:rFonts w:asciiTheme="minorBidi" w:hAnsiTheme="minorBidi" w:hint="cs"/>
          <w:sz w:val="16"/>
          <w:szCs w:val="16"/>
          <w:rtl/>
        </w:rPr>
        <w:t>"</w:t>
      </w:r>
      <w:r w:rsidRPr="00085E47">
        <w:rPr>
          <w:rFonts w:asciiTheme="minorBidi" w:hAnsiTheme="minorBidi"/>
          <w:sz w:val="16"/>
          <w:szCs w:val="16"/>
          <w:rtl/>
        </w:rPr>
        <w:t>ד דט</w:t>
      </w:r>
      <w:r>
        <w:rPr>
          <w:rFonts w:asciiTheme="minorBidi" w:hAnsiTheme="minorBidi" w:hint="cs"/>
          <w:sz w:val="16"/>
          <w:szCs w:val="16"/>
          <w:rtl/>
        </w:rPr>
        <w:t>"</w:t>
      </w:r>
      <w:r w:rsidRPr="00085E47">
        <w:rPr>
          <w:rFonts w:asciiTheme="minorBidi" w:hAnsiTheme="minorBidi"/>
          <w:sz w:val="16"/>
          <w:szCs w:val="16"/>
          <w:rtl/>
        </w:rPr>
        <w:t>ז)</w:t>
      </w:r>
      <w:r w:rsidRPr="00085E47">
        <w:rPr>
          <w:rFonts w:asciiTheme="minorBidi" w:hAnsiTheme="minorBidi"/>
          <w:rtl/>
        </w:rPr>
        <w:t xml:space="preserve"> ומהרא"י</w:t>
      </w:r>
      <w:r w:rsidRPr="00085E47">
        <w:rPr>
          <w:rFonts w:asciiTheme="minorBidi" w:hAnsiTheme="minorBidi"/>
          <w:sz w:val="16"/>
          <w:szCs w:val="16"/>
          <w:rtl/>
        </w:rPr>
        <w:t xml:space="preserve"> (בפסקיו סי' צז)</w:t>
      </w:r>
      <w:r w:rsidRPr="00085E47">
        <w:rPr>
          <w:rFonts w:asciiTheme="minorBidi" w:hAnsiTheme="minorBidi"/>
          <w:rtl/>
        </w:rPr>
        <w:t>.</w:t>
      </w:r>
    </w:p>
  </w:footnote>
  <w:footnote w:id="1621">
    <w:p w14:paraId="721744A9"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וכ' ה</w:t>
      </w:r>
      <w:r>
        <w:rPr>
          <w:rFonts w:asciiTheme="minorBidi" w:hAnsiTheme="minorBidi"/>
          <w:rtl/>
        </w:rPr>
        <w:t>או"ה</w:t>
      </w:r>
      <w:r w:rsidRPr="00085E47">
        <w:rPr>
          <w:rFonts w:asciiTheme="minorBidi" w:hAnsiTheme="minorBidi"/>
          <w:rtl/>
        </w:rPr>
        <w:t xml:space="preserve"> </w:t>
      </w:r>
      <w:r w:rsidRPr="00085E47">
        <w:rPr>
          <w:rFonts w:asciiTheme="minorBidi" w:hAnsiTheme="minorBidi"/>
          <w:sz w:val="16"/>
          <w:szCs w:val="16"/>
          <w:rtl/>
        </w:rPr>
        <w:t>(כלל לד דין יז, הביאו הדרכ"מ (אות ג))</w:t>
      </w:r>
      <w:r w:rsidRPr="00085E47">
        <w:rPr>
          <w:rFonts w:asciiTheme="minorBidi" w:hAnsiTheme="minorBidi"/>
          <w:rtl/>
        </w:rPr>
        <w:t xml:space="preserve"> דה"ה אם הדיח קערות של בשר ושל חלב בכלי ראשון דאסור, ודוקא שהדיחן בפעם אחת, אבל בזו אחר זו אם היו יפים בלא שומן שרי דהוי נ"ט בר נ"ט דבדיעבד שרי.</w:t>
      </w:r>
      <w:r w:rsidRPr="00085E47">
        <w:rPr>
          <w:rFonts w:asciiTheme="minorBidi" w:hAnsiTheme="minorBidi"/>
          <w:color w:val="00B0F0"/>
          <w:rtl/>
        </w:rPr>
        <w:t xml:space="preserve"> (וכ"פ הרמ"א)</w:t>
      </w:r>
      <w:r w:rsidRPr="00085E47">
        <w:rPr>
          <w:rFonts w:asciiTheme="minorBidi" w:hAnsiTheme="minorBidi"/>
          <w:rtl/>
        </w:rPr>
        <w:t xml:space="preserve">. וכ' הדרכ"מ- ונראה דדוקא אם הדיחן בכלי ראשון עצמו אבל אם עירו עליהן אין לחוש דהא יותר מזה מתיר בארוך בעירוי כמ"ש לעיל </w:t>
      </w:r>
      <w:r w:rsidRPr="00085E47">
        <w:rPr>
          <w:rFonts w:asciiTheme="minorBidi" w:hAnsiTheme="minorBidi"/>
          <w:sz w:val="16"/>
          <w:szCs w:val="16"/>
          <w:rtl/>
        </w:rPr>
        <w:t>(אות ה)</w:t>
      </w:r>
      <w:r w:rsidRPr="00085E47">
        <w:rPr>
          <w:rFonts w:asciiTheme="minorBidi" w:hAnsiTheme="minorBidi"/>
          <w:rtl/>
        </w:rPr>
        <w:t>.</w:t>
      </w:r>
    </w:p>
  </w:footnote>
  <w:footnote w:id="1622">
    <w:p w14:paraId="01B1F22C"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והוא מדברי התוס' </w:t>
      </w:r>
      <w:r w:rsidRPr="00085E47">
        <w:rPr>
          <w:rFonts w:asciiTheme="minorBidi" w:hAnsiTheme="minorBidi"/>
          <w:sz w:val="16"/>
          <w:szCs w:val="16"/>
          <w:rtl/>
        </w:rPr>
        <w:t xml:space="preserve">(קיא: סוד"ה הלכתא) </w:t>
      </w:r>
      <w:r w:rsidRPr="00085E47">
        <w:rPr>
          <w:rFonts w:asciiTheme="minorBidi" w:hAnsiTheme="minorBidi"/>
          <w:rtl/>
        </w:rPr>
        <w:t xml:space="preserve">בשמעתא דדגים שעלו בקערה ונתנו טעם, משום דלא דמי לדגים שעלו בקערה, דשאני הכא שהקערות נוגעות במחבת ונפלט טעם מזה לזה והוי טעם שני באיסור, ועוד דהא כשהטעם שני של בשר ושל חלב נכנס במים מיד נאסרו המים וחוזרין ואוסרין הקערות והמחבת, ב"י. </w:t>
      </w:r>
      <w:r w:rsidRPr="00085E47">
        <w:rPr>
          <w:rFonts w:asciiTheme="minorBidi" w:hAnsiTheme="minorBidi"/>
          <w:sz w:val="16"/>
          <w:szCs w:val="16"/>
          <w:rtl/>
        </w:rPr>
        <w:t>(ובר"ן (הביאו הט"ז סק"ח) מבואר הטעם השני של התוס' יותר</w:t>
      </w:r>
      <w:r>
        <w:rPr>
          <w:rFonts w:asciiTheme="minorBidi" w:hAnsiTheme="minorBidi" w:hint="cs"/>
          <w:sz w:val="16"/>
          <w:szCs w:val="16"/>
          <w:rtl/>
        </w:rPr>
        <w:t>,</w:t>
      </w:r>
      <w:r w:rsidRPr="00085E47">
        <w:rPr>
          <w:rFonts w:asciiTheme="minorBidi" w:hAnsiTheme="minorBidi"/>
          <w:sz w:val="16"/>
          <w:szCs w:val="16"/>
          <w:rtl/>
        </w:rPr>
        <w:t xml:space="preserve"> דשאני דגים שעלו בקערה כו' דהכותח לא קיבל טעם כלל מטעם הראשון</w:t>
      </w:r>
      <w:r>
        <w:rPr>
          <w:rFonts w:asciiTheme="minorBidi" w:hAnsiTheme="minorBidi" w:hint="cs"/>
          <w:sz w:val="16"/>
          <w:szCs w:val="16"/>
          <w:rtl/>
        </w:rPr>
        <w:t>,</w:t>
      </w:r>
      <w:r w:rsidRPr="00085E47">
        <w:rPr>
          <w:rFonts w:asciiTheme="minorBidi" w:hAnsiTheme="minorBidi"/>
          <w:sz w:val="16"/>
          <w:szCs w:val="16"/>
          <w:rtl/>
        </w:rPr>
        <w:t xml:space="preserve"> דהיינו הקערה</w:t>
      </w:r>
      <w:r>
        <w:rPr>
          <w:rFonts w:asciiTheme="minorBidi" w:hAnsiTheme="minorBidi" w:hint="cs"/>
          <w:sz w:val="16"/>
          <w:szCs w:val="16"/>
          <w:rtl/>
        </w:rPr>
        <w:t>,</w:t>
      </w:r>
      <w:r w:rsidRPr="00085E47">
        <w:rPr>
          <w:rFonts w:asciiTheme="minorBidi" w:hAnsiTheme="minorBidi"/>
          <w:sz w:val="16"/>
          <w:szCs w:val="16"/>
          <w:rtl/>
        </w:rPr>
        <w:t xml:space="preserve"> אלא מהדגים דהוא טעם שני, אבל כאן טעם החלב הנפלט לתוך המים מקבל טעם מטעם הבשר ראשון שבקערות</w:t>
      </w:r>
      <w:r>
        <w:rPr>
          <w:rFonts w:asciiTheme="minorBidi" w:hAnsiTheme="minorBidi" w:hint="cs"/>
          <w:sz w:val="16"/>
          <w:szCs w:val="16"/>
          <w:rtl/>
        </w:rPr>
        <w:t>,</w:t>
      </w:r>
      <w:r w:rsidRPr="00085E47">
        <w:rPr>
          <w:rFonts w:asciiTheme="minorBidi" w:hAnsiTheme="minorBidi"/>
          <w:sz w:val="16"/>
          <w:szCs w:val="16"/>
          <w:rtl/>
        </w:rPr>
        <w:t xml:space="preserve"> דמאן לימא לן שלא יתערבו פליטת הבשר ופליטת החלב בעצמן בלא אמצעית המים)</w:t>
      </w:r>
    </w:p>
  </w:footnote>
  <w:footnote w:id="1623">
    <w:p w14:paraId="22A42F51"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והיתר זה נתבאר יפה בדברי שע"ד </w:t>
      </w:r>
      <w:r w:rsidRPr="00085E47">
        <w:rPr>
          <w:rFonts w:asciiTheme="minorBidi" w:hAnsiTheme="minorBidi"/>
          <w:sz w:val="16"/>
          <w:szCs w:val="16"/>
          <w:rtl/>
        </w:rPr>
        <w:t xml:space="preserve">(סי' נז) </w:t>
      </w:r>
      <w:r w:rsidRPr="00085E47">
        <w:rPr>
          <w:rFonts w:asciiTheme="minorBidi" w:hAnsiTheme="minorBidi"/>
          <w:rtl/>
        </w:rPr>
        <w:t>וז"ל- קערות שאכלו בהם רוטב של בשר רותח היום והודחו במים רותחים שהידים סולדות בהם במחבת חולבת שאינה בת יומא, הקערות פשיטא שמותרות שלא קלטו רק טעם חלב מכלים שאינן בני יומן, וגם המחבת מותר לבשל בה חלב עוד משום דיש בה שלשה נ"ט בר נ"ט, מן הבשר בקערה ומשם במים ומשם במחבת, ואכתי היתר גמור הוא כיון שאינו בן יומו, ודוקא כשהקערות מקונחות שאין מלוכלכות מן המרק של בשר קודם שהודחו אבל אם האחת מלא שמנונית או שיורי מאכל של בשר או של חלב במחבת או בקערות הכל אסור דטעם ראשון הוא</w:t>
      </w:r>
      <w:r w:rsidRPr="00085E47">
        <w:rPr>
          <w:rFonts w:asciiTheme="minorBidi" w:hAnsiTheme="minorBidi"/>
          <w:sz w:val="16"/>
          <w:szCs w:val="16"/>
          <w:rtl/>
        </w:rPr>
        <w:t xml:space="preserve"> (יראה ד'הכל אסור' לאו דוקא, דאם אותה שאינה בת יומא מקונחת לא תאסרה חברתה כלל דלעולם טעם הנפלט ממנה פגום הוא אלא לצדדים קאמר דהכל אסור היכא שאותה שאינה בת יומא אינה מקונחת, הגשע"ד (סק"ו))</w:t>
      </w:r>
      <w:r w:rsidRPr="00085E47">
        <w:rPr>
          <w:rFonts w:asciiTheme="minorBidi" w:hAnsiTheme="minorBidi"/>
          <w:rtl/>
        </w:rPr>
        <w:t xml:space="preserve">, וכן הדין אם הוא איפכא קערה חולבת בת יומא והדיחוה במחבת של בשר שלא היתה בת יומא, ע"כ </w:t>
      </w:r>
      <w:r w:rsidRPr="00085E47">
        <w:rPr>
          <w:rFonts w:asciiTheme="minorBidi" w:hAnsiTheme="minorBidi"/>
          <w:sz w:val="16"/>
          <w:szCs w:val="16"/>
          <w:rtl/>
        </w:rPr>
        <w:t>(וכ"כ ב</w:t>
      </w:r>
      <w:r>
        <w:rPr>
          <w:rFonts w:asciiTheme="minorBidi" w:hAnsiTheme="minorBidi"/>
          <w:sz w:val="16"/>
          <w:szCs w:val="16"/>
          <w:rtl/>
        </w:rPr>
        <w:t>או"ה</w:t>
      </w:r>
      <w:r w:rsidRPr="00085E47">
        <w:rPr>
          <w:rFonts w:asciiTheme="minorBidi" w:hAnsiTheme="minorBidi"/>
          <w:sz w:val="16"/>
          <w:szCs w:val="16"/>
          <w:rtl/>
        </w:rPr>
        <w:t xml:space="preserve"> (כלל לד די"ב-יד))</w:t>
      </w:r>
      <w:r w:rsidRPr="00085E47">
        <w:rPr>
          <w:rFonts w:asciiTheme="minorBidi" w:hAnsiTheme="minorBidi"/>
          <w:rtl/>
        </w:rPr>
        <w:t>. וכ' הב"י (בבדה"ב)- ומה שאסר במלוכלכות מהמרק של בשר- אינו נ"ל, דלא אסרינן אלא בממשות בשר אבל במרק לא, ומיהו אם שומן מודבק בקערות היינו ממשות הבשר.</w:t>
      </w:r>
    </w:p>
  </w:footnote>
  <w:footnote w:id="1624">
    <w:p w14:paraId="0FB80C26"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w:t>
      </w:r>
      <w:r>
        <w:rPr>
          <w:rFonts w:asciiTheme="minorBidi" w:hAnsiTheme="minorBidi"/>
          <w:rtl/>
        </w:rPr>
        <w:t>או"ה</w:t>
      </w:r>
      <w:r w:rsidRPr="00085E47">
        <w:rPr>
          <w:rFonts w:asciiTheme="minorBidi" w:hAnsiTheme="minorBidi"/>
          <w:rtl/>
        </w:rPr>
        <w:t xml:space="preserve"> </w:t>
      </w:r>
      <w:r w:rsidRPr="00085E47">
        <w:rPr>
          <w:rFonts w:asciiTheme="minorBidi" w:hAnsiTheme="minorBidi"/>
          <w:sz w:val="16"/>
          <w:szCs w:val="16"/>
          <w:rtl/>
        </w:rPr>
        <w:t>(כלל לד דין יג, הביאו הדרכ"מ (אות ו))</w:t>
      </w:r>
      <w:r w:rsidRPr="00085E47">
        <w:rPr>
          <w:rFonts w:asciiTheme="minorBidi" w:hAnsiTheme="minorBidi"/>
          <w:rtl/>
        </w:rPr>
        <w:t xml:space="preserve"> דאין אנו מתירין עד שיאמר ברי לי שלא היה מלוכלך עדיין. וכ' עוד </w:t>
      </w:r>
      <w:r w:rsidRPr="00085E47">
        <w:rPr>
          <w:rFonts w:asciiTheme="minorBidi" w:hAnsiTheme="minorBidi"/>
          <w:sz w:val="16"/>
          <w:szCs w:val="16"/>
          <w:rtl/>
        </w:rPr>
        <w:t xml:space="preserve">(דין יא, הביאו הדרכ"מ (אות ה)) </w:t>
      </w:r>
      <w:r w:rsidRPr="00085E47">
        <w:rPr>
          <w:rFonts w:asciiTheme="minorBidi" w:hAnsiTheme="minorBidi"/>
          <w:rtl/>
        </w:rPr>
        <w:t xml:space="preserve">דאע"ג דהיורה אינה בת יומא והקערות בת יומן נוהגין שלא להשתמש באותן מים כלום דהא בלעי עתה מפגם בשר בחלב ואין שייך דיעבד במים גרידא כמו בתבשיל וקדירה שהוא דבר חשוב והתורה חסה על ממון של ישראל. </w:t>
      </w:r>
      <w:r w:rsidRPr="00085E47">
        <w:rPr>
          <w:rFonts w:asciiTheme="minorBidi" w:hAnsiTheme="minorBidi"/>
          <w:color w:val="00B0F0"/>
          <w:rtl/>
        </w:rPr>
        <w:t>(וכ"פ הרמ"א)</w:t>
      </w:r>
      <w:r w:rsidRPr="00085E47">
        <w:rPr>
          <w:rFonts w:asciiTheme="minorBidi" w:hAnsiTheme="minorBidi"/>
          <w:rtl/>
        </w:rPr>
        <w:t xml:space="preserve"> </w:t>
      </w:r>
    </w:p>
  </w:footnote>
  <w:footnote w:id="1625">
    <w:p w14:paraId="22B6D07E"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הרמב"ן </w:t>
      </w:r>
      <w:r w:rsidRPr="00085E47">
        <w:rPr>
          <w:rFonts w:asciiTheme="minorBidi" w:hAnsiTheme="minorBidi"/>
          <w:sz w:val="14"/>
          <w:szCs w:val="14"/>
          <w:rtl/>
        </w:rPr>
        <w:t>(חולין קיא: ד"ה כתב בעל)</w:t>
      </w:r>
      <w:r w:rsidRPr="00085E47">
        <w:rPr>
          <w:rFonts w:asciiTheme="minorBidi" w:hAnsiTheme="minorBidi"/>
          <w:rtl/>
        </w:rPr>
        <w:t xml:space="preserve"> חלק על דברי בעל התרומה וכתב דהיינו דגים שעלו בקערה, יורה היינו קערה, מים רותחים שפלטה בהם היינו דגים, מחבת חולבת היינו כותח, כשם שהדגים מותר לאכלן בכותח כך המים הללו מותר ליתן אותם בין בכותח בין בפליטת חלב שבמחבת, ואע"פ שהסכמנו לפרש דשלשה נותני טעמים בעינן- כאן נמי שלשה נותני טעמים הם הבשר בקערות קערות במים מים בחלב, ולא אמרינן חלב שבמים נתערב עם טעם שני של בשר שבהן כשם שאין אומרין בדגים דטעם החלב שבכותח נבלע בדגים ויהא אוסרן, וכן בדין לפי שאין בשר שבדגים או במים אוסרין עד שיתערבו עם החלב ויתנו טעם זה בזה, שאין בשר בחלב אוסר לעולם אלא בנותן טעם, הילכך ה"ל טעם שלישי והכל מותר, ע"כ. והביא הר"ן </w:t>
      </w:r>
      <w:r w:rsidRPr="00085E47">
        <w:rPr>
          <w:rFonts w:asciiTheme="minorBidi" w:hAnsiTheme="minorBidi"/>
          <w:sz w:val="14"/>
          <w:szCs w:val="14"/>
          <w:rtl/>
        </w:rPr>
        <w:t xml:space="preserve">(מא. בא"ד ראשון) </w:t>
      </w:r>
      <w:r w:rsidRPr="00085E47">
        <w:rPr>
          <w:rFonts w:asciiTheme="minorBidi" w:hAnsiTheme="minorBidi"/>
          <w:rtl/>
        </w:rPr>
        <w:t>את דבריו, וכ' שכן הסכימו הרשב"א ועוד, וסיים- ותמיהני עליהם שאני רואה דברי בעל התרומה נכונים, והעלה דמסתברא כדברי בעל התרומה.</w:t>
      </w:r>
    </w:p>
  </w:footnote>
  <w:footnote w:id="1626">
    <w:p w14:paraId="5A693E93" w14:textId="77777777" w:rsidR="004C5A3C" w:rsidRPr="0069215E" w:rsidRDefault="004C5A3C" w:rsidP="002C39F4">
      <w:pPr>
        <w:pStyle w:val="a5"/>
        <w:rPr>
          <w:rtl/>
        </w:rPr>
      </w:pPr>
      <w:r>
        <w:rPr>
          <w:rStyle w:val="a7"/>
        </w:rPr>
        <w:footnoteRef/>
      </w:r>
      <w:r>
        <w:rPr>
          <w:rtl/>
        </w:rPr>
        <w:t xml:space="preserve"> </w:t>
      </w:r>
      <w:r>
        <w:rPr>
          <w:rFonts w:cs="Arial"/>
          <w:rtl/>
        </w:rPr>
        <w:t xml:space="preserve">רמב"ן </w:t>
      </w:r>
      <w:r w:rsidRPr="00DA1EBE">
        <w:rPr>
          <w:rFonts w:cs="Arial"/>
          <w:sz w:val="16"/>
          <w:szCs w:val="16"/>
          <w:rtl/>
        </w:rPr>
        <w:t>(</w:t>
      </w:r>
      <w:r>
        <w:rPr>
          <w:rFonts w:cs="Arial"/>
          <w:sz w:val="16"/>
          <w:szCs w:val="16"/>
          <w:rtl/>
        </w:rPr>
        <w:t>חולין קיא:</w:t>
      </w:r>
      <w:r w:rsidRPr="00DA1EBE">
        <w:rPr>
          <w:rFonts w:cs="Arial"/>
          <w:sz w:val="16"/>
          <w:szCs w:val="16"/>
          <w:rtl/>
        </w:rPr>
        <w:t xml:space="preserve">) </w:t>
      </w:r>
      <w:r>
        <w:rPr>
          <w:rFonts w:cs="Arial"/>
          <w:rtl/>
        </w:rPr>
        <w:t xml:space="preserve">רשב"א </w:t>
      </w:r>
      <w:r w:rsidRPr="00DA1EBE">
        <w:rPr>
          <w:rFonts w:cs="Arial"/>
          <w:sz w:val="16"/>
          <w:szCs w:val="16"/>
          <w:rtl/>
        </w:rPr>
        <w:t xml:space="preserve">(תוה"א </w:t>
      </w:r>
      <w:r>
        <w:rPr>
          <w:rFonts w:cs="Arial"/>
          <w:sz w:val="16"/>
          <w:szCs w:val="16"/>
          <w:rtl/>
        </w:rPr>
        <w:t>ב"ג ש"ד</w:t>
      </w:r>
      <w:r w:rsidRPr="00DA1EBE">
        <w:rPr>
          <w:rFonts w:cs="Arial"/>
          <w:sz w:val="16"/>
          <w:szCs w:val="16"/>
          <w:rtl/>
        </w:rPr>
        <w:t>)</w:t>
      </w:r>
      <w:r w:rsidRPr="00DA1EBE">
        <w:rPr>
          <w:rFonts w:cs="Arial" w:hint="cs"/>
          <w:sz w:val="16"/>
          <w:szCs w:val="16"/>
          <w:rtl/>
        </w:rPr>
        <w:t xml:space="preserve"> </w:t>
      </w:r>
      <w:r>
        <w:rPr>
          <w:rFonts w:cs="Arial" w:hint="cs"/>
          <w:rtl/>
        </w:rPr>
        <w:t>ו</w:t>
      </w:r>
      <w:r w:rsidRPr="00BC5C41">
        <w:rPr>
          <w:rFonts w:cs="Arial"/>
          <w:rtl/>
        </w:rPr>
        <w:t>רא"ש</w:t>
      </w:r>
      <w:r>
        <w:rPr>
          <w:rFonts w:cs="Arial" w:hint="cs"/>
          <w:rtl/>
        </w:rPr>
        <w:t xml:space="preserve"> </w:t>
      </w:r>
      <w:r w:rsidRPr="00DA1EBE">
        <w:rPr>
          <w:rFonts w:cs="Arial"/>
          <w:sz w:val="16"/>
          <w:szCs w:val="16"/>
          <w:rtl/>
        </w:rPr>
        <w:t>(פכ"ה סי' כט)</w:t>
      </w:r>
      <w:r>
        <w:rPr>
          <w:rFonts w:cs="Arial" w:hint="cs"/>
          <w:rtl/>
        </w:rPr>
        <w:t>.</w:t>
      </w:r>
    </w:p>
  </w:footnote>
  <w:footnote w:id="1627">
    <w:p w14:paraId="12926E36"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ונראה דהאי 'הכל אסור' לא לגמרי קאמר, אלא היינו לומר שאם אין במים ששים כנגד ממשות שעל פני הקדרה אסור, אבל אם יש בהם ששים כנגדו מותר, וכמו שכתבתי בסמוך </w:t>
      </w:r>
      <w:r w:rsidRPr="00085E47">
        <w:rPr>
          <w:rFonts w:asciiTheme="minorBidi" w:hAnsiTheme="minorBidi"/>
          <w:sz w:val="16"/>
          <w:szCs w:val="16"/>
          <w:rtl/>
        </w:rPr>
        <w:t xml:space="preserve">(לעיל ד"ה כתב סמ"ק) </w:t>
      </w:r>
      <w:r w:rsidRPr="00085E47">
        <w:rPr>
          <w:rFonts w:asciiTheme="minorBidi" w:hAnsiTheme="minorBidi"/>
          <w:rtl/>
        </w:rPr>
        <w:t>בשם הרשב"א בענין דגים שעלו בקערה, ב"י.</w:t>
      </w:r>
      <w:r w:rsidRPr="00085E47">
        <w:rPr>
          <w:rFonts w:asciiTheme="minorBidi" w:hAnsiTheme="minorBidi"/>
          <w:color w:val="E36C0A" w:themeColor="accent6" w:themeShade="BF"/>
          <w:rtl/>
        </w:rPr>
        <w:t xml:space="preserve"> (וכ"פ בשו"ע)</w:t>
      </w:r>
    </w:p>
  </w:footnote>
  <w:footnote w:id="1628">
    <w:p w14:paraId="169ADB2C" w14:textId="77777777" w:rsidR="004C5A3C" w:rsidRDefault="004C5A3C" w:rsidP="002C39F4">
      <w:pPr>
        <w:pStyle w:val="a5"/>
        <w:rPr>
          <w:rtl/>
        </w:rPr>
      </w:pPr>
      <w:r>
        <w:rPr>
          <w:rStyle w:val="a7"/>
        </w:rPr>
        <w:footnoteRef/>
      </w:r>
      <w:r>
        <w:rPr>
          <w:rtl/>
        </w:rPr>
        <w:t xml:space="preserve"> </w:t>
      </w:r>
      <w:r>
        <w:rPr>
          <w:rFonts w:hint="cs"/>
          <w:rtl/>
        </w:rPr>
        <w:t>וכ' ה</w:t>
      </w:r>
      <w:r>
        <w:rPr>
          <w:rFonts w:cs="Arial" w:hint="cs"/>
          <w:rtl/>
        </w:rPr>
        <w:t xml:space="preserve">ב"י </w:t>
      </w:r>
      <w:r w:rsidRPr="00DA1EBE">
        <w:rPr>
          <w:rFonts w:cs="Arial" w:hint="cs"/>
          <w:sz w:val="16"/>
          <w:szCs w:val="16"/>
          <w:rtl/>
        </w:rPr>
        <w:t>(בבדה"ב)</w:t>
      </w:r>
      <w:r>
        <w:rPr>
          <w:rFonts w:cs="Arial" w:hint="cs"/>
          <w:rtl/>
        </w:rPr>
        <w:t>-</w:t>
      </w:r>
      <w:r w:rsidRPr="00DA1EBE">
        <w:rPr>
          <w:rFonts w:cs="Arial"/>
          <w:rtl/>
        </w:rPr>
        <w:t xml:space="preserve"> ולענין הלכה כיון שהאחרונים מסכימים להתיר ומס</w:t>
      </w:r>
      <w:r>
        <w:rPr>
          <w:rFonts w:cs="Arial"/>
          <w:rtl/>
        </w:rPr>
        <w:t>תבר טעמייהו הכי נקטינן</w:t>
      </w:r>
      <w:r>
        <w:rPr>
          <w:rFonts w:cs="Arial" w:hint="cs"/>
          <w:rtl/>
        </w:rPr>
        <w:t>.</w:t>
      </w:r>
    </w:p>
  </w:footnote>
  <w:footnote w:id="1629">
    <w:p w14:paraId="4DD6DA62" w14:textId="77777777" w:rsidR="004C5A3C" w:rsidRDefault="004C5A3C" w:rsidP="002C39F4">
      <w:pPr>
        <w:pStyle w:val="a5"/>
        <w:rPr>
          <w:rtl/>
        </w:rPr>
      </w:pPr>
      <w:r>
        <w:rPr>
          <w:rStyle w:val="a7"/>
        </w:rPr>
        <w:footnoteRef/>
      </w:r>
      <w:r>
        <w:rPr>
          <w:rtl/>
        </w:rPr>
        <w:t xml:space="preserve"> </w:t>
      </w:r>
      <w:r>
        <w:rPr>
          <w:rFonts w:hint="cs"/>
          <w:rtl/>
        </w:rPr>
        <w:t xml:space="preserve">עד כאן לשון הב"י, ונראה לי דכוונתו לומר ששפך מכלי ראשון שעל האש לכלי שני, ובכלי שני זה יש שאריות חלב, ועתה הכניס לתוך כלי שני זה קערות של בשר </w:t>
      </w:r>
      <w:r w:rsidRPr="00306D00">
        <w:rPr>
          <w:rFonts w:hint="cs"/>
          <w:sz w:val="16"/>
          <w:szCs w:val="16"/>
          <w:rtl/>
        </w:rPr>
        <w:t xml:space="preserve">(דהרי הרשב"א לעיל התיר אפילו בכלי ראשון אפילו שניהם בני יומן, וא"כ למה </w:t>
      </w:r>
      <w:r>
        <w:rPr>
          <w:rFonts w:hint="cs"/>
          <w:sz w:val="16"/>
          <w:szCs w:val="16"/>
          <w:rtl/>
        </w:rPr>
        <w:t>כתב הב"י לקמן שלפי דברי הרשב"א יש ל</w:t>
      </w:r>
      <w:r w:rsidRPr="00306D00">
        <w:rPr>
          <w:rFonts w:hint="cs"/>
          <w:sz w:val="16"/>
          <w:szCs w:val="16"/>
          <w:rtl/>
        </w:rPr>
        <w:t>אסור</w:t>
      </w:r>
      <w:r>
        <w:rPr>
          <w:rFonts w:hint="cs"/>
          <w:sz w:val="16"/>
          <w:szCs w:val="16"/>
          <w:rtl/>
        </w:rPr>
        <w:t>,</w:t>
      </w:r>
      <w:r w:rsidRPr="00306D00">
        <w:rPr>
          <w:rFonts w:hint="cs"/>
          <w:sz w:val="16"/>
          <w:szCs w:val="16"/>
          <w:rtl/>
        </w:rPr>
        <w:t xml:space="preserve"> אלא ודאי מיירי בכלי שני שיש בו שאריות חלב)</w:t>
      </w:r>
      <w:r>
        <w:rPr>
          <w:rFonts w:hint="cs"/>
          <w:rtl/>
        </w:rPr>
        <w:t>, וכן מבואר בדברי ההגשע"ד לקמן.</w:t>
      </w:r>
    </w:p>
  </w:footnote>
  <w:footnote w:id="1630">
    <w:p w14:paraId="4684D2AB"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וכ' הדרכ"מ (אות ה, ובסי' סח אות ט)- וכן אנו נוהגין.</w:t>
      </w:r>
    </w:p>
  </w:footnote>
  <w:footnote w:id="1631">
    <w:p w14:paraId="7092C7A1" w14:textId="77777777" w:rsidR="004C5A3C" w:rsidRDefault="004C5A3C" w:rsidP="002C39F4">
      <w:pPr>
        <w:pStyle w:val="a5"/>
        <w:rPr>
          <w:rtl/>
        </w:rPr>
      </w:pPr>
      <w:r>
        <w:rPr>
          <w:rStyle w:val="a7"/>
        </w:rPr>
        <w:footnoteRef/>
      </w:r>
      <w:r>
        <w:rPr>
          <w:rtl/>
        </w:rPr>
        <w:t xml:space="preserve"> </w:t>
      </w:r>
      <w:r w:rsidRPr="00306D00">
        <w:rPr>
          <w:rFonts w:hint="cs"/>
          <w:rtl/>
        </w:rPr>
        <w:t>ולגבי כלי חרס כתב ה</w:t>
      </w:r>
      <w:r w:rsidRPr="00306D00">
        <w:rPr>
          <w:rFonts w:cs="Arial" w:hint="cs"/>
          <w:rtl/>
        </w:rPr>
        <w:t>הגשע"ד</w:t>
      </w:r>
      <w:r w:rsidRPr="00306D00">
        <w:rPr>
          <w:rFonts w:cs="Arial"/>
          <w:sz w:val="16"/>
          <w:szCs w:val="16"/>
          <w:rtl/>
        </w:rPr>
        <w:t xml:space="preserve"> (סי' נז סק</w:t>
      </w:r>
      <w:r w:rsidRPr="00306D00">
        <w:rPr>
          <w:rFonts w:cs="Arial" w:hint="cs"/>
          <w:sz w:val="16"/>
          <w:szCs w:val="16"/>
          <w:rtl/>
        </w:rPr>
        <w:t>"ד, הביאו הדרכ"מ אות ה</w:t>
      </w:r>
      <w:r w:rsidRPr="00306D00">
        <w:rPr>
          <w:rFonts w:cs="Arial"/>
          <w:sz w:val="16"/>
          <w:szCs w:val="16"/>
          <w:rtl/>
        </w:rPr>
        <w:t>)</w:t>
      </w:r>
      <w:r w:rsidRPr="00306D00">
        <w:rPr>
          <w:rFonts w:cs="Arial" w:hint="cs"/>
          <w:rtl/>
        </w:rPr>
        <w:t xml:space="preserve"> וז"ל-</w:t>
      </w:r>
      <w:r w:rsidRPr="00306D00">
        <w:rPr>
          <w:rFonts w:cs="Arial"/>
          <w:rtl/>
        </w:rPr>
        <w:t xml:space="preserve"> מהרי"ח פסק דכלי שני מבליע בכלי חרס לפיכך יראה דיש לדקדק כשמדיחין קדרות יחד ולפעמים נמצאת אחת של חלב תוך האחרות של בשר או איפכא וזו היא מלוכלכת בשיורי מאכל אוסרת האחרות אפילו בכלי שני שהיד סולדת בו</w:t>
      </w:r>
      <w:r w:rsidRPr="00306D00">
        <w:rPr>
          <w:rFonts w:cs="Arial" w:hint="cs"/>
          <w:rtl/>
        </w:rPr>
        <w:t>,</w:t>
      </w:r>
      <w:r w:rsidRPr="00306D00">
        <w:rPr>
          <w:rFonts w:cs="Arial"/>
          <w:rtl/>
        </w:rPr>
        <w:t xml:space="preserve"> אבל אם הם נקיות כולן אין לחוש דנהי נמי דכלי שני מבליע בכלי חרס מכל מקום אינו מפליט ממנו</w:t>
      </w:r>
      <w:r w:rsidRPr="00306D00">
        <w:rPr>
          <w:rFonts w:cs="Arial" w:hint="cs"/>
          <w:rtl/>
        </w:rPr>
        <w:t>.</w:t>
      </w:r>
    </w:p>
  </w:footnote>
  <w:footnote w:id="1632">
    <w:p w14:paraId="4A015FB4" w14:textId="77777777" w:rsidR="004C5A3C" w:rsidRDefault="004C5A3C" w:rsidP="002C39F4">
      <w:pPr>
        <w:pStyle w:val="a5"/>
      </w:pPr>
      <w:r>
        <w:rPr>
          <w:rStyle w:val="a7"/>
        </w:rPr>
        <w:footnoteRef/>
      </w:r>
      <w:r>
        <w:rPr>
          <w:rtl/>
        </w:rPr>
        <w:t xml:space="preserve"> </w:t>
      </w:r>
      <w:r>
        <w:rPr>
          <w:rFonts w:asciiTheme="minorBidi" w:hAnsiTheme="minorBidi" w:hint="cs"/>
          <w:rtl/>
        </w:rPr>
        <w:t xml:space="preserve">ופסק בשו"ע (סי' קה סע' ג) לכתחילה כדברי הרשב"א וז"ל- </w:t>
      </w:r>
      <w:r w:rsidRPr="003024E5">
        <w:rPr>
          <w:rFonts w:asciiTheme="minorBidi" w:hAnsiTheme="minorBidi"/>
          <w:rtl/>
        </w:rPr>
        <w:t>חום של כלי ראשון שהיד סולדת בו מבשל ואוסר כולו</w:t>
      </w:r>
      <w:r>
        <w:rPr>
          <w:rFonts w:asciiTheme="minorBidi" w:hAnsiTheme="minorBidi" w:hint="cs"/>
          <w:rtl/>
        </w:rPr>
        <w:t>,</w:t>
      </w:r>
      <w:r w:rsidRPr="003024E5">
        <w:rPr>
          <w:rFonts w:asciiTheme="minorBidi" w:hAnsiTheme="minorBidi"/>
          <w:rtl/>
        </w:rPr>
        <w:t xml:space="preserve"> אבל חום של כלי שני אינו מבשל</w:t>
      </w:r>
      <w:r>
        <w:rPr>
          <w:rFonts w:asciiTheme="minorBidi" w:hAnsiTheme="minorBidi" w:hint="cs"/>
          <w:rtl/>
        </w:rPr>
        <w:t>,</w:t>
      </w:r>
      <w:r w:rsidRPr="003024E5">
        <w:rPr>
          <w:rFonts w:asciiTheme="minorBidi" w:hAnsiTheme="minorBidi"/>
          <w:rtl/>
        </w:rPr>
        <w:t xml:space="preserve"> וי</w:t>
      </w:r>
      <w:r>
        <w:rPr>
          <w:rFonts w:asciiTheme="minorBidi" w:hAnsiTheme="minorBidi" w:hint="cs"/>
          <w:rtl/>
        </w:rPr>
        <w:t>"א</w:t>
      </w:r>
      <w:r w:rsidRPr="003024E5">
        <w:rPr>
          <w:rFonts w:asciiTheme="minorBidi" w:hAnsiTheme="minorBidi"/>
          <w:rtl/>
        </w:rPr>
        <w:t xml:space="preserve"> שגם כן אינו מפליט ואינו מבליע</w:t>
      </w:r>
      <w:r>
        <w:rPr>
          <w:rFonts w:asciiTheme="minorBidi" w:hAnsiTheme="minorBidi" w:hint="cs"/>
          <w:rtl/>
        </w:rPr>
        <w:t>,</w:t>
      </w:r>
      <w:r w:rsidRPr="003024E5">
        <w:rPr>
          <w:rFonts w:asciiTheme="minorBidi" w:hAnsiTheme="minorBidi"/>
          <w:rtl/>
        </w:rPr>
        <w:t xml:space="preserve"> וי</w:t>
      </w:r>
      <w:r>
        <w:rPr>
          <w:rFonts w:asciiTheme="minorBidi" w:hAnsiTheme="minorBidi" w:hint="cs"/>
          <w:rtl/>
        </w:rPr>
        <w:t>"א</w:t>
      </w:r>
      <w:r w:rsidRPr="003024E5">
        <w:rPr>
          <w:rFonts w:asciiTheme="minorBidi" w:hAnsiTheme="minorBidi"/>
          <w:rtl/>
        </w:rPr>
        <w:t xml:space="preserve"> דמ</w:t>
      </w:r>
      <w:r>
        <w:rPr>
          <w:rFonts w:asciiTheme="minorBidi" w:hAnsiTheme="minorBidi" w:hint="cs"/>
          <w:rtl/>
        </w:rPr>
        <w:t>"מ</w:t>
      </w:r>
      <w:r w:rsidRPr="003024E5">
        <w:rPr>
          <w:rFonts w:asciiTheme="minorBidi" w:hAnsiTheme="minorBidi"/>
          <w:rtl/>
        </w:rPr>
        <w:t xml:space="preserve"> הוא מפליט ומבליע ואוסר כדי קליפה</w:t>
      </w:r>
      <w:r>
        <w:rPr>
          <w:rFonts w:asciiTheme="minorBidi" w:hAnsiTheme="minorBidi" w:hint="cs"/>
          <w:rtl/>
        </w:rPr>
        <w:t>,</w:t>
      </w:r>
      <w:r w:rsidRPr="003024E5">
        <w:rPr>
          <w:rFonts w:asciiTheme="minorBidi" w:hAnsiTheme="minorBidi"/>
          <w:rtl/>
        </w:rPr>
        <w:t xml:space="preserve"> וראוי לחוש ליזהר בדבר לכתחלה אבל בדיעבד מותר בלא קליפה ובהדחה בעלמא סגי</w:t>
      </w:r>
      <w:r>
        <w:rPr>
          <w:rFonts w:asciiTheme="minorBidi" w:hAnsiTheme="minorBidi" w:hint="cs"/>
          <w:rtl/>
        </w:rPr>
        <w:t>.</w:t>
      </w:r>
    </w:p>
  </w:footnote>
  <w:footnote w:id="1633">
    <w:p w14:paraId="31C14BB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ונ"ל שאם ברי לו שלא השתמש עם הכלי תוך מע"ל אלא בכלי שני דאינו אוסר כנ"ל והוא פשוט, דרכ"מ </w:t>
      </w:r>
      <w:r w:rsidRPr="00085E47">
        <w:rPr>
          <w:rFonts w:asciiTheme="minorBidi" w:hAnsiTheme="minorBidi"/>
          <w:sz w:val="14"/>
          <w:szCs w:val="14"/>
          <w:rtl/>
        </w:rPr>
        <w:t>(אות ה)</w:t>
      </w:r>
      <w:r w:rsidRPr="00085E47">
        <w:rPr>
          <w:rFonts w:asciiTheme="minorBidi" w:hAnsiTheme="minorBidi"/>
          <w:rtl/>
        </w:rPr>
        <w:t>. וכן מסקנת הש"ך</w:t>
      </w:r>
      <w:r w:rsidRPr="00085E47">
        <w:rPr>
          <w:rFonts w:asciiTheme="minorBidi" w:hAnsiTheme="minorBidi"/>
          <w:sz w:val="14"/>
          <w:szCs w:val="14"/>
          <w:rtl/>
        </w:rPr>
        <w:t xml:space="preserve"> (סקי"ג)</w:t>
      </w:r>
      <w:r w:rsidRPr="00085E47">
        <w:rPr>
          <w:rFonts w:asciiTheme="minorBidi" w:hAnsiTheme="minorBidi"/>
          <w:rtl/>
        </w:rPr>
        <w:t xml:space="preserve">. </w:t>
      </w:r>
      <w:r>
        <w:rPr>
          <w:rFonts w:asciiTheme="minorBidi" w:hAnsiTheme="minorBidi" w:hint="cs"/>
          <w:rtl/>
        </w:rPr>
        <w:t>וכ' ה</w:t>
      </w:r>
      <w:r w:rsidRPr="00085E47">
        <w:rPr>
          <w:rFonts w:asciiTheme="minorBidi" w:hAnsiTheme="minorBidi"/>
          <w:rtl/>
        </w:rPr>
        <w:t>פר"ח (סקט"ו)</w:t>
      </w:r>
      <w:r>
        <w:rPr>
          <w:rFonts w:asciiTheme="minorBidi" w:hAnsiTheme="minorBidi" w:hint="cs"/>
          <w:rtl/>
        </w:rPr>
        <w:t xml:space="preserve"> ד</w:t>
      </w:r>
      <w:r w:rsidRPr="00085E47">
        <w:rPr>
          <w:rFonts w:asciiTheme="minorBidi" w:hAnsiTheme="minorBidi"/>
          <w:rtl/>
        </w:rPr>
        <w:t>פשוט הוא לשיטת המחבר ושאר אחרונים, אבל לשיטתי האמיתית שנתבארה בס</w:t>
      </w:r>
      <w:r>
        <w:rPr>
          <w:rFonts w:asciiTheme="minorBidi" w:hAnsiTheme="minorBidi" w:hint="cs"/>
          <w:rtl/>
        </w:rPr>
        <w:t>י'</w:t>
      </w:r>
      <w:r w:rsidRPr="00085E47">
        <w:rPr>
          <w:rFonts w:asciiTheme="minorBidi" w:hAnsiTheme="minorBidi"/>
          <w:rtl/>
        </w:rPr>
        <w:t xml:space="preserve"> סח סקי"ח אין הדין אמת אלא כל שנשתמש בחום שהיד סולדת בו מעת לעת אוסר ע"ש. </w:t>
      </w:r>
    </w:p>
  </w:footnote>
  <w:footnote w:id="1634">
    <w:p w14:paraId="5F837936"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היינו בדיעבד אבל לכתחלה אין להדיחן אפילו להמחבר, וכמ"ש המחבר באו"ח סי' תנב ס"ב דיש ליזהר מלהגעיל כלי בשר וכלי חלב יחד אא"כ אחד מהם אינו בן יומו, וכ"כ הטור לקמן סי' קכ"א אם מגעיל כלי של בשר לאכול בו חלב או איפכא צריך שלא יהא בן יומו עכ"ל, והיינו לכתחלה כמ"ש הב"ח והדרישה שם ע"ש, ועיין בסק"ג בסי' זה, ולעיל סי' צד סקט"ו, ש"ך (סק"ט).</w:t>
      </w:r>
    </w:p>
  </w:footnote>
  <w:footnote w:id="1635">
    <w:p w14:paraId="51CDE781"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שהרי גבי הדחה אמרינן דאפילו אינו בן יומו מחזקינן בה שומן ושלא היה מקונח יפה דהא השתא הוא דמדיחן, ע"פ ש"ך</w:t>
      </w:r>
      <w:r w:rsidRPr="00085E47">
        <w:rPr>
          <w:rFonts w:asciiTheme="minorBidi" w:hAnsiTheme="minorBidi"/>
          <w:sz w:val="16"/>
          <w:szCs w:val="16"/>
          <w:rtl/>
        </w:rPr>
        <w:t xml:space="preserve"> (סק"א)</w:t>
      </w:r>
      <w:r w:rsidRPr="00085E47">
        <w:rPr>
          <w:rFonts w:asciiTheme="minorBidi" w:hAnsiTheme="minorBidi"/>
          <w:rtl/>
        </w:rPr>
        <w:t>.</w:t>
      </w:r>
    </w:p>
  </w:footnote>
  <w:footnote w:id="1636">
    <w:p w14:paraId="6337265D"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פירוש, אפי' היה רק שומן דבוק באחד מהן הכל אסור, לפי שטעם שני מיד נ"ט לתוך ממשות ולא הוי נ"ט שני בהיתר, וגם השומן נוגע בכלי השני ונאסר הכלי ושוב נאסר הכל, ולפ"ז אפי' אם היה אחד מהן אינו ב"י והשומן דבוק באותו שאינו בן יומו הכל אסור אבל אם השומן דבוק באותו שהוא בן יומו אותו שהוא בן יומו מותר ושאינו בן יומו אסור כ"כ מהרא"י בהגשע"ד והרב בת"ח שם ד"י, ש"ך (סק"י).</w:t>
      </w:r>
    </w:p>
  </w:footnote>
  <w:footnote w:id="1637">
    <w:p w14:paraId="55C7AA35"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אותו שהוא בן יומו מותר דהא פגם הוא מקבל ואותו שאינו בן יומו ג"כ אינו נאסר מן אותו שהוא בן יומו דנ"ט בר נ"ט הוא ועדיין היתר הוא אף אחר שנכנס לתוך זה הכלי מאחר שאינו בן יומא ממילא אין שם איסור עליו ע"כ מותר אפילו לטעם הא' של התוס' דלעיל שנוגעות במחבת כו'..., ט"ז (סק"ט).</w:t>
      </w:r>
    </w:p>
  </w:footnote>
  <w:footnote w:id="1638">
    <w:p w14:paraId="67D986B9"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אבל ודאי מדינא מותר לאכלו עם מין הכלי שהוא בן יומו, כגון אם הוא של בשר מותר לאכלן עם בשר, וע"ל סי' צ"ד ס"ה ובמ"ש שם (סקי"ח-יט), ש"ך (סקי"ד). </w:t>
      </w:r>
    </w:p>
  </w:footnote>
  <w:footnote w:id="1639">
    <w:p w14:paraId="1F124E63"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הא דאצטריך לכתוב זה אע"ג דכתב כבר ויש אוסרין אא"כ א' מהם אינו בן יומו כו' י"ל דקמ"ל דלא מיבעיא אם הדיח קערות של בשר ביורה חולבת עצמה דהכל אסור אלא אפי' הדיח כלי של בשר ושל חלב ביחד בכלי אחד הכל אסור דהמים שבכלי ראשון מפליטים ומבליעים ונעשו נבילה, ש"ך (סקט"ו).</w:t>
      </w:r>
    </w:p>
  </w:footnote>
  <w:footnote w:id="1640">
    <w:p w14:paraId="1C55E404"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אפילו בכלי ראשון דזה הוי נ"ט בר נ"ט כיון שלא נתערבו הטעמים, ט"ז (סקי"א).</w:t>
      </w:r>
    </w:p>
  </w:footnote>
  <w:footnote w:id="1641">
    <w:p w14:paraId="26191BD6"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פירוש אפילו אם היו מלוכלכות, כמו שכתב אח"כ גבי עירוי, וכל שכן הוא, דהא עירוי חמור מכלי שני לדידן, ומהרש"ל בפכ"ה סי' ס"ד חולק על זה וכתב דאם היה שם לכלוך מבשר וחלב אסור אפילו בכלי שני, דיש לחוש דהלכלוך יתמחה בתוך המים ויהיו נחשבים כגוף האיסור, אכן כיון שהוא קצת כמו חומרא אין המורה צריך לשאול על זה אם היו מלוכלכות עד שיתברר לו ממילא שהיו מלוכלכות, אבל בעירוי שמבליע ומפליט עד כדי קליפה ודאי אסור בשיורי מאכל וצריך לשאול אם היה ההדחה ע"י עירוי לפי שמן הסתם רגילין לערות עליהן מכלי ראשון שאצל האש אם לא שידוע שלא היה ע"י עירוי אז אין צריך לשאול אם היה שם שיורי מאכל, עכ"ד, ולע"ד נראה להכריע בזה למעשה דבעירוי יש לאסור שניהם אם היה שם שיורי מאכל משניהם ואם הא' מלוכלך והב' נקי אזי נאסר הנקי אבל בכלי שני אין אוסר שיורי מאכל כיון דקי"ל כלי שני אפי' היד סולדת בו לא מבליע ולא מפליט כמ"ש בת"ח כלל נ"ז, ט"ז (סקי"ב).</w:t>
      </w:r>
    </w:p>
  </w:footnote>
  <w:footnote w:id="1642">
    <w:p w14:paraId="2C4DA4EE"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יש להקשות הא הוה נ"ט בר נ"ט, ונראה דכיון שאנו אוסרים לעיל כיש אוסרים שהביא רמ"א סעיף זה מטעם דהוה כטעם בשר וחלב מעורבים יחד והיינו כיון ששני הטעמים מתערבים בכלי א' והכי נמי נימא דומה לזה שאנו חושבים קילוח הערוי כאלו הוא בכלי שמערה ממנו וע"כ אוסר את הכלי שהוא מערה עליו כיון שגם הוא בן יומו, אבל אם זה הכלי שמערה עליו אינו בן יומו לא נאסר דלא גרע מההיא שכ' בסמוך דהכלים מותרים אם אחד אינו בן יומו, כן נ"ל, ט"ז (סקי"ג).</w:t>
      </w:r>
    </w:p>
  </w:footnote>
  <w:footnote w:id="1643">
    <w:p w14:paraId="39BCFD2D"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ובת"ח שם די"ב משמע להדיא דבין מערה מכלי של בשר מקונח בן יומו על כלי חלב ובין מערה מים שאינן לא של חלב ולא של בשר על כלים של בשר וחלב יחד ששומן דבוק בהן יש להתיר במקום הפסד מרובה או לצורך ושלא בכה"ג יש לאסור הכל, וצ"ע שלא כ' כן כאן בהג"ה, וע"ל סק"ה וסק"כ, ש"ך (סקי"ז).</w:t>
      </w:r>
    </w:p>
  </w:footnote>
  <w:footnote w:id="1644">
    <w:p w14:paraId="22498276"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כגון מקדרה חדשה או שלא נשתמש בה רק ירקות וכיוצא בהן או שאינה בן יומו, וק"ל, ש"ך (סקי"ט).</w:t>
      </w:r>
    </w:p>
  </w:footnote>
  <w:footnote w:id="1645">
    <w:p w14:paraId="791EBDE8"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קשה לי דהא משמע מדברי הרב בהג"ה סי' ס"ח ס"י דעירוי מבשל כדי קליפה, וכ"כ בת"ח כלל ל"ג ד"ב, וצ"ל דס"ל להרב דנהי דמבשל כ"כ שהתרנגולת מפליט ומבליע מ"מ הכלי שהוא קשה אינו בולע, דאינו מפליט ומבליע כאחת בכלי שהוא קשה, אכן לענין דינא נראה כמ"ש בהגשע"ד סי' נ"ז בשם מהר"ש ומביאו בת"ח שם- דנאסרו, דכיון דקי"ל דעירוי מבשל, וכמו שיתבאר בסי' ק"ה סק"ד, א"כ חשיב כבישול ממש ומבליע אפילו בכלי </w:t>
      </w:r>
      <w:r w:rsidRPr="00085E47">
        <w:rPr>
          <w:rFonts w:asciiTheme="minorBidi" w:hAnsiTheme="minorBidi"/>
          <w:sz w:val="16"/>
          <w:szCs w:val="16"/>
          <w:rtl/>
        </w:rPr>
        <w:t>(והכי מוכח מדברי המרדכי ו</w:t>
      </w:r>
      <w:r>
        <w:rPr>
          <w:rFonts w:asciiTheme="minorBidi" w:hAnsiTheme="minorBidi"/>
          <w:sz w:val="16"/>
          <w:szCs w:val="16"/>
          <w:rtl/>
        </w:rPr>
        <w:t>הג"א</w:t>
      </w:r>
      <w:r w:rsidRPr="00085E47">
        <w:rPr>
          <w:rFonts w:asciiTheme="minorBidi" w:hAnsiTheme="minorBidi"/>
          <w:sz w:val="16"/>
          <w:szCs w:val="16"/>
          <w:rtl/>
        </w:rPr>
        <w:t xml:space="preserve"> סוף ע"ז... וכ"כ מהרש"ל בספרו פכ"ה ס"ס ס"ד... וגם הרב בת"ח שם כ' שלא נהגו להקל בזה ושיש להחמיר במקום שאין הפסד מרובה, ואו"ה דהתיר אפילו שומן דבוק בהן היינו משום דאזיל לטעמיה דס"ל דעירוי אינו מבשל ולא מפליט ומבליע אפי' כדי קליפה אלא בולע כדי קליפה קודם שמצננו וכמבואר בדבריו להדיא, אבל למאי דקי"ל דעירוי מבשל כדי קליפה נראה כמו שכתבתי)</w:t>
      </w:r>
      <w:r w:rsidRPr="00085E47">
        <w:rPr>
          <w:rFonts w:asciiTheme="minorBidi" w:hAnsiTheme="minorBidi"/>
          <w:rtl/>
        </w:rPr>
        <w:t>, מיהו היכא דהם נקיים ודאי יש להתיר מטעם נ"ט בר נ"ט, וכדמשמע מדברי מהרש"ל, אבל היכא דהוי כלי של איסור דלא שייך ביה נ"ט בר נ"ט נראה דאפילו נקי אסור, וצ"ע בזה, דאפשר דאפילו מבשל לא מבשל כולי האי שיפליט מן הכלי ויבליע לכלי, ולפ"ז גם בכלים של בשר וחלב שאחד מהן נקי ואחד מהן אינו נקי שהנקי אסור, ושאינו נקי צ"ע אי נימא כיון דהנקי נ"נ חוזר ואוסר השני כיון שמערה עליו כל פעם או נימא דעירוי לא מבשל כולי האי, ויש להחמיר בשניהם במקום שאין הפסד מרובה כי נראה כיון דמבשל חשיב ממש כבישול, וה"מ בהגשע"ד הישנים שנדפסו בקושטנדינ"א שנת שוב"ה (סי' ל"ג) דאין חילוק ע"ש, ש"ך (סק"כ).</w:t>
      </w:r>
    </w:p>
  </w:footnote>
  <w:footnote w:id="1646">
    <w:p w14:paraId="2B6873B4"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וכ' בת"ח בשם או"ה דאפי' במערה מכלי של איסור על כלים של היתר אין לאסור רק הכלי שבא קלוח העירוי עליו, ש"ך </w:t>
      </w:r>
      <w:r w:rsidRPr="00085E47">
        <w:rPr>
          <w:rFonts w:asciiTheme="minorBidi" w:hAnsiTheme="minorBidi"/>
          <w:sz w:val="16"/>
          <w:szCs w:val="16"/>
          <w:rtl/>
        </w:rPr>
        <w:t>(סקי"ח)</w:t>
      </w:r>
      <w:r w:rsidRPr="00085E47">
        <w:rPr>
          <w:rFonts w:asciiTheme="minorBidi" w:hAnsiTheme="minorBidi"/>
          <w:rtl/>
        </w:rPr>
        <w:t>.</w:t>
      </w:r>
    </w:p>
  </w:footnote>
  <w:footnote w:id="1647">
    <w:p w14:paraId="612B9522"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באו"ה כתוב אפילו אם רגילין באותו בית להדיח בכלי ראשון מותרין מכח ספק ספיקא ספק שמא לא הודחו עמהם את"ל הודחו שמא לא היתה בת יומא, ט"ז (סקי"ד).</w:t>
      </w:r>
    </w:p>
  </w:footnote>
  <w:footnote w:id="1648">
    <w:p w14:paraId="600523E6"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והכי מוכח נמי ממ"ש התוס' פג"ה (ק:) סוף ד"ה בשקדם והרא"ש לשם דלפי' ר' אפרים דאמר דלא אמרינן חנ"נ רק בבשר בחלב ניחא מה שצותה התורה להגעיל כלי מדין ב"י והיאך יכשירו יורה גדולה והלא אין במים ס' כנגדו והמים נאסרים כו' ולפירושו ניחא כי לא נעשו המים כולן נבילה ומעט איסור הנפלט מן היורה חוזר ונבלע בתוכו ומגעילו שנית ואותו מעט איסור בטל בס' במים עכ"ל ואם איתא הלא התורה לא באה ללמוד אלא להגעיל כל חד כדיניה ואי משום שהמים יאסרו הא איכא תקנתא דאפר, ש"ך.</w:t>
      </w:r>
    </w:p>
  </w:footnote>
  <w:footnote w:id="1649">
    <w:p w14:paraId="403F13A2"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הט"ז חלק על דברי השו"ע והביא ראייה מדברי רש"ל </w:t>
      </w:r>
      <w:r w:rsidRPr="00085E47">
        <w:rPr>
          <w:rFonts w:asciiTheme="minorBidi" w:hAnsiTheme="minorBidi"/>
          <w:sz w:val="16"/>
          <w:szCs w:val="16"/>
          <w:rtl/>
        </w:rPr>
        <w:t xml:space="preserve">(פכ"ה סי' צד) </w:t>
      </w:r>
      <w:r w:rsidRPr="00085E47">
        <w:rPr>
          <w:rFonts w:asciiTheme="minorBidi" w:hAnsiTheme="minorBidi"/>
          <w:rtl/>
        </w:rPr>
        <w:t>וז"ל רש"ל- ומצאתי בשם מהרי"ל שפעם אחת בא תינוק ואמר שנפל חתיכה של בורית העשוי מחלב לתוך הקדירה ואמר שאין להאמין לתינוק עכ"ל, וכ' הט"ז- משמע דבודאי נפל אוסר הבורית והא בורית עשויה מאפר עם חלב ונותן טעם לפגם הוא, וצ"ע למעשה. אך הש"ך (בנה"כ) דחה קושייה זו וחילק בין שומן הדבוק בכלי לבין ממשות גוף האיסור וכ' שקשה על השו"ע מסיבה אחרת. וכ' הפמ"ג (משב"ז סקט"ו) שמ"מ נראה מדברי הש"ך שם שאוסר כאן בבורית משום שיש כאן ממשות.</w:t>
      </w:r>
    </w:p>
  </w:footnote>
  <w:footnote w:id="1650">
    <w:p w14:paraId="4EE108F7"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כותח מי חיישינן שמא יפול מן הכותח במלח והוא לא ידע וימלחו ממנו קדרת בשר, רש"י.</w:t>
      </w:r>
      <w:r>
        <w:rPr>
          <w:rFonts w:asciiTheme="minorBidi" w:hAnsiTheme="minorBidi" w:hint="cs"/>
          <w:rtl/>
        </w:rPr>
        <w:t xml:space="preserve"> ועי' ברמב"ם (לקמן) שפירש אחרת.</w:t>
      </w:r>
    </w:p>
  </w:footnote>
  <w:footnote w:id="1651">
    <w:p w14:paraId="2A21C0C7"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דרך לתת חומץ לתוך התבשיל מי חיישינן שמא יפול מן הכותח בחומץ ויחזור ויתן ממנו לתבשיל, רש"י.</w:t>
      </w:r>
    </w:p>
  </w:footnote>
  <w:footnote w:id="1652">
    <w:p w14:paraId="6BED4BFC"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הב"י העתיק את סוף דברי רש"י אחרת, היינו שבמקום הסוגריים המרובעות כתב- 'ובטל בששים'. </w:t>
      </w:r>
    </w:p>
  </w:footnote>
  <w:footnote w:id="1653">
    <w:p w14:paraId="0988FD82" w14:textId="77777777" w:rsidR="004C5A3C" w:rsidRDefault="004C5A3C" w:rsidP="002C39F4">
      <w:pPr>
        <w:pStyle w:val="a5"/>
        <w:rPr>
          <w:rtl/>
        </w:rPr>
      </w:pPr>
      <w:r>
        <w:rPr>
          <w:rStyle w:val="a7"/>
        </w:rPr>
        <w:footnoteRef/>
      </w:r>
      <w:r>
        <w:rPr>
          <w:rtl/>
        </w:rPr>
        <w:t xml:space="preserve"> </w:t>
      </w:r>
      <w:r>
        <w:rPr>
          <w:rFonts w:cs="Arial" w:hint="cs"/>
          <w:rtl/>
        </w:rPr>
        <w:t>וכ' האו</w:t>
      </w:r>
      <w:r>
        <w:rPr>
          <w:rFonts w:cs="Arial"/>
          <w:rtl/>
        </w:rPr>
        <w:t>"</w:t>
      </w:r>
      <w:r>
        <w:rPr>
          <w:rFonts w:cs="Arial" w:hint="cs"/>
          <w:rtl/>
        </w:rPr>
        <w:t>ה</w:t>
      </w:r>
      <w:r w:rsidRPr="008B6E35">
        <w:rPr>
          <w:rFonts w:cs="Arial"/>
          <w:rtl/>
        </w:rPr>
        <w:t xml:space="preserve"> </w:t>
      </w:r>
      <w:r w:rsidRPr="008B6E35">
        <w:rPr>
          <w:rFonts w:cs="Arial" w:hint="cs"/>
          <w:sz w:val="16"/>
          <w:szCs w:val="16"/>
          <w:rtl/>
        </w:rPr>
        <w:t>(</w:t>
      </w:r>
      <w:r w:rsidRPr="008B6E35">
        <w:rPr>
          <w:rFonts w:cs="Arial"/>
          <w:sz w:val="16"/>
          <w:szCs w:val="16"/>
          <w:rtl/>
        </w:rPr>
        <w:t>כלל מ</w:t>
      </w:r>
      <w:r w:rsidRPr="008B6E35">
        <w:rPr>
          <w:rFonts w:cs="Arial" w:hint="cs"/>
          <w:sz w:val="16"/>
          <w:szCs w:val="16"/>
          <w:rtl/>
        </w:rPr>
        <w:t xml:space="preserve"> </w:t>
      </w:r>
      <w:r w:rsidRPr="008B6E35">
        <w:rPr>
          <w:rFonts w:cs="Arial"/>
          <w:sz w:val="16"/>
          <w:szCs w:val="16"/>
          <w:rtl/>
        </w:rPr>
        <w:t>דין טז ויז</w:t>
      </w:r>
      <w:r>
        <w:rPr>
          <w:rFonts w:cs="Arial" w:hint="cs"/>
          <w:sz w:val="16"/>
          <w:szCs w:val="16"/>
          <w:rtl/>
        </w:rPr>
        <w:t>, הביא ה</w:t>
      </w:r>
      <w:r w:rsidRPr="008B6E35">
        <w:rPr>
          <w:rFonts w:cs="Arial" w:hint="cs"/>
          <w:sz w:val="16"/>
          <w:szCs w:val="16"/>
          <w:rtl/>
        </w:rPr>
        <w:t xml:space="preserve">דרכ"מ </w:t>
      </w:r>
      <w:r>
        <w:rPr>
          <w:rFonts w:cs="Arial" w:hint="cs"/>
          <w:sz w:val="16"/>
          <w:szCs w:val="16"/>
          <w:rtl/>
        </w:rPr>
        <w:t>[</w:t>
      </w:r>
      <w:r w:rsidRPr="008B6E35">
        <w:rPr>
          <w:rFonts w:cs="Arial" w:hint="cs"/>
          <w:sz w:val="16"/>
          <w:szCs w:val="16"/>
          <w:rtl/>
        </w:rPr>
        <w:t xml:space="preserve">אות </w:t>
      </w:r>
      <w:r w:rsidRPr="008B6E35">
        <w:rPr>
          <w:rFonts w:cs="Arial"/>
          <w:sz w:val="16"/>
          <w:szCs w:val="16"/>
          <w:rtl/>
        </w:rPr>
        <w:t>ז</w:t>
      </w:r>
      <w:r>
        <w:rPr>
          <w:rFonts w:cs="Arial" w:hint="cs"/>
          <w:sz w:val="16"/>
          <w:szCs w:val="16"/>
          <w:rtl/>
        </w:rPr>
        <w:t>] חלק מדבריו</w:t>
      </w:r>
      <w:r w:rsidRPr="008B6E35">
        <w:rPr>
          <w:rFonts w:cs="Arial"/>
          <w:sz w:val="16"/>
          <w:szCs w:val="16"/>
          <w:rtl/>
        </w:rPr>
        <w:t>)</w:t>
      </w:r>
      <w:r>
        <w:rPr>
          <w:rFonts w:cs="Arial" w:hint="cs"/>
          <w:rtl/>
        </w:rPr>
        <w:t>- דכן דעת</w:t>
      </w:r>
      <w:r w:rsidRPr="001B5848">
        <w:rPr>
          <w:rFonts w:cs="Arial"/>
          <w:rtl/>
        </w:rPr>
        <w:t xml:space="preserve"> התו</w:t>
      </w:r>
      <w:r>
        <w:rPr>
          <w:rFonts w:cs="Arial" w:hint="cs"/>
          <w:rtl/>
        </w:rPr>
        <w:t>ס</w:t>
      </w:r>
      <w:r w:rsidRPr="001B5848">
        <w:rPr>
          <w:rFonts w:cs="Arial"/>
          <w:rtl/>
        </w:rPr>
        <w:t>' והסמ"ג והרא"ש</w:t>
      </w:r>
      <w:r>
        <w:rPr>
          <w:rFonts w:cs="Arial" w:hint="cs"/>
          <w:rtl/>
        </w:rPr>
        <w:t>.</w:t>
      </w:r>
      <w:r w:rsidRPr="001B5848">
        <w:rPr>
          <w:rFonts w:cs="Arial"/>
          <w:rtl/>
        </w:rPr>
        <w:t xml:space="preserve"> ו</w:t>
      </w:r>
      <w:r>
        <w:rPr>
          <w:rFonts w:cs="Arial" w:hint="cs"/>
          <w:rtl/>
        </w:rPr>
        <w:t>כ' עוד ד</w:t>
      </w:r>
      <w:r w:rsidRPr="001B5848">
        <w:rPr>
          <w:rFonts w:cs="Arial"/>
          <w:rtl/>
        </w:rPr>
        <w:t>צ"ל דלא חיישינן שמא יפול לתוכו בנ"</w:t>
      </w:r>
      <w:r>
        <w:rPr>
          <w:rFonts w:cs="Arial" w:hint="cs"/>
          <w:rtl/>
        </w:rPr>
        <w:t>ט</w:t>
      </w:r>
      <w:r w:rsidRPr="001B5848">
        <w:rPr>
          <w:rFonts w:cs="Arial"/>
          <w:rtl/>
        </w:rPr>
        <w:t xml:space="preserve"> </w:t>
      </w:r>
      <w:r w:rsidRPr="00C32D4C">
        <w:rPr>
          <w:rFonts w:cs="Arial" w:hint="cs"/>
          <w:sz w:val="16"/>
          <w:szCs w:val="16"/>
          <w:rtl/>
        </w:rPr>
        <w:t>(</w:t>
      </w:r>
      <w:r w:rsidRPr="00C32D4C">
        <w:rPr>
          <w:rFonts w:cs="Arial"/>
          <w:sz w:val="16"/>
          <w:szCs w:val="16"/>
          <w:rtl/>
        </w:rPr>
        <w:t>דא</w:t>
      </w:r>
      <w:r w:rsidRPr="00C32D4C">
        <w:rPr>
          <w:rFonts w:cs="Arial" w:hint="cs"/>
          <w:sz w:val="16"/>
          <w:szCs w:val="16"/>
          <w:rtl/>
        </w:rPr>
        <w:t>"</w:t>
      </w:r>
      <w:r w:rsidRPr="00C32D4C">
        <w:rPr>
          <w:rFonts w:cs="Arial"/>
          <w:sz w:val="16"/>
          <w:szCs w:val="16"/>
          <w:rtl/>
        </w:rPr>
        <w:t>כ בכל דבר נמי</w:t>
      </w:r>
      <w:r w:rsidRPr="00C32D4C">
        <w:rPr>
          <w:rFonts w:cs="Arial" w:hint="cs"/>
          <w:sz w:val="16"/>
          <w:szCs w:val="16"/>
          <w:rtl/>
        </w:rPr>
        <w:t>,</w:t>
      </w:r>
      <w:r w:rsidRPr="00C32D4C">
        <w:rPr>
          <w:rFonts w:cs="Arial"/>
          <w:sz w:val="16"/>
          <w:szCs w:val="16"/>
          <w:rtl/>
        </w:rPr>
        <w:t xml:space="preserve"> דודאי היה מרגיש בדבר ורואה</w:t>
      </w:r>
      <w:r>
        <w:rPr>
          <w:rFonts w:cs="Arial" w:hint="cs"/>
          <w:sz w:val="16"/>
          <w:szCs w:val="16"/>
          <w:rtl/>
        </w:rPr>
        <w:t>)</w:t>
      </w:r>
      <w:r>
        <w:rPr>
          <w:rFonts w:cs="Arial" w:hint="cs"/>
          <w:rtl/>
        </w:rPr>
        <w:t>,</w:t>
      </w:r>
      <w:r w:rsidRPr="001B5848">
        <w:rPr>
          <w:rFonts w:cs="Arial"/>
          <w:rtl/>
        </w:rPr>
        <w:t xml:space="preserve"> ולא חיישינן אלא לניצוצ</w:t>
      </w:r>
      <w:r>
        <w:rPr>
          <w:rFonts w:cs="Arial" w:hint="cs"/>
          <w:rtl/>
        </w:rPr>
        <w:t>ו</w:t>
      </w:r>
      <w:r w:rsidRPr="001B5848">
        <w:rPr>
          <w:rFonts w:cs="Arial"/>
          <w:rtl/>
        </w:rPr>
        <w:t>ת</w:t>
      </w:r>
      <w:r>
        <w:rPr>
          <w:rFonts w:cs="Arial" w:hint="cs"/>
          <w:rtl/>
        </w:rPr>
        <w:t>. וכ' עוד ד</w:t>
      </w:r>
      <w:r w:rsidRPr="001B5848">
        <w:rPr>
          <w:rFonts w:cs="Arial"/>
          <w:rtl/>
        </w:rPr>
        <w:t>בחלב אחרת שאינה עבה וכן אף כותח אצל חומץ מותר להניח לכתחיל</w:t>
      </w:r>
      <w:r>
        <w:rPr>
          <w:rFonts w:cs="Arial" w:hint="cs"/>
          <w:rtl/>
        </w:rPr>
        <w:t>ה</w:t>
      </w:r>
      <w:r w:rsidRPr="001B5848">
        <w:rPr>
          <w:rFonts w:cs="Arial"/>
          <w:rtl/>
        </w:rPr>
        <w:t xml:space="preserve"> </w:t>
      </w:r>
      <w:r w:rsidRPr="001B5848">
        <w:rPr>
          <w:rFonts w:cs="Arial" w:hint="cs"/>
          <w:sz w:val="16"/>
          <w:szCs w:val="16"/>
          <w:rtl/>
        </w:rPr>
        <w:t>(</w:t>
      </w:r>
      <w:r w:rsidRPr="001B5848">
        <w:rPr>
          <w:rFonts w:cs="Arial"/>
          <w:sz w:val="16"/>
          <w:szCs w:val="16"/>
          <w:rtl/>
        </w:rPr>
        <w:t>דהוי כמו ס"ס שמא לא יפול לתוכו ואת"ל יפול בו אז מתבטל</w:t>
      </w:r>
      <w:r>
        <w:rPr>
          <w:rFonts w:cs="Arial" w:hint="cs"/>
          <w:sz w:val="16"/>
          <w:szCs w:val="16"/>
          <w:rtl/>
        </w:rPr>
        <w:t>)</w:t>
      </w:r>
      <w:r>
        <w:rPr>
          <w:rFonts w:cs="Arial" w:hint="cs"/>
          <w:rtl/>
        </w:rPr>
        <w:t>..</w:t>
      </w:r>
      <w:r w:rsidRPr="001B5848">
        <w:rPr>
          <w:rFonts w:cs="Arial"/>
          <w:rtl/>
        </w:rPr>
        <w:t>. ומכ"ש שלפי זה מותר הבשר שנמלח בו</w:t>
      </w:r>
      <w:r>
        <w:rPr>
          <w:rFonts w:cs="Arial" w:hint="cs"/>
          <w:rtl/>
        </w:rPr>
        <w:t>,</w:t>
      </w:r>
      <w:r w:rsidRPr="001B5848">
        <w:rPr>
          <w:rFonts w:cs="Arial"/>
          <w:rtl/>
        </w:rPr>
        <w:t xml:space="preserve"> דאפילו לכתחילה היה יכול למלוח בו לפי זה</w:t>
      </w:r>
      <w:r>
        <w:rPr>
          <w:rFonts w:cs="Arial" w:hint="cs"/>
          <w:rtl/>
        </w:rPr>
        <w:t>,</w:t>
      </w:r>
      <w:r w:rsidRPr="001B5848">
        <w:rPr>
          <w:rFonts w:cs="Arial"/>
          <w:rtl/>
        </w:rPr>
        <w:t xml:space="preserve"> אע</w:t>
      </w:r>
      <w:r>
        <w:rPr>
          <w:rFonts w:cs="Arial" w:hint="cs"/>
          <w:rtl/>
        </w:rPr>
        <w:t>"</w:t>
      </w:r>
      <w:r w:rsidRPr="001B5848">
        <w:rPr>
          <w:rFonts w:cs="Arial"/>
          <w:rtl/>
        </w:rPr>
        <w:t>פ שאפשר לו בלא כותח</w:t>
      </w:r>
      <w:r>
        <w:rPr>
          <w:rFonts w:cs="Arial" w:hint="cs"/>
          <w:rtl/>
        </w:rPr>
        <w:t xml:space="preserve">. וכ' בתחילת דבריו דהגמ' </w:t>
      </w:r>
      <w:r w:rsidRPr="00C32D4C">
        <w:rPr>
          <w:rFonts w:cs="Arial"/>
          <w:rtl/>
        </w:rPr>
        <w:t>מיירי ששניהם פתוחים</w:t>
      </w:r>
      <w:r>
        <w:rPr>
          <w:rFonts w:cs="Arial" w:hint="cs"/>
          <w:rtl/>
        </w:rPr>
        <w:t>.</w:t>
      </w:r>
    </w:p>
  </w:footnote>
  <w:footnote w:id="1654">
    <w:p w14:paraId="67721A8C"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וכ' הב"י- נראה שהוא מפרש דלאנוחי כדא דכמכא גבי כדא דמילחא בסמוך ממש קאמר משום דמישאב שאיב ליה מילחא לכותחא אבל חלא שרי משום דלא שאיב... וכתב הר"ן (מא. ד"ה גרסינן בגמ') שכן פירש ר"ח, ובודאי דלהאי פירושא לא שייך מאי דאמרינן האי איתיה לאיסורא בעיניה אלא שגירסא אחרת היתה להם. וכ' ה</w:t>
      </w:r>
      <w:r>
        <w:rPr>
          <w:rFonts w:asciiTheme="minorBidi" w:hAnsiTheme="minorBidi"/>
          <w:rtl/>
        </w:rPr>
        <w:t>או"ה</w:t>
      </w:r>
      <w:r w:rsidRPr="00085E47">
        <w:rPr>
          <w:rFonts w:asciiTheme="minorBidi" w:hAnsiTheme="minorBidi"/>
          <w:rtl/>
        </w:rPr>
        <w:t xml:space="preserve"> (סי' מ אות טו) דלדברי הרמב"ם אם עבר והניח אצלו ודאי אסור למלוח בו בשר לכתח', ומיהו אם שכח ומלח בו בשר מותר בדיעבד דלא גרע מפת וד"א דריח דתנור.</w:t>
      </w:r>
    </w:p>
  </w:footnote>
  <w:footnote w:id="1655">
    <w:p w14:paraId="1F716127"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כותח מי חיישינן שמא יפול מן הכותח במלח והוא לא ידע וימלחו ממנו קדרת בשר, רש"י.</w:t>
      </w:r>
    </w:p>
  </w:footnote>
  <w:footnote w:id="1656">
    <w:p w14:paraId="5BA8C50C"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דרך לתת חומץ לתוך התבשיל מי חיישינן שמא יפול מן הכותח בחומץ ויחזור ויתן ממנו לתבשיל, רש"י.</w:t>
      </w:r>
    </w:p>
  </w:footnote>
  <w:footnote w:id="1657">
    <w:p w14:paraId="749C39D1"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והביא דבריו ההגשע"ד (סי' סא אות יג) </w:t>
      </w:r>
      <w:r>
        <w:rPr>
          <w:rFonts w:asciiTheme="minorBidi" w:hAnsiTheme="minorBidi" w:hint="cs"/>
          <w:rtl/>
        </w:rPr>
        <w:t xml:space="preserve">אך </w:t>
      </w:r>
      <w:r w:rsidRPr="00085E47">
        <w:rPr>
          <w:rFonts w:asciiTheme="minorBidi" w:hAnsiTheme="minorBidi"/>
          <w:rtl/>
        </w:rPr>
        <w:t>סיים</w:t>
      </w:r>
      <w:r>
        <w:rPr>
          <w:rFonts w:asciiTheme="minorBidi" w:hAnsiTheme="minorBidi" w:hint="cs"/>
          <w:rtl/>
        </w:rPr>
        <w:t xml:space="preserve"> וז"ל</w:t>
      </w:r>
      <w:r w:rsidRPr="00085E47">
        <w:rPr>
          <w:rFonts w:asciiTheme="minorBidi" w:hAnsiTheme="minorBidi"/>
          <w:rtl/>
        </w:rPr>
        <w:t>- והכי נהוג דמותר לכתחלה דבשל סופרים הוא כו' דמדאורייתא ודאי שרי לאנוחי. ועוד מאחר דסתם תוספות ר"י ואשר"י סברי הכי, ליתא לדר"י שירליאו"ן קמייהו. מהרא"י ז"ל. עכ"ל. אך בשערים דמהרא"י ז"ל (שער כב) כתוב בשם או"ז (הל' בב"ח סי' תסח) דיש להחמיר לכתחלה.</w:t>
      </w:r>
    </w:p>
  </w:footnote>
  <w:footnote w:id="1658">
    <w:p w14:paraId="28630CAD"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ואע"פ שכתוב בהג"א (שם) שיש להחמיר שלא להניח שני תבשילין של בשר וחלב סמוך זה לזה בתיבה אחת אם לא שיכסנו בטוב מצאתי כתוב בשם מהרא"י ז"ל (הגשע"ד סי' סא סק"ח) דליתא לההיא הג"ה מקמי התוספות, ב"י. אך הדרכ"מ (אות ט) כ' דצ"ע הואיל ומהרא"י מביא דברי או"ז (הל' בב"ח סי' תסח) בשעריו (שער כב) משמע דס"ל דהכי נקטינן לכתחלה.</w:t>
      </w:r>
    </w:p>
  </w:footnote>
  <w:footnote w:id="1659">
    <w:p w14:paraId="7AEA0529"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דוקא במגולים כמו בס"ה והכי איתא בהג"א בהדיא, ש"ך (סקכ"ד).</w:t>
      </w:r>
    </w:p>
  </w:footnote>
  <w:footnote w:id="1660">
    <w:p w14:paraId="7ED4FE8F" w14:textId="77777777" w:rsidR="004C5A3C" w:rsidRDefault="004C5A3C" w:rsidP="002C39F4">
      <w:pPr>
        <w:pStyle w:val="a5"/>
        <w:rPr>
          <w:rtl/>
        </w:rPr>
      </w:pPr>
      <w:r>
        <w:rPr>
          <w:rStyle w:val="a7"/>
        </w:rPr>
        <w:footnoteRef/>
      </w:r>
      <w:r>
        <w:rPr>
          <w:rtl/>
        </w:rPr>
        <w:t xml:space="preserve"> </w:t>
      </w:r>
      <w:r>
        <w:rPr>
          <w:rFonts w:cs="Arial" w:hint="cs"/>
          <w:rtl/>
        </w:rPr>
        <w:t>א"</w:t>
      </w:r>
      <w:r w:rsidRPr="00620623">
        <w:rPr>
          <w:rFonts w:cs="Arial"/>
          <w:rtl/>
        </w:rPr>
        <w:t xml:space="preserve">ח </w:t>
      </w:r>
      <w:r w:rsidRPr="00F92184">
        <w:rPr>
          <w:rFonts w:cs="Arial"/>
          <w:sz w:val="16"/>
          <w:szCs w:val="16"/>
          <w:rtl/>
        </w:rPr>
        <w:t>(</w:t>
      </w:r>
      <w:r>
        <w:rPr>
          <w:rFonts w:cs="Arial" w:hint="cs"/>
          <w:sz w:val="16"/>
          <w:szCs w:val="16"/>
          <w:rtl/>
        </w:rPr>
        <w:t xml:space="preserve">אמא"כ </w:t>
      </w:r>
      <w:r w:rsidRPr="00F92184">
        <w:rPr>
          <w:rFonts w:cs="Arial"/>
          <w:sz w:val="16"/>
          <w:szCs w:val="16"/>
          <w:rtl/>
        </w:rPr>
        <w:t xml:space="preserve">סי' סא) </w:t>
      </w:r>
      <w:r w:rsidRPr="00620623">
        <w:rPr>
          <w:rFonts w:cs="Arial"/>
          <w:rtl/>
        </w:rPr>
        <w:t xml:space="preserve">בשם הרא"ה מרדכי </w:t>
      </w:r>
      <w:r w:rsidRPr="00F92184">
        <w:rPr>
          <w:rFonts w:cs="Arial"/>
          <w:sz w:val="16"/>
          <w:szCs w:val="16"/>
          <w:rtl/>
        </w:rPr>
        <w:t>(פכ"ה סי' תשיח)</w:t>
      </w:r>
      <w:r>
        <w:rPr>
          <w:rFonts w:cs="Arial" w:hint="cs"/>
          <w:rtl/>
        </w:rPr>
        <w:t xml:space="preserve"> </w:t>
      </w:r>
      <w:r w:rsidRPr="00620623">
        <w:rPr>
          <w:rFonts w:cs="Arial"/>
          <w:rtl/>
        </w:rPr>
        <w:t xml:space="preserve">רא"ש </w:t>
      </w:r>
      <w:r w:rsidRPr="00F92184">
        <w:rPr>
          <w:rFonts w:cs="Arial" w:hint="cs"/>
          <w:sz w:val="16"/>
          <w:szCs w:val="16"/>
          <w:rtl/>
        </w:rPr>
        <w:t>(</w:t>
      </w:r>
      <w:r w:rsidRPr="00F92184">
        <w:rPr>
          <w:rFonts w:cs="Arial"/>
          <w:sz w:val="16"/>
          <w:szCs w:val="16"/>
          <w:rtl/>
        </w:rPr>
        <w:t>פכ"ה סי' מב)</w:t>
      </w:r>
      <w:r>
        <w:rPr>
          <w:rFonts w:cs="Arial" w:hint="cs"/>
          <w:rtl/>
        </w:rPr>
        <w:t xml:space="preserve"> וטור</w:t>
      </w:r>
      <w:r>
        <w:rPr>
          <w:rFonts w:hint="cs"/>
          <w:rtl/>
        </w:rPr>
        <w:t>.</w:t>
      </w:r>
    </w:p>
  </w:footnote>
  <w:footnote w:id="1661">
    <w:p w14:paraId="4C36C024" w14:textId="77777777" w:rsidR="004C5A3C" w:rsidRDefault="004C5A3C" w:rsidP="002C39F4">
      <w:pPr>
        <w:pStyle w:val="a5"/>
      </w:pPr>
      <w:r>
        <w:rPr>
          <w:rStyle w:val="a7"/>
        </w:rPr>
        <w:footnoteRef/>
      </w:r>
      <w:r>
        <w:rPr>
          <w:rtl/>
        </w:rPr>
        <w:t xml:space="preserve"> </w:t>
      </w:r>
      <w:r w:rsidRPr="00620623">
        <w:rPr>
          <w:rFonts w:cs="Arial"/>
          <w:rtl/>
        </w:rPr>
        <w:t>במלח הנתון בקערה משמע דלכתח</w:t>
      </w:r>
      <w:r>
        <w:rPr>
          <w:rFonts w:cs="Arial" w:hint="cs"/>
          <w:rtl/>
        </w:rPr>
        <w:t>'</w:t>
      </w:r>
      <w:r w:rsidRPr="00620623">
        <w:rPr>
          <w:rFonts w:cs="Arial"/>
          <w:rtl/>
        </w:rPr>
        <w:t xml:space="preserve"> שרי לכ</w:t>
      </w:r>
      <w:r>
        <w:rPr>
          <w:rFonts w:cs="Arial" w:hint="cs"/>
          <w:rtl/>
        </w:rPr>
        <w:t>ו</w:t>
      </w:r>
      <w:r w:rsidRPr="00620623">
        <w:rPr>
          <w:rFonts w:cs="Arial"/>
          <w:rtl/>
        </w:rPr>
        <w:t>"ע שהרי גם הרא"ש והמרדכי כתבו שרגילות הוא לעשות כן וכ"כ בא</w:t>
      </w:r>
      <w:r>
        <w:rPr>
          <w:rFonts w:cs="Arial" w:hint="cs"/>
          <w:rtl/>
        </w:rPr>
        <w:t>"</w:t>
      </w:r>
      <w:r w:rsidRPr="00620623">
        <w:rPr>
          <w:rFonts w:cs="Arial"/>
          <w:rtl/>
        </w:rPr>
        <w:t xml:space="preserve">ח </w:t>
      </w:r>
      <w:r w:rsidRPr="00F92184">
        <w:rPr>
          <w:rFonts w:cs="Arial"/>
          <w:sz w:val="16"/>
          <w:szCs w:val="16"/>
          <w:rtl/>
        </w:rPr>
        <w:t>(אמא</w:t>
      </w:r>
      <w:r w:rsidRPr="00F92184">
        <w:rPr>
          <w:rFonts w:cs="Arial" w:hint="cs"/>
          <w:sz w:val="16"/>
          <w:szCs w:val="16"/>
          <w:rtl/>
        </w:rPr>
        <w:t>"</w:t>
      </w:r>
      <w:r w:rsidRPr="00F92184">
        <w:rPr>
          <w:rFonts w:cs="Arial"/>
          <w:sz w:val="16"/>
          <w:szCs w:val="16"/>
          <w:rtl/>
        </w:rPr>
        <w:t>כ</w:t>
      </w:r>
      <w:r w:rsidRPr="00F92184">
        <w:rPr>
          <w:rFonts w:cs="Arial" w:hint="cs"/>
          <w:sz w:val="16"/>
          <w:szCs w:val="16"/>
          <w:rtl/>
        </w:rPr>
        <w:t xml:space="preserve"> </w:t>
      </w:r>
      <w:r w:rsidRPr="00F92184">
        <w:rPr>
          <w:rFonts w:cs="Arial"/>
          <w:sz w:val="16"/>
          <w:szCs w:val="16"/>
          <w:rtl/>
        </w:rPr>
        <w:t xml:space="preserve">סי' סא) </w:t>
      </w:r>
      <w:r w:rsidRPr="00620623">
        <w:rPr>
          <w:rFonts w:cs="Arial"/>
          <w:rtl/>
        </w:rPr>
        <w:t>בשם הרא"ה כלים של גוים שהודחו יפה מותר ליתן בהם תבלין וכן בצל וכיו</w:t>
      </w:r>
      <w:r>
        <w:rPr>
          <w:rFonts w:cs="Arial" w:hint="cs"/>
          <w:rtl/>
        </w:rPr>
        <w:t>צ"</w:t>
      </w:r>
      <w:r w:rsidRPr="00620623">
        <w:rPr>
          <w:rFonts w:cs="Arial"/>
          <w:rtl/>
        </w:rPr>
        <w:t>ב חריף שאינו מוציא דבר קשה יבש ביבש</w:t>
      </w:r>
      <w:r>
        <w:rPr>
          <w:rFonts w:cs="Arial" w:hint="cs"/>
          <w:rtl/>
        </w:rPr>
        <w:t>, ב"י.</w:t>
      </w:r>
    </w:p>
  </w:footnote>
  <w:footnote w:id="1662">
    <w:p w14:paraId="6B75F938" w14:textId="77777777" w:rsidR="004C5A3C" w:rsidRDefault="004C5A3C" w:rsidP="002C39F4">
      <w:pPr>
        <w:pStyle w:val="a5"/>
        <w:rPr>
          <w:rtl/>
        </w:rPr>
      </w:pPr>
      <w:r>
        <w:rPr>
          <w:rStyle w:val="a7"/>
        </w:rPr>
        <w:footnoteRef/>
      </w:r>
      <w:r>
        <w:rPr>
          <w:rtl/>
        </w:rPr>
        <w:t xml:space="preserve"> </w:t>
      </w:r>
      <w:r>
        <w:rPr>
          <w:rFonts w:cs="Arial" w:hint="cs"/>
          <w:rtl/>
        </w:rPr>
        <w:t>וכ"כ האו</w:t>
      </w:r>
      <w:r>
        <w:rPr>
          <w:rFonts w:cs="Arial"/>
          <w:rtl/>
        </w:rPr>
        <w:t>"</w:t>
      </w:r>
      <w:r>
        <w:rPr>
          <w:rFonts w:cs="Arial" w:hint="cs"/>
          <w:rtl/>
        </w:rPr>
        <w:t xml:space="preserve">ה </w:t>
      </w:r>
      <w:r w:rsidRPr="00955D48">
        <w:rPr>
          <w:rFonts w:cs="Arial" w:hint="cs"/>
          <w:sz w:val="16"/>
          <w:szCs w:val="16"/>
          <w:rtl/>
        </w:rPr>
        <w:t>(כלל ג ד"ו)</w:t>
      </w:r>
      <w:r>
        <w:rPr>
          <w:rFonts w:cs="Arial" w:hint="cs"/>
          <w:rtl/>
        </w:rPr>
        <w:t xml:space="preserve"> וז"ל- </w:t>
      </w:r>
      <w:r w:rsidRPr="00955D48">
        <w:rPr>
          <w:rFonts w:cs="Arial"/>
          <w:rtl/>
        </w:rPr>
        <w:t>טוב להחמיר לכתחלה דילמא היה שומן בקערה אבל בדיעבד פשיטא דמותר</w:t>
      </w:r>
      <w:r>
        <w:rPr>
          <w:rFonts w:cs="Arial" w:hint="cs"/>
          <w:rtl/>
        </w:rPr>
        <w:t>. עכ"ל. וכ' הדרכ"מ (אות יז)-</w:t>
      </w:r>
      <w:r w:rsidRPr="008E2066">
        <w:rPr>
          <w:rFonts w:cs="Arial"/>
          <w:rtl/>
        </w:rPr>
        <w:t xml:space="preserve"> ולי נראה דאין לחוש רק במקום דנשתמש בשר אצל קערה וכה"ג</w:t>
      </w:r>
      <w:r>
        <w:rPr>
          <w:rFonts w:cs="Arial" w:hint="cs"/>
          <w:rtl/>
        </w:rPr>
        <w:t>,</w:t>
      </w:r>
      <w:r w:rsidRPr="008E2066">
        <w:rPr>
          <w:rFonts w:cs="Arial"/>
          <w:rtl/>
        </w:rPr>
        <w:t xml:space="preserve"> וכמו שהוא המנהג ליחד כלי למלח שמביאין על השולחן לבשר וחלב לכל אחד בפני עצמו</w:t>
      </w:r>
      <w:r>
        <w:rPr>
          <w:rFonts w:cs="Arial" w:hint="cs"/>
          <w:rtl/>
        </w:rPr>
        <w:t>,</w:t>
      </w:r>
      <w:r w:rsidRPr="008E2066">
        <w:rPr>
          <w:rFonts w:cs="Arial"/>
          <w:rtl/>
        </w:rPr>
        <w:t xml:space="preserve"> אבל בלא"ה אין לחוש כלל</w:t>
      </w:r>
      <w:r>
        <w:rPr>
          <w:rFonts w:cs="Arial" w:hint="cs"/>
          <w:rtl/>
        </w:rPr>
        <w:t>.</w:t>
      </w:r>
    </w:p>
  </w:footnote>
  <w:footnote w:id="1663">
    <w:p w14:paraId="27E6D8E0"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אין הטעם משום דהוי נ"ט בר נ"ט דהא מלח דבר חריף הוא ומשוי ליה בעין</w:t>
      </w:r>
      <w:r>
        <w:rPr>
          <w:rFonts w:asciiTheme="minorBidi" w:hAnsiTheme="minorBidi" w:hint="cs"/>
          <w:rtl/>
        </w:rPr>
        <w:t>,</w:t>
      </w:r>
      <w:r w:rsidRPr="00085E47">
        <w:rPr>
          <w:rFonts w:asciiTheme="minorBidi" w:hAnsiTheme="minorBidi"/>
          <w:rtl/>
        </w:rPr>
        <w:t xml:space="preserve"> וכמ"ש הרב בהג"ה ס"ב והמחבר סי' צו ס"ג גבי תבלין</w:t>
      </w:r>
      <w:r>
        <w:rPr>
          <w:rFonts w:asciiTheme="minorBidi" w:hAnsiTheme="minorBidi" w:hint="cs"/>
          <w:rtl/>
        </w:rPr>
        <w:t>,</w:t>
      </w:r>
      <w:r w:rsidRPr="00085E47">
        <w:rPr>
          <w:rFonts w:asciiTheme="minorBidi" w:hAnsiTheme="minorBidi"/>
          <w:rtl/>
        </w:rPr>
        <w:t xml:space="preserve"> אלא הטעם דאין כח למלח להפליט טעם מכלי כדלקמן סי' קה סי"ג, ולפ"ז אפי' בקערה של איסור מותר, ש"ך</w:t>
      </w:r>
      <w:r w:rsidRPr="00085E47">
        <w:rPr>
          <w:rFonts w:asciiTheme="minorBidi" w:hAnsiTheme="minorBidi"/>
          <w:sz w:val="16"/>
          <w:szCs w:val="16"/>
          <w:rtl/>
        </w:rPr>
        <w:t xml:space="preserve"> (סקכ"ה)</w:t>
      </w:r>
      <w:r w:rsidRPr="00085E47">
        <w:rPr>
          <w:rFonts w:asciiTheme="minorBidi" w:hAnsiTheme="minorBidi"/>
          <w:rtl/>
        </w:rPr>
        <w:t>.</w:t>
      </w:r>
    </w:p>
  </w:footnote>
  <w:footnote w:id="1664">
    <w:p w14:paraId="5E1AC2D8" w14:textId="77777777" w:rsidR="004C5A3C" w:rsidRPr="00085E47" w:rsidRDefault="004C5A3C" w:rsidP="002C39F4">
      <w:pPr>
        <w:pStyle w:val="a5"/>
        <w:rPr>
          <w:rFonts w:asciiTheme="minorBidi" w:hAnsiTheme="minorBidi"/>
        </w:rPr>
      </w:pPr>
      <w:r w:rsidRPr="00085E47">
        <w:rPr>
          <w:rStyle w:val="a7"/>
          <w:rFonts w:asciiTheme="minorBidi" w:hAnsiTheme="minorBidi"/>
        </w:rPr>
        <w:footnoteRef/>
      </w:r>
      <w:r w:rsidRPr="00085E47">
        <w:rPr>
          <w:rFonts w:asciiTheme="minorBidi" w:hAnsiTheme="minorBidi"/>
          <w:rtl/>
        </w:rPr>
        <w:t xml:space="preserve"> </w:t>
      </w:r>
      <w:r>
        <w:rPr>
          <w:rFonts w:asciiTheme="minorBidi" w:hAnsiTheme="minorBidi" w:hint="cs"/>
          <w:rtl/>
        </w:rPr>
        <w:t>וכ' ה</w:t>
      </w:r>
      <w:r w:rsidRPr="00085E47">
        <w:rPr>
          <w:rFonts w:asciiTheme="minorBidi" w:hAnsiTheme="minorBidi"/>
          <w:rtl/>
        </w:rPr>
        <w:t>ט"ז (סקי"ח)</w:t>
      </w:r>
      <w:r>
        <w:rPr>
          <w:rFonts w:asciiTheme="minorBidi" w:hAnsiTheme="minorBidi" w:hint="cs"/>
          <w:rtl/>
        </w:rPr>
        <w:t xml:space="preserve"> דהרמ"א כתב זה</w:t>
      </w:r>
      <w:r w:rsidRPr="00085E47">
        <w:rPr>
          <w:rFonts w:asciiTheme="minorBidi" w:hAnsiTheme="minorBidi"/>
          <w:rtl/>
        </w:rPr>
        <w:t xml:space="preserve"> ע"פ התוס' והרא"ש פכ"ה, וז"ל</w:t>
      </w:r>
      <w:r>
        <w:rPr>
          <w:rFonts w:asciiTheme="minorBidi" w:hAnsiTheme="minorBidi" w:hint="cs"/>
          <w:sz w:val="14"/>
          <w:szCs w:val="14"/>
          <w:rtl/>
        </w:rPr>
        <w:t xml:space="preserve"> {התוס'}</w:t>
      </w:r>
      <w:r w:rsidRPr="00085E47">
        <w:rPr>
          <w:rFonts w:asciiTheme="minorBidi" w:hAnsiTheme="minorBidi"/>
          <w:rtl/>
        </w:rPr>
        <w:t>- ויש ללמוד מכאן דטהור מלוח וטמא תפל שא"צ להגעיל דפוסי גבינות הגוים כו' ולא נעשה העץ רותח ע"י מליח, ומעשים בכל יום דמלח הנתון בקערה שמשתמשין בה בשר לוקחין ממנה לתת לתוך חלב ולא חיישינן שמא בלע מן הקערה, והמחמיר ת</w:t>
      </w:r>
      <w:r>
        <w:rPr>
          <w:rFonts w:asciiTheme="minorBidi" w:hAnsiTheme="minorBidi" w:hint="cs"/>
          <w:rtl/>
        </w:rPr>
        <w:t>ע"ב</w:t>
      </w:r>
      <w:r w:rsidRPr="00085E47">
        <w:rPr>
          <w:rFonts w:asciiTheme="minorBidi" w:hAnsiTheme="minorBidi"/>
          <w:rtl/>
        </w:rPr>
        <w:t xml:space="preserve"> עכ"ל, הבין הרב דמה שסיימו התוס' והמחמיר תע"ב קאי גם כן אמ"ש ומעשים בכל יום כו', והוא תמוה מאד, דמ"ש ומעשים בכל יום על כרחך מביא מאנשים חשובים לומדים וכי הם בכלל המוציאים עצמם מכלל הברכה, אלא ברור דמ"ש המחמיר תע"ב קאי אדפוסי גויים שמצינו בהם חומרות בקצת פוסקים, אבל בזה המלח אין שום סברא לאסור אפי' לכתחלה, ומה שכתבו התוס' ומעשים בכל יום לא כתבוהו רק לראיה על הקודם, וכן מצאתי אח"כ לרש"ל </w:t>
      </w:r>
      <w:r w:rsidRPr="00085E47">
        <w:rPr>
          <w:rFonts w:asciiTheme="minorBidi" w:hAnsiTheme="minorBidi"/>
          <w:sz w:val="16"/>
          <w:szCs w:val="16"/>
          <w:rtl/>
        </w:rPr>
        <w:t xml:space="preserve">(פכ"ה סי' פא) </w:t>
      </w:r>
      <w:r w:rsidRPr="00085E47">
        <w:rPr>
          <w:rFonts w:asciiTheme="minorBidi" w:hAnsiTheme="minorBidi"/>
          <w:rtl/>
        </w:rPr>
        <w:t>דדין המלח אפי' לכתחלה מותר, וכן הביא בת"ח מן א"ח (אמא"כ סי' ס) דכלים של גוים נקיים מותר ליתן שם תבלין ושאר דברים חריפים שאין מוציא דבר קשה ביבש עכ"ל, הבאתיו בסי' צא סע' ב, וסיים רש"ל ומ"מ משבח אני מנהג אשכנז שיש להם כלים עשוים למלח אחד לבשר ואחד לחלב דלפעמים בתוך הסעודה שידיו מלוכלכות מן הבשר לוקח שם מלח ואח"כ יקח לחלב וכן איפכא עכ"ל.</w:t>
      </w:r>
      <w:r>
        <w:rPr>
          <w:rFonts w:asciiTheme="minorBidi" w:hAnsiTheme="minorBidi" w:hint="cs"/>
          <w:rtl/>
        </w:rPr>
        <w:t xml:space="preserve"> עכ"ל הט"ז.</w:t>
      </w:r>
    </w:p>
  </w:footnote>
  <w:footnote w:id="1665">
    <w:p w14:paraId="43B1BE85" w14:textId="77777777" w:rsidR="004C5A3C" w:rsidRDefault="004C5A3C" w:rsidP="002C39F4">
      <w:pPr>
        <w:pStyle w:val="a5"/>
        <w:rPr>
          <w:rtl/>
        </w:rPr>
      </w:pPr>
      <w:r>
        <w:rPr>
          <w:rStyle w:val="a7"/>
        </w:rPr>
        <w:footnoteRef/>
      </w:r>
      <w:r>
        <w:rPr>
          <w:rtl/>
        </w:rPr>
        <w:t xml:space="preserve"> </w:t>
      </w:r>
      <w:r w:rsidRPr="00FA171B">
        <w:rPr>
          <w:rFonts w:cs="Arial"/>
          <w:rtl/>
        </w:rPr>
        <w:t>מתוקה היא ואינו נבלע בתוכה אלא השמנונית צף ועומד על מקום החתך</w:t>
      </w:r>
      <w:r>
        <w:rPr>
          <w:rFonts w:cs="Arial" w:hint="cs"/>
          <w:rtl/>
        </w:rPr>
        <w:t>,</w:t>
      </w:r>
      <w:r w:rsidRPr="00FA171B">
        <w:rPr>
          <w:rFonts w:cs="Arial"/>
          <w:rtl/>
        </w:rPr>
        <w:t xml:space="preserve"> הלכך </w:t>
      </w:r>
      <w:r>
        <w:rPr>
          <w:rFonts w:cs="Arial" w:hint="cs"/>
          <w:rtl/>
        </w:rPr>
        <w:t>'</w:t>
      </w:r>
      <w:r w:rsidRPr="00FA171B">
        <w:rPr>
          <w:rFonts w:cs="Arial"/>
          <w:rtl/>
        </w:rPr>
        <w:t>גריר לבי פסקיה</w:t>
      </w:r>
      <w:r>
        <w:rPr>
          <w:rFonts w:cs="Arial" w:hint="cs"/>
          <w:rtl/>
        </w:rPr>
        <w:t xml:space="preserve">' </w:t>
      </w:r>
      <w:r w:rsidRPr="00FA171B">
        <w:rPr>
          <w:rFonts w:cs="Arial"/>
          <w:rtl/>
        </w:rPr>
        <w:t>למקום חתך גורר מעט בסכין</w:t>
      </w:r>
      <w:r>
        <w:rPr>
          <w:rFonts w:cs="Arial" w:hint="cs"/>
          <w:rtl/>
        </w:rPr>
        <w:t>,</w:t>
      </w:r>
      <w:r w:rsidRPr="00FA171B">
        <w:rPr>
          <w:rFonts w:cs="Arial"/>
          <w:rtl/>
        </w:rPr>
        <w:t xml:space="preserve"> ואכיל אף בכותח</w:t>
      </w:r>
      <w:r>
        <w:rPr>
          <w:rFonts w:cs="Arial" w:hint="cs"/>
          <w:rtl/>
        </w:rPr>
        <w:t>,</w:t>
      </w:r>
      <w:r w:rsidRPr="00FA171B">
        <w:rPr>
          <w:rFonts w:cs="Arial"/>
          <w:rtl/>
        </w:rPr>
        <w:t xml:space="preserve"> הלכך דגים שעלו בקערה מותר לאוכלן בכותח כדאמר דאין נות</w:t>
      </w:r>
      <w:r>
        <w:rPr>
          <w:rFonts w:cs="Arial"/>
          <w:rtl/>
        </w:rPr>
        <w:t>ן טעם הבא מן הממש אלא נ</w:t>
      </w:r>
      <w:r>
        <w:rPr>
          <w:rFonts w:cs="Arial" w:hint="cs"/>
          <w:rtl/>
        </w:rPr>
        <w:t>"</w:t>
      </w:r>
      <w:r>
        <w:rPr>
          <w:rFonts w:cs="Arial"/>
          <w:rtl/>
        </w:rPr>
        <w:t>ט הבא מנ</w:t>
      </w:r>
      <w:r>
        <w:rPr>
          <w:rFonts w:cs="Arial" w:hint="cs"/>
          <w:rtl/>
        </w:rPr>
        <w:t>"</w:t>
      </w:r>
      <w:r>
        <w:rPr>
          <w:rFonts w:cs="Arial"/>
          <w:rtl/>
        </w:rPr>
        <w:t>ט</w:t>
      </w:r>
      <w:r>
        <w:rPr>
          <w:rFonts w:cs="Arial" w:hint="cs"/>
          <w:rtl/>
        </w:rPr>
        <w:t>,</w:t>
      </w:r>
      <w:r w:rsidRPr="00FA171B">
        <w:rPr>
          <w:rFonts w:cs="Arial"/>
          <w:rtl/>
        </w:rPr>
        <w:t xml:space="preserve"> דסתם קערה מקנחין אותה משומן הקרוש עליה משום מיאוס</w:t>
      </w:r>
      <w:r>
        <w:rPr>
          <w:rFonts w:cs="Arial" w:hint="cs"/>
          <w:rtl/>
        </w:rPr>
        <w:t>,</w:t>
      </w:r>
      <w:r w:rsidRPr="00FA171B">
        <w:rPr>
          <w:rFonts w:cs="Arial"/>
          <w:rtl/>
        </w:rPr>
        <w:t xml:space="preserve"> אבל לסכין פעמים שהשמנונית קרוש עליו ואינו</w:t>
      </w:r>
      <w:r>
        <w:rPr>
          <w:rFonts w:cs="Arial"/>
          <w:rtl/>
        </w:rPr>
        <w:t xml:space="preserve"> ניכר וכשחותך בצנון הוי נ</w:t>
      </w:r>
      <w:r>
        <w:rPr>
          <w:rFonts w:cs="Arial" w:hint="cs"/>
          <w:rtl/>
        </w:rPr>
        <w:t>"</w:t>
      </w:r>
      <w:r>
        <w:rPr>
          <w:rFonts w:cs="Arial"/>
          <w:rtl/>
        </w:rPr>
        <w:t>ט</w:t>
      </w:r>
      <w:r w:rsidRPr="00FA171B">
        <w:rPr>
          <w:rFonts w:cs="Arial"/>
          <w:rtl/>
        </w:rPr>
        <w:t xml:space="preserve"> הבא מן הממש</w:t>
      </w:r>
      <w:r>
        <w:rPr>
          <w:rFonts w:cs="Arial" w:hint="cs"/>
          <w:rtl/>
        </w:rPr>
        <w:t>,</w:t>
      </w:r>
      <w:r w:rsidRPr="00FA171B">
        <w:rPr>
          <w:rFonts w:cs="Arial"/>
          <w:rtl/>
        </w:rPr>
        <w:t xml:space="preserve"> ועוד דמשום חורפיה בלע טפי מדגים הרותחים ואגב דוחקא דסכינא פליט סכינא ובלע צנון</w:t>
      </w:r>
      <w:r>
        <w:rPr>
          <w:rFonts w:cs="Arial" w:hint="cs"/>
          <w:rtl/>
        </w:rPr>
        <w:t>, רש"י.</w:t>
      </w:r>
    </w:p>
  </w:footnote>
  <w:footnote w:id="1666">
    <w:p w14:paraId="14E6DD4B" w14:textId="77777777" w:rsidR="004C5A3C" w:rsidRDefault="004C5A3C" w:rsidP="002C39F4">
      <w:pPr>
        <w:pStyle w:val="a5"/>
      </w:pPr>
      <w:r>
        <w:rPr>
          <w:rStyle w:val="a7"/>
        </w:rPr>
        <w:footnoteRef/>
      </w:r>
      <w:r>
        <w:rPr>
          <w:rtl/>
        </w:rPr>
        <w:t xml:space="preserve"> </w:t>
      </w:r>
      <w:r w:rsidRPr="00F13D6B">
        <w:rPr>
          <w:rFonts w:cs="Arial"/>
          <w:rtl/>
        </w:rPr>
        <w:t>לפת אינו חריף אלא מתוק ואין טעם שומן ניכר בו</w:t>
      </w:r>
      <w:r>
        <w:rPr>
          <w:rFonts w:cs="Arial" w:hint="cs"/>
          <w:rtl/>
        </w:rPr>
        <w:t>, רש"י</w:t>
      </w:r>
      <w:r w:rsidRPr="00F13D6B">
        <w:rPr>
          <w:rFonts w:cs="Arial"/>
          <w:rtl/>
        </w:rPr>
        <w:t>.</w:t>
      </w:r>
    </w:p>
  </w:footnote>
  <w:footnote w:id="1667">
    <w:p w14:paraId="77C44C14" w14:textId="77777777" w:rsidR="004C5A3C" w:rsidRDefault="004C5A3C" w:rsidP="002C39F4">
      <w:pPr>
        <w:pStyle w:val="a5"/>
        <w:rPr>
          <w:rtl/>
        </w:rPr>
      </w:pPr>
      <w:r>
        <w:rPr>
          <w:rStyle w:val="a7"/>
        </w:rPr>
        <w:footnoteRef/>
      </w:r>
      <w:r>
        <w:rPr>
          <w:rtl/>
        </w:rPr>
        <w:t xml:space="preserve"> </w:t>
      </w:r>
      <w:r w:rsidRPr="00F13D6B">
        <w:rPr>
          <w:rFonts w:cs="Arial"/>
          <w:rtl/>
        </w:rPr>
        <w:t>לפי שנותן טעם בהן</w:t>
      </w:r>
      <w:r>
        <w:rPr>
          <w:rFonts w:cs="Arial" w:hint="cs"/>
          <w:rtl/>
        </w:rPr>
        <w:t>, רש"י</w:t>
      </w:r>
      <w:r w:rsidRPr="00F13D6B">
        <w:rPr>
          <w:rFonts w:cs="Arial"/>
          <w:rtl/>
        </w:rPr>
        <w:t>.</w:t>
      </w:r>
    </w:p>
  </w:footnote>
  <w:footnote w:id="1668">
    <w:p w14:paraId="40A78032" w14:textId="77777777" w:rsidR="004C5A3C" w:rsidRDefault="004C5A3C" w:rsidP="002C39F4">
      <w:pPr>
        <w:pStyle w:val="a5"/>
        <w:rPr>
          <w:rtl/>
        </w:rPr>
      </w:pPr>
      <w:r>
        <w:rPr>
          <w:rStyle w:val="a7"/>
        </w:rPr>
        <w:footnoteRef/>
      </w:r>
      <w:r>
        <w:rPr>
          <w:rtl/>
        </w:rPr>
        <w:t xml:space="preserve"> </w:t>
      </w:r>
      <w:r w:rsidRPr="00F13D6B">
        <w:rPr>
          <w:rFonts w:cs="Arial"/>
          <w:rtl/>
        </w:rPr>
        <w:t>ערבן בעת חתוכן שחתך א</w:t>
      </w:r>
      <w:r>
        <w:rPr>
          <w:rFonts w:cs="Arial" w:hint="cs"/>
          <w:rtl/>
        </w:rPr>
        <w:t>חת</w:t>
      </w:r>
      <w:r w:rsidRPr="00F13D6B">
        <w:rPr>
          <w:rFonts w:cs="Arial"/>
          <w:rtl/>
        </w:rPr>
        <w:t xml:space="preserve"> של לפת ואח</w:t>
      </w:r>
      <w:r>
        <w:rPr>
          <w:rFonts w:cs="Arial" w:hint="cs"/>
          <w:rtl/>
        </w:rPr>
        <w:t>ת</w:t>
      </w:r>
      <w:r w:rsidRPr="00F13D6B">
        <w:rPr>
          <w:rFonts w:cs="Arial"/>
          <w:rtl/>
        </w:rPr>
        <w:t xml:space="preserve"> של תרדין הלפת מבטל טעם השמנונית מן הסכין ואין התרדין מקבלין טעם הימנו</w:t>
      </w:r>
      <w:r>
        <w:rPr>
          <w:rFonts w:cs="Arial" w:hint="cs"/>
          <w:rtl/>
        </w:rPr>
        <w:t>, רש"י</w:t>
      </w:r>
      <w:r w:rsidRPr="00F13D6B">
        <w:rPr>
          <w:rFonts w:cs="Arial"/>
          <w:rtl/>
        </w:rPr>
        <w:t>.</w:t>
      </w:r>
    </w:p>
  </w:footnote>
  <w:footnote w:id="1669">
    <w:p w14:paraId="74EDCB6A" w14:textId="77777777" w:rsidR="004C5A3C" w:rsidRDefault="004C5A3C" w:rsidP="002C39F4">
      <w:pPr>
        <w:pStyle w:val="a5"/>
      </w:pPr>
      <w:r>
        <w:rPr>
          <w:rStyle w:val="a7"/>
        </w:rPr>
        <w:footnoteRef/>
      </w:r>
      <w:r>
        <w:rPr>
          <w:rtl/>
        </w:rPr>
        <w:t xml:space="preserve"> </w:t>
      </w:r>
      <w:r>
        <w:rPr>
          <w:rFonts w:cs="Arial" w:hint="cs"/>
          <w:rtl/>
        </w:rPr>
        <w:t xml:space="preserve">בטור כתוב 'שלקות'. וכ' הב"י- </w:t>
      </w:r>
      <w:r>
        <w:rPr>
          <w:rFonts w:cs="Arial"/>
          <w:rtl/>
        </w:rPr>
        <w:t>הוא ממ</w:t>
      </w:r>
      <w:r>
        <w:rPr>
          <w:rFonts w:cs="Arial" w:hint="cs"/>
          <w:rtl/>
        </w:rPr>
        <w:t xml:space="preserve">ה </w:t>
      </w:r>
      <w:r>
        <w:rPr>
          <w:rFonts w:cs="Arial"/>
          <w:rtl/>
        </w:rPr>
        <w:t>ש</w:t>
      </w:r>
      <w:r>
        <w:rPr>
          <w:rFonts w:cs="Arial" w:hint="cs"/>
          <w:rtl/>
        </w:rPr>
        <w:t>כתוב</w:t>
      </w:r>
      <w:r>
        <w:rPr>
          <w:rFonts w:cs="Arial"/>
          <w:rtl/>
        </w:rPr>
        <w:t xml:space="preserve"> דסילקא אסירי</w:t>
      </w:r>
      <w:r>
        <w:rPr>
          <w:rFonts w:cs="Arial" w:hint="cs"/>
          <w:rtl/>
        </w:rPr>
        <w:t>,</w:t>
      </w:r>
      <w:r>
        <w:rPr>
          <w:rFonts w:cs="Arial"/>
          <w:rtl/>
        </w:rPr>
        <w:t xml:space="preserve"> ונראה לי דצריך לגרוס בדברי רבינו סלקות בסמ"ך</w:t>
      </w:r>
      <w:r>
        <w:rPr>
          <w:rFonts w:cs="Arial" w:hint="cs"/>
          <w:rtl/>
        </w:rPr>
        <w:t>. וכ' הפרישה (אות א) דכן גרסינן.</w:t>
      </w:r>
    </w:p>
  </w:footnote>
  <w:footnote w:id="1670">
    <w:p w14:paraId="61A185C3" w14:textId="77777777" w:rsidR="004C5A3C" w:rsidRDefault="004C5A3C" w:rsidP="002C39F4">
      <w:pPr>
        <w:pStyle w:val="a5"/>
        <w:rPr>
          <w:rtl/>
        </w:rPr>
      </w:pPr>
      <w:r>
        <w:rPr>
          <w:rStyle w:val="a7"/>
        </w:rPr>
        <w:footnoteRef/>
      </w:r>
      <w:r>
        <w:rPr>
          <w:rtl/>
        </w:rPr>
        <w:t xml:space="preserve"> </w:t>
      </w:r>
      <w:r>
        <w:rPr>
          <w:rFonts w:cs="Arial" w:hint="cs"/>
          <w:rtl/>
        </w:rPr>
        <w:t>ד</w:t>
      </w:r>
      <w:r w:rsidRPr="00E72C6C">
        <w:rPr>
          <w:rFonts w:cs="Arial"/>
          <w:rtl/>
        </w:rPr>
        <w:t>חורפיה דצנון מבליע הש</w:t>
      </w:r>
      <w:r>
        <w:rPr>
          <w:rFonts w:cs="Arial"/>
          <w:rtl/>
        </w:rPr>
        <w:t>מנונית בתוכו ואוסר עד כדי קליפה</w:t>
      </w:r>
      <w:r>
        <w:rPr>
          <w:rFonts w:cs="Arial" w:hint="cs"/>
          <w:rtl/>
        </w:rPr>
        <w:t>,</w:t>
      </w:r>
      <w:r w:rsidRPr="00E72C6C">
        <w:rPr>
          <w:rFonts w:cs="Arial"/>
          <w:rtl/>
        </w:rPr>
        <w:t xml:space="preserve"> ולא דמי לקורט של חלתית שאסרו כולו משום שחותכין אותו בסכין של גוים דשאני התם שהקרטים קטנים ואין יכול לידע באיזה מקום חתכוהו לפיכך אסרו כולו</w:t>
      </w:r>
      <w:r>
        <w:rPr>
          <w:rFonts w:hint="cs"/>
          <w:rtl/>
        </w:rPr>
        <w:t>, רא"ש.</w:t>
      </w:r>
    </w:p>
  </w:footnote>
  <w:footnote w:id="1671">
    <w:p w14:paraId="0C95652E" w14:textId="77777777" w:rsidR="004C5A3C" w:rsidRDefault="004C5A3C" w:rsidP="002C39F4">
      <w:pPr>
        <w:pStyle w:val="a5"/>
        <w:rPr>
          <w:rtl/>
        </w:rPr>
      </w:pPr>
      <w:r>
        <w:rPr>
          <w:rStyle w:val="a7"/>
        </w:rPr>
        <w:footnoteRef/>
      </w:r>
      <w:r>
        <w:rPr>
          <w:rtl/>
        </w:rPr>
        <w:t xml:space="preserve"> </w:t>
      </w:r>
      <w:r>
        <w:rPr>
          <w:rFonts w:hint="cs"/>
          <w:rtl/>
        </w:rPr>
        <w:t xml:space="preserve">וכ' הב"י- ואע"ג שבתוה"א </w:t>
      </w:r>
      <w:r>
        <w:rPr>
          <w:rFonts w:cs="Arial" w:hint="cs"/>
          <w:rtl/>
        </w:rPr>
        <w:t>(</w:t>
      </w:r>
      <w:r>
        <w:rPr>
          <w:rFonts w:cs="Arial"/>
          <w:rtl/>
        </w:rPr>
        <w:t>ב"ד ש"א ד</w:t>
      </w:r>
      <w:r>
        <w:rPr>
          <w:rFonts w:cs="Arial" w:hint="cs"/>
          <w:rtl/>
        </w:rPr>
        <w:t>.</w:t>
      </w:r>
      <w:r w:rsidRPr="00E72C6C">
        <w:rPr>
          <w:rFonts w:cs="Arial"/>
          <w:rtl/>
        </w:rPr>
        <w:t xml:space="preserve">) </w:t>
      </w:r>
      <w:r>
        <w:rPr>
          <w:rFonts w:cs="Arial" w:hint="cs"/>
          <w:rtl/>
        </w:rPr>
        <w:t xml:space="preserve">כתב </w:t>
      </w:r>
      <w:r w:rsidRPr="00E72C6C">
        <w:rPr>
          <w:rFonts w:cs="Arial"/>
          <w:rtl/>
        </w:rPr>
        <w:t>ראיתי להראב"ד (ע"ז עו. ד"ה וסכין שאין) שכתב דבקליפה לא סגי ליה דאם כן לימא הכי בהדיא אלא מדקאמר אסור סתם איסור גדול קאמר דהיינו כדי נטילת מקום</w:t>
      </w:r>
      <w:r w:rsidRPr="00E72C6C">
        <w:rPr>
          <w:rFonts w:cs="Arial" w:hint="cs"/>
          <w:rtl/>
        </w:rPr>
        <w:t>,</w:t>
      </w:r>
      <w:r>
        <w:rPr>
          <w:rFonts w:cs="Arial"/>
          <w:rtl/>
        </w:rPr>
        <w:t xml:space="preserve"> מ</w:t>
      </w:r>
      <w:r>
        <w:rPr>
          <w:rFonts w:cs="Arial" w:hint="cs"/>
          <w:rtl/>
        </w:rPr>
        <w:t>"</w:t>
      </w:r>
      <w:r>
        <w:rPr>
          <w:rFonts w:cs="Arial"/>
          <w:rtl/>
        </w:rPr>
        <w:t>מ</w:t>
      </w:r>
      <w:r w:rsidRPr="00E72C6C">
        <w:rPr>
          <w:rFonts w:cs="Arial"/>
          <w:rtl/>
        </w:rPr>
        <w:t xml:space="preserve"> בכדי נטילת מקום סגי ליה</w:t>
      </w:r>
      <w:r w:rsidRPr="00E72C6C">
        <w:rPr>
          <w:rFonts w:cs="Arial" w:hint="cs"/>
          <w:rtl/>
        </w:rPr>
        <w:t>,</w:t>
      </w:r>
      <w:r w:rsidRPr="00E72C6C">
        <w:rPr>
          <w:rFonts w:cs="Arial"/>
          <w:rtl/>
        </w:rPr>
        <w:t xml:space="preserve"> ולולי שכבר אמרה הרב ז"ל הייתי אומר דאסור לגמרי קאמר דמתוך חריפותו הרבה הוא מושך ומפעפע בכולו</w:t>
      </w:r>
      <w:r w:rsidRPr="00E72C6C">
        <w:rPr>
          <w:rFonts w:cs="Arial" w:hint="cs"/>
          <w:rtl/>
        </w:rPr>
        <w:t>,</w:t>
      </w:r>
      <w:r w:rsidRPr="00E72C6C">
        <w:rPr>
          <w:rFonts w:cs="Arial"/>
          <w:rtl/>
        </w:rPr>
        <w:t xml:space="preserve"> ותדע לך דדברים החריפים טפי בלעי מדאסרו קורט של חלתית משום דמחתכי ליה בסכין דארמאה ולגמרי אסרי ליה ולא שרו ליה בנטילת מקום אלמא משום שהחריפות מבליע בכולו גזרו עליו לאסרו לעולם לגמרי כנ"ל עכ"ל</w:t>
      </w:r>
      <w:r w:rsidRPr="00E72C6C">
        <w:rPr>
          <w:rFonts w:cs="Arial" w:hint="cs"/>
          <w:rtl/>
        </w:rPr>
        <w:t>,</w:t>
      </w:r>
      <w:r w:rsidRPr="00E72C6C">
        <w:rPr>
          <w:rFonts w:cs="Arial"/>
          <w:rtl/>
        </w:rPr>
        <w:t xml:space="preserve"> ומתוך דבריו נראה שאע"פ שהיה נ"ל לומר כן הוא מבטל דעתו מפני דעת הראב</w:t>
      </w:r>
      <w:r>
        <w:rPr>
          <w:rFonts w:cs="Arial"/>
          <w:rtl/>
        </w:rPr>
        <w:t>"ד אלא שממה שכתב בתו</w:t>
      </w:r>
      <w:r>
        <w:rPr>
          <w:rFonts w:cs="Arial" w:hint="cs"/>
          <w:rtl/>
        </w:rPr>
        <w:t>ה"ק</w:t>
      </w:r>
      <w:r w:rsidRPr="00E72C6C">
        <w:rPr>
          <w:rFonts w:cs="Arial"/>
          <w:rtl/>
        </w:rPr>
        <w:t xml:space="preserve"> (שם ד.) איסור זה של צנון וסילקא יש מי שאומר שהוא עד כדי נטילת מקום והשאר מותר ויראה ל</w:t>
      </w:r>
      <w:r>
        <w:rPr>
          <w:rFonts w:cs="Arial"/>
          <w:rtl/>
        </w:rPr>
        <w:t>י שהכל אסור כי הרבה הם בולעים ע</w:t>
      </w:r>
      <w:r w:rsidRPr="00E72C6C">
        <w:rPr>
          <w:rFonts w:cs="Arial"/>
          <w:rtl/>
        </w:rPr>
        <w:t>כ</w:t>
      </w:r>
      <w:r>
        <w:rPr>
          <w:rFonts w:cs="Arial" w:hint="cs"/>
          <w:rtl/>
        </w:rPr>
        <w:t>"ל,</w:t>
      </w:r>
      <w:r w:rsidRPr="00E72C6C">
        <w:rPr>
          <w:rFonts w:cs="Arial"/>
          <w:rtl/>
        </w:rPr>
        <w:t xml:space="preserve"> נראה שהוא פוסק הלכה כדברי עצמו</w:t>
      </w:r>
      <w:r>
        <w:rPr>
          <w:rFonts w:cs="Arial" w:hint="cs"/>
          <w:rtl/>
        </w:rPr>
        <w:t>.</w:t>
      </w:r>
      <w:r>
        <w:rPr>
          <w:rFonts w:hint="cs"/>
          <w:rtl/>
        </w:rPr>
        <w:t>..</w:t>
      </w:r>
      <w:r w:rsidRPr="009D3398">
        <w:rPr>
          <w:rFonts w:cs="Arial"/>
          <w:rtl/>
        </w:rPr>
        <w:t xml:space="preserve"> </w:t>
      </w:r>
      <w:r>
        <w:rPr>
          <w:rFonts w:cs="Arial" w:hint="cs"/>
          <w:rtl/>
        </w:rPr>
        <w:t>ו</w:t>
      </w:r>
      <w:r>
        <w:rPr>
          <w:rFonts w:cs="Arial"/>
          <w:rtl/>
        </w:rPr>
        <w:t>הר"ן (מא. ד"ה צנון)</w:t>
      </w:r>
      <w:r>
        <w:rPr>
          <w:rFonts w:cs="Arial" w:hint="cs"/>
          <w:rtl/>
        </w:rPr>
        <w:t xml:space="preserve"> </w:t>
      </w:r>
      <w:r>
        <w:rPr>
          <w:rFonts w:cs="Arial"/>
          <w:rtl/>
        </w:rPr>
        <w:t>כ</w:t>
      </w:r>
      <w:r>
        <w:rPr>
          <w:rFonts w:cs="Arial" w:hint="cs"/>
          <w:rtl/>
        </w:rPr>
        <w:t>'</w:t>
      </w:r>
      <w:r>
        <w:rPr>
          <w:rFonts w:cs="Arial"/>
          <w:rtl/>
        </w:rPr>
        <w:t xml:space="preserve"> סברת הראב"ד וסברת הרשב"א</w:t>
      </w:r>
      <w:r>
        <w:rPr>
          <w:rFonts w:cs="Arial" w:hint="cs"/>
          <w:rtl/>
        </w:rPr>
        <w:t>...</w:t>
      </w:r>
      <w:r>
        <w:rPr>
          <w:rFonts w:cs="Arial"/>
          <w:rtl/>
        </w:rPr>
        <w:t xml:space="preserve"> ומכל מקום הר"ן נראה שדעתו נוטה לדעת הרשב"א ז"ל</w:t>
      </w:r>
      <w:r>
        <w:rPr>
          <w:rFonts w:cs="Arial" w:hint="cs"/>
          <w:rtl/>
        </w:rPr>
        <w:t>, עכ"ל הב"י.</w:t>
      </w:r>
      <w:r>
        <w:rPr>
          <w:rFonts w:hint="cs"/>
          <w:rtl/>
        </w:rPr>
        <w:t xml:space="preserve"> וכ' הדרכ"מ (אות א)- </w:t>
      </w:r>
      <w:r w:rsidRPr="001560E5">
        <w:rPr>
          <w:rFonts w:cs="Arial"/>
          <w:rtl/>
        </w:rPr>
        <w:t>ובארוך כלל ל"ח (דין ב) הביא דברי הרשב"א וכן נראה דעת הר"ן פרק כל הבשר</w:t>
      </w:r>
      <w:r>
        <w:rPr>
          <w:rFonts w:cs="Arial" w:hint="cs"/>
          <w:rtl/>
        </w:rPr>
        <w:t>.</w:t>
      </w:r>
    </w:p>
  </w:footnote>
  <w:footnote w:id="1672">
    <w:p w14:paraId="5A57594C" w14:textId="77777777" w:rsidR="004C5A3C" w:rsidRDefault="004C5A3C" w:rsidP="002C39F4">
      <w:pPr>
        <w:pStyle w:val="a5"/>
        <w:rPr>
          <w:rtl/>
        </w:rPr>
      </w:pPr>
      <w:r>
        <w:rPr>
          <w:rStyle w:val="a7"/>
        </w:rPr>
        <w:footnoteRef/>
      </w:r>
      <w:r>
        <w:rPr>
          <w:rtl/>
        </w:rPr>
        <w:t xml:space="preserve"> </w:t>
      </w:r>
      <w:r w:rsidRPr="00E72C6C">
        <w:rPr>
          <w:rFonts w:cs="Arial"/>
          <w:rtl/>
        </w:rPr>
        <w:t>ראב"ד</w:t>
      </w:r>
      <w:r>
        <w:rPr>
          <w:rFonts w:cs="Arial"/>
          <w:rtl/>
        </w:rPr>
        <w:t xml:space="preserve"> </w:t>
      </w:r>
      <w:r w:rsidRPr="00E72C6C">
        <w:rPr>
          <w:rFonts w:cs="Arial"/>
          <w:sz w:val="16"/>
          <w:szCs w:val="16"/>
          <w:rtl/>
        </w:rPr>
        <w:t xml:space="preserve">(ע"ז עו. ד"ה וסכין שאין) </w:t>
      </w:r>
      <w:r>
        <w:rPr>
          <w:rFonts w:cs="Arial"/>
          <w:rtl/>
        </w:rPr>
        <w:t xml:space="preserve">סמ"ג </w:t>
      </w:r>
      <w:r w:rsidRPr="00E72C6C">
        <w:rPr>
          <w:rFonts w:cs="Arial" w:hint="cs"/>
          <w:sz w:val="16"/>
          <w:szCs w:val="16"/>
          <w:rtl/>
        </w:rPr>
        <w:t>(כ"כ הב"י בשמו [ואולי מקומו ב</w:t>
      </w:r>
      <w:r w:rsidRPr="00E72C6C">
        <w:rPr>
          <w:rFonts w:cs="Arial"/>
          <w:sz w:val="16"/>
          <w:szCs w:val="16"/>
          <w:rtl/>
        </w:rPr>
        <w:t>לאוין קמ נג:</w:t>
      </w:r>
      <w:r w:rsidRPr="00E72C6C">
        <w:rPr>
          <w:rFonts w:cs="Arial" w:hint="cs"/>
          <w:sz w:val="16"/>
          <w:szCs w:val="16"/>
          <w:rtl/>
        </w:rPr>
        <w:t xml:space="preserve">]) </w:t>
      </w:r>
      <w:r>
        <w:rPr>
          <w:rFonts w:cs="Arial" w:hint="cs"/>
          <w:rtl/>
        </w:rPr>
        <w:t>ו</w:t>
      </w:r>
      <w:r>
        <w:rPr>
          <w:rFonts w:cs="Arial"/>
          <w:rtl/>
        </w:rPr>
        <w:t>רא"ה</w:t>
      </w:r>
      <w:r w:rsidRPr="00E72C6C">
        <w:rPr>
          <w:rFonts w:cs="Arial"/>
          <w:sz w:val="16"/>
          <w:szCs w:val="16"/>
          <w:rtl/>
        </w:rPr>
        <w:t xml:space="preserve"> (בב</w:t>
      </w:r>
      <w:r w:rsidRPr="00E72C6C">
        <w:rPr>
          <w:rFonts w:cs="Arial" w:hint="cs"/>
          <w:sz w:val="16"/>
          <w:szCs w:val="16"/>
          <w:rtl/>
        </w:rPr>
        <w:t>ד</w:t>
      </w:r>
      <w:r w:rsidRPr="00E72C6C">
        <w:rPr>
          <w:rFonts w:cs="Arial"/>
          <w:sz w:val="16"/>
          <w:szCs w:val="16"/>
          <w:rtl/>
        </w:rPr>
        <w:t>ה</w:t>
      </w:r>
      <w:r w:rsidRPr="00E72C6C">
        <w:rPr>
          <w:rFonts w:cs="Arial" w:hint="cs"/>
          <w:sz w:val="16"/>
          <w:szCs w:val="16"/>
          <w:rtl/>
        </w:rPr>
        <w:t>"</w:t>
      </w:r>
      <w:r w:rsidRPr="00E72C6C">
        <w:rPr>
          <w:rFonts w:cs="Arial"/>
          <w:sz w:val="16"/>
          <w:szCs w:val="16"/>
          <w:rtl/>
        </w:rPr>
        <w:t>ב ב"ד ש"א ג: ד"ה עוד כתב</w:t>
      </w:r>
      <w:r w:rsidRPr="00E72C6C">
        <w:rPr>
          <w:rFonts w:cs="Arial" w:hint="cs"/>
          <w:sz w:val="16"/>
          <w:szCs w:val="16"/>
          <w:rtl/>
        </w:rPr>
        <w:t>, כ"כ הר"ן בשמו</w:t>
      </w:r>
      <w:r w:rsidRPr="00E72C6C">
        <w:rPr>
          <w:rFonts w:cs="Arial"/>
          <w:sz w:val="16"/>
          <w:szCs w:val="16"/>
          <w:rtl/>
        </w:rPr>
        <w:t>)</w:t>
      </w:r>
      <w:r>
        <w:rPr>
          <w:rFonts w:hint="cs"/>
          <w:rtl/>
        </w:rPr>
        <w:t>.</w:t>
      </w:r>
    </w:p>
  </w:footnote>
  <w:footnote w:id="1673">
    <w:p w14:paraId="64098C4D" w14:textId="77777777" w:rsidR="004C5A3C" w:rsidRDefault="004C5A3C" w:rsidP="002C39F4">
      <w:pPr>
        <w:pStyle w:val="a5"/>
        <w:rPr>
          <w:rtl/>
        </w:rPr>
      </w:pPr>
      <w:r>
        <w:rPr>
          <w:rStyle w:val="a7"/>
        </w:rPr>
        <w:footnoteRef/>
      </w:r>
      <w:r>
        <w:rPr>
          <w:rtl/>
        </w:rPr>
        <w:t xml:space="preserve"> </w:t>
      </w:r>
      <w:r>
        <w:rPr>
          <w:rFonts w:hint="cs"/>
          <w:rtl/>
        </w:rPr>
        <w:t xml:space="preserve">וכ' הב"י בסוף דבריו- </w:t>
      </w:r>
      <w:r>
        <w:rPr>
          <w:rFonts w:cs="Arial"/>
          <w:rtl/>
        </w:rPr>
        <w:t>ועם כל זה מאחר שאותה ראיה של קורט של חלתית יישבה הרא"ש בטוב טעם ודעת נראה שיש לסמוך על דברי סמ"ג והראב"ד והרא"ה ז"ל להתיר בנטילת מקום</w:t>
      </w:r>
      <w:r>
        <w:rPr>
          <w:rFonts w:cs="Arial" w:hint="cs"/>
          <w:rtl/>
        </w:rPr>
        <w:t>.</w:t>
      </w:r>
    </w:p>
  </w:footnote>
  <w:footnote w:id="1674">
    <w:p w14:paraId="5D58620D" w14:textId="77777777" w:rsidR="004C5A3C" w:rsidRPr="009D3398" w:rsidRDefault="004C5A3C" w:rsidP="002C39F4">
      <w:pPr>
        <w:pStyle w:val="a5"/>
        <w:rPr>
          <w:rFonts w:cs="Arial"/>
        </w:rPr>
      </w:pPr>
      <w:r>
        <w:rPr>
          <w:rStyle w:val="a7"/>
        </w:rPr>
        <w:footnoteRef/>
      </w:r>
      <w:r>
        <w:rPr>
          <w:rtl/>
        </w:rPr>
        <w:t xml:space="preserve"> </w:t>
      </w:r>
      <w:r w:rsidRPr="009D3398">
        <w:rPr>
          <w:rFonts w:cs="Arial"/>
          <w:rtl/>
        </w:rPr>
        <w:t>צנון אפשר לו לישראל לטועמו קודם שיתננו בכותח</w:t>
      </w:r>
      <w:r>
        <w:rPr>
          <w:rFonts w:cs="Arial" w:hint="cs"/>
          <w:rtl/>
        </w:rPr>
        <w:t>,</w:t>
      </w:r>
      <w:r w:rsidRPr="009D3398">
        <w:rPr>
          <w:rFonts w:cs="Arial"/>
          <w:rtl/>
        </w:rPr>
        <w:t xml:space="preserve"> והאי מותר דקאמר כגון שטעמו בתחלה ולא היה בו טעם שמנונית.</w:t>
      </w:r>
      <w:r w:rsidRPr="009D3398">
        <w:rPr>
          <w:rtl/>
        </w:rPr>
        <w:t xml:space="preserve"> </w:t>
      </w:r>
      <w:r w:rsidRPr="009D3398">
        <w:rPr>
          <w:rFonts w:cs="Arial"/>
          <w:rtl/>
        </w:rPr>
        <w:t>והאי</w:t>
      </w:r>
      <w:r>
        <w:rPr>
          <w:rFonts w:cs="Arial"/>
          <w:rtl/>
        </w:rPr>
        <w:t xml:space="preserve"> דם הקערה</w:t>
      </w:r>
      <w:r>
        <w:rPr>
          <w:rFonts w:cs="Arial" w:hint="cs"/>
          <w:rtl/>
        </w:rPr>
        <w:t xml:space="preserve"> </w:t>
      </w:r>
      <w:r>
        <w:rPr>
          <w:rFonts w:cs="Arial"/>
          <w:rtl/>
        </w:rPr>
        <w:t>לא אפשר למטעמיה</w:t>
      </w:r>
      <w:r w:rsidRPr="009D3398">
        <w:rPr>
          <w:rFonts w:cs="Arial"/>
          <w:rtl/>
        </w:rPr>
        <w:t xml:space="preserve"> לפי שאסור הוא הלכך אין לו תקנת היתר</w:t>
      </w:r>
      <w:r>
        <w:rPr>
          <w:rFonts w:cs="Arial" w:hint="cs"/>
          <w:rtl/>
        </w:rPr>
        <w:t xml:space="preserve">, רש"י (ד"ה האי </w:t>
      </w:r>
      <w:r>
        <w:rPr>
          <w:rFonts w:cs="Arial"/>
          <w:rtl/>
        </w:rPr>
        <w:t>–</w:t>
      </w:r>
      <w:r>
        <w:rPr>
          <w:rFonts w:cs="Arial" w:hint="cs"/>
          <w:rtl/>
        </w:rPr>
        <w:t xml:space="preserve"> ד"ה לא אפשר למטעמיה)</w:t>
      </w:r>
      <w:r w:rsidRPr="009D3398">
        <w:rPr>
          <w:rFonts w:cs="Arial"/>
          <w:rtl/>
        </w:rPr>
        <w:t>.</w:t>
      </w:r>
    </w:p>
  </w:footnote>
  <w:footnote w:id="1675">
    <w:p w14:paraId="22B68522" w14:textId="77777777" w:rsidR="004C5A3C" w:rsidRDefault="004C5A3C" w:rsidP="002C39F4">
      <w:pPr>
        <w:pStyle w:val="a5"/>
        <w:rPr>
          <w:rtl/>
        </w:rPr>
      </w:pPr>
      <w:r>
        <w:rPr>
          <w:rStyle w:val="a7"/>
        </w:rPr>
        <w:footnoteRef/>
      </w:r>
      <w:r>
        <w:rPr>
          <w:rtl/>
        </w:rPr>
        <w:t xml:space="preserve"> </w:t>
      </w:r>
      <w:r>
        <w:rPr>
          <w:rFonts w:hint="cs"/>
          <w:rtl/>
        </w:rPr>
        <w:t xml:space="preserve">והוסיף שם סה"ת </w:t>
      </w:r>
      <w:r>
        <w:rPr>
          <w:rFonts w:cs="Arial" w:hint="cs"/>
          <w:rtl/>
        </w:rPr>
        <w:t>ד</w:t>
      </w:r>
      <w:r w:rsidRPr="00FA171B">
        <w:rPr>
          <w:rFonts w:cs="Arial"/>
          <w:rtl/>
        </w:rPr>
        <w:t xml:space="preserve">אם חתכו בסכין של נכרי צריך </w:t>
      </w:r>
      <w:r>
        <w:rPr>
          <w:rFonts w:cs="Arial" w:hint="cs"/>
          <w:rtl/>
        </w:rPr>
        <w:t>ס'</w:t>
      </w:r>
      <w:r w:rsidRPr="00FA171B">
        <w:rPr>
          <w:rFonts w:cs="Arial"/>
          <w:rtl/>
        </w:rPr>
        <w:t xml:space="preserve"> כנגד כל הצנון </w:t>
      </w:r>
      <w:r>
        <w:rPr>
          <w:rFonts w:cs="Arial" w:hint="cs"/>
          <w:rtl/>
        </w:rPr>
        <w:t>דחתיכה עצמה נ"נ וצריך ס' כמוה. עכ"ל</w:t>
      </w:r>
      <w:r w:rsidRPr="008C3425">
        <w:rPr>
          <w:rFonts w:cs="Arial"/>
          <w:rtl/>
        </w:rPr>
        <w:t>.</w:t>
      </w:r>
      <w:r w:rsidRPr="00D2651A">
        <w:rPr>
          <w:rFonts w:cs="Arial"/>
          <w:rtl/>
        </w:rPr>
        <w:t xml:space="preserve"> </w:t>
      </w:r>
      <w:r>
        <w:rPr>
          <w:rFonts w:cs="Arial" w:hint="cs"/>
          <w:rtl/>
        </w:rPr>
        <w:t xml:space="preserve">וכ' הב"י- </w:t>
      </w:r>
      <w:r w:rsidRPr="008C3425">
        <w:rPr>
          <w:rFonts w:cs="Arial"/>
          <w:rtl/>
        </w:rPr>
        <w:t>ומ"ש דבחתכם בסכין חולבת ונתנן בקדרה רותחת מותר בששים לבטל טעם הסכין</w:t>
      </w:r>
      <w:r>
        <w:rPr>
          <w:rFonts w:cs="Arial"/>
          <w:rtl/>
        </w:rPr>
        <w:t xml:space="preserve"> הבלוע בירק</w:t>
      </w:r>
      <w:r>
        <w:rPr>
          <w:rFonts w:cs="Arial" w:hint="cs"/>
          <w:rtl/>
        </w:rPr>
        <w:t>,</w:t>
      </w:r>
      <w:r>
        <w:rPr>
          <w:rFonts w:cs="Arial"/>
          <w:rtl/>
        </w:rPr>
        <w:t xml:space="preserve"> זה דבר פשוט</w:t>
      </w:r>
      <w:r>
        <w:rPr>
          <w:rFonts w:cs="Arial" w:hint="cs"/>
          <w:rtl/>
        </w:rPr>
        <w:t>,</w:t>
      </w:r>
      <w:r>
        <w:rPr>
          <w:rFonts w:cs="Arial"/>
          <w:rtl/>
        </w:rPr>
        <w:t xml:space="preserve"> </w:t>
      </w:r>
      <w:r>
        <w:rPr>
          <w:rFonts w:cs="Arial" w:hint="cs"/>
          <w:rtl/>
        </w:rPr>
        <w:t>א</w:t>
      </w:r>
      <w:r>
        <w:rPr>
          <w:rFonts w:cs="Arial"/>
          <w:rtl/>
        </w:rPr>
        <w:t>ע</w:t>
      </w:r>
      <w:r>
        <w:rPr>
          <w:rFonts w:cs="Arial" w:hint="cs"/>
          <w:rtl/>
        </w:rPr>
        <w:t>"</w:t>
      </w:r>
      <w:r>
        <w:rPr>
          <w:rFonts w:cs="Arial"/>
          <w:rtl/>
        </w:rPr>
        <w:t>ג</w:t>
      </w:r>
      <w:r w:rsidRPr="008C3425">
        <w:rPr>
          <w:rFonts w:cs="Arial"/>
          <w:rtl/>
        </w:rPr>
        <w:t xml:space="preserve"> דבבשר בחלב לדברי הכל אמרינן </w:t>
      </w:r>
      <w:r w:rsidRPr="006A0037">
        <w:rPr>
          <w:rFonts w:cs="Arial"/>
          <w:sz w:val="16"/>
          <w:szCs w:val="16"/>
          <w:rtl/>
        </w:rPr>
        <w:t xml:space="preserve">(סי' צב קמו:) </w:t>
      </w:r>
      <w:r>
        <w:rPr>
          <w:rFonts w:cs="Arial"/>
          <w:rtl/>
        </w:rPr>
        <w:t>חתיכה עצמה נ</w:t>
      </w:r>
      <w:r>
        <w:rPr>
          <w:rFonts w:cs="Arial" w:hint="cs"/>
          <w:rtl/>
        </w:rPr>
        <w:t>"</w:t>
      </w:r>
      <w:r>
        <w:rPr>
          <w:rFonts w:cs="Arial"/>
          <w:rtl/>
        </w:rPr>
        <w:t>נ</w:t>
      </w:r>
      <w:r w:rsidRPr="008C3425">
        <w:rPr>
          <w:rFonts w:cs="Arial"/>
          <w:rtl/>
        </w:rPr>
        <w:t xml:space="preserve"> הנ</w:t>
      </w:r>
      <w:r>
        <w:rPr>
          <w:rFonts w:cs="Arial" w:hint="cs"/>
          <w:rtl/>
        </w:rPr>
        <w:t>"</w:t>
      </w:r>
      <w:r w:rsidRPr="008C3425">
        <w:rPr>
          <w:rFonts w:cs="Arial"/>
          <w:rtl/>
        </w:rPr>
        <w:t>מ היכא דחתיכה היא אסורה כגון טיפת חלב שנפלה בחתיכת בשר אבל הכא שאין ירקות הללו אסורות לאכלן בפני עצמן לא אמרינן שכולן נעשו חתיכת חלב ויצטרך ששים לבטל את כולם</w:t>
      </w:r>
      <w:r>
        <w:rPr>
          <w:rFonts w:cs="Arial" w:hint="cs"/>
          <w:rtl/>
        </w:rPr>
        <w:t>,</w:t>
      </w:r>
      <w:r w:rsidRPr="008C3425">
        <w:rPr>
          <w:rFonts w:cs="Arial"/>
          <w:rtl/>
        </w:rPr>
        <w:t xml:space="preserve"> אבל מ"ש דאם חתכו בסכין של גוים צריך </w:t>
      </w:r>
      <w:r>
        <w:rPr>
          <w:rFonts w:cs="Arial" w:hint="cs"/>
          <w:rtl/>
        </w:rPr>
        <w:t>ס'</w:t>
      </w:r>
      <w:r w:rsidRPr="008C3425">
        <w:rPr>
          <w:rFonts w:cs="Arial"/>
          <w:rtl/>
        </w:rPr>
        <w:t xml:space="preserve"> בקדרה כשיעור כל הירק לט</w:t>
      </w:r>
      <w:r>
        <w:rPr>
          <w:rFonts w:cs="Arial"/>
          <w:rtl/>
        </w:rPr>
        <w:t>עמייהו אזלי דסבירא להו כר</w:t>
      </w:r>
      <w:r>
        <w:rPr>
          <w:rFonts w:cs="Arial" w:hint="cs"/>
          <w:rtl/>
        </w:rPr>
        <w:t>"</w:t>
      </w:r>
      <w:r>
        <w:rPr>
          <w:rFonts w:cs="Arial"/>
          <w:rtl/>
        </w:rPr>
        <w:t>ת דאמר דחתיכה עצמה נ</w:t>
      </w:r>
      <w:r>
        <w:rPr>
          <w:rFonts w:cs="Arial" w:hint="cs"/>
          <w:rtl/>
        </w:rPr>
        <w:t>"נ</w:t>
      </w:r>
      <w:r>
        <w:rPr>
          <w:rFonts w:cs="Arial"/>
          <w:rtl/>
        </w:rPr>
        <w:t xml:space="preserve"> אמרינן בכל האיסורין ומש</w:t>
      </w:r>
      <w:r>
        <w:rPr>
          <w:rFonts w:cs="Arial" w:hint="cs"/>
          <w:rtl/>
        </w:rPr>
        <w:t>"</w:t>
      </w:r>
      <w:r>
        <w:rPr>
          <w:rFonts w:cs="Arial"/>
          <w:rtl/>
        </w:rPr>
        <w:t>ה</w:t>
      </w:r>
      <w:r w:rsidRPr="008C3425">
        <w:rPr>
          <w:rFonts w:cs="Arial"/>
          <w:rtl/>
        </w:rPr>
        <w:t xml:space="preserve"> בחתכם בסכין של גוים מצרכינן </w:t>
      </w:r>
      <w:r>
        <w:rPr>
          <w:rFonts w:cs="Arial" w:hint="cs"/>
          <w:rtl/>
        </w:rPr>
        <w:t>ס'</w:t>
      </w:r>
      <w:r w:rsidRPr="008C3425">
        <w:rPr>
          <w:rFonts w:cs="Arial"/>
          <w:rtl/>
        </w:rPr>
        <w:t xml:space="preserve"> כנגד כל הירק</w:t>
      </w:r>
      <w:r>
        <w:rPr>
          <w:rFonts w:cs="Arial" w:hint="cs"/>
          <w:rtl/>
        </w:rPr>
        <w:t>,</w:t>
      </w:r>
      <w:r w:rsidRPr="008C3425">
        <w:rPr>
          <w:rFonts w:cs="Arial"/>
          <w:rtl/>
        </w:rPr>
        <w:t xml:space="preserve"> אבל לדברי ה"ר אפרים </w:t>
      </w:r>
      <w:r>
        <w:rPr>
          <w:rFonts w:cs="Arial"/>
          <w:rtl/>
        </w:rPr>
        <w:t>דלא אמרינן חתיכה עצמה נ</w:t>
      </w:r>
      <w:r>
        <w:rPr>
          <w:rFonts w:cs="Arial" w:hint="cs"/>
          <w:rtl/>
        </w:rPr>
        <w:t>"</w:t>
      </w:r>
      <w:r>
        <w:rPr>
          <w:rFonts w:cs="Arial"/>
          <w:rtl/>
        </w:rPr>
        <w:t>נ</w:t>
      </w:r>
      <w:r w:rsidRPr="008C3425">
        <w:rPr>
          <w:rFonts w:cs="Arial"/>
          <w:rtl/>
        </w:rPr>
        <w:t xml:space="preserve"> אלא בבשר בחלב אבל לא בשאר איסורין בחתכם בסכין של גוים נמי מותר בששים </w:t>
      </w:r>
      <w:r>
        <w:rPr>
          <w:rFonts w:cs="Arial"/>
          <w:rtl/>
        </w:rPr>
        <w:t>לבטל טעם הסכין הבלוע בירק</w:t>
      </w:r>
      <w:r>
        <w:rPr>
          <w:rFonts w:hint="cs"/>
          <w:rtl/>
        </w:rPr>
        <w:t>.</w:t>
      </w:r>
    </w:p>
  </w:footnote>
  <w:footnote w:id="1676">
    <w:p w14:paraId="4F1E3F38" w14:textId="77777777" w:rsidR="004C5A3C" w:rsidRDefault="004C5A3C" w:rsidP="002C39F4">
      <w:pPr>
        <w:pStyle w:val="a5"/>
      </w:pPr>
      <w:r>
        <w:rPr>
          <w:rStyle w:val="a7"/>
        </w:rPr>
        <w:footnoteRef/>
      </w:r>
      <w:r>
        <w:rPr>
          <w:rtl/>
        </w:rPr>
        <w:t xml:space="preserve"> </w:t>
      </w:r>
      <w:r>
        <w:rPr>
          <w:rFonts w:hint="cs"/>
          <w:rtl/>
        </w:rPr>
        <w:t>וז"ל-</w:t>
      </w:r>
      <w:r w:rsidRPr="000D60D6">
        <w:rPr>
          <w:rFonts w:cs="Arial"/>
          <w:rtl/>
        </w:rPr>
        <w:t xml:space="preserve"> </w:t>
      </w:r>
      <w:r w:rsidRPr="00F568AE">
        <w:rPr>
          <w:rFonts w:cs="Arial"/>
          <w:rtl/>
        </w:rPr>
        <w:t>סכין שחתך בה בשר צלי וחזר וחתך בה צנון וכיוצא בו מדברים חריפין אסור לאכלן בכותח</w:t>
      </w:r>
      <w:r w:rsidRPr="00F568AE">
        <w:rPr>
          <w:rFonts w:cs="Arial" w:hint="cs"/>
          <w:rtl/>
        </w:rPr>
        <w:t>.</w:t>
      </w:r>
    </w:p>
  </w:footnote>
  <w:footnote w:id="1677">
    <w:p w14:paraId="566C2753" w14:textId="77777777" w:rsidR="004C5A3C" w:rsidRDefault="004C5A3C" w:rsidP="002C39F4">
      <w:pPr>
        <w:pStyle w:val="a5"/>
        <w:rPr>
          <w:rtl/>
        </w:rPr>
      </w:pPr>
      <w:r>
        <w:rPr>
          <w:rStyle w:val="a7"/>
        </w:rPr>
        <w:footnoteRef/>
      </w:r>
      <w:r>
        <w:rPr>
          <w:rtl/>
        </w:rPr>
        <w:t xml:space="preserve"> </w:t>
      </w:r>
      <w:r>
        <w:rPr>
          <w:rFonts w:cs="Arial" w:hint="cs"/>
          <w:rtl/>
        </w:rPr>
        <w:t>וכ' הא"</w:t>
      </w:r>
      <w:r>
        <w:rPr>
          <w:rFonts w:cs="Arial"/>
          <w:rtl/>
        </w:rPr>
        <w:t>ח</w:t>
      </w:r>
      <w:r w:rsidRPr="008C3425">
        <w:rPr>
          <w:rFonts w:cs="Arial"/>
          <w:rtl/>
        </w:rPr>
        <w:t xml:space="preserve"> </w:t>
      </w:r>
      <w:r w:rsidRPr="00A56901">
        <w:rPr>
          <w:rFonts w:cs="Arial"/>
          <w:sz w:val="16"/>
          <w:szCs w:val="16"/>
          <w:rtl/>
        </w:rPr>
        <w:t>(א</w:t>
      </w:r>
      <w:r w:rsidRPr="00A56901">
        <w:rPr>
          <w:rFonts w:cs="Arial" w:hint="cs"/>
          <w:sz w:val="16"/>
          <w:szCs w:val="16"/>
          <w:rtl/>
        </w:rPr>
        <w:t>מא"כ</w:t>
      </w:r>
      <w:r w:rsidRPr="00A56901">
        <w:rPr>
          <w:rFonts w:cs="Arial"/>
          <w:sz w:val="16"/>
          <w:szCs w:val="16"/>
          <w:rtl/>
        </w:rPr>
        <w:t xml:space="preserve"> סי' ס ד"ה ולפי דרכינו</w:t>
      </w:r>
      <w:r>
        <w:rPr>
          <w:rFonts w:cs="Arial" w:hint="cs"/>
          <w:sz w:val="16"/>
          <w:szCs w:val="16"/>
          <w:rtl/>
        </w:rPr>
        <w:t>, הביאו הב"י</w:t>
      </w:r>
      <w:r w:rsidRPr="00A56901">
        <w:rPr>
          <w:rFonts w:cs="Arial"/>
          <w:sz w:val="16"/>
          <w:szCs w:val="16"/>
          <w:rtl/>
        </w:rPr>
        <w:t>)</w:t>
      </w:r>
      <w:r>
        <w:rPr>
          <w:rFonts w:cs="Arial" w:hint="cs"/>
          <w:rtl/>
        </w:rPr>
        <w:t xml:space="preserve"> דגם </w:t>
      </w:r>
      <w:r w:rsidRPr="008C3425">
        <w:rPr>
          <w:rFonts w:cs="Arial"/>
          <w:rtl/>
        </w:rPr>
        <w:t>פירות חמוצים כגון תפוחים הוו דבר חריף כמו שומים ובצלים</w:t>
      </w:r>
      <w:r>
        <w:rPr>
          <w:rFonts w:hint="cs"/>
          <w:rtl/>
        </w:rPr>
        <w:t>.</w:t>
      </w:r>
      <w:r w:rsidRPr="000D60D6">
        <w:rPr>
          <w:rFonts w:cs="Arial" w:hint="cs"/>
          <w:color w:val="E36C0A" w:themeColor="accent6" w:themeShade="BF"/>
          <w:rtl/>
        </w:rPr>
        <w:t xml:space="preserve"> </w:t>
      </w:r>
      <w:r>
        <w:rPr>
          <w:rFonts w:cs="Arial" w:hint="cs"/>
          <w:color w:val="E36C0A" w:themeColor="accent6" w:themeShade="BF"/>
          <w:rtl/>
        </w:rPr>
        <w:t>(וכ"פ</w:t>
      </w:r>
      <w:r w:rsidRPr="001F56F7">
        <w:rPr>
          <w:rFonts w:cs="Arial" w:hint="cs"/>
          <w:color w:val="E36C0A" w:themeColor="accent6" w:themeShade="BF"/>
          <w:rtl/>
        </w:rPr>
        <w:t xml:space="preserve"> בשו"ע)</w:t>
      </w:r>
    </w:p>
  </w:footnote>
  <w:footnote w:id="1678">
    <w:p w14:paraId="0E2D8F25" w14:textId="77777777" w:rsidR="004C5A3C" w:rsidRDefault="004C5A3C" w:rsidP="002C39F4">
      <w:pPr>
        <w:pStyle w:val="a5"/>
        <w:rPr>
          <w:rtl/>
        </w:rPr>
      </w:pPr>
      <w:r>
        <w:rPr>
          <w:rStyle w:val="a7"/>
        </w:rPr>
        <w:footnoteRef/>
      </w:r>
      <w:r>
        <w:rPr>
          <w:rtl/>
        </w:rPr>
        <w:t xml:space="preserve"> </w:t>
      </w:r>
      <w:r>
        <w:rPr>
          <w:rFonts w:cs="Arial" w:hint="cs"/>
          <w:rtl/>
        </w:rPr>
        <w:t>וכ' ה</w:t>
      </w:r>
      <w:r>
        <w:rPr>
          <w:rFonts w:cs="Arial"/>
          <w:rtl/>
        </w:rPr>
        <w:t xml:space="preserve">סמ"ג </w:t>
      </w:r>
      <w:r w:rsidRPr="008C3425">
        <w:rPr>
          <w:rFonts w:cs="Arial"/>
          <w:sz w:val="16"/>
          <w:szCs w:val="16"/>
          <w:rtl/>
        </w:rPr>
        <w:t>(לאוין קמ נג:)</w:t>
      </w:r>
      <w:r>
        <w:rPr>
          <w:rFonts w:cs="Arial" w:hint="cs"/>
          <w:rtl/>
        </w:rPr>
        <w:t xml:space="preserve"> ד</w:t>
      </w:r>
      <w:r w:rsidRPr="00074ACF">
        <w:rPr>
          <w:rFonts w:cs="Arial"/>
          <w:rtl/>
        </w:rPr>
        <w:t xml:space="preserve">אף לפי </w:t>
      </w:r>
      <w:r>
        <w:rPr>
          <w:rFonts w:cs="Arial"/>
          <w:rtl/>
        </w:rPr>
        <w:t xml:space="preserve">דברי בעל התרומה </w:t>
      </w:r>
      <w:r>
        <w:rPr>
          <w:rFonts w:cs="Arial" w:hint="cs"/>
          <w:rtl/>
        </w:rPr>
        <w:t>ב</w:t>
      </w:r>
      <w:r>
        <w:rPr>
          <w:rFonts w:cs="Arial"/>
          <w:rtl/>
        </w:rPr>
        <w:t>ד</w:t>
      </w:r>
      <w:r>
        <w:rPr>
          <w:rFonts w:cs="Arial" w:hint="cs"/>
          <w:rtl/>
        </w:rPr>
        <w:t>"</w:t>
      </w:r>
      <w:r>
        <w:rPr>
          <w:rFonts w:cs="Arial"/>
          <w:rtl/>
        </w:rPr>
        <w:t>א</w:t>
      </w:r>
      <w:r w:rsidRPr="00074ACF">
        <w:rPr>
          <w:rFonts w:cs="Arial"/>
          <w:rtl/>
        </w:rPr>
        <w:t xml:space="preserve"> שחתכו הבצלים דק דק כדרך שעושין לקדרה אבל לא חתכו כי אם מצד אחד אע</w:t>
      </w:r>
      <w:r w:rsidRPr="00074ACF">
        <w:rPr>
          <w:rFonts w:cs="Arial" w:hint="cs"/>
          <w:rtl/>
        </w:rPr>
        <w:t>"</w:t>
      </w:r>
      <w:r w:rsidRPr="00074ACF">
        <w:rPr>
          <w:rFonts w:cs="Arial"/>
          <w:rtl/>
        </w:rPr>
        <w:t xml:space="preserve">פ שאין די בגריד לבי פיסקי </w:t>
      </w:r>
      <w:r w:rsidRPr="00074ACF">
        <w:rPr>
          <w:rFonts w:cs="Arial" w:hint="cs"/>
          <w:rtl/>
        </w:rPr>
        <w:t>מ"מ</w:t>
      </w:r>
      <w:r w:rsidRPr="00074ACF">
        <w:rPr>
          <w:rFonts w:cs="Arial"/>
          <w:rtl/>
        </w:rPr>
        <w:t xml:space="preserve"> יחתוך מקומו בעומק ודי</w:t>
      </w:r>
      <w:r w:rsidRPr="00074ACF">
        <w:rPr>
          <w:rFonts w:cs="Arial" w:hint="cs"/>
          <w:rtl/>
        </w:rPr>
        <w:t>ו.</w:t>
      </w:r>
    </w:p>
  </w:footnote>
  <w:footnote w:id="1679">
    <w:p w14:paraId="04D938D1" w14:textId="77777777" w:rsidR="004C5A3C" w:rsidRDefault="004C5A3C" w:rsidP="002C39F4">
      <w:pPr>
        <w:pStyle w:val="a5"/>
        <w:rPr>
          <w:rtl/>
        </w:rPr>
      </w:pPr>
      <w:r>
        <w:rPr>
          <w:rStyle w:val="a7"/>
        </w:rPr>
        <w:footnoteRef/>
      </w:r>
      <w:r>
        <w:rPr>
          <w:rtl/>
        </w:rPr>
        <w:t xml:space="preserve"> </w:t>
      </w:r>
      <w:r w:rsidRPr="00074ACF">
        <w:rPr>
          <w:rFonts w:cs="Arial"/>
          <w:rtl/>
        </w:rPr>
        <w:t>רבינו יחיאל</w:t>
      </w:r>
      <w:r>
        <w:rPr>
          <w:rFonts w:cs="Arial" w:hint="cs"/>
          <w:rtl/>
        </w:rPr>
        <w:t xml:space="preserve"> </w:t>
      </w:r>
      <w:r w:rsidRPr="00074ACF">
        <w:rPr>
          <w:rFonts w:cs="Arial"/>
          <w:sz w:val="16"/>
          <w:szCs w:val="16"/>
          <w:rtl/>
        </w:rPr>
        <w:t>(</w:t>
      </w:r>
      <w:r w:rsidRPr="00074ACF">
        <w:rPr>
          <w:rFonts w:cs="Arial" w:hint="cs"/>
          <w:sz w:val="16"/>
          <w:szCs w:val="16"/>
          <w:rtl/>
        </w:rPr>
        <w:t xml:space="preserve">הביאו ר"פ </w:t>
      </w:r>
      <w:r w:rsidRPr="005E0F32">
        <w:rPr>
          <w:rFonts w:cs="Arial" w:hint="cs"/>
          <w:sz w:val="14"/>
          <w:szCs w:val="14"/>
          <w:rtl/>
        </w:rPr>
        <w:t>[</w:t>
      </w:r>
      <w:r w:rsidRPr="005E0F32">
        <w:rPr>
          <w:rFonts w:cs="Arial"/>
          <w:sz w:val="14"/>
          <w:szCs w:val="14"/>
          <w:rtl/>
        </w:rPr>
        <w:t>בהגהות</w:t>
      </w:r>
      <w:r w:rsidRPr="005E0F32">
        <w:rPr>
          <w:rFonts w:cs="Arial" w:hint="cs"/>
          <w:sz w:val="14"/>
          <w:szCs w:val="14"/>
          <w:rtl/>
        </w:rPr>
        <w:t xml:space="preserve"> סמ"ק</w:t>
      </w:r>
      <w:r w:rsidRPr="005E0F32">
        <w:rPr>
          <w:rFonts w:cs="Arial"/>
          <w:sz w:val="14"/>
          <w:szCs w:val="14"/>
          <w:rtl/>
        </w:rPr>
        <w:t xml:space="preserve"> סי' רי"ג דיני ביטול אות ט</w:t>
      </w:r>
      <w:r w:rsidRPr="005E0F32">
        <w:rPr>
          <w:rFonts w:cs="Arial" w:hint="cs"/>
          <w:sz w:val="14"/>
          <w:szCs w:val="14"/>
          <w:rtl/>
        </w:rPr>
        <w:t>]</w:t>
      </w:r>
      <w:r w:rsidRPr="00074ACF">
        <w:rPr>
          <w:rFonts w:cs="Arial"/>
          <w:sz w:val="16"/>
          <w:szCs w:val="16"/>
          <w:rtl/>
        </w:rPr>
        <w:t>)</w:t>
      </w:r>
      <w:r w:rsidRPr="00A2015F">
        <w:rPr>
          <w:rFonts w:cs="Arial" w:hint="cs"/>
          <w:rtl/>
        </w:rPr>
        <w:t xml:space="preserve"> </w:t>
      </w:r>
      <w:r>
        <w:rPr>
          <w:rFonts w:cs="Arial" w:hint="cs"/>
          <w:rtl/>
        </w:rPr>
        <w:t>ומהר"ם</w:t>
      </w:r>
      <w:r>
        <w:rPr>
          <w:rFonts w:cs="Arial" w:hint="cs"/>
          <w:sz w:val="16"/>
          <w:szCs w:val="16"/>
          <w:rtl/>
        </w:rPr>
        <w:t xml:space="preserve"> </w:t>
      </w:r>
      <w:r>
        <w:rPr>
          <w:rFonts w:cs="Arial"/>
          <w:sz w:val="16"/>
          <w:szCs w:val="16"/>
          <w:rtl/>
        </w:rPr>
        <w:t>(תשובות ופסקים ח"ב סי' כב</w:t>
      </w:r>
      <w:r>
        <w:rPr>
          <w:rFonts w:cs="Arial" w:hint="cs"/>
          <w:sz w:val="16"/>
          <w:szCs w:val="16"/>
          <w:rtl/>
        </w:rPr>
        <w:t>)</w:t>
      </w:r>
      <w:r>
        <w:rPr>
          <w:rFonts w:hint="cs"/>
          <w:rtl/>
        </w:rPr>
        <w:t>.</w:t>
      </w:r>
    </w:p>
  </w:footnote>
  <w:footnote w:id="1680">
    <w:p w14:paraId="1C654A26" w14:textId="77777777" w:rsidR="004C5A3C" w:rsidRDefault="004C5A3C" w:rsidP="002C39F4">
      <w:pPr>
        <w:pStyle w:val="a5"/>
      </w:pPr>
      <w:r>
        <w:rPr>
          <w:rStyle w:val="a7"/>
        </w:rPr>
        <w:footnoteRef/>
      </w:r>
      <w:r w:rsidRPr="00594F04">
        <w:rPr>
          <w:rFonts w:cs="Arial"/>
          <w:rtl/>
        </w:rPr>
        <w:t xml:space="preserve"> ואפילו כשהסכין בן יומו</w:t>
      </w:r>
      <w:r>
        <w:rPr>
          <w:rFonts w:cs="Arial" w:hint="cs"/>
          <w:rtl/>
        </w:rPr>
        <w:t>...</w:t>
      </w:r>
      <w:r w:rsidRPr="00594F04">
        <w:rPr>
          <w:rFonts w:cs="Arial"/>
          <w:rtl/>
        </w:rPr>
        <w:t xml:space="preserve"> ומשמע דס</w:t>
      </w:r>
      <w:r>
        <w:rPr>
          <w:rFonts w:cs="Arial" w:hint="cs"/>
          <w:rtl/>
        </w:rPr>
        <w:t>"ל</w:t>
      </w:r>
      <w:r w:rsidRPr="00594F04">
        <w:rPr>
          <w:rFonts w:cs="Arial"/>
          <w:rtl/>
        </w:rPr>
        <w:t xml:space="preserve"> דסילקא דאמרו בגמרא דאסורה היא דוקא יש לה דין צנון אבל שאר דברים החריפים לא</w:t>
      </w:r>
      <w:r>
        <w:rPr>
          <w:rFonts w:cs="Arial" w:hint="cs"/>
          <w:rtl/>
        </w:rPr>
        <w:t>,</w:t>
      </w:r>
      <w:r>
        <w:rPr>
          <w:rFonts w:cs="Arial"/>
          <w:rtl/>
        </w:rPr>
        <w:t xml:space="preserve"> וכן נראה מדברי הרשב"א שכ</w:t>
      </w:r>
      <w:r>
        <w:rPr>
          <w:rFonts w:cs="Arial" w:hint="cs"/>
          <w:rtl/>
        </w:rPr>
        <w:t>'</w:t>
      </w:r>
      <w:r w:rsidRPr="00594F04">
        <w:rPr>
          <w:rFonts w:cs="Arial"/>
          <w:rtl/>
        </w:rPr>
        <w:t xml:space="preserve"> בתו</w:t>
      </w:r>
      <w:r>
        <w:rPr>
          <w:rFonts w:cs="Arial" w:hint="cs"/>
          <w:rtl/>
        </w:rPr>
        <w:t xml:space="preserve">ה"ק </w:t>
      </w:r>
      <w:r>
        <w:rPr>
          <w:rFonts w:cs="Arial"/>
          <w:sz w:val="16"/>
          <w:szCs w:val="16"/>
          <w:rtl/>
        </w:rPr>
        <w:t>(ב"ד ש"א</w:t>
      </w:r>
      <w:r w:rsidRPr="000D60D6">
        <w:rPr>
          <w:rFonts w:cs="Arial"/>
          <w:sz w:val="16"/>
          <w:szCs w:val="16"/>
          <w:rtl/>
        </w:rPr>
        <w:t xml:space="preserve">) </w:t>
      </w:r>
      <w:r w:rsidRPr="00594F04">
        <w:rPr>
          <w:rFonts w:cs="Arial"/>
          <w:rtl/>
        </w:rPr>
        <w:t>ח</w:t>
      </w:r>
      <w:r>
        <w:rPr>
          <w:rFonts w:cs="Arial"/>
          <w:rtl/>
        </w:rPr>
        <w:t>תך בו סילקא אסורה כצנון א</w:t>
      </w:r>
      <w:r>
        <w:rPr>
          <w:rFonts w:cs="Arial" w:hint="cs"/>
          <w:rtl/>
        </w:rPr>
        <w:t>ע"פ</w:t>
      </w:r>
      <w:r w:rsidRPr="00594F04">
        <w:rPr>
          <w:rFonts w:cs="Arial"/>
          <w:rtl/>
        </w:rPr>
        <w:t xml:space="preserve"> שאינה חריפה כצנון משיכה יש לה בטבעה ע"כ</w:t>
      </w:r>
      <w:r>
        <w:rPr>
          <w:rFonts w:cs="Arial" w:hint="cs"/>
          <w:rtl/>
        </w:rPr>
        <w:t>, ב"י.</w:t>
      </w:r>
      <w:r>
        <w:rPr>
          <w:rFonts w:hint="cs"/>
          <w:rtl/>
        </w:rPr>
        <w:t xml:space="preserve"> אך הדרכ"מ (סי' צה סוף אות א) כ' דמשמע מתשו' </w:t>
      </w:r>
      <w:r>
        <w:rPr>
          <w:rFonts w:cs="Arial" w:hint="cs"/>
          <w:rtl/>
        </w:rPr>
        <w:t>ה</w:t>
      </w:r>
      <w:r w:rsidRPr="000D60D6">
        <w:rPr>
          <w:rFonts w:cs="Arial"/>
          <w:rtl/>
        </w:rPr>
        <w:t>רשב"א (</w:t>
      </w:r>
      <w:r>
        <w:rPr>
          <w:rFonts w:cs="Arial" w:hint="cs"/>
          <w:rtl/>
        </w:rPr>
        <w:t xml:space="preserve">בתשו' </w:t>
      </w:r>
      <w:r>
        <w:rPr>
          <w:rFonts w:cs="Arial"/>
          <w:rtl/>
        </w:rPr>
        <w:t>ח"א סי</w:t>
      </w:r>
      <w:r>
        <w:rPr>
          <w:rFonts w:cs="Arial" w:hint="cs"/>
          <w:rtl/>
        </w:rPr>
        <w:t>'</w:t>
      </w:r>
      <w:r>
        <w:rPr>
          <w:rFonts w:cs="Arial"/>
          <w:rtl/>
        </w:rPr>
        <w:t xml:space="preserve"> תמ</w:t>
      </w:r>
      <w:r w:rsidRPr="000D60D6">
        <w:rPr>
          <w:rFonts w:cs="Arial"/>
          <w:rtl/>
        </w:rPr>
        <w:t>ט</w:t>
      </w:r>
      <w:r>
        <w:rPr>
          <w:rFonts w:cs="Arial" w:hint="cs"/>
          <w:rtl/>
        </w:rPr>
        <w:t>)</w:t>
      </w:r>
      <w:r w:rsidRPr="000D60D6">
        <w:rPr>
          <w:rFonts w:cs="Arial"/>
          <w:rtl/>
        </w:rPr>
        <w:t xml:space="preserve"> </w:t>
      </w:r>
      <w:r>
        <w:rPr>
          <w:rFonts w:cs="Arial" w:hint="cs"/>
          <w:rtl/>
        </w:rPr>
        <w:t>ד</w:t>
      </w:r>
      <w:r w:rsidRPr="000D60D6">
        <w:rPr>
          <w:rFonts w:cs="Arial"/>
          <w:rtl/>
        </w:rPr>
        <w:t>אי הוי דבר חריף אסור</w:t>
      </w:r>
      <w:r>
        <w:rPr>
          <w:rFonts w:cs="Arial" w:hint="cs"/>
          <w:rtl/>
        </w:rPr>
        <w:t>,</w:t>
      </w:r>
      <w:r w:rsidRPr="000D60D6">
        <w:rPr>
          <w:rFonts w:cs="Arial"/>
          <w:rtl/>
        </w:rPr>
        <w:t xml:space="preserve"> שכתב</w:t>
      </w:r>
      <w:r>
        <w:rPr>
          <w:rFonts w:cs="Arial" w:hint="cs"/>
          <w:rtl/>
        </w:rPr>
        <w:t xml:space="preserve"> הרשב"א</w:t>
      </w:r>
      <w:r w:rsidRPr="000D60D6">
        <w:rPr>
          <w:rFonts w:cs="Arial"/>
          <w:rtl/>
        </w:rPr>
        <w:t xml:space="preserve"> שם במעשה שדכו ביצים עם תבלין במדוך חולבת שאינו ב"י ושמו בתרנגולת ופסק דשרי דמשום מעט תבלין שבו לא מיקרי דבר חריף וא"כ הוי נ"ט בר נ"ט ונותן טעם לפגם עכ"ל</w:t>
      </w:r>
      <w:r>
        <w:rPr>
          <w:rFonts w:cs="Arial" w:hint="cs"/>
          <w:rtl/>
        </w:rPr>
        <w:t>, והיינו כדברי סה"ת.</w:t>
      </w:r>
    </w:p>
  </w:footnote>
  <w:footnote w:id="1681">
    <w:p w14:paraId="74DA4B53" w14:textId="77777777" w:rsidR="004C5A3C" w:rsidRPr="007D518A" w:rsidRDefault="004C5A3C" w:rsidP="002C39F4">
      <w:pPr>
        <w:pStyle w:val="a5"/>
        <w:rPr>
          <w:rFonts w:cs="Arial"/>
          <w:rtl/>
        </w:rPr>
      </w:pPr>
      <w:r>
        <w:rPr>
          <w:rStyle w:val="a7"/>
        </w:rPr>
        <w:footnoteRef/>
      </w:r>
      <w:r>
        <w:rPr>
          <w:rtl/>
        </w:rPr>
        <w:t xml:space="preserve"> </w:t>
      </w:r>
      <w:r>
        <w:rPr>
          <w:rFonts w:cs="Arial" w:hint="cs"/>
          <w:rtl/>
        </w:rPr>
        <w:t>וכ"כ ב</w:t>
      </w:r>
      <w:r w:rsidRPr="00730368">
        <w:rPr>
          <w:rFonts w:cs="Arial"/>
          <w:rtl/>
        </w:rPr>
        <w:t>הגשע</w:t>
      </w:r>
      <w:r w:rsidRPr="00730368">
        <w:rPr>
          <w:rFonts w:cs="Arial" w:hint="cs"/>
          <w:rtl/>
        </w:rPr>
        <w:t>"</w:t>
      </w:r>
      <w:r w:rsidRPr="00730368">
        <w:rPr>
          <w:rFonts w:cs="Arial"/>
          <w:rtl/>
        </w:rPr>
        <w:t>ד (סי' סא סק</w:t>
      </w:r>
      <w:r w:rsidRPr="00730368">
        <w:rPr>
          <w:rFonts w:cs="Arial" w:hint="cs"/>
          <w:rtl/>
        </w:rPr>
        <w:t>"</w:t>
      </w:r>
      <w:r w:rsidRPr="00730368">
        <w:rPr>
          <w:rFonts w:cs="Arial"/>
          <w:rtl/>
        </w:rPr>
        <w:t>ה) בשם מהרא"י</w:t>
      </w:r>
      <w:r>
        <w:rPr>
          <w:rFonts w:cs="Arial" w:hint="cs"/>
          <w:rtl/>
        </w:rPr>
        <w:t xml:space="preserve"> גבי תמכא, וז"ל</w:t>
      </w:r>
      <w:r w:rsidRPr="00730368">
        <w:rPr>
          <w:rFonts w:cs="Arial" w:hint="cs"/>
          <w:rtl/>
        </w:rPr>
        <w:t>-</w:t>
      </w:r>
      <w:r w:rsidRPr="00730368">
        <w:rPr>
          <w:rFonts w:cs="Arial"/>
          <w:rtl/>
        </w:rPr>
        <w:t xml:space="preserve"> העולם נהגו איסור בתמכא שקורין קרי"ן אם נחתך ראשו בסכין של גוי</w:t>
      </w:r>
      <w:r w:rsidRPr="00730368">
        <w:rPr>
          <w:rFonts w:cs="Arial" w:hint="cs"/>
          <w:rtl/>
        </w:rPr>
        <w:t>,</w:t>
      </w:r>
      <w:r w:rsidRPr="00730368">
        <w:rPr>
          <w:rFonts w:cs="Arial"/>
          <w:rtl/>
        </w:rPr>
        <w:t xml:space="preserve"> אמנם כמדומה פעמים ניכר בו שנעקר כך מן הארץ במרה וחצינא ואז נוהגין בו היתר</w:t>
      </w:r>
      <w:r w:rsidRPr="00730368">
        <w:rPr>
          <w:rFonts w:cs="Arial" w:hint="cs"/>
          <w:rtl/>
        </w:rPr>
        <w:t>,</w:t>
      </w:r>
      <w:r w:rsidRPr="00730368">
        <w:rPr>
          <w:rFonts w:cs="Arial"/>
          <w:rtl/>
        </w:rPr>
        <w:t xml:space="preserve"> ויראה שאם יש לתלות במרה וחצינא אע</w:t>
      </w:r>
      <w:r w:rsidRPr="00730368">
        <w:rPr>
          <w:rFonts w:cs="Arial" w:hint="cs"/>
          <w:rtl/>
        </w:rPr>
        <w:t>"</w:t>
      </w:r>
      <w:r w:rsidRPr="00730368">
        <w:rPr>
          <w:rFonts w:cs="Arial"/>
          <w:rtl/>
        </w:rPr>
        <w:t>פ שהוא ספק אין להחמיר</w:t>
      </w:r>
      <w:r>
        <w:rPr>
          <w:rFonts w:cs="Arial" w:hint="cs"/>
          <w:rtl/>
        </w:rPr>
        <w:t xml:space="preserve">, </w:t>
      </w:r>
      <w:r w:rsidRPr="00074ACF">
        <w:rPr>
          <w:rFonts w:cs="Arial"/>
          <w:rtl/>
        </w:rPr>
        <w:t>כי סברות והוכחות גדולות כ</w:t>
      </w:r>
      <w:r w:rsidRPr="00074ACF">
        <w:rPr>
          <w:rFonts w:cs="Arial" w:hint="cs"/>
          <w:rtl/>
        </w:rPr>
        <w:t>'</w:t>
      </w:r>
      <w:r w:rsidRPr="00074ACF">
        <w:rPr>
          <w:rFonts w:cs="Arial"/>
          <w:rtl/>
        </w:rPr>
        <w:t xml:space="preserve"> מהר"ם </w:t>
      </w:r>
      <w:r w:rsidRPr="008C3425">
        <w:rPr>
          <w:rFonts w:cs="Arial"/>
          <w:sz w:val="16"/>
          <w:szCs w:val="16"/>
          <w:rtl/>
        </w:rPr>
        <w:t xml:space="preserve">(תשובות ופסקים ח"ב סי' כב) </w:t>
      </w:r>
      <w:r w:rsidRPr="00074ACF">
        <w:rPr>
          <w:rFonts w:cs="Arial"/>
          <w:rtl/>
        </w:rPr>
        <w:t>דדוקא בקורט של חלתית אמרינן דחורפיה משוי ליה לשבח ולא בשום דבר אחר חריף כלל וכן רבינו יחיאל והרבה גדולים שוים להתיר</w:t>
      </w:r>
      <w:r>
        <w:rPr>
          <w:rFonts w:cs="Arial" w:hint="cs"/>
          <w:rtl/>
        </w:rPr>
        <w:t xml:space="preserve">. עכ"ל. וכ' הדרכ"מ </w:t>
      </w:r>
      <w:r w:rsidRPr="00B3433F">
        <w:rPr>
          <w:rFonts w:cs="Arial"/>
          <w:sz w:val="16"/>
          <w:szCs w:val="16"/>
          <w:rtl/>
        </w:rPr>
        <w:t>(</w:t>
      </w:r>
      <w:r w:rsidRPr="00B3433F">
        <w:rPr>
          <w:rFonts w:cs="Arial" w:hint="cs"/>
          <w:sz w:val="16"/>
          <w:szCs w:val="16"/>
          <w:rtl/>
        </w:rPr>
        <w:t xml:space="preserve">אות </w:t>
      </w:r>
      <w:r w:rsidRPr="00B3433F">
        <w:rPr>
          <w:rFonts w:cs="Arial"/>
          <w:sz w:val="16"/>
          <w:szCs w:val="16"/>
          <w:rtl/>
        </w:rPr>
        <w:t>ד)</w:t>
      </w:r>
      <w:r w:rsidRPr="00B3433F">
        <w:rPr>
          <w:rFonts w:cs="Arial" w:hint="cs"/>
          <w:sz w:val="16"/>
          <w:szCs w:val="16"/>
          <w:rtl/>
        </w:rPr>
        <w:t>-</w:t>
      </w:r>
      <w:r>
        <w:rPr>
          <w:rFonts w:cs="Arial" w:hint="cs"/>
          <w:rtl/>
        </w:rPr>
        <w:t xml:space="preserve"> </w:t>
      </w:r>
      <w:r>
        <w:rPr>
          <w:rFonts w:cs="Arial"/>
          <w:rtl/>
        </w:rPr>
        <w:t>ולפי מ"ש ריש הסימן אין לאסור רק כדי נטילה אפילו נחתך בודאי בסכין של גוים</w:t>
      </w:r>
      <w:r>
        <w:rPr>
          <w:rFonts w:cs="Arial" w:hint="cs"/>
          <w:rtl/>
        </w:rPr>
        <w:t>,</w:t>
      </w:r>
      <w:r>
        <w:rPr>
          <w:rFonts w:cs="Arial"/>
          <w:rtl/>
        </w:rPr>
        <w:t xml:space="preserve"> ולכן המנהג פשוט לקנות קרי"ן א</w:t>
      </w:r>
      <w:r>
        <w:rPr>
          <w:rFonts w:cs="Arial" w:hint="cs"/>
          <w:rtl/>
        </w:rPr>
        <w:t>ע"פ</w:t>
      </w:r>
      <w:r>
        <w:rPr>
          <w:rFonts w:cs="Arial"/>
          <w:rtl/>
        </w:rPr>
        <w:t xml:space="preserve"> שבודאי נחתך ראשו בסכין של גוים ואוסרין כדי נטילה בראשו שמסירין משם קודם שמתקנין אותו</w:t>
      </w:r>
      <w:r>
        <w:rPr>
          <w:rFonts w:cs="Arial" w:hint="cs"/>
          <w:rtl/>
        </w:rPr>
        <w:t>,</w:t>
      </w:r>
      <w:r>
        <w:rPr>
          <w:rFonts w:cs="Arial"/>
          <w:rtl/>
        </w:rPr>
        <w:t xml:space="preserve"> אבל בצנון אוסרין כולו כמו שכתבתי </w:t>
      </w:r>
      <w:r w:rsidRPr="00B3433F">
        <w:rPr>
          <w:rFonts w:cs="Arial"/>
          <w:sz w:val="16"/>
          <w:szCs w:val="16"/>
          <w:rtl/>
        </w:rPr>
        <w:t>(אות א)</w:t>
      </w:r>
      <w:r>
        <w:rPr>
          <w:rFonts w:cs="Arial" w:hint="cs"/>
          <w:rtl/>
        </w:rPr>
        <w:t>,</w:t>
      </w:r>
      <w:r>
        <w:rPr>
          <w:rFonts w:cs="Arial"/>
          <w:rtl/>
        </w:rPr>
        <w:t xml:space="preserve"> ונ"ל טעם המנהג א</w:t>
      </w:r>
      <w:r>
        <w:rPr>
          <w:rFonts w:cs="Arial" w:hint="cs"/>
          <w:rtl/>
        </w:rPr>
        <w:t>ע"פ</w:t>
      </w:r>
      <w:r>
        <w:rPr>
          <w:rFonts w:cs="Arial"/>
          <w:rtl/>
        </w:rPr>
        <w:t xml:space="preserve"> שאין לחלק בין חריפות צנון לחריפות התמכא</w:t>
      </w:r>
      <w:r>
        <w:rPr>
          <w:rFonts w:cs="Arial" w:hint="cs"/>
          <w:rtl/>
        </w:rPr>
        <w:t>,</w:t>
      </w:r>
      <w:r>
        <w:rPr>
          <w:rFonts w:cs="Arial"/>
          <w:rtl/>
        </w:rPr>
        <w:t xml:space="preserve"> ואדרבא התמכא יותר חריף</w:t>
      </w:r>
      <w:r>
        <w:rPr>
          <w:rFonts w:cs="Arial" w:hint="cs"/>
          <w:rtl/>
        </w:rPr>
        <w:t>,</w:t>
      </w:r>
      <w:r>
        <w:rPr>
          <w:rFonts w:cs="Arial"/>
          <w:rtl/>
        </w:rPr>
        <w:t xml:space="preserve"> מ</w:t>
      </w:r>
      <w:r>
        <w:rPr>
          <w:rFonts w:cs="Arial" w:hint="cs"/>
          <w:rtl/>
        </w:rPr>
        <w:t>"מ</w:t>
      </w:r>
      <w:r>
        <w:rPr>
          <w:rFonts w:cs="Arial"/>
          <w:rtl/>
        </w:rPr>
        <w:t xml:space="preserve"> בצנון שאפשר להחמיר כי אין דרך למכור אותן חתוכין ואפשר להחמיר החמירו</w:t>
      </w:r>
      <w:r>
        <w:rPr>
          <w:rFonts w:cs="Arial" w:hint="cs"/>
          <w:rtl/>
        </w:rPr>
        <w:t>,</w:t>
      </w:r>
      <w:r>
        <w:rPr>
          <w:rFonts w:cs="Arial"/>
          <w:rtl/>
        </w:rPr>
        <w:t xml:space="preserve"> אבל בתמכא שקורין קרי"ן שרובן חתוך לא חששו להחמיר ואוקמוהו אדינא</w:t>
      </w:r>
      <w:r>
        <w:rPr>
          <w:rFonts w:cs="Arial" w:hint="cs"/>
          <w:rtl/>
        </w:rPr>
        <w:t xml:space="preserve">. </w:t>
      </w:r>
      <w:r w:rsidRPr="00D042BF">
        <w:rPr>
          <w:rFonts w:cs="Arial" w:hint="cs"/>
          <w:color w:val="00B0F0"/>
          <w:rtl/>
        </w:rPr>
        <w:t>(וכ"פ בהג"ה)</w:t>
      </w:r>
    </w:p>
  </w:footnote>
  <w:footnote w:id="1682">
    <w:p w14:paraId="75889FD7" w14:textId="77777777" w:rsidR="004C5A3C" w:rsidRDefault="004C5A3C" w:rsidP="002C39F4">
      <w:pPr>
        <w:pStyle w:val="a5"/>
        <w:rPr>
          <w:rtl/>
        </w:rPr>
      </w:pPr>
      <w:r>
        <w:rPr>
          <w:rStyle w:val="a7"/>
        </w:rPr>
        <w:footnoteRef/>
      </w:r>
      <w:r>
        <w:rPr>
          <w:rtl/>
        </w:rPr>
        <w:t xml:space="preserve"> </w:t>
      </w:r>
      <w:r>
        <w:rPr>
          <w:rFonts w:cs="Arial"/>
          <w:rtl/>
        </w:rPr>
        <w:t>משמע מדבריו דאם נחתך הצנון או הבצלים עצמן שנאסר כולו ואפשר דהוא לטעמיה אזיל דפסק (כלל לח דין ב) בצנון שחתכו בסכין של בשר שכולו אסור לאכלו בכותח ולכן גם כאן כולו אסור אבל לדברי ב</w:t>
      </w:r>
      <w:r>
        <w:rPr>
          <w:rFonts w:cs="Arial" w:hint="cs"/>
          <w:rtl/>
        </w:rPr>
        <w:t>"</w:t>
      </w:r>
      <w:r>
        <w:rPr>
          <w:rFonts w:cs="Arial"/>
          <w:rtl/>
        </w:rPr>
        <w:t>י שכתב לעיל דסומכים להתיר בנטילת מקום גם כאן די בנטילת מקום</w:t>
      </w:r>
      <w:r>
        <w:rPr>
          <w:rFonts w:cs="Arial" w:hint="cs"/>
          <w:rtl/>
        </w:rPr>
        <w:t>,</w:t>
      </w:r>
      <w:r>
        <w:rPr>
          <w:rFonts w:cs="Arial"/>
          <w:rtl/>
        </w:rPr>
        <w:t xml:space="preserve"> אמנם המנהג שראיתי הוא לאסור כולו</w:t>
      </w:r>
      <w:r>
        <w:rPr>
          <w:rFonts w:cs="Arial" w:hint="cs"/>
          <w:rtl/>
        </w:rPr>
        <w:t>, דרכ"מ (אות ג).</w:t>
      </w:r>
    </w:p>
  </w:footnote>
  <w:footnote w:id="1683">
    <w:p w14:paraId="15690281" w14:textId="77777777" w:rsidR="004C5A3C" w:rsidRDefault="004C5A3C" w:rsidP="002C39F4">
      <w:pPr>
        <w:pStyle w:val="a5"/>
        <w:rPr>
          <w:rtl/>
        </w:rPr>
      </w:pPr>
      <w:r>
        <w:rPr>
          <w:rStyle w:val="a7"/>
        </w:rPr>
        <w:footnoteRef/>
      </w:r>
      <w:r>
        <w:rPr>
          <w:rtl/>
        </w:rPr>
        <w:t xml:space="preserve"> </w:t>
      </w:r>
      <w:r>
        <w:rPr>
          <w:rFonts w:cs="Arial" w:hint="cs"/>
          <w:rtl/>
        </w:rPr>
        <w:t>ו</w:t>
      </w:r>
      <w:r w:rsidRPr="00594F04">
        <w:rPr>
          <w:rFonts w:cs="Arial"/>
          <w:rtl/>
        </w:rPr>
        <w:t>אפילו בלא שמנונית בעין</w:t>
      </w:r>
      <w:r>
        <w:rPr>
          <w:rFonts w:cs="Arial" w:hint="cs"/>
          <w:rtl/>
        </w:rPr>
        <w:t>, כך משמע מדברי סה"ת,</w:t>
      </w:r>
      <w:r w:rsidRPr="00074ACF">
        <w:rPr>
          <w:rFonts w:cs="Arial" w:hint="cs"/>
          <w:rtl/>
        </w:rPr>
        <w:t xml:space="preserve"> </w:t>
      </w:r>
      <w:r>
        <w:rPr>
          <w:rFonts w:cs="Arial" w:hint="cs"/>
          <w:rtl/>
        </w:rPr>
        <w:t>ר"פ</w:t>
      </w:r>
      <w:r w:rsidRPr="00594F04">
        <w:rPr>
          <w:rFonts w:cs="Arial"/>
          <w:rtl/>
        </w:rPr>
        <w:t xml:space="preserve"> (בהגהות</w:t>
      </w:r>
      <w:r>
        <w:rPr>
          <w:rFonts w:cs="Arial" w:hint="cs"/>
          <w:rtl/>
        </w:rPr>
        <w:t xml:space="preserve"> סמ"ק</w:t>
      </w:r>
      <w:r w:rsidRPr="00594F04">
        <w:rPr>
          <w:rFonts w:cs="Arial"/>
          <w:rtl/>
        </w:rPr>
        <w:t xml:space="preserve"> סי' רי"ג דיני ביטול אות ט)</w:t>
      </w:r>
      <w:r>
        <w:rPr>
          <w:rFonts w:hint="cs"/>
          <w:rtl/>
        </w:rPr>
        <w:t>.</w:t>
      </w:r>
    </w:p>
  </w:footnote>
  <w:footnote w:id="1684">
    <w:p w14:paraId="7891CB07" w14:textId="77777777" w:rsidR="004C5A3C" w:rsidRDefault="004C5A3C" w:rsidP="002C39F4">
      <w:pPr>
        <w:pStyle w:val="a5"/>
        <w:rPr>
          <w:rtl/>
        </w:rPr>
      </w:pPr>
      <w:r>
        <w:rPr>
          <w:rStyle w:val="a7"/>
        </w:rPr>
        <w:footnoteRef/>
      </w:r>
      <w:r>
        <w:rPr>
          <w:rtl/>
        </w:rPr>
        <w:t xml:space="preserve"> </w:t>
      </w:r>
      <w:r>
        <w:rPr>
          <w:rFonts w:cs="Arial"/>
          <w:rtl/>
        </w:rPr>
        <w:t>והוא מדברי התוס' שכתבו פ</w:t>
      </w:r>
      <w:r w:rsidRPr="00E243C5">
        <w:rPr>
          <w:rFonts w:cs="Arial"/>
          <w:rtl/>
        </w:rPr>
        <w:t>כ"ה (קיב. ד"ה אגב) צ"ע אם הסכין מקונח ואין בן יומו אי חורפא דידהו מחליא לשבח כדאמרינן גבי חלתית פרק אין מעמידין</w:t>
      </w:r>
      <w:r>
        <w:rPr>
          <w:rFonts w:hint="cs"/>
          <w:rtl/>
        </w:rPr>
        <w:t>, ב"י.</w:t>
      </w:r>
    </w:p>
  </w:footnote>
  <w:footnote w:id="1685">
    <w:p w14:paraId="0C26C647" w14:textId="77777777" w:rsidR="004C5A3C" w:rsidRDefault="004C5A3C" w:rsidP="002C39F4">
      <w:pPr>
        <w:pStyle w:val="a5"/>
        <w:rPr>
          <w:rtl/>
        </w:rPr>
      </w:pPr>
      <w:r>
        <w:rPr>
          <w:rStyle w:val="a7"/>
        </w:rPr>
        <w:footnoteRef/>
      </w:r>
      <w:r w:rsidRPr="00594F04">
        <w:rPr>
          <w:rFonts w:cs="Arial"/>
          <w:rtl/>
        </w:rPr>
        <w:t xml:space="preserve"> שהרי לא הוציא סכין שחתך </w:t>
      </w:r>
      <w:r>
        <w:rPr>
          <w:rFonts w:cs="Arial"/>
          <w:rtl/>
        </w:rPr>
        <w:t>בו צנון משאר כלים שאינן ב</w:t>
      </w:r>
      <w:r>
        <w:rPr>
          <w:rFonts w:cs="Arial" w:hint="cs"/>
          <w:rtl/>
        </w:rPr>
        <w:t xml:space="preserve">ני </w:t>
      </w:r>
      <w:r>
        <w:rPr>
          <w:rFonts w:cs="Arial"/>
          <w:rtl/>
        </w:rPr>
        <w:t>י</w:t>
      </w:r>
      <w:r>
        <w:rPr>
          <w:rFonts w:cs="Arial" w:hint="cs"/>
          <w:rtl/>
        </w:rPr>
        <w:t>ומן, ב"י.</w:t>
      </w:r>
      <w:r>
        <w:rPr>
          <w:rFonts w:hint="cs"/>
          <w:rtl/>
        </w:rPr>
        <w:t xml:space="preserve"> ונ"ל שכן דעת הסמ"ג (עשין סי' כז ד"ה הפלפל).</w:t>
      </w:r>
    </w:p>
  </w:footnote>
  <w:footnote w:id="1686">
    <w:p w14:paraId="469159A6" w14:textId="77777777" w:rsidR="004C5A3C" w:rsidRDefault="004C5A3C" w:rsidP="002C39F4">
      <w:pPr>
        <w:pStyle w:val="a5"/>
        <w:rPr>
          <w:rtl/>
        </w:rPr>
      </w:pPr>
      <w:r>
        <w:rPr>
          <w:rStyle w:val="a7"/>
        </w:rPr>
        <w:footnoteRef/>
      </w:r>
      <w:r>
        <w:rPr>
          <w:rtl/>
        </w:rPr>
        <w:t xml:space="preserve"> </w:t>
      </w:r>
      <w:r>
        <w:rPr>
          <w:rFonts w:cs="Arial"/>
          <w:rtl/>
        </w:rPr>
        <w:t>ה</w:t>
      </w:r>
      <w:r>
        <w:rPr>
          <w:rFonts w:cs="Arial" w:hint="cs"/>
          <w:rtl/>
        </w:rPr>
        <w:t xml:space="preserve">וא </w:t>
      </w:r>
      <w:r>
        <w:rPr>
          <w:rFonts w:cs="Arial"/>
          <w:rtl/>
        </w:rPr>
        <w:t>תרדין</w:t>
      </w:r>
      <w:r>
        <w:rPr>
          <w:rFonts w:cs="Arial" w:hint="cs"/>
          <w:rtl/>
        </w:rPr>
        <w:t xml:space="preserve">, ש"ך </w:t>
      </w:r>
      <w:r>
        <w:rPr>
          <w:rFonts w:cs="Arial" w:hint="cs"/>
          <w:sz w:val="16"/>
          <w:szCs w:val="16"/>
          <w:rtl/>
        </w:rPr>
        <w:t>(סק"א)</w:t>
      </w:r>
      <w:r>
        <w:rPr>
          <w:rFonts w:cs="Arial" w:hint="cs"/>
          <w:rtl/>
        </w:rPr>
        <w:t xml:space="preserve">. </w:t>
      </w:r>
    </w:p>
  </w:footnote>
  <w:footnote w:id="1687">
    <w:p w14:paraId="51291690" w14:textId="77777777" w:rsidR="004C5A3C" w:rsidRDefault="004C5A3C" w:rsidP="002C39F4">
      <w:pPr>
        <w:pStyle w:val="a5"/>
      </w:pPr>
      <w:r>
        <w:rPr>
          <w:rStyle w:val="a7"/>
        </w:rPr>
        <w:footnoteRef/>
      </w:r>
      <w:r>
        <w:rPr>
          <w:rtl/>
        </w:rPr>
        <w:t xml:space="preserve"> </w:t>
      </w:r>
      <w:r w:rsidRPr="002D5AD9">
        <w:rPr>
          <w:rFonts w:cs="Arial"/>
          <w:rtl/>
        </w:rPr>
        <w:t>אע</w:t>
      </w:r>
      <w:r>
        <w:rPr>
          <w:rFonts w:cs="Arial" w:hint="cs"/>
          <w:rtl/>
        </w:rPr>
        <w:t>"</w:t>
      </w:r>
      <w:r w:rsidRPr="002D5AD9">
        <w:rPr>
          <w:rFonts w:cs="Arial"/>
          <w:rtl/>
        </w:rPr>
        <w:t>פ שהוא מקונח ונקי בודאי</w:t>
      </w:r>
      <w:r>
        <w:rPr>
          <w:rFonts w:cs="Arial" w:hint="cs"/>
          <w:rtl/>
        </w:rPr>
        <w:t>,</w:t>
      </w:r>
      <w:r w:rsidRPr="002D5AD9">
        <w:rPr>
          <w:rFonts w:cs="Arial"/>
          <w:rtl/>
        </w:rPr>
        <w:t xml:space="preserve"> דאגב חורפיה דצנון וסילקא ודוחקא דסכינא פלט סכין גוף הטעם שבו והוי כמו איסור בעין הלכך ל"ד לשאר נ"ט בר נ"ט דלעיל סי' צה דמותר</w:t>
      </w:r>
      <w:r>
        <w:rPr>
          <w:rFonts w:cs="Arial" w:hint="cs"/>
          <w:rtl/>
        </w:rPr>
        <w:t xml:space="preserve">, ש"ך </w:t>
      </w:r>
      <w:r w:rsidRPr="00AC65E8">
        <w:rPr>
          <w:rFonts w:cs="Arial" w:hint="cs"/>
          <w:sz w:val="16"/>
          <w:szCs w:val="16"/>
          <w:rtl/>
        </w:rPr>
        <w:t>(סק"</w:t>
      </w:r>
      <w:r>
        <w:rPr>
          <w:rFonts w:cs="Arial" w:hint="cs"/>
          <w:sz w:val="16"/>
          <w:szCs w:val="16"/>
          <w:rtl/>
        </w:rPr>
        <w:t>ב)</w:t>
      </w:r>
      <w:r>
        <w:rPr>
          <w:rFonts w:hint="cs"/>
          <w:rtl/>
        </w:rPr>
        <w:t>.</w:t>
      </w:r>
    </w:p>
  </w:footnote>
  <w:footnote w:id="1688">
    <w:p w14:paraId="30536350" w14:textId="77777777" w:rsidR="004C5A3C" w:rsidRDefault="004C5A3C" w:rsidP="002C39F4">
      <w:pPr>
        <w:pStyle w:val="a5"/>
        <w:rPr>
          <w:rtl/>
        </w:rPr>
      </w:pPr>
      <w:r>
        <w:rPr>
          <w:rStyle w:val="a7"/>
        </w:rPr>
        <w:footnoteRef/>
      </w:r>
      <w:r>
        <w:rPr>
          <w:rtl/>
        </w:rPr>
        <w:t xml:space="preserve"> </w:t>
      </w:r>
      <w:r w:rsidRPr="002D5AD9">
        <w:rPr>
          <w:rFonts w:cs="Arial"/>
          <w:rtl/>
        </w:rPr>
        <w:t>ואינו מקונח</w:t>
      </w:r>
      <w:r>
        <w:rPr>
          <w:rFonts w:cs="Arial" w:hint="cs"/>
          <w:rtl/>
        </w:rPr>
        <w:t>,</w:t>
      </w:r>
      <w:r w:rsidRPr="002D5AD9">
        <w:rPr>
          <w:rFonts w:cs="Arial"/>
          <w:rtl/>
        </w:rPr>
        <w:t xml:space="preserve"> דסתמא השמנונית קרוש על פניו</w:t>
      </w:r>
      <w:r>
        <w:rPr>
          <w:rFonts w:cs="Arial" w:hint="cs"/>
          <w:rtl/>
        </w:rPr>
        <w:t xml:space="preserve">, ש"ך </w:t>
      </w:r>
      <w:r w:rsidRPr="00AC65E8">
        <w:rPr>
          <w:rFonts w:cs="Arial" w:hint="cs"/>
          <w:sz w:val="16"/>
          <w:szCs w:val="16"/>
          <w:rtl/>
        </w:rPr>
        <w:t>(סק"</w:t>
      </w:r>
      <w:r>
        <w:rPr>
          <w:rFonts w:cs="Arial" w:hint="cs"/>
          <w:sz w:val="16"/>
          <w:szCs w:val="16"/>
          <w:rtl/>
        </w:rPr>
        <w:t>ג)</w:t>
      </w:r>
      <w:r>
        <w:rPr>
          <w:rFonts w:hint="cs"/>
          <w:rtl/>
        </w:rPr>
        <w:t>.</w:t>
      </w:r>
      <w:r w:rsidRPr="002D5AD9">
        <w:rPr>
          <w:rFonts w:cs="Arial" w:hint="cs"/>
          <w:rtl/>
        </w:rPr>
        <w:t xml:space="preserve"> </w:t>
      </w:r>
      <w:r>
        <w:rPr>
          <w:rFonts w:cs="Arial" w:hint="cs"/>
          <w:rtl/>
        </w:rPr>
        <w:t xml:space="preserve">וכ' הט"ז </w:t>
      </w:r>
      <w:r w:rsidRPr="00542B3D">
        <w:rPr>
          <w:rFonts w:cs="Arial" w:hint="cs"/>
          <w:sz w:val="16"/>
          <w:szCs w:val="16"/>
          <w:rtl/>
        </w:rPr>
        <w:t>(סק"א)</w:t>
      </w:r>
      <w:r>
        <w:rPr>
          <w:rFonts w:cs="Arial" w:hint="cs"/>
          <w:rtl/>
        </w:rPr>
        <w:t xml:space="preserve"> ד</w:t>
      </w:r>
      <w:r w:rsidRPr="00542B3D">
        <w:rPr>
          <w:rFonts w:cs="Arial"/>
          <w:rtl/>
        </w:rPr>
        <w:t>זהו כסברת מהר"ם בטור</w:t>
      </w:r>
      <w:r>
        <w:rPr>
          <w:rFonts w:cs="Arial" w:hint="cs"/>
          <w:rtl/>
        </w:rPr>
        <w:t>,</w:t>
      </w:r>
      <w:r w:rsidRPr="00542B3D">
        <w:rPr>
          <w:rFonts w:cs="Arial"/>
          <w:rtl/>
        </w:rPr>
        <w:t xml:space="preserve"> דלא מקרי דבר חריף אלא קורט של חלתית </w:t>
      </w:r>
      <w:r w:rsidRPr="002D5AD9">
        <w:rPr>
          <w:rFonts w:cs="Arial" w:hint="cs"/>
          <w:sz w:val="16"/>
          <w:szCs w:val="16"/>
          <w:rtl/>
        </w:rPr>
        <w:t>(</w:t>
      </w:r>
      <w:r w:rsidRPr="002D5AD9">
        <w:rPr>
          <w:rFonts w:cs="Arial"/>
          <w:sz w:val="16"/>
          <w:szCs w:val="16"/>
          <w:rtl/>
        </w:rPr>
        <w:t>דמנקב בני מעיה של בהמה כשאוכל אותה</w:t>
      </w:r>
      <w:r>
        <w:rPr>
          <w:rFonts w:cs="Arial" w:hint="cs"/>
          <w:sz w:val="16"/>
          <w:szCs w:val="16"/>
          <w:rtl/>
        </w:rPr>
        <w:t>)</w:t>
      </w:r>
      <w:r>
        <w:rPr>
          <w:rFonts w:cs="Arial" w:hint="cs"/>
          <w:rtl/>
        </w:rPr>
        <w:t>,</w:t>
      </w:r>
      <w:r w:rsidRPr="00542B3D">
        <w:rPr>
          <w:rFonts w:cs="Arial"/>
          <w:rtl/>
        </w:rPr>
        <w:t xml:space="preserve"> וע"כ נותן טעם לשבח אפי' אינו בן יומו</w:t>
      </w:r>
      <w:r>
        <w:rPr>
          <w:rFonts w:cs="Arial" w:hint="cs"/>
          <w:rtl/>
        </w:rPr>
        <w:t>,</w:t>
      </w:r>
      <w:r w:rsidRPr="00542B3D">
        <w:rPr>
          <w:rFonts w:cs="Arial"/>
          <w:rtl/>
        </w:rPr>
        <w:t xml:space="preserve"> אבל שאר דברים חריפים אין דינם כן</w:t>
      </w:r>
      <w:r>
        <w:rPr>
          <w:rFonts w:cs="Arial" w:hint="cs"/>
          <w:rtl/>
        </w:rPr>
        <w:t>,</w:t>
      </w:r>
      <w:r w:rsidRPr="00542B3D">
        <w:rPr>
          <w:rFonts w:cs="Arial"/>
          <w:rtl/>
        </w:rPr>
        <w:t xml:space="preserve"> ע"כ כתב כאן שאינו אוסר אלא בן יומו או שהוא אינו מקונח ואז אוסר מפני השמנונית שעליו ע"כ צריך נטילת מקום</w:t>
      </w:r>
      <w:r>
        <w:rPr>
          <w:rFonts w:cs="Arial"/>
          <w:rtl/>
        </w:rPr>
        <w:t xml:space="preserve"> </w:t>
      </w:r>
      <w:r w:rsidRPr="002D5AD9">
        <w:rPr>
          <w:rFonts w:cs="Arial" w:hint="cs"/>
          <w:sz w:val="16"/>
          <w:szCs w:val="16"/>
          <w:rtl/>
        </w:rPr>
        <w:t>(</w:t>
      </w:r>
      <w:r w:rsidRPr="002D5AD9">
        <w:rPr>
          <w:rFonts w:cs="Arial"/>
          <w:sz w:val="16"/>
          <w:szCs w:val="16"/>
          <w:rtl/>
        </w:rPr>
        <w:t>ואין להקשו</w:t>
      </w:r>
      <w:r w:rsidRPr="002D5AD9">
        <w:rPr>
          <w:rFonts w:cs="Arial" w:hint="cs"/>
          <w:sz w:val="16"/>
          <w:szCs w:val="16"/>
          <w:rtl/>
        </w:rPr>
        <w:t>ת</w:t>
      </w:r>
      <w:r w:rsidRPr="002D5AD9">
        <w:rPr>
          <w:rFonts w:cs="Arial"/>
          <w:sz w:val="16"/>
          <w:szCs w:val="16"/>
          <w:rtl/>
        </w:rPr>
        <w:t xml:space="preserve"> ממ"ש בסוף סי' צ"ד סע</w:t>
      </w:r>
      <w:r w:rsidRPr="002D5AD9">
        <w:rPr>
          <w:rFonts w:cs="Arial" w:hint="cs"/>
          <w:sz w:val="16"/>
          <w:szCs w:val="16"/>
          <w:rtl/>
        </w:rPr>
        <w:t>'</w:t>
      </w:r>
      <w:r w:rsidRPr="002D5AD9">
        <w:rPr>
          <w:rFonts w:cs="Arial"/>
          <w:sz w:val="16"/>
          <w:szCs w:val="16"/>
          <w:rtl/>
        </w:rPr>
        <w:t xml:space="preserve"> ז' בבשר רותח שחתך בסכין חולבת דדי בקליפה משום שומן שעל הסכין כשאינו בן יומא דהתם גם הקליפה אינו הכרח כ"כ דהא יש ס' על כל פנים נגדו והוא רותח ומוליך הטעם בכולו משא"כ כאן דאין מתפשט כלל יותר מכדי נטילה</w:t>
      </w:r>
      <w:r w:rsidRPr="002D5AD9">
        <w:rPr>
          <w:rFonts w:cs="Arial" w:hint="cs"/>
          <w:sz w:val="16"/>
          <w:szCs w:val="16"/>
          <w:rtl/>
        </w:rPr>
        <w:t>,</w:t>
      </w:r>
      <w:r w:rsidRPr="002D5AD9">
        <w:rPr>
          <w:rFonts w:cs="Arial"/>
          <w:sz w:val="16"/>
          <w:szCs w:val="16"/>
          <w:rtl/>
        </w:rPr>
        <w:t xml:space="preserve"> ומו"ח ז"ל הקשה מבשר רותח דאמאי א"צ שם ס' כלל אלא קליפה ואני כבר כתבתי שם לפע"ד דצריך גם שם </w:t>
      </w:r>
      <w:r>
        <w:rPr>
          <w:rFonts w:cs="Arial" w:hint="cs"/>
          <w:sz w:val="16"/>
          <w:szCs w:val="16"/>
          <w:rtl/>
        </w:rPr>
        <w:t>ס'</w:t>
      </w:r>
      <w:r w:rsidRPr="002D5AD9">
        <w:rPr>
          <w:rFonts w:cs="Arial"/>
          <w:sz w:val="16"/>
          <w:szCs w:val="16"/>
          <w:rtl/>
        </w:rPr>
        <w:t xml:space="preserve"> והוא פשוט</w:t>
      </w:r>
      <w:r>
        <w:rPr>
          <w:rFonts w:cs="Arial" w:hint="cs"/>
          <w:sz w:val="16"/>
          <w:szCs w:val="16"/>
          <w:rtl/>
        </w:rPr>
        <w:t>)</w:t>
      </w:r>
      <w:r>
        <w:rPr>
          <w:rFonts w:hint="cs"/>
          <w:rtl/>
        </w:rPr>
        <w:t xml:space="preserve"> עכ"ל, ועי' בסי' צד </w:t>
      </w:r>
      <w:r w:rsidRPr="00542B3D">
        <w:rPr>
          <w:rFonts w:hint="cs"/>
          <w:sz w:val="16"/>
          <w:szCs w:val="16"/>
          <w:rtl/>
        </w:rPr>
        <w:t xml:space="preserve">(סקכ"א) </w:t>
      </w:r>
      <w:r>
        <w:rPr>
          <w:rFonts w:hint="cs"/>
          <w:rtl/>
        </w:rPr>
        <w:t>מה שכתבתי בשם הש"ך,</w:t>
      </w:r>
      <w:r w:rsidRPr="00542B3D">
        <w:rPr>
          <w:rFonts w:cs="Arial" w:hint="cs"/>
          <w:rtl/>
        </w:rPr>
        <w:t xml:space="preserve"> </w:t>
      </w:r>
      <w:r>
        <w:rPr>
          <w:rFonts w:cs="Arial" w:hint="cs"/>
          <w:rtl/>
        </w:rPr>
        <w:t>באה"ט</w:t>
      </w:r>
      <w:r w:rsidRPr="00AC65E8">
        <w:rPr>
          <w:rFonts w:cs="Arial" w:hint="cs"/>
          <w:sz w:val="16"/>
          <w:szCs w:val="16"/>
          <w:rtl/>
        </w:rPr>
        <w:t xml:space="preserve"> (סק"א</w:t>
      </w:r>
      <w:r>
        <w:rPr>
          <w:rFonts w:cs="Arial" w:hint="cs"/>
          <w:sz w:val="16"/>
          <w:szCs w:val="16"/>
          <w:rtl/>
        </w:rPr>
        <w:t>)</w:t>
      </w:r>
      <w:r>
        <w:rPr>
          <w:rFonts w:hint="cs"/>
          <w:rtl/>
        </w:rPr>
        <w:t>.</w:t>
      </w:r>
    </w:p>
  </w:footnote>
  <w:footnote w:id="1689">
    <w:p w14:paraId="0A15B51B" w14:textId="77777777" w:rsidR="004C5A3C" w:rsidRDefault="004C5A3C" w:rsidP="002C39F4">
      <w:pPr>
        <w:pStyle w:val="a5"/>
      </w:pPr>
      <w:r>
        <w:rPr>
          <w:rStyle w:val="a7"/>
        </w:rPr>
        <w:footnoteRef/>
      </w:r>
      <w:r>
        <w:rPr>
          <w:rtl/>
        </w:rPr>
        <w:t xml:space="preserve"> </w:t>
      </w:r>
      <w:r>
        <w:rPr>
          <w:rFonts w:cs="Arial" w:hint="cs"/>
          <w:rtl/>
        </w:rPr>
        <w:t>ו</w:t>
      </w:r>
      <w:r w:rsidRPr="001E6FDA">
        <w:rPr>
          <w:rFonts w:cs="Arial"/>
          <w:rtl/>
        </w:rPr>
        <w:t>בת"ח</w:t>
      </w:r>
      <w:r w:rsidRPr="001E6FDA">
        <w:rPr>
          <w:rFonts w:cs="Arial"/>
          <w:sz w:val="16"/>
          <w:szCs w:val="16"/>
          <w:rtl/>
        </w:rPr>
        <w:t xml:space="preserve"> </w:t>
      </w:r>
      <w:r w:rsidRPr="001E6FDA">
        <w:rPr>
          <w:rFonts w:cs="Arial" w:hint="cs"/>
          <w:sz w:val="16"/>
          <w:szCs w:val="16"/>
          <w:rtl/>
        </w:rPr>
        <w:t>(</w:t>
      </w:r>
      <w:r w:rsidRPr="001E6FDA">
        <w:rPr>
          <w:rFonts w:cs="Arial"/>
          <w:sz w:val="16"/>
          <w:szCs w:val="16"/>
          <w:rtl/>
        </w:rPr>
        <w:t>כלל סא</w:t>
      </w:r>
      <w:r w:rsidRPr="001E6FDA">
        <w:rPr>
          <w:rFonts w:cs="Arial" w:hint="cs"/>
          <w:sz w:val="16"/>
          <w:szCs w:val="16"/>
          <w:rtl/>
        </w:rPr>
        <w:t>)</w:t>
      </w:r>
      <w:r>
        <w:rPr>
          <w:rFonts w:cs="Arial" w:hint="cs"/>
          <w:rtl/>
        </w:rPr>
        <w:t xml:space="preserve"> כ'</w:t>
      </w:r>
      <w:r w:rsidRPr="001E6FDA">
        <w:rPr>
          <w:rFonts w:cs="Arial"/>
          <w:rtl/>
        </w:rPr>
        <w:t xml:space="preserve"> דאין אנו בקיאין עכשיו בטעימה זו</w:t>
      </w:r>
      <w:r>
        <w:rPr>
          <w:rFonts w:cs="Arial" w:hint="cs"/>
          <w:rtl/>
        </w:rPr>
        <w:t xml:space="preserve">, ט"ז </w:t>
      </w:r>
      <w:r w:rsidRPr="001E6FDA">
        <w:rPr>
          <w:rFonts w:cs="Arial" w:hint="cs"/>
          <w:sz w:val="16"/>
          <w:szCs w:val="16"/>
          <w:rtl/>
        </w:rPr>
        <w:t>(סק"ב)</w:t>
      </w:r>
      <w:r>
        <w:rPr>
          <w:rFonts w:cs="Arial" w:hint="cs"/>
          <w:rtl/>
        </w:rPr>
        <w:t xml:space="preserve">. והש"ך </w:t>
      </w:r>
      <w:r w:rsidRPr="001E6FDA">
        <w:rPr>
          <w:rFonts w:cs="Arial" w:hint="cs"/>
          <w:sz w:val="16"/>
          <w:szCs w:val="16"/>
          <w:rtl/>
        </w:rPr>
        <w:t xml:space="preserve">(סק"ה) </w:t>
      </w:r>
      <w:r>
        <w:rPr>
          <w:rFonts w:cs="Arial" w:hint="cs"/>
          <w:rtl/>
        </w:rPr>
        <w:t xml:space="preserve">כ' </w:t>
      </w:r>
      <w:r>
        <w:rPr>
          <w:rFonts w:cs="Arial"/>
          <w:rtl/>
        </w:rPr>
        <w:t>דלכתח</w:t>
      </w:r>
      <w:r>
        <w:rPr>
          <w:rFonts w:cs="Arial" w:hint="cs"/>
          <w:rtl/>
        </w:rPr>
        <w:t>לה</w:t>
      </w:r>
      <w:r w:rsidRPr="001E6FDA">
        <w:rPr>
          <w:rFonts w:cs="Arial"/>
          <w:rtl/>
        </w:rPr>
        <w:t xml:space="preserve"> אסור לאכל</w:t>
      </w:r>
      <w:r>
        <w:rPr>
          <w:rFonts w:cs="Arial"/>
          <w:rtl/>
        </w:rPr>
        <w:t>ו בכותח ע"י טעימה</w:t>
      </w:r>
      <w:r>
        <w:rPr>
          <w:rFonts w:cs="Arial" w:hint="cs"/>
          <w:rtl/>
        </w:rPr>
        <w:t xml:space="preserve">... </w:t>
      </w:r>
      <w:r w:rsidRPr="001E6FDA">
        <w:rPr>
          <w:rFonts w:cs="Arial"/>
          <w:rtl/>
        </w:rPr>
        <w:t>מיהו ודאי אי טעמו דלית ביה טעם וביש</w:t>
      </w:r>
      <w:r>
        <w:rPr>
          <w:rFonts w:cs="Arial"/>
          <w:rtl/>
        </w:rPr>
        <w:t>לו בדיע</w:t>
      </w:r>
      <w:r>
        <w:rPr>
          <w:rFonts w:cs="Arial" w:hint="cs"/>
          <w:rtl/>
        </w:rPr>
        <w:t>בד</w:t>
      </w:r>
      <w:r w:rsidRPr="001E6FDA">
        <w:rPr>
          <w:rFonts w:cs="Arial"/>
          <w:rtl/>
        </w:rPr>
        <w:t xml:space="preserve"> בחלב מ</w:t>
      </w:r>
      <w:r>
        <w:rPr>
          <w:rFonts w:cs="Arial"/>
          <w:rtl/>
        </w:rPr>
        <w:t>ותר</w:t>
      </w:r>
      <w:r>
        <w:rPr>
          <w:rFonts w:cs="Arial" w:hint="cs"/>
          <w:rtl/>
        </w:rPr>
        <w:t xml:space="preserve">. והפר"ח </w:t>
      </w:r>
      <w:r w:rsidRPr="001E6FDA">
        <w:rPr>
          <w:rFonts w:cs="Arial" w:hint="cs"/>
          <w:sz w:val="16"/>
          <w:szCs w:val="16"/>
          <w:rtl/>
        </w:rPr>
        <w:t xml:space="preserve">(סק"ד) </w:t>
      </w:r>
      <w:r>
        <w:rPr>
          <w:rFonts w:cs="Arial" w:hint="cs"/>
          <w:rtl/>
        </w:rPr>
        <w:t>השיג עליו וכ' שמותר לכתחלה.</w:t>
      </w:r>
    </w:p>
  </w:footnote>
  <w:footnote w:id="1690">
    <w:p w14:paraId="7DD17365" w14:textId="77777777" w:rsidR="004C5A3C" w:rsidRDefault="004C5A3C" w:rsidP="002C39F4">
      <w:pPr>
        <w:pStyle w:val="a5"/>
        <w:rPr>
          <w:rtl/>
        </w:rPr>
      </w:pPr>
      <w:r>
        <w:rPr>
          <w:rStyle w:val="a7"/>
        </w:rPr>
        <w:footnoteRef/>
      </w:r>
      <w:r>
        <w:rPr>
          <w:rtl/>
        </w:rPr>
        <w:t xml:space="preserve"> </w:t>
      </w:r>
      <w:r>
        <w:rPr>
          <w:rFonts w:cs="Arial"/>
          <w:rtl/>
        </w:rPr>
        <w:t>זהו דעת סה</w:t>
      </w:r>
      <w:r>
        <w:rPr>
          <w:rFonts w:cs="Arial" w:hint="cs"/>
          <w:rtl/>
        </w:rPr>
        <w:t>"</w:t>
      </w:r>
      <w:r>
        <w:rPr>
          <w:rFonts w:cs="Arial"/>
          <w:rtl/>
        </w:rPr>
        <w:t>ת</w:t>
      </w:r>
      <w:r w:rsidRPr="00955326">
        <w:rPr>
          <w:rFonts w:cs="Arial"/>
          <w:rtl/>
        </w:rPr>
        <w:t xml:space="preserve"> בטור דצנון וכל דבר חריף דמי לקורט של חלתית ואוסר אפילו אינו בן יומו ואינו דומה לדגים שעלו בקערה דמותר מכח נ"ט בר נ"ט דשאני הכא בסכין שפעמים שהשמנונית נקרש עליו ואינו </w:t>
      </w:r>
      <w:r>
        <w:rPr>
          <w:rFonts w:cs="Arial"/>
          <w:rtl/>
        </w:rPr>
        <w:t>ניכר והוה נ"ט</w:t>
      </w:r>
      <w:r>
        <w:rPr>
          <w:rFonts w:cs="Arial" w:hint="cs"/>
          <w:rtl/>
        </w:rPr>
        <w:t xml:space="preserve"> </w:t>
      </w:r>
      <w:r>
        <w:rPr>
          <w:rFonts w:cs="Arial"/>
          <w:rtl/>
        </w:rPr>
        <w:t>הבא</w:t>
      </w:r>
      <w:r>
        <w:rPr>
          <w:rFonts w:cs="Arial" w:hint="cs"/>
          <w:rtl/>
        </w:rPr>
        <w:t xml:space="preserve"> </w:t>
      </w:r>
      <w:r w:rsidRPr="00955326">
        <w:rPr>
          <w:rFonts w:cs="Arial"/>
          <w:rtl/>
        </w:rPr>
        <w:t>מן הממש</w:t>
      </w:r>
      <w:r>
        <w:rPr>
          <w:rFonts w:cs="Arial" w:hint="cs"/>
          <w:rtl/>
        </w:rPr>
        <w:t>,</w:t>
      </w:r>
      <w:r w:rsidRPr="00955326">
        <w:rPr>
          <w:rFonts w:cs="Arial"/>
          <w:rtl/>
        </w:rPr>
        <w:t xml:space="preserve"> ועוד משום חורפיה דצנון ואגב דוחקיה דסכינא פלט טפי מדגים הרותחין</w:t>
      </w:r>
      <w:r>
        <w:rPr>
          <w:rFonts w:cs="Arial" w:hint="cs"/>
          <w:rtl/>
        </w:rPr>
        <w:t>,</w:t>
      </w:r>
      <w:r>
        <w:rPr>
          <w:rFonts w:cs="Arial"/>
          <w:rtl/>
        </w:rPr>
        <w:t xml:space="preserve"> כ</w:t>
      </w:r>
      <w:r>
        <w:rPr>
          <w:rFonts w:cs="Arial" w:hint="cs"/>
          <w:rtl/>
        </w:rPr>
        <w:t xml:space="preserve">ן </w:t>
      </w:r>
      <w:r w:rsidRPr="00955326">
        <w:rPr>
          <w:rFonts w:cs="Arial"/>
          <w:rtl/>
        </w:rPr>
        <w:t>פ</w:t>
      </w:r>
      <w:r>
        <w:rPr>
          <w:rFonts w:cs="Arial" w:hint="cs"/>
          <w:rtl/>
        </w:rPr>
        <w:t>י'</w:t>
      </w:r>
      <w:r w:rsidRPr="00955326">
        <w:rPr>
          <w:rFonts w:cs="Arial"/>
          <w:rtl/>
        </w:rPr>
        <w:t xml:space="preserve"> רש"י</w:t>
      </w:r>
      <w:r>
        <w:rPr>
          <w:rFonts w:cs="Arial" w:hint="cs"/>
          <w:rtl/>
        </w:rPr>
        <w:t>,</w:t>
      </w:r>
      <w:r w:rsidRPr="00955326">
        <w:rPr>
          <w:rFonts w:cs="Arial"/>
          <w:rtl/>
        </w:rPr>
        <w:t xml:space="preserve"> מזה נ"ל בתמכא שקורין קריי"ן שנמלל תוך קערה חולבת נקייה שמותר לאכול אותו הקריי"ן עם בשר כי אין כאן דוחקא דסכינא ולא שמנונית</w:t>
      </w:r>
      <w:r>
        <w:rPr>
          <w:rFonts w:cs="Arial" w:hint="cs"/>
          <w:rtl/>
        </w:rPr>
        <w:t xml:space="preserve">, ט"ז (סק"ג). וכ' הש"ך (סק"ו)- </w:t>
      </w:r>
      <w:r w:rsidRPr="00F916E6">
        <w:rPr>
          <w:rFonts w:cs="Arial"/>
          <w:rtl/>
        </w:rPr>
        <w:t>הטעם</w:t>
      </w:r>
      <w:r>
        <w:rPr>
          <w:rFonts w:cs="Arial" w:hint="cs"/>
          <w:rtl/>
        </w:rPr>
        <w:t>,</w:t>
      </w:r>
      <w:r w:rsidRPr="00F916E6">
        <w:rPr>
          <w:rFonts w:cs="Arial"/>
          <w:rtl/>
        </w:rPr>
        <w:t xml:space="preserve"> דחורפיה דצנון מחליא</w:t>
      </w:r>
      <w:r>
        <w:rPr>
          <w:rFonts w:cs="Arial" w:hint="cs"/>
          <w:sz w:val="16"/>
          <w:szCs w:val="16"/>
          <w:rtl/>
        </w:rPr>
        <w:t xml:space="preserve"> {ממתקת}</w:t>
      </w:r>
      <w:r w:rsidRPr="00F916E6">
        <w:rPr>
          <w:rFonts w:cs="Arial"/>
          <w:rtl/>
        </w:rPr>
        <w:t xml:space="preserve"> ליה ומשוי ליה לשבח כמו קורט של חלתית לקמן סימן קי"ד ס"י</w:t>
      </w:r>
      <w:r>
        <w:rPr>
          <w:rFonts w:cs="Arial" w:hint="cs"/>
          <w:rtl/>
        </w:rPr>
        <w:t>,</w:t>
      </w:r>
      <w:r w:rsidRPr="00F916E6">
        <w:rPr>
          <w:rFonts w:cs="Arial"/>
          <w:rtl/>
        </w:rPr>
        <w:t xml:space="preserve"> וכן דעת כל האחרונים וכן נוהגין</w:t>
      </w:r>
      <w:r>
        <w:rPr>
          <w:rFonts w:cs="Arial" w:hint="cs"/>
          <w:rtl/>
        </w:rPr>
        <w:t>,</w:t>
      </w:r>
      <w:r w:rsidRPr="00F916E6">
        <w:rPr>
          <w:rFonts w:cs="Arial"/>
          <w:rtl/>
        </w:rPr>
        <w:t xml:space="preserve"> ומשמע דאין חילוק בין בן יומו לאינו בן יומו ונהגינן להחמיר בכל מילי כמו בן יומו ודלא כמ"ש בס' אפי רברבי דף ס"ב ע"ב דבאינו בן יומו יש להקל בכדי נטילה</w:t>
      </w:r>
      <w:r>
        <w:rPr>
          <w:rFonts w:cs="Arial" w:hint="cs"/>
          <w:rtl/>
        </w:rPr>
        <w:t>,</w:t>
      </w:r>
      <w:r w:rsidRPr="00F916E6">
        <w:rPr>
          <w:rFonts w:cs="Arial"/>
          <w:rtl/>
        </w:rPr>
        <w:t xml:space="preserve"> מיהו ודאי בשאר דברים שאינם חריפים דין סכין כשאר כלים שאם אינו בן יומו והוא נקי מותר כדמשמע מכל הפוסקים ראשונים ואחרונים</w:t>
      </w:r>
      <w:r>
        <w:rPr>
          <w:rFonts w:cs="Arial" w:hint="cs"/>
          <w:rtl/>
        </w:rPr>
        <w:t>.</w:t>
      </w:r>
    </w:p>
  </w:footnote>
  <w:footnote w:id="1691">
    <w:p w14:paraId="6744D86F" w14:textId="77777777" w:rsidR="004C5A3C" w:rsidRDefault="004C5A3C" w:rsidP="002C39F4">
      <w:pPr>
        <w:pStyle w:val="a5"/>
        <w:rPr>
          <w:rtl/>
        </w:rPr>
      </w:pPr>
      <w:r>
        <w:rPr>
          <w:rStyle w:val="a7"/>
        </w:rPr>
        <w:footnoteRef/>
      </w:r>
      <w:r>
        <w:rPr>
          <w:rtl/>
        </w:rPr>
        <w:t xml:space="preserve"> </w:t>
      </w:r>
      <w:r w:rsidRPr="009B46CF">
        <w:rPr>
          <w:rFonts w:cs="Arial"/>
          <w:rtl/>
        </w:rPr>
        <w:t xml:space="preserve">והא דלא סגי </w:t>
      </w:r>
      <w:r>
        <w:rPr>
          <w:rFonts w:cs="Arial" w:hint="cs"/>
          <w:rtl/>
        </w:rPr>
        <w:t>בס'</w:t>
      </w:r>
      <w:r w:rsidRPr="009B46CF">
        <w:rPr>
          <w:rFonts w:cs="Arial"/>
          <w:rtl/>
        </w:rPr>
        <w:t xml:space="preserve"> נגד הנטילה משום דאינו יודע כמה היה לו ליטול א"נ מיירי כשהמקום שנגע בסכין הוא פחות מכדי נטילה</w:t>
      </w:r>
      <w:r>
        <w:rPr>
          <w:rFonts w:hint="cs"/>
          <w:rtl/>
        </w:rPr>
        <w:t xml:space="preserve">, ש"ך </w:t>
      </w:r>
      <w:r w:rsidRPr="000D60D6">
        <w:rPr>
          <w:rFonts w:hint="cs"/>
          <w:sz w:val="16"/>
          <w:szCs w:val="16"/>
          <w:rtl/>
        </w:rPr>
        <w:t>(סק"ז)</w:t>
      </w:r>
      <w:r>
        <w:rPr>
          <w:rFonts w:hint="cs"/>
          <w:rtl/>
        </w:rPr>
        <w:t>.</w:t>
      </w:r>
    </w:p>
  </w:footnote>
  <w:footnote w:id="1692">
    <w:p w14:paraId="57300625" w14:textId="77777777" w:rsidR="004C5A3C" w:rsidRPr="00653E67" w:rsidRDefault="004C5A3C" w:rsidP="002C39F4">
      <w:pPr>
        <w:pStyle w:val="a5"/>
      </w:pPr>
      <w:r>
        <w:rPr>
          <w:rStyle w:val="a7"/>
        </w:rPr>
        <w:footnoteRef/>
      </w:r>
      <w:r>
        <w:rPr>
          <w:rtl/>
        </w:rPr>
        <w:t xml:space="preserve"> </w:t>
      </w:r>
      <w:r w:rsidRPr="00F916E6">
        <w:rPr>
          <w:rFonts w:cs="Arial"/>
          <w:rtl/>
        </w:rPr>
        <w:t>היינו כשידוע בבירור עד כמה נגע</w:t>
      </w:r>
      <w:r>
        <w:rPr>
          <w:rFonts w:cs="Arial" w:hint="cs"/>
          <w:rtl/>
        </w:rPr>
        <w:t>,</w:t>
      </w:r>
      <w:r w:rsidRPr="00F916E6">
        <w:rPr>
          <w:rFonts w:cs="Arial"/>
          <w:rtl/>
        </w:rPr>
        <w:t xml:space="preserve"> אבל מן הסתם דרך לחתוך בכל הסכין</w:t>
      </w:r>
      <w:r>
        <w:rPr>
          <w:rFonts w:cs="Arial" w:hint="cs"/>
          <w:rtl/>
        </w:rPr>
        <w:t>,</w:t>
      </w:r>
      <w:r>
        <w:rPr>
          <w:rFonts w:cs="Arial"/>
          <w:rtl/>
        </w:rPr>
        <w:t xml:space="preserve"> וע"ל סי' צד ס</w:t>
      </w:r>
      <w:r w:rsidRPr="00F916E6">
        <w:rPr>
          <w:rFonts w:cs="Arial"/>
          <w:rtl/>
        </w:rPr>
        <w:t>ק</w:t>
      </w:r>
      <w:r>
        <w:rPr>
          <w:rFonts w:cs="Arial" w:hint="cs"/>
          <w:rtl/>
        </w:rPr>
        <w:t xml:space="preserve">כ"ח, ש"ך </w:t>
      </w:r>
      <w:r w:rsidRPr="00307BFF">
        <w:rPr>
          <w:rFonts w:cs="Arial" w:hint="cs"/>
          <w:sz w:val="16"/>
          <w:szCs w:val="16"/>
          <w:rtl/>
        </w:rPr>
        <w:t>(סק"ח)</w:t>
      </w:r>
      <w:r>
        <w:rPr>
          <w:rFonts w:cs="Arial" w:hint="cs"/>
          <w:rtl/>
        </w:rPr>
        <w:t xml:space="preserve">. ורש"ל </w:t>
      </w:r>
      <w:r w:rsidRPr="00307BFF">
        <w:rPr>
          <w:rFonts w:cs="Arial" w:hint="cs"/>
          <w:sz w:val="16"/>
          <w:szCs w:val="16"/>
          <w:rtl/>
        </w:rPr>
        <w:t>(</w:t>
      </w:r>
      <w:r w:rsidRPr="00307BFF">
        <w:rPr>
          <w:rFonts w:cs="Arial"/>
          <w:sz w:val="16"/>
          <w:szCs w:val="16"/>
          <w:rtl/>
        </w:rPr>
        <w:t>סי</w:t>
      </w:r>
      <w:r w:rsidRPr="00307BFF">
        <w:rPr>
          <w:rFonts w:cs="Arial" w:hint="cs"/>
          <w:sz w:val="16"/>
          <w:szCs w:val="16"/>
          <w:rtl/>
        </w:rPr>
        <w:t>'</w:t>
      </w:r>
      <w:r w:rsidRPr="00307BFF">
        <w:rPr>
          <w:rFonts w:cs="Arial"/>
          <w:sz w:val="16"/>
          <w:szCs w:val="16"/>
          <w:rtl/>
        </w:rPr>
        <w:t xml:space="preserve"> סב</w:t>
      </w:r>
      <w:r w:rsidRPr="00307BFF">
        <w:rPr>
          <w:rFonts w:cs="Arial" w:hint="cs"/>
          <w:sz w:val="16"/>
          <w:szCs w:val="16"/>
          <w:rtl/>
        </w:rPr>
        <w:t xml:space="preserve">) </w:t>
      </w:r>
      <w:r>
        <w:rPr>
          <w:rFonts w:cs="Arial" w:hint="cs"/>
          <w:rtl/>
        </w:rPr>
        <w:t xml:space="preserve">חולק על השו"ע וכ' דכיון </w:t>
      </w:r>
      <w:r w:rsidRPr="00F916E6">
        <w:rPr>
          <w:rFonts w:cs="Arial"/>
          <w:rtl/>
        </w:rPr>
        <w:t>שאינו יודע בבירור באיזה מקום נגע</w:t>
      </w:r>
      <w:r>
        <w:rPr>
          <w:rFonts w:cs="Arial" w:hint="cs"/>
          <w:rtl/>
        </w:rPr>
        <w:t>,</w:t>
      </w:r>
      <w:r w:rsidRPr="00F916E6">
        <w:rPr>
          <w:rFonts w:cs="Arial"/>
          <w:rtl/>
        </w:rPr>
        <w:t xml:space="preserve"> דמילתא דלא רמיא עליה דאינש לא מידכר</w:t>
      </w:r>
      <w:r>
        <w:rPr>
          <w:rFonts w:cs="Arial" w:hint="cs"/>
          <w:rtl/>
        </w:rPr>
        <w:t>,</w:t>
      </w:r>
      <w:r w:rsidRPr="00F916E6">
        <w:rPr>
          <w:rFonts w:cs="Arial"/>
          <w:rtl/>
        </w:rPr>
        <w:t xml:space="preserve"> ע"כ צריך ס' נגד כל הלהב דסכין חוץ מהקתא</w:t>
      </w:r>
      <w:r>
        <w:rPr>
          <w:rFonts w:cs="Arial" w:hint="cs"/>
          <w:rtl/>
        </w:rPr>
        <w:t>.</w:t>
      </w:r>
      <w:r>
        <w:rPr>
          <w:rFonts w:cs="Arial"/>
          <w:rtl/>
        </w:rPr>
        <w:t xml:space="preserve"> וכ"</w:t>
      </w:r>
      <w:r>
        <w:rPr>
          <w:rFonts w:cs="Arial" w:hint="cs"/>
          <w:rtl/>
        </w:rPr>
        <w:t xml:space="preserve">כ הט"ז </w:t>
      </w:r>
      <w:r w:rsidRPr="00307BFF">
        <w:rPr>
          <w:rFonts w:cs="Arial" w:hint="cs"/>
          <w:sz w:val="16"/>
          <w:szCs w:val="16"/>
          <w:rtl/>
        </w:rPr>
        <w:t>(סק"ד)</w:t>
      </w:r>
      <w:r>
        <w:rPr>
          <w:rFonts w:cs="Arial" w:hint="cs"/>
          <w:rtl/>
        </w:rPr>
        <w:t>.</w:t>
      </w:r>
      <w:r>
        <w:rPr>
          <w:rFonts w:cs="Arial"/>
          <w:rtl/>
        </w:rPr>
        <w:t xml:space="preserve"> ואע</w:t>
      </w:r>
      <w:r>
        <w:rPr>
          <w:rFonts w:cs="Arial" w:hint="cs"/>
          <w:rtl/>
        </w:rPr>
        <w:t>"</w:t>
      </w:r>
      <w:r>
        <w:rPr>
          <w:rFonts w:cs="Arial"/>
          <w:rtl/>
        </w:rPr>
        <w:t>ג</w:t>
      </w:r>
      <w:r w:rsidRPr="00A854CC">
        <w:rPr>
          <w:rFonts w:cs="Arial"/>
          <w:rtl/>
        </w:rPr>
        <w:t xml:space="preserve"> דבבשר בחלב לכ</w:t>
      </w:r>
      <w:r>
        <w:rPr>
          <w:rFonts w:cs="Arial" w:hint="cs"/>
          <w:rtl/>
        </w:rPr>
        <w:t>ו</w:t>
      </w:r>
      <w:r w:rsidRPr="00A854CC">
        <w:rPr>
          <w:rFonts w:cs="Arial"/>
          <w:rtl/>
        </w:rPr>
        <w:t>"ע אמרינן חתיכה עצמה נ"נ היינו בחתיכה אסורה כגון חלב שנפל על הבשר אבל הכא כולו היתר הוא קודם הבישול</w:t>
      </w:r>
      <w:r>
        <w:rPr>
          <w:rFonts w:cs="Arial" w:hint="cs"/>
          <w:rtl/>
        </w:rPr>
        <w:t>,</w:t>
      </w:r>
      <w:r w:rsidRPr="00A854CC">
        <w:rPr>
          <w:rFonts w:cs="Arial"/>
          <w:rtl/>
        </w:rPr>
        <w:t xml:space="preserve"> ונראה לי פשוט דאם יש ס' א"צ להסיר הבצלים כיון שלא היה שם איסור עליהם </w:t>
      </w:r>
      <w:r w:rsidRPr="00653E67">
        <w:rPr>
          <w:rFonts w:cs="Arial"/>
          <w:rtl/>
        </w:rPr>
        <w:t xml:space="preserve">וממילא כשהבצלים הם בתוך הקדירה נעשו כשאר מילי שהם בקדירה </w:t>
      </w:r>
      <w:r w:rsidRPr="00653E67">
        <w:rPr>
          <w:rFonts w:cs="Arial" w:hint="cs"/>
          <w:sz w:val="16"/>
          <w:szCs w:val="16"/>
          <w:rtl/>
        </w:rPr>
        <w:t>(</w:t>
      </w:r>
      <w:r w:rsidRPr="00653E67">
        <w:rPr>
          <w:rFonts w:cs="Arial"/>
          <w:sz w:val="16"/>
          <w:szCs w:val="16"/>
          <w:rtl/>
        </w:rPr>
        <w:t>ולא דמי למ"ש סי</w:t>
      </w:r>
      <w:r w:rsidRPr="00653E67">
        <w:rPr>
          <w:rFonts w:cs="Arial" w:hint="cs"/>
          <w:sz w:val="16"/>
          <w:szCs w:val="16"/>
          <w:rtl/>
        </w:rPr>
        <w:t>'</w:t>
      </w:r>
      <w:r w:rsidRPr="00653E67">
        <w:rPr>
          <w:rFonts w:cs="Arial"/>
          <w:sz w:val="16"/>
          <w:szCs w:val="16"/>
          <w:rtl/>
        </w:rPr>
        <w:t xml:space="preserve"> ק"ו דחתיכה שנאסרה מחמת בליעת איסור נשארה אסורה לעולם דשאני התם דכיון שנאסרה א"א לה לחזור להיתירה כמ"ש ב"י שם בשם ת</w:t>
      </w:r>
      <w:r w:rsidRPr="00653E67">
        <w:rPr>
          <w:rFonts w:cs="Arial" w:hint="cs"/>
          <w:sz w:val="16"/>
          <w:szCs w:val="16"/>
          <w:rtl/>
        </w:rPr>
        <w:t>וה"ק,</w:t>
      </w:r>
      <w:r w:rsidRPr="00653E67">
        <w:rPr>
          <w:rFonts w:cs="Arial"/>
          <w:sz w:val="16"/>
          <w:szCs w:val="16"/>
          <w:rtl/>
        </w:rPr>
        <w:t xml:space="preserve"> משא"כ אם לא נבלע רק היתר כמו כאן שפיר אמרינן דכל שנתבטל הוה הוא כלא היה והרי אפי</w:t>
      </w:r>
      <w:r w:rsidRPr="00653E67">
        <w:rPr>
          <w:rFonts w:cs="Arial" w:hint="cs"/>
          <w:sz w:val="16"/>
          <w:szCs w:val="16"/>
          <w:rtl/>
        </w:rPr>
        <w:t>'</w:t>
      </w:r>
      <w:r w:rsidRPr="00653E67">
        <w:rPr>
          <w:rFonts w:cs="Arial"/>
          <w:sz w:val="16"/>
          <w:szCs w:val="16"/>
          <w:rtl/>
        </w:rPr>
        <w:t xml:space="preserve"> היה כולו בשר נתבטל ע"כ הותרו הבצלים לגמרי</w:t>
      </w:r>
      <w:r w:rsidRPr="00653E67">
        <w:rPr>
          <w:rFonts w:cs="Arial" w:hint="cs"/>
          <w:sz w:val="16"/>
          <w:szCs w:val="16"/>
          <w:rtl/>
        </w:rPr>
        <w:t>)</w:t>
      </w:r>
      <w:r w:rsidRPr="00653E67">
        <w:rPr>
          <w:rFonts w:cs="Arial" w:hint="cs"/>
          <w:rtl/>
        </w:rPr>
        <w:t xml:space="preserve">, ט"ז </w:t>
      </w:r>
      <w:r w:rsidRPr="00653E67">
        <w:rPr>
          <w:rFonts w:cs="Arial" w:hint="cs"/>
          <w:sz w:val="16"/>
          <w:szCs w:val="16"/>
          <w:rtl/>
        </w:rPr>
        <w:t>(סק"ה)</w:t>
      </w:r>
      <w:r w:rsidRPr="00653E67">
        <w:rPr>
          <w:rFonts w:cs="Arial" w:hint="cs"/>
          <w:rtl/>
        </w:rPr>
        <w:t xml:space="preserve">. וכ"כ מהר"ם מלובלין </w:t>
      </w:r>
      <w:r w:rsidRPr="00653E67">
        <w:rPr>
          <w:rFonts w:cs="Arial" w:hint="cs"/>
          <w:sz w:val="16"/>
          <w:szCs w:val="16"/>
          <w:rtl/>
        </w:rPr>
        <w:t xml:space="preserve">(סי' כח) </w:t>
      </w:r>
      <w:r w:rsidRPr="00653E67">
        <w:rPr>
          <w:rFonts w:cs="Arial" w:hint="cs"/>
          <w:rtl/>
        </w:rPr>
        <w:t xml:space="preserve">הביאו הש"ך </w:t>
      </w:r>
      <w:r w:rsidRPr="00653E67">
        <w:rPr>
          <w:rFonts w:cs="Arial" w:hint="cs"/>
          <w:sz w:val="16"/>
          <w:szCs w:val="16"/>
          <w:rtl/>
        </w:rPr>
        <w:t>(סי' צד סקכ"ג)</w:t>
      </w:r>
      <w:r w:rsidRPr="00653E67">
        <w:rPr>
          <w:rFonts w:cs="Arial" w:hint="cs"/>
          <w:rtl/>
        </w:rPr>
        <w:t>.</w:t>
      </w:r>
      <w:r w:rsidRPr="00653E67">
        <w:rPr>
          <w:rFonts w:cs="Arial"/>
          <w:rtl/>
        </w:rPr>
        <w:t xml:space="preserve"> </w:t>
      </w:r>
    </w:p>
  </w:footnote>
  <w:footnote w:id="1693">
    <w:p w14:paraId="6868A1E4" w14:textId="77777777" w:rsidR="004C5A3C" w:rsidRPr="00653E67" w:rsidRDefault="004C5A3C" w:rsidP="002C39F4">
      <w:pPr>
        <w:pStyle w:val="a5"/>
        <w:rPr>
          <w:rtl/>
        </w:rPr>
      </w:pPr>
      <w:r w:rsidRPr="00653E67">
        <w:rPr>
          <w:rStyle w:val="a7"/>
        </w:rPr>
        <w:footnoteRef/>
      </w:r>
      <w:r w:rsidRPr="00653E67">
        <w:rPr>
          <w:rtl/>
        </w:rPr>
        <w:t xml:space="preserve"> </w:t>
      </w:r>
      <w:r w:rsidRPr="00653E67">
        <w:rPr>
          <w:rFonts w:cs="Arial"/>
          <w:rtl/>
        </w:rPr>
        <w:t>פירוש דמשערינן בס' נגד מה שנגע בסכין</w:t>
      </w:r>
      <w:r w:rsidRPr="00653E67">
        <w:rPr>
          <w:rFonts w:cs="Arial" w:hint="cs"/>
          <w:rtl/>
        </w:rPr>
        <w:t>,</w:t>
      </w:r>
      <w:r w:rsidRPr="00653E67">
        <w:rPr>
          <w:rFonts w:cs="Arial"/>
          <w:rtl/>
        </w:rPr>
        <w:t xml:space="preserve"> דש</w:t>
      </w:r>
      <w:r w:rsidRPr="00653E67">
        <w:rPr>
          <w:rFonts w:cs="Arial" w:hint="cs"/>
          <w:rtl/>
        </w:rPr>
        <w:t>ו</w:t>
      </w:r>
      <w:r w:rsidRPr="00653E67">
        <w:rPr>
          <w:rFonts w:cs="Arial"/>
          <w:rtl/>
        </w:rPr>
        <w:t>"ע אזיל לטעמיה בסי</w:t>
      </w:r>
      <w:r w:rsidRPr="00653E67">
        <w:rPr>
          <w:rFonts w:cs="Arial" w:hint="cs"/>
          <w:rtl/>
        </w:rPr>
        <w:t>'</w:t>
      </w:r>
      <w:r w:rsidRPr="00653E67">
        <w:rPr>
          <w:rFonts w:cs="Arial"/>
          <w:rtl/>
        </w:rPr>
        <w:t xml:space="preserve"> צ</w:t>
      </w:r>
      <w:r w:rsidRPr="00653E67">
        <w:rPr>
          <w:rFonts w:cs="Arial" w:hint="cs"/>
          <w:rtl/>
        </w:rPr>
        <w:t>"</w:t>
      </w:r>
      <w:r w:rsidRPr="00653E67">
        <w:rPr>
          <w:rFonts w:cs="Arial"/>
          <w:rtl/>
        </w:rPr>
        <w:t>ב דפסיק דלא אמרינן חתיכה עצמה נ"נ אלא בבשר בחלב</w:t>
      </w:r>
      <w:r w:rsidRPr="00653E67">
        <w:rPr>
          <w:rFonts w:cs="Arial" w:hint="cs"/>
          <w:rtl/>
        </w:rPr>
        <w:t>,</w:t>
      </w:r>
      <w:r w:rsidRPr="00653E67">
        <w:rPr>
          <w:rFonts w:cs="Arial"/>
          <w:rtl/>
        </w:rPr>
        <w:t xml:space="preserve"> אבל לדידן דקי"ל בכל האיסורין אמרינן חתיכה עצמה נ"נ בעינן כאן ס' נגד כל מקום הנטילה בצנון</w:t>
      </w:r>
      <w:r w:rsidRPr="00653E67">
        <w:rPr>
          <w:rFonts w:cs="Arial" w:hint="cs"/>
          <w:rtl/>
        </w:rPr>
        <w:t>,</w:t>
      </w:r>
      <w:r w:rsidRPr="00653E67">
        <w:rPr>
          <w:rFonts w:cs="Arial"/>
          <w:rtl/>
        </w:rPr>
        <w:t xml:space="preserve"> והיינו אם חתך הצנון במקום אחד לחוד</w:t>
      </w:r>
      <w:r w:rsidRPr="00653E67">
        <w:rPr>
          <w:rFonts w:cs="Arial" w:hint="cs"/>
          <w:rtl/>
        </w:rPr>
        <w:t>,</w:t>
      </w:r>
      <w:r w:rsidRPr="00653E67">
        <w:rPr>
          <w:rFonts w:cs="Arial"/>
          <w:rtl/>
        </w:rPr>
        <w:t xml:space="preserve"> אבל אם חתכו דק דק נאסר כל הצנון וע"כ צריך ס' נגד כולו</w:t>
      </w:r>
      <w:r w:rsidRPr="00653E67">
        <w:rPr>
          <w:rFonts w:cs="Arial" w:hint="cs"/>
          <w:rtl/>
        </w:rPr>
        <w:t>,</w:t>
      </w:r>
      <w:r w:rsidRPr="00653E67">
        <w:rPr>
          <w:rFonts w:cs="Arial"/>
          <w:rtl/>
        </w:rPr>
        <w:t xml:space="preserve"> ובזה אין חילוק בין בשר בחלב ובין סכין של איסור דבשניהם אם חתך במקום אחד די בכדי נטילה ואם חתכו דק דק נאסר כולו</w:t>
      </w:r>
      <w:r w:rsidRPr="00653E67">
        <w:rPr>
          <w:rFonts w:cs="Arial" w:hint="cs"/>
          <w:rtl/>
        </w:rPr>
        <w:t>,</w:t>
      </w:r>
      <w:r w:rsidRPr="00653E67">
        <w:rPr>
          <w:rFonts w:cs="Arial"/>
          <w:rtl/>
        </w:rPr>
        <w:t xml:space="preserve"> אלא לענין בישול שמבשלים אח"כ יש חילוק דבשל חלב לבשר צריך </w:t>
      </w:r>
      <w:r w:rsidRPr="00653E67">
        <w:rPr>
          <w:rFonts w:cs="Arial" w:hint="cs"/>
          <w:rtl/>
        </w:rPr>
        <w:t>ס'</w:t>
      </w:r>
      <w:r w:rsidRPr="00653E67">
        <w:rPr>
          <w:rFonts w:cs="Arial"/>
          <w:rtl/>
        </w:rPr>
        <w:t xml:space="preserve"> נגד הנגיעה בסכין דהיינו הלהב כמ"ש לעיל בין שחתכו במקום אחד בין שחתכו דק דק אבל בסכין של איסור וחתך דק דק צריך ס' נגד כל הצנון ובחתך במקום אחד צריך ס' נגד מקום הנטילה לפי שכל מה שנאסר חשיב כנבילה והשאר היתר גמור הוא</w:t>
      </w:r>
      <w:r w:rsidRPr="00653E67">
        <w:rPr>
          <w:rFonts w:cs="Arial" w:hint="cs"/>
          <w:rtl/>
        </w:rPr>
        <w:t>,</w:t>
      </w:r>
      <w:r w:rsidRPr="00653E67">
        <w:rPr>
          <w:rFonts w:cs="Arial"/>
          <w:rtl/>
        </w:rPr>
        <w:t xml:space="preserve"> ואין שייך לומר שאותו החלק הנאסר יאסר את החלק שלא נאסר דכבר קי"ל דאין אומרים בחצי חתיכה דנעשה נבילה</w:t>
      </w:r>
      <w:r w:rsidRPr="00653E67">
        <w:rPr>
          <w:rFonts w:cs="Arial" w:hint="cs"/>
          <w:rtl/>
        </w:rPr>
        <w:t>,</w:t>
      </w:r>
      <w:r w:rsidRPr="00653E67">
        <w:rPr>
          <w:rFonts w:cs="Arial"/>
          <w:rtl/>
        </w:rPr>
        <w:t xml:space="preserve"> כמ"ש התוס' פג"ה</w:t>
      </w:r>
      <w:r w:rsidRPr="00653E67">
        <w:rPr>
          <w:rFonts w:cs="Arial" w:hint="cs"/>
          <w:rtl/>
        </w:rPr>
        <w:t>,</w:t>
      </w:r>
      <w:r w:rsidRPr="00653E67">
        <w:rPr>
          <w:rFonts w:cs="Arial"/>
          <w:rtl/>
        </w:rPr>
        <w:t xml:space="preserve"> דאל"כ כל מה שנאסר כדי קליפה יאסר הכל וזה פשוט</w:t>
      </w:r>
      <w:r w:rsidRPr="00653E67">
        <w:rPr>
          <w:rFonts w:cs="Arial" w:hint="cs"/>
          <w:rtl/>
        </w:rPr>
        <w:t>,</w:t>
      </w:r>
      <w:r w:rsidRPr="00653E67">
        <w:rPr>
          <w:rFonts w:cs="Arial"/>
          <w:rtl/>
        </w:rPr>
        <w:t xml:space="preserve"> נמי שאין האיסור מתפשט יותר בסכין של איסור ממה שמתפשט בסכין של בשר</w:t>
      </w:r>
      <w:r w:rsidRPr="00653E67">
        <w:rPr>
          <w:rFonts w:cs="Arial" w:hint="cs"/>
          <w:rtl/>
        </w:rPr>
        <w:t>,</w:t>
      </w:r>
      <w:r w:rsidRPr="00653E67">
        <w:rPr>
          <w:rFonts w:cs="Arial"/>
          <w:rtl/>
        </w:rPr>
        <w:t xml:space="preserve"> וכ</w:t>
      </w:r>
      <w:r w:rsidRPr="00653E67">
        <w:rPr>
          <w:rFonts w:cs="Arial" w:hint="cs"/>
          <w:rtl/>
        </w:rPr>
        <w:t>"כ</w:t>
      </w:r>
      <w:r w:rsidRPr="00653E67">
        <w:rPr>
          <w:rFonts w:cs="Arial"/>
          <w:rtl/>
        </w:rPr>
        <w:t xml:space="preserve"> בת"ח</w:t>
      </w:r>
      <w:r w:rsidRPr="00653E67">
        <w:rPr>
          <w:rFonts w:cs="Arial"/>
          <w:sz w:val="16"/>
          <w:szCs w:val="16"/>
          <w:rtl/>
        </w:rPr>
        <w:t xml:space="preserve"> </w:t>
      </w:r>
      <w:r w:rsidRPr="00653E67">
        <w:rPr>
          <w:rFonts w:cs="Arial" w:hint="cs"/>
          <w:sz w:val="16"/>
          <w:szCs w:val="16"/>
          <w:rtl/>
        </w:rPr>
        <w:t>(</w:t>
      </w:r>
      <w:r w:rsidRPr="00653E67">
        <w:rPr>
          <w:rFonts w:cs="Arial"/>
          <w:sz w:val="16"/>
          <w:szCs w:val="16"/>
          <w:rtl/>
        </w:rPr>
        <w:t>כלל סא</w:t>
      </w:r>
      <w:r w:rsidRPr="00653E67">
        <w:rPr>
          <w:rFonts w:cs="Arial" w:hint="cs"/>
          <w:sz w:val="16"/>
          <w:szCs w:val="16"/>
          <w:rtl/>
        </w:rPr>
        <w:t>)</w:t>
      </w:r>
      <w:r>
        <w:rPr>
          <w:rFonts w:cs="Arial" w:hint="cs"/>
          <w:rtl/>
        </w:rPr>
        <w:t xml:space="preserve">, </w:t>
      </w:r>
      <w:r w:rsidRPr="00653E67">
        <w:rPr>
          <w:rFonts w:cs="Arial"/>
          <w:rtl/>
        </w:rPr>
        <w:t>וזהו שכ</w:t>
      </w:r>
      <w:r w:rsidRPr="00653E67">
        <w:rPr>
          <w:rFonts w:cs="Arial" w:hint="cs"/>
          <w:rtl/>
        </w:rPr>
        <w:t>'</w:t>
      </w:r>
      <w:r w:rsidRPr="00653E67">
        <w:rPr>
          <w:rFonts w:cs="Arial"/>
          <w:rtl/>
        </w:rPr>
        <w:t xml:space="preserve"> הטור בסכין של איסור דצריך ס' נגד כולו היינו בחתכו דק דק</w:t>
      </w:r>
      <w:r w:rsidRPr="00653E67">
        <w:rPr>
          <w:rFonts w:cs="Arial" w:hint="cs"/>
          <w:rtl/>
        </w:rPr>
        <w:t>,</w:t>
      </w:r>
      <w:r w:rsidRPr="00653E67">
        <w:rPr>
          <w:rFonts w:cs="Arial"/>
          <w:rtl/>
        </w:rPr>
        <w:t xml:space="preserve"> וכן מבואר בהדיא בב"י שהביא דברי הסמ"ג שפירש כן דעת סה</w:t>
      </w:r>
      <w:r w:rsidRPr="00653E67">
        <w:rPr>
          <w:rFonts w:cs="Arial" w:hint="cs"/>
          <w:rtl/>
        </w:rPr>
        <w:t>"</w:t>
      </w:r>
      <w:r w:rsidRPr="00653E67">
        <w:rPr>
          <w:rFonts w:cs="Arial"/>
          <w:rtl/>
        </w:rPr>
        <w:t>ת שהם דברי הטור בזה</w:t>
      </w:r>
      <w:r w:rsidRPr="00653E67">
        <w:rPr>
          <w:rFonts w:cs="Arial" w:hint="cs"/>
          <w:rtl/>
        </w:rPr>
        <w:t>,</w:t>
      </w:r>
      <w:r w:rsidRPr="00653E67">
        <w:rPr>
          <w:rFonts w:cs="Arial"/>
          <w:rtl/>
        </w:rPr>
        <w:t xml:space="preserve"> כל זה הוא פשוט וברור</w:t>
      </w:r>
      <w:r w:rsidRPr="00653E67">
        <w:rPr>
          <w:rFonts w:cs="Arial" w:hint="cs"/>
          <w:rtl/>
        </w:rPr>
        <w:t>,</w:t>
      </w:r>
      <w:r w:rsidRPr="00653E67">
        <w:rPr>
          <w:rFonts w:cs="Arial"/>
          <w:rtl/>
        </w:rPr>
        <w:t xml:space="preserve"> </w:t>
      </w:r>
      <w:r w:rsidRPr="00653E67">
        <w:rPr>
          <w:rFonts w:cs="Arial" w:hint="cs"/>
          <w:rtl/>
        </w:rPr>
        <w:t xml:space="preserve">ט"ז </w:t>
      </w:r>
      <w:r w:rsidRPr="00653E67">
        <w:rPr>
          <w:rFonts w:cs="Arial" w:hint="cs"/>
          <w:sz w:val="16"/>
          <w:szCs w:val="16"/>
          <w:rtl/>
        </w:rPr>
        <w:t>(סק"ו)</w:t>
      </w:r>
      <w:r w:rsidRPr="00653E67">
        <w:rPr>
          <w:rFonts w:cs="Arial" w:hint="cs"/>
          <w:rtl/>
        </w:rPr>
        <w:t>.</w:t>
      </w:r>
    </w:p>
  </w:footnote>
  <w:footnote w:id="1694">
    <w:p w14:paraId="1117899D" w14:textId="77777777" w:rsidR="004C5A3C" w:rsidRPr="00653E67" w:rsidRDefault="004C5A3C" w:rsidP="002C39F4">
      <w:pPr>
        <w:pStyle w:val="a5"/>
        <w:rPr>
          <w:rtl/>
        </w:rPr>
      </w:pPr>
      <w:r w:rsidRPr="00653E67">
        <w:rPr>
          <w:rStyle w:val="a7"/>
        </w:rPr>
        <w:footnoteRef/>
      </w:r>
      <w:r w:rsidRPr="00653E67">
        <w:rPr>
          <w:rtl/>
        </w:rPr>
        <w:t xml:space="preserve"> </w:t>
      </w:r>
      <w:r w:rsidRPr="00653E67">
        <w:rPr>
          <w:rFonts w:cs="Arial"/>
          <w:rtl/>
        </w:rPr>
        <w:t>דכל חתיכה וחתיכה נאסרה כדי נטילה</w:t>
      </w:r>
      <w:r w:rsidRPr="00653E67">
        <w:rPr>
          <w:rFonts w:cs="Arial" w:hint="cs"/>
          <w:rtl/>
        </w:rPr>
        <w:t>,</w:t>
      </w:r>
      <w:r w:rsidRPr="00653E67">
        <w:rPr>
          <w:rFonts w:cs="Arial"/>
          <w:rtl/>
        </w:rPr>
        <w:t xml:space="preserve"> מיהו היינו דוקא כשהצנון קטן מהסכין או שאין הסכין לפנינו שנוכל לשער בו אבל כשהסכין קטן מהצנון והוא לפנינו פשיטא דאין צריך </w:t>
      </w:r>
      <w:r w:rsidRPr="00653E67">
        <w:rPr>
          <w:rFonts w:cs="Arial" w:hint="cs"/>
          <w:rtl/>
        </w:rPr>
        <w:t>ס'</w:t>
      </w:r>
      <w:r w:rsidRPr="00653E67">
        <w:rPr>
          <w:rFonts w:cs="Arial"/>
          <w:rtl/>
        </w:rPr>
        <w:t xml:space="preserve"> אלא כנגד הסכין</w:t>
      </w:r>
      <w:r w:rsidRPr="00653E67">
        <w:rPr>
          <w:rFonts w:cs="Arial" w:hint="cs"/>
          <w:rtl/>
        </w:rPr>
        <w:t>,</w:t>
      </w:r>
      <w:r w:rsidRPr="00653E67">
        <w:rPr>
          <w:rFonts w:cs="Arial"/>
          <w:rtl/>
        </w:rPr>
        <w:t xml:space="preserve"> מיהו בסכין של </w:t>
      </w:r>
      <w:r w:rsidRPr="00653E67">
        <w:rPr>
          <w:rFonts w:cs="Arial" w:hint="cs"/>
          <w:rtl/>
        </w:rPr>
        <w:t>גוים</w:t>
      </w:r>
      <w:r w:rsidRPr="00653E67">
        <w:rPr>
          <w:rFonts w:cs="Arial"/>
          <w:rtl/>
        </w:rPr>
        <w:t xml:space="preserve"> או של איסור לדידן דקי"ל חנ"נ בכל האיסורים א"כ כל חתיכה וחתיכה נ"נ כדי נטילה</w:t>
      </w:r>
      <w:r w:rsidRPr="00653E67">
        <w:rPr>
          <w:rFonts w:cs="Arial" w:hint="cs"/>
          <w:rtl/>
        </w:rPr>
        <w:t>,</w:t>
      </w:r>
      <w:r w:rsidRPr="00653E67">
        <w:rPr>
          <w:rFonts w:cs="Arial"/>
          <w:rtl/>
        </w:rPr>
        <w:t xml:space="preserve"> א"כ כשחתכו דק דק צריך לשער נגד כל הצנון אף שהוא יותר מהסכין ודוק</w:t>
      </w:r>
      <w:r w:rsidRPr="00653E67">
        <w:rPr>
          <w:rFonts w:cs="Arial" w:hint="cs"/>
          <w:rtl/>
        </w:rPr>
        <w:t>,</w:t>
      </w:r>
      <w:r w:rsidRPr="00653E67">
        <w:rPr>
          <w:rFonts w:cs="Arial"/>
          <w:rtl/>
        </w:rPr>
        <w:t xml:space="preserve"> מיהו ודאי היכא שבישלו צנון שלם שנחתך בסכין של </w:t>
      </w:r>
      <w:r w:rsidRPr="00653E67">
        <w:rPr>
          <w:rFonts w:cs="Arial" w:hint="cs"/>
          <w:rtl/>
        </w:rPr>
        <w:t>גו</w:t>
      </w:r>
      <w:r w:rsidRPr="00653E67">
        <w:rPr>
          <w:rFonts w:cs="Arial"/>
          <w:rtl/>
        </w:rPr>
        <w:t>ים או של איסור כיון דאין אוסר יותר מכדי נטילה אם יש בתבשיל ס' נגד הנטילה שרי</w:t>
      </w:r>
      <w:r w:rsidRPr="00653E67">
        <w:rPr>
          <w:rFonts w:cs="Arial" w:hint="cs"/>
          <w:rtl/>
        </w:rPr>
        <w:t>,</w:t>
      </w:r>
      <w:r w:rsidRPr="00653E67">
        <w:rPr>
          <w:rFonts w:cs="Arial"/>
          <w:rtl/>
        </w:rPr>
        <w:t xml:space="preserve"> וכ</w:t>
      </w:r>
      <w:r w:rsidRPr="00653E67">
        <w:rPr>
          <w:rFonts w:cs="Arial" w:hint="cs"/>
          <w:rtl/>
        </w:rPr>
        <w:t>"מ</w:t>
      </w:r>
      <w:r w:rsidRPr="00653E67">
        <w:rPr>
          <w:rFonts w:cs="Arial"/>
          <w:rtl/>
        </w:rPr>
        <w:t xml:space="preserve"> מדברי הרב בת"ח שם ד"ב וכאן בהג"ה והוא פשוט לדעתו</w:t>
      </w:r>
      <w:r w:rsidRPr="00653E67">
        <w:rPr>
          <w:rFonts w:cs="Arial" w:hint="cs"/>
          <w:rtl/>
        </w:rPr>
        <w:t xml:space="preserve">, </w:t>
      </w:r>
      <w:r w:rsidRPr="00653E67">
        <w:rPr>
          <w:rFonts w:cs="Arial"/>
          <w:rtl/>
        </w:rPr>
        <w:t xml:space="preserve">ובעט"ז כתב דאם חתכו בסכין של </w:t>
      </w:r>
      <w:r w:rsidRPr="00653E67">
        <w:rPr>
          <w:rFonts w:cs="Arial" w:hint="cs"/>
          <w:rtl/>
        </w:rPr>
        <w:t>גו</w:t>
      </w:r>
      <w:r w:rsidRPr="00653E67">
        <w:rPr>
          <w:rFonts w:cs="Arial"/>
          <w:rtl/>
        </w:rPr>
        <w:t>ים נ"נ וצריך ס' נגד כל הצנון אפי' לא חתכו דק דק עכ"ל והוא תמוה דכיון דלא נ"נ רק הנטילה לסגי בס' נגד הנטילה ואולי כוון למ"ש מהר"מ מלובלין בתשובה סי' צ"ב דאע"ג דמתחלה לא נ"נ רק הנטילה מ"מ מיד כשנותנו בתבשיל נעשה כל הצנון נבילה דהוי אותה הנטילה איסור דבוק אם אינו בצנון עצמו ס' נגד הנטילה עכ"ל אבל גם זה אינו דכיון דאין הנטילה אסור מצד עצמה וגם אינה איסור ניכר ומובדל וגם אינו נאסר רק כדי נטילה לא שייך למימר ביה איסור דבוק ודו"ק וודאי דל"ד לכל איסור דבוק שבסימן ע"ב וצ"ב וכמה דוכתי וכן הבאתי בסי' כ"ב ס"ק י' בשם יש פוסקים דל"א חנ"נ רק כשהחתיכה עומדת בפני עצמה אבל לא בחצי חתיכה וכה"ג</w:t>
      </w:r>
      <w:r w:rsidRPr="00653E67">
        <w:rPr>
          <w:rFonts w:cs="Arial" w:hint="cs"/>
          <w:rtl/>
        </w:rPr>
        <w:t>,</w:t>
      </w:r>
      <w:r w:rsidRPr="00653E67">
        <w:rPr>
          <w:rFonts w:cs="Arial"/>
          <w:rtl/>
        </w:rPr>
        <w:t xml:space="preserve"> ואף להפוסקים דלא ס"ל הכי מ"מ מודים דלא חשיב בכה"ג איסור דבוק וכ"פ הב"ח בסי' כ"ב ס"ו דאם נמלח העוף עם הורידין צריך נטילה ואם נתבשל אח"כ צריך ס' בתבשיל נגד הנטילה ולא מצריך בעוף גופיה ס' נגד הנטילה א"ו כדפי' והוא דעת הרב והוא ברור</w:t>
      </w:r>
      <w:r w:rsidRPr="00653E67">
        <w:rPr>
          <w:rFonts w:hint="cs"/>
          <w:rtl/>
        </w:rPr>
        <w:t>, ש"ך (סק"ט).</w:t>
      </w:r>
      <w:r w:rsidRPr="00BC7AFA">
        <w:rPr>
          <w:rFonts w:hint="cs"/>
          <w:color w:val="FF0000"/>
          <w:rtl/>
        </w:rPr>
        <w:t xml:space="preserve"> (לבדוק אם הדברים של הש"ך והט"ז שווים)</w:t>
      </w:r>
    </w:p>
  </w:footnote>
  <w:footnote w:id="1695">
    <w:p w14:paraId="4F070115" w14:textId="77777777" w:rsidR="004C5A3C" w:rsidRDefault="004C5A3C" w:rsidP="002C39F4">
      <w:pPr>
        <w:pStyle w:val="a5"/>
        <w:rPr>
          <w:rtl/>
        </w:rPr>
      </w:pPr>
      <w:r>
        <w:rPr>
          <w:rStyle w:val="a7"/>
        </w:rPr>
        <w:footnoteRef/>
      </w:r>
      <w:r>
        <w:rPr>
          <w:rtl/>
        </w:rPr>
        <w:t xml:space="preserve"> </w:t>
      </w:r>
      <w:r w:rsidRPr="00BC7AFA">
        <w:rPr>
          <w:rFonts w:cs="Arial"/>
          <w:rtl/>
        </w:rPr>
        <w:t>פי' בין בסכ</w:t>
      </w:r>
      <w:r>
        <w:rPr>
          <w:rFonts w:cs="Arial"/>
          <w:rtl/>
        </w:rPr>
        <w:t xml:space="preserve">ין של בשר בין בסכין של </w:t>
      </w:r>
      <w:r>
        <w:rPr>
          <w:rFonts w:cs="Arial" w:hint="cs"/>
          <w:rtl/>
        </w:rPr>
        <w:t>גו</w:t>
      </w:r>
      <w:r w:rsidRPr="00BC7AFA">
        <w:rPr>
          <w:rFonts w:cs="Arial"/>
          <w:rtl/>
        </w:rPr>
        <w:t>ים נוהגין לכתחלה לאסור כולו</w:t>
      </w:r>
      <w:r>
        <w:rPr>
          <w:rFonts w:cs="Arial" w:hint="cs"/>
          <w:rtl/>
        </w:rPr>
        <w:t>,</w:t>
      </w:r>
      <w:r w:rsidRPr="00BC7AFA">
        <w:rPr>
          <w:rFonts w:cs="Arial"/>
          <w:rtl/>
        </w:rPr>
        <w:t xml:space="preserve"> והכי משמע בת"ח ובסימני ת"ח שם ד"ב</w:t>
      </w:r>
      <w:r>
        <w:rPr>
          <w:rFonts w:cs="Arial" w:hint="cs"/>
          <w:rtl/>
        </w:rPr>
        <w:t>,</w:t>
      </w:r>
      <w:r w:rsidRPr="00BC7AFA">
        <w:rPr>
          <w:rFonts w:cs="Arial"/>
          <w:rtl/>
        </w:rPr>
        <w:t xml:space="preserve"> אבל בדיעבד שנתבשל בין בסכ</w:t>
      </w:r>
      <w:r>
        <w:rPr>
          <w:rFonts w:cs="Arial"/>
          <w:rtl/>
        </w:rPr>
        <w:t xml:space="preserve">ין של בשר בין בסכין של </w:t>
      </w:r>
      <w:r>
        <w:rPr>
          <w:rFonts w:cs="Arial" w:hint="cs"/>
          <w:rtl/>
        </w:rPr>
        <w:t>גו</w:t>
      </w:r>
      <w:r w:rsidRPr="00BC7AFA">
        <w:rPr>
          <w:rFonts w:cs="Arial"/>
          <w:rtl/>
        </w:rPr>
        <w:t>ים א"צ לשער רק כדי נטילה</w:t>
      </w:r>
      <w:r>
        <w:rPr>
          <w:rFonts w:hint="cs"/>
          <w:rtl/>
        </w:rPr>
        <w:t>, ש"ך (סק"י).</w:t>
      </w:r>
    </w:p>
  </w:footnote>
  <w:footnote w:id="1696">
    <w:p w14:paraId="5AC1738B" w14:textId="77777777" w:rsidR="004C5A3C" w:rsidRDefault="004C5A3C" w:rsidP="002C39F4">
      <w:pPr>
        <w:pStyle w:val="a5"/>
        <w:rPr>
          <w:rtl/>
        </w:rPr>
      </w:pPr>
      <w:r>
        <w:rPr>
          <w:rStyle w:val="a7"/>
        </w:rPr>
        <w:footnoteRef/>
      </w:r>
      <w:r>
        <w:rPr>
          <w:rtl/>
        </w:rPr>
        <w:t xml:space="preserve"> </w:t>
      </w:r>
      <w:r>
        <w:rPr>
          <w:rFonts w:cs="Arial"/>
          <w:rtl/>
        </w:rPr>
        <w:t>שאינו חריף</w:t>
      </w:r>
      <w:r>
        <w:rPr>
          <w:rFonts w:cs="Arial" w:hint="cs"/>
          <w:rtl/>
        </w:rPr>
        <w:t>,</w:t>
      </w:r>
      <w:r>
        <w:rPr>
          <w:rFonts w:cs="Arial"/>
          <w:rtl/>
        </w:rPr>
        <w:t xml:space="preserve"> וכ</w:t>
      </w:r>
      <w:r>
        <w:rPr>
          <w:rFonts w:cs="Arial" w:hint="cs"/>
          <w:rtl/>
        </w:rPr>
        <w:t>'</w:t>
      </w:r>
      <w:r w:rsidRPr="00BC7AFA">
        <w:rPr>
          <w:rFonts w:cs="Arial"/>
          <w:rtl/>
        </w:rPr>
        <w:t xml:space="preserve"> בת"ח שם בשם או"ה דזנבותיהן של שומים ובצלים נמי לא חריפים ולא בלעי אלא כדי קליפה</w:t>
      </w:r>
      <w:r>
        <w:rPr>
          <w:rFonts w:hint="cs"/>
          <w:rtl/>
        </w:rPr>
        <w:t>, ש"ך (סקי"א).</w:t>
      </w:r>
    </w:p>
  </w:footnote>
  <w:footnote w:id="1697">
    <w:p w14:paraId="4A7A916F" w14:textId="77777777" w:rsidR="004C5A3C" w:rsidRDefault="004C5A3C" w:rsidP="002C39F4">
      <w:pPr>
        <w:pStyle w:val="a5"/>
      </w:pPr>
      <w:r>
        <w:rPr>
          <w:rStyle w:val="a7"/>
        </w:rPr>
        <w:footnoteRef/>
      </w:r>
      <w:r>
        <w:rPr>
          <w:rtl/>
        </w:rPr>
        <w:t xml:space="preserve"> </w:t>
      </w:r>
      <w:r w:rsidRPr="003855D4">
        <w:rPr>
          <w:rFonts w:cs="Arial"/>
          <w:rtl/>
        </w:rPr>
        <w:t>הרב קיצר כאן קצת שבהגהת ש"ד והגהת או"ה לא התיר מהרא"י בספק אלא הקרי"ן מטעם דהרבה פוסקים אינם אוסרים אלא בסכין בן יומו וכן יש פוסקים אינם אוסרים אלא בצנון ולא במידי אחריני וא"כ בצנון היכא דידוע שהסכין היה ב"י אלא דמסופק אם חתך בו הצנון או לא דאי הוי חתך ביה בודאי הוי אסור לכ"ע ספיקא לחומרא</w:t>
      </w:r>
      <w:r>
        <w:rPr>
          <w:rFonts w:cs="Arial" w:hint="cs"/>
          <w:rtl/>
        </w:rPr>
        <w:t>, ש"ך (סקי"ב).</w:t>
      </w:r>
    </w:p>
  </w:footnote>
  <w:footnote w:id="1698">
    <w:p w14:paraId="5B2A256A" w14:textId="77777777" w:rsidR="004C5A3C" w:rsidRDefault="004C5A3C" w:rsidP="002C39F4">
      <w:pPr>
        <w:pStyle w:val="a5"/>
      </w:pPr>
      <w:r>
        <w:rPr>
          <w:rStyle w:val="a7"/>
        </w:rPr>
        <w:footnoteRef/>
      </w:r>
      <w:r>
        <w:rPr>
          <w:rtl/>
        </w:rPr>
        <w:t xml:space="preserve"> </w:t>
      </w:r>
      <w:r>
        <w:rPr>
          <w:rFonts w:cs="Arial" w:hint="cs"/>
          <w:rtl/>
        </w:rPr>
        <w:t>ו</w:t>
      </w:r>
      <w:r>
        <w:rPr>
          <w:rFonts w:cs="Arial"/>
          <w:rtl/>
        </w:rPr>
        <w:t xml:space="preserve">אף אם נחתכו בסכין מ"מ סתם כלי של </w:t>
      </w:r>
      <w:r>
        <w:rPr>
          <w:rFonts w:cs="Arial" w:hint="cs"/>
          <w:rtl/>
        </w:rPr>
        <w:t>גו</w:t>
      </w:r>
      <w:r>
        <w:rPr>
          <w:rFonts w:cs="Arial"/>
          <w:rtl/>
        </w:rPr>
        <w:t>ים אינו ב</w:t>
      </w:r>
      <w:r>
        <w:rPr>
          <w:rFonts w:cs="Arial" w:hint="cs"/>
          <w:rtl/>
        </w:rPr>
        <w:t xml:space="preserve">ן </w:t>
      </w:r>
      <w:r>
        <w:rPr>
          <w:rFonts w:cs="Arial"/>
          <w:rtl/>
        </w:rPr>
        <w:t>י</w:t>
      </w:r>
      <w:r>
        <w:rPr>
          <w:rFonts w:cs="Arial" w:hint="cs"/>
          <w:rtl/>
        </w:rPr>
        <w:t>ומו</w:t>
      </w:r>
      <w:r>
        <w:rPr>
          <w:rFonts w:cs="Arial"/>
          <w:rtl/>
        </w:rPr>
        <w:t xml:space="preserve"> ויש פוסקים מכשירין באינו ב</w:t>
      </w:r>
      <w:r>
        <w:rPr>
          <w:rFonts w:cs="Arial" w:hint="cs"/>
          <w:rtl/>
        </w:rPr>
        <w:t>ן יומו.</w:t>
      </w:r>
      <w:r>
        <w:rPr>
          <w:rFonts w:cs="Arial"/>
          <w:rtl/>
        </w:rPr>
        <w:t xml:space="preserve"> וכתוב בת"ח שם בשם הגהת או"ה שכל החתוכים שהן חתוכים לצד זנבותיהם עד חצי הצנון תלינן במרא וחצינא אבל למעלה מזה לא</w:t>
      </w:r>
      <w:r>
        <w:rPr>
          <w:rFonts w:hint="cs"/>
          <w:rtl/>
        </w:rPr>
        <w:t>, ש"ך (סקי"ג-ד).</w:t>
      </w:r>
    </w:p>
  </w:footnote>
  <w:footnote w:id="1699">
    <w:p w14:paraId="7AEA4865" w14:textId="77777777" w:rsidR="004C5A3C" w:rsidRDefault="004C5A3C" w:rsidP="002C39F4">
      <w:pPr>
        <w:pStyle w:val="a5"/>
      </w:pPr>
      <w:r>
        <w:rPr>
          <w:rStyle w:val="a7"/>
        </w:rPr>
        <w:footnoteRef/>
      </w:r>
      <w:r>
        <w:rPr>
          <w:rtl/>
        </w:rPr>
        <w:t xml:space="preserve"> </w:t>
      </w:r>
      <w:r w:rsidRPr="003855D4">
        <w:rPr>
          <w:rFonts w:cs="Arial"/>
          <w:rtl/>
        </w:rPr>
        <w:t>אבל במקום שנמצא לקנות אחרים הוי כלכתחלה דאסור כולו</w:t>
      </w:r>
      <w:r>
        <w:rPr>
          <w:rFonts w:cs="Arial" w:hint="cs"/>
          <w:rtl/>
        </w:rPr>
        <w:t>, ש"ך (סקט"ו).</w:t>
      </w:r>
    </w:p>
  </w:footnote>
  <w:footnote w:id="1700">
    <w:p w14:paraId="08E83252" w14:textId="77777777" w:rsidR="004C5A3C" w:rsidRDefault="004C5A3C" w:rsidP="002C39F4">
      <w:pPr>
        <w:pStyle w:val="a5"/>
        <w:rPr>
          <w:rtl/>
        </w:rPr>
      </w:pPr>
      <w:r>
        <w:rPr>
          <w:rStyle w:val="a7"/>
        </w:rPr>
        <w:footnoteRef/>
      </w:r>
      <w:r>
        <w:rPr>
          <w:rtl/>
        </w:rPr>
        <w:t xml:space="preserve"> </w:t>
      </w:r>
      <w:r>
        <w:rPr>
          <w:rFonts w:hint="cs"/>
          <w:rtl/>
        </w:rPr>
        <w:t>וז"ל (עשין סי' כז ד"ה הפלפל)-</w:t>
      </w:r>
      <w:r w:rsidRPr="00111999">
        <w:rPr>
          <w:rtl/>
        </w:rPr>
        <w:t xml:space="preserve"> </w:t>
      </w:r>
      <w:r w:rsidRPr="00111999">
        <w:rPr>
          <w:rFonts w:cs="Arial"/>
          <w:rtl/>
        </w:rPr>
        <w:t>הפלפל והזנגביל יבשים אין טעונים ברכה והאוכלן ביום הכיפורים פטור וכשהן רטובין מברכין עליהם בורא פרי העץ ומותר אם עשאוהו גוים אפילו נפסק בסכין של גוים דנותן טעם לפגם מותר דסתם כליהם אינם בני יומן</w:t>
      </w:r>
      <w:r>
        <w:rPr>
          <w:rFonts w:cs="Arial" w:hint="cs"/>
          <w:rtl/>
        </w:rPr>
        <w:t>.</w:t>
      </w:r>
    </w:p>
  </w:footnote>
  <w:footnote w:id="1701">
    <w:p w14:paraId="4EDF2F5B" w14:textId="77777777" w:rsidR="004C5A3C" w:rsidRDefault="004C5A3C" w:rsidP="002C39F4">
      <w:pPr>
        <w:pStyle w:val="a5"/>
        <w:rPr>
          <w:rtl/>
        </w:rPr>
      </w:pPr>
      <w:r>
        <w:rPr>
          <w:rStyle w:val="a7"/>
        </w:rPr>
        <w:footnoteRef/>
      </w:r>
      <w:r>
        <w:rPr>
          <w:rtl/>
        </w:rPr>
        <w:t xml:space="preserve"> </w:t>
      </w:r>
      <w:r>
        <w:rPr>
          <w:rFonts w:cs="Arial" w:hint="cs"/>
          <w:rtl/>
        </w:rPr>
        <w:t xml:space="preserve">וכ' הדרכ"מ </w:t>
      </w:r>
      <w:r>
        <w:rPr>
          <w:rFonts w:cs="Arial"/>
          <w:rtl/>
        </w:rPr>
        <w:t>(</w:t>
      </w:r>
      <w:r>
        <w:rPr>
          <w:rFonts w:cs="Arial" w:hint="cs"/>
          <w:rtl/>
        </w:rPr>
        <w:t xml:space="preserve">אות </w:t>
      </w:r>
      <w:r>
        <w:rPr>
          <w:rFonts w:cs="Arial"/>
          <w:rtl/>
        </w:rPr>
        <w:t>ד)</w:t>
      </w:r>
      <w:r>
        <w:rPr>
          <w:rFonts w:cs="Arial" w:hint="cs"/>
          <w:rtl/>
        </w:rPr>
        <w:t xml:space="preserve">- </w:t>
      </w:r>
      <w:r w:rsidRPr="00D042BF">
        <w:rPr>
          <w:rFonts w:cs="Arial"/>
          <w:rtl/>
        </w:rPr>
        <w:t>וצ"ע דהרי קורט של חילתית לית ביה לחלוחית יותר מזנגביל ואפילו הכי אסור</w:t>
      </w:r>
      <w:r w:rsidRPr="00D042BF">
        <w:rPr>
          <w:rFonts w:cs="Arial" w:hint="cs"/>
          <w:rtl/>
        </w:rPr>
        <w:t>,</w:t>
      </w:r>
      <w:r w:rsidRPr="00D042BF">
        <w:rPr>
          <w:rFonts w:cs="Arial"/>
          <w:rtl/>
        </w:rPr>
        <w:t xml:space="preserve"> ע"כ נראה דמאן דמתיר זנגביל מטעם דסתם כליהם של גוים אינן בני יומן ס"ל דדוקא קורט של חילתית ולא שאר דברים חריפים כסברת מהר"ם ושאר גדולים</w:t>
      </w:r>
      <w:r w:rsidRPr="00D042BF">
        <w:rPr>
          <w:rFonts w:cs="Arial" w:hint="cs"/>
          <w:rtl/>
        </w:rPr>
        <w:t>,</w:t>
      </w:r>
      <w:r w:rsidRPr="00D042BF">
        <w:rPr>
          <w:rFonts w:cs="Arial"/>
          <w:rtl/>
        </w:rPr>
        <w:t xml:space="preserve"> אבל לדברי ס</w:t>
      </w:r>
      <w:r w:rsidRPr="00D042BF">
        <w:rPr>
          <w:rFonts w:cs="Arial" w:hint="cs"/>
          <w:rtl/>
        </w:rPr>
        <w:t>ה"ת</w:t>
      </w:r>
      <w:r w:rsidRPr="00D042BF">
        <w:rPr>
          <w:rFonts w:cs="Arial"/>
          <w:rtl/>
        </w:rPr>
        <w:t xml:space="preserve"> דמדמי כל דברים חריפים להדדי אין לחלק ג"כ בין דבר שיש בו לחלוחית לאין לו</w:t>
      </w:r>
      <w:r w:rsidRPr="00D042BF">
        <w:rPr>
          <w:rFonts w:cs="Arial" w:hint="cs"/>
          <w:rtl/>
        </w:rPr>
        <w:t>,</w:t>
      </w:r>
      <w:r w:rsidRPr="00D042BF">
        <w:rPr>
          <w:rFonts w:cs="Arial"/>
          <w:rtl/>
        </w:rPr>
        <w:t xml:space="preserve"> ועיין לקמן סי</w:t>
      </w:r>
      <w:r w:rsidRPr="00D042BF">
        <w:rPr>
          <w:rFonts w:cs="Arial" w:hint="cs"/>
          <w:rtl/>
        </w:rPr>
        <w:t>'</w:t>
      </w:r>
      <w:r w:rsidRPr="00D042BF">
        <w:rPr>
          <w:rFonts w:cs="Arial"/>
          <w:rtl/>
        </w:rPr>
        <w:t xml:space="preserve"> קכב (עמ' תקמז) טעם שאנו אוכלין מרקחת של גוים</w:t>
      </w:r>
      <w:r w:rsidRPr="00D042BF">
        <w:rPr>
          <w:rFonts w:cs="Arial" w:hint="cs"/>
          <w:rtl/>
        </w:rPr>
        <w:t>,</w:t>
      </w:r>
      <w:r w:rsidRPr="00D042BF">
        <w:rPr>
          <w:rFonts w:cs="Arial"/>
          <w:rtl/>
        </w:rPr>
        <w:t xml:space="preserve"> ובמרדכי (</w:t>
      </w:r>
      <w:r>
        <w:rPr>
          <w:rFonts w:cs="Arial" w:hint="cs"/>
          <w:rtl/>
        </w:rPr>
        <w:t xml:space="preserve">רפכ"מ </w:t>
      </w:r>
      <w:r w:rsidRPr="00D042BF">
        <w:rPr>
          <w:rFonts w:cs="Arial"/>
          <w:rtl/>
        </w:rPr>
        <w:t>סי' קטז) כדברי הטור לקמן סי</w:t>
      </w:r>
      <w:r w:rsidRPr="00D042BF">
        <w:rPr>
          <w:rFonts w:cs="Arial" w:hint="cs"/>
          <w:rtl/>
        </w:rPr>
        <w:t>'</w:t>
      </w:r>
      <w:r w:rsidRPr="00D042BF">
        <w:rPr>
          <w:rFonts w:cs="Arial"/>
          <w:rtl/>
        </w:rPr>
        <w:t xml:space="preserve"> קכב דטעם שאנו אוכלין זנגביל מרוקח משום שיש להם כלים מיוחדים לכך או מטעם שסתם כלים של גוים אינם בני יומן ובודאי לא נחתך בסכין של גוי אלא נתלש כך דלא גרע מקורט של חילתית עכ"ל</w:t>
      </w:r>
      <w:r w:rsidRPr="00D042BF">
        <w:rPr>
          <w:rFonts w:cs="Arial" w:hint="cs"/>
          <w:rtl/>
        </w:rPr>
        <w:t>,</w:t>
      </w:r>
      <w:r w:rsidRPr="00D042BF">
        <w:rPr>
          <w:rFonts w:cs="Arial"/>
          <w:rtl/>
        </w:rPr>
        <w:t xml:space="preserve"> משמע בהדיא כדברי</w:t>
      </w:r>
      <w:r w:rsidRPr="00D042BF">
        <w:rPr>
          <w:rFonts w:cs="Arial" w:hint="cs"/>
          <w:rtl/>
        </w:rPr>
        <w:t>,</w:t>
      </w:r>
      <w:r w:rsidRPr="00D042BF">
        <w:rPr>
          <w:rFonts w:cs="Arial"/>
          <w:rtl/>
        </w:rPr>
        <w:t xml:space="preserve"> דאם נחתך בו אסור רק שתלינן שנתלש</w:t>
      </w:r>
      <w:r w:rsidRPr="00D042BF">
        <w:rPr>
          <w:rFonts w:cs="Arial" w:hint="cs"/>
          <w:rtl/>
        </w:rPr>
        <w:t>,</w:t>
      </w:r>
      <w:r w:rsidRPr="00D042BF">
        <w:rPr>
          <w:rFonts w:cs="Arial"/>
          <w:rtl/>
        </w:rPr>
        <w:t xml:space="preserve"> ומה שהוצרך לטעם דסתם כלים אינן ב"י היינו באותן כלים שמבשלים בהן המרקחת אבל זה לא מהני לענין אם נחתך בסכין של גוי</w:t>
      </w:r>
      <w:r w:rsidRPr="00D042BF">
        <w:rPr>
          <w:rFonts w:cs="Arial" w:hint="cs"/>
          <w:rtl/>
        </w:rPr>
        <w:t>,</w:t>
      </w:r>
      <w:r w:rsidRPr="00D042BF">
        <w:rPr>
          <w:rFonts w:cs="Arial"/>
          <w:rtl/>
        </w:rPr>
        <w:t xml:space="preserve"> ואפשר שגם דעת הסמ"ג כן ולא כמו שהבינו בעל ה</w:t>
      </w:r>
      <w:r>
        <w:rPr>
          <w:rFonts w:cs="Arial"/>
          <w:rtl/>
        </w:rPr>
        <w:t>או"ה</w:t>
      </w:r>
      <w:r w:rsidRPr="00D042BF">
        <w:rPr>
          <w:rFonts w:cs="Arial" w:hint="cs"/>
          <w:rtl/>
        </w:rPr>
        <w:t>,</w:t>
      </w:r>
      <w:r w:rsidRPr="00D042BF">
        <w:rPr>
          <w:rFonts w:cs="Arial"/>
          <w:rtl/>
        </w:rPr>
        <w:t xml:space="preserve"> כן נ"ל</w:t>
      </w:r>
      <w:r w:rsidRPr="00D042BF">
        <w:rPr>
          <w:rFonts w:cs="Arial" w:hint="cs"/>
          <w:rtl/>
        </w:rPr>
        <w:t>.</w:t>
      </w:r>
      <w:r>
        <w:rPr>
          <w:rFonts w:hint="cs"/>
          <w:rtl/>
        </w:rPr>
        <w:t xml:space="preserve"> </w:t>
      </w:r>
      <w:r w:rsidRPr="00D042BF">
        <w:rPr>
          <w:rFonts w:cs="Arial" w:hint="cs"/>
          <w:color w:val="00B0F0"/>
          <w:rtl/>
        </w:rPr>
        <w:t>(וכ"פ בהג"ה)</w:t>
      </w:r>
    </w:p>
  </w:footnote>
  <w:footnote w:id="1702">
    <w:p w14:paraId="63289F68" w14:textId="77777777" w:rsidR="004C5A3C" w:rsidRDefault="004C5A3C" w:rsidP="002C39F4">
      <w:pPr>
        <w:pStyle w:val="a5"/>
        <w:rPr>
          <w:rtl/>
        </w:rPr>
      </w:pPr>
      <w:r>
        <w:rPr>
          <w:rStyle w:val="a7"/>
        </w:rPr>
        <w:footnoteRef/>
      </w:r>
      <w:r>
        <w:rPr>
          <w:rtl/>
        </w:rPr>
        <w:t xml:space="preserve"> </w:t>
      </w:r>
      <w:r w:rsidRPr="000B632D">
        <w:rPr>
          <w:rFonts w:cs="Arial"/>
          <w:rtl/>
        </w:rPr>
        <w:t>בכתבי הרב הגדול מהר"ר דניאל זצ"ל כתב נראה דהני בצלים כשהם קטנים אינם חריפים כ"כ ואם חתכם בסכין שאינו בן יומו יש להקל במקום הפסד ע"כ</w:t>
      </w:r>
      <w:r>
        <w:rPr>
          <w:rFonts w:hint="cs"/>
          <w:rtl/>
        </w:rPr>
        <w:t>, פת"ש (סק"ג).</w:t>
      </w:r>
    </w:p>
  </w:footnote>
  <w:footnote w:id="1703">
    <w:p w14:paraId="28784175" w14:textId="77777777" w:rsidR="004C5A3C" w:rsidRDefault="004C5A3C" w:rsidP="002C39F4">
      <w:pPr>
        <w:pStyle w:val="a5"/>
        <w:rPr>
          <w:rtl/>
        </w:rPr>
      </w:pPr>
      <w:r>
        <w:rPr>
          <w:rStyle w:val="a7"/>
        </w:rPr>
        <w:footnoteRef/>
      </w:r>
      <w:r>
        <w:rPr>
          <w:rtl/>
        </w:rPr>
        <w:t xml:space="preserve"> </w:t>
      </w:r>
      <w:r w:rsidRPr="006A5933">
        <w:rPr>
          <w:rFonts w:cs="Arial"/>
          <w:rtl/>
        </w:rPr>
        <w:t>בת"ח כלל ס"א כתב בשם או"ה דתפוחים חמוצים לא מיקרי דבר חריף</w:t>
      </w:r>
      <w:r>
        <w:rPr>
          <w:rFonts w:cs="Arial" w:hint="cs"/>
          <w:rtl/>
        </w:rPr>
        <w:t>,</w:t>
      </w:r>
      <w:r w:rsidRPr="006A5933">
        <w:rPr>
          <w:rFonts w:cs="Arial"/>
          <w:rtl/>
        </w:rPr>
        <w:t xml:space="preserve"> </w:t>
      </w:r>
      <w:r>
        <w:rPr>
          <w:rFonts w:cs="Arial"/>
          <w:rtl/>
        </w:rPr>
        <w:t>ונראה דבמקום הפסד יש לסמוך ע</w:t>
      </w:r>
      <w:r>
        <w:rPr>
          <w:rFonts w:cs="Arial" w:hint="cs"/>
          <w:rtl/>
        </w:rPr>
        <w:t>"</w:t>
      </w:r>
      <w:r>
        <w:rPr>
          <w:rFonts w:cs="Arial"/>
          <w:rtl/>
        </w:rPr>
        <w:t>ז</w:t>
      </w:r>
      <w:r w:rsidRPr="006A5933">
        <w:rPr>
          <w:rFonts w:cs="Arial"/>
          <w:rtl/>
        </w:rPr>
        <w:t xml:space="preserve"> מטעם שכתבתי בסמוך בשם מהרא"י ואותו משקה שעושין במדינות רוסי"א מסובין עם מים שקורין אותו בארש"ט נראה פשוט דמיקרי דבר חריף אפי' אינו מחומץ הרבה עדיין מידי ד</w:t>
      </w:r>
      <w:r>
        <w:rPr>
          <w:rFonts w:cs="Arial"/>
          <w:rtl/>
        </w:rPr>
        <w:t xml:space="preserve">הוה אחומץ שאינו חזק בפכ"צ </w:t>
      </w:r>
      <w:r>
        <w:rPr>
          <w:rFonts w:cs="Arial" w:hint="cs"/>
          <w:rtl/>
        </w:rPr>
        <w:t>(</w:t>
      </w:r>
      <w:r>
        <w:rPr>
          <w:rFonts w:cs="Arial"/>
          <w:rtl/>
        </w:rPr>
        <w:t>ע</w:t>
      </w:r>
      <w:r w:rsidRPr="006A5933">
        <w:rPr>
          <w:rFonts w:cs="Arial"/>
          <w:rtl/>
        </w:rPr>
        <w:t>ד</w:t>
      </w:r>
      <w:r>
        <w:rPr>
          <w:rFonts w:cs="Arial" w:hint="cs"/>
          <w:rtl/>
        </w:rPr>
        <w:t xml:space="preserve">:) </w:t>
      </w:r>
      <w:r w:rsidRPr="006A5933">
        <w:rPr>
          <w:rFonts w:cs="Arial"/>
          <w:rtl/>
        </w:rPr>
        <w:t>לענין חליטה דאיתא לקיוהא דפרי בעינא</w:t>
      </w:r>
      <w:r>
        <w:rPr>
          <w:rFonts w:hint="cs"/>
          <w:rtl/>
        </w:rPr>
        <w:t>, ט"ז (סק"ט).</w:t>
      </w:r>
    </w:p>
  </w:footnote>
  <w:footnote w:id="1704">
    <w:p w14:paraId="2873F5D4" w14:textId="77777777" w:rsidR="004C5A3C" w:rsidRDefault="004C5A3C" w:rsidP="002C39F4">
      <w:pPr>
        <w:pStyle w:val="a5"/>
      </w:pPr>
      <w:r>
        <w:rPr>
          <w:rStyle w:val="a7"/>
        </w:rPr>
        <w:footnoteRef/>
      </w:r>
      <w:r>
        <w:rPr>
          <w:rtl/>
        </w:rPr>
        <w:t xml:space="preserve"> </w:t>
      </w:r>
      <w:r w:rsidRPr="006A5933">
        <w:rPr>
          <w:rFonts w:cs="Arial"/>
          <w:rtl/>
        </w:rPr>
        <w:t>משמע דלדעת המחבר אסורים כדי נטילה</w:t>
      </w:r>
      <w:r>
        <w:rPr>
          <w:rFonts w:cs="Arial" w:hint="cs"/>
          <w:rtl/>
        </w:rPr>
        <w:t>,</w:t>
      </w:r>
      <w:r w:rsidRPr="006A5933">
        <w:rPr>
          <w:rFonts w:cs="Arial"/>
          <w:rtl/>
        </w:rPr>
        <w:t xml:space="preserve"> ולדעת הרב לכתחלה אסורי</w:t>
      </w:r>
      <w:r>
        <w:rPr>
          <w:rFonts w:cs="Arial" w:hint="cs"/>
          <w:rtl/>
        </w:rPr>
        <w:t>ם</w:t>
      </w:r>
      <w:r w:rsidRPr="006A5933">
        <w:rPr>
          <w:rFonts w:cs="Arial"/>
          <w:rtl/>
        </w:rPr>
        <w:t xml:space="preserve"> כולו ובדיעבד צריך לשער כדי נטילה</w:t>
      </w:r>
      <w:r>
        <w:rPr>
          <w:rFonts w:cs="Arial" w:hint="cs"/>
          <w:rtl/>
        </w:rPr>
        <w:t>,</w:t>
      </w:r>
      <w:r w:rsidRPr="006A5933">
        <w:rPr>
          <w:rFonts w:cs="Arial"/>
          <w:rtl/>
        </w:rPr>
        <w:t xml:space="preserve"> אבל בת"ח שם ד"ט מביא בשם או"ה דאם חתך דגים מלוחים בסכין של איסור צריך גרידה ואם חתכה קודם שנמלחו סגי</w:t>
      </w:r>
      <w:r>
        <w:rPr>
          <w:rFonts w:cs="Arial"/>
          <w:rtl/>
        </w:rPr>
        <w:t xml:space="preserve"> בהדחה עכ"ל וכ</w:t>
      </w:r>
      <w:r>
        <w:rPr>
          <w:rFonts w:cs="Arial" w:hint="cs"/>
          <w:rtl/>
        </w:rPr>
        <w:t xml:space="preserve">ן </w:t>
      </w:r>
      <w:r>
        <w:rPr>
          <w:rFonts w:cs="Arial"/>
          <w:rtl/>
        </w:rPr>
        <w:t>כ</w:t>
      </w:r>
      <w:r>
        <w:rPr>
          <w:rFonts w:cs="Arial" w:hint="cs"/>
          <w:rtl/>
        </w:rPr>
        <w:t>תבתי</w:t>
      </w:r>
      <w:r>
        <w:rPr>
          <w:rFonts w:cs="Arial"/>
          <w:rtl/>
        </w:rPr>
        <w:t xml:space="preserve"> לעיל סי' ס"ט סק</w:t>
      </w:r>
      <w:r w:rsidRPr="006A5933">
        <w:rPr>
          <w:rFonts w:cs="Arial"/>
          <w:rtl/>
        </w:rPr>
        <w:t>פ"ט בשם הרב</w:t>
      </w:r>
      <w:r>
        <w:rPr>
          <w:rFonts w:cs="Arial" w:hint="cs"/>
          <w:rtl/>
        </w:rPr>
        <w:t>,</w:t>
      </w:r>
      <w:r w:rsidRPr="006A5933">
        <w:rPr>
          <w:rFonts w:cs="Arial"/>
          <w:rtl/>
        </w:rPr>
        <w:t xml:space="preserve"> וצ"ל דהמחבר מיירי כשהם מלוחים ביותר דאז אגב חורפיה דמלח ודוחקא דסכינא בלעי טפי אבל משום מעט מלח לא חשיבי חריף כדלעיל סי' צ"ה ס"ב בהג"ה</w:t>
      </w:r>
      <w:r>
        <w:rPr>
          <w:rFonts w:cs="Arial" w:hint="cs"/>
          <w:rtl/>
        </w:rPr>
        <w:t>, ש"ך (סקט"ז).</w:t>
      </w:r>
    </w:p>
  </w:footnote>
  <w:footnote w:id="1705">
    <w:p w14:paraId="03AA9512" w14:textId="77777777" w:rsidR="004C5A3C" w:rsidRDefault="004C5A3C" w:rsidP="002C39F4">
      <w:pPr>
        <w:pStyle w:val="a5"/>
      </w:pPr>
      <w:r>
        <w:rPr>
          <w:rStyle w:val="a7"/>
        </w:rPr>
        <w:footnoteRef/>
      </w:r>
      <w:r>
        <w:rPr>
          <w:rtl/>
        </w:rPr>
        <w:t xml:space="preserve"> </w:t>
      </w:r>
      <w:r w:rsidRPr="006D1D4C">
        <w:rPr>
          <w:rFonts w:cs="Arial"/>
          <w:rtl/>
        </w:rPr>
        <w:t>משמע דאי ידעינ</w:t>
      </w:r>
      <w:r>
        <w:rPr>
          <w:rFonts w:cs="Arial"/>
          <w:rtl/>
        </w:rPr>
        <w:t xml:space="preserve">ן בודאי שנחתך בסכין של </w:t>
      </w:r>
      <w:r>
        <w:rPr>
          <w:rFonts w:cs="Arial" w:hint="cs"/>
          <w:rtl/>
        </w:rPr>
        <w:t>גו</w:t>
      </w:r>
      <w:r w:rsidRPr="006D1D4C">
        <w:rPr>
          <w:rFonts w:cs="Arial"/>
          <w:rtl/>
        </w:rPr>
        <w:t>ים אפי' אינו ב"י אסור דדמי לקורט של חלתית</w:t>
      </w:r>
      <w:r>
        <w:rPr>
          <w:rFonts w:cs="Arial" w:hint="cs"/>
          <w:rtl/>
        </w:rPr>
        <w:t>,</w:t>
      </w:r>
      <w:r w:rsidRPr="006D1D4C">
        <w:rPr>
          <w:rFonts w:cs="Arial"/>
          <w:rtl/>
        </w:rPr>
        <w:t xml:space="preserve"> וכ"כ בת"ח שם ד"ז בהדיא</w:t>
      </w:r>
      <w:r>
        <w:rPr>
          <w:rFonts w:cs="Arial" w:hint="cs"/>
          <w:rtl/>
        </w:rPr>
        <w:t>,</w:t>
      </w:r>
      <w:r>
        <w:rPr>
          <w:rFonts w:cs="Arial"/>
          <w:rtl/>
        </w:rPr>
        <w:t xml:space="preserve"> אכן בסמ"ג גבי דיני ברכות (דף ק</w:t>
      </w:r>
      <w:r>
        <w:rPr>
          <w:rFonts w:cs="Arial" w:hint="cs"/>
          <w:rtl/>
        </w:rPr>
        <w:t>י</w:t>
      </w:r>
      <w:r>
        <w:rPr>
          <w:rFonts w:cs="Arial"/>
          <w:rtl/>
        </w:rPr>
        <w:t>ג</w:t>
      </w:r>
      <w:r>
        <w:rPr>
          <w:rFonts w:cs="Arial" w:hint="cs"/>
          <w:rtl/>
        </w:rPr>
        <w:t>:</w:t>
      </w:r>
      <w:r w:rsidRPr="006D1D4C">
        <w:rPr>
          <w:rFonts w:cs="Arial"/>
          <w:rtl/>
        </w:rPr>
        <w:t>) משמע בהדיא כמ"ש האו"ה דאפילו חתך בודאי בסכין זנגבילא רטיבתא מותר</w:t>
      </w:r>
      <w:r>
        <w:rPr>
          <w:rFonts w:cs="Arial" w:hint="cs"/>
          <w:rtl/>
        </w:rPr>
        <w:t>,</w:t>
      </w:r>
      <w:r w:rsidRPr="006D1D4C">
        <w:rPr>
          <w:rFonts w:cs="Arial"/>
          <w:rtl/>
        </w:rPr>
        <w:t xml:space="preserve"> וא"כ צ"ל דל"ד לחלתית ושאר דברים שהם חריפים ביותר</w:t>
      </w:r>
      <w:r>
        <w:rPr>
          <w:rFonts w:cs="Arial" w:hint="cs"/>
          <w:rtl/>
        </w:rPr>
        <w:t>,</w:t>
      </w:r>
      <w:r w:rsidRPr="006D1D4C">
        <w:rPr>
          <w:rFonts w:cs="Arial"/>
          <w:rtl/>
        </w:rPr>
        <w:t xml:space="preserve"> והלכך אפילו אינו מלחלח משוי ליה לשבח משא"כ בזנגביל</w:t>
      </w:r>
      <w:r>
        <w:rPr>
          <w:rFonts w:cs="Arial" w:hint="cs"/>
          <w:rtl/>
        </w:rPr>
        <w:t>,</w:t>
      </w:r>
      <w:r w:rsidRPr="006D1D4C">
        <w:rPr>
          <w:rFonts w:cs="Arial"/>
          <w:rtl/>
        </w:rPr>
        <w:t xml:space="preserve"> וכ"כ מהרש"ל בביאוריו לסמ"ג דל"ד לחלתית</w:t>
      </w:r>
      <w:r>
        <w:rPr>
          <w:rFonts w:cs="Arial" w:hint="cs"/>
          <w:rtl/>
        </w:rPr>
        <w:t>,</w:t>
      </w:r>
      <w:r w:rsidRPr="006D1D4C">
        <w:rPr>
          <w:rFonts w:cs="Arial"/>
          <w:rtl/>
        </w:rPr>
        <w:t xml:space="preserve"> ומ"ש הרב בת"ח שבט</w:t>
      </w:r>
      <w:r>
        <w:rPr>
          <w:rFonts w:cs="Arial" w:hint="cs"/>
          <w:rtl/>
        </w:rPr>
        <w:t xml:space="preserve">ור </w:t>
      </w:r>
      <w:r w:rsidRPr="006D1D4C">
        <w:rPr>
          <w:rFonts w:cs="Arial"/>
          <w:rtl/>
        </w:rPr>
        <w:t>י</w:t>
      </w:r>
      <w:r>
        <w:rPr>
          <w:rFonts w:cs="Arial" w:hint="cs"/>
          <w:rtl/>
        </w:rPr>
        <w:t>ו</w:t>
      </w:r>
      <w:r w:rsidRPr="006D1D4C">
        <w:rPr>
          <w:rFonts w:cs="Arial"/>
          <w:rtl/>
        </w:rPr>
        <w:t>"ד סי'</w:t>
      </w:r>
      <w:r>
        <w:rPr>
          <w:rFonts w:cs="Arial"/>
          <w:rtl/>
        </w:rPr>
        <w:t xml:space="preserve"> קצ"ב משמע שסתם כלי של </w:t>
      </w:r>
      <w:r>
        <w:rPr>
          <w:rFonts w:cs="Arial" w:hint="cs"/>
          <w:rtl/>
        </w:rPr>
        <w:t>גו</w:t>
      </w:r>
      <w:r w:rsidRPr="006D1D4C">
        <w:rPr>
          <w:rFonts w:cs="Arial"/>
          <w:rtl/>
        </w:rPr>
        <w:t>ים אינ</w:t>
      </w:r>
      <w:r>
        <w:rPr>
          <w:rFonts w:cs="Arial"/>
          <w:rtl/>
        </w:rPr>
        <w:t>ו ב"י לחוד לא מהני להתיר הזנגבי</w:t>
      </w:r>
      <w:r w:rsidRPr="006D1D4C">
        <w:rPr>
          <w:rFonts w:cs="Arial"/>
          <w:rtl/>
        </w:rPr>
        <w:t>ל</w:t>
      </w:r>
      <w:r>
        <w:rPr>
          <w:rFonts w:cs="Arial" w:hint="cs"/>
          <w:rtl/>
        </w:rPr>
        <w:t>-</w:t>
      </w:r>
      <w:r w:rsidRPr="006D1D4C">
        <w:rPr>
          <w:rFonts w:cs="Arial"/>
          <w:rtl/>
        </w:rPr>
        <w:t xml:space="preserve"> לא ידעתי שום משמעות</w:t>
      </w:r>
      <w:r>
        <w:rPr>
          <w:rFonts w:cs="Arial" w:hint="cs"/>
          <w:rtl/>
        </w:rPr>
        <w:t>,</w:t>
      </w:r>
      <w:r w:rsidRPr="006D1D4C">
        <w:rPr>
          <w:rFonts w:cs="Arial"/>
          <w:rtl/>
        </w:rPr>
        <w:t xml:space="preserve"> ה</w:t>
      </w:r>
      <w:r>
        <w:rPr>
          <w:rFonts w:cs="Arial"/>
          <w:rtl/>
        </w:rPr>
        <w:t>לכך נראה דאין להחמיר כ"כ בזנגבי</w:t>
      </w:r>
      <w:r w:rsidRPr="006D1D4C">
        <w:rPr>
          <w:rFonts w:cs="Arial"/>
          <w:rtl/>
        </w:rPr>
        <w:t>ל כיון דאפילו בצנון הרבה פוסקים מתירין באינו ב"י</w:t>
      </w:r>
      <w:r>
        <w:rPr>
          <w:rFonts w:cs="Arial" w:hint="cs"/>
          <w:rtl/>
        </w:rPr>
        <w:t>,</w:t>
      </w:r>
      <w:r w:rsidRPr="006D1D4C">
        <w:rPr>
          <w:rFonts w:cs="Arial"/>
          <w:rtl/>
        </w:rPr>
        <w:t xml:space="preserve"> וכן בס' אפי רברב</w:t>
      </w:r>
      <w:r>
        <w:rPr>
          <w:rFonts w:cs="Arial"/>
          <w:rtl/>
        </w:rPr>
        <w:t xml:space="preserve">י </w:t>
      </w:r>
      <w:r>
        <w:rPr>
          <w:rFonts w:cs="Arial" w:hint="cs"/>
          <w:rtl/>
        </w:rPr>
        <w:t>(</w:t>
      </w:r>
      <w:r>
        <w:rPr>
          <w:rFonts w:cs="Arial"/>
          <w:rtl/>
        </w:rPr>
        <w:t>ס</w:t>
      </w:r>
      <w:r w:rsidRPr="006D1D4C">
        <w:rPr>
          <w:rFonts w:cs="Arial"/>
          <w:rtl/>
        </w:rPr>
        <w:t>ב</w:t>
      </w:r>
      <w:r>
        <w:rPr>
          <w:rFonts w:cs="Arial" w:hint="cs"/>
          <w:rtl/>
        </w:rPr>
        <w:t>:)</w:t>
      </w:r>
      <w:r w:rsidRPr="006D1D4C">
        <w:rPr>
          <w:rFonts w:cs="Arial"/>
          <w:rtl/>
        </w:rPr>
        <w:t xml:space="preserve"> מתיר ע"י קליפה באינו ב"י אלא דמ</w:t>
      </w:r>
      <w:r>
        <w:rPr>
          <w:rFonts w:cs="Arial"/>
          <w:rtl/>
        </w:rPr>
        <w:t>חלק שם וכתב דהיינו דוקא בזנגביל</w:t>
      </w:r>
      <w:r w:rsidRPr="006D1D4C">
        <w:rPr>
          <w:rFonts w:cs="Arial"/>
          <w:rtl/>
        </w:rPr>
        <w:t>א יבישתא</w:t>
      </w:r>
      <w:r>
        <w:rPr>
          <w:rFonts w:cs="Arial" w:hint="cs"/>
          <w:rtl/>
        </w:rPr>
        <w:t>,</w:t>
      </w:r>
      <w:r w:rsidRPr="006D1D4C">
        <w:rPr>
          <w:rFonts w:cs="Arial"/>
          <w:rtl/>
        </w:rPr>
        <w:t xml:space="preserve"> אבל באו"ה שם מבואר דביבישתא פשיטא דשרי וכל דבר חריף יבש מותר בהדחה</w:t>
      </w:r>
      <w:r>
        <w:rPr>
          <w:rFonts w:cs="Arial" w:hint="cs"/>
          <w:rtl/>
        </w:rPr>
        <w:t>, ש"ך (סקי"ז).</w:t>
      </w:r>
    </w:p>
  </w:footnote>
  <w:footnote w:id="1706">
    <w:p w14:paraId="422578DB" w14:textId="77777777" w:rsidR="004C5A3C" w:rsidRDefault="004C5A3C" w:rsidP="002C39F4">
      <w:pPr>
        <w:pStyle w:val="a5"/>
      </w:pPr>
      <w:r>
        <w:rPr>
          <w:rStyle w:val="a7"/>
        </w:rPr>
        <w:footnoteRef/>
      </w:r>
      <w:r>
        <w:rPr>
          <w:rtl/>
        </w:rPr>
        <w:t xml:space="preserve"> </w:t>
      </w:r>
      <w:r w:rsidRPr="00FF31C5">
        <w:rPr>
          <w:rFonts w:cs="Arial"/>
          <w:rtl/>
        </w:rPr>
        <w:t>וה"ה מלח שנדוך וכל שאר דברים החריפים</w:t>
      </w:r>
      <w:r>
        <w:rPr>
          <w:rFonts w:cs="Arial" w:hint="cs"/>
          <w:rtl/>
        </w:rPr>
        <w:t>,</w:t>
      </w:r>
      <w:r w:rsidRPr="00FF31C5">
        <w:rPr>
          <w:rFonts w:cs="Arial"/>
          <w:rtl/>
        </w:rPr>
        <w:t xml:space="preserve"> ודוקא שנדוכו אבל לא כשהיו נתונים במדוכה של בשר כדלעיל ס"ס צ"ה וק"ה</w:t>
      </w:r>
      <w:r>
        <w:rPr>
          <w:rFonts w:cs="Arial" w:hint="cs"/>
          <w:rtl/>
        </w:rPr>
        <w:t>,</w:t>
      </w:r>
      <w:r w:rsidRPr="00FF31C5">
        <w:rPr>
          <w:rFonts w:cs="Arial"/>
          <w:rtl/>
        </w:rPr>
        <w:t xml:space="preserve"> ובא</w:t>
      </w:r>
      <w:r>
        <w:rPr>
          <w:rFonts w:cs="Arial" w:hint="cs"/>
          <w:rtl/>
        </w:rPr>
        <w:t>ו</w:t>
      </w:r>
      <w:r w:rsidRPr="00FF31C5">
        <w:rPr>
          <w:rFonts w:cs="Arial"/>
          <w:rtl/>
        </w:rPr>
        <w:t>"ח סי' תמ"ז ס"ו</w:t>
      </w:r>
      <w:r>
        <w:rPr>
          <w:rFonts w:cs="Arial" w:hint="cs"/>
          <w:rtl/>
        </w:rPr>
        <w:t>, ש"ך (סקי"ח).</w:t>
      </w:r>
    </w:p>
  </w:footnote>
  <w:footnote w:id="1707">
    <w:p w14:paraId="329A2E92" w14:textId="77777777" w:rsidR="004C5A3C" w:rsidRDefault="004C5A3C" w:rsidP="002C39F4">
      <w:pPr>
        <w:pStyle w:val="a5"/>
      </w:pPr>
      <w:r>
        <w:rPr>
          <w:rStyle w:val="a7"/>
        </w:rPr>
        <w:footnoteRef/>
      </w:r>
      <w:r>
        <w:rPr>
          <w:rtl/>
        </w:rPr>
        <w:t xml:space="preserve"> </w:t>
      </w:r>
      <w:bookmarkStart w:id="5" w:name="_Hlk506200392"/>
      <w:r w:rsidRPr="00FF31C5">
        <w:rPr>
          <w:rFonts w:cs="Arial"/>
          <w:rtl/>
        </w:rPr>
        <w:t>דמדוכה מסתמא מקונחת</w:t>
      </w:r>
      <w:r>
        <w:rPr>
          <w:rFonts w:cs="Arial" w:hint="cs"/>
          <w:rtl/>
        </w:rPr>
        <w:t>, גר"א (סקי"ב). וכ' הש"ך (סקי"ט) דמלשון</w:t>
      </w:r>
      <w:r w:rsidRPr="00FF31C5">
        <w:rPr>
          <w:rFonts w:cs="Arial"/>
          <w:rtl/>
        </w:rPr>
        <w:t xml:space="preserve"> סה"ת משמע דאפילו כשאינו ב"י אוסר</w:t>
      </w:r>
      <w:r>
        <w:rPr>
          <w:rFonts w:cs="Arial" w:hint="cs"/>
          <w:rtl/>
        </w:rPr>
        <w:t>,</w:t>
      </w:r>
      <w:r w:rsidRPr="00FF31C5">
        <w:rPr>
          <w:rFonts w:cs="Arial"/>
          <w:rtl/>
        </w:rPr>
        <w:t xml:space="preserve"> דהא מדמי ליה לצנון</w:t>
      </w:r>
      <w:r>
        <w:rPr>
          <w:rFonts w:cs="Arial" w:hint="cs"/>
          <w:rtl/>
        </w:rPr>
        <w:t>,</w:t>
      </w:r>
      <w:r w:rsidRPr="00FF31C5">
        <w:rPr>
          <w:rFonts w:cs="Arial"/>
          <w:rtl/>
        </w:rPr>
        <w:t xml:space="preserve"> ועוד דיהב טעמא משום טעם ממש הנבלע שם</w:t>
      </w:r>
      <w:r>
        <w:rPr>
          <w:rFonts w:cs="Arial" w:hint="cs"/>
          <w:rtl/>
        </w:rPr>
        <w:t>,</w:t>
      </w:r>
      <w:r w:rsidRPr="00FF31C5">
        <w:rPr>
          <w:rFonts w:cs="Arial"/>
          <w:rtl/>
        </w:rPr>
        <w:t xml:space="preserve"> </w:t>
      </w:r>
      <w:r>
        <w:rPr>
          <w:rFonts w:cs="Arial"/>
          <w:rtl/>
        </w:rPr>
        <w:t>וא"כ קשה על המחבר למה כ' בסתם ב</w:t>
      </w:r>
      <w:r>
        <w:rPr>
          <w:rFonts w:cs="Arial" w:hint="cs"/>
          <w:rtl/>
        </w:rPr>
        <w:t xml:space="preserve">ן </w:t>
      </w:r>
      <w:r w:rsidRPr="00FF31C5">
        <w:rPr>
          <w:rFonts w:cs="Arial"/>
          <w:rtl/>
        </w:rPr>
        <w:t>י</w:t>
      </w:r>
      <w:r>
        <w:rPr>
          <w:rFonts w:cs="Arial" w:hint="cs"/>
          <w:rtl/>
        </w:rPr>
        <w:t>ומו,</w:t>
      </w:r>
      <w:r w:rsidRPr="00FF31C5">
        <w:rPr>
          <w:rFonts w:cs="Arial"/>
          <w:rtl/>
        </w:rPr>
        <w:t xml:space="preserve"> הא להי"א שבסעיף א' אפילו אינו ב"י אסור</w:t>
      </w:r>
      <w:r>
        <w:rPr>
          <w:rFonts w:cs="Arial" w:hint="cs"/>
          <w:rtl/>
        </w:rPr>
        <w:t>,</w:t>
      </w:r>
      <w:r w:rsidRPr="00FF31C5">
        <w:rPr>
          <w:rFonts w:cs="Arial"/>
          <w:rtl/>
        </w:rPr>
        <w:t xml:space="preserve"> וכ"כ המחבר לקמן סי' ק"ג ס"ו וז"ל</w:t>
      </w:r>
      <w:r>
        <w:rPr>
          <w:rFonts w:cs="Arial" w:hint="cs"/>
          <w:rtl/>
        </w:rPr>
        <w:t>-</w:t>
      </w:r>
      <w:r w:rsidRPr="00FF31C5">
        <w:rPr>
          <w:rFonts w:cs="Arial"/>
          <w:rtl/>
        </w:rPr>
        <w:t xml:space="preserve"> יש מי שאומר שאם שמו פלפלין בקדרה של איסור שאינו ב"י הכל אסור דחורפיה משוי ליה לשבח עכ"ל</w:t>
      </w:r>
      <w:r>
        <w:rPr>
          <w:rFonts w:cs="Arial" w:hint="cs"/>
          <w:rtl/>
        </w:rPr>
        <w:t xml:space="preserve"> </w:t>
      </w:r>
      <w:r w:rsidRPr="00831EA7">
        <w:rPr>
          <w:rFonts w:cs="Arial" w:hint="cs"/>
          <w:sz w:val="16"/>
          <w:szCs w:val="16"/>
          <w:rtl/>
        </w:rPr>
        <w:t>(וגם הט"ז</w:t>
      </w:r>
      <w:r>
        <w:rPr>
          <w:rFonts w:cs="Arial" w:hint="cs"/>
          <w:sz w:val="16"/>
          <w:szCs w:val="16"/>
          <w:rtl/>
        </w:rPr>
        <w:t xml:space="preserve"> [סק"י]</w:t>
      </w:r>
      <w:r w:rsidRPr="00831EA7">
        <w:rPr>
          <w:rFonts w:cs="Arial" w:hint="cs"/>
          <w:sz w:val="16"/>
          <w:szCs w:val="16"/>
          <w:rtl/>
        </w:rPr>
        <w:t xml:space="preserve"> תמה על המחבר מדוע דבריו סותרים לכאורה)</w:t>
      </w:r>
      <w:r>
        <w:rPr>
          <w:rFonts w:cs="Arial" w:hint="cs"/>
          <w:rtl/>
        </w:rPr>
        <w:t>,</w:t>
      </w:r>
      <w:r w:rsidRPr="00FF31C5">
        <w:rPr>
          <w:rFonts w:cs="Arial"/>
          <w:rtl/>
        </w:rPr>
        <w:t xml:space="preserve"> הלכך נראה כדעת הי"א שהביא הרב בהג"ה דכיון דקי"ל כהי"א שבס"א א"כ ה"ה הכא</w:t>
      </w:r>
      <w:r>
        <w:rPr>
          <w:rFonts w:cs="Arial" w:hint="cs"/>
          <w:rtl/>
        </w:rPr>
        <w:t>,</w:t>
      </w:r>
      <w:r w:rsidRPr="00FF31C5">
        <w:rPr>
          <w:rFonts w:cs="Arial"/>
          <w:rtl/>
        </w:rPr>
        <w:t xml:space="preserve"> וכן בסימן צ"ה ס"ס ב' וסימן קכ"ב ס"ג כתב הרב בהג"ה בסתם דאפי' אינו ב"י אסור גבי תבלין וע"ש וכן דעת כל האחרונים וכן נוהגים</w:t>
      </w:r>
      <w:r>
        <w:rPr>
          <w:rFonts w:hint="cs"/>
          <w:rtl/>
        </w:rPr>
        <w:t>. עכ"ל הש"ך. וכ' רעק"א (אות יז, על הט"ז סק"י) דלא קשה על המחבר ממש"כ בסי' קג, ד</w:t>
      </w:r>
      <w:r w:rsidRPr="00831EA7">
        <w:rPr>
          <w:rFonts w:cs="Arial"/>
          <w:rtl/>
        </w:rPr>
        <w:t>כבר כתבו האחרונים דדעת המחבר להקל בצירוף דעת הפוסקים דנ"ט בר נ"ט מותר בחריף ודוחקא</w:t>
      </w:r>
      <w:r>
        <w:rPr>
          <w:rFonts w:cs="Arial" w:hint="cs"/>
          <w:rtl/>
        </w:rPr>
        <w:t>,</w:t>
      </w:r>
      <w:r>
        <w:rPr>
          <w:rFonts w:cs="Arial"/>
          <w:rtl/>
        </w:rPr>
        <w:t xml:space="preserve"> אבל לקמן (בסי' ק</w:t>
      </w:r>
      <w:r w:rsidRPr="00831EA7">
        <w:rPr>
          <w:rFonts w:cs="Arial"/>
          <w:rtl/>
        </w:rPr>
        <w:t>ג) דמיירי באיסור</w:t>
      </w:r>
      <w:r>
        <w:rPr>
          <w:rFonts w:cs="Arial" w:hint="cs"/>
          <w:rtl/>
        </w:rPr>
        <w:t>,</w:t>
      </w:r>
      <w:r w:rsidRPr="00831EA7">
        <w:rPr>
          <w:rFonts w:cs="Arial"/>
          <w:rtl/>
        </w:rPr>
        <w:t xml:space="preserve"> מש"ה אסור</w:t>
      </w:r>
      <w:r>
        <w:rPr>
          <w:rFonts w:cs="Arial" w:hint="cs"/>
          <w:rtl/>
        </w:rPr>
        <w:t>,</w:t>
      </w:r>
      <w:r>
        <w:rPr>
          <w:rFonts w:cs="Arial"/>
          <w:rtl/>
        </w:rPr>
        <w:t xml:space="preserve"> דעל סברא זו לחוד דלא מחלי</w:t>
      </w:r>
      <w:r>
        <w:rPr>
          <w:rFonts w:cs="Arial" w:hint="cs"/>
          <w:rtl/>
        </w:rPr>
        <w:t>א</w:t>
      </w:r>
      <w:r w:rsidRPr="00831EA7">
        <w:rPr>
          <w:rFonts w:cs="Arial"/>
          <w:rtl/>
        </w:rPr>
        <w:t xml:space="preserve"> לשבח רק חלתית לא סמכינן</w:t>
      </w:r>
      <w:r>
        <w:rPr>
          <w:rFonts w:cs="Arial" w:hint="cs"/>
          <w:rtl/>
        </w:rPr>
        <w:t>,</w:t>
      </w:r>
      <w:r w:rsidRPr="00831EA7">
        <w:rPr>
          <w:rFonts w:cs="Arial"/>
          <w:rtl/>
        </w:rPr>
        <w:t xml:space="preserve"> ולענ"ד י"ל דהכא סמכינן בצירוף הפוסקים דרק בצנון דוחקא וחריף מפליט אבל לא בשאר דברים חריפים</w:t>
      </w:r>
      <w:r>
        <w:rPr>
          <w:rFonts w:cs="Arial" w:hint="cs"/>
          <w:rtl/>
        </w:rPr>
        <w:t>,</w:t>
      </w:r>
      <w:r w:rsidRPr="00831EA7">
        <w:rPr>
          <w:rFonts w:cs="Arial"/>
          <w:rtl/>
        </w:rPr>
        <w:t xml:space="preserve"> מש"ה בסעיף א' לא הכריע דבצנון אסור והכא בתבלין הכריע להקל בצירוף דלא פלט ובלע כלל</w:t>
      </w:r>
      <w:r>
        <w:rPr>
          <w:rFonts w:cs="Arial" w:hint="cs"/>
          <w:rtl/>
        </w:rPr>
        <w:t>,</w:t>
      </w:r>
      <w:r>
        <w:rPr>
          <w:rFonts w:cs="Arial"/>
          <w:rtl/>
        </w:rPr>
        <w:t xml:space="preserve"> ולקמן (סי' ק</w:t>
      </w:r>
      <w:r w:rsidRPr="00831EA7">
        <w:rPr>
          <w:rFonts w:cs="Arial"/>
          <w:rtl/>
        </w:rPr>
        <w:t>ג) דמיירי בבישול דודאי בלע אסור ודו"ק</w:t>
      </w:r>
      <w:bookmarkEnd w:id="5"/>
      <w:r>
        <w:rPr>
          <w:rFonts w:hint="cs"/>
          <w:rtl/>
        </w:rPr>
        <w:t>.</w:t>
      </w:r>
    </w:p>
  </w:footnote>
  <w:footnote w:id="1708">
    <w:p w14:paraId="5FF955AD" w14:textId="77777777" w:rsidR="004C5A3C" w:rsidRDefault="004C5A3C" w:rsidP="002C39F4">
      <w:pPr>
        <w:pStyle w:val="a5"/>
        <w:rPr>
          <w:rtl/>
        </w:rPr>
      </w:pPr>
      <w:r>
        <w:rPr>
          <w:rStyle w:val="a7"/>
        </w:rPr>
        <w:footnoteRef/>
      </w:r>
      <w:r>
        <w:rPr>
          <w:rtl/>
        </w:rPr>
        <w:t xml:space="preserve"> </w:t>
      </w:r>
      <w:r>
        <w:rPr>
          <w:rFonts w:hint="cs"/>
          <w:rtl/>
        </w:rPr>
        <w:t>בציונים לרמ"א נוסף כאן- "ועיין לעיל סי' צה סוף סע' ב בהג"ה". וכוונת המציין דשם כתב הרמ"א ד-"</w:t>
      </w:r>
      <w:r w:rsidRPr="00354031">
        <w:rPr>
          <w:rFonts w:cs="Arial"/>
          <w:rtl/>
        </w:rPr>
        <w:t>לא מקרי מאכל דבר חריף משום מעט תבלין שבו, רק אם כולו הוא דבר חריף</w:t>
      </w:r>
      <w:r>
        <w:rPr>
          <w:rFonts w:cs="Arial" w:hint="cs"/>
          <w:rtl/>
        </w:rPr>
        <w:t>,</w:t>
      </w:r>
      <w:r w:rsidRPr="00354031">
        <w:rPr>
          <w:rFonts w:cs="Arial"/>
          <w:rtl/>
        </w:rPr>
        <w:t xml:space="preserve"> ורובו ככולו</w:t>
      </w:r>
      <w:r>
        <w:rPr>
          <w:rFonts w:cs="Arial" w:hint="cs"/>
          <w:rtl/>
        </w:rPr>
        <w:t>" ודברים אלו הבין הרמ"א מדברי הרשב"א (סי' תמט) הנ"ל, ולפי שכתב הרשב"א דכשיש מעט תבלין לא מיקרי דבר חריף א"כ כשיש הרבה- מקרי חריף, ואפשר להבין מתשו' הרשב"א הנ"ל גם שכל שיש חום (כגון מרק דשם) או חריפות- אסור אפילו אינו בן יומו.</w:t>
      </w:r>
      <w:r>
        <w:rPr>
          <w:rFonts w:hint="cs"/>
          <w:rtl/>
        </w:rPr>
        <w:t xml:space="preserve"> אמנם כל זה למציין, אך הגר"א (סקי"ג) כתב שהרמ"א פסק כן ע"פ שיטתו בת"ח (כלל סא ד"ז) שסתר שם את דברי הסמ"ג מחלתית דאף בשאינו בן יומו אוסר בדבר חריף.</w:t>
      </w:r>
    </w:p>
  </w:footnote>
  <w:footnote w:id="1709">
    <w:p w14:paraId="7B58C85A" w14:textId="77777777" w:rsidR="004C5A3C" w:rsidRDefault="004C5A3C" w:rsidP="002C39F4">
      <w:pPr>
        <w:pStyle w:val="a5"/>
        <w:rPr>
          <w:rtl/>
        </w:rPr>
      </w:pPr>
      <w:r>
        <w:rPr>
          <w:rStyle w:val="a7"/>
        </w:rPr>
        <w:footnoteRef/>
      </w:r>
      <w:r>
        <w:rPr>
          <w:rtl/>
        </w:rPr>
        <w:t xml:space="preserve"> </w:t>
      </w:r>
      <w:r>
        <w:rPr>
          <w:rFonts w:cs="Arial"/>
          <w:rtl/>
        </w:rPr>
        <w:t>וכן המנהג במקומינו וראיתי מקצת מקומות שנוהגין בו היתר אף באותו הפרום ואפשר דסומכין על דברי שב</w:t>
      </w:r>
      <w:r>
        <w:rPr>
          <w:rFonts w:cs="Arial" w:hint="cs"/>
          <w:rtl/>
        </w:rPr>
        <w:t>ה"ל</w:t>
      </w:r>
      <w:r>
        <w:rPr>
          <w:rFonts w:cs="Arial"/>
          <w:rtl/>
        </w:rPr>
        <w:t xml:space="preserve"> וארוך דס"ל דהראשונים שבלעו איסור בטלים ברוב</w:t>
      </w:r>
      <w:r>
        <w:rPr>
          <w:rFonts w:cs="Arial" w:hint="cs"/>
          <w:rtl/>
        </w:rPr>
        <w:t xml:space="preserve">, </w:t>
      </w:r>
      <w:r>
        <w:rPr>
          <w:rFonts w:cs="Arial"/>
          <w:rtl/>
        </w:rPr>
        <w:t>כנ"ל</w:t>
      </w:r>
      <w:r>
        <w:rPr>
          <w:rFonts w:cs="Arial" w:hint="cs"/>
          <w:rtl/>
        </w:rPr>
        <w:t>,</w:t>
      </w:r>
      <w:r>
        <w:rPr>
          <w:rFonts w:cs="Arial"/>
          <w:rtl/>
        </w:rPr>
        <w:t xml:space="preserve"> אמנם בכל בו (סי' קו עח ע"ד) בשם הראב"ד כתב כדברי מהרי"ו וז"ל</w:t>
      </w:r>
      <w:r>
        <w:rPr>
          <w:rFonts w:cs="Arial" w:hint="cs"/>
          <w:rtl/>
        </w:rPr>
        <w:t>-</w:t>
      </w:r>
      <w:r>
        <w:rPr>
          <w:rFonts w:cs="Arial"/>
          <w:rtl/>
        </w:rPr>
        <w:t xml:space="preserve"> פת שחתכו בסכין של גוים צריך לגרור מקום החתך ואם חתך בו בשר דק דק כולו אסור דלא יוכל להדיחו או לגררו יפה עכ"ל</w:t>
      </w:r>
      <w:r>
        <w:rPr>
          <w:rFonts w:cs="Arial" w:hint="cs"/>
          <w:rtl/>
        </w:rPr>
        <w:t>,</w:t>
      </w:r>
      <w:r>
        <w:rPr>
          <w:rFonts w:cs="Arial"/>
          <w:rtl/>
        </w:rPr>
        <w:t xml:space="preserve"> מיהו יש ליישב דברי הראב"ד דמיירי שלא חתך כ"כ הרבה דהאיסור בטל בהיתר כנ"ל</w:t>
      </w:r>
      <w:r>
        <w:rPr>
          <w:rFonts w:cs="Arial" w:hint="cs"/>
          <w:rtl/>
        </w:rPr>
        <w:t>,</w:t>
      </w:r>
      <w:r>
        <w:rPr>
          <w:rFonts w:cs="Arial"/>
          <w:rtl/>
        </w:rPr>
        <w:t xml:space="preserve"> ועיין לקמן סימן קי"ד מדינים אלו</w:t>
      </w:r>
      <w:r>
        <w:rPr>
          <w:rFonts w:hint="cs"/>
          <w:rtl/>
        </w:rPr>
        <w:t>, דרכ"מ (אות ה).</w:t>
      </w:r>
    </w:p>
  </w:footnote>
  <w:footnote w:id="1710">
    <w:p w14:paraId="180B243A" w14:textId="77777777" w:rsidR="004C5A3C" w:rsidRDefault="004C5A3C" w:rsidP="002C39F4">
      <w:pPr>
        <w:pStyle w:val="a5"/>
      </w:pPr>
      <w:r>
        <w:rPr>
          <w:rStyle w:val="a7"/>
        </w:rPr>
        <w:footnoteRef/>
      </w:r>
      <w:r>
        <w:rPr>
          <w:rtl/>
        </w:rPr>
        <w:t xml:space="preserve"> </w:t>
      </w:r>
      <w:r w:rsidRPr="00993E4C">
        <w:rPr>
          <w:rFonts w:cs="Arial"/>
          <w:rtl/>
        </w:rPr>
        <w:t>פי' שחותכין הלימוני"ש ומוציאין ממשו ממנו שקורין לימונ"י זאפ"ט</w:t>
      </w:r>
      <w:r>
        <w:rPr>
          <w:rFonts w:cs="Arial" w:hint="cs"/>
          <w:rtl/>
        </w:rPr>
        <w:t>, ט"ז (סקי"א).</w:t>
      </w:r>
    </w:p>
  </w:footnote>
  <w:footnote w:id="1711">
    <w:p w14:paraId="7E797E89" w14:textId="77777777" w:rsidR="004C5A3C" w:rsidRDefault="004C5A3C" w:rsidP="002C39F4">
      <w:pPr>
        <w:pStyle w:val="a5"/>
      </w:pPr>
      <w:r>
        <w:rPr>
          <w:rStyle w:val="a7"/>
        </w:rPr>
        <w:footnoteRef/>
      </w:r>
      <w:r>
        <w:rPr>
          <w:rtl/>
        </w:rPr>
        <w:t xml:space="preserve"> </w:t>
      </w:r>
      <w:r>
        <w:rPr>
          <w:rFonts w:cs="Arial"/>
          <w:rtl/>
        </w:rPr>
        <w:t>וכ</w:t>
      </w:r>
      <w:r>
        <w:rPr>
          <w:rFonts w:cs="Arial" w:hint="cs"/>
          <w:rtl/>
        </w:rPr>
        <w:t>'</w:t>
      </w:r>
      <w:r w:rsidRPr="00337341">
        <w:rPr>
          <w:rFonts w:cs="Arial"/>
          <w:rtl/>
        </w:rPr>
        <w:t xml:space="preserve"> הב"ח דצ"ל דס"ל</w:t>
      </w:r>
      <w:r>
        <w:rPr>
          <w:rFonts w:cs="Arial" w:hint="cs"/>
          <w:rtl/>
        </w:rPr>
        <w:t xml:space="preserve"> </w:t>
      </w:r>
      <w:r>
        <w:rPr>
          <w:rFonts w:cs="Arial" w:hint="cs"/>
          <w:sz w:val="16"/>
          <w:szCs w:val="16"/>
          <w:rtl/>
        </w:rPr>
        <w:t>{לשבה"ל}</w:t>
      </w:r>
      <w:r>
        <w:rPr>
          <w:rFonts w:cs="Arial"/>
          <w:rtl/>
        </w:rPr>
        <w:t xml:space="preserve"> דלא אמרי</w:t>
      </w:r>
      <w:r>
        <w:rPr>
          <w:rFonts w:cs="Arial" w:hint="cs"/>
          <w:rtl/>
        </w:rPr>
        <w:t>נן</w:t>
      </w:r>
      <w:r w:rsidRPr="00337341">
        <w:rPr>
          <w:rFonts w:cs="Arial"/>
          <w:rtl/>
        </w:rPr>
        <w:t xml:space="preserve"> חורפיה מחליא אלא בחל</w:t>
      </w:r>
      <w:r>
        <w:rPr>
          <w:rFonts w:cs="Arial"/>
          <w:rtl/>
        </w:rPr>
        <w:t xml:space="preserve">תית וכיון דסתם כלי של </w:t>
      </w:r>
      <w:r>
        <w:rPr>
          <w:rFonts w:cs="Arial" w:hint="cs"/>
          <w:rtl/>
        </w:rPr>
        <w:t>גו</w:t>
      </w:r>
      <w:r w:rsidRPr="00337341">
        <w:rPr>
          <w:rFonts w:cs="Arial"/>
          <w:rtl/>
        </w:rPr>
        <w:t>ים אינו ב"י אין שם איסור אלא מפני שמנונית הקרוש על הסכין ונתקנח בראשון ושני כו' וא"כ לדידן דקי"ל כסה"ת הני לימוני"ש</w:t>
      </w:r>
      <w:r>
        <w:rPr>
          <w:rFonts w:cs="Arial"/>
          <w:rtl/>
        </w:rPr>
        <w:t xml:space="preserve"> כולם אסורים וכ"כ הטור בא"ח סי</w:t>
      </w:r>
      <w:r>
        <w:rPr>
          <w:rFonts w:cs="Arial" w:hint="cs"/>
          <w:rtl/>
        </w:rPr>
        <w:t>'</w:t>
      </w:r>
      <w:r w:rsidRPr="00337341">
        <w:rPr>
          <w:rFonts w:cs="Arial"/>
          <w:rtl/>
        </w:rPr>
        <w:t xml:space="preserve"> תמ"ז דלדעת סה"ת זיתים שכבשן ונחתכו קודם הפסח בסכין של חמץ שאינו ב"י דחזרו הזיתים כולם חמץ (וכ"כ המחבר שם ס"ח וכ"כ הטור והרב בהג"ה לקמן סי' קי"ד ס"ח ע"ש) ודלא כהגהת ש"ע</w:t>
      </w:r>
      <w:r>
        <w:rPr>
          <w:rFonts w:cs="Arial" w:hint="cs"/>
          <w:rtl/>
        </w:rPr>
        <w:t>,</w:t>
      </w:r>
      <w:r w:rsidRPr="00337341">
        <w:rPr>
          <w:rFonts w:cs="Arial"/>
          <w:rtl/>
        </w:rPr>
        <w:t xml:space="preserve"> עכ"ל</w:t>
      </w:r>
      <w:r>
        <w:rPr>
          <w:rFonts w:cs="Arial" w:hint="cs"/>
          <w:rtl/>
        </w:rPr>
        <w:t>. והביא הש"ך (סק"כ) דבריו וכ' עליו-</w:t>
      </w:r>
      <w:r>
        <w:rPr>
          <w:rFonts w:cs="Arial"/>
          <w:rtl/>
        </w:rPr>
        <w:t xml:space="preserve"> ולדעתי לישנא דשב</w:t>
      </w:r>
      <w:r>
        <w:rPr>
          <w:rFonts w:cs="Arial" w:hint="cs"/>
          <w:rtl/>
        </w:rPr>
        <w:t>ה"ל</w:t>
      </w:r>
      <w:r w:rsidRPr="00337341">
        <w:rPr>
          <w:rFonts w:cs="Arial"/>
          <w:rtl/>
        </w:rPr>
        <w:t xml:space="preserve"> שבטלה טעם הסכין כו' משמע מה שבלוע בסכין אלא נראה דמודה לסה"ת דצנון וכיוצא בו דחריפי טובא דמחליא להו לשבח אלא דס"ל דלימוני"ש וכיוצא בו כיון שאינם חריפים כמו הצנון א"כ לא מחליא אלא מה שבלוע בדופני הסכין שנתבטל בראשון ושני דזה הוי מחליא ליה ושוב אין כח להלימוני"ש ל</w:t>
      </w:r>
      <w:r>
        <w:rPr>
          <w:rFonts w:cs="Arial"/>
          <w:rtl/>
        </w:rPr>
        <w:t>השוות לשבח מה שבלוע מבפנים אלא</w:t>
      </w:r>
      <w:r w:rsidRPr="00337341">
        <w:rPr>
          <w:rFonts w:cs="Arial"/>
          <w:rtl/>
        </w:rPr>
        <w:t xml:space="preserve"> מה שנתבטל כבר</w:t>
      </w:r>
      <w:r>
        <w:rPr>
          <w:rFonts w:cs="Arial" w:hint="cs"/>
          <w:rtl/>
        </w:rPr>
        <w:t>,</w:t>
      </w:r>
      <w:r w:rsidRPr="00337341">
        <w:rPr>
          <w:rFonts w:cs="Arial"/>
          <w:rtl/>
        </w:rPr>
        <w:t xml:space="preserve"> דודאי בצנון ודכותיה שהוא חריף טובא אפילו מה שבלוע מבפנים משוי ליה לשבח משא"כ בלימוני"ש וזה מוכרח בדברי הרב דאל"כ היו דבריו סותרים זא"ז דהרי כתב בס"א דאם חתך הצנון דק דק צריך ס' נגד כולו אלמא דלא נתבטל טעם הסכין וא"כ ניחא דזיתים דאינם חריפים כ"כ אפילו כמו לימוני"ש אינן מבטלים טעם הסכין אפילו מה שבלוע בדופני הסכין מבחוץ ודוק או י"ל דזיתים הוי חריפים כמו צנון כדאמרינן בערובין דאמרה יונה יהיו מזונותי מרורין כזית כו' א"נ דודאי לענין דינא אין לסמוך אזה דכבר נתבטל טעם הסכין ומה"ט כתב הרב דבמקום שנוהגים להחמיר אין לשנות והיינו דאסורים הזיתים אלא משום דבלימוני"ש ודכותייהו נוהגין היתר כתב הרב דיש ליישב המנהג ויש לסמוך אהאי טעמא דכבר נתבטל כיון דאפשר נמי לומר דחתכו אותם בסכין חדשה שיש להם כלים מיוחדים לכך וכדאמרינן בזנגבי"ל בס"ב אלא מספיקא אסרינן להו והלכך סמכינן אהך סברא דנתבטל כו' ליישב המנהג כיון דבלא"ה יש פוסקים מתירין אפילו בצנון בסכין שאינו בן יומו וגם יש פוסקים דדוקא צנון הוי חריף ולא שאר דברים וכמ"ש בס"ק י"ב בשם מהרא"י ע"ש והיינו דכתב הרב ואף אם נאסרו מקצתן כו' משמע דאפילו מקצתן לא בריר שנאסרו מיהו בלא ה"ט דנתבטל לא הוי שרינן להלימוני"ש אף על גב דלעיל ס"א דקונין הצנונות מעובדי כוכבים משום דיש ספק אם נחתך בסכין של איסור אזלינן לקולא משום דהתם יש לתלות במרא וחצינא משא"כ הכא דקרוב הדבר שחותכין אותן בסכין שלהם</w:t>
      </w:r>
      <w:r>
        <w:rPr>
          <w:rFonts w:hint="cs"/>
          <w:rtl/>
        </w:rPr>
        <w:t>.</w:t>
      </w:r>
    </w:p>
  </w:footnote>
  <w:footnote w:id="1712">
    <w:p w14:paraId="15F85A30" w14:textId="77777777" w:rsidR="004C5A3C" w:rsidRDefault="004C5A3C" w:rsidP="002C39F4">
      <w:pPr>
        <w:pStyle w:val="a5"/>
      </w:pPr>
      <w:r>
        <w:rPr>
          <w:rStyle w:val="a7"/>
        </w:rPr>
        <w:footnoteRef/>
      </w:r>
      <w:r>
        <w:rPr>
          <w:rtl/>
        </w:rPr>
        <w:t xml:space="preserve"> </w:t>
      </w:r>
      <w:r>
        <w:rPr>
          <w:rFonts w:cs="Arial"/>
          <w:rtl/>
        </w:rPr>
        <w:t>פי' שחותכ</w:t>
      </w:r>
      <w:r>
        <w:rPr>
          <w:rFonts w:cs="Arial" w:hint="cs"/>
          <w:rtl/>
        </w:rPr>
        <w:t>י</w:t>
      </w:r>
      <w:r>
        <w:rPr>
          <w:rFonts w:cs="Arial"/>
          <w:rtl/>
        </w:rPr>
        <w:t>ן ה</w:t>
      </w:r>
      <w:r>
        <w:rPr>
          <w:rFonts w:cs="Arial" w:hint="cs"/>
          <w:rtl/>
        </w:rPr>
        <w:t>גו</w:t>
      </w:r>
      <w:r w:rsidRPr="00C37D16">
        <w:rPr>
          <w:rFonts w:cs="Arial"/>
          <w:rtl/>
        </w:rPr>
        <w:t>ים אחר שנתחמץ</w:t>
      </w:r>
      <w:r>
        <w:rPr>
          <w:rFonts w:cs="Arial" w:hint="cs"/>
          <w:rtl/>
        </w:rPr>
        <w:t>,</w:t>
      </w:r>
      <w:r w:rsidRPr="00C37D16">
        <w:rPr>
          <w:rFonts w:cs="Arial"/>
          <w:rtl/>
        </w:rPr>
        <w:t xml:space="preserve"> דאלו מה שחותכין בו קודם חימוצו אין בו חשש כלל</w:t>
      </w:r>
      <w:r>
        <w:rPr>
          <w:rFonts w:cs="Arial" w:hint="cs"/>
          <w:rtl/>
        </w:rPr>
        <w:t>,</w:t>
      </w:r>
      <w:r w:rsidRPr="00C37D16">
        <w:rPr>
          <w:rFonts w:cs="Arial"/>
          <w:rtl/>
        </w:rPr>
        <w:t xml:space="preserve"> ונראה פשוט שאותן מקומות שמחמירין בכרוב לא ס"ל האי טעמא שכתב רמ"א מפני שמביאים הרבה ביחד כו' דהא גם בכרוב עושין הרבה ביחד וא"כ גם מי לימוני"ש אסור להם דחד טעמא הוא</w:t>
      </w:r>
      <w:r>
        <w:rPr>
          <w:rFonts w:cs="Arial" w:hint="cs"/>
          <w:rtl/>
        </w:rPr>
        <w:t>,</w:t>
      </w:r>
      <w:r w:rsidRPr="00C37D16">
        <w:rPr>
          <w:rFonts w:cs="Arial"/>
          <w:rtl/>
        </w:rPr>
        <w:t xml:space="preserve"> ולפי זה צ"ע מ"ש אח"כ אבל שאר דברים כו' דמשמע אפילו למחמירים מותר בזה וסיים כמו בלימוני"ש אין להחמיר כו' דמשמע בלימוני"ש ג"כ אין חומרא כלל וה"ה נמי שמרקחת חריפים כגון זנגביל נמי אסור להמחמירים דהא ב</w:t>
      </w:r>
      <w:r>
        <w:rPr>
          <w:rFonts w:cs="Arial"/>
          <w:rtl/>
        </w:rPr>
        <w:t>כרוב כתב מהרי"ו דאין ה</w:t>
      </w:r>
      <w:r>
        <w:rPr>
          <w:rFonts w:cs="Arial" w:hint="cs"/>
          <w:rtl/>
        </w:rPr>
        <w:t>גו</w:t>
      </w:r>
      <w:r w:rsidRPr="00C37D16">
        <w:rPr>
          <w:rFonts w:cs="Arial"/>
          <w:rtl/>
        </w:rPr>
        <w:t>ים נאמנים לומר דיש להם כלים מיוחדים</w:t>
      </w:r>
      <w:r>
        <w:rPr>
          <w:rFonts w:cs="Arial" w:hint="cs"/>
          <w:rtl/>
        </w:rPr>
        <w:t>,</w:t>
      </w:r>
      <w:r>
        <w:rPr>
          <w:rFonts w:cs="Arial"/>
          <w:rtl/>
        </w:rPr>
        <w:t xml:space="preserve"> לכך נ</w:t>
      </w:r>
      <w:r w:rsidRPr="00C37D16">
        <w:rPr>
          <w:rFonts w:cs="Arial"/>
          <w:rtl/>
        </w:rPr>
        <w:t>לע"ד להמחמירים בכרוב פרוס אחר חמיצותו יחמירו ג"כ במרקחת חריפים ומי לימוני"ש דאל"כ הוי תרי מילי דסתרי אהדדי</w:t>
      </w:r>
      <w:r>
        <w:rPr>
          <w:rFonts w:cs="Arial" w:hint="cs"/>
          <w:rtl/>
        </w:rPr>
        <w:t>, ט"ז (סקי"ב).</w:t>
      </w:r>
    </w:p>
  </w:footnote>
  <w:footnote w:id="1713">
    <w:p w14:paraId="73A8A632" w14:textId="77777777" w:rsidR="004C5A3C" w:rsidRDefault="004C5A3C" w:rsidP="002C39F4">
      <w:pPr>
        <w:pStyle w:val="a5"/>
        <w:rPr>
          <w:rtl/>
        </w:rPr>
      </w:pPr>
      <w:r>
        <w:rPr>
          <w:rStyle w:val="a7"/>
        </w:rPr>
        <w:footnoteRef/>
      </w:r>
      <w:r>
        <w:rPr>
          <w:rtl/>
        </w:rPr>
        <w:t xml:space="preserve"> </w:t>
      </w:r>
      <w:r w:rsidRPr="00C37D16">
        <w:rPr>
          <w:rFonts w:cs="Arial"/>
          <w:rtl/>
        </w:rPr>
        <w:t>קשה מאי קמ"ל בזה</w:t>
      </w:r>
      <w:r>
        <w:rPr>
          <w:rFonts w:cs="Arial" w:hint="cs"/>
          <w:rtl/>
        </w:rPr>
        <w:t>,</w:t>
      </w:r>
      <w:r w:rsidRPr="00C37D16">
        <w:rPr>
          <w:rFonts w:cs="Arial"/>
          <w:rtl/>
        </w:rPr>
        <w:t xml:space="preserve"> ויותר תימא מ"ש אח"כ לפתות יבשים </w:t>
      </w:r>
      <w:r>
        <w:rPr>
          <w:rFonts w:cs="Arial"/>
          <w:rtl/>
        </w:rPr>
        <w:t>דבלפת מותר בכל גוונא כמ"ש אח</w:t>
      </w:r>
      <w:r>
        <w:rPr>
          <w:rFonts w:cs="Arial" w:hint="cs"/>
          <w:rtl/>
        </w:rPr>
        <w:t>"</w:t>
      </w:r>
      <w:r>
        <w:rPr>
          <w:rFonts w:cs="Arial"/>
          <w:rtl/>
        </w:rPr>
        <w:t>כ</w:t>
      </w:r>
      <w:r>
        <w:rPr>
          <w:rFonts w:cs="Arial" w:hint="cs"/>
          <w:rtl/>
        </w:rPr>
        <w:t>,</w:t>
      </w:r>
      <w:r w:rsidRPr="00C37D16">
        <w:rPr>
          <w:rFonts w:cs="Arial"/>
          <w:rtl/>
        </w:rPr>
        <w:t xml:space="preserve"> ונ"ל להגיה ע"פ דבריו בת"ח בלשון ז</w:t>
      </w:r>
      <w:r>
        <w:rPr>
          <w:rFonts w:cs="Arial" w:hint="cs"/>
          <w:rtl/>
        </w:rPr>
        <w:t>ו-</w:t>
      </w:r>
      <w:r w:rsidRPr="00C37D16">
        <w:rPr>
          <w:rFonts w:cs="Arial"/>
          <w:rtl/>
        </w:rPr>
        <w:t xml:space="preserve"> אבל שאר דברים שאינם חמוצים כ"כ כגון תפוחים או פירות יבשים וכדומה כו'</w:t>
      </w:r>
      <w:r>
        <w:rPr>
          <w:rFonts w:cs="Arial" w:hint="cs"/>
          <w:rtl/>
        </w:rPr>
        <w:t xml:space="preserve">, ט"ז </w:t>
      </w:r>
      <w:r w:rsidRPr="00C37D16">
        <w:rPr>
          <w:rFonts w:cs="Arial" w:hint="cs"/>
          <w:sz w:val="16"/>
          <w:szCs w:val="16"/>
          <w:rtl/>
        </w:rPr>
        <w:t>(סקי"ג)</w:t>
      </w:r>
      <w:r>
        <w:rPr>
          <w:rFonts w:cs="Arial" w:hint="cs"/>
          <w:rtl/>
        </w:rPr>
        <w:t>. והעתיקו הבאה"ט</w:t>
      </w:r>
      <w:r w:rsidRPr="00C37D16">
        <w:rPr>
          <w:rFonts w:cs="Arial" w:hint="cs"/>
          <w:sz w:val="16"/>
          <w:szCs w:val="16"/>
          <w:rtl/>
        </w:rPr>
        <w:t xml:space="preserve"> (סקט"ו)</w:t>
      </w:r>
      <w:r>
        <w:rPr>
          <w:rFonts w:cs="Arial" w:hint="cs"/>
          <w:rtl/>
        </w:rPr>
        <w:t>.</w:t>
      </w:r>
    </w:p>
  </w:footnote>
  <w:footnote w:id="1714">
    <w:p w14:paraId="27FCC64D" w14:textId="77777777" w:rsidR="004C5A3C" w:rsidRDefault="004C5A3C" w:rsidP="002C39F4">
      <w:pPr>
        <w:pStyle w:val="a5"/>
        <w:rPr>
          <w:rtl/>
        </w:rPr>
      </w:pPr>
      <w:r>
        <w:rPr>
          <w:rStyle w:val="a7"/>
        </w:rPr>
        <w:footnoteRef/>
      </w:r>
      <w:r>
        <w:rPr>
          <w:rtl/>
        </w:rPr>
        <w:t xml:space="preserve"> </w:t>
      </w:r>
      <w:r>
        <w:rPr>
          <w:rFonts w:cs="Arial" w:hint="cs"/>
          <w:rtl/>
        </w:rPr>
        <w:t xml:space="preserve">קישואין. </w:t>
      </w:r>
    </w:p>
  </w:footnote>
  <w:footnote w:id="1715">
    <w:p w14:paraId="27502E73" w14:textId="77777777" w:rsidR="004C5A3C" w:rsidRDefault="004C5A3C" w:rsidP="002C39F4">
      <w:pPr>
        <w:pStyle w:val="a5"/>
      </w:pPr>
      <w:r>
        <w:rPr>
          <w:rStyle w:val="a7"/>
        </w:rPr>
        <w:footnoteRef/>
      </w:r>
      <w:r>
        <w:rPr>
          <w:rtl/>
        </w:rPr>
        <w:t xml:space="preserve"> </w:t>
      </w:r>
      <w:r>
        <w:rPr>
          <w:rFonts w:cs="Arial" w:hint="cs"/>
          <w:rtl/>
        </w:rPr>
        <w:t>ו</w:t>
      </w:r>
      <w:r>
        <w:rPr>
          <w:rFonts w:cs="Arial"/>
          <w:rtl/>
        </w:rPr>
        <w:t>כ</w:t>
      </w:r>
      <w:r>
        <w:rPr>
          <w:rFonts w:cs="Arial" w:hint="cs"/>
          <w:rtl/>
        </w:rPr>
        <w:t>'</w:t>
      </w:r>
      <w:r>
        <w:rPr>
          <w:rFonts w:cs="Arial"/>
          <w:rtl/>
        </w:rPr>
        <w:t xml:space="preserve"> הר"ן </w:t>
      </w:r>
      <w:r w:rsidRPr="007B28A0">
        <w:rPr>
          <w:rFonts w:cs="Arial"/>
          <w:sz w:val="16"/>
          <w:szCs w:val="16"/>
          <w:rtl/>
        </w:rPr>
        <w:t xml:space="preserve">(מא. ד"ה ודוקא) </w:t>
      </w:r>
      <w:r>
        <w:rPr>
          <w:rFonts w:cs="Arial"/>
          <w:rtl/>
        </w:rPr>
        <w:t>דהא דלא סגי להו בהדחה מפני שמתוך לחותן א</w:t>
      </w:r>
      <w:r>
        <w:rPr>
          <w:rFonts w:cs="Arial" w:hint="cs"/>
          <w:rtl/>
        </w:rPr>
        <w:t>"א</w:t>
      </w:r>
      <w:r>
        <w:rPr>
          <w:rFonts w:cs="Arial"/>
          <w:rtl/>
        </w:rPr>
        <w:t xml:space="preserve"> להדיח אותם דאדרבה ע"י הדחה היה נסרך יותר ולפיכך גורר אותם ודיו והגרירה פחותה מן הקליפה שהקליפה צריכה שתהא גסה קצת כדי שתוכל להנטל כולה כאחד מה שאין צריך כן בגרירה</w:t>
      </w:r>
      <w:r>
        <w:rPr>
          <w:rFonts w:hint="cs"/>
          <w:rtl/>
        </w:rPr>
        <w:t>.</w:t>
      </w:r>
    </w:p>
  </w:footnote>
  <w:footnote w:id="1716">
    <w:p w14:paraId="4A12A747" w14:textId="77777777" w:rsidR="004C5A3C" w:rsidRDefault="004C5A3C" w:rsidP="002C39F4">
      <w:pPr>
        <w:pStyle w:val="a5"/>
      </w:pPr>
      <w:r>
        <w:t xml:space="preserve"> </w:t>
      </w:r>
      <w:r>
        <w:rPr>
          <w:rStyle w:val="a7"/>
        </w:rPr>
        <w:footnoteRef/>
      </w:r>
      <w:r>
        <w:rPr>
          <w:rFonts w:hint="cs"/>
          <w:rtl/>
        </w:rPr>
        <w:t xml:space="preserve">כתב הב"י- </w:t>
      </w:r>
      <w:r w:rsidRPr="005D13F8">
        <w:rPr>
          <w:rFonts w:cs="Arial"/>
          <w:rtl/>
        </w:rPr>
        <w:t xml:space="preserve">היה נראה לי דכיון שחתך בו לפת פעם אחת נתבטל טעם הסכין ואפילו יחתוך בו כמה פעמים צנון וכיוצא בו שרי </w:t>
      </w:r>
      <w:r w:rsidRPr="007B28A0">
        <w:rPr>
          <w:rFonts w:cs="Arial"/>
          <w:rtl/>
        </w:rPr>
        <w:t>בהדחה</w:t>
      </w:r>
      <w:r>
        <w:rPr>
          <w:rFonts w:cs="Arial" w:hint="cs"/>
          <w:rtl/>
        </w:rPr>
        <w:t>,</w:t>
      </w:r>
      <w:r w:rsidRPr="005D13F8">
        <w:rPr>
          <w:rFonts w:cs="Arial"/>
          <w:rtl/>
        </w:rPr>
        <w:t xml:space="preserve"> אלא שמצאתי </w:t>
      </w:r>
      <w:r>
        <w:rPr>
          <w:rFonts w:cs="Arial"/>
          <w:rtl/>
        </w:rPr>
        <w:t>לסמ"ג (לאוין קמ נג ריש ע"ג) שכ</w:t>
      </w:r>
      <w:r>
        <w:rPr>
          <w:rFonts w:cs="Arial" w:hint="cs"/>
          <w:rtl/>
        </w:rPr>
        <w:t>'-</w:t>
      </w:r>
      <w:r w:rsidRPr="005D13F8">
        <w:rPr>
          <w:rFonts w:cs="Arial"/>
          <w:rtl/>
        </w:rPr>
        <w:t xml:space="preserve"> ועוד מיקל</w:t>
      </w:r>
      <w:r>
        <w:rPr>
          <w:rFonts w:cs="Arial" w:hint="cs"/>
          <w:rtl/>
        </w:rPr>
        <w:t>...</w:t>
      </w:r>
    </w:p>
  </w:footnote>
  <w:footnote w:id="1717">
    <w:p w14:paraId="48A81CCB" w14:textId="77777777" w:rsidR="004C5A3C" w:rsidRDefault="004C5A3C" w:rsidP="002C39F4">
      <w:pPr>
        <w:pStyle w:val="a5"/>
        <w:rPr>
          <w:rtl/>
        </w:rPr>
      </w:pPr>
      <w:r>
        <w:rPr>
          <w:rStyle w:val="a7"/>
        </w:rPr>
        <w:footnoteRef/>
      </w:r>
      <w:r>
        <w:rPr>
          <w:rtl/>
        </w:rPr>
        <w:t xml:space="preserve"> </w:t>
      </w:r>
      <w:r w:rsidRPr="005D13F8">
        <w:rPr>
          <w:rFonts w:cs="Arial"/>
          <w:rtl/>
        </w:rPr>
        <w:t>ובאמת דלישנא דאי פתיך בהו הכי דייק</w:t>
      </w:r>
      <w:r>
        <w:rPr>
          <w:rFonts w:cs="Arial" w:hint="cs"/>
          <w:rtl/>
        </w:rPr>
        <w:t>,</w:t>
      </w:r>
      <w:r>
        <w:rPr>
          <w:rFonts w:cs="Arial"/>
          <w:rtl/>
        </w:rPr>
        <w:t xml:space="preserve"> שאל"כ הכי ה</w:t>
      </w:r>
      <w:r>
        <w:rPr>
          <w:rFonts w:cs="Arial" w:hint="cs"/>
          <w:rtl/>
        </w:rPr>
        <w:t xml:space="preserve">וי </w:t>
      </w:r>
      <w:r>
        <w:rPr>
          <w:rFonts w:cs="Arial"/>
          <w:rtl/>
        </w:rPr>
        <w:t>ל</w:t>
      </w:r>
      <w:r>
        <w:rPr>
          <w:rFonts w:cs="Arial" w:hint="cs"/>
          <w:rtl/>
        </w:rPr>
        <w:t>יה</w:t>
      </w:r>
      <w:r w:rsidRPr="005D13F8">
        <w:rPr>
          <w:rFonts w:cs="Arial"/>
          <w:rtl/>
        </w:rPr>
        <w:t xml:space="preserve"> למימר </w:t>
      </w:r>
      <w:r>
        <w:rPr>
          <w:rFonts w:cs="Arial" w:hint="cs"/>
          <w:rtl/>
        </w:rPr>
        <w:t>'</w:t>
      </w:r>
      <w:r w:rsidRPr="005D13F8">
        <w:rPr>
          <w:rFonts w:cs="Arial"/>
          <w:rtl/>
        </w:rPr>
        <w:t>ואי חתיך ביה ליפתא ברישא שפיר דמי</w:t>
      </w:r>
      <w:r>
        <w:rPr>
          <w:rFonts w:cs="Arial" w:hint="cs"/>
          <w:rtl/>
        </w:rPr>
        <w:t>'</w:t>
      </w:r>
      <w:r>
        <w:rPr>
          <w:rFonts w:hint="cs"/>
          <w:rtl/>
        </w:rPr>
        <w:t>, ב"י.</w:t>
      </w:r>
    </w:p>
  </w:footnote>
  <w:footnote w:id="1718">
    <w:p w14:paraId="746574F4" w14:textId="77777777" w:rsidR="004C5A3C" w:rsidRDefault="004C5A3C" w:rsidP="002C39F4">
      <w:pPr>
        <w:pStyle w:val="a5"/>
      </w:pPr>
      <w:r>
        <w:rPr>
          <w:rStyle w:val="a7"/>
        </w:rPr>
        <w:footnoteRef/>
      </w:r>
      <w:r>
        <w:rPr>
          <w:rtl/>
        </w:rPr>
        <w:t xml:space="preserve"> </w:t>
      </w:r>
      <w:r>
        <w:rPr>
          <w:rFonts w:cs="Arial" w:hint="cs"/>
          <w:rtl/>
        </w:rPr>
        <w:t xml:space="preserve">כ' הב"י- </w:t>
      </w:r>
      <w:r w:rsidRPr="005D13F8">
        <w:rPr>
          <w:rFonts w:cs="Arial"/>
          <w:rtl/>
        </w:rPr>
        <w:t>ומדברי הרשב"א נראה קצת דלא מהני פתיך בהו דליפתא אלא להתיר סילקא אבל לא להתיר צנון שהרי כתב</w:t>
      </w:r>
      <w:r>
        <w:rPr>
          <w:rFonts w:cs="Arial" w:hint="cs"/>
          <w:rtl/>
        </w:rPr>
        <w:t>-...</w:t>
      </w:r>
    </w:p>
  </w:footnote>
  <w:footnote w:id="1719">
    <w:p w14:paraId="7344B357" w14:textId="77777777" w:rsidR="004C5A3C" w:rsidRDefault="004C5A3C" w:rsidP="002C39F4">
      <w:pPr>
        <w:pStyle w:val="a5"/>
        <w:rPr>
          <w:rtl/>
        </w:rPr>
      </w:pPr>
      <w:r>
        <w:rPr>
          <w:rStyle w:val="a7"/>
        </w:rPr>
        <w:footnoteRef/>
      </w:r>
      <w:r>
        <w:rPr>
          <w:rtl/>
        </w:rPr>
        <w:t xml:space="preserve"> </w:t>
      </w:r>
      <w:r w:rsidRPr="005D13F8">
        <w:rPr>
          <w:rFonts w:cs="Arial"/>
          <w:rtl/>
        </w:rPr>
        <w:t>נראה מדבריו שאין הלפת מבטל אלא כח משיכת הסילקא אבל לא חריפות הצנון</w:t>
      </w:r>
      <w:r>
        <w:rPr>
          <w:rFonts w:cs="Arial" w:hint="cs"/>
          <w:rtl/>
        </w:rPr>
        <w:t>,</w:t>
      </w:r>
      <w:r w:rsidRPr="005D13F8">
        <w:rPr>
          <w:rFonts w:cs="Arial"/>
          <w:rtl/>
        </w:rPr>
        <w:t xml:space="preserve"> ויש הוכחה לזה בגמרא דלא קאמר אי פתיך בהו דליפתא שפיר דמי אלא גבי דסילקא</w:t>
      </w:r>
      <w:r>
        <w:rPr>
          <w:rFonts w:cs="Arial" w:hint="cs"/>
          <w:rtl/>
        </w:rPr>
        <w:t>, ב"י</w:t>
      </w:r>
      <w:r w:rsidRPr="005D13F8">
        <w:rPr>
          <w:rFonts w:cs="Arial" w:hint="cs"/>
          <w:rtl/>
        </w:rPr>
        <w:t>.</w:t>
      </w:r>
      <w:r>
        <w:rPr>
          <w:rFonts w:hint="cs"/>
          <w:rtl/>
        </w:rPr>
        <w:t xml:space="preserve"> </w:t>
      </w:r>
    </w:p>
  </w:footnote>
  <w:footnote w:id="1720">
    <w:p w14:paraId="2DA116CE" w14:textId="77777777" w:rsidR="004C5A3C" w:rsidRDefault="004C5A3C" w:rsidP="002C39F4">
      <w:pPr>
        <w:pStyle w:val="a5"/>
      </w:pPr>
      <w:r>
        <w:rPr>
          <w:rStyle w:val="a7"/>
        </w:rPr>
        <w:footnoteRef/>
      </w:r>
      <w:r>
        <w:rPr>
          <w:rtl/>
        </w:rPr>
        <w:t xml:space="preserve"> </w:t>
      </w:r>
      <w:r>
        <w:rPr>
          <w:rFonts w:cs="Arial"/>
          <w:rtl/>
        </w:rPr>
        <w:t>הוא שקורין בל</w:t>
      </w:r>
      <w:r>
        <w:rPr>
          <w:rFonts w:cs="Arial" w:hint="cs"/>
          <w:rtl/>
        </w:rPr>
        <w:t xml:space="preserve">שון </w:t>
      </w:r>
      <w:r w:rsidRPr="00D333F0">
        <w:rPr>
          <w:rFonts w:cs="Arial"/>
          <w:rtl/>
        </w:rPr>
        <w:t>א</w:t>
      </w:r>
      <w:r>
        <w:rPr>
          <w:rFonts w:cs="Arial" w:hint="cs"/>
          <w:rtl/>
        </w:rPr>
        <w:t>שכנז</w:t>
      </w:r>
      <w:r>
        <w:rPr>
          <w:rFonts w:cs="Arial"/>
          <w:rtl/>
        </w:rPr>
        <w:t xml:space="preserve"> ר</w:t>
      </w:r>
      <w:r>
        <w:rPr>
          <w:rFonts w:cs="Arial" w:hint="cs"/>
          <w:rtl/>
        </w:rPr>
        <w:t>ו</w:t>
      </w:r>
      <w:r w:rsidRPr="00D333F0">
        <w:rPr>
          <w:rFonts w:cs="Arial"/>
          <w:rtl/>
        </w:rPr>
        <w:t>בי"ן</w:t>
      </w:r>
      <w:r>
        <w:rPr>
          <w:rFonts w:cs="Arial" w:hint="cs"/>
          <w:rtl/>
        </w:rPr>
        <w:t>,</w:t>
      </w:r>
      <w:r w:rsidRPr="00D333F0">
        <w:rPr>
          <w:rFonts w:cs="Arial"/>
          <w:rtl/>
        </w:rPr>
        <w:t xml:space="preserve"> וכן הוא </w:t>
      </w:r>
      <w:r>
        <w:rPr>
          <w:rFonts w:cs="Arial" w:hint="cs"/>
          <w:rtl/>
        </w:rPr>
        <w:t>ב</w:t>
      </w:r>
      <w:r w:rsidRPr="00D333F0">
        <w:rPr>
          <w:rFonts w:cs="Arial"/>
          <w:rtl/>
        </w:rPr>
        <w:t>מהרי"ל ריש דיני או"ה</w:t>
      </w:r>
      <w:r>
        <w:rPr>
          <w:rFonts w:cs="Arial" w:hint="cs"/>
          <w:rtl/>
        </w:rPr>
        <w:t>, ש"ך (סקכ"ב).</w:t>
      </w:r>
    </w:p>
  </w:footnote>
  <w:footnote w:id="1721">
    <w:p w14:paraId="17F49C9A" w14:textId="77777777" w:rsidR="004C5A3C" w:rsidRPr="00D333F0" w:rsidRDefault="004C5A3C" w:rsidP="002C39F4">
      <w:pPr>
        <w:pStyle w:val="a5"/>
        <w:rPr>
          <w:rFonts w:cs="Arial"/>
          <w:rtl/>
        </w:rPr>
      </w:pPr>
      <w:r>
        <w:rPr>
          <w:rStyle w:val="a7"/>
        </w:rPr>
        <w:footnoteRef/>
      </w:r>
      <w:r>
        <w:rPr>
          <w:rtl/>
        </w:rPr>
        <w:t xml:space="preserve"> </w:t>
      </w:r>
      <w:r w:rsidRPr="00D333F0">
        <w:rPr>
          <w:rFonts w:cs="Arial"/>
          <w:rtl/>
        </w:rPr>
        <w:t>לכאורה משמע מלשון זה דלכתחלה אסור לחת</w:t>
      </w:r>
      <w:r>
        <w:rPr>
          <w:rFonts w:cs="Arial"/>
          <w:rtl/>
        </w:rPr>
        <w:t>וך בו צנון לאכלו עם בשר אע</w:t>
      </w:r>
      <w:r>
        <w:rPr>
          <w:rFonts w:cs="Arial" w:hint="cs"/>
          <w:rtl/>
        </w:rPr>
        <w:t>"</w:t>
      </w:r>
      <w:r>
        <w:rPr>
          <w:rFonts w:cs="Arial"/>
          <w:rtl/>
        </w:rPr>
        <w:t>פ</w:t>
      </w:r>
      <w:r w:rsidRPr="00D333F0">
        <w:rPr>
          <w:rFonts w:cs="Arial"/>
          <w:rtl/>
        </w:rPr>
        <w:t xml:space="preserve"> שכבר חתך בו לפת</w:t>
      </w:r>
      <w:r>
        <w:rPr>
          <w:rFonts w:cs="Arial" w:hint="cs"/>
          <w:rtl/>
        </w:rPr>
        <w:t>,</w:t>
      </w:r>
      <w:r w:rsidRPr="00D333F0">
        <w:rPr>
          <w:rFonts w:cs="Arial"/>
          <w:rtl/>
        </w:rPr>
        <w:t xml:space="preserve"> וכדכתב בת"ח שם בשם או"ה</w:t>
      </w:r>
      <w:r>
        <w:rPr>
          <w:rFonts w:cs="Arial" w:hint="cs"/>
          <w:rtl/>
        </w:rPr>
        <w:t>,</w:t>
      </w:r>
      <w:r w:rsidRPr="00D333F0">
        <w:rPr>
          <w:rFonts w:cs="Arial"/>
          <w:rtl/>
        </w:rPr>
        <w:t xml:space="preserve"> אבל מהרש"ל באו"ש ובספרו שם חולק על האו"ה ומתיר אפילו לכתחלה</w:t>
      </w:r>
      <w:r>
        <w:rPr>
          <w:rFonts w:cs="Arial" w:hint="cs"/>
          <w:rtl/>
        </w:rPr>
        <w:t>,</w:t>
      </w:r>
      <w:r>
        <w:rPr>
          <w:rFonts w:cs="Arial"/>
          <w:rtl/>
        </w:rPr>
        <w:t xml:space="preserve"> והכי משמע מל' ב"י שכ</w:t>
      </w:r>
      <w:r>
        <w:rPr>
          <w:rFonts w:cs="Arial" w:hint="cs"/>
          <w:rtl/>
        </w:rPr>
        <w:t>'</w:t>
      </w:r>
      <w:r w:rsidRPr="00D333F0">
        <w:rPr>
          <w:rFonts w:cs="Arial"/>
          <w:rtl/>
        </w:rPr>
        <w:t xml:space="preserve"> על הרשב"א דלא מתיר כשחתך לפת אלא לסילקא וז"ל</w:t>
      </w:r>
      <w:r>
        <w:rPr>
          <w:rFonts w:cs="Arial" w:hint="cs"/>
          <w:rtl/>
        </w:rPr>
        <w:t>-</w:t>
      </w:r>
      <w:r w:rsidRPr="00D333F0">
        <w:rPr>
          <w:rFonts w:cs="Arial"/>
          <w:rtl/>
        </w:rPr>
        <w:t xml:space="preserve"> אבל ש</w:t>
      </w:r>
      <w:r>
        <w:rPr>
          <w:rFonts w:cs="Arial" w:hint="cs"/>
          <w:rtl/>
        </w:rPr>
        <w:t>ע</w:t>
      </w:r>
      <w:r w:rsidRPr="00D333F0">
        <w:rPr>
          <w:rFonts w:cs="Arial"/>
          <w:rtl/>
        </w:rPr>
        <w:t>"ד וסה"ת ורבינו מתירין בהדיא לחתוך אפילו צנון עכ"ל</w:t>
      </w:r>
      <w:r>
        <w:rPr>
          <w:rFonts w:cs="Arial" w:hint="cs"/>
          <w:rtl/>
        </w:rPr>
        <w:t>,</w:t>
      </w:r>
      <w:r w:rsidRPr="00D333F0">
        <w:rPr>
          <w:rFonts w:cs="Arial"/>
          <w:rtl/>
        </w:rPr>
        <w:t xml:space="preserve"> ובאמת משמע כן בל' סה"ת וש</w:t>
      </w:r>
      <w:r>
        <w:rPr>
          <w:rFonts w:cs="Arial" w:hint="cs"/>
          <w:rtl/>
        </w:rPr>
        <w:t>ע</w:t>
      </w:r>
      <w:r w:rsidRPr="00D333F0">
        <w:rPr>
          <w:rFonts w:cs="Arial"/>
          <w:rtl/>
        </w:rPr>
        <w:t>"ד וטור ע"ש ודוק</w:t>
      </w:r>
      <w:r>
        <w:rPr>
          <w:rFonts w:cs="Arial" w:hint="cs"/>
          <w:rtl/>
        </w:rPr>
        <w:t>,</w:t>
      </w:r>
      <w:r>
        <w:rPr>
          <w:rFonts w:cs="Arial"/>
          <w:rtl/>
        </w:rPr>
        <w:t xml:space="preserve"> וכ"כ האגודה </w:t>
      </w:r>
      <w:r>
        <w:rPr>
          <w:rFonts w:cs="Arial" w:hint="cs"/>
          <w:rtl/>
        </w:rPr>
        <w:t>(</w:t>
      </w:r>
      <w:r>
        <w:rPr>
          <w:rFonts w:cs="Arial"/>
          <w:rtl/>
        </w:rPr>
        <w:t>פכ"ה סי' קכ</w:t>
      </w:r>
      <w:r w:rsidRPr="00D333F0">
        <w:rPr>
          <w:rFonts w:cs="Arial"/>
          <w:rtl/>
        </w:rPr>
        <w:t>ו</w:t>
      </w:r>
      <w:r>
        <w:rPr>
          <w:rFonts w:cs="Arial" w:hint="cs"/>
          <w:rtl/>
        </w:rPr>
        <w:t>),</w:t>
      </w:r>
      <w:r w:rsidRPr="00D333F0">
        <w:rPr>
          <w:rFonts w:cs="Arial"/>
          <w:rtl/>
        </w:rPr>
        <w:t xml:space="preserve"> ואין להקשות כיון דהצנון עכ"פ בעי הדחה ניחוש לכתחלה דלמא משתלי ואכיל עם בשר בלא הדחה כדאסרינן בר"ס צ"א להניח בשר בקערה של איסור צונן מה"ט</w:t>
      </w:r>
      <w:r>
        <w:rPr>
          <w:rFonts w:cs="Arial" w:hint="cs"/>
          <w:rtl/>
        </w:rPr>
        <w:t>-</w:t>
      </w:r>
      <w:r w:rsidRPr="00D333F0">
        <w:rPr>
          <w:rFonts w:cs="Arial"/>
          <w:rtl/>
        </w:rPr>
        <w:t xml:space="preserve"> דשאני התם דמיד כשהניחוהו בקערה צריך הדחה משא"כ כאן דאם רוצה לאכלו כך שרי הלכך לא חיישינן דלמא משתלי ואכיל עם בשר</w:t>
      </w:r>
      <w:r>
        <w:rPr>
          <w:rFonts w:cs="Arial" w:hint="cs"/>
          <w:rtl/>
        </w:rPr>
        <w:t>,</w:t>
      </w:r>
      <w:r>
        <w:rPr>
          <w:rFonts w:cs="Arial"/>
          <w:rtl/>
        </w:rPr>
        <w:t xml:space="preserve"> וכעין זה חלקתי בסי' סט סק</w:t>
      </w:r>
      <w:r w:rsidRPr="00D333F0">
        <w:rPr>
          <w:rFonts w:cs="Arial"/>
          <w:rtl/>
        </w:rPr>
        <w:t>פ"ג ע"ש</w:t>
      </w:r>
      <w:r>
        <w:rPr>
          <w:rFonts w:cs="Arial" w:hint="cs"/>
          <w:rtl/>
        </w:rPr>
        <w:t>,</w:t>
      </w:r>
      <w:r>
        <w:rPr>
          <w:rFonts w:cs="Arial"/>
          <w:rtl/>
        </w:rPr>
        <w:t xml:space="preserve"> א</w:t>
      </w:r>
      <w:r>
        <w:rPr>
          <w:rFonts w:cs="Arial" w:hint="cs"/>
          <w:rtl/>
        </w:rPr>
        <w:t>"</w:t>
      </w:r>
      <w:r>
        <w:rPr>
          <w:rFonts w:cs="Arial"/>
          <w:rtl/>
        </w:rPr>
        <w:t>נ</w:t>
      </w:r>
      <w:r w:rsidRPr="00D333F0">
        <w:rPr>
          <w:rFonts w:cs="Arial"/>
          <w:rtl/>
        </w:rPr>
        <w:t xml:space="preserve"> שאני הכא דהדחה נמי היא חומרא בעלמא דהא כבר נתבטל הטעם בלפת גם בש</w:t>
      </w:r>
      <w:r>
        <w:rPr>
          <w:rFonts w:cs="Arial" w:hint="cs"/>
          <w:rtl/>
        </w:rPr>
        <w:t>ע</w:t>
      </w:r>
      <w:r>
        <w:rPr>
          <w:rFonts w:cs="Arial"/>
          <w:rtl/>
        </w:rPr>
        <w:t>"ד וסה"ת וסמ"ג לא הוזכר</w:t>
      </w:r>
      <w:r>
        <w:rPr>
          <w:rFonts w:cs="Arial" w:hint="cs"/>
          <w:rtl/>
        </w:rPr>
        <w:t>ה</w:t>
      </w:r>
      <w:r>
        <w:rPr>
          <w:rFonts w:cs="Arial"/>
          <w:rtl/>
        </w:rPr>
        <w:t xml:space="preserve"> הדחה זו מיהו ודאי לחתוך לכתחל</w:t>
      </w:r>
      <w:r>
        <w:rPr>
          <w:rFonts w:cs="Arial" w:hint="cs"/>
          <w:rtl/>
        </w:rPr>
        <w:t>ה</w:t>
      </w:r>
      <w:r w:rsidRPr="00D333F0">
        <w:rPr>
          <w:rFonts w:cs="Arial"/>
          <w:rtl/>
        </w:rPr>
        <w:t xml:space="preserve"> לפת כדי לחתוך בו אח"כ צנון משמע בש"ס ופוסקים דאסור</w:t>
      </w:r>
      <w:r>
        <w:rPr>
          <w:rFonts w:hint="cs"/>
          <w:rtl/>
        </w:rPr>
        <w:t>, ש"ך (סקכ"ד).</w:t>
      </w:r>
    </w:p>
  </w:footnote>
  <w:footnote w:id="1722">
    <w:p w14:paraId="1E288987" w14:textId="77777777" w:rsidR="004C5A3C" w:rsidRDefault="004C5A3C" w:rsidP="002C39F4">
      <w:pPr>
        <w:pStyle w:val="a5"/>
      </w:pPr>
      <w:r>
        <w:rPr>
          <w:rStyle w:val="a7"/>
        </w:rPr>
        <w:footnoteRef/>
      </w:r>
      <w:r>
        <w:rPr>
          <w:rtl/>
        </w:rPr>
        <w:t xml:space="preserve"> </w:t>
      </w:r>
      <w:r w:rsidRPr="001C6E7B">
        <w:rPr>
          <w:rFonts w:cs="Arial"/>
          <w:rtl/>
        </w:rPr>
        <w:t>לילה הראשון, שהמצה חובה, בעינן לחם עוני</w:t>
      </w:r>
      <w:r>
        <w:rPr>
          <w:rFonts w:cs="Arial" w:hint="cs"/>
          <w:rtl/>
        </w:rPr>
        <w:t>, רש"י</w:t>
      </w:r>
      <w:r w:rsidRPr="001C6E7B">
        <w:rPr>
          <w:rFonts w:cs="Arial"/>
          <w:rtl/>
        </w:rPr>
        <w:t>.</w:t>
      </w:r>
    </w:p>
  </w:footnote>
  <w:footnote w:id="1723">
    <w:p w14:paraId="1430C1C2" w14:textId="77777777" w:rsidR="004C5A3C" w:rsidRDefault="004C5A3C" w:rsidP="002C39F4">
      <w:pPr>
        <w:pStyle w:val="a5"/>
      </w:pPr>
      <w:r>
        <w:rPr>
          <w:rStyle w:val="a7"/>
        </w:rPr>
        <w:footnoteRef/>
      </w:r>
      <w:r>
        <w:rPr>
          <w:rtl/>
        </w:rPr>
        <w:t xml:space="preserve"> </w:t>
      </w:r>
      <w:r w:rsidRPr="001C6E7B">
        <w:rPr>
          <w:rFonts w:cs="Arial"/>
          <w:rtl/>
        </w:rPr>
        <w:t>כל ימות השנה, שלא יאכל בשר עמה</w:t>
      </w:r>
      <w:r>
        <w:rPr>
          <w:rFonts w:cs="Arial" w:hint="cs"/>
          <w:rtl/>
        </w:rPr>
        <w:t>, רש"י</w:t>
      </w:r>
      <w:r w:rsidRPr="001C6E7B">
        <w:rPr>
          <w:rFonts w:cs="Arial"/>
          <w:rtl/>
        </w:rPr>
        <w:t>.</w:t>
      </w:r>
    </w:p>
  </w:footnote>
  <w:footnote w:id="1724">
    <w:p w14:paraId="2D85EE6B" w14:textId="77777777" w:rsidR="004C5A3C" w:rsidRDefault="004C5A3C" w:rsidP="002C39F4">
      <w:pPr>
        <w:pStyle w:val="a5"/>
      </w:pPr>
      <w:r>
        <w:rPr>
          <w:rStyle w:val="a7"/>
        </w:rPr>
        <w:footnoteRef/>
      </w:r>
      <w:r>
        <w:rPr>
          <w:rtl/>
        </w:rPr>
        <w:t xml:space="preserve"> </w:t>
      </w:r>
      <w:r w:rsidRPr="00135581">
        <w:rPr>
          <w:rFonts w:cs="Arial"/>
          <w:rtl/>
        </w:rPr>
        <w:t>אפילו לאוכלה לבדה</w:t>
      </w:r>
      <w:r>
        <w:rPr>
          <w:rFonts w:cs="Arial" w:hint="cs"/>
          <w:rtl/>
        </w:rPr>
        <w:t>, טור.</w:t>
      </w:r>
    </w:p>
  </w:footnote>
  <w:footnote w:id="1725">
    <w:p w14:paraId="06184888" w14:textId="77777777" w:rsidR="004C5A3C" w:rsidRDefault="004C5A3C" w:rsidP="002C39F4">
      <w:pPr>
        <w:pStyle w:val="a5"/>
        <w:rPr>
          <w:rtl/>
        </w:rPr>
      </w:pPr>
      <w:r>
        <w:rPr>
          <w:rStyle w:val="a7"/>
        </w:rPr>
        <w:footnoteRef/>
      </w:r>
      <w:r>
        <w:rPr>
          <w:rtl/>
        </w:rPr>
        <w:t xml:space="preserve"> </w:t>
      </w:r>
      <w:r>
        <w:rPr>
          <w:rFonts w:cs="Arial" w:hint="cs"/>
          <w:rtl/>
        </w:rPr>
        <w:t xml:space="preserve">וכ' הדרכ"מ </w:t>
      </w:r>
      <w:r>
        <w:rPr>
          <w:rFonts w:cs="Arial"/>
          <w:rtl/>
        </w:rPr>
        <w:t>(</w:t>
      </w:r>
      <w:r>
        <w:rPr>
          <w:rFonts w:cs="Arial" w:hint="cs"/>
          <w:rtl/>
        </w:rPr>
        <w:t>סק"</w:t>
      </w:r>
      <w:r>
        <w:rPr>
          <w:rFonts w:cs="Arial"/>
          <w:rtl/>
        </w:rPr>
        <w:t xml:space="preserve">א) </w:t>
      </w:r>
      <w:r>
        <w:rPr>
          <w:rFonts w:cs="Arial" w:hint="cs"/>
          <w:rtl/>
        </w:rPr>
        <w:t>ד</w:t>
      </w:r>
      <w:r>
        <w:rPr>
          <w:rFonts w:cs="Arial"/>
          <w:rtl/>
        </w:rPr>
        <w:t xml:space="preserve">כ"ה בארוך </w:t>
      </w:r>
      <w:r>
        <w:rPr>
          <w:rFonts w:cs="Arial" w:hint="cs"/>
          <w:rtl/>
        </w:rPr>
        <w:t>(</w:t>
      </w:r>
      <w:r>
        <w:rPr>
          <w:rFonts w:cs="Arial"/>
          <w:rtl/>
        </w:rPr>
        <w:t>כלל מ</w:t>
      </w:r>
      <w:r>
        <w:rPr>
          <w:rFonts w:cs="Arial" w:hint="cs"/>
          <w:rtl/>
        </w:rPr>
        <w:t xml:space="preserve"> </w:t>
      </w:r>
      <w:r w:rsidRPr="00EF3A71">
        <w:rPr>
          <w:rFonts w:cs="Arial"/>
          <w:rtl/>
        </w:rPr>
        <w:t>דין יט) אבל כתב טעם אחר משום דנשתנו צורתן משאר פת וכן נוהגין לעשות פת מרובה עם חלב אם נשתנו צורתן משאר פת וכן פלאדי"ן או פשטיד"א מאחר שניכר בהן הבשר או החלב אין צריכין היכר יותר וא"צ להשים עליהם גבינה או עצמות לסימן עכ"ל</w:t>
      </w:r>
      <w:r>
        <w:rPr>
          <w:rFonts w:hint="cs"/>
          <w:rtl/>
        </w:rPr>
        <w:t>.</w:t>
      </w:r>
    </w:p>
  </w:footnote>
  <w:footnote w:id="1726">
    <w:p w14:paraId="6CA32BB9" w14:textId="77777777" w:rsidR="004C5A3C" w:rsidRDefault="004C5A3C" w:rsidP="002C39F4">
      <w:pPr>
        <w:pStyle w:val="a5"/>
        <w:rPr>
          <w:rtl/>
        </w:rPr>
      </w:pPr>
      <w:r>
        <w:rPr>
          <w:rStyle w:val="a7"/>
        </w:rPr>
        <w:footnoteRef/>
      </w:r>
      <w:r>
        <w:rPr>
          <w:rtl/>
        </w:rPr>
        <w:t xml:space="preserve"> </w:t>
      </w:r>
      <w:r>
        <w:rPr>
          <w:rFonts w:cs="Arial"/>
          <w:rtl/>
        </w:rPr>
        <w:t>וכ</w:t>
      </w:r>
      <w:r>
        <w:rPr>
          <w:rFonts w:cs="Arial" w:hint="cs"/>
          <w:rtl/>
        </w:rPr>
        <w:t>"</w:t>
      </w:r>
      <w:r>
        <w:rPr>
          <w:rFonts w:cs="Arial"/>
          <w:rtl/>
        </w:rPr>
        <w:t>פ באו"ה</w:t>
      </w:r>
      <w:r w:rsidRPr="003C2C05">
        <w:rPr>
          <w:rFonts w:cs="Arial"/>
          <w:sz w:val="16"/>
          <w:szCs w:val="16"/>
          <w:rtl/>
        </w:rPr>
        <w:t xml:space="preserve"> </w:t>
      </w:r>
      <w:r w:rsidRPr="003C2C05">
        <w:rPr>
          <w:rFonts w:cs="Arial" w:hint="cs"/>
          <w:sz w:val="16"/>
          <w:szCs w:val="16"/>
          <w:rtl/>
        </w:rPr>
        <w:t>(</w:t>
      </w:r>
      <w:r w:rsidRPr="003C2C05">
        <w:rPr>
          <w:rFonts w:cs="Arial"/>
          <w:sz w:val="16"/>
          <w:szCs w:val="16"/>
          <w:rtl/>
        </w:rPr>
        <w:t xml:space="preserve">כלל לט דין ח) </w:t>
      </w:r>
      <w:r>
        <w:rPr>
          <w:rFonts w:cs="Arial"/>
          <w:rtl/>
        </w:rPr>
        <w:t>דאף בדיע</w:t>
      </w:r>
      <w:r>
        <w:rPr>
          <w:rFonts w:cs="Arial" w:hint="cs"/>
          <w:rtl/>
        </w:rPr>
        <w:t>'</w:t>
      </w:r>
      <w:r>
        <w:rPr>
          <w:rFonts w:cs="Arial"/>
          <w:rtl/>
        </w:rPr>
        <w:t xml:space="preserve"> הפת אסור א</w:t>
      </w:r>
      <w:r>
        <w:rPr>
          <w:rFonts w:cs="Arial" w:hint="cs"/>
          <w:rtl/>
        </w:rPr>
        <w:t>ע"</w:t>
      </w:r>
      <w:r>
        <w:rPr>
          <w:rFonts w:cs="Arial"/>
          <w:rtl/>
        </w:rPr>
        <w:t>ג</w:t>
      </w:r>
      <w:r w:rsidRPr="00135581">
        <w:rPr>
          <w:rFonts w:cs="Arial"/>
          <w:rtl/>
        </w:rPr>
        <w:t xml:space="preserve"> דאין התנור משופע אא"כ היה הפשטיד"א במחבת</w:t>
      </w:r>
      <w:r>
        <w:rPr>
          <w:rFonts w:cs="Arial" w:hint="cs"/>
          <w:rtl/>
        </w:rPr>
        <w:t xml:space="preserve">, דרכ"מ </w:t>
      </w:r>
      <w:r w:rsidRPr="003C2C05">
        <w:rPr>
          <w:rFonts w:cs="Arial"/>
          <w:sz w:val="16"/>
          <w:szCs w:val="16"/>
          <w:rtl/>
        </w:rPr>
        <w:t>(</w:t>
      </w:r>
      <w:r w:rsidRPr="003C2C05">
        <w:rPr>
          <w:rFonts w:cs="Arial" w:hint="cs"/>
          <w:sz w:val="16"/>
          <w:szCs w:val="16"/>
          <w:rtl/>
        </w:rPr>
        <w:t xml:space="preserve">אות </w:t>
      </w:r>
      <w:r w:rsidRPr="003C2C05">
        <w:rPr>
          <w:rFonts w:cs="Arial"/>
          <w:sz w:val="16"/>
          <w:szCs w:val="16"/>
          <w:rtl/>
        </w:rPr>
        <w:t>ג)</w:t>
      </w:r>
      <w:r>
        <w:rPr>
          <w:rFonts w:cs="Arial" w:hint="cs"/>
          <w:rtl/>
        </w:rPr>
        <w:t>.</w:t>
      </w:r>
    </w:p>
  </w:footnote>
  <w:footnote w:id="1727">
    <w:p w14:paraId="4AD13964" w14:textId="77777777" w:rsidR="004C5A3C" w:rsidRDefault="004C5A3C" w:rsidP="002C39F4">
      <w:pPr>
        <w:pStyle w:val="a5"/>
      </w:pPr>
      <w:r>
        <w:rPr>
          <w:rStyle w:val="a7"/>
        </w:rPr>
        <w:footnoteRef/>
      </w:r>
      <w:r>
        <w:rPr>
          <w:rtl/>
        </w:rPr>
        <w:t xml:space="preserve"> </w:t>
      </w:r>
      <w:r w:rsidRPr="00E57732">
        <w:rPr>
          <w:rFonts w:cs="Arial"/>
          <w:rtl/>
        </w:rPr>
        <w:t>וכתוב על זה בהגשע</w:t>
      </w:r>
      <w:r w:rsidRPr="00E57732">
        <w:rPr>
          <w:rFonts w:cs="Arial" w:hint="cs"/>
          <w:rtl/>
        </w:rPr>
        <w:t>"</w:t>
      </w:r>
      <w:r w:rsidRPr="00E57732">
        <w:rPr>
          <w:rFonts w:cs="Arial"/>
          <w:rtl/>
        </w:rPr>
        <w:t xml:space="preserve">ד </w:t>
      </w:r>
      <w:r w:rsidRPr="00E57732">
        <w:rPr>
          <w:rFonts w:cs="Arial"/>
          <w:sz w:val="16"/>
          <w:szCs w:val="16"/>
          <w:rtl/>
        </w:rPr>
        <w:t>(סי' לה סק</w:t>
      </w:r>
      <w:r w:rsidRPr="00E57732">
        <w:rPr>
          <w:rFonts w:cs="Arial" w:hint="cs"/>
          <w:sz w:val="16"/>
          <w:szCs w:val="16"/>
          <w:rtl/>
        </w:rPr>
        <w:t>"</w:t>
      </w:r>
      <w:r w:rsidRPr="00E57732">
        <w:rPr>
          <w:rFonts w:cs="Arial"/>
          <w:sz w:val="16"/>
          <w:szCs w:val="16"/>
          <w:rtl/>
        </w:rPr>
        <w:t>ו)</w:t>
      </w:r>
      <w:r w:rsidRPr="00E57732">
        <w:rPr>
          <w:rFonts w:cs="Arial"/>
          <w:rtl/>
        </w:rPr>
        <w:t xml:space="preserve"> אע</w:t>
      </w:r>
      <w:r w:rsidRPr="00E57732">
        <w:rPr>
          <w:rFonts w:cs="Arial" w:hint="cs"/>
          <w:rtl/>
        </w:rPr>
        <w:t>"</w:t>
      </w:r>
      <w:r w:rsidRPr="00E57732">
        <w:rPr>
          <w:rFonts w:cs="Arial"/>
          <w:rtl/>
        </w:rPr>
        <w:t>ג דרגילים האידנא כל הטפילות במחבת מ</w:t>
      </w:r>
      <w:r w:rsidRPr="00E57732">
        <w:rPr>
          <w:rFonts w:cs="Arial" w:hint="cs"/>
          <w:rtl/>
        </w:rPr>
        <w:t>"</w:t>
      </w:r>
      <w:r w:rsidRPr="00E57732">
        <w:rPr>
          <w:rFonts w:cs="Arial"/>
          <w:rtl/>
        </w:rPr>
        <w:t>מ חוששין</w:t>
      </w:r>
      <w:r w:rsidRPr="00E57732">
        <w:rPr>
          <w:rFonts w:cs="Arial" w:hint="cs"/>
          <w:rtl/>
        </w:rPr>
        <w:t>,</w:t>
      </w:r>
      <w:r w:rsidRPr="00E57732">
        <w:rPr>
          <w:rFonts w:cs="Arial"/>
          <w:rtl/>
        </w:rPr>
        <w:t xml:space="preserve"> ויש שמקילין ומשימין הפשטיד"א בפי התנור ממש</w:t>
      </w:r>
      <w:r>
        <w:rPr>
          <w:rFonts w:cs="Arial" w:hint="cs"/>
          <w:rtl/>
        </w:rPr>
        <w:t xml:space="preserve">, ב"י. </w:t>
      </w:r>
      <w:r w:rsidRPr="002C67CE">
        <w:rPr>
          <w:rFonts w:hint="cs"/>
          <w:color w:val="00B0F0"/>
          <w:rtl/>
        </w:rPr>
        <w:t>(וכ"פ הרמ"א)</w:t>
      </w:r>
      <w:r>
        <w:rPr>
          <w:rFonts w:cs="Arial" w:hint="cs"/>
          <w:rtl/>
        </w:rPr>
        <w:t xml:space="preserve">. וכ' הדרכ"מ </w:t>
      </w:r>
      <w:r w:rsidRPr="003C2C05">
        <w:rPr>
          <w:rFonts w:cs="Arial"/>
          <w:sz w:val="16"/>
          <w:szCs w:val="16"/>
          <w:rtl/>
        </w:rPr>
        <w:t>(</w:t>
      </w:r>
      <w:r w:rsidRPr="003C2C05">
        <w:rPr>
          <w:rFonts w:cs="Arial" w:hint="cs"/>
          <w:sz w:val="16"/>
          <w:szCs w:val="16"/>
          <w:rtl/>
        </w:rPr>
        <w:t xml:space="preserve">אות </w:t>
      </w:r>
      <w:r w:rsidRPr="003C2C05">
        <w:rPr>
          <w:rFonts w:cs="Arial"/>
          <w:sz w:val="16"/>
          <w:szCs w:val="16"/>
          <w:rtl/>
        </w:rPr>
        <w:t xml:space="preserve">ד) </w:t>
      </w:r>
      <w:r>
        <w:rPr>
          <w:rFonts w:cs="Arial" w:hint="cs"/>
          <w:rtl/>
        </w:rPr>
        <w:t>ד</w:t>
      </w:r>
      <w:r>
        <w:rPr>
          <w:rFonts w:cs="Arial"/>
          <w:rtl/>
        </w:rPr>
        <w:t>בהגשע</w:t>
      </w:r>
      <w:r>
        <w:rPr>
          <w:rFonts w:cs="Arial" w:hint="cs"/>
          <w:rtl/>
        </w:rPr>
        <w:t>"ד</w:t>
      </w:r>
      <w:r>
        <w:rPr>
          <w:rFonts w:cs="Arial"/>
          <w:rtl/>
        </w:rPr>
        <w:t xml:space="preserve"> </w:t>
      </w:r>
      <w:r w:rsidRPr="003C2C05">
        <w:rPr>
          <w:rFonts w:cs="Arial" w:hint="cs"/>
          <w:sz w:val="16"/>
          <w:szCs w:val="16"/>
          <w:rtl/>
        </w:rPr>
        <w:t>(</w:t>
      </w:r>
      <w:r w:rsidRPr="003C2C05">
        <w:rPr>
          <w:rFonts w:cs="Arial"/>
          <w:sz w:val="16"/>
          <w:szCs w:val="16"/>
          <w:rtl/>
        </w:rPr>
        <w:t>סי</w:t>
      </w:r>
      <w:r w:rsidRPr="003C2C05">
        <w:rPr>
          <w:rFonts w:cs="Arial" w:hint="cs"/>
          <w:sz w:val="16"/>
          <w:szCs w:val="16"/>
          <w:rtl/>
        </w:rPr>
        <w:t>'</w:t>
      </w:r>
      <w:r w:rsidRPr="003C2C05">
        <w:rPr>
          <w:rFonts w:cs="Arial"/>
          <w:sz w:val="16"/>
          <w:szCs w:val="16"/>
          <w:rtl/>
        </w:rPr>
        <w:t xml:space="preserve"> לה סק</w:t>
      </w:r>
      <w:r w:rsidRPr="003C2C05">
        <w:rPr>
          <w:rFonts w:cs="Arial" w:hint="cs"/>
          <w:sz w:val="16"/>
          <w:szCs w:val="16"/>
          <w:rtl/>
        </w:rPr>
        <w:t>"</w:t>
      </w:r>
      <w:r w:rsidRPr="003C2C05">
        <w:rPr>
          <w:rFonts w:cs="Arial"/>
          <w:sz w:val="16"/>
          <w:szCs w:val="16"/>
          <w:rtl/>
        </w:rPr>
        <w:t xml:space="preserve">ז) </w:t>
      </w:r>
      <w:r>
        <w:rPr>
          <w:rFonts w:cs="Arial"/>
          <w:rtl/>
        </w:rPr>
        <w:t xml:space="preserve">משמע דיש מקילין אפילו בלא מחבת אם התנור משופע ונתן הפת למעלה והפשטיד"א למטה בענין שלא יכול לזוב שם. </w:t>
      </w:r>
    </w:p>
  </w:footnote>
  <w:footnote w:id="1728">
    <w:p w14:paraId="57937B6E" w14:textId="77777777" w:rsidR="004C5A3C" w:rsidRDefault="004C5A3C" w:rsidP="002C39F4">
      <w:pPr>
        <w:pStyle w:val="a5"/>
        <w:rPr>
          <w:rtl/>
        </w:rPr>
      </w:pPr>
      <w:r>
        <w:rPr>
          <w:rStyle w:val="a7"/>
        </w:rPr>
        <w:footnoteRef/>
      </w:r>
      <w:r>
        <w:rPr>
          <w:rtl/>
        </w:rPr>
        <w:t xml:space="preserve"> </w:t>
      </w:r>
      <w:r>
        <w:rPr>
          <w:rFonts w:hint="cs"/>
          <w:rtl/>
        </w:rPr>
        <w:t>יתבאר בסעיף הבא.</w:t>
      </w:r>
    </w:p>
  </w:footnote>
  <w:footnote w:id="1729">
    <w:p w14:paraId="4FF31D73" w14:textId="77777777" w:rsidR="004C5A3C" w:rsidRDefault="004C5A3C" w:rsidP="002C39F4">
      <w:pPr>
        <w:pStyle w:val="a5"/>
      </w:pPr>
      <w:r>
        <w:rPr>
          <w:rStyle w:val="a7"/>
        </w:rPr>
        <w:footnoteRef/>
      </w:r>
      <w:r>
        <w:rPr>
          <w:rtl/>
        </w:rPr>
        <w:t xml:space="preserve"> </w:t>
      </w:r>
      <w:r w:rsidRPr="00071B04">
        <w:rPr>
          <w:rFonts w:cs="Arial"/>
          <w:rtl/>
        </w:rPr>
        <w:t>פי' לכתחלה אין לאפות שום פת עם פלאדי"ן או פשטי"ד בתנור אפילו רחב ואינו משופע דחיישי' שמא יזוב ממנו אל הפת</w:t>
      </w:r>
      <w:r>
        <w:rPr>
          <w:rFonts w:cs="Arial" w:hint="cs"/>
          <w:rtl/>
        </w:rPr>
        <w:t>,</w:t>
      </w:r>
      <w:r w:rsidRPr="00071B04">
        <w:rPr>
          <w:rFonts w:cs="Arial"/>
          <w:rtl/>
        </w:rPr>
        <w:t xml:space="preserve"> אבל בדיעבד אם אין התנור משופע או שהפת למעלה מן הפשטי"ד לא מחזקינן איסורא דשמא זב כיון דאפילו זב לא זב תחת הפת עצמו</w:t>
      </w:r>
      <w:r>
        <w:rPr>
          <w:rFonts w:cs="Arial" w:hint="cs"/>
          <w:rtl/>
        </w:rPr>
        <w:t>,</w:t>
      </w:r>
      <w:r w:rsidRPr="00071B04">
        <w:rPr>
          <w:rFonts w:cs="Arial"/>
          <w:rtl/>
        </w:rPr>
        <w:t xml:space="preserve"> אבל אי חזינן דזב מן הפשטי"ד לחוץ אפילו אינו זב תחת הפת עצמו אלא הפת רחוק מן הפשטי"ד הפת אסו</w:t>
      </w:r>
      <w:r>
        <w:rPr>
          <w:rFonts w:cs="Arial"/>
          <w:rtl/>
        </w:rPr>
        <w:t>ר אף דיעבד וכדאיתא בהג"א והג</w:t>
      </w:r>
      <w:r w:rsidRPr="00071B04">
        <w:rPr>
          <w:rFonts w:cs="Arial"/>
          <w:rtl/>
        </w:rPr>
        <w:t>ש</w:t>
      </w:r>
      <w:r>
        <w:rPr>
          <w:rFonts w:cs="Arial" w:hint="cs"/>
          <w:rtl/>
        </w:rPr>
        <w:t>ע</w:t>
      </w:r>
      <w:r w:rsidRPr="00071B04">
        <w:rPr>
          <w:rFonts w:cs="Arial"/>
          <w:rtl/>
        </w:rPr>
        <w:t>"ד והגהת או"ה כלל ל"ט בשם א"ז</w:t>
      </w:r>
      <w:r>
        <w:rPr>
          <w:rFonts w:cs="Arial" w:hint="cs"/>
          <w:rtl/>
        </w:rPr>
        <w:t>,</w:t>
      </w:r>
      <w:r w:rsidRPr="00071B04">
        <w:rPr>
          <w:rFonts w:cs="Arial"/>
          <w:rtl/>
        </w:rPr>
        <w:t xml:space="preserve"> כל זה מוכח בת"ח כלל ל"ו ד"ט ע"ש ובסימני ת"ח ודו"ק</w:t>
      </w:r>
      <w:r>
        <w:rPr>
          <w:rFonts w:cs="Arial" w:hint="cs"/>
          <w:rtl/>
        </w:rPr>
        <w:t>,</w:t>
      </w:r>
      <w:r w:rsidRPr="00071B04">
        <w:rPr>
          <w:rFonts w:cs="Arial"/>
          <w:rtl/>
        </w:rPr>
        <w:t xml:space="preserve"> וטעם לדבר נ"ל משום דמספקא לן אי בישול מפעפע בכ</w:t>
      </w:r>
      <w:r>
        <w:rPr>
          <w:rFonts w:cs="Arial"/>
          <w:rtl/>
        </w:rPr>
        <w:t>ל הכלי או לא וכמ"ש בסי' צ"ב סק</w:t>
      </w:r>
      <w:r w:rsidRPr="00071B04">
        <w:rPr>
          <w:rFonts w:cs="Arial"/>
          <w:rtl/>
        </w:rPr>
        <w:t>ט"ז והלכך היכא דלא חזינן דזב איכא ספק ספיקא ספק זב או לא זב ואת"ל זב שמא לא פעפע בכולו</w:t>
      </w:r>
      <w:r>
        <w:rPr>
          <w:rFonts w:cs="Arial" w:hint="cs"/>
          <w:rtl/>
        </w:rPr>
        <w:t>,</w:t>
      </w:r>
      <w:r w:rsidRPr="00071B04">
        <w:rPr>
          <w:rFonts w:cs="Arial"/>
          <w:rtl/>
        </w:rPr>
        <w:t xml:space="preserve"> אבל כשהתנור משופע מסתמא זב תחת הפת עצמו וכן כשחזינן דזב ליכא אלא חדא ספיקא כנ"ל ודוק</w:t>
      </w:r>
      <w:r>
        <w:rPr>
          <w:rFonts w:cs="Arial" w:hint="cs"/>
          <w:rtl/>
        </w:rPr>
        <w:t>,</w:t>
      </w:r>
      <w:r>
        <w:rPr>
          <w:rFonts w:cs="Arial"/>
          <w:rtl/>
        </w:rPr>
        <w:t xml:space="preserve"> ואע</w:t>
      </w:r>
      <w:r>
        <w:rPr>
          <w:rFonts w:cs="Arial" w:hint="cs"/>
          <w:rtl/>
        </w:rPr>
        <w:t>"</w:t>
      </w:r>
      <w:r>
        <w:rPr>
          <w:rFonts w:cs="Arial"/>
          <w:rtl/>
        </w:rPr>
        <w:t>ג דבהגה</w:t>
      </w:r>
      <w:r>
        <w:rPr>
          <w:rFonts w:cs="Arial" w:hint="cs"/>
          <w:rtl/>
        </w:rPr>
        <w:t>'</w:t>
      </w:r>
      <w:r w:rsidRPr="00071B04">
        <w:rPr>
          <w:rFonts w:cs="Arial"/>
          <w:rtl/>
        </w:rPr>
        <w:t xml:space="preserve"> או"ה שם כ' בשם א"ז דבלא ראה דזב איכא בלאו הכי ספק ספיקא ספק זב או לא ואת"ל זב שמא לא יאכלו עם חלב עכ"ל שמא לא חשיב האי דשמא לא יאכלו עם חלב להרב ספיקא כלל כיון דהרגילות הוא לאכול פת עם כל מיני אוכלים קרוב הדבר לאכלו ג"כ עם חלב ולפ"ז מ"ש הרב בהג"ה כאן ואם זב תחתיו ר"ל זב תחת הפשטי"ד אפי' רחוק מן הפת</w:t>
      </w:r>
      <w:r>
        <w:rPr>
          <w:rFonts w:cs="Arial" w:hint="cs"/>
          <w:rtl/>
        </w:rPr>
        <w:t>,</w:t>
      </w:r>
      <w:r w:rsidRPr="00071B04">
        <w:rPr>
          <w:rFonts w:cs="Arial"/>
          <w:rtl/>
        </w:rPr>
        <w:t xml:space="preserve"> וכן מוכרח לפרש לשון זה שהביא בת"ח שם בשם הגהת או"ה ע"ש ודוק</w:t>
      </w:r>
      <w:r>
        <w:rPr>
          <w:rFonts w:cs="Arial" w:hint="cs"/>
          <w:rtl/>
        </w:rPr>
        <w:t>,</w:t>
      </w:r>
      <w:r w:rsidRPr="00071B04">
        <w:rPr>
          <w:rFonts w:cs="Arial"/>
          <w:rtl/>
        </w:rPr>
        <w:t xml:space="preserve"> והב</w:t>
      </w:r>
      <w:r>
        <w:rPr>
          <w:rFonts w:cs="Arial" w:hint="cs"/>
          <w:rtl/>
        </w:rPr>
        <w:t>"ח</w:t>
      </w:r>
      <w:r>
        <w:rPr>
          <w:rFonts w:cs="Arial"/>
          <w:rtl/>
        </w:rPr>
        <w:t xml:space="preserve"> כ</w:t>
      </w:r>
      <w:r>
        <w:rPr>
          <w:rFonts w:cs="Arial" w:hint="cs"/>
          <w:rtl/>
        </w:rPr>
        <w:t>'</w:t>
      </w:r>
      <w:r w:rsidRPr="00071B04">
        <w:rPr>
          <w:rFonts w:cs="Arial"/>
          <w:rtl/>
        </w:rPr>
        <w:t xml:space="preserve"> וז"ל</w:t>
      </w:r>
      <w:r>
        <w:rPr>
          <w:rFonts w:cs="Arial" w:hint="cs"/>
          <w:rtl/>
        </w:rPr>
        <w:t>-</w:t>
      </w:r>
      <w:r w:rsidRPr="00071B04">
        <w:rPr>
          <w:rFonts w:cs="Arial"/>
          <w:rtl/>
        </w:rPr>
        <w:t xml:space="preserve"> ודלא כמ"ש בהג"ה ע"ש דלא נאסר הפת אלא כשזב תחתיו ממש והבין כך מ</w:t>
      </w:r>
      <w:r>
        <w:rPr>
          <w:rFonts w:cs="Arial"/>
          <w:rtl/>
        </w:rPr>
        <w:t>הג"א</w:t>
      </w:r>
      <w:r w:rsidRPr="00071B04">
        <w:rPr>
          <w:rFonts w:cs="Arial"/>
          <w:rtl/>
        </w:rPr>
        <w:t xml:space="preserve"> הביאו ב"י ולא דק עכ"ל</w:t>
      </w:r>
      <w:r>
        <w:rPr>
          <w:rFonts w:cs="Arial" w:hint="cs"/>
          <w:rtl/>
        </w:rPr>
        <w:t>,</w:t>
      </w:r>
      <w:r w:rsidRPr="00071B04">
        <w:rPr>
          <w:rFonts w:cs="Arial"/>
          <w:rtl/>
        </w:rPr>
        <w:t xml:space="preserve"> ולא עיין בת"ח כי המעיין שם יראה שהרב מביא בשם </w:t>
      </w:r>
      <w:r>
        <w:rPr>
          <w:rFonts w:cs="Arial"/>
          <w:rtl/>
        </w:rPr>
        <w:t>הג"א</w:t>
      </w:r>
      <w:r w:rsidRPr="00071B04">
        <w:rPr>
          <w:rFonts w:cs="Arial"/>
          <w:rtl/>
        </w:rPr>
        <w:t xml:space="preserve"> בהדיא להפך דאפי' אינו זב תחת הפת אסור וכ"פ בסימני ת"ח שם ומוכח שם דעת הרב כאשר כתבתי</w:t>
      </w:r>
      <w:r>
        <w:rPr>
          <w:rFonts w:cs="Arial" w:hint="cs"/>
          <w:rtl/>
        </w:rPr>
        <w:t>, ש"ך (סק"ב).</w:t>
      </w:r>
      <w:r>
        <w:rPr>
          <w:rFonts w:hint="cs"/>
          <w:rtl/>
        </w:rPr>
        <w:t xml:space="preserve"> וגם הט"ז (סק"ב)</w:t>
      </w:r>
      <w:r w:rsidRPr="00641514">
        <w:rPr>
          <w:rtl/>
        </w:rPr>
        <w:t xml:space="preserve"> </w:t>
      </w:r>
      <w:r>
        <w:rPr>
          <w:rFonts w:cs="Arial" w:hint="cs"/>
          <w:rtl/>
        </w:rPr>
        <w:t>כ' ע"פ ההג</w:t>
      </w:r>
      <w:r>
        <w:rPr>
          <w:rFonts w:cs="Arial"/>
          <w:rtl/>
        </w:rPr>
        <w:t>"</w:t>
      </w:r>
      <w:r>
        <w:rPr>
          <w:rFonts w:cs="Arial" w:hint="cs"/>
          <w:rtl/>
        </w:rPr>
        <w:t>א ד</w:t>
      </w:r>
      <w:r w:rsidRPr="00641514">
        <w:rPr>
          <w:rFonts w:cs="Arial"/>
          <w:rtl/>
        </w:rPr>
        <w:t>לא בעינן שיהא נראה השומן תחת הפת ממש אלא כל שמתפשט חוץ לפשטיד"א ונבלע בתנור חיישינן שמא הלכה הבליעה עד הפת</w:t>
      </w:r>
      <w:r>
        <w:rPr>
          <w:rFonts w:hint="cs"/>
          <w:rtl/>
        </w:rPr>
        <w:t>.</w:t>
      </w:r>
    </w:p>
  </w:footnote>
  <w:footnote w:id="1730">
    <w:p w14:paraId="3CBDB399" w14:textId="77777777" w:rsidR="004C5A3C" w:rsidRDefault="004C5A3C" w:rsidP="002C39F4">
      <w:pPr>
        <w:pStyle w:val="a5"/>
        <w:rPr>
          <w:rtl/>
        </w:rPr>
      </w:pPr>
      <w:r>
        <w:rPr>
          <w:rStyle w:val="a7"/>
        </w:rPr>
        <w:footnoteRef/>
      </w:r>
      <w:r>
        <w:rPr>
          <w:rtl/>
        </w:rPr>
        <w:t xml:space="preserve"> </w:t>
      </w:r>
      <w:r w:rsidRPr="00071B04">
        <w:rPr>
          <w:rFonts w:asciiTheme="minorBidi" w:hAnsiTheme="minorBidi" w:cs="Arial"/>
          <w:rtl/>
        </w:rPr>
        <w:t>ולא נהירא דשאני הכא דסתם לחם עשוי לאכול עם בשר ועם חלב ואין דרך לייחד לחם לחלב לבדו ולחם לבשר לבדו ולפיכך יש לגזור שמא יבוא לאכלה עם בשר, אבל דברים אחרים כגון מדוכה וכיוצא שיש מהם מיוחדין לבשר ומהם מיוחדין לחלב וכן כשדכין התבלין דכין התבלין שרוצין לאכול עם בשר במדוכה של בשר והתבלין שרוצין לאכול עם חל</w:t>
      </w:r>
      <w:r>
        <w:rPr>
          <w:rFonts w:asciiTheme="minorBidi" w:hAnsiTheme="minorBidi" w:cs="Arial"/>
          <w:rtl/>
        </w:rPr>
        <w:t>ב דכין במדוכה של חלב לבדו</w:t>
      </w:r>
      <w:r>
        <w:rPr>
          <w:rFonts w:asciiTheme="minorBidi" w:hAnsiTheme="minorBidi" w:cs="Arial" w:hint="cs"/>
          <w:rtl/>
        </w:rPr>
        <w:t>,</w:t>
      </w:r>
      <w:r>
        <w:rPr>
          <w:rFonts w:asciiTheme="minorBidi" w:hAnsiTheme="minorBidi" w:cs="Arial"/>
          <w:rtl/>
        </w:rPr>
        <w:t xml:space="preserve"> א</w:t>
      </w:r>
      <w:r>
        <w:rPr>
          <w:rFonts w:asciiTheme="minorBidi" w:hAnsiTheme="minorBidi" w:cs="Arial" w:hint="cs"/>
          <w:rtl/>
        </w:rPr>
        <w:t>ע"</w:t>
      </w:r>
      <w:r>
        <w:rPr>
          <w:rFonts w:asciiTheme="minorBidi" w:hAnsiTheme="minorBidi" w:cs="Arial"/>
          <w:rtl/>
        </w:rPr>
        <w:t>פ</w:t>
      </w:r>
      <w:r w:rsidRPr="00071B04">
        <w:rPr>
          <w:rFonts w:asciiTheme="minorBidi" w:hAnsiTheme="minorBidi" w:cs="Arial"/>
          <w:rtl/>
        </w:rPr>
        <w:t xml:space="preserve"> שהוא מתחילה לא ייחדה לא לבשר ולא לחלב אלא</w:t>
      </w:r>
      <w:r>
        <w:rPr>
          <w:rFonts w:asciiTheme="minorBidi" w:hAnsiTheme="minorBidi" w:cs="Arial"/>
          <w:rtl/>
        </w:rPr>
        <w:t xml:space="preserve"> היתה מיוחדת לבשמים לבד מ</w:t>
      </w:r>
      <w:r>
        <w:rPr>
          <w:rFonts w:asciiTheme="minorBidi" w:hAnsiTheme="minorBidi" w:cs="Arial" w:hint="cs"/>
          <w:rtl/>
        </w:rPr>
        <w:t>"</w:t>
      </w:r>
      <w:r>
        <w:rPr>
          <w:rFonts w:asciiTheme="minorBidi" w:hAnsiTheme="minorBidi" w:cs="Arial"/>
          <w:rtl/>
        </w:rPr>
        <w:t>מ</w:t>
      </w:r>
      <w:r w:rsidRPr="00071B04">
        <w:rPr>
          <w:rFonts w:asciiTheme="minorBidi" w:hAnsiTheme="minorBidi" w:cs="Arial"/>
          <w:rtl/>
        </w:rPr>
        <w:t xml:space="preserve"> כשחוזר ומיחדה לבשר לבד מיזהר זהיר בה, ואם באנו לחוש לבשמים אף אנו נחוש לכלים ונאסור להגעיל כלי מיוחד לבשר לעשותו של חלב שהרי בכלי נמי ליכא היכר וישכח ויבשל בו בשר כמו עד עכשיו, אלא איני רואה לדברים אלו עיקר ואין לנו לגזור גזרות מדעתינו בדבר שלא נזכר בתלמוד אולי ישכח שיחד הכלי לבשר ויבוא לאכול התבלין בחלב כיון שאין לו דמיון לדין זה עם דין המוזכר בתלמוד</w:t>
      </w:r>
      <w:r>
        <w:rPr>
          <w:rFonts w:asciiTheme="minorBidi" w:hAnsiTheme="minorBidi" w:cs="Arial" w:hint="cs"/>
          <w:rtl/>
        </w:rPr>
        <w:t xml:space="preserve">, </w:t>
      </w:r>
      <w:r>
        <w:rPr>
          <w:rFonts w:asciiTheme="minorBidi" w:hAnsiTheme="minorBidi" w:hint="cs"/>
          <w:rtl/>
        </w:rPr>
        <w:t xml:space="preserve">פר"ח </w:t>
      </w:r>
      <w:r w:rsidRPr="00071B04">
        <w:rPr>
          <w:rFonts w:asciiTheme="minorBidi" w:hAnsiTheme="minorBidi" w:cs="Arial" w:hint="cs"/>
          <w:sz w:val="16"/>
          <w:szCs w:val="16"/>
          <w:rtl/>
        </w:rPr>
        <w:t>(סק"א)</w:t>
      </w:r>
      <w:r w:rsidRPr="00071B04">
        <w:rPr>
          <w:rFonts w:asciiTheme="minorBidi" w:hAnsiTheme="minorBidi" w:cs="Arial"/>
          <w:rtl/>
        </w:rPr>
        <w:t>.</w:t>
      </w:r>
      <w:r>
        <w:rPr>
          <w:rFonts w:hint="cs"/>
          <w:rtl/>
        </w:rPr>
        <w:t xml:space="preserve"> והסכימו עמו הבית מאיר והחת"ס (הובאו באוצמ"פ [אותיות ב-ג]).</w:t>
      </w:r>
    </w:p>
  </w:footnote>
  <w:footnote w:id="1731">
    <w:p w14:paraId="549FC0DC" w14:textId="77777777" w:rsidR="004C5A3C" w:rsidRDefault="004C5A3C" w:rsidP="002C39F4">
      <w:pPr>
        <w:pStyle w:val="a5"/>
      </w:pPr>
      <w:r>
        <w:rPr>
          <w:rStyle w:val="a7"/>
        </w:rPr>
        <w:footnoteRef/>
      </w:r>
      <w:r>
        <w:rPr>
          <w:rtl/>
        </w:rPr>
        <w:t xml:space="preserve"> </w:t>
      </w:r>
      <w:r w:rsidRPr="002C2044">
        <w:rPr>
          <w:rFonts w:cs="Arial"/>
          <w:rtl/>
        </w:rPr>
        <w:t>ואין להקשות מ</w:t>
      </w:r>
      <w:r>
        <w:rPr>
          <w:rFonts w:cs="Arial" w:hint="cs"/>
          <w:rtl/>
        </w:rPr>
        <w:t xml:space="preserve">מש"כ התוס' </w:t>
      </w:r>
      <w:r w:rsidRPr="001546A8">
        <w:rPr>
          <w:rFonts w:cs="Arial" w:hint="cs"/>
          <w:sz w:val="16"/>
          <w:szCs w:val="16"/>
          <w:rtl/>
        </w:rPr>
        <w:t>(</w:t>
      </w:r>
      <w:r w:rsidRPr="001546A8">
        <w:rPr>
          <w:rFonts w:cs="Arial"/>
          <w:sz w:val="16"/>
          <w:szCs w:val="16"/>
          <w:rtl/>
        </w:rPr>
        <w:t>ד</w:t>
      </w:r>
      <w:r w:rsidRPr="001546A8">
        <w:rPr>
          <w:rFonts w:cs="Arial" w:hint="cs"/>
          <w:sz w:val="16"/>
          <w:szCs w:val="16"/>
          <w:rtl/>
        </w:rPr>
        <w:t xml:space="preserve">בתנור </w:t>
      </w:r>
      <w:r w:rsidRPr="001546A8">
        <w:rPr>
          <w:rFonts w:cs="Arial"/>
          <w:sz w:val="16"/>
          <w:szCs w:val="16"/>
          <w:rtl/>
        </w:rPr>
        <w:t>לא סגי בקינוח מפני שא"א לתנור להתקנח יפה והוה השמנונית בעין עד שיוסק</w:t>
      </w:r>
      <w:r w:rsidRPr="001546A8">
        <w:rPr>
          <w:rFonts w:cs="Arial" w:hint="cs"/>
          <w:sz w:val="16"/>
          <w:szCs w:val="16"/>
          <w:rtl/>
        </w:rPr>
        <w:t>)</w:t>
      </w:r>
      <w:r>
        <w:rPr>
          <w:rFonts w:cs="Arial" w:hint="cs"/>
          <w:sz w:val="16"/>
          <w:szCs w:val="16"/>
          <w:rtl/>
        </w:rPr>
        <w:t xml:space="preserve"> </w:t>
      </w:r>
      <w:r>
        <w:rPr>
          <w:rFonts w:cs="Arial" w:hint="cs"/>
          <w:rtl/>
        </w:rPr>
        <w:t>ד</w:t>
      </w:r>
      <w:r w:rsidRPr="002C2044">
        <w:rPr>
          <w:rFonts w:cs="Arial"/>
          <w:rtl/>
        </w:rPr>
        <w:t xml:space="preserve">משמע </w:t>
      </w:r>
      <w:r>
        <w:rPr>
          <w:rFonts w:cs="Arial" w:hint="cs"/>
          <w:rtl/>
        </w:rPr>
        <w:t xml:space="preserve">התם </w:t>
      </w:r>
      <w:r w:rsidRPr="002C2044">
        <w:rPr>
          <w:rFonts w:cs="Arial"/>
          <w:rtl/>
        </w:rPr>
        <w:t>דהוה איסור בעין</w:t>
      </w:r>
      <w:r>
        <w:rPr>
          <w:rFonts w:cs="Arial" w:hint="cs"/>
          <w:rtl/>
        </w:rPr>
        <w:t>,</w:t>
      </w:r>
      <w:r>
        <w:rPr>
          <w:rFonts w:cs="Arial"/>
          <w:rtl/>
        </w:rPr>
        <w:t xml:space="preserve"> דשאני </w:t>
      </w:r>
      <w:r>
        <w:rPr>
          <w:rFonts w:cs="Arial" w:hint="cs"/>
          <w:rtl/>
        </w:rPr>
        <w:t>התם</w:t>
      </w:r>
      <w:r w:rsidRPr="002C2044">
        <w:rPr>
          <w:rFonts w:cs="Arial"/>
          <w:rtl/>
        </w:rPr>
        <w:t xml:space="preserve"> שהשמנונית עצמה מטיח ממנה בתנור ואותו לחות אינו מתקנח יפה בתנ</w:t>
      </w:r>
      <w:r>
        <w:rPr>
          <w:rFonts w:cs="Arial"/>
          <w:rtl/>
        </w:rPr>
        <w:t xml:space="preserve">ור משא"כ בפלאדי"ן </w:t>
      </w:r>
      <w:r w:rsidRPr="002C2044">
        <w:rPr>
          <w:rFonts w:cs="Arial"/>
          <w:rtl/>
        </w:rPr>
        <w:t>שאין שם שומן בעין כלל בתנור אלא בליעה מן הפלאדי"ן</w:t>
      </w:r>
      <w:r>
        <w:rPr>
          <w:rFonts w:cs="Arial" w:hint="cs"/>
          <w:rtl/>
        </w:rPr>
        <w:t>,</w:t>
      </w:r>
      <w:r>
        <w:rPr>
          <w:rFonts w:cs="Arial"/>
          <w:rtl/>
        </w:rPr>
        <w:t xml:space="preserve"> וסברא זאת כתובה בהדיא בהג"א</w:t>
      </w:r>
      <w:r>
        <w:rPr>
          <w:rFonts w:cs="Arial" w:hint="cs"/>
          <w:rtl/>
        </w:rPr>
        <w:t xml:space="preserve"> </w:t>
      </w:r>
      <w:r>
        <w:rPr>
          <w:rFonts w:cs="Arial" w:hint="cs"/>
          <w:sz w:val="16"/>
          <w:szCs w:val="16"/>
          <w:rtl/>
        </w:rPr>
        <w:t>(</w:t>
      </w:r>
      <w:r w:rsidRPr="001546A8">
        <w:rPr>
          <w:rFonts w:cs="Arial" w:hint="cs"/>
          <w:sz w:val="16"/>
          <w:szCs w:val="16"/>
          <w:rtl/>
        </w:rPr>
        <w:t>פכ"ה</w:t>
      </w:r>
      <w:r w:rsidRPr="001546A8">
        <w:rPr>
          <w:rFonts w:cs="Arial"/>
          <w:sz w:val="16"/>
          <w:szCs w:val="16"/>
          <w:rtl/>
        </w:rPr>
        <w:t xml:space="preserve"> בהג"ה המתחלת טלה או תרנגולת כו'</w:t>
      </w:r>
      <w:r w:rsidRPr="001546A8">
        <w:rPr>
          <w:rFonts w:cs="Arial" w:hint="cs"/>
          <w:sz w:val="16"/>
          <w:szCs w:val="16"/>
          <w:rtl/>
        </w:rPr>
        <w:t>)</w:t>
      </w:r>
      <w:r w:rsidRPr="002C2044">
        <w:rPr>
          <w:rFonts w:cs="Arial"/>
          <w:rtl/>
        </w:rPr>
        <w:t xml:space="preserve"> וז"ל</w:t>
      </w:r>
      <w:r>
        <w:rPr>
          <w:rFonts w:cs="Arial" w:hint="cs"/>
          <w:rtl/>
        </w:rPr>
        <w:t>-</w:t>
      </w:r>
      <w:r w:rsidRPr="002C2044">
        <w:rPr>
          <w:rFonts w:cs="Arial"/>
          <w:rtl/>
        </w:rPr>
        <w:t xml:space="preserve"> אבל דפשטיד"א אנו רואין שאינו פולט כלל אלא מקומו יבש כו' עכ"ל</w:t>
      </w:r>
      <w:r>
        <w:rPr>
          <w:rFonts w:cs="Arial" w:hint="cs"/>
          <w:rtl/>
        </w:rPr>
        <w:t>,</w:t>
      </w:r>
      <w:r>
        <w:rPr>
          <w:rFonts w:cs="Arial"/>
          <w:rtl/>
        </w:rPr>
        <w:t xml:space="preserve"> וא</w:t>
      </w:r>
      <w:r>
        <w:rPr>
          <w:rFonts w:cs="Arial" w:hint="cs"/>
          <w:rtl/>
        </w:rPr>
        <w:t xml:space="preserve">ין </w:t>
      </w:r>
      <w:r w:rsidRPr="002C2044">
        <w:rPr>
          <w:rFonts w:cs="Arial"/>
          <w:rtl/>
        </w:rPr>
        <w:t>ל</w:t>
      </w:r>
      <w:r>
        <w:rPr>
          <w:rFonts w:cs="Arial" w:hint="cs"/>
          <w:rtl/>
        </w:rPr>
        <w:t>הקשות</w:t>
      </w:r>
      <w:r w:rsidRPr="002C2044">
        <w:rPr>
          <w:rFonts w:cs="Arial"/>
          <w:rtl/>
        </w:rPr>
        <w:t xml:space="preserve"> ממ</w:t>
      </w:r>
      <w:r>
        <w:rPr>
          <w:rFonts w:cs="Arial" w:hint="cs"/>
          <w:rtl/>
        </w:rPr>
        <w:t>ש"כ</w:t>
      </w:r>
      <w:r>
        <w:rPr>
          <w:rFonts w:cs="Arial"/>
          <w:rtl/>
        </w:rPr>
        <w:t xml:space="preserve"> רמ"א סע</w:t>
      </w:r>
      <w:r>
        <w:rPr>
          <w:rFonts w:cs="Arial" w:hint="cs"/>
          <w:rtl/>
        </w:rPr>
        <w:t>'</w:t>
      </w:r>
      <w:r w:rsidRPr="002C2044">
        <w:rPr>
          <w:rFonts w:cs="Arial"/>
          <w:rtl/>
        </w:rPr>
        <w:t xml:space="preserve"> א' שמא יזוב תחתיו</w:t>
      </w:r>
      <w:r>
        <w:rPr>
          <w:rFonts w:cs="Arial" w:hint="cs"/>
          <w:rtl/>
        </w:rPr>
        <w:t>,</w:t>
      </w:r>
      <w:r w:rsidRPr="002C2044">
        <w:rPr>
          <w:rFonts w:cs="Arial"/>
          <w:rtl/>
        </w:rPr>
        <w:t xml:space="preserve"> דמשמע שיש איסור בעין תחת הפלאדי"ן</w:t>
      </w:r>
      <w:r>
        <w:rPr>
          <w:rFonts w:cs="Arial" w:hint="cs"/>
          <w:rtl/>
        </w:rPr>
        <w:t>,</w:t>
      </w:r>
      <w:r w:rsidRPr="002C2044">
        <w:rPr>
          <w:rFonts w:cs="Arial"/>
          <w:rtl/>
        </w:rPr>
        <w:t xml:space="preserve"> לא קשיא דודאי לא נכחיש חוש הראות שרואין שמקומו יבש</w:t>
      </w:r>
      <w:r>
        <w:rPr>
          <w:rFonts w:cs="Arial" w:hint="cs"/>
          <w:rtl/>
        </w:rPr>
        <w:t>,</w:t>
      </w:r>
      <w:r w:rsidRPr="002C2044">
        <w:rPr>
          <w:rFonts w:cs="Arial"/>
          <w:rtl/>
        </w:rPr>
        <w:t xml:space="preserve"> ותו דהא תרוייהו הנך דינים הם של </w:t>
      </w:r>
      <w:r>
        <w:rPr>
          <w:rFonts w:cs="Arial"/>
          <w:rtl/>
        </w:rPr>
        <w:t>הג"א</w:t>
      </w:r>
      <w:r w:rsidRPr="002C2044">
        <w:rPr>
          <w:rFonts w:cs="Arial"/>
          <w:rtl/>
        </w:rPr>
        <w:t xml:space="preserve"> בשם א"ז</w:t>
      </w:r>
      <w:r>
        <w:rPr>
          <w:rFonts w:cs="Arial" w:hint="cs"/>
          <w:rtl/>
        </w:rPr>
        <w:t>,</w:t>
      </w:r>
      <w:r w:rsidRPr="002C2044">
        <w:rPr>
          <w:rFonts w:cs="Arial"/>
          <w:rtl/>
        </w:rPr>
        <w:t xml:space="preserve"> אלא פשוט דסתם פלאדי"ן אין זב תחתיו כמו שאנו רואין תמיד אלא דלפעמים אירע שזב</w:t>
      </w:r>
      <w:r>
        <w:rPr>
          <w:rFonts w:cs="Arial" w:hint="cs"/>
          <w:rtl/>
        </w:rPr>
        <w:t>,</w:t>
      </w:r>
      <w:r w:rsidRPr="002C2044">
        <w:rPr>
          <w:rFonts w:cs="Arial"/>
          <w:rtl/>
        </w:rPr>
        <w:t xml:space="preserve"> וכ"כ ב</w:t>
      </w:r>
      <w:r>
        <w:rPr>
          <w:rFonts w:cs="Arial"/>
          <w:rtl/>
        </w:rPr>
        <w:t>הג"א</w:t>
      </w:r>
      <w:r w:rsidRPr="002C2044">
        <w:rPr>
          <w:rFonts w:cs="Arial"/>
          <w:rtl/>
        </w:rPr>
        <w:t xml:space="preserve"> שמעתיק ב"י כאן וז"ל</w:t>
      </w:r>
      <w:r>
        <w:rPr>
          <w:rFonts w:cs="Arial" w:hint="cs"/>
          <w:rtl/>
        </w:rPr>
        <w:t>-</w:t>
      </w:r>
      <w:r w:rsidRPr="002C2044">
        <w:rPr>
          <w:rFonts w:cs="Arial"/>
          <w:rtl/>
        </w:rPr>
        <w:t xml:space="preserve"> טוב ליזהר דילמא זב וכו'</w:t>
      </w:r>
      <w:r>
        <w:rPr>
          <w:rFonts w:cs="Arial" w:hint="cs"/>
          <w:rtl/>
        </w:rPr>
        <w:t>,</w:t>
      </w:r>
      <w:r w:rsidRPr="002C2044">
        <w:rPr>
          <w:rFonts w:cs="Arial"/>
          <w:rtl/>
        </w:rPr>
        <w:t xml:space="preserve"> משמע דאינו ודאי זב</w:t>
      </w:r>
      <w:r>
        <w:rPr>
          <w:rFonts w:cs="Arial" w:hint="cs"/>
          <w:rtl/>
        </w:rPr>
        <w:t>, ט"ז (סק"ד).</w:t>
      </w:r>
    </w:p>
  </w:footnote>
  <w:footnote w:id="1732">
    <w:p w14:paraId="0FB68E51" w14:textId="77777777" w:rsidR="004C5A3C" w:rsidRDefault="004C5A3C" w:rsidP="002C39F4">
      <w:pPr>
        <w:pStyle w:val="a5"/>
        <w:rPr>
          <w:rtl/>
        </w:rPr>
      </w:pPr>
      <w:r>
        <w:rPr>
          <w:rStyle w:val="a7"/>
        </w:rPr>
        <w:footnoteRef/>
      </w:r>
      <w:r>
        <w:rPr>
          <w:rFonts w:asciiTheme="minorBidi" w:hAnsiTheme="minorBidi" w:hint="cs"/>
          <w:rtl/>
        </w:rPr>
        <w:t xml:space="preserve"> ולי צ"ע בזה, דלא דמי לשתי קדרות דהתם האיסור הוא בלוע בקדרה אבל הכא האיסור מבחוץ על התנור,</w:t>
      </w:r>
      <w:r w:rsidRPr="006F4312">
        <w:rPr>
          <w:rFonts w:asciiTheme="minorBidi" w:hAnsiTheme="minorBidi" w:hint="cs"/>
          <w:rtl/>
        </w:rPr>
        <w:t xml:space="preserve"> </w:t>
      </w:r>
      <w:r>
        <w:rPr>
          <w:rFonts w:asciiTheme="minorBidi" w:hAnsiTheme="minorBidi" w:hint="cs"/>
          <w:rtl/>
        </w:rPr>
        <w:t>ש"ך (נה"כ אות א).</w:t>
      </w:r>
    </w:p>
  </w:footnote>
  <w:footnote w:id="1733">
    <w:p w14:paraId="697E7D75" w14:textId="77777777" w:rsidR="004C5A3C" w:rsidRDefault="004C5A3C" w:rsidP="002C39F4">
      <w:pPr>
        <w:pStyle w:val="a5"/>
      </w:pPr>
      <w:r>
        <w:rPr>
          <w:rStyle w:val="a7"/>
        </w:rPr>
        <w:footnoteRef/>
      </w:r>
      <w:r>
        <w:rPr>
          <w:rtl/>
        </w:rPr>
        <w:t xml:space="preserve"> </w:t>
      </w:r>
      <w:r w:rsidRPr="00A15AD7">
        <w:rPr>
          <w:rFonts w:cs="Arial"/>
          <w:rtl/>
        </w:rPr>
        <w:t>שומן נתנו בו בקרקעיתו, ונותן טעם בלחם</w:t>
      </w:r>
      <w:r>
        <w:rPr>
          <w:rFonts w:cs="Arial" w:hint="cs"/>
          <w:rtl/>
        </w:rPr>
        <w:t>, רש"י</w:t>
      </w:r>
      <w:r w:rsidRPr="00A15AD7">
        <w:rPr>
          <w:rFonts w:cs="Arial"/>
          <w:rtl/>
        </w:rPr>
        <w:t>.</w:t>
      </w:r>
    </w:p>
  </w:footnote>
  <w:footnote w:id="1734">
    <w:p w14:paraId="349FEF03" w14:textId="77777777" w:rsidR="004C5A3C" w:rsidRDefault="004C5A3C" w:rsidP="002C39F4">
      <w:pPr>
        <w:pStyle w:val="a5"/>
      </w:pPr>
      <w:r>
        <w:rPr>
          <w:rStyle w:val="a7"/>
        </w:rPr>
        <w:footnoteRef/>
      </w:r>
      <w:r>
        <w:rPr>
          <w:rtl/>
        </w:rPr>
        <w:t xml:space="preserve"> </w:t>
      </w:r>
      <w:r>
        <w:rPr>
          <w:rFonts w:hint="cs"/>
          <w:rtl/>
        </w:rPr>
        <w:t>היינו אסר רבא בר אהילאי את התנור היינו את כל הלחם שיאפה בו מעתה והלאה.</w:t>
      </w:r>
    </w:p>
  </w:footnote>
  <w:footnote w:id="1735">
    <w:p w14:paraId="76A10314" w14:textId="77777777" w:rsidR="004C5A3C" w:rsidRDefault="004C5A3C" w:rsidP="002C39F4">
      <w:pPr>
        <w:pStyle w:val="a5"/>
        <w:rPr>
          <w:rtl/>
        </w:rPr>
      </w:pPr>
      <w:r>
        <w:rPr>
          <w:rStyle w:val="a7"/>
        </w:rPr>
        <w:footnoteRef/>
      </w:r>
      <w:r>
        <w:rPr>
          <w:rtl/>
        </w:rPr>
        <w:t xml:space="preserve"> </w:t>
      </w:r>
      <w:r w:rsidRPr="00A15AD7">
        <w:rPr>
          <w:rFonts w:cs="Arial"/>
          <w:rtl/>
        </w:rPr>
        <w:t>להכי נקט אפילו במילחא, שאין דרך לאכול פת בלא מלח או ליפתן</w:t>
      </w:r>
      <w:r>
        <w:rPr>
          <w:rFonts w:cs="Arial" w:hint="cs"/>
          <w:rtl/>
        </w:rPr>
        <w:t>, רש"י</w:t>
      </w:r>
      <w:r w:rsidRPr="00A15AD7">
        <w:rPr>
          <w:rFonts w:cs="Arial"/>
          <w:rtl/>
        </w:rPr>
        <w:t>.</w:t>
      </w:r>
    </w:p>
  </w:footnote>
  <w:footnote w:id="1736">
    <w:p w14:paraId="1A0010ED" w14:textId="77777777" w:rsidR="004C5A3C" w:rsidRDefault="004C5A3C" w:rsidP="002C39F4">
      <w:pPr>
        <w:pStyle w:val="a5"/>
      </w:pPr>
      <w:r>
        <w:rPr>
          <w:rStyle w:val="a7"/>
        </w:rPr>
        <w:footnoteRef/>
      </w:r>
      <w:r>
        <w:rPr>
          <w:rtl/>
        </w:rPr>
        <w:t xml:space="preserve"> </w:t>
      </w:r>
      <w:r>
        <w:rPr>
          <w:rFonts w:cs="Arial"/>
          <w:rtl/>
        </w:rPr>
        <w:t>אפילו חזר והוסק</w:t>
      </w:r>
      <w:r>
        <w:rPr>
          <w:rFonts w:cs="Arial" w:hint="cs"/>
          <w:rtl/>
        </w:rPr>
        <w:t>, רש"י.</w:t>
      </w:r>
    </w:p>
  </w:footnote>
  <w:footnote w:id="1737">
    <w:p w14:paraId="0F9614EA" w14:textId="77777777" w:rsidR="004C5A3C" w:rsidRDefault="004C5A3C" w:rsidP="002C39F4">
      <w:pPr>
        <w:pStyle w:val="a5"/>
        <w:rPr>
          <w:rtl/>
        </w:rPr>
      </w:pPr>
      <w:r>
        <w:rPr>
          <w:rStyle w:val="a7"/>
        </w:rPr>
        <w:footnoteRef/>
      </w:r>
      <w:r>
        <w:rPr>
          <w:rtl/>
        </w:rPr>
        <w:t xml:space="preserve"> </w:t>
      </w:r>
      <w:r w:rsidRPr="00A15AD7">
        <w:rPr>
          <w:rFonts w:cs="Arial"/>
          <w:rtl/>
        </w:rPr>
        <w:t>לשון טח</w:t>
      </w:r>
      <w:r>
        <w:rPr>
          <w:rFonts w:cs="Arial" w:hint="cs"/>
          <w:rtl/>
        </w:rPr>
        <w:t>, רש"י</w:t>
      </w:r>
      <w:r w:rsidRPr="00A15AD7">
        <w:rPr>
          <w:rFonts w:cs="Arial"/>
          <w:rtl/>
        </w:rPr>
        <w:t>.</w:t>
      </w:r>
    </w:p>
  </w:footnote>
  <w:footnote w:id="1738">
    <w:p w14:paraId="0BAD0D0F" w14:textId="77777777" w:rsidR="004C5A3C" w:rsidRDefault="004C5A3C" w:rsidP="002C39F4">
      <w:pPr>
        <w:pStyle w:val="a5"/>
      </w:pPr>
      <w:r>
        <w:rPr>
          <w:rStyle w:val="a7"/>
        </w:rPr>
        <w:footnoteRef/>
      </w:r>
      <w:r>
        <w:rPr>
          <w:rtl/>
        </w:rPr>
        <w:t xml:space="preserve"> </w:t>
      </w:r>
      <w:r w:rsidRPr="00A15AD7">
        <w:rPr>
          <w:rFonts w:cs="Arial"/>
          <w:rtl/>
        </w:rPr>
        <w:t>ואי שרית ליה על ידי היסק פנים - מורה היתירא, וסמיך אהיסק בחוץ</w:t>
      </w:r>
      <w:r>
        <w:rPr>
          <w:rFonts w:cs="Arial" w:hint="cs"/>
          <w:rtl/>
        </w:rPr>
        <w:t>, רש"י</w:t>
      </w:r>
      <w:r w:rsidRPr="00A15AD7">
        <w:rPr>
          <w:rFonts w:cs="Arial"/>
          <w:rtl/>
        </w:rPr>
        <w:t>.</w:t>
      </w:r>
    </w:p>
  </w:footnote>
  <w:footnote w:id="1739">
    <w:p w14:paraId="08DAA6D5" w14:textId="77777777" w:rsidR="004C5A3C" w:rsidRDefault="004C5A3C" w:rsidP="002C39F4">
      <w:pPr>
        <w:pStyle w:val="a5"/>
      </w:pPr>
      <w:r>
        <w:rPr>
          <w:rStyle w:val="a7"/>
        </w:rPr>
        <w:footnoteRef/>
      </w:r>
      <w:r>
        <w:rPr>
          <w:rtl/>
        </w:rPr>
        <w:t xml:space="preserve"> </w:t>
      </w:r>
      <w:r w:rsidRPr="00A15AD7">
        <w:rPr>
          <w:rFonts w:cs="Arial"/>
          <w:rtl/>
        </w:rPr>
        <w:t>כ</w:t>
      </w:r>
      <w:r>
        <w:rPr>
          <w:rFonts w:cs="Arial"/>
          <w:rtl/>
        </w:rPr>
        <w:t>לי שהוא מרעפים, שקורין טיילי"ש</w:t>
      </w:r>
      <w:r w:rsidRPr="00A15AD7">
        <w:rPr>
          <w:rFonts w:cs="Arial"/>
          <w:rtl/>
        </w:rPr>
        <w:t>, ואופין ומטגנין בו ככר</w:t>
      </w:r>
      <w:r>
        <w:rPr>
          <w:rFonts w:cs="Arial" w:hint="cs"/>
          <w:rtl/>
        </w:rPr>
        <w:t>, רש"י</w:t>
      </w:r>
      <w:r w:rsidRPr="00A15AD7">
        <w:rPr>
          <w:rFonts w:cs="Arial"/>
          <w:rtl/>
        </w:rPr>
        <w:t>.</w:t>
      </w:r>
    </w:p>
  </w:footnote>
  <w:footnote w:id="1740">
    <w:p w14:paraId="473EFD90" w14:textId="77777777" w:rsidR="004C5A3C" w:rsidRDefault="004C5A3C" w:rsidP="002C39F4">
      <w:pPr>
        <w:pStyle w:val="a5"/>
      </w:pPr>
      <w:r>
        <w:rPr>
          <w:rStyle w:val="a7"/>
        </w:rPr>
        <w:footnoteRef/>
      </w:r>
      <w:r>
        <w:rPr>
          <w:rtl/>
        </w:rPr>
        <w:t xml:space="preserve"> </w:t>
      </w:r>
      <w:r>
        <w:rPr>
          <w:rFonts w:cs="Arial"/>
          <w:rtl/>
        </w:rPr>
        <w:t>וכ</w:t>
      </w:r>
      <w:r>
        <w:rPr>
          <w:rFonts w:cs="Arial" w:hint="cs"/>
          <w:rtl/>
        </w:rPr>
        <w:t>"</w:t>
      </w:r>
      <w:r>
        <w:rPr>
          <w:rFonts w:cs="Arial"/>
          <w:rtl/>
        </w:rPr>
        <w:t xml:space="preserve">כ הר"ן בפרק כל שעה </w:t>
      </w:r>
      <w:r>
        <w:rPr>
          <w:rFonts w:cs="Arial" w:hint="cs"/>
          <w:rtl/>
        </w:rPr>
        <w:t>(</w:t>
      </w:r>
      <w:r>
        <w:rPr>
          <w:rFonts w:cs="Arial"/>
          <w:rtl/>
        </w:rPr>
        <w:t>פסחים ח</w:t>
      </w:r>
      <w:r>
        <w:rPr>
          <w:rFonts w:cs="Arial" w:hint="cs"/>
          <w:rtl/>
        </w:rPr>
        <w:t>.</w:t>
      </w:r>
      <w:r>
        <w:rPr>
          <w:rFonts w:cs="Arial"/>
          <w:rtl/>
        </w:rPr>
        <w:t xml:space="preserve"> ד"ה מפני</w:t>
      </w:r>
      <w:r>
        <w:rPr>
          <w:rFonts w:cs="Arial" w:hint="cs"/>
          <w:rtl/>
        </w:rPr>
        <w:t>)</w:t>
      </w:r>
      <w:r w:rsidRPr="002C2044">
        <w:rPr>
          <w:rFonts w:cs="Arial"/>
          <w:rtl/>
        </w:rPr>
        <w:t xml:space="preserve"> ובפ</w:t>
      </w:r>
      <w:r>
        <w:rPr>
          <w:rFonts w:cs="Arial" w:hint="cs"/>
          <w:rtl/>
        </w:rPr>
        <w:t>כ"ה (</w:t>
      </w:r>
      <w:r>
        <w:rPr>
          <w:rFonts w:cs="Arial"/>
          <w:rtl/>
        </w:rPr>
        <w:t>חולין ריש מא</w:t>
      </w:r>
      <w:r>
        <w:rPr>
          <w:rFonts w:cs="Arial" w:hint="cs"/>
          <w:rtl/>
        </w:rPr>
        <w:t>.),</w:t>
      </w:r>
      <w:r w:rsidRPr="002C2044">
        <w:rPr>
          <w:rFonts w:cs="Arial"/>
          <w:rtl/>
        </w:rPr>
        <w:t xml:space="preserve"> </w:t>
      </w:r>
      <w:r>
        <w:rPr>
          <w:rFonts w:cs="Arial"/>
          <w:rtl/>
        </w:rPr>
        <w:t>אבל בתירוץ שני</w:t>
      </w:r>
      <w:r>
        <w:rPr>
          <w:rFonts w:cs="Arial" w:hint="cs"/>
          <w:rtl/>
        </w:rPr>
        <w:t xml:space="preserve"> כ' הר"ן </w:t>
      </w:r>
      <w:r w:rsidRPr="002C2044">
        <w:rPr>
          <w:rFonts w:cs="Arial"/>
          <w:rtl/>
        </w:rPr>
        <w:t>דמפני שדרכו להסיקו ואין דרכו לקנחו נקט היסק, ומשמע לפי זה דאף בקנוח סגי</w:t>
      </w:r>
      <w:r>
        <w:rPr>
          <w:rFonts w:cs="Arial" w:hint="cs"/>
          <w:rtl/>
        </w:rPr>
        <w:t xml:space="preserve"> </w:t>
      </w:r>
      <w:r w:rsidRPr="002C2044">
        <w:rPr>
          <w:rFonts w:cs="Arial" w:hint="cs"/>
          <w:sz w:val="16"/>
          <w:szCs w:val="16"/>
          <w:rtl/>
        </w:rPr>
        <w:t xml:space="preserve">(הביא דבריו הדרכ"מ </w:t>
      </w:r>
      <w:r>
        <w:rPr>
          <w:rFonts w:cs="Arial" w:hint="cs"/>
          <w:sz w:val="16"/>
          <w:szCs w:val="16"/>
          <w:rtl/>
        </w:rPr>
        <w:t>[</w:t>
      </w:r>
      <w:r w:rsidRPr="002C2044">
        <w:rPr>
          <w:rFonts w:cs="Arial" w:hint="cs"/>
          <w:sz w:val="16"/>
          <w:szCs w:val="16"/>
          <w:rtl/>
        </w:rPr>
        <w:t>אות ב</w:t>
      </w:r>
      <w:r>
        <w:rPr>
          <w:rFonts w:cs="Arial" w:hint="cs"/>
          <w:sz w:val="16"/>
          <w:szCs w:val="16"/>
          <w:rtl/>
        </w:rPr>
        <w:t>]</w:t>
      </w:r>
      <w:r w:rsidRPr="002C2044">
        <w:rPr>
          <w:rFonts w:cs="Arial" w:hint="cs"/>
          <w:sz w:val="16"/>
          <w:szCs w:val="16"/>
          <w:rtl/>
        </w:rPr>
        <w:t>)</w:t>
      </w:r>
      <w:r>
        <w:rPr>
          <w:rFonts w:cs="Arial" w:hint="cs"/>
          <w:rtl/>
        </w:rPr>
        <w:t xml:space="preserve">. וכ' הפר"ח (סק"א) שתירוץ זה </w:t>
      </w:r>
      <w:r w:rsidRPr="002C2044">
        <w:rPr>
          <w:rFonts w:cs="Arial"/>
          <w:rtl/>
        </w:rPr>
        <w:t>אינו מחוור</w:t>
      </w:r>
      <w:r>
        <w:rPr>
          <w:rFonts w:cs="Arial" w:hint="cs"/>
          <w:rtl/>
        </w:rPr>
        <w:t>.</w:t>
      </w:r>
      <w:r w:rsidRPr="002C2044">
        <w:rPr>
          <w:rFonts w:cs="Arial"/>
          <w:rtl/>
        </w:rPr>
        <w:t xml:space="preserve"> </w:t>
      </w:r>
    </w:p>
  </w:footnote>
  <w:footnote w:id="1741">
    <w:p w14:paraId="56926264" w14:textId="77777777" w:rsidR="004C5A3C" w:rsidRDefault="004C5A3C" w:rsidP="002C39F4">
      <w:pPr>
        <w:pStyle w:val="a5"/>
      </w:pPr>
      <w:r>
        <w:rPr>
          <w:rStyle w:val="a7"/>
        </w:rPr>
        <w:footnoteRef/>
      </w:r>
      <w:r>
        <w:rPr>
          <w:rtl/>
        </w:rPr>
        <w:t xml:space="preserve"> </w:t>
      </w:r>
      <w:r w:rsidRPr="00135581">
        <w:rPr>
          <w:rFonts w:cs="Arial"/>
          <w:rtl/>
        </w:rPr>
        <w:t>ואם טח כל הפת אסורה אפילו לאוכלה לבדה</w:t>
      </w:r>
      <w:r>
        <w:rPr>
          <w:rFonts w:cs="Arial" w:hint="cs"/>
          <w:rtl/>
        </w:rPr>
        <w:t>, טור.</w:t>
      </w:r>
    </w:p>
  </w:footnote>
  <w:footnote w:id="1742">
    <w:p w14:paraId="48D57171" w14:textId="77777777" w:rsidR="004C5A3C" w:rsidRDefault="004C5A3C" w:rsidP="002C39F4">
      <w:pPr>
        <w:pStyle w:val="a5"/>
        <w:rPr>
          <w:rtl/>
        </w:rPr>
      </w:pPr>
      <w:r>
        <w:rPr>
          <w:rStyle w:val="a7"/>
        </w:rPr>
        <w:footnoteRef/>
      </w:r>
      <w:r>
        <w:rPr>
          <w:rtl/>
        </w:rPr>
        <w:t xml:space="preserve"> </w:t>
      </w:r>
      <w:r w:rsidRPr="00135581">
        <w:rPr>
          <w:rFonts w:cs="Arial"/>
          <w:rtl/>
        </w:rPr>
        <w:t>שאז פלט הכל אפילו היא של חרס</w:t>
      </w:r>
      <w:r>
        <w:rPr>
          <w:rFonts w:hint="cs"/>
          <w:rtl/>
        </w:rPr>
        <w:t>, טור.</w:t>
      </w:r>
    </w:p>
  </w:footnote>
  <w:footnote w:id="1743">
    <w:p w14:paraId="3F6DD118" w14:textId="77777777" w:rsidR="004C5A3C" w:rsidRDefault="004C5A3C" w:rsidP="002C39F4">
      <w:pPr>
        <w:pStyle w:val="a5"/>
      </w:pPr>
      <w:r>
        <w:rPr>
          <w:rStyle w:val="a7"/>
        </w:rPr>
        <w:footnoteRef/>
      </w:r>
      <w:r>
        <w:rPr>
          <w:rtl/>
        </w:rPr>
        <w:t xml:space="preserve"> </w:t>
      </w:r>
      <w:r w:rsidRPr="002C2044">
        <w:rPr>
          <w:rFonts w:cs="Arial"/>
          <w:rtl/>
        </w:rPr>
        <w:t>פירוש הוא חלל כמין שפיתות קדירה ואופין בו בפנים וקאמר דבזה אפי' היסק לא מהני אם מסיקו בחוץ</w:t>
      </w:r>
      <w:r>
        <w:rPr>
          <w:rFonts w:cs="Arial" w:hint="cs"/>
          <w:rtl/>
        </w:rPr>
        <w:t>, ט"ז (סק"ד).</w:t>
      </w:r>
    </w:p>
  </w:footnote>
  <w:footnote w:id="1744">
    <w:p w14:paraId="72FB65C6" w14:textId="77777777" w:rsidR="004C5A3C" w:rsidRDefault="004C5A3C" w:rsidP="002C39F4">
      <w:pPr>
        <w:pStyle w:val="a5"/>
        <w:rPr>
          <w:rtl/>
        </w:rPr>
      </w:pPr>
      <w:r>
        <w:rPr>
          <w:rStyle w:val="a7"/>
        </w:rPr>
        <w:footnoteRef/>
      </w:r>
      <w:r>
        <w:rPr>
          <w:rtl/>
        </w:rPr>
        <w:t xml:space="preserve"> </w:t>
      </w:r>
      <w:r>
        <w:rPr>
          <w:rFonts w:cs="Arial" w:hint="cs"/>
          <w:rtl/>
        </w:rPr>
        <w:t xml:space="preserve">בה"ג </w:t>
      </w:r>
      <w:r>
        <w:rPr>
          <w:rFonts w:cs="Arial" w:hint="cs"/>
          <w:sz w:val="16"/>
          <w:szCs w:val="16"/>
          <w:rtl/>
        </w:rPr>
        <w:t xml:space="preserve">(כ"כ הרא"ש </w:t>
      </w:r>
      <w:r>
        <w:rPr>
          <w:rFonts w:cs="Arial" w:hint="cs"/>
          <w:sz w:val="14"/>
          <w:szCs w:val="14"/>
          <w:rtl/>
        </w:rPr>
        <w:t>[ע"ז פ"ה סי' ח]</w:t>
      </w:r>
      <w:r>
        <w:rPr>
          <w:rFonts w:cs="Arial" w:hint="cs"/>
          <w:sz w:val="16"/>
          <w:szCs w:val="16"/>
          <w:rtl/>
        </w:rPr>
        <w:t>)</w:t>
      </w:r>
      <w:r>
        <w:rPr>
          <w:rFonts w:cs="Arial" w:hint="cs"/>
          <w:rtl/>
        </w:rPr>
        <w:t xml:space="preserve"> </w:t>
      </w:r>
      <w:r w:rsidRPr="00586043">
        <w:rPr>
          <w:rFonts w:cs="Arial"/>
          <w:rtl/>
        </w:rPr>
        <w:t>רי"ף</w:t>
      </w:r>
      <w:r w:rsidRPr="00586043">
        <w:rPr>
          <w:rFonts w:cs="Arial" w:hint="cs"/>
          <w:rtl/>
        </w:rPr>
        <w:t xml:space="preserve"> </w:t>
      </w:r>
      <w:r w:rsidRPr="00586043">
        <w:rPr>
          <w:rFonts w:cs="Arial"/>
          <w:sz w:val="16"/>
          <w:szCs w:val="16"/>
          <w:rtl/>
        </w:rPr>
        <w:t xml:space="preserve">(לב:) </w:t>
      </w:r>
      <w:r w:rsidRPr="00586043">
        <w:rPr>
          <w:rFonts w:cs="Arial"/>
          <w:rtl/>
        </w:rPr>
        <w:t>רש"י</w:t>
      </w:r>
      <w:r w:rsidRPr="00586043">
        <w:rPr>
          <w:rFonts w:cs="Arial" w:hint="cs"/>
          <w:rtl/>
        </w:rPr>
        <w:t xml:space="preserve"> </w:t>
      </w:r>
      <w:r w:rsidRPr="00586043">
        <w:rPr>
          <w:rFonts w:cs="Arial"/>
          <w:sz w:val="16"/>
          <w:szCs w:val="16"/>
          <w:rtl/>
        </w:rPr>
        <w:t>(ד"ה אמר לך רב</w:t>
      </w:r>
      <w:r>
        <w:rPr>
          <w:rFonts w:cs="Arial" w:hint="cs"/>
          <w:sz w:val="16"/>
          <w:szCs w:val="16"/>
          <w:rtl/>
        </w:rPr>
        <w:t xml:space="preserve">, וכ"כ רשב"ם בשמו, הביאו הרא"ש [שם]) </w:t>
      </w:r>
      <w:r w:rsidRPr="00586043">
        <w:rPr>
          <w:rFonts w:cs="Arial"/>
          <w:rtl/>
        </w:rPr>
        <w:t xml:space="preserve">רמב"ם </w:t>
      </w:r>
      <w:r w:rsidRPr="00586043">
        <w:rPr>
          <w:rFonts w:cs="Arial" w:hint="cs"/>
          <w:sz w:val="16"/>
          <w:szCs w:val="16"/>
          <w:rtl/>
        </w:rPr>
        <w:t>(</w:t>
      </w:r>
      <w:r w:rsidRPr="00586043">
        <w:rPr>
          <w:rFonts w:cs="Arial"/>
          <w:sz w:val="16"/>
          <w:szCs w:val="16"/>
          <w:rtl/>
        </w:rPr>
        <w:t>פט"ו הל"ג)</w:t>
      </w:r>
      <w:r w:rsidRPr="00C774D0">
        <w:rPr>
          <w:rFonts w:cs="Arial" w:hint="cs"/>
          <w:rtl/>
        </w:rPr>
        <w:t xml:space="preserve"> </w:t>
      </w:r>
      <w:r>
        <w:rPr>
          <w:rFonts w:cs="Arial" w:hint="cs"/>
          <w:rtl/>
        </w:rPr>
        <w:t>ו</w:t>
      </w:r>
      <w:r w:rsidRPr="00586043">
        <w:rPr>
          <w:rFonts w:cs="Arial" w:hint="cs"/>
          <w:rtl/>
        </w:rPr>
        <w:t xml:space="preserve">רשב"א </w:t>
      </w:r>
      <w:r w:rsidRPr="00586043">
        <w:rPr>
          <w:rFonts w:cs="Arial" w:hint="cs"/>
          <w:sz w:val="16"/>
          <w:szCs w:val="16"/>
          <w:rtl/>
        </w:rPr>
        <w:t xml:space="preserve">(תוה"ק </w:t>
      </w:r>
      <w:r w:rsidRPr="00586043">
        <w:rPr>
          <w:rFonts w:cs="Arial"/>
          <w:sz w:val="16"/>
          <w:szCs w:val="16"/>
          <w:rtl/>
        </w:rPr>
        <w:t>ב"ד ש"א י.)</w:t>
      </w:r>
      <w:r>
        <w:rPr>
          <w:rFonts w:hint="cs"/>
          <w:rtl/>
        </w:rPr>
        <w:t>.</w:t>
      </w:r>
    </w:p>
  </w:footnote>
  <w:footnote w:id="1745">
    <w:p w14:paraId="317C57E3" w14:textId="77777777" w:rsidR="004C5A3C" w:rsidRDefault="004C5A3C" w:rsidP="002C39F4">
      <w:pPr>
        <w:pStyle w:val="a5"/>
      </w:pPr>
      <w:r>
        <w:rPr>
          <w:rStyle w:val="a7"/>
        </w:rPr>
        <w:footnoteRef/>
      </w:r>
      <w:r>
        <w:rPr>
          <w:rtl/>
        </w:rPr>
        <w:t xml:space="preserve"> </w:t>
      </w:r>
      <w:r>
        <w:rPr>
          <w:rFonts w:cs="Arial" w:hint="cs"/>
          <w:rtl/>
        </w:rPr>
        <w:t>ז"ל הב"י- ה</w:t>
      </w:r>
      <w:r w:rsidRPr="00135581">
        <w:rPr>
          <w:rFonts w:cs="Arial"/>
          <w:rtl/>
        </w:rPr>
        <w:t xml:space="preserve">רא"ש בפרק בתרא דע"ז (סי' </w:t>
      </w:r>
      <w:r>
        <w:rPr>
          <w:rFonts w:cs="Arial"/>
          <w:rtl/>
        </w:rPr>
        <w:t>ח) הביא דברי רש"י ודברי ר</w:t>
      </w:r>
      <w:r>
        <w:rPr>
          <w:rFonts w:cs="Arial" w:hint="cs"/>
          <w:rtl/>
        </w:rPr>
        <w:t>"</w:t>
      </w:r>
      <w:r>
        <w:rPr>
          <w:rFonts w:cs="Arial"/>
          <w:rtl/>
        </w:rPr>
        <w:t>ת</w:t>
      </w:r>
      <w:r w:rsidRPr="00135581">
        <w:rPr>
          <w:rFonts w:cs="Arial"/>
          <w:rtl/>
        </w:rPr>
        <w:t xml:space="preserve"> ולא הכריע ביניהם</w:t>
      </w:r>
      <w:r>
        <w:rPr>
          <w:rFonts w:cs="Arial" w:hint="cs"/>
          <w:rtl/>
        </w:rPr>
        <w:t>,</w:t>
      </w:r>
      <w:r w:rsidRPr="00135581">
        <w:rPr>
          <w:rFonts w:cs="Arial"/>
          <w:rtl/>
        </w:rPr>
        <w:t xml:space="preserve"> ורבינו כתב בסימן ק"ח שמסקנת הר</w:t>
      </w:r>
      <w:r>
        <w:rPr>
          <w:rFonts w:cs="Arial"/>
          <w:rtl/>
        </w:rPr>
        <w:t>א"ש כרבינו תם ולא ידעתי מנין לו</w:t>
      </w:r>
      <w:r>
        <w:rPr>
          <w:rFonts w:cs="Arial" w:hint="cs"/>
          <w:rtl/>
        </w:rPr>
        <w:t>,</w:t>
      </w:r>
      <w:r w:rsidRPr="00135581">
        <w:rPr>
          <w:rFonts w:cs="Arial"/>
          <w:rtl/>
        </w:rPr>
        <w:t xml:space="preserve"> ואפשר שטעמו מפני שהביא דבריו לבסוף.</w:t>
      </w:r>
      <w:r>
        <w:rPr>
          <w:rFonts w:hint="cs"/>
          <w:rtl/>
        </w:rPr>
        <w:t xml:space="preserve"> </w:t>
      </w:r>
      <w:r w:rsidRPr="00386937">
        <w:rPr>
          <w:rFonts w:hint="cs"/>
          <w:sz w:val="16"/>
          <w:szCs w:val="16"/>
          <w:rtl/>
        </w:rPr>
        <w:t xml:space="preserve">(ואדרבא, נ"ל ראיה שהרא"ש פסק כלוי, שהרי גבי בת תיהא (ע"ז סו:) כתב הרא"ש (ע"ז פ"ה סי' ח) וז"ל- </w:t>
      </w:r>
      <w:r w:rsidRPr="00386937">
        <w:rPr>
          <w:rFonts w:cs="Arial"/>
          <w:sz w:val="16"/>
          <w:szCs w:val="16"/>
          <w:rtl/>
        </w:rPr>
        <w:t>אביי אמר אסור ורבא אמר מותר</w:t>
      </w:r>
      <w:r w:rsidRPr="00386937">
        <w:rPr>
          <w:rFonts w:cs="Arial" w:hint="cs"/>
          <w:sz w:val="16"/>
          <w:szCs w:val="16"/>
          <w:rtl/>
        </w:rPr>
        <w:t>.</w:t>
      </w:r>
      <w:r w:rsidRPr="00386937">
        <w:rPr>
          <w:rFonts w:cs="Arial"/>
          <w:sz w:val="16"/>
          <w:szCs w:val="16"/>
          <w:rtl/>
        </w:rPr>
        <w:t xml:space="preserve"> אביי אמר אסור</w:t>
      </w:r>
      <w:r w:rsidRPr="00386937">
        <w:rPr>
          <w:rFonts w:cs="Arial" w:hint="cs"/>
          <w:sz w:val="16"/>
          <w:szCs w:val="16"/>
          <w:rtl/>
        </w:rPr>
        <w:t>,</w:t>
      </w:r>
      <w:r w:rsidRPr="00386937">
        <w:rPr>
          <w:rFonts w:cs="Arial"/>
          <w:sz w:val="16"/>
          <w:szCs w:val="16"/>
          <w:rtl/>
        </w:rPr>
        <w:t xml:space="preserve"> ריחא מילתא הוא. ורבא אמר מותר ריחא לאו מילתא היא</w:t>
      </w:r>
      <w:r w:rsidRPr="00386937">
        <w:rPr>
          <w:rFonts w:hint="cs"/>
          <w:sz w:val="16"/>
          <w:szCs w:val="16"/>
          <w:rtl/>
        </w:rPr>
        <w:t xml:space="preserve">. </w:t>
      </w:r>
      <w:r w:rsidRPr="00386937">
        <w:rPr>
          <w:rFonts w:cs="Arial"/>
          <w:sz w:val="16"/>
          <w:szCs w:val="16"/>
          <w:rtl/>
        </w:rPr>
        <w:t>ופסק רשב"ם בשם רש"י דהלכה כלוי דאמר ריחא לאו מילתא היא דקם ליה בשיטתיה דרבא הכא דהלכתא כוותיה לגבי אביי לבר מיע"ל קג"ם</w:t>
      </w:r>
      <w:r w:rsidRPr="00386937">
        <w:rPr>
          <w:rFonts w:cs="Arial" w:hint="cs"/>
          <w:sz w:val="16"/>
          <w:szCs w:val="16"/>
          <w:rtl/>
        </w:rPr>
        <w:t>..</w:t>
      </w:r>
      <w:r w:rsidRPr="00386937">
        <w:rPr>
          <w:rFonts w:cs="Arial"/>
          <w:sz w:val="16"/>
          <w:szCs w:val="16"/>
          <w:rtl/>
        </w:rPr>
        <w:t>. והלכתא בכל הני כרבא. דקיימא לן כל היכא דפליגי אביי ורבא הלכתא כרבא בר מיע"ל קג"ם</w:t>
      </w:r>
      <w:r w:rsidRPr="00386937">
        <w:rPr>
          <w:rFonts w:cs="Arial" w:hint="cs"/>
          <w:sz w:val="16"/>
          <w:szCs w:val="16"/>
          <w:rtl/>
        </w:rPr>
        <w:t>)</w:t>
      </w:r>
    </w:p>
  </w:footnote>
  <w:footnote w:id="1746">
    <w:p w14:paraId="0A447C28" w14:textId="77777777" w:rsidR="004C5A3C" w:rsidRPr="00586043" w:rsidRDefault="004C5A3C" w:rsidP="002C39F4">
      <w:pPr>
        <w:pStyle w:val="a5"/>
        <w:rPr>
          <w:rtl/>
        </w:rPr>
      </w:pPr>
      <w:r w:rsidRPr="00586043">
        <w:rPr>
          <w:rStyle w:val="a7"/>
        </w:rPr>
        <w:footnoteRef/>
      </w:r>
      <w:r w:rsidRPr="00586043">
        <w:rPr>
          <w:rtl/>
        </w:rPr>
        <w:t xml:space="preserve"> </w:t>
      </w:r>
      <w:r w:rsidRPr="00F40B3A">
        <w:rPr>
          <w:rFonts w:cs="Arial"/>
          <w:rtl/>
        </w:rPr>
        <w:t>תניא רב כהנא כוותיה דרב ועוד דאיכא התם עובדא כוותיה דרב ומר בר רב אשי ס"ל כרב וקי"ל הלכתא כוותיה בכוליה תלמודא בר ממיפך שבועה דאו</w:t>
      </w:r>
      <w:r>
        <w:rPr>
          <w:rFonts w:cs="Arial" w:hint="cs"/>
          <w:rtl/>
        </w:rPr>
        <w:t>'</w:t>
      </w:r>
      <w:r w:rsidRPr="00F40B3A">
        <w:rPr>
          <w:rFonts w:cs="Arial"/>
          <w:rtl/>
        </w:rPr>
        <w:t>. ורבא דהכא ס"ל דריחא מילתא היא בריח פטם נבילה</w:t>
      </w:r>
      <w:r>
        <w:rPr>
          <w:rFonts w:cs="Arial" w:hint="cs"/>
          <w:rtl/>
        </w:rPr>
        <w:t xml:space="preserve">, רא"ש </w:t>
      </w:r>
      <w:r w:rsidRPr="00F40B3A">
        <w:rPr>
          <w:rFonts w:cs="Arial" w:hint="cs"/>
          <w:sz w:val="16"/>
          <w:szCs w:val="16"/>
          <w:rtl/>
        </w:rPr>
        <w:t>(ע"ז פ"ה סי' ח)</w:t>
      </w:r>
      <w:r w:rsidRPr="00F40B3A">
        <w:rPr>
          <w:rFonts w:cs="Arial"/>
          <w:rtl/>
        </w:rPr>
        <w:t xml:space="preserve">. </w:t>
      </w:r>
      <w:r>
        <w:rPr>
          <w:rFonts w:cs="Arial" w:hint="cs"/>
          <w:rtl/>
        </w:rPr>
        <w:t xml:space="preserve">וכ' הב"י- </w:t>
      </w:r>
      <w:r w:rsidRPr="00586043">
        <w:rPr>
          <w:rFonts w:cs="Arial"/>
          <w:rtl/>
        </w:rPr>
        <w:t xml:space="preserve">וטענות שתי הסברות הלא הם מבוארות יפה בדברי הרי"ף </w:t>
      </w:r>
      <w:r w:rsidRPr="00F40B3A">
        <w:rPr>
          <w:rFonts w:cs="Arial"/>
          <w:sz w:val="16"/>
          <w:szCs w:val="16"/>
          <w:rtl/>
        </w:rPr>
        <w:t xml:space="preserve">(לב.) </w:t>
      </w:r>
      <w:r w:rsidRPr="00586043">
        <w:rPr>
          <w:rFonts w:cs="Arial"/>
          <w:rtl/>
        </w:rPr>
        <w:t xml:space="preserve">והר"ן </w:t>
      </w:r>
      <w:r w:rsidRPr="00F40B3A">
        <w:rPr>
          <w:rFonts w:cs="Arial"/>
          <w:sz w:val="16"/>
          <w:szCs w:val="16"/>
          <w:rtl/>
        </w:rPr>
        <w:t xml:space="preserve">(לב. ד"ה והא דתני) </w:t>
      </w:r>
      <w:r w:rsidRPr="00586043">
        <w:rPr>
          <w:rFonts w:cs="Arial"/>
          <w:rtl/>
        </w:rPr>
        <w:t>בפ</w:t>
      </w:r>
      <w:r w:rsidRPr="00586043">
        <w:rPr>
          <w:rFonts w:cs="Arial" w:hint="cs"/>
          <w:rtl/>
        </w:rPr>
        <w:t>ג"ה,</w:t>
      </w:r>
      <w:r w:rsidRPr="00586043">
        <w:rPr>
          <w:rFonts w:cs="Arial"/>
          <w:rtl/>
        </w:rPr>
        <w:t xml:space="preserve"> ובפב</w:t>
      </w:r>
      <w:r>
        <w:rPr>
          <w:rFonts w:cs="Arial" w:hint="cs"/>
          <w:rtl/>
        </w:rPr>
        <w:t>"</w:t>
      </w:r>
      <w:r w:rsidRPr="00586043">
        <w:rPr>
          <w:rFonts w:cs="Arial"/>
          <w:rtl/>
        </w:rPr>
        <w:t xml:space="preserve">ת דע"ז </w:t>
      </w:r>
      <w:r w:rsidRPr="00F40B3A">
        <w:rPr>
          <w:rFonts w:cs="Arial"/>
          <w:sz w:val="16"/>
          <w:szCs w:val="16"/>
          <w:rtl/>
        </w:rPr>
        <w:t xml:space="preserve">(סו:) </w:t>
      </w:r>
      <w:r w:rsidRPr="00586043">
        <w:rPr>
          <w:rFonts w:cs="Arial"/>
          <w:rtl/>
        </w:rPr>
        <w:t>בדברי התוס</w:t>
      </w:r>
      <w:r w:rsidRPr="00586043">
        <w:rPr>
          <w:rFonts w:cs="Arial" w:hint="cs"/>
          <w:rtl/>
        </w:rPr>
        <w:t>'</w:t>
      </w:r>
      <w:r w:rsidRPr="00586043">
        <w:rPr>
          <w:rFonts w:cs="Arial"/>
          <w:rtl/>
        </w:rPr>
        <w:t xml:space="preserve"> </w:t>
      </w:r>
      <w:r w:rsidRPr="00F40B3A">
        <w:rPr>
          <w:rFonts w:cs="Arial"/>
          <w:sz w:val="16"/>
          <w:szCs w:val="16"/>
          <w:rtl/>
        </w:rPr>
        <w:t>(ד"ה רבא אמר)</w:t>
      </w:r>
      <w:r>
        <w:rPr>
          <w:rFonts w:hint="cs"/>
          <w:rtl/>
        </w:rPr>
        <w:t>.</w:t>
      </w:r>
    </w:p>
  </w:footnote>
  <w:footnote w:id="1747">
    <w:p w14:paraId="005BB219" w14:textId="77777777" w:rsidR="004C5A3C" w:rsidRDefault="004C5A3C" w:rsidP="002C39F4">
      <w:pPr>
        <w:pStyle w:val="a5"/>
        <w:rPr>
          <w:rtl/>
        </w:rPr>
      </w:pPr>
      <w:r>
        <w:rPr>
          <w:rStyle w:val="a7"/>
        </w:rPr>
        <w:footnoteRef/>
      </w:r>
      <w:r>
        <w:rPr>
          <w:rtl/>
        </w:rPr>
        <w:t xml:space="preserve"> </w:t>
      </w:r>
      <w:r>
        <w:rPr>
          <w:rFonts w:cs="Arial" w:hint="cs"/>
          <w:rtl/>
        </w:rPr>
        <w:t xml:space="preserve">דוקא שמן, דאם שניהם כחושים </w:t>
      </w:r>
      <w:r>
        <w:rPr>
          <w:rFonts w:cs="Arial"/>
          <w:rtl/>
        </w:rPr>
        <w:t>כ</w:t>
      </w:r>
      <w:r>
        <w:rPr>
          <w:rFonts w:cs="Arial" w:hint="cs"/>
          <w:rtl/>
        </w:rPr>
        <w:t>'</w:t>
      </w:r>
      <w:r>
        <w:rPr>
          <w:rFonts w:cs="Arial"/>
          <w:rtl/>
        </w:rPr>
        <w:t xml:space="preserve"> הרשב"א</w:t>
      </w:r>
      <w:r w:rsidRPr="00D04A78">
        <w:rPr>
          <w:rFonts w:cs="Arial"/>
          <w:sz w:val="16"/>
          <w:szCs w:val="16"/>
          <w:rtl/>
        </w:rPr>
        <w:t xml:space="preserve"> </w:t>
      </w:r>
      <w:r w:rsidRPr="00D04A78">
        <w:rPr>
          <w:rFonts w:cs="Arial" w:hint="cs"/>
          <w:sz w:val="16"/>
          <w:szCs w:val="16"/>
          <w:rtl/>
        </w:rPr>
        <w:t>(</w:t>
      </w:r>
      <w:r w:rsidRPr="00D04A78">
        <w:rPr>
          <w:rFonts w:cs="Arial"/>
          <w:sz w:val="16"/>
          <w:szCs w:val="16"/>
          <w:rtl/>
        </w:rPr>
        <w:t>תוה</w:t>
      </w:r>
      <w:r w:rsidRPr="00D04A78">
        <w:rPr>
          <w:rFonts w:cs="Arial" w:hint="cs"/>
          <w:sz w:val="16"/>
          <w:szCs w:val="16"/>
          <w:rtl/>
        </w:rPr>
        <w:t>"</w:t>
      </w:r>
      <w:r w:rsidRPr="00D04A78">
        <w:rPr>
          <w:rFonts w:cs="Arial"/>
          <w:sz w:val="16"/>
          <w:szCs w:val="16"/>
          <w:rtl/>
        </w:rPr>
        <w:t>א</w:t>
      </w:r>
      <w:r w:rsidRPr="00D04A78">
        <w:rPr>
          <w:rFonts w:cs="Arial" w:hint="cs"/>
          <w:sz w:val="16"/>
          <w:szCs w:val="16"/>
          <w:rtl/>
        </w:rPr>
        <w:t xml:space="preserve"> </w:t>
      </w:r>
      <w:r w:rsidRPr="00D04A78">
        <w:rPr>
          <w:rFonts w:cs="Arial"/>
          <w:sz w:val="16"/>
          <w:szCs w:val="16"/>
          <w:rtl/>
        </w:rPr>
        <w:t>ב"ד ש"א יד סוע"ג</w:t>
      </w:r>
      <w:r w:rsidRPr="00D04A78">
        <w:rPr>
          <w:rFonts w:cs="Arial" w:hint="cs"/>
          <w:sz w:val="16"/>
          <w:szCs w:val="16"/>
          <w:rtl/>
        </w:rPr>
        <w:t>, הביאו הב"י</w:t>
      </w:r>
      <w:r w:rsidRPr="00D04A78">
        <w:rPr>
          <w:rFonts w:cs="Arial"/>
          <w:sz w:val="16"/>
          <w:szCs w:val="16"/>
          <w:rtl/>
        </w:rPr>
        <w:t>)</w:t>
      </w:r>
      <w:r w:rsidRPr="00135581">
        <w:rPr>
          <w:rFonts w:cs="Arial"/>
          <w:rtl/>
        </w:rPr>
        <w:t xml:space="preserve"> דמלישנא דפלוגתא דרב ולוי משמע דלא איפליגו אלא כשבשר שחוטה ונבלה אחד מהם </w:t>
      </w:r>
      <w:r>
        <w:rPr>
          <w:rFonts w:cs="Arial"/>
          <w:rtl/>
        </w:rPr>
        <w:t>שמן אבל כששניהם כחושין כו</w:t>
      </w:r>
      <w:r>
        <w:rPr>
          <w:rFonts w:cs="Arial" w:hint="cs"/>
          <w:rtl/>
        </w:rPr>
        <w:t>"</w:t>
      </w:r>
      <w:r>
        <w:rPr>
          <w:rFonts w:cs="Arial"/>
          <w:rtl/>
        </w:rPr>
        <w:t>ע</w:t>
      </w:r>
      <w:r w:rsidRPr="00135581">
        <w:rPr>
          <w:rFonts w:cs="Arial"/>
          <w:rtl/>
        </w:rPr>
        <w:t xml:space="preserve"> מודו שהוא מותר דריחא כי האי לאו מילתא היא</w:t>
      </w:r>
      <w:r>
        <w:rPr>
          <w:rFonts w:hint="cs"/>
          <w:rtl/>
        </w:rPr>
        <w:t>.</w:t>
      </w:r>
    </w:p>
  </w:footnote>
  <w:footnote w:id="1748">
    <w:p w14:paraId="58CC18F6" w14:textId="77777777" w:rsidR="004C5A3C" w:rsidRDefault="004C5A3C" w:rsidP="002C39F4">
      <w:pPr>
        <w:pStyle w:val="a5"/>
      </w:pPr>
      <w:r>
        <w:rPr>
          <w:rStyle w:val="a7"/>
        </w:rPr>
        <w:footnoteRef/>
      </w:r>
      <w:r>
        <w:rPr>
          <w:rtl/>
        </w:rPr>
        <w:t xml:space="preserve"> </w:t>
      </w:r>
      <w:r>
        <w:rPr>
          <w:rFonts w:cs="Arial" w:hint="cs"/>
          <w:rtl/>
        </w:rPr>
        <w:t>ז"ל ה</w:t>
      </w:r>
      <w:r w:rsidRPr="00586043">
        <w:rPr>
          <w:rFonts w:cs="Arial" w:hint="cs"/>
          <w:rtl/>
        </w:rPr>
        <w:t xml:space="preserve">רשב"א </w:t>
      </w:r>
      <w:r w:rsidRPr="00586043">
        <w:rPr>
          <w:rFonts w:cs="Arial" w:hint="cs"/>
          <w:sz w:val="16"/>
          <w:szCs w:val="16"/>
          <w:rtl/>
        </w:rPr>
        <w:t xml:space="preserve">(תוה"ק </w:t>
      </w:r>
      <w:r w:rsidRPr="00586043">
        <w:rPr>
          <w:rFonts w:cs="Arial"/>
          <w:sz w:val="16"/>
          <w:szCs w:val="16"/>
          <w:rtl/>
        </w:rPr>
        <w:t>ב"ד ש"א י.)</w:t>
      </w:r>
      <w:r w:rsidRPr="00586043">
        <w:rPr>
          <w:rFonts w:cs="Arial" w:hint="cs"/>
          <w:rtl/>
        </w:rPr>
        <w:t>-</w:t>
      </w:r>
      <w:r w:rsidRPr="00586043">
        <w:rPr>
          <w:rFonts w:cs="Arial"/>
          <w:rtl/>
        </w:rPr>
        <w:t xml:space="preserve"> יש איסור שאוסר בריחו וכו' כיצד בשר נב</w:t>
      </w:r>
      <w:r w:rsidRPr="00586043">
        <w:rPr>
          <w:rFonts w:cs="Arial" w:hint="cs"/>
          <w:rtl/>
        </w:rPr>
        <w:t>ל</w:t>
      </w:r>
      <w:r w:rsidRPr="00586043">
        <w:rPr>
          <w:rFonts w:cs="Arial"/>
          <w:rtl/>
        </w:rPr>
        <w:t>ה שמן שצלאו וכו' ולא עוד אלא אפילו בשר שחוטה שמן שצלאו עם בשר נבלה כחוש אסור וכן דג ובשר שצלאן בתנור אחד אסור לאכול הדג עם הכותח וכן הפת שאפאה בתנור אחד עם הבשר אסור לאכלו בכותח במה דברים אמורים בשנצלו בתנור אחד צר או כיוצא בו אבל אם נצלו במקום רחב הריח מתפזר ואין כחן גדול להיות כמתערב עם בשר השחוטה או הפת והדג</w:t>
      </w:r>
      <w:r w:rsidRPr="00586043">
        <w:rPr>
          <w:rFonts w:cs="Arial" w:hint="cs"/>
          <w:rtl/>
        </w:rPr>
        <w:t>,</w:t>
      </w:r>
      <w:r w:rsidRPr="00586043">
        <w:rPr>
          <w:rFonts w:cs="Arial"/>
          <w:rtl/>
        </w:rPr>
        <w:t xml:space="preserve"> ויש מי שהורה בכל אלה להתיר וכן הסכמת רוב גדולי המורים הראשונים והאחרונים ומ</w:t>
      </w:r>
      <w:r w:rsidRPr="00586043">
        <w:rPr>
          <w:rFonts w:cs="Arial" w:hint="cs"/>
          <w:rtl/>
        </w:rPr>
        <w:t>"</w:t>
      </w:r>
      <w:r w:rsidRPr="00586043">
        <w:rPr>
          <w:rFonts w:cs="Arial"/>
          <w:rtl/>
        </w:rPr>
        <w:t>מ לכתחלה אסור לצלותם בתנור אחד צר</w:t>
      </w:r>
      <w:r>
        <w:rPr>
          <w:rFonts w:cs="Arial" w:hint="cs"/>
          <w:rtl/>
        </w:rPr>
        <w:t>, עכ"ל.</w:t>
      </w:r>
      <w:r w:rsidRPr="00E60643">
        <w:rPr>
          <w:rFonts w:cs="Arial"/>
          <w:rtl/>
        </w:rPr>
        <w:t xml:space="preserve"> </w:t>
      </w:r>
      <w:r>
        <w:rPr>
          <w:rFonts w:cs="Arial"/>
          <w:rtl/>
        </w:rPr>
        <w:t>וכ</w:t>
      </w:r>
      <w:r>
        <w:rPr>
          <w:rFonts w:cs="Arial" w:hint="cs"/>
          <w:rtl/>
        </w:rPr>
        <w:t>'</w:t>
      </w:r>
      <w:r>
        <w:rPr>
          <w:rFonts w:cs="Arial"/>
          <w:rtl/>
        </w:rPr>
        <w:t xml:space="preserve"> רבינו דברי</w:t>
      </w:r>
      <w:r>
        <w:rPr>
          <w:rFonts w:cs="Arial" w:hint="cs"/>
          <w:rtl/>
        </w:rPr>
        <w:t xml:space="preserve">ו </w:t>
      </w:r>
      <w:r w:rsidRPr="00135581">
        <w:rPr>
          <w:rFonts w:cs="Arial"/>
          <w:rtl/>
        </w:rPr>
        <w:t>בסימן ק"ח</w:t>
      </w:r>
      <w:r>
        <w:rPr>
          <w:rFonts w:cs="Arial" w:hint="cs"/>
          <w:rtl/>
        </w:rPr>
        <w:t xml:space="preserve">. וכ' עוד הרשב"א בתוה"א- </w:t>
      </w:r>
      <w:r w:rsidRPr="00135581">
        <w:rPr>
          <w:rFonts w:cs="Arial"/>
          <w:rtl/>
        </w:rPr>
        <w:t>אלא שמדברי הירושלמי (תרומות פ"י סוף ה"ב) נראה דללוי אפילו לכתחלה שרי</w:t>
      </w:r>
      <w:r>
        <w:rPr>
          <w:rFonts w:cs="Arial" w:hint="cs"/>
          <w:rtl/>
        </w:rPr>
        <w:t>,</w:t>
      </w:r>
      <w:r w:rsidRPr="00135581">
        <w:rPr>
          <w:rFonts w:cs="Arial"/>
          <w:rtl/>
        </w:rPr>
        <w:t xml:space="preserve"> וראוי לחוש לדברי הראשונים ז"ל שאסרו לעשות כן לכתחלה אבל בדיעבד נראה דהלכה כלוי וכן הסכימו רוב הפו</w:t>
      </w:r>
      <w:r>
        <w:rPr>
          <w:rFonts w:cs="Arial"/>
          <w:rtl/>
        </w:rPr>
        <w:t>סקים הראשונים והאחרונים ז"</w:t>
      </w:r>
      <w:r>
        <w:rPr>
          <w:rFonts w:cs="Arial" w:hint="cs"/>
          <w:rtl/>
        </w:rPr>
        <w:t>ל.</w:t>
      </w:r>
      <w:r w:rsidRPr="002E0825">
        <w:rPr>
          <w:rFonts w:cs="Arial"/>
          <w:rtl/>
        </w:rPr>
        <w:t xml:space="preserve"> </w:t>
      </w:r>
    </w:p>
  </w:footnote>
  <w:footnote w:id="1749">
    <w:p w14:paraId="28E671D5" w14:textId="77777777" w:rsidR="004C5A3C" w:rsidRDefault="004C5A3C" w:rsidP="002C39F4">
      <w:pPr>
        <w:pStyle w:val="a5"/>
      </w:pPr>
      <w:r>
        <w:rPr>
          <w:rStyle w:val="a7"/>
        </w:rPr>
        <w:footnoteRef/>
      </w:r>
      <w:r>
        <w:rPr>
          <w:rtl/>
        </w:rPr>
        <w:t xml:space="preserve"> </w:t>
      </w:r>
      <w:r>
        <w:rPr>
          <w:rFonts w:cs="Arial" w:hint="cs"/>
          <w:rtl/>
        </w:rPr>
        <w:t>ד</w:t>
      </w:r>
      <w:r w:rsidRPr="00586043">
        <w:rPr>
          <w:rFonts w:cs="Arial"/>
          <w:rtl/>
        </w:rPr>
        <w:t xml:space="preserve">הא דתני רב כהנא פת שאפאה עם הצלי אסורה לאכלה בכותח </w:t>
      </w:r>
      <w:r>
        <w:rPr>
          <w:rFonts w:cs="Arial" w:hint="cs"/>
          <w:rtl/>
        </w:rPr>
        <w:t>ו</w:t>
      </w:r>
      <w:r w:rsidRPr="00586043">
        <w:rPr>
          <w:rFonts w:cs="Arial"/>
          <w:rtl/>
        </w:rPr>
        <w:t>ההיא ביניתא דאיטוויא בהדי בישרא ואסרה רבא מפרזיקיא למיכלה בכותחא</w:t>
      </w:r>
      <w:r>
        <w:rPr>
          <w:rFonts w:cs="Arial" w:hint="cs"/>
          <w:rtl/>
        </w:rPr>
        <w:t>,</w:t>
      </w:r>
      <w:r w:rsidRPr="00586043">
        <w:rPr>
          <w:rFonts w:cs="Arial"/>
          <w:rtl/>
        </w:rPr>
        <w:t xml:space="preserve"> לאו כרב אסרי בלחוד אלא אפי' כלוי אסירי למיכלינהו בכותחא</w:t>
      </w:r>
      <w:r>
        <w:rPr>
          <w:rFonts w:cs="Arial" w:hint="cs"/>
          <w:rtl/>
        </w:rPr>
        <w:t>,</w:t>
      </w:r>
      <w:r w:rsidRPr="008822B5">
        <w:rPr>
          <w:rFonts w:cs="Arial"/>
          <w:rtl/>
        </w:rPr>
        <w:t xml:space="preserve"> מאי טעמא דכיון דשרי למיכלינהו בלא כותחא אי שרית להו למיכלינהו בכותחא אישתכח כמאן דשרי לאטוויי בשר שחוטה בהדי בשר נבלה לכתחלה</w:t>
      </w:r>
      <w:r>
        <w:rPr>
          <w:rFonts w:cs="Arial" w:hint="cs"/>
          <w:rtl/>
        </w:rPr>
        <w:t>,</w:t>
      </w:r>
      <w:r w:rsidRPr="008822B5">
        <w:rPr>
          <w:rFonts w:cs="Arial"/>
          <w:rtl/>
        </w:rPr>
        <w:t xml:space="preserve"> ולו</w:t>
      </w:r>
      <w:r>
        <w:rPr>
          <w:rFonts w:cs="Arial" w:hint="cs"/>
          <w:rtl/>
        </w:rPr>
        <w:t>י</w:t>
      </w:r>
      <w:r w:rsidRPr="008822B5">
        <w:rPr>
          <w:rFonts w:cs="Arial"/>
          <w:rtl/>
        </w:rPr>
        <w:t xml:space="preserve"> לא קא שרי הכין אלא דיעבד</w:t>
      </w:r>
      <w:r>
        <w:rPr>
          <w:rFonts w:cs="Arial" w:hint="cs"/>
          <w:rtl/>
        </w:rPr>
        <w:t>,</w:t>
      </w:r>
      <w:r w:rsidRPr="008822B5">
        <w:rPr>
          <w:rFonts w:cs="Arial"/>
          <w:rtl/>
        </w:rPr>
        <w:t xml:space="preserve"> דהא לוי שצלאו קאמר ולא אמר צולין לכתחלה</w:t>
      </w:r>
      <w:r>
        <w:rPr>
          <w:rFonts w:cs="Arial" w:hint="cs"/>
          <w:rtl/>
        </w:rPr>
        <w:t>,</w:t>
      </w:r>
      <w:r w:rsidRPr="008822B5">
        <w:rPr>
          <w:rFonts w:cs="Arial"/>
          <w:rtl/>
        </w:rPr>
        <w:t xml:space="preserve"> ועוד דהאי פת שאפאה עם הצלי כיון דשריא בלחוד בלא כותחא הויא לה כדבר שיש לו מתירין </w:t>
      </w:r>
      <w:r w:rsidRPr="008822B5">
        <w:rPr>
          <w:rFonts w:cs="Arial" w:hint="cs"/>
          <w:sz w:val="16"/>
          <w:szCs w:val="16"/>
          <w:rtl/>
        </w:rPr>
        <w:t>(</w:t>
      </w:r>
      <w:r w:rsidRPr="008822B5">
        <w:rPr>
          <w:rFonts w:cs="Arial"/>
          <w:sz w:val="16"/>
          <w:szCs w:val="16"/>
          <w:rtl/>
        </w:rPr>
        <w:t>ביצה ג</w:t>
      </w:r>
      <w:r w:rsidRPr="008822B5">
        <w:rPr>
          <w:rFonts w:cs="Arial" w:hint="cs"/>
          <w:sz w:val="16"/>
          <w:szCs w:val="16"/>
          <w:rtl/>
        </w:rPr>
        <w:t>:)</w:t>
      </w:r>
      <w:r w:rsidRPr="008822B5">
        <w:rPr>
          <w:rFonts w:cs="Arial"/>
          <w:sz w:val="16"/>
          <w:szCs w:val="16"/>
          <w:rtl/>
        </w:rPr>
        <w:t xml:space="preserve"> </w:t>
      </w:r>
      <w:r w:rsidRPr="008822B5">
        <w:rPr>
          <w:rFonts w:cs="Arial"/>
          <w:rtl/>
        </w:rPr>
        <w:t>וכל דבר שיש לו מתירין אפי</w:t>
      </w:r>
      <w:r w:rsidRPr="008822B5">
        <w:rPr>
          <w:rFonts w:cs="Arial" w:hint="cs"/>
          <w:rtl/>
        </w:rPr>
        <w:t>'</w:t>
      </w:r>
      <w:r w:rsidRPr="008822B5">
        <w:rPr>
          <w:rFonts w:cs="Arial"/>
          <w:rtl/>
        </w:rPr>
        <w:t xml:space="preserve"> באלף לא בטיל</w:t>
      </w:r>
      <w:r>
        <w:rPr>
          <w:rFonts w:cs="Arial" w:hint="cs"/>
          <w:rtl/>
        </w:rPr>
        <w:t>,</w:t>
      </w:r>
      <w:r w:rsidRPr="008822B5">
        <w:rPr>
          <w:rFonts w:cs="Arial"/>
          <w:rtl/>
        </w:rPr>
        <w:t xml:space="preserve"> וכל דבר שהוא אחד באלף כריחא בעלמא הוא ואפ"ה באלף לא בטיל הואיל ויש לו מתירין</w:t>
      </w:r>
      <w:r>
        <w:rPr>
          <w:rFonts w:cs="Arial" w:hint="cs"/>
          <w:rtl/>
        </w:rPr>
        <w:t>,</w:t>
      </w:r>
      <w:r w:rsidRPr="008822B5">
        <w:rPr>
          <w:rFonts w:cs="Arial"/>
          <w:rtl/>
        </w:rPr>
        <w:t xml:space="preserve"> והאי פת נמי הכין הוא ולאו משום דסבירא לן כרב</w:t>
      </w:r>
      <w:r>
        <w:rPr>
          <w:rFonts w:cs="Arial" w:hint="cs"/>
          <w:rtl/>
        </w:rPr>
        <w:t xml:space="preserve">, רי"ף. אמנם </w:t>
      </w:r>
      <w:r w:rsidRPr="00865737">
        <w:rPr>
          <w:rFonts w:cs="Arial"/>
          <w:rtl/>
        </w:rPr>
        <w:t xml:space="preserve">הר"ן </w:t>
      </w:r>
      <w:r w:rsidRPr="00865737">
        <w:rPr>
          <w:rFonts w:cs="Arial"/>
          <w:sz w:val="16"/>
          <w:szCs w:val="16"/>
          <w:rtl/>
        </w:rPr>
        <w:t xml:space="preserve">(לב. ד"ה והא דתני) </w:t>
      </w:r>
      <w:r>
        <w:rPr>
          <w:rFonts w:cs="Arial"/>
          <w:rtl/>
        </w:rPr>
        <w:t>כ</w:t>
      </w:r>
      <w:r>
        <w:rPr>
          <w:rFonts w:cs="Arial" w:hint="cs"/>
          <w:rtl/>
        </w:rPr>
        <w:t>'</w:t>
      </w:r>
      <w:r w:rsidRPr="00865737">
        <w:rPr>
          <w:rFonts w:cs="Arial"/>
          <w:rtl/>
        </w:rPr>
        <w:t xml:space="preserve"> טעם אחר</w:t>
      </w:r>
      <w:r>
        <w:rPr>
          <w:rFonts w:cs="Arial" w:hint="cs"/>
          <w:rtl/>
        </w:rPr>
        <w:t>, והוא-</w:t>
      </w:r>
      <w:r w:rsidRPr="00865737">
        <w:rPr>
          <w:rFonts w:cs="Arial"/>
          <w:rtl/>
        </w:rPr>
        <w:t xml:space="preserve"> דכיון שריח הבשר נרגש בהם הטועם אותם יהא סבור שממשו של בשר נבלע בהן וכי אכיל להו </w:t>
      </w:r>
      <w:r>
        <w:rPr>
          <w:rFonts w:cs="Arial"/>
          <w:rtl/>
        </w:rPr>
        <w:t>בכותחא מתחזי כבשר בחלב ומש</w:t>
      </w:r>
      <w:r>
        <w:rPr>
          <w:rFonts w:cs="Arial" w:hint="cs"/>
          <w:rtl/>
        </w:rPr>
        <w:t>ו"</w:t>
      </w:r>
      <w:r>
        <w:rPr>
          <w:rFonts w:cs="Arial"/>
          <w:rtl/>
        </w:rPr>
        <w:t>ה</w:t>
      </w:r>
      <w:r w:rsidRPr="00865737">
        <w:rPr>
          <w:rFonts w:cs="Arial"/>
          <w:rtl/>
        </w:rPr>
        <w:t xml:space="preserve"> אסור</w:t>
      </w:r>
      <w:r>
        <w:rPr>
          <w:rFonts w:cs="Arial" w:hint="cs"/>
          <w:rtl/>
        </w:rPr>
        <w:t>,</w:t>
      </w:r>
      <w:r w:rsidRPr="00865737">
        <w:rPr>
          <w:rFonts w:cs="Arial"/>
          <w:rtl/>
        </w:rPr>
        <w:t xml:space="preserve"> משא"כ בבשר שחוטה שצלאה עם בשר נבלה שאין ריחה וטעמה של נבלה נרגש בשחוטה כלל</w:t>
      </w:r>
      <w:r>
        <w:rPr>
          <w:rFonts w:cs="Arial" w:hint="cs"/>
          <w:rtl/>
        </w:rPr>
        <w:t>,</w:t>
      </w:r>
      <w:r w:rsidRPr="00865737">
        <w:rPr>
          <w:rFonts w:cs="Arial"/>
          <w:rtl/>
        </w:rPr>
        <w:t xml:space="preserve"> ועוד שאפשר שחומרא הוא שהחמירו בבשר בחלב יותר משאר איסורין משום דלא בדילי אינשי מ</w:t>
      </w:r>
      <w:r>
        <w:rPr>
          <w:rFonts w:cs="Arial"/>
          <w:rtl/>
        </w:rPr>
        <w:t>יניה מפני שכל א</w:t>
      </w:r>
      <w:r>
        <w:rPr>
          <w:rFonts w:cs="Arial" w:hint="cs"/>
          <w:rtl/>
        </w:rPr>
        <w:t>'</w:t>
      </w:r>
      <w:r>
        <w:rPr>
          <w:rFonts w:cs="Arial"/>
          <w:rtl/>
        </w:rPr>
        <w:t xml:space="preserve"> היתר בפ</w:t>
      </w:r>
      <w:r>
        <w:rPr>
          <w:rFonts w:cs="Arial" w:hint="cs"/>
          <w:rtl/>
        </w:rPr>
        <w:t xml:space="preserve">ני </w:t>
      </w:r>
      <w:r>
        <w:rPr>
          <w:rFonts w:cs="Arial"/>
          <w:rtl/>
        </w:rPr>
        <w:t>ע</w:t>
      </w:r>
      <w:r>
        <w:rPr>
          <w:rFonts w:cs="Arial" w:hint="cs"/>
          <w:rtl/>
        </w:rPr>
        <w:t>צמו</w:t>
      </w:r>
      <w:r w:rsidRPr="00865737">
        <w:rPr>
          <w:rFonts w:cs="Arial"/>
          <w:rtl/>
        </w:rPr>
        <w:t xml:space="preserve"> החמירו בו יותר מבשאר איסורים כמו שהחמירו בו שלא להעלותו עם הבשר על השולחן משא"כ בשאר איסורין</w:t>
      </w:r>
      <w:r>
        <w:rPr>
          <w:rFonts w:hint="cs"/>
          <w:rtl/>
        </w:rPr>
        <w:t>.</w:t>
      </w:r>
    </w:p>
  </w:footnote>
  <w:footnote w:id="1750">
    <w:p w14:paraId="2BA9BFCA" w14:textId="77777777" w:rsidR="004C5A3C" w:rsidRDefault="004C5A3C" w:rsidP="002C39F4">
      <w:pPr>
        <w:pStyle w:val="a5"/>
        <w:rPr>
          <w:rtl/>
        </w:rPr>
      </w:pPr>
      <w:r>
        <w:rPr>
          <w:rStyle w:val="a7"/>
        </w:rPr>
        <w:footnoteRef/>
      </w:r>
      <w:r>
        <w:rPr>
          <w:rtl/>
        </w:rPr>
        <w:t xml:space="preserve"> </w:t>
      </w:r>
      <w:r>
        <w:rPr>
          <w:rFonts w:cs="Arial" w:hint="cs"/>
          <w:rtl/>
        </w:rPr>
        <w:t xml:space="preserve">דלא אסר רב אלא בבשר שחוטה ובשר נבלה שקולטין הריח ביותר </w:t>
      </w:r>
      <w:r w:rsidRPr="00135581">
        <w:rPr>
          <w:rFonts w:cs="Arial"/>
          <w:rtl/>
        </w:rPr>
        <w:t>מפני הפיטום</w:t>
      </w:r>
      <w:r>
        <w:rPr>
          <w:rFonts w:cs="Arial" w:hint="cs"/>
          <w:rtl/>
        </w:rPr>
        <w:t>,</w:t>
      </w:r>
      <w:r w:rsidRPr="00135581">
        <w:rPr>
          <w:rFonts w:cs="Arial"/>
          <w:rtl/>
        </w:rPr>
        <w:t xml:space="preserve"> אבל לית ליה הא דתני רב כהנא פת שאפאה עם הצלי אסורה לאכלה בכותח</w:t>
      </w:r>
      <w:r>
        <w:rPr>
          <w:rFonts w:cs="Arial" w:hint="cs"/>
          <w:rtl/>
        </w:rPr>
        <w:t>,</w:t>
      </w:r>
      <w:r w:rsidRPr="00135581">
        <w:rPr>
          <w:rFonts w:cs="Arial"/>
          <w:rtl/>
        </w:rPr>
        <w:t xml:space="preserve"> דלרב נ"ל דשרי</w:t>
      </w:r>
      <w:r>
        <w:rPr>
          <w:rFonts w:cs="Arial" w:hint="cs"/>
          <w:rtl/>
        </w:rPr>
        <w:t>,</w:t>
      </w:r>
      <w:r w:rsidRPr="00135581">
        <w:rPr>
          <w:rFonts w:cs="Arial"/>
          <w:rtl/>
        </w:rPr>
        <w:t xml:space="preserve"> ומזה הטעם נהגו למאן דאית ליה ריחא מילתא היא שהפת אינם מקפידין עליו ואוכלין אותו בין עם בשר בין עם גבינה</w:t>
      </w:r>
      <w:r>
        <w:rPr>
          <w:rFonts w:cs="Arial" w:hint="cs"/>
          <w:rtl/>
        </w:rPr>
        <w:t>,</w:t>
      </w:r>
      <w:r w:rsidRPr="00135581">
        <w:rPr>
          <w:rFonts w:cs="Arial"/>
          <w:rtl/>
        </w:rPr>
        <w:t xml:space="preserve"> וכן דעתי נוטה שבפשטיד"א ופלדוני"ש שנאפו יחד דריחא מילתא היא אבל הפת שעמו שרי אפילו בלא כיסוי</w:t>
      </w:r>
      <w:r>
        <w:rPr>
          <w:rFonts w:cs="Arial" w:hint="cs"/>
          <w:rtl/>
        </w:rPr>
        <w:t>,</w:t>
      </w:r>
      <w:r w:rsidRPr="00135581">
        <w:rPr>
          <w:rFonts w:cs="Arial"/>
          <w:rtl/>
        </w:rPr>
        <w:t xml:space="preserve"> גם מורי אבי היה</w:t>
      </w:r>
      <w:r>
        <w:rPr>
          <w:rFonts w:cs="Arial"/>
          <w:rtl/>
        </w:rPr>
        <w:t xml:space="preserve"> נוהג בהן איסור אבל בפת לא</w:t>
      </w:r>
      <w:r>
        <w:rPr>
          <w:rFonts w:cs="Arial" w:hint="cs"/>
          <w:rtl/>
        </w:rPr>
        <w:t>, ראבי"ה.</w:t>
      </w:r>
    </w:p>
  </w:footnote>
  <w:footnote w:id="1751">
    <w:p w14:paraId="2A2F5FD5" w14:textId="77777777" w:rsidR="004C5A3C" w:rsidRDefault="004C5A3C" w:rsidP="002C39F4">
      <w:pPr>
        <w:pStyle w:val="a5"/>
        <w:rPr>
          <w:rtl/>
        </w:rPr>
      </w:pPr>
      <w:r>
        <w:rPr>
          <w:rStyle w:val="a7"/>
        </w:rPr>
        <w:footnoteRef/>
      </w:r>
      <w:r>
        <w:rPr>
          <w:rtl/>
        </w:rPr>
        <w:t xml:space="preserve"> </w:t>
      </w:r>
      <w:r>
        <w:rPr>
          <w:rFonts w:hint="cs"/>
          <w:rtl/>
        </w:rPr>
        <w:t>ז"ל הרשב"א-</w:t>
      </w:r>
      <w:r w:rsidRPr="00AF5A73">
        <w:rPr>
          <w:rFonts w:cs="Arial"/>
          <w:rtl/>
        </w:rPr>
        <w:t xml:space="preserve"> </w:t>
      </w:r>
      <w:r w:rsidRPr="003629C7">
        <w:rPr>
          <w:rFonts w:cs="Arial"/>
          <w:rtl/>
        </w:rPr>
        <w:t xml:space="preserve">דג ובשר שצלאן בתנור אחד אסור לאכול הדג עם הכותח כאילו נתערב הבשר עצמו עם הדג. וכן הפת שאפאה בתנור עם הבשר אסור לאוכלו בכותח. במה דברים אמורים כשנצלו בתנור אחד צר או כיוצא בו, אבל אם נצלו במקום רחב הרוח מפזר ואין כחו גדול להיותו כמתערב עם בשר השחוטה או הפת והדג. ויש מי שהורה בכל אלו </w:t>
      </w:r>
      <w:r>
        <w:rPr>
          <w:rFonts w:cs="Arial" w:hint="cs"/>
          <w:sz w:val="14"/>
          <w:szCs w:val="14"/>
          <w:rtl/>
        </w:rPr>
        <w:t>{</w:t>
      </w:r>
      <w:r w:rsidRPr="00AF5A73">
        <w:rPr>
          <w:rFonts w:hint="cs"/>
          <w:sz w:val="14"/>
          <w:szCs w:val="14"/>
          <w:rtl/>
        </w:rPr>
        <w:t>כוונתו גם למה שכתב לפני כן היינו לבשר נבלה שמן בהדי בשר שחוטה</w:t>
      </w:r>
      <w:r>
        <w:rPr>
          <w:rFonts w:hint="cs"/>
          <w:sz w:val="14"/>
          <w:szCs w:val="14"/>
          <w:rtl/>
        </w:rPr>
        <w:t xml:space="preserve">, </w:t>
      </w:r>
      <w:r w:rsidRPr="00AF5A73">
        <w:rPr>
          <w:rFonts w:hint="cs"/>
          <w:sz w:val="14"/>
          <w:szCs w:val="14"/>
          <w:rtl/>
        </w:rPr>
        <w:t>אפי' בשר השחוטה כחוש</w:t>
      </w:r>
      <w:r>
        <w:rPr>
          <w:rFonts w:hint="cs"/>
          <w:sz w:val="14"/>
          <w:szCs w:val="14"/>
          <w:rtl/>
        </w:rPr>
        <w:t>}</w:t>
      </w:r>
      <w:r>
        <w:rPr>
          <w:rFonts w:cs="Arial" w:hint="cs"/>
          <w:rtl/>
        </w:rPr>
        <w:t xml:space="preserve"> </w:t>
      </w:r>
      <w:r w:rsidRPr="003629C7">
        <w:rPr>
          <w:rFonts w:cs="Arial"/>
          <w:rtl/>
        </w:rPr>
        <w:t xml:space="preserve">להתיר, וכן הסכמת רוב גדולי המורים הראשונים והאחרונים. ומכל מקום </w:t>
      </w:r>
      <w:r>
        <w:rPr>
          <w:rFonts w:cs="Arial" w:hint="cs"/>
          <w:sz w:val="16"/>
          <w:szCs w:val="16"/>
          <w:rtl/>
        </w:rPr>
        <w:t>{לכתחילה, ב"י}</w:t>
      </w:r>
      <w:r>
        <w:rPr>
          <w:rFonts w:cs="Arial" w:hint="cs"/>
          <w:rtl/>
        </w:rPr>
        <w:t xml:space="preserve"> </w:t>
      </w:r>
      <w:r w:rsidRPr="003629C7">
        <w:rPr>
          <w:rFonts w:cs="Arial"/>
          <w:rtl/>
        </w:rPr>
        <w:t xml:space="preserve">אסור </w:t>
      </w:r>
      <w:r>
        <w:rPr>
          <w:rFonts w:cs="Arial" w:hint="cs"/>
          <w:sz w:val="16"/>
          <w:szCs w:val="16"/>
          <w:rtl/>
        </w:rPr>
        <w:t xml:space="preserve"> </w:t>
      </w:r>
      <w:r w:rsidRPr="003629C7">
        <w:rPr>
          <w:rFonts w:cs="Arial"/>
          <w:rtl/>
        </w:rPr>
        <w:t>לצלותם בתנור אחד צר</w:t>
      </w:r>
      <w:r>
        <w:rPr>
          <w:rFonts w:hint="cs"/>
          <w:rtl/>
        </w:rPr>
        <w:t xml:space="preserve"> </w:t>
      </w:r>
      <w:r>
        <w:rPr>
          <w:rFonts w:hint="cs"/>
          <w:sz w:val="16"/>
          <w:szCs w:val="16"/>
          <w:rtl/>
        </w:rPr>
        <w:t>{</w:t>
      </w:r>
      <w:r w:rsidRPr="00AF5A73">
        <w:rPr>
          <w:rFonts w:hint="cs"/>
          <w:sz w:val="16"/>
          <w:szCs w:val="16"/>
          <w:rtl/>
        </w:rPr>
        <w:t xml:space="preserve">עכ"ל בתוה"ק. ובתוה"א </w:t>
      </w:r>
      <w:r>
        <w:rPr>
          <w:rFonts w:cs="Arial" w:hint="cs"/>
          <w:sz w:val="14"/>
          <w:szCs w:val="14"/>
          <w:rtl/>
        </w:rPr>
        <w:t>[</w:t>
      </w:r>
      <w:r w:rsidRPr="00AF5A73">
        <w:rPr>
          <w:rFonts w:cs="Arial"/>
          <w:sz w:val="14"/>
          <w:szCs w:val="14"/>
          <w:rtl/>
        </w:rPr>
        <w:t>ב"ד ש"א טו</w:t>
      </w:r>
      <w:r w:rsidRPr="00AF5A73">
        <w:rPr>
          <w:rFonts w:cs="Arial" w:hint="cs"/>
          <w:sz w:val="14"/>
          <w:szCs w:val="14"/>
          <w:rtl/>
        </w:rPr>
        <w:t>:</w:t>
      </w:r>
      <w:r>
        <w:rPr>
          <w:rFonts w:cs="Arial" w:hint="cs"/>
          <w:sz w:val="14"/>
          <w:szCs w:val="14"/>
          <w:rtl/>
        </w:rPr>
        <w:t xml:space="preserve">] </w:t>
      </w:r>
      <w:r w:rsidRPr="00AF5A73">
        <w:rPr>
          <w:rFonts w:hint="cs"/>
          <w:sz w:val="16"/>
          <w:szCs w:val="16"/>
          <w:rtl/>
        </w:rPr>
        <w:t>כ</w:t>
      </w:r>
      <w:r>
        <w:rPr>
          <w:rFonts w:hint="cs"/>
          <w:sz w:val="16"/>
          <w:szCs w:val="16"/>
          <w:rtl/>
        </w:rPr>
        <w:t>תב</w:t>
      </w:r>
      <w:r w:rsidRPr="00AF5A73">
        <w:rPr>
          <w:rFonts w:hint="cs"/>
          <w:sz w:val="16"/>
          <w:szCs w:val="16"/>
          <w:rtl/>
        </w:rPr>
        <w:t>-</w:t>
      </w:r>
      <w:r>
        <w:rPr>
          <w:rFonts w:hint="cs"/>
          <w:sz w:val="16"/>
          <w:szCs w:val="16"/>
          <w:rtl/>
        </w:rPr>
        <w:t>}</w:t>
      </w:r>
      <w:r>
        <w:rPr>
          <w:rFonts w:hint="cs"/>
          <w:rtl/>
        </w:rPr>
        <w:t xml:space="preserve"> </w:t>
      </w:r>
      <w:r w:rsidRPr="00135581">
        <w:rPr>
          <w:rFonts w:cs="Arial"/>
          <w:rtl/>
        </w:rPr>
        <w:t xml:space="preserve">אלא שמדברי הירושלמי </w:t>
      </w:r>
      <w:r w:rsidRPr="00AF5A73">
        <w:rPr>
          <w:rFonts w:cs="Arial"/>
          <w:sz w:val="16"/>
          <w:szCs w:val="16"/>
          <w:rtl/>
        </w:rPr>
        <w:t xml:space="preserve">(תרומות פ"י סוף ה"ב) </w:t>
      </w:r>
      <w:r w:rsidRPr="00135581">
        <w:rPr>
          <w:rFonts w:cs="Arial"/>
          <w:rtl/>
        </w:rPr>
        <w:t>נראה דללוי אפילו לכתחלה שרי</w:t>
      </w:r>
      <w:r>
        <w:rPr>
          <w:rFonts w:cs="Arial" w:hint="cs"/>
          <w:rtl/>
        </w:rPr>
        <w:t>,</w:t>
      </w:r>
      <w:r w:rsidRPr="00135581">
        <w:rPr>
          <w:rFonts w:cs="Arial"/>
          <w:rtl/>
        </w:rPr>
        <w:t xml:space="preserve"> וראוי לחוש לדברי הראשונים ז"ל שאסרו לעשות כן לכתחלה אבל בדיעבד נראה דהלכה כלוי וכן הסכימו רוב הפו</w:t>
      </w:r>
      <w:r>
        <w:rPr>
          <w:rFonts w:cs="Arial"/>
          <w:rtl/>
        </w:rPr>
        <w:t>סקים הראשונים והאחרונים ז"</w:t>
      </w:r>
      <w:r>
        <w:rPr>
          <w:rFonts w:cs="Arial" w:hint="cs"/>
          <w:rtl/>
        </w:rPr>
        <w:t>ל</w:t>
      </w:r>
      <w:r>
        <w:rPr>
          <w:rFonts w:hint="cs"/>
          <w:rtl/>
        </w:rPr>
        <w:t>. עכ"ל.</w:t>
      </w:r>
      <w:r w:rsidRPr="00AF5A73">
        <w:rPr>
          <w:rFonts w:cs="Arial"/>
          <w:rtl/>
        </w:rPr>
        <w:t xml:space="preserve"> </w:t>
      </w:r>
      <w:r>
        <w:rPr>
          <w:rFonts w:cs="Arial" w:hint="cs"/>
          <w:rtl/>
        </w:rPr>
        <w:t xml:space="preserve">והביא הב"י את דבריו. </w:t>
      </w:r>
      <w:r w:rsidRPr="00135581">
        <w:rPr>
          <w:rFonts w:cs="Arial"/>
          <w:rtl/>
        </w:rPr>
        <w:t>ו</w:t>
      </w:r>
      <w:r>
        <w:rPr>
          <w:rFonts w:cs="Arial" w:hint="cs"/>
          <w:rtl/>
        </w:rPr>
        <w:t xml:space="preserve">גם הטור </w:t>
      </w:r>
      <w:r w:rsidRPr="00135581">
        <w:rPr>
          <w:rFonts w:cs="Arial"/>
          <w:rtl/>
        </w:rPr>
        <w:t xml:space="preserve">כתב </w:t>
      </w:r>
      <w:r>
        <w:rPr>
          <w:rFonts w:cs="Arial" w:hint="cs"/>
          <w:rtl/>
        </w:rPr>
        <w:t>את</w:t>
      </w:r>
      <w:r w:rsidRPr="00135581">
        <w:rPr>
          <w:rFonts w:cs="Arial"/>
          <w:rtl/>
        </w:rPr>
        <w:t xml:space="preserve"> דברי</w:t>
      </w:r>
      <w:r>
        <w:rPr>
          <w:rFonts w:cs="Arial" w:hint="cs"/>
          <w:rtl/>
        </w:rPr>
        <w:t xml:space="preserve"> הרשב"א מתוה"ק </w:t>
      </w:r>
      <w:r w:rsidRPr="00135581">
        <w:rPr>
          <w:rFonts w:cs="Arial"/>
          <w:rtl/>
        </w:rPr>
        <w:t>בסי</w:t>
      </w:r>
      <w:r>
        <w:rPr>
          <w:rFonts w:cs="Arial" w:hint="cs"/>
          <w:rtl/>
        </w:rPr>
        <w:t>'</w:t>
      </w:r>
      <w:r w:rsidRPr="00135581">
        <w:rPr>
          <w:rFonts w:cs="Arial"/>
          <w:rtl/>
        </w:rPr>
        <w:t xml:space="preserve"> קח</w:t>
      </w:r>
      <w:r>
        <w:rPr>
          <w:rFonts w:cs="Arial" w:hint="cs"/>
          <w:rtl/>
        </w:rPr>
        <w:t>.</w:t>
      </w:r>
    </w:p>
  </w:footnote>
  <w:footnote w:id="1752">
    <w:p w14:paraId="767C31BD" w14:textId="77777777" w:rsidR="004C5A3C" w:rsidRDefault="004C5A3C" w:rsidP="002C39F4">
      <w:pPr>
        <w:pStyle w:val="a5"/>
      </w:pPr>
      <w:r>
        <w:rPr>
          <w:rStyle w:val="a7"/>
        </w:rPr>
        <w:footnoteRef/>
      </w:r>
      <w:r>
        <w:rPr>
          <w:rtl/>
        </w:rPr>
        <w:t xml:space="preserve"> </w:t>
      </w:r>
      <w:r w:rsidRPr="00934E32">
        <w:rPr>
          <w:rFonts w:cs="Arial"/>
          <w:rtl/>
        </w:rPr>
        <w:t>נראה דר"ל ואפי' פלדונ"ש שהוא של חלב עם פשטיד"א של בשר אף שיש להרחיק מן העבירה ושלא יזוב מזה תחת זה מ"מ אין נראה לר"י שיהא אסור משום ריחא כיון שיש אויר כו' אבל לשון פסקי תוספות ואף פלאד"ן שיש להרחיק מן הלחם כו' אינו מיושב בעיני דמאי לשון אפילו ודו"ק</w:t>
      </w:r>
      <w:r>
        <w:rPr>
          <w:rFonts w:cs="Arial" w:hint="cs"/>
          <w:rtl/>
        </w:rPr>
        <w:t>, מהרש"א (חידושי הלכות פסחים עו: ד"ה תוס' בד"ה).</w:t>
      </w:r>
    </w:p>
  </w:footnote>
  <w:footnote w:id="1753">
    <w:p w14:paraId="158D04D1" w14:textId="77777777" w:rsidR="004C5A3C" w:rsidRDefault="004C5A3C" w:rsidP="002C39F4">
      <w:pPr>
        <w:pStyle w:val="a5"/>
        <w:rPr>
          <w:rtl/>
        </w:rPr>
      </w:pPr>
      <w:r>
        <w:rPr>
          <w:rStyle w:val="a7"/>
        </w:rPr>
        <w:footnoteRef/>
      </w:r>
      <w:r>
        <w:rPr>
          <w:rtl/>
        </w:rPr>
        <w:t xml:space="preserve"> </w:t>
      </w:r>
      <w:r>
        <w:rPr>
          <w:rFonts w:hint="cs"/>
          <w:rtl/>
        </w:rPr>
        <w:t xml:space="preserve">כתבו התוס', וז"ל- </w:t>
      </w:r>
      <w:r w:rsidRPr="002E76B8">
        <w:rPr>
          <w:rFonts w:cs="Arial"/>
          <w:rtl/>
        </w:rPr>
        <w:t>לענין ריחא דהתם הלכה כרב דאמר ריחא מילתא היא ה"מ בתנורים שלהם שהיו קטנים</w:t>
      </w:r>
      <w:r>
        <w:rPr>
          <w:rFonts w:cs="Arial" w:hint="cs"/>
          <w:rtl/>
        </w:rPr>
        <w:t>,</w:t>
      </w:r>
      <w:r w:rsidRPr="002E76B8">
        <w:rPr>
          <w:rFonts w:cs="Arial"/>
          <w:rtl/>
        </w:rPr>
        <w:t xml:space="preserve"> וה"ה תחת מחבת שלנו שקורין תרפי"ד בלע"ז שאופין תחתיה הפשטיד"א כמו כן ריחא מילתא היא</w:t>
      </w:r>
      <w:r>
        <w:rPr>
          <w:rFonts w:cs="Arial" w:hint="cs"/>
          <w:rtl/>
        </w:rPr>
        <w:t>,</w:t>
      </w:r>
      <w:r w:rsidRPr="002E76B8">
        <w:rPr>
          <w:rFonts w:cs="Arial"/>
          <w:rtl/>
        </w:rPr>
        <w:t xml:space="preserve"> אבל</w:t>
      </w:r>
      <w:r>
        <w:rPr>
          <w:rFonts w:cs="Arial" w:hint="cs"/>
          <w:rtl/>
        </w:rPr>
        <w:t>-...</w:t>
      </w:r>
    </w:p>
  </w:footnote>
  <w:footnote w:id="1754">
    <w:p w14:paraId="5DFE81CB" w14:textId="77777777" w:rsidR="004C5A3C" w:rsidRDefault="004C5A3C" w:rsidP="002C39F4">
      <w:pPr>
        <w:pStyle w:val="a5"/>
      </w:pPr>
      <w:r>
        <w:rPr>
          <w:rStyle w:val="a7"/>
        </w:rPr>
        <w:footnoteRef/>
      </w:r>
      <w:r>
        <w:rPr>
          <w:rtl/>
        </w:rPr>
        <w:t xml:space="preserve"> </w:t>
      </w:r>
      <w:r>
        <w:rPr>
          <w:rFonts w:hint="cs"/>
          <w:rtl/>
        </w:rPr>
        <w:t xml:space="preserve">אף לדעת ר"ת </w:t>
      </w:r>
      <w:r w:rsidRPr="000124E5">
        <w:rPr>
          <w:rFonts w:hint="cs"/>
          <w:sz w:val="16"/>
          <w:szCs w:val="16"/>
          <w:rtl/>
        </w:rPr>
        <w:t>(ע"פ תוס' ורא"ש</w:t>
      </w:r>
      <w:r>
        <w:rPr>
          <w:rFonts w:hint="cs"/>
          <w:sz w:val="16"/>
          <w:szCs w:val="16"/>
          <w:rtl/>
        </w:rPr>
        <w:t>)</w:t>
      </w:r>
      <w:r>
        <w:rPr>
          <w:rFonts w:hint="cs"/>
          <w:rtl/>
        </w:rPr>
        <w:t>.</w:t>
      </w:r>
    </w:p>
  </w:footnote>
  <w:footnote w:id="1755">
    <w:p w14:paraId="07C6279C" w14:textId="77777777" w:rsidR="004C5A3C" w:rsidRDefault="004C5A3C" w:rsidP="002C39F4">
      <w:pPr>
        <w:pStyle w:val="a5"/>
        <w:rPr>
          <w:rtl/>
        </w:rPr>
      </w:pPr>
      <w:r>
        <w:rPr>
          <w:rStyle w:val="a7"/>
        </w:rPr>
        <w:footnoteRef/>
      </w:r>
      <w:r>
        <w:rPr>
          <w:rtl/>
        </w:rPr>
        <w:t xml:space="preserve"> </w:t>
      </w:r>
      <w:r>
        <w:rPr>
          <w:rFonts w:hint="cs"/>
          <w:rtl/>
        </w:rPr>
        <w:t xml:space="preserve">הב"י שינה מלשון התוס', ומהשינוי אפשר להבין לא כשורה את לשון התוס' לכן העתקתי את דברי התוס'. </w:t>
      </w:r>
    </w:p>
  </w:footnote>
  <w:footnote w:id="1756">
    <w:p w14:paraId="57EA3D80" w14:textId="77777777" w:rsidR="004C5A3C" w:rsidRDefault="004C5A3C" w:rsidP="002C39F4">
      <w:pPr>
        <w:pStyle w:val="a5"/>
        <w:rPr>
          <w:rtl/>
        </w:rPr>
      </w:pPr>
      <w:r>
        <w:rPr>
          <w:rStyle w:val="a7"/>
        </w:rPr>
        <w:footnoteRef/>
      </w:r>
      <w:r>
        <w:rPr>
          <w:rtl/>
        </w:rPr>
        <w:t xml:space="preserve"> </w:t>
      </w:r>
      <w:r w:rsidRPr="00C32AC9">
        <w:rPr>
          <w:rFonts w:cs="Arial"/>
          <w:rtl/>
        </w:rPr>
        <w:t>תוס</w:t>
      </w:r>
      <w:r w:rsidRPr="00C32AC9">
        <w:rPr>
          <w:rFonts w:cs="Arial" w:hint="cs"/>
          <w:rtl/>
        </w:rPr>
        <w:t>'</w:t>
      </w:r>
      <w:r w:rsidRPr="00C32AC9">
        <w:rPr>
          <w:rFonts w:cs="Arial"/>
          <w:rtl/>
        </w:rPr>
        <w:t xml:space="preserve"> </w:t>
      </w:r>
      <w:r w:rsidRPr="00C32AC9">
        <w:rPr>
          <w:rFonts w:cs="Arial"/>
          <w:sz w:val="16"/>
          <w:szCs w:val="16"/>
          <w:rtl/>
        </w:rPr>
        <w:t>(פסחים עו: ד"ה אסרה רבא)</w:t>
      </w:r>
      <w:r w:rsidRPr="00C32AC9">
        <w:rPr>
          <w:rFonts w:cs="Arial"/>
          <w:rtl/>
        </w:rPr>
        <w:t xml:space="preserve"> ס</w:t>
      </w:r>
      <w:r>
        <w:rPr>
          <w:rFonts w:cs="Arial"/>
          <w:rtl/>
        </w:rPr>
        <w:t xml:space="preserve">מ"ג </w:t>
      </w:r>
      <w:r w:rsidRPr="00C32AC9">
        <w:rPr>
          <w:rFonts w:cs="Arial"/>
          <w:sz w:val="16"/>
          <w:szCs w:val="16"/>
          <w:rtl/>
        </w:rPr>
        <w:t xml:space="preserve">(לאוין קמ נג ע"ג) </w:t>
      </w:r>
      <w:r w:rsidRPr="00C32AC9">
        <w:rPr>
          <w:rFonts w:cs="Arial"/>
          <w:rtl/>
        </w:rPr>
        <w:t xml:space="preserve">סמ"ק </w:t>
      </w:r>
      <w:r w:rsidRPr="00C32AC9">
        <w:rPr>
          <w:rFonts w:cs="Arial"/>
          <w:sz w:val="16"/>
          <w:szCs w:val="16"/>
          <w:rtl/>
        </w:rPr>
        <w:t xml:space="preserve">(סו"ס ריג) </w:t>
      </w:r>
      <w:r>
        <w:rPr>
          <w:rFonts w:cs="Arial"/>
          <w:rtl/>
        </w:rPr>
        <w:t xml:space="preserve">רשב"א </w:t>
      </w:r>
      <w:r w:rsidRPr="007E7133">
        <w:rPr>
          <w:rFonts w:cs="Arial"/>
          <w:sz w:val="16"/>
          <w:szCs w:val="16"/>
          <w:rtl/>
        </w:rPr>
        <w:t>(תוה"א ב"ד ש"א טו.</w:t>
      </w:r>
      <w:r>
        <w:rPr>
          <w:rFonts w:cs="Arial" w:hint="cs"/>
          <w:sz w:val="16"/>
          <w:szCs w:val="16"/>
          <w:rtl/>
        </w:rPr>
        <w:t>,</w:t>
      </w:r>
      <w:r w:rsidRPr="009D6847">
        <w:rPr>
          <w:rFonts w:cs="Arial" w:hint="cs"/>
          <w:sz w:val="16"/>
          <w:szCs w:val="16"/>
          <w:rtl/>
        </w:rPr>
        <w:t xml:space="preserve"> </w:t>
      </w:r>
      <w:r>
        <w:rPr>
          <w:rFonts w:cs="Arial" w:hint="cs"/>
          <w:sz w:val="16"/>
          <w:szCs w:val="16"/>
          <w:rtl/>
        </w:rPr>
        <w:t>ובקצר</w:t>
      </w:r>
      <w:r w:rsidRPr="009D6847">
        <w:rPr>
          <w:rFonts w:cs="Arial" w:hint="cs"/>
          <w:sz w:val="16"/>
          <w:szCs w:val="16"/>
          <w:rtl/>
        </w:rPr>
        <w:t xml:space="preserve"> </w:t>
      </w:r>
      <w:r w:rsidRPr="009D6847">
        <w:rPr>
          <w:rFonts w:cs="Arial"/>
          <w:sz w:val="16"/>
          <w:szCs w:val="16"/>
          <w:rtl/>
        </w:rPr>
        <w:t>ב"ד ש"א י.</w:t>
      </w:r>
      <w:r w:rsidRPr="007E7133">
        <w:rPr>
          <w:rFonts w:cs="Arial"/>
          <w:sz w:val="16"/>
          <w:szCs w:val="16"/>
          <w:rtl/>
        </w:rPr>
        <w:t>)</w:t>
      </w:r>
      <w:r>
        <w:rPr>
          <w:rFonts w:cs="Arial" w:hint="cs"/>
          <w:rtl/>
        </w:rPr>
        <w:t xml:space="preserve"> </w:t>
      </w:r>
      <w:r>
        <w:rPr>
          <w:rFonts w:cs="Arial"/>
          <w:rtl/>
        </w:rPr>
        <w:t>ו</w:t>
      </w:r>
      <w:r w:rsidRPr="00C32AC9">
        <w:rPr>
          <w:rFonts w:cs="Arial"/>
          <w:rtl/>
        </w:rPr>
        <w:t xml:space="preserve">מרדכי </w:t>
      </w:r>
      <w:r w:rsidRPr="00C32AC9">
        <w:rPr>
          <w:rFonts w:cs="Arial"/>
          <w:sz w:val="16"/>
          <w:szCs w:val="16"/>
          <w:rtl/>
        </w:rPr>
        <w:t>(חולין סי' תרסו)</w:t>
      </w:r>
      <w:r>
        <w:rPr>
          <w:rFonts w:hint="cs"/>
          <w:rtl/>
        </w:rPr>
        <w:t>.</w:t>
      </w:r>
    </w:p>
  </w:footnote>
  <w:footnote w:id="1757">
    <w:p w14:paraId="50462952" w14:textId="77777777" w:rsidR="004C5A3C" w:rsidRDefault="004C5A3C" w:rsidP="002C39F4">
      <w:pPr>
        <w:pStyle w:val="a5"/>
        <w:rPr>
          <w:rtl/>
        </w:rPr>
      </w:pPr>
      <w:r>
        <w:rPr>
          <w:rStyle w:val="a7"/>
        </w:rPr>
        <w:footnoteRef/>
      </w:r>
      <w:r>
        <w:rPr>
          <w:rtl/>
        </w:rPr>
        <w:t xml:space="preserve"> </w:t>
      </w:r>
      <w:r w:rsidRPr="00135581">
        <w:rPr>
          <w:rFonts w:cs="Arial"/>
          <w:rtl/>
        </w:rPr>
        <w:t>ואין דבריו נראים בעיני דדיעבד מותר גמור הוא ואפילו יש פת אחרת לפניו מותר לאכול מזו</w:t>
      </w:r>
      <w:r>
        <w:rPr>
          <w:rFonts w:hint="cs"/>
          <w:rtl/>
        </w:rPr>
        <w:t>, ב"י.</w:t>
      </w:r>
    </w:p>
  </w:footnote>
  <w:footnote w:id="1758">
    <w:p w14:paraId="2EAC161E" w14:textId="77777777" w:rsidR="004C5A3C" w:rsidRDefault="004C5A3C" w:rsidP="002C39F4">
      <w:pPr>
        <w:pStyle w:val="a5"/>
        <w:rPr>
          <w:rtl/>
        </w:rPr>
      </w:pPr>
      <w:r>
        <w:rPr>
          <w:rStyle w:val="a7"/>
        </w:rPr>
        <w:footnoteRef/>
      </w:r>
      <w:r>
        <w:rPr>
          <w:rtl/>
        </w:rPr>
        <w:t xml:space="preserve"> </w:t>
      </w:r>
      <w:r>
        <w:rPr>
          <w:rFonts w:cs="Arial"/>
          <w:rtl/>
        </w:rPr>
        <w:t>וכ</w:t>
      </w:r>
      <w:r>
        <w:rPr>
          <w:rFonts w:cs="Arial" w:hint="cs"/>
          <w:rtl/>
        </w:rPr>
        <w:t>"כ</w:t>
      </w:r>
      <w:r>
        <w:rPr>
          <w:rFonts w:cs="Arial"/>
          <w:rtl/>
        </w:rPr>
        <w:t xml:space="preserve"> הגה</w:t>
      </w:r>
      <w:r>
        <w:rPr>
          <w:rFonts w:cs="Arial" w:hint="cs"/>
          <w:rtl/>
        </w:rPr>
        <w:t>"מ</w:t>
      </w:r>
      <w:r>
        <w:rPr>
          <w:rFonts w:cs="Arial"/>
          <w:rtl/>
        </w:rPr>
        <w:t xml:space="preserve"> בפ"ט </w:t>
      </w:r>
      <w:r>
        <w:rPr>
          <w:rFonts w:cs="Arial" w:hint="cs"/>
          <w:rtl/>
        </w:rPr>
        <w:t>(</w:t>
      </w:r>
      <w:r>
        <w:rPr>
          <w:rFonts w:cs="Arial"/>
          <w:rtl/>
        </w:rPr>
        <w:t>מהל</w:t>
      </w:r>
      <w:r>
        <w:rPr>
          <w:rFonts w:cs="Arial" w:hint="cs"/>
          <w:rtl/>
        </w:rPr>
        <w:t>'</w:t>
      </w:r>
      <w:r>
        <w:rPr>
          <w:rFonts w:cs="Arial"/>
          <w:rtl/>
        </w:rPr>
        <w:t xml:space="preserve"> מאכ</w:t>
      </w:r>
      <w:r>
        <w:rPr>
          <w:rFonts w:cs="Arial" w:hint="cs"/>
          <w:rtl/>
        </w:rPr>
        <w:t xml:space="preserve">"א </w:t>
      </w:r>
      <w:r>
        <w:rPr>
          <w:rFonts w:cs="Arial"/>
          <w:rtl/>
        </w:rPr>
        <w:t>אות ק)</w:t>
      </w:r>
      <w:r>
        <w:rPr>
          <w:rFonts w:cs="Arial" w:hint="cs"/>
          <w:rtl/>
        </w:rPr>
        <w:t>,</w:t>
      </w:r>
      <w:r>
        <w:rPr>
          <w:rFonts w:cs="Arial"/>
          <w:rtl/>
        </w:rPr>
        <w:t xml:space="preserve"> ובפרק ט"ו (ד"ק הל"ג) כתבו</w:t>
      </w:r>
      <w:r>
        <w:rPr>
          <w:rFonts w:cs="Arial" w:hint="cs"/>
          <w:rtl/>
        </w:rPr>
        <w:t>-</w:t>
      </w:r>
      <w:r>
        <w:rPr>
          <w:rFonts w:cs="Arial"/>
          <w:rtl/>
        </w:rPr>
        <w:t xml:space="preserve"> מצאתי כתוב דאפילו מאן דאמר ריחא לאו מילתא היא הני מילי בתנורים שלהם שפיהם למעלה אבל בתנורים שלנו שפיהם מן הצד מחזיק ריחו ומפטם כל מה שבצדו ולכן מודו כו</w:t>
      </w:r>
      <w:r>
        <w:rPr>
          <w:rFonts w:cs="Arial" w:hint="cs"/>
          <w:rtl/>
        </w:rPr>
        <w:t>"</w:t>
      </w:r>
      <w:r>
        <w:rPr>
          <w:rFonts w:cs="Arial"/>
          <w:rtl/>
        </w:rPr>
        <w:t>ע דלכתחלה אסור וזה היפך ממה שפירשתי לעיל פ</w:t>
      </w:r>
      <w:r>
        <w:rPr>
          <w:rFonts w:cs="Arial" w:hint="cs"/>
          <w:rtl/>
        </w:rPr>
        <w:t>"</w:t>
      </w:r>
      <w:r>
        <w:rPr>
          <w:rFonts w:cs="Arial"/>
          <w:rtl/>
        </w:rPr>
        <w:t>ט עכ"ל</w:t>
      </w:r>
      <w:r>
        <w:rPr>
          <w:rFonts w:cs="Arial" w:hint="cs"/>
          <w:rtl/>
        </w:rPr>
        <w:t>,</w:t>
      </w:r>
      <w:r>
        <w:rPr>
          <w:rFonts w:cs="Arial"/>
          <w:rtl/>
        </w:rPr>
        <w:t xml:space="preserve"> ונראה דליתא להגה"ה זו שלא נודע מי בעל דבריה מקמי כל הנך רבוותא שלא חילקו בכך ואדרבה כתבו להקל בתנורים דידן.</w:t>
      </w:r>
      <w:r>
        <w:rPr>
          <w:rFonts w:hint="cs"/>
          <w:rtl/>
        </w:rPr>
        <w:t xml:space="preserve"> </w:t>
      </w:r>
    </w:p>
  </w:footnote>
  <w:footnote w:id="1759">
    <w:p w14:paraId="1AD942E2" w14:textId="77777777" w:rsidR="004C5A3C" w:rsidRDefault="004C5A3C" w:rsidP="002C39F4">
      <w:pPr>
        <w:pStyle w:val="a5"/>
        <w:rPr>
          <w:rtl/>
        </w:rPr>
      </w:pPr>
      <w:r>
        <w:rPr>
          <w:rStyle w:val="a7"/>
        </w:rPr>
        <w:footnoteRef/>
      </w:r>
      <w:r>
        <w:rPr>
          <w:rtl/>
        </w:rPr>
        <w:t xml:space="preserve"> </w:t>
      </w:r>
      <w:r>
        <w:rPr>
          <w:rFonts w:cs="Arial"/>
          <w:rtl/>
        </w:rPr>
        <w:t>נראה מדבריו דברחב קצת סגי ולא בעי מחזיק שנים עשר עשרונים כסמ"ק</w:t>
      </w:r>
      <w:r>
        <w:rPr>
          <w:rFonts w:cs="Arial" w:hint="cs"/>
          <w:rtl/>
        </w:rPr>
        <w:t>, ב"י.</w:t>
      </w:r>
    </w:p>
  </w:footnote>
  <w:footnote w:id="1760">
    <w:p w14:paraId="1BE7A49B" w14:textId="77777777" w:rsidR="004C5A3C" w:rsidRDefault="004C5A3C" w:rsidP="002C39F4">
      <w:pPr>
        <w:pStyle w:val="a5"/>
      </w:pPr>
      <w:r>
        <w:rPr>
          <w:rStyle w:val="a7"/>
        </w:rPr>
        <w:footnoteRef/>
      </w:r>
      <w:r>
        <w:rPr>
          <w:rtl/>
        </w:rPr>
        <w:t xml:space="preserve"> </w:t>
      </w:r>
      <w:r>
        <w:rPr>
          <w:rFonts w:cs="Arial" w:hint="cs"/>
          <w:rtl/>
        </w:rPr>
        <w:t xml:space="preserve">וכ' </w:t>
      </w:r>
      <w:r w:rsidRPr="00197C59">
        <w:rPr>
          <w:rFonts w:cs="Arial"/>
          <w:rtl/>
        </w:rPr>
        <w:t xml:space="preserve">רש"ל </w:t>
      </w:r>
      <w:r>
        <w:rPr>
          <w:rFonts w:cs="Arial" w:hint="cs"/>
          <w:rtl/>
        </w:rPr>
        <w:t>(</w:t>
      </w:r>
      <w:r w:rsidRPr="00197C59">
        <w:rPr>
          <w:rFonts w:cs="Arial"/>
          <w:rtl/>
        </w:rPr>
        <w:t>סי' לה</w:t>
      </w:r>
      <w:r>
        <w:rPr>
          <w:rFonts w:cs="Arial" w:hint="cs"/>
          <w:rtl/>
        </w:rPr>
        <w:t>)</w:t>
      </w:r>
      <w:r w:rsidRPr="00197C59">
        <w:rPr>
          <w:rFonts w:cs="Arial"/>
          <w:rtl/>
        </w:rPr>
        <w:t xml:space="preserve"> </w:t>
      </w:r>
      <w:r>
        <w:rPr>
          <w:rFonts w:cs="Arial" w:hint="cs"/>
          <w:rtl/>
        </w:rPr>
        <w:t>ד</w:t>
      </w:r>
      <w:r w:rsidRPr="00197C59">
        <w:rPr>
          <w:rFonts w:cs="Arial"/>
          <w:rtl/>
        </w:rPr>
        <w:t>דוקא בכבד שכולו היתר התיר מהרא"י אבל בשר שנאסר מחמת דם כגון שנמלח בכלי שאינו מנוקב אוסר בשר שנצלה או נתבשל עמו בתנור לפי שאמרי' חתיכה עצמה נעשה נבילה אפי' גבי דם</w:t>
      </w:r>
      <w:r>
        <w:rPr>
          <w:rFonts w:hint="cs"/>
          <w:rtl/>
        </w:rPr>
        <w:t>.</w:t>
      </w:r>
      <w:r w:rsidRPr="00197C59">
        <w:rPr>
          <w:rtl/>
        </w:rPr>
        <w:t xml:space="preserve"> </w:t>
      </w:r>
      <w:r w:rsidRPr="00197C59">
        <w:rPr>
          <w:rFonts w:cs="Arial"/>
          <w:rtl/>
        </w:rPr>
        <w:t>ו</w:t>
      </w:r>
      <w:r>
        <w:rPr>
          <w:rFonts w:cs="Arial" w:hint="cs"/>
          <w:rtl/>
        </w:rPr>
        <w:t>הב"ח</w:t>
      </w:r>
      <w:r w:rsidRPr="00197C59">
        <w:rPr>
          <w:rFonts w:cs="Arial"/>
          <w:rtl/>
        </w:rPr>
        <w:t xml:space="preserve"> חולק עליו דכל דם קלוש הוא ואינו אוסר בריחא</w:t>
      </w:r>
      <w:r>
        <w:rPr>
          <w:rFonts w:cs="Arial" w:hint="cs"/>
          <w:rtl/>
        </w:rPr>
        <w:t xml:space="preserve">. וכן נראה דעת הדרכ"מ (אות ג). </w:t>
      </w:r>
      <w:r w:rsidRPr="00197C59">
        <w:rPr>
          <w:rFonts w:cs="Arial"/>
          <w:rtl/>
        </w:rPr>
        <w:t>ו</w:t>
      </w:r>
      <w:r>
        <w:rPr>
          <w:rFonts w:cs="Arial" w:hint="cs"/>
          <w:rtl/>
        </w:rPr>
        <w:t>כ' הט"ז (סי' קח סק"א) ד</w:t>
      </w:r>
      <w:r w:rsidRPr="00197C59">
        <w:rPr>
          <w:rFonts w:cs="Arial"/>
          <w:rtl/>
        </w:rPr>
        <w:t>הכי משמע לישנא דמהרא"י הנ"ל</w:t>
      </w:r>
      <w:r>
        <w:rPr>
          <w:rFonts w:cs="Arial" w:hint="cs"/>
          <w:rtl/>
        </w:rPr>
        <w:t>,</w:t>
      </w:r>
      <w:r w:rsidRPr="00197C59">
        <w:rPr>
          <w:rFonts w:cs="Arial"/>
          <w:rtl/>
        </w:rPr>
        <w:t xml:space="preserve"> ו</w:t>
      </w:r>
      <w:r>
        <w:rPr>
          <w:rFonts w:cs="Arial" w:hint="cs"/>
          <w:rtl/>
        </w:rPr>
        <w:t>כ' עוד ד</w:t>
      </w:r>
      <w:r w:rsidRPr="00197C59">
        <w:rPr>
          <w:rFonts w:cs="Arial"/>
          <w:rtl/>
        </w:rPr>
        <w:t>כ</w:t>
      </w:r>
      <w:r>
        <w:rPr>
          <w:rFonts w:cs="Arial" w:hint="cs"/>
          <w:rtl/>
        </w:rPr>
        <w:t xml:space="preserve">ל </w:t>
      </w:r>
      <w:r w:rsidRPr="00197C59">
        <w:rPr>
          <w:rFonts w:cs="Arial"/>
          <w:rtl/>
        </w:rPr>
        <w:t>ז</w:t>
      </w:r>
      <w:r>
        <w:rPr>
          <w:rFonts w:cs="Arial" w:hint="cs"/>
          <w:rtl/>
        </w:rPr>
        <w:t>ה</w:t>
      </w:r>
      <w:r w:rsidRPr="00197C59">
        <w:rPr>
          <w:rFonts w:cs="Arial"/>
          <w:rtl/>
        </w:rPr>
        <w:t xml:space="preserve"> הוא לכתחלה אליבא דהלכתא דבדיעבד הכל שרי</w:t>
      </w:r>
      <w:r>
        <w:rPr>
          <w:rFonts w:hint="cs"/>
          <w:rtl/>
        </w:rPr>
        <w:t>.</w:t>
      </w:r>
    </w:p>
  </w:footnote>
  <w:footnote w:id="1761">
    <w:p w14:paraId="20A2933F" w14:textId="77777777" w:rsidR="004C5A3C" w:rsidRPr="0051477C" w:rsidRDefault="004C5A3C" w:rsidP="002C39F4">
      <w:pPr>
        <w:pStyle w:val="a5"/>
        <w:rPr>
          <w:rFonts w:cs="Arial"/>
          <w:rtl/>
        </w:rPr>
      </w:pPr>
      <w:r>
        <w:rPr>
          <w:rStyle w:val="a7"/>
        </w:rPr>
        <w:footnoteRef/>
      </w:r>
      <w:r>
        <w:rPr>
          <w:rtl/>
        </w:rPr>
        <w:t xml:space="preserve"> </w:t>
      </w:r>
      <w:r w:rsidRPr="00D6570B">
        <w:rPr>
          <w:rFonts w:cs="Arial"/>
          <w:rtl/>
        </w:rPr>
        <w:t>ונת</w:t>
      </w:r>
      <w:r>
        <w:rPr>
          <w:rFonts w:cs="Arial"/>
          <w:rtl/>
        </w:rPr>
        <w:t>ן טעם לדבר ואין טעמו נראה בעיני</w:t>
      </w:r>
      <w:r>
        <w:rPr>
          <w:rFonts w:cs="Arial" w:hint="cs"/>
          <w:sz w:val="16"/>
          <w:szCs w:val="16"/>
          <w:rtl/>
        </w:rPr>
        <w:t xml:space="preserve"> {להתיר לכתחילה אבל בדיעבד ודאי שהב"י מודה דשרי בכה"ג}</w:t>
      </w:r>
      <w:r>
        <w:rPr>
          <w:rFonts w:hint="cs"/>
          <w:rtl/>
        </w:rPr>
        <w:t>, ב"י.</w:t>
      </w:r>
      <w:r w:rsidRPr="0051477C">
        <w:rPr>
          <w:rtl/>
        </w:rPr>
        <w:t xml:space="preserve"> </w:t>
      </w:r>
      <w:r w:rsidRPr="0051477C">
        <w:rPr>
          <w:rFonts w:cs="Arial"/>
          <w:rtl/>
        </w:rPr>
        <w:t>אבל כששניהם כחושים ודאי דהב"י לא פליג</w:t>
      </w:r>
      <w:r>
        <w:rPr>
          <w:rFonts w:cs="Arial" w:hint="cs"/>
          <w:rtl/>
        </w:rPr>
        <w:t xml:space="preserve">... </w:t>
      </w:r>
      <w:r w:rsidRPr="0051477C">
        <w:rPr>
          <w:rFonts w:cs="Arial"/>
          <w:rtl/>
        </w:rPr>
        <w:t>דבששניהם כחושים אפילו לרב שרי</w:t>
      </w:r>
      <w:r>
        <w:rPr>
          <w:rFonts w:cs="Arial" w:hint="cs"/>
          <w:rtl/>
        </w:rPr>
        <w:t xml:space="preserve"> </w:t>
      </w:r>
      <w:r w:rsidRPr="006976DF">
        <w:rPr>
          <w:rFonts w:cs="Arial" w:hint="cs"/>
          <w:sz w:val="16"/>
          <w:szCs w:val="16"/>
          <w:rtl/>
        </w:rPr>
        <w:t>(ואע"ג ד</w:t>
      </w:r>
      <w:r w:rsidRPr="006976DF">
        <w:rPr>
          <w:rFonts w:cs="Arial"/>
          <w:sz w:val="16"/>
          <w:szCs w:val="16"/>
          <w:rtl/>
        </w:rPr>
        <w:t xml:space="preserve">באו"ה </w:t>
      </w:r>
      <w:r w:rsidRPr="006976DF">
        <w:rPr>
          <w:rFonts w:cs="Arial" w:hint="cs"/>
          <w:sz w:val="16"/>
          <w:szCs w:val="16"/>
          <w:rtl/>
        </w:rPr>
        <w:t>(</w:t>
      </w:r>
      <w:r w:rsidRPr="006976DF">
        <w:rPr>
          <w:rFonts w:cs="Arial"/>
          <w:sz w:val="16"/>
          <w:szCs w:val="16"/>
          <w:rtl/>
        </w:rPr>
        <w:t>כלל לט דכ"ד</w:t>
      </w:r>
      <w:r w:rsidRPr="006976DF">
        <w:rPr>
          <w:rFonts w:cs="Arial" w:hint="cs"/>
          <w:sz w:val="16"/>
          <w:szCs w:val="16"/>
          <w:rtl/>
        </w:rPr>
        <w:t>)</w:t>
      </w:r>
      <w:r w:rsidRPr="006976DF">
        <w:rPr>
          <w:rFonts w:cs="Arial"/>
          <w:sz w:val="16"/>
          <w:szCs w:val="16"/>
          <w:rtl/>
        </w:rPr>
        <w:t xml:space="preserve"> משמע דאיסור דאו</w:t>
      </w:r>
      <w:r w:rsidRPr="006976DF">
        <w:rPr>
          <w:rFonts w:cs="Arial" w:hint="cs"/>
          <w:sz w:val="16"/>
          <w:szCs w:val="16"/>
          <w:rtl/>
        </w:rPr>
        <w:t>'</w:t>
      </w:r>
      <w:r w:rsidRPr="006976DF">
        <w:rPr>
          <w:rFonts w:cs="Arial"/>
          <w:sz w:val="16"/>
          <w:szCs w:val="16"/>
          <w:rtl/>
        </w:rPr>
        <w:t xml:space="preserve"> כחוש אסור לכתחלה</w:t>
      </w:r>
      <w:r w:rsidRPr="006976DF">
        <w:rPr>
          <w:rFonts w:cs="Arial" w:hint="cs"/>
          <w:sz w:val="16"/>
          <w:szCs w:val="16"/>
          <w:rtl/>
        </w:rPr>
        <w:t>,</w:t>
      </w:r>
      <w:r w:rsidRPr="006976DF">
        <w:rPr>
          <w:rFonts w:cs="Arial"/>
          <w:sz w:val="16"/>
          <w:szCs w:val="16"/>
          <w:rtl/>
        </w:rPr>
        <w:t xml:space="preserve"> ז"א</w:t>
      </w:r>
      <w:r w:rsidRPr="006976DF">
        <w:rPr>
          <w:rFonts w:cs="Arial" w:hint="cs"/>
          <w:sz w:val="16"/>
          <w:szCs w:val="16"/>
          <w:rtl/>
        </w:rPr>
        <w:t>,</w:t>
      </w:r>
      <w:r w:rsidRPr="006976DF">
        <w:rPr>
          <w:rFonts w:cs="Arial"/>
          <w:sz w:val="16"/>
          <w:szCs w:val="16"/>
          <w:rtl/>
        </w:rPr>
        <w:t xml:space="preserve"> והכי מוכח נמי להדיא מתשובת ר"ת וראבי"ה שבש"ד </w:t>
      </w:r>
      <w:r w:rsidRPr="006976DF">
        <w:rPr>
          <w:rFonts w:cs="Arial" w:hint="cs"/>
          <w:sz w:val="16"/>
          <w:szCs w:val="16"/>
          <w:rtl/>
        </w:rPr>
        <w:t>(</w:t>
      </w:r>
      <w:r w:rsidRPr="006976DF">
        <w:rPr>
          <w:rFonts w:cs="Arial"/>
          <w:sz w:val="16"/>
          <w:szCs w:val="16"/>
          <w:rtl/>
        </w:rPr>
        <w:t>סי' לו</w:t>
      </w:r>
      <w:r w:rsidRPr="006976DF">
        <w:rPr>
          <w:rFonts w:cs="Arial" w:hint="cs"/>
          <w:sz w:val="16"/>
          <w:szCs w:val="16"/>
          <w:rtl/>
        </w:rPr>
        <w:t>)</w:t>
      </w:r>
      <w:r w:rsidRPr="006976DF">
        <w:rPr>
          <w:rFonts w:cs="Arial"/>
          <w:sz w:val="16"/>
          <w:szCs w:val="16"/>
          <w:rtl/>
        </w:rPr>
        <w:t xml:space="preserve"> ובתשו' מיימוני </w:t>
      </w:r>
      <w:r w:rsidRPr="006976DF">
        <w:rPr>
          <w:rFonts w:cs="Arial" w:hint="cs"/>
          <w:sz w:val="16"/>
          <w:szCs w:val="16"/>
          <w:rtl/>
        </w:rPr>
        <w:t>(</w:t>
      </w:r>
      <w:r w:rsidRPr="006976DF">
        <w:rPr>
          <w:rFonts w:cs="Arial"/>
          <w:sz w:val="16"/>
          <w:szCs w:val="16"/>
          <w:rtl/>
        </w:rPr>
        <w:t>המ"א סי"ו</w:t>
      </w:r>
      <w:r w:rsidRPr="006976DF">
        <w:rPr>
          <w:rFonts w:cs="Arial" w:hint="cs"/>
          <w:sz w:val="16"/>
          <w:szCs w:val="16"/>
          <w:rtl/>
        </w:rPr>
        <w:t>)</w:t>
      </w:r>
      <w:r w:rsidRPr="006976DF">
        <w:rPr>
          <w:rFonts w:cs="Arial"/>
          <w:sz w:val="16"/>
          <w:szCs w:val="16"/>
          <w:rtl/>
        </w:rPr>
        <w:t xml:space="preserve"> ובמרדכי </w:t>
      </w:r>
      <w:r w:rsidRPr="006976DF">
        <w:rPr>
          <w:rFonts w:cs="Arial" w:hint="cs"/>
          <w:sz w:val="16"/>
          <w:szCs w:val="16"/>
          <w:rtl/>
        </w:rPr>
        <w:t>(</w:t>
      </w:r>
      <w:r w:rsidRPr="006976DF">
        <w:rPr>
          <w:rFonts w:cs="Arial"/>
          <w:sz w:val="16"/>
          <w:szCs w:val="16"/>
          <w:rtl/>
        </w:rPr>
        <w:t>פכ"ש</w:t>
      </w:r>
      <w:r w:rsidRPr="006976DF">
        <w:rPr>
          <w:rFonts w:cs="Arial" w:hint="cs"/>
          <w:sz w:val="16"/>
          <w:szCs w:val="16"/>
          <w:rtl/>
        </w:rPr>
        <w:t>)</w:t>
      </w:r>
      <w:r w:rsidRPr="006976DF">
        <w:rPr>
          <w:rFonts w:cs="Arial"/>
          <w:sz w:val="16"/>
          <w:szCs w:val="16"/>
          <w:rtl/>
        </w:rPr>
        <w:t xml:space="preserve"> וברוקח </w:t>
      </w:r>
      <w:r w:rsidRPr="006976DF">
        <w:rPr>
          <w:rFonts w:cs="Arial" w:hint="cs"/>
          <w:sz w:val="16"/>
          <w:szCs w:val="16"/>
          <w:rtl/>
        </w:rPr>
        <w:t>(</w:t>
      </w:r>
      <w:r w:rsidRPr="006976DF">
        <w:rPr>
          <w:rFonts w:cs="Arial"/>
          <w:sz w:val="16"/>
          <w:szCs w:val="16"/>
          <w:rtl/>
        </w:rPr>
        <w:t>סי' רצב</w:t>
      </w:r>
      <w:r w:rsidRPr="006976DF">
        <w:rPr>
          <w:rFonts w:cs="Arial" w:hint="cs"/>
          <w:sz w:val="16"/>
          <w:szCs w:val="16"/>
          <w:rtl/>
        </w:rPr>
        <w:t>)</w:t>
      </w:r>
      <w:r>
        <w:rPr>
          <w:rFonts w:cs="Arial" w:hint="cs"/>
          <w:sz w:val="16"/>
          <w:szCs w:val="16"/>
          <w:rtl/>
        </w:rPr>
        <w:t>)</w:t>
      </w:r>
      <w:r>
        <w:rPr>
          <w:rFonts w:cs="Arial" w:hint="cs"/>
          <w:rtl/>
        </w:rPr>
        <w:t>, ש"ך (סק"א).</w:t>
      </w:r>
      <w:r w:rsidRPr="0051477C">
        <w:rPr>
          <w:rFonts w:cs="Arial"/>
          <w:rtl/>
        </w:rPr>
        <w:t xml:space="preserve"> </w:t>
      </w:r>
      <w:r>
        <w:rPr>
          <w:rFonts w:cs="Arial" w:hint="cs"/>
          <w:rtl/>
        </w:rPr>
        <w:t>וכ"כ הט"ז (סק"א) דב</w:t>
      </w:r>
      <w:r w:rsidRPr="0051477C">
        <w:rPr>
          <w:rFonts w:cs="Arial"/>
          <w:rtl/>
        </w:rPr>
        <w:t>דבר כחוש אפילו לכתחלה שרי</w:t>
      </w:r>
      <w:r>
        <w:rPr>
          <w:rFonts w:cs="Arial" w:hint="cs"/>
          <w:rtl/>
        </w:rPr>
        <w:t xml:space="preserve"> </w:t>
      </w:r>
      <w:r w:rsidRPr="006976DF">
        <w:rPr>
          <w:rFonts w:cs="Arial" w:hint="cs"/>
          <w:sz w:val="16"/>
          <w:szCs w:val="16"/>
          <w:rtl/>
        </w:rPr>
        <w:t>(וכ' עוד</w:t>
      </w:r>
      <w:r w:rsidRPr="006976DF">
        <w:rPr>
          <w:rFonts w:cs="Arial"/>
          <w:sz w:val="16"/>
          <w:szCs w:val="16"/>
          <w:rtl/>
        </w:rPr>
        <w:t xml:space="preserve"> </w:t>
      </w:r>
      <w:r w:rsidRPr="006976DF">
        <w:rPr>
          <w:rFonts w:cs="Arial" w:hint="cs"/>
          <w:sz w:val="16"/>
          <w:szCs w:val="16"/>
          <w:rtl/>
        </w:rPr>
        <w:t xml:space="preserve">דמש"כ </w:t>
      </w:r>
      <w:r w:rsidRPr="006976DF">
        <w:rPr>
          <w:rFonts w:cs="Arial"/>
          <w:sz w:val="16"/>
          <w:szCs w:val="16"/>
          <w:rtl/>
        </w:rPr>
        <w:t xml:space="preserve">בת"ח </w:t>
      </w:r>
      <w:r w:rsidRPr="006976DF">
        <w:rPr>
          <w:rFonts w:cs="Arial" w:hint="cs"/>
          <w:sz w:val="16"/>
          <w:szCs w:val="16"/>
          <w:rtl/>
        </w:rPr>
        <w:t>(</w:t>
      </w:r>
      <w:r w:rsidRPr="006976DF">
        <w:rPr>
          <w:rFonts w:cs="Arial"/>
          <w:sz w:val="16"/>
          <w:szCs w:val="16"/>
          <w:rtl/>
        </w:rPr>
        <w:t>כלל לה ד</w:t>
      </w:r>
      <w:r w:rsidRPr="006976DF">
        <w:rPr>
          <w:rFonts w:cs="Arial" w:hint="cs"/>
          <w:sz w:val="16"/>
          <w:szCs w:val="16"/>
          <w:rtl/>
        </w:rPr>
        <w:t>"</w:t>
      </w:r>
      <w:r w:rsidRPr="006976DF">
        <w:rPr>
          <w:rFonts w:cs="Arial"/>
          <w:sz w:val="16"/>
          <w:szCs w:val="16"/>
          <w:rtl/>
        </w:rPr>
        <w:t>ג</w:t>
      </w:r>
      <w:r w:rsidRPr="006976DF">
        <w:rPr>
          <w:rFonts w:cs="Arial" w:hint="cs"/>
          <w:sz w:val="16"/>
          <w:szCs w:val="16"/>
          <w:rtl/>
        </w:rPr>
        <w:t>) בשם הב"י שיש להחמיר בשניהם כחושים - לא דק. וכ"כ הש"ך</w:t>
      </w:r>
      <w:r>
        <w:rPr>
          <w:rFonts w:cs="Arial" w:hint="cs"/>
          <w:sz w:val="16"/>
          <w:szCs w:val="16"/>
          <w:rtl/>
        </w:rPr>
        <w:t>)</w:t>
      </w:r>
      <w:r>
        <w:rPr>
          <w:rFonts w:cs="Arial" w:hint="cs"/>
          <w:rtl/>
        </w:rPr>
        <w:t>, וכ' עוד ד</w:t>
      </w:r>
      <w:r w:rsidRPr="0051477C">
        <w:rPr>
          <w:rFonts w:cs="Arial"/>
          <w:rtl/>
        </w:rPr>
        <w:t>בפת כתבו הפוסקים בשם ר"ת שאין שייך בו ריח כלל משום הכי אין אוסר פת חמץ בפסח שנאפית עם מצה</w:t>
      </w:r>
      <w:r>
        <w:rPr>
          <w:rFonts w:cs="Arial" w:hint="cs"/>
          <w:rtl/>
        </w:rPr>
        <w:t xml:space="preserve">. וכ"כ הש"ך  </w:t>
      </w:r>
      <w:r>
        <w:rPr>
          <w:rFonts w:cs="Arial" w:hint="cs"/>
          <w:sz w:val="16"/>
          <w:szCs w:val="16"/>
          <w:rtl/>
        </w:rPr>
        <w:t xml:space="preserve">(סקט"ו. </w:t>
      </w:r>
      <w:r w:rsidRPr="006976DF">
        <w:rPr>
          <w:rFonts w:cs="Arial" w:hint="cs"/>
          <w:sz w:val="16"/>
          <w:szCs w:val="16"/>
          <w:rtl/>
        </w:rPr>
        <w:t>וכ' שם שכן הוא ב</w:t>
      </w:r>
      <w:r w:rsidRPr="006976DF">
        <w:rPr>
          <w:rFonts w:cs="Arial"/>
          <w:sz w:val="16"/>
          <w:szCs w:val="16"/>
          <w:rtl/>
        </w:rPr>
        <w:t>תשו</w:t>
      </w:r>
      <w:r w:rsidRPr="006976DF">
        <w:rPr>
          <w:rFonts w:cs="Arial" w:hint="cs"/>
          <w:sz w:val="16"/>
          <w:szCs w:val="16"/>
          <w:rtl/>
        </w:rPr>
        <w:t>'</w:t>
      </w:r>
      <w:r w:rsidRPr="006976DF">
        <w:rPr>
          <w:rFonts w:cs="Arial"/>
          <w:sz w:val="16"/>
          <w:szCs w:val="16"/>
          <w:rtl/>
        </w:rPr>
        <w:t xml:space="preserve"> מיי' </w:t>
      </w:r>
      <w:r w:rsidRPr="006976DF">
        <w:rPr>
          <w:rFonts w:cs="Arial" w:hint="cs"/>
          <w:sz w:val="16"/>
          <w:szCs w:val="16"/>
          <w:rtl/>
        </w:rPr>
        <w:t xml:space="preserve">(קדושה סי' ו) </w:t>
      </w:r>
      <w:r w:rsidRPr="006976DF">
        <w:rPr>
          <w:rFonts w:cs="Arial"/>
          <w:sz w:val="16"/>
          <w:szCs w:val="16"/>
          <w:rtl/>
        </w:rPr>
        <w:t>וש</w:t>
      </w:r>
      <w:r w:rsidRPr="006976DF">
        <w:rPr>
          <w:rFonts w:cs="Arial" w:hint="cs"/>
          <w:sz w:val="16"/>
          <w:szCs w:val="16"/>
          <w:rtl/>
        </w:rPr>
        <w:t>ע</w:t>
      </w:r>
      <w:r w:rsidRPr="006976DF">
        <w:rPr>
          <w:rFonts w:cs="Arial"/>
          <w:sz w:val="16"/>
          <w:szCs w:val="16"/>
          <w:rtl/>
        </w:rPr>
        <w:t xml:space="preserve">"ד </w:t>
      </w:r>
      <w:r w:rsidRPr="006976DF">
        <w:rPr>
          <w:rFonts w:cs="Arial" w:hint="cs"/>
          <w:sz w:val="16"/>
          <w:szCs w:val="16"/>
          <w:rtl/>
        </w:rPr>
        <w:t>(</w:t>
      </w:r>
      <w:r w:rsidRPr="006976DF">
        <w:rPr>
          <w:rFonts w:cs="Arial"/>
          <w:sz w:val="16"/>
          <w:szCs w:val="16"/>
          <w:rtl/>
        </w:rPr>
        <w:t>סי' לו</w:t>
      </w:r>
      <w:r w:rsidRPr="006976DF">
        <w:rPr>
          <w:rFonts w:cs="Arial" w:hint="cs"/>
          <w:sz w:val="16"/>
          <w:szCs w:val="16"/>
          <w:rtl/>
        </w:rPr>
        <w:t>)</w:t>
      </w:r>
      <w:r w:rsidRPr="006976DF">
        <w:rPr>
          <w:rFonts w:cs="Arial"/>
          <w:sz w:val="16"/>
          <w:szCs w:val="16"/>
          <w:rtl/>
        </w:rPr>
        <w:t xml:space="preserve"> ורוקח </w:t>
      </w:r>
      <w:r w:rsidRPr="006976DF">
        <w:rPr>
          <w:rFonts w:cs="Arial" w:hint="cs"/>
          <w:sz w:val="16"/>
          <w:szCs w:val="16"/>
          <w:rtl/>
        </w:rPr>
        <w:t>(</w:t>
      </w:r>
      <w:r w:rsidRPr="006976DF">
        <w:rPr>
          <w:rFonts w:cs="Arial"/>
          <w:sz w:val="16"/>
          <w:szCs w:val="16"/>
          <w:rtl/>
        </w:rPr>
        <w:t>סי' ר</w:t>
      </w:r>
      <w:r w:rsidRPr="006976DF">
        <w:rPr>
          <w:rFonts w:cs="Arial" w:hint="cs"/>
          <w:sz w:val="16"/>
          <w:szCs w:val="16"/>
          <w:rtl/>
        </w:rPr>
        <w:t>צ</w:t>
      </w:r>
      <w:r w:rsidRPr="006976DF">
        <w:rPr>
          <w:rFonts w:cs="Arial"/>
          <w:sz w:val="16"/>
          <w:szCs w:val="16"/>
          <w:rtl/>
        </w:rPr>
        <w:t>ב</w:t>
      </w:r>
      <w:r w:rsidRPr="006976DF">
        <w:rPr>
          <w:rFonts w:cs="Arial" w:hint="cs"/>
          <w:sz w:val="16"/>
          <w:szCs w:val="16"/>
          <w:rtl/>
        </w:rPr>
        <w:t>)</w:t>
      </w:r>
      <w:r>
        <w:rPr>
          <w:rFonts w:cs="Arial" w:hint="cs"/>
          <w:sz w:val="16"/>
          <w:szCs w:val="16"/>
          <w:rtl/>
        </w:rPr>
        <w:t>)</w:t>
      </w:r>
      <w:r>
        <w:rPr>
          <w:rFonts w:cs="Arial" w:hint="cs"/>
          <w:rtl/>
        </w:rPr>
        <w:t>.</w:t>
      </w:r>
    </w:p>
  </w:footnote>
  <w:footnote w:id="1762">
    <w:p w14:paraId="17F78F90" w14:textId="77777777" w:rsidR="004C5A3C" w:rsidRDefault="004C5A3C" w:rsidP="002C39F4">
      <w:pPr>
        <w:pStyle w:val="a5"/>
        <w:rPr>
          <w:rtl/>
        </w:rPr>
      </w:pPr>
      <w:r>
        <w:rPr>
          <w:rStyle w:val="a7"/>
        </w:rPr>
        <w:footnoteRef/>
      </w:r>
      <w:r>
        <w:rPr>
          <w:rtl/>
        </w:rPr>
        <w:t xml:space="preserve"> </w:t>
      </w:r>
      <w:r w:rsidRPr="00C71914">
        <w:rPr>
          <w:rFonts w:cs="Arial"/>
          <w:rtl/>
        </w:rPr>
        <w:t>והפריז על המדה, דבפרק בתרא דע</w:t>
      </w:r>
      <w:r>
        <w:rPr>
          <w:rFonts w:cs="Arial" w:hint="cs"/>
          <w:rtl/>
        </w:rPr>
        <w:t>"ז</w:t>
      </w:r>
      <w:r w:rsidRPr="00C71914">
        <w:rPr>
          <w:rFonts w:cs="Arial"/>
          <w:rtl/>
        </w:rPr>
        <w:t xml:space="preserve"> </w:t>
      </w:r>
      <w:r>
        <w:rPr>
          <w:rFonts w:cs="Arial" w:hint="cs"/>
          <w:rtl/>
        </w:rPr>
        <w:t>(</w:t>
      </w:r>
      <w:r w:rsidRPr="00C71914">
        <w:rPr>
          <w:rFonts w:cs="Arial"/>
          <w:rtl/>
        </w:rPr>
        <w:t>שם</w:t>
      </w:r>
      <w:r>
        <w:rPr>
          <w:rFonts w:cs="Arial" w:hint="cs"/>
          <w:rtl/>
        </w:rPr>
        <w:t>)</w:t>
      </w:r>
      <w:r w:rsidRPr="00C71914">
        <w:rPr>
          <w:rFonts w:cs="Arial"/>
          <w:rtl/>
        </w:rPr>
        <w:t xml:space="preserve"> מוכח דלרבא דקיי</w:t>
      </w:r>
      <w:r>
        <w:rPr>
          <w:rFonts w:cs="Arial" w:hint="cs"/>
          <w:rtl/>
        </w:rPr>
        <w:t>"ל</w:t>
      </w:r>
      <w:r w:rsidRPr="00C71914">
        <w:rPr>
          <w:rFonts w:cs="Arial"/>
          <w:rtl/>
        </w:rPr>
        <w:t xml:space="preserve"> כותיה לא שאני ליה בין קלי איסורא ללא קלי, ובכל גוונא משמע דאם אפו פת וכמון של תרומה בצדו ליתן בו ריח דמשרא שרי ואף בתנור קטן ופיו סתום בדיעבד שרי, דלא עדיף מפת חמה וחבית פתוחה דקי</w:t>
      </w:r>
      <w:r>
        <w:rPr>
          <w:rFonts w:cs="Arial" w:hint="cs"/>
          <w:rtl/>
        </w:rPr>
        <w:t>י"ל</w:t>
      </w:r>
      <w:r w:rsidRPr="00C71914">
        <w:rPr>
          <w:rFonts w:cs="Arial"/>
          <w:rtl/>
        </w:rPr>
        <w:t xml:space="preserve"> דשרי וכשיטת הרי"ף </w:t>
      </w:r>
      <w:r>
        <w:rPr>
          <w:rFonts w:cs="Arial" w:hint="cs"/>
          <w:rtl/>
        </w:rPr>
        <w:t>(</w:t>
      </w:r>
      <w:r w:rsidRPr="00C71914">
        <w:rPr>
          <w:rFonts w:cs="Arial"/>
          <w:rtl/>
        </w:rPr>
        <w:t>חולין לב</w:t>
      </w:r>
      <w:r>
        <w:rPr>
          <w:rFonts w:cs="Arial" w:hint="cs"/>
          <w:rtl/>
        </w:rPr>
        <w:t>.)</w:t>
      </w:r>
      <w:r w:rsidRPr="00C71914">
        <w:rPr>
          <w:rFonts w:cs="Arial"/>
          <w:rtl/>
        </w:rPr>
        <w:t xml:space="preserve"> והרמב"ם </w:t>
      </w:r>
      <w:r>
        <w:rPr>
          <w:rFonts w:cs="Arial" w:hint="cs"/>
          <w:rtl/>
        </w:rPr>
        <w:t>(</w:t>
      </w:r>
      <w:r w:rsidRPr="00C71914">
        <w:rPr>
          <w:rFonts w:cs="Arial"/>
          <w:rtl/>
        </w:rPr>
        <w:t>תרומות טו, יג</w:t>
      </w:r>
      <w:r>
        <w:rPr>
          <w:rFonts w:cs="Arial" w:hint="cs"/>
          <w:rtl/>
        </w:rPr>
        <w:t>)</w:t>
      </w:r>
      <w:r w:rsidRPr="00C71914">
        <w:rPr>
          <w:rFonts w:cs="Arial"/>
          <w:rtl/>
        </w:rPr>
        <w:t xml:space="preserve"> והרשב"א </w:t>
      </w:r>
      <w:r>
        <w:rPr>
          <w:rFonts w:cs="Arial" w:hint="cs"/>
          <w:rtl/>
        </w:rPr>
        <w:t>(</w:t>
      </w:r>
      <w:r w:rsidRPr="00C71914">
        <w:rPr>
          <w:rFonts w:cs="Arial"/>
          <w:rtl/>
        </w:rPr>
        <w:t>תו</w:t>
      </w:r>
      <w:r>
        <w:rPr>
          <w:rFonts w:cs="Arial" w:hint="cs"/>
          <w:rtl/>
        </w:rPr>
        <w:t>ה"ב ב"ד</w:t>
      </w:r>
      <w:r w:rsidRPr="00C71914">
        <w:rPr>
          <w:rFonts w:cs="Arial"/>
          <w:rtl/>
        </w:rPr>
        <w:t xml:space="preserve"> ש</w:t>
      </w:r>
      <w:r>
        <w:rPr>
          <w:rFonts w:cs="Arial" w:hint="cs"/>
          <w:rtl/>
        </w:rPr>
        <w:t>"</w:t>
      </w:r>
      <w:r w:rsidRPr="00C71914">
        <w:rPr>
          <w:rFonts w:cs="Arial"/>
          <w:rtl/>
        </w:rPr>
        <w:t>א טו</w:t>
      </w:r>
      <w:r>
        <w:rPr>
          <w:rFonts w:ascii="Segoe UI Emoji" w:eastAsia="Segoe UI Emoji" w:hAnsi="Segoe UI Emoji" w:cs="Times New Roman" w:hint="cs"/>
          <w:rtl/>
        </w:rPr>
        <w:t>:)</w:t>
      </w:r>
      <w:r w:rsidRPr="00C71914">
        <w:rPr>
          <w:rFonts w:cs="Arial"/>
          <w:rtl/>
        </w:rPr>
        <w:t xml:space="preserve"> וכדלקמן בסקי"ח ועיקר</w:t>
      </w:r>
      <w:r>
        <w:rPr>
          <w:rFonts w:hint="cs"/>
          <w:rtl/>
        </w:rPr>
        <w:t>, פר"ח (סי' קח סק"ח).</w:t>
      </w:r>
    </w:p>
  </w:footnote>
  <w:footnote w:id="1763">
    <w:p w14:paraId="0F4B3938" w14:textId="77777777" w:rsidR="004C5A3C" w:rsidRDefault="004C5A3C" w:rsidP="002C39F4">
      <w:pPr>
        <w:pStyle w:val="a5"/>
        <w:rPr>
          <w:rtl/>
        </w:rPr>
      </w:pPr>
      <w:r>
        <w:rPr>
          <w:rStyle w:val="a7"/>
        </w:rPr>
        <w:footnoteRef/>
      </w:r>
      <w:r>
        <w:rPr>
          <w:rtl/>
        </w:rPr>
        <w:t xml:space="preserve"> </w:t>
      </w:r>
      <w:r w:rsidRPr="00D831EA">
        <w:rPr>
          <w:rFonts w:cs="Arial"/>
          <w:rtl/>
        </w:rPr>
        <w:t>לא איירי כאן אלא מדין איסור אבל מסכנתא לא מיירי וזה יתבאר בר"ס קי"ו בס"ד ע"ש</w:t>
      </w:r>
      <w:r>
        <w:rPr>
          <w:rFonts w:cs="Arial" w:hint="cs"/>
          <w:rtl/>
        </w:rPr>
        <w:t>, ש"ך (סק"ג).</w:t>
      </w:r>
    </w:p>
  </w:footnote>
  <w:footnote w:id="1764">
    <w:p w14:paraId="53DECBC5" w14:textId="77777777" w:rsidR="004C5A3C" w:rsidRDefault="004C5A3C" w:rsidP="002C39F4">
      <w:pPr>
        <w:pStyle w:val="a5"/>
      </w:pPr>
      <w:r>
        <w:rPr>
          <w:rStyle w:val="a7"/>
        </w:rPr>
        <w:footnoteRef/>
      </w:r>
      <w:r>
        <w:rPr>
          <w:rtl/>
        </w:rPr>
        <w:t xml:space="preserve"> </w:t>
      </w:r>
      <w:r>
        <w:rPr>
          <w:rFonts w:cs="Arial"/>
          <w:rtl/>
        </w:rPr>
        <w:t>ואע</w:t>
      </w:r>
      <w:r>
        <w:rPr>
          <w:rFonts w:cs="Arial" w:hint="cs"/>
          <w:rtl/>
        </w:rPr>
        <w:t>"</w:t>
      </w:r>
      <w:r>
        <w:rPr>
          <w:rFonts w:cs="Arial"/>
          <w:rtl/>
        </w:rPr>
        <w:t>ג</w:t>
      </w:r>
      <w:r w:rsidRPr="00D831EA">
        <w:rPr>
          <w:rFonts w:cs="Arial"/>
          <w:rtl/>
        </w:rPr>
        <w:t xml:space="preserve"> דלקמן ר"ס ק"ח אם צלו בשר כשרה עם בשר נבילה בתנור א' אפי' קטן מותר בדיעבד הכא כיון דאפשר לאכלו בלא חלב הוי כלכתחלה</w:t>
      </w:r>
      <w:r>
        <w:rPr>
          <w:rFonts w:cs="Arial" w:hint="cs"/>
          <w:rtl/>
        </w:rPr>
        <w:t>,</w:t>
      </w:r>
      <w:r w:rsidRPr="00D831EA">
        <w:rPr>
          <w:rFonts w:cs="Arial"/>
          <w:rtl/>
        </w:rPr>
        <w:t xml:space="preserve"> וע"ל סי' ק"ח שם יתבארו על נכון דיני ריחא מילתא כי שם מקומם</w:t>
      </w:r>
      <w:r>
        <w:rPr>
          <w:rFonts w:cs="Arial" w:hint="cs"/>
          <w:rtl/>
        </w:rPr>
        <w:t>, ש"ך (סק"ד).</w:t>
      </w:r>
    </w:p>
  </w:footnote>
  <w:footnote w:id="1765">
    <w:p w14:paraId="253C27C6" w14:textId="77777777" w:rsidR="004C5A3C" w:rsidRDefault="004C5A3C" w:rsidP="002C39F4">
      <w:pPr>
        <w:pStyle w:val="a5"/>
      </w:pPr>
      <w:r>
        <w:rPr>
          <w:rStyle w:val="a7"/>
        </w:rPr>
        <w:footnoteRef/>
      </w:r>
      <w:r>
        <w:rPr>
          <w:rtl/>
        </w:rPr>
        <w:t xml:space="preserve"> </w:t>
      </w:r>
      <w:r w:rsidRPr="00D831EA">
        <w:rPr>
          <w:rFonts w:cs="Arial"/>
          <w:rtl/>
        </w:rPr>
        <w:t>וכל עשרון הוא שיעור חלה מ"ג ביצים וחומש ביצה</w:t>
      </w:r>
      <w:r>
        <w:rPr>
          <w:rFonts w:cs="Arial" w:hint="cs"/>
          <w:rtl/>
        </w:rPr>
        <w:t>, ש"ך</w:t>
      </w:r>
      <w:r w:rsidRPr="0037011B">
        <w:rPr>
          <w:rFonts w:cs="Arial" w:hint="cs"/>
          <w:sz w:val="16"/>
          <w:szCs w:val="16"/>
          <w:rtl/>
        </w:rPr>
        <w:t xml:space="preserve"> (סק"ה)</w:t>
      </w:r>
      <w:r>
        <w:rPr>
          <w:rFonts w:cs="Arial" w:hint="cs"/>
          <w:rtl/>
        </w:rPr>
        <w:t>.</w:t>
      </w:r>
      <w:r w:rsidRPr="0037011B">
        <w:rPr>
          <w:rtl/>
        </w:rPr>
        <w:t xml:space="preserve"> </w:t>
      </w:r>
      <w:r>
        <w:rPr>
          <w:rFonts w:cs="Arial" w:hint="cs"/>
          <w:rtl/>
        </w:rPr>
        <w:t xml:space="preserve">וכ' </w:t>
      </w:r>
      <w:r w:rsidRPr="0037011B">
        <w:rPr>
          <w:rFonts w:cs="Arial"/>
          <w:rtl/>
        </w:rPr>
        <w:t xml:space="preserve">יד אליהו </w:t>
      </w:r>
      <w:r w:rsidRPr="0037011B">
        <w:rPr>
          <w:rFonts w:cs="Arial" w:hint="cs"/>
          <w:sz w:val="16"/>
          <w:szCs w:val="16"/>
          <w:rtl/>
        </w:rPr>
        <w:t>(</w:t>
      </w:r>
      <w:r w:rsidRPr="0037011B">
        <w:rPr>
          <w:rFonts w:cs="Arial"/>
          <w:sz w:val="16"/>
          <w:szCs w:val="16"/>
          <w:rtl/>
        </w:rPr>
        <w:t>סי' כה</w:t>
      </w:r>
      <w:r w:rsidRPr="0037011B">
        <w:rPr>
          <w:rFonts w:cs="Arial" w:hint="cs"/>
          <w:sz w:val="16"/>
          <w:szCs w:val="16"/>
          <w:rtl/>
        </w:rPr>
        <w:t>, הביאו הפת"ש סק"ז)</w:t>
      </w:r>
      <w:r w:rsidRPr="0037011B">
        <w:rPr>
          <w:rFonts w:cs="Arial"/>
          <w:rtl/>
        </w:rPr>
        <w:t xml:space="preserve"> דא</w:t>
      </w:r>
      <w:r>
        <w:rPr>
          <w:rFonts w:cs="Arial" w:hint="cs"/>
          <w:rtl/>
        </w:rPr>
        <w:t>"צ</w:t>
      </w:r>
      <w:r w:rsidRPr="0037011B">
        <w:rPr>
          <w:rFonts w:cs="Arial"/>
          <w:rtl/>
        </w:rPr>
        <w:t xml:space="preserve"> שיהא קרקעיתו של תנור מחזיק כ</w:t>
      </w:r>
      <w:r>
        <w:rPr>
          <w:rFonts w:cs="Arial" w:hint="cs"/>
          <w:rtl/>
        </w:rPr>
        <w:t>"</w:t>
      </w:r>
      <w:r w:rsidRPr="0037011B">
        <w:rPr>
          <w:rFonts w:cs="Arial"/>
          <w:rtl/>
        </w:rPr>
        <w:t>כ</w:t>
      </w:r>
      <w:r>
        <w:rPr>
          <w:rFonts w:cs="Arial" w:hint="cs"/>
          <w:rtl/>
        </w:rPr>
        <w:t>,</w:t>
      </w:r>
      <w:r w:rsidRPr="0037011B">
        <w:rPr>
          <w:rFonts w:cs="Arial"/>
          <w:rtl/>
        </w:rPr>
        <w:t xml:space="preserve"> אלא שיהא כל חלל התנור מחזיק כ</w:t>
      </w:r>
      <w:r>
        <w:rPr>
          <w:rFonts w:cs="Arial" w:hint="cs"/>
          <w:rtl/>
        </w:rPr>
        <w:t>"</w:t>
      </w:r>
      <w:r w:rsidRPr="0037011B">
        <w:rPr>
          <w:rFonts w:cs="Arial"/>
          <w:rtl/>
        </w:rPr>
        <w:t>כ</w:t>
      </w:r>
      <w:r>
        <w:rPr>
          <w:rFonts w:cs="Arial" w:hint="cs"/>
          <w:rtl/>
        </w:rPr>
        <w:t>,</w:t>
      </w:r>
      <w:r w:rsidRPr="0037011B">
        <w:rPr>
          <w:rFonts w:cs="Arial"/>
          <w:rtl/>
        </w:rPr>
        <w:t xml:space="preserve"> </w:t>
      </w:r>
      <w:r>
        <w:rPr>
          <w:rFonts w:cs="Arial" w:hint="cs"/>
          <w:rtl/>
        </w:rPr>
        <w:t>אך</w:t>
      </w:r>
      <w:r w:rsidRPr="0037011B">
        <w:rPr>
          <w:rFonts w:cs="Arial"/>
          <w:rtl/>
        </w:rPr>
        <w:t xml:space="preserve"> </w:t>
      </w:r>
      <w:r>
        <w:rPr>
          <w:rFonts w:cs="Arial" w:hint="cs"/>
          <w:rtl/>
        </w:rPr>
        <w:t>ה</w:t>
      </w:r>
      <w:r w:rsidRPr="0037011B">
        <w:rPr>
          <w:rFonts w:cs="Arial"/>
          <w:rtl/>
        </w:rPr>
        <w:t xml:space="preserve">פמ"ג </w:t>
      </w:r>
      <w:r>
        <w:rPr>
          <w:rFonts w:cs="Arial" w:hint="cs"/>
          <w:rtl/>
        </w:rPr>
        <w:t>כ'</w:t>
      </w:r>
      <w:r w:rsidRPr="0037011B">
        <w:rPr>
          <w:rFonts w:cs="Arial"/>
          <w:rtl/>
        </w:rPr>
        <w:t xml:space="preserve"> דבעינן שיהא קרקעית התנור מחזיק י"ב עשרונים מפת עבה טפח</w:t>
      </w:r>
      <w:r>
        <w:rPr>
          <w:rFonts w:cs="Arial" w:hint="cs"/>
          <w:rtl/>
        </w:rPr>
        <w:t>.</w:t>
      </w:r>
    </w:p>
  </w:footnote>
  <w:footnote w:id="1766">
    <w:p w14:paraId="0FCE9D4A" w14:textId="77777777" w:rsidR="004C5A3C" w:rsidRDefault="004C5A3C" w:rsidP="002C39F4">
      <w:pPr>
        <w:pStyle w:val="a5"/>
      </w:pPr>
      <w:r>
        <w:rPr>
          <w:rStyle w:val="a7"/>
        </w:rPr>
        <w:footnoteRef/>
      </w:r>
      <w:r>
        <w:rPr>
          <w:rtl/>
        </w:rPr>
        <w:t xml:space="preserve"> </w:t>
      </w:r>
      <w:r>
        <w:rPr>
          <w:rFonts w:cs="Arial"/>
          <w:rtl/>
        </w:rPr>
        <w:t xml:space="preserve">כמ"ש בפכ"צ </w:t>
      </w:r>
      <w:r w:rsidRPr="00F72D14">
        <w:rPr>
          <w:rFonts w:cs="Arial"/>
          <w:sz w:val="16"/>
          <w:szCs w:val="16"/>
          <w:rtl/>
        </w:rPr>
        <w:t>(עו</w:t>
      </w:r>
      <w:r w:rsidRPr="00F72D14">
        <w:rPr>
          <w:rFonts w:cs="Arial" w:hint="cs"/>
          <w:sz w:val="16"/>
          <w:szCs w:val="16"/>
          <w:rtl/>
        </w:rPr>
        <w:t>:</w:t>
      </w:r>
      <w:r w:rsidRPr="00F72D14">
        <w:rPr>
          <w:rFonts w:cs="Arial"/>
          <w:sz w:val="16"/>
          <w:szCs w:val="16"/>
          <w:rtl/>
        </w:rPr>
        <w:t xml:space="preserve">) </w:t>
      </w:r>
      <w:r w:rsidRPr="00F72D14">
        <w:rPr>
          <w:rFonts w:cs="Arial"/>
          <w:rtl/>
        </w:rPr>
        <w:t xml:space="preserve">כעין </w:t>
      </w:r>
      <w:r>
        <w:rPr>
          <w:rFonts w:cs="Arial" w:hint="cs"/>
          <w:rtl/>
        </w:rPr>
        <w:t>ב'</w:t>
      </w:r>
      <w:r w:rsidRPr="00F72D14">
        <w:rPr>
          <w:rFonts w:cs="Arial"/>
          <w:rtl/>
        </w:rPr>
        <w:t xml:space="preserve"> קדירות</w:t>
      </w:r>
      <w:r>
        <w:rPr>
          <w:rFonts w:cs="Arial" w:hint="cs"/>
          <w:rtl/>
        </w:rPr>
        <w:t>,</w:t>
      </w:r>
      <w:r w:rsidRPr="00F72D14">
        <w:rPr>
          <w:rFonts w:cs="Arial"/>
          <w:rtl/>
        </w:rPr>
        <w:t xml:space="preserve"> </w:t>
      </w:r>
      <w:r>
        <w:rPr>
          <w:rFonts w:cs="Arial"/>
          <w:rtl/>
        </w:rPr>
        <w:t xml:space="preserve">ובע"ז </w:t>
      </w:r>
      <w:r w:rsidRPr="00F72D14">
        <w:rPr>
          <w:rFonts w:cs="Arial" w:hint="cs"/>
          <w:sz w:val="16"/>
          <w:szCs w:val="16"/>
          <w:rtl/>
        </w:rPr>
        <w:t>(</w:t>
      </w:r>
      <w:r>
        <w:rPr>
          <w:rFonts w:cs="Arial" w:hint="cs"/>
          <w:sz w:val="16"/>
          <w:szCs w:val="16"/>
          <w:rtl/>
        </w:rPr>
        <w:t>סו:</w:t>
      </w:r>
      <w:r w:rsidRPr="00F72D14">
        <w:rPr>
          <w:rFonts w:cs="Arial" w:hint="cs"/>
          <w:sz w:val="16"/>
          <w:szCs w:val="16"/>
          <w:rtl/>
        </w:rPr>
        <w:t>)</w:t>
      </w:r>
      <w:r w:rsidRPr="00F72D14">
        <w:rPr>
          <w:rFonts w:cs="Arial"/>
          <w:sz w:val="16"/>
          <w:szCs w:val="16"/>
          <w:rtl/>
        </w:rPr>
        <w:t xml:space="preserve"> </w:t>
      </w:r>
      <w:r>
        <w:rPr>
          <w:rFonts w:cs="Arial"/>
          <w:rtl/>
        </w:rPr>
        <w:t>בחבית סתומה דמותר אפי</w:t>
      </w:r>
      <w:r>
        <w:rPr>
          <w:rFonts w:cs="Arial" w:hint="cs"/>
          <w:rtl/>
        </w:rPr>
        <w:t>'</w:t>
      </w:r>
      <w:r w:rsidRPr="00F72D14">
        <w:rPr>
          <w:rFonts w:cs="Arial"/>
          <w:rtl/>
        </w:rPr>
        <w:t xml:space="preserve"> בפת חמה לר' יהודה</w:t>
      </w:r>
      <w:r>
        <w:rPr>
          <w:rFonts w:cs="Arial" w:hint="cs"/>
          <w:rtl/>
        </w:rPr>
        <w:t>,</w:t>
      </w:r>
      <w:r w:rsidRPr="00F72D14">
        <w:rPr>
          <w:rFonts w:cs="Arial"/>
          <w:rtl/>
        </w:rPr>
        <w:t xml:space="preserve"> וכן לר' יוסי בחטים</w:t>
      </w:r>
      <w:r>
        <w:rPr>
          <w:rFonts w:cs="Arial" w:hint="cs"/>
          <w:rtl/>
        </w:rPr>
        <w:t>, גר"א</w:t>
      </w:r>
      <w:r w:rsidRPr="00F72D14">
        <w:rPr>
          <w:rFonts w:cs="Arial" w:hint="cs"/>
          <w:sz w:val="16"/>
          <w:szCs w:val="16"/>
          <w:rtl/>
        </w:rPr>
        <w:t xml:space="preserve"> (סק"ו)</w:t>
      </w:r>
      <w:r>
        <w:rPr>
          <w:rFonts w:cs="Arial" w:hint="cs"/>
          <w:rtl/>
        </w:rPr>
        <w:t>.</w:t>
      </w:r>
    </w:p>
  </w:footnote>
  <w:footnote w:id="1767">
    <w:p w14:paraId="0474E8DE" w14:textId="77777777" w:rsidR="004C5A3C" w:rsidRDefault="004C5A3C" w:rsidP="002C39F4">
      <w:pPr>
        <w:pStyle w:val="a5"/>
      </w:pPr>
      <w:r>
        <w:rPr>
          <w:rStyle w:val="a7"/>
        </w:rPr>
        <w:footnoteRef/>
      </w:r>
      <w:r>
        <w:rPr>
          <w:rtl/>
        </w:rPr>
        <w:t xml:space="preserve"> </w:t>
      </w:r>
      <w:r>
        <w:rPr>
          <w:rFonts w:cs="Arial"/>
          <w:rtl/>
        </w:rPr>
        <w:t>וכ</w:t>
      </w:r>
      <w:r>
        <w:rPr>
          <w:rFonts w:cs="Arial" w:hint="cs"/>
          <w:rtl/>
        </w:rPr>
        <w:t>'</w:t>
      </w:r>
      <w:r>
        <w:rPr>
          <w:rFonts w:cs="Arial"/>
          <w:rtl/>
        </w:rPr>
        <w:t xml:space="preserve"> עליו הר"ן </w:t>
      </w:r>
      <w:r w:rsidRPr="00731318">
        <w:rPr>
          <w:rFonts w:cs="Arial"/>
          <w:sz w:val="16"/>
          <w:szCs w:val="16"/>
          <w:rtl/>
        </w:rPr>
        <w:t>(לד. ד"ה ומין במינו)</w:t>
      </w:r>
      <w:r>
        <w:rPr>
          <w:rFonts w:cs="Arial"/>
          <w:rtl/>
        </w:rPr>
        <w:t xml:space="preserve"> דלא מחוור</w:t>
      </w:r>
      <w:r>
        <w:rPr>
          <w:rFonts w:cs="Arial" w:hint="cs"/>
          <w:rtl/>
        </w:rPr>
        <w:t>,</w:t>
      </w:r>
      <w:r>
        <w:rPr>
          <w:rFonts w:cs="Arial"/>
          <w:rtl/>
        </w:rPr>
        <w:t xml:space="preserve"> דמדאמרינן סמכינן אקפילא משמע דלקולא סמכינן עליה</w:t>
      </w:r>
      <w:r>
        <w:rPr>
          <w:rFonts w:cs="Arial" w:hint="cs"/>
          <w:rtl/>
        </w:rPr>
        <w:t>,</w:t>
      </w:r>
      <w:r>
        <w:rPr>
          <w:rFonts w:cs="Arial"/>
          <w:rtl/>
        </w:rPr>
        <w:t xml:space="preserve"> ולפי דבריו אינו בא אלא לאסו</w:t>
      </w:r>
      <w:r>
        <w:rPr>
          <w:rFonts w:cs="Arial" w:hint="cs"/>
          <w:rtl/>
        </w:rPr>
        <w:t>ר</w:t>
      </w:r>
      <w:r>
        <w:rPr>
          <w:rFonts w:cs="Arial"/>
          <w:rtl/>
        </w:rPr>
        <w:t xml:space="preserve"> דהא כל היכא דאיכא </w:t>
      </w:r>
      <w:r>
        <w:rPr>
          <w:rFonts w:cs="Arial" w:hint="cs"/>
          <w:rtl/>
        </w:rPr>
        <w:t>ס'</w:t>
      </w:r>
      <w:r>
        <w:rPr>
          <w:rFonts w:cs="Arial"/>
          <w:rtl/>
        </w:rPr>
        <w:t xml:space="preserve"> אי ליכא קפילא ודאי שרי</w:t>
      </w:r>
      <w:r>
        <w:rPr>
          <w:rFonts w:cs="Arial" w:hint="cs"/>
          <w:rtl/>
        </w:rPr>
        <w:t>. עכ"ל.</w:t>
      </w:r>
      <w:r>
        <w:rPr>
          <w:rFonts w:cs="Arial"/>
          <w:rtl/>
        </w:rPr>
        <w:t xml:space="preserve"> וגם הרא"ש</w:t>
      </w:r>
      <w:r w:rsidRPr="00CA74DD">
        <w:rPr>
          <w:rFonts w:cs="Arial"/>
          <w:sz w:val="16"/>
          <w:szCs w:val="16"/>
          <w:rtl/>
        </w:rPr>
        <w:t xml:space="preserve"> (פ"ז סי' כט) </w:t>
      </w:r>
      <w:r>
        <w:rPr>
          <w:rFonts w:cs="Arial"/>
          <w:rtl/>
        </w:rPr>
        <w:t>כ</w:t>
      </w:r>
      <w:r>
        <w:rPr>
          <w:rFonts w:cs="Arial" w:hint="cs"/>
          <w:rtl/>
        </w:rPr>
        <w:t>'</w:t>
      </w:r>
      <w:r>
        <w:rPr>
          <w:rFonts w:cs="Arial"/>
          <w:rtl/>
        </w:rPr>
        <w:t xml:space="preserve"> על דברי רש"י לישנא דסמכינן אקפילא לא משמע כן דאם היה בו </w:t>
      </w:r>
      <w:r>
        <w:rPr>
          <w:rFonts w:cs="Arial" w:hint="cs"/>
          <w:rtl/>
        </w:rPr>
        <w:t>ס'</w:t>
      </w:r>
      <w:r>
        <w:rPr>
          <w:rFonts w:cs="Arial"/>
          <w:rtl/>
        </w:rPr>
        <w:t xml:space="preserve"> מאי רבותא דסמכינן עליה אלא משמע דסמכינן אטעימה דידיה אפילו בפחות </w:t>
      </w:r>
      <w:r>
        <w:rPr>
          <w:rFonts w:cs="Arial" w:hint="cs"/>
          <w:rtl/>
        </w:rPr>
        <w:t>מס'</w:t>
      </w:r>
      <w:r>
        <w:rPr>
          <w:rFonts w:cs="Arial"/>
          <w:rtl/>
        </w:rPr>
        <w:t xml:space="preserve"> וסתמא אמרינן בכל התלמוד דכל איסורין שבתורה </w:t>
      </w:r>
      <w:r>
        <w:rPr>
          <w:rFonts w:cs="Arial" w:hint="cs"/>
          <w:rtl/>
        </w:rPr>
        <w:t>בס'</w:t>
      </w:r>
      <w:r>
        <w:rPr>
          <w:rFonts w:cs="Arial"/>
          <w:rtl/>
        </w:rPr>
        <w:t xml:space="preserve"> ואין צריך לחזר אחר דבר אחר להתירו כשיש בו </w:t>
      </w:r>
      <w:r>
        <w:rPr>
          <w:rFonts w:cs="Arial" w:hint="cs"/>
          <w:rtl/>
        </w:rPr>
        <w:t>ס',</w:t>
      </w:r>
      <w:r>
        <w:rPr>
          <w:rFonts w:cs="Arial"/>
          <w:rtl/>
        </w:rPr>
        <w:t xml:space="preserve"> וכן משמע לעיל דאמר רבא אמור רבנן בטעמא ואמור רבנן בששים וכו' משמע דלא הוזכר ששים אלא היכא דליכא למיקם אטעמא אבל היכא דאיכא למיקם אטעמא לא מצרכינן ששים ואי לא יהיב טעמא שריא ליה אפילו בפחות מששים</w:t>
      </w:r>
      <w:r>
        <w:rPr>
          <w:rFonts w:cs="Arial" w:hint="cs"/>
          <w:rtl/>
        </w:rPr>
        <w:t>, עכ"ד הרא"ש.</w:t>
      </w:r>
      <w:r>
        <w:rPr>
          <w:rFonts w:cs="Arial"/>
          <w:rtl/>
        </w:rPr>
        <w:t xml:space="preserve"> וכן דעת התוס' </w:t>
      </w:r>
      <w:r w:rsidRPr="00CA74DD">
        <w:rPr>
          <w:rFonts w:cs="Arial"/>
          <w:sz w:val="16"/>
          <w:szCs w:val="16"/>
          <w:rtl/>
        </w:rPr>
        <w:t>(צט. ד"ה אלא במאי)</w:t>
      </w:r>
      <w:r>
        <w:rPr>
          <w:rFonts w:cs="Arial" w:hint="cs"/>
          <w:rtl/>
        </w:rPr>
        <w:t>.</w:t>
      </w:r>
    </w:p>
  </w:footnote>
  <w:footnote w:id="1768">
    <w:p w14:paraId="14163CFB" w14:textId="77777777" w:rsidR="004C5A3C" w:rsidRDefault="004C5A3C" w:rsidP="002C39F4">
      <w:pPr>
        <w:pStyle w:val="a5"/>
      </w:pPr>
      <w:r>
        <w:rPr>
          <w:rStyle w:val="a7"/>
        </w:rPr>
        <w:footnoteRef/>
      </w:r>
      <w:r>
        <w:rPr>
          <w:rtl/>
        </w:rPr>
        <w:t xml:space="preserve"> </w:t>
      </w:r>
      <w:r>
        <w:rPr>
          <w:rFonts w:cs="Arial"/>
          <w:rtl/>
        </w:rPr>
        <w:t>ונראה מדברי הר"ן שאע</w:t>
      </w:r>
      <w:r>
        <w:rPr>
          <w:rFonts w:cs="Arial" w:hint="cs"/>
          <w:rtl/>
        </w:rPr>
        <w:t>"</w:t>
      </w:r>
      <w:r>
        <w:rPr>
          <w:rFonts w:cs="Arial"/>
          <w:rtl/>
        </w:rPr>
        <w:t>פ</w:t>
      </w:r>
      <w:r w:rsidRPr="00731318">
        <w:rPr>
          <w:rFonts w:cs="Arial"/>
          <w:rtl/>
        </w:rPr>
        <w:t xml:space="preserve"> שנתערב ונמחה קצת מגוף האיסור אם אין אנו יודעים שיעור מה נמחה ממנו סמכינן אקפילא אפילו בבציר מששים</w:t>
      </w:r>
      <w:r>
        <w:rPr>
          <w:rFonts w:cs="Arial" w:hint="cs"/>
          <w:rtl/>
        </w:rPr>
        <w:t>,</w:t>
      </w:r>
      <w:r w:rsidRPr="00731318">
        <w:rPr>
          <w:rFonts w:cs="Arial"/>
          <w:rtl/>
        </w:rPr>
        <w:t xml:space="preserve"> שמאחר שאנו משערין בכל האיסור משום דלא ידעינן כמה אתמחי מיניה כי איכא קפילא ואמר לן שאין בה טעם בשר סמכינן עליה דמאי דאתמחי מיניה בטל בששים</w:t>
      </w:r>
      <w:r>
        <w:rPr>
          <w:rFonts w:cs="Arial" w:hint="cs"/>
          <w:rtl/>
        </w:rPr>
        <w:t>, ב"י.</w:t>
      </w:r>
    </w:p>
  </w:footnote>
  <w:footnote w:id="1769">
    <w:p w14:paraId="342E22BB" w14:textId="77777777" w:rsidR="004C5A3C" w:rsidRDefault="004C5A3C" w:rsidP="002C39F4">
      <w:pPr>
        <w:pStyle w:val="a5"/>
        <w:rPr>
          <w:rtl/>
        </w:rPr>
      </w:pPr>
      <w:r>
        <w:rPr>
          <w:rStyle w:val="a7"/>
        </w:rPr>
        <w:footnoteRef/>
      </w:r>
      <w:r>
        <w:rPr>
          <w:rtl/>
        </w:rPr>
        <w:t xml:space="preserve"> </w:t>
      </w:r>
      <w:r>
        <w:rPr>
          <w:rFonts w:hint="cs"/>
          <w:rtl/>
        </w:rPr>
        <w:t xml:space="preserve">כן הבין הב"י מדבריו, </w:t>
      </w:r>
      <w:r>
        <w:rPr>
          <w:rFonts w:cs="Arial" w:hint="cs"/>
          <w:rtl/>
        </w:rPr>
        <w:t>והביא ראיה לדבריו והיא ש</w:t>
      </w:r>
      <w:r>
        <w:rPr>
          <w:rFonts w:cs="Arial"/>
          <w:rtl/>
        </w:rPr>
        <w:t>לא הזכיר</w:t>
      </w:r>
      <w:r>
        <w:rPr>
          <w:rFonts w:cs="Arial" w:hint="cs"/>
          <w:rtl/>
        </w:rPr>
        <w:t xml:space="preserve"> הרמב"ם</w:t>
      </w:r>
      <w:r>
        <w:rPr>
          <w:rFonts w:cs="Arial"/>
          <w:rtl/>
        </w:rPr>
        <w:t xml:space="preserve"> שיעור ששים כלל במין בשאינו מינו</w:t>
      </w:r>
      <w:r>
        <w:rPr>
          <w:rFonts w:cs="Arial" w:hint="cs"/>
          <w:rtl/>
        </w:rPr>
        <w:t>,</w:t>
      </w:r>
      <w:r>
        <w:rPr>
          <w:rFonts w:cs="Arial"/>
          <w:rtl/>
        </w:rPr>
        <w:t xml:space="preserve"> </w:t>
      </w:r>
      <w:r>
        <w:rPr>
          <w:rFonts w:cs="Arial" w:hint="cs"/>
          <w:rtl/>
        </w:rPr>
        <w:t xml:space="preserve">משום </w:t>
      </w:r>
      <w:r>
        <w:rPr>
          <w:rFonts w:cs="Arial"/>
          <w:rtl/>
        </w:rPr>
        <w:t xml:space="preserve">דאפשר למיקם אטעמא </w:t>
      </w:r>
      <w:r w:rsidRPr="004F55AA">
        <w:rPr>
          <w:rFonts w:cs="Arial" w:hint="cs"/>
          <w:sz w:val="16"/>
          <w:szCs w:val="16"/>
          <w:rtl/>
        </w:rPr>
        <w:t>(</w:t>
      </w:r>
      <w:r w:rsidRPr="004F55AA">
        <w:rPr>
          <w:rFonts w:cs="Arial"/>
          <w:sz w:val="16"/>
          <w:szCs w:val="16"/>
          <w:rtl/>
        </w:rPr>
        <w:t>וכ</w:t>
      </w:r>
      <w:r>
        <w:rPr>
          <w:rFonts w:cs="Arial" w:hint="cs"/>
          <w:sz w:val="16"/>
          <w:szCs w:val="16"/>
          <w:rtl/>
        </w:rPr>
        <w:t>"מ</w:t>
      </w:r>
      <w:r w:rsidRPr="004F55AA">
        <w:rPr>
          <w:rFonts w:cs="Arial"/>
          <w:sz w:val="16"/>
          <w:szCs w:val="16"/>
          <w:rtl/>
        </w:rPr>
        <w:t xml:space="preserve"> מדבריו ב</w:t>
      </w:r>
      <w:r w:rsidRPr="004F55AA">
        <w:rPr>
          <w:rFonts w:cs="Arial" w:hint="cs"/>
          <w:sz w:val="16"/>
          <w:szCs w:val="16"/>
          <w:rtl/>
        </w:rPr>
        <w:t>פ"</w:t>
      </w:r>
      <w:r w:rsidRPr="004F55AA">
        <w:rPr>
          <w:rFonts w:cs="Arial"/>
          <w:sz w:val="16"/>
          <w:szCs w:val="16"/>
          <w:rtl/>
        </w:rPr>
        <w:t>ט (ה"ט) גבי חלב שנפל לתוך קדרה של בשר</w:t>
      </w:r>
      <w:r>
        <w:rPr>
          <w:rFonts w:cs="Arial" w:hint="cs"/>
          <w:sz w:val="16"/>
          <w:szCs w:val="16"/>
          <w:rtl/>
        </w:rPr>
        <w:t>)</w:t>
      </w:r>
      <w:r>
        <w:rPr>
          <w:rFonts w:cs="Arial" w:hint="cs"/>
          <w:rtl/>
        </w:rPr>
        <w:t>,</w:t>
      </w:r>
      <w:r>
        <w:rPr>
          <w:rFonts w:cs="Arial"/>
          <w:rtl/>
        </w:rPr>
        <w:t xml:space="preserve"> ו</w:t>
      </w:r>
      <w:r>
        <w:rPr>
          <w:rFonts w:cs="Arial" w:hint="cs"/>
          <w:rtl/>
        </w:rPr>
        <w:t xml:space="preserve">כ' הב"י- </w:t>
      </w:r>
      <w:r>
        <w:rPr>
          <w:rFonts w:cs="Arial"/>
          <w:rtl/>
        </w:rPr>
        <w:t xml:space="preserve">נראה שהוא מפרש דמאי דאמר רבא </w:t>
      </w:r>
      <w:r>
        <w:rPr>
          <w:rFonts w:cs="Arial" w:hint="cs"/>
          <w:rtl/>
        </w:rPr>
        <w:t>א"</w:t>
      </w:r>
      <w:r>
        <w:rPr>
          <w:rFonts w:cs="Arial"/>
          <w:rtl/>
        </w:rPr>
        <w:t xml:space="preserve">נ מין בשאינו מינו דאיסורא וליכא קפילא </w:t>
      </w:r>
      <w:r>
        <w:rPr>
          <w:rFonts w:cs="Arial" w:hint="cs"/>
          <w:rtl/>
        </w:rPr>
        <w:t>בס'</w:t>
      </w:r>
      <w:r>
        <w:rPr>
          <w:rFonts w:cs="Arial"/>
          <w:rtl/>
        </w:rPr>
        <w:t xml:space="preserve"> לאו דליתיה לקפילא קמן בלחוד קאמר אלא אפילו היכא דאיתיה קמן וכמאן דליתיה דמי דטעימה דידיה אינה מוציאה אותנו מידי ספק כגון שנתערב מין במינו ודבר אחר</w:t>
      </w:r>
      <w:r>
        <w:rPr>
          <w:rFonts w:cs="Arial" w:hint="cs"/>
          <w:rtl/>
        </w:rPr>
        <w:t>,</w:t>
      </w:r>
      <w:r>
        <w:rPr>
          <w:rFonts w:cs="Arial"/>
          <w:rtl/>
        </w:rPr>
        <w:t xml:space="preserve"> הילכך משערינן ליה </w:t>
      </w:r>
      <w:r>
        <w:rPr>
          <w:rFonts w:cs="Arial" w:hint="cs"/>
          <w:rtl/>
        </w:rPr>
        <w:t>בס'</w:t>
      </w:r>
      <w:r>
        <w:rPr>
          <w:rFonts w:cs="Arial"/>
          <w:rtl/>
        </w:rPr>
        <w:t xml:space="preserve"> אבל כל היכא דאפשר למיקם אטעמא כגון שהוא מין בשאינו מינו לית ליה שריותא אלא ע</w:t>
      </w:r>
      <w:r>
        <w:rPr>
          <w:rFonts w:cs="Arial" w:hint="cs"/>
          <w:rtl/>
        </w:rPr>
        <w:t>"</w:t>
      </w:r>
      <w:r>
        <w:rPr>
          <w:rFonts w:cs="Arial"/>
          <w:rtl/>
        </w:rPr>
        <w:t>י קפילא אי מצית לאשכוחי</w:t>
      </w:r>
      <w:r>
        <w:rPr>
          <w:rFonts w:cs="Arial" w:hint="cs"/>
          <w:rtl/>
        </w:rPr>
        <w:t>,</w:t>
      </w:r>
      <w:r>
        <w:rPr>
          <w:rFonts w:cs="Arial"/>
          <w:rtl/>
        </w:rPr>
        <w:t xml:space="preserve"> דשיעורי חכמים לא הוזכרו אלא היכא דא</w:t>
      </w:r>
      <w:r>
        <w:rPr>
          <w:rFonts w:cs="Arial" w:hint="cs"/>
          <w:rtl/>
        </w:rPr>
        <w:t>י אפשר</w:t>
      </w:r>
      <w:r>
        <w:rPr>
          <w:rFonts w:hint="cs"/>
          <w:rtl/>
        </w:rPr>
        <w:t>.</w:t>
      </w:r>
    </w:p>
  </w:footnote>
  <w:footnote w:id="1770">
    <w:p w14:paraId="68F72697" w14:textId="77777777" w:rsidR="004C5A3C" w:rsidRDefault="004C5A3C" w:rsidP="002C39F4">
      <w:pPr>
        <w:pStyle w:val="a5"/>
      </w:pPr>
      <w:r>
        <w:rPr>
          <w:rStyle w:val="a7"/>
        </w:rPr>
        <w:footnoteRef/>
      </w:r>
      <w:r>
        <w:rPr>
          <w:rtl/>
        </w:rPr>
        <w:t xml:space="preserve"> </w:t>
      </w:r>
      <w:r>
        <w:rPr>
          <w:rFonts w:cs="Arial"/>
          <w:rtl/>
        </w:rPr>
        <w:t>היינו לומר דמסתמא סמכינן דלא יהיב טעמא יותר מששים</w:t>
      </w:r>
      <w:r>
        <w:rPr>
          <w:rFonts w:cs="Arial" w:hint="cs"/>
          <w:rtl/>
        </w:rPr>
        <w:t>,</w:t>
      </w:r>
      <w:r>
        <w:rPr>
          <w:rFonts w:cs="Arial"/>
          <w:rtl/>
        </w:rPr>
        <w:t xml:space="preserve"> הא אם טעמו ואשכח ביה טעמא אפילו יש בו מאה או יותר אסור דטעמא לא בטיל</w:t>
      </w:r>
      <w:r>
        <w:rPr>
          <w:rFonts w:cs="Arial" w:hint="cs"/>
          <w:rtl/>
        </w:rPr>
        <w:t>,</w:t>
      </w:r>
      <w:r>
        <w:rPr>
          <w:rFonts w:cs="Arial"/>
          <w:rtl/>
        </w:rPr>
        <w:t xml:space="preserve"> וכן הסכימו הרשב"א (בתה"א ב"ד ש"א טז.) והר"ן ז"ל (שם)</w:t>
      </w:r>
      <w:r>
        <w:rPr>
          <w:rFonts w:cs="Arial" w:hint="cs"/>
          <w:rtl/>
        </w:rPr>
        <w:t>, ב"י.</w:t>
      </w:r>
    </w:p>
  </w:footnote>
  <w:footnote w:id="1771">
    <w:p w14:paraId="6C9053B5" w14:textId="77777777" w:rsidR="004C5A3C" w:rsidRDefault="004C5A3C" w:rsidP="002C39F4">
      <w:pPr>
        <w:pStyle w:val="a5"/>
        <w:rPr>
          <w:rtl/>
        </w:rPr>
      </w:pPr>
      <w:r>
        <w:rPr>
          <w:rStyle w:val="a7"/>
        </w:rPr>
        <w:footnoteRef/>
      </w:r>
      <w:r>
        <w:rPr>
          <w:rtl/>
        </w:rPr>
        <w:t xml:space="preserve"> </w:t>
      </w:r>
      <w:r>
        <w:rPr>
          <w:rFonts w:cs="Arial" w:hint="cs"/>
          <w:rtl/>
        </w:rPr>
        <w:t>חוץ</w:t>
      </w:r>
      <w:r w:rsidRPr="002B4232">
        <w:rPr>
          <w:rFonts w:cs="Arial"/>
          <w:rtl/>
        </w:rPr>
        <w:t xml:space="preserve"> </w:t>
      </w:r>
      <w:r>
        <w:rPr>
          <w:rFonts w:cs="Arial" w:hint="cs"/>
          <w:rtl/>
        </w:rPr>
        <w:t>מ</w:t>
      </w:r>
      <w:r w:rsidRPr="002B4232">
        <w:rPr>
          <w:rFonts w:cs="Arial"/>
          <w:rtl/>
        </w:rPr>
        <w:t>דבר דעביד לטעמא</w:t>
      </w:r>
      <w:r>
        <w:rPr>
          <w:rFonts w:cs="Arial" w:hint="cs"/>
          <w:rtl/>
        </w:rPr>
        <w:t>,</w:t>
      </w:r>
      <w:r w:rsidRPr="002B4232">
        <w:rPr>
          <w:rFonts w:cs="Arial"/>
          <w:rtl/>
        </w:rPr>
        <w:t xml:space="preserve"> </w:t>
      </w:r>
      <w:r>
        <w:rPr>
          <w:rFonts w:cs="Arial" w:hint="cs"/>
          <w:rtl/>
        </w:rPr>
        <w:t>ד</w:t>
      </w:r>
      <w:r w:rsidRPr="002B4232">
        <w:rPr>
          <w:rFonts w:cs="Arial"/>
          <w:rtl/>
        </w:rPr>
        <w:t>לא בטיל</w:t>
      </w:r>
      <w:r>
        <w:rPr>
          <w:rFonts w:cs="Arial" w:hint="cs"/>
          <w:rtl/>
        </w:rPr>
        <w:t>,</w:t>
      </w:r>
      <w:r w:rsidRPr="002B4232">
        <w:rPr>
          <w:rFonts w:cs="Arial"/>
          <w:rtl/>
        </w:rPr>
        <w:t xml:space="preserve"> כדלקמן סימן ק"ה (אות כא</w:t>
      </w:r>
      <w:r>
        <w:rPr>
          <w:rFonts w:cs="Arial" w:hint="cs"/>
          <w:rtl/>
        </w:rPr>
        <w:t>), דרכ"מ (אות א</w:t>
      </w:r>
      <w:r w:rsidRPr="002B4232">
        <w:rPr>
          <w:rFonts w:cs="Arial"/>
          <w:rtl/>
        </w:rPr>
        <w:t>)</w:t>
      </w:r>
      <w:r>
        <w:rPr>
          <w:rFonts w:hint="cs"/>
          <w:rtl/>
        </w:rPr>
        <w:t>.</w:t>
      </w:r>
    </w:p>
  </w:footnote>
  <w:footnote w:id="1772">
    <w:p w14:paraId="77E83352" w14:textId="77777777" w:rsidR="004C5A3C" w:rsidRDefault="004C5A3C" w:rsidP="002C39F4">
      <w:pPr>
        <w:pStyle w:val="a5"/>
        <w:rPr>
          <w:rtl/>
        </w:rPr>
      </w:pPr>
      <w:r>
        <w:rPr>
          <w:rStyle w:val="a7"/>
        </w:rPr>
        <w:footnoteRef/>
      </w:r>
      <w:r>
        <w:rPr>
          <w:rtl/>
        </w:rPr>
        <w:t xml:space="preserve"> </w:t>
      </w:r>
      <w:r>
        <w:rPr>
          <w:rFonts w:cs="Arial"/>
          <w:rtl/>
        </w:rPr>
        <w:t>הרי שלא הזכיר נחתום אלא גוי סתם</w:t>
      </w:r>
      <w:r>
        <w:rPr>
          <w:rFonts w:cs="Arial" w:hint="cs"/>
          <w:rtl/>
        </w:rPr>
        <w:t>,</w:t>
      </w:r>
      <w:r>
        <w:rPr>
          <w:rFonts w:cs="Arial"/>
          <w:rtl/>
        </w:rPr>
        <w:t xml:space="preserve"> ונראה שהוא סובר דקפילא דקאמר תלמודא לאו דוקא אלא אורחא דמילתא נקט או שכל הבא לטעום קרוי קפילא על שם מה שהוא עושה באותה שעה שהטעימה מלאכת נחתום היא</w:t>
      </w:r>
      <w:r>
        <w:rPr>
          <w:rFonts w:cs="Arial" w:hint="cs"/>
          <w:rtl/>
        </w:rPr>
        <w:t>, ב"י</w:t>
      </w:r>
      <w:r>
        <w:rPr>
          <w:rFonts w:hint="cs"/>
          <w:rtl/>
        </w:rPr>
        <w:t>.</w:t>
      </w:r>
    </w:p>
  </w:footnote>
  <w:footnote w:id="1773">
    <w:p w14:paraId="2205D8A3" w14:textId="77777777" w:rsidR="004C5A3C" w:rsidRDefault="004C5A3C" w:rsidP="002C39F4">
      <w:pPr>
        <w:pStyle w:val="a5"/>
        <w:rPr>
          <w:rtl/>
        </w:rPr>
      </w:pPr>
      <w:r>
        <w:rPr>
          <w:rStyle w:val="a7"/>
        </w:rPr>
        <w:footnoteRef/>
      </w:r>
      <w:r>
        <w:rPr>
          <w:rtl/>
        </w:rPr>
        <w:t xml:space="preserve"> </w:t>
      </w:r>
      <w:r>
        <w:rPr>
          <w:rFonts w:hint="cs"/>
          <w:rtl/>
        </w:rPr>
        <w:t xml:space="preserve">ז"ל הרשב"א שם- </w:t>
      </w:r>
      <w:r>
        <w:rPr>
          <w:rFonts w:cs="Arial"/>
          <w:rtl/>
        </w:rPr>
        <w:t>מדאמרינן בגמ</w:t>
      </w:r>
      <w:r>
        <w:rPr>
          <w:rFonts w:cs="Arial" w:hint="cs"/>
          <w:rtl/>
        </w:rPr>
        <w:t>'</w:t>
      </w:r>
      <w:r>
        <w:rPr>
          <w:rFonts w:cs="Arial"/>
          <w:rtl/>
        </w:rPr>
        <w:t xml:space="preserve"> </w:t>
      </w:r>
      <w:r w:rsidRPr="00E232BB">
        <w:rPr>
          <w:rFonts w:cs="Arial"/>
          <w:sz w:val="14"/>
          <w:szCs w:val="14"/>
          <w:rtl/>
        </w:rPr>
        <w:t>(</w:t>
      </w:r>
      <w:r w:rsidRPr="00E232BB">
        <w:rPr>
          <w:rFonts w:cs="Arial" w:hint="cs"/>
          <w:sz w:val="14"/>
          <w:szCs w:val="14"/>
          <w:rtl/>
        </w:rPr>
        <w:t>צ</w:t>
      </w:r>
      <w:r w:rsidRPr="00E232BB">
        <w:rPr>
          <w:rFonts w:cs="Arial"/>
          <w:sz w:val="14"/>
          <w:szCs w:val="14"/>
          <w:rtl/>
        </w:rPr>
        <w:t>ז.)</w:t>
      </w:r>
      <w:r w:rsidRPr="00644DDE">
        <w:rPr>
          <w:rFonts w:cs="Arial"/>
          <w:rtl/>
        </w:rPr>
        <w:t xml:space="preserve"> </w:t>
      </w:r>
      <w:r>
        <w:rPr>
          <w:rFonts w:cs="Arial" w:hint="cs"/>
          <w:rtl/>
        </w:rPr>
        <w:t>'</w:t>
      </w:r>
      <w:r>
        <w:rPr>
          <w:rFonts w:cs="Arial"/>
          <w:rtl/>
        </w:rPr>
        <w:t>בשלמא תרומה טעים לה כהן</w:t>
      </w:r>
      <w:r>
        <w:rPr>
          <w:rFonts w:cs="Arial" w:hint="cs"/>
          <w:rtl/>
        </w:rPr>
        <w:t>'</w:t>
      </w:r>
      <w:r>
        <w:rPr>
          <w:rFonts w:cs="Arial"/>
          <w:rtl/>
        </w:rPr>
        <w:t xml:space="preserve"> ולא קאמר טעים לה כהן קפילא</w:t>
      </w:r>
      <w:r>
        <w:rPr>
          <w:rFonts w:cs="Arial" w:hint="cs"/>
          <w:rtl/>
        </w:rPr>
        <w:t>,</w:t>
      </w:r>
      <w:r>
        <w:rPr>
          <w:rFonts w:cs="Arial"/>
          <w:rtl/>
        </w:rPr>
        <w:t xml:space="preserve"> ועוד מדאמר רבא </w:t>
      </w:r>
      <w:r>
        <w:rPr>
          <w:rFonts w:cs="Arial" w:hint="cs"/>
          <w:rtl/>
        </w:rPr>
        <w:t>'</w:t>
      </w:r>
      <w:r>
        <w:rPr>
          <w:rFonts w:cs="Arial"/>
          <w:rtl/>
        </w:rPr>
        <w:t>אמור רבנן בטעמא</w:t>
      </w:r>
      <w:r>
        <w:rPr>
          <w:rFonts w:cs="Arial" w:hint="cs"/>
          <w:rtl/>
        </w:rPr>
        <w:t>,</w:t>
      </w:r>
      <w:r>
        <w:rPr>
          <w:rFonts w:cs="Arial"/>
          <w:rtl/>
        </w:rPr>
        <w:t xml:space="preserve"> אמור רבנן בקפילא</w:t>
      </w:r>
      <w:r>
        <w:rPr>
          <w:rFonts w:cs="Arial" w:hint="cs"/>
          <w:rtl/>
        </w:rPr>
        <w:t>'</w:t>
      </w:r>
      <w:r>
        <w:rPr>
          <w:rFonts w:cs="Arial"/>
          <w:rtl/>
        </w:rPr>
        <w:t xml:space="preserve"> מדמחלק טעמא וקפילא לשנים </w:t>
      </w:r>
      <w:r>
        <w:rPr>
          <w:rFonts w:cs="Arial" w:hint="cs"/>
          <w:rtl/>
        </w:rPr>
        <w:t>ש"</w:t>
      </w:r>
      <w:r>
        <w:rPr>
          <w:rFonts w:cs="Arial"/>
          <w:rtl/>
        </w:rPr>
        <w:t>מ טעמא הוי טעם הנרגש לכל בני אדם</w:t>
      </w:r>
      <w:r>
        <w:rPr>
          <w:rFonts w:cs="Arial" w:hint="cs"/>
          <w:rtl/>
        </w:rPr>
        <w:t>,</w:t>
      </w:r>
      <w:r>
        <w:rPr>
          <w:rFonts w:cs="Arial"/>
          <w:rtl/>
        </w:rPr>
        <w:t xml:space="preserve"> ו</w:t>
      </w:r>
      <w:r>
        <w:rPr>
          <w:rFonts w:hint="cs"/>
          <w:rtl/>
        </w:rPr>
        <w:t>-...</w:t>
      </w:r>
    </w:p>
  </w:footnote>
  <w:footnote w:id="1774">
    <w:p w14:paraId="5554A4D4" w14:textId="77777777" w:rsidR="004C5A3C" w:rsidRDefault="004C5A3C" w:rsidP="002C39F4">
      <w:pPr>
        <w:pStyle w:val="a5"/>
        <w:rPr>
          <w:rtl/>
        </w:rPr>
      </w:pPr>
      <w:r>
        <w:rPr>
          <w:rStyle w:val="a7"/>
        </w:rPr>
        <w:footnoteRef/>
      </w:r>
      <w:r>
        <w:rPr>
          <w:rtl/>
        </w:rPr>
        <w:t xml:space="preserve"> </w:t>
      </w:r>
      <w:r>
        <w:rPr>
          <w:rFonts w:cs="Arial" w:hint="cs"/>
          <w:rtl/>
        </w:rPr>
        <w:t xml:space="preserve">ובתוה"ק הביא הרשב"א את דעת המחמירין כדעת יחיד ולא כתב שיש לחוש לדעתם </w:t>
      </w:r>
      <w:r w:rsidRPr="00385E09">
        <w:rPr>
          <w:rFonts w:cs="Arial" w:hint="cs"/>
          <w:sz w:val="16"/>
          <w:szCs w:val="16"/>
          <w:rtl/>
        </w:rPr>
        <w:t>(ונראה דלכן לא כתב הטור שמסקנת הרשב"א לחמיר, דכבר נתבאר בכמה דוכתי דהטור לא ראה את דברי הרשב"א בתוה"א, אלא רק בתוה"ק, ולכן חשב שאין כן דעתו. אמנם לכאורה קשה על הב"י שהביא את דברי הרשב"א כדלעיל אך בסוף דבריו כתב שהרשב"א מתיר בקפילא אע"ג דלא מסל"ת ובסתם גוי במסל"ת, ויש ליישב בדוחק, ואכמ"ל</w:t>
      </w:r>
      <w:r>
        <w:rPr>
          <w:rFonts w:cs="Arial" w:hint="cs"/>
          <w:sz w:val="16"/>
          <w:szCs w:val="16"/>
          <w:rtl/>
        </w:rPr>
        <w:t>)</w:t>
      </w:r>
      <w:r>
        <w:rPr>
          <w:rFonts w:cs="Arial" w:hint="cs"/>
          <w:rtl/>
        </w:rPr>
        <w:t xml:space="preserve">. </w:t>
      </w:r>
    </w:p>
  </w:footnote>
  <w:footnote w:id="1775">
    <w:p w14:paraId="2B443B06" w14:textId="77777777" w:rsidR="004C5A3C" w:rsidRDefault="004C5A3C" w:rsidP="002C39F4">
      <w:pPr>
        <w:pStyle w:val="a5"/>
        <w:rPr>
          <w:rtl/>
        </w:rPr>
      </w:pPr>
      <w:r>
        <w:rPr>
          <w:rStyle w:val="a7"/>
        </w:rPr>
        <w:footnoteRef/>
      </w:r>
      <w:r>
        <w:rPr>
          <w:rtl/>
        </w:rPr>
        <w:t xml:space="preserve"> </w:t>
      </w:r>
      <w:r>
        <w:rPr>
          <w:rFonts w:cs="Arial"/>
          <w:rtl/>
        </w:rPr>
        <w:t>ובישראל לא שנא קפילא ולא שנא לאו קפילא סמכינן עליה והיינו דאמרינן בגמ</w:t>
      </w:r>
      <w:r>
        <w:rPr>
          <w:rFonts w:cs="Arial" w:hint="cs"/>
          <w:rtl/>
        </w:rPr>
        <w:t>'</w:t>
      </w:r>
      <w:r>
        <w:rPr>
          <w:rFonts w:cs="Arial"/>
          <w:rtl/>
        </w:rPr>
        <w:t xml:space="preserve"> דטעים לה כהן אלמא בכל כהן סגי ואע</w:t>
      </w:r>
      <w:r>
        <w:rPr>
          <w:rFonts w:cs="Arial" w:hint="cs"/>
          <w:rtl/>
        </w:rPr>
        <w:t>"</w:t>
      </w:r>
      <w:r>
        <w:rPr>
          <w:rFonts w:cs="Arial"/>
          <w:rtl/>
        </w:rPr>
        <w:t>ג דלאו קפילא הוא</w:t>
      </w:r>
      <w:r>
        <w:rPr>
          <w:rFonts w:hint="cs"/>
          <w:rtl/>
        </w:rPr>
        <w:t>, ר"ן.</w:t>
      </w:r>
    </w:p>
  </w:footnote>
  <w:footnote w:id="1776">
    <w:p w14:paraId="73991F22" w14:textId="77777777" w:rsidR="004C5A3C" w:rsidRDefault="004C5A3C" w:rsidP="002C39F4">
      <w:pPr>
        <w:pStyle w:val="a5"/>
      </w:pPr>
      <w:r>
        <w:rPr>
          <w:rStyle w:val="a7"/>
        </w:rPr>
        <w:footnoteRef/>
      </w:r>
      <w:r>
        <w:rPr>
          <w:rtl/>
        </w:rPr>
        <w:t xml:space="preserve"> </w:t>
      </w:r>
      <w:r>
        <w:rPr>
          <w:rFonts w:cs="Arial"/>
          <w:rtl/>
        </w:rPr>
        <w:t xml:space="preserve">תוס' </w:t>
      </w:r>
      <w:r w:rsidRPr="00EC67E7">
        <w:rPr>
          <w:rFonts w:cs="Arial"/>
          <w:sz w:val="16"/>
          <w:szCs w:val="16"/>
          <w:rtl/>
        </w:rPr>
        <w:t>(ד"ה סמכינן</w:t>
      </w:r>
      <w:r>
        <w:rPr>
          <w:rFonts w:cs="Arial" w:hint="cs"/>
          <w:sz w:val="16"/>
          <w:szCs w:val="16"/>
          <w:rtl/>
        </w:rPr>
        <w:t>, להב' הב"י</w:t>
      </w:r>
      <w:r w:rsidRPr="00EC67E7">
        <w:rPr>
          <w:rFonts w:cs="Arial"/>
          <w:sz w:val="16"/>
          <w:szCs w:val="16"/>
          <w:rtl/>
        </w:rPr>
        <w:t>)</w:t>
      </w:r>
      <w:r w:rsidRPr="00EC67E7">
        <w:rPr>
          <w:rFonts w:cs="Arial" w:hint="cs"/>
          <w:sz w:val="16"/>
          <w:szCs w:val="16"/>
          <w:rtl/>
        </w:rPr>
        <w:t xml:space="preserve"> </w:t>
      </w:r>
      <w:r>
        <w:rPr>
          <w:rFonts w:cs="Arial" w:hint="cs"/>
          <w:rtl/>
        </w:rPr>
        <w:t xml:space="preserve">רמב"ם </w:t>
      </w:r>
      <w:r w:rsidRPr="00EC67E7">
        <w:rPr>
          <w:rFonts w:cs="Arial" w:hint="cs"/>
          <w:sz w:val="16"/>
          <w:szCs w:val="16"/>
          <w:rtl/>
        </w:rPr>
        <w:t>(</w:t>
      </w:r>
      <w:r>
        <w:rPr>
          <w:rFonts w:cs="Arial" w:hint="cs"/>
          <w:sz w:val="16"/>
          <w:szCs w:val="16"/>
          <w:rtl/>
        </w:rPr>
        <w:t>שם, להב' הב"י</w:t>
      </w:r>
      <w:r w:rsidRPr="00EC67E7">
        <w:rPr>
          <w:rFonts w:cs="Arial"/>
          <w:sz w:val="16"/>
          <w:szCs w:val="16"/>
          <w:rtl/>
        </w:rPr>
        <w:t>)</w:t>
      </w:r>
      <w:r w:rsidRPr="00EC67E7">
        <w:rPr>
          <w:rFonts w:cs="Arial" w:hint="cs"/>
          <w:sz w:val="16"/>
          <w:szCs w:val="16"/>
          <w:rtl/>
        </w:rPr>
        <w:t xml:space="preserve"> </w:t>
      </w:r>
      <w:r>
        <w:rPr>
          <w:rFonts w:cs="Arial" w:hint="cs"/>
          <w:rtl/>
        </w:rPr>
        <w:t>ו</w:t>
      </w:r>
      <w:r>
        <w:rPr>
          <w:rFonts w:cs="Arial"/>
          <w:rtl/>
        </w:rPr>
        <w:t>ר"ן</w:t>
      </w:r>
      <w:r w:rsidRPr="00EC67E7">
        <w:rPr>
          <w:rFonts w:cs="Arial"/>
          <w:sz w:val="16"/>
          <w:szCs w:val="16"/>
          <w:rtl/>
        </w:rPr>
        <w:t xml:space="preserve"> (לד</w:t>
      </w:r>
      <w:r w:rsidRPr="00EC67E7">
        <w:rPr>
          <w:rFonts w:cs="Arial" w:hint="cs"/>
          <w:sz w:val="16"/>
          <w:szCs w:val="16"/>
          <w:rtl/>
        </w:rPr>
        <w:t>.</w:t>
      </w:r>
      <w:r w:rsidRPr="00EC67E7">
        <w:rPr>
          <w:rFonts w:cs="Arial"/>
          <w:sz w:val="16"/>
          <w:szCs w:val="16"/>
          <w:rtl/>
        </w:rPr>
        <w:t>)</w:t>
      </w:r>
      <w:r>
        <w:rPr>
          <w:rFonts w:hint="cs"/>
          <w:rtl/>
        </w:rPr>
        <w:t>.</w:t>
      </w:r>
    </w:p>
  </w:footnote>
  <w:footnote w:id="1777">
    <w:p w14:paraId="544C3FE8" w14:textId="77777777" w:rsidR="004C5A3C" w:rsidRDefault="004C5A3C" w:rsidP="002C39F4">
      <w:pPr>
        <w:pStyle w:val="a5"/>
        <w:rPr>
          <w:rtl/>
        </w:rPr>
      </w:pPr>
      <w:r>
        <w:rPr>
          <w:rStyle w:val="a7"/>
        </w:rPr>
        <w:footnoteRef/>
      </w:r>
      <w:r>
        <w:rPr>
          <w:rtl/>
        </w:rPr>
        <w:t xml:space="preserve"> </w:t>
      </w:r>
      <w:r>
        <w:rPr>
          <w:rFonts w:cs="Arial" w:hint="cs"/>
          <w:rtl/>
        </w:rPr>
        <w:t>ד</w:t>
      </w:r>
      <w:r>
        <w:rPr>
          <w:rFonts w:cs="Arial"/>
          <w:rtl/>
        </w:rPr>
        <w:t>כל היכא דהוי קפילא לא מרע נפשיה</w:t>
      </w:r>
      <w:r>
        <w:rPr>
          <w:rFonts w:cs="Arial" w:hint="cs"/>
          <w:rtl/>
        </w:rPr>
        <w:t>,</w:t>
      </w:r>
      <w:r>
        <w:rPr>
          <w:rFonts w:cs="Arial"/>
          <w:rtl/>
        </w:rPr>
        <w:t xml:space="preserve"> וכיון דמשום דלא מרע נפשיה הוא לאו דוקא במסיח לפי תומו</w:t>
      </w:r>
      <w:r>
        <w:rPr>
          <w:rFonts w:cs="Arial" w:hint="cs"/>
          <w:rtl/>
        </w:rPr>
        <w:t>,</w:t>
      </w:r>
      <w:r>
        <w:rPr>
          <w:rFonts w:cs="Arial"/>
          <w:rtl/>
        </w:rPr>
        <w:t xml:space="preserve"> וכמו שכתב רש"י כאן</w:t>
      </w:r>
      <w:r>
        <w:rPr>
          <w:rFonts w:cs="Arial" w:hint="cs"/>
          <w:rtl/>
        </w:rPr>
        <w:t>,</w:t>
      </w:r>
      <w:r>
        <w:rPr>
          <w:rFonts w:cs="Arial"/>
          <w:rtl/>
        </w:rPr>
        <w:t xml:space="preserve"> דכל שכן דלא מרע נפשיה אם הוא יודע שיש קפידא בדבר</w:t>
      </w:r>
      <w:r>
        <w:rPr>
          <w:rFonts w:hint="cs"/>
          <w:rtl/>
        </w:rPr>
        <w:t>, ר"ן.</w:t>
      </w:r>
    </w:p>
  </w:footnote>
  <w:footnote w:id="1778">
    <w:p w14:paraId="0C3C7822" w14:textId="77777777" w:rsidR="004C5A3C" w:rsidRDefault="004C5A3C" w:rsidP="002C39F4">
      <w:pPr>
        <w:pStyle w:val="a5"/>
      </w:pPr>
      <w:r>
        <w:rPr>
          <w:rStyle w:val="a7"/>
        </w:rPr>
        <w:footnoteRef/>
      </w:r>
      <w:r>
        <w:rPr>
          <w:rtl/>
        </w:rPr>
        <w:t xml:space="preserve"> </w:t>
      </w:r>
      <w:r>
        <w:rPr>
          <w:rFonts w:hint="cs"/>
          <w:rtl/>
        </w:rPr>
        <w:t>וכ' הרשב"א בתוה"א דיש לחוש לדבריהם, אך בתוה"ק הביא דבריהם רק כיש מי שאומר.</w:t>
      </w:r>
    </w:p>
  </w:footnote>
  <w:footnote w:id="1779">
    <w:p w14:paraId="06D96375" w14:textId="77777777" w:rsidR="004C5A3C" w:rsidRDefault="004C5A3C" w:rsidP="002C39F4">
      <w:pPr>
        <w:pStyle w:val="a5"/>
        <w:rPr>
          <w:rtl/>
        </w:rPr>
      </w:pPr>
      <w:r>
        <w:rPr>
          <w:rStyle w:val="a7"/>
        </w:rPr>
        <w:footnoteRef/>
      </w:r>
      <w:r>
        <w:rPr>
          <w:rtl/>
        </w:rPr>
        <w:t xml:space="preserve"> </w:t>
      </w:r>
      <w:r>
        <w:rPr>
          <w:rFonts w:cs="Arial" w:hint="cs"/>
          <w:rtl/>
        </w:rPr>
        <w:t xml:space="preserve">וז"ל- </w:t>
      </w:r>
      <w:r>
        <w:rPr>
          <w:rFonts w:cs="Arial"/>
          <w:rtl/>
        </w:rPr>
        <w:t>ליטעמיה קפילא ארמאה פירוש נחתום גוי</w:t>
      </w:r>
      <w:r>
        <w:rPr>
          <w:rFonts w:cs="Arial" w:hint="cs"/>
          <w:rtl/>
        </w:rPr>
        <w:t>,</w:t>
      </w:r>
      <w:r>
        <w:rPr>
          <w:rFonts w:cs="Arial"/>
          <w:rtl/>
        </w:rPr>
        <w:t xml:space="preserve"> וש</w:t>
      </w:r>
      <w:r>
        <w:rPr>
          <w:rFonts w:cs="Arial" w:hint="cs"/>
          <w:rtl/>
        </w:rPr>
        <w:t>"</w:t>
      </w:r>
      <w:r>
        <w:rPr>
          <w:rFonts w:cs="Arial"/>
          <w:rtl/>
        </w:rPr>
        <w:t>מ דמותר לסמוך עליו לפי תומו ולא יודיעוהו שצריך לו לדבר איסור והיתר</w:t>
      </w:r>
      <w:r>
        <w:rPr>
          <w:rFonts w:cs="Arial" w:hint="cs"/>
          <w:rtl/>
        </w:rPr>
        <w:t>, עכ"ל,</w:t>
      </w:r>
      <w:r>
        <w:rPr>
          <w:rFonts w:cs="Arial"/>
          <w:rtl/>
        </w:rPr>
        <w:t xml:space="preserve"> וזה שכתב רבינו וכ"כ א"א הרא"ש ז"ל שצריך שלא ידע שסומכין עליו וכו', כלומר אין מפורש בדברי הרא"ש שהוא סובר כדברי המחמירין אלא לענין שצריך שיהא מסיח לפי תומו אבל לענין אי בעי קפילא בדוקא אין בדבריו הכרע</w:t>
      </w:r>
      <w:r>
        <w:rPr>
          <w:rFonts w:hint="cs"/>
          <w:rtl/>
        </w:rPr>
        <w:t xml:space="preserve">, ב"י. אך הט"ז (סק"ב) חלק על הב' הב"י בדברי הרא"ש וכ' שדעת הרא"ש כדעת הי"א להצריך שיהא נחתום ומסיח לפי תומו, רק </w:t>
      </w:r>
      <w:r w:rsidRPr="00FD17D0">
        <w:rPr>
          <w:rFonts w:cs="Arial"/>
          <w:rtl/>
        </w:rPr>
        <w:t xml:space="preserve">חידוש אחר </w:t>
      </w:r>
      <w:r>
        <w:rPr>
          <w:rFonts w:cs="Arial" w:hint="cs"/>
          <w:rtl/>
        </w:rPr>
        <w:t xml:space="preserve">יש </w:t>
      </w:r>
      <w:r w:rsidRPr="00FD17D0">
        <w:rPr>
          <w:rFonts w:cs="Arial"/>
          <w:rtl/>
        </w:rPr>
        <w:t>בדברי הרא"ש דמשמע אם יודע ה</w:t>
      </w:r>
      <w:r>
        <w:rPr>
          <w:rFonts w:cs="Arial" w:hint="cs"/>
          <w:rtl/>
        </w:rPr>
        <w:t>גוי</w:t>
      </w:r>
      <w:r w:rsidRPr="00FD17D0">
        <w:rPr>
          <w:rFonts w:cs="Arial"/>
          <w:rtl/>
        </w:rPr>
        <w:t xml:space="preserve"> שסומכין עליו בדבר אחר לא לענין איסור והיתר מקרי לפי תומו</w:t>
      </w:r>
      <w:r>
        <w:rPr>
          <w:rFonts w:cs="Arial" w:hint="cs"/>
          <w:rtl/>
        </w:rPr>
        <w:t>,</w:t>
      </w:r>
      <w:r w:rsidRPr="00FD17D0">
        <w:rPr>
          <w:rFonts w:cs="Arial"/>
          <w:rtl/>
        </w:rPr>
        <w:t xml:space="preserve"> מ</w:t>
      </w:r>
      <w:r>
        <w:rPr>
          <w:rFonts w:cs="Arial" w:hint="cs"/>
          <w:rtl/>
        </w:rPr>
        <w:t>שא"כ</w:t>
      </w:r>
      <w:r w:rsidRPr="00FD17D0">
        <w:rPr>
          <w:rFonts w:cs="Arial"/>
          <w:rtl/>
        </w:rPr>
        <w:t xml:space="preserve"> בשאר לפי תומו כגון בעדות אשה לא מהני זה על כן כתב</w:t>
      </w:r>
      <w:r>
        <w:rPr>
          <w:rFonts w:cs="Arial" w:hint="cs"/>
          <w:rtl/>
        </w:rPr>
        <w:t xml:space="preserve"> הטור</w:t>
      </w:r>
      <w:r w:rsidRPr="00FD17D0">
        <w:rPr>
          <w:rFonts w:cs="Arial"/>
          <w:rtl/>
        </w:rPr>
        <w:t xml:space="preserve"> בשם הרא"ש דגם זה מהני כאן</w:t>
      </w:r>
      <w:r>
        <w:rPr>
          <w:rFonts w:hint="cs"/>
          <w:rtl/>
        </w:rPr>
        <w:t>.</w:t>
      </w:r>
    </w:p>
  </w:footnote>
  <w:footnote w:id="1780">
    <w:p w14:paraId="5CC92E55" w14:textId="77777777" w:rsidR="004C5A3C" w:rsidRDefault="004C5A3C" w:rsidP="002C39F4">
      <w:pPr>
        <w:pStyle w:val="a5"/>
      </w:pPr>
      <w:r>
        <w:rPr>
          <w:rStyle w:val="a7"/>
        </w:rPr>
        <w:footnoteRef/>
      </w:r>
      <w:r>
        <w:rPr>
          <w:rtl/>
        </w:rPr>
        <w:t xml:space="preserve"> </w:t>
      </w:r>
      <w:r w:rsidRPr="00DF1A30">
        <w:rPr>
          <w:rFonts w:cs="Arial"/>
          <w:rtl/>
        </w:rPr>
        <w:t>משמע דהיינו חלב בציר"ה</w:t>
      </w:r>
      <w:r>
        <w:rPr>
          <w:rFonts w:cs="Arial" w:hint="cs"/>
          <w:sz w:val="16"/>
          <w:szCs w:val="16"/>
          <w:rtl/>
        </w:rPr>
        <w:t xml:space="preserve"> </w:t>
      </w:r>
      <w:r w:rsidRPr="00182A05">
        <w:rPr>
          <w:rFonts w:cs="Arial" w:hint="cs"/>
          <w:sz w:val="14"/>
          <w:szCs w:val="14"/>
          <w:rtl/>
        </w:rPr>
        <w:t>{דעל חָלב בבשר לא שייך למימר איסור, דהא כל חדא היתרה הוא, גליון מהרש"א [אות ב]}</w:t>
      </w:r>
      <w:r>
        <w:rPr>
          <w:rFonts w:cs="Arial" w:hint="cs"/>
          <w:rtl/>
        </w:rPr>
        <w:t>,</w:t>
      </w:r>
      <w:r w:rsidRPr="00DF1A30">
        <w:rPr>
          <w:rFonts w:cs="Arial"/>
          <w:rtl/>
        </w:rPr>
        <w:t xml:space="preserve"> דהיינו תרבא</w:t>
      </w:r>
      <w:r>
        <w:rPr>
          <w:rFonts w:cs="Arial" w:hint="cs"/>
          <w:rtl/>
        </w:rPr>
        <w:t>,</w:t>
      </w:r>
      <w:r w:rsidRPr="00DF1A30">
        <w:rPr>
          <w:rFonts w:cs="Arial"/>
          <w:rtl/>
        </w:rPr>
        <w:t xml:space="preserve"> וכן משמע בטור</w:t>
      </w:r>
      <w:r>
        <w:rPr>
          <w:rFonts w:cs="Arial" w:hint="cs"/>
          <w:rtl/>
        </w:rPr>
        <w:t>,</w:t>
      </w:r>
      <w:r w:rsidRPr="00DF1A30">
        <w:rPr>
          <w:rFonts w:cs="Arial"/>
          <w:rtl/>
        </w:rPr>
        <w:t xml:space="preserve"> וא"כ דעת הט"ו דטעם חלב ובשר אינו שוה</w:t>
      </w:r>
      <w:r>
        <w:rPr>
          <w:rFonts w:cs="Arial" w:hint="cs"/>
          <w:rtl/>
        </w:rPr>
        <w:t>,</w:t>
      </w:r>
      <w:r w:rsidRPr="00DF1A30">
        <w:rPr>
          <w:rFonts w:cs="Arial"/>
          <w:rtl/>
        </w:rPr>
        <w:t xml:space="preserve"> וכן משמע מדברי שאר פוסקים</w:t>
      </w:r>
      <w:r>
        <w:rPr>
          <w:rFonts w:cs="Arial" w:hint="cs"/>
          <w:rtl/>
        </w:rPr>
        <w:t>,</w:t>
      </w:r>
      <w:r w:rsidRPr="00DF1A30">
        <w:rPr>
          <w:rFonts w:cs="Arial"/>
          <w:rtl/>
        </w:rPr>
        <w:t xml:space="preserve"> אבל ראב"ן כ' בתשו</w:t>
      </w:r>
      <w:r>
        <w:rPr>
          <w:rFonts w:cs="Arial" w:hint="cs"/>
          <w:rtl/>
        </w:rPr>
        <w:t>'</w:t>
      </w:r>
      <w:r w:rsidRPr="00DF1A30">
        <w:rPr>
          <w:rFonts w:cs="Arial"/>
          <w:rtl/>
        </w:rPr>
        <w:t xml:space="preserve"> בסי' </w:t>
      </w:r>
      <w:r>
        <w:rPr>
          <w:rFonts w:cs="Arial" w:hint="cs"/>
          <w:rtl/>
        </w:rPr>
        <w:t>כ</w:t>
      </w:r>
      <w:r w:rsidRPr="00DF1A30">
        <w:rPr>
          <w:rFonts w:cs="Arial"/>
          <w:rtl/>
        </w:rPr>
        <w:t>' ובסוף ע</w:t>
      </w:r>
      <w:r>
        <w:rPr>
          <w:rFonts w:cs="Arial" w:hint="cs"/>
          <w:rtl/>
        </w:rPr>
        <w:t>"ז (ריש סי' שיא)</w:t>
      </w:r>
      <w:r w:rsidRPr="00DF1A30">
        <w:rPr>
          <w:rFonts w:cs="Arial"/>
          <w:rtl/>
        </w:rPr>
        <w:t xml:space="preserve"> דחלב ובשר טעמם שוה</w:t>
      </w:r>
      <w:r>
        <w:rPr>
          <w:rFonts w:cs="Arial" w:hint="cs"/>
          <w:rtl/>
        </w:rPr>
        <w:t>,</w:t>
      </w:r>
      <w:r w:rsidRPr="00DF1A30">
        <w:rPr>
          <w:rFonts w:cs="Arial"/>
          <w:rtl/>
        </w:rPr>
        <w:t xml:space="preserve"> וצ"ל דמיירי בבשר שמן</w:t>
      </w:r>
      <w:r>
        <w:rPr>
          <w:rFonts w:cs="Arial" w:hint="cs"/>
          <w:rtl/>
        </w:rPr>
        <w:t>,</w:t>
      </w:r>
      <w:r w:rsidRPr="00DF1A30">
        <w:rPr>
          <w:rFonts w:cs="Arial"/>
          <w:rtl/>
        </w:rPr>
        <w:t xml:space="preserve"> ועיין בס</w:t>
      </w:r>
      <w:r>
        <w:rPr>
          <w:rFonts w:cs="Arial" w:hint="cs"/>
          <w:rtl/>
        </w:rPr>
        <w:t>ק"ו, ש"ך (סק"א).</w:t>
      </w:r>
    </w:p>
  </w:footnote>
  <w:footnote w:id="1781">
    <w:p w14:paraId="2D0360E0" w14:textId="77777777" w:rsidR="004C5A3C" w:rsidRDefault="004C5A3C" w:rsidP="002C39F4">
      <w:pPr>
        <w:pStyle w:val="a5"/>
      </w:pPr>
      <w:r>
        <w:rPr>
          <w:rStyle w:val="a7"/>
        </w:rPr>
        <w:footnoteRef/>
      </w:r>
      <w:r>
        <w:rPr>
          <w:rtl/>
        </w:rPr>
        <w:t xml:space="preserve"> </w:t>
      </w:r>
      <w:r>
        <w:rPr>
          <w:rFonts w:cs="Arial" w:hint="cs"/>
          <w:rtl/>
        </w:rPr>
        <w:t xml:space="preserve">ולכאורה קשה </w:t>
      </w:r>
      <w:r w:rsidRPr="003B1EBE">
        <w:rPr>
          <w:rFonts w:cs="Arial"/>
          <w:rtl/>
        </w:rPr>
        <w:t>ד</w:t>
      </w:r>
      <w:r>
        <w:rPr>
          <w:rFonts w:cs="Arial" w:hint="cs"/>
          <w:rtl/>
        </w:rPr>
        <w:t xml:space="preserve">הרי </w:t>
      </w:r>
      <w:r w:rsidRPr="003B1EBE">
        <w:rPr>
          <w:rFonts w:cs="Arial"/>
          <w:rtl/>
        </w:rPr>
        <w:t xml:space="preserve">פסק </w:t>
      </w:r>
      <w:r>
        <w:rPr>
          <w:rFonts w:cs="Arial" w:hint="cs"/>
          <w:rtl/>
        </w:rPr>
        <w:t xml:space="preserve">השו"ע </w:t>
      </w:r>
      <w:r w:rsidRPr="003B1EBE">
        <w:rPr>
          <w:rFonts w:cs="Arial"/>
          <w:rtl/>
        </w:rPr>
        <w:t xml:space="preserve">בס"ב דמין בשאינו מינו אסור מדאורייתא כל שנותן טעם א"כ איך יהיה </w:t>
      </w:r>
      <w:r>
        <w:rPr>
          <w:rFonts w:cs="Arial" w:hint="cs"/>
          <w:rtl/>
        </w:rPr>
        <w:t>גוי</w:t>
      </w:r>
      <w:r w:rsidRPr="003B1EBE">
        <w:rPr>
          <w:rFonts w:cs="Arial"/>
          <w:rtl/>
        </w:rPr>
        <w:t xml:space="preserve"> נאמן במסיח לפי תומו והלא ש"ס ערוכה היא בפ' הגוזל בתרא (</w:t>
      </w:r>
      <w:r>
        <w:rPr>
          <w:rFonts w:cs="Arial" w:hint="cs"/>
          <w:rtl/>
        </w:rPr>
        <w:t xml:space="preserve">ב"ק </w:t>
      </w:r>
      <w:r w:rsidRPr="003B1EBE">
        <w:rPr>
          <w:rFonts w:cs="Arial"/>
          <w:rtl/>
        </w:rPr>
        <w:t>קיד</w:t>
      </w:r>
      <w:r>
        <w:rPr>
          <w:rFonts w:cs="Arial" w:hint="cs"/>
          <w:rtl/>
        </w:rPr>
        <w:t>:</w:t>
      </w:r>
      <w:r w:rsidRPr="003B1EBE">
        <w:rPr>
          <w:rFonts w:cs="Arial"/>
          <w:rtl/>
        </w:rPr>
        <w:t xml:space="preserve">) דאין </w:t>
      </w:r>
      <w:r>
        <w:rPr>
          <w:rFonts w:cs="Arial" w:hint="cs"/>
          <w:rtl/>
        </w:rPr>
        <w:t>גוי</w:t>
      </w:r>
      <w:r w:rsidRPr="003B1EBE">
        <w:rPr>
          <w:rFonts w:cs="Arial"/>
          <w:rtl/>
        </w:rPr>
        <w:t xml:space="preserve"> מסל"ת נאמן באיסור תורה אלא בעדות אשה לבד ופסקוהו בה"ג והרי"ף והרא"ש שם וסמ"ג בסוף הלכות גרושין (סוף עשין נ)</w:t>
      </w:r>
      <w:r>
        <w:rPr>
          <w:rFonts w:cs="Arial" w:hint="cs"/>
          <w:rtl/>
        </w:rPr>
        <w:t>...</w:t>
      </w:r>
      <w:r w:rsidRPr="003B1EBE">
        <w:rPr>
          <w:rFonts w:cs="Arial"/>
          <w:rtl/>
        </w:rPr>
        <w:t xml:space="preserve"> ודוחק לומר כיון דכ' </w:t>
      </w:r>
      <w:r>
        <w:rPr>
          <w:rFonts w:cs="Arial" w:hint="cs"/>
          <w:rtl/>
        </w:rPr>
        <w:t>בב"י "</w:t>
      </w:r>
      <w:r w:rsidRPr="003B1EBE">
        <w:rPr>
          <w:rFonts w:cs="Arial"/>
          <w:rtl/>
        </w:rPr>
        <w:t>ומ"מ לענין פסק הלכה נסמוך על ר"ת ור"י ובעל הלכות והראב"ד ז"ל שרבים הם ואמרו להחמיר בשל תורה</w:t>
      </w:r>
      <w:r>
        <w:rPr>
          <w:rFonts w:cs="Arial" w:hint="cs"/>
          <w:rtl/>
        </w:rPr>
        <w:t>"</w:t>
      </w:r>
      <w:r w:rsidRPr="003B1EBE">
        <w:rPr>
          <w:rFonts w:cs="Arial"/>
          <w:rtl/>
        </w:rPr>
        <w:t xml:space="preserve"> א"כ לא פסק כותייהו אלא משום חומרא ומהני סברת המקילים לענין </w:t>
      </w:r>
      <w:r>
        <w:rPr>
          <w:rFonts w:cs="Arial" w:hint="cs"/>
          <w:rtl/>
        </w:rPr>
        <w:t>גוי</w:t>
      </w:r>
      <w:r w:rsidRPr="003B1EBE">
        <w:rPr>
          <w:rFonts w:cs="Arial"/>
          <w:rtl/>
        </w:rPr>
        <w:t xml:space="preserve"> מסל"ת</w:t>
      </w:r>
      <w:r>
        <w:rPr>
          <w:rFonts w:cs="Arial" w:hint="cs"/>
          <w:rtl/>
        </w:rPr>
        <w:t>...</w:t>
      </w:r>
      <w:r w:rsidRPr="003B1EBE">
        <w:rPr>
          <w:rFonts w:cs="Arial"/>
          <w:rtl/>
        </w:rPr>
        <w:t xml:space="preserve"> ויש שהיו רוצים לתרץ דהא דאמרינן בהגוזל דאין </w:t>
      </w:r>
      <w:r>
        <w:rPr>
          <w:rFonts w:cs="Arial" w:hint="cs"/>
          <w:rtl/>
        </w:rPr>
        <w:t xml:space="preserve">גוי </w:t>
      </w:r>
      <w:r w:rsidRPr="003B1EBE">
        <w:rPr>
          <w:rFonts w:cs="Arial"/>
          <w:rtl/>
        </w:rPr>
        <w:t>מסל"ת נאמן בשאר דברים היינו היכא דאתחזק איסורא משא"כ הכא דלא ידעינן אי אית ביה טעם כלל</w:t>
      </w:r>
      <w:r>
        <w:rPr>
          <w:rFonts w:cs="Arial" w:hint="cs"/>
          <w:rtl/>
        </w:rPr>
        <w:t>,</w:t>
      </w:r>
      <w:r w:rsidRPr="003B1EBE">
        <w:rPr>
          <w:rFonts w:cs="Arial"/>
          <w:rtl/>
        </w:rPr>
        <w:t xml:space="preserve"> ודוחק</w:t>
      </w:r>
      <w:r>
        <w:rPr>
          <w:rFonts w:cs="Arial" w:hint="cs"/>
          <w:rtl/>
        </w:rPr>
        <w:t xml:space="preserve">... </w:t>
      </w:r>
      <w:r w:rsidRPr="003B1EBE">
        <w:rPr>
          <w:rFonts w:cs="Arial"/>
          <w:rtl/>
        </w:rPr>
        <w:t xml:space="preserve">לכך נ"ל לחלק דדוקא היכא דליכא למיקם עלה דמילתא הוא דאין </w:t>
      </w:r>
      <w:r>
        <w:rPr>
          <w:rFonts w:cs="Arial" w:hint="cs"/>
          <w:rtl/>
        </w:rPr>
        <w:t>גוי</w:t>
      </w:r>
      <w:r w:rsidRPr="003B1EBE">
        <w:rPr>
          <w:rFonts w:cs="Arial"/>
          <w:rtl/>
        </w:rPr>
        <w:t xml:space="preserve"> מסל"ת נאמן באיסור תורה </w:t>
      </w:r>
      <w:r>
        <w:rPr>
          <w:rFonts w:cs="Arial" w:hint="cs"/>
          <w:rtl/>
        </w:rPr>
        <w:t>,</w:t>
      </w:r>
      <w:r w:rsidRPr="003B1EBE">
        <w:rPr>
          <w:rFonts w:cs="Arial"/>
          <w:rtl/>
        </w:rPr>
        <w:t>אבל במין בשאינו מינו כיון דאיכא למיקם עלה דמילתא</w:t>
      </w:r>
      <w:r>
        <w:rPr>
          <w:rFonts w:cs="Arial" w:hint="cs"/>
          <w:sz w:val="16"/>
          <w:szCs w:val="16"/>
          <w:rtl/>
        </w:rPr>
        <w:t xml:space="preserve"> {היינו מילתא דעבידא לגלויי}</w:t>
      </w:r>
      <w:r>
        <w:rPr>
          <w:rFonts w:cs="Arial" w:hint="cs"/>
          <w:rtl/>
        </w:rPr>
        <w:t>,</w:t>
      </w:r>
      <w:r w:rsidRPr="003B1EBE">
        <w:rPr>
          <w:rFonts w:cs="Arial"/>
          <w:rtl/>
        </w:rPr>
        <w:t xml:space="preserve"> להטעימו לקפילא</w:t>
      </w:r>
      <w:r>
        <w:rPr>
          <w:rFonts w:cs="Arial" w:hint="cs"/>
          <w:rtl/>
        </w:rPr>
        <w:t>,</w:t>
      </w:r>
      <w:r w:rsidRPr="003B1EBE">
        <w:rPr>
          <w:rFonts w:cs="Arial"/>
          <w:rtl/>
        </w:rPr>
        <w:t xml:space="preserve"> סמכינן עליה</w:t>
      </w:r>
      <w:r>
        <w:rPr>
          <w:rFonts w:cs="Arial" w:hint="cs"/>
          <w:rtl/>
        </w:rPr>
        <w:t>,</w:t>
      </w:r>
      <w:r w:rsidRPr="003B1EBE">
        <w:rPr>
          <w:rFonts w:cs="Arial"/>
          <w:rtl/>
        </w:rPr>
        <w:t xml:space="preserve"> וחלוק זה מוכח בריב"ש </w:t>
      </w:r>
      <w:r>
        <w:rPr>
          <w:rFonts w:cs="Arial" w:hint="cs"/>
          <w:rtl/>
        </w:rPr>
        <w:t xml:space="preserve">(סי' תלג), ש"ך (סק"ב). </w:t>
      </w:r>
      <w:r>
        <w:rPr>
          <w:rFonts w:hint="cs"/>
          <w:rtl/>
        </w:rPr>
        <w:t>וכ"כ הגר"א (סק"ב). אך הט"ז (סק"ב) תירץ באופן אחר והוא</w:t>
      </w:r>
      <w:r>
        <w:rPr>
          <w:rFonts w:cs="Arial" w:hint="cs"/>
          <w:rtl/>
        </w:rPr>
        <w:t xml:space="preserve"> </w:t>
      </w:r>
      <w:r w:rsidRPr="00FD17D0">
        <w:rPr>
          <w:rFonts w:cs="Arial"/>
          <w:rtl/>
        </w:rPr>
        <w:t>דהרשב"א והרא"ש ס"ל דהא דאמרינן בהגוזל דאין מסל"ת נאמן במילי דאורייתא היינו במידי דבעי עדות דוקא</w:t>
      </w:r>
      <w:r>
        <w:rPr>
          <w:rFonts w:cs="Arial" w:hint="cs"/>
          <w:rtl/>
        </w:rPr>
        <w:t>,</w:t>
      </w:r>
      <w:r w:rsidRPr="00FD17D0">
        <w:rPr>
          <w:rFonts w:cs="Arial"/>
          <w:rtl/>
        </w:rPr>
        <w:t xml:space="preserve"> משא"כ באיסור והיתר שפיר מהני</w:t>
      </w:r>
      <w:r>
        <w:rPr>
          <w:rFonts w:cs="Arial" w:hint="cs"/>
          <w:rtl/>
        </w:rPr>
        <w:t>,</w:t>
      </w:r>
      <w:r w:rsidRPr="00FD17D0">
        <w:rPr>
          <w:rFonts w:cs="Arial"/>
          <w:rtl/>
        </w:rPr>
        <w:t xml:space="preserve"> דבזה לא בעינן עדות גמורה אלא באם יש לנו הוכחה סגי</w:t>
      </w:r>
      <w:r>
        <w:rPr>
          <w:rFonts w:cs="Arial" w:hint="cs"/>
          <w:rtl/>
        </w:rPr>
        <w:t>.</w:t>
      </w:r>
    </w:p>
  </w:footnote>
  <w:footnote w:id="1782">
    <w:p w14:paraId="75A83DB9" w14:textId="77777777" w:rsidR="004C5A3C" w:rsidRDefault="004C5A3C" w:rsidP="002C39F4">
      <w:pPr>
        <w:pStyle w:val="a5"/>
        <w:rPr>
          <w:rtl/>
        </w:rPr>
      </w:pPr>
      <w:r>
        <w:rPr>
          <w:rStyle w:val="a7"/>
        </w:rPr>
        <w:footnoteRef/>
      </w:r>
      <w:r>
        <w:rPr>
          <w:rtl/>
        </w:rPr>
        <w:t xml:space="preserve"> </w:t>
      </w:r>
      <w:r w:rsidRPr="00FD17D0">
        <w:rPr>
          <w:rFonts w:cs="Arial"/>
          <w:rtl/>
        </w:rPr>
        <w:t xml:space="preserve">משמע דעת המחבר דכשיש שם </w:t>
      </w:r>
      <w:r>
        <w:rPr>
          <w:rFonts w:cs="Arial" w:hint="cs"/>
          <w:rtl/>
        </w:rPr>
        <w:t>גוי</w:t>
      </w:r>
      <w:r w:rsidRPr="00FD17D0">
        <w:rPr>
          <w:rFonts w:cs="Arial"/>
          <w:rtl/>
        </w:rPr>
        <w:t xml:space="preserve"> לטועמו לא שרינן אלא ע"י </w:t>
      </w:r>
      <w:r>
        <w:rPr>
          <w:rFonts w:cs="Arial" w:hint="cs"/>
          <w:rtl/>
        </w:rPr>
        <w:t>גוי,</w:t>
      </w:r>
      <w:r w:rsidRPr="00FD17D0">
        <w:rPr>
          <w:rFonts w:cs="Arial"/>
          <w:rtl/>
        </w:rPr>
        <w:t xml:space="preserve"> ואי אמר דאית ביה טעם איסור אסור אפי' טפי מס'</w:t>
      </w:r>
      <w:r>
        <w:rPr>
          <w:rFonts w:cs="Arial" w:hint="cs"/>
          <w:rtl/>
        </w:rPr>
        <w:t>,</w:t>
      </w:r>
      <w:r w:rsidRPr="00FD17D0">
        <w:rPr>
          <w:rFonts w:cs="Arial"/>
          <w:rtl/>
        </w:rPr>
        <w:t xml:space="preserve"> ואי אמר דלית ביה טעם מותר אפי' בפחות מששים</w:t>
      </w:r>
      <w:r>
        <w:rPr>
          <w:rFonts w:cs="Arial" w:hint="cs"/>
          <w:rtl/>
        </w:rPr>
        <w:t>,</w:t>
      </w:r>
      <w:r w:rsidRPr="00FD17D0">
        <w:rPr>
          <w:rFonts w:cs="Arial"/>
          <w:rtl/>
        </w:rPr>
        <w:t xml:space="preserve"> ולא אמרינן לשער בס' אלא היכא דלא אפשר למיקם עלה דמילתא כגון שאין שם </w:t>
      </w:r>
      <w:r>
        <w:rPr>
          <w:rFonts w:cs="Arial" w:hint="cs"/>
          <w:rtl/>
        </w:rPr>
        <w:t xml:space="preserve">גוי </w:t>
      </w:r>
      <w:r w:rsidRPr="00FD17D0">
        <w:rPr>
          <w:rFonts w:cs="Arial"/>
          <w:rtl/>
        </w:rPr>
        <w:t>או מין במינו</w:t>
      </w:r>
      <w:r>
        <w:rPr>
          <w:rFonts w:cs="Arial" w:hint="cs"/>
          <w:rtl/>
        </w:rPr>
        <w:t>,</w:t>
      </w:r>
      <w:r w:rsidRPr="00FD17D0">
        <w:rPr>
          <w:rFonts w:cs="Arial"/>
          <w:rtl/>
        </w:rPr>
        <w:t xml:space="preserve"> וכמו שפירש בב"י דעת הרמב"ם כן וע"ש</w:t>
      </w:r>
      <w:r>
        <w:rPr>
          <w:rFonts w:hint="cs"/>
          <w:rtl/>
        </w:rPr>
        <w:t>, ש"ך (סק"ד).</w:t>
      </w:r>
    </w:p>
  </w:footnote>
  <w:footnote w:id="1783">
    <w:p w14:paraId="5254E5EE" w14:textId="77777777" w:rsidR="004C5A3C" w:rsidRDefault="004C5A3C" w:rsidP="002C39F4">
      <w:pPr>
        <w:pStyle w:val="a5"/>
      </w:pPr>
      <w:r>
        <w:rPr>
          <w:rStyle w:val="a7"/>
        </w:rPr>
        <w:footnoteRef/>
      </w:r>
      <w:r>
        <w:rPr>
          <w:rtl/>
        </w:rPr>
        <w:t xml:space="preserve"> </w:t>
      </w:r>
      <w:r w:rsidRPr="00FD17D0">
        <w:rPr>
          <w:rFonts w:cs="Arial"/>
          <w:rtl/>
        </w:rPr>
        <w:t xml:space="preserve">מדלא קאמר ואין נוהגין עכשיו לסמוך אטעימה וקאמר ואין נוהגין עכשיו לסמוך </w:t>
      </w:r>
      <w:r>
        <w:rPr>
          <w:rFonts w:cs="Arial" w:hint="cs"/>
          <w:rtl/>
        </w:rPr>
        <w:t>אגוי</w:t>
      </w:r>
      <w:r w:rsidRPr="00FD17D0">
        <w:rPr>
          <w:rFonts w:cs="Arial"/>
          <w:rtl/>
        </w:rPr>
        <w:t xml:space="preserve"> משמע דוקא </w:t>
      </w:r>
      <w:r>
        <w:rPr>
          <w:rFonts w:cs="Arial" w:hint="cs"/>
          <w:rtl/>
        </w:rPr>
        <w:t>אגוי</w:t>
      </w:r>
      <w:r w:rsidRPr="00FD17D0">
        <w:rPr>
          <w:rFonts w:cs="Arial"/>
          <w:rtl/>
        </w:rPr>
        <w:t xml:space="preserve"> הוא דלא סמכינן משום </w:t>
      </w:r>
      <w:r>
        <w:rPr>
          <w:rFonts w:cs="Arial" w:hint="cs"/>
          <w:rtl/>
        </w:rPr>
        <w:t>דגוי</w:t>
      </w:r>
      <w:r w:rsidRPr="00FD17D0">
        <w:rPr>
          <w:rFonts w:cs="Arial"/>
          <w:rtl/>
        </w:rPr>
        <w:t xml:space="preserve"> הוא אבל אטעימת ישראל סמכינן במין בשאינו מינו דהתירא כגון תרומה שנפל לחולין דטעים לה כהן כדאי' בש"ס ופוסקים ואף שאין תרומה נוהג בזמנינו מ"מ נ</w:t>
      </w:r>
      <w:r>
        <w:rPr>
          <w:rFonts w:cs="Arial" w:hint="cs"/>
          <w:rtl/>
        </w:rPr>
        <w:t>פ</w:t>
      </w:r>
      <w:r w:rsidRPr="00FD17D0">
        <w:rPr>
          <w:rFonts w:cs="Arial"/>
          <w:rtl/>
        </w:rPr>
        <w:t>"מ לענין האומר קונם בשר ויין שאני טועם ונפל לתבשיל שאסור לו בנ"ט דסמכי' אטעימת ישראל</w:t>
      </w:r>
      <w:r>
        <w:rPr>
          <w:rFonts w:cs="Arial" w:hint="cs"/>
          <w:rtl/>
        </w:rPr>
        <w:t>,</w:t>
      </w:r>
      <w:r w:rsidRPr="00FD17D0">
        <w:rPr>
          <w:rFonts w:cs="Arial"/>
          <w:rtl/>
        </w:rPr>
        <w:t xml:space="preserve"> וכדלקמן סימן רי"ז ס"ק כ"ו</w:t>
      </w:r>
      <w:r>
        <w:rPr>
          <w:rFonts w:cs="Arial" w:hint="cs"/>
          <w:rtl/>
        </w:rPr>
        <w:t>,</w:t>
      </w:r>
      <w:r w:rsidRPr="00FD17D0">
        <w:rPr>
          <w:rFonts w:cs="Arial"/>
          <w:rtl/>
        </w:rPr>
        <w:t xml:space="preserve"> א"נ לענין טעימת בשר או חלב כמו גבי צנון וכה"ג וכמ"ש בסמוך וכ"פ הב"ח דבשא"מ דהיתירא יש לסמוך אישראל אפי' אינו אומן אפי' האידנא אפי' בנתערב גוף הדבר דודאי ישראל לא משקר</w:t>
      </w:r>
      <w:r>
        <w:rPr>
          <w:rFonts w:cs="Arial" w:hint="cs"/>
          <w:rtl/>
        </w:rPr>
        <w:t>,</w:t>
      </w:r>
      <w:r w:rsidRPr="00FD17D0">
        <w:rPr>
          <w:rFonts w:cs="Arial"/>
          <w:rtl/>
        </w:rPr>
        <w:t xml:space="preserve"> וכן משמע לעיל ר"ס צ"ו צנון שחתכו בסכין של בשר וכמ"ש שם בסק</w:t>
      </w:r>
      <w:r>
        <w:rPr>
          <w:rFonts w:cs="Arial" w:hint="cs"/>
          <w:rtl/>
        </w:rPr>
        <w:t>"</w:t>
      </w:r>
      <w:r w:rsidRPr="00FD17D0">
        <w:rPr>
          <w:rFonts w:cs="Arial"/>
          <w:rtl/>
        </w:rPr>
        <w:t>ה וכן משמע בתשובת הרב סימן נ"ד דקי"ט ע"ג</w:t>
      </w:r>
      <w:r>
        <w:rPr>
          <w:rFonts w:cs="Arial" w:hint="cs"/>
          <w:rtl/>
        </w:rPr>
        <w:t>,</w:t>
      </w:r>
      <w:r w:rsidRPr="00FD17D0">
        <w:rPr>
          <w:rFonts w:cs="Arial"/>
          <w:rtl/>
        </w:rPr>
        <w:t xml:space="preserve"> ודלא כהעט"ז שכ' ועכשיו אין נוהגין לסמוך אטעימת כהן </w:t>
      </w:r>
      <w:r>
        <w:rPr>
          <w:rFonts w:cs="Arial" w:hint="cs"/>
          <w:rtl/>
        </w:rPr>
        <w:t>וגוי</w:t>
      </w:r>
      <w:r w:rsidRPr="00FD17D0">
        <w:rPr>
          <w:rFonts w:cs="Arial"/>
          <w:rtl/>
        </w:rPr>
        <w:t xml:space="preserve"> עכ"ל ואזיל לטעמיה שגם בסימן צ"ו לא הזכיר טעימת צנון כלל והא ליתא אלא בישראל מהני לעולם טעימה וכמ</w:t>
      </w:r>
      <w:r>
        <w:rPr>
          <w:rFonts w:cs="Arial" w:hint="cs"/>
          <w:rtl/>
        </w:rPr>
        <w:t xml:space="preserve">ו </w:t>
      </w:r>
      <w:r w:rsidRPr="00FD17D0">
        <w:rPr>
          <w:rFonts w:cs="Arial"/>
          <w:rtl/>
        </w:rPr>
        <w:t>ש</w:t>
      </w:r>
      <w:r>
        <w:rPr>
          <w:rFonts w:cs="Arial" w:hint="cs"/>
          <w:rtl/>
        </w:rPr>
        <w:t>כתבתי, ש"ך (סק"ה).</w:t>
      </w:r>
    </w:p>
  </w:footnote>
  <w:footnote w:id="1784">
    <w:p w14:paraId="1E05C1E4" w14:textId="77777777" w:rsidR="004C5A3C" w:rsidRDefault="004C5A3C" w:rsidP="002C39F4">
      <w:pPr>
        <w:pStyle w:val="a5"/>
        <w:rPr>
          <w:rtl/>
        </w:rPr>
      </w:pPr>
      <w:r>
        <w:rPr>
          <w:rStyle w:val="a7"/>
        </w:rPr>
        <w:footnoteRef/>
      </w:r>
      <w:r>
        <w:rPr>
          <w:rtl/>
        </w:rPr>
        <w:t xml:space="preserve"> </w:t>
      </w:r>
      <w:r w:rsidRPr="00763C8E">
        <w:rPr>
          <w:rFonts w:hint="cs"/>
          <w:rtl/>
        </w:rPr>
        <w:t xml:space="preserve">וכ' </w:t>
      </w:r>
      <w:r w:rsidRPr="00763C8E">
        <w:rPr>
          <w:rtl/>
        </w:rPr>
        <w:t>ראבי"ה (סי' תתקמב</w:t>
      </w:r>
      <w:r w:rsidRPr="00763C8E">
        <w:rPr>
          <w:rFonts w:hint="cs"/>
          <w:rtl/>
        </w:rPr>
        <w:t>) דנהגינן כדפסק רש"י</w:t>
      </w:r>
      <w:r>
        <w:rPr>
          <w:rFonts w:hint="cs"/>
          <w:rtl/>
        </w:rPr>
        <w:t>.</w:t>
      </w:r>
    </w:p>
  </w:footnote>
  <w:footnote w:id="1785">
    <w:p w14:paraId="5DEC06EB" w14:textId="77777777" w:rsidR="004C5A3C" w:rsidRPr="00CF2D12" w:rsidRDefault="004C5A3C" w:rsidP="002C39F4">
      <w:pPr>
        <w:pStyle w:val="a5"/>
        <w:rPr>
          <w:sz w:val="18"/>
          <w:szCs w:val="18"/>
        </w:rPr>
      </w:pPr>
      <w:r>
        <w:rPr>
          <w:rStyle w:val="a7"/>
        </w:rPr>
        <w:footnoteRef/>
      </w:r>
      <w:r>
        <w:rPr>
          <w:rtl/>
        </w:rPr>
        <w:t xml:space="preserve"> </w:t>
      </w:r>
      <w:r w:rsidRPr="005D25EC">
        <w:rPr>
          <w:rFonts w:cs="Arial"/>
          <w:rtl/>
        </w:rPr>
        <w:t>ר"ת</w:t>
      </w:r>
      <w:r>
        <w:rPr>
          <w:rFonts w:cs="Arial" w:hint="cs"/>
          <w:rtl/>
        </w:rPr>
        <w:t xml:space="preserve"> </w:t>
      </w:r>
      <w:r>
        <w:rPr>
          <w:rFonts w:cs="Arial" w:hint="cs"/>
          <w:sz w:val="16"/>
          <w:szCs w:val="16"/>
          <w:rtl/>
        </w:rPr>
        <w:t>(הביאו הטור)</w:t>
      </w:r>
      <w:r>
        <w:rPr>
          <w:rFonts w:cs="Arial" w:hint="cs"/>
          <w:rtl/>
        </w:rPr>
        <w:t xml:space="preserve"> </w:t>
      </w:r>
      <w:r w:rsidRPr="00A2317E">
        <w:rPr>
          <w:rFonts w:cs="Arial"/>
          <w:rtl/>
        </w:rPr>
        <w:t xml:space="preserve">תוס' </w:t>
      </w:r>
      <w:r w:rsidRPr="00A2317E">
        <w:rPr>
          <w:rFonts w:cs="Arial"/>
          <w:sz w:val="16"/>
          <w:szCs w:val="16"/>
          <w:rtl/>
        </w:rPr>
        <w:t>(</w:t>
      </w:r>
      <w:r>
        <w:rPr>
          <w:rFonts w:cs="Arial" w:hint="cs"/>
          <w:sz w:val="16"/>
          <w:szCs w:val="16"/>
          <w:rtl/>
        </w:rPr>
        <w:t xml:space="preserve">חולין </w:t>
      </w:r>
      <w:r w:rsidRPr="00A2317E">
        <w:rPr>
          <w:rFonts w:cs="Arial"/>
          <w:sz w:val="16"/>
          <w:szCs w:val="16"/>
          <w:rtl/>
        </w:rPr>
        <w:t>צז. ד"ה אמר רבא)</w:t>
      </w:r>
      <w:r>
        <w:rPr>
          <w:rFonts w:cs="Arial" w:hint="cs"/>
          <w:sz w:val="16"/>
          <w:szCs w:val="16"/>
          <w:rtl/>
        </w:rPr>
        <w:t xml:space="preserve"> </w:t>
      </w:r>
      <w:r>
        <w:rPr>
          <w:rFonts w:cs="Arial" w:hint="cs"/>
          <w:rtl/>
        </w:rPr>
        <w:t>רא"ש</w:t>
      </w:r>
      <w:r>
        <w:rPr>
          <w:rFonts w:cs="Arial" w:hint="cs"/>
          <w:sz w:val="16"/>
          <w:szCs w:val="16"/>
          <w:rtl/>
        </w:rPr>
        <w:t xml:space="preserve"> </w:t>
      </w:r>
      <w:r w:rsidRPr="00EC649B">
        <w:rPr>
          <w:rFonts w:cs="Arial"/>
          <w:sz w:val="14"/>
          <w:szCs w:val="14"/>
          <w:rtl/>
        </w:rPr>
        <w:t>(ע"ז פ"</w:t>
      </w:r>
      <w:r>
        <w:rPr>
          <w:rFonts w:cs="Arial" w:hint="cs"/>
          <w:sz w:val="14"/>
          <w:szCs w:val="14"/>
          <w:rtl/>
        </w:rPr>
        <w:t>ז</w:t>
      </w:r>
      <w:r w:rsidRPr="00EC649B">
        <w:rPr>
          <w:rFonts w:cs="Arial"/>
          <w:sz w:val="14"/>
          <w:szCs w:val="14"/>
          <w:rtl/>
        </w:rPr>
        <w:t xml:space="preserve"> סי' </w:t>
      </w:r>
      <w:r>
        <w:rPr>
          <w:rFonts w:cs="Arial" w:hint="cs"/>
          <w:sz w:val="14"/>
          <w:szCs w:val="14"/>
          <w:rtl/>
        </w:rPr>
        <w:t>לא</w:t>
      </w:r>
      <w:r w:rsidRPr="00EC649B">
        <w:rPr>
          <w:rFonts w:cs="Arial"/>
          <w:sz w:val="14"/>
          <w:szCs w:val="14"/>
          <w:rtl/>
        </w:rPr>
        <w:t>)</w:t>
      </w:r>
      <w:r w:rsidRPr="00A2317E">
        <w:rPr>
          <w:rFonts w:cs="Arial" w:hint="cs"/>
          <w:rtl/>
        </w:rPr>
        <w:t xml:space="preserve"> </w:t>
      </w:r>
      <w:r>
        <w:rPr>
          <w:rFonts w:cs="Arial" w:hint="cs"/>
          <w:rtl/>
        </w:rPr>
        <w:t xml:space="preserve">ור"ן </w:t>
      </w:r>
      <w:r w:rsidRPr="00A2317E">
        <w:rPr>
          <w:rFonts w:cs="Arial"/>
          <w:sz w:val="16"/>
          <w:szCs w:val="16"/>
          <w:rtl/>
        </w:rPr>
        <w:t>(</w:t>
      </w:r>
      <w:r>
        <w:rPr>
          <w:rFonts w:cs="Arial" w:hint="cs"/>
          <w:sz w:val="16"/>
          <w:szCs w:val="16"/>
          <w:rtl/>
        </w:rPr>
        <w:t xml:space="preserve">חולין </w:t>
      </w:r>
      <w:r w:rsidRPr="00A2317E">
        <w:rPr>
          <w:rFonts w:cs="Arial"/>
          <w:sz w:val="16"/>
          <w:szCs w:val="16"/>
          <w:rtl/>
        </w:rPr>
        <w:t>לד</w:t>
      </w:r>
      <w:r w:rsidRPr="00A2317E">
        <w:rPr>
          <w:rFonts w:cs="Arial" w:hint="cs"/>
          <w:sz w:val="16"/>
          <w:szCs w:val="16"/>
          <w:rtl/>
        </w:rPr>
        <w:t>:</w:t>
      </w:r>
      <w:r w:rsidRPr="00A2317E">
        <w:rPr>
          <w:rFonts w:cs="Arial"/>
          <w:sz w:val="16"/>
          <w:szCs w:val="16"/>
          <w:rtl/>
        </w:rPr>
        <w:t>)</w:t>
      </w:r>
      <w:r w:rsidRPr="00CF2D12">
        <w:rPr>
          <w:rFonts w:cs="Arial" w:hint="cs"/>
          <w:rtl/>
        </w:rPr>
        <w:t>.</w:t>
      </w:r>
    </w:p>
  </w:footnote>
  <w:footnote w:id="1786">
    <w:p w14:paraId="42D23CF6" w14:textId="77777777" w:rsidR="004C5A3C" w:rsidRDefault="004C5A3C" w:rsidP="002C39F4">
      <w:pPr>
        <w:pStyle w:val="a5"/>
        <w:rPr>
          <w:rtl/>
        </w:rPr>
      </w:pPr>
      <w:r>
        <w:rPr>
          <w:rStyle w:val="a7"/>
        </w:rPr>
        <w:footnoteRef/>
      </w:r>
      <w:r>
        <w:rPr>
          <w:rtl/>
        </w:rPr>
        <w:t xml:space="preserve"> </w:t>
      </w:r>
      <w:r w:rsidRPr="008F2A12">
        <w:rPr>
          <w:rFonts w:cs="Arial"/>
          <w:rtl/>
        </w:rPr>
        <w:t xml:space="preserve">וכדאמר רבא בפרק התערובת </w:t>
      </w:r>
      <w:r w:rsidRPr="008F2A12">
        <w:rPr>
          <w:rFonts w:cs="Arial"/>
          <w:sz w:val="16"/>
          <w:szCs w:val="16"/>
          <w:rtl/>
        </w:rPr>
        <w:t xml:space="preserve">(זבחים עט.) </w:t>
      </w:r>
      <w:r w:rsidRPr="008F2A12">
        <w:rPr>
          <w:rFonts w:cs="Arial"/>
          <w:rtl/>
        </w:rPr>
        <w:t>אמור רבנן ברובא ופרישנא התם במינו ברובא</w:t>
      </w:r>
      <w:r>
        <w:rPr>
          <w:rFonts w:hint="cs"/>
          <w:rtl/>
        </w:rPr>
        <w:t xml:space="preserve">, ר"ן </w:t>
      </w:r>
      <w:r w:rsidRPr="008F2A12">
        <w:rPr>
          <w:rFonts w:cs="Arial"/>
          <w:sz w:val="16"/>
          <w:szCs w:val="16"/>
          <w:rtl/>
        </w:rPr>
        <w:t>(</w:t>
      </w:r>
      <w:r w:rsidRPr="008F2A12">
        <w:rPr>
          <w:rFonts w:cs="Arial" w:hint="cs"/>
          <w:sz w:val="16"/>
          <w:szCs w:val="16"/>
          <w:rtl/>
        </w:rPr>
        <w:t xml:space="preserve">חולין </w:t>
      </w:r>
      <w:r w:rsidRPr="008F2A12">
        <w:rPr>
          <w:rFonts w:cs="Arial"/>
          <w:sz w:val="16"/>
          <w:szCs w:val="16"/>
          <w:rtl/>
        </w:rPr>
        <w:t>לה: סוף דיבור ראשון)</w:t>
      </w:r>
      <w:r>
        <w:rPr>
          <w:rFonts w:hint="cs"/>
          <w:rtl/>
        </w:rPr>
        <w:t>.</w:t>
      </w:r>
    </w:p>
  </w:footnote>
  <w:footnote w:id="1787">
    <w:p w14:paraId="1679902C" w14:textId="77777777" w:rsidR="004C5A3C" w:rsidRDefault="004C5A3C" w:rsidP="002C39F4">
      <w:pPr>
        <w:pStyle w:val="a5"/>
        <w:rPr>
          <w:rtl/>
        </w:rPr>
      </w:pPr>
      <w:r>
        <w:rPr>
          <w:rStyle w:val="a7"/>
        </w:rPr>
        <w:footnoteRef/>
      </w:r>
      <w:r>
        <w:rPr>
          <w:rtl/>
        </w:rPr>
        <w:t xml:space="preserve"> </w:t>
      </w:r>
      <w:r w:rsidRPr="008F2A12">
        <w:rPr>
          <w:rFonts w:cs="Arial"/>
          <w:rtl/>
        </w:rPr>
        <w:t>בין שנתערב גופו ונבלל בין שאין שם אלא פליטתו</w:t>
      </w:r>
      <w:r>
        <w:rPr>
          <w:rFonts w:hint="cs"/>
          <w:rtl/>
        </w:rPr>
        <w:t xml:space="preserve">, </w:t>
      </w:r>
      <w:r w:rsidRPr="008F2A12">
        <w:rPr>
          <w:rFonts w:cs="Arial"/>
          <w:rtl/>
        </w:rPr>
        <w:t>מיהו כי בעינן ששים במין במינו הני מילי בדברים הנבללים אבל יבש ביבש אפילו מדרבנן חד בתרי בטי</w:t>
      </w:r>
      <w:r w:rsidRPr="008F2A12">
        <w:rPr>
          <w:rFonts w:cs="Arial" w:hint="cs"/>
          <w:rtl/>
        </w:rPr>
        <w:t>ל</w:t>
      </w:r>
      <w:r>
        <w:rPr>
          <w:rFonts w:hint="cs"/>
          <w:rtl/>
        </w:rPr>
        <w:t xml:space="preserve">, ר"ן </w:t>
      </w:r>
      <w:r w:rsidRPr="008F2A12">
        <w:rPr>
          <w:rFonts w:cs="Arial"/>
          <w:sz w:val="16"/>
          <w:szCs w:val="16"/>
          <w:rtl/>
        </w:rPr>
        <w:t>(</w:t>
      </w:r>
      <w:r w:rsidRPr="008F2A12">
        <w:rPr>
          <w:rFonts w:cs="Arial" w:hint="cs"/>
          <w:sz w:val="16"/>
          <w:szCs w:val="16"/>
          <w:rtl/>
        </w:rPr>
        <w:t xml:space="preserve">חולין </w:t>
      </w:r>
      <w:r w:rsidRPr="008F2A12">
        <w:rPr>
          <w:rFonts w:cs="Arial"/>
          <w:sz w:val="16"/>
          <w:szCs w:val="16"/>
          <w:rtl/>
        </w:rPr>
        <w:t>לה: סוף דיבור ראשון)</w:t>
      </w:r>
      <w:r>
        <w:rPr>
          <w:rFonts w:hint="cs"/>
          <w:rtl/>
        </w:rPr>
        <w:t xml:space="preserve">. </w:t>
      </w:r>
    </w:p>
  </w:footnote>
  <w:footnote w:id="1788">
    <w:p w14:paraId="509CA38D" w14:textId="77777777" w:rsidR="004C5A3C" w:rsidRDefault="004C5A3C" w:rsidP="002C39F4">
      <w:pPr>
        <w:pStyle w:val="a5"/>
        <w:rPr>
          <w:rtl/>
        </w:rPr>
      </w:pPr>
      <w:r>
        <w:rPr>
          <w:rStyle w:val="a7"/>
        </w:rPr>
        <w:footnoteRef/>
      </w:r>
      <w:r>
        <w:rPr>
          <w:rtl/>
        </w:rPr>
        <w:t xml:space="preserve"> </w:t>
      </w:r>
      <w:r>
        <w:rPr>
          <w:rFonts w:cs="Arial"/>
          <w:rtl/>
        </w:rPr>
        <w:t>וכ</w:t>
      </w:r>
      <w:r>
        <w:rPr>
          <w:rFonts w:cs="Arial" w:hint="cs"/>
          <w:rtl/>
        </w:rPr>
        <w:t>'</w:t>
      </w:r>
      <w:r>
        <w:rPr>
          <w:rFonts w:cs="Arial"/>
          <w:rtl/>
        </w:rPr>
        <w:t xml:space="preserve"> </w:t>
      </w:r>
      <w:r>
        <w:rPr>
          <w:rFonts w:cs="Arial" w:hint="cs"/>
          <w:rtl/>
        </w:rPr>
        <w:t>הריב"ש שם</w:t>
      </w:r>
      <w:r>
        <w:rPr>
          <w:rFonts w:cs="Arial"/>
          <w:rtl/>
        </w:rPr>
        <w:t xml:space="preserve"> שכך הסכימו כל האחרונים</w:t>
      </w:r>
      <w:r>
        <w:rPr>
          <w:rFonts w:hint="cs"/>
          <w:rtl/>
        </w:rPr>
        <w:t xml:space="preserve">. </w:t>
      </w:r>
      <w:r>
        <w:rPr>
          <w:rFonts w:cs="Arial"/>
          <w:rtl/>
        </w:rPr>
        <w:t>ו</w:t>
      </w:r>
      <w:r>
        <w:rPr>
          <w:rFonts w:cs="Arial" w:hint="cs"/>
          <w:rtl/>
        </w:rPr>
        <w:t>כ' הב"י ד</w:t>
      </w:r>
      <w:r>
        <w:rPr>
          <w:rFonts w:cs="Arial"/>
          <w:rtl/>
        </w:rPr>
        <w:t>אע</w:t>
      </w:r>
      <w:r>
        <w:rPr>
          <w:rFonts w:cs="Arial" w:hint="cs"/>
          <w:rtl/>
        </w:rPr>
        <w:t>"</w:t>
      </w:r>
      <w:r>
        <w:rPr>
          <w:rFonts w:cs="Arial"/>
          <w:rtl/>
        </w:rPr>
        <w:t>פ שהרי"ף (ע"ז לו:) פסק כרב ושמואל כבר כתבו הרא"ש (שם בסוף הסימן) והר"ן (שם סוד"ה חוץ מטבל) שחזר בו וציוה לתקן דהלכה כר' יוחנן וריש לקיש</w:t>
      </w:r>
      <w:r>
        <w:rPr>
          <w:rFonts w:hint="cs"/>
          <w:rtl/>
        </w:rPr>
        <w:t>.</w:t>
      </w:r>
    </w:p>
  </w:footnote>
  <w:footnote w:id="1789">
    <w:p w14:paraId="243B4193" w14:textId="77777777" w:rsidR="004C5A3C" w:rsidRDefault="004C5A3C" w:rsidP="002C39F4">
      <w:pPr>
        <w:pStyle w:val="a5"/>
      </w:pPr>
      <w:r>
        <w:rPr>
          <w:rStyle w:val="a7"/>
        </w:rPr>
        <w:footnoteRef/>
      </w:r>
      <w:r>
        <w:rPr>
          <w:rtl/>
        </w:rPr>
        <w:t xml:space="preserve"> </w:t>
      </w:r>
      <w:r>
        <w:rPr>
          <w:rFonts w:cs="Arial" w:hint="cs"/>
          <w:rtl/>
        </w:rPr>
        <w:t xml:space="preserve">וכ"כ </w:t>
      </w:r>
      <w:r w:rsidRPr="00500B7E">
        <w:rPr>
          <w:rFonts w:cs="Arial" w:hint="cs"/>
          <w:rtl/>
        </w:rPr>
        <w:t xml:space="preserve">בה"ג </w:t>
      </w:r>
      <w:r w:rsidRPr="00500B7E">
        <w:rPr>
          <w:rFonts w:cs="Arial" w:hint="cs"/>
          <w:sz w:val="16"/>
          <w:szCs w:val="16"/>
          <w:rtl/>
        </w:rPr>
        <w:t>(</w:t>
      </w:r>
      <w:r w:rsidRPr="00500B7E">
        <w:rPr>
          <w:rFonts w:cs="Arial"/>
          <w:sz w:val="16"/>
          <w:szCs w:val="16"/>
          <w:rtl/>
        </w:rPr>
        <w:t>קלב ע"ג</w:t>
      </w:r>
      <w:r w:rsidRPr="00500B7E">
        <w:rPr>
          <w:rFonts w:cs="Arial" w:hint="cs"/>
          <w:sz w:val="16"/>
          <w:szCs w:val="16"/>
          <w:rtl/>
        </w:rPr>
        <w:t>, כ"כ הרשב"א בשמו</w:t>
      </w:r>
      <w:r w:rsidRPr="00500B7E">
        <w:rPr>
          <w:rFonts w:cs="Arial"/>
          <w:sz w:val="16"/>
          <w:szCs w:val="16"/>
          <w:rtl/>
        </w:rPr>
        <w:t>)</w:t>
      </w:r>
      <w:r w:rsidRPr="00500B7E">
        <w:rPr>
          <w:rFonts w:cs="Arial" w:hint="cs"/>
          <w:sz w:val="16"/>
          <w:szCs w:val="16"/>
          <w:rtl/>
        </w:rPr>
        <w:t xml:space="preserve"> </w:t>
      </w:r>
      <w:r w:rsidRPr="00500B7E">
        <w:rPr>
          <w:rFonts w:cs="Arial"/>
          <w:rtl/>
        </w:rPr>
        <w:t xml:space="preserve">ר"י </w:t>
      </w:r>
      <w:r>
        <w:rPr>
          <w:rFonts w:cs="Arial" w:hint="cs"/>
          <w:sz w:val="16"/>
          <w:szCs w:val="16"/>
          <w:rtl/>
        </w:rPr>
        <w:t>(כ"כ רשב"א ורא"ש</w:t>
      </w:r>
      <w:r w:rsidRPr="006A238C">
        <w:rPr>
          <w:rFonts w:cs="Arial" w:hint="cs"/>
          <w:sz w:val="16"/>
          <w:szCs w:val="16"/>
          <w:rtl/>
        </w:rPr>
        <w:t xml:space="preserve"> </w:t>
      </w:r>
      <w:r>
        <w:rPr>
          <w:rFonts w:cs="Arial" w:hint="cs"/>
          <w:sz w:val="16"/>
          <w:szCs w:val="16"/>
          <w:rtl/>
        </w:rPr>
        <w:t xml:space="preserve">בשמו) </w:t>
      </w:r>
      <w:r w:rsidRPr="00500B7E">
        <w:rPr>
          <w:rFonts w:cs="Arial"/>
          <w:rtl/>
        </w:rPr>
        <w:t xml:space="preserve">ראב"ד </w:t>
      </w:r>
      <w:r w:rsidRPr="00500B7E">
        <w:rPr>
          <w:rFonts w:cs="Arial" w:hint="cs"/>
          <w:sz w:val="16"/>
          <w:szCs w:val="16"/>
          <w:rtl/>
        </w:rPr>
        <w:t>(כ"כ הרשב"א בשמו</w:t>
      </w:r>
      <w:r w:rsidRPr="00500B7E">
        <w:rPr>
          <w:rFonts w:cs="Arial"/>
          <w:sz w:val="16"/>
          <w:szCs w:val="16"/>
          <w:rtl/>
        </w:rPr>
        <w:t>)</w:t>
      </w:r>
      <w:r w:rsidRPr="00500B7E">
        <w:rPr>
          <w:rFonts w:cs="Arial" w:hint="cs"/>
          <w:rtl/>
        </w:rPr>
        <w:t xml:space="preserve"> רשב"א </w:t>
      </w:r>
      <w:r w:rsidRPr="00500B7E">
        <w:rPr>
          <w:rFonts w:cs="Arial" w:hint="cs"/>
          <w:sz w:val="16"/>
          <w:szCs w:val="16"/>
          <w:rtl/>
        </w:rPr>
        <w:t>(תוה"א</w:t>
      </w:r>
      <w:r w:rsidRPr="00500B7E">
        <w:rPr>
          <w:rFonts w:cs="Arial"/>
          <w:sz w:val="16"/>
          <w:szCs w:val="16"/>
          <w:rtl/>
        </w:rPr>
        <w:t xml:space="preserve"> ב"ד ש"א טז</w:t>
      </w:r>
      <w:r w:rsidRPr="00500B7E">
        <w:rPr>
          <w:rFonts w:cs="Arial" w:hint="cs"/>
          <w:sz w:val="16"/>
          <w:szCs w:val="16"/>
          <w:rtl/>
        </w:rPr>
        <w:t>:)</w:t>
      </w:r>
      <w:r w:rsidRPr="00CF2D12">
        <w:rPr>
          <w:rFonts w:cs="Arial" w:hint="cs"/>
          <w:rtl/>
        </w:rPr>
        <w:t xml:space="preserve"> </w:t>
      </w:r>
      <w:r>
        <w:rPr>
          <w:rFonts w:cs="Arial" w:hint="cs"/>
          <w:rtl/>
        </w:rPr>
        <w:t xml:space="preserve">ורא"ש </w:t>
      </w:r>
      <w:r>
        <w:rPr>
          <w:rFonts w:cs="Arial" w:hint="cs"/>
          <w:sz w:val="16"/>
          <w:szCs w:val="16"/>
          <w:rtl/>
        </w:rPr>
        <w:t>(הטור כ' שהרא"ש הסכים לדברי ר"ת, והב"י כ' שלא מצא בדברי הרא"ש שהכריע בדבר, ועי' הלכות קטנות הל' חלה סי' טו ד"ה העושה עיסה)</w:t>
      </w:r>
      <w:r>
        <w:rPr>
          <w:rFonts w:cs="Arial" w:hint="cs"/>
          <w:rtl/>
        </w:rPr>
        <w:t xml:space="preserve">. </w:t>
      </w:r>
      <w:r w:rsidRPr="00656276">
        <w:rPr>
          <w:rFonts w:asciiTheme="minorBidi" w:hAnsiTheme="minorBidi"/>
          <w:rtl/>
        </w:rPr>
        <w:t>וכ</w:t>
      </w:r>
      <w:r>
        <w:rPr>
          <w:rFonts w:asciiTheme="minorBidi" w:hAnsiTheme="minorBidi" w:hint="cs"/>
          <w:rtl/>
        </w:rPr>
        <w:t xml:space="preserve">' סה"ת </w:t>
      </w:r>
      <w:r w:rsidRPr="005E7749">
        <w:rPr>
          <w:rFonts w:asciiTheme="minorBidi" w:hAnsiTheme="minorBidi"/>
          <w:sz w:val="16"/>
          <w:szCs w:val="16"/>
          <w:rtl/>
        </w:rPr>
        <w:t>(סי' מח</w:t>
      </w:r>
      <w:r w:rsidRPr="005E7749">
        <w:rPr>
          <w:rFonts w:asciiTheme="minorBidi" w:hAnsiTheme="minorBidi" w:hint="cs"/>
          <w:sz w:val="16"/>
          <w:szCs w:val="16"/>
          <w:rtl/>
        </w:rPr>
        <w:t xml:space="preserve">, הביאו המרדכי </w:t>
      </w:r>
      <w:r w:rsidRPr="00656276">
        <w:rPr>
          <w:rFonts w:asciiTheme="minorBidi" w:hAnsiTheme="minorBidi" w:hint="cs"/>
          <w:sz w:val="14"/>
          <w:szCs w:val="14"/>
          <w:rtl/>
        </w:rPr>
        <w:t>[חולין סי' עתר]</w:t>
      </w:r>
      <w:r w:rsidRPr="005E7749">
        <w:rPr>
          <w:rFonts w:asciiTheme="minorBidi" w:hAnsiTheme="minorBidi"/>
          <w:sz w:val="16"/>
          <w:szCs w:val="16"/>
          <w:rtl/>
        </w:rPr>
        <w:t xml:space="preserve">) </w:t>
      </w:r>
      <w:r w:rsidRPr="00656276">
        <w:rPr>
          <w:rFonts w:asciiTheme="minorBidi" w:hAnsiTheme="minorBidi"/>
          <w:rtl/>
        </w:rPr>
        <w:t>דאנו נוהגין כר"ת</w:t>
      </w:r>
      <w:r>
        <w:rPr>
          <w:rFonts w:asciiTheme="minorBidi" w:hAnsiTheme="minorBidi" w:hint="cs"/>
          <w:rtl/>
        </w:rPr>
        <w:t>.</w:t>
      </w:r>
      <w:r w:rsidRPr="00656276">
        <w:rPr>
          <w:rFonts w:asciiTheme="minorBidi" w:hAnsiTheme="minorBidi"/>
          <w:rtl/>
        </w:rPr>
        <w:t xml:space="preserve"> ובהגה</w:t>
      </w:r>
      <w:r>
        <w:rPr>
          <w:rFonts w:asciiTheme="minorBidi" w:hAnsiTheme="minorBidi" w:hint="cs"/>
          <w:rtl/>
        </w:rPr>
        <w:t xml:space="preserve">"מ </w:t>
      </w:r>
      <w:r w:rsidRPr="00656276">
        <w:rPr>
          <w:rFonts w:asciiTheme="minorBidi" w:hAnsiTheme="minorBidi" w:hint="cs"/>
          <w:sz w:val="16"/>
          <w:szCs w:val="16"/>
          <w:rtl/>
        </w:rPr>
        <w:t>(פט"ו</w:t>
      </w:r>
      <w:r w:rsidRPr="00656276">
        <w:rPr>
          <w:rFonts w:asciiTheme="minorBidi" w:hAnsiTheme="minorBidi"/>
          <w:sz w:val="16"/>
          <w:szCs w:val="16"/>
          <w:rtl/>
        </w:rPr>
        <w:t xml:space="preserve"> ה"ו) </w:t>
      </w:r>
      <w:r w:rsidRPr="00656276">
        <w:rPr>
          <w:rFonts w:asciiTheme="minorBidi" w:hAnsiTheme="minorBidi"/>
          <w:rtl/>
        </w:rPr>
        <w:t xml:space="preserve">בשם סמ"ק </w:t>
      </w:r>
      <w:r w:rsidRPr="00656276">
        <w:rPr>
          <w:rFonts w:asciiTheme="minorBidi" w:hAnsiTheme="minorBidi"/>
          <w:sz w:val="16"/>
          <w:szCs w:val="16"/>
          <w:rtl/>
        </w:rPr>
        <w:t>(סו"ס רד)</w:t>
      </w:r>
      <w:r>
        <w:rPr>
          <w:rFonts w:asciiTheme="minorBidi" w:hAnsiTheme="minorBidi" w:hint="cs"/>
          <w:rtl/>
        </w:rPr>
        <w:t>-</w:t>
      </w:r>
      <w:r w:rsidRPr="00656276">
        <w:rPr>
          <w:rFonts w:asciiTheme="minorBidi" w:hAnsiTheme="minorBidi"/>
          <w:rtl/>
        </w:rPr>
        <w:t xml:space="preserve"> ונהגו העם כר"ת בין במין במינו דבטל ב</w:t>
      </w:r>
      <w:r>
        <w:rPr>
          <w:rFonts w:asciiTheme="minorBidi" w:hAnsiTheme="minorBidi" w:hint="cs"/>
          <w:rtl/>
        </w:rPr>
        <w:t>ס'</w:t>
      </w:r>
      <w:r w:rsidRPr="00656276">
        <w:rPr>
          <w:rFonts w:asciiTheme="minorBidi" w:hAnsiTheme="minorBidi"/>
          <w:rtl/>
        </w:rPr>
        <w:t xml:space="preserve"> בין בטעם כעיקר שהוא דאו</w:t>
      </w:r>
      <w:r>
        <w:rPr>
          <w:rFonts w:asciiTheme="minorBidi" w:hAnsiTheme="minorBidi" w:hint="cs"/>
          <w:rtl/>
        </w:rPr>
        <w:t>'.</w:t>
      </w:r>
      <w:r w:rsidRPr="00656276">
        <w:rPr>
          <w:rFonts w:asciiTheme="minorBidi" w:hAnsiTheme="minorBidi"/>
          <w:rtl/>
        </w:rPr>
        <w:t xml:space="preserve"> וכ</w:t>
      </w:r>
      <w:r>
        <w:rPr>
          <w:rFonts w:asciiTheme="minorBidi" w:hAnsiTheme="minorBidi" w:hint="cs"/>
          <w:rtl/>
        </w:rPr>
        <w:t>"פ</w:t>
      </w:r>
      <w:r w:rsidRPr="00656276">
        <w:rPr>
          <w:rFonts w:asciiTheme="minorBidi" w:hAnsiTheme="minorBidi"/>
          <w:rtl/>
        </w:rPr>
        <w:t xml:space="preserve"> בש</w:t>
      </w:r>
      <w:r>
        <w:rPr>
          <w:rFonts w:asciiTheme="minorBidi" w:hAnsiTheme="minorBidi" w:hint="cs"/>
          <w:rtl/>
        </w:rPr>
        <w:t>ע</w:t>
      </w:r>
      <w:r w:rsidRPr="00656276">
        <w:rPr>
          <w:rFonts w:asciiTheme="minorBidi" w:hAnsiTheme="minorBidi"/>
          <w:rtl/>
        </w:rPr>
        <w:t xml:space="preserve">"ד </w:t>
      </w:r>
      <w:r w:rsidRPr="00656276">
        <w:rPr>
          <w:rFonts w:asciiTheme="minorBidi" w:hAnsiTheme="minorBidi"/>
          <w:sz w:val="16"/>
          <w:szCs w:val="16"/>
          <w:rtl/>
        </w:rPr>
        <w:t xml:space="preserve">(סי' לט) </w:t>
      </w:r>
      <w:r w:rsidRPr="00656276">
        <w:rPr>
          <w:rFonts w:asciiTheme="minorBidi" w:hAnsiTheme="minorBidi"/>
          <w:rtl/>
        </w:rPr>
        <w:t xml:space="preserve">ובאגור </w:t>
      </w:r>
      <w:r w:rsidRPr="00656276">
        <w:rPr>
          <w:rFonts w:asciiTheme="minorBidi" w:hAnsiTheme="minorBidi"/>
          <w:sz w:val="16"/>
          <w:szCs w:val="16"/>
          <w:rtl/>
        </w:rPr>
        <w:t xml:space="preserve">(סי' אלף רסה רסו) </w:t>
      </w:r>
      <w:r w:rsidRPr="00656276">
        <w:rPr>
          <w:rFonts w:asciiTheme="minorBidi" w:hAnsiTheme="minorBidi"/>
          <w:rtl/>
        </w:rPr>
        <w:t xml:space="preserve">ובאו"ה </w:t>
      </w:r>
      <w:r w:rsidRPr="00656276">
        <w:rPr>
          <w:rFonts w:asciiTheme="minorBidi" w:hAnsiTheme="minorBidi"/>
          <w:sz w:val="16"/>
          <w:szCs w:val="16"/>
          <w:rtl/>
        </w:rPr>
        <w:t>(כלל כג דין א</w:t>
      </w:r>
      <w:r>
        <w:rPr>
          <w:rFonts w:asciiTheme="minorBidi" w:hAnsiTheme="minorBidi" w:hint="cs"/>
          <w:sz w:val="16"/>
          <w:szCs w:val="16"/>
          <w:rtl/>
        </w:rPr>
        <w:t>-</w:t>
      </w:r>
      <w:r w:rsidRPr="00656276">
        <w:rPr>
          <w:rFonts w:asciiTheme="minorBidi" w:hAnsiTheme="minorBidi"/>
          <w:sz w:val="16"/>
          <w:szCs w:val="16"/>
          <w:rtl/>
        </w:rPr>
        <w:t xml:space="preserve">יב) </w:t>
      </w:r>
      <w:r w:rsidRPr="00656276">
        <w:rPr>
          <w:rFonts w:asciiTheme="minorBidi" w:hAnsiTheme="minorBidi"/>
          <w:rtl/>
        </w:rPr>
        <w:t>וכ"פ בב</w:t>
      </w:r>
      <w:r w:rsidRPr="00656276">
        <w:rPr>
          <w:rStyle w:val="a6"/>
          <w:rtl/>
        </w:rPr>
        <w:t>"י וכן המנהג</w:t>
      </w:r>
      <w:r>
        <w:rPr>
          <w:rFonts w:hint="cs"/>
          <w:rtl/>
        </w:rPr>
        <w:t xml:space="preserve">, דרכ"מ </w:t>
      </w:r>
      <w:r w:rsidRPr="00656276">
        <w:rPr>
          <w:rFonts w:hint="cs"/>
          <w:sz w:val="16"/>
          <w:szCs w:val="16"/>
          <w:rtl/>
        </w:rPr>
        <w:t>(אות ד)</w:t>
      </w:r>
      <w:r>
        <w:rPr>
          <w:rFonts w:cs="Arial" w:hint="cs"/>
          <w:rtl/>
        </w:rPr>
        <w:t>.</w:t>
      </w:r>
    </w:p>
  </w:footnote>
  <w:footnote w:id="1790">
    <w:p w14:paraId="104F66B8" w14:textId="77777777" w:rsidR="004C5A3C" w:rsidRDefault="004C5A3C" w:rsidP="002C39F4">
      <w:pPr>
        <w:pStyle w:val="a5"/>
        <w:rPr>
          <w:rtl/>
        </w:rPr>
      </w:pPr>
      <w:r>
        <w:rPr>
          <w:rStyle w:val="a7"/>
        </w:rPr>
        <w:footnoteRef/>
      </w:r>
      <w:r>
        <w:rPr>
          <w:rtl/>
        </w:rPr>
        <w:t xml:space="preserve"> </w:t>
      </w:r>
      <w:r w:rsidRPr="00746CF5">
        <w:rPr>
          <w:rFonts w:cs="Arial"/>
          <w:rtl/>
        </w:rPr>
        <w:t>דכיון שנתן האיסור טעם בהיתר נהפך כולו להיות איסור ולוקין עליו בכזית כאילו היה כולו איסור</w:t>
      </w:r>
      <w:r>
        <w:rPr>
          <w:rFonts w:cs="Arial" w:hint="cs"/>
          <w:rtl/>
        </w:rPr>
        <w:t xml:space="preserve">, </w:t>
      </w:r>
      <w:r w:rsidRPr="00401EB3">
        <w:rPr>
          <w:rFonts w:cs="Arial"/>
          <w:rtl/>
        </w:rPr>
        <w:t>וההיא דר' יוחנן דכל שטעמו ולא ממשו אין לוקין עליו מיירי במין במינו</w:t>
      </w:r>
      <w:r w:rsidRPr="00401EB3">
        <w:rPr>
          <w:rFonts w:cs="Arial" w:hint="cs"/>
          <w:rtl/>
        </w:rPr>
        <w:t>,</w:t>
      </w:r>
      <w:r w:rsidRPr="00401EB3">
        <w:rPr>
          <w:rFonts w:cs="Arial"/>
          <w:rtl/>
        </w:rPr>
        <w:t xml:space="preserve"> וטעמו וממשו דקאמר דלוקין היינו כשהאיסור בעין ומכירו</w:t>
      </w:r>
      <w:r w:rsidRPr="00401EB3">
        <w:rPr>
          <w:rFonts w:cs="Arial" w:hint="cs"/>
          <w:rtl/>
        </w:rPr>
        <w:t>,</w:t>
      </w:r>
      <w:r w:rsidRPr="00401EB3">
        <w:rPr>
          <w:rFonts w:cs="Arial"/>
          <w:rtl/>
        </w:rPr>
        <w:t xml:space="preserve"> טעמו ולא ממשו אסור מדרבנן ואין לוקין עליו והוא הדין אם היה האיסור ממש בעין אלא שאין ניכר אין לוקין עליו כי הוא בטל ברוב אלא הא קמ</w:t>
      </w:r>
      <w:r w:rsidRPr="00401EB3">
        <w:rPr>
          <w:rFonts w:cs="Arial" w:hint="cs"/>
          <w:rtl/>
        </w:rPr>
        <w:t>"</w:t>
      </w:r>
      <w:r w:rsidRPr="00401EB3">
        <w:rPr>
          <w:rFonts w:cs="Arial"/>
          <w:rtl/>
        </w:rPr>
        <w:t>ל דאפילו הכי אסור מדרבנן</w:t>
      </w:r>
      <w:r w:rsidRPr="00401EB3">
        <w:rPr>
          <w:rFonts w:cs="Arial" w:hint="cs"/>
          <w:rtl/>
        </w:rPr>
        <w:t>,</w:t>
      </w:r>
      <w:r w:rsidRPr="00401EB3">
        <w:rPr>
          <w:rFonts w:cs="Arial"/>
          <w:rtl/>
        </w:rPr>
        <w:t xml:space="preserve"> והא דנקט מין במינו בטעמא אע</w:t>
      </w:r>
      <w:r w:rsidRPr="00401EB3">
        <w:rPr>
          <w:rFonts w:cs="Arial" w:hint="cs"/>
          <w:rtl/>
        </w:rPr>
        <w:t>"</w:t>
      </w:r>
      <w:r w:rsidRPr="00401EB3">
        <w:rPr>
          <w:rFonts w:cs="Arial"/>
          <w:rtl/>
        </w:rPr>
        <w:t>ג דלא יהיב טעמא זה בזה משום דבעי למימר טעמו ולא ממשו אסור ועד היכן הוא אסור בכדי דיהיב טעמו מין בשאינו מינו</w:t>
      </w:r>
      <w:r>
        <w:rPr>
          <w:rFonts w:hint="cs"/>
          <w:rtl/>
        </w:rPr>
        <w:t>,</w:t>
      </w:r>
      <w:r w:rsidRPr="00C3246E">
        <w:rPr>
          <w:rFonts w:cs="Arial"/>
          <w:rtl/>
        </w:rPr>
        <w:t xml:space="preserve"> </w:t>
      </w:r>
      <w:r w:rsidRPr="00401EB3">
        <w:rPr>
          <w:rFonts w:cs="Arial"/>
          <w:rtl/>
        </w:rPr>
        <w:t>ורבינו חיים פירש דאיירי שפיר במין בשאינו מינו וטעמו וממשו קרי כשיש כזית בכדי אכילת פרס דאז הוי כמו ממשו של</w:t>
      </w:r>
      <w:r>
        <w:rPr>
          <w:rFonts w:cs="Arial"/>
          <w:rtl/>
        </w:rPr>
        <w:t xml:space="preserve"> איסור כיון דיש כ</w:t>
      </w:r>
      <w:r>
        <w:rPr>
          <w:rFonts w:cs="Arial" w:hint="cs"/>
          <w:rtl/>
        </w:rPr>
        <w:t>"</w:t>
      </w:r>
      <w:r>
        <w:rPr>
          <w:rFonts w:cs="Arial"/>
          <w:rtl/>
        </w:rPr>
        <w:t>כ</w:t>
      </w:r>
      <w:r w:rsidRPr="00401EB3">
        <w:rPr>
          <w:rFonts w:cs="Arial"/>
          <w:rtl/>
        </w:rPr>
        <w:t xml:space="preserve"> מן האיסור וכו' והאוכל ממנו כזית </w:t>
      </w:r>
      <w:r>
        <w:rPr>
          <w:rFonts w:cs="Arial"/>
          <w:rtl/>
        </w:rPr>
        <w:t xml:space="preserve">לוקה כדחזינן </w:t>
      </w:r>
      <w:r w:rsidRPr="00746CF5">
        <w:rPr>
          <w:rFonts w:cs="Arial"/>
          <w:sz w:val="16"/>
          <w:szCs w:val="16"/>
          <w:rtl/>
        </w:rPr>
        <w:t>(חלה פ"ג מ"ז, ועי</w:t>
      </w:r>
      <w:r w:rsidRPr="00746CF5">
        <w:rPr>
          <w:rFonts w:cs="Arial" w:hint="cs"/>
          <w:sz w:val="16"/>
          <w:szCs w:val="16"/>
          <w:rtl/>
        </w:rPr>
        <w:t>'</w:t>
      </w:r>
      <w:r w:rsidRPr="00746CF5">
        <w:rPr>
          <w:rFonts w:cs="Arial"/>
          <w:sz w:val="16"/>
          <w:szCs w:val="16"/>
          <w:rtl/>
        </w:rPr>
        <w:t xml:space="preserve"> זבחים עח.) </w:t>
      </w:r>
      <w:r w:rsidRPr="00401EB3">
        <w:rPr>
          <w:rFonts w:cs="Arial"/>
          <w:rtl/>
        </w:rPr>
        <w:t>בעיסת אורז דבכזית ממנה יוצא ידי חובתו אף להקל</w:t>
      </w:r>
      <w:r w:rsidRPr="00401EB3">
        <w:rPr>
          <w:rFonts w:cs="Arial" w:hint="cs"/>
          <w:rtl/>
        </w:rPr>
        <w:t>,</w:t>
      </w:r>
      <w:r w:rsidRPr="00401EB3">
        <w:rPr>
          <w:rFonts w:cs="Arial"/>
          <w:rtl/>
        </w:rPr>
        <w:t xml:space="preserve"> וטעמו ולא ממשו היינו היכא דליכא כזית בכדי אכילת פרס ואע</w:t>
      </w:r>
      <w:r w:rsidRPr="00401EB3">
        <w:rPr>
          <w:rFonts w:cs="Arial" w:hint="cs"/>
          <w:rtl/>
        </w:rPr>
        <w:t>"</w:t>
      </w:r>
      <w:r w:rsidRPr="00401EB3">
        <w:rPr>
          <w:rFonts w:cs="Arial"/>
          <w:rtl/>
        </w:rPr>
        <w:t>פ שנתן האיסור טעם בהיתר אין לוקין עליו</w:t>
      </w:r>
      <w:r w:rsidRPr="00401EB3">
        <w:rPr>
          <w:rFonts w:cs="Arial" w:hint="cs"/>
          <w:rtl/>
        </w:rPr>
        <w:t>,</w:t>
      </w:r>
      <w:r w:rsidRPr="00401EB3">
        <w:rPr>
          <w:rFonts w:cs="Arial"/>
          <w:rtl/>
        </w:rPr>
        <w:t xml:space="preserve"> ובהך דשמעתין יש לפרש טע</w:t>
      </w:r>
      <w:r>
        <w:rPr>
          <w:rFonts w:cs="Arial"/>
          <w:rtl/>
        </w:rPr>
        <w:t>ם כעיקר טעם ממש דבאיל שרי וכו'</w:t>
      </w:r>
      <w:r w:rsidRPr="00401EB3">
        <w:rPr>
          <w:rFonts w:cs="Arial"/>
          <w:rtl/>
        </w:rPr>
        <w:t xml:space="preserve"> ובשאר קדשים אסור והוא הדין נמי בחולין מקרא דמשרת</w:t>
      </w:r>
      <w:r w:rsidRPr="00401EB3">
        <w:rPr>
          <w:rFonts w:cs="Arial" w:hint="cs"/>
          <w:rtl/>
        </w:rPr>
        <w:t>,</w:t>
      </w:r>
      <w:r w:rsidRPr="00401EB3">
        <w:rPr>
          <w:rFonts w:cs="Arial"/>
          <w:rtl/>
        </w:rPr>
        <w:t xml:space="preserve"> והא דנקט קדשים משום דבקדשים איירי</w:t>
      </w:r>
      <w:r>
        <w:rPr>
          <w:rFonts w:cs="Arial" w:hint="cs"/>
          <w:rtl/>
        </w:rPr>
        <w:t>,</w:t>
      </w:r>
      <w:r w:rsidRPr="00746CF5">
        <w:rPr>
          <w:rFonts w:cs="Arial"/>
          <w:sz w:val="16"/>
          <w:szCs w:val="16"/>
          <w:rtl/>
        </w:rPr>
        <w:t xml:space="preserve"> </w:t>
      </w:r>
      <w:r w:rsidRPr="00746CF5">
        <w:rPr>
          <w:rFonts w:cs="Arial"/>
          <w:rtl/>
        </w:rPr>
        <w:t>והשתא לפסק ר</w:t>
      </w:r>
      <w:r w:rsidRPr="00746CF5">
        <w:rPr>
          <w:rFonts w:cs="Arial" w:hint="cs"/>
          <w:rtl/>
        </w:rPr>
        <w:t>"</w:t>
      </w:r>
      <w:r w:rsidRPr="00746CF5">
        <w:rPr>
          <w:rFonts w:cs="Arial"/>
          <w:rtl/>
        </w:rPr>
        <w:t>ת אם נשפך הרוטב ואין ידוע אם היה בו</w:t>
      </w:r>
      <w:r>
        <w:rPr>
          <w:rFonts w:cs="Arial" w:hint="cs"/>
          <w:rtl/>
        </w:rPr>
        <w:t xml:space="preserve"> ס'</w:t>
      </w:r>
      <w:r w:rsidRPr="00746CF5">
        <w:rPr>
          <w:rFonts w:cs="Arial"/>
          <w:rtl/>
        </w:rPr>
        <w:t xml:space="preserve"> הוי ספיקא דאו</w:t>
      </w:r>
      <w:r>
        <w:rPr>
          <w:rFonts w:cs="Arial" w:hint="cs"/>
          <w:rtl/>
        </w:rPr>
        <w:t>'</w:t>
      </w:r>
      <w:r w:rsidRPr="00746CF5">
        <w:rPr>
          <w:rFonts w:cs="Arial"/>
          <w:rtl/>
        </w:rPr>
        <w:t xml:space="preserve"> ואסרינן ליה ולפסק רש"י הוי ספיקא דרבנן ושרי</w:t>
      </w:r>
      <w:r>
        <w:rPr>
          <w:rFonts w:hint="cs"/>
          <w:rtl/>
        </w:rPr>
        <w:t xml:space="preserve">, </w:t>
      </w:r>
      <w:r>
        <w:rPr>
          <w:rFonts w:cs="Arial"/>
          <w:rtl/>
        </w:rPr>
        <w:t>רא"ש</w:t>
      </w:r>
      <w:r w:rsidRPr="00401EB3">
        <w:rPr>
          <w:rtl/>
        </w:rPr>
        <w:t xml:space="preserve"> </w:t>
      </w:r>
      <w:r w:rsidRPr="00C3246E">
        <w:rPr>
          <w:rFonts w:cs="Arial"/>
          <w:sz w:val="16"/>
          <w:szCs w:val="16"/>
          <w:rtl/>
        </w:rPr>
        <w:t>(פ"ז סי' לא)</w:t>
      </w:r>
      <w:r>
        <w:rPr>
          <w:rFonts w:hint="cs"/>
          <w:rtl/>
        </w:rPr>
        <w:t>.</w:t>
      </w:r>
      <w:r w:rsidRPr="00C3246E">
        <w:rPr>
          <w:rFonts w:hint="cs"/>
          <w:sz w:val="16"/>
          <w:szCs w:val="16"/>
          <w:rtl/>
        </w:rPr>
        <w:t xml:space="preserve"> (</w:t>
      </w:r>
      <w:r w:rsidRPr="00C3246E">
        <w:rPr>
          <w:rFonts w:cs="Arial"/>
          <w:sz w:val="16"/>
          <w:szCs w:val="16"/>
          <w:rtl/>
        </w:rPr>
        <w:t>וא</w:t>
      </w:r>
      <w:r w:rsidRPr="00C3246E">
        <w:rPr>
          <w:rFonts w:cs="Arial" w:hint="cs"/>
          <w:sz w:val="16"/>
          <w:szCs w:val="16"/>
          <w:rtl/>
        </w:rPr>
        <w:t>ע"פ</w:t>
      </w:r>
      <w:r w:rsidRPr="00C3246E">
        <w:rPr>
          <w:rFonts w:cs="Arial"/>
          <w:sz w:val="16"/>
          <w:szCs w:val="16"/>
          <w:rtl/>
        </w:rPr>
        <w:t xml:space="preserve"> שבשם רבינו חיים כ</w:t>
      </w:r>
      <w:r>
        <w:rPr>
          <w:rFonts w:cs="Arial" w:hint="cs"/>
          <w:sz w:val="16"/>
          <w:szCs w:val="16"/>
          <w:rtl/>
        </w:rPr>
        <w:t>'</w:t>
      </w:r>
      <w:r w:rsidRPr="00C3246E">
        <w:rPr>
          <w:rFonts w:cs="Arial"/>
          <w:sz w:val="16"/>
          <w:szCs w:val="16"/>
          <w:rtl/>
        </w:rPr>
        <w:t xml:space="preserve"> הרא"ש הא דטעמו וממשו קרי ליש בו כזית בכדי אכילת פרס והאוכל ממנו כזית לוקה ולא נמנע רבינו מלכתבו בשם ר"ת משום דמשמע דלענין דינא לא פליגי ר"ת ורבינו חיים</w:t>
      </w:r>
      <w:r w:rsidRPr="00C3246E">
        <w:rPr>
          <w:rFonts w:hint="cs"/>
          <w:sz w:val="16"/>
          <w:szCs w:val="16"/>
          <w:rtl/>
        </w:rPr>
        <w:t>, ב"י</w:t>
      </w:r>
      <w:r>
        <w:rPr>
          <w:rFonts w:hint="cs"/>
          <w:sz w:val="16"/>
          <w:szCs w:val="16"/>
          <w:rtl/>
        </w:rPr>
        <w:t>)</w:t>
      </w:r>
    </w:p>
  </w:footnote>
  <w:footnote w:id="1791">
    <w:p w14:paraId="51244ACE" w14:textId="77777777" w:rsidR="004C5A3C" w:rsidRDefault="004C5A3C" w:rsidP="002C39F4">
      <w:pPr>
        <w:pStyle w:val="a5"/>
        <w:rPr>
          <w:rtl/>
        </w:rPr>
      </w:pPr>
      <w:r>
        <w:rPr>
          <w:rStyle w:val="a7"/>
        </w:rPr>
        <w:footnoteRef/>
      </w:r>
      <w:r>
        <w:rPr>
          <w:rtl/>
        </w:rPr>
        <w:t xml:space="preserve"> </w:t>
      </w:r>
      <w:r>
        <w:rPr>
          <w:rFonts w:hint="cs"/>
          <w:rtl/>
        </w:rPr>
        <w:t xml:space="preserve">וז"ל- </w:t>
      </w:r>
      <w:r>
        <w:rPr>
          <w:rFonts w:cs="Arial"/>
          <w:rtl/>
        </w:rPr>
        <w:t xml:space="preserve">כבר נתבאר וכתבתי שהרמב"ן והר"ן ז"ל סוברים כמותו </w:t>
      </w:r>
      <w:r>
        <w:rPr>
          <w:rFonts w:cs="Arial" w:hint="cs"/>
          <w:sz w:val="16"/>
          <w:szCs w:val="16"/>
          <w:rtl/>
        </w:rPr>
        <w:t xml:space="preserve">{היינו כרש"י, לפי הקשרו שם [סע' ב]} </w:t>
      </w:r>
      <w:r>
        <w:rPr>
          <w:rFonts w:cs="Arial"/>
          <w:rtl/>
        </w:rPr>
        <w:t>בזה ושנ"ל שגם הרמב"ם ז"ל סובר כן</w:t>
      </w:r>
      <w:r>
        <w:rPr>
          <w:rFonts w:cs="Arial" w:hint="cs"/>
          <w:rtl/>
        </w:rPr>
        <w:t>,</w:t>
      </w:r>
      <w:r>
        <w:rPr>
          <w:rFonts w:cs="Arial"/>
          <w:rtl/>
        </w:rPr>
        <w:t xml:space="preserve"> ומ</w:t>
      </w:r>
      <w:r>
        <w:rPr>
          <w:rFonts w:cs="Arial" w:hint="cs"/>
          <w:rtl/>
        </w:rPr>
        <w:t>"</w:t>
      </w:r>
      <w:r>
        <w:rPr>
          <w:rFonts w:cs="Arial"/>
          <w:rtl/>
        </w:rPr>
        <w:t>מ נראה דכר"ת נקטינן בהא לחומרא וכמ"ש הרשב"א (ארוך שם יא:)</w:t>
      </w:r>
      <w:r>
        <w:rPr>
          <w:rFonts w:cs="Arial" w:hint="cs"/>
          <w:rtl/>
        </w:rPr>
        <w:t>.</w:t>
      </w:r>
    </w:p>
  </w:footnote>
  <w:footnote w:id="1792">
    <w:p w14:paraId="78568FE2" w14:textId="77777777" w:rsidR="004C5A3C" w:rsidRDefault="004C5A3C" w:rsidP="002C39F4">
      <w:pPr>
        <w:pStyle w:val="a5"/>
        <w:rPr>
          <w:rtl/>
        </w:rPr>
      </w:pPr>
      <w:r>
        <w:rPr>
          <w:rStyle w:val="a7"/>
        </w:rPr>
        <w:footnoteRef/>
      </w:r>
      <w:r>
        <w:rPr>
          <w:rtl/>
        </w:rPr>
        <w:t xml:space="preserve"> </w:t>
      </w:r>
      <w:r>
        <w:rPr>
          <w:rFonts w:cs="Arial" w:hint="cs"/>
          <w:rtl/>
        </w:rPr>
        <w:t>וכן דעת ה</w:t>
      </w:r>
      <w:r>
        <w:rPr>
          <w:rFonts w:cs="Arial"/>
          <w:rtl/>
        </w:rPr>
        <w:t xml:space="preserve">רמב"ם </w:t>
      </w:r>
      <w:r w:rsidRPr="00042BC1">
        <w:rPr>
          <w:rFonts w:cs="Arial" w:hint="cs"/>
          <w:sz w:val="16"/>
          <w:szCs w:val="16"/>
          <w:rtl/>
        </w:rPr>
        <w:t>(</w:t>
      </w:r>
      <w:r w:rsidRPr="00042BC1">
        <w:rPr>
          <w:rFonts w:cs="Arial"/>
          <w:sz w:val="16"/>
          <w:szCs w:val="16"/>
          <w:rtl/>
        </w:rPr>
        <w:t>פט"ו ה"ב-ג)</w:t>
      </w:r>
      <w:r>
        <w:rPr>
          <w:rFonts w:cs="Arial" w:hint="cs"/>
          <w:rtl/>
        </w:rPr>
        <w:t xml:space="preserve"> </w:t>
      </w:r>
      <w:r w:rsidRPr="00401EB3">
        <w:rPr>
          <w:rFonts w:cs="Arial"/>
          <w:rtl/>
        </w:rPr>
        <w:t xml:space="preserve">רמב"ן </w:t>
      </w:r>
      <w:r w:rsidRPr="00401EB3">
        <w:rPr>
          <w:rFonts w:cs="Arial"/>
          <w:sz w:val="16"/>
          <w:szCs w:val="16"/>
          <w:rtl/>
        </w:rPr>
        <w:t>(חולין צח: ד"ה אלא לטעם כעיקר</w:t>
      </w:r>
      <w:r w:rsidRPr="00401EB3">
        <w:rPr>
          <w:rFonts w:cs="Arial" w:hint="cs"/>
          <w:sz w:val="16"/>
          <w:szCs w:val="16"/>
          <w:rtl/>
        </w:rPr>
        <w:t>, כ"כ הרשב"א בשמו [תוה"א</w:t>
      </w:r>
      <w:r w:rsidRPr="00401EB3">
        <w:rPr>
          <w:rFonts w:cs="Arial"/>
          <w:sz w:val="16"/>
          <w:szCs w:val="16"/>
          <w:rtl/>
        </w:rPr>
        <w:t xml:space="preserve"> ב"ד ש"א טז.</w:t>
      </w:r>
      <w:r w:rsidRPr="00401EB3">
        <w:rPr>
          <w:rFonts w:cs="Arial" w:hint="cs"/>
          <w:sz w:val="16"/>
          <w:szCs w:val="16"/>
          <w:rtl/>
        </w:rPr>
        <w:t>]</w:t>
      </w:r>
      <w:r w:rsidRPr="00401EB3">
        <w:rPr>
          <w:rFonts w:cs="Arial"/>
          <w:sz w:val="16"/>
          <w:szCs w:val="16"/>
          <w:rtl/>
        </w:rPr>
        <w:t xml:space="preserve">) </w:t>
      </w:r>
      <w:r w:rsidRPr="00401EB3">
        <w:rPr>
          <w:rFonts w:cs="Arial" w:hint="cs"/>
          <w:rtl/>
        </w:rPr>
        <w:t>ו</w:t>
      </w:r>
      <w:r w:rsidRPr="00401EB3">
        <w:rPr>
          <w:rFonts w:cs="Arial"/>
          <w:rtl/>
        </w:rPr>
        <w:t xml:space="preserve">ר"ן </w:t>
      </w:r>
      <w:r w:rsidRPr="00401EB3">
        <w:rPr>
          <w:rFonts w:cs="Arial"/>
          <w:sz w:val="16"/>
          <w:szCs w:val="16"/>
          <w:rtl/>
        </w:rPr>
        <w:t>(לה: סוף דיבור ראשון)</w:t>
      </w:r>
      <w:r>
        <w:rPr>
          <w:rFonts w:hint="cs"/>
          <w:rtl/>
        </w:rPr>
        <w:t>.</w:t>
      </w:r>
      <w:r w:rsidRPr="00656276">
        <w:rPr>
          <w:rFonts w:asciiTheme="minorBidi" w:hAnsiTheme="minorBidi"/>
          <w:rtl/>
        </w:rPr>
        <w:t xml:space="preserve"> ו</w:t>
      </w:r>
      <w:r>
        <w:rPr>
          <w:rFonts w:asciiTheme="minorBidi" w:hAnsiTheme="minorBidi" w:hint="cs"/>
          <w:rtl/>
        </w:rPr>
        <w:t>כ' ה</w:t>
      </w:r>
      <w:r w:rsidRPr="00656276">
        <w:rPr>
          <w:rFonts w:asciiTheme="minorBidi" w:hAnsiTheme="minorBidi"/>
          <w:rtl/>
        </w:rPr>
        <w:t xml:space="preserve">ראבי"ה </w:t>
      </w:r>
      <w:r w:rsidRPr="00656276">
        <w:rPr>
          <w:rFonts w:asciiTheme="minorBidi" w:hAnsiTheme="minorBidi"/>
          <w:sz w:val="16"/>
          <w:szCs w:val="16"/>
          <w:rtl/>
        </w:rPr>
        <w:t>(חולין סי' אלף וקא</w:t>
      </w:r>
      <w:r w:rsidRPr="005E7749">
        <w:rPr>
          <w:rFonts w:asciiTheme="minorBidi" w:hAnsiTheme="minorBidi" w:hint="cs"/>
          <w:sz w:val="16"/>
          <w:szCs w:val="16"/>
          <w:rtl/>
        </w:rPr>
        <w:t>, הביאו המרדכי [חולין סי' עתר]</w:t>
      </w:r>
      <w:r w:rsidRPr="00656276">
        <w:rPr>
          <w:rFonts w:asciiTheme="minorBidi" w:hAnsiTheme="minorBidi"/>
          <w:sz w:val="16"/>
          <w:szCs w:val="16"/>
          <w:rtl/>
        </w:rPr>
        <w:t xml:space="preserve">) </w:t>
      </w:r>
      <w:r w:rsidRPr="00656276">
        <w:rPr>
          <w:rFonts w:asciiTheme="minorBidi" w:hAnsiTheme="minorBidi"/>
          <w:rtl/>
        </w:rPr>
        <w:t>דהמנהג כרש"י</w:t>
      </w:r>
      <w:r>
        <w:rPr>
          <w:rFonts w:asciiTheme="minorBidi" w:hAnsiTheme="minorBidi" w:hint="cs"/>
          <w:rtl/>
        </w:rPr>
        <w:t>,</w:t>
      </w:r>
      <w:r w:rsidRPr="00656276">
        <w:rPr>
          <w:rFonts w:asciiTheme="minorBidi" w:hAnsiTheme="minorBidi"/>
          <w:rtl/>
        </w:rPr>
        <w:t xml:space="preserve"> וכן היה נוהג אביו ר"י הלוי</w:t>
      </w:r>
      <w:r>
        <w:rPr>
          <w:rFonts w:hint="cs"/>
          <w:rtl/>
        </w:rPr>
        <w:t>.</w:t>
      </w:r>
    </w:p>
  </w:footnote>
  <w:footnote w:id="1793">
    <w:p w14:paraId="2BDAC325" w14:textId="77777777" w:rsidR="004C5A3C" w:rsidRDefault="004C5A3C" w:rsidP="002C39F4">
      <w:pPr>
        <w:pStyle w:val="a5"/>
        <w:rPr>
          <w:rtl/>
        </w:rPr>
      </w:pPr>
      <w:r>
        <w:rPr>
          <w:rStyle w:val="a7"/>
        </w:rPr>
        <w:footnoteRef/>
      </w:r>
      <w:r>
        <w:rPr>
          <w:rtl/>
        </w:rPr>
        <w:t xml:space="preserve"> </w:t>
      </w:r>
      <w:r>
        <w:rPr>
          <w:rFonts w:cs="Arial" w:hint="cs"/>
          <w:rtl/>
        </w:rPr>
        <w:t xml:space="preserve">דטעם כעיקר </w:t>
      </w:r>
      <w:r w:rsidRPr="00401EB3">
        <w:rPr>
          <w:rFonts w:cs="Arial"/>
          <w:rtl/>
        </w:rPr>
        <w:t xml:space="preserve">בחולין </w:t>
      </w:r>
      <w:r>
        <w:rPr>
          <w:rFonts w:cs="Arial" w:hint="cs"/>
          <w:rtl/>
        </w:rPr>
        <w:t xml:space="preserve">אינו </w:t>
      </w:r>
      <w:r w:rsidRPr="00401EB3">
        <w:rPr>
          <w:rFonts w:cs="Arial"/>
          <w:rtl/>
        </w:rPr>
        <w:t>אלא מדרבנן</w:t>
      </w:r>
      <w:r>
        <w:rPr>
          <w:rFonts w:cs="Arial" w:hint="cs"/>
          <w:rtl/>
        </w:rPr>
        <w:t>, ד</w:t>
      </w:r>
      <w:r w:rsidRPr="00401EB3">
        <w:rPr>
          <w:rFonts w:cs="Arial"/>
          <w:rtl/>
        </w:rPr>
        <w:t>נותן טעם קים לן דאסור בקדשים כעיקר ממשו של איסור</w:t>
      </w:r>
      <w:r w:rsidRPr="00401EB3">
        <w:rPr>
          <w:rFonts w:cs="Arial" w:hint="cs"/>
          <w:rtl/>
        </w:rPr>
        <w:t>,</w:t>
      </w:r>
      <w:r w:rsidRPr="00401EB3">
        <w:rPr>
          <w:rFonts w:cs="Arial"/>
          <w:rtl/>
        </w:rPr>
        <w:t xml:space="preserve"> ומדקאמר רבא דבקדשים אסור משמע דלית ליה טעם כעיקר בחולין אלא מדרבנן</w:t>
      </w:r>
      <w:r>
        <w:rPr>
          <w:rFonts w:cs="Arial" w:hint="cs"/>
          <w:rtl/>
        </w:rPr>
        <w:t>,</w:t>
      </w:r>
      <w:r>
        <w:rPr>
          <w:rFonts w:cs="Arial"/>
          <w:rtl/>
        </w:rPr>
        <w:t xml:space="preserve"> וכדמפרש ואזיל דמדאו</w:t>
      </w:r>
      <w:r>
        <w:rPr>
          <w:rFonts w:cs="Arial" w:hint="cs"/>
          <w:rtl/>
        </w:rPr>
        <w:t>'</w:t>
      </w:r>
      <w:r>
        <w:rPr>
          <w:rFonts w:cs="Arial"/>
          <w:rtl/>
        </w:rPr>
        <w:t xml:space="preserve"> ברובא בטיל</w:t>
      </w:r>
      <w:r>
        <w:rPr>
          <w:rFonts w:cs="Arial" w:hint="cs"/>
          <w:rtl/>
        </w:rPr>
        <w:t>,</w:t>
      </w:r>
      <w:r>
        <w:rPr>
          <w:rFonts w:cs="Arial"/>
          <w:rtl/>
        </w:rPr>
        <w:t xml:space="preserve"> והכי נמי שמעינן לר' יוחנן דאמר בפרק בתרא דע"ז (סז:) כל שטעמו ולא ממשו אין לוקין עליו</w:t>
      </w:r>
      <w:r>
        <w:rPr>
          <w:rFonts w:cs="Arial" w:hint="cs"/>
          <w:rtl/>
        </w:rPr>
        <w:t>,</w:t>
      </w:r>
      <w:r>
        <w:rPr>
          <w:rFonts w:cs="Arial"/>
          <w:rtl/>
        </w:rPr>
        <w:t xml:space="preserve"> והא דילפינן בפסחים (מד.) </w:t>
      </w:r>
      <w:r>
        <w:rPr>
          <w:rFonts w:cs="Arial" w:hint="cs"/>
          <w:rtl/>
        </w:rPr>
        <w:t>'</w:t>
      </w:r>
      <w:r>
        <w:rPr>
          <w:rFonts w:cs="Arial"/>
          <w:rtl/>
        </w:rPr>
        <w:t>משרת</w:t>
      </w:r>
      <w:r>
        <w:rPr>
          <w:rFonts w:cs="Arial" w:hint="cs"/>
          <w:rtl/>
        </w:rPr>
        <w:t>'</w:t>
      </w:r>
      <w:r>
        <w:rPr>
          <w:rFonts w:cs="Arial"/>
          <w:rtl/>
        </w:rPr>
        <w:t xml:space="preserve"> ליתן טעם כעיקר ס"ל לאמוראי בתראי דאסמכתא בעלמא הוא ולאו מילף הוא דהוי להו נזיר</w:t>
      </w:r>
      <w:r>
        <w:rPr>
          <w:rFonts w:cs="Arial" w:hint="cs"/>
          <w:rtl/>
        </w:rPr>
        <w:t>,</w:t>
      </w:r>
      <w:r>
        <w:rPr>
          <w:rFonts w:cs="Arial"/>
          <w:rtl/>
        </w:rPr>
        <w:t xml:space="preserve"> וגיעולי גוים שני כתובים הבאים כאחד א</w:t>
      </w:r>
      <w:r>
        <w:rPr>
          <w:rFonts w:cs="Arial" w:hint="cs"/>
          <w:rtl/>
        </w:rPr>
        <w:t>"</w:t>
      </w:r>
      <w:r>
        <w:rPr>
          <w:rFonts w:cs="Arial"/>
          <w:rtl/>
        </w:rPr>
        <w:t xml:space="preserve">נ גיעולי גוים חידוש הוא כדאמרינן התם </w:t>
      </w:r>
      <w:r>
        <w:rPr>
          <w:rFonts w:cs="Arial" w:hint="cs"/>
          <w:rtl/>
        </w:rPr>
        <w:t>'</w:t>
      </w:r>
      <w:r>
        <w:rPr>
          <w:rFonts w:cs="Arial"/>
          <w:rtl/>
        </w:rPr>
        <w:t>ומשרת להיתר מצטרף לאיסור</w:t>
      </w:r>
      <w:r>
        <w:rPr>
          <w:rFonts w:cs="Arial" w:hint="cs"/>
          <w:rtl/>
        </w:rPr>
        <w:t>', רש"י</w:t>
      </w:r>
      <w:r>
        <w:rPr>
          <w:rFonts w:cs="Arial"/>
          <w:rtl/>
        </w:rPr>
        <w:t>.</w:t>
      </w:r>
      <w:r w:rsidRPr="00401EB3">
        <w:rPr>
          <w:rFonts w:cs="Arial"/>
          <w:rtl/>
        </w:rPr>
        <w:t xml:space="preserve"> </w:t>
      </w:r>
      <w:r>
        <w:rPr>
          <w:rFonts w:cs="Arial"/>
          <w:rtl/>
        </w:rPr>
        <w:t>והא מילתא כולה דגמרינן מזרוע בשלה אסמכתא בעלמא הוא דהא מדאו</w:t>
      </w:r>
      <w:r>
        <w:rPr>
          <w:rFonts w:cs="Arial" w:hint="cs"/>
          <w:rtl/>
        </w:rPr>
        <w:t>'</w:t>
      </w:r>
      <w:r>
        <w:rPr>
          <w:rFonts w:cs="Arial"/>
          <w:rtl/>
        </w:rPr>
        <w:t xml:space="preserve"> ברובא בטיל והיינו טעמא משום דמזרוע בשלה ליכא למיגמר וכו'</w:t>
      </w:r>
      <w:r>
        <w:rPr>
          <w:rFonts w:cs="Arial" w:hint="cs"/>
          <w:rtl/>
        </w:rPr>
        <w:t>,</w:t>
      </w:r>
      <w:r w:rsidRPr="00401EB3">
        <w:rPr>
          <w:rFonts w:cs="Arial"/>
          <w:rtl/>
        </w:rPr>
        <w:t xml:space="preserve"> </w:t>
      </w:r>
      <w:r>
        <w:rPr>
          <w:rFonts w:cs="Arial"/>
          <w:rtl/>
        </w:rPr>
        <w:t>ר"ן (לה: דיבור ראשון)</w:t>
      </w:r>
      <w:r>
        <w:rPr>
          <w:rFonts w:cs="Arial" w:hint="cs"/>
          <w:rtl/>
        </w:rPr>
        <w:t>.</w:t>
      </w:r>
      <w:r>
        <w:rPr>
          <w:rFonts w:cs="Arial"/>
          <w:rtl/>
        </w:rPr>
        <w:t xml:space="preserve"> והתוס</w:t>
      </w:r>
      <w:r>
        <w:rPr>
          <w:rFonts w:cs="Arial" w:hint="cs"/>
          <w:rtl/>
        </w:rPr>
        <w:t>'</w:t>
      </w:r>
      <w:r>
        <w:rPr>
          <w:rFonts w:cs="Arial"/>
          <w:rtl/>
        </w:rPr>
        <w:t xml:space="preserve"> (צח: ד"ה רבא אמר) הקשו על דברי רש"י ולפיכך פירשו הם בענין אחר והאריכו הרבה בענין זה בפג</w:t>
      </w:r>
      <w:r>
        <w:rPr>
          <w:rFonts w:cs="Arial" w:hint="cs"/>
          <w:rtl/>
        </w:rPr>
        <w:t>"</w:t>
      </w:r>
      <w:r>
        <w:rPr>
          <w:rFonts w:cs="Arial"/>
          <w:rtl/>
        </w:rPr>
        <w:t>ה (שם) ובפרק בתרא דע"ז (סז. ד"ה אר"י)</w:t>
      </w:r>
      <w:r>
        <w:rPr>
          <w:rFonts w:cs="Arial" w:hint="cs"/>
          <w:rtl/>
        </w:rPr>
        <w:t>,</w:t>
      </w:r>
      <w:r>
        <w:rPr>
          <w:rFonts w:cs="Arial"/>
          <w:rtl/>
        </w:rPr>
        <w:t xml:space="preserve"> והזכירו דברים אלו הרא"ש (פ"ז סי' לא) והר"ן (לה:) והרשב"א בת"ה (ב"ד ש"א יא.)</w:t>
      </w:r>
      <w:r>
        <w:rPr>
          <w:rFonts w:cs="Arial" w:hint="cs"/>
          <w:rtl/>
        </w:rPr>
        <w:t>, ב"י.</w:t>
      </w:r>
    </w:p>
  </w:footnote>
  <w:footnote w:id="1794">
    <w:p w14:paraId="027D279B" w14:textId="77777777" w:rsidR="004C5A3C" w:rsidRDefault="004C5A3C" w:rsidP="002C39F4">
      <w:pPr>
        <w:pStyle w:val="a5"/>
        <w:rPr>
          <w:rtl/>
        </w:rPr>
      </w:pPr>
      <w:r>
        <w:rPr>
          <w:rStyle w:val="a7"/>
        </w:rPr>
        <w:footnoteRef/>
      </w:r>
      <w:r>
        <w:rPr>
          <w:rtl/>
        </w:rPr>
        <w:t xml:space="preserve"> </w:t>
      </w:r>
      <w:r>
        <w:rPr>
          <w:rFonts w:cs="Arial"/>
          <w:rtl/>
        </w:rPr>
        <w:t>זהו שיעור אכילת פרס לדעת קצת פוסקים</w:t>
      </w:r>
      <w:r>
        <w:rPr>
          <w:rFonts w:cs="Arial" w:hint="cs"/>
          <w:rtl/>
        </w:rPr>
        <w:t>,</w:t>
      </w:r>
      <w:r>
        <w:rPr>
          <w:rFonts w:cs="Arial"/>
          <w:rtl/>
        </w:rPr>
        <w:t xml:space="preserve"> ולדעת הרמב"ם (מאכ"א פט"ו ה"ג) הוא כדי שלש ביצים וכבר כתבתי טעם מחלוקתם בטור אורח חיים סימן תרי"ב (שיז. ד"ה ומה שכתב ששיעור)</w:t>
      </w:r>
      <w:r>
        <w:rPr>
          <w:rFonts w:hint="cs"/>
          <w:rtl/>
        </w:rPr>
        <w:t>, ב"י.</w:t>
      </w:r>
    </w:p>
  </w:footnote>
  <w:footnote w:id="1795">
    <w:p w14:paraId="16650B86" w14:textId="77777777" w:rsidR="004C5A3C" w:rsidRDefault="004C5A3C" w:rsidP="002C39F4">
      <w:pPr>
        <w:pStyle w:val="a5"/>
        <w:rPr>
          <w:rtl/>
        </w:rPr>
      </w:pPr>
      <w:r>
        <w:rPr>
          <w:rStyle w:val="a7"/>
        </w:rPr>
        <w:footnoteRef/>
      </w:r>
      <w:r>
        <w:rPr>
          <w:rtl/>
        </w:rPr>
        <w:t xml:space="preserve"> </w:t>
      </w:r>
      <w:r>
        <w:rPr>
          <w:rFonts w:cs="Arial"/>
          <w:rtl/>
        </w:rPr>
        <w:t>ו</w:t>
      </w:r>
      <w:r>
        <w:rPr>
          <w:rFonts w:cs="Arial" w:hint="cs"/>
          <w:rtl/>
        </w:rPr>
        <w:t xml:space="preserve">כשיש כשיעור הזה </w:t>
      </w:r>
      <w:r>
        <w:rPr>
          <w:rFonts w:cs="Arial"/>
          <w:rtl/>
        </w:rPr>
        <w:t>זהו שקראוהו חכמים טעמו וממשו</w:t>
      </w:r>
      <w:r>
        <w:rPr>
          <w:rFonts w:hint="cs"/>
          <w:rtl/>
        </w:rPr>
        <w:t>,</w:t>
      </w:r>
      <w:r w:rsidRPr="00BB702A">
        <w:rPr>
          <w:rFonts w:cs="Arial"/>
          <w:rtl/>
        </w:rPr>
        <w:t xml:space="preserve"> </w:t>
      </w:r>
      <w:r>
        <w:rPr>
          <w:rFonts w:cs="Arial"/>
          <w:rtl/>
        </w:rPr>
        <w:t xml:space="preserve">פחות מכאן </w:t>
      </w:r>
      <w:r>
        <w:rPr>
          <w:rFonts w:cs="Arial" w:hint="cs"/>
          <w:rtl/>
        </w:rPr>
        <w:t>ז</w:t>
      </w:r>
      <w:r>
        <w:rPr>
          <w:rFonts w:cs="Arial"/>
          <w:rtl/>
        </w:rPr>
        <w:t>הו שקראוהו טעמו ולא ממשו</w:t>
      </w:r>
      <w:r>
        <w:rPr>
          <w:rFonts w:cs="Arial" w:hint="cs"/>
          <w:rtl/>
        </w:rPr>
        <w:t>,</w:t>
      </w:r>
      <w:r w:rsidRPr="00BB702A">
        <w:rPr>
          <w:rFonts w:cs="Arial" w:hint="cs"/>
          <w:rtl/>
        </w:rPr>
        <w:t xml:space="preserve"> </w:t>
      </w:r>
      <w:r>
        <w:rPr>
          <w:rFonts w:cs="Arial" w:hint="cs"/>
          <w:rtl/>
        </w:rPr>
        <w:t xml:space="preserve">רשב"א </w:t>
      </w:r>
      <w:r w:rsidRPr="00B85E73">
        <w:rPr>
          <w:rFonts w:cs="Arial" w:hint="cs"/>
          <w:sz w:val="16"/>
          <w:szCs w:val="16"/>
          <w:rtl/>
        </w:rPr>
        <w:t>(</w:t>
      </w:r>
      <w:r w:rsidRPr="00B85E73">
        <w:rPr>
          <w:rFonts w:cs="Arial"/>
          <w:sz w:val="16"/>
          <w:szCs w:val="16"/>
          <w:rtl/>
        </w:rPr>
        <w:t>ת</w:t>
      </w:r>
      <w:r w:rsidRPr="00B85E73">
        <w:rPr>
          <w:rFonts w:cs="Arial" w:hint="cs"/>
          <w:sz w:val="16"/>
          <w:szCs w:val="16"/>
          <w:rtl/>
        </w:rPr>
        <w:t>ו</w:t>
      </w:r>
      <w:r w:rsidRPr="00B85E73">
        <w:rPr>
          <w:rFonts w:cs="Arial"/>
          <w:sz w:val="16"/>
          <w:szCs w:val="16"/>
          <w:rtl/>
        </w:rPr>
        <w:t>ה</w:t>
      </w:r>
      <w:r w:rsidRPr="00B85E73">
        <w:rPr>
          <w:rFonts w:cs="Arial" w:hint="cs"/>
          <w:sz w:val="16"/>
          <w:szCs w:val="16"/>
          <w:rtl/>
        </w:rPr>
        <w:t>"</w:t>
      </w:r>
      <w:r w:rsidRPr="00B85E73">
        <w:rPr>
          <w:rFonts w:cs="Arial"/>
          <w:sz w:val="16"/>
          <w:szCs w:val="16"/>
          <w:rtl/>
        </w:rPr>
        <w:t>ק ב"ד ש"א ז.)</w:t>
      </w:r>
      <w:r>
        <w:rPr>
          <w:rFonts w:hint="cs"/>
          <w:rtl/>
        </w:rPr>
        <w:t>.</w:t>
      </w:r>
    </w:p>
  </w:footnote>
  <w:footnote w:id="1796">
    <w:p w14:paraId="3D77DF96" w14:textId="77777777" w:rsidR="004C5A3C" w:rsidRDefault="004C5A3C" w:rsidP="002C39F4">
      <w:pPr>
        <w:pStyle w:val="a5"/>
        <w:rPr>
          <w:rtl/>
        </w:rPr>
      </w:pPr>
      <w:r>
        <w:rPr>
          <w:rStyle w:val="a7"/>
        </w:rPr>
        <w:footnoteRef/>
      </w:r>
      <w:r>
        <w:rPr>
          <w:rtl/>
        </w:rPr>
        <w:t xml:space="preserve"> </w:t>
      </w:r>
      <w:r>
        <w:rPr>
          <w:rFonts w:cs="Arial" w:hint="cs"/>
          <w:rtl/>
        </w:rPr>
        <w:t xml:space="preserve">הב"י כ' שדעת הרמב"ם אינה כר"ת </w:t>
      </w:r>
      <w:r w:rsidRPr="00CC1855">
        <w:rPr>
          <w:rFonts w:cs="Arial" w:hint="cs"/>
          <w:sz w:val="16"/>
          <w:szCs w:val="16"/>
          <w:rtl/>
        </w:rPr>
        <w:t>(א-</w:t>
      </w:r>
      <w:r w:rsidRPr="00CC1855">
        <w:rPr>
          <w:rFonts w:cs="Arial"/>
          <w:sz w:val="16"/>
          <w:szCs w:val="16"/>
          <w:rtl/>
        </w:rPr>
        <w:t xml:space="preserve"> </w:t>
      </w:r>
      <w:r w:rsidRPr="00CC1855">
        <w:rPr>
          <w:rFonts w:cs="Arial" w:hint="cs"/>
          <w:sz w:val="16"/>
          <w:szCs w:val="16"/>
          <w:rtl/>
        </w:rPr>
        <w:t>כ</w:t>
      </w:r>
      <w:r w:rsidRPr="00CC1855">
        <w:rPr>
          <w:rFonts w:cs="Arial"/>
          <w:sz w:val="16"/>
          <w:szCs w:val="16"/>
          <w:rtl/>
        </w:rPr>
        <w:t>שאין בו כזית בכדי אכילת פרס מיתסר לר"ת מדאו</w:t>
      </w:r>
      <w:r w:rsidRPr="00CC1855">
        <w:rPr>
          <w:rFonts w:cs="Arial" w:hint="cs"/>
          <w:sz w:val="16"/>
          <w:szCs w:val="16"/>
          <w:rtl/>
        </w:rPr>
        <w:t>'</w:t>
      </w:r>
      <w:r w:rsidRPr="00CC1855">
        <w:rPr>
          <w:rFonts w:cs="Arial"/>
          <w:sz w:val="16"/>
          <w:szCs w:val="16"/>
          <w:rtl/>
        </w:rPr>
        <w:t xml:space="preserve"> </w:t>
      </w:r>
      <w:r w:rsidRPr="00CC1855">
        <w:rPr>
          <w:rFonts w:cs="Arial" w:hint="cs"/>
          <w:sz w:val="16"/>
          <w:szCs w:val="16"/>
          <w:rtl/>
        </w:rPr>
        <w:t>אע"פ</w:t>
      </w:r>
      <w:r w:rsidRPr="00CC1855">
        <w:rPr>
          <w:rFonts w:cs="Arial"/>
          <w:sz w:val="16"/>
          <w:szCs w:val="16"/>
          <w:rtl/>
        </w:rPr>
        <w:t xml:space="preserve"> שאין בו ששים</w:t>
      </w:r>
      <w:r w:rsidRPr="00CC1855">
        <w:rPr>
          <w:rFonts w:cs="Arial" w:hint="cs"/>
          <w:sz w:val="16"/>
          <w:szCs w:val="16"/>
          <w:rtl/>
        </w:rPr>
        <w:t>, משא"כ לרמב"ם. ב-</w:t>
      </w:r>
      <w:r w:rsidRPr="00CC1855">
        <w:rPr>
          <w:rFonts w:cs="Arial"/>
          <w:sz w:val="16"/>
          <w:szCs w:val="16"/>
          <w:rtl/>
        </w:rPr>
        <w:t xml:space="preserve"> ביש בו כזית בכדי אכילת פרס לר"ת מיחייב על אכילת כזית ולהרמב"ם לא מיחייב עד שאוכל כשלש ביצים</w:t>
      </w:r>
      <w:r w:rsidRPr="00CC1855">
        <w:rPr>
          <w:rFonts w:cs="Arial" w:hint="cs"/>
          <w:sz w:val="16"/>
          <w:szCs w:val="16"/>
          <w:rtl/>
        </w:rPr>
        <w:t>)</w:t>
      </w:r>
      <w:r>
        <w:rPr>
          <w:rFonts w:cs="Arial"/>
          <w:rtl/>
        </w:rPr>
        <w:t xml:space="preserve"> אבל </w:t>
      </w:r>
      <w:r>
        <w:rPr>
          <w:rFonts w:cs="Arial" w:hint="cs"/>
          <w:rtl/>
        </w:rPr>
        <w:t xml:space="preserve">כ' שדברי הרמב"ם הם </w:t>
      </w:r>
      <w:r>
        <w:rPr>
          <w:rFonts w:cs="Arial"/>
          <w:rtl/>
        </w:rPr>
        <w:t>כ</w:t>
      </w:r>
      <w:r>
        <w:rPr>
          <w:rFonts w:cs="Arial" w:hint="cs"/>
          <w:rtl/>
        </w:rPr>
        <w:t xml:space="preserve">דברי </w:t>
      </w:r>
      <w:r>
        <w:rPr>
          <w:rFonts w:cs="Arial"/>
          <w:rtl/>
        </w:rPr>
        <w:t xml:space="preserve">רש"י </w:t>
      </w:r>
      <w:r w:rsidRPr="00CC1855">
        <w:rPr>
          <w:rFonts w:cs="Arial" w:hint="cs"/>
          <w:sz w:val="16"/>
          <w:szCs w:val="16"/>
          <w:rtl/>
        </w:rPr>
        <w:t>(</w:t>
      </w:r>
      <w:r w:rsidRPr="00CC1855">
        <w:rPr>
          <w:rFonts w:cs="Arial"/>
          <w:sz w:val="16"/>
          <w:szCs w:val="16"/>
          <w:rtl/>
        </w:rPr>
        <w:t>ד</w:t>
      </w:r>
      <w:r w:rsidRPr="00CC1855">
        <w:rPr>
          <w:rFonts w:cs="Arial" w:hint="cs"/>
          <w:sz w:val="16"/>
          <w:szCs w:val="16"/>
          <w:rtl/>
        </w:rPr>
        <w:t>אע"</w:t>
      </w:r>
      <w:r w:rsidRPr="00CC1855">
        <w:rPr>
          <w:rFonts w:cs="Arial"/>
          <w:sz w:val="16"/>
          <w:szCs w:val="16"/>
          <w:rtl/>
        </w:rPr>
        <w:t>ג דסבר רש"י דלית ליה לרבא טעם כעיקר בחולין הני מילי כשאין שם אלא טעמו של איסור בלבד ולא ממשו אבל כשיש שם טעמו וממשו דהיינו כי אית ביה כזית בכדי אכילת פרס פשיטא דמדאו</w:t>
      </w:r>
      <w:r w:rsidRPr="00CC1855">
        <w:rPr>
          <w:rFonts w:cs="Arial" w:hint="cs"/>
          <w:sz w:val="16"/>
          <w:szCs w:val="16"/>
          <w:rtl/>
        </w:rPr>
        <w:t>'</w:t>
      </w:r>
      <w:r w:rsidRPr="00CC1855">
        <w:rPr>
          <w:rFonts w:cs="Arial"/>
          <w:sz w:val="16"/>
          <w:szCs w:val="16"/>
          <w:rtl/>
        </w:rPr>
        <w:t xml:space="preserve"> אסור ומילקי לקי עליה</w:t>
      </w:r>
      <w:r w:rsidRPr="00CC1855">
        <w:rPr>
          <w:rFonts w:cs="Arial" w:hint="cs"/>
          <w:sz w:val="16"/>
          <w:szCs w:val="16"/>
          <w:rtl/>
        </w:rPr>
        <w:t>,</w:t>
      </w:r>
      <w:r w:rsidRPr="00CC1855">
        <w:rPr>
          <w:rFonts w:cs="Arial"/>
          <w:sz w:val="16"/>
          <w:szCs w:val="16"/>
          <w:rtl/>
        </w:rPr>
        <w:t xml:space="preserve"> כדא"ר יוחנן (ע"ז סז.) כל שטעמו וממשו אסור ולוקין עליו</w:t>
      </w:r>
      <w:r w:rsidRPr="00CC1855">
        <w:rPr>
          <w:rFonts w:cs="Arial" w:hint="cs"/>
          <w:sz w:val="16"/>
          <w:szCs w:val="16"/>
          <w:rtl/>
        </w:rPr>
        <w:t>,</w:t>
      </w:r>
      <w:r w:rsidRPr="00CC1855">
        <w:rPr>
          <w:rFonts w:cs="Arial"/>
          <w:sz w:val="16"/>
          <w:szCs w:val="16"/>
          <w:rtl/>
        </w:rPr>
        <w:t xml:space="preserve"> וזהו כזית בכדי אכילת פרס</w:t>
      </w:r>
      <w:r w:rsidRPr="00CC1855">
        <w:rPr>
          <w:rFonts w:cs="Arial" w:hint="cs"/>
          <w:sz w:val="16"/>
          <w:szCs w:val="16"/>
          <w:rtl/>
        </w:rPr>
        <w:t>,</w:t>
      </w:r>
      <w:r w:rsidRPr="00CC1855">
        <w:rPr>
          <w:rFonts w:cs="Arial"/>
          <w:sz w:val="16"/>
          <w:szCs w:val="16"/>
          <w:rtl/>
        </w:rPr>
        <w:t xml:space="preserve"> ומינה נשמע דטעמו ולא ממשו דאין לוקין עליו היינו אין בו כזית בכדי אכילת פרס ובההוא קאמר דלית ליה לרבא טעם כעיקר בחולין מדאו</w:t>
      </w:r>
      <w:r w:rsidRPr="00CC1855">
        <w:rPr>
          <w:rFonts w:cs="Arial" w:hint="cs"/>
          <w:sz w:val="16"/>
          <w:szCs w:val="16"/>
          <w:rtl/>
        </w:rPr>
        <w:t>'</w:t>
      </w:r>
      <w:r w:rsidRPr="00CC1855">
        <w:rPr>
          <w:rFonts w:cs="Arial"/>
          <w:sz w:val="16"/>
          <w:szCs w:val="16"/>
          <w:rtl/>
        </w:rPr>
        <w:t xml:space="preserve"> ואפילו נתערב שם גופו של איסור</w:t>
      </w:r>
      <w:r>
        <w:rPr>
          <w:rFonts w:cs="Arial" w:hint="cs"/>
          <w:sz w:val="16"/>
          <w:szCs w:val="16"/>
          <w:rtl/>
        </w:rPr>
        <w:t>)</w:t>
      </w:r>
      <w:r>
        <w:rPr>
          <w:rFonts w:hint="cs"/>
          <w:rtl/>
        </w:rPr>
        <w:t>,</w:t>
      </w:r>
      <w:r w:rsidRPr="008319F0">
        <w:rPr>
          <w:rFonts w:cs="Arial" w:hint="cs"/>
          <w:rtl/>
        </w:rPr>
        <w:t xml:space="preserve"> </w:t>
      </w:r>
      <w:r>
        <w:rPr>
          <w:rFonts w:cs="Arial" w:hint="cs"/>
          <w:rtl/>
        </w:rPr>
        <w:t xml:space="preserve">והוסיף שמדברי </w:t>
      </w:r>
      <w:r w:rsidRPr="009F2EE2">
        <w:rPr>
          <w:rFonts w:cs="Arial" w:hint="cs"/>
          <w:rtl/>
        </w:rPr>
        <w:t>ה</w:t>
      </w:r>
      <w:r w:rsidRPr="009F2EE2">
        <w:rPr>
          <w:rFonts w:cs="Arial"/>
          <w:rtl/>
        </w:rPr>
        <w:t>ר"ן</w:t>
      </w:r>
      <w:r w:rsidRPr="009F2EE2">
        <w:rPr>
          <w:rFonts w:cs="Arial" w:hint="cs"/>
          <w:rtl/>
        </w:rPr>
        <w:t xml:space="preserve"> </w:t>
      </w:r>
      <w:r w:rsidRPr="009F2EE2">
        <w:rPr>
          <w:rFonts w:cs="Arial"/>
          <w:sz w:val="16"/>
          <w:szCs w:val="16"/>
          <w:rtl/>
        </w:rPr>
        <w:t>(לה: סוף דיבור ראשון</w:t>
      </w:r>
      <w:r>
        <w:rPr>
          <w:rFonts w:cs="Arial" w:hint="cs"/>
          <w:sz w:val="16"/>
          <w:szCs w:val="16"/>
          <w:rtl/>
        </w:rPr>
        <w:t>, וז"ל-</w:t>
      </w:r>
      <w:r w:rsidRPr="008319F0">
        <w:rPr>
          <w:rFonts w:cs="Arial"/>
          <w:sz w:val="16"/>
          <w:szCs w:val="16"/>
          <w:rtl/>
        </w:rPr>
        <w:t xml:space="preserve"> מין בשאינו מינו כל היכא שנתערב גופו ויהיב טעמא אפילו באלף אסור מדאו</w:t>
      </w:r>
      <w:r w:rsidRPr="008319F0">
        <w:rPr>
          <w:rFonts w:cs="Arial" w:hint="cs"/>
          <w:sz w:val="16"/>
          <w:szCs w:val="16"/>
          <w:rtl/>
        </w:rPr>
        <w:t>',</w:t>
      </w:r>
      <w:r w:rsidRPr="008319F0">
        <w:rPr>
          <w:rFonts w:cs="Arial"/>
          <w:sz w:val="16"/>
          <w:szCs w:val="16"/>
          <w:rtl/>
        </w:rPr>
        <w:t xml:space="preserve"> ואי איכא כזית בכדי אכילת פרס לוקה</w:t>
      </w:r>
      <w:r w:rsidRPr="008319F0">
        <w:rPr>
          <w:rFonts w:cs="Arial" w:hint="cs"/>
          <w:sz w:val="16"/>
          <w:szCs w:val="16"/>
          <w:rtl/>
        </w:rPr>
        <w:t>,</w:t>
      </w:r>
      <w:r w:rsidRPr="008319F0">
        <w:rPr>
          <w:rFonts w:cs="Arial"/>
          <w:sz w:val="16"/>
          <w:szCs w:val="16"/>
          <w:rtl/>
        </w:rPr>
        <w:t xml:space="preserve"> ואי ליכא כזית בכדי אכילת פרס אסור מדאו</w:t>
      </w:r>
      <w:r w:rsidRPr="008319F0">
        <w:rPr>
          <w:rFonts w:cs="Arial" w:hint="cs"/>
          <w:sz w:val="16"/>
          <w:szCs w:val="16"/>
          <w:rtl/>
        </w:rPr>
        <w:t>'</w:t>
      </w:r>
      <w:r w:rsidRPr="008319F0">
        <w:rPr>
          <w:rFonts w:cs="Arial"/>
          <w:sz w:val="16"/>
          <w:szCs w:val="16"/>
          <w:rtl/>
        </w:rPr>
        <w:t xml:space="preserve"> מיהו אין לוקין עליו</w:t>
      </w:r>
      <w:r w:rsidRPr="008319F0">
        <w:rPr>
          <w:rFonts w:cs="Arial" w:hint="cs"/>
          <w:sz w:val="16"/>
          <w:szCs w:val="16"/>
          <w:rtl/>
        </w:rPr>
        <w:t>,</w:t>
      </w:r>
      <w:r w:rsidRPr="008319F0">
        <w:rPr>
          <w:rFonts w:cs="Arial"/>
          <w:sz w:val="16"/>
          <w:szCs w:val="16"/>
          <w:rtl/>
        </w:rPr>
        <w:t xml:space="preserve"> ואי לא יהיב טעמא שיעורא בששים</w:t>
      </w:r>
      <w:r w:rsidRPr="008319F0">
        <w:rPr>
          <w:rFonts w:cs="Arial" w:hint="cs"/>
          <w:sz w:val="16"/>
          <w:szCs w:val="16"/>
          <w:rtl/>
        </w:rPr>
        <w:t>,</w:t>
      </w:r>
      <w:r w:rsidRPr="008319F0">
        <w:rPr>
          <w:rFonts w:cs="Arial"/>
          <w:sz w:val="16"/>
          <w:szCs w:val="16"/>
          <w:rtl/>
        </w:rPr>
        <w:t xml:space="preserve"> והיכא שנתערב בדבר טעמו ולא ממשו היינו טעם כעיקר שלפי שיטת ר"ת הוא מדאו</w:t>
      </w:r>
      <w:r w:rsidRPr="008319F0">
        <w:rPr>
          <w:rFonts w:cs="Arial" w:hint="cs"/>
          <w:sz w:val="16"/>
          <w:szCs w:val="16"/>
          <w:rtl/>
        </w:rPr>
        <w:t>'</w:t>
      </w:r>
      <w:r w:rsidRPr="008319F0">
        <w:rPr>
          <w:rFonts w:cs="Arial"/>
          <w:sz w:val="16"/>
          <w:szCs w:val="16"/>
          <w:rtl/>
        </w:rPr>
        <w:t xml:space="preserve"> ולפי שיטת רש"י מדרבנן</w:t>
      </w:r>
      <w:r>
        <w:rPr>
          <w:rFonts w:cs="Arial" w:hint="cs"/>
          <w:sz w:val="16"/>
          <w:szCs w:val="16"/>
          <w:rtl/>
        </w:rPr>
        <w:t>)</w:t>
      </w:r>
      <w:r>
        <w:rPr>
          <w:rFonts w:cs="Arial" w:hint="cs"/>
          <w:rtl/>
        </w:rPr>
        <w:t xml:space="preserve"> משמע</w:t>
      </w:r>
      <w:r>
        <w:rPr>
          <w:rFonts w:cs="Arial"/>
          <w:rtl/>
        </w:rPr>
        <w:t xml:space="preserve"> </w:t>
      </w:r>
      <w:r>
        <w:rPr>
          <w:rFonts w:cs="Arial" w:hint="cs"/>
          <w:rtl/>
        </w:rPr>
        <w:t>שהבין שאין חילוק בין ר"ת לרש"י בעניין שנתערב בו גופו וממשו ושניהם סברי דאסור מדאו'</w:t>
      </w:r>
      <w:r>
        <w:rPr>
          <w:rFonts w:cs="Arial"/>
          <w:rtl/>
        </w:rPr>
        <w:t xml:space="preserve"> אלא שאין לוקין עליו</w:t>
      </w:r>
      <w:r>
        <w:rPr>
          <w:rFonts w:cs="Arial" w:hint="cs"/>
          <w:rtl/>
        </w:rPr>
        <w:t>,</w:t>
      </w:r>
      <w:r>
        <w:rPr>
          <w:rFonts w:cs="Arial"/>
          <w:rtl/>
        </w:rPr>
        <w:t xml:space="preserve"> ותמה</w:t>
      </w:r>
      <w:r>
        <w:rPr>
          <w:rFonts w:cs="Arial" w:hint="cs"/>
          <w:rtl/>
        </w:rPr>
        <w:t xml:space="preserve"> עליו,</w:t>
      </w:r>
      <w:r>
        <w:rPr>
          <w:rFonts w:cs="Arial"/>
          <w:rtl/>
        </w:rPr>
        <w:t xml:space="preserve"> שהרי רש"י כ</w:t>
      </w:r>
      <w:r>
        <w:rPr>
          <w:rFonts w:cs="Arial" w:hint="cs"/>
          <w:rtl/>
        </w:rPr>
        <w:t>'</w:t>
      </w:r>
      <w:r>
        <w:rPr>
          <w:rFonts w:cs="Arial"/>
          <w:rtl/>
        </w:rPr>
        <w:t xml:space="preserve"> </w:t>
      </w:r>
      <w:r w:rsidRPr="00100361">
        <w:rPr>
          <w:rFonts w:cs="Arial"/>
          <w:sz w:val="16"/>
          <w:szCs w:val="16"/>
          <w:rtl/>
        </w:rPr>
        <w:t xml:space="preserve">(חולין צח: ד"ה לטעם כעיקר) </w:t>
      </w:r>
      <w:r>
        <w:rPr>
          <w:rFonts w:cs="Arial"/>
          <w:rtl/>
        </w:rPr>
        <w:t>רבא לית ליה טעם כעיקר בחולין אלא מדרבנן והכי נמי שמעינן לר' יוחנן כל שטעמו ולא ממשו אין לוקין עליו</w:t>
      </w:r>
      <w:r>
        <w:rPr>
          <w:rFonts w:cs="Arial" w:hint="cs"/>
          <w:rtl/>
        </w:rPr>
        <w:t xml:space="preserve">, ולדברי הר"ן </w:t>
      </w:r>
      <w:r w:rsidRPr="00100361">
        <w:rPr>
          <w:rFonts w:cs="Arial" w:hint="cs"/>
          <w:sz w:val="16"/>
          <w:szCs w:val="16"/>
          <w:rtl/>
        </w:rPr>
        <w:t>(שפירש שר' יוחנן מיירי בשנתערב גופו וטעמו של איסור רק שאין בו כזית בכדי אכילת פרס</w:t>
      </w:r>
      <w:r>
        <w:rPr>
          <w:rFonts w:cs="Arial" w:hint="cs"/>
          <w:sz w:val="16"/>
          <w:szCs w:val="16"/>
          <w:rtl/>
        </w:rPr>
        <w:t>)</w:t>
      </w:r>
      <w:r>
        <w:rPr>
          <w:rFonts w:cs="Arial" w:hint="cs"/>
          <w:rtl/>
        </w:rPr>
        <w:t xml:space="preserve"> קשה שהרי רש"י משווה בין הא דאמר רבא דטעם כעיקר מדרבנן להא דאמר ר' יוחנן, וא"כ שניהם מדרבנן,</w:t>
      </w:r>
      <w:r>
        <w:rPr>
          <w:rFonts w:cs="Arial"/>
          <w:rtl/>
        </w:rPr>
        <w:t xml:space="preserve"> ואילו למה שכ</w:t>
      </w:r>
      <w:r>
        <w:rPr>
          <w:rFonts w:cs="Arial" w:hint="cs"/>
          <w:rtl/>
        </w:rPr>
        <w:t>' הב"י</w:t>
      </w:r>
      <w:r>
        <w:rPr>
          <w:rFonts w:cs="Arial"/>
          <w:rtl/>
        </w:rPr>
        <w:t xml:space="preserve"> </w:t>
      </w:r>
      <w:r w:rsidRPr="00100361">
        <w:rPr>
          <w:rFonts w:cs="Arial" w:hint="cs"/>
          <w:sz w:val="16"/>
          <w:szCs w:val="16"/>
          <w:rtl/>
        </w:rPr>
        <w:t>(</w:t>
      </w:r>
      <w:r w:rsidRPr="00100361">
        <w:rPr>
          <w:rFonts w:cs="Arial"/>
          <w:sz w:val="16"/>
          <w:szCs w:val="16"/>
          <w:rtl/>
        </w:rPr>
        <w:t>דלא שנא בין נתערב טעמו של איסור בלבד לנתערב טעמו וגופו ואין בו כזית בכדי אכילת פרס</w:t>
      </w:r>
      <w:r>
        <w:rPr>
          <w:rFonts w:cs="Arial" w:hint="cs"/>
          <w:sz w:val="16"/>
          <w:szCs w:val="16"/>
          <w:rtl/>
        </w:rPr>
        <w:t>)</w:t>
      </w:r>
      <w:r>
        <w:rPr>
          <w:rFonts w:cs="Arial"/>
          <w:rtl/>
        </w:rPr>
        <w:t xml:space="preserve"> אתי שפיר</w:t>
      </w:r>
      <w:r>
        <w:rPr>
          <w:rFonts w:hint="cs"/>
          <w:rtl/>
        </w:rPr>
        <w:t>.</w:t>
      </w:r>
      <w:r w:rsidRPr="000A73A8">
        <w:rPr>
          <w:rFonts w:cs="Arial"/>
          <w:rtl/>
        </w:rPr>
        <w:t xml:space="preserve"> </w:t>
      </w:r>
      <w:r>
        <w:rPr>
          <w:rFonts w:cs="Arial" w:hint="cs"/>
          <w:rtl/>
        </w:rPr>
        <w:t>וכ"כ ה</w:t>
      </w:r>
      <w:r w:rsidRPr="00100361">
        <w:rPr>
          <w:rFonts w:cs="Arial"/>
          <w:rtl/>
        </w:rPr>
        <w:t xml:space="preserve">רשב"א </w:t>
      </w:r>
      <w:r w:rsidRPr="00100361">
        <w:rPr>
          <w:rFonts w:cs="Arial" w:hint="cs"/>
          <w:sz w:val="16"/>
          <w:szCs w:val="16"/>
          <w:rtl/>
        </w:rPr>
        <w:t>(</w:t>
      </w:r>
      <w:r w:rsidRPr="00100361">
        <w:rPr>
          <w:rFonts w:cs="Arial"/>
          <w:sz w:val="16"/>
          <w:szCs w:val="16"/>
          <w:rtl/>
        </w:rPr>
        <w:t>בחדו</w:t>
      </w:r>
      <w:r w:rsidRPr="00100361">
        <w:rPr>
          <w:rFonts w:cs="Arial" w:hint="cs"/>
          <w:sz w:val="16"/>
          <w:szCs w:val="16"/>
          <w:rtl/>
        </w:rPr>
        <w:t>' [</w:t>
      </w:r>
      <w:r w:rsidRPr="00100361">
        <w:rPr>
          <w:rFonts w:cs="Arial"/>
          <w:sz w:val="16"/>
          <w:szCs w:val="16"/>
          <w:rtl/>
        </w:rPr>
        <w:t>חולין צח: ד"ה אמר רבא</w:t>
      </w:r>
      <w:r w:rsidRPr="00100361">
        <w:rPr>
          <w:rFonts w:cs="Arial" w:hint="cs"/>
          <w:sz w:val="16"/>
          <w:szCs w:val="16"/>
          <w:rtl/>
        </w:rPr>
        <w:t>],</w:t>
      </w:r>
      <w:r w:rsidRPr="00100361">
        <w:rPr>
          <w:rFonts w:cs="Arial"/>
          <w:sz w:val="16"/>
          <w:szCs w:val="16"/>
          <w:rtl/>
        </w:rPr>
        <w:t xml:space="preserve"> ובת</w:t>
      </w:r>
      <w:r w:rsidRPr="00100361">
        <w:rPr>
          <w:rFonts w:cs="Arial" w:hint="cs"/>
          <w:sz w:val="16"/>
          <w:szCs w:val="16"/>
          <w:rtl/>
        </w:rPr>
        <w:t>ו</w:t>
      </w:r>
      <w:r w:rsidRPr="00100361">
        <w:rPr>
          <w:rFonts w:cs="Arial"/>
          <w:sz w:val="16"/>
          <w:szCs w:val="16"/>
          <w:rtl/>
        </w:rPr>
        <w:t>ה</w:t>
      </w:r>
      <w:r w:rsidRPr="00100361">
        <w:rPr>
          <w:rFonts w:cs="Arial" w:hint="cs"/>
          <w:sz w:val="16"/>
          <w:szCs w:val="16"/>
          <w:rtl/>
        </w:rPr>
        <w:t>"ב</w:t>
      </w:r>
      <w:r w:rsidRPr="00100361">
        <w:rPr>
          <w:rFonts w:cs="Arial"/>
          <w:sz w:val="16"/>
          <w:szCs w:val="16"/>
          <w:rtl/>
        </w:rPr>
        <w:t xml:space="preserve"> </w:t>
      </w:r>
      <w:r w:rsidRPr="00100361">
        <w:rPr>
          <w:rFonts w:cs="Arial" w:hint="cs"/>
          <w:sz w:val="16"/>
          <w:szCs w:val="16"/>
          <w:rtl/>
        </w:rPr>
        <w:t>[</w:t>
      </w:r>
      <w:r w:rsidRPr="00100361">
        <w:rPr>
          <w:rFonts w:cs="Arial"/>
          <w:sz w:val="16"/>
          <w:szCs w:val="16"/>
          <w:rtl/>
        </w:rPr>
        <w:t>ב"ד ש"א י.</w:t>
      </w:r>
      <w:r w:rsidRPr="00100361">
        <w:rPr>
          <w:rFonts w:cs="Arial" w:hint="cs"/>
          <w:sz w:val="16"/>
          <w:szCs w:val="16"/>
          <w:rtl/>
        </w:rPr>
        <w:t>]</w:t>
      </w:r>
      <w:r w:rsidRPr="00100361">
        <w:rPr>
          <w:rFonts w:cs="Arial"/>
          <w:sz w:val="16"/>
          <w:szCs w:val="16"/>
          <w:rtl/>
        </w:rPr>
        <w:t>)</w:t>
      </w:r>
      <w:r w:rsidRPr="00100361">
        <w:rPr>
          <w:rFonts w:cs="Arial"/>
          <w:rtl/>
        </w:rPr>
        <w:t xml:space="preserve"> </w:t>
      </w:r>
      <w:r>
        <w:rPr>
          <w:rFonts w:cs="Arial" w:hint="cs"/>
          <w:rtl/>
        </w:rPr>
        <w:t xml:space="preserve">וכ' שכן דעת בעלי התוס' ורש"י </w:t>
      </w:r>
      <w:r w:rsidRPr="000A73A8">
        <w:rPr>
          <w:rFonts w:cs="Arial" w:hint="cs"/>
          <w:sz w:val="16"/>
          <w:szCs w:val="16"/>
          <w:rtl/>
        </w:rPr>
        <w:t>(</w:t>
      </w:r>
      <w:r>
        <w:rPr>
          <w:rFonts w:cs="Arial" w:hint="cs"/>
          <w:sz w:val="16"/>
          <w:szCs w:val="16"/>
          <w:rtl/>
        </w:rPr>
        <w:t>היינו שאין הבדל בין שיש בו טעמו ולא ממשו לבין שנתן בו טעמו וממשו רק שאינו ממשו ניכר ו</w:t>
      </w:r>
      <w:r w:rsidRPr="000A73A8">
        <w:rPr>
          <w:rFonts w:cs="Arial"/>
          <w:sz w:val="16"/>
          <w:szCs w:val="16"/>
          <w:rtl/>
        </w:rPr>
        <w:t>אבד במיעוטו</w:t>
      </w:r>
      <w:r>
        <w:rPr>
          <w:rFonts w:cs="Arial" w:hint="cs"/>
          <w:sz w:val="16"/>
          <w:szCs w:val="16"/>
          <w:rtl/>
        </w:rPr>
        <w:t>,</w:t>
      </w:r>
      <w:r w:rsidRPr="000A73A8">
        <w:rPr>
          <w:rFonts w:cs="Arial"/>
          <w:sz w:val="16"/>
          <w:szCs w:val="16"/>
          <w:rtl/>
        </w:rPr>
        <w:t xml:space="preserve"> כגון שנפלה טיפת יין בתוך מים ואין בו מראה יין שאבד ממשו מחמת מיעוטו</w:t>
      </w:r>
      <w:r>
        <w:rPr>
          <w:rFonts w:cs="Arial" w:hint="cs"/>
          <w:sz w:val="16"/>
          <w:szCs w:val="16"/>
          <w:rtl/>
        </w:rPr>
        <w:t>)</w:t>
      </w:r>
      <w:r>
        <w:rPr>
          <w:rFonts w:cs="Arial" w:hint="cs"/>
          <w:rtl/>
        </w:rPr>
        <w:t xml:space="preserve">, </w:t>
      </w:r>
      <w:r w:rsidRPr="00100361">
        <w:rPr>
          <w:rFonts w:cs="Arial"/>
          <w:rtl/>
        </w:rPr>
        <w:t xml:space="preserve">ואפשר שנתכוין הר"ן </w:t>
      </w:r>
      <w:r>
        <w:rPr>
          <w:rFonts w:cs="Arial" w:hint="cs"/>
          <w:rtl/>
        </w:rPr>
        <w:t>לומר כדברי הרשב"א וכוונתו ד</w:t>
      </w:r>
      <w:r w:rsidRPr="00100361">
        <w:rPr>
          <w:rFonts w:cs="Arial"/>
          <w:rtl/>
        </w:rPr>
        <w:t>אע</w:t>
      </w:r>
      <w:r w:rsidRPr="00100361">
        <w:rPr>
          <w:rFonts w:cs="Arial" w:hint="cs"/>
          <w:rtl/>
        </w:rPr>
        <w:t>"</w:t>
      </w:r>
      <w:r w:rsidRPr="00100361">
        <w:rPr>
          <w:rFonts w:cs="Arial"/>
          <w:rtl/>
        </w:rPr>
        <w:t>פ שנתערב שם גופו של איסור כל שנמחה ואין ממשו נמצא כגון יין שאבד ממשו מחמת מיעוטו קרי ליה לא נתערב שם גופו של איסור אלא טעמו בלבד</w:t>
      </w:r>
      <w:r w:rsidRPr="00100361">
        <w:rPr>
          <w:rFonts w:cs="Arial" w:hint="cs"/>
          <w:rtl/>
        </w:rPr>
        <w:t>,</w:t>
      </w:r>
      <w:r w:rsidRPr="00100361">
        <w:rPr>
          <w:rFonts w:cs="Arial"/>
          <w:rtl/>
        </w:rPr>
        <w:t xml:space="preserve"> אבל לא משמע כן מדבריו ז"ל שם</w:t>
      </w:r>
      <w:r>
        <w:rPr>
          <w:rFonts w:hint="cs"/>
          <w:rtl/>
        </w:rPr>
        <w:t>.</w:t>
      </w:r>
    </w:p>
  </w:footnote>
  <w:footnote w:id="1797">
    <w:p w14:paraId="3AC9480C" w14:textId="77777777" w:rsidR="004C5A3C" w:rsidRDefault="004C5A3C" w:rsidP="002C39F4">
      <w:pPr>
        <w:pStyle w:val="a5"/>
        <w:rPr>
          <w:rtl/>
        </w:rPr>
      </w:pPr>
      <w:r>
        <w:rPr>
          <w:rStyle w:val="a7"/>
        </w:rPr>
        <w:footnoteRef/>
      </w:r>
      <w:r>
        <w:rPr>
          <w:rtl/>
        </w:rPr>
        <w:t xml:space="preserve"> </w:t>
      </w:r>
      <w:r>
        <w:rPr>
          <w:rFonts w:cs="Arial" w:hint="cs"/>
          <w:rtl/>
        </w:rPr>
        <w:t>וכ' הב"י-</w:t>
      </w:r>
      <w:r w:rsidRPr="001B738C">
        <w:rPr>
          <w:rFonts w:cs="Arial"/>
          <w:rtl/>
        </w:rPr>
        <w:t xml:space="preserve"> ופשוט הוא לדעת ר"ת</w:t>
      </w:r>
      <w:r>
        <w:rPr>
          <w:rFonts w:hint="cs"/>
          <w:rtl/>
        </w:rPr>
        <w:t xml:space="preserve"> </w:t>
      </w:r>
      <w:r w:rsidRPr="006F6B3A">
        <w:rPr>
          <w:rFonts w:hint="cs"/>
          <w:sz w:val="16"/>
          <w:szCs w:val="16"/>
          <w:rtl/>
        </w:rPr>
        <w:t>{דהרי לרש"י וסיעתו אין הבדל ותמיד ספיקו הוא לקולא שהרי הוא מדרבנן}</w:t>
      </w:r>
      <w:r>
        <w:rPr>
          <w:rFonts w:hint="cs"/>
          <w:rtl/>
        </w:rPr>
        <w:t xml:space="preserve">, </w:t>
      </w:r>
      <w:r w:rsidRPr="001B738C">
        <w:rPr>
          <w:rFonts w:cs="Arial"/>
          <w:rtl/>
        </w:rPr>
        <w:t>וכ</w:t>
      </w:r>
      <w:r>
        <w:rPr>
          <w:rFonts w:cs="Arial" w:hint="cs"/>
          <w:rtl/>
        </w:rPr>
        <w:t>'</w:t>
      </w:r>
      <w:r w:rsidRPr="001B738C">
        <w:rPr>
          <w:rFonts w:cs="Arial"/>
          <w:rtl/>
        </w:rPr>
        <w:t xml:space="preserve"> בא</w:t>
      </w:r>
      <w:r>
        <w:rPr>
          <w:rFonts w:cs="Arial" w:hint="cs"/>
          <w:rtl/>
        </w:rPr>
        <w:t>"ח</w:t>
      </w:r>
      <w:r w:rsidRPr="001B738C">
        <w:rPr>
          <w:rFonts w:cs="Arial"/>
          <w:rtl/>
        </w:rPr>
        <w:t xml:space="preserve"> (</w:t>
      </w:r>
      <w:r>
        <w:rPr>
          <w:rFonts w:cs="Arial"/>
          <w:rtl/>
        </w:rPr>
        <w:t>הלא"מ</w:t>
      </w:r>
      <w:r>
        <w:rPr>
          <w:rFonts w:cs="Arial" w:hint="cs"/>
          <w:rtl/>
        </w:rPr>
        <w:t xml:space="preserve"> </w:t>
      </w:r>
      <w:r w:rsidRPr="001B738C">
        <w:rPr>
          <w:rFonts w:cs="Arial"/>
          <w:rtl/>
        </w:rPr>
        <w:t>אות יד ד"ה הרביעי) בשם ה"ר פרץ</w:t>
      </w:r>
      <w:r>
        <w:rPr>
          <w:rFonts w:cs="Arial" w:hint="cs"/>
          <w:rtl/>
        </w:rPr>
        <w:t>-</w:t>
      </w:r>
      <w:r w:rsidRPr="001B738C">
        <w:rPr>
          <w:rFonts w:cs="Arial"/>
          <w:rtl/>
        </w:rPr>
        <w:t xml:space="preserve"> אבל אם היו לפנינו ואין אנו יודעים לשער אותם לא אמרינן ספיקא לקולא</w:t>
      </w:r>
      <w:r>
        <w:rPr>
          <w:rFonts w:hint="cs"/>
          <w:rtl/>
        </w:rPr>
        <w:t>.</w:t>
      </w:r>
    </w:p>
  </w:footnote>
  <w:footnote w:id="1798">
    <w:p w14:paraId="56DDC3EF" w14:textId="77777777" w:rsidR="004C5A3C" w:rsidRDefault="004C5A3C" w:rsidP="002C39F4">
      <w:pPr>
        <w:pStyle w:val="a5"/>
        <w:rPr>
          <w:rtl/>
        </w:rPr>
      </w:pPr>
      <w:r w:rsidRPr="00247C8C">
        <w:rPr>
          <w:rStyle w:val="a7"/>
        </w:rPr>
        <w:footnoteRef/>
      </w:r>
      <w:r w:rsidRPr="00247C8C">
        <w:rPr>
          <w:rtl/>
        </w:rPr>
        <w:t xml:space="preserve"> </w:t>
      </w:r>
      <w:r w:rsidRPr="00247C8C">
        <w:rPr>
          <w:rFonts w:cs="Arial" w:hint="cs"/>
          <w:rtl/>
        </w:rPr>
        <w:t xml:space="preserve">עכ"ל הדרכ"מ </w:t>
      </w:r>
      <w:r w:rsidRPr="00247C8C">
        <w:rPr>
          <w:rFonts w:cs="Arial" w:hint="cs"/>
          <w:sz w:val="16"/>
          <w:szCs w:val="16"/>
          <w:rtl/>
        </w:rPr>
        <w:t xml:space="preserve">(אות ב) </w:t>
      </w:r>
      <w:r w:rsidRPr="00247C8C">
        <w:rPr>
          <w:rFonts w:cs="Arial" w:hint="cs"/>
          <w:rtl/>
        </w:rPr>
        <w:t>שהביא דבריו,</w:t>
      </w:r>
      <w:r>
        <w:rPr>
          <w:rFonts w:cs="Arial" w:hint="cs"/>
          <w:sz w:val="16"/>
          <w:szCs w:val="16"/>
          <w:rtl/>
        </w:rPr>
        <w:t xml:space="preserve"> </w:t>
      </w:r>
      <w:r w:rsidRPr="00247C8C">
        <w:rPr>
          <w:rFonts w:cs="Arial"/>
          <w:rtl/>
        </w:rPr>
        <w:t>ו</w:t>
      </w:r>
      <w:r>
        <w:rPr>
          <w:rFonts w:cs="Arial" w:hint="cs"/>
          <w:rtl/>
        </w:rPr>
        <w:t xml:space="preserve">כ' הש"ך </w:t>
      </w:r>
      <w:r w:rsidRPr="00247C8C">
        <w:rPr>
          <w:rFonts w:cs="Arial" w:hint="cs"/>
          <w:sz w:val="16"/>
          <w:szCs w:val="16"/>
          <w:rtl/>
        </w:rPr>
        <w:t xml:space="preserve">(סק"ז) </w:t>
      </w:r>
      <w:r>
        <w:rPr>
          <w:rFonts w:cs="Arial" w:hint="cs"/>
          <w:rtl/>
        </w:rPr>
        <w:t>ד</w:t>
      </w:r>
      <w:r w:rsidRPr="00247C8C">
        <w:rPr>
          <w:rFonts w:cs="Arial"/>
          <w:rtl/>
        </w:rPr>
        <w:t>הוא תמוה דהא מ"מ אפילו עיקר בשר בחלב דעוף גופיה אינו אלא מדרבנן וא</w:t>
      </w:r>
      <w:r>
        <w:rPr>
          <w:rFonts w:cs="Arial" w:hint="cs"/>
          <w:rtl/>
        </w:rPr>
        <w:t>"</w:t>
      </w:r>
      <w:r w:rsidRPr="00247C8C">
        <w:rPr>
          <w:rFonts w:cs="Arial"/>
          <w:rtl/>
        </w:rPr>
        <w:t>כ הוי ספיקא דרבנן ולקולא</w:t>
      </w:r>
      <w:r>
        <w:rPr>
          <w:rFonts w:cs="Arial" w:hint="cs"/>
          <w:rtl/>
        </w:rPr>
        <w:t xml:space="preserve"> </w:t>
      </w:r>
      <w:r w:rsidRPr="008F5049">
        <w:rPr>
          <w:rFonts w:cs="Arial" w:hint="cs"/>
          <w:sz w:val="16"/>
          <w:szCs w:val="16"/>
          <w:rtl/>
        </w:rPr>
        <w:t>(ו</w:t>
      </w:r>
      <w:r w:rsidRPr="008F5049">
        <w:rPr>
          <w:rFonts w:cs="Arial"/>
          <w:sz w:val="16"/>
          <w:szCs w:val="16"/>
          <w:rtl/>
        </w:rPr>
        <w:t xml:space="preserve">המעיין באו"ה יראה דהרב לא כוון יפה דז"ל שם דט"ו </w:t>
      </w:r>
      <w:r w:rsidRPr="008F5049">
        <w:rPr>
          <w:rFonts w:cs="Arial" w:hint="cs"/>
          <w:sz w:val="16"/>
          <w:szCs w:val="16"/>
          <w:rtl/>
        </w:rPr>
        <w:t>'</w:t>
      </w:r>
      <w:r w:rsidRPr="008F5049">
        <w:rPr>
          <w:rFonts w:cs="Arial"/>
          <w:sz w:val="16"/>
          <w:szCs w:val="16"/>
          <w:rtl/>
        </w:rPr>
        <w:t>אם נשפכו המים שבקדרה לאחר נפילת האיסור וספק אם היה שם ס' מתחלה או לא כתב בסמ"ק שנוהגין כר"ת דטעם כעיקר דאורייתא ודנין בספיקו לחומרא ע"כ ואפילו נפל חלב לתבשיל של בשר עוף דאין חילוק</w:t>
      </w:r>
      <w:r w:rsidRPr="008F5049">
        <w:rPr>
          <w:rFonts w:cs="Arial" w:hint="cs"/>
          <w:sz w:val="16"/>
          <w:szCs w:val="16"/>
          <w:rtl/>
        </w:rPr>
        <w:t>'</w:t>
      </w:r>
      <w:r w:rsidRPr="008F5049">
        <w:rPr>
          <w:rFonts w:cs="Arial"/>
          <w:sz w:val="16"/>
          <w:szCs w:val="16"/>
          <w:rtl/>
        </w:rPr>
        <w:t xml:space="preserve"> עכ"ל</w:t>
      </w:r>
      <w:r w:rsidRPr="008F5049">
        <w:rPr>
          <w:rFonts w:cs="Arial" w:hint="cs"/>
          <w:sz w:val="16"/>
          <w:szCs w:val="16"/>
          <w:rtl/>
        </w:rPr>
        <w:t>,</w:t>
      </w:r>
      <w:r w:rsidRPr="008F5049">
        <w:rPr>
          <w:rFonts w:cs="Arial"/>
          <w:sz w:val="16"/>
          <w:szCs w:val="16"/>
          <w:rtl/>
        </w:rPr>
        <w:t xml:space="preserve"> ור"ל דאין חילוק דאזיל לטעמיה שכ</w:t>
      </w:r>
      <w:r w:rsidRPr="008F5049">
        <w:rPr>
          <w:rFonts w:cs="Arial" w:hint="cs"/>
          <w:sz w:val="16"/>
          <w:szCs w:val="16"/>
          <w:rtl/>
        </w:rPr>
        <w:t>'</w:t>
      </w:r>
      <w:r>
        <w:rPr>
          <w:rFonts w:cs="Arial" w:hint="cs"/>
          <w:sz w:val="16"/>
          <w:szCs w:val="16"/>
          <w:rtl/>
        </w:rPr>
        <w:t xml:space="preserve"> [</w:t>
      </w:r>
      <w:r w:rsidRPr="008F5049">
        <w:rPr>
          <w:rFonts w:cs="Arial"/>
          <w:sz w:val="16"/>
          <w:szCs w:val="16"/>
          <w:rtl/>
        </w:rPr>
        <w:t>כ</w:t>
      </w:r>
      <w:r>
        <w:rPr>
          <w:rFonts w:cs="Arial" w:hint="cs"/>
          <w:sz w:val="16"/>
          <w:szCs w:val="16"/>
          <w:rtl/>
        </w:rPr>
        <w:t>"</w:t>
      </w:r>
      <w:r w:rsidRPr="008F5049">
        <w:rPr>
          <w:rFonts w:cs="Arial"/>
          <w:sz w:val="16"/>
          <w:szCs w:val="16"/>
          <w:rtl/>
        </w:rPr>
        <w:t>מ ד"ו</w:t>
      </w:r>
      <w:r>
        <w:rPr>
          <w:rFonts w:cs="Arial" w:hint="cs"/>
          <w:sz w:val="16"/>
          <w:szCs w:val="16"/>
          <w:rtl/>
        </w:rPr>
        <w:t>]</w:t>
      </w:r>
      <w:r w:rsidRPr="008F5049">
        <w:rPr>
          <w:rFonts w:cs="Arial"/>
          <w:sz w:val="16"/>
          <w:szCs w:val="16"/>
          <w:rtl/>
        </w:rPr>
        <w:t xml:space="preserve"> דבשר עוף בחלב הוי דאו' ואין חילוק בין בשר עוף לבהמה בכל מילי עכ"ל</w:t>
      </w:r>
      <w:r w:rsidRPr="008F5049">
        <w:rPr>
          <w:rFonts w:cs="Arial" w:hint="cs"/>
          <w:sz w:val="16"/>
          <w:szCs w:val="16"/>
          <w:rtl/>
        </w:rPr>
        <w:t>,</w:t>
      </w:r>
      <w:r w:rsidRPr="008F5049">
        <w:rPr>
          <w:rFonts w:cs="Arial"/>
          <w:sz w:val="16"/>
          <w:szCs w:val="16"/>
          <w:rtl/>
        </w:rPr>
        <w:t xml:space="preserve"> וכ"כ בכמה דוכתי</w:t>
      </w:r>
      <w:r w:rsidRPr="008F5049">
        <w:rPr>
          <w:rFonts w:cs="Arial" w:hint="cs"/>
          <w:sz w:val="16"/>
          <w:szCs w:val="16"/>
          <w:rtl/>
        </w:rPr>
        <w:t>,</w:t>
      </w:r>
      <w:r w:rsidRPr="008F5049">
        <w:rPr>
          <w:rFonts w:cs="Arial"/>
          <w:sz w:val="16"/>
          <w:szCs w:val="16"/>
          <w:rtl/>
        </w:rPr>
        <w:t xml:space="preserve"> אבל למאי דקי"ל בר"ס פז דבשר עוף בחלב דרבנן פשיטא דתולין כאן להקל וזה ברור</w:t>
      </w:r>
      <w:r>
        <w:rPr>
          <w:rFonts w:cs="Arial" w:hint="cs"/>
          <w:sz w:val="16"/>
          <w:szCs w:val="16"/>
          <w:rtl/>
        </w:rPr>
        <w:t>)</w:t>
      </w:r>
      <w:r>
        <w:rPr>
          <w:rFonts w:cs="Arial" w:hint="cs"/>
          <w:rtl/>
        </w:rPr>
        <w:t>. ע"כ. והט"ז</w:t>
      </w:r>
      <w:r w:rsidRPr="008F5049">
        <w:rPr>
          <w:rFonts w:cs="Arial" w:hint="cs"/>
          <w:sz w:val="16"/>
          <w:szCs w:val="16"/>
          <w:rtl/>
        </w:rPr>
        <w:t xml:space="preserve"> (סק"ה)</w:t>
      </w:r>
      <w:r>
        <w:rPr>
          <w:rFonts w:cs="Arial" w:hint="cs"/>
          <w:rtl/>
        </w:rPr>
        <w:t xml:space="preserve"> כ' </w:t>
      </w:r>
      <w:r w:rsidRPr="00C26207">
        <w:rPr>
          <w:rFonts w:cs="Arial"/>
          <w:rtl/>
        </w:rPr>
        <w:t>שאפשר שבנוסח שלו באו"ה היה כתוב כן</w:t>
      </w:r>
      <w:r w:rsidRPr="00C26207">
        <w:rPr>
          <w:rFonts w:cs="Arial" w:hint="cs"/>
          <w:sz w:val="16"/>
          <w:szCs w:val="16"/>
          <w:rtl/>
        </w:rPr>
        <w:t xml:space="preserve"> {היינו </w:t>
      </w:r>
      <w:r w:rsidRPr="00C26207">
        <w:rPr>
          <w:rFonts w:cs="Arial"/>
          <w:sz w:val="16"/>
          <w:szCs w:val="16"/>
          <w:rtl/>
        </w:rPr>
        <w:t>שהוא דרבנן</w:t>
      </w:r>
      <w:r w:rsidRPr="00C26207">
        <w:rPr>
          <w:rFonts w:cs="Arial" w:hint="cs"/>
          <w:sz w:val="16"/>
          <w:szCs w:val="16"/>
          <w:rtl/>
        </w:rPr>
        <w:t>}</w:t>
      </w:r>
      <w:r>
        <w:rPr>
          <w:rFonts w:cs="Arial" w:hint="cs"/>
          <w:rtl/>
        </w:rPr>
        <w:t>,</w:t>
      </w:r>
      <w:r w:rsidRPr="00C26207">
        <w:rPr>
          <w:rFonts w:cs="Arial"/>
          <w:rtl/>
        </w:rPr>
        <w:t xml:space="preserve"> כמו שמצינו בתשו</w:t>
      </w:r>
      <w:r>
        <w:rPr>
          <w:rFonts w:cs="Arial" w:hint="cs"/>
          <w:rtl/>
        </w:rPr>
        <w:t>'</w:t>
      </w:r>
      <w:r w:rsidRPr="00C26207">
        <w:rPr>
          <w:rFonts w:cs="Arial"/>
          <w:rtl/>
        </w:rPr>
        <w:t xml:space="preserve"> רמ"א בסופן שכ</w:t>
      </w:r>
      <w:r>
        <w:rPr>
          <w:rFonts w:cs="Arial" w:hint="cs"/>
          <w:rtl/>
        </w:rPr>
        <w:t>'</w:t>
      </w:r>
      <w:r w:rsidRPr="00C26207">
        <w:rPr>
          <w:rFonts w:cs="Arial"/>
          <w:rtl/>
        </w:rPr>
        <w:t xml:space="preserve"> במידי אחרינא שבנוסח שלו באו"ה כתב יד לא היה כתוב כמו שהוא בנדפסים</w:t>
      </w:r>
      <w:r>
        <w:rPr>
          <w:rFonts w:cs="Arial" w:hint="cs"/>
          <w:rtl/>
        </w:rPr>
        <w:t>...</w:t>
      </w:r>
      <w:r w:rsidRPr="00C26207">
        <w:rPr>
          <w:rFonts w:cs="Arial"/>
          <w:rtl/>
        </w:rPr>
        <w:t xml:space="preserve"> </w:t>
      </w:r>
      <w:r>
        <w:rPr>
          <w:rFonts w:cs="Arial" w:hint="cs"/>
          <w:rtl/>
        </w:rPr>
        <w:t>ו</w:t>
      </w:r>
      <w:r w:rsidRPr="00C26207">
        <w:rPr>
          <w:rFonts w:cs="Arial"/>
          <w:rtl/>
        </w:rPr>
        <w:t xml:space="preserve">נראה דשפיר קאמר רמ"א דכיון דמצינו בבשר עוף בחלב שעשו חכמים חיזוק לדבריהם כשל תורה ממש כגון לענין אכילת גבינה אחר בשר </w:t>
      </w:r>
      <w:r w:rsidRPr="008F5049">
        <w:rPr>
          <w:rFonts w:cs="Arial" w:hint="cs"/>
          <w:sz w:val="16"/>
          <w:szCs w:val="16"/>
          <w:rtl/>
        </w:rPr>
        <w:t>(</w:t>
      </w:r>
      <w:r w:rsidRPr="008F5049">
        <w:rPr>
          <w:rFonts w:cs="Arial"/>
          <w:sz w:val="16"/>
          <w:szCs w:val="16"/>
          <w:rtl/>
        </w:rPr>
        <w:t>כמ"ש ריש סי' פט סע</w:t>
      </w:r>
      <w:r w:rsidRPr="008F5049">
        <w:rPr>
          <w:rFonts w:cs="Arial" w:hint="cs"/>
          <w:sz w:val="16"/>
          <w:szCs w:val="16"/>
          <w:rtl/>
        </w:rPr>
        <w:t>'</w:t>
      </w:r>
      <w:r w:rsidRPr="008F5049">
        <w:rPr>
          <w:rFonts w:cs="Arial"/>
          <w:sz w:val="16"/>
          <w:szCs w:val="16"/>
          <w:rtl/>
        </w:rPr>
        <w:t xml:space="preserve"> א וכן בסע</w:t>
      </w:r>
      <w:r w:rsidRPr="008F5049">
        <w:rPr>
          <w:rFonts w:cs="Arial" w:hint="cs"/>
          <w:sz w:val="16"/>
          <w:szCs w:val="16"/>
          <w:rtl/>
        </w:rPr>
        <w:t>'</w:t>
      </w:r>
      <w:r w:rsidRPr="008F5049">
        <w:rPr>
          <w:rFonts w:cs="Arial"/>
          <w:sz w:val="16"/>
          <w:szCs w:val="16"/>
          <w:rtl/>
        </w:rPr>
        <w:t xml:space="preserve"> ב ליש מחמירין שמביא רמ"א וכן ר"ס פ"ח לענין להעלותו על השלחן</w:t>
      </w:r>
      <w:r>
        <w:rPr>
          <w:rFonts w:cs="Arial" w:hint="cs"/>
          <w:sz w:val="16"/>
          <w:szCs w:val="16"/>
          <w:rtl/>
        </w:rPr>
        <w:t>)</w:t>
      </w:r>
      <w:r w:rsidRPr="00C26207">
        <w:rPr>
          <w:rFonts w:cs="Arial"/>
          <w:rtl/>
        </w:rPr>
        <w:t xml:space="preserve"> ולא חשבי</w:t>
      </w:r>
      <w:r>
        <w:rPr>
          <w:rFonts w:cs="Arial" w:hint="cs"/>
          <w:rtl/>
        </w:rPr>
        <w:t>נן</w:t>
      </w:r>
      <w:r w:rsidRPr="00C26207">
        <w:rPr>
          <w:rFonts w:cs="Arial"/>
          <w:rtl/>
        </w:rPr>
        <w:t xml:space="preserve"> לה גזירה לגזירה והמקור ממה שאיתא בגמ</w:t>
      </w:r>
      <w:r>
        <w:rPr>
          <w:rFonts w:cs="Arial" w:hint="cs"/>
          <w:rtl/>
        </w:rPr>
        <w:t xml:space="preserve">' </w:t>
      </w:r>
      <w:r w:rsidRPr="00C26207">
        <w:rPr>
          <w:rFonts w:cs="Arial"/>
          <w:rtl/>
        </w:rPr>
        <w:t>בזה בפכ"ה</w:t>
      </w:r>
      <w:r>
        <w:rPr>
          <w:rFonts w:cs="Arial" w:hint="cs"/>
          <w:rtl/>
        </w:rPr>
        <w:t>,</w:t>
      </w:r>
      <w:r w:rsidRPr="00C26207">
        <w:rPr>
          <w:rFonts w:cs="Arial"/>
          <w:rtl/>
        </w:rPr>
        <w:t xml:space="preserve"> דגזירה לגזירה הוא בזה כמו גזירה א</w:t>
      </w:r>
      <w:r>
        <w:rPr>
          <w:rFonts w:cs="Arial" w:hint="cs"/>
          <w:rtl/>
        </w:rPr>
        <w:t>',</w:t>
      </w:r>
      <w:r w:rsidRPr="00C26207">
        <w:rPr>
          <w:rFonts w:cs="Arial"/>
          <w:rtl/>
        </w:rPr>
        <w:t xml:space="preserve"> ע"כ גם בזה ראוי להחמיר בעוף גזירה אטו נשפך בבשר בהמה</w:t>
      </w:r>
      <w:r>
        <w:rPr>
          <w:rFonts w:hint="cs"/>
          <w:rtl/>
        </w:rPr>
        <w:t>.</w:t>
      </w:r>
    </w:p>
  </w:footnote>
  <w:footnote w:id="1799">
    <w:p w14:paraId="14B27DEB" w14:textId="77777777" w:rsidR="004C5A3C" w:rsidRDefault="004C5A3C" w:rsidP="002C39F4">
      <w:pPr>
        <w:pStyle w:val="a5"/>
        <w:rPr>
          <w:rtl/>
        </w:rPr>
      </w:pPr>
      <w:r>
        <w:rPr>
          <w:rStyle w:val="a7"/>
        </w:rPr>
        <w:footnoteRef/>
      </w:r>
      <w:r>
        <w:rPr>
          <w:rtl/>
        </w:rPr>
        <w:t xml:space="preserve"> </w:t>
      </w:r>
      <w:r w:rsidRPr="00474FB8">
        <w:rPr>
          <w:rFonts w:cs="Arial"/>
          <w:rtl/>
        </w:rPr>
        <w:t>דסלקא דעתך אמינא דכיון שהוא גם כן מעורב עם שאינו מינו לא ליבטל</w:t>
      </w:r>
      <w:r>
        <w:rPr>
          <w:rFonts w:cs="Arial" w:hint="cs"/>
          <w:rtl/>
        </w:rPr>
        <w:t>,</w:t>
      </w:r>
      <w:r w:rsidRPr="00474FB8">
        <w:rPr>
          <w:rFonts w:cs="Arial"/>
          <w:rtl/>
        </w:rPr>
        <w:t xml:space="preserve"> ק</w:t>
      </w:r>
      <w:r>
        <w:rPr>
          <w:rFonts w:cs="Arial" w:hint="cs"/>
          <w:rtl/>
        </w:rPr>
        <w:t>מ"ל</w:t>
      </w:r>
      <w:r w:rsidRPr="00474FB8">
        <w:rPr>
          <w:rFonts w:cs="Arial"/>
          <w:rtl/>
        </w:rPr>
        <w:t xml:space="preserve"> רואין את שאינו מינו כאילו אינו</w:t>
      </w:r>
      <w:r>
        <w:rPr>
          <w:rFonts w:cs="Arial" w:hint="cs"/>
          <w:rtl/>
        </w:rPr>
        <w:t>,</w:t>
      </w:r>
      <w:r w:rsidRPr="00474FB8">
        <w:rPr>
          <w:rFonts w:cs="Arial"/>
          <w:rtl/>
        </w:rPr>
        <w:t xml:space="preserve"> כי היכי דלמאן דאמר (חולין ק:) מין במינו לא בטיל אמרינן רואין את מינו כאילו אינו וכו'</w:t>
      </w:r>
      <w:r>
        <w:rPr>
          <w:rFonts w:hint="cs"/>
          <w:rtl/>
        </w:rPr>
        <w:t>, ב"י.</w:t>
      </w:r>
    </w:p>
  </w:footnote>
  <w:footnote w:id="1800">
    <w:p w14:paraId="1E956EE6" w14:textId="77777777" w:rsidR="004C5A3C" w:rsidRPr="003218FB" w:rsidRDefault="004C5A3C" w:rsidP="002C39F4">
      <w:pPr>
        <w:pStyle w:val="a5"/>
      </w:pPr>
      <w:r>
        <w:rPr>
          <w:rStyle w:val="a7"/>
        </w:rPr>
        <w:footnoteRef/>
      </w:r>
      <w:r>
        <w:rPr>
          <w:rtl/>
        </w:rPr>
        <w:t xml:space="preserve"> </w:t>
      </w:r>
      <w:r w:rsidRPr="00517FBA">
        <w:rPr>
          <w:rFonts w:cs="Arial" w:hint="cs"/>
          <w:rtl/>
        </w:rPr>
        <w:t xml:space="preserve">או"ז </w:t>
      </w:r>
      <w:r w:rsidRPr="00517FBA">
        <w:rPr>
          <w:rFonts w:cs="Arial"/>
          <w:sz w:val="16"/>
          <w:szCs w:val="16"/>
          <w:rtl/>
        </w:rPr>
        <w:t>(ע"ז סי' רנג</w:t>
      </w:r>
      <w:r w:rsidRPr="00517FBA">
        <w:rPr>
          <w:rFonts w:cs="Arial" w:hint="cs"/>
          <w:sz w:val="16"/>
          <w:szCs w:val="16"/>
          <w:rtl/>
        </w:rPr>
        <w:t>, הביאו המרדכי</w:t>
      </w:r>
      <w:r>
        <w:rPr>
          <w:rFonts w:cs="Arial" w:hint="cs"/>
          <w:sz w:val="16"/>
          <w:szCs w:val="16"/>
          <w:rtl/>
        </w:rPr>
        <w:t>, הביאו הב"י בשם מצאתי כתוב</w:t>
      </w:r>
      <w:r w:rsidRPr="00517FBA">
        <w:rPr>
          <w:rFonts w:cs="Arial"/>
          <w:sz w:val="16"/>
          <w:szCs w:val="16"/>
          <w:rtl/>
        </w:rPr>
        <w:t>)</w:t>
      </w:r>
      <w:r w:rsidRPr="00517FBA">
        <w:rPr>
          <w:rFonts w:cs="Arial" w:hint="cs"/>
          <w:sz w:val="16"/>
          <w:szCs w:val="16"/>
          <w:rtl/>
        </w:rPr>
        <w:t xml:space="preserve"> </w:t>
      </w:r>
      <w:r w:rsidRPr="00517FBA">
        <w:rPr>
          <w:rFonts w:cs="Arial"/>
          <w:rtl/>
        </w:rPr>
        <w:t xml:space="preserve">מרדכי </w:t>
      </w:r>
      <w:r w:rsidRPr="00517FBA">
        <w:rPr>
          <w:rFonts w:cs="Arial" w:hint="cs"/>
          <w:sz w:val="16"/>
          <w:szCs w:val="16"/>
          <w:rtl/>
        </w:rPr>
        <w:t xml:space="preserve">(חולין </w:t>
      </w:r>
      <w:r w:rsidRPr="00517FBA">
        <w:rPr>
          <w:rFonts w:cs="Arial"/>
          <w:sz w:val="16"/>
          <w:szCs w:val="16"/>
          <w:rtl/>
        </w:rPr>
        <w:t>סי</w:t>
      </w:r>
      <w:r>
        <w:rPr>
          <w:rFonts w:cs="Arial" w:hint="cs"/>
          <w:sz w:val="16"/>
          <w:szCs w:val="16"/>
          <w:rtl/>
        </w:rPr>
        <w:t>'</w:t>
      </w:r>
      <w:r w:rsidRPr="00517FBA">
        <w:rPr>
          <w:rFonts w:cs="Arial"/>
          <w:sz w:val="16"/>
          <w:szCs w:val="16"/>
          <w:rtl/>
        </w:rPr>
        <w:t xml:space="preserve"> תש</w:t>
      </w:r>
      <w:r>
        <w:rPr>
          <w:rFonts w:cs="Arial" w:hint="cs"/>
          <w:sz w:val="16"/>
          <w:szCs w:val="16"/>
          <w:rtl/>
        </w:rPr>
        <w:t>, הביאו הב"י בשם מצאתי כתוב)</w:t>
      </w:r>
      <w:r w:rsidRPr="00517FBA">
        <w:rPr>
          <w:rFonts w:cs="Arial" w:hint="cs"/>
          <w:rtl/>
        </w:rPr>
        <w:t xml:space="preserve"> ו</w:t>
      </w:r>
      <w:r w:rsidRPr="00517FBA">
        <w:rPr>
          <w:rFonts w:cs="Arial"/>
          <w:rtl/>
        </w:rPr>
        <w:t xml:space="preserve">אגור </w:t>
      </w:r>
      <w:r w:rsidRPr="00517FBA">
        <w:rPr>
          <w:rFonts w:cs="Arial"/>
          <w:sz w:val="16"/>
          <w:szCs w:val="16"/>
          <w:rtl/>
        </w:rPr>
        <w:t>(סי' אלף רסו)</w:t>
      </w:r>
      <w:r>
        <w:rPr>
          <w:rFonts w:cs="Arial" w:hint="cs"/>
          <w:rtl/>
        </w:rPr>
        <w:t>.</w:t>
      </w:r>
    </w:p>
  </w:footnote>
  <w:footnote w:id="1801">
    <w:p w14:paraId="65CC2ED1" w14:textId="77777777" w:rsidR="004C5A3C" w:rsidRDefault="004C5A3C" w:rsidP="002C39F4">
      <w:pPr>
        <w:pStyle w:val="a5"/>
      </w:pPr>
      <w:r>
        <w:rPr>
          <w:rStyle w:val="a7"/>
        </w:rPr>
        <w:footnoteRef/>
      </w:r>
      <w:r>
        <w:rPr>
          <w:rtl/>
        </w:rPr>
        <w:t xml:space="preserve"> </w:t>
      </w:r>
      <w:r>
        <w:rPr>
          <w:rFonts w:cs="Arial" w:hint="cs"/>
          <w:rtl/>
        </w:rPr>
        <w:t>ו</w:t>
      </w:r>
      <w:r w:rsidRPr="00623FD6">
        <w:rPr>
          <w:rFonts w:cs="Arial"/>
          <w:rtl/>
        </w:rPr>
        <w:t>עי</w:t>
      </w:r>
      <w:r w:rsidRPr="00623FD6">
        <w:rPr>
          <w:rFonts w:cs="Arial" w:hint="cs"/>
          <w:rtl/>
        </w:rPr>
        <w:t>'</w:t>
      </w:r>
      <w:r w:rsidRPr="00623FD6">
        <w:rPr>
          <w:rFonts w:cs="Arial"/>
          <w:rtl/>
        </w:rPr>
        <w:t xml:space="preserve"> במרדכי </w:t>
      </w:r>
      <w:r w:rsidRPr="00623FD6">
        <w:rPr>
          <w:rFonts w:cs="Arial"/>
          <w:sz w:val="16"/>
          <w:szCs w:val="16"/>
          <w:rtl/>
        </w:rPr>
        <w:t>(</w:t>
      </w:r>
      <w:r w:rsidRPr="00623FD6">
        <w:rPr>
          <w:rFonts w:cs="Arial" w:hint="cs"/>
          <w:sz w:val="16"/>
          <w:szCs w:val="16"/>
          <w:rtl/>
        </w:rPr>
        <w:t xml:space="preserve">בחולין </w:t>
      </w:r>
      <w:r w:rsidRPr="00623FD6">
        <w:rPr>
          <w:rFonts w:cs="Arial"/>
          <w:sz w:val="16"/>
          <w:szCs w:val="16"/>
          <w:rtl/>
        </w:rPr>
        <w:t>סי' תש וסי' תשיג</w:t>
      </w:r>
      <w:r w:rsidRPr="00623FD6">
        <w:rPr>
          <w:rFonts w:cs="Arial" w:hint="cs"/>
          <w:sz w:val="16"/>
          <w:szCs w:val="16"/>
          <w:rtl/>
        </w:rPr>
        <w:t>,</w:t>
      </w:r>
      <w:r w:rsidRPr="00623FD6">
        <w:rPr>
          <w:rFonts w:cs="Arial"/>
          <w:sz w:val="16"/>
          <w:szCs w:val="16"/>
          <w:rtl/>
        </w:rPr>
        <w:t xml:space="preserve"> </w:t>
      </w:r>
      <w:r w:rsidRPr="00623FD6">
        <w:rPr>
          <w:rFonts w:cs="Arial" w:hint="cs"/>
          <w:sz w:val="16"/>
          <w:szCs w:val="16"/>
          <w:rtl/>
        </w:rPr>
        <w:t>וב</w:t>
      </w:r>
      <w:r w:rsidRPr="00623FD6">
        <w:rPr>
          <w:rFonts w:cs="Arial"/>
          <w:sz w:val="16"/>
          <w:szCs w:val="16"/>
          <w:rtl/>
        </w:rPr>
        <w:t xml:space="preserve">ע"ז סי' תתנד) </w:t>
      </w:r>
      <w:r w:rsidRPr="00623FD6">
        <w:rPr>
          <w:rFonts w:cs="Arial"/>
          <w:rtl/>
        </w:rPr>
        <w:t>ובהג</w:t>
      </w:r>
      <w:r w:rsidRPr="00623FD6">
        <w:rPr>
          <w:rFonts w:cs="Arial" w:hint="cs"/>
          <w:rtl/>
        </w:rPr>
        <w:t>מ"ר</w:t>
      </w:r>
      <w:r w:rsidRPr="00623FD6">
        <w:rPr>
          <w:rFonts w:cs="Arial"/>
          <w:rtl/>
        </w:rPr>
        <w:t xml:space="preserve"> </w:t>
      </w:r>
      <w:r w:rsidRPr="00623FD6">
        <w:rPr>
          <w:rFonts w:cs="Arial" w:hint="cs"/>
          <w:sz w:val="16"/>
          <w:szCs w:val="16"/>
          <w:rtl/>
        </w:rPr>
        <w:t>(</w:t>
      </w:r>
      <w:r w:rsidRPr="00623FD6">
        <w:rPr>
          <w:rFonts w:cs="Arial"/>
          <w:sz w:val="16"/>
          <w:szCs w:val="16"/>
          <w:rtl/>
        </w:rPr>
        <w:t xml:space="preserve">חולין סי' תשס) </w:t>
      </w:r>
      <w:r w:rsidRPr="00623FD6">
        <w:rPr>
          <w:rFonts w:cs="Arial"/>
          <w:rtl/>
        </w:rPr>
        <w:t xml:space="preserve">ובהר"ן </w:t>
      </w:r>
      <w:r w:rsidRPr="00623FD6">
        <w:rPr>
          <w:rFonts w:cs="Arial"/>
          <w:sz w:val="16"/>
          <w:szCs w:val="16"/>
          <w:rtl/>
        </w:rPr>
        <w:t>(מג</w:t>
      </w:r>
      <w:r w:rsidRPr="00623FD6">
        <w:rPr>
          <w:rFonts w:cs="Arial" w:hint="cs"/>
          <w:sz w:val="16"/>
          <w:szCs w:val="16"/>
          <w:rtl/>
        </w:rPr>
        <w:t>:</w:t>
      </w:r>
      <w:r w:rsidRPr="00623FD6">
        <w:rPr>
          <w:rFonts w:cs="Arial"/>
          <w:sz w:val="16"/>
          <w:szCs w:val="16"/>
          <w:rtl/>
        </w:rPr>
        <w:t xml:space="preserve">) </w:t>
      </w:r>
      <w:r>
        <w:rPr>
          <w:rFonts w:cs="Arial" w:hint="cs"/>
          <w:rtl/>
        </w:rPr>
        <w:t>ובהג</w:t>
      </w:r>
      <w:r>
        <w:rPr>
          <w:rFonts w:cs="Arial"/>
          <w:rtl/>
        </w:rPr>
        <w:t>"</w:t>
      </w:r>
      <w:r>
        <w:rPr>
          <w:rFonts w:cs="Arial" w:hint="cs"/>
          <w:rtl/>
        </w:rPr>
        <w:t>א</w:t>
      </w:r>
      <w:r w:rsidRPr="00623FD6">
        <w:rPr>
          <w:rFonts w:cs="Arial"/>
          <w:rtl/>
        </w:rPr>
        <w:t xml:space="preserve"> </w:t>
      </w:r>
      <w:r w:rsidRPr="00623FD6">
        <w:rPr>
          <w:rFonts w:cs="Arial"/>
          <w:sz w:val="16"/>
          <w:szCs w:val="16"/>
          <w:rtl/>
        </w:rPr>
        <w:t xml:space="preserve">(ע"ז פ"ה סי' ו ז כח כט, ועיין חולין פכ"ה סי' כב) </w:t>
      </w:r>
      <w:r w:rsidRPr="00623FD6">
        <w:rPr>
          <w:rFonts w:cs="Arial"/>
          <w:rtl/>
        </w:rPr>
        <w:t>כל דין מין במינו איזה דבר מיקרי מין במינו</w:t>
      </w:r>
      <w:r w:rsidRPr="00623FD6">
        <w:rPr>
          <w:rFonts w:cs="Arial" w:hint="cs"/>
          <w:rtl/>
        </w:rPr>
        <w:t>,</w:t>
      </w:r>
      <w:r w:rsidRPr="00623FD6">
        <w:rPr>
          <w:rFonts w:cs="Arial"/>
          <w:rtl/>
        </w:rPr>
        <w:t xml:space="preserve"> ולא רציתי להאריך בזה הואיל ואנן סבירא לן כר"ת כמו שאכתוב למטה</w:t>
      </w:r>
      <w:r w:rsidRPr="00623FD6">
        <w:rPr>
          <w:rFonts w:cs="Arial" w:hint="cs"/>
          <w:rtl/>
        </w:rPr>
        <w:t>,</w:t>
      </w:r>
      <w:r w:rsidRPr="00623FD6">
        <w:rPr>
          <w:rFonts w:cs="Arial"/>
          <w:rtl/>
        </w:rPr>
        <w:t xml:space="preserve"> ואע</w:t>
      </w:r>
      <w:r w:rsidRPr="00623FD6">
        <w:rPr>
          <w:rFonts w:cs="Arial" w:hint="cs"/>
          <w:rtl/>
        </w:rPr>
        <w:t>"</w:t>
      </w:r>
      <w:r w:rsidRPr="00623FD6">
        <w:rPr>
          <w:rFonts w:cs="Arial"/>
          <w:rtl/>
        </w:rPr>
        <w:t>ג דאיכא קצת נפקותא אף לר"ת לענין שאם נשפך ההיתר דבמין במינו הוי ספיקא דרבנן כשידעינן שהיה בו רוב ובמין בשאינו מינו הוי ספיקא דאורייתא גם איכא נפקותא בדבר יבש כמו שיתבאר לקמן סימן ק"ט מ</w:t>
      </w:r>
      <w:r>
        <w:rPr>
          <w:rFonts w:cs="Arial" w:hint="cs"/>
          <w:rtl/>
        </w:rPr>
        <w:t>"</w:t>
      </w:r>
      <w:r w:rsidRPr="00623FD6">
        <w:rPr>
          <w:rFonts w:cs="Arial"/>
          <w:rtl/>
        </w:rPr>
        <w:t xml:space="preserve">מ לא חששתי להאריך בזה </w:t>
      </w:r>
      <w:r w:rsidRPr="00623FD6">
        <w:rPr>
          <w:rFonts w:asciiTheme="minorBidi" w:hAnsiTheme="minorBidi"/>
          <w:rtl/>
        </w:rPr>
        <w:t>כי הוא מילתא דלא שכיחא</w:t>
      </w:r>
      <w:r>
        <w:rPr>
          <w:rFonts w:cs="Arial" w:hint="cs"/>
          <w:rtl/>
        </w:rPr>
        <w:t>,</w:t>
      </w:r>
      <w:r w:rsidRPr="00517FBA">
        <w:rPr>
          <w:rFonts w:cs="Arial" w:hint="cs"/>
          <w:rtl/>
        </w:rPr>
        <w:t xml:space="preserve"> </w:t>
      </w:r>
      <w:r w:rsidRPr="00623FD6">
        <w:rPr>
          <w:rFonts w:cs="Arial" w:hint="cs"/>
          <w:rtl/>
        </w:rPr>
        <w:t xml:space="preserve">דרכ"מ </w:t>
      </w:r>
      <w:r w:rsidRPr="00623FD6">
        <w:rPr>
          <w:rFonts w:cs="Arial" w:hint="cs"/>
          <w:sz w:val="16"/>
          <w:szCs w:val="16"/>
          <w:rtl/>
        </w:rPr>
        <w:t xml:space="preserve">(אות </w:t>
      </w:r>
      <w:r w:rsidRPr="00623FD6">
        <w:rPr>
          <w:rFonts w:cs="Arial"/>
          <w:sz w:val="16"/>
          <w:szCs w:val="16"/>
          <w:rtl/>
        </w:rPr>
        <w:t>ג)</w:t>
      </w:r>
      <w:r w:rsidRPr="00623FD6">
        <w:rPr>
          <w:rFonts w:cs="Arial" w:hint="cs"/>
          <w:rtl/>
        </w:rPr>
        <w:t>.</w:t>
      </w:r>
    </w:p>
  </w:footnote>
  <w:footnote w:id="1802">
    <w:p w14:paraId="652CE9C8" w14:textId="77777777" w:rsidR="004C5A3C" w:rsidRPr="00A90809" w:rsidRDefault="004C5A3C" w:rsidP="002C39F4">
      <w:pPr>
        <w:pStyle w:val="a5"/>
        <w:rPr>
          <w:rFonts w:cs="Arial"/>
          <w:sz w:val="16"/>
          <w:szCs w:val="16"/>
          <w:rtl/>
        </w:rPr>
      </w:pPr>
      <w:r>
        <w:rPr>
          <w:rStyle w:val="a7"/>
        </w:rPr>
        <w:footnoteRef/>
      </w:r>
      <w:r>
        <w:rPr>
          <w:rtl/>
        </w:rPr>
        <w:t xml:space="preserve"> </w:t>
      </w:r>
      <w:r w:rsidRPr="00434000">
        <w:rPr>
          <w:rFonts w:cs="Arial"/>
          <w:rtl/>
        </w:rPr>
        <w:t>הטעם כתב ר"ת וכל הפוסקים העומדים בשיטתו דק</w:t>
      </w:r>
      <w:r>
        <w:rPr>
          <w:rFonts w:cs="Arial" w:hint="cs"/>
          <w:rtl/>
        </w:rPr>
        <w:t>יי</w:t>
      </w:r>
      <w:r w:rsidRPr="00434000">
        <w:rPr>
          <w:rFonts w:cs="Arial"/>
          <w:rtl/>
        </w:rPr>
        <w:t>"ל טעם כעיקר אסור מדאו</w:t>
      </w:r>
      <w:r>
        <w:rPr>
          <w:rFonts w:cs="Arial" w:hint="cs"/>
          <w:rtl/>
        </w:rPr>
        <w:t>'</w:t>
      </w:r>
      <w:r w:rsidRPr="00434000">
        <w:rPr>
          <w:rFonts w:cs="Arial"/>
          <w:rtl/>
        </w:rPr>
        <w:t xml:space="preserve"> במין בשאינו מינו דכיון שנותן האיסור טעם בהיתר נהפך ההיתר להיות כולו איסור ואסור כולו מדאו</w:t>
      </w:r>
      <w:r>
        <w:rPr>
          <w:rFonts w:cs="Arial" w:hint="cs"/>
          <w:rtl/>
        </w:rPr>
        <w:t xml:space="preserve">', </w:t>
      </w:r>
      <w:r w:rsidRPr="00434000">
        <w:rPr>
          <w:rFonts w:cs="Arial"/>
          <w:rtl/>
        </w:rPr>
        <w:t>אבל מין במינו כיון שאינו נותן בו טעם בטל מה"ת ברוב כדכתיב אחרי רבים להטות אלא שחכמים הצריכוהו ס'</w:t>
      </w:r>
      <w:r>
        <w:rPr>
          <w:rFonts w:cs="Arial" w:hint="cs"/>
          <w:rtl/>
        </w:rPr>
        <w:t>,</w:t>
      </w:r>
      <w:r w:rsidRPr="00434000">
        <w:rPr>
          <w:rFonts w:cs="Arial"/>
          <w:rtl/>
        </w:rPr>
        <w:t xml:space="preserve"> והלכך כיון שנודע שהיה רובו היתר ולא נסתפק אלא אם יש שם ס' או לאו ה"ל ספיקא דרבנן ולקולא</w:t>
      </w:r>
      <w:r>
        <w:rPr>
          <w:rFonts w:cs="Arial" w:hint="cs"/>
          <w:rtl/>
        </w:rPr>
        <w:t>,</w:t>
      </w:r>
      <w:r w:rsidRPr="00434000">
        <w:rPr>
          <w:rFonts w:cs="Arial"/>
          <w:rtl/>
        </w:rPr>
        <w:t xml:space="preserve"> משא"כ כשלא נודע שהיה רובו היתר דה"ל ספק דאו</w:t>
      </w:r>
      <w:r>
        <w:rPr>
          <w:rFonts w:cs="Arial" w:hint="cs"/>
          <w:rtl/>
        </w:rPr>
        <w:t>'</w:t>
      </w:r>
      <w:r w:rsidRPr="00434000">
        <w:rPr>
          <w:rFonts w:cs="Arial"/>
          <w:rtl/>
        </w:rPr>
        <w:t xml:space="preserve"> ואסור</w:t>
      </w:r>
      <w:r>
        <w:rPr>
          <w:rFonts w:cs="Arial" w:hint="cs"/>
          <w:rtl/>
        </w:rPr>
        <w:t>,</w:t>
      </w:r>
      <w:r w:rsidRPr="00434000">
        <w:rPr>
          <w:rFonts w:cs="Arial"/>
          <w:rtl/>
        </w:rPr>
        <w:t xml:space="preserve"> אבל מין בשאינו מינו כיון דאסור מה"ת עד ס' כיון שנ"ט אפי' נודע שהיה רובו היתר ולא נודע שהיה ס' ה"ל ספיקא דאו</w:t>
      </w:r>
      <w:r>
        <w:rPr>
          <w:rFonts w:cs="Arial" w:hint="cs"/>
          <w:rtl/>
        </w:rPr>
        <w:t>'</w:t>
      </w:r>
      <w:r w:rsidRPr="00434000">
        <w:rPr>
          <w:rFonts w:cs="Arial"/>
          <w:rtl/>
        </w:rPr>
        <w:t xml:space="preserve"> דאסור</w:t>
      </w:r>
      <w:r>
        <w:rPr>
          <w:rFonts w:cs="Arial" w:hint="cs"/>
          <w:rtl/>
        </w:rPr>
        <w:t>,</w:t>
      </w:r>
      <w:r w:rsidRPr="00434000">
        <w:rPr>
          <w:rFonts w:cs="Arial"/>
          <w:rtl/>
        </w:rPr>
        <w:t xml:space="preserve"> ובהיות כן תמהני על מ"ש הרב ולענין מין במינו אזלי</w:t>
      </w:r>
      <w:r>
        <w:rPr>
          <w:rFonts w:cs="Arial" w:hint="cs"/>
          <w:rtl/>
        </w:rPr>
        <w:t>נן</w:t>
      </w:r>
      <w:r w:rsidRPr="00434000">
        <w:rPr>
          <w:rFonts w:cs="Arial"/>
          <w:rtl/>
        </w:rPr>
        <w:t xml:space="preserve"> בתר שמא כו'</w:t>
      </w:r>
      <w:r>
        <w:rPr>
          <w:rFonts w:cs="Arial" w:hint="cs"/>
          <w:rtl/>
        </w:rPr>
        <w:t>,</w:t>
      </w:r>
      <w:r w:rsidRPr="00434000">
        <w:rPr>
          <w:rFonts w:cs="Arial"/>
          <w:rtl/>
        </w:rPr>
        <w:t xml:space="preserve"> דדעתו אם הוא שוה בשמא אע</w:t>
      </w:r>
      <w:r>
        <w:rPr>
          <w:rFonts w:cs="Arial" w:hint="cs"/>
          <w:rtl/>
        </w:rPr>
        <w:t>"</w:t>
      </w:r>
      <w:r w:rsidRPr="00434000">
        <w:rPr>
          <w:rFonts w:cs="Arial"/>
          <w:rtl/>
        </w:rPr>
        <w:t>ג דלא שוה בטעמא ה"ל מין במינו ואסור מדרבנן ואם אינו שוה בשמא אע</w:t>
      </w:r>
      <w:r>
        <w:rPr>
          <w:rFonts w:cs="Arial" w:hint="cs"/>
          <w:rtl/>
        </w:rPr>
        <w:t>"</w:t>
      </w:r>
      <w:r w:rsidRPr="00434000">
        <w:rPr>
          <w:rFonts w:cs="Arial"/>
          <w:rtl/>
        </w:rPr>
        <w:t xml:space="preserve">ג דשוה בטעמא ה"ל מבשא"מ ואסור מה"ת </w:t>
      </w:r>
      <w:r w:rsidRPr="00532F91">
        <w:rPr>
          <w:rFonts w:cs="Arial" w:hint="cs"/>
          <w:sz w:val="16"/>
          <w:szCs w:val="16"/>
          <w:rtl/>
        </w:rPr>
        <w:t>(</w:t>
      </w:r>
      <w:r w:rsidRPr="00532F91">
        <w:rPr>
          <w:rFonts w:cs="Arial"/>
          <w:sz w:val="16"/>
          <w:szCs w:val="16"/>
          <w:rtl/>
        </w:rPr>
        <w:t>וכ"נ מדברי מהרש"ל באו"ש ובספרו פג"ה ס"ס לב</w:t>
      </w:r>
      <w:r>
        <w:rPr>
          <w:rFonts w:cs="Arial" w:hint="cs"/>
          <w:sz w:val="16"/>
          <w:szCs w:val="16"/>
          <w:rtl/>
        </w:rPr>
        <w:t>)</w:t>
      </w:r>
      <w:r w:rsidRPr="00434000">
        <w:rPr>
          <w:rFonts w:cs="Arial"/>
          <w:rtl/>
        </w:rPr>
        <w:t xml:space="preserve"> והרי מבואר בכל הפוסקים דלהכי מבשא"מ אסור מה"ת עד ששים כיון דנ"ט</w:t>
      </w:r>
      <w:r>
        <w:rPr>
          <w:rFonts w:cs="Arial" w:hint="cs"/>
          <w:rtl/>
        </w:rPr>
        <w:t>,</w:t>
      </w:r>
      <w:r w:rsidRPr="00434000">
        <w:rPr>
          <w:rFonts w:cs="Arial"/>
          <w:rtl/>
        </w:rPr>
        <w:t xml:space="preserve"> ולהכי מין במינו דאינו נ"ט בטל מן התורה ברוב כדאזלינן בכל דוכתי בתר רובא</w:t>
      </w:r>
      <w:r>
        <w:rPr>
          <w:rFonts w:cs="Arial" w:hint="cs"/>
          <w:rtl/>
        </w:rPr>
        <w:t>,</w:t>
      </w:r>
      <w:r w:rsidRPr="00434000">
        <w:rPr>
          <w:rFonts w:cs="Arial"/>
          <w:rtl/>
        </w:rPr>
        <w:t xml:space="preserve"> וא"כ נהפוך הוא דהכל אזלינן בתר טעמא דאם אינו שוה בטעמא אע</w:t>
      </w:r>
      <w:r>
        <w:rPr>
          <w:rFonts w:cs="Arial" w:hint="cs"/>
          <w:rtl/>
        </w:rPr>
        <w:t>"</w:t>
      </w:r>
      <w:r w:rsidRPr="00434000">
        <w:rPr>
          <w:rFonts w:cs="Arial"/>
          <w:rtl/>
        </w:rPr>
        <w:t>ג דשוה בשמא מ"מ כיון דנ"ט בהיתר ונהפך ההיתר להיות כולו איסור אסור מה</w:t>
      </w:r>
      <w:r>
        <w:rPr>
          <w:rFonts w:cs="Arial" w:hint="cs"/>
          <w:rtl/>
        </w:rPr>
        <w:t>"</w:t>
      </w:r>
      <w:r w:rsidRPr="00434000">
        <w:rPr>
          <w:rFonts w:cs="Arial"/>
          <w:rtl/>
        </w:rPr>
        <w:t>ת עד ששים</w:t>
      </w:r>
      <w:r>
        <w:rPr>
          <w:rFonts w:cs="Arial" w:hint="cs"/>
          <w:rtl/>
        </w:rPr>
        <w:t>,</w:t>
      </w:r>
      <w:r w:rsidRPr="00434000">
        <w:rPr>
          <w:rFonts w:cs="Arial"/>
          <w:rtl/>
        </w:rPr>
        <w:t xml:space="preserve"> והלכך בנשפך אזלינן לחומרא ואם שוה בטעמא אע</w:t>
      </w:r>
      <w:r>
        <w:rPr>
          <w:rFonts w:cs="Arial" w:hint="cs"/>
          <w:rtl/>
        </w:rPr>
        <w:t>"</w:t>
      </w:r>
      <w:r w:rsidRPr="00434000">
        <w:rPr>
          <w:rFonts w:cs="Arial"/>
          <w:rtl/>
        </w:rPr>
        <w:t>ג דלא שוה בשמא מ"מ כיון דלא יהיב טעמא בטיל מה</w:t>
      </w:r>
      <w:r>
        <w:rPr>
          <w:rFonts w:cs="Arial" w:hint="cs"/>
          <w:rtl/>
        </w:rPr>
        <w:t>"ת</w:t>
      </w:r>
      <w:r w:rsidRPr="00434000">
        <w:rPr>
          <w:rFonts w:cs="Arial"/>
          <w:rtl/>
        </w:rPr>
        <w:t xml:space="preserve"> וכדאזלינן בכל דוכתי בתר רובא כדכתיב אחרי רבים להטות והלכך בנשפך אזלינן לקולא </w:t>
      </w:r>
      <w:r w:rsidRPr="00A90809">
        <w:rPr>
          <w:rFonts w:cs="Arial" w:hint="cs"/>
          <w:sz w:val="16"/>
          <w:szCs w:val="16"/>
          <w:rtl/>
        </w:rPr>
        <w:t>(</w:t>
      </w:r>
      <w:r w:rsidRPr="00A90809">
        <w:rPr>
          <w:rFonts w:cs="Arial"/>
          <w:sz w:val="16"/>
          <w:szCs w:val="16"/>
          <w:rtl/>
        </w:rPr>
        <w:t>וא</w:t>
      </w:r>
      <w:r w:rsidRPr="00A90809">
        <w:rPr>
          <w:rFonts w:cs="Arial" w:hint="cs"/>
          <w:sz w:val="16"/>
          <w:szCs w:val="16"/>
          <w:rtl/>
        </w:rPr>
        <w:t>ע"ג</w:t>
      </w:r>
      <w:r w:rsidRPr="00A90809">
        <w:rPr>
          <w:rFonts w:cs="Arial"/>
          <w:sz w:val="16"/>
          <w:szCs w:val="16"/>
          <w:rtl/>
        </w:rPr>
        <w:t xml:space="preserve"> דקי"ל כרבא </w:t>
      </w:r>
      <w:r w:rsidRPr="00A90809">
        <w:rPr>
          <w:rFonts w:cs="Arial" w:hint="cs"/>
          <w:sz w:val="16"/>
          <w:szCs w:val="16"/>
          <w:rtl/>
        </w:rPr>
        <w:t>(ע"ז סו.)</w:t>
      </w:r>
      <w:r w:rsidRPr="00A90809">
        <w:rPr>
          <w:rFonts w:cs="Arial"/>
          <w:sz w:val="16"/>
          <w:szCs w:val="16"/>
          <w:rtl/>
        </w:rPr>
        <w:t xml:space="preserve"> גבי חמרא חדתא דאזלי</w:t>
      </w:r>
      <w:r w:rsidRPr="00A90809">
        <w:rPr>
          <w:rFonts w:cs="Arial" w:hint="cs"/>
          <w:sz w:val="16"/>
          <w:szCs w:val="16"/>
          <w:rtl/>
        </w:rPr>
        <w:t>נן</w:t>
      </w:r>
      <w:r w:rsidRPr="00A90809">
        <w:rPr>
          <w:rFonts w:cs="Arial"/>
          <w:sz w:val="16"/>
          <w:szCs w:val="16"/>
          <w:rtl/>
        </w:rPr>
        <w:t xml:space="preserve"> בתר שמא ולא בתר טעמא לענין מין במינו היינו דוקא לענין יי"נ וטבל שאוסרים במשהו מין במינו וכן לענין תרומה וערלה ששיעורן למעלה מששים במינו והלכך אם הוא שוה בשמא אע</w:t>
      </w:r>
      <w:r>
        <w:rPr>
          <w:rFonts w:cs="Arial" w:hint="cs"/>
          <w:sz w:val="16"/>
          <w:szCs w:val="16"/>
          <w:rtl/>
        </w:rPr>
        <w:t>"</w:t>
      </w:r>
      <w:r w:rsidRPr="00A90809">
        <w:rPr>
          <w:rFonts w:cs="Arial"/>
          <w:sz w:val="16"/>
          <w:szCs w:val="16"/>
          <w:rtl/>
        </w:rPr>
        <w:t>ג דלא שוה בטעמא ה"ל מין במינו ואסור במשהו או בק"א ור"א</w:t>
      </w:r>
      <w:r>
        <w:rPr>
          <w:rFonts w:cs="Arial" w:hint="cs"/>
          <w:sz w:val="16"/>
          <w:szCs w:val="16"/>
          <w:rtl/>
        </w:rPr>
        <w:t>,</w:t>
      </w:r>
      <w:r w:rsidRPr="00A90809">
        <w:rPr>
          <w:rFonts w:cs="Arial"/>
          <w:sz w:val="16"/>
          <w:szCs w:val="16"/>
          <w:rtl/>
        </w:rPr>
        <w:t xml:space="preserve"> ואם אינו שוה בשמא אע</w:t>
      </w:r>
      <w:r>
        <w:rPr>
          <w:rFonts w:cs="Arial" w:hint="cs"/>
          <w:sz w:val="16"/>
          <w:szCs w:val="16"/>
          <w:rtl/>
        </w:rPr>
        <w:t>"</w:t>
      </w:r>
      <w:r w:rsidRPr="00A90809">
        <w:rPr>
          <w:rFonts w:cs="Arial"/>
          <w:sz w:val="16"/>
          <w:szCs w:val="16"/>
          <w:rtl/>
        </w:rPr>
        <w:t>ג דשוה בטעמא אסור בנ"ט וכן לר' י</w:t>
      </w:r>
      <w:r w:rsidRPr="00A90809">
        <w:rPr>
          <w:rFonts w:cs="Arial" w:hint="cs"/>
          <w:sz w:val="16"/>
          <w:szCs w:val="16"/>
          <w:rtl/>
        </w:rPr>
        <w:t>ה</w:t>
      </w:r>
      <w:r w:rsidRPr="00A90809">
        <w:rPr>
          <w:rFonts w:cs="Arial"/>
          <w:sz w:val="16"/>
          <w:szCs w:val="16"/>
          <w:rtl/>
        </w:rPr>
        <w:t>וד</w:t>
      </w:r>
      <w:r w:rsidRPr="00A90809">
        <w:rPr>
          <w:rFonts w:cs="Arial" w:hint="cs"/>
          <w:sz w:val="16"/>
          <w:szCs w:val="16"/>
          <w:rtl/>
        </w:rPr>
        <w:t>ה</w:t>
      </w:r>
      <w:r w:rsidRPr="00A90809">
        <w:rPr>
          <w:rFonts w:cs="Arial"/>
          <w:sz w:val="16"/>
          <w:szCs w:val="16"/>
          <w:rtl/>
        </w:rPr>
        <w:t xml:space="preserve"> דאמר בכל האיסורין מין במינו במשהו</w:t>
      </w:r>
      <w:r>
        <w:rPr>
          <w:rFonts w:cs="Arial" w:hint="cs"/>
          <w:sz w:val="16"/>
          <w:szCs w:val="16"/>
          <w:rtl/>
        </w:rPr>
        <w:t>,</w:t>
      </w:r>
      <w:r w:rsidRPr="00A90809">
        <w:rPr>
          <w:rFonts w:cs="Arial"/>
          <w:sz w:val="16"/>
          <w:szCs w:val="16"/>
          <w:rtl/>
        </w:rPr>
        <w:t xml:space="preserve"> והלכך בכה"ג תו ליכא משום טעם כעיקר או אחרי רבים להטות וכן הוא להדיא בתוס</w:t>
      </w:r>
      <w:r>
        <w:rPr>
          <w:rFonts w:cs="Arial" w:hint="cs"/>
          <w:sz w:val="16"/>
          <w:szCs w:val="16"/>
          <w:rtl/>
        </w:rPr>
        <w:t>'</w:t>
      </w:r>
      <w:r w:rsidRPr="00A90809">
        <w:rPr>
          <w:rFonts w:cs="Arial"/>
          <w:sz w:val="16"/>
          <w:szCs w:val="16"/>
          <w:rtl/>
        </w:rPr>
        <w:t xml:space="preserve"> (צז</w:t>
      </w:r>
      <w:r>
        <w:rPr>
          <w:rFonts w:cs="Arial" w:hint="cs"/>
          <w:sz w:val="16"/>
          <w:szCs w:val="16"/>
          <w:rtl/>
        </w:rPr>
        <w:t>.</w:t>
      </w:r>
      <w:r w:rsidRPr="00A90809">
        <w:rPr>
          <w:rFonts w:cs="Arial"/>
          <w:sz w:val="16"/>
          <w:szCs w:val="16"/>
          <w:rtl/>
        </w:rPr>
        <w:t>) ד"ה אמר רבא כו' ובאשיר"י וראב"ן ור"ן סוף ע</w:t>
      </w:r>
      <w:r w:rsidRPr="00A90809">
        <w:rPr>
          <w:rFonts w:cs="Arial" w:hint="cs"/>
          <w:sz w:val="16"/>
          <w:szCs w:val="16"/>
          <w:rtl/>
        </w:rPr>
        <w:t>"ז</w:t>
      </w:r>
      <w:r w:rsidRPr="00A90809">
        <w:rPr>
          <w:rFonts w:cs="Arial"/>
          <w:sz w:val="16"/>
          <w:szCs w:val="16"/>
          <w:rtl/>
        </w:rPr>
        <w:t xml:space="preserve"> וכל הפוסקים דהך דרבא איירי ביי"נ וטבל ודכותייהו וא"כ י"ל דוקא בהנך אבל לא לדידן בשאר איסורים ולענין נשפך</w:t>
      </w:r>
      <w:r>
        <w:rPr>
          <w:rFonts w:cs="Arial" w:hint="cs"/>
          <w:sz w:val="16"/>
          <w:szCs w:val="16"/>
          <w:rtl/>
        </w:rPr>
        <w:t>)</w:t>
      </w:r>
      <w:r>
        <w:rPr>
          <w:rFonts w:cs="Arial" w:hint="cs"/>
          <w:rtl/>
        </w:rPr>
        <w:t xml:space="preserve">, </w:t>
      </w:r>
      <w:r w:rsidRPr="00434000">
        <w:rPr>
          <w:rFonts w:cs="Arial"/>
          <w:rtl/>
        </w:rPr>
        <w:t>והגיעו דברי אלה לפני כמה גדולי הדור והסכימו לדברי גם מ"ו הגאון מוהר"ר יושיע נר"ו אמר שדברים ברורים הם</w:t>
      </w:r>
      <w:r>
        <w:rPr>
          <w:rFonts w:cs="Arial" w:hint="cs"/>
          <w:rtl/>
        </w:rPr>
        <w:t xml:space="preserve">..., ש"ך (סק"ו). </w:t>
      </w:r>
    </w:p>
  </w:footnote>
  <w:footnote w:id="1803">
    <w:p w14:paraId="0711800A" w14:textId="77777777" w:rsidR="004C5A3C" w:rsidRDefault="004C5A3C" w:rsidP="002C39F4">
      <w:pPr>
        <w:pStyle w:val="a5"/>
        <w:rPr>
          <w:rtl/>
        </w:rPr>
      </w:pPr>
      <w:r>
        <w:rPr>
          <w:rStyle w:val="a7"/>
        </w:rPr>
        <w:footnoteRef/>
      </w:r>
      <w:r>
        <w:rPr>
          <w:rtl/>
        </w:rPr>
        <w:t xml:space="preserve"> </w:t>
      </w:r>
      <w:r w:rsidRPr="00E8709E">
        <w:rPr>
          <w:rFonts w:cs="Arial"/>
          <w:rtl/>
        </w:rPr>
        <w:t>באמת צריך עיון בדין זה דהטור בשם הרשב"א הוציא דין זה ממאי דאמרי' רואין את מינו כאלו אינו להקל ושאינו מינו רבה עליו ומבטלו למאן דאית ליה מין במינו לא בטיל עכ"ל (וע"ל סי' קל"ד ס"ד)</w:t>
      </w:r>
      <w:r>
        <w:rPr>
          <w:rFonts w:cs="Arial" w:hint="cs"/>
          <w:rtl/>
        </w:rPr>
        <w:t>,</w:t>
      </w:r>
      <w:r w:rsidRPr="00E8709E">
        <w:rPr>
          <w:rFonts w:cs="Arial"/>
          <w:rtl/>
        </w:rPr>
        <w:t xml:space="preserve"> ולא דמי כלל דהתם במינו לאו בנ"ט אסור הלכך אמרי' רואין את מינו כאלו אינו דהא נתבטל בשאינו מינו אבל הכא איך נאמר רואין את שאינו מינו כאלו אינו סוף סוף השתא נ"ט בשאינו מינו וא"כ הוי ספקא דאורייתא דלמא לא היה ס' ונתן טעם</w:t>
      </w:r>
      <w:r w:rsidRPr="00E90284">
        <w:rPr>
          <w:rFonts w:cs="Arial"/>
          <w:sz w:val="16"/>
          <w:szCs w:val="16"/>
          <w:rtl/>
        </w:rPr>
        <w:t xml:space="preserve"> </w:t>
      </w:r>
      <w:r>
        <w:rPr>
          <w:rFonts w:cs="Arial" w:hint="cs"/>
          <w:sz w:val="16"/>
          <w:szCs w:val="16"/>
          <w:rtl/>
        </w:rPr>
        <w:t>(</w:t>
      </w:r>
      <w:r w:rsidRPr="00E90284">
        <w:rPr>
          <w:rFonts w:cs="Arial"/>
          <w:sz w:val="16"/>
          <w:szCs w:val="16"/>
          <w:rtl/>
        </w:rPr>
        <w:t>וכן השיג מהרש"ל באו"ש סי' פ"ה ובספרו פכ"ה סי' מ"ו בדין הרביעי ע"ז ע"ש</w:t>
      </w:r>
      <w:r>
        <w:rPr>
          <w:rFonts w:cs="Arial" w:hint="cs"/>
          <w:sz w:val="16"/>
          <w:szCs w:val="16"/>
          <w:rtl/>
        </w:rPr>
        <w:t>)</w:t>
      </w:r>
      <w:r>
        <w:rPr>
          <w:rFonts w:cs="Arial" w:hint="cs"/>
          <w:rtl/>
        </w:rPr>
        <w:t>,</w:t>
      </w:r>
      <w:r w:rsidRPr="00E8709E">
        <w:rPr>
          <w:rFonts w:cs="Arial"/>
          <w:rtl/>
        </w:rPr>
        <w:t xml:space="preserve"> ומ"ש הב"ח </w:t>
      </w:r>
      <w:r w:rsidRPr="00E90284">
        <w:rPr>
          <w:rFonts w:cs="Arial" w:hint="cs"/>
          <w:sz w:val="16"/>
          <w:szCs w:val="16"/>
          <w:rtl/>
        </w:rPr>
        <w:t xml:space="preserve">{והט"ז [סק"ה]} </w:t>
      </w:r>
      <w:r w:rsidRPr="00E8709E">
        <w:rPr>
          <w:rFonts w:cs="Arial"/>
          <w:rtl/>
        </w:rPr>
        <w:t xml:space="preserve">בזה קשה דמ"מ מנין להמציא היתר כיון דל"ד כלל ויש טעם נכון לחלק ביניהם </w:t>
      </w:r>
      <w:r w:rsidRPr="00E90284">
        <w:rPr>
          <w:rFonts w:cs="Arial" w:hint="cs"/>
          <w:sz w:val="16"/>
          <w:szCs w:val="16"/>
          <w:rtl/>
        </w:rPr>
        <w:t xml:space="preserve">{דהכא יורגש הטעם} </w:t>
      </w:r>
      <w:r w:rsidRPr="00E8709E">
        <w:rPr>
          <w:rFonts w:cs="Arial"/>
          <w:rtl/>
        </w:rPr>
        <w:t>ודו"ק</w:t>
      </w:r>
      <w:r>
        <w:rPr>
          <w:rFonts w:cs="Arial" w:hint="cs"/>
          <w:rtl/>
        </w:rPr>
        <w:t>,</w:t>
      </w:r>
      <w:r w:rsidRPr="00E8709E">
        <w:rPr>
          <w:rFonts w:cs="Arial"/>
          <w:rtl/>
        </w:rPr>
        <w:t xml:space="preserve"> ונ"ל דגם הרשב"א והנמשכים אחריו לא אמרו אלא להתיר את מינו</w:t>
      </w:r>
      <w:r>
        <w:rPr>
          <w:rFonts w:cs="Arial" w:hint="cs"/>
          <w:rtl/>
        </w:rPr>
        <w:t>,</w:t>
      </w:r>
      <w:r w:rsidRPr="00E8709E">
        <w:rPr>
          <w:rFonts w:cs="Arial"/>
          <w:rtl/>
        </w:rPr>
        <w:t xml:space="preserve"> ולאפוקי דלא נימא כיון דהשתא נפל באינו מינו א"כ ה"ל ספיקא דאו</w:t>
      </w:r>
      <w:r>
        <w:rPr>
          <w:rFonts w:cs="Arial" w:hint="cs"/>
          <w:rtl/>
        </w:rPr>
        <w:t xml:space="preserve">' </w:t>
      </w:r>
      <w:r w:rsidRPr="00E8709E">
        <w:rPr>
          <w:rFonts w:cs="Arial"/>
          <w:rtl/>
        </w:rPr>
        <w:t>אלא אמרי</w:t>
      </w:r>
      <w:r>
        <w:rPr>
          <w:rFonts w:cs="Arial" w:hint="cs"/>
          <w:rtl/>
        </w:rPr>
        <w:t>נן</w:t>
      </w:r>
      <w:r w:rsidRPr="00E8709E">
        <w:rPr>
          <w:rFonts w:cs="Arial"/>
          <w:rtl/>
        </w:rPr>
        <w:t xml:space="preserve"> רואין את שאינו מינו כאלו אינו והשאר מינו רבה עליו ומבטלו</w:t>
      </w:r>
      <w:r>
        <w:rPr>
          <w:rFonts w:cs="Arial" w:hint="cs"/>
          <w:rtl/>
        </w:rPr>
        <w:t>,</w:t>
      </w:r>
      <w:r w:rsidRPr="00E8709E">
        <w:rPr>
          <w:rFonts w:cs="Arial"/>
          <w:rtl/>
        </w:rPr>
        <w:t xml:space="preserve"> והיינו דדייק לישנא ד</w:t>
      </w:r>
      <w:r>
        <w:rPr>
          <w:rFonts w:cs="Arial" w:hint="cs"/>
          <w:rtl/>
        </w:rPr>
        <w:t>-"</w:t>
      </w:r>
      <w:r w:rsidRPr="00E8709E">
        <w:rPr>
          <w:rFonts w:cs="Arial"/>
          <w:rtl/>
        </w:rPr>
        <w:t>והשאר</w:t>
      </w:r>
      <w:r>
        <w:rPr>
          <w:rFonts w:cs="Arial" w:hint="cs"/>
          <w:rtl/>
        </w:rPr>
        <w:t>"</w:t>
      </w:r>
      <w:r w:rsidRPr="00E8709E">
        <w:rPr>
          <w:rFonts w:cs="Arial"/>
          <w:rtl/>
        </w:rPr>
        <w:t xml:space="preserve"> מינו רבה עליו כו'</w:t>
      </w:r>
      <w:r>
        <w:rPr>
          <w:rFonts w:cs="Arial" w:hint="cs"/>
          <w:rtl/>
        </w:rPr>
        <w:t>,</w:t>
      </w:r>
      <w:r w:rsidRPr="00E8709E">
        <w:rPr>
          <w:rFonts w:cs="Arial"/>
          <w:rtl/>
        </w:rPr>
        <w:t xml:space="preserve"> דה</w:t>
      </w:r>
      <w:r>
        <w:rPr>
          <w:rFonts w:cs="Arial" w:hint="cs"/>
          <w:rtl/>
        </w:rPr>
        <w:t xml:space="preserve">וי </w:t>
      </w:r>
      <w:r w:rsidRPr="00E8709E">
        <w:rPr>
          <w:rFonts w:cs="Arial"/>
          <w:rtl/>
        </w:rPr>
        <w:t>ל</w:t>
      </w:r>
      <w:r>
        <w:rPr>
          <w:rFonts w:cs="Arial" w:hint="cs"/>
          <w:rtl/>
        </w:rPr>
        <w:t xml:space="preserve">יה </w:t>
      </w:r>
      <w:r w:rsidRPr="00E8709E">
        <w:rPr>
          <w:rFonts w:cs="Arial"/>
          <w:rtl/>
        </w:rPr>
        <w:t>ל</w:t>
      </w:r>
      <w:r>
        <w:rPr>
          <w:rFonts w:cs="Arial" w:hint="cs"/>
          <w:rtl/>
        </w:rPr>
        <w:t>מימר</w:t>
      </w:r>
      <w:r w:rsidRPr="00E8709E">
        <w:rPr>
          <w:rFonts w:cs="Arial"/>
          <w:rtl/>
        </w:rPr>
        <w:t xml:space="preserve"> ומינו רבה עליו אלא משום דשאינו מינו אסור קאמר דמינו הנשאר רבה עליו</w:t>
      </w:r>
      <w:r>
        <w:rPr>
          <w:rFonts w:hint="cs"/>
          <w:rtl/>
        </w:rPr>
        <w:t>, ש"ך (סק"ח). וכן דעת הפר"ח (סק"ח). והט"ז התיר אף את שאינו מינו, והוסיף</w:t>
      </w:r>
      <w:r w:rsidRPr="00031097">
        <w:rPr>
          <w:rtl/>
        </w:rPr>
        <w:t xml:space="preserve"> </w:t>
      </w:r>
      <w:r>
        <w:rPr>
          <w:rFonts w:cs="Arial" w:hint="cs"/>
          <w:rtl/>
        </w:rPr>
        <w:t>ש</w:t>
      </w:r>
      <w:r w:rsidRPr="00031097">
        <w:rPr>
          <w:rFonts w:cs="Arial"/>
          <w:rtl/>
        </w:rPr>
        <w:t>דבר פשוט שלא מיירי אלא שנתערב בפעם אחת במינו ואינו מינו אבל אם נתערב תחלה עם אינו מינו ואחכ ניתוסף שם מינו ודאי כבר נ"נ קודם שבא לשם מינו כן נלע"ד.</w:t>
      </w:r>
    </w:p>
  </w:footnote>
  <w:footnote w:id="1804">
    <w:p w14:paraId="4569C611" w14:textId="77777777" w:rsidR="004C5A3C" w:rsidRPr="00AD6984" w:rsidRDefault="004C5A3C" w:rsidP="002C39F4">
      <w:pPr>
        <w:spacing w:after="0" w:line="240" w:lineRule="auto"/>
        <w:rPr>
          <w:sz w:val="20"/>
          <w:szCs w:val="20"/>
        </w:rPr>
      </w:pPr>
      <w:r w:rsidRPr="00AD6984">
        <w:rPr>
          <w:rStyle w:val="a7"/>
          <w:rFonts w:asciiTheme="minorBidi" w:hAnsiTheme="minorBidi"/>
        </w:rPr>
        <w:footnoteRef/>
      </w:r>
      <w:r w:rsidRPr="00AD6984">
        <w:rPr>
          <w:sz w:val="20"/>
          <w:szCs w:val="20"/>
          <w:rtl/>
        </w:rPr>
        <w:t xml:space="preserve"> </w:t>
      </w:r>
      <w:r>
        <w:rPr>
          <w:rFonts w:hint="cs"/>
          <w:sz w:val="20"/>
          <w:szCs w:val="20"/>
          <w:rtl/>
        </w:rPr>
        <w:t>הטור כ' בסע' הקודם בשם הרשב"א ד</w:t>
      </w:r>
      <w:r w:rsidRPr="00AD6984">
        <w:rPr>
          <w:sz w:val="20"/>
          <w:szCs w:val="20"/>
          <w:rtl/>
        </w:rPr>
        <w:t xml:space="preserve">אם נפל לתוך מינו ושאינו מינו הולכין בו להקל כל זמן שנתברר לנו שרבה היתר </w:t>
      </w:r>
      <w:r>
        <w:rPr>
          <w:rFonts w:hint="cs"/>
          <w:sz w:val="20"/>
          <w:szCs w:val="20"/>
          <w:rtl/>
        </w:rPr>
        <w:t>ו</w:t>
      </w:r>
      <w:r w:rsidRPr="00AD6984">
        <w:rPr>
          <w:sz w:val="20"/>
          <w:szCs w:val="20"/>
          <w:rtl/>
        </w:rPr>
        <w:t>רואין את שאינו מינו כמי שאינו</w:t>
      </w:r>
      <w:r>
        <w:rPr>
          <w:rFonts w:hint="cs"/>
          <w:sz w:val="20"/>
          <w:szCs w:val="20"/>
          <w:rtl/>
        </w:rPr>
        <w:t xml:space="preserve"> וכו'... והוסיף הטור וכ' בשם הרשב"א את הדברים הבאים (זו אינה לשונו של הטור,</w:t>
      </w:r>
      <w:r w:rsidRPr="003E083B">
        <w:rPr>
          <w:rFonts w:hint="cs"/>
          <w:rtl/>
        </w:rPr>
        <w:t xml:space="preserve"> </w:t>
      </w:r>
      <w:r w:rsidRPr="003E083B">
        <w:rPr>
          <w:rFonts w:hint="cs"/>
          <w:sz w:val="20"/>
          <w:szCs w:val="20"/>
          <w:rtl/>
        </w:rPr>
        <w:t>הטור כ' בשם הרשב"א קצת אחרת והב"י כ' שאין דבריו מכוונים יפה עם דברי הרשב"א ולכן הביא את דברי הרשב"א כהוויתם</w:t>
      </w:r>
      <w:r>
        <w:rPr>
          <w:rFonts w:hint="cs"/>
          <w:sz w:val="20"/>
          <w:szCs w:val="20"/>
          <w:rtl/>
        </w:rPr>
        <w:t xml:space="preserve"> וז"ל-...)</w:t>
      </w:r>
    </w:p>
  </w:footnote>
  <w:footnote w:id="1805">
    <w:p w14:paraId="05E04A21" w14:textId="77777777" w:rsidR="004C5A3C" w:rsidRDefault="004C5A3C" w:rsidP="002C39F4">
      <w:pPr>
        <w:pStyle w:val="a5"/>
      </w:pPr>
      <w:r>
        <w:rPr>
          <w:rStyle w:val="a7"/>
        </w:rPr>
        <w:footnoteRef/>
      </w:r>
      <w:r>
        <w:rPr>
          <w:rtl/>
        </w:rPr>
        <w:t xml:space="preserve"> </w:t>
      </w:r>
      <w:r w:rsidRPr="00D02CF3">
        <w:rPr>
          <w:rFonts w:cs="Arial"/>
          <w:rtl/>
        </w:rPr>
        <w:t>וכ</w:t>
      </w:r>
      <w:r>
        <w:rPr>
          <w:rFonts w:cs="Arial" w:hint="cs"/>
          <w:rtl/>
        </w:rPr>
        <w:t>'</w:t>
      </w:r>
      <w:r w:rsidRPr="00D02CF3">
        <w:rPr>
          <w:rFonts w:cs="Arial"/>
          <w:rtl/>
        </w:rPr>
        <w:t xml:space="preserve"> הר"ן (לה: סוף דיבור ראשון) טעמו של דבר משום דבדבר שאי אפשר לעמוד עליו אי אזלינן לקולא יהיו כל האיסורים בספק וכל אחד ישער במה שנראה בעיניו ולפיכך ראו חכמים להשוות מדותיהן אבל במה שאינו בא אלא באקראי בעלמא כגון אם נשפך הרוטב וכיוצא בדברים הללו אזלינן לקולא</w:t>
      </w:r>
      <w:r>
        <w:rPr>
          <w:rFonts w:cs="Arial" w:hint="cs"/>
          <w:rtl/>
        </w:rPr>
        <w:t>.</w:t>
      </w:r>
    </w:p>
  </w:footnote>
  <w:footnote w:id="1806">
    <w:p w14:paraId="08888033" w14:textId="77777777" w:rsidR="004C5A3C" w:rsidRDefault="004C5A3C" w:rsidP="002C39F4">
      <w:pPr>
        <w:pStyle w:val="a5"/>
        <w:rPr>
          <w:rtl/>
        </w:rPr>
      </w:pPr>
      <w:r>
        <w:rPr>
          <w:rStyle w:val="a7"/>
        </w:rPr>
        <w:footnoteRef/>
      </w:r>
      <w:r>
        <w:rPr>
          <w:rtl/>
        </w:rPr>
        <w:t xml:space="preserve"> </w:t>
      </w:r>
      <w:r w:rsidRPr="003352F2">
        <w:rPr>
          <w:rFonts w:cs="Arial"/>
          <w:rtl/>
        </w:rPr>
        <w:t>פי' שעכ"פ בקיאין אנו שיש בו רוב אלא דאין אנו בקיאין אם יש בו ס' או לא או שאין אנו יודעין כמה איסור נפק מיניה דאז הוי מאיסורים של דבריהם אפ"ה אין תולין להקל כדקי"ל גבי כחל לעיל סי' צ'</w:t>
      </w:r>
      <w:r>
        <w:rPr>
          <w:rFonts w:cs="Arial" w:hint="cs"/>
          <w:rtl/>
        </w:rPr>
        <w:t>,</w:t>
      </w:r>
      <w:r w:rsidRPr="003352F2">
        <w:rPr>
          <w:rFonts w:cs="Arial"/>
          <w:rtl/>
        </w:rPr>
        <w:t xml:space="preserve"> והטעם כתבו הפוסקים דספק התלוי בחסרון ידיעה לא מיקרי ספק דדעת שוטים הוא זה משא"כ ברישא דבא הספק מכח שנשפך</w:t>
      </w:r>
      <w:r>
        <w:rPr>
          <w:rFonts w:hint="cs"/>
          <w:rtl/>
        </w:rPr>
        <w:t xml:space="preserve">, ש"ך (סק"ט). </w:t>
      </w:r>
      <w:r w:rsidRPr="007E72B1">
        <w:rPr>
          <w:rFonts w:hint="cs"/>
          <w:sz w:val="16"/>
          <w:szCs w:val="16"/>
          <w:rtl/>
        </w:rPr>
        <w:t xml:space="preserve">(והביא </w:t>
      </w:r>
      <w:r>
        <w:rPr>
          <w:rFonts w:hint="cs"/>
          <w:sz w:val="16"/>
          <w:szCs w:val="16"/>
          <w:rtl/>
        </w:rPr>
        <w:t xml:space="preserve">שם </w:t>
      </w:r>
      <w:r w:rsidRPr="007E72B1">
        <w:rPr>
          <w:rFonts w:hint="cs"/>
          <w:sz w:val="16"/>
          <w:szCs w:val="16"/>
          <w:rtl/>
        </w:rPr>
        <w:t>גם את טעמו של הר"ן)</w:t>
      </w:r>
    </w:p>
  </w:footnote>
  <w:footnote w:id="1807">
    <w:p w14:paraId="77AADE72" w14:textId="77777777" w:rsidR="004C5A3C" w:rsidRDefault="004C5A3C" w:rsidP="002C39F4">
      <w:pPr>
        <w:pStyle w:val="a5"/>
        <w:rPr>
          <w:rtl/>
        </w:rPr>
      </w:pPr>
      <w:r>
        <w:rPr>
          <w:rStyle w:val="a7"/>
        </w:rPr>
        <w:footnoteRef/>
      </w:r>
      <w:r>
        <w:rPr>
          <w:rtl/>
        </w:rPr>
        <w:t xml:space="preserve"> </w:t>
      </w:r>
      <w:r w:rsidRPr="00DD5209">
        <w:rPr>
          <w:rFonts w:cs="Arial"/>
          <w:rtl/>
        </w:rPr>
        <w:t>ולא באיסורי תורה אמרו אלא אפילו באיסורים של דבריהם</w:t>
      </w:r>
      <w:r>
        <w:rPr>
          <w:rFonts w:hint="cs"/>
          <w:rtl/>
        </w:rPr>
        <w:t>, רשב"א.</w:t>
      </w:r>
    </w:p>
  </w:footnote>
  <w:footnote w:id="1808">
    <w:p w14:paraId="7124A4E9" w14:textId="77777777" w:rsidR="004C5A3C" w:rsidRDefault="004C5A3C" w:rsidP="002C39F4">
      <w:pPr>
        <w:pStyle w:val="a5"/>
        <w:rPr>
          <w:rtl/>
        </w:rPr>
      </w:pPr>
      <w:r>
        <w:rPr>
          <w:rStyle w:val="a7"/>
        </w:rPr>
        <w:footnoteRef/>
      </w:r>
      <w:r>
        <w:rPr>
          <w:rtl/>
        </w:rPr>
        <w:t xml:space="preserve"> </w:t>
      </w:r>
      <w:r>
        <w:rPr>
          <w:rFonts w:cs="Arial"/>
          <w:rtl/>
        </w:rPr>
        <w:t>ואע</w:t>
      </w:r>
      <w:r>
        <w:rPr>
          <w:rFonts w:cs="Arial" w:hint="cs"/>
          <w:rtl/>
        </w:rPr>
        <w:t>"</w:t>
      </w:r>
      <w:r>
        <w:rPr>
          <w:rFonts w:cs="Arial"/>
          <w:rtl/>
        </w:rPr>
        <w:t>פ ש</w:t>
      </w:r>
      <w:r>
        <w:rPr>
          <w:rFonts w:cs="Arial" w:hint="cs"/>
          <w:rtl/>
        </w:rPr>
        <w:t xml:space="preserve">הביא הרשב"א את דברי הראב"ד לאחר שכתב את דבריו </w:t>
      </w:r>
      <w:r>
        <w:rPr>
          <w:rFonts w:cs="Arial"/>
          <w:rtl/>
        </w:rPr>
        <w:t>כבר כתב ד</w:t>
      </w:r>
      <w:r>
        <w:rPr>
          <w:rFonts w:cs="Arial" w:hint="cs"/>
          <w:rtl/>
        </w:rPr>
        <w:t>ראשון נראה</w:t>
      </w:r>
      <w:r>
        <w:rPr>
          <w:rFonts w:cs="Arial"/>
          <w:rtl/>
        </w:rPr>
        <w:t xml:space="preserve"> עיקר וכתב שכן דעת רבותינו הצרפתים</w:t>
      </w:r>
      <w:r>
        <w:rPr>
          <w:rFonts w:cs="Arial" w:hint="cs"/>
          <w:rtl/>
        </w:rPr>
        <w:t>,</w:t>
      </w:r>
      <w:r>
        <w:rPr>
          <w:rFonts w:cs="Arial"/>
          <w:rtl/>
        </w:rPr>
        <w:t xml:space="preserve"> וגם מדברי הר"ן בפג"ה (לה. ד"ה וכחל עצמו) נראה שהוא נוטה לסברת התוס' דכיון דתלינן טעמא משום דלא ידעינן כמה נפק מיניה אפילו בדבר החוזר להכשרו משערין בכולו</w:t>
      </w:r>
      <w:r>
        <w:rPr>
          <w:rFonts w:hint="cs"/>
          <w:rtl/>
        </w:rPr>
        <w:t>, ב"י.</w:t>
      </w:r>
    </w:p>
  </w:footnote>
  <w:footnote w:id="1809">
    <w:p w14:paraId="25D77542" w14:textId="77777777" w:rsidR="004C5A3C" w:rsidRDefault="004C5A3C" w:rsidP="002C39F4">
      <w:pPr>
        <w:pStyle w:val="a5"/>
      </w:pPr>
      <w:r>
        <w:rPr>
          <w:rStyle w:val="a7"/>
        </w:rPr>
        <w:footnoteRef/>
      </w:r>
      <w:r>
        <w:rPr>
          <w:rtl/>
        </w:rPr>
        <w:t xml:space="preserve"> </w:t>
      </w:r>
      <w:r>
        <w:rPr>
          <w:rFonts w:cs="Arial" w:hint="cs"/>
          <w:rtl/>
        </w:rPr>
        <w:t>ו</w:t>
      </w:r>
      <w:r>
        <w:rPr>
          <w:rFonts w:cs="Arial"/>
          <w:rtl/>
        </w:rPr>
        <w:t>יתבאר בסי</w:t>
      </w:r>
      <w:r>
        <w:rPr>
          <w:rFonts w:cs="Arial" w:hint="cs"/>
          <w:rtl/>
        </w:rPr>
        <w:t xml:space="preserve">' </w:t>
      </w:r>
      <w:r>
        <w:rPr>
          <w:rFonts w:cs="Arial"/>
          <w:rtl/>
        </w:rPr>
        <w:t>צט (קנז:)</w:t>
      </w:r>
      <w:r>
        <w:rPr>
          <w:rFonts w:cs="Arial" w:hint="cs"/>
          <w:rtl/>
        </w:rPr>
        <w:t>, ב"י.</w:t>
      </w:r>
    </w:p>
  </w:footnote>
  <w:footnote w:id="1810">
    <w:p w14:paraId="55BA2D22" w14:textId="77777777" w:rsidR="004C5A3C" w:rsidRDefault="004C5A3C" w:rsidP="002C39F4">
      <w:pPr>
        <w:pStyle w:val="a5"/>
      </w:pPr>
      <w:r>
        <w:rPr>
          <w:rStyle w:val="a7"/>
        </w:rPr>
        <w:footnoteRef/>
      </w:r>
      <w:r>
        <w:rPr>
          <w:rtl/>
        </w:rPr>
        <w:t xml:space="preserve"> </w:t>
      </w:r>
      <w:r w:rsidRPr="00CD7185">
        <w:rPr>
          <w:rFonts w:cs="Arial"/>
          <w:rtl/>
        </w:rPr>
        <w:t>פי</w:t>
      </w:r>
      <w:r>
        <w:rPr>
          <w:rFonts w:cs="Arial" w:hint="cs"/>
          <w:rtl/>
        </w:rPr>
        <w:t>רוש,</w:t>
      </w:r>
      <w:r w:rsidRPr="00CD7185">
        <w:rPr>
          <w:rFonts w:cs="Arial"/>
          <w:rtl/>
        </w:rPr>
        <w:t xml:space="preserve"> וא"כ אסור התבשיל שבקדרה דאין מה שבתוך הכלי ס' נגד הכלי</w:t>
      </w:r>
      <w:r>
        <w:rPr>
          <w:rFonts w:cs="Arial" w:hint="cs"/>
          <w:rtl/>
        </w:rPr>
        <w:t>,</w:t>
      </w:r>
      <w:r w:rsidRPr="00CD7185">
        <w:rPr>
          <w:rFonts w:cs="Arial"/>
          <w:rtl/>
        </w:rPr>
        <w:t xml:space="preserve"> ועיין בסי' צ"ג סק</w:t>
      </w:r>
      <w:r>
        <w:rPr>
          <w:rFonts w:cs="Arial" w:hint="cs"/>
          <w:rtl/>
        </w:rPr>
        <w:t>"</w:t>
      </w:r>
      <w:r w:rsidRPr="00CD7185">
        <w:rPr>
          <w:rFonts w:cs="Arial"/>
          <w:rtl/>
        </w:rPr>
        <w:t>א</w:t>
      </w:r>
      <w:r>
        <w:rPr>
          <w:rFonts w:cs="Arial" w:hint="cs"/>
          <w:rtl/>
        </w:rPr>
        <w:t>, ש"ך (סקי"א).</w:t>
      </w:r>
    </w:p>
  </w:footnote>
  <w:footnote w:id="1811">
    <w:p w14:paraId="6262481E" w14:textId="77777777" w:rsidR="004C5A3C" w:rsidRDefault="004C5A3C" w:rsidP="002C39F4">
      <w:pPr>
        <w:pStyle w:val="a5"/>
        <w:rPr>
          <w:rtl/>
        </w:rPr>
      </w:pPr>
      <w:r>
        <w:rPr>
          <w:rStyle w:val="a7"/>
        </w:rPr>
        <w:footnoteRef/>
      </w:r>
      <w:r>
        <w:rPr>
          <w:rtl/>
        </w:rPr>
        <w:t xml:space="preserve"> </w:t>
      </w:r>
      <w:r w:rsidRPr="00CD7185">
        <w:rPr>
          <w:rFonts w:cs="Arial"/>
          <w:rtl/>
        </w:rPr>
        <w:t>דוקא בכלי אבל בדבר מאכל קי"ל דנאסר כולו כדלעיל סימן צ"א ס"ה ובסימן ק"ה ס"ט</w:t>
      </w:r>
      <w:r>
        <w:rPr>
          <w:rFonts w:hint="cs"/>
          <w:rtl/>
        </w:rPr>
        <w:t>, ש"ך (סקי"ד).</w:t>
      </w:r>
    </w:p>
  </w:footnote>
  <w:footnote w:id="1812">
    <w:p w14:paraId="6F758DC6" w14:textId="77777777" w:rsidR="004C5A3C" w:rsidRDefault="004C5A3C" w:rsidP="002C39F4">
      <w:pPr>
        <w:pStyle w:val="a5"/>
      </w:pPr>
      <w:r>
        <w:rPr>
          <w:rStyle w:val="a7"/>
        </w:rPr>
        <w:footnoteRef/>
      </w:r>
      <w:r>
        <w:rPr>
          <w:rtl/>
        </w:rPr>
        <w:t xml:space="preserve"> </w:t>
      </w:r>
      <w:r w:rsidRPr="00CD7185">
        <w:rPr>
          <w:rFonts w:cs="Arial"/>
          <w:rtl/>
        </w:rPr>
        <w:t xml:space="preserve">וכתוב בת"ח </w:t>
      </w:r>
      <w:r>
        <w:rPr>
          <w:rFonts w:cs="Arial" w:hint="cs"/>
          <w:rtl/>
        </w:rPr>
        <w:t xml:space="preserve">(ריש </w:t>
      </w:r>
      <w:r w:rsidRPr="00CD7185">
        <w:rPr>
          <w:rFonts w:cs="Arial"/>
          <w:rtl/>
        </w:rPr>
        <w:t>כלל פ"ה</w:t>
      </w:r>
      <w:r>
        <w:rPr>
          <w:rFonts w:cs="Arial" w:hint="cs"/>
          <w:rtl/>
        </w:rPr>
        <w:t>)</w:t>
      </w:r>
      <w:r w:rsidRPr="00CD7185">
        <w:rPr>
          <w:rFonts w:cs="Arial"/>
          <w:rtl/>
        </w:rPr>
        <w:t xml:space="preserve"> בשם או"ה דה"ה אם נאסר הכלי ע"י עירוי א"צ לשער רק כדי קליפה אבל אם נאסר ע"י כבישה צריך לשער נגד כולו עכ"ל</w:t>
      </w:r>
      <w:r>
        <w:rPr>
          <w:rFonts w:cs="Arial" w:hint="cs"/>
          <w:rtl/>
        </w:rPr>
        <w:t>,</w:t>
      </w:r>
      <w:r w:rsidRPr="00CD7185">
        <w:rPr>
          <w:rFonts w:cs="Arial"/>
          <w:rtl/>
        </w:rPr>
        <w:t xml:space="preserve"> ועיין בסי</w:t>
      </w:r>
      <w:r>
        <w:rPr>
          <w:rFonts w:cs="Arial" w:hint="cs"/>
          <w:rtl/>
        </w:rPr>
        <w:t>'</w:t>
      </w:r>
      <w:r w:rsidRPr="00CD7185">
        <w:rPr>
          <w:rFonts w:cs="Arial"/>
          <w:rtl/>
        </w:rPr>
        <w:t xml:space="preserve"> סט ס</w:t>
      </w:r>
      <w:r>
        <w:rPr>
          <w:rFonts w:cs="Arial" w:hint="cs"/>
          <w:rtl/>
        </w:rPr>
        <w:t>ע' קטן</w:t>
      </w:r>
      <w:r w:rsidRPr="00CD7185">
        <w:rPr>
          <w:rFonts w:cs="Arial"/>
          <w:rtl/>
        </w:rPr>
        <w:t xml:space="preserve"> ס</w:t>
      </w:r>
      <w:r>
        <w:rPr>
          <w:rFonts w:cs="Arial" w:hint="cs"/>
          <w:rtl/>
        </w:rPr>
        <w:t>ד</w:t>
      </w:r>
      <w:r w:rsidRPr="00CD7185">
        <w:rPr>
          <w:rFonts w:cs="Arial"/>
          <w:rtl/>
        </w:rPr>
        <w:t xml:space="preserve"> ובסי</w:t>
      </w:r>
      <w:r>
        <w:rPr>
          <w:rFonts w:cs="Arial" w:hint="cs"/>
          <w:rtl/>
        </w:rPr>
        <w:t>'</w:t>
      </w:r>
      <w:r w:rsidRPr="00CD7185">
        <w:rPr>
          <w:rFonts w:cs="Arial"/>
          <w:rtl/>
        </w:rPr>
        <w:t xml:space="preserve"> צא ס"ה בהג"ה ג' ובמ</w:t>
      </w:r>
      <w:r>
        <w:rPr>
          <w:rFonts w:cs="Arial" w:hint="cs"/>
          <w:rtl/>
        </w:rPr>
        <w:t xml:space="preserve">ה </w:t>
      </w:r>
      <w:r w:rsidRPr="00CD7185">
        <w:rPr>
          <w:rFonts w:cs="Arial"/>
          <w:rtl/>
        </w:rPr>
        <w:t>ש</w:t>
      </w:r>
      <w:r>
        <w:rPr>
          <w:rFonts w:cs="Arial" w:hint="cs"/>
          <w:rtl/>
        </w:rPr>
        <w:t>כתבתי</w:t>
      </w:r>
      <w:r w:rsidRPr="00CD7185">
        <w:rPr>
          <w:rFonts w:cs="Arial"/>
          <w:rtl/>
        </w:rPr>
        <w:t xml:space="preserve"> שם</w:t>
      </w:r>
      <w:r>
        <w:rPr>
          <w:rFonts w:cs="Arial" w:hint="cs"/>
          <w:rtl/>
        </w:rPr>
        <w:t>, ש"ך (סקי"ג).</w:t>
      </w:r>
      <w:r>
        <w:rPr>
          <w:rFonts w:hint="cs"/>
          <w:rtl/>
        </w:rPr>
        <w:t xml:space="preserve"> </w:t>
      </w:r>
    </w:p>
  </w:footnote>
  <w:footnote w:id="1813">
    <w:p w14:paraId="0BCCCDD5" w14:textId="77777777" w:rsidR="004C5A3C" w:rsidRDefault="004C5A3C" w:rsidP="002C39F4">
      <w:pPr>
        <w:pStyle w:val="a5"/>
      </w:pPr>
      <w:r>
        <w:rPr>
          <w:rStyle w:val="a7"/>
        </w:rPr>
        <w:footnoteRef/>
      </w:r>
      <w:r>
        <w:rPr>
          <w:rtl/>
        </w:rPr>
        <w:t xml:space="preserve"> </w:t>
      </w:r>
      <w:r>
        <w:rPr>
          <w:rFonts w:hint="cs"/>
          <w:rtl/>
        </w:rPr>
        <w:t xml:space="preserve">כתבו הט"ז </w:t>
      </w:r>
      <w:r w:rsidRPr="0002434E">
        <w:rPr>
          <w:rFonts w:hint="cs"/>
          <w:sz w:val="16"/>
          <w:szCs w:val="16"/>
          <w:rtl/>
        </w:rPr>
        <w:t xml:space="preserve">(סק"ז) </w:t>
      </w:r>
      <w:r>
        <w:rPr>
          <w:rFonts w:hint="cs"/>
          <w:rtl/>
        </w:rPr>
        <w:t xml:space="preserve">והש"ך </w:t>
      </w:r>
      <w:r w:rsidRPr="0002434E">
        <w:rPr>
          <w:rFonts w:hint="cs"/>
          <w:sz w:val="16"/>
          <w:szCs w:val="16"/>
          <w:rtl/>
        </w:rPr>
        <w:t xml:space="preserve">(סקט"ו) </w:t>
      </w:r>
      <w:r>
        <w:rPr>
          <w:rFonts w:hint="cs"/>
          <w:rtl/>
        </w:rPr>
        <w:t xml:space="preserve">אבל בפחות מששים לא מהני תקנה זו, דהא אם תחב כף של בשר בקדרה של חלב ואנו רואין הכף כמו שהיה בתחילה אפ"ה אמרינן שהטעם יצא ממנו, ה"נ בחלב לתוך היתר, אע"פ שאח"כ צף למעלה מ"מ הטעם שלו נפלט, ולא אמרינן תקנה זו אלא לחומרא בדאיכא ששים, אבל בדליכא ששים ודאי חתיכה עצמה נ"נ ולא מהני שיצוף אח"כ, ודלא כב"ח שמתיר בדיעבד, באה"ט (סקי"ב). </w:t>
      </w:r>
    </w:p>
  </w:footnote>
  <w:footnote w:id="1814">
    <w:p w14:paraId="4B01233E" w14:textId="77777777" w:rsidR="004C5A3C" w:rsidRDefault="004C5A3C" w:rsidP="002C39F4">
      <w:pPr>
        <w:pStyle w:val="a5"/>
        <w:rPr>
          <w:rtl/>
        </w:rPr>
      </w:pPr>
      <w:r>
        <w:rPr>
          <w:rStyle w:val="a7"/>
        </w:rPr>
        <w:footnoteRef/>
      </w:r>
      <w:r>
        <w:rPr>
          <w:rtl/>
        </w:rPr>
        <w:t xml:space="preserve"> </w:t>
      </w:r>
      <w:r w:rsidRPr="00A01037">
        <w:rPr>
          <w:rFonts w:cs="Arial"/>
          <w:rtl/>
        </w:rPr>
        <w:t>והר"ן (שם) הביא גם כן שתי הסברות אלו ונראה שהוא נוטה לסברת הרמב"ן ז"ל</w:t>
      </w:r>
      <w:r>
        <w:rPr>
          <w:rFonts w:hint="cs"/>
          <w:rtl/>
        </w:rPr>
        <w:t>, ב"י.</w:t>
      </w:r>
    </w:p>
  </w:footnote>
  <w:footnote w:id="1815">
    <w:p w14:paraId="05B1EA94" w14:textId="77777777" w:rsidR="004C5A3C" w:rsidRDefault="004C5A3C" w:rsidP="002C39F4">
      <w:pPr>
        <w:pStyle w:val="a5"/>
        <w:rPr>
          <w:rtl/>
        </w:rPr>
      </w:pPr>
      <w:r>
        <w:rPr>
          <w:rStyle w:val="a7"/>
        </w:rPr>
        <w:footnoteRef/>
      </w:r>
      <w:r>
        <w:rPr>
          <w:rtl/>
        </w:rPr>
        <w:t xml:space="preserve"> </w:t>
      </w:r>
      <w:r>
        <w:rPr>
          <w:rFonts w:cs="Arial"/>
          <w:rtl/>
        </w:rPr>
        <w:t>פי</w:t>
      </w:r>
      <w:r>
        <w:rPr>
          <w:rFonts w:cs="Arial" w:hint="cs"/>
          <w:rtl/>
        </w:rPr>
        <w:t>רוש,</w:t>
      </w:r>
      <w:r>
        <w:rPr>
          <w:rFonts w:cs="Arial"/>
          <w:rtl/>
        </w:rPr>
        <w:t xml:space="preserve"> שהיה של בשר ואינה בת יומא</w:t>
      </w:r>
      <w:r>
        <w:rPr>
          <w:rFonts w:cs="Arial" w:hint="cs"/>
          <w:rtl/>
        </w:rPr>
        <w:t>,</w:t>
      </w:r>
      <w:r>
        <w:rPr>
          <w:rFonts w:cs="Arial"/>
          <w:rtl/>
        </w:rPr>
        <w:t xml:space="preserve"> שניער בה כזית חלב דליכא למימר דנ"נ כיון שהבלוע שבה היא נטל</w:t>
      </w:r>
      <w:r>
        <w:rPr>
          <w:rFonts w:cs="Arial" w:hint="cs"/>
          <w:rtl/>
        </w:rPr>
        <w:t>"</w:t>
      </w:r>
      <w:r>
        <w:rPr>
          <w:rFonts w:cs="Arial"/>
          <w:rtl/>
        </w:rPr>
        <w:t>פ הלכך אם ניער בה אח</w:t>
      </w:r>
      <w:r>
        <w:rPr>
          <w:rFonts w:cs="Arial" w:hint="cs"/>
          <w:rtl/>
        </w:rPr>
        <w:t>"כ</w:t>
      </w:r>
      <w:r>
        <w:rPr>
          <w:rFonts w:cs="Arial"/>
          <w:rtl/>
        </w:rPr>
        <w:t xml:space="preserve"> קדרה של בשר א"צ אלא ס' נגד הכזית חלב דלגבי הכלי לא אמרינן חנ"נ לכ"ע אפי' ניער בו איסור כיון דהבלוע לא נ"נ דודאי לא שייך לומר שגוף העץ או מתכת או חרס יעשה נבלה אבל אם ניער בכף אח"כ חלב פשיטא דמותר בדיע</w:t>
      </w:r>
      <w:r>
        <w:rPr>
          <w:rFonts w:cs="Arial" w:hint="cs"/>
          <w:rtl/>
        </w:rPr>
        <w:t>'</w:t>
      </w:r>
      <w:r>
        <w:rPr>
          <w:rFonts w:cs="Arial"/>
          <w:rtl/>
        </w:rPr>
        <w:t xml:space="preserve"> שהבשר נטל"פ אבל כף ישנה של בשר ובת יומא שניער בה כזית חלב או איפכא ונעשה הבלוע בה נבילה בין שניער אח"כ בה קדרה של בשר או של חלב או של שאר דברים צריך ס' לבטל כל מה שנתחב מהכף בקדרה דלא ידעינן כמה בלע אבל אי ידעינן כמה בלע לא הוה צריך לשער אלא נגד הבשר והחלב כגון אם ניער בה כזית של בשר ואח"כ ביומו כזית חלב א"צ אלא ס' נגד הב' זיתים</w:t>
      </w:r>
      <w:r>
        <w:rPr>
          <w:rFonts w:hint="cs"/>
          <w:rtl/>
        </w:rPr>
        <w:t xml:space="preserve">, ש"ך </w:t>
      </w:r>
      <w:r w:rsidRPr="00B5421E">
        <w:rPr>
          <w:rFonts w:hint="cs"/>
          <w:sz w:val="14"/>
          <w:szCs w:val="14"/>
          <w:rtl/>
        </w:rPr>
        <w:t>(סקי"ז)</w:t>
      </w:r>
      <w:r>
        <w:rPr>
          <w:rFonts w:hint="cs"/>
          <w:rtl/>
        </w:rPr>
        <w:t>.</w:t>
      </w:r>
    </w:p>
  </w:footnote>
  <w:footnote w:id="1816">
    <w:p w14:paraId="1580D635" w14:textId="77777777" w:rsidR="004C5A3C" w:rsidRDefault="004C5A3C" w:rsidP="002C39F4">
      <w:pPr>
        <w:pStyle w:val="a5"/>
        <w:rPr>
          <w:rtl/>
        </w:rPr>
      </w:pPr>
      <w:r>
        <w:rPr>
          <w:rStyle w:val="a7"/>
        </w:rPr>
        <w:footnoteRef/>
      </w:r>
      <w:r>
        <w:rPr>
          <w:rtl/>
        </w:rPr>
        <w:t xml:space="preserve"> </w:t>
      </w:r>
      <w:r w:rsidRPr="00B5421E">
        <w:rPr>
          <w:rFonts w:cs="Arial"/>
          <w:rtl/>
        </w:rPr>
        <w:t>מדלא כ</w:t>
      </w:r>
      <w:r>
        <w:rPr>
          <w:rFonts w:cs="Arial" w:hint="cs"/>
          <w:rtl/>
        </w:rPr>
        <w:t>תב</w:t>
      </w:r>
      <w:r w:rsidRPr="00B5421E">
        <w:rPr>
          <w:rFonts w:cs="Arial"/>
          <w:rtl/>
        </w:rPr>
        <w:t xml:space="preserve"> זה בסיפא גבי כף ישן משמע דס"ל דאף בשאר איסורים חנ"נ בכלי ישן</w:t>
      </w:r>
      <w:r>
        <w:rPr>
          <w:rFonts w:cs="Arial" w:hint="cs"/>
          <w:rtl/>
        </w:rPr>
        <w:t>,</w:t>
      </w:r>
      <w:r w:rsidRPr="00B5421E">
        <w:rPr>
          <w:rFonts w:cs="Arial"/>
          <w:rtl/>
        </w:rPr>
        <w:t xml:space="preserve"> מיהו היינו דוקא במקום שאין הפסד אבל בהפסד שרי בשאר איסורים בכלי ישן כדמשמע בת"ח כלל נ"א ד"ב ע"ש</w:t>
      </w:r>
      <w:r>
        <w:rPr>
          <w:rFonts w:cs="Arial" w:hint="cs"/>
          <w:rtl/>
        </w:rPr>
        <w:t>, ש"ך (סקי"ח).</w:t>
      </w:r>
    </w:p>
  </w:footnote>
  <w:footnote w:id="1817">
    <w:p w14:paraId="0AA669B4" w14:textId="77777777" w:rsidR="004C5A3C" w:rsidRDefault="004C5A3C" w:rsidP="002C39F4">
      <w:pPr>
        <w:pStyle w:val="a5"/>
      </w:pPr>
      <w:r>
        <w:rPr>
          <w:rStyle w:val="a7"/>
        </w:rPr>
        <w:footnoteRef/>
      </w:r>
      <w:r>
        <w:rPr>
          <w:rtl/>
        </w:rPr>
        <w:t xml:space="preserve"> </w:t>
      </w:r>
      <w:r w:rsidRPr="009F4BD5">
        <w:rPr>
          <w:rFonts w:cs="Arial"/>
          <w:rtl/>
        </w:rPr>
        <w:t>דס"ל דלגבי דבר הבלוע לא אמרי</w:t>
      </w:r>
      <w:r>
        <w:rPr>
          <w:rFonts w:cs="Arial" w:hint="cs"/>
          <w:rtl/>
        </w:rPr>
        <w:t>נן</w:t>
      </w:r>
      <w:r w:rsidRPr="009F4BD5">
        <w:rPr>
          <w:rFonts w:cs="Arial"/>
          <w:rtl/>
        </w:rPr>
        <w:t xml:space="preserve"> חנ"נ</w:t>
      </w:r>
      <w:r>
        <w:rPr>
          <w:rFonts w:hint="cs"/>
          <w:rtl/>
        </w:rPr>
        <w:t xml:space="preserve">, ש"ך (סקי"ט). </w:t>
      </w:r>
    </w:p>
  </w:footnote>
  <w:footnote w:id="1818">
    <w:p w14:paraId="2D31C594" w14:textId="77777777" w:rsidR="004C5A3C" w:rsidRDefault="004C5A3C" w:rsidP="002C39F4">
      <w:pPr>
        <w:pStyle w:val="a5"/>
      </w:pPr>
      <w:r>
        <w:rPr>
          <w:rStyle w:val="a7"/>
        </w:rPr>
        <w:footnoteRef/>
      </w:r>
      <w:r>
        <w:rPr>
          <w:rtl/>
        </w:rPr>
        <w:t xml:space="preserve"> </w:t>
      </w:r>
      <w:r w:rsidRPr="00D47463">
        <w:rPr>
          <w:rFonts w:cs="Arial"/>
          <w:rtl/>
        </w:rPr>
        <w:t xml:space="preserve">בת"ח </w:t>
      </w:r>
      <w:r>
        <w:rPr>
          <w:rFonts w:cs="Arial" w:hint="cs"/>
          <w:rtl/>
        </w:rPr>
        <w:t>(</w:t>
      </w:r>
      <w:r w:rsidRPr="00D47463">
        <w:rPr>
          <w:rFonts w:cs="Arial"/>
          <w:rtl/>
        </w:rPr>
        <w:t>ריש כלל פה</w:t>
      </w:r>
      <w:r>
        <w:rPr>
          <w:rFonts w:cs="Arial" w:hint="cs"/>
          <w:rtl/>
        </w:rPr>
        <w:t>) הביא את דברי</w:t>
      </w:r>
      <w:r w:rsidRPr="00D47463">
        <w:rPr>
          <w:rFonts w:cs="Arial"/>
          <w:rtl/>
        </w:rPr>
        <w:t xml:space="preserve"> המרדכי דכ' דבדבר שיש לו הגעלה לא אמרי</w:t>
      </w:r>
      <w:r>
        <w:rPr>
          <w:rFonts w:cs="Arial" w:hint="cs"/>
          <w:rtl/>
        </w:rPr>
        <w:t>נן</w:t>
      </w:r>
      <w:r w:rsidRPr="00D47463">
        <w:rPr>
          <w:rFonts w:cs="Arial"/>
          <w:rtl/>
        </w:rPr>
        <w:t xml:space="preserve"> ביה חנ"נ כיון דאפשר להפריד האיסור משם ע"י הגעלה</w:t>
      </w:r>
      <w:r>
        <w:rPr>
          <w:rFonts w:cs="Arial" w:hint="cs"/>
          <w:rtl/>
        </w:rPr>
        <w:t>,</w:t>
      </w:r>
      <w:r w:rsidRPr="00D47463">
        <w:rPr>
          <w:rFonts w:cs="Arial"/>
          <w:rtl/>
        </w:rPr>
        <w:t xml:space="preserve"> ומ"מ נראה דדוקא בכלי ישן קאמר הכי אבל בכלי חדש אפי' של חרס ודאי אינו עולה על הדעת שגוף החרס יעשה נבילה</w:t>
      </w:r>
      <w:r>
        <w:rPr>
          <w:rFonts w:cs="Arial" w:hint="cs"/>
          <w:rtl/>
        </w:rPr>
        <w:t>,</w:t>
      </w:r>
      <w:r w:rsidRPr="00D47463">
        <w:rPr>
          <w:rFonts w:cs="Arial"/>
          <w:rtl/>
        </w:rPr>
        <w:t xml:space="preserve"> וכן דעת מהרש"ל </w:t>
      </w:r>
      <w:r w:rsidRPr="00D47463">
        <w:rPr>
          <w:rFonts w:cs="Arial" w:hint="cs"/>
          <w:sz w:val="16"/>
          <w:szCs w:val="16"/>
          <w:rtl/>
        </w:rPr>
        <w:t>(</w:t>
      </w:r>
      <w:r w:rsidRPr="00D47463">
        <w:rPr>
          <w:rFonts w:cs="Arial"/>
          <w:sz w:val="16"/>
          <w:szCs w:val="16"/>
          <w:rtl/>
        </w:rPr>
        <w:t>באו"ש ובספרו פג"ה סי' לו</w:t>
      </w:r>
      <w:r>
        <w:rPr>
          <w:rFonts w:cs="Arial" w:hint="cs"/>
          <w:sz w:val="16"/>
          <w:szCs w:val="16"/>
          <w:rtl/>
        </w:rPr>
        <w:t>)</w:t>
      </w:r>
      <w:r w:rsidRPr="00D47463">
        <w:rPr>
          <w:rFonts w:cs="Arial"/>
          <w:rtl/>
        </w:rPr>
        <w:t xml:space="preserve"> וכן הב"ח השיג על הרב בזה במ"ש דכלי חרס חדש נ"נ</w:t>
      </w:r>
      <w:r>
        <w:rPr>
          <w:rFonts w:cs="Arial" w:hint="cs"/>
          <w:rtl/>
        </w:rPr>
        <w:t>,</w:t>
      </w:r>
      <w:r w:rsidRPr="00D47463">
        <w:rPr>
          <w:rFonts w:cs="Arial"/>
          <w:rtl/>
        </w:rPr>
        <w:t xml:space="preserve"> ומ"מ נראה דבישנה יש להחמיר כאותן הפוסקים והמחבר מכללם דנ"נ אפי' בדבר שיש לו היתר בהגעלה ולומר דס</w:t>
      </w:r>
      <w:r>
        <w:rPr>
          <w:rFonts w:cs="Arial" w:hint="cs"/>
          <w:rtl/>
        </w:rPr>
        <w:t xml:space="preserve">וף </w:t>
      </w:r>
      <w:r w:rsidRPr="00D47463">
        <w:rPr>
          <w:rFonts w:cs="Arial"/>
          <w:rtl/>
        </w:rPr>
        <w:t>ס</w:t>
      </w:r>
      <w:r>
        <w:rPr>
          <w:rFonts w:cs="Arial" w:hint="cs"/>
          <w:rtl/>
        </w:rPr>
        <w:t>וף</w:t>
      </w:r>
      <w:r w:rsidRPr="00D47463">
        <w:rPr>
          <w:rFonts w:cs="Arial"/>
          <w:rtl/>
        </w:rPr>
        <w:t xml:space="preserve"> השתא הבלוע בה נ"נ אבל בהפסד מרובה וכה"ג יש להקל כהפוסקים דבשל עץ ומתכת לא אמרי</w:t>
      </w:r>
      <w:r>
        <w:rPr>
          <w:rFonts w:cs="Arial" w:hint="cs"/>
          <w:rtl/>
        </w:rPr>
        <w:t>נן</w:t>
      </w:r>
      <w:r w:rsidRPr="00D47463">
        <w:rPr>
          <w:rFonts w:cs="Arial"/>
          <w:rtl/>
        </w:rPr>
        <w:t xml:space="preserve"> נ"נ</w:t>
      </w:r>
      <w:r>
        <w:rPr>
          <w:rFonts w:cs="Arial" w:hint="cs"/>
          <w:rtl/>
        </w:rPr>
        <w:t>,</w:t>
      </w:r>
      <w:r w:rsidRPr="00D47463">
        <w:rPr>
          <w:rFonts w:cs="Arial"/>
          <w:rtl/>
        </w:rPr>
        <w:t xml:space="preserve"> וכדברי מהרש"ל</w:t>
      </w:r>
      <w:r>
        <w:rPr>
          <w:rFonts w:cs="Arial" w:hint="cs"/>
          <w:rtl/>
        </w:rPr>
        <w:t>,</w:t>
      </w:r>
      <w:r w:rsidRPr="00D47463">
        <w:rPr>
          <w:rFonts w:cs="Arial"/>
          <w:rtl/>
        </w:rPr>
        <w:t xml:space="preserve"> וכ"פ הב"ח</w:t>
      </w:r>
      <w:r>
        <w:rPr>
          <w:rFonts w:cs="Arial" w:hint="cs"/>
          <w:rtl/>
        </w:rPr>
        <w:t>,</w:t>
      </w:r>
      <w:r w:rsidRPr="00D47463">
        <w:rPr>
          <w:rFonts w:cs="Arial"/>
          <w:rtl/>
        </w:rPr>
        <w:t xml:space="preserve"> וע"ל סי' צ"ד ס"ב וע"ל ס"ס ק"ז</w:t>
      </w:r>
      <w:r>
        <w:rPr>
          <w:rFonts w:hint="cs"/>
          <w:rtl/>
        </w:rPr>
        <w:t>, ש"ך (סקכ"א).</w:t>
      </w:r>
    </w:p>
  </w:footnote>
  <w:footnote w:id="1819">
    <w:p w14:paraId="69759887" w14:textId="77777777" w:rsidR="004C5A3C" w:rsidRDefault="004C5A3C" w:rsidP="002C39F4">
      <w:pPr>
        <w:pStyle w:val="a5"/>
      </w:pPr>
      <w:r>
        <w:rPr>
          <w:rStyle w:val="a7"/>
        </w:rPr>
        <w:footnoteRef/>
      </w:r>
      <w:r>
        <w:rPr>
          <w:rtl/>
        </w:rPr>
        <w:t xml:space="preserve"> </w:t>
      </w:r>
      <w:r w:rsidRPr="00F97AB9">
        <w:rPr>
          <w:rFonts w:cs="Arial"/>
          <w:rtl/>
        </w:rPr>
        <w:t>משום דלא היה כשיעור היה מזלזל בבטולו ולא בעי ששים</w:t>
      </w:r>
      <w:r>
        <w:rPr>
          <w:rFonts w:cs="Arial" w:hint="cs"/>
          <w:rtl/>
        </w:rPr>
        <w:t>, רש"י.</w:t>
      </w:r>
    </w:p>
  </w:footnote>
  <w:footnote w:id="1820">
    <w:p w14:paraId="5F69641C" w14:textId="77777777" w:rsidR="004C5A3C" w:rsidRDefault="004C5A3C" w:rsidP="002C39F4">
      <w:pPr>
        <w:pStyle w:val="a5"/>
        <w:rPr>
          <w:rtl/>
        </w:rPr>
      </w:pPr>
      <w:r>
        <w:rPr>
          <w:rStyle w:val="a7"/>
        </w:rPr>
        <w:footnoteRef/>
      </w:r>
      <w:r>
        <w:rPr>
          <w:rtl/>
        </w:rPr>
        <w:t xml:space="preserve"> </w:t>
      </w:r>
      <w:r w:rsidRPr="00F97AB9">
        <w:rPr>
          <w:rFonts w:cs="Arial"/>
          <w:rtl/>
        </w:rPr>
        <w:t>כלומר אפילו במידי דלא מיתסר מדאורייתא לא תזלזל בשיעוריה</w:t>
      </w:r>
      <w:r>
        <w:rPr>
          <w:rFonts w:cs="Arial" w:hint="cs"/>
          <w:rtl/>
        </w:rPr>
        <w:t xml:space="preserve">, </w:t>
      </w:r>
      <w:r w:rsidRPr="00F97AB9">
        <w:rPr>
          <w:rFonts w:cs="Arial"/>
          <w:rtl/>
        </w:rPr>
        <w:t>ועוד הא מדאורייתא אסור דחצי שיעור אסור מן התורה וחצי שיעור מנין ת"ל כל חלב בפרק בתרא דיומא (עד</w:t>
      </w:r>
      <w:r>
        <w:rPr>
          <w:rFonts w:cs="Arial" w:hint="cs"/>
          <w:rtl/>
        </w:rPr>
        <w:t>.</w:t>
      </w:r>
      <w:r w:rsidRPr="00F97AB9">
        <w:rPr>
          <w:rFonts w:cs="Arial"/>
          <w:rtl/>
        </w:rPr>
        <w:t>)</w:t>
      </w:r>
      <w:r>
        <w:rPr>
          <w:rFonts w:cs="Arial" w:hint="cs"/>
          <w:rtl/>
        </w:rPr>
        <w:t>, רש"י</w:t>
      </w:r>
      <w:r w:rsidRPr="00F97AB9">
        <w:rPr>
          <w:rFonts w:cs="Arial"/>
          <w:rtl/>
        </w:rPr>
        <w:t>.</w:t>
      </w:r>
    </w:p>
  </w:footnote>
  <w:footnote w:id="1821">
    <w:p w14:paraId="693263AE" w14:textId="77777777" w:rsidR="004C5A3C" w:rsidRDefault="004C5A3C" w:rsidP="002C39F4">
      <w:pPr>
        <w:pStyle w:val="a5"/>
        <w:rPr>
          <w:rtl/>
        </w:rPr>
      </w:pPr>
      <w:r>
        <w:rPr>
          <w:rStyle w:val="a7"/>
        </w:rPr>
        <w:footnoteRef/>
      </w:r>
      <w:r>
        <w:rPr>
          <w:rtl/>
        </w:rPr>
        <w:t xml:space="preserve"> </w:t>
      </w:r>
      <w:r w:rsidRPr="00F97AB9">
        <w:rPr>
          <w:rFonts w:cs="Arial"/>
          <w:rtl/>
        </w:rPr>
        <w:t>דקי"ל חצי שיעור נמי אסור מן התורה אלא שאין לוקין עליו</w:t>
      </w:r>
      <w:r>
        <w:rPr>
          <w:rFonts w:hint="cs"/>
          <w:rtl/>
        </w:rPr>
        <w:t>, ש"ך (סקכ"ג).</w:t>
      </w:r>
    </w:p>
  </w:footnote>
  <w:footnote w:id="1822">
    <w:p w14:paraId="4D26FE6D" w14:textId="77777777" w:rsidR="004C5A3C" w:rsidRDefault="004C5A3C" w:rsidP="002C39F4">
      <w:pPr>
        <w:pStyle w:val="a5"/>
        <w:rPr>
          <w:rtl/>
        </w:rPr>
      </w:pPr>
      <w:r>
        <w:rPr>
          <w:rStyle w:val="a7"/>
        </w:rPr>
        <w:footnoteRef/>
      </w:r>
      <w:r>
        <w:rPr>
          <w:rtl/>
        </w:rPr>
        <w:t xml:space="preserve"> </w:t>
      </w:r>
      <w:r w:rsidRPr="000728E3">
        <w:rPr>
          <w:rFonts w:cs="Arial"/>
          <w:rtl/>
        </w:rPr>
        <w:t>שהבשר נותן טעם</w:t>
      </w:r>
      <w:r>
        <w:rPr>
          <w:rFonts w:cs="Arial" w:hint="cs"/>
          <w:rtl/>
        </w:rPr>
        <w:t>,</w:t>
      </w:r>
      <w:r w:rsidRPr="000728E3">
        <w:rPr>
          <w:rFonts w:cs="Arial"/>
          <w:rtl/>
        </w:rPr>
        <w:t xml:space="preserve"> ולא שנא טמאה ול</w:t>
      </w:r>
      <w:r>
        <w:rPr>
          <w:rFonts w:cs="Arial" w:hint="cs"/>
          <w:rtl/>
        </w:rPr>
        <w:t xml:space="preserve">א </w:t>
      </w:r>
      <w:r w:rsidRPr="000728E3">
        <w:rPr>
          <w:rFonts w:cs="Arial"/>
          <w:rtl/>
        </w:rPr>
        <w:t>ש</w:t>
      </w:r>
      <w:r>
        <w:rPr>
          <w:rFonts w:cs="Arial" w:hint="cs"/>
          <w:rtl/>
        </w:rPr>
        <w:t>נא</w:t>
      </w:r>
      <w:r w:rsidRPr="000728E3">
        <w:rPr>
          <w:rFonts w:cs="Arial"/>
          <w:rtl/>
        </w:rPr>
        <w:t xml:space="preserve"> טהורה</w:t>
      </w:r>
      <w:r>
        <w:rPr>
          <w:rFonts w:cs="Arial" w:hint="cs"/>
          <w:rtl/>
        </w:rPr>
        <w:t>,</w:t>
      </w:r>
      <w:r w:rsidRPr="000728E3">
        <w:rPr>
          <w:rFonts w:cs="Arial"/>
          <w:rtl/>
        </w:rPr>
        <w:t xml:space="preserve"> דנבלה היא</w:t>
      </w:r>
      <w:r>
        <w:rPr>
          <w:rFonts w:cs="Arial" w:hint="cs"/>
          <w:rtl/>
        </w:rPr>
        <w:t>, רש"י</w:t>
      </w:r>
      <w:r w:rsidRPr="000728E3">
        <w:rPr>
          <w:rFonts w:cs="Arial"/>
          <w:rtl/>
        </w:rPr>
        <w:t>.</w:t>
      </w:r>
      <w:r w:rsidRPr="00357287">
        <w:rPr>
          <w:rFonts w:cs="Arial"/>
          <w:rtl/>
        </w:rPr>
        <w:t xml:space="preserve"> </w:t>
      </w:r>
      <w:r>
        <w:rPr>
          <w:rFonts w:cs="Arial" w:hint="cs"/>
          <w:rtl/>
        </w:rPr>
        <w:t>ו</w:t>
      </w:r>
      <w:r>
        <w:rPr>
          <w:rFonts w:cs="Arial"/>
          <w:rtl/>
        </w:rPr>
        <w:t>ה</w:t>
      </w:r>
      <w:r>
        <w:rPr>
          <w:rFonts w:cs="Arial" w:hint="cs"/>
          <w:rtl/>
        </w:rPr>
        <w:t>"</w:t>
      </w:r>
      <w:r>
        <w:rPr>
          <w:rFonts w:cs="Arial"/>
          <w:rtl/>
        </w:rPr>
        <w:t>ה לנמצא בה קורט דם דשדא תיכלא בכולה וחשיב כאילו יש בה אפרוח</w:t>
      </w:r>
      <w:r>
        <w:rPr>
          <w:rFonts w:cs="Arial" w:hint="cs"/>
          <w:rtl/>
        </w:rPr>
        <w:t>,</w:t>
      </w:r>
      <w:r>
        <w:rPr>
          <w:rFonts w:cs="Arial"/>
          <w:rtl/>
        </w:rPr>
        <w:t xml:space="preserve"> תוס</w:t>
      </w:r>
      <w:r>
        <w:rPr>
          <w:rFonts w:cs="Arial" w:hint="cs"/>
          <w:rtl/>
        </w:rPr>
        <w:t>'</w:t>
      </w:r>
      <w:r>
        <w:rPr>
          <w:rFonts w:cs="Arial"/>
          <w:rtl/>
        </w:rPr>
        <w:t xml:space="preserve"> </w:t>
      </w:r>
      <w:r w:rsidRPr="00357287">
        <w:rPr>
          <w:rFonts w:cs="Arial"/>
          <w:sz w:val="16"/>
          <w:szCs w:val="16"/>
          <w:rtl/>
        </w:rPr>
        <w:t>(צח. ד"ה בביצת)</w:t>
      </w:r>
      <w:r>
        <w:rPr>
          <w:rFonts w:cs="Arial" w:hint="cs"/>
          <w:rtl/>
        </w:rPr>
        <w:t xml:space="preserve">. וכ"כ </w:t>
      </w:r>
      <w:r>
        <w:rPr>
          <w:rFonts w:cs="Arial"/>
          <w:rtl/>
        </w:rPr>
        <w:t xml:space="preserve">רא"ש </w:t>
      </w:r>
      <w:r w:rsidRPr="00357287">
        <w:rPr>
          <w:rFonts w:cs="Arial"/>
          <w:sz w:val="16"/>
          <w:szCs w:val="16"/>
          <w:rtl/>
        </w:rPr>
        <w:t xml:space="preserve">(סי' כח) </w:t>
      </w:r>
      <w:r>
        <w:rPr>
          <w:rFonts w:cs="Arial" w:hint="cs"/>
          <w:rtl/>
        </w:rPr>
        <w:t>ו</w:t>
      </w:r>
      <w:r>
        <w:rPr>
          <w:rFonts w:cs="Arial"/>
          <w:rtl/>
        </w:rPr>
        <w:t xml:space="preserve">ר"ן </w:t>
      </w:r>
      <w:r w:rsidRPr="00357287">
        <w:rPr>
          <w:rFonts w:cs="Arial"/>
          <w:sz w:val="16"/>
          <w:szCs w:val="16"/>
          <w:rtl/>
        </w:rPr>
        <w:t>(לה.)</w:t>
      </w:r>
      <w:r>
        <w:rPr>
          <w:rFonts w:cs="Arial" w:hint="cs"/>
          <w:rtl/>
        </w:rPr>
        <w:t xml:space="preserve">, </w:t>
      </w:r>
      <w:r>
        <w:rPr>
          <w:rFonts w:cs="Arial"/>
          <w:rtl/>
        </w:rPr>
        <w:t>וכ</w:t>
      </w:r>
      <w:r>
        <w:rPr>
          <w:rFonts w:cs="Arial" w:hint="cs"/>
          <w:rtl/>
        </w:rPr>
        <w:t>"</w:t>
      </w:r>
      <w:r>
        <w:rPr>
          <w:rFonts w:cs="Arial"/>
          <w:rtl/>
        </w:rPr>
        <w:t>פ</w:t>
      </w:r>
      <w:r>
        <w:rPr>
          <w:rFonts w:cs="Arial" w:hint="cs"/>
          <w:rtl/>
        </w:rPr>
        <w:t xml:space="preserve"> </w:t>
      </w:r>
      <w:r>
        <w:rPr>
          <w:rFonts w:cs="Arial"/>
          <w:rtl/>
        </w:rPr>
        <w:t xml:space="preserve">הרשב"א </w:t>
      </w:r>
      <w:r w:rsidRPr="00357287">
        <w:rPr>
          <w:rFonts w:cs="Arial" w:hint="cs"/>
          <w:sz w:val="16"/>
          <w:szCs w:val="16"/>
          <w:rtl/>
        </w:rPr>
        <w:t>(</w:t>
      </w:r>
      <w:r w:rsidRPr="00357287">
        <w:rPr>
          <w:rFonts w:cs="Arial"/>
          <w:sz w:val="16"/>
          <w:szCs w:val="16"/>
          <w:rtl/>
        </w:rPr>
        <w:t>בתו</w:t>
      </w:r>
      <w:r w:rsidRPr="00357287">
        <w:rPr>
          <w:rFonts w:cs="Arial" w:hint="cs"/>
          <w:sz w:val="16"/>
          <w:szCs w:val="16"/>
          <w:rtl/>
        </w:rPr>
        <w:t>ה"ק</w:t>
      </w:r>
      <w:r w:rsidRPr="00357287">
        <w:rPr>
          <w:rFonts w:cs="Arial"/>
          <w:sz w:val="16"/>
          <w:szCs w:val="16"/>
          <w:rtl/>
        </w:rPr>
        <w:t xml:space="preserve"> ב"ד ש"א יד., ארוך שם יח:)</w:t>
      </w:r>
      <w:r>
        <w:rPr>
          <w:rFonts w:hint="cs"/>
          <w:rtl/>
        </w:rPr>
        <w:t>, ב"י (סי' פו סע' ה).</w:t>
      </w:r>
      <w:r w:rsidRPr="007978A0">
        <w:rPr>
          <w:rFonts w:cs="Arial" w:hint="cs"/>
          <w:color w:val="E36C0A" w:themeColor="accent6" w:themeShade="BF"/>
          <w:rtl/>
        </w:rPr>
        <w:t xml:space="preserve"> </w:t>
      </w:r>
      <w:r w:rsidRPr="0019552B">
        <w:rPr>
          <w:rFonts w:cs="Arial" w:hint="cs"/>
          <w:color w:val="E36C0A" w:themeColor="accent6" w:themeShade="BF"/>
          <w:rtl/>
        </w:rPr>
        <w:t xml:space="preserve">(וכ"פ בשו"ע </w:t>
      </w:r>
      <w:r>
        <w:rPr>
          <w:rFonts w:cs="Arial" w:hint="cs"/>
          <w:sz w:val="16"/>
          <w:szCs w:val="16"/>
          <w:rtl/>
        </w:rPr>
        <w:t>[שם]</w:t>
      </w:r>
      <w:r w:rsidRPr="0019552B">
        <w:rPr>
          <w:rFonts w:cs="Arial" w:hint="cs"/>
          <w:color w:val="E36C0A" w:themeColor="accent6" w:themeShade="BF"/>
          <w:rtl/>
        </w:rPr>
        <w:t>)</w:t>
      </w:r>
    </w:p>
  </w:footnote>
  <w:footnote w:id="1823">
    <w:p w14:paraId="6BFB6ADF" w14:textId="77777777" w:rsidR="004C5A3C" w:rsidRDefault="004C5A3C" w:rsidP="002C39F4">
      <w:pPr>
        <w:pStyle w:val="a5"/>
        <w:rPr>
          <w:rtl/>
        </w:rPr>
      </w:pPr>
      <w:r>
        <w:rPr>
          <w:rStyle w:val="a7"/>
        </w:rPr>
        <w:footnoteRef/>
      </w:r>
      <w:r>
        <w:rPr>
          <w:rtl/>
        </w:rPr>
        <w:t xml:space="preserve"> </w:t>
      </w:r>
      <w:r w:rsidRPr="000728E3">
        <w:rPr>
          <w:rFonts w:cs="Arial"/>
          <w:rtl/>
        </w:rPr>
        <w:t>בלא אפרוח לא</w:t>
      </w:r>
      <w:r>
        <w:rPr>
          <w:rFonts w:cs="Arial" w:hint="cs"/>
          <w:rtl/>
        </w:rPr>
        <w:t>, רש"י</w:t>
      </w:r>
      <w:r w:rsidRPr="000728E3">
        <w:rPr>
          <w:rFonts w:cs="Arial"/>
          <w:rtl/>
        </w:rPr>
        <w:t>.</w:t>
      </w:r>
    </w:p>
  </w:footnote>
  <w:footnote w:id="1824">
    <w:p w14:paraId="273FCD99" w14:textId="77777777" w:rsidR="004C5A3C" w:rsidRDefault="004C5A3C" w:rsidP="002C39F4">
      <w:pPr>
        <w:pStyle w:val="a5"/>
        <w:rPr>
          <w:rtl/>
        </w:rPr>
      </w:pPr>
      <w:r>
        <w:rPr>
          <w:rStyle w:val="a7"/>
        </w:rPr>
        <w:footnoteRef/>
      </w:r>
      <w:r>
        <w:rPr>
          <w:rtl/>
        </w:rPr>
        <w:t xml:space="preserve"> </w:t>
      </w:r>
      <w:r w:rsidRPr="000728E3">
        <w:rPr>
          <w:rFonts w:cs="Arial"/>
          <w:rtl/>
        </w:rPr>
        <w:t>דהוו להו ס"ב</w:t>
      </w:r>
      <w:r>
        <w:rPr>
          <w:rFonts w:hint="cs"/>
          <w:rtl/>
        </w:rPr>
        <w:t>, רש"י.</w:t>
      </w:r>
    </w:p>
  </w:footnote>
  <w:footnote w:id="1825">
    <w:p w14:paraId="55BF1F4D" w14:textId="77777777" w:rsidR="004C5A3C" w:rsidRPr="00ED6CAA" w:rsidRDefault="004C5A3C" w:rsidP="002C39F4">
      <w:pPr>
        <w:pStyle w:val="a5"/>
      </w:pPr>
      <w:r>
        <w:rPr>
          <w:rStyle w:val="a7"/>
        </w:rPr>
        <w:footnoteRef/>
      </w:r>
      <w:r>
        <w:rPr>
          <w:rtl/>
        </w:rPr>
        <w:t xml:space="preserve"> </w:t>
      </w:r>
      <w:r w:rsidRPr="00F22D42">
        <w:rPr>
          <w:rFonts w:cs="Arial"/>
          <w:rtl/>
        </w:rPr>
        <w:t xml:space="preserve">רי"ף </w:t>
      </w:r>
      <w:r w:rsidRPr="00ED6CAA">
        <w:rPr>
          <w:rFonts w:cs="Arial"/>
          <w:sz w:val="16"/>
          <w:szCs w:val="16"/>
          <w:rtl/>
        </w:rPr>
        <w:t>(</w:t>
      </w:r>
      <w:r>
        <w:rPr>
          <w:rFonts w:cs="Arial" w:hint="cs"/>
          <w:sz w:val="16"/>
          <w:szCs w:val="16"/>
          <w:rtl/>
        </w:rPr>
        <w:t>כב.</w:t>
      </w:r>
      <w:r w:rsidRPr="00ED6CAA">
        <w:rPr>
          <w:rFonts w:cs="Arial"/>
          <w:sz w:val="16"/>
          <w:szCs w:val="16"/>
          <w:rtl/>
        </w:rPr>
        <w:t xml:space="preserve">) </w:t>
      </w:r>
      <w:r w:rsidRPr="00F22D42">
        <w:rPr>
          <w:rFonts w:cs="Arial"/>
          <w:rtl/>
        </w:rPr>
        <w:t>תוס</w:t>
      </w:r>
      <w:r>
        <w:rPr>
          <w:rFonts w:cs="Arial" w:hint="cs"/>
          <w:rtl/>
        </w:rPr>
        <w:t>'</w:t>
      </w:r>
      <w:r w:rsidRPr="00F22D42">
        <w:rPr>
          <w:rFonts w:cs="Arial"/>
          <w:rtl/>
        </w:rPr>
        <w:t xml:space="preserve"> </w:t>
      </w:r>
      <w:r w:rsidRPr="00ED6CAA">
        <w:rPr>
          <w:rFonts w:cs="Arial"/>
          <w:sz w:val="16"/>
          <w:szCs w:val="16"/>
          <w:rtl/>
        </w:rPr>
        <w:t>(צח. ד"ה בביצת</w:t>
      </w:r>
      <w:r w:rsidRPr="00ED6CAA">
        <w:rPr>
          <w:rFonts w:cs="Arial" w:hint="cs"/>
          <w:sz w:val="16"/>
          <w:szCs w:val="16"/>
          <w:rtl/>
        </w:rPr>
        <w:t xml:space="preserve">, </w:t>
      </w:r>
      <w:r>
        <w:rPr>
          <w:rFonts w:cs="Arial" w:hint="cs"/>
          <w:sz w:val="16"/>
          <w:szCs w:val="16"/>
          <w:rtl/>
        </w:rPr>
        <w:t>להב'</w:t>
      </w:r>
      <w:r w:rsidRPr="00ED6CAA">
        <w:rPr>
          <w:rFonts w:cs="Arial" w:hint="cs"/>
          <w:sz w:val="16"/>
          <w:szCs w:val="16"/>
          <w:rtl/>
        </w:rPr>
        <w:t xml:space="preserve"> הב"י</w:t>
      </w:r>
      <w:r w:rsidRPr="00ED6CAA">
        <w:rPr>
          <w:rFonts w:cs="Arial"/>
          <w:sz w:val="16"/>
          <w:szCs w:val="16"/>
          <w:rtl/>
        </w:rPr>
        <w:t xml:space="preserve">) </w:t>
      </w:r>
      <w:r w:rsidRPr="00F22D42">
        <w:rPr>
          <w:rFonts w:cs="Arial"/>
          <w:rtl/>
        </w:rPr>
        <w:t xml:space="preserve">רמב"ם </w:t>
      </w:r>
      <w:r w:rsidRPr="00ED6CAA">
        <w:rPr>
          <w:rFonts w:cs="Arial" w:hint="cs"/>
          <w:sz w:val="16"/>
          <w:szCs w:val="16"/>
          <w:rtl/>
        </w:rPr>
        <w:t>(</w:t>
      </w:r>
      <w:r w:rsidRPr="00ED6CAA">
        <w:rPr>
          <w:rFonts w:cs="Arial"/>
          <w:sz w:val="16"/>
          <w:szCs w:val="16"/>
          <w:rtl/>
        </w:rPr>
        <w:t xml:space="preserve">פט"ו ה"כ) </w:t>
      </w:r>
      <w:r w:rsidRPr="00F22D42">
        <w:rPr>
          <w:rFonts w:cs="Arial"/>
          <w:rtl/>
        </w:rPr>
        <w:t xml:space="preserve">רא"ש </w:t>
      </w:r>
      <w:r w:rsidRPr="00ED6CAA">
        <w:rPr>
          <w:rFonts w:cs="Arial"/>
          <w:sz w:val="16"/>
          <w:szCs w:val="16"/>
          <w:rtl/>
        </w:rPr>
        <w:t>(סי' כח</w:t>
      </w:r>
      <w:r w:rsidRPr="00ED6CAA">
        <w:rPr>
          <w:rFonts w:cs="Arial" w:hint="cs"/>
          <w:sz w:val="16"/>
          <w:szCs w:val="16"/>
          <w:rtl/>
        </w:rPr>
        <w:t xml:space="preserve">, </w:t>
      </w:r>
      <w:r>
        <w:rPr>
          <w:rFonts w:cs="Arial" w:hint="cs"/>
          <w:sz w:val="16"/>
          <w:szCs w:val="16"/>
          <w:rtl/>
        </w:rPr>
        <w:t>להב'</w:t>
      </w:r>
      <w:r w:rsidRPr="00ED6CAA">
        <w:rPr>
          <w:rFonts w:cs="Arial" w:hint="cs"/>
          <w:sz w:val="16"/>
          <w:szCs w:val="16"/>
          <w:rtl/>
        </w:rPr>
        <w:t xml:space="preserve"> הטור והב"י</w:t>
      </w:r>
      <w:r>
        <w:rPr>
          <w:rFonts w:cs="Arial" w:hint="cs"/>
          <w:sz w:val="16"/>
          <w:szCs w:val="16"/>
          <w:rtl/>
        </w:rPr>
        <w:t>)</w:t>
      </w:r>
      <w:r>
        <w:rPr>
          <w:rFonts w:cs="Arial" w:hint="cs"/>
          <w:rtl/>
        </w:rPr>
        <w:t xml:space="preserve"> ו</w:t>
      </w:r>
      <w:r w:rsidRPr="00F22D42">
        <w:rPr>
          <w:rFonts w:cs="Arial"/>
          <w:rtl/>
        </w:rPr>
        <w:t xml:space="preserve">ר"ן </w:t>
      </w:r>
      <w:r w:rsidRPr="00ED6CAA">
        <w:rPr>
          <w:rFonts w:cs="Arial"/>
          <w:sz w:val="16"/>
          <w:szCs w:val="16"/>
          <w:rtl/>
        </w:rPr>
        <w:t>(לה. ד"ה והני מילי</w:t>
      </w:r>
      <w:r w:rsidRPr="00ED6CAA">
        <w:rPr>
          <w:rFonts w:cs="Arial" w:hint="cs"/>
          <w:sz w:val="16"/>
          <w:szCs w:val="16"/>
          <w:rtl/>
        </w:rPr>
        <w:t xml:space="preserve">, </w:t>
      </w:r>
      <w:r>
        <w:rPr>
          <w:rFonts w:cs="Arial" w:hint="cs"/>
          <w:sz w:val="16"/>
          <w:szCs w:val="16"/>
          <w:rtl/>
        </w:rPr>
        <w:t>להב'</w:t>
      </w:r>
      <w:r w:rsidRPr="00ED6CAA">
        <w:rPr>
          <w:rFonts w:cs="Arial" w:hint="cs"/>
          <w:sz w:val="16"/>
          <w:szCs w:val="16"/>
          <w:rtl/>
        </w:rPr>
        <w:t xml:space="preserve"> הב"</w:t>
      </w:r>
      <w:r>
        <w:rPr>
          <w:rFonts w:cs="Arial" w:hint="cs"/>
          <w:sz w:val="16"/>
          <w:szCs w:val="16"/>
          <w:rtl/>
        </w:rPr>
        <w:t>י</w:t>
      </w:r>
      <w:r w:rsidRPr="00ED6CAA">
        <w:rPr>
          <w:rFonts w:cs="Arial"/>
          <w:sz w:val="16"/>
          <w:szCs w:val="16"/>
          <w:rtl/>
        </w:rPr>
        <w:t>)</w:t>
      </w:r>
      <w:r>
        <w:rPr>
          <w:rFonts w:cs="Arial" w:hint="cs"/>
          <w:rtl/>
        </w:rPr>
        <w:t>.</w:t>
      </w:r>
    </w:p>
  </w:footnote>
  <w:footnote w:id="1826">
    <w:p w14:paraId="2020BA12" w14:textId="77777777" w:rsidR="004C5A3C" w:rsidRDefault="004C5A3C" w:rsidP="002C39F4">
      <w:pPr>
        <w:pStyle w:val="a5"/>
      </w:pPr>
      <w:r>
        <w:rPr>
          <w:rStyle w:val="a7"/>
        </w:rPr>
        <w:footnoteRef/>
      </w:r>
      <w:r>
        <w:rPr>
          <w:rtl/>
        </w:rPr>
        <w:t xml:space="preserve"> </w:t>
      </w:r>
      <w:r w:rsidRPr="00F22D42">
        <w:rPr>
          <w:rFonts w:cs="Arial"/>
          <w:rtl/>
        </w:rPr>
        <w:t>וכיון דכל הני רבוותא פשיטא להו דהלכה כההוא שינויא לא שבקינן ליה משום מאי דמספקא ליה לבעל התרומה</w:t>
      </w:r>
      <w:r>
        <w:rPr>
          <w:rFonts w:cs="Arial" w:hint="cs"/>
          <w:rtl/>
        </w:rPr>
        <w:t>, ב"י.</w:t>
      </w:r>
    </w:p>
  </w:footnote>
  <w:footnote w:id="1827">
    <w:p w14:paraId="228F0A00" w14:textId="77777777" w:rsidR="004C5A3C" w:rsidRDefault="004C5A3C" w:rsidP="002C39F4">
      <w:pPr>
        <w:pStyle w:val="a5"/>
        <w:rPr>
          <w:rtl/>
        </w:rPr>
      </w:pPr>
      <w:r>
        <w:rPr>
          <w:rStyle w:val="a7"/>
        </w:rPr>
        <w:footnoteRef/>
      </w:r>
      <w:r>
        <w:rPr>
          <w:rtl/>
        </w:rPr>
        <w:t xml:space="preserve"> </w:t>
      </w:r>
      <w:r w:rsidRPr="00B834A8">
        <w:rPr>
          <w:rFonts w:cs="Arial"/>
          <w:rtl/>
        </w:rPr>
        <w:t>היינו לומר דכשם שביצה שיש בה אפרוח או דם אוסרת אפילו אינה קלופה כך אוסרת ג"כ ביצת עוף טמא</w:t>
      </w:r>
      <w:r>
        <w:rPr>
          <w:rFonts w:cs="Arial" w:hint="cs"/>
          <w:rtl/>
        </w:rPr>
        <w:t>,</w:t>
      </w:r>
      <w:r w:rsidRPr="00B834A8">
        <w:rPr>
          <w:rFonts w:cs="Arial"/>
          <w:rtl/>
        </w:rPr>
        <w:t xml:space="preserve"> שכתב דאין הולכין בו אחר לשון בני אדם דקרו ליה מיא בעלמא דהא אקשינן עליה</w:t>
      </w:r>
      <w:r>
        <w:rPr>
          <w:rFonts w:cs="Arial" w:hint="cs"/>
          <w:rtl/>
        </w:rPr>
        <w:t>,</w:t>
      </w:r>
      <w:r w:rsidRPr="00B834A8">
        <w:rPr>
          <w:rFonts w:cs="Arial"/>
          <w:rtl/>
        </w:rPr>
        <w:t xml:space="preserve"> ואע</w:t>
      </w:r>
      <w:r>
        <w:rPr>
          <w:rFonts w:cs="Arial" w:hint="cs"/>
          <w:rtl/>
        </w:rPr>
        <w:t>"</w:t>
      </w:r>
      <w:r w:rsidRPr="00B834A8">
        <w:rPr>
          <w:rFonts w:cs="Arial"/>
          <w:rtl/>
        </w:rPr>
        <w:t>ג דשנינן בביצה שיש בה אפרוח</w:t>
      </w:r>
      <w:r>
        <w:rPr>
          <w:rFonts w:cs="Arial" w:hint="cs"/>
          <w:rtl/>
        </w:rPr>
        <w:t>,</w:t>
      </w:r>
      <w:r w:rsidRPr="00B834A8">
        <w:rPr>
          <w:rFonts w:cs="Arial"/>
          <w:rtl/>
        </w:rPr>
        <w:t xml:space="preserve"> שינויא הוא ואשינויא לא סמכינן</w:t>
      </w:r>
      <w:r>
        <w:rPr>
          <w:rFonts w:cs="Arial" w:hint="cs"/>
          <w:rtl/>
        </w:rPr>
        <w:t xml:space="preserve"> </w:t>
      </w:r>
      <w:r w:rsidRPr="00B834A8">
        <w:rPr>
          <w:rFonts w:cs="Arial" w:hint="cs"/>
          <w:sz w:val="16"/>
          <w:szCs w:val="16"/>
          <w:rtl/>
        </w:rPr>
        <w:t>(</w:t>
      </w:r>
      <w:r>
        <w:rPr>
          <w:rFonts w:cs="Arial" w:hint="cs"/>
          <w:sz w:val="16"/>
          <w:szCs w:val="16"/>
          <w:rtl/>
        </w:rPr>
        <w:t>ל' ה</w:t>
      </w:r>
      <w:r w:rsidRPr="00B834A8">
        <w:rPr>
          <w:rFonts w:cs="Arial" w:hint="cs"/>
          <w:sz w:val="16"/>
          <w:szCs w:val="16"/>
          <w:rtl/>
        </w:rPr>
        <w:t>ב"י בהסבר דברי סה"ת)</w:t>
      </w:r>
      <w:r>
        <w:rPr>
          <w:rFonts w:cs="Arial" w:hint="cs"/>
          <w:rtl/>
        </w:rPr>
        <w:t>.</w:t>
      </w:r>
    </w:p>
  </w:footnote>
  <w:footnote w:id="1828">
    <w:p w14:paraId="647F6416" w14:textId="77777777" w:rsidR="004C5A3C" w:rsidRDefault="004C5A3C" w:rsidP="002C39F4">
      <w:pPr>
        <w:pStyle w:val="a5"/>
        <w:rPr>
          <w:rtl/>
        </w:rPr>
      </w:pPr>
      <w:r>
        <w:rPr>
          <w:rStyle w:val="a7"/>
        </w:rPr>
        <w:footnoteRef/>
      </w:r>
      <w:r>
        <w:rPr>
          <w:rtl/>
        </w:rPr>
        <w:t xml:space="preserve"> </w:t>
      </w:r>
      <w:r w:rsidRPr="000307AD">
        <w:rPr>
          <w:rFonts w:cs="Arial" w:hint="cs"/>
          <w:rtl/>
        </w:rPr>
        <w:t>ז"ל ב</w:t>
      </w:r>
      <w:r w:rsidRPr="000307AD">
        <w:rPr>
          <w:rFonts w:cs="Arial"/>
          <w:rtl/>
        </w:rPr>
        <w:t>תו</w:t>
      </w:r>
      <w:r w:rsidRPr="000307AD">
        <w:rPr>
          <w:rFonts w:cs="Arial" w:hint="cs"/>
          <w:rtl/>
        </w:rPr>
        <w:t>ה"א</w:t>
      </w:r>
      <w:r w:rsidRPr="000307AD">
        <w:rPr>
          <w:rFonts w:cs="Arial"/>
          <w:rtl/>
        </w:rPr>
        <w:t xml:space="preserve"> </w:t>
      </w:r>
      <w:r>
        <w:rPr>
          <w:rFonts w:cs="Arial" w:hint="cs"/>
          <w:sz w:val="16"/>
          <w:szCs w:val="16"/>
          <w:rtl/>
        </w:rPr>
        <w:t>(</w:t>
      </w:r>
      <w:r w:rsidRPr="00F22D42">
        <w:rPr>
          <w:rFonts w:cs="Arial"/>
          <w:sz w:val="16"/>
          <w:szCs w:val="16"/>
          <w:rtl/>
        </w:rPr>
        <w:t>ב"ד ש"א יח:</w:t>
      </w:r>
      <w:r>
        <w:rPr>
          <w:rFonts w:cs="Arial" w:hint="cs"/>
          <w:sz w:val="16"/>
          <w:szCs w:val="16"/>
          <w:rtl/>
        </w:rPr>
        <w:t xml:space="preserve">) </w:t>
      </w:r>
      <w:r w:rsidRPr="000307AD">
        <w:rPr>
          <w:rFonts w:cs="Arial"/>
          <w:rtl/>
        </w:rPr>
        <w:t>אהא דאמרי אינשי כמיא דביעי דלא יהבי טעמא</w:t>
      </w:r>
      <w:r w:rsidRPr="000307AD">
        <w:rPr>
          <w:rFonts w:cs="Arial" w:hint="cs"/>
          <w:rtl/>
        </w:rPr>
        <w:t>-</w:t>
      </w:r>
      <w:r w:rsidRPr="000307AD">
        <w:rPr>
          <w:rFonts w:cs="Arial"/>
          <w:rtl/>
        </w:rPr>
        <w:t xml:space="preserve"> בירושלמי דמסכת תרומ</w:t>
      </w:r>
      <w:r w:rsidRPr="000307AD">
        <w:rPr>
          <w:rFonts w:cs="Arial" w:hint="cs"/>
          <w:rtl/>
        </w:rPr>
        <w:t xml:space="preserve">ות </w:t>
      </w:r>
      <w:r w:rsidRPr="00956320">
        <w:rPr>
          <w:rFonts w:cs="Arial"/>
          <w:sz w:val="16"/>
          <w:szCs w:val="16"/>
          <w:rtl/>
        </w:rPr>
        <w:t>(פ"י ה"ו</w:t>
      </w:r>
      <w:r w:rsidRPr="00956320">
        <w:rPr>
          <w:rFonts w:cs="Arial" w:hint="cs"/>
          <w:sz w:val="16"/>
          <w:szCs w:val="16"/>
          <w:rtl/>
        </w:rPr>
        <w:t xml:space="preserve">, </w:t>
      </w:r>
      <w:r>
        <w:rPr>
          <w:rFonts w:cs="Arial" w:hint="cs"/>
          <w:sz w:val="16"/>
          <w:szCs w:val="16"/>
          <w:rtl/>
        </w:rPr>
        <w:t>ו</w:t>
      </w:r>
      <w:r w:rsidRPr="00956320">
        <w:rPr>
          <w:rFonts w:cs="Arial" w:hint="cs"/>
          <w:sz w:val="16"/>
          <w:szCs w:val="16"/>
          <w:rtl/>
        </w:rPr>
        <w:t xml:space="preserve">ז"ל הגמ' שם- </w:t>
      </w:r>
      <w:r w:rsidRPr="00956320">
        <w:rPr>
          <w:rFonts w:cs="Arial"/>
          <w:sz w:val="16"/>
          <w:szCs w:val="16"/>
          <w:rtl/>
        </w:rPr>
        <w:t>א"ר הונא קליפי איסור מעלין את ההיתר</w:t>
      </w:r>
      <w:r w:rsidRPr="00956320">
        <w:rPr>
          <w:rFonts w:cs="Arial" w:hint="cs"/>
          <w:sz w:val="16"/>
          <w:szCs w:val="16"/>
          <w:rtl/>
        </w:rPr>
        <w:t>,</w:t>
      </w:r>
      <w:r w:rsidRPr="00956320">
        <w:rPr>
          <w:rFonts w:cs="Arial"/>
          <w:sz w:val="16"/>
          <w:szCs w:val="16"/>
          <w:rtl/>
        </w:rPr>
        <w:t xml:space="preserve"> ר' זעירא הדא דתימר והוא ששולקן בקליפיהון שלוקות בשלוקות אבל שולקן ביצים קלופות בשאינן קלופות או שאינן קלופות בקלופות שלוקות בשאינן שלוקות צריכים שיעור אחר)</w:t>
      </w:r>
      <w:r w:rsidRPr="000307AD">
        <w:rPr>
          <w:rFonts w:cs="Arial"/>
          <w:rtl/>
        </w:rPr>
        <w:t xml:space="preserve"> קאמר דוקא באינן קלופות אבל בקלופות יהבי טעמא והא דלא מפליג הכא משום דסתם ביצים בקליפות מבשלי להו</w:t>
      </w:r>
      <w:r>
        <w:rPr>
          <w:rFonts w:cs="Arial" w:hint="cs"/>
          <w:rtl/>
        </w:rPr>
        <w:t>.</w:t>
      </w:r>
      <w:r w:rsidRPr="000307AD">
        <w:rPr>
          <w:rFonts w:cs="Arial"/>
          <w:rtl/>
        </w:rPr>
        <w:t xml:space="preserve"> וז"ל בחידו</w:t>
      </w:r>
      <w:r>
        <w:rPr>
          <w:rFonts w:cs="Arial" w:hint="cs"/>
          <w:rtl/>
        </w:rPr>
        <w:t>'</w:t>
      </w:r>
      <w:r w:rsidRPr="000307AD">
        <w:rPr>
          <w:rFonts w:cs="Arial"/>
          <w:rtl/>
        </w:rPr>
        <w:t xml:space="preserve"> </w:t>
      </w:r>
      <w:r w:rsidRPr="000307AD">
        <w:rPr>
          <w:rFonts w:cs="Arial"/>
          <w:sz w:val="16"/>
          <w:szCs w:val="16"/>
          <w:rtl/>
        </w:rPr>
        <w:t xml:space="preserve">(צז: סוד"ה א"ל) </w:t>
      </w:r>
      <w:r w:rsidRPr="000307AD">
        <w:rPr>
          <w:rFonts w:cs="Arial"/>
          <w:rtl/>
        </w:rPr>
        <w:t xml:space="preserve">הכי במאי עסקינן בביצת אפרוח הוא הדין דהוה מצי לאוקמינהו לכולהו בטמאה ובקלופה דקלופה צריכה שיעור וכדאיתא בירושלמי אבל ראיתי להרמב"ן ז"ל </w:t>
      </w:r>
      <w:r w:rsidRPr="000307AD">
        <w:rPr>
          <w:rFonts w:cs="Arial"/>
          <w:sz w:val="16"/>
          <w:szCs w:val="16"/>
          <w:rtl/>
        </w:rPr>
        <w:t xml:space="preserve">(שם ד"ה והא) </w:t>
      </w:r>
      <w:r w:rsidRPr="000307AD">
        <w:rPr>
          <w:rFonts w:cs="Arial"/>
          <w:rtl/>
        </w:rPr>
        <w:t>שהתיר אפילו בקלופות ולכאורה ודאי הכי משמע מהכא דלא פליג אלא שיש לחוש לדברי הירושלמי ע"כ</w:t>
      </w:r>
      <w:r>
        <w:rPr>
          <w:rFonts w:cs="Arial" w:hint="cs"/>
          <w:rtl/>
        </w:rPr>
        <w:t>.</w:t>
      </w:r>
      <w:r w:rsidRPr="000307AD">
        <w:rPr>
          <w:rFonts w:cs="Arial"/>
          <w:rtl/>
        </w:rPr>
        <w:t xml:space="preserve"> וכ</w:t>
      </w:r>
      <w:r>
        <w:rPr>
          <w:rFonts w:cs="Arial" w:hint="cs"/>
          <w:rtl/>
        </w:rPr>
        <w:t>"</w:t>
      </w:r>
      <w:r w:rsidRPr="000307AD">
        <w:rPr>
          <w:rFonts w:cs="Arial"/>
          <w:rtl/>
        </w:rPr>
        <w:t>כ גם בתו</w:t>
      </w:r>
      <w:r>
        <w:rPr>
          <w:rFonts w:cs="Arial" w:hint="cs"/>
          <w:rtl/>
        </w:rPr>
        <w:t>ה"א</w:t>
      </w:r>
      <w:r w:rsidRPr="000307AD">
        <w:rPr>
          <w:rFonts w:cs="Arial"/>
          <w:rtl/>
        </w:rPr>
        <w:t xml:space="preserve"> </w:t>
      </w:r>
      <w:r w:rsidRPr="000307AD">
        <w:rPr>
          <w:rFonts w:cs="Arial"/>
          <w:sz w:val="16"/>
          <w:szCs w:val="16"/>
          <w:rtl/>
        </w:rPr>
        <w:t xml:space="preserve">(שם) </w:t>
      </w:r>
      <w:r w:rsidRPr="000307AD">
        <w:rPr>
          <w:rFonts w:cs="Arial"/>
          <w:rtl/>
        </w:rPr>
        <w:t>שראוי להחמיר כדברי הירושלמי</w:t>
      </w:r>
      <w:r>
        <w:rPr>
          <w:rFonts w:cs="Arial" w:hint="cs"/>
          <w:rtl/>
        </w:rPr>
        <w:t>.</w:t>
      </w:r>
      <w:r>
        <w:rPr>
          <w:rFonts w:cs="Arial"/>
          <w:rtl/>
        </w:rPr>
        <w:t xml:space="preserve"> וכך הם דברי הר"ן ז"ל (שם) שכתב בסוף דבריו</w:t>
      </w:r>
      <w:r>
        <w:rPr>
          <w:rFonts w:cs="Arial" w:hint="cs"/>
          <w:rtl/>
        </w:rPr>
        <w:t>-</w:t>
      </w:r>
      <w:r>
        <w:rPr>
          <w:rFonts w:cs="Arial"/>
          <w:rtl/>
        </w:rPr>
        <w:t xml:space="preserve"> והרמב"ם בפט"ו מהלמ"א (ה"כ) לא חילק בין קלופות לאינן קלופות וראוי לחוש לדברי הירושלמי</w:t>
      </w:r>
      <w:r>
        <w:rPr>
          <w:rFonts w:cs="Arial" w:hint="cs"/>
          <w:rtl/>
        </w:rPr>
        <w:t>.</w:t>
      </w:r>
    </w:p>
  </w:footnote>
  <w:footnote w:id="1829">
    <w:p w14:paraId="062F81C7" w14:textId="77777777" w:rsidR="004C5A3C" w:rsidRDefault="004C5A3C" w:rsidP="002C39F4">
      <w:pPr>
        <w:pStyle w:val="a5"/>
        <w:rPr>
          <w:rtl/>
        </w:rPr>
      </w:pPr>
      <w:r>
        <w:rPr>
          <w:rStyle w:val="a7"/>
        </w:rPr>
        <w:footnoteRef/>
      </w:r>
      <w:r>
        <w:rPr>
          <w:rtl/>
        </w:rPr>
        <w:t xml:space="preserve"> </w:t>
      </w:r>
      <w:r>
        <w:rPr>
          <w:rFonts w:cs="Arial" w:hint="cs"/>
          <w:rtl/>
        </w:rPr>
        <w:t>וכ' הב"י- ו</w:t>
      </w:r>
      <w:r>
        <w:rPr>
          <w:rFonts w:cs="Arial"/>
          <w:rtl/>
        </w:rPr>
        <w:t>מש</w:t>
      </w:r>
      <w:r>
        <w:rPr>
          <w:rFonts w:cs="Arial" w:hint="cs"/>
          <w:rtl/>
        </w:rPr>
        <w:t>"כ</w:t>
      </w:r>
      <w:r>
        <w:rPr>
          <w:rFonts w:cs="Arial"/>
          <w:rtl/>
        </w:rPr>
        <w:t xml:space="preserve"> רבינו שצריך ששים ואחת לבטלה</w:t>
      </w:r>
      <w:r>
        <w:rPr>
          <w:rFonts w:cs="Arial" w:hint="cs"/>
          <w:rtl/>
        </w:rPr>
        <w:t>,</w:t>
      </w:r>
      <w:r>
        <w:rPr>
          <w:rFonts w:cs="Arial"/>
          <w:rtl/>
        </w:rPr>
        <w:t xml:space="preserve"> על כרחך לבטל הטעם קאמר</w:t>
      </w:r>
      <w:r>
        <w:rPr>
          <w:rFonts w:cs="Arial" w:hint="cs"/>
          <w:rtl/>
        </w:rPr>
        <w:t>,</w:t>
      </w:r>
      <w:r>
        <w:rPr>
          <w:rFonts w:cs="Arial"/>
          <w:rtl/>
        </w:rPr>
        <w:t xml:space="preserve"> דאילו לבטל הביצה עצמה הרי כתב דאפילו נתערבה באלף כולם אסורות</w:t>
      </w:r>
      <w:r>
        <w:rPr>
          <w:rFonts w:cs="Arial" w:hint="cs"/>
          <w:rtl/>
        </w:rPr>
        <w:t>,</w:t>
      </w:r>
      <w:r>
        <w:rPr>
          <w:rFonts w:cs="Arial"/>
          <w:rtl/>
        </w:rPr>
        <w:t xml:space="preserve"> ובביצת אפרוח מיהא משמע דלדברי הכל חשיבא בריה ואפילו באלף לא בטלה כמ"ש בסמוך</w:t>
      </w:r>
      <w:r>
        <w:rPr>
          <w:rFonts w:cs="Arial" w:hint="cs"/>
          <w:rtl/>
        </w:rPr>
        <w:t>,</w:t>
      </w:r>
      <w:r>
        <w:rPr>
          <w:rFonts w:cs="Arial"/>
          <w:rtl/>
        </w:rPr>
        <w:t xml:space="preserve"> וכ</w:t>
      </w:r>
      <w:r>
        <w:rPr>
          <w:rFonts w:cs="Arial" w:hint="cs"/>
          <w:rtl/>
        </w:rPr>
        <w:t>"כ</w:t>
      </w:r>
      <w:r>
        <w:rPr>
          <w:rFonts w:cs="Arial"/>
          <w:rtl/>
        </w:rPr>
        <w:t xml:space="preserve"> הרשב"א בחידושיו (צח. ד"ה איתמר) שלא באנו כאן לבטל הביצה עצמה אלא פליטתה דכולה שמעתין בהכי קא מיירי ובביצת אפרוח ואי נמי בטמאה קלופה וכדעת הירושלמי</w:t>
      </w:r>
      <w:r>
        <w:rPr>
          <w:rFonts w:hint="cs"/>
          <w:rtl/>
        </w:rPr>
        <w:t>.</w:t>
      </w:r>
    </w:p>
  </w:footnote>
  <w:footnote w:id="1830">
    <w:p w14:paraId="67926457" w14:textId="77777777" w:rsidR="004C5A3C" w:rsidRDefault="004C5A3C" w:rsidP="002C39F4">
      <w:pPr>
        <w:pStyle w:val="a5"/>
      </w:pPr>
      <w:r>
        <w:rPr>
          <w:rStyle w:val="a7"/>
        </w:rPr>
        <w:footnoteRef/>
      </w:r>
      <w:r>
        <w:rPr>
          <w:rtl/>
        </w:rPr>
        <w:t xml:space="preserve"> </w:t>
      </w:r>
      <w:r w:rsidRPr="007978A0">
        <w:rPr>
          <w:rFonts w:cs="Arial"/>
          <w:rtl/>
        </w:rPr>
        <w:t>דבירושלמי משמע דלא מחלק בהכי אלא דמחלק דבאינן קלופות א"צ ס' אלא סגי במ"ה או מ"ו משום דהקליפות מעלין האיסור אבל בקלופות צריך שיעור יותר וקאי אביצת אפרוח ע"ש ודוק</w:t>
      </w:r>
      <w:r>
        <w:rPr>
          <w:rFonts w:cs="Arial" w:hint="cs"/>
          <w:rtl/>
        </w:rPr>
        <w:t>, ש"ך (סי' פו סקי"ד).</w:t>
      </w:r>
    </w:p>
  </w:footnote>
  <w:footnote w:id="1831">
    <w:p w14:paraId="76204E85" w14:textId="77777777" w:rsidR="004C5A3C" w:rsidRDefault="004C5A3C" w:rsidP="002C39F4">
      <w:pPr>
        <w:pStyle w:val="a5"/>
        <w:rPr>
          <w:rtl/>
        </w:rPr>
      </w:pPr>
      <w:r>
        <w:rPr>
          <w:rStyle w:val="a7"/>
        </w:rPr>
        <w:footnoteRef/>
      </w:r>
      <w:r>
        <w:rPr>
          <w:rtl/>
        </w:rPr>
        <w:t xml:space="preserve"> </w:t>
      </w:r>
      <w:r w:rsidRPr="00061986">
        <w:rPr>
          <w:rFonts w:cs="Arial"/>
          <w:rtl/>
        </w:rPr>
        <w:t xml:space="preserve">רמב"ן </w:t>
      </w:r>
      <w:r w:rsidRPr="001A2545">
        <w:rPr>
          <w:rFonts w:cs="Arial"/>
          <w:sz w:val="16"/>
          <w:szCs w:val="16"/>
          <w:rtl/>
        </w:rPr>
        <w:t>(צז: ד"ה ולענין)</w:t>
      </w:r>
      <w:r>
        <w:rPr>
          <w:rFonts w:cs="Arial" w:hint="cs"/>
          <w:rtl/>
        </w:rPr>
        <w:t xml:space="preserve"> רשב"א</w:t>
      </w:r>
      <w:r w:rsidRPr="001A2545">
        <w:rPr>
          <w:rFonts w:cs="Arial"/>
          <w:rtl/>
        </w:rPr>
        <w:t xml:space="preserve"> </w:t>
      </w:r>
      <w:r w:rsidRPr="000307AD">
        <w:rPr>
          <w:rFonts w:cs="Arial"/>
          <w:sz w:val="16"/>
          <w:szCs w:val="16"/>
          <w:rtl/>
        </w:rPr>
        <w:t>(</w:t>
      </w:r>
      <w:r>
        <w:rPr>
          <w:rFonts w:cs="Arial" w:hint="cs"/>
          <w:sz w:val="16"/>
          <w:szCs w:val="16"/>
          <w:rtl/>
        </w:rPr>
        <w:t xml:space="preserve">בחידו' </w:t>
      </w:r>
      <w:r w:rsidRPr="000307AD">
        <w:rPr>
          <w:rFonts w:cs="Arial"/>
          <w:sz w:val="16"/>
          <w:szCs w:val="16"/>
          <w:rtl/>
        </w:rPr>
        <w:t xml:space="preserve">צז: סוד"ה א"ל) </w:t>
      </w:r>
      <w:r w:rsidRPr="00F22D42">
        <w:rPr>
          <w:rFonts w:cs="Arial"/>
          <w:rtl/>
        </w:rPr>
        <w:t xml:space="preserve">רא"ש </w:t>
      </w:r>
      <w:r w:rsidRPr="00ED6CAA">
        <w:rPr>
          <w:rFonts w:cs="Arial"/>
          <w:sz w:val="16"/>
          <w:szCs w:val="16"/>
          <w:rtl/>
        </w:rPr>
        <w:t>(סי' כח</w:t>
      </w:r>
      <w:r>
        <w:rPr>
          <w:rFonts w:cs="Arial" w:hint="cs"/>
          <w:sz w:val="16"/>
          <w:szCs w:val="16"/>
          <w:rtl/>
        </w:rPr>
        <w:t>)</w:t>
      </w:r>
      <w:r>
        <w:rPr>
          <w:rFonts w:cs="Arial" w:hint="cs"/>
          <w:rtl/>
        </w:rPr>
        <w:t xml:space="preserve"> ו</w:t>
      </w:r>
      <w:r w:rsidRPr="00F22D42">
        <w:rPr>
          <w:rFonts w:cs="Arial"/>
          <w:rtl/>
        </w:rPr>
        <w:t xml:space="preserve">ר"ן </w:t>
      </w:r>
      <w:r w:rsidRPr="00ED6CAA">
        <w:rPr>
          <w:rFonts w:cs="Arial"/>
          <w:sz w:val="16"/>
          <w:szCs w:val="16"/>
          <w:rtl/>
        </w:rPr>
        <w:t xml:space="preserve">(לה. </w:t>
      </w:r>
      <w:r>
        <w:rPr>
          <w:rFonts w:cs="Arial" w:hint="cs"/>
          <w:sz w:val="16"/>
          <w:szCs w:val="16"/>
          <w:rtl/>
        </w:rPr>
        <w:t>סו</w:t>
      </w:r>
      <w:r w:rsidRPr="00ED6CAA">
        <w:rPr>
          <w:rFonts w:cs="Arial"/>
          <w:sz w:val="16"/>
          <w:szCs w:val="16"/>
          <w:rtl/>
        </w:rPr>
        <w:t>ד"ה ו</w:t>
      </w:r>
      <w:r>
        <w:rPr>
          <w:rFonts w:cs="Arial" w:hint="cs"/>
          <w:sz w:val="16"/>
          <w:szCs w:val="16"/>
          <w:rtl/>
        </w:rPr>
        <w:t>כחל)</w:t>
      </w:r>
      <w:r>
        <w:rPr>
          <w:rFonts w:hint="cs"/>
          <w:rtl/>
        </w:rPr>
        <w:t>.</w:t>
      </w:r>
    </w:p>
  </w:footnote>
  <w:footnote w:id="1832">
    <w:p w14:paraId="50713A41" w14:textId="77777777" w:rsidR="004C5A3C" w:rsidRDefault="004C5A3C" w:rsidP="002C39F4">
      <w:pPr>
        <w:pStyle w:val="a5"/>
        <w:rPr>
          <w:rtl/>
        </w:rPr>
      </w:pPr>
      <w:r>
        <w:rPr>
          <w:rStyle w:val="a7"/>
        </w:rPr>
        <w:footnoteRef/>
      </w:r>
      <w:r>
        <w:rPr>
          <w:rtl/>
        </w:rPr>
        <w:t xml:space="preserve"> </w:t>
      </w:r>
      <w:r w:rsidRPr="00061986">
        <w:rPr>
          <w:rFonts w:cs="Arial"/>
          <w:rtl/>
        </w:rPr>
        <w:t>והיינו לומר שיש בה אפרוח שהוא בריה בפני עצמה ולפיכך כתב דביצת עוף טמא או של טרפה אינה צריכה ששים ואחת כמו שאבאר בסמוך</w:t>
      </w:r>
      <w:r>
        <w:rPr>
          <w:rFonts w:hint="cs"/>
          <w:rtl/>
        </w:rPr>
        <w:t xml:space="preserve">, ב"י. והביא עוד את דברי הרשב"א שכ' </w:t>
      </w:r>
      <w:r w:rsidRPr="00061986">
        <w:rPr>
          <w:rFonts w:cs="Arial"/>
          <w:rtl/>
        </w:rPr>
        <w:t xml:space="preserve">בחידושיו (שם) </w:t>
      </w:r>
      <w:r>
        <w:rPr>
          <w:rFonts w:hint="cs"/>
          <w:rtl/>
        </w:rPr>
        <w:t xml:space="preserve">על דברי הרמב"ם </w:t>
      </w:r>
      <w:r w:rsidRPr="00061986">
        <w:rPr>
          <w:rFonts w:cs="Arial"/>
          <w:rtl/>
        </w:rPr>
        <w:t>שאינו מחוור בעיניו כי לא באנו כאן לבטל את הביצה בעצמה אלא פליטתה דכולה שמעתין מיירי בהכי</w:t>
      </w:r>
      <w:r>
        <w:rPr>
          <w:rFonts w:hint="cs"/>
          <w:rtl/>
        </w:rPr>
        <w:t>, ע"כ. וכ' על זה הב"י</w:t>
      </w:r>
      <w:r>
        <w:rPr>
          <w:rFonts w:cs="Arial" w:hint="cs"/>
          <w:rtl/>
        </w:rPr>
        <w:t xml:space="preserve">- </w:t>
      </w:r>
      <w:r w:rsidRPr="00061986">
        <w:rPr>
          <w:rFonts w:cs="Arial"/>
          <w:rtl/>
        </w:rPr>
        <w:t>נראה לי דהא ודאי פשיטא שלא באנו לבטל הביצה מפני שהיא בריה אלא פליטתה ואפ"ה עשו בה היכר כדי שנדע שהיא משונה מפני שהיא בריה ולא נבוא לבטל אותה עצמה שכשנראה שינוי זה בביטול פליטתה נדע שהיא עצמה אינה מתבטלת כלל מפני שהיא בריה כנ"ל</w:t>
      </w:r>
      <w:r>
        <w:rPr>
          <w:rFonts w:cs="Arial" w:hint="cs"/>
          <w:rtl/>
        </w:rPr>
        <w:t>,</w:t>
      </w:r>
      <w:r w:rsidRPr="00061986">
        <w:rPr>
          <w:rFonts w:cs="Arial"/>
          <w:rtl/>
        </w:rPr>
        <w:t xml:space="preserve"> ויש נפקותא בין טעמו של הרמב"ם לטעמו של הרמב"ן דלטעמו של הרמב"ם לא שני לן בין נשלקה עם ביצים אחרים לנתבשלה עם תבשיל אחר ולטעמו של הרמב"ן לא אמרו אלא בנתבשלה עם ביצים אבל בנתבשלה עם תבשיל אחר אין צריך אלא ששים כשאר איסורים</w:t>
      </w:r>
      <w:r>
        <w:rPr>
          <w:rFonts w:cs="Arial" w:hint="cs"/>
          <w:sz w:val="16"/>
          <w:szCs w:val="16"/>
          <w:rtl/>
        </w:rPr>
        <w:t xml:space="preserve"> {וכ"כ הטור </w:t>
      </w:r>
      <w:r w:rsidRPr="007978A0">
        <w:rPr>
          <w:rFonts w:cs="Arial" w:hint="cs"/>
          <w:sz w:val="16"/>
          <w:szCs w:val="16"/>
          <w:rtl/>
        </w:rPr>
        <w:t>בסי' זה [סי' צח],</w:t>
      </w:r>
      <w:r w:rsidRPr="007978A0">
        <w:rPr>
          <w:rFonts w:cs="Arial" w:hint="cs"/>
          <w:color w:val="E36C0A" w:themeColor="accent6" w:themeShade="BF"/>
          <w:sz w:val="16"/>
          <w:szCs w:val="16"/>
          <w:rtl/>
        </w:rPr>
        <w:t xml:space="preserve"> (וכ"פ בשו"ע </w:t>
      </w:r>
      <w:r w:rsidRPr="007978A0">
        <w:rPr>
          <w:rFonts w:cs="Arial" w:hint="cs"/>
          <w:sz w:val="16"/>
          <w:szCs w:val="16"/>
          <w:rtl/>
        </w:rPr>
        <w:t>[בסי' פו סע' ה]</w:t>
      </w:r>
      <w:r w:rsidRPr="007978A0">
        <w:rPr>
          <w:rFonts w:cs="Arial" w:hint="cs"/>
          <w:color w:val="E36C0A" w:themeColor="accent6" w:themeShade="BF"/>
          <w:sz w:val="16"/>
          <w:szCs w:val="16"/>
          <w:rtl/>
        </w:rPr>
        <w:t>)</w:t>
      </w:r>
      <w:r w:rsidRPr="007978A0">
        <w:rPr>
          <w:rFonts w:cs="Arial" w:hint="cs"/>
          <w:sz w:val="16"/>
          <w:szCs w:val="16"/>
          <w:rtl/>
        </w:rPr>
        <w:t>},</w:t>
      </w:r>
      <w:r w:rsidRPr="00061986">
        <w:rPr>
          <w:rFonts w:cs="Arial"/>
          <w:rtl/>
        </w:rPr>
        <w:t xml:space="preserve"> ונראה דתו איכא בינייהו היכא שנטרפה ביצה האסורה עם ביצים אחרים לטעמא דהרמב"ם סגי בששים דכיון שנטרפה שוב אין לה תורת בריה ולטעמא דהרמב"ן גם בזה צריך ששים ואחת</w:t>
      </w:r>
      <w:r>
        <w:rPr>
          <w:rFonts w:cs="Arial" w:hint="cs"/>
          <w:rtl/>
        </w:rPr>
        <w:t>,</w:t>
      </w:r>
      <w:r w:rsidRPr="00061986">
        <w:rPr>
          <w:rFonts w:cs="Arial"/>
          <w:rtl/>
        </w:rPr>
        <w:t xml:space="preserve"> וכ</w:t>
      </w:r>
      <w:r>
        <w:rPr>
          <w:rFonts w:cs="Arial" w:hint="cs"/>
          <w:rtl/>
        </w:rPr>
        <w:t>"</w:t>
      </w:r>
      <w:r w:rsidRPr="00061986">
        <w:rPr>
          <w:rFonts w:cs="Arial"/>
          <w:rtl/>
        </w:rPr>
        <w:t>פ בתו</w:t>
      </w:r>
      <w:r>
        <w:rPr>
          <w:rFonts w:cs="Arial" w:hint="cs"/>
          <w:rtl/>
        </w:rPr>
        <w:t>ה"ב</w:t>
      </w:r>
      <w:r w:rsidRPr="00061986">
        <w:rPr>
          <w:rFonts w:cs="Arial"/>
          <w:rtl/>
        </w:rPr>
        <w:t xml:space="preserve"> בבית התערובות (קצר שם י:)</w:t>
      </w:r>
      <w:r>
        <w:rPr>
          <w:rFonts w:cs="Arial" w:hint="cs"/>
          <w:rtl/>
        </w:rPr>
        <w:t>.</w:t>
      </w:r>
      <w:r w:rsidRPr="007978A0">
        <w:rPr>
          <w:rFonts w:cs="Arial" w:hint="cs"/>
          <w:color w:val="E36C0A" w:themeColor="accent6" w:themeShade="BF"/>
          <w:rtl/>
        </w:rPr>
        <w:t xml:space="preserve"> </w:t>
      </w:r>
      <w:r w:rsidRPr="0019552B">
        <w:rPr>
          <w:rFonts w:cs="Arial" w:hint="cs"/>
          <w:color w:val="E36C0A" w:themeColor="accent6" w:themeShade="BF"/>
          <w:rtl/>
        </w:rPr>
        <w:t xml:space="preserve">(וכ"פ בשו"ע </w:t>
      </w:r>
      <w:r>
        <w:rPr>
          <w:rFonts w:cs="Arial" w:hint="cs"/>
          <w:sz w:val="16"/>
          <w:szCs w:val="16"/>
          <w:rtl/>
        </w:rPr>
        <w:t>[שם]</w:t>
      </w:r>
      <w:r w:rsidRPr="0019552B">
        <w:rPr>
          <w:rFonts w:cs="Arial" w:hint="cs"/>
          <w:color w:val="E36C0A" w:themeColor="accent6" w:themeShade="BF"/>
          <w:rtl/>
        </w:rPr>
        <w:t>)</w:t>
      </w:r>
      <w:r>
        <w:rPr>
          <w:rFonts w:hint="cs"/>
          <w:rtl/>
        </w:rPr>
        <w:t>. וכ' הש"ך (סי' פו סקט"ז) דנראה לו להחמיר כשני הטעמים.</w:t>
      </w:r>
    </w:p>
  </w:footnote>
  <w:footnote w:id="1833">
    <w:p w14:paraId="22D4A5DC" w14:textId="77777777" w:rsidR="004C5A3C" w:rsidRDefault="004C5A3C" w:rsidP="002C39F4">
      <w:pPr>
        <w:pStyle w:val="a5"/>
      </w:pPr>
      <w:r>
        <w:rPr>
          <w:rStyle w:val="a7"/>
        </w:rPr>
        <w:footnoteRef/>
      </w:r>
      <w:r>
        <w:rPr>
          <w:rtl/>
        </w:rPr>
        <w:t xml:space="preserve"> </w:t>
      </w:r>
      <w:r>
        <w:rPr>
          <w:rFonts w:cs="Arial" w:hint="cs"/>
          <w:rtl/>
        </w:rPr>
        <w:t>ד</w:t>
      </w:r>
      <w:r w:rsidRPr="007978A0">
        <w:rPr>
          <w:rFonts w:cs="Arial"/>
          <w:rtl/>
        </w:rPr>
        <w:t>חשיב כיש בו אפרוח</w:t>
      </w:r>
      <w:r>
        <w:rPr>
          <w:rFonts w:cs="Arial" w:hint="cs"/>
          <w:rtl/>
        </w:rPr>
        <w:t>,</w:t>
      </w:r>
      <w:r w:rsidRPr="007978A0">
        <w:rPr>
          <w:rFonts w:cs="Arial"/>
          <w:rtl/>
        </w:rPr>
        <w:t xml:space="preserve"> כ"כ הפוסקים</w:t>
      </w:r>
      <w:r>
        <w:rPr>
          <w:rFonts w:cs="Arial" w:hint="cs"/>
          <w:rtl/>
        </w:rPr>
        <w:t>,</w:t>
      </w:r>
      <w:r w:rsidRPr="007978A0">
        <w:rPr>
          <w:rFonts w:cs="Arial"/>
          <w:rtl/>
        </w:rPr>
        <w:t xml:space="preserve"> ודוקא שידוע שהדם הוא במקום האוסרו</w:t>
      </w:r>
      <w:r>
        <w:rPr>
          <w:rFonts w:cs="Arial" w:hint="cs"/>
          <w:rtl/>
        </w:rPr>
        <w:t>,</w:t>
      </w:r>
      <w:r w:rsidRPr="007978A0">
        <w:rPr>
          <w:rFonts w:cs="Arial"/>
          <w:rtl/>
        </w:rPr>
        <w:t xml:space="preserve"> אבל בספק </w:t>
      </w:r>
      <w:r>
        <w:rPr>
          <w:rFonts w:cs="Arial" w:hint="cs"/>
          <w:rtl/>
        </w:rPr>
        <w:t xml:space="preserve">- </w:t>
      </w:r>
      <w:r w:rsidRPr="007978A0">
        <w:rPr>
          <w:rFonts w:cs="Arial"/>
          <w:rtl/>
        </w:rPr>
        <w:t>התערובות מותר כדלעיל סי' סו וס"ד בהג"ה ועמ"ש שם</w:t>
      </w:r>
      <w:r>
        <w:rPr>
          <w:rFonts w:cs="Arial" w:hint="cs"/>
          <w:rtl/>
        </w:rPr>
        <w:t>, ש"ך (סי' פו סקי"ז).</w:t>
      </w:r>
    </w:p>
  </w:footnote>
  <w:footnote w:id="1834">
    <w:p w14:paraId="52EB9F05" w14:textId="77777777" w:rsidR="004C5A3C" w:rsidRDefault="004C5A3C" w:rsidP="002C39F4">
      <w:pPr>
        <w:pStyle w:val="a5"/>
        <w:rPr>
          <w:rtl/>
        </w:rPr>
      </w:pPr>
      <w:r>
        <w:rPr>
          <w:rStyle w:val="a7"/>
        </w:rPr>
        <w:footnoteRef/>
      </w:r>
      <w:r>
        <w:rPr>
          <w:rtl/>
        </w:rPr>
        <w:t xml:space="preserve"> </w:t>
      </w:r>
      <w:r>
        <w:rPr>
          <w:rFonts w:hint="cs"/>
          <w:rtl/>
        </w:rPr>
        <w:t xml:space="preserve">וכ' הדרכ"מ </w:t>
      </w:r>
      <w:r w:rsidRPr="004672D3">
        <w:rPr>
          <w:rFonts w:cs="Arial"/>
          <w:sz w:val="16"/>
          <w:szCs w:val="16"/>
          <w:rtl/>
        </w:rPr>
        <w:t>(</w:t>
      </w:r>
      <w:r w:rsidRPr="004672D3">
        <w:rPr>
          <w:rFonts w:cs="Arial" w:hint="cs"/>
          <w:sz w:val="16"/>
          <w:szCs w:val="16"/>
          <w:rtl/>
        </w:rPr>
        <w:t xml:space="preserve">אות </w:t>
      </w:r>
      <w:r w:rsidRPr="004672D3">
        <w:rPr>
          <w:rFonts w:cs="Arial"/>
          <w:sz w:val="16"/>
          <w:szCs w:val="16"/>
          <w:rtl/>
        </w:rPr>
        <w:t xml:space="preserve">ט) </w:t>
      </w:r>
      <w:r>
        <w:rPr>
          <w:rFonts w:cs="Arial" w:hint="cs"/>
          <w:rtl/>
        </w:rPr>
        <w:t>ד</w:t>
      </w:r>
      <w:r w:rsidRPr="00956320">
        <w:rPr>
          <w:rFonts w:cs="Arial"/>
          <w:rtl/>
        </w:rPr>
        <w:t xml:space="preserve">משמע דאין לחלק בין איסור לאיסור דהכל בטל </w:t>
      </w:r>
      <w:r>
        <w:rPr>
          <w:rFonts w:cs="Arial" w:hint="cs"/>
          <w:rtl/>
        </w:rPr>
        <w:t>בס'</w:t>
      </w:r>
      <w:r w:rsidRPr="00956320">
        <w:rPr>
          <w:rFonts w:cs="Arial"/>
          <w:rtl/>
        </w:rPr>
        <w:t xml:space="preserve"> חוץ מאלו שחילק בהן רבינו</w:t>
      </w:r>
      <w:r>
        <w:rPr>
          <w:rFonts w:cs="Arial" w:hint="cs"/>
          <w:rtl/>
        </w:rPr>
        <w:t>,</w:t>
      </w:r>
      <w:r w:rsidRPr="00956320">
        <w:rPr>
          <w:rFonts w:cs="Arial"/>
          <w:rtl/>
        </w:rPr>
        <w:t xml:space="preserve"> ואף בשר בחלב שנפל אח</w:t>
      </w:r>
      <w:r>
        <w:rPr>
          <w:rFonts w:cs="Arial" w:hint="cs"/>
          <w:rtl/>
        </w:rPr>
        <w:t>"</w:t>
      </w:r>
      <w:r w:rsidRPr="00956320">
        <w:rPr>
          <w:rFonts w:cs="Arial"/>
          <w:rtl/>
        </w:rPr>
        <w:t xml:space="preserve">כ לקדרה בטל </w:t>
      </w:r>
      <w:r>
        <w:rPr>
          <w:rFonts w:cs="Arial" w:hint="cs"/>
          <w:rtl/>
        </w:rPr>
        <w:t>בס'</w:t>
      </w:r>
      <w:r w:rsidRPr="00956320">
        <w:rPr>
          <w:rFonts w:cs="Arial"/>
          <w:rtl/>
        </w:rPr>
        <w:t xml:space="preserve"> כתשו</w:t>
      </w:r>
      <w:r>
        <w:rPr>
          <w:rFonts w:cs="Arial" w:hint="cs"/>
          <w:rtl/>
        </w:rPr>
        <w:t>'</w:t>
      </w:r>
      <w:r w:rsidRPr="00956320">
        <w:rPr>
          <w:rFonts w:cs="Arial"/>
          <w:rtl/>
        </w:rPr>
        <w:t xml:space="preserve"> רש"י </w:t>
      </w:r>
      <w:r w:rsidRPr="004672D3">
        <w:rPr>
          <w:rFonts w:cs="Arial"/>
          <w:sz w:val="16"/>
          <w:szCs w:val="16"/>
          <w:rtl/>
        </w:rPr>
        <w:t>(ספר האורה ח"ב סי' פב, ותשוב</w:t>
      </w:r>
      <w:r>
        <w:rPr>
          <w:rFonts w:cs="Arial" w:hint="cs"/>
          <w:sz w:val="16"/>
          <w:szCs w:val="16"/>
          <w:rtl/>
        </w:rPr>
        <w:t xml:space="preserve">ות </w:t>
      </w:r>
      <w:r w:rsidRPr="004672D3">
        <w:rPr>
          <w:rFonts w:cs="Arial"/>
          <w:sz w:val="16"/>
          <w:szCs w:val="16"/>
          <w:rtl/>
        </w:rPr>
        <w:t xml:space="preserve">רש"י סי' מו) </w:t>
      </w:r>
      <w:r w:rsidRPr="00956320">
        <w:rPr>
          <w:rFonts w:cs="Arial"/>
          <w:rtl/>
        </w:rPr>
        <w:t xml:space="preserve">שכתבו </w:t>
      </w:r>
      <w:r>
        <w:rPr>
          <w:rFonts w:cs="Arial" w:hint="cs"/>
          <w:rtl/>
        </w:rPr>
        <w:t>הגמ"ר</w:t>
      </w:r>
      <w:r w:rsidRPr="00956320">
        <w:rPr>
          <w:rFonts w:cs="Arial"/>
          <w:rtl/>
        </w:rPr>
        <w:t xml:space="preserve"> </w:t>
      </w:r>
      <w:r w:rsidRPr="004672D3">
        <w:rPr>
          <w:rFonts w:cs="Arial"/>
          <w:sz w:val="16"/>
          <w:szCs w:val="16"/>
          <w:rtl/>
        </w:rPr>
        <w:t xml:space="preserve">(חולין סי' תשנ) </w:t>
      </w:r>
      <w:r w:rsidRPr="00956320">
        <w:rPr>
          <w:rFonts w:cs="Arial"/>
          <w:rtl/>
        </w:rPr>
        <w:t>ו</w:t>
      </w:r>
      <w:r>
        <w:rPr>
          <w:rFonts w:cs="Arial" w:hint="cs"/>
          <w:rtl/>
        </w:rPr>
        <w:t>ה</w:t>
      </w:r>
      <w:r w:rsidRPr="00956320">
        <w:rPr>
          <w:rFonts w:cs="Arial"/>
          <w:rtl/>
        </w:rPr>
        <w:t xml:space="preserve">מרדכי </w:t>
      </w:r>
      <w:r w:rsidRPr="004672D3">
        <w:rPr>
          <w:rFonts w:cs="Arial"/>
          <w:sz w:val="16"/>
          <w:szCs w:val="16"/>
          <w:rtl/>
        </w:rPr>
        <w:t>(סי' תרצא)</w:t>
      </w:r>
      <w:r>
        <w:rPr>
          <w:rFonts w:cs="Arial" w:hint="cs"/>
          <w:rtl/>
        </w:rPr>
        <w:t>,</w:t>
      </w:r>
      <w:r w:rsidRPr="00956320">
        <w:rPr>
          <w:rFonts w:cs="Arial"/>
          <w:rtl/>
        </w:rPr>
        <w:t xml:space="preserve"> ודלא כמאן דאמר דאוסר במשהו לאחר שנעשה בשר בחלב</w:t>
      </w:r>
      <w:r>
        <w:rPr>
          <w:rFonts w:cs="Arial" w:hint="cs"/>
          <w:rtl/>
        </w:rPr>
        <w:t>,</w:t>
      </w:r>
      <w:r w:rsidRPr="00956320">
        <w:rPr>
          <w:rFonts w:cs="Arial"/>
          <w:rtl/>
        </w:rPr>
        <w:t xml:space="preserve"> וכ</w:t>
      </w:r>
      <w:r>
        <w:rPr>
          <w:rFonts w:cs="Arial" w:hint="cs"/>
          <w:rtl/>
        </w:rPr>
        <w:t>"פ</w:t>
      </w:r>
      <w:r w:rsidRPr="00956320">
        <w:rPr>
          <w:rFonts w:cs="Arial"/>
          <w:rtl/>
        </w:rPr>
        <w:t xml:space="preserve"> בארוך </w:t>
      </w:r>
      <w:r w:rsidRPr="004672D3">
        <w:rPr>
          <w:rFonts w:cs="Arial" w:hint="cs"/>
          <w:sz w:val="16"/>
          <w:szCs w:val="16"/>
          <w:rtl/>
        </w:rPr>
        <w:t>(</w:t>
      </w:r>
      <w:r w:rsidRPr="004672D3">
        <w:rPr>
          <w:rFonts w:cs="Arial"/>
          <w:sz w:val="16"/>
          <w:szCs w:val="16"/>
          <w:rtl/>
        </w:rPr>
        <w:t xml:space="preserve">כלל כג דין ה ודין יב) </w:t>
      </w:r>
      <w:r w:rsidRPr="00956320">
        <w:rPr>
          <w:rFonts w:cs="Arial"/>
          <w:rtl/>
        </w:rPr>
        <w:t>דאין לחלק ומשערין בששים. גם משמע מכאן דאין לחלק בין ציר לשאר איסורין והכל בטל בששים</w:t>
      </w:r>
      <w:r>
        <w:rPr>
          <w:rFonts w:cs="Arial" w:hint="cs"/>
          <w:rtl/>
        </w:rPr>
        <w:t>,</w:t>
      </w:r>
      <w:r w:rsidRPr="00956320">
        <w:rPr>
          <w:rFonts w:cs="Arial"/>
          <w:rtl/>
        </w:rPr>
        <w:t xml:space="preserve"> דלא כאו"ה </w:t>
      </w:r>
      <w:r>
        <w:rPr>
          <w:rFonts w:cs="Arial" w:hint="cs"/>
          <w:sz w:val="16"/>
          <w:szCs w:val="16"/>
          <w:rtl/>
        </w:rPr>
        <w:t>(</w:t>
      </w:r>
      <w:r w:rsidRPr="004672D3">
        <w:rPr>
          <w:rFonts w:cs="Arial"/>
          <w:sz w:val="16"/>
          <w:szCs w:val="16"/>
          <w:rtl/>
        </w:rPr>
        <w:t xml:space="preserve">שם דין ו) </w:t>
      </w:r>
      <w:r w:rsidRPr="00956320">
        <w:rPr>
          <w:rFonts w:cs="Arial"/>
          <w:rtl/>
        </w:rPr>
        <w:t>דפסק דציר נבלה וטרפה שהוא מדאו</w:t>
      </w:r>
      <w:r>
        <w:rPr>
          <w:rFonts w:cs="Arial" w:hint="cs"/>
          <w:rtl/>
        </w:rPr>
        <w:t>'</w:t>
      </w:r>
      <w:r w:rsidRPr="00956320">
        <w:rPr>
          <w:rFonts w:cs="Arial"/>
          <w:rtl/>
        </w:rPr>
        <w:t xml:space="preserve"> שנתערבה במינה דלא בטלה רק במאתים עכ"ל</w:t>
      </w:r>
      <w:r>
        <w:rPr>
          <w:rFonts w:cs="Arial" w:hint="cs"/>
          <w:rtl/>
        </w:rPr>
        <w:t>,</w:t>
      </w:r>
      <w:r w:rsidRPr="00956320">
        <w:rPr>
          <w:rFonts w:cs="Arial"/>
          <w:rtl/>
        </w:rPr>
        <w:t xml:space="preserve"> וכ</w:t>
      </w:r>
      <w:r>
        <w:rPr>
          <w:rFonts w:cs="Arial" w:hint="cs"/>
          <w:rtl/>
        </w:rPr>
        <w:t>"</w:t>
      </w:r>
      <w:r w:rsidRPr="00956320">
        <w:rPr>
          <w:rFonts w:cs="Arial"/>
          <w:rtl/>
        </w:rPr>
        <w:t xml:space="preserve">פ המרדכי </w:t>
      </w:r>
      <w:r w:rsidRPr="004672D3">
        <w:rPr>
          <w:rFonts w:cs="Arial"/>
          <w:sz w:val="16"/>
          <w:szCs w:val="16"/>
          <w:rtl/>
        </w:rPr>
        <w:t xml:space="preserve">(סי' תרעא) </w:t>
      </w:r>
      <w:r w:rsidRPr="00956320">
        <w:rPr>
          <w:rFonts w:cs="Arial"/>
          <w:rtl/>
        </w:rPr>
        <w:t>תשובת מוהר"ם דאין לחלק</w:t>
      </w:r>
      <w:r>
        <w:rPr>
          <w:rFonts w:cs="Arial" w:hint="cs"/>
          <w:rtl/>
        </w:rPr>
        <w:t>,</w:t>
      </w:r>
      <w:r w:rsidRPr="00956320">
        <w:rPr>
          <w:rFonts w:cs="Arial"/>
          <w:rtl/>
        </w:rPr>
        <w:t xml:space="preserve"> ודלא כהרמב"ם </w:t>
      </w:r>
      <w:r w:rsidRPr="004672D3">
        <w:rPr>
          <w:rFonts w:cs="Arial"/>
          <w:sz w:val="16"/>
          <w:szCs w:val="16"/>
          <w:rtl/>
        </w:rPr>
        <w:t xml:space="preserve">(מאכ"א פט"ו הל"ד) </w:t>
      </w:r>
      <w:r w:rsidRPr="00956320">
        <w:rPr>
          <w:rFonts w:cs="Arial"/>
          <w:rtl/>
        </w:rPr>
        <w:t>שכתב גבי דג טמא שכבשו עם דגים טהורים במאתים. וב</w:t>
      </w:r>
      <w:r>
        <w:rPr>
          <w:rFonts w:cs="Arial" w:hint="cs"/>
          <w:rtl/>
        </w:rPr>
        <w:t>הג</w:t>
      </w:r>
      <w:r w:rsidRPr="00956320">
        <w:rPr>
          <w:rFonts w:cs="Arial"/>
          <w:rtl/>
        </w:rPr>
        <w:t>ש</w:t>
      </w:r>
      <w:r>
        <w:rPr>
          <w:rFonts w:cs="Arial" w:hint="cs"/>
          <w:rtl/>
        </w:rPr>
        <w:t>ע</w:t>
      </w:r>
      <w:r w:rsidRPr="00956320">
        <w:rPr>
          <w:rFonts w:cs="Arial"/>
          <w:rtl/>
        </w:rPr>
        <w:t>"ד</w:t>
      </w:r>
      <w:r>
        <w:rPr>
          <w:rFonts w:cs="Arial" w:hint="cs"/>
          <w:rtl/>
        </w:rPr>
        <w:t xml:space="preserve"> </w:t>
      </w:r>
      <w:r w:rsidRPr="004672D3">
        <w:rPr>
          <w:rFonts w:cs="Arial"/>
          <w:sz w:val="16"/>
          <w:szCs w:val="16"/>
          <w:rtl/>
        </w:rPr>
        <w:t xml:space="preserve">(סי' כ אות ו ד"ה והרמב"ם) </w:t>
      </w:r>
      <w:r w:rsidRPr="00956320">
        <w:rPr>
          <w:rFonts w:cs="Arial"/>
          <w:rtl/>
        </w:rPr>
        <w:t>בשם מהרא"י ז"ל כתב דאף למאן דבעי מאתים היינו דוקא שכבשו דאז יוצא גוף הדג עם הציר אבל בשאר מיני ציר מודה עכ"ל</w:t>
      </w:r>
      <w:r>
        <w:rPr>
          <w:rFonts w:cs="Arial" w:hint="cs"/>
          <w:rtl/>
        </w:rPr>
        <w:t>,</w:t>
      </w:r>
      <w:r w:rsidRPr="00956320">
        <w:rPr>
          <w:rFonts w:cs="Arial"/>
          <w:rtl/>
        </w:rPr>
        <w:t xml:space="preserve"> וכסברא זו דברי הארוך דהואיל ויוצא גוף הדג בעי מאתים הואיל וגוף הדג אסור מדאו</w:t>
      </w:r>
      <w:r>
        <w:rPr>
          <w:rFonts w:cs="Arial" w:hint="cs"/>
          <w:rtl/>
        </w:rPr>
        <w:t>',</w:t>
      </w:r>
      <w:r w:rsidRPr="00956320">
        <w:rPr>
          <w:rFonts w:cs="Arial"/>
          <w:rtl/>
        </w:rPr>
        <w:t xml:space="preserve"> וה</w:t>
      </w:r>
      <w:r>
        <w:rPr>
          <w:rFonts w:cs="Arial" w:hint="cs"/>
          <w:rtl/>
        </w:rPr>
        <w:t>"ה</w:t>
      </w:r>
      <w:r w:rsidRPr="00956320">
        <w:rPr>
          <w:rFonts w:cs="Arial"/>
          <w:rtl/>
        </w:rPr>
        <w:t xml:space="preserve"> לציר נבלה וטרפה שהוא נמי דאו</w:t>
      </w:r>
      <w:r>
        <w:rPr>
          <w:rFonts w:cs="Arial" w:hint="cs"/>
          <w:rtl/>
        </w:rPr>
        <w:t>',</w:t>
      </w:r>
      <w:r w:rsidRPr="00956320">
        <w:rPr>
          <w:rFonts w:cs="Arial"/>
          <w:rtl/>
        </w:rPr>
        <w:t xml:space="preserve"> ומדברי רבינו משמע דאין לחלק</w:t>
      </w:r>
      <w:r>
        <w:rPr>
          <w:rFonts w:cs="Arial" w:hint="cs"/>
          <w:rtl/>
        </w:rPr>
        <w:t>,</w:t>
      </w:r>
      <w:r w:rsidRPr="00956320">
        <w:rPr>
          <w:rFonts w:cs="Arial"/>
          <w:rtl/>
        </w:rPr>
        <w:t xml:space="preserve"> וכדברי המרדכי</w:t>
      </w:r>
      <w:r>
        <w:rPr>
          <w:rFonts w:cs="Arial" w:hint="cs"/>
          <w:rtl/>
        </w:rPr>
        <w:t>.</w:t>
      </w:r>
    </w:p>
  </w:footnote>
  <w:footnote w:id="1835">
    <w:p w14:paraId="34406233" w14:textId="77777777" w:rsidR="004C5A3C" w:rsidRDefault="004C5A3C" w:rsidP="002C39F4">
      <w:pPr>
        <w:pStyle w:val="a5"/>
        <w:rPr>
          <w:rtl/>
        </w:rPr>
      </w:pPr>
      <w:r>
        <w:rPr>
          <w:rStyle w:val="a7"/>
        </w:rPr>
        <w:footnoteRef/>
      </w:r>
      <w:r>
        <w:rPr>
          <w:rtl/>
        </w:rPr>
        <w:t xml:space="preserve"> </w:t>
      </w:r>
      <w:r w:rsidRPr="004672D3">
        <w:rPr>
          <w:rFonts w:cs="Arial"/>
          <w:rtl/>
        </w:rPr>
        <w:t>פי' בין של תורה בין של דבריהם כ"כ הטור והרשב"א</w:t>
      </w:r>
      <w:r>
        <w:rPr>
          <w:rFonts w:cs="Arial" w:hint="cs"/>
          <w:rtl/>
        </w:rPr>
        <w:t>,</w:t>
      </w:r>
      <w:r w:rsidRPr="004672D3">
        <w:rPr>
          <w:rFonts w:cs="Arial"/>
          <w:rtl/>
        </w:rPr>
        <w:t xml:space="preserve"> דלא כהרמב"ם שסובר דאיסורים של דבריהם מתבטלים בחמשים ותשעה כמו כחל</w:t>
      </w:r>
      <w:r>
        <w:rPr>
          <w:rFonts w:cs="Arial" w:hint="cs"/>
          <w:rtl/>
        </w:rPr>
        <w:t>,</w:t>
      </w:r>
      <w:r w:rsidRPr="004672D3">
        <w:rPr>
          <w:rFonts w:cs="Arial"/>
          <w:rtl/>
        </w:rPr>
        <w:t xml:space="preserve"> וכתב הב"י שנראה דעת כל הפוסקים כהרשב"א</w:t>
      </w:r>
      <w:r>
        <w:rPr>
          <w:rFonts w:cs="Arial" w:hint="cs"/>
          <w:rtl/>
        </w:rPr>
        <w:t>,</w:t>
      </w:r>
      <w:r w:rsidRPr="004672D3">
        <w:rPr>
          <w:rFonts w:cs="Arial"/>
          <w:rtl/>
        </w:rPr>
        <w:t xml:space="preserve"> וכן פשוט בכמה דוכתי</w:t>
      </w:r>
      <w:r>
        <w:rPr>
          <w:rFonts w:hint="cs"/>
          <w:rtl/>
        </w:rPr>
        <w:t>, ש"ך (סקכ"ו).</w:t>
      </w:r>
    </w:p>
  </w:footnote>
  <w:footnote w:id="1836">
    <w:p w14:paraId="25042123" w14:textId="77777777" w:rsidR="004C5A3C" w:rsidRPr="00CE16B1" w:rsidRDefault="004C5A3C" w:rsidP="002C39F4">
      <w:pPr>
        <w:pStyle w:val="a5"/>
        <w:rPr>
          <w:rFonts w:cs="Arial"/>
        </w:rPr>
      </w:pPr>
      <w:r>
        <w:rPr>
          <w:rStyle w:val="a7"/>
        </w:rPr>
        <w:footnoteRef/>
      </w:r>
      <w:r>
        <w:rPr>
          <w:rtl/>
        </w:rPr>
        <w:t xml:space="preserve"> </w:t>
      </w:r>
      <w:r w:rsidRPr="00CE16B1">
        <w:rPr>
          <w:rFonts w:cs="Arial"/>
          <w:rtl/>
        </w:rPr>
        <w:t>ל' הטור מלבד חמץ בפסח ויי"נ וטבל וערלה שאין לנו עתה עסק בהן</w:t>
      </w:r>
      <w:r>
        <w:rPr>
          <w:rFonts w:cs="Arial" w:hint="cs"/>
          <w:rtl/>
        </w:rPr>
        <w:t>.</w:t>
      </w:r>
      <w:r w:rsidRPr="00CE16B1">
        <w:rPr>
          <w:rFonts w:cs="Arial"/>
          <w:rtl/>
        </w:rPr>
        <w:t xml:space="preserve"> ודאי דערלה נוהגת בזמן הזה אפי' בח</w:t>
      </w:r>
      <w:r>
        <w:rPr>
          <w:rFonts w:cs="Arial" w:hint="cs"/>
          <w:rtl/>
        </w:rPr>
        <w:t>ו</w:t>
      </w:r>
      <w:r w:rsidRPr="00CE16B1">
        <w:rPr>
          <w:rFonts w:cs="Arial"/>
          <w:rtl/>
        </w:rPr>
        <w:t>"ל כדלקמן סי' רצ"ד אלא ר"ל שאין לנו במקום הזה בהלכות תערובות עסק בהן</w:t>
      </w:r>
      <w:r>
        <w:rPr>
          <w:rFonts w:cs="Arial" w:hint="cs"/>
          <w:rtl/>
        </w:rPr>
        <w:t>,</w:t>
      </w:r>
      <w:r w:rsidRPr="00CE16B1">
        <w:rPr>
          <w:rFonts w:cs="Arial"/>
          <w:rtl/>
        </w:rPr>
        <w:t xml:space="preserve"> וכ</w:t>
      </w:r>
      <w:r>
        <w:rPr>
          <w:rFonts w:cs="Arial" w:hint="cs"/>
          <w:rtl/>
        </w:rPr>
        <w:t xml:space="preserve">ן </w:t>
      </w:r>
      <w:r w:rsidRPr="00CE16B1">
        <w:rPr>
          <w:rFonts w:cs="Arial"/>
          <w:rtl/>
        </w:rPr>
        <w:t>פ</w:t>
      </w:r>
      <w:r>
        <w:rPr>
          <w:rFonts w:cs="Arial" w:hint="cs"/>
          <w:rtl/>
        </w:rPr>
        <w:t>ירש</w:t>
      </w:r>
      <w:r w:rsidRPr="00CE16B1">
        <w:rPr>
          <w:rFonts w:cs="Arial"/>
          <w:rtl/>
        </w:rPr>
        <w:t xml:space="preserve"> הפרישה</w:t>
      </w:r>
      <w:r>
        <w:rPr>
          <w:rFonts w:cs="Arial" w:hint="cs"/>
          <w:rtl/>
        </w:rPr>
        <w:t>,</w:t>
      </w:r>
      <w:r w:rsidRPr="00CE16B1">
        <w:rPr>
          <w:rFonts w:cs="Arial"/>
          <w:rtl/>
        </w:rPr>
        <w:t xml:space="preserve"> דלא כהעט"ז שכ' חוץ מטבל וערלה שאין לנו עתה עסק בהן שאין נוהגין בינינו עכ"ל ולא דק</w:t>
      </w:r>
      <w:r>
        <w:rPr>
          <w:rFonts w:cs="Arial" w:hint="cs"/>
          <w:rtl/>
        </w:rPr>
        <w:t>,</w:t>
      </w:r>
      <w:r w:rsidRPr="00CE16B1">
        <w:rPr>
          <w:rFonts w:cs="Arial"/>
          <w:rtl/>
        </w:rPr>
        <w:t xml:space="preserve"> והא דהשמיט הרב ערלה אע</w:t>
      </w:r>
      <w:r>
        <w:rPr>
          <w:rFonts w:cs="Arial" w:hint="cs"/>
          <w:rtl/>
        </w:rPr>
        <w:t>"</w:t>
      </w:r>
      <w:r w:rsidRPr="00CE16B1">
        <w:rPr>
          <w:rFonts w:cs="Arial"/>
          <w:rtl/>
        </w:rPr>
        <w:t>ג דפשוט במשנה וכל הפוסקים וכן לקמן סי' רצד דשיעורא דערלה במין במינו במאתים אפשר דתנא ושייר</w:t>
      </w:r>
      <w:r>
        <w:rPr>
          <w:rFonts w:cs="Arial" w:hint="cs"/>
          <w:rtl/>
        </w:rPr>
        <w:t>,</w:t>
      </w:r>
      <w:r w:rsidRPr="00CE16B1">
        <w:rPr>
          <w:rFonts w:cs="Arial"/>
          <w:rtl/>
        </w:rPr>
        <w:t xml:space="preserve"> א"נ לא בא אלא לומ</w:t>
      </w:r>
      <w:r>
        <w:rPr>
          <w:rFonts w:cs="Arial" w:hint="cs"/>
          <w:rtl/>
        </w:rPr>
        <w:t>ר</w:t>
      </w:r>
      <w:r w:rsidRPr="00CE16B1">
        <w:rPr>
          <w:rFonts w:cs="Arial"/>
          <w:rtl/>
        </w:rPr>
        <w:t xml:space="preserve"> חוץ מחמץ בפסח ויי"נ ששיעורן במשהו</w:t>
      </w:r>
      <w:r>
        <w:rPr>
          <w:rFonts w:cs="Arial" w:hint="cs"/>
          <w:rtl/>
        </w:rPr>
        <w:t>, ש"ך (סקכ"ז)</w:t>
      </w:r>
      <w:r>
        <w:rPr>
          <w:rFonts w:hint="cs"/>
          <w:rtl/>
        </w:rPr>
        <w:t>.</w:t>
      </w:r>
    </w:p>
  </w:footnote>
  <w:footnote w:id="1837">
    <w:p w14:paraId="2A77F0B1" w14:textId="77777777" w:rsidR="004C5A3C" w:rsidRDefault="004C5A3C" w:rsidP="002C39F4">
      <w:pPr>
        <w:pStyle w:val="a5"/>
        <w:rPr>
          <w:rtl/>
        </w:rPr>
      </w:pPr>
      <w:r>
        <w:rPr>
          <w:rStyle w:val="a7"/>
        </w:rPr>
        <w:footnoteRef/>
      </w:r>
      <w:r>
        <w:rPr>
          <w:rtl/>
        </w:rPr>
        <w:t xml:space="preserve"> </w:t>
      </w:r>
      <w:r w:rsidRPr="00C80962">
        <w:rPr>
          <w:rFonts w:cs="Arial"/>
          <w:rtl/>
        </w:rPr>
        <w:t xml:space="preserve">כלומר דכל האסורים דעלמא לא עבידי לטעמא מן הסתם בטלים </w:t>
      </w:r>
      <w:r>
        <w:rPr>
          <w:rFonts w:cs="Arial" w:hint="cs"/>
          <w:rtl/>
        </w:rPr>
        <w:t>בס'</w:t>
      </w:r>
      <w:r w:rsidRPr="00C80962">
        <w:rPr>
          <w:rFonts w:cs="Arial"/>
          <w:rtl/>
        </w:rPr>
        <w:t xml:space="preserve"> לפי שאין נותנים טעם ביותר </w:t>
      </w:r>
      <w:r>
        <w:rPr>
          <w:rFonts w:cs="Arial" w:hint="cs"/>
          <w:rtl/>
        </w:rPr>
        <w:t>מס'</w:t>
      </w:r>
      <w:r w:rsidRPr="00C80962">
        <w:rPr>
          <w:rFonts w:cs="Arial"/>
          <w:rtl/>
        </w:rPr>
        <w:t xml:space="preserve"> אא"כ נרגש טעמו דאז פשיטא דאסור וכמ"ש הרא"ש והרשב"א והר"ן ומביאם ב"י בר"ס זה</w:t>
      </w:r>
      <w:r>
        <w:rPr>
          <w:rFonts w:cs="Arial" w:hint="cs"/>
          <w:rtl/>
        </w:rPr>
        <w:t>,</w:t>
      </w:r>
      <w:r w:rsidRPr="00C80962">
        <w:rPr>
          <w:rFonts w:cs="Arial"/>
          <w:rtl/>
        </w:rPr>
        <w:t xml:space="preserve"> וכן ש</w:t>
      </w:r>
      <w:r>
        <w:rPr>
          <w:rFonts w:cs="Arial" w:hint="cs"/>
          <w:rtl/>
        </w:rPr>
        <w:t>א"</w:t>
      </w:r>
      <w:r w:rsidRPr="00C80962">
        <w:rPr>
          <w:rFonts w:cs="Arial"/>
          <w:rtl/>
        </w:rPr>
        <w:t>פ והוא פשוט</w:t>
      </w:r>
      <w:r>
        <w:rPr>
          <w:rFonts w:cs="Arial" w:hint="cs"/>
          <w:rtl/>
        </w:rPr>
        <w:t>,</w:t>
      </w:r>
      <w:r w:rsidRPr="00C80962">
        <w:rPr>
          <w:rFonts w:cs="Arial"/>
          <w:rtl/>
        </w:rPr>
        <w:t xml:space="preserve"> ולכן כיון דאם מרגישין טעמו אינו בטל אפי' ביותר מששים הלכך מלח ותבלין כו' אינם בטלים אפי' באלף לפי שמן הסתם נותנין טעם אפי' באלף כיון שנעשים ליתן טעם דהא דמילתא דעביד לטעמא אינו בטל היינו נמי מטעם שמסתמא הוא נ"ט אפי' באלף וכדמוכח מדברי סה"ת שהביאו הטור וב"י ס"ס ק"ה ולפ"ז היכא דידוע בבירור שאינו נ"ט כגון שנפל קורט א' של מלח או תבלין ליורה גדולה מותר</w:t>
      </w:r>
      <w:r>
        <w:rPr>
          <w:rFonts w:cs="Arial" w:hint="cs"/>
          <w:rtl/>
        </w:rPr>
        <w:t>,</w:t>
      </w:r>
      <w:r w:rsidRPr="00C80962">
        <w:rPr>
          <w:rFonts w:cs="Arial"/>
          <w:rtl/>
        </w:rPr>
        <w:t xml:space="preserve"> וכ</w:t>
      </w:r>
      <w:r>
        <w:rPr>
          <w:rFonts w:cs="Arial" w:hint="cs"/>
          <w:rtl/>
        </w:rPr>
        <w:t>"מ</w:t>
      </w:r>
      <w:r w:rsidRPr="00C80962">
        <w:rPr>
          <w:rFonts w:cs="Arial"/>
          <w:rtl/>
        </w:rPr>
        <w:t xml:space="preserve"> להדיא בת"ח </w:t>
      </w:r>
      <w:r>
        <w:rPr>
          <w:rFonts w:cs="Arial" w:hint="cs"/>
          <w:rtl/>
        </w:rPr>
        <w:t>(</w:t>
      </w:r>
      <w:r w:rsidRPr="00C80962">
        <w:rPr>
          <w:rFonts w:cs="Arial"/>
          <w:rtl/>
        </w:rPr>
        <w:t>כלל פה ד</w:t>
      </w:r>
      <w:r>
        <w:rPr>
          <w:rFonts w:cs="Arial" w:hint="cs"/>
          <w:rtl/>
        </w:rPr>
        <w:t>"</w:t>
      </w:r>
      <w:r w:rsidRPr="00C80962">
        <w:rPr>
          <w:rFonts w:cs="Arial"/>
          <w:rtl/>
        </w:rPr>
        <w:t>כ</w:t>
      </w:r>
      <w:r>
        <w:rPr>
          <w:rFonts w:cs="Arial" w:hint="cs"/>
          <w:rtl/>
        </w:rPr>
        <w:t>),</w:t>
      </w:r>
      <w:r w:rsidRPr="00C80962">
        <w:rPr>
          <w:rFonts w:cs="Arial"/>
          <w:rtl/>
        </w:rPr>
        <w:t xml:space="preserve"> וכן מצאתי בתוס' בע</w:t>
      </w:r>
      <w:r>
        <w:rPr>
          <w:rFonts w:cs="Arial" w:hint="cs"/>
          <w:rtl/>
        </w:rPr>
        <w:t>"ז</w:t>
      </w:r>
      <w:r w:rsidRPr="00C80962">
        <w:rPr>
          <w:rFonts w:cs="Arial"/>
          <w:rtl/>
        </w:rPr>
        <w:t xml:space="preserve"> </w:t>
      </w:r>
      <w:r>
        <w:rPr>
          <w:rFonts w:cs="Arial" w:hint="cs"/>
          <w:rtl/>
        </w:rPr>
        <w:t>(</w:t>
      </w:r>
      <w:r w:rsidRPr="00C80962">
        <w:rPr>
          <w:rFonts w:cs="Arial"/>
          <w:rtl/>
        </w:rPr>
        <w:t>סו</w:t>
      </w:r>
      <w:r>
        <w:rPr>
          <w:rFonts w:cs="Arial" w:hint="cs"/>
          <w:rtl/>
        </w:rPr>
        <w:t>.</w:t>
      </w:r>
      <w:r w:rsidRPr="00C80962">
        <w:rPr>
          <w:rFonts w:cs="Arial"/>
          <w:rtl/>
        </w:rPr>
        <w:t>) סוף ד"ה תבלין בהדיא וז"ל והא דטעמא לא בטיל לא בעי למימר דלא בטיל כלל אלא דלא בטיל כשאר איסורים אבל בטל ודאי שפיר כי ידעינן ודאי דנתבטל הטעם כגון ביורה גדולה עכ"ל וכן הוא בפוסקים</w:t>
      </w:r>
      <w:r>
        <w:rPr>
          <w:rFonts w:hint="cs"/>
          <w:rtl/>
        </w:rPr>
        <w:t xml:space="preserve">, ש"ך </w:t>
      </w:r>
      <w:r w:rsidRPr="00C80962">
        <w:rPr>
          <w:rFonts w:hint="cs"/>
          <w:sz w:val="16"/>
          <w:szCs w:val="16"/>
          <w:rtl/>
        </w:rPr>
        <w:t>(סקכ"ח)</w:t>
      </w:r>
      <w:r>
        <w:rPr>
          <w:rFonts w:hint="cs"/>
          <w:rtl/>
        </w:rPr>
        <w:t>.</w:t>
      </w:r>
    </w:p>
  </w:footnote>
  <w:footnote w:id="1838">
    <w:p w14:paraId="565979E3" w14:textId="77777777" w:rsidR="004C5A3C" w:rsidRDefault="004C5A3C" w:rsidP="002C39F4">
      <w:pPr>
        <w:pStyle w:val="a5"/>
      </w:pPr>
      <w:r>
        <w:rPr>
          <w:rStyle w:val="a7"/>
        </w:rPr>
        <w:footnoteRef/>
      </w:r>
      <w:r>
        <w:rPr>
          <w:rtl/>
        </w:rPr>
        <w:t xml:space="preserve"> </w:t>
      </w:r>
      <w:r>
        <w:rPr>
          <w:rFonts w:hint="cs"/>
          <w:rtl/>
        </w:rPr>
        <w:t xml:space="preserve">מדרבנן, </w:t>
      </w:r>
      <w:r w:rsidRPr="00531F3D">
        <w:rPr>
          <w:rFonts w:cs="Arial"/>
          <w:rtl/>
        </w:rPr>
        <w:t xml:space="preserve">או"ה </w:t>
      </w:r>
      <w:r>
        <w:rPr>
          <w:rFonts w:cs="Arial" w:hint="cs"/>
          <w:rtl/>
        </w:rPr>
        <w:t>(</w:t>
      </w:r>
      <w:r w:rsidRPr="00531F3D">
        <w:rPr>
          <w:rFonts w:cs="Arial"/>
          <w:rtl/>
        </w:rPr>
        <w:t>כלל כה</w:t>
      </w:r>
      <w:r>
        <w:rPr>
          <w:rFonts w:cs="Arial" w:hint="cs"/>
          <w:rtl/>
        </w:rPr>
        <w:t xml:space="preserve"> ד"ז). הביאו הש"ך (סקכ"ט). והעיר עליו רעק"א דהר"ן (חולין לה: סוף דבור ראשון) כתב שהוא דאו'. </w:t>
      </w:r>
    </w:p>
  </w:footnote>
  <w:footnote w:id="1839">
    <w:p w14:paraId="41A5CD29" w14:textId="77777777" w:rsidR="004C5A3C" w:rsidRDefault="004C5A3C" w:rsidP="002C39F4">
      <w:pPr>
        <w:pStyle w:val="a5"/>
      </w:pPr>
      <w:r>
        <w:rPr>
          <w:rStyle w:val="a7"/>
        </w:rPr>
        <w:footnoteRef/>
      </w:r>
      <w:r>
        <w:rPr>
          <w:rtl/>
        </w:rPr>
        <w:t xml:space="preserve"> </w:t>
      </w:r>
      <w:r>
        <w:rPr>
          <w:rFonts w:cs="Arial" w:hint="cs"/>
          <w:rtl/>
        </w:rPr>
        <w:t>ו</w:t>
      </w:r>
      <w:r w:rsidRPr="00D04204">
        <w:rPr>
          <w:rFonts w:cs="Arial"/>
          <w:rtl/>
        </w:rPr>
        <w:t>אם אינו ידוע אם מרגישים טעמו או לא</w:t>
      </w:r>
      <w:r>
        <w:rPr>
          <w:rFonts w:cs="Arial" w:hint="cs"/>
          <w:rtl/>
        </w:rPr>
        <w:t>-</w:t>
      </w:r>
      <w:r w:rsidRPr="00D04204">
        <w:rPr>
          <w:rFonts w:cs="Arial"/>
          <w:rtl/>
        </w:rPr>
        <w:t xml:space="preserve"> מתיר בכה"ג בא</w:t>
      </w:r>
      <w:r>
        <w:rPr>
          <w:rFonts w:cs="Arial" w:hint="cs"/>
          <w:rtl/>
        </w:rPr>
        <w:t>ו</w:t>
      </w:r>
      <w:r w:rsidRPr="00D04204">
        <w:rPr>
          <w:rFonts w:cs="Arial"/>
          <w:rtl/>
        </w:rPr>
        <w:t>"ז גם עתה להאכילו ל</w:t>
      </w:r>
      <w:r>
        <w:rPr>
          <w:rFonts w:cs="Arial" w:hint="cs"/>
          <w:rtl/>
        </w:rPr>
        <w:t xml:space="preserve">גוי </w:t>
      </w:r>
      <w:r w:rsidRPr="00D04204">
        <w:rPr>
          <w:rFonts w:cs="Arial"/>
          <w:rtl/>
        </w:rPr>
        <w:t>מסל"ת</w:t>
      </w:r>
      <w:r>
        <w:rPr>
          <w:rFonts w:cs="Arial" w:hint="cs"/>
          <w:rtl/>
        </w:rPr>
        <w:t xml:space="preserve">, </w:t>
      </w:r>
      <w:r w:rsidRPr="00531F3D">
        <w:rPr>
          <w:rFonts w:cs="Arial"/>
          <w:rtl/>
        </w:rPr>
        <w:t xml:space="preserve">או"ה </w:t>
      </w:r>
      <w:r w:rsidRPr="00D04204">
        <w:rPr>
          <w:rFonts w:cs="Arial" w:hint="cs"/>
          <w:sz w:val="16"/>
          <w:szCs w:val="16"/>
          <w:rtl/>
        </w:rPr>
        <w:t>(</w:t>
      </w:r>
      <w:r>
        <w:rPr>
          <w:rFonts w:cs="Arial" w:hint="cs"/>
          <w:sz w:val="16"/>
          <w:szCs w:val="16"/>
          <w:rtl/>
        </w:rPr>
        <w:t>שם</w:t>
      </w:r>
      <w:r w:rsidRPr="00D04204">
        <w:rPr>
          <w:rFonts w:cs="Arial" w:hint="cs"/>
          <w:sz w:val="16"/>
          <w:szCs w:val="16"/>
          <w:rtl/>
        </w:rPr>
        <w:t xml:space="preserve"> דכ"ד)</w:t>
      </w:r>
      <w:r>
        <w:rPr>
          <w:rFonts w:cs="Arial" w:hint="cs"/>
          <w:rtl/>
        </w:rPr>
        <w:t>.</w:t>
      </w:r>
      <w:r w:rsidRPr="00D04204">
        <w:rPr>
          <w:rFonts w:cs="Arial" w:hint="cs"/>
          <w:rtl/>
        </w:rPr>
        <w:t xml:space="preserve"> </w:t>
      </w:r>
      <w:r>
        <w:rPr>
          <w:rFonts w:cs="Arial" w:hint="cs"/>
          <w:rtl/>
        </w:rPr>
        <w:t xml:space="preserve">הביאו הש"ך </w:t>
      </w:r>
      <w:r w:rsidRPr="00D04204">
        <w:rPr>
          <w:rFonts w:cs="Arial" w:hint="cs"/>
          <w:sz w:val="16"/>
          <w:szCs w:val="16"/>
          <w:rtl/>
        </w:rPr>
        <w:t>(</w:t>
      </w:r>
      <w:r>
        <w:rPr>
          <w:rFonts w:cs="Arial" w:hint="cs"/>
          <w:sz w:val="16"/>
          <w:szCs w:val="16"/>
          <w:rtl/>
        </w:rPr>
        <w:t>שם</w:t>
      </w:r>
      <w:r w:rsidRPr="00D04204">
        <w:rPr>
          <w:rFonts w:cs="Arial" w:hint="cs"/>
          <w:sz w:val="16"/>
          <w:szCs w:val="16"/>
          <w:rtl/>
        </w:rPr>
        <w:t>)</w:t>
      </w:r>
      <w:r>
        <w:rPr>
          <w:rFonts w:cs="Arial" w:hint="cs"/>
          <w:rtl/>
        </w:rPr>
        <w:t>.</w:t>
      </w:r>
    </w:p>
  </w:footnote>
  <w:footnote w:id="1840">
    <w:p w14:paraId="10BC739E" w14:textId="77777777" w:rsidR="004C5A3C" w:rsidRDefault="004C5A3C" w:rsidP="002C39F4">
      <w:pPr>
        <w:pStyle w:val="a5"/>
        <w:rPr>
          <w:rtl/>
        </w:rPr>
      </w:pPr>
      <w:r>
        <w:rPr>
          <w:rStyle w:val="a7"/>
        </w:rPr>
        <w:footnoteRef/>
      </w:r>
      <w:r>
        <w:rPr>
          <w:rtl/>
        </w:rPr>
        <w:t xml:space="preserve"> </w:t>
      </w:r>
      <w:r w:rsidRPr="007C6B9E">
        <w:rPr>
          <w:rFonts w:cs="Arial"/>
          <w:rtl/>
        </w:rPr>
        <w:t>כגון תבלין של ע</w:t>
      </w:r>
      <w:r>
        <w:rPr>
          <w:rFonts w:cs="Arial" w:hint="cs"/>
          <w:rtl/>
        </w:rPr>
        <w:t>"ז</w:t>
      </w:r>
      <w:r w:rsidRPr="007C6B9E">
        <w:rPr>
          <w:rFonts w:cs="Arial"/>
          <w:rtl/>
        </w:rPr>
        <w:t xml:space="preserve"> ושל ערלה וכיוצא בו</w:t>
      </w:r>
      <w:r>
        <w:rPr>
          <w:rFonts w:cs="Arial" w:hint="cs"/>
          <w:rtl/>
        </w:rPr>
        <w:t>,</w:t>
      </w:r>
      <w:r w:rsidRPr="007C6B9E">
        <w:rPr>
          <w:rFonts w:cs="Arial"/>
          <w:rtl/>
        </w:rPr>
        <w:t xml:space="preserve"> לאפוקי בלועים מאיסור וכדלקמן ס"ס ק"ה</w:t>
      </w:r>
      <w:r>
        <w:rPr>
          <w:rFonts w:cs="Arial" w:hint="cs"/>
          <w:rtl/>
        </w:rPr>
        <w:t>,</w:t>
      </w:r>
      <w:r w:rsidRPr="007C6B9E">
        <w:rPr>
          <w:rFonts w:cs="Arial"/>
          <w:rtl/>
        </w:rPr>
        <w:t xml:space="preserve"> </w:t>
      </w:r>
      <w:r>
        <w:rPr>
          <w:rFonts w:cs="Arial" w:hint="cs"/>
          <w:rtl/>
        </w:rPr>
        <w:t>ו</w:t>
      </w:r>
      <w:r w:rsidRPr="007C6B9E">
        <w:rPr>
          <w:rFonts w:cs="Arial"/>
          <w:rtl/>
        </w:rPr>
        <w:t>אפי' אינם אסורים אלא מדרבנן אינם בטלים</w:t>
      </w:r>
      <w:r>
        <w:rPr>
          <w:rFonts w:cs="Arial" w:hint="cs"/>
          <w:rtl/>
        </w:rPr>
        <w:t>,</w:t>
      </w:r>
      <w:r w:rsidRPr="007C6B9E">
        <w:rPr>
          <w:rFonts w:cs="Arial"/>
          <w:rtl/>
        </w:rPr>
        <w:t xml:space="preserve"> כן הוכיח הב"י לקמן ר"ס קי"ב מהש"ס</w:t>
      </w:r>
      <w:r>
        <w:rPr>
          <w:rFonts w:cs="Arial" w:hint="cs"/>
          <w:rtl/>
        </w:rPr>
        <w:t>,</w:t>
      </w:r>
      <w:r w:rsidRPr="007C6B9E">
        <w:rPr>
          <w:rFonts w:cs="Arial"/>
          <w:rtl/>
        </w:rPr>
        <w:t xml:space="preserve"> וכ</w:t>
      </w:r>
      <w:r>
        <w:rPr>
          <w:rFonts w:cs="Arial" w:hint="cs"/>
          <w:rtl/>
        </w:rPr>
        <w:t>"מ</w:t>
      </w:r>
      <w:r w:rsidRPr="007C6B9E">
        <w:rPr>
          <w:rFonts w:cs="Arial"/>
          <w:rtl/>
        </w:rPr>
        <w:t xml:space="preserve"> מתשו</w:t>
      </w:r>
      <w:r>
        <w:rPr>
          <w:rFonts w:cs="Arial" w:hint="cs"/>
          <w:rtl/>
        </w:rPr>
        <w:t>'</w:t>
      </w:r>
      <w:r w:rsidRPr="007C6B9E">
        <w:rPr>
          <w:rFonts w:cs="Arial"/>
          <w:rtl/>
        </w:rPr>
        <w:t xml:space="preserve"> הרשב"א שהביא ב"י ס"ס קלד ומדברי האו"ה והרב לקמן סי' קי"ד ס"ו שכ</w:t>
      </w:r>
      <w:r>
        <w:rPr>
          <w:rFonts w:cs="Arial" w:hint="cs"/>
          <w:rtl/>
        </w:rPr>
        <w:t>"</w:t>
      </w:r>
      <w:r w:rsidRPr="007C6B9E">
        <w:rPr>
          <w:rFonts w:cs="Arial"/>
          <w:rtl/>
        </w:rPr>
        <w:t>כ גבי סתם יינם דאינו אלא מדרבנן</w:t>
      </w:r>
      <w:r>
        <w:rPr>
          <w:rFonts w:cs="Arial" w:hint="cs"/>
          <w:rtl/>
        </w:rPr>
        <w:t>,</w:t>
      </w:r>
      <w:r w:rsidRPr="007C6B9E">
        <w:rPr>
          <w:rFonts w:cs="Arial"/>
          <w:rtl/>
        </w:rPr>
        <w:t xml:space="preserve"> וכ</w:t>
      </w:r>
      <w:r>
        <w:rPr>
          <w:rFonts w:cs="Arial" w:hint="cs"/>
          <w:rtl/>
        </w:rPr>
        <w:t>"מ</w:t>
      </w:r>
      <w:r w:rsidRPr="007C6B9E">
        <w:rPr>
          <w:rFonts w:cs="Arial"/>
          <w:rtl/>
        </w:rPr>
        <w:t xml:space="preserve"> מדברי הפוסקים בכמה דוכתי</w:t>
      </w:r>
      <w:r>
        <w:rPr>
          <w:rFonts w:cs="Arial" w:hint="cs"/>
          <w:rtl/>
        </w:rPr>
        <w:t>, ש"ך</w:t>
      </w:r>
      <w:r w:rsidRPr="007C6B9E">
        <w:rPr>
          <w:rFonts w:cs="Arial" w:hint="cs"/>
          <w:sz w:val="16"/>
          <w:szCs w:val="16"/>
          <w:rtl/>
        </w:rPr>
        <w:t xml:space="preserve"> (סקל"א</w:t>
      </w:r>
      <w:r>
        <w:rPr>
          <w:rFonts w:cs="Arial" w:hint="cs"/>
          <w:sz w:val="16"/>
          <w:szCs w:val="16"/>
          <w:rtl/>
        </w:rPr>
        <w:t>-לב</w:t>
      </w:r>
      <w:r w:rsidRPr="007C6B9E">
        <w:rPr>
          <w:rFonts w:cs="Arial" w:hint="cs"/>
          <w:sz w:val="16"/>
          <w:szCs w:val="16"/>
          <w:rtl/>
        </w:rPr>
        <w:t>)</w:t>
      </w:r>
      <w:r>
        <w:rPr>
          <w:rFonts w:cs="Arial" w:hint="cs"/>
          <w:rtl/>
        </w:rPr>
        <w:t>.</w:t>
      </w:r>
    </w:p>
  </w:footnote>
  <w:footnote w:id="1841">
    <w:p w14:paraId="28AC2015" w14:textId="77777777" w:rsidR="004C5A3C" w:rsidRDefault="004C5A3C" w:rsidP="002C39F4">
      <w:pPr>
        <w:pStyle w:val="a5"/>
        <w:rPr>
          <w:rtl/>
        </w:rPr>
      </w:pPr>
      <w:r>
        <w:rPr>
          <w:rStyle w:val="a7"/>
        </w:rPr>
        <w:footnoteRef/>
      </w:r>
      <w:r>
        <w:rPr>
          <w:rtl/>
        </w:rPr>
        <w:t xml:space="preserve"> </w:t>
      </w:r>
      <w:r w:rsidRPr="00D90509">
        <w:rPr>
          <w:rFonts w:cs="Arial"/>
          <w:rtl/>
        </w:rPr>
        <w:t xml:space="preserve">ראב"ד </w:t>
      </w:r>
      <w:r w:rsidRPr="00D90509">
        <w:rPr>
          <w:rFonts w:cs="Arial"/>
          <w:sz w:val="16"/>
          <w:szCs w:val="16"/>
          <w:rtl/>
        </w:rPr>
        <w:t>(</w:t>
      </w:r>
      <w:r w:rsidRPr="00D90509">
        <w:rPr>
          <w:rFonts w:cs="Arial" w:hint="cs"/>
          <w:sz w:val="16"/>
          <w:szCs w:val="16"/>
          <w:rtl/>
        </w:rPr>
        <w:t xml:space="preserve">הביאו הרשב"א </w:t>
      </w:r>
      <w:r w:rsidRPr="00D90509">
        <w:rPr>
          <w:rFonts w:cs="Arial"/>
          <w:sz w:val="16"/>
          <w:szCs w:val="16"/>
          <w:rtl/>
        </w:rPr>
        <w:t>בתש</w:t>
      </w:r>
      <w:r w:rsidRPr="00D90509">
        <w:rPr>
          <w:rFonts w:cs="Arial" w:hint="cs"/>
          <w:sz w:val="16"/>
          <w:szCs w:val="16"/>
          <w:rtl/>
        </w:rPr>
        <w:t>ו'</w:t>
      </w:r>
      <w:r w:rsidRPr="00D90509">
        <w:rPr>
          <w:rFonts w:cs="Arial"/>
          <w:sz w:val="16"/>
          <w:szCs w:val="16"/>
          <w:rtl/>
        </w:rPr>
        <w:t xml:space="preserve"> ח"א סי</w:t>
      </w:r>
      <w:r w:rsidRPr="00D90509">
        <w:rPr>
          <w:rFonts w:cs="Arial" w:hint="cs"/>
          <w:sz w:val="16"/>
          <w:szCs w:val="16"/>
          <w:rtl/>
        </w:rPr>
        <w:t>'</w:t>
      </w:r>
      <w:r w:rsidRPr="00D90509">
        <w:rPr>
          <w:rFonts w:cs="Arial"/>
          <w:sz w:val="16"/>
          <w:szCs w:val="16"/>
          <w:rtl/>
        </w:rPr>
        <w:t xml:space="preserve"> רסב)</w:t>
      </w:r>
      <w:r>
        <w:rPr>
          <w:rFonts w:cs="Arial" w:hint="cs"/>
          <w:rtl/>
        </w:rPr>
        <w:t xml:space="preserve"> ורא"ש </w:t>
      </w:r>
      <w:r w:rsidRPr="0008348A">
        <w:rPr>
          <w:rFonts w:cs="Arial"/>
          <w:sz w:val="16"/>
          <w:szCs w:val="16"/>
          <w:rtl/>
        </w:rPr>
        <w:t>(כלל כ סי</w:t>
      </w:r>
      <w:r w:rsidRPr="0008348A">
        <w:rPr>
          <w:rFonts w:cs="Arial" w:hint="cs"/>
          <w:sz w:val="16"/>
          <w:szCs w:val="16"/>
          <w:rtl/>
        </w:rPr>
        <w:t>'</w:t>
      </w:r>
      <w:r w:rsidRPr="0008348A">
        <w:rPr>
          <w:rFonts w:cs="Arial"/>
          <w:sz w:val="16"/>
          <w:szCs w:val="16"/>
          <w:rtl/>
        </w:rPr>
        <w:t xml:space="preserve"> </w:t>
      </w:r>
      <w:r w:rsidRPr="0008348A">
        <w:rPr>
          <w:rFonts w:cs="Arial" w:hint="cs"/>
          <w:sz w:val="16"/>
          <w:szCs w:val="16"/>
          <w:rtl/>
        </w:rPr>
        <w:t>ב</w:t>
      </w:r>
      <w:r w:rsidRPr="0008348A">
        <w:rPr>
          <w:rFonts w:cs="Arial"/>
          <w:sz w:val="16"/>
          <w:szCs w:val="16"/>
          <w:rtl/>
        </w:rPr>
        <w:t>)</w:t>
      </w:r>
      <w:r>
        <w:rPr>
          <w:rFonts w:hint="cs"/>
          <w:rtl/>
        </w:rPr>
        <w:t>.</w:t>
      </w:r>
    </w:p>
  </w:footnote>
  <w:footnote w:id="1842">
    <w:p w14:paraId="6E579B7F" w14:textId="77777777" w:rsidR="004C5A3C" w:rsidRPr="00D90509" w:rsidRDefault="004C5A3C" w:rsidP="002C39F4">
      <w:pPr>
        <w:pStyle w:val="a5"/>
      </w:pPr>
      <w:r w:rsidRPr="00D90509">
        <w:rPr>
          <w:rStyle w:val="a7"/>
        </w:rPr>
        <w:footnoteRef/>
      </w:r>
      <w:r w:rsidRPr="00D90509">
        <w:rPr>
          <w:rtl/>
        </w:rPr>
        <w:t xml:space="preserve"> </w:t>
      </w:r>
      <w:r w:rsidRPr="00D90509">
        <w:rPr>
          <w:rFonts w:cs="Arial"/>
          <w:rtl/>
        </w:rPr>
        <w:t xml:space="preserve">וממקומות אלו </w:t>
      </w:r>
      <w:r>
        <w:rPr>
          <w:rFonts w:cs="Arial" w:hint="cs"/>
          <w:sz w:val="16"/>
          <w:szCs w:val="16"/>
          <w:rtl/>
        </w:rPr>
        <w:t xml:space="preserve">{משנה דערלה וגמ' בזבחים} </w:t>
      </w:r>
      <w:r w:rsidRPr="00D90509">
        <w:rPr>
          <w:rFonts w:cs="Arial"/>
          <w:rtl/>
        </w:rPr>
        <w:t>הביא הרא"ש ראיה בתשו</w:t>
      </w:r>
      <w:r>
        <w:rPr>
          <w:rFonts w:cs="Arial" w:hint="cs"/>
          <w:rtl/>
        </w:rPr>
        <w:t>'</w:t>
      </w:r>
      <w:r w:rsidRPr="00D90509">
        <w:rPr>
          <w:rFonts w:cs="Arial"/>
          <w:rtl/>
        </w:rPr>
        <w:t xml:space="preserve"> </w:t>
      </w:r>
      <w:r w:rsidRPr="00D90509">
        <w:rPr>
          <w:rFonts w:cs="Arial"/>
          <w:sz w:val="16"/>
          <w:szCs w:val="16"/>
          <w:rtl/>
        </w:rPr>
        <w:t>(כלל כ סי</w:t>
      </w:r>
      <w:r w:rsidRPr="00D90509">
        <w:rPr>
          <w:rFonts w:cs="Arial" w:hint="cs"/>
          <w:sz w:val="16"/>
          <w:szCs w:val="16"/>
          <w:rtl/>
        </w:rPr>
        <w:t>'</w:t>
      </w:r>
      <w:r w:rsidRPr="00D90509">
        <w:rPr>
          <w:rFonts w:cs="Arial"/>
          <w:sz w:val="16"/>
          <w:szCs w:val="16"/>
          <w:rtl/>
        </w:rPr>
        <w:t xml:space="preserve"> </w:t>
      </w:r>
      <w:r w:rsidRPr="00D90509">
        <w:rPr>
          <w:rFonts w:cs="Arial" w:hint="cs"/>
          <w:sz w:val="16"/>
          <w:szCs w:val="16"/>
          <w:rtl/>
        </w:rPr>
        <w:t>ב</w:t>
      </w:r>
      <w:r w:rsidRPr="00D90509">
        <w:rPr>
          <w:rFonts w:cs="Arial"/>
          <w:sz w:val="16"/>
          <w:szCs w:val="16"/>
          <w:rtl/>
        </w:rPr>
        <w:t xml:space="preserve">) </w:t>
      </w:r>
      <w:r w:rsidRPr="00D90509">
        <w:rPr>
          <w:rFonts w:cs="Arial"/>
          <w:rtl/>
        </w:rPr>
        <w:t>על עשרים ותשעה זיתים של היתר שנפל בהם כזית של חלב ובקדרה אחרת היו שלשים של היתר ונפל לתוכן זית של דם ונתערבו יחד אלו שתי תערובות סברא הוא דכל איסור בטל כשאינו יכול ליתן טעם בהיתר</w:t>
      </w:r>
      <w:r w:rsidRPr="00D90509">
        <w:rPr>
          <w:rFonts w:cs="Arial" w:hint="cs"/>
          <w:rtl/>
        </w:rPr>
        <w:t>,</w:t>
      </w:r>
      <w:r w:rsidRPr="00D90509">
        <w:rPr>
          <w:rFonts w:cs="Arial"/>
          <w:rtl/>
        </w:rPr>
        <w:t xml:space="preserve"> וטעם דם וחלב אינו שוה הרי נתבטל טעם החלב בששים וטעם הדם בששים</w:t>
      </w:r>
      <w:r w:rsidRPr="00D90509">
        <w:rPr>
          <w:rFonts w:cs="Arial" w:hint="cs"/>
          <w:rtl/>
        </w:rPr>
        <w:t>,</w:t>
      </w:r>
      <w:r w:rsidRPr="00D90509">
        <w:rPr>
          <w:rFonts w:cs="Arial"/>
          <w:rtl/>
        </w:rPr>
        <w:t xml:space="preserve"> דמה לי איסור המבטל איסור ומה לי היתר המבטל איסור רק שיתבטל טעם האיסור ולא יהא לו עוד כח ליתן טעם בהיתר</w:t>
      </w:r>
      <w:r>
        <w:rPr>
          <w:rFonts w:cs="Arial" w:hint="cs"/>
          <w:rtl/>
        </w:rPr>
        <w:t>.</w:t>
      </w:r>
      <w:r>
        <w:rPr>
          <w:rFonts w:hint="cs"/>
          <w:rtl/>
        </w:rPr>
        <w:t xml:space="preserve"> עכ"ד. והביא דבריו הטור, והוסיף דה"ה</w:t>
      </w:r>
      <w:r w:rsidRPr="00A01037">
        <w:rPr>
          <w:rFonts w:cs="Arial"/>
          <w:rtl/>
        </w:rPr>
        <w:t xml:space="preserve"> </w:t>
      </w:r>
      <w:r>
        <w:rPr>
          <w:rFonts w:cs="Arial" w:hint="cs"/>
          <w:rtl/>
        </w:rPr>
        <w:t>ב</w:t>
      </w:r>
      <w:r w:rsidRPr="00A01037">
        <w:rPr>
          <w:rFonts w:cs="Arial"/>
          <w:rtl/>
        </w:rPr>
        <w:t>קדרה שיש בה נ"ט זיתים של היתר ונפלו בה ב' זיתים א' של דם ואחד של חלב כל אחד מצטרף עם הנ"ט של היתר לבטל חברו</w:t>
      </w:r>
      <w:r>
        <w:rPr>
          <w:rFonts w:cs="Arial" w:hint="cs"/>
          <w:rtl/>
        </w:rPr>
        <w:t>, דכל ש</w:t>
      </w:r>
      <w:r w:rsidRPr="00A01037">
        <w:rPr>
          <w:rFonts w:cs="Arial"/>
          <w:rtl/>
        </w:rPr>
        <w:t>יש ס' כנגד האיסור מבטלין אותו אפי' אין הס' כולו היתר</w:t>
      </w:r>
      <w:r>
        <w:rPr>
          <w:rFonts w:cs="Arial" w:hint="cs"/>
          <w:rtl/>
        </w:rPr>
        <w:t>, עכ"ד.</w:t>
      </w:r>
      <w:r w:rsidRPr="007C1313">
        <w:rPr>
          <w:rFonts w:cs="Arial" w:hint="cs"/>
          <w:color w:val="E36C0A" w:themeColor="accent6" w:themeShade="BF"/>
          <w:rtl/>
        </w:rPr>
        <w:t xml:space="preserve"> </w:t>
      </w:r>
      <w:r>
        <w:rPr>
          <w:rFonts w:cs="Arial" w:hint="cs"/>
          <w:color w:val="E36C0A" w:themeColor="accent6" w:themeShade="BF"/>
          <w:rtl/>
        </w:rPr>
        <w:t>(</w:t>
      </w:r>
      <w:r w:rsidRPr="007C1313">
        <w:rPr>
          <w:rFonts w:cs="Arial" w:hint="cs"/>
          <w:color w:val="E36C0A" w:themeColor="accent6" w:themeShade="BF"/>
          <w:rtl/>
        </w:rPr>
        <w:t>וכ"פ בשו"ע)</w:t>
      </w:r>
    </w:p>
  </w:footnote>
  <w:footnote w:id="1843">
    <w:p w14:paraId="31F5371F" w14:textId="77777777" w:rsidR="004C5A3C" w:rsidRDefault="004C5A3C" w:rsidP="002C39F4">
      <w:pPr>
        <w:pStyle w:val="a5"/>
        <w:rPr>
          <w:rtl/>
        </w:rPr>
      </w:pPr>
      <w:r>
        <w:rPr>
          <w:rStyle w:val="a7"/>
        </w:rPr>
        <w:footnoteRef/>
      </w:r>
      <w:r>
        <w:rPr>
          <w:rtl/>
        </w:rPr>
        <w:t xml:space="preserve"> </w:t>
      </w:r>
      <w:r>
        <w:rPr>
          <w:rFonts w:cs="Arial" w:hint="cs"/>
          <w:rtl/>
        </w:rPr>
        <w:t>וכ' הרשב"א ד</w:t>
      </w:r>
      <w:r w:rsidRPr="00D90509">
        <w:rPr>
          <w:rFonts w:cs="Arial"/>
          <w:rtl/>
        </w:rPr>
        <w:t>יש ל</w:t>
      </w:r>
      <w:r>
        <w:rPr>
          <w:rFonts w:cs="Arial" w:hint="cs"/>
          <w:rtl/>
        </w:rPr>
        <w:t>רבותי</w:t>
      </w:r>
      <w:r w:rsidRPr="00D90509">
        <w:rPr>
          <w:rFonts w:cs="Arial"/>
          <w:rtl/>
        </w:rPr>
        <w:t xml:space="preserve">ו ראיה מהגמרא דבני מערבא. </w:t>
      </w:r>
      <w:r>
        <w:rPr>
          <w:rFonts w:cs="Arial" w:hint="cs"/>
          <w:rtl/>
        </w:rPr>
        <w:t>וכ' הב"י ד</w:t>
      </w:r>
      <w:r w:rsidRPr="00D90509">
        <w:rPr>
          <w:rFonts w:cs="Arial"/>
          <w:rtl/>
        </w:rPr>
        <w:t>בסוף סי</w:t>
      </w:r>
      <w:r>
        <w:rPr>
          <w:rFonts w:cs="Arial" w:hint="cs"/>
          <w:rtl/>
        </w:rPr>
        <w:t>'</w:t>
      </w:r>
      <w:r w:rsidRPr="00D90509">
        <w:rPr>
          <w:rFonts w:cs="Arial"/>
          <w:rtl/>
        </w:rPr>
        <w:t xml:space="preserve"> צט כתב עוד בזה (קנט: ד"ה איסור שנתבטל)</w:t>
      </w:r>
      <w:r>
        <w:rPr>
          <w:rFonts w:cs="Arial" w:hint="cs"/>
          <w:rtl/>
        </w:rPr>
        <w:t>.</w:t>
      </w:r>
    </w:p>
  </w:footnote>
  <w:footnote w:id="1844">
    <w:p w14:paraId="27506DF7" w14:textId="77777777" w:rsidR="004C5A3C" w:rsidRDefault="004C5A3C" w:rsidP="002C39F4">
      <w:pPr>
        <w:pStyle w:val="a5"/>
        <w:rPr>
          <w:rtl/>
        </w:rPr>
      </w:pPr>
      <w:r>
        <w:rPr>
          <w:rStyle w:val="a7"/>
        </w:rPr>
        <w:footnoteRef/>
      </w:r>
      <w:r>
        <w:rPr>
          <w:rtl/>
        </w:rPr>
        <w:t xml:space="preserve"> </w:t>
      </w:r>
      <w:r>
        <w:rPr>
          <w:rFonts w:cs="Arial"/>
          <w:rtl/>
        </w:rPr>
        <w:t>היינו ההוא דהפיגול והנותר והטמא שבללן זה בזה ואכלן פטור</w:t>
      </w:r>
      <w:r>
        <w:rPr>
          <w:rFonts w:cs="Arial" w:hint="cs"/>
          <w:rtl/>
        </w:rPr>
        <w:t>,</w:t>
      </w:r>
      <w:r>
        <w:rPr>
          <w:rFonts w:cs="Arial"/>
          <w:rtl/>
        </w:rPr>
        <w:t xml:space="preserve"> והא ודאי פשיטא דאסורים באכילה הם ולא בא ר</w:t>
      </w:r>
      <w:r>
        <w:rPr>
          <w:rFonts w:cs="Arial" w:hint="cs"/>
          <w:rtl/>
        </w:rPr>
        <w:t xml:space="preserve">' </w:t>
      </w:r>
      <w:r>
        <w:rPr>
          <w:rFonts w:cs="Arial"/>
          <w:rtl/>
        </w:rPr>
        <w:t>ש</w:t>
      </w:r>
      <w:r>
        <w:rPr>
          <w:rFonts w:cs="Arial" w:hint="cs"/>
          <w:rtl/>
        </w:rPr>
        <w:t xml:space="preserve">מעון </w:t>
      </w:r>
      <w:r>
        <w:rPr>
          <w:rFonts w:cs="Arial"/>
          <w:rtl/>
        </w:rPr>
        <w:t>ב</w:t>
      </w:r>
      <w:r>
        <w:rPr>
          <w:rFonts w:cs="Arial" w:hint="cs"/>
          <w:rtl/>
        </w:rPr>
        <w:t xml:space="preserve">ן </w:t>
      </w:r>
      <w:r>
        <w:rPr>
          <w:rFonts w:cs="Arial"/>
          <w:rtl/>
        </w:rPr>
        <w:t>ל</w:t>
      </w:r>
      <w:r>
        <w:rPr>
          <w:rFonts w:cs="Arial" w:hint="cs"/>
          <w:rtl/>
        </w:rPr>
        <w:t>קיש</w:t>
      </w:r>
      <w:r>
        <w:rPr>
          <w:rFonts w:cs="Arial"/>
          <w:rtl/>
        </w:rPr>
        <w:t xml:space="preserve"> אלא לפטרן ממלקות וא</w:t>
      </w:r>
      <w:r>
        <w:rPr>
          <w:rFonts w:cs="Arial" w:hint="cs"/>
          <w:rtl/>
        </w:rPr>
        <w:t>"</w:t>
      </w:r>
      <w:r>
        <w:rPr>
          <w:rFonts w:cs="Arial"/>
          <w:rtl/>
        </w:rPr>
        <w:t>כ לא היה צריך רבינו לכתוב דין זה דהא לא נפקא לן מיניה מידי ולא כתבו אלא משום דמיניה ילפינן שני דינים הראשונים דנפקא לן מינייהו טובא ובהכי ניחא ש</w:t>
      </w:r>
      <w:r>
        <w:rPr>
          <w:rFonts w:cs="Arial" w:hint="cs"/>
          <w:rtl/>
        </w:rPr>
        <w:t>א</w:t>
      </w:r>
      <w:r>
        <w:rPr>
          <w:rFonts w:cs="Arial"/>
          <w:rtl/>
        </w:rPr>
        <w:t>ע</w:t>
      </w:r>
      <w:r>
        <w:rPr>
          <w:rFonts w:cs="Arial" w:hint="cs"/>
          <w:rtl/>
        </w:rPr>
        <w:t>"</w:t>
      </w:r>
      <w:r>
        <w:rPr>
          <w:rFonts w:cs="Arial"/>
          <w:rtl/>
        </w:rPr>
        <w:t>פ שהוא דין יבש ביבש כתבו כאן ולא כתבו בסי</w:t>
      </w:r>
      <w:r>
        <w:rPr>
          <w:rFonts w:cs="Arial" w:hint="cs"/>
          <w:rtl/>
        </w:rPr>
        <w:t>'</w:t>
      </w:r>
      <w:r>
        <w:rPr>
          <w:rFonts w:cs="Arial"/>
          <w:rtl/>
        </w:rPr>
        <w:t xml:space="preserve"> ק"ט שהוא מקום דיני יבש ביבש</w:t>
      </w:r>
      <w:r>
        <w:rPr>
          <w:rFonts w:hint="cs"/>
          <w:rtl/>
        </w:rPr>
        <w:t xml:space="preserve">, ב"י. </w:t>
      </w:r>
    </w:p>
  </w:footnote>
  <w:footnote w:id="1845">
    <w:p w14:paraId="53975E11" w14:textId="77777777" w:rsidR="004C5A3C" w:rsidRDefault="004C5A3C" w:rsidP="002C39F4">
      <w:pPr>
        <w:pStyle w:val="a5"/>
        <w:rPr>
          <w:rtl/>
        </w:rPr>
      </w:pPr>
      <w:r>
        <w:rPr>
          <w:rStyle w:val="a7"/>
        </w:rPr>
        <w:footnoteRef/>
      </w:r>
      <w:r>
        <w:rPr>
          <w:rtl/>
        </w:rPr>
        <w:t xml:space="preserve"> </w:t>
      </w:r>
      <w:r w:rsidRPr="00D90509">
        <w:rPr>
          <w:rFonts w:cs="Arial"/>
          <w:rtl/>
        </w:rPr>
        <w:t>נראה מדבריו דבכל איסורים דרבנן לבד משומן גיד הנשה משערינן בששים והאיסור מן המנין וכבר כתבתי בסי</w:t>
      </w:r>
      <w:r>
        <w:rPr>
          <w:rFonts w:cs="Arial" w:hint="cs"/>
          <w:rtl/>
        </w:rPr>
        <w:t>'</w:t>
      </w:r>
      <w:r w:rsidRPr="00D90509">
        <w:rPr>
          <w:rFonts w:cs="Arial"/>
          <w:rtl/>
        </w:rPr>
        <w:t xml:space="preserve"> צ (קמא: סוד"ה ומ"ש ואם בשלו בקדירה) שהרשב"א דחה טעמו וכתב שהרי איסורי סופרים גם הם צריכין ששים</w:t>
      </w:r>
      <w:r>
        <w:rPr>
          <w:rFonts w:cs="Arial" w:hint="cs"/>
          <w:rtl/>
        </w:rPr>
        <w:t>,</w:t>
      </w:r>
      <w:r w:rsidRPr="00D90509">
        <w:rPr>
          <w:rFonts w:cs="Arial"/>
          <w:rtl/>
        </w:rPr>
        <w:t xml:space="preserve"> וכן נראה שהוא דעת כל הפוסקים שלא חלקו בין איסורי תורה לאיסורי סופרים בכך</w:t>
      </w:r>
      <w:r>
        <w:rPr>
          <w:rFonts w:hint="cs"/>
          <w:rtl/>
        </w:rPr>
        <w:t>, ב"י.</w:t>
      </w:r>
    </w:p>
  </w:footnote>
  <w:footnote w:id="1846">
    <w:p w14:paraId="71009AFF" w14:textId="77777777" w:rsidR="004C5A3C" w:rsidRDefault="004C5A3C" w:rsidP="002C39F4">
      <w:pPr>
        <w:pStyle w:val="a5"/>
        <w:rPr>
          <w:rtl/>
        </w:rPr>
      </w:pPr>
      <w:r>
        <w:rPr>
          <w:rStyle w:val="a7"/>
        </w:rPr>
        <w:footnoteRef/>
      </w:r>
      <w:r>
        <w:rPr>
          <w:rtl/>
        </w:rPr>
        <w:t xml:space="preserve"> </w:t>
      </w:r>
      <w:r>
        <w:rPr>
          <w:rFonts w:cs="Arial" w:hint="cs"/>
          <w:rtl/>
        </w:rPr>
        <w:t>הביא ה</w:t>
      </w:r>
      <w:r w:rsidRPr="00D90509">
        <w:rPr>
          <w:rFonts w:cs="Arial"/>
          <w:rtl/>
        </w:rPr>
        <w:t>ר"ן (</w:t>
      </w:r>
      <w:r>
        <w:rPr>
          <w:rFonts w:cs="Arial" w:hint="cs"/>
          <w:rtl/>
        </w:rPr>
        <w:t xml:space="preserve">חולין </w:t>
      </w:r>
      <w:r w:rsidRPr="00D90509">
        <w:rPr>
          <w:rFonts w:cs="Arial"/>
          <w:rtl/>
        </w:rPr>
        <w:t xml:space="preserve">לד: ד"ה א"ר חנינא) </w:t>
      </w:r>
      <w:r>
        <w:rPr>
          <w:rFonts w:cs="Arial" w:hint="cs"/>
          <w:rtl/>
        </w:rPr>
        <w:t>דבריו ו</w:t>
      </w:r>
      <w:r w:rsidRPr="00D90509">
        <w:rPr>
          <w:rFonts w:cs="Arial"/>
          <w:rtl/>
        </w:rPr>
        <w:t>כתב שאין דבריו נראין לו דכיון שאמרו בגמ</w:t>
      </w:r>
      <w:r>
        <w:rPr>
          <w:rFonts w:cs="Arial" w:hint="cs"/>
          <w:rtl/>
        </w:rPr>
        <w:t>'</w:t>
      </w:r>
      <w:r w:rsidRPr="00D90509">
        <w:rPr>
          <w:rFonts w:cs="Arial"/>
          <w:rtl/>
        </w:rPr>
        <w:t xml:space="preserve"> (חולין צז:) משערים ברוטב סתמא משמע דכמות שהוא משערים אותו</w:t>
      </w:r>
      <w:r>
        <w:rPr>
          <w:rFonts w:cs="Arial" w:hint="cs"/>
          <w:rtl/>
        </w:rPr>
        <w:t>.</w:t>
      </w:r>
    </w:p>
  </w:footnote>
  <w:footnote w:id="1847">
    <w:p w14:paraId="3F472D43" w14:textId="77777777" w:rsidR="004C5A3C" w:rsidRDefault="004C5A3C" w:rsidP="002C39F4">
      <w:pPr>
        <w:pStyle w:val="a5"/>
        <w:rPr>
          <w:rtl/>
        </w:rPr>
      </w:pPr>
      <w:r>
        <w:rPr>
          <w:rStyle w:val="a7"/>
        </w:rPr>
        <w:footnoteRef/>
      </w:r>
      <w:r>
        <w:rPr>
          <w:rtl/>
        </w:rPr>
        <w:t xml:space="preserve"> </w:t>
      </w:r>
      <w:r w:rsidRPr="00313C0D">
        <w:rPr>
          <w:rFonts w:cs="Arial"/>
          <w:rtl/>
        </w:rPr>
        <w:t xml:space="preserve">רש"י </w:t>
      </w:r>
      <w:r w:rsidRPr="00313C0D">
        <w:rPr>
          <w:rFonts w:cs="Arial" w:hint="cs"/>
          <w:sz w:val="16"/>
          <w:szCs w:val="16"/>
          <w:rtl/>
        </w:rPr>
        <w:t xml:space="preserve">(חולין </w:t>
      </w:r>
      <w:r w:rsidRPr="00313C0D">
        <w:rPr>
          <w:rFonts w:cs="Arial"/>
          <w:sz w:val="16"/>
          <w:szCs w:val="16"/>
          <w:rtl/>
        </w:rPr>
        <w:t>קח</w:t>
      </w:r>
      <w:r w:rsidRPr="00313C0D">
        <w:rPr>
          <w:rFonts w:cs="Arial" w:hint="cs"/>
          <w:sz w:val="16"/>
          <w:szCs w:val="16"/>
          <w:rtl/>
        </w:rPr>
        <w:t>:</w:t>
      </w:r>
      <w:r w:rsidRPr="00313C0D">
        <w:rPr>
          <w:rFonts w:cs="Arial"/>
          <w:sz w:val="16"/>
          <w:szCs w:val="16"/>
          <w:rtl/>
        </w:rPr>
        <w:t xml:space="preserve"> ד"ה חצי זית)</w:t>
      </w:r>
      <w:r w:rsidRPr="00313C0D">
        <w:rPr>
          <w:rFonts w:cs="Arial"/>
          <w:rtl/>
        </w:rPr>
        <w:t xml:space="preserve"> </w:t>
      </w:r>
      <w:r>
        <w:rPr>
          <w:rFonts w:cs="Arial" w:hint="cs"/>
          <w:rtl/>
        </w:rPr>
        <w:t xml:space="preserve">בהעי"ט </w:t>
      </w:r>
      <w:r w:rsidRPr="00313C0D">
        <w:rPr>
          <w:rFonts w:cs="Arial"/>
          <w:sz w:val="16"/>
          <w:szCs w:val="16"/>
          <w:rtl/>
        </w:rPr>
        <w:t>(ח"ב שער א</w:t>
      </w:r>
      <w:r>
        <w:rPr>
          <w:rFonts w:cs="Arial" w:hint="cs"/>
          <w:sz w:val="16"/>
          <w:szCs w:val="16"/>
          <w:rtl/>
        </w:rPr>
        <w:t>,</w:t>
      </w:r>
      <w:r w:rsidRPr="00313C0D">
        <w:rPr>
          <w:rFonts w:cs="Arial" w:hint="cs"/>
          <w:sz w:val="16"/>
          <w:szCs w:val="16"/>
          <w:rtl/>
        </w:rPr>
        <w:t xml:space="preserve"> </w:t>
      </w:r>
      <w:r>
        <w:rPr>
          <w:rFonts w:cs="Arial" w:hint="cs"/>
          <w:sz w:val="16"/>
          <w:szCs w:val="16"/>
          <w:rtl/>
        </w:rPr>
        <w:t>הביאו הרשב"א [</w:t>
      </w:r>
      <w:r w:rsidRPr="00313C0D">
        <w:rPr>
          <w:rFonts w:cs="Arial"/>
          <w:sz w:val="16"/>
          <w:szCs w:val="16"/>
          <w:rtl/>
        </w:rPr>
        <w:t>שם במשמרת הבית ו.</w:t>
      </w:r>
      <w:r>
        <w:rPr>
          <w:rFonts w:cs="Arial" w:hint="cs"/>
          <w:sz w:val="16"/>
          <w:szCs w:val="16"/>
          <w:rtl/>
        </w:rPr>
        <w:t>]</w:t>
      </w:r>
      <w:r w:rsidRPr="00313C0D">
        <w:rPr>
          <w:rFonts w:cs="Arial"/>
          <w:sz w:val="16"/>
          <w:szCs w:val="16"/>
          <w:rtl/>
        </w:rPr>
        <w:t>)</w:t>
      </w:r>
      <w:r w:rsidRPr="00313C0D">
        <w:rPr>
          <w:rFonts w:cs="Arial" w:hint="cs"/>
          <w:sz w:val="16"/>
          <w:szCs w:val="16"/>
          <w:rtl/>
        </w:rPr>
        <w:t xml:space="preserve"> </w:t>
      </w:r>
      <w:r>
        <w:rPr>
          <w:rFonts w:cs="Arial" w:hint="cs"/>
          <w:rtl/>
        </w:rPr>
        <w:t xml:space="preserve">ור"ן </w:t>
      </w:r>
      <w:r w:rsidRPr="00313C0D">
        <w:rPr>
          <w:rFonts w:cs="Arial"/>
          <w:sz w:val="16"/>
          <w:szCs w:val="16"/>
          <w:rtl/>
        </w:rPr>
        <w:t>(</w:t>
      </w:r>
      <w:r w:rsidRPr="00313C0D">
        <w:rPr>
          <w:rFonts w:cs="Arial" w:hint="cs"/>
          <w:sz w:val="16"/>
          <w:szCs w:val="16"/>
          <w:rtl/>
        </w:rPr>
        <w:t xml:space="preserve">חולין </w:t>
      </w:r>
      <w:r w:rsidRPr="00313C0D">
        <w:rPr>
          <w:rFonts w:cs="Arial"/>
          <w:sz w:val="16"/>
          <w:szCs w:val="16"/>
          <w:rtl/>
        </w:rPr>
        <w:t>לד: ד"ה א"ר חנינא)</w:t>
      </w:r>
      <w:r>
        <w:rPr>
          <w:rFonts w:hint="cs"/>
          <w:rtl/>
        </w:rPr>
        <w:t>.</w:t>
      </w:r>
    </w:p>
  </w:footnote>
  <w:footnote w:id="1848">
    <w:p w14:paraId="28A02A4C" w14:textId="77777777" w:rsidR="004C5A3C" w:rsidRDefault="004C5A3C" w:rsidP="002C39F4">
      <w:pPr>
        <w:pStyle w:val="a5"/>
        <w:rPr>
          <w:rtl/>
        </w:rPr>
      </w:pPr>
      <w:r>
        <w:rPr>
          <w:rStyle w:val="a7"/>
        </w:rPr>
        <w:footnoteRef/>
      </w:r>
      <w:r>
        <w:rPr>
          <w:rtl/>
        </w:rPr>
        <w:t xml:space="preserve"> </w:t>
      </w:r>
      <w:r>
        <w:rPr>
          <w:rFonts w:cs="Arial" w:hint="cs"/>
          <w:rtl/>
        </w:rPr>
        <w:t>ו</w:t>
      </w:r>
      <w:r w:rsidRPr="00313C0D">
        <w:rPr>
          <w:rFonts w:cs="Arial"/>
          <w:rtl/>
        </w:rPr>
        <w:t xml:space="preserve">ז"ל רש"י </w:t>
      </w:r>
      <w:r w:rsidRPr="00313C0D">
        <w:rPr>
          <w:rFonts w:cs="Arial" w:hint="cs"/>
          <w:sz w:val="16"/>
          <w:szCs w:val="16"/>
          <w:rtl/>
        </w:rPr>
        <w:t xml:space="preserve">(חולין </w:t>
      </w:r>
      <w:r w:rsidRPr="00313C0D">
        <w:rPr>
          <w:rFonts w:cs="Arial"/>
          <w:sz w:val="16"/>
          <w:szCs w:val="16"/>
          <w:rtl/>
        </w:rPr>
        <w:t>קח</w:t>
      </w:r>
      <w:r w:rsidRPr="00313C0D">
        <w:rPr>
          <w:rFonts w:cs="Arial" w:hint="cs"/>
          <w:sz w:val="16"/>
          <w:szCs w:val="16"/>
          <w:rtl/>
        </w:rPr>
        <w:t>:</w:t>
      </w:r>
      <w:r w:rsidRPr="00313C0D">
        <w:rPr>
          <w:rFonts w:cs="Arial"/>
          <w:sz w:val="16"/>
          <w:szCs w:val="16"/>
          <w:rtl/>
        </w:rPr>
        <w:t xml:space="preserve"> ד"ה חצי זית)</w:t>
      </w:r>
      <w:r>
        <w:rPr>
          <w:rFonts w:cs="Arial" w:hint="cs"/>
          <w:rtl/>
        </w:rPr>
        <w:t>-</w:t>
      </w:r>
      <w:r w:rsidRPr="00313C0D">
        <w:rPr>
          <w:rFonts w:cs="Arial"/>
          <w:rtl/>
        </w:rPr>
        <w:t xml:space="preserve"> והיכי משערינן יין או חלב וכל משקה לשערו בכזית מביא כוס מלא משקין ומביא זית ונותן לתוכו והמשקה יוצא לחוץ וההוא דנפיק הוי שיעור זית וכך היא שנויה בתוספתא דנזיר פרק נזיר שאכל (פ"ד ה"א)</w:t>
      </w:r>
      <w:r>
        <w:rPr>
          <w:rFonts w:cs="Arial" w:hint="cs"/>
          <w:rtl/>
        </w:rPr>
        <w:t>.</w:t>
      </w:r>
    </w:p>
  </w:footnote>
  <w:footnote w:id="1849">
    <w:p w14:paraId="23837FFA" w14:textId="77777777" w:rsidR="004C5A3C" w:rsidRDefault="004C5A3C" w:rsidP="002C39F4">
      <w:pPr>
        <w:pStyle w:val="a5"/>
      </w:pPr>
      <w:r>
        <w:rPr>
          <w:rStyle w:val="a7"/>
        </w:rPr>
        <w:footnoteRef/>
      </w:r>
      <w:r>
        <w:rPr>
          <w:rtl/>
        </w:rPr>
        <w:t xml:space="preserve"> </w:t>
      </w:r>
      <w:r>
        <w:rPr>
          <w:rFonts w:hint="cs"/>
          <w:rtl/>
        </w:rPr>
        <w:t>אבל במזיד יתבאר דינו בסי' צט סע' ה, ש"ך (סקל"ה).</w:t>
      </w:r>
    </w:p>
  </w:footnote>
  <w:footnote w:id="1850">
    <w:p w14:paraId="06D14F8C" w14:textId="77777777" w:rsidR="004C5A3C" w:rsidRDefault="004C5A3C" w:rsidP="002C39F4">
      <w:pPr>
        <w:pStyle w:val="a5"/>
      </w:pPr>
      <w:r>
        <w:rPr>
          <w:rStyle w:val="a7"/>
        </w:rPr>
        <w:footnoteRef/>
      </w:r>
      <w:r>
        <w:rPr>
          <w:rtl/>
        </w:rPr>
        <w:t xml:space="preserve"> </w:t>
      </w:r>
      <w:r w:rsidRPr="00C04D0D">
        <w:rPr>
          <w:rFonts w:asciiTheme="minorBidi" w:hAnsiTheme="minorBidi" w:cs="Arial"/>
          <w:rtl/>
        </w:rPr>
        <w:t>מיהו כל זה דוקא בשני מיני איסורין שאין טעמם שוה אבל במין אחד לעולם חוזר וניעור וכדלקמן סימן צ"ט ס"ו</w:t>
      </w:r>
      <w:r>
        <w:rPr>
          <w:rFonts w:asciiTheme="minorBidi" w:hAnsiTheme="minorBidi" w:cs="Arial" w:hint="cs"/>
          <w:rtl/>
        </w:rPr>
        <w:t>, ש"ך (סקל"ד).</w:t>
      </w:r>
    </w:p>
  </w:footnote>
  <w:footnote w:id="1851">
    <w:p w14:paraId="26E56A67" w14:textId="77777777" w:rsidR="004C5A3C" w:rsidRDefault="004C5A3C" w:rsidP="002C39F4">
      <w:pPr>
        <w:pStyle w:val="a5"/>
      </w:pPr>
      <w:r>
        <w:rPr>
          <w:rStyle w:val="a7"/>
        </w:rPr>
        <w:footnoteRef/>
      </w:r>
      <w:r>
        <w:rPr>
          <w:rtl/>
        </w:rPr>
        <w:t xml:space="preserve"> </w:t>
      </w:r>
      <w:r w:rsidRPr="00267D26">
        <w:rPr>
          <w:rFonts w:cs="Arial"/>
          <w:rtl/>
        </w:rPr>
        <w:t>פירוש שנפלו לירקות בקדירה דמהני כל אחד לשיעור ס'</w:t>
      </w:r>
      <w:r>
        <w:rPr>
          <w:rFonts w:cs="Arial" w:hint="cs"/>
          <w:rtl/>
        </w:rPr>
        <w:t>, ט"ז (סקט"ו).</w:t>
      </w:r>
    </w:p>
  </w:footnote>
  <w:footnote w:id="1852">
    <w:p w14:paraId="4A2FC244" w14:textId="77777777" w:rsidR="004C5A3C" w:rsidRDefault="004C5A3C" w:rsidP="002C39F4">
      <w:pPr>
        <w:pStyle w:val="a5"/>
        <w:rPr>
          <w:rtl/>
        </w:rPr>
      </w:pPr>
      <w:r>
        <w:rPr>
          <w:rStyle w:val="a7"/>
        </w:rPr>
        <w:footnoteRef/>
      </w:r>
      <w:r>
        <w:rPr>
          <w:rtl/>
        </w:rPr>
        <w:t xml:space="preserve"> </w:t>
      </w:r>
      <w:r w:rsidRPr="00C04D0D">
        <w:rPr>
          <w:rFonts w:cs="Arial"/>
          <w:rtl/>
        </w:rPr>
        <w:t>דהאי דינא לא שייך לפי מאי דקי"ל חנ"נ בכל האיסורים דכיון דנפל כזית דם לקדרה אחת ולא היה בו ס' נ</w:t>
      </w:r>
      <w:r>
        <w:rPr>
          <w:rFonts w:cs="Arial" w:hint="cs"/>
          <w:rtl/>
        </w:rPr>
        <w:t>עשה נבלה</w:t>
      </w:r>
      <w:r w:rsidRPr="00C04D0D">
        <w:rPr>
          <w:rFonts w:cs="Arial"/>
          <w:rtl/>
        </w:rPr>
        <w:t xml:space="preserve"> וכן הקדרה הב'</w:t>
      </w:r>
      <w:r w:rsidRPr="0058700C">
        <w:rPr>
          <w:rFonts w:cs="Arial"/>
          <w:sz w:val="16"/>
          <w:szCs w:val="16"/>
          <w:rtl/>
        </w:rPr>
        <w:t xml:space="preserve"> </w:t>
      </w:r>
      <w:r>
        <w:rPr>
          <w:rFonts w:cs="Arial" w:hint="cs"/>
          <w:sz w:val="16"/>
          <w:szCs w:val="16"/>
          <w:rtl/>
        </w:rPr>
        <w:t>(</w:t>
      </w:r>
      <w:r w:rsidRPr="0058700C">
        <w:rPr>
          <w:rFonts w:cs="Arial"/>
          <w:sz w:val="16"/>
          <w:szCs w:val="16"/>
          <w:rtl/>
        </w:rPr>
        <w:t>מיהו רישא איכא לפרושי בנפלו הב' זיתים בבת אחת דכל אחד מבטל טעם חבירו</w:t>
      </w:r>
      <w:r w:rsidRPr="0058700C">
        <w:rPr>
          <w:rFonts w:cs="Arial" w:hint="cs"/>
          <w:sz w:val="16"/>
          <w:szCs w:val="16"/>
          <w:rtl/>
        </w:rPr>
        <w:t>)</w:t>
      </w:r>
      <w:r>
        <w:rPr>
          <w:rFonts w:cs="Arial" w:hint="cs"/>
          <w:rtl/>
        </w:rPr>
        <w:t>,</w:t>
      </w:r>
      <w:r w:rsidRPr="00C04D0D">
        <w:rPr>
          <w:rFonts w:cs="Arial"/>
          <w:rtl/>
        </w:rPr>
        <w:t xml:space="preserve"> אבל הכא דמיירי בב' קדרות קשה דלא ה"ל להרב לסתום הדברים</w:t>
      </w:r>
      <w:r>
        <w:rPr>
          <w:rFonts w:cs="Arial" w:hint="cs"/>
          <w:rtl/>
        </w:rPr>
        <w:t>,</w:t>
      </w:r>
      <w:r w:rsidRPr="00C04D0D">
        <w:rPr>
          <w:rFonts w:cs="Arial"/>
          <w:rtl/>
        </w:rPr>
        <w:t xml:space="preserve"> ועוד שכתב וכ"ש בשני זיתים א' של גבינה כו' משמע דברישא מודה להמחבר</w:t>
      </w:r>
      <w:r>
        <w:rPr>
          <w:rFonts w:cs="Arial" w:hint="cs"/>
          <w:rtl/>
        </w:rPr>
        <w:t>,</w:t>
      </w:r>
      <w:r w:rsidRPr="00C04D0D">
        <w:rPr>
          <w:rFonts w:cs="Arial"/>
          <w:rtl/>
        </w:rPr>
        <w:t xml:space="preserve"> והא ליתא למאי דקי"ל חנ"נ בכל האיסורים דפשיטא דהיינו אפי' בשוגג כדמוכח בכמה דוכתי וכדלקמן סי' צ"ו ס"ה בהדיא</w:t>
      </w:r>
      <w:r>
        <w:rPr>
          <w:rFonts w:hint="cs"/>
          <w:rtl/>
        </w:rPr>
        <w:t>, ש"ך (סקל"ד).</w:t>
      </w:r>
    </w:p>
  </w:footnote>
  <w:footnote w:id="1853">
    <w:p w14:paraId="253C842B" w14:textId="77777777" w:rsidR="004C5A3C" w:rsidRDefault="004C5A3C" w:rsidP="002C39F4">
      <w:pPr>
        <w:pStyle w:val="a5"/>
      </w:pPr>
      <w:r>
        <w:rPr>
          <w:rStyle w:val="a7"/>
        </w:rPr>
        <w:footnoteRef/>
      </w:r>
      <w:r>
        <w:rPr>
          <w:rtl/>
        </w:rPr>
        <w:t xml:space="preserve"> </w:t>
      </w:r>
      <w:r w:rsidRPr="00C04D0D">
        <w:rPr>
          <w:rFonts w:asciiTheme="minorBidi" w:hAnsiTheme="minorBidi" w:cs="Arial"/>
          <w:rtl/>
        </w:rPr>
        <w:t>אבל למאי דהוכחתי שם דאפי' לא נודע התערובות אמרי' חנ"נ א"כ לא שייך הא דינא בנפל לב' קדרות בפחות מס' אם לא בלח בלח בהפסד מרובה אבל מ"מ נ"מ לענין דכל א' מבטל טעם חבירו כשנפלו שניהם בבת אחת לנ"ט א"נ אם נפל כזית גבינה לכ"ט זיתים היתר ובקדרה אחרת נפל כזית בשר לשלשים זיתים של היתר ונתערבו אלו ב' התערובות בשוגג דמותר דלא שייך לומר חנ"נ כיון דעדיין כולו היתר וכדלעיל סי' צ"ד ס"ו וכמה דוכתי א"נ נ"מ אם נפל כזית דם לתוך ס' זיתים של היתר ואחר כך נפל כזית ועוד של חלב לאותן ס"א זיתים דא"צ ס' נגד ב' זיתים אלו של איסור אלא גם הכזית דם שנפל בראשונה מצטרף לבטל הכזית ועוד של חלב ואילו לא היינו מצטרפים הכזית של דם לא היה ס' לבטל הכזית ועוד והשתא דכל אחד מבטל טעם חברו גם הוא מצטרף לבטל</w:t>
      </w:r>
      <w:r w:rsidRPr="0058700C">
        <w:rPr>
          <w:rFonts w:asciiTheme="minorBidi" w:hAnsiTheme="minorBidi" w:cs="Arial"/>
          <w:rtl/>
        </w:rPr>
        <w:t xml:space="preserve"> </w:t>
      </w:r>
      <w:r w:rsidRPr="00C04D0D">
        <w:rPr>
          <w:rFonts w:asciiTheme="minorBidi" w:hAnsiTheme="minorBidi" w:cs="Arial"/>
          <w:rtl/>
        </w:rPr>
        <w:t>מיהו כל זה דוקא בשני מיני איסורין שאין טעמם שוה אבל במין אחד לעולם חוזר וניעור וכדלקמן סימן צ"ט ס"ו</w:t>
      </w:r>
      <w:r>
        <w:rPr>
          <w:rFonts w:hint="cs"/>
          <w:rtl/>
        </w:rPr>
        <w:t>, ש"ך.</w:t>
      </w:r>
    </w:p>
  </w:footnote>
  <w:footnote w:id="1854">
    <w:p w14:paraId="1DA73AD1" w14:textId="77777777" w:rsidR="004C5A3C" w:rsidRDefault="004C5A3C" w:rsidP="002C39F4">
      <w:pPr>
        <w:pStyle w:val="a5"/>
        <w:rPr>
          <w:rtl/>
        </w:rPr>
      </w:pPr>
      <w:r>
        <w:rPr>
          <w:rStyle w:val="a7"/>
        </w:rPr>
        <w:footnoteRef/>
      </w:r>
      <w:r>
        <w:rPr>
          <w:rtl/>
        </w:rPr>
        <w:t xml:space="preserve"> </w:t>
      </w:r>
      <w:r w:rsidRPr="00267D26">
        <w:rPr>
          <w:rFonts w:asciiTheme="minorBidi" w:hAnsiTheme="minorBidi" w:cs="Arial"/>
          <w:rtl/>
        </w:rPr>
        <w:t>ודפח"ח</w:t>
      </w:r>
      <w:r>
        <w:rPr>
          <w:rFonts w:asciiTheme="minorBidi" w:hAnsiTheme="minorBidi" w:cs="Arial" w:hint="cs"/>
          <w:rtl/>
        </w:rPr>
        <w:t>,</w:t>
      </w:r>
      <w:r w:rsidRPr="00267D26">
        <w:rPr>
          <w:rFonts w:asciiTheme="minorBidi" w:hAnsiTheme="minorBidi" w:cs="Arial"/>
          <w:rtl/>
        </w:rPr>
        <w:t xml:space="preserve"> ולפי מ"ש לקמן </w:t>
      </w:r>
      <w:r w:rsidRPr="00267D26">
        <w:rPr>
          <w:rFonts w:asciiTheme="minorBidi" w:hAnsiTheme="minorBidi" w:cs="Arial"/>
          <w:sz w:val="16"/>
          <w:szCs w:val="16"/>
          <w:rtl/>
        </w:rPr>
        <w:t xml:space="preserve">(סי' קג סקי"ב) </w:t>
      </w:r>
      <w:r w:rsidRPr="00267D26">
        <w:rPr>
          <w:rFonts w:asciiTheme="minorBidi" w:hAnsiTheme="minorBidi" w:cs="Arial"/>
          <w:rtl/>
        </w:rPr>
        <w:t>על הגליון בכה"ג שרי לבטל ולערב לכתחלה וא"כ מדנקט כאן נתערבו בשוגג מוכח דלא איירי בהכי</w:t>
      </w:r>
      <w:r>
        <w:rPr>
          <w:rFonts w:hint="cs"/>
          <w:rtl/>
        </w:rPr>
        <w:t>, רעק"א.</w:t>
      </w:r>
    </w:p>
  </w:footnote>
  <w:footnote w:id="1855">
    <w:p w14:paraId="33882B8F" w14:textId="77777777" w:rsidR="004C5A3C" w:rsidRDefault="004C5A3C" w:rsidP="002C39F4">
      <w:pPr>
        <w:pStyle w:val="a5"/>
      </w:pPr>
      <w:r>
        <w:rPr>
          <w:rStyle w:val="a7"/>
        </w:rPr>
        <w:footnoteRef/>
      </w:r>
      <w:r>
        <w:rPr>
          <w:rtl/>
        </w:rPr>
        <w:t xml:space="preserve"> </w:t>
      </w:r>
      <w:r w:rsidRPr="009B08DA">
        <w:rPr>
          <w:rFonts w:cs="Arial"/>
          <w:rtl/>
        </w:rPr>
        <w:t>של איל נזיר הוא המורם ממנו ומניפין אותו וניתן לכהן ואסור לזרים והאיל כולו נאכל לבעליו דהא שלמים הוא</w:t>
      </w:r>
      <w:r>
        <w:rPr>
          <w:rFonts w:cs="Arial" w:hint="cs"/>
          <w:rtl/>
        </w:rPr>
        <w:t>, רש"י</w:t>
      </w:r>
      <w:r w:rsidRPr="009B08DA">
        <w:rPr>
          <w:rFonts w:cs="Arial"/>
          <w:rtl/>
        </w:rPr>
        <w:t>.</w:t>
      </w:r>
    </w:p>
  </w:footnote>
  <w:footnote w:id="1856">
    <w:p w14:paraId="09FBD94E" w14:textId="77777777" w:rsidR="004C5A3C" w:rsidRDefault="004C5A3C" w:rsidP="002C39F4">
      <w:pPr>
        <w:pStyle w:val="a5"/>
        <w:rPr>
          <w:rtl/>
        </w:rPr>
      </w:pPr>
      <w:r>
        <w:rPr>
          <w:rStyle w:val="a7"/>
        </w:rPr>
        <w:footnoteRef/>
      </w:r>
      <w:r>
        <w:rPr>
          <w:rtl/>
        </w:rPr>
        <w:t xml:space="preserve"> </w:t>
      </w:r>
      <w:r w:rsidRPr="009B08DA">
        <w:rPr>
          <w:rFonts w:cs="Arial"/>
          <w:rtl/>
        </w:rPr>
        <w:t>דאיל משערינן וקים להו לרבנן דששים איכא ושרייה רחמנא</w:t>
      </w:r>
      <w:r>
        <w:rPr>
          <w:rFonts w:hint="cs"/>
          <w:rtl/>
        </w:rPr>
        <w:t>, רש"י.</w:t>
      </w:r>
    </w:p>
  </w:footnote>
  <w:footnote w:id="1857">
    <w:p w14:paraId="1DCC3C56" w14:textId="77777777" w:rsidR="004C5A3C" w:rsidRDefault="004C5A3C" w:rsidP="002C39F4">
      <w:pPr>
        <w:pStyle w:val="a5"/>
        <w:rPr>
          <w:rtl/>
        </w:rPr>
      </w:pPr>
      <w:r>
        <w:rPr>
          <w:rStyle w:val="a7"/>
        </w:rPr>
        <w:footnoteRef/>
      </w:r>
      <w:r>
        <w:rPr>
          <w:rtl/>
        </w:rPr>
        <w:t xml:space="preserve"> </w:t>
      </w:r>
      <w:r w:rsidRPr="009B08DA">
        <w:rPr>
          <w:rFonts w:cs="Arial"/>
          <w:rtl/>
        </w:rPr>
        <w:t>סבר עצם לא בעיא לשעוריה דהא לא פליט טעמא מינה וכי משערת בשר דזרוע בהדי בשר דאיל איכא מאה</w:t>
      </w:r>
      <w:r>
        <w:rPr>
          <w:rFonts w:hint="cs"/>
          <w:rtl/>
        </w:rPr>
        <w:t>, רש"י.</w:t>
      </w:r>
    </w:p>
  </w:footnote>
  <w:footnote w:id="1858">
    <w:p w14:paraId="3F336F28" w14:textId="77777777" w:rsidR="004C5A3C" w:rsidRDefault="004C5A3C" w:rsidP="002C39F4">
      <w:pPr>
        <w:pStyle w:val="a5"/>
      </w:pPr>
      <w:r>
        <w:rPr>
          <w:rStyle w:val="a7"/>
        </w:rPr>
        <w:footnoteRef/>
      </w:r>
      <w:r>
        <w:rPr>
          <w:rtl/>
        </w:rPr>
        <w:t xml:space="preserve"> </w:t>
      </w:r>
      <w:r>
        <w:rPr>
          <w:rFonts w:cs="Arial" w:hint="cs"/>
          <w:rtl/>
        </w:rPr>
        <w:t xml:space="preserve">וכ' עוד </w:t>
      </w:r>
      <w:r w:rsidRPr="00D3771B">
        <w:rPr>
          <w:rFonts w:cs="Arial"/>
          <w:sz w:val="16"/>
          <w:szCs w:val="16"/>
          <w:rtl/>
        </w:rPr>
        <w:t>(</w:t>
      </w:r>
      <w:r w:rsidRPr="00D3771B">
        <w:rPr>
          <w:rFonts w:cs="Arial" w:hint="cs"/>
          <w:sz w:val="16"/>
          <w:szCs w:val="16"/>
          <w:rtl/>
        </w:rPr>
        <w:t>כלל כח ד"ה</w:t>
      </w:r>
      <w:r w:rsidRPr="00D3771B">
        <w:rPr>
          <w:rFonts w:cs="Arial"/>
          <w:sz w:val="16"/>
          <w:szCs w:val="16"/>
          <w:rtl/>
        </w:rPr>
        <w:t>)</w:t>
      </w:r>
      <w:r>
        <w:rPr>
          <w:rFonts w:cs="Arial" w:hint="cs"/>
          <w:sz w:val="16"/>
          <w:szCs w:val="16"/>
          <w:rtl/>
        </w:rPr>
        <w:t xml:space="preserve"> </w:t>
      </w:r>
      <w:r>
        <w:rPr>
          <w:rFonts w:cs="Arial" w:hint="cs"/>
          <w:rtl/>
        </w:rPr>
        <w:t xml:space="preserve">דכן דעת האו"ז, אבל לפנינו אינו כן, אלא דהאו"ז </w:t>
      </w:r>
      <w:r w:rsidRPr="00D70881">
        <w:rPr>
          <w:rFonts w:cs="Arial" w:hint="cs"/>
          <w:sz w:val="16"/>
          <w:szCs w:val="16"/>
          <w:rtl/>
        </w:rPr>
        <w:t xml:space="preserve">(ע"ז סי' רעז) </w:t>
      </w:r>
      <w:r>
        <w:rPr>
          <w:rFonts w:cs="Arial" w:hint="cs"/>
          <w:rtl/>
        </w:rPr>
        <w:t xml:space="preserve">כ' וז"ל- </w:t>
      </w:r>
      <w:r w:rsidRPr="00E94D80">
        <w:rPr>
          <w:rFonts w:cs="Arial" w:hint="cs"/>
          <w:rtl/>
        </w:rPr>
        <w:t>עצמות</w:t>
      </w:r>
      <w:r w:rsidRPr="00E94D80">
        <w:rPr>
          <w:rFonts w:cs="Arial"/>
          <w:rtl/>
        </w:rPr>
        <w:t xml:space="preserve"> </w:t>
      </w:r>
      <w:r w:rsidRPr="00E94D80">
        <w:rPr>
          <w:rFonts w:cs="Arial" w:hint="cs"/>
          <w:rtl/>
        </w:rPr>
        <w:t>של</w:t>
      </w:r>
      <w:r w:rsidRPr="00E94D80">
        <w:rPr>
          <w:rFonts w:cs="Arial"/>
          <w:rtl/>
        </w:rPr>
        <w:t xml:space="preserve"> </w:t>
      </w:r>
      <w:r w:rsidRPr="00E94D80">
        <w:rPr>
          <w:rFonts w:cs="Arial" w:hint="cs"/>
          <w:rtl/>
        </w:rPr>
        <w:t>איסור</w:t>
      </w:r>
      <w:r w:rsidRPr="00E94D80">
        <w:rPr>
          <w:rFonts w:cs="Arial"/>
          <w:rtl/>
        </w:rPr>
        <w:t xml:space="preserve"> </w:t>
      </w:r>
      <w:r w:rsidRPr="00E94D80">
        <w:rPr>
          <w:rFonts w:cs="Arial" w:hint="cs"/>
          <w:rtl/>
        </w:rPr>
        <w:t>אינן</w:t>
      </w:r>
      <w:r w:rsidRPr="00E94D80">
        <w:rPr>
          <w:rFonts w:cs="Arial"/>
          <w:rtl/>
        </w:rPr>
        <w:t xml:space="preserve"> </w:t>
      </w:r>
      <w:r w:rsidRPr="00E94D80">
        <w:rPr>
          <w:rFonts w:cs="Arial" w:hint="cs"/>
          <w:rtl/>
        </w:rPr>
        <w:t>מצטרפות</w:t>
      </w:r>
      <w:r w:rsidRPr="00E94D80">
        <w:rPr>
          <w:rFonts w:cs="Arial"/>
          <w:rtl/>
        </w:rPr>
        <w:t xml:space="preserve"> </w:t>
      </w:r>
      <w:r w:rsidRPr="00E94D80">
        <w:rPr>
          <w:rFonts w:cs="Arial" w:hint="cs"/>
          <w:rtl/>
        </w:rPr>
        <w:t>לאסור</w:t>
      </w:r>
      <w:r w:rsidRPr="00E94D80">
        <w:rPr>
          <w:rFonts w:cs="Arial"/>
          <w:rtl/>
        </w:rPr>
        <w:t xml:space="preserve"> </w:t>
      </w:r>
      <w:r w:rsidRPr="00E94D80">
        <w:rPr>
          <w:rFonts w:cs="Arial" w:hint="cs"/>
          <w:rtl/>
        </w:rPr>
        <w:t>אבל</w:t>
      </w:r>
      <w:r w:rsidRPr="00E94D80">
        <w:rPr>
          <w:rFonts w:cs="Arial"/>
          <w:rtl/>
        </w:rPr>
        <w:t xml:space="preserve"> </w:t>
      </w:r>
      <w:r w:rsidRPr="00E94D80">
        <w:rPr>
          <w:rFonts w:cs="Arial" w:hint="cs"/>
          <w:rtl/>
        </w:rPr>
        <w:t>עצמות</w:t>
      </w:r>
      <w:r w:rsidRPr="00E94D80">
        <w:rPr>
          <w:rFonts w:cs="Arial"/>
          <w:rtl/>
        </w:rPr>
        <w:t xml:space="preserve"> </w:t>
      </w:r>
      <w:r w:rsidRPr="00E94D80">
        <w:rPr>
          <w:rFonts w:cs="Arial" w:hint="cs"/>
          <w:rtl/>
        </w:rPr>
        <w:t>של</w:t>
      </w:r>
      <w:r w:rsidRPr="00E94D80">
        <w:rPr>
          <w:rFonts w:cs="Arial"/>
          <w:rtl/>
        </w:rPr>
        <w:t xml:space="preserve"> </w:t>
      </w:r>
      <w:r w:rsidRPr="00E94D80">
        <w:rPr>
          <w:rFonts w:cs="Arial" w:hint="cs"/>
          <w:rtl/>
        </w:rPr>
        <w:t>היתר</w:t>
      </w:r>
      <w:r w:rsidRPr="00E94D80">
        <w:rPr>
          <w:rFonts w:cs="Arial"/>
          <w:rtl/>
        </w:rPr>
        <w:t xml:space="preserve"> </w:t>
      </w:r>
      <w:r w:rsidRPr="00E94D80">
        <w:rPr>
          <w:rFonts w:cs="Arial" w:hint="cs"/>
          <w:rtl/>
        </w:rPr>
        <w:t>מצטרפין</w:t>
      </w:r>
      <w:r w:rsidRPr="00E94D80">
        <w:rPr>
          <w:rFonts w:cs="Arial"/>
          <w:rtl/>
        </w:rPr>
        <w:t xml:space="preserve"> </w:t>
      </w:r>
      <w:r w:rsidRPr="00E94D80">
        <w:rPr>
          <w:rFonts w:cs="Arial" w:hint="cs"/>
          <w:rtl/>
        </w:rPr>
        <w:t>להתיר</w:t>
      </w:r>
      <w:r>
        <w:rPr>
          <w:rFonts w:cs="Arial" w:hint="cs"/>
          <w:rtl/>
        </w:rPr>
        <w:t>,</w:t>
      </w:r>
      <w:r w:rsidRPr="00E94D80">
        <w:rPr>
          <w:rFonts w:cs="Arial"/>
          <w:rtl/>
        </w:rPr>
        <w:t xml:space="preserve"> </w:t>
      </w:r>
      <w:r>
        <w:rPr>
          <w:rFonts w:cs="Arial" w:hint="cs"/>
          <w:rtl/>
        </w:rPr>
        <w:t xml:space="preserve">אבל </w:t>
      </w:r>
      <w:r w:rsidRPr="00D70881">
        <w:rPr>
          <w:rFonts w:cs="Arial"/>
          <w:rtl/>
        </w:rPr>
        <w:t>אין לצרף עצמות של איסור עם ההיתר לבטל את האיסור כרב ביבי וכרב הונא דטורח להתיר כולי האי</w:t>
      </w:r>
      <w:r>
        <w:rPr>
          <w:rFonts w:cs="Arial" w:hint="cs"/>
          <w:rtl/>
        </w:rPr>
        <w:t>,</w:t>
      </w:r>
      <w:r w:rsidRPr="00D70881">
        <w:rPr>
          <w:rFonts w:cs="Arial"/>
          <w:rtl/>
        </w:rPr>
        <w:t xml:space="preserve"> א</w:t>
      </w:r>
      <w:r>
        <w:rPr>
          <w:rFonts w:cs="Arial" w:hint="cs"/>
          <w:rtl/>
        </w:rPr>
        <w:t>ע"ג</w:t>
      </w:r>
      <w:r w:rsidRPr="00D70881">
        <w:rPr>
          <w:rFonts w:cs="Arial"/>
          <w:rtl/>
        </w:rPr>
        <w:t xml:space="preserve"> דמשמע להתירא ואם שום אדם יתיר לא עבר על דברי חכמים אבל אין נכון להקל כולי האי</w:t>
      </w:r>
      <w:r>
        <w:rPr>
          <w:rFonts w:cs="Arial" w:hint="cs"/>
          <w:rtl/>
        </w:rPr>
        <w:t>, עכ"ל</w:t>
      </w:r>
      <w:r w:rsidRPr="00D70881">
        <w:rPr>
          <w:rFonts w:cs="Arial"/>
          <w:rtl/>
        </w:rPr>
        <w:t xml:space="preserve">. </w:t>
      </w:r>
      <w:r>
        <w:rPr>
          <w:rFonts w:cs="Arial" w:hint="cs"/>
          <w:rtl/>
        </w:rPr>
        <w:t xml:space="preserve"> וכן העתיק בשמו ההגשע"ד </w:t>
      </w:r>
      <w:r w:rsidRPr="00D70881">
        <w:rPr>
          <w:rFonts w:cs="Arial" w:hint="cs"/>
          <w:sz w:val="16"/>
          <w:szCs w:val="16"/>
          <w:rtl/>
        </w:rPr>
        <w:t>(</w:t>
      </w:r>
      <w:r w:rsidRPr="00D70881">
        <w:rPr>
          <w:rFonts w:cs="Arial"/>
          <w:sz w:val="16"/>
          <w:szCs w:val="16"/>
          <w:rtl/>
        </w:rPr>
        <w:t>סי</w:t>
      </w:r>
      <w:r w:rsidRPr="00D70881">
        <w:rPr>
          <w:rFonts w:cs="Arial" w:hint="cs"/>
          <w:sz w:val="16"/>
          <w:szCs w:val="16"/>
          <w:rtl/>
        </w:rPr>
        <w:t>'</w:t>
      </w:r>
      <w:r w:rsidRPr="00D70881">
        <w:rPr>
          <w:rFonts w:cs="Arial"/>
          <w:sz w:val="16"/>
          <w:szCs w:val="16"/>
          <w:rtl/>
        </w:rPr>
        <w:t xml:space="preserve"> מ אות </w:t>
      </w:r>
      <w:r w:rsidRPr="00D70881">
        <w:rPr>
          <w:rFonts w:cs="Arial" w:hint="cs"/>
          <w:sz w:val="16"/>
          <w:szCs w:val="16"/>
          <w:rtl/>
        </w:rPr>
        <w:t>יא</w:t>
      </w:r>
      <w:r>
        <w:rPr>
          <w:rFonts w:cs="Arial" w:hint="cs"/>
          <w:sz w:val="16"/>
          <w:szCs w:val="16"/>
          <w:rtl/>
        </w:rPr>
        <w:t>, וסי' נה אות יא</w:t>
      </w:r>
      <w:r w:rsidRPr="00D70881">
        <w:rPr>
          <w:rFonts w:cs="Arial" w:hint="cs"/>
          <w:sz w:val="16"/>
          <w:szCs w:val="16"/>
          <w:rtl/>
        </w:rPr>
        <w:t>)</w:t>
      </w:r>
      <w:r>
        <w:rPr>
          <w:rFonts w:cs="Arial" w:hint="cs"/>
          <w:rtl/>
        </w:rPr>
        <w:t>, ואולי הייתה לאו</w:t>
      </w:r>
      <w:r>
        <w:rPr>
          <w:rFonts w:cs="Arial"/>
          <w:rtl/>
        </w:rPr>
        <w:t>"</w:t>
      </w:r>
      <w:r>
        <w:rPr>
          <w:rFonts w:cs="Arial" w:hint="cs"/>
          <w:rtl/>
        </w:rPr>
        <w:t>ה גיר' אחרת.</w:t>
      </w:r>
    </w:p>
  </w:footnote>
  <w:footnote w:id="1859">
    <w:p w14:paraId="333C290C" w14:textId="77777777" w:rsidR="004C5A3C" w:rsidRDefault="004C5A3C" w:rsidP="002C39F4">
      <w:pPr>
        <w:pStyle w:val="a5"/>
      </w:pPr>
      <w:r>
        <w:rPr>
          <w:rStyle w:val="a7"/>
        </w:rPr>
        <w:footnoteRef/>
      </w:r>
      <w:r>
        <w:rPr>
          <w:rtl/>
        </w:rPr>
        <w:t xml:space="preserve"> </w:t>
      </w:r>
      <w:r w:rsidRPr="00630DD3">
        <w:rPr>
          <w:rFonts w:cs="Arial"/>
          <w:rtl/>
        </w:rPr>
        <w:t>הכי משמע פ"ה (צח:) גבי הא דמייתי לשיעורי האסורים מזרוע בשלה מן האיל דלמ"ד דשיעורי האיסורים בששים עצמות האיסור מצטרפין לאיסור ועצמות ההיתר מצטרפין להיתר</w:t>
      </w:r>
      <w:r>
        <w:rPr>
          <w:rFonts w:cs="Arial" w:hint="cs"/>
          <w:rtl/>
        </w:rPr>
        <w:t>, ב"י.</w:t>
      </w:r>
    </w:p>
  </w:footnote>
  <w:footnote w:id="1860">
    <w:p w14:paraId="25FF9132" w14:textId="77777777" w:rsidR="004C5A3C" w:rsidRDefault="004C5A3C" w:rsidP="002C39F4">
      <w:pPr>
        <w:pStyle w:val="a5"/>
        <w:rPr>
          <w:rtl/>
        </w:rPr>
      </w:pPr>
      <w:r>
        <w:rPr>
          <w:rStyle w:val="a7"/>
        </w:rPr>
        <w:footnoteRef/>
      </w:r>
      <w:r>
        <w:rPr>
          <w:rtl/>
        </w:rPr>
        <w:t xml:space="preserve"> </w:t>
      </w:r>
      <w:r w:rsidRPr="00630DD3">
        <w:rPr>
          <w:rFonts w:cs="Arial"/>
          <w:rtl/>
        </w:rPr>
        <w:t>וכ</w:t>
      </w:r>
      <w:r>
        <w:rPr>
          <w:rFonts w:cs="Arial" w:hint="cs"/>
          <w:rtl/>
        </w:rPr>
        <w:t>'</w:t>
      </w:r>
      <w:r w:rsidRPr="00630DD3">
        <w:rPr>
          <w:rFonts w:cs="Arial"/>
          <w:rtl/>
        </w:rPr>
        <w:t xml:space="preserve"> הר"ן </w:t>
      </w:r>
      <w:r w:rsidRPr="00383B3A">
        <w:rPr>
          <w:rFonts w:cs="Arial"/>
          <w:sz w:val="16"/>
          <w:szCs w:val="16"/>
          <w:rtl/>
        </w:rPr>
        <w:t>(לה</w:t>
      </w:r>
      <w:r w:rsidRPr="00383B3A">
        <w:rPr>
          <w:rFonts w:cs="Arial" w:hint="cs"/>
          <w:sz w:val="16"/>
          <w:szCs w:val="16"/>
          <w:rtl/>
        </w:rPr>
        <w:t>.</w:t>
      </w:r>
      <w:r w:rsidRPr="00383B3A">
        <w:rPr>
          <w:rFonts w:cs="Arial"/>
          <w:sz w:val="16"/>
          <w:szCs w:val="16"/>
          <w:rtl/>
        </w:rPr>
        <w:t xml:space="preserve">) </w:t>
      </w:r>
      <w:r>
        <w:rPr>
          <w:rFonts w:cs="Arial" w:hint="cs"/>
          <w:rtl/>
        </w:rPr>
        <w:t xml:space="preserve">דהכי משמע </w:t>
      </w:r>
      <w:r w:rsidRPr="00630DD3">
        <w:rPr>
          <w:rFonts w:cs="Arial"/>
          <w:rtl/>
        </w:rPr>
        <w:t xml:space="preserve">בירושלמי </w:t>
      </w:r>
      <w:r w:rsidRPr="00383B3A">
        <w:rPr>
          <w:rFonts w:cs="Arial" w:hint="cs"/>
          <w:sz w:val="16"/>
          <w:szCs w:val="16"/>
          <w:rtl/>
        </w:rPr>
        <w:t>(</w:t>
      </w:r>
      <w:r w:rsidRPr="00383B3A">
        <w:rPr>
          <w:rFonts w:cs="Arial"/>
          <w:sz w:val="16"/>
          <w:szCs w:val="16"/>
          <w:rtl/>
        </w:rPr>
        <w:t>פ"ק דערלה ס</w:t>
      </w:r>
      <w:r w:rsidRPr="00383B3A">
        <w:rPr>
          <w:rFonts w:cs="Arial" w:hint="cs"/>
          <w:sz w:val="16"/>
          <w:szCs w:val="16"/>
          <w:rtl/>
        </w:rPr>
        <w:t xml:space="preserve">וף </w:t>
      </w:r>
      <w:r w:rsidRPr="00383B3A">
        <w:rPr>
          <w:rFonts w:cs="Arial"/>
          <w:sz w:val="16"/>
          <w:szCs w:val="16"/>
          <w:rtl/>
        </w:rPr>
        <w:t xml:space="preserve">ה"ג) </w:t>
      </w:r>
      <w:r w:rsidRPr="00630DD3">
        <w:rPr>
          <w:rFonts w:cs="Arial"/>
          <w:rtl/>
        </w:rPr>
        <w:t>דאף קליפי איסור מעלים את האיסור</w:t>
      </w:r>
      <w:r>
        <w:rPr>
          <w:rFonts w:cs="Arial" w:hint="cs"/>
          <w:rtl/>
        </w:rPr>
        <w:t>,</w:t>
      </w:r>
      <w:r w:rsidRPr="00630DD3">
        <w:rPr>
          <w:rFonts w:cs="Arial"/>
          <w:rtl/>
        </w:rPr>
        <w:t xml:space="preserve"> ואף לפי גמרא דילן אפשר לומר כן</w:t>
      </w:r>
      <w:r>
        <w:rPr>
          <w:rFonts w:cs="Arial" w:hint="cs"/>
          <w:rtl/>
        </w:rPr>
        <w:t>,</w:t>
      </w:r>
      <w:r w:rsidRPr="00630DD3">
        <w:rPr>
          <w:rFonts w:cs="Arial"/>
          <w:rtl/>
        </w:rPr>
        <w:t xml:space="preserve"> דלמאן דאמר בששים היינו טעמא דלא מצטרפין עצמות שבזרוע להיתר לפי שהן עצמן אוסרין מפני מוח שבהם ומחמת רכותן שיצא מהם לחות אבל עצמות יבשים וקליפים שאינם אוסרים אפשר שאף אותן של איסור מעלין את ההיתר</w:t>
      </w:r>
      <w:r>
        <w:rPr>
          <w:rFonts w:cs="Arial" w:hint="cs"/>
          <w:rtl/>
        </w:rPr>
        <w:t>,</w:t>
      </w:r>
      <w:r w:rsidRPr="00630DD3">
        <w:rPr>
          <w:rFonts w:cs="Arial"/>
          <w:rtl/>
        </w:rPr>
        <w:t xml:space="preserve"> אבל אין דעת הרמב"ן </w:t>
      </w:r>
      <w:r w:rsidRPr="00383B3A">
        <w:rPr>
          <w:rFonts w:cs="Arial"/>
          <w:sz w:val="16"/>
          <w:szCs w:val="16"/>
          <w:rtl/>
        </w:rPr>
        <w:t xml:space="preserve">(בחי' צח: בהשמטות) </w:t>
      </w:r>
      <w:r w:rsidRPr="00630DD3">
        <w:rPr>
          <w:rFonts w:cs="Arial"/>
          <w:rtl/>
        </w:rPr>
        <w:t>כן</w:t>
      </w:r>
      <w:r>
        <w:rPr>
          <w:rFonts w:cs="Arial" w:hint="cs"/>
          <w:rtl/>
        </w:rPr>
        <w:t>.</w:t>
      </w:r>
      <w:r w:rsidRPr="00630DD3">
        <w:rPr>
          <w:rFonts w:cs="Arial"/>
          <w:rtl/>
        </w:rPr>
        <w:t xml:space="preserve"> עכ"ל</w:t>
      </w:r>
      <w:r>
        <w:rPr>
          <w:rFonts w:hint="cs"/>
          <w:rtl/>
        </w:rPr>
        <w:t>.</w:t>
      </w:r>
      <w:r w:rsidRPr="00756349">
        <w:rPr>
          <w:rFonts w:cs="Arial"/>
          <w:rtl/>
        </w:rPr>
        <w:t xml:space="preserve"> </w:t>
      </w:r>
      <w:r w:rsidRPr="00630DD3">
        <w:rPr>
          <w:rFonts w:cs="Arial"/>
          <w:rtl/>
        </w:rPr>
        <w:t>ור</w:t>
      </w:r>
      <w:r>
        <w:rPr>
          <w:rFonts w:cs="Arial" w:hint="cs"/>
          <w:rtl/>
        </w:rPr>
        <w:t>"ש</w:t>
      </w:r>
      <w:r w:rsidRPr="00630DD3">
        <w:rPr>
          <w:rFonts w:cs="Arial"/>
          <w:rtl/>
        </w:rPr>
        <w:t xml:space="preserve"> </w:t>
      </w:r>
      <w:r w:rsidRPr="00383B3A">
        <w:rPr>
          <w:rFonts w:cs="Arial" w:hint="cs"/>
          <w:sz w:val="16"/>
          <w:szCs w:val="16"/>
          <w:rtl/>
        </w:rPr>
        <w:t xml:space="preserve">(שם) </w:t>
      </w:r>
      <w:r w:rsidRPr="00630DD3">
        <w:rPr>
          <w:rFonts w:cs="Arial"/>
          <w:rtl/>
        </w:rPr>
        <w:t>הביא דברי הירושלמי וכתב דיש לחלק בין עצמות לקליפין דיש בעצמות לחות יותר ממה שיש בקליפין</w:t>
      </w:r>
      <w:r>
        <w:rPr>
          <w:rFonts w:cs="Arial" w:hint="cs"/>
          <w:rtl/>
        </w:rPr>
        <w:t>,</w:t>
      </w:r>
      <w:r w:rsidRPr="00630DD3">
        <w:rPr>
          <w:rFonts w:cs="Arial"/>
          <w:rtl/>
        </w:rPr>
        <w:t xml:space="preserve"> ואח"כ כתב דלא מסתברא כלל דהא גיד הנשה למאן דאמר </w:t>
      </w:r>
      <w:r w:rsidRPr="00383B3A">
        <w:rPr>
          <w:rFonts w:cs="Arial"/>
          <w:sz w:val="16"/>
          <w:szCs w:val="16"/>
          <w:rtl/>
        </w:rPr>
        <w:t xml:space="preserve">(חולין צט:) </w:t>
      </w:r>
      <w:r w:rsidRPr="00630DD3">
        <w:rPr>
          <w:rFonts w:cs="Arial"/>
          <w:rtl/>
        </w:rPr>
        <w:t>אין בגידים בנותן טעם אם נתבשל עם הירך מותר</w:t>
      </w:r>
      <w:r>
        <w:rPr>
          <w:rFonts w:cs="Arial" w:hint="cs"/>
          <w:rtl/>
        </w:rPr>
        <w:t>,</w:t>
      </w:r>
      <w:r w:rsidRPr="00630DD3">
        <w:rPr>
          <w:rFonts w:cs="Arial"/>
          <w:rtl/>
        </w:rPr>
        <w:t xml:space="preserve"> ומי עדיפי עצמות יותר מגיד</w:t>
      </w:r>
      <w:r>
        <w:rPr>
          <w:rFonts w:cs="Arial" w:hint="cs"/>
          <w:rtl/>
        </w:rPr>
        <w:t>,</w:t>
      </w:r>
      <w:r w:rsidRPr="00630DD3">
        <w:rPr>
          <w:rFonts w:cs="Arial"/>
          <w:rtl/>
        </w:rPr>
        <w:t xml:space="preserve"> לכך נראה דהא דיליף מזרוע בשלה ומשער בעצמות סימנא בעלמא הוא דאסמכתא היא כדאמרינן בשמעתין דמין במינו מדאו</w:t>
      </w:r>
      <w:r>
        <w:rPr>
          <w:rFonts w:cs="Arial" w:hint="cs"/>
          <w:rtl/>
        </w:rPr>
        <w:t>'</w:t>
      </w:r>
      <w:r w:rsidRPr="00630DD3">
        <w:rPr>
          <w:rFonts w:cs="Arial"/>
          <w:rtl/>
        </w:rPr>
        <w:t xml:space="preserve"> ברובא בטיל.</w:t>
      </w:r>
      <w:r w:rsidRPr="00756349">
        <w:rPr>
          <w:rFonts w:cs="Arial"/>
          <w:rtl/>
        </w:rPr>
        <w:t xml:space="preserve"> </w:t>
      </w:r>
      <w:r w:rsidRPr="00630DD3">
        <w:rPr>
          <w:rFonts w:cs="Arial"/>
          <w:rtl/>
        </w:rPr>
        <w:t xml:space="preserve">וכתב דבריו הרא"ש </w:t>
      </w:r>
      <w:r>
        <w:rPr>
          <w:rFonts w:cs="Arial" w:hint="cs"/>
          <w:rtl/>
        </w:rPr>
        <w:t>בפג"ה</w:t>
      </w:r>
      <w:r w:rsidRPr="00630DD3">
        <w:rPr>
          <w:rFonts w:cs="Arial"/>
          <w:rtl/>
        </w:rPr>
        <w:t xml:space="preserve"> </w:t>
      </w:r>
      <w:r w:rsidRPr="00383B3A">
        <w:rPr>
          <w:rFonts w:cs="Arial"/>
          <w:sz w:val="16"/>
          <w:szCs w:val="16"/>
          <w:rtl/>
        </w:rPr>
        <w:t>(סי' ל)</w:t>
      </w:r>
      <w:r>
        <w:rPr>
          <w:rFonts w:hint="cs"/>
          <w:rtl/>
        </w:rPr>
        <w:t>.</w:t>
      </w:r>
    </w:p>
  </w:footnote>
  <w:footnote w:id="1861">
    <w:p w14:paraId="5871EADA" w14:textId="77777777" w:rsidR="004C5A3C" w:rsidRDefault="004C5A3C" w:rsidP="002C39F4">
      <w:pPr>
        <w:pStyle w:val="a5"/>
        <w:rPr>
          <w:rtl/>
        </w:rPr>
      </w:pPr>
      <w:r>
        <w:rPr>
          <w:rStyle w:val="a7"/>
        </w:rPr>
        <w:footnoteRef/>
      </w:r>
      <w:r>
        <w:rPr>
          <w:rtl/>
        </w:rPr>
        <w:t xml:space="preserve"> </w:t>
      </w:r>
      <w:r>
        <w:rPr>
          <w:rFonts w:cs="Arial" w:hint="cs"/>
          <w:rtl/>
        </w:rPr>
        <w:t>ו</w:t>
      </w:r>
      <w:r>
        <w:rPr>
          <w:rFonts w:hint="cs"/>
          <w:rtl/>
        </w:rPr>
        <w:t>כ' הב"י</w:t>
      </w:r>
      <w:r>
        <w:rPr>
          <w:rFonts w:hint="cs"/>
          <w:sz w:val="16"/>
          <w:szCs w:val="16"/>
          <w:rtl/>
        </w:rPr>
        <w:t xml:space="preserve"> (בבדה"ב)</w:t>
      </w:r>
      <w:r>
        <w:rPr>
          <w:rFonts w:hint="cs"/>
          <w:rtl/>
        </w:rPr>
        <w:t xml:space="preserve">- </w:t>
      </w:r>
      <w:r w:rsidRPr="00756349">
        <w:rPr>
          <w:rFonts w:cs="Arial"/>
          <w:rtl/>
        </w:rPr>
        <w:t>ואין נראה כן מדברי רבינו שמשון והרא"ש</w:t>
      </w:r>
      <w:r>
        <w:rPr>
          <w:rFonts w:hint="cs"/>
          <w:rtl/>
        </w:rPr>
        <w:t>.</w:t>
      </w:r>
    </w:p>
  </w:footnote>
  <w:footnote w:id="1862">
    <w:p w14:paraId="254B962C" w14:textId="77777777" w:rsidR="004C5A3C" w:rsidRDefault="004C5A3C" w:rsidP="002C39F4">
      <w:pPr>
        <w:pStyle w:val="a5"/>
      </w:pPr>
      <w:r>
        <w:rPr>
          <w:rStyle w:val="a7"/>
        </w:rPr>
        <w:footnoteRef/>
      </w:r>
      <w:r>
        <w:rPr>
          <w:rtl/>
        </w:rPr>
        <w:t xml:space="preserve"> </w:t>
      </w:r>
      <w:r w:rsidRPr="00DD0E17">
        <w:rPr>
          <w:rFonts w:cs="Arial"/>
          <w:rtl/>
        </w:rPr>
        <w:t>לפי שאינם בני אכילה אינם בכלל האיסור ומ"מ בולעים הם על ידי הבישול ע"כ מצטרפין לבטל האיסור כי האיסור מתפשט גם לתוכן ויש בהם ג"כ לחלוחית לבלבל האיסור שבולעים מן הבשר האסור</w:t>
      </w:r>
      <w:r>
        <w:rPr>
          <w:rFonts w:cs="Arial" w:hint="cs"/>
          <w:rtl/>
        </w:rPr>
        <w:t>..., ט"ז (סק"א).</w:t>
      </w:r>
    </w:p>
  </w:footnote>
  <w:footnote w:id="1863">
    <w:p w14:paraId="5FCCDBD1" w14:textId="77777777" w:rsidR="004C5A3C" w:rsidRDefault="004C5A3C" w:rsidP="002C39F4">
      <w:pPr>
        <w:pStyle w:val="a5"/>
      </w:pPr>
      <w:r>
        <w:rPr>
          <w:rStyle w:val="a7"/>
        </w:rPr>
        <w:footnoteRef/>
      </w:r>
      <w:r>
        <w:rPr>
          <w:rtl/>
        </w:rPr>
        <w:t xml:space="preserve"> </w:t>
      </w:r>
      <w:r>
        <w:rPr>
          <w:rFonts w:hint="cs"/>
          <w:rtl/>
        </w:rPr>
        <w:t xml:space="preserve">היינו גוף החרס של הקדרה </w:t>
      </w:r>
      <w:r w:rsidRPr="001F0C30">
        <w:rPr>
          <w:rFonts w:cs="Arial" w:hint="cs"/>
          <w:rtl/>
        </w:rPr>
        <w:t>שמבשל</w:t>
      </w:r>
      <w:r w:rsidRPr="001F0C30">
        <w:rPr>
          <w:rFonts w:cs="Arial"/>
          <w:rtl/>
        </w:rPr>
        <w:t xml:space="preserve"> </w:t>
      </w:r>
      <w:r w:rsidRPr="001F0C30">
        <w:rPr>
          <w:rFonts w:cs="Arial" w:hint="cs"/>
          <w:rtl/>
        </w:rPr>
        <w:t>בה</w:t>
      </w:r>
      <w:r w:rsidRPr="001F0C30">
        <w:rPr>
          <w:rFonts w:cs="Arial"/>
          <w:rtl/>
        </w:rPr>
        <w:t xml:space="preserve"> </w:t>
      </w:r>
      <w:r w:rsidRPr="001F0C30">
        <w:rPr>
          <w:rFonts w:cs="Arial" w:hint="cs"/>
          <w:rtl/>
        </w:rPr>
        <w:t>עכשיו</w:t>
      </w:r>
      <w:r w:rsidRPr="001F0C30">
        <w:rPr>
          <w:rFonts w:cs="Arial"/>
          <w:rtl/>
        </w:rPr>
        <w:t xml:space="preserve"> </w:t>
      </w:r>
      <w:r w:rsidRPr="001F0C30">
        <w:rPr>
          <w:rFonts w:cs="Arial" w:hint="cs"/>
          <w:rtl/>
        </w:rPr>
        <w:t>איסור</w:t>
      </w:r>
      <w:r w:rsidRPr="001F0C30">
        <w:rPr>
          <w:rFonts w:cs="Arial"/>
          <w:rtl/>
        </w:rPr>
        <w:t xml:space="preserve"> </w:t>
      </w:r>
      <w:r w:rsidRPr="001F0C30">
        <w:rPr>
          <w:rFonts w:cs="Arial" w:hint="cs"/>
          <w:rtl/>
        </w:rPr>
        <w:t>והיתר</w:t>
      </w:r>
      <w:r w:rsidRPr="001F0C30">
        <w:rPr>
          <w:rFonts w:cs="Arial"/>
          <w:rtl/>
        </w:rPr>
        <w:t xml:space="preserve"> </w:t>
      </w:r>
      <w:r w:rsidRPr="001F0C30">
        <w:rPr>
          <w:rFonts w:hint="cs"/>
          <w:sz w:val="16"/>
          <w:szCs w:val="16"/>
          <w:rtl/>
        </w:rPr>
        <w:t>(ולגבי מה שנבלע בה אם מצטרף עי' בסע' ד</w:t>
      </w:r>
      <w:r>
        <w:rPr>
          <w:rFonts w:hint="cs"/>
          <w:sz w:val="16"/>
          <w:szCs w:val="16"/>
          <w:rtl/>
        </w:rPr>
        <w:t>)</w:t>
      </w:r>
      <w:r>
        <w:rPr>
          <w:rFonts w:hint="cs"/>
          <w:rtl/>
        </w:rPr>
        <w:t>,</w:t>
      </w:r>
      <w:r w:rsidRPr="001F0C30">
        <w:rPr>
          <w:rFonts w:cs="Arial"/>
          <w:rtl/>
        </w:rPr>
        <w:t xml:space="preserve"> </w:t>
      </w:r>
      <w:r w:rsidRPr="001F0C30">
        <w:rPr>
          <w:rFonts w:cs="Arial" w:hint="cs"/>
          <w:rtl/>
        </w:rPr>
        <w:t>אבל</w:t>
      </w:r>
      <w:r w:rsidRPr="001F0C30">
        <w:rPr>
          <w:rFonts w:cs="Arial"/>
          <w:rtl/>
        </w:rPr>
        <w:t xml:space="preserve"> </w:t>
      </w:r>
      <w:r w:rsidRPr="001F0C30">
        <w:rPr>
          <w:rFonts w:cs="Arial" w:hint="cs"/>
          <w:rtl/>
        </w:rPr>
        <w:t>פשוט</w:t>
      </w:r>
      <w:r w:rsidRPr="001F0C30">
        <w:rPr>
          <w:rFonts w:cs="Arial"/>
          <w:rtl/>
        </w:rPr>
        <w:t xml:space="preserve"> </w:t>
      </w:r>
      <w:r w:rsidRPr="001F0C30">
        <w:rPr>
          <w:rFonts w:cs="Arial" w:hint="cs"/>
          <w:rtl/>
        </w:rPr>
        <w:t>שקדירה</w:t>
      </w:r>
      <w:r w:rsidRPr="001F0C30">
        <w:rPr>
          <w:rFonts w:cs="Arial"/>
          <w:rtl/>
        </w:rPr>
        <w:t xml:space="preserve"> </w:t>
      </w:r>
      <w:r w:rsidRPr="001F0C30">
        <w:rPr>
          <w:rFonts w:cs="Arial" w:hint="cs"/>
          <w:rtl/>
        </w:rPr>
        <w:t>שכבר</w:t>
      </w:r>
      <w:r w:rsidRPr="001F0C30">
        <w:rPr>
          <w:rFonts w:cs="Arial"/>
          <w:rtl/>
        </w:rPr>
        <w:t xml:space="preserve"> </w:t>
      </w:r>
      <w:r w:rsidRPr="001F0C30">
        <w:rPr>
          <w:rFonts w:cs="Arial" w:hint="cs"/>
          <w:rtl/>
        </w:rPr>
        <w:t>נאסרה</w:t>
      </w:r>
      <w:r w:rsidRPr="001F0C30">
        <w:rPr>
          <w:rFonts w:cs="Arial"/>
          <w:rtl/>
        </w:rPr>
        <w:t xml:space="preserve"> </w:t>
      </w:r>
      <w:r w:rsidRPr="001F0C30">
        <w:rPr>
          <w:rFonts w:cs="Arial" w:hint="cs"/>
          <w:rtl/>
        </w:rPr>
        <w:t>ואח</w:t>
      </w:r>
      <w:r w:rsidRPr="001F0C30">
        <w:rPr>
          <w:rFonts w:cs="Arial"/>
          <w:rtl/>
        </w:rPr>
        <w:t>"</w:t>
      </w:r>
      <w:r w:rsidRPr="001F0C30">
        <w:rPr>
          <w:rFonts w:cs="Arial" w:hint="cs"/>
          <w:rtl/>
        </w:rPr>
        <w:t>כ</w:t>
      </w:r>
      <w:r w:rsidRPr="001F0C30">
        <w:rPr>
          <w:rFonts w:cs="Arial"/>
          <w:rtl/>
        </w:rPr>
        <w:t xml:space="preserve"> </w:t>
      </w:r>
      <w:r w:rsidRPr="001F0C30">
        <w:rPr>
          <w:rFonts w:cs="Arial" w:hint="cs"/>
          <w:rtl/>
        </w:rPr>
        <w:t>מבשל</w:t>
      </w:r>
      <w:r w:rsidRPr="001F0C30">
        <w:rPr>
          <w:rFonts w:cs="Arial"/>
          <w:rtl/>
        </w:rPr>
        <w:t xml:space="preserve"> </w:t>
      </w:r>
      <w:r w:rsidRPr="001F0C30">
        <w:rPr>
          <w:rFonts w:cs="Arial" w:hint="cs"/>
          <w:rtl/>
        </w:rPr>
        <w:t>בה</w:t>
      </w:r>
      <w:r w:rsidRPr="001F0C30">
        <w:rPr>
          <w:rFonts w:cs="Arial"/>
          <w:rtl/>
        </w:rPr>
        <w:t xml:space="preserve"> </w:t>
      </w:r>
      <w:r w:rsidRPr="001F0C30">
        <w:rPr>
          <w:rFonts w:cs="Arial" w:hint="cs"/>
          <w:rtl/>
        </w:rPr>
        <w:t>היתר</w:t>
      </w:r>
      <w:r w:rsidRPr="001F0C30">
        <w:rPr>
          <w:rFonts w:cs="Arial"/>
          <w:rtl/>
        </w:rPr>
        <w:t xml:space="preserve"> </w:t>
      </w:r>
      <w:r w:rsidRPr="001F0C30">
        <w:rPr>
          <w:rFonts w:cs="Arial" w:hint="cs"/>
          <w:rtl/>
        </w:rPr>
        <w:t>גוף</w:t>
      </w:r>
      <w:r w:rsidRPr="001F0C30">
        <w:rPr>
          <w:rFonts w:cs="Arial"/>
          <w:rtl/>
        </w:rPr>
        <w:t xml:space="preserve"> </w:t>
      </w:r>
      <w:r w:rsidRPr="001F0C30">
        <w:rPr>
          <w:rFonts w:cs="Arial" w:hint="cs"/>
          <w:rtl/>
        </w:rPr>
        <w:t>הקדירה</w:t>
      </w:r>
      <w:r w:rsidRPr="001F0C30">
        <w:rPr>
          <w:rFonts w:cs="Arial"/>
          <w:rtl/>
        </w:rPr>
        <w:t xml:space="preserve"> </w:t>
      </w:r>
      <w:r w:rsidRPr="001F0C30">
        <w:rPr>
          <w:rFonts w:cs="Arial" w:hint="cs"/>
          <w:rtl/>
        </w:rPr>
        <w:t>ודאי</w:t>
      </w:r>
      <w:r w:rsidRPr="001F0C30">
        <w:rPr>
          <w:rFonts w:cs="Arial"/>
          <w:rtl/>
        </w:rPr>
        <w:t xml:space="preserve"> </w:t>
      </w:r>
      <w:r w:rsidRPr="001F0C30">
        <w:rPr>
          <w:rFonts w:cs="Arial" w:hint="cs"/>
          <w:rtl/>
        </w:rPr>
        <w:t>מצטרף</w:t>
      </w:r>
      <w:r w:rsidRPr="001F0C30">
        <w:rPr>
          <w:rFonts w:cs="Arial"/>
          <w:rtl/>
        </w:rPr>
        <w:t xml:space="preserve"> </w:t>
      </w:r>
      <w:r w:rsidRPr="001F0C30">
        <w:rPr>
          <w:rFonts w:cs="Arial" w:hint="cs"/>
          <w:rtl/>
        </w:rPr>
        <w:t>לאיסור</w:t>
      </w:r>
      <w:r w:rsidRPr="001F0C30">
        <w:rPr>
          <w:rFonts w:cs="Arial"/>
          <w:rtl/>
        </w:rPr>
        <w:t xml:space="preserve"> </w:t>
      </w:r>
      <w:r w:rsidRPr="001F0C30">
        <w:rPr>
          <w:rFonts w:cs="Arial" w:hint="cs"/>
          <w:rtl/>
        </w:rPr>
        <w:t>וע</w:t>
      </w:r>
      <w:r w:rsidRPr="001F0C30">
        <w:rPr>
          <w:rFonts w:cs="Arial"/>
          <w:rtl/>
        </w:rPr>
        <w:t>"</w:t>
      </w:r>
      <w:r w:rsidRPr="001F0C30">
        <w:rPr>
          <w:rFonts w:cs="Arial" w:hint="cs"/>
          <w:rtl/>
        </w:rPr>
        <w:t>ז</w:t>
      </w:r>
      <w:r w:rsidRPr="001F0C30">
        <w:rPr>
          <w:rFonts w:cs="Arial"/>
          <w:rtl/>
        </w:rPr>
        <w:t xml:space="preserve"> </w:t>
      </w:r>
      <w:r w:rsidRPr="001F0C30">
        <w:rPr>
          <w:rFonts w:cs="Arial" w:hint="cs"/>
          <w:rtl/>
        </w:rPr>
        <w:t>כ</w:t>
      </w:r>
      <w:r>
        <w:rPr>
          <w:rFonts w:cs="Arial" w:hint="cs"/>
          <w:rtl/>
        </w:rPr>
        <w:t>'</w:t>
      </w:r>
      <w:r w:rsidRPr="001F0C30">
        <w:rPr>
          <w:rFonts w:cs="Arial"/>
          <w:rtl/>
        </w:rPr>
        <w:t xml:space="preserve"> </w:t>
      </w:r>
      <w:r w:rsidRPr="001F0C30">
        <w:rPr>
          <w:rFonts w:cs="Arial" w:hint="cs"/>
          <w:rtl/>
        </w:rPr>
        <w:t>הטור</w:t>
      </w:r>
      <w:r w:rsidRPr="001F0C30">
        <w:rPr>
          <w:rFonts w:cs="Arial"/>
          <w:rtl/>
        </w:rPr>
        <w:t xml:space="preserve"> </w:t>
      </w:r>
      <w:r w:rsidRPr="001F0C30">
        <w:rPr>
          <w:rFonts w:cs="Arial" w:hint="cs"/>
          <w:rtl/>
        </w:rPr>
        <w:t>לעיל</w:t>
      </w:r>
      <w:r w:rsidRPr="001F0C30">
        <w:rPr>
          <w:rFonts w:cs="Arial"/>
          <w:rtl/>
        </w:rPr>
        <w:t xml:space="preserve"> </w:t>
      </w:r>
      <w:r w:rsidRPr="001F0C30">
        <w:rPr>
          <w:rFonts w:cs="Arial" w:hint="cs"/>
          <w:rtl/>
        </w:rPr>
        <w:t>סי</w:t>
      </w:r>
      <w:r w:rsidRPr="001F0C30">
        <w:rPr>
          <w:rFonts w:cs="Arial"/>
          <w:rtl/>
        </w:rPr>
        <w:t xml:space="preserve">' </w:t>
      </w:r>
      <w:r w:rsidRPr="001F0C30">
        <w:rPr>
          <w:rFonts w:cs="Arial" w:hint="cs"/>
          <w:rtl/>
        </w:rPr>
        <w:t>צח</w:t>
      </w:r>
      <w:r w:rsidRPr="001F0C30">
        <w:rPr>
          <w:rFonts w:cs="Arial"/>
          <w:rtl/>
        </w:rPr>
        <w:t xml:space="preserve"> </w:t>
      </w:r>
      <w:r w:rsidRPr="001F0C30">
        <w:rPr>
          <w:rFonts w:cs="Arial" w:hint="cs"/>
          <w:rtl/>
        </w:rPr>
        <w:t>דלהחמיר</w:t>
      </w:r>
      <w:r w:rsidRPr="001F0C30">
        <w:rPr>
          <w:rFonts w:cs="Arial"/>
          <w:rtl/>
        </w:rPr>
        <w:t xml:space="preserve"> </w:t>
      </w:r>
      <w:r w:rsidRPr="001F0C30">
        <w:rPr>
          <w:rFonts w:cs="Arial" w:hint="cs"/>
          <w:rtl/>
        </w:rPr>
        <w:t>מצטרף</w:t>
      </w:r>
      <w:r w:rsidRPr="001F0C30">
        <w:rPr>
          <w:rFonts w:cs="Arial"/>
          <w:rtl/>
        </w:rPr>
        <w:t xml:space="preserve"> </w:t>
      </w:r>
      <w:r w:rsidRPr="001F0C30">
        <w:rPr>
          <w:rFonts w:cs="Arial" w:hint="cs"/>
          <w:rtl/>
        </w:rPr>
        <w:t>הקדירה</w:t>
      </w:r>
      <w:r>
        <w:rPr>
          <w:rFonts w:cs="Arial" w:hint="cs"/>
          <w:rtl/>
        </w:rPr>
        <w:t>,</w:t>
      </w:r>
      <w:r w:rsidRPr="001F0C30">
        <w:rPr>
          <w:rFonts w:hint="cs"/>
          <w:rtl/>
        </w:rPr>
        <w:t xml:space="preserve"> </w:t>
      </w:r>
      <w:r>
        <w:rPr>
          <w:rFonts w:hint="cs"/>
          <w:rtl/>
        </w:rPr>
        <w:t>ט"ז</w:t>
      </w:r>
      <w:r w:rsidRPr="001F0C30">
        <w:rPr>
          <w:rFonts w:hint="cs"/>
          <w:sz w:val="16"/>
          <w:szCs w:val="16"/>
          <w:rtl/>
        </w:rPr>
        <w:t xml:space="preserve"> (סק"ב)</w:t>
      </w:r>
      <w:r>
        <w:rPr>
          <w:rFonts w:hint="cs"/>
          <w:rtl/>
        </w:rPr>
        <w:t>.</w:t>
      </w:r>
    </w:p>
  </w:footnote>
  <w:footnote w:id="1864">
    <w:p w14:paraId="5119C5DA" w14:textId="77777777" w:rsidR="004C5A3C" w:rsidRDefault="004C5A3C" w:rsidP="002C39F4">
      <w:pPr>
        <w:pStyle w:val="a5"/>
      </w:pPr>
      <w:r>
        <w:rPr>
          <w:rStyle w:val="a7"/>
        </w:rPr>
        <w:footnoteRef/>
      </w:r>
      <w:r>
        <w:rPr>
          <w:rtl/>
        </w:rPr>
        <w:t xml:space="preserve"> </w:t>
      </w:r>
      <w:r w:rsidRPr="00E94D80">
        <w:rPr>
          <w:rFonts w:cs="Arial" w:hint="cs"/>
          <w:rtl/>
        </w:rPr>
        <w:t>וגם</w:t>
      </w:r>
      <w:r w:rsidRPr="00E94D80">
        <w:rPr>
          <w:rFonts w:cs="Arial"/>
          <w:rtl/>
        </w:rPr>
        <w:t xml:space="preserve"> </w:t>
      </w:r>
      <w:r w:rsidRPr="00E94D80">
        <w:rPr>
          <w:rFonts w:cs="Arial" w:hint="cs"/>
          <w:rtl/>
        </w:rPr>
        <w:t>לא</w:t>
      </w:r>
      <w:r w:rsidRPr="00E94D80">
        <w:rPr>
          <w:rFonts w:cs="Arial"/>
          <w:rtl/>
        </w:rPr>
        <w:t xml:space="preserve"> </w:t>
      </w:r>
      <w:r w:rsidRPr="00E94D80">
        <w:rPr>
          <w:rFonts w:cs="Arial" w:hint="cs"/>
          <w:rtl/>
        </w:rPr>
        <w:t>לאיסור</w:t>
      </w:r>
      <w:r w:rsidRPr="00E94D80">
        <w:rPr>
          <w:rFonts w:cs="Arial"/>
          <w:rtl/>
        </w:rPr>
        <w:t xml:space="preserve"> </w:t>
      </w:r>
      <w:r w:rsidRPr="00E94D80">
        <w:rPr>
          <w:rFonts w:cs="Arial" w:hint="cs"/>
          <w:rtl/>
        </w:rPr>
        <w:t>אבל</w:t>
      </w:r>
      <w:r w:rsidRPr="00E94D80">
        <w:rPr>
          <w:rFonts w:cs="Arial"/>
          <w:rtl/>
        </w:rPr>
        <w:t xml:space="preserve"> </w:t>
      </w:r>
      <w:r w:rsidRPr="00E94D80">
        <w:rPr>
          <w:rFonts w:cs="Arial" w:hint="cs"/>
          <w:rtl/>
        </w:rPr>
        <w:t>עצמות</w:t>
      </w:r>
      <w:r w:rsidRPr="00E94D80">
        <w:rPr>
          <w:rFonts w:cs="Arial"/>
          <w:rtl/>
        </w:rPr>
        <w:t xml:space="preserve"> </w:t>
      </w:r>
      <w:r w:rsidRPr="00E94D80">
        <w:rPr>
          <w:rFonts w:cs="Arial" w:hint="cs"/>
          <w:rtl/>
        </w:rPr>
        <w:t>ההיתר</w:t>
      </w:r>
      <w:r w:rsidRPr="00E94D80">
        <w:rPr>
          <w:rFonts w:cs="Arial"/>
          <w:rtl/>
        </w:rPr>
        <w:t xml:space="preserve"> </w:t>
      </w:r>
      <w:r w:rsidRPr="00E94D80">
        <w:rPr>
          <w:rFonts w:cs="Arial" w:hint="cs"/>
          <w:rtl/>
        </w:rPr>
        <w:t>מצטרפים</w:t>
      </w:r>
      <w:r w:rsidRPr="00E94D80">
        <w:rPr>
          <w:rFonts w:cs="Arial"/>
          <w:rtl/>
        </w:rPr>
        <w:t xml:space="preserve"> </w:t>
      </w:r>
      <w:r w:rsidRPr="00E94D80">
        <w:rPr>
          <w:rFonts w:cs="Arial" w:hint="cs"/>
          <w:rtl/>
        </w:rPr>
        <w:t>להיתר</w:t>
      </w:r>
      <w:r>
        <w:rPr>
          <w:rFonts w:cs="Arial" w:hint="cs"/>
          <w:rtl/>
        </w:rPr>
        <w:t>,</w:t>
      </w:r>
      <w:r w:rsidRPr="00E94D80">
        <w:rPr>
          <w:rFonts w:cs="Arial"/>
          <w:rtl/>
        </w:rPr>
        <w:t xml:space="preserve"> </w:t>
      </w:r>
      <w:r w:rsidRPr="00E94D80">
        <w:rPr>
          <w:rFonts w:cs="Arial" w:hint="cs"/>
          <w:rtl/>
        </w:rPr>
        <w:t>והכי</w:t>
      </w:r>
      <w:r w:rsidRPr="00E94D80">
        <w:rPr>
          <w:rFonts w:cs="Arial"/>
          <w:rtl/>
        </w:rPr>
        <w:t xml:space="preserve"> </w:t>
      </w:r>
      <w:r w:rsidRPr="00E94D80">
        <w:rPr>
          <w:rFonts w:cs="Arial" w:hint="cs"/>
          <w:rtl/>
        </w:rPr>
        <w:t>איתא</w:t>
      </w:r>
      <w:r w:rsidRPr="00E94D80">
        <w:rPr>
          <w:rFonts w:cs="Arial"/>
          <w:rtl/>
        </w:rPr>
        <w:t xml:space="preserve"> </w:t>
      </w:r>
      <w:r w:rsidRPr="00E94D80">
        <w:rPr>
          <w:rFonts w:cs="Arial" w:hint="cs"/>
          <w:rtl/>
        </w:rPr>
        <w:t>בהגש</w:t>
      </w:r>
      <w:r>
        <w:rPr>
          <w:rFonts w:cs="Arial" w:hint="cs"/>
          <w:rtl/>
        </w:rPr>
        <w:t>ע</w:t>
      </w:r>
      <w:r w:rsidRPr="00E94D80">
        <w:rPr>
          <w:rFonts w:cs="Arial"/>
          <w:rtl/>
        </w:rPr>
        <w:t>"</w:t>
      </w:r>
      <w:r w:rsidRPr="00E94D80">
        <w:rPr>
          <w:rFonts w:cs="Arial" w:hint="cs"/>
          <w:rtl/>
        </w:rPr>
        <w:t>ד</w:t>
      </w:r>
      <w:r w:rsidRPr="00E94D80">
        <w:rPr>
          <w:rFonts w:cs="Arial"/>
          <w:rtl/>
        </w:rPr>
        <w:t xml:space="preserve"> </w:t>
      </w:r>
      <w:r w:rsidRPr="00E94D80">
        <w:rPr>
          <w:rFonts w:cs="Arial" w:hint="cs"/>
          <w:rtl/>
        </w:rPr>
        <w:t>סי</w:t>
      </w:r>
      <w:r>
        <w:rPr>
          <w:rFonts w:cs="Arial" w:hint="cs"/>
          <w:rtl/>
        </w:rPr>
        <w:t>'</w:t>
      </w:r>
      <w:r w:rsidRPr="00E94D80">
        <w:rPr>
          <w:rFonts w:cs="Arial"/>
          <w:rtl/>
        </w:rPr>
        <w:t xml:space="preserve"> </w:t>
      </w:r>
      <w:r w:rsidRPr="00E94D80">
        <w:rPr>
          <w:rFonts w:cs="Arial" w:hint="cs"/>
          <w:rtl/>
        </w:rPr>
        <w:t>נ</w:t>
      </w:r>
      <w:r w:rsidRPr="00E94D80">
        <w:rPr>
          <w:rFonts w:cs="Arial"/>
          <w:rtl/>
        </w:rPr>
        <w:t>"</w:t>
      </w:r>
      <w:r w:rsidRPr="00E94D80">
        <w:rPr>
          <w:rFonts w:cs="Arial" w:hint="cs"/>
          <w:rtl/>
        </w:rPr>
        <w:t>ה</w:t>
      </w:r>
      <w:r w:rsidRPr="00E94D80">
        <w:rPr>
          <w:rFonts w:cs="Arial"/>
          <w:rtl/>
        </w:rPr>
        <w:t xml:space="preserve"> </w:t>
      </w:r>
      <w:r w:rsidRPr="00E94D80">
        <w:rPr>
          <w:rFonts w:cs="Arial" w:hint="cs"/>
          <w:rtl/>
        </w:rPr>
        <w:t>בשם</w:t>
      </w:r>
      <w:r w:rsidRPr="00E94D80">
        <w:rPr>
          <w:rFonts w:cs="Arial"/>
          <w:rtl/>
        </w:rPr>
        <w:t xml:space="preserve"> </w:t>
      </w:r>
      <w:r w:rsidRPr="00E94D80">
        <w:rPr>
          <w:rFonts w:cs="Arial" w:hint="cs"/>
          <w:rtl/>
        </w:rPr>
        <w:t>א</w:t>
      </w:r>
      <w:r>
        <w:rPr>
          <w:rFonts w:cs="Arial" w:hint="cs"/>
          <w:rtl/>
        </w:rPr>
        <w:t>ו</w:t>
      </w:r>
      <w:r w:rsidRPr="00E94D80">
        <w:rPr>
          <w:rFonts w:cs="Arial"/>
          <w:rtl/>
        </w:rPr>
        <w:t>"</w:t>
      </w:r>
      <w:r w:rsidRPr="00E94D80">
        <w:rPr>
          <w:rFonts w:cs="Arial" w:hint="cs"/>
          <w:rtl/>
        </w:rPr>
        <w:t>ז</w:t>
      </w:r>
      <w:r>
        <w:rPr>
          <w:rFonts w:cs="Arial" w:hint="cs"/>
          <w:rtl/>
        </w:rPr>
        <w:t>, ש"ך (סק"ב).</w:t>
      </w:r>
    </w:p>
  </w:footnote>
  <w:footnote w:id="1865">
    <w:p w14:paraId="64C82FBC" w14:textId="77777777" w:rsidR="004C5A3C" w:rsidRDefault="004C5A3C" w:rsidP="002C39F4">
      <w:pPr>
        <w:pStyle w:val="a5"/>
        <w:rPr>
          <w:rtl/>
        </w:rPr>
      </w:pPr>
      <w:r>
        <w:rPr>
          <w:rStyle w:val="a7"/>
        </w:rPr>
        <w:footnoteRef/>
      </w:r>
      <w:r>
        <w:rPr>
          <w:rtl/>
        </w:rPr>
        <w:t xml:space="preserve"> </w:t>
      </w:r>
      <w:r w:rsidRPr="000F2C73">
        <w:rPr>
          <w:rFonts w:cs="Arial" w:hint="cs"/>
          <w:rtl/>
        </w:rPr>
        <w:t>ז</w:t>
      </w:r>
      <w:r w:rsidRPr="000F2C73">
        <w:rPr>
          <w:rFonts w:cs="Arial"/>
          <w:rtl/>
        </w:rPr>
        <w:t>"</w:t>
      </w:r>
      <w:r w:rsidRPr="000F2C73">
        <w:rPr>
          <w:rFonts w:cs="Arial" w:hint="cs"/>
          <w:rtl/>
        </w:rPr>
        <w:t>ל</w:t>
      </w:r>
      <w:r w:rsidRPr="000F2C73">
        <w:rPr>
          <w:rFonts w:cs="Arial"/>
          <w:rtl/>
        </w:rPr>
        <w:t xml:space="preserve"> </w:t>
      </w:r>
      <w:r w:rsidRPr="000F2C73">
        <w:rPr>
          <w:rFonts w:cs="Arial" w:hint="cs"/>
          <w:rtl/>
        </w:rPr>
        <w:t>הב</w:t>
      </w:r>
      <w:r w:rsidRPr="000F2C73">
        <w:rPr>
          <w:rFonts w:cs="Arial"/>
          <w:rtl/>
        </w:rPr>
        <w:t>"</w:t>
      </w:r>
      <w:r w:rsidRPr="000F2C73">
        <w:rPr>
          <w:rFonts w:cs="Arial" w:hint="cs"/>
          <w:rtl/>
        </w:rPr>
        <w:t>ח</w:t>
      </w:r>
      <w:r>
        <w:rPr>
          <w:rFonts w:cs="Arial" w:hint="cs"/>
          <w:rtl/>
        </w:rPr>
        <w:t>-</w:t>
      </w:r>
      <w:r w:rsidRPr="000F2C73">
        <w:rPr>
          <w:rFonts w:cs="Arial"/>
          <w:rtl/>
        </w:rPr>
        <w:t xml:space="preserve"> </w:t>
      </w:r>
      <w:r w:rsidRPr="000F2C73">
        <w:rPr>
          <w:rFonts w:cs="Arial" w:hint="cs"/>
          <w:rtl/>
        </w:rPr>
        <w:t>ויש</w:t>
      </w:r>
      <w:r w:rsidRPr="000F2C73">
        <w:rPr>
          <w:rFonts w:cs="Arial"/>
          <w:rtl/>
        </w:rPr>
        <w:t xml:space="preserve"> </w:t>
      </w:r>
      <w:r w:rsidRPr="000F2C73">
        <w:rPr>
          <w:rFonts w:cs="Arial" w:hint="cs"/>
          <w:rtl/>
        </w:rPr>
        <w:t>לתמוה</w:t>
      </w:r>
      <w:r w:rsidRPr="000F2C73">
        <w:rPr>
          <w:rFonts w:cs="Arial"/>
          <w:rtl/>
        </w:rPr>
        <w:t xml:space="preserve"> </w:t>
      </w:r>
      <w:r w:rsidRPr="000F2C73">
        <w:rPr>
          <w:rFonts w:cs="Arial" w:hint="cs"/>
          <w:rtl/>
        </w:rPr>
        <w:t>דה</w:t>
      </w:r>
      <w:r>
        <w:rPr>
          <w:rFonts w:cs="Arial" w:hint="cs"/>
          <w:rtl/>
        </w:rPr>
        <w:t>ו</w:t>
      </w:r>
      <w:r w:rsidRPr="000F2C73">
        <w:rPr>
          <w:rFonts w:cs="Arial"/>
          <w:rtl/>
        </w:rPr>
        <w:t>"</w:t>
      </w:r>
      <w:r w:rsidRPr="000F2C73">
        <w:rPr>
          <w:rFonts w:cs="Arial" w:hint="cs"/>
          <w:rtl/>
        </w:rPr>
        <w:t>ל</w:t>
      </w:r>
      <w:r w:rsidRPr="000F2C73">
        <w:rPr>
          <w:rFonts w:cs="Arial"/>
          <w:rtl/>
        </w:rPr>
        <w:t xml:space="preserve"> </w:t>
      </w:r>
      <w:r w:rsidRPr="000F2C73">
        <w:rPr>
          <w:rFonts w:cs="Arial" w:hint="cs"/>
          <w:rtl/>
        </w:rPr>
        <w:t>לפסוק</w:t>
      </w:r>
      <w:r w:rsidRPr="000F2C73">
        <w:rPr>
          <w:rFonts w:cs="Arial"/>
          <w:rtl/>
        </w:rPr>
        <w:t xml:space="preserve"> </w:t>
      </w:r>
      <w:r w:rsidRPr="000F2C73">
        <w:rPr>
          <w:rFonts w:cs="Arial" w:hint="cs"/>
          <w:rtl/>
        </w:rPr>
        <w:t>דהעצמות</w:t>
      </w:r>
      <w:r w:rsidRPr="000F2C73">
        <w:rPr>
          <w:rFonts w:cs="Arial"/>
          <w:rtl/>
        </w:rPr>
        <w:t xml:space="preserve"> </w:t>
      </w:r>
      <w:r w:rsidRPr="000F2C73">
        <w:rPr>
          <w:rFonts w:cs="Arial" w:hint="cs"/>
          <w:rtl/>
        </w:rPr>
        <w:t>האיסור</w:t>
      </w:r>
      <w:r w:rsidRPr="000F2C73">
        <w:rPr>
          <w:rFonts w:cs="Arial"/>
          <w:rtl/>
        </w:rPr>
        <w:t xml:space="preserve"> </w:t>
      </w:r>
      <w:r w:rsidRPr="000F2C73">
        <w:rPr>
          <w:rFonts w:cs="Arial" w:hint="cs"/>
          <w:rtl/>
        </w:rPr>
        <w:t>מצטרפים</w:t>
      </w:r>
      <w:r w:rsidRPr="000F2C73">
        <w:rPr>
          <w:rFonts w:cs="Arial"/>
          <w:rtl/>
        </w:rPr>
        <w:t xml:space="preserve"> </w:t>
      </w:r>
      <w:r w:rsidRPr="000F2C73">
        <w:rPr>
          <w:rFonts w:cs="Arial" w:hint="cs"/>
          <w:rtl/>
        </w:rPr>
        <w:t>אל</w:t>
      </w:r>
      <w:r w:rsidRPr="000F2C73">
        <w:rPr>
          <w:rFonts w:cs="Arial"/>
          <w:rtl/>
        </w:rPr>
        <w:t xml:space="preserve"> </w:t>
      </w:r>
      <w:r w:rsidRPr="000F2C73">
        <w:rPr>
          <w:rFonts w:cs="Arial" w:hint="cs"/>
          <w:rtl/>
        </w:rPr>
        <w:t>האיסור</w:t>
      </w:r>
      <w:r w:rsidRPr="000F2C73">
        <w:rPr>
          <w:rFonts w:cs="Arial"/>
          <w:rtl/>
        </w:rPr>
        <w:t xml:space="preserve"> </w:t>
      </w:r>
      <w:r w:rsidRPr="000F2C73">
        <w:rPr>
          <w:rFonts w:cs="Arial" w:hint="cs"/>
          <w:rtl/>
        </w:rPr>
        <w:t>דכיון</w:t>
      </w:r>
      <w:r w:rsidRPr="000F2C73">
        <w:rPr>
          <w:rFonts w:cs="Arial"/>
          <w:rtl/>
        </w:rPr>
        <w:t xml:space="preserve"> </w:t>
      </w:r>
      <w:r w:rsidRPr="000F2C73">
        <w:rPr>
          <w:rFonts w:cs="Arial" w:hint="cs"/>
          <w:rtl/>
        </w:rPr>
        <w:t>שהם</w:t>
      </w:r>
      <w:r w:rsidRPr="000F2C73">
        <w:rPr>
          <w:rFonts w:cs="Arial"/>
          <w:rtl/>
        </w:rPr>
        <w:t xml:space="preserve"> </w:t>
      </w:r>
      <w:r w:rsidRPr="000F2C73">
        <w:rPr>
          <w:rFonts w:cs="Arial" w:hint="cs"/>
          <w:rtl/>
        </w:rPr>
        <w:t>דבוקים</w:t>
      </w:r>
      <w:r w:rsidRPr="000F2C73">
        <w:rPr>
          <w:rFonts w:cs="Arial"/>
          <w:rtl/>
        </w:rPr>
        <w:t xml:space="preserve"> </w:t>
      </w:r>
      <w:r w:rsidRPr="000F2C73">
        <w:rPr>
          <w:rFonts w:cs="Arial" w:hint="cs"/>
          <w:rtl/>
        </w:rPr>
        <w:t>בבשר</w:t>
      </w:r>
      <w:r w:rsidRPr="000F2C73">
        <w:rPr>
          <w:rFonts w:cs="Arial"/>
          <w:rtl/>
        </w:rPr>
        <w:t xml:space="preserve"> </w:t>
      </w:r>
      <w:r w:rsidRPr="000F2C73">
        <w:rPr>
          <w:rFonts w:cs="Arial" w:hint="cs"/>
          <w:rtl/>
        </w:rPr>
        <w:t>קבלו</w:t>
      </w:r>
      <w:r w:rsidRPr="000F2C73">
        <w:rPr>
          <w:rFonts w:cs="Arial"/>
          <w:rtl/>
        </w:rPr>
        <w:t xml:space="preserve"> </w:t>
      </w:r>
      <w:r w:rsidRPr="000F2C73">
        <w:rPr>
          <w:rFonts w:cs="Arial" w:hint="cs"/>
          <w:rtl/>
        </w:rPr>
        <w:t>תחלה</w:t>
      </w:r>
      <w:r w:rsidRPr="000F2C73">
        <w:rPr>
          <w:rFonts w:cs="Arial"/>
          <w:rtl/>
        </w:rPr>
        <w:t xml:space="preserve"> </w:t>
      </w:r>
      <w:r w:rsidRPr="000F2C73">
        <w:rPr>
          <w:rFonts w:cs="Arial" w:hint="cs"/>
          <w:rtl/>
        </w:rPr>
        <w:t>טעם</w:t>
      </w:r>
      <w:r w:rsidRPr="000F2C73">
        <w:rPr>
          <w:rFonts w:cs="Arial"/>
          <w:rtl/>
        </w:rPr>
        <w:t xml:space="preserve"> </w:t>
      </w:r>
      <w:r w:rsidRPr="000F2C73">
        <w:rPr>
          <w:rFonts w:cs="Arial" w:hint="cs"/>
          <w:rtl/>
        </w:rPr>
        <w:t>האיסור</w:t>
      </w:r>
      <w:r w:rsidRPr="000F2C73">
        <w:rPr>
          <w:rFonts w:cs="Arial"/>
          <w:rtl/>
        </w:rPr>
        <w:t xml:space="preserve"> </w:t>
      </w:r>
      <w:r w:rsidRPr="000F2C73">
        <w:rPr>
          <w:rFonts w:cs="Arial" w:hint="cs"/>
          <w:rtl/>
        </w:rPr>
        <w:t>ונ</w:t>
      </w:r>
      <w:r w:rsidRPr="000F2C73">
        <w:rPr>
          <w:rFonts w:cs="Arial"/>
          <w:rtl/>
        </w:rPr>
        <w:t>"</w:t>
      </w:r>
      <w:r w:rsidRPr="000F2C73">
        <w:rPr>
          <w:rFonts w:cs="Arial" w:hint="cs"/>
          <w:rtl/>
        </w:rPr>
        <w:t>נ</w:t>
      </w:r>
      <w:r w:rsidRPr="000F2C73">
        <w:rPr>
          <w:rFonts w:cs="Arial"/>
          <w:rtl/>
        </w:rPr>
        <w:t xml:space="preserve"> </w:t>
      </w:r>
      <w:r w:rsidRPr="000F2C73">
        <w:rPr>
          <w:rFonts w:cs="Arial" w:hint="cs"/>
          <w:rtl/>
        </w:rPr>
        <w:t>ואיהו</w:t>
      </w:r>
      <w:r w:rsidRPr="000F2C73">
        <w:rPr>
          <w:rFonts w:cs="Arial"/>
          <w:rtl/>
        </w:rPr>
        <w:t xml:space="preserve"> </w:t>
      </w:r>
      <w:r w:rsidRPr="000F2C73">
        <w:rPr>
          <w:rFonts w:cs="Arial" w:hint="cs"/>
          <w:rtl/>
        </w:rPr>
        <w:t>סובר</w:t>
      </w:r>
      <w:r w:rsidRPr="000F2C73">
        <w:rPr>
          <w:rFonts w:cs="Arial"/>
          <w:rtl/>
        </w:rPr>
        <w:t xml:space="preserve"> (</w:t>
      </w:r>
      <w:r w:rsidRPr="000F2C73">
        <w:rPr>
          <w:rFonts w:cs="Arial" w:hint="cs"/>
          <w:rtl/>
        </w:rPr>
        <w:t>לעיל</w:t>
      </w:r>
      <w:r w:rsidRPr="000F2C73">
        <w:rPr>
          <w:rFonts w:cs="Arial"/>
          <w:rtl/>
        </w:rPr>
        <w:t xml:space="preserve"> </w:t>
      </w:r>
      <w:r w:rsidRPr="000F2C73">
        <w:rPr>
          <w:rFonts w:cs="Arial" w:hint="cs"/>
          <w:rtl/>
        </w:rPr>
        <w:t>סי</w:t>
      </w:r>
      <w:r>
        <w:rPr>
          <w:rFonts w:cs="Arial" w:hint="cs"/>
          <w:rtl/>
        </w:rPr>
        <w:t>'</w:t>
      </w:r>
      <w:r w:rsidRPr="000F2C73">
        <w:rPr>
          <w:rFonts w:cs="Arial"/>
          <w:rtl/>
        </w:rPr>
        <w:t xml:space="preserve"> </w:t>
      </w:r>
      <w:r w:rsidRPr="000F2C73">
        <w:rPr>
          <w:rFonts w:cs="Arial" w:hint="cs"/>
          <w:rtl/>
        </w:rPr>
        <w:t>צח</w:t>
      </w:r>
      <w:r w:rsidRPr="000F2C73">
        <w:rPr>
          <w:rFonts w:cs="Arial"/>
          <w:rtl/>
        </w:rPr>
        <w:t xml:space="preserve"> </w:t>
      </w:r>
      <w:r w:rsidRPr="000F2C73">
        <w:rPr>
          <w:rFonts w:cs="Arial" w:hint="cs"/>
          <w:rtl/>
        </w:rPr>
        <w:t>ס</w:t>
      </w:r>
      <w:r w:rsidRPr="000F2C73">
        <w:rPr>
          <w:rFonts w:cs="Arial"/>
          <w:rtl/>
        </w:rPr>
        <w:t>"</w:t>
      </w:r>
      <w:r w:rsidRPr="000F2C73">
        <w:rPr>
          <w:rFonts w:cs="Arial" w:hint="cs"/>
          <w:rtl/>
        </w:rPr>
        <w:t>ה</w:t>
      </w:r>
      <w:r w:rsidRPr="000F2C73">
        <w:rPr>
          <w:rFonts w:cs="Arial"/>
          <w:rtl/>
        </w:rPr>
        <w:t xml:space="preserve">) </w:t>
      </w:r>
      <w:r w:rsidRPr="000F2C73">
        <w:rPr>
          <w:rFonts w:cs="Arial" w:hint="cs"/>
          <w:rtl/>
        </w:rPr>
        <w:t>דאף</w:t>
      </w:r>
      <w:r w:rsidRPr="000F2C73">
        <w:rPr>
          <w:rFonts w:cs="Arial"/>
          <w:rtl/>
        </w:rPr>
        <w:t xml:space="preserve"> </w:t>
      </w:r>
      <w:r w:rsidRPr="000F2C73">
        <w:rPr>
          <w:rFonts w:cs="Arial" w:hint="cs"/>
          <w:rtl/>
        </w:rPr>
        <w:t>בדבר</w:t>
      </w:r>
      <w:r w:rsidRPr="000F2C73">
        <w:rPr>
          <w:rFonts w:cs="Arial"/>
          <w:rtl/>
        </w:rPr>
        <w:t xml:space="preserve"> </w:t>
      </w:r>
      <w:r w:rsidRPr="000F2C73">
        <w:rPr>
          <w:rFonts w:cs="Arial" w:hint="cs"/>
          <w:rtl/>
        </w:rPr>
        <w:t>שאין</w:t>
      </w:r>
      <w:r w:rsidRPr="000F2C73">
        <w:rPr>
          <w:rFonts w:cs="Arial"/>
          <w:rtl/>
        </w:rPr>
        <w:t xml:space="preserve"> </w:t>
      </w:r>
      <w:r w:rsidRPr="000F2C73">
        <w:rPr>
          <w:rFonts w:cs="Arial" w:hint="cs"/>
          <w:rtl/>
        </w:rPr>
        <w:t>לו</w:t>
      </w:r>
      <w:r w:rsidRPr="000F2C73">
        <w:rPr>
          <w:rFonts w:cs="Arial"/>
          <w:rtl/>
        </w:rPr>
        <w:t xml:space="preserve"> </w:t>
      </w:r>
      <w:r w:rsidRPr="000F2C73">
        <w:rPr>
          <w:rFonts w:cs="Arial" w:hint="cs"/>
          <w:rtl/>
        </w:rPr>
        <w:t>טעם</w:t>
      </w:r>
      <w:r w:rsidRPr="000F2C73">
        <w:rPr>
          <w:rFonts w:cs="Arial"/>
          <w:rtl/>
        </w:rPr>
        <w:t xml:space="preserve"> </w:t>
      </w:r>
      <w:r w:rsidRPr="000F2C73">
        <w:rPr>
          <w:rFonts w:cs="Arial" w:hint="cs"/>
          <w:rtl/>
        </w:rPr>
        <w:t>מעצמו</w:t>
      </w:r>
      <w:r w:rsidRPr="000F2C73">
        <w:rPr>
          <w:rFonts w:cs="Arial"/>
          <w:rtl/>
        </w:rPr>
        <w:t xml:space="preserve"> </w:t>
      </w:r>
      <w:r w:rsidRPr="000F2C73">
        <w:rPr>
          <w:rFonts w:cs="Arial" w:hint="cs"/>
          <w:rtl/>
        </w:rPr>
        <w:t>אמרינן</w:t>
      </w:r>
      <w:r w:rsidRPr="000F2C73">
        <w:rPr>
          <w:rFonts w:cs="Arial"/>
          <w:rtl/>
        </w:rPr>
        <w:t xml:space="preserve"> </w:t>
      </w:r>
      <w:r w:rsidRPr="000F2C73">
        <w:rPr>
          <w:rFonts w:cs="Arial" w:hint="cs"/>
          <w:rtl/>
        </w:rPr>
        <w:t>חנ</w:t>
      </w:r>
      <w:r w:rsidRPr="000F2C73">
        <w:rPr>
          <w:rFonts w:cs="Arial"/>
          <w:rtl/>
        </w:rPr>
        <w:t>"</w:t>
      </w:r>
      <w:r w:rsidRPr="000F2C73">
        <w:rPr>
          <w:rFonts w:cs="Arial" w:hint="cs"/>
          <w:rtl/>
        </w:rPr>
        <w:t>נ</w:t>
      </w:r>
      <w:r>
        <w:rPr>
          <w:rFonts w:cs="Arial" w:hint="cs"/>
          <w:rtl/>
        </w:rPr>
        <w:t>, ע"כ.</w:t>
      </w:r>
      <w:r w:rsidRPr="000F2C73">
        <w:rPr>
          <w:rFonts w:cs="Arial"/>
          <w:rtl/>
        </w:rPr>
        <w:t xml:space="preserve"> </w:t>
      </w:r>
      <w:r>
        <w:rPr>
          <w:rFonts w:cs="Arial" w:hint="cs"/>
          <w:rtl/>
        </w:rPr>
        <w:t>וכ' הט"ז (סק"ב) והש"ך (סק"ג) ד</w:t>
      </w:r>
      <w:r w:rsidRPr="000F2C73">
        <w:rPr>
          <w:rFonts w:cs="Arial" w:hint="cs"/>
          <w:rtl/>
        </w:rPr>
        <w:t>אין</w:t>
      </w:r>
      <w:r w:rsidRPr="000F2C73">
        <w:rPr>
          <w:rFonts w:cs="Arial"/>
          <w:rtl/>
        </w:rPr>
        <w:t xml:space="preserve"> </w:t>
      </w:r>
      <w:r w:rsidRPr="000F2C73">
        <w:rPr>
          <w:rFonts w:cs="Arial" w:hint="cs"/>
          <w:rtl/>
        </w:rPr>
        <w:t>כאן</w:t>
      </w:r>
      <w:r w:rsidRPr="000F2C73">
        <w:rPr>
          <w:rFonts w:cs="Arial"/>
          <w:rtl/>
        </w:rPr>
        <w:t xml:space="preserve"> </w:t>
      </w:r>
      <w:r w:rsidRPr="000F2C73">
        <w:rPr>
          <w:rFonts w:cs="Arial" w:hint="cs"/>
          <w:rtl/>
        </w:rPr>
        <w:t>תימה</w:t>
      </w:r>
      <w:r>
        <w:rPr>
          <w:rFonts w:cs="Arial" w:hint="cs"/>
          <w:rtl/>
        </w:rPr>
        <w:t>,</w:t>
      </w:r>
      <w:r w:rsidRPr="000F2C73">
        <w:rPr>
          <w:rFonts w:cs="Arial"/>
          <w:rtl/>
        </w:rPr>
        <w:t xml:space="preserve"> </w:t>
      </w:r>
      <w:r w:rsidRPr="000F2C73">
        <w:rPr>
          <w:rFonts w:cs="Arial" w:hint="cs"/>
          <w:rtl/>
        </w:rPr>
        <w:t>דע</w:t>
      </w:r>
      <w:r w:rsidRPr="000F2C73">
        <w:rPr>
          <w:rFonts w:cs="Arial"/>
          <w:rtl/>
        </w:rPr>
        <w:t>"</w:t>
      </w:r>
      <w:r w:rsidRPr="000F2C73">
        <w:rPr>
          <w:rFonts w:cs="Arial" w:hint="cs"/>
          <w:rtl/>
        </w:rPr>
        <w:t>כ</w:t>
      </w:r>
      <w:r w:rsidRPr="000F2C73">
        <w:rPr>
          <w:rFonts w:cs="Arial"/>
          <w:rtl/>
        </w:rPr>
        <w:t xml:space="preserve"> </w:t>
      </w:r>
      <w:r w:rsidRPr="000F2C73">
        <w:rPr>
          <w:rFonts w:cs="Arial" w:hint="cs"/>
          <w:rtl/>
        </w:rPr>
        <w:t>לא</w:t>
      </w:r>
      <w:r w:rsidRPr="000F2C73">
        <w:rPr>
          <w:rFonts w:cs="Arial"/>
          <w:rtl/>
        </w:rPr>
        <w:t xml:space="preserve"> </w:t>
      </w:r>
      <w:r w:rsidRPr="000F2C73">
        <w:rPr>
          <w:rFonts w:cs="Arial" w:hint="cs"/>
          <w:rtl/>
        </w:rPr>
        <w:t>כתב</w:t>
      </w:r>
      <w:r w:rsidRPr="000F2C73">
        <w:rPr>
          <w:rFonts w:cs="Arial"/>
          <w:rtl/>
        </w:rPr>
        <w:t xml:space="preserve"> </w:t>
      </w:r>
      <w:r w:rsidRPr="000F2C73">
        <w:rPr>
          <w:rFonts w:cs="Arial" w:hint="cs"/>
          <w:rtl/>
        </w:rPr>
        <w:t>הרב</w:t>
      </w:r>
      <w:r w:rsidRPr="000F2C73">
        <w:rPr>
          <w:rFonts w:cs="Arial"/>
          <w:rtl/>
        </w:rPr>
        <w:t xml:space="preserve"> </w:t>
      </w:r>
      <w:r w:rsidRPr="000F2C73">
        <w:rPr>
          <w:rFonts w:cs="Arial" w:hint="cs"/>
          <w:rtl/>
        </w:rPr>
        <w:t>לעיל</w:t>
      </w:r>
      <w:r w:rsidRPr="000F2C73">
        <w:rPr>
          <w:rFonts w:cs="Arial"/>
          <w:rtl/>
        </w:rPr>
        <w:t xml:space="preserve"> </w:t>
      </w:r>
      <w:r w:rsidRPr="000F2C73">
        <w:rPr>
          <w:rFonts w:cs="Arial" w:hint="cs"/>
          <w:rtl/>
        </w:rPr>
        <w:t>בסי</w:t>
      </w:r>
      <w:r w:rsidRPr="000F2C73">
        <w:rPr>
          <w:rFonts w:cs="Arial"/>
          <w:rtl/>
        </w:rPr>
        <w:t xml:space="preserve">' </w:t>
      </w:r>
      <w:r w:rsidRPr="000F2C73">
        <w:rPr>
          <w:rFonts w:cs="Arial" w:hint="cs"/>
          <w:rtl/>
        </w:rPr>
        <w:t>צ</w:t>
      </w:r>
      <w:r w:rsidRPr="000F2C73">
        <w:rPr>
          <w:rFonts w:cs="Arial"/>
          <w:rtl/>
        </w:rPr>
        <w:t>"</w:t>
      </w:r>
      <w:r w:rsidRPr="000F2C73">
        <w:rPr>
          <w:rFonts w:cs="Arial" w:hint="cs"/>
          <w:rtl/>
        </w:rPr>
        <w:t>ח</w:t>
      </w:r>
      <w:r w:rsidRPr="000F2C73">
        <w:rPr>
          <w:rFonts w:cs="Arial"/>
          <w:rtl/>
        </w:rPr>
        <w:t xml:space="preserve"> </w:t>
      </w:r>
      <w:r w:rsidRPr="000F2C73">
        <w:rPr>
          <w:rFonts w:cs="Arial" w:hint="cs"/>
          <w:rtl/>
        </w:rPr>
        <w:t>ס</w:t>
      </w:r>
      <w:r w:rsidRPr="000F2C73">
        <w:rPr>
          <w:rFonts w:cs="Arial"/>
          <w:rtl/>
        </w:rPr>
        <w:t>"</w:t>
      </w:r>
      <w:r w:rsidRPr="000F2C73">
        <w:rPr>
          <w:rFonts w:cs="Arial" w:hint="cs"/>
          <w:rtl/>
        </w:rPr>
        <w:t>ה</w:t>
      </w:r>
      <w:r w:rsidRPr="000F2C73">
        <w:rPr>
          <w:rFonts w:cs="Arial"/>
          <w:rtl/>
        </w:rPr>
        <w:t xml:space="preserve"> </w:t>
      </w:r>
      <w:r w:rsidRPr="000F2C73">
        <w:rPr>
          <w:rFonts w:cs="Arial" w:hint="cs"/>
          <w:rtl/>
        </w:rPr>
        <w:t>דיש</w:t>
      </w:r>
      <w:r w:rsidRPr="000F2C73">
        <w:rPr>
          <w:rFonts w:cs="Arial"/>
          <w:rtl/>
        </w:rPr>
        <w:t xml:space="preserve"> </w:t>
      </w:r>
      <w:r w:rsidRPr="000F2C73">
        <w:rPr>
          <w:rFonts w:cs="Arial" w:hint="cs"/>
          <w:rtl/>
        </w:rPr>
        <w:t>לחוש</w:t>
      </w:r>
      <w:r w:rsidRPr="000F2C73">
        <w:rPr>
          <w:rFonts w:cs="Arial"/>
          <w:rtl/>
        </w:rPr>
        <w:t xml:space="preserve"> </w:t>
      </w:r>
      <w:r w:rsidRPr="000F2C73">
        <w:rPr>
          <w:rFonts w:cs="Arial" w:hint="cs"/>
          <w:rtl/>
        </w:rPr>
        <w:t>לחומרא</w:t>
      </w:r>
      <w:r w:rsidRPr="000F2C73">
        <w:rPr>
          <w:rFonts w:cs="Arial"/>
          <w:rtl/>
        </w:rPr>
        <w:t xml:space="preserve"> </w:t>
      </w:r>
      <w:r w:rsidRPr="000F2C73">
        <w:rPr>
          <w:rFonts w:cs="Arial" w:hint="cs"/>
          <w:rtl/>
        </w:rPr>
        <w:t>בכלי</w:t>
      </w:r>
      <w:r w:rsidRPr="000F2C73">
        <w:rPr>
          <w:rFonts w:cs="Arial"/>
          <w:rtl/>
        </w:rPr>
        <w:t xml:space="preserve"> </w:t>
      </w:r>
      <w:r w:rsidRPr="000F2C73">
        <w:rPr>
          <w:rFonts w:cs="Arial" w:hint="cs"/>
          <w:rtl/>
        </w:rPr>
        <w:t>חרס</w:t>
      </w:r>
      <w:r w:rsidRPr="000F2C73">
        <w:rPr>
          <w:rFonts w:cs="Arial"/>
          <w:rtl/>
        </w:rPr>
        <w:t xml:space="preserve"> </w:t>
      </w:r>
      <w:r w:rsidRPr="000F2C73">
        <w:rPr>
          <w:rFonts w:cs="Arial" w:hint="cs"/>
          <w:rtl/>
        </w:rPr>
        <w:t>חדש</w:t>
      </w:r>
      <w:r w:rsidRPr="000F2C73">
        <w:rPr>
          <w:rFonts w:cs="Arial"/>
          <w:rtl/>
        </w:rPr>
        <w:t xml:space="preserve"> </w:t>
      </w:r>
      <w:r w:rsidRPr="000F2C73">
        <w:rPr>
          <w:rFonts w:cs="Arial" w:hint="cs"/>
          <w:rtl/>
        </w:rPr>
        <w:t>דנ</w:t>
      </w:r>
      <w:r w:rsidRPr="000F2C73">
        <w:rPr>
          <w:rFonts w:cs="Arial"/>
          <w:rtl/>
        </w:rPr>
        <w:t>"</w:t>
      </w:r>
      <w:r w:rsidRPr="000F2C73">
        <w:rPr>
          <w:rFonts w:cs="Arial" w:hint="cs"/>
          <w:rtl/>
        </w:rPr>
        <w:t>נ</w:t>
      </w:r>
      <w:r w:rsidRPr="000F2C73">
        <w:rPr>
          <w:rFonts w:cs="Arial"/>
          <w:rtl/>
        </w:rPr>
        <w:t xml:space="preserve"> </w:t>
      </w:r>
      <w:r w:rsidRPr="000F2C73">
        <w:rPr>
          <w:rFonts w:cs="Arial" w:hint="cs"/>
          <w:rtl/>
        </w:rPr>
        <w:t>אע</w:t>
      </w:r>
      <w:r>
        <w:rPr>
          <w:rFonts w:cs="Arial" w:hint="cs"/>
          <w:rtl/>
        </w:rPr>
        <w:t>"</w:t>
      </w:r>
      <w:r w:rsidRPr="000F2C73">
        <w:rPr>
          <w:rFonts w:cs="Arial" w:hint="cs"/>
          <w:rtl/>
        </w:rPr>
        <w:t>פ</w:t>
      </w:r>
      <w:r w:rsidRPr="000F2C73">
        <w:rPr>
          <w:rFonts w:cs="Arial"/>
          <w:rtl/>
        </w:rPr>
        <w:t xml:space="preserve"> </w:t>
      </w:r>
      <w:r w:rsidRPr="000F2C73">
        <w:rPr>
          <w:rFonts w:cs="Arial" w:hint="cs"/>
          <w:rtl/>
        </w:rPr>
        <w:t>שאין</w:t>
      </w:r>
      <w:r w:rsidRPr="000F2C73">
        <w:rPr>
          <w:rFonts w:cs="Arial"/>
          <w:rtl/>
        </w:rPr>
        <w:t xml:space="preserve"> </w:t>
      </w:r>
      <w:r w:rsidRPr="000F2C73">
        <w:rPr>
          <w:rFonts w:cs="Arial" w:hint="cs"/>
          <w:rtl/>
        </w:rPr>
        <w:t>לו</w:t>
      </w:r>
      <w:r w:rsidRPr="000F2C73">
        <w:rPr>
          <w:rFonts w:cs="Arial"/>
          <w:rtl/>
        </w:rPr>
        <w:t xml:space="preserve"> </w:t>
      </w:r>
      <w:r w:rsidRPr="000F2C73">
        <w:rPr>
          <w:rFonts w:cs="Arial" w:hint="cs"/>
          <w:rtl/>
        </w:rPr>
        <w:t>טעם</w:t>
      </w:r>
      <w:r w:rsidRPr="000F2C73">
        <w:rPr>
          <w:rFonts w:cs="Arial"/>
          <w:rtl/>
        </w:rPr>
        <w:t xml:space="preserve"> </w:t>
      </w:r>
      <w:r w:rsidRPr="000F2C73">
        <w:rPr>
          <w:rFonts w:cs="Arial" w:hint="cs"/>
          <w:rtl/>
        </w:rPr>
        <w:t>מעצמו</w:t>
      </w:r>
      <w:r w:rsidRPr="000F2C73">
        <w:rPr>
          <w:rFonts w:cs="Arial"/>
          <w:rtl/>
        </w:rPr>
        <w:t xml:space="preserve"> </w:t>
      </w:r>
      <w:r w:rsidRPr="000F2C73">
        <w:rPr>
          <w:rFonts w:cs="Arial" w:hint="cs"/>
          <w:rtl/>
        </w:rPr>
        <w:t>אלא</w:t>
      </w:r>
      <w:r w:rsidRPr="000F2C73">
        <w:rPr>
          <w:rFonts w:cs="Arial"/>
          <w:rtl/>
        </w:rPr>
        <w:t xml:space="preserve"> </w:t>
      </w:r>
      <w:r w:rsidRPr="000F2C73">
        <w:rPr>
          <w:rFonts w:cs="Arial" w:hint="cs"/>
          <w:rtl/>
        </w:rPr>
        <w:t>משום</w:t>
      </w:r>
      <w:r w:rsidRPr="000F2C73">
        <w:rPr>
          <w:rFonts w:cs="Arial"/>
          <w:rtl/>
        </w:rPr>
        <w:t xml:space="preserve"> </w:t>
      </w:r>
      <w:r w:rsidRPr="000F2C73">
        <w:rPr>
          <w:rFonts w:cs="Arial" w:hint="cs"/>
          <w:rtl/>
        </w:rPr>
        <w:t>דאין</w:t>
      </w:r>
      <w:r w:rsidRPr="000F2C73">
        <w:rPr>
          <w:rFonts w:cs="Arial"/>
          <w:rtl/>
        </w:rPr>
        <w:t xml:space="preserve"> </w:t>
      </w:r>
      <w:r w:rsidRPr="000F2C73">
        <w:rPr>
          <w:rFonts w:cs="Arial" w:hint="cs"/>
          <w:rtl/>
        </w:rPr>
        <w:t>לו</w:t>
      </w:r>
      <w:r w:rsidRPr="000F2C73">
        <w:rPr>
          <w:rFonts w:cs="Arial"/>
          <w:rtl/>
        </w:rPr>
        <w:t xml:space="preserve"> </w:t>
      </w:r>
      <w:r w:rsidRPr="000F2C73">
        <w:rPr>
          <w:rFonts w:cs="Arial" w:hint="cs"/>
          <w:rtl/>
        </w:rPr>
        <w:t>תקנה</w:t>
      </w:r>
      <w:r w:rsidRPr="000F2C73">
        <w:rPr>
          <w:rFonts w:cs="Arial"/>
          <w:rtl/>
        </w:rPr>
        <w:t xml:space="preserve"> </w:t>
      </w:r>
      <w:r w:rsidRPr="000F2C73">
        <w:rPr>
          <w:rFonts w:cs="Arial" w:hint="cs"/>
          <w:rtl/>
        </w:rPr>
        <w:t>בהגעלה</w:t>
      </w:r>
      <w:r w:rsidRPr="000F2C73">
        <w:rPr>
          <w:rFonts w:cs="Arial"/>
          <w:rtl/>
        </w:rPr>
        <w:t xml:space="preserve"> </w:t>
      </w:r>
      <w:r w:rsidRPr="000F2C73">
        <w:rPr>
          <w:rFonts w:cs="Arial" w:hint="cs"/>
          <w:rtl/>
        </w:rPr>
        <w:t>וא</w:t>
      </w:r>
      <w:r w:rsidRPr="000F2C73">
        <w:rPr>
          <w:rFonts w:cs="Arial"/>
          <w:rtl/>
        </w:rPr>
        <w:t>"</w:t>
      </w:r>
      <w:r w:rsidRPr="000F2C73">
        <w:rPr>
          <w:rFonts w:cs="Arial" w:hint="cs"/>
          <w:rtl/>
        </w:rPr>
        <w:t>א</w:t>
      </w:r>
      <w:r w:rsidRPr="000F2C73">
        <w:rPr>
          <w:rFonts w:cs="Arial"/>
          <w:rtl/>
        </w:rPr>
        <w:t xml:space="preserve"> </w:t>
      </w:r>
      <w:r w:rsidRPr="000F2C73">
        <w:rPr>
          <w:rFonts w:cs="Arial" w:hint="cs"/>
          <w:rtl/>
        </w:rPr>
        <w:t>להפריד</w:t>
      </w:r>
      <w:r w:rsidRPr="000F2C73">
        <w:rPr>
          <w:rFonts w:cs="Arial"/>
          <w:rtl/>
        </w:rPr>
        <w:t xml:space="preserve"> </w:t>
      </w:r>
      <w:r w:rsidRPr="000F2C73">
        <w:rPr>
          <w:rFonts w:cs="Arial" w:hint="cs"/>
          <w:rtl/>
        </w:rPr>
        <w:t>האיסור</w:t>
      </w:r>
      <w:r>
        <w:rPr>
          <w:rFonts w:cs="Arial" w:hint="cs"/>
          <w:rtl/>
        </w:rPr>
        <w:t>,</w:t>
      </w:r>
      <w:r w:rsidRPr="000F2C73">
        <w:rPr>
          <w:rFonts w:cs="Arial"/>
          <w:rtl/>
        </w:rPr>
        <w:t xml:space="preserve"> </w:t>
      </w:r>
      <w:r w:rsidRPr="000F2C73">
        <w:rPr>
          <w:rFonts w:cs="Arial" w:hint="cs"/>
          <w:rtl/>
        </w:rPr>
        <w:t>וא</w:t>
      </w:r>
      <w:r w:rsidRPr="000F2C73">
        <w:rPr>
          <w:rFonts w:cs="Arial"/>
          <w:rtl/>
        </w:rPr>
        <w:t>"</w:t>
      </w:r>
      <w:r w:rsidRPr="000F2C73">
        <w:rPr>
          <w:rFonts w:cs="Arial" w:hint="cs"/>
          <w:rtl/>
        </w:rPr>
        <w:t>כ</w:t>
      </w:r>
      <w:r w:rsidRPr="000F2C73">
        <w:rPr>
          <w:rFonts w:cs="Arial"/>
          <w:rtl/>
        </w:rPr>
        <w:t xml:space="preserve"> </w:t>
      </w:r>
      <w:r w:rsidRPr="000F2C73">
        <w:rPr>
          <w:rFonts w:cs="Arial" w:hint="cs"/>
          <w:rtl/>
        </w:rPr>
        <w:t>כלי</w:t>
      </w:r>
      <w:r w:rsidRPr="000F2C73">
        <w:rPr>
          <w:rFonts w:cs="Arial"/>
          <w:rtl/>
        </w:rPr>
        <w:t xml:space="preserve"> </w:t>
      </w:r>
      <w:r w:rsidRPr="000F2C73">
        <w:rPr>
          <w:rFonts w:cs="Arial" w:hint="cs"/>
          <w:rtl/>
        </w:rPr>
        <w:t>עצם</w:t>
      </w:r>
      <w:r w:rsidRPr="000F2C73">
        <w:rPr>
          <w:rFonts w:cs="Arial"/>
          <w:rtl/>
        </w:rPr>
        <w:t xml:space="preserve"> </w:t>
      </w:r>
      <w:r w:rsidRPr="000F2C73">
        <w:rPr>
          <w:rFonts w:cs="Arial" w:hint="cs"/>
          <w:rtl/>
        </w:rPr>
        <w:t>דיש</w:t>
      </w:r>
      <w:r w:rsidRPr="000F2C73">
        <w:rPr>
          <w:rFonts w:cs="Arial"/>
          <w:rtl/>
        </w:rPr>
        <w:t xml:space="preserve"> </w:t>
      </w:r>
      <w:r w:rsidRPr="000F2C73">
        <w:rPr>
          <w:rFonts w:cs="Arial" w:hint="cs"/>
          <w:rtl/>
        </w:rPr>
        <w:t>להם</w:t>
      </w:r>
      <w:r w:rsidRPr="000F2C73">
        <w:rPr>
          <w:rFonts w:cs="Arial"/>
          <w:rtl/>
        </w:rPr>
        <w:t xml:space="preserve"> </w:t>
      </w:r>
      <w:r w:rsidRPr="000F2C73">
        <w:rPr>
          <w:rFonts w:cs="Arial" w:hint="cs"/>
          <w:rtl/>
        </w:rPr>
        <w:t>תקנה</w:t>
      </w:r>
      <w:r w:rsidRPr="000F2C73">
        <w:rPr>
          <w:rFonts w:cs="Arial"/>
          <w:rtl/>
        </w:rPr>
        <w:t xml:space="preserve"> </w:t>
      </w:r>
      <w:r w:rsidRPr="000F2C73">
        <w:rPr>
          <w:rFonts w:cs="Arial" w:hint="cs"/>
          <w:rtl/>
        </w:rPr>
        <w:t>בהגעלה</w:t>
      </w:r>
      <w:r>
        <w:rPr>
          <w:rFonts w:cs="Arial" w:hint="cs"/>
          <w:rtl/>
        </w:rPr>
        <w:t>,</w:t>
      </w:r>
      <w:r w:rsidRPr="000F2C73">
        <w:rPr>
          <w:rFonts w:cs="Arial"/>
          <w:rtl/>
        </w:rPr>
        <w:t xml:space="preserve"> </w:t>
      </w:r>
      <w:r w:rsidRPr="000F2C73">
        <w:rPr>
          <w:rFonts w:cs="Arial" w:hint="cs"/>
          <w:rtl/>
        </w:rPr>
        <w:t>וכמו</w:t>
      </w:r>
      <w:r w:rsidRPr="000F2C73">
        <w:rPr>
          <w:rFonts w:cs="Arial"/>
          <w:rtl/>
        </w:rPr>
        <w:t xml:space="preserve"> </w:t>
      </w:r>
      <w:r w:rsidRPr="000F2C73">
        <w:rPr>
          <w:rFonts w:cs="Arial" w:hint="cs"/>
          <w:rtl/>
        </w:rPr>
        <w:t>שנתבאר</w:t>
      </w:r>
      <w:r w:rsidRPr="000F2C73">
        <w:rPr>
          <w:rFonts w:cs="Arial"/>
          <w:rtl/>
        </w:rPr>
        <w:t xml:space="preserve"> </w:t>
      </w:r>
      <w:r w:rsidRPr="000F2C73">
        <w:rPr>
          <w:rFonts w:cs="Arial" w:hint="cs"/>
          <w:rtl/>
        </w:rPr>
        <w:t>בא</w:t>
      </w:r>
      <w:r>
        <w:rPr>
          <w:rFonts w:cs="Arial" w:hint="cs"/>
          <w:rtl/>
        </w:rPr>
        <w:t>ו</w:t>
      </w:r>
      <w:r w:rsidRPr="000F2C73">
        <w:rPr>
          <w:rFonts w:cs="Arial"/>
          <w:rtl/>
        </w:rPr>
        <w:t>"</w:t>
      </w:r>
      <w:r w:rsidRPr="000F2C73">
        <w:rPr>
          <w:rFonts w:cs="Arial" w:hint="cs"/>
          <w:rtl/>
        </w:rPr>
        <w:t>ח</w:t>
      </w:r>
      <w:r w:rsidRPr="000F2C73">
        <w:rPr>
          <w:rFonts w:cs="Arial"/>
          <w:rtl/>
        </w:rPr>
        <w:t xml:space="preserve"> </w:t>
      </w:r>
      <w:r w:rsidRPr="000F2C73">
        <w:rPr>
          <w:rFonts w:cs="Arial" w:hint="cs"/>
          <w:rtl/>
        </w:rPr>
        <w:t>סי</w:t>
      </w:r>
      <w:r>
        <w:rPr>
          <w:rFonts w:cs="Arial" w:hint="cs"/>
          <w:rtl/>
        </w:rPr>
        <w:t>'</w:t>
      </w:r>
      <w:r w:rsidRPr="000F2C73">
        <w:rPr>
          <w:rFonts w:cs="Arial"/>
          <w:rtl/>
        </w:rPr>
        <w:t xml:space="preserve"> </w:t>
      </w:r>
      <w:r w:rsidRPr="000F2C73">
        <w:rPr>
          <w:rFonts w:cs="Arial" w:hint="cs"/>
          <w:rtl/>
        </w:rPr>
        <w:t>תנא</w:t>
      </w:r>
      <w:r>
        <w:rPr>
          <w:rFonts w:cs="Arial" w:hint="cs"/>
          <w:rtl/>
        </w:rPr>
        <w:t>,</w:t>
      </w:r>
      <w:r w:rsidRPr="000F2C73">
        <w:rPr>
          <w:rFonts w:cs="Arial"/>
          <w:rtl/>
        </w:rPr>
        <w:t xml:space="preserve"> </w:t>
      </w:r>
      <w:r w:rsidRPr="000F2C73">
        <w:rPr>
          <w:rFonts w:cs="Arial" w:hint="cs"/>
          <w:rtl/>
        </w:rPr>
        <w:t>ודאי</w:t>
      </w:r>
      <w:r w:rsidRPr="000F2C73">
        <w:rPr>
          <w:rFonts w:cs="Arial"/>
          <w:rtl/>
        </w:rPr>
        <w:t xml:space="preserve"> </w:t>
      </w:r>
      <w:r w:rsidRPr="000F2C73">
        <w:rPr>
          <w:rFonts w:cs="Arial" w:hint="cs"/>
          <w:rtl/>
        </w:rPr>
        <w:t>דדמי</w:t>
      </w:r>
      <w:r w:rsidRPr="000F2C73">
        <w:rPr>
          <w:rFonts w:cs="Arial"/>
          <w:rtl/>
        </w:rPr>
        <w:t xml:space="preserve"> </w:t>
      </w:r>
      <w:r w:rsidRPr="000F2C73">
        <w:rPr>
          <w:rFonts w:cs="Arial" w:hint="cs"/>
          <w:rtl/>
        </w:rPr>
        <w:t>לכלי</w:t>
      </w:r>
      <w:r w:rsidRPr="000F2C73">
        <w:rPr>
          <w:rFonts w:cs="Arial"/>
          <w:rtl/>
        </w:rPr>
        <w:t xml:space="preserve"> </w:t>
      </w:r>
      <w:r w:rsidRPr="000F2C73">
        <w:rPr>
          <w:rFonts w:cs="Arial" w:hint="cs"/>
          <w:rtl/>
        </w:rPr>
        <w:t>מתכת</w:t>
      </w:r>
      <w:r w:rsidRPr="000F2C73">
        <w:rPr>
          <w:rFonts w:cs="Arial"/>
          <w:rtl/>
        </w:rPr>
        <w:t xml:space="preserve"> </w:t>
      </w:r>
      <w:r w:rsidRPr="000F2C73">
        <w:rPr>
          <w:rFonts w:cs="Arial" w:hint="cs"/>
          <w:rtl/>
        </w:rPr>
        <w:t>דס</w:t>
      </w:r>
      <w:r w:rsidRPr="000F2C73">
        <w:rPr>
          <w:rFonts w:cs="Arial"/>
          <w:rtl/>
        </w:rPr>
        <w:t>"</w:t>
      </w:r>
      <w:r w:rsidRPr="000F2C73">
        <w:rPr>
          <w:rFonts w:cs="Arial" w:hint="cs"/>
          <w:rtl/>
        </w:rPr>
        <w:t>ל</w:t>
      </w:r>
      <w:r w:rsidRPr="000F2C73">
        <w:rPr>
          <w:rFonts w:cs="Arial"/>
          <w:rtl/>
        </w:rPr>
        <w:t xml:space="preserve"> </w:t>
      </w:r>
      <w:r w:rsidRPr="000F2C73">
        <w:rPr>
          <w:rFonts w:cs="Arial" w:hint="cs"/>
          <w:rtl/>
        </w:rPr>
        <w:t>להרב</w:t>
      </w:r>
      <w:r w:rsidRPr="000F2C73">
        <w:rPr>
          <w:rFonts w:cs="Arial"/>
          <w:rtl/>
        </w:rPr>
        <w:t xml:space="preserve"> </w:t>
      </w:r>
      <w:r w:rsidRPr="000F2C73">
        <w:rPr>
          <w:rFonts w:cs="Arial" w:hint="cs"/>
          <w:rtl/>
        </w:rPr>
        <w:t>דלא</w:t>
      </w:r>
      <w:r w:rsidRPr="000F2C73">
        <w:rPr>
          <w:rFonts w:cs="Arial"/>
          <w:rtl/>
        </w:rPr>
        <w:t xml:space="preserve"> </w:t>
      </w:r>
      <w:r w:rsidRPr="000F2C73">
        <w:rPr>
          <w:rFonts w:cs="Arial" w:hint="cs"/>
          <w:rtl/>
        </w:rPr>
        <w:t>נ</w:t>
      </w:r>
      <w:r w:rsidRPr="000F2C73">
        <w:rPr>
          <w:rFonts w:cs="Arial"/>
          <w:rtl/>
        </w:rPr>
        <w:t>"</w:t>
      </w:r>
      <w:r w:rsidRPr="000F2C73">
        <w:rPr>
          <w:rFonts w:cs="Arial" w:hint="cs"/>
          <w:rtl/>
        </w:rPr>
        <w:t>נ</w:t>
      </w:r>
      <w:r w:rsidRPr="000F2C73">
        <w:rPr>
          <w:rFonts w:cs="Arial"/>
          <w:rtl/>
        </w:rPr>
        <w:t xml:space="preserve"> </w:t>
      </w:r>
      <w:r w:rsidRPr="000F2C73">
        <w:rPr>
          <w:rFonts w:cs="Arial" w:hint="cs"/>
          <w:sz w:val="16"/>
          <w:szCs w:val="16"/>
          <w:rtl/>
        </w:rPr>
        <w:t>(ל' הש"ך)</w:t>
      </w:r>
      <w:r>
        <w:rPr>
          <w:rFonts w:cs="Arial" w:hint="cs"/>
          <w:rtl/>
        </w:rPr>
        <w:t>. והוסיף הש"ך דכל זה בכלי חדש אבל אם</w:t>
      </w:r>
      <w:r w:rsidRPr="000F2C73">
        <w:rPr>
          <w:rFonts w:cs="Arial"/>
          <w:rtl/>
        </w:rPr>
        <w:t xml:space="preserve"> </w:t>
      </w:r>
      <w:r w:rsidRPr="000F2C73">
        <w:rPr>
          <w:rFonts w:cs="Arial" w:hint="cs"/>
          <w:rtl/>
        </w:rPr>
        <w:t>הוא</w:t>
      </w:r>
      <w:r w:rsidRPr="000F2C73">
        <w:rPr>
          <w:rFonts w:cs="Arial"/>
          <w:rtl/>
        </w:rPr>
        <w:t xml:space="preserve"> </w:t>
      </w:r>
      <w:r w:rsidRPr="000F2C73">
        <w:rPr>
          <w:rFonts w:cs="Arial" w:hint="cs"/>
          <w:rtl/>
        </w:rPr>
        <w:t>ישן</w:t>
      </w:r>
      <w:r w:rsidRPr="000F2C73">
        <w:rPr>
          <w:rFonts w:cs="Arial"/>
          <w:rtl/>
        </w:rPr>
        <w:t xml:space="preserve"> </w:t>
      </w:r>
      <w:r w:rsidRPr="000F2C73">
        <w:rPr>
          <w:rFonts w:cs="Arial" w:hint="cs"/>
          <w:rtl/>
        </w:rPr>
        <w:t>אז</w:t>
      </w:r>
      <w:r w:rsidRPr="000F2C73">
        <w:rPr>
          <w:rFonts w:cs="Arial"/>
          <w:rtl/>
        </w:rPr>
        <w:t xml:space="preserve"> </w:t>
      </w:r>
      <w:r w:rsidRPr="000F2C73">
        <w:rPr>
          <w:rFonts w:cs="Arial" w:hint="cs"/>
          <w:rtl/>
        </w:rPr>
        <w:t>הבלוע</w:t>
      </w:r>
      <w:r w:rsidRPr="000F2C73">
        <w:rPr>
          <w:rFonts w:cs="Arial"/>
          <w:rtl/>
        </w:rPr>
        <w:t xml:space="preserve"> </w:t>
      </w:r>
      <w:r w:rsidRPr="000F2C73">
        <w:rPr>
          <w:rFonts w:cs="Arial" w:hint="cs"/>
          <w:rtl/>
        </w:rPr>
        <w:t>בו</w:t>
      </w:r>
      <w:r w:rsidRPr="000F2C73">
        <w:rPr>
          <w:rFonts w:cs="Arial"/>
          <w:rtl/>
        </w:rPr>
        <w:t xml:space="preserve"> </w:t>
      </w:r>
      <w:r w:rsidRPr="000F2C73">
        <w:rPr>
          <w:rFonts w:cs="Arial" w:hint="cs"/>
          <w:rtl/>
        </w:rPr>
        <w:t>נ</w:t>
      </w:r>
      <w:r w:rsidRPr="000F2C73">
        <w:rPr>
          <w:rFonts w:cs="Arial"/>
          <w:rtl/>
        </w:rPr>
        <w:t>"</w:t>
      </w:r>
      <w:r w:rsidRPr="000F2C73">
        <w:rPr>
          <w:rFonts w:cs="Arial" w:hint="cs"/>
          <w:rtl/>
        </w:rPr>
        <w:t>נ</w:t>
      </w:r>
      <w:r>
        <w:rPr>
          <w:rFonts w:cs="Arial" w:hint="cs"/>
          <w:rtl/>
        </w:rPr>
        <w:t>.</w:t>
      </w:r>
    </w:p>
  </w:footnote>
  <w:footnote w:id="1866">
    <w:p w14:paraId="6EDC1C94" w14:textId="77777777" w:rsidR="004C5A3C" w:rsidRDefault="004C5A3C" w:rsidP="002C39F4">
      <w:pPr>
        <w:pStyle w:val="a5"/>
        <w:rPr>
          <w:rtl/>
        </w:rPr>
      </w:pPr>
      <w:r>
        <w:rPr>
          <w:rStyle w:val="a7"/>
        </w:rPr>
        <w:footnoteRef/>
      </w:r>
      <w:r>
        <w:rPr>
          <w:rtl/>
        </w:rPr>
        <w:t xml:space="preserve"> </w:t>
      </w:r>
      <w:r w:rsidRPr="008D328B">
        <w:rPr>
          <w:rFonts w:cs="Arial"/>
          <w:rtl/>
        </w:rPr>
        <w:t>ולא סגי בס' כנגד הבשר דשמא נתמעט בשר הנבילה בבישולו ונכנס בעצמות</w:t>
      </w:r>
      <w:r>
        <w:rPr>
          <w:rFonts w:hint="cs"/>
          <w:rtl/>
        </w:rPr>
        <w:t>, טור (הביאו הבאה"ט סק"ד).</w:t>
      </w:r>
    </w:p>
  </w:footnote>
  <w:footnote w:id="1867">
    <w:p w14:paraId="0D415F71" w14:textId="77777777" w:rsidR="004C5A3C" w:rsidRDefault="004C5A3C" w:rsidP="002C39F4">
      <w:pPr>
        <w:pStyle w:val="a5"/>
      </w:pPr>
      <w:r>
        <w:rPr>
          <w:rStyle w:val="a7"/>
        </w:rPr>
        <w:footnoteRef/>
      </w:r>
      <w:r>
        <w:rPr>
          <w:rtl/>
        </w:rPr>
        <w:t xml:space="preserve"> </w:t>
      </w:r>
      <w:r w:rsidRPr="004C53C4">
        <w:rPr>
          <w:rFonts w:cs="Arial" w:hint="cs"/>
          <w:rtl/>
        </w:rPr>
        <w:t>פי</w:t>
      </w:r>
      <w:r w:rsidRPr="004C53C4">
        <w:rPr>
          <w:rFonts w:cs="Arial"/>
          <w:rtl/>
        </w:rPr>
        <w:t xml:space="preserve">' </w:t>
      </w:r>
      <w:r w:rsidRPr="004C53C4">
        <w:rPr>
          <w:rFonts w:cs="Arial" w:hint="cs"/>
          <w:rtl/>
        </w:rPr>
        <w:t>החתיכה</w:t>
      </w:r>
      <w:r w:rsidRPr="004C53C4">
        <w:rPr>
          <w:rFonts w:cs="Arial"/>
          <w:rtl/>
        </w:rPr>
        <w:t xml:space="preserve"> </w:t>
      </w:r>
      <w:r w:rsidRPr="004C53C4">
        <w:rPr>
          <w:rFonts w:cs="Arial" w:hint="cs"/>
          <w:rtl/>
        </w:rPr>
        <w:t>הבלוע</w:t>
      </w:r>
      <w:r>
        <w:rPr>
          <w:rFonts w:cs="Arial" w:hint="cs"/>
          <w:rtl/>
        </w:rPr>
        <w:t>ה</w:t>
      </w:r>
      <w:r w:rsidRPr="004C53C4">
        <w:rPr>
          <w:rFonts w:cs="Arial"/>
          <w:rtl/>
        </w:rPr>
        <w:t xml:space="preserve"> </w:t>
      </w:r>
      <w:r w:rsidRPr="004C53C4">
        <w:rPr>
          <w:rFonts w:cs="Arial" w:hint="cs"/>
          <w:rtl/>
        </w:rPr>
        <w:t>מאיסור</w:t>
      </w:r>
      <w:r w:rsidRPr="004C53C4">
        <w:rPr>
          <w:rFonts w:cs="Arial"/>
          <w:rtl/>
        </w:rPr>
        <w:t xml:space="preserve"> </w:t>
      </w:r>
      <w:r w:rsidRPr="004C53C4">
        <w:rPr>
          <w:rFonts w:cs="Arial" w:hint="cs"/>
          <w:rtl/>
        </w:rPr>
        <w:t>שנפלה</w:t>
      </w:r>
      <w:r w:rsidRPr="004C53C4">
        <w:rPr>
          <w:rFonts w:cs="Arial"/>
          <w:rtl/>
        </w:rPr>
        <w:t xml:space="preserve"> </w:t>
      </w:r>
      <w:r w:rsidRPr="004C53C4">
        <w:rPr>
          <w:rFonts w:cs="Arial" w:hint="cs"/>
          <w:rtl/>
        </w:rPr>
        <w:t>להיתר</w:t>
      </w:r>
      <w:r w:rsidRPr="004C53C4">
        <w:rPr>
          <w:rFonts w:cs="Arial"/>
          <w:rtl/>
        </w:rPr>
        <w:t xml:space="preserve"> </w:t>
      </w:r>
      <w:r w:rsidRPr="004C53C4">
        <w:rPr>
          <w:rFonts w:cs="Arial" w:hint="cs"/>
          <w:rtl/>
        </w:rPr>
        <w:t>ואין</w:t>
      </w:r>
      <w:r w:rsidRPr="004C53C4">
        <w:rPr>
          <w:rFonts w:cs="Arial"/>
          <w:rtl/>
        </w:rPr>
        <w:t xml:space="preserve"> </w:t>
      </w:r>
      <w:r w:rsidRPr="004C53C4">
        <w:rPr>
          <w:rFonts w:cs="Arial" w:hint="cs"/>
          <w:rtl/>
        </w:rPr>
        <w:t>בהיתר</w:t>
      </w:r>
      <w:r w:rsidRPr="004C53C4">
        <w:rPr>
          <w:rFonts w:cs="Arial"/>
          <w:rtl/>
        </w:rPr>
        <w:t xml:space="preserve"> </w:t>
      </w:r>
      <w:r w:rsidRPr="004C53C4">
        <w:rPr>
          <w:rFonts w:cs="Arial" w:hint="cs"/>
          <w:rtl/>
        </w:rPr>
        <w:t>ס</w:t>
      </w:r>
      <w:r w:rsidRPr="004C53C4">
        <w:rPr>
          <w:rFonts w:cs="Arial"/>
          <w:rtl/>
        </w:rPr>
        <w:t xml:space="preserve">' </w:t>
      </w:r>
      <w:r w:rsidRPr="004C53C4">
        <w:rPr>
          <w:rFonts w:cs="Arial" w:hint="cs"/>
          <w:rtl/>
        </w:rPr>
        <w:t>לבטל</w:t>
      </w:r>
      <w:r w:rsidRPr="004C53C4">
        <w:rPr>
          <w:rFonts w:cs="Arial"/>
          <w:rtl/>
        </w:rPr>
        <w:t xml:space="preserve"> </w:t>
      </w:r>
      <w:r w:rsidRPr="004C53C4">
        <w:rPr>
          <w:rFonts w:cs="Arial" w:hint="cs"/>
          <w:rtl/>
        </w:rPr>
        <w:t>האיסור</w:t>
      </w:r>
      <w:r w:rsidRPr="004C53C4">
        <w:rPr>
          <w:rFonts w:cs="Arial"/>
          <w:rtl/>
        </w:rPr>
        <w:t xml:space="preserve"> </w:t>
      </w:r>
      <w:r w:rsidRPr="004C53C4">
        <w:rPr>
          <w:rFonts w:cs="Arial" w:hint="cs"/>
          <w:rtl/>
        </w:rPr>
        <w:t>אלא</w:t>
      </w:r>
      <w:r w:rsidRPr="004C53C4">
        <w:rPr>
          <w:rFonts w:cs="Arial"/>
          <w:rtl/>
        </w:rPr>
        <w:t xml:space="preserve"> </w:t>
      </w:r>
      <w:r w:rsidRPr="004C53C4">
        <w:rPr>
          <w:rFonts w:cs="Arial" w:hint="cs"/>
          <w:rtl/>
        </w:rPr>
        <w:t>בצירוף</w:t>
      </w:r>
      <w:r w:rsidRPr="004C53C4">
        <w:rPr>
          <w:rFonts w:cs="Arial"/>
          <w:rtl/>
        </w:rPr>
        <w:t xml:space="preserve"> </w:t>
      </w:r>
      <w:r w:rsidRPr="004C53C4">
        <w:rPr>
          <w:rFonts w:cs="Arial" w:hint="cs"/>
          <w:rtl/>
        </w:rPr>
        <w:t>החתיכה</w:t>
      </w:r>
      <w:r w:rsidRPr="004C53C4">
        <w:rPr>
          <w:rFonts w:cs="Arial"/>
          <w:rtl/>
        </w:rPr>
        <w:t xml:space="preserve"> </w:t>
      </w:r>
      <w:r w:rsidRPr="004C53C4">
        <w:rPr>
          <w:rFonts w:cs="Arial" w:hint="cs"/>
          <w:rtl/>
        </w:rPr>
        <w:t>מצטרפין</w:t>
      </w:r>
      <w:r w:rsidRPr="004C53C4">
        <w:rPr>
          <w:rFonts w:cs="Arial"/>
          <w:rtl/>
        </w:rPr>
        <w:t xml:space="preserve"> </w:t>
      </w:r>
      <w:r w:rsidRPr="004C53C4">
        <w:rPr>
          <w:rFonts w:cs="Arial" w:hint="cs"/>
          <w:rtl/>
        </w:rPr>
        <w:t>גם</w:t>
      </w:r>
      <w:r w:rsidRPr="004C53C4">
        <w:rPr>
          <w:rFonts w:cs="Arial"/>
          <w:rtl/>
        </w:rPr>
        <w:t xml:space="preserve"> </w:t>
      </w:r>
      <w:r w:rsidRPr="004C53C4">
        <w:rPr>
          <w:rFonts w:cs="Arial" w:hint="cs"/>
          <w:rtl/>
        </w:rPr>
        <w:t>החתיכה</w:t>
      </w:r>
      <w:r w:rsidRPr="004C53C4">
        <w:rPr>
          <w:rFonts w:cs="Arial"/>
          <w:rtl/>
        </w:rPr>
        <w:t xml:space="preserve"> </w:t>
      </w:r>
      <w:r w:rsidRPr="004C53C4">
        <w:rPr>
          <w:rFonts w:cs="Arial" w:hint="cs"/>
          <w:rtl/>
        </w:rPr>
        <w:t>לבטלה</w:t>
      </w:r>
      <w:r w:rsidRPr="004C53C4">
        <w:rPr>
          <w:rFonts w:cs="Arial"/>
          <w:rtl/>
        </w:rPr>
        <w:t xml:space="preserve"> </w:t>
      </w:r>
      <w:r w:rsidRPr="004C53C4">
        <w:rPr>
          <w:rFonts w:cs="Arial" w:hint="cs"/>
          <w:rtl/>
        </w:rPr>
        <w:t>מיהו</w:t>
      </w:r>
      <w:r w:rsidRPr="004C53C4">
        <w:rPr>
          <w:rFonts w:cs="Arial"/>
          <w:rtl/>
        </w:rPr>
        <w:t xml:space="preserve"> </w:t>
      </w:r>
      <w:r w:rsidRPr="004C53C4">
        <w:rPr>
          <w:rFonts w:cs="Arial" w:hint="cs"/>
          <w:rtl/>
        </w:rPr>
        <w:t>החתיכה</w:t>
      </w:r>
      <w:r w:rsidRPr="004C53C4">
        <w:rPr>
          <w:rFonts w:cs="Arial"/>
          <w:rtl/>
        </w:rPr>
        <w:t xml:space="preserve"> </w:t>
      </w:r>
      <w:r w:rsidRPr="004C53C4">
        <w:rPr>
          <w:rFonts w:cs="Arial" w:hint="cs"/>
          <w:rtl/>
        </w:rPr>
        <w:t>עצמה</w:t>
      </w:r>
      <w:r w:rsidRPr="004C53C4">
        <w:rPr>
          <w:rFonts w:cs="Arial"/>
          <w:rtl/>
        </w:rPr>
        <w:t xml:space="preserve"> </w:t>
      </w:r>
      <w:r w:rsidRPr="004C53C4">
        <w:rPr>
          <w:rFonts w:cs="Arial" w:hint="cs"/>
          <w:rtl/>
        </w:rPr>
        <w:t>אסורה</w:t>
      </w:r>
      <w:r w:rsidRPr="004C53C4">
        <w:rPr>
          <w:rFonts w:cs="Arial"/>
          <w:rtl/>
        </w:rPr>
        <w:t xml:space="preserve"> </w:t>
      </w:r>
      <w:r w:rsidRPr="004C53C4">
        <w:rPr>
          <w:rFonts w:cs="Arial" w:hint="cs"/>
          <w:rtl/>
        </w:rPr>
        <w:t>לפי</w:t>
      </w:r>
      <w:r w:rsidRPr="004C53C4">
        <w:rPr>
          <w:rFonts w:cs="Arial"/>
          <w:rtl/>
        </w:rPr>
        <w:t xml:space="preserve"> </w:t>
      </w:r>
      <w:r w:rsidRPr="004C53C4">
        <w:rPr>
          <w:rFonts w:cs="Arial" w:hint="cs"/>
          <w:rtl/>
        </w:rPr>
        <w:t>שהאיסור</w:t>
      </w:r>
      <w:r w:rsidRPr="004C53C4">
        <w:rPr>
          <w:rFonts w:cs="Arial"/>
          <w:rtl/>
        </w:rPr>
        <w:t xml:space="preserve"> </w:t>
      </w:r>
      <w:r w:rsidRPr="004C53C4">
        <w:rPr>
          <w:rFonts w:cs="Arial" w:hint="cs"/>
          <w:rtl/>
        </w:rPr>
        <w:t>שבה</w:t>
      </w:r>
      <w:r w:rsidRPr="004C53C4">
        <w:rPr>
          <w:rFonts w:cs="Arial"/>
          <w:rtl/>
        </w:rPr>
        <w:t xml:space="preserve"> </w:t>
      </w:r>
      <w:r w:rsidRPr="004C53C4">
        <w:rPr>
          <w:rFonts w:cs="Arial" w:hint="cs"/>
          <w:rtl/>
        </w:rPr>
        <w:t>אינו</w:t>
      </w:r>
      <w:r w:rsidRPr="004C53C4">
        <w:rPr>
          <w:rFonts w:cs="Arial"/>
          <w:rtl/>
        </w:rPr>
        <w:t xml:space="preserve"> </w:t>
      </w:r>
      <w:r w:rsidRPr="004C53C4">
        <w:rPr>
          <w:rFonts w:cs="Arial" w:hint="cs"/>
          <w:rtl/>
        </w:rPr>
        <w:t>נפלט</w:t>
      </w:r>
      <w:r w:rsidRPr="004C53C4">
        <w:rPr>
          <w:rFonts w:cs="Arial"/>
          <w:rtl/>
        </w:rPr>
        <w:t xml:space="preserve"> </w:t>
      </w:r>
      <w:r w:rsidRPr="004C53C4">
        <w:rPr>
          <w:rFonts w:cs="Arial" w:hint="cs"/>
          <w:rtl/>
        </w:rPr>
        <w:t>ממנה</w:t>
      </w:r>
      <w:r w:rsidRPr="004C53C4">
        <w:rPr>
          <w:rFonts w:cs="Arial"/>
          <w:rtl/>
        </w:rPr>
        <w:t xml:space="preserve"> </w:t>
      </w:r>
      <w:r w:rsidRPr="004C53C4">
        <w:rPr>
          <w:rFonts w:cs="Arial" w:hint="cs"/>
          <w:rtl/>
        </w:rPr>
        <w:t>לגמרי</w:t>
      </w:r>
      <w:r w:rsidRPr="004C53C4">
        <w:rPr>
          <w:rFonts w:cs="Arial"/>
          <w:rtl/>
        </w:rPr>
        <w:t xml:space="preserve"> </w:t>
      </w:r>
      <w:r w:rsidRPr="004C53C4">
        <w:rPr>
          <w:rFonts w:cs="Arial" w:hint="cs"/>
          <w:rtl/>
        </w:rPr>
        <w:t>וכ</w:t>
      </w:r>
      <w:r>
        <w:rPr>
          <w:rFonts w:cs="Arial" w:hint="cs"/>
          <w:rtl/>
        </w:rPr>
        <w:t>מ</w:t>
      </w:r>
      <w:r w:rsidRPr="004C53C4">
        <w:rPr>
          <w:rFonts w:cs="Arial" w:hint="cs"/>
          <w:rtl/>
        </w:rPr>
        <w:t>ש</w:t>
      </w:r>
      <w:r>
        <w:rPr>
          <w:rFonts w:cs="Arial" w:hint="cs"/>
          <w:rtl/>
        </w:rPr>
        <w:t>"</w:t>
      </w:r>
      <w:r w:rsidRPr="004C53C4">
        <w:rPr>
          <w:rFonts w:cs="Arial" w:hint="cs"/>
          <w:rtl/>
        </w:rPr>
        <w:t>כ</w:t>
      </w:r>
      <w:r w:rsidRPr="004C53C4">
        <w:rPr>
          <w:rFonts w:cs="Arial"/>
          <w:rtl/>
        </w:rPr>
        <w:t xml:space="preserve"> </w:t>
      </w:r>
      <w:r w:rsidRPr="004C53C4">
        <w:rPr>
          <w:rFonts w:cs="Arial" w:hint="cs"/>
          <w:rtl/>
        </w:rPr>
        <w:t>הרשב</w:t>
      </w:r>
      <w:r w:rsidRPr="004C53C4">
        <w:rPr>
          <w:rFonts w:cs="Arial"/>
          <w:rtl/>
        </w:rPr>
        <w:t>"</w:t>
      </w:r>
      <w:r w:rsidRPr="004C53C4">
        <w:rPr>
          <w:rFonts w:cs="Arial" w:hint="cs"/>
          <w:rtl/>
        </w:rPr>
        <w:t>א</w:t>
      </w:r>
      <w:r w:rsidRPr="004C53C4">
        <w:rPr>
          <w:rFonts w:cs="Arial"/>
          <w:rtl/>
        </w:rPr>
        <w:t xml:space="preserve"> </w:t>
      </w:r>
      <w:r w:rsidRPr="004C53C4">
        <w:rPr>
          <w:rFonts w:cs="Arial" w:hint="cs"/>
          <w:rtl/>
        </w:rPr>
        <w:t>והמחבר</w:t>
      </w:r>
      <w:r w:rsidRPr="004C53C4">
        <w:rPr>
          <w:rFonts w:cs="Arial"/>
          <w:rtl/>
        </w:rPr>
        <w:t xml:space="preserve"> </w:t>
      </w:r>
      <w:r w:rsidRPr="004C53C4">
        <w:rPr>
          <w:rFonts w:cs="Arial" w:hint="cs"/>
          <w:rtl/>
        </w:rPr>
        <w:t>בר</w:t>
      </w:r>
      <w:r w:rsidRPr="004C53C4">
        <w:rPr>
          <w:rFonts w:cs="Arial"/>
          <w:rtl/>
        </w:rPr>
        <w:t>"</w:t>
      </w:r>
      <w:r w:rsidRPr="004C53C4">
        <w:rPr>
          <w:rFonts w:cs="Arial" w:hint="cs"/>
          <w:rtl/>
        </w:rPr>
        <w:t>ס</w:t>
      </w:r>
      <w:r w:rsidRPr="004C53C4">
        <w:rPr>
          <w:rFonts w:cs="Arial"/>
          <w:rtl/>
        </w:rPr>
        <w:t xml:space="preserve"> </w:t>
      </w:r>
      <w:r w:rsidRPr="004C53C4">
        <w:rPr>
          <w:rFonts w:cs="Arial" w:hint="cs"/>
          <w:rtl/>
        </w:rPr>
        <w:t>ק</w:t>
      </w:r>
      <w:r w:rsidRPr="004C53C4">
        <w:rPr>
          <w:rFonts w:cs="Arial"/>
          <w:rtl/>
        </w:rPr>
        <w:t>"</w:t>
      </w:r>
      <w:r w:rsidRPr="004C53C4">
        <w:rPr>
          <w:rFonts w:cs="Arial" w:hint="cs"/>
          <w:rtl/>
        </w:rPr>
        <w:t>ו</w:t>
      </w:r>
      <w:r>
        <w:rPr>
          <w:rFonts w:cs="Arial" w:hint="cs"/>
          <w:rtl/>
        </w:rPr>
        <w:t>..., ש"ך (סק"ד).</w:t>
      </w:r>
    </w:p>
  </w:footnote>
  <w:footnote w:id="1868">
    <w:p w14:paraId="1FF72754" w14:textId="77777777" w:rsidR="004C5A3C" w:rsidRDefault="004C5A3C" w:rsidP="002C39F4">
      <w:pPr>
        <w:pStyle w:val="a5"/>
        <w:rPr>
          <w:rtl/>
        </w:rPr>
      </w:pPr>
      <w:r>
        <w:rPr>
          <w:rStyle w:val="a7"/>
        </w:rPr>
        <w:footnoteRef/>
      </w:r>
      <w:r>
        <w:rPr>
          <w:rtl/>
        </w:rPr>
        <w:t xml:space="preserve"> </w:t>
      </w:r>
      <w:r w:rsidRPr="004C53C4">
        <w:rPr>
          <w:rFonts w:cs="Arial" w:hint="cs"/>
          <w:rtl/>
        </w:rPr>
        <w:t>אלא</w:t>
      </w:r>
      <w:r w:rsidRPr="004C53C4">
        <w:rPr>
          <w:rFonts w:cs="Arial"/>
          <w:rtl/>
        </w:rPr>
        <w:t xml:space="preserve"> </w:t>
      </w:r>
      <w:r w:rsidRPr="004C53C4">
        <w:rPr>
          <w:rFonts w:cs="Arial" w:hint="cs"/>
          <w:rtl/>
        </w:rPr>
        <w:t>צריך</w:t>
      </w:r>
      <w:r w:rsidRPr="004C53C4">
        <w:rPr>
          <w:rFonts w:cs="Arial"/>
          <w:rtl/>
        </w:rPr>
        <w:t xml:space="preserve"> </w:t>
      </w:r>
      <w:r w:rsidRPr="004C53C4">
        <w:rPr>
          <w:rFonts w:cs="Arial" w:hint="cs"/>
          <w:rtl/>
        </w:rPr>
        <w:t>ס</w:t>
      </w:r>
      <w:r w:rsidRPr="004C53C4">
        <w:rPr>
          <w:rFonts w:cs="Arial"/>
          <w:rtl/>
        </w:rPr>
        <w:t xml:space="preserve">' </w:t>
      </w:r>
      <w:r w:rsidRPr="004C53C4">
        <w:rPr>
          <w:rFonts w:cs="Arial" w:hint="cs"/>
          <w:rtl/>
        </w:rPr>
        <w:t>נגד</w:t>
      </w:r>
      <w:r w:rsidRPr="004C53C4">
        <w:rPr>
          <w:rFonts w:cs="Arial"/>
          <w:rtl/>
        </w:rPr>
        <w:t xml:space="preserve"> </w:t>
      </w:r>
      <w:r w:rsidRPr="004C53C4">
        <w:rPr>
          <w:rFonts w:cs="Arial" w:hint="cs"/>
          <w:rtl/>
        </w:rPr>
        <w:t>כל</w:t>
      </w:r>
      <w:r w:rsidRPr="004C53C4">
        <w:rPr>
          <w:rFonts w:cs="Arial"/>
          <w:rtl/>
        </w:rPr>
        <w:t xml:space="preserve"> </w:t>
      </w:r>
      <w:r w:rsidRPr="004C53C4">
        <w:rPr>
          <w:rFonts w:cs="Arial" w:hint="cs"/>
          <w:rtl/>
        </w:rPr>
        <w:t>החתיכה</w:t>
      </w:r>
      <w:r w:rsidRPr="004C53C4">
        <w:rPr>
          <w:rFonts w:cs="Arial"/>
          <w:rtl/>
        </w:rPr>
        <w:t xml:space="preserve"> </w:t>
      </w:r>
      <w:r w:rsidRPr="004C53C4">
        <w:rPr>
          <w:rFonts w:cs="Arial" w:hint="cs"/>
          <w:rtl/>
        </w:rPr>
        <w:t>ואפ</w:t>
      </w:r>
      <w:r w:rsidRPr="004C53C4">
        <w:rPr>
          <w:rFonts w:cs="Arial"/>
          <w:rtl/>
        </w:rPr>
        <w:t>"</w:t>
      </w:r>
      <w:r w:rsidRPr="004C53C4">
        <w:rPr>
          <w:rFonts w:cs="Arial" w:hint="cs"/>
          <w:rtl/>
        </w:rPr>
        <w:t>ה</w:t>
      </w:r>
      <w:r w:rsidRPr="004C53C4">
        <w:rPr>
          <w:rFonts w:cs="Arial"/>
          <w:rtl/>
        </w:rPr>
        <w:t xml:space="preserve"> </w:t>
      </w:r>
      <w:r w:rsidRPr="004C53C4">
        <w:rPr>
          <w:rFonts w:cs="Arial" w:hint="cs"/>
          <w:rtl/>
        </w:rPr>
        <w:t>החתיכה</w:t>
      </w:r>
      <w:r w:rsidRPr="004C53C4">
        <w:rPr>
          <w:rFonts w:cs="Arial"/>
          <w:rtl/>
        </w:rPr>
        <w:t xml:space="preserve"> </w:t>
      </w:r>
      <w:r w:rsidRPr="004C53C4">
        <w:rPr>
          <w:rFonts w:cs="Arial" w:hint="cs"/>
          <w:rtl/>
        </w:rPr>
        <w:t>עצמה</w:t>
      </w:r>
      <w:r w:rsidRPr="004C53C4">
        <w:rPr>
          <w:rFonts w:cs="Arial"/>
          <w:rtl/>
        </w:rPr>
        <w:t xml:space="preserve"> </w:t>
      </w:r>
      <w:r w:rsidRPr="004C53C4">
        <w:rPr>
          <w:rFonts w:cs="Arial" w:hint="cs"/>
          <w:rtl/>
        </w:rPr>
        <w:t>אסורה</w:t>
      </w:r>
      <w:r>
        <w:rPr>
          <w:rFonts w:cs="Arial" w:hint="cs"/>
          <w:rtl/>
        </w:rPr>
        <w:t>,</w:t>
      </w:r>
      <w:r w:rsidRPr="004C53C4">
        <w:rPr>
          <w:rFonts w:cs="Arial"/>
          <w:rtl/>
        </w:rPr>
        <w:t xml:space="preserve"> </w:t>
      </w:r>
      <w:r w:rsidRPr="004C53C4">
        <w:rPr>
          <w:rFonts w:cs="Arial" w:hint="cs"/>
          <w:rtl/>
        </w:rPr>
        <w:t>כדלקמן</w:t>
      </w:r>
      <w:r w:rsidRPr="004C53C4">
        <w:rPr>
          <w:rFonts w:cs="Arial"/>
          <w:rtl/>
        </w:rPr>
        <w:t xml:space="preserve"> </w:t>
      </w:r>
      <w:r w:rsidRPr="004C53C4">
        <w:rPr>
          <w:rFonts w:cs="Arial" w:hint="cs"/>
          <w:rtl/>
        </w:rPr>
        <w:t>ר</w:t>
      </w:r>
      <w:r w:rsidRPr="004C53C4">
        <w:rPr>
          <w:rFonts w:cs="Arial"/>
          <w:rtl/>
        </w:rPr>
        <w:t>"</w:t>
      </w:r>
      <w:r w:rsidRPr="004C53C4">
        <w:rPr>
          <w:rFonts w:cs="Arial" w:hint="cs"/>
          <w:rtl/>
        </w:rPr>
        <w:t>ס</w:t>
      </w:r>
      <w:r w:rsidRPr="004C53C4">
        <w:rPr>
          <w:rFonts w:cs="Arial"/>
          <w:rtl/>
        </w:rPr>
        <w:t xml:space="preserve"> </w:t>
      </w:r>
      <w:r w:rsidRPr="004C53C4">
        <w:rPr>
          <w:rFonts w:cs="Arial" w:hint="cs"/>
          <w:rtl/>
        </w:rPr>
        <w:t>ק</w:t>
      </w:r>
      <w:r w:rsidRPr="004C53C4">
        <w:rPr>
          <w:rFonts w:cs="Arial"/>
          <w:rtl/>
        </w:rPr>
        <w:t>"</w:t>
      </w:r>
      <w:r w:rsidRPr="004C53C4">
        <w:rPr>
          <w:rFonts w:cs="Arial" w:hint="cs"/>
          <w:rtl/>
        </w:rPr>
        <w:t>ו</w:t>
      </w:r>
      <w:r w:rsidRPr="004C53C4">
        <w:rPr>
          <w:rFonts w:cs="Arial"/>
          <w:rtl/>
        </w:rPr>
        <w:t xml:space="preserve"> </w:t>
      </w:r>
      <w:r w:rsidRPr="004C53C4">
        <w:rPr>
          <w:rFonts w:cs="Arial" w:hint="cs"/>
          <w:rtl/>
        </w:rPr>
        <w:t>בהג</w:t>
      </w:r>
      <w:r w:rsidRPr="004C53C4">
        <w:rPr>
          <w:rFonts w:cs="Arial"/>
          <w:rtl/>
        </w:rPr>
        <w:t>"</w:t>
      </w:r>
      <w:r w:rsidRPr="004C53C4">
        <w:rPr>
          <w:rFonts w:cs="Arial" w:hint="cs"/>
          <w:rtl/>
        </w:rPr>
        <w:t>ה</w:t>
      </w:r>
      <w:r>
        <w:rPr>
          <w:rFonts w:cs="Arial" w:hint="cs"/>
          <w:rtl/>
        </w:rPr>
        <w:t>,</w:t>
      </w:r>
      <w:r w:rsidRPr="004C53C4">
        <w:rPr>
          <w:rFonts w:cs="Arial"/>
          <w:rtl/>
        </w:rPr>
        <w:t xml:space="preserve"> </w:t>
      </w:r>
      <w:r w:rsidRPr="004C53C4">
        <w:rPr>
          <w:rFonts w:cs="Arial" w:hint="cs"/>
          <w:rtl/>
        </w:rPr>
        <w:t>ועמ</w:t>
      </w:r>
      <w:r w:rsidRPr="004C53C4">
        <w:rPr>
          <w:rFonts w:cs="Arial"/>
          <w:rtl/>
        </w:rPr>
        <w:t>"</w:t>
      </w:r>
      <w:r w:rsidRPr="004C53C4">
        <w:rPr>
          <w:rFonts w:cs="Arial" w:hint="cs"/>
          <w:rtl/>
        </w:rPr>
        <w:t>ש</w:t>
      </w:r>
      <w:r w:rsidRPr="004C53C4">
        <w:rPr>
          <w:rFonts w:cs="Arial"/>
          <w:rtl/>
        </w:rPr>
        <w:t xml:space="preserve"> </w:t>
      </w:r>
      <w:r w:rsidRPr="004C53C4">
        <w:rPr>
          <w:rFonts w:cs="Arial" w:hint="cs"/>
          <w:rtl/>
        </w:rPr>
        <w:t>שם</w:t>
      </w:r>
      <w:r>
        <w:rPr>
          <w:rFonts w:hint="cs"/>
          <w:rtl/>
        </w:rPr>
        <w:t>, ש"ך (סק"ה).</w:t>
      </w:r>
    </w:p>
  </w:footnote>
  <w:footnote w:id="1869">
    <w:p w14:paraId="67AC7A9C" w14:textId="77777777" w:rsidR="004C5A3C" w:rsidRPr="00E92531" w:rsidRDefault="004C5A3C" w:rsidP="002C39F4">
      <w:pPr>
        <w:pStyle w:val="a5"/>
        <w:rPr>
          <w:rFonts w:cs="Arial"/>
        </w:rPr>
      </w:pPr>
      <w:r>
        <w:rPr>
          <w:rStyle w:val="a7"/>
        </w:rPr>
        <w:footnoteRef/>
      </w:r>
      <w:r>
        <w:rPr>
          <w:rtl/>
        </w:rPr>
        <w:t xml:space="preserve"> </w:t>
      </w:r>
      <w:r w:rsidRPr="000E70DC">
        <w:rPr>
          <w:rFonts w:cs="Arial" w:hint="cs"/>
          <w:rtl/>
        </w:rPr>
        <w:t>אם</w:t>
      </w:r>
      <w:r w:rsidRPr="000E70DC">
        <w:rPr>
          <w:rFonts w:cs="Arial"/>
          <w:rtl/>
        </w:rPr>
        <w:t xml:space="preserve"> </w:t>
      </w:r>
      <w:r w:rsidRPr="000E70DC">
        <w:rPr>
          <w:rFonts w:cs="Arial" w:hint="cs"/>
          <w:rtl/>
        </w:rPr>
        <w:t>ראינוהו</w:t>
      </w:r>
      <w:r w:rsidRPr="000E70DC">
        <w:rPr>
          <w:rFonts w:cs="Arial"/>
          <w:rtl/>
        </w:rPr>
        <w:t xml:space="preserve"> </w:t>
      </w:r>
      <w:r w:rsidRPr="000E70DC">
        <w:rPr>
          <w:rFonts w:cs="Arial" w:hint="cs"/>
          <w:rtl/>
        </w:rPr>
        <w:t>כשנפל</w:t>
      </w:r>
      <w:r w:rsidRPr="000E70DC">
        <w:rPr>
          <w:rFonts w:cs="Arial"/>
          <w:rtl/>
        </w:rPr>
        <w:t xml:space="preserve"> </w:t>
      </w:r>
      <w:r w:rsidRPr="000E70DC">
        <w:rPr>
          <w:rFonts w:cs="Arial" w:hint="cs"/>
          <w:rtl/>
        </w:rPr>
        <w:t>שם</w:t>
      </w:r>
      <w:r w:rsidRPr="000E70DC">
        <w:rPr>
          <w:rFonts w:cs="Arial"/>
          <w:rtl/>
        </w:rPr>
        <w:t xml:space="preserve"> </w:t>
      </w:r>
      <w:r w:rsidRPr="000E70DC">
        <w:rPr>
          <w:rFonts w:cs="Arial" w:hint="cs"/>
          <w:rtl/>
        </w:rPr>
        <w:t>קודם</w:t>
      </w:r>
      <w:r w:rsidRPr="000E70DC">
        <w:rPr>
          <w:rFonts w:cs="Arial"/>
          <w:rtl/>
        </w:rPr>
        <w:t xml:space="preserve"> </w:t>
      </w:r>
      <w:r w:rsidRPr="000E70DC">
        <w:rPr>
          <w:rFonts w:cs="Arial" w:hint="cs"/>
          <w:rtl/>
        </w:rPr>
        <w:t>שנתמעט</w:t>
      </w:r>
      <w:r>
        <w:rPr>
          <w:rFonts w:cs="Arial" w:hint="cs"/>
          <w:rtl/>
        </w:rPr>
        <w:t>,</w:t>
      </w:r>
      <w:r w:rsidRPr="000E70DC">
        <w:rPr>
          <w:rFonts w:cs="Arial"/>
          <w:rtl/>
        </w:rPr>
        <w:t xml:space="preserve"> </w:t>
      </w:r>
      <w:r w:rsidRPr="000E70DC">
        <w:rPr>
          <w:rFonts w:cs="Arial" w:hint="cs"/>
          <w:rtl/>
        </w:rPr>
        <w:t>ואנן</w:t>
      </w:r>
      <w:r w:rsidRPr="000E70DC">
        <w:rPr>
          <w:rFonts w:cs="Arial"/>
          <w:rtl/>
        </w:rPr>
        <w:t xml:space="preserve"> </w:t>
      </w:r>
      <w:r w:rsidRPr="000E70DC">
        <w:rPr>
          <w:rFonts w:cs="Arial" w:hint="cs"/>
          <w:rtl/>
        </w:rPr>
        <w:t>משערינן</w:t>
      </w:r>
      <w:r w:rsidRPr="000E70DC">
        <w:rPr>
          <w:rFonts w:cs="Arial"/>
          <w:rtl/>
        </w:rPr>
        <w:t xml:space="preserve"> </w:t>
      </w:r>
      <w:r w:rsidRPr="000E70DC">
        <w:rPr>
          <w:rFonts w:cs="Arial" w:hint="cs"/>
          <w:rtl/>
        </w:rPr>
        <w:t>אותו</w:t>
      </w:r>
      <w:r w:rsidRPr="000E70DC">
        <w:rPr>
          <w:rFonts w:cs="Arial"/>
          <w:rtl/>
        </w:rPr>
        <w:t xml:space="preserve"> </w:t>
      </w:r>
      <w:r w:rsidRPr="000E70DC">
        <w:rPr>
          <w:rFonts w:cs="Arial" w:hint="cs"/>
          <w:rtl/>
        </w:rPr>
        <w:t>לאחר</w:t>
      </w:r>
      <w:r w:rsidRPr="000E70DC">
        <w:rPr>
          <w:rFonts w:cs="Arial"/>
          <w:rtl/>
        </w:rPr>
        <w:t xml:space="preserve"> </w:t>
      </w:r>
      <w:r w:rsidRPr="000E70DC">
        <w:rPr>
          <w:rFonts w:cs="Arial" w:hint="cs"/>
          <w:rtl/>
        </w:rPr>
        <w:t>שנתבשל</w:t>
      </w:r>
      <w:r w:rsidRPr="000E70DC">
        <w:rPr>
          <w:rFonts w:cs="Arial"/>
          <w:rtl/>
        </w:rPr>
        <w:t xml:space="preserve"> </w:t>
      </w:r>
      <w:r w:rsidRPr="000E70DC">
        <w:rPr>
          <w:rFonts w:cs="Arial" w:hint="cs"/>
          <w:rtl/>
        </w:rPr>
        <w:t>לכמות</w:t>
      </w:r>
      <w:r w:rsidRPr="000E70DC">
        <w:rPr>
          <w:rFonts w:cs="Arial"/>
          <w:rtl/>
        </w:rPr>
        <w:t xml:space="preserve"> </w:t>
      </w:r>
      <w:r w:rsidRPr="000E70DC">
        <w:rPr>
          <w:rFonts w:cs="Arial" w:hint="cs"/>
          <w:rtl/>
        </w:rPr>
        <w:t>שנפל</w:t>
      </w:r>
      <w:r w:rsidRPr="000E70DC">
        <w:rPr>
          <w:rFonts w:cs="Arial"/>
          <w:rtl/>
        </w:rPr>
        <w:t xml:space="preserve"> </w:t>
      </w:r>
      <w:r w:rsidRPr="000E70DC">
        <w:rPr>
          <w:rFonts w:cs="Arial" w:hint="cs"/>
          <w:rtl/>
        </w:rPr>
        <w:t>שם</w:t>
      </w:r>
      <w:r w:rsidRPr="000E70DC">
        <w:rPr>
          <w:rFonts w:cs="Arial"/>
          <w:rtl/>
        </w:rPr>
        <w:t xml:space="preserve"> </w:t>
      </w:r>
      <w:r w:rsidRPr="000E70DC">
        <w:rPr>
          <w:rFonts w:cs="Arial" w:hint="cs"/>
          <w:rtl/>
        </w:rPr>
        <w:t>ואין</w:t>
      </w:r>
      <w:r w:rsidRPr="000E70DC">
        <w:rPr>
          <w:rFonts w:cs="Arial"/>
          <w:rtl/>
        </w:rPr>
        <w:t xml:space="preserve"> </w:t>
      </w:r>
      <w:r w:rsidRPr="000E70DC">
        <w:rPr>
          <w:rFonts w:cs="Arial" w:hint="cs"/>
          <w:rtl/>
        </w:rPr>
        <w:t>בהיתר</w:t>
      </w:r>
      <w:r w:rsidRPr="000E70DC">
        <w:rPr>
          <w:rFonts w:cs="Arial"/>
          <w:rtl/>
        </w:rPr>
        <w:t xml:space="preserve"> </w:t>
      </w:r>
      <w:r w:rsidRPr="000E70DC">
        <w:rPr>
          <w:rFonts w:cs="Arial" w:hint="cs"/>
          <w:rtl/>
        </w:rPr>
        <w:t>ששים</w:t>
      </w:r>
      <w:r w:rsidRPr="000E70DC">
        <w:rPr>
          <w:rFonts w:cs="Arial"/>
          <w:rtl/>
        </w:rPr>
        <w:t xml:space="preserve"> </w:t>
      </w:r>
      <w:r w:rsidRPr="000E70DC">
        <w:rPr>
          <w:rFonts w:cs="Arial" w:hint="cs"/>
          <w:rtl/>
        </w:rPr>
        <w:t>בו</w:t>
      </w:r>
      <w:r>
        <w:rPr>
          <w:rFonts w:cs="Arial" w:hint="cs"/>
          <w:rtl/>
        </w:rPr>
        <w:t>,</w:t>
      </w:r>
      <w:r w:rsidRPr="000E70DC">
        <w:rPr>
          <w:rFonts w:cs="Arial"/>
          <w:rtl/>
        </w:rPr>
        <w:t xml:space="preserve"> </w:t>
      </w:r>
      <w:r w:rsidRPr="000E70DC">
        <w:rPr>
          <w:rFonts w:cs="Arial" w:hint="cs"/>
          <w:rtl/>
        </w:rPr>
        <w:t>אומדים</w:t>
      </w:r>
      <w:r w:rsidRPr="000E70DC">
        <w:rPr>
          <w:rFonts w:cs="Arial"/>
          <w:rtl/>
        </w:rPr>
        <w:t xml:space="preserve"> </w:t>
      </w:r>
      <w:r w:rsidRPr="000E70DC">
        <w:rPr>
          <w:rFonts w:cs="Arial" w:hint="cs"/>
          <w:rtl/>
        </w:rPr>
        <w:t>כמה</w:t>
      </w:r>
      <w:r w:rsidRPr="000E70DC">
        <w:rPr>
          <w:rFonts w:cs="Arial"/>
          <w:rtl/>
        </w:rPr>
        <w:t xml:space="preserve"> </w:t>
      </w:r>
      <w:r w:rsidRPr="000E70DC">
        <w:rPr>
          <w:rFonts w:cs="Arial" w:hint="cs"/>
          <w:rtl/>
        </w:rPr>
        <w:t>בלעה</w:t>
      </w:r>
      <w:r w:rsidRPr="000E70DC">
        <w:rPr>
          <w:rFonts w:cs="Arial"/>
          <w:rtl/>
        </w:rPr>
        <w:t xml:space="preserve"> </w:t>
      </w:r>
      <w:r w:rsidRPr="000E70DC">
        <w:rPr>
          <w:rFonts w:cs="Arial" w:hint="cs"/>
          <w:rtl/>
        </w:rPr>
        <w:t>קדרה</w:t>
      </w:r>
      <w:r w:rsidRPr="000E70DC">
        <w:rPr>
          <w:rFonts w:cs="Arial"/>
          <w:rtl/>
        </w:rPr>
        <w:t xml:space="preserve"> </w:t>
      </w:r>
      <w:r w:rsidRPr="000E70DC">
        <w:rPr>
          <w:rFonts w:cs="Arial" w:hint="cs"/>
          <w:rtl/>
        </w:rPr>
        <w:t>מן</w:t>
      </w:r>
      <w:r w:rsidRPr="000E70DC">
        <w:rPr>
          <w:rFonts w:cs="Arial"/>
          <w:rtl/>
        </w:rPr>
        <w:t xml:space="preserve"> </w:t>
      </w:r>
      <w:r w:rsidRPr="000E70DC">
        <w:rPr>
          <w:rFonts w:cs="Arial" w:hint="cs"/>
          <w:rtl/>
        </w:rPr>
        <w:t>ההיתר</w:t>
      </w:r>
      <w:r>
        <w:rPr>
          <w:rFonts w:cs="Arial" w:hint="cs"/>
          <w:rtl/>
        </w:rPr>
        <w:t>,</w:t>
      </w:r>
      <w:r w:rsidRPr="000E70DC">
        <w:rPr>
          <w:rFonts w:cs="Arial"/>
          <w:rtl/>
        </w:rPr>
        <w:t xml:space="preserve"> </w:t>
      </w:r>
      <w:r w:rsidRPr="000E70DC">
        <w:rPr>
          <w:rFonts w:cs="Arial" w:hint="cs"/>
          <w:rtl/>
        </w:rPr>
        <w:t>לפי</w:t>
      </w:r>
      <w:r w:rsidRPr="000E70DC">
        <w:rPr>
          <w:rFonts w:cs="Arial"/>
          <w:rtl/>
        </w:rPr>
        <w:t xml:space="preserve"> </w:t>
      </w:r>
      <w:r w:rsidRPr="000E70DC">
        <w:rPr>
          <w:rFonts w:cs="Arial" w:hint="cs"/>
          <w:rtl/>
        </w:rPr>
        <w:t>שכשנפל</w:t>
      </w:r>
      <w:r w:rsidRPr="000E70DC">
        <w:rPr>
          <w:rFonts w:cs="Arial"/>
          <w:rtl/>
        </w:rPr>
        <w:t xml:space="preserve"> </w:t>
      </w:r>
      <w:r w:rsidRPr="000E70DC">
        <w:rPr>
          <w:rFonts w:cs="Arial" w:hint="cs"/>
          <w:rtl/>
        </w:rPr>
        <w:t>שם</w:t>
      </w:r>
      <w:r w:rsidRPr="000E70DC">
        <w:rPr>
          <w:rFonts w:cs="Arial"/>
          <w:rtl/>
        </w:rPr>
        <w:t xml:space="preserve"> </w:t>
      </w:r>
      <w:r w:rsidRPr="000E70DC">
        <w:rPr>
          <w:rFonts w:cs="Arial" w:hint="cs"/>
          <w:rtl/>
        </w:rPr>
        <w:t>היה</w:t>
      </w:r>
      <w:r w:rsidRPr="000E70DC">
        <w:rPr>
          <w:rFonts w:cs="Arial"/>
          <w:rtl/>
        </w:rPr>
        <w:t xml:space="preserve"> </w:t>
      </w:r>
      <w:r w:rsidRPr="000E70DC">
        <w:rPr>
          <w:rFonts w:cs="Arial" w:hint="cs"/>
          <w:rtl/>
        </w:rPr>
        <w:t>היתר</w:t>
      </w:r>
      <w:r w:rsidRPr="000E70DC">
        <w:rPr>
          <w:rFonts w:cs="Arial"/>
          <w:rtl/>
        </w:rPr>
        <w:t xml:space="preserve"> </w:t>
      </w:r>
      <w:r w:rsidRPr="000E70DC">
        <w:rPr>
          <w:rFonts w:cs="Arial" w:hint="cs"/>
          <w:rtl/>
        </w:rPr>
        <w:t>הרבה</w:t>
      </w:r>
      <w:r w:rsidRPr="000E70DC">
        <w:rPr>
          <w:rFonts w:cs="Arial"/>
          <w:rtl/>
        </w:rPr>
        <w:t xml:space="preserve"> </w:t>
      </w:r>
      <w:r w:rsidRPr="000E70DC">
        <w:rPr>
          <w:rFonts w:cs="Arial" w:hint="cs"/>
          <w:rtl/>
        </w:rPr>
        <w:t>ונתמעט</w:t>
      </w:r>
      <w:r w:rsidRPr="000E70DC">
        <w:rPr>
          <w:rFonts w:cs="Arial"/>
          <w:rtl/>
        </w:rPr>
        <w:t xml:space="preserve"> </w:t>
      </w:r>
      <w:r w:rsidRPr="000E70DC">
        <w:rPr>
          <w:rFonts w:cs="Arial" w:hint="cs"/>
          <w:rtl/>
        </w:rPr>
        <w:t>בבליעת</w:t>
      </w:r>
      <w:r w:rsidRPr="000E70DC">
        <w:rPr>
          <w:rFonts w:cs="Arial"/>
          <w:rtl/>
        </w:rPr>
        <w:t xml:space="preserve"> </w:t>
      </w:r>
      <w:r w:rsidRPr="000E70DC">
        <w:rPr>
          <w:rFonts w:cs="Arial" w:hint="cs"/>
          <w:rtl/>
        </w:rPr>
        <w:t>הקדרה</w:t>
      </w:r>
      <w:r>
        <w:rPr>
          <w:rFonts w:cs="Arial" w:hint="cs"/>
          <w:rtl/>
        </w:rPr>
        <w:t>,</w:t>
      </w:r>
      <w:r w:rsidRPr="000E70DC">
        <w:rPr>
          <w:rFonts w:cs="Arial"/>
          <w:rtl/>
        </w:rPr>
        <w:t xml:space="preserve"> </w:t>
      </w:r>
      <w:r w:rsidRPr="000E70DC">
        <w:rPr>
          <w:rFonts w:cs="Arial" w:hint="cs"/>
          <w:rtl/>
        </w:rPr>
        <w:t>אבל</w:t>
      </w:r>
      <w:r w:rsidRPr="000E70DC">
        <w:rPr>
          <w:rFonts w:cs="Arial"/>
          <w:rtl/>
        </w:rPr>
        <w:t xml:space="preserve"> </w:t>
      </w:r>
      <w:r w:rsidRPr="000E70DC">
        <w:rPr>
          <w:rFonts w:cs="Arial" w:hint="cs"/>
          <w:rtl/>
        </w:rPr>
        <w:t>בקדרה</w:t>
      </w:r>
      <w:r w:rsidRPr="000E70DC">
        <w:rPr>
          <w:rFonts w:cs="Arial"/>
          <w:rtl/>
        </w:rPr>
        <w:t xml:space="preserve"> </w:t>
      </w:r>
      <w:r w:rsidRPr="000E70DC">
        <w:rPr>
          <w:rFonts w:cs="Arial" w:hint="cs"/>
          <w:rtl/>
        </w:rPr>
        <w:t>עצמה</w:t>
      </w:r>
      <w:r w:rsidRPr="000E70DC">
        <w:rPr>
          <w:rFonts w:cs="Arial"/>
          <w:rtl/>
        </w:rPr>
        <w:t xml:space="preserve"> </w:t>
      </w:r>
      <w:r w:rsidRPr="000E70DC">
        <w:rPr>
          <w:rFonts w:cs="Arial" w:hint="cs"/>
          <w:rtl/>
        </w:rPr>
        <w:t>לא</w:t>
      </w:r>
      <w:r w:rsidRPr="000E70DC">
        <w:rPr>
          <w:rFonts w:cs="Arial"/>
          <w:rtl/>
        </w:rPr>
        <w:t xml:space="preserve"> </w:t>
      </w:r>
      <w:r w:rsidRPr="000E70DC">
        <w:rPr>
          <w:rFonts w:cs="Arial" w:hint="cs"/>
          <w:rtl/>
        </w:rPr>
        <w:t>משערינן</w:t>
      </w:r>
      <w:r>
        <w:rPr>
          <w:rFonts w:cs="Arial" w:hint="cs"/>
          <w:rtl/>
        </w:rPr>
        <w:t>,</w:t>
      </w:r>
      <w:r w:rsidRPr="000E70DC">
        <w:rPr>
          <w:rFonts w:cs="Arial"/>
          <w:rtl/>
        </w:rPr>
        <w:t xml:space="preserve"> </w:t>
      </w:r>
      <w:r w:rsidRPr="000E70DC">
        <w:rPr>
          <w:rFonts w:cs="Arial" w:hint="cs"/>
          <w:rtl/>
        </w:rPr>
        <w:t>וכיון</w:t>
      </w:r>
      <w:r w:rsidRPr="000E70DC">
        <w:rPr>
          <w:rFonts w:cs="Arial"/>
          <w:rtl/>
        </w:rPr>
        <w:t xml:space="preserve"> </w:t>
      </w:r>
      <w:r w:rsidRPr="000E70DC">
        <w:rPr>
          <w:rFonts w:cs="Arial" w:hint="cs"/>
          <w:rtl/>
        </w:rPr>
        <w:t>דאיפליגו</w:t>
      </w:r>
      <w:r w:rsidRPr="000E70DC">
        <w:rPr>
          <w:rFonts w:cs="Arial"/>
          <w:rtl/>
        </w:rPr>
        <w:t xml:space="preserve"> </w:t>
      </w:r>
      <w:r w:rsidRPr="000E70DC">
        <w:rPr>
          <w:rFonts w:cs="Arial" w:hint="cs"/>
          <w:rtl/>
        </w:rPr>
        <w:t>לישני</w:t>
      </w:r>
      <w:r w:rsidRPr="000E70DC">
        <w:rPr>
          <w:rFonts w:cs="Arial"/>
          <w:rtl/>
        </w:rPr>
        <w:t xml:space="preserve"> </w:t>
      </w:r>
      <w:r w:rsidRPr="000E70DC">
        <w:rPr>
          <w:rFonts w:cs="Arial" w:hint="cs"/>
          <w:rtl/>
        </w:rPr>
        <w:t>ואיסורא</w:t>
      </w:r>
      <w:r w:rsidRPr="000E70DC">
        <w:rPr>
          <w:rFonts w:cs="Arial"/>
          <w:rtl/>
        </w:rPr>
        <w:t xml:space="preserve"> </w:t>
      </w:r>
      <w:r w:rsidRPr="000E70DC">
        <w:rPr>
          <w:rFonts w:cs="Arial" w:hint="cs"/>
          <w:rtl/>
        </w:rPr>
        <w:t>דאורייתא</w:t>
      </w:r>
      <w:r w:rsidRPr="000E70DC">
        <w:rPr>
          <w:rFonts w:cs="Arial"/>
          <w:rtl/>
        </w:rPr>
        <w:t xml:space="preserve"> </w:t>
      </w:r>
      <w:r w:rsidRPr="000E70DC">
        <w:rPr>
          <w:rFonts w:cs="Arial" w:hint="cs"/>
          <w:rtl/>
        </w:rPr>
        <w:t>היא</w:t>
      </w:r>
      <w:r w:rsidRPr="000E70DC">
        <w:rPr>
          <w:rFonts w:cs="Arial"/>
          <w:rtl/>
        </w:rPr>
        <w:t xml:space="preserve"> </w:t>
      </w:r>
      <w:r w:rsidRPr="000E70DC">
        <w:rPr>
          <w:rFonts w:cs="Arial" w:hint="cs"/>
          <w:rtl/>
        </w:rPr>
        <w:t>אזלינן</w:t>
      </w:r>
      <w:r w:rsidRPr="000E70DC">
        <w:rPr>
          <w:rFonts w:cs="Arial"/>
          <w:rtl/>
        </w:rPr>
        <w:t xml:space="preserve"> </w:t>
      </w:r>
      <w:r w:rsidRPr="000E70DC">
        <w:rPr>
          <w:rFonts w:cs="Arial" w:hint="cs"/>
          <w:rtl/>
        </w:rPr>
        <w:t>לחומרא</w:t>
      </w:r>
      <w:r w:rsidRPr="000E70DC">
        <w:rPr>
          <w:rFonts w:cs="Arial"/>
          <w:rtl/>
        </w:rPr>
        <w:t xml:space="preserve"> </w:t>
      </w:r>
      <w:r w:rsidRPr="000E70DC">
        <w:rPr>
          <w:rFonts w:cs="Arial" w:hint="cs"/>
          <w:rtl/>
        </w:rPr>
        <w:t>ולא</w:t>
      </w:r>
      <w:r w:rsidRPr="000E70DC">
        <w:rPr>
          <w:rFonts w:cs="Arial"/>
          <w:rtl/>
        </w:rPr>
        <w:t xml:space="preserve"> </w:t>
      </w:r>
      <w:r w:rsidRPr="000E70DC">
        <w:rPr>
          <w:rFonts w:cs="Arial" w:hint="cs"/>
          <w:rtl/>
        </w:rPr>
        <w:t>משערינן</w:t>
      </w:r>
      <w:r w:rsidRPr="000E70DC">
        <w:rPr>
          <w:rFonts w:cs="Arial"/>
          <w:rtl/>
        </w:rPr>
        <w:t xml:space="preserve"> </w:t>
      </w:r>
      <w:r w:rsidRPr="000E70DC">
        <w:rPr>
          <w:rFonts w:cs="Arial" w:hint="cs"/>
          <w:rtl/>
        </w:rPr>
        <w:t>בקדרה</w:t>
      </w:r>
      <w:r>
        <w:rPr>
          <w:rFonts w:cs="Arial" w:hint="cs"/>
          <w:rtl/>
        </w:rPr>
        <w:t>,</w:t>
      </w:r>
      <w:r w:rsidRPr="000E70DC">
        <w:rPr>
          <w:rFonts w:cs="Arial"/>
          <w:rtl/>
        </w:rPr>
        <w:t xml:space="preserve"> </w:t>
      </w:r>
      <w:r w:rsidRPr="000E70DC">
        <w:rPr>
          <w:rFonts w:cs="Arial" w:hint="cs"/>
          <w:rtl/>
        </w:rPr>
        <w:t>ועיקר</w:t>
      </w:r>
      <w:r w:rsidRPr="000E70DC">
        <w:rPr>
          <w:rFonts w:cs="Arial"/>
          <w:rtl/>
        </w:rPr>
        <w:t xml:space="preserve"> </w:t>
      </w:r>
      <w:r w:rsidRPr="000E70DC">
        <w:rPr>
          <w:rFonts w:cs="Arial" w:hint="cs"/>
          <w:rtl/>
        </w:rPr>
        <w:t>הדבר</w:t>
      </w:r>
      <w:r w:rsidRPr="000E70DC">
        <w:rPr>
          <w:rFonts w:cs="Arial"/>
          <w:rtl/>
        </w:rPr>
        <w:t xml:space="preserve"> </w:t>
      </w:r>
      <w:r w:rsidRPr="000E70DC">
        <w:rPr>
          <w:rFonts w:cs="Arial" w:hint="cs"/>
          <w:rtl/>
        </w:rPr>
        <w:t>כמות</w:t>
      </w:r>
      <w:r w:rsidRPr="000E70DC">
        <w:rPr>
          <w:rFonts w:cs="Arial"/>
          <w:rtl/>
        </w:rPr>
        <w:t xml:space="preserve"> </w:t>
      </w:r>
      <w:r w:rsidRPr="000E70DC">
        <w:rPr>
          <w:rFonts w:cs="Arial" w:hint="cs"/>
          <w:rtl/>
        </w:rPr>
        <w:t>שהוא</w:t>
      </w:r>
      <w:r w:rsidRPr="000E70DC">
        <w:rPr>
          <w:rFonts w:cs="Arial"/>
          <w:rtl/>
        </w:rPr>
        <w:t xml:space="preserve"> </w:t>
      </w:r>
      <w:r w:rsidRPr="000E70DC">
        <w:rPr>
          <w:rFonts w:cs="Arial" w:hint="cs"/>
          <w:rtl/>
        </w:rPr>
        <w:t>בא</w:t>
      </w:r>
      <w:r w:rsidRPr="000E70DC">
        <w:rPr>
          <w:rFonts w:cs="Arial"/>
          <w:rtl/>
        </w:rPr>
        <w:t xml:space="preserve"> </w:t>
      </w:r>
      <w:r w:rsidRPr="000E70DC">
        <w:rPr>
          <w:rFonts w:cs="Arial" w:hint="cs"/>
          <w:rtl/>
        </w:rPr>
        <w:t>לפנינו</w:t>
      </w:r>
      <w:r w:rsidRPr="000E70DC">
        <w:rPr>
          <w:rFonts w:cs="Arial"/>
          <w:rtl/>
        </w:rPr>
        <w:t xml:space="preserve"> </w:t>
      </w:r>
      <w:r w:rsidRPr="000E70DC">
        <w:rPr>
          <w:rFonts w:cs="Arial" w:hint="cs"/>
          <w:rtl/>
        </w:rPr>
        <w:t>משערינן</w:t>
      </w:r>
      <w:r w:rsidRPr="000E70DC">
        <w:rPr>
          <w:rFonts w:cs="Arial"/>
          <w:rtl/>
        </w:rPr>
        <w:t xml:space="preserve"> </w:t>
      </w:r>
      <w:r w:rsidRPr="000E70DC">
        <w:rPr>
          <w:rFonts w:cs="Arial" w:hint="cs"/>
          <w:rtl/>
        </w:rPr>
        <w:t>ליה</w:t>
      </w:r>
      <w:r w:rsidRPr="000E70DC">
        <w:rPr>
          <w:rFonts w:cs="Arial"/>
          <w:rtl/>
        </w:rPr>
        <w:t xml:space="preserve"> </w:t>
      </w:r>
      <w:r w:rsidRPr="000E70DC">
        <w:rPr>
          <w:rFonts w:cs="Arial" w:hint="cs"/>
          <w:rtl/>
        </w:rPr>
        <w:t>ולא</w:t>
      </w:r>
      <w:r w:rsidRPr="000E70DC">
        <w:rPr>
          <w:rFonts w:cs="Arial"/>
          <w:rtl/>
        </w:rPr>
        <w:t xml:space="preserve"> </w:t>
      </w:r>
      <w:r w:rsidRPr="000E70DC">
        <w:rPr>
          <w:rFonts w:cs="Arial" w:hint="cs"/>
          <w:rtl/>
        </w:rPr>
        <w:t>משערינן</w:t>
      </w:r>
      <w:r w:rsidRPr="000E70DC">
        <w:rPr>
          <w:rFonts w:cs="Arial"/>
          <w:rtl/>
        </w:rPr>
        <w:t xml:space="preserve"> </w:t>
      </w:r>
      <w:r w:rsidRPr="000E70DC">
        <w:rPr>
          <w:rFonts w:cs="Arial" w:hint="cs"/>
          <w:rtl/>
        </w:rPr>
        <w:t>במאי</w:t>
      </w:r>
      <w:r w:rsidRPr="000E70DC">
        <w:rPr>
          <w:rFonts w:cs="Arial"/>
          <w:rtl/>
        </w:rPr>
        <w:t xml:space="preserve"> </w:t>
      </w:r>
      <w:r w:rsidRPr="000E70DC">
        <w:rPr>
          <w:rFonts w:cs="Arial" w:hint="cs"/>
          <w:rtl/>
        </w:rPr>
        <w:t>דבלעה</w:t>
      </w:r>
      <w:r w:rsidRPr="000E70DC">
        <w:rPr>
          <w:rFonts w:cs="Arial"/>
          <w:rtl/>
        </w:rPr>
        <w:t xml:space="preserve"> </w:t>
      </w:r>
      <w:r w:rsidRPr="000E70DC">
        <w:rPr>
          <w:rFonts w:cs="Arial" w:hint="cs"/>
          <w:rtl/>
        </w:rPr>
        <w:t>קדרה</w:t>
      </w:r>
      <w:r w:rsidRPr="000E70DC">
        <w:rPr>
          <w:rFonts w:cs="Arial"/>
          <w:rtl/>
        </w:rPr>
        <w:t xml:space="preserve"> </w:t>
      </w:r>
      <w:r w:rsidRPr="000E70DC">
        <w:rPr>
          <w:rFonts w:cs="Arial" w:hint="cs"/>
          <w:rtl/>
        </w:rPr>
        <w:t>מן</w:t>
      </w:r>
      <w:r w:rsidRPr="000E70DC">
        <w:rPr>
          <w:rFonts w:cs="Arial"/>
          <w:rtl/>
        </w:rPr>
        <w:t xml:space="preserve"> </w:t>
      </w:r>
      <w:r w:rsidRPr="000E70DC">
        <w:rPr>
          <w:rFonts w:cs="Arial" w:hint="cs"/>
          <w:rtl/>
        </w:rPr>
        <w:t>ההיתר</w:t>
      </w:r>
      <w:r w:rsidRPr="000E70DC">
        <w:rPr>
          <w:rFonts w:cs="Arial"/>
          <w:rtl/>
        </w:rPr>
        <w:t xml:space="preserve"> </w:t>
      </w:r>
      <w:r w:rsidRPr="000E70DC">
        <w:rPr>
          <w:rFonts w:cs="Arial" w:hint="cs"/>
          <w:rtl/>
        </w:rPr>
        <w:t>לפי</w:t>
      </w:r>
      <w:r w:rsidRPr="000E70DC">
        <w:rPr>
          <w:rFonts w:cs="Arial"/>
          <w:rtl/>
        </w:rPr>
        <w:t xml:space="preserve"> </w:t>
      </w:r>
      <w:r w:rsidRPr="000E70DC">
        <w:rPr>
          <w:rFonts w:cs="Arial" w:hint="cs"/>
          <w:rtl/>
        </w:rPr>
        <w:t>שאף</w:t>
      </w:r>
      <w:r w:rsidRPr="000E70DC">
        <w:rPr>
          <w:rFonts w:cs="Arial"/>
          <w:rtl/>
        </w:rPr>
        <w:t xml:space="preserve"> </w:t>
      </w:r>
      <w:r w:rsidRPr="000E70DC">
        <w:rPr>
          <w:rFonts w:cs="Arial" w:hint="cs"/>
          <w:rtl/>
        </w:rPr>
        <w:t>מן</w:t>
      </w:r>
      <w:r w:rsidRPr="000E70DC">
        <w:rPr>
          <w:rFonts w:cs="Arial"/>
          <w:rtl/>
        </w:rPr>
        <w:t xml:space="preserve"> </w:t>
      </w:r>
      <w:r w:rsidRPr="000E70DC">
        <w:rPr>
          <w:rFonts w:cs="Arial" w:hint="cs"/>
          <w:rtl/>
        </w:rPr>
        <w:t>האיסור</w:t>
      </w:r>
      <w:r w:rsidRPr="000E70DC">
        <w:rPr>
          <w:rFonts w:cs="Arial"/>
          <w:rtl/>
        </w:rPr>
        <w:t xml:space="preserve"> </w:t>
      </w:r>
      <w:r w:rsidRPr="000E70DC">
        <w:rPr>
          <w:rFonts w:cs="Arial" w:hint="cs"/>
          <w:rtl/>
        </w:rPr>
        <w:t>נבלע</w:t>
      </w:r>
      <w:r w:rsidRPr="000E70DC">
        <w:rPr>
          <w:rFonts w:cs="Arial"/>
          <w:rtl/>
        </w:rPr>
        <w:t xml:space="preserve"> </w:t>
      </w:r>
      <w:r w:rsidRPr="000E70DC">
        <w:rPr>
          <w:rFonts w:cs="Arial" w:hint="cs"/>
          <w:rtl/>
        </w:rPr>
        <w:t>ונתמעט</w:t>
      </w:r>
      <w:r w:rsidRPr="000E70DC">
        <w:rPr>
          <w:rFonts w:cs="Arial"/>
          <w:rtl/>
        </w:rPr>
        <w:t xml:space="preserve"> </w:t>
      </w:r>
      <w:r w:rsidRPr="000E70DC">
        <w:rPr>
          <w:rFonts w:cs="Arial" w:hint="cs"/>
          <w:rtl/>
        </w:rPr>
        <w:t>מכמות</w:t>
      </w:r>
      <w:r w:rsidRPr="000E70DC">
        <w:rPr>
          <w:rFonts w:cs="Arial"/>
          <w:rtl/>
        </w:rPr>
        <w:t xml:space="preserve"> </w:t>
      </w:r>
      <w:r w:rsidRPr="000E70DC">
        <w:rPr>
          <w:rFonts w:cs="Arial" w:hint="cs"/>
          <w:rtl/>
        </w:rPr>
        <w:t>שהיה</w:t>
      </w:r>
      <w:r w:rsidRPr="000E70DC">
        <w:rPr>
          <w:rFonts w:cs="Arial"/>
          <w:rtl/>
        </w:rPr>
        <w:t xml:space="preserve"> </w:t>
      </w:r>
      <w:r w:rsidRPr="000E70DC">
        <w:rPr>
          <w:rFonts w:cs="Arial" w:hint="cs"/>
          <w:rtl/>
        </w:rPr>
        <w:t>וכדאמרי</w:t>
      </w:r>
      <w:r w:rsidRPr="000E70DC">
        <w:rPr>
          <w:rFonts w:cs="Arial"/>
          <w:rtl/>
        </w:rPr>
        <w:t xml:space="preserve">' </w:t>
      </w:r>
      <w:r w:rsidRPr="000E70DC">
        <w:rPr>
          <w:rFonts w:cs="Arial" w:hint="cs"/>
          <w:rtl/>
        </w:rPr>
        <w:t>לקמן</w:t>
      </w:r>
      <w:r w:rsidRPr="000E70DC">
        <w:rPr>
          <w:rFonts w:cs="Arial"/>
          <w:rtl/>
        </w:rPr>
        <w:t xml:space="preserve"> (</w:t>
      </w:r>
      <w:r w:rsidRPr="000E70DC">
        <w:rPr>
          <w:rFonts w:cs="Arial" w:hint="cs"/>
          <w:rtl/>
        </w:rPr>
        <w:t>צח</w:t>
      </w:r>
      <w:r>
        <w:rPr>
          <w:rFonts w:cs="Arial" w:hint="cs"/>
          <w:rtl/>
        </w:rPr>
        <w:t>.</w:t>
      </w:r>
      <w:r w:rsidRPr="000E70DC">
        <w:rPr>
          <w:rFonts w:cs="Arial"/>
          <w:rtl/>
        </w:rPr>
        <w:t xml:space="preserve">) </w:t>
      </w:r>
      <w:r w:rsidRPr="000E70DC">
        <w:rPr>
          <w:rFonts w:cs="Arial" w:hint="cs"/>
          <w:rtl/>
        </w:rPr>
        <w:t>אטו</w:t>
      </w:r>
      <w:r w:rsidRPr="000E70DC">
        <w:rPr>
          <w:rFonts w:cs="Arial"/>
          <w:rtl/>
        </w:rPr>
        <w:t xml:space="preserve"> </w:t>
      </w:r>
      <w:r w:rsidRPr="000E70DC">
        <w:rPr>
          <w:rFonts w:cs="Arial" w:hint="cs"/>
          <w:rtl/>
        </w:rPr>
        <w:t>דהיתרא</w:t>
      </w:r>
      <w:r w:rsidRPr="000E70DC">
        <w:rPr>
          <w:rFonts w:cs="Arial"/>
          <w:rtl/>
        </w:rPr>
        <w:t xml:space="preserve"> </w:t>
      </w:r>
      <w:r w:rsidRPr="000E70DC">
        <w:rPr>
          <w:rFonts w:cs="Arial" w:hint="cs"/>
          <w:rtl/>
        </w:rPr>
        <w:t>בלע</w:t>
      </w:r>
      <w:r w:rsidRPr="000E70DC">
        <w:rPr>
          <w:rFonts w:cs="Arial"/>
          <w:rtl/>
        </w:rPr>
        <w:t xml:space="preserve"> </w:t>
      </w:r>
      <w:r w:rsidRPr="000E70DC">
        <w:rPr>
          <w:rFonts w:cs="Arial" w:hint="cs"/>
          <w:rtl/>
        </w:rPr>
        <w:t>דאיסורא</w:t>
      </w:r>
      <w:r w:rsidRPr="000E70DC">
        <w:rPr>
          <w:rFonts w:cs="Arial"/>
          <w:rtl/>
        </w:rPr>
        <w:t xml:space="preserve"> </w:t>
      </w:r>
      <w:r w:rsidRPr="000E70DC">
        <w:rPr>
          <w:rFonts w:cs="Arial" w:hint="cs"/>
          <w:rtl/>
        </w:rPr>
        <w:t>לא</w:t>
      </w:r>
      <w:r w:rsidRPr="000E70DC">
        <w:rPr>
          <w:rFonts w:cs="Arial"/>
          <w:rtl/>
        </w:rPr>
        <w:t xml:space="preserve"> </w:t>
      </w:r>
      <w:r w:rsidRPr="000E70DC">
        <w:rPr>
          <w:rFonts w:cs="Arial" w:hint="cs"/>
          <w:rtl/>
        </w:rPr>
        <w:t>בלע</w:t>
      </w:r>
      <w:r>
        <w:rPr>
          <w:rFonts w:cs="Arial" w:hint="cs"/>
          <w:rtl/>
        </w:rPr>
        <w:t>, רש"י. משמע מפירושו דלישנא קמא לקולא ולישנא בתרא לחומרא. אבל הרשב"א מפרש בשם קצת מפרשים להפך, דלישנא קמא לחומרא ולישנא בתרא לקולא,</w:t>
      </w:r>
      <w:r w:rsidRPr="00E92531">
        <w:rPr>
          <w:rFonts w:cs="Arial" w:hint="cs"/>
          <w:rtl/>
        </w:rPr>
        <w:t xml:space="preserve"> </w:t>
      </w:r>
      <w:r>
        <w:rPr>
          <w:rFonts w:cs="Arial" w:hint="cs"/>
          <w:rtl/>
        </w:rPr>
        <w:t xml:space="preserve">וז"ל- </w:t>
      </w:r>
      <w:r w:rsidRPr="00C36988">
        <w:rPr>
          <w:rFonts w:cs="Arial"/>
          <w:rtl/>
        </w:rPr>
        <w:t>מקצת מפרשים פירשו בקדרה עצמה</w:t>
      </w:r>
      <w:r>
        <w:rPr>
          <w:rFonts w:cs="Arial" w:hint="cs"/>
          <w:rtl/>
        </w:rPr>
        <w:t>,</w:t>
      </w:r>
      <w:r w:rsidRPr="00C36988">
        <w:rPr>
          <w:rFonts w:cs="Arial"/>
          <w:rtl/>
        </w:rPr>
        <w:t xml:space="preserve"> היינו ברוטב ובקיפה ובחתיכות לבד שבאו לפנינו עכשיו בתוך הקדרה אבל לא במה שהוא בלוע בתוך דופני הקדרה</w:t>
      </w:r>
      <w:r>
        <w:rPr>
          <w:rFonts w:cs="Arial" w:hint="cs"/>
          <w:rtl/>
        </w:rPr>
        <w:t>,</w:t>
      </w:r>
      <w:r w:rsidRPr="00C36988">
        <w:rPr>
          <w:rFonts w:cs="Arial"/>
          <w:rtl/>
        </w:rPr>
        <w:t xml:space="preserve"> ואיכא דאמרי במאי דבלעה קדרה</w:t>
      </w:r>
      <w:r>
        <w:rPr>
          <w:rFonts w:cs="Arial" w:hint="cs"/>
          <w:rtl/>
        </w:rPr>
        <w:t>,</w:t>
      </w:r>
      <w:r w:rsidRPr="00C36988">
        <w:rPr>
          <w:rFonts w:cs="Arial"/>
          <w:rtl/>
        </w:rPr>
        <w:t xml:space="preserve"> כלומר במה שהוא בלוע בתוך דופני הקדרה</w:t>
      </w:r>
      <w:r>
        <w:rPr>
          <w:rFonts w:cs="Arial" w:hint="cs"/>
          <w:rtl/>
        </w:rPr>
        <w:t>,</w:t>
      </w:r>
      <w:r w:rsidRPr="00C36988">
        <w:rPr>
          <w:rFonts w:cs="Arial"/>
          <w:rtl/>
        </w:rPr>
        <w:t xml:space="preserve"> ופסקו כלישנא בתרא ולקולא</w:t>
      </w:r>
      <w:r>
        <w:rPr>
          <w:rFonts w:cs="Arial" w:hint="cs"/>
          <w:rtl/>
        </w:rPr>
        <w:t>,</w:t>
      </w:r>
      <w:r w:rsidRPr="00C36988">
        <w:rPr>
          <w:rFonts w:cs="Arial"/>
          <w:rtl/>
        </w:rPr>
        <w:t xml:space="preserve"> ואפילו במאי דבלעה קדרה דעומד ובלוע בתוך דופני הקדרה משערינן ובאומד יפה</w:t>
      </w:r>
      <w:r>
        <w:rPr>
          <w:rFonts w:cs="Arial" w:hint="cs"/>
          <w:rtl/>
        </w:rPr>
        <w:t>,</w:t>
      </w:r>
      <w:r w:rsidRPr="00C36988">
        <w:rPr>
          <w:rFonts w:cs="Arial"/>
          <w:rtl/>
        </w:rPr>
        <w:t xml:space="preserve"> וכדאמרינן התם (צח.) </w:t>
      </w:r>
      <w:r>
        <w:rPr>
          <w:rFonts w:cs="Arial" w:hint="cs"/>
          <w:rtl/>
        </w:rPr>
        <w:t>'</w:t>
      </w:r>
      <w:r w:rsidRPr="00C36988">
        <w:rPr>
          <w:rFonts w:cs="Arial"/>
          <w:rtl/>
        </w:rPr>
        <w:t>ההוא כזיתא דתרבא דנפל לדיקולא סבר מר בר רב אשי לשעוריה במאי דבלע דיקולא א"ל רבנן לרב אשי האי דיקולא דהיתרא בלע דאיסורא לא בלע</w:t>
      </w:r>
      <w:r>
        <w:rPr>
          <w:rFonts w:cs="Arial" w:hint="cs"/>
          <w:rtl/>
        </w:rPr>
        <w:t>'</w:t>
      </w:r>
      <w:r w:rsidRPr="00C36988">
        <w:rPr>
          <w:rFonts w:cs="Arial"/>
          <w:rtl/>
        </w:rPr>
        <w:t xml:space="preserve"> </w:t>
      </w:r>
      <w:r>
        <w:rPr>
          <w:rFonts w:cs="Arial" w:hint="cs"/>
          <w:rtl/>
        </w:rPr>
        <w:t xml:space="preserve">- </w:t>
      </w:r>
      <w:r w:rsidRPr="00C36988">
        <w:rPr>
          <w:rFonts w:cs="Arial"/>
          <w:rtl/>
        </w:rPr>
        <w:t>דאלמא דאי לאו דאיסורא בלע הוה משערינן בהיתרא דבלעה דיקולא לבטל האיסור הידוע דנפל לדיקולא כאילו התירא דבלע דיקולא בעין בתוך הקדירה</w:t>
      </w:r>
      <w:r>
        <w:rPr>
          <w:rFonts w:cs="Arial" w:hint="cs"/>
          <w:rtl/>
        </w:rPr>
        <w:t>.</w:t>
      </w:r>
    </w:p>
  </w:footnote>
  <w:footnote w:id="1870">
    <w:p w14:paraId="5EE89C3F" w14:textId="77777777" w:rsidR="004C5A3C" w:rsidRDefault="004C5A3C" w:rsidP="002C39F4">
      <w:pPr>
        <w:pStyle w:val="a5"/>
      </w:pPr>
      <w:r>
        <w:rPr>
          <w:rStyle w:val="a7"/>
        </w:rPr>
        <w:footnoteRef/>
      </w:r>
      <w:r>
        <w:rPr>
          <w:rtl/>
        </w:rPr>
        <w:t xml:space="preserve"> </w:t>
      </w:r>
      <w:r>
        <w:rPr>
          <w:rFonts w:hint="cs"/>
          <w:rtl/>
        </w:rPr>
        <w:t>וכ' הב"י ד</w:t>
      </w:r>
      <w:r>
        <w:rPr>
          <w:rFonts w:cs="Arial"/>
          <w:rtl/>
        </w:rPr>
        <w:t>נראה ש</w:t>
      </w:r>
      <w:r>
        <w:rPr>
          <w:rFonts w:cs="Arial" w:hint="cs"/>
          <w:rtl/>
        </w:rPr>
        <w:t xml:space="preserve">כן </w:t>
      </w:r>
      <w:r>
        <w:rPr>
          <w:rFonts w:cs="Arial"/>
          <w:rtl/>
        </w:rPr>
        <w:t>הוא דעת הרי"ף שלא הביא שום לשון משתי לשונות אלו</w:t>
      </w:r>
      <w:r>
        <w:rPr>
          <w:rFonts w:cs="Arial" w:hint="cs"/>
          <w:rtl/>
        </w:rPr>
        <w:t>.</w:t>
      </w:r>
    </w:p>
  </w:footnote>
  <w:footnote w:id="1871">
    <w:p w14:paraId="1CBEF41B" w14:textId="77777777" w:rsidR="004C5A3C" w:rsidRDefault="004C5A3C" w:rsidP="002C39F4">
      <w:pPr>
        <w:pStyle w:val="a5"/>
        <w:rPr>
          <w:rtl/>
        </w:rPr>
      </w:pPr>
      <w:r>
        <w:rPr>
          <w:rStyle w:val="a7"/>
        </w:rPr>
        <w:footnoteRef/>
      </w:r>
      <w:r>
        <w:rPr>
          <w:rtl/>
        </w:rPr>
        <w:t xml:space="preserve"> </w:t>
      </w:r>
      <w:r>
        <w:rPr>
          <w:rFonts w:cs="Arial"/>
          <w:rtl/>
        </w:rPr>
        <w:t xml:space="preserve">וכתב הרשב"א </w:t>
      </w:r>
      <w:r w:rsidRPr="00FC555F">
        <w:rPr>
          <w:rFonts w:cs="Arial" w:hint="cs"/>
          <w:sz w:val="16"/>
          <w:szCs w:val="16"/>
          <w:rtl/>
        </w:rPr>
        <w:t>(תוה"א</w:t>
      </w:r>
      <w:r w:rsidRPr="00FC555F">
        <w:rPr>
          <w:rFonts w:cs="Arial"/>
          <w:sz w:val="16"/>
          <w:szCs w:val="16"/>
          <w:rtl/>
        </w:rPr>
        <w:t xml:space="preserve"> ב"ד ש"א ה:) </w:t>
      </w:r>
      <w:r>
        <w:rPr>
          <w:rFonts w:cs="Arial"/>
          <w:rtl/>
        </w:rPr>
        <w:t>דמתוך דברי רש"י נראה שהוא ז"ל מודה שאם ראינו האיסור בשעת נפילתו ובא לפנינו עכשיו כמו שהיה לפנינו מתחילתו ולא נצטמק וההיתר נצטמק מכמות שהיה כגון זה מצרפין ההיתר שנבלע בקדרה ונצטמק לבטל האיסור ואע</w:t>
      </w:r>
      <w:r>
        <w:rPr>
          <w:rFonts w:cs="Arial" w:hint="cs"/>
          <w:rtl/>
        </w:rPr>
        <w:t>"</w:t>
      </w:r>
      <w:r>
        <w:rPr>
          <w:rFonts w:cs="Arial"/>
          <w:rtl/>
        </w:rPr>
        <w:t xml:space="preserve">פ שאין עכשיו בהיתר כדי לבטל האיסור כמו שהוא </w:t>
      </w:r>
      <w:r w:rsidRPr="00335F12">
        <w:rPr>
          <w:rFonts w:cs="Arial" w:hint="cs"/>
          <w:sz w:val="16"/>
          <w:szCs w:val="16"/>
          <w:rtl/>
        </w:rPr>
        <w:t>(</w:t>
      </w:r>
      <w:r w:rsidRPr="00335F12">
        <w:rPr>
          <w:rFonts w:cs="Arial"/>
          <w:sz w:val="16"/>
          <w:szCs w:val="16"/>
          <w:rtl/>
        </w:rPr>
        <w:t>ו</w:t>
      </w:r>
      <w:r>
        <w:rPr>
          <w:rFonts w:cs="Arial" w:hint="cs"/>
          <w:sz w:val="16"/>
          <w:szCs w:val="16"/>
          <w:rtl/>
        </w:rPr>
        <w:t>כ' הרשב"א ד</w:t>
      </w:r>
      <w:r w:rsidRPr="00335F12">
        <w:rPr>
          <w:rFonts w:cs="Arial"/>
          <w:sz w:val="16"/>
          <w:szCs w:val="16"/>
          <w:rtl/>
        </w:rPr>
        <w:t>אין זה מחוור דמה לנו במה שהיה ההיתר רבה מתחלתו על האיסור השתא מיהא נתמעט ההיתר וחזר האיסור לאסור אותו כאילו נפל בתוכו עכשיו שיעור איסור כזה</w:t>
      </w:r>
      <w:r w:rsidRPr="00335F12">
        <w:rPr>
          <w:rFonts w:cs="Arial" w:hint="cs"/>
          <w:sz w:val="16"/>
          <w:szCs w:val="16"/>
          <w:rtl/>
        </w:rPr>
        <w:t>,</w:t>
      </w:r>
      <w:r w:rsidRPr="00335F12">
        <w:rPr>
          <w:rFonts w:cs="Arial"/>
          <w:sz w:val="16"/>
          <w:szCs w:val="16"/>
          <w:rtl/>
        </w:rPr>
        <w:t xml:space="preserve"> ובמסכת תרומות (פ"ה מ"ט) נמי משמע דבתר בסוף אזלינן דתנן סאה של תרומה שנפלה לתוך מאה של חולין טחנן ופיחתו כשם שפיחתו חולין כך פיחתה תרומה ומותר</w:t>
      </w:r>
      <w:r w:rsidRPr="00335F12">
        <w:rPr>
          <w:rFonts w:cs="Arial" w:hint="cs"/>
          <w:sz w:val="16"/>
          <w:szCs w:val="16"/>
          <w:rtl/>
        </w:rPr>
        <w:t>,</w:t>
      </w:r>
      <w:r w:rsidRPr="00335F12">
        <w:rPr>
          <w:rFonts w:cs="Arial"/>
          <w:sz w:val="16"/>
          <w:szCs w:val="16"/>
          <w:rtl/>
        </w:rPr>
        <w:t xml:space="preserve"> אלמא טעמא דאיכא למימר דפחתה </w:t>
      </w:r>
      <w:r w:rsidRPr="00335F12">
        <w:rPr>
          <w:rFonts w:cs="Arial" w:hint="cs"/>
          <w:sz w:val="16"/>
          <w:szCs w:val="16"/>
          <w:rtl/>
        </w:rPr>
        <w:t>ת</w:t>
      </w:r>
      <w:r w:rsidRPr="00335F12">
        <w:rPr>
          <w:rFonts w:cs="Arial"/>
          <w:sz w:val="16"/>
          <w:szCs w:val="16"/>
          <w:rtl/>
        </w:rPr>
        <w:t>רומה מותר</w:t>
      </w:r>
      <w:r w:rsidRPr="00335F12">
        <w:rPr>
          <w:rFonts w:cs="Arial" w:hint="cs"/>
          <w:sz w:val="16"/>
          <w:szCs w:val="16"/>
          <w:rtl/>
        </w:rPr>
        <w:t>,</w:t>
      </w:r>
      <w:r w:rsidRPr="00335F12">
        <w:rPr>
          <w:rFonts w:cs="Arial"/>
          <w:sz w:val="16"/>
          <w:szCs w:val="16"/>
          <w:rtl/>
        </w:rPr>
        <w:t xml:space="preserve"> הא לא פחתה תרומה אסור</w:t>
      </w:r>
      <w:r w:rsidRPr="00335F12">
        <w:rPr>
          <w:rFonts w:cs="Arial" w:hint="cs"/>
          <w:sz w:val="16"/>
          <w:szCs w:val="16"/>
          <w:rtl/>
        </w:rPr>
        <w:t>.</w:t>
      </w:r>
      <w:r w:rsidRPr="00335F12">
        <w:rPr>
          <w:rFonts w:hint="cs"/>
          <w:sz w:val="16"/>
          <w:szCs w:val="16"/>
          <w:rtl/>
        </w:rPr>
        <w:t xml:space="preserve"> עכ"ל. אך בחידושיו (צז: ד"ה ובקדרה) כ' הרשב"א </w:t>
      </w:r>
      <w:r w:rsidRPr="00335F12">
        <w:rPr>
          <w:rFonts w:cs="Arial" w:hint="cs"/>
          <w:sz w:val="16"/>
          <w:szCs w:val="16"/>
          <w:rtl/>
        </w:rPr>
        <w:t>דאם</w:t>
      </w:r>
      <w:r w:rsidRPr="00335F12">
        <w:rPr>
          <w:rFonts w:cs="Arial"/>
          <w:sz w:val="16"/>
          <w:szCs w:val="16"/>
          <w:rtl/>
        </w:rPr>
        <w:t xml:space="preserve"> </w:t>
      </w:r>
      <w:r w:rsidRPr="00335F12">
        <w:rPr>
          <w:rFonts w:cs="Arial" w:hint="cs"/>
          <w:sz w:val="16"/>
          <w:szCs w:val="16"/>
          <w:rtl/>
        </w:rPr>
        <w:t>ראינו</w:t>
      </w:r>
      <w:r w:rsidRPr="00335F12">
        <w:rPr>
          <w:rFonts w:cs="Arial"/>
          <w:sz w:val="16"/>
          <w:szCs w:val="16"/>
          <w:rtl/>
        </w:rPr>
        <w:t xml:space="preserve"> </w:t>
      </w:r>
      <w:r w:rsidRPr="00335F12">
        <w:rPr>
          <w:rFonts w:cs="Arial" w:hint="cs"/>
          <w:sz w:val="16"/>
          <w:szCs w:val="16"/>
          <w:rtl/>
        </w:rPr>
        <w:t>האיסור</w:t>
      </w:r>
      <w:r w:rsidRPr="00335F12">
        <w:rPr>
          <w:rFonts w:cs="Arial"/>
          <w:sz w:val="16"/>
          <w:szCs w:val="16"/>
          <w:rtl/>
        </w:rPr>
        <w:t xml:space="preserve"> </w:t>
      </w:r>
      <w:r w:rsidRPr="00335F12">
        <w:rPr>
          <w:rFonts w:cs="Arial" w:hint="cs"/>
          <w:sz w:val="16"/>
          <w:szCs w:val="16"/>
          <w:rtl/>
        </w:rPr>
        <w:t>בשעת</w:t>
      </w:r>
      <w:r w:rsidRPr="00335F12">
        <w:rPr>
          <w:rFonts w:cs="Arial"/>
          <w:sz w:val="16"/>
          <w:szCs w:val="16"/>
          <w:rtl/>
        </w:rPr>
        <w:t xml:space="preserve"> </w:t>
      </w:r>
      <w:r w:rsidRPr="00335F12">
        <w:rPr>
          <w:rFonts w:cs="Arial" w:hint="cs"/>
          <w:sz w:val="16"/>
          <w:szCs w:val="16"/>
          <w:rtl/>
        </w:rPr>
        <w:t>נפילתו</w:t>
      </w:r>
      <w:r w:rsidRPr="00335F12">
        <w:rPr>
          <w:rFonts w:cs="Arial"/>
          <w:sz w:val="16"/>
          <w:szCs w:val="16"/>
          <w:rtl/>
        </w:rPr>
        <w:t xml:space="preserve"> </w:t>
      </w:r>
      <w:r w:rsidRPr="00335F12">
        <w:rPr>
          <w:rFonts w:cs="Arial" w:hint="cs"/>
          <w:sz w:val="16"/>
          <w:szCs w:val="16"/>
          <w:rtl/>
        </w:rPr>
        <w:t>ולא</w:t>
      </w:r>
      <w:r w:rsidRPr="00335F12">
        <w:rPr>
          <w:rFonts w:cs="Arial"/>
          <w:sz w:val="16"/>
          <w:szCs w:val="16"/>
          <w:rtl/>
        </w:rPr>
        <w:t xml:space="preserve"> </w:t>
      </w:r>
      <w:r w:rsidRPr="00335F12">
        <w:rPr>
          <w:rFonts w:cs="Arial" w:hint="cs"/>
          <w:sz w:val="16"/>
          <w:szCs w:val="16"/>
          <w:rtl/>
        </w:rPr>
        <w:t>נתמעט</w:t>
      </w:r>
      <w:r w:rsidRPr="00335F12">
        <w:rPr>
          <w:rFonts w:cs="Arial"/>
          <w:sz w:val="16"/>
          <w:szCs w:val="16"/>
          <w:rtl/>
        </w:rPr>
        <w:t xml:space="preserve"> </w:t>
      </w:r>
      <w:r w:rsidRPr="00335F12">
        <w:rPr>
          <w:rFonts w:cs="Arial" w:hint="cs"/>
          <w:sz w:val="16"/>
          <w:szCs w:val="16"/>
          <w:rtl/>
        </w:rPr>
        <w:t>בשיעור</w:t>
      </w:r>
      <w:r w:rsidRPr="00335F12">
        <w:rPr>
          <w:rFonts w:cs="Arial"/>
          <w:sz w:val="16"/>
          <w:szCs w:val="16"/>
          <w:rtl/>
        </w:rPr>
        <w:t xml:space="preserve"> </w:t>
      </w:r>
      <w:r w:rsidRPr="00335F12">
        <w:rPr>
          <w:rFonts w:cs="Arial" w:hint="cs"/>
          <w:sz w:val="16"/>
          <w:szCs w:val="16"/>
          <w:rtl/>
        </w:rPr>
        <w:t>אחד</w:t>
      </w:r>
      <w:r w:rsidRPr="00335F12">
        <w:rPr>
          <w:rFonts w:cs="Arial"/>
          <w:sz w:val="16"/>
          <w:szCs w:val="16"/>
          <w:rtl/>
        </w:rPr>
        <w:t xml:space="preserve"> </w:t>
      </w:r>
      <w:r w:rsidRPr="00335F12">
        <w:rPr>
          <w:rFonts w:cs="Arial" w:hint="cs"/>
          <w:sz w:val="16"/>
          <w:szCs w:val="16"/>
          <w:rtl/>
        </w:rPr>
        <w:t>עם</w:t>
      </w:r>
      <w:r w:rsidRPr="00335F12">
        <w:rPr>
          <w:rFonts w:cs="Arial"/>
          <w:sz w:val="16"/>
          <w:szCs w:val="16"/>
          <w:rtl/>
        </w:rPr>
        <w:t xml:space="preserve"> </w:t>
      </w:r>
      <w:r w:rsidRPr="00335F12">
        <w:rPr>
          <w:rFonts w:cs="Arial" w:hint="cs"/>
          <w:sz w:val="16"/>
          <w:szCs w:val="16"/>
          <w:rtl/>
        </w:rPr>
        <w:t>ההיתר</w:t>
      </w:r>
      <w:r w:rsidRPr="00335F12">
        <w:rPr>
          <w:rFonts w:cs="Arial"/>
          <w:sz w:val="16"/>
          <w:szCs w:val="16"/>
          <w:rtl/>
        </w:rPr>
        <w:t xml:space="preserve"> </w:t>
      </w:r>
      <w:r w:rsidRPr="00335F12">
        <w:rPr>
          <w:rFonts w:cs="Arial" w:hint="cs"/>
          <w:sz w:val="16"/>
          <w:szCs w:val="16"/>
          <w:rtl/>
        </w:rPr>
        <w:t>משערין</w:t>
      </w:r>
      <w:r w:rsidRPr="00335F12">
        <w:rPr>
          <w:rFonts w:cs="Arial"/>
          <w:sz w:val="16"/>
          <w:szCs w:val="16"/>
          <w:rtl/>
        </w:rPr>
        <w:t xml:space="preserve"> </w:t>
      </w:r>
      <w:r w:rsidRPr="00335F12">
        <w:rPr>
          <w:rFonts w:cs="Arial" w:hint="cs"/>
          <w:sz w:val="16"/>
          <w:szCs w:val="16"/>
          <w:rtl/>
        </w:rPr>
        <w:t>ההיתר</w:t>
      </w:r>
      <w:r w:rsidRPr="00335F12">
        <w:rPr>
          <w:rFonts w:cs="Arial"/>
          <w:sz w:val="16"/>
          <w:szCs w:val="16"/>
          <w:rtl/>
        </w:rPr>
        <w:t xml:space="preserve"> </w:t>
      </w:r>
      <w:r w:rsidRPr="00335F12">
        <w:rPr>
          <w:rFonts w:cs="Arial" w:hint="cs"/>
          <w:sz w:val="16"/>
          <w:szCs w:val="16"/>
          <w:rtl/>
        </w:rPr>
        <w:t>שנבלע</w:t>
      </w:r>
      <w:r w:rsidRPr="00335F12">
        <w:rPr>
          <w:rFonts w:cs="Arial"/>
          <w:sz w:val="16"/>
          <w:szCs w:val="16"/>
          <w:rtl/>
        </w:rPr>
        <w:t xml:space="preserve"> </w:t>
      </w:r>
      <w:r w:rsidRPr="00335F12">
        <w:rPr>
          <w:rFonts w:cs="Arial" w:hint="cs"/>
          <w:sz w:val="16"/>
          <w:szCs w:val="16"/>
          <w:rtl/>
        </w:rPr>
        <w:t>בקדרה</w:t>
      </w:r>
      <w:r w:rsidRPr="00335F12">
        <w:rPr>
          <w:rFonts w:cs="Arial"/>
          <w:sz w:val="16"/>
          <w:szCs w:val="16"/>
          <w:rtl/>
        </w:rPr>
        <w:t xml:space="preserve"> </w:t>
      </w:r>
      <w:r w:rsidRPr="00335F12">
        <w:rPr>
          <w:rFonts w:cs="Arial" w:hint="cs"/>
          <w:sz w:val="16"/>
          <w:szCs w:val="16"/>
          <w:rtl/>
        </w:rPr>
        <w:t>ומצטרפין</w:t>
      </w:r>
      <w:r w:rsidRPr="00335F12">
        <w:rPr>
          <w:rFonts w:cs="Arial"/>
          <w:sz w:val="16"/>
          <w:szCs w:val="16"/>
          <w:rtl/>
        </w:rPr>
        <w:t xml:space="preserve"> </w:t>
      </w:r>
      <w:r w:rsidRPr="00335F12">
        <w:rPr>
          <w:rFonts w:cs="Arial" w:hint="cs"/>
          <w:sz w:val="16"/>
          <w:szCs w:val="16"/>
          <w:rtl/>
        </w:rPr>
        <w:t>אותו</w:t>
      </w:r>
      <w:r w:rsidRPr="00335F12">
        <w:rPr>
          <w:rFonts w:cs="Arial"/>
          <w:sz w:val="16"/>
          <w:szCs w:val="16"/>
          <w:rtl/>
        </w:rPr>
        <w:t xml:space="preserve"> </w:t>
      </w:r>
      <w:r w:rsidRPr="00335F12">
        <w:rPr>
          <w:rFonts w:cs="Arial" w:hint="cs"/>
          <w:sz w:val="16"/>
          <w:szCs w:val="16"/>
          <w:rtl/>
        </w:rPr>
        <w:t>למה</w:t>
      </w:r>
      <w:r w:rsidRPr="00335F12">
        <w:rPr>
          <w:rFonts w:cs="Arial"/>
          <w:sz w:val="16"/>
          <w:szCs w:val="16"/>
          <w:rtl/>
        </w:rPr>
        <w:t xml:space="preserve"> </w:t>
      </w:r>
      <w:r w:rsidRPr="00335F12">
        <w:rPr>
          <w:rFonts w:cs="Arial" w:hint="cs"/>
          <w:sz w:val="16"/>
          <w:szCs w:val="16"/>
          <w:rtl/>
        </w:rPr>
        <w:t>שבתוך</w:t>
      </w:r>
      <w:r w:rsidRPr="00335F12">
        <w:rPr>
          <w:rFonts w:cs="Arial"/>
          <w:sz w:val="16"/>
          <w:szCs w:val="16"/>
          <w:rtl/>
        </w:rPr>
        <w:t xml:space="preserve"> </w:t>
      </w:r>
      <w:r w:rsidRPr="00335F12">
        <w:rPr>
          <w:rFonts w:cs="Arial" w:hint="cs"/>
          <w:sz w:val="16"/>
          <w:szCs w:val="16"/>
          <w:rtl/>
        </w:rPr>
        <w:t>הקדירה</w:t>
      </w:r>
      <w:r w:rsidRPr="00335F12">
        <w:rPr>
          <w:rFonts w:cs="Arial"/>
          <w:sz w:val="16"/>
          <w:szCs w:val="16"/>
          <w:rtl/>
        </w:rPr>
        <w:t xml:space="preserve"> </w:t>
      </w:r>
      <w:r w:rsidRPr="00335F12">
        <w:rPr>
          <w:rFonts w:cs="Arial" w:hint="cs"/>
          <w:sz w:val="16"/>
          <w:szCs w:val="16"/>
          <w:rtl/>
        </w:rPr>
        <w:t>ומשערינן</w:t>
      </w:r>
      <w:r w:rsidRPr="00335F12">
        <w:rPr>
          <w:rFonts w:cs="Arial"/>
          <w:sz w:val="16"/>
          <w:szCs w:val="16"/>
          <w:rtl/>
        </w:rPr>
        <w:t xml:space="preserve"> </w:t>
      </w:r>
      <w:r w:rsidRPr="00335F12">
        <w:rPr>
          <w:rFonts w:cs="Arial" w:hint="cs"/>
          <w:sz w:val="16"/>
          <w:szCs w:val="16"/>
          <w:rtl/>
        </w:rPr>
        <w:t>האיסור</w:t>
      </w:r>
      <w:r w:rsidRPr="00335F12">
        <w:rPr>
          <w:rFonts w:cs="Arial"/>
          <w:sz w:val="16"/>
          <w:szCs w:val="16"/>
          <w:rtl/>
        </w:rPr>
        <w:t xml:space="preserve"> </w:t>
      </w:r>
      <w:r w:rsidRPr="00335F12">
        <w:rPr>
          <w:rFonts w:cs="Arial" w:hint="cs"/>
          <w:sz w:val="16"/>
          <w:szCs w:val="16"/>
          <w:rtl/>
        </w:rPr>
        <w:t>כשעת</w:t>
      </w:r>
      <w:r w:rsidRPr="00335F12">
        <w:rPr>
          <w:rFonts w:cs="Arial"/>
          <w:sz w:val="16"/>
          <w:szCs w:val="16"/>
          <w:rtl/>
        </w:rPr>
        <w:t xml:space="preserve"> </w:t>
      </w:r>
      <w:r w:rsidRPr="00335F12">
        <w:rPr>
          <w:rFonts w:cs="Arial" w:hint="cs"/>
          <w:sz w:val="16"/>
          <w:szCs w:val="16"/>
          <w:rtl/>
        </w:rPr>
        <w:t>נפילתו</w:t>
      </w:r>
      <w:r w:rsidRPr="00335F12">
        <w:rPr>
          <w:rFonts w:cs="Arial"/>
          <w:sz w:val="16"/>
          <w:szCs w:val="16"/>
          <w:rtl/>
        </w:rPr>
        <w:t xml:space="preserve"> </w:t>
      </w:r>
      <w:r w:rsidRPr="00335F12">
        <w:rPr>
          <w:rFonts w:cs="Arial" w:hint="cs"/>
          <w:sz w:val="16"/>
          <w:szCs w:val="16"/>
          <w:rtl/>
        </w:rPr>
        <w:t>להיתר. וכ"כ הר"ן (בחידו' לד: ד"ה א"ר). וכ' הפמ"ג (משב"ז אות ד)</w:t>
      </w:r>
      <w:r w:rsidRPr="00335F12">
        <w:rPr>
          <w:rFonts w:hint="cs"/>
          <w:sz w:val="16"/>
          <w:szCs w:val="16"/>
          <w:rtl/>
        </w:rPr>
        <w:t xml:space="preserve"> דאף שתמה הרשב"א על דברי רש"י המעיין בדבריו יראה שלבסוף הונח לו</w:t>
      </w:r>
      <w:r>
        <w:rPr>
          <w:rFonts w:hint="cs"/>
          <w:rtl/>
        </w:rPr>
        <w:t>.</w:t>
      </w:r>
    </w:p>
  </w:footnote>
  <w:footnote w:id="1872">
    <w:p w14:paraId="64A773C4" w14:textId="77777777" w:rsidR="004C5A3C" w:rsidRDefault="004C5A3C" w:rsidP="002C39F4">
      <w:pPr>
        <w:pStyle w:val="a5"/>
      </w:pPr>
      <w:r>
        <w:rPr>
          <w:rStyle w:val="a7"/>
        </w:rPr>
        <w:footnoteRef/>
      </w:r>
      <w:r>
        <w:rPr>
          <w:rtl/>
        </w:rPr>
        <w:t xml:space="preserve"> </w:t>
      </w:r>
      <w:r>
        <w:rPr>
          <w:rFonts w:cs="Arial"/>
          <w:rtl/>
        </w:rPr>
        <w:t>כלישנא בתרא</w:t>
      </w:r>
      <w:r>
        <w:rPr>
          <w:rFonts w:cs="Arial" w:hint="cs"/>
          <w:rtl/>
        </w:rPr>
        <w:t>,</w:t>
      </w:r>
      <w:r>
        <w:rPr>
          <w:rFonts w:cs="Arial"/>
          <w:rtl/>
        </w:rPr>
        <w:t xml:space="preserve"> ופירש במאי דבלעה קדרה</w:t>
      </w:r>
      <w:r>
        <w:rPr>
          <w:rFonts w:cs="Arial" w:hint="cs"/>
          <w:rtl/>
        </w:rPr>
        <w:t>-</w:t>
      </w:r>
      <w:r>
        <w:rPr>
          <w:rFonts w:cs="Arial"/>
          <w:rtl/>
        </w:rPr>
        <w:t xml:space="preserve"> ועומד בדופני הקדרה</w:t>
      </w:r>
      <w:r>
        <w:rPr>
          <w:rFonts w:cs="Arial" w:hint="cs"/>
          <w:rtl/>
        </w:rPr>
        <w:t>,</w:t>
      </w:r>
      <w:r>
        <w:rPr>
          <w:rFonts w:cs="Arial"/>
          <w:rtl/>
        </w:rPr>
        <w:t xml:space="preserve"> ומשערינן זה באומד יפה ורואין אותו כאילו הוא בעין</w:t>
      </w:r>
      <w:r>
        <w:rPr>
          <w:rFonts w:cs="Arial" w:hint="cs"/>
          <w:rtl/>
        </w:rPr>
        <w:t>,</w:t>
      </w:r>
      <w:r>
        <w:rPr>
          <w:rFonts w:cs="Arial"/>
          <w:rtl/>
        </w:rPr>
        <w:t xml:space="preserve"> אבל מה שנצטמק ונתמעט</w:t>
      </w:r>
      <w:r>
        <w:rPr>
          <w:rFonts w:cs="Arial" w:hint="cs"/>
          <w:rtl/>
        </w:rPr>
        <w:t>,</w:t>
      </w:r>
      <w:r>
        <w:rPr>
          <w:rFonts w:cs="Arial"/>
          <w:rtl/>
        </w:rPr>
        <w:t xml:space="preserve"> כלומר מה שכלה ואבד מחמת האור</w:t>
      </w:r>
      <w:r>
        <w:rPr>
          <w:rFonts w:cs="Arial" w:hint="cs"/>
          <w:rtl/>
        </w:rPr>
        <w:t>,</w:t>
      </w:r>
      <w:r>
        <w:rPr>
          <w:rFonts w:cs="Arial"/>
          <w:rtl/>
        </w:rPr>
        <w:t xml:space="preserve"> אין מצטרף לחשבון שזה כלה לגמרי</w:t>
      </w:r>
      <w:r>
        <w:rPr>
          <w:rFonts w:cs="Arial" w:hint="cs"/>
          <w:rtl/>
        </w:rPr>
        <w:t xml:space="preserve">, רשב"א </w:t>
      </w:r>
      <w:r w:rsidRPr="00C36988">
        <w:rPr>
          <w:rFonts w:cs="Arial" w:hint="cs"/>
          <w:sz w:val="16"/>
          <w:szCs w:val="16"/>
          <w:rtl/>
        </w:rPr>
        <w:t>(בפירוש כוונת הרמב"ם</w:t>
      </w:r>
      <w:r>
        <w:rPr>
          <w:rFonts w:cs="Arial" w:hint="cs"/>
          <w:sz w:val="16"/>
          <w:szCs w:val="16"/>
          <w:rtl/>
        </w:rPr>
        <w:t>)</w:t>
      </w:r>
      <w:r>
        <w:rPr>
          <w:rFonts w:cs="Arial" w:hint="cs"/>
          <w:rtl/>
        </w:rPr>
        <w:t>.</w:t>
      </w:r>
    </w:p>
  </w:footnote>
  <w:footnote w:id="1873">
    <w:p w14:paraId="07111CBE" w14:textId="77777777" w:rsidR="004C5A3C" w:rsidRDefault="004C5A3C" w:rsidP="002C39F4">
      <w:pPr>
        <w:pStyle w:val="a5"/>
        <w:rPr>
          <w:rtl/>
        </w:rPr>
      </w:pPr>
      <w:r>
        <w:rPr>
          <w:rStyle w:val="a7"/>
        </w:rPr>
        <w:footnoteRef/>
      </w:r>
      <w:r>
        <w:rPr>
          <w:rtl/>
        </w:rPr>
        <w:t xml:space="preserve"> </w:t>
      </w:r>
      <w:r>
        <w:rPr>
          <w:rFonts w:cs="Arial" w:hint="cs"/>
          <w:rtl/>
        </w:rPr>
        <w:t xml:space="preserve">עכ"ל בתוה"ב הארוך </w:t>
      </w:r>
      <w:r>
        <w:rPr>
          <w:rFonts w:cs="Arial" w:hint="cs"/>
          <w:sz w:val="16"/>
          <w:szCs w:val="16"/>
          <w:rtl/>
        </w:rPr>
        <w:t>(</w:t>
      </w:r>
      <w:r w:rsidRPr="00C36988">
        <w:rPr>
          <w:rFonts w:cs="Arial"/>
          <w:sz w:val="16"/>
          <w:szCs w:val="16"/>
          <w:rtl/>
        </w:rPr>
        <w:t>ב"ד ש"א ה:)</w:t>
      </w:r>
      <w:r>
        <w:rPr>
          <w:rFonts w:cs="Arial" w:hint="cs"/>
          <w:rtl/>
        </w:rPr>
        <w:t xml:space="preserve">, העתיקו הב"י, והטור הביא רק את דברי הרשב"א שבתוה"ב הקצר </w:t>
      </w:r>
      <w:r>
        <w:rPr>
          <w:rFonts w:cs="Arial" w:hint="cs"/>
          <w:sz w:val="16"/>
          <w:szCs w:val="16"/>
          <w:rtl/>
        </w:rPr>
        <w:t>(</w:t>
      </w:r>
      <w:r w:rsidRPr="00C36988">
        <w:rPr>
          <w:rFonts w:cs="Arial" w:hint="cs"/>
          <w:sz w:val="16"/>
          <w:szCs w:val="16"/>
          <w:rtl/>
        </w:rPr>
        <w:t>תוה"</w:t>
      </w:r>
      <w:r>
        <w:rPr>
          <w:rFonts w:cs="Arial" w:hint="cs"/>
          <w:sz w:val="16"/>
          <w:szCs w:val="16"/>
          <w:rtl/>
        </w:rPr>
        <w:t>ק</w:t>
      </w:r>
      <w:r w:rsidRPr="00C36988">
        <w:rPr>
          <w:rFonts w:cs="Arial"/>
          <w:sz w:val="16"/>
          <w:szCs w:val="16"/>
          <w:rtl/>
        </w:rPr>
        <w:t xml:space="preserve"> ב"ד ש"א ה.</w:t>
      </w:r>
      <w:r>
        <w:rPr>
          <w:rFonts w:cs="Arial" w:hint="cs"/>
          <w:sz w:val="16"/>
          <w:szCs w:val="16"/>
          <w:rtl/>
        </w:rPr>
        <w:t>)</w:t>
      </w:r>
      <w:r>
        <w:rPr>
          <w:rFonts w:cs="Arial" w:hint="cs"/>
          <w:rtl/>
        </w:rPr>
        <w:t xml:space="preserve">, וכ' הב"י- </w:t>
      </w:r>
      <w:r w:rsidRPr="00E527BA">
        <w:rPr>
          <w:rFonts w:cs="Arial"/>
          <w:rtl/>
        </w:rPr>
        <w:t>ומתוך מה שהעתקתי תבין דהכי קאמר</w:t>
      </w:r>
      <w:r>
        <w:rPr>
          <w:rFonts w:cs="Arial" w:hint="cs"/>
          <w:rtl/>
        </w:rPr>
        <w:t>,</w:t>
      </w:r>
      <w:r w:rsidRPr="00E527BA">
        <w:rPr>
          <w:rFonts w:cs="Arial"/>
          <w:rtl/>
        </w:rPr>
        <w:t xml:space="preserve"> אבל מין בשאינו מינו דכזית בכדי אכילת פרס הוי דבר תורה לכו</w:t>
      </w:r>
      <w:r>
        <w:rPr>
          <w:rFonts w:cs="Arial" w:hint="cs"/>
          <w:rtl/>
        </w:rPr>
        <w:t>"</w:t>
      </w:r>
      <w:r w:rsidRPr="00E527BA">
        <w:rPr>
          <w:rFonts w:cs="Arial"/>
          <w:rtl/>
        </w:rPr>
        <w:t>ע ואפילו פחות מכזית בכדי אכילת פרס עד ששים איכא למ</w:t>
      </w:r>
      <w:r>
        <w:rPr>
          <w:rFonts w:cs="Arial" w:hint="cs"/>
          <w:rtl/>
        </w:rPr>
        <w:t>"</w:t>
      </w:r>
      <w:r w:rsidRPr="00E527BA">
        <w:rPr>
          <w:rFonts w:cs="Arial"/>
          <w:rtl/>
        </w:rPr>
        <w:t>ד דאסור מדאו</w:t>
      </w:r>
      <w:r>
        <w:rPr>
          <w:rFonts w:cs="Arial" w:hint="cs"/>
          <w:rtl/>
        </w:rPr>
        <w:t>',</w:t>
      </w:r>
      <w:r w:rsidRPr="00E527BA">
        <w:rPr>
          <w:rFonts w:cs="Arial"/>
          <w:rtl/>
        </w:rPr>
        <w:t xml:space="preserve"> והיינו ר"ת והעומדים בשיטתו שסוברים דטעם כעיקר דאו</w:t>
      </w:r>
      <w:r>
        <w:rPr>
          <w:rFonts w:cs="Arial" w:hint="cs"/>
          <w:rtl/>
        </w:rPr>
        <w:t>',</w:t>
      </w:r>
      <w:r w:rsidRPr="00E527BA">
        <w:rPr>
          <w:rFonts w:cs="Arial"/>
          <w:rtl/>
        </w:rPr>
        <w:t xml:space="preserve"> כמו שנתבאר בס</w:t>
      </w:r>
      <w:r>
        <w:rPr>
          <w:rFonts w:cs="Arial" w:hint="cs"/>
          <w:rtl/>
        </w:rPr>
        <w:t>י'</w:t>
      </w:r>
      <w:r w:rsidRPr="00E527BA">
        <w:rPr>
          <w:rFonts w:cs="Arial"/>
          <w:rtl/>
        </w:rPr>
        <w:t xml:space="preserve"> שקודם זה </w:t>
      </w:r>
      <w:r w:rsidRPr="00E527BA">
        <w:rPr>
          <w:rFonts w:cs="Arial"/>
          <w:sz w:val="16"/>
          <w:szCs w:val="16"/>
          <w:rtl/>
        </w:rPr>
        <w:t>(קנה. ב"י ד"ה ומ"ש עוד רבינו)</w:t>
      </w:r>
      <w:r>
        <w:rPr>
          <w:rFonts w:cs="Arial" w:hint="cs"/>
          <w:rtl/>
        </w:rPr>
        <w:t xml:space="preserve">, </w:t>
      </w:r>
      <w:r w:rsidRPr="00E527BA">
        <w:rPr>
          <w:rFonts w:cs="Arial"/>
          <w:rtl/>
        </w:rPr>
        <w:t>ושם נתבאר שהרשב"א פוסק כמותו להחמיר בשל תורה</w:t>
      </w:r>
      <w:r>
        <w:rPr>
          <w:rFonts w:cs="Arial" w:hint="cs"/>
          <w:rtl/>
        </w:rPr>
        <w:t>,</w:t>
      </w:r>
      <w:r w:rsidRPr="00E527BA">
        <w:rPr>
          <w:rFonts w:cs="Arial"/>
          <w:rtl/>
        </w:rPr>
        <w:t xml:space="preserve"> הלכך אין תולין בו להקל ואין משערים אלא כמו שבא לפנינו</w:t>
      </w:r>
      <w:r w:rsidRPr="00E527BA">
        <w:rPr>
          <w:rFonts w:cs="Arial" w:hint="cs"/>
          <w:rtl/>
        </w:rPr>
        <w:t>.</w:t>
      </w:r>
      <w:r>
        <w:rPr>
          <w:rFonts w:hint="cs"/>
          <w:rtl/>
        </w:rPr>
        <w:t xml:space="preserve"> עכ"ל הב"י. </w:t>
      </w:r>
      <w:r>
        <w:rPr>
          <w:rFonts w:cs="Arial" w:hint="cs"/>
          <w:rtl/>
        </w:rPr>
        <w:t>וכ' הטור- ו</w:t>
      </w:r>
      <w:r>
        <w:rPr>
          <w:rFonts w:cs="Arial"/>
          <w:rtl/>
        </w:rPr>
        <w:t xml:space="preserve">אדוני אבי ז"ל לא חילק. </w:t>
      </w:r>
      <w:r>
        <w:rPr>
          <w:rFonts w:cs="Arial" w:hint="cs"/>
          <w:rtl/>
        </w:rPr>
        <w:t xml:space="preserve">וכ' על זה הב"י- </w:t>
      </w:r>
      <w:r>
        <w:rPr>
          <w:rFonts w:cs="Arial"/>
          <w:rtl/>
        </w:rPr>
        <w:t xml:space="preserve">דעתו לומר שמאחר שפסק </w:t>
      </w:r>
      <w:r>
        <w:rPr>
          <w:rFonts w:cs="Arial" w:hint="cs"/>
          <w:rtl/>
        </w:rPr>
        <w:t xml:space="preserve">הרא"ש </w:t>
      </w:r>
      <w:r w:rsidRPr="00787DF5">
        <w:rPr>
          <w:rFonts w:cs="Arial"/>
          <w:sz w:val="16"/>
          <w:szCs w:val="16"/>
          <w:rtl/>
        </w:rPr>
        <w:t xml:space="preserve">(פ"ז סי' כו) </w:t>
      </w:r>
      <w:r>
        <w:rPr>
          <w:rFonts w:cs="Arial"/>
          <w:rtl/>
        </w:rPr>
        <w:t>סתם דלא משערינן במאי דבלעה קדרה ולא חילק בין מין במינו למין בשאינו מינו משמע דס</w:t>
      </w:r>
      <w:r>
        <w:rPr>
          <w:rFonts w:cs="Arial" w:hint="cs"/>
          <w:rtl/>
        </w:rPr>
        <w:t>"</w:t>
      </w:r>
      <w:r>
        <w:rPr>
          <w:rFonts w:cs="Arial"/>
          <w:rtl/>
        </w:rPr>
        <w:t>ל שאין לחלק ביניהם</w:t>
      </w:r>
      <w:r>
        <w:rPr>
          <w:rFonts w:cs="Arial" w:hint="cs"/>
          <w:rtl/>
        </w:rPr>
        <w:t>,</w:t>
      </w:r>
      <w:r>
        <w:rPr>
          <w:rFonts w:cs="Arial"/>
          <w:rtl/>
        </w:rPr>
        <w:t xml:space="preserve"> ולי נראה דרש"י והרא"ש יודו בחילוק שחילק הרשב"א שהרי בהדיא כתבו כיון דאיפליגו לישני ואיסורא דאו</w:t>
      </w:r>
      <w:r>
        <w:rPr>
          <w:rFonts w:cs="Arial" w:hint="cs"/>
          <w:rtl/>
        </w:rPr>
        <w:t>'</w:t>
      </w:r>
      <w:r>
        <w:rPr>
          <w:rFonts w:cs="Arial"/>
          <w:rtl/>
        </w:rPr>
        <w:t xml:space="preserve"> היא אזלינן לחומרא</w:t>
      </w:r>
      <w:r>
        <w:rPr>
          <w:rFonts w:cs="Arial" w:hint="cs"/>
          <w:rtl/>
        </w:rPr>
        <w:t>,</w:t>
      </w:r>
      <w:r>
        <w:rPr>
          <w:rFonts w:cs="Arial"/>
          <w:rtl/>
        </w:rPr>
        <w:t xml:space="preserve"> משמע דהיכא דהוי איסורא דרבנן אזלינן לקולא למינקט מיהא כלישנא בתרא</w:t>
      </w:r>
      <w:r>
        <w:rPr>
          <w:rFonts w:cs="Arial" w:hint="cs"/>
          <w:rtl/>
        </w:rPr>
        <w:t>,</w:t>
      </w:r>
      <w:r>
        <w:rPr>
          <w:rFonts w:cs="Arial"/>
          <w:rtl/>
        </w:rPr>
        <w:t xml:space="preserve"> ואפילו אם תמצי לומר דאף באיסורי דרבנן אמרו כן דסבירא להו דלא קי"ל כרבי חנינא מדאמרינן לקמן אטו דהיתרא בלע דאיסורא לא בלע מ</w:t>
      </w:r>
      <w:r>
        <w:rPr>
          <w:rFonts w:cs="Arial" w:hint="cs"/>
          <w:rtl/>
        </w:rPr>
        <w:t>"</w:t>
      </w:r>
      <w:r>
        <w:rPr>
          <w:rFonts w:cs="Arial"/>
          <w:rtl/>
        </w:rPr>
        <w:t>מ לענין הלכה נראין דברי הרשב"א וכל שכן שהרמב"ם מיקל בדבר</w:t>
      </w:r>
      <w:r>
        <w:rPr>
          <w:rFonts w:hint="cs"/>
          <w:rtl/>
        </w:rPr>
        <w:t>.</w:t>
      </w:r>
    </w:p>
  </w:footnote>
  <w:footnote w:id="1874">
    <w:p w14:paraId="36886623" w14:textId="77777777" w:rsidR="004C5A3C" w:rsidRDefault="004C5A3C" w:rsidP="002C39F4">
      <w:pPr>
        <w:pStyle w:val="a5"/>
        <w:rPr>
          <w:rtl/>
        </w:rPr>
      </w:pPr>
      <w:r>
        <w:rPr>
          <w:rStyle w:val="a7"/>
        </w:rPr>
        <w:footnoteRef/>
      </w:r>
      <w:r>
        <w:rPr>
          <w:rtl/>
        </w:rPr>
        <w:t xml:space="preserve"> </w:t>
      </w:r>
      <w:r w:rsidRPr="00311A23">
        <w:rPr>
          <w:rFonts w:hint="cs"/>
          <w:u w:val="single"/>
          <w:rtl/>
        </w:rPr>
        <w:t>כמה פירושים בדבר:</w:t>
      </w:r>
    </w:p>
    <w:p w14:paraId="29C320A3" w14:textId="77777777" w:rsidR="004C5A3C" w:rsidRDefault="004C5A3C" w:rsidP="0032102C">
      <w:pPr>
        <w:pStyle w:val="a5"/>
        <w:numPr>
          <w:ilvl w:val="0"/>
          <w:numId w:val="187"/>
        </w:numPr>
      </w:pPr>
      <w:r>
        <w:rPr>
          <w:rFonts w:hint="cs"/>
          <w:rtl/>
        </w:rPr>
        <w:t xml:space="preserve">ערוך </w:t>
      </w:r>
      <w:r w:rsidRPr="00311A23">
        <w:rPr>
          <w:rFonts w:hint="cs"/>
          <w:sz w:val="16"/>
          <w:szCs w:val="16"/>
          <w:rtl/>
        </w:rPr>
        <w:t>(ערך פרמא, הב')</w:t>
      </w:r>
      <w:r>
        <w:rPr>
          <w:rFonts w:hint="cs"/>
          <w:rtl/>
        </w:rPr>
        <w:t xml:space="preserve">- בשר המצומק שנמחה בקדרה. </w:t>
      </w:r>
    </w:p>
    <w:p w14:paraId="3DC7D17A" w14:textId="77777777" w:rsidR="004C5A3C" w:rsidRPr="00311A23" w:rsidRDefault="004C5A3C" w:rsidP="0032102C">
      <w:pPr>
        <w:pStyle w:val="a5"/>
        <w:numPr>
          <w:ilvl w:val="0"/>
          <w:numId w:val="187"/>
        </w:numPr>
      </w:pPr>
      <w:r>
        <w:rPr>
          <w:rFonts w:hint="cs"/>
          <w:rtl/>
        </w:rPr>
        <w:t xml:space="preserve">רא"ש </w:t>
      </w:r>
      <w:r w:rsidRPr="00311A23">
        <w:rPr>
          <w:rFonts w:hint="cs"/>
          <w:sz w:val="16"/>
          <w:szCs w:val="16"/>
          <w:rtl/>
        </w:rPr>
        <w:t xml:space="preserve">(נדרים נב. ד"ה מותר) </w:t>
      </w:r>
      <w:r>
        <w:rPr>
          <w:rFonts w:hint="cs"/>
          <w:rtl/>
        </w:rPr>
        <w:t xml:space="preserve">ור"ן </w:t>
      </w:r>
      <w:r w:rsidRPr="00311A23">
        <w:rPr>
          <w:rFonts w:hint="cs"/>
          <w:sz w:val="16"/>
          <w:szCs w:val="16"/>
          <w:rtl/>
        </w:rPr>
        <w:t>(שם ד"ה מותר)</w:t>
      </w:r>
      <w:r>
        <w:rPr>
          <w:rFonts w:hint="cs"/>
          <w:rtl/>
        </w:rPr>
        <w:t xml:space="preserve">- </w:t>
      </w:r>
      <w:r w:rsidRPr="00142A44">
        <w:rPr>
          <w:rFonts w:asciiTheme="minorBidi" w:hAnsiTheme="minorBidi"/>
          <w:rtl/>
        </w:rPr>
        <w:t>הדק דק של בשר</w:t>
      </w:r>
      <w:r>
        <w:rPr>
          <w:rFonts w:asciiTheme="minorBidi" w:hAnsiTheme="minorBidi" w:hint="cs"/>
          <w:rtl/>
        </w:rPr>
        <w:t xml:space="preserve"> שיורד בשולי הקדרה.</w:t>
      </w:r>
      <w:r w:rsidRPr="00142A44">
        <w:rPr>
          <w:rFonts w:asciiTheme="minorBidi" w:hAnsiTheme="minorBidi"/>
          <w:rtl/>
        </w:rPr>
        <w:t xml:space="preserve"> </w:t>
      </w:r>
    </w:p>
    <w:p w14:paraId="35BBFB01" w14:textId="77777777" w:rsidR="004C5A3C" w:rsidRPr="00311A23" w:rsidRDefault="004C5A3C" w:rsidP="0032102C">
      <w:pPr>
        <w:pStyle w:val="a5"/>
        <w:numPr>
          <w:ilvl w:val="0"/>
          <w:numId w:val="187"/>
        </w:numPr>
      </w:pPr>
      <w:r>
        <w:rPr>
          <w:rFonts w:cs="Arial" w:hint="cs"/>
          <w:rtl/>
        </w:rPr>
        <w:t xml:space="preserve">רש"י- </w:t>
      </w:r>
      <w:r w:rsidRPr="00311A23">
        <w:rPr>
          <w:rFonts w:cs="Arial" w:hint="cs"/>
          <w:rtl/>
        </w:rPr>
        <w:t>דק</w:t>
      </w:r>
      <w:r w:rsidRPr="00311A23">
        <w:rPr>
          <w:rFonts w:cs="Arial"/>
          <w:rtl/>
        </w:rPr>
        <w:t xml:space="preserve"> </w:t>
      </w:r>
      <w:r w:rsidRPr="00311A23">
        <w:rPr>
          <w:rFonts w:cs="Arial" w:hint="cs"/>
          <w:rtl/>
        </w:rPr>
        <w:t>דק</w:t>
      </w:r>
      <w:r w:rsidRPr="00311A23">
        <w:rPr>
          <w:rFonts w:cs="Arial"/>
          <w:rtl/>
        </w:rPr>
        <w:t xml:space="preserve"> </w:t>
      </w:r>
      <w:r w:rsidRPr="00311A23">
        <w:rPr>
          <w:rFonts w:cs="Arial" w:hint="cs"/>
          <w:rtl/>
        </w:rPr>
        <w:t>של</w:t>
      </w:r>
      <w:r w:rsidRPr="00311A23">
        <w:rPr>
          <w:rFonts w:cs="Arial"/>
          <w:rtl/>
        </w:rPr>
        <w:t xml:space="preserve"> </w:t>
      </w:r>
      <w:r w:rsidRPr="00311A23">
        <w:rPr>
          <w:rFonts w:cs="Arial" w:hint="cs"/>
          <w:rtl/>
        </w:rPr>
        <w:t>בשר</w:t>
      </w:r>
      <w:r w:rsidRPr="00311A23">
        <w:rPr>
          <w:rFonts w:cs="Arial"/>
          <w:rtl/>
        </w:rPr>
        <w:t xml:space="preserve"> </w:t>
      </w:r>
      <w:r w:rsidRPr="00311A23">
        <w:rPr>
          <w:rFonts w:cs="Arial" w:hint="cs"/>
          <w:rtl/>
        </w:rPr>
        <w:t>ותבלין</w:t>
      </w:r>
      <w:r w:rsidRPr="00311A23">
        <w:rPr>
          <w:rFonts w:cs="Arial"/>
          <w:rtl/>
        </w:rPr>
        <w:t xml:space="preserve"> </w:t>
      </w:r>
      <w:r w:rsidRPr="00311A23">
        <w:rPr>
          <w:rFonts w:cs="Arial" w:hint="cs"/>
          <w:rtl/>
        </w:rPr>
        <w:t>המתאסף</w:t>
      </w:r>
      <w:r w:rsidRPr="00311A23">
        <w:rPr>
          <w:rFonts w:cs="Arial"/>
          <w:rtl/>
        </w:rPr>
        <w:t xml:space="preserve"> </w:t>
      </w:r>
      <w:r w:rsidRPr="00311A23">
        <w:rPr>
          <w:rFonts w:cs="Arial" w:hint="cs"/>
          <w:rtl/>
        </w:rPr>
        <w:t>בשולי</w:t>
      </w:r>
      <w:r w:rsidRPr="00311A23">
        <w:rPr>
          <w:rFonts w:cs="Arial"/>
          <w:rtl/>
        </w:rPr>
        <w:t xml:space="preserve"> </w:t>
      </w:r>
      <w:r w:rsidRPr="00311A23">
        <w:rPr>
          <w:rFonts w:cs="Arial" w:hint="cs"/>
          <w:rtl/>
        </w:rPr>
        <w:t>קדרה</w:t>
      </w:r>
      <w:r w:rsidRPr="00311A23">
        <w:rPr>
          <w:rFonts w:cs="Arial"/>
          <w:rtl/>
        </w:rPr>
        <w:t>.</w:t>
      </w:r>
      <w:r>
        <w:rPr>
          <w:rFonts w:hint="cs"/>
          <w:rtl/>
        </w:rPr>
        <w:t xml:space="preserve"> (וכ"כ הט"ז)</w:t>
      </w:r>
    </w:p>
    <w:p w14:paraId="07992C5C" w14:textId="77777777" w:rsidR="004C5A3C" w:rsidRPr="00142A44" w:rsidRDefault="004C5A3C" w:rsidP="0032102C">
      <w:pPr>
        <w:pStyle w:val="a5"/>
        <w:numPr>
          <w:ilvl w:val="0"/>
          <w:numId w:val="187"/>
        </w:numPr>
        <w:rPr>
          <w:rtl/>
        </w:rPr>
      </w:pPr>
      <w:r>
        <w:rPr>
          <w:rFonts w:asciiTheme="minorBidi" w:hAnsiTheme="minorBidi" w:hint="cs"/>
          <w:rtl/>
        </w:rPr>
        <w:t xml:space="preserve">ב"י </w:t>
      </w:r>
      <w:r w:rsidRPr="00311A23">
        <w:rPr>
          <w:rFonts w:asciiTheme="minorBidi" w:hAnsiTheme="minorBidi" w:hint="cs"/>
          <w:sz w:val="16"/>
          <w:szCs w:val="16"/>
          <w:rtl/>
        </w:rPr>
        <w:t>(סי' רטז עמ' שנא דיבור ראשון)</w:t>
      </w:r>
      <w:r>
        <w:rPr>
          <w:rFonts w:asciiTheme="minorBidi" w:hAnsiTheme="minorBidi" w:hint="cs"/>
          <w:rtl/>
        </w:rPr>
        <w:t xml:space="preserve">- </w:t>
      </w:r>
      <w:r w:rsidRPr="00142A44">
        <w:rPr>
          <w:rFonts w:asciiTheme="minorBidi" w:hAnsiTheme="minorBidi"/>
          <w:rtl/>
        </w:rPr>
        <w:t>תבלין</w:t>
      </w:r>
      <w:r>
        <w:rPr>
          <w:rFonts w:asciiTheme="minorBidi" w:hAnsiTheme="minorBidi" w:hint="cs"/>
          <w:rtl/>
        </w:rPr>
        <w:t>.</w:t>
      </w:r>
    </w:p>
  </w:footnote>
  <w:footnote w:id="1875">
    <w:p w14:paraId="1A47747B" w14:textId="77777777" w:rsidR="004C5A3C" w:rsidRDefault="004C5A3C" w:rsidP="002C39F4">
      <w:pPr>
        <w:pStyle w:val="a5"/>
        <w:rPr>
          <w:rtl/>
        </w:rPr>
      </w:pPr>
      <w:r>
        <w:rPr>
          <w:rStyle w:val="a7"/>
        </w:rPr>
        <w:footnoteRef/>
      </w:r>
      <w:r>
        <w:rPr>
          <w:rtl/>
        </w:rPr>
        <w:t xml:space="preserve"> </w:t>
      </w:r>
      <w:r>
        <w:rPr>
          <w:rFonts w:hint="cs"/>
          <w:rtl/>
        </w:rPr>
        <w:t xml:space="preserve">והביאו הט"ז (סק"ד) והש"ך (סק"ו) את דברי </w:t>
      </w:r>
      <w:r w:rsidRPr="00DC51FE">
        <w:rPr>
          <w:rFonts w:cs="Arial" w:hint="cs"/>
          <w:rtl/>
        </w:rPr>
        <w:t>מהרש</w:t>
      </w:r>
      <w:r w:rsidRPr="00DC51FE">
        <w:rPr>
          <w:rFonts w:cs="Arial"/>
          <w:rtl/>
        </w:rPr>
        <w:t>"</w:t>
      </w:r>
      <w:r w:rsidRPr="00DC51FE">
        <w:rPr>
          <w:rFonts w:cs="Arial" w:hint="cs"/>
          <w:rtl/>
        </w:rPr>
        <w:t>ל</w:t>
      </w:r>
      <w:r w:rsidRPr="00DC51FE">
        <w:rPr>
          <w:rFonts w:cs="Arial"/>
          <w:rtl/>
        </w:rPr>
        <w:t xml:space="preserve"> </w:t>
      </w:r>
      <w:r>
        <w:rPr>
          <w:rFonts w:cs="Arial" w:hint="cs"/>
          <w:rtl/>
        </w:rPr>
        <w:t>(</w:t>
      </w:r>
      <w:r w:rsidRPr="00DC51FE">
        <w:rPr>
          <w:rFonts w:cs="Arial" w:hint="cs"/>
          <w:rtl/>
        </w:rPr>
        <w:t>פג</w:t>
      </w:r>
      <w:r w:rsidRPr="00DC51FE">
        <w:rPr>
          <w:rFonts w:cs="Arial"/>
          <w:rtl/>
        </w:rPr>
        <w:t>"</w:t>
      </w:r>
      <w:r w:rsidRPr="00DC51FE">
        <w:rPr>
          <w:rFonts w:cs="Arial" w:hint="cs"/>
          <w:rtl/>
        </w:rPr>
        <w:t>ה</w:t>
      </w:r>
      <w:r w:rsidRPr="00DC51FE">
        <w:rPr>
          <w:rFonts w:cs="Arial"/>
          <w:rtl/>
        </w:rPr>
        <w:t xml:space="preserve"> </w:t>
      </w:r>
      <w:r w:rsidRPr="00DC51FE">
        <w:rPr>
          <w:rFonts w:cs="Arial" w:hint="cs"/>
          <w:rtl/>
        </w:rPr>
        <w:t>סי</w:t>
      </w:r>
      <w:r w:rsidRPr="00DC51FE">
        <w:rPr>
          <w:rFonts w:cs="Arial"/>
          <w:rtl/>
        </w:rPr>
        <w:t xml:space="preserve">' </w:t>
      </w:r>
      <w:r w:rsidRPr="00DC51FE">
        <w:rPr>
          <w:rFonts w:cs="Arial" w:hint="cs"/>
          <w:rtl/>
        </w:rPr>
        <w:t>לד</w:t>
      </w:r>
      <w:r>
        <w:rPr>
          <w:rFonts w:cs="Arial" w:hint="cs"/>
          <w:rtl/>
        </w:rPr>
        <w:t>)</w:t>
      </w:r>
      <w:r w:rsidRPr="00DC51FE">
        <w:rPr>
          <w:rFonts w:cs="Arial"/>
          <w:rtl/>
        </w:rPr>
        <w:t xml:space="preserve"> </w:t>
      </w:r>
      <w:r w:rsidRPr="00DC51FE">
        <w:rPr>
          <w:rFonts w:cs="Arial" w:hint="cs"/>
          <w:rtl/>
        </w:rPr>
        <w:t>וז</w:t>
      </w:r>
      <w:r w:rsidRPr="00DC51FE">
        <w:rPr>
          <w:rFonts w:cs="Arial"/>
          <w:rtl/>
        </w:rPr>
        <w:t>"</w:t>
      </w:r>
      <w:r w:rsidRPr="00DC51FE">
        <w:rPr>
          <w:rFonts w:cs="Arial" w:hint="cs"/>
          <w:rtl/>
        </w:rPr>
        <w:t>ל</w:t>
      </w:r>
      <w:r>
        <w:rPr>
          <w:rFonts w:cs="Arial" w:hint="cs"/>
          <w:rtl/>
        </w:rPr>
        <w:t>-</w:t>
      </w:r>
      <w:r w:rsidRPr="00DC51FE">
        <w:rPr>
          <w:rFonts w:cs="Arial"/>
          <w:rtl/>
        </w:rPr>
        <w:t xml:space="preserve"> </w:t>
      </w:r>
      <w:r w:rsidRPr="00DC51FE">
        <w:rPr>
          <w:rFonts w:cs="Arial" w:hint="cs"/>
          <w:rtl/>
        </w:rPr>
        <w:t>ונראה</w:t>
      </w:r>
      <w:r w:rsidRPr="00DC51FE">
        <w:rPr>
          <w:rFonts w:cs="Arial"/>
          <w:rtl/>
        </w:rPr>
        <w:t xml:space="preserve"> </w:t>
      </w:r>
      <w:r w:rsidRPr="00DC51FE">
        <w:rPr>
          <w:rFonts w:cs="Arial" w:hint="cs"/>
          <w:rtl/>
        </w:rPr>
        <w:t>בעיני</w:t>
      </w:r>
      <w:r w:rsidRPr="00DC51FE">
        <w:rPr>
          <w:rFonts w:cs="Arial"/>
          <w:rtl/>
        </w:rPr>
        <w:t xml:space="preserve"> </w:t>
      </w:r>
      <w:r w:rsidRPr="00DC51FE">
        <w:rPr>
          <w:rFonts w:cs="Arial" w:hint="cs"/>
          <w:rtl/>
        </w:rPr>
        <w:t>אפי</w:t>
      </w:r>
      <w:r w:rsidRPr="00DC51FE">
        <w:rPr>
          <w:rFonts w:cs="Arial"/>
          <w:rtl/>
        </w:rPr>
        <w:t xml:space="preserve">' </w:t>
      </w:r>
      <w:r w:rsidRPr="00DC51FE">
        <w:rPr>
          <w:rFonts w:cs="Arial" w:hint="cs"/>
          <w:rtl/>
        </w:rPr>
        <w:t>היכא</w:t>
      </w:r>
      <w:r w:rsidRPr="00DC51FE">
        <w:rPr>
          <w:rFonts w:cs="Arial"/>
          <w:rtl/>
        </w:rPr>
        <w:t xml:space="preserve"> </w:t>
      </w:r>
      <w:r w:rsidRPr="00DC51FE">
        <w:rPr>
          <w:rFonts w:cs="Arial" w:hint="cs"/>
          <w:rtl/>
        </w:rPr>
        <w:t>שראינו</w:t>
      </w:r>
      <w:r w:rsidRPr="00DC51FE">
        <w:rPr>
          <w:rFonts w:cs="Arial"/>
          <w:rtl/>
        </w:rPr>
        <w:t xml:space="preserve"> </w:t>
      </w:r>
      <w:r w:rsidRPr="00DC51FE">
        <w:rPr>
          <w:rFonts w:cs="Arial" w:hint="cs"/>
          <w:rtl/>
        </w:rPr>
        <w:t>שנפל</w:t>
      </w:r>
      <w:r w:rsidRPr="00DC51FE">
        <w:rPr>
          <w:rFonts w:cs="Arial"/>
          <w:rtl/>
        </w:rPr>
        <w:t xml:space="preserve"> </w:t>
      </w:r>
      <w:r w:rsidRPr="00DC51FE">
        <w:rPr>
          <w:rFonts w:cs="Arial" w:hint="cs"/>
          <w:rtl/>
        </w:rPr>
        <w:t>האיסור</w:t>
      </w:r>
      <w:r w:rsidRPr="00DC51FE">
        <w:rPr>
          <w:rFonts w:cs="Arial"/>
          <w:rtl/>
        </w:rPr>
        <w:t xml:space="preserve"> </w:t>
      </w:r>
      <w:r w:rsidRPr="00DC51FE">
        <w:rPr>
          <w:rFonts w:cs="Arial" w:hint="cs"/>
          <w:rtl/>
        </w:rPr>
        <w:t>כו</w:t>
      </w:r>
      <w:r w:rsidRPr="00DC51FE">
        <w:rPr>
          <w:rFonts w:cs="Arial"/>
          <w:rtl/>
        </w:rPr>
        <w:t xml:space="preserve">' </w:t>
      </w:r>
      <w:r w:rsidRPr="00DC51FE">
        <w:rPr>
          <w:rFonts w:cs="Arial" w:hint="cs"/>
          <w:rtl/>
        </w:rPr>
        <w:t>אין</w:t>
      </w:r>
      <w:r w:rsidRPr="00DC51FE">
        <w:rPr>
          <w:rFonts w:cs="Arial"/>
          <w:rtl/>
        </w:rPr>
        <w:t xml:space="preserve"> </w:t>
      </w:r>
      <w:r w:rsidRPr="00DC51FE">
        <w:rPr>
          <w:rFonts w:cs="Arial" w:hint="cs"/>
          <w:rtl/>
        </w:rPr>
        <w:t>לשער</w:t>
      </w:r>
      <w:r w:rsidRPr="00DC51FE">
        <w:rPr>
          <w:rFonts w:cs="Arial"/>
          <w:rtl/>
        </w:rPr>
        <w:t xml:space="preserve"> </w:t>
      </w:r>
      <w:r w:rsidRPr="00DC51FE">
        <w:rPr>
          <w:rFonts w:cs="Arial" w:hint="cs"/>
          <w:rtl/>
        </w:rPr>
        <w:t>במאי</w:t>
      </w:r>
      <w:r w:rsidRPr="00DC51FE">
        <w:rPr>
          <w:rFonts w:cs="Arial"/>
          <w:rtl/>
        </w:rPr>
        <w:t xml:space="preserve"> </w:t>
      </w:r>
      <w:r w:rsidRPr="00DC51FE">
        <w:rPr>
          <w:rFonts w:cs="Arial" w:hint="cs"/>
          <w:rtl/>
        </w:rPr>
        <w:t>דבלעה</w:t>
      </w:r>
      <w:r w:rsidRPr="00DC51FE">
        <w:rPr>
          <w:rFonts w:cs="Arial"/>
          <w:rtl/>
        </w:rPr>
        <w:t xml:space="preserve"> </w:t>
      </w:r>
      <w:r w:rsidRPr="00DC51FE">
        <w:rPr>
          <w:rFonts w:cs="Arial" w:hint="cs"/>
          <w:rtl/>
        </w:rPr>
        <w:t>קדרה</w:t>
      </w:r>
      <w:r w:rsidRPr="00DC51FE">
        <w:rPr>
          <w:rFonts w:cs="Arial"/>
          <w:rtl/>
        </w:rPr>
        <w:t xml:space="preserve"> </w:t>
      </w:r>
      <w:r w:rsidRPr="00DC51FE">
        <w:rPr>
          <w:rFonts w:cs="Arial" w:hint="cs"/>
          <w:rtl/>
        </w:rPr>
        <w:t>כי</w:t>
      </w:r>
      <w:r w:rsidRPr="00DC51FE">
        <w:rPr>
          <w:rFonts w:cs="Arial"/>
          <w:rtl/>
        </w:rPr>
        <w:t xml:space="preserve"> </w:t>
      </w:r>
      <w:r w:rsidRPr="00DC51FE">
        <w:rPr>
          <w:rFonts w:cs="Arial" w:hint="cs"/>
          <w:rtl/>
        </w:rPr>
        <w:t>אין</w:t>
      </w:r>
      <w:r w:rsidRPr="00DC51FE">
        <w:rPr>
          <w:rFonts w:cs="Arial"/>
          <w:rtl/>
        </w:rPr>
        <w:t xml:space="preserve"> </w:t>
      </w:r>
      <w:r w:rsidRPr="00DC51FE">
        <w:rPr>
          <w:rFonts w:cs="Arial" w:hint="cs"/>
          <w:rtl/>
        </w:rPr>
        <w:t>לעמוד</w:t>
      </w:r>
      <w:r w:rsidRPr="00DC51FE">
        <w:rPr>
          <w:rFonts w:cs="Arial"/>
          <w:rtl/>
        </w:rPr>
        <w:t xml:space="preserve"> </w:t>
      </w:r>
      <w:r w:rsidRPr="00DC51FE">
        <w:rPr>
          <w:rFonts w:cs="Arial" w:hint="cs"/>
          <w:rtl/>
        </w:rPr>
        <w:t>על</w:t>
      </w:r>
      <w:r w:rsidRPr="00DC51FE">
        <w:rPr>
          <w:rFonts w:cs="Arial"/>
          <w:rtl/>
        </w:rPr>
        <w:t xml:space="preserve"> </w:t>
      </w:r>
      <w:r w:rsidRPr="00DC51FE">
        <w:rPr>
          <w:rFonts w:cs="Arial" w:hint="cs"/>
          <w:rtl/>
        </w:rPr>
        <w:t>שורש</w:t>
      </w:r>
      <w:r w:rsidRPr="00DC51FE">
        <w:rPr>
          <w:rFonts w:cs="Arial"/>
          <w:rtl/>
        </w:rPr>
        <w:t xml:space="preserve"> </w:t>
      </w:r>
      <w:r w:rsidRPr="00DC51FE">
        <w:rPr>
          <w:rFonts w:cs="Arial" w:hint="cs"/>
          <w:rtl/>
        </w:rPr>
        <w:t>הדבר</w:t>
      </w:r>
      <w:r w:rsidRPr="00DC51FE">
        <w:rPr>
          <w:rFonts w:cs="Arial"/>
          <w:rtl/>
        </w:rPr>
        <w:t xml:space="preserve"> </w:t>
      </w:r>
      <w:r w:rsidRPr="00DC51FE">
        <w:rPr>
          <w:rFonts w:cs="Arial" w:hint="cs"/>
          <w:rtl/>
        </w:rPr>
        <w:t>ולא</w:t>
      </w:r>
      <w:r w:rsidRPr="00DC51FE">
        <w:rPr>
          <w:rFonts w:cs="Arial"/>
          <w:rtl/>
        </w:rPr>
        <w:t xml:space="preserve"> </w:t>
      </w:r>
      <w:r w:rsidRPr="00DC51FE">
        <w:rPr>
          <w:rFonts w:cs="Arial" w:hint="cs"/>
          <w:rtl/>
        </w:rPr>
        <w:t>ידוע</w:t>
      </w:r>
      <w:r w:rsidRPr="00DC51FE">
        <w:rPr>
          <w:rFonts w:cs="Arial"/>
          <w:rtl/>
        </w:rPr>
        <w:t xml:space="preserve"> </w:t>
      </w:r>
      <w:r w:rsidRPr="00DC51FE">
        <w:rPr>
          <w:rFonts w:cs="Arial" w:hint="cs"/>
          <w:rtl/>
        </w:rPr>
        <w:t>כמה</w:t>
      </w:r>
      <w:r w:rsidRPr="00DC51FE">
        <w:rPr>
          <w:rFonts w:cs="Arial"/>
          <w:rtl/>
        </w:rPr>
        <w:t xml:space="preserve"> </w:t>
      </w:r>
      <w:r w:rsidRPr="00DC51FE">
        <w:rPr>
          <w:rFonts w:cs="Arial" w:hint="cs"/>
          <w:rtl/>
        </w:rPr>
        <w:t>בלעה</w:t>
      </w:r>
      <w:r w:rsidRPr="00DC51FE">
        <w:rPr>
          <w:rFonts w:cs="Arial"/>
          <w:rtl/>
        </w:rPr>
        <w:t xml:space="preserve"> </w:t>
      </w:r>
      <w:r w:rsidRPr="00DC51FE">
        <w:rPr>
          <w:rFonts w:cs="Arial" w:hint="cs"/>
          <w:rtl/>
        </w:rPr>
        <w:t>הקדרה</w:t>
      </w:r>
      <w:r w:rsidRPr="00DC51FE">
        <w:rPr>
          <w:rFonts w:cs="Arial"/>
          <w:rtl/>
        </w:rPr>
        <w:t xml:space="preserve"> </w:t>
      </w:r>
      <w:r w:rsidRPr="00DC51FE">
        <w:rPr>
          <w:rFonts w:cs="Arial" w:hint="cs"/>
          <w:rtl/>
        </w:rPr>
        <w:t>וכמה</w:t>
      </w:r>
      <w:r w:rsidRPr="00DC51FE">
        <w:rPr>
          <w:rFonts w:cs="Arial"/>
          <w:rtl/>
        </w:rPr>
        <w:t xml:space="preserve"> </w:t>
      </w:r>
      <w:r w:rsidRPr="00DC51FE">
        <w:rPr>
          <w:rFonts w:cs="Arial" w:hint="cs"/>
          <w:rtl/>
        </w:rPr>
        <w:t>פעמים</w:t>
      </w:r>
      <w:r w:rsidRPr="00DC51FE">
        <w:rPr>
          <w:rFonts w:cs="Arial"/>
          <w:rtl/>
        </w:rPr>
        <w:t xml:space="preserve"> </w:t>
      </w:r>
      <w:r w:rsidRPr="00DC51FE">
        <w:rPr>
          <w:rFonts w:cs="Arial" w:hint="cs"/>
          <w:rtl/>
        </w:rPr>
        <w:t>יבא</w:t>
      </w:r>
      <w:r w:rsidRPr="00DC51FE">
        <w:rPr>
          <w:rFonts w:cs="Arial"/>
          <w:rtl/>
        </w:rPr>
        <w:t xml:space="preserve"> </w:t>
      </w:r>
      <w:r w:rsidRPr="00DC51FE">
        <w:rPr>
          <w:rFonts w:cs="Arial" w:hint="cs"/>
          <w:rtl/>
        </w:rPr>
        <w:t>קלקול</w:t>
      </w:r>
      <w:r w:rsidRPr="00DC51FE">
        <w:rPr>
          <w:rFonts w:cs="Arial"/>
          <w:rtl/>
        </w:rPr>
        <w:t xml:space="preserve"> </w:t>
      </w:r>
      <w:r w:rsidRPr="00DC51FE">
        <w:rPr>
          <w:rFonts w:cs="Arial" w:hint="cs"/>
          <w:rtl/>
        </w:rPr>
        <w:t>מזה</w:t>
      </w:r>
      <w:r w:rsidRPr="00DC51FE">
        <w:rPr>
          <w:rFonts w:cs="Arial"/>
          <w:rtl/>
        </w:rPr>
        <w:t xml:space="preserve"> </w:t>
      </w:r>
      <w:r w:rsidRPr="00DC51FE">
        <w:rPr>
          <w:rFonts w:cs="Arial" w:hint="cs"/>
          <w:rtl/>
        </w:rPr>
        <w:t>אלא</w:t>
      </w:r>
      <w:r w:rsidRPr="00DC51FE">
        <w:rPr>
          <w:rFonts w:cs="Arial"/>
          <w:rtl/>
        </w:rPr>
        <w:t xml:space="preserve"> </w:t>
      </w:r>
      <w:r w:rsidRPr="00DC51FE">
        <w:rPr>
          <w:rFonts w:cs="Arial" w:hint="cs"/>
          <w:rtl/>
        </w:rPr>
        <w:t>לעולם</w:t>
      </w:r>
      <w:r w:rsidRPr="00DC51FE">
        <w:rPr>
          <w:rFonts w:cs="Arial"/>
          <w:rtl/>
        </w:rPr>
        <w:t xml:space="preserve"> </w:t>
      </w:r>
      <w:r w:rsidRPr="00DC51FE">
        <w:rPr>
          <w:rFonts w:cs="Arial" w:hint="cs"/>
          <w:rtl/>
        </w:rPr>
        <w:t>משערין</w:t>
      </w:r>
      <w:r w:rsidRPr="00DC51FE">
        <w:rPr>
          <w:rFonts w:cs="Arial"/>
          <w:rtl/>
        </w:rPr>
        <w:t xml:space="preserve"> </w:t>
      </w:r>
      <w:r w:rsidRPr="00DC51FE">
        <w:rPr>
          <w:rFonts w:cs="Arial" w:hint="cs"/>
          <w:rtl/>
        </w:rPr>
        <w:t>כמו</w:t>
      </w:r>
      <w:r w:rsidRPr="00DC51FE">
        <w:rPr>
          <w:rFonts w:cs="Arial"/>
          <w:rtl/>
        </w:rPr>
        <w:t xml:space="preserve"> </w:t>
      </w:r>
      <w:r w:rsidRPr="00DC51FE">
        <w:rPr>
          <w:rFonts w:cs="Arial" w:hint="cs"/>
          <w:rtl/>
        </w:rPr>
        <w:t>שבא</w:t>
      </w:r>
      <w:r w:rsidRPr="00DC51FE">
        <w:rPr>
          <w:rFonts w:cs="Arial"/>
          <w:rtl/>
        </w:rPr>
        <w:t xml:space="preserve"> </w:t>
      </w:r>
      <w:r w:rsidRPr="00DC51FE">
        <w:rPr>
          <w:rFonts w:cs="Arial" w:hint="cs"/>
          <w:rtl/>
        </w:rPr>
        <w:t>לפנינו</w:t>
      </w:r>
      <w:r>
        <w:rPr>
          <w:rFonts w:cs="Arial" w:hint="cs"/>
          <w:rtl/>
        </w:rPr>
        <w:t>. עכ"ל.</w:t>
      </w:r>
      <w:r w:rsidRPr="00DC51FE">
        <w:rPr>
          <w:rFonts w:cs="Arial"/>
          <w:rtl/>
        </w:rPr>
        <w:t xml:space="preserve"> </w:t>
      </w:r>
      <w:r w:rsidRPr="00DC51FE">
        <w:rPr>
          <w:rFonts w:cs="Arial" w:hint="cs"/>
          <w:rtl/>
        </w:rPr>
        <w:t>ו</w:t>
      </w:r>
      <w:r>
        <w:rPr>
          <w:rFonts w:cs="Arial" w:hint="cs"/>
          <w:rtl/>
        </w:rPr>
        <w:t>כ' הש"ך ד</w:t>
      </w:r>
      <w:r w:rsidRPr="00DC51FE">
        <w:rPr>
          <w:rFonts w:cs="Arial" w:hint="cs"/>
          <w:rtl/>
        </w:rPr>
        <w:t>רש</w:t>
      </w:r>
      <w:r w:rsidRPr="00DC51FE">
        <w:rPr>
          <w:rFonts w:cs="Arial"/>
          <w:rtl/>
        </w:rPr>
        <w:t>"</w:t>
      </w:r>
      <w:r w:rsidRPr="00DC51FE">
        <w:rPr>
          <w:rFonts w:cs="Arial" w:hint="cs"/>
          <w:rtl/>
        </w:rPr>
        <w:t>י</w:t>
      </w:r>
      <w:r w:rsidRPr="00DC51FE">
        <w:rPr>
          <w:rFonts w:cs="Arial"/>
          <w:rtl/>
        </w:rPr>
        <w:t xml:space="preserve"> </w:t>
      </w:r>
      <w:r w:rsidRPr="00DC51FE">
        <w:rPr>
          <w:rFonts w:cs="Arial" w:hint="cs"/>
          <w:rtl/>
        </w:rPr>
        <w:t>לא</w:t>
      </w:r>
      <w:r w:rsidRPr="00DC51FE">
        <w:rPr>
          <w:rFonts w:cs="Arial"/>
          <w:rtl/>
        </w:rPr>
        <w:t xml:space="preserve"> </w:t>
      </w:r>
      <w:r w:rsidRPr="00DC51FE">
        <w:rPr>
          <w:rFonts w:cs="Arial" w:hint="cs"/>
          <w:rtl/>
        </w:rPr>
        <w:t>פסק</w:t>
      </w:r>
      <w:r w:rsidRPr="00DC51FE">
        <w:rPr>
          <w:rFonts w:cs="Arial"/>
          <w:rtl/>
        </w:rPr>
        <w:t xml:space="preserve"> </w:t>
      </w:r>
      <w:r w:rsidRPr="00DC51FE">
        <w:rPr>
          <w:rFonts w:cs="Arial" w:hint="cs"/>
          <w:rtl/>
        </w:rPr>
        <w:t>הכי</w:t>
      </w:r>
      <w:r w:rsidRPr="00DC51FE">
        <w:rPr>
          <w:rFonts w:cs="Arial"/>
          <w:rtl/>
        </w:rPr>
        <w:t xml:space="preserve"> </w:t>
      </w:r>
      <w:r w:rsidRPr="00DC51FE">
        <w:rPr>
          <w:rFonts w:cs="Arial" w:hint="cs"/>
          <w:rtl/>
        </w:rPr>
        <w:t>אלא</w:t>
      </w:r>
      <w:r w:rsidRPr="00DC51FE">
        <w:rPr>
          <w:rFonts w:cs="Arial"/>
          <w:rtl/>
        </w:rPr>
        <w:t xml:space="preserve"> </w:t>
      </w:r>
      <w:r w:rsidRPr="00DC51FE">
        <w:rPr>
          <w:rFonts w:cs="Arial" w:hint="cs"/>
          <w:rtl/>
        </w:rPr>
        <w:t>מדינא</w:t>
      </w:r>
      <w:r>
        <w:rPr>
          <w:rFonts w:cs="Arial" w:hint="cs"/>
          <w:rtl/>
        </w:rPr>
        <w:t>,</w:t>
      </w:r>
      <w:r w:rsidRPr="00DC51FE">
        <w:rPr>
          <w:rFonts w:cs="Arial"/>
          <w:rtl/>
        </w:rPr>
        <w:t xml:space="preserve"> </w:t>
      </w:r>
      <w:r w:rsidRPr="00DC51FE">
        <w:rPr>
          <w:rFonts w:cs="Arial" w:hint="cs"/>
          <w:rtl/>
        </w:rPr>
        <w:t>אבל</w:t>
      </w:r>
      <w:r w:rsidRPr="00DC51FE">
        <w:rPr>
          <w:rFonts w:cs="Arial"/>
          <w:rtl/>
        </w:rPr>
        <w:t xml:space="preserve"> </w:t>
      </w:r>
      <w:r w:rsidRPr="00DC51FE">
        <w:rPr>
          <w:rFonts w:cs="Arial" w:hint="cs"/>
          <w:rtl/>
        </w:rPr>
        <w:t>מ</w:t>
      </w:r>
      <w:r w:rsidRPr="00DC51FE">
        <w:rPr>
          <w:rFonts w:cs="Arial"/>
          <w:rtl/>
        </w:rPr>
        <w:t>"</w:t>
      </w:r>
      <w:r w:rsidRPr="00DC51FE">
        <w:rPr>
          <w:rFonts w:cs="Arial" w:hint="cs"/>
          <w:rtl/>
        </w:rPr>
        <w:t>מ</w:t>
      </w:r>
      <w:r w:rsidRPr="00DC51FE">
        <w:rPr>
          <w:rFonts w:cs="Arial"/>
          <w:rtl/>
        </w:rPr>
        <w:t xml:space="preserve"> </w:t>
      </w:r>
      <w:r w:rsidRPr="00DC51FE">
        <w:rPr>
          <w:rFonts w:cs="Arial" w:hint="cs"/>
          <w:rtl/>
        </w:rPr>
        <w:t>עיקר</w:t>
      </w:r>
      <w:r w:rsidRPr="00DC51FE">
        <w:rPr>
          <w:rFonts w:cs="Arial"/>
          <w:rtl/>
        </w:rPr>
        <w:t xml:space="preserve"> </w:t>
      </w:r>
      <w:r w:rsidRPr="00DC51FE">
        <w:rPr>
          <w:rFonts w:cs="Arial" w:hint="cs"/>
          <w:rtl/>
        </w:rPr>
        <w:t>הדבר</w:t>
      </w:r>
      <w:r w:rsidRPr="00DC51FE">
        <w:rPr>
          <w:rFonts w:cs="Arial"/>
          <w:rtl/>
        </w:rPr>
        <w:t xml:space="preserve"> </w:t>
      </w:r>
      <w:r w:rsidRPr="00DC51FE">
        <w:rPr>
          <w:rFonts w:cs="Arial" w:hint="cs"/>
          <w:rtl/>
        </w:rPr>
        <w:t>שלא</w:t>
      </w:r>
      <w:r w:rsidRPr="00DC51FE">
        <w:rPr>
          <w:rFonts w:cs="Arial"/>
          <w:rtl/>
        </w:rPr>
        <w:t xml:space="preserve"> </w:t>
      </w:r>
      <w:r w:rsidRPr="00DC51FE">
        <w:rPr>
          <w:rFonts w:cs="Arial" w:hint="cs"/>
          <w:rtl/>
        </w:rPr>
        <w:t>לשער</w:t>
      </w:r>
      <w:r w:rsidRPr="00DC51FE">
        <w:rPr>
          <w:rFonts w:cs="Arial"/>
          <w:rtl/>
        </w:rPr>
        <w:t xml:space="preserve"> </w:t>
      </w:r>
      <w:r w:rsidRPr="00DC51FE">
        <w:rPr>
          <w:rFonts w:cs="Arial" w:hint="cs"/>
          <w:rtl/>
        </w:rPr>
        <w:t>אלא</w:t>
      </w:r>
      <w:r w:rsidRPr="00DC51FE">
        <w:rPr>
          <w:rFonts w:cs="Arial"/>
          <w:rtl/>
        </w:rPr>
        <w:t xml:space="preserve"> </w:t>
      </w:r>
      <w:r w:rsidRPr="00DC51FE">
        <w:rPr>
          <w:rFonts w:cs="Arial" w:hint="cs"/>
          <w:rtl/>
        </w:rPr>
        <w:t>כמו</w:t>
      </w:r>
      <w:r w:rsidRPr="00DC51FE">
        <w:rPr>
          <w:rFonts w:cs="Arial"/>
          <w:rtl/>
        </w:rPr>
        <w:t xml:space="preserve"> </w:t>
      </w:r>
      <w:r w:rsidRPr="00DC51FE">
        <w:rPr>
          <w:rFonts w:cs="Arial" w:hint="cs"/>
          <w:rtl/>
        </w:rPr>
        <w:t>שבא</w:t>
      </w:r>
      <w:r w:rsidRPr="00DC51FE">
        <w:rPr>
          <w:rFonts w:cs="Arial"/>
          <w:rtl/>
        </w:rPr>
        <w:t xml:space="preserve"> </w:t>
      </w:r>
      <w:r w:rsidRPr="00DC51FE">
        <w:rPr>
          <w:rFonts w:cs="Arial" w:hint="cs"/>
          <w:rtl/>
        </w:rPr>
        <w:t>לפנינו</w:t>
      </w:r>
      <w:r w:rsidRPr="00DC51FE">
        <w:rPr>
          <w:rFonts w:cs="Arial"/>
          <w:rtl/>
        </w:rPr>
        <w:t xml:space="preserve"> </w:t>
      </w:r>
      <w:r w:rsidRPr="00DC51FE">
        <w:rPr>
          <w:rFonts w:cs="Arial" w:hint="cs"/>
          <w:rtl/>
        </w:rPr>
        <w:t>כן</w:t>
      </w:r>
      <w:r w:rsidRPr="00DC51FE">
        <w:rPr>
          <w:rFonts w:cs="Arial"/>
          <w:rtl/>
        </w:rPr>
        <w:t xml:space="preserve"> </w:t>
      </w:r>
      <w:r w:rsidRPr="00DC51FE">
        <w:rPr>
          <w:rFonts w:cs="Arial" w:hint="cs"/>
          <w:rtl/>
        </w:rPr>
        <w:t>הוא</w:t>
      </w:r>
      <w:r w:rsidRPr="00DC51FE">
        <w:rPr>
          <w:rFonts w:cs="Arial"/>
          <w:rtl/>
        </w:rPr>
        <w:t xml:space="preserve"> </w:t>
      </w:r>
      <w:r w:rsidRPr="00DC51FE">
        <w:rPr>
          <w:rFonts w:cs="Arial" w:hint="cs"/>
          <w:rtl/>
        </w:rPr>
        <w:t>הדרך</w:t>
      </w:r>
      <w:r w:rsidRPr="00DC51FE">
        <w:rPr>
          <w:rFonts w:cs="Arial"/>
          <w:rtl/>
        </w:rPr>
        <w:t xml:space="preserve"> </w:t>
      </w:r>
      <w:r w:rsidRPr="00DC51FE">
        <w:rPr>
          <w:rFonts w:cs="Arial" w:hint="cs"/>
          <w:rtl/>
        </w:rPr>
        <w:t>נכון</w:t>
      </w:r>
      <w:r w:rsidRPr="00DC51FE">
        <w:rPr>
          <w:rFonts w:cs="Arial"/>
          <w:rtl/>
        </w:rPr>
        <w:t xml:space="preserve"> </w:t>
      </w:r>
      <w:r w:rsidRPr="00DC51FE">
        <w:rPr>
          <w:rFonts w:cs="Arial" w:hint="cs"/>
          <w:rtl/>
        </w:rPr>
        <w:t>לכתחילה</w:t>
      </w:r>
      <w:r>
        <w:rPr>
          <w:rFonts w:cs="Arial" w:hint="cs"/>
          <w:rtl/>
        </w:rPr>
        <w:t>. וכ' הט"ז-</w:t>
      </w:r>
      <w:r w:rsidRPr="00E92531">
        <w:rPr>
          <w:rFonts w:hint="cs"/>
          <w:rtl/>
        </w:rPr>
        <w:t xml:space="preserve"> </w:t>
      </w:r>
      <w:r w:rsidRPr="00E92531">
        <w:rPr>
          <w:rFonts w:cs="Arial" w:hint="cs"/>
          <w:rtl/>
        </w:rPr>
        <w:t>ולפ</w:t>
      </w:r>
      <w:r>
        <w:rPr>
          <w:rFonts w:cs="Arial" w:hint="cs"/>
          <w:rtl/>
        </w:rPr>
        <w:t>י דברי רש"ל</w:t>
      </w:r>
      <w:r w:rsidRPr="00E92531">
        <w:rPr>
          <w:rFonts w:cs="Arial"/>
          <w:rtl/>
        </w:rPr>
        <w:t xml:space="preserve"> </w:t>
      </w:r>
      <w:r w:rsidRPr="00E92531">
        <w:rPr>
          <w:rFonts w:cs="Arial" w:hint="cs"/>
          <w:rtl/>
        </w:rPr>
        <w:t>אין</w:t>
      </w:r>
      <w:r w:rsidRPr="00E92531">
        <w:rPr>
          <w:rFonts w:cs="Arial"/>
          <w:rtl/>
        </w:rPr>
        <w:t xml:space="preserve"> </w:t>
      </w:r>
      <w:r w:rsidRPr="00E92531">
        <w:rPr>
          <w:rFonts w:cs="Arial" w:hint="cs"/>
          <w:rtl/>
        </w:rPr>
        <w:t>להורות</w:t>
      </w:r>
      <w:r w:rsidRPr="00E92531">
        <w:rPr>
          <w:rFonts w:cs="Arial"/>
          <w:rtl/>
        </w:rPr>
        <w:t xml:space="preserve"> </w:t>
      </w:r>
      <w:r w:rsidRPr="00E92531">
        <w:rPr>
          <w:rFonts w:cs="Arial" w:hint="cs"/>
          <w:rtl/>
        </w:rPr>
        <w:t>היתר</w:t>
      </w:r>
      <w:r w:rsidRPr="00E92531">
        <w:rPr>
          <w:rFonts w:cs="Arial"/>
          <w:rtl/>
        </w:rPr>
        <w:t xml:space="preserve"> </w:t>
      </w:r>
      <w:r w:rsidRPr="00E92531">
        <w:rPr>
          <w:rFonts w:cs="Arial" w:hint="cs"/>
          <w:rtl/>
        </w:rPr>
        <w:t>במ</w:t>
      </w:r>
      <w:r w:rsidRPr="00E92531">
        <w:rPr>
          <w:rFonts w:cs="Arial"/>
          <w:rtl/>
        </w:rPr>
        <w:t>"</w:t>
      </w:r>
      <w:r w:rsidRPr="00E92531">
        <w:rPr>
          <w:rFonts w:cs="Arial" w:hint="cs"/>
          <w:rtl/>
        </w:rPr>
        <w:t>ש</w:t>
      </w:r>
      <w:r w:rsidRPr="00E92531">
        <w:rPr>
          <w:rFonts w:cs="Arial"/>
          <w:rtl/>
        </w:rPr>
        <w:t xml:space="preserve"> </w:t>
      </w:r>
      <w:r w:rsidRPr="00E92531">
        <w:rPr>
          <w:rFonts w:cs="Arial" w:hint="cs"/>
          <w:rtl/>
        </w:rPr>
        <w:t>הש</w:t>
      </w:r>
      <w:r>
        <w:rPr>
          <w:rFonts w:cs="Arial" w:hint="cs"/>
          <w:rtl/>
        </w:rPr>
        <w:t>ו</w:t>
      </w:r>
      <w:r w:rsidRPr="00E92531">
        <w:rPr>
          <w:rFonts w:cs="Arial"/>
          <w:rtl/>
        </w:rPr>
        <w:t>"</w:t>
      </w:r>
      <w:r w:rsidRPr="00E92531">
        <w:rPr>
          <w:rFonts w:cs="Arial" w:hint="cs"/>
          <w:rtl/>
        </w:rPr>
        <w:t>ע</w:t>
      </w:r>
      <w:r w:rsidRPr="00E92531">
        <w:rPr>
          <w:rFonts w:cs="Arial"/>
          <w:rtl/>
        </w:rPr>
        <w:t xml:space="preserve"> </w:t>
      </w:r>
      <w:r w:rsidRPr="00E92531">
        <w:rPr>
          <w:rFonts w:cs="Arial" w:hint="cs"/>
          <w:rtl/>
        </w:rPr>
        <w:t>בסע</w:t>
      </w:r>
      <w:r w:rsidRPr="00E92531">
        <w:rPr>
          <w:rFonts w:cs="Arial"/>
          <w:rtl/>
        </w:rPr>
        <w:t xml:space="preserve">' </w:t>
      </w:r>
      <w:r w:rsidRPr="00E92531">
        <w:rPr>
          <w:rFonts w:cs="Arial" w:hint="cs"/>
          <w:rtl/>
        </w:rPr>
        <w:t>זה</w:t>
      </w:r>
      <w:r w:rsidRPr="00E92531">
        <w:rPr>
          <w:rFonts w:cs="Arial"/>
          <w:rtl/>
        </w:rPr>
        <w:t xml:space="preserve"> </w:t>
      </w:r>
      <w:r w:rsidRPr="00E92531">
        <w:rPr>
          <w:rFonts w:cs="Arial" w:hint="cs"/>
          <w:rtl/>
        </w:rPr>
        <w:t>ומשערין</w:t>
      </w:r>
      <w:r w:rsidRPr="00E92531">
        <w:rPr>
          <w:rFonts w:cs="Arial"/>
          <w:rtl/>
        </w:rPr>
        <w:t xml:space="preserve"> </w:t>
      </w:r>
      <w:r w:rsidRPr="00E92531">
        <w:rPr>
          <w:rFonts w:cs="Arial" w:hint="cs"/>
          <w:rtl/>
        </w:rPr>
        <w:t>באומד</w:t>
      </w:r>
      <w:r w:rsidRPr="00E92531">
        <w:rPr>
          <w:rFonts w:cs="Arial"/>
          <w:rtl/>
        </w:rPr>
        <w:t xml:space="preserve"> </w:t>
      </w:r>
      <w:r w:rsidRPr="00E92531">
        <w:rPr>
          <w:rFonts w:cs="Arial" w:hint="cs"/>
          <w:rtl/>
        </w:rPr>
        <w:t>יפה</w:t>
      </w:r>
      <w:r w:rsidRPr="00E92531">
        <w:rPr>
          <w:rFonts w:cs="Arial"/>
          <w:rtl/>
        </w:rPr>
        <w:t xml:space="preserve"> </w:t>
      </w:r>
      <w:r w:rsidRPr="00E92531">
        <w:rPr>
          <w:rFonts w:cs="Arial" w:hint="cs"/>
          <w:rtl/>
        </w:rPr>
        <w:t>כו</w:t>
      </w:r>
      <w:r w:rsidRPr="00E92531">
        <w:rPr>
          <w:rFonts w:cs="Arial"/>
          <w:rtl/>
        </w:rPr>
        <w:t>'</w:t>
      </w:r>
      <w:r>
        <w:rPr>
          <w:rFonts w:cs="Arial" w:hint="cs"/>
          <w:rtl/>
        </w:rPr>
        <w:t>.</w:t>
      </w:r>
    </w:p>
  </w:footnote>
  <w:footnote w:id="1876">
    <w:p w14:paraId="424C48DB" w14:textId="77777777" w:rsidR="004C5A3C" w:rsidRPr="000B1F0F" w:rsidRDefault="004C5A3C" w:rsidP="002C39F4">
      <w:pPr>
        <w:pStyle w:val="a5"/>
        <w:rPr>
          <w:rtl/>
        </w:rPr>
      </w:pPr>
      <w:r>
        <w:rPr>
          <w:rStyle w:val="a7"/>
        </w:rPr>
        <w:footnoteRef/>
      </w:r>
      <w:r>
        <w:rPr>
          <w:rtl/>
        </w:rPr>
        <w:t xml:space="preserve"> </w:t>
      </w:r>
      <w:r w:rsidRPr="000B1F0F">
        <w:rPr>
          <w:rFonts w:cs="Arial" w:hint="cs"/>
          <w:rtl/>
        </w:rPr>
        <w:t>שבזה</w:t>
      </w:r>
      <w:r w:rsidRPr="000B1F0F">
        <w:rPr>
          <w:rFonts w:cs="Arial"/>
          <w:rtl/>
        </w:rPr>
        <w:t xml:space="preserve"> </w:t>
      </w:r>
      <w:r w:rsidRPr="000B1F0F">
        <w:rPr>
          <w:rFonts w:cs="Arial" w:hint="cs"/>
          <w:rtl/>
        </w:rPr>
        <w:t>צריך</w:t>
      </w:r>
      <w:r w:rsidRPr="000B1F0F">
        <w:rPr>
          <w:rFonts w:cs="Arial"/>
          <w:rtl/>
        </w:rPr>
        <w:t xml:space="preserve"> </w:t>
      </w:r>
      <w:r w:rsidRPr="000B1F0F">
        <w:rPr>
          <w:rFonts w:cs="Arial" w:hint="cs"/>
          <w:rtl/>
        </w:rPr>
        <w:t>ששים</w:t>
      </w:r>
      <w:r w:rsidRPr="000B1F0F">
        <w:rPr>
          <w:rFonts w:cs="Arial"/>
          <w:rtl/>
        </w:rPr>
        <w:t xml:space="preserve"> </w:t>
      </w:r>
      <w:r w:rsidRPr="000B1F0F">
        <w:rPr>
          <w:rFonts w:cs="Arial" w:hint="cs"/>
          <w:rtl/>
        </w:rPr>
        <w:t>מן</w:t>
      </w:r>
      <w:r w:rsidRPr="000B1F0F">
        <w:rPr>
          <w:rFonts w:cs="Arial"/>
          <w:rtl/>
        </w:rPr>
        <w:t xml:space="preserve"> </w:t>
      </w:r>
      <w:r w:rsidRPr="000B1F0F">
        <w:rPr>
          <w:rFonts w:cs="Arial" w:hint="cs"/>
          <w:rtl/>
        </w:rPr>
        <w:t>התורה</w:t>
      </w:r>
      <w:r w:rsidRPr="000B1F0F">
        <w:rPr>
          <w:rFonts w:cs="Arial"/>
          <w:rtl/>
        </w:rPr>
        <w:t xml:space="preserve"> </w:t>
      </w:r>
      <w:r w:rsidRPr="000B1F0F">
        <w:rPr>
          <w:rFonts w:cs="Arial" w:hint="cs"/>
          <w:rtl/>
        </w:rPr>
        <w:t>כיון</w:t>
      </w:r>
      <w:r w:rsidRPr="000B1F0F">
        <w:rPr>
          <w:rFonts w:cs="Arial"/>
          <w:rtl/>
        </w:rPr>
        <w:t xml:space="preserve"> </w:t>
      </w:r>
      <w:r w:rsidRPr="000B1F0F">
        <w:rPr>
          <w:rFonts w:cs="Arial" w:hint="cs"/>
          <w:rtl/>
        </w:rPr>
        <w:t>שנ</w:t>
      </w:r>
      <w:r w:rsidRPr="000B1F0F">
        <w:rPr>
          <w:rFonts w:cs="Arial"/>
          <w:rtl/>
        </w:rPr>
        <w:t>"</w:t>
      </w:r>
      <w:r w:rsidRPr="000B1F0F">
        <w:rPr>
          <w:rFonts w:cs="Arial" w:hint="cs"/>
          <w:rtl/>
        </w:rPr>
        <w:t>ט</w:t>
      </w:r>
      <w:r>
        <w:rPr>
          <w:rFonts w:cs="Arial" w:hint="cs"/>
          <w:rtl/>
        </w:rPr>
        <w:t>,</w:t>
      </w:r>
      <w:r w:rsidRPr="000B1F0F">
        <w:rPr>
          <w:rFonts w:cs="Arial"/>
          <w:rtl/>
        </w:rPr>
        <w:t xml:space="preserve"> </w:t>
      </w:r>
      <w:r w:rsidRPr="000B1F0F">
        <w:rPr>
          <w:rFonts w:cs="Arial" w:hint="cs"/>
          <w:rtl/>
        </w:rPr>
        <w:t>ע</w:t>
      </w:r>
      <w:r w:rsidRPr="000B1F0F">
        <w:rPr>
          <w:rFonts w:cs="Arial"/>
          <w:rtl/>
        </w:rPr>
        <w:t>"</w:t>
      </w:r>
      <w:r w:rsidRPr="000B1F0F">
        <w:rPr>
          <w:rFonts w:cs="Arial" w:hint="cs"/>
          <w:rtl/>
        </w:rPr>
        <w:t>כ</w:t>
      </w:r>
      <w:r w:rsidRPr="000B1F0F">
        <w:rPr>
          <w:rFonts w:cs="Arial"/>
          <w:rtl/>
        </w:rPr>
        <w:t xml:space="preserve"> </w:t>
      </w:r>
      <w:r w:rsidRPr="000B1F0F">
        <w:rPr>
          <w:rFonts w:cs="Arial" w:hint="cs"/>
          <w:rtl/>
        </w:rPr>
        <w:t>אין</w:t>
      </w:r>
      <w:r w:rsidRPr="000B1F0F">
        <w:rPr>
          <w:rFonts w:cs="Arial"/>
          <w:rtl/>
        </w:rPr>
        <w:t xml:space="preserve"> </w:t>
      </w:r>
      <w:r w:rsidRPr="000B1F0F">
        <w:rPr>
          <w:rFonts w:cs="Arial" w:hint="cs"/>
          <w:rtl/>
        </w:rPr>
        <w:t>לשער</w:t>
      </w:r>
      <w:r w:rsidRPr="000B1F0F">
        <w:rPr>
          <w:rFonts w:cs="Arial"/>
          <w:rtl/>
        </w:rPr>
        <w:t xml:space="preserve"> </w:t>
      </w:r>
      <w:r w:rsidRPr="000B1F0F">
        <w:rPr>
          <w:rFonts w:cs="Arial" w:hint="cs"/>
          <w:rtl/>
        </w:rPr>
        <w:t>הבלוע</w:t>
      </w:r>
      <w:r>
        <w:rPr>
          <w:rFonts w:cs="Arial" w:hint="cs"/>
          <w:rtl/>
        </w:rPr>
        <w:t>,</w:t>
      </w:r>
      <w:r w:rsidRPr="000B1F0F">
        <w:rPr>
          <w:rFonts w:cs="Arial"/>
          <w:rtl/>
        </w:rPr>
        <w:t xml:space="preserve"> </w:t>
      </w:r>
      <w:r w:rsidRPr="000B1F0F">
        <w:rPr>
          <w:rFonts w:cs="Arial" w:hint="cs"/>
          <w:rtl/>
        </w:rPr>
        <w:t>וא</w:t>
      </w:r>
      <w:r>
        <w:rPr>
          <w:rFonts w:cs="Arial" w:hint="cs"/>
          <w:rtl/>
        </w:rPr>
        <w:t xml:space="preserve">ין </w:t>
      </w:r>
      <w:r w:rsidRPr="000B1F0F">
        <w:rPr>
          <w:rFonts w:cs="Arial" w:hint="cs"/>
          <w:rtl/>
        </w:rPr>
        <w:t>ל</w:t>
      </w:r>
      <w:r>
        <w:rPr>
          <w:rFonts w:cs="Arial" w:hint="cs"/>
          <w:rtl/>
        </w:rPr>
        <w:t>הקשות</w:t>
      </w:r>
      <w:r w:rsidRPr="000B1F0F">
        <w:rPr>
          <w:rFonts w:cs="Arial"/>
          <w:rtl/>
        </w:rPr>
        <w:t xml:space="preserve"> </w:t>
      </w:r>
      <w:r w:rsidRPr="000B1F0F">
        <w:rPr>
          <w:rFonts w:cs="Arial" w:hint="cs"/>
          <w:rtl/>
        </w:rPr>
        <w:t>אמאי</w:t>
      </w:r>
      <w:r w:rsidRPr="000B1F0F">
        <w:rPr>
          <w:rFonts w:cs="Arial"/>
          <w:rtl/>
        </w:rPr>
        <w:t xml:space="preserve"> </w:t>
      </w:r>
      <w:r w:rsidRPr="000B1F0F">
        <w:rPr>
          <w:rFonts w:cs="Arial" w:hint="cs"/>
          <w:rtl/>
        </w:rPr>
        <w:t>אנו</w:t>
      </w:r>
      <w:r w:rsidRPr="000B1F0F">
        <w:rPr>
          <w:rFonts w:cs="Arial"/>
          <w:rtl/>
        </w:rPr>
        <w:t xml:space="preserve"> </w:t>
      </w:r>
      <w:r w:rsidRPr="000B1F0F">
        <w:rPr>
          <w:rFonts w:cs="Arial" w:hint="cs"/>
          <w:rtl/>
        </w:rPr>
        <w:t>מתירין</w:t>
      </w:r>
      <w:r w:rsidRPr="000B1F0F">
        <w:rPr>
          <w:rFonts w:cs="Arial"/>
          <w:rtl/>
        </w:rPr>
        <w:t xml:space="preserve"> </w:t>
      </w:r>
      <w:r w:rsidRPr="000B1F0F">
        <w:rPr>
          <w:rFonts w:cs="Arial" w:hint="cs"/>
          <w:rtl/>
        </w:rPr>
        <w:t>ביש</w:t>
      </w:r>
      <w:r w:rsidRPr="000B1F0F">
        <w:rPr>
          <w:rFonts w:cs="Arial"/>
          <w:rtl/>
        </w:rPr>
        <w:t xml:space="preserve"> </w:t>
      </w:r>
      <w:r w:rsidRPr="000B1F0F">
        <w:rPr>
          <w:rFonts w:cs="Arial" w:hint="cs"/>
          <w:rtl/>
        </w:rPr>
        <w:t>עכשיו</w:t>
      </w:r>
      <w:r w:rsidRPr="000B1F0F">
        <w:rPr>
          <w:rFonts w:cs="Arial"/>
          <w:rtl/>
        </w:rPr>
        <w:t xml:space="preserve"> </w:t>
      </w:r>
      <w:r w:rsidRPr="000B1F0F">
        <w:rPr>
          <w:rFonts w:cs="Arial" w:hint="cs"/>
          <w:rtl/>
        </w:rPr>
        <w:t>ששים</w:t>
      </w:r>
      <w:r w:rsidRPr="000B1F0F">
        <w:rPr>
          <w:rFonts w:cs="Arial"/>
          <w:rtl/>
        </w:rPr>
        <w:t xml:space="preserve"> </w:t>
      </w:r>
      <w:r w:rsidRPr="000B1F0F">
        <w:rPr>
          <w:rFonts w:cs="Arial" w:hint="cs"/>
          <w:rtl/>
        </w:rPr>
        <w:t>לפנינו</w:t>
      </w:r>
      <w:r w:rsidRPr="000B1F0F">
        <w:rPr>
          <w:rFonts w:cs="Arial"/>
          <w:rtl/>
        </w:rPr>
        <w:t xml:space="preserve"> </w:t>
      </w:r>
      <w:r w:rsidRPr="000B1F0F">
        <w:rPr>
          <w:rFonts w:cs="Arial" w:hint="cs"/>
          <w:rtl/>
        </w:rPr>
        <w:t>שמא</w:t>
      </w:r>
      <w:r w:rsidRPr="000B1F0F">
        <w:rPr>
          <w:rFonts w:cs="Arial"/>
          <w:rtl/>
        </w:rPr>
        <w:t xml:space="preserve"> </w:t>
      </w:r>
      <w:r w:rsidRPr="000B1F0F">
        <w:rPr>
          <w:rFonts w:cs="Arial" w:hint="cs"/>
          <w:rtl/>
        </w:rPr>
        <w:t>בעת</w:t>
      </w:r>
      <w:r w:rsidRPr="000B1F0F">
        <w:rPr>
          <w:rFonts w:cs="Arial"/>
          <w:rtl/>
        </w:rPr>
        <w:t xml:space="preserve"> </w:t>
      </w:r>
      <w:r w:rsidRPr="000B1F0F">
        <w:rPr>
          <w:rFonts w:cs="Arial" w:hint="cs"/>
          <w:rtl/>
        </w:rPr>
        <w:t>נפילת</w:t>
      </w:r>
      <w:r w:rsidRPr="000B1F0F">
        <w:rPr>
          <w:rFonts w:cs="Arial"/>
          <w:rtl/>
        </w:rPr>
        <w:t xml:space="preserve"> </w:t>
      </w:r>
      <w:r w:rsidRPr="000B1F0F">
        <w:rPr>
          <w:rFonts w:cs="Arial" w:hint="cs"/>
          <w:rtl/>
        </w:rPr>
        <w:t>האיסור</w:t>
      </w:r>
      <w:r w:rsidRPr="000B1F0F">
        <w:rPr>
          <w:rFonts w:cs="Arial"/>
          <w:rtl/>
        </w:rPr>
        <w:t xml:space="preserve"> </w:t>
      </w:r>
      <w:r w:rsidRPr="000B1F0F">
        <w:rPr>
          <w:rFonts w:cs="Arial" w:hint="cs"/>
          <w:rtl/>
        </w:rPr>
        <w:t>היה</w:t>
      </w:r>
      <w:r w:rsidRPr="000B1F0F">
        <w:rPr>
          <w:rFonts w:cs="Arial"/>
          <w:rtl/>
        </w:rPr>
        <w:t xml:space="preserve"> </w:t>
      </w:r>
      <w:r w:rsidRPr="000B1F0F">
        <w:rPr>
          <w:rFonts w:cs="Arial" w:hint="cs"/>
          <w:rtl/>
        </w:rPr>
        <w:t>האיסור</w:t>
      </w:r>
      <w:r w:rsidRPr="000B1F0F">
        <w:rPr>
          <w:rFonts w:cs="Arial"/>
          <w:rtl/>
        </w:rPr>
        <w:t xml:space="preserve"> </w:t>
      </w:r>
      <w:r w:rsidRPr="000B1F0F">
        <w:rPr>
          <w:rFonts w:cs="Arial" w:hint="cs"/>
          <w:rtl/>
        </w:rPr>
        <w:t>גדול</w:t>
      </w:r>
      <w:r w:rsidRPr="000B1F0F">
        <w:rPr>
          <w:rFonts w:cs="Arial"/>
          <w:rtl/>
        </w:rPr>
        <w:t xml:space="preserve"> </w:t>
      </w:r>
      <w:r w:rsidRPr="000B1F0F">
        <w:rPr>
          <w:rFonts w:cs="Arial" w:hint="cs"/>
          <w:rtl/>
        </w:rPr>
        <w:t>מאוד</w:t>
      </w:r>
      <w:r w:rsidRPr="000B1F0F">
        <w:rPr>
          <w:rFonts w:cs="Arial"/>
          <w:rtl/>
        </w:rPr>
        <w:t xml:space="preserve"> </w:t>
      </w:r>
      <w:r w:rsidRPr="000B1F0F">
        <w:rPr>
          <w:rFonts w:cs="Arial" w:hint="cs"/>
          <w:rtl/>
        </w:rPr>
        <w:t>ונצטמק</w:t>
      </w:r>
      <w:r w:rsidRPr="000B1F0F">
        <w:rPr>
          <w:rFonts w:cs="Arial"/>
          <w:rtl/>
        </w:rPr>
        <w:t xml:space="preserve"> </w:t>
      </w:r>
      <w:r w:rsidRPr="000B1F0F">
        <w:rPr>
          <w:rFonts w:cs="Arial" w:hint="cs"/>
          <w:rtl/>
        </w:rPr>
        <w:t>ממנו</w:t>
      </w:r>
      <w:r w:rsidRPr="000B1F0F">
        <w:rPr>
          <w:rFonts w:cs="Arial"/>
          <w:rtl/>
        </w:rPr>
        <w:t xml:space="preserve"> </w:t>
      </w:r>
      <w:r w:rsidRPr="000B1F0F">
        <w:rPr>
          <w:rFonts w:cs="Arial" w:hint="cs"/>
          <w:rtl/>
        </w:rPr>
        <w:t>הרבה</w:t>
      </w:r>
      <w:r w:rsidRPr="000B1F0F">
        <w:rPr>
          <w:rFonts w:cs="Arial"/>
          <w:rtl/>
        </w:rPr>
        <w:t xml:space="preserve"> </w:t>
      </w:r>
      <w:r w:rsidRPr="000B1F0F">
        <w:rPr>
          <w:rFonts w:cs="Arial" w:hint="cs"/>
          <w:rtl/>
        </w:rPr>
        <w:t>ממה</w:t>
      </w:r>
      <w:r w:rsidRPr="000B1F0F">
        <w:rPr>
          <w:rFonts w:cs="Arial"/>
          <w:rtl/>
        </w:rPr>
        <w:t xml:space="preserve"> </w:t>
      </w:r>
      <w:r w:rsidRPr="000B1F0F">
        <w:rPr>
          <w:rFonts w:cs="Arial" w:hint="cs"/>
          <w:rtl/>
        </w:rPr>
        <w:t>שנצטמק</w:t>
      </w:r>
      <w:r w:rsidRPr="000B1F0F">
        <w:rPr>
          <w:rFonts w:cs="Arial"/>
          <w:rtl/>
        </w:rPr>
        <w:t xml:space="preserve"> </w:t>
      </w:r>
      <w:r w:rsidRPr="000B1F0F">
        <w:rPr>
          <w:rFonts w:cs="Arial" w:hint="cs"/>
          <w:rtl/>
        </w:rPr>
        <w:t>ההיתר</w:t>
      </w:r>
      <w:r>
        <w:rPr>
          <w:rFonts w:cs="Arial" w:hint="cs"/>
          <w:rtl/>
        </w:rPr>
        <w:t>,</w:t>
      </w:r>
      <w:r w:rsidRPr="000B1F0F">
        <w:rPr>
          <w:rFonts w:cs="Arial"/>
          <w:rtl/>
        </w:rPr>
        <w:t xml:space="preserve"> </w:t>
      </w:r>
      <w:r w:rsidRPr="000B1F0F">
        <w:rPr>
          <w:rFonts w:cs="Arial" w:hint="cs"/>
          <w:rtl/>
        </w:rPr>
        <w:t>דאחזוקי</w:t>
      </w:r>
      <w:r w:rsidRPr="000B1F0F">
        <w:rPr>
          <w:rFonts w:cs="Arial"/>
          <w:rtl/>
        </w:rPr>
        <w:t xml:space="preserve"> </w:t>
      </w:r>
      <w:r w:rsidRPr="000B1F0F">
        <w:rPr>
          <w:rFonts w:cs="Arial" w:hint="cs"/>
          <w:rtl/>
        </w:rPr>
        <w:t>איסורא</w:t>
      </w:r>
      <w:r w:rsidRPr="000B1F0F">
        <w:rPr>
          <w:rFonts w:cs="Arial"/>
          <w:rtl/>
        </w:rPr>
        <w:t xml:space="preserve"> </w:t>
      </w:r>
      <w:r w:rsidRPr="000B1F0F">
        <w:rPr>
          <w:rFonts w:cs="Arial" w:hint="cs"/>
          <w:rtl/>
        </w:rPr>
        <w:t>לא</w:t>
      </w:r>
      <w:r w:rsidRPr="000B1F0F">
        <w:rPr>
          <w:rFonts w:cs="Arial"/>
          <w:rtl/>
        </w:rPr>
        <w:t xml:space="preserve"> </w:t>
      </w:r>
      <w:r w:rsidRPr="000B1F0F">
        <w:rPr>
          <w:rFonts w:cs="Arial" w:hint="cs"/>
          <w:rtl/>
        </w:rPr>
        <w:t>מחזקינן</w:t>
      </w:r>
      <w:r w:rsidRPr="000B1F0F">
        <w:rPr>
          <w:rFonts w:cs="Arial"/>
          <w:rtl/>
        </w:rPr>
        <w:t xml:space="preserve"> </w:t>
      </w:r>
      <w:r w:rsidRPr="000B1F0F">
        <w:rPr>
          <w:rFonts w:cs="Arial" w:hint="cs"/>
          <w:rtl/>
        </w:rPr>
        <w:t>כיון</w:t>
      </w:r>
      <w:r w:rsidRPr="000B1F0F">
        <w:rPr>
          <w:rFonts w:cs="Arial"/>
          <w:rtl/>
        </w:rPr>
        <w:t xml:space="preserve"> </w:t>
      </w:r>
      <w:r w:rsidRPr="000B1F0F">
        <w:rPr>
          <w:rFonts w:cs="Arial" w:hint="cs"/>
          <w:rtl/>
        </w:rPr>
        <w:t>שעכשיו</w:t>
      </w:r>
      <w:r w:rsidRPr="000B1F0F">
        <w:rPr>
          <w:rFonts w:cs="Arial"/>
          <w:rtl/>
        </w:rPr>
        <w:t xml:space="preserve"> </w:t>
      </w:r>
      <w:r w:rsidRPr="000B1F0F">
        <w:rPr>
          <w:rFonts w:cs="Arial" w:hint="cs"/>
          <w:rtl/>
        </w:rPr>
        <w:t>אין</w:t>
      </w:r>
      <w:r w:rsidRPr="000B1F0F">
        <w:rPr>
          <w:rFonts w:cs="Arial"/>
          <w:rtl/>
        </w:rPr>
        <w:t xml:space="preserve"> </w:t>
      </w:r>
      <w:r w:rsidRPr="000B1F0F">
        <w:rPr>
          <w:rFonts w:cs="Arial" w:hint="cs"/>
          <w:rtl/>
        </w:rPr>
        <w:t>ריעותא</w:t>
      </w:r>
      <w:r w:rsidRPr="000B1F0F">
        <w:rPr>
          <w:rFonts w:cs="Arial"/>
          <w:rtl/>
        </w:rPr>
        <w:t xml:space="preserve"> </w:t>
      </w:r>
      <w:r w:rsidRPr="000B1F0F">
        <w:rPr>
          <w:rFonts w:cs="Arial" w:hint="cs"/>
          <w:rtl/>
        </w:rPr>
        <w:t>ויש</w:t>
      </w:r>
      <w:r w:rsidRPr="000B1F0F">
        <w:rPr>
          <w:rFonts w:cs="Arial"/>
          <w:rtl/>
        </w:rPr>
        <w:t xml:space="preserve"> </w:t>
      </w:r>
      <w:r w:rsidRPr="000B1F0F">
        <w:rPr>
          <w:rFonts w:cs="Arial" w:hint="cs"/>
          <w:rtl/>
        </w:rPr>
        <w:t>ס</w:t>
      </w:r>
      <w:r w:rsidRPr="000B1F0F">
        <w:rPr>
          <w:rFonts w:cs="Arial"/>
          <w:rtl/>
        </w:rPr>
        <w:t xml:space="preserve">' </w:t>
      </w:r>
      <w:r w:rsidRPr="000B1F0F">
        <w:rPr>
          <w:rFonts w:cs="Arial" w:hint="cs"/>
          <w:sz w:val="16"/>
          <w:szCs w:val="16"/>
          <w:rtl/>
        </w:rPr>
        <w:t>(ובזה</w:t>
      </w:r>
      <w:r w:rsidRPr="000B1F0F">
        <w:rPr>
          <w:rFonts w:cs="Arial"/>
          <w:sz w:val="16"/>
          <w:szCs w:val="16"/>
          <w:rtl/>
        </w:rPr>
        <w:t xml:space="preserve"> </w:t>
      </w:r>
      <w:r w:rsidRPr="000B1F0F">
        <w:rPr>
          <w:rFonts w:cs="Arial" w:hint="cs"/>
          <w:sz w:val="16"/>
          <w:szCs w:val="16"/>
          <w:rtl/>
        </w:rPr>
        <w:t>מיושב</w:t>
      </w:r>
      <w:r w:rsidRPr="000B1F0F">
        <w:rPr>
          <w:rFonts w:cs="Arial"/>
          <w:sz w:val="16"/>
          <w:szCs w:val="16"/>
          <w:rtl/>
        </w:rPr>
        <w:t xml:space="preserve"> </w:t>
      </w:r>
      <w:r w:rsidRPr="000B1F0F">
        <w:rPr>
          <w:rFonts w:cs="Arial" w:hint="cs"/>
          <w:sz w:val="16"/>
          <w:szCs w:val="16"/>
          <w:rtl/>
        </w:rPr>
        <w:t>מה</w:t>
      </w:r>
      <w:r w:rsidRPr="000B1F0F">
        <w:rPr>
          <w:rFonts w:cs="Arial"/>
          <w:sz w:val="16"/>
          <w:szCs w:val="16"/>
          <w:rtl/>
        </w:rPr>
        <w:t xml:space="preserve"> </w:t>
      </w:r>
      <w:r w:rsidRPr="000B1F0F">
        <w:rPr>
          <w:rFonts w:cs="Arial" w:hint="cs"/>
          <w:sz w:val="16"/>
          <w:szCs w:val="16"/>
          <w:rtl/>
        </w:rPr>
        <w:t>שהאריך</w:t>
      </w:r>
      <w:r w:rsidRPr="000B1F0F">
        <w:rPr>
          <w:rFonts w:cs="Arial"/>
          <w:sz w:val="16"/>
          <w:szCs w:val="16"/>
          <w:rtl/>
        </w:rPr>
        <w:t xml:space="preserve"> </w:t>
      </w:r>
      <w:r w:rsidRPr="000B1F0F">
        <w:rPr>
          <w:rFonts w:cs="Arial" w:hint="cs"/>
          <w:sz w:val="16"/>
          <w:szCs w:val="16"/>
          <w:rtl/>
        </w:rPr>
        <w:t>בדרישה</w:t>
      </w:r>
      <w:r w:rsidRPr="000B1F0F">
        <w:rPr>
          <w:rFonts w:cs="Arial"/>
          <w:sz w:val="16"/>
          <w:szCs w:val="16"/>
          <w:rtl/>
        </w:rPr>
        <w:t xml:space="preserve"> </w:t>
      </w:r>
      <w:r w:rsidRPr="000B1F0F">
        <w:rPr>
          <w:rFonts w:cs="Arial" w:hint="cs"/>
          <w:sz w:val="16"/>
          <w:szCs w:val="16"/>
          <w:rtl/>
        </w:rPr>
        <w:t>להקשות</w:t>
      </w:r>
      <w:r w:rsidRPr="000B1F0F">
        <w:rPr>
          <w:rFonts w:cs="Arial"/>
          <w:sz w:val="16"/>
          <w:szCs w:val="16"/>
          <w:rtl/>
        </w:rPr>
        <w:t xml:space="preserve"> </w:t>
      </w:r>
      <w:r w:rsidRPr="000B1F0F">
        <w:rPr>
          <w:rFonts w:cs="Arial" w:hint="cs"/>
          <w:sz w:val="16"/>
          <w:szCs w:val="16"/>
          <w:rtl/>
        </w:rPr>
        <w:t>במה</w:t>
      </w:r>
      <w:r w:rsidRPr="000B1F0F">
        <w:rPr>
          <w:rFonts w:cs="Arial"/>
          <w:sz w:val="16"/>
          <w:szCs w:val="16"/>
          <w:rtl/>
        </w:rPr>
        <w:t xml:space="preserve"> </w:t>
      </w:r>
      <w:r w:rsidRPr="000B1F0F">
        <w:rPr>
          <w:rFonts w:cs="Arial" w:hint="cs"/>
          <w:sz w:val="16"/>
          <w:szCs w:val="16"/>
          <w:rtl/>
        </w:rPr>
        <w:t>שאנו</w:t>
      </w:r>
      <w:r w:rsidRPr="000B1F0F">
        <w:rPr>
          <w:rFonts w:cs="Arial"/>
          <w:sz w:val="16"/>
          <w:szCs w:val="16"/>
          <w:rtl/>
        </w:rPr>
        <w:t xml:space="preserve"> </w:t>
      </w:r>
      <w:r w:rsidRPr="000B1F0F">
        <w:rPr>
          <w:rFonts w:cs="Arial" w:hint="cs"/>
          <w:sz w:val="16"/>
          <w:szCs w:val="16"/>
          <w:rtl/>
        </w:rPr>
        <w:t>מצרפין</w:t>
      </w:r>
      <w:r w:rsidRPr="000B1F0F">
        <w:rPr>
          <w:rFonts w:cs="Arial"/>
          <w:sz w:val="16"/>
          <w:szCs w:val="16"/>
          <w:rtl/>
        </w:rPr>
        <w:t xml:space="preserve"> </w:t>
      </w:r>
      <w:r w:rsidRPr="000B1F0F">
        <w:rPr>
          <w:rFonts w:cs="Arial" w:hint="cs"/>
          <w:sz w:val="16"/>
          <w:szCs w:val="16"/>
          <w:rtl/>
        </w:rPr>
        <w:t>העצמות</w:t>
      </w:r>
      <w:r w:rsidRPr="000B1F0F">
        <w:rPr>
          <w:rFonts w:cs="Arial"/>
          <w:sz w:val="16"/>
          <w:szCs w:val="16"/>
          <w:rtl/>
        </w:rPr>
        <w:t xml:space="preserve"> </w:t>
      </w:r>
      <w:r w:rsidRPr="000B1F0F">
        <w:rPr>
          <w:rFonts w:cs="Arial" w:hint="cs"/>
          <w:sz w:val="16"/>
          <w:szCs w:val="16"/>
          <w:rtl/>
        </w:rPr>
        <w:t>אל</w:t>
      </w:r>
      <w:r w:rsidRPr="000B1F0F">
        <w:rPr>
          <w:rFonts w:cs="Arial"/>
          <w:sz w:val="16"/>
          <w:szCs w:val="16"/>
          <w:rtl/>
        </w:rPr>
        <w:t xml:space="preserve"> </w:t>
      </w:r>
      <w:r w:rsidRPr="000B1F0F">
        <w:rPr>
          <w:rFonts w:cs="Arial" w:hint="cs"/>
          <w:sz w:val="16"/>
          <w:szCs w:val="16"/>
          <w:rtl/>
        </w:rPr>
        <w:t>ההיתר</w:t>
      </w:r>
      <w:r w:rsidRPr="000B1F0F">
        <w:rPr>
          <w:rFonts w:cs="Arial"/>
          <w:sz w:val="16"/>
          <w:szCs w:val="16"/>
          <w:rtl/>
        </w:rPr>
        <w:t xml:space="preserve"> </w:t>
      </w:r>
      <w:r w:rsidRPr="000B1F0F">
        <w:rPr>
          <w:rFonts w:cs="Arial" w:hint="cs"/>
          <w:sz w:val="16"/>
          <w:szCs w:val="16"/>
          <w:rtl/>
        </w:rPr>
        <w:t>והם</w:t>
      </w:r>
      <w:r w:rsidRPr="000B1F0F">
        <w:rPr>
          <w:rFonts w:cs="Arial"/>
          <w:sz w:val="16"/>
          <w:szCs w:val="16"/>
          <w:rtl/>
        </w:rPr>
        <w:t xml:space="preserve"> </w:t>
      </w:r>
      <w:r w:rsidRPr="000B1F0F">
        <w:rPr>
          <w:rFonts w:cs="Arial" w:hint="cs"/>
          <w:sz w:val="16"/>
          <w:szCs w:val="16"/>
          <w:rtl/>
        </w:rPr>
        <w:t>אינם</w:t>
      </w:r>
      <w:r w:rsidRPr="000B1F0F">
        <w:rPr>
          <w:rFonts w:cs="Arial"/>
          <w:sz w:val="16"/>
          <w:szCs w:val="16"/>
          <w:rtl/>
        </w:rPr>
        <w:t xml:space="preserve"> </w:t>
      </w:r>
      <w:r w:rsidRPr="000B1F0F">
        <w:rPr>
          <w:rFonts w:cs="Arial" w:hint="cs"/>
          <w:sz w:val="16"/>
          <w:szCs w:val="16"/>
          <w:rtl/>
        </w:rPr>
        <w:t>מתמעטים</w:t>
      </w:r>
      <w:r w:rsidRPr="000B1F0F">
        <w:rPr>
          <w:rFonts w:cs="Arial"/>
          <w:sz w:val="16"/>
          <w:szCs w:val="16"/>
          <w:rtl/>
        </w:rPr>
        <w:t xml:space="preserve"> </w:t>
      </w:r>
      <w:r w:rsidRPr="000B1F0F">
        <w:rPr>
          <w:rFonts w:cs="Arial" w:hint="cs"/>
          <w:sz w:val="16"/>
          <w:szCs w:val="16"/>
          <w:rtl/>
        </w:rPr>
        <w:t>בבישול</w:t>
      </w:r>
      <w:r w:rsidRPr="000B1F0F">
        <w:rPr>
          <w:rFonts w:cs="Arial"/>
          <w:sz w:val="16"/>
          <w:szCs w:val="16"/>
          <w:rtl/>
        </w:rPr>
        <w:t xml:space="preserve"> </w:t>
      </w:r>
      <w:r w:rsidRPr="000B1F0F">
        <w:rPr>
          <w:rFonts w:cs="Arial" w:hint="cs"/>
          <w:sz w:val="16"/>
          <w:szCs w:val="16"/>
          <w:rtl/>
        </w:rPr>
        <w:t>והאיסור</w:t>
      </w:r>
      <w:r w:rsidRPr="000B1F0F">
        <w:rPr>
          <w:rFonts w:cs="Arial"/>
          <w:sz w:val="16"/>
          <w:szCs w:val="16"/>
          <w:rtl/>
        </w:rPr>
        <w:t xml:space="preserve"> </w:t>
      </w:r>
      <w:r w:rsidRPr="000B1F0F">
        <w:rPr>
          <w:rFonts w:cs="Arial" w:hint="cs"/>
          <w:sz w:val="16"/>
          <w:szCs w:val="16"/>
          <w:rtl/>
        </w:rPr>
        <w:t>אפשר</w:t>
      </w:r>
      <w:r w:rsidRPr="000B1F0F">
        <w:rPr>
          <w:rFonts w:cs="Arial"/>
          <w:sz w:val="16"/>
          <w:szCs w:val="16"/>
          <w:rtl/>
        </w:rPr>
        <w:t xml:space="preserve"> </w:t>
      </w:r>
      <w:r w:rsidRPr="000B1F0F">
        <w:rPr>
          <w:rFonts w:cs="Arial" w:hint="cs"/>
          <w:sz w:val="16"/>
          <w:szCs w:val="16"/>
          <w:rtl/>
        </w:rPr>
        <w:t>שהיה</w:t>
      </w:r>
      <w:r w:rsidRPr="000B1F0F">
        <w:rPr>
          <w:rFonts w:cs="Arial"/>
          <w:sz w:val="16"/>
          <w:szCs w:val="16"/>
          <w:rtl/>
        </w:rPr>
        <w:t xml:space="preserve"> </w:t>
      </w:r>
      <w:r w:rsidRPr="000B1F0F">
        <w:rPr>
          <w:rFonts w:cs="Arial" w:hint="cs"/>
          <w:sz w:val="16"/>
          <w:szCs w:val="16"/>
          <w:rtl/>
        </w:rPr>
        <w:t>יותר</w:t>
      </w:r>
      <w:r w:rsidRPr="000B1F0F">
        <w:rPr>
          <w:rFonts w:cs="Arial"/>
          <w:sz w:val="16"/>
          <w:szCs w:val="16"/>
          <w:rtl/>
        </w:rPr>
        <w:t xml:space="preserve"> </w:t>
      </w:r>
      <w:r w:rsidRPr="000B1F0F">
        <w:rPr>
          <w:rFonts w:cs="Arial" w:hint="cs"/>
          <w:sz w:val="16"/>
          <w:szCs w:val="16"/>
          <w:rtl/>
        </w:rPr>
        <w:t>ונתמעט</w:t>
      </w:r>
      <w:r w:rsidRPr="000B1F0F">
        <w:rPr>
          <w:rFonts w:cs="Arial"/>
          <w:sz w:val="16"/>
          <w:szCs w:val="16"/>
          <w:rtl/>
        </w:rPr>
        <w:t xml:space="preserve"> </w:t>
      </w:r>
      <w:r w:rsidRPr="000B1F0F">
        <w:rPr>
          <w:rFonts w:cs="Arial" w:hint="cs"/>
          <w:sz w:val="16"/>
          <w:szCs w:val="16"/>
          <w:rtl/>
        </w:rPr>
        <w:t>דמסתמא</w:t>
      </w:r>
      <w:r w:rsidRPr="000B1F0F">
        <w:rPr>
          <w:rFonts w:cs="Arial"/>
          <w:sz w:val="16"/>
          <w:szCs w:val="16"/>
          <w:rtl/>
        </w:rPr>
        <w:t xml:space="preserve"> </w:t>
      </w:r>
      <w:r w:rsidRPr="000B1F0F">
        <w:rPr>
          <w:rFonts w:cs="Arial" w:hint="cs"/>
          <w:sz w:val="16"/>
          <w:szCs w:val="16"/>
          <w:rtl/>
        </w:rPr>
        <w:t>אמרינן</w:t>
      </w:r>
      <w:r w:rsidRPr="000B1F0F">
        <w:rPr>
          <w:rFonts w:cs="Arial"/>
          <w:sz w:val="16"/>
          <w:szCs w:val="16"/>
          <w:rtl/>
        </w:rPr>
        <w:t xml:space="preserve"> </w:t>
      </w:r>
      <w:r w:rsidRPr="000B1F0F">
        <w:rPr>
          <w:rFonts w:cs="Arial" w:hint="cs"/>
          <w:sz w:val="16"/>
          <w:szCs w:val="16"/>
          <w:rtl/>
        </w:rPr>
        <w:t>כאשר</w:t>
      </w:r>
      <w:r w:rsidRPr="000B1F0F">
        <w:rPr>
          <w:rFonts w:cs="Arial"/>
          <w:sz w:val="16"/>
          <w:szCs w:val="16"/>
          <w:rtl/>
        </w:rPr>
        <w:t xml:space="preserve"> </w:t>
      </w:r>
      <w:r w:rsidRPr="000B1F0F">
        <w:rPr>
          <w:rFonts w:cs="Arial" w:hint="cs"/>
          <w:sz w:val="16"/>
          <w:szCs w:val="16"/>
          <w:rtl/>
        </w:rPr>
        <w:t>נמצא</w:t>
      </w:r>
      <w:r w:rsidRPr="000B1F0F">
        <w:rPr>
          <w:rFonts w:cs="Arial"/>
          <w:sz w:val="16"/>
          <w:szCs w:val="16"/>
          <w:rtl/>
        </w:rPr>
        <w:t xml:space="preserve"> </w:t>
      </w:r>
      <w:r w:rsidRPr="000B1F0F">
        <w:rPr>
          <w:rFonts w:cs="Arial" w:hint="cs"/>
          <w:sz w:val="16"/>
          <w:szCs w:val="16"/>
          <w:rtl/>
        </w:rPr>
        <w:t>כן</w:t>
      </w:r>
      <w:r w:rsidRPr="000B1F0F">
        <w:rPr>
          <w:rFonts w:cs="Arial"/>
          <w:sz w:val="16"/>
          <w:szCs w:val="16"/>
          <w:rtl/>
        </w:rPr>
        <w:t xml:space="preserve"> </w:t>
      </w:r>
      <w:r w:rsidRPr="000B1F0F">
        <w:rPr>
          <w:rFonts w:cs="Arial" w:hint="cs"/>
          <w:sz w:val="16"/>
          <w:szCs w:val="16"/>
          <w:rtl/>
        </w:rPr>
        <w:t>היה</w:t>
      </w:r>
      <w:r w:rsidRPr="000B1F0F">
        <w:rPr>
          <w:rFonts w:cs="Arial"/>
          <w:sz w:val="16"/>
          <w:szCs w:val="16"/>
          <w:rtl/>
        </w:rPr>
        <w:t xml:space="preserve"> </w:t>
      </w:r>
      <w:r w:rsidRPr="000B1F0F">
        <w:rPr>
          <w:rFonts w:cs="Arial" w:hint="cs"/>
          <w:sz w:val="16"/>
          <w:szCs w:val="16"/>
          <w:rtl/>
        </w:rPr>
        <w:t>כדי</w:t>
      </w:r>
      <w:r w:rsidRPr="000B1F0F">
        <w:rPr>
          <w:rFonts w:cs="Arial"/>
          <w:sz w:val="16"/>
          <w:szCs w:val="16"/>
          <w:rtl/>
        </w:rPr>
        <w:t xml:space="preserve"> </w:t>
      </w:r>
      <w:r w:rsidRPr="000B1F0F">
        <w:rPr>
          <w:rFonts w:cs="Arial" w:hint="cs"/>
          <w:sz w:val="16"/>
          <w:szCs w:val="16"/>
          <w:rtl/>
        </w:rPr>
        <w:t>שלא</w:t>
      </w:r>
      <w:r w:rsidRPr="000B1F0F">
        <w:rPr>
          <w:rFonts w:cs="Arial"/>
          <w:sz w:val="16"/>
          <w:szCs w:val="16"/>
          <w:rtl/>
        </w:rPr>
        <w:t xml:space="preserve"> </w:t>
      </w:r>
      <w:r w:rsidRPr="000B1F0F">
        <w:rPr>
          <w:rFonts w:cs="Arial" w:hint="cs"/>
          <w:sz w:val="16"/>
          <w:szCs w:val="16"/>
          <w:rtl/>
        </w:rPr>
        <w:t>לאחזוקי</w:t>
      </w:r>
      <w:r w:rsidRPr="000B1F0F">
        <w:rPr>
          <w:rFonts w:cs="Arial"/>
          <w:sz w:val="16"/>
          <w:szCs w:val="16"/>
          <w:rtl/>
        </w:rPr>
        <w:t xml:space="preserve"> </w:t>
      </w:r>
      <w:r w:rsidRPr="000B1F0F">
        <w:rPr>
          <w:rFonts w:cs="Arial" w:hint="cs"/>
          <w:sz w:val="16"/>
          <w:szCs w:val="16"/>
          <w:rtl/>
        </w:rPr>
        <w:t>ריעותא</w:t>
      </w:r>
      <w:r w:rsidRPr="000B1F0F">
        <w:rPr>
          <w:rFonts w:cs="Arial"/>
          <w:sz w:val="16"/>
          <w:szCs w:val="16"/>
          <w:rtl/>
        </w:rPr>
        <w:t xml:space="preserve"> </w:t>
      </w:r>
      <w:r w:rsidRPr="000B1F0F">
        <w:rPr>
          <w:rFonts w:cs="Arial" w:hint="cs"/>
          <w:sz w:val="16"/>
          <w:szCs w:val="16"/>
          <w:rtl/>
        </w:rPr>
        <w:t>לומר</w:t>
      </w:r>
      <w:r w:rsidRPr="000B1F0F">
        <w:rPr>
          <w:rFonts w:cs="Arial"/>
          <w:sz w:val="16"/>
          <w:szCs w:val="16"/>
          <w:rtl/>
        </w:rPr>
        <w:t xml:space="preserve"> </w:t>
      </w:r>
      <w:r w:rsidRPr="000B1F0F">
        <w:rPr>
          <w:rFonts w:cs="Arial" w:hint="cs"/>
          <w:sz w:val="16"/>
          <w:szCs w:val="16"/>
          <w:rtl/>
        </w:rPr>
        <w:t>שהיה</w:t>
      </w:r>
      <w:r w:rsidRPr="000B1F0F">
        <w:rPr>
          <w:rFonts w:cs="Arial"/>
          <w:sz w:val="16"/>
          <w:szCs w:val="16"/>
          <w:rtl/>
        </w:rPr>
        <w:t xml:space="preserve"> </w:t>
      </w:r>
      <w:r w:rsidRPr="000B1F0F">
        <w:rPr>
          <w:rFonts w:cs="Arial" w:hint="cs"/>
          <w:sz w:val="16"/>
          <w:szCs w:val="16"/>
          <w:rtl/>
        </w:rPr>
        <w:t>שינוי</w:t>
      </w:r>
      <w:r w:rsidRPr="000B1F0F">
        <w:rPr>
          <w:rFonts w:cs="Arial"/>
          <w:sz w:val="16"/>
          <w:szCs w:val="16"/>
          <w:rtl/>
        </w:rPr>
        <w:t xml:space="preserve"> </w:t>
      </w:r>
      <w:r w:rsidRPr="000B1F0F">
        <w:rPr>
          <w:rFonts w:cs="Arial" w:hint="cs"/>
          <w:sz w:val="16"/>
          <w:szCs w:val="16"/>
          <w:rtl/>
        </w:rPr>
        <w:t>בזה</w:t>
      </w:r>
      <w:r w:rsidRPr="000B1F0F">
        <w:rPr>
          <w:rFonts w:cs="Arial"/>
          <w:sz w:val="16"/>
          <w:szCs w:val="16"/>
          <w:rtl/>
        </w:rPr>
        <w:t xml:space="preserve"> </w:t>
      </w:r>
      <w:r w:rsidRPr="000B1F0F">
        <w:rPr>
          <w:rFonts w:cs="Arial" w:hint="cs"/>
          <w:sz w:val="16"/>
          <w:szCs w:val="16"/>
          <w:rtl/>
        </w:rPr>
        <w:t>הקדירה</w:t>
      </w:r>
      <w:r w:rsidRPr="000B1F0F">
        <w:rPr>
          <w:rFonts w:cs="Arial"/>
          <w:sz w:val="16"/>
          <w:szCs w:val="16"/>
          <w:rtl/>
        </w:rPr>
        <w:t xml:space="preserve"> </w:t>
      </w:r>
      <w:r w:rsidRPr="000B1F0F">
        <w:rPr>
          <w:rFonts w:cs="Arial" w:hint="cs"/>
          <w:sz w:val="16"/>
          <w:szCs w:val="16"/>
          <w:rtl/>
        </w:rPr>
        <w:t>תחלה</w:t>
      </w:r>
      <w:r w:rsidRPr="000B1F0F">
        <w:rPr>
          <w:rFonts w:cs="Arial"/>
          <w:sz w:val="16"/>
          <w:szCs w:val="16"/>
          <w:rtl/>
        </w:rPr>
        <w:t xml:space="preserve"> </w:t>
      </w:r>
      <w:r w:rsidRPr="000B1F0F">
        <w:rPr>
          <w:rFonts w:cs="Arial" w:hint="cs"/>
          <w:sz w:val="16"/>
          <w:szCs w:val="16"/>
          <w:rtl/>
        </w:rPr>
        <w:t>ממה</w:t>
      </w:r>
      <w:r w:rsidRPr="000B1F0F">
        <w:rPr>
          <w:rFonts w:cs="Arial"/>
          <w:sz w:val="16"/>
          <w:szCs w:val="16"/>
          <w:rtl/>
        </w:rPr>
        <w:t xml:space="preserve"> </w:t>
      </w:r>
      <w:r w:rsidRPr="000B1F0F">
        <w:rPr>
          <w:rFonts w:cs="Arial" w:hint="cs"/>
          <w:sz w:val="16"/>
          <w:szCs w:val="16"/>
          <w:rtl/>
        </w:rPr>
        <w:t>שיש</w:t>
      </w:r>
      <w:r w:rsidRPr="000B1F0F">
        <w:rPr>
          <w:rFonts w:cs="Arial"/>
          <w:sz w:val="16"/>
          <w:szCs w:val="16"/>
          <w:rtl/>
        </w:rPr>
        <w:t xml:space="preserve"> </w:t>
      </w:r>
      <w:r w:rsidRPr="000B1F0F">
        <w:rPr>
          <w:rFonts w:cs="Arial" w:hint="cs"/>
          <w:sz w:val="16"/>
          <w:szCs w:val="16"/>
          <w:rtl/>
        </w:rPr>
        <w:t>עכשיו</w:t>
      </w:r>
      <w:r w:rsidRPr="000B1F0F">
        <w:rPr>
          <w:rFonts w:cs="Arial"/>
          <w:sz w:val="16"/>
          <w:szCs w:val="16"/>
          <w:rtl/>
        </w:rPr>
        <w:t xml:space="preserve"> </w:t>
      </w:r>
      <w:r w:rsidRPr="000B1F0F">
        <w:rPr>
          <w:rFonts w:cs="Arial" w:hint="cs"/>
          <w:sz w:val="16"/>
          <w:szCs w:val="16"/>
          <w:rtl/>
        </w:rPr>
        <w:t>ומ</w:t>
      </w:r>
      <w:r w:rsidRPr="000B1F0F">
        <w:rPr>
          <w:rFonts w:cs="Arial"/>
          <w:sz w:val="16"/>
          <w:szCs w:val="16"/>
          <w:rtl/>
        </w:rPr>
        <w:t>"</w:t>
      </w:r>
      <w:r w:rsidRPr="000B1F0F">
        <w:rPr>
          <w:rFonts w:cs="Arial" w:hint="cs"/>
          <w:sz w:val="16"/>
          <w:szCs w:val="16"/>
          <w:rtl/>
        </w:rPr>
        <w:t>ש</w:t>
      </w:r>
      <w:r w:rsidRPr="000B1F0F">
        <w:rPr>
          <w:rFonts w:cs="Arial"/>
          <w:sz w:val="16"/>
          <w:szCs w:val="16"/>
          <w:rtl/>
        </w:rPr>
        <w:t xml:space="preserve"> </w:t>
      </w:r>
      <w:r w:rsidRPr="000B1F0F">
        <w:rPr>
          <w:rFonts w:cs="Arial" w:hint="cs"/>
          <w:sz w:val="16"/>
          <w:szCs w:val="16"/>
          <w:rtl/>
        </w:rPr>
        <w:t>הטור</w:t>
      </w:r>
      <w:r w:rsidRPr="000B1F0F">
        <w:rPr>
          <w:rFonts w:cs="Arial"/>
          <w:sz w:val="16"/>
          <w:szCs w:val="16"/>
          <w:rtl/>
        </w:rPr>
        <w:t xml:space="preserve"> </w:t>
      </w:r>
      <w:r w:rsidRPr="000B1F0F">
        <w:rPr>
          <w:rFonts w:cs="Arial" w:hint="cs"/>
          <w:sz w:val="16"/>
          <w:szCs w:val="16"/>
          <w:rtl/>
        </w:rPr>
        <w:t>שגם</w:t>
      </w:r>
      <w:r w:rsidRPr="000B1F0F">
        <w:rPr>
          <w:rFonts w:cs="Arial"/>
          <w:sz w:val="16"/>
          <w:szCs w:val="16"/>
          <w:rtl/>
        </w:rPr>
        <w:t xml:space="preserve"> </w:t>
      </w:r>
      <w:r w:rsidRPr="000B1F0F">
        <w:rPr>
          <w:rFonts w:cs="Arial" w:hint="cs"/>
          <w:sz w:val="16"/>
          <w:szCs w:val="16"/>
          <w:rtl/>
        </w:rPr>
        <w:t>האיסור</w:t>
      </w:r>
      <w:r w:rsidRPr="000B1F0F">
        <w:rPr>
          <w:rFonts w:cs="Arial"/>
          <w:sz w:val="16"/>
          <w:szCs w:val="16"/>
          <w:rtl/>
        </w:rPr>
        <w:t xml:space="preserve"> </w:t>
      </w:r>
      <w:r w:rsidRPr="000B1F0F">
        <w:rPr>
          <w:rFonts w:cs="Arial" w:hint="cs"/>
          <w:sz w:val="16"/>
          <w:szCs w:val="16"/>
          <w:rtl/>
        </w:rPr>
        <w:t>היה</w:t>
      </w:r>
      <w:r w:rsidRPr="000B1F0F">
        <w:rPr>
          <w:rFonts w:cs="Arial"/>
          <w:sz w:val="16"/>
          <w:szCs w:val="16"/>
          <w:rtl/>
        </w:rPr>
        <w:t xml:space="preserve"> </w:t>
      </w:r>
      <w:r w:rsidRPr="000B1F0F">
        <w:rPr>
          <w:rFonts w:cs="Arial" w:hint="cs"/>
          <w:sz w:val="16"/>
          <w:szCs w:val="16"/>
          <w:rtl/>
        </w:rPr>
        <w:t>יותר</w:t>
      </w:r>
      <w:r w:rsidRPr="000B1F0F">
        <w:rPr>
          <w:rFonts w:cs="Arial"/>
          <w:sz w:val="16"/>
          <w:szCs w:val="16"/>
          <w:rtl/>
        </w:rPr>
        <w:t xml:space="preserve"> </w:t>
      </w:r>
      <w:r w:rsidRPr="000B1F0F">
        <w:rPr>
          <w:rFonts w:cs="Arial" w:hint="cs"/>
          <w:sz w:val="16"/>
          <w:szCs w:val="16"/>
          <w:rtl/>
        </w:rPr>
        <w:t>כו</w:t>
      </w:r>
      <w:r w:rsidRPr="000B1F0F">
        <w:rPr>
          <w:rFonts w:cs="Arial"/>
          <w:sz w:val="16"/>
          <w:szCs w:val="16"/>
          <w:rtl/>
        </w:rPr>
        <w:t xml:space="preserve">' </w:t>
      </w:r>
      <w:r w:rsidRPr="000B1F0F">
        <w:rPr>
          <w:rFonts w:cs="Arial" w:hint="cs"/>
          <w:sz w:val="16"/>
          <w:szCs w:val="16"/>
          <w:rtl/>
        </w:rPr>
        <w:t>היינו</w:t>
      </w:r>
      <w:r w:rsidRPr="000B1F0F">
        <w:rPr>
          <w:rFonts w:cs="Arial"/>
          <w:sz w:val="16"/>
          <w:szCs w:val="16"/>
          <w:rtl/>
        </w:rPr>
        <w:t xml:space="preserve"> </w:t>
      </w:r>
      <w:r w:rsidRPr="000B1F0F">
        <w:rPr>
          <w:rFonts w:cs="Arial" w:hint="cs"/>
          <w:sz w:val="16"/>
          <w:szCs w:val="16"/>
          <w:rtl/>
        </w:rPr>
        <w:t>כיון</w:t>
      </w:r>
      <w:r w:rsidRPr="000B1F0F">
        <w:rPr>
          <w:rFonts w:cs="Arial"/>
          <w:sz w:val="16"/>
          <w:szCs w:val="16"/>
          <w:rtl/>
        </w:rPr>
        <w:t xml:space="preserve"> </w:t>
      </w:r>
      <w:r w:rsidRPr="000B1F0F">
        <w:rPr>
          <w:rFonts w:cs="Arial" w:hint="cs"/>
          <w:sz w:val="16"/>
          <w:szCs w:val="16"/>
          <w:rtl/>
        </w:rPr>
        <w:t>שאתה</w:t>
      </w:r>
      <w:r w:rsidRPr="000B1F0F">
        <w:rPr>
          <w:rFonts w:cs="Arial"/>
          <w:sz w:val="16"/>
          <w:szCs w:val="16"/>
          <w:rtl/>
        </w:rPr>
        <w:t xml:space="preserve"> </w:t>
      </w:r>
      <w:r w:rsidRPr="000B1F0F">
        <w:rPr>
          <w:rFonts w:cs="Arial" w:hint="cs"/>
          <w:sz w:val="16"/>
          <w:szCs w:val="16"/>
          <w:rtl/>
        </w:rPr>
        <w:t>רוצה</w:t>
      </w:r>
      <w:r w:rsidRPr="000B1F0F">
        <w:rPr>
          <w:rFonts w:cs="Arial"/>
          <w:sz w:val="16"/>
          <w:szCs w:val="16"/>
          <w:rtl/>
        </w:rPr>
        <w:t xml:space="preserve"> </w:t>
      </w:r>
      <w:r w:rsidRPr="000B1F0F">
        <w:rPr>
          <w:rFonts w:cs="Arial" w:hint="cs"/>
          <w:sz w:val="16"/>
          <w:szCs w:val="16"/>
          <w:rtl/>
        </w:rPr>
        <w:t>להקל</w:t>
      </w:r>
      <w:r w:rsidRPr="000B1F0F">
        <w:rPr>
          <w:rFonts w:cs="Arial"/>
          <w:sz w:val="16"/>
          <w:szCs w:val="16"/>
          <w:rtl/>
        </w:rPr>
        <w:t xml:space="preserve"> </w:t>
      </w:r>
      <w:r w:rsidRPr="000B1F0F">
        <w:rPr>
          <w:rFonts w:cs="Arial" w:hint="cs"/>
          <w:sz w:val="16"/>
          <w:szCs w:val="16"/>
          <w:rtl/>
        </w:rPr>
        <w:t>בקדרה</w:t>
      </w:r>
      <w:r w:rsidRPr="000B1F0F">
        <w:rPr>
          <w:rFonts w:cs="Arial"/>
          <w:sz w:val="16"/>
          <w:szCs w:val="16"/>
          <w:rtl/>
        </w:rPr>
        <w:t xml:space="preserve"> </w:t>
      </w:r>
      <w:r w:rsidRPr="000B1F0F">
        <w:rPr>
          <w:rFonts w:cs="Arial" w:hint="cs"/>
          <w:sz w:val="16"/>
          <w:szCs w:val="16"/>
          <w:rtl/>
        </w:rPr>
        <w:t>זאת</w:t>
      </w:r>
      <w:r w:rsidRPr="000B1F0F">
        <w:rPr>
          <w:rFonts w:cs="Arial"/>
          <w:sz w:val="16"/>
          <w:szCs w:val="16"/>
          <w:rtl/>
        </w:rPr>
        <w:t xml:space="preserve"> </w:t>
      </w:r>
      <w:r w:rsidRPr="000B1F0F">
        <w:rPr>
          <w:rFonts w:cs="Arial" w:hint="cs"/>
          <w:sz w:val="16"/>
          <w:szCs w:val="16"/>
          <w:rtl/>
        </w:rPr>
        <w:t>ולחשוב</w:t>
      </w:r>
      <w:r w:rsidRPr="000B1F0F">
        <w:rPr>
          <w:rFonts w:cs="Arial"/>
          <w:sz w:val="16"/>
          <w:szCs w:val="16"/>
          <w:rtl/>
        </w:rPr>
        <w:t xml:space="preserve"> </w:t>
      </w:r>
      <w:r w:rsidRPr="000B1F0F">
        <w:rPr>
          <w:rFonts w:cs="Arial" w:hint="cs"/>
          <w:sz w:val="16"/>
          <w:szCs w:val="16"/>
          <w:rtl/>
        </w:rPr>
        <w:t>גם</w:t>
      </w:r>
      <w:r w:rsidRPr="000B1F0F">
        <w:rPr>
          <w:rFonts w:cs="Arial"/>
          <w:sz w:val="16"/>
          <w:szCs w:val="16"/>
          <w:rtl/>
        </w:rPr>
        <w:t xml:space="preserve"> </w:t>
      </w:r>
      <w:r w:rsidRPr="000B1F0F">
        <w:rPr>
          <w:rFonts w:cs="Arial" w:hint="cs"/>
          <w:sz w:val="16"/>
          <w:szCs w:val="16"/>
          <w:rtl/>
        </w:rPr>
        <w:t>הבלוע</w:t>
      </w:r>
      <w:r w:rsidRPr="000B1F0F">
        <w:rPr>
          <w:rFonts w:cs="Arial"/>
          <w:sz w:val="16"/>
          <w:szCs w:val="16"/>
          <w:rtl/>
        </w:rPr>
        <w:t xml:space="preserve"> </w:t>
      </w:r>
      <w:r w:rsidRPr="000B1F0F">
        <w:rPr>
          <w:rFonts w:cs="Arial" w:hint="cs"/>
          <w:sz w:val="16"/>
          <w:szCs w:val="16"/>
          <w:rtl/>
        </w:rPr>
        <w:t>כיון</w:t>
      </w:r>
      <w:r w:rsidRPr="000B1F0F">
        <w:rPr>
          <w:rFonts w:cs="Arial"/>
          <w:sz w:val="16"/>
          <w:szCs w:val="16"/>
          <w:rtl/>
        </w:rPr>
        <w:t xml:space="preserve"> </w:t>
      </w:r>
      <w:r w:rsidRPr="000B1F0F">
        <w:rPr>
          <w:rFonts w:cs="Arial" w:hint="cs"/>
          <w:sz w:val="16"/>
          <w:szCs w:val="16"/>
          <w:rtl/>
        </w:rPr>
        <w:t>שידוע</w:t>
      </w:r>
      <w:r w:rsidRPr="000B1F0F">
        <w:rPr>
          <w:rFonts w:cs="Arial"/>
          <w:sz w:val="16"/>
          <w:szCs w:val="16"/>
          <w:rtl/>
        </w:rPr>
        <w:t xml:space="preserve"> </w:t>
      </w:r>
      <w:r w:rsidRPr="000B1F0F">
        <w:rPr>
          <w:rFonts w:cs="Arial" w:hint="cs"/>
          <w:sz w:val="16"/>
          <w:szCs w:val="16"/>
          <w:rtl/>
        </w:rPr>
        <w:t>שהיה</w:t>
      </w:r>
      <w:r w:rsidRPr="000B1F0F">
        <w:rPr>
          <w:rFonts w:cs="Arial"/>
          <w:sz w:val="16"/>
          <w:szCs w:val="16"/>
          <w:rtl/>
        </w:rPr>
        <w:t xml:space="preserve"> </w:t>
      </w:r>
      <w:r w:rsidRPr="000B1F0F">
        <w:rPr>
          <w:rFonts w:cs="Arial" w:hint="cs"/>
          <w:sz w:val="16"/>
          <w:szCs w:val="16"/>
          <w:rtl/>
        </w:rPr>
        <w:t>בתחלה</w:t>
      </w:r>
      <w:r w:rsidRPr="000B1F0F">
        <w:rPr>
          <w:rFonts w:cs="Arial"/>
          <w:sz w:val="16"/>
          <w:szCs w:val="16"/>
          <w:rtl/>
        </w:rPr>
        <w:t xml:space="preserve"> </w:t>
      </w:r>
      <w:r w:rsidRPr="000B1F0F">
        <w:rPr>
          <w:rFonts w:cs="Arial" w:hint="cs"/>
          <w:sz w:val="16"/>
          <w:szCs w:val="16"/>
          <w:rtl/>
        </w:rPr>
        <w:t>יותר</w:t>
      </w:r>
      <w:r w:rsidRPr="000B1F0F">
        <w:rPr>
          <w:rFonts w:cs="Arial"/>
          <w:sz w:val="16"/>
          <w:szCs w:val="16"/>
          <w:rtl/>
        </w:rPr>
        <w:t xml:space="preserve"> </w:t>
      </w:r>
      <w:r w:rsidRPr="000B1F0F">
        <w:rPr>
          <w:rFonts w:cs="Arial" w:hint="cs"/>
          <w:sz w:val="16"/>
          <w:szCs w:val="16"/>
          <w:rtl/>
        </w:rPr>
        <w:t>א</w:t>
      </w:r>
      <w:r w:rsidRPr="000B1F0F">
        <w:rPr>
          <w:rFonts w:cs="Arial"/>
          <w:sz w:val="16"/>
          <w:szCs w:val="16"/>
          <w:rtl/>
        </w:rPr>
        <w:t>"</w:t>
      </w:r>
      <w:r w:rsidRPr="000B1F0F">
        <w:rPr>
          <w:rFonts w:cs="Arial" w:hint="cs"/>
          <w:sz w:val="16"/>
          <w:szCs w:val="16"/>
          <w:rtl/>
        </w:rPr>
        <w:t>כ</w:t>
      </w:r>
      <w:r w:rsidRPr="000B1F0F">
        <w:rPr>
          <w:rFonts w:cs="Arial"/>
          <w:sz w:val="16"/>
          <w:szCs w:val="16"/>
          <w:rtl/>
        </w:rPr>
        <w:t xml:space="preserve"> </w:t>
      </w:r>
      <w:r w:rsidRPr="000B1F0F">
        <w:rPr>
          <w:rFonts w:cs="Arial" w:hint="cs"/>
          <w:sz w:val="16"/>
          <w:szCs w:val="16"/>
          <w:rtl/>
        </w:rPr>
        <w:t>נימא</w:t>
      </w:r>
      <w:r w:rsidRPr="000B1F0F">
        <w:rPr>
          <w:rFonts w:cs="Arial"/>
          <w:sz w:val="16"/>
          <w:szCs w:val="16"/>
          <w:rtl/>
        </w:rPr>
        <w:t xml:space="preserve"> </w:t>
      </w:r>
      <w:r w:rsidRPr="000B1F0F">
        <w:rPr>
          <w:rFonts w:cs="Arial" w:hint="cs"/>
          <w:sz w:val="16"/>
          <w:szCs w:val="16"/>
          <w:rtl/>
        </w:rPr>
        <w:t>לך</w:t>
      </w:r>
      <w:r w:rsidRPr="000B1F0F">
        <w:rPr>
          <w:rFonts w:cs="Arial"/>
          <w:sz w:val="16"/>
          <w:szCs w:val="16"/>
          <w:rtl/>
        </w:rPr>
        <w:t xml:space="preserve"> </w:t>
      </w:r>
      <w:r w:rsidRPr="000B1F0F">
        <w:rPr>
          <w:rFonts w:cs="Arial" w:hint="cs"/>
          <w:sz w:val="16"/>
          <w:szCs w:val="16"/>
          <w:rtl/>
        </w:rPr>
        <w:t>שגם</w:t>
      </w:r>
      <w:r w:rsidRPr="000B1F0F">
        <w:rPr>
          <w:rFonts w:cs="Arial"/>
          <w:sz w:val="16"/>
          <w:szCs w:val="16"/>
          <w:rtl/>
        </w:rPr>
        <w:t xml:space="preserve"> </w:t>
      </w:r>
      <w:r w:rsidRPr="000B1F0F">
        <w:rPr>
          <w:rFonts w:cs="Arial" w:hint="cs"/>
          <w:sz w:val="16"/>
          <w:szCs w:val="16"/>
          <w:rtl/>
        </w:rPr>
        <w:t>באיסור</w:t>
      </w:r>
      <w:r w:rsidRPr="000B1F0F">
        <w:rPr>
          <w:rFonts w:cs="Arial"/>
          <w:sz w:val="16"/>
          <w:szCs w:val="16"/>
          <w:rtl/>
        </w:rPr>
        <w:t xml:space="preserve"> </w:t>
      </w:r>
      <w:r w:rsidRPr="000B1F0F">
        <w:rPr>
          <w:rFonts w:cs="Arial" w:hint="cs"/>
          <w:sz w:val="16"/>
          <w:szCs w:val="16"/>
          <w:rtl/>
        </w:rPr>
        <w:t>היה</w:t>
      </w:r>
      <w:r w:rsidRPr="000B1F0F">
        <w:rPr>
          <w:rFonts w:cs="Arial"/>
          <w:sz w:val="16"/>
          <w:szCs w:val="16"/>
          <w:rtl/>
        </w:rPr>
        <w:t xml:space="preserve"> </w:t>
      </w:r>
      <w:r w:rsidRPr="000B1F0F">
        <w:rPr>
          <w:rFonts w:cs="Arial" w:hint="cs"/>
          <w:sz w:val="16"/>
          <w:szCs w:val="16"/>
          <w:rtl/>
        </w:rPr>
        <w:t>יותר</w:t>
      </w:r>
      <w:r w:rsidRPr="000B1F0F">
        <w:rPr>
          <w:rFonts w:cs="Arial"/>
          <w:sz w:val="16"/>
          <w:szCs w:val="16"/>
          <w:rtl/>
        </w:rPr>
        <w:t xml:space="preserve"> </w:t>
      </w:r>
      <w:r w:rsidRPr="000B1F0F">
        <w:rPr>
          <w:rFonts w:cs="Arial" w:hint="cs"/>
          <w:sz w:val="16"/>
          <w:szCs w:val="16"/>
          <w:rtl/>
        </w:rPr>
        <w:t>בקדרה</w:t>
      </w:r>
      <w:r w:rsidRPr="000B1F0F">
        <w:rPr>
          <w:rFonts w:cs="Arial"/>
          <w:sz w:val="16"/>
          <w:szCs w:val="16"/>
          <w:rtl/>
        </w:rPr>
        <w:t xml:space="preserve"> </w:t>
      </w:r>
      <w:r w:rsidRPr="000B1F0F">
        <w:rPr>
          <w:rFonts w:cs="Arial" w:hint="cs"/>
          <w:sz w:val="16"/>
          <w:szCs w:val="16"/>
          <w:rtl/>
        </w:rPr>
        <w:t>זו</w:t>
      </w:r>
      <w:r w:rsidRPr="000B1F0F">
        <w:rPr>
          <w:rFonts w:cs="Arial"/>
          <w:sz w:val="16"/>
          <w:szCs w:val="16"/>
          <w:rtl/>
        </w:rPr>
        <w:t xml:space="preserve"> </w:t>
      </w:r>
      <w:r w:rsidRPr="000B1F0F">
        <w:rPr>
          <w:rFonts w:cs="Arial" w:hint="cs"/>
          <w:sz w:val="16"/>
          <w:szCs w:val="16"/>
          <w:rtl/>
        </w:rPr>
        <w:t>כיון</w:t>
      </w:r>
      <w:r w:rsidRPr="000B1F0F">
        <w:rPr>
          <w:rFonts w:cs="Arial"/>
          <w:sz w:val="16"/>
          <w:szCs w:val="16"/>
          <w:rtl/>
        </w:rPr>
        <w:t xml:space="preserve"> </w:t>
      </w:r>
      <w:r w:rsidRPr="000B1F0F">
        <w:rPr>
          <w:rFonts w:cs="Arial" w:hint="cs"/>
          <w:sz w:val="16"/>
          <w:szCs w:val="16"/>
          <w:rtl/>
        </w:rPr>
        <w:t>שאינו</w:t>
      </w:r>
      <w:r w:rsidRPr="000B1F0F">
        <w:rPr>
          <w:rFonts w:cs="Arial"/>
          <w:sz w:val="16"/>
          <w:szCs w:val="16"/>
          <w:rtl/>
        </w:rPr>
        <w:t xml:space="preserve"> </w:t>
      </w:r>
      <w:r w:rsidRPr="000B1F0F">
        <w:rPr>
          <w:rFonts w:cs="Arial" w:hint="cs"/>
          <w:sz w:val="16"/>
          <w:szCs w:val="16"/>
          <w:rtl/>
        </w:rPr>
        <w:t>כקדרה</w:t>
      </w:r>
      <w:r w:rsidRPr="000B1F0F">
        <w:rPr>
          <w:rFonts w:cs="Arial"/>
          <w:sz w:val="16"/>
          <w:szCs w:val="16"/>
          <w:rtl/>
        </w:rPr>
        <w:t xml:space="preserve"> </w:t>
      </w:r>
      <w:r w:rsidRPr="000B1F0F">
        <w:rPr>
          <w:rFonts w:cs="Arial" w:hint="cs"/>
          <w:sz w:val="16"/>
          <w:szCs w:val="16"/>
          <w:rtl/>
        </w:rPr>
        <w:t>דעלמא</w:t>
      </w:r>
      <w:r w:rsidRPr="000B1F0F">
        <w:rPr>
          <w:rFonts w:cs="Arial"/>
          <w:sz w:val="16"/>
          <w:szCs w:val="16"/>
          <w:rtl/>
        </w:rPr>
        <w:t xml:space="preserve"> </w:t>
      </w:r>
      <w:r w:rsidRPr="000B1F0F">
        <w:rPr>
          <w:rFonts w:cs="Arial" w:hint="cs"/>
          <w:sz w:val="16"/>
          <w:szCs w:val="16"/>
          <w:rtl/>
        </w:rPr>
        <w:t>ובחנם</w:t>
      </w:r>
      <w:r w:rsidRPr="000B1F0F">
        <w:rPr>
          <w:rFonts w:cs="Arial"/>
          <w:sz w:val="16"/>
          <w:szCs w:val="16"/>
          <w:rtl/>
        </w:rPr>
        <w:t xml:space="preserve"> </w:t>
      </w:r>
      <w:r w:rsidRPr="000B1F0F">
        <w:rPr>
          <w:rFonts w:cs="Arial" w:hint="cs"/>
          <w:sz w:val="16"/>
          <w:szCs w:val="16"/>
          <w:rtl/>
        </w:rPr>
        <w:t>טרח</w:t>
      </w:r>
      <w:r w:rsidRPr="000B1F0F">
        <w:rPr>
          <w:rFonts w:cs="Arial"/>
          <w:sz w:val="16"/>
          <w:szCs w:val="16"/>
          <w:rtl/>
        </w:rPr>
        <w:t xml:space="preserve"> </w:t>
      </w:r>
      <w:r w:rsidRPr="000B1F0F">
        <w:rPr>
          <w:rFonts w:cs="Arial" w:hint="cs"/>
          <w:sz w:val="16"/>
          <w:szCs w:val="16"/>
          <w:rtl/>
        </w:rPr>
        <w:t>הרב</w:t>
      </w:r>
      <w:r w:rsidRPr="000B1F0F">
        <w:rPr>
          <w:rFonts w:cs="Arial"/>
          <w:sz w:val="16"/>
          <w:szCs w:val="16"/>
          <w:rtl/>
        </w:rPr>
        <w:t xml:space="preserve"> </w:t>
      </w:r>
      <w:r>
        <w:rPr>
          <w:rFonts w:cs="Arial" w:hint="cs"/>
          <w:sz w:val="16"/>
          <w:szCs w:val="16"/>
          <w:rtl/>
        </w:rPr>
        <w:t xml:space="preserve">{הדרישה} </w:t>
      </w:r>
      <w:r w:rsidRPr="000B1F0F">
        <w:rPr>
          <w:rFonts w:cs="Arial" w:hint="cs"/>
          <w:sz w:val="16"/>
          <w:szCs w:val="16"/>
          <w:rtl/>
        </w:rPr>
        <w:t>בזה</w:t>
      </w:r>
      <w:r>
        <w:rPr>
          <w:rFonts w:cs="Arial" w:hint="cs"/>
          <w:sz w:val="16"/>
          <w:szCs w:val="16"/>
          <w:rtl/>
        </w:rPr>
        <w:t>)</w:t>
      </w:r>
      <w:r>
        <w:rPr>
          <w:rFonts w:cs="Arial" w:hint="cs"/>
          <w:rtl/>
        </w:rPr>
        <w:t>, ט"ז (סק"ה).</w:t>
      </w:r>
    </w:p>
  </w:footnote>
  <w:footnote w:id="1877">
    <w:p w14:paraId="0393DFEA" w14:textId="77777777" w:rsidR="004C5A3C" w:rsidRPr="00E4712D" w:rsidRDefault="004C5A3C" w:rsidP="002C39F4">
      <w:pPr>
        <w:pStyle w:val="a5"/>
        <w:rPr>
          <w:rFonts w:cs="Arial"/>
          <w:rtl/>
        </w:rPr>
      </w:pPr>
      <w:r>
        <w:rPr>
          <w:rStyle w:val="a7"/>
        </w:rPr>
        <w:footnoteRef/>
      </w:r>
      <w:r>
        <w:rPr>
          <w:rtl/>
        </w:rPr>
        <w:t xml:space="preserve"> </w:t>
      </w:r>
      <w:r w:rsidRPr="00E4712D">
        <w:rPr>
          <w:rFonts w:cs="Arial"/>
          <w:rtl/>
        </w:rPr>
        <w:t xml:space="preserve">טעמא דספר המצות דחיישינן </w:t>
      </w:r>
      <w:r>
        <w:rPr>
          <w:rFonts w:cs="Arial"/>
          <w:rtl/>
        </w:rPr>
        <w:t xml:space="preserve">שמא במה שהיה בקדרה תחלה לא היה </w:t>
      </w:r>
      <w:r>
        <w:rPr>
          <w:rFonts w:cs="Arial" w:hint="cs"/>
          <w:rtl/>
        </w:rPr>
        <w:t>ס'</w:t>
      </w:r>
      <w:r>
        <w:rPr>
          <w:rFonts w:cs="Arial"/>
          <w:rtl/>
        </w:rPr>
        <w:t xml:space="preserve"> כנגד האיסור ונעשה הכל חתיכת נבלה וכשירבה עליו היתר צריך </w:t>
      </w:r>
      <w:r>
        <w:rPr>
          <w:rFonts w:cs="Arial" w:hint="cs"/>
          <w:rtl/>
        </w:rPr>
        <w:t>ס'</w:t>
      </w:r>
      <w:r>
        <w:rPr>
          <w:rFonts w:cs="Arial"/>
          <w:rtl/>
        </w:rPr>
        <w:t xml:space="preserve"> כנגד כל מה שבקדרה</w:t>
      </w:r>
      <w:r>
        <w:rPr>
          <w:rFonts w:cs="Arial" w:hint="cs"/>
          <w:rtl/>
        </w:rPr>
        <w:t>,</w:t>
      </w:r>
      <w:r>
        <w:rPr>
          <w:rFonts w:cs="Arial"/>
          <w:rtl/>
        </w:rPr>
        <w:t xml:space="preserve"> והשתא נפקא לן טובא בחקירה זו</w:t>
      </w:r>
      <w:r>
        <w:rPr>
          <w:rFonts w:cs="Arial" w:hint="cs"/>
          <w:rtl/>
        </w:rPr>
        <w:t>,</w:t>
      </w:r>
      <w:r>
        <w:rPr>
          <w:rFonts w:cs="Arial"/>
          <w:rtl/>
        </w:rPr>
        <w:t xml:space="preserve"> שאם לא יחקור ודאי יתיר אותה כיון שימצא שיש במה שבקדרה ששים כנגד חתיכת האיסור</w:t>
      </w:r>
      <w:r>
        <w:rPr>
          <w:rFonts w:cs="Arial" w:hint="cs"/>
          <w:rtl/>
        </w:rPr>
        <w:t>,</w:t>
      </w:r>
      <w:r>
        <w:rPr>
          <w:rFonts w:cs="Arial"/>
          <w:rtl/>
        </w:rPr>
        <w:t xml:space="preserve"> וכשיודע לו שנתנו מים בקדרה אחר שנפל בה האיסור אפשר שכשיסיר שיעור אותם המים ממה שבקדרה לא היה במה שבקדרה </w:t>
      </w:r>
      <w:r>
        <w:rPr>
          <w:rFonts w:cs="Arial" w:hint="cs"/>
          <w:rtl/>
        </w:rPr>
        <w:t>ס'</w:t>
      </w:r>
      <w:r>
        <w:rPr>
          <w:rFonts w:cs="Arial"/>
          <w:rtl/>
        </w:rPr>
        <w:t xml:space="preserve"> כנגד חתיכת האיסור ונעשה כל מה שבקדרה חתיכת נבלה וצריך </w:t>
      </w:r>
      <w:r>
        <w:rPr>
          <w:rFonts w:cs="Arial" w:hint="cs"/>
          <w:rtl/>
        </w:rPr>
        <w:t>ס'</w:t>
      </w:r>
      <w:r>
        <w:rPr>
          <w:rFonts w:cs="Arial"/>
          <w:rtl/>
        </w:rPr>
        <w:t xml:space="preserve"> כנגד הכל</w:t>
      </w:r>
      <w:r>
        <w:rPr>
          <w:rFonts w:hint="cs"/>
          <w:rtl/>
        </w:rPr>
        <w:t>, ב"י.</w:t>
      </w:r>
    </w:p>
  </w:footnote>
  <w:footnote w:id="1878">
    <w:p w14:paraId="5B01CC21" w14:textId="77777777" w:rsidR="004C5A3C" w:rsidRDefault="004C5A3C" w:rsidP="002C39F4">
      <w:pPr>
        <w:pStyle w:val="a5"/>
        <w:rPr>
          <w:rtl/>
        </w:rPr>
      </w:pPr>
      <w:r>
        <w:rPr>
          <w:rStyle w:val="a7"/>
        </w:rPr>
        <w:footnoteRef/>
      </w:r>
      <w:r>
        <w:rPr>
          <w:rtl/>
        </w:rPr>
        <w:t xml:space="preserve"> </w:t>
      </w:r>
      <w:r w:rsidRPr="00920432">
        <w:rPr>
          <w:rFonts w:cs="Arial"/>
          <w:rtl/>
        </w:rPr>
        <w:t>מ"ש רבינו דקיי</w:t>
      </w:r>
      <w:r>
        <w:rPr>
          <w:rFonts w:cs="Arial" w:hint="cs"/>
          <w:rtl/>
        </w:rPr>
        <w:t>"</w:t>
      </w:r>
      <w:r w:rsidRPr="00920432">
        <w:rPr>
          <w:rFonts w:cs="Arial"/>
          <w:rtl/>
        </w:rPr>
        <w:t>ל כל האיסורין שריבה עליהם שוגג מותרים במזיד אסורים</w:t>
      </w:r>
      <w:r>
        <w:rPr>
          <w:rFonts w:cs="Arial" w:hint="cs"/>
          <w:rtl/>
        </w:rPr>
        <w:t xml:space="preserve">- </w:t>
      </w:r>
      <w:r>
        <w:rPr>
          <w:rFonts w:cs="Arial"/>
          <w:rtl/>
        </w:rPr>
        <w:t xml:space="preserve">בסמוך יתבאר דהלכה כרבי יוסי ורבי שמעון </w:t>
      </w:r>
      <w:r w:rsidRPr="00630248">
        <w:rPr>
          <w:rFonts w:cs="Arial"/>
          <w:sz w:val="16"/>
          <w:szCs w:val="16"/>
          <w:rtl/>
        </w:rPr>
        <w:t>(גיטין נד:)</w:t>
      </w:r>
      <w:r>
        <w:rPr>
          <w:rFonts w:cs="Arial" w:hint="cs"/>
          <w:sz w:val="16"/>
          <w:szCs w:val="16"/>
          <w:rtl/>
        </w:rPr>
        <w:t xml:space="preserve"> </w:t>
      </w:r>
      <w:r>
        <w:rPr>
          <w:rFonts w:cs="Arial"/>
          <w:rtl/>
        </w:rPr>
        <w:t xml:space="preserve">דאמרי הכי </w:t>
      </w:r>
      <w:r>
        <w:rPr>
          <w:rFonts w:cs="Arial" w:hint="cs"/>
          <w:sz w:val="16"/>
          <w:szCs w:val="16"/>
          <w:rtl/>
        </w:rPr>
        <w:t>(</w:t>
      </w:r>
      <w:r w:rsidRPr="00630248">
        <w:rPr>
          <w:rFonts w:cs="Arial"/>
          <w:sz w:val="16"/>
          <w:szCs w:val="16"/>
          <w:rtl/>
        </w:rPr>
        <w:t>ובסי</w:t>
      </w:r>
      <w:r w:rsidRPr="00630248">
        <w:rPr>
          <w:rFonts w:cs="Arial" w:hint="cs"/>
          <w:sz w:val="16"/>
          <w:szCs w:val="16"/>
          <w:rtl/>
        </w:rPr>
        <w:t>'</w:t>
      </w:r>
      <w:r w:rsidRPr="00630248">
        <w:rPr>
          <w:rFonts w:cs="Arial"/>
          <w:sz w:val="16"/>
          <w:szCs w:val="16"/>
          <w:rtl/>
        </w:rPr>
        <w:t xml:space="preserve"> קי </w:t>
      </w:r>
      <w:r w:rsidRPr="00630248">
        <w:rPr>
          <w:rFonts w:cs="Arial"/>
          <w:sz w:val="12"/>
          <w:szCs w:val="12"/>
          <w:rtl/>
        </w:rPr>
        <w:t xml:space="preserve">(קעג:) </w:t>
      </w:r>
      <w:r w:rsidRPr="00630248">
        <w:rPr>
          <w:rFonts w:cs="Arial"/>
          <w:sz w:val="16"/>
          <w:szCs w:val="16"/>
          <w:rtl/>
        </w:rPr>
        <w:t>כ</w:t>
      </w:r>
      <w:r w:rsidRPr="00630248">
        <w:rPr>
          <w:rFonts w:cs="Arial" w:hint="cs"/>
          <w:sz w:val="16"/>
          <w:szCs w:val="16"/>
          <w:rtl/>
        </w:rPr>
        <w:t>'</w:t>
      </w:r>
      <w:r w:rsidRPr="00630248">
        <w:rPr>
          <w:rFonts w:cs="Arial"/>
          <w:sz w:val="16"/>
          <w:szCs w:val="16"/>
          <w:rtl/>
        </w:rPr>
        <w:t xml:space="preserve"> רבינו דדבר שאינו בטל מחמת חשיבותו שנתערב באחרים ונפל א</w:t>
      </w:r>
      <w:r w:rsidRPr="00630248">
        <w:rPr>
          <w:rFonts w:cs="Arial" w:hint="cs"/>
          <w:sz w:val="16"/>
          <w:szCs w:val="16"/>
          <w:rtl/>
        </w:rPr>
        <w:t>'</w:t>
      </w:r>
      <w:r w:rsidRPr="00630248">
        <w:rPr>
          <w:rFonts w:cs="Arial"/>
          <w:sz w:val="16"/>
          <w:szCs w:val="16"/>
          <w:rtl/>
        </w:rPr>
        <w:t xml:space="preserve"> מהם לים המלח הותרו כולם</w:t>
      </w:r>
      <w:r w:rsidRPr="00630248">
        <w:rPr>
          <w:rFonts w:cs="Arial" w:hint="cs"/>
          <w:sz w:val="16"/>
          <w:szCs w:val="16"/>
          <w:rtl/>
        </w:rPr>
        <w:t>,</w:t>
      </w:r>
      <w:r w:rsidRPr="00630248">
        <w:rPr>
          <w:rFonts w:cs="Arial"/>
          <w:sz w:val="16"/>
          <w:szCs w:val="16"/>
          <w:rtl/>
        </w:rPr>
        <w:t xml:space="preserve"> ופירש ר"י דוקא נפלה אבל אם הפילה אפי</w:t>
      </w:r>
      <w:r w:rsidRPr="00630248">
        <w:rPr>
          <w:rFonts w:cs="Arial" w:hint="cs"/>
          <w:sz w:val="16"/>
          <w:szCs w:val="16"/>
          <w:rtl/>
        </w:rPr>
        <w:t>'</w:t>
      </w:r>
      <w:r w:rsidRPr="00630248">
        <w:rPr>
          <w:rFonts w:cs="Arial"/>
          <w:sz w:val="16"/>
          <w:szCs w:val="16"/>
          <w:rtl/>
        </w:rPr>
        <w:t xml:space="preserve"> שוגג אסור אטו מזיד</w:t>
      </w:r>
      <w:r w:rsidRPr="00630248">
        <w:rPr>
          <w:rFonts w:cs="Arial" w:hint="cs"/>
          <w:sz w:val="16"/>
          <w:szCs w:val="16"/>
          <w:rtl/>
        </w:rPr>
        <w:t>,</w:t>
      </w:r>
      <w:r w:rsidRPr="00630248">
        <w:rPr>
          <w:rFonts w:cs="Arial"/>
          <w:sz w:val="16"/>
          <w:szCs w:val="16"/>
          <w:rtl/>
        </w:rPr>
        <w:t xml:space="preserve"> והם דברי התוס</w:t>
      </w:r>
      <w:r w:rsidRPr="00630248">
        <w:rPr>
          <w:rFonts w:cs="Arial" w:hint="cs"/>
          <w:sz w:val="16"/>
          <w:szCs w:val="16"/>
          <w:rtl/>
        </w:rPr>
        <w:t>'</w:t>
      </w:r>
      <w:r w:rsidRPr="00630248">
        <w:rPr>
          <w:rFonts w:cs="Arial"/>
          <w:sz w:val="16"/>
          <w:szCs w:val="16"/>
          <w:rtl/>
        </w:rPr>
        <w:t xml:space="preserve"> בר"פ התערובות </w:t>
      </w:r>
      <w:r w:rsidRPr="00630248">
        <w:rPr>
          <w:rFonts w:cs="Arial"/>
          <w:sz w:val="12"/>
          <w:szCs w:val="12"/>
          <w:rtl/>
        </w:rPr>
        <w:t xml:space="preserve">(זבחים עד. ד"ה ונפלה) </w:t>
      </w:r>
      <w:r w:rsidRPr="00630248">
        <w:rPr>
          <w:rFonts w:cs="Arial"/>
          <w:sz w:val="16"/>
          <w:szCs w:val="16"/>
          <w:rtl/>
        </w:rPr>
        <w:t>ודברי הרא"ש בתשו</w:t>
      </w:r>
      <w:r w:rsidRPr="00630248">
        <w:rPr>
          <w:rFonts w:cs="Arial" w:hint="cs"/>
          <w:sz w:val="16"/>
          <w:szCs w:val="16"/>
          <w:rtl/>
        </w:rPr>
        <w:t>'</w:t>
      </w:r>
      <w:r w:rsidRPr="00630248">
        <w:rPr>
          <w:rFonts w:cs="Arial"/>
          <w:sz w:val="16"/>
          <w:szCs w:val="16"/>
          <w:rtl/>
        </w:rPr>
        <w:t xml:space="preserve"> </w:t>
      </w:r>
      <w:r w:rsidRPr="00630248">
        <w:rPr>
          <w:rFonts w:cs="Arial"/>
          <w:sz w:val="12"/>
          <w:szCs w:val="12"/>
          <w:rtl/>
        </w:rPr>
        <w:t>(כלל כ סי' יז)</w:t>
      </w:r>
      <w:r w:rsidRPr="00630248">
        <w:rPr>
          <w:rFonts w:cs="Arial" w:hint="cs"/>
          <w:sz w:val="16"/>
          <w:szCs w:val="16"/>
          <w:rtl/>
        </w:rPr>
        <w:t>,</w:t>
      </w:r>
      <w:r w:rsidRPr="00630248">
        <w:rPr>
          <w:rFonts w:cs="Arial"/>
          <w:sz w:val="16"/>
          <w:szCs w:val="16"/>
          <w:rtl/>
        </w:rPr>
        <w:t xml:space="preserve"> ונראה שהם סוברים כר</w:t>
      </w:r>
      <w:r>
        <w:rPr>
          <w:rFonts w:cs="Arial" w:hint="cs"/>
          <w:sz w:val="16"/>
          <w:szCs w:val="16"/>
          <w:rtl/>
        </w:rPr>
        <w:t>"</w:t>
      </w:r>
      <w:r w:rsidRPr="00630248">
        <w:rPr>
          <w:rFonts w:cs="Arial"/>
          <w:sz w:val="16"/>
          <w:szCs w:val="16"/>
          <w:rtl/>
        </w:rPr>
        <w:t>מ ורבי יהודה דקנסי שוגג אטו מזיד בנפלו ונתפצעו</w:t>
      </w:r>
      <w:r w:rsidRPr="00630248">
        <w:rPr>
          <w:rFonts w:cs="Arial" w:hint="cs"/>
          <w:sz w:val="16"/>
          <w:szCs w:val="16"/>
          <w:rtl/>
        </w:rPr>
        <w:t>,</w:t>
      </w:r>
      <w:r w:rsidRPr="00630248">
        <w:rPr>
          <w:rFonts w:cs="Arial"/>
          <w:sz w:val="16"/>
          <w:szCs w:val="16"/>
          <w:rtl/>
        </w:rPr>
        <w:t xml:space="preserve"> והוא תימה למה פסקו כמותם נגד רבי יוסי ורבי שמעון</w:t>
      </w:r>
      <w:r w:rsidRPr="00630248">
        <w:rPr>
          <w:rFonts w:cs="Arial" w:hint="cs"/>
          <w:sz w:val="16"/>
          <w:szCs w:val="16"/>
          <w:rtl/>
        </w:rPr>
        <w:t>,</w:t>
      </w:r>
      <w:r w:rsidRPr="00630248">
        <w:rPr>
          <w:rFonts w:cs="Arial"/>
          <w:sz w:val="16"/>
          <w:szCs w:val="16"/>
          <w:rtl/>
        </w:rPr>
        <w:t xml:space="preserve"> וגם על רבינו יש לתמוה למה כתב כאן דקיי</w:t>
      </w:r>
      <w:r w:rsidRPr="00630248">
        <w:rPr>
          <w:rFonts w:cs="Arial" w:hint="cs"/>
          <w:sz w:val="16"/>
          <w:szCs w:val="16"/>
          <w:rtl/>
        </w:rPr>
        <w:t>"</w:t>
      </w:r>
      <w:r w:rsidRPr="00630248">
        <w:rPr>
          <w:rFonts w:cs="Arial"/>
          <w:sz w:val="16"/>
          <w:szCs w:val="16"/>
          <w:rtl/>
        </w:rPr>
        <w:t>ל דשוגג מותר ושם כתב פר"י דאפילו הפילה שוגג אסור ולא כתב שום חולק עליו</w:t>
      </w:r>
      <w:r w:rsidRPr="00630248">
        <w:rPr>
          <w:rFonts w:cs="Arial" w:hint="cs"/>
          <w:sz w:val="16"/>
          <w:szCs w:val="16"/>
          <w:rtl/>
        </w:rPr>
        <w:t>,</w:t>
      </w:r>
      <w:r w:rsidRPr="00630248">
        <w:rPr>
          <w:rFonts w:cs="Arial"/>
          <w:sz w:val="16"/>
          <w:szCs w:val="16"/>
          <w:rtl/>
        </w:rPr>
        <w:t xml:space="preserve"> ועוד דא</w:t>
      </w:r>
      <w:r w:rsidRPr="00630248">
        <w:rPr>
          <w:rFonts w:cs="Arial" w:hint="cs"/>
          <w:sz w:val="16"/>
          <w:szCs w:val="16"/>
          <w:rtl/>
        </w:rPr>
        <w:t>"</w:t>
      </w:r>
      <w:r w:rsidRPr="00630248">
        <w:rPr>
          <w:rFonts w:cs="Arial"/>
          <w:sz w:val="16"/>
          <w:szCs w:val="16"/>
          <w:rtl/>
        </w:rPr>
        <w:t>כ לא הו</w:t>
      </w:r>
      <w:r w:rsidRPr="00630248">
        <w:rPr>
          <w:rFonts w:cs="Arial" w:hint="cs"/>
          <w:sz w:val="16"/>
          <w:szCs w:val="16"/>
          <w:rtl/>
        </w:rPr>
        <w:t>"</w:t>
      </w:r>
      <w:r w:rsidRPr="00630248">
        <w:rPr>
          <w:rFonts w:cs="Arial"/>
          <w:sz w:val="16"/>
          <w:szCs w:val="16"/>
          <w:rtl/>
        </w:rPr>
        <w:t>ל למימר דקי</w:t>
      </w:r>
      <w:r w:rsidRPr="00630248">
        <w:rPr>
          <w:rFonts w:cs="Arial" w:hint="cs"/>
          <w:sz w:val="16"/>
          <w:szCs w:val="16"/>
          <w:rtl/>
        </w:rPr>
        <w:t>י"</w:t>
      </w:r>
      <w:r w:rsidRPr="00630248">
        <w:rPr>
          <w:rFonts w:cs="Arial"/>
          <w:sz w:val="16"/>
          <w:szCs w:val="16"/>
          <w:rtl/>
        </w:rPr>
        <w:t>ל</w:t>
      </w:r>
      <w:r w:rsidRPr="00630248">
        <w:rPr>
          <w:rFonts w:cs="Arial" w:hint="cs"/>
          <w:sz w:val="16"/>
          <w:szCs w:val="16"/>
          <w:rtl/>
        </w:rPr>
        <w:t>,</w:t>
      </w:r>
      <w:r w:rsidRPr="00630248">
        <w:rPr>
          <w:rFonts w:cs="Arial"/>
          <w:sz w:val="16"/>
          <w:szCs w:val="16"/>
          <w:rtl/>
        </w:rPr>
        <w:t xml:space="preserve"> כיון דר"י פליג ביה</w:t>
      </w:r>
      <w:r w:rsidRPr="00630248">
        <w:rPr>
          <w:rFonts w:cs="Arial" w:hint="cs"/>
          <w:sz w:val="16"/>
          <w:szCs w:val="16"/>
          <w:rtl/>
        </w:rPr>
        <w:t>,</w:t>
      </w:r>
      <w:r w:rsidRPr="00630248">
        <w:rPr>
          <w:rFonts w:cs="Arial"/>
          <w:sz w:val="16"/>
          <w:szCs w:val="16"/>
          <w:rtl/>
        </w:rPr>
        <w:t xml:space="preserve"> ועוד דאי הכי לא קשיא לסמ"ג מידי דאיכא למימר כר"י סבירא ליה דקניס שוגג אטו מזיד</w:t>
      </w:r>
      <w:r w:rsidRPr="00630248">
        <w:rPr>
          <w:rFonts w:cs="Arial" w:hint="cs"/>
          <w:sz w:val="16"/>
          <w:szCs w:val="16"/>
          <w:rtl/>
        </w:rPr>
        <w:t>,</w:t>
      </w:r>
      <w:r w:rsidRPr="00630248">
        <w:rPr>
          <w:rFonts w:cs="Arial"/>
          <w:sz w:val="16"/>
          <w:szCs w:val="16"/>
          <w:rtl/>
        </w:rPr>
        <w:t xml:space="preserve"> ושמא י"ל דיש חילוק בין מבטל איסור למפיל א</w:t>
      </w:r>
      <w:r>
        <w:rPr>
          <w:rFonts w:cs="Arial" w:hint="cs"/>
          <w:sz w:val="16"/>
          <w:szCs w:val="16"/>
          <w:rtl/>
        </w:rPr>
        <w:t>'</w:t>
      </w:r>
      <w:r w:rsidRPr="00630248">
        <w:rPr>
          <w:rFonts w:cs="Arial"/>
          <w:sz w:val="16"/>
          <w:szCs w:val="16"/>
          <w:rtl/>
        </w:rPr>
        <w:t xml:space="preserve"> מהן לים דאע</w:t>
      </w:r>
      <w:r w:rsidRPr="00630248">
        <w:rPr>
          <w:rFonts w:cs="Arial" w:hint="cs"/>
          <w:sz w:val="16"/>
          <w:szCs w:val="16"/>
          <w:rtl/>
        </w:rPr>
        <w:t>"</w:t>
      </w:r>
      <w:r w:rsidRPr="00630248">
        <w:rPr>
          <w:rFonts w:cs="Arial"/>
          <w:sz w:val="16"/>
          <w:szCs w:val="16"/>
          <w:rtl/>
        </w:rPr>
        <w:t>ג דבמבטל לא קנסינן שוגג</w:t>
      </w:r>
      <w:r w:rsidRPr="00630248">
        <w:rPr>
          <w:rFonts w:cs="Arial" w:hint="cs"/>
          <w:sz w:val="16"/>
          <w:szCs w:val="16"/>
          <w:rtl/>
        </w:rPr>
        <w:t>-</w:t>
      </w:r>
      <w:r w:rsidRPr="00630248">
        <w:rPr>
          <w:rFonts w:cs="Arial"/>
          <w:sz w:val="16"/>
          <w:szCs w:val="16"/>
          <w:rtl/>
        </w:rPr>
        <w:t xml:space="preserve"> במפיל קנסינן</w:t>
      </w:r>
      <w:r>
        <w:rPr>
          <w:rFonts w:cs="Arial" w:hint="cs"/>
          <w:sz w:val="16"/>
          <w:szCs w:val="16"/>
          <w:rtl/>
        </w:rPr>
        <w:t>)</w:t>
      </w:r>
      <w:r>
        <w:rPr>
          <w:rFonts w:hint="cs"/>
          <w:rtl/>
        </w:rPr>
        <w:t>, ב"י.</w:t>
      </w:r>
    </w:p>
  </w:footnote>
  <w:footnote w:id="1879">
    <w:p w14:paraId="6F00E9B3" w14:textId="77777777" w:rsidR="004C5A3C" w:rsidRPr="00E4712D" w:rsidRDefault="004C5A3C" w:rsidP="002C39F4">
      <w:pPr>
        <w:pStyle w:val="a5"/>
        <w:rPr>
          <w:rFonts w:cs="Arial"/>
          <w:rtl/>
        </w:rPr>
      </w:pPr>
      <w:r>
        <w:rPr>
          <w:rStyle w:val="a7"/>
        </w:rPr>
        <w:footnoteRef/>
      </w:r>
      <w:r>
        <w:rPr>
          <w:rtl/>
        </w:rPr>
        <w:t xml:space="preserve"> </w:t>
      </w:r>
      <w:r w:rsidRPr="00E4712D">
        <w:rPr>
          <w:rFonts w:hint="cs"/>
          <w:rtl/>
        </w:rPr>
        <w:t xml:space="preserve">הב"י כתב וז"ל- </w:t>
      </w:r>
      <w:r w:rsidRPr="00E4712D">
        <w:rPr>
          <w:rFonts w:cs="Arial"/>
          <w:rtl/>
        </w:rPr>
        <w:t>סמ"ג וסמ"ק לטעמייהו אזלי דבכל האיסורים אמרינן חתיכה עצמה נעשית נבלה</w:t>
      </w:r>
      <w:r w:rsidRPr="00E4712D">
        <w:rPr>
          <w:rFonts w:cs="Arial" w:hint="cs"/>
          <w:rtl/>
        </w:rPr>
        <w:t>,</w:t>
      </w:r>
      <w:r w:rsidRPr="00E4712D">
        <w:rPr>
          <w:rFonts w:cs="Arial"/>
          <w:rtl/>
        </w:rPr>
        <w:t xml:space="preserve"> אבל הרבה מן הפוסקים סוברים שלא אמרו חתיכה עצמה נעשית נבלה אלא בבשר בחלב דוקא</w:t>
      </w:r>
      <w:r w:rsidRPr="00E4712D">
        <w:rPr>
          <w:rFonts w:cs="Arial" w:hint="cs"/>
          <w:rtl/>
        </w:rPr>
        <w:t>,</w:t>
      </w:r>
      <w:r w:rsidRPr="00E4712D">
        <w:rPr>
          <w:rFonts w:cs="Arial"/>
          <w:rtl/>
        </w:rPr>
        <w:t xml:space="preserve"> כמו שנתבאר בסימן צ</w:t>
      </w:r>
      <w:r w:rsidRPr="00E4712D">
        <w:rPr>
          <w:rFonts w:cs="Arial" w:hint="cs"/>
          <w:rtl/>
        </w:rPr>
        <w:t>"</w:t>
      </w:r>
      <w:r w:rsidRPr="00E4712D">
        <w:rPr>
          <w:rFonts w:cs="Arial"/>
          <w:rtl/>
        </w:rPr>
        <w:t>ב (קמו.)</w:t>
      </w:r>
      <w:r w:rsidRPr="00E4712D">
        <w:rPr>
          <w:rFonts w:cs="Arial" w:hint="cs"/>
          <w:rtl/>
        </w:rPr>
        <w:t>,</w:t>
      </w:r>
      <w:r w:rsidRPr="00E4712D">
        <w:rPr>
          <w:rFonts w:cs="Arial"/>
          <w:rtl/>
        </w:rPr>
        <w:t xml:space="preserve"> ושם כתבתי דהכי נקטינן</w:t>
      </w:r>
      <w:r w:rsidRPr="00E4712D">
        <w:rPr>
          <w:rFonts w:cs="Arial" w:hint="cs"/>
          <w:rtl/>
        </w:rPr>
        <w:t>,</w:t>
      </w:r>
      <w:r w:rsidRPr="00E4712D">
        <w:rPr>
          <w:rFonts w:cs="Arial"/>
          <w:rtl/>
        </w:rPr>
        <w:t xml:space="preserve"> הלכך דברי רבינו עיקר שאין צריך לחקור חקירה זו</w:t>
      </w:r>
      <w:r w:rsidRPr="00E4712D">
        <w:rPr>
          <w:rFonts w:hint="cs"/>
          <w:rtl/>
        </w:rPr>
        <w:t xml:space="preserve">, עכ"ל. והקשה הדרכ"מ (אות ב) </w:t>
      </w:r>
      <w:r w:rsidRPr="00E4712D">
        <w:rPr>
          <w:rFonts w:cs="Arial"/>
          <w:rtl/>
        </w:rPr>
        <w:t>למה כתב סתם דא"צ לחקור אחר זה</w:t>
      </w:r>
      <w:r w:rsidRPr="00E4712D">
        <w:rPr>
          <w:rFonts w:cs="Arial" w:hint="cs"/>
          <w:rtl/>
        </w:rPr>
        <w:t>,</w:t>
      </w:r>
      <w:r w:rsidRPr="00E4712D">
        <w:rPr>
          <w:rFonts w:cs="Arial"/>
          <w:rtl/>
        </w:rPr>
        <w:t xml:space="preserve"> דהרי לפי דבריו במקום שחנ"נ</w:t>
      </w:r>
      <w:r w:rsidRPr="00E4712D">
        <w:rPr>
          <w:rFonts w:cs="Arial" w:hint="cs"/>
          <w:rtl/>
        </w:rPr>
        <w:t>,</w:t>
      </w:r>
      <w:r w:rsidRPr="00E4712D">
        <w:rPr>
          <w:rFonts w:cs="Arial"/>
          <w:rtl/>
        </w:rPr>
        <w:t xml:space="preserve"> כגון בבשר בחלב</w:t>
      </w:r>
      <w:r w:rsidRPr="00E4712D">
        <w:rPr>
          <w:rFonts w:cs="Arial" w:hint="cs"/>
          <w:rtl/>
        </w:rPr>
        <w:t>,</w:t>
      </w:r>
      <w:r w:rsidRPr="00E4712D">
        <w:rPr>
          <w:rFonts w:cs="Arial"/>
          <w:rtl/>
        </w:rPr>
        <w:t xml:space="preserve"> צריכין לחקירה זו</w:t>
      </w:r>
      <w:r w:rsidRPr="00E4712D">
        <w:rPr>
          <w:rFonts w:cs="Arial" w:hint="cs"/>
          <w:rtl/>
        </w:rPr>
        <w:t xml:space="preserve">, </w:t>
      </w:r>
      <w:r w:rsidRPr="00E4712D">
        <w:rPr>
          <w:rFonts w:cs="Arial"/>
          <w:rtl/>
        </w:rPr>
        <w:t>והיה לו לפרש</w:t>
      </w:r>
      <w:r w:rsidRPr="00E4712D">
        <w:rPr>
          <w:rFonts w:cs="Arial" w:hint="cs"/>
          <w:rtl/>
        </w:rPr>
        <w:t>,</w:t>
      </w:r>
      <w:r w:rsidRPr="00E4712D">
        <w:rPr>
          <w:rFonts w:cs="Arial"/>
          <w:rtl/>
        </w:rPr>
        <w:t xml:space="preserve"> ועוד דלפי מה שכתבתי לעיל סימן צ"ב (אות ד) אנו נוהגין בכל איסורים חנ"נ וא"כ אנו צריכין לחקור אחר חקירה זו בכל איסורין לפי דבריו</w:t>
      </w:r>
      <w:r>
        <w:rPr>
          <w:rFonts w:cs="Arial" w:hint="cs"/>
          <w:rtl/>
        </w:rPr>
        <w:t>.</w:t>
      </w:r>
    </w:p>
  </w:footnote>
  <w:footnote w:id="1880">
    <w:p w14:paraId="11125E75" w14:textId="77777777" w:rsidR="004C5A3C" w:rsidRDefault="004C5A3C" w:rsidP="002C39F4">
      <w:pPr>
        <w:pStyle w:val="a5"/>
        <w:rPr>
          <w:rtl/>
        </w:rPr>
      </w:pPr>
      <w:r>
        <w:rPr>
          <w:rStyle w:val="a7"/>
        </w:rPr>
        <w:footnoteRef/>
      </w:r>
      <w:r>
        <w:rPr>
          <w:rtl/>
        </w:rPr>
        <w:t xml:space="preserve"> וכ"כ באו</w:t>
      </w:r>
      <w:r>
        <w:rPr>
          <w:rFonts w:hint="cs"/>
          <w:rtl/>
        </w:rPr>
        <w:t>"ה</w:t>
      </w:r>
      <w:r>
        <w:rPr>
          <w:rtl/>
        </w:rPr>
        <w:t xml:space="preserve"> </w:t>
      </w:r>
      <w:r w:rsidRPr="00D56C1B">
        <w:rPr>
          <w:rFonts w:hint="cs"/>
          <w:sz w:val="16"/>
          <w:szCs w:val="16"/>
          <w:rtl/>
        </w:rPr>
        <w:t>(</w:t>
      </w:r>
      <w:r w:rsidRPr="00D56C1B">
        <w:rPr>
          <w:sz w:val="16"/>
          <w:szCs w:val="16"/>
          <w:rtl/>
        </w:rPr>
        <w:t>כל</w:t>
      </w:r>
      <w:r>
        <w:rPr>
          <w:rFonts w:hint="cs"/>
          <w:sz w:val="16"/>
          <w:szCs w:val="16"/>
          <w:rtl/>
        </w:rPr>
        <w:t>"</w:t>
      </w:r>
      <w:r w:rsidRPr="00D56C1B">
        <w:rPr>
          <w:sz w:val="16"/>
          <w:szCs w:val="16"/>
          <w:rtl/>
        </w:rPr>
        <w:t>ז ד</w:t>
      </w:r>
      <w:r>
        <w:rPr>
          <w:rFonts w:hint="cs"/>
          <w:sz w:val="16"/>
          <w:szCs w:val="16"/>
          <w:rtl/>
        </w:rPr>
        <w:t xml:space="preserve">ין </w:t>
      </w:r>
      <w:r w:rsidRPr="00D56C1B">
        <w:rPr>
          <w:sz w:val="16"/>
          <w:szCs w:val="16"/>
          <w:rtl/>
        </w:rPr>
        <w:t xml:space="preserve">ה אות יד) </w:t>
      </w:r>
      <w:r>
        <w:rPr>
          <w:rFonts w:hint="cs"/>
          <w:rtl/>
        </w:rPr>
        <w:t xml:space="preserve">וז"ל- </w:t>
      </w:r>
      <w:r>
        <w:rPr>
          <w:rtl/>
        </w:rPr>
        <w:t>הא דמצטרף אם ריבה בשוגג היינו אם לא נודע בנתיים אבל אם נודע בנתיים אינו מצטרף ולכן צריך החכם לחקור אחריו</w:t>
      </w:r>
      <w:r>
        <w:rPr>
          <w:rFonts w:hint="cs"/>
          <w:rtl/>
        </w:rPr>
        <w:t>,</w:t>
      </w:r>
      <w:r>
        <w:rPr>
          <w:rtl/>
        </w:rPr>
        <w:t xml:space="preserve"> עכ"ל. ואין להקשות לפי דברי דא"כ למה כתב רבינו דא"צ לשאול הלא צריך לשאול שמא נודע בנתיים דאז לא מהני מה שנתרבה</w:t>
      </w:r>
      <w:r>
        <w:rPr>
          <w:rFonts w:hint="cs"/>
          <w:rtl/>
        </w:rPr>
        <w:t>,</w:t>
      </w:r>
      <w:r>
        <w:rPr>
          <w:rtl/>
        </w:rPr>
        <w:t xml:space="preserve"> י"ל דס"ל דלהא לא חיישינן דמסתמא אילו היה נודע בנתיים מיד היה בא לחכם לשאול מה דינו</w:t>
      </w:r>
      <w:r>
        <w:rPr>
          <w:rFonts w:hint="cs"/>
          <w:rtl/>
        </w:rPr>
        <w:t>,</w:t>
      </w:r>
      <w:r>
        <w:rPr>
          <w:rtl/>
        </w:rPr>
        <w:t xml:space="preserve"> והארוך שכתב דמטעם זה צריכין לשאול</w:t>
      </w:r>
      <w:r>
        <w:rPr>
          <w:rFonts w:hint="cs"/>
          <w:rtl/>
        </w:rPr>
        <w:t>,</w:t>
      </w:r>
      <w:r>
        <w:rPr>
          <w:rtl/>
        </w:rPr>
        <w:t xml:space="preserve"> פסק כסמ"ג שצריך לשאול</w:t>
      </w:r>
      <w:r>
        <w:rPr>
          <w:rFonts w:hint="cs"/>
          <w:rtl/>
        </w:rPr>
        <w:t>,</w:t>
      </w:r>
      <w:r>
        <w:rPr>
          <w:rtl/>
        </w:rPr>
        <w:t xml:space="preserve"> וכדי לתרץ דברי הסמ"ג שלא יקשה עליו הא דקי"ל כל האיסורין שנתרבו שוגג מותרין לכן חילק בין נודע בנתיים ולא נודע</w:t>
      </w:r>
      <w:r>
        <w:rPr>
          <w:rFonts w:hint="cs"/>
          <w:rtl/>
        </w:rPr>
        <w:t>,</w:t>
      </w:r>
      <w:r>
        <w:rPr>
          <w:rtl/>
        </w:rPr>
        <w:t xml:space="preserve"> ובזה מתורצים דברי ספר המצות בלא תירוצו של ב</w:t>
      </w:r>
      <w:r>
        <w:rPr>
          <w:rFonts w:hint="cs"/>
          <w:rtl/>
        </w:rPr>
        <w:t>"י, דרכ"מ.</w:t>
      </w:r>
    </w:p>
  </w:footnote>
  <w:footnote w:id="1881">
    <w:p w14:paraId="08BE6DAC" w14:textId="77777777" w:rsidR="004C5A3C" w:rsidRDefault="004C5A3C" w:rsidP="002C39F4">
      <w:pPr>
        <w:pStyle w:val="a5"/>
        <w:rPr>
          <w:rtl/>
        </w:rPr>
      </w:pPr>
      <w:r>
        <w:rPr>
          <w:rStyle w:val="a7"/>
        </w:rPr>
        <w:footnoteRef/>
      </w:r>
      <w:r>
        <w:rPr>
          <w:rtl/>
        </w:rPr>
        <w:t xml:space="preserve"> </w:t>
      </w:r>
      <w:r>
        <w:rPr>
          <w:rFonts w:cs="Arial" w:hint="cs"/>
          <w:rtl/>
        </w:rPr>
        <w:t xml:space="preserve">ומסיים הדרכ"מ וכותב- </w:t>
      </w:r>
      <w:r>
        <w:rPr>
          <w:rFonts w:cs="Arial"/>
          <w:rtl/>
        </w:rPr>
        <w:t>גם כי לא ראיתי מרבותי מימי ששאלו אחר חקירה זו אע</w:t>
      </w:r>
      <w:r>
        <w:rPr>
          <w:rFonts w:cs="Arial" w:hint="cs"/>
          <w:rtl/>
        </w:rPr>
        <w:t>"</w:t>
      </w:r>
      <w:r>
        <w:rPr>
          <w:rFonts w:cs="Arial"/>
          <w:rtl/>
        </w:rPr>
        <w:t>ג דאנו נוהגין בכל איסורין חנ"נ</w:t>
      </w:r>
      <w:r>
        <w:rPr>
          <w:rFonts w:cs="Arial" w:hint="cs"/>
          <w:rtl/>
        </w:rPr>
        <w:t>,</w:t>
      </w:r>
      <w:r>
        <w:rPr>
          <w:rFonts w:cs="Arial"/>
          <w:rtl/>
        </w:rPr>
        <w:t xml:space="preserve"> אמנם בהגש</w:t>
      </w:r>
      <w:r>
        <w:rPr>
          <w:rFonts w:cs="Arial" w:hint="cs"/>
          <w:rtl/>
        </w:rPr>
        <w:t>ע"</w:t>
      </w:r>
      <w:r>
        <w:rPr>
          <w:rFonts w:cs="Arial"/>
          <w:rtl/>
        </w:rPr>
        <w:t xml:space="preserve">ד מצאתי בשם מהרא"י ז"ל </w:t>
      </w:r>
      <w:r w:rsidRPr="009772B3">
        <w:rPr>
          <w:rFonts w:cs="Arial"/>
          <w:sz w:val="16"/>
          <w:szCs w:val="16"/>
          <w:rtl/>
        </w:rPr>
        <w:t xml:space="preserve">(סי' לט אות ג ד"ה הרא"ש) </w:t>
      </w:r>
      <w:r>
        <w:rPr>
          <w:rFonts w:cs="Arial"/>
          <w:rtl/>
        </w:rPr>
        <w:t>דוקא בדבר יבש יש לנהוג הכי דאם נתרבה ההיתר מותר אבל לא בדבר לח דקי"ל חנ"נ עכ"ל</w:t>
      </w:r>
      <w:r>
        <w:rPr>
          <w:rFonts w:cs="Arial" w:hint="cs"/>
          <w:rtl/>
        </w:rPr>
        <w:t>,</w:t>
      </w:r>
      <w:r>
        <w:rPr>
          <w:rFonts w:cs="Arial"/>
          <w:rtl/>
        </w:rPr>
        <w:t xml:space="preserve"> ומשמע דכל מקום דאמרינן חנ"נ צריכים לחקור אחר חקירה זו</w:t>
      </w:r>
      <w:r>
        <w:rPr>
          <w:rFonts w:cs="Arial" w:hint="cs"/>
          <w:rtl/>
        </w:rPr>
        <w:t>,</w:t>
      </w:r>
      <w:r>
        <w:rPr>
          <w:rFonts w:cs="Arial"/>
          <w:rtl/>
        </w:rPr>
        <w:t xml:space="preserve"> והוא כדעת ב</w:t>
      </w:r>
      <w:r>
        <w:rPr>
          <w:rFonts w:cs="Arial" w:hint="cs"/>
          <w:rtl/>
        </w:rPr>
        <w:t>"</w:t>
      </w:r>
      <w:r>
        <w:rPr>
          <w:rFonts w:cs="Arial"/>
          <w:rtl/>
        </w:rPr>
        <w:t>י</w:t>
      </w:r>
      <w:r>
        <w:rPr>
          <w:rFonts w:cs="Arial" w:hint="cs"/>
          <w:rtl/>
        </w:rPr>
        <w:t>,</w:t>
      </w:r>
      <w:r>
        <w:rPr>
          <w:rFonts w:cs="Arial"/>
          <w:rtl/>
        </w:rPr>
        <w:t xml:space="preserve"> ותימה</w:t>
      </w:r>
      <w:r>
        <w:rPr>
          <w:rFonts w:cs="Arial" w:hint="cs"/>
          <w:rtl/>
        </w:rPr>
        <w:t>,</w:t>
      </w:r>
      <w:r>
        <w:rPr>
          <w:rFonts w:cs="Arial"/>
          <w:rtl/>
        </w:rPr>
        <w:t xml:space="preserve"> דלא נהיגי לחקור בדבר זה</w:t>
      </w:r>
      <w:r>
        <w:rPr>
          <w:rFonts w:cs="Arial" w:hint="cs"/>
          <w:rtl/>
        </w:rPr>
        <w:t>,</w:t>
      </w:r>
      <w:r>
        <w:rPr>
          <w:rFonts w:cs="Arial"/>
          <w:rtl/>
        </w:rPr>
        <w:t xml:space="preserve"> וצ"ל דאע"ג דמחמירים אם נודע שנתרבה ההיתר מ"מ לא מחמירין לחקור אחר זאת</w:t>
      </w:r>
      <w:r>
        <w:rPr>
          <w:rFonts w:cs="Arial" w:hint="cs"/>
          <w:rtl/>
        </w:rPr>
        <w:t>.</w:t>
      </w:r>
    </w:p>
  </w:footnote>
  <w:footnote w:id="1882">
    <w:p w14:paraId="0C8217AF" w14:textId="77777777" w:rsidR="004C5A3C" w:rsidRDefault="004C5A3C" w:rsidP="002C39F4">
      <w:pPr>
        <w:pStyle w:val="a5"/>
        <w:rPr>
          <w:rtl/>
        </w:rPr>
      </w:pPr>
      <w:r>
        <w:rPr>
          <w:rStyle w:val="a7"/>
        </w:rPr>
        <w:footnoteRef/>
      </w:r>
      <w:r>
        <w:rPr>
          <w:rtl/>
        </w:rPr>
        <w:t xml:space="preserve"> </w:t>
      </w:r>
      <w:r>
        <w:rPr>
          <w:rFonts w:cs="Arial"/>
          <w:rtl/>
        </w:rPr>
        <w:t>ודע שהרמב"ם לא חילק בפירוש בין שוגג למזיד</w:t>
      </w:r>
      <w:r>
        <w:rPr>
          <w:rFonts w:cs="Arial" w:hint="cs"/>
          <w:rtl/>
        </w:rPr>
        <w:t>,</w:t>
      </w:r>
      <w:r>
        <w:rPr>
          <w:rFonts w:cs="Arial"/>
          <w:rtl/>
        </w:rPr>
        <w:t xml:space="preserve"> ואף על פי כן יש ללמוד מדבריו שהוא מחלק ביניהם שהרי כתב (מאכ"א פט"ו הכ"ה) כלשון הזה</w:t>
      </w:r>
      <w:r>
        <w:rPr>
          <w:rFonts w:cs="Arial" w:hint="cs"/>
          <w:rtl/>
        </w:rPr>
        <w:t>-</w:t>
      </w:r>
      <w:r>
        <w:rPr>
          <w:rFonts w:cs="Arial"/>
          <w:rtl/>
        </w:rPr>
        <w:t xml:space="preserve"> אסור לבטל איסור של תורה לכתחלה ואם ביטל הרי זה מותר ואעפ</w:t>
      </w:r>
      <w:r>
        <w:rPr>
          <w:rFonts w:cs="Arial" w:hint="cs"/>
          <w:rtl/>
        </w:rPr>
        <w:t>"</w:t>
      </w:r>
      <w:r>
        <w:rPr>
          <w:rFonts w:cs="Arial"/>
          <w:rtl/>
        </w:rPr>
        <w:t xml:space="preserve">כ אסרו אותו חכמים משום קנסא </w:t>
      </w:r>
      <w:r>
        <w:rPr>
          <w:rFonts w:cs="Arial" w:hint="cs"/>
          <w:rtl/>
        </w:rPr>
        <w:t>עכ"ל,</w:t>
      </w:r>
      <w:r>
        <w:rPr>
          <w:rFonts w:cs="Arial"/>
          <w:rtl/>
        </w:rPr>
        <w:t xml:space="preserve"> ודבר ברור הוא דלא שייך קנסא בעושה בשוגג</w:t>
      </w:r>
      <w:r>
        <w:rPr>
          <w:rFonts w:cs="Arial" w:hint="cs"/>
          <w:rtl/>
        </w:rPr>
        <w:t>, ב"י.</w:t>
      </w:r>
    </w:p>
  </w:footnote>
  <w:footnote w:id="1883">
    <w:p w14:paraId="75D350E3" w14:textId="77777777" w:rsidR="004C5A3C" w:rsidRDefault="004C5A3C" w:rsidP="002C39F4">
      <w:pPr>
        <w:pStyle w:val="a5"/>
      </w:pPr>
      <w:r>
        <w:rPr>
          <w:rStyle w:val="a7"/>
        </w:rPr>
        <w:footnoteRef/>
      </w:r>
      <w:r>
        <w:rPr>
          <w:rtl/>
        </w:rPr>
        <w:t xml:space="preserve"> </w:t>
      </w:r>
      <w:r>
        <w:rPr>
          <w:rFonts w:cs="Arial"/>
          <w:rtl/>
        </w:rPr>
        <w:t>והביא ראיה מדגרסינן בפרק הניזקין (גיטין נד:) ורמי דרבי יהודה אדרבי יהודה בדרבנן</w:t>
      </w:r>
      <w:r>
        <w:rPr>
          <w:rFonts w:cs="Arial" w:hint="cs"/>
          <w:rtl/>
        </w:rPr>
        <w:t>,</w:t>
      </w:r>
      <w:r>
        <w:rPr>
          <w:rFonts w:cs="Arial"/>
          <w:rtl/>
        </w:rPr>
        <w:t xml:space="preserve"> כלומר</w:t>
      </w:r>
      <w:r>
        <w:rPr>
          <w:rFonts w:cs="Arial" w:hint="cs"/>
          <w:rtl/>
        </w:rPr>
        <w:t>,</w:t>
      </w:r>
      <w:r>
        <w:rPr>
          <w:rFonts w:cs="Arial"/>
          <w:rtl/>
        </w:rPr>
        <w:t xml:space="preserve"> משום דלעיל מינה אמרינן גבי המבשל בשבת כי קניס רבי יהודה שוגג אטו מזיד בדאורייתא אבל בדרבנן לא קניס</w:t>
      </w:r>
      <w:r>
        <w:rPr>
          <w:rFonts w:cs="Arial" w:hint="cs"/>
          <w:rtl/>
        </w:rPr>
        <w:t>,</w:t>
      </w:r>
      <w:r>
        <w:rPr>
          <w:rFonts w:cs="Arial"/>
          <w:rtl/>
        </w:rPr>
        <w:t xml:space="preserve"> ומשום הכי רמינן מדידיה לדידיה</w:t>
      </w:r>
      <w:r>
        <w:rPr>
          <w:rFonts w:cs="Arial" w:hint="cs"/>
          <w:rtl/>
        </w:rPr>
        <w:t>,</w:t>
      </w:r>
      <w:r>
        <w:rPr>
          <w:rFonts w:cs="Arial"/>
          <w:rtl/>
        </w:rPr>
        <w:t xml:space="preserve"> דתניא נפלו ונתפצעו אחד שוגג ואחד מזיד לא יעלו דברי רבי מאיר ורבי יהודה רבי יוסי ורבי שמעון אומרים בשוגג יעלו במזיד לא יעלו</w:t>
      </w:r>
      <w:r>
        <w:rPr>
          <w:rFonts w:cs="Arial" w:hint="cs"/>
          <w:rtl/>
        </w:rPr>
        <w:t>,</w:t>
      </w:r>
      <w:r>
        <w:rPr>
          <w:rFonts w:cs="Arial"/>
          <w:rtl/>
        </w:rPr>
        <w:t xml:space="preserve"> והא הכא דמדאורייתא חד בתרי בטיל ורבנן הוא דגזור</w:t>
      </w:r>
      <w:r>
        <w:rPr>
          <w:rFonts w:cs="Arial" w:hint="cs"/>
          <w:rtl/>
        </w:rPr>
        <w:t>,</w:t>
      </w:r>
      <w:r>
        <w:rPr>
          <w:rFonts w:cs="Arial"/>
          <w:rtl/>
        </w:rPr>
        <w:t xml:space="preserve"> וקא קניס רבי יהודה שוגג אטו מזיד. ואנן קי"ל כרבי יוסי ורבי שמעון</w:t>
      </w:r>
      <w:r>
        <w:rPr>
          <w:rFonts w:cs="Arial" w:hint="cs"/>
          <w:rtl/>
        </w:rPr>
        <w:t>,</w:t>
      </w:r>
      <w:r>
        <w:rPr>
          <w:rFonts w:cs="Arial"/>
          <w:rtl/>
        </w:rPr>
        <w:t xml:space="preserve"> מכל מקום כולהו מודו דאם נפל במזיד קנסינן ליה ואסור</w:t>
      </w:r>
      <w:r>
        <w:rPr>
          <w:rFonts w:cs="Arial" w:hint="cs"/>
          <w:rtl/>
        </w:rPr>
        <w:t>, ב"י</w:t>
      </w:r>
      <w:r>
        <w:rPr>
          <w:rFonts w:cs="Arial"/>
          <w:rtl/>
        </w:rPr>
        <w:t>.</w:t>
      </w:r>
    </w:p>
  </w:footnote>
  <w:footnote w:id="1884">
    <w:p w14:paraId="46D31D22" w14:textId="77777777" w:rsidR="004C5A3C" w:rsidRDefault="004C5A3C" w:rsidP="002C39F4">
      <w:pPr>
        <w:pStyle w:val="a5"/>
      </w:pPr>
      <w:r>
        <w:rPr>
          <w:rStyle w:val="a7"/>
        </w:rPr>
        <w:footnoteRef/>
      </w:r>
      <w:r>
        <w:rPr>
          <w:rtl/>
        </w:rPr>
        <w:t xml:space="preserve"> </w:t>
      </w:r>
      <w:r>
        <w:rPr>
          <w:rFonts w:cs="Arial"/>
          <w:rtl/>
        </w:rPr>
        <w:t>ומכלל דברים אלו אתה למד דאפילו באיסורים שהחמירו חכמים שלא להתבטל לעולם אם עבר וגרם להם ביטול במזיד אסור</w:t>
      </w:r>
      <w:r>
        <w:rPr>
          <w:rFonts w:cs="Arial" w:hint="cs"/>
          <w:rtl/>
        </w:rPr>
        <w:t>,</w:t>
      </w:r>
      <w:r>
        <w:rPr>
          <w:rFonts w:cs="Arial"/>
          <w:rtl/>
        </w:rPr>
        <w:t xml:space="preserve"> כיצד</w:t>
      </w:r>
      <w:r>
        <w:rPr>
          <w:rFonts w:cs="Arial" w:hint="cs"/>
          <w:rtl/>
        </w:rPr>
        <w:t>,</w:t>
      </w:r>
      <w:r>
        <w:rPr>
          <w:rFonts w:cs="Arial"/>
          <w:rtl/>
        </w:rPr>
        <w:t xml:space="preserve"> הרי שנתערבה חתיכה נבלה הראויה להתכבד בתוך חתיכות של שחוטה או בריה כגיד הנשה בתוך הגידין ועמד וחתכן כדי לבטל חשיבותן ויתבטלו כשאר האיסורין</w:t>
      </w:r>
      <w:r>
        <w:rPr>
          <w:rFonts w:cs="Arial" w:hint="cs"/>
          <w:rtl/>
        </w:rPr>
        <w:t>,</w:t>
      </w:r>
      <w:r>
        <w:rPr>
          <w:rFonts w:cs="Arial"/>
          <w:rtl/>
        </w:rPr>
        <w:t xml:space="preserve"> אם עשה כן במזיד אסור</w:t>
      </w:r>
      <w:r>
        <w:rPr>
          <w:rFonts w:cs="Arial" w:hint="cs"/>
          <w:rtl/>
        </w:rPr>
        <w:t>,</w:t>
      </w:r>
      <w:r>
        <w:rPr>
          <w:rFonts w:cs="Arial"/>
          <w:rtl/>
        </w:rPr>
        <w:t xml:space="preserve"> אבל בשוגג מותר</w:t>
      </w:r>
      <w:r>
        <w:rPr>
          <w:rFonts w:cs="Arial" w:hint="cs"/>
          <w:rtl/>
        </w:rPr>
        <w:t>,</w:t>
      </w:r>
      <w:r>
        <w:rPr>
          <w:rFonts w:cs="Arial"/>
          <w:rtl/>
        </w:rPr>
        <w:t xml:space="preserve"> דהא ההיא דנפלו ונתפצעו בכהאי גוונא היא</w:t>
      </w:r>
      <w:r>
        <w:rPr>
          <w:rFonts w:cs="Arial" w:hint="cs"/>
          <w:rtl/>
        </w:rPr>
        <w:t>,</w:t>
      </w:r>
      <w:r>
        <w:rPr>
          <w:rFonts w:cs="Arial"/>
          <w:rtl/>
        </w:rPr>
        <w:t xml:space="preserve"> וכדפרש"י </w:t>
      </w:r>
      <w:r w:rsidRPr="002F3663">
        <w:rPr>
          <w:rFonts w:cs="Arial"/>
          <w:sz w:val="16"/>
          <w:szCs w:val="16"/>
          <w:rtl/>
        </w:rPr>
        <w:t>(גיטין נד</w:t>
      </w:r>
      <w:r w:rsidRPr="002F3663">
        <w:rPr>
          <w:rFonts w:cs="Arial" w:hint="cs"/>
          <w:sz w:val="16"/>
          <w:szCs w:val="16"/>
          <w:rtl/>
        </w:rPr>
        <w:t>:</w:t>
      </w:r>
      <w:r w:rsidRPr="002F3663">
        <w:rPr>
          <w:rFonts w:cs="Arial"/>
          <w:sz w:val="16"/>
          <w:szCs w:val="16"/>
          <w:rtl/>
        </w:rPr>
        <w:t>)</w:t>
      </w:r>
      <w:r>
        <w:rPr>
          <w:rFonts w:cs="Arial"/>
          <w:rtl/>
        </w:rPr>
        <w:t xml:space="preserve"> נפלו ונתפצעו. אגוזי פרך אין בטילין אפילו באלף מפני חשיבותן נתפצעו האגוזים של ערלה ואח"כ נפלו לתוך של היתר יעלו נפלו תחלה ואח"כ נתפצעו אחד שפצען שוגג וכו'</w:t>
      </w:r>
      <w:r>
        <w:rPr>
          <w:rFonts w:cs="Arial" w:hint="cs"/>
          <w:rtl/>
        </w:rPr>
        <w:t>,</w:t>
      </w:r>
      <w:r>
        <w:rPr>
          <w:rFonts w:cs="Arial"/>
          <w:rtl/>
        </w:rPr>
        <w:t xml:space="preserve"> וכ"פ הרשב"א ז"ל </w:t>
      </w:r>
      <w:r w:rsidRPr="002F3663">
        <w:rPr>
          <w:rFonts w:cs="Arial"/>
          <w:sz w:val="16"/>
          <w:szCs w:val="16"/>
          <w:rtl/>
        </w:rPr>
        <w:t>(תוה"א ב"ד ש"ג לב., קצר לא.)</w:t>
      </w:r>
      <w:r>
        <w:rPr>
          <w:rFonts w:cs="Arial" w:hint="cs"/>
          <w:rtl/>
        </w:rPr>
        <w:t>, ב"י.</w:t>
      </w:r>
    </w:p>
  </w:footnote>
  <w:footnote w:id="1885">
    <w:p w14:paraId="2C11872E" w14:textId="77777777" w:rsidR="004C5A3C" w:rsidRDefault="004C5A3C" w:rsidP="002C39F4">
      <w:pPr>
        <w:pStyle w:val="a5"/>
        <w:rPr>
          <w:rtl/>
        </w:rPr>
      </w:pPr>
      <w:r>
        <w:rPr>
          <w:rStyle w:val="a7"/>
        </w:rPr>
        <w:footnoteRef/>
      </w:r>
      <w:r>
        <w:rPr>
          <w:rtl/>
        </w:rPr>
        <w:t xml:space="preserve"> </w:t>
      </w:r>
      <w:r>
        <w:rPr>
          <w:rFonts w:cs="Arial"/>
          <w:rtl/>
        </w:rPr>
        <w:t xml:space="preserve">אין זה מלשון הרמב"ם עצמו שהרי </w:t>
      </w:r>
      <w:r w:rsidRPr="002F3663">
        <w:rPr>
          <w:rFonts w:cs="Arial" w:hint="cs"/>
          <w:sz w:val="16"/>
          <w:szCs w:val="16"/>
          <w:rtl/>
        </w:rPr>
        <w:t>(</w:t>
      </w:r>
      <w:r w:rsidRPr="002F3663">
        <w:rPr>
          <w:rFonts w:cs="Arial"/>
          <w:sz w:val="16"/>
          <w:szCs w:val="16"/>
          <w:rtl/>
        </w:rPr>
        <w:t>פט"ו ה</w:t>
      </w:r>
      <w:r w:rsidRPr="002F3663">
        <w:rPr>
          <w:rFonts w:cs="Arial" w:hint="cs"/>
          <w:sz w:val="16"/>
          <w:szCs w:val="16"/>
          <w:rtl/>
        </w:rPr>
        <w:t>כ"</w:t>
      </w:r>
      <w:r w:rsidRPr="002F3663">
        <w:rPr>
          <w:rFonts w:cs="Arial"/>
          <w:sz w:val="16"/>
          <w:szCs w:val="16"/>
          <w:rtl/>
        </w:rPr>
        <w:t xml:space="preserve">ה) </w:t>
      </w:r>
      <w:r>
        <w:rPr>
          <w:rFonts w:cs="Arial"/>
          <w:rtl/>
        </w:rPr>
        <w:t>כ</w:t>
      </w:r>
      <w:r>
        <w:rPr>
          <w:rFonts w:cs="Arial" w:hint="cs"/>
          <w:rtl/>
        </w:rPr>
        <w:t>תב</w:t>
      </w:r>
      <w:r>
        <w:rPr>
          <w:rFonts w:cs="Arial"/>
          <w:rtl/>
        </w:rPr>
        <w:t xml:space="preserve"> כלשון הזה</w:t>
      </w:r>
      <w:r>
        <w:rPr>
          <w:rFonts w:cs="Arial" w:hint="cs"/>
          <w:rtl/>
        </w:rPr>
        <w:t>-</w:t>
      </w:r>
      <w:r>
        <w:rPr>
          <w:rFonts w:cs="Arial"/>
          <w:rtl/>
        </w:rPr>
        <w:t xml:space="preserve"> יראה לי שכיון שהוא קנס אין אוסרין תערובת זו אלא על זה העובר שבטל האיסור אבל לאחרים הכל מותר</w:t>
      </w:r>
      <w:r>
        <w:rPr>
          <w:rFonts w:cs="Arial" w:hint="cs"/>
          <w:rtl/>
        </w:rPr>
        <w:t>,</w:t>
      </w:r>
      <w:r>
        <w:rPr>
          <w:rFonts w:cs="Arial"/>
          <w:rtl/>
        </w:rPr>
        <w:t xml:space="preserve"> </w:t>
      </w:r>
      <w:r>
        <w:rPr>
          <w:rFonts w:cs="Arial" w:hint="cs"/>
          <w:rtl/>
        </w:rPr>
        <w:t>עכ"ל,</w:t>
      </w:r>
      <w:r>
        <w:rPr>
          <w:rFonts w:cs="Arial"/>
          <w:rtl/>
        </w:rPr>
        <w:t xml:space="preserve"> ולא הזכיר שאסור למי שנתבטל בשבילו</w:t>
      </w:r>
      <w:r>
        <w:rPr>
          <w:rFonts w:cs="Arial" w:hint="cs"/>
          <w:rtl/>
        </w:rPr>
        <w:t>,</w:t>
      </w:r>
      <w:r>
        <w:rPr>
          <w:rFonts w:cs="Arial"/>
          <w:rtl/>
        </w:rPr>
        <w:t xml:space="preserve"> וגם הרא"ש בפ</w:t>
      </w:r>
      <w:r>
        <w:rPr>
          <w:rFonts w:cs="Arial" w:hint="cs"/>
          <w:rtl/>
        </w:rPr>
        <w:t>ג"ה</w:t>
      </w:r>
      <w:r>
        <w:rPr>
          <w:rFonts w:cs="Arial"/>
          <w:rtl/>
        </w:rPr>
        <w:t xml:space="preserve"> </w:t>
      </w:r>
      <w:r w:rsidRPr="002F3663">
        <w:rPr>
          <w:rFonts w:cs="Arial"/>
          <w:sz w:val="16"/>
          <w:szCs w:val="16"/>
          <w:rtl/>
        </w:rPr>
        <w:t xml:space="preserve">(סו"ס לה) </w:t>
      </w:r>
      <w:r>
        <w:rPr>
          <w:rFonts w:cs="Arial"/>
          <w:rtl/>
        </w:rPr>
        <w:t>כתב דברי הרמב"ם ולא הזכיר כן</w:t>
      </w:r>
      <w:r>
        <w:rPr>
          <w:rFonts w:cs="Arial" w:hint="cs"/>
          <w:rtl/>
        </w:rPr>
        <w:t>,</w:t>
      </w:r>
      <w:r>
        <w:rPr>
          <w:rFonts w:cs="Arial"/>
          <w:rtl/>
        </w:rPr>
        <w:t xml:space="preserve"> ונראה לי שלא כתב רבינו כן בשמו אלא לפי שמצא להרשב"א שכתב </w:t>
      </w:r>
      <w:r w:rsidRPr="002F3663">
        <w:rPr>
          <w:rFonts w:cs="Arial"/>
          <w:sz w:val="16"/>
          <w:szCs w:val="16"/>
          <w:rtl/>
        </w:rPr>
        <w:t xml:space="preserve">(ב"ד ש"ג לב.) </w:t>
      </w:r>
      <w:r>
        <w:rPr>
          <w:rFonts w:cs="Arial"/>
          <w:rtl/>
        </w:rPr>
        <w:t>וז"ל</w:t>
      </w:r>
      <w:r>
        <w:rPr>
          <w:rFonts w:cs="Arial" w:hint="cs"/>
          <w:rtl/>
        </w:rPr>
        <w:t>-</w:t>
      </w:r>
      <w:r>
        <w:rPr>
          <w:rFonts w:cs="Arial"/>
          <w:rtl/>
        </w:rPr>
        <w:t xml:space="preserve"> וכי אסרינן ליה במבטלו לכתחלה דוקא למי שעבר וביטל וכן למי שנתבטל בעבורו כדי שלא יהנו לו מעשיו הרעים</w:t>
      </w:r>
      <w:r>
        <w:rPr>
          <w:rFonts w:cs="Arial" w:hint="cs"/>
          <w:rtl/>
        </w:rPr>
        <w:t>,</w:t>
      </w:r>
      <w:r>
        <w:rPr>
          <w:rFonts w:cs="Arial"/>
          <w:rtl/>
        </w:rPr>
        <w:t xml:space="preserve"> אבל לשאר כל אדם מותר דקנסא בלחוד הוא דקנסינן</w:t>
      </w:r>
      <w:r>
        <w:rPr>
          <w:rFonts w:cs="Arial" w:hint="cs"/>
          <w:rtl/>
        </w:rPr>
        <w:t>,</w:t>
      </w:r>
      <w:r>
        <w:rPr>
          <w:rFonts w:cs="Arial"/>
          <w:rtl/>
        </w:rPr>
        <w:t xml:space="preserve"> וכ"כ הרמב"ם וכ"כ הראב"ד ז"ל </w:t>
      </w:r>
      <w:r w:rsidRPr="002F3663">
        <w:rPr>
          <w:rFonts w:cs="Arial"/>
          <w:sz w:val="16"/>
          <w:szCs w:val="16"/>
          <w:rtl/>
        </w:rPr>
        <w:t>(איסור משהו פ"ב)</w:t>
      </w:r>
      <w:r>
        <w:rPr>
          <w:rFonts w:cs="Arial" w:hint="cs"/>
          <w:rtl/>
        </w:rPr>
        <w:t>,</w:t>
      </w:r>
      <w:r>
        <w:rPr>
          <w:rFonts w:cs="Arial"/>
          <w:rtl/>
        </w:rPr>
        <w:t xml:space="preserve"> עכ"ל</w:t>
      </w:r>
      <w:r>
        <w:rPr>
          <w:rFonts w:cs="Arial" w:hint="cs"/>
          <w:rtl/>
        </w:rPr>
        <w:t>,</w:t>
      </w:r>
      <w:r>
        <w:rPr>
          <w:rFonts w:cs="Arial"/>
          <w:rtl/>
        </w:rPr>
        <w:t xml:space="preserve"> ואע</w:t>
      </w:r>
      <w:r>
        <w:rPr>
          <w:rFonts w:cs="Arial" w:hint="cs"/>
          <w:rtl/>
        </w:rPr>
        <w:t>"</w:t>
      </w:r>
      <w:r>
        <w:rPr>
          <w:rFonts w:cs="Arial"/>
          <w:rtl/>
        </w:rPr>
        <w:t>פ שהרמב"ם בפט"ו מהלמ"א לא כתב דאסור למי שנתבטל בשבילו מ"מ משמע ליה להרשב"א דממילא משמע דכיון דטעמא דקנסא כדי שלא יהנו לו מעשיו הרעים ויבא לעשות כן פעם אחרת אם אתה מתירו למי שנתבטל בשבילו איכא למיחש שמא יעשה כן פעם אחרת</w:t>
      </w:r>
      <w:r>
        <w:rPr>
          <w:rFonts w:cs="Arial" w:hint="cs"/>
          <w:rtl/>
        </w:rPr>
        <w:t>,</w:t>
      </w:r>
      <w:r>
        <w:rPr>
          <w:rFonts w:cs="Arial"/>
          <w:rtl/>
        </w:rPr>
        <w:t xml:space="preserve"> ואע</w:t>
      </w:r>
      <w:r>
        <w:rPr>
          <w:rFonts w:cs="Arial" w:hint="cs"/>
          <w:rtl/>
        </w:rPr>
        <w:t>"</w:t>
      </w:r>
      <w:r>
        <w:rPr>
          <w:rFonts w:cs="Arial"/>
          <w:rtl/>
        </w:rPr>
        <w:t>ג דקיי</w:t>
      </w:r>
      <w:r>
        <w:rPr>
          <w:rFonts w:cs="Arial" w:hint="cs"/>
          <w:rtl/>
        </w:rPr>
        <w:t>"</w:t>
      </w:r>
      <w:r>
        <w:rPr>
          <w:rFonts w:cs="Arial"/>
          <w:rtl/>
        </w:rPr>
        <w:t xml:space="preserve">ל </w:t>
      </w:r>
      <w:r w:rsidRPr="002F3663">
        <w:rPr>
          <w:rFonts w:cs="Arial"/>
          <w:sz w:val="16"/>
          <w:szCs w:val="16"/>
          <w:rtl/>
        </w:rPr>
        <w:t xml:space="preserve">(ב"מ ה:) </w:t>
      </w:r>
      <w:r>
        <w:rPr>
          <w:rFonts w:cs="Arial"/>
          <w:rtl/>
        </w:rPr>
        <w:t>אין אדם חוטא ולא לו</w:t>
      </w:r>
      <w:r>
        <w:rPr>
          <w:rFonts w:cs="Arial" w:hint="cs"/>
          <w:rtl/>
        </w:rPr>
        <w:t>,</w:t>
      </w:r>
      <w:r>
        <w:rPr>
          <w:rFonts w:cs="Arial"/>
          <w:rtl/>
        </w:rPr>
        <w:t xml:space="preserve"> וא"כ לא הוה ליה למיחש להכי</w:t>
      </w:r>
      <w:r>
        <w:rPr>
          <w:rFonts w:cs="Arial" w:hint="cs"/>
          <w:rtl/>
        </w:rPr>
        <w:t>,</w:t>
      </w:r>
      <w:r>
        <w:rPr>
          <w:rFonts w:cs="Arial"/>
          <w:rtl/>
        </w:rPr>
        <w:t xml:space="preserve"> איכא למימר דשאני הכא דלא משמע להו לאינשי דאיכא איסורא במילתא הילכך חיישינן</w:t>
      </w:r>
      <w:r>
        <w:rPr>
          <w:rFonts w:cs="Arial" w:hint="cs"/>
          <w:rtl/>
        </w:rPr>
        <w:t>,</w:t>
      </w:r>
      <w:r>
        <w:rPr>
          <w:rFonts w:cs="Arial"/>
          <w:rtl/>
        </w:rPr>
        <w:t xml:space="preserve"> א</w:t>
      </w:r>
      <w:r>
        <w:rPr>
          <w:rFonts w:cs="Arial" w:hint="cs"/>
          <w:rtl/>
        </w:rPr>
        <w:t>"נ</w:t>
      </w:r>
      <w:r>
        <w:rPr>
          <w:rFonts w:cs="Arial"/>
          <w:rtl/>
        </w:rPr>
        <w:t xml:space="preserve"> דאי שרית למי שנתבטל בשבילו חיישינן דילמא אתי למימר לגוי או לעבד שיבטלנו הילכך קנסינן ליה</w:t>
      </w:r>
      <w:r>
        <w:rPr>
          <w:rFonts w:cs="Arial" w:hint="cs"/>
          <w:rtl/>
        </w:rPr>
        <w:t>,</w:t>
      </w:r>
      <w:r>
        <w:rPr>
          <w:rFonts w:cs="Arial"/>
          <w:rtl/>
        </w:rPr>
        <w:t xml:space="preserve"> </w:t>
      </w:r>
      <w:r>
        <w:rPr>
          <w:rFonts w:cs="Arial" w:hint="cs"/>
          <w:rtl/>
        </w:rPr>
        <w:t>ב"י.</w:t>
      </w:r>
    </w:p>
  </w:footnote>
  <w:footnote w:id="1886">
    <w:p w14:paraId="377BC3C8" w14:textId="77777777" w:rsidR="004C5A3C" w:rsidRDefault="004C5A3C" w:rsidP="002C39F4">
      <w:pPr>
        <w:pStyle w:val="a5"/>
        <w:rPr>
          <w:rtl/>
        </w:rPr>
      </w:pPr>
      <w:r>
        <w:rPr>
          <w:rStyle w:val="a7"/>
        </w:rPr>
        <w:footnoteRef/>
      </w:r>
      <w:r>
        <w:rPr>
          <w:rtl/>
        </w:rPr>
        <w:t xml:space="preserve"> </w:t>
      </w:r>
      <w:r>
        <w:rPr>
          <w:rFonts w:cs="Arial"/>
          <w:rtl/>
        </w:rPr>
        <w:t>מדברי רבינו משמע דלא אסרינן למבטל עצמו אא"כ הוא שלו או שנתכוון לבטלו בשביל עצמו</w:t>
      </w:r>
      <w:r>
        <w:rPr>
          <w:rFonts w:cs="Arial" w:hint="cs"/>
          <w:rtl/>
        </w:rPr>
        <w:t>,</w:t>
      </w:r>
      <w:r>
        <w:rPr>
          <w:rFonts w:cs="Arial"/>
          <w:rtl/>
        </w:rPr>
        <w:t xml:space="preserve"> אבל אם לא היה שלו וגם לא נתכוון בשביל עצמו שרי לדידיה דכיון דלא שרינן למי שנתכוון בשבילו וגם לא היה שלו לא אהנו מעשיו הרעים קרינן ביה</w:t>
      </w:r>
      <w:r>
        <w:rPr>
          <w:rFonts w:cs="Arial" w:hint="cs"/>
          <w:rtl/>
        </w:rPr>
        <w:t>, ב"י.</w:t>
      </w:r>
      <w:r>
        <w:rPr>
          <w:rFonts w:hint="cs"/>
          <w:rtl/>
        </w:rPr>
        <w:t xml:space="preserve"> </w:t>
      </w:r>
      <w:r w:rsidRPr="00BD49DD">
        <w:rPr>
          <w:rFonts w:hint="cs"/>
          <w:color w:val="E36C0A" w:themeColor="accent6" w:themeShade="BF"/>
          <w:rtl/>
        </w:rPr>
        <w:t>(וכ"ס בשו"ע)</w:t>
      </w:r>
    </w:p>
  </w:footnote>
  <w:footnote w:id="1887">
    <w:p w14:paraId="2212A1DB" w14:textId="77777777" w:rsidR="004C5A3C" w:rsidRDefault="004C5A3C" w:rsidP="002C39F4">
      <w:pPr>
        <w:pStyle w:val="a5"/>
      </w:pPr>
      <w:r>
        <w:rPr>
          <w:rStyle w:val="a7"/>
        </w:rPr>
        <w:footnoteRef/>
      </w:r>
      <w:r>
        <w:rPr>
          <w:rtl/>
        </w:rPr>
        <w:t xml:space="preserve"> </w:t>
      </w:r>
      <w:r>
        <w:rPr>
          <w:rFonts w:hint="cs"/>
          <w:rtl/>
        </w:rPr>
        <w:t>וכ' האו</w:t>
      </w:r>
      <w:r>
        <w:rPr>
          <w:rtl/>
        </w:rPr>
        <w:t>"</w:t>
      </w:r>
      <w:r>
        <w:rPr>
          <w:rFonts w:hint="cs"/>
          <w:rtl/>
        </w:rPr>
        <w:t>ה (כלל כד ד"י) דהוא הדין באיסור דרבנן, דרכ"מ (אות ג).</w:t>
      </w:r>
    </w:p>
  </w:footnote>
  <w:footnote w:id="1888">
    <w:p w14:paraId="3FD80C00" w14:textId="77777777" w:rsidR="004C5A3C" w:rsidRDefault="004C5A3C" w:rsidP="002C39F4">
      <w:pPr>
        <w:pStyle w:val="a5"/>
      </w:pPr>
      <w:r>
        <w:rPr>
          <w:rStyle w:val="a7"/>
        </w:rPr>
        <w:footnoteRef/>
      </w:r>
      <w:r>
        <w:rPr>
          <w:rtl/>
        </w:rPr>
        <w:t xml:space="preserve"> </w:t>
      </w:r>
      <w:r w:rsidRPr="00726CDB">
        <w:rPr>
          <w:rFonts w:cs="Arial"/>
          <w:rtl/>
        </w:rPr>
        <w:t>מיהו בדיעבד גם דעת הראב"ד כמ"ש המחבר</w:t>
      </w:r>
      <w:r>
        <w:rPr>
          <w:rFonts w:cs="Arial" w:hint="cs"/>
          <w:rtl/>
        </w:rPr>
        <w:t xml:space="preserve">, </w:t>
      </w:r>
      <w:r w:rsidRPr="00726CDB">
        <w:rPr>
          <w:rFonts w:cs="Arial"/>
          <w:rtl/>
        </w:rPr>
        <w:t>וכמ"ש הרשב"א והר"ן על שמו ע"ש</w:t>
      </w:r>
      <w:r>
        <w:rPr>
          <w:rFonts w:cs="Arial" w:hint="cs"/>
          <w:rtl/>
        </w:rPr>
        <w:t>, ש"ך (סק"ז).</w:t>
      </w:r>
    </w:p>
  </w:footnote>
  <w:footnote w:id="1889">
    <w:p w14:paraId="5E5133BD" w14:textId="77777777" w:rsidR="004C5A3C" w:rsidRDefault="004C5A3C" w:rsidP="002C39F4">
      <w:pPr>
        <w:pStyle w:val="a5"/>
        <w:rPr>
          <w:rtl/>
        </w:rPr>
      </w:pPr>
      <w:r>
        <w:rPr>
          <w:rStyle w:val="a7"/>
        </w:rPr>
        <w:footnoteRef/>
      </w:r>
      <w:r>
        <w:rPr>
          <w:rtl/>
        </w:rPr>
        <w:t xml:space="preserve"> </w:t>
      </w:r>
      <w:r w:rsidRPr="004B3A7B">
        <w:rPr>
          <w:rFonts w:cs="Arial"/>
          <w:rtl/>
        </w:rPr>
        <w:t>בסי' פד סע</w:t>
      </w:r>
      <w:r>
        <w:rPr>
          <w:rFonts w:cs="Arial" w:hint="cs"/>
          <w:rtl/>
        </w:rPr>
        <w:t>'</w:t>
      </w:r>
      <w:r w:rsidRPr="004B3A7B">
        <w:rPr>
          <w:rFonts w:cs="Arial"/>
          <w:rtl/>
        </w:rPr>
        <w:t xml:space="preserve"> יג מבואר דאם אין כוונתו רק לדבר אחר כגון לתקן הדבש מותר</w:t>
      </w:r>
      <w:r>
        <w:rPr>
          <w:rFonts w:cs="Arial" w:hint="cs"/>
          <w:rtl/>
        </w:rPr>
        <w:t>,</w:t>
      </w:r>
      <w:r w:rsidRPr="004B3A7B">
        <w:rPr>
          <w:rFonts w:cs="Arial"/>
          <w:rtl/>
        </w:rPr>
        <w:t xml:space="preserve"> ובסי' קלז סע</w:t>
      </w:r>
      <w:r>
        <w:rPr>
          <w:rFonts w:cs="Arial" w:hint="cs"/>
          <w:rtl/>
        </w:rPr>
        <w:t>'</w:t>
      </w:r>
      <w:r w:rsidRPr="004B3A7B">
        <w:rPr>
          <w:rFonts w:cs="Arial"/>
          <w:rtl/>
        </w:rPr>
        <w:t xml:space="preserve"> ב כתבתי דהיינו דוקא באי אפשר בענין אחר</w:t>
      </w:r>
      <w:r>
        <w:rPr>
          <w:rFonts w:hint="cs"/>
          <w:rtl/>
        </w:rPr>
        <w:t>, ט"ז (סק"ז).</w:t>
      </w:r>
    </w:p>
  </w:footnote>
  <w:footnote w:id="1890">
    <w:p w14:paraId="6C3ACE65" w14:textId="77777777" w:rsidR="004C5A3C" w:rsidRDefault="004C5A3C" w:rsidP="002C39F4">
      <w:pPr>
        <w:pStyle w:val="a5"/>
      </w:pPr>
      <w:r>
        <w:rPr>
          <w:rStyle w:val="a7"/>
        </w:rPr>
        <w:footnoteRef/>
      </w:r>
      <w:r>
        <w:rPr>
          <w:rtl/>
        </w:rPr>
        <w:t xml:space="preserve"> </w:t>
      </w:r>
      <w:r w:rsidRPr="00C51379">
        <w:rPr>
          <w:rFonts w:cs="Arial"/>
          <w:rtl/>
        </w:rPr>
        <w:t>לכאורה הוא כפל דביטול היינו ריבה ונראה דה"ק עבר ובטל שזרק איסור מועט לתוך היתר מרובה שיש ס' נגדו או שנפל מעצמו לאין ס' בהיתר אלא שריבה אח"כ</w:t>
      </w:r>
      <w:r>
        <w:rPr>
          <w:rFonts w:cs="Arial" w:hint="cs"/>
          <w:rtl/>
        </w:rPr>
        <w:t>, ט"ז (סק"ז).</w:t>
      </w:r>
    </w:p>
  </w:footnote>
  <w:footnote w:id="1891">
    <w:p w14:paraId="270CF8BF" w14:textId="77777777" w:rsidR="004C5A3C" w:rsidRDefault="004C5A3C" w:rsidP="002C39F4">
      <w:pPr>
        <w:pStyle w:val="a5"/>
      </w:pPr>
      <w:r>
        <w:rPr>
          <w:rStyle w:val="a7"/>
        </w:rPr>
        <w:footnoteRef/>
      </w:r>
      <w:r>
        <w:rPr>
          <w:rtl/>
        </w:rPr>
        <w:t xml:space="preserve"> </w:t>
      </w:r>
      <w:r w:rsidRPr="0087210F">
        <w:rPr>
          <w:rFonts w:cs="Arial"/>
          <w:rtl/>
        </w:rPr>
        <w:t>פירוש</w:t>
      </w:r>
      <w:r>
        <w:rPr>
          <w:rFonts w:cs="Arial" w:hint="cs"/>
          <w:rtl/>
        </w:rPr>
        <w:t>,</w:t>
      </w:r>
      <w:r w:rsidRPr="0087210F">
        <w:rPr>
          <w:rFonts w:cs="Arial"/>
          <w:rtl/>
        </w:rPr>
        <w:t xml:space="preserve"> שיודע שיש איסור בדבר ואפ</w:t>
      </w:r>
      <w:r w:rsidRPr="0087210F">
        <w:rPr>
          <w:rFonts w:cs="Arial" w:hint="cs"/>
          <w:rtl/>
        </w:rPr>
        <w:t xml:space="preserve">ילו </w:t>
      </w:r>
      <w:r w:rsidRPr="0087210F">
        <w:rPr>
          <w:rFonts w:cs="Arial"/>
          <w:rtl/>
        </w:rPr>
        <w:t>ה</w:t>
      </w:r>
      <w:r w:rsidRPr="0087210F">
        <w:rPr>
          <w:rFonts w:cs="Arial" w:hint="cs"/>
          <w:rtl/>
        </w:rPr>
        <w:t>כי</w:t>
      </w:r>
      <w:r w:rsidRPr="0087210F">
        <w:rPr>
          <w:rFonts w:cs="Arial"/>
          <w:rtl/>
        </w:rPr>
        <w:t xml:space="preserve"> עושהו</w:t>
      </w:r>
      <w:r w:rsidRPr="0087210F">
        <w:rPr>
          <w:rFonts w:cs="Arial" w:hint="cs"/>
          <w:rtl/>
        </w:rPr>
        <w:t xml:space="preserve">, אבל אם </w:t>
      </w:r>
      <w:r w:rsidRPr="0087210F">
        <w:rPr>
          <w:rFonts w:cs="Arial"/>
          <w:rtl/>
        </w:rPr>
        <w:t>ע</w:t>
      </w:r>
      <w:r w:rsidRPr="0087210F">
        <w:rPr>
          <w:rFonts w:cs="Arial" w:hint="cs"/>
          <w:rtl/>
        </w:rPr>
        <w:t>בר</w:t>
      </w:r>
      <w:r w:rsidRPr="0087210F">
        <w:rPr>
          <w:rFonts w:cs="Arial"/>
          <w:rtl/>
        </w:rPr>
        <w:t xml:space="preserve"> במזיד אלא שחשב שדבר זה מותר</w:t>
      </w:r>
      <w:r w:rsidRPr="0087210F">
        <w:rPr>
          <w:rFonts w:cs="Arial" w:hint="cs"/>
          <w:rtl/>
        </w:rPr>
        <w:t xml:space="preserve"> מיקרי שוגג,</w:t>
      </w:r>
      <w:r w:rsidRPr="0087210F">
        <w:rPr>
          <w:rFonts w:cs="Arial"/>
          <w:rtl/>
        </w:rPr>
        <w:t xml:space="preserve"> דטועה בדין מקרי שוגג</w:t>
      </w:r>
      <w:r>
        <w:rPr>
          <w:rFonts w:cs="Arial" w:hint="cs"/>
          <w:rtl/>
        </w:rPr>
        <w:t>, וזה דעת הטור</w:t>
      </w:r>
      <w:r w:rsidRPr="0087210F">
        <w:rPr>
          <w:rFonts w:cs="Arial" w:hint="cs"/>
          <w:rtl/>
        </w:rPr>
        <w:t xml:space="preserve">, ט"ז </w:t>
      </w:r>
      <w:r w:rsidRPr="0087210F">
        <w:rPr>
          <w:rFonts w:cs="Arial" w:hint="cs"/>
          <w:sz w:val="16"/>
          <w:szCs w:val="16"/>
          <w:rtl/>
        </w:rPr>
        <w:t>(סק"ז וסק"ט</w:t>
      </w:r>
      <w:r>
        <w:rPr>
          <w:rFonts w:cs="Arial" w:hint="cs"/>
          <w:sz w:val="16"/>
          <w:szCs w:val="16"/>
          <w:rtl/>
        </w:rPr>
        <w:t xml:space="preserve"> והגהות הט"ז אות א</w:t>
      </w:r>
      <w:r w:rsidRPr="0087210F">
        <w:rPr>
          <w:rFonts w:cs="Arial" w:hint="cs"/>
          <w:sz w:val="16"/>
          <w:szCs w:val="16"/>
          <w:rtl/>
        </w:rPr>
        <w:t>)</w:t>
      </w:r>
      <w:r w:rsidRPr="0087210F">
        <w:rPr>
          <w:rFonts w:cs="Arial" w:hint="cs"/>
          <w:rtl/>
        </w:rPr>
        <w:t>.</w:t>
      </w:r>
      <w:r w:rsidRPr="0087210F">
        <w:rPr>
          <w:rtl/>
        </w:rPr>
        <w:t xml:space="preserve"> </w:t>
      </w:r>
      <w:r w:rsidRPr="0087210F">
        <w:rPr>
          <w:rFonts w:cs="Arial"/>
          <w:rtl/>
        </w:rPr>
        <w:t xml:space="preserve">והיינו </w:t>
      </w:r>
      <w:r w:rsidRPr="004B3A7B">
        <w:rPr>
          <w:rFonts w:cs="Arial"/>
          <w:rtl/>
        </w:rPr>
        <w:t>דוקא בשאר איסורים לדעת הט"ו דלא אמרינן חנ"נ בשאר איסורים</w:t>
      </w:r>
      <w:r>
        <w:rPr>
          <w:rFonts w:cs="Arial" w:hint="cs"/>
          <w:rtl/>
        </w:rPr>
        <w:t>,</w:t>
      </w:r>
      <w:r w:rsidRPr="004B3A7B">
        <w:rPr>
          <w:rFonts w:cs="Arial"/>
          <w:rtl/>
        </w:rPr>
        <w:t xml:space="preserve"> אבל בבשר בחלב דנ"נ אפי' בשוגג אסור אא"כ ריבה עליו ס' כנגד כל מה שנעשה נבילה</w:t>
      </w:r>
      <w:r>
        <w:rPr>
          <w:rFonts w:cs="Arial" w:hint="cs"/>
          <w:rtl/>
        </w:rPr>
        <w:t>,</w:t>
      </w:r>
      <w:r w:rsidRPr="004B3A7B">
        <w:rPr>
          <w:rFonts w:cs="Arial"/>
          <w:rtl/>
        </w:rPr>
        <w:t xml:space="preserve"> והרב דס"ל חנ"נ בכל האיסורים הוצרך לכתוב </w:t>
      </w:r>
      <w:r>
        <w:rPr>
          <w:rFonts w:cs="Arial" w:hint="cs"/>
          <w:sz w:val="16"/>
          <w:szCs w:val="16"/>
          <w:rtl/>
        </w:rPr>
        <w:t xml:space="preserve">{לקמן} </w:t>
      </w:r>
      <w:r w:rsidRPr="004B3A7B">
        <w:rPr>
          <w:rFonts w:cs="Arial"/>
          <w:rtl/>
        </w:rPr>
        <w:t>ודוקא שנתערב יבש ביבש כו'</w:t>
      </w:r>
      <w:r>
        <w:rPr>
          <w:rFonts w:hint="cs"/>
          <w:rtl/>
        </w:rPr>
        <w:t xml:space="preserve">, ש"ך </w:t>
      </w:r>
      <w:r w:rsidRPr="004B3A7B">
        <w:rPr>
          <w:rFonts w:hint="cs"/>
          <w:sz w:val="16"/>
          <w:szCs w:val="16"/>
          <w:rtl/>
        </w:rPr>
        <w:t>(סק"ט)</w:t>
      </w:r>
      <w:r>
        <w:rPr>
          <w:rFonts w:hint="cs"/>
          <w:rtl/>
        </w:rPr>
        <w:t>.</w:t>
      </w:r>
    </w:p>
  </w:footnote>
  <w:footnote w:id="1892">
    <w:p w14:paraId="37AF7B33" w14:textId="77777777" w:rsidR="004C5A3C" w:rsidRDefault="004C5A3C" w:rsidP="002C39F4">
      <w:pPr>
        <w:pStyle w:val="a5"/>
        <w:rPr>
          <w:rtl/>
        </w:rPr>
      </w:pPr>
      <w:r>
        <w:rPr>
          <w:rStyle w:val="a7"/>
        </w:rPr>
        <w:footnoteRef/>
      </w:r>
      <w:r>
        <w:rPr>
          <w:rtl/>
        </w:rPr>
        <w:t xml:space="preserve"> </w:t>
      </w:r>
      <w:r w:rsidRPr="0087210F">
        <w:rPr>
          <w:rFonts w:cs="Arial"/>
          <w:rtl/>
        </w:rPr>
        <w:t>פירש רש"ל שם בפג"ה דהיינו דוקא שידע זה שנתבטל עבורו וניחא ליה אפילו לא צוה אותו לבטלו אבל אם לא ידע ממנו שרי ליה דהרי הוא כשוגג ובמקום האסור לו אסור גם כן לבני ביתו</w:t>
      </w:r>
      <w:r>
        <w:rPr>
          <w:rFonts w:cs="Arial" w:hint="cs"/>
          <w:rtl/>
        </w:rPr>
        <w:t>,</w:t>
      </w:r>
      <w:r w:rsidRPr="0087210F">
        <w:rPr>
          <w:rFonts w:cs="Arial"/>
          <w:rtl/>
        </w:rPr>
        <w:t xml:space="preserve"> כן פירש רש"ל שם</w:t>
      </w:r>
      <w:r>
        <w:rPr>
          <w:rFonts w:hint="cs"/>
          <w:rtl/>
        </w:rPr>
        <w:t>, ט"ז (סק"י).</w:t>
      </w:r>
    </w:p>
  </w:footnote>
  <w:footnote w:id="1893">
    <w:p w14:paraId="621615C3" w14:textId="77777777" w:rsidR="004C5A3C" w:rsidRDefault="004C5A3C" w:rsidP="002C39F4">
      <w:pPr>
        <w:pStyle w:val="a5"/>
        <w:rPr>
          <w:rtl/>
        </w:rPr>
      </w:pPr>
      <w:r>
        <w:rPr>
          <w:rStyle w:val="a7"/>
        </w:rPr>
        <w:footnoteRef/>
      </w:r>
      <w:r>
        <w:rPr>
          <w:rtl/>
        </w:rPr>
        <w:t xml:space="preserve"> </w:t>
      </w:r>
      <w:r w:rsidRPr="0024553B">
        <w:rPr>
          <w:rFonts w:cs="Arial"/>
          <w:rtl/>
        </w:rPr>
        <w:t>דאע"ג דהאיסור עצמו היה מותר בהנאה</w:t>
      </w:r>
      <w:r>
        <w:rPr>
          <w:rFonts w:cs="Arial" w:hint="cs"/>
          <w:rtl/>
        </w:rPr>
        <w:t>,</w:t>
      </w:r>
      <w:r w:rsidRPr="0024553B">
        <w:rPr>
          <w:rFonts w:cs="Arial"/>
          <w:rtl/>
        </w:rPr>
        <w:t xml:space="preserve"> מ"מ היה אסור באכילה</w:t>
      </w:r>
      <w:r>
        <w:rPr>
          <w:rFonts w:cs="Arial" w:hint="cs"/>
          <w:rtl/>
        </w:rPr>
        <w:t>,</w:t>
      </w:r>
      <w:r w:rsidRPr="0024553B">
        <w:rPr>
          <w:rFonts w:cs="Arial"/>
          <w:rtl/>
        </w:rPr>
        <w:t xml:space="preserve"> ועתה היה נהנה בתוספת זה </w:t>
      </w:r>
      <w:r>
        <w:rPr>
          <w:rFonts w:cs="Arial" w:hint="cs"/>
          <w:sz w:val="16"/>
          <w:szCs w:val="16"/>
          <w:rtl/>
        </w:rPr>
        <w:t xml:space="preserve">{תוספת ההיתר כדי לבטל} </w:t>
      </w:r>
      <w:r w:rsidRPr="0024553B">
        <w:rPr>
          <w:rFonts w:cs="Arial"/>
          <w:rtl/>
        </w:rPr>
        <w:t>להתיר אף באכילה</w:t>
      </w:r>
      <w:r>
        <w:rPr>
          <w:rFonts w:cs="Arial" w:hint="cs"/>
          <w:rtl/>
        </w:rPr>
        <w:t>,</w:t>
      </w:r>
      <w:r w:rsidRPr="0024553B">
        <w:rPr>
          <w:rFonts w:cs="Arial"/>
          <w:rtl/>
        </w:rPr>
        <w:t xml:space="preserve"> הלכך צריך ליתנו לאחר בחנם</w:t>
      </w:r>
      <w:r>
        <w:rPr>
          <w:rFonts w:cs="Arial" w:hint="cs"/>
          <w:rtl/>
        </w:rPr>
        <w:t>,</w:t>
      </w:r>
      <w:r w:rsidRPr="0024553B">
        <w:rPr>
          <w:rFonts w:cs="Arial"/>
          <w:rtl/>
        </w:rPr>
        <w:t xml:space="preserve"> עכ"ל או"ה שם</w:t>
      </w:r>
      <w:r>
        <w:rPr>
          <w:rFonts w:cs="Arial" w:hint="cs"/>
          <w:rtl/>
        </w:rPr>
        <w:t>,</w:t>
      </w:r>
      <w:r w:rsidRPr="0024553B">
        <w:rPr>
          <w:rFonts w:cs="Arial"/>
          <w:rtl/>
        </w:rPr>
        <w:t xml:space="preserve"> ולי נראה דדוקא כשהישראל לוקח ביוקר מה</w:t>
      </w:r>
      <w:r>
        <w:rPr>
          <w:rFonts w:cs="Arial" w:hint="cs"/>
          <w:rtl/>
        </w:rPr>
        <w:t>גוי</w:t>
      </w:r>
      <w:r w:rsidRPr="0024553B">
        <w:rPr>
          <w:rFonts w:cs="Arial"/>
          <w:rtl/>
        </w:rPr>
        <w:t>ם אסור</w:t>
      </w:r>
      <w:r>
        <w:rPr>
          <w:rFonts w:cs="Arial" w:hint="cs"/>
          <w:rtl/>
        </w:rPr>
        <w:t>,</w:t>
      </w:r>
      <w:r w:rsidRPr="0024553B">
        <w:rPr>
          <w:rFonts w:cs="Arial"/>
          <w:rtl/>
        </w:rPr>
        <w:t xml:space="preserve"> דאי לאו הכי אין טעם לאסרו למכור לישראל דהא לא אהני מעשיו הרעים כנ"ל</w:t>
      </w:r>
      <w:r>
        <w:rPr>
          <w:rFonts w:cs="Arial" w:hint="cs"/>
          <w:rtl/>
        </w:rPr>
        <w:t>,</w:t>
      </w:r>
      <w:r w:rsidRPr="0024553B">
        <w:rPr>
          <w:rFonts w:cs="Arial"/>
          <w:rtl/>
        </w:rPr>
        <w:t xml:space="preserve"> ואולי מ"ש צריך ליתנו לאחר בחנם הוא לאו דוקא</w:t>
      </w:r>
      <w:r>
        <w:rPr>
          <w:rFonts w:cs="Arial" w:hint="cs"/>
          <w:rtl/>
        </w:rPr>
        <w:t>, ש"ך</w:t>
      </w:r>
      <w:r w:rsidRPr="0024553B">
        <w:rPr>
          <w:rFonts w:cs="Arial" w:hint="cs"/>
          <w:sz w:val="16"/>
          <w:szCs w:val="16"/>
          <w:rtl/>
        </w:rPr>
        <w:t xml:space="preserve"> (סקי"ב)</w:t>
      </w:r>
      <w:r>
        <w:rPr>
          <w:rFonts w:cs="Arial" w:hint="cs"/>
          <w:rtl/>
        </w:rPr>
        <w:t>.</w:t>
      </w:r>
    </w:p>
  </w:footnote>
  <w:footnote w:id="1894">
    <w:p w14:paraId="044DC990" w14:textId="77777777" w:rsidR="004C5A3C" w:rsidRDefault="004C5A3C" w:rsidP="002C39F4">
      <w:pPr>
        <w:pStyle w:val="a5"/>
      </w:pPr>
      <w:r>
        <w:rPr>
          <w:rStyle w:val="a7"/>
        </w:rPr>
        <w:footnoteRef/>
      </w:r>
      <w:r>
        <w:rPr>
          <w:rtl/>
        </w:rPr>
        <w:t xml:space="preserve"> </w:t>
      </w:r>
      <w:r w:rsidRPr="00F47C60">
        <w:rPr>
          <w:rFonts w:cs="Arial"/>
          <w:rtl/>
        </w:rPr>
        <w:t>וקי"ל הכי בשאר איסורים בהפסד מרובה וכדלעיל סי' צ"ב ס"ד בהג"ה</w:t>
      </w:r>
      <w:r>
        <w:rPr>
          <w:rFonts w:cs="Arial" w:hint="cs"/>
          <w:rtl/>
        </w:rPr>
        <w:t>, ש"ך (סקי"ג).</w:t>
      </w:r>
    </w:p>
  </w:footnote>
  <w:footnote w:id="1895">
    <w:p w14:paraId="373A461F" w14:textId="77777777" w:rsidR="004C5A3C" w:rsidRDefault="004C5A3C" w:rsidP="002C39F4">
      <w:pPr>
        <w:pStyle w:val="a5"/>
        <w:rPr>
          <w:rtl/>
        </w:rPr>
      </w:pPr>
      <w:r>
        <w:rPr>
          <w:rStyle w:val="a7"/>
        </w:rPr>
        <w:footnoteRef/>
      </w:r>
      <w:r>
        <w:rPr>
          <w:rtl/>
        </w:rPr>
        <w:t xml:space="preserve"> </w:t>
      </w:r>
      <w:r>
        <w:rPr>
          <w:rFonts w:hint="cs"/>
          <w:rtl/>
        </w:rPr>
        <w:t xml:space="preserve">כ' הש"ך (סקי"ד)- </w:t>
      </w:r>
      <w:r w:rsidRPr="008E77E7">
        <w:rPr>
          <w:rFonts w:cs="Arial"/>
          <w:rtl/>
        </w:rPr>
        <w:t>לכאורה קשיא מה ענין זה לחנ"נ</w:t>
      </w:r>
      <w:r>
        <w:rPr>
          <w:rFonts w:cs="Arial" w:hint="cs"/>
          <w:rtl/>
        </w:rPr>
        <w:t>,</w:t>
      </w:r>
      <w:r w:rsidRPr="008E77E7">
        <w:rPr>
          <w:rFonts w:cs="Arial"/>
          <w:rtl/>
        </w:rPr>
        <w:t xml:space="preserve"> דאפי' למאן דאמר דלא אמרינן חנ"נ בשאר איסורים מ"מ חתיכה שבלעה איסור ונתוסף עליהם היתר אח"כ החתיכה עצמה נשארת באיסורה</w:t>
      </w:r>
      <w:r>
        <w:rPr>
          <w:rFonts w:cs="Arial" w:hint="cs"/>
          <w:rtl/>
        </w:rPr>
        <w:t>,</w:t>
      </w:r>
      <w:r w:rsidRPr="008E77E7">
        <w:rPr>
          <w:rFonts w:cs="Arial"/>
          <w:rtl/>
        </w:rPr>
        <w:t xml:space="preserve"> וכמ"ש הרשב"א והמחבר לקמן ר"ס ק"ו שהאיסור שבה אינו נפלט לגמרי</w:t>
      </w:r>
      <w:r>
        <w:rPr>
          <w:rFonts w:cs="Arial" w:hint="cs"/>
          <w:rtl/>
        </w:rPr>
        <w:t>,</w:t>
      </w:r>
      <w:r w:rsidRPr="008E77E7">
        <w:rPr>
          <w:rFonts w:cs="Arial"/>
          <w:rtl/>
        </w:rPr>
        <w:t xml:space="preserve"> אלא הרב אתא לאשמועינן דחתיכה שבלעה איסור ונתוסף אח"כ היתר דאפי' התוספת אסור כי ליכא ששים נגד כל החתיכה</w:t>
      </w:r>
      <w:r>
        <w:rPr>
          <w:rFonts w:cs="Arial" w:hint="cs"/>
          <w:rtl/>
        </w:rPr>
        <w:t>,</w:t>
      </w:r>
      <w:r w:rsidRPr="008E77E7">
        <w:rPr>
          <w:rFonts w:cs="Arial"/>
          <w:rtl/>
        </w:rPr>
        <w:t xml:space="preserve"> אבל אם ריבה עליו בשוגג נגד כל מה שנ"נ בלח בלח</w:t>
      </w:r>
      <w:r>
        <w:rPr>
          <w:rFonts w:cs="Arial" w:hint="cs"/>
          <w:rtl/>
        </w:rPr>
        <w:t>,</w:t>
      </w:r>
      <w:r w:rsidRPr="008E77E7">
        <w:rPr>
          <w:rFonts w:cs="Arial"/>
          <w:rtl/>
        </w:rPr>
        <w:t xml:space="preserve"> למ"ד חנ"נ</w:t>
      </w:r>
      <w:r>
        <w:rPr>
          <w:rFonts w:cs="Arial" w:hint="cs"/>
          <w:rtl/>
        </w:rPr>
        <w:t>,</w:t>
      </w:r>
      <w:r w:rsidRPr="008E77E7">
        <w:rPr>
          <w:rFonts w:cs="Arial"/>
          <w:rtl/>
        </w:rPr>
        <w:t xml:space="preserve"> וכן אפי' בבשר בחלב בלח</w:t>
      </w:r>
      <w:r>
        <w:rPr>
          <w:rFonts w:cs="Arial" w:hint="cs"/>
          <w:rtl/>
        </w:rPr>
        <w:t>,</w:t>
      </w:r>
      <w:r w:rsidRPr="008E77E7">
        <w:rPr>
          <w:rFonts w:cs="Arial"/>
          <w:rtl/>
        </w:rPr>
        <w:t xml:space="preserve"> הכל מותר</w:t>
      </w:r>
      <w:r>
        <w:rPr>
          <w:rFonts w:cs="Arial" w:hint="cs"/>
          <w:rtl/>
        </w:rPr>
        <w:t>,</w:t>
      </w:r>
      <w:r w:rsidRPr="008E77E7">
        <w:rPr>
          <w:rFonts w:cs="Arial"/>
          <w:rtl/>
        </w:rPr>
        <w:t xml:space="preserve"> אבל בחתיכה שבלעה איסור אפי' ריבה עליו ששים נגד כל החתיכה החתיכה עצמה אסורה</w:t>
      </w:r>
      <w:r>
        <w:rPr>
          <w:rFonts w:cs="Arial" w:hint="cs"/>
          <w:rtl/>
        </w:rPr>
        <w:t>,</w:t>
      </w:r>
      <w:r w:rsidRPr="008E77E7">
        <w:rPr>
          <w:rFonts w:cs="Arial"/>
          <w:rtl/>
        </w:rPr>
        <w:t xml:space="preserve"> כדלקמן סי' ק"ו</w:t>
      </w:r>
      <w:r>
        <w:rPr>
          <w:rFonts w:cs="Arial" w:hint="cs"/>
          <w:rtl/>
        </w:rPr>
        <w:t>.</w:t>
      </w:r>
      <w:r w:rsidRPr="008E77E7">
        <w:rPr>
          <w:rFonts w:cs="Arial"/>
          <w:rtl/>
        </w:rPr>
        <w:t xml:space="preserve"> </w:t>
      </w:r>
      <w:r>
        <w:rPr>
          <w:rFonts w:cs="Arial" w:hint="cs"/>
          <w:rtl/>
        </w:rPr>
        <w:t>עכ"ל. וכתב עוד הש"ך דמדברי הר"ב משמע דאפילו בבשר בחלב לא אמרינן חנ"נ בלח בלח</w:t>
      </w:r>
      <w:r>
        <w:rPr>
          <w:rFonts w:hint="cs"/>
          <w:rtl/>
        </w:rPr>
        <w:t>, והוא חולק עליו, עי' שם שהניח את דברי הרב בצ"ע, באה"ט</w:t>
      </w:r>
      <w:r w:rsidRPr="00473C29">
        <w:rPr>
          <w:rFonts w:hint="cs"/>
          <w:sz w:val="16"/>
          <w:szCs w:val="16"/>
          <w:rtl/>
        </w:rPr>
        <w:t xml:space="preserve"> (סקי"ב)</w:t>
      </w:r>
      <w:r>
        <w:rPr>
          <w:rFonts w:hint="cs"/>
          <w:rtl/>
        </w:rPr>
        <w:t>.</w:t>
      </w:r>
    </w:p>
  </w:footnote>
  <w:footnote w:id="1896">
    <w:p w14:paraId="51A0DE90" w14:textId="77777777" w:rsidR="004C5A3C" w:rsidRDefault="004C5A3C" w:rsidP="002C39F4">
      <w:pPr>
        <w:pStyle w:val="a5"/>
      </w:pPr>
      <w:r>
        <w:rPr>
          <w:rStyle w:val="a7"/>
        </w:rPr>
        <w:footnoteRef/>
      </w:r>
      <w:r>
        <w:rPr>
          <w:rtl/>
        </w:rPr>
        <w:t xml:space="preserve"> </w:t>
      </w:r>
      <w:r>
        <w:rPr>
          <w:rFonts w:hint="cs"/>
          <w:rtl/>
        </w:rPr>
        <w:t>בציונים נכתב כאן "</w:t>
      </w:r>
      <w:r w:rsidRPr="0054056E">
        <w:rPr>
          <w:rFonts w:asciiTheme="minorBidi" w:hAnsiTheme="minorBidi"/>
          <w:rtl/>
        </w:rPr>
        <w:t>רשב"א סי' תצה</w:t>
      </w:r>
      <w:r w:rsidRPr="0054056E">
        <w:rPr>
          <w:rFonts w:asciiTheme="minorBidi" w:hAnsiTheme="minorBidi" w:hint="cs"/>
          <w:rtl/>
        </w:rPr>
        <w:t>"</w:t>
      </w:r>
      <w:r>
        <w:rPr>
          <w:rFonts w:hint="cs"/>
          <w:rtl/>
        </w:rPr>
        <w:t>. וצ"ע שהרי הרשב"א לא כ' דאמרי' חנ"נ, ואדרבה כ' שם דאין אומרים חנ"נ בשאר איסורין.</w:t>
      </w:r>
    </w:p>
  </w:footnote>
  <w:footnote w:id="1897">
    <w:p w14:paraId="23872935" w14:textId="77777777" w:rsidR="004C5A3C" w:rsidRDefault="004C5A3C" w:rsidP="002C39F4">
      <w:pPr>
        <w:pStyle w:val="a5"/>
        <w:rPr>
          <w:rtl/>
        </w:rPr>
      </w:pPr>
      <w:r>
        <w:rPr>
          <w:rStyle w:val="a7"/>
        </w:rPr>
        <w:footnoteRef/>
      </w:r>
      <w:r>
        <w:rPr>
          <w:rtl/>
        </w:rPr>
        <w:t xml:space="preserve"> </w:t>
      </w:r>
      <w:r w:rsidRPr="00796203">
        <w:rPr>
          <w:rFonts w:cs="Arial"/>
          <w:rtl/>
        </w:rPr>
        <w:t>ו</w:t>
      </w:r>
      <w:r>
        <w:rPr>
          <w:rFonts w:cs="Arial" w:hint="cs"/>
          <w:rtl/>
        </w:rPr>
        <w:t xml:space="preserve">הטעם הוא </w:t>
      </w:r>
      <w:r w:rsidRPr="00796203">
        <w:rPr>
          <w:rFonts w:cs="Arial"/>
          <w:rtl/>
        </w:rPr>
        <w:t>דלא מחזקינן איסורא</w:t>
      </w:r>
      <w:r>
        <w:rPr>
          <w:rFonts w:cs="Arial" w:hint="cs"/>
          <w:rtl/>
        </w:rPr>
        <w:t>,</w:t>
      </w:r>
      <w:r w:rsidRPr="00796203">
        <w:rPr>
          <w:rFonts w:cs="Arial"/>
          <w:rtl/>
        </w:rPr>
        <w:t xml:space="preserve"> וכמו שנמצא כן היה</w:t>
      </w:r>
      <w:r>
        <w:rPr>
          <w:rFonts w:cs="Arial" w:hint="cs"/>
          <w:rtl/>
        </w:rPr>
        <w:t xml:space="preserve">... </w:t>
      </w:r>
      <w:r w:rsidRPr="00796203">
        <w:rPr>
          <w:rFonts w:cs="Arial"/>
          <w:rtl/>
        </w:rPr>
        <w:t>אמנם אם ידוע להמורה שנתוסף אלא שאין ידוע אימתי</w:t>
      </w:r>
      <w:r>
        <w:rPr>
          <w:rFonts w:cs="Arial" w:hint="cs"/>
          <w:rtl/>
        </w:rPr>
        <w:t>,</w:t>
      </w:r>
      <w:r w:rsidRPr="00796203">
        <w:rPr>
          <w:rFonts w:cs="Arial"/>
          <w:rtl/>
        </w:rPr>
        <w:t xml:space="preserve"> בזה ודאי יש לחקור אחר זה אימתי נתוסף</w:t>
      </w:r>
      <w:r>
        <w:rPr>
          <w:rFonts w:cs="Arial" w:hint="cs"/>
          <w:rtl/>
        </w:rPr>
        <w:t>,</w:t>
      </w:r>
      <w:r w:rsidRPr="00796203">
        <w:rPr>
          <w:rFonts w:cs="Arial"/>
          <w:rtl/>
        </w:rPr>
        <w:t xml:space="preserve"> כנלע"ד להלכה אף שרש"ל מחמיר בכל ענין לשאול אחריו</w:t>
      </w:r>
      <w:r>
        <w:rPr>
          <w:rFonts w:cs="Arial" w:hint="cs"/>
          <w:rtl/>
        </w:rPr>
        <w:t>,</w:t>
      </w:r>
      <w:r w:rsidRPr="00796203">
        <w:rPr>
          <w:rFonts w:cs="Arial"/>
          <w:rtl/>
        </w:rPr>
        <w:t xml:space="preserve"> מ"מ אין אחר המנהג כלום זולת בדרך שכתבתי</w:t>
      </w:r>
      <w:r>
        <w:rPr>
          <w:rFonts w:cs="Arial" w:hint="cs"/>
          <w:rtl/>
        </w:rPr>
        <w:t>,</w:t>
      </w:r>
      <w:r w:rsidRPr="00796203">
        <w:rPr>
          <w:rFonts w:hint="cs"/>
          <w:rtl/>
        </w:rPr>
        <w:t xml:space="preserve"> </w:t>
      </w:r>
      <w:r>
        <w:rPr>
          <w:rFonts w:hint="cs"/>
          <w:rtl/>
        </w:rPr>
        <w:t xml:space="preserve">ט"ז (סקי"א). </w:t>
      </w:r>
      <w:r>
        <w:rPr>
          <w:rFonts w:cs="Arial" w:hint="cs"/>
          <w:rtl/>
        </w:rPr>
        <w:t xml:space="preserve">וכ' הש"ך (סקט"ז) דאפילו </w:t>
      </w:r>
      <w:r w:rsidRPr="00796203">
        <w:rPr>
          <w:rFonts w:cs="Arial"/>
          <w:rtl/>
        </w:rPr>
        <w:t>למ</w:t>
      </w:r>
      <w:r>
        <w:rPr>
          <w:rFonts w:cs="Arial" w:hint="cs"/>
          <w:rtl/>
        </w:rPr>
        <w:t xml:space="preserve">אן </w:t>
      </w:r>
      <w:r w:rsidRPr="00796203">
        <w:rPr>
          <w:rFonts w:cs="Arial"/>
          <w:rtl/>
        </w:rPr>
        <w:t>ד</w:t>
      </w:r>
      <w:r>
        <w:rPr>
          <w:rFonts w:cs="Arial" w:hint="cs"/>
          <w:rtl/>
        </w:rPr>
        <w:t>אמר</w:t>
      </w:r>
      <w:r w:rsidRPr="00796203">
        <w:rPr>
          <w:rFonts w:cs="Arial"/>
          <w:rtl/>
        </w:rPr>
        <w:t xml:space="preserve"> לח בלח נ"נ</w:t>
      </w:r>
      <w:r>
        <w:rPr>
          <w:rFonts w:cs="Arial" w:hint="cs"/>
          <w:rtl/>
        </w:rPr>
        <w:t>,</w:t>
      </w:r>
      <w:r w:rsidRPr="00796203">
        <w:rPr>
          <w:rFonts w:cs="Arial"/>
          <w:rtl/>
        </w:rPr>
        <w:t xml:space="preserve"> או חתיכה שבלעה איסור לכ</w:t>
      </w:r>
      <w:r>
        <w:rPr>
          <w:rFonts w:cs="Arial" w:hint="cs"/>
          <w:rtl/>
        </w:rPr>
        <w:t>ו</w:t>
      </w:r>
      <w:r w:rsidRPr="00796203">
        <w:rPr>
          <w:rFonts w:cs="Arial"/>
          <w:rtl/>
        </w:rPr>
        <w:t>"ע</w:t>
      </w:r>
      <w:r>
        <w:rPr>
          <w:rFonts w:cs="Arial" w:hint="cs"/>
          <w:rtl/>
        </w:rPr>
        <w:t>,</w:t>
      </w:r>
      <w:r w:rsidRPr="00796203">
        <w:rPr>
          <w:rFonts w:cs="Arial"/>
          <w:rtl/>
        </w:rPr>
        <w:t xml:space="preserve"> או נודע התערובות לאו"ה</w:t>
      </w:r>
      <w:r>
        <w:rPr>
          <w:rFonts w:cs="Arial" w:hint="cs"/>
          <w:rtl/>
        </w:rPr>
        <w:t>,</w:t>
      </w:r>
      <w:r w:rsidRPr="00796203">
        <w:rPr>
          <w:rFonts w:cs="Arial"/>
          <w:rtl/>
        </w:rPr>
        <w:t xml:space="preserve"> </w:t>
      </w:r>
      <w:r>
        <w:rPr>
          <w:rFonts w:cs="Arial" w:hint="cs"/>
          <w:rtl/>
        </w:rPr>
        <w:t>בכולהו לא נהגו לחקור, דלא מחזקינן איסורא. אך מה שכתב הרב לחלק בין נודע התערובת או לא ואפילו בחנ"נ יש חילוק זה, חולק עליו הש"ך (סקט"ו), שהרי למ"ד חנ"נ א"כ תיכף כשלא היה ששים נתן טעם ומה לי אם נודע או לא, והכי מוכח נמי מסימן צ"ד גבי תוחב כף חולבת בקדרה של בשר שתי פעמים ולא נודע בנתיים דצריך שתי פעמים, מטעם דבפעם הראשונה נעשה כל הכף נבלה, וכן כמה שאר ראיות, באה"ט (סקי"ג).</w:t>
      </w:r>
    </w:p>
  </w:footnote>
  <w:footnote w:id="1898">
    <w:p w14:paraId="1344A981" w14:textId="77777777" w:rsidR="004C5A3C" w:rsidRDefault="004C5A3C" w:rsidP="002C39F4">
      <w:pPr>
        <w:pStyle w:val="a5"/>
        <w:rPr>
          <w:rtl/>
        </w:rPr>
      </w:pPr>
      <w:r>
        <w:rPr>
          <w:rStyle w:val="a7"/>
        </w:rPr>
        <w:footnoteRef/>
      </w:r>
      <w:r>
        <w:rPr>
          <w:rtl/>
        </w:rPr>
        <w:t xml:space="preserve"> </w:t>
      </w:r>
      <w:r>
        <w:rPr>
          <w:rFonts w:cs="Arial"/>
          <w:rtl/>
        </w:rPr>
        <w:t>נראה שטעמם מדאמרינן התם בתר דשני הני מילי בדאו</w:t>
      </w:r>
      <w:r>
        <w:rPr>
          <w:rFonts w:cs="Arial" w:hint="cs"/>
          <w:rtl/>
        </w:rPr>
        <w:t>'</w:t>
      </w:r>
      <w:r>
        <w:rPr>
          <w:rFonts w:cs="Arial"/>
          <w:rtl/>
        </w:rPr>
        <w:t xml:space="preserve"> אבל בדרבנן מבטלין ולרב אשי דאמר כל דבר שיש לו מתירין אפילו בדרבנן לא בטיל מאי איכא למימר ומשני ה"מ היכא דאיתא לאיסורא בעיניה הכא מקלא קלי איסוריה</w:t>
      </w:r>
      <w:r>
        <w:rPr>
          <w:rFonts w:cs="Arial" w:hint="cs"/>
          <w:rtl/>
        </w:rPr>
        <w:t>,</w:t>
      </w:r>
      <w:r>
        <w:rPr>
          <w:rFonts w:cs="Arial"/>
          <w:rtl/>
        </w:rPr>
        <w:t xml:space="preserve"> ומשמע להו דכי מפליג מעיקרא בין דאו</w:t>
      </w:r>
      <w:r>
        <w:rPr>
          <w:rFonts w:cs="Arial" w:hint="cs"/>
          <w:rtl/>
        </w:rPr>
        <w:t>'</w:t>
      </w:r>
      <w:r>
        <w:rPr>
          <w:rFonts w:cs="Arial"/>
          <w:rtl/>
        </w:rPr>
        <w:t xml:space="preserve"> לדרבנן</w:t>
      </w:r>
      <w:r>
        <w:rPr>
          <w:rFonts w:cs="Arial" w:hint="cs"/>
          <w:rtl/>
        </w:rPr>
        <w:t>-</w:t>
      </w:r>
      <w:r>
        <w:rPr>
          <w:rFonts w:cs="Arial"/>
          <w:rtl/>
        </w:rPr>
        <w:t xml:space="preserve"> אמסקנא סמיך</w:t>
      </w:r>
      <w:r>
        <w:rPr>
          <w:rFonts w:cs="Arial" w:hint="cs"/>
          <w:rtl/>
        </w:rPr>
        <w:t>,</w:t>
      </w:r>
      <w:r>
        <w:rPr>
          <w:rFonts w:cs="Arial"/>
          <w:rtl/>
        </w:rPr>
        <w:t xml:space="preserve"> לומר דדוקא בדקלי איסוריה הוא דמבטל בדרבנן</w:t>
      </w:r>
      <w:r>
        <w:rPr>
          <w:rFonts w:cs="Arial" w:hint="cs"/>
          <w:rtl/>
        </w:rPr>
        <w:t>,</w:t>
      </w:r>
      <w:r>
        <w:rPr>
          <w:rFonts w:cs="Arial"/>
          <w:rtl/>
        </w:rPr>
        <w:t xml:space="preserve"> וכ</w:t>
      </w:r>
      <w:r>
        <w:rPr>
          <w:rFonts w:cs="Arial" w:hint="cs"/>
          <w:rtl/>
        </w:rPr>
        <w:t>'</w:t>
      </w:r>
      <w:r>
        <w:rPr>
          <w:rFonts w:cs="Arial"/>
          <w:rtl/>
        </w:rPr>
        <w:t xml:space="preserve"> בתרו</w:t>
      </w:r>
      <w:r>
        <w:rPr>
          <w:rFonts w:cs="Arial" w:hint="cs"/>
          <w:rtl/>
        </w:rPr>
        <w:t>ה"ד</w:t>
      </w:r>
      <w:r>
        <w:rPr>
          <w:rFonts w:cs="Arial"/>
          <w:rtl/>
        </w:rPr>
        <w:t xml:space="preserve"> סי</w:t>
      </w:r>
      <w:r>
        <w:rPr>
          <w:rFonts w:cs="Arial" w:hint="cs"/>
          <w:rtl/>
        </w:rPr>
        <w:t>'</w:t>
      </w:r>
      <w:r>
        <w:rPr>
          <w:rFonts w:cs="Arial"/>
          <w:rtl/>
        </w:rPr>
        <w:t xml:space="preserve"> נד שכן נהגו</w:t>
      </w:r>
      <w:r>
        <w:rPr>
          <w:rFonts w:cs="Arial" w:hint="cs"/>
          <w:rtl/>
        </w:rPr>
        <w:t>, ב"י.</w:t>
      </w:r>
      <w:r>
        <w:rPr>
          <w:rFonts w:hint="cs"/>
          <w:rtl/>
        </w:rPr>
        <w:t xml:space="preserve"> </w:t>
      </w:r>
      <w:r w:rsidRPr="00DD350B">
        <w:rPr>
          <w:rFonts w:cs="Arial"/>
          <w:rtl/>
        </w:rPr>
        <w:t>וכ"כ בהג</w:t>
      </w:r>
      <w:r>
        <w:rPr>
          <w:rFonts w:cs="Arial" w:hint="cs"/>
          <w:rtl/>
        </w:rPr>
        <w:t>שע"ד</w:t>
      </w:r>
      <w:r w:rsidRPr="00DD350B">
        <w:rPr>
          <w:rFonts w:cs="Arial"/>
          <w:rtl/>
        </w:rPr>
        <w:t xml:space="preserve"> (סי' לט סק</w:t>
      </w:r>
      <w:r>
        <w:rPr>
          <w:rFonts w:cs="Arial" w:hint="cs"/>
          <w:rtl/>
        </w:rPr>
        <w:t>"</w:t>
      </w:r>
      <w:r w:rsidRPr="00DD350B">
        <w:rPr>
          <w:rFonts w:cs="Arial"/>
          <w:rtl/>
        </w:rPr>
        <w:t>ג ד"ה הרא"ש) וב</w:t>
      </w:r>
      <w:r>
        <w:rPr>
          <w:rFonts w:cs="Arial" w:hint="cs"/>
          <w:rtl/>
        </w:rPr>
        <w:t>או</w:t>
      </w:r>
      <w:r>
        <w:rPr>
          <w:rFonts w:cs="Arial"/>
          <w:rtl/>
        </w:rPr>
        <w:t>"</w:t>
      </w:r>
      <w:r>
        <w:rPr>
          <w:rFonts w:cs="Arial" w:hint="cs"/>
          <w:rtl/>
        </w:rPr>
        <w:t>ה</w:t>
      </w:r>
      <w:r w:rsidRPr="00DD350B">
        <w:rPr>
          <w:rFonts w:cs="Arial"/>
          <w:rtl/>
        </w:rPr>
        <w:t xml:space="preserve"> (כלל כד דין י) דנוהגין כדעת הרא"ש</w:t>
      </w:r>
      <w:r>
        <w:rPr>
          <w:rFonts w:hint="cs"/>
          <w:rtl/>
        </w:rPr>
        <w:t>, דרכ"מ (אות ד).</w:t>
      </w:r>
    </w:p>
  </w:footnote>
  <w:footnote w:id="1899">
    <w:p w14:paraId="4C2765C5" w14:textId="77777777" w:rsidR="004C5A3C" w:rsidRDefault="004C5A3C" w:rsidP="002C39F4">
      <w:pPr>
        <w:pStyle w:val="a5"/>
        <w:rPr>
          <w:rtl/>
        </w:rPr>
      </w:pPr>
      <w:r>
        <w:rPr>
          <w:rStyle w:val="a7"/>
        </w:rPr>
        <w:footnoteRef/>
      </w:r>
      <w:r>
        <w:rPr>
          <w:rtl/>
        </w:rPr>
        <w:t xml:space="preserve"> </w:t>
      </w:r>
      <w:r>
        <w:rPr>
          <w:rFonts w:cs="Arial" w:hint="cs"/>
          <w:rtl/>
        </w:rPr>
        <w:t xml:space="preserve">ר"י </w:t>
      </w:r>
      <w:r w:rsidRPr="00221C51">
        <w:rPr>
          <w:rFonts w:cs="Arial"/>
          <w:sz w:val="16"/>
          <w:szCs w:val="16"/>
          <w:rtl/>
        </w:rPr>
        <w:t>(</w:t>
      </w:r>
      <w:r w:rsidRPr="00221C51">
        <w:rPr>
          <w:rFonts w:cs="Arial" w:hint="cs"/>
          <w:sz w:val="16"/>
          <w:szCs w:val="16"/>
          <w:rtl/>
        </w:rPr>
        <w:t xml:space="preserve">תוס' פסחים </w:t>
      </w:r>
      <w:r w:rsidRPr="00221C51">
        <w:rPr>
          <w:rFonts w:cs="Arial"/>
          <w:sz w:val="16"/>
          <w:szCs w:val="16"/>
          <w:rtl/>
        </w:rPr>
        <w:t>ל.</w:t>
      </w:r>
      <w:r w:rsidRPr="00221C51">
        <w:rPr>
          <w:rFonts w:cs="Arial" w:hint="cs"/>
          <w:sz w:val="16"/>
          <w:szCs w:val="16"/>
          <w:rtl/>
        </w:rPr>
        <w:t xml:space="preserve"> </w:t>
      </w:r>
      <w:r w:rsidRPr="00221C51">
        <w:rPr>
          <w:rFonts w:cs="Arial"/>
          <w:sz w:val="16"/>
          <w:szCs w:val="16"/>
          <w:rtl/>
        </w:rPr>
        <w:t>ד"ה לישהינהו</w:t>
      </w:r>
      <w:r w:rsidRPr="00221C51">
        <w:rPr>
          <w:rFonts w:cs="Arial" w:hint="cs"/>
          <w:sz w:val="16"/>
          <w:szCs w:val="16"/>
          <w:rtl/>
        </w:rPr>
        <w:t>,</w:t>
      </w:r>
      <w:r w:rsidRPr="00221C51">
        <w:rPr>
          <w:rFonts w:cs="Arial"/>
          <w:sz w:val="16"/>
          <w:szCs w:val="16"/>
          <w:rtl/>
        </w:rPr>
        <w:t xml:space="preserve"> גבי קדרות בפסח)</w:t>
      </w:r>
      <w:r w:rsidRPr="00221C51">
        <w:rPr>
          <w:rFonts w:cs="Arial"/>
          <w:rtl/>
        </w:rPr>
        <w:t xml:space="preserve"> </w:t>
      </w:r>
      <w:r>
        <w:rPr>
          <w:rFonts w:cs="Arial" w:hint="cs"/>
          <w:rtl/>
        </w:rPr>
        <w:t>ו</w:t>
      </w:r>
      <w:r w:rsidRPr="00221C51">
        <w:rPr>
          <w:rFonts w:cs="Arial"/>
          <w:rtl/>
        </w:rPr>
        <w:t xml:space="preserve">ראבי"ה </w:t>
      </w:r>
      <w:r w:rsidRPr="00221C51">
        <w:rPr>
          <w:rFonts w:cs="Arial"/>
          <w:sz w:val="16"/>
          <w:szCs w:val="16"/>
          <w:rtl/>
        </w:rPr>
        <w:t>(סי' תשיו</w:t>
      </w:r>
      <w:r w:rsidRPr="00221C51">
        <w:rPr>
          <w:rFonts w:cs="Arial" w:hint="cs"/>
          <w:sz w:val="16"/>
          <w:szCs w:val="16"/>
          <w:rtl/>
        </w:rPr>
        <w:t>, הביא</w:t>
      </w:r>
      <w:r>
        <w:rPr>
          <w:rFonts w:cs="Arial" w:hint="cs"/>
          <w:sz w:val="16"/>
          <w:szCs w:val="16"/>
          <w:rtl/>
        </w:rPr>
        <w:t>ם</w:t>
      </w:r>
      <w:r w:rsidRPr="00221C51">
        <w:rPr>
          <w:rFonts w:cs="Arial" w:hint="cs"/>
          <w:sz w:val="16"/>
          <w:szCs w:val="16"/>
          <w:rtl/>
        </w:rPr>
        <w:t xml:space="preserve"> ההגה"מ</w:t>
      </w:r>
      <w:r w:rsidRPr="00221C51">
        <w:rPr>
          <w:rFonts w:cs="Arial"/>
          <w:sz w:val="16"/>
          <w:szCs w:val="16"/>
          <w:rtl/>
        </w:rPr>
        <w:t xml:space="preserve"> (פט"ו אות כ))</w:t>
      </w:r>
      <w:r>
        <w:rPr>
          <w:rFonts w:hint="cs"/>
          <w:rtl/>
        </w:rPr>
        <w:t>.</w:t>
      </w:r>
    </w:p>
  </w:footnote>
  <w:footnote w:id="1900">
    <w:p w14:paraId="1E782157" w14:textId="77777777" w:rsidR="004C5A3C" w:rsidRDefault="004C5A3C" w:rsidP="002C39F4">
      <w:pPr>
        <w:pStyle w:val="a5"/>
      </w:pPr>
      <w:r>
        <w:rPr>
          <w:rStyle w:val="a7"/>
        </w:rPr>
        <w:footnoteRef/>
      </w:r>
      <w:r>
        <w:rPr>
          <w:rtl/>
        </w:rPr>
        <w:t xml:space="preserve"> </w:t>
      </w:r>
      <w:r>
        <w:rPr>
          <w:rFonts w:cs="Arial"/>
          <w:rtl/>
        </w:rPr>
        <w:t>כ"כ הרמב"ן (הל' בכורות פ"ד כב.)</w:t>
      </w:r>
      <w:r>
        <w:rPr>
          <w:rFonts w:cs="Arial" w:hint="cs"/>
          <w:rtl/>
        </w:rPr>
        <w:t>.</w:t>
      </w:r>
      <w:r>
        <w:rPr>
          <w:rFonts w:cs="Arial"/>
          <w:rtl/>
        </w:rPr>
        <w:t xml:space="preserve"> ורבינו שמשון כתב בפרק בתרא דחלה (מ"ח) שאפילו לבטלה ברוב לא אמרו אלא לכהן טמא אבל להתירה לזרים לא</w:t>
      </w:r>
      <w:r>
        <w:rPr>
          <w:rFonts w:hint="cs"/>
          <w:rtl/>
        </w:rPr>
        <w:t>, רשב"א (שם).</w:t>
      </w:r>
    </w:p>
  </w:footnote>
  <w:footnote w:id="1901">
    <w:p w14:paraId="01A3DA3B" w14:textId="77777777" w:rsidR="004C5A3C" w:rsidRDefault="004C5A3C" w:rsidP="002C39F4">
      <w:pPr>
        <w:pStyle w:val="a5"/>
      </w:pPr>
      <w:r>
        <w:rPr>
          <w:rStyle w:val="a7"/>
        </w:rPr>
        <w:footnoteRef/>
      </w:r>
      <w:r>
        <w:rPr>
          <w:rtl/>
        </w:rPr>
        <w:t xml:space="preserve"> </w:t>
      </w:r>
      <w:r>
        <w:rPr>
          <w:rFonts w:cs="Arial"/>
          <w:rtl/>
        </w:rPr>
        <w:t>וגם בת</w:t>
      </w:r>
      <w:r>
        <w:rPr>
          <w:rFonts w:cs="Arial" w:hint="cs"/>
          <w:rtl/>
        </w:rPr>
        <w:t>וה"ק</w:t>
      </w:r>
      <w:r>
        <w:rPr>
          <w:rFonts w:cs="Arial"/>
          <w:rtl/>
        </w:rPr>
        <w:t xml:space="preserve"> (ב"ד ש"ג לב.) פסק שיש לחוש לדבריהם הלכה למעשה.</w:t>
      </w:r>
      <w:r>
        <w:rPr>
          <w:rFonts w:cs="Arial" w:hint="cs"/>
          <w:rtl/>
        </w:rPr>
        <w:t xml:space="preserve"> </w:t>
      </w:r>
      <w:r>
        <w:rPr>
          <w:rFonts w:cs="Arial"/>
          <w:rtl/>
        </w:rPr>
        <w:t>ו</w:t>
      </w:r>
      <w:r>
        <w:rPr>
          <w:rFonts w:cs="Arial" w:hint="cs"/>
          <w:rtl/>
        </w:rPr>
        <w:t xml:space="preserve">כ' הרשב"א </w:t>
      </w:r>
      <w:r>
        <w:rPr>
          <w:rFonts w:cs="Arial"/>
          <w:rtl/>
        </w:rPr>
        <w:t>דגבינות הגוים אין לו עיקר בדאורייתא</w:t>
      </w:r>
      <w:r>
        <w:rPr>
          <w:rFonts w:cs="Arial" w:hint="cs"/>
          <w:rtl/>
        </w:rPr>
        <w:t>,</w:t>
      </w:r>
      <w:r>
        <w:rPr>
          <w:rFonts w:cs="Arial"/>
          <w:rtl/>
        </w:rPr>
        <w:t xml:space="preserve"> </w:t>
      </w:r>
      <w:r>
        <w:rPr>
          <w:rFonts w:cs="Arial" w:hint="cs"/>
          <w:rtl/>
        </w:rPr>
        <w:t>ו</w:t>
      </w:r>
      <w:r>
        <w:rPr>
          <w:rFonts w:cs="Arial"/>
          <w:rtl/>
        </w:rPr>
        <w:t xml:space="preserve">כתב </w:t>
      </w:r>
      <w:r>
        <w:rPr>
          <w:rFonts w:cs="Arial" w:hint="cs"/>
          <w:rtl/>
        </w:rPr>
        <w:t>רבינו</w:t>
      </w:r>
      <w:r>
        <w:rPr>
          <w:rFonts w:cs="Arial"/>
          <w:rtl/>
        </w:rPr>
        <w:t xml:space="preserve"> בשמו דשומנו של גיד נמי אין לו עיקר מדאורייתא</w:t>
      </w:r>
      <w:r>
        <w:rPr>
          <w:rFonts w:cs="Arial" w:hint="cs"/>
          <w:rtl/>
        </w:rPr>
        <w:t>,</w:t>
      </w:r>
      <w:r>
        <w:rPr>
          <w:rFonts w:cs="Arial"/>
          <w:rtl/>
        </w:rPr>
        <w:t xml:space="preserve"> </w:t>
      </w:r>
      <w:r>
        <w:rPr>
          <w:rFonts w:cs="Arial" w:hint="cs"/>
          <w:rtl/>
        </w:rPr>
        <w:t>אך בשר א' כ' הרשב"א (</w:t>
      </w:r>
      <w:r>
        <w:rPr>
          <w:rFonts w:cs="Arial"/>
          <w:rtl/>
        </w:rPr>
        <w:t>ב"ד יז ע"ג) דשומנו של גיד שנאסר משום לתא דגיד או משום לתא דחלב לא מיקרי אין לו עיקר בדאורייתא</w:t>
      </w:r>
      <w:r>
        <w:rPr>
          <w:rFonts w:cs="Arial" w:hint="cs"/>
          <w:rtl/>
        </w:rPr>
        <w:t>,</w:t>
      </w:r>
      <w:r>
        <w:rPr>
          <w:rFonts w:cs="Arial"/>
          <w:rtl/>
        </w:rPr>
        <w:t xml:space="preserve"> וא</w:t>
      </w:r>
      <w:r>
        <w:rPr>
          <w:rFonts w:cs="Arial" w:hint="cs"/>
          <w:rtl/>
        </w:rPr>
        <w:t>"כ</w:t>
      </w:r>
      <w:r>
        <w:rPr>
          <w:rFonts w:cs="Arial"/>
          <w:rtl/>
        </w:rPr>
        <w:t xml:space="preserve"> מ"ש רבינו כאן דשומנו של גיד אין לו עיקר מן התורה הוא שלא בדקדוק</w:t>
      </w:r>
      <w:r>
        <w:rPr>
          <w:rFonts w:cs="Arial" w:hint="cs"/>
          <w:rtl/>
        </w:rPr>
        <w:t>,</w:t>
      </w:r>
      <w:r>
        <w:rPr>
          <w:rFonts w:cs="Arial"/>
          <w:rtl/>
        </w:rPr>
        <w:t xml:space="preserve"> ומ</w:t>
      </w:r>
      <w:r>
        <w:rPr>
          <w:rFonts w:cs="Arial" w:hint="cs"/>
          <w:rtl/>
        </w:rPr>
        <w:t>"מ</w:t>
      </w:r>
      <w:r>
        <w:rPr>
          <w:rFonts w:cs="Arial"/>
          <w:rtl/>
        </w:rPr>
        <w:t xml:space="preserve"> לענין הדין אין נפקותא בדבר שכבר העלה שראוי לחוש לדברי המחמירין</w:t>
      </w:r>
      <w:r>
        <w:rPr>
          <w:rFonts w:cs="Arial" w:hint="cs"/>
          <w:rtl/>
        </w:rPr>
        <w:t>,</w:t>
      </w:r>
      <w:r>
        <w:rPr>
          <w:rFonts w:cs="Arial"/>
          <w:rtl/>
        </w:rPr>
        <w:t xml:space="preserve"> וא</w:t>
      </w:r>
      <w:r>
        <w:rPr>
          <w:rFonts w:cs="Arial" w:hint="cs"/>
          <w:rtl/>
        </w:rPr>
        <w:t>"</w:t>
      </w:r>
      <w:r>
        <w:rPr>
          <w:rFonts w:cs="Arial"/>
          <w:rtl/>
        </w:rPr>
        <w:t>כ כל איסורים של דבריהם שוים הם חוץ מתרומת וחלת חוץ לארץ</w:t>
      </w:r>
      <w:r>
        <w:rPr>
          <w:rFonts w:cs="Arial" w:hint="cs"/>
          <w:rtl/>
        </w:rPr>
        <w:t>,</w:t>
      </w:r>
      <w:r>
        <w:rPr>
          <w:rFonts w:cs="Arial"/>
          <w:rtl/>
        </w:rPr>
        <w:t xml:space="preserve"> ויש לתמוה על רבינו שכתב בשם הרשב"א דדבר שעיקרו מדרבנן שנתערב בהיתר מוסיף עליו ומבטלו</w:t>
      </w:r>
      <w:r>
        <w:rPr>
          <w:rFonts w:cs="Arial" w:hint="cs"/>
          <w:rtl/>
        </w:rPr>
        <w:t>,</w:t>
      </w:r>
      <w:r>
        <w:rPr>
          <w:rFonts w:cs="Arial"/>
          <w:rtl/>
        </w:rPr>
        <w:t xml:space="preserve"> ומאחר שאע"פ שהוא סבור כן כתב שיש לחוש לדברי האוסרים לא ה"ל לרבינו לכתוב בשמו סתם להיתר</w:t>
      </w:r>
      <w:r>
        <w:rPr>
          <w:rFonts w:cs="Arial" w:hint="cs"/>
          <w:rtl/>
        </w:rPr>
        <w:t>, ב"י.</w:t>
      </w:r>
    </w:p>
  </w:footnote>
  <w:footnote w:id="1902">
    <w:p w14:paraId="05F7B1D3" w14:textId="77777777" w:rsidR="004C5A3C" w:rsidRDefault="004C5A3C" w:rsidP="002C39F4">
      <w:pPr>
        <w:pStyle w:val="a5"/>
        <w:rPr>
          <w:rtl/>
        </w:rPr>
      </w:pPr>
      <w:r>
        <w:rPr>
          <w:rStyle w:val="a7"/>
        </w:rPr>
        <w:footnoteRef/>
      </w:r>
      <w:r>
        <w:rPr>
          <w:rtl/>
        </w:rPr>
        <w:t xml:space="preserve"> </w:t>
      </w:r>
      <w:r w:rsidRPr="00221C51">
        <w:rPr>
          <w:rFonts w:cs="Arial"/>
          <w:rtl/>
        </w:rPr>
        <w:t>כן הורה על מי חלב שנפלו לתבשיל של בשר וצוה להוסיף מים עד שיתבטלו מי חלב דמי חלב דרבנן</w:t>
      </w:r>
      <w:r>
        <w:rPr>
          <w:rFonts w:cs="Arial" w:hint="cs"/>
          <w:rtl/>
        </w:rPr>
        <w:t>,</w:t>
      </w:r>
      <w:r w:rsidRPr="00AE4F12">
        <w:rPr>
          <w:rFonts w:cs="Arial" w:hint="cs"/>
          <w:rtl/>
        </w:rPr>
        <w:t xml:space="preserve"> </w:t>
      </w:r>
      <w:r>
        <w:rPr>
          <w:rFonts w:cs="Arial" w:hint="cs"/>
          <w:rtl/>
        </w:rPr>
        <w:t>הביאו ההגה"מ</w:t>
      </w:r>
      <w:r>
        <w:rPr>
          <w:rFonts w:cs="Arial" w:hint="cs"/>
          <w:sz w:val="14"/>
          <w:szCs w:val="14"/>
          <w:rtl/>
        </w:rPr>
        <w:t xml:space="preserve"> </w:t>
      </w:r>
      <w:r w:rsidRPr="00AE4F12">
        <w:rPr>
          <w:rFonts w:cs="Arial"/>
          <w:sz w:val="14"/>
          <w:szCs w:val="14"/>
          <w:rtl/>
        </w:rPr>
        <w:t>(פט"ו אות כ)</w:t>
      </w:r>
      <w:r>
        <w:rPr>
          <w:rFonts w:cs="Arial" w:hint="cs"/>
          <w:rtl/>
        </w:rPr>
        <w:t>.</w:t>
      </w:r>
    </w:p>
  </w:footnote>
  <w:footnote w:id="1903">
    <w:p w14:paraId="0A6D9B76" w14:textId="77777777" w:rsidR="004C5A3C" w:rsidRDefault="004C5A3C" w:rsidP="002C39F4">
      <w:pPr>
        <w:pStyle w:val="a5"/>
        <w:rPr>
          <w:rtl/>
        </w:rPr>
      </w:pPr>
      <w:r>
        <w:rPr>
          <w:rStyle w:val="a7"/>
        </w:rPr>
        <w:footnoteRef/>
      </w:r>
      <w:r>
        <w:rPr>
          <w:rtl/>
        </w:rPr>
        <w:t xml:space="preserve"> </w:t>
      </w:r>
      <w:r>
        <w:rPr>
          <w:rFonts w:cs="Arial" w:hint="cs"/>
          <w:rtl/>
        </w:rPr>
        <w:t xml:space="preserve">וכ' ההגמ"ר </w:t>
      </w:r>
      <w:r w:rsidRPr="00221C51">
        <w:rPr>
          <w:rFonts w:cs="Arial"/>
          <w:rtl/>
        </w:rPr>
        <w:t>(</w:t>
      </w:r>
      <w:r>
        <w:rPr>
          <w:rFonts w:cs="Arial" w:hint="cs"/>
          <w:rtl/>
        </w:rPr>
        <w:t xml:space="preserve">חולין </w:t>
      </w:r>
      <w:r w:rsidRPr="00221C51">
        <w:rPr>
          <w:rFonts w:cs="Arial"/>
          <w:rtl/>
        </w:rPr>
        <w:t>סי' תשנב תשנג) דמלשון הרמב"ם יש לדקדק דסבירא ליה כדברי התוס</w:t>
      </w:r>
      <w:r>
        <w:rPr>
          <w:rFonts w:cs="Arial" w:hint="cs"/>
          <w:rtl/>
        </w:rPr>
        <w:t>'</w:t>
      </w:r>
      <w:r w:rsidRPr="00221C51">
        <w:rPr>
          <w:rFonts w:cs="Arial"/>
          <w:rtl/>
        </w:rPr>
        <w:t xml:space="preserve"> מדנקט בשר עוף בחלב ולא נקט חצי שיעור דבשניהם איכא פלוגתא ואין דומה לחלק בין פלוגתא דאמוראי לפלוגתא דתנאי</w:t>
      </w:r>
      <w:r>
        <w:rPr>
          <w:rFonts w:cs="Arial" w:hint="cs"/>
          <w:rtl/>
        </w:rPr>
        <w:t>,</w:t>
      </w:r>
      <w:r w:rsidRPr="00221C51">
        <w:rPr>
          <w:rFonts w:cs="Arial"/>
          <w:rtl/>
        </w:rPr>
        <w:t xml:space="preserve"> ואי משום הלכתא נקט הכי מ"מ הו"ל הא רבותא טפי דנשמע מינה דאפילו באיסור דרבנן שיש לו שורש דאורייתא מבטלין לכתחלה עכ"ל. </w:t>
      </w:r>
      <w:r>
        <w:rPr>
          <w:rFonts w:cs="Arial" w:hint="cs"/>
          <w:rtl/>
        </w:rPr>
        <w:t xml:space="preserve">וכ' הב"י- </w:t>
      </w:r>
      <w:r w:rsidRPr="00FC36DA">
        <w:rPr>
          <w:rFonts w:cs="Arial"/>
          <w:rtl/>
        </w:rPr>
        <w:t>ול"נ דאפילו אם נפרש כן בדברי הרמב"ם</w:t>
      </w:r>
      <w:r w:rsidRPr="00FC36DA">
        <w:rPr>
          <w:rFonts w:cs="Arial" w:hint="cs"/>
          <w:rtl/>
        </w:rPr>
        <w:t>,</w:t>
      </w:r>
      <w:r w:rsidRPr="00FC36DA">
        <w:rPr>
          <w:rFonts w:cs="Arial"/>
          <w:rtl/>
        </w:rPr>
        <w:t xml:space="preserve"> מ"מ אינו כדעת התוספות ממש</w:t>
      </w:r>
      <w:r w:rsidRPr="00FC36DA">
        <w:rPr>
          <w:rFonts w:cs="Arial" w:hint="cs"/>
          <w:rtl/>
        </w:rPr>
        <w:t>,</w:t>
      </w:r>
      <w:r w:rsidRPr="00FC36DA">
        <w:rPr>
          <w:rFonts w:cs="Arial"/>
          <w:rtl/>
        </w:rPr>
        <w:t xml:space="preserve"> דהא בשר עוף בחלב לדברי התוספות חשיב יש לו שורש מן התורה כיון דאיכא בשר דאסור בחלב מדאורייתא ולא דמי למוקצה שאין לו עיקר בדאורייתא כלל</w:t>
      </w:r>
      <w:r w:rsidRPr="00FC36DA">
        <w:rPr>
          <w:rFonts w:cs="Arial" w:hint="cs"/>
          <w:rtl/>
        </w:rPr>
        <w:t>,</w:t>
      </w:r>
      <w:r w:rsidRPr="00FC36DA">
        <w:rPr>
          <w:rFonts w:cs="Arial"/>
          <w:rtl/>
        </w:rPr>
        <w:t xml:space="preserve"> וכ"כ</w:t>
      </w:r>
      <w:r w:rsidRPr="00FC36DA">
        <w:rPr>
          <w:rFonts w:cs="Arial"/>
          <w:sz w:val="16"/>
          <w:szCs w:val="16"/>
          <w:rtl/>
        </w:rPr>
        <w:t xml:space="preserve"> </w:t>
      </w:r>
      <w:r w:rsidRPr="00FC36DA">
        <w:rPr>
          <w:rFonts w:cs="Arial" w:hint="cs"/>
          <w:sz w:val="16"/>
          <w:szCs w:val="16"/>
          <w:rtl/>
        </w:rPr>
        <w:t xml:space="preserve">{התוס'} </w:t>
      </w:r>
      <w:r w:rsidRPr="00FC36DA">
        <w:rPr>
          <w:rFonts w:cs="Arial"/>
          <w:rtl/>
        </w:rPr>
        <w:t>בהדיא בפ"ק דביצה (שם תוד"ה ותנן) דתרומה כיון דאיכא שום דבר דאורייתא כגון דגן תירוש ויצהר אפילו במקום שאינו אלא דרבנן כגון בשאר פירות אין מבטלין</w:t>
      </w:r>
      <w:r w:rsidRPr="00FC36DA">
        <w:rPr>
          <w:rFonts w:cs="Arial" w:hint="cs"/>
          <w:rtl/>
        </w:rPr>
        <w:t>.</w:t>
      </w:r>
      <w:r w:rsidRPr="00FC36DA">
        <w:rPr>
          <w:rFonts w:cs="Arial"/>
          <w:rtl/>
        </w:rPr>
        <w:t xml:space="preserve"> וכתבו הגה</w:t>
      </w:r>
      <w:r w:rsidRPr="00FC36DA">
        <w:rPr>
          <w:rFonts w:cs="Arial" w:hint="cs"/>
          <w:rtl/>
        </w:rPr>
        <w:t>"מ</w:t>
      </w:r>
      <w:r w:rsidRPr="00FC36DA">
        <w:rPr>
          <w:rFonts w:cs="Arial"/>
          <w:rtl/>
        </w:rPr>
        <w:t xml:space="preserve"> </w:t>
      </w:r>
      <w:r w:rsidRPr="00FC36DA">
        <w:rPr>
          <w:rFonts w:cs="Arial" w:hint="cs"/>
          <w:rtl/>
        </w:rPr>
        <w:t>(</w:t>
      </w:r>
      <w:r w:rsidRPr="00FC36DA">
        <w:rPr>
          <w:rFonts w:cs="Arial"/>
          <w:rtl/>
        </w:rPr>
        <w:t>פ</w:t>
      </w:r>
      <w:r w:rsidRPr="00FC36DA">
        <w:rPr>
          <w:rFonts w:cs="Arial" w:hint="cs"/>
          <w:rtl/>
        </w:rPr>
        <w:t>ט"ז</w:t>
      </w:r>
      <w:r w:rsidRPr="00FC36DA">
        <w:rPr>
          <w:rFonts w:cs="Arial"/>
          <w:rtl/>
        </w:rPr>
        <w:t xml:space="preserve"> אות כ) דיין נסך שלא נאסר אלא ע"י כח הגוי אינו אוסר אלא בששים ואין מבטלין אותו לכתחלה דהוי כאילו יש לו עיקר מן התורה כיון דכתיב (דברים לב לח) ישתו יין נסיכם</w:t>
      </w:r>
      <w:r w:rsidRPr="00FC36DA">
        <w:rPr>
          <w:rFonts w:cs="Arial" w:hint="cs"/>
          <w:rtl/>
        </w:rPr>
        <w:t>.</w:t>
      </w:r>
    </w:p>
  </w:footnote>
  <w:footnote w:id="1904">
    <w:p w14:paraId="29F1B87F" w14:textId="77777777" w:rsidR="004C5A3C" w:rsidRDefault="004C5A3C" w:rsidP="002C39F4">
      <w:pPr>
        <w:pStyle w:val="a5"/>
        <w:rPr>
          <w:rtl/>
        </w:rPr>
      </w:pPr>
      <w:r>
        <w:rPr>
          <w:rStyle w:val="a7"/>
        </w:rPr>
        <w:footnoteRef/>
      </w:r>
      <w:r>
        <w:rPr>
          <w:rtl/>
        </w:rPr>
        <w:t xml:space="preserve"> </w:t>
      </w:r>
      <w:r>
        <w:rPr>
          <w:rFonts w:cs="Arial"/>
          <w:rtl/>
        </w:rPr>
        <w:t>וזה נראה כדבר פשוט דלמאן דאמר חתיכה עצמה נ</w:t>
      </w:r>
      <w:r>
        <w:rPr>
          <w:rFonts w:cs="Arial" w:hint="cs"/>
          <w:rtl/>
        </w:rPr>
        <w:t>"</w:t>
      </w:r>
      <w:r>
        <w:rPr>
          <w:rFonts w:cs="Arial"/>
          <w:rtl/>
        </w:rPr>
        <w:t>נ וצריך ששים כנגד כל החתיכה אפילו נתרבה בשוגג קאמר</w:t>
      </w:r>
      <w:r>
        <w:rPr>
          <w:rFonts w:cs="Arial" w:hint="cs"/>
          <w:rtl/>
        </w:rPr>
        <w:t>,</w:t>
      </w:r>
      <w:r>
        <w:rPr>
          <w:rFonts w:cs="Arial"/>
          <w:rtl/>
        </w:rPr>
        <w:t xml:space="preserve"> ומיהו בסימן צב </w:t>
      </w:r>
      <w:r w:rsidRPr="0067768F">
        <w:rPr>
          <w:rFonts w:cs="Arial"/>
          <w:sz w:val="16"/>
          <w:szCs w:val="16"/>
          <w:rtl/>
        </w:rPr>
        <w:t xml:space="preserve">(קמו. ד"ה ופסק הר' אפרים) </w:t>
      </w:r>
      <w:r>
        <w:rPr>
          <w:rFonts w:cs="Arial"/>
          <w:rtl/>
        </w:rPr>
        <w:t>כתבתי שי</w:t>
      </w:r>
      <w:r>
        <w:rPr>
          <w:rFonts w:cs="Arial" w:hint="cs"/>
          <w:rtl/>
        </w:rPr>
        <w:t>"</w:t>
      </w:r>
      <w:r>
        <w:rPr>
          <w:rFonts w:cs="Arial"/>
          <w:rtl/>
        </w:rPr>
        <w:t>א דלא אמרו חתיכה עצמה נ</w:t>
      </w:r>
      <w:r>
        <w:rPr>
          <w:rFonts w:cs="Arial" w:hint="cs"/>
          <w:rtl/>
        </w:rPr>
        <w:t>"</w:t>
      </w:r>
      <w:r>
        <w:rPr>
          <w:rFonts w:cs="Arial"/>
          <w:rtl/>
        </w:rPr>
        <w:t>נ אלא באיסור הבלוע בחתיכה אבל לח בלח כגון יין ביין או מים במים או יבש ביבש כגון המדומע והמחומץ לא</w:t>
      </w:r>
      <w:r>
        <w:rPr>
          <w:rFonts w:cs="Arial" w:hint="cs"/>
          <w:rtl/>
        </w:rPr>
        <w:t>,</w:t>
      </w:r>
      <w:r>
        <w:rPr>
          <w:rFonts w:cs="Arial"/>
          <w:rtl/>
        </w:rPr>
        <w:t xml:space="preserve"> ושי</w:t>
      </w:r>
      <w:r>
        <w:rPr>
          <w:rFonts w:cs="Arial" w:hint="cs"/>
          <w:rtl/>
        </w:rPr>
        <w:t>"</w:t>
      </w:r>
      <w:r>
        <w:rPr>
          <w:rFonts w:cs="Arial"/>
          <w:rtl/>
        </w:rPr>
        <w:t>א שלא אמרו חתיכה עצמה נ</w:t>
      </w:r>
      <w:r>
        <w:rPr>
          <w:rFonts w:cs="Arial" w:hint="cs"/>
          <w:rtl/>
        </w:rPr>
        <w:t>"</w:t>
      </w:r>
      <w:r>
        <w:rPr>
          <w:rFonts w:cs="Arial"/>
          <w:rtl/>
        </w:rPr>
        <w:t>נ אלא בדברים המתבשלים דוקא או צונן לתוך חם שאף הוא דרך בישול</w:t>
      </w:r>
      <w:r>
        <w:rPr>
          <w:rFonts w:cs="Arial" w:hint="cs"/>
          <w:rtl/>
        </w:rPr>
        <w:t>,</w:t>
      </w:r>
      <w:r>
        <w:rPr>
          <w:rFonts w:cs="Arial"/>
          <w:rtl/>
        </w:rPr>
        <w:t xml:space="preserve"> ושם נתבארו סברות הפוסקים באי זה איסור אמרינן חתיכה עצמה נעשית נבלה</w:t>
      </w:r>
      <w:r>
        <w:rPr>
          <w:rFonts w:hint="cs"/>
          <w:rtl/>
        </w:rPr>
        <w:t>, ב"י.</w:t>
      </w:r>
    </w:p>
  </w:footnote>
  <w:footnote w:id="1905">
    <w:p w14:paraId="393FA44E" w14:textId="77777777" w:rsidR="004C5A3C" w:rsidRDefault="004C5A3C" w:rsidP="002C39F4">
      <w:pPr>
        <w:pStyle w:val="a5"/>
        <w:rPr>
          <w:rtl/>
        </w:rPr>
      </w:pPr>
      <w:r>
        <w:rPr>
          <w:rStyle w:val="a7"/>
        </w:rPr>
        <w:footnoteRef/>
      </w:r>
      <w:r>
        <w:rPr>
          <w:rtl/>
        </w:rPr>
        <w:t xml:space="preserve"> </w:t>
      </w:r>
      <w:r w:rsidRPr="00B5494B">
        <w:rPr>
          <w:rFonts w:cs="Arial"/>
          <w:rtl/>
        </w:rPr>
        <w:t>לא שנא מין במינו או מין בשאינו מינו בין בלח בין ביבש</w:t>
      </w:r>
      <w:r>
        <w:rPr>
          <w:rFonts w:hint="cs"/>
          <w:rtl/>
        </w:rPr>
        <w:t>, טור בשם הרא"ש.</w:t>
      </w:r>
      <w:r>
        <w:rPr>
          <w:rFonts w:cs="Arial" w:hint="cs"/>
          <w:rtl/>
        </w:rPr>
        <w:t xml:space="preserve"> </w:t>
      </w:r>
      <w:r w:rsidRPr="00CC33DC">
        <w:rPr>
          <w:rFonts w:cs="Arial"/>
          <w:rtl/>
        </w:rPr>
        <w:t>דהא דחינן לדרב דימי דלא אמרה רבי יוחנן</w:t>
      </w:r>
      <w:r w:rsidRPr="00CC33DC">
        <w:rPr>
          <w:rFonts w:cs="Arial" w:hint="cs"/>
          <w:rtl/>
        </w:rPr>
        <w:t>,</w:t>
      </w:r>
      <w:r w:rsidRPr="00CC33DC">
        <w:rPr>
          <w:rFonts w:cs="Arial"/>
          <w:rtl/>
        </w:rPr>
        <w:t xml:space="preserve"> וכיון דאידחיא לה לגמרי אידחיא וליתה כלל</w:t>
      </w:r>
      <w:r w:rsidRPr="00CC33DC">
        <w:rPr>
          <w:rFonts w:cs="Arial" w:hint="cs"/>
          <w:rtl/>
        </w:rPr>
        <w:t>,</w:t>
      </w:r>
      <w:r w:rsidRPr="00CC33DC">
        <w:rPr>
          <w:rFonts w:cs="Arial"/>
          <w:rtl/>
        </w:rPr>
        <w:t xml:space="preserve"> וטעמא דמלתא משום דטעמא לא בטיל</w:t>
      </w:r>
      <w:r>
        <w:rPr>
          <w:rFonts w:cs="Arial" w:hint="cs"/>
          <w:rtl/>
        </w:rPr>
        <w:t>,</w:t>
      </w:r>
      <w:r w:rsidRPr="00CC33DC">
        <w:rPr>
          <w:rFonts w:cs="Arial"/>
          <w:rtl/>
        </w:rPr>
        <w:t xml:space="preserve"> ואפילו במין במינו דליכא למיקם אטעמא כיון שהשיעור שיש בו כדי ליתן טעם כנגדו שלא במינו</w:t>
      </w:r>
      <w:r>
        <w:rPr>
          <w:rFonts w:cs="Arial" w:hint="cs"/>
          <w:rtl/>
        </w:rPr>
        <w:t>-</w:t>
      </w:r>
      <w:r w:rsidRPr="00CC33DC">
        <w:rPr>
          <w:rFonts w:cs="Arial"/>
          <w:rtl/>
        </w:rPr>
        <w:t xml:space="preserve"> אסור</w:t>
      </w:r>
      <w:r w:rsidRPr="00CC33DC">
        <w:rPr>
          <w:rFonts w:cs="Arial" w:hint="cs"/>
          <w:rtl/>
        </w:rPr>
        <w:t>,</w:t>
      </w:r>
      <w:r w:rsidRPr="00CC33DC">
        <w:rPr>
          <w:rFonts w:cs="Arial"/>
          <w:rtl/>
        </w:rPr>
        <w:t xml:space="preserve"> וא</w:t>
      </w:r>
      <w:r>
        <w:rPr>
          <w:rFonts w:cs="Arial" w:hint="cs"/>
          <w:rtl/>
        </w:rPr>
        <w:t>"</w:t>
      </w:r>
      <w:r w:rsidRPr="00CC33DC">
        <w:rPr>
          <w:rFonts w:cs="Arial"/>
          <w:rtl/>
        </w:rPr>
        <w:t>צ לומר באיסור המקלח אלא אפילו דמיקטף אסור דחוזר וניעור</w:t>
      </w:r>
      <w:r>
        <w:rPr>
          <w:rFonts w:cs="Arial" w:hint="cs"/>
          <w:rtl/>
        </w:rPr>
        <w:t xml:space="preserve">, ר"ן. וכ' הר"ן שכן עיקר </w:t>
      </w:r>
      <w:r w:rsidRPr="00CC33DC">
        <w:rPr>
          <w:rFonts w:cs="Arial"/>
          <w:rtl/>
        </w:rPr>
        <w:t>מפני שהתוס</w:t>
      </w:r>
      <w:r>
        <w:rPr>
          <w:rFonts w:cs="Arial" w:hint="cs"/>
          <w:rtl/>
        </w:rPr>
        <w:t>'</w:t>
      </w:r>
      <w:r w:rsidRPr="00CC33DC">
        <w:rPr>
          <w:rFonts w:cs="Arial"/>
          <w:rtl/>
        </w:rPr>
        <w:t xml:space="preserve"> כתבו שם </w:t>
      </w:r>
      <w:r w:rsidRPr="00CC33DC">
        <w:rPr>
          <w:rFonts w:cs="Arial"/>
          <w:sz w:val="16"/>
          <w:szCs w:val="16"/>
          <w:rtl/>
        </w:rPr>
        <w:t xml:space="preserve">(ד"ה כי אתא) </w:t>
      </w:r>
      <w:r w:rsidRPr="00CC33DC">
        <w:rPr>
          <w:rFonts w:cs="Arial"/>
          <w:rtl/>
        </w:rPr>
        <w:t>בפשיטות דכל שבא לכלל נתינת טעם חוזר וניעור</w:t>
      </w:r>
      <w:r>
        <w:rPr>
          <w:rFonts w:cs="Arial" w:hint="cs"/>
          <w:rtl/>
        </w:rPr>
        <w:t>, ב"י.</w:t>
      </w:r>
      <w:r>
        <w:rPr>
          <w:rFonts w:hint="cs"/>
          <w:rtl/>
        </w:rPr>
        <w:t xml:space="preserve"> וכ' עוד הב"י- </w:t>
      </w:r>
      <w:r>
        <w:rPr>
          <w:rFonts w:cs="Arial"/>
          <w:rtl/>
        </w:rPr>
        <w:t>ודע שאע"פ שהסכמת הפוסקים בדין זה שלא כדברי הראב"ד אין לדחות מפני כך מ"ש רבינו בס</w:t>
      </w:r>
      <w:r>
        <w:rPr>
          <w:rFonts w:cs="Arial" w:hint="cs"/>
          <w:rtl/>
        </w:rPr>
        <w:t>"</w:t>
      </w:r>
      <w:r>
        <w:rPr>
          <w:rFonts w:cs="Arial"/>
          <w:rtl/>
        </w:rPr>
        <w:t>ס צ"ח</w:t>
      </w:r>
      <w:r w:rsidRPr="0067768F">
        <w:rPr>
          <w:rFonts w:cs="Arial"/>
          <w:sz w:val="16"/>
          <w:szCs w:val="16"/>
          <w:rtl/>
        </w:rPr>
        <w:t xml:space="preserve"> (קנו.) </w:t>
      </w:r>
      <w:r>
        <w:rPr>
          <w:rFonts w:cs="Arial"/>
          <w:rtl/>
        </w:rPr>
        <w:t xml:space="preserve">כל שיש </w:t>
      </w:r>
      <w:r>
        <w:rPr>
          <w:rFonts w:cs="Arial" w:hint="cs"/>
          <w:rtl/>
        </w:rPr>
        <w:t>ס'</w:t>
      </w:r>
      <w:r>
        <w:rPr>
          <w:rFonts w:cs="Arial"/>
          <w:rtl/>
        </w:rPr>
        <w:t xml:space="preserve"> כנגד האיסור מבטלים אותו אפילו אין </w:t>
      </w:r>
      <w:r>
        <w:rPr>
          <w:rFonts w:cs="Arial" w:hint="cs"/>
          <w:rtl/>
        </w:rPr>
        <w:t>הס'</w:t>
      </w:r>
      <w:r>
        <w:rPr>
          <w:rFonts w:cs="Arial"/>
          <w:rtl/>
        </w:rPr>
        <w:t xml:space="preserve"> כולו היתר וכו' דמשמע משם דאיסור מצטרף להיתר לבטל את האיסור</w:t>
      </w:r>
      <w:r>
        <w:rPr>
          <w:rFonts w:cs="Arial" w:hint="cs"/>
          <w:rtl/>
        </w:rPr>
        <w:t>,</w:t>
      </w:r>
      <w:r>
        <w:rPr>
          <w:rFonts w:cs="Arial"/>
          <w:rtl/>
        </w:rPr>
        <w:t xml:space="preserve"> דשאני התם שהם שני מיני איסור הילכך כל אחד מצטרף עם ההיתר לבטל את חבירו</w:t>
      </w:r>
      <w:r>
        <w:rPr>
          <w:rFonts w:cs="Arial" w:hint="cs"/>
          <w:rtl/>
        </w:rPr>
        <w:t>,</w:t>
      </w:r>
      <w:r>
        <w:rPr>
          <w:rFonts w:cs="Arial"/>
          <w:rtl/>
        </w:rPr>
        <w:t xml:space="preserve"> אבל היכא דשניהם מין אחד כי הכא</w:t>
      </w:r>
      <w:r>
        <w:rPr>
          <w:rFonts w:cs="Arial" w:hint="cs"/>
          <w:rtl/>
        </w:rPr>
        <w:t>,</w:t>
      </w:r>
      <w:r>
        <w:rPr>
          <w:rFonts w:cs="Arial"/>
          <w:rtl/>
        </w:rPr>
        <w:t xml:space="preserve"> מצא מין את מינו וניעור</w:t>
      </w:r>
      <w:r>
        <w:rPr>
          <w:rFonts w:cs="Arial" w:hint="cs"/>
          <w:rtl/>
        </w:rPr>
        <w:t>,</w:t>
      </w:r>
      <w:r>
        <w:rPr>
          <w:rFonts w:cs="Arial"/>
          <w:rtl/>
        </w:rPr>
        <w:t xml:space="preserve"> ובהכי ניחא שרבינו אע</w:t>
      </w:r>
      <w:r>
        <w:rPr>
          <w:rFonts w:cs="Arial" w:hint="cs"/>
          <w:rtl/>
        </w:rPr>
        <w:t>"</w:t>
      </w:r>
      <w:r>
        <w:rPr>
          <w:rFonts w:cs="Arial"/>
          <w:rtl/>
        </w:rPr>
        <w:t>פ שכ</w:t>
      </w:r>
      <w:r>
        <w:rPr>
          <w:rFonts w:cs="Arial" w:hint="cs"/>
          <w:rtl/>
        </w:rPr>
        <w:t>'</w:t>
      </w:r>
      <w:r>
        <w:rPr>
          <w:rFonts w:cs="Arial"/>
          <w:rtl/>
        </w:rPr>
        <w:t xml:space="preserve"> ההיא דסי</w:t>
      </w:r>
      <w:r>
        <w:rPr>
          <w:rFonts w:cs="Arial" w:hint="cs"/>
          <w:rtl/>
        </w:rPr>
        <w:t>'</w:t>
      </w:r>
      <w:r>
        <w:rPr>
          <w:rFonts w:cs="Arial"/>
          <w:rtl/>
        </w:rPr>
        <w:t xml:space="preserve"> צ"ח לא נמנע מלכתוב זו</w:t>
      </w:r>
      <w:r>
        <w:rPr>
          <w:rFonts w:cs="Arial" w:hint="cs"/>
          <w:rtl/>
        </w:rPr>
        <w:t>,</w:t>
      </w:r>
      <w:r>
        <w:rPr>
          <w:rFonts w:cs="Arial"/>
          <w:rtl/>
        </w:rPr>
        <w:t xml:space="preserve"> וכן הרא"ש פסקה לההיא דסי</w:t>
      </w:r>
      <w:r>
        <w:rPr>
          <w:rFonts w:cs="Arial" w:hint="cs"/>
          <w:rtl/>
        </w:rPr>
        <w:t>'</w:t>
      </w:r>
      <w:r>
        <w:rPr>
          <w:rFonts w:cs="Arial"/>
          <w:rtl/>
        </w:rPr>
        <w:t xml:space="preserve"> צ"ח בתשו</w:t>
      </w:r>
      <w:r>
        <w:rPr>
          <w:rFonts w:cs="Arial" w:hint="cs"/>
          <w:rtl/>
        </w:rPr>
        <w:t>'</w:t>
      </w:r>
      <w:r>
        <w:rPr>
          <w:rFonts w:cs="Arial"/>
          <w:rtl/>
        </w:rPr>
        <w:t xml:space="preserve"> </w:t>
      </w:r>
      <w:r w:rsidRPr="0067768F">
        <w:rPr>
          <w:rFonts w:cs="Arial"/>
          <w:sz w:val="16"/>
          <w:szCs w:val="16"/>
          <w:rtl/>
        </w:rPr>
        <w:t xml:space="preserve">(כלל כ סי' ב) </w:t>
      </w:r>
      <w:r>
        <w:rPr>
          <w:rFonts w:cs="Arial"/>
          <w:rtl/>
        </w:rPr>
        <w:t>ופסקה לזו בפג</w:t>
      </w:r>
      <w:r>
        <w:rPr>
          <w:rFonts w:cs="Arial" w:hint="cs"/>
          <w:rtl/>
        </w:rPr>
        <w:t>"</w:t>
      </w:r>
      <w:r>
        <w:rPr>
          <w:rFonts w:cs="Arial"/>
          <w:rtl/>
        </w:rPr>
        <w:t xml:space="preserve">ה </w:t>
      </w:r>
      <w:r w:rsidRPr="0067768F">
        <w:rPr>
          <w:rFonts w:cs="Arial"/>
          <w:sz w:val="16"/>
          <w:szCs w:val="16"/>
          <w:rtl/>
        </w:rPr>
        <w:t>(סי' לז)</w:t>
      </w:r>
      <w:r>
        <w:rPr>
          <w:rFonts w:cs="Arial" w:hint="cs"/>
          <w:rtl/>
        </w:rPr>
        <w:t>, ב"י.</w:t>
      </w:r>
      <w:r>
        <w:rPr>
          <w:rFonts w:hint="cs"/>
          <w:rtl/>
        </w:rPr>
        <w:t xml:space="preserve"> וכ"כ </w:t>
      </w:r>
      <w:r>
        <w:rPr>
          <w:rFonts w:cs="Arial"/>
          <w:rtl/>
        </w:rPr>
        <w:t>או"ה</w:t>
      </w:r>
      <w:r w:rsidRPr="00C95D73">
        <w:rPr>
          <w:rFonts w:cs="Arial"/>
          <w:rtl/>
        </w:rPr>
        <w:t xml:space="preserve"> </w:t>
      </w:r>
      <w:r w:rsidRPr="000A5480">
        <w:rPr>
          <w:rFonts w:cs="Arial" w:hint="cs"/>
          <w:sz w:val="16"/>
          <w:szCs w:val="16"/>
          <w:rtl/>
        </w:rPr>
        <w:t>(</w:t>
      </w:r>
      <w:r w:rsidRPr="000A5480">
        <w:rPr>
          <w:rFonts w:cs="Arial"/>
          <w:sz w:val="16"/>
          <w:szCs w:val="16"/>
          <w:rtl/>
        </w:rPr>
        <w:t>כלל כד ד</w:t>
      </w:r>
      <w:r w:rsidRPr="000A5480">
        <w:rPr>
          <w:rFonts w:cs="Arial" w:hint="cs"/>
          <w:sz w:val="16"/>
          <w:szCs w:val="16"/>
          <w:rtl/>
        </w:rPr>
        <w:t>"</w:t>
      </w:r>
      <w:r w:rsidRPr="000A5480">
        <w:rPr>
          <w:rFonts w:cs="Arial"/>
          <w:sz w:val="16"/>
          <w:szCs w:val="16"/>
          <w:rtl/>
        </w:rPr>
        <w:t>י)</w:t>
      </w:r>
      <w:r w:rsidRPr="000A5480">
        <w:rPr>
          <w:rFonts w:cs="Arial" w:hint="cs"/>
          <w:sz w:val="16"/>
          <w:szCs w:val="16"/>
          <w:rtl/>
        </w:rPr>
        <w:t xml:space="preserve"> </w:t>
      </w:r>
      <w:r>
        <w:rPr>
          <w:rFonts w:cs="Arial" w:hint="cs"/>
          <w:rtl/>
        </w:rPr>
        <w:t xml:space="preserve">הביאו הדרכ"מ </w:t>
      </w:r>
      <w:r w:rsidRPr="000A5480">
        <w:rPr>
          <w:rFonts w:cs="Arial" w:hint="cs"/>
          <w:sz w:val="16"/>
          <w:szCs w:val="16"/>
          <w:rtl/>
        </w:rPr>
        <w:t xml:space="preserve">(אות ה) </w:t>
      </w:r>
      <w:r>
        <w:rPr>
          <w:rFonts w:cs="Arial" w:hint="cs"/>
          <w:rtl/>
        </w:rPr>
        <w:t>וכ' דהוא פשוט.</w:t>
      </w:r>
    </w:p>
  </w:footnote>
  <w:footnote w:id="1906">
    <w:p w14:paraId="598F0AEB" w14:textId="77777777" w:rsidR="004C5A3C" w:rsidRDefault="004C5A3C" w:rsidP="002C39F4">
      <w:pPr>
        <w:pStyle w:val="a5"/>
      </w:pPr>
      <w:r>
        <w:rPr>
          <w:rStyle w:val="a7"/>
        </w:rPr>
        <w:footnoteRef/>
      </w:r>
      <w:r>
        <w:rPr>
          <w:rtl/>
        </w:rPr>
        <w:t xml:space="preserve"> </w:t>
      </w:r>
      <w:r w:rsidRPr="000A5480">
        <w:rPr>
          <w:rFonts w:cs="Arial" w:hint="cs"/>
          <w:rtl/>
        </w:rPr>
        <w:t xml:space="preserve">ב"ק </w:t>
      </w:r>
      <w:r w:rsidRPr="000A5480">
        <w:rPr>
          <w:rFonts w:cs="Arial"/>
          <w:rtl/>
        </w:rPr>
        <w:t>ס</w:t>
      </w:r>
      <w:r w:rsidRPr="000A5480">
        <w:rPr>
          <w:rFonts w:cs="Arial" w:hint="cs"/>
          <w:rtl/>
        </w:rPr>
        <w:t xml:space="preserve">י' </w:t>
      </w:r>
      <w:r w:rsidRPr="000A5480">
        <w:rPr>
          <w:rFonts w:cs="Arial"/>
          <w:rtl/>
        </w:rPr>
        <w:t>קיט</w:t>
      </w:r>
      <w:r w:rsidRPr="000A5480">
        <w:rPr>
          <w:rFonts w:cs="Arial" w:hint="cs"/>
          <w:rtl/>
        </w:rPr>
        <w:t>-קכ,</w:t>
      </w:r>
      <w:r w:rsidRPr="000A5480">
        <w:rPr>
          <w:rFonts w:cs="Arial"/>
          <w:rtl/>
        </w:rPr>
        <w:t xml:space="preserve"> </w:t>
      </w:r>
      <w:r w:rsidRPr="000A5480">
        <w:rPr>
          <w:rFonts w:cs="Arial" w:hint="cs"/>
          <w:rtl/>
        </w:rPr>
        <w:t xml:space="preserve">חולין </w:t>
      </w:r>
      <w:r w:rsidRPr="000A5480">
        <w:rPr>
          <w:rFonts w:cs="Arial"/>
          <w:rtl/>
        </w:rPr>
        <w:t>סי' תרצד</w:t>
      </w:r>
      <w:r w:rsidRPr="000A5480">
        <w:rPr>
          <w:rFonts w:cs="Arial" w:hint="cs"/>
          <w:rtl/>
        </w:rPr>
        <w:t xml:space="preserve">, </w:t>
      </w:r>
      <w:r w:rsidRPr="000A5480">
        <w:rPr>
          <w:rFonts w:cs="Arial"/>
          <w:rtl/>
        </w:rPr>
        <w:t>ע"ז סימן תתנח בהגה"ה</w:t>
      </w:r>
      <w:r w:rsidRPr="000A5480">
        <w:rPr>
          <w:rFonts w:cs="Arial" w:hint="cs"/>
          <w:rtl/>
        </w:rPr>
        <w:t xml:space="preserve">, וכן בהגמ"ר </w:t>
      </w:r>
      <w:r w:rsidRPr="000A5480">
        <w:rPr>
          <w:rFonts w:cs="Arial"/>
          <w:rtl/>
        </w:rPr>
        <w:t>חולין</w:t>
      </w:r>
      <w:r w:rsidRPr="000A5480">
        <w:rPr>
          <w:rFonts w:cs="Arial" w:hint="cs"/>
          <w:rtl/>
        </w:rPr>
        <w:t xml:space="preserve"> </w:t>
      </w:r>
      <w:r w:rsidRPr="000A5480">
        <w:rPr>
          <w:rFonts w:cs="Arial"/>
          <w:rtl/>
        </w:rPr>
        <w:t>סי' תשנ</w:t>
      </w:r>
      <w:r>
        <w:rPr>
          <w:rFonts w:cs="Arial" w:hint="cs"/>
          <w:rtl/>
        </w:rPr>
        <w:t>.</w:t>
      </w:r>
    </w:p>
  </w:footnote>
  <w:footnote w:id="1907">
    <w:p w14:paraId="5FA2B741" w14:textId="77777777" w:rsidR="004C5A3C" w:rsidRDefault="004C5A3C" w:rsidP="002C39F4">
      <w:pPr>
        <w:pStyle w:val="a5"/>
        <w:rPr>
          <w:rtl/>
        </w:rPr>
      </w:pPr>
      <w:r>
        <w:rPr>
          <w:rStyle w:val="a7"/>
        </w:rPr>
        <w:footnoteRef/>
      </w:r>
      <w:r>
        <w:rPr>
          <w:rtl/>
        </w:rPr>
        <w:t xml:space="preserve"> </w:t>
      </w:r>
      <w:r>
        <w:rPr>
          <w:rFonts w:cs="Arial"/>
          <w:rtl/>
        </w:rPr>
        <w:t xml:space="preserve">דתנן פ"ה דתרומות </w:t>
      </w:r>
      <w:r w:rsidRPr="00E9230D">
        <w:rPr>
          <w:rFonts w:cs="Arial"/>
          <w:sz w:val="16"/>
          <w:szCs w:val="16"/>
          <w:rtl/>
        </w:rPr>
        <w:t xml:space="preserve">(מ"ח) </w:t>
      </w:r>
      <w:r>
        <w:rPr>
          <w:rFonts w:cs="Arial"/>
          <w:rtl/>
        </w:rPr>
        <w:t>סאה תרומה שנפלה לתוך מאה של חולין ולא הספיק להגביה עד שנפלה אחרת הרי זו אסורה ורבי שמעון מתיר</w:t>
      </w:r>
      <w:r>
        <w:rPr>
          <w:rFonts w:cs="Arial" w:hint="cs"/>
          <w:rtl/>
        </w:rPr>
        <w:t>,</w:t>
      </w:r>
      <w:r>
        <w:rPr>
          <w:rFonts w:cs="Arial"/>
          <w:rtl/>
        </w:rPr>
        <w:t xml:space="preserve"> ומסיים בתוספתא </w:t>
      </w:r>
      <w:r w:rsidRPr="00E9230D">
        <w:rPr>
          <w:rFonts w:cs="Arial"/>
          <w:sz w:val="16"/>
          <w:szCs w:val="16"/>
          <w:rtl/>
        </w:rPr>
        <w:t xml:space="preserve">(תרומות פ"ו ה"ו) </w:t>
      </w:r>
      <w:r>
        <w:rPr>
          <w:rFonts w:cs="Arial"/>
          <w:rtl/>
        </w:rPr>
        <w:t>בד"א כשלא ידע בה ואח"כ נפלה</w:t>
      </w:r>
      <w:r>
        <w:rPr>
          <w:rFonts w:cs="Arial" w:hint="cs"/>
          <w:rtl/>
        </w:rPr>
        <w:t>,</w:t>
      </w:r>
      <w:r>
        <w:rPr>
          <w:rFonts w:cs="Arial"/>
          <w:rtl/>
        </w:rPr>
        <w:t xml:space="preserve"> אבל ידע בה ואח"כ נפלה הרי זו מותרת</w:t>
      </w:r>
      <w:r>
        <w:rPr>
          <w:rFonts w:hint="cs"/>
          <w:rtl/>
        </w:rPr>
        <w:t>, מרדכי.</w:t>
      </w:r>
      <w:r w:rsidRPr="00662B64">
        <w:rPr>
          <w:rFonts w:cs="Arial"/>
          <w:rtl/>
        </w:rPr>
        <w:t xml:space="preserve"> </w:t>
      </w:r>
      <w:r>
        <w:rPr>
          <w:rFonts w:cs="Arial" w:hint="cs"/>
          <w:rtl/>
        </w:rPr>
        <w:t xml:space="preserve">וכ"פ </w:t>
      </w:r>
      <w:r>
        <w:rPr>
          <w:rFonts w:cs="Arial"/>
          <w:rtl/>
        </w:rPr>
        <w:t xml:space="preserve">רמב"ם </w:t>
      </w:r>
      <w:r w:rsidRPr="00662B64">
        <w:rPr>
          <w:rFonts w:cs="Arial" w:hint="cs"/>
          <w:sz w:val="16"/>
          <w:szCs w:val="16"/>
          <w:rtl/>
        </w:rPr>
        <w:t>(</w:t>
      </w:r>
      <w:r w:rsidRPr="00662B64">
        <w:rPr>
          <w:rFonts w:cs="Arial"/>
          <w:sz w:val="16"/>
          <w:szCs w:val="16"/>
          <w:rtl/>
        </w:rPr>
        <w:t>פי"ג מהל</w:t>
      </w:r>
      <w:r w:rsidRPr="00662B64">
        <w:rPr>
          <w:rFonts w:cs="Arial" w:hint="cs"/>
          <w:sz w:val="16"/>
          <w:szCs w:val="16"/>
          <w:rtl/>
        </w:rPr>
        <w:t>'</w:t>
      </w:r>
      <w:r w:rsidRPr="00662B64">
        <w:rPr>
          <w:rFonts w:cs="Arial"/>
          <w:sz w:val="16"/>
          <w:szCs w:val="16"/>
          <w:rtl/>
        </w:rPr>
        <w:t xml:space="preserve"> תרומות ה"ו</w:t>
      </w:r>
      <w:r w:rsidRPr="00662B64">
        <w:rPr>
          <w:rFonts w:cs="Arial" w:hint="cs"/>
          <w:sz w:val="16"/>
          <w:szCs w:val="16"/>
          <w:rtl/>
        </w:rPr>
        <w:t xml:space="preserve">, </w:t>
      </w:r>
      <w:r w:rsidRPr="00662B64">
        <w:rPr>
          <w:rFonts w:cs="Arial"/>
          <w:sz w:val="16"/>
          <w:szCs w:val="16"/>
          <w:rtl/>
        </w:rPr>
        <w:t>וכ"כ בפי</w:t>
      </w:r>
      <w:r w:rsidRPr="00662B64">
        <w:rPr>
          <w:rFonts w:cs="Arial" w:hint="cs"/>
          <w:sz w:val="16"/>
          <w:szCs w:val="16"/>
          <w:rtl/>
        </w:rPr>
        <w:t>ה"מ)</w:t>
      </w:r>
      <w:r>
        <w:rPr>
          <w:rFonts w:cs="Arial" w:hint="cs"/>
          <w:rtl/>
        </w:rPr>
        <w:t xml:space="preserve">, </w:t>
      </w:r>
      <w:r>
        <w:rPr>
          <w:rFonts w:hint="cs"/>
          <w:rtl/>
        </w:rPr>
        <w:t>אך</w:t>
      </w:r>
      <w:r w:rsidRPr="00662B64">
        <w:rPr>
          <w:rFonts w:cs="Arial"/>
          <w:rtl/>
        </w:rPr>
        <w:t xml:space="preserve"> </w:t>
      </w:r>
      <w:r>
        <w:rPr>
          <w:rFonts w:cs="Arial"/>
          <w:rtl/>
        </w:rPr>
        <w:t xml:space="preserve">רבינו שמשון פירש בשם הירושלמי </w:t>
      </w:r>
      <w:r w:rsidRPr="00662B64">
        <w:rPr>
          <w:rFonts w:cs="Arial"/>
          <w:sz w:val="16"/>
          <w:szCs w:val="16"/>
          <w:rtl/>
        </w:rPr>
        <w:t xml:space="preserve">(תרומות פ"ה סוף ה"ב) </w:t>
      </w:r>
      <w:r>
        <w:rPr>
          <w:rFonts w:cs="Arial"/>
          <w:rtl/>
        </w:rPr>
        <w:t>בהיפך דלא איפליגו אלא בידע בה אבל בלא ידע בה לכולי עלמא אסור</w:t>
      </w:r>
      <w:r>
        <w:rPr>
          <w:rFonts w:cs="Arial" w:hint="cs"/>
          <w:rtl/>
        </w:rPr>
        <w:t>,</w:t>
      </w:r>
      <w:r>
        <w:rPr>
          <w:rFonts w:cs="Arial"/>
          <w:rtl/>
        </w:rPr>
        <w:t xml:space="preserve"> וגם הביא תוספתא זו</w:t>
      </w:r>
      <w:r>
        <w:rPr>
          <w:rFonts w:cs="Arial" w:hint="cs"/>
          <w:rtl/>
        </w:rPr>
        <w:t>,</w:t>
      </w:r>
      <w:r>
        <w:rPr>
          <w:rFonts w:cs="Arial"/>
          <w:rtl/>
        </w:rPr>
        <w:t xml:space="preserve"> ומסיים בה וחכמים אומרים </w:t>
      </w:r>
      <w:r>
        <w:rPr>
          <w:rFonts w:cs="Arial" w:hint="cs"/>
          <w:rtl/>
        </w:rPr>
        <w:t>'</w:t>
      </w:r>
      <w:r>
        <w:rPr>
          <w:rFonts w:cs="Arial"/>
          <w:rtl/>
        </w:rPr>
        <w:t>הרמתה מקדשתה</w:t>
      </w:r>
      <w:r>
        <w:rPr>
          <w:rFonts w:cs="Arial" w:hint="cs"/>
          <w:rtl/>
        </w:rPr>
        <w:t>'</w:t>
      </w:r>
      <w:r>
        <w:rPr>
          <w:rFonts w:hint="cs"/>
          <w:rtl/>
        </w:rPr>
        <w:t>.</w:t>
      </w:r>
      <w:r w:rsidRPr="00662B64">
        <w:rPr>
          <w:rFonts w:cs="Arial"/>
          <w:rtl/>
        </w:rPr>
        <w:t xml:space="preserve"> </w:t>
      </w:r>
      <w:r>
        <w:rPr>
          <w:rFonts w:cs="Arial"/>
          <w:rtl/>
        </w:rPr>
        <w:t xml:space="preserve">והראב"ד </w:t>
      </w:r>
      <w:r w:rsidRPr="00E9230D">
        <w:rPr>
          <w:rFonts w:cs="Arial"/>
          <w:sz w:val="16"/>
          <w:szCs w:val="16"/>
          <w:rtl/>
        </w:rPr>
        <w:t xml:space="preserve">(בהשגות שם) </w:t>
      </w:r>
      <w:r>
        <w:rPr>
          <w:rFonts w:cs="Arial"/>
          <w:rtl/>
        </w:rPr>
        <w:t>גם כן חלק על פסק הרמב"ם. ונ"ל דאפילו להרמב"ם אין ללמוד בזה מתרומה לשאר איסורין מדלא הביא דין זה בהלכות מאכ</w:t>
      </w:r>
      <w:r>
        <w:rPr>
          <w:rFonts w:cs="Arial" w:hint="cs"/>
          <w:rtl/>
        </w:rPr>
        <w:t>"</w:t>
      </w:r>
      <w:r>
        <w:rPr>
          <w:rFonts w:cs="Arial"/>
          <w:rtl/>
        </w:rPr>
        <w:t>א</w:t>
      </w:r>
      <w:r>
        <w:rPr>
          <w:rFonts w:cs="Arial" w:hint="cs"/>
          <w:rtl/>
        </w:rPr>
        <w:t xml:space="preserve">, ב"י. וכ' עוד הב"י (בבדה"ב)- </w:t>
      </w:r>
      <w:r>
        <w:rPr>
          <w:rFonts w:cs="Arial"/>
          <w:rtl/>
        </w:rPr>
        <w:t>ועיין במ"ש בסימן צ"ד (קמט. ד"ה ומ"ש ולא נודע) ובסוף סימן ק"ט</w:t>
      </w:r>
      <w:r>
        <w:rPr>
          <w:rFonts w:cs="Arial" w:hint="cs"/>
          <w:rtl/>
        </w:rPr>
        <w:t>.</w:t>
      </w:r>
      <w:r>
        <w:rPr>
          <w:rFonts w:hint="cs"/>
          <w:rtl/>
        </w:rPr>
        <w:t xml:space="preserve"> </w:t>
      </w:r>
    </w:p>
  </w:footnote>
  <w:footnote w:id="1908">
    <w:p w14:paraId="005D294F" w14:textId="77777777" w:rsidR="004C5A3C" w:rsidRDefault="004C5A3C" w:rsidP="002C39F4">
      <w:pPr>
        <w:pStyle w:val="a5"/>
      </w:pPr>
      <w:r>
        <w:rPr>
          <w:rStyle w:val="a7"/>
        </w:rPr>
        <w:footnoteRef/>
      </w:r>
      <w:r>
        <w:rPr>
          <w:rtl/>
        </w:rPr>
        <w:t xml:space="preserve"> </w:t>
      </w:r>
      <w:r>
        <w:rPr>
          <w:rFonts w:hint="cs"/>
          <w:rtl/>
        </w:rPr>
        <w:t xml:space="preserve">וכ' הדרכ"מ (אות ה) </w:t>
      </w:r>
      <w:r>
        <w:rPr>
          <w:rFonts w:cs="Arial" w:hint="cs"/>
          <w:rtl/>
        </w:rPr>
        <w:t>דכ"פ ה</w:t>
      </w:r>
      <w:r>
        <w:rPr>
          <w:rFonts w:cs="Arial"/>
          <w:rtl/>
        </w:rPr>
        <w:t>או"ה</w:t>
      </w:r>
      <w:r w:rsidRPr="00C95D73">
        <w:rPr>
          <w:rFonts w:cs="Arial"/>
          <w:rtl/>
        </w:rPr>
        <w:t xml:space="preserve"> </w:t>
      </w:r>
      <w:r>
        <w:rPr>
          <w:rFonts w:cs="Arial" w:hint="cs"/>
          <w:rtl/>
        </w:rPr>
        <w:t>(</w:t>
      </w:r>
      <w:r w:rsidRPr="00C95D73">
        <w:rPr>
          <w:rFonts w:cs="Arial"/>
          <w:rtl/>
        </w:rPr>
        <w:t>כלל כד ד</w:t>
      </w:r>
      <w:r>
        <w:rPr>
          <w:rFonts w:cs="Arial" w:hint="cs"/>
          <w:rtl/>
        </w:rPr>
        <w:t>"</w:t>
      </w:r>
      <w:r w:rsidRPr="00C95D73">
        <w:rPr>
          <w:rFonts w:cs="Arial"/>
          <w:rtl/>
        </w:rPr>
        <w:t>י)</w:t>
      </w:r>
      <w:r>
        <w:rPr>
          <w:rFonts w:cs="Arial" w:hint="cs"/>
          <w:rtl/>
        </w:rPr>
        <w:t>,</w:t>
      </w:r>
      <w:r w:rsidRPr="00C95D73">
        <w:rPr>
          <w:rFonts w:cs="Arial"/>
          <w:rtl/>
        </w:rPr>
        <w:t xml:space="preserve"> ודוקא יבש ביבש</w:t>
      </w:r>
      <w:r>
        <w:rPr>
          <w:rFonts w:cs="Arial" w:hint="cs"/>
          <w:rtl/>
        </w:rPr>
        <w:t xml:space="preserve">, </w:t>
      </w:r>
      <w:r w:rsidRPr="00C95D73">
        <w:rPr>
          <w:rFonts w:cs="Arial"/>
          <w:rtl/>
        </w:rPr>
        <w:t>אבל לח בלח שנתערב לא מהני הודעה שבנתיים אם איסור נשאר שם אלא שאין מכירין אותו</w:t>
      </w:r>
      <w:r>
        <w:rPr>
          <w:rFonts w:cs="Arial" w:hint="cs"/>
          <w:rtl/>
        </w:rPr>
        <w:t>,</w:t>
      </w:r>
      <w:r w:rsidRPr="00C95D73">
        <w:rPr>
          <w:rFonts w:cs="Arial"/>
          <w:rtl/>
        </w:rPr>
        <w:t xml:space="preserve"> אבל אם הסיר האיסור משם ואין צריך לבטל רק הטעם מהני הודעה שבנתיים אף בלח</w:t>
      </w:r>
      <w:r>
        <w:rPr>
          <w:rFonts w:cs="Arial" w:hint="cs"/>
          <w:rtl/>
        </w:rPr>
        <w:t xml:space="preserve">. </w:t>
      </w:r>
      <w:r w:rsidRPr="00C95D73">
        <w:rPr>
          <w:rFonts w:cs="Arial"/>
          <w:rtl/>
        </w:rPr>
        <w:t>אמנם בדברי רבינו משמע דאין לחלק ולא מהני הודעה כלל. ופסק הב"י דכן דעת רוב הפוסקים והר"ן האריך בראיות בפרק בתרא דע"ז (דף תש"ג ע"ג) (לו א) ובהג</w:t>
      </w:r>
      <w:r>
        <w:rPr>
          <w:rFonts w:cs="Arial" w:hint="cs"/>
          <w:rtl/>
        </w:rPr>
        <w:t xml:space="preserve">שע"ד </w:t>
      </w:r>
      <w:r w:rsidRPr="00C95D73">
        <w:rPr>
          <w:rFonts w:cs="Arial"/>
          <w:rtl/>
        </w:rPr>
        <w:t>בשם מהרא"י ז"ל (סי' לט אות א) משמע דלא מהני הודעה</w:t>
      </w:r>
      <w:r>
        <w:rPr>
          <w:rFonts w:cs="Arial" w:hint="cs"/>
          <w:rtl/>
        </w:rPr>
        <w:t>,</w:t>
      </w:r>
      <w:r w:rsidRPr="00C95D73">
        <w:rPr>
          <w:rFonts w:cs="Arial"/>
          <w:rtl/>
        </w:rPr>
        <w:t xml:space="preserve"> וכתב שם דכן דעת ראבי"ה ואשר"י</w:t>
      </w:r>
      <w:r>
        <w:rPr>
          <w:rFonts w:cs="Arial" w:hint="cs"/>
          <w:rtl/>
        </w:rPr>
        <w:t>,</w:t>
      </w:r>
      <w:r w:rsidRPr="00C95D73">
        <w:rPr>
          <w:rFonts w:cs="Arial"/>
          <w:rtl/>
        </w:rPr>
        <w:t xml:space="preserve"> וכן הוא לקמן סימן ק"ט בהדיא בדברי הרא"ש</w:t>
      </w:r>
      <w:r>
        <w:rPr>
          <w:rFonts w:cs="Arial" w:hint="cs"/>
          <w:rtl/>
        </w:rPr>
        <w:t>.</w:t>
      </w:r>
      <w:r w:rsidRPr="00F36ABD">
        <w:rPr>
          <w:rFonts w:hint="cs"/>
          <w:color w:val="00B0F0"/>
          <w:rtl/>
        </w:rPr>
        <w:t xml:space="preserve"> (וכ"פ </w:t>
      </w:r>
      <w:r>
        <w:rPr>
          <w:rFonts w:hint="cs"/>
          <w:color w:val="00B0F0"/>
          <w:rtl/>
        </w:rPr>
        <w:t>בהג"ה</w:t>
      </w:r>
      <w:r w:rsidRPr="00F36ABD">
        <w:rPr>
          <w:rFonts w:hint="cs"/>
          <w:color w:val="00B0F0"/>
          <w:rtl/>
        </w:rPr>
        <w:t>)</w:t>
      </w:r>
    </w:p>
  </w:footnote>
  <w:footnote w:id="1909">
    <w:p w14:paraId="1106765F" w14:textId="77777777" w:rsidR="004C5A3C" w:rsidRDefault="004C5A3C" w:rsidP="002C39F4">
      <w:pPr>
        <w:pStyle w:val="a5"/>
        <w:rPr>
          <w:rtl/>
        </w:rPr>
      </w:pPr>
      <w:r>
        <w:rPr>
          <w:rStyle w:val="a7"/>
        </w:rPr>
        <w:footnoteRef/>
      </w:r>
      <w:r>
        <w:rPr>
          <w:rtl/>
        </w:rPr>
        <w:t xml:space="preserve"> </w:t>
      </w:r>
      <w:r w:rsidRPr="00F02B0C">
        <w:rPr>
          <w:rFonts w:cs="Arial"/>
          <w:rtl/>
        </w:rPr>
        <w:t>היינו כמו שנתבאר בס"ה אבל שאר כל אדם פשיטא דמותר</w:t>
      </w:r>
      <w:r>
        <w:rPr>
          <w:rFonts w:hint="cs"/>
          <w:rtl/>
        </w:rPr>
        <w:t>, ש"ך (סקי"ח).</w:t>
      </w:r>
    </w:p>
  </w:footnote>
  <w:footnote w:id="1910">
    <w:p w14:paraId="3FF7D69B" w14:textId="77777777" w:rsidR="004C5A3C" w:rsidRPr="0068722E" w:rsidRDefault="004C5A3C" w:rsidP="002C39F4">
      <w:pPr>
        <w:pStyle w:val="a5"/>
        <w:rPr>
          <w:rFonts w:cs="Arial"/>
          <w:u w:val="single"/>
          <w:rtl/>
        </w:rPr>
      </w:pPr>
      <w:r>
        <w:rPr>
          <w:rStyle w:val="a7"/>
        </w:rPr>
        <w:footnoteRef/>
      </w:r>
      <w:r>
        <w:rPr>
          <w:rtl/>
        </w:rPr>
        <w:t xml:space="preserve"> </w:t>
      </w:r>
      <w:r w:rsidRPr="0068722E">
        <w:rPr>
          <w:rFonts w:cs="Arial"/>
          <w:u w:val="single"/>
          <w:rtl/>
        </w:rPr>
        <w:t>קשה</w:t>
      </w:r>
      <w:r>
        <w:rPr>
          <w:rFonts w:cs="Arial" w:hint="cs"/>
          <w:u w:val="single"/>
          <w:rtl/>
        </w:rPr>
        <w:t>,</w:t>
      </w:r>
      <w:r w:rsidRPr="0068722E">
        <w:rPr>
          <w:rFonts w:cs="Arial"/>
          <w:u w:val="single"/>
          <w:rtl/>
        </w:rPr>
        <w:t xml:space="preserve"> דבא</w:t>
      </w:r>
      <w:r w:rsidRPr="0068722E">
        <w:rPr>
          <w:rFonts w:cs="Arial" w:hint="cs"/>
          <w:u w:val="single"/>
          <w:rtl/>
        </w:rPr>
        <w:t>ו</w:t>
      </w:r>
      <w:r w:rsidRPr="0068722E">
        <w:rPr>
          <w:rFonts w:cs="Arial"/>
          <w:u w:val="single"/>
          <w:rtl/>
        </w:rPr>
        <w:t>"ח</w:t>
      </w:r>
      <w:r w:rsidRPr="0068722E">
        <w:rPr>
          <w:rFonts w:cs="Arial"/>
          <w:sz w:val="16"/>
          <w:szCs w:val="16"/>
          <w:u w:val="single"/>
          <w:rtl/>
        </w:rPr>
        <w:t xml:space="preserve"> </w:t>
      </w:r>
      <w:r w:rsidRPr="0068722E">
        <w:rPr>
          <w:rFonts w:cs="Arial" w:hint="cs"/>
          <w:sz w:val="16"/>
          <w:szCs w:val="16"/>
          <w:u w:val="single"/>
          <w:rtl/>
        </w:rPr>
        <w:t>(</w:t>
      </w:r>
      <w:r w:rsidRPr="0068722E">
        <w:rPr>
          <w:rFonts w:cs="Arial"/>
          <w:sz w:val="16"/>
          <w:szCs w:val="16"/>
          <w:u w:val="single"/>
          <w:rtl/>
        </w:rPr>
        <w:t>סי' תרעז</w:t>
      </w:r>
      <w:r w:rsidRPr="0068722E">
        <w:rPr>
          <w:rFonts w:cs="Arial" w:hint="cs"/>
          <w:sz w:val="16"/>
          <w:szCs w:val="16"/>
          <w:u w:val="single"/>
          <w:rtl/>
        </w:rPr>
        <w:t>)</w:t>
      </w:r>
      <w:r w:rsidRPr="0068722E">
        <w:rPr>
          <w:rFonts w:cs="Arial"/>
          <w:u w:val="single"/>
          <w:rtl/>
        </w:rPr>
        <w:t xml:space="preserve"> סתם ה</w:t>
      </w:r>
      <w:r w:rsidRPr="0068722E">
        <w:rPr>
          <w:rFonts w:cs="Arial" w:hint="cs"/>
          <w:u w:val="single"/>
          <w:rtl/>
        </w:rPr>
        <w:t>שו"ע ד</w:t>
      </w:r>
      <w:r w:rsidRPr="0068722E">
        <w:rPr>
          <w:rFonts w:cs="Arial"/>
          <w:u w:val="single"/>
          <w:rtl/>
        </w:rPr>
        <w:t xml:space="preserve">מותר השמן שבנר חנוכה </w:t>
      </w:r>
      <w:r w:rsidRPr="0068722E">
        <w:rPr>
          <w:rFonts w:cs="Arial" w:hint="cs"/>
          <w:sz w:val="16"/>
          <w:szCs w:val="16"/>
          <w:u w:val="single"/>
          <w:rtl/>
        </w:rPr>
        <w:t>(</w:t>
      </w:r>
      <w:r w:rsidRPr="0068722E">
        <w:rPr>
          <w:rFonts w:cs="Arial"/>
          <w:sz w:val="16"/>
          <w:szCs w:val="16"/>
          <w:u w:val="single"/>
          <w:rtl/>
        </w:rPr>
        <w:t>שנתערב בשמן אחר ואין בו ס' לבטלו</w:t>
      </w:r>
      <w:r w:rsidRPr="0068722E">
        <w:rPr>
          <w:rFonts w:cs="Arial" w:hint="cs"/>
          <w:sz w:val="16"/>
          <w:szCs w:val="16"/>
          <w:u w:val="single"/>
          <w:rtl/>
        </w:rPr>
        <w:t>)</w:t>
      </w:r>
      <w:r w:rsidRPr="0068722E">
        <w:rPr>
          <w:rFonts w:cs="Arial"/>
          <w:u w:val="single"/>
          <w:rtl/>
        </w:rPr>
        <w:t xml:space="preserve"> אין להוסיף עליו לבטלו</w:t>
      </w:r>
      <w:r w:rsidRPr="0068722E">
        <w:rPr>
          <w:rFonts w:cs="Arial" w:hint="cs"/>
          <w:u w:val="single"/>
          <w:rtl/>
        </w:rPr>
        <w:t>:</w:t>
      </w:r>
    </w:p>
    <w:p w14:paraId="21F0D414" w14:textId="77777777" w:rsidR="004C5A3C" w:rsidRPr="0068722E" w:rsidRDefault="004C5A3C" w:rsidP="0032102C">
      <w:pPr>
        <w:pStyle w:val="a5"/>
        <w:numPr>
          <w:ilvl w:val="0"/>
          <w:numId w:val="194"/>
        </w:numPr>
      </w:pPr>
      <w:r>
        <w:rPr>
          <w:rFonts w:cs="Arial" w:hint="cs"/>
          <w:rtl/>
        </w:rPr>
        <w:t xml:space="preserve">ש"ך (סקי"ט)- </w:t>
      </w:r>
      <w:r w:rsidRPr="0068722E">
        <w:rPr>
          <w:rFonts w:cs="Arial"/>
          <w:rtl/>
        </w:rPr>
        <w:t>שמא יש לחלק דהתם כיון דהוקצה למצותו חמיר טפי</w:t>
      </w:r>
      <w:r>
        <w:rPr>
          <w:rFonts w:cs="Arial" w:hint="cs"/>
          <w:rtl/>
        </w:rPr>
        <w:t>, ודוחק.</w:t>
      </w:r>
    </w:p>
    <w:p w14:paraId="2F04D22B" w14:textId="77777777" w:rsidR="004C5A3C" w:rsidRDefault="004C5A3C" w:rsidP="0032102C">
      <w:pPr>
        <w:pStyle w:val="a5"/>
        <w:numPr>
          <w:ilvl w:val="0"/>
          <w:numId w:val="194"/>
        </w:numPr>
        <w:rPr>
          <w:rtl/>
        </w:rPr>
      </w:pPr>
      <w:r>
        <w:rPr>
          <w:rFonts w:hint="cs"/>
          <w:rtl/>
        </w:rPr>
        <w:t>חת"ס (הובא באוצמ"פ)- שם אינו מפסיד אם ישהנו לשנה הבאה וידליקנו בחנוכה, ולזה נתכון המג"א שם (סקי"ב), אבל לא הוה דבר שיש לו מתירין ממש, דלדבר זה לא נאסר מעולם.</w:t>
      </w:r>
    </w:p>
  </w:footnote>
  <w:footnote w:id="1911">
    <w:p w14:paraId="66FF795C" w14:textId="77777777" w:rsidR="004C5A3C" w:rsidRPr="0057477B" w:rsidRDefault="004C5A3C" w:rsidP="002C39F4">
      <w:pPr>
        <w:pStyle w:val="a5"/>
        <w:rPr>
          <w:color w:val="FF0000"/>
        </w:rPr>
      </w:pPr>
      <w:r>
        <w:rPr>
          <w:rStyle w:val="a7"/>
        </w:rPr>
        <w:footnoteRef/>
      </w:r>
      <w:r>
        <w:rPr>
          <w:rtl/>
        </w:rPr>
        <w:t xml:space="preserve"> </w:t>
      </w:r>
      <w:r>
        <w:rPr>
          <w:rFonts w:hint="cs"/>
          <w:rtl/>
        </w:rPr>
        <w:t xml:space="preserve">והש"ך (סקכ"א) כ' דנראה לו להתיר בהפסד מרובה אם הוא יבש ביבש ומין במינו ונודע בינתים, באה"ט (סקט"ז). </w:t>
      </w:r>
      <w:r>
        <w:rPr>
          <w:rFonts w:hint="cs"/>
          <w:color w:val="FF0000"/>
          <w:rtl/>
        </w:rPr>
        <w:t>לחזור על הש"ך סקכ"א.</w:t>
      </w:r>
    </w:p>
  </w:footnote>
  <w:footnote w:id="1912">
    <w:p w14:paraId="71DFB209" w14:textId="77777777" w:rsidR="004C5A3C" w:rsidRDefault="004C5A3C" w:rsidP="002C39F4">
      <w:pPr>
        <w:pStyle w:val="a5"/>
      </w:pPr>
      <w:r>
        <w:rPr>
          <w:rStyle w:val="a7"/>
        </w:rPr>
        <w:footnoteRef/>
      </w:r>
      <w:r>
        <w:rPr>
          <w:rtl/>
        </w:rPr>
        <w:t xml:space="preserve"> </w:t>
      </w:r>
      <w:r w:rsidRPr="00C7221B">
        <w:rPr>
          <w:rFonts w:cs="Arial"/>
          <w:rtl/>
        </w:rPr>
        <w:t xml:space="preserve">ובת"ח </w:t>
      </w:r>
      <w:r w:rsidRPr="00C7221B">
        <w:rPr>
          <w:rFonts w:cs="Arial" w:hint="cs"/>
          <w:sz w:val="16"/>
          <w:szCs w:val="16"/>
          <w:rtl/>
        </w:rPr>
        <w:t>(</w:t>
      </w:r>
      <w:r w:rsidRPr="00C7221B">
        <w:rPr>
          <w:rFonts w:cs="Arial"/>
          <w:sz w:val="16"/>
          <w:szCs w:val="16"/>
          <w:rtl/>
        </w:rPr>
        <w:t>כלל פ"ה די"א</w:t>
      </w:r>
      <w:r w:rsidRPr="00C7221B">
        <w:rPr>
          <w:rFonts w:cs="Arial" w:hint="cs"/>
          <w:sz w:val="16"/>
          <w:szCs w:val="16"/>
          <w:rtl/>
        </w:rPr>
        <w:t>)</w:t>
      </w:r>
      <w:r w:rsidRPr="00C7221B">
        <w:rPr>
          <w:rFonts w:cs="Arial"/>
          <w:sz w:val="16"/>
          <w:szCs w:val="16"/>
          <w:rtl/>
        </w:rPr>
        <w:t xml:space="preserve"> </w:t>
      </w:r>
      <w:r w:rsidRPr="00C7221B">
        <w:rPr>
          <w:rFonts w:cs="Arial"/>
          <w:rtl/>
        </w:rPr>
        <w:t>כ' דאפילו לכתחלה מותר ליתן המים לקדרה של בשר כיון דכבר נתבטל</w:t>
      </w:r>
      <w:r>
        <w:rPr>
          <w:rFonts w:cs="Arial" w:hint="cs"/>
          <w:rtl/>
        </w:rPr>
        <w:t xml:space="preserve">, ש"ך </w:t>
      </w:r>
      <w:r w:rsidRPr="00C7221B">
        <w:rPr>
          <w:rFonts w:cs="Arial" w:hint="cs"/>
          <w:sz w:val="16"/>
          <w:szCs w:val="16"/>
          <w:rtl/>
        </w:rPr>
        <w:t>(סקכ"ב)</w:t>
      </w:r>
      <w:r>
        <w:rPr>
          <w:rFonts w:cs="Arial" w:hint="cs"/>
          <w:rtl/>
        </w:rPr>
        <w:t>. ובאה"ט</w:t>
      </w:r>
      <w:r w:rsidRPr="00C7221B">
        <w:rPr>
          <w:rFonts w:cs="Arial" w:hint="cs"/>
          <w:sz w:val="16"/>
          <w:szCs w:val="16"/>
          <w:rtl/>
        </w:rPr>
        <w:t xml:space="preserve"> (סקי"ז)</w:t>
      </w:r>
      <w:r>
        <w:rPr>
          <w:rFonts w:cs="Arial" w:hint="cs"/>
          <w:rtl/>
        </w:rPr>
        <w:t>.</w:t>
      </w:r>
    </w:p>
  </w:footnote>
  <w:footnote w:id="1913">
    <w:p w14:paraId="2DBDE786" w14:textId="77777777" w:rsidR="004C5A3C" w:rsidRDefault="004C5A3C" w:rsidP="002C39F4">
      <w:pPr>
        <w:pStyle w:val="a5"/>
        <w:rPr>
          <w:rtl/>
        </w:rPr>
      </w:pPr>
      <w:r>
        <w:rPr>
          <w:rStyle w:val="a7"/>
        </w:rPr>
        <w:footnoteRef/>
      </w:r>
      <w:r>
        <w:rPr>
          <w:rtl/>
        </w:rPr>
        <w:t xml:space="preserve"> </w:t>
      </w:r>
      <w:r w:rsidRPr="00465EF4">
        <w:rPr>
          <w:rFonts w:cs="Arial"/>
          <w:rtl/>
        </w:rPr>
        <w:t xml:space="preserve">של חרס הן </w:t>
      </w:r>
      <w:r>
        <w:rPr>
          <w:rFonts w:cs="Arial" w:hint="cs"/>
          <w:rtl/>
        </w:rPr>
        <w:t>ד</w:t>
      </w:r>
      <w:r w:rsidRPr="00465EF4">
        <w:rPr>
          <w:rFonts w:cs="Arial"/>
          <w:rtl/>
        </w:rPr>
        <w:t>בלעי טובא</w:t>
      </w:r>
      <w:r>
        <w:rPr>
          <w:rFonts w:hint="cs"/>
          <w:rtl/>
        </w:rPr>
        <w:t>, ע"פ רש"י.</w:t>
      </w:r>
    </w:p>
  </w:footnote>
  <w:footnote w:id="1914">
    <w:p w14:paraId="6967DB04" w14:textId="77777777" w:rsidR="004C5A3C" w:rsidRDefault="004C5A3C" w:rsidP="002C39F4">
      <w:pPr>
        <w:pStyle w:val="a5"/>
        <w:rPr>
          <w:rtl/>
        </w:rPr>
      </w:pPr>
      <w:r>
        <w:rPr>
          <w:rStyle w:val="a7"/>
        </w:rPr>
        <w:footnoteRef/>
      </w:r>
      <w:r>
        <w:rPr>
          <w:rtl/>
        </w:rPr>
        <w:t xml:space="preserve"> </w:t>
      </w:r>
      <w:r w:rsidRPr="00465EF4">
        <w:rPr>
          <w:rFonts w:cs="Arial"/>
          <w:rtl/>
        </w:rPr>
        <w:t>שלא נזפפו מעולם קרי גרודים</w:t>
      </w:r>
      <w:r>
        <w:rPr>
          <w:rFonts w:cs="Arial" w:hint="cs"/>
          <w:rtl/>
        </w:rPr>
        <w:t>, רש"י</w:t>
      </w:r>
      <w:r w:rsidRPr="00465EF4">
        <w:rPr>
          <w:rFonts w:cs="Arial"/>
          <w:rtl/>
        </w:rPr>
        <w:t>.</w:t>
      </w:r>
    </w:p>
  </w:footnote>
  <w:footnote w:id="1915">
    <w:p w14:paraId="504A1267" w14:textId="77777777" w:rsidR="004C5A3C" w:rsidRDefault="004C5A3C" w:rsidP="002C39F4">
      <w:pPr>
        <w:pStyle w:val="a5"/>
      </w:pPr>
      <w:r>
        <w:rPr>
          <w:rStyle w:val="a7"/>
        </w:rPr>
        <w:footnoteRef/>
      </w:r>
      <w:r>
        <w:rPr>
          <w:rtl/>
        </w:rPr>
        <w:t xml:space="preserve"> </w:t>
      </w:r>
      <w:r w:rsidRPr="00465EF4">
        <w:rPr>
          <w:rFonts w:cs="Arial"/>
          <w:rtl/>
        </w:rPr>
        <w:t>או ישנים או מזופפין</w:t>
      </w:r>
      <w:r>
        <w:rPr>
          <w:rFonts w:cs="Arial" w:hint="cs"/>
          <w:rtl/>
        </w:rPr>
        <w:t>, רש"י</w:t>
      </w:r>
      <w:r w:rsidRPr="00465EF4">
        <w:rPr>
          <w:rFonts w:cs="Arial"/>
          <w:rtl/>
        </w:rPr>
        <w:t>.</w:t>
      </w:r>
    </w:p>
  </w:footnote>
  <w:footnote w:id="1916">
    <w:p w14:paraId="44B0CD1D" w14:textId="77777777" w:rsidR="004C5A3C" w:rsidRDefault="004C5A3C" w:rsidP="002C39F4">
      <w:pPr>
        <w:pStyle w:val="a5"/>
      </w:pPr>
      <w:r>
        <w:rPr>
          <w:rStyle w:val="a7"/>
        </w:rPr>
        <w:footnoteRef/>
      </w:r>
      <w:r>
        <w:rPr>
          <w:rtl/>
        </w:rPr>
        <w:t xml:space="preserve"> </w:t>
      </w:r>
      <w:r w:rsidRPr="00465EF4">
        <w:rPr>
          <w:rFonts w:cs="Arial"/>
          <w:rtl/>
        </w:rPr>
        <w:t>כלומר נתן לתוכן עובד כוכבים יין ישראל נותן לתוכן שלשה ימים מים ומערן מעת לעת כדאמרינן ומותרין</w:t>
      </w:r>
      <w:r>
        <w:rPr>
          <w:rFonts w:cs="Arial" w:hint="cs"/>
          <w:rtl/>
        </w:rPr>
        <w:t>, רש"י</w:t>
      </w:r>
      <w:r w:rsidRPr="00465EF4">
        <w:rPr>
          <w:rFonts w:cs="Arial"/>
          <w:rtl/>
        </w:rPr>
        <w:t>.</w:t>
      </w:r>
    </w:p>
  </w:footnote>
  <w:footnote w:id="1917">
    <w:p w14:paraId="4DB9A741" w14:textId="77777777" w:rsidR="004C5A3C" w:rsidRDefault="004C5A3C" w:rsidP="002C39F4">
      <w:pPr>
        <w:pStyle w:val="a5"/>
        <w:rPr>
          <w:rtl/>
        </w:rPr>
      </w:pPr>
      <w:r>
        <w:rPr>
          <w:rStyle w:val="a7"/>
        </w:rPr>
        <w:footnoteRef/>
      </w:r>
      <w:r>
        <w:rPr>
          <w:rtl/>
        </w:rPr>
        <w:t xml:space="preserve"> </w:t>
      </w:r>
      <w:r w:rsidRPr="00465EF4">
        <w:rPr>
          <w:rFonts w:cs="Arial"/>
          <w:rtl/>
        </w:rPr>
        <w:t>מיד אף על פי שלא מילאהו מים לפי שהציר ומורייס שורפין את היין הנבלע ומכלין אותו</w:t>
      </w:r>
      <w:r>
        <w:rPr>
          <w:rFonts w:cs="Arial" w:hint="cs"/>
          <w:rtl/>
        </w:rPr>
        <w:t>, רש"י</w:t>
      </w:r>
      <w:r w:rsidRPr="00465EF4">
        <w:rPr>
          <w:rFonts w:cs="Arial"/>
          <w:rtl/>
        </w:rPr>
        <w:t>.</w:t>
      </w:r>
    </w:p>
  </w:footnote>
  <w:footnote w:id="1918">
    <w:p w14:paraId="66523AA8" w14:textId="77777777" w:rsidR="004C5A3C" w:rsidRDefault="004C5A3C" w:rsidP="002C39F4">
      <w:pPr>
        <w:pStyle w:val="a5"/>
      </w:pPr>
      <w:r>
        <w:rPr>
          <w:rStyle w:val="a7"/>
        </w:rPr>
        <w:footnoteRef/>
      </w:r>
      <w:r>
        <w:rPr>
          <w:rtl/>
        </w:rPr>
        <w:t xml:space="preserve"> </w:t>
      </w:r>
      <w:r w:rsidRPr="00F24BF1">
        <w:rPr>
          <w:rFonts w:asciiTheme="minorBidi" w:hAnsiTheme="minorBidi" w:cs="Arial"/>
          <w:rtl/>
        </w:rPr>
        <w:t>כלומר ישראל נותן לתוכו מים ושותה אותם</w:t>
      </w:r>
      <w:r>
        <w:rPr>
          <w:rFonts w:asciiTheme="minorBidi" w:hAnsiTheme="minorBidi" w:cs="Arial" w:hint="cs"/>
          <w:rtl/>
        </w:rPr>
        <w:t xml:space="preserve">, רשב"א </w:t>
      </w:r>
      <w:r w:rsidRPr="00F24BF1">
        <w:rPr>
          <w:rFonts w:asciiTheme="minorBidi" w:hAnsiTheme="minorBidi" w:cs="Arial"/>
          <w:rtl/>
        </w:rPr>
        <w:t>(</w:t>
      </w:r>
      <w:r>
        <w:rPr>
          <w:rFonts w:asciiTheme="minorBidi" w:hAnsiTheme="minorBidi" w:cs="Arial" w:hint="cs"/>
          <w:rtl/>
        </w:rPr>
        <w:t>תוה"א ב"ד ש"ד</w:t>
      </w:r>
      <w:r w:rsidRPr="00F24BF1">
        <w:rPr>
          <w:rFonts w:asciiTheme="minorBidi" w:hAnsiTheme="minorBidi" w:cs="Arial"/>
          <w:rtl/>
        </w:rPr>
        <w:t xml:space="preserve"> לו.)</w:t>
      </w:r>
      <w:r>
        <w:rPr>
          <w:rFonts w:hint="cs"/>
          <w:rtl/>
        </w:rPr>
        <w:t>.</w:t>
      </w:r>
    </w:p>
  </w:footnote>
  <w:footnote w:id="1919">
    <w:p w14:paraId="7BA13B42" w14:textId="77777777" w:rsidR="004C5A3C" w:rsidRDefault="004C5A3C" w:rsidP="002C39F4">
      <w:pPr>
        <w:pStyle w:val="a5"/>
      </w:pPr>
      <w:r>
        <w:rPr>
          <w:rStyle w:val="a7"/>
        </w:rPr>
        <w:footnoteRef/>
      </w:r>
      <w:r>
        <w:rPr>
          <w:rtl/>
        </w:rPr>
        <w:t xml:space="preserve"> </w:t>
      </w:r>
      <w:r w:rsidRPr="00697910">
        <w:rPr>
          <w:rFonts w:cs="Arial"/>
          <w:rtl/>
        </w:rPr>
        <w:t>למגזר שכרא אטו חמרא דשכרא מבטל ליה לטעמיה דחמרא</w:t>
      </w:r>
      <w:r>
        <w:rPr>
          <w:rFonts w:cs="Arial" w:hint="cs"/>
          <w:rtl/>
        </w:rPr>
        <w:t>, רש"י.</w:t>
      </w:r>
    </w:p>
  </w:footnote>
  <w:footnote w:id="1920">
    <w:p w14:paraId="736B5952" w14:textId="77777777" w:rsidR="004C5A3C" w:rsidRDefault="004C5A3C" w:rsidP="002C39F4">
      <w:pPr>
        <w:pStyle w:val="a5"/>
      </w:pPr>
      <w:r>
        <w:rPr>
          <w:rStyle w:val="a7"/>
        </w:rPr>
        <w:footnoteRef/>
      </w:r>
      <w:r>
        <w:rPr>
          <w:rtl/>
        </w:rPr>
        <w:t xml:space="preserve"> </w:t>
      </w:r>
      <w:r w:rsidRPr="00F24BF1">
        <w:rPr>
          <w:rFonts w:asciiTheme="minorBidi" w:hAnsiTheme="minorBidi" w:cs="Arial"/>
          <w:rtl/>
        </w:rPr>
        <w:t>וטעמא</w:t>
      </w:r>
      <w:r>
        <w:rPr>
          <w:rFonts w:asciiTheme="minorBidi" w:hAnsiTheme="minorBidi" w:cs="Arial" w:hint="cs"/>
          <w:rtl/>
        </w:rPr>
        <w:t>,</w:t>
      </w:r>
      <w:r w:rsidRPr="00F24BF1">
        <w:rPr>
          <w:rFonts w:asciiTheme="minorBidi" w:hAnsiTheme="minorBidi" w:cs="Arial"/>
          <w:rtl/>
        </w:rPr>
        <w:t xml:space="preserve"> דהא מילתא דיין הבלוע בכלי דבר מועט הוא דכל שמשתמשין בו בצונן אין בולעו אלא מועט וכיון שכן וכלי זה שמשתמשין היתר בשפע אי אפשר לבא לידי נתינת טעם ולפיכך אפילו לכתחלה מותר</w:t>
      </w:r>
      <w:r>
        <w:rPr>
          <w:rFonts w:asciiTheme="minorBidi" w:hAnsiTheme="minorBidi" w:cs="Arial" w:hint="cs"/>
          <w:rtl/>
        </w:rPr>
        <w:t xml:space="preserve">, רשב"א  </w:t>
      </w:r>
      <w:r w:rsidRPr="00F24BF1">
        <w:rPr>
          <w:rFonts w:asciiTheme="minorBidi" w:hAnsiTheme="minorBidi" w:cs="Arial"/>
          <w:rtl/>
        </w:rPr>
        <w:t>(</w:t>
      </w:r>
      <w:r>
        <w:rPr>
          <w:rFonts w:asciiTheme="minorBidi" w:hAnsiTheme="minorBidi" w:cs="Arial" w:hint="cs"/>
          <w:rtl/>
        </w:rPr>
        <w:t>תוה"א ב"ד ש"ד</w:t>
      </w:r>
      <w:r w:rsidRPr="00F24BF1">
        <w:rPr>
          <w:rFonts w:asciiTheme="minorBidi" w:hAnsiTheme="minorBidi" w:cs="Arial"/>
          <w:rtl/>
        </w:rPr>
        <w:t xml:space="preserve"> לו.)</w:t>
      </w:r>
      <w:r>
        <w:rPr>
          <w:rFonts w:hint="cs"/>
          <w:rtl/>
        </w:rPr>
        <w:t>.</w:t>
      </w:r>
    </w:p>
  </w:footnote>
  <w:footnote w:id="1921">
    <w:p w14:paraId="784E92DA" w14:textId="77777777" w:rsidR="004C5A3C" w:rsidRDefault="004C5A3C" w:rsidP="002C39F4">
      <w:pPr>
        <w:pStyle w:val="a5"/>
      </w:pPr>
      <w:r>
        <w:rPr>
          <w:rStyle w:val="a7"/>
        </w:rPr>
        <w:footnoteRef/>
      </w:r>
      <w:r>
        <w:rPr>
          <w:rtl/>
        </w:rPr>
        <w:t xml:space="preserve"> </w:t>
      </w:r>
      <w:r w:rsidRPr="00F24BF1">
        <w:rPr>
          <w:rFonts w:asciiTheme="minorBidi" w:hAnsiTheme="minorBidi" w:cs="Arial"/>
          <w:rtl/>
        </w:rPr>
        <w:t>אפילו בשפע</w:t>
      </w:r>
      <w:r>
        <w:rPr>
          <w:rFonts w:asciiTheme="minorBidi" w:hAnsiTheme="minorBidi" w:cs="Arial" w:hint="cs"/>
          <w:rtl/>
        </w:rPr>
        <w:t>,</w:t>
      </w:r>
      <w:r w:rsidRPr="00F24BF1">
        <w:rPr>
          <w:rFonts w:asciiTheme="minorBidi" w:hAnsiTheme="minorBidi" w:cs="Arial"/>
          <w:rtl/>
        </w:rPr>
        <w:t xml:space="preserve"> גזרה שמא ישתמש בה בדבר מועט ויבא בו לידי נתינת טעם</w:t>
      </w:r>
      <w:r>
        <w:rPr>
          <w:rFonts w:asciiTheme="minorBidi" w:hAnsiTheme="minorBidi" w:cs="Arial" w:hint="cs"/>
          <w:rtl/>
        </w:rPr>
        <w:t xml:space="preserve">, רשב"א </w:t>
      </w:r>
      <w:r w:rsidRPr="00F24BF1">
        <w:rPr>
          <w:rFonts w:asciiTheme="minorBidi" w:hAnsiTheme="minorBidi" w:cs="Arial"/>
          <w:rtl/>
        </w:rPr>
        <w:t>(</w:t>
      </w:r>
      <w:r>
        <w:rPr>
          <w:rFonts w:asciiTheme="minorBidi" w:hAnsiTheme="minorBidi" w:cs="Arial" w:hint="cs"/>
          <w:rtl/>
        </w:rPr>
        <w:t>תוה"א ב"ד ש"ד</w:t>
      </w:r>
      <w:r w:rsidRPr="00F24BF1">
        <w:rPr>
          <w:rFonts w:asciiTheme="minorBidi" w:hAnsiTheme="minorBidi" w:cs="Arial"/>
          <w:rtl/>
        </w:rPr>
        <w:t xml:space="preserve"> לו.)</w:t>
      </w:r>
      <w:r>
        <w:rPr>
          <w:rFonts w:hint="cs"/>
          <w:rtl/>
        </w:rPr>
        <w:t>.</w:t>
      </w:r>
    </w:p>
  </w:footnote>
  <w:footnote w:id="1922">
    <w:p w14:paraId="79649CF8" w14:textId="77777777" w:rsidR="004C5A3C" w:rsidRDefault="004C5A3C" w:rsidP="002C39F4">
      <w:pPr>
        <w:pStyle w:val="a5"/>
        <w:rPr>
          <w:rtl/>
        </w:rPr>
      </w:pPr>
      <w:r>
        <w:rPr>
          <w:rStyle w:val="a7"/>
        </w:rPr>
        <w:footnoteRef/>
      </w:r>
      <w:r>
        <w:rPr>
          <w:rtl/>
        </w:rPr>
        <w:t xml:space="preserve"> </w:t>
      </w:r>
      <w:r>
        <w:rPr>
          <w:rFonts w:hint="cs"/>
          <w:rtl/>
        </w:rPr>
        <w:t xml:space="preserve">וכ' הב"י על דברי הטור- </w:t>
      </w:r>
      <w:r w:rsidRPr="00F24BF1">
        <w:rPr>
          <w:rFonts w:asciiTheme="minorBidi" w:hAnsiTheme="minorBidi" w:cs="Arial"/>
          <w:rtl/>
        </w:rPr>
        <w:t>אין כאן קושיא כלל</w:t>
      </w:r>
      <w:r>
        <w:rPr>
          <w:rFonts w:asciiTheme="minorBidi" w:hAnsiTheme="minorBidi" w:cs="Arial" w:hint="cs"/>
          <w:rtl/>
        </w:rPr>
        <w:t>,</w:t>
      </w:r>
      <w:r w:rsidRPr="00F24BF1">
        <w:rPr>
          <w:rFonts w:asciiTheme="minorBidi" w:hAnsiTheme="minorBidi" w:cs="Arial"/>
          <w:rtl/>
        </w:rPr>
        <w:t xml:space="preserve"> דלא דמו להדדי</w:t>
      </w:r>
      <w:r>
        <w:rPr>
          <w:rFonts w:asciiTheme="minorBidi" w:hAnsiTheme="minorBidi" w:cs="Arial" w:hint="cs"/>
          <w:rtl/>
        </w:rPr>
        <w:t>,</w:t>
      </w:r>
      <w:r w:rsidRPr="00F24BF1">
        <w:rPr>
          <w:rFonts w:asciiTheme="minorBidi" w:hAnsiTheme="minorBidi" w:cs="Arial"/>
          <w:rtl/>
        </w:rPr>
        <w:t xml:space="preserve"> דע"כ לא שרי הרשב"א אלא לפי שאינו מצוי להשתמש באותו כלי בדבר מועט</w:t>
      </w:r>
      <w:r>
        <w:rPr>
          <w:rFonts w:asciiTheme="minorBidi" w:hAnsiTheme="minorBidi" w:cs="Arial" w:hint="cs"/>
          <w:rtl/>
        </w:rPr>
        <w:t>,</w:t>
      </w:r>
      <w:r w:rsidRPr="00F24BF1">
        <w:rPr>
          <w:rFonts w:asciiTheme="minorBidi" w:hAnsiTheme="minorBidi" w:cs="Arial"/>
          <w:rtl/>
        </w:rPr>
        <w:t xml:space="preserve"> וכל דבר שאינו מצוי אין חוששין לו</w:t>
      </w:r>
      <w:r>
        <w:rPr>
          <w:rFonts w:asciiTheme="minorBidi" w:hAnsiTheme="minorBidi" w:cs="Arial" w:hint="cs"/>
          <w:rtl/>
        </w:rPr>
        <w:t>,</w:t>
      </w:r>
      <w:r w:rsidRPr="00F24BF1">
        <w:rPr>
          <w:rFonts w:asciiTheme="minorBidi" w:hAnsiTheme="minorBidi" w:cs="Arial"/>
          <w:rtl/>
        </w:rPr>
        <w:t xml:space="preserve"> ומה ענין זה לקדרה בת יומא ושאינה בת יומא שאדם עשוי לבשל בזו ובזו.</w:t>
      </w:r>
    </w:p>
  </w:footnote>
  <w:footnote w:id="1923">
    <w:p w14:paraId="23E6C5F7" w14:textId="77777777" w:rsidR="004C5A3C" w:rsidRDefault="004C5A3C" w:rsidP="002C39F4">
      <w:pPr>
        <w:pStyle w:val="a5"/>
        <w:rPr>
          <w:rtl/>
        </w:rPr>
      </w:pPr>
      <w:r>
        <w:rPr>
          <w:rStyle w:val="a7"/>
        </w:rPr>
        <w:footnoteRef/>
      </w:r>
      <w:r>
        <w:rPr>
          <w:rtl/>
        </w:rPr>
        <w:t xml:space="preserve"> </w:t>
      </w:r>
      <w:r>
        <w:rPr>
          <w:rFonts w:hint="cs"/>
          <w:rtl/>
        </w:rPr>
        <w:t>וכ' הט"ז (סקט"ו) דאין להתיר אלא במקום שהוא</w:t>
      </w:r>
      <w:r>
        <w:rPr>
          <w:rFonts w:hint="cs"/>
          <w:sz w:val="16"/>
          <w:szCs w:val="16"/>
          <w:rtl/>
        </w:rPr>
        <w:t xml:space="preserve"> {המשקה שמכניסים בכלי כדי לבטל}</w:t>
      </w:r>
      <w:r>
        <w:rPr>
          <w:rFonts w:hint="cs"/>
          <w:rtl/>
        </w:rPr>
        <w:t xml:space="preserve"> פוגם גם כן.</w:t>
      </w:r>
    </w:p>
  </w:footnote>
  <w:footnote w:id="1924">
    <w:p w14:paraId="67454F8C" w14:textId="77777777" w:rsidR="004C5A3C" w:rsidRDefault="004C5A3C" w:rsidP="002C39F4">
      <w:pPr>
        <w:pStyle w:val="a5"/>
      </w:pPr>
      <w:r>
        <w:rPr>
          <w:rStyle w:val="a7"/>
        </w:rPr>
        <w:footnoteRef/>
      </w:r>
      <w:r>
        <w:rPr>
          <w:rtl/>
        </w:rPr>
        <w:t xml:space="preserve"> </w:t>
      </w:r>
      <w:r w:rsidRPr="00977786">
        <w:rPr>
          <w:rFonts w:cs="Arial"/>
          <w:rtl/>
        </w:rPr>
        <w:t>משום אבר מן החי אלמא לא בעינן ביה כזית</w:t>
      </w:r>
      <w:r>
        <w:rPr>
          <w:rFonts w:cs="Arial" w:hint="cs"/>
          <w:rtl/>
        </w:rPr>
        <w:t>, רש"י</w:t>
      </w:r>
      <w:r w:rsidRPr="00977786">
        <w:rPr>
          <w:rFonts w:cs="Arial"/>
          <w:rtl/>
        </w:rPr>
        <w:t>.</w:t>
      </w:r>
    </w:p>
  </w:footnote>
  <w:footnote w:id="1925">
    <w:p w14:paraId="69099E40" w14:textId="77777777" w:rsidR="004C5A3C" w:rsidRDefault="004C5A3C" w:rsidP="002C39F4">
      <w:pPr>
        <w:pStyle w:val="a5"/>
      </w:pPr>
      <w:r>
        <w:rPr>
          <w:rStyle w:val="a7"/>
        </w:rPr>
        <w:footnoteRef/>
      </w:r>
      <w:r>
        <w:rPr>
          <w:rtl/>
        </w:rPr>
        <w:t xml:space="preserve"> </w:t>
      </w:r>
      <w:r w:rsidRPr="00977786">
        <w:rPr>
          <w:rFonts w:cs="Arial"/>
          <w:rtl/>
        </w:rPr>
        <w:t>דבנבלה אכילה כתיבא וכל אכילה בכזית בר מאבר מן החי דרבייה קרא וקפיד אאבר לחודיה</w:t>
      </w:r>
      <w:r>
        <w:rPr>
          <w:rFonts w:cs="Arial" w:hint="cs"/>
          <w:rtl/>
        </w:rPr>
        <w:t>, רש"י</w:t>
      </w:r>
      <w:r w:rsidRPr="00977786">
        <w:rPr>
          <w:rFonts w:cs="Arial"/>
          <w:rtl/>
        </w:rPr>
        <w:t>.</w:t>
      </w:r>
    </w:p>
  </w:footnote>
  <w:footnote w:id="1926">
    <w:p w14:paraId="3108E8C6" w14:textId="77777777" w:rsidR="004C5A3C" w:rsidRDefault="004C5A3C" w:rsidP="002C39F4">
      <w:pPr>
        <w:pStyle w:val="a5"/>
        <w:rPr>
          <w:rtl/>
        </w:rPr>
      </w:pPr>
      <w:r>
        <w:rPr>
          <w:rStyle w:val="a7"/>
        </w:rPr>
        <w:footnoteRef/>
      </w:r>
      <w:r>
        <w:rPr>
          <w:rtl/>
        </w:rPr>
        <w:t xml:space="preserve"> </w:t>
      </w:r>
      <w:r w:rsidRPr="00977786">
        <w:rPr>
          <w:rFonts w:cs="Arial"/>
          <w:rtl/>
        </w:rPr>
        <w:t>חייב</w:t>
      </w:r>
      <w:r>
        <w:rPr>
          <w:rFonts w:cs="Arial" w:hint="cs"/>
          <w:rtl/>
        </w:rPr>
        <w:t>,</w:t>
      </w:r>
      <w:r w:rsidRPr="00977786">
        <w:rPr>
          <w:rFonts w:cs="Arial"/>
          <w:rtl/>
        </w:rPr>
        <w:t xml:space="preserve"> דבריה היא ולא צריכה שיעור</w:t>
      </w:r>
      <w:r>
        <w:rPr>
          <w:rFonts w:cs="Arial" w:hint="cs"/>
          <w:rtl/>
        </w:rPr>
        <w:t>,</w:t>
      </w:r>
      <w:r w:rsidRPr="00977786">
        <w:rPr>
          <w:rFonts w:cs="Arial"/>
          <w:rtl/>
        </w:rPr>
        <w:t xml:space="preserve"> כדתנן באלו הן הלוקין (מכות יג</w:t>
      </w:r>
      <w:r>
        <w:rPr>
          <w:rFonts w:cs="Arial" w:hint="cs"/>
          <w:rtl/>
        </w:rPr>
        <w:t>.</w:t>
      </w:r>
      <w:r w:rsidRPr="00977786">
        <w:rPr>
          <w:rFonts w:cs="Arial"/>
          <w:rtl/>
        </w:rPr>
        <w:t>) באוכל נמלה כל שהוא שהוא חייב משום שהיא כברייתה</w:t>
      </w:r>
      <w:r>
        <w:rPr>
          <w:rFonts w:cs="Arial" w:hint="cs"/>
          <w:rtl/>
        </w:rPr>
        <w:t>,</w:t>
      </w:r>
      <w:r w:rsidRPr="00977786">
        <w:rPr>
          <w:rFonts w:cs="Arial"/>
          <w:rtl/>
        </w:rPr>
        <w:t xml:space="preserve"> אלמא בריה אסורה בכל שהוא</w:t>
      </w:r>
      <w:r>
        <w:rPr>
          <w:rFonts w:cs="Arial" w:hint="cs"/>
          <w:rtl/>
        </w:rPr>
        <w:t>,</w:t>
      </w:r>
      <w:r w:rsidRPr="00977786">
        <w:rPr>
          <w:rFonts w:cs="Arial"/>
          <w:rtl/>
        </w:rPr>
        <w:t xml:space="preserve"> אבל לאו דנבלה ליכא לחיובי משום בריה</w:t>
      </w:r>
      <w:r>
        <w:rPr>
          <w:rFonts w:cs="Arial" w:hint="cs"/>
          <w:rtl/>
        </w:rPr>
        <w:t>,</w:t>
      </w:r>
      <w:r w:rsidRPr="00977786">
        <w:rPr>
          <w:rFonts w:cs="Arial"/>
          <w:rtl/>
        </w:rPr>
        <w:t xml:space="preserve"> דכשנבראת לא היה עליה שם נבלה</w:t>
      </w:r>
      <w:r>
        <w:rPr>
          <w:rFonts w:cs="Arial" w:hint="cs"/>
          <w:rtl/>
        </w:rPr>
        <w:t>,</w:t>
      </w:r>
      <w:r w:rsidRPr="00977786">
        <w:rPr>
          <w:rFonts w:cs="Arial"/>
          <w:rtl/>
        </w:rPr>
        <w:t xml:space="preserve"> הלכך אלאו דנבלה לא מיחייב עד כזית קתני</w:t>
      </w:r>
      <w:r>
        <w:rPr>
          <w:rFonts w:cs="Arial" w:hint="cs"/>
          <w:rtl/>
        </w:rPr>
        <w:t>,</w:t>
      </w:r>
      <w:r w:rsidRPr="00977786">
        <w:rPr>
          <w:rFonts w:cs="Arial"/>
          <w:rtl/>
        </w:rPr>
        <w:t xml:space="preserve"> מיהא בטהורה בחייה בכל שהוא</w:t>
      </w:r>
      <w:r>
        <w:rPr>
          <w:rFonts w:cs="Arial" w:hint="cs"/>
          <w:rtl/>
        </w:rPr>
        <w:t>, רש"י</w:t>
      </w:r>
      <w:r w:rsidRPr="00977786">
        <w:rPr>
          <w:rFonts w:cs="Arial"/>
          <w:rtl/>
        </w:rPr>
        <w:t>.</w:t>
      </w:r>
    </w:p>
  </w:footnote>
  <w:footnote w:id="1927">
    <w:p w14:paraId="3DD6C082" w14:textId="77777777" w:rsidR="004C5A3C" w:rsidRDefault="004C5A3C" w:rsidP="002C39F4">
      <w:pPr>
        <w:pStyle w:val="a5"/>
      </w:pPr>
      <w:r>
        <w:rPr>
          <w:rStyle w:val="a7"/>
        </w:rPr>
        <w:footnoteRef/>
      </w:r>
      <w:r>
        <w:rPr>
          <w:rtl/>
        </w:rPr>
        <w:t xml:space="preserve"> </w:t>
      </w:r>
      <w:r w:rsidRPr="002909AB">
        <w:rPr>
          <w:rFonts w:cs="Arial"/>
          <w:rtl/>
        </w:rPr>
        <w:t>אבל גיד ועוף טמא ואבר מן החי חל איסורן משעה שנוצרו</w:t>
      </w:r>
      <w:r>
        <w:rPr>
          <w:rFonts w:cs="Arial" w:hint="cs"/>
          <w:rtl/>
        </w:rPr>
        <w:t xml:space="preserve">, </w:t>
      </w:r>
      <w:r w:rsidRPr="00FB1869">
        <w:rPr>
          <w:rFonts w:cs="Arial"/>
          <w:rtl/>
        </w:rPr>
        <w:t>וקשה</w:t>
      </w:r>
      <w:r>
        <w:rPr>
          <w:rFonts w:cs="Arial" w:hint="cs"/>
          <w:rtl/>
        </w:rPr>
        <w:t>, ו</w:t>
      </w:r>
      <w:r w:rsidRPr="00FB1869">
        <w:rPr>
          <w:rFonts w:cs="Arial"/>
          <w:rtl/>
        </w:rPr>
        <w:t>הרי חלב המכסה את הקרב וחלב הכליות וערלה וכלאי הכרם דאסירי מתחלת ברייתן</w:t>
      </w:r>
      <w:r>
        <w:rPr>
          <w:rFonts w:cs="Arial" w:hint="cs"/>
          <w:rtl/>
        </w:rPr>
        <w:t>-</w:t>
      </w:r>
      <w:r w:rsidRPr="00FB1869">
        <w:rPr>
          <w:rFonts w:cs="Arial"/>
          <w:rtl/>
        </w:rPr>
        <w:t xml:space="preserve"> ובטילי</w:t>
      </w:r>
      <w:r>
        <w:rPr>
          <w:rFonts w:cs="Arial" w:hint="cs"/>
          <w:rtl/>
        </w:rPr>
        <w:t>, רא"ש.</w:t>
      </w:r>
    </w:p>
  </w:footnote>
  <w:footnote w:id="1928">
    <w:p w14:paraId="72A40720" w14:textId="77777777" w:rsidR="004C5A3C" w:rsidRDefault="004C5A3C" w:rsidP="002C39F4">
      <w:pPr>
        <w:pStyle w:val="a5"/>
      </w:pPr>
      <w:r>
        <w:rPr>
          <w:rStyle w:val="a7"/>
        </w:rPr>
        <w:footnoteRef/>
      </w:r>
      <w:r>
        <w:rPr>
          <w:rtl/>
        </w:rPr>
        <w:t xml:space="preserve"> </w:t>
      </w:r>
      <w:r w:rsidRPr="00FB1869">
        <w:rPr>
          <w:rFonts w:cs="Arial"/>
          <w:rtl/>
        </w:rPr>
        <w:t>ו</w:t>
      </w:r>
      <w:r>
        <w:rPr>
          <w:rFonts w:cs="Arial" w:hint="cs"/>
          <w:rtl/>
        </w:rPr>
        <w:t>כ' הב"י ד</w:t>
      </w:r>
      <w:r w:rsidRPr="00FB1869">
        <w:rPr>
          <w:rFonts w:cs="Arial"/>
          <w:rtl/>
        </w:rPr>
        <w:t>כך הם דברי התוס</w:t>
      </w:r>
      <w:r>
        <w:rPr>
          <w:rFonts w:cs="Arial" w:hint="cs"/>
          <w:rtl/>
        </w:rPr>
        <w:t>'</w:t>
      </w:r>
      <w:r w:rsidRPr="00FB1869">
        <w:rPr>
          <w:rFonts w:cs="Arial"/>
          <w:rtl/>
        </w:rPr>
        <w:t xml:space="preserve"> (זבחים עב. ד"ה וליבטלו ברובא) סמ"ג (לאוין קלט דף נ ע"ד) וסה</w:t>
      </w:r>
      <w:r>
        <w:rPr>
          <w:rFonts w:cs="Arial" w:hint="cs"/>
          <w:rtl/>
        </w:rPr>
        <w:t>"</w:t>
      </w:r>
      <w:r w:rsidRPr="00FB1869">
        <w:rPr>
          <w:rFonts w:cs="Arial"/>
          <w:rtl/>
        </w:rPr>
        <w:t>ת (סי' נ)</w:t>
      </w:r>
      <w:r>
        <w:rPr>
          <w:rFonts w:cs="Arial" w:hint="cs"/>
          <w:rtl/>
        </w:rPr>
        <w:t>.</w:t>
      </w:r>
    </w:p>
  </w:footnote>
  <w:footnote w:id="1929">
    <w:p w14:paraId="19B256E8" w14:textId="77777777" w:rsidR="004C5A3C" w:rsidRPr="002909AB" w:rsidRDefault="004C5A3C" w:rsidP="002C39F4">
      <w:pPr>
        <w:pStyle w:val="a5"/>
        <w:rPr>
          <w:rtl/>
        </w:rPr>
      </w:pPr>
      <w:r>
        <w:rPr>
          <w:rStyle w:val="a7"/>
        </w:rPr>
        <w:footnoteRef/>
      </w:r>
      <w:r>
        <w:rPr>
          <w:rtl/>
        </w:rPr>
        <w:t xml:space="preserve"> </w:t>
      </w:r>
      <w:r w:rsidRPr="00FB1869">
        <w:rPr>
          <w:rFonts w:cs="Arial"/>
          <w:rtl/>
        </w:rPr>
        <w:t xml:space="preserve">ודייק </w:t>
      </w:r>
      <w:r>
        <w:rPr>
          <w:rFonts w:cs="Arial" w:hint="cs"/>
          <w:rtl/>
        </w:rPr>
        <w:t>הטור</w:t>
      </w:r>
      <w:r w:rsidRPr="00FB1869">
        <w:rPr>
          <w:rFonts w:cs="Arial"/>
          <w:rtl/>
        </w:rPr>
        <w:t xml:space="preserve"> במה שאמר עוף טמא דאילו עוף טהור שנתנבל לא מיקרי בריה</w:t>
      </w:r>
      <w:r>
        <w:rPr>
          <w:rFonts w:cs="Arial" w:hint="cs"/>
          <w:rtl/>
        </w:rPr>
        <w:t>,</w:t>
      </w:r>
      <w:r w:rsidRPr="00FB1869">
        <w:rPr>
          <w:rFonts w:cs="Arial"/>
          <w:rtl/>
        </w:rPr>
        <w:t xml:space="preserve"> וכ</w:t>
      </w:r>
      <w:r>
        <w:rPr>
          <w:rFonts w:cs="Arial" w:hint="cs"/>
          <w:rtl/>
        </w:rPr>
        <w:t>"כ</w:t>
      </w:r>
      <w:r w:rsidRPr="00FB1869">
        <w:rPr>
          <w:rFonts w:cs="Arial"/>
          <w:rtl/>
        </w:rPr>
        <w:t xml:space="preserve"> שם הר"ן</w:t>
      </w:r>
      <w:r w:rsidRPr="002909AB">
        <w:rPr>
          <w:rFonts w:cs="Arial"/>
          <w:sz w:val="16"/>
          <w:szCs w:val="16"/>
          <w:rtl/>
        </w:rPr>
        <w:t xml:space="preserve"> (לו</w:t>
      </w:r>
      <w:r w:rsidRPr="002909AB">
        <w:rPr>
          <w:rFonts w:cs="Arial" w:hint="cs"/>
          <w:sz w:val="16"/>
          <w:szCs w:val="16"/>
          <w:rtl/>
        </w:rPr>
        <w:t>.</w:t>
      </w:r>
      <w:r w:rsidRPr="002909AB">
        <w:rPr>
          <w:rFonts w:cs="Arial"/>
          <w:sz w:val="16"/>
          <w:szCs w:val="16"/>
          <w:rtl/>
        </w:rPr>
        <w:t xml:space="preserve">) </w:t>
      </w:r>
      <w:r w:rsidRPr="00FB1869">
        <w:rPr>
          <w:rFonts w:cs="Arial"/>
          <w:rtl/>
        </w:rPr>
        <w:t xml:space="preserve">והרשב"א </w:t>
      </w:r>
      <w:r w:rsidRPr="002909AB">
        <w:rPr>
          <w:rFonts w:cs="Arial"/>
          <w:sz w:val="16"/>
          <w:szCs w:val="16"/>
          <w:rtl/>
        </w:rPr>
        <w:t>(תוה"א ב"ד ש"א יד.)</w:t>
      </w:r>
      <w:r>
        <w:rPr>
          <w:rFonts w:cs="Arial" w:hint="cs"/>
          <w:rtl/>
        </w:rPr>
        <w:t>, ב"י.</w:t>
      </w:r>
    </w:p>
  </w:footnote>
  <w:footnote w:id="1930">
    <w:p w14:paraId="69BCB48E" w14:textId="77777777" w:rsidR="004C5A3C" w:rsidRDefault="004C5A3C" w:rsidP="002C39F4">
      <w:pPr>
        <w:pStyle w:val="a5"/>
        <w:rPr>
          <w:rtl/>
        </w:rPr>
      </w:pPr>
      <w:r>
        <w:rPr>
          <w:rStyle w:val="a7"/>
        </w:rPr>
        <w:footnoteRef/>
      </w:r>
      <w:r>
        <w:rPr>
          <w:rtl/>
        </w:rPr>
        <w:t xml:space="preserve"> </w:t>
      </w:r>
      <w:r w:rsidRPr="002909AB">
        <w:rPr>
          <w:rFonts w:cs="Arial"/>
          <w:rtl/>
        </w:rPr>
        <w:t>וכן שור הנסקל לא מיקרי בריה</w:t>
      </w:r>
      <w:r w:rsidRPr="002909AB">
        <w:rPr>
          <w:rFonts w:cs="Arial" w:hint="cs"/>
          <w:rtl/>
        </w:rPr>
        <w:t>,</w:t>
      </w:r>
      <w:r w:rsidRPr="002909AB">
        <w:rPr>
          <w:rFonts w:cs="Arial"/>
          <w:rtl/>
        </w:rPr>
        <w:t xml:space="preserve"> כדמוכח בר</w:t>
      </w:r>
      <w:r>
        <w:rPr>
          <w:rFonts w:cs="Arial" w:hint="cs"/>
          <w:rtl/>
        </w:rPr>
        <w:t>"</w:t>
      </w:r>
      <w:r w:rsidRPr="002909AB">
        <w:rPr>
          <w:rFonts w:cs="Arial"/>
          <w:rtl/>
        </w:rPr>
        <w:t>פ</w:t>
      </w:r>
      <w:r>
        <w:rPr>
          <w:rFonts w:cs="Arial" w:hint="cs"/>
          <w:rtl/>
        </w:rPr>
        <w:t xml:space="preserve"> </w:t>
      </w:r>
      <w:r w:rsidRPr="002909AB">
        <w:rPr>
          <w:rFonts w:cs="Arial"/>
          <w:rtl/>
        </w:rPr>
        <w:t xml:space="preserve">התערובות </w:t>
      </w:r>
      <w:r w:rsidRPr="002909AB">
        <w:rPr>
          <w:rFonts w:cs="Arial"/>
          <w:sz w:val="16"/>
          <w:szCs w:val="16"/>
          <w:rtl/>
        </w:rPr>
        <w:t xml:space="preserve">(זבחים עא:) </w:t>
      </w:r>
      <w:r w:rsidRPr="002909AB">
        <w:rPr>
          <w:rFonts w:cs="Arial"/>
          <w:rtl/>
        </w:rPr>
        <w:t xml:space="preserve">משום דכתיב </w:t>
      </w:r>
      <w:r w:rsidRPr="002909AB">
        <w:rPr>
          <w:rFonts w:cs="Arial"/>
          <w:sz w:val="16"/>
          <w:szCs w:val="16"/>
          <w:rtl/>
        </w:rPr>
        <w:t xml:space="preserve">(שמות כא כח) </w:t>
      </w:r>
      <w:r w:rsidRPr="002909AB">
        <w:rPr>
          <w:rFonts w:cs="Arial"/>
          <w:rtl/>
        </w:rPr>
        <w:t>לא יאכל את בשרו</w:t>
      </w:r>
      <w:r w:rsidRPr="002909AB">
        <w:rPr>
          <w:rFonts w:cs="Arial" w:hint="cs"/>
          <w:rtl/>
        </w:rPr>
        <w:t>,</w:t>
      </w:r>
      <w:r w:rsidRPr="002909AB">
        <w:rPr>
          <w:rFonts w:cs="Arial"/>
          <w:rtl/>
        </w:rPr>
        <w:t xml:space="preserve"> דמשמע אפילו חתיכה אחת ממנו</w:t>
      </w:r>
      <w:r w:rsidRPr="002909AB">
        <w:rPr>
          <w:rFonts w:cs="Arial" w:hint="cs"/>
          <w:rtl/>
        </w:rPr>
        <w:t>,</w:t>
      </w:r>
      <w:r w:rsidRPr="002909AB">
        <w:rPr>
          <w:rFonts w:cs="Arial"/>
          <w:rtl/>
        </w:rPr>
        <w:t xml:space="preserve"> אבל הני קאמר לא תאכל אותם בין גדול בין קטן כי על שלימותן נקראים כן</w:t>
      </w:r>
      <w:r w:rsidRPr="002909AB">
        <w:rPr>
          <w:rFonts w:cs="Arial" w:hint="cs"/>
          <w:rtl/>
        </w:rPr>
        <w:t>,</w:t>
      </w:r>
      <w:r w:rsidRPr="002909AB">
        <w:rPr>
          <w:rFonts w:cs="Arial"/>
          <w:rtl/>
        </w:rPr>
        <w:t xml:space="preserve"> וכן מוכח בפ"ג דשבועות </w:t>
      </w:r>
      <w:r w:rsidRPr="002909AB">
        <w:rPr>
          <w:rFonts w:cs="Arial"/>
          <w:sz w:val="16"/>
          <w:szCs w:val="16"/>
          <w:rtl/>
        </w:rPr>
        <w:t xml:space="preserve">(כא:) </w:t>
      </w:r>
      <w:r w:rsidRPr="002909AB">
        <w:rPr>
          <w:rFonts w:cs="Arial"/>
          <w:rtl/>
        </w:rPr>
        <w:t>דטעמא דבריה הוי כאילו פירש הכתוב לא תאכלנו בכל שהוא</w:t>
      </w:r>
      <w:r w:rsidRPr="002909AB">
        <w:rPr>
          <w:rFonts w:cs="Arial" w:hint="cs"/>
          <w:rtl/>
        </w:rPr>
        <w:t>,</w:t>
      </w:r>
      <w:r w:rsidRPr="002909AB">
        <w:rPr>
          <w:rFonts w:cs="Arial"/>
          <w:rtl/>
        </w:rPr>
        <w:t xml:space="preserve"> והא דבפרק אלו הן הלוקין </w:t>
      </w:r>
      <w:r w:rsidRPr="002909AB">
        <w:rPr>
          <w:rFonts w:cs="Arial"/>
          <w:sz w:val="16"/>
          <w:szCs w:val="16"/>
          <w:rtl/>
        </w:rPr>
        <w:t xml:space="preserve">(מכות יז.) </w:t>
      </w:r>
      <w:r w:rsidRPr="002909AB">
        <w:rPr>
          <w:rFonts w:cs="Arial"/>
          <w:rtl/>
        </w:rPr>
        <w:t>מסקי רבנן בריית נשמה חשיבא חטה לא חשיבא</w:t>
      </w:r>
      <w:r w:rsidRPr="002909AB">
        <w:rPr>
          <w:rFonts w:cs="Arial" w:hint="cs"/>
          <w:rtl/>
        </w:rPr>
        <w:t>,</w:t>
      </w:r>
      <w:r w:rsidRPr="002909AB">
        <w:rPr>
          <w:rFonts w:cs="Arial"/>
          <w:rtl/>
        </w:rPr>
        <w:t xml:space="preserve"> והרי גיד ואבר מן החי דלאו בריית נשמה הן וחשיבי בריה</w:t>
      </w:r>
      <w:r w:rsidRPr="002909AB">
        <w:rPr>
          <w:rFonts w:cs="Arial" w:hint="cs"/>
          <w:rtl/>
        </w:rPr>
        <w:t>,</w:t>
      </w:r>
      <w:r w:rsidRPr="002909AB">
        <w:rPr>
          <w:rFonts w:cs="Arial"/>
          <w:rtl/>
        </w:rPr>
        <w:t xml:space="preserve"> וי"ל דרבנן לדברי רבי שמעון קאמרי</w:t>
      </w:r>
      <w:r>
        <w:rPr>
          <w:rFonts w:cs="Arial" w:hint="cs"/>
          <w:rtl/>
        </w:rPr>
        <w:t>, רא"ש</w:t>
      </w:r>
      <w:r w:rsidRPr="002909AB">
        <w:rPr>
          <w:rFonts w:cs="Arial"/>
          <w:rtl/>
        </w:rPr>
        <w:t>.</w:t>
      </w:r>
    </w:p>
  </w:footnote>
  <w:footnote w:id="1931">
    <w:p w14:paraId="0767A739" w14:textId="77777777" w:rsidR="004C5A3C" w:rsidRDefault="004C5A3C" w:rsidP="002C39F4">
      <w:pPr>
        <w:pStyle w:val="a5"/>
        <w:rPr>
          <w:rtl/>
        </w:rPr>
      </w:pPr>
      <w:r>
        <w:rPr>
          <w:rStyle w:val="a7"/>
        </w:rPr>
        <w:footnoteRef/>
      </w:r>
      <w:r>
        <w:rPr>
          <w:rtl/>
        </w:rPr>
        <w:t xml:space="preserve"> </w:t>
      </w:r>
      <w:r w:rsidRPr="0018343E">
        <w:rPr>
          <w:rFonts w:cs="Arial"/>
          <w:rtl/>
        </w:rPr>
        <w:t>וכדברי רש"י בההיא דאכל צפור טהורה וכו'</w:t>
      </w:r>
      <w:r>
        <w:rPr>
          <w:rFonts w:cs="Arial" w:hint="cs"/>
          <w:rtl/>
        </w:rPr>
        <w:t>,</w:t>
      </w:r>
      <w:r w:rsidRPr="0018343E">
        <w:rPr>
          <w:rFonts w:cs="Arial"/>
          <w:rtl/>
        </w:rPr>
        <w:t xml:space="preserve"> וכתב </w:t>
      </w:r>
      <w:r>
        <w:rPr>
          <w:rFonts w:cs="Arial" w:hint="cs"/>
          <w:sz w:val="16"/>
          <w:szCs w:val="16"/>
          <w:rtl/>
        </w:rPr>
        <w:t xml:space="preserve">{הר"ן} </w:t>
      </w:r>
      <w:r w:rsidRPr="0018343E">
        <w:rPr>
          <w:rFonts w:cs="Arial"/>
          <w:rtl/>
        </w:rPr>
        <w:t>דמהאי טעמא נמי לא חשיב שור הנסקל בריה</w:t>
      </w:r>
      <w:r>
        <w:rPr>
          <w:rFonts w:cs="Arial" w:hint="cs"/>
          <w:rtl/>
        </w:rPr>
        <w:t>, ב"י</w:t>
      </w:r>
      <w:r w:rsidRPr="0018343E">
        <w:rPr>
          <w:rFonts w:cs="Arial"/>
          <w:rtl/>
        </w:rPr>
        <w:t xml:space="preserve">. </w:t>
      </w:r>
    </w:p>
  </w:footnote>
  <w:footnote w:id="1932">
    <w:p w14:paraId="2E86DDF2" w14:textId="77777777" w:rsidR="004C5A3C" w:rsidRDefault="004C5A3C" w:rsidP="002C39F4">
      <w:pPr>
        <w:pStyle w:val="a5"/>
        <w:rPr>
          <w:rtl/>
        </w:rPr>
      </w:pPr>
      <w:r>
        <w:rPr>
          <w:rStyle w:val="a7"/>
        </w:rPr>
        <w:footnoteRef/>
      </w:r>
      <w:r>
        <w:rPr>
          <w:rtl/>
        </w:rPr>
        <w:t xml:space="preserve"> </w:t>
      </w:r>
      <w:r w:rsidRPr="00142FD3">
        <w:rPr>
          <w:rFonts w:cs="Arial"/>
          <w:rtl/>
        </w:rPr>
        <w:t>ופירוש זה דבריית נשמה כתבו הרא"ש (סי' לג) בשם י"מ</w:t>
      </w:r>
      <w:r>
        <w:rPr>
          <w:rFonts w:cs="Arial" w:hint="cs"/>
          <w:rtl/>
        </w:rPr>
        <w:t>,</w:t>
      </w:r>
      <w:r w:rsidRPr="00142FD3">
        <w:rPr>
          <w:rFonts w:cs="Arial"/>
          <w:rtl/>
        </w:rPr>
        <w:t xml:space="preserve"> והתוס</w:t>
      </w:r>
      <w:r>
        <w:rPr>
          <w:rFonts w:cs="Arial" w:hint="cs"/>
          <w:rtl/>
        </w:rPr>
        <w:t>'</w:t>
      </w:r>
      <w:r w:rsidRPr="00142FD3">
        <w:rPr>
          <w:rFonts w:cs="Arial"/>
          <w:rtl/>
        </w:rPr>
        <w:t xml:space="preserve"> ג"כ</w:t>
      </w:r>
      <w:r>
        <w:rPr>
          <w:rFonts w:cs="Arial" w:hint="cs"/>
          <w:rtl/>
        </w:rPr>
        <w:t xml:space="preserve"> </w:t>
      </w:r>
      <w:r w:rsidRPr="00142FD3">
        <w:rPr>
          <w:rFonts w:cs="Arial"/>
          <w:rtl/>
        </w:rPr>
        <w:t>(מכות יז. ד"ה ורבנן)</w:t>
      </w:r>
      <w:r>
        <w:rPr>
          <w:rFonts w:cs="Arial" w:hint="cs"/>
          <w:rtl/>
        </w:rPr>
        <w:t>,</w:t>
      </w:r>
      <w:r w:rsidRPr="00142FD3">
        <w:rPr>
          <w:rFonts w:cs="Arial"/>
          <w:rtl/>
        </w:rPr>
        <w:t xml:space="preserve"> ודחו אותו</w:t>
      </w:r>
      <w:r>
        <w:rPr>
          <w:rFonts w:cs="Arial" w:hint="cs"/>
          <w:rtl/>
        </w:rPr>
        <w:t>, ב"י.</w:t>
      </w:r>
      <w:r w:rsidRPr="00BD78AF">
        <w:rPr>
          <w:rFonts w:cs="Arial"/>
          <w:rtl/>
        </w:rPr>
        <w:t xml:space="preserve"> והארוך </w:t>
      </w:r>
      <w:r>
        <w:rPr>
          <w:rFonts w:cs="Arial" w:hint="cs"/>
          <w:rtl/>
        </w:rPr>
        <w:t>(</w:t>
      </w:r>
      <w:r w:rsidRPr="00BD78AF">
        <w:rPr>
          <w:rFonts w:cs="Arial"/>
          <w:rtl/>
        </w:rPr>
        <w:t>כלל כה</w:t>
      </w:r>
      <w:r>
        <w:rPr>
          <w:rFonts w:cs="Arial" w:hint="cs"/>
          <w:rtl/>
        </w:rPr>
        <w:t>)</w:t>
      </w:r>
      <w:r w:rsidRPr="00BD78AF">
        <w:rPr>
          <w:rFonts w:cs="Arial"/>
          <w:rtl/>
        </w:rPr>
        <w:t xml:space="preserve"> כ</w:t>
      </w:r>
      <w:r>
        <w:rPr>
          <w:rFonts w:cs="Arial" w:hint="cs"/>
          <w:rtl/>
        </w:rPr>
        <w:t>'</w:t>
      </w:r>
      <w:r w:rsidRPr="00BD78AF">
        <w:rPr>
          <w:rFonts w:cs="Arial"/>
          <w:rtl/>
        </w:rPr>
        <w:t xml:space="preserve"> כדברי הר"ן</w:t>
      </w:r>
      <w:r>
        <w:rPr>
          <w:rFonts w:cs="Arial" w:hint="cs"/>
          <w:rtl/>
        </w:rPr>
        <w:t xml:space="preserve">, דרכ"מ </w:t>
      </w:r>
      <w:r w:rsidRPr="00BD78AF">
        <w:rPr>
          <w:rFonts w:cs="Arial"/>
          <w:rtl/>
        </w:rPr>
        <w:t>(</w:t>
      </w:r>
      <w:r>
        <w:rPr>
          <w:rFonts w:cs="Arial" w:hint="cs"/>
          <w:rtl/>
        </w:rPr>
        <w:t xml:space="preserve">אות </w:t>
      </w:r>
      <w:r w:rsidRPr="00BD78AF">
        <w:rPr>
          <w:rFonts w:cs="Arial"/>
          <w:rtl/>
        </w:rPr>
        <w:t>ב)</w:t>
      </w:r>
      <w:r>
        <w:rPr>
          <w:rFonts w:cs="Arial" w:hint="cs"/>
          <w:rtl/>
        </w:rPr>
        <w:t>.</w:t>
      </w:r>
    </w:p>
  </w:footnote>
  <w:footnote w:id="1933">
    <w:p w14:paraId="06FD5526" w14:textId="77777777" w:rsidR="004C5A3C" w:rsidRDefault="004C5A3C" w:rsidP="002C39F4">
      <w:pPr>
        <w:pStyle w:val="a5"/>
      </w:pPr>
      <w:r>
        <w:rPr>
          <w:rStyle w:val="a7"/>
        </w:rPr>
        <w:footnoteRef/>
      </w:r>
      <w:r>
        <w:rPr>
          <w:rtl/>
        </w:rPr>
        <w:t xml:space="preserve"> </w:t>
      </w:r>
      <w:r>
        <w:rPr>
          <w:rFonts w:cs="Arial" w:hint="cs"/>
          <w:rtl/>
        </w:rPr>
        <w:t>ו</w:t>
      </w:r>
      <w:r w:rsidRPr="00142FD3">
        <w:rPr>
          <w:rFonts w:cs="Arial"/>
          <w:rtl/>
        </w:rPr>
        <w:t xml:space="preserve">כתב </w:t>
      </w:r>
      <w:r>
        <w:rPr>
          <w:rFonts w:cs="Arial" w:hint="cs"/>
          <w:rtl/>
        </w:rPr>
        <w:t>הטור תנאי זה</w:t>
      </w:r>
      <w:r w:rsidRPr="00142FD3">
        <w:rPr>
          <w:rFonts w:cs="Arial"/>
          <w:rtl/>
        </w:rPr>
        <w:t xml:space="preserve"> בסימן שאחר זה</w:t>
      </w:r>
      <w:r>
        <w:rPr>
          <w:rFonts w:cs="Arial" w:hint="cs"/>
          <w:rtl/>
        </w:rPr>
        <w:t>,</w:t>
      </w:r>
      <w:r w:rsidRPr="00142FD3">
        <w:rPr>
          <w:rFonts w:cs="Arial"/>
          <w:rtl/>
        </w:rPr>
        <w:t xml:space="preserve"> ו</w:t>
      </w:r>
      <w:r>
        <w:rPr>
          <w:rFonts w:cs="Arial" w:hint="cs"/>
          <w:rtl/>
        </w:rPr>
        <w:t>כ' הב"י ד</w:t>
      </w:r>
      <w:r w:rsidRPr="00142FD3">
        <w:rPr>
          <w:rFonts w:cs="Arial"/>
          <w:rtl/>
        </w:rPr>
        <w:t>שם יתבאר בס"ד</w:t>
      </w:r>
      <w:r>
        <w:rPr>
          <w:rFonts w:cs="Arial" w:hint="cs"/>
          <w:rtl/>
        </w:rPr>
        <w:t>,</w:t>
      </w:r>
      <w:r w:rsidRPr="00142FD3">
        <w:rPr>
          <w:rFonts w:cs="Arial"/>
          <w:rtl/>
        </w:rPr>
        <w:t xml:space="preserve"> ובסימן ק"ז וק"י יתבאר תשלום דיני בריה</w:t>
      </w:r>
      <w:r>
        <w:rPr>
          <w:rFonts w:cs="Arial" w:hint="cs"/>
          <w:rtl/>
        </w:rPr>
        <w:t>.</w:t>
      </w:r>
    </w:p>
  </w:footnote>
  <w:footnote w:id="1934">
    <w:p w14:paraId="3FB84A2D" w14:textId="77777777" w:rsidR="004C5A3C" w:rsidRDefault="004C5A3C" w:rsidP="002C39F4">
      <w:pPr>
        <w:pStyle w:val="a5"/>
        <w:rPr>
          <w:rtl/>
        </w:rPr>
      </w:pPr>
      <w:r>
        <w:rPr>
          <w:rStyle w:val="a7"/>
        </w:rPr>
        <w:footnoteRef/>
      </w:r>
      <w:r>
        <w:rPr>
          <w:rtl/>
        </w:rPr>
        <w:t xml:space="preserve"> </w:t>
      </w:r>
      <w:r w:rsidRPr="00A65E3D">
        <w:rPr>
          <w:rFonts w:cs="Arial"/>
          <w:rtl/>
        </w:rPr>
        <w:t>כדאמרי' במס' מכות (טז</w:t>
      </w:r>
      <w:r>
        <w:rPr>
          <w:rFonts w:cs="Arial" w:hint="cs"/>
          <w:rtl/>
        </w:rPr>
        <w:t>:</w:t>
      </w:r>
      <w:r w:rsidRPr="00A65E3D">
        <w:rPr>
          <w:rFonts w:cs="Arial"/>
          <w:rtl/>
        </w:rPr>
        <w:t>) רסק תשעה נמלים ואחד חי והשלימו לכזית לוקה שש</w:t>
      </w:r>
      <w:r>
        <w:rPr>
          <w:rFonts w:cs="Arial" w:hint="cs"/>
          <w:rtl/>
        </w:rPr>
        <w:t>,</w:t>
      </w:r>
      <w:r w:rsidRPr="00A65E3D">
        <w:rPr>
          <w:rFonts w:cs="Arial"/>
          <w:rtl/>
        </w:rPr>
        <w:t xml:space="preserve"> ואפילו אותו אבר שנתרסק אין הנשמה תלויה בו הרי היא מתבטלת כאילו אינה בריה</w:t>
      </w:r>
      <w:r>
        <w:rPr>
          <w:rFonts w:cs="Arial" w:hint="cs"/>
          <w:rtl/>
        </w:rPr>
        <w:t>,</w:t>
      </w:r>
      <w:r w:rsidRPr="00A65E3D">
        <w:rPr>
          <w:rFonts w:cs="Arial"/>
          <w:rtl/>
        </w:rPr>
        <w:t xml:space="preserve"> דבמסכת נזיר (נא</w:t>
      </w:r>
      <w:r>
        <w:rPr>
          <w:rFonts w:cs="Arial" w:hint="cs"/>
          <w:rtl/>
        </w:rPr>
        <w:t>:</w:t>
      </w:r>
      <w:r w:rsidRPr="00A65E3D">
        <w:rPr>
          <w:rFonts w:cs="Arial"/>
          <w:rtl/>
        </w:rPr>
        <w:t>) איבעיא לן כה"ג לגבי מלקות אי חשיבא בריה למלקות ללקות עליה בכל שהוא או לא ולא איפשיטא</w:t>
      </w:r>
      <w:r>
        <w:rPr>
          <w:rFonts w:cs="Arial" w:hint="cs"/>
          <w:rtl/>
        </w:rPr>
        <w:t>,</w:t>
      </w:r>
      <w:r w:rsidRPr="00A65E3D">
        <w:rPr>
          <w:rFonts w:cs="Arial"/>
          <w:rtl/>
        </w:rPr>
        <w:t xml:space="preserve"> ומדלענין מלקות ספקא</w:t>
      </w:r>
      <w:r>
        <w:rPr>
          <w:rFonts w:cs="Arial" w:hint="cs"/>
          <w:rtl/>
        </w:rPr>
        <w:t>,</w:t>
      </w:r>
      <w:r w:rsidRPr="00A65E3D">
        <w:rPr>
          <w:rFonts w:cs="Arial"/>
          <w:rtl/>
        </w:rPr>
        <w:t xml:space="preserve"> לענין שתאסור תערובתה אפילו באלף נקיטינן לקולא</w:t>
      </w:r>
      <w:r>
        <w:rPr>
          <w:rFonts w:cs="Arial" w:hint="cs"/>
          <w:rtl/>
        </w:rPr>
        <w:t>,</w:t>
      </w:r>
      <w:r w:rsidRPr="00A65E3D">
        <w:rPr>
          <w:rFonts w:cs="Arial"/>
          <w:rtl/>
        </w:rPr>
        <w:t xml:space="preserve"> דבריה לא בטלה דרבנן הוא ובספקא דרבנן נקיטינן לקולא</w:t>
      </w:r>
      <w:r>
        <w:rPr>
          <w:rFonts w:hint="cs"/>
          <w:rtl/>
        </w:rPr>
        <w:t>, ר"ן.</w:t>
      </w:r>
    </w:p>
  </w:footnote>
  <w:footnote w:id="1935">
    <w:p w14:paraId="1C02831B" w14:textId="77777777" w:rsidR="004C5A3C" w:rsidRDefault="004C5A3C" w:rsidP="002C39F4">
      <w:pPr>
        <w:pStyle w:val="a5"/>
        <w:rPr>
          <w:rtl/>
        </w:rPr>
      </w:pPr>
      <w:r>
        <w:rPr>
          <w:rStyle w:val="a7"/>
        </w:rPr>
        <w:footnoteRef/>
      </w:r>
      <w:r>
        <w:rPr>
          <w:rtl/>
        </w:rPr>
        <w:t xml:space="preserve"> </w:t>
      </w:r>
      <w:r w:rsidRPr="00DF26CB">
        <w:rPr>
          <w:rFonts w:hint="cs"/>
          <w:u w:val="single"/>
          <w:rtl/>
        </w:rPr>
        <w:t xml:space="preserve">ובביצה שיש בה דם </w:t>
      </w:r>
      <w:r>
        <w:rPr>
          <w:rFonts w:hint="cs"/>
          <w:u w:val="single"/>
          <w:rtl/>
        </w:rPr>
        <w:t xml:space="preserve">- </w:t>
      </w:r>
      <w:r w:rsidRPr="00DF26CB">
        <w:rPr>
          <w:rFonts w:hint="cs"/>
          <w:u w:val="single"/>
          <w:rtl/>
        </w:rPr>
        <w:t>נחלקו הפוסקים:</w:t>
      </w:r>
    </w:p>
    <w:p w14:paraId="276C65B9" w14:textId="77777777" w:rsidR="004C5A3C" w:rsidRDefault="004C5A3C" w:rsidP="0032102C">
      <w:pPr>
        <w:pStyle w:val="a5"/>
        <w:numPr>
          <w:ilvl w:val="0"/>
          <w:numId w:val="196"/>
        </w:numPr>
        <w:rPr>
          <w:rFonts w:cs="Arial"/>
          <w:rtl/>
        </w:rPr>
      </w:pPr>
      <w:r w:rsidRPr="00DF26CB">
        <w:rPr>
          <w:rFonts w:cs="Arial"/>
          <w:rtl/>
        </w:rPr>
        <w:t xml:space="preserve">ר"ל ן' חביב </w:t>
      </w:r>
      <w:r w:rsidRPr="0095586D">
        <w:rPr>
          <w:rFonts w:cs="Arial" w:hint="cs"/>
          <w:sz w:val="16"/>
          <w:szCs w:val="16"/>
          <w:rtl/>
        </w:rPr>
        <w:t>(</w:t>
      </w:r>
      <w:r w:rsidRPr="0095586D">
        <w:rPr>
          <w:rFonts w:cs="Arial"/>
          <w:sz w:val="16"/>
          <w:szCs w:val="16"/>
          <w:rtl/>
        </w:rPr>
        <w:t>סי</w:t>
      </w:r>
      <w:r w:rsidRPr="0095586D">
        <w:rPr>
          <w:rFonts w:cs="Arial" w:hint="cs"/>
          <w:sz w:val="16"/>
          <w:szCs w:val="16"/>
          <w:rtl/>
        </w:rPr>
        <w:t>'</w:t>
      </w:r>
      <w:r w:rsidRPr="0095586D">
        <w:rPr>
          <w:rFonts w:cs="Arial"/>
          <w:sz w:val="16"/>
          <w:szCs w:val="16"/>
          <w:rtl/>
        </w:rPr>
        <w:t xml:space="preserve"> פ</w:t>
      </w:r>
      <w:r w:rsidRPr="0095586D">
        <w:rPr>
          <w:rFonts w:cs="Arial" w:hint="cs"/>
          <w:sz w:val="16"/>
          <w:szCs w:val="16"/>
          <w:rtl/>
        </w:rPr>
        <w:t>ח)</w:t>
      </w:r>
      <w:r>
        <w:rPr>
          <w:rFonts w:cs="Arial" w:hint="cs"/>
          <w:rtl/>
        </w:rPr>
        <w:t>-</w:t>
      </w:r>
      <w:r w:rsidRPr="00DF26CB">
        <w:rPr>
          <w:rFonts w:cs="Arial"/>
          <w:rtl/>
        </w:rPr>
        <w:t xml:space="preserve"> הוי בריה</w:t>
      </w:r>
      <w:r>
        <w:rPr>
          <w:rFonts w:cs="Arial" w:hint="cs"/>
          <w:rtl/>
        </w:rPr>
        <w:t xml:space="preserve"> </w:t>
      </w:r>
      <w:r w:rsidRPr="00B35010">
        <w:rPr>
          <w:rFonts w:cs="Arial" w:hint="cs"/>
          <w:sz w:val="16"/>
          <w:szCs w:val="16"/>
          <w:rtl/>
        </w:rPr>
        <w:t>(כיון שיש בה דם שדי תיכלא בכוליה וחשיב כיש בה אפרוח ולא בטלה</w:t>
      </w:r>
      <w:r>
        <w:rPr>
          <w:rFonts w:cs="Arial" w:hint="cs"/>
          <w:sz w:val="16"/>
          <w:szCs w:val="16"/>
          <w:rtl/>
        </w:rPr>
        <w:t>, ב"י [סי' קי])</w:t>
      </w:r>
      <w:r>
        <w:rPr>
          <w:rFonts w:cs="Arial" w:hint="cs"/>
          <w:rtl/>
        </w:rPr>
        <w:t>.</w:t>
      </w:r>
      <w:r w:rsidRPr="00DF26CB">
        <w:rPr>
          <w:rFonts w:cs="Arial"/>
          <w:rtl/>
        </w:rPr>
        <w:t xml:space="preserve"> </w:t>
      </w:r>
    </w:p>
    <w:p w14:paraId="0487258E" w14:textId="77777777" w:rsidR="004C5A3C" w:rsidRDefault="004C5A3C" w:rsidP="0032102C">
      <w:pPr>
        <w:pStyle w:val="a5"/>
        <w:numPr>
          <w:ilvl w:val="0"/>
          <w:numId w:val="196"/>
        </w:numPr>
      </w:pPr>
      <w:r>
        <w:rPr>
          <w:rFonts w:cs="Arial" w:hint="cs"/>
          <w:rtl/>
        </w:rPr>
        <w:t xml:space="preserve">רמב"ם </w:t>
      </w:r>
      <w:r w:rsidRPr="00B35010">
        <w:rPr>
          <w:rFonts w:cs="Arial" w:hint="cs"/>
          <w:sz w:val="16"/>
          <w:szCs w:val="16"/>
          <w:rtl/>
        </w:rPr>
        <w:t xml:space="preserve">(להב' הב"י) </w:t>
      </w:r>
      <w:r>
        <w:rPr>
          <w:rFonts w:cs="Arial" w:hint="cs"/>
          <w:rtl/>
        </w:rPr>
        <w:t xml:space="preserve">ב"י </w:t>
      </w:r>
      <w:r w:rsidRPr="00B35010">
        <w:rPr>
          <w:rFonts w:cs="Arial" w:hint="cs"/>
          <w:sz w:val="16"/>
          <w:szCs w:val="16"/>
          <w:rtl/>
        </w:rPr>
        <w:t>(סי' קי ס"ס א' עמ' שג ד"ה והרמב"ם כתב)</w:t>
      </w:r>
      <w:r>
        <w:rPr>
          <w:rFonts w:cs="Arial" w:hint="cs"/>
          <w:rtl/>
        </w:rPr>
        <w:t xml:space="preserve"> וש"ך </w:t>
      </w:r>
      <w:r w:rsidRPr="00B35010">
        <w:rPr>
          <w:rFonts w:cs="Arial" w:hint="cs"/>
          <w:sz w:val="16"/>
          <w:szCs w:val="16"/>
          <w:rtl/>
        </w:rPr>
        <w:t>(סק"ב)</w:t>
      </w:r>
      <w:r>
        <w:rPr>
          <w:rFonts w:cs="Arial" w:hint="cs"/>
          <w:rtl/>
        </w:rPr>
        <w:t xml:space="preserve">- </w:t>
      </w:r>
      <w:r w:rsidRPr="00DF26CB">
        <w:rPr>
          <w:rFonts w:cs="Arial"/>
          <w:rtl/>
        </w:rPr>
        <w:t>לא הוי בריה כיון שעדיין אין בה חיותא</w:t>
      </w:r>
      <w:r>
        <w:rPr>
          <w:rFonts w:cs="Arial" w:hint="cs"/>
          <w:rtl/>
        </w:rPr>
        <w:t xml:space="preserve"> </w:t>
      </w:r>
      <w:r w:rsidRPr="00B35010">
        <w:rPr>
          <w:rFonts w:cs="Arial" w:hint="cs"/>
          <w:sz w:val="16"/>
          <w:szCs w:val="16"/>
          <w:rtl/>
        </w:rPr>
        <w:t>(</w:t>
      </w:r>
      <w:r>
        <w:rPr>
          <w:rFonts w:cs="Arial" w:hint="cs"/>
          <w:sz w:val="16"/>
          <w:szCs w:val="16"/>
          <w:rtl/>
        </w:rPr>
        <w:t>עד כאן לשון הש"ך. וכ' עוד ד</w:t>
      </w:r>
      <w:r w:rsidRPr="00B35010">
        <w:rPr>
          <w:rFonts w:cs="Arial"/>
          <w:sz w:val="16"/>
          <w:szCs w:val="16"/>
          <w:rtl/>
        </w:rPr>
        <w:t>גם בביצת אפרוח לא אשכחן דהוי בריה</w:t>
      </w:r>
      <w:r>
        <w:rPr>
          <w:rFonts w:cs="Arial" w:hint="cs"/>
          <w:sz w:val="16"/>
          <w:szCs w:val="16"/>
          <w:rtl/>
        </w:rPr>
        <w:t>, ו</w:t>
      </w:r>
      <w:r w:rsidRPr="00B35010">
        <w:rPr>
          <w:rFonts w:cs="Arial"/>
          <w:sz w:val="16"/>
          <w:szCs w:val="16"/>
          <w:rtl/>
        </w:rPr>
        <w:t>מן הסברא נראה דלא הוי בריה</w:t>
      </w:r>
      <w:r w:rsidRPr="00B35010">
        <w:rPr>
          <w:rFonts w:cs="Arial" w:hint="cs"/>
          <w:sz w:val="16"/>
          <w:szCs w:val="16"/>
          <w:rtl/>
        </w:rPr>
        <w:t>,</w:t>
      </w:r>
      <w:r w:rsidRPr="00B35010">
        <w:rPr>
          <w:rFonts w:cs="Arial"/>
          <w:sz w:val="16"/>
          <w:szCs w:val="16"/>
          <w:rtl/>
        </w:rPr>
        <w:t xml:space="preserve"> דהא האי ביצה מתחלת ברייתה היתה מותרת</w:t>
      </w:r>
      <w:r w:rsidRPr="00B35010">
        <w:rPr>
          <w:rFonts w:cs="Arial" w:hint="cs"/>
          <w:sz w:val="16"/>
          <w:szCs w:val="16"/>
          <w:rtl/>
        </w:rPr>
        <w:t>,</w:t>
      </w:r>
      <w:r w:rsidRPr="00B35010">
        <w:rPr>
          <w:rFonts w:cs="Arial"/>
          <w:sz w:val="16"/>
          <w:szCs w:val="16"/>
          <w:rtl/>
        </w:rPr>
        <w:t xml:space="preserve"> וגם בעידנא דקא גביל האפרוח דהתירא הוא</w:t>
      </w:r>
      <w:r w:rsidRPr="00B35010">
        <w:rPr>
          <w:rFonts w:cs="Arial" w:hint="cs"/>
          <w:sz w:val="16"/>
          <w:szCs w:val="16"/>
          <w:rtl/>
        </w:rPr>
        <w:t>,</w:t>
      </w:r>
      <w:r w:rsidRPr="00B35010">
        <w:rPr>
          <w:rFonts w:cs="Arial"/>
          <w:sz w:val="16"/>
          <w:szCs w:val="16"/>
          <w:rtl/>
        </w:rPr>
        <w:t xml:space="preserve"> כדלעיל סי' פז סי"ט גבי אפרוח מביצת טריפה</w:t>
      </w:r>
      <w:r w:rsidRPr="00B35010">
        <w:rPr>
          <w:rFonts w:cs="Arial" w:hint="cs"/>
          <w:sz w:val="16"/>
          <w:szCs w:val="16"/>
          <w:rtl/>
        </w:rPr>
        <w:t>,</w:t>
      </w:r>
      <w:r w:rsidRPr="00B35010">
        <w:rPr>
          <w:rFonts w:cs="Arial"/>
          <w:sz w:val="16"/>
          <w:szCs w:val="16"/>
          <w:rtl/>
        </w:rPr>
        <w:t xml:space="preserve"> אלא דבחידושי הרשב"א פג"ה </w:t>
      </w:r>
      <w:r w:rsidRPr="00B35010">
        <w:rPr>
          <w:rFonts w:cs="Arial" w:hint="cs"/>
          <w:sz w:val="16"/>
          <w:szCs w:val="16"/>
          <w:rtl/>
        </w:rPr>
        <w:t>(קו.)</w:t>
      </w:r>
      <w:r w:rsidRPr="00B35010">
        <w:rPr>
          <w:rFonts w:cs="Arial"/>
          <w:sz w:val="16"/>
          <w:szCs w:val="16"/>
          <w:rtl/>
        </w:rPr>
        <w:t xml:space="preserve"> כתב דהרמב"ם פט"ו מהמ"א מחשבה בריה</w:t>
      </w:r>
      <w:r w:rsidRPr="00B35010">
        <w:rPr>
          <w:rFonts w:cs="Arial" w:hint="cs"/>
          <w:sz w:val="16"/>
          <w:szCs w:val="16"/>
          <w:rtl/>
        </w:rPr>
        <w:t>,</w:t>
      </w:r>
      <w:r w:rsidRPr="00B35010">
        <w:rPr>
          <w:rFonts w:cs="Arial"/>
          <w:sz w:val="16"/>
          <w:szCs w:val="16"/>
          <w:rtl/>
        </w:rPr>
        <w:t xml:space="preserve"> ואחריו נמשך ב"י בסי' פו</w:t>
      </w:r>
      <w:r w:rsidRPr="00B35010">
        <w:rPr>
          <w:rFonts w:cs="Arial" w:hint="cs"/>
          <w:sz w:val="16"/>
          <w:szCs w:val="16"/>
          <w:rtl/>
        </w:rPr>
        <w:t>,</w:t>
      </w:r>
      <w:r w:rsidRPr="00B35010">
        <w:rPr>
          <w:rFonts w:cs="Arial"/>
          <w:sz w:val="16"/>
          <w:szCs w:val="16"/>
          <w:rtl/>
        </w:rPr>
        <w:t xml:space="preserve"> וכבר כתבתי לעיל סימן פו סקט"</w:t>
      </w:r>
      <w:r>
        <w:rPr>
          <w:rFonts w:cs="Arial" w:hint="cs"/>
          <w:sz w:val="16"/>
          <w:szCs w:val="16"/>
          <w:rtl/>
        </w:rPr>
        <w:t>ז</w:t>
      </w:r>
      <w:r w:rsidRPr="00B35010">
        <w:rPr>
          <w:rFonts w:cs="Arial"/>
          <w:sz w:val="16"/>
          <w:szCs w:val="16"/>
          <w:rtl/>
        </w:rPr>
        <w:t xml:space="preserve"> דאינו מוכרח כלל בדברי הרמב"ם</w:t>
      </w:r>
      <w:r w:rsidRPr="00B35010">
        <w:rPr>
          <w:rFonts w:cs="Arial" w:hint="cs"/>
          <w:sz w:val="16"/>
          <w:szCs w:val="16"/>
          <w:rtl/>
        </w:rPr>
        <w:t>,</w:t>
      </w:r>
      <w:r w:rsidRPr="00B35010">
        <w:rPr>
          <w:rFonts w:cs="Arial"/>
          <w:sz w:val="16"/>
          <w:szCs w:val="16"/>
          <w:rtl/>
        </w:rPr>
        <w:t xml:space="preserve"> והלכך אף שאין להקל בביצת אפרוח מ"מ ודאי בביצת דם אין לאסור כלל כיון דלית בה חיותא</w:t>
      </w:r>
      <w:r w:rsidRPr="00B35010">
        <w:rPr>
          <w:rFonts w:cs="Arial" w:hint="cs"/>
          <w:sz w:val="16"/>
          <w:szCs w:val="16"/>
          <w:rtl/>
        </w:rPr>
        <w:t>,</w:t>
      </w:r>
      <w:r w:rsidRPr="00B35010">
        <w:rPr>
          <w:rFonts w:cs="Arial"/>
          <w:sz w:val="16"/>
          <w:szCs w:val="16"/>
          <w:rtl/>
        </w:rPr>
        <w:t xml:space="preserve"> וזה נראה דעת</w:t>
      </w:r>
      <w:r w:rsidRPr="00B35010">
        <w:rPr>
          <w:rFonts w:cs="Arial" w:hint="cs"/>
          <w:sz w:val="16"/>
          <w:szCs w:val="16"/>
          <w:rtl/>
        </w:rPr>
        <w:t xml:space="preserve"> השו"ע</w:t>
      </w:r>
      <w:r w:rsidRPr="00B35010">
        <w:rPr>
          <w:rFonts w:cs="Arial"/>
          <w:sz w:val="16"/>
          <w:szCs w:val="16"/>
          <w:rtl/>
        </w:rPr>
        <w:t xml:space="preserve"> כאן</w:t>
      </w:r>
      <w:r w:rsidRPr="00B35010">
        <w:rPr>
          <w:rFonts w:cs="Arial" w:hint="cs"/>
          <w:sz w:val="16"/>
          <w:szCs w:val="16"/>
          <w:rtl/>
        </w:rPr>
        <w:t>)</w:t>
      </w:r>
      <w:r>
        <w:rPr>
          <w:rFonts w:cs="Arial" w:hint="cs"/>
          <w:rtl/>
        </w:rPr>
        <w:t>.</w:t>
      </w:r>
    </w:p>
  </w:footnote>
  <w:footnote w:id="1936">
    <w:p w14:paraId="4FB866AB" w14:textId="77777777" w:rsidR="004C5A3C" w:rsidRDefault="004C5A3C" w:rsidP="002C39F4">
      <w:pPr>
        <w:pStyle w:val="a5"/>
        <w:rPr>
          <w:rtl/>
        </w:rPr>
      </w:pPr>
      <w:r>
        <w:rPr>
          <w:rStyle w:val="a7"/>
        </w:rPr>
        <w:footnoteRef/>
      </w:r>
      <w:r>
        <w:rPr>
          <w:rtl/>
        </w:rPr>
        <w:t xml:space="preserve"> </w:t>
      </w:r>
      <w:r w:rsidRPr="00B32F80">
        <w:rPr>
          <w:rFonts w:cs="Arial"/>
          <w:rtl/>
        </w:rPr>
        <w:t>חשיבות דבריה שלא תהיה בטילה היא מדרבנן</w:t>
      </w:r>
      <w:r>
        <w:rPr>
          <w:rFonts w:cs="Arial" w:hint="cs"/>
          <w:rtl/>
        </w:rPr>
        <w:t xml:space="preserve">, </w:t>
      </w:r>
      <w:r w:rsidRPr="00B32F80">
        <w:rPr>
          <w:rFonts w:cs="Arial"/>
          <w:rtl/>
        </w:rPr>
        <w:t>דכיון שמן התורה יש חשיבות דלוקין על אכילתה אפי' היא פחות מכזית</w:t>
      </w:r>
      <w:r>
        <w:rPr>
          <w:rFonts w:cs="Arial" w:hint="cs"/>
          <w:rtl/>
        </w:rPr>
        <w:t>,</w:t>
      </w:r>
      <w:r w:rsidRPr="00B32F80">
        <w:rPr>
          <w:rFonts w:cs="Arial"/>
          <w:rtl/>
        </w:rPr>
        <w:t xml:space="preserve"> דהא סתמא כתיב אצל מינים טמאים לא תאכל אותם אפי' הם קטנים</w:t>
      </w:r>
      <w:r>
        <w:rPr>
          <w:rFonts w:cs="Arial" w:hint="cs"/>
          <w:rtl/>
        </w:rPr>
        <w:t>,</w:t>
      </w:r>
      <w:r w:rsidRPr="00B32F80">
        <w:rPr>
          <w:rFonts w:cs="Arial"/>
          <w:rtl/>
        </w:rPr>
        <w:t xml:space="preserve"> ע"כ החמירו רבנן בתערובת שלהם</w:t>
      </w:r>
      <w:r>
        <w:rPr>
          <w:rFonts w:cs="Arial" w:hint="cs"/>
          <w:rtl/>
        </w:rPr>
        <w:t>,</w:t>
      </w:r>
      <w:r w:rsidRPr="00B32F80">
        <w:rPr>
          <w:rFonts w:cs="Arial"/>
          <w:rtl/>
        </w:rPr>
        <w:t xml:space="preserve"> אבל מן התורה היא בטילה כשאר איסורים</w:t>
      </w:r>
      <w:r>
        <w:rPr>
          <w:rFonts w:cs="Arial" w:hint="cs"/>
          <w:rtl/>
        </w:rPr>
        <w:t>,</w:t>
      </w:r>
      <w:r w:rsidRPr="00B32F80">
        <w:rPr>
          <w:rFonts w:cs="Arial"/>
          <w:rtl/>
        </w:rPr>
        <w:t xml:space="preserve"> ונ"מ לענין ספק אי הוה בריה או לא הוה ספיקא דרבנן ובטל</w:t>
      </w:r>
      <w:r>
        <w:rPr>
          <w:rFonts w:cs="Arial" w:hint="cs"/>
          <w:rtl/>
        </w:rPr>
        <w:t>,</w:t>
      </w:r>
      <w:r w:rsidRPr="00B32F80">
        <w:rPr>
          <w:rFonts w:cs="Arial"/>
          <w:rtl/>
        </w:rPr>
        <w:t xml:space="preserve"> וכן בכל הדברים דאמרינן לקמן שאינם בטלים כגון ראוי להתכבד או דבר שבמנין</w:t>
      </w:r>
      <w:r>
        <w:rPr>
          <w:rFonts w:cs="Arial" w:hint="cs"/>
          <w:rtl/>
        </w:rPr>
        <w:t>,</w:t>
      </w:r>
      <w:r w:rsidRPr="00B32F80">
        <w:rPr>
          <w:rFonts w:cs="Arial"/>
          <w:rtl/>
        </w:rPr>
        <w:t xml:space="preserve"> אבל אי הוה ודאי בריה או א' מהני שאין מתבטלים אלא שהאיסור ספק בזה אפילו באלף לא בטיל כגון ביצי ספק טריפה וכיוצא בו</w:t>
      </w:r>
      <w:r>
        <w:rPr>
          <w:rFonts w:cs="Arial" w:hint="cs"/>
          <w:rtl/>
        </w:rPr>
        <w:t>,</w:t>
      </w:r>
      <w:r w:rsidRPr="00B32F80">
        <w:rPr>
          <w:rFonts w:cs="Arial"/>
          <w:rtl/>
        </w:rPr>
        <w:t xml:space="preserve"> וכ"כ או"ה </w:t>
      </w:r>
      <w:r>
        <w:rPr>
          <w:rFonts w:cs="Arial" w:hint="cs"/>
          <w:rtl/>
        </w:rPr>
        <w:t>(</w:t>
      </w:r>
      <w:r w:rsidRPr="00B32F80">
        <w:rPr>
          <w:rFonts w:cs="Arial"/>
          <w:rtl/>
        </w:rPr>
        <w:t>כלל כ"ה ד</w:t>
      </w:r>
      <w:r>
        <w:rPr>
          <w:rFonts w:cs="Arial" w:hint="cs"/>
          <w:rtl/>
        </w:rPr>
        <w:t>"</w:t>
      </w:r>
      <w:r w:rsidRPr="00B32F80">
        <w:rPr>
          <w:rFonts w:cs="Arial"/>
          <w:rtl/>
        </w:rPr>
        <w:t>ז</w:t>
      </w:r>
      <w:r>
        <w:rPr>
          <w:rFonts w:cs="Arial" w:hint="cs"/>
          <w:rtl/>
        </w:rPr>
        <w:t>)</w:t>
      </w:r>
      <w:r>
        <w:rPr>
          <w:rFonts w:hint="cs"/>
          <w:rtl/>
        </w:rPr>
        <w:t>, ט"ז (סק"א).</w:t>
      </w:r>
    </w:p>
  </w:footnote>
  <w:footnote w:id="1937">
    <w:p w14:paraId="70477CCB" w14:textId="77777777" w:rsidR="004C5A3C" w:rsidRDefault="004C5A3C" w:rsidP="002C39F4">
      <w:pPr>
        <w:pStyle w:val="a5"/>
        <w:rPr>
          <w:rtl/>
        </w:rPr>
      </w:pPr>
      <w:r>
        <w:rPr>
          <w:rStyle w:val="a7"/>
        </w:rPr>
        <w:footnoteRef/>
      </w:r>
      <w:r>
        <w:rPr>
          <w:rtl/>
        </w:rPr>
        <w:t xml:space="preserve"> </w:t>
      </w:r>
      <w:r w:rsidRPr="0095586D">
        <w:rPr>
          <w:rFonts w:cs="Arial"/>
          <w:rtl/>
        </w:rPr>
        <w:t>וכ"ש נטרף</w:t>
      </w:r>
      <w:r>
        <w:rPr>
          <w:rFonts w:cs="Arial" w:hint="cs"/>
          <w:rtl/>
        </w:rPr>
        <w:t>,</w:t>
      </w:r>
      <w:r w:rsidRPr="0095586D">
        <w:rPr>
          <w:rFonts w:cs="Arial"/>
          <w:rtl/>
        </w:rPr>
        <w:t xml:space="preserve"> ומשמע מדברי הפוסקים דל</w:t>
      </w:r>
      <w:r>
        <w:rPr>
          <w:rFonts w:cs="Arial" w:hint="cs"/>
          <w:rtl/>
        </w:rPr>
        <w:t xml:space="preserve">א </w:t>
      </w:r>
      <w:r w:rsidRPr="0095586D">
        <w:rPr>
          <w:rFonts w:cs="Arial"/>
          <w:rtl/>
        </w:rPr>
        <w:t>ש</w:t>
      </w:r>
      <w:r>
        <w:rPr>
          <w:rFonts w:cs="Arial" w:hint="cs"/>
          <w:rtl/>
        </w:rPr>
        <w:t>נא</w:t>
      </w:r>
      <w:r w:rsidRPr="0095586D">
        <w:rPr>
          <w:rFonts w:cs="Arial"/>
          <w:rtl/>
        </w:rPr>
        <w:t xml:space="preserve"> נתנבלה בשחיטתה או לא</w:t>
      </w:r>
      <w:r>
        <w:rPr>
          <w:rFonts w:cs="Arial" w:hint="cs"/>
          <w:rtl/>
        </w:rPr>
        <w:t>,</w:t>
      </w:r>
      <w:r w:rsidRPr="0095586D">
        <w:rPr>
          <w:rFonts w:cs="Arial"/>
          <w:rtl/>
        </w:rPr>
        <w:t xml:space="preserve"> וכ</w:t>
      </w:r>
      <w:r>
        <w:rPr>
          <w:rFonts w:cs="Arial" w:hint="cs"/>
          <w:rtl/>
        </w:rPr>
        <w:t>"פ</w:t>
      </w:r>
      <w:r w:rsidRPr="0095586D">
        <w:rPr>
          <w:rFonts w:cs="Arial"/>
          <w:rtl/>
        </w:rPr>
        <w:t xml:space="preserve"> הב"ח</w:t>
      </w:r>
      <w:r>
        <w:rPr>
          <w:rFonts w:hint="cs"/>
          <w:rtl/>
        </w:rPr>
        <w:t>, ש"ך (סק"ד).</w:t>
      </w:r>
    </w:p>
  </w:footnote>
  <w:footnote w:id="1938">
    <w:p w14:paraId="018B6D50" w14:textId="77777777" w:rsidR="004C5A3C" w:rsidRDefault="004C5A3C" w:rsidP="002C39F4">
      <w:pPr>
        <w:pStyle w:val="a5"/>
      </w:pPr>
      <w:r>
        <w:rPr>
          <w:rStyle w:val="a7"/>
        </w:rPr>
        <w:footnoteRef/>
      </w:r>
      <w:r>
        <w:rPr>
          <w:rtl/>
        </w:rPr>
        <w:t xml:space="preserve"> </w:t>
      </w:r>
      <w:r w:rsidRPr="0095586D">
        <w:rPr>
          <w:rFonts w:cs="Arial"/>
          <w:rtl/>
        </w:rPr>
        <w:t>דחשיב איסור מתחלת ברייתה וחשיב ברית נשמה כיון דהוי ביה חיותא כמו גיד הנשה אפ"ה לא הוי בריה כיון שאלו יחלק שמו חלב עליו משא"כ גיד הנשה ואבר מן החי שאם יחלקו אין שמו עליו אלא חתיכת אבר מיקרו</w:t>
      </w:r>
      <w:r>
        <w:rPr>
          <w:rFonts w:cs="Arial" w:hint="cs"/>
          <w:rtl/>
        </w:rPr>
        <w:t xml:space="preserve">, ש"ך </w:t>
      </w:r>
      <w:r w:rsidRPr="0095586D">
        <w:rPr>
          <w:rFonts w:cs="Arial" w:hint="cs"/>
          <w:sz w:val="14"/>
          <w:szCs w:val="14"/>
          <w:rtl/>
        </w:rPr>
        <w:t>(סק"ה)</w:t>
      </w:r>
      <w:r>
        <w:rPr>
          <w:rFonts w:cs="Arial" w:hint="cs"/>
          <w:rtl/>
        </w:rPr>
        <w:t>. והר"ן</w:t>
      </w:r>
      <w:r w:rsidRPr="0095586D">
        <w:rPr>
          <w:rFonts w:cs="Arial" w:hint="cs"/>
          <w:sz w:val="14"/>
          <w:szCs w:val="14"/>
          <w:rtl/>
        </w:rPr>
        <w:t xml:space="preserve"> (שם) </w:t>
      </w:r>
      <w:r>
        <w:rPr>
          <w:rFonts w:cs="Arial" w:hint="cs"/>
          <w:rtl/>
        </w:rPr>
        <w:t>נתן טעם אחר.</w:t>
      </w:r>
    </w:p>
  </w:footnote>
  <w:footnote w:id="1939">
    <w:p w14:paraId="5CED4963" w14:textId="77777777" w:rsidR="004C5A3C" w:rsidRDefault="004C5A3C" w:rsidP="002C39F4">
      <w:pPr>
        <w:pStyle w:val="a5"/>
        <w:rPr>
          <w:rtl/>
        </w:rPr>
      </w:pPr>
      <w:r>
        <w:rPr>
          <w:rStyle w:val="a7"/>
        </w:rPr>
        <w:footnoteRef/>
      </w:r>
      <w:r>
        <w:rPr>
          <w:rtl/>
        </w:rPr>
        <w:t xml:space="preserve"> </w:t>
      </w:r>
      <w:r w:rsidRPr="00BD78AF">
        <w:rPr>
          <w:rFonts w:cs="Arial"/>
          <w:rtl/>
        </w:rPr>
        <w:t>בשור הגדול</w:t>
      </w:r>
      <w:r>
        <w:rPr>
          <w:rFonts w:cs="Arial" w:hint="cs"/>
          <w:rtl/>
        </w:rPr>
        <w:t>,</w:t>
      </w:r>
      <w:r w:rsidRPr="00BD78AF">
        <w:rPr>
          <w:rFonts w:cs="Arial"/>
          <w:rtl/>
        </w:rPr>
        <w:t xml:space="preserve"> ושני אצבעות בכבש קטן</w:t>
      </w:r>
      <w:r>
        <w:rPr>
          <w:rFonts w:cs="Arial" w:hint="cs"/>
          <w:rtl/>
        </w:rPr>
        <w:t>,</w:t>
      </w:r>
      <w:r w:rsidRPr="00BD78AF">
        <w:rPr>
          <w:rFonts w:cs="Arial"/>
          <w:rtl/>
        </w:rPr>
        <w:t xml:space="preserve"> ואז מקרי שלם ובריה</w:t>
      </w:r>
      <w:r>
        <w:rPr>
          <w:rFonts w:cs="Arial" w:hint="cs"/>
          <w:rtl/>
        </w:rPr>
        <w:t xml:space="preserve">, דרכ"מ (אות </w:t>
      </w:r>
      <w:r w:rsidRPr="00BD78AF">
        <w:rPr>
          <w:rFonts w:cs="Arial"/>
          <w:rtl/>
        </w:rPr>
        <w:t>א) ב</w:t>
      </w:r>
      <w:r>
        <w:rPr>
          <w:rFonts w:cs="Arial" w:hint="cs"/>
          <w:rtl/>
        </w:rPr>
        <w:t>שם ה</w:t>
      </w:r>
      <w:r w:rsidRPr="00BD78AF">
        <w:rPr>
          <w:rFonts w:cs="Arial"/>
          <w:rtl/>
        </w:rPr>
        <w:t xml:space="preserve">ארוך </w:t>
      </w:r>
      <w:r>
        <w:rPr>
          <w:rFonts w:cs="Arial" w:hint="cs"/>
          <w:rtl/>
        </w:rPr>
        <w:t>(</w:t>
      </w:r>
      <w:r w:rsidRPr="00BD78AF">
        <w:rPr>
          <w:rFonts w:cs="Arial"/>
          <w:rtl/>
        </w:rPr>
        <w:t>כלל כ"ה דין י"ג)</w:t>
      </w:r>
      <w:r>
        <w:rPr>
          <w:rFonts w:cs="Arial" w:hint="cs"/>
          <w:rtl/>
        </w:rPr>
        <w:t>.</w:t>
      </w:r>
    </w:p>
  </w:footnote>
  <w:footnote w:id="1940">
    <w:p w14:paraId="16254511" w14:textId="77777777" w:rsidR="004C5A3C" w:rsidRDefault="004C5A3C" w:rsidP="002C39F4">
      <w:pPr>
        <w:pStyle w:val="a5"/>
      </w:pPr>
      <w:r>
        <w:rPr>
          <w:rStyle w:val="a7"/>
        </w:rPr>
        <w:footnoteRef/>
      </w:r>
      <w:r>
        <w:rPr>
          <w:rtl/>
        </w:rPr>
        <w:t xml:space="preserve"> </w:t>
      </w:r>
      <w:r w:rsidRPr="00CB2853">
        <w:rPr>
          <w:rtl/>
        </w:rPr>
        <w:t xml:space="preserve">ועיין בתשובת משכנות יעקב </w:t>
      </w:r>
      <w:r>
        <w:rPr>
          <w:rFonts w:hint="cs"/>
          <w:rtl/>
        </w:rPr>
        <w:t>(</w:t>
      </w:r>
      <w:r w:rsidRPr="00CB2853">
        <w:rPr>
          <w:rtl/>
        </w:rPr>
        <w:t>סי</w:t>
      </w:r>
      <w:r>
        <w:rPr>
          <w:rFonts w:hint="cs"/>
          <w:rtl/>
        </w:rPr>
        <w:t>'</w:t>
      </w:r>
      <w:r w:rsidRPr="00CB2853">
        <w:rPr>
          <w:rtl/>
        </w:rPr>
        <w:t xml:space="preserve"> לא</w:t>
      </w:r>
      <w:r>
        <w:rPr>
          <w:rFonts w:hint="cs"/>
          <w:rtl/>
        </w:rPr>
        <w:t>)</w:t>
      </w:r>
      <w:r w:rsidRPr="00CB2853">
        <w:rPr>
          <w:rtl/>
        </w:rPr>
        <w:t xml:space="preserve"> שלמד היתר אחר על המילווין ומסיק למצוא זכות וצד היתר על אכילת קמח בימות החמה אף שהוא קרוב לודאי שיש בו מילוי"ן</w:t>
      </w:r>
      <w:r>
        <w:rPr>
          <w:rFonts w:hint="cs"/>
          <w:rtl/>
        </w:rPr>
        <w:t>, פת"ש.</w:t>
      </w:r>
    </w:p>
  </w:footnote>
  <w:footnote w:id="1941">
    <w:p w14:paraId="2ED763E9" w14:textId="77777777" w:rsidR="004C5A3C" w:rsidRDefault="004C5A3C" w:rsidP="002C39F4">
      <w:pPr>
        <w:pStyle w:val="a5"/>
        <w:rPr>
          <w:rtl/>
        </w:rPr>
      </w:pPr>
      <w:r>
        <w:rPr>
          <w:rStyle w:val="a7"/>
        </w:rPr>
        <w:footnoteRef/>
      </w:r>
      <w:r>
        <w:rPr>
          <w:rtl/>
        </w:rPr>
        <w:t xml:space="preserve"> </w:t>
      </w:r>
      <w:r w:rsidRPr="003757D2">
        <w:rPr>
          <w:rFonts w:cs="Arial"/>
          <w:rtl/>
        </w:rPr>
        <w:t>וראייתם מדתנן בתרומות פ"י (מ"ח) אמתניתין דדג טמא שכבשו עם דג טהור כל גרב שהוא מחזיק סאתים אם יש בו משקל עשרה זוז ביהודה שהם חמשה סלעים בגליל דג טמא צירו אסור</w:t>
      </w:r>
      <w:r>
        <w:rPr>
          <w:rFonts w:cs="Arial" w:hint="cs"/>
          <w:rtl/>
        </w:rPr>
        <w:t>,</w:t>
      </w:r>
      <w:r w:rsidRPr="003757D2">
        <w:rPr>
          <w:rFonts w:cs="Arial"/>
          <w:rtl/>
        </w:rPr>
        <w:t xml:space="preserve"> וקאמר עלה בירושלמי (תרומות פ"י ה"ה) שהוא אחד מתשע מאות וששים</w:t>
      </w:r>
      <w:r>
        <w:rPr>
          <w:rFonts w:cs="Arial" w:hint="cs"/>
          <w:rtl/>
        </w:rPr>
        <w:t>,</w:t>
      </w:r>
      <w:r w:rsidRPr="003757D2">
        <w:rPr>
          <w:rFonts w:cs="Arial"/>
          <w:rtl/>
        </w:rPr>
        <w:t xml:space="preserve"> הורה ר' יוסי בר בון בעכברא אחד לאלף</w:t>
      </w:r>
      <w:r>
        <w:rPr>
          <w:rFonts w:cs="Arial" w:hint="cs"/>
          <w:rtl/>
        </w:rPr>
        <w:t>,</w:t>
      </w:r>
      <w:r w:rsidRPr="003757D2">
        <w:rPr>
          <w:rFonts w:cs="Arial"/>
          <w:rtl/>
        </w:rPr>
        <w:t xml:space="preserve"> פירוש הורה רבי יוסי בעכבר שנתערב בהיתר ובטלו באלף והוא הדין אם היה תשע מאות וששים היה מתירו</w:t>
      </w:r>
      <w:r>
        <w:rPr>
          <w:rFonts w:cs="Arial" w:hint="cs"/>
          <w:rtl/>
        </w:rPr>
        <w:t>,</w:t>
      </w:r>
      <w:r w:rsidRPr="003757D2">
        <w:rPr>
          <w:rFonts w:cs="Arial"/>
          <w:rtl/>
        </w:rPr>
        <w:t xml:space="preserve"> אלמא בריה בטלה בתשע מאות וששים</w:t>
      </w:r>
      <w:r>
        <w:rPr>
          <w:rFonts w:cs="Arial" w:hint="cs"/>
          <w:rtl/>
        </w:rPr>
        <w:t>, רא"ש.</w:t>
      </w:r>
      <w:r w:rsidRPr="003757D2">
        <w:rPr>
          <w:rFonts w:cs="Arial"/>
          <w:rtl/>
        </w:rPr>
        <w:t xml:space="preserve"> </w:t>
      </w:r>
      <w:r>
        <w:rPr>
          <w:rFonts w:cs="Arial" w:hint="cs"/>
          <w:rtl/>
        </w:rPr>
        <w:t>וכתב עוד (שם) ד</w:t>
      </w:r>
      <w:r w:rsidRPr="003757D2">
        <w:rPr>
          <w:rFonts w:cs="Arial"/>
          <w:rtl/>
        </w:rPr>
        <w:t>יש מפרשים דעכברא שם מקום כדאיתא בפרק הפועלים (ב"מ פד:) וקאי אציר דאיירי ביה וקאמר שרבי יוסי הורה כן באותו מקום דיהיב טעמא עד קרוב לאלף</w:t>
      </w:r>
      <w:r>
        <w:rPr>
          <w:rFonts w:cs="Arial" w:hint="cs"/>
          <w:rtl/>
        </w:rPr>
        <w:t>. ו</w:t>
      </w:r>
      <w:r w:rsidRPr="003757D2">
        <w:rPr>
          <w:rFonts w:cs="Arial"/>
          <w:rtl/>
        </w:rPr>
        <w:t>כן מסתבר דלא איירי בעכבר שנתערב בהיתר דאם צורת עכבר עליו הרי ניכר בין חתיכות של היתר ומשליכו והשאר מותר ואם נמוח ואין ניכר טעמו בטל בששים</w:t>
      </w:r>
      <w:r>
        <w:rPr>
          <w:rFonts w:hint="cs"/>
          <w:rtl/>
        </w:rPr>
        <w:t>. עכ"ל. והר"ן (לו:) גם כ' דלא מחוור דעת רבנו שמשון אך מסיבה אחרת והיא</w:t>
      </w:r>
      <w:r>
        <w:rPr>
          <w:rFonts w:cs="Arial" w:hint="cs"/>
          <w:rtl/>
        </w:rPr>
        <w:t xml:space="preserve"> </w:t>
      </w:r>
      <w:r w:rsidRPr="009A1D60">
        <w:rPr>
          <w:rFonts w:cs="Arial"/>
          <w:rtl/>
        </w:rPr>
        <w:t>דהא קתני בריה דהיינו גיד הנשה דומיא דחתיכה הראויה להתכבד</w:t>
      </w:r>
      <w:r>
        <w:rPr>
          <w:rFonts w:cs="Arial" w:hint="cs"/>
          <w:rtl/>
        </w:rPr>
        <w:t>,</w:t>
      </w:r>
      <w:r w:rsidRPr="009A1D60">
        <w:rPr>
          <w:rFonts w:cs="Arial"/>
          <w:rtl/>
        </w:rPr>
        <w:t xml:space="preserve"> דבתרווייהו תנן כולן אסורין</w:t>
      </w:r>
      <w:r>
        <w:rPr>
          <w:rFonts w:cs="Arial" w:hint="cs"/>
          <w:rtl/>
        </w:rPr>
        <w:t>,</w:t>
      </w:r>
      <w:r w:rsidRPr="009A1D60">
        <w:rPr>
          <w:rFonts w:cs="Arial"/>
          <w:rtl/>
        </w:rPr>
        <w:t xml:space="preserve"> ובודאי חתיכה הראויה להתכבד אינה בטלה אפילו באלף כדתניא בתוספתא (חולין פ"ז ה"ג) בהדיא</w:t>
      </w:r>
      <w:r>
        <w:rPr>
          <w:rFonts w:cs="Arial" w:hint="cs"/>
          <w:rtl/>
        </w:rPr>
        <w:t>,</w:t>
      </w:r>
      <w:r w:rsidRPr="009A1D60">
        <w:rPr>
          <w:rFonts w:cs="Arial"/>
          <w:rtl/>
        </w:rPr>
        <w:t xml:space="preserve"> וה"ה לבריה</w:t>
      </w:r>
      <w:r>
        <w:rPr>
          <w:rFonts w:cs="Arial" w:hint="cs"/>
          <w:rtl/>
        </w:rPr>
        <w:t>,</w:t>
      </w:r>
      <w:r w:rsidRPr="009A1D60">
        <w:rPr>
          <w:rFonts w:cs="Arial"/>
          <w:rtl/>
        </w:rPr>
        <w:t xml:space="preserve"> ובירושלמי לאו מתורת בריה אתו עלה אלא לבטל פליטתה</w:t>
      </w:r>
      <w:r>
        <w:rPr>
          <w:rFonts w:cs="Arial" w:hint="cs"/>
          <w:rtl/>
        </w:rPr>
        <w:t>,</w:t>
      </w:r>
      <w:r w:rsidRPr="009A1D60">
        <w:rPr>
          <w:rFonts w:cs="Arial"/>
          <w:rtl/>
        </w:rPr>
        <w:t xml:space="preserve"> דס"ל דעכבר נותן טעם לאלף</w:t>
      </w:r>
      <w:r>
        <w:rPr>
          <w:rFonts w:cs="Arial" w:hint="cs"/>
          <w:rtl/>
        </w:rPr>
        <w:t>,</w:t>
      </w:r>
      <w:r w:rsidRPr="009A1D60">
        <w:rPr>
          <w:rFonts w:cs="Arial"/>
          <w:rtl/>
        </w:rPr>
        <w:t xml:space="preserve"> ופליג אגמרא דידן דבפרק בתרא דע"ז (סט.) משמע דלא יהיב טעמא אלא עד ששים</w:t>
      </w:r>
      <w:r>
        <w:rPr>
          <w:rFonts w:cs="Arial" w:hint="cs"/>
          <w:rtl/>
        </w:rPr>
        <w:t>,</w:t>
      </w:r>
      <w:r w:rsidRPr="009A1D60">
        <w:rPr>
          <w:rFonts w:cs="Arial"/>
          <w:rtl/>
        </w:rPr>
        <w:t xml:space="preserve"> עכ</w:t>
      </w:r>
      <w:r>
        <w:rPr>
          <w:rFonts w:cs="Arial" w:hint="cs"/>
          <w:rtl/>
        </w:rPr>
        <w:t>"ד.</w:t>
      </w:r>
      <w:r w:rsidRPr="009A1D60">
        <w:rPr>
          <w:rFonts w:cs="Arial"/>
          <w:rtl/>
        </w:rPr>
        <w:t xml:space="preserve"> ו</w:t>
      </w:r>
      <w:r>
        <w:rPr>
          <w:rFonts w:cs="Arial" w:hint="cs"/>
          <w:rtl/>
        </w:rPr>
        <w:t>כ' הב"י ש</w:t>
      </w:r>
      <w:r w:rsidRPr="009A1D60">
        <w:rPr>
          <w:rFonts w:cs="Arial"/>
          <w:rtl/>
        </w:rPr>
        <w:t>כדברי הר"ן נראה מדברי התוס</w:t>
      </w:r>
      <w:r>
        <w:rPr>
          <w:rFonts w:cs="Arial" w:hint="cs"/>
          <w:rtl/>
        </w:rPr>
        <w:t>'</w:t>
      </w:r>
      <w:r w:rsidRPr="009A1D60">
        <w:rPr>
          <w:rFonts w:cs="Arial"/>
          <w:rtl/>
        </w:rPr>
        <w:t xml:space="preserve"> בפרק בתרא דע"ז (שם ד"ה אידי ואידי) דבירושלמי לבטל פליטתו אמרו</w:t>
      </w:r>
      <w:r>
        <w:rPr>
          <w:rFonts w:cs="Arial" w:hint="cs"/>
          <w:rtl/>
        </w:rPr>
        <w:t>.</w:t>
      </w:r>
    </w:p>
  </w:footnote>
  <w:footnote w:id="1942">
    <w:p w14:paraId="1820A71B" w14:textId="77777777" w:rsidR="004C5A3C" w:rsidRDefault="004C5A3C" w:rsidP="002C39F4">
      <w:pPr>
        <w:pStyle w:val="a5"/>
        <w:rPr>
          <w:rtl/>
        </w:rPr>
      </w:pPr>
      <w:r>
        <w:rPr>
          <w:rStyle w:val="a7"/>
        </w:rPr>
        <w:footnoteRef/>
      </w:r>
      <w:r>
        <w:rPr>
          <w:rtl/>
        </w:rPr>
        <w:t xml:space="preserve"> </w:t>
      </w:r>
      <w:r w:rsidRPr="00BD78AF">
        <w:rPr>
          <w:rFonts w:cs="Arial"/>
          <w:rtl/>
        </w:rPr>
        <w:t>וכ"פ ב</w:t>
      </w:r>
      <w:r>
        <w:rPr>
          <w:rFonts w:cs="Arial"/>
          <w:rtl/>
        </w:rPr>
        <w:t>או"ה</w:t>
      </w:r>
      <w:r w:rsidRPr="00BD78AF">
        <w:rPr>
          <w:rFonts w:cs="Arial"/>
          <w:rtl/>
        </w:rPr>
        <w:t xml:space="preserve"> </w:t>
      </w:r>
      <w:r>
        <w:rPr>
          <w:rFonts w:cs="Arial" w:hint="cs"/>
          <w:rtl/>
        </w:rPr>
        <w:t>(</w:t>
      </w:r>
      <w:r w:rsidRPr="00BD78AF">
        <w:rPr>
          <w:rFonts w:cs="Arial"/>
          <w:rtl/>
        </w:rPr>
        <w:t>כלל כה דין א וג) דהכי נוהגין</w:t>
      </w:r>
      <w:r>
        <w:rPr>
          <w:rFonts w:cs="Arial" w:hint="cs"/>
          <w:rtl/>
        </w:rPr>
        <w:t xml:space="preserve">, דרכ"מ </w:t>
      </w:r>
      <w:r w:rsidRPr="00BD78AF">
        <w:rPr>
          <w:rFonts w:cs="Arial"/>
          <w:rtl/>
        </w:rPr>
        <w:t>(</w:t>
      </w:r>
      <w:r>
        <w:rPr>
          <w:rFonts w:cs="Arial" w:hint="cs"/>
          <w:rtl/>
        </w:rPr>
        <w:t xml:space="preserve">אות </w:t>
      </w:r>
      <w:r w:rsidRPr="00BD78AF">
        <w:rPr>
          <w:rFonts w:cs="Arial"/>
          <w:rtl/>
        </w:rPr>
        <w:t>ד).</w:t>
      </w:r>
    </w:p>
  </w:footnote>
  <w:footnote w:id="1943">
    <w:p w14:paraId="37B778E5" w14:textId="77777777" w:rsidR="004C5A3C" w:rsidRDefault="004C5A3C" w:rsidP="002C39F4">
      <w:pPr>
        <w:pStyle w:val="a5"/>
      </w:pPr>
      <w:r>
        <w:rPr>
          <w:rStyle w:val="a7"/>
        </w:rPr>
        <w:footnoteRef/>
      </w:r>
      <w:r>
        <w:rPr>
          <w:rtl/>
        </w:rPr>
        <w:t xml:space="preserve"> </w:t>
      </w:r>
      <w:r w:rsidRPr="00826091">
        <w:rPr>
          <w:rFonts w:cs="Arial"/>
          <w:rtl/>
        </w:rPr>
        <w:t>ירק של לפת ולי נראה שראש הלפת מתוק מזנבו וטעם הבשר ניכר בזנבות הלפת בשיעור מועט אבל בראשי לפתות אינו ניכר אלא בשיעור גמור</w:t>
      </w:r>
      <w:r>
        <w:rPr>
          <w:rFonts w:cs="Arial" w:hint="cs"/>
          <w:rtl/>
        </w:rPr>
        <w:t>, רש"י</w:t>
      </w:r>
      <w:r w:rsidRPr="00826091">
        <w:rPr>
          <w:rFonts w:cs="Arial"/>
          <w:rtl/>
        </w:rPr>
        <w:t>.</w:t>
      </w:r>
    </w:p>
  </w:footnote>
  <w:footnote w:id="1944">
    <w:p w14:paraId="14A5CAFA" w14:textId="77777777" w:rsidR="004C5A3C" w:rsidRPr="003162F7" w:rsidRDefault="004C5A3C" w:rsidP="002C39F4">
      <w:pPr>
        <w:pStyle w:val="a5"/>
        <w:rPr>
          <w:rtl/>
        </w:rPr>
      </w:pPr>
      <w:r w:rsidRPr="003162F7">
        <w:rPr>
          <w:rStyle w:val="a7"/>
        </w:rPr>
        <w:footnoteRef/>
      </w:r>
      <w:r w:rsidRPr="003162F7">
        <w:rPr>
          <w:rtl/>
        </w:rPr>
        <w:t xml:space="preserve"> </w:t>
      </w:r>
      <w:r w:rsidRPr="003162F7">
        <w:rPr>
          <w:rFonts w:cs="Arial"/>
          <w:rtl/>
        </w:rPr>
        <w:t>וקנוקנות שבו</w:t>
      </w:r>
      <w:r w:rsidRPr="003162F7">
        <w:rPr>
          <w:rFonts w:cs="Arial" w:hint="cs"/>
          <w:rtl/>
        </w:rPr>
        <w:t>, רשב"א</w:t>
      </w:r>
      <w:r>
        <w:rPr>
          <w:rFonts w:hint="cs"/>
          <w:rtl/>
        </w:rPr>
        <w:t xml:space="preserve"> (תוה"א ב"ד ש"א יח.)</w:t>
      </w:r>
      <w:r w:rsidRPr="003162F7">
        <w:rPr>
          <w:rFonts w:hint="cs"/>
          <w:rtl/>
        </w:rPr>
        <w:t>.</w:t>
      </w:r>
    </w:p>
  </w:footnote>
  <w:footnote w:id="1945">
    <w:p w14:paraId="37688DDF" w14:textId="77777777" w:rsidR="004C5A3C" w:rsidRDefault="004C5A3C" w:rsidP="002C39F4">
      <w:pPr>
        <w:pStyle w:val="a5"/>
        <w:rPr>
          <w:rtl/>
        </w:rPr>
      </w:pPr>
      <w:r>
        <w:rPr>
          <w:rStyle w:val="a7"/>
        </w:rPr>
        <w:footnoteRef/>
      </w:r>
      <w:r>
        <w:rPr>
          <w:rtl/>
        </w:rPr>
        <w:t xml:space="preserve"> </w:t>
      </w:r>
      <w:r w:rsidRPr="003162F7">
        <w:rPr>
          <w:rFonts w:cs="Arial"/>
          <w:rtl/>
        </w:rPr>
        <w:t xml:space="preserve">רש"י </w:t>
      </w:r>
      <w:r w:rsidRPr="003162F7">
        <w:rPr>
          <w:rFonts w:cs="Arial"/>
          <w:sz w:val="16"/>
          <w:szCs w:val="16"/>
          <w:rtl/>
        </w:rPr>
        <w:t>(</w:t>
      </w:r>
      <w:r w:rsidRPr="003162F7">
        <w:rPr>
          <w:rFonts w:cs="Arial" w:hint="cs"/>
          <w:sz w:val="16"/>
          <w:szCs w:val="16"/>
          <w:rtl/>
        </w:rPr>
        <w:t>ד"ה והילכתא</w:t>
      </w:r>
      <w:r w:rsidRPr="003162F7">
        <w:rPr>
          <w:rFonts w:cs="Arial"/>
          <w:sz w:val="16"/>
          <w:szCs w:val="16"/>
          <w:rtl/>
        </w:rPr>
        <w:t xml:space="preserve">) </w:t>
      </w:r>
      <w:r w:rsidRPr="003162F7">
        <w:rPr>
          <w:rFonts w:cs="Arial"/>
          <w:rtl/>
        </w:rPr>
        <w:t xml:space="preserve">רי"ף </w:t>
      </w:r>
      <w:r w:rsidRPr="003162F7">
        <w:rPr>
          <w:rFonts w:cs="Arial"/>
          <w:sz w:val="16"/>
          <w:szCs w:val="16"/>
          <w:rtl/>
        </w:rPr>
        <w:t xml:space="preserve">(לד.) </w:t>
      </w:r>
      <w:r w:rsidRPr="003162F7">
        <w:rPr>
          <w:rFonts w:cs="Arial"/>
          <w:rtl/>
        </w:rPr>
        <w:t xml:space="preserve">רמב"ם </w:t>
      </w:r>
      <w:r w:rsidRPr="003162F7">
        <w:rPr>
          <w:rFonts w:cs="Arial" w:hint="cs"/>
          <w:sz w:val="16"/>
          <w:szCs w:val="16"/>
          <w:rtl/>
        </w:rPr>
        <w:t>(</w:t>
      </w:r>
      <w:r w:rsidRPr="003162F7">
        <w:rPr>
          <w:rFonts w:cs="Arial"/>
          <w:sz w:val="16"/>
          <w:szCs w:val="16"/>
          <w:rtl/>
        </w:rPr>
        <w:t xml:space="preserve">פט"ו הי"ז) </w:t>
      </w:r>
      <w:r w:rsidRPr="003162F7">
        <w:rPr>
          <w:rFonts w:cs="Arial"/>
          <w:rtl/>
        </w:rPr>
        <w:t xml:space="preserve">רשב"א </w:t>
      </w:r>
      <w:r w:rsidRPr="003162F7">
        <w:rPr>
          <w:rFonts w:cs="Arial" w:hint="cs"/>
          <w:sz w:val="16"/>
          <w:szCs w:val="16"/>
          <w:rtl/>
        </w:rPr>
        <w:t>(תוה"א</w:t>
      </w:r>
      <w:r w:rsidRPr="003162F7">
        <w:rPr>
          <w:rFonts w:cs="Arial"/>
          <w:sz w:val="16"/>
          <w:szCs w:val="16"/>
          <w:rtl/>
        </w:rPr>
        <w:t xml:space="preserve"> ב"ד ש"א יח.) </w:t>
      </w:r>
      <w:r w:rsidRPr="003162F7">
        <w:rPr>
          <w:rFonts w:cs="Arial"/>
          <w:rtl/>
        </w:rPr>
        <w:t xml:space="preserve">רא"ש </w:t>
      </w:r>
      <w:r w:rsidRPr="003162F7">
        <w:rPr>
          <w:rFonts w:cs="Arial"/>
          <w:sz w:val="16"/>
          <w:szCs w:val="16"/>
          <w:rtl/>
        </w:rPr>
        <w:t xml:space="preserve">(סי' לב) </w:t>
      </w:r>
      <w:r>
        <w:rPr>
          <w:rFonts w:cs="Arial" w:hint="cs"/>
          <w:rtl/>
        </w:rPr>
        <w:t>ו</w:t>
      </w:r>
      <w:r w:rsidRPr="003162F7">
        <w:rPr>
          <w:rFonts w:cs="Arial"/>
          <w:rtl/>
        </w:rPr>
        <w:t xml:space="preserve">ר"ן </w:t>
      </w:r>
      <w:r w:rsidRPr="003162F7">
        <w:rPr>
          <w:rFonts w:cs="Arial"/>
          <w:sz w:val="16"/>
          <w:szCs w:val="16"/>
          <w:rtl/>
        </w:rPr>
        <w:t>(לד</w:t>
      </w:r>
      <w:r w:rsidRPr="003162F7">
        <w:rPr>
          <w:rFonts w:cs="Arial" w:hint="cs"/>
          <w:sz w:val="16"/>
          <w:szCs w:val="16"/>
          <w:rtl/>
        </w:rPr>
        <w:t>:</w:t>
      </w:r>
      <w:r w:rsidRPr="003162F7">
        <w:rPr>
          <w:rFonts w:cs="Arial"/>
          <w:sz w:val="16"/>
          <w:szCs w:val="16"/>
          <w:rtl/>
        </w:rPr>
        <w:t>)</w:t>
      </w:r>
      <w:r>
        <w:rPr>
          <w:rFonts w:hint="cs"/>
          <w:rtl/>
        </w:rPr>
        <w:t>.</w:t>
      </w:r>
    </w:p>
  </w:footnote>
  <w:footnote w:id="1946">
    <w:p w14:paraId="41176E91" w14:textId="77777777" w:rsidR="004C5A3C" w:rsidRDefault="004C5A3C" w:rsidP="002C39F4">
      <w:pPr>
        <w:pStyle w:val="a5"/>
        <w:rPr>
          <w:rtl/>
        </w:rPr>
      </w:pPr>
      <w:r>
        <w:rPr>
          <w:rStyle w:val="a7"/>
        </w:rPr>
        <w:footnoteRef/>
      </w:r>
      <w:r>
        <w:rPr>
          <w:rtl/>
        </w:rPr>
        <w:t xml:space="preserve"> </w:t>
      </w:r>
      <w:r w:rsidRPr="00FB1869">
        <w:rPr>
          <w:rFonts w:cs="Arial"/>
          <w:rtl/>
        </w:rPr>
        <w:t>הילכך ירך שנתבשל עם גידו</w:t>
      </w:r>
      <w:r>
        <w:rPr>
          <w:rFonts w:cs="Arial" w:hint="cs"/>
          <w:rtl/>
        </w:rPr>
        <w:t>,</w:t>
      </w:r>
      <w:r w:rsidRPr="00FB1869">
        <w:rPr>
          <w:rFonts w:cs="Arial"/>
          <w:rtl/>
        </w:rPr>
        <w:t xml:space="preserve"> אם מכירו זורקו וכל השאר מותר אם יש בו ס' כנגד שומנו</w:t>
      </w:r>
      <w:r>
        <w:rPr>
          <w:rFonts w:cs="Arial" w:hint="cs"/>
          <w:rtl/>
        </w:rPr>
        <w:t>,</w:t>
      </w:r>
      <w:r w:rsidRPr="00FB1869">
        <w:rPr>
          <w:rFonts w:cs="Arial"/>
          <w:rtl/>
        </w:rPr>
        <w:t xml:space="preserve"> ואם אינו מכירו כל החתיכות אסורות</w:t>
      </w:r>
      <w:r>
        <w:rPr>
          <w:rFonts w:cs="Arial" w:hint="cs"/>
          <w:rtl/>
        </w:rPr>
        <w:t>,</w:t>
      </w:r>
      <w:r w:rsidRPr="00FB1869">
        <w:rPr>
          <w:rFonts w:cs="Arial"/>
          <w:rtl/>
        </w:rPr>
        <w:t xml:space="preserve"> ואם יש בקדירה ס' כנגד השומן אז הרוטב מותר</w:t>
      </w:r>
      <w:r>
        <w:rPr>
          <w:rStyle w:val="a7"/>
          <w:rFonts w:cs="Arial"/>
          <w:rtl/>
        </w:rPr>
        <w:footnoteRef/>
      </w:r>
      <w:r>
        <w:rPr>
          <w:rFonts w:cs="Arial" w:hint="cs"/>
          <w:rtl/>
        </w:rPr>
        <w:t>,</w:t>
      </w:r>
      <w:r w:rsidRPr="00FB1869">
        <w:rPr>
          <w:rFonts w:cs="Arial"/>
          <w:rtl/>
        </w:rPr>
        <w:t xml:space="preserve"> ואם לאו אסור</w:t>
      </w:r>
      <w:r>
        <w:rPr>
          <w:rFonts w:cs="Arial" w:hint="cs"/>
          <w:rtl/>
        </w:rPr>
        <w:t>, טור.</w:t>
      </w:r>
      <w:r w:rsidRPr="00D94B79">
        <w:rPr>
          <w:rFonts w:cs="Arial" w:hint="cs"/>
          <w:rtl/>
        </w:rPr>
        <w:t xml:space="preserve"> </w:t>
      </w:r>
      <w:r>
        <w:rPr>
          <w:rFonts w:cs="Arial" w:hint="cs"/>
          <w:rtl/>
        </w:rPr>
        <w:t>וכ' הב"י ד</w:t>
      </w:r>
      <w:r>
        <w:rPr>
          <w:rFonts w:cs="Arial"/>
          <w:rtl/>
        </w:rPr>
        <w:t>פשוט הוא</w:t>
      </w:r>
      <w:r>
        <w:rPr>
          <w:rFonts w:cs="Arial" w:hint="cs"/>
          <w:rtl/>
        </w:rPr>
        <w:t xml:space="preserve">. וכ' הדרכ"מ </w:t>
      </w:r>
      <w:r w:rsidRPr="00BD78AF">
        <w:rPr>
          <w:rFonts w:cs="Arial"/>
          <w:rtl/>
        </w:rPr>
        <w:t>(</w:t>
      </w:r>
      <w:r>
        <w:rPr>
          <w:rFonts w:cs="Arial" w:hint="cs"/>
          <w:rtl/>
        </w:rPr>
        <w:t xml:space="preserve">אות </w:t>
      </w:r>
      <w:r w:rsidRPr="00BD78AF">
        <w:rPr>
          <w:rFonts w:cs="Arial"/>
          <w:rtl/>
        </w:rPr>
        <w:t xml:space="preserve">ג) </w:t>
      </w:r>
      <w:r>
        <w:rPr>
          <w:rFonts w:cs="Arial" w:hint="cs"/>
          <w:rtl/>
        </w:rPr>
        <w:t>ד</w:t>
      </w:r>
      <w:r w:rsidRPr="00BD78AF">
        <w:rPr>
          <w:rFonts w:cs="Arial"/>
          <w:rtl/>
        </w:rPr>
        <w:t>כ</w:t>
      </w:r>
      <w:r>
        <w:rPr>
          <w:rFonts w:cs="Arial" w:hint="cs"/>
          <w:rtl/>
        </w:rPr>
        <w:t>"</w:t>
      </w:r>
      <w:r w:rsidRPr="00BD78AF">
        <w:rPr>
          <w:rFonts w:cs="Arial"/>
          <w:rtl/>
        </w:rPr>
        <w:t xml:space="preserve">פ בארוך </w:t>
      </w:r>
      <w:r>
        <w:rPr>
          <w:rFonts w:cs="Arial" w:hint="cs"/>
          <w:rtl/>
        </w:rPr>
        <w:t>(</w:t>
      </w:r>
      <w:r w:rsidRPr="00BD78AF">
        <w:rPr>
          <w:rFonts w:cs="Arial"/>
          <w:rtl/>
        </w:rPr>
        <w:t>כלל כ"ה דכ</w:t>
      </w:r>
      <w:r>
        <w:rPr>
          <w:rFonts w:cs="Arial" w:hint="cs"/>
          <w:rtl/>
        </w:rPr>
        <w:t>"</w:t>
      </w:r>
      <w:r w:rsidRPr="00BD78AF">
        <w:rPr>
          <w:rFonts w:cs="Arial"/>
          <w:rtl/>
        </w:rPr>
        <w:t>א) דאף החתיכות א</w:t>
      </w:r>
      <w:r>
        <w:rPr>
          <w:rFonts w:cs="Arial" w:hint="cs"/>
          <w:rtl/>
        </w:rPr>
        <w:t>ע"</w:t>
      </w:r>
      <w:r w:rsidRPr="00BD78AF">
        <w:rPr>
          <w:rFonts w:cs="Arial"/>
          <w:rtl/>
        </w:rPr>
        <w:t>פ שהן אסורות מ</w:t>
      </w:r>
      <w:r>
        <w:rPr>
          <w:rFonts w:cs="Arial" w:hint="cs"/>
          <w:rtl/>
        </w:rPr>
        <w:t xml:space="preserve">"מ </w:t>
      </w:r>
      <w:r w:rsidRPr="00BD78AF">
        <w:rPr>
          <w:rFonts w:cs="Arial"/>
          <w:rtl/>
        </w:rPr>
        <w:t>הן מועילין לבטל האיסור ולהתיר הרוטב</w:t>
      </w:r>
      <w:r>
        <w:rPr>
          <w:rFonts w:cs="Arial" w:hint="cs"/>
          <w:rtl/>
        </w:rPr>
        <w:t>.</w:t>
      </w:r>
    </w:p>
  </w:footnote>
  <w:footnote w:id="1947">
    <w:p w14:paraId="3AF98040" w14:textId="77777777" w:rsidR="004C5A3C" w:rsidRPr="008B7A73" w:rsidRDefault="004C5A3C" w:rsidP="002C39F4">
      <w:pPr>
        <w:pStyle w:val="a5"/>
        <w:rPr>
          <w:color w:val="FF0000"/>
          <w:rtl/>
        </w:rPr>
      </w:pPr>
      <w:r>
        <w:rPr>
          <w:rStyle w:val="a7"/>
        </w:rPr>
        <w:footnoteRef/>
      </w:r>
      <w:r>
        <w:rPr>
          <w:rtl/>
        </w:rPr>
        <w:t xml:space="preserve"> </w:t>
      </w:r>
      <w:r>
        <w:rPr>
          <w:rFonts w:cs="Arial" w:hint="cs"/>
          <w:rtl/>
        </w:rPr>
        <w:t xml:space="preserve">אין זו לשון הב"י, אלא הוצאתי דברים אלו ממש"כ הב"י, וז"ל- </w:t>
      </w:r>
      <w:r w:rsidRPr="003757D2">
        <w:rPr>
          <w:rFonts w:cs="Arial"/>
          <w:rtl/>
        </w:rPr>
        <w:t>כתבו התוספות בפרק גיד הנשה (צו: ד"ה אם יש בה) אמתניתין דירך שנתבשל בה גיד הנשה אם יש בה בנותן טעם הרי זו אסורה</w:t>
      </w:r>
      <w:r>
        <w:rPr>
          <w:rFonts w:cs="Arial" w:hint="cs"/>
          <w:rtl/>
        </w:rPr>
        <w:t>-</w:t>
      </w:r>
      <w:r w:rsidRPr="003757D2">
        <w:rPr>
          <w:rFonts w:cs="Arial"/>
          <w:rtl/>
        </w:rPr>
        <w:t xml:space="preserve"> לאו בגיד לחודיה משערינן דבכדי קליפה שסביביו מסייע לגיד לאסור</w:t>
      </w:r>
      <w:r>
        <w:rPr>
          <w:rFonts w:cs="Arial" w:hint="cs"/>
          <w:rtl/>
        </w:rPr>
        <w:t>,</w:t>
      </w:r>
      <w:r w:rsidRPr="003757D2">
        <w:rPr>
          <w:rFonts w:cs="Arial"/>
          <w:rtl/>
        </w:rPr>
        <w:t xml:space="preserve"> דמשעה שנמלח נאסר כדי קליפה סמוך לו</w:t>
      </w:r>
      <w:r>
        <w:rPr>
          <w:rFonts w:cs="Arial" w:hint="cs"/>
          <w:rtl/>
        </w:rPr>
        <w:t>,</w:t>
      </w:r>
      <w:r w:rsidRPr="003757D2">
        <w:rPr>
          <w:rFonts w:cs="Arial"/>
          <w:rtl/>
        </w:rPr>
        <w:t xml:space="preserve"> ולפירוש רבינו אפרים דלא אמרינן חתיכה עצמה נעשית נבלה אלא בבשר בחלב אתי שפיר</w:t>
      </w:r>
      <w:r>
        <w:rPr>
          <w:rFonts w:cs="Arial" w:hint="cs"/>
          <w:rtl/>
        </w:rPr>
        <w:t>.</w:t>
      </w:r>
      <w:r w:rsidRPr="003757D2">
        <w:rPr>
          <w:rFonts w:cs="Arial"/>
          <w:rtl/>
        </w:rPr>
        <w:t xml:space="preserve"> עכ"ל ואף על גב דאסיקנא דאין בגידין בנותן טעם כתבתי זה כדי ללמד לירך שנתבשל בה שמנו של גיד ומ"מ כבר כתבתי בסימן צ"ב (קמו. ד"ה ולענין) דנקטינן כרבינו אפרים</w:t>
      </w:r>
      <w:r>
        <w:rPr>
          <w:rFonts w:cs="Arial" w:hint="cs"/>
          <w:rtl/>
        </w:rPr>
        <w:t>.</w:t>
      </w:r>
      <w:r>
        <w:rPr>
          <w:rFonts w:hint="cs"/>
          <w:color w:val="FF0000"/>
          <w:rtl/>
        </w:rPr>
        <w:t xml:space="preserve"> </w:t>
      </w:r>
    </w:p>
  </w:footnote>
  <w:footnote w:id="1948">
    <w:p w14:paraId="10B9ED59" w14:textId="77777777" w:rsidR="004C5A3C" w:rsidRDefault="004C5A3C" w:rsidP="002C39F4">
      <w:pPr>
        <w:pStyle w:val="a5"/>
        <w:rPr>
          <w:rtl/>
        </w:rPr>
      </w:pPr>
      <w:r>
        <w:rPr>
          <w:rStyle w:val="a7"/>
        </w:rPr>
        <w:footnoteRef/>
      </w:r>
      <w:r>
        <w:rPr>
          <w:rtl/>
        </w:rPr>
        <w:t xml:space="preserve"> </w:t>
      </w:r>
      <w:r>
        <w:rPr>
          <w:rFonts w:hint="cs"/>
          <w:rtl/>
        </w:rPr>
        <w:t xml:space="preserve">עד כאן לשון הטור, ודבריו הם דברי הרשב"א בתוה"ב הקצר שם, אבל בתוה"ב הארוך כ' הרשב"א- </w:t>
      </w:r>
      <w:r w:rsidRPr="009A65C6">
        <w:rPr>
          <w:rFonts w:cs="Arial"/>
          <w:rtl/>
        </w:rPr>
        <w:t>אם נמחה גופו צריך הוא ששים דאע"ג דעץ הוא התורה אסרתו</w:t>
      </w:r>
      <w:r>
        <w:rPr>
          <w:rFonts w:cs="Arial" w:hint="cs"/>
          <w:rtl/>
        </w:rPr>
        <w:t>,</w:t>
      </w:r>
      <w:r w:rsidRPr="009A65C6">
        <w:rPr>
          <w:rFonts w:cs="Arial"/>
          <w:rtl/>
        </w:rPr>
        <w:t xml:space="preserve"> ואפשר שבטל ברוב דכיון דלעולם אינו נותן טעם ואפילו בשאינו מינו לא אסרוהו לעולם כל שהוא מעורב ברוב היתר ואינו דומה לשאר האיסורין שהצריכוהו ששים לבטלן ואפילו במינן דהתם הוא דאסרו מינו משום דכנגדו בשאינו מינו נותן טעם אבל כאן שאינו נותן טעם כלל ואפילו בשאינו מינו לא החמירו עליו והעמידוהו על דינו לבטלו ברוב.</w:t>
      </w:r>
      <w:r>
        <w:rPr>
          <w:rFonts w:hint="cs"/>
          <w:rtl/>
        </w:rPr>
        <w:t xml:space="preserve"> עכ"ל. ולא הביאו הטור והב"י את דבריו. ואולי משום דהרשב"א לא כ' כן אלא בדרך אפשר, אך עיין בט"ז (סק"ה) שהבאתי לקמן. </w:t>
      </w:r>
    </w:p>
  </w:footnote>
  <w:footnote w:id="1949">
    <w:p w14:paraId="47D3177E" w14:textId="77777777" w:rsidR="004C5A3C" w:rsidRDefault="004C5A3C" w:rsidP="002C39F4">
      <w:pPr>
        <w:pStyle w:val="a5"/>
      </w:pPr>
      <w:r>
        <w:rPr>
          <w:rStyle w:val="a7"/>
        </w:rPr>
        <w:footnoteRef/>
      </w:r>
      <w:r>
        <w:rPr>
          <w:rtl/>
        </w:rPr>
        <w:t xml:space="preserve"> </w:t>
      </w:r>
      <w:r w:rsidRPr="0097360E">
        <w:rPr>
          <w:rFonts w:cs="Arial"/>
          <w:rtl/>
        </w:rPr>
        <w:t>ע"י סינון</w:t>
      </w:r>
      <w:r>
        <w:rPr>
          <w:rFonts w:cs="Arial" w:hint="cs"/>
          <w:rtl/>
        </w:rPr>
        <w:t>,</w:t>
      </w:r>
      <w:r w:rsidRPr="0097360E">
        <w:rPr>
          <w:rFonts w:cs="Arial"/>
          <w:rtl/>
        </w:rPr>
        <w:t xml:space="preserve"> כמו בס</w:t>
      </w:r>
      <w:r>
        <w:rPr>
          <w:rFonts w:cs="Arial" w:hint="cs"/>
          <w:rtl/>
        </w:rPr>
        <w:t xml:space="preserve">ע' </w:t>
      </w:r>
      <w:r w:rsidRPr="0097360E">
        <w:rPr>
          <w:rFonts w:cs="Arial"/>
          <w:rtl/>
        </w:rPr>
        <w:t>ד</w:t>
      </w:r>
      <w:r>
        <w:rPr>
          <w:rFonts w:cs="Arial" w:hint="cs"/>
          <w:rtl/>
        </w:rPr>
        <w:t>,</w:t>
      </w:r>
      <w:r w:rsidRPr="0097360E">
        <w:rPr>
          <w:rFonts w:cs="Arial"/>
          <w:rtl/>
        </w:rPr>
        <w:t xml:space="preserve"> מיהו הא דצריך ס' נגד פליטת הברי</w:t>
      </w:r>
      <w:r>
        <w:rPr>
          <w:rFonts w:cs="Arial" w:hint="cs"/>
          <w:rtl/>
        </w:rPr>
        <w:t>ה</w:t>
      </w:r>
      <w:r w:rsidRPr="0097360E">
        <w:rPr>
          <w:rFonts w:cs="Arial"/>
          <w:rtl/>
        </w:rPr>
        <w:t xml:space="preserve"> היינו דוקא בעוף טמא ואינך אבל לא בנמלה וכיוצא בזה מדברים המאוסים לדעת המחבר והרב לקמן ס"ס קד וקז</w:t>
      </w:r>
      <w:r>
        <w:rPr>
          <w:rFonts w:cs="Arial" w:hint="cs"/>
          <w:rtl/>
        </w:rPr>
        <w:t>,</w:t>
      </w:r>
      <w:r w:rsidRPr="0097360E">
        <w:rPr>
          <w:rFonts w:cs="Arial"/>
          <w:rtl/>
        </w:rPr>
        <w:t xml:space="preserve"> ועמ"ש בס"ס קז</w:t>
      </w:r>
      <w:r>
        <w:rPr>
          <w:rFonts w:cs="Arial" w:hint="cs"/>
          <w:rtl/>
        </w:rPr>
        <w:t xml:space="preserve"> (סק"ז), ש"ך (סק"ז).</w:t>
      </w:r>
    </w:p>
  </w:footnote>
  <w:footnote w:id="1950">
    <w:p w14:paraId="08392467" w14:textId="77777777" w:rsidR="004C5A3C" w:rsidRDefault="004C5A3C" w:rsidP="002C39F4">
      <w:pPr>
        <w:pStyle w:val="a5"/>
        <w:rPr>
          <w:rtl/>
        </w:rPr>
      </w:pPr>
      <w:r>
        <w:rPr>
          <w:rStyle w:val="a7"/>
        </w:rPr>
        <w:footnoteRef/>
      </w:r>
      <w:r>
        <w:rPr>
          <w:rtl/>
        </w:rPr>
        <w:t xml:space="preserve"> </w:t>
      </w:r>
      <w:r w:rsidRPr="0073234C">
        <w:rPr>
          <w:rFonts w:cs="Arial"/>
          <w:rtl/>
        </w:rPr>
        <w:t>קשה דהיאך סתם הרב כדברי הט"ו וכן בת"ח כלל מ"א העתיק בסתם לשון הטור וכן בעטרת זהב וזה אינו אלא לדעת הטור דס"ל דלא אמרינן חנ"נ בשאר איסורים וכן לא אמרינן באיסור דבוק דנ"נ וכמ"ש בסי' ע"ב ס"ק ט"ו אבל לדידן דקי"ל לעיל סי' ע"ב וע"ג וכמה דוכתי דאף בשאר איסורים באיסור דבוק צריך ס' נגד כל החתיכה שהאיסור דבוק בה אם אין בחתיכה עצמה ס' לבטל האיסור א"כ ה"נ ירך שנתבשל עם גידו אין השאר מותר כיון דאין בירך עצמה ס' נגד שמנו עד שיהא בהשאר ס' נגד כל הירך ואדרבה הפוסקים הוציאו דין זה דאיסור דבוק ממאי דתנן ירך שנתבשל בה גיד הנשה אם יש בה בנ"ט אסור כדאיתא בש"ד סי' כ"ה ובהגהת ש"ד ובאגודה פכ"ה סי' קכ"א ושאר פוסקים וצ"ל דסמך עצמו אלעיל סימן ע"ב וע"ג ודוכתי טובא והא דכ' דברי הטור בסתם היינו משום שאפשר לדחוק ולפרש דירך שנתבשל עם גידו דקאמר היינו שנתבשל הגיד חתוך מן הירך עם הירך בקדרה ואורחא דמילתא נקט</w:t>
      </w:r>
      <w:r>
        <w:rPr>
          <w:rFonts w:hint="cs"/>
          <w:rtl/>
        </w:rPr>
        <w:t>, ש"ך (סק"ח).</w:t>
      </w:r>
    </w:p>
  </w:footnote>
  <w:footnote w:id="1951">
    <w:p w14:paraId="13363EEA" w14:textId="77777777" w:rsidR="004C5A3C" w:rsidRDefault="004C5A3C" w:rsidP="002C39F4">
      <w:pPr>
        <w:pStyle w:val="a5"/>
      </w:pPr>
      <w:r>
        <w:rPr>
          <w:rStyle w:val="a7"/>
        </w:rPr>
        <w:footnoteRef/>
      </w:r>
      <w:r>
        <w:rPr>
          <w:rtl/>
        </w:rPr>
        <w:t xml:space="preserve"> </w:t>
      </w:r>
      <w:r>
        <w:rPr>
          <w:rFonts w:hint="cs"/>
          <w:rtl/>
        </w:rPr>
        <w:t xml:space="preserve">ואם הוא שעת הדחק אפשר לסמוך על הא דקיי"ל </w:t>
      </w:r>
      <w:r w:rsidRPr="004F60C9">
        <w:rPr>
          <w:rFonts w:cs="Arial"/>
          <w:rtl/>
        </w:rPr>
        <w:t>שאיסור שנתערב עם היתר מותר בכל גוונא אף בפחות מששים כל שאין שם טעם איסור אף בגוף איסור שנמח</w:t>
      </w:r>
      <w:r>
        <w:rPr>
          <w:rFonts w:cs="Arial" w:hint="cs"/>
          <w:rtl/>
        </w:rPr>
        <w:t xml:space="preserve">ה בתערובת, </w:t>
      </w:r>
      <w:r>
        <w:rPr>
          <w:rFonts w:hint="cs"/>
          <w:rtl/>
        </w:rPr>
        <w:t>פר"ח (סקי"ב).</w:t>
      </w:r>
    </w:p>
  </w:footnote>
  <w:footnote w:id="1952">
    <w:p w14:paraId="23185307" w14:textId="77777777" w:rsidR="004C5A3C" w:rsidRDefault="004C5A3C" w:rsidP="002C39F4">
      <w:pPr>
        <w:pStyle w:val="a5"/>
        <w:rPr>
          <w:rtl/>
        </w:rPr>
      </w:pPr>
      <w:r>
        <w:rPr>
          <w:rStyle w:val="a7"/>
        </w:rPr>
        <w:footnoteRef/>
      </w:r>
      <w:r>
        <w:rPr>
          <w:rtl/>
        </w:rPr>
        <w:t xml:space="preserve"> </w:t>
      </w:r>
      <w:r>
        <w:rPr>
          <w:rFonts w:hint="cs"/>
          <w:rtl/>
        </w:rPr>
        <w:t>הט"ז (סק"ה)</w:t>
      </w:r>
      <w:r>
        <w:rPr>
          <w:rFonts w:cs="Arial" w:hint="cs"/>
          <w:rtl/>
        </w:rPr>
        <w:t xml:space="preserve"> הביא את דברי הרשב"א בארוך ולאחמ"כ כ'- </w:t>
      </w:r>
      <w:r w:rsidRPr="009A65C6">
        <w:rPr>
          <w:rFonts w:cs="Arial"/>
          <w:rtl/>
        </w:rPr>
        <w:t>וא</w:t>
      </w:r>
      <w:r>
        <w:rPr>
          <w:rFonts w:cs="Arial" w:hint="cs"/>
          <w:rtl/>
        </w:rPr>
        <w:t>ע"פ</w:t>
      </w:r>
      <w:r w:rsidRPr="009A65C6">
        <w:rPr>
          <w:rFonts w:cs="Arial"/>
          <w:rtl/>
        </w:rPr>
        <w:t xml:space="preserve"> שהטור והש</w:t>
      </w:r>
      <w:r>
        <w:rPr>
          <w:rFonts w:cs="Arial" w:hint="cs"/>
          <w:rtl/>
        </w:rPr>
        <w:t>ו</w:t>
      </w:r>
      <w:r w:rsidRPr="009A65C6">
        <w:rPr>
          <w:rFonts w:cs="Arial"/>
          <w:rtl/>
        </w:rPr>
        <w:t>"ע לא העתיקו</w:t>
      </w:r>
      <w:r>
        <w:rPr>
          <w:rFonts w:cs="Arial" w:hint="cs"/>
          <w:rtl/>
        </w:rPr>
        <w:t xml:space="preserve"> </w:t>
      </w:r>
      <w:r w:rsidRPr="009A65C6">
        <w:rPr>
          <w:rFonts w:cs="Arial"/>
          <w:rtl/>
        </w:rPr>
        <w:t>זה מ"מ נראה לסמוך להקל בספק כזה</w:t>
      </w:r>
      <w:r>
        <w:rPr>
          <w:rFonts w:cs="Arial" w:hint="cs"/>
          <w:rtl/>
        </w:rPr>
        <w:t>,</w:t>
      </w:r>
      <w:r w:rsidRPr="009A65C6">
        <w:rPr>
          <w:rFonts w:cs="Arial"/>
          <w:rtl/>
        </w:rPr>
        <w:t xml:space="preserve"> כגון אם נשפך ואין ידוע אם היה שם ס' רק שהיה רוב בודאי דאסור לעיל סי' צ"ח באינו מינו מ</w:t>
      </w:r>
      <w:r>
        <w:rPr>
          <w:rFonts w:cs="Arial" w:hint="cs"/>
          <w:rtl/>
        </w:rPr>
        <w:t>"</w:t>
      </w:r>
      <w:r w:rsidRPr="009A65C6">
        <w:rPr>
          <w:rFonts w:cs="Arial"/>
          <w:rtl/>
        </w:rPr>
        <w:t>מ כאן שרי</w:t>
      </w:r>
      <w:r>
        <w:rPr>
          <w:rFonts w:hint="cs"/>
          <w:rtl/>
        </w:rPr>
        <w:t>. עכ"ל. והסכים לדבריו המנחת יעקב (כלל מא סק"ח). וגם החוות דעת (סק"ז) הביא את דברי הט"ז.</w:t>
      </w:r>
    </w:p>
  </w:footnote>
  <w:footnote w:id="1953">
    <w:p w14:paraId="7735F9F9" w14:textId="77777777" w:rsidR="004C5A3C" w:rsidRDefault="004C5A3C" w:rsidP="002C39F4">
      <w:pPr>
        <w:pStyle w:val="a5"/>
        <w:rPr>
          <w:rtl/>
        </w:rPr>
      </w:pPr>
      <w:r>
        <w:rPr>
          <w:rStyle w:val="a7"/>
        </w:rPr>
        <w:footnoteRef/>
      </w:r>
      <w:r>
        <w:rPr>
          <w:rtl/>
        </w:rPr>
        <w:t xml:space="preserve"> </w:t>
      </w:r>
      <w:r w:rsidRPr="004F60C9">
        <w:rPr>
          <w:rFonts w:cs="Arial"/>
          <w:rtl/>
        </w:rPr>
        <w:t>היינו כשא</w:t>
      </w:r>
      <w:r>
        <w:rPr>
          <w:rFonts w:cs="Arial" w:hint="cs"/>
          <w:rtl/>
        </w:rPr>
        <w:t xml:space="preserve">י </w:t>
      </w:r>
      <w:r w:rsidRPr="004F60C9">
        <w:rPr>
          <w:rFonts w:cs="Arial"/>
          <w:rtl/>
        </w:rPr>
        <w:t>א</w:t>
      </w:r>
      <w:r>
        <w:rPr>
          <w:rFonts w:cs="Arial" w:hint="cs"/>
          <w:rtl/>
        </w:rPr>
        <w:t>פשר</w:t>
      </w:r>
      <w:r w:rsidRPr="004F60C9">
        <w:rPr>
          <w:rFonts w:cs="Arial"/>
          <w:rtl/>
        </w:rPr>
        <w:t xml:space="preserve"> להתיר על ידי סינון</w:t>
      </w:r>
      <w:r>
        <w:rPr>
          <w:rFonts w:hint="cs"/>
          <w:rtl/>
        </w:rPr>
        <w:t>, ש"ך (סק"י).</w:t>
      </w:r>
    </w:p>
  </w:footnote>
  <w:footnote w:id="1954">
    <w:p w14:paraId="6CC3BBC4" w14:textId="32DBBBC9" w:rsidR="004C5A3C" w:rsidRDefault="004C5A3C" w:rsidP="002C39F4">
      <w:pPr>
        <w:pStyle w:val="a5"/>
        <w:rPr>
          <w:rtl/>
        </w:rPr>
      </w:pPr>
      <w:r>
        <w:rPr>
          <w:rStyle w:val="a7"/>
        </w:rPr>
        <w:footnoteRef/>
      </w:r>
      <w:r>
        <w:rPr>
          <w:rtl/>
        </w:rPr>
        <w:t xml:space="preserve"> </w:t>
      </w:r>
      <w:r w:rsidR="00CC41B3">
        <w:rPr>
          <w:rtl/>
        </w:rPr>
        <w:t>אין הכוונה למלפפון גזר וכדומה אלא לירקות עלים (כוסברה וכדומה), וכן שאר עלים וגבעולים הצומחים מהזרעים לפני שמגיע הצמח לשלב הוצאת הפרי, כמו שכתב הרמב"ם בהל' כלאים</w:t>
      </w:r>
      <w:r w:rsidR="00CC41B3">
        <w:rPr>
          <w:sz w:val="16"/>
          <w:szCs w:val="16"/>
          <w:rtl/>
        </w:rPr>
        <w:t xml:space="preserve"> (פ"א ה"ח, וז"ל- </w:t>
      </w:r>
      <w:r w:rsidR="00CC41B3">
        <w:rPr>
          <w:rFonts w:cs="Arial"/>
          <w:sz w:val="16"/>
          <w:szCs w:val="16"/>
          <w:rtl/>
        </w:rPr>
        <w:t>כשיזרעו כל מיני זרעונים אלו, ויצמחו, נקרא הצמח כולו כל זמן שלא ניכר הזרע- דשא, ונקרא ירק</w:t>
      </w:r>
      <w:r w:rsidR="00CC41B3">
        <w:rPr>
          <w:sz w:val="16"/>
          <w:szCs w:val="16"/>
          <w:rtl/>
        </w:rPr>
        <w:t>)</w:t>
      </w:r>
      <w:r w:rsidR="00CC41B3">
        <w:rPr>
          <w:rtl/>
        </w:rPr>
        <w:t>. וכן מוכח מדברי הרמ"א (או"ח סי' תפו ס"א) שכשאומרים ירקות הכוונה היא לירק עלים.</w:t>
      </w:r>
      <w:r>
        <w:rPr>
          <w:rFonts w:hint="cs"/>
          <w:rtl/>
        </w:rPr>
        <w:t xml:space="preserve"> </w:t>
      </w:r>
    </w:p>
  </w:footnote>
  <w:footnote w:id="1955">
    <w:p w14:paraId="2C074737" w14:textId="77777777" w:rsidR="004C5A3C" w:rsidRPr="0019608F" w:rsidRDefault="004C5A3C" w:rsidP="002C39F4">
      <w:pPr>
        <w:pStyle w:val="a5"/>
        <w:rPr>
          <w:rFonts w:cs="Arial"/>
          <w:sz w:val="16"/>
          <w:szCs w:val="16"/>
          <w:rtl/>
        </w:rPr>
      </w:pPr>
      <w:r>
        <w:rPr>
          <w:rStyle w:val="a7"/>
        </w:rPr>
        <w:footnoteRef/>
      </w:r>
      <w:r>
        <w:rPr>
          <w:rtl/>
        </w:rPr>
        <w:t xml:space="preserve"> </w:t>
      </w:r>
      <w:r w:rsidRPr="008B7A73">
        <w:rPr>
          <w:rFonts w:cs="Arial"/>
          <w:rtl/>
        </w:rPr>
        <w:t xml:space="preserve">בב"י בסי' פ"ד מביא </w:t>
      </w:r>
      <w:r>
        <w:rPr>
          <w:rFonts w:cs="Arial" w:hint="cs"/>
          <w:rtl/>
        </w:rPr>
        <w:t xml:space="preserve">שם </w:t>
      </w:r>
      <w:r w:rsidRPr="008B7A73">
        <w:rPr>
          <w:rFonts w:cs="Arial"/>
          <w:rtl/>
        </w:rPr>
        <w:t>תשובת הרשב"א וכ' שם שתי פעמים</w:t>
      </w:r>
      <w:r>
        <w:rPr>
          <w:rFonts w:cs="Arial" w:hint="cs"/>
          <w:rtl/>
        </w:rPr>
        <w:t>,</w:t>
      </w:r>
      <w:r w:rsidRPr="008B7A73">
        <w:rPr>
          <w:rFonts w:cs="Arial"/>
          <w:rtl/>
        </w:rPr>
        <w:t xml:space="preserve"> וכאן הוא תשובת רשב"א</w:t>
      </w:r>
      <w:r>
        <w:rPr>
          <w:rFonts w:cs="Arial" w:hint="cs"/>
          <w:sz w:val="16"/>
          <w:szCs w:val="16"/>
          <w:rtl/>
        </w:rPr>
        <w:t xml:space="preserve"> {לפני בתשו' הרשב"א איתא "שלשה פעמים"}</w:t>
      </w:r>
      <w:r>
        <w:rPr>
          <w:rFonts w:cs="Arial" w:hint="cs"/>
          <w:rtl/>
        </w:rPr>
        <w:t>,</w:t>
      </w:r>
      <w:r w:rsidRPr="008B7A73">
        <w:rPr>
          <w:rFonts w:cs="Arial"/>
          <w:rtl/>
        </w:rPr>
        <w:t xml:space="preserve"> ונראה לי פשוט שט"ס הוא שם וצ"ל ג' פעמים</w:t>
      </w:r>
      <w:r>
        <w:rPr>
          <w:rFonts w:cs="Arial" w:hint="cs"/>
          <w:rtl/>
        </w:rPr>
        <w:t>,</w:t>
      </w:r>
      <w:r w:rsidRPr="008B7A73">
        <w:rPr>
          <w:rFonts w:cs="Arial"/>
          <w:rtl/>
        </w:rPr>
        <w:t xml:space="preserve"> וכ"פ שם בש</w:t>
      </w:r>
      <w:r>
        <w:rPr>
          <w:rFonts w:cs="Arial" w:hint="cs"/>
          <w:rtl/>
        </w:rPr>
        <w:t>ו</w:t>
      </w:r>
      <w:r w:rsidRPr="008B7A73">
        <w:rPr>
          <w:rFonts w:cs="Arial"/>
          <w:rtl/>
        </w:rPr>
        <w:t>"ע בסע</w:t>
      </w:r>
      <w:r>
        <w:rPr>
          <w:rFonts w:cs="Arial" w:hint="cs"/>
          <w:rtl/>
        </w:rPr>
        <w:t>'</w:t>
      </w:r>
      <w:r w:rsidRPr="008B7A73">
        <w:rPr>
          <w:rFonts w:cs="Arial"/>
          <w:rtl/>
        </w:rPr>
        <w:t xml:space="preserve"> י</w:t>
      </w:r>
      <w:r>
        <w:rPr>
          <w:rFonts w:cs="Arial" w:hint="cs"/>
          <w:rtl/>
        </w:rPr>
        <w:t>,</w:t>
      </w:r>
      <w:r w:rsidRPr="008B7A73">
        <w:rPr>
          <w:rFonts w:cs="Arial"/>
          <w:rtl/>
        </w:rPr>
        <w:t xml:space="preserve"> ומו"ח ז"ל כ' דיש להחמיר בב' כיון דלרבי הוה חזקה בב' זימני</w:t>
      </w:r>
      <w:r>
        <w:rPr>
          <w:rFonts w:cs="Arial" w:hint="cs"/>
          <w:rtl/>
        </w:rPr>
        <w:t>,</w:t>
      </w:r>
      <w:r w:rsidRPr="008B7A73">
        <w:rPr>
          <w:rFonts w:cs="Arial"/>
          <w:rtl/>
        </w:rPr>
        <w:t xml:space="preserve"> ולא נלע"ד כן דהא כ' הרא"ש בפרק הבא על יבמתו דבנשואין ומילה קיי</w:t>
      </w:r>
      <w:r>
        <w:rPr>
          <w:rFonts w:cs="Arial" w:hint="cs"/>
          <w:rtl/>
        </w:rPr>
        <w:t>"</w:t>
      </w:r>
      <w:r w:rsidRPr="008B7A73">
        <w:rPr>
          <w:rFonts w:cs="Arial"/>
          <w:rtl/>
        </w:rPr>
        <w:t>ל כר</w:t>
      </w:r>
      <w:r>
        <w:rPr>
          <w:rFonts w:cs="Arial" w:hint="cs"/>
          <w:rtl/>
        </w:rPr>
        <w:t>בי</w:t>
      </w:r>
      <w:r w:rsidRPr="008B7A73">
        <w:rPr>
          <w:rFonts w:cs="Arial"/>
          <w:rtl/>
        </w:rPr>
        <w:t xml:space="preserve"> משום ספק נפשות להקל</w:t>
      </w:r>
      <w:r>
        <w:rPr>
          <w:rFonts w:cs="Arial" w:hint="cs"/>
          <w:rtl/>
        </w:rPr>
        <w:t>,</w:t>
      </w:r>
      <w:r w:rsidRPr="008B7A73">
        <w:rPr>
          <w:rFonts w:cs="Arial"/>
          <w:rtl/>
        </w:rPr>
        <w:t xml:space="preserve"> משמע בשאר דוכתי קיי</w:t>
      </w:r>
      <w:r>
        <w:rPr>
          <w:rFonts w:cs="Arial" w:hint="cs"/>
          <w:rtl/>
        </w:rPr>
        <w:t>"</w:t>
      </w:r>
      <w:r w:rsidRPr="008B7A73">
        <w:rPr>
          <w:rFonts w:cs="Arial"/>
          <w:rtl/>
        </w:rPr>
        <w:t>ל כרשב</w:t>
      </w:r>
      <w:r>
        <w:rPr>
          <w:rFonts w:cs="Arial" w:hint="cs"/>
          <w:rtl/>
        </w:rPr>
        <w:t>"</w:t>
      </w:r>
      <w:r w:rsidRPr="008B7A73">
        <w:rPr>
          <w:rFonts w:cs="Arial"/>
          <w:rtl/>
        </w:rPr>
        <w:t>ג דדוקא בתלתא זימנין הוה חזקה</w:t>
      </w:r>
      <w:r>
        <w:rPr>
          <w:rFonts w:cs="Arial" w:hint="cs"/>
          <w:rtl/>
        </w:rPr>
        <w:t>,</w:t>
      </w:r>
      <w:r w:rsidRPr="008B7A73">
        <w:rPr>
          <w:rFonts w:cs="Arial"/>
          <w:rtl/>
        </w:rPr>
        <w:t xml:space="preserve"> וכן עיקר</w:t>
      </w:r>
      <w:r>
        <w:rPr>
          <w:rFonts w:cs="Arial" w:hint="cs"/>
          <w:rtl/>
        </w:rPr>
        <w:t>,</w:t>
      </w:r>
      <w:r w:rsidRPr="008B7A73">
        <w:rPr>
          <w:rFonts w:cs="Arial"/>
          <w:rtl/>
        </w:rPr>
        <w:t xml:space="preserve"> ובפירוש כ' הב</w:t>
      </w:r>
      <w:r>
        <w:rPr>
          <w:rFonts w:cs="Arial" w:hint="cs"/>
          <w:rtl/>
        </w:rPr>
        <w:t>"</w:t>
      </w:r>
      <w:r w:rsidRPr="008B7A73">
        <w:rPr>
          <w:rFonts w:cs="Arial"/>
          <w:rtl/>
        </w:rPr>
        <w:t>י בשם הר"ן שם בסי' פ"ד דפעם אחת או ב' מותר התבשיל</w:t>
      </w:r>
      <w:r>
        <w:rPr>
          <w:rFonts w:hint="cs"/>
          <w:rtl/>
        </w:rPr>
        <w:t>, ט"ז (סק"ו).</w:t>
      </w:r>
      <w:r w:rsidRPr="0019608F">
        <w:rPr>
          <w:rFonts w:hint="cs"/>
          <w:rtl/>
        </w:rPr>
        <w:t xml:space="preserve"> </w:t>
      </w:r>
      <w:r>
        <w:rPr>
          <w:rFonts w:hint="cs"/>
          <w:rtl/>
        </w:rPr>
        <w:t>ליתר ביאור עי' סימן פד סעיפים ט-י.</w:t>
      </w:r>
    </w:p>
  </w:footnote>
  <w:footnote w:id="1956">
    <w:p w14:paraId="2E43C9F2" w14:textId="77777777" w:rsidR="004C5A3C" w:rsidRDefault="004C5A3C" w:rsidP="002C39F4">
      <w:pPr>
        <w:pStyle w:val="a5"/>
      </w:pPr>
      <w:r>
        <w:rPr>
          <w:rStyle w:val="a7"/>
        </w:rPr>
        <w:footnoteRef/>
      </w:r>
      <w:r>
        <w:rPr>
          <w:rtl/>
        </w:rPr>
        <w:t xml:space="preserve"> </w:t>
      </w:r>
      <w:r>
        <w:rPr>
          <w:rFonts w:cs="Arial"/>
          <w:rtl/>
        </w:rPr>
        <w:t>כלומר ואמאי קתני אם אינו מכירן כולם אסורים</w:t>
      </w:r>
      <w:r>
        <w:rPr>
          <w:rFonts w:cs="Arial" w:hint="cs"/>
          <w:rtl/>
        </w:rPr>
        <w:t>, ב"י.</w:t>
      </w:r>
    </w:p>
  </w:footnote>
  <w:footnote w:id="1957">
    <w:p w14:paraId="79A70EE5" w14:textId="77777777" w:rsidR="004C5A3C" w:rsidRDefault="004C5A3C" w:rsidP="002C39F4">
      <w:pPr>
        <w:pStyle w:val="a5"/>
        <w:rPr>
          <w:rtl/>
        </w:rPr>
      </w:pPr>
      <w:r>
        <w:rPr>
          <w:rStyle w:val="a7"/>
        </w:rPr>
        <w:footnoteRef/>
      </w:r>
      <w:r>
        <w:rPr>
          <w:rtl/>
        </w:rPr>
        <w:t xml:space="preserve"> </w:t>
      </w:r>
      <w:r w:rsidRPr="00C35594">
        <w:rPr>
          <w:rFonts w:cs="Arial"/>
          <w:rtl/>
        </w:rPr>
        <w:t>במסכת ערלה</w:t>
      </w:r>
      <w:r w:rsidRPr="00C35594">
        <w:rPr>
          <w:rFonts w:cs="Arial"/>
          <w:sz w:val="16"/>
          <w:szCs w:val="16"/>
          <w:rtl/>
        </w:rPr>
        <w:t xml:space="preserve"> (פ"ג </w:t>
      </w:r>
      <w:r w:rsidRPr="00C35594">
        <w:rPr>
          <w:rFonts w:cs="Arial" w:hint="cs"/>
          <w:sz w:val="16"/>
          <w:szCs w:val="16"/>
          <w:rtl/>
        </w:rPr>
        <w:t>מ"</w:t>
      </w:r>
      <w:r w:rsidRPr="00C35594">
        <w:rPr>
          <w:rFonts w:cs="Arial"/>
          <w:sz w:val="16"/>
          <w:szCs w:val="16"/>
          <w:rtl/>
        </w:rPr>
        <w:t>ו)</w:t>
      </w:r>
      <w:r w:rsidRPr="00C35594">
        <w:rPr>
          <w:rFonts w:cs="Arial"/>
          <w:rtl/>
        </w:rPr>
        <w:t xml:space="preserve"> גבי חבילי תילתן דלא בטיל הא נמי פעמים שנמנית דאדם עשוי למנות חתיכותיו למנין אורחים שזימן</w:t>
      </w:r>
      <w:r>
        <w:rPr>
          <w:rFonts w:cs="Arial" w:hint="cs"/>
          <w:rtl/>
        </w:rPr>
        <w:t>, רש"י</w:t>
      </w:r>
      <w:r w:rsidRPr="00C35594">
        <w:rPr>
          <w:rFonts w:cs="Arial"/>
          <w:rtl/>
        </w:rPr>
        <w:t>.</w:t>
      </w:r>
    </w:p>
  </w:footnote>
  <w:footnote w:id="1958">
    <w:p w14:paraId="18F35A0F" w14:textId="77777777" w:rsidR="004C5A3C" w:rsidRDefault="004C5A3C" w:rsidP="002C39F4">
      <w:pPr>
        <w:pStyle w:val="a5"/>
        <w:rPr>
          <w:rtl/>
        </w:rPr>
      </w:pPr>
      <w:r>
        <w:rPr>
          <w:rStyle w:val="a7"/>
        </w:rPr>
        <w:footnoteRef/>
      </w:r>
      <w:r>
        <w:rPr>
          <w:rtl/>
        </w:rPr>
        <w:t xml:space="preserve"> </w:t>
      </w:r>
      <w:r w:rsidRPr="00C35594">
        <w:rPr>
          <w:rFonts w:cs="Arial"/>
          <w:rtl/>
        </w:rPr>
        <w:t>מיוחד למנין הוא דלא בטל כגון תבלין אבל דבר העשוי לינתן באומד אע</w:t>
      </w:r>
      <w:r>
        <w:rPr>
          <w:rFonts w:cs="Arial" w:hint="cs"/>
          <w:rtl/>
        </w:rPr>
        <w:t>"</w:t>
      </w:r>
      <w:r w:rsidRPr="00C35594">
        <w:rPr>
          <w:rFonts w:cs="Arial"/>
          <w:rtl/>
        </w:rPr>
        <w:t>פ שנמנה לפעמים בטל</w:t>
      </w:r>
      <w:r>
        <w:rPr>
          <w:rFonts w:cs="Arial" w:hint="cs"/>
          <w:rtl/>
        </w:rPr>
        <w:t>,</w:t>
      </w:r>
      <w:r w:rsidRPr="00C35594">
        <w:rPr>
          <w:rFonts w:cs="Arial"/>
          <w:rtl/>
        </w:rPr>
        <w:t xml:space="preserve"> אמאי לא בטלה</w:t>
      </w:r>
      <w:r>
        <w:rPr>
          <w:rFonts w:cs="Arial" w:hint="cs"/>
          <w:rtl/>
        </w:rPr>
        <w:t>, רש"י</w:t>
      </w:r>
      <w:r w:rsidRPr="00C35594">
        <w:rPr>
          <w:rFonts w:cs="Arial"/>
          <w:rtl/>
        </w:rPr>
        <w:t>.</w:t>
      </w:r>
    </w:p>
  </w:footnote>
  <w:footnote w:id="1959">
    <w:p w14:paraId="4AD2B675" w14:textId="77777777" w:rsidR="004C5A3C" w:rsidRDefault="004C5A3C" w:rsidP="002C39F4">
      <w:pPr>
        <w:pStyle w:val="a5"/>
        <w:rPr>
          <w:rtl/>
        </w:rPr>
      </w:pPr>
      <w:r>
        <w:rPr>
          <w:rStyle w:val="a7"/>
        </w:rPr>
        <w:footnoteRef/>
      </w:r>
      <w:r>
        <w:rPr>
          <w:rtl/>
        </w:rPr>
        <w:t xml:space="preserve"> </w:t>
      </w:r>
      <w:r w:rsidRPr="007D14DB">
        <w:rPr>
          <w:rFonts w:cs="Arial"/>
          <w:rtl/>
        </w:rPr>
        <w:t>וא</w:t>
      </w:r>
      <w:r w:rsidRPr="007D14DB">
        <w:rPr>
          <w:rFonts w:cs="Arial" w:hint="cs"/>
          <w:rtl/>
        </w:rPr>
        <w:t>ע"פ</w:t>
      </w:r>
      <w:r w:rsidRPr="007D14DB">
        <w:rPr>
          <w:rFonts w:cs="Arial"/>
          <w:rtl/>
        </w:rPr>
        <w:t xml:space="preserve"> שמדברי הרי"ף נראה דליתא להאי מתנ</w:t>
      </w:r>
      <w:r w:rsidRPr="007D14DB">
        <w:rPr>
          <w:rFonts w:cs="Arial" w:hint="cs"/>
          <w:rtl/>
        </w:rPr>
        <w:t>י</w:t>
      </w:r>
      <w:r>
        <w:rPr>
          <w:rFonts w:cs="Arial" w:hint="cs"/>
          <w:rtl/>
        </w:rPr>
        <w:t>תין</w:t>
      </w:r>
      <w:r w:rsidRPr="007D14DB">
        <w:rPr>
          <w:rFonts w:cs="Arial"/>
          <w:rtl/>
        </w:rPr>
        <w:t xml:space="preserve"> מקמי מתנ</w:t>
      </w:r>
      <w:r w:rsidRPr="007D14DB">
        <w:rPr>
          <w:rFonts w:cs="Arial" w:hint="cs"/>
          <w:rtl/>
        </w:rPr>
        <w:t>י</w:t>
      </w:r>
      <w:r>
        <w:rPr>
          <w:rFonts w:cs="Arial" w:hint="cs"/>
          <w:rtl/>
        </w:rPr>
        <w:t>תין</w:t>
      </w:r>
      <w:r w:rsidRPr="007D14DB">
        <w:rPr>
          <w:rFonts w:cs="Arial"/>
          <w:rtl/>
        </w:rPr>
        <w:t xml:space="preserve"> דפרק בתרא דע"ז (עד.) דמשמע מיניה דכל שאין החתיכה מאיסורי הנאה אע</w:t>
      </w:r>
      <w:r w:rsidRPr="007D14DB">
        <w:rPr>
          <w:rFonts w:cs="Arial" w:hint="cs"/>
          <w:rtl/>
        </w:rPr>
        <w:t>"</w:t>
      </w:r>
      <w:r w:rsidRPr="007D14DB">
        <w:rPr>
          <w:rFonts w:cs="Arial"/>
          <w:rtl/>
        </w:rPr>
        <w:t>פ שהיא ראויה להתכבד דבטלה</w:t>
      </w:r>
      <w:r w:rsidRPr="007D14DB">
        <w:rPr>
          <w:rFonts w:cs="Arial" w:hint="cs"/>
          <w:rtl/>
        </w:rPr>
        <w:t>,</w:t>
      </w:r>
      <w:r w:rsidRPr="007D14DB">
        <w:rPr>
          <w:rFonts w:cs="Arial"/>
          <w:rtl/>
        </w:rPr>
        <w:t xml:space="preserve"> וכמו שדקדק הרא"ש (סי' לד) והר"ן (ע"ז לז</w:t>
      </w:r>
      <w:r w:rsidRPr="007D14DB">
        <w:rPr>
          <w:rFonts w:cs="Arial" w:hint="cs"/>
          <w:rtl/>
        </w:rPr>
        <w:t>.</w:t>
      </w:r>
      <w:r w:rsidRPr="007D14DB">
        <w:rPr>
          <w:rFonts w:cs="Arial"/>
          <w:rtl/>
        </w:rPr>
        <w:t>) מדבריו</w:t>
      </w:r>
      <w:r w:rsidRPr="007D14DB">
        <w:rPr>
          <w:rFonts w:cs="Arial" w:hint="cs"/>
          <w:rtl/>
        </w:rPr>
        <w:t>,</w:t>
      </w:r>
      <w:r w:rsidRPr="007D14DB">
        <w:rPr>
          <w:rFonts w:cs="Arial"/>
          <w:rtl/>
        </w:rPr>
        <w:t xml:space="preserve"> מ</w:t>
      </w:r>
      <w:r w:rsidRPr="007D14DB">
        <w:rPr>
          <w:rFonts w:cs="Arial" w:hint="cs"/>
          <w:rtl/>
        </w:rPr>
        <w:t>"</w:t>
      </w:r>
      <w:r w:rsidRPr="007D14DB">
        <w:rPr>
          <w:rFonts w:cs="Arial"/>
          <w:rtl/>
        </w:rPr>
        <w:t>מ כל הפוסקים נמנו וגמרו לפסוק הלכה דחתיכת נבלה שהיא ראויה להתכבד אינה בטלה</w:t>
      </w:r>
      <w:r>
        <w:rPr>
          <w:rFonts w:hint="cs"/>
          <w:rtl/>
        </w:rPr>
        <w:t xml:space="preserve">, ב"י. </w:t>
      </w:r>
    </w:p>
  </w:footnote>
  <w:footnote w:id="1960">
    <w:p w14:paraId="10AE8B83" w14:textId="77777777" w:rsidR="004C5A3C" w:rsidRPr="0050067C" w:rsidRDefault="004C5A3C" w:rsidP="002C39F4">
      <w:pPr>
        <w:pStyle w:val="a5"/>
      </w:pPr>
      <w:r w:rsidRPr="0050067C">
        <w:rPr>
          <w:rStyle w:val="a7"/>
        </w:rPr>
        <w:footnoteRef/>
      </w:r>
      <w:r w:rsidRPr="0050067C">
        <w:rPr>
          <w:rtl/>
        </w:rPr>
        <w:t xml:space="preserve"> </w:t>
      </w:r>
      <w:r w:rsidRPr="0050067C">
        <w:rPr>
          <w:rFonts w:cs="Arial"/>
          <w:rtl/>
        </w:rPr>
        <w:t>ומיהו דוקא בשאר איסורי הנאה דקתני הכא שאין איסורן משום לתא דעבודת כוכבים הוא דבעינן שיהא האיסור דבר שבמנין</w:t>
      </w:r>
      <w:r>
        <w:rPr>
          <w:rFonts w:cs="Arial" w:hint="cs"/>
          <w:rtl/>
        </w:rPr>
        <w:t>,</w:t>
      </w:r>
      <w:r w:rsidRPr="0050067C">
        <w:rPr>
          <w:rFonts w:cs="Arial"/>
          <w:rtl/>
        </w:rPr>
        <w:t xml:space="preserve"> ועלייהו בלחוד הוא דאמרינן בגמרא האי תנא תרתי אית ליה איסורי הנאה ודבר שבמנין וכמו שאפרש בס"ד</w:t>
      </w:r>
      <w:r>
        <w:rPr>
          <w:rFonts w:cs="Arial" w:hint="cs"/>
          <w:rtl/>
        </w:rPr>
        <w:t>,</w:t>
      </w:r>
      <w:r w:rsidRPr="0050067C">
        <w:rPr>
          <w:rFonts w:cs="Arial"/>
          <w:rtl/>
        </w:rPr>
        <w:t xml:space="preserve"> אבל באותן שהם אסורין משום לתא דעבודת כוכבים דהיינו יין נסך ועבודת כוכבים ועורות לבובין אע</w:t>
      </w:r>
      <w:r>
        <w:rPr>
          <w:rFonts w:cs="Arial" w:hint="cs"/>
          <w:rtl/>
        </w:rPr>
        <w:t>"</w:t>
      </w:r>
      <w:r w:rsidRPr="0050067C">
        <w:rPr>
          <w:rFonts w:cs="Arial"/>
          <w:rtl/>
        </w:rPr>
        <w:t>פ שאין דבר שבמנין אוסרין תערובתן בהנאה לפי שאסור ליהנות מאיסורי הנאה</w:t>
      </w:r>
      <w:r w:rsidRPr="0050067C">
        <w:rPr>
          <w:rFonts w:cs="Arial" w:hint="cs"/>
          <w:rtl/>
        </w:rPr>
        <w:t>, ר"ן.</w:t>
      </w:r>
    </w:p>
  </w:footnote>
  <w:footnote w:id="1961">
    <w:p w14:paraId="132ACE60" w14:textId="77777777" w:rsidR="004C5A3C" w:rsidRDefault="004C5A3C" w:rsidP="002C39F4">
      <w:pPr>
        <w:pStyle w:val="a5"/>
        <w:rPr>
          <w:rtl/>
        </w:rPr>
      </w:pPr>
      <w:r>
        <w:rPr>
          <w:rStyle w:val="a7"/>
        </w:rPr>
        <w:footnoteRef/>
      </w:r>
      <w:r>
        <w:rPr>
          <w:rtl/>
        </w:rPr>
        <w:t xml:space="preserve"> </w:t>
      </w:r>
      <w:r>
        <w:rPr>
          <w:rFonts w:hint="cs"/>
          <w:rtl/>
        </w:rPr>
        <w:t xml:space="preserve">וכן </w:t>
      </w:r>
      <w:r w:rsidRPr="00E74B04">
        <w:rPr>
          <w:rFonts w:cs="Arial"/>
          <w:rtl/>
        </w:rPr>
        <w:t>טעמה בטל כדין בריה</w:t>
      </w:r>
      <w:r>
        <w:rPr>
          <w:rFonts w:cs="Arial" w:hint="cs"/>
          <w:rtl/>
        </w:rPr>
        <w:t>, טור וב"י.</w:t>
      </w:r>
    </w:p>
  </w:footnote>
  <w:footnote w:id="1962">
    <w:p w14:paraId="6C3BEBAD" w14:textId="77777777" w:rsidR="004C5A3C" w:rsidRDefault="004C5A3C" w:rsidP="002C39F4">
      <w:pPr>
        <w:pStyle w:val="a5"/>
        <w:rPr>
          <w:rtl/>
        </w:rPr>
      </w:pPr>
      <w:r>
        <w:rPr>
          <w:rStyle w:val="a7"/>
        </w:rPr>
        <w:footnoteRef/>
      </w:r>
      <w:r>
        <w:rPr>
          <w:rtl/>
        </w:rPr>
        <w:t xml:space="preserve"> </w:t>
      </w:r>
      <w:r w:rsidRPr="006416DE">
        <w:rPr>
          <w:rFonts w:cs="Arial"/>
          <w:rtl/>
        </w:rPr>
        <w:t>מבואר ב</w:t>
      </w:r>
      <w:r>
        <w:rPr>
          <w:rFonts w:cs="Arial" w:hint="cs"/>
          <w:rtl/>
        </w:rPr>
        <w:t xml:space="preserve">ע"ז </w:t>
      </w:r>
      <w:r w:rsidRPr="006416DE">
        <w:rPr>
          <w:rFonts w:cs="Arial"/>
          <w:sz w:val="16"/>
          <w:szCs w:val="16"/>
          <w:rtl/>
        </w:rPr>
        <w:t>(עד</w:t>
      </w:r>
      <w:r w:rsidRPr="006416DE">
        <w:rPr>
          <w:rFonts w:cs="Arial" w:hint="cs"/>
          <w:sz w:val="16"/>
          <w:szCs w:val="16"/>
          <w:rtl/>
        </w:rPr>
        <w:t>.</w:t>
      </w:r>
      <w:r w:rsidRPr="006416DE">
        <w:rPr>
          <w:rFonts w:cs="Arial"/>
          <w:sz w:val="16"/>
          <w:szCs w:val="16"/>
          <w:rtl/>
        </w:rPr>
        <w:t xml:space="preserve">) </w:t>
      </w:r>
      <w:r w:rsidRPr="006416DE">
        <w:rPr>
          <w:rFonts w:cs="Arial"/>
          <w:rtl/>
        </w:rPr>
        <w:t>דאיסורי הנאה כגון בשר בחלב וכה"ג אם הן ח</w:t>
      </w:r>
      <w:r>
        <w:rPr>
          <w:rFonts w:cs="Arial" w:hint="cs"/>
          <w:rtl/>
        </w:rPr>
        <w:t xml:space="preserve">תיכה </w:t>
      </w:r>
      <w:r w:rsidRPr="006416DE">
        <w:rPr>
          <w:rFonts w:cs="Arial"/>
          <w:rtl/>
        </w:rPr>
        <w:t>ה</w:t>
      </w:r>
      <w:r>
        <w:rPr>
          <w:rFonts w:cs="Arial" w:hint="cs"/>
          <w:rtl/>
        </w:rPr>
        <w:t xml:space="preserve">ראויה </w:t>
      </w:r>
      <w:r w:rsidRPr="006416DE">
        <w:rPr>
          <w:rFonts w:cs="Arial"/>
          <w:rtl/>
        </w:rPr>
        <w:t>ל</w:t>
      </w:r>
      <w:r>
        <w:rPr>
          <w:rFonts w:cs="Arial" w:hint="cs"/>
          <w:rtl/>
        </w:rPr>
        <w:t>התכבד</w:t>
      </w:r>
      <w:r w:rsidRPr="006416DE">
        <w:rPr>
          <w:rFonts w:cs="Arial"/>
          <w:rtl/>
        </w:rPr>
        <w:t xml:space="preserve"> אוסרין תערובתן ג</w:t>
      </w:r>
      <w:r>
        <w:rPr>
          <w:rFonts w:cs="Arial" w:hint="cs"/>
          <w:rtl/>
        </w:rPr>
        <w:t>"</w:t>
      </w:r>
      <w:r w:rsidRPr="006416DE">
        <w:rPr>
          <w:rFonts w:cs="Arial"/>
          <w:rtl/>
        </w:rPr>
        <w:t>כ בהנאה אפי</w:t>
      </w:r>
      <w:r>
        <w:rPr>
          <w:rFonts w:cs="Arial" w:hint="cs"/>
          <w:rtl/>
        </w:rPr>
        <w:t>'</w:t>
      </w:r>
      <w:r w:rsidRPr="006416DE">
        <w:rPr>
          <w:rFonts w:cs="Arial"/>
          <w:rtl/>
        </w:rPr>
        <w:t xml:space="preserve"> באלף </w:t>
      </w:r>
      <w:r w:rsidRPr="006416DE">
        <w:rPr>
          <w:rFonts w:cs="Arial" w:hint="cs"/>
          <w:sz w:val="16"/>
          <w:szCs w:val="16"/>
          <w:rtl/>
        </w:rPr>
        <w:t>(</w:t>
      </w:r>
      <w:r w:rsidRPr="006416DE">
        <w:rPr>
          <w:rFonts w:cs="Arial"/>
          <w:sz w:val="16"/>
          <w:szCs w:val="16"/>
          <w:rtl/>
        </w:rPr>
        <w:t>וכן הוא בפוסקים ועי' בר"ן שם ועי' סי</w:t>
      </w:r>
      <w:r>
        <w:rPr>
          <w:rFonts w:cs="Arial" w:hint="cs"/>
          <w:sz w:val="16"/>
          <w:szCs w:val="16"/>
          <w:rtl/>
        </w:rPr>
        <w:t>'</w:t>
      </w:r>
      <w:r w:rsidRPr="006416DE">
        <w:rPr>
          <w:rFonts w:cs="Arial"/>
          <w:sz w:val="16"/>
          <w:szCs w:val="16"/>
          <w:rtl/>
        </w:rPr>
        <w:t xml:space="preserve"> קט סק</w:t>
      </w:r>
      <w:r>
        <w:rPr>
          <w:rFonts w:cs="Arial" w:hint="cs"/>
          <w:sz w:val="16"/>
          <w:szCs w:val="16"/>
          <w:rtl/>
        </w:rPr>
        <w:t>"</w:t>
      </w:r>
      <w:r w:rsidRPr="006416DE">
        <w:rPr>
          <w:rFonts w:cs="Arial"/>
          <w:sz w:val="16"/>
          <w:szCs w:val="16"/>
          <w:rtl/>
        </w:rPr>
        <w:t>ה</w:t>
      </w:r>
      <w:r>
        <w:rPr>
          <w:rFonts w:cs="Arial" w:hint="cs"/>
          <w:sz w:val="16"/>
          <w:szCs w:val="16"/>
          <w:rtl/>
        </w:rPr>
        <w:t>)</w:t>
      </w:r>
      <w:r w:rsidRPr="006416DE">
        <w:rPr>
          <w:rFonts w:cs="Arial"/>
          <w:rtl/>
        </w:rPr>
        <w:t xml:space="preserve"> מיהו מותר למכרן ל</w:t>
      </w:r>
      <w:r>
        <w:rPr>
          <w:rFonts w:cs="Arial" w:hint="cs"/>
          <w:rtl/>
        </w:rPr>
        <w:t>גוי</w:t>
      </w:r>
      <w:r w:rsidRPr="006416DE">
        <w:rPr>
          <w:rFonts w:cs="Arial"/>
          <w:rtl/>
        </w:rPr>
        <w:t xml:space="preserve"> חוץ מדמי איסור שבהן</w:t>
      </w:r>
      <w:r>
        <w:rPr>
          <w:rFonts w:cs="Arial" w:hint="cs"/>
          <w:rtl/>
        </w:rPr>
        <w:t>,</w:t>
      </w:r>
      <w:r w:rsidRPr="006416DE">
        <w:rPr>
          <w:rFonts w:cs="Arial"/>
          <w:rtl/>
        </w:rPr>
        <w:t xml:space="preserve"> כמש</w:t>
      </w:r>
      <w:r>
        <w:rPr>
          <w:rFonts w:cs="Arial" w:hint="cs"/>
          <w:rtl/>
        </w:rPr>
        <w:t>"</w:t>
      </w:r>
      <w:r w:rsidRPr="006416DE">
        <w:rPr>
          <w:rFonts w:cs="Arial"/>
          <w:rtl/>
        </w:rPr>
        <w:t>כ לקמן סי' קי סק</w:t>
      </w:r>
      <w:r>
        <w:rPr>
          <w:rFonts w:cs="Arial" w:hint="cs"/>
          <w:rtl/>
        </w:rPr>
        <w:t>"</w:t>
      </w:r>
      <w:r w:rsidRPr="006416DE">
        <w:rPr>
          <w:rFonts w:cs="Arial"/>
          <w:rtl/>
        </w:rPr>
        <w:t>ב</w:t>
      </w:r>
      <w:r>
        <w:rPr>
          <w:rFonts w:cs="Arial" w:hint="cs"/>
          <w:rtl/>
        </w:rPr>
        <w:t>, ש"ך</w:t>
      </w:r>
      <w:r w:rsidRPr="006416DE">
        <w:rPr>
          <w:rFonts w:cs="Arial" w:hint="cs"/>
          <w:sz w:val="16"/>
          <w:szCs w:val="16"/>
          <w:rtl/>
        </w:rPr>
        <w:t xml:space="preserve"> (סק"א)</w:t>
      </w:r>
      <w:r>
        <w:rPr>
          <w:rFonts w:cs="Arial" w:hint="cs"/>
          <w:rtl/>
        </w:rPr>
        <w:t>.</w:t>
      </w:r>
    </w:p>
  </w:footnote>
  <w:footnote w:id="1963">
    <w:p w14:paraId="51CD2B88" w14:textId="77777777" w:rsidR="004C5A3C" w:rsidRDefault="004C5A3C" w:rsidP="002C39F4">
      <w:pPr>
        <w:pStyle w:val="a5"/>
      </w:pPr>
      <w:r>
        <w:rPr>
          <w:rStyle w:val="a7"/>
        </w:rPr>
        <w:footnoteRef/>
      </w:r>
      <w:r>
        <w:rPr>
          <w:rtl/>
        </w:rPr>
        <w:t xml:space="preserve"> </w:t>
      </w:r>
      <w:r w:rsidRPr="006416DE">
        <w:rPr>
          <w:rFonts w:cs="Arial"/>
          <w:rtl/>
        </w:rPr>
        <w:t>דח</w:t>
      </w:r>
      <w:r>
        <w:rPr>
          <w:rFonts w:cs="Arial" w:hint="cs"/>
          <w:rtl/>
        </w:rPr>
        <w:t xml:space="preserve">תיכה </w:t>
      </w:r>
      <w:r w:rsidRPr="006416DE">
        <w:rPr>
          <w:rFonts w:cs="Arial"/>
          <w:rtl/>
        </w:rPr>
        <w:t>ה</w:t>
      </w:r>
      <w:r>
        <w:rPr>
          <w:rFonts w:cs="Arial" w:hint="cs"/>
          <w:rtl/>
        </w:rPr>
        <w:t xml:space="preserve">ראויה </w:t>
      </w:r>
      <w:r w:rsidRPr="006416DE">
        <w:rPr>
          <w:rFonts w:cs="Arial"/>
          <w:rtl/>
        </w:rPr>
        <w:t>ל</w:t>
      </w:r>
      <w:r>
        <w:rPr>
          <w:rFonts w:cs="Arial" w:hint="cs"/>
          <w:rtl/>
        </w:rPr>
        <w:t>התכבד</w:t>
      </w:r>
      <w:r w:rsidRPr="006416DE">
        <w:rPr>
          <w:rFonts w:cs="Arial"/>
          <w:rtl/>
        </w:rPr>
        <w:t xml:space="preserve"> דלא בטלה ברוב הוא מדרבנן וספק דרבנן להקל</w:t>
      </w:r>
      <w:r>
        <w:rPr>
          <w:rFonts w:cs="Arial" w:hint="cs"/>
          <w:rtl/>
        </w:rPr>
        <w:t>,</w:t>
      </w:r>
      <w:r w:rsidRPr="006416DE">
        <w:rPr>
          <w:rFonts w:cs="Arial"/>
          <w:rtl/>
        </w:rPr>
        <w:t xml:space="preserve"> ודוקא ספק אם הוא ח</w:t>
      </w:r>
      <w:r>
        <w:rPr>
          <w:rFonts w:cs="Arial" w:hint="cs"/>
          <w:rtl/>
        </w:rPr>
        <w:t xml:space="preserve">תיכה </w:t>
      </w:r>
      <w:r w:rsidRPr="006416DE">
        <w:rPr>
          <w:rFonts w:cs="Arial"/>
          <w:rtl/>
        </w:rPr>
        <w:t>ה</w:t>
      </w:r>
      <w:r>
        <w:rPr>
          <w:rFonts w:cs="Arial" w:hint="cs"/>
          <w:rtl/>
        </w:rPr>
        <w:t xml:space="preserve">ראויה </w:t>
      </w:r>
      <w:r w:rsidRPr="006416DE">
        <w:rPr>
          <w:rFonts w:cs="Arial"/>
          <w:rtl/>
        </w:rPr>
        <w:t>ל</w:t>
      </w:r>
      <w:r>
        <w:rPr>
          <w:rFonts w:cs="Arial" w:hint="cs"/>
          <w:rtl/>
        </w:rPr>
        <w:t>התכבד,</w:t>
      </w:r>
      <w:r w:rsidRPr="006416DE">
        <w:rPr>
          <w:rFonts w:cs="Arial"/>
          <w:rtl/>
        </w:rPr>
        <w:t xml:space="preserve"> אבל אם הוא ודאי ח</w:t>
      </w:r>
      <w:r>
        <w:rPr>
          <w:rFonts w:cs="Arial" w:hint="cs"/>
          <w:rtl/>
        </w:rPr>
        <w:t>ה"</w:t>
      </w:r>
      <w:r w:rsidRPr="006416DE">
        <w:rPr>
          <w:rFonts w:cs="Arial"/>
          <w:rtl/>
        </w:rPr>
        <w:t>ל וספק אם הוא אסור</w:t>
      </w:r>
      <w:r>
        <w:rPr>
          <w:rFonts w:cs="Arial" w:hint="cs"/>
          <w:rtl/>
        </w:rPr>
        <w:t>-</w:t>
      </w:r>
      <w:r w:rsidRPr="006416DE">
        <w:rPr>
          <w:rFonts w:cs="Arial"/>
          <w:rtl/>
        </w:rPr>
        <w:t xml:space="preserve"> לא בטיל</w:t>
      </w:r>
      <w:r>
        <w:rPr>
          <w:rFonts w:cs="Arial" w:hint="cs"/>
          <w:rtl/>
        </w:rPr>
        <w:t>,</w:t>
      </w:r>
      <w:r w:rsidRPr="006416DE">
        <w:rPr>
          <w:rFonts w:cs="Arial"/>
          <w:rtl/>
        </w:rPr>
        <w:t xml:space="preserve"> כדלקמן סי' קי ס</w:t>
      </w:r>
      <w:r>
        <w:rPr>
          <w:rFonts w:cs="Arial" w:hint="cs"/>
          <w:rtl/>
        </w:rPr>
        <w:t xml:space="preserve">ע' </w:t>
      </w:r>
      <w:r w:rsidRPr="006416DE">
        <w:rPr>
          <w:rFonts w:cs="Arial"/>
          <w:rtl/>
        </w:rPr>
        <w:t>ט</w:t>
      </w:r>
      <w:r>
        <w:rPr>
          <w:rFonts w:cs="Arial" w:hint="cs"/>
          <w:rtl/>
        </w:rPr>
        <w:t xml:space="preserve">, ש"ך </w:t>
      </w:r>
      <w:r w:rsidRPr="002A0637">
        <w:rPr>
          <w:rFonts w:cs="Arial" w:hint="cs"/>
          <w:sz w:val="16"/>
          <w:szCs w:val="16"/>
          <w:rtl/>
        </w:rPr>
        <w:t>(סק"ב)</w:t>
      </w:r>
      <w:r>
        <w:rPr>
          <w:rFonts w:cs="Arial" w:hint="cs"/>
          <w:rtl/>
        </w:rPr>
        <w:t>.</w:t>
      </w:r>
      <w:r w:rsidRPr="002A0637">
        <w:rPr>
          <w:rtl/>
        </w:rPr>
        <w:t xml:space="preserve"> </w:t>
      </w:r>
      <w:r>
        <w:rPr>
          <w:rFonts w:cs="Arial" w:hint="cs"/>
          <w:rtl/>
        </w:rPr>
        <w:t xml:space="preserve">וכ"כ הט"ז </w:t>
      </w:r>
      <w:r w:rsidRPr="002A0637">
        <w:rPr>
          <w:rFonts w:cs="Arial" w:hint="cs"/>
          <w:sz w:val="16"/>
          <w:szCs w:val="16"/>
          <w:rtl/>
        </w:rPr>
        <w:t>(סק"ב)</w:t>
      </w:r>
      <w:r>
        <w:rPr>
          <w:rFonts w:cs="Arial" w:hint="cs"/>
          <w:rtl/>
        </w:rPr>
        <w:t xml:space="preserve">, והוסיף </w:t>
      </w:r>
      <w:r w:rsidRPr="002A0637">
        <w:rPr>
          <w:rFonts w:cs="Arial" w:hint="cs"/>
          <w:sz w:val="16"/>
          <w:szCs w:val="16"/>
          <w:rtl/>
        </w:rPr>
        <w:t xml:space="preserve">(סק"א) </w:t>
      </w:r>
      <w:r>
        <w:rPr>
          <w:rFonts w:cs="Arial" w:hint="cs"/>
          <w:rtl/>
        </w:rPr>
        <w:t>דב</w:t>
      </w:r>
      <w:r w:rsidRPr="002A0637">
        <w:rPr>
          <w:rFonts w:cs="Arial"/>
          <w:rtl/>
        </w:rPr>
        <w:t xml:space="preserve">סי' קב </w:t>
      </w:r>
      <w:r w:rsidRPr="002A0637">
        <w:rPr>
          <w:rFonts w:cs="Arial" w:hint="cs"/>
          <w:sz w:val="16"/>
          <w:szCs w:val="16"/>
          <w:rtl/>
        </w:rPr>
        <w:t>(</w:t>
      </w:r>
      <w:r w:rsidRPr="002A0637">
        <w:rPr>
          <w:rFonts w:cs="Arial"/>
          <w:sz w:val="16"/>
          <w:szCs w:val="16"/>
          <w:rtl/>
        </w:rPr>
        <w:t>סע</w:t>
      </w:r>
      <w:r w:rsidRPr="002A0637">
        <w:rPr>
          <w:rFonts w:cs="Arial" w:hint="cs"/>
          <w:sz w:val="16"/>
          <w:szCs w:val="16"/>
          <w:rtl/>
        </w:rPr>
        <w:t>'</w:t>
      </w:r>
      <w:r w:rsidRPr="002A0637">
        <w:rPr>
          <w:rFonts w:cs="Arial"/>
          <w:sz w:val="16"/>
          <w:szCs w:val="16"/>
          <w:rtl/>
        </w:rPr>
        <w:t xml:space="preserve"> א</w:t>
      </w:r>
      <w:r w:rsidRPr="002A0637">
        <w:rPr>
          <w:rFonts w:cs="Arial" w:hint="cs"/>
          <w:sz w:val="16"/>
          <w:szCs w:val="16"/>
          <w:rtl/>
        </w:rPr>
        <w:t>, סק"ג)</w:t>
      </w:r>
      <w:r w:rsidRPr="002A0637">
        <w:rPr>
          <w:rFonts w:cs="Arial"/>
          <w:sz w:val="16"/>
          <w:szCs w:val="16"/>
          <w:rtl/>
        </w:rPr>
        <w:t xml:space="preserve"> </w:t>
      </w:r>
      <w:r w:rsidRPr="002A0637">
        <w:rPr>
          <w:rFonts w:cs="Arial"/>
          <w:rtl/>
        </w:rPr>
        <w:t>כ</w:t>
      </w:r>
      <w:r>
        <w:rPr>
          <w:rFonts w:cs="Arial" w:hint="cs"/>
          <w:rtl/>
        </w:rPr>
        <w:t>'</w:t>
      </w:r>
      <w:r w:rsidRPr="002A0637">
        <w:rPr>
          <w:rFonts w:cs="Arial"/>
          <w:rtl/>
        </w:rPr>
        <w:t xml:space="preserve"> דאפי</w:t>
      </w:r>
      <w:r>
        <w:rPr>
          <w:rFonts w:cs="Arial" w:hint="cs"/>
          <w:rtl/>
        </w:rPr>
        <w:t>'</w:t>
      </w:r>
      <w:r w:rsidRPr="002A0637">
        <w:rPr>
          <w:rFonts w:cs="Arial"/>
          <w:rtl/>
        </w:rPr>
        <w:t xml:space="preserve"> בספק איסור דרבנן יש חומרא בדבר שיש לו מתירין דוקא ולא בשאר דברים שאינם מתבטלים</w:t>
      </w:r>
      <w:r>
        <w:rPr>
          <w:rFonts w:hint="cs"/>
          <w:rtl/>
        </w:rPr>
        <w:t>.</w:t>
      </w:r>
    </w:p>
  </w:footnote>
  <w:footnote w:id="1964">
    <w:p w14:paraId="470BD899" w14:textId="77777777" w:rsidR="004C5A3C" w:rsidRDefault="004C5A3C" w:rsidP="002C39F4">
      <w:pPr>
        <w:pStyle w:val="a5"/>
        <w:rPr>
          <w:rtl/>
        </w:rPr>
      </w:pPr>
      <w:r>
        <w:rPr>
          <w:rStyle w:val="a7"/>
        </w:rPr>
        <w:footnoteRef/>
      </w:r>
      <w:r>
        <w:rPr>
          <w:rtl/>
        </w:rPr>
        <w:t xml:space="preserve"> </w:t>
      </w:r>
      <w:r w:rsidRPr="006520D5">
        <w:rPr>
          <w:rFonts w:cs="Arial" w:hint="cs"/>
          <w:rtl/>
        </w:rPr>
        <w:t>סה"ת</w:t>
      </w:r>
      <w:r w:rsidRPr="006520D5">
        <w:rPr>
          <w:rFonts w:cs="Arial"/>
          <w:rtl/>
        </w:rPr>
        <w:t xml:space="preserve"> </w:t>
      </w:r>
      <w:r w:rsidRPr="006520D5">
        <w:rPr>
          <w:rFonts w:cs="Arial"/>
          <w:sz w:val="16"/>
          <w:szCs w:val="16"/>
          <w:rtl/>
        </w:rPr>
        <w:t>(סי' נ)</w:t>
      </w:r>
      <w:r w:rsidRPr="006520D5">
        <w:rPr>
          <w:rFonts w:cs="Arial" w:hint="cs"/>
          <w:sz w:val="16"/>
          <w:szCs w:val="16"/>
          <w:rtl/>
        </w:rPr>
        <w:t xml:space="preserve"> </w:t>
      </w:r>
      <w:r w:rsidRPr="006520D5">
        <w:rPr>
          <w:rFonts w:cs="Arial"/>
          <w:rtl/>
        </w:rPr>
        <w:t xml:space="preserve">סמ"ג </w:t>
      </w:r>
      <w:r w:rsidRPr="006520D5">
        <w:rPr>
          <w:rFonts w:cs="Arial"/>
          <w:sz w:val="16"/>
          <w:szCs w:val="16"/>
          <w:rtl/>
        </w:rPr>
        <w:t xml:space="preserve">(לאוין קמ וקמא נג.) </w:t>
      </w:r>
      <w:r w:rsidRPr="00E74B04">
        <w:rPr>
          <w:rFonts w:cs="Arial"/>
          <w:rtl/>
        </w:rPr>
        <w:t xml:space="preserve">מהר"ם </w:t>
      </w:r>
      <w:r w:rsidRPr="00C82441">
        <w:rPr>
          <w:rFonts w:cs="Arial" w:hint="cs"/>
          <w:sz w:val="16"/>
          <w:szCs w:val="16"/>
          <w:rtl/>
        </w:rPr>
        <w:t>(בתשו', הביאו המרדכי חולין סי' תרפג)</w:t>
      </w:r>
      <w:r>
        <w:rPr>
          <w:rFonts w:cs="Arial" w:hint="cs"/>
          <w:rtl/>
        </w:rPr>
        <w:t xml:space="preserve"> </w:t>
      </w:r>
      <w:r w:rsidRPr="006520D5">
        <w:rPr>
          <w:rFonts w:cs="Arial"/>
          <w:rtl/>
        </w:rPr>
        <w:t xml:space="preserve">רשב"א </w:t>
      </w:r>
      <w:r w:rsidRPr="006520D5">
        <w:rPr>
          <w:rFonts w:cs="Arial"/>
          <w:sz w:val="16"/>
          <w:szCs w:val="16"/>
          <w:rtl/>
        </w:rPr>
        <w:t>(חולין ק. ד"ה שאני</w:t>
      </w:r>
      <w:r w:rsidRPr="006520D5">
        <w:rPr>
          <w:rFonts w:cs="Arial" w:hint="cs"/>
          <w:sz w:val="16"/>
          <w:szCs w:val="16"/>
          <w:rtl/>
        </w:rPr>
        <w:t>, ובתוה"א</w:t>
      </w:r>
      <w:r w:rsidRPr="006520D5">
        <w:rPr>
          <w:rFonts w:cs="Arial"/>
          <w:sz w:val="16"/>
          <w:szCs w:val="16"/>
          <w:rtl/>
        </w:rPr>
        <w:t xml:space="preserve"> ב"ד ש"א יג:) </w:t>
      </w:r>
      <w:r w:rsidRPr="006520D5">
        <w:rPr>
          <w:rFonts w:cs="Arial"/>
          <w:rtl/>
        </w:rPr>
        <w:t xml:space="preserve">רא"ש </w:t>
      </w:r>
      <w:r w:rsidRPr="006520D5">
        <w:rPr>
          <w:rFonts w:cs="Arial"/>
          <w:sz w:val="16"/>
          <w:szCs w:val="16"/>
          <w:rtl/>
        </w:rPr>
        <w:t xml:space="preserve">(סי' לו) </w:t>
      </w:r>
      <w:r w:rsidRPr="006520D5">
        <w:rPr>
          <w:rFonts w:cs="Arial" w:hint="cs"/>
          <w:rtl/>
        </w:rPr>
        <w:t>ו</w:t>
      </w:r>
      <w:r w:rsidRPr="006520D5">
        <w:rPr>
          <w:rFonts w:cs="Arial"/>
          <w:rtl/>
        </w:rPr>
        <w:t xml:space="preserve">ר"ן </w:t>
      </w:r>
      <w:r w:rsidRPr="006520D5">
        <w:rPr>
          <w:rFonts w:cs="Arial"/>
          <w:sz w:val="16"/>
          <w:szCs w:val="16"/>
          <w:rtl/>
        </w:rPr>
        <w:t>(חולין לו: ד"ה וגרסי' תו)</w:t>
      </w:r>
      <w:r>
        <w:rPr>
          <w:rFonts w:hint="cs"/>
          <w:rtl/>
        </w:rPr>
        <w:t xml:space="preserve">. וכ"כ </w:t>
      </w:r>
      <w:r w:rsidRPr="006520D5">
        <w:rPr>
          <w:rFonts w:cs="Arial"/>
          <w:rtl/>
        </w:rPr>
        <w:t xml:space="preserve">רבותינו הצרפתים </w:t>
      </w:r>
      <w:r w:rsidRPr="006520D5">
        <w:rPr>
          <w:rFonts w:cs="Arial" w:hint="cs"/>
          <w:sz w:val="16"/>
          <w:szCs w:val="16"/>
          <w:rtl/>
        </w:rPr>
        <w:t>(הביאום הרשב"א והר"ן)</w:t>
      </w:r>
      <w:r>
        <w:rPr>
          <w:rFonts w:hint="cs"/>
          <w:rtl/>
        </w:rPr>
        <w:t>.</w:t>
      </w:r>
    </w:p>
  </w:footnote>
  <w:footnote w:id="1965">
    <w:p w14:paraId="2C813768" w14:textId="77777777" w:rsidR="004C5A3C" w:rsidRPr="006520D5" w:rsidRDefault="004C5A3C" w:rsidP="002C39F4">
      <w:pPr>
        <w:pStyle w:val="a5"/>
      </w:pPr>
      <w:r w:rsidRPr="006520D5">
        <w:rPr>
          <w:rStyle w:val="a7"/>
        </w:rPr>
        <w:footnoteRef/>
      </w:r>
      <w:r w:rsidRPr="006520D5">
        <w:rPr>
          <w:rtl/>
        </w:rPr>
        <w:t xml:space="preserve"> </w:t>
      </w:r>
      <w:r w:rsidRPr="006520D5">
        <w:rPr>
          <w:rFonts w:hint="cs"/>
          <w:rtl/>
        </w:rPr>
        <w:t xml:space="preserve">בהכי הוא </w:t>
      </w:r>
      <w:r w:rsidRPr="006520D5">
        <w:rPr>
          <w:rFonts w:cs="Arial"/>
          <w:rtl/>
        </w:rPr>
        <w:t>דאמרינן דאינה בטלה</w:t>
      </w:r>
      <w:r w:rsidRPr="006520D5">
        <w:rPr>
          <w:rFonts w:cs="Arial" w:hint="cs"/>
          <w:rtl/>
        </w:rPr>
        <w:t>, ב"י</w:t>
      </w:r>
      <w:r>
        <w:rPr>
          <w:rFonts w:cs="Arial" w:hint="cs"/>
          <w:rtl/>
        </w:rPr>
        <w:t>.</w:t>
      </w:r>
    </w:p>
  </w:footnote>
  <w:footnote w:id="1966">
    <w:p w14:paraId="743751BE" w14:textId="77777777" w:rsidR="004C5A3C" w:rsidRPr="006520D5" w:rsidRDefault="004C5A3C" w:rsidP="002C39F4">
      <w:pPr>
        <w:pStyle w:val="a5"/>
        <w:rPr>
          <w:rtl/>
        </w:rPr>
      </w:pPr>
      <w:r w:rsidRPr="006520D5">
        <w:rPr>
          <w:rStyle w:val="a7"/>
        </w:rPr>
        <w:footnoteRef/>
      </w:r>
      <w:r w:rsidRPr="006520D5">
        <w:rPr>
          <w:rtl/>
        </w:rPr>
        <w:t xml:space="preserve"> </w:t>
      </w:r>
      <w:r w:rsidRPr="006520D5">
        <w:rPr>
          <w:rFonts w:cs="Arial"/>
          <w:rtl/>
        </w:rPr>
        <w:t>אלא בטלה היא כשאר האיסורין</w:t>
      </w:r>
      <w:r w:rsidRPr="006520D5">
        <w:rPr>
          <w:rFonts w:cs="Arial" w:hint="cs"/>
          <w:rtl/>
        </w:rPr>
        <w:t>, ב"י</w:t>
      </w:r>
      <w:r w:rsidRPr="006520D5">
        <w:rPr>
          <w:rFonts w:hint="cs"/>
          <w:rtl/>
        </w:rPr>
        <w:t>.</w:t>
      </w:r>
    </w:p>
  </w:footnote>
  <w:footnote w:id="1967">
    <w:p w14:paraId="0947D260" w14:textId="77777777" w:rsidR="004C5A3C" w:rsidRDefault="004C5A3C" w:rsidP="002C39F4">
      <w:pPr>
        <w:pStyle w:val="a5"/>
      </w:pPr>
      <w:r>
        <w:rPr>
          <w:rStyle w:val="a7"/>
        </w:rPr>
        <w:footnoteRef/>
      </w:r>
      <w:r>
        <w:rPr>
          <w:rtl/>
        </w:rPr>
        <w:t xml:space="preserve"> </w:t>
      </w:r>
      <w:r w:rsidRPr="00E74B04">
        <w:rPr>
          <w:rFonts w:cs="Arial"/>
          <w:rtl/>
        </w:rPr>
        <w:t>ונתבאר בדבריהם שהטעם לפי שאין האיסור שבה ראוי להתכבד בו לפני האורחים אע</w:t>
      </w:r>
      <w:r>
        <w:rPr>
          <w:rFonts w:cs="Arial" w:hint="cs"/>
          <w:rtl/>
        </w:rPr>
        <w:t>"</w:t>
      </w:r>
      <w:r w:rsidRPr="00E74B04">
        <w:rPr>
          <w:rFonts w:cs="Arial"/>
          <w:rtl/>
        </w:rPr>
        <w:t>ג דמשמע בפרק בתרא דע"ז (עד.) דחתיכת בשר בחלב אינה בטלה כשראויה להתכבד</w:t>
      </w:r>
      <w:r>
        <w:rPr>
          <w:rFonts w:cs="Arial" w:hint="cs"/>
          <w:rtl/>
        </w:rPr>
        <w:t>,</w:t>
      </w:r>
      <w:r w:rsidRPr="00E74B04">
        <w:rPr>
          <w:rFonts w:cs="Arial"/>
          <w:rtl/>
        </w:rPr>
        <w:t xml:space="preserve"> שאני התם דכיון שנתבשלו זה עם זה חוזר הכל כגוף אחד של איסור משא</w:t>
      </w:r>
      <w:r>
        <w:rPr>
          <w:rFonts w:cs="Arial" w:hint="cs"/>
          <w:rtl/>
        </w:rPr>
        <w:t>"</w:t>
      </w:r>
      <w:r w:rsidRPr="00E74B04">
        <w:rPr>
          <w:rFonts w:cs="Arial"/>
          <w:rtl/>
        </w:rPr>
        <w:t>כ בשאר איסורין</w:t>
      </w:r>
      <w:r>
        <w:rPr>
          <w:rFonts w:cs="Arial" w:hint="cs"/>
          <w:rtl/>
        </w:rPr>
        <w:t>, ב"י.</w:t>
      </w:r>
    </w:p>
  </w:footnote>
  <w:footnote w:id="1968">
    <w:p w14:paraId="235E532A" w14:textId="77777777" w:rsidR="004C5A3C" w:rsidRDefault="004C5A3C" w:rsidP="002C39F4">
      <w:pPr>
        <w:pStyle w:val="a5"/>
        <w:rPr>
          <w:rtl/>
        </w:rPr>
      </w:pPr>
      <w:r>
        <w:rPr>
          <w:rStyle w:val="a7"/>
        </w:rPr>
        <w:footnoteRef/>
      </w:r>
      <w:r>
        <w:rPr>
          <w:rtl/>
        </w:rPr>
        <w:t xml:space="preserve"> </w:t>
      </w:r>
      <w:r>
        <w:rPr>
          <w:rFonts w:cs="Arial" w:hint="cs"/>
          <w:rtl/>
        </w:rPr>
        <w:t xml:space="preserve">המרדכי כ' בשם רבינו שמואל וראבי"ה כך- </w:t>
      </w:r>
      <w:r w:rsidRPr="00A921F4">
        <w:rPr>
          <w:rFonts w:cs="Arial"/>
          <w:rtl/>
        </w:rPr>
        <w:t>אם נמלח חלב ובשר יחד</w:t>
      </w:r>
      <w:r>
        <w:rPr>
          <w:rFonts w:cs="Arial" w:hint="cs"/>
          <w:rtl/>
        </w:rPr>
        <w:t xml:space="preserve">... </w:t>
      </w:r>
      <w:r w:rsidRPr="00A921F4">
        <w:rPr>
          <w:rFonts w:cs="Arial"/>
          <w:rtl/>
        </w:rPr>
        <w:t>צריך קליפה</w:t>
      </w:r>
      <w:r>
        <w:rPr>
          <w:rFonts w:cs="Arial" w:hint="cs"/>
          <w:rtl/>
        </w:rPr>
        <w:t>...</w:t>
      </w:r>
      <w:r w:rsidRPr="00A921F4">
        <w:rPr>
          <w:rFonts w:cs="Arial"/>
          <w:rtl/>
        </w:rPr>
        <w:t xml:space="preserve"> ואם יש חתיכות הרבה ונגע האיסור בא</w:t>
      </w:r>
      <w:r>
        <w:rPr>
          <w:rFonts w:cs="Arial" w:hint="cs"/>
          <w:rtl/>
        </w:rPr>
        <w:t>'</w:t>
      </w:r>
      <w:r w:rsidRPr="00A921F4">
        <w:rPr>
          <w:rFonts w:cs="Arial"/>
          <w:rtl/>
        </w:rPr>
        <w:t xml:space="preserve"> מהם ואין ידוע באיזה מהם</w:t>
      </w:r>
      <w:r>
        <w:rPr>
          <w:rFonts w:cs="Arial" w:hint="cs"/>
          <w:rtl/>
        </w:rPr>
        <w:t>,</w:t>
      </w:r>
      <w:r w:rsidRPr="00A921F4">
        <w:rPr>
          <w:rFonts w:cs="Arial"/>
          <w:rtl/>
        </w:rPr>
        <w:t xml:space="preserve"> אם ראוי להתכבד בפני אורחים לא בטלה והכל אסור</w:t>
      </w:r>
      <w:r>
        <w:rPr>
          <w:rFonts w:hint="cs"/>
          <w:rtl/>
        </w:rPr>
        <w:t xml:space="preserve">. עכ"ל. מוכח שדעתם שאינה בטלה אע"ג דאין האיסור מחמת עצמה, וכ' הב"י שהעיקר כדברי מהר"ם שהביא המרדכי בסי' תרפג. </w:t>
      </w:r>
      <w:r>
        <w:rPr>
          <w:rFonts w:hint="cs"/>
          <w:sz w:val="16"/>
          <w:szCs w:val="16"/>
          <w:rtl/>
        </w:rPr>
        <w:t>(</w:t>
      </w:r>
      <w:r w:rsidRPr="00297024">
        <w:rPr>
          <w:rFonts w:hint="cs"/>
          <w:sz w:val="16"/>
          <w:szCs w:val="16"/>
          <w:rtl/>
        </w:rPr>
        <w:t xml:space="preserve">והדרכ"מ (אות א) כ' שגם האו"ה </w:t>
      </w:r>
      <w:r w:rsidRPr="00297024">
        <w:rPr>
          <w:rFonts w:cs="Arial"/>
          <w:sz w:val="16"/>
          <w:szCs w:val="16"/>
          <w:rtl/>
        </w:rPr>
        <w:t>(כלל כה ד</w:t>
      </w:r>
      <w:r w:rsidRPr="00297024">
        <w:rPr>
          <w:rFonts w:cs="Arial" w:hint="cs"/>
          <w:sz w:val="16"/>
          <w:szCs w:val="16"/>
          <w:rtl/>
        </w:rPr>
        <w:t xml:space="preserve">ין </w:t>
      </w:r>
      <w:r w:rsidRPr="00297024">
        <w:rPr>
          <w:rFonts w:cs="Arial"/>
          <w:sz w:val="16"/>
          <w:szCs w:val="16"/>
          <w:rtl/>
        </w:rPr>
        <w:t>ה)</w:t>
      </w:r>
      <w:r w:rsidRPr="00297024">
        <w:rPr>
          <w:rFonts w:hint="cs"/>
          <w:sz w:val="16"/>
          <w:szCs w:val="16"/>
          <w:rtl/>
        </w:rPr>
        <w:t xml:space="preserve"> סובר כן, וחלק עליו, אך הש"ך (נה"כ אות א, על הט"ז סק"ד) העיר שמפורש בדברי האו"ה דסבירא ליה כדברי הרא"ש, ולכן תמה על הדרכ"מ</w:t>
      </w:r>
      <w:r>
        <w:rPr>
          <w:rFonts w:hint="cs"/>
          <w:sz w:val="16"/>
          <w:szCs w:val="16"/>
          <w:rtl/>
        </w:rPr>
        <w:t>, ועי' עוד שם ושם</w:t>
      </w:r>
      <w:r w:rsidRPr="00297024">
        <w:rPr>
          <w:rFonts w:hint="cs"/>
          <w:sz w:val="16"/>
          <w:szCs w:val="16"/>
          <w:rtl/>
        </w:rPr>
        <w:t>)</w:t>
      </w:r>
    </w:p>
  </w:footnote>
  <w:footnote w:id="1969">
    <w:p w14:paraId="74A94520" w14:textId="77777777" w:rsidR="004C5A3C" w:rsidRDefault="004C5A3C" w:rsidP="002C39F4">
      <w:pPr>
        <w:pStyle w:val="a5"/>
      </w:pPr>
      <w:r>
        <w:rPr>
          <w:rStyle w:val="a7"/>
        </w:rPr>
        <w:footnoteRef/>
      </w:r>
      <w:r>
        <w:rPr>
          <w:rtl/>
        </w:rPr>
        <w:t xml:space="preserve"> </w:t>
      </w:r>
      <w:r w:rsidRPr="00810DAC">
        <w:rPr>
          <w:rFonts w:cs="Arial"/>
          <w:rtl/>
        </w:rPr>
        <w:t>אף בנתנבלה מחמת מיתה</w:t>
      </w:r>
      <w:r>
        <w:rPr>
          <w:rFonts w:cs="Arial" w:hint="cs"/>
          <w:rtl/>
        </w:rPr>
        <w:t>,</w:t>
      </w:r>
      <w:r w:rsidRPr="00810DAC">
        <w:rPr>
          <w:rFonts w:cs="Arial"/>
          <w:rtl/>
        </w:rPr>
        <w:t xml:space="preserve"> מהר"י הלוי </w:t>
      </w:r>
      <w:r>
        <w:rPr>
          <w:rFonts w:cs="Arial" w:hint="cs"/>
          <w:rtl/>
        </w:rPr>
        <w:t>(</w:t>
      </w:r>
      <w:r w:rsidRPr="00810DAC">
        <w:rPr>
          <w:rFonts w:cs="Arial"/>
          <w:rtl/>
        </w:rPr>
        <w:t>סי' כה</w:t>
      </w:r>
      <w:r>
        <w:rPr>
          <w:rFonts w:cs="Arial" w:hint="cs"/>
          <w:rtl/>
        </w:rPr>
        <w:t>, הביאו הפת"ש סק"ב).</w:t>
      </w:r>
    </w:p>
  </w:footnote>
  <w:footnote w:id="1970">
    <w:p w14:paraId="1CCDD8C9" w14:textId="77777777" w:rsidR="004C5A3C" w:rsidRDefault="004C5A3C" w:rsidP="002C39F4">
      <w:pPr>
        <w:pStyle w:val="a5"/>
        <w:rPr>
          <w:rtl/>
        </w:rPr>
      </w:pPr>
      <w:r>
        <w:rPr>
          <w:rStyle w:val="a7"/>
        </w:rPr>
        <w:footnoteRef/>
      </w:r>
      <w:r>
        <w:rPr>
          <w:rtl/>
        </w:rPr>
        <w:t xml:space="preserve"> </w:t>
      </w:r>
      <w:r w:rsidRPr="00BB6ACE">
        <w:rPr>
          <w:rFonts w:cs="Arial"/>
          <w:rtl/>
        </w:rPr>
        <w:t>דכיון דכל חד באפי נפשיה שרי וע"י חבורן יחד נאסרו חזר הכל להיות כגוף אחד</w:t>
      </w:r>
      <w:r>
        <w:rPr>
          <w:rFonts w:hint="cs"/>
          <w:rtl/>
        </w:rPr>
        <w:t xml:space="preserve">, ש"ך (סק"ג). </w:t>
      </w:r>
      <w:r w:rsidRPr="00BB6ACE">
        <w:rPr>
          <w:rFonts w:cs="Arial"/>
          <w:rtl/>
        </w:rPr>
        <w:t>וראייה</w:t>
      </w:r>
      <w:r>
        <w:rPr>
          <w:rFonts w:cs="Arial" w:hint="cs"/>
          <w:rtl/>
        </w:rPr>
        <w:t>,</w:t>
      </w:r>
      <w:r w:rsidRPr="00BB6ACE">
        <w:rPr>
          <w:rFonts w:cs="Arial"/>
          <w:rtl/>
        </w:rPr>
        <w:t xml:space="preserve"> דלוקה מן התורה אפי' לא אכל רק כחצי זית מחלב וחצי זית מבשר</w:t>
      </w:r>
      <w:r>
        <w:rPr>
          <w:rFonts w:cs="Arial" w:hint="cs"/>
          <w:rtl/>
        </w:rPr>
        <w:t>, ט"ז (סק"ג).</w:t>
      </w:r>
    </w:p>
  </w:footnote>
  <w:footnote w:id="1971">
    <w:p w14:paraId="200249C0" w14:textId="77777777" w:rsidR="004C5A3C" w:rsidRDefault="004C5A3C" w:rsidP="002C39F4">
      <w:pPr>
        <w:pStyle w:val="a5"/>
        <w:rPr>
          <w:rtl/>
        </w:rPr>
      </w:pPr>
      <w:r>
        <w:rPr>
          <w:rStyle w:val="a7"/>
        </w:rPr>
        <w:footnoteRef/>
      </w:r>
      <w:r>
        <w:rPr>
          <w:rtl/>
        </w:rPr>
        <w:t xml:space="preserve"> </w:t>
      </w:r>
      <w:r w:rsidRPr="00706C52">
        <w:rPr>
          <w:rFonts w:cs="Arial"/>
          <w:rtl/>
        </w:rPr>
        <w:t>הטעם כתבו הש</w:t>
      </w:r>
      <w:r>
        <w:rPr>
          <w:rFonts w:cs="Arial" w:hint="cs"/>
          <w:rtl/>
        </w:rPr>
        <w:t>ע</w:t>
      </w:r>
      <w:r w:rsidRPr="00706C52">
        <w:rPr>
          <w:rFonts w:cs="Arial"/>
          <w:rtl/>
        </w:rPr>
        <w:t xml:space="preserve">"ד </w:t>
      </w:r>
      <w:r>
        <w:rPr>
          <w:rFonts w:cs="Arial" w:hint="cs"/>
          <w:rtl/>
        </w:rPr>
        <w:t>(</w:t>
      </w:r>
      <w:r w:rsidRPr="00706C52">
        <w:rPr>
          <w:rFonts w:cs="Arial"/>
          <w:rtl/>
        </w:rPr>
        <w:t>סי' מא</w:t>
      </w:r>
      <w:r>
        <w:rPr>
          <w:rFonts w:cs="Arial" w:hint="cs"/>
          <w:rtl/>
        </w:rPr>
        <w:t>)</w:t>
      </w:r>
      <w:r w:rsidRPr="00706C52">
        <w:rPr>
          <w:rFonts w:cs="Arial"/>
          <w:rtl/>
        </w:rPr>
        <w:t xml:space="preserve"> והרשב"א והר"ן ושאר פוסקים משום דמכל מקום אין האיסור הנבלע בה חשיב ח</w:t>
      </w:r>
      <w:r>
        <w:rPr>
          <w:rFonts w:cs="Arial" w:hint="cs"/>
          <w:rtl/>
        </w:rPr>
        <w:t xml:space="preserve">תיכה </w:t>
      </w:r>
      <w:r w:rsidRPr="00706C52">
        <w:rPr>
          <w:rFonts w:cs="Arial"/>
          <w:rtl/>
        </w:rPr>
        <w:t>ה</w:t>
      </w:r>
      <w:r>
        <w:rPr>
          <w:rFonts w:cs="Arial" w:hint="cs"/>
          <w:rtl/>
        </w:rPr>
        <w:t xml:space="preserve">ראויה </w:t>
      </w:r>
      <w:r w:rsidRPr="00706C52">
        <w:rPr>
          <w:rFonts w:cs="Arial"/>
          <w:rtl/>
        </w:rPr>
        <w:t>ל</w:t>
      </w:r>
      <w:r>
        <w:rPr>
          <w:rFonts w:cs="Arial" w:hint="cs"/>
          <w:rtl/>
        </w:rPr>
        <w:t>התכבד</w:t>
      </w:r>
      <w:r>
        <w:rPr>
          <w:rFonts w:hint="cs"/>
          <w:rtl/>
        </w:rPr>
        <w:t>, ש"ך</w:t>
      </w:r>
      <w:r w:rsidRPr="00706C52">
        <w:rPr>
          <w:rFonts w:hint="cs"/>
          <w:sz w:val="16"/>
          <w:szCs w:val="16"/>
          <w:rtl/>
        </w:rPr>
        <w:t xml:space="preserve"> (סק"ד)</w:t>
      </w:r>
      <w:r>
        <w:rPr>
          <w:rFonts w:hint="cs"/>
          <w:rtl/>
        </w:rPr>
        <w:t>.</w:t>
      </w:r>
    </w:p>
  </w:footnote>
  <w:footnote w:id="1972">
    <w:p w14:paraId="12D3FD1B" w14:textId="77777777" w:rsidR="004C5A3C" w:rsidRPr="00426C18" w:rsidRDefault="004C5A3C" w:rsidP="002C39F4">
      <w:pPr>
        <w:pStyle w:val="a5"/>
        <w:rPr>
          <w:rFonts w:cs="Arial"/>
          <w:rtl/>
        </w:rPr>
      </w:pPr>
      <w:r>
        <w:rPr>
          <w:rStyle w:val="a7"/>
        </w:rPr>
        <w:footnoteRef/>
      </w:r>
      <w:r>
        <w:rPr>
          <w:rtl/>
        </w:rPr>
        <w:t xml:space="preserve"> </w:t>
      </w:r>
      <w:r w:rsidRPr="00426C18">
        <w:rPr>
          <w:rFonts w:cs="Arial"/>
          <w:rtl/>
        </w:rPr>
        <w:t>כתוב בספר ל</w:t>
      </w:r>
      <w:r>
        <w:rPr>
          <w:rFonts w:cs="Arial" w:hint="cs"/>
          <w:rtl/>
        </w:rPr>
        <w:t xml:space="preserve">חם </w:t>
      </w:r>
      <w:r w:rsidRPr="00426C18">
        <w:rPr>
          <w:rFonts w:cs="Arial"/>
          <w:rtl/>
        </w:rPr>
        <w:t>ח</w:t>
      </w:r>
      <w:r>
        <w:rPr>
          <w:rFonts w:cs="Arial" w:hint="cs"/>
          <w:rtl/>
        </w:rPr>
        <w:t>מודות</w:t>
      </w:r>
      <w:r w:rsidRPr="00426C18">
        <w:rPr>
          <w:rFonts w:cs="Arial"/>
          <w:rtl/>
        </w:rPr>
        <w:t xml:space="preserve"> (</w:t>
      </w:r>
      <w:r>
        <w:rPr>
          <w:rFonts w:cs="Arial" w:hint="cs"/>
          <w:rtl/>
        </w:rPr>
        <w:t>חולין פ"ז אות קס</w:t>
      </w:r>
      <w:r w:rsidRPr="00426C18">
        <w:rPr>
          <w:rFonts w:cs="Arial"/>
          <w:rtl/>
        </w:rPr>
        <w:t>) וז"ל</w:t>
      </w:r>
      <w:r>
        <w:rPr>
          <w:rFonts w:cs="Arial" w:hint="cs"/>
          <w:rtl/>
        </w:rPr>
        <w:t>-</w:t>
      </w:r>
      <w:r w:rsidRPr="00426C18">
        <w:rPr>
          <w:rFonts w:cs="Arial"/>
          <w:rtl/>
        </w:rPr>
        <w:t xml:space="preserve"> וצ"ע</w:t>
      </w:r>
      <w:r>
        <w:rPr>
          <w:rFonts w:cs="Arial" w:hint="cs"/>
          <w:rtl/>
        </w:rPr>
        <w:t>,</w:t>
      </w:r>
      <w:r w:rsidRPr="00426C18">
        <w:rPr>
          <w:rFonts w:cs="Arial"/>
          <w:rtl/>
        </w:rPr>
        <w:t xml:space="preserve"> דמהיכא נאסרה כדי קליפה </w:t>
      </w:r>
      <w:r>
        <w:rPr>
          <w:rFonts w:cs="Arial" w:hint="cs"/>
          <w:rtl/>
        </w:rPr>
        <w:t xml:space="preserve">- </w:t>
      </w:r>
      <w:r w:rsidRPr="00426C18">
        <w:rPr>
          <w:rFonts w:cs="Arial"/>
          <w:rtl/>
        </w:rPr>
        <w:t>כ</w:t>
      </w:r>
      <w:r>
        <w:rPr>
          <w:rFonts w:cs="Arial" w:hint="cs"/>
          <w:rtl/>
        </w:rPr>
        <w:t xml:space="preserve">י </w:t>
      </w:r>
      <w:r w:rsidRPr="00426C18">
        <w:rPr>
          <w:rFonts w:cs="Arial"/>
          <w:rtl/>
        </w:rPr>
        <w:t>א</w:t>
      </w:r>
      <w:r>
        <w:rPr>
          <w:rFonts w:cs="Arial" w:hint="cs"/>
          <w:rtl/>
        </w:rPr>
        <w:t>ם</w:t>
      </w:r>
      <w:r w:rsidRPr="00426C18">
        <w:rPr>
          <w:rFonts w:cs="Arial"/>
          <w:rtl/>
        </w:rPr>
        <w:t xml:space="preserve"> ע"י שקבלה טעם האיסור מדבר אחר</w:t>
      </w:r>
      <w:r>
        <w:rPr>
          <w:rFonts w:cs="Arial" w:hint="cs"/>
          <w:rtl/>
        </w:rPr>
        <w:t>,</w:t>
      </w:r>
      <w:r w:rsidRPr="00426C18">
        <w:rPr>
          <w:rFonts w:cs="Arial"/>
          <w:rtl/>
        </w:rPr>
        <w:t xml:space="preserve"> וא"כ אפילו כשנאסרה כולה</w:t>
      </w:r>
      <w:r>
        <w:rPr>
          <w:rFonts w:cs="Arial" w:hint="cs"/>
          <w:rtl/>
        </w:rPr>
        <w:t>,</w:t>
      </w:r>
      <w:r w:rsidRPr="00426C18">
        <w:rPr>
          <w:rFonts w:cs="Arial"/>
          <w:rtl/>
        </w:rPr>
        <w:t xml:space="preserve"> עכ"ל</w:t>
      </w:r>
      <w:r>
        <w:rPr>
          <w:rFonts w:cs="Arial" w:hint="cs"/>
          <w:rtl/>
        </w:rPr>
        <w:t>,</w:t>
      </w:r>
      <w:r w:rsidRPr="00426C18">
        <w:rPr>
          <w:rFonts w:cs="Arial"/>
          <w:rtl/>
        </w:rPr>
        <w:t xml:space="preserve"> ול</w:t>
      </w:r>
      <w:r>
        <w:rPr>
          <w:rFonts w:cs="Arial" w:hint="cs"/>
          <w:rtl/>
        </w:rPr>
        <w:t xml:space="preserve">א קשה </w:t>
      </w:r>
      <w:r w:rsidRPr="00426C18">
        <w:rPr>
          <w:rFonts w:cs="Arial"/>
          <w:rtl/>
        </w:rPr>
        <w:t>מ</w:t>
      </w:r>
      <w:r>
        <w:rPr>
          <w:rFonts w:cs="Arial" w:hint="cs"/>
          <w:rtl/>
        </w:rPr>
        <w:t>ידי</w:t>
      </w:r>
      <w:r w:rsidRPr="00426C18">
        <w:rPr>
          <w:rFonts w:cs="Arial"/>
          <w:rtl/>
        </w:rPr>
        <w:t xml:space="preserve"> דהא משכחת לה בבשר בחלב</w:t>
      </w:r>
      <w:r>
        <w:rPr>
          <w:rFonts w:cs="Arial" w:hint="cs"/>
          <w:rtl/>
        </w:rPr>
        <w:t xml:space="preserve">, ש"ך (סק"ו). והיינו ע"י עירוי, דמבל כדי קליפה מן התורה, ואפי' נפסק הקילוח מבשל מדרבנן כדי קליפה, פמ"ג (שפת"ד סק"ו). </w:t>
      </w:r>
    </w:p>
  </w:footnote>
  <w:footnote w:id="1973">
    <w:p w14:paraId="69A1AAAE" w14:textId="77777777" w:rsidR="004C5A3C" w:rsidRDefault="004C5A3C" w:rsidP="002C39F4">
      <w:pPr>
        <w:pStyle w:val="a5"/>
        <w:rPr>
          <w:rtl/>
        </w:rPr>
      </w:pPr>
      <w:r>
        <w:rPr>
          <w:rStyle w:val="a7"/>
        </w:rPr>
        <w:footnoteRef/>
      </w:r>
      <w:r>
        <w:rPr>
          <w:rtl/>
        </w:rPr>
        <w:t xml:space="preserve"> </w:t>
      </w:r>
      <w:r>
        <w:rPr>
          <w:rFonts w:asciiTheme="minorBidi" w:hAnsiTheme="minorBidi" w:cs="Arial" w:hint="cs"/>
          <w:rtl/>
        </w:rPr>
        <w:t xml:space="preserve">הש"ך </w:t>
      </w:r>
      <w:r w:rsidRPr="004A7E17">
        <w:rPr>
          <w:rFonts w:asciiTheme="minorBidi" w:hAnsiTheme="minorBidi" w:cs="Arial" w:hint="cs"/>
          <w:sz w:val="16"/>
          <w:szCs w:val="16"/>
          <w:rtl/>
        </w:rPr>
        <w:t>(סק"</w:t>
      </w:r>
      <w:r w:rsidRPr="004A7E17">
        <w:rPr>
          <w:rFonts w:asciiTheme="minorBidi" w:hAnsiTheme="minorBidi" w:cs="Arial"/>
          <w:sz w:val="16"/>
          <w:szCs w:val="16"/>
          <w:rtl/>
        </w:rPr>
        <w:t>ו</w:t>
      </w:r>
      <w:r w:rsidRPr="004A7E17">
        <w:rPr>
          <w:rFonts w:asciiTheme="minorBidi" w:hAnsiTheme="minorBidi" w:cs="Arial" w:hint="cs"/>
          <w:sz w:val="16"/>
          <w:szCs w:val="16"/>
          <w:rtl/>
        </w:rPr>
        <w:t xml:space="preserve">) </w:t>
      </w:r>
      <w:r>
        <w:rPr>
          <w:rFonts w:asciiTheme="minorBidi" w:hAnsiTheme="minorBidi" w:cs="Arial" w:hint="cs"/>
          <w:rtl/>
        </w:rPr>
        <w:t xml:space="preserve">חלק על דברי הרמ"א וכ'- </w:t>
      </w:r>
      <w:r w:rsidRPr="00150A88">
        <w:rPr>
          <w:rFonts w:asciiTheme="minorBidi" w:hAnsiTheme="minorBidi" w:cs="Arial"/>
          <w:rtl/>
        </w:rPr>
        <w:t xml:space="preserve">מה שהוציא כן הרב מתוס' לא מצאתיו רק שבתוס' </w:t>
      </w:r>
      <w:r>
        <w:rPr>
          <w:rFonts w:asciiTheme="minorBidi" w:hAnsiTheme="minorBidi" w:cs="Arial" w:hint="cs"/>
          <w:rtl/>
        </w:rPr>
        <w:t>פג"ה</w:t>
      </w:r>
      <w:r w:rsidRPr="004A7E17">
        <w:rPr>
          <w:rFonts w:asciiTheme="minorBidi" w:hAnsiTheme="minorBidi" w:cs="Arial" w:hint="cs"/>
          <w:sz w:val="16"/>
          <w:szCs w:val="16"/>
          <w:rtl/>
        </w:rPr>
        <w:t xml:space="preserve"> (צז.)</w:t>
      </w:r>
      <w:r w:rsidRPr="004A7E17">
        <w:rPr>
          <w:rFonts w:asciiTheme="minorBidi" w:hAnsiTheme="minorBidi" w:cs="Arial"/>
          <w:sz w:val="16"/>
          <w:szCs w:val="16"/>
          <w:rtl/>
        </w:rPr>
        <w:t xml:space="preserve"> </w:t>
      </w:r>
      <w:r w:rsidRPr="00150A88">
        <w:rPr>
          <w:rFonts w:asciiTheme="minorBidi" w:hAnsiTheme="minorBidi" w:cs="Arial"/>
          <w:rtl/>
        </w:rPr>
        <w:t>כתבו בשם הרא"מ דבקליפה וכהאי גוונא לא אמרינן חנ"נ</w:t>
      </w:r>
      <w:r>
        <w:rPr>
          <w:rFonts w:asciiTheme="minorBidi" w:hAnsiTheme="minorBidi" w:cs="Arial" w:hint="cs"/>
          <w:rtl/>
        </w:rPr>
        <w:t>,</w:t>
      </w:r>
      <w:r w:rsidRPr="00150A88">
        <w:rPr>
          <w:rFonts w:asciiTheme="minorBidi" w:hAnsiTheme="minorBidi" w:cs="Arial"/>
          <w:rtl/>
        </w:rPr>
        <w:t xml:space="preserve"> ואין ראיה מזה דלא הוי חה"ל</w:t>
      </w:r>
      <w:r>
        <w:rPr>
          <w:rFonts w:asciiTheme="minorBidi" w:hAnsiTheme="minorBidi" w:cs="Arial" w:hint="cs"/>
          <w:rtl/>
        </w:rPr>
        <w:t>,</w:t>
      </w:r>
      <w:r w:rsidRPr="00150A88">
        <w:rPr>
          <w:rFonts w:asciiTheme="minorBidi" w:hAnsiTheme="minorBidi" w:cs="Arial"/>
          <w:rtl/>
        </w:rPr>
        <w:t xml:space="preserve"> והא ראיה דהא מדברי ראבי"ה שהביא המרדכי </w:t>
      </w:r>
      <w:r>
        <w:rPr>
          <w:rFonts w:asciiTheme="minorBidi" w:hAnsiTheme="minorBidi" w:cs="Arial" w:hint="cs"/>
          <w:rtl/>
        </w:rPr>
        <w:t>(חולין</w:t>
      </w:r>
      <w:r w:rsidRPr="00150A88">
        <w:rPr>
          <w:rFonts w:asciiTheme="minorBidi" w:hAnsiTheme="minorBidi" w:cs="Arial"/>
          <w:rtl/>
        </w:rPr>
        <w:t xml:space="preserve"> סי</w:t>
      </w:r>
      <w:r>
        <w:rPr>
          <w:rFonts w:asciiTheme="minorBidi" w:hAnsiTheme="minorBidi" w:cs="Arial" w:hint="cs"/>
          <w:rtl/>
        </w:rPr>
        <w:t>'</w:t>
      </w:r>
      <w:r w:rsidRPr="00150A88">
        <w:rPr>
          <w:rFonts w:asciiTheme="minorBidi" w:hAnsiTheme="minorBidi" w:cs="Arial"/>
          <w:rtl/>
        </w:rPr>
        <w:t xml:space="preserve"> אלף צד</w:t>
      </w:r>
      <w:r>
        <w:rPr>
          <w:rFonts w:asciiTheme="minorBidi" w:hAnsiTheme="minorBidi" w:cs="Arial" w:hint="cs"/>
          <w:rtl/>
        </w:rPr>
        <w:t>)</w:t>
      </w:r>
      <w:r w:rsidRPr="00150A88">
        <w:rPr>
          <w:rFonts w:asciiTheme="minorBidi" w:hAnsiTheme="minorBidi" w:cs="Arial"/>
          <w:rtl/>
        </w:rPr>
        <w:t xml:space="preserve"> והכל בו </w:t>
      </w:r>
      <w:r>
        <w:rPr>
          <w:rFonts w:asciiTheme="minorBidi" w:hAnsiTheme="minorBidi" w:cs="Arial" w:hint="cs"/>
          <w:rtl/>
        </w:rPr>
        <w:t>(ס"</w:t>
      </w:r>
      <w:r w:rsidRPr="00150A88">
        <w:rPr>
          <w:rFonts w:asciiTheme="minorBidi" w:hAnsiTheme="minorBidi" w:cs="Arial"/>
          <w:rtl/>
        </w:rPr>
        <w:t>ס קד</w:t>
      </w:r>
      <w:r>
        <w:rPr>
          <w:rFonts w:asciiTheme="minorBidi" w:hAnsiTheme="minorBidi" w:cs="Arial" w:hint="cs"/>
          <w:rtl/>
        </w:rPr>
        <w:t>)</w:t>
      </w:r>
      <w:r w:rsidRPr="00150A88">
        <w:rPr>
          <w:rFonts w:asciiTheme="minorBidi" w:hAnsiTheme="minorBidi" w:cs="Arial"/>
          <w:rtl/>
        </w:rPr>
        <w:t xml:space="preserve"> גבי מליח חלב ובשר מבואר דאפילו בקליפה אמרינן דחה"ל לא בטיל אע</w:t>
      </w:r>
      <w:r>
        <w:rPr>
          <w:rFonts w:asciiTheme="minorBidi" w:hAnsiTheme="minorBidi" w:cs="Arial" w:hint="cs"/>
          <w:rtl/>
        </w:rPr>
        <w:t>"</w:t>
      </w:r>
      <w:r w:rsidRPr="00150A88">
        <w:rPr>
          <w:rFonts w:asciiTheme="minorBidi" w:hAnsiTheme="minorBidi" w:cs="Arial"/>
          <w:rtl/>
        </w:rPr>
        <w:t>ג דס</w:t>
      </w:r>
      <w:r>
        <w:rPr>
          <w:rFonts w:asciiTheme="minorBidi" w:hAnsiTheme="minorBidi" w:cs="Arial" w:hint="cs"/>
          <w:rtl/>
        </w:rPr>
        <w:t>"</w:t>
      </w:r>
      <w:r w:rsidRPr="00150A88">
        <w:rPr>
          <w:rFonts w:asciiTheme="minorBidi" w:hAnsiTheme="minorBidi" w:cs="Arial"/>
          <w:rtl/>
        </w:rPr>
        <w:t>ל בהדיא דלא אמרינן חנ"נ בחצי חתיכה</w:t>
      </w:r>
      <w:r>
        <w:rPr>
          <w:rFonts w:asciiTheme="minorBidi" w:hAnsiTheme="minorBidi" w:cs="Arial" w:hint="cs"/>
          <w:rtl/>
        </w:rPr>
        <w:t>,</w:t>
      </w:r>
      <w:r w:rsidRPr="00150A88">
        <w:rPr>
          <w:rFonts w:asciiTheme="minorBidi" w:hAnsiTheme="minorBidi" w:cs="Arial"/>
          <w:rtl/>
        </w:rPr>
        <w:t xml:space="preserve"> וכמו שהביא המרדכי על שמו </w:t>
      </w:r>
      <w:r>
        <w:rPr>
          <w:rFonts w:asciiTheme="minorBidi" w:hAnsiTheme="minorBidi" w:cs="Arial" w:hint="cs"/>
          <w:rtl/>
        </w:rPr>
        <w:t>(</w:t>
      </w:r>
      <w:r w:rsidRPr="00150A88">
        <w:rPr>
          <w:rFonts w:asciiTheme="minorBidi" w:hAnsiTheme="minorBidi" w:cs="Arial"/>
          <w:rtl/>
        </w:rPr>
        <w:t>פכ"ה סי' אלף קסא</w:t>
      </w:r>
      <w:r>
        <w:rPr>
          <w:rFonts w:asciiTheme="minorBidi" w:hAnsiTheme="minorBidi" w:cs="Arial" w:hint="cs"/>
          <w:rtl/>
        </w:rPr>
        <w:t>)</w:t>
      </w:r>
      <w:r w:rsidRPr="00150A88">
        <w:rPr>
          <w:rFonts w:asciiTheme="minorBidi" w:hAnsiTheme="minorBidi" w:cs="Arial"/>
          <w:rtl/>
        </w:rPr>
        <w:t xml:space="preserve"> גבי טיפת חלב</w:t>
      </w:r>
      <w:r>
        <w:rPr>
          <w:rFonts w:asciiTheme="minorBidi" w:hAnsiTheme="minorBidi" w:cs="Arial" w:hint="cs"/>
          <w:rtl/>
        </w:rPr>
        <w:t>,</w:t>
      </w:r>
      <w:r w:rsidRPr="00150A88">
        <w:rPr>
          <w:rFonts w:asciiTheme="minorBidi" w:hAnsiTheme="minorBidi" w:cs="Arial"/>
          <w:rtl/>
        </w:rPr>
        <w:t xml:space="preserve"> וכן ר</w:t>
      </w:r>
      <w:r>
        <w:rPr>
          <w:rFonts w:asciiTheme="minorBidi" w:hAnsiTheme="minorBidi" w:cs="Arial" w:hint="cs"/>
          <w:rtl/>
        </w:rPr>
        <w:t>י"ו</w:t>
      </w:r>
      <w:r w:rsidRPr="00150A88">
        <w:rPr>
          <w:rFonts w:asciiTheme="minorBidi" w:hAnsiTheme="minorBidi" w:cs="Arial"/>
          <w:rtl/>
        </w:rPr>
        <w:t xml:space="preserve"> </w:t>
      </w:r>
      <w:r>
        <w:rPr>
          <w:rFonts w:asciiTheme="minorBidi" w:hAnsiTheme="minorBidi" w:cs="Arial" w:hint="cs"/>
          <w:rtl/>
        </w:rPr>
        <w:t>(</w:t>
      </w:r>
      <w:r w:rsidRPr="00150A88">
        <w:rPr>
          <w:rFonts w:asciiTheme="minorBidi" w:hAnsiTheme="minorBidi" w:cs="Arial"/>
          <w:rtl/>
        </w:rPr>
        <w:t>נט"ו סוף אות כה</w:t>
      </w:r>
      <w:r>
        <w:rPr>
          <w:rFonts w:asciiTheme="minorBidi" w:hAnsiTheme="minorBidi" w:cs="Arial" w:hint="cs"/>
          <w:rtl/>
        </w:rPr>
        <w:t>)</w:t>
      </w:r>
      <w:r w:rsidRPr="00150A88">
        <w:rPr>
          <w:rFonts w:asciiTheme="minorBidi" w:hAnsiTheme="minorBidi" w:cs="Arial"/>
          <w:rtl/>
        </w:rPr>
        <w:t xml:space="preserve"> ס"ל דבקליפה אמרי' חה"ל לא בטיל</w:t>
      </w:r>
      <w:r>
        <w:rPr>
          <w:rFonts w:asciiTheme="minorBidi" w:hAnsiTheme="minorBidi" w:cs="Arial" w:hint="cs"/>
          <w:rtl/>
        </w:rPr>
        <w:t>,</w:t>
      </w:r>
      <w:r w:rsidRPr="00150A88">
        <w:rPr>
          <w:rFonts w:asciiTheme="minorBidi" w:hAnsiTheme="minorBidi" w:cs="Arial"/>
          <w:rtl/>
        </w:rPr>
        <w:t xml:space="preserve"> ובאות יג הביא די"מ דבחצי חתיכה לא אמרי' נ"נ</w:t>
      </w:r>
      <w:r>
        <w:rPr>
          <w:rFonts w:asciiTheme="minorBidi" w:hAnsiTheme="minorBidi" w:cs="Arial" w:hint="cs"/>
          <w:rtl/>
        </w:rPr>
        <w:t>.</w:t>
      </w:r>
      <w:r w:rsidRPr="00150A88">
        <w:rPr>
          <w:rFonts w:asciiTheme="minorBidi" w:hAnsiTheme="minorBidi" w:cs="Arial"/>
          <w:rtl/>
        </w:rPr>
        <w:t xml:space="preserve"> מיהו בתשובת מיימוני </w:t>
      </w:r>
      <w:r>
        <w:rPr>
          <w:rFonts w:asciiTheme="minorBidi" w:hAnsiTheme="minorBidi" w:cs="Arial" w:hint="cs"/>
          <w:rtl/>
        </w:rPr>
        <w:t>(</w:t>
      </w:r>
      <w:r w:rsidRPr="00150A88">
        <w:rPr>
          <w:rFonts w:asciiTheme="minorBidi" w:hAnsiTheme="minorBidi" w:cs="Arial"/>
          <w:rtl/>
        </w:rPr>
        <w:t>ה</w:t>
      </w:r>
      <w:r>
        <w:rPr>
          <w:rFonts w:asciiTheme="minorBidi" w:hAnsiTheme="minorBidi" w:cs="Arial" w:hint="cs"/>
          <w:rtl/>
        </w:rPr>
        <w:t>ל</w:t>
      </w:r>
      <w:r w:rsidRPr="00150A88">
        <w:rPr>
          <w:rFonts w:asciiTheme="minorBidi" w:hAnsiTheme="minorBidi" w:cs="Arial"/>
          <w:rtl/>
        </w:rPr>
        <w:t>מ"א סי' יא</w:t>
      </w:r>
      <w:r>
        <w:rPr>
          <w:rFonts w:asciiTheme="minorBidi" w:hAnsiTheme="minorBidi" w:cs="Arial" w:hint="cs"/>
          <w:rtl/>
        </w:rPr>
        <w:t>)</w:t>
      </w:r>
      <w:r w:rsidRPr="00150A88">
        <w:rPr>
          <w:rFonts w:asciiTheme="minorBidi" w:hAnsiTheme="minorBidi" w:cs="Arial"/>
          <w:rtl/>
        </w:rPr>
        <w:t xml:space="preserve"> מצאתי דמשמע דבקליפה לא אמרינן דהוי חה"ל</w:t>
      </w:r>
      <w:r>
        <w:rPr>
          <w:rFonts w:asciiTheme="minorBidi" w:hAnsiTheme="minorBidi" w:cs="Arial" w:hint="cs"/>
          <w:rtl/>
        </w:rPr>
        <w:t>,</w:t>
      </w:r>
      <w:r w:rsidRPr="00150A88">
        <w:rPr>
          <w:rFonts w:asciiTheme="minorBidi" w:hAnsiTheme="minorBidi" w:cs="Arial"/>
          <w:rtl/>
        </w:rPr>
        <w:t xml:space="preserve"> והובא בהג</w:t>
      </w:r>
      <w:r>
        <w:rPr>
          <w:rFonts w:asciiTheme="minorBidi" w:hAnsiTheme="minorBidi" w:cs="Arial" w:hint="cs"/>
          <w:rtl/>
        </w:rPr>
        <w:t>שע</w:t>
      </w:r>
      <w:r w:rsidRPr="00150A88">
        <w:rPr>
          <w:rFonts w:asciiTheme="minorBidi" w:hAnsiTheme="minorBidi" w:cs="Arial"/>
          <w:rtl/>
        </w:rPr>
        <w:t xml:space="preserve">"ד </w:t>
      </w:r>
      <w:r>
        <w:rPr>
          <w:rFonts w:asciiTheme="minorBidi" w:hAnsiTheme="minorBidi" w:cs="Arial" w:hint="cs"/>
          <w:rtl/>
        </w:rPr>
        <w:t>(</w:t>
      </w:r>
      <w:r w:rsidRPr="00150A88">
        <w:rPr>
          <w:rFonts w:asciiTheme="minorBidi" w:hAnsiTheme="minorBidi" w:cs="Arial"/>
          <w:rtl/>
        </w:rPr>
        <w:t xml:space="preserve">סי' לג בהג"ה </w:t>
      </w:r>
      <w:r>
        <w:rPr>
          <w:rFonts w:asciiTheme="minorBidi" w:hAnsiTheme="minorBidi" w:cs="Arial" w:hint="cs"/>
          <w:rtl/>
        </w:rPr>
        <w:t>ד"ה</w:t>
      </w:r>
      <w:r w:rsidRPr="00150A88">
        <w:rPr>
          <w:rFonts w:asciiTheme="minorBidi" w:hAnsiTheme="minorBidi" w:cs="Arial"/>
          <w:rtl/>
        </w:rPr>
        <w:t xml:space="preserve"> מעשה בא לפני ר'</w:t>
      </w:r>
      <w:r>
        <w:rPr>
          <w:rFonts w:asciiTheme="minorBidi" w:hAnsiTheme="minorBidi" w:cs="Arial" w:hint="cs"/>
          <w:rtl/>
        </w:rPr>
        <w:t xml:space="preserve">) </w:t>
      </w:r>
      <w:r w:rsidRPr="00150A88">
        <w:rPr>
          <w:rFonts w:asciiTheme="minorBidi" w:hAnsiTheme="minorBidi" w:cs="Arial"/>
          <w:rtl/>
        </w:rPr>
        <w:t>וצ"ל דראבי"ה וסייעתו מיירי שאם יקלפוה יהיה חה"ל</w:t>
      </w:r>
      <w:r>
        <w:rPr>
          <w:rFonts w:hint="cs"/>
          <w:rtl/>
        </w:rPr>
        <w:t>.</w:t>
      </w:r>
    </w:p>
  </w:footnote>
  <w:footnote w:id="1974">
    <w:p w14:paraId="7A1DC60D" w14:textId="77777777" w:rsidR="004C5A3C" w:rsidRDefault="004C5A3C" w:rsidP="002C39F4">
      <w:pPr>
        <w:pStyle w:val="a5"/>
        <w:rPr>
          <w:rtl/>
        </w:rPr>
      </w:pPr>
      <w:r>
        <w:rPr>
          <w:rStyle w:val="a7"/>
        </w:rPr>
        <w:footnoteRef/>
      </w:r>
      <w:r>
        <w:rPr>
          <w:rtl/>
        </w:rPr>
        <w:t xml:space="preserve"> </w:t>
      </w:r>
      <w:r>
        <w:rPr>
          <w:rFonts w:hint="cs"/>
          <w:rtl/>
        </w:rPr>
        <w:t xml:space="preserve">וכ' הפר"ח (סקט"ו) וז"ל- </w:t>
      </w:r>
      <w:r w:rsidRPr="00AE4C88">
        <w:rPr>
          <w:rFonts w:cs="Arial"/>
          <w:rtl/>
        </w:rPr>
        <w:t xml:space="preserve">זו סברא דחויה ואין לה טעם וראיה, וסברא זו לא נמצאת אלא להרא"ש </w:t>
      </w:r>
      <w:r>
        <w:rPr>
          <w:rFonts w:cs="Arial" w:hint="cs"/>
          <w:rtl/>
        </w:rPr>
        <w:t>(</w:t>
      </w:r>
      <w:r w:rsidRPr="00AE4C88">
        <w:rPr>
          <w:rFonts w:cs="Arial"/>
          <w:rtl/>
        </w:rPr>
        <w:t>שם פ"ז סימן לו</w:t>
      </w:r>
      <w:r>
        <w:rPr>
          <w:rFonts w:cs="Arial" w:hint="cs"/>
          <w:rtl/>
        </w:rPr>
        <w:t>)</w:t>
      </w:r>
      <w:r w:rsidRPr="00AE4C88">
        <w:rPr>
          <w:rFonts w:cs="Arial"/>
          <w:rtl/>
        </w:rPr>
        <w:t xml:space="preserve"> שהזכירה בשם קצת גדולים</w:t>
      </w:r>
      <w:r>
        <w:rPr>
          <w:rFonts w:cs="Arial" w:hint="cs"/>
          <w:rtl/>
        </w:rPr>
        <w:t>..</w:t>
      </w:r>
      <w:r w:rsidRPr="00AE4C88">
        <w:rPr>
          <w:rFonts w:cs="Arial"/>
          <w:rtl/>
        </w:rPr>
        <w:t>. ומצאתי להרא"ה בבד</w:t>
      </w:r>
      <w:r>
        <w:rPr>
          <w:rFonts w:cs="Arial" w:hint="cs"/>
          <w:rtl/>
        </w:rPr>
        <w:t>ה"ב (</w:t>
      </w:r>
      <w:r w:rsidRPr="00AE4C88">
        <w:rPr>
          <w:rFonts w:cs="Arial"/>
          <w:rtl/>
        </w:rPr>
        <w:t>ב</w:t>
      </w:r>
      <w:r>
        <w:rPr>
          <w:rFonts w:cs="Arial" w:hint="cs"/>
          <w:rtl/>
        </w:rPr>
        <w:t>"ד</w:t>
      </w:r>
      <w:r w:rsidRPr="00AE4C88">
        <w:rPr>
          <w:rFonts w:cs="Arial"/>
          <w:rtl/>
        </w:rPr>
        <w:t xml:space="preserve"> </w:t>
      </w:r>
      <w:r>
        <w:rPr>
          <w:rFonts w:cs="Arial" w:hint="cs"/>
          <w:rtl/>
        </w:rPr>
        <w:t>ש"</w:t>
      </w:r>
      <w:r w:rsidRPr="00AE4C88">
        <w:rPr>
          <w:rFonts w:cs="Arial"/>
          <w:rtl/>
        </w:rPr>
        <w:t>ב כה</w:t>
      </w:r>
      <w:r>
        <w:rPr>
          <w:rFonts w:cs="Arial" w:hint="cs"/>
          <w:rtl/>
        </w:rPr>
        <w:t>.</w:t>
      </w:r>
      <w:r w:rsidRPr="00AE4C88">
        <w:rPr>
          <w:rFonts w:cs="Arial"/>
          <w:rtl/>
        </w:rPr>
        <w:t xml:space="preserve"> ד"ה עוד במה</w:t>
      </w:r>
      <w:r>
        <w:rPr>
          <w:rFonts w:cs="Arial" w:hint="cs"/>
          <w:rtl/>
        </w:rPr>
        <w:t>,</w:t>
      </w:r>
      <w:r w:rsidRPr="00AE4C88">
        <w:rPr>
          <w:rFonts w:cs="Arial"/>
          <w:rtl/>
        </w:rPr>
        <w:t xml:space="preserve"> כט</w:t>
      </w:r>
      <w:r>
        <w:rPr>
          <w:rFonts w:cs="Arial" w:hint="cs"/>
          <w:rtl/>
        </w:rPr>
        <w:t>:</w:t>
      </w:r>
      <w:r w:rsidRPr="00AE4C88">
        <w:rPr>
          <w:rFonts w:cs="Arial"/>
          <w:rtl/>
        </w:rPr>
        <w:t xml:space="preserve"> ד"ה עוד כתב</w:t>
      </w:r>
      <w:r>
        <w:rPr>
          <w:rFonts w:cs="Arial" w:hint="cs"/>
          <w:rtl/>
        </w:rPr>
        <w:t>)</w:t>
      </w:r>
      <w:r w:rsidRPr="00AE4C88">
        <w:rPr>
          <w:rFonts w:cs="Arial"/>
          <w:rtl/>
        </w:rPr>
        <w:t xml:space="preserve"> שסבור כאותם קצת גדולים שהזכיר הרא"ש. והשיג עליו הרשב"א במשמ</w:t>
      </w:r>
      <w:r>
        <w:rPr>
          <w:rFonts w:cs="Arial" w:hint="cs"/>
          <w:rtl/>
        </w:rPr>
        <w:t>ה"ב (</w:t>
      </w:r>
      <w:r w:rsidRPr="00AE4C88">
        <w:rPr>
          <w:rFonts w:cs="Arial"/>
          <w:rtl/>
        </w:rPr>
        <w:t>שם כה</w:t>
      </w:r>
      <w:r>
        <w:rPr>
          <w:rFonts w:cs="Arial" w:hint="cs"/>
          <w:rtl/>
        </w:rPr>
        <w:t>:</w:t>
      </w:r>
      <w:r w:rsidRPr="00AE4C88">
        <w:rPr>
          <w:rFonts w:cs="Arial"/>
          <w:rtl/>
        </w:rPr>
        <w:t xml:space="preserve"> דיבור ראשון; כט</w:t>
      </w:r>
      <w:r>
        <w:rPr>
          <w:rFonts w:cs="Arial" w:hint="cs"/>
          <w:rtl/>
        </w:rPr>
        <w:t>:</w:t>
      </w:r>
      <w:r w:rsidRPr="00AE4C88">
        <w:rPr>
          <w:rFonts w:cs="Arial"/>
          <w:rtl/>
        </w:rPr>
        <w:t xml:space="preserve"> ד"ה אמר הכותב כבר כתבתי</w:t>
      </w:r>
      <w:r>
        <w:rPr>
          <w:rFonts w:cs="Arial" w:hint="cs"/>
          <w:rtl/>
        </w:rPr>
        <w:t>)</w:t>
      </w:r>
      <w:r w:rsidRPr="00AE4C88">
        <w:rPr>
          <w:rFonts w:cs="Arial"/>
          <w:rtl/>
        </w:rPr>
        <w:t xml:space="preserve"> שלא נשמע מעולם מי שאמר כן ע"ש, וכבר כתבתי שכן דעת המחבר</w:t>
      </w:r>
      <w:r>
        <w:rPr>
          <w:rFonts w:cs="Arial" w:hint="cs"/>
          <w:rtl/>
        </w:rPr>
        <w:t xml:space="preserve"> </w:t>
      </w:r>
      <w:r>
        <w:rPr>
          <w:rFonts w:cs="Arial" w:hint="cs"/>
          <w:sz w:val="16"/>
          <w:szCs w:val="16"/>
          <w:rtl/>
        </w:rPr>
        <w:t>{היינו דמקרי חה"ל אע"ג דאינה מבושלת}</w:t>
      </w:r>
      <w:r>
        <w:rPr>
          <w:rFonts w:cs="Arial" w:hint="cs"/>
          <w:rtl/>
        </w:rPr>
        <w:t>(בסי' קי סע' ה),</w:t>
      </w:r>
      <w:r w:rsidRPr="00AE4C88">
        <w:rPr>
          <w:rFonts w:cs="Arial"/>
          <w:rtl/>
        </w:rPr>
        <w:t xml:space="preserve"> וכ</w:t>
      </w:r>
      <w:r>
        <w:rPr>
          <w:rFonts w:cs="Arial" w:hint="cs"/>
          <w:rtl/>
        </w:rPr>
        <w:t>"</w:t>
      </w:r>
      <w:r w:rsidRPr="00AE4C88">
        <w:rPr>
          <w:rFonts w:cs="Arial"/>
          <w:rtl/>
        </w:rPr>
        <w:t xml:space="preserve">פ בספר מנחת כהן </w:t>
      </w:r>
      <w:r>
        <w:rPr>
          <w:rFonts w:cs="Arial" w:hint="cs"/>
          <w:rtl/>
        </w:rPr>
        <w:t>(</w:t>
      </w:r>
      <w:r w:rsidRPr="00AE4C88">
        <w:rPr>
          <w:rFonts w:cs="Arial"/>
          <w:rtl/>
        </w:rPr>
        <w:t>ח"ג פ</w:t>
      </w:r>
      <w:r>
        <w:rPr>
          <w:rFonts w:cs="Arial" w:hint="cs"/>
          <w:rtl/>
        </w:rPr>
        <w:t>"</w:t>
      </w:r>
      <w:r w:rsidRPr="00AE4C88">
        <w:rPr>
          <w:rFonts w:cs="Arial"/>
          <w:rtl/>
        </w:rPr>
        <w:t>א</w:t>
      </w:r>
      <w:r>
        <w:rPr>
          <w:rFonts w:cs="Arial" w:hint="cs"/>
          <w:rtl/>
        </w:rPr>
        <w:t>)</w:t>
      </w:r>
      <w:r w:rsidRPr="00AE4C88">
        <w:rPr>
          <w:rFonts w:cs="Arial"/>
          <w:rtl/>
        </w:rPr>
        <w:t xml:space="preserve"> ע"ש</w:t>
      </w:r>
      <w:r>
        <w:rPr>
          <w:rFonts w:cs="Arial" w:hint="cs"/>
          <w:rtl/>
        </w:rPr>
        <w:t>,</w:t>
      </w:r>
      <w:r w:rsidRPr="00AE4C88">
        <w:rPr>
          <w:rFonts w:cs="Arial"/>
          <w:rtl/>
        </w:rPr>
        <w:t xml:space="preserve"> והכי נקטינן</w:t>
      </w:r>
      <w:r>
        <w:rPr>
          <w:rFonts w:cs="Arial" w:hint="cs"/>
          <w:rtl/>
        </w:rPr>
        <w:t>.</w:t>
      </w:r>
      <w:r>
        <w:rPr>
          <w:rFonts w:hint="cs"/>
          <w:rtl/>
        </w:rPr>
        <w:t xml:space="preserve"> עכ"ל הפר"ח. אך מה שכתב שדעה זו יחידאה היא - אינו כן, דהרי כך כתב המאירי ובפירוש ר' אברהם מן ההר ליבמות (פב.) והרמב"ן בחידו' (ע"ז עד. ד"ה וקשינן) והריטב"א (חולין ק.) בשם רבו הרא"ה וכתב שכן עיקר, וכן החיד"א בשיורי ברכה כתב בשם מהר"ש עמאר, ושכן נהגו במראכש. וכן העיד בשלחן גבוה (סק"ח) משם מה"ר יצחק הכהן (תלמיד הפר"ח) דמנהג ירושלים ע"פ גאוני קמאי דלא מקרי חה"ל אלא מבושלת דוקא. וכ"פ בשו"ת יבי"א (ח"ה חיו"ד סי' ח).</w:t>
      </w:r>
    </w:p>
  </w:footnote>
  <w:footnote w:id="1975">
    <w:p w14:paraId="6343CFB1" w14:textId="77777777" w:rsidR="004C5A3C" w:rsidRDefault="004C5A3C" w:rsidP="002C39F4">
      <w:pPr>
        <w:pStyle w:val="a5"/>
        <w:rPr>
          <w:rtl/>
        </w:rPr>
      </w:pPr>
      <w:r>
        <w:rPr>
          <w:rStyle w:val="a7"/>
        </w:rPr>
        <w:footnoteRef/>
      </w:r>
      <w:r>
        <w:rPr>
          <w:rtl/>
        </w:rPr>
        <w:t xml:space="preserve"> </w:t>
      </w:r>
      <w:r>
        <w:rPr>
          <w:rFonts w:cs="Arial" w:hint="cs"/>
          <w:rtl/>
        </w:rPr>
        <w:t>וראייתו מ</w:t>
      </w:r>
      <w:r w:rsidRPr="00BC3465">
        <w:rPr>
          <w:rFonts w:cs="Arial"/>
          <w:rtl/>
        </w:rPr>
        <w:t>פרק בתרא דערלה דחשיב את שדרכו למנות ובכללן חלפי תרדין וקולחי כרוב ודלעת יוונית</w:t>
      </w:r>
      <w:r>
        <w:rPr>
          <w:rFonts w:cs="Arial" w:hint="cs"/>
          <w:rtl/>
        </w:rPr>
        <w:t>, ופירש</w:t>
      </w:r>
      <w:r w:rsidRPr="00BC3465">
        <w:rPr>
          <w:rFonts w:cs="Arial"/>
          <w:rtl/>
        </w:rPr>
        <w:t xml:space="preserve"> </w:t>
      </w:r>
      <w:r>
        <w:rPr>
          <w:rFonts w:cs="Arial" w:hint="cs"/>
          <w:rtl/>
        </w:rPr>
        <w:t>ד</w:t>
      </w:r>
      <w:r w:rsidRPr="00BC3465">
        <w:rPr>
          <w:rFonts w:cs="Arial"/>
          <w:rtl/>
        </w:rPr>
        <w:t>בחיין איירי</w:t>
      </w:r>
      <w:r>
        <w:rPr>
          <w:rFonts w:cs="Arial" w:hint="cs"/>
          <w:rtl/>
        </w:rPr>
        <w:t>,</w:t>
      </w:r>
      <w:r w:rsidRPr="00BC3465">
        <w:rPr>
          <w:rFonts w:cs="Arial"/>
          <w:rtl/>
        </w:rPr>
        <w:t xml:space="preserve"> דתרדין וכרוב ודלעת אין דרך לבשלן שלימין אלא מחתכין אותן לחתיכות דקות ואז בטילי אלא ע"כ בחיין איירי ולא חזו השתא לאכילה אפילו הכי לא בטלי משום חשיבותא</w:t>
      </w:r>
      <w:r>
        <w:rPr>
          <w:rFonts w:cs="Arial" w:hint="cs"/>
          <w:rtl/>
        </w:rPr>
        <w:t>,</w:t>
      </w:r>
      <w:r w:rsidRPr="00BC3465">
        <w:rPr>
          <w:rFonts w:cs="Arial"/>
          <w:rtl/>
        </w:rPr>
        <w:t xml:space="preserve"> ה"ה נמי חתיכה הראויה להתכבד בפני האורחים לא בטל חשיבותה א</w:t>
      </w:r>
      <w:r>
        <w:rPr>
          <w:rFonts w:cs="Arial" w:hint="cs"/>
          <w:rtl/>
        </w:rPr>
        <w:t>ע"</w:t>
      </w:r>
      <w:r w:rsidRPr="00BC3465">
        <w:rPr>
          <w:rFonts w:cs="Arial"/>
          <w:rtl/>
        </w:rPr>
        <w:t>ג דלא חזי השתא לאורחים. וכן הנהו דפ</w:t>
      </w:r>
      <w:r>
        <w:rPr>
          <w:rFonts w:cs="Arial" w:hint="cs"/>
          <w:rtl/>
        </w:rPr>
        <w:t>ב"ת</w:t>
      </w:r>
      <w:r w:rsidRPr="00BC3465">
        <w:rPr>
          <w:rFonts w:cs="Arial"/>
          <w:rtl/>
        </w:rPr>
        <w:t xml:space="preserve"> דע"ז (</w:t>
      </w:r>
      <w:r>
        <w:rPr>
          <w:rFonts w:cs="Arial" w:hint="cs"/>
          <w:rtl/>
        </w:rPr>
        <w:t>עד.</w:t>
      </w:r>
      <w:r w:rsidRPr="00BC3465">
        <w:rPr>
          <w:rFonts w:cs="Arial"/>
          <w:rtl/>
        </w:rPr>
        <w:t xml:space="preserve">) דקתני </w:t>
      </w:r>
      <w:r>
        <w:rPr>
          <w:rFonts w:cs="Arial" w:hint="cs"/>
          <w:rtl/>
        </w:rPr>
        <w:t>'</w:t>
      </w:r>
      <w:r w:rsidRPr="00BC3465">
        <w:rPr>
          <w:rFonts w:cs="Arial"/>
          <w:rtl/>
        </w:rPr>
        <w:t>ואלו אסורין ואוסרין בכל שהוא</w:t>
      </w:r>
      <w:r>
        <w:rPr>
          <w:rFonts w:cs="Arial" w:hint="cs"/>
          <w:rtl/>
        </w:rPr>
        <w:t>'</w:t>
      </w:r>
      <w:r w:rsidRPr="00BC3465">
        <w:rPr>
          <w:rFonts w:cs="Arial"/>
          <w:rtl/>
        </w:rPr>
        <w:t xml:space="preserve"> ומפרש בגמרא דהאי תנא תרתי אית ליה</w:t>
      </w:r>
      <w:r>
        <w:rPr>
          <w:rFonts w:cs="Arial" w:hint="cs"/>
          <w:rtl/>
        </w:rPr>
        <w:t>,</w:t>
      </w:r>
      <w:r w:rsidRPr="00BC3465">
        <w:rPr>
          <w:rFonts w:cs="Arial"/>
          <w:rtl/>
        </w:rPr>
        <w:t xml:space="preserve"> דבר שבמנין ואיסורי הנאה</w:t>
      </w:r>
      <w:r>
        <w:rPr>
          <w:rFonts w:cs="Arial" w:hint="cs"/>
          <w:rtl/>
        </w:rPr>
        <w:t>,</w:t>
      </w:r>
      <w:r w:rsidRPr="00BC3465">
        <w:rPr>
          <w:rFonts w:cs="Arial"/>
          <w:rtl/>
        </w:rPr>
        <w:t xml:space="preserve"> וקתני התם ציפורי מצורע ופטר חמור ועגלה ערופה וחולין שנשחטו בעזרה</w:t>
      </w:r>
      <w:r>
        <w:rPr>
          <w:rFonts w:cs="Arial" w:hint="cs"/>
          <w:rtl/>
        </w:rPr>
        <w:t>,</w:t>
      </w:r>
      <w:r w:rsidRPr="00BC3465">
        <w:rPr>
          <w:rFonts w:cs="Arial"/>
          <w:rtl/>
        </w:rPr>
        <w:t xml:space="preserve"> ואע</w:t>
      </w:r>
      <w:r>
        <w:rPr>
          <w:rFonts w:cs="Arial" w:hint="cs"/>
          <w:rtl/>
        </w:rPr>
        <w:t>"</w:t>
      </w:r>
      <w:r w:rsidRPr="00BC3465">
        <w:rPr>
          <w:rFonts w:cs="Arial"/>
          <w:rtl/>
        </w:rPr>
        <w:t>ג דהשתא לא חזו למיכל לא בטילי משום חשיבותיהו דחשיב את שדרכו למנות. ובגמרא פריך עלה וליחשוב נמי חתיכת נבילה אלמא דחתיכת נבילה הראויה להתכבד הויא דומיא דהנך דקתני דלא בטלי מפני חשיבותם אע</w:t>
      </w:r>
      <w:r>
        <w:rPr>
          <w:rFonts w:cs="Arial" w:hint="cs"/>
          <w:rtl/>
        </w:rPr>
        <w:t>"</w:t>
      </w:r>
      <w:r w:rsidRPr="00BC3465">
        <w:rPr>
          <w:rFonts w:cs="Arial"/>
          <w:rtl/>
        </w:rPr>
        <w:t>ג דהשתא לא חזו למיכל</w:t>
      </w:r>
      <w:r>
        <w:rPr>
          <w:rFonts w:hint="cs"/>
          <w:rtl/>
        </w:rPr>
        <w:t>, רא"ש.</w:t>
      </w:r>
    </w:p>
  </w:footnote>
  <w:footnote w:id="1976">
    <w:p w14:paraId="3B839397" w14:textId="77777777" w:rsidR="004C5A3C" w:rsidRPr="0014462D" w:rsidRDefault="004C5A3C" w:rsidP="002C39F4">
      <w:pPr>
        <w:spacing w:after="0" w:line="240" w:lineRule="auto"/>
        <w:rPr>
          <w:sz w:val="20"/>
          <w:szCs w:val="20"/>
          <w:rtl/>
        </w:rPr>
      </w:pPr>
      <w:r w:rsidRPr="0037449B">
        <w:rPr>
          <w:rStyle w:val="a7"/>
        </w:rPr>
        <w:footnoteRef/>
      </w:r>
      <w:r w:rsidRPr="0037449B">
        <w:rPr>
          <w:rFonts w:hint="cs"/>
          <w:sz w:val="20"/>
          <w:szCs w:val="20"/>
          <w:rtl/>
        </w:rPr>
        <w:t xml:space="preserve"> </w:t>
      </w:r>
      <w:r w:rsidRPr="0037449B">
        <w:rPr>
          <w:sz w:val="20"/>
          <w:szCs w:val="20"/>
          <w:rtl/>
        </w:rPr>
        <w:t>ומשום שהיא חיה לא בטיל חשיבותא</w:t>
      </w:r>
      <w:r w:rsidRPr="0037449B">
        <w:rPr>
          <w:rFonts w:hint="cs"/>
          <w:sz w:val="20"/>
          <w:szCs w:val="20"/>
          <w:rtl/>
        </w:rPr>
        <w:t xml:space="preserve">... </w:t>
      </w:r>
      <w:r w:rsidRPr="0037449B">
        <w:rPr>
          <w:sz w:val="20"/>
          <w:szCs w:val="20"/>
          <w:rtl/>
        </w:rPr>
        <w:t>וכן בהמה שלמה חיה לא בטלה</w:t>
      </w:r>
      <w:r w:rsidRPr="0037449B">
        <w:rPr>
          <w:rFonts w:hint="cs"/>
          <w:sz w:val="20"/>
          <w:szCs w:val="20"/>
          <w:rtl/>
        </w:rPr>
        <w:t>...</w:t>
      </w:r>
      <w:r w:rsidRPr="0037449B">
        <w:rPr>
          <w:sz w:val="20"/>
          <w:szCs w:val="20"/>
          <w:rtl/>
        </w:rPr>
        <w:t xml:space="preserve"> וכי בשביל שראוי לחלק לכמה חתיכות חשובות גרע טפי</w:t>
      </w:r>
      <w:r w:rsidRPr="0037449B">
        <w:rPr>
          <w:rFonts w:hint="cs"/>
          <w:sz w:val="20"/>
          <w:szCs w:val="20"/>
          <w:rtl/>
        </w:rPr>
        <w:t>,</w:t>
      </w:r>
      <w:r w:rsidRPr="0037449B">
        <w:rPr>
          <w:sz w:val="20"/>
          <w:szCs w:val="20"/>
          <w:rtl/>
        </w:rPr>
        <w:t xml:space="preserve"> כל שכן דחשיב טפי את שדרכו למנות</w:t>
      </w:r>
      <w:r w:rsidRPr="0037449B">
        <w:rPr>
          <w:rFonts w:hint="cs"/>
          <w:sz w:val="20"/>
          <w:szCs w:val="20"/>
          <w:rtl/>
        </w:rPr>
        <w:t>,</w:t>
      </w:r>
      <w:r w:rsidRPr="0037449B">
        <w:rPr>
          <w:sz w:val="20"/>
          <w:szCs w:val="20"/>
          <w:rtl/>
        </w:rPr>
        <w:t xml:space="preserve"> וכן תרנגולת בעודה בנוצתה</w:t>
      </w:r>
      <w:r w:rsidRPr="0037449B">
        <w:rPr>
          <w:rFonts w:hint="cs"/>
          <w:sz w:val="20"/>
          <w:szCs w:val="20"/>
          <w:rtl/>
        </w:rPr>
        <w:t>...</w:t>
      </w:r>
      <w:r w:rsidRPr="0037449B">
        <w:rPr>
          <w:sz w:val="20"/>
          <w:szCs w:val="20"/>
          <w:rtl/>
        </w:rPr>
        <w:t xml:space="preserve"> כיון שאחר תיקונה ובשולה ראויה להתכבד בה אורח </w:t>
      </w:r>
      <w:r w:rsidRPr="0014462D">
        <w:rPr>
          <w:sz w:val="20"/>
          <w:szCs w:val="20"/>
          <w:rtl/>
        </w:rPr>
        <w:t>גם עתה חשיבא את שדרכו לימנות</w:t>
      </w:r>
      <w:r w:rsidRPr="0014462D">
        <w:rPr>
          <w:rFonts w:hint="cs"/>
          <w:sz w:val="20"/>
          <w:szCs w:val="20"/>
          <w:rtl/>
        </w:rPr>
        <w:t>, רא"ש (שם).</w:t>
      </w:r>
    </w:p>
  </w:footnote>
  <w:footnote w:id="1977">
    <w:p w14:paraId="41C1DCF9" w14:textId="77777777" w:rsidR="004C5A3C" w:rsidRDefault="004C5A3C" w:rsidP="002C39F4">
      <w:pPr>
        <w:pStyle w:val="a5"/>
        <w:rPr>
          <w:rtl/>
        </w:rPr>
      </w:pPr>
      <w:r>
        <w:rPr>
          <w:rStyle w:val="a7"/>
        </w:rPr>
        <w:footnoteRef/>
      </w:r>
      <w:r>
        <w:rPr>
          <w:rtl/>
        </w:rPr>
        <w:t xml:space="preserve"> </w:t>
      </w:r>
      <w:r w:rsidRPr="00E74B04">
        <w:rPr>
          <w:rFonts w:cs="Arial"/>
          <w:rtl/>
        </w:rPr>
        <w:t xml:space="preserve">מדפריך </w:t>
      </w:r>
      <w:r>
        <w:rPr>
          <w:rFonts w:cs="Arial" w:hint="cs"/>
          <w:rtl/>
        </w:rPr>
        <w:t>ב</w:t>
      </w:r>
      <w:r w:rsidRPr="00E74B04">
        <w:rPr>
          <w:rFonts w:cs="Arial"/>
          <w:rtl/>
        </w:rPr>
        <w:t>פרק התערובות (שם) וליבטלו ברובא ומשני משום דבעלי חיים לא בטלי אלמא שחוט בדכוותיה בטיל</w:t>
      </w:r>
      <w:r>
        <w:rPr>
          <w:rFonts w:hint="cs"/>
          <w:rtl/>
        </w:rPr>
        <w:t>, רשב"א.</w:t>
      </w:r>
    </w:p>
  </w:footnote>
  <w:footnote w:id="1978">
    <w:p w14:paraId="4547237C" w14:textId="77777777" w:rsidR="004C5A3C" w:rsidRDefault="004C5A3C" w:rsidP="002C39F4">
      <w:pPr>
        <w:pStyle w:val="a5"/>
      </w:pPr>
      <w:r>
        <w:rPr>
          <w:rStyle w:val="a7"/>
        </w:rPr>
        <w:footnoteRef/>
      </w:r>
      <w:r>
        <w:rPr>
          <w:rFonts w:hint="cs"/>
          <w:rtl/>
        </w:rPr>
        <w:t xml:space="preserve"> כשהרא"ש הביא דעה זו כתב גם חתיכה חיה בהדי הנך, אך מדברי ההגשע"ד נראה דדוקא בכה"ג לא בטילה כיון דמחוסר מעשה, אבל חתיכה חיה לא מחוסרת מעשה כל כך.</w:t>
      </w:r>
    </w:p>
  </w:footnote>
  <w:footnote w:id="1979">
    <w:p w14:paraId="55291C85" w14:textId="77777777" w:rsidR="004C5A3C" w:rsidRPr="00884B6D" w:rsidRDefault="004C5A3C" w:rsidP="002C39F4">
      <w:pPr>
        <w:pStyle w:val="a5"/>
        <w:rPr>
          <w:rFonts w:cs="Arial"/>
          <w:rtl/>
        </w:rPr>
      </w:pPr>
      <w:r>
        <w:rPr>
          <w:rStyle w:val="a7"/>
        </w:rPr>
        <w:footnoteRef/>
      </w:r>
      <w:r>
        <w:rPr>
          <w:rtl/>
        </w:rPr>
        <w:t xml:space="preserve"> </w:t>
      </w:r>
      <w:r>
        <w:rPr>
          <w:rFonts w:cs="Arial" w:hint="cs"/>
          <w:rtl/>
        </w:rPr>
        <w:t>וכ' ה</w:t>
      </w:r>
      <w:r>
        <w:rPr>
          <w:rFonts w:cs="Arial"/>
          <w:rtl/>
        </w:rPr>
        <w:t xml:space="preserve">מרדכי </w:t>
      </w:r>
      <w:r w:rsidRPr="00005CE1">
        <w:rPr>
          <w:rFonts w:cs="Arial"/>
          <w:sz w:val="16"/>
          <w:szCs w:val="16"/>
          <w:rtl/>
        </w:rPr>
        <w:t>(</w:t>
      </w:r>
      <w:r w:rsidRPr="00005CE1">
        <w:rPr>
          <w:rFonts w:cs="Arial" w:hint="cs"/>
          <w:sz w:val="16"/>
          <w:szCs w:val="16"/>
          <w:rtl/>
        </w:rPr>
        <w:t xml:space="preserve">ביצה </w:t>
      </w:r>
      <w:r w:rsidRPr="00005CE1">
        <w:rPr>
          <w:rFonts w:cs="Arial"/>
          <w:sz w:val="16"/>
          <w:szCs w:val="16"/>
          <w:rtl/>
        </w:rPr>
        <w:t xml:space="preserve">סי' תרמו) </w:t>
      </w:r>
      <w:r>
        <w:rPr>
          <w:rFonts w:cs="Arial" w:hint="cs"/>
          <w:rtl/>
        </w:rPr>
        <w:t>ו</w:t>
      </w:r>
      <w:r w:rsidRPr="00441281">
        <w:rPr>
          <w:rFonts w:cs="Arial"/>
          <w:rtl/>
        </w:rPr>
        <w:t>שע</w:t>
      </w:r>
      <w:r w:rsidRPr="00441281">
        <w:rPr>
          <w:rFonts w:cs="Arial" w:hint="cs"/>
          <w:rtl/>
        </w:rPr>
        <w:t>"</w:t>
      </w:r>
      <w:r w:rsidRPr="00441281">
        <w:rPr>
          <w:rFonts w:cs="Arial"/>
          <w:rtl/>
        </w:rPr>
        <w:t xml:space="preserve">ד </w:t>
      </w:r>
      <w:r w:rsidRPr="00005CE1">
        <w:rPr>
          <w:rFonts w:cs="Arial"/>
          <w:sz w:val="16"/>
          <w:szCs w:val="16"/>
          <w:rtl/>
        </w:rPr>
        <w:t xml:space="preserve">(סי' מ) </w:t>
      </w:r>
      <w:r w:rsidRPr="00441281">
        <w:rPr>
          <w:rFonts w:cs="Arial"/>
          <w:rtl/>
        </w:rPr>
        <w:t>שכן עשה מעשה רבי יעקב בתרנגולת נבלה שנתערבה בשתי שחוטות כשרות והתיר ר"ת דהואיל ולא ניטלה נוצתה אינה ראויה להתכבד לפני האורחים כמו שהיא</w:t>
      </w:r>
      <w:r>
        <w:rPr>
          <w:rFonts w:cs="Arial" w:hint="cs"/>
          <w:rtl/>
        </w:rPr>
        <w:t>, עכ"ל.</w:t>
      </w:r>
      <w:r w:rsidRPr="00884B6D">
        <w:rPr>
          <w:rFonts w:cs="Arial"/>
          <w:rtl/>
        </w:rPr>
        <w:t xml:space="preserve"> </w:t>
      </w:r>
      <w:r>
        <w:rPr>
          <w:rFonts w:cs="Arial" w:hint="cs"/>
          <w:rtl/>
        </w:rPr>
        <w:t xml:space="preserve">וכ' מהרא"י </w:t>
      </w:r>
      <w:r w:rsidRPr="00005CE1">
        <w:rPr>
          <w:rFonts w:cs="Arial" w:hint="cs"/>
          <w:sz w:val="16"/>
          <w:szCs w:val="16"/>
          <w:rtl/>
        </w:rPr>
        <w:t>(בהגשע"ד</w:t>
      </w:r>
      <w:r w:rsidRPr="00005CE1">
        <w:rPr>
          <w:rFonts w:cs="Arial"/>
          <w:sz w:val="16"/>
          <w:szCs w:val="16"/>
          <w:rtl/>
        </w:rPr>
        <w:t xml:space="preserve"> </w:t>
      </w:r>
      <w:r w:rsidRPr="00005CE1">
        <w:rPr>
          <w:rFonts w:cs="Arial" w:hint="cs"/>
          <w:sz w:val="16"/>
          <w:szCs w:val="16"/>
          <w:rtl/>
        </w:rPr>
        <w:t xml:space="preserve">סי' מ </w:t>
      </w:r>
      <w:r w:rsidRPr="00005CE1">
        <w:rPr>
          <w:rFonts w:cs="Arial"/>
          <w:sz w:val="16"/>
          <w:szCs w:val="16"/>
          <w:rtl/>
        </w:rPr>
        <w:t>סק</w:t>
      </w:r>
      <w:r w:rsidRPr="00005CE1">
        <w:rPr>
          <w:rFonts w:cs="Arial" w:hint="cs"/>
          <w:sz w:val="16"/>
          <w:szCs w:val="16"/>
          <w:rtl/>
        </w:rPr>
        <w:t>"</w:t>
      </w:r>
      <w:r w:rsidRPr="00005CE1">
        <w:rPr>
          <w:rFonts w:cs="Arial"/>
          <w:sz w:val="16"/>
          <w:szCs w:val="16"/>
          <w:rtl/>
        </w:rPr>
        <w:t xml:space="preserve">ב) </w:t>
      </w:r>
      <w:r>
        <w:rPr>
          <w:rFonts w:cs="Arial" w:hint="cs"/>
          <w:rtl/>
        </w:rPr>
        <w:t>דהכי נהיגין. וכ' עוד דגם</w:t>
      </w:r>
      <w:r>
        <w:rPr>
          <w:rFonts w:cs="Arial"/>
          <w:rtl/>
        </w:rPr>
        <w:t xml:space="preserve"> </w:t>
      </w:r>
      <w:r>
        <w:rPr>
          <w:rFonts w:cs="Arial" w:hint="cs"/>
          <w:rtl/>
        </w:rPr>
        <w:t>ב</w:t>
      </w:r>
      <w:r>
        <w:rPr>
          <w:rFonts w:cs="Arial"/>
          <w:rtl/>
        </w:rPr>
        <w:t>כבש או אווז שלימה וחתיכה חיה</w:t>
      </w:r>
      <w:r>
        <w:rPr>
          <w:rFonts w:cs="Arial" w:hint="cs"/>
          <w:rtl/>
        </w:rPr>
        <w:t xml:space="preserve"> </w:t>
      </w:r>
      <w:r>
        <w:rPr>
          <w:rFonts w:cs="Arial" w:hint="cs"/>
          <w:sz w:val="16"/>
          <w:szCs w:val="16"/>
          <w:rtl/>
        </w:rPr>
        <w:t xml:space="preserve">{אע"פ שלא נמלחה} </w:t>
      </w:r>
      <w:r>
        <w:rPr>
          <w:rFonts w:cs="Arial"/>
          <w:rtl/>
        </w:rPr>
        <w:t>נהיגי דלא בטילה</w:t>
      </w:r>
      <w:r>
        <w:rPr>
          <w:rFonts w:cs="Arial" w:hint="cs"/>
          <w:rtl/>
        </w:rPr>
        <w:t>.</w:t>
      </w:r>
    </w:p>
  </w:footnote>
  <w:footnote w:id="1980">
    <w:p w14:paraId="2537F74E" w14:textId="77777777" w:rsidR="004C5A3C" w:rsidRDefault="004C5A3C" w:rsidP="002C39F4">
      <w:pPr>
        <w:pStyle w:val="a5"/>
        <w:rPr>
          <w:rtl/>
        </w:rPr>
      </w:pPr>
      <w:r>
        <w:rPr>
          <w:rStyle w:val="a7"/>
        </w:rPr>
        <w:footnoteRef/>
      </w:r>
      <w:r>
        <w:rPr>
          <w:rtl/>
        </w:rPr>
        <w:t xml:space="preserve"> </w:t>
      </w:r>
      <w:r>
        <w:rPr>
          <w:rFonts w:cs="Arial" w:hint="cs"/>
          <w:rtl/>
        </w:rPr>
        <w:t xml:space="preserve">וגם הב"י </w:t>
      </w:r>
      <w:r w:rsidRPr="00DA4BDB">
        <w:rPr>
          <w:rFonts w:cs="Arial" w:hint="cs"/>
          <w:sz w:val="16"/>
          <w:szCs w:val="16"/>
          <w:rtl/>
        </w:rPr>
        <w:t>(הביאו הדרכ"מ אות א*</w:t>
      </w:r>
      <w:r w:rsidRPr="00DA4BDB">
        <w:rPr>
          <w:rFonts w:cs="Arial" w:hint="cs"/>
          <w:color w:val="FF0000"/>
          <w:sz w:val="16"/>
          <w:szCs w:val="16"/>
          <w:rtl/>
        </w:rPr>
        <w:t>- צ</w:t>
      </w:r>
      <w:r>
        <w:rPr>
          <w:rFonts w:cs="Arial" w:hint="cs"/>
          <w:color w:val="FF0000"/>
          <w:sz w:val="16"/>
          <w:szCs w:val="16"/>
          <w:rtl/>
        </w:rPr>
        <w:t>ל</w:t>
      </w:r>
      <w:r w:rsidRPr="00DA4BDB">
        <w:rPr>
          <w:rFonts w:cs="Arial" w:hint="cs"/>
          <w:color w:val="FF0000"/>
          <w:sz w:val="16"/>
          <w:szCs w:val="16"/>
          <w:rtl/>
        </w:rPr>
        <w:t>"ע איפה</w:t>
      </w:r>
      <w:r>
        <w:rPr>
          <w:rFonts w:cs="Arial" w:hint="cs"/>
          <w:color w:val="FF0000"/>
          <w:sz w:val="16"/>
          <w:szCs w:val="16"/>
          <w:rtl/>
        </w:rPr>
        <w:t xml:space="preserve"> כתב הב"י כן</w:t>
      </w:r>
      <w:r w:rsidRPr="00DA4BDB">
        <w:rPr>
          <w:rFonts w:cs="Arial" w:hint="cs"/>
          <w:sz w:val="16"/>
          <w:szCs w:val="16"/>
          <w:rtl/>
        </w:rPr>
        <w:t>)</w:t>
      </w:r>
      <w:r>
        <w:rPr>
          <w:rFonts w:cs="Arial" w:hint="cs"/>
          <w:rtl/>
        </w:rPr>
        <w:t xml:space="preserve"> כתב ד</w:t>
      </w:r>
      <w:r>
        <w:rPr>
          <w:rFonts w:cs="Arial"/>
          <w:rtl/>
        </w:rPr>
        <w:t>יש מרבותינו שמקילין לנהוג דאף חתיכה שלא נמלחה בטל</w:t>
      </w:r>
      <w:r>
        <w:rPr>
          <w:rFonts w:cs="Arial" w:hint="cs"/>
          <w:rtl/>
        </w:rPr>
        <w:t>ה.</w:t>
      </w:r>
    </w:p>
  </w:footnote>
  <w:footnote w:id="1981">
    <w:p w14:paraId="6F172EC5" w14:textId="77777777" w:rsidR="004C5A3C" w:rsidRDefault="004C5A3C" w:rsidP="002C39F4">
      <w:pPr>
        <w:pStyle w:val="a5"/>
      </w:pPr>
      <w:r>
        <w:rPr>
          <w:rStyle w:val="a7"/>
        </w:rPr>
        <w:footnoteRef/>
      </w:r>
      <w:r>
        <w:rPr>
          <w:rtl/>
        </w:rPr>
        <w:t xml:space="preserve"> </w:t>
      </w:r>
      <w:r>
        <w:rPr>
          <w:rFonts w:cs="Arial" w:hint="cs"/>
          <w:rtl/>
        </w:rPr>
        <w:t xml:space="preserve">וגם הב"י </w:t>
      </w:r>
      <w:r w:rsidRPr="00DA4BDB">
        <w:rPr>
          <w:rFonts w:cs="Arial" w:hint="cs"/>
          <w:sz w:val="16"/>
          <w:szCs w:val="16"/>
          <w:rtl/>
        </w:rPr>
        <w:t>(הביאו הדרכ"מ אות א*</w:t>
      </w:r>
      <w:r w:rsidRPr="00DA4BDB">
        <w:rPr>
          <w:rFonts w:cs="Arial" w:hint="cs"/>
          <w:color w:val="FF0000"/>
          <w:sz w:val="16"/>
          <w:szCs w:val="16"/>
          <w:rtl/>
        </w:rPr>
        <w:t>- צ</w:t>
      </w:r>
      <w:r>
        <w:rPr>
          <w:rFonts w:cs="Arial" w:hint="cs"/>
          <w:color w:val="FF0000"/>
          <w:sz w:val="16"/>
          <w:szCs w:val="16"/>
          <w:rtl/>
        </w:rPr>
        <w:t>ל</w:t>
      </w:r>
      <w:r w:rsidRPr="00DA4BDB">
        <w:rPr>
          <w:rFonts w:cs="Arial" w:hint="cs"/>
          <w:color w:val="FF0000"/>
          <w:sz w:val="16"/>
          <w:szCs w:val="16"/>
          <w:rtl/>
        </w:rPr>
        <w:t>"ע איפה</w:t>
      </w:r>
      <w:r>
        <w:rPr>
          <w:rFonts w:cs="Arial" w:hint="cs"/>
          <w:color w:val="FF0000"/>
          <w:sz w:val="16"/>
          <w:szCs w:val="16"/>
          <w:rtl/>
        </w:rPr>
        <w:t xml:space="preserve"> כתב הב"י כן</w:t>
      </w:r>
      <w:r w:rsidRPr="00DA4BDB">
        <w:rPr>
          <w:rFonts w:cs="Arial" w:hint="cs"/>
          <w:sz w:val="16"/>
          <w:szCs w:val="16"/>
          <w:rtl/>
        </w:rPr>
        <w:t>)</w:t>
      </w:r>
      <w:r>
        <w:rPr>
          <w:rFonts w:cs="Arial" w:hint="cs"/>
          <w:rtl/>
        </w:rPr>
        <w:t xml:space="preserve"> כתב ד</w:t>
      </w:r>
      <w:r>
        <w:rPr>
          <w:rFonts w:cs="Arial"/>
          <w:rtl/>
        </w:rPr>
        <w:t>יש מרבותינו שמקילין לנהוג דאף רגלים שלא נטלו טלפיהם בטלים</w:t>
      </w:r>
      <w:r>
        <w:rPr>
          <w:rFonts w:cs="Arial" w:hint="cs"/>
          <w:rtl/>
        </w:rPr>
        <w:t xml:space="preserve">. ומשמע מדברי שע"ד דאם ניטלו טלפיהם הוי חה"ל. וגם </w:t>
      </w:r>
      <w:r w:rsidRPr="00005CE1">
        <w:rPr>
          <w:rFonts w:cs="Arial"/>
          <w:rtl/>
        </w:rPr>
        <w:t xml:space="preserve">ריב"א </w:t>
      </w:r>
      <w:r w:rsidRPr="00120544">
        <w:rPr>
          <w:rFonts w:cs="Arial" w:hint="cs"/>
          <w:sz w:val="16"/>
          <w:szCs w:val="16"/>
          <w:rtl/>
        </w:rPr>
        <w:t>(</w:t>
      </w:r>
      <w:r>
        <w:rPr>
          <w:rFonts w:cs="Arial" w:hint="cs"/>
          <w:sz w:val="16"/>
          <w:szCs w:val="16"/>
          <w:rtl/>
        </w:rPr>
        <w:t xml:space="preserve">הביאו ר"פ </w:t>
      </w:r>
      <w:r w:rsidRPr="00120544">
        <w:rPr>
          <w:rFonts w:cs="Arial" w:hint="cs"/>
          <w:sz w:val="16"/>
          <w:szCs w:val="16"/>
          <w:rtl/>
        </w:rPr>
        <w:t>בהגה</w:t>
      </w:r>
      <w:r>
        <w:rPr>
          <w:rFonts w:cs="Arial" w:hint="cs"/>
          <w:sz w:val="16"/>
          <w:szCs w:val="16"/>
          <w:rtl/>
        </w:rPr>
        <w:t>'</w:t>
      </w:r>
      <w:r w:rsidRPr="00120544">
        <w:rPr>
          <w:rFonts w:cs="Arial" w:hint="cs"/>
          <w:sz w:val="16"/>
          <w:szCs w:val="16"/>
          <w:rtl/>
        </w:rPr>
        <w:t xml:space="preserve"> </w:t>
      </w:r>
      <w:r w:rsidRPr="00120544">
        <w:rPr>
          <w:rFonts w:cs="Arial"/>
          <w:sz w:val="16"/>
          <w:szCs w:val="16"/>
          <w:rtl/>
        </w:rPr>
        <w:t>סמ"ק סי</w:t>
      </w:r>
      <w:r w:rsidRPr="00120544">
        <w:rPr>
          <w:rFonts w:cs="Arial" w:hint="cs"/>
          <w:sz w:val="16"/>
          <w:szCs w:val="16"/>
          <w:rtl/>
        </w:rPr>
        <w:t>'</w:t>
      </w:r>
      <w:r w:rsidRPr="00120544">
        <w:rPr>
          <w:rFonts w:cs="Arial"/>
          <w:sz w:val="16"/>
          <w:szCs w:val="16"/>
          <w:rtl/>
        </w:rPr>
        <w:t xml:space="preserve"> ריד)</w:t>
      </w:r>
      <w:r>
        <w:rPr>
          <w:rFonts w:cs="Arial" w:hint="cs"/>
          <w:sz w:val="16"/>
          <w:szCs w:val="16"/>
          <w:rtl/>
        </w:rPr>
        <w:t xml:space="preserve"> </w:t>
      </w:r>
      <w:r w:rsidRPr="00005CE1">
        <w:rPr>
          <w:rFonts w:cs="Arial"/>
          <w:rtl/>
        </w:rPr>
        <w:t xml:space="preserve">הורה </w:t>
      </w:r>
      <w:r>
        <w:rPr>
          <w:rFonts w:cs="Arial" w:hint="cs"/>
          <w:rtl/>
        </w:rPr>
        <w:t>בכה"ג ד</w:t>
      </w:r>
      <w:r w:rsidRPr="00005CE1">
        <w:rPr>
          <w:rFonts w:cs="Arial"/>
          <w:rtl/>
        </w:rPr>
        <w:t>אינם בטלים ברוב</w:t>
      </w:r>
      <w:r>
        <w:rPr>
          <w:rFonts w:cs="Arial" w:hint="cs"/>
          <w:rtl/>
        </w:rPr>
        <w:t>.</w:t>
      </w:r>
      <w:r w:rsidRPr="00005CE1">
        <w:rPr>
          <w:rFonts w:cs="Arial"/>
          <w:rtl/>
        </w:rPr>
        <w:t xml:space="preserve"> </w:t>
      </w:r>
    </w:p>
  </w:footnote>
  <w:footnote w:id="1982">
    <w:p w14:paraId="676A27B0" w14:textId="77777777" w:rsidR="004C5A3C" w:rsidRDefault="004C5A3C" w:rsidP="002C39F4">
      <w:pPr>
        <w:pStyle w:val="a5"/>
      </w:pPr>
      <w:r>
        <w:rPr>
          <w:rStyle w:val="a7"/>
        </w:rPr>
        <w:footnoteRef/>
      </w:r>
      <w:r>
        <w:rPr>
          <w:rtl/>
        </w:rPr>
        <w:t xml:space="preserve"> </w:t>
      </w:r>
      <w:r>
        <w:rPr>
          <w:rFonts w:hint="cs"/>
          <w:rtl/>
        </w:rPr>
        <w:t xml:space="preserve">וכ"כ שע"ד </w:t>
      </w:r>
      <w:r>
        <w:rPr>
          <w:rFonts w:cs="Arial" w:hint="cs"/>
          <w:sz w:val="16"/>
          <w:szCs w:val="16"/>
          <w:rtl/>
        </w:rPr>
        <w:t>(</w:t>
      </w:r>
      <w:r w:rsidRPr="00120544">
        <w:rPr>
          <w:rFonts w:cs="Arial"/>
          <w:sz w:val="16"/>
          <w:szCs w:val="16"/>
          <w:rtl/>
        </w:rPr>
        <w:t xml:space="preserve">סי' </w:t>
      </w:r>
      <w:r>
        <w:rPr>
          <w:rFonts w:cs="Arial" w:hint="cs"/>
          <w:sz w:val="16"/>
          <w:szCs w:val="16"/>
          <w:rtl/>
        </w:rPr>
        <w:t xml:space="preserve">מ וסי' </w:t>
      </w:r>
      <w:r w:rsidRPr="00120544">
        <w:rPr>
          <w:rFonts w:cs="Arial"/>
          <w:sz w:val="16"/>
          <w:szCs w:val="16"/>
          <w:rtl/>
        </w:rPr>
        <w:t>מב)</w:t>
      </w:r>
      <w:r>
        <w:rPr>
          <w:rFonts w:cs="Arial" w:hint="cs"/>
          <w:rtl/>
        </w:rPr>
        <w:t xml:space="preserve"> בשם </w:t>
      </w:r>
      <w:r w:rsidRPr="00441281">
        <w:rPr>
          <w:rFonts w:cs="Arial"/>
          <w:rtl/>
        </w:rPr>
        <w:t>י"א</w:t>
      </w:r>
      <w:r>
        <w:rPr>
          <w:rFonts w:cs="Arial" w:hint="cs"/>
          <w:rtl/>
        </w:rPr>
        <w:t xml:space="preserve"> אבל מטעם אחר והוא ד</w:t>
      </w:r>
      <w:r w:rsidRPr="00441281">
        <w:rPr>
          <w:rFonts w:cs="Arial"/>
          <w:rtl/>
        </w:rPr>
        <w:t xml:space="preserve">רגל אפילו לא ניטלו טלפיה </w:t>
      </w:r>
      <w:r>
        <w:rPr>
          <w:rFonts w:cs="Arial" w:hint="cs"/>
          <w:rtl/>
        </w:rPr>
        <w:t>לא בטיל</w:t>
      </w:r>
      <w:r w:rsidRPr="00441281">
        <w:rPr>
          <w:rFonts w:cs="Arial"/>
          <w:rtl/>
        </w:rPr>
        <w:t xml:space="preserve"> משום דהוי דבר שבמנין שדרך העולם למנות שתים או שלש רגלים</w:t>
      </w:r>
      <w:r>
        <w:rPr>
          <w:rFonts w:hint="cs"/>
          <w:rtl/>
        </w:rPr>
        <w:t>.</w:t>
      </w:r>
    </w:p>
  </w:footnote>
  <w:footnote w:id="1983">
    <w:p w14:paraId="6E8168F8" w14:textId="77777777" w:rsidR="004C5A3C" w:rsidRDefault="004C5A3C" w:rsidP="002C39F4">
      <w:pPr>
        <w:pStyle w:val="a5"/>
      </w:pPr>
      <w:r>
        <w:rPr>
          <w:rStyle w:val="a7"/>
        </w:rPr>
        <w:footnoteRef/>
      </w:r>
      <w:r>
        <w:rPr>
          <w:rtl/>
        </w:rPr>
        <w:t xml:space="preserve"> </w:t>
      </w:r>
      <w:r w:rsidRPr="00DA4BDB">
        <w:rPr>
          <w:rFonts w:cs="Arial"/>
          <w:rtl/>
        </w:rPr>
        <w:t>מה שכתב דרגלים לא מקרי ראוי להתכבד אפשר דוקא בשאר עופות, אבל בשל אווז מודה לדברי מהרא"י דלעיל כי נראה לעינים שרגל אווז הוא ראוי להתכבד כי טוב למאכל</w:t>
      </w:r>
      <w:r>
        <w:rPr>
          <w:rFonts w:cs="Arial" w:hint="cs"/>
          <w:rtl/>
        </w:rPr>
        <w:t>, דרכ"מ (אות א*).</w:t>
      </w:r>
    </w:p>
  </w:footnote>
  <w:footnote w:id="1984">
    <w:p w14:paraId="75A4F0B8" w14:textId="77777777" w:rsidR="004C5A3C" w:rsidRDefault="004C5A3C" w:rsidP="002C39F4">
      <w:pPr>
        <w:pStyle w:val="a5"/>
        <w:rPr>
          <w:rtl/>
        </w:rPr>
      </w:pPr>
      <w:r>
        <w:rPr>
          <w:rStyle w:val="a7"/>
        </w:rPr>
        <w:footnoteRef/>
      </w:r>
      <w:r>
        <w:rPr>
          <w:rtl/>
        </w:rPr>
        <w:t xml:space="preserve"> </w:t>
      </w:r>
      <w:r w:rsidRPr="002E4D69">
        <w:rPr>
          <w:rFonts w:cs="Arial"/>
          <w:rtl/>
        </w:rPr>
        <w:t>ובב</w:t>
      </w:r>
      <w:r>
        <w:rPr>
          <w:rFonts w:cs="Arial" w:hint="cs"/>
          <w:rtl/>
        </w:rPr>
        <w:t xml:space="preserve">"י כ' </w:t>
      </w:r>
      <w:r w:rsidRPr="002E4D69">
        <w:rPr>
          <w:rFonts w:cs="Arial"/>
          <w:rtl/>
        </w:rPr>
        <w:t>בשם הסמ"ק להיפך</w:t>
      </w:r>
      <w:r>
        <w:rPr>
          <w:rFonts w:cs="Arial" w:hint="cs"/>
          <w:rtl/>
        </w:rPr>
        <w:t>,</w:t>
      </w:r>
      <w:r w:rsidRPr="002E4D69">
        <w:rPr>
          <w:rFonts w:cs="Arial"/>
          <w:rtl/>
        </w:rPr>
        <w:t xml:space="preserve"> דרגלים של בהמה דקה יש לאוסרן משום חתיכה הראויה להתכבד אבל אין לאוסרן משום דבר שבמנין דאת שדרכו למנות שנינו עכ"ל</w:t>
      </w:r>
      <w:r>
        <w:rPr>
          <w:rFonts w:cs="Arial" w:hint="cs"/>
          <w:rtl/>
        </w:rPr>
        <w:t>,</w:t>
      </w:r>
      <w:r w:rsidRPr="002E4D69">
        <w:rPr>
          <w:rFonts w:cs="Arial"/>
          <w:rtl/>
        </w:rPr>
        <w:t xml:space="preserve"> וע"ל סימן ק"י (ד"מ אות ה) מדין דברים שבמנין</w:t>
      </w:r>
      <w:r>
        <w:rPr>
          <w:rFonts w:hint="cs"/>
          <w:rtl/>
        </w:rPr>
        <w:t>, דרכ"מ (אות א*).</w:t>
      </w:r>
    </w:p>
  </w:footnote>
  <w:footnote w:id="1985">
    <w:p w14:paraId="53B3C225" w14:textId="77777777" w:rsidR="004C5A3C" w:rsidRDefault="004C5A3C" w:rsidP="002C39F4">
      <w:pPr>
        <w:pStyle w:val="a5"/>
        <w:rPr>
          <w:rtl/>
        </w:rPr>
      </w:pPr>
      <w:r>
        <w:rPr>
          <w:rStyle w:val="a7"/>
        </w:rPr>
        <w:footnoteRef/>
      </w:r>
      <w:r>
        <w:rPr>
          <w:rtl/>
        </w:rPr>
        <w:t xml:space="preserve"> </w:t>
      </w:r>
      <w:r w:rsidRPr="0099615B">
        <w:rPr>
          <w:rFonts w:cs="Arial"/>
          <w:rtl/>
        </w:rPr>
        <w:t>וכ"ש לשון של שור דחשיב שהרי אברהם כיבד את המלאכים בג' לשונות</w:t>
      </w:r>
      <w:r>
        <w:rPr>
          <w:rFonts w:hint="cs"/>
          <w:rtl/>
        </w:rPr>
        <w:t>, רש"ל.</w:t>
      </w:r>
    </w:p>
  </w:footnote>
  <w:footnote w:id="1986">
    <w:p w14:paraId="322BF6A9" w14:textId="77777777" w:rsidR="004C5A3C" w:rsidRDefault="004C5A3C" w:rsidP="002C39F4">
      <w:pPr>
        <w:pStyle w:val="a5"/>
        <w:rPr>
          <w:rtl/>
        </w:rPr>
      </w:pPr>
      <w:r>
        <w:rPr>
          <w:rStyle w:val="a7"/>
        </w:rPr>
        <w:footnoteRef/>
      </w:r>
      <w:r>
        <w:rPr>
          <w:rtl/>
        </w:rPr>
        <w:t xml:space="preserve"> </w:t>
      </w:r>
      <w:r w:rsidRPr="00F817DA">
        <w:rPr>
          <w:rFonts w:cs="Arial"/>
          <w:rtl/>
        </w:rPr>
        <w:t>משמע מדברי המחבר והפוסקי</w:t>
      </w:r>
      <w:r>
        <w:rPr>
          <w:rFonts w:cs="Arial" w:hint="cs"/>
          <w:rtl/>
        </w:rPr>
        <w:t>ם</w:t>
      </w:r>
      <w:r w:rsidRPr="00F817DA">
        <w:rPr>
          <w:rFonts w:cs="Arial"/>
          <w:rtl/>
        </w:rPr>
        <w:t xml:space="preserve"> דגם דבר שבמנין נמי לא הוי</w:t>
      </w:r>
      <w:r>
        <w:rPr>
          <w:rFonts w:cs="Arial" w:hint="cs"/>
          <w:rtl/>
        </w:rPr>
        <w:t>,</w:t>
      </w:r>
      <w:r w:rsidRPr="00F817DA">
        <w:rPr>
          <w:rFonts w:cs="Arial"/>
          <w:rtl/>
        </w:rPr>
        <w:t xml:space="preserve"> וכמ"ש מהרש"ל</w:t>
      </w:r>
      <w:r w:rsidRPr="00F817DA">
        <w:rPr>
          <w:rFonts w:cs="Arial"/>
          <w:sz w:val="16"/>
          <w:szCs w:val="16"/>
          <w:rtl/>
        </w:rPr>
        <w:t xml:space="preserve"> </w:t>
      </w:r>
      <w:r w:rsidRPr="00F817DA">
        <w:rPr>
          <w:rFonts w:cs="Arial" w:hint="cs"/>
          <w:sz w:val="16"/>
          <w:szCs w:val="16"/>
          <w:rtl/>
        </w:rPr>
        <w:t>(</w:t>
      </w:r>
      <w:r w:rsidRPr="00F817DA">
        <w:rPr>
          <w:rFonts w:cs="Arial"/>
          <w:sz w:val="16"/>
          <w:szCs w:val="16"/>
          <w:rtl/>
        </w:rPr>
        <w:t>באו"ש ובספרו פג"ה סי' נ"ג</w:t>
      </w:r>
      <w:r w:rsidRPr="00F817DA">
        <w:rPr>
          <w:rFonts w:cs="Arial" w:hint="cs"/>
          <w:sz w:val="16"/>
          <w:szCs w:val="16"/>
          <w:rtl/>
        </w:rPr>
        <w:t>)</w:t>
      </w:r>
      <w:r w:rsidRPr="00F817DA">
        <w:rPr>
          <w:rFonts w:cs="Arial"/>
          <w:rtl/>
        </w:rPr>
        <w:t xml:space="preserve"> שמחוסר תיקון גדול כ"כ לא הוי נמי דבר שבמנין</w:t>
      </w:r>
      <w:r>
        <w:rPr>
          <w:rFonts w:cs="Arial" w:hint="cs"/>
          <w:rtl/>
        </w:rPr>
        <w:t>,</w:t>
      </w:r>
      <w:r w:rsidRPr="00F817DA">
        <w:rPr>
          <w:rFonts w:cs="Arial"/>
          <w:rtl/>
        </w:rPr>
        <w:t xml:space="preserve"> והכי מוכח להדיא במרדכי </w:t>
      </w:r>
      <w:r w:rsidRPr="00F817DA">
        <w:rPr>
          <w:rFonts w:cs="Arial" w:hint="cs"/>
          <w:sz w:val="16"/>
          <w:szCs w:val="16"/>
          <w:rtl/>
        </w:rPr>
        <w:t>(</w:t>
      </w:r>
      <w:r w:rsidRPr="00F817DA">
        <w:rPr>
          <w:rFonts w:cs="Arial"/>
          <w:sz w:val="16"/>
          <w:szCs w:val="16"/>
          <w:rtl/>
        </w:rPr>
        <w:t>פ"ק דביצה ע"ש</w:t>
      </w:r>
      <w:r w:rsidRPr="00F817DA">
        <w:rPr>
          <w:rFonts w:cs="Arial" w:hint="cs"/>
          <w:sz w:val="16"/>
          <w:szCs w:val="16"/>
          <w:rtl/>
        </w:rPr>
        <w:t>)</w:t>
      </w:r>
      <w:r w:rsidRPr="00F817DA">
        <w:rPr>
          <w:rFonts w:cs="Arial"/>
          <w:sz w:val="16"/>
          <w:szCs w:val="16"/>
          <w:rtl/>
        </w:rPr>
        <w:t xml:space="preserve"> </w:t>
      </w:r>
      <w:r w:rsidRPr="00F817DA">
        <w:rPr>
          <w:rFonts w:cs="Arial"/>
          <w:rtl/>
        </w:rPr>
        <w:t>וכ</w:t>
      </w:r>
      <w:r>
        <w:rPr>
          <w:rFonts w:cs="Arial" w:hint="cs"/>
          <w:rtl/>
        </w:rPr>
        <w:t>ן נראה דעת</w:t>
      </w:r>
      <w:r w:rsidRPr="00F817DA">
        <w:rPr>
          <w:rFonts w:cs="Arial"/>
          <w:rtl/>
        </w:rPr>
        <w:t xml:space="preserve"> הב"ח</w:t>
      </w:r>
      <w:r>
        <w:rPr>
          <w:rFonts w:cs="Arial" w:hint="cs"/>
          <w:rtl/>
        </w:rPr>
        <w:t>,</w:t>
      </w:r>
      <w:r w:rsidRPr="00F817DA">
        <w:rPr>
          <w:rFonts w:cs="Arial"/>
          <w:rtl/>
        </w:rPr>
        <w:t xml:space="preserve"> דלא כת"ח </w:t>
      </w:r>
      <w:r w:rsidRPr="00F817DA">
        <w:rPr>
          <w:rFonts w:cs="Arial" w:hint="cs"/>
          <w:sz w:val="16"/>
          <w:szCs w:val="16"/>
          <w:rtl/>
        </w:rPr>
        <w:t>(</w:t>
      </w:r>
      <w:r w:rsidRPr="00F817DA">
        <w:rPr>
          <w:rFonts w:cs="Arial"/>
          <w:sz w:val="16"/>
          <w:szCs w:val="16"/>
          <w:rtl/>
        </w:rPr>
        <w:t>כלל מ' ד"ג</w:t>
      </w:r>
      <w:r w:rsidRPr="00F817DA">
        <w:rPr>
          <w:rFonts w:cs="Arial" w:hint="cs"/>
          <w:sz w:val="16"/>
          <w:szCs w:val="16"/>
          <w:rtl/>
        </w:rPr>
        <w:t>)</w:t>
      </w:r>
      <w:r w:rsidRPr="00F817DA">
        <w:rPr>
          <w:rFonts w:cs="Arial"/>
          <w:sz w:val="16"/>
          <w:szCs w:val="16"/>
          <w:rtl/>
        </w:rPr>
        <w:t xml:space="preserve"> </w:t>
      </w:r>
      <w:r w:rsidRPr="00F817DA">
        <w:rPr>
          <w:rFonts w:cs="Arial"/>
          <w:rtl/>
        </w:rPr>
        <w:t>שכתב דאף דבטלה מכח חה"ל לא בטלה מכח דבר שבמנין</w:t>
      </w:r>
      <w:r>
        <w:rPr>
          <w:rFonts w:cs="Arial" w:hint="cs"/>
          <w:rtl/>
        </w:rPr>
        <w:t>,</w:t>
      </w:r>
      <w:r w:rsidRPr="00F817DA">
        <w:rPr>
          <w:rFonts w:cs="Arial"/>
          <w:rtl/>
        </w:rPr>
        <w:t xml:space="preserve"> וע"ל סי' ק"י סקי"ג</w:t>
      </w:r>
      <w:r>
        <w:rPr>
          <w:rFonts w:hint="cs"/>
          <w:rtl/>
        </w:rPr>
        <w:t>, ש"ך (סק"ז).</w:t>
      </w:r>
    </w:p>
  </w:footnote>
  <w:footnote w:id="1987">
    <w:p w14:paraId="5BA2767A" w14:textId="77777777" w:rsidR="004C5A3C" w:rsidRDefault="004C5A3C" w:rsidP="002C39F4">
      <w:pPr>
        <w:pStyle w:val="a5"/>
      </w:pPr>
      <w:r>
        <w:rPr>
          <w:rStyle w:val="a7"/>
        </w:rPr>
        <w:footnoteRef/>
      </w:r>
      <w:r>
        <w:rPr>
          <w:rtl/>
        </w:rPr>
        <w:t xml:space="preserve"> </w:t>
      </w:r>
      <w:r w:rsidRPr="00F11EAD">
        <w:rPr>
          <w:rFonts w:cs="Arial"/>
          <w:rtl/>
        </w:rPr>
        <w:t>עי</w:t>
      </w:r>
      <w:r>
        <w:rPr>
          <w:rFonts w:cs="Arial" w:hint="cs"/>
          <w:rtl/>
        </w:rPr>
        <w:t>'</w:t>
      </w:r>
      <w:r w:rsidRPr="00F11EAD">
        <w:rPr>
          <w:rFonts w:cs="Arial"/>
          <w:rtl/>
        </w:rPr>
        <w:t xml:space="preserve"> בתשו</w:t>
      </w:r>
      <w:r>
        <w:rPr>
          <w:rFonts w:cs="Arial" w:hint="cs"/>
          <w:rtl/>
        </w:rPr>
        <w:t>'</w:t>
      </w:r>
      <w:r w:rsidRPr="00F11EAD">
        <w:rPr>
          <w:rFonts w:cs="Arial"/>
          <w:rtl/>
        </w:rPr>
        <w:t xml:space="preserve"> רדב"ז </w:t>
      </w:r>
      <w:r w:rsidRPr="00F11EAD">
        <w:rPr>
          <w:rFonts w:cs="Arial" w:hint="cs"/>
          <w:sz w:val="16"/>
          <w:szCs w:val="16"/>
          <w:rtl/>
        </w:rPr>
        <w:t>(</w:t>
      </w:r>
      <w:r w:rsidRPr="00F11EAD">
        <w:rPr>
          <w:rFonts w:cs="Arial"/>
          <w:sz w:val="16"/>
          <w:szCs w:val="16"/>
          <w:rtl/>
        </w:rPr>
        <w:t>החדשות סי</w:t>
      </w:r>
      <w:r w:rsidRPr="00F11EAD">
        <w:rPr>
          <w:rFonts w:cs="Arial" w:hint="cs"/>
          <w:sz w:val="16"/>
          <w:szCs w:val="16"/>
          <w:rtl/>
        </w:rPr>
        <w:t>'</w:t>
      </w:r>
      <w:r w:rsidRPr="00F11EAD">
        <w:rPr>
          <w:rFonts w:cs="Arial"/>
          <w:sz w:val="16"/>
          <w:szCs w:val="16"/>
          <w:rtl/>
        </w:rPr>
        <w:t xml:space="preserve"> רסז</w:t>
      </w:r>
      <w:r w:rsidRPr="00F11EAD">
        <w:rPr>
          <w:rFonts w:cs="Arial" w:hint="cs"/>
          <w:sz w:val="16"/>
          <w:szCs w:val="16"/>
          <w:rtl/>
        </w:rPr>
        <w:t>, הביאו הפת"ש סק"ה)</w:t>
      </w:r>
      <w:r w:rsidRPr="00F11EAD">
        <w:rPr>
          <w:rFonts w:cs="Arial"/>
          <w:rtl/>
        </w:rPr>
        <w:t xml:space="preserve"> שכ</w:t>
      </w:r>
      <w:r>
        <w:rPr>
          <w:rFonts w:cs="Arial" w:hint="cs"/>
          <w:rtl/>
        </w:rPr>
        <w:t>תב</w:t>
      </w:r>
      <w:r w:rsidRPr="00F11EAD">
        <w:rPr>
          <w:rFonts w:cs="Arial"/>
          <w:rtl/>
        </w:rPr>
        <w:t xml:space="preserve"> דאם לא נמצאת הטריפה עד אחר שנעשה ראויה להתכבד לא בטיל</w:t>
      </w:r>
      <w:r>
        <w:rPr>
          <w:rFonts w:cs="Arial" w:hint="cs"/>
          <w:rtl/>
        </w:rPr>
        <w:t>.</w:t>
      </w:r>
    </w:p>
  </w:footnote>
  <w:footnote w:id="1988">
    <w:p w14:paraId="02A8124C" w14:textId="77777777" w:rsidR="004C5A3C" w:rsidRDefault="004C5A3C" w:rsidP="002C39F4">
      <w:pPr>
        <w:pStyle w:val="a5"/>
      </w:pPr>
      <w:r>
        <w:rPr>
          <w:rStyle w:val="a7"/>
        </w:rPr>
        <w:footnoteRef/>
      </w:r>
      <w:r>
        <w:rPr>
          <w:rtl/>
        </w:rPr>
        <w:t xml:space="preserve"> </w:t>
      </w:r>
      <w:r w:rsidRPr="00F817DA">
        <w:rPr>
          <w:rFonts w:cs="Arial"/>
          <w:rtl/>
        </w:rPr>
        <w:t>אפי</w:t>
      </w:r>
      <w:r>
        <w:rPr>
          <w:rFonts w:cs="Arial" w:hint="cs"/>
          <w:rtl/>
        </w:rPr>
        <w:t>לו</w:t>
      </w:r>
      <w:r w:rsidRPr="00F817DA">
        <w:rPr>
          <w:rFonts w:cs="Arial"/>
          <w:rtl/>
        </w:rPr>
        <w:t xml:space="preserve"> הופשט עורו</w:t>
      </w:r>
      <w:r>
        <w:rPr>
          <w:rFonts w:cs="Arial" w:hint="cs"/>
          <w:rtl/>
        </w:rPr>
        <w:t>, ש"ך (סק"ט).</w:t>
      </w:r>
    </w:p>
  </w:footnote>
  <w:footnote w:id="1989">
    <w:p w14:paraId="04D29746" w14:textId="77777777" w:rsidR="004C5A3C" w:rsidRDefault="004C5A3C" w:rsidP="002C39F4">
      <w:pPr>
        <w:pStyle w:val="a5"/>
        <w:rPr>
          <w:rtl/>
        </w:rPr>
      </w:pPr>
      <w:r>
        <w:rPr>
          <w:rStyle w:val="a7"/>
        </w:rPr>
        <w:footnoteRef/>
      </w:r>
      <w:r>
        <w:rPr>
          <w:rtl/>
        </w:rPr>
        <w:t xml:space="preserve"> </w:t>
      </w:r>
      <w:r w:rsidRPr="00F817DA">
        <w:rPr>
          <w:rFonts w:cs="Arial"/>
          <w:rtl/>
        </w:rPr>
        <w:t>וכבש בעורו וכה"ג</w:t>
      </w:r>
      <w:r>
        <w:rPr>
          <w:rFonts w:hint="cs"/>
          <w:rtl/>
        </w:rPr>
        <w:t>, ש"ך (סק"י).</w:t>
      </w:r>
      <w:r w:rsidRPr="00F817DA">
        <w:rPr>
          <w:rtl/>
        </w:rPr>
        <w:t xml:space="preserve"> </w:t>
      </w:r>
      <w:r>
        <w:rPr>
          <w:rFonts w:cs="Arial" w:hint="cs"/>
          <w:rtl/>
        </w:rPr>
        <w:t>וכ' הט"ז (סק"ו) ד</w:t>
      </w:r>
      <w:r w:rsidRPr="00F817DA">
        <w:rPr>
          <w:rFonts w:cs="Arial"/>
          <w:rtl/>
        </w:rPr>
        <w:t>משמע דאם הסירו כבר הנוצות ועדיין לא נטלו משם המעיים ולא נפתח הבטן אין זה חשוב מחוסר מעשה ולא בטיל</w:t>
      </w:r>
      <w:r>
        <w:rPr>
          <w:rFonts w:hint="cs"/>
          <w:rtl/>
        </w:rPr>
        <w:t>.</w:t>
      </w:r>
    </w:p>
  </w:footnote>
  <w:footnote w:id="1990">
    <w:p w14:paraId="1E020B9C" w14:textId="77777777" w:rsidR="004C5A3C" w:rsidRDefault="004C5A3C" w:rsidP="002C39F4">
      <w:pPr>
        <w:pStyle w:val="a5"/>
        <w:rPr>
          <w:rtl/>
        </w:rPr>
      </w:pPr>
      <w:r>
        <w:rPr>
          <w:rStyle w:val="a7"/>
        </w:rPr>
        <w:footnoteRef/>
      </w:r>
      <w:r>
        <w:rPr>
          <w:rtl/>
        </w:rPr>
        <w:t xml:space="preserve"> </w:t>
      </w:r>
      <w:r w:rsidRPr="0099615B">
        <w:rPr>
          <w:rFonts w:cs="Arial"/>
          <w:rtl/>
        </w:rPr>
        <w:t>אע</w:t>
      </w:r>
      <w:r>
        <w:rPr>
          <w:rFonts w:cs="Arial" w:hint="cs"/>
          <w:rtl/>
        </w:rPr>
        <w:t>"</w:t>
      </w:r>
      <w:r w:rsidRPr="0099615B">
        <w:rPr>
          <w:rFonts w:cs="Arial"/>
          <w:rtl/>
        </w:rPr>
        <w:t>פ שלא ניטלו טלפיהון אפשר לקוצצן ולא חשיב מחוסר מעשה גדול</w:t>
      </w:r>
      <w:r>
        <w:rPr>
          <w:rFonts w:hint="cs"/>
          <w:rtl/>
        </w:rPr>
        <w:t>, ט"ז (סק"ז).</w:t>
      </w:r>
    </w:p>
  </w:footnote>
  <w:footnote w:id="1991">
    <w:p w14:paraId="4F842C77" w14:textId="77777777" w:rsidR="004C5A3C" w:rsidRDefault="004C5A3C" w:rsidP="002C39F4">
      <w:pPr>
        <w:pStyle w:val="a5"/>
      </w:pPr>
      <w:r>
        <w:rPr>
          <w:rStyle w:val="a7"/>
        </w:rPr>
        <w:footnoteRef/>
      </w:r>
      <w:r>
        <w:rPr>
          <w:rtl/>
        </w:rPr>
        <w:t xml:space="preserve"> </w:t>
      </w:r>
      <w:r w:rsidRPr="0099615B">
        <w:rPr>
          <w:rFonts w:cs="Arial"/>
          <w:rtl/>
        </w:rPr>
        <w:t>וכ</w:t>
      </w:r>
      <w:r>
        <w:rPr>
          <w:rFonts w:cs="Arial" w:hint="cs"/>
          <w:rtl/>
        </w:rPr>
        <w:t>'</w:t>
      </w:r>
      <w:r w:rsidRPr="0099615B">
        <w:rPr>
          <w:rFonts w:cs="Arial"/>
          <w:rtl/>
        </w:rPr>
        <w:t xml:space="preserve"> בת"ח שם בשם מהרא"י דרגלי אווז שלא הוחרכו עורן מעליהם כמו שרגילים לעשות דמי לתרנגולת בנוצתה</w:t>
      </w:r>
      <w:r>
        <w:rPr>
          <w:rFonts w:cs="Arial" w:hint="cs"/>
          <w:rtl/>
        </w:rPr>
        <w:t>, ש"ך</w:t>
      </w:r>
      <w:r w:rsidRPr="0099615B">
        <w:rPr>
          <w:rFonts w:cs="Arial" w:hint="cs"/>
          <w:sz w:val="16"/>
          <w:szCs w:val="16"/>
          <w:rtl/>
        </w:rPr>
        <w:t xml:space="preserve"> (סקי"א)</w:t>
      </w:r>
      <w:r>
        <w:rPr>
          <w:rFonts w:cs="Arial" w:hint="cs"/>
          <w:rtl/>
        </w:rPr>
        <w:t>.</w:t>
      </w:r>
    </w:p>
  </w:footnote>
  <w:footnote w:id="1992">
    <w:p w14:paraId="1CAAA2CB" w14:textId="77777777" w:rsidR="004C5A3C" w:rsidRDefault="004C5A3C" w:rsidP="002C39F4">
      <w:pPr>
        <w:pStyle w:val="a5"/>
      </w:pPr>
      <w:r>
        <w:rPr>
          <w:rStyle w:val="a7"/>
        </w:rPr>
        <w:footnoteRef/>
      </w:r>
      <w:r>
        <w:rPr>
          <w:rtl/>
        </w:rPr>
        <w:t xml:space="preserve"> </w:t>
      </w:r>
      <w:r w:rsidRPr="00F11EAD">
        <w:rPr>
          <w:rtl/>
        </w:rPr>
        <w:t>ומ"מ לא החליט זה להיתר גמור רק צירף סברא זו לסניף לשאר סברות</w:t>
      </w:r>
      <w:r>
        <w:rPr>
          <w:rFonts w:hint="cs"/>
          <w:rtl/>
        </w:rPr>
        <w:t>, פת"ש.</w:t>
      </w:r>
    </w:p>
  </w:footnote>
  <w:footnote w:id="1993">
    <w:p w14:paraId="5934018A" w14:textId="77777777" w:rsidR="004C5A3C" w:rsidRDefault="004C5A3C" w:rsidP="002C39F4">
      <w:pPr>
        <w:pStyle w:val="a5"/>
        <w:rPr>
          <w:rtl/>
        </w:rPr>
      </w:pPr>
      <w:r>
        <w:rPr>
          <w:rStyle w:val="a7"/>
        </w:rPr>
        <w:footnoteRef/>
      </w:r>
      <w:r>
        <w:rPr>
          <w:rtl/>
        </w:rPr>
        <w:t xml:space="preserve"> </w:t>
      </w:r>
      <w:r w:rsidRPr="002E4D69">
        <w:rPr>
          <w:rFonts w:cs="Arial"/>
          <w:rtl/>
        </w:rPr>
        <w:t>וע"ל סימן קי (ד</w:t>
      </w:r>
      <w:r>
        <w:rPr>
          <w:rFonts w:cs="Arial" w:hint="cs"/>
          <w:rtl/>
        </w:rPr>
        <w:t>רכ</w:t>
      </w:r>
      <w:r w:rsidRPr="002E4D69">
        <w:rPr>
          <w:rFonts w:cs="Arial"/>
          <w:rtl/>
        </w:rPr>
        <w:t>"מ אות ח) על איזה דבר יש לסמוך שאחת מהן היא הטריפה</w:t>
      </w:r>
      <w:r>
        <w:rPr>
          <w:rFonts w:hint="cs"/>
          <w:rtl/>
        </w:rPr>
        <w:t>, דרכ"מ.</w:t>
      </w:r>
    </w:p>
  </w:footnote>
  <w:footnote w:id="1994">
    <w:p w14:paraId="3B2BE306" w14:textId="77777777" w:rsidR="004C5A3C" w:rsidRPr="00D732AE" w:rsidRDefault="004C5A3C" w:rsidP="002C39F4">
      <w:pPr>
        <w:pStyle w:val="a5"/>
        <w:rPr>
          <w:rtl/>
        </w:rPr>
      </w:pPr>
      <w:r>
        <w:rPr>
          <w:rStyle w:val="a7"/>
        </w:rPr>
        <w:footnoteRef/>
      </w:r>
      <w:r>
        <w:rPr>
          <w:rtl/>
        </w:rPr>
        <w:t xml:space="preserve"> </w:t>
      </w:r>
      <w:r>
        <w:rPr>
          <w:rFonts w:hint="cs"/>
          <w:rtl/>
        </w:rPr>
        <w:t xml:space="preserve">וכ' </w:t>
      </w:r>
      <w:r w:rsidRPr="0099615B">
        <w:rPr>
          <w:rFonts w:cs="Arial"/>
          <w:rtl/>
        </w:rPr>
        <w:t xml:space="preserve">רש"ל </w:t>
      </w:r>
      <w:r w:rsidRPr="0099615B">
        <w:rPr>
          <w:rFonts w:cs="Arial" w:hint="cs"/>
          <w:sz w:val="16"/>
          <w:szCs w:val="16"/>
          <w:rtl/>
        </w:rPr>
        <w:t>(</w:t>
      </w:r>
      <w:r>
        <w:rPr>
          <w:rFonts w:cs="Arial" w:hint="cs"/>
          <w:sz w:val="16"/>
          <w:szCs w:val="16"/>
          <w:rtl/>
        </w:rPr>
        <w:t xml:space="preserve">חולין פ"ז </w:t>
      </w:r>
      <w:r w:rsidRPr="0099615B">
        <w:rPr>
          <w:rFonts w:cs="Arial"/>
          <w:sz w:val="16"/>
          <w:szCs w:val="16"/>
          <w:rtl/>
        </w:rPr>
        <w:t>סי</w:t>
      </w:r>
      <w:r w:rsidRPr="0099615B">
        <w:rPr>
          <w:rFonts w:cs="Arial" w:hint="cs"/>
          <w:sz w:val="16"/>
          <w:szCs w:val="16"/>
          <w:rtl/>
        </w:rPr>
        <w:t>'</w:t>
      </w:r>
      <w:r w:rsidRPr="0099615B">
        <w:rPr>
          <w:rFonts w:cs="Arial"/>
          <w:sz w:val="16"/>
          <w:szCs w:val="16"/>
          <w:rtl/>
        </w:rPr>
        <w:t xml:space="preserve"> נג</w:t>
      </w:r>
      <w:r w:rsidRPr="0099615B">
        <w:rPr>
          <w:rFonts w:cs="Arial" w:hint="cs"/>
          <w:sz w:val="16"/>
          <w:szCs w:val="16"/>
          <w:rtl/>
        </w:rPr>
        <w:t>)</w:t>
      </w:r>
      <w:r>
        <w:rPr>
          <w:rFonts w:cs="Arial" w:hint="cs"/>
          <w:rtl/>
        </w:rPr>
        <w:t xml:space="preserve"> </w:t>
      </w:r>
      <w:r w:rsidRPr="00D732AE">
        <w:rPr>
          <w:rFonts w:cs="Arial"/>
          <w:rtl/>
        </w:rPr>
        <w:t>דהדרא דכנתא של עגל חשיב אע</w:t>
      </w:r>
      <w:r>
        <w:rPr>
          <w:rFonts w:cs="Arial" w:hint="cs"/>
          <w:rtl/>
        </w:rPr>
        <w:t>"</w:t>
      </w:r>
      <w:r w:rsidRPr="00D732AE">
        <w:rPr>
          <w:rFonts w:cs="Arial"/>
          <w:rtl/>
        </w:rPr>
        <w:t>פ ששאר בני מעיים לא חשיבי</w:t>
      </w:r>
      <w:r>
        <w:rPr>
          <w:rFonts w:cs="Arial" w:hint="cs"/>
          <w:rtl/>
        </w:rPr>
        <w:t>.</w:t>
      </w:r>
      <w:r w:rsidRPr="00D732AE">
        <w:rPr>
          <w:rFonts w:cs="Arial"/>
          <w:rtl/>
        </w:rPr>
        <w:t xml:space="preserve"> וכבר כתב </w:t>
      </w:r>
      <w:r>
        <w:rPr>
          <w:rFonts w:cs="Arial" w:hint="cs"/>
          <w:rtl/>
        </w:rPr>
        <w:t>השו"ע</w:t>
      </w:r>
      <w:r w:rsidRPr="00D732AE">
        <w:rPr>
          <w:rFonts w:cs="Arial"/>
          <w:rtl/>
        </w:rPr>
        <w:t xml:space="preserve"> ריש סי' קי דהכל לפי המקום והזמן ובינינו הדרא דכנתא של עגל חשוב</w:t>
      </w:r>
      <w:r>
        <w:rPr>
          <w:rFonts w:cs="Arial" w:hint="cs"/>
          <w:rtl/>
        </w:rPr>
        <w:t>, ט"ז (סק"ט)</w:t>
      </w:r>
      <w:r>
        <w:rPr>
          <w:rFonts w:hint="cs"/>
          <w:rtl/>
        </w:rPr>
        <w:t xml:space="preserve">. וכ' הש"ך </w:t>
      </w:r>
      <w:r>
        <w:rPr>
          <w:rFonts w:cs="Arial" w:hint="cs"/>
          <w:rtl/>
        </w:rPr>
        <w:t>ד</w:t>
      </w:r>
      <w:r w:rsidRPr="00D732AE">
        <w:rPr>
          <w:rFonts w:cs="Arial"/>
          <w:rtl/>
        </w:rPr>
        <w:t xml:space="preserve">בפסקי התוספות </w:t>
      </w:r>
      <w:r>
        <w:rPr>
          <w:rFonts w:cs="Arial" w:hint="cs"/>
          <w:rtl/>
        </w:rPr>
        <w:t>(</w:t>
      </w:r>
      <w:r w:rsidRPr="00D732AE">
        <w:rPr>
          <w:rFonts w:cs="Arial"/>
          <w:rtl/>
        </w:rPr>
        <w:t>נדרים סי</w:t>
      </w:r>
      <w:r>
        <w:rPr>
          <w:rFonts w:cs="Arial" w:hint="cs"/>
          <w:rtl/>
        </w:rPr>
        <w:t>'</w:t>
      </w:r>
      <w:r w:rsidRPr="00D732AE">
        <w:rPr>
          <w:rFonts w:cs="Arial"/>
          <w:rtl/>
        </w:rPr>
        <w:t xml:space="preserve"> פ</w:t>
      </w:r>
      <w:r>
        <w:rPr>
          <w:rFonts w:cs="Arial" w:hint="cs"/>
          <w:rtl/>
        </w:rPr>
        <w:t>)</w:t>
      </w:r>
      <w:r w:rsidRPr="00D732AE">
        <w:rPr>
          <w:rFonts w:cs="Arial"/>
          <w:rtl/>
        </w:rPr>
        <w:t xml:space="preserve"> מצאתי שכתבו וז"ל</w:t>
      </w:r>
      <w:r>
        <w:rPr>
          <w:rFonts w:cs="Arial" w:hint="cs"/>
          <w:rtl/>
        </w:rPr>
        <w:t>-</w:t>
      </w:r>
      <w:r w:rsidRPr="00D732AE">
        <w:rPr>
          <w:rFonts w:cs="Arial"/>
          <w:rtl/>
        </w:rPr>
        <w:t xml:space="preserve"> וצ"ע בהדרא דכנתא עם שמנה שמא ראויה היא להתכבד עכ"ל</w:t>
      </w:r>
      <w:r>
        <w:rPr>
          <w:rFonts w:cs="Arial" w:hint="cs"/>
          <w:rtl/>
        </w:rPr>
        <w:t>,</w:t>
      </w:r>
      <w:r w:rsidRPr="00D732AE">
        <w:rPr>
          <w:rFonts w:cs="Arial"/>
          <w:rtl/>
        </w:rPr>
        <w:t xml:space="preserve"> ונראה דהכל לפי הזמן והמקום</w:t>
      </w:r>
      <w:r>
        <w:rPr>
          <w:rFonts w:cs="Arial" w:hint="cs"/>
          <w:rtl/>
        </w:rPr>
        <w:t>.</w:t>
      </w:r>
    </w:p>
  </w:footnote>
  <w:footnote w:id="1995">
    <w:p w14:paraId="1DB1397E" w14:textId="77777777" w:rsidR="004C5A3C" w:rsidRDefault="004C5A3C" w:rsidP="002C39F4">
      <w:pPr>
        <w:pStyle w:val="a5"/>
      </w:pPr>
      <w:r>
        <w:rPr>
          <w:rStyle w:val="a7"/>
        </w:rPr>
        <w:footnoteRef/>
      </w:r>
      <w:r>
        <w:rPr>
          <w:rtl/>
        </w:rPr>
        <w:t xml:space="preserve"> </w:t>
      </w:r>
      <w:r w:rsidRPr="00744EE6">
        <w:rPr>
          <w:rFonts w:cs="Arial"/>
          <w:rtl/>
        </w:rPr>
        <w:t>ומהרש"ל חולק בזה</w:t>
      </w:r>
      <w:r>
        <w:rPr>
          <w:rFonts w:cs="Arial" w:hint="cs"/>
          <w:rtl/>
        </w:rPr>
        <w:t>,</w:t>
      </w:r>
      <w:r w:rsidRPr="00744EE6">
        <w:rPr>
          <w:rFonts w:cs="Arial"/>
          <w:rtl/>
        </w:rPr>
        <w:t xml:space="preserve"> ולפי שדינים אלו משתנים לפי המקום והזמן</w:t>
      </w:r>
      <w:r>
        <w:rPr>
          <w:rFonts w:cs="Arial" w:hint="cs"/>
          <w:rtl/>
        </w:rPr>
        <w:t>,</w:t>
      </w:r>
      <w:r w:rsidRPr="00744EE6">
        <w:rPr>
          <w:rFonts w:cs="Arial"/>
          <w:rtl/>
        </w:rPr>
        <w:t xml:space="preserve"> וכמ"ש הרמב"ם והפוסקים וכדלקמן ר"ס ק"י</w:t>
      </w:r>
      <w:r>
        <w:rPr>
          <w:rFonts w:cs="Arial" w:hint="cs"/>
          <w:rtl/>
        </w:rPr>
        <w:t>,</w:t>
      </w:r>
      <w:r w:rsidRPr="00744EE6">
        <w:rPr>
          <w:rFonts w:cs="Arial"/>
          <w:rtl/>
        </w:rPr>
        <w:t xml:space="preserve"> קצרתי בזה</w:t>
      </w:r>
      <w:r>
        <w:rPr>
          <w:rFonts w:cs="Arial" w:hint="cs"/>
          <w:rtl/>
        </w:rPr>
        <w:t>,</w:t>
      </w:r>
      <w:r w:rsidRPr="00744EE6">
        <w:rPr>
          <w:rFonts w:cs="Arial"/>
          <w:rtl/>
        </w:rPr>
        <w:t xml:space="preserve"> והכל תלוי בראות עיני המורה אם הוא חשוב להתכבד באותו מקום לא בטיל ואם לאו בטל ואם יש ספק אזלינן לקולא</w:t>
      </w:r>
      <w:r>
        <w:rPr>
          <w:rFonts w:cs="Arial" w:hint="cs"/>
          <w:rtl/>
        </w:rPr>
        <w:t>,</w:t>
      </w:r>
      <w:r w:rsidRPr="00744EE6">
        <w:rPr>
          <w:rFonts w:cs="Arial"/>
          <w:rtl/>
        </w:rPr>
        <w:t xml:space="preserve"> וכדלעיל ס"א בהג"ה</w:t>
      </w:r>
      <w:r>
        <w:rPr>
          <w:rFonts w:cs="Arial" w:hint="cs"/>
          <w:rtl/>
        </w:rPr>
        <w:t>, ש"ך (סקי"ג).</w:t>
      </w:r>
    </w:p>
  </w:footnote>
  <w:footnote w:id="1996">
    <w:p w14:paraId="32F76839" w14:textId="77777777" w:rsidR="004C5A3C" w:rsidRDefault="004C5A3C" w:rsidP="002C39F4">
      <w:pPr>
        <w:pStyle w:val="a5"/>
        <w:rPr>
          <w:rtl/>
        </w:rPr>
      </w:pPr>
      <w:r>
        <w:rPr>
          <w:rStyle w:val="a7"/>
        </w:rPr>
        <w:footnoteRef/>
      </w:r>
      <w:r>
        <w:rPr>
          <w:rtl/>
        </w:rPr>
        <w:t xml:space="preserve"> </w:t>
      </w:r>
      <w:r w:rsidRPr="009752D7">
        <w:rPr>
          <w:rFonts w:cs="Arial"/>
          <w:rtl/>
        </w:rPr>
        <w:t>ונראה מש"ה לא הביא רמ"א בש</w:t>
      </w:r>
      <w:r>
        <w:rPr>
          <w:rFonts w:cs="Arial" w:hint="cs"/>
          <w:rtl/>
        </w:rPr>
        <w:t>ו</w:t>
      </w:r>
      <w:r w:rsidRPr="009752D7">
        <w:rPr>
          <w:rFonts w:cs="Arial"/>
          <w:rtl/>
        </w:rPr>
        <w:t>"ע ובד</w:t>
      </w:r>
      <w:r>
        <w:rPr>
          <w:rFonts w:cs="Arial" w:hint="cs"/>
          <w:rtl/>
        </w:rPr>
        <w:t>רכ</w:t>
      </w:r>
      <w:r w:rsidRPr="009752D7">
        <w:rPr>
          <w:rFonts w:cs="Arial"/>
          <w:rtl/>
        </w:rPr>
        <w:t>"מ חילוק זה אע</w:t>
      </w:r>
      <w:r w:rsidRPr="009752D7">
        <w:rPr>
          <w:rFonts w:cs="Arial" w:hint="cs"/>
          <w:rtl/>
        </w:rPr>
        <w:t>"</w:t>
      </w:r>
      <w:r w:rsidRPr="009752D7">
        <w:rPr>
          <w:rFonts w:cs="Arial"/>
          <w:rtl/>
        </w:rPr>
        <w:t>פ שבת"ח הביאו לאו עיקר הוא ואין להקל בזה</w:t>
      </w:r>
      <w:r>
        <w:rPr>
          <w:rFonts w:cs="Arial" w:hint="cs"/>
          <w:rtl/>
        </w:rPr>
        <w:t>, ט"ז.</w:t>
      </w:r>
      <w:r>
        <w:rPr>
          <w:rFonts w:hint="cs"/>
          <w:rtl/>
        </w:rPr>
        <w:t xml:space="preserve"> והש"ך (נה"כ אות ב) חלק על הט"ז וכ' דאפשר להקל בזה, דהא אין מכבדין בחתיכה אחת מטוגנת אלא בחתיכות הרבה א"כ כל חתיכה וחתיכה עצמה אינה ראויה להתכבד.</w:t>
      </w:r>
    </w:p>
  </w:footnote>
  <w:footnote w:id="1997">
    <w:p w14:paraId="58661731" w14:textId="77777777" w:rsidR="004C5A3C" w:rsidRDefault="004C5A3C" w:rsidP="002C39F4">
      <w:pPr>
        <w:pStyle w:val="a5"/>
      </w:pPr>
      <w:r>
        <w:rPr>
          <w:rStyle w:val="a7"/>
        </w:rPr>
        <w:footnoteRef/>
      </w:r>
      <w:r>
        <w:rPr>
          <w:rtl/>
        </w:rPr>
        <w:t xml:space="preserve"> </w:t>
      </w:r>
      <w:r w:rsidRPr="00646ACB">
        <w:rPr>
          <w:rFonts w:cs="Arial"/>
          <w:rtl/>
        </w:rPr>
        <w:t>שמעתא אחריתי</w:t>
      </w:r>
      <w:r>
        <w:rPr>
          <w:rFonts w:cs="Arial" w:hint="cs"/>
          <w:rtl/>
        </w:rPr>
        <w:t>,</w:t>
      </w:r>
      <w:r w:rsidRPr="00646ACB">
        <w:rPr>
          <w:rFonts w:cs="Arial"/>
          <w:rtl/>
        </w:rPr>
        <w:t xml:space="preserve"> קרביים לאו בשר ואוכליהן לאו בר נש הוא, ואמרינן למאי הלכתא קרביים לאו בשר הוו</w:t>
      </w:r>
      <w:r>
        <w:rPr>
          <w:rFonts w:cs="Arial" w:hint="cs"/>
          <w:rtl/>
        </w:rPr>
        <w:t>,</w:t>
      </w:r>
      <w:r w:rsidRPr="00646ACB">
        <w:rPr>
          <w:rFonts w:cs="Arial"/>
          <w:rtl/>
        </w:rPr>
        <w:t xml:space="preserve"> הא אמרינן לעיל גבי נדרים אסור בכל מיני בשר ולא הוציא קרביים</w:t>
      </w:r>
      <w:r>
        <w:rPr>
          <w:rFonts w:cs="Arial" w:hint="cs"/>
          <w:rtl/>
        </w:rPr>
        <w:t>,</w:t>
      </w:r>
      <w:r w:rsidRPr="00646ACB">
        <w:rPr>
          <w:rFonts w:cs="Arial"/>
          <w:rtl/>
        </w:rPr>
        <w:t xml:space="preserve"> וקא מתרץ דהאי אוכליהן לאו בר נש לענין זביני</w:t>
      </w:r>
      <w:r>
        <w:rPr>
          <w:rFonts w:cs="Arial" w:hint="cs"/>
          <w:rtl/>
        </w:rPr>
        <w:t>,</w:t>
      </w:r>
      <w:r w:rsidRPr="00646ACB">
        <w:rPr>
          <w:rFonts w:cs="Arial"/>
          <w:rtl/>
        </w:rPr>
        <w:t xml:space="preserve"> שהקונה קרביים בדמי בשר שיכול לקנות הבשר וקונה קרביים לאו בר נש הוא</w:t>
      </w:r>
      <w:r>
        <w:rPr>
          <w:rFonts w:cs="Arial" w:hint="cs"/>
          <w:rtl/>
        </w:rPr>
        <w:t>,</w:t>
      </w:r>
      <w:r w:rsidRPr="00646ACB">
        <w:rPr>
          <w:rFonts w:cs="Arial"/>
          <w:rtl/>
        </w:rPr>
        <w:t xml:space="preserve"> דבטלה דעתו אצל בני אדם</w:t>
      </w:r>
      <w:r>
        <w:rPr>
          <w:rFonts w:cs="Arial" w:hint="cs"/>
          <w:rtl/>
        </w:rPr>
        <w:t>, רש"י.</w:t>
      </w:r>
    </w:p>
  </w:footnote>
  <w:footnote w:id="1998">
    <w:p w14:paraId="5F948D63" w14:textId="77777777" w:rsidR="004C5A3C" w:rsidRDefault="004C5A3C" w:rsidP="002C39F4">
      <w:pPr>
        <w:pStyle w:val="a5"/>
      </w:pPr>
      <w:r>
        <w:rPr>
          <w:rStyle w:val="a7"/>
        </w:rPr>
        <w:footnoteRef/>
      </w:r>
      <w:r>
        <w:rPr>
          <w:rtl/>
        </w:rPr>
        <w:t xml:space="preserve"> </w:t>
      </w:r>
      <w:r>
        <w:rPr>
          <w:rFonts w:hint="cs"/>
          <w:rtl/>
        </w:rPr>
        <w:t>וכ' ה</w:t>
      </w:r>
      <w:r>
        <w:rPr>
          <w:rFonts w:cs="Arial" w:hint="cs"/>
          <w:rtl/>
        </w:rPr>
        <w:t>או</w:t>
      </w:r>
      <w:r>
        <w:rPr>
          <w:rFonts w:cs="Arial"/>
          <w:rtl/>
        </w:rPr>
        <w:t>"</w:t>
      </w:r>
      <w:r>
        <w:rPr>
          <w:rFonts w:cs="Arial" w:hint="cs"/>
          <w:rtl/>
        </w:rPr>
        <w:t>ה</w:t>
      </w:r>
      <w:r w:rsidRPr="00DA4BDB">
        <w:rPr>
          <w:rFonts w:cs="Arial"/>
          <w:rtl/>
        </w:rPr>
        <w:t xml:space="preserve"> </w:t>
      </w:r>
      <w:r w:rsidRPr="00DA4BDB">
        <w:rPr>
          <w:rFonts w:cs="Arial" w:hint="cs"/>
          <w:sz w:val="16"/>
          <w:szCs w:val="16"/>
          <w:rtl/>
        </w:rPr>
        <w:t>(</w:t>
      </w:r>
      <w:r w:rsidRPr="00DA4BDB">
        <w:rPr>
          <w:rFonts w:cs="Arial"/>
          <w:sz w:val="16"/>
          <w:szCs w:val="16"/>
          <w:rtl/>
        </w:rPr>
        <w:t>כלל כה דכ</w:t>
      </w:r>
      <w:r w:rsidRPr="00DA4BDB">
        <w:rPr>
          <w:rFonts w:cs="Arial" w:hint="cs"/>
          <w:sz w:val="16"/>
          <w:szCs w:val="16"/>
          <w:rtl/>
        </w:rPr>
        <w:t>"</w:t>
      </w:r>
      <w:r w:rsidRPr="00DA4BDB">
        <w:rPr>
          <w:rFonts w:cs="Arial"/>
          <w:sz w:val="16"/>
          <w:szCs w:val="16"/>
          <w:rtl/>
        </w:rPr>
        <w:t>ב)</w:t>
      </w:r>
      <w:r>
        <w:rPr>
          <w:rFonts w:cs="Arial" w:hint="cs"/>
          <w:rtl/>
        </w:rPr>
        <w:t xml:space="preserve"> דהדין כן ב</w:t>
      </w:r>
      <w:r w:rsidRPr="00DA4BDB">
        <w:rPr>
          <w:rFonts w:cs="Arial"/>
          <w:rtl/>
        </w:rPr>
        <w:t>כל בני מעים שבעוף ושבבהמה</w:t>
      </w:r>
      <w:r>
        <w:rPr>
          <w:rFonts w:cs="Arial" w:hint="cs"/>
          <w:rtl/>
        </w:rPr>
        <w:t>,</w:t>
      </w:r>
      <w:r w:rsidRPr="00DA4BDB">
        <w:rPr>
          <w:rFonts w:cs="Arial"/>
          <w:rtl/>
        </w:rPr>
        <w:t xml:space="preserve"> </w:t>
      </w:r>
      <w:r>
        <w:rPr>
          <w:rFonts w:cs="Arial" w:hint="cs"/>
          <w:rtl/>
        </w:rPr>
        <w:t>ד</w:t>
      </w:r>
      <w:r w:rsidRPr="00DA4BDB">
        <w:rPr>
          <w:rFonts w:cs="Arial"/>
          <w:rtl/>
        </w:rPr>
        <w:t>לא מקרי ראוי להתכבד</w:t>
      </w:r>
      <w:r>
        <w:rPr>
          <w:rFonts w:cs="Arial" w:hint="cs"/>
          <w:rtl/>
        </w:rPr>
        <w:t>,</w:t>
      </w:r>
      <w:r w:rsidRPr="00DA4BDB">
        <w:rPr>
          <w:rFonts w:cs="Arial"/>
          <w:rtl/>
        </w:rPr>
        <w:t xml:space="preserve"> וכן אין דרכן למוכרן במנין</w:t>
      </w:r>
      <w:r>
        <w:rPr>
          <w:rFonts w:cs="Arial" w:hint="cs"/>
          <w:rtl/>
        </w:rPr>
        <w:t>.</w:t>
      </w:r>
    </w:p>
  </w:footnote>
  <w:footnote w:id="1999">
    <w:p w14:paraId="6100FFF4" w14:textId="77777777" w:rsidR="004C5A3C" w:rsidRDefault="004C5A3C" w:rsidP="002C39F4">
      <w:pPr>
        <w:pStyle w:val="a5"/>
      </w:pPr>
      <w:r>
        <w:rPr>
          <w:rStyle w:val="a7"/>
        </w:rPr>
        <w:footnoteRef/>
      </w:r>
      <w:r>
        <w:rPr>
          <w:rtl/>
        </w:rPr>
        <w:t xml:space="preserve"> </w:t>
      </w:r>
      <w:r w:rsidRPr="003E0009">
        <w:rPr>
          <w:rFonts w:asciiTheme="minorBidi" w:hAnsiTheme="minorBidi" w:cs="Arial"/>
          <w:rtl/>
        </w:rPr>
        <w:t>ו</w:t>
      </w:r>
      <w:r>
        <w:rPr>
          <w:rFonts w:asciiTheme="minorBidi" w:hAnsiTheme="minorBidi" w:cs="Arial" w:hint="cs"/>
          <w:rtl/>
        </w:rPr>
        <w:t>כ' רש"ל ד</w:t>
      </w:r>
      <w:r w:rsidRPr="003E0009">
        <w:rPr>
          <w:rFonts w:asciiTheme="minorBidi" w:hAnsiTheme="minorBidi" w:cs="Arial"/>
          <w:rtl/>
        </w:rPr>
        <w:t>כן נמצא בשם מהר"מ לקמן בהג"ה המתחלת מהר"מ אסר מחט שנמצא בקורקבן כו' שפסק כן</w:t>
      </w:r>
      <w:r>
        <w:rPr>
          <w:rFonts w:asciiTheme="minorBidi" w:hAnsiTheme="minorBidi" w:cs="Arial" w:hint="cs"/>
          <w:rtl/>
        </w:rPr>
        <w:t>. עכ"ל.</w:t>
      </w:r>
      <w:r w:rsidRPr="003E0009">
        <w:rPr>
          <w:rFonts w:asciiTheme="minorBidi" w:hAnsiTheme="minorBidi" w:cs="Arial"/>
          <w:rtl/>
        </w:rPr>
        <w:t xml:space="preserve"> ו</w:t>
      </w:r>
      <w:r>
        <w:rPr>
          <w:rFonts w:asciiTheme="minorBidi" w:hAnsiTheme="minorBidi" w:cs="Arial" w:hint="cs"/>
          <w:rtl/>
        </w:rPr>
        <w:t xml:space="preserve">אחריו נמשך </w:t>
      </w:r>
      <w:r w:rsidRPr="003E0009">
        <w:rPr>
          <w:rFonts w:asciiTheme="minorBidi" w:hAnsiTheme="minorBidi" w:cs="Arial"/>
          <w:rtl/>
        </w:rPr>
        <w:t>הב"ח</w:t>
      </w:r>
      <w:r>
        <w:rPr>
          <w:rFonts w:asciiTheme="minorBidi" w:hAnsiTheme="minorBidi" w:cs="Arial" w:hint="cs"/>
          <w:rtl/>
        </w:rPr>
        <w:t xml:space="preserve">. וכ' הש"ך </w:t>
      </w:r>
      <w:r w:rsidRPr="007C6FDB">
        <w:rPr>
          <w:rFonts w:asciiTheme="minorBidi" w:hAnsiTheme="minorBidi" w:cs="Arial" w:hint="cs"/>
          <w:sz w:val="16"/>
          <w:szCs w:val="16"/>
          <w:rtl/>
        </w:rPr>
        <w:t>(סקי"ד)</w:t>
      </w:r>
      <w:r w:rsidRPr="007C6FDB">
        <w:rPr>
          <w:rFonts w:asciiTheme="minorBidi" w:hAnsiTheme="minorBidi" w:cs="Arial"/>
          <w:sz w:val="16"/>
          <w:szCs w:val="16"/>
          <w:rtl/>
        </w:rPr>
        <w:t xml:space="preserve"> </w:t>
      </w:r>
      <w:r>
        <w:rPr>
          <w:rFonts w:asciiTheme="minorBidi" w:hAnsiTheme="minorBidi" w:cs="Arial" w:hint="cs"/>
          <w:rtl/>
        </w:rPr>
        <w:t>ד</w:t>
      </w:r>
      <w:r w:rsidRPr="003E0009">
        <w:rPr>
          <w:rFonts w:asciiTheme="minorBidi" w:hAnsiTheme="minorBidi" w:cs="Arial"/>
          <w:rtl/>
        </w:rPr>
        <w:t>אגב חורפיה לא עיין שפיר</w:t>
      </w:r>
      <w:r>
        <w:rPr>
          <w:rFonts w:asciiTheme="minorBidi" w:hAnsiTheme="minorBidi" w:cs="Arial" w:hint="cs"/>
          <w:rtl/>
        </w:rPr>
        <w:t>,</w:t>
      </w:r>
      <w:r w:rsidRPr="003E0009">
        <w:rPr>
          <w:rFonts w:asciiTheme="minorBidi" w:hAnsiTheme="minorBidi" w:cs="Arial"/>
          <w:rtl/>
        </w:rPr>
        <w:t xml:space="preserve"> דהמעיין שם </w:t>
      </w:r>
      <w:r>
        <w:rPr>
          <w:rFonts w:asciiTheme="minorBidi" w:hAnsiTheme="minorBidi" w:cs="Arial" w:hint="cs"/>
          <w:sz w:val="16"/>
          <w:szCs w:val="16"/>
          <w:rtl/>
        </w:rPr>
        <w:t>(</w:t>
      </w:r>
      <w:r w:rsidRPr="007C6FDB">
        <w:rPr>
          <w:rFonts w:asciiTheme="minorBidi" w:hAnsiTheme="minorBidi" w:cs="Arial"/>
          <w:sz w:val="16"/>
          <w:szCs w:val="16"/>
          <w:rtl/>
        </w:rPr>
        <w:t>סי' נד</w:t>
      </w:r>
      <w:r w:rsidRPr="007C6FDB">
        <w:rPr>
          <w:rFonts w:asciiTheme="minorBidi" w:hAnsiTheme="minorBidi" w:cs="Arial" w:hint="cs"/>
          <w:sz w:val="16"/>
          <w:szCs w:val="16"/>
          <w:rtl/>
        </w:rPr>
        <w:t>)</w:t>
      </w:r>
      <w:r w:rsidRPr="003E0009">
        <w:rPr>
          <w:rFonts w:asciiTheme="minorBidi" w:hAnsiTheme="minorBidi" w:cs="Arial"/>
          <w:rtl/>
        </w:rPr>
        <w:t xml:space="preserve"> בהג"ה זו יראה להדיא דלא קאי אלא אאווזא שנתערבה בשאר אווזות דחשיב לאווזות חה"ל אלא שהטריפות של האווזא היה בקורקבן שלה שנמצא בה מחט</w:t>
      </w:r>
      <w:r>
        <w:rPr>
          <w:rFonts w:asciiTheme="minorBidi" w:hAnsiTheme="minorBidi" w:cs="Arial" w:hint="cs"/>
          <w:rtl/>
        </w:rPr>
        <w:t>,</w:t>
      </w:r>
      <w:r w:rsidRPr="003E0009">
        <w:rPr>
          <w:rFonts w:asciiTheme="minorBidi" w:hAnsiTheme="minorBidi" w:cs="Arial"/>
          <w:rtl/>
        </w:rPr>
        <w:t xml:space="preserve"> וכ"כ בתשב"ץ סי' שכ"ח גם כן בהדיא בשם מהר"מ שאסר שאר האווזות שנתערבו עם אותה האווזא שנמצא בה המחט בקורקבן מפני שהאווזא היא חה"ל עכ"ל והכי איתא נמי בהגש</w:t>
      </w:r>
      <w:r>
        <w:rPr>
          <w:rFonts w:asciiTheme="minorBidi" w:hAnsiTheme="minorBidi" w:cs="Arial" w:hint="cs"/>
          <w:rtl/>
        </w:rPr>
        <w:t>ע</w:t>
      </w:r>
      <w:r w:rsidRPr="003E0009">
        <w:rPr>
          <w:rFonts w:asciiTheme="minorBidi" w:hAnsiTheme="minorBidi" w:cs="Arial"/>
          <w:rtl/>
        </w:rPr>
        <w:t>"ד</w:t>
      </w:r>
      <w:r w:rsidRPr="007C6FDB">
        <w:rPr>
          <w:rFonts w:asciiTheme="minorBidi" w:hAnsiTheme="minorBidi" w:cs="Arial"/>
          <w:sz w:val="16"/>
          <w:szCs w:val="16"/>
          <w:rtl/>
        </w:rPr>
        <w:t xml:space="preserve"> </w:t>
      </w:r>
      <w:r>
        <w:rPr>
          <w:rFonts w:asciiTheme="minorBidi" w:hAnsiTheme="minorBidi" w:cs="Arial" w:hint="cs"/>
          <w:sz w:val="16"/>
          <w:szCs w:val="16"/>
          <w:rtl/>
        </w:rPr>
        <w:t>(</w:t>
      </w:r>
      <w:r w:rsidRPr="007C6FDB">
        <w:rPr>
          <w:rFonts w:asciiTheme="minorBidi" w:hAnsiTheme="minorBidi" w:cs="Arial"/>
          <w:sz w:val="16"/>
          <w:szCs w:val="16"/>
          <w:rtl/>
        </w:rPr>
        <w:t>ד' ווינציא"ה שנת שכ"ד</w:t>
      </w:r>
      <w:r w:rsidRPr="007C6FDB">
        <w:rPr>
          <w:rFonts w:asciiTheme="minorBidi" w:hAnsiTheme="minorBidi" w:cs="Arial" w:hint="cs"/>
          <w:sz w:val="16"/>
          <w:szCs w:val="16"/>
          <w:rtl/>
        </w:rPr>
        <w:t>)</w:t>
      </w:r>
      <w:r w:rsidRPr="003E0009">
        <w:rPr>
          <w:rFonts w:asciiTheme="minorBidi" w:hAnsiTheme="minorBidi" w:cs="Arial"/>
          <w:rtl/>
        </w:rPr>
        <w:t xml:space="preserve"> בהדיא</w:t>
      </w:r>
      <w:r>
        <w:rPr>
          <w:rFonts w:asciiTheme="minorBidi" w:hAnsiTheme="minorBidi" w:cs="Arial" w:hint="cs"/>
          <w:rtl/>
        </w:rPr>
        <w:t>,</w:t>
      </w:r>
      <w:r w:rsidRPr="003E0009">
        <w:rPr>
          <w:rFonts w:asciiTheme="minorBidi" w:hAnsiTheme="minorBidi" w:cs="Arial"/>
          <w:rtl/>
        </w:rPr>
        <w:t xml:space="preserve"> א"כ אין מדברי מהר"מ ראיה כלל אלא דהכל תלוי לפי המקום והזמן</w:t>
      </w:r>
      <w:r>
        <w:rPr>
          <w:rFonts w:hint="cs"/>
          <w:rtl/>
        </w:rPr>
        <w:t>.</w:t>
      </w:r>
    </w:p>
  </w:footnote>
  <w:footnote w:id="2000">
    <w:p w14:paraId="7E68308B" w14:textId="77777777" w:rsidR="004C5A3C" w:rsidRDefault="004C5A3C" w:rsidP="002C39F4">
      <w:pPr>
        <w:pStyle w:val="a5"/>
      </w:pPr>
      <w:r>
        <w:rPr>
          <w:rStyle w:val="a7"/>
        </w:rPr>
        <w:footnoteRef/>
      </w:r>
      <w:r>
        <w:rPr>
          <w:rtl/>
        </w:rPr>
        <w:t xml:space="preserve"> </w:t>
      </w:r>
      <w:r>
        <w:rPr>
          <w:rFonts w:asciiTheme="minorBidi" w:hAnsiTheme="minorBidi" w:cs="Arial" w:hint="cs"/>
          <w:rtl/>
        </w:rPr>
        <w:t xml:space="preserve">הט"ז הביא את דברי רש"ל וכ'- </w:t>
      </w:r>
      <w:r w:rsidRPr="00341152">
        <w:rPr>
          <w:rFonts w:asciiTheme="minorBidi" w:hAnsiTheme="minorBidi" w:cs="Arial"/>
          <w:rtl/>
        </w:rPr>
        <w:t>ותמה אני אם יצאו דברים אלו מפי רש"ל שמאד תמוהים הם וכי בחתיכה גדולה וחשובה מאד ונחתך ממנה קצת נאמר שבטלה חשיבותה והא אמרינן בסע</w:t>
      </w:r>
      <w:r>
        <w:rPr>
          <w:rFonts w:asciiTheme="minorBidi" w:hAnsiTheme="minorBidi" w:cs="Arial" w:hint="cs"/>
          <w:rtl/>
        </w:rPr>
        <w:t>'</w:t>
      </w:r>
      <w:r w:rsidRPr="00341152">
        <w:rPr>
          <w:rFonts w:asciiTheme="minorBidi" w:hAnsiTheme="minorBidi" w:cs="Arial"/>
          <w:rtl/>
        </w:rPr>
        <w:t xml:space="preserve"> שאחר זה דלא בטל חשיבותה מכח נתרסק או נחתך עד שתאבד צורתה כו' ואין דומה זה לבריה דכל שניטל קצת ממנה אין שם בריה עליה וע"כ אין לסמוך ע"ז למעשה רק כמו שהורו חכמי קראקא הנ"ל ד</w:t>
      </w:r>
      <w:r>
        <w:rPr>
          <w:rFonts w:asciiTheme="minorBidi" w:hAnsiTheme="minorBidi" w:cs="Arial" w:hint="cs"/>
          <w:rtl/>
        </w:rPr>
        <w:t>-...</w:t>
      </w:r>
    </w:p>
  </w:footnote>
  <w:footnote w:id="2001">
    <w:p w14:paraId="7E1B3CD4" w14:textId="77777777" w:rsidR="004C5A3C" w:rsidRDefault="004C5A3C" w:rsidP="002C39F4">
      <w:pPr>
        <w:pStyle w:val="a5"/>
        <w:rPr>
          <w:rtl/>
        </w:rPr>
      </w:pPr>
      <w:r>
        <w:rPr>
          <w:rStyle w:val="a7"/>
        </w:rPr>
        <w:footnoteRef/>
      </w:r>
      <w:r>
        <w:rPr>
          <w:rtl/>
        </w:rPr>
        <w:t xml:space="preserve"> </w:t>
      </w:r>
      <w:r w:rsidRPr="00B007F5">
        <w:rPr>
          <w:rFonts w:cs="Arial"/>
          <w:rtl/>
        </w:rPr>
        <w:t>אגוזי פרך אין בטלין אפילו באלף מפני חשיבותן</w:t>
      </w:r>
      <w:r>
        <w:rPr>
          <w:rFonts w:cs="Arial" w:hint="cs"/>
          <w:rtl/>
        </w:rPr>
        <w:t>,</w:t>
      </w:r>
      <w:r w:rsidRPr="00B007F5">
        <w:rPr>
          <w:rFonts w:cs="Arial"/>
          <w:rtl/>
        </w:rPr>
        <w:t xml:space="preserve"> נתפצעו האגוזים של ערלה ואח"כ נפלו לתוך של היתר יעלו</w:t>
      </w:r>
      <w:r>
        <w:rPr>
          <w:rFonts w:cs="Arial" w:hint="cs"/>
          <w:rtl/>
        </w:rPr>
        <w:t>,</w:t>
      </w:r>
      <w:r w:rsidRPr="00B007F5">
        <w:rPr>
          <w:rFonts w:cs="Arial"/>
          <w:rtl/>
        </w:rPr>
        <w:t xml:space="preserve"> נפלו תחלה ואח"כ נתפצעו</w:t>
      </w:r>
      <w:r>
        <w:rPr>
          <w:rFonts w:hint="cs"/>
          <w:rtl/>
        </w:rPr>
        <w:t>, רש"י.</w:t>
      </w:r>
    </w:p>
  </w:footnote>
  <w:footnote w:id="2002">
    <w:p w14:paraId="75F9866D" w14:textId="77777777" w:rsidR="004C5A3C" w:rsidRDefault="004C5A3C" w:rsidP="002C39F4">
      <w:pPr>
        <w:pStyle w:val="a5"/>
        <w:rPr>
          <w:rtl/>
        </w:rPr>
      </w:pPr>
      <w:r>
        <w:rPr>
          <w:rStyle w:val="a7"/>
        </w:rPr>
        <w:footnoteRef/>
      </w:r>
      <w:r>
        <w:rPr>
          <w:rtl/>
        </w:rPr>
        <w:t xml:space="preserve"> </w:t>
      </w:r>
      <w:r w:rsidRPr="00EF50AB">
        <w:rPr>
          <w:rFonts w:cs="Arial" w:hint="cs"/>
          <w:rtl/>
        </w:rPr>
        <w:t xml:space="preserve">רי"ף </w:t>
      </w:r>
      <w:r w:rsidRPr="00EF50AB">
        <w:rPr>
          <w:rFonts w:cs="Arial" w:hint="cs"/>
          <w:sz w:val="16"/>
          <w:szCs w:val="16"/>
          <w:rtl/>
        </w:rPr>
        <w:t>(סי' שה)</w:t>
      </w:r>
      <w:r>
        <w:rPr>
          <w:rFonts w:cs="Arial" w:hint="cs"/>
          <w:rtl/>
        </w:rPr>
        <w:t xml:space="preserve"> רמב"ן </w:t>
      </w:r>
      <w:r>
        <w:rPr>
          <w:rFonts w:cs="Arial" w:hint="cs"/>
          <w:sz w:val="16"/>
          <w:szCs w:val="16"/>
          <w:rtl/>
        </w:rPr>
        <w:t xml:space="preserve">(הביאו הרשב"א בארוך שם) </w:t>
      </w:r>
      <w:r w:rsidRPr="00EF50AB">
        <w:rPr>
          <w:rFonts w:cs="Arial"/>
          <w:rtl/>
        </w:rPr>
        <w:t xml:space="preserve">רשב"א </w:t>
      </w:r>
      <w:r w:rsidRPr="008358ED">
        <w:rPr>
          <w:rFonts w:cs="Arial"/>
          <w:sz w:val="16"/>
          <w:szCs w:val="16"/>
          <w:rtl/>
        </w:rPr>
        <w:t>(תוה"א ב"ד ש"א י"ג סוע"ב</w:t>
      </w:r>
      <w:r>
        <w:rPr>
          <w:rFonts w:cs="Arial" w:hint="cs"/>
          <w:sz w:val="16"/>
          <w:szCs w:val="16"/>
          <w:rtl/>
        </w:rPr>
        <w:t>, ובקצר י:</w:t>
      </w:r>
      <w:r w:rsidRPr="008358ED">
        <w:rPr>
          <w:rFonts w:cs="Arial"/>
          <w:sz w:val="16"/>
          <w:szCs w:val="16"/>
          <w:rtl/>
        </w:rPr>
        <w:t xml:space="preserve">) </w:t>
      </w:r>
      <w:r w:rsidRPr="00EF50AB">
        <w:rPr>
          <w:rFonts w:cs="Arial"/>
          <w:rtl/>
        </w:rPr>
        <w:t xml:space="preserve">רא"ש </w:t>
      </w:r>
      <w:r w:rsidRPr="00EF50AB">
        <w:rPr>
          <w:rFonts w:cs="Arial"/>
          <w:sz w:val="16"/>
          <w:szCs w:val="16"/>
          <w:rtl/>
        </w:rPr>
        <w:t>(</w:t>
      </w:r>
      <w:r w:rsidRPr="00EF50AB">
        <w:rPr>
          <w:rFonts w:cs="Arial" w:hint="cs"/>
          <w:sz w:val="16"/>
          <w:szCs w:val="16"/>
          <w:rtl/>
        </w:rPr>
        <w:t xml:space="preserve">חולין </w:t>
      </w:r>
      <w:r w:rsidRPr="00EF50AB">
        <w:rPr>
          <w:rFonts w:cs="Arial"/>
          <w:sz w:val="16"/>
          <w:szCs w:val="16"/>
          <w:rtl/>
        </w:rPr>
        <w:t>סי' לה)</w:t>
      </w:r>
      <w:r w:rsidRPr="008358ED">
        <w:rPr>
          <w:rFonts w:cs="Arial"/>
          <w:rtl/>
        </w:rPr>
        <w:t xml:space="preserve"> </w:t>
      </w:r>
      <w:r w:rsidRPr="00EF50AB">
        <w:rPr>
          <w:rFonts w:cs="Arial"/>
          <w:rtl/>
        </w:rPr>
        <w:t xml:space="preserve">ור"ן </w:t>
      </w:r>
      <w:r w:rsidRPr="008358ED">
        <w:rPr>
          <w:rFonts w:cs="Arial"/>
          <w:sz w:val="16"/>
          <w:szCs w:val="16"/>
          <w:rtl/>
        </w:rPr>
        <w:t>(חולין לו: ד"ה גרסי' תו)</w:t>
      </w:r>
      <w:r>
        <w:rPr>
          <w:rFonts w:hint="cs"/>
          <w:rtl/>
        </w:rPr>
        <w:t>.</w:t>
      </w:r>
    </w:p>
  </w:footnote>
  <w:footnote w:id="2003">
    <w:p w14:paraId="00A6F5B8" w14:textId="77777777" w:rsidR="004C5A3C" w:rsidRDefault="004C5A3C" w:rsidP="002C39F4">
      <w:pPr>
        <w:pStyle w:val="a5"/>
      </w:pPr>
      <w:r>
        <w:rPr>
          <w:rStyle w:val="a7"/>
        </w:rPr>
        <w:footnoteRef/>
      </w:r>
      <w:r>
        <w:rPr>
          <w:rtl/>
        </w:rPr>
        <w:t xml:space="preserve"> </w:t>
      </w:r>
      <w:r w:rsidRPr="00EF50AB">
        <w:rPr>
          <w:rFonts w:cs="Arial"/>
          <w:rtl/>
        </w:rPr>
        <w:t>ואפילו נחתך ממנה אחר שנתערבה</w:t>
      </w:r>
      <w:r>
        <w:rPr>
          <w:rFonts w:cs="Arial" w:hint="cs"/>
          <w:rtl/>
        </w:rPr>
        <w:t>,</w:t>
      </w:r>
      <w:r w:rsidRPr="00EF50AB">
        <w:rPr>
          <w:rFonts w:cs="Arial"/>
          <w:rtl/>
        </w:rPr>
        <w:t xml:space="preserve"> רשב"א </w:t>
      </w:r>
      <w:r>
        <w:rPr>
          <w:rFonts w:cs="Arial" w:hint="cs"/>
          <w:rtl/>
        </w:rPr>
        <w:t>(תוה"ק ב"ד ש"א</w:t>
      </w:r>
      <w:r w:rsidRPr="00EF50AB">
        <w:rPr>
          <w:rFonts w:cs="Arial"/>
          <w:rtl/>
        </w:rPr>
        <w:t xml:space="preserve"> י:)</w:t>
      </w:r>
      <w:r>
        <w:rPr>
          <w:rFonts w:cs="Arial" w:hint="cs"/>
          <w:rtl/>
        </w:rPr>
        <w:t>.</w:t>
      </w:r>
      <w:r w:rsidRPr="005E7C1B">
        <w:rPr>
          <w:rFonts w:cs="Arial" w:hint="cs"/>
          <w:color w:val="E36C0A" w:themeColor="accent6" w:themeShade="BF"/>
          <w:rtl/>
        </w:rPr>
        <w:t xml:space="preserve"> </w:t>
      </w:r>
      <w:r w:rsidRPr="00EB24F9">
        <w:rPr>
          <w:rFonts w:cs="Arial" w:hint="cs"/>
          <w:color w:val="E36C0A" w:themeColor="accent6" w:themeShade="BF"/>
          <w:rtl/>
        </w:rPr>
        <w:t>(וכ"פ בשו"ע)</w:t>
      </w:r>
    </w:p>
  </w:footnote>
  <w:footnote w:id="2004">
    <w:p w14:paraId="202D3989" w14:textId="77777777" w:rsidR="004C5A3C" w:rsidRDefault="004C5A3C" w:rsidP="002C39F4">
      <w:pPr>
        <w:pStyle w:val="a5"/>
      </w:pPr>
      <w:r>
        <w:rPr>
          <w:rStyle w:val="a7"/>
        </w:rPr>
        <w:footnoteRef/>
      </w:r>
      <w:r>
        <w:rPr>
          <w:rtl/>
        </w:rPr>
        <w:t xml:space="preserve"> </w:t>
      </w:r>
      <w:r w:rsidRPr="00B007F5">
        <w:rPr>
          <w:rFonts w:cs="Arial"/>
          <w:rtl/>
        </w:rPr>
        <w:t>ודוקא שנתרסקו הבריה והחתיכה בשוגג אבל במזיד שכיון לבטלם אסור למי שכיון לבטלו</w:t>
      </w:r>
      <w:r>
        <w:rPr>
          <w:rFonts w:cs="Arial" w:hint="cs"/>
          <w:rtl/>
        </w:rPr>
        <w:t>,</w:t>
      </w:r>
      <w:r w:rsidRPr="00B007F5">
        <w:rPr>
          <w:rFonts w:cs="Arial" w:hint="cs"/>
          <w:rtl/>
        </w:rPr>
        <w:t xml:space="preserve"> </w:t>
      </w:r>
      <w:r>
        <w:rPr>
          <w:rFonts w:cs="Arial"/>
          <w:rtl/>
        </w:rPr>
        <w:t>רא"ש (פג"ה סי' לה) ור"ן (לו: ד"ה וגרסי' תו בגמ')</w:t>
      </w:r>
      <w:r>
        <w:rPr>
          <w:rFonts w:cs="Arial" w:hint="cs"/>
          <w:rtl/>
        </w:rPr>
        <w:t>.</w:t>
      </w:r>
      <w:r>
        <w:rPr>
          <w:rFonts w:cs="Arial"/>
          <w:rtl/>
        </w:rPr>
        <w:t xml:space="preserve"> וכבר נתבאר בסימן צ"ט (קנח.)</w:t>
      </w:r>
      <w:r>
        <w:rPr>
          <w:rFonts w:cs="Arial" w:hint="cs"/>
          <w:rtl/>
        </w:rPr>
        <w:t>, ב"י.</w:t>
      </w:r>
    </w:p>
  </w:footnote>
  <w:footnote w:id="2005">
    <w:p w14:paraId="0204FE43" w14:textId="77777777" w:rsidR="004C5A3C" w:rsidRDefault="004C5A3C" w:rsidP="002C39F4">
      <w:pPr>
        <w:pStyle w:val="a5"/>
        <w:rPr>
          <w:rtl/>
        </w:rPr>
      </w:pPr>
      <w:r>
        <w:rPr>
          <w:rStyle w:val="a7"/>
        </w:rPr>
        <w:footnoteRef/>
      </w:r>
      <w:r>
        <w:rPr>
          <w:rtl/>
        </w:rPr>
        <w:t xml:space="preserve"> </w:t>
      </w:r>
      <w:r w:rsidRPr="00B007F5">
        <w:rPr>
          <w:rFonts w:cs="Arial"/>
          <w:rtl/>
        </w:rPr>
        <w:t xml:space="preserve">כי האי סברא משמע קצת </w:t>
      </w:r>
      <w:r>
        <w:rPr>
          <w:rFonts w:cs="Arial" w:hint="cs"/>
          <w:rtl/>
        </w:rPr>
        <w:t>פ</w:t>
      </w:r>
      <w:r w:rsidRPr="00B007F5">
        <w:rPr>
          <w:rFonts w:cs="Arial"/>
          <w:rtl/>
        </w:rPr>
        <w:t>כ</w:t>
      </w:r>
      <w:r>
        <w:rPr>
          <w:rFonts w:cs="Arial" w:hint="cs"/>
          <w:rtl/>
        </w:rPr>
        <w:t>"</w:t>
      </w:r>
      <w:r w:rsidRPr="00B007F5">
        <w:rPr>
          <w:rFonts w:cs="Arial"/>
          <w:rtl/>
        </w:rPr>
        <w:t>מ באשיר"י (סי' טז) גבי ההיא דירושלמי (ברכות פ"ו ה"א) דאם אכל פרידה אחת של ענב או של רמון דחשיב כזית</w:t>
      </w:r>
      <w:r>
        <w:rPr>
          <w:rFonts w:hint="cs"/>
          <w:rtl/>
        </w:rPr>
        <w:t>, מהרא"י.</w:t>
      </w:r>
    </w:p>
  </w:footnote>
  <w:footnote w:id="2006">
    <w:p w14:paraId="149B05E1" w14:textId="77777777" w:rsidR="004C5A3C" w:rsidRDefault="004C5A3C" w:rsidP="002C39F4">
      <w:pPr>
        <w:pStyle w:val="a5"/>
      </w:pPr>
      <w:r>
        <w:rPr>
          <w:rStyle w:val="a7"/>
        </w:rPr>
        <w:footnoteRef/>
      </w:r>
      <w:r>
        <w:rPr>
          <w:rtl/>
        </w:rPr>
        <w:t xml:space="preserve"> </w:t>
      </w:r>
      <w:r w:rsidRPr="00C13063">
        <w:rPr>
          <w:rFonts w:cs="Arial"/>
          <w:rtl/>
        </w:rPr>
        <w:t>פירוש</w:t>
      </w:r>
      <w:r>
        <w:rPr>
          <w:rFonts w:cs="Arial" w:hint="cs"/>
          <w:rtl/>
        </w:rPr>
        <w:t>,</w:t>
      </w:r>
      <w:r w:rsidRPr="00C13063">
        <w:rPr>
          <w:rFonts w:cs="Arial"/>
          <w:rtl/>
        </w:rPr>
        <w:t xml:space="preserve"> דלענין דבר שיש לו מתירין בסי' קב אמרינן באינו מינו אפילו בדבר שיש לו מתירין בטיל</w:t>
      </w:r>
      <w:r>
        <w:rPr>
          <w:rFonts w:cs="Arial" w:hint="cs"/>
          <w:rtl/>
        </w:rPr>
        <w:t>,</w:t>
      </w:r>
      <w:r w:rsidRPr="00C13063">
        <w:rPr>
          <w:rFonts w:cs="Arial"/>
          <w:rtl/>
        </w:rPr>
        <w:t xml:space="preserve"> וכתוב באו"ה </w:t>
      </w:r>
      <w:r>
        <w:rPr>
          <w:rFonts w:cs="Arial" w:hint="cs"/>
          <w:rtl/>
        </w:rPr>
        <w:t>(</w:t>
      </w:r>
      <w:r w:rsidRPr="00C13063">
        <w:rPr>
          <w:rFonts w:cs="Arial"/>
          <w:rtl/>
        </w:rPr>
        <w:t>כלל כה</w:t>
      </w:r>
      <w:r>
        <w:rPr>
          <w:rFonts w:cs="Arial" w:hint="cs"/>
          <w:rtl/>
        </w:rPr>
        <w:t>)</w:t>
      </w:r>
      <w:r w:rsidRPr="00C13063">
        <w:rPr>
          <w:rFonts w:cs="Arial"/>
          <w:rtl/>
        </w:rPr>
        <w:t xml:space="preserve"> דק"ו לענין שאר דברים שאין מתבטלים כגון בריה וחתיכה הראויה להתכבד דספיקן מותר</w:t>
      </w:r>
      <w:r>
        <w:rPr>
          <w:rFonts w:cs="Arial" w:hint="cs"/>
          <w:rtl/>
        </w:rPr>
        <w:t>,</w:t>
      </w:r>
      <w:r w:rsidRPr="00C13063">
        <w:rPr>
          <w:rFonts w:cs="Arial"/>
          <w:rtl/>
        </w:rPr>
        <w:t xml:space="preserve"> כמ"ש ריש סי</w:t>
      </w:r>
      <w:r>
        <w:rPr>
          <w:rFonts w:cs="Arial" w:hint="cs"/>
          <w:rtl/>
        </w:rPr>
        <w:t>'</w:t>
      </w:r>
      <w:r w:rsidRPr="00C13063">
        <w:rPr>
          <w:rFonts w:cs="Arial"/>
          <w:rtl/>
        </w:rPr>
        <w:t xml:space="preserve"> ק דאם נתערבו באינן מינן דלא מהני חשיבותייהו ובטלי</w:t>
      </w:r>
      <w:r>
        <w:rPr>
          <w:rFonts w:cs="Arial" w:hint="cs"/>
          <w:rtl/>
        </w:rPr>
        <w:t>.</w:t>
      </w:r>
      <w:r w:rsidRPr="00C13063">
        <w:rPr>
          <w:rFonts w:cs="Arial"/>
          <w:rtl/>
        </w:rPr>
        <w:t xml:space="preserve"> וחולק עליו רמ"א מדכתב רשב"א והש</w:t>
      </w:r>
      <w:r>
        <w:rPr>
          <w:rFonts w:cs="Arial" w:hint="cs"/>
          <w:rtl/>
        </w:rPr>
        <w:t>ו</w:t>
      </w:r>
      <w:r w:rsidRPr="00C13063">
        <w:rPr>
          <w:rFonts w:cs="Arial"/>
          <w:rtl/>
        </w:rPr>
        <w:t>"ע בסי' ק בקדרה של ירקות שנאבד בה בריה דהכל אסור ש"מ אפילו שלא במינו לא בטילה הבריה</w:t>
      </w:r>
      <w:r>
        <w:rPr>
          <w:rFonts w:cs="Arial" w:hint="cs"/>
          <w:rtl/>
        </w:rPr>
        <w:t>,</w:t>
      </w:r>
      <w:r w:rsidRPr="00C13063">
        <w:rPr>
          <w:rFonts w:cs="Arial"/>
          <w:rtl/>
        </w:rPr>
        <w:t xml:space="preserve"> ובאמת דבריו עצמם של או"ה סותרים זא"ז דבכלל מ</w:t>
      </w:r>
      <w:r>
        <w:rPr>
          <w:rFonts w:cs="Arial" w:hint="cs"/>
          <w:rtl/>
        </w:rPr>
        <w:t>"</w:t>
      </w:r>
      <w:r w:rsidRPr="00C13063">
        <w:rPr>
          <w:rFonts w:cs="Arial"/>
          <w:rtl/>
        </w:rPr>
        <w:t>א כתב הרבה דינים בתולעים שאוסרים בתערובות</w:t>
      </w:r>
      <w:r>
        <w:rPr>
          <w:rFonts w:cs="Arial" w:hint="cs"/>
          <w:rtl/>
        </w:rPr>
        <w:t>,</w:t>
      </w:r>
      <w:r w:rsidRPr="00C13063">
        <w:rPr>
          <w:rFonts w:cs="Arial"/>
          <w:rtl/>
        </w:rPr>
        <w:t xml:space="preserve"> וכתב בת"ח </w:t>
      </w:r>
      <w:r>
        <w:rPr>
          <w:rFonts w:cs="Arial" w:hint="cs"/>
          <w:rtl/>
        </w:rPr>
        <w:t>(</w:t>
      </w:r>
      <w:r w:rsidRPr="00C13063">
        <w:rPr>
          <w:rFonts w:cs="Arial"/>
          <w:rtl/>
        </w:rPr>
        <w:t>כלל מ</w:t>
      </w:r>
      <w:r>
        <w:rPr>
          <w:rFonts w:cs="Arial" w:hint="cs"/>
          <w:rtl/>
        </w:rPr>
        <w:t>)</w:t>
      </w:r>
      <w:r w:rsidRPr="00C13063">
        <w:rPr>
          <w:rFonts w:cs="Arial"/>
          <w:rtl/>
        </w:rPr>
        <w:t xml:space="preserve"> דשאני דבר שיש לו מתירין שאין החשיבות מצד האיסור עצמו אלא מאחר שיהיה לו היתר אחר כך לא ראו חכמים שיתבטל וכל שנתערב שלא במינו אין ההיתר נקרא על דבר האסור אלא על שם הדבר שנתערב בו והוה כמי שאין לו מתירין עכ"ל</w:t>
      </w:r>
      <w:r>
        <w:rPr>
          <w:rFonts w:cs="Arial" w:hint="cs"/>
          <w:rtl/>
        </w:rPr>
        <w:t>,</w:t>
      </w:r>
      <w:r w:rsidRPr="00C13063">
        <w:rPr>
          <w:rFonts w:cs="Arial"/>
          <w:rtl/>
        </w:rPr>
        <w:t xml:space="preserve"> ובסימן קב סע</w:t>
      </w:r>
      <w:r>
        <w:rPr>
          <w:rFonts w:cs="Arial" w:hint="cs"/>
          <w:rtl/>
        </w:rPr>
        <w:t>'</w:t>
      </w:r>
      <w:r w:rsidRPr="00C13063">
        <w:rPr>
          <w:rFonts w:cs="Arial"/>
          <w:rtl/>
        </w:rPr>
        <w:t xml:space="preserve"> א כתבתי בשם הר"ן טעם אחר יותר נכון</w:t>
      </w:r>
      <w:r>
        <w:rPr>
          <w:rFonts w:cs="Arial" w:hint="cs"/>
          <w:rtl/>
        </w:rPr>
        <w:t xml:space="preserve">, </w:t>
      </w:r>
      <w:r w:rsidRPr="00C13063">
        <w:rPr>
          <w:rFonts w:cs="Arial"/>
          <w:rtl/>
        </w:rPr>
        <w:t>ומ"מ איני יודע בהג"ה זו היאך שייכא כאן לענין ריסוק וביטול החתיכה מחמת שנחתך ולפי הנראה דט"ס יש כאן ומקומה בראש הסי' במ"ש הש"ע שאין בטילה וכאן אין מקומה כלל</w:t>
      </w:r>
      <w:r>
        <w:rPr>
          <w:rFonts w:cs="Arial" w:hint="cs"/>
          <w:rtl/>
        </w:rPr>
        <w:t>, ט"ז (סקי"ב).</w:t>
      </w:r>
      <w:r w:rsidRPr="00B82C3F">
        <w:rPr>
          <w:rFonts w:cs="Arial" w:hint="cs"/>
          <w:rtl/>
        </w:rPr>
        <w:t xml:space="preserve"> </w:t>
      </w:r>
      <w:r>
        <w:rPr>
          <w:rFonts w:cs="Arial" w:hint="cs"/>
          <w:rtl/>
        </w:rPr>
        <w:t>וכ"כ הגר"א (סקכ"ב).</w:t>
      </w:r>
    </w:p>
  </w:footnote>
  <w:footnote w:id="2007">
    <w:p w14:paraId="1A3D470C" w14:textId="77777777" w:rsidR="004C5A3C" w:rsidRDefault="004C5A3C" w:rsidP="002C39F4">
      <w:pPr>
        <w:pStyle w:val="a5"/>
      </w:pPr>
      <w:r>
        <w:rPr>
          <w:rStyle w:val="a7"/>
        </w:rPr>
        <w:footnoteRef/>
      </w:r>
      <w:r>
        <w:rPr>
          <w:rtl/>
        </w:rPr>
        <w:t xml:space="preserve"> </w:t>
      </w:r>
      <w:r w:rsidRPr="00CE763B">
        <w:rPr>
          <w:rFonts w:cs="Arial"/>
          <w:rtl/>
        </w:rPr>
        <w:t xml:space="preserve">כתב באו"ה </w:t>
      </w:r>
      <w:r>
        <w:rPr>
          <w:rFonts w:cs="Arial" w:hint="cs"/>
          <w:rtl/>
        </w:rPr>
        <w:t>(</w:t>
      </w:r>
      <w:r w:rsidRPr="00CE763B">
        <w:rPr>
          <w:rFonts w:cs="Arial"/>
          <w:rtl/>
        </w:rPr>
        <w:t>כלל כ"ה</w:t>
      </w:r>
      <w:r>
        <w:rPr>
          <w:rFonts w:cs="Arial" w:hint="cs"/>
          <w:rtl/>
        </w:rPr>
        <w:t>)</w:t>
      </w:r>
      <w:r w:rsidRPr="00CE763B">
        <w:rPr>
          <w:rFonts w:cs="Arial"/>
          <w:rtl/>
        </w:rPr>
        <w:t xml:space="preserve"> דדין זה היינו ביש ששים בהיתר נגד האיסור</w:t>
      </w:r>
      <w:r>
        <w:rPr>
          <w:rFonts w:cs="Arial" w:hint="cs"/>
          <w:rtl/>
        </w:rPr>
        <w:t>, ט"ז (סקי"ג).</w:t>
      </w:r>
    </w:p>
  </w:footnote>
  <w:footnote w:id="2008">
    <w:p w14:paraId="3BDB4FF8" w14:textId="77777777" w:rsidR="004C5A3C" w:rsidRDefault="004C5A3C" w:rsidP="002C39F4">
      <w:pPr>
        <w:pStyle w:val="a5"/>
        <w:rPr>
          <w:rtl/>
        </w:rPr>
      </w:pPr>
      <w:r>
        <w:rPr>
          <w:rStyle w:val="a7"/>
        </w:rPr>
        <w:footnoteRef/>
      </w:r>
      <w:r>
        <w:rPr>
          <w:rtl/>
        </w:rPr>
        <w:t xml:space="preserve"> </w:t>
      </w:r>
      <w:r w:rsidRPr="00CE763B">
        <w:rPr>
          <w:rFonts w:cs="Arial"/>
          <w:rtl/>
        </w:rPr>
        <w:t>אע</w:t>
      </w:r>
      <w:r>
        <w:rPr>
          <w:rFonts w:cs="Arial" w:hint="cs"/>
          <w:rtl/>
        </w:rPr>
        <w:t>"</w:t>
      </w:r>
      <w:r w:rsidRPr="00CE763B">
        <w:rPr>
          <w:rFonts w:cs="Arial"/>
          <w:rtl/>
        </w:rPr>
        <w:t>ג דבכל דוכתי תולין ברוב יראה דהכא איכא למימר אדרבה כל שנשתנה מקדמותו מן הרוב הוא והוה כמו כל דפריש מרובא קא פריש ונמצא שהאיסור שהוא המועט לא נשתנה והופרש מקדמותו</w:t>
      </w:r>
      <w:r>
        <w:rPr>
          <w:rFonts w:cs="Arial" w:hint="cs"/>
          <w:rtl/>
        </w:rPr>
        <w:t>,</w:t>
      </w:r>
      <w:r w:rsidRPr="00CE763B">
        <w:rPr>
          <w:rFonts w:cs="Arial"/>
          <w:rtl/>
        </w:rPr>
        <w:t xml:space="preserve"> מהרא"י </w:t>
      </w:r>
      <w:r w:rsidRPr="00CE763B">
        <w:rPr>
          <w:rFonts w:cs="Arial" w:hint="cs"/>
          <w:sz w:val="16"/>
          <w:szCs w:val="16"/>
          <w:rtl/>
        </w:rPr>
        <w:t>(</w:t>
      </w:r>
      <w:r w:rsidRPr="00CE763B">
        <w:rPr>
          <w:rFonts w:cs="Arial"/>
          <w:sz w:val="16"/>
          <w:szCs w:val="16"/>
          <w:rtl/>
        </w:rPr>
        <w:t>בהג</w:t>
      </w:r>
      <w:r w:rsidRPr="00CE763B">
        <w:rPr>
          <w:rFonts w:cs="Arial" w:hint="cs"/>
          <w:sz w:val="16"/>
          <w:szCs w:val="16"/>
          <w:rtl/>
        </w:rPr>
        <w:t>שע</w:t>
      </w:r>
      <w:r w:rsidRPr="00CE763B">
        <w:rPr>
          <w:rFonts w:cs="Arial"/>
          <w:sz w:val="16"/>
          <w:szCs w:val="16"/>
          <w:rtl/>
        </w:rPr>
        <w:t>"ד</w:t>
      </w:r>
      <w:r w:rsidRPr="00CE763B">
        <w:rPr>
          <w:rFonts w:cs="Arial" w:hint="cs"/>
          <w:sz w:val="16"/>
          <w:szCs w:val="16"/>
          <w:rtl/>
        </w:rPr>
        <w:t xml:space="preserve"> סי' מא אות ג, העתיקו הט"ז)</w:t>
      </w:r>
      <w:r>
        <w:rPr>
          <w:rFonts w:cs="Arial" w:hint="cs"/>
          <w:rtl/>
        </w:rPr>
        <w:t>.</w:t>
      </w:r>
      <w:r>
        <w:rPr>
          <w:rFonts w:hint="cs"/>
          <w:rtl/>
        </w:rPr>
        <w:t xml:space="preserve"> </w:t>
      </w:r>
    </w:p>
  </w:footnote>
  <w:footnote w:id="2009">
    <w:p w14:paraId="6797AC8E" w14:textId="77777777" w:rsidR="004C5A3C" w:rsidRDefault="004C5A3C" w:rsidP="002C39F4">
      <w:pPr>
        <w:pStyle w:val="a5"/>
      </w:pPr>
      <w:r>
        <w:rPr>
          <w:rStyle w:val="a7"/>
        </w:rPr>
        <w:footnoteRef/>
      </w:r>
      <w:r>
        <w:rPr>
          <w:rtl/>
        </w:rPr>
        <w:t xml:space="preserve"> </w:t>
      </w:r>
      <w:r w:rsidRPr="00B21CC4">
        <w:rPr>
          <w:rFonts w:cs="Arial"/>
          <w:rtl/>
        </w:rPr>
        <w:t>כשמחברין אותן יחד מתחברות וניכרות ונראות שהיו כולן מדג אחד</w:t>
      </w:r>
      <w:r>
        <w:rPr>
          <w:rFonts w:cs="Arial" w:hint="cs"/>
          <w:rtl/>
        </w:rPr>
        <w:t>, רש"י</w:t>
      </w:r>
      <w:r w:rsidRPr="00B21CC4">
        <w:rPr>
          <w:rFonts w:cs="Arial"/>
          <w:rtl/>
        </w:rPr>
        <w:t>.</w:t>
      </w:r>
    </w:p>
  </w:footnote>
  <w:footnote w:id="2010">
    <w:p w14:paraId="40C3A272" w14:textId="77777777" w:rsidR="004C5A3C" w:rsidRPr="005B3890" w:rsidRDefault="004C5A3C" w:rsidP="002C39F4">
      <w:pPr>
        <w:pStyle w:val="a5"/>
      </w:pPr>
      <w:r>
        <w:rPr>
          <w:rStyle w:val="a7"/>
        </w:rPr>
        <w:footnoteRef/>
      </w:r>
      <w:r>
        <w:rPr>
          <w:rtl/>
        </w:rPr>
        <w:t xml:space="preserve"> </w:t>
      </w:r>
      <w:r>
        <w:rPr>
          <w:rFonts w:hint="cs"/>
          <w:rtl/>
        </w:rPr>
        <w:t xml:space="preserve">והעתיקו דבריו </w:t>
      </w:r>
      <w:r>
        <w:rPr>
          <w:rFonts w:cs="Arial" w:hint="cs"/>
          <w:rtl/>
        </w:rPr>
        <w:t xml:space="preserve">מהר"ם </w:t>
      </w:r>
      <w:r w:rsidRPr="005B3890">
        <w:rPr>
          <w:rFonts w:cs="Arial" w:hint="cs"/>
          <w:sz w:val="16"/>
          <w:szCs w:val="16"/>
          <w:rtl/>
        </w:rPr>
        <w:t>(ד"פ סי' רז)</w:t>
      </w:r>
      <w:r w:rsidRPr="005B3890">
        <w:rPr>
          <w:rFonts w:cs="Arial" w:hint="cs"/>
          <w:sz w:val="16"/>
          <w:szCs w:val="16"/>
        </w:rPr>
        <w:t xml:space="preserve"> </w:t>
      </w:r>
      <w:r w:rsidRPr="00B21CC4">
        <w:rPr>
          <w:rFonts w:cs="Arial" w:hint="cs"/>
          <w:rtl/>
        </w:rPr>
        <w:t xml:space="preserve">הגה"מ </w:t>
      </w:r>
      <w:r w:rsidRPr="005B3890">
        <w:rPr>
          <w:rFonts w:cs="Arial" w:hint="cs"/>
          <w:sz w:val="16"/>
          <w:szCs w:val="16"/>
          <w:rtl/>
        </w:rPr>
        <w:t xml:space="preserve">(פ"ו </w:t>
      </w:r>
      <w:r w:rsidRPr="005B3890">
        <w:rPr>
          <w:rFonts w:cs="Arial"/>
          <w:sz w:val="16"/>
          <w:szCs w:val="16"/>
          <w:rtl/>
        </w:rPr>
        <w:t>אות ט)</w:t>
      </w:r>
      <w:r>
        <w:rPr>
          <w:rFonts w:cs="Arial" w:hint="cs"/>
          <w:rtl/>
        </w:rPr>
        <w:t xml:space="preserve"> והג</w:t>
      </w:r>
      <w:r>
        <w:rPr>
          <w:rFonts w:cs="Arial"/>
          <w:rtl/>
        </w:rPr>
        <w:t>"</w:t>
      </w:r>
      <w:r>
        <w:rPr>
          <w:rFonts w:cs="Arial" w:hint="cs"/>
          <w:rtl/>
        </w:rPr>
        <w:t xml:space="preserve">א </w:t>
      </w:r>
      <w:r>
        <w:rPr>
          <w:rFonts w:cs="Arial" w:hint="cs"/>
          <w:sz w:val="16"/>
          <w:szCs w:val="16"/>
          <w:rtl/>
        </w:rPr>
        <w:t>(חולין פ"ג סי' ד)</w:t>
      </w:r>
      <w:r>
        <w:rPr>
          <w:rFonts w:cs="Arial" w:hint="cs"/>
          <w:rtl/>
        </w:rPr>
        <w:t>.</w:t>
      </w:r>
    </w:p>
  </w:footnote>
  <w:footnote w:id="2011">
    <w:p w14:paraId="2C3BC79B" w14:textId="77777777" w:rsidR="004C5A3C" w:rsidRDefault="004C5A3C" w:rsidP="002C39F4">
      <w:pPr>
        <w:pStyle w:val="a5"/>
      </w:pPr>
      <w:r>
        <w:rPr>
          <w:rStyle w:val="a7"/>
        </w:rPr>
        <w:footnoteRef/>
      </w:r>
      <w:r>
        <w:rPr>
          <w:rtl/>
        </w:rPr>
        <w:t xml:space="preserve"> </w:t>
      </w:r>
      <w:r>
        <w:rPr>
          <w:rFonts w:hint="cs"/>
          <w:rtl/>
        </w:rPr>
        <w:t xml:space="preserve">והוסיף האו"ז- </w:t>
      </w:r>
      <w:r w:rsidRPr="005B3890">
        <w:rPr>
          <w:rFonts w:cs="Arial"/>
          <w:rtl/>
        </w:rPr>
        <w:t>ויש לפרש שהנקב הי' שלא במקום השומן</w:t>
      </w:r>
      <w:r>
        <w:rPr>
          <w:rFonts w:cs="Arial" w:hint="cs"/>
          <w:rtl/>
        </w:rPr>
        <w:t>,</w:t>
      </w:r>
      <w:r w:rsidRPr="005B3890">
        <w:rPr>
          <w:rFonts w:cs="Arial"/>
          <w:rtl/>
        </w:rPr>
        <w:t xml:space="preserve"> דאי במקום השומן הא קיי"ל לקמן דחלב טהור סותם לכ"ע ובקרקבן של תרנגולת ליכא חלב טמא אלא כולו טהור הלכך ניקב הקרקבן וגם הכיס והשומן סותמן כשירה</w:t>
      </w:r>
      <w:r>
        <w:rPr>
          <w:rFonts w:cs="Arial" w:hint="cs"/>
          <w:rtl/>
        </w:rPr>
        <w:t>.</w:t>
      </w:r>
    </w:p>
  </w:footnote>
  <w:footnote w:id="2012">
    <w:p w14:paraId="0C655722" w14:textId="77777777" w:rsidR="004C5A3C" w:rsidRDefault="004C5A3C" w:rsidP="002C39F4">
      <w:pPr>
        <w:pStyle w:val="a5"/>
        <w:rPr>
          <w:rtl/>
        </w:rPr>
      </w:pPr>
      <w:r>
        <w:rPr>
          <w:rStyle w:val="a7"/>
        </w:rPr>
        <w:footnoteRef/>
      </w:r>
      <w:r>
        <w:rPr>
          <w:rtl/>
        </w:rPr>
        <w:t xml:space="preserve"> </w:t>
      </w:r>
      <w:r w:rsidRPr="00130C71">
        <w:rPr>
          <w:rFonts w:cs="Arial"/>
          <w:rtl/>
        </w:rPr>
        <w:t>דיש לסמוך ע</w:t>
      </w:r>
      <w:r>
        <w:rPr>
          <w:rFonts w:cs="Arial"/>
          <w:rtl/>
        </w:rPr>
        <w:t>ל דמיון זו אפילו באיסור דאו</w:t>
      </w:r>
      <w:r>
        <w:rPr>
          <w:rFonts w:cs="Arial" w:hint="cs"/>
          <w:rtl/>
        </w:rPr>
        <w:t xml:space="preserve">', </w:t>
      </w:r>
      <w:r w:rsidRPr="00130C71">
        <w:rPr>
          <w:rFonts w:cs="Arial"/>
          <w:rtl/>
        </w:rPr>
        <w:t>וכן בהגה</w:t>
      </w:r>
      <w:r>
        <w:rPr>
          <w:rFonts w:cs="Arial" w:hint="cs"/>
          <w:rtl/>
        </w:rPr>
        <w:t>"מ (</w:t>
      </w:r>
      <w:r>
        <w:rPr>
          <w:rFonts w:cs="Arial"/>
          <w:rtl/>
        </w:rPr>
        <w:t>הל</w:t>
      </w:r>
      <w:r>
        <w:rPr>
          <w:rFonts w:cs="Arial" w:hint="cs"/>
          <w:rtl/>
        </w:rPr>
        <w:t>'</w:t>
      </w:r>
      <w:r>
        <w:rPr>
          <w:rFonts w:cs="Arial"/>
          <w:rtl/>
        </w:rPr>
        <w:t xml:space="preserve"> שחיטה </w:t>
      </w:r>
      <w:r w:rsidRPr="00130C71">
        <w:rPr>
          <w:rFonts w:cs="Arial"/>
          <w:rtl/>
        </w:rPr>
        <w:t>פ"ו אות ט) בשם ראבי"ה שעשה מעשה כזו בקורקבן שנתערב</w:t>
      </w:r>
      <w:r>
        <w:rPr>
          <w:rFonts w:cs="Arial" w:hint="cs"/>
          <w:rtl/>
        </w:rPr>
        <w:t>,</w:t>
      </w:r>
      <w:r>
        <w:rPr>
          <w:rFonts w:cs="Arial"/>
          <w:rtl/>
        </w:rPr>
        <w:t xml:space="preserve"> וכ</w:t>
      </w:r>
      <w:r>
        <w:rPr>
          <w:rFonts w:cs="Arial" w:hint="cs"/>
          <w:rtl/>
        </w:rPr>
        <w:t>'</w:t>
      </w:r>
      <w:r w:rsidRPr="00130C71">
        <w:rPr>
          <w:rFonts w:cs="Arial"/>
          <w:rtl/>
        </w:rPr>
        <w:t xml:space="preserve"> ב</w:t>
      </w:r>
      <w:r>
        <w:rPr>
          <w:rFonts w:cs="Arial"/>
          <w:rtl/>
        </w:rPr>
        <w:t xml:space="preserve">או"ה </w:t>
      </w:r>
      <w:r>
        <w:rPr>
          <w:rFonts w:cs="Arial" w:hint="cs"/>
          <w:rtl/>
        </w:rPr>
        <w:t>(</w:t>
      </w:r>
      <w:r>
        <w:rPr>
          <w:rFonts w:cs="Arial"/>
          <w:rtl/>
        </w:rPr>
        <w:t>כלל נב</w:t>
      </w:r>
      <w:r>
        <w:rPr>
          <w:rFonts w:cs="Arial" w:hint="cs"/>
          <w:rtl/>
        </w:rPr>
        <w:t xml:space="preserve"> </w:t>
      </w:r>
      <w:r>
        <w:rPr>
          <w:rFonts w:cs="Arial"/>
          <w:rtl/>
        </w:rPr>
        <w:t>ד</w:t>
      </w:r>
      <w:r>
        <w:rPr>
          <w:rFonts w:cs="Arial" w:hint="cs"/>
          <w:rtl/>
        </w:rPr>
        <w:t>"</w:t>
      </w:r>
      <w:r>
        <w:rPr>
          <w:rFonts w:cs="Arial"/>
          <w:rtl/>
        </w:rPr>
        <w:t>ג</w:t>
      </w:r>
      <w:r w:rsidRPr="00130C71">
        <w:rPr>
          <w:rFonts w:cs="Arial"/>
          <w:rtl/>
        </w:rPr>
        <w:t>) דבעינן שיהא ניכר היטב ונדמו לגמרי</w:t>
      </w:r>
      <w:r>
        <w:rPr>
          <w:rFonts w:hint="cs"/>
          <w:rtl/>
        </w:rPr>
        <w:t>, דרכ"מ (סי' קי אות ח).</w:t>
      </w:r>
    </w:p>
  </w:footnote>
  <w:footnote w:id="2013">
    <w:p w14:paraId="26CC7451" w14:textId="77777777" w:rsidR="004C5A3C" w:rsidRDefault="004C5A3C" w:rsidP="002C39F4">
      <w:pPr>
        <w:pStyle w:val="a5"/>
        <w:rPr>
          <w:rtl/>
        </w:rPr>
      </w:pPr>
      <w:r>
        <w:rPr>
          <w:rStyle w:val="a7"/>
        </w:rPr>
        <w:footnoteRef/>
      </w:r>
      <w:r>
        <w:rPr>
          <w:rtl/>
        </w:rPr>
        <w:t xml:space="preserve"> </w:t>
      </w:r>
      <w:r w:rsidRPr="00182097">
        <w:rPr>
          <w:rFonts w:asciiTheme="minorBidi" w:hAnsiTheme="minorBidi" w:cs="Arial"/>
          <w:rtl/>
        </w:rPr>
        <w:t>ואע</w:t>
      </w:r>
      <w:r w:rsidRPr="00182097">
        <w:rPr>
          <w:rFonts w:asciiTheme="minorBidi" w:hAnsiTheme="minorBidi" w:cs="Arial" w:hint="cs"/>
          <w:rtl/>
        </w:rPr>
        <w:t>"ג</w:t>
      </w:r>
      <w:r w:rsidRPr="00182097">
        <w:rPr>
          <w:rFonts w:asciiTheme="minorBidi" w:hAnsiTheme="minorBidi" w:cs="Arial"/>
          <w:rtl/>
        </w:rPr>
        <w:t xml:space="preserve"> דגבי שומן הקורקבן סגי במראה השומן לחוד הכא שאני כיון שאפשר לברורי ג"כ ע"י שיהיו מכוונים יפה בחיתוך צריך לברורי בזה גם כ</w:t>
      </w:r>
      <w:r>
        <w:rPr>
          <w:rFonts w:asciiTheme="minorBidi" w:hAnsiTheme="minorBidi" w:cs="Arial" w:hint="cs"/>
          <w:rtl/>
        </w:rPr>
        <w:t>ן, ט"ז.</w:t>
      </w:r>
    </w:p>
  </w:footnote>
  <w:footnote w:id="2014">
    <w:p w14:paraId="0C970D6A" w14:textId="77777777" w:rsidR="004C5A3C" w:rsidRDefault="004C5A3C" w:rsidP="002C39F4">
      <w:pPr>
        <w:pStyle w:val="a5"/>
      </w:pPr>
      <w:r>
        <w:rPr>
          <w:rStyle w:val="a7"/>
        </w:rPr>
        <w:footnoteRef/>
      </w:r>
      <w:r>
        <w:rPr>
          <w:rtl/>
        </w:rPr>
        <w:t xml:space="preserve"> </w:t>
      </w:r>
      <w:r w:rsidRPr="00182097">
        <w:rPr>
          <w:rFonts w:asciiTheme="minorBidi" w:hAnsiTheme="minorBidi" w:cs="Arial" w:hint="cs"/>
          <w:rtl/>
        </w:rPr>
        <w:t>הש"ך לא כתב כן לגבי ראש כבש אלא לגבי דג</w:t>
      </w:r>
      <w:r>
        <w:rPr>
          <w:rFonts w:asciiTheme="minorBidi" w:hAnsiTheme="minorBidi" w:cs="Arial" w:hint="cs"/>
          <w:rtl/>
        </w:rPr>
        <w:t xml:space="preserve"> כמבואר בסי' פג</w:t>
      </w:r>
      <w:r w:rsidRPr="00182097">
        <w:rPr>
          <w:rFonts w:asciiTheme="minorBidi" w:hAnsiTheme="minorBidi" w:cs="Arial" w:hint="cs"/>
          <w:rtl/>
        </w:rPr>
        <w:t xml:space="preserve">, אבל </w:t>
      </w:r>
      <w:r>
        <w:rPr>
          <w:rFonts w:asciiTheme="minorBidi" w:hAnsiTheme="minorBidi" w:cs="Arial" w:hint="cs"/>
          <w:rtl/>
        </w:rPr>
        <w:t>בסימן זה (ק"א) לגבי קורקבן כתב הש"ך (סקי"ט) לעיין בסי' פג סק"ד</w:t>
      </w:r>
      <w:r w:rsidRPr="00182097">
        <w:rPr>
          <w:rFonts w:asciiTheme="minorBidi" w:hAnsiTheme="minorBidi" w:cs="Arial" w:hint="cs"/>
          <w:rtl/>
        </w:rPr>
        <w:t>, וכ' הפמ"ג דהו"ל לציין אר</w:t>
      </w:r>
      <w:r>
        <w:rPr>
          <w:rFonts w:asciiTheme="minorBidi" w:hAnsiTheme="minorBidi" w:cs="Arial" w:hint="cs"/>
          <w:rtl/>
        </w:rPr>
        <w:t>א</w:t>
      </w:r>
      <w:r w:rsidRPr="00182097">
        <w:rPr>
          <w:rFonts w:asciiTheme="minorBidi" w:hAnsiTheme="minorBidi" w:cs="Arial" w:hint="cs"/>
          <w:rtl/>
        </w:rPr>
        <w:t>ש כבש דהכא ולא גבי קורקבן, דהרי שם הביא ראיה מראש כבש</w:t>
      </w:r>
      <w:r>
        <w:rPr>
          <w:rFonts w:asciiTheme="minorBidi" w:hAnsiTheme="minorBidi" w:cs="Arial" w:hint="cs"/>
          <w:rtl/>
        </w:rPr>
        <w:t>.</w:t>
      </w:r>
    </w:p>
  </w:footnote>
  <w:footnote w:id="2015">
    <w:p w14:paraId="19EA41A6" w14:textId="77777777" w:rsidR="004C5A3C" w:rsidRDefault="004C5A3C" w:rsidP="002C39F4">
      <w:pPr>
        <w:pStyle w:val="a5"/>
        <w:rPr>
          <w:rtl/>
        </w:rPr>
      </w:pPr>
      <w:r>
        <w:rPr>
          <w:rStyle w:val="a7"/>
        </w:rPr>
        <w:footnoteRef/>
      </w:r>
      <w:r>
        <w:rPr>
          <w:rtl/>
        </w:rPr>
        <w:t xml:space="preserve"> </w:t>
      </w:r>
      <w:r>
        <w:rPr>
          <w:rFonts w:hint="cs"/>
          <w:rtl/>
        </w:rPr>
        <w:t>וכ' עליו הט"ז-</w:t>
      </w:r>
      <w:r w:rsidRPr="00182097">
        <w:rPr>
          <w:rFonts w:asciiTheme="minorBidi" w:hAnsiTheme="minorBidi" w:cs="Arial"/>
          <w:rtl/>
        </w:rPr>
        <w:t xml:space="preserve"> ולעד"נ שאין בדבר זה כדאי להתיר עליו ספק טריפות כיון שלא נמצא בתלמוד ובפוסקים</w:t>
      </w:r>
      <w:r>
        <w:rPr>
          <w:rFonts w:asciiTheme="minorBidi" w:hAnsiTheme="minorBidi" w:cs="Arial" w:hint="cs"/>
          <w:rtl/>
        </w:rPr>
        <w:t xml:space="preserve">. עכ"ל. והעיר רעק"א </w:t>
      </w:r>
      <w:r w:rsidRPr="00182097">
        <w:rPr>
          <w:rFonts w:asciiTheme="minorBidi" w:hAnsiTheme="minorBidi" w:cs="Arial" w:hint="cs"/>
          <w:sz w:val="16"/>
          <w:szCs w:val="16"/>
          <w:rtl/>
        </w:rPr>
        <w:t xml:space="preserve">(אות יא) </w:t>
      </w:r>
      <w:r>
        <w:rPr>
          <w:rFonts w:asciiTheme="minorBidi" w:hAnsiTheme="minorBidi" w:cs="Arial" w:hint="cs"/>
          <w:rtl/>
        </w:rPr>
        <w:t>על דברי הט"ז ש</w:t>
      </w:r>
      <w:r w:rsidRPr="00182097">
        <w:rPr>
          <w:rFonts w:asciiTheme="minorBidi" w:hAnsiTheme="minorBidi" w:cs="Arial"/>
          <w:rtl/>
        </w:rPr>
        <w:t xml:space="preserve">בספר תשו' מטה יוסף </w:t>
      </w:r>
      <w:r w:rsidRPr="00182097">
        <w:rPr>
          <w:rFonts w:asciiTheme="minorBidi" w:hAnsiTheme="minorBidi" w:cs="Arial"/>
          <w:sz w:val="16"/>
          <w:szCs w:val="16"/>
          <w:rtl/>
        </w:rPr>
        <w:t xml:space="preserve">(ח"ב יו"ד ס"ו) </w:t>
      </w:r>
      <w:r w:rsidRPr="00182097">
        <w:rPr>
          <w:rFonts w:asciiTheme="minorBidi" w:hAnsiTheme="minorBidi" w:cs="Arial"/>
          <w:rtl/>
        </w:rPr>
        <w:t>כ</w:t>
      </w:r>
      <w:r>
        <w:rPr>
          <w:rFonts w:asciiTheme="minorBidi" w:hAnsiTheme="minorBidi" w:cs="Arial" w:hint="cs"/>
          <w:rtl/>
        </w:rPr>
        <w:t>'</w:t>
      </w:r>
      <w:r w:rsidRPr="00182097">
        <w:rPr>
          <w:rFonts w:asciiTheme="minorBidi" w:hAnsiTheme="minorBidi" w:cs="Arial"/>
          <w:rtl/>
        </w:rPr>
        <w:t xml:space="preserve"> שהרב מו"ה אברהם ז"ל שבשאלוניקי ועוד רבנים עשו מעשה להתיר</w:t>
      </w:r>
      <w:r>
        <w:rPr>
          <w:rFonts w:asciiTheme="minorBidi" w:hAnsiTheme="minorBidi" w:cs="Arial" w:hint="cs"/>
          <w:rtl/>
        </w:rPr>
        <w:t>.</w:t>
      </w:r>
    </w:p>
  </w:footnote>
  <w:footnote w:id="2016">
    <w:p w14:paraId="4AE5423D" w14:textId="77777777" w:rsidR="004C5A3C" w:rsidRDefault="004C5A3C" w:rsidP="002C39F4">
      <w:pPr>
        <w:pStyle w:val="a5"/>
      </w:pPr>
      <w:r>
        <w:rPr>
          <w:rStyle w:val="a7"/>
        </w:rPr>
        <w:footnoteRef/>
      </w:r>
      <w:r>
        <w:rPr>
          <w:rtl/>
        </w:rPr>
        <w:t xml:space="preserve"> </w:t>
      </w:r>
      <w:r w:rsidRPr="00960310">
        <w:rPr>
          <w:rFonts w:cs="Arial"/>
          <w:rtl/>
        </w:rPr>
        <w:t>ואע</w:t>
      </w:r>
      <w:r>
        <w:rPr>
          <w:rFonts w:cs="Arial" w:hint="cs"/>
          <w:rtl/>
        </w:rPr>
        <w:t>"</w:t>
      </w:r>
      <w:r w:rsidRPr="00960310">
        <w:rPr>
          <w:rFonts w:cs="Arial"/>
          <w:rtl/>
        </w:rPr>
        <w:t>ג דמדאורייתא חד בתרי בטיל, דכתיב (שמות כג) אחרי רבים להטות - אחמור רבנן, הואיל ויש לו מתירין לאחר זמן - לא יאכלנו באיסור על ידי ביטול</w:t>
      </w:r>
      <w:r>
        <w:rPr>
          <w:rFonts w:cs="Arial" w:hint="cs"/>
          <w:rtl/>
        </w:rPr>
        <w:t>, רש"י</w:t>
      </w:r>
      <w:r w:rsidRPr="00960310">
        <w:rPr>
          <w:rFonts w:cs="Arial"/>
          <w:rtl/>
        </w:rPr>
        <w:t>.</w:t>
      </w:r>
    </w:p>
  </w:footnote>
  <w:footnote w:id="2017">
    <w:p w14:paraId="582AFC32" w14:textId="77777777" w:rsidR="004C5A3C" w:rsidRDefault="004C5A3C" w:rsidP="002C39F4">
      <w:pPr>
        <w:pStyle w:val="a5"/>
        <w:rPr>
          <w:rtl/>
        </w:rPr>
      </w:pPr>
      <w:r>
        <w:rPr>
          <w:rStyle w:val="a7"/>
        </w:rPr>
        <w:footnoteRef/>
      </w:r>
      <w:r>
        <w:rPr>
          <w:rtl/>
        </w:rPr>
        <w:t xml:space="preserve"> </w:t>
      </w:r>
      <w:r w:rsidRPr="00A25FBA">
        <w:rPr>
          <w:rFonts w:cs="Arial" w:hint="cs"/>
          <w:rtl/>
        </w:rPr>
        <w:t xml:space="preserve">רמב"ם </w:t>
      </w:r>
      <w:r w:rsidRPr="00A25FBA">
        <w:rPr>
          <w:rFonts w:cs="Arial" w:hint="cs"/>
          <w:sz w:val="16"/>
          <w:szCs w:val="16"/>
          <w:rtl/>
        </w:rPr>
        <w:t xml:space="preserve">(להב' הה"מ [פ"א </w:t>
      </w:r>
      <w:r w:rsidRPr="00A25FBA">
        <w:rPr>
          <w:rFonts w:cs="Arial"/>
          <w:sz w:val="16"/>
          <w:szCs w:val="16"/>
          <w:rtl/>
        </w:rPr>
        <w:t>ה"כ</w:t>
      </w:r>
      <w:r w:rsidRPr="00A25FBA">
        <w:rPr>
          <w:rFonts w:cs="Arial" w:hint="cs"/>
          <w:sz w:val="16"/>
          <w:szCs w:val="16"/>
          <w:rtl/>
        </w:rPr>
        <w:t xml:space="preserve">]) </w:t>
      </w:r>
      <w:r w:rsidRPr="00A25FBA">
        <w:rPr>
          <w:rFonts w:cs="Arial" w:hint="cs"/>
          <w:rtl/>
        </w:rPr>
        <w:t>ו</w:t>
      </w:r>
      <w:r w:rsidRPr="00A25FBA">
        <w:rPr>
          <w:rFonts w:cs="Arial"/>
          <w:rtl/>
        </w:rPr>
        <w:t>רשב"א</w:t>
      </w:r>
      <w:r w:rsidRPr="00A25FBA">
        <w:rPr>
          <w:rFonts w:cs="Arial" w:hint="cs"/>
          <w:rtl/>
        </w:rPr>
        <w:t xml:space="preserve"> </w:t>
      </w:r>
      <w:r w:rsidRPr="00A25FBA">
        <w:rPr>
          <w:rFonts w:cs="Arial"/>
          <w:sz w:val="16"/>
          <w:szCs w:val="16"/>
          <w:rtl/>
        </w:rPr>
        <w:t>(עבה"ק בית מועד ש"ה סי"ד, תוה"א ב"ד ש"ב כה.)</w:t>
      </w:r>
      <w:r>
        <w:rPr>
          <w:rFonts w:hint="cs"/>
          <w:rtl/>
        </w:rPr>
        <w:t>.</w:t>
      </w:r>
    </w:p>
  </w:footnote>
  <w:footnote w:id="2018">
    <w:p w14:paraId="0419E26F" w14:textId="77777777" w:rsidR="004C5A3C" w:rsidRDefault="004C5A3C" w:rsidP="002C39F4">
      <w:pPr>
        <w:pStyle w:val="a5"/>
        <w:rPr>
          <w:rtl/>
        </w:rPr>
      </w:pPr>
      <w:r>
        <w:rPr>
          <w:rStyle w:val="a7"/>
        </w:rPr>
        <w:footnoteRef/>
      </w:r>
      <w:r>
        <w:rPr>
          <w:rtl/>
        </w:rPr>
        <w:t xml:space="preserve"> </w:t>
      </w:r>
      <w:r>
        <w:rPr>
          <w:rFonts w:hint="cs"/>
          <w:rtl/>
        </w:rPr>
        <w:t xml:space="preserve">וכ"פ הב"ח </w:t>
      </w:r>
      <w:r>
        <w:rPr>
          <w:rFonts w:cs="Arial" w:hint="cs"/>
          <w:rtl/>
        </w:rPr>
        <w:t xml:space="preserve">(עמ' רעא ד"ה ומ"ש ואפילו ספק) </w:t>
      </w:r>
      <w:r w:rsidRPr="00766FC6">
        <w:rPr>
          <w:rFonts w:cs="Arial"/>
          <w:rtl/>
        </w:rPr>
        <w:t>בהפסד מרובה</w:t>
      </w:r>
      <w:r>
        <w:rPr>
          <w:rFonts w:cs="Arial" w:hint="cs"/>
          <w:rtl/>
        </w:rPr>
        <w:t xml:space="preserve"> </w:t>
      </w:r>
      <w:r w:rsidRPr="00766FC6">
        <w:rPr>
          <w:rFonts w:cs="Arial"/>
          <w:rtl/>
        </w:rPr>
        <w:t>א"נ לכבוד שבת וי</w:t>
      </w:r>
      <w:r>
        <w:rPr>
          <w:rFonts w:cs="Arial" w:hint="cs"/>
          <w:rtl/>
        </w:rPr>
        <w:t>ו</w:t>
      </w:r>
      <w:r w:rsidRPr="00766FC6">
        <w:rPr>
          <w:rFonts w:cs="Arial"/>
          <w:rtl/>
        </w:rPr>
        <w:t>"ט ולעני בדבר חשוב</w:t>
      </w:r>
      <w:r>
        <w:rPr>
          <w:rFonts w:cs="Arial" w:hint="cs"/>
          <w:rtl/>
        </w:rPr>
        <w:t>.</w:t>
      </w:r>
    </w:p>
  </w:footnote>
  <w:footnote w:id="2019">
    <w:p w14:paraId="70106EC0" w14:textId="77777777" w:rsidR="004C5A3C" w:rsidRDefault="004C5A3C" w:rsidP="002C39F4">
      <w:pPr>
        <w:pStyle w:val="a5"/>
        <w:rPr>
          <w:rtl/>
        </w:rPr>
      </w:pPr>
      <w:r>
        <w:rPr>
          <w:rStyle w:val="a7"/>
        </w:rPr>
        <w:footnoteRef/>
      </w:r>
      <w:r>
        <w:rPr>
          <w:rtl/>
        </w:rPr>
        <w:t xml:space="preserve"> </w:t>
      </w:r>
      <w:r w:rsidRPr="00A25FBA">
        <w:rPr>
          <w:rFonts w:cs="Arial" w:hint="cs"/>
          <w:rtl/>
        </w:rPr>
        <w:t xml:space="preserve">ראבי"ה </w:t>
      </w:r>
      <w:r w:rsidRPr="00A25FBA">
        <w:rPr>
          <w:rFonts w:cs="Arial"/>
          <w:sz w:val="16"/>
          <w:szCs w:val="16"/>
          <w:rtl/>
        </w:rPr>
        <w:t>(סי' תשטו</w:t>
      </w:r>
      <w:r w:rsidRPr="00A25FBA">
        <w:rPr>
          <w:rFonts w:cs="Arial" w:hint="cs"/>
          <w:sz w:val="16"/>
          <w:szCs w:val="16"/>
          <w:rtl/>
        </w:rPr>
        <w:t xml:space="preserve">, הביא המרדכי </w:t>
      </w:r>
      <w:r w:rsidRPr="009C6BDA">
        <w:rPr>
          <w:rFonts w:cs="Arial" w:hint="cs"/>
          <w:sz w:val="14"/>
          <w:szCs w:val="14"/>
          <w:rtl/>
        </w:rPr>
        <w:t xml:space="preserve">[ביצה סי' תרמ] </w:t>
      </w:r>
      <w:r w:rsidRPr="00A25FBA">
        <w:rPr>
          <w:rFonts w:cs="Arial" w:hint="cs"/>
          <w:sz w:val="16"/>
          <w:szCs w:val="16"/>
          <w:rtl/>
        </w:rPr>
        <w:t>דבריו</w:t>
      </w:r>
      <w:r w:rsidRPr="00A25FBA">
        <w:rPr>
          <w:rFonts w:cs="Arial"/>
          <w:sz w:val="16"/>
          <w:szCs w:val="16"/>
          <w:rtl/>
        </w:rPr>
        <w:t>)</w:t>
      </w:r>
      <w:r w:rsidRPr="00A25FBA">
        <w:rPr>
          <w:rFonts w:cs="Arial" w:hint="cs"/>
          <w:sz w:val="16"/>
          <w:szCs w:val="16"/>
          <w:rtl/>
        </w:rPr>
        <w:t xml:space="preserve"> </w:t>
      </w:r>
      <w:r>
        <w:rPr>
          <w:rFonts w:cs="Arial" w:hint="cs"/>
          <w:rtl/>
        </w:rPr>
        <w:t xml:space="preserve">מהר"ם </w:t>
      </w:r>
      <w:r>
        <w:rPr>
          <w:rFonts w:cs="Arial" w:hint="cs"/>
          <w:sz w:val="16"/>
          <w:szCs w:val="16"/>
          <w:rtl/>
        </w:rPr>
        <w:t>(כ"כ הטור בשמו)</w:t>
      </w:r>
      <w:r>
        <w:rPr>
          <w:rFonts w:cs="Arial" w:hint="cs"/>
          <w:rtl/>
        </w:rPr>
        <w:t xml:space="preserve"> רא"ש </w:t>
      </w:r>
      <w:r>
        <w:rPr>
          <w:rFonts w:cs="Arial" w:hint="cs"/>
          <w:sz w:val="16"/>
          <w:szCs w:val="16"/>
          <w:rtl/>
        </w:rPr>
        <w:t xml:space="preserve">(כלל ב אות א) </w:t>
      </w:r>
      <w:r w:rsidRPr="00A25FBA">
        <w:rPr>
          <w:rFonts w:cs="Arial" w:hint="cs"/>
          <w:rtl/>
        </w:rPr>
        <w:t>שע"ד</w:t>
      </w:r>
      <w:r w:rsidRPr="00A25FBA">
        <w:rPr>
          <w:rFonts w:cs="Arial"/>
          <w:rtl/>
        </w:rPr>
        <w:t xml:space="preserve"> </w:t>
      </w:r>
      <w:r w:rsidRPr="00A25FBA">
        <w:rPr>
          <w:rFonts w:cs="Arial"/>
          <w:sz w:val="16"/>
          <w:szCs w:val="16"/>
          <w:rtl/>
        </w:rPr>
        <w:t>(סי' עד)</w:t>
      </w:r>
      <w:r>
        <w:rPr>
          <w:rFonts w:cs="Arial" w:hint="cs"/>
          <w:rtl/>
        </w:rPr>
        <w:t xml:space="preserve"> וטור</w:t>
      </w:r>
      <w:r>
        <w:rPr>
          <w:rFonts w:hint="cs"/>
          <w:rtl/>
        </w:rPr>
        <w:t>. ו</w:t>
      </w:r>
      <w:r w:rsidRPr="00916BBA">
        <w:rPr>
          <w:rFonts w:asciiTheme="minorBidi" w:hAnsiTheme="minorBidi" w:hint="cs"/>
          <w:rtl/>
        </w:rPr>
        <w:t>בציונים לרמ"א</w:t>
      </w:r>
      <w:r w:rsidRPr="00916BBA">
        <w:rPr>
          <w:rFonts w:asciiTheme="minorBidi" w:hAnsiTheme="minorBidi"/>
          <w:rtl/>
        </w:rPr>
        <w:t xml:space="preserve"> </w:t>
      </w:r>
      <w:r>
        <w:rPr>
          <w:rFonts w:asciiTheme="minorBidi" w:hAnsiTheme="minorBidi" w:hint="cs"/>
          <w:rtl/>
        </w:rPr>
        <w:t>(אות ב) הוסיף שכן דעת</w:t>
      </w:r>
      <w:r w:rsidRPr="00916BBA">
        <w:rPr>
          <w:rFonts w:asciiTheme="minorBidi" w:hAnsiTheme="minorBidi" w:hint="cs"/>
          <w:rtl/>
        </w:rPr>
        <w:t xml:space="preserve">- </w:t>
      </w:r>
      <w:r w:rsidRPr="00916BBA">
        <w:rPr>
          <w:rFonts w:asciiTheme="minorBidi" w:hAnsiTheme="minorBidi"/>
          <w:rtl/>
        </w:rPr>
        <w:t>ר</w:t>
      </w:r>
      <w:r w:rsidRPr="00916BBA">
        <w:rPr>
          <w:rFonts w:asciiTheme="minorBidi" w:hAnsiTheme="minorBidi" w:hint="cs"/>
          <w:rtl/>
        </w:rPr>
        <w:t>י"ו</w:t>
      </w:r>
      <w:r w:rsidRPr="00916BBA">
        <w:rPr>
          <w:rFonts w:asciiTheme="minorBidi" w:hAnsiTheme="minorBidi"/>
          <w:rtl/>
        </w:rPr>
        <w:t xml:space="preserve"> הגש</w:t>
      </w:r>
      <w:r w:rsidRPr="00916BBA">
        <w:rPr>
          <w:rFonts w:asciiTheme="minorBidi" w:hAnsiTheme="minorBidi" w:hint="cs"/>
          <w:rtl/>
        </w:rPr>
        <w:t>ע</w:t>
      </w:r>
      <w:r w:rsidRPr="00916BBA">
        <w:rPr>
          <w:rFonts w:asciiTheme="minorBidi" w:hAnsiTheme="minorBidi"/>
          <w:rtl/>
        </w:rPr>
        <w:t>"ד רש"ל רוקח</w:t>
      </w:r>
      <w:r>
        <w:rPr>
          <w:rFonts w:asciiTheme="minorBidi" w:hAnsiTheme="minorBidi" w:hint="cs"/>
          <w:rtl/>
        </w:rPr>
        <w:t>, וכן נראה דעת</w:t>
      </w:r>
      <w:r w:rsidRPr="00916BBA">
        <w:rPr>
          <w:rFonts w:asciiTheme="minorBidi" w:hAnsiTheme="minorBidi"/>
          <w:rtl/>
        </w:rPr>
        <w:t xml:space="preserve"> סמ"ג וסמ"ק בהל' יו</w:t>
      </w:r>
      <w:r w:rsidRPr="00916BBA">
        <w:rPr>
          <w:rFonts w:asciiTheme="minorBidi" w:hAnsiTheme="minorBidi" w:hint="cs"/>
          <w:rtl/>
        </w:rPr>
        <w:t>"</w:t>
      </w:r>
      <w:r w:rsidRPr="00916BBA">
        <w:rPr>
          <w:rFonts w:asciiTheme="minorBidi" w:hAnsiTheme="minorBidi"/>
          <w:rtl/>
        </w:rPr>
        <w:t>ט</w:t>
      </w:r>
      <w:r>
        <w:rPr>
          <w:rFonts w:asciiTheme="minorBidi" w:hAnsiTheme="minorBidi" w:hint="cs"/>
          <w:rtl/>
        </w:rPr>
        <w:t>,</w:t>
      </w:r>
      <w:r w:rsidRPr="00916BBA">
        <w:rPr>
          <w:rFonts w:asciiTheme="minorBidi" w:hAnsiTheme="minorBidi"/>
          <w:rtl/>
        </w:rPr>
        <w:t xml:space="preserve"> וכ"כ או"ה כלל כ"ו בשם סמ"ג ות"ח כלל מ"ג ולא כב"ח וסמ"ק סימן רי"ד וכ"מ באגודה</w:t>
      </w:r>
      <w:r>
        <w:rPr>
          <w:rFonts w:asciiTheme="minorBidi" w:hAnsiTheme="minorBidi" w:hint="cs"/>
          <w:rtl/>
        </w:rPr>
        <w:t>.</w:t>
      </w:r>
    </w:p>
  </w:footnote>
  <w:footnote w:id="2020">
    <w:p w14:paraId="41759EF5" w14:textId="77777777" w:rsidR="004C5A3C" w:rsidRDefault="004C5A3C" w:rsidP="002C39F4">
      <w:pPr>
        <w:pStyle w:val="a5"/>
        <w:rPr>
          <w:rtl/>
        </w:rPr>
      </w:pPr>
      <w:r>
        <w:rPr>
          <w:rStyle w:val="a7"/>
        </w:rPr>
        <w:footnoteRef/>
      </w:r>
      <w:r>
        <w:rPr>
          <w:rtl/>
        </w:rPr>
        <w:t xml:space="preserve"> </w:t>
      </w:r>
      <w:r w:rsidRPr="00A25FBA">
        <w:rPr>
          <w:rFonts w:cs="Arial"/>
          <w:rtl/>
        </w:rPr>
        <w:t>דמסקנא דהלכתא כרב אשי דאמר ספק י</w:t>
      </w:r>
      <w:r>
        <w:rPr>
          <w:rFonts w:cs="Arial" w:hint="cs"/>
          <w:rtl/>
        </w:rPr>
        <w:t>ו"</w:t>
      </w:r>
      <w:r w:rsidRPr="00A25FBA">
        <w:rPr>
          <w:rFonts w:cs="Arial"/>
          <w:rtl/>
        </w:rPr>
        <w:t>ט ספק חול הוי ליה דבר שיש לו מתירין ואפילו בדרבנן לא בטל</w:t>
      </w:r>
      <w:r>
        <w:rPr>
          <w:rFonts w:cs="Arial" w:hint="cs"/>
          <w:rtl/>
        </w:rPr>
        <w:t xml:space="preserve">, </w:t>
      </w:r>
      <w:r w:rsidRPr="00A25FBA">
        <w:rPr>
          <w:rFonts w:cs="Arial" w:hint="cs"/>
          <w:rtl/>
        </w:rPr>
        <w:t xml:space="preserve">ראבי"ה </w:t>
      </w:r>
      <w:r w:rsidRPr="00A25FBA">
        <w:rPr>
          <w:rFonts w:cs="Arial"/>
          <w:sz w:val="16"/>
          <w:szCs w:val="16"/>
          <w:rtl/>
        </w:rPr>
        <w:t>(סי' תשטו</w:t>
      </w:r>
      <w:r w:rsidRPr="00A25FBA">
        <w:rPr>
          <w:rFonts w:cs="Arial" w:hint="cs"/>
          <w:sz w:val="16"/>
          <w:szCs w:val="16"/>
          <w:rtl/>
        </w:rPr>
        <w:t xml:space="preserve">, הביא המרדכי </w:t>
      </w:r>
      <w:r w:rsidRPr="009C6BDA">
        <w:rPr>
          <w:rFonts w:cs="Arial" w:hint="cs"/>
          <w:sz w:val="14"/>
          <w:szCs w:val="14"/>
          <w:rtl/>
        </w:rPr>
        <w:t xml:space="preserve">[ביצה סי' תרמ] </w:t>
      </w:r>
      <w:r w:rsidRPr="00A25FBA">
        <w:rPr>
          <w:rFonts w:cs="Arial" w:hint="cs"/>
          <w:sz w:val="16"/>
          <w:szCs w:val="16"/>
          <w:rtl/>
        </w:rPr>
        <w:t>דבריו</w:t>
      </w:r>
      <w:r w:rsidRPr="00A25FBA">
        <w:rPr>
          <w:rFonts w:cs="Arial"/>
          <w:sz w:val="16"/>
          <w:szCs w:val="16"/>
          <w:rtl/>
        </w:rPr>
        <w:t>)</w:t>
      </w:r>
      <w:r>
        <w:rPr>
          <w:rFonts w:cs="Arial" w:hint="cs"/>
          <w:rtl/>
        </w:rPr>
        <w:t xml:space="preserve">. וכ"כ מהר"ם </w:t>
      </w:r>
      <w:r>
        <w:rPr>
          <w:rFonts w:cs="Arial" w:hint="cs"/>
          <w:sz w:val="16"/>
          <w:szCs w:val="16"/>
          <w:rtl/>
        </w:rPr>
        <w:t>(כ"כ בשמו הטור)</w:t>
      </w:r>
      <w:r>
        <w:rPr>
          <w:rFonts w:cs="Arial" w:hint="cs"/>
          <w:rtl/>
        </w:rPr>
        <w:t xml:space="preserve"> ו</w:t>
      </w:r>
      <w:r w:rsidRPr="00A25FBA">
        <w:rPr>
          <w:rFonts w:cs="Arial" w:hint="cs"/>
          <w:rtl/>
        </w:rPr>
        <w:t>שע"ד</w:t>
      </w:r>
      <w:r w:rsidRPr="00A25FBA">
        <w:rPr>
          <w:rFonts w:cs="Arial"/>
          <w:rtl/>
        </w:rPr>
        <w:t xml:space="preserve"> </w:t>
      </w:r>
      <w:r w:rsidRPr="00A25FBA">
        <w:rPr>
          <w:rFonts w:cs="Arial"/>
          <w:sz w:val="16"/>
          <w:szCs w:val="16"/>
          <w:rtl/>
        </w:rPr>
        <w:t>(סי' עד)</w:t>
      </w:r>
      <w:r>
        <w:rPr>
          <w:rFonts w:cs="Arial" w:hint="cs"/>
          <w:rtl/>
        </w:rPr>
        <w:t>. וכ"פ הטור.</w:t>
      </w:r>
    </w:p>
  </w:footnote>
  <w:footnote w:id="2021">
    <w:p w14:paraId="585FE35C" w14:textId="77777777" w:rsidR="004C5A3C" w:rsidRDefault="004C5A3C" w:rsidP="002C39F4">
      <w:pPr>
        <w:pStyle w:val="a5"/>
        <w:rPr>
          <w:rtl/>
        </w:rPr>
      </w:pPr>
      <w:r>
        <w:rPr>
          <w:rStyle w:val="a7"/>
        </w:rPr>
        <w:footnoteRef/>
      </w:r>
      <w:r>
        <w:rPr>
          <w:rtl/>
        </w:rPr>
        <w:t xml:space="preserve"> </w:t>
      </w:r>
      <w:r w:rsidRPr="00F37B9F">
        <w:rPr>
          <w:rFonts w:cs="Arial"/>
          <w:rtl/>
        </w:rPr>
        <w:t>ואף העופות עצמן שאצלו שאסורים מטעם ספק בריה מצטרף שפיר לשאר התבשיל לבטל הטעם הס' דהא אף העופות עצמן היו מותרים רק שמסופק לנו בהן משום ספק בריה</w:t>
      </w:r>
      <w:r>
        <w:rPr>
          <w:rFonts w:hint="cs"/>
          <w:rtl/>
        </w:rPr>
        <w:t>, סמ"ג (כ"כ האו"ה בשמו).</w:t>
      </w:r>
    </w:p>
  </w:footnote>
  <w:footnote w:id="2022">
    <w:p w14:paraId="71A22FC3" w14:textId="77777777" w:rsidR="004C5A3C" w:rsidRDefault="004C5A3C" w:rsidP="002C39F4">
      <w:pPr>
        <w:pStyle w:val="a5"/>
        <w:rPr>
          <w:rtl/>
        </w:rPr>
      </w:pPr>
      <w:r>
        <w:rPr>
          <w:rStyle w:val="a7"/>
        </w:rPr>
        <w:footnoteRef/>
      </w:r>
      <w:r>
        <w:rPr>
          <w:rtl/>
        </w:rPr>
        <w:t xml:space="preserve"> </w:t>
      </w:r>
      <w:r w:rsidRPr="00EF36A4">
        <w:rPr>
          <w:rFonts w:cs="Arial"/>
          <w:rtl/>
        </w:rPr>
        <w:t>דקיי</w:t>
      </w:r>
      <w:r>
        <w:rPr>
          <w:rFonts w:cs="Arial" w:hint="cs"/>
          <w:rtl/>
        </w:rPr>
        <w:t>"</w:t>
      </w:r>
      <w:r w:rsidRPr="00EF36A4">
        <w:rPr>
          <w:rFonts w:cs="Arial"/>
          <w:rtl/>
        </w:rPr>
        <w:t>ל</w:t>
      </w:r>
      <w:r w:rsidRPr="00EF36A4">
        <w:rPr>
          <w:rFonts w:cs="Arial"/>
          <w:sz w:val="16"/>
          <w:szCs w:val="16"/>
          <w:rtl/>
        </w:rPr>
        <w:t xml:space="preserve"> (חולין סד:) </w:t>
      </w:r>
      <w:r w:rsidRPr="00EF36A4">
        <w:rPr>
          <w:rFonts w:cs="Arial"/>
          <w:rtl/>
        </w:rPr>
        <w:t>גיעולי ביצים מותרות</w:t>
      </w:r>
      <w:r>
        <w:rPr>
          <w:rFonts w:cs="Arial" w:hint="cs"/>
          <w:rtl/>
        </w:rPr>
        <w:t>,</w:t>
      </w:r>
      <w:r w:rsidRPr="00EF36A4">
        <w:rPr>
          <w:rFonts w:cs="Arial"/>
          <w:rtl/>
        </w:rPr>
        <w:t xml:space="preserve"> דמיא דביעי הוא שאין נותנין טעם כלל</w:t>
      </w:r>
      <w:r>
        <w:rPr>
          <w:rFonts w:cs="Arial" w:hint="cs"/>
          <w:rtl/>
        </w:rPr>
        <w:t>,</w:t>
      </w:r>
      <w:r w:rsidRPr="00EF36A4">
        <w:rPr>
          <w:rFonts w:cs="Arial"/>
          <w:rtl/>
        </w:rPr>
        <w:t xml:space="preserve"> </w:t>
      </w:r>
      <w:r>
        <w:rPr>
          <w:rFonts w:cs="Arial" w:hint="cs"/>
          <w:rtl/>
        </w:rPr>
        <w:t>ו</w:t>
      </w:r>
      <w:r w:rsidRPr="00EF36A4">
        <w:rPr>
          <w:rFonts w:cs="Arial"/>
          <w:rtl/>
        </w:rPr>
        <w:t>היה מעשה בלוניל בביצים שנולדו ביום טוב והושמו בטפילה שקורין פנאד"ה והתירו הכל חוץ מן הביצים</w:t>
      </w:r>
      <w:r>
        <w:rPr>
          <w:rFonts w:cs="Arial" w:hint="cs"/>
          <w:rtl/>
        </w:rPr>
        <w:t>, רי"ו.</w:t>
      </w:r>
      <w:r w:rsidRPr="00EF36A4">
        <w:rPr>
          <w:rFonts w:cs="Arial"/>
          <w:rtl/>
        </w:rPr>
        <w:t xml:space="preserve"> ולפי מש</w:t>
      </w:r>
      <w:r>
        <w:rPr>
          <w:rFonts w:cs="Arial" w:hint="cs"/>
          <w:rtl/>
        </w:rPr>
        <w:t>"</w:t>
      </w:r>
      <w:r w:rsidRPr="00EF36A4">
        <w:rPr>
          <w:rFonts w:cs="Arial"/>
          <w:rtl/>
        </w:rPr>
        <w:t>כ רבינו בשם ר</w:t>
      </w:r>
      <w:r>
        <w:rPr>
          <w:rFonts w:cs="Arial" w:hint="cs"/>
          <w:rtl/>
        </w:rPr>
        <w:t>"</w:t>
      </w:r>
      <w:r w:rsidRPr="00EF36A4">
        <w:rPr>
          <w:rFonts w:cs="Arial"/>
          <w:rtl/>
        </w:rPr>
        <w:t>ת בלאו האי טעמא נמי שרי דטעמו בטל בששים</w:t>
      </w:r>
      <w:r>
        <w:rPr>
          <w:rFonts w:hint="cs"/>
          <w:rtl/>
        </w:rPr>
        <w:t>, ב"י.</w:t>
      </w:r>
      <w:r w:rsidRPr="008B1406">
        <w:rPr>
          <w:rtl/>
        </w:rPr>
        <w:t xml:space="preserve"> </w:t>
      </w:r>
      <w:r>
        <w:rPr>
          <w:rFonts w:cs="Arial" w:hint="cs"/>
          <w:rtl/>
        </w:rPr>
        <w:t xml:space="preserve">וכ' הדרכ"מ </w:t>
      </w:r>
      <w:r w:rsidRPr="008B1406">
        <w:rPr>
          <w:rFonts w:cs="Arial"/>
          <w:rtl/>
        </w:rPr>
        <w:t>(</w:t>
      </w:r>
      <w:r>
        <w:rPr>
          <w:rFonts w:cs="Arial" w:hint="cs"/>
          <w:rtl/>
        </w:rPr>
        <w:t xml:space="preserve">אות </w:t>
      </w:r>
      <w:r w:rsidRPr="008B1406">
        <w:rPr>
          <w:rFonts w:cs="Arial"/>
          <w:rtl/>
        </w:rPr>
        <w:t>ב)</w:t>
      </w:r>
      <w:r>
        <w:rPr>
          <w:rFonts w:cs="Arial" w:hint="cs"/>
          <w:rtl/>
        </w:rPr>
        <w:t>-</w:t>
      </w:r>
      <w:r w:rsidRPr="008B1406">
        <w:rPr>
          <w:rFonts w:cs="Arial"/>
          <w:rtl/>
        </w:rPr>
        <w:t xml:space="preserve"> ומ</w:t>
      </w:r>
      <w:r>
        <w:rPr>
          <w:rFonts w:cs="Arial" w:hint="cs"/>
          <w:rtl/>
        </w:rPr>
        <w:t>"מ</w:t>
      </w:r>
      <w:r w:rsidRPr="008B1406">
        <w:rPr>
          <w:rFonts w:cs="Arial"/>
          <w:rtl/>
        </w:rPr>
        <w:t xml:space="preserve"> יש ללמוד מדברי הכל בו לענין אם נתבשלה עם שאר ביצים דשרי מטעם הכל בו</w:t>
      </w:r>
      <w:r>
        <w:rPr>
          <w:rFonts w:cs="Arial" w:hint="cs"/>
          <w:rtl/>
        </w:rPr>
        <w:t>.</w:t>
      </w:r>
      <w:r w:rsidRPr="008B1406">
        <w:rPr>
          <w:rFonts w:cs="Arial"/>
          <w:rtl/>
        </w:rPr>
        <w:t xml:space="preserve"> </w:t>
      </w:r>
    </w:p>
  </w:footnote>
  <w:footnote w:id="2023">
    <w:p w14:paraId="760F48E4" w14:textId="77777777" w:rsidR="004C5A3C" w:rsidRPr="00EF36A4" w:rsidRDefault="004C5A3C" w:rsidP="002C39F4">
      <w:pPr>
        <w:pStyle w:val="a5"/>
      </w:pPr>
      <w:r>
        <w:rPr>
          <w:rStyle w:val="a7"/>
        </w:rPr>
        <w:footnoteRef/>
      </w:r>
      <w:r>
        <w:rPr>
          <w:rtl/>
        </w:rPr>
        <w:t xml:space="preserve"> </w:t>
      </w:r>
      <w:r>
        <w:rPr>
          <w:rFonts w:cs="Arial" w:hint="cs"/>
          <w:rtl/>
        </w:rPr>
        <w:t xml:space="preserve">ר"ת </w:t>
      </w:r>
      <w:r>
        <w:rPr>
          <w:rFonts w:cs="Arial" w:hint="cs"/>
          <w:sz w:val="16"/>
          <w:szCs w:val="16"/>
          <w:rtl/>
        </w:rPr>
        <w:t>(</w:t>
      </w:r>
      <w:r w:rsidRPr="00EF36A4">
        <w:rPr>
          <w:rFonts w:cs="Arial"/>
          <w:sz w:val="16"/>
          <w:szCs w:val="16"/>
          <w:rtl/>
        </w:rPr>
        <w:t>תו</w:t>
      </w:r>
      <w:r w:rsidRPr="00EF36A4">
        <w:rPr>
          <w:rFonts w:cs="Arial" w:hint="cs"/>
          <w:sz w:val="16"/>
          <w:szCs w:val="16"/>
          <w:rtl/>
        </w:rPr>
        <w:t xml:space="preserve">ס' ביצה </w:t>
      </w:r>
      <w:r w:rsidRPr="00EF36A4">
        <w:rPr>
          <w:rFonts w:cs="Arial"/>
          <w:sz w:val="16"/>
          <w:szCs w:val="16"/>
          <w:rtl/>
        </w:rPr>
        <w:t>לח. ד"ה ולבטיל</w:t>
      </w:r>
      <w:r>
        <w:rPr>
          <w:rFonts w:cs="Arial" w:hint="cs"/>
          <w:sz w:val="16"/>
          <w:szCs w:val="16"/>
          <w:rtl/>
        </w:rPr>
        <w:t>, הביאו הטור</w:t>
      </w:r>
      <w:r w:rsidRPr="00EF36A4">
        <w:rPr>
          <w:rFonts w:cs="Arial"/>
          <w:sz w:val="16"/>
          <w:szCs w:val="16"/>
          <w:rtl/>
        </w:rPr>
        <w:t>)</w:t>
      </w:r>
      <w:r>
        <w:rPr>
          <w:rFonts w:cs="Arial" w:hint="cs"/>
          <w:sz w:val="16"/>
          <w:szCs w:val="16"/>
          <w:rtl/>
        </w:rPr>
        <w:t xml:space="preserve"> </w:t>
      </w:r>
      <w:r w:rsidRPr="00D629F8">
        <w:rPr>
          <w:rFonts w:cs="Arial"/>
          <w:rtl/>
        </w:rPr>
        <w:t xml:space="preserve">רמב"ם </w:t>
      </w:r>
      <w:r w:rsidRPr="00EF36A4">
        <w:rPr>
          <w:rFonts w:cs="Arial" w:hint="cs"/>
          <w:sz w:val="16"/>
          <w:szCs w:val="16"/>
          <w:rtl/>
        </w:rPr>
        <w:t>(</w:t>
      </w:r>
      <w:r w:rsidRPr="00EF36A4">
        <w:rPr>
          <w:rFonts w:cs="Arial"/>
          <w:sz w:val="16"/>
          <w:szCs w:val="16"/>
          <w:rtl/>
        </w:rPr>
        <w:t xml:space="preserve">פט"ו הי"ב) </w:t>
      </w:r>
      <w:r w:rsidRPr="00D629F8">
        <w:rPr>
          <w:rFonts w:cs="Arial"/>
          <w:rtl/>
        </w:rPr>
        <w:t xml:space="preserve">רשב"א </w:t>
      </w:r>
      <w:r w:rsidRPr="00EF36A4">
        <w:rPr>
          <w:rFonts w:cs="Arial" w:hint="cs"/>
          <w:sz w:val="16"/>
          <w:szCs w:val="16"/>
          <w:rtl/>
        </w:rPr>
        <w:t>(תוה"א</w:t>
      </w:r>
      <w:r w:rsidRPr="00EF36A4">
        <w:rPr>
          <w:rFonts w:cs="Arial"/>
          <w:sz w:val="16"/>
          <w:szCs w:val="16"/>
          <w:rtl/>
        </w:rPr>
        <w:t xml:space="preserve"> ב"ד ש"א טז:)</w:t>
      </w:r>
      <w:r w:rsidRPr="00EF36A4">
        <w:rPr>
          <w:rFonts w:cs="Arial" w:hint="cs"/>
          <w:sz w:val="16"/>
          <w:szCs w:val="16"/>
          <w:rtl/>
        </w:rPr>
        <w:t xml:space="preserve"> </w:t>
      </w:r>
      <w:r w:rsidRPr="00D629F8">
        <w:rPr>
          <w:rFonts w:cs="Arial"/>
          <w:rtl/>
        </w:rPr>
        <w:t xml:space="preserve">ר"ן </w:t>
      </w:r>
      <w:r w:rsidRPr="00D629F8">
        <w:rPr>
          <w:rFonts w:cs="Arial"/>
          <w:sz w:val="16"/>
          <w:szCs w:val="16"/>
          <w:rtl/>
        </w:rPr>
        <w:t>(</w:t>
      </w:r>
      <w:r w:rsidRPr="00D629F8">
        <w:rPr>
          <w:rFonts w:cs="Arial" w:hint="cs"/>
          <w:sz w:val="16"/>
          <w:szCs w:val="16"/>
          <w:rtl/>
        </w:rPr>
        <w:t xml:space="preserve">ביצה </w:t>
      </w:r>
      <w:r w:rsidRPr="00D629F8">
        <w:rPr>
          <w:rFonts w:cs="Arial"/>
          <w:sz w:val="16"/>
          <w:szCs w:val="16"/>
          <w:rtl/>
        </w:rPr>
        <w:t>ב: ד"ה כל</w:t>
      </w:r>
      <w:r w:rsidRPr="00D629F8">
        <w:rPr>
          <w:rFonts w:cs="Arial" w:hint="cs"/>
          <w:sz w:val="16"/>
          <w:szCs w:val="16"/>
          <w:rtl/>
        </w:rPr>
        <w:t xml:space="preserve">, ובע"ז </w:t>
      </w:r>
      <w:r w:rsidRPr="00D629F8">
        <w:rPr>
          <w:rFonts w:cs="Arial"/>
          <w:sz w:val="16"/>
          <w:szCs w:val="16"/>
          <w:rtl/>
        </w:rPr>
        <w:t>לו</w:t>
      </w:r>
      <w:r>
        <w:rPr>
          <w:rFonts w:cs="Arial" w:hint="cs"/>
          <w:sz w:val="16"/>
          <w:szCs w:val="16"/>
          <w:rtl/>
        </w:rPr>
        <w:t>:</w:t>
      </w:r>
      <w:r w:rsidRPr="00D629F8">
        <w:rPr>
          <w:rFonts w:cs="Arial"/>
          <w:sz w:val="16"/>
          <w:szCs w:val="16"/>
          <w:rtl/>
        </w:rPr>
        <w:t>)</w:t>
      </w:r>
      <w:r w:rsidRPr="006D2742">
        <w:rPr>
          <w:rFonts w:cs="Arial"/>
          <w:rtl/>
        </w:rPr>
        <w:t xml:space="preserve"> </w:t>
      </w:r>
      <w:r>
        <w:rPr>
          <w:rFonts w:cs="Arial"/>
          <w:rtl/>
        </w:rPr>
        <w:t>או"ה</w:t>
      </w:r>
      <w:r w:rsidRPr="00AB7A6B">
        <w:rPr>
          <w:rFonts w:cs="Arial"/>
          <w:rtl/>
        </w:rPr>
        <w:t xml:space="preserve"> </w:t>
      </w:r>
      <w:r w:rsidRPr="006D2742">
        <w:rPr>
          <w:rFonts w:cs="Arial" w:hint="cs"/>
          <w:sz w:val="16"/>
          <w:szCs w:val="16"/>
          <w:rtl/>
        </w:rPr>
        <w:t>(</w:t>
      </w:r>
      <w:r w:rsidRPr="006D2742">
        <w:rPr>
          <w:rFonts w:cs="Arial"/>
          <w:sz w:val="16"/>
          <w:szCs w:val="16"/>
          <w:rtl/>
        </w:rPr>
        <w:t>ככ</w:t>
      </w:r>
      <w:r>
        <w:rPr>
          <w:rFonts w:cs="Arial" w:hint="cs"/>
          <w:sz w:val="16"/>
          <w:szCs w:val="16"/>
          <w:rtl/>
        </w:rPr>
        <w:t>"</w:t>
      </w:r>
      <w:r w:rsidRPr="006D2742">
        <w:rPr>
          <w:rFonts w:cs="Arial"/>
          <w:sz w:val="16"/>
          <w:szCs w:val="16"/>
          <w:rtl/>
        </w:rPr>
        <w:t>ה די</w:t>
      </w:r>
      <w:r>
        <w:rPr>
          <w:rFonts w:cs="Arial" w:hint="cs"/>
          <w:sz w:val="16"/>
          <w:szCs w:val="16"/>
          <w:rtl/>
        </w:rPr>
        <w:t>"</w:t>
      </w:r>
      <w:r w:rsidRPr="006D2742">
        <w:rPr>
          <w:rFonts w:cs="Arial"/>
          <w:sz w:val="16"/>
          <w:szCs w:val="16"/>
          <w:rtl/>
        </w:rPr>
        <w:t>ז)</w:t>
      </w:r>
      <w:r>
        <w:rPr>
          <w:rFonts w:cs="Arial" w:hint="cs"/>
          <w:rtl/>
        </w:rPr>
        <w:t xml:space="preserve"> ורי"ו</w:t>
      </w:r>
      <w:r>
        <w:rPr>
          <w:rFonts w:cs="Arial" w:hint="cs"/>
          <w:sz w:val="14"/>
          <w:szCs w:val="14"/>
          <w:rtl/>
        </w:rPr>
        <w:t xml:space="preserve"> </w:t>
      </w:r>
      <w:r w:rsidRPr="0056019C">
        <w:rPr>
          <w:rFonts w:cs="Arial" w:hint="cs"/>
          <w:sz w:val="16"/>
          <w:szCs w:val="16"/>
          <w:rtl/>
        </w:rPr>
        <w:t>(הביאו הב"י בבדה"ב בסע' ד)</w:t>
      </w:r>
      <w:r>
        <w:rPr>
          <w:rFonts w:cs="Arial" w:hint="cs"/>
          <w:rtl/>
        </w:rPr>
        <w:t>.</w:t>
      </w:r>
    </w:p>
  </w:footnote>
  <w:footnote w:id="2024">
    <w:p w14:paraId="436C592D" w14:textId="77777777" w:rsidR="004C5A3C" w:rsidRDefault="004C5A3C" w:rsidP="002C39F4">
      <w:pPr>
        <w:pStyle w:val="a5"/>
        <w:rPr>
          <w:rtl/>
        </w:rPr>
      </w:pPr>
      <w:r>
        <w:rPr>
          <w:rStyle w:val="a7"/>
        </w:rPr>
        <w:footnoteRef/>
      </w:r>
      <w:r>
        <w:rPr>
          <w:rtl/>
        </w:rPr>
        <w:t xml:space="preserve"> </w:t>
      </w:r>
      <w:r w:rsidRPr="00A25FBA">
        <w:rPr>
          <w:rFonts w:cs="Arial" w:hint="cs"/>
          <w:rtl/>
        </w:rPr>
        <w:t xml:space="preserve">ראבי"ה </w:t>
      </w:r>
      <w:r w:rsidRPr="00A25FBA">
        <w:rPr>
          <w:rFonts w:cs="Arial"/>
          <w:sz w:val="16"/>
          <w:szCs w:val="16"/>
          <w:rtl/>
        </w:rPr>
        <w:t>(סי' תשטו</w:t>
      </w:r>
      <w:r w:rsidRPr="00A25FBA">
        <w:rPr>
          <w:rFonts w:cs="Arial" w:hint="cs"/>
          <w:sz w:val="16"/>
          <w:szCs w:val="16"/>
          <w:rtl/>
        </w:rPr>
        <w:t>, הביא</w:t>
      </w:r>
      <w:r>
        <w:rPr>
          <w:rFonts w:cs="Arial" w:hint="cs"/>
          <w:sz w:val="16"/>
          <w:szCs w:val="16"/>
          <w:rtl/>
        </w:rPr>
        <w:t>ו</w:t>
      </w:r>
      <w:r w:rsidRPr="00A25FBA">
        <w:rPr>
          <w:rFonts w:cs="Arial" w:hint="cs"/>
          <w:sz w:val="16"/>
          <w:szCs w:val="16"/>
          <w:rtl/>
        </w:rPr>
        <w:t xml:space="preserve"> המרדכי </w:t>
      </w:r>
      <w:r w:rsidRPr="009C6BDA">
        <w:rPr>
          <w:rFonts w:cs="Arial" w:hint="cs"/>
          <w:sz w:val="14"/>
          <w:szCs w:val="14"/>
          <w:rtl/>
        </w:rPr>
        <w:t>[ביצה סי' תרמ]</w:t>
      </w:r>
      <w:r w:rsidRPr="00A25FBA">
        <w:rPr>
          <w:rFonts w:cs="Arial"/>
          <w:sz w:val="16"/>
          <w:szCs w:val="16"/>
          <w:rtl/>
        </w:rPr>
        <w:t>)</w:t>
      </w:r>
      <w:r w:rsidRPr="00A25FBA">
        <w:rPr>
          <w:rFonts w:cs="Arial" w:hint="cs"/>
          <w:sz w:val="16"/>
          <w:szCs w:val="16"/>
          <w:rtl/>
        </w:rPr>
        <w:t xml:space="preserve"> </w:t>
      </w:r>
      <w:r>
        <w:rPr>
          <w:rFonts w:cs="Arial" w:hint="cs"/>
          <w:rtl/>
        </w:rPr>
        <w:t xml:space="preserve">מהר"ם </w:t>
      </w:r>
      <w:r>
        <w:rPr>
          <w:rFonts w:cs="Arial" w:hint="cs"/>
          <w:sz w:val="16"/>
          <w:szCs w:val="16"/>
          <w:rtl/>
        </w:rPr>
        <w:t>(כ"כ הטור בשמו)</w:t>
      </w:r>
      <w:r>
        <w:rPr>
          <w:rFonts w:cs="Arial" w:hint="cs"/>
          <w:rtl/>
        </w:rPr>
        <w:t xml:space="preserve"> </w:t>
      </w:r>
      <w:r w:rsidRPr="00A25FBA">
        <w:rPr>
          <w:rFonts w:cs="Arial" w:hint="cs"/>
          <w:rtl/>
        </w:rPr>
        <w:t>שע"ד</w:t>
      </w:r>
      <w:r w:rsidRPr="00A25FBA">
        <w:rPr>
          <w:rFonts w:cs="Arial"/>
          <w:rtl/>
        </w:rPr>
        <w:t xml:space="preserve"> </w:t>
      </w:r>
      <w:r w:rsidRPr="00A25FBA">
        <w:rPr>
          <w:rFonts w:cs="Arial"/>
          <w:sz w:val="16"/>
          <w:szCs w:val="16"/>
          <w:rtl/>
        </w:rPr>
        <w:t>(סי' עד)</w:t>
      </w:r>
      <w:r w:rsidRPr="001F1490">
        <w:rPr>
          <w:rFonts w:cs="Arial"/>
          <w:rtl/>
        </w:rPr>
        <w:t xml:space="preserve"> </w:t>
      </w:r>
      <w:r w:rsidRPr="00182097">
        <w:rPr>
          <w:rFonts w:cs="Arial"/>
          <w:rtl/>
        </w:rPr>
        <w:t xml:space="preserve">מהרא"י </w:t>
      </w:r>
      <w:r w:rsidRPr="001F1490">
        <w:rPr>
          <w:rFonts w:cs="Arial"/>
          <w:sz w:val="16"/>
          <w:szCs w:val="16"/>
          <w:rtl/>
        </w:rPr>
        <w:t>(</w:t>
      </w:r>
      <w:r w:rsidRPr="001F1490">
        <w:rPr>
          <w:rFonts w:cs="Arial" w:hint="cs"/>
          <w:sz w:val="16"/>
          <w:szCs w:val="16"/>
          <w:rtl/>
        </w:rPr>
        <w:t xml:space="preserve">בהגשע"ד </w:t>
      </w:r>
      <w:r w:rsidRPr="001F1490">
        <w:rPr>
          <w:rFonts w:cs="Arial"/>
          <w:sz w:val="16"/>
          <w:szCs w:val="16"/>
          <w:rtl/>
        </w:rPr>
        <w:t>סי' עד אות ג</w:t>
      </w:r>
      <w:r>
        <w:rPr>
          <w:rFonts w:cs="Arial" w:hint="cs"/>
          <w:sz w:val="16"/>
          <w:szCs w:val="16"/>
          <w:rtl/>
        </w:rPr>
        <w:t>)</w:t>
      </w:r>
      <w:r w:rsidRPr="001F1490">
        <w:rPr>
          <w:rFonts w:cs="Arial" w:hint="cs"/>
          <w:sz w:val="16"/>
          <w:szCs w:val="16"/>
          <w:rtl/>
        </w:rPr>
        <w:t xml:space="preserve"> </w:t>
      </w:r>
      <w:r>
        <w:rPr>
          <w:rFonts w:cs="Arial" w:hint="cs"/>
          <w:rtl/>
        </w:rPr>
        <w:t>ואו</w:t>
      </w:r>
      <w:r>
        <w:rPr>
          <w:rFonts w:cs="Arial"/>
          <w:rtl/>
        </w:rPr>
        <w:t>"</w:t>
      </w:r>
      <w:r>
        <w:rPr>
          <w:rFonts w:cs="Arial" w:hint="cs"/>
          <w:rtl/>
        </w:rPr>
        <w:t>ה</w:t>
      </w:r>
      <w:r w:rsidRPr="00182097">
        <w:rPr>
          <w:rFonts w:cs="Arial"/>
          <w:rtl/>
        </w:rPr>
        <w:t xml:space="preserve"> </w:t>
      </w:r>
      <w:r w:rsidRPr="001F1490">
        <w:rPr>
          <w:rFonts w:cs="Arial" w:hint="cs"/>
          <w:sz w:val="16"/>
          <w:szCs w:val="16"/>
          <w:rtl/>
        </w:rPr>
        <w:t>(</w:t>
      </w:r>
      <w:r w:rsidRPr="001F1490">
        <w:rPr>
          <w:rFonts w:cs="Arial"/>
          <w:sz w:val="16"/>
          <w:szCs w:val="16"/>
          <w:rtl/>
        </w:rPr>
        <w:t>כלל כ"ה די</w:t>
      </w:r>
      <w:r w:rsidRPr="001F1490">
        <w:rPr>
          <w:rFonts w:cs="Arial" w:hint="cs"/>
          <w:sz w:val="16"/>
          <w:szCs w:val="16"/>
          <w:rtl/>
        </w:rPr>
        <w:t>"</w:t>
      </w:r>
      <w:r w:rsidRPr="001F1490">
        <w:rPr>
          <w:rFonts w:cs="Arial"/>
          <w:sz w:val="16"/>
          <w:szCs w:val="16"/>
          <w:rtl/>
        </w:rPr>
        <w:t>ח)</w:t>
      </w:r>
      <w:r>
        <w:rPr>
          <w:rFonts w:hint="cs"/>
          <w:rtl/>
        </w:rPr>
        <w:t>.</w:t>
      </w:r>
    </w:p>
  </w:footnote>
  <w:footnote w:id="2025">
    <w:p w14:paraId="2EA5E10D" w14:textId="77777777" w:rsidR="004C5A3C" w:rsidRDefault="004C5A3C" w:rsidP="002C39F4">
      <w:pPr>
        <w:pStyle w:val="a5"/>
        <w:rPr>
          <w:rtl/>
        </w:rPr>
      </w:pPr>
      <w:r>
        <w:rPr>
          <w:rStyle w:val="a7"/>
        </w:rPr>
        <w:footnoteRef/>
      </w:r>
      <w:r>
        <w:rPr>
          <w:rtl/>
        </w:rPr>
        <w:t xml:space="preserve"> </w:t>
      </w:r>
      <w:r>
        <w:rPr>
          <w:rFonts w:cs="Arial" w:hint="cs"/>
          <w:rtl/>
        </w:rPr>
        <w:t>והוא הדין ב</w:t>
      </w:r>
      <w:r w:rsidRPr="00C71586">
        <w:rPr>
          <w:rFonts w:cs="Arial"/>
          <w:rtl/>
        </w:rPr>
        <w:t>ספק נולדה בי</w:t>
      </w:r>
      <w:r>
        <w:rPr>
          <w:rFonts w:cs="Arial" w:hint="cs"/>
          <w:rtl/>
        </w:rPr>
        <w:t>ו</w:t>
      </w:r>
      <w:r w:rsidRPr="00C71586">
        <w:rPr>
          <w:rFonts w:cs="Arial"/>
          <w:rtl/>
        </w:rPr>
        <w:t>"ט</w:t>
      </w:r>
      <w:r>
        <w:rPr>
          <w:rFonts w:cs="Arial" w:hint="cs"/>
          <w:rtl/>
        </w:rPr>
        <w:t xml:space="preserve">, </w:t>
      </w:r>
      <w:r w:rsidRPr="00A25FBA">
        <w:rPr>
          <w:rFonts w:cs="Arial" w:hint="cs"/>
          <w:rtl/>
        </w:rPr>
        <w:t xml:space="preserve">ראבי"ה </w:t>
      </w:r>
      <w:r>
        <w:rPr>
          <w:rFonts w:cs="Arial" w:hint="cs"/>
          <w:rtl/>
        </w:rPr>
        <w:t xml:space="preserve">מהר"ם </w:t>
      </w:r>
      <w:r w:rsidRPr="00A25FBA">
        <w:rPr>
          <w:rFonts w:cs="Arial" w:hint="cs"/>
          <w:rtl/>
        </w:rPr>
        <w:t>שע"ד</w:t>
      </w:r>
      <w:r w:rsidRPr="00A25FBA">
        <w:rPr>
          <w:rFonts w:cs="Arial"/>
          <w:rtl/>
        </w:rPr>
        <w:t xml:space="preserve"> </w:t>
      </w:r>
      <w:r>
        <w:rPr>
          <w:rFonts w:cs="Arial" w:hint="cs"/>
          <w:rtl/>
        </w:rPr>
        <w:t>וטור.</w:t>
      </w:r>
    </w:p>
  </w:footnote>
  <w:footnote w:id="2026">
    <w:p w14:paraId="2CB77110" w14:textId="77777777" w:rsidR="004C5A3C" w:rsidRDefault="004C5A3C" w:rsidP="002C39F4">
      <w:pPr>
        <w:pStyle w:val="a5"/>
      </w:pPr>
      <w:r>
        <w:rPr>
          <w:rStyle w:val="a7"/>
        </w:rPr>
        <w:footnoteRef/>
      </w:r>
      <w:r>
        <w:rPr>
          <w:rtl/>
        </w:rPr>
        <w:t xml:space="preserve"> </w:t>
      </w:r>
      <w:r>
        <w:rPr>
          <w:rFonts w:cs="Arial" w:hint="cs"/>
          <w:rtl/>
        </w:rPr>
        <w:t xml:space="preserve">וכ' </w:t>
      </w:r>
      <w:r w:rsidRPr="00D629F8">
        <w:rPr>
          <w:rFonts w:cs="Arial" w:hint="cs"/>
          <w:rtl/>
        </w:rPr>
        <w:t>מהרא"י</w:t>
      </w:r>
      <w:r w:rsidRPr="00D629F8">
        <w:rPr>
          <w:rFonts w:cs="Arial" w:hint="cs"/>
          <w:sz w:val="16"/>
          <w:szCs w:val="16"/>
          <w:rtl/>
        </w:rPr>
        <w:t xml:space="preserve"> (בהגשע"ד סי' עד</w:t>
      </w:r>
      <w:r w:rsidRPr="00D629F8">
        <w:rPr>
          <w:rFonts w:cs="Arial"/>
          <w:sz w:val="16"/>
          <w:szCs w:val="16"/>
          <w:rtl/>
        </w:rPr>
        <w:t xml:space="preserve"> סק"ג)</w:t>
      </w:r>
      <w:r w:rsidRPr="00EF36A4">
        <w:rPr>
          <w:rFonts w:cs="Arial"/>
          <w:rtl/>
        </w:rPr>
        <w:t xml:space="preserve"> </w:t>
      </w:r>
      <w:r>
        <w:rPr>
          <w:rFonts w:cs="Arial" w:hint="cs"/>
          <w:rtl/>
        </w:rPr>
        <w:t>ד</w:t>
      </w:r>
      <w:r w:rsidRPr="00D629F8">
        <w:rPr>
          <w:rFonts w:cs="Arial"/>
          <w:rtl/>
        </w:rPr>
        <w:t>הכי נהוג</w:t>
      </w:r>
      <w:r>
        <w:rPr>
          <w:rFonts w:cs="Arial" w:hint="cs"/>
          <w:rtl/>
        </w:rPr>
        <w:t>,</w:t>
      </w:r>
      <w:r w:rsidRPr="00D629F8">
        <w:rPr>
          <w:rFonts w:cs="Arial"/>
          <w:rtl/>
        </w:rPr>
        <w:t xml:space="preserve"> </w:t>
      </w:r>
      <w:r>
        <w:rPr>
          <w:rFonts w:cs="Arial" w:hint="cs"/>
          <w:rtl/>
        </w:rPr>
        <w:t>היינו ד</w:t>
      </w:r>
      <w:r w:rsidRPr="00D629F8">
        <w:rPr>
          <w:rFonts w:cs="Arial"/>
          <w:rtl/>
        </w:rPr>
        <w:t>אם ליבנו בו מאכל או מילאו בו תרנגולת אסור</w:t>
      </w:r>
      <w:r w:rsidRPr="00D629F8">
        <w:rPr>
          <w:rFonts w:cs="Arial" w:hint="cs"/>
          <w:rtl/>
        </w:rPr>
        <w:t>,</w:t>
      </w:r>
      <w:r w:rsidRPr="00D629F8">
        <w:rPr>
          <w:rFonts w:cs="Arial"/>
          <w:rtl/>
        </w:rPr>
        <w:t xml:space="preserve"> </w:t>
      </w:r>
      <w:r>
        <w:rPr>
          <w:rFonts w:cs="Arial" w:hint="cs"/>
          <w:rtl/>
        </w:rPr>
        <w:t>וכ' עוד- ו</w:t>
      </w:r>
      <w:r w:rsidRPr="00D629F8">
        <w:rPr>
          <w:rFonts w:cs="Arial"/>
          <w:rtl/>
        </w:rPr>
        <w:t>א</w:t>
      </w:r>
      <w:r w:rsidRPr="00D629F8">
        <w:rPr>
          <w:rFonts w:cs="Arial" w:hint="cs"/>
          <w:rtl/>
        </w:rPr>
        <w:t>ע"ג</w:t>
      </w:r>
      <w:r w:rsidRPr="00D629F8">
        <w:rPr>
          <w:rFonts w:cs="Arial"/>
          <w:rtl/>
        </w:rPr>
        <w:t xml:space="preserve"> דלכאורה הרמב"ם והרא"ש פליגי דהא ביצה במאכל ובתרנגולת מין בשאינו מינו הוא</w:t>
      </w:r>
      <w:r w:rsidRPr="00D629F8">
        <w:rPr>
          <w:rFonts w:cs="Arial" w:hint="cs"/>
          <w:rtl/>
        </w:rPr>
        <w:t>,</w:t>
      </w:r>
      <w:r w:rsidRPr="00D629F8">
        <w:rPr>
          <w:rFonts w:cs="Arial"/>
          <w:rtl/>
        </w:rPr>
        <w:t xml:space="preserve"> נוכל לומר דסבירא ליה כשינויא דכתבו בתוס</w:t>
      </w:r>
      <w:r w:rsidRPr="00D629F8">
        <w:rPr>
          <w:rFonts w:cs="Arial" w:hint="cs"/>
          <w:rtl/>
        </w:rPr>
        <w:t>'</w:t>
      </w:r>
      <w:r w:rsidRPr="00D629F8">
        <w:rPr>
          <w:rFonts w:cs="Arial"/>
          <w:rtl/>
        </w:rPr>
        <w:t xml:space="preserve"> </w:t>
      </w:r>
      <w:r w:rsidRPr="00EF36A4">
        <w:rPr>
          <w:rFonts w:cs="Arial"/>
          <w:sz w:val="16"/>
          <w:szCs w:val="16"/>
          <w:rtl/>
        </w:rPr>
        <w:t xml:space="preserve">(לט. ד"ה משום) </w:t>
      </w:r>
      <w:r w:rsidRPr="00D629F8">
        <w:rPr>
          <w:rFonts w:cs="Arial"/>
          <w:rtl/>
        </w:rPr>
        <w:t>דהיכא דהקדירה מיתקנת בכך חשיב מין במינו</w:t>
      </w:r>
      <w:r>
        <w:rPr>
          <w:rFonts w:cs="Arial" w:hint="cs"/>
          <w:rtl/>
        </w:rPr>
        <w:t>,</w:t>
      </w:r>
      <w:r w:rsidRPr="00D629F8">
        <w:rPr>
          <w:rFonts w:cs="Arial"/>
          <w:rtl/>
        </w:rPr>
        <w:t xml:space="preserve"> ובליבון הביצה מתקן התרנגולת והתבשיל דעושין כן כדי לבשם התרנגולת</w:t>
      </w:r>
      <w:r w:rsidRPr="00D629F8">
        <w:rPr>
          <w:rFonts w:cs="Arial" w:hint="cs"/>
          <w:rtl/>
        </w:rPr>
        <w:t>,</w:t>
      </w:r>
      <w:r w:rsidRPr="00D629F8">
        <w:rPr>
          <w:rFonts w:cs="Arial"/>
          <w:rtl/>
        </w:rPr>
        <w:t xml:space="preserve"> ויראה מה שהוצרך ראבי"ה טעם אחר לאסרו משום חזותא ולא רצה לומר משום דהוי מין במינו דסבר כשינויא קמא שכתבו</w:t>
      </w:r>
      <w:r>
        <w:rPr>
          <w:rFonts w:hint="cs"/>
          <w:rtl/>
        </w:rPr>
        <w:t>.</w:t>
      </w:r>
    </w:p>
  </w:footnote>
  <w:footnote w:id="2027">
    <w:p w14:paraId="14793547" w14:textId="77777777" w:rsidR="004C5A3C" w:rsidRDefault="004C5A3C" w:rsidP="002C39F4">
      <w:pPr>
        <w:pStyle w:val="a5"/>
        <w:rPr>
          <w:rtl/>
        </w:rPr>
      </w:pPr>
      <w:r>
        <w:rPr>
          <w:rStyle w:val="a7"/>
        </w:rPr>
        <w:footnoteRef/>
      </w:r>
      <w:r>
        <w:rPr>
          <w:rFonts w:cs="Arial"/>
          <w:sz w:val="16"/>
          <w:szCs w:val="16"/>
        </w:rPr>
        <w:t xml:space="preserve"> </w:t>
      </w:r>
      <w:r>
        <w:rPr>
          <w:rFonts w:hint="cs"/>
          <w:rtl/>
        </w:rPr>
        <w:t>וכ' הב"י ש</w:t>
      </w:r>
      <w:r w:rsidRPr="00A3091B">
        <w:rPr>
          <w:rFonts w:cs="Arial"/>
          <w:rtl/>
        </w:rPr>
        <w:t xml:space="preserve">אין </w:t>
      </w:r>
      <w:r>
        <w:rPr>
          <w:rFonts w:cs="Arial" w:hint="cs"/>
          <w:rtl/>
        </w:rPr>
        <w:t>דבר זה</w:t>
      </w:r>
      <w:r w:rsidRPr="00A3091B">
        <w:rPr>
          <w:rFonts w:cs="Arial"/>
          <w:rtl/>
        </w:rPr>
        <w:t xml:space="preserve"> מוכרח</w:t>
      </w:r>
      <w:r>
        <w:rPr>
          <w:rFonts w:cs="Arial" w:hint="cs"/>
          <w:rtl/>
        </w:rPr>
        <w:t>,</w:t>
      </w:r>
      <w:r w:rsidRPr="00A3091B">
        <w:rPr>
          <w:rFonts w:cs="Arial"/>
          <w:rtl/>
        </w:rPr>
        <w:t xml:space="preserve"> דאיכא למימר דלר"ת נמי אסור משום דלחזותא וטעמא עביד</w:t>
      </w:r>
      <w:r>
        <w:rPr>
          <w:rFonts w:cs="Arial" w:hint="cs"/>
          <w:rtl/>
        </w:rPr>
        <w:t>,</w:t>
      </w:r>
      <w:r w:rsidRPr="00A3091B">
        <w:rPr>
          <w:rFonts w:cs="Arial"/>
          <w:rtl/>
        </w:rPr>
        <w:t xml:space="preserve"> וכל מידי שנעשה לתת טעם לא בטיל</w:t>
      </w:r>
      <w:r>
        <w:rPr>
          <w:rFonts w:cs="Arial" w:hint="cs"/>
          <w:rtl/>
        </w:rPr>
        <w:t>,</w:t>
      </w:r>
      <w:r w:rsidRPr="00A3091B">
        <w:rPr>
          <w:rFonts w:cs="Arial"/>
          <w:rtl/>
        </w:rPr>
        <w:t xml:space="preserve"> וכ</w:t>
      </w:r>
      <w:r>
        <w:rPr>
          <w:rFonts w:cs="Arial" w:hint="cs"/>
          <w:rtl/>
        </w:rPr>
        <w:t>"כ</w:t>
      </w:r>
      <w:r w:rsidRPr="00A3091B">
        <w:rPr>
          <w:rFonts w:cs="Arial"/>
          <w:rtl/>
        </w:rPr>
        <w:t xml:space="preserve"> המרדכי דמטעם זה ג</w:t>
      </w:r>
      <w:r>
        <w:rPr>
          <w:rFonts w:cs="Arial" w:hint="cs"/>
          <w:rtl/>
        </w:rPr>
        <w:t>"</w:t>
      </w:r>
      <w:r w:rsidRPr="00A3091B">
        <w:rPr>
          <w:rFonts w:cs="Arial"/>
          <w:rtl/>
        </w:rPr>
        <w:t>כ היה אומר אבי העזרי דלא בטיל</w:t>
      </w:r>
      <w:r>
        <w:rPr>
          <w:rFonts w:cs="Arial" w:hint="cs"/>
          <w:rtl/>
        </w:rPr>
        <w:t>.</w:t>
      </w:r>
      <w:r w:rsidRPr="00D629F8">
        <w:rPr>
          <w:rFonts w:cs="Arial"/>
          <w:rtl/>
        </w:rPr>
        <w:t xml:space="preserve"> </w:t>
      </w:r>
      <w:r w:rsidRPr="00125C3E">
        <w:rPr>
          <w:rFonts w:cs="Arial"/>
          <w:rtl/>
        </w:rPr>
        <w:t>ונראה שמטעם זה כתב הרא"ש</w:t>
      </w:r>
      <w:r>
        <w:rPr>
          <w:rFonts w:cs="Arial" w:hint="cs"/>
          <w:rtl/>
        </w:rPr>
        <w:t xml:space="preserve"> בתשובה</w:t>
      </w:r>
      <w:r w:rsidRPr="00125C3E">
        <w:rPr>
          <w:rFonts w:cs="Arial"/>
          <w:rtl/>
        </w:rPr>
        <w:t xml:space="preserve"> </w:t>
      </w:r>
      <w:r w:rsidRPr="00D629F8">
        <w:rPr>
          <w:rFonts w:cs="Arial"/>
          <w:sz w:val="16"/>
          <w:szCs w:val="16"/>
          <w:rtl/>
        </w:rPr>
        <w:t xml:space="preserve">(כלל כג סי' ז) </w:t>
      </w:r>
      <w:r w:rsidRPr="00125C3E">
        <w:rPr>
          <w:rFonts w:cs="Arial"/>
          <w:rtl/>
        </w:rPr>
        <w:t>הרוטב שנתקן ביום טוב בביצה בת יומא אסור דדבר שיש לו מתירין הוא ולא בטיל</w:t>
      </w:r>
      <w:r>
        <w:rPr>
          <w:rFonts w:cs="Arial" w:hint="cs"/>
          <w:rtl/>
        </w:rPr>
        <w:t xml:space="preserve"> </w:t>
      </w:r>
      <w:r>
        <w:rPr>
          <w:rFonts w:cs="Arial" w:hint="cs"/>
          <w:sz w:val="16"/>
          <w:szCs w:val="16"/>
          <w:rtl/>
        </w:rPr>
        <w:t>(עכ"ל הב"י)</w:t>
      </w:r>
      <w:r>
        <w:rPr>
          <w:rFonts w:cs="Arial" w:hint="cs"/>
          <w:rtl/>
        </w:rPr>
        <w:t>.</w:t>
      </w:r>
    </w:p>
  </w:footnote>
  <w:footnote w:id="2028">
    <w:p w14:paraId="08FD9CB1" w14:textId="77777777" w:rsidR="004C5A3C" w:rsidRPr="001F1490" w:rsidRDefault="004C5A3C" w:rsidP="002C39F4">
      <w:pPr>
        <w:pStyle w:val="a5"/>
      </w:pPr>
      <w:r>
        <w:rPr>
          <w:rStyle w:val="a7"/>
        </w:rPr>
        <w:footnoteRef/>
      </w:r>
      <w:r>
        <w:rPr>
          <w:rtl/>
        </w:rPr>
        <w:t xml:space="preserve"> </w:t>
      </w:r>
      <w:r>
        <w:rPr>
          <w:rFonts w:cs="Arial" w:hint="cs"/>
          <w:rtl/>
        </w:rPr>
        <w:t xml:space="preserve">תוס' </w:t>
      </w:r>
      <w:r w:rsidRPr="008B1406">
        <w:rPr>
          <w:rFonts w:cs="Arial" w:hint="cs"/>
          <w:sz w:val="16"/>
          <w:szCs w:val="16"/>
          <w:rtl/>
        </w:rPr>
        <w:t>(תרוץ ב [</w:t>
      </w:r>
      <w:r w:rsidRPr="008B1406">
        <w:rPr>
          <w:rFonts w:cs="Arial"/>
          <w:sz w:val="16"/>
          <w:szCs w:val="16"/>
          <w:rtl/>
        </w:rPr>
        <w:t>ביצה לט. ד"ה משום</w:t>
      </w:r>
      <w:r w:rsidRPr="008B1406">
        <w:rPr>
          <w:rFonts w:cs="Arial" w:hint="cs"/>
          <w:sz w:val="16"/>
          <w:szCs w:val="16"/>
          <w:rtl/>
        </w:rPr>
        <w:t>]</w:t>
      </w:r>
      <w:r w:rsidRPr="008B1406">
        <w:rPr>
          <w:rFonts w:cs="Arial"/>
          <w:sz w:val="16"/>
          <w:szCs w:val="16"/>
          <w:rtl/>
        </w:rPr>
        <w:t>)</w:t>
      </w:r>
      <w:r w:rsidRPr="008B1406">
        <w:rPr>
          <w:rFonts w:cs="Arial" w:hint="cs"/>
          <w:sz w:val="16"/>
          <w:szCs w:val="16"/>
          <w:rtl/>
        </w:rPr>
        <w:t xml:space="preserve"> </w:t>
      </w:r>
      <w:r>
        <w:rPr>
          <w:rFonts w:cs="Arial" w:hint="cs"/>
          <w:rtl/>
        </w:rPr>
        <w:t>רי"ו</w:t>
      </w:r>
      <w:r w:rsidRPr="00EF36A4">
        <w:rPr>
          <w:rFonts w:cs="Arial"/>
          <w:rtl/>
        </w:rPr>
        <w:t xml:space="preserve"> </w:t>
      </w:r>
      <w:r w:rsidRPr="008B1406">
        <w:rPr>
          <w:rFonts w:cs="Arial"/>
          <w:sz w:val="16"/>
          <w:szCs w:val="16"/>
          <w:rtl/>
        </w:rPr>
        <w:t>(</w:t>
      </w:r>
      <w:r>
        <w:rPr>
          <w:rFonts w:cs="Arial" w:hint="cs"/>
          <w:sz w:val="16"/>
          <w:szCs w:val="16"/>
          <w:rtl/>
        </w:rPr>
        <w:t xml:space="preserve">בשם המפרשים </w:t>
      </w:r>
      <w:r w:rsidRPr="008B1406">
        <w:rPr>
          <w:rFonts w:cs="Arial"/>
          <w:sz w:val="16"/>
          <w:szCs w:val="16"/>
          <w:rtl/>
        </w:rPr>
        <w:t xml:space="preserve">נט"ו אות כט קמ ע"ג) </w:t>
      </w:r>
      <w:r>
        <w:rPr>
          <w:rFonts w:cs="Arial" w:hint="cs"/>
          <w:rtl/>
        </w:rPr>
        <w:t>ו</w:t>
      </w:r>
      <w:r w:rsidRPr="00182097">
        <w:rPr>
          <w:rFonts w:cs="Arial"/>
          <w:rtl/>
        </w:rPr>
        <w:t xml:space="preserve">ר"ן </w:t>
      </w:r>
      <w:r w:rsidRPr="00E7403F">
        <w:rPr>
          <w:rFonts w:cs="Arial"/>
          <w:sz w:val="16"/>
          <w:szCs w:val="16"/>
          <w:rtl/>
        </w:rPr>
        <w:t>(כ</w:t>
      </w:r>
      <w:r w:rsidRPr="00E7403F">
        <w:rPr>
          <w:rFonts w:cs="Arial" w:hint="cs"/>
          <w:sz w:val="16"/>
          <w:szCs w:val="16"/>
          <w:rtl/>
        </w:rPr>
        <w:t>א.</w:t>
      </w:r>
      <w:r w:rsidRPr="00E7403F">
        <w:rPr>
          <w:rFonts w:cs="Arial"/>
          <w:sz w:val="16"/>
          <w:szCs w:val="16"/>
          <w:rtl/>
        </w:rPr>
        <w:t>)</w:t>
      </w:r>
      <w:r>
        <w:rPr>
          <w:rFonts w:cs="Arial" w:hint="cs"/>
          <w:rtl/>
        </w:rPr>
        <w:t>.</w:t>
      </w:r>
    </w:p>
  </w:footnote>
  <w:footnote w:id="2029">
    <w:p w14:paraId="0470F91D" w14:textId="77777777" w:rsidR="004C5A3C" w:rsidRDefault="004C5A3C" w:rsidP="002C39F4">
      <w:pPr>
        <w:pStyle w:val="a5"/>
        <w:rPr>
          <w:rtl/>
        </w:rPr>
      </w:pPr>
      <w:r>
        <w:rPr>
          <w:rStyle w:val="a7"/>
        </w:rPr>
        <w:footnoteRef/>
      </w:r>
      <w:r>
        <w:rPr>
          <w:rtl/>
        </w:rPr>
        <w:t xml:space="preserve"> </w:t>
      </w:r>
      <w:r w:rsidRPr="00445657">
        <w:rPr>
          <w:rFonts w:cs="Arial"/>
          <w:rtl/>
        </w:rPr>
        <w:t xml:space="preserve">ומזה למד </w:t>
      </w:r>
      <w:r>
        <w:rPr>
          <w:rFonts w:cs="Arial"/>
          <w:rtl/>
        </w:rPr>
        <w:t>מהרא"י (בהגשע"ד</w:t>
      </w:r>
      <w:r>
        <w:rPr>
          <w:rFonts w:cs="Arial" w:hint="cs"/>
          <w:rtl/>
        </w:rPr>
        <w:t xml:space="preserve"> סי' עד אות ג) </w:t>
      </w:r>
      <w:r w:rsidRPr="00445657">
        <w:rPr>
          <w:rFonts w:cs="Arial"/>
          <w:rtl/>
        </w:rPr>
        <w:t>בכל דבר שנותנין לתקן הקדירה הוה כמינו עם הקדירה ואם אחד מהם דבר שיש לו מתירין אוסר התערובת עד אלף</w:t>
      </w:r>
      <w:r>
        <w:rPr>
          <w:rFonts w:hint="cs"/>
          <w:rtl/>
        </w:rPr>
        <w:t>, ט"ז (סק"ו).</w:t>
      </w:r>
    </w:p>
  </w:footnote>
  <w:footnote w:id="2030">
    <w:p w14:paraId="7D117398" w14:textId="77777777" w:rsidR="004C5A3C" w:rsidRDefault="004C5A3C" w:rsidP="002C39F4">
      <w:pPr>
        <w:pStyle w:val="a5"/>
      </w:pPr>
      <w:r>
        <w:rPr>
          <w:rStyle w:val="a7"/>
        </w:rPr>
        <w:footnoteRef/>
      </w:r>
      <w:r>
        <w:rPr>
          <w:rtl/>
        </w:rPr>
        <w:t xml:space="preserve"> </w:t>
      </w:r>
      <w:r w:rsidRPr="00960310">
        <w:rPr>
          <w:rFonts w:cs="Arial"/>
          <w:rtl/>
        </w:rPr>
        <w:t>פירוש שהיא בלאו הכי אינה בטילה דהוה דבר שבמנין ולא בטיל כמש</w:t>
      </w:r>
      <w:r>
        <w:rPr>
          <w:rFonts w:cs="Arial" w:hint="cs"/>
          <w:rtl/>
        </w:rPr>
        <w:t>"</w:t>
      </w:r>
      <w:r w:rsidRPr="00960310">
        <w:rPr>
          <w:rFonts w:cs="Arial"/>
          <w:rtl/>
        </w:rPr>
        <w:t>כ בסי' פ"ו</w:t>
      </w:r>
      <w:r>
        <w:rPr>
          <w:rFonts w:cs="Arial" w:hint="cs"/>
          <w:rtl/>
        </w:rPr>
        <w:t>,</w:t>
      </w:r>
      <w:r w:rsidRPr="00960310">
        <w:rPr>
          <w:rFonts w:cs="Arial"/>
          <w:rtl/>
        </w:rPr>
        <w:t xml:space="preserve"> וקמ"ל כאן דלא תטעה לומר שהביצה שלימה אין בה אלא חומרא דדבר שבמנין קמ"ל דיש שם ג"כ חומרא דיש לו מתירין ונ"מ לענין ספק כמו שנזכיר בסמוך</w:t>
      </w:r>
      <w:r>
        <w:rPr>
          <w:rFonts w:cs="Arial" w:hint="cs"/>
          <w:sz w:val="16"/>
          <w:szCs w:val="16"/>
          <w:rtl/>
        </w:rPr>
        <w:t xml:space="preserve"> (סק"ג)</w:t>
      </w:r>
      <w:r>
        <w:rPr>
          <w:rFonts w:cs="Arial" w:hint="cs"/>
          <w:rtl/>
        </w:rPr>
        <w:t>, ט"ז</w:t>
      </w:r>
      <w:r w:rsidRPr="00960310">
        <w:rPr>
          <w:rFonts w:cs="Arial" w:hint="cs"/>
          <w:sz w:val="16"/>
          <w:szCs w:val="16"/>
          <w:rtl/>
        </w:rPr>
        <w:t xml:space="preserve"> (סק"ב)</w:t>
      </w:r>
      <w:r>
        <w:rPr>
          <w:rFonts w:cs="Arial" w:hint="cs"/>
          <w:rtl/>
        </w:rPr>
        <w:t>.</w:t>
      </w:r>
    </w:p>
  </w:footnote>
  <w:footnote w:id="2031">
    <w:p w14:paraId="218C98EA" w14:textId="77777777" w:rsidR="004C5A3C" w:rsidRDefault="004C5A3C" w:rsidP="002C39F4">
      <w:pPr>
        <w:pStyle w:val="a5"/>
      </w:pPr>
      <w:r>
        <w:rPr>
          <w:rStyle w:val="a7"/>
        </w:rPr>
        <w:footnoteRef/>
      </w:r>
      <w:r>
        <w:rPr>
          <w:rtl/>
        </w:rPr>
        <w:t xml:space="preserve"> </w:t>
      </w:r>
      <w:r w:rsidRPr="00766FC6">
        <w:rPr>
          <w:rFonts w:cs="Arial"/>
          <w:rtl/>
        </w:rPr>
        <w:t>בדבר זה חמור דבר שיש לו מתירין משאר דברים שאינם בטלים דשם מותר בספיקן אם הודאי איסור הוא דרבנן אמרינן בספק שלו דמותר ככל ספק דרבנן ולא יזיק לו אם הוא דבר חשוב אבל כאן אפי' בספק איסור דרבנן אסור כיון שיש לו מתירין</w:t>
      </w:r>
      <w:r>
        <w:rPr>
          <w:rFonts w:cs="Arial" w:hint="cs"/>
          <w:rtl/>
        </w:rPr>
        <w:t>, ט"ז</w:t>
      </w:r>
      <w:r w:rsidRPr="00766FC6">
        <w:rPr>
          <w:rFonts w:cs="Arial" w:hint="cs"/>
          <w:sz w:val="16"/>
          <w:szCs w:val="16"/>
          <w:rtl/>
        </w:rPr>
        <w:t xml:space="preserve"> (סק"ג)</w:t>
      </w:r>
      <w:r>
        <w:rPr>
          <w:rFonts w:cs="Arial" w:hint="cs"/>
          <w:rtl/>
        </w:rPr>
        <w:t>.</w:t>
      </w:r>
      <w:r w:rsidRPr="00766FC6">
        <w:rPr>
          <w:rtl/>
        </w:rPr>
        <w:t xml:space="preserve"> </w:t>
      </w:r>
      <w:r w:rsidRPr="00766FC6">
        <w:rPr>
          <w:rFonts w:cs="Arial"/>
          <w:rtl/>
        </w:rPr>
        <w:t>ו</w:t>
      </w:r>
      <w:r>
        <w:rPr>
          <w:rFonts w:cs="Arial" w:hint="cs"/>
          <w:rtl/>
        </w:rPr>
        <w:t>כ' עוד (סק"ד) ד</w:t>
      </w:r>
      <w:r w:rsidRPr="00766FC6">
        <w:rPr>
          <w:rFonts w:cs="Arial"/>
          <w:rtl/>
        </w:rPr>
        <w:t>אם אותו התערובת נתערב אח</w:t>
      </w:r>
      <w:r>
        <w:rPr>
          <w:rFonts w:cs="Arial" w:hint="cs"/>
          <w:rtl/>
        </w:rPr>
        <w:t>"</w:t>
      </w:r>
      <w:r w:rsidRPr="00766FC6">
        <w:rPr>
          <w:rFonts w:cs="Arial"/>
          <w:rtl/>
        </w:rPr>
        <w:t>כ בתערובת שנית כתב לקמן סי' ק"י סעיף ח' דמותר</w:t>
      </w:r>
      <w:r>
        <w:rPr>
          <w:rFonts w:hint="cs"/>
          <w:rtl/>
        </w:rPr>
        <w:t>.</w:t>
      </w:r>
    </w:p>
  </w:footnote>
  <w:footnote w:id="2032">
    <w:p w14:paraId="29D304E1" w14:textId="77777777" w:rsidR="004C5A3C" w:rsidRPr="005F0C25" w:rsidRDefault="004C5A3C" w:rsidP="002C39F4">
      <w:pPr>
        <w:pStyle w:val="a5"/>
        <w:rPr>
          <w:rFonts w:asciiTheme="minorBidi" w:hAnsiTheme="minorBidi"/>
        </w:rPr>
      </w:pPr>
      <w:r>
        <w:rPr>
          <w:rStyle w:val="a7"/>
        </w:rPr>
        <w:footnoteRef/>
      </w:r>
      <w:r>
        <w:rPr>
          <w:rtl/>
        </w:rPr>
        <w:t xml:space="preserve"> </w:t>
      </w:r>
      <w:r w:rsidRPr="00727B08">
        <w:rPr>
          <w:rFonts w:asciiTheme="minorBidi" w:hAnsiTheme="minorBidi" w:cs="Arial"/>
          <w:rtl/>
        </w:rPr>
        <w:t>נראה דהכא אזלינן בתר שמא ולא בתר טעמא דאם הוא שוה בשמא אע</w:t>
      </w:r>
      <w:r>
        <w:rPr>
          <w:rFonts w:asciiTheme="minorBidi" w:hAnsiTheme="minorBidi" w:cs="Arial" w:hint="cs"/>
          <w:rtl/>
        </w:rPr>
        <w:t>"</w:t>
      </w:r>
      <w:r w:rsidRPr="00727B08">
        <w:rPr>
          <w:rFonts w:asciiTheme="minorBidi" w:hAnsiTheme="minorBidi" w:cs="Arial"/>
          <w:rtl/>
        </w:rPr>
        <w:t>ג דלא שוה בטעמא ה"ל מין במינו ולא בטיל ואם אינו שוה בשמא אע</w:t>
      </w:r>
      <w:r>
        <w:rPr>
          <w:rFonts w:asciiTheme="minorBidi" w:hAnsiTheme="minorBidi" w:cs="Arial" w:hint="cs"/>
          <w:rtl/>
        </w:rPr>
        <w:t>"</w:t>
      </w:r>
      <w:r w:rsidRPr="00727B08">
        <w:rPr>
          <w:rFonts w:asciiTheme="minorBidi" w:hAnsiTheme="minorBidi" w:cs="Arial"/>
          <w:rtl/>
        </w:rPr>
        <w:t>ג דשוה בטעמא ה"ל שלא במינו ובטל</w:t>
      </w:r>
      <w:r>
        <w:rPr>
          <w:rFonts w:asciiTheme="minorBidi" w:hAnsiTheme="minorBidi" w:cs="Arial" w:hint="cs"/>
          <w:rtl/>
        </w:rPr>
        <w:t>..., ש"ך (סק"ג). והוסיף (סק"ד) ד</w:t>
      </w:r>
      <w:r w:rsidRPr="005F0C25">
        <w:rPr>
          <w:rFonts w:asciiTheme="minorBidi" w:hAnsiTheme="minorBidi" w:cs="Arial"/>
          <w:rtl/>
        </w:rPr>
        <w:t>אע</w:t>
      </w:r>
      <w:r>
        <w:rPr>
          <w:rFonts w:asciiTheme="minorBidi" w:hAnsiTheme="minorBidi" w:cs="Arial" w:hint="cs"/>
          <w:rtl/>
        </w:rPr>
        <w:t>"</w:t>
      </w:r>
      <w:r w:rsidRPr="005F0C25">
        <w:rPr>
          <w:rFonts w:asciiTheme="minorBidi" w:hAnsiTheme="minorBidi" w:cs="Arial"/>
          <w:rtl/>
        </w:rPr>
        <w:t xml:space="preserve">ג דלענין בריה וחה"ל אין חילוק בין נתערבה במינה או שלא במינה </w:t>
      </w:r>
      <w:r w:rsidRPr="005F0C25">
        <w:rPr>
          <w:rFonts w:asciiTheme="minorBidi" w:hAnsiTheme="minorBidi" w:cs="Arial" w:hint="cs"/>
          <w:sz w:val="16"/>
          <w:szCs w:val="16"/>
          <w:rtl/>
        </w:rPr>
        <w:t>(</w:t>
      </w:r>
      <w:r w:rsidRPr="005F0C25">
        <w:rPr>
          <w:rFonts w:asciiTheme="minorBidi" w:hAnsiTheme="minorBidi" w:cs="Arial"/>
          <w:sz w:val="16"/>
          <w:szCs w:val="16"/>
          <w:rtl/>
        </w:rPr>
        <w:t>כדלעיל סימן ק"א ס"ו בהג"ה</w:t>
      </w:r>
      <w:r>
        <w:rPr>
          <w:rFonts w:asciiTheme="minorBidi" w:hAnsiTheme="minorBidi" w:cs="Arial" w:hint="cs"/>
          <w:sz w:val="16"/>
          <w:szCs w:val="16"/>
          <w:rtl/>
        </w:rPr>
        <w:t>)</w:t>
      </w:r>
      <w:r w:rsidRPr="005F0C25">
        <w:rPr>
          <w:rFonts w:asciiTheme="minorBidi" w:hAnsiTheme="minorBidi" w:cs="Arial"/>
          <w:rtl/>
        </w:rPr>
        <w:t xml:space="preserve"> שאני הכא דאין החשיבות מצד האיסור עצמו אלא מאחר שיהיה לו היתר אח</w:t>
      </w:r>
      <w:r>
        <w:rPr>
          <w:rFonts w:asciiTheme="minorBidi" w:hAnsiTheme="minorBidi" w:cs="Arial" w:hint="cs"/>
          <w:rtl/>
        </w:rPr>
        <w:t>"</w:t>
      </w:r>
      <w:r w:rsidRPr="005F0C25">
        <w:rPr>
          <w:rFonts w:asciiTheme="minorBidi" w:hAnsiTheme="minorBidi" w:cs="Arial"/>
          <w:rtl/>
        </w:rPr>
        <w:t xml:space="preserve">כ לא רצו חכמים </w:t>
      </w:r>
      <w:r>
        <w:rPr>
          <w:rFonts w:asciiTheme="minorBidi" w:hAnsiTheme="minorBidi" w:cs="Arial" w:hint="cs"/>
          <w:rtl/>
        </w:rPr>
        <w:t>שי</w:t>
      </w:r>
      <w:r w:rsidRPr="005F0C25">
        <w:rPr>
          <w:rFonts w:asciiTheme="minorBidi" w:hAnsiTheme="minorBidi" w:cs="Arial"/>
          <w:rtl/>
        </w:rPr>
        <w:t xml:space="preserve">תבטל וכל שנתערב שלא במינו אין ההיתר נקרא על הדבר האסור אלא ע"ש דבר שנתערב בו והוי כמי שאין לו מתירין, כ"כ בת"ח </w:t>
      </w:r>
      <w:r>
        <w:rPr>
          <w:rFonts w:asciiTheme="minorBidi" w:hAnsiTheme="minorBidi" w:cs="Arial" w:hint="cs"/>
          <w:rtl/>
        </w:rPr>
        <w:t>(</w:t>
      </w:r>
      <w:r w:rsidRPr="005F0C25">
        <w:rPr>
          <w:rFonts w:asciiTheme="minorBidi" w:hAnsiTheme="minorBidi" w:cs="Arial"/>
          <w:rtl/>
        </w:rPr>
        <w:t>כלל מ ד"ו</w:t>
      </w:r>
      <w:r>
        <w:rPr>
          <w:rFonts w:asciiTheme="minorBidi" w:hAnsiTheme="minorBidi" w:cs="Arial" w:hint="cs"/>
          <w:rtl/>
        </w:rPr>
        <w:t xml:space="preserve">), עכ"ל הש"ך. </w:t>
      </w:r>
      <w:r w:rsidRPr="005F0C25">
        <w:rPr>
          <w:rFonts w:asciiTheme="minorBidi" w:hAnsiTheme="minorBidi" w:cs="Arial" w:hint="cs"/>
          <w:color w:val="FF0000"/>
          <w:rtl/>
        </w:rPr>
        <w:t>אולי כדאי לעיין שוב בט"ז סק"ה</w:t>
      </w:r>
      <w:r>
        <w:rPr>
          <w:rFonts w:asciiTheme="minorBidi" w:hAnsiTheme="minorBidi" w:hint="cs"/>
          <w:rtl/>
        </w:rPr>
        <w:t>.</w:t>
      </w:r>
    </w:p>
  </w:footnote>
  <w:footnote w:id="2033">
    <w:p w14:paraId="1F6EE43D" w14:textId="77777777" w:rsidR="004C5A3C" w:rsidRDefault="004C5A3C" w:rsidP="002C39F4">
      <w:pPr>
        <w:pStyle w:val="a5"/>
        <w:rPr>
          <w:rtl/>
        </w:rPr>
      </w:pPr>
      <w:r>
        <w:rPr>
          <w:rStyle w:val="a7"/>
        </w:rPr>
        <w:footnoteRef/>
      </w:r>
      <w:r>
        <w:rPr>
          <w:rtl/>
        </w:rPr>
        <w:t xml:space="preserve"> ולקמן סימן ק"י (אות יא) כתבתי דלא נהיגין כן</w:t>
      </w:r>
      <w:r>
        <w:rPr>
          <w:rFonts w:hint="cs"/>
          <w:rtl/>
        </w:rPr>
        <w:t>, דרכ"מ (אות ב).</w:t>
      </w:r>
    </w:p>
  </w:footnote>
  <w:footnote w:id="2034">
    <w:p w14:paraId="7C36A9FC" w14:textId="77777777" w:rsidR="004C5A3C" w:rsidRDefault="004C5A3C" w:rsidP="002C39F4">
      <w:pPr>
        <w:pStyle w:val="a5"/>
        <w:rPr>
          <w:rtl/>
        </w:rPr>
      </w:pPr>
      <w:r>
        <w:rPr>
          <w:rStyle w:val="a7"/>
        </w:rPr>
        <w:footnoteRef/>
      </w:r>
      <w:r>
        <w:rPr>
          <w:rtl/>
        </w:rPr>
        <w:t xml:space="preserve"> </w:t>
      </w:r>
      <w:r w:rsidRPr="00662092">
        <w:rPr>
          <w:rFonts w:cs="Arial"/>
          <w:rtl/>
        </w:rPr>
        <w:t>לא ידעתי למה כתב המחבר דין זה בשם יש מי שאומר שהרי הרשב"א והטור סוברים כן ואין חולק עליהם והכי מוכח נ</w:t>
      </w:r>
      <w:r>
        <w:rPr>
          <w:rFonts w:cs="Arial" w:hint="cs"/>
          <w:rtl/>
        </w:rPr>
        <w:t xml:space="preserve">מי </w:t>
      </w:r>
      <w:r w:rsidRPr="00662092">
        <w:rPr>
          <w:rFonts w:cs="Arial"/>
          <w:rtl/>
        </w:rPr>
        <w:t>ל</w:t>
      </w:r>
      <w:r>
        <w:rPr>
          <w:rFonts w:cs="Arial" w:hint="cs"/>
          <w:rtl/>
        </w:rPr>
        <w:t>פ</w:t>
      </w:r>
      <w:r w:rsidRPr="00662092">
        <w:rPr>
          <w:rFonts w:cs="Arial"/>
          <w:rtl/>
        </w:rPr>
        <w:t>ע"ד בש"ס רפ"ק דביצה</w:t>
      </w:r>
      <w:r>
        <w:rPr>
          <w:rFonts w:cs="Arial" w:hint="cs"/>
          <w:rtl/>
        </w:rPr>
        <w:t xml:space="preserve"> (ג:), ש"ך (סק"ז).</w:t>
      </w:r>
    </w:p>
  </w:footnote>
  <w:footnote w:id="2035">
    <w:p w14:paraId="582420BB" w14:textId="77777777" w:rsidR="004C5A3C" w:rsidRDefault="004C5A3C" w:rsidP="002C39F4">
      <w:pPr>
        <w:pStyle w:val="a5"/>
        <w:rPr>
          <w:rtl/>
        </w:rPr>
      </w:pPr>
      <w:r>
        <w:rPr>
          <w:rStyle w:val="a7"/>
        </w:rPr>
        <w:footnoteRef/>
      </w:r>
      <w:r>
        <w:rPr>
          <w:rtl/>
        </w:rPr>
        <w:t xml:space="preserve"> </w:t>
      </w:r>
      <w:r>
        <w:rPr>
          <w:rFonts w:cs="Arial" w:hint="cs"/>
          <w:rtl/>
        </w:rPr>
        <w:t>ו</w:t>
      </w:r>
      <w:r w:rsidRPr="00BE3C31">
        <w:rPr>
          <w:rFonts w:cs="Arial"/>
          <w:rtl/>
        </w:rPr>
        <w:t>כ</w:t>
      </w:r>
      <w:r>
        <w:rPr>
          <w:rFonts w:cs="Arial" w:hint="cs"/>
          <w:rtl/>
        </w:rPr>
        <w:t>'</w:t>
      </w:r>
      <w:r w:rsidRPr="00BE3C31">
        <w:rPr>
          <w:rFonts w:cs="Arial"/>
          <w:rtl/>
        </w:rPr>
        <w:t xml:space="preserve"> רש"ל </w:t>
      </w:r>
      <w:r w:rsidRPr="00436D1A">
        <w:rPr>
          <w:rFonts w:cs="Arial" w:hint="cs"/>
          <w:sz w:val="16"/>
          <w:szCs w:val="16"/>
          <w:rtl/>
        </w:rPr>
        <w:t>(</w:t>
      </w:r>
      <w:r w:rsidRPr="00436D1A">
        <w:rPr>
          <w:rFonts w:cs="Arial"/>
          <w:sz w:val="16"/>
          <w:szCs w:val="16"/>
          <w:rtl/>
        </w:rPr>
        <w:t>פכ"ה ס"ס פו</w:t>
      </w:r>
      <w:r w:rsidRPr="00436D1A">
        <w:rPr>
          <w:rFonts w:cs="Arial" w:hint="cs"/>
          <w:sz w:val="16"/>
          <w:szCs w:val="16"/>
          <w:rtl/>
        </w:rPr>
        <w:t>)</w:t>
      </w:r>
      <w:r w:rsidRPr="00436D1A">
        <w:rPr>
          <w:rFonts w:cs="Arial"/>
          <w:sz w:val="16"/>
          <w:szCs w:val="16"/>
          <w:rtl/>
        </w:rPr>
        <w:t xml:space="preserve"> </w:t>
      </w:r>
      <w:r w:rsidRPr="00BE3C31">
        <w:rPr>
          <w:rFonts w:cs="Arial"/>
          <w:rtl/>
        </w:rPr>
        <w:t>דלא היה צריך לזה הטעם של פיזור מעותיו כי בלאו הכי נמי כיון דלא בא ההיתר ממילא מכח זמן לא חשיב דשיל"מ</w:t>
      </w:r>
      <w:r>
        <w:rPr>
          <w:rFonts w:cs="Arial" w:hint="cs"/>
          <w:rtl/>
        </w:rPr>
        <w:t>,</w:t>
      </w:r>
      <w:r w:rsidRPr="00BE3C31">
        <w:rPr>
          <w:rFonts w:cs="Arial"/>
          <w:rtl/>
        </w:rPr>
        <w:t xml:space="preserve"> עכ"ל</w:t>
      </w:r>
      <w:r w:rsidRPr="00436D1A">
        <w:rPr>
          <w:rFonts w:cs="Arial" w:hint="cs"/>
          <w:sz w:val="16"/>
          <w:szCs w:val="16"/>
          <w:rtl/>
        </w:rPr>
        <w:t xml:space="preserve"> (וכ' הש"ך [סק"ח]- </w:t>
      </w:r>
      <w:r w:rsidRPr="00436D1A">
        <w:rPr>
          <w:rFonts w:cs="Arial"/>
          <w:sz w:val="16"/>
          <w:szCs w:val="16"/>
          <w:rtl/>
        </w:rPr>
        <w:t>ולא ירדתי לסוף דעתו דהא אפילו בא ההיתר בלא זמן חשיב דשיל"מ כגון נדרים וכה"ג</w:t>
      </w:r>
      <w:r w:rsidRPr="00436D1A">
        <w:rPr>
          <w:rFonts w:cs="Arial" w:hint="cs"/>
          <w:sz w:val="16"/>
          <w:szCs w:val="16"/>
          <w:rtl/>
        </w:rPr>
        <w:t>)</w:t>
      </w:r>
      <w:r>
        <w:rPr>
          <w:rFonts w:cs="Arial" w:hint="cs"/>
          <w:rtl/>
        </w:rPr>
        <w:t>.</w:t>
      </w:r>
      <w:r w:rsidRPr="00BE3C31">
        <w:rPr>
          <w:rFonts w:cs="Arial"/>
          <w:rtl/>
        </w:rPr>
        <w:t xml:space="preserve"> והרא"ה</w:t>
      </w:r>
      <w:r w:rsidRPr="00436D1A">
        <w:rPr>
          <w:rFonts w:cs="Arial"/>
          <w:sz w:val="16"/>
          <w:szCs w:val="16"/>
          <w:rtl/>
        </w:rPr>
        <w:t xml:space="preserve"> </w:t>
      </w:r>
      <w:r w:rsidRPr="00436D1A">
        <w:rPr>
          <w:rFonts w:cs="Arial" w:hint="cs"/>
          <w:sz w:val="16"/>
          <w:szCs w:val="16"/>
          <w:rtl/>
        </w:rPr>
        <w:t>(</w:t>
      </w:r>
      <w:r w:rsidRPr="00436D1A">
        <w:rPr>
          <w:rFonts w:cs="Arial"/>
          <w:sz w:val="16"/>
          <w:szCs w:val="16"/>
          <w:rtl/>
        </w:rPr>
        <w:t>ב</w:t>
      </w:r>
      <w:r w:rsidRPr="00436D1A">
        <w:rPr>
          <w:rFonts w:cs="Arial" w:hint="cs"/>
          <w:sz w:val="16"/>
          <w:szCs w:val="16"/>
          <w:rtl/>
        </w:rPr>
        <w:t>ד</w:t>
      </w:r>
      <w:r w:rsidRPr="00436D1A">
        <w:rPr>
          <w:rFonts w:cs="Arial"/>
          <w:sz w:val="16"/>
          <w:szCs w:val="16"/>
          <w:rtl/>
        </w:rPr>
        <w:t>ה</w:t>
      </w:r>
      <w:r w:rsidRPr="00436D1A">
        <w:rPr>
          <w:rFonts w:cs="Arial" w:hint="cs"/>
          <w:sz w:val="16"/>
          <w:szCs w:val="16"/>
          <w:rtl/>
        </w:rPr>
        <w:t xml:space="preserve">"ב </w:t>
      </w:r>
      <w:r w:rsidRPr="00436D1A">
        <w:rPr>
          <w:rFonts w:cs="Arial"/>
          <w:sz w:val="16"/>
          <w:szCs w:val="16"/>
          <w:rtl/>
        </w:rPr>
        <w:t>קכח</w:t>
      </w:r>
      <w:r w:rsidRPr="00436D1A">
        <w:rPr>
          <w:rFonts w:cs="Arial" w:hint="cs"/>
          <w:sz w:val="16"/>
          <w:szCs w:val="16"/>
          <w:rtl/>
        </w:rPr>
        <w:t>:)</w:t>
      </w:r>
      <w:r w:rsidRPr="00BE3C31">
        <w:rPr>
          <w:rFonts w:cs="Arial"/>
          <w:rtl/>
        </w:rPr>
        <w:t xml:space="preserve"> משיג על הרשב"א ואומר דהכא טעמא אחרינא איכא דאין לו ביטול לבד מטעמא דשיל"מ דכל היכא דניכר האיסור אין לו ביטול וכיון דאפשר להוציא האיסור מתוכו ע"י הגעלה הוי כניכר האיסור ותו לא סגיא בכלים אלו שלא יתן האיסור טעם בהיתר</w:t>
      </w:r>
      <w:r>
        <w:rPr>
          <w:rFonts w:cs="Arial" w:hint="cs"/>
          <w:rtl/>
        </w:rPr>
        <w:t xml:space="preserve"> ע"ש.</w:t>
      </w:r>
    </w:p>
  </w:footnote>
  <w:footnote w:id="2036">
    <w:p w14:paraId="7D088D42" w14:textId="77777777" w:rsidR="004C5A3C" w:rsidRDefault="004C5A3C" w:rsidP="002C39F4">
      <w:pPr>
        <w:pStyle w:val="a5"/>
        <w:rPr>
          <w:rtl/>
        </w:rPr>
      </w:pPr>
      <w:r>
        <w:rPr>
          <w:rStyle w:val="a7"/>
        </w:rPr>
        <w:footnoteRef/>
      </w:r>
      <w:r>
        <w:rPr>
          <w:rtl/>
        </w:rPr>
        <w:t xml:space="preserve"> </w:t>
      </w:r>
      <w:r>
        <w:rPr>
          <w:rFonts w:cs="Arial" w:hint="cs"/>
          <w:rtl/>
        </w:rPr>
        <w:t xml:space="preserve">וכ' הש"ך </w:t>
      </w:r>
      <w:r w:rsidRPr="00736C95">
        <w:rPr>
          <w:rFonts w:cs="Arial" w:hint="cs"/>
          <w:sz w:val="16"/>
          <w:szCs w:val="16"/>
          <w:rtl/>
        </w:rPr>
        <w:t>(סק"ח)</w:t>
      </w:r>
      <w:r>
        <w:rPr>
          <w:rFonts w:cs="Arial" w:hint="cs"/>
          <w:rtl/>
        </w:rPr>
        <w:t xml:space="preserve"> ד</w:t>
      </w:r>
      <w:r w:rsidRPr="00BE3C31">
        <w:rPr>
          <w:rFonts w:cs="Arial"/>
          <w:rtl/>
        </w:rPr>
        <w:t>יש לחוש לדבריו במקום שאין הפסד מרוב</w:t>
      </w:r>
      <w:r>
        <w:rPr>
          <w:rFonts w:cs="Arial" w:hint="cs"/>
          <w:rtl/>
        </w:rPr>
        <w:t>ה.</w:t>
      </w:r>
    </w:p>
  </w:footnote>
  <w:footnote w:id="2037">
    <w:p w14:paraId="4C200953" w14:textId="77777777" w:rsidR="004C5A3C" w:rsidRDefault="004C5A3C" w:rsidP="002C39F4">
      <w:pPr>
        <w:pStyle w:val="a5"/>
      </w:pPr>
      <w:r>
        <w:rPr>
          <w:rStyle w:val="a7"/>
        </w:rPr>
        <w:footnoteRef/>
      </w:r>
      <w:r>
        <w:rPr>
          <w:rtl/>
        </w:rPr>
        <w:t xml:space="preserve"> </w:t>
      </w:r>
      <w:r>
        <w:rPr>
          <w:rFonts w:cs="Arial" w:hint="cs"/>
          <w:rtl/>
        </w:rPr>
        <w:t xml:space="preserve">וכ' הש"ך </w:t>
      </w:r>
      <w:r w:rsidRPr="00736C95">
        <w:rPr>
          <w:rFonts w:cs="Arial" w:hint="cs"/>
          <w:sz w:val="16"/>
          <w:szCs w:val="16"/>
          <w:rtl/>
        </w:rPr>
        <w:t>(סק"ח)</w:t>
      </w:r>
      <w:r>
        <w:rPr>
          <w:rFonts w:cs="Arial" w:hint="cs"/>
          <w:rtl/>
        </w:rPr>
        <w:t xml:space="preserve">- </w:t>
      </w:r>
      <w:r w:rsidRPr="00BE3C31">
        <w:rPr>
          <w:rFonts w:cs="Arial"/>
          <w:rtl/>
        </w:rPr>
        <w:t>נ"ל שיש לשהות הכלים עד שלא יהיו בני יומן דאז שרי מן התורה</w:t>
      </w:r>
      <w:r>
        <w:rPr>
          <w:rFonts w:cs="Arial" w:hint="cs"/>
          <w:rtl/>
        </w:rPr>
        <w:t>,</w:t>
      </w:r>
      <w:r w:rsidRPr="00BE3C31">
        <w:rPr>
          <w:rFonts w:cs="Arial"/>
          <w:rtl/>
        </w:rPr>
        <w:t xml:space="preserve"> </w:t>
      </w:r>
      <w:r w:rsidRPr="00441E01">
        <w:rPr>
          <w:rFonts w:cs="Arial" w:hint="cs"/>
          <w:sz w:val="16"/>
          <w:szCs w:val="16"/>
          <w:rtl/>
        </w:rPr>
        <w:t>(</w:t>
      </w:r>
      <w:r w:rsidRPr="00441E01">
        <w:rPr>
          <w:rFonts w:cs="Arial"/>
          <w:sz w:val="16"/>
          <w:szCs w:val="16"/>
          <w:rtl/>
        </w:rPr>
        <w:t>וכ"כ מ</w:t>
      </w:r>
      <w:r w:rsidRPr="00441E01">
        <w:rPr>
          <w:rFonts w:cs="Arial" w:hint="cs"/>
          <w:sz w:val="16"/>
          <w:szCs w:val="16"/>
          <w:rtl/>
        </w:rPr>
        <w:t>שא</w:t>
      </w:r>
      <w:r w:rsidRPr="00441E01">
        <w:rPr>
          <w:rFonts w:cs="Arial"/>
          <w:sz w:val="16"/>
          <w:szCs w:val="16"/>
          <w:rtl/>
        </w:rPr>
        <w:t>"ב</w:t>
      </w:r>
      <w:r w:rsidRPr="00441E01">
        <w:rPr>
          <w:rFonts w:cs="Arial" w:hint="cs"/>
          <w:sz w:val="16"/>
          <w:szCs w:val="16"/>
          <w:rtl/>
        </w:rPr>
        <w:t xml:space="preserve"> (סוף הספר חדושי דינים ליו"ד אות ד),</w:t>
      </w:r>
      <w:r w:rsidRPr="00441E01">
        <w:rPr>
          <w:rFonts w:cs="Arial"/>
          <w:sz w:val="16"/>
          <w:szCs w:val="16"/>
          <w:rtl/>
        </w:rPr>
        <w:t xml:space="preserve"> אלא דכ' שם דהיינו דוקא להשתמש בהן בכולם יחד</w:t>
      </w:r>
      <w:r w:rsidRPr="00441E01">
        <w:rPr>
          <w:rFonts w:cs="Arial" w:hint="cs"/>
          <w:sz w:val="16"/>
          <w:szCs w:val="16"/>
          <w:rtl/>
        </w:rPr>
        <w:t>,</w:t>
      </w:r>
      <w:r w:rsidRPr="00441E01">
        <w:rPr>
          <w:rFonts w:cs="Arial"/>
          <w:sz w:val="16"/>
          <w:szCs w:val="16"/>
          <w:rtl/>
        </w:rPr>
        <w:t xml:space="preserve"> אבל בפני עצמו לא</w:t>
      </w:r>
      <w:r>
        <w:rPr>
          <w:rFonts w:cs="Arial" w:hint="cs"/>
          <w:sz w:val="16"/>
          <w:szCs w:val="16"/>
          <w:rtl/>
        </w:rPr>
        <w:t>,</w:t>
      </w:r>
      <w:r w:rsidRPr="00441E01">
        <w:rPr>
          <w:rFonts w:cs="Arial"/>
          <w:sz w:val="16"/>
          <w:szCs w:val="16"/>
          <w:rtl/>
        </w:rPr>
        <w:t xml:space="preserve"> דכיון דליכא אלא טעמא לא הוי דשיל"מ ע"ש</w:t>
      </w:r>
      <w:r w:rsidRPr="00441E01">
        <w:rPr>
          <w:rFonts w:cs="Arial" w:hint="cs"/>
          <w:sz w:val="16"/>
          <w:szCs w:val="16"/>
          <w:rtl/>
        </w:rPr>
        <w:t>,</w:t>
      </w:r>
      <w:r w:rsidRPr="00441E01">
        <w:rPr>
          <w:rFonts w:cs="Arial"/>
          <w:sz w:val="16"/>
          <w:szCs w:val="16"/>
          <w:rtl/>
        </w:rPr>
        <w:t xml:space="preserve"> ולפעד"נ</w:t>
      </w:r>
      <w:r w:rsidRPr="00441E01">
        <w:rPr>
          <w:rFonts w:cs="Arial" w:hint="cs"/>
          <w:sz w:val="16"/>
          <w:szCs w:val="16"/>
          <w:rtl/>
        </w:rPr>
        <w:t xml:space="preserve">-) </w:t>
      </w:r>
      <w:r>
        <w:rPr>
          <w:rFonts w:cs="Arial" w:hint="cs"/>
          <w:rtl/>
        </w:rPr>
        <w:t>ד</w:t>
      </w:r>
      <w:r w:rsidRPr="00BE3C31">
        <w:rPr>
          <w:rFonts w:cs="Arial"/>
          <w:rtl/>
        </w:rPr>
        <w:t xml:space="preserve">אפילו בכל אחד בפני עצמו אסור להשתמש עד אחר מעל"ע </w:t>
      </w:r>
      <w:r w:rsidRPr="00736C95">
        <w:rPr>
          <w:rFonts w:cs="Arial" w:hint="cs"/>
          <w:sz w:val="16"/>
          <w:szCs w:val="16"/>
          <w:rtl/>
        </w:rPr>
        <w:t>(</w:t>
      </w:r>
      <w:r w:rsidRPr="00736C95">
        <w:rPr>
          <w:rFonts w:cs="Arial"/>
          <w:sz w:val="16"/>
          <w:szCs w:val="16"/>
          <w:rtl/>
        </w:rPr>
        <w:t>דהא הרשב"א והטור לא כתבו דלא הוי דשיל"מ אלא משום שצריך להוציא עליו הוצאות ובכה"ג דיש לו מתירין מן התורה בלא שום הוצאות לכ"ע אסור</w:t>
      </w:r>
      <w:r w:rsidRPr="00736C95">
        <w:rPr>
          <w:rFonts w:cs="Arial" w:hint="cs"/>
          <w:sz w:val="16"/>
          <w:szCs w:val="16"/>
          <w:rtl/>
        </w:rPr>
        <w:t>,</w:t>
      </w:r>
      <w:r w:rsidRPr="00736C95">
        <w:rPr>
          <w:rFonts w:cs="Arial"/>
          <w:sz w:val="16"/>
          <w:szCs w:val="16"/>
          <w:rtl/>
        </w:rPr>
        <w:t xml:space="preserve"> וגם לקמן סק</w:t>
      </w:r>
      <w:r w:rsidRPr="00736C95">
        <w:rPr>
          <w:rFonts w:cs="Arial" w:hint="cs"/>
          <w:sz w:val="16"/>
          <w:szCs w:val="16"/>
          <w:rtl/>
        </w:rPr>
        <w:t>"</w:t>
      </w:r>
      <w:r w:rsidRPr="00736C95">
        <w:rPr>
          <w:rFonts w:cs="Arial"/>
          <w:sz w:val="16"/>
          <w:szCs w:val="16"/>
          <w:rtl/>
        </w:rPr>
        <w:t>ט העליתי דגם טעמא לא בטיל</w:t>
      </w:r>
      <w:r>
        <w:rPr>
          <w:rFonts w:cs="Arial" w:hint="cs"/>
          <w:sz w:val="16"/>
          <w:szCs w:val="16"/>
          <w:rtl/>
        </w:rPr>
        <w:t>)</w:t>
      </w:r>
      <w:r>
        <w:rPr>
          <w:rFonts w:cs="Arial" w:hint="cs"/>
          <w:rtl/>
        </w:rPr>
        <w:t>,</w:t>
      </w:r>
      <w:r w:rsidRPr="00BE3C31">
        <w:rPr>
          <w:rFonts w:cs="Arial"/>
          <w:rtl/>
        </w:rPr>
        <w:t xml:space="preserve"> ו</w:t>
      </w:r>
      <w:r>
        <w:rPr>
          <w:rFonts w:cs="Arial" w:hint="cs"/>
          <w:rtl/>
        </w:rPr>
        <w:t>מהריב"</w:t>
      </w:r>
      <w:r w:rsidRPr="00BE3C31">
        <w:rPr>
          <w:rFonts w:cs="Arial"/>
          <w:rtl/>
        </w:rPr>
        <w:t>ל</w:t>
      </w:r>
      <w:r>
        <w:rPr>
          <w:rFonts w:cs="Arial" w:hint="cs"/>
          <w:rtl/>
        </w:rPr>
        <w:t xml:space="preserve"> </w:t>
      </w:r>
      <w:r w:rsidRPr="00736C95">
        <w:rPr>
          <w:rFonts w:cs="Arial" w:hint="cs"/>
          <w:sz w:val="16"/>
          <w:szCs w:val="16"/>
          <w:rtl/>
        </w:rPr>
        <w:t>(ח"א סי' קיא)</w:t>
      </w:r>
      <w:r w:rsidRPr="00736C95">
        <w:rPr>
          <w:rFonts w:cs="Arial"/>
          <w:sz w:val="16"/>
          <w:szCs w:val="16"/>
          <w:rtl/>
        </w:rPr>
        <w:t xml:space="preserve"> </w:t>
      </w:r>
      <w:r w:rsidRPr="00BE3C31">
        <w:rPr>
          <w:rFonts w:cs="Arial"/>
          <w:rtl/>
        </w:rPr>
        <w:t>פסק דקערה של חלב שנתערבה בקערות של בשר לא בטיל ברוב כיון דהוי שלא במינו וכולן אסורין</w:t>
      </w:r>
      <w:r>
        <w:rPr>
          <w:rFonts w:cs="Arial" w:hint="cs"/>
          <w:rtl/>
        </w:rPr>
        <w:t>,</w:t>
      </w:r>
      <w:r w:rsidRPr="00BE3C31">
        <w:rPr>
          <w:rFonts w:cs="Arial"/>
          <w:rtl/>
        </w:rPr>
        <w:t xml:space="preserve"> וכבר תפס עליו הב"ח</w:t>
      </w:r>
      <w:r>
        <w:rPr>
          <w:rFonts w:cs="Arial" w:hint="cs"/>
          <w:rtl/>
        </w:rPr>
        <w:t>,</w:t>
      </w:r>
      <w:r w:rsidRPr="00BE3C31">
        <w:rPr>
          <w:rFonts w:cs="Arial"/>
          <w:rtl/>
        </w:rPr>
        <w:t xml:space="preserve"> וגם מה שהחמיר הב"ח להסיר כלי אחד לחומרא בעלמא </w:t>
      </w:r>
      <w:r w:rsidRPr="00373949">
        <w:rPr>
          <w:rFonts w:cs="Arial" w:hint="cs"/>
          <w:sz w:val="16"/>
          <w:szCs w:val="16"/>
          <w:rtl/>
        </w:rPr>
        <w:t>(</w:t>
      </w:r>
      <w:r w:rsidRPr="00373949">
        <w:rPr>
          <w:rFonts w:cs="Arial"/>
          <w:sz w:val="16"/>
          <w:szCs w:val="16"/>
          <w:rtl/>
        </w:rPr>
        <w:t>כמו שנהג מהר"ם גבי חתיכות עכ"ל</w:t>
      </w:r>
      <w:r w:rsidRPr="00373949">
        <w:rPr>
          <w:rFonts w:cs="Arial" w:hint="cs"/>
          <w:sz w:val="16"/>
          <w:szCs w:val="16"/>
          <w:rtl/>
        </w:rPr>
        <w:t>,</w:t>
      </w:r>
      <w:r w:rsidRPr="00373949">
        <w:rPr>
          <w:rFonts w:cs="Arial"/>
          <w:sz w:val="16"/>
          <w:szCs w:val="16"/>
          <w:rtl/>
        </w:rPr>
        <w:t xml:space="preserve"> ל</w:t>
      </w:r>
      <w:r w:rsidRPr="00373949">
        <w:rPr>
          <w:rFonts w:cs="Arial" w:hint="cs"/>
          <w:sz w:val="16"/>
          <w:szCs w:val="16"/>
          <w:rtl/>
        </w:rPr>
        <w:t xml:space="preserve">א </w:t>
      </w:r>
      <w:r w:rsidRPr="00373949">
        <w:rPr>
          <w:rFonts w:cs="Arial"/>
          <w:sz w:val="16"/>
          <w:szCs w:val="16"/>
          <w:rtl/>
        </w:rPr>
        <w:t>ד</w:t>
      </w:r>
      <w:r w:rsidRPr="00373949">
        <w:rPr>
          <w:rFonts w:cs="Arial" w:hint="cs"/>
          <w:sz w:val="16"/>
          <w:szCs w:val="16"/>
          <w:rtl/>
        </w:rPr>
        <w:t>ק,</w:t>
      </w:r>
      <w:r w:rsidRPr="00373949">
        <w:rPr>
          <w:rFonts w:cs="Arial"/>
          <w:sz w:val="16"/>
          <w:szCs w:val="16"/>
          <w:rtl/>
        </w:rPr>
        <w:t xml:space="preserve"> דהא כל הפוסקים הסכימו לקמן סימן ק"ט דא"צ להסיר אפילו בחתיכה</w:t>
      </w:r>
      <w:r w:rsidRPr="00373949">
        <w:rPr>
          <w:rFonts w:cs="Arial" w:hint="cs"/>
          <w:sz w:val="16"/>
          <w:szCs w:val="16"/>
          <w:rtl/>
        </w:rPr>
        <w:t>,</w:t>
      </w:r>
      <w:r w:rsidRPr="00373949">
        <w:rPr>
          <w:rFonts w:cs="Arial"/>
          <w:sz w:val="16"/>
          <w:szCs w:val="16"/>
          <w:rtl/>
        </w:rPr>
        <w:t xml:space="preserve"> ומהר"מ דעבד הכי הא כתב מהרא"י טעמא דצדיק ות"ח היה והחמיר שהיה נראה דרך גנאי שיזדמן אכילת איסור לפיו כו'</w:t>
      </w:r>
      <w:r w:rsidRPr="00373949">
        <w:rPr>
          <w:rFonts w:cs="Arial" w:hint="cs"/>
          <w:sz w:val="16"/>
          <w:szCs w:val="16"/>
          <w:rtl/>
        </w:rPr>
        <w:t>,</w:t>
      </w:r>
      <w:r w:rsidRPr="00373949">
        <w:rPr>
          <w:rFonts w:cs="Arial"/>
          <w:sz w:val="16"/>
          <w:szCs w:val="16"/>
          <w:rtl/>
        </w:rPr>
        <w:t xml:space="preserve"> ומביאו ב"י בסי' ק"ט</w:t>
      </w:r>
      <w:r w:rsidRPr="00373949">
        <w:rPr>
          <w:rFonts w:cs="Arial" w:hint="cs"/>
          <w:sz w:val="16"/>
          <w:szCs w:val="16"/>
          <w:rtl/>
        </w:rPr>
        <w:t>,</w:t>
      </w:r>
      <w:r w:rsidRPr="00373949">
        <w:rPr>
          <w:rFonts w:cs="Arial"/>
          <w:sz w:val="16"/>
          <w:szCs w:val="16"/>
          <w:rtl/>
        </w:rPr>
        <w:t xml:space="preserve"> וזה לא שייך בכלים</w:t>
      </w:r>
      <w:r w:rsidRPr="00373949">
        <w:rPr>
          <w:rFonts w:cs="Arial" w:hint="cs"/>
          <w:sz w:val="16"/>
          <w:szCs w:val="16"/>
          <w:rtl/>
        </w:rPr>
        <w:t>,</w:t>
      </w:r>
      <w:r w:rsidRPr="00373949">
        <w:rPr>
          <w:rFonts w:cs="Arial"/>
          <w:sz w:val="16"/>
          <w:szCs w:val="16"/>
          <w:rtl/>
        </w:rPr>
        <w:t xml:space="preserve"> ומ"מ</w:t>
      </w:r>
      <w:r>
        <w:rPr>
          <w:rFonts w:cs="Arial" w:hint="cs"/>
          <w:sz w:val="16"/>
          <w:szCs w:val="16"/>
          <w:rtl/>
        </w:rPr>
        <w:t>-)</w:t>
      </w:r>
      <w:r w:rsidRPr="00BE3C31">
        <w:rPr>
          <w:rFonts w:cs="Arial"/>
          <w:rtl/>
        </w:rPr>
        <w:t xml:space="preserve"> כיון דליכא פסידא יש להחמיר כדברי הב"ח</w:t>
      </w:r>
      <w:r>
        <w:rPr>
          <w:rFonts w:hint="cs"/>
          <w:rtl/>
        </w:rPr>
        <w:t>.</w:t>
      </w:r>
      <w:r w:rsidRPr="00441E01">
        <w:rPr>
          <w:rFonts w:cs="Arial" w:hint="cs"/>
          <w:rtl/>
        </w:rPr>
        <w:t xml:space="preserve"> </w:t>
      </w:r>
      <w:r>
        <w:rPr>
          <w:rFonts w:cs="Arial" w:hint="cs"/>
          <w:rtl/>
        </w:rPr>
        <w:t>וכ' הט"ז (סק"ח)-</w:t>
      </w:r>
      <w:r w:rsidRPr="00BE3C31">
        <w:rPr>
          <w:rFonts w:cs="Arial"/>
          <w:rtl/>
        </w:rPr>
        <w:t xml:space="preserve"> נראה דאע"פ שמותר להשתמש בכל הכלים האלו שנתערבו </w:t>
      </w:r>
      <w:r w:rsidRPr="00441E01">
        <w:rPr>
          <w:rFonts w:cs="Arial" w:hint="cs"/>
          <w:sz w:val="16"/>
          <w:szCs w:val="16"/>
          <w:rtl/>
        </w:rPr>
        <w:t>(</w:t>
      </w:r>
      <w:r w:rsidRPr="00441E01">
        <w:rPr>
          <w:rFonts w:cs="Arial"/>
          <w:sz w:val="16"/>
          <w:szCs w:val="16"/>
          <w:rtl/>
        </w:rPr>
        <w:t>כמ"ש הרשב"א</w:t>
      </w:r>
      <w:r w:rsidRPr="00441E01">
        <w:rPr>
          <w:rFonts w:cs="Arial" w:hint="cs"/>
          <w:sz w:val="16"/>
          <w:szCs w:val="16"/>
          <w:rtl/>
        </w:rPr>
        <w:t>,</w:t>
      </w:r>
      <w:r w:rsidRPr="00441E01">
        <w:rPr>
          <w:rFonts w:cs="Arial"/>
          <w:sz w:val="16"/>
          <w:szCs w:val="16"/>
          <w:rtl/>
        </w:rPr>
        <w:t xml:space="preserve"> הביאו ב"י ס</w:t>
      </w:r>
      <w:r w:rsidRPr="00441E01">
        <w:rPr>
          <w:rFonts w:cs="Arial" w:hint="cs"/>
          <w:sz w:val="16"/>
          <w:szCs w:val="16"/>
          <w:rtl/>
        </w:rPr>
        <w:t>"</w:t>
      </w:r>
      <w:r w:rsidRPr="00441E01">
        <w:rPr>
          <w:rFonts w:cs="Arial"/>
          <w:sz w:val="16"/>
          <w:szCs w:val="16"/>
          <w:rtl/>
        </w:rPr>
        <w:t>ס קכב</w:t>
      </w:r>
      <w:r w:rsidRPr="00441E01">
        <w:rPr>
          <w:rFonts w:cs="Arial" w:hint="cs"/>
          <w:sz w:val="16"/>
          <w:szCs w:val="16"/>
          <w:rtl/>
        </w:rPr>
        <w:t>)</w:t>
      </w:r>
      <w:r w:rsidRPr="00441E01">
        <w:rPr>
          <w:rFonts w:cs="Arial"/>
          <w:sz w:val="16"/>
          <w:szCs w:val="16"/>
          <w:rtl/>
        </w:rPr>
        <w:t xml:space="preserve"> </w:t>
      </w:r>
      <w:r w:rsidRPr="00BE3C31">
        <w:rPr>
          <w:rFonts w:cs="Arial"/>
          <w:rtl/>
        </w:rPr>
        <w:t>מ"מ אין להשהותם זמן מרובה אא"כ יכשיר כולם מספק כיון שהאיסור בטל ברוב הוה עלייהו דין יבש שבטל ברוב יבש שמבואר דינו בסי' ק"ט שאסור לאוכלם כולם יחד ויש כאן לחוש שמא בזמן מרובה ישתכח התערובות ויבא לערב התבשיל שמתבשל בכל התערובת יחד ויאכלם ויבא לידי איסור</w:t>
      </w:r>
      <w:r>
        <w:rPr>
          <w:rFonts w:cs="Arial" w:hint="cs"/>
          <w:rtl/>
        </w:rPr>
        <w:t>,</w:t>
      </w:r>
      <w:r w:rsidRPr="00BE3C31">
        <w:rPr>
          <w:rFonts w:cs="Arial"/>
          <w:rtl/>
        </w:rPr>
        <w:t xml:space="preserve"> על כן ראוי לו להכשיר כולם מספק</w:t>
      </w:r>
      <w:r>
        <w:rPr>
          <w:rFonts w:cs="Arial" w:hint="cs"/>
          <w:rtl/>
        </w:rPr>
        <w:t>.</w:t>
      </w:r>
    </w:p>
  </w:footnote>
  <w:footnote w:id="2038">
    <w:p w14:paraId="041281CF" w14:textId="77777777" w:rsidR="004C5A3C" w:rsidRDefault="004C5A3C" w:rsidP="002C39F4">
      <w:pPr>
        <w:pStyle w:val="a5"/>
        <w:rPr>
          <w:rtl/>
        </w:rPr>
      </w:pPr>
      <w:r>
        <w:rPr>
          <w:rStyle w:val="a7"/>
        </w:rPr>
        <w:footnoteRef/>
      </w:r>
      <w:r>
        <w:rPr>
          <w:rtl/>
        </w:rPr>
        <w:t xml:space="preserve"> </w:t>
      </w:r>
      <w:r>
        <w:rPr>
          <w:rFonts w:cs="Arial" w:hint="cs"/>
          <w:rtl/>
        </w:rPr>
        <w:t xml:space="preserve">ר"ת </w:t>
      </w:r>
      <w:r>
        <w:rPr>
          <w:rFonts w:cs="Arial" w:hint="cs"/>
          <w:sz w:val="16"/>
          <w:szCs w:val="16"/>
          <w:rtl/>
        </w:rPr>
        <w:t>(כ"כ בשמו רבנו שמואל מפליזא, הביאם המרדכי [</w:t>
      </w:r>
      <w:r w:rsidRPr="00B943CF">
        <w:rPr>
          <w:rFonts w:cs="Arial" w:hint="cs"/>
          <w:sz w:val="16"/>
          <w:szCs w:val="16"/>
          <w:rtl/>
        </w:rPr>
        <w:t xml:space="preserve">פסחים </w:t>
      </w:r>
      <w:r w:rsidRPr="00B943CF">
        <w:rPr>
          <w:rFonts w:cs="Arial"/>
          <w:sz w:val="16"/>
          <w:szCs w:val="16"/>
          <w:rtl/>
        </w:rPr>
        <w:t>סי' תקעג</w:t>
      </w:r>
      <w:r>
        <w:rPr>
          <w:rFonts w:cs="Arial" w:hint="cs"/>
          <w:sz w:val="16"/>
          <w:szCs w:val="16"/>
          <w:rtl/>
        </w:rPr>
        <w:t>]</w:t>
      </w:r>
      <w:r w:rsidRPr="00B943CF">
        <w:rPr>
          <w:rFonts w:cs="Arial"/>
          <w:sz w:val="16"/>
          <w:szCs w:val="16"/>
          <w:rtl/>
        </w:rPr>
        <w:t xml:space="preserve">) </w:t>
      </w:r>
      <w:r>
        <w:rPr>
          <w:rFonts w:cs="Arial" w:hint="cs"/>
          <w:rtl/>
        </w:rPr>
        <w:t xml:space="preserve">מרדכי </w:t>
      </w:r>
      <w:r>
        <w:rPr>
          <w:rFonts w:cs="Arial" w:hint="cs"/>
          <w:sz w:val="16"/>
          <w:szCs w:val="16"/>
          <w:rtl/>
        </w:rPr>
        <w:t xml:space="preserve">(שם) </w:t>
      </w:r>
      <w:r w:rsidRPr="00B943CF">
        <w:rPr>
          <w:rFonts w:cs="Arial"/>
          <w:rtl/>
        </w:rPr>
        <w:t xml:space="preserve">רשב"א </w:t>
      </w:r>
      <w:r w:rsidRPr="00B943CF">
        <w:rPr>
          <w:rFonts w:cs="Arial" w:hint="cs"/>
          <w:sz w:val="16"/>
          <w:szCs w:val="16"/>
          <w:rtl/>
        </w:rPr>
        <w:t>(</w:t>
      </w:r>
      <w:r w:rsidRPr="00B943CF">
        <w:rPr>
          <w:rFonts w:cs="Arial"/>
          <w:sz w:val="16"/>
          <w:szCs w:val="16"/>
          <w:rtl/>
        </w:rPr>
        <w:t xml:space="preserve">ביצה ד. ד"ה הא דאמרינן) </w:t>
      </w:r>
      <w:r w:rsidRPr="00B943CF">
        <w:rPr>
          <w:rFonts w:cs="Arial" w:hint="cs"/>
          <w:rtl/>
        </w:rPr>
        <w:t>ו</w:t>
      </w:r>
      <w:r w:rsidRPr="00B943CF">
        <w:rPr>
          <w:rFonts w:cs="Arial"/>
          <w:rtl/>
        </w:rPr>
        <w:t xml:space="preserve">ר"ן </w:t>
      </w:r>
      <w:r w:rsidRPr="00B943CF">
        <w:rPr>
          <w:rFonts w:cs="Arial" w:hint="cs"/>
          <w:sz w:val="16"/>
          <w:szCs w:val="16"/>
          <w:rtl/>
        </w:rPr>
        <w:t>(</w:t>
      </w:r>
      <w:r w:rsidRPr="00B943CF">
        <w:rPr>
          <w:rFonts w:cs="Arial"/>
          <w:sz w:val="16"/>
          <w:szCs w:val="16"/>
          <w:rtl/>
        </w:rPr>
        <w:t>ביצה ב: ד"ה כל דבר</w:t>
      </w:r>
      <w:r w:rsidRPr="00B943CF">
        <w:rPr>
          <w:rFonts w:cs="Arial" w:hint="cs"/>
          <w:sz w:val="16"/>
          <w:szCs w:val="16"/>
          <w:rtl/>
        </w:rPr>
        <w:t>, כ"כ בשמו הדרכ"מ [</w:t>
      </w:r>
      <w:r w:rsidRPr="00B943CF">
        <w:rPr>
          <w:rFonts w:cs="Arial"/>
          <w:sz w:val="16"/>
          <w:szCs w:val="16"/>
          <w:rtl/>
        </w:rPr>
        <w:t>ב*</w:t>
      </w:r>
      <w:r w:rsidRPr="00B943CF">
        <w:rPr>
          <w:rFonts w:cs="Arial" w:hint="cs"/>
          <w:sz w:val="16"/>
          <w:szCs w:val="16"/>
          <w:rtl/>
        </w:rPr>
        <w:t>]</w:t>
      </w:r>
      <w:r w:rsidRPr="00B943CF">
        <w:rPr>
          <w:rFonts w:cs="Arial"/>
          <w:sz w:val="16"/>
          <w:szCs w:val="16"/>
          <w:rtl/>
        </w:rPr>
        <w:t>)</w:t>
      </w:r>
      <w:r>
        <w:rPr>
          <w:rFonts w:hint="cs"/>
          <w:rtl/>
        </w:rPr>
        <w:t>.</w:t>
      </w:r>
    </w:p>
  </w:footnote>
  <w:footnote w:id="2039">
    <w:p w14:paraId="550A8EB5" w14:textId="77777777" w:rsidR="004C5A3C" w:rsidRDefault="004C5A3C" w:rsidP="002C39F4">
      <w:pPr>
        <w:pStyle w:val="a5"/>
        <w:rPr>
          <w:rtl/>
        </w:rPr>
      </w:pPr>
      <w:r>
        <w:rPr>
          <w:rStyle w:val="a7"/>
        </w:rPr>
        <w:footnoteRef/>
      </w:r>
      <w:r>
        <w:rPr>
          <w:rtl/>
        </w:rPr>
        <w:t xml:space="preserve"> </w:t>
      </w:r>
      <w:r w:rsidRPr="00D72B75">
        <w:rPr>
          <w:rFonts w:cs="Arial"/>
          <w:rtl/>
        </w:rPr>
        <w:t>מ</w:t>
      </w:r>
      <w:r>
        <w:rPr>
          <w:rFonts w:cs="Arial" w:hint="cs"/>
          <w:rtl/>
        </w:rPr>
        <w:t>"</w:t>
      </w:r>
      <w:r w:rsidRPr="00D72B75">
        <w:rPr>
          <w:rFonts w:cs="Arial"/>
          <w:rtl/>
        </w:rPr>
        <w:t>מ הרי כ</w:t>
      </w:r>
      <w:r>
        <w:rPr>
          <w:rFonts w:cs="Arial" w:hint="cs"/>
          <w:rtl/>
        </w:rPr>
        <w:t>'</w:t>
      </w:r>
      <w:r w:rsidRPr="00D72B75">
        <w:rPr>
          <w:rFonts w:cs="Arial"/>
          <w:rtl/>
        </w:rPr>
        <w:t xml:space="preserve"> התוס</w:t>
      </w:r>
      <w:r>
        <w:rPr>
          <w:rFonts w:cs="Arial" w:hint="cs"/>
          <w:rtl/>
        </w:rPr>
        <w:t>'</w:t>
      </w:r>
      <w:r w:rsidRPr="00D72B75">
        <w:rPr>
          <w:rFonts w:cs="Arial"/>
          <w:rtl/>
        </w:rPr>
        <w:t xml:space="preserve"> דהיכא שהקדירה מיתקנת בכך חשיב מין במינו</w:t>
      </w:r>
      <w:r>
        <w:rPr>
          <w:rFonts w:cs="Arial" w:hint="cs"/>
          <w:rtl/>
        </w:rPr>
        <w:t>,</w:t>
      </w:r>
      <w:r w:rsidRPr="00D72B75">
        <w:rPr>
          <w:rFonts w:cs="Arial"/>
          <w:rtl/>
        </w:rPr>
        <w:t xml:space="preserve"> ובליבון הביצה מתקן התרנגולת והתבשיל דעושין כן לבשם התרנגולת וחשיב נמי ממשות של איסור ולא חשיב נימוח אלא בשאינו ניכר במראה אלא בטעם</w:t>
      </w:r>
      <w:r>
        <w:rPr>
          <w:rFonts w:hint="cs"/>
          <w:rtl/>
        </w:rPr>
        <w:t xml:space="preserve">, דרכ"מ </w:t>
      </w:r>
      <w:r w:rsidRPr="00D72B75">
        <w:rPr>
          <w:rFonts w:hint="cs"/>
          <w:sz w:val="16"/>
          <w:szCs w:val="16"/>
          <w:rtl/>
        </w:rPr>
        <w:t xml:space="preserve">(תקיג אות א) </w:t>
      </w:r>
      <w:r>
        <w:rPr>
          <w:rFonts w:hint="cs"/>
          <w:rtl/>
        </w:rPr>
        <w:t>בשם מהרי"ח.</w:t>
      </w:r>
    </w:p>
  </w:footnote>
  <w:footnote w:id="2040">
    <w:p w14:paraId="11118B8D" w14:textId="77777777" w:rsidR="004C5A3C" w:rsidRDefault="004C5A3C" w:rsidP="002C39F4">
      <w:pPr>
        <w:pStyle w:val="a5"/>
      </w:pPr>
      <w:r>
        <w:rPr>
          <w:rStyle w:val="a7"/>
        </w:rPr>
        <w:footnoteRef/>
      </w:r>
      <w:r>
        <w:rPr>
          <w:rtl/>
        </w:rPr>
        <w:t xml:space="preserve"> </w:t>
      </w:r>
      <w:r>
        <w:rPr>
          <w:rFonts w:hint="cs"/>
          <w:rtl/>
        </w:rPr>
        <w:t>אפילו הטעם לא מתקן, דאם בא לתקן התבשיל גם למתירים דלעיל אסור, כדכתב הדרכ"מ.</w:t>
      </w:r>
    </w:p>
  </w:footnote>
  <w:footnote w:id="2041">
    <w:p w14:paraId="692352DF" w14:textId="77777777" w:rsidR="004C5A3C" w:rsidRDefault="004C5A3C" w:rsidP="002C39F4">
      <w:pPr>
        <w:pStyle w:val="a5"/>
      </w:pPr>
      <w:r>
        <w:rPr>
          <w:rStyle w:val="a7"/>
        </w:rPr>
        <w:footnoteRef/>
      </w:r>
      <w:r>
        <w:rPr>
          <w:rtl/>
        </w:rPr>
        <w:t xml:space="preserve"> </w:t>
      </w:r>
      <w:r>
        <w:rPr>
          <w:rFonts w:hint="cs"/>
          <w:rtl/>
        </w:rPr>
        <w:t>סק"ט. והביא שם הרבה ראשונים שנראה מדבריהם כן, וכ' שכן פסק הב"ח.</w:t>
      </w:r>
    </w:p>
  </w:footnote>
  <w:footnote w:id="2042">
    <w:p w14:paraId="0B2F2D20" w14:textId="77777777" w:rsidR="004C5A3C" w:rsidRPr="0016006D" w:rsidRDefault="004C5A3C" w:rsidP="002C39F4">
      <w:pPr>
        <w:pStyle w:val="a5"/>
        <w:rPr>
          <w:rtl/>
        </w:rPr>
      </w:pPr>
      <w:r>
        <w:rPr>
          <w:rStyle w:val="a7"/>
        </w:rPr>
        <w:footnoteRef/>
      </w:r>
      <w:r>
        <w:rPr>
          <w:rtl/>
        </w:rPr>
        <w:t xml:space="preserve"> </w:t>
      </w:r>
      <w:r>
        <w:rPr>
          <w:rFonts w:hint="cs"/>
          <w:rtl/>
        </w:rPr>
        <w:t>וכ' הדרכ"מ (אות ב) דגם ה</w:t>
      </w:r>
      <w:r>
        <w:rPr>
          <w:rtl/>
        </w:rPr>
        <w:t xml:space="preserve">מרדכי </w:t>
      </w:r>
      <w:r w:rsidRPr="0016006D">
        <w:rPr>
          <w:sz w:val="16"/>
          <w:szCs w:val="16"/>
          <w:rtl/>
        </w:rPr>
        <w:t>(</w:t>
      </w:r>
      <w:r w:rsidRPr="0016006D">
        <w:rPr>
          <w:rFonts w:hint="cs"/>
          <w:sz w:val="16"/>
          <w:szCs w:val="16"/>
          <w:rtl/>
        </w:rPr>
        <w:t xml:space="preserve">חולין </w:t>
      </w:r>
      <w:r w:rsidRPr="0016006D">
        <w:rPr>
          <w:sz w:val="16"/>
          <w:szCs w:val="16"/>
          <w:rtl/>
        </w:rPr>
        <w:t xml:space="preserve">סי' תרסה) </w:t>
      </w:r>
      <w:r>
        <w:rPr>
          <w:rFonts w:hint="cs"/>
          <w:rtl/>
        </w:rPr>
        <w:t>וה</w:t>
      </w:r>
      <w:r>
        <w:rPr>
          <w:rtl/>
        </w:rPr>
        <w:t>נ</w:t>
      </w:r>
      <w:r>
        <w:rPr>
          <w:rFonts w:hint="cs"/>
          <w:rtl/>
        </w:rPr>
        <w:t>ימוק"י</w:t>
      </w:r>
      <w:r>
        <w:rPr>
          <w:rtl/>
        </w:rPr>
        <w:t xml:space="preserve"> </w:t>
      </w:r>
      <w:r w:rsidRPr="0016006D">
        <w:rPr>
          <w:sz w:val="16"/>
          <w:szCs w:val="16"/>
          <w:rtl/>
        </w:rPr>
        <w:t>(יבמות כה: סוד"ה גרסינן)</w:t>
      </w:r>
      <w:r>
        <w:rPr>
          <w:rFonts w:hint="cs"/>
          <w:rtl/>
        </w:rPr>
        <w:t xml:space="preserve"> כתבו סברא זו.</w:t>
      </w:r>
    </w:p>
  </w:footnote>
  <w:footnote w:id="2043">
    <w:p w14:paraId="2BE2DE9F" w14:textId="77777777" w:rsidR="004C5A3C" w:rsidRPr="0016006D" w:rsidRDefault="004C5A3C" w:rsidP="002C39F4">
      <w:pPr>
        <w:pStyle w:val="a5"/>
      </w:pPr>
      <w:r w:rsidRPr="0016006D">
        <w:rPr>
          <w:rStyle w:val="a7"/>
        </w:rPr>
        <w:footnoteRef/>
      </w:r>
      <w:r w:rsidRPr="0016006D">
        <w:rPr>
          <w:rtl/>
        </w:rPr>
        <w:t xml:space="preserve"> </w:t>
      </w:r>
      <w:r w:rsidRPr="0016006D">
        <w:rPr>
          <w:rFonts w:hint="cs"/>
          <w:rtl/>
        </w:rPr>
        <w:t>דרכ"מ ע"פ דברי הר"ן בחולין (מד.).</w:t>
      </w:r>
    </w:p>
  </w:footnote>
  <w:footnote w:id="2044">
    <w:p w14:paraId="398343DE" w14:textId="77777777" w:rsidR="004C5A3C" w:rsidRDefault="004C5A3C" w:rsidP="002C39F4">
      <w:pPr>
        <w:pStyle w:val="a5"/>
      </w:pPr>
      <w:r>
        <w:rPr>
          <w:rStyle w:val="a7"/>
        </w:rPr>
        <w:footnoteRef/>
      </w:r>
      <w:r>
        <w:rPr>
          <w:rtl/>
        </w:rPr>
        <w:t xml:space="preserve"> </w:t>
      </w:r>
      <w:r w:rsidRPr="003F6C20">
        <w:rPr>
          <w:rFonts w:cs="Arial"/>
          <w:rtl/>
        </w:rPr>
        <w:t>כגון גיגית מלאה ענבים בעוטים והיה בה הרבה יין צלול קודם השבת מותר ליקח בשבת מן היין ואע</w:t>
      </w:r>
      <w:r>
        <w:rPr>
          <w:rFonts w:cs="Arial" w:hint="cs"/>
          <w:rtl/>
        </w:rPr>
        <w:t>"</w:t>
      </w:r>
      <w:r w:rsidRPr="003F6C20">
        <w:rPr>
          <w:rFonts w:cs="Arial"/>
          <w:rtl/>
        </w:rPr>
        <w:t>פ שיוצא ג"כ עתה מן הענבים כל שעה לפי שמתבטל במה שיצא כבר ואין בו משום דשיל"מ מאחר שלא היה עליו שם יין בפני עצמו מעולם</w:t>
      </w:r>
      <w:r>
        <w:rPr>
          <w:rFonts w:cs="Arial" w:hint="cs"/>
          <w:rtl/>
        </w:rPr>
        <w:t>, או"ה.</w:t>
      </w:r>
      <w:r>
        <w:rPr>
          <w:rFonts w:hint="cs"/>
          <w:rtl/>
        </w:rPr>
        <w:t xml:space="preserve"> </w:t>
      </w:r>
    </w:p>
  </w:footnote>
  <w:footnote w:id="2045">
    <w:p w14:paraId="7BCF67C6" w14:textId="77777777" w:rsidR="004C5A3C" w:rsidRDefault="004C5A3C" w:rsidP="002C39F4">
      <w:pPr>
        <w:pStyle w:val="a5"/>
        <w:rPr>
          <w:rtl/>
        </w:rPr>
      </w:pPr>
      <w:r>
        <w:rPr>
          <w:rStyle w:val="a7"/>
        </w:rPr>
        <w:footnoteRef/>
      </w:r>
      <w:r>
        <w:rPr>
          <w:rtl/>
        </w:rPr>
        <w:t xml:space="preserve"> </w:t>
      </w:r>
      <w:r>
        <w:rPr>
          <w:rFonts w:hint="cs"/>
          <w:rtl/>
        </w:rPr>
        <w:t xml:space="preserve">רמב"ם </w:t>
      </w:r>
      <w:r>
        <w:rPr>
          <w:rFonts w:hint="cs"/>
          <w:sz w:val="16"/>
          <w:szCs w:val="16"/>
          <w:rtl/>
        </w:rPr>
        <w:t>(הל' נדרים פ"ה הי"ב,</w:t>
      </w:r>
      <w:r w:rsidRPr="0016006D">
        <w:rPr>
          <w:sz w:val="16"/>
          <w:szCs w:val="16"/>
          <w:rtl/>
        </w:rPr>
        <w:t xml:space="preserve"> </w:t>
      </w:r>
      <w:r>
        <w:rPr>
          <w:rFonts w:hint="cs"/>
          <w:sz w:val="16"/>
          <w:szCs w:val="16"/>
          <w:rtl/>
        </w:rPr>
        <w:t xml:space="preserve">גם </w:t>
      </w:r>
      <w:r w:rsidRPr="0016006D">
        <w:rPr>
          <w:rFonts w:hint="cs"/>
          <w:sz w:val="16"/>
          <w:szCs w:val="16"/>
          <w:rtl/>
        </w:rPr>
        <w:t xml:space="preserve">הב"י </w:t>
      </w:r>
      <w:r w:rsidRPr="0016006D">
        <w:rPr>
          <w:sz w:val="16"/>
          <w:szCs w:val="16"/>
          <w:rtl/>
        </w:rPr>
        <w:t>הביאו לקמן סי' ר</w:t>
      </w:r>
      <w:r w:rsidRPr="0016006D">
        <w:rPr>
          <w:rFonts w:hint="cs"/>
          <w:sz w:val="16"/>
          <w:szCs w:val="16"/>
          <w:rtl/>
        </w:rPr>
        <w:t>טז</w:t>
      </w:r>
      <w:r>
        <w:rPr>
          <w:rFonts w:hint="cs"/>
          <w:sz w:val="16"/>
          <w:szCs w:val="16"/>
          <w:rtl/>
        </w:rPr>
        <w:t xml:space="preserve">) </w:t>
      </w:r>
      <w:r>
        <w:rPr>
          <w:rtl/>
        </w:rPr>
        <w:t xml:space="preserve">ר"ן </w:t>
      </w:r>
      <w:r w:rsidRPr="0016006D">
        <w:rPr>
          <w:rFonts w:hint="cs"/>
          <w:sz w:val="16"/>
          <w:szCs w:val="16"/>
          <w:rtl/>
        </w:rPr>
        <w:t>(</w:t>
      </w:r>
      <w:r w:rsidRPr="0016006D">
        <w:rPr>
          <w:sz w:val="16"/>
          <w:szCs w:val="16"/>
          <w:rtl/>
        </w:rPr>
        <w:t>פ"ק דנדרים</w:t>
      </w:r>
      <w:r w:rsidRPr="0016006D">
        <w:rPr>
          <w:rFonts w:hint="cs"/>
          <w:sz w:val="16"/>
          <w:szCs w:val="16"/>
          <w:rtl/>
        </w:rPr>
        <w:t>,</w:t>
      </w:r>
      <w:r w:rsidRPr="0016006D">
        <w:rPr>
          <w:sz w:val="16"/>
          <w:szCs w:val="16"/>
          <w:rtl/>
        </w:rPr>
        <w:t xml:space="preserve"> </w:t>
      </w:r>
      <w:r w:rsidRPr="0016006D">
        <w:rPr>
          <w:rFonts w:hint="cs"/>
          <w:sz w:val="16"/>
          <w:szCs w:val="16"/>
          <w:rtl/>
        </w:rPr>
        <w:t>ו</w:t>
      </w:r>
      <w:r w:rsidRPr="0016006D">
        <w:rPr>
          <w:sz w:val="16"/>
          <w:szCs w:val="16"/>
          <w:rtl/>
        </w:rPr>
        <w:t>בפרק הנודר מן המבושל (נב</w:t>
      </w:r>
      <w:r w:rsidRPr="0016006D">
        <w:rPr>
          <w:rFonts w:hint="cs"/>
          <w:sz w:val="16"/>
          <w:szCs w:val="16"/>
          <w:rtl/>
        </w:rPr>
        <w:t>.</w:t>
      </w:r>
      <w:r w:rsidRPr="0016006D">
        <w:rPr>
          <w:sz w:val="16"/>
          <w:szCs w:val="16"/>
          <w:rtl/>
        </w:rPr>
        <w:t>)</w:t>
      </w:r>
      <w:r w:rsidRPr="0016006D">
        <w:rPr>
          <w:rFonts w:hint="cs"/>
          <w:sz w:val="16"/>
          <w:szCs w:val="16"/>
          <w:rtl/>
        </w:rPr>
        <w:t>)</w:t>
      </w:r>
      <w:r>
        <w:rPr>
          <w:rFonts w:hint="cs"/>
          <w:rtl/>
        </w:rPr>
        <w:t xml:space="preserve"> ואו</w:t>
      </w:r>
      <w:r>
        <w:rPr>
          <w:rtl/>
        </w:rPr>
        <w:t>"</w:t>
      </w:r>
      <w:r>
        <w:rPr>
          <w:rFonts w:hint="cs"/>
          <w:rtl/>
        </w:rPr>
        <w:t>ה</w:t>
      </w:r>
      <w:r>
        <w:rPr>
          <w:rtl/>
        </w:rPr>
        <w:t xml:space="preserve"> </w:t>
      </w:r>
      <w:r w:rsidRPr="0016006D">
        <w:rPr>
          <w:rFonts w:hint="cs"/>
          <w:sz w:val="16"/>
          <w:szCs w:val="16"/>
          <w:rtl/>
        </w:rPr>
        <w:t>(</w:t>
      </w:r>
      <w:r w:rsidRPr="0016006D">
        <w:rPr>
          <w:sz w:val="16"/>
          <w:szCs w:val="16"/>
          <w:rtl/>
        </w:rPr>
        <w:t>כלל כה דין ד)</w:t>
      </w:r>
      <w:r>
        <w:rPr>
          <w:rFonts w:hint="cs"/>
          <w:rtl/>
        </w:rPr>
        <w:t>.</w:t>
      </w:r>
    </w:p>
  </w:footnote>
  <w:footnote w:id="2046">
    <w:p w14:paraId="5ECD05BF" w14:textId="77777777" w:rsidR="004C5A3C" w:rsidRDefault="004C5A3C" w:rsidP="002C39F4">
      <w:pPr>
        <w:pStyle w:val="a5"/>
        <w:rPr>
          <w:rtl/>
        </w:rPr>
      </w:pPr>
      <w:r>
        <w:rPr>
          <w:rStyle w:val="a7"/>
        </w:rPr>
        <w:footnoteRef/>
      </w:r>
      <w:r>
        <w:rPr>
          <w:rtl/>
        </w:rPr>
        <w:t xml:space="preserve"> </w:t>
      </w:r>
      <w:r w:rsidRPr="00182097">
        <w:rPr>
          <w:rFonts w:cs="Arial"/>
          <w:rtl/>
        </w:rPr>
        <w:t>ואני אומר שהשומע טעה</w:t>
      </w:r>
      <w:r>
        <w:rPr>
          <w:rFonts w:cs="Arial" w:hint="cs"/>
          <w:rtl/>
        </w:rPr>
        <w:t>,</w:t>
      </w:r>
      <w:r w:rsidRPr="00182097">
        <w:rPr>
          <w:rFonts w:cs="Arial"/>
          <w:rtl/>
        </w:rPr>
        <w:t xml:space="preserve"> שמה שהביא ראיה מירושלמי אדרבה משם ראיה לאסור השכר דשלא במינו בנותן טעם</w:t>
      </w:r>
      <w:r>
        <w:rPr>
          <w:rFonts w:cs="Arial" w:hint="cs"/>
          <w:rtl/>
        </w:rPr>
        <w:t>,</w:t>
      </w:r>
      <w:r w:rsidRPr="00182097">
        <w:rPr>
          <w:rFonts w:cs="Arial"/>
          <w:rtl/>
        </w:rPr>
        <w:t xml:space="preserve"> והדבר ידוע שהשעורים נותנים טעם במים ועדיפי טפי ממלח ושאור בעיסה</w:t>
      </w:r>
      <w:r>
        <w:rPr>
          <w:rFonts w:cs="Arial" w:hint="cs"/>
          <w:rtl/>
        </w:rPr>
        <w:t>,</w:t>
      </w:r>
      <w:r w:rsidRPr="00182097">
        <w:rPr>
          <w:rFonts w:cs="Arial"/>
          <w:rtl/>
        </w:rPr>
        <w:t xml:space="preserve"> ומ"ש בשם רבינו דדבר שיש לו מתירין אפילו ספק ספיקא אסור</w:t>
      </w:r>
      <w:r>
        <w:rPr>
          <w:rFonts w:cs="Arial" w:hint="cs"/>
          <w:rtl/>
        </w:rPr>
        <w:t>,</w:t>
      </w:r>
      <w:r w:rsidRPr="00182097">
        <w:rPr>
          <w:rFonts w:cs="Arial"/>
          <w:rtl/>
        </w:rPr>
        <w:t xml:space="preserve"> היינו דוקא ע</w:t>
      </w:r>
      <w:r>
        <w:rPr>
          <w:rFonts w:cs="Arial" w:hint="cs"/>
          <w:rtl/>
        </w:rPr>
        <w:t>"</w:t>
      </w:r>
      <w:r w:rsidRPr="00182097">
        <w:rPr>
          <w:rFonts w:cs="Arial"/>
          <w:rtl/>
        </w:rPr>
        <w:t>י תערובת כי ההיא דפ</w:t>
      </w:r>
      <w:r>
        <w:rPr>
          <w:rFonts w:cs="Arial" w:hint="cs"/>
          <w:rtl/>
        </w:rPr>
        <w:t>"ק</w:t>
      </w:r>
      <w:r w:rsidRPr="00182097">
        <w:rPr>
          <w:rFonts w:cs="Arial"/>
          <w:rtl/>
        </w:rPr>
        <w:t xml:space="preserve"> דביצה</w:t>
      </w:r>
      <w:r w:rsidRPr="006B2B8E">
        <w:rPr>
          <w:rFonts w:cs="Arial"/>
          <w:sz w:val="16"/>
          <w:szCs w:val="16"/>
          <w:rtl/>
        </w:rPr>
        <w:t xml:space="preserve"> </w:t>
      </w:r>
      <w:r>
        <w:rPr>
          <w:rFonts w:cs="Arial" w:hint="cs"/>
          <w:sz w:val="16"/>
          <w:szCs w:val="16"/>
          <w:rtl/>
        </w:rPr>
        <w:t>(</w:t>
      </w:r>
      <w:r w:rsidRPr="006B2B8E">
        <w:rPr>
          <w:rFonts w:cs="Arial"/>
          <w:sz w:val="16"/>
          <w:szCs w:val="16"/>
          <w:rtl/>
        </w:rPr>
        <w:t xml:space="preserve">ג:) </w:t>
      </w:r>
      <w:r w:rsidRPr="00182097">
        <w:rPr>
          <w:rFonts w:cs="Arial"/>
          <w:rtl/>
        </w:rPr>
        <w:t>ביצה שנולדה בשבת וספיקה אסורה נתערבה באלף כולן אסורות</w:t>
      </w:r>
      <w:r>
        <w:rPr>
          <w:rFonts w:cs="Arial" w:hint="cs"/>
          <w:rtl/>
        </w:rPr>
        <w:t>,</w:t>
      </w:r>
      <w:r w:rsidRPr="00182097">
        <w:rPr>
          <w:rFonts w:cs="Arial"/>
          <w:rtl/>
        </w:rPr>
        <w:t xml:space="preserve"> משום דמאי נפ</w:t>
      </w:r>
      <w:r>
        <w:rPr>
          <w:rFonts w:cs="Arial" w:hint="cs"/>
          <w:rtl/>
        </w:rPr>
        <w:t>"</w:t>
      </w:r>
      <w:r w:rsidRPr="00182097">
        <w:rPr>
          <w:rFonts w:cs="Arial"/>
          <w:rtl/>
        </w:rPr>
        <w:t>מ להתירה בביטול בלאו הכי יש לו היתר</w:t>
      </w:r>
      <w:r>
        <w:rPr>
          <w:rFonts w:cs="Arial" w:hint="cs"/>
          <w:rtl/>
        </w:rPr>
        <w:t>,</w:t>
      </w:r>
      <w:r w:rsidRPr="00182097">
        <w:rPr>
          <w:rFonts w:cs="Arial"/>
          <w:rtl/>
        </w:rPr>
        <w:t xml:space="preserve"> אבל ספק ספיקא כי האי שעל התבואה אני אומר שהוא ישן ואם תמצי לומר הוא חדש שמא השריש קודם העומר ואין כאן איסור חדש</w:t>
      </w:r>
      <w:r>
        <w:rPr>
          <w:rFonts w:cs="Arial" w:hint="cs"/>
          <w:rtl/>
        </w:rPr>
        <w:t>,</w:t>
      </w:r>
      <w:r w:rsidRPr="00182097">
        <w:rPr>
          <w:rFonts w:cs="Arial"/>
          <w:rtl/>
        </w:rPr>
        <w:t xml:space="preserve"> כהאי גוונא לא אסרינן ס</w:t>
      </w:r>
      <w:r>
        <w:rPr>
          <w:rFonts w:cs="Arial" w:hint="cs"/>
          <w:rtl/>
        </w:rPr>
        <w:t xml:space="preserve">פק </w:t>
      </w:r>
      <w:r w:rsidRPr="00182097">
        <w:rPr>
          <w:rFonts w:cs="Arial"/>
          <w:rtl/>
        </w:rPr>
        <w:t>ס</w:t>
      </w:r>
      <w:r>
        <w:rPr>
          <w:rFonts w:cs="Arial" w:hint="cs"/>
          <w:rtl/>
        </w:rPr>
        <w:t>פיקא,</w:t>
      </w:r>
      <w:r w:rsidRPr="00182097">
        <w:rPr>
          <w:rFonts w:cs="Arial"/>
          <w:rtl/>
        </w:rPr>
        <w:t xml:space="preserve"> והביא ראיות לדבר</w:t>
      </w:r>
      <w:r>
        <w:rPr>
          <w:rFonts w:hint="cs"/>
          <w:rtl/>
        </w:rPr>
        <w:t>, ב"י</w:t>
      </w:r>
      <w:r w:rsidRPr="006B2B8E">
        <w:rPr>
          <w:rFonts w:hint="cs"/>
          <w:sz w:val="16"/>
          <w:szCs w:val="16"/>
          <w:rtl/>
        </w:rPr>
        <w:t xml:space="preserve"> (בדה"ב)</w:t>
      </w:r>
      <w:r>
        <w:rPr>
          <w:rFonts w:hint="cs"/>
          <w:rtl/>
        </w:rPr>
        <w:t>.</w:t>
      </w:r>
    </w:p>
  </w:footnote>
  <w:footnote w:id="2047">
    <w:p w14:paraId="7A626319" w14:textId="77777777" w:rsidR="004C5A3C" w:rsidRPr="00026DB3" w:rsidRDefault="004C5A3C" w:rsidP="002C39F4">
      <w:pPr>
        <w:pStyle w:val="a5"/>
      </w:pPr>
      <w:r>
        <w:rPr>
          <w:rStyle w:val="a7"/>
        </w:rPr>
        <w:footnoteRef/>
      </w:r>
      <w:r>
        <w:rPr>
          <w:rtl/>
        </w:rPr>
        <w:t xml:space="preserve"> </w:t>
      </w:r>
      <w:r w:rsidRPr="003A24CA">
        <w:rPr>
          <w:rFonts w:cs="Arial"/>
          <w:rtl/>
        </w:rPr>
        <w:t>פירוש שאם האיסור ניטל משם רק שפלט שם טעם אותו טעם אינו חמיר לאסור בשביל דבר שיש לו מתירין</w:t>
      </w:r>
      <w:r>
        <w:rPr>
          <w:rFonts w:cs="Arial" w:hint="cs"/>
          <w:rtl/>
        </w:rPr>
        <w:t>,</w:t>
      </w:r>
      <w:r w:rsidRPr="003A24CA">
        <w:rPr>
          <w:rFonts w:cs="Arial"/>
          <w:rtl/>
        </w:rPr>
        <w:t xml:space="preserve"> ול</w:t>
      </w:r>
      <w:r>
        <w:rPr>
          <w:rFonts w:cs="Arial" w:hint="cs"/>
          <w:rtl/>
        </w:rPr>
        <w:t xml:space="preserve">א </w:t>
      </w:r>
      <w:r w:rsidRPr="003A24CA">
        <w:rPr>
          <w:rFonts w:cs="Arial"/>
          <w:rtl/>
        </w:rPr>
        <w:t>ד</w:t>
      </w:r>
      <w:r>
        <w:rPr>
          <w:rFonts w:cs="Arial" w:hint="cs"/>
          <w:rtl/>
        </w:rPr>
        <w:t>מי</w:t>
      </w:r>
      <w:r w:rsidRPr="003A24CA">
        <w:rPr>
          <w:rFonts w:cs="Arial"/>
          <w:rtl/>
        </w:rPr>
        <w:t xml:space="preserve"> למ"ש בסע</w:t>
      </w:r>
      <w:r>
        <w:rPr>
          <w:rFonts w:cs="Arial" w:hint="cs"/>
          <w:rtl/>
        </w:rPr>
        <w:t>'</w:t>
      </w:r>
      <w:r w:rsidRPr="003A24CA">
        <w:rPr>
          <w:rFonts w:cs="Arial"/>
          <w:rtl/>
        </w:rPr>
        <w:t xml:space="preserve"> א בנותן ביצה בקדירה לתקן הקדירה כו' דהתם עשוי הביצה לתת לקדירה לבשם התבשיל</w:t>
      </w:r>
      <w:r>
        <w:rPr>
          <w:rFonts w:cs="Arial" w:hint="cs"/>
          <w:rtl/>
        </w:rPr>
        <w:t>,</w:t>
      </w:r>
      <w:r w:rsidRPr="003A24CA">
        <w:rPr>
          <w:rFonts w:cs="Arial"/>
          <w:rtl/>
        </w:rPr>
        <w:t xml:space="preserve"> כ"כ ב"י בא</w:t>
      </w:r>
      <w:r>
        <w:rPr>
          <w:rFonts w:cs="Arial" w:hint="cs"/>
          <w:rtl/>
        </w:rPr>
        <w:t>ו</w:t>
      </w:r>
      <w:r w:rsidRPr="003A24CA">
        <w:rPr>
          <w:rFonts w:cs="Arial"/>
          <w:rtl/>
        </w:rPr>
        <w:t>"ח סי' תקיג</w:t>
      </w:r>
      <w:r>
        <w:rPr>
          <w:rFonts w:cs="Arial" w:hint="cs"/>
          <w:rtl/>
        </w:rPr>
        <w:t>, ט"ז (סק"ט).</w:t>
      </w:r>
      <w:r>
        <w:rPr>
          <w:rFonts w:hint="cs"/>
          <w:rtl/>
        </w:rPr>
        <w:t xml:space="preserve"> מיהו הש"ך (סק"ט) חולק על זה וכ' דלענין דינא נראה דאפילו הוציאו שלם טעמו לא בטיל, וכ' שכ"פ הב"ח, באה"ט</w:t>
      </w:r>
      <w:r>
        <w:rPr>
          <w:rFonts w:hint="cs"/>
          <w:sz w:val="14"/>
          <w:szCs w:val="14"/>
          <w:rtl/>
        </w:rPr>
        <w:t xml:space="preserve"> (סק"ז)</w:t>
      </w:r>
      <w:r>
        <w:rPr>
          <w:rFonts w:hint="cs"/>
          <w:rtl/>
        </w:rPr>
        <w:t>.</w:t>
      </w:r>
    </w:p>
  </w:footnote>
  <w:footnote w:id="2048">
    <w:p w14:paraId="2B80B9CF" w14:textId="77777777" w:rsidR="004C5A3C" w:rsidRDefault="004C5A3C" w:rsidP="002C39F4">
      <w:pPr>
        <w:pStyle w:val="a5"/>
      </w:pPr>
      <w:r>
        <w:rPr>
          <w:rStyle w:val="a7"/>
        </w:rPr>
        <w:footnoteRef/>
      </w:r>
      <w:r>
        <w:rPr>
          <w:rtl/>
        </w:rPr>
        <w:t xml:space="preserve"> </w:t>
      </w:r>
      <w:r w:rsidRPr="00AD393A">
        <w:rPr>
          <w:rFonts w:cs="Arial"/>
          <w:rtl/>
        </w:rPr>
        <w:t>כלומר</w:t>
      </w:r>
      <w:r>
        <w:rPr>
          <w:rFonts w:cs="Arial" w:hint="cs"/>
          <w:rtl/>
        </w:rPr>
        <w:t>,</w:t>
      </w:r>
      <w:r w:rsidRPr="00AD393A">
        <w:rPr>
          <w:rFonts w:cs="Arial"/>
          <w:rtl/>
        </w:rPr>
        <w:t xml:space="preserve"> והעיקר אינו כן</w:t>
      </w:r>
      <w:r>
        <w:rPr>
          <w:rFonts w:cs="Arial" w:hint="cs"/>
          <w:rtl/>
        </w:rPr>
        <w:t>,</w:t>
      </w:r>
      <w:r w:rsidRPr="00AD393A">
        <w:rPr>
          <w:rFonts w:cs="Arial"/>
          <w:rtl/>
        </w:rPr>
        <w:t xml:space="preserve"> דלא מקרי דשיל"מ הואיל ולצלי לא נאסר מעולם</w:t>
      </w:r>
      <w:r>
        <w:rPr>
          <w:rFonts w:cs="Arial" w:hint="cs"/>
          <w:rtl/>
        </w:rPr>
        <w:t>,</w:t>
      </w:r>
      <w:r w:rsidRPr="00AD393A">
        <w:rPr>
          <w:rFonts w:cs="Arial"/>
          <w:rtl/>
        </w:rPr>
        <w:t xml:space="preserve"> וכמ"ש בסי' ס"ט סקנ"ו</w:t>
      </w:r>
      <w:r>
        <w:rPr>
          <w:rFonts w:cs="Arial" w:hint="cs"/>
          <w:rtl/>
        </w:rPr>
        <w:t>, ש"ך (סקי"א).</w:t>
      </w:r>
    </w:p>
  </w:footnote>
  <w:footnote w:id="2049">
    <w:p w14:paraId="0464FA44" w14:textId="77777777" w:rsidR="004C5A3C" w:rsidRDefault="004C5A3C" w:rsidP="002C39F4">
      <w:pPr>
        <w:pStyle w:val="a5"/>
      </w:pPr>
      <w:r>
        <w:rPr>
          <w:rStyle w:val="a7"/>
        </w:rPr>
        <w:footnoteRef/>
      </w:r>
      <w:r>
        <w:rPr>
          <w:rtl/>
        </w:rPr>
        <w:t xml:space="preserve"> </w:t>
      </w:r>
      <w:r w:rsidRPr="00EF2667">
        <w:rPr>
          <w:rFonts w:cs="Arial"/>
          <w:rtl/>
        </w:rPr>
        <w:t>הכל תפסו על הרב בזה כ</w:t>
      </w:r>
      <w:r>
        <w:rPr>
          <w:rFonts w:cs="Arial"/>
          <w:rtl/>
        </w:rPr>
        <w:tab/>
      </w:r>
      <w:r w:rsidRPr="00EF2667">
        <w:rPr>
          <w:rFonts w:cs="Arial"/>
          <w:rtl/>
        </w:rPr>
        <w:t>יון דדשיל"מ הוא מה לי בלוע הוא או לא ס</w:t>
      </w:r>
      <w:r>
        <w:rPr>
          <w:rFonts w:cs="Arial" w:hint="cs"/>
          <w:rtl/>
        </w:rPr>
        <w:t xml:space="preserve">וף </w:t>
      </w:r>
      <w:r w:rsidRPr="00EF2667">
        <w:rPr>
          <w:rFonts w:cs="Arial"/>
          <w:rtl/>
        </w:rPr>
        <w:t>ס</w:t>
      </w:r>
      <w:r>
        <w:rPr>
          <w:rFonts w:cs="Arial" w:hint="cs"/>
          <w:rtl/>
        </w:rPr>
        <w:t>וף</w:t>
      </w:r>
      <w:r w:rsidRPr="00EF2667">
        <w:rPr>
          <w:rFonts w:cs="Arial"/>
          <w:rtl/>
        </w:rPr>
        <w:t xml:space="preserve"> יש היתר לאיסורו</w:t>
      </w:r>
      <w:r>
        <w:rPr>
          <w:rFonts w:cs="Arial" w:hint="cs"/>
          <w:rtl/>
        </w:rPr>
        <w:t>,</w:t>
      </w:r>
      <w:r w:rsidRPr="00EF2667">
        <w:rPr>
          <w:rFonts w:cs="Arial"/>
          <w:rtl/>
        </w:rPr>
        <w:t xml:space="preserve"> ומה שהוציא כן מת</w:t>
      </w:r>
      <w:r>
        <w:rPr>
          <w:rFonts w:cs="Arial" w:hint="cs"/>
          <w:rtl/>
        </w:rPr>
        <w:t>רו</w:t>
      </w:r>
      <w:r w:rsidRPr="00EF2667">
        <w:rPr>
          <w:rFonts w:cs="Arial"/>
          <w:rtl/>
        </w:rPr>
        <w:t>ה</w:t>
      </w:r>
      <w:r>
        <w:rPr>
          <w:rFonts w:cs="Arial" w:hint="cs"/>
          <w:rtl/>
        </w:rPr>
        <w:t>"ד</w:t>
      </w:r>
      <w:r w:rsidRPr="00EF2667">
        <w:rPr>
          <w:rFonts w:cs="Arial"/>
          <w:rtl/>
        </w:rPr>
        <w:t xml:space="preserve"> סי' קע אדרבא משמע שם להדיא איפכא</w:t>
      </w:r>
      <w:r>
        <w:rPr>
          <w:rFonts w:cs="Arial" w:hint="cs"/>
          <w:rtl/>
        </w:rPr>
        <w:t>,</w:t>
      </w:r>
      <w:r w:rsidRPr="00EF2667">
        <w:rPr>
          <w:rFonts w:cs="Arial"/>
          <w:rtl/>
        </w:rPr>
        <w:t xml:space="preserve"> וכמ"ש מהרש"ל </w:t>
      </w:r>
      <w:r w:rsidRPr="00EF2667">
        <w:rPr>
          <w:rFonts w:cs="Arial" w:hint="cs"/>
          <w:sz w:val="16"/>
          <w:szCs w:val="16"/>
          <w:rtl/>
        </w:rPr>
        <w:t>(</w:t>
      </w:r>
      <w:r w:rsidRPr="00EF2667">
        <w:rPr>
          <w:rFonts w:cs="Arial"/>
          <w:sz w:val="16"/>
          <w:szCs w:val="16"/>
          <w:rtl/>
        </w:rPr>
        <w:t>באו"ש ובספרו פכ"ה סי' פ"ו</w:t>
      </w:r>
      <w:r>
        <w:rPr>
          <w:rFonts w:cs="Arial" w:hint="cs"/>
          <w:sz w:val="16"/>
          <w:szCs w:val="16"/>
          <w:rtl/>
        </w:rPr>
        <w:t>)</w:t>
      </w:r>
      <w:r w:rsidRPr="00EF2667">
        <w:rPr>
          <w:rFonts w:cs="Arial"/>
          <w:rtl/>
        </w:rPr>
        <w:t xml:space="preserve"> דלא כ"כ שם אלא אחה"ל דאם אין איסור מחמת עצמו אלא מחמת שנבלע בה אע</w:t>
      </w:r>
      <w:r>
        <w:rPr>
          <w:rFonts w:cs="Arial" w:hint="cs"/>
          <w:rtl/>
        </w:rPr>
        <w:t>"</w:t>
      </w:r>
      <w:r w:rsidRPr="00EF2667">
        <w:rPr>
          <w:rFonts w:cs="Arial"/>
          <w:rtl/>
        </w:rPr>
        <w:t>ג דהיא ראויה להתכבד בטל וכדכתבו הפוסקים בר"ס ק"א אבל בדשיל"מ משמע שם בת</w:t>
      </w:r>
      <w:r>
        <w:rPr>
          <w:rFonts w:cs="Arial" w:hint="cs"/>
          <w:rtl/>
        </w:rPr>
        <w:t>רו</w:t>
      </w:r>
      <w:r w:rsidRPr="00EF2667">
        <w:rPr>
          <w:rFonts w:cs="Arial"/>
          <w:rtl/>
        </w:rPr>
        <w:t>ה</w:t>
      </w:r>
      <w:r>
        <w:rPr>
          <w:rFonts w:cs="Arial" w:hint="cs"/>
          <w:rtl/>
        </w:rPr>
        <w:t>"ד</w:t>
      </w:r>
      <w:r w:rsidRPr="00EF2667">
        <w:rPr>
          <w:rFonts w:cs="Arial"/>
          <w:rtl/>
        </w:rPr>
        <w:t xml:space="preserve"> להדיא דלא בטיל אפילו אם אין איסור מחמת עצמו דהא חשיב התם חתיכה ששהתה שלשה ימים בלא מליחה דשיל"מ אי לאו משום דלצלי לא נאסר מעולם</w:t>
      </w:r>
      <w:r>
        <w:rPr>
          <w:rFonts w:cs="Arial" w:hint="cs"/>
          <w:rtl/>
        </w:rPr>
        <w:t>,</w:t>
      </w:r>
      <w:r w:rsidRPr="00EF2667">
        <w:rPr>
          <w:rFonts w:cs="Arial"/>
          <w:rtl/>
        </w:rPr>
        <w:t xml:space="preserve"> וכן בהגש</w:t>
      </w:r>
      <w:r>
        <w:rPr>
          <w:rFonts w:cs="Arial" w:hint="cs"/>
          <w:rtl/>
        </w:rPr>
        <w:t>ע</w:t>
      </w:r>
      <w:r w:rsidRPr="00EF2667">
        <w:rPr>
          <w:rFonts w:cs="Arial"/>
          <w:rtl/>
        </w:rPr>
        <w:t>"ד בשם מהרא"י וכ"פ בס' באר שבע</w:t>
      </w:r>
      <w:r>
        <w:rPr>
          <w:rFonts w:cs="Arial" w:hint="cs"/>
          <w:rtl/>
        </w:rPr>
        <w:t>,</w:t>
      </w:r>
      <w:r w:rsidRPr="00EF2667">
        <w:rPr>
          <w:rFonts w:cs="Arial"/>
          <w:rtl/>
        </w:rPr>
        <w:t xml:space="preserve"> ואדרבה מדכתבו הפוסקים גבי חה"ל שנבלע מאיסור דבטל משום דמ"מ האיסור שנבלע בה אינו ראוי להתכבד משמע דבדשיל"מ דס"ס האיסור יש לו מתירים לא בטיל</w:t>
      </w:r>
      <w:r>
        <w:rPr>
          <w:rFonts w:cs="Arial" w:hint="cs"/>
          <w:rtl/>
        </w:rPr>
        <w:t>, ש"ך</w:t>
      </w:r>
      <w:r w:rsidRPr="00EF2667">
        <w:rPr>
          <w:rFonts w:cs="Arial" w:hint="cs"/>
          <w:sz w:val="16"/>
          <w:szCs w:val="16"/>
          <w:rtl/>
        </w:rPr>
        <w:t xml:space="preserve"> (סק"י)</w:t>
      </w:r>
      <w:r>
        <w:rPr>
          <w:rFonts w:cs="Arial" w:hint="cs"/>
          <w:rtl/>
        </w:rPr>
        <w:t>.</w:t>
      </w:r>
    </w:p>
  </w:footnote>
  <w:footnote w:id="2050">
    <w:p w14:paraId="30E1C1CB" w14:textId="77777777" w:rsidR="004C5A3C" w:rsidRDefault="004C5A3C" w:rsidP="002C39F4">
      <w:pPr>
        <w:pStyle w:val="a5"/>
        <w:rPr>
          <w:rtl/>
        </w:rPr>
      </w:pPr>
      <w:r>
        <w:rPr>
          <w:rStyle w:val="a7"/>
        </w:rPr>
        <w:footnoteRef/>
      </w:r>
      <w:r>
        <w:rPr>
          <w:rtl/>
        </w:rPr>
        <w:t xml:space="preserve"> </w:t>
      </w:r>
      <w:r w:rsidRPr="00A37785">
        <w:rPr>
          <w:rFonts w:cs="Arial"/>
          <w:rtl/>
        </w:rPr>
        <w:t>כגון גגית מלאה ענבים בעוטים והיה בו הרבה יין צלול קודם השבת מותר ליקח בשבת מן היין ואע</w:t>
      </w:r>
      <w:r>
        <w:rPr>
          <w:rFonts w:cs="Arial" w:hint="cs"/>
          <w:rtl/>
        </w:rPr>
        <w:t>"</w:t>
      </w:r>
      <w:r w:rsidRPr="00A37785">
        <w:rPr>
          <w:rFonts w:cs="Arial"/>
          <w:rtl/>
        </w:rPr>
        <w:t>פ שיוצא גם עתה מן הענבים כל שעה לפי שמתבטל במה שיצא כבר ואין בו משום דשיל"מ מאחר שלא היה עליו שם יין בפני עצמו מעולם</w:t>
      </w:r>
      <w:r>
        <w:rPr>
          <w:rFonts w:cs="Arial" w:hint="cs"/>
          <w:rtl/>
        </w:rPr>
        <w:t>,</w:t>
      </w:r>
      <w:r w:rsidRPr="00A37785">
        <w:rPr>
          <w:rFonts w:cs="Arial"/>
          <w:rtl/>
        </w:rPr>
        <w:t xml:space="preserve"> וכן חבית מלאה ענבים שלימים וממלאים החבית במים לעשות תמד והענבים מתבקעים לאחר זמן ויצא כל היין מותר לימשך הימנו בשבת לשתותו לפי שמעט יין שיוצא בשבת מתערב ומתבטל עם היין שהיה בו כבר ולא היה ניכר פעם א' בפני עצמו מעולם וכן כל כיוצא בו</w:t>
      </w:r>
      <w:r>
        <w:rPr>
          <w:rFonts w:cs="Arial" w:hint="cs"/>
          <w:rtl/>
        </w:rPr>
        <w:t>,</w:t>
      </w:r>
      <w:r w:rsidRPr="00A37785">
        <w:rPr>
          <w:rFonts w:cs="Arial"/>
          <w:rtl/>
        </w:rPr>
        <w:t xml:space="preserve"> שם</w:t>
      </w:r>
      <w:r>
        <w:rPr>
          <w:rFonts w:cs="Arial" w:hint="cs"/>
          <w:rtl/>
        </w:rPr>
        <w:t xml:space="preserve"> (או"ה)</w:t>
      </w:r>
      <w:r>
        <w:rPr>
          <w:rFonts w:hint="cs"/>
          <w:rtl/>
        </w:rPr>
        <w:t>, ש"ך (סקי"ב).</w:t>
      </w:r>
    </w:p>
  </w:footnote>
  <w:footnote w:id="2051">
    <w:p w14:paraId="5FD46056" w14:textId="77777777" w:rsidR="004C5A3C" w:rsidRPr="00B2199F" w:rsidRDefault="004C5A3C" w:rsidP="002C39F4">
      <w:pPr>
        <w:pStyle w:val="a5"/>
        <w:rPr>
          <w:color w:val="FF0000"/>
          <w:rtl/>
        </w:rPr>
      </w:pPr>
      <w:r w:rsidRPr="00B2199F">
        <w:rPr>
          <w:rStyle w:val="a7"/>
          <w:color w:val="FF0000"/>
        </w:rPr>
        <w:footnoteRef/>
      </w:r>
      <w:r w:rsidRPr="00B2199F">
        <w:rPr>
          <w:color w:val="FF0000"/>
          <w:rtl/>
        </w:rPr>
        <w:t xml:space="preserve"> </w:t>
      </w:r>
      <w:r w:rsidRPr="00B2199F">
        <w:rPr>
          <w:rFonts w:cs="Arial"/>
          <w:color w:val="FF0000"/>
          <w:rtl/>
        </w:rPr>
        <w:t>ואפ"ה י"א בא"ח סי</w:t>
      </w:r>
      <w:r w:rsidRPr="00B2199F">
        <w:rPr>
          <w:rFonts w:cs="Arial" w:hint="cs"/>
          <w:color w:val="FF0000"/>
          <w:rtl/>
        </w:rPr>
        <w:t>'</w:t>
      </w:r>
      <w:r w:rsidRPr="00B2199F">
        <w:rPr>
          <w:rFonts w:cs="Arial"/>
          <w:color w:val="FF0000"/>
          <w:rtl/>
        </w:rPr>
        <w:t xml:space="preserve"> תמ"ז ס"ט דאם נתערב ביבש בפסח אפילו באלף לא בטיל וטעמם כמ"ש המרדכי והרשב"א שלא אמרו יבש ביבש בטל אלא באיסורים שאוסרים עד ס' כו'</w:t>
      </w:r>
      <w:r w:rsidRPr="00B2199F">
        <w:rPr>
          <w:rFonts w:cs="Arial" w:hint="cs"/>
          <w:color w:val="FF0000"/>
          <w:rtl/>
        </w:rPr>
        <w:t>,</w:t>
      </w:r>
      <w:r w:rsidRPr="00B2199F">
        <w:rPr>
          <w:rFonts w:cs="Arial"/>
          <w:color w:val="FF0000"/>
          <w:rtl/>
        </w:rPr>
        <w:t xml:space="preserve"> והיינו דכתב שם ס"ב חמץ שנתערב מו' שעות ולמעלה</w:t>
      </w:r>
      <w:r w:rsidRPr="00B2199F">
        <w:rPr>
          <w:rFonts w:cs="Arial" w:hint="cs"/>
          <w:color w:val="FF0000"/>
          <w:rtl/>
        </w:rPr>
        <w:t xml:space="preserve"> עד הלילה</w:t>
      </w:r>
      <w:r w:rsidRPr="00B2199F">
        <w:rPr>
          <w:rFonts w:cs="Arial"/>
          <w:color w:val="FF0000"/>
          <w:rtl/>
        </w:rPr>
        <w:t xml:space="preserve"> אינו אוסר במשהו אלא דינו כשאר איסורים</w:t>
      </w:r>
      <w:r w:rsidRPr="00B2199F">
        <w:rPr>
          <w:rFonts w:cs="Arial" w:hint="cs"/>
          <w:color w:val="FF0000"/>
          <w:rtl/>
        </w:rPr>
        <w:t>,</w:t>
      </w:r>
      <w:r w:rsidRPr="00B2199F">
        <w:rPr>
          <w:rFonts w:cs="Arial"/>
          <w:color w:val="FF0000"/>
          <w:rtl/>
        </w:rPr>
        <w:t xml:space="preserve"> ואי הוי דשיל"מ אפי' בע"פ נמי</w:t>
      </w:r>
      <w:r w:rsidRPr="00B2199F">
        <w:rPr>
          <w:rFonts w:cs="Arial" w:hint="cs"/>
          <w:color w:val="FF0000"/>
          <w:rtl/>
        </w:rPr>
        <w:t>,</w:t>
      </w:r>
      <w:r w:rsidRPr="00B2199F">
        <w:rPr>
          <w:rFonts w:cs="Arial"/>
          <w:color w:val="FF0000"/>
          <w:rtl/>
        </w:rPr>
        <w:t xml:space="preserve"> וכמ"ש הה</w:t>
      </w:r>
      <w:r w:rsidRPr="00B2199F">
        <w:rPr>
          <w:rFonts w:cs="Arial" w:hint="cs"/>
          <w:color w:val="FF0000"/>
          <w:rtl/>
        </w:rPr>
        <w:t>"</w:t>
      </w:r>
      <w:r w:rsidRPr="00B2199F">
        <w:rPr>
          <w:rFonts w:cs="Arial"/>
          <w:color w:val="FF0000"/>
          <w:rtl/>
        </w:rPr>
        <w:t>מ רפ"א מהל</w:t>
      </w:r>
      <w:r w:rsidRPr="00B2199F">
        <w:rPr>
          <w:rFonts w:cs="Arial" w:hint="cs"/>
          <w:color w:val="FF0000"/>
          <w:rtl/>
        </w:rPr>
        <w:t>'</w:t>
      </w:r>
      <w:r w:rsidRPr="00B2199F">
        <w:rPr>
          <w:rFonts w:cs="Arial"/>
          <w:color w:val="FF0000"/>
          <w:rtl/>
        </w:rPr>
        <w:t xml:space="preserve"> חמץ בשם י"מ</w:t>
      </w:r>
      <w:r w:rsidRPr="00B2199F">
        <w:rPr>
          <w:rFonts w:cs="Arial" w:hint="cs"/>
          <w:color w:val="FF0000"/>
          <w:rtl/>
        </w:rPr>
        <w:t>,</w:t>
      </w:r>
      <w:r w:rsidRPr="00B2199F">
        <w:rPr>
          <w:rFonts w:cs="Arial"/>
          <w:color w:val="FF0000"/>
          <w:rtl/>
        </w:rPr>
        <w:t xml:space="preserve"> מיהו י"ל בזה דמ"מ בטל שלא במינו כשאר איסורים שיל"מ ומה שאינו בטל בפסח אפי' שלא במינו היינו משום חומר איסורו</w:t>
      </w:r>
      <w:r w:rsidRPr="00B2199F">
        <w:rPr>
          <w:rFonts w:cs="Arial" w:hint="cs"/>
          <w:color w:val="FF0000"/>
          <w:rtl/>
        </w:rPr>
        <w:t>,</w:t>
      </w:r>
      <w:r w:rsidRPr="00B2199F">
        <w:rPr>
          <w:rFonts w:cs="Arial"/>
          <w:color w:val="FF0000"/>
          <w:rtl/>
        </w:rPr>
        <w:t xml:space="preserve"> וכמ"ש הרמב"ם </w:t>
      </w:r>
      <w:r w:rsidRPr="00B2199F">
        <w:rPr>
          <w:rFonts w:cs="Arial" w:hint="cs"/>
          <w:color w:val="FF0000"/>
          <w:sz w:val="16"/>
          <w:szCs w:val="16"/>
          <w:rtl/>
        </w:rPr>
        <w:t>(</w:t>
      </w:r>
      <w:r w:rsidRPr="00B2199F">
        <w:rPr>
          <w:rFonts w:cs="Arial"/>
          <w:color w:val="FF0000"/>
          <w:sz w:val="16"/>
          <w:szCs w:val="16"/>
          <w:rtl/>
        </w:rPr>
        <w:t xml:space="preserve">פט"ו מהמ"א </w:t>
      </w:r>
      <w:r w:rsidRPr="00B2199F">
        <w:rPr>
          <w:rFonts w:cs="Arial" w:hint="cs"/>
          <w:color w:val="FF0000"/>
          <w:sz w:val="16"/>
          <w:szCs w:val="16"/>
          <w:rtl/>
        </w:rPr>
        <w:t>ה</w:t>
      </w:r>
      <w:r w:rsidRPr="00B2199F">
        <w:rPr>
          <w:rFonts w:cs="Arial"/>
          <w:color w:val="FF0000"/>
          <w:sz w:val="16"/>
          <w:szCs w:val="16"/>
          <w:rtl/>
        </w:rPr>
        <w:t>י"ב</w:t>
      </w:r>
      <w:r w:rsidRPr="00B2199F">
        <w:rPr>
          <w:rFonts w:cs="Arial" w:hint="cs"/>
          <w:color w:val="FF0000"/>
          <w:sz w:val="16"/>
          <w:szCs w:val="16"/>
          <w:rtl/>
        </w:rPr>
        <w:t>)</w:t>
      </w:r>
      <w:r w:rsidRPr="00B2199F">
        <w:rPr>
          <w:rFonts w:hint="cs"/>
          <w:color w:val="FF0000"/>
          <w:rtl/>
        </w:rPr>
        <w:t>, ש"ך</w:t>
      </w:r>
      <w:r w:rsidRPr="00B2199F">
        <w:rPr>
          <w:rFonts w:hint="cs"/>
          <w:color w:val="FF0000"/>
          <w:sz w:val="14"/>
          <w:szCs w:val="14"/>
          <w:rtl/>
        </w:rPr>
        <w:t xml:space="preserve"> </w:t>
      </w:r>
      <w:r w:rsidRPr="00B2199F">
        <w:rPr>
          <w:rFonts w:hint="cs"/>
          <w:color w:val="FF0000"/>
          <w:sz w:val="16"/>
          <w:szCs w:val="16"/>
          <w:rtl/>
        </w:rPr>
        <w:t>(סקי"ג)</w:t>
      </w:r>
      <w:r w:rsidRPr="00B2199F">
        <w:rPr>
          <w:rFonts w:hint="cs"/>
          <w:color w:val="FF0000"/>
          <w:rtl/>
        </w:rPr>
        <w:t>.</w:t>
      </w:r>
    </w:p>
  </w:footnote>
  <w:footnote w:id="2052">
    <w:p w14:paraId="7180AA0B" w14:textId="77777777" w:rsidR="004C5A3C" w:rsidRDefault="004C5A3C" w:rsidP="002C39F4">
      <w:pPr>
        <w:pStyle w:val="a5"/>
        <w:rPr>
          <w:rtl/>
        </w:rPr>
      </w:pPr>
      <w:r w:rsidRPr="00B2199F">
        <w:rPr>
          <w:rStyle w:val="a7"/>
          <w:color w:val="FF0000"/>
        </w:rPr>
        <w:footnoteRef/>
      </w:r>
      <w:r w:rsidRPr="00B2199F">
        <w:rPr>
          <w:color w:val="FF0000"/>
          <w:rtl/>
        </w:rPr>
        <w:t xml:space="preserve"> </w:t>
      </w:r>
      <w:r w:rsidRPr="00B2199F">
        <w:rPr>
          <w:rFonts w:cs="Arial"/>
          <w:color w:val="FF0000"/>
          <w:rtl/>
        </w:rPr>
        <w:t>ולפ"ז הא די"א בא</w:t>
      </w:r>
      <w:r w:rsidRPr="00B2199F">
        <w:rPr>
          <w:rFonts w:cs="Arial" w:hint="cs"/>
          <w:color w:val="FF0000"/>
          <w:rtl/>
        </w:rPr>
        <w:t>ו</w:t>
      </w:r>
      <w:r w:rsidRPr="00B2199F">
        <w:rPr>
          <w:rFonts w:cs="Arial"/>
          <w:color w:val="FF0000"/>
          <w:rtl/>
        </w:rPr>
        <w:t>"ח סי' תמ"ז שם דחמץ בפסח יבש ביבש חד בתרי בטיל היינו שלא במינו</w:t>
      </w:r>
      <w:r w:rsidRPr="00B2199F">
        <w:rPr>
          <w:rFonts w:cs="Arial" w:hint="cs"/>
          <w:color w:val="FF0000"/>
          <w:rtl/>
        </w:rPr>
        <w:t>,</w:t>
      </w:r>
      <w:r w:rsidRPr="00B2199F">
        <w:rPr>
          <w:rFonts w:cs="Arial"/>
          <w:color w:val="FF0000"/>
          <w:rtl/>
        </w:rPr>
        <w:t xml:space="preserve"> דאילו במינו ה"ל דשיל"מ</w:t>
      </w:r>
      <w:r w:rsidRPr="00B2199F">
        <w:rPr>
          <w:rFonts w:cs="Arial" w:hint="cs"/>
          <w:color w:val="FF0000"/>
          <w:rtl/>
        </w:rPr>
        <w:t>,</w:t>
      </w:r>
      <w:r w:rsidRPr="00B2199F">
        <w:rPr>
          <w:rFonts w:cs="Arial"/>
          <w:color w:val="FF0000"/>
          <w:rtl/>
        </w:rPr>
        <w:t xml:space="preserve"> ולפ"ז מיירי דיש בהשתי חתיכות של היתר ס' כנגד החתיכה של איסור דאל"כ אפי' בשאר איסורים לא בטיל כיון שאם יבשלם יתן טעם וכדלקמן סי' ק"ט ס"ק ט' מיהו י"ל דהשני סברות שהביא המחבר בא"ח שם נמי בהא פליגי אי חמץ הוי דשיל"מ או לא, ויש חולקים ובת"ח שם ד"ט פסק כסברא הראשונה ומהרש"ל חולק עליו</w:t>
      </w:r>
      <w:r w:rsidRPr="00B2199F">
        <w:rPr>
          <w:rFonts w:hint="cs"/>
          <w:color w:val="FF0000"/>
          <w:rtl/>
        </w:rPr>
        <w:t>, ש"ך</w:t>
      </w:r>
      <w:r w:rsidRPr="00B2199F">
        <w:rPr>
          <w:rFonts w:hint="cs"/>
          <w:color w:val="FF0000"/>
          <w:sz w:val="14"/>
          <w:szCs w:val="14"/>
          <w:rtl/>
        </w:rPr>
        <w:t xml:space="preserve"> </w:t>
      </w:r>
      <w:r w:rsidRPr="00B2199F">
        <w:rPr>
          <w:rFonts w:hint="cs"/>
          <w:color w:val="FF0000"/>
          <w:sz w:val="16"/>
          <w:szCs w:val="16"/>
          <w:rtl/>
        </w:rPr>
        <w:t>(סקי"</w:t>
      </w:r>
      <w:r>
        <w:rPr>
          <w:rFonts w:hint="cs"/>
          <w:color w:val="FF0000"/>
          <w:sz w:val="16"/>
          <w:szCs w:val="16"/>
          <w:rtl/>
        </w:rPr>
        <w:t>ד</w:t>
      </w:r>
      <w:r w:rsidRPr="00B2199F">
        <w:rPr>
          <w:rFonts w:hint="cs"/>
          <w:color w:val="FF0000"/>
          <w:sz w:val="16"/>
          <w:szCs w:val="16"/>
          <w:rtl/>
        </w:rPr>
        <w:t>)</w:t>
      </w:r>
      <w:r w:rsidRPr="00B2199F">
        <w:rPr>
          <w:rFonts w:hint="cs"/>
          <w:color w:val="FF0000"/>
          <w:rtl/>
        </w:rPr>
        <w:t>.</w:t>
      </w:r>
    </w:p>
  </w:footnote>
  <w:footnote w:id="2053">
    <w:p w14:paraId="700849ED" w14:textId="77777777" w:rsidR="004C5A3C" w:rsidRDefault="004C5A3C" w:rsidP="002C39F4">
      <w:pPr>
        <w:pStyle w:val="a5"/>
      </w:pPr>
      <w:r>
        <w:rPr>
          <w:rStyle w:val="a7"/>
        </w:rPr>
        <w:footnoteRef/>
      </w:r>
      <w:r>
        <w:rPr>
          <w:rtl/>
        </w:rPr>
        <w:t xml:space="preserve"> </w:t>
      </w:r>
      <w:r w:rsidRPr="00494D84">
        <w:rPr>
          <w:rFonts w:cs="Arial"/>
          <w:rtl/>
        </w:rPr>
        <w:t>במזיד</w:t>
      </w:r>
      <w:r>
        <w:rPr>
          <w:rFonts w:cs="Arial" w:hint="cs"/>
          <w:rtl/>
        </w:rPr>
        <w:t>,</w:t>
      </w:r>
      <w:r w:rsidRPr="00494D84">
        <w:rPr>
          <w:rFonts w:cs="Arial"/>
          <w:rtl/>
        </w:rPr>
        <w:t xml:space="preserve"> דאסור לו לעולם ולאחרים מותר למוצאי שבת</w:t>
      </w:r>
      <w:r>
        <w:rPr>
          <w:rFonts w:cs="Arial" w:hint="cs"/>
          <w:rtl/>
        </w:rPr>
        <w:t>,</w:t>
      </w:r>
      <w:r w:rsidRPr="00494D84">
        <w:rPr>
          <w:rFonts w:cs="Arial"/>
          <w:rtl/>
        </w:rPr>
        <w:t xml:space="preserve"> וכמו שנתבאר בא</w:t>
      </w:r>
      <w:r>
        <w:rPr>
          <w:rFonts w:cs="Arial" w:hint="cs"/>
          <w:rtl/>
        </w:rPr>
        <w:t>ו</w:t>
      </w:r>
      <w:r w:rsidRPr="00494D84">
        <w:rPr>
          <w:rFonts w:cs="Arial"/>
          <w:rtl/>
        </w:rPr>
        <w:t>"ח ר"ס שיח</w:t>
      </w:r>
      <w:r>
        <w:rPr>
          <w:rFonts w:cs="Arial" w:hint="cs"/>
          <w:rtl/>
        </w:rPr>
        <w:t>, ש"ך (סקט"ו).</w:t>
      </w:r>
    </w:p>
  </w:footnote>
  <w:footnote w:id="2054">
    <w:p w14:paraId="0908F287" w14:textId="77777777" w:rsidR="004C5A3C" w:rsidRDefault="004C5A3C" w:rsidP="002C39F4">
      <w:pPr>
        <w:spacing w:after="0" w:line="240" w:lineRule="auto"/>
        <w:rPr>
          <w:rtl/>
        </w:rPr>
      </w:pPr>
      <w:r w:rsidRPr="00B7414A">
        <w:rPr>
          <w:rStyle w:val="a7"/>
        </w:rPr>
        <w:footnoteRef/>
      </w:r>
      <w:r w:rsidRPr="00B7414A">
        <w:rPr>
          <w:sz w:val="20"/>
          <w:szCs w:val="20"/>
          <w:rtl/>
        </w:rPr>
        <w:t xml:space="preserve"> </w:t>
      </w:r>
      <w:r>
        <w:rPr>
          <w:rFonts w:hint="cs"/>
          <w:sz w:val="20"/>
          <w:szCs w:val="20"/>
          <w:rtl/>
        </w:rPr>
        <w:t>ואע"ג ד</w:t>
      </w:r>
      <w:r w:rsidRPr="00B7414A">
        <w:rPr>
          <w:sz w:val="20"/>
          <w:szCs w:val="20"/>
          <w:rtl/>
        </w:rPr>
        <w:t>אין טע</w:t>
      </w:r>
      <w:r>
        <w:rPr>
          <w:rFonts w:hint="cs"/>
          <w:sz w:val="20"/>
          <w:szCs w:val="20"/>
          <w:rtl/>
        </w:rPr>
        <w:t>ם החומץ</w:t>
      </w:r>
      <w:r w:rsidRPr="00B7414A">
        <w:rPr>
          <w:sz w:val="20"/>
          <w:szCs w:val="20"/>
          <w:rtl/>
        </w:rPr>
        <w:t xml:space="preserve"> </w:t>
      </w:r>
      <w:r>
        <w:rPr>
          <w:rFonts w:hint="cs"/>
          <w:sz w:val="20"/>
          <w:szCs w:val="20"/>
          <w:rtl/>
        </w:rPr>
        <w:t xml:space="preserve">יין </w:t>
      </w:r>
      <w:r w:rsidRPr="00B7414A">
        <w:rPr>
          <w:sz w:val="20"/>
          <w:szCs w:val="20"/>
          <w:rtl/>
        </w:rPr>
        <w:t>פגום מחמת עצמו</w:t>
      </w:r>
      <w:r>
        <w:rPr>
          <w:rFonts w:hint="cs"/>
          <w:sz w:val="20"/>
          <w:szCs w:val="20"/>
          <w:rtl/>
        </w:rPr>
        <w:t xml:space="preserve">, אלא </w:t>
      </w:r>
      <w:r w:rsidRPr="00B7414A">
        <w:rPr>
          <w:sz w:val="20"/>
          <w:szCs w:val="20"/>
          <w:rtl/>
        </w:rPr>
        <w:t>בפני עצמו הוא מוטעם ומשובח</w:t>
      </w:r>
      <w:r>
        <w:rPr>
          <w:rFonts w:hint="cs"/>
          <w:sz w:val="20"/>
          <w:szCs w:val="20"/>
          <w:rtl/>
        </w:rPr>
        <w:t>,</w:t>
      </w:r>
      <w:r w:rsidRPr="00B7414A">
        <w:rPr>
          <w:sz w:val="20"/>
          <w:szCs w:val="20"/>
          <w:rtl/>
        </w:rPr>
        <w:t xml:space="preserve"> אלא שפוגם תערובתו </w:t>
      </w:r>
      <w:r w:rsidRPr="00B7414A">
        <w:rPr>
          <w:rFonts w:hint="cs"/>
          <w:sz w:val="16"/>
          <w:szCs w:val="16"/>
          <w:rtl/>
        </w:rPr>
        <w:t>(</w:t>
      </w:r>
      <w:r w:rsidRPr="00B7414A">
        <w:rPr>
          <w:sz w:val="16"/>
          <w:szCs w:val="16"/>
          <w:rtl/>
        </w:rPr>
        <w:t xml:space="preserve">כגון </w:t>
      </w:r>
      <w:r w:rsidRPr="00B7414A">
        <w:rPr>
          <w:rFonts w:hint="cs"/>
          <w:sz w:val="16"/>
          <w:szCs w:val="16"/>
          <w:rtl/>
        </w:rPr>
        <w:t xml:space="preserve">חומץ </w:t>
      </w:r>
      <w:r w:rsidRPr="00B7414A">
        <w:rPr>
          <w:sz w:val="16"/>
          <w:szCs w:val="16"/>
          <w:rtl/>
        </w:rPr>
        <w:t>יין נסך שנפל לתוך גריסין ש</w:t>
      </w:r>
      <w:r w:rsidRPr="00B7414A">
        <w:rPr>
          <w:rFonts w:hint="cs"/>
          <w:sz w:val="16"/>
          <w:szCs w:val="16"/>
          <w:rtl/>
        </w:rPr>
        <w:t>החומץ</w:t>
      </w:r>
      <w:r w:rsidRPr="00B7414A">
        <w:rPr>
          <w:sz w:val="16"/>
          <w:szCs w:val="16"/>
          <w:rtl/>
        </w:rPr>
        <w:t xml:space="preserve"> בעצמו הוא טוב אלא שפוגם הגריסין</w:t>
      </w:r>
      <w:r w:rsidRPr="00B7414A">
        <w:rPr>
          <w:rFonts w:hint="cs"/>
          <w:sz w:val="16"/>
          <w:szCs w:val="16"/>
          <w:rtl/>
        </w:rPr>
        <w:t>-</w:t>
      </w:r>
      <w:r w:rsidRPr="00B7414A">
        <w:rPr>
          <w:sz w:val="16"/>
          <w:szCs w:val="16"/>
          <w:rtl/>
        </w:rPr>
        <w:t xml:space="preserve"> מותר</w:t>
      </w:r>
      <w:r>
        <w:rPr>
          <w:rFonts w:hint="cs"/>
          <w:sz w:val="16"/>
          <w:szCs w:val="16"/>
          <w:rtl/>
        </w:rPr>
        <w:t>)</w:t>
      </w:r>
      <w:r>
        <w:rPr>
          <w:rFonts w:hint="cs"/>
          <w:sz w:val="20"/>
          <w:szCs w:val="20"/>
          <w:rtl/>
        </w:rPr>
        <w:t xml:space="preserve">, ע"פ </w:t>
      </w:r>
      <w:r w:rsidRPr="00B7414A">
        <w:rPr>
          <w:sz w:val="20"/>
          <w:szCs w:val="20"/>
          <w:rtl/>
        </w:rPr>
        <w:t xml:space="preserve">רשב"א </w:t>
      </w:r>
      <w:r w:rsidRPr="00B7414A">
        <w:rPr>
          <w:rFonts w:hint="cs"/>
          <w:sz w:val="16"/>
          <w:szCs w:val="16"/>
          <w:rtl/>
        </w:rPr>
        <w:t>(תוה"ק</w:t>
      </w:r>
      <w:r w:rsidRPr="00B7414A">
        <w:rPr>
          <w:sz w:val="16"/>
          <w:szCs w:val="16"/>
          <w:rtl/>
        </w:rPr>
        <w:t xml:space="preserve"> ב"ד ש"א יד:) </w:t>
      </w:r>
      <w:r>
        <w:rPr>
          <w:rFonts w:hint="cs"/>
          <w:sz w:val="20"/>
          <w:szCs w:val="20"/>
          <w:rtl/>
        </w:rPr>
        <w:t>טור וב"י.</w:t>
      </w:r>
    </w:p>
  </w:footnote>
  <w:footnote w:id="2055">
    <w:p w14:paraId="374CC809" w14:textId="77777777" w:rsidR="004C5A3C" w:rsidRDefault="004C5A3C" w:rsidP="002C39F4">
      <w:pPr>
        <w:pStyle w:val="a5"/>
        <w:rPr>
          <w:rtl/>
        </w:rPr>
      </w:pPr>
      <w:r>
        <w:rPr>
          <w:rStyle w:val="a7"/>
        </w:rPr>
        <w:footnoteRef/>
      </w:r>
      <w:r>
        <w:rPr>
          <w:rtl/>
        </w:rPr>
        <w:t xml:space="preserve"> </w:t>
      </w:r>
      <w:r w:rsidRPr="00427219">
        <w:rPr>
          <w:rFonts w:cs="Arial"/>
          <w:rtl/>
        </w:rPr>
        <w:t>דנותן טעם לפגם מותר</w:t>
      </w:r>
      <w:r>
        <w:rPr>
          <w:rFonts w:cs="Arial" w:hint="cs"/>
          <w:rtl/>
        </w:rPr>
        <w:t>, רש"י</w:t>
      </w:r>
      <w:r w:rsidRPr="00427219">
        <w:rPr>
          <w:rFonts w:cs="Arial"/>
          <w:rtl/>
        </w:rPr>
        <w:t>.</w:t>
      </w:r>
    </w:p>
  </w:footnote>
  <w:footnote w:id="2056">
    <w:p w14:paraId="17A2D471" w14:textId="77777777" w:rsidR="004C5A3C" w:rsidRDefault="004C5A3C" w:rsidP="002C39F4">
      <w:pPr>
        <w:pStyle w:val="a5"/>
        <w:rPr>
          <w:rtl/>
        </w:rPr>
      </w:pPr>
      <w:r>
        <w:rPr>
          <w:rStyle w:val="a7"/>
        </w:rPr>
        <w:footnoteRef/>
      </w:r>
      <w:r>
        <w:rPr>
          <w:rtl/>
        </w:rPr>
        <w:t xml:space="preserve"> </w:t>
      </w:r>
      <w:r w:rsidRPr="00427219">
        <w:rPr>
          <w:rFonts w:cs="Arial"/>
          <w:rtl/>
        </w:rPr>
        <w:t>חומרא היא</w:t>
      </w:r>
      <w:r>
        <w:rPr>
          <w:rFonts w:cs="Arial" w:hint="cs"/>
          <w:rtl/>
        </w:rPr>
        <w:t>,</w:t>
      </w:r>
      <w:r w:rsidRPr="00427219">
        <w:rPr>
          <w:rFonts w:cs="Arial"/>
          <w:rtl/>
        </w:rPr>
        <w:t xml:space="preserve"> כלומר</w:t>
      </w:r>
      <w:r>
        <w:rPr>
          <w:rFonts w:cs="Arial" w:hint="cs"/>
          <w:rtl/>
        </w:rPr>
        <w:t>,</w:t>
      </w:r>
      <w:r w:rsidRPr="00427219">
        <w:rPr>
          <w:rFonts w:cs="Arial"/>
          <w:rtl/>
        </w:rPr>
        <w:t xml:space="preserve"> לא שיוכלו לתת פגם בתבשיל מחמת דבר אחר כגון שתהא חסירה מלח או יתירה</w:t>
      </w:r>
      <w:r>
        <w:rPr>
          <w:rFonts w:cs="Arial" w:hint="cs"/>
          <w:rtl/>
        </w:rPr>
        <w:t>,</w:t>
      </w:r>
      <w:r w:rsidRPr="00427219">
        <w:rPr>
          <w:rFonts w:cs="Arial"/>
          <w:rtl/>
        </w:rPr>
        <w:t xml:space="preserve"> דאם נפגם מחמת דבר אחר אין תולין הפגם באיסור ואסור</w:t>
      </w:r>
      <w:r>
        <w:rPr>
          <w:rFonts w:cs="Arial" w:hint="cs"/>
          <w:rtl/>
        </w:rPr>
        <w:t>, רש"י</w:t>
      </w:r>
      <w:r w:rsidRPr="00427219">
        <w:rPr>
          <w:rFonts w:cs="Arial"/>
          <w:rtl/>
        </w:rPr>
        <w:t>.</w:t>
      </w:r>
    </w:p>
  </w:footnote>
  <w:footnote w:id="2057">
    <w:p w14:paraId="5CBCBE5A" w14:textId="77777777" w:rsidR="004C5A3C" w:rsidRDefault="004C5A3C" w:rsidP="002C39F4">
      <w:pPr>
        <w:pStyle w:val="a5"/>
      </w:pPr>
      <w:r>
        <w:rPr>
          <w:rStyle w:val="a7"/>
        </w:rPr>
        <w:footnoteRef/>
      </w:r>
      <w:r>
        <w:rPr>
          <w:rtl/>
        </w:rPr>
        <w:t xml:space="preserve"> </w:t>
      </w:r>
      <w:r w:rsidRPr="00E75B46">
        <w:rPr>
          <w:rFonts w:cs="Arial"/>
          <w:rtl/>
        </w:rPr>
        <w:t>שום תקון ואינה נאכלת מפני זה</w:t>
      </w:r>
      <w:r>
        <w:rPr>
          <w:rFonts w:cs="Arial" w:hint="cs"/>
          <w:rtl/>
        </w:rPr>
        <w:t>,</w:t>
      </w:r>
      <w:r w:rsidRPr="00E75B46">
        <w:rPr>
          <w:rFonts w:cs="Arial"/>
          <w:rtl/>
        </w:rPr>
        <w:t xml:space="preserve"> כלומר ואיסור זה פוגם טעמה</w:t>
      </w:r>
      <w:r>
        <w:rPr>
          <w:rFonts w:cs="Arial" w:hint="cs"/>
          <w:rtl/>
        </w:rPr>
        <w:t>,</w:t>
      </w:r>
      <w:r w:rsidRPr="00E75B46">
        <w:rPr>
          <w:rFonts w:cs="Arial"/>
          <w:rtl/>
        </w:rPr>
        <w:t xml:space="preserve"> ואינה נאכלת</w:t>
      </w:r>
      <w:r>
        <w:rPr>
          <w:rFonts w:cs="Arial" w:hint="cs"/>
          <w:rtl/>
        </w:rPr>
        <w:t xml:space="preserve"> -</w:t>
      </w:r>
      <w:r w:rsidRPr="00E75B46">
        <w:rPr>
          <w:rFonts w:cs="Arial"/>
          <w:rtl/>
        </w:rPr>
        <w:t xml:space="preserve"> לאו דוקא</w:t>
      </w:r>
      <w:r>
        <w:rPr>
          <w:rFonts w:cs="Arial" w:hint="cs"/>
          <w:rtl/>
        </w:rPr>
        <w:t>,</w:t>
      </w:r>
      <w:r w:rsidRPr="00E75B46">
        <w:rPr>
          <w:rFonts w:cs="Arial"/>
          <w:rtl/>
        </w:rPr>
        <w:t xml:space="preserve"> דכיון דפגימתה פורתא קרי לה אינה נאכלת</w:t>
      </w:r>
      <w:r>
        <w:rPr>
          <w:rFonts w:cs="Arial" w:hint="cs"/>
          <w:rtl/>
        </w:rPr>
        <w:t>, רש"י</w:t>
      </w:r>
      <w:r w:rsidRPr="00E75B46">
        <w:rPr>
          <w:rFonts w:cs="Arial"/>
          <w:rtl/>
        </w:rPr>
        <w:t>.</w:t>
      </w:r>
    </w:p>
  </w:footnote>
  <w:footnote w:id="2058">
    <w:p w14:paraId="4FDF7197" w14:textId="77777777" w:rsidR="004C5A3C" w:rsidRDefault="004C5A3C" w:rsidP="002C39F4">
      <w:pPr>
        <w:pStyle w:val="a5"/>
      </w:pPr>
      <w:r>
        <w:rPr>
          <w:rStyle w:val="a7"/>
        </w:rPr>
        <w:footnoteRef/>
      </w:r>
      <w:r>
        <w:rPr>
          <w:rtl/>
        </w:rPr>
        <w:t xml:space="preserve"> </w:t>
      </w:r>
      <w:r w:rsidRPr="00427219">
        <w:rPr>
          <w:rFonts w:cs="Arial"/>
          <w:rtl/>
        </w:rPr>
        <w:t>כלומר אין תולין הפגם בדבר אחר לומר חסירה היא מלח ואילו היתה כתיקונה לא היה זה האיסור פוגמה</w:t>
      </w:r>
      <w:r>
        <w:rPr>
          <w:rFonts w:cs="Arial" w:hint="cs"/>
          <w:rtl/>
        </w:rPr>
        <w:t>,</w:t>
      </w:r>
      <w:r w:rsidRPr="00427219">
        <w:rPr>
          <w:rFonts w:cs="Arial"/>
          <w:rtl/>
        </w:rPr>
        <w:t xml:space="preserve"> שהמלח היה מבטל את פגימת טעם האיסור ומתקנו</w:t>
      </w:r>
      <w:r>
        <w:rPr>
          <w:rFonts w:cs="Arial" w:hint="cs"/>
          <w:rtl/>
        </w:rPr>
        <w:t>,</w:t>
      </w:r>
      <w:r w:rsidRPr="00427219">
        <w:rPr>
          <w:rFonts w:cs="Arial"/>
          <w:rtl/>
        </w:rPr>
        <w:t xml:space="preserve"> אלא כיון דטעם האיסור פוגמה עכשיו כמות שהיא הוי פגם ומותר</w:t>
      </w:r>
      <w:r>
        <w:rPr>
          <w:rFonts w:cs="Arial" w:hint="cs"/>
          <w:rtl/>
        </w:rPr>
        <w:t>, רש"י</w:t>
      </w:r>
      <w:r w:rsidRPr="00427219">
        <w:rPr>
          <w:rFonts w:cs="Arial"/>
          <w:rtl/>
        </w:rPr>
        <w:t>.</w:t>
      </w:r>
    </w:p>
  </w:footnote>
  <w:footnote w:id="2059">
    <w:p w14:paraId="4A15811A" w14:textId="77777777" w:rsidR="004C5A3C" w:rsidRDefault="004C5A3C" w:rsidP="002C39F4">
      <w:pPr>
        <w:pStyle w:val="a5"/>
        <w:rPr>
          <w:rtl/>
        </w:rPr>
      </w:pPr>
      <w:r>
        <w:rPr>
          <w:rStyle w:val="a7"/>
        </w:rPr>
        <w:footnoteRef/>
      </w:r>
      <w:r>
        <w:rPr>
          <w:rtl/>
        </w:rPr>
        <w:t xml:space="preserve"> </w:t>
      </w:r>
      <w:r w:rsidRPr="00EA4506">
        <w:rPr>
          <w:rFonts w:cs="Arial"/>
          <w:rtl/>
        </w:rPr>
        <w:t>שהסריחה אלמא מדאפגים בטל איסורה</w:t>
      </w:r>
      <w:r>
        <w:rPr>
          <w:rFonts w:cs="Arial" w:hint="cs"/>
          <w:rtl/>
        </w:rPr>
        <w:t>, רש"י</w:t>
      </w:r>
      <w:r w:rsidRPr="00EA4506">
        <w:rPr>
          <w:rFonts w:cs="Arial"/>
          <w:rtl/>
        </w:rPr>
        <w:t>.</w:t>
      </w:r>
    </w:p>
  </w:footnote>
  <w:footnote w:id="2060">
    <w:p w14:paraId="360694B8" w14:textId="77777777" w:rsidR="004C5A3C" w:rsidRDefault="004C5A3C" w:rsidP="002C39F4">
      <w:pPr>
        <w:pStyle w:val="a5"/>
        <w:rPr>
          <w:rtl/>
        </w:rPr>
      </w:pPr>
      <w:r>
        <w:rPr>
          <w:rStyle w:val="a7"/>
        </w:rPr>
        <w:footnoteRef/>
      </w:r>
      <w:r>
        <w:rPr>
          <w:rtl/>
        </w:rPr>
        <w:t xml:space="preserve"> </w:t>
      </w:r>
      <w:r>
        <w:rPr>
          <w:rFonts w:cs="Arial" w:hint="cs"/>
          <w:rtl/>
        </w:rPr>
        <w:t xml:space="preserve">רש"י ר"ת ר"י </w:t>
      </w:r>
      <w:r>
        <w:rPr>
          <w:rFonts w:cs="Arial" w:hint="cs"/>
          <w:sz w:val="16"/>
          <w:szCs w:val="16"/>
          <w:rtl/>
        </w:rPr>
        <w:t>(כ"כ הטור בשמם)</w:t>
      </w:r>
      <w:r w:rsidRPr="000D00C9">
        <w:rPr>
          <w:rFonts w:cs="Arial"/>
          <w:rtl/>
        </w:rPr>
        <w:t xml:space="preserve"> </w:t>
      </w:r>
      <w:r>
        <w:rPr>
          <w:rFonts w:cs="Arial" w:hint="cs"/>
          <w:rtl/>
        </w:rPr>
        <w:t xml:space="preserve">תוס' </w:t>
      </w:r>
      <w:r w:rsidRPr="000D00C9">
        <w:rPr>
          <w:rFonts w:cs="Arial"/>
          <w:sz w:val="16"/>
          <w:szCs w:val="16"/>
          <w:rtl/>
        </w:rPr>
        <w:t>(</w:t>
      </w:r>
      <w:r>
        <w:rPr>
          <w:rFonts w:cs="Arial" w:hint="cs"/>
          <w:sz w:val="16"/>
          <w:szCs w:val="16"/>
          <w:rtl/>
        </w:rPr>
        <w:t xml:space="preserve">ע"ז סו. </w:t>
      </w:r>
      <w:r w:rsidRPr="000D00C9">
        <w:rPr>
          <w:rFonts w:cs="Arial"/>
          <w:sz w:val="16"/>
          <w:szCs w:val="16"/>
          <w:rtl/>
        </w:rPr>
        <w:t xml:space="preserve">ד"ה מכלל) </w:t>
      </w:r>
      <w:r>
        <w:rPr>
          <w:rFonts w:cs="Arial" w:hint="cs"/>
          <w:rtl/>
        </w:rPr>
        <w:t xml:space="preserve">ר' </w:t>
      </w:r>
      <w:r w:rsidRPr="00D07769">
        <w:rPr>
          <w:rFonts w:cs="Arial"/>
          <w:rtl/>
        </w:rPr>
        <w:t xml:space="preserve">יהודה מפרי"ש </w:t>
      </w:r>
      <w:r w:rsidRPr="000D00C9">
        <w:rPr>
          <w:rFonts w:cs="Arial" w:hint="cs"/>
          <w:sz w:val="16"/>
          <w:szCs w:val="16"/>
          <w:rtl/>
        </w:rPr>
        <w:t xml:space="preserve">(הביאו המרדכי [פסחים </w:t>
      </w:r>
      <w:r w:rsidRPr="000D00C9">
        <w:rPr>
          <w:rFonts w:cs="Arial"/>
          <w:sz w:val="16"/>
          <w:szCs w:val="16"/>
          <w:rtl/>
        </w:rPr>
        <w:t>סי</w:t>
      </w:r>
      <w:r w:rsidRPr="000D00C9">
        <w:rPr>
          <w:rFonts w:cs="Arial" w:hint="cs"/>
          <w:sz w:val="16"/>
          <w:szCs w:val="16"/>
          <w:rtl/>
        </w:rPr>
        <w:t>'</w:t>
      </w:r>
      <w:r w:rsidRPr="000D00C9">
        <w:rPr>
          <w:rFonts w:cs="Arial"/>
          <w:sz w:val="16"/>
          <w:szCs w:val="16"/>
          <w:rtl/>
        </w:rPr>
        <w:t xml:space="preserve"> תקסז</w:t>
      </w:r>
      <w:r w:rsidRPr="000D00C9">
        <w:rPr>
          <w:rFonts w:cs="Arial" w:hint="cs"/>
          <w:sz w:val="16"/>
          <w:szCs w:val="16"/>
          <w:rtl/>
        </w:rPr>
        <w:t>]</w:t>
      </w:r>
      <w:r w:rsidRPr="000D00C9">
        <w:rPr>
          <w:rFonts w:cs="Arial"/>
          <w:sz w:val="16"/>
          <w:szCs w:val="16"/>
          <w:rtl/>
        </w:rPr>
        <w:t>)</w:t>
      </w:r>
      <w:r>
        <w:rPr>
          <w:rFonts w:cs="Arial" w:hint="cs"/>
          <w:rtl/>
        </w:rPr>
        <w:t xml:space="preserve"> ו</w:t>
      </w:r>
      <w:r w:rsidRPr="00D07769">
        <w:rPr>
          <w:rFonts w:cs="Arial"/>
          <w:rtl/>
        </w:rPr>
        <w:t xml:space="preserve">רא"ש </w:t>
      </w:r>
      <w:r w:rsidRPr="000D00C9">
        <w:rPr>
          <w:rFonts w:cs="Arial"/>
          <w:sz w:val="16"/>
          <w:szCs w:val="16"/>
          <w:rtl/>
        </w:rPr>
        <w:t>(סי' ו)</w:t>
      </w:r>
      <w:r>
        <w:rPr>
          <w:rFonts w:hint="cs"/>
          <w:rtl/>
        </w:rPr>
        <w:t>.</w:t>
      </w:r>
    </w:p>
  </w:footnote>
  <w:footnote w:id="2061">
    <w:p w14:paraId="35841B41" w14:textId="77777777" w:rsidR="004C5A3C" w:rsidRDefault="004C5A3C" w:rsidP="002C39F4">
      <w:pPr>
        <w:pStyle w:val="a5"/>
        <w:rPr>
          <w:rtl/>
        </w:rPr>
      </w:pPr>
      <w:r>
        <w:rPr>
          <w:rStyle w:val="a7"/>
        </w:rPr>
        <w:footnoteRef/>
      </w:r>
      <w:r>
        <w:rPr>
          <w:rtl/>
        </w:rPr>
        <w:t xml:space="preserve"> </w:t>
      </w:r>
      <w:r>
        <w:rPr>
          <w:rFonts w:cs="Arial" w:hint="cs"/>
          <w:rtl/>
        </w:rPr>
        <w:t xml:space="preserve">י"א </w:t>
      </w:r>
      <w:r>
        <w:rPr>
          <w:rFonts w:cs="Arial" w:hint="cs"/>
          <w:sz w:val="16"/>
          <w:szCs w:val="16"/>
          <w:rtl/>
        </w:rPr>
        <w:t>(הביאום התוס' והרא"ש)</w:t>
      </w:r>
      <w:r>
        <w:rPr>
          <w:rFonts w:cs="Arial" w:hint="cs"/>
          <w:rtl/>
        </w:rPr>
        <w:t xml:space="preserve"> רשב"ם רא"ם </w:t>
      </w:r>
      <w:r>
        <w:rPr>
          <w:rFonts w:cs="Arial" w:hint="cs"/>
          <w:sz w:val="16"/>
          <w:szCs w:val="16"/>
          <w:rtl/>
        </w:rPr>
        <w:t>(כ"כ הטור בשמם)</w:t>
      </w:r>
      <w:r w:rsidRPr="000D00C9">
        <w:rPr>
          <w:rFonts w:cs="Arial"/>
          <w:rtl/>
        </w:rPr>
        <w:t xml:space="preserve"> </w:t>
      </w:r>
      <w:r>
        <w:rPr>
          <w:rFonts w:cs="Arial" w:hint="cs"/>
          <w:rtl/>
        </w:rPr>
        <w:t>ו</w:t>
      </w:r>
      <w:r w:rsidRPr="00D07769">
        <w:rPr>
          <w:rFonts w:cs="Arial"/>
          <w:rtl/>
        </w:rPr>
        <w:t>רשב"</w:t>
      </w:r>
      <w:r>
        <w:rPr>
          <w:rFonts w:cs="Arial" w:hint="cs"/>
          <w:rtl/>
        </w:rPr>
        <w:t xml:space="preserve">א </w:t>
      </w:r>
      <w:r w:rsidRPr="000D00C9">
        <w:rPr>
          <w:rFonts w:cs="Arial"/>
          <w:sz w:val="16"/>
          <w:szCs w:val="16"/>
          <w:rtl/>
        </w:rPr>
        <w:t xml:space="preserve">(ח"א סי' תצט, </w:t>
      </w:r>
      <w:r w:rsidRPr="000D00C9">
        <w:rPr>
          <w:rFonts w:cs="Arial" w:hint="cs"/>
          <w:sz w:val="16"/>
          <w:szCs w:val="16"/>
          <w:rtl/>
        </w:rPr>
        <w:t>וב</w:t>
      </w:r>
      <w:r w:rsidRPr="000D00C9">
        <w:rPr>
          <w:rFonts w:cs="Arial"/>
          <w:sz w:val="16"/>
          <w:szCs w:val="16"/>
          <w:rtl/>
        </w:rPr>
        <w:t>מיוחסות סי' קנא)</w:t>
      </w:r>
      <w:r>
        <w:rPr>
          <w:rFonts w:hint="cs"/>
          <w:rtl/>
        </w:rPr>
        <w:t>.</w:t>
      </w:r>
    </w:p>
  </w:footnote>
  <w:footnote w:id="2062">
    <w:p w14:paraId="2816603C" w14:textId="77777777" w:rsidR="004C5A3C" w:rsidRDefault="004C5A3C" w:rsidP="002C39F4">
      <w:pPr>
        <w:pStyle w:val="a5"/>
        <w:rPr>
          <w:rtl/>
        </w:rPr>
      </w:pPr>
      <w:r>
        <w:rPr>
          <w:rStyle w:val="a7"/>
        </w:rPr>
        <w:footnoteRef/>
      </w:r>
      <w:r>
        <w:rPr>
          <w:rtl/>
        </w:rPr>
        <w:t xml:space="preserve"> </w:t>
      </w:r>
      <w:r w:rsidRPr="00D07769">
        <w:rPr>
          <w:rFonts w:cs="Arial"/>
          <w:rtl/>
        </w:rPr>
        <w:t>דהא אין לך ביטול טעם יותר ממשהו באלף אפילו הכי אסרו רחמנא והוא הדין נמי נותן טעם לפגם</w:t>
      </w:r>
      <w:r>
        <w:rPr>
          <w:rFonts w:hint="cs"/>
          <w:rtl/>
        </w:rPr>
        <w:t>, רא"ש בשם יש אומרים.</w:t>
      </w:r>
      <w:r w:rsidRPr="000D00C9">
        <w:rPr>
          <w:rFonts w:hint="cs"/>
          <w:rtl/>
        </w:rPr>
        <w:t xml:space="preserve"> </w:t>
      </w:r>
      <w:r>
        <w:rPr>
          <w:rFonts w:hint="cs"/>
          <w:rtl/>
        </w:rPr>
        <w:t>וה</w:t>
      </w:r>
      <w:r w:rsidRPr="00D07769">
        <w:rPr>
          <w:rFonts w:cs="Arial"/>
          <w:rtl/>
        </w:rPr>
        <w:t>רשב"</w:t>
      </w:r>
      <w:r>
        <w:rPr>
          <w:rFonts w:cs="Arial" w:hint="cs"/>
          <w:rtl/>
        </w:rPr>
        <w:t xml:space="preserve">א נתן טעם והוא </w:t>
      </w:r>
      <w:r w:rsidRPr="00D07769">
        <w:rPr>
          <w:rFonts w:cs="Arial"/>
          <w:rtl/>
        </w:rPr>
        <w:t>שאין מתירין נותן טעם לפגם במה שאיסורן במשהו שאינו מחמת טעמו אלא מחמת חומר איסורו וכיון שכן מה לנו אם הוא לשבח או לפגם הא איכא איסור ובלבד שלא יהא כל כך נפסד שיחזור כעפרא בעלמא דכל שנפסד כל כך אין כאן איסור כלל ונותן טעם לפגם שאמרו בפרק בתרא דעבודה זרה אינו מגיע להפסד זה שהרי דינו דנותן טעם אפילו חומץ לתוך הגריסין (שם סה:) וכן קדרה שאינה בת יומא (סז:) אין האיסור שבה נדון כעפרא בעלמא</w:t>
      </w:r>
      <w:r>
        <w:rPr>
          <w:rFonts w:hint="cs"/>
          <w:rtl/>
        </w:rPr>
        <w:t>.</w:t>
      </w:r>
    </w:p>
  </w:footnote>
  <w:footnote w:id="2063">
    <w:p w14:paraId="7D76AC8B" w14:textId="77777777" w:rsidR="004C5A3C" w:rsidRDefault="004C5A3C" w:rsidP="002C39F4">
      <w:pPr>
        <w:pStyle w:val="a5"/>
      </w:pPr>
      <w:r>
        <w:rPr>
          <w:rStyle w:val="a7"/>
        </w:rPr>
        <w:footnoteRef/>
      </w:r>
      <w:r>
        <w:rPr>
          <w:rtl/>
        </w:rPr>
        <w:t xml:space="preserve"> </w:t>
      </w:r>
      <w:r w:rsidRPr="00213F9F">
        <w:rPr>
          <w:rFonts w:cs="Arial"/>
          <w:rtl/>
        </w:rPr>
        <w:t>דנ"ט לפגם מותר דילפינן לה מגר דכתיב לא תאכלו כל נבלה לגר אשר בשעריך תתננה נבילה הראויה לגר קרויה נבילה ושאינה ראויה לגר לא מש"ה כל שהאיסור בתערובות הרוב וההיתר מועט הוה כאילו הוא בפני עצמו ואין לו היתר עד שיהא נפגם לגמרי כנבילה שאינה ראויה לאכילה</w:t>
      </w:r>
      <w:r>
        <w:rPr>
          <w:rFonts w:cs="Arial" w:hint="cs"/>
          <w:rtl/>
        </w:rPr>
        <w:t>,</w:t>
      </w:r>
      <w:r w:rsidRPr="00213F9F">
        <w:rPr>
          <w:rFonts w:cs="Arial"/>
          <w:rtl/>
        </w:rPr>
        <w:t xml:space="preserve"> אבל כל שנאסר מחמת תערובות איסור</w:t>
      </w:r>
      <w:r>
        <w:rPr>
          <w:rFonts w:cs="Arial" w:hint="cs"/>
          <w:rtl/>
        </w:rPr>
        <w:t xml:space="preserve">, </w:t>
      </w:r>
      <w:r w:rsidRPr="00213F9F">
        <w:rPr>
          <w:rFonts w:cs="Arial"/>
          <w:rtl/>
        </w:rPr>
        <w:t>הן באיסור שיש בו ממש ובטל ברוב היתר</w:t>
      </w:r>
      <w:r>
        <w:rPr>
          <w:rFonts w:cs="Arial" w:hint="cs"/>
          <w:rtl/>
        </w:rPr>
        <w:t>,</w:t>
      </w:r>
      <w:r w:rsidRPr="00213F9F">
        <w:rPr>
          <w:rFonts w:cs="Arial"/>
          <w:rtl/>
        </w:rPr>
        <w:t xml:space="preserve"> הן באיסור שאינו ממש אלא נ"ט אף שאין רוב היתר</w:t>
      </w:r>
      <w:r>
        <w:rPr>
          <w:rFonts w:cs="Arial" w:hint="cs"/>
          <w:rtl/>
        </w:rPr>
        <w:t>,</w:t>
      </w:r>
      <w:r w:rsidRPr="00213F9F">
        <w:rPr>
          <w:rFonts w:cs="Arial"/>
          <w:rtl/>
        </w:rPr>
        <w:t xml:space="preserve"> די לו אם יהיה נפגם קצת אותו התערובות דהא לא נהנה מהתערובות שום טעם</w:t>
      </w:r>
      <w:r>
        <w:rPr>
          <w:rFonts w:cs="Arial" w:hint="cs"/>
          <w:rtl/>
        </w:rPr>
        <w:t>,</w:t>
      </w:r>
      <w:r w:rsidRPr="00213F9F">
        <w:rPr>
          <w:rFonts w:cs="Arial"/>
          <w:rtl/>
        </w:rPr>
        <w:t xml:space="preserve"> ובזה מבואר מ"ש בסעיף ב' פגם זה אין צריך כו' ויש מי שאומר כו'</w:t>
      </w:r>
      <w:r>
        <w:rPr>
          <w:rFonts w:cs="Arial" w:hint="cs"/>
          <w:rtl/>
        </w:rPr>
        <w:t>, ש"ך (סק"א).</w:t>
      </w:r>
    </w:p>
  </w:footnote>
  <w:footnote w:id="2064">
    <w:p w14:paraId="4CC64D07" w14:textId="77777777" w:rsidR="004C5A3C" w:rsidRPr="0097628B" w:rsidRDefault="004C5A3C" w:rsidP="002C39F4">
      <w:pPr>
        <w:pStyle w:val="a5"/>
        <w:rPr>
          <w:rFonts w:cs="Arial"/>
          <w:u w:val="single"/>
          <w:rtl/>
        </w:rPr>
      </w:pPr>
      <w:r>
        <w:rPr>
          <w:rStyle w:val="a7"/>
        </w:rPr>
        <w:footnoteRef/>
      </w:r>
      <w:r>
        <w:rPr>
          <w:rFonts w:cs="Arial" w:hint="cs"/>
          <w:rtl/>
        </w:rPr>
        <w:t xml:space="preserve"> </w:t>
      </w:r>
      <w:r w:rsidRPr="0097628B">
        <w:rPr>
          <w:rFonts w:cs="Arial" w:hint="cs"/>
          <w:u w:val="single"/>
          <w:rtl/>
        </w:rPr>
        <w:t xml:space="preserve">ונחלקו הפוסקים </w:t>
      </w:r>
      <w:r>
        <w:rPr>
          <w:rFonts w:cs="Arial" w:hint="cs"/>
          <w:u w:val="single"/>
          <w:rtl/>
        </w:rPr>
        <w:t xml:space="preserve">האם הדין כן דוקא בבריה וכיוצא בה שאינם מאוסים מעיקרן </w:t>
      </w:r>
      <w:r w:rsidRPr="0097628B">
        <w:rPr>
          <w:rFonts w:cs="Arial" w:hint="cs"/>
          <w:sz w:val="14"/>
          <w:szCs w:val="14"/>
          <w:u w:val="single"/>
          <w:rtl/>
        </w:rPr>
        <w:t>(ואעפ"כ אסרתם התורה</w:t>
      </w:r>
      <w:r>
        <w:rPr>
          <w:rFonts w:cs="Arial" w:hint="cs"/>
          <w:sz w:val="14"/>
          <w:szCs w:val="14"/>
          <w:u w:val="single"/>
          <w:rtl/>
        </w:rPr>
        <w:t>)</w:t>
      </w:r>
      <w:r>
        <w:rPr>
          <w:rFonts w:cs="Arial" w:hint="cs"/>
          <w:u w:val="single"/>
          <w:rtl/>
        </w:rPr>
        <w:t xml:space="preserve"> או רק בשאינם פגומים מעיקרן</w:t>
      </w:r>
      <w:r w:rsidRPr="0097628B">
        <w:rPr>
          <w:rFonts w:cs="Arial" w:hint="cs"/>
          <w:u w:val="single"/>
          <w:rtl/>
        </w:rPr>
        <w:t>:</w:t>
      </w:r>
    </w:p>
    <w:p w14:paraId="6E85DB2F" w14:textId="77777777" w:rsidR="004C5A3C" w:rsidRDefault="004C5A3C" w:rsidP="0032102C">
      <w:pPr>
        <w:pStyle w:val="a5"/>
        <w:numPr>
          <w:ilvl w:val="0"/>
          <w:numId w:val="261"/>
        </w:numPr>
        <w:rPr>
          <w:rFonts w:cs="Arial"/>
        </w:rPr>
      </w:pPr>
      <w:r>
        <w:rPr>
          <w:rFonts w:cs="Arial" w:hint="cs"/>
          <w:rtl/>
        </w:rPr>
        <w:t xml:space="preserve">פר"ח </w:t>
      </w:r>
      <w:r w:rsidRPr="0097628B">
        <w:rPr>
          <w:rFonts w:cs="Arial" w:hint="cs"/>
          <w:sz w:val="16"/>
          <w:szCs w:val="16"/>
          <w:rtl/>
        </w:rPr>
        <w:t>(סק"א)</w:t>
      </w:r>
      <w:r>
        <w:rPr>
          <w:rFonts w:cs="Arial" w:hint="cs"/>
          <w:rtl/>
        </w:rPr>
        <w:t>- ש</w:t>
      </w:r>
      <w:r w:rsidRPr="00177086">
        <w:rPr>
          <w:rFonts w:cs="Arial"/>
          <w:rtl/>
        </w:rPr>
        <w:t>אינן פגומין דקאמר</w:t>
      </w:r>
      <w:r>
        <w:rPr>
          <w:rFonts w:cs="Arial" w:hint="cs"/>
          <w:sz w:val="16"/>
          <w:szCs w:val="16"/>
          <w:rtl/>
        </w:rPr>
        <w:t xml:space="preserve"> {הרמ"א}</w:t>
      </w:r>
      <w:r w:rsidRPr="00177086">
        <w:rPr>
          <w:rFonts w:cs="Arial"/>
          <w:rtl/>
        </w:rPr>
        <w:t xml:space="preserve"> לאו למעוטי פגומין ומאוסין מעיקרן כגון זבובים ויתושין, דהנהו ודאי לא בטילי נמי אפילו באלף דאע"ג דמאיסי נינהו הכי אסרינהו רחמנא, אלא מיירי בבריה חשובה כגון צפור טמא וחתיכה הראויה להתכבד ודבר שבמנין וכיוצא, ואינן פגומין דהיינו שלא נסרחו, אבל אם נסרחו אפילו הן עצמן לחודייהו מותרין וכל שכן ע"י תערובת</w:t>
      </w:r>
      <w:r>
        <w:rPr>
          <w:rFonts w:cs="Arial" w:hint="cs"/>
          <w:rtl/>
        </w:rPr>
        <w:t>..</w:t>
      </w:r>
      <w:r w:rsidRPr="00177086">
        <w:rPr>
          <w:rFonts w:cs="Arial"/>
          <w:rtl/>
        </w:rPr>
        <w:t>. ומיהו דברים המאוסין מצד עצמן כגון עכברים ויתושין וכיוצא אע</w:t>
      </w:r>
      <w:r>
        <w:rPr>
          <w:rFonts w:cs="Arial" w:hint="cs"/>
          <w:rtl/>
        </w:rPr>
        <w:t>"</w:t>
      </w:r>
      <w:r w:rsidRPr="00177086">
        <w:rPr>
          <w:rFonts w:cs="Arial"/>
          <w:rtl/>
        </w:rPr>
        <w:t>פ שהסריחו אסורין מן התורה, אע"ג דאין פליטתן אוסרת משום</w:t>
      </w:r>
      <w:r>
        <w:rPr>
          <w:rFonts w:cs="Arial" w:hint="cs"/>
          <w:rtl/>
        </w:rPr>
        <w:t>,</w:t>
      </w:r>
      <w:r w:rsidRPr="00177086">
        <w:rPr>
          <w:rFonts w:cs="Arial"/>
          <w:rtl/>
        </w:rPr>
        <w:t xml:space="preserve"> דהוי נותן טעם לפגם</w:t>
      </w:r>
      <w:r>
        <w:rPr>
          <w:rFonts w:cs="Arial" w:hint="cs"/>
          <w:rtl/>
        </w:rPr>
        <w:t>... ו</w:t>
      </w:r>
      <w:r w:rsidRPr="00177086">
        <w:rPr>
          <w:rFonts w:cs="Arial"/>
          <w:rtl/>
        </w:rPr>
        <w:t>ליכא לפלוגי בין סרחון דידהו לסרחון דאתי להו מעלמא ואפילו נסרחו לגמרי תו לא פקע שם איסורא מינייהו ובמילתייהו קיימי כדמעיקרא ומילקא לקי נמי עלייהו.</w:t>
      </w:r>
    </w:p>
    <w:p w14:paraId="20368B85" w14:textId="77777777" w:rsidR="004C5A3C" w:rsidRPr="002742EA" w:rsidRDefault="004C5A3C" w:rsidP="0032102C">
      <w:pPr>
        <w:pStyle w:val="a5"/>
        <w:numPr>
          <w:ilvl w:val="0"/>
          <w:numId w:val="261"/>
        </w:numPr>
        <w:rPr>
          <w:rFonts w:cs="Arial"/>
          <w:rtl/>
        </w:rPr>
      </w:pPr>
      <w:r w:rsidRPr="00BA5C70">
        <w:rPr>
          <w:rFonts w:cs="Arial"/>
          <w:rtl/>
        </w:rPr>
        <w:t xml:space="preserve">רשב"א </w:t>
      </w:r>
      <w:r w:rsidRPr="00BA5C70">
        <w:rPr>
          <w:rFonts w:cs="Arial"/>
          <w:sz w:val="16"/>
          <w:szCs w:val="16"/>
          <w:rtl/>
        </w:rPr>
        <w:t>(ח"א סי' קא)</w:t>
      </w:r>
      <w:r>
        <w:rPr>
          <w:rFonts w:cs="Arial" w:hint="cs"/>
          <w:rtl/>
        </w:rPr>
        <w:t>-</w:t>
      </w:r>
      <w:r w:rsidRPr="00662B31">
        <w:rPr>
          <w:rFonts w:cs="Arial"/>
          <w:rtl/>
        </w:rPr>
        <w:t xml:space="preserve"> </w:t>
      </w:r>
      <w:r w:rsidRPr="00186585">
        <w:rPr>
          <w:rFonts w:cs="Arial"/>
          <w:rtl/>
        </w:rPr>
        <w:t xml:space="preserve">ולפי שאמרת שפליטתה אינה אוסרת אלא בס' וכמדומה שאמרת כן מדתנן </w:t>
      </w:r>
      <w:r w:rsidRPr="00662B31">
        <w:rPr>
          <w:rFonts w:cs="Arial"/>
          <w:sz w:val="16"/>
          <w:szCs w:val="16"/>
          <w:rtl/>
        </w:rPr>
        <w:t xml:space="preserve">(צו:) </w:t>
      </w:r>
      <w:r w:rsidRPr="00186585">
        <w:rPr>
          <w:rFonts w:cs="Arial"/>
          <w:rtl/>
        </w:rPr>
        <w:t>גיד הנשה שנתבשל עם הגידים וכו' והרוטב בנ"ט</w:t>
      </w:r>
      <w:r>
        <w:rPr>
          <w:rFonts w:cs="Arial" w:hint="cs"/>
          <w:rtl/>
        </w:rPr>
        <w:t>,</w:t>
      </w:r>
      <w:r w:rsidRPr="00186585">
        <w:rPr>
          <w:rFonts w:cs="Arial"/>
          <w:rtl/>
        </w:rPr>
        <w:t xml:space="preserve"> ועלה בדעתך שאפילו היתוש וזבוב צריך ששים לבטל טעמו</w:t>
      </w:r>
      <w:r>
        <w:rPr>
          <w:rFonts w:cs="Arial" w:hint="cs"/>
          <w:rtl/>
        </w:rPr>
        <w:t>,</w:t>
      </w:r>
      <w:r w:rsidRPr="00186585">
        <w:rPr>
          <w:rFonts w:cs="Arial"/>
          <w:rtl/>
        </w:rPr>
        <w:t xml:space="preserve"> אומר אני שלא אמרו כן אלא בבריה שאינה מאוסה ולא בדילי אינשי מיניה כגיד וצפור אסורה וכיוצא באלו</w:t>
      </w:r>
      <w:r>
        <w:rPr>
          <w:rFonts w:cs="Arial" w:hint="cs"/>
          <w:rtl/>
        </w:rPr>
        <w:t>,</w:t>
      </w:r>
      <w:r w:rsidRPr="00186585">
        <w:rPr>
          <w:rFonts w:cs="Arial"/>
          <w:rtl/>
        </w:rPr>
        <w:t xml:space="preserve"> אבל כל דבר הנמאס ושבדילי אינשי מיניה אינו אוסר בטעמו שהרי הוא נטל</w:t>
      </w:r>
      <w:r>
        <w:rPr>
          <w:rFonts w:cs="Arial" w:hint="cs"/>
          <w:rtl/>
        </w:rPr>
        <w:t>"</w:t>
      </w:r>
      <w:r w:rsidRPr="00186585">
        <w:rPr>
          <w:rFonts w:cs="Arial"/>
          <w:rtl/>
        </w:rPr>
        <w:t>פ ואינו אוסר תערובתו אלא בטל ברוב כדאמרינן בההוא עכברא דנפל לשכרא</w:t>
      </w:r>
      <w:r>
        <w:rPr>
          <w:rFonts w:cs="Arial" w:hint="cs"/>
          <w:rtl/>
        </w:rPr>
        <w:t xml:space="preserve">. </w:t>
      </w:r>
      <w:r w:rsidRPr="002742EA">
        <w:rPr>
          <w:rFonts w:cs="Arial" w:hint="cs"/>
          <w:rtl/>
        </w:rPr>
        <w:t xml:space="preserve">(וכ"פ ערוה"ש </w:t>
      </w:r>
      <w:r w:rsidRPr="002742EA">
        <w:rPr>
          <w:rFonts w:cs="Arial" w:hint="cs"/>
          <w:sz w:val="16"/>
          <w:szCs w:val="16"/>
          <w:rtl/>
        </w:rPr>
        <w:t>[סע' יא]</w:t>
      </w:r>
      <w:r w:rsidRPr="002742EA">
        <w:rPr>
          <w:rFonts w:cs="Arial" w:hint="cs"/>
          <w:rtl/>
        </w:rPr>
        <w:t>, וכ' שכן דעת הרמ"א והאו"ה</w:t>
      </w:r>
      <w:r w:rsidRPr="002742EA">
        <w:rPr>
          <w:rFonts w:cs="Arial"/>
          <w:sz w:val="16"/>
          <w:szCs w:val="16"/>
          <w:rtl/>
        </w:rPr>
        <w:t xml:space="preserve"> </w:t>
      </w:r>
      <w:r w:rsidRPr="002742EA">
        <w:rPr>
          <w:rFonts w:cs="Arial" w:hint="cs"/>
          <w:sz w:val="16"/>
          <w:szCs w:val="16"/>
          <w:rtl/>
        </w:rPr>
        <w:t>[</w:t>
      </w:r>
      <w:r w:rsidRPr="002742EA">
        <w:rPr>
          <w:rFonts w:cs="Arial"/>
          <w:sz w:val="16"/>
          <w:szCs w:val="16"/>
          <w:rtl/>
        </w:rPr>
        <w:t>כלל לב</w:t>
      </w:r>
      <w:r w:rsidRPr="002742EA">
        <w:rPr>
          <w:rFonts w:cs="Arial" w:hint="cs"/>
          <w:sz w:val="16"/>
          <w:szCs w:val="16"/>
          <w:rtl/>
        </w:rPr>
        <w:t>]</w:t>
      </w:r>
      <w:r w:rsidRPr="002742EA">
        <w:rPr>
          <w:rFonts w:cs="Arial" w:hint="cs"/>
          <w:rtl/>
        </w:rPr>
        <w:t>).</w:t>
      </w:r>
    </w:p>
  </w:footnote>
  <w:footnote w:id="2065">
    <w:p w14:paraId="67932117" w14:textId="77777777" w:rsidR="004C5A3C" w:rsidRDefault="004C5A3C" w:rsidP="002C39F4">
      <w:pPr>
        <w:pStyle w:val="a5"/>
        <w:rPr>
          <w:rtl/>
        </w:rPr>
      </w:pPr>
      <w:r>
        <w:rPr>
          <w:rStyle w:val="a7"/>
        </w:rPr>
        <w:footnoteRef/>
      </w:r>
      <w:r>
        <w:rPr>
          <w:rtl/>
        </w:rPr>
        <w:t xml:space="preserve"> </w:t>
      </w:r>
      <w:r w:rsidRPr="00177086">
        <w:rPr>
          <w:rFonts w:cs="Arial"/>
          <w:rtl/>
        </w:rPr>
        <w:t>לאו לבטל פליטתן קאמר</w:t>
      </w:r>
      <w:r>
        <w:rPr>
          <w:rFonts w:cs="Arial" w:hint="cs"/>
          <w:rtl/>
        </w:rPr>
        <w:t>,</w:t>
      </w:r>
      <w:r w:rsidRPr="00177086">
        <w:rPr>
          <w:rFonts w:cs="Arial"/>
          <w:rtl/>
        </w:rPr>
        <w:t xml:space="preserve"> דא"כ אמאי אינם בטלים באלף, אלא לבטל עצמן</w:t>
      </w:r>
      <w:r>
        <w:rPr>
          <w:rFonts w:cs="Arial" w:hint="cs"/>
          <w:rtl/>
        </w:rPr>
        <w:t>, פר"ח (סק"א)</w:t>
      </w:r>
      <w:r w:rsidRPr="00177086">
        <w:rPr>
          <w:rFonts w:cs="Arial"/>
          <w:rtl/>
        </w:rPr>
        <w:t>.</w:t>
      </w:r>
    </w:p>
  </w:footnote>
  <w:footnote w:id="2066">
    <w:p w14:paraId="12695CE7" w14:textId="77777777" w:rsidR="004C5A3C" w:rsidRDefault="004C5A3C" w:rsidP="002C39F4">
      <w:pPr>
        <w:pStyle w:val="a5"/>
        <w:rPr>
          <w:rtl/>
        </w:rPr>
      </w:pPr>
      <w:r>
        <w:rPr>
          <w:rStyle w:val="a7"/>
        </w:rPr>
        <w:footnoteRef/>
      </w:r>
      <w:r>
        <w:rPr>
          <w:rtl/>
        </w:rPr>
        <w:t xml:space="preserve"> </w:t>
      </w:r>
      <w:r w:rsidRPr="00427219">
        <w:rPr>
          <w:rFonts w:cs="Arial"/>
          <w:rtl/>
        </w:rPr>
        <w:t>חומרא היא</w:t>
      </w:r>
      <w:r>
        <w:rPr>
          <w:rFonts w:cs="Arial" w:hint="cs"/>
          <w:rtl/>
        </w:rPr>
        <w:t>,</w:t>
      </w:r>
      <w:r w:rsidRPr="00427219">
        <w:rPr>
          <w:rFonts w:cs="Arial"/>
          <w:rtl/>
        </w:rPr>
        <w:t xml:space="preserve"> כלומר</w:t>
      </w:r>
      <w:r>
        <w:rPr>
          <w:rFonts w:cs="Arial" w:hint="cs"/>
          <w:rtl/>
        </w:rPr>
        <w:t>,</w:t>
      </w:r>
      <w:r w:rsidRPr="00427219">
        <w:rPr>
          <w:rFonts w:cs="Arial"/>
          <w:rtl/>
        </w:rPr>
        <w:t xml:space="preserve"> לא שיוכלו לתת פגם בתבשיל מחמת דבר אחר כגון שתהא חסירה מלח או יתירה</w:t>
      </w:r>
      <w:r>
        <w:rPr>
          <w:rFonts w:cs="Arial" w:hint="cs"/>
          <w:rtl/>
        </w:rPr>
        <w:t>,</w:t>
      </w:r>
      <w:r w:rsidRPr="00427219">
        <w:rPr>
          <w:rFonts w:cs="Arial"/>
          <w:rtl/>
        </w:rPr>
        <w:t xml:space="preserve"> דאם נפגם מחמת דבר אחר אין תולין הפגם באיסור ואסור</w:t>
      </w:r>
      <w:r>
        <w:rPr>
          <w:rFonts w:cs="Arial" w:hint="cs"/>
          <w:rtl/>
        </w:rPr>
        <w:t>, רש"י</w:t>
      </w:r>
      <w:r w:rsidRPr="00427219">
        <w:rPr>
          <w:rFonts w:cs="Arial"/>
          <w:rtl/>
        </w:rPr>
        <w:t>.</w:t>
      </w:r>
    </w:p>
  </w:footnote>
  <w:footnote w:id="2067">
    <w:p w14:paraId="6F1DD2D2" w14:textId="77777777" w:rsidR="004C5A3C" w:rsidRDefault="004C5A3C" w:rsidP="002C39F4">
      <w:pPr>
        <w:pStyle w:val="a5"/>
      </w:pPr>
      <w:r>
        <w:rPr>
          <w:rStyle w:val="a7"/>
        </w:rPr>
        <w:footnoteRef/>
      </w:r>
      <w:r>
        <w:rPr>
          <w:rtl/>
        </w:rPr>
        <w:t xml:space="preserve"> </w:t>
      </w:r>
      <w:r w:rsidRPr="00E75B46">
        <w:rPr>
          <w:rFonts w:cs="Arial"/>
          <w:rtl/>
        </w:rPr>
        <w:t>שום תקון ואינה נאכלת מפני זה</w:t>
      </w:r>
      <w:r>
        <w:rPr>
          <w:rFonts w:cs="Arial" w:hint="cs"/>
          <w:rtl/>
        </w:rPr>
        <w:t>,</w:t>
      </w:r>
      <w:r w:rsidRPr="00E75B46">
        <w:rPr>
          <w:rFonts w:cs="Arial"/>
          <w:rtl/>
        </w:rPr>
        <w:t xml:space="preserve"> כלומר ואיסור זה פוגם טעמה</w:t>
      </w:r>
      <w:r>
        <w:rPr>
          <w:rFonts w:cs="Arial" w:hint="cs"/>
          <w:rtl/>
        </w:rPr>
        <w:t>,</w:t>
      </w:r>
      <w:r w:rsidRPr="00E75B46">
        <w:rPr>
          <w:rFonts w:cs="Arial"/>
          <w:rtl/>
        </w:rPr>
        <w:t xml:space="preserve"> ואינה נאכלת</w:t>
      </w:r>
      <w:r>
        <w:rPr>
          <w:rFonts w:cs="Arial" w:hint="cs"/>
          <w:rtl/>
        </w:rPr>
        <w:t xml:space="preserve"> -</w:t>
      </w:r>
      <w:r w:rsidRPr="00E75B46">
        <w:rPr>
          <w:rFonts w:cs="Arial"/>
          <w:rtl/>
        </w:rPr>
        <w:t xml:space="preserve"> לאו דוקא</w:t>
      </w:r>
      <w:r>
        <w:rPr>
          <w:rFonts w:cs="Arial" w:hint="cs"/>
          <w:rtl/>
        </w:rPr>
        <w:t>,</w:t>
      </w:r>
      <w:r w:rsidRPr="00E75B46">
        <w:rPr>
          <w:rFonts w:cs="Arial"/>
          <w:rtl/>
        </w:rPr>
        <w:t xml:space="preserve"> דכיון דפגימתה פורתא קרי לה אינה נאכלת</w:t>
      </w:r>
      <w:r>
        <w:rPr>
          <w:rFonts w:cs="Arial" w:hint="cs"/>
          <w:rtl/>
        </w:rPr>
        <w:t>, רש"י</w:t>
      </w:r>
      <w:r w:rsidRPr="00E75B46">
        <w:rPr>
          <w:rFonts w:cs="Arial"/>
          <w:rtl/>
        </w:rPr>
        <w:t>.</w:t>
      </w:r>
    </w:p>
  </w:footnote>
  <w:footnote w:id="2068">
    <w:p w14:paraId="662DB860" w14:textId="77777777" w:rsidR="004C5A3C" w:rsidRDefault="004C5A3C" w:rsidP="002C39F4">
      <w:pPr>
        <w:pStyle w:val="a5"/>
      </w:pPr>
      <w:r>
        <w:rPr>
          <w:rStyle w:val="a7"/>
        </w:rPr>
        <w:footnoteRef/>
      </w:r>
      <w:r>
        <w:rPr>
          <w:rtl/>
        </w:rPr>
        <w:t xml:space="preserve"> </w:t>
      </w:r>
      <w:r w:rsidRPr="00427219">
        <w:rPr>
          <w:rFonts w:cs="Arial"/>
          <w:rtl/>
        </w:rPr>
        <w:t>כלומר אין תולין הפגם בדבר אחר לומר חסירה היא מלח ואילו היתה כתיקונה לא היה זה האיסור פוגמה</w:t>
      </w:r>
      <w:r>
        <w:rPr>
          <w:rFonts w:cs="Arial" w:hint="cs"/>
          <w:rtl/>
        </w:rPr>
        <w:t>,</w:t>
      </w:r>
      <w:r w:rsidRPr="00427219">
        <w:rPr>
          <w:rFonts w:cs="Arial"/>
          <w:rtl/>
        </w:rPr>
        <w:t xml:space="preserve"> שהמלח היה מבטל את פגימת טעם האיסור ומתקנו</w:t>
      </w:r>
      <w:r>
        <w:rPr>
          <w:rFonts w:cs="Arial" w:hint="cs"/>
          <w:rtl/>
        </w:rPr>
        <w:t>,</w:t>
      </w:r>
      <w:r w:rsidRPr="00427219">
        <w:rPr>
          <w:rFonts w:cs="Arial"/>
          <w:rtl/>
        </w:rPr>
        <w:t xml:space="preserve"> אלא כיון דטעם האיסור פוגמה עכשיו כמות שהיא הוי פגם ומותר</w:t>
      </w:r>
      <w:r>
        <w:rPr>
          <w:rFonts w:cs="Arial" w:hint="cs"/>
          <w:rtl/>
        </w:rPr>
        <w:t>, רש"י</w:t>
      </w:r>
      <w:r w:rsidRPr="00427219">
        <w:rPr>
          <w:rFonts w:cs="Arial"/>
          <w:rtl/>
        </w:rPr>
        <w:t>.</w:t>
      </w:r>
    </w:p>
  </w:footnote>
  <w:footnote w:id="2069">
    <w:p w14:paraId="03071EE9" w14:textId="77777777" w:rsidR="004C5A3C" w:rsidRDefault="004C5A3C" w:rsidP="002C39F4">
      <w:pPr>
        <w:pStyle w:val="a5"/>
        <w:rPr>
          <w:rtl/>
        </w:rPr>
      </w:pPr>
      <w:r>
        <w:rPr>
          <w:rStyle w:val="a7"/>
        </w:rPr>
        <w:footnoteRef/>
      </w:r>
      <w:r>
        <w:rPr>
          <w:rtl/>
        </w:rPr>
        <w:t xml:space="preserve"> </w:t>
      </w:r>
      <w:r w:rsidRPr="00370BC3">
        <w:rPr>
          <w:rFonts w:cs="Arial"/>
          <w:rtl/>
        </w:rPr>
        <w:t>והביאו הרשב"א</w:t>
      </w:r>
      <w:r>
        <w:rPr>
          <w:rFonts w:cs="Arial" w:hint="cs"/>
          <w:rtl/>
        </w:rPr>
        <w:t xml:space="preserve"> </w:t>
      </w:r>
      <w:r w:rsidRPr="000F3512">
        <w:rPr>
          <w:rFonts w:cs="Arial" w:hint="cs"/>
          <w:sz w:val="16"/>
          <w:szCs w:val="16"/>
          <w:rtl/>
        </w:rPr>
        <w:t>(שם)</w:t>
      </w:r>
      <w:r w:rsidRPr="000F3512">
        <w:rPr>
          <w:rFonts w:cs="Arial"/>
          <w:sz w:val="16"/>
          <w:szCs w:val="16"/>
          <w:rtl/>
        </w:rPr>
        <w:t xml:space="preserve"> </w:t>
      </w:r>
      <w:r w:rsidRPr="00370BC3">
        <w:rPr>
          <w:rFonts w:cs="Arial"/>
          <w:rtl/>
        </w:rPr>
        <w:t>והר"ן</w:t>
      </w:r>
      <w:r>
        <w:rPr>
          <w:rFonts w:cs="Arial" w:hint="cs"/>
          <w:rtl/>
        </w:rPr>
        <w:t xml:space="preserve"> </w:t>
      </w:r>
      <w:r w:rsidRPr="000F3512">
        <w:rPr>
          <w:rFonts w:cs="Arial" w:hint="cs"/>
          <w:sz w:val="16"/>
          <w:szCs w:val="16"/>
          <w:rtl/>
        </w:rPr>
        <w:t>(שם)</w:t>
      </w:r>
      <w:r w:rsidRPr="000F3512">
        <w:rPr>
          <w:rFonts w:cs="Arial"/>
          <w:sz w:val="16"/>
          <w:szCs w:val="16"/>
          <w:rtl/>
        </w:rPr>
        <w:t xml:space="preserve"> </w:t>
      </w:r>
      <w:r w:rsidRPr="00370BC3">
        <w:rPr>
          <w:rFonts w:cs="Arial"/>
          <w:rtl/>
        </w:rPr>
        <w:t>ראיה לדברי</w:t>
      </w:r>
      <w:r>
        <w:rPr>
          <w:rFonts w:cs="Arial" w:hint="cs"/>
          <w:rtl/>
        </w:rPr>
        <w:t xml:space="preserve"> רש"י</w:t>
      </w:r>
      <w:r w:rsidRPr="00370BC3">
        <w:rPr>
          <w:rFonts w:cs="Arial"/>
          <w:rtl/>
        </w:rPr>
        <w:t xml:space="preserve"> מקדרה שאינה בת יומא דקריא לה נותן טעם לפגם ובודאי שאינה פוגמת התבשיל כ</w:t>
      </w:r>
      <w:r>
        <w:rPr>
          <w:rFonts w:cs="Arial" w:hint="cs"/>
          <w:rtl/>
        </w:rPr>
        <w:t>"</w:t>
      </w:r>
      <w:r w:rsidRPr="00370BC3">
        <w:rPr>
          <w:rFonts w:cs="Arial"/>
          <w:rtl/>
        </w:rPr>
        <w:t>כ עד שאינו נאכל</w:t>
      </w:r>
      <w:r>
        <w:rPr>
          <w:rFonts w:cs="Arial" w:hint="cs"/>
          <w:rtl/>
        </w:rPr>
        <w:t>,</w:t>
      </w:r>
      <w:r w:rsidRPr="00370BC3">
        <w:rPr>
          <w:rFonts w:cs="Arial"/>
          <w:rtl/>
        </w:rPr>
        <w:t xml:space="preserve"> וראיה עוד משמן ודבש ודומיהם שהעמידו בפרק אין מעמידין</w:t>
      </w:r>
      <w:r w:rsidRPr="000F3512">
        <w:rPr>
          <w:rFonts w:cs="Arial"/>
          <w:sz w:val="16"/>
          <w:szCs w:val="16"/>
          <w:rtl/>
        </w:rPr>
        <w:t xml:space="preserve"> (לח:</w:t>
      </w:r>
      <w:r w:rsidRPr="000F3512">
        <w:rPr>
          <w:rFonts w:cs="Arial" w:hint="cs"/>
          <w:sz w:val="16"/>
          <w:szCs w:val="16"/>
          <w:rtl/>
        </w:rPr>
        <w:t xml:space="preserve"> </w:t>
      </w:r>
      <w:r w:rsidRPr="000F3512">
        <w:rPr>
          <w:rFonts w:cs="Arial"/>
          <w:sz w:val="16"/>
          <w:szCs w:val="16"/>
          <w:rtl/>
        </w:rPr>
        <w:t xml:space="preserve">לט:) </w:t>
      </w:r>
      <w:r w:rsidRPr="00370BC3">
        <w:rPr>
          <w:rFonts w:cs="Arial"/>
          <w:rtl/>
        </w:rPr>
        <w:t>משום נותן טעם לפגם ובודאי שאינם נפסלים מאכילת אדם</w:t>
      </w:r>
      <w:r>
        <w:rPr>
          <w:rFonts w:cs="Arial" w:hint="cs"/>
          <w:rtl/>
        </w:rPr>
        <w:t>,</w:t>
      </w:r>
      <w:r w:rsidRPr="00370BC3">
        <w:rPr>
          <w:rFonts w:cs="Arial"/>
          <w:rtl/>
        </w:rPr>
        <w:t xml:space="preserve"> אלמא כל דאיכא פורתא דפגם שרי</w:t>
      </w:r>
      <w:r>
        <w:rPr>
          <w:rFonts w:cs="Arial" w:hint="cs"/>
          <w:rtl/>
        </w:rPr>
        <w:t>,</w:t>
      </w:r>
      <w:r w:rsidRPr="00370BC3">
        <w:rPr>
          <w:rFonts w:cs="Arial"/>
          <w:rtl/>
        </w:rPr>
        <w:t xml:space="preserve"> ואע</w:t>
      </w:r>
      <w:r>
        <w:rPr>
          <w:rFonts w:cs="Arial" w:hint="cs"/>
          <w:rtl/>
        </w:rPr>
        <w:t>"</w:t>
      </w:r>
      <w:r w:rsidRPr="00370BC3">
        <w:rPr>
          <w:rFonts w:cs="Arial"/>
          <w:rtl/>
        </w:rPr>
        <w:t>ג דנותן טעם לפגם מנבלה גמרי לה וכל שראויה לגר שמה נבלה אע</w:t>
      </w:r>
      <w:r>
        <w:rPr>
          <w:rFonts w:cs="Arial" w:hint="cs"/>
          <w:rtl/>
        </w:rPr>
        <w:t>"</w:t>
      </w:r>
      <w:r w:rsidRPr="00370BC3">
        <w:rPr>
          <w:rFonts w:cs="Arial"/>
          <w:rtl/>
        </w:rPr>
        <w:t>פ שנפגמה</w:t>
      </w:r>
      <w:r>
        <w:rPr>
          <w:rFonts w:cs="Arial" w:hint="cs"/>
          <w:rtl/>
        </w:rPr>
        <w:t>,</w:t>
      </w:r>
      <w:r w:rsidRPr="00370BC3">
        <w:rPr>
          <w:rFonts w:cs="Arial"/>
          <w:rtl/>
        </w:rPr>
        <w:t xml:space="preserve"> התם היינו טעמא מפני שנאכלת בפני עצמה ולפיכך אסורה עד שתפגם מאכילת גר</w:t>
      </w:r>
      <w:r>
        <w:rPr>
          <w:rFonts w:cs="Arial" w:hint="cs"/>
          <w:rtl/>
        </w:rPr>
        <w:t>,</w:t>
      </w:r>
      <w:r w:rsidRPr="00370BC3">
        <w:rPr>
          <w:rFonts w:cs="Arial"/>
          <w:rtl/>
        </w:rPr>
        <w:t xml:space="preserve"> אבל איסור תערובות שהולכין בו אחר נותן טעם כל שטעמו פוגם התבשיל קצת מותר לפי שאינו נותן טעם דאדרבה פוגם הוא</w:t>
      </w:r>
      <w:r>
        <w:rPr>
          <w:rFonts w:cs="Arial" w:hint="cs"/>
          <w:sz w:val="16"/>
          <w:szCs w:val="16"/>
          <w:rtl/>
        </w:rPr>
        <w:t xml:space="preserve"> (ל' הב"י)</w:t>
      </w:r>
      <w:r w:rsidRPr="00370BC3">
        <w:rPr>
          <w:rFonts w:cs="Arial"/>
          <w:rtl/>
        </w:rPr>
        <w:t>.</w:t>
      </w:r>
    </w:p>
  </w:footnote>
  <w:footnote w:id="2070">
    <w:p w14:paraId="43397090" w14:textId="77777777" w:rsidR="004C5A3C" w:rsidRDefault="004C5A3C" w:rsidP="002C39F4">
      <w:pPr>
        <w:pStyle w:val="a5"/>
        <w:rPr>
          <w:rtl/>
        </w:rPr>
      </w:pPr>
      <w:r>
        <w:rPr>
          <w:rStyle w:val="a7"/>
        </w:rPr>
        <w:footnoteRef/>
      </w:r>
      <w:r>
        <w:rPr>
          <w:rtl/>
        </w:rPr>
        <w:t xml:space="preserve"> </w:t>
      </w:r>
      <w:r w:rsidRPr="00370BC3">
        <w:rPr>
          <w:rFonts w:cs="Arial"/>
          <w:rtl/>
        </w:rPr>
        <w:t>דכשההיתר רבה על האיסור האיסור המועט בטל אצל ההיתר המרובה</w:t>
      </w:r>
      <w:r>
        <w:rPr>
          <w:rFonts w:cs="Arial" w:hint="cs"/>
          <w:rtl/>
        </w:rPr>
        <w:t>,</w:t>
      </w:r>
      <w:r w:rsidRPr="00370BC3">
        <w:rPr>
          <w:rFonts w:cs="Arial"/>
          <w:rtl/>
        </w:rPr>
        <w:t xml:space="preserve"> ואי משום טעמו של איסור שהוא נטעם ונרגש בו כאילו הוא בעינו טעם כזה אינו טעם לאסור ההיתר המרובה דאדרבה הוא פוגמו</w:t>
      </w:r>
      <w:r>
        <w:rPr>
          <w:rFonts w:hint="cs"/>
          <w:rtl/>
        </w:rPr>
        <w:t>, רשב"א.</w:t>
      </w:r>
    </w:p>
  </w:footnote>
  <w:footnote w:id="2071">
    <w:p w14:paraId="0DA02CB1" w14:textId="77777777" w:rsidR="004C5A3C" w:rsidRDefault="004C5A3C" w:rsidP="002C39F4">
      <w:pPr>
        <w:pStyle w:val="a5"/>
        <w:rPr>
          <w:rtl/>
        </w:rPr>
      </w:pPr>
      <w:r>
        <w:rPr>
          <w:rStyle w:val="a7"/>
        </w:rPr>
        <w:footnoteRef/>
      </w:r>
      <w:r>
        <w:rPr>
          <w:rtl/>
        </w:rPr>
        <w:t xml:space="preserve"> </w:t>
      </w:r>
      <w:r w:rsidRPr="00370BC3">
        <w:rPr>
          <w:rFonts w:cs="Arial"/>
          <w:rtl/>
        </w:rPr>
        <w:t>ואע</w:t>
      </w:r>
      <w:r>
        <w:rPr>
          <w:rFonts w:cs="Arial" w:hint="cs"/>
          <w:rtl/>
        </w:rPr>
        <w:t>"</w:t>
      </w:r>
      <w:r w:rsidRPr="00370BC3">
        <w:rPr>
          <w:rFonts w:cs="Arial"/>
          <w:rtl/>
        </w:rPr>
        <w:t>פ שמשערים בכולו משום דמאי דנפיק מיניה לא ידעינן</w:t>
      </w:r>
      <w:r>
        <w:rPr>
          <w:rFonts w:cs="Arial" w:hint="cs"/>
          <w:rtl/>
        </w:rPr>
        <w:t>,</w:t>
      </w:r>
      <w:r w:rsidRPr="00370BC3">
        <w:rPr>
          <w:rFonts w:cs="Arial"/>
          <w:rtl/>
        </w:rPr>
        <w:t xml:space="preserve"> השתא דאין בו בהנאתו בנותן טעם אין אוסר תערובתו כלל</w:t>
      </w:r>
      <w:r>
        <w:rPr>
          <w:rFonts w:cs="Arial" w:hint="cs"/>
          <w:rtl/>
        </w:rPr>
        <w:t>,</w:t>
      </w:r>
      <w:r w:rsidRPr="00370BC3">
        <w:rPr>
          <w:rFonts w:cs="Arial"/>
          <w:rtl/>
        </w:rPr>
        <w:t xml:space="preserve"> וכמו שאמרנו בהיתר שנתבשל בקדרה שאינה בת יומא</w:t>
      </w:r>
      <w:r>
        <w:rPr>
          <w:rFonts w:cs="Arial" w:hint="cs"/>
          <w:rtl/>
        </w:rPr>
        <w:t>,</w:t>
      </w:r>
      <w:r w:rsidRPr="00370BC3">
        <w:rPr>
          <w:rFonts w:cs="Arial"/>
          <w:rtl/>
        </w:rPr>
        <w:t xml:space="preserve"> והטעם בכל אלו מפני שבודאי ידענו שאין פליטתו בכולו אלא כל שטעמו לשבח אנו מחמירין בו שאנו חוששים שמא פלטה עד שיתן טעם בתערובת ולפיכך כל שטעמו קפילא ואין בו טעם מתירין אותו</w:t>
      </w:r>
      <w:r>
        <w:rPr>
          <w:rFonts w:cs="Arial" w:hint="cs"/>
          <w:rtl/>
        </w:rPr>
        <w:t>,</w:t>
      </w:r>
      <w:r w:rsidRPr="00370BC3">
        <w:rPr>
          <w:rFonts w:cs="Arial"/>
          <w:rtl/>
        </w:rPr>
        <w:t xml:space="preserve"> והלכך כשהאיסור פגום אין משערין בכולו אלא בטעמו וטעמו כמי שאינו שהרי פגום הוא</w:t>
      </w:r>
      <w:r>
        <w:rPr>
          <w:rFonts w:cs="Arial" w:hint="cs"/>
          <w:rtl/>
        </w:rPr>
        <w:t xml:space="preserve">, רשב"א. </w:t>
      </w:r>
    </w:p>
  </w:footnote>
  <w:footnote w:id="2072">
    <w:p w14:paraId="54DF4DC1" w14:textId="77777777" w:rsidR="004C5A3C" w:rsidRDefault="004C5A3C" w:rsidP="002C39F4">
      <w:pPr>
        <w:pStyle w:val="a5"/>
        <w:rPr>
          <w:rtl/>
        </w:rPr>
      </w:pPr>
      <w:r>
        <w:rPr>
          <w:rStyle w:val="a7"/>
        </w:rPr>
        <w:footnoteRef/>
      </w:r>
      <w:r>
        <w:rPr>
          <w:rtl/>
        </w:rPr>
        <w:t xml:space="preserve"> </w:t>
      </w:r>
      <w:r>
        <w:rPr>
          <w:rFonts w:hint="cs"/>
          <w:rtl/>
        </w:rPr>
        <w:t>הר"ן כתב וז"ל-</w:t>
      </w:r>
      <w:r>
        <w:rPr>
          <w:rFonts w:cs="Arial" w:hint="cs"/>
          <w:rtl/>
        </w:rPr>
        <w:t xml:space="preserve"> </w:t>
      </w:r>
      <w:r w:rsidRPr="00370BC3">
        <w:rPr>
          <w:rFonts w:cs="Arial"/>
          <w:rtl/>
        </w:rPr>
        <w:t>עדיין צריך ליישב היכי גמרינן לה מנבלה</w:t>
      </w:r>
      <w:r>
        <w:rPr>
          <w:rFonts w:cs="Arial" w:hint="cs"/>
          <w:rtl/>
        </w:rPr>
        <w:t>,</w:t>
      </w:r>
      <w:r w:rsidRPr="00370BC3">
        <w:rPr>
          <w:rFonts w:cs="Arial"/>
          <w:rtl/>
        </w:rPr>
        <w:t xml:space="preserve"> ונ</w:t>
      </w:r>
      <w:r>
        <w:rPr>
          <w:rFonts w:cs="Arial" w:hint="cs"/>
          <w:rtl/>
        </w:rPr>
        <w:t>"</w:t>
      </w:r>
      <w:r w:rsidRPr="00370BC3">
        <w:rPr>
          <w:rFonts w:cs="Arial"/>
          <w:rtl/>
        </w:rPr>
        <w:t>ל דהיינו טעמא שלא אסרתה תורה אלא כשהיא ראויה לגר מפני שהאוכלה נהנה מן האיסור אע</w:t>
      </w:r>
      <w:r>
        <w:rPr>
          <w:rFonts w:cs="Arial" w:hint="cs"/>
          <w:rtl/>
        </w:rPr>
        <w:t>"</w:t>
      </w:r>
      <w:r w:rsidRPr="00370BC3">
        <w:rPr>
          <w:rFonts w:cs="Arial"/>
          <w:rtl/>
        </w:rPr>
        <w:t>פ שהיא נפגמה קצת אבל כל שאינה ראויה לגר כיון שאינו נהנה מן האיסור התירתו תורה ואע</w:t>
      </w:r>
      <w:r>
        <w:rPr>
          <w:rFonts w:cs="Arial" w:hint="cs"/>
          <w:rtl/>
        </w:rPr>
        <w:t>"</w:t>
      </w:r>
      <w:r w:rsidRPr="00370BC3">
        <w:rPr>
          <w:rFonts w:cs="Arial"/>
          <w:rtl/>
        </w:rPr>
        <w:t>פ שחל עליה איסור מתחלה אף באיסור שנותן טעם בהיתר כיון שההיתר נפגם קצת מן האיסור נמצא שזה שאוכלו אינו נהנה מן האיסור אלא מצטער עליו הלכך שרי אע</w:t>
      </w:r>
      <w:r>
        <w:rPr>
          <w:rFonts w:cs="Arial" w:hint="cs"/>
          <w:rtl/>
        </w:rPr>
        <w:t>"</w:t>
      </w:r>
      <w:r w:rsidRPr="00370BC3">
        <w:rPr>
          <w:rFonts w:cs="Arial"/>
          <w:rtl/>
        </w:rPr>
        <w:t>פ שחל איסור מתחלה באותו דבר שנתערב בהיתר ולפי זה קרוב אני לומר ש</w:t>
      </w:r>
      <w:r>
        <w:rPr>
          <w:rFonts w:hint="cs"/>
          <w:rtl/>
        </w:rPr>
        <w:t xml:space="preserve">-... </w:t>
      </w:r>
    </w:p>
  </w:footnote>
  <w:footnote w:id="2073">
    <w:p w14:paraId="15B6BB95" w14:textId="77777777" w:rsidR="004C5A3C" w:rsidRDefault="004C5A3C" w:rsidP="002C39F4">
      <w:pPr>
        <w:pStyle w:val="a5"/>
        <w:rPr>
          <w:rtl/>
        </w:rPr>
      </w:pPr>
      <w:r>
        <w:rPr>
          <w:rStyle w:val="a7"/>
        </w:rPr>
        <w:footnoteRef/>
      </w:r>
      <w:r>
        <w:rPr>
          <w:rtl/>
        </w:rPr>
        <w:t xml:space="preserve"> </w:t>
      </w:r>
      <w:r w:rsidRPr="00370BC3">
        <w:rPr>
          <w:rFonts w:cs="Arial"/>
          <w:rtl/>
        </w:rPr>
        <w:t>אבל הרשב"א התיר בספר תו</w:t>
      </w:r>
      <w:r>
        <w:rPr>
          <w:rFonts w:cs="Arial" w:hint="cs"/>
          <w:rtl/>
        </w:rPr>
        <w:t xml:space="preserve">ה"א </w:t>
      </w:r>
      <w:r w:rsidRPr="00370BC3">
        <w:rPr>
          <w:rFonts w:cs="Arial"/>
          <w:rtl/>
        </w:rPr>
        <w:t>כל שההיתר מרובה מן האיסור וקא יהיב טעמא</w:t>
      </w:r>
      <w:r>
        <w:rPr>
          <w:rFonts w:cs="Arial" w:hint="cs"/>
          <w:rtl/>
        </w:rPr>
        <w:t>,</w:t>
      </w:r>
      <w:r w:rsidRPr="00370BC3">
        <w:rPr>
          <w:rFonts w:cs="Arial"/>
          <w:rtl/>
        </w:rPr>
        <w:t xml:space="preserve"> דאי משום ממשו דאורייתא ברובא בטיל</w:t>
      </w:r>
      <w:r>
        <w:rPr>
          <w:rFonts w:cs="Arial" w:hint="cs"/>
          <w:rtl/>
        </w:rPr>
        <w:t>,</w:t>
      </w:r>
      <w:r w:rsidRPr="00370BC3">
        <w:rPr>
          <w:rFonts w:cs="Arial"/>
          <w:rtl/>
        </w:rPr>
        <w:t xml:space="preserve"> ואי משום טעמו אין כאן נותן טעם כיון שהוא פוגם</w:t>
      </w:r>
      <w:r>
        <w:rPr>
          <w:rFonts w:cs="Arial" w:hint="cs"/>
          <w:rtl/>
        </w:rPr>
        <w:t>,</w:t>
      </w:r>
      <w:r w:rsidRPr="00370BC3">
        <w:rPr>
          <w:rFonts w:cs="Arial"/>
          <w:rtl/>
        </w:rPr>
        <w:t xml:space="preserve"> אלו דבריו ז"ל ואין דעתי נוחה בהיתר זה</w:t>
      </w:r>
      <w:r>
        <w:rPr>
          <w:rFonts w:hint="cs"/>
          <w:rtl/>
        </w:rPr>
        <w:t>, ר"ן.</w:t>
      </w:r>
    </w:p>
  </w:footnote>
  <w:footnote w:id="2074">
    <w:p w14:paraId="1E470E22" w14:textId="77777777" w:rsidR="004C5A3C" w:rsidRDefault="004C5A3C" w:rsidP="002C39F4">
      <w:pPr>
        <w:pStyle w:val="a5"/>
      </w:pPr>
      <w:r>
        <w:rPr>
          <w:rStyle w:val="a7"/>
        </w:rPr>
        <w:footnoteRef/>
      </w:r>
      <w:r>
        <w:rPr>
          <w:rtl/>
        </w:rPr>
        <w:t xml:space="preserve"> </w:t>
      </w:r>
      <w:r w:rsidRPr="00B2199F">
        <w:rPr>
          <w:rFonts w:cs="Arial"/>
          <w:rtl/>
        </w:rPr>
        <w:t>וצ"ע דלמה מחלק בין טעם לעיקר דהרי טעם כעיקר הוא דאו</w:t>
      </w:r>
      <w:r>
        <w:rPr>
          <w:rFonts w:cs="Arial" w:hint="cs"/>
          <w:rtl/>
        </w:rPr>
        <w:t>'</w:t>
      </w:r>
      <w:r w:rsidRPr="00B2199F">
        <w:rPr>
          <w:rFonts w:cs="Arial"/>
          <w:rtl/>
        </w:rPr>
        <w:t xml:space="preserve"> לפי דברי ר"ת וקי"ל כוותיה כמ"ש בסי</w:t>
      </w:r>
      <w:r>
        <w:rPr>
          <w:rFonts w:cs="Arial" w:hint="cs"/>
          <w:rtl/>
        </w:rPr>
        <w:t>'</w:t>
      </w:r>
      <w:r w:rsidRPr="00B2199F">
        <w:rPr>
          <w:rFonts w:cs="Arial"/>
          <w:rtl/>
        </w:rPr>
        <w:t xml:space="preserve"> צ"ח</w:t>
      </w:r>
      <w:r w:rsidRPr="000D0C58">
        <w:rPr>
          <w:rFonts w:cs="Arial"/>
          <w:sz w:val="16"/>
          <w:szCs w:val="16"/>
          <w:rtl/>
        </w:rPr>
        <w:t xml:space="preserve"> (אות ד) </w:t>
      </w:r>
      <w:r w:rsidRPr="00B2199F">
        <w:rPr>
          <w:rFonts w:cs="Arial"/>
          <w:rtl/>
        </w:rPr>
        <w:t>וטעמא דמין שלא במינו אינו בטל כתב הוא מכח טעם כעיקר א</w:t>
      </w:r>
      <w:r>
        <w:rPr>
          <w:rFonts w:cs="Arial" w:hint="cs"/>
          <w:rtl/>
        </w:rPr>
        <w:t>"</w:t>
      </w:r>
      <w:r w:rsidRPr="00B2199F">
        <w:rPr>
          <w:rFonts w:cs="Arial"/>
          <w:rtl/>
        </w:rPr>
        <w:t>כ מה לי אם הוא ימחה או האיסור בעצמו הלא שניהם הם איסור דאו</w:t>
      </w:r>
      <w:r>
        <w:rPr>
          <w:rFonts w:cs="Arial" w:hint="cs"/>
          <w:rtl/>
        </w:rPr>
        <w:t>', דרכ"מ</w:t>
      </w:r>
      <w:r w:rsidRPr="000D0C58">
        <w:rPr>
          <w:rFonts w:cs="Arial" w:hint="cs"/>
          <w:sz w:val="16"/>
          <w:szCs w:val="16"/>
          <w:rtl/>
        </w:rPr>
        <w:t xml:space="preserve"> (אות ג)</w:t>
      </w:r>
      <w:r>
        <w:rPr>
          <w:rFonts w:cs="Arial" w:hint="cs"/>
          <w:rtl/>
        </w:rPr>
        <w:t>.</w:t>
      </w:r>
      <w:r>
        <w:rPr>
          <w:rFonts w:hint="cs"/>
          <w:rtl/>
        </w:rPr>
        <w:t xml:space="preserve"> והביא הש"ך (סק"ג) את דברי הרמ"א בת"ח</w:t>
      </w:r>
      <w:r w:rsidRPr="00667702">
        <w:rPr>
          <w:rtl/>
        </w:rPr>
        <w:t xml:space="preserve"> </w:t>
      </w:r>
      <w:r>
        <w:rPr>
          <w:rFonts w:cs="Arial" w:hint="cs"/>
          <w:rtl/>
        </w:rPr>
        <w:t>(</w:t>
      </w:r>
      <w:r w:rsidRPr="00667702">
        <w:rPr>
          <w:rFonts w:cs="Arial"/>
          <w:rtl/>
        </w:rPr>
        <w:t>סוף כלל פ"ה</w:t>
      </w:r>
      <w:r>
        <w:rPr>
          <w:rFonts w:cs="Arial" w:hint="cs"/>
          <w:rtl/>
        </w:rPr>
        <w:t>)</w:t>
      </w:r>
      <w:r w:rsidRPr="00667702">
        <w:rPr>
          <w:rFonts w:cs="Arial"/>
          <w:rtl/>
        </w:rPr>
        <w:t xml:space="preserve"> דאין לחלק בין נמחה ללא נמחה דהא טעם כעיקר דאורייתא אלא דטעם פגום לא חשיב טעם ובטל אם כן ה"ה גוף האיסור נמי בטל ברוב כו'</w:t>
      </w:r>
      <w:r>
        <w:rPr>
          <w:rFonts w:cs="Arial" w:hint="cs"/>
          <w:rtl/>
        </w:rPr>
        <w:t>.</w:t>
      </w:r>
    </w:p>
  </w:footnote>
  <w:footnote w:id="2075">
    <w:p w14:paraId="26F60160" w14:textId="77777777" w:rsidR="004C5A3C" w:rsidRDefault="004C5A3C" w:rsidP="002C39F4">
      <w:pPr>
        <w:pStyle w:val="a5"/>
        <w:rPr>
          <w:rtl/>
        </w:rPr>
      </w:pPr>
      <w:r>
        <w:rPr>
          <w:rStyle w:val="a7"/>
        </w:rPr>
        <w:footnoteRef/>
      </w:r>
      <w:r>
        <w:rPr>
          <w:rtl/>
        </w:rPr>
        <w:t xml:space="preserve"> </w:t>
      </w:r>
      <w:r w:rsidRPr="005616E5">
        <w:rPr>
          <w:rFonts w:cs="Arial"/>
          <w:rtl/>
        </w:rPr>
        <w:t>חומץ פוגם גריסין רותחין ומשביח את הצונן</w:t>
      </w:r>
      <w:r>
        <w:rPr>
          <w:rFonts w:cs="Arial" w:hint="cs"/>
          <w:rtl/>
        </w:rPr>
        <w:t>, רש"י (ד"ה חומץ)</w:t>
      </w:r>
      <w:r w:rsidRPr="005616E5">
        <w:rPr>
          <w:rFonts w:cs="Arial"/>
          <w:rtl/>
        </w:rPr>
        <w:t>.</w:t>
      </w:r>
    </w:p>
  </w:footnote>
  <w:footnote w:id="2076">
    <w:p w14:paraId="469F7D3E" w14:textId="77777777" w:rsidR="004C5A3C" w:rsidRDefault="004C5A3C" w:rsidP="002C39F4">
      <w:pPr>
        <w:pStyle w:val="a5"/>
        <w:rPr>
          <w:rtl/>
        </w:rPr>
      </w:pPr>
      <w:r>
        <w:rPr>
          <w:rStyle w:val="a7"/>
        </w:rPr>
        <w:footnoteRef/>
      </w:r>
      <w:r>
        <w:rPr>
          <w:rtl/>
        </w:rPr>
        <w:t xml:space="preserve"> </w:t>
      </w:r>
      <w:r w:rsidRPr="00C62D13">
        <w:rPr>
          <w:rFonts w:cs="Arial"/>
          <w:rtl/>
        </w:rPr>
        <w:t>נראה לי דהכי קאמר לא תימא כיון שסוף חומץ זה לפגום כשירתיח שנראה אותו כפוגם מתחלתו אלא נעשה כתבשיל שהשביח מחמת האיסור ולבסוף פגם מחמת עצמו דאסור עד שיפסל מלאכול לאדם</w:t>
      </w:r>
      <w:r>
        <w:rPr>
          <w:rFonts w:cs="Arial" w:hint="cs"/>
          <w:rtl/>
        </w:rPr>
        <w:t>,</w:t>
      </w:r>
      <w:r w:rsidRPr="00C62D13">
        <w:rPr>
          <w:rFonts w:cs="Arial"/>
          <w:rtl/>
        </w:rPr>
        <w:t xml:space="preserve"> ר"ן (לב. ד"ה נעשה)</w:t>
      </w:r>
      <w:r>
        <w:rPr>
          <w:rFonts w:cs="Arial" w:hint="cs"/>
          <w:rtl/>
        </w:rPr>
        <w:t>.</w:t>
      </w:r>
    </w:p>
  </w:footnote>
  <w:footnote w:id="2077">
    <w:p w14:paraId="6F94844B" w14:textId="77777777" w:rsidR="004C5A3C" w:rsidRDefault="004C5A3C" w:rsidP="002C39F4">
      <w:pPr>
        <w:pStyle w:val="a5"/>
        <w:rPr>
          <w:rtl/>
        </w:rPr>
      </w:pPr>
      <w:r>
        <w:rPr>
          <w:rStyle w:val="a7"/>
        </w:rPr>
        <w:footnoteRef/>
      </w:r>
      <w:r>
        <w:rPr>
          <w:rtl/>
        </w:rPr>
        <w:t xml:space="preserve"> </w:t>
      </w:r>
      <w:r w:rsidRPr="005616E5">
        <w:rPr>
          <w:rFonts w:cs="Arial"/>
          <w:rtl/>
        </w:rPr>
        <w:t>נותנין חומץ לתוך הגריסין צונן והיה משביחן ורב דימי קאמר לה</w:t>
      </w:r>
      <w:r>
        <w:rPr>
          <w:rFonts w:cs="Arial" w:hint="cs"/>
          <w:rtl/>
        </w:rPr>
        <w:t>, רש"י</w:t>
      </w:r>
      <w:r w:rsidRPr="005616E5">
        <w:rPr>
          <w:rFonts w:cs="Arial"/>
          <w:rtl/>
        </w:rPr>
        <w:t>.</w:t>
      </w:r>
    </w:p>
  </w:footnote>
  <w:footnote w:id="2078">
    <w:p w14:paraId="2FA42A1B" w14:textId="77777777" w:rsidR="004C5A3C" w:rsidRDefault="004C5A3C" w:rsidP="002C39F4">
      <w:pPr>
        <w:pStyle w:val="a5"/>
      </w:pPr>
      <w:r>
        <w:rPr>
          <w:rStyle w:val="a7"/>
        </w:rPr>
        <w:footnoteRef/>
      </w:r>
      <w:r>
        <w:rPr>
          <w:rtl/>
        </w:rPr>
        <w:t xml:space="preserve"> </w:t>
      </w:r>
      <w:r w:rsidRPr="00C62D13">
        <w:rPr>
          <w:rFonts w:cs="Arial"/>
          <w:rtl/>
        </w:rPr>
        <w:t>ואע</w:t>
      </w:r>
      <w:r>
        <w:rPr>
          <w:rFonts w:cs="Arial" w:hint="cs"/>
          <w:rtl/>
        </w:rPr>
        <w:t>"</w:t>
      </w:r>
      <w:r w:rsidRPr="00C62D13">
        <w:rPr>
          <w:rFonts w:cs="Arial"/>
          <w:rtl/>
        </w:rPr>
        <w:t>פ שלא אמרו בגמרא אלא השביח ולבסוף פגם כתב רבינו פגם ולבסוף השביח נמי אסור</w:t>
      </w:r>
      <w:r>
        <w:rPr>
          <w:rFonts w:cs="Arial" w:hint="cs"/>
          <w:rtl/>
        </w:rPr>
        <w:t>,</w:t>
      </w:r>
      <w:r w:rsidRPr="00C62D13">
        <w:rPr>
          <w:rFonts w:cs="Arial"/>
          <w:rtl/>
        </w:rPr>
        <w:t xml:space="preserve"> וכ</w:t>
      </w:r>
      <w:r>
        <w:rPr>
          <w:rFonts w:cs="Arial" w:hint="cs"/>
          <w:rtl/>
        </w:rPr>
        <w:t>"כ</w:t>
      </w:r>
      <w:r w:rsidRPr="00C62D13">
        <w:rPr>
          <w:rFonts w:cs="Arial"/>
          <w:rtl/>
        </w:rPr>
        <w:t xml:space="preserve"> הרמב"ם </w:t>
      </w:r>
      <w:r w:rsidRPr="00E75B46">
        <w:rPr>
          <w:rFonts w:cs="Arial"/>
          <w:sz w:val="16"/>
          <w:szCs w:val="16"/>
          <w:rtl/>
        </w:rPr>
        <w:t xml:space="preserve">(מאכ"א פט"ו הכ"א) </w:t>
      </w:r>
      <w:r w:rsidRPr="00C62D13">
        <w:rPr>
          <w:rFonts w:cs="Arial"/>
          <w:rtl/>
        </w:rPr>
        <w:t>והרשב"א ז"ל</w:t>
      </w:r>
      <w:r>
        <w:rPr>
          <w:rFonts w:cs="Arial" w:hint="cs"/>
          <w:rtl/>
        </w:rPr>
        <w:t>,</w:t>
      </w:r>
      <w:r w:rsidRPr="00C62D13">
        <w:rPr>
          <w:rFonts w:cs="Arial"/>
          <w:rtl/>
        </w:rPr>
        <w:t xml:space="preserve"> וטעמא משום דכל שכן הוא</w:t>
      </w:r>
      <w:r>
        <w:rPr>
          <w:rFonts w:cs="Arial" w:hint="cs"/>
          <w:rtl/>
        </w:rPr>
        <w:t>,</w:t>
      </w:r>
      <w:r w:rsidRPr="00C62D13">
        <w:rPr>
          <w:rFonts w:cs="Arial"/>
          <w:rtl/>
        </w:rPr>
        <w:t xml:space="preserve"> השתא פגם לבסוף אסור מפני שהשביח מתחלה אע</w:t>
      </w:r>
      <w:r>
        <w:rPr>
          <w:rFonts w:cs="Arial" w:hint="cs"/>
          <w:rtl/>
        </w:rPr>
        <w:t>"</w:t>
      </w:r>
      <w:r w:rsidRPr="00C62D13">
        <w:rPr>
          <w:rFonts w:cs="Arial"/>
          <w:rtl/>
        </w:rPr>
        <w:t>פ שאותו שבח על מנת לפגום הוא פגום תחלה כל שכן דאסור דהא פגם זה אינו פגם כיון שהוא על מנת להשביח</w:t>
      </w:r>
      <w:r>
        <w:rPr>
          <w:rFonts w:cs="Arial" w:hint="cs"/>
          <w:rtl/>
        </w:rPr>
        <w:t>, ב"י.</w:t>
      </w:r>
    </w:p>
  </w:footnote>
  <w:footnote w:id="2079">
    <w:p w14:paraId="47F02733" w14:textId="77777777" w:rsidR="004C5A3C" w:rsidRDefault="004C5A3C" w:rsidP="002C39F4">
      <w:pPr>
        <w:pStyle w:val="a5"/>
        <w:rPr>
          <w:rtl/>
        </w:rPr>
      </w:pPr>
      <w:r>
        <w:rPr>
          <w:rStyle w:val="a7"/>
        </w:rPr>
        <w:footnoteRef/>
      </w:r>
      <w:r>
        <w:rPr>
          <w:rtl/>
        </w:rPr>
        <w:t xml:space="preserve"> </w:t>
      </w:r>
      <w:r w:rsidRPr="002E1A2B">
        <w:rPr>
          <w:rFonts w:cs="Arial"/>
          <w:rtl/>
        </w:rPr>
        <w:t>וכן צירו של איסור</w:t>
      </w:r>
      <w:r>
        <w:rPr>
          <w:rFonts w:cs="Arial" w:hint="cs"/>
          <w:rtl/>
        </w:rPr>
        <w:t>,</w:t>
      </w:r>
      <w:r w:rsidRPr="002E1A2B">
        <w:rPr>
          <w:rFonts w:cs="Arial"/>
          <w:rtl/>
        </w:rPr>
        <w:t xml:space="preserve"> טור בשם הרשב"א</w:t>
      </w:r>
      <w:r>
        <w:rPr>
          <w:rFonts w:hint="cs"/>
          <w:rtl/>
        </w:rPr>
        <w:t>, ש"ך (סק"ד).</w:t>
      </w:r>
      <w:r w:rsidRPr="002E1A2B">
        <w:rPr>
          <w:rtl/>
        </w:rPr>
        <w:t xml:space="preserve"> </w:t>
      </w:r>
      <w:r w:rsidRPr="002E1A2B">
        <w:rPr>
          <w:rFonts w:cs="Arial"/>
          <w:rtl/>
        </w:rPr>
        <w:t>מ</w:t>
      </w:r>
      <w:r>
        <w:rPr>
          <w:rFonts w:cs="Arial" w:hint="cs"/>
          <w:rtl/>
        </w:rPr>
        <w:t xml:space="preserve">שום </w:t>
      </w:r>
      <w:r w:rsidRPr="002E1A2B">
        <w:rPr>
          <w:rFonts w:cs="Arial"/>
          <w:rtl/>
        </w:rPr>
        <w:t>ה</w:t>
      </w:r>
      <w:r>
        <w:rPr>
          <w:rFonts w:cs="Arial" w:hint="cs"/>
          <w:rtl/>
        </w:rPr>
        <w:t>כי</w:t>
      </w:r>
      <w:r w:rsidRPr="002E1A2B">
        <w:rPr>
          <w:rFonts w:cs="Arial"/>
          <w:rtl/>
        </w:rPr>
        <w:t xml:space="preserve"> אם נתערב ציר בעין של איסור להיתר צריך שיהא פוגם לגמרי או שיהא רוב היתר</w:t>
      </w:r>
      <w:r>
        <w:rPr>
          <w:rFonts w:cs="Arial" w:hint="cs"/>
          <w:rtl/>
        </w:rPr>
        <w:t>,</w:t>
      </w:r>
      <w:r w:rsidRPr="002E1A2B">
        <w:rPr>
          <w:rFonts w:cs="Arial"/>
          <w:rtl/>
        </w:rPr>
        <w:t xml:space="preserve"> וכ"כ ב</w:t>
      </w:r>
      <w:r>
        <w:rPr>
          <w:rFonts w:cs="Arial"/>
          <w:rtl/>
        </w:rPr>
        <w:t>או"ה</w:t>
      </w:r>
      <w:r>
        <w:rPr>
          <w:rFonts w:cs="Arial" w:hint="cs"/>
          <w:rtl/>
        </w:rPr>
        <w:t>, ט"ז (סק"ג).</w:t>
      </w:r>
    </w:p>
  </w:footnote>
  <w:footnote w:id="2080">
    <w:p w14:paraId="631C9DC0" w14:textId="77777777" w:rsidR="004C5A3C" w:rsidRDefault="004C5A3C" w:rsidP="002C39F4">
      <w:pPr>
        <w:pStyle w:val="a5"/>
        <w:rPr>
          <w:rtl/>
        </w:rPr>
      </w:pPr>
      <w:r>
        <w:rPr>
          <w:rStyle w:val="a7"/>
        </w:rPr>
        <w:footnoteRef/>
      </w:r>
      <w:r>
        <w:rPr>
          <w:rtl/>
        </w:rPr>
        <w:t xml:space="preserve"> </w:t>
      </w:r>
      <w:r w:rsidRPr="00E272D0">
        <w:rPr>
          <w:rFonts w:cs="Arial"/>
          <w:rtl/>
        </w:rPr>
        <w:t>מלתא באפי נפשיה היא</w:t>
      </w:r>
      <w:r>
        <w:rPr>
          <w:rFonts w:cs="Arial" w:hint="cs"/>
          <w:rtl/>
        </w:rPr>
        <w:t>, ש"ך (סק"ו). וקאי אריש הסימן, ט"ז (סק"ה).</w:t>
      </w:r>
    </w:p>
  </w:footnote>
  <w:footnote w:id="2081">
    <w:p w14:paraId="5BDCC0DD" w14:textId="77777777" w:rsidR="004C5A3C" w:rsidRDefault="004C5A3C" w:rsidP="002C39F4">
      <w:pPr>
        <w:pStyle w:val="a5"/>
        <w:rPr>
          <w:rtl/>
        </w:rPr>
      </w:pPr>
      <w:r>
        <w:rPr>
          <w:rStyle w:val="a7"/>
        </w:rPr>
        <w:footnoteRef/>
      </w:r>
      <w:r>
        <w:rPr>
          <w:rtl/>
        </w:rPr>
        <w:t xml:space="preserve"> </w:t>
      </w:r>
      <w:r w:rsidRPr="002E1A2B">
        <w:rPr>
          <w:rFonts w:cs="Arial"/>
          <w:rtl/>
        </w:rPr>
        <w:t xml:space="preserve">כגון חומץ יין נסך שנפל לתוך גריסין דמותר היינו שנפלו ברותחין ואוכלן כשהן רותחין </w:t>
      </w:r>
      <w:r w:rsidRPr="00E272D0">
        <w:rPr>
          <w:rFonts w:cs="Arial" w:hint="cs"/>
          <w:sz w:val="16"/>
          <w:szCs w:val="16"/>
          <w:rtl/>
        </w:rPr>
        <w:t>(</w:t>
      </w:r>
      <w:r w:rsidRPr="00E272D0">
        <w:rPr>
          <w:rFonts w:cs="Arial"/>
          <w:sz w:val="16"/>
          <w:szCs w:val="16"/>
          <w:rtl/>
        </w:rPr>
        <w:t>וכן הוא בלבוש</w:t>
      </w:r>
      <w:r w:rsidRPr="00E272D0">
        <w:rPr>
          <w:rFonts w:cs="Arial" w:hint="cs"/>
          <w:sz w:val="16"/>
          <w:szCs w:val="16"/>
          <w:rtl/>
        </w:rPr>
        <w:t>,</w:t>
      </w:r>
      <w:r w:rsidRPr="00E272D0">
        <w:rPr>
          <w:rFonts w:cs="Arial"/>
          <w:sz w:val="16"/>
          <w:szCs w:val="16"/>
          <w:rtl/>
        </w:rPr>
        <w:t xml:space="preserve"> אלא שבפרישה כתב דברותחין וציננן מותר מכח מש</w:t>
      </w:r>
      <w:r w:rsidRPr="00E272D0">
        <w:rPr>
          <w:rFonts w:cs="Arial" w:hint="cs"/>
          <w:sz w:val="16"/>
          <w:szCs w:val="16"/>
          <w:rtl/>
        </w:rPr>
        <w:t>"</w:t>
      </w:r>
      <w:r w:rsidRPr="00E272D0">
        <w:rPr>
          <w:rFonts w:cs="Arial"/>
          <w:sz w:val="16"/>
          <w:szCs w:val="16"/>
          <w:rtl/>
        </w:rPr>
        <w:t>כ הטור ריש הסימן</w:t>
      </w:r>
      <w:r w:rsidRPr="00E272D0">
        <w:rPr>
          <w:rFonts w:cs="Arial" w:hint="cs"/>
          <w:sz w:val="16"/>
          <w:szCs w:val="16"/>
          <w:rtl/>
        </w:rPr>
        <w:t>,</w:t>
      </w:r>
      <w:r w:rsidRPr="00E272D0">
        <w:rPr>
          <w:rFonts w:cs="Arial"/>
          <w:sz w:val="16"/>
          <w:szCs w:val="16"/>
          <w:rtl/>
        </w:rPr>
        <w:t xml:space="preserve"> והוא תמוה מאד</w:t>
      </w:r>
      <w:r>
        <w:rPr>
          <w:rFonts w:cs="Arial" w:hint="cs"/>
          <w:sz w:val="16"/>
          <w:szCs w:val="16"/>
          <w:rtl/>
        </w:rPr>
        <w:t>)</w:t>
      </w:r>
      <w:r>
        <w:rPr>
          <w:rFonts w:hint="cs"/>
          <w:rtl/>
        </w:rPr>
        <w:t>, ט"ז</w:t>
      </w:r>
      <w:r w:rsidRPr="002E1A2B">
        <w:rPr>
          <w:rFonts w:hint="cs"/>
          <w:sz w:val="16"/>
          <w:szCs w:val="16"/>
          <w:rtl/>
        </w:rPr>
        <w:t xml:space="preserve"> (סק"ה)</w:t>
      </w:r>
      <w:r>
        <w:rPr>
          <w:rFonts w:hint="cs"/>
          <w:rtl/>
        </w:rPr>
        <w:t>.</w:t>
      </w:r>
    </w:p>
  </w:footnote>
  <w:footnote w:id="2082">
    <w:p w14:paraId="3EDFD0A0" w14:textId="77777777" w:rsidR="004C5A3C" w:rsidRPr="0023182F" w:rsidRDefault="004C5A3C" w:rsidP="002C39F4">
      <w:pPr>
        <w:spacing w:after="0" w:line="240" w:lineRule="auto"/>
        <w:rPr>
          <w:rFonts w:cs="Arial"/>
          <w:sz w:val="20"/>
          <w:szCs w:val="20"/>
          <w:rtl/>
        </w:rPr>
      </w:pPr>
      <w:r w:rsidRPr="0023182F">
        <w:rPr>
          <w:rStyle w:val="a7"/>
        </w:rPr>
        <w:footnoteRef/>
      </w:r>
      <w:r w:rsidRPr="0023182F">
        <w:rPr>
          <w:sz w:val="20"/>
          <w:szCs w:val="20"/>
          <w:rtl/>
        </w:rPr>
        <w:t xml:space="preserve"> </w:t>
      </w:r>
      <w:r w:rsidRPr="0023182F">
        <w:rPr>
          <w:rFonts w:cs="Arial" w:hint="cs"/>
          <w:sz w:val="20"/>
          <w:szCs w:val="20"/>
          <w:u w:val="single"/>
          <w:rtl/>
        </w:rPr>
        <w:t xml:space="preserve">ונחלקו האחרונים מה דין התבשיל </w:t>
      </w:r>
      <w:r>
        <w:rPr>
          <w:rFonts w:cs="Arial" w:hint="cs"/>
          <w:sz w:val="16"/>
          <w:szCs w:val="16"/>
          <w:u w:val="single"/>
          <w:rtl/>
        </w:rPr>
        <w:t xml:space="preserve">(במקרה שפוגם ולבסוף השביח) </w:t>
      </w:r>
      <w:r w:rsidRPr="0023182F">
        <w:rPr>
          <w:rFonts w:cs="Arial" w:hint="cs"/>
          <w:sz w:val="20"/>
          <w:szCs w:val="20"/>
          <w:u w:val="single"/>
          <w:rtl/>
        </w:rPr>
        <w:t>לפני שהאיסור השביח:</w:t>
      </w:r>
    </w:p>
    <w:p w14:paraId="2B536B02" w14:textId="77777777" w:rsidR="004C5A3C" w:rsidRPr="0023182F" w:rsidRDefault="004C5A3C" w:rsidP="0032102C">
      <w:pPr>
        <w:pStyle w:val="a8"/>
        <w:numPr>
          <w:ilvl w:val="0"/>
          <w:numId w:val="216"/>
        </w:numPr>
        <w:spacing w:after="0" w:line="240" w:lineRule="auto"/>
        <w:rPr>
          <w:rFonts w:asciiTheme="minorBidi" w:hAnsiTheme="minorBidi"/>
          <w:sz w:val="20"/>
          <w:szCs w:val="20"/>
        </w:rPr>
      </w:pPr>
      <w:r w:rsidRPr="0023182F">
        <w:rPr>
          <w:rFonts w:asciiTheme="minorBidi" w:hAnsiTheme="minorBidi" w:hint="cs"/>
          <w:sz w:val="20"/>
          <w:szCs w:val="20"/>
          <w:rtl/>
        </w:rPr>
        <w:t xml:space="preserve">ש"ך </w:t>
      </w:r>
      <w:r w:rsidRPr="0023182F">
        <w:rPr>
          <w:rFonts w:asciiTheme="minorBidi" w:hAnsiTheme="minorBidi" w:hint="cs"/>
          <w:sz w:val="16"/>
          <w:szCs w:val="16"/>
          <w:rtl/>
        </w:rPr>
        <w:t>(סק"ז)</w:t>
      </w:r>
      <w:r w:rsidRPr="0023182F">
        <w:rPr>
          <w:rFonts w:asciiTheme="minorBidi" w:hAnsiTheme="minorBidi" w:hint="cs"/>
          <w:sz w:val="20"/>
          <w:szCs w:val="20"/>
          <w:rtl/>
        </w:rPr>
        <w:t>-</w:t>
      </w:r>
      <w:r w:rsidRPr="0023182F">
        <w:rPr>
          <w:rFonts w:cs="Arial" w:hint="cs"/>
          <w:sz w:val="20"/>
          <w:szCs w:val="20"/>
          <w:rtl/>
        </w:rPr>
        <w:t xml:space="preserve"> </w:t>
      </w:r>
      <w:r w:rsidRPr="0023182F">
        <w:rPr>
          <w:rFonts w:cs="Arial"/>
          <w:sz w:val="20"/>
          <w:szCs w:val="20"/>
          <w:rtl/>
        </w:rPr>
        <w:t>קודם שהשביח מותר אע</w:t>
      </w:r>
      <w:r w:rsidRPr="0023182F">
        <w:rPr>
          <w:rFonts w:cs="Arial" w:hint="cs"/>
          <w:sz w:val="20"/>
          <w:szCs w:val="20"/>
          <w:rtl/>
        </w:rPr>
        <w:t>"</w:t>
      </w:r>
      <w:r w:rsidRPr="0023182F">
        <w:rPr>
          <w:rFonts w:cs="Arial"/>
          <w:sz w:val="20"/>
          <w:szCs w:val="20"/>
          <w:rtl/>
        </w:rPr>
        <w:t>פ שאפשר שישביח אח"כ</w:t>
      </w:r>
      <w:r w:rsidRPr="0023182F">
        <w:rPr>
          <w:rFonts w:cs="Arial" w:hint="cs"/>
          <w:sz w:val="20"/>
          <w:szCs w:val="20"/>
          <w:rtl/>
        </w:rPr>
        <w:t>,</w:t>
      </w:r>
      <w:r w:rsidRPr="0023182F">
        <w:rPr>
          <w:rFonts w:cs="Arial"/>
          <w:sz w:val="20"/>
          <w:szCs w:val="20"/>
          <w:rtl/>
        </w:rPr>
        <w:t xml:space="preserve"> כיון דהשתא פוגם הוא </w:t>
      </w:r>
      <w:r w:rsidRPr="0023182F">
        <w:rPr>
          <w:rFonts w:cs="Arial" w:hint="cs"/>
          <w:sz w:val="16"/>
          <w:szCs w:val="16"/>
          <w:rtl/>
        </w:rPr>
        <w:t>(</w:t>
      </w:r>
      <w:r w:rsidRPr="0023182F">
        <w:rPr>
          <w:rFonts w:cs="Arial"/>
          <w:sz w:val="16"/>
          <w:szCs w:val="16"/>
          <w:rtl/>
        </w:rPr>
        <w:t>מידי דהוי אקדרת מלח דלקמן סקי"</w:t>
      </w:r>
      <w:r w:rsidRPr="0023182F">
        <w:rPr>
          <w:rFonts w:cs="Arial" w:hint="cs"/>
          <w:sz w:val="16"/>
          <w:szCs w:val="16"/>
          <w:rtl/>
        </w:rPr>
        <w:t>ב)</w:t>
      </w:r>
      <w:r w:rsidRPr="0023182F">
        <w:rPr>
          <w:rFonts w:cs="Arial" w:hint="cs"/>
          <w:sz w:val="20"/>
          <w:szCs w:val="20"/>
          <w:rtl/>
        </w:rPr>
        <w:t>.</w:t>
      </w:r>
    </w:p>
    <w:p w14:paraId="3A3D003F" w14:textId="77777777" w:rsidR="004C5A3C" w:rsidRPr="002742EA" w:rsidRDefault="004C5A3C" w:rsidP="0032102C">
      <w:pPr>
        <w:pStyle w:val="a8"/>
        <w:numPr>
          <w:ilvl w:val="0"/>
          <w:numId w:val="216"/>
        </w:numPr>
        <w:spacing w:after="0" w:line="240" w:lineRule="auto"/>
        <w:rPr>
          <w:rFonts w:asciiTheme="minorBidi" w:hAnsiTheme="minorBidi"/>
          <w:sz w:val="20"/>
          <w:szCs w:val="20"/>
          <w:rtl/>
        </w:rPr>
      </w:pPr>
      <w:r w:rsidRPr="002742EA">
        <w:rPr>
          <w:rFonts w:asciiTheme="minorBidi" w:hAnsiTheme="minorBidi" w:hint="cs"/>
          <w:sz w:val="20"/>
          <w:szCs w:val="20"/>
          <w:rtl/>
        </w:rPr>
        <w:t xml:space="preserve">כנה"ג </w:t>
      </w:r>
      <w:r w:rsidRPr="002742EA">
        <w:rPr>
          <w:rFonts w:asciiTheme="minorBidi" w:hAnsiTheme="minorBidi" w:hint="cs"/>
          <w:sz w:val="16"/>
          <w:szCs w:val="16"/>
          <w:rtl/>
        </w:rPr>
        <w:t xml:space="preserve">(הגב"י אות ח) </w:t>
      </w:r>
      <w:r w:rsidRPr="002742EA">
        <w:rPr>
          <w:rFonts w:asciiTheme="minorBidi" w:hAnsiTheme="minorBidi" w:hint="cs"/>
          <w:sz w:val="20"/>
          <w:szCs w:val="20"/>
          <w:rtl/>
        </w:rPr>
        <w:t xml:space="preserve">ופר"ח </w:t>
      </w:r>
      <w:r w:rsidRPr="002742EA">
        <w:rPr>
          <w:rFonts w:asciiTheme="minorBidi" w:hAnsiTheme="minorBidi" w:hint="cs"/>
          <w:sz w:val="16"/>
          <w:szCs w:val="16"/>
          <w:rtl/>
        </w:rPr>
        <w:t>(סק"ח)</w:t>
      </w:r>
      <w:r w:rsidRPr="002742EA">
        <w:rPr>
          <w:rFonts w:asciiTheme="minorBidi" w:hAnsiTheme="minorBidi" w:hint="cs"/>
          <w:sz w:val="20"/>
          <w:szCs w:val="20"/>
          <w:rtl/>
        </w:rPr>
        <w:t>- אף קודם שישביח אסור</w:t>
      </w:r>
      <w:r w:rsidRPr="002742EA">
        <w:rPr>
          <w:rFonts w:cs="Arial" w:hint="cs"/>
          <w:sz w:val="20"/>
          <w:szCs w:val="20"/>
          <w:rtl/>
        </w:rPr>
        <w:t xml:space="preserve"> </w:t>
      </w:r>
      <w:r w:rsidRPr="002742EA">
        <w:rPr>
          <w:rFonts w:cs="Arial" w:hint="cs"/>
          <w:sz w:val="16"/>
          <w:szCs w:val="16"/>
          <w:rtl/>
        </w:rPr>
        <w:t>(ו</w:t>
      </w:r>
      <w:r w:rsidRPr="002742EA">
        <w:rPr>
          <w:rFonts w:cs="Arial"/>
          <w:sz w:val="16"/>
          <w:szCs w:val="16"/>
          <w:rtl/>
        </w:rPr>
        <w:t>אם הדבר ספק אם השביח או פגם הולכין להחמיר ומשערין בששים. ומכל מקום מסתברא לי דמין במינו ואיכא ודאי רובא דמדאורייתא בטיל ברובא, הולכין בספקו להקל דהא ספיקא דרבנן לקולא</w:t>
      </w:r>
      <w:r w:rsidRPr="002742EA">
        <w:rPr>
          <w:rStyle w:val="a9"/>
          <w:rFonts w:hint="cs"/>
          <w:sz w:val="16"/>
          <w:szCs w:val="16"/>
          <w:rtl/>
        </w:rPr>
        <w:t>, פר"ח)</w:t>
      </w:r>
      <w:r w:rsidRPr="002742EA">
        <w:rPr>
          <w:rStyle w:val="a9"/>
          <w:rFonts w:hint="cs"/>
          <w:rtl/>
        </w:rPr>
        <w:t>.</w:t>
      </w:r>
    </w:p>
  </w:footnote>
  <w:footnote w:id="2083">
    <w:p w14:paraId="513F4687" w14:textId="77777777" w:rsidR="004C5A3C" w:rsidRPr="002742EA" w:rsidRDefault="004C5A3C" w:rsidP="002C39F4">
      <w:pPr>
        <w:pStyle w:val="a5"/>
        <w:rPr>
          <w:rtl/>
        </w:rPr>
      </w:pPr>
      <w:r w:rsidRPr="002742EA">
        <w:rPr>
          <w:rStyle w:val="a7"/>
        </w:rPr>
        <w:footnoteRef/>
      </w:r>
      <w:r w:rsidRPr="002742EA">
        <w:rPr>
          <w:rtl/>
        </w:rPr>
        <w:t xml:space="preserve"> </w:t>
      </w:r>
      <w:r w:rsidRPr="002742EA">
        <w:rPr>
          <w:rFonts w:cs="Arial"/>
          <w:rtl/>
        </w:rPr>
        <w:t>דהוי כדבר שתחילתו פגום ולבסוף השביח</w:t>
      </w:r>
      <w:r w:rsidRPr="002742EA">
        <w:rPr>
          <w:rFonts w:cs="Arial" w:hint="cs"/>
          <w:rtl/>
        </w:rPr>
        <w:t>,</w:t>
      </w:r>
      <w:r w:rsidRPr="002742EA">
        <w:rPr>
          <w:rFonts w:cs="Arial"/>
          <w:rtl/>
        </w:rPr>
        <w:t xml:space="preserve"> וע"ל סי' קל"ד סקכ"ט</w:t>
      </w:r>
      <w:r w:rsidRPr="002742EA">
        <w:rPr>
          <w:rFonts w:hint="cs"/>
          <w:rtl/>
        </w:rPr>
        <w:t>, ש"ך (סק"ח).</w:t>
      </w:r>
    </w:p>
  </w:footnote>
  <w:footnote w:id="2084">
    <w:p w14:paraId="03819A7D" w14:textId="77777777" w:rsidR="004C5A3C" w:rsidRDefault="004C5A3C" w:rsidP="002C39F4">
      <w:pPr>
        <w:pStyle w:val="a5"/>
        <w:rPr>
          <w:rtl/>
        </w:rPr>
      </w:pPr>
      <w:r>
        <w:rPr>
          <w:rStyle w:val="a7"/>
        </w:rPr>
        <w:footnoteRef/>
      </w:r>
      <w:r>
        <w:rPr>
          <w:rtl/>
        </w:rPr>
        <w:t xml:space="preserve"> </w:t>
      </w:r>
      <w:r w:rsidRPr="00A1361D">
        <w:rPr>
          <w:rFonts w:cs="Arial"/>
          <w:rtl/>
        </w:rPr>
        <w:t>אבל א"צ ס' נגד כל הבלוע בקדרה דכיון דהיה פגום לא נ"נ</w:t>
      </w:r>
      <w:r>
        <w:rPr>
          <w:rFonts w:cs="Arial" w:hint="cs"/>
          <w:rtl/>
        </w:rPr>
        <w:t>,</w:t>
      </w:r>
      <w:r w:rsidRPr="00A1361D">
        <w:rPr>
          <w:rFonts w:cs="Arial"/>
          <w:rtl/>
        </w:rPr>
        <w:t xml:space="preserve"> וכדלעיל סימן צ"ח סקי"ז</w:t>
      </w:r>
      <w:r>
        <w:rPr>
          <w:rFonts w:hint="cs"/>
          <w:rtl/>
        </w:rPr>
        <w:t>, ש"ך (סק"ט).</w:t>
      </w:r>
    </w:p>
  </w:footnote>
  <w:footnote w:id="2085">
    <w:p w14:paraId="1E10610A" w14:textId="77777777" w:rsidR="004C5A3C" w:rsidRDefault="004C5A3C" w:rsidP="002C39F4">
      <w:pPr>
        <w:pStyle w:val="a5"/>
      </w:pPr>
      <w:r>
        <w:rPr>
          <w:rStyle w:val="a7"/>
        </w:rPr>
        <w:footnoteRef/>
      </w:r>
      <w:r>
        <w:rPr>
          <w:rtl/>
        </w:rPr>
        <w:t xml:space="preserve"> </w:t>
      </w:r>
      <w:r w:rsidRPr="00A1361D">
        <w:rPr>
          <w:rFonts w:cs="Arial"/>
          <w:rtl/>
        </w:rPr>
        <w:t>דהוי נ"ט בר נ"ט האיסור בכף והכף בתבשיל והתבשיל בקדרה ועדיין כולו היתר כיון דהוא פגום</w:t>
      </w:r>
      <w:r>
        <w:rPr>
          <w:rFonts w:cs="Arial" w:hint="cs"/>
          <w:rtl/>
        </w:rPr>
        <w:t>,</w:t>
      </w:r>
      <w:r w:rsidRPr="00A1361D">
        <w:rPr>
          <w:rFonts w:cs="Arial"/>
          <w:rtl/>
        </w:rPr>
        <w:t xml:space="preserve"> כ"כ בת"ח </w:t>
      </w:r>
      <w:r w:rsidRPr="00A1361D">
        <w:rPr>
          <w:rFonts w:cs="Arial" w:hint="cs"/>
          <w:sz w:val="16"/>
          <w:szCs w:val="16"/>
          <w:rtl/>
        </w:rPr>
        <w:t>(</w:t>
      </w:r>
      <w:r w:rsidRPr="00A1361D">
        <w:rPr>
          <w:rFonts w:cs="Arial"/>
          <w:sz w:val="16"/>
          <w:szCs w:val="16"/>
          <w:rtl/>
        </w:rPr>
        <w:t>כלל פה דכ</w:t>
      </w:r>
      <w:r>
        <w:rPr>
          <w:rFonts w:cs="Arial" w:hint="cs"/>
          <w:sz w:val="16"/>
          <w:szCs w:val="16"/>
          <w:rtl/>
        </w:rPr>
        <w:t>"</w:t>
      </w:r>
      <w:r w:rsidRPr="00A1361D">
        <w:rPr>
          <w:rFonts w:cs="Arial"/>
          <w:sz w:val="16"/>
          <w:szCs w:val="16"/>
          <w:rtl/>
        </w:rPr>
        <w:t>ג</w:t>
      </w:r>
      <w:r>
        <w:rPr>
          <w:rFonts w:cs="Arial" w:hint="cs"/>
          <w:sz w:val="16"/>
          <w:szCs w:val="16"/>
          <w:rtl/>
        </w:rPr>
        <w:t>)</w:t>
      </w:r>
      <w:r w:rsidRPr="00A1361D">
        <w:rPr>
          <w:rFonts w:cs="Arial"/>
          <w:rtl/>
        </w:rPr>
        <w:t xml:space="preserve"> בשם או"ה</w:t>
      </w:r>
      <w:r>
        <w:rPr>
          <w:rFonts w:cs="Arial" w:hint="cs"/>
          <w:rtl/>
        </w:rPr>
        <w:t xml:space="preserve">, ש"ך </w:t>
      </w:r>
      <w:r w:rsidRPr="00343A7F">
        <w:rPr>
          <w:rFonts w:cs="Arial" w:hint="cs"/>
          <w:sz w:val="16"/>
          <w:szCs w:val="16"/>
          <w:rtl/>
        </w:rPr>
        <w:t>(סק"י)</w:t>
      </w:r>
      <w:r>
        <w:rPr>
          <w:rFonts w:cs="Arial" w:hint="cs"/>
          <w:rtl/>
        </w:rPr>
        <w:t>.</w:t>
      </w:r>
      <w:r>
        <w:rPr>
          <w:rFonts w:hint="cs"/>
          <w:rtl/>
        </w:rPr>
        <w:t xml:space="preserve"> והט"ז</w:t>
      </w:r>
      <w:r w:rsidRPr="00343A7F">
        <w:rPr>
          <w:rFonts w:hint="cs"/>
          <w:sz w:val="16"/>
          <w:szCs w:val="16"/>
          <w:rtl/>
        </w:rPr>
        <w:t xml:space="preserve"> (סק"ו) </w:t>
      </w:r>
      <w:r>
        <w:rPr>
          <w:rFonts w:hint="cs"/>
          <w:rtl/>
        </w:rPr>
        <w:t xml:space="preserve">תמה </w:t>
      </w:r>
      <w:r w:rsidRPr="00343A7F">
        <w:rPr>
          <w:rFonts w:cs="Arial"/>
          <w:rtl/>
        </w:rPr>
        <w:t>למה נקיט רמ"א כאן שהכף נאסר תחלה מאיסור פגום</w:t>
      </w:r>
      <w:r>
        <w:rPr>
          <w:rFonts w:cs="Arial" w:hint="cs"/>
          <w:rtl/>
        </w:rPr>
        <w:t>...</w:t>
      </w:r>
      <w:r w:rsidRPr="00343A7F">
        <w:rPr>
          <w:rFonts w:cs="Arial"/>
          <w:rtl/>
        </w:rPr>
        <w:t xml:space="preserve"> הא אפילו אם היה איסור גמור בכף תחלה ותחבו לקדירה שיש בו תבשיל שאותו איסור שבכף הוא פוגמו הו</w:t>
      </w:r>
      <w:r>
        <w:rPr>
          <w:rFonts w:cs="Arial" w:hint="cs"/>
          <w:rtl/>
        </w:rPr>
        <w:t>"</w:t>
      </w:r>
      <w:r w:rsidRPr="00343A7F">
        <w:rPr>
          <w:rFonts w:cs="Arial"/>
          <w:rtl/>
        </w:rPr>
        <w:t xml:space="preserve">ל הקדרה נ"ט בר נ"ט ואין אוסרת מה שיתבשל בו אח"כ אפילו אם אותו האיסור שבכף נותן טעם לשבח </w:t>
      </w:r>
      <w:r w:rsidRPr="00343A7F">
        <w:rPr>
          <w:rFonts w:cs="Arial" w:hint="cs"/>
          <w:sz w:val="16"/>
          <w:szCs w:val="16"/>
          <w:rtl/>
        </w:rPr>
        <w:t>(</w:t>
      </w:r>
      <w:r w:rsidRPr="00343A7F">
        <w:rPr>
          <w:rFonts w:cs="Arial"/>
          <w:sz w:val="16"/>
          <w:szCs w:val="16"/>
          <w:rtl/>
        </w:rPr>
        <w:t>דהכף נתן טעם פגום בתבשיל והתבשיל נותן טעם פגום לקדרה והקדרה שתתן אח"כ טעם לשבח במה שיתבשל אח"כ הוה ליה נ</w:t>
      </w:r>
      <w:r>
        <w:rPr>
          <w:rFonts w:cs="Arial" w:hint="cs"/>
          <w:sz w:val="16"/>
          <w:szCs w:val="16"/>
          <w:rtl/>
        </w:rPr>
        <w:t>"</w:t>
      </w:r>
      <w:r w:rsidRPr="00343A7F">
        <w:rPr>
          <w:rFonts w:cs="Arial"/>
          <w:sz w:val="16"/>
          <w:szCs w:val="16"/>
          <w:rtl/>
        </w:rPr>
        <w:t>ט בר נ</w:t>
      </w:r>
      <w:r>
        <w:rPr>
          <w:rFonts w:cs="Arial" w:hint="cs"/>
          <w:sz w:val="16"/>
          <w:szCs w:val="16"/>
          <w:rtl/>
        </w:rPr>
        <w:t>"ט</w:t>
      </w:r>
      <w:r w:rsidRPr="00343A7F">
        <w:rPr>
          <w:rFonts w:cs="Arial"/>
          <w:sz w:val="16"/>
          <w:szCs w:val="16"/>
          <w:rtl/>
        </w:rPr>
        <w:t xml:space="preserve"> דהיתירא כיון שמתחלה בא הטעם של האיסור ע</w:t>
      </w:r>
      <w:r>
        <w:rPr>
          <w:rFonts w:cs="Arial" w:hint="cs"/>
          <w:sz w:val="16"/>
          <w:szCs w:val="16"/>
          <w:rtl/>
        </w:rPr>
        <w:t>"</w:t>
      </w:r>
      <w:r w:rsidRPr="00343A7F">
        <w:rPr>
          <w:rFonts w:cs="Arial"/>
          <w:sz w:val="16"/>
          <w:szCs w:val="16"/>
          <w:rtl/>
        </w:rPr>
        <w:t>י פגם</w:t>
      </w:r>
      <w:r>
        <w:rPr>
          <w:rFonts w:cs="Arial" w:hint="cs"/>
          <w:sz w:val="16"/>
          <w:szCs w:val="16"/>
          <w:rtl/>
        </w:rPr>
        <w:t>)</w:t>
      </w:r>
      <w:r>
        <w:rPr>
          <w:rFonts w:cs="Arial" w:hint="cs"/>
          <w:rtl/>
        </w:rPr>
        <w:t>... ובסוף כתב הט"ז ד</w:t>
      </w:r>
      <w:r w:rsidRPr="00343A7F">
        <w:rPr>
          <w:rFonts w:cs="Arial"/>
          <w:rtl/>
        </w:rPr>
        <w:t>לענין דינא להלכה ודאי שרי אפילו בחד נ"ט לפגם</w:t>
      </w:r>
      <w:r>
        <w:rPr>
          <w:rFonts w:cs="Arial" w:hint="cs"/>
          <w:rtl/>
        </w:rPr>
        <w:t xml:space="preserve">. אך הש"ך </w:t>
      </w:r>
      <w:r w:rsidRPr="00343A7F">
        <w:rPr>
          <w:rFonts w:cs="Arial" w:hint="cs"/>
          <w:sz w:val="16"/>
          <w:szCs w:val="16"/>
          <w:rtl/>
        </w:rPr>
        <w:t xml:space="preserve">(נה"כ אות א) </w:t>
      </w:r>
      <w:r>
        <w:rPr>
          <w:rFonts w:cs="Arial" w:hint="cs"/>
          <w:rtl/>
        </w:rPr>
        <w:t xml:space="preserve">חלק עליו וכתב שיפה כיון הרמ"א ועל כרחך צ"ל שהכף בלע מאיסור פגום דאל"כ ליכא אלא שני שני נותני טעם, ואנן קיי"ל לעיל סי' צה </w:t>
      </w:r>
      <w:r w:rsidRPr="00343A7F">
        <w:rPr>
          <w:rFonts w:cs="Arial" w:hint="cs"/>
          <w:sz w:val="16"/>
          <w:szCs w:val="16"/>
          <w:rtl/>
        </w:rPr>
        <w:t xml:space="preserve">(סע' ג בהגה) </w:t>
      </w:r>
      <w:r>
        <w:rPr>
          <w:rFonts w:cs="Arial" w:hint="cs"/>
          <w:rtl/>
        </w:rPr>
        <w:t>דלא שרי נ"ט בר נ"ט אלא היכא דהוי ג' נותני טעם להיתרא.</w:t>
      </w:r>
    </w:p>
  </w:footnote>
  <w:footnote w:id="2086">
    <w:p w14:paraId="756775E0" w14:textId="77777777" w:rsidR="004C5A3C" w:rsidRDefault="004C5A3C" w:rsidP="002C39F4">
      <w:pPr>
        <w:pStyle w:val="a5"/>
        <w:rPr>
          <w:rtl/>
        </w:rPr>
      </w:pPr>
      <w:r>
        <w:rPr>
          <w:rStyle w:val="a7"/>
        </w:rPr>
        <w:footnoteRef/>
      </w:r>
      <w:r>
        <w:rPr>
          <w:rtl/>
        </w:rPr>
        <w:t xml:space="preserve"> </w:t>
      </w:r>
      <w:r w:rsidRPr="006434F7">
        <w:rPr>
          <w:rFonts w:cs="Arial"/>
          <w:rtl/>
        </w:rPr>
        <w:t>כלומר אין תולין הפגם בדבר אחר לומר חסירה היא מלח ואילו היתה כתיקונה לא היה זה האיסור פוגמה שהמלח היה מבטל את פגימת טעם האיסור ומתקנו אלא כיון דטעם האיסור פוגמה עכשיו כמות שהיא הוי פגם ומותר</w:t>
      </w:r>
      <w:r>
        <w:rPr>
          <w:rFonts w:hint="cs"/>
          <w:rtl/>
        </w:rPr>
        <w:t xml:space="preserve">, רש"י. וכ"פ הטור </w:t>
      </w:r>
      <w:r w:rsidRPr="00504E6D">
        <w:rPr>
          <w:rFonts w:hint="cs"/>
          <w:color w:val="E36C0A" w:themeColor="accent6" w:themeShade="BF"/>
          <w:rtl/>
        </w:rPr>
        <w:t>וכ"פ ו</w:t>
      </w:r>
      <w:r>
        <w:rPr>
          <w:rFonts w:hint="cs"/>
          <w:color w:val="E36C0A" w:themeColor="accent6" w:themeShade="BF"/>
          <w:rtl/>
        </w:rPr>
        <w:t>ב</w:t>
      </w:r>
      <w:r w:rsidRPr="00504E6D">
        <w:rPr>
          <w:rFonts w:hint="cs"/>
          <w:color w:val="E36C0A" w:themeColor="accent6" w:themeShade="BF"/>
          <w:rtl/>
        </w:rPr>
        <w:t>שו"ע</w:t>
      </w:r>
      <w:r>
        <w:rPr>
          <w:rFonts w:hint="cs"/>
          <w:rtl/>
        </w:rPr>
        <w:t>.</w:t>
      </w:r>
    </w:p>
  </w:footnote>
  <w:footnote w:id="2087">
    <w:p w14:paraId="1D2209E3" w14:textId="77777777" w:rsidR="004C5A3C" w:rsidRDefault="004C5A3C" w:rsidP="002C39F4">
      <w:pPr>
        <w:pStyle w:val="a5"/>
        <w:rPr>
          <w:rtl/>
        </w:rPr>
      </w:pPr>
      <w:r>
        <w:rPr>
          <w:rStyle w:val="a7"/>
        </w:rPr>
        <w:footnoteRef/>
      </w:r>
      <w:r>
        <w:rPr>
          <w:rtl/>
        </w:rPr>
        <w:t xml:space="preserve"> </w:t>
      </w:r>
      <w:r w:rsidRPr="006434F7">
        <w:rPr>
          <w:rFonts w:cs="Arial"/>
          <w:rtl/>
        </w:rPr>
        <w:t>צ"ל מרובין וכן הוא בגמ'</w:t>
      </w:r>
      <w:r>
        <w:rPr>
          <w:rFonts w:cs="Arial" w:hint="cs"/>
          <w:rtl/>
        </w:rPr>
        <w:t xml:space="preserve"> (ע"ז סז.)</w:t>
      </w:r>
      <w:r w:rsidRPr="006434F7">
        <w:rPr>
          <w:rFonts w:cs="Arial"/>
          <w:rtl/>
        </w:rPr>
        <w:t xml:space="preserve"> וטור</w:t>
      </w:r>
      <w:r>
        <w:rPr>
          <w:rFonts w:cs="Arial" w:hint="cs"/>
          <w:rtl/>
        </w:rPr>
        <w:t xml:space="preserve"> (עמ' רעד)</w:t>
      </w:r>
      <w:r>
        <w:rPr>
          <w:rFonts w:hint="cs"/>
          <w:rtl/>
        </w:rPr>
        <w:t>, גר"א (סקי"ד).</w:t>
      </w:r>
    </w:p>
  </w:footnote>
  <w:footnote w:id="2088">
    <w:p w14:paraId="3DE21884" w14:textId="77777777" w:rsidR="004C5A3C" w:rsidRDefault="004C5A3C" w:rsidP="002C39F4">
      <w:pPr>
        <w:pStyle w:val="a5"/>
        <w:rPr>
          <w:rtl/>
        </w:rPr>
      </w:pPr>
      <w:r>
        <w:rPr>
          <w:rStyle w:val="a7"/>
        </w:rPr>
        <w:footnoteRef/>
      </w:r>
      <w:r>
        <w:rPr>
          <w:rtl/>
        </w:rPr>
        <w:t xml:space="preserve"> </w:t>
      </w:r>
      <w:r w:rsidRPr="00504E6D">
        <w:rPr>
          <w:rFonts w:cs="Arial"/>
          <w:rtl/>
        </w:rPr>
        <w:t>וה"ה איפכא כשהוא פוגם מפני שאין שם מלח או תבלין ואלו היה שם מלח או תבלין כראוי לא היה פוגם מותר כיון דהשתא מיהא פוגם כדאיתא בש"ס</w:t>
      </w:r>
      <w:r>
        <w:rPr>
          <w:rFonts w:hint="cs"/>
          <w:rtl/>
        </w:rPr>
        <w:t xml:space="preserve">, ש"ך (סקי"ב). וכ' רעק"א (אות ד)- </w:t>
      </w:r>
      <w:r w:rsidRPr="00504E6D">
        <w:rPr>
          <w:rFonts w:cs="Arial"/>
          <w:rtl/>
        </w:rPr>
        <w:t>ונ"ל לדון דמותר להוסיף עד ס' וליתן אח"כ מלח ותבלין שישביח ואין בזה משום ביטול איסור לכתחילה</w:t>
      </w:r>
      <w:r>
        <w:rPr>
          <w:rFonts w:cs="Arial" w:hint="cs"/>
          <w:rtl/>
        </w:rPr>
        <w:t>,</w:t>
      </w:r>
      <w:r w:rsidRPr="00504E6D">
        <w:rPr>
          <w:rFonts w:cs="Arial"/>
          <w:rtl/>
        </w:rPr>
        <w:t xml:space="preserve"> כיון דהשתא שהוא פגום נתבטל האיסור ברוב דהא בנטל"פ מדין ביטול ברוב אתינן עלה כמ"ש הרשב"א</w:t>
      </w:r>
      <w:r>
        <w:rPr>
          <w:rFonts w:cs="Arial" w:hint="cs"/>
          <w:rtl/>
        </w:rPr>
        <w:t>,</w:t>
      </w:r>
      <w:r w:rsidRPr="00504E6D">
        <w:rPr>
          <w:rFonts w:cs="Arial"/>
          <w:rtl/>
        </w:rPr>
        <w:t xml:space="preserve"> אלא שאחר שישביח יהא כמו ניכר האיסור</w:t>
      </w:r>
      <w:r>
        <w:rPr>
          <w:rFonts w:cs="Arial" w:hint="cs"/>
          <w:rtl/>
        </w:rPr>
        <w:t>,</w:t>
      </w:r>
      <w:r w:rsidRPr="00504E6D">
        <w:rPr>
          <w:rFonts w:cs="Arial"/>
          <w:rtl/>
        </w:rPr>
        <w:t xml:space="preserve"> מה</w:t>
      </w:r>
      <w:r>
        <w:rPr>
          <w:rFonts w:cs="Arial" w:hint="cs"/>
          <w:rtl/>
        </w:rPr>
        <w:t xml:space="preserve">אי </w:t>
      </w:r>
      <w:r w:rsidRPr="00504E6D">
        <w:rPr>
          <w:rFonts w:cs="Arial"/>
          <w:rtl/>
        </w:rPr>
        <w:t>ט</w:t>
      </w:r>
      <w:r>
        <w:rPr>
          <w:rFonts w:cs="Arial" w:hint="cs"/>
          <w:rtl/>
        </w:rPr>
        <w:t>עמא</w:t>
      </w:r>
      <w:r w:rsidRPr="00504E6D">
        <w:rPr>
          <w:rFonts w:cs="Arial"/>
          <w:rtl/>
        </w:rPr>
        <w:t xml:space="preserve"> מש</w:t>
      </w:r>
      <w:r>
        <w:rPr>
          <w:rFonts w:cs="Arial" w:hint="cs"/>
          <w:rtl/>
        </w:rPr>
        <w:t xml:space="preserve">ום </w:t>
      </w:r>
      <w:r w:rsidRPr="00504E6D">
        <w:rPr>
          <w:rFonts w:cs="Arial"/>
          <w:rtl/>
        </w:rPr>
        <w:t>ה</w:t>
      </w:r>
      <w:r>
        <w:rPr>
          <w:rFonts w:cs="Arial" w:hint="cs"/>
          <w:rtl/>
        </w:rPr>
        <w:t>כי</w:t>
      </w:r>
      <w:r w:rsidRPr="00504E6D">
        <w:rPr>
          <w:rFonts w:cs="Arial"/>
          <w:rtl/>
        </w:rPr>
        <w:t xml:space="preserve"> כל שמוסיף מקודם כדי שלא יהא אח"כ ניכר האיסור לא מקרי מבטל איסור ודמי לדינא דלקמן (סי' ק"ט ס"ב)</w:t>
      </w:r>
      <w:r>
        <w:rPr>
          <w:rFonts w:cs="Arial" w:hint="cs"/>
          <w:rtl/>
        </w:rPr>
        <w:t>,</w:t>
      </w:r>
      <w:r w:rsidRPr="00504E6D">
        <w:rPr>
          <w:rFonts w:cs="Arial"/>
          <w:rtl/>
        </w:rPr>
        <w:t xml:space="preserve"> אח"כ מצאתי בפמ</w:t>
      </w:r>
      <w:r>
        <w:rPr>
          <w:rFonts w:cs="Arial" w:hint="cs"/>
          <w:rtl/>
        </w:rPr>
        <w:t>"ג</w:t>
      </w:r>
      <w:r w:rsidRPr="00504E6D">
        <w:rPr>
          <w:rFonts w:cs="Arial"/>
          <w:rtl/>
        </w:rPr>
        <w:t xml:space="preserve"> (בשפתי דעת סק"ו בדין השלישי) שעמד בכיוצא בזה ופקפק לחלק בין זה לדלקמן (סי' ק"ט)</w:t>
      </w:r>
      <w:r>
        <w:rPr>
          <w:rFonts w:cs="Arial" w:hint="cs"/>
          <w:rtl/>
        </w:rPr>
        <w:t>,</w:t>
      </w:r>
      <w:r w:rsidRPr="00504E6D">
        <w:rPr>
          <w:rFonts w:cs="Arial"/>
          <w:rtl/>
        </w:rPr>
        <w:t xml:space="preserve"> וצ"ע לדינא</w:t>
      </w:r>
      <w:r>
        <w:rPr>
          <w:rFonts w:cs="Arial" w:hint="cs"/>
          <w:rtl/>
        </w:rPr>
        <w:t>.</w:t>
      </w:r>
    </w:p>
  </w:footnote>
  <w:footnote w:id="2089">
    <w:p w14:paraId="25D34BA2" w14:textId="77777777" w:rsidR="004C5A3C" w:rsidRDefault="004C5A3C" w:rsidP="002C39F4">
      <w:pPr>
        <w:pStyle w:val="a5"/>
        <w:rPr>
          <w:rtl/>
        </w:rPr>
      </w:pPr>
      <w:r>
        <w:rPr>
          <w:rStyle w:val="a7"/>
        </w:rPr>
        <w:footnoteRef/>
      </w:r>
      <w:r>
        <w:rPr>
          <w:rtl/>
        </w:rPr>
        <w:t xml:space="preserve"> </w:t>
      </w:r>
      <w:r>
        <w:rPr>
          <w:rFonts w:hint="cs"/>
          <w:rtl/>
        </w:rPr>
        <w:t>מסריח, רש"י.</w:t>
      </w:r>
    </w:p>
  </w:footnote>
  <w:footnote w:id="2090">
    <w:p w14:paraId="36094ADD" w14:textId="77777777" w:rsidR="004C5A3C" w:rsidRDefault="004C5A3C" w:rsidP="002C39F4">
      <w:pPr>
        <w:pStyle w:val="a5"/>
        <w:rPr>
          <w:rtl/>
        </w:rPr>
      </w:pPr>
      <w:r>
        <w:rPr>
          <w:rStyle w:val="a7"/>
        </w:rPr>
        <w:footnoteRef/>
      </w:r>
      <w:r>
        <w:rPr>
          <w:rtl/>
        </w:rPr>
        <w:t xml:space="preserve"> </w:t>
      </w:r>
      <w:r w:rsidRPr="006208E4">
        <w:rPr>
          <w:rFonts w:cs="Arial"/>
          <w:rtl/>
        </w:rPr>
        <w:t>ונראה שהוא ז"ל מפרש דאיערובי בשר בהדייהו קאמר</w:t>
      </w:r>
      <w:r>
        <w:rPr>
          <w:rFonts w:cs="Arial" w:hint="cs"/>
          <w:rtl/>
        </w:rPr>
        <w:t>, ע"פ ב"י.</w:t>
      </w:r>
      <w:r w:rsidRPr="006208E4">
        <w:rPr>
          <w:rFonts w:cs="Arial"/>
          <w:rtl/>
        </w:rPr>
        <w:t xml:space="preserve"> </w:t>
      </w:r>
    </w:p>
  </w:footnote>
  <w:footnote w:id="2091">
    <w:p w14:paraId="1D89BEED" w14:textId="77777777" w:rsidR="004C5A3C" w:rsidRDefault="004C5A3C" w:rsidP="002C39F4">
      <w:pPr>
        <w:pStyle w:val="a5"/>
        <w:rPr>
          <w:rtl/>
        </w:rPr>
      </w:pPr>
      <w:r>
        <w:rPr>
          <w:rStyle w:val="a7"/>
        </w:rPr>
        <w:footnoteRef/>
      </w:r>
      <w:r>
        <w:rPr>
          <w:rtl/>
        </w:rPr>
        <w:t xml:space="preserve"> ומעתה אין אנו צריכים לחילוק של ב</w:t>
      </w:r>
      <w:r>
        <w:rPr>
          <w:rFonts w:hint="cs"/>
          <w:rtl/>
        </w:rPr>
        <w:t>"י,</w:t>
      </w:r>
      <w:r>
        <w:rPr>
          <w:rtl/>
        </w:rPr>
        <w:t xml:space="preserve"> </w:t>
      </w:r>
      <w:r>
        <w:rPr>
          <w:rFonts w:hint="cs"/>
          <w:rtl/>
        </w:rPr>
        <w:t>ו</w:t>
      </w:r>
      <w:r>
        <w:rPr>
          <w:rtl/>
        </w:rPr>
        <w:t>בפ"ב דביצה משמע במרדכי (סי' תרעד) דחתיכת נבילה בדבש עצמו לא הוי לפגם</w:t>
      </w:r>
      <w:r>
        <w:rPr>
          <w:rFonts w:hint="cs"/>
          <w:rtl/>
        </w:rPr>
        <w:t>,</w:t>
      </w:r>
      <w:r>
        <w:rPr>
          <w:rtl/>
        </w:rPr>
        <w:t xml:space="preserve"> </w:t>
      </w:r>
      <w:r>
        <w:rPr>
          <w:rFonts w:hint="cs"/>
          <w:rtl/>
        </w:rPr>
        <w:t>ובזה מיושבים דברי ה</w:t>
      </w:r>
      <w:r>
        <w:rPr>
          <w:rtl/>
        </w:rPr>
        <w:t>מרדכי</w:t>
      </w:r>
      <w:r>
        <w:rPr>
          <w:rFonts w:hint="cs"/>
          <w:rtl/>
        </w:rPr>
        <w:t>, ע"פ דרכ"מ</w:t>
      </w:r>
      <w:r>
        <w:rPr>
          <w:rtl/>
        </w:rPr>
        <w:t xml:space="preserve"> (</w:t>
      </w:r>
      <w:r>
        <w:rPr>
          <w:rFonts w:hint="cs"/>
          <w:rtl/>
        </w:rPr>
        <w:t xml:space="preserve">אות </w:t>
      </w:r>
      <w:r>
        <w:rPr>
          <w:rtl/>
        </w:rPr>
        <w:t>א)</w:t>
      </w:r>
      <w:r>
        <w:rPr>
          <w:rFonts w:hint="cs"/>
          <w:rtl/>
        </w:rPr>
        <w:t>.</w:t>
      </w:r>
    </w:p>
  </w:footnote>
  <w:footnote w:id="2092">
    <w:p w14:paraId="486E5E3E" w14:textId="77777777" w:rsidR="004C5A3C" w:rsidRDefault="004C5A3C" w:rsidP="002C39F4">
      <w:pPr>
        <w:pStyle w:val="a5"/>
      </w:pPr>
      <w:r>
        <w:rPr>
          <w:rStyle w:val="a7"/>
        </w:rPr>
        <w:footnoteRef/>
      </w:r>
      <w:r>
        <w:rPr>
          <w:rtl/>
        </w:rPr>
        <w:t xml:space="preserve"> </w:t>
      </w:r>
      <w:r w:rsidRPr="00667702">
        <w:rPr>
          <w:rFonts w:asciiTheme="minorBidi" w:hAnsiTheme="minorBidi" w:cs="Arial"/>
          <w:rtl/>
        </w:rPr>
        <w:t>ונ"ל ראיה ממאי דקי"ל דאין בגידין בנ"ט ואפ"ה קי"ל דגופו של גיד שנימוח צריך ס' נגדו</w:t>
      </w:r>
      <w:r>
        <w:rPr>
          <w:rFonts w:asciiTheme="minorBidi" w:hAnsiTheme="minorBidi" w:cs="Arial" w:hint="cs"/>
          <w:rtl/>
        </w:rPr>
        <w:t>,</w:t>
      </w:r>
      <w:r w:rsidRPr="00667702">
        <w:rPr>
          <w:rFonts w:asciiTheme="minorBidi" w:hAnsiTheme="minorBidi" w:cs="Arial"/>
          <w:rtl/>
        </w:rPr>
        <w:t xml:space="preserve"> וכדלעיל סי' ס"ה ס"ט וסקס"ב</w:t>
      </w:r>
      <w:r>
        <w:rPr>
          <w:rFonts w:asciiTheme="minorBidi" w:hAnsiTheme="minorBidi" w:cs="Arial" w:hint="cs"/>
          <w:rtl/>
        </w:rPr>
        <w:t>,</w:t>
      </w:r>
      <w:r w:rsidRPr="00667702">
        <w:rPr>
          <w:rFonts w:asciiTheme="minorBidi" w:hAnsiTheme="minorBidi" w:cs="Arial"/>
          <w:rtl/>
        </w:rPr>
        <w:t xml:space="preserve"> דאע"ג דאינו אלא כעץ בעלמא התורה אסרתו</w:t>
      </w:r>
      <w:r>
        <w:rPr>
          <w:rFonts w:asciiTheme="minorBidi" w:hAnsiTheme="minorBidi" w:cs="Arial" w:hint="cs"/>
          <w:rtl/>
        </w:rPr>
        <w:t>,</w:t>
      </w:r>
      <w:r w:rsidRPr="00667702">
        <w:rPr>
          <w:rFonts w:asciiTheme="minorBidi" w:hAnsiTheme="minorBidi" w:cs="Arial"/>
          <w:rtl/>
        </w:rPr>
        <w:t xml:space="preserve"> וכדאמרינן בפג"ה</w:t>
      </w:r>
      <w:r>
        <w:rPr>
          <w:rFonts w:asciiTheme="minorBidi" w:hAnsiTheme="minorBidi" w:cs="Arial" w:hint="cs"/>
          <w:rtl/>
        </w:rPr>
        <w:t>,</w:t>
      </w:r>
      <w:r w:rsidRPr="00667702">
        <w:rPr>
          <w:rFonts w:asciiTheme="minorBidi" w:hAnsiTheme="minorBidi" w:cs="Arial"/>
          <w:rtl/>
        </w:rPr>
        <w:t xml:space="preserve"> וה"ה לכל דבר איסור דאע"ג דאינו נ"ט צריך ס' נגדו</w:t>
      </w:r>
      <w:r>
        <w:rPr>
          <w:rFonts w:asciiTheme="minorBidi" w:hAnsiTheme="minorBidi" w:cs="Arial" w:hint="cs"/>
          <w:rtl/>
        </w:rPr>
        <w:t>,</w:t>
      </w:r>
      <w:r w:rsidRPr="00667702">
        <w:rPr>
          <w:rFonts w:asciiTheme="minorBidi" w:hAnsiTheme="minorBidi" w:cs="Arial"/>
          <w:rtl/>
        </w:rPr>
        <w:t xml:space="preserve"> והכי איתא בירושלמי פ"י דתרומות ה</w:t>
      </w:r>
      <w:r>
        <w:rPr>
          <w:rFonts w:asciiTheme="minorBidi" w:hAnsiTheme="minorBidi" w:cs="Arial" w:hint="cs"/>
          <w:rtl/>
        </w:rPr>
        <w:t>"</w:t>
      </w:r>
      <w:r w:rsidRPr="00667702">
        <w:rPr>
          <w:rFonts w:asciiTheme="minorBidi" w:hAnsiTheme="minorBidi" w:cs="Arial"/>
          <w:rtl/>
        </w:rPr>
        <w:t>ו הדא אמרת לא לשבח ולא לפגם אסור</w:t>
      </w:r>
      <w:r>
        <w:rPr>
          <w:rFonts w:asciiTheme="minorBidi" w:hAnsiTheme="minorBidi" w:cs="Arial" w:hint="cs"/>
          <w:rtl/>
        </w:rPr>
        <w:t>, ש"ך (סק"ב).</w:t>
      </w:r>
    </w:p>
  </w:footnote>
  <w:footnote w:id="2093">
    <w:p w14:paraId="4D2249B0" w14:textId="77777777" w:rsidR="004C5A3C" w:rsidRDefault="004C5A3C" w:rsidP="002C39F4">
      <w:pPr>
        <w:pStyle w:val="a5"/>
        <w:rPr>
          <w:rtl/>
        </w:rPr>
      </w:pPr>
      <w:r>
        <w:rPr>
          <w:rStyle w:val="a7"/>
        </w:rPr>
        <w:footnoteRef/>
      </w:r>
      <w:r>
        <w:rPr>
          <w:rtl/>
        </w:rPr>
        <w:t xml:space="preserve"> </w:t>
      </w:r>
      <w:r w:rsidRPr="007812A4">
        <w:rPr>
          <w:rFonts w:cs="Arial"/>
          <w:rtl/>
        </w:rPr>
        <w:t>הוא ל' הרמב"ם פי"ז מהמ"א</w:t>
      </w:r>
      <w:r>
        <w:rPr>
          <w:rFonts w:cs="Arial" w:hint="cs"/>
          <w:rtl/>
        </w:rPr>
        <w:t>,</w:t>
      </w:r>
      <w:r w:rsidRPr="007812A4">
        <w:rPr>
          <w:rFonts w:cs="Arial"/>
          <w:rtl/>
        </w:rPr>
        <w:t xml:space="preserve"> וכ' הכ</w:t>
      </w:r>
      <w:r>
        <w:rPr>
          <w:rFonts w:cs="Arial" w:hint="cs"/>
          <w:rtl/>
        </w:rPr>
        <w:t>ס</w:t>
      </w:r>
      <w:r w:rsidRPr="007812A4">
        <w:rPr>
          <w:rFonts w:cs="Arial"/>
          <w:rtl/>
        </w:rPr>
        <w:t xml:space="preserve">"מ שם דס"ל דסתם כלים של </w:t>
      </w:r>
      <w:r>
        <w:rPr>
          <w:rFonts w:cs="Arial" w:hint="cs"/>
          <w:rtl/>
        </w:rPr>
        <w:t>גו</w:t>
      </w:r>
      <w:r w:rsidRPr="007812A4">
        <w:rPr>
          <w:rFonts w:cs="Arial"/>
          <w:rtl/>
        </w:rPr>
        <w:t>ים הם בני יומן</w:t>
      </w:r>
      <w:r>
        <w:rPr>
          <w:rFonts w:cs="Arial" w:hint="cs"/>
          <w:rtl/>
        </w:rPr>
        <w:t>,</w:t>
      </w:r>
      <w:r w:rsidRPr="007812A4">
        <w:rPr>
          <w:rFonts w:cs="Arial"/>
          <w:rtl/>
        </w:rPr>
        <w:t xml:space="preserve"> וכ"כ בב"י לקמן סימן קכ"ב</w:t>
      </w:r>
      <w:r>
        <w:rPr>
          <w:rFonts w:cs="Arial" w:hint="cs"/>
          <w:rtl/>
        </w:rPr>
        <w:t>,</w:t>
      </w:r>
      <w:r w:rsidRPr="007812A4">
        <w:rPr>
          <w:rFonts w:cs="Arial"/>
          <w:rtl/>
        </w:rPr>
        <w:t xml:space="preserve"> וא"כ קשה כיון דפסק לקמן סימן קכ"ב ס"ו דסתם כלים של </w:t>
      </w:r>
      <w:r>
        <w:rPr>
          <w:rFonts w:cs="Arial" w:hint="cs"/>
          <w:rtl/>
        </w:rPr>
        <w:t>גו</w:t>
      </w:r>
      <w:r w:rsidRPr="007812A4">
        <w:rPr>
          <w:rFonts w:cs="Arial"/>
          <w:rtl/>
        </w:rPr>
        <w:t>ים אינן בני יומן א"כ הכא בלאו הכי מותר</w:t>
      </w:r>
      <w:r>
        <w:rPr>
          <w:rFonts w:cs="Arial" w:hint="cs"/>
          <w:rtl/>
        </w:rPr>
        <w:t>,</w:t>
      </w:r>
      <w:r w:rsidRPr="007812A4">
        <w:rPr>
          <w:rFonts w:cs="Arial"/>
          <w:rtl/>
        </w:rPr>
        <w:t xml:space="preserve"> וצ"ל דלא הביא כאן דברי הרמב"ם אלא ללמוד דבשר פוגם שמן ודבש</w:t>
      </w:r>
      <w:r>
        <w:rPr>
          <w:rFonts w:cs="Arial" w:hint="cs"/>
          <w:rtl/>
        </w:rPr>
        <w:t>,</w:t>
      </w:r>
      <w:r w:rsidRPr="007812A4">
        <w:rPr>
          <w:rFonts w:cs="Arial"/>
          <w:rtl/>
        </w:rPr>
        <w:t xml:space="preserve"> וע"ל סי' קי"ד ס"ז</w:t>
      </w:r>
      <w:r>
        <w:rPr>
          <w:rFonts w:hint="cs"/>
          <w:rtl/>
        </w:rPr>
        <w:t>, ש"ך (סקי"ג).</w:t>
      </w:r>
    </w:p>
  </w:footnote>
  <w:footnote w:id="2094">
    <w:p w14:paraId="3771C49F" w14:textId="77777777" w:rsidR="004C5A3C" w:rsidRDefault="004C5A3C" w:rsidP="002C39F4">
      <w:pPr>
        <w:pStyle w:val="a5"/>
      </w:pPr>
      <w:r>
        <w:rPr>
          <w:rStyle w:val="a7"/>
        </w:rPr>
        <w:footnoteRef/>
      </w:r>
      <w:r>
        <w:rPr>
          <w:rtl/>
        </w:rPr>
        <w:t xml:space="preserve"> </w:t>
      </w:r>
      <w:r>
        <w:rPr>
          <w:rFonts w:hint="cs"/>
          <w:rtl/>
        </w:rPr>
        <w:t xml:space="preserve">והט"ז (סק"ז) כתב דאפילו בהפסד גדול יש להחמיר </w:t>
      </w:r>
      <w:r w:rsidRPr="00BF1FFB">
        <w:rPr>
          <w:rFonts w:hint="cs"/>
          <w:sz w:val="16"/>
          <w:szCs w:val="16"/>
          <w:rtl/>
        </w:rPr>
        <w:t>(וכ' הבאה"ט (סקי"ב) לעיין בסי' צד סע' ט</w:t>
      </w:r>
      <w:r>
        <w:rPr>
          <w:rFonts w:hint="cs"/>
          <w:sz w:val="16"/>
          <w:szCs w:val="16"/>
          <w:rtl/>
        </w:rPr>
        <w:t>)</w:t>
      </w:r>
      <w:r>
        <w:rPr>
          <w:rFonts w:hint="cs"/>
          <w:rtl/>
        </w:rPr>
        <w:t>. וכ' הש"ך (סקי"ד) דמשמע דבשמן גם היש אומרים מודה דפגום, וכ' בשם הרבה מן הפוסקים דבשר ושמנונית נותן טעם לשבח בשמן, הן שמן חי הן שלוק.</w:t>
      </w:r>
    </w:p>
  </w:footnote>
  <w:footnote w:id="2095">
    <w:p w14:paraId="2290DFE1" w14:textId="77777777" w:rsidR="004C5A3C" w:rsidRDefault="004C5A3C" w:rsidP="002C39F4">
      <w:pPr>
        <w:pStyle w:val="a5"/>
        <w:rPr>
          <w:rtl/>
        </w:rPr>
      </w:pPr>
      <w:r>
        <w:rPr>
          <w:rStyle w:val="a7"/>
        </w:rPr>
        <w:footnoteRef/>
      </w:r>
      <w:r>
        <w:rPr>
          <w:rtl/>
        </w:rPr>
        <w:t xml:space="preserve"> </w:t>
      </w:r>
      <w:r w:rsidRPr="00A8763A">
        <w:rPr>
          <w:rFonts w:cs="Arial" w:hint="cs"/>
          <w:rtl/>
        </w:rPr>
        <w:t xml:space="preserve">רש"י </w:t>
      </w:r>
      <w:r w:rsidRPr="00A8763A">
        <w:rPr>
          <w:rFonts w:cs="Arial" w:hint="cs"/>
          <w:sz w:val="16"/>
          <w:szCs w:val="16"/>
          <w:rtl/>
        </w:rPr>
        <w:t>(עו. ד"ה בת יומא, סז: ד"ה לאו)</w:t>
      </w:r>
      <w:r w:rsidRPr="00A8763A">
        <w:rPr>
          <w:rFonts w:cs="Arial"/>
          <w:sz w:val="16"/>
          <w:szCs w:val="16"/>
          <w:rtl/>
        </w:rPr>
        <w:t xml:space="preserve"> </w:t>
      </w:r>
      <w:r w:rsidRPr="00A8763A">
        <w:rPr>
          <w:rFonts w:cs="Arial" w:hint="cs"/>
          <w:rtl/>
        </w:rPr>
        <w:t xml:space="preserve">ר"ת </w:t>
      </w:r>
      <w:r w:rsidRPr="00A8763A">
        <w:rPr>
          <w:rFonts w:cs="Arial" w:hint="cs"/>
          <w:sz w:val="16"/>
          <w:szCs w:val="16"/>
          <w:rtl/>
        </w:rPr>
        <w:t xml:space="preserve">(בתוס' עו. ד"ה בת יומא) </w:t>
      </w:r>
      <w:r>
        <w:rPr>
          <w:rFonts w:cs="Arial" w:hint="cs"/>
          <w:rtl/>
        </w:rPr>
        <w:t>ו</w:t>
      </w:r>
      <w:r w:rsidRPr="00A8763A">
        <w:rPr>
          <w:rFonts w:cs="Arial"/>
          <w:rtl/>
        </w:rPr>
        <w:t xml:space="preserve">ר"ן </w:t>
      </w:r>
      <w:r w:rsidRPr="00A8763A">
        <w:rPr>
          <w:rFonts w:cs="Arial"/>
          <w:sz w:val="16"/>
          <w:szCs w:val="16"/>
          <w:rtl/>
        </w:rPr>
        <w:t>(ע"ז מ. ד"ה לא אסרה תורה)</w:t>
      </w:r>
      <w:r>
        <w:rPr>
          <w:rFonts w:hint="cs"/>
          <w:rtl/>
        </w:rPr>
        <w:t>.</w:t>
      </w:r>
    </w:p>
  </w:footnote>
  <w:footnote w:id="2096">
    <w:p w14:paraId="2AE98598" w14:textId="77777777" w:rsidR="004C5A3C" w:rsidRDefault="004C5A3C" w:rsidP="002C39F4">
      <w:pPr>
        <w:pStyle w:val="a5"/>
        <w:rPr>
          <w:rtl/>
        </w:rPr>
      </w:pPr>
      <w:r>
        <w:rPr>
          <w:rStyle w:val="a7"/>
        </w:rPr>
        <w:footnoteRef/>
      </w:r>
      <w:r>
        <w:rPr>
          <w:rtl/>
        </w:rPr>
        <w:t xml:space="preserve"> </w:t>
      </w:r>
      <w:r w:rsidRPr="00965779">
        <w:rPr>
          <w:rFonts w:cs="Arial"/>
          <w:rtl/>
        </w:rPr>
        <w:t>ודוקא שעמדה כל הלילה בלא בישול שאין ידוע מה גורם להפיג הטעם תחלת הלילה או סופו או כולו אבל מעת לעת לא בעינן והמחמיר תבא עליו ברכה</w:t>
      </w:r>
      <w:r>
        <w:rPr>
          <w:rFonts w:hint="cs"/>
          <w:rtl/>
        </w:rPr>
        <w:t>, ר"ת (בתוס' שם).</w:t>
      </w:r>
    </w:p>
  </w:footnote>
  <w:footnote w:id="2097">
    <w:p w14:paraId="5BB6DD4D" w14:textId="77777777" w:rsidR="004C5A3C" w:rsidRDefault="004C5A3C" w:rsidP="002C39F4">
      <w:pPr>
        <w:pStyle w:val="a5"/>
      </w:pPr>
      <w:r>
        <w:rPr>
          <w:rStyle w:val="a7"/>
        </w:rPr>
        <w:footnoteRef/>
      </w:r>
      <w:r>
        <w:rPr>
          <w:rtl/>
        </w:rPr>
        <w:t xml:space="preserve"> </w:t>
      </w:r>
      <w:r>
        <w:rPr>
          <w:rFonts w:hint="cs"/>
          <w:rtl/>
        </w:rPr>
        <w:t>הרא"ש לא כתב כן בפירוש, אבל כך נראה לב"י מדבריו, והוא משום שהרא"ש הביא את דברי ר"ת ואת הקושיות שיש על דבריו, וכתב הרא"ש כמה תירוצים לתרץ את שיטת ר"ת ובסוף כתב- "</w:t>
      </w:r>
      <w:r w:rsidRPr="00A8763A">
        <w:rPr>
          <w:rFonts w:cs="Arial"/>
          <w:rtl/>
        </w:rPr>
        <w:t>וכל דחוקים הללו צריכין אנו לומר לפי רבותינו שאינן מצריכין מעת לעת</w:t>
      </w:r>
      <w:r>
        <w:rPr>
          <w:rFonts w:cs="Arial" w:hint="cs"/>
          <w:rtl/>
        </w:rPr>
        <w:t>,</w:t>
      </w:r>
      <w:r w:rsidRPr="00A8763A">
        <w:rPr>
          <w:rFonts w:cs="Arial"/>
          <w:rtl/>
        </w:rPr>
        <w:t xml:space="preserve"> אבל אם באנו להצריך מעת לעת אתי שפיר טפי מה שהצריך שבירה ומריקה ושטיפה אחר בישול החטאת</w:t>
      </w:r>
      <w:r>
        <w:rPr>
          <w:rFonts w:cs="Arial" w:hint="cs"/>
          <w:rtl/>
        </w:rPr>
        <w:t>..."</w:t>
      </w:r>
      <w:r w:rsidRPr="00A8763A">
        <w:rPr>
          <w:rFonts w:cs="Arial"/>
          <w:rtl/>
        </w:rPr>
        <w:t>.</w:t>
      </w:r>
    </w:p>
  </w:footnote>
  <w:footnote w:id="2098">
    <w:p w14:paraId="1154BEF3" w14:textId="77777777" w:rsidR="004C5A3C" w:rsidRDefault="004C5A3C" w:rsidP="002C39F4">
      <w:pPr>
        <w:pStyle w:val="a5"/>
        <w:rPr>
          <w:rtl/>
        </w:rPr>
      </w:pPr>
      <w:r>
        <w:rPr>
          <w:rStyle w:val="a7"/>
        </w:rPr>
        <w:footnoteRef/>
      </w:r>
      <w:r>
        <w:rPr>
          <w:rtl/>
        </w:rPr>
        <w:t xml:space="preserve"> </w:t>
      </w:r>
      <w:r w:rsidRPr="00A8763A">
        <w:rPr>
          <w:rFonts w:cs="Arial" w:hint="cs"/>
          <w:rtl/>
        </w:rPr>
        <w:t>רשב"ם</w:t>
      </w:r>
      <w:r w:rsidRPr="00A8763A">
        <w:rPr>
          <w:rFonts w:cs="Arial"/>
          <w:rtl/>
        </w:rPr>
        <w:t xml:space="preserve"> </w:t>
      </w:r>
      <w:r w:rsidRPr="00A8763A">
        <w:rPr>
          <w:rFonts w:cs="Arial"/>
          <w:sz w:val="16"/>
          <w:szCs w:val="16"/>
          <w:rtl/>
        </w:rPr>
        <w:t>(</w:t>
      </w:r>
      <w:r w:rsidRPr="00A8763A">
        <w:rPr>
          <w:rFonts w:cs="Arial" w:hint="cs"/>
          <w:sz w:val="16"/>
          <w:szCs w:val="16"/>
          <w:rtl/>
        </w:rPr>
        <w:t xml:space="preserve">כ"כ בשמו </w:t>
      </w:r>
      <w:r>
        <w:rPr>
          <w:rFonts w:cs="Arial" w:hint="cs"/>
          <w:sz w:val="16"/>
          <w:szCs w:val="16"/>
          <w:rtl/>
        </w:rPr>
        <w:t>הג</w:t>
      </w:r>
      <w:r>
        <w:rPr>
          <w:rFonts w:cs="Arial"/>
          <w:sz w:val="16"/>
          <w:szCs w:val="16"/>
          <w:rtl/>
        </w:rPr>
        <w:t>"</w:t>
      </w:r>
      <w:r>
        <w:rPr>
          <w:rFonts w:cs="Arial" w:hint="cs"/>
          <w:sz w:val="16"/>
          <w:szCs w:val="16"/>
          <w:rtl/>
        </w:rPr>
        <w:t>א</w:t>
      </w:r>
      <w:r w:rsidRPr="00A8763A">
        <w:rPr>
          <w:rFonts w:cs="Arial" w:hint="cs"/>
          <w:sz w:val="16"/>
          <w:szCs w:val="16"/>
          <w:rtl/>
        </w:rPr>
        <w:t xml:space="preserve"> </w:t>
      </w:r>
      <w:r w:rsidRPr="00A8763A">
        <w:rPr>
          <w:rFonts w:cs="Arial"/>
          <w:sz w:val="16"/>
          <w:szCs w:val="16"/>
          <w:rtl/>
        </w:rPr>
        <w:t>ע"ז פ"ה סי' ט)</w:t>
      </w:r>
      <w:r>
        <w:rPr>
          <w:rFonts w:cs="Arial" w:hint="cs"/>
          <w:rtl/>
        </w:rPr>
        <w:t xml:space="preserve"> ר"י</w:t>
      </w:r>
      <w:r>
        <w:rPr>
          <w:rFonts w:cs="Arial" w:hint="cs"/>
          <w:sz w:val="16"/>
          <w:szCs w:val="16"/>
          <w:rtl/>
        </w:rPr>
        <w:t xml:space="preserve"> (כ"כ בשמו הטור </w:t>
      </w:r>
      <w:r w:rsidRPr="00EC743C">
        <w:rPr>
          <w:rFonts w:cs="Arial" w:hint="cs"/>
          <w:sz w:val="14"/>
          <w:szCs w:val="14"/>
          <w:rtl/>
        </w:rPr>
        <w:t>[סי' קכא])</w:t>
      </w:r>
      <w:r>
        <w:rPr>
          <w:rFonts w:cs="Arial" w:hint="cs"/>
          <w:rtl/>
        </w:rPr>
        <w:t xml:space="preserve"> סה"ת</w:t>
      </w:r>
      <w:r w:rsidRPr="00A8763A">
        <w:rPr>
          <w:rFonts w:cs="Arial"/>
          <w:rtl/>
        </w:rPr>
        <w:t xml:space="preserve"> </w:t>
      </w:r>
      <w:r w:rsidRPr="00A8763A">
        <w:rPr>
          <w:rFonts w:cs="Arial"/>
          <w:sz w:val="16"/>
          <w:szCs w:val="16"/>
          <w:rtl/>
        </w:rPr>
        <w:t>(סי' עה</w:t>
      </w:r>
      <w:r>
        <w:rPr>
          <w:rFonts w:cs="Arial" w:hint="cs"/>
          <w:sz w:val="16"/>
          <w:szCs w:val="16"/>
          <w:rtl/>
        </w:rPr>
        <w:t>, כן הבין הב"י מדבריו</w:t>
      </w:r>
      <w:r w:rsidRPr="00A8763A">
        <w:rPr>
          <w:rFonts w:cs="Arial"/>
          <w:sz w:val="16"/>
          <w:szCs w:val="16"/>
          <w:rtl/>
        </w:rPr>
        <w:t>)</w:t>
      </w:r>
      <w:r>
        <w:rPr>
          <w:rFonts w:cs="Arial" w:hint="cs"/>
          <w:sz w:val="16"/>
          <w:szCs w:val="16"/>
          <w:rtl/>
        </w:rPr>
        <w:t xml:space="preserve"> </w:t>
      </w:r>
      <w:r>
        <w:rPr>
          <w:rFonts w:cs="Arial" w:hint="cs"/>
          <w:rtl/>
        </w:rPr>
        <w:t xml:space="preserve">רא"ש </w:t>
      </w:r>
      <w:r>
        <w:rPr>
          <w:rFonts w:cs="Arial" w:hint="cs"/>
          <w:sz w:val="16"/>
          <w:szCs w:val="16"/>
          <w:rtl/>
        </w:rPr>
        <w:t>(פ"ה סי' לו)</w:t>
      </w:r>
      <w:r>
        <w:rPr>
          <w:rFonts w:cs="Arial" w:hint="cs"/>
          <w:rtl/>
        </w:rPr>
        <w:t xml:space="preserve"> וטור</w:t>
      </w:r>
      <w:r>
        <w:rPr>
          <w:rFonts w:cs="Arial" w:hint="cs"/>
          <w:sz w:val="14"/>
          <w:szCs w:val="14"/>
          <w:rtl/>
        </w:rPr>
        <w:t xml:space="preserve"> </w:t>
      </w:r>
      <w:r w:rsidRPr="00A8763A">
        <w:rPr>
          <w:rFonts w:cs="Arial" w:hint="cs"/>
          <w:sz w:val="16"/>
          <w:szCs w:val="16"/>
          <w:rtl/>
        </w:rPr>
        <w:t>(כאן ובסי' קכא)</w:t>
      </w:r>
      <w:r>
        <w:rPr>
          <w:rFonts w:hint="cs"/>
          <w:rtl/>
        </w:rPr>
        <w:t>.</w:t>
      </w:r>
    </w:p>
  </w:footnote>
  <w:footnote w:id="2099">
    <w:p w14:paraId="7B2E19EF" w14:textId="77777777" w:rsidR="004C5A3C" w:rsidRDefault="004C5A3C" w:rsidP="002C39F4">
      <w:pPr>
        <w:pStyle w:val="a5"/>
        <w:rPr>
          <w:rtl/>
        </w:rPr>
      </w:pPr>
      <w:r>
        <w:rPr>
          <w:rStyle w:val="a7"/>
        </w:rPr>
        <w:footnoteRef/>
      </w:r>
      <w:r>
        <w:rPr>
          <w:rtl/>
        </w:rPr>
        <w:t xml:space="preserve"> </w:t>
      </w:r>
      <w:r w:rsidRPr="00A8763A">
        <w:rPr>
          <w:rFonts w:cs="Arial"/>
          <w:rtl/>
        </w:rPr>
        <w:t>ו</w:t>
      </w:r>
      <w:r>
        <w:rPr>
          <w:rFonts w:cs="Arial" w:hint="cs"/>
          <w:rtl/>
        </w:rPr>
        <w:t>כ' הב"י ד</w:t>
      </w:r>
      <w:r w:rsidRPr="00A8763A">
        <w:rPr>
          <w:rFonts w:cs="Arial"/>
          <w:rtl/>
        </w:rPr>
        <w:t>הכי הוי סוגיין דעלמא.</w:t>
      </w:r>
    </w:p>
  </w:footnote>
  <w:footnote w:id="2100">
    <w:p w14:paraId="32A5E5BA" w14:textId="77777777" w:rsidR="004C5A3C" w:rsidRDefault="004C5A3C" w:rsidP="002C39F4">
      <w:pPr>
        <w:pStyle w:val="a5"/>
      </w:pPr>
      <w:r>
        <w:rPr>
          <w:rStyle w:val="a7"/>
        </w:rPr>
        <w:footnoteRef/>
      </w:r>
      <w:r>
        <w:rPr>
          <w:rtl/>
        </w:rPr>
        <w:t xml:space="preserve"> </w:t>
      </w:r>
      <w:r w:rsidRPr="003B66B6">
        <w:rPr>
          <w:rFonts w:cs="Arial"/>
          <w:rtl/>
        </w:rPr>
        <w:t xml:space="preserve">דהאי </w:t>
      </w:r>
      <w:r>
        <w:rPr>
          <w:rFonts w:cs="Arial" w:hint="cs"/>
          <w:rtl/>
        </w:rPr>
        <w:t>'</w:t>
      </w:r>
      <w:r w:rsidRPr="003B66B6">
        <w:rPr>
          <w:rFonts w:cs="Arial"/>
          <w:rtl/>
        </w:rPr>
        <w:t>שלא הטביל</w:t>
      </w:r>
      <w:r>
        <w:rPr>
          <w:rFonts w:cs="Arial" w:hint="cs"/>
          <w:rtl/>
        </w:rPr>
        <w:t>' {בגמ'}</w:t>
      </w:r>
      <w:r w:rsidRPr="003B66B6">
        <w:rPr>
          <w:rFonts w:cs="Arial"/>
          <w:rtl/>
        </w:rPr>
        <w:t xml:space="preserve"> שלא הדיח קאמר</w:t>
      </w:r>
      <w:r>
        <w:rPr>
          <w:rFonts w:cs="Arial" w:hint="cs"/>
          <w:rtl/>
        </w:rPr>
        <w:t>,</w:t>
      </w:r>
      <w:r w:rsidRPr="003B66B6">
        <w:rPr>
          <w:rFonts w:cs="Arial"/>
          <w:rtl/>
        </w:rPr>
        <w:t xml:space="preserve"> דאע"פ שלא הדיח שרי</w:t>
      </w:r>
      <w:r>
        <w:rPr>
          <w:rFonts w:cs="Arial" w:hint="cs"/>
          <w:rtl/>
        </w:rPr>
        <w:t>,</w:t>
      </w:r>
      <w:r w:rsidRPr="003B66B6">
        <w:rPr>
          <w:rFonts w:cs="Arial"/>
          <w:rtl/>
        </w:rPr>
        <w:t xml:space="preserve"> לפי שטיחת האיסור שעל פני הכלי נפגמה מיום לחבירו כבלע שבתוכו ואינו כאיסור עצמו</w:t>
      </w:r>
      <w:r>
        <w:rPr>
          <w:rFonts w:cs="Arial" w:hint="cs"/>
          <w:rtl/>
        </w:rPr>
        <w:t xml:space="preserve">, </w:t>
      </w:r>
      <w:r w:rsidRPr="003B66B6">
        <w:rPr>
          <w:rFonts w:cs="Arial"/>
          <w:rtl/>
        </w:rPr>
        <w:t xml:space="preserve">ר"ן </w:t>
      </w:r>
      <w:r w:rsidRPr="003B66B6">
        <w:rPr>
          <w:rFonts w:cs="Arial" w:hint="cs"/>
          <w:sz w:val="16"/>
          <w:szCs w:val="16"/>
          <w:rtl/>
        </w:rPr>
        <w:t>(</w:t>
      </w:r>
      <w:r w:rsidRPr="003B66B6">
        <w:rPr>
          <w:rFonts w:cs="Arial"/>
          <w:sz w:val="16"/>
          <w:szCs w:val="16"/>
          <w:rtl/>
        </w:rPr>
        <w:t>ע"ז מ. ד"ה וכולן)</w:t>
      </w:r>
      <w:r>
        <w:rPr>
          <w:rFonts w:cs="Arial" w:hint="cs"/>
          <w:rtl/>
        </w:rPr>
        <w:t xml:space="preserve"> בשם אחרים.</w:t>
      </w:r>
    </w:p>
  </w:footnote>
  <w:footnote w:id="2101">
    <w:p w14:paraId="216AECCF" w14:textId="77777777" w:rsidR="004C5A3C" w:rsidRDefault="004C5A3C" w:rsidP="002C39F4">
      <w:pPr>
        <w:pStyle w:val="a5"/>
      </w:pPr>
      <w:r>
        <w:rPr>
          <w:rStyle w:val="a7"/>
        </w:rPr>
        <w:footnoteRef/>
      </w:r>
      <w:r>
        <w:rPr>
          <w:rtl/>
        </w:rPr>
        <w:t xml:space="preserve"> </w:t>
      </w:r>
      <w:r>
        <w:rPr>
          <w:rFonts w:hint="cs"/>
          <w:rtl/>
        </w:rPr>
        <w:t>תורת חטאת (כלל פה דין כא) רש"ל (יש"ש חולין פ"ח סי' סד) לבוש (סע' ה) ט"ז (סק"ח) וש"ך (סקט"ו).</w:t>
      </w:r>
    </w:p>
  </w:footnote>
  <w:footnote w:id="2102">
    <w:p w14:paraId="1E0B8BAE" w14:textId="77777777" w:rsidR="004C5A3C" w:rsidRDefault="004C5A3C" w:rsidP="002C39F4">
      <w:pPr>
        <w:pStyle w:val="a5"/>
        <w:rPr>
          <w:rtl/>
        </w:rPr>
      </w:pPr>
      <w:r>
        <w:rPr>
          <w:rStyle w:val="a7"/>
        </w:rPr>
        <w:footnoteRef/>
      </w:r>
      <w:r>
        <w:rPr>
          <w:rtl/>
        </w:rPr>
        <w:t xml:space="preserve"> </w:t>
      </w:r>
      <w:r w:rsidRPr="00871E7E">
        <w:rPr>
          <w:rFonts w:cs="Arial"/>
          <w:rtl/>
        </w:rPr>
        <w:t>לעיל ר"ס צ"ה כתבתי דסתם כלים שנתבשל בהם אמרי' שהיו נקיים ולא היה שומן דבוק בהם ולפ</w:t>
      </w:r>
      <w:r>
        <w:rPr>
          <w:rFonts w:cs="Arial" w:hint="cs"/>
          <w:rtl/>
        </w:rPr>
        <w:t>"</w:t>
      </w:r>
      <w:r w:rsidRPr="00871E7E">
        <w:rPr>
          <w:rFonts w:cs="Arial"/>
          <w:rtl/>
        </w:rPr>
        <w:t>ז מ"ש והוא שתהיה מודחת כו' היינו לאפוקי כשידוע בבירור שלא היתה נקיה ואינה מודחת וקמ"ל דהשומן הדבוק אינו נטל"פ אחר מעל"ע</w:t>
      </w:r>
      <w:r>
        <w:rPr>
          <w:rFonts w:hint="cs"/>
          <w:rtl/>
        </w:rPr>
        <w:t>, ש"ך (סקט"ו).</w:t>
      </w:r>
    </w:p>
  </w:footnote>
  <w:footnote w:id="2103">
    <w:p w14:paraId="3BFA5AD1" w14:textId="77777777" w:rsidR="004C5A3C" w:rsidRDefault="004C5A3C" w:rsidP="002C39F4">
      <w:pPr>
        <w:pStyle w:val="a5"/>
      </w:pPr>
      <w:r>
        <w:rPr>
          <w:rStyle w:val="a7"/>
        </w:rPr>
        <w:footnoteRef/>
      </w:r>
      <w:r>
        <w:rPr>
          <w:rtl/>
        </w:rPr>
        <w:t xml:space="preserve"> </w:t>
      </w:r>
      <w:r w:rsidRPr="00871E7E">
        <w:rPr>
          <w:rFonts w:cs="Arial"/>
          <w:rtl/>
        </w:rPr>
        <w:t xml:space="preserve">כ"כ בת"ח שם בשם או"ה </w:t>
      </w:r>
      <w:r w:rsidRPr="00871E7E">
        <w:rPr>
          <w:rFonts w:cs="Arial"/>
          <w:sz w:val="16"/>
          <w:szCs w:val="16"/>
          <w:rtl/>
        </w:rPr>
        <w:t>(כלל לג)</w:t>
      </w:r>
      <w:r>
        <w:rPr>
          <w:rFonts w:cs="Arial" w:hint="cs"/>
          <w:rtl/>
        </w:rPr>
        <w:t>,</w:t>
      </w:r>
      <w:r w:rsidRPr="00871E7E">
        <w:rPr>
          <w:rFonts w:cs="Arial"/>
          <w:rtl/>
        </w:rPr>
        <w:t xml:space="preserve"> והכי משמע מדברי הרשב"א והמחבר לעיל ר"ס צ"ה</w:t>
      </w:r>
      <w:r>
        <w:rPr>
          <w:rFonts w:cs="Arial" w:hint="cs"/>
          <w:rtl/>
        </w:rPr>
        <w:t>,</w:t>
      </w:r>
      <w:r w:rsidRPr="00871E7E">
        <w:rPr>
          <w:rFonts w:cs="Arial"/>
          <w:rtl/>
        </w:rPr>
        <w:t xml:space="preserve"> ומהרש"ל פכ"ה שם חלק על זה ואמר דמאחר דאיכא ממשות בעין אז הטעם שבקדרה שאינו בן יומו נותן טעם לשבח והוי הכל טעם הבא מן הממש עכ"ל</w:t>
      </w:r>
      <w:r>
        <w:rPr>
          <w:rFonts w:cs="Arial" w:hint="cs"/>
          <w:rtl/>
        </w:rPr>
        <w:t>,</w:t>
      </w:r>
      <w:r w:rsidRPr="00871E7E">
        <w:rPr>
          <w:rFonts w:cs="Arial"/>
          <w:rtl/>
        </w:rPr>
        <w:t xml:space="preserve"> ואין דבריו נראין</w:t>
      </w:r>
      <w:r>
        <w:rPr>
          <w:rFonts w:cs="Arial" w:hint="cs"/>
          <w:rtl/>
        </w:rPr>
        <w:t>, ש"ך (סקט"ז).</w:t>
      </w:r>
    </w:p>
  </w:footnote>
  <w:footnote w:id="2104">
    <w:p w14:paraId="0E7ADE25" w14:textId="77777777" w:rsidR="004C5A3C" w:rsidRDefault="004C5A3C" w:rsidP="002C39F4">
      <w:pPr>
        <w:pStyle w:val="a5"/>
      </w:pPr>
      <w:r>
        <w:rPr>
          <w:rStyle w:val="a7"/>
        </w:rPr>
        <w:footnoteRef/>
      </w:r>
      <w:r>
        <w:rPr>
          <w:rtl/>
        </w:rPr>
        <w:t xml:space="preserve"> </w:t>
      </w:r>
      <w:r>
        <w:rPr>
          <w:rFonts w:hint="cs"/>
          <w:rtl/>
        </w:rPr>
        <w:t xml:space="preserve">וכ' הב"י </w:t>
      </w:r>
      <w:r w:rsidRPr="00D65851">
        <w:rPr>
          <w:rFonts w:hint="cs"/>
          <w:sz w:val="16"/>
          <w:szCs w:val="16"/>
          <w:rtl/>
        </w:rPr>
        <w:t xml:space="preserve">(בבדה"ב) </w:t>
      </w:r>
      <w:r>
        <w:rPr>
          <w:rFonts w:hint="cs"/>
          <w:rtl/>
        </w:rPr>
        <w:t>על דברי האגור-</w:t>
      </w:r>
      <w:r>
        <w:rPr>
          <w:rFonts w:cs="Arial" w:hint="cs"/>
          <w:rtl/>
        </w:rPr>
        <w:t xml:space="preserve"> "וזהו</w:t>
      </w:r>
      <w:r w:rsidRPr="00DE597B">
        <w:rPr>
          <w:rFonts w:cs="Arial"/>
          <w:rtl/>
        </w:rPr>
        <w:t xml:space="preserve"> כדעת בעל התרומה שכתב רבינו בסי</w:t>
      </w:r>
      <w:r>
        <w:rPr>
          <w:rFonts w:cs="Arial" w:hint="cs"/>
          <w:rtl/>
        </w:rPr>
        <w:t>'</w:t>
      </w:r>
      <w:r w:rsidRPr="00DE597B">
        <w:rPr>
          <w:rFonts w:cs="Arial"/>
          <w:rtl/>
        </w:rPr>
        <w:t xml:space="preserve"> צו ושם נתבאר שיש חולקין עליו</w:t>
      </w:r>
      <w:r>
        <w:rPr>
          <w:rFonts w:cs="Arial" w:hint="cs"/>
          <w:rtl/>
        </w:rPr>
        <w:t xml:space="preserve">", ושם </w:t>
      </w:r>
      <w:r w:rsidRPr="00D65851">
        <w:rPr>
          <w:rFonts w:cs="Arial" w:hint="cs"/>
          <w:sz w:val="16"/>
          <w:szCs w:val="16"/>
          <w:rtl/>
        </w:rPr>
        <w:t xml:space="preserve">(סע' א) </w:t>
      </w:r>
      <w:r>
        <w:rPr>
          <w:rFonts w:cs="Arial" w:hint="cs"/>
          <w:rtl/>
        </w:rPr>
        <w:t>מדובר בצנון שנחתך בסכין שאינו בן יומו, שלדעת סה"ת הוי כבן יומו משום חריפותו</w:t>
      </w:r>
      <w:r w:rsidRPr="00604474">
        <w:rPr>
          <w:rFonts w:cs="Arial" w:hint="cs"/>
          <w:sz w:val="16"/>
          <w:szCs w:val="16"/>
          <w:rtl/>
        </w:rPr>
        <w:t xml:space="preserve"> (ו</w:t>
      </w:r>
      <w:r w:rsidRPr="00604474">
        <w:rPr>
          <w:rFonts w:cs="Arial"/>
          <w:sz w:val="16"/>
          <w:szCs w:val="16"/>
          <w:rtl/>
        </w:rPr>
        <w:t>אפי</w:t>
      </w:r>
      <w:r>
        <w:rPr>
          <w:rFonts w:cs="Arial" w:hint="cs"/>
          <w:sz w:val="16"/>
          <w:szCs w:val="16"/>
          <w:rtl/>
        </w:rPr>
        <w:t>'</w:t>
      </w:r>
      <w:r w:rsidRPr="00604474">
        <w:rPr>
          <w:rFonts w:cs="Arial"/>
          <w:sz w:val="16"/>
          <w:szCs w:val="16"/>
          <w:rtl/>
        </w:rPr>
        <w:t xml:space="preserve"> בלא שמנונית בעין</w:t>
      </w:r>
      <w:r w:rsidRPr="00604474">
        <w:rPr>
          <w:rFonts w:cs="Arial" w:hint="cs"/>
          <w:sz w:val="16"/>
          <w:szCs w:val="16"/>
          <w:rtl/>
        </w:rPr>
        <w:t>, ר"פ [סי' ריג])</w:t>
      </w:r>
      <w:r>
        <w:rPr>
          <w:rFonts w:cs="Arial" w:hint="cs"/>
          <w:rtl/>
        </w:rPr>
        <w:t>, ולהב' הב"י בדברי הרמב"ם מותר, ורק בסכין בן יומו אסור, ושם בשו"ע כתב בסתם כפי שהבין בדברי הרמב"ם, ובדעת י"א הביא את דברי סה"ת.</w:t>
      </w:r>
      <w:r>
        <w:rPr>
          <w:rFonts w:hint="cs"/>
          <w:rtl/>
        </w:rPr>
        <w:t xml:space="preserve"> אך בסע' ג' שם כ' השו"ע- </w:t>
      </w:r>
      <w:r>
        <w:rPr>
          <w:rFonts w:asciiTheme="minorBidi" w:hAnsiTheme="minorBidi" w:hint="cs"/>
          <w:rtl/>
        </w:rPr>
        <w:t>"</w:t>
      </w:r>
      <w:r w:rsidRPr="003024E5">
        <w:rPr>
          <w:rFonts w:asciiTheme="minorBidi" w:hAnsiTheme="minorBidi"/>
          <w:rtl/>
        </w:rPr>
        <w:t>תבל</w:t>
      </w:r>
      <w:r>
        <w:rPr>
          <w:rFonts w:asciiTheme="minorBidi" w:hAnsiTheme="minorBidi"/>
          <w:rtl/>
        </w:rPr>
        <w:t xml:space="preserve">ין שנדוכו במדוכה של בשר </w:t>
      </w:r>
      <w:r w:rsidRPr="006D6828">
        <w:rPr>
          <w:rFonts w:asciiTheme="minorBidi" w:hAnsiTheme="minorBidi"/>
          <w:u w:val="single"/>
          <w:rtl/>
        </w:rPr>
        <w:t>בן יומו</w:t>
      </w:r>
      <w:r w:rsidRPr="003024E5">
        <w:rPr>
          <w:rFonts w:asciiTheme="minorBidi" w:hAnsiTheme="minorBidi"/>
          <w:rtl/>
        </w:rPr>
        <w:t xml:space="preserve"> אסור לאכלם בחלב</w:t>
      </w:r>
      <w:r>
        <w:rPr>
          <w:rFonts w:asciiTheme="minorBidi" w:hAnsiTheme="minorBidi" w:hint="cs"/>
          <w:rtl/>
        </w:rPr>
        <w:t xml:space="preserve">", ותמהו עליו שם הש"ך </w:t>
      </w:r>
      <w:r w:rsidRPr="00D65851">
        <w:rPr>
          <w:rFonts w:asciiTheme="minorBidi" w:hAnsiTheme="minorBidi" w:hint="cs"/>
          <w:sz w:val="16"/>
          <w:szCs w:val="16"/>
          <w:rtl/>
        </w:rPr>
        <w:t xml:space="preserve">(סקי"ט) </w:t>
      </w:r>
      <w:r>
        <w:rPr>
          <w:rFonts w:asciiTheme="minorBidi" w:hAnsiTheme="minorBidi" w:hint="cs"/>
          <w:rtl/>
        </w:rPr>
        <w:t xml:space="preserve">והט"ז </w:t>
      </w:r>
      <w:r w:rsidRPr="00D65851">
        <w:rPr>
          <w:rFonts w:asciiTheme="minorBidi" w:hAnsiTheme="minorBidi" w:hint="cs"/>
          <w:sz w:val="16"/>
          <w:szCs w:val="16"/>
          <w:rtl/>
        </w:rPr>
        <w:t xml:space="preserve">(סק"י) </w:t>
      </w:r>
      <w:r>
        <w:rPr>
          <w:rFonts w:asciiTheme="minorBidi" w:hAnsiTheme="minorBidi" w:hint="cs"/>
          <w:rtl/>
        </w:rPr>
        <w:t>דהרי כאן בסי' קג משמע שפסק כהאגור וסה"ת</w:t>
      </w:r>
      <w:r>
        <w:rPr>
          <w:rFonts w:hint="cs"/>
          <w:rtl/>
        </w:rPr>
        <w:t xml:space="preserve">, ולכן כתבו שיש לפסוק כהרמ"א. אך רעק"א </w:t>
      </w:r>
      <w:r w:rsidRPr="00D65851">
        <w:rPr>
          <w:rFonts w:hint="cs"/>
          <w:sz w:val="16"/>
          <w:szCs w:val="16"/>
          <w:rtl/>
        </w:rPr>
        <w:t xml:space="preserve">(שם אות יז, על הט"ז סק"י) </w:t>
      </w:r>
      <w:r>
        <w:rPr>
          <w:rFonts w:hint="cs"/>
          <w:rtl/>
        </w:rPr>
        <w:t>כתב- לא קשה על המחבר ממש"כ בסי' קג, ד</w:t>
      </w:r>
      <w:r w:rsidRPr="00831EA7">
        <w:rPr>
          <w:rFonts w:cs="Arial"/>
          <w:rtl/>
        </w:rPr>
        <w:t>כבר כתבו האחרונים דדעת המחבר להקל בצירוף דעת הפוסקים דנ"ט בר נ"ט מותר בחריף ודוחקא</w:t>
      </w:r>
      <w:r>
        <w:rPr>
          <w:rFonts w:cs="Arial" w:hint="cs"/>
          <w:rtl/>
        </w:rPr>
        <w:t>,</w:t>
      </w:r>
      <w:r>
        <w:rPr>
          <w:rFonts w:cs="Arial"/>
          <w:rtl/>
        </w:rPr>
        <w:t xml:space="preserve"> אבל לקמן </w:t>
      </w:r>
      <w:r w:rsidRPr="00D65851">
        <w:rPr>
          <w:rFonts w:cs="Arial"/>
          <w:sz w:val="16"/>
          <w:szCs w:val="16"/>
          <w:rtl/>
        </w:rPr>
        <w:t>(</w:t>
      </w:r>
      <w:r>
        <w:rPr>
          <w:rFonts w:cs="Arial" w:hint="cs"/>
          <w:sz w:val="16"/>
          <w:szCs w:val="16"/>
          <w:rtl/>
        </w:rPr>
        <w:t xml:space="preserve">כאן, </w:t>
      </w:r>
      <w:r w:rsidRPr="00D65851">
        <w:rPr>
          <w:rFonts w:cs="Arial"/>
          <w:sz w:val="16"/>
          <w:szCs w:val="16"/>
          <w:rtl/>
        </w:rPr>
        <w:t xml:space="preserve">סי' קג) </w:t>
      </w:r>
      <w:r w:rsidRPr="00831EA7">
        <w:rPr>
          <w:rFonts w:cs="Arial"/>
          <w:rtl/>
        </w:rPr>
        <w:t>דמיירי באיסור</w:t>
      </w:r>
      <w:r>
        <w:rPr>
          <w:rFonts w:cs="Arial" w:hint="cs"/>
          <w:rtl/>
        </w:rPr>
        <w:t>,</w:t>
      </w:r>
      <w:r w:rsidRPr="00831EA7">
        <w:rPr>
          <w:rFonts w:cs="Arial"/>
          <w:rtl/>
        </w:rPr>
        <w:t xml:space="preserve"> מש"ה אסור</w:t>
      </w:r>
      <w:r>
        <w:rPr>
          <w:rFonts w:cs="Arial" w:hint="cs"/>
          <w:rtl/>
        </w:rPr>
        <w:t>,</w:t>
      </w:r>
      <w:r>
        <w:rPr>
          <w:rFonts w:cs="Arial"/>
          <w:rtl/>
        </w:rPr>
        <w:t xml:space="preserve"> דעל סברא זו לחוד ד</w:t>
      </w:r>
      <w:r>
        <w:rPr>
          <w:rFonts w:cs="Arial" w:hint="cs"/>
          <w:rtl/>
        </w:rPr>
        <w:t>-'</w:t>
      </w:r>
      <w:r>
        <w:rPr>
          <w:rFonts w:cs="Arial"/>
          <w:rtl/>
        </w:rPr>
        <w:t>לא מחלי</w:t>
      </w:r>
      <w:r>
        <w:rPr>
          <w:rFonts w:cs="Arial" w:hint="cs"/>
          <w:rtl/>
        </w:rPr>
        <w:t>א</w:t>
      </w:r>
      <w:r w:rsidRPr="00831EA7">
        <w:rPr>
          <w:rFonts w:cs="Arial"/>
          <w:rtl/>
        </w:rPr>
        <w:t xml:space="preserve"> לשבח רק חלתית</w:t>
      </w:r>
      <w:r>
        <w:rPr>
          <w:rFonts w:cs="Arial" w:hint="cs"/>
          <w:rtl/>
        </w:rPr>
        <w:t>'</w:t>
      </w:r>
      <w:r w:rsidRPr="00831EA7">
        <w:rPr>
          <w:rFonts w:cs="Arial"/>
          <w:rtl/>
        </w:rPr>
        <w:t xml:space="preserve"> לא סמכינן</w:t>
      </w:r>
      <w:r>
        <w:rPr>
          <w:rFonts w:cs="Arial" w:hint="cs"/>
          <w:rtl/>
        </w:rPr>
        <w:t>,</w:t>
      </w:r>
      <w:r w:rsidRPr="00831EA7">
        <w:rPr>
          <w:rFonts w:cs="Arial"/>
          <w:rtl/>
        </w:rPr>
        <w:t xml:space="preserve"> ולענ"ד י"ל דהכא סמכינן בצירוף הפוסקים דרק בצנון דוחקא וחריף מפליט אבל לא בשאר דברים חריפים</w:t>
      </w:r>
      <w:r>
        <w:rPr>
          <w:rFonts w:cs="Arial" w:hint="cs"/>
          <w:rtl/>
        </w:rPr>
        <w:t>,</w:t>
      </w:r>
      <w:r w:rsidRPr="00831EA7">
        <w:rPr>
          <w:rFonts w:cs="Arial"/>
          <w:rtl/>
        </w:rPr>
        <w:t xml:space="preserve"> מש"ה בסע</w:t>
      </w:r>
      <w:r>
        <w:rPr>
          <w:rFonts w:cs="Arial" w:hint="cs"/>
          <w:rtl/>
        </w:rPr>
        <w:t>'</w:t>
      </w:r>
      <w:r w:rsidRPr="00831EA7">
        <w:rPr>
          <w:rFonts w:cs="Arial"/>
          <w:rtl/>
        </w:rPr>
        <w:t xml:space="preserve"> א לא הכריע דבצנון אסור והכא בתבלין הכריע להקל בצירוף דלא פלט ובלע כלל</w:t>
      </w:r>
      <w:r>
        <w:rPr>
          <w:rFonts w:cs="Arial" w:hint="cs"/>
          <w:rtl/>
        </w:rPr>
        <w:t>,</w:t>
      </w:r>
      <w:r>
        <w:rPr>
          <w:rFonts w:cs="Arial"/>
          <w:rtl/>
        </w:rPr>
        <w:t xml:space="preserve"> ולקמן </w:t>
      </w:r>
      <w:r w:rsidRPr="00D65851">
        <w:rPr>
          <w:rFonts w:cs="Arial"/>
          <w:sz w:val="16"/>
          <w:szCs w:val="16"/>
          <w:rtl/>
        </w:rPr>
        <w:t>(</w:t>
      </w:r>
      <w:r>
        <w:rPr>
          <w:rFonts w:cs="Arial" w:hint="cs"/>
          <w:sz w:val="16"/>
          <w:szCs w:val="16"/>
          <w:rtl/>
        </w:rPr>
        <w:t xml:space="preserve">כאן, </w:t>
      </w:r>
      <w:r w:rsidRPr="00D65851">
        <w:rPr>
          <w:rFonts w:cs="Arial"/>
          <w:sz w:val="16"/>
          <w:szCs w:val="16"/>
          <w:rtl/>
        </w:rPr>
        <w:t xml:space="preserve">סי' קג) </w:t>
      </w:r>
      <w:r w:rsidRPr="00831EA7">
        <w:rPr>
          <w:rFonts w:cs="Arial"/>
          <w:rtl/>
        </w:rPr>
        <w:t>דמיירי בבישול דודאי בלע אסור</w:t>
      </w:r>
      <w:r>
        <w:rPr>
          <w:rFonts w:cs="Arial" w:hint="cs"/>
          <w:rtl/>
        </w:rPr>
        <w:t>.</w:t>
      </w:r>
    </w:p>
  </w:footnote>
  <w:footnote w:id="2105">
    <w:p w14:paraId="1AA8D93B" w14:textId="77777777" w:rsidR="004C5A3C" w:rsidRDefault="004C5A3C" w:rsidP="002C39F4">
      <w:pPr>
        <w:pStyle w:val="a5"/>
        <w:rPr>
          <w:rtl/>
        </w:rPr>
      </w:pPr>
      <w:r>
        <w:rPr>
          <w:rStyle w:val="a7"/>
        </w:rPr>
        <w:footnoteRef/>
      </w:r>
      <w:r>
        <w:rPr>
          <w:rtl/>
        </w:rPr>
        <w:t xml:space="preserve"> </w:t>
      </w:r>
      <w:r w:rsidRPr="005029EA">
        <w:rPr>
          <w:rFonts w:asciiTheme="minorBidi" w:hAnsiTheme="minorBidi"/>
          <w:rtl/>
        </w:rPr>
        <w:t>ומ</w:t>
      </w:r>
      <w:r>
        <w:rPr>
          <w:rFonts w:asciiTheme="minorBidi" w:hAnsiTheme="minorBidi" w:hint="cs"/>
          <w:rtl/>
        </w:rPr>
        <w:t>"</w:t>
      </w:r>
      <w:r w:rsidRPr="005029EA">
        <w:rPr>
          <w:rFonts w:asciiTheme="minorBidi" w:hAnsiTheme="minorBidi"/>
          <w:rtl/>
        </w:rPr>
        <w:t>מ לא מקרי מאכל דבר חריף משום מעט תבלין שבו רק אם כולו הוא דבר חריף</w:t>
      </w:r>
      <w:r w:rsidRPr="005029EA">
        <w:rPr>
          <w:rFonts w:asciiTheme="minorBidi" w:hAnsiTheme="minorBidi" w:hint="cs"/>
          <w:rtl/>
        </w:rPr>
        <w:t>,</w:t>
      </w:r>
      <w:r w:rsidRPr="005029EA">
        <w:rPr>
          <w:rFonts w:asciiTheme="minorBidi" w:hAnsiTheme="minorBidi"/>
          <w:rtl/>
        </w:rPr>
        <w:t xml:space="preserve"> ורובו ככולו</w:t>
      </w:r>
      <w:r>
        <w:rPr>
          <w:rFonts w:hint="cs"/>
          <w:rtl/>
        </w:rPr>
        <w:t>, רמ"א</w:t>
      </w:r>
      <w:r w:rsidRPr="00D65851">
        <w:rPr>
          <w:rFonts w:hint="cs"/>
          <w:sz w:val="16"/>
          <w:szCs w:val="16"/>
          <w:rtl/>
        </w:rPr>
        <w:t xml:space="preserve"> (בהגה סי' צה סע' ב)</w:t>
      </w:r>
      <w:r>
        <w:rPr>
          <w:rFonts w:hint="cs"/>
          <w:rtl/>
        </w:rPr>
        <w:t>.</w:t>
      </w:r>
      <w:r w:rsidRPr="005029EA">
        <w:rPr>
          <w:rFonts w:asciiTheme="minorBidi" w:hAnsiTheme="minorBidi"/>
          <w:rtl/>
        </w:rPr>
        <w:t xml:space="preserve"> </w:t>
      </w:r>
      <w:r w:rsidRPr="00085E47">
        <w:rPr>
          <w:rFonts w:asciiTheme="minorBidi" w:hAnsiTheme="minorBidi"/>
          <w:rtl/>
        </w:rPr>
        <w:t>ולקמן סי' קכב ס"ג נתבאר דדוקא המאכל עצמו שהוא חריף נעשה לשבח אבל לא משוי הקדרה לשבח וע"ש, ש"ך</w:t>
      </w:r>
      <w:r w:rsidRPr="00D65851">
        <w:rPr>
          <w:rFonts w:asciiTheme="minorBidi" w:hAnsiTheme="minorBidi"/>
          <w:sz w:val="16"/>
          <w:szCs w:val="16"/>
          <w:rtl/>
        </w:rPr>
        <w:t xml:space="preserve"> (</w:t>
      </w:r>
      <w:r w:rsidRPr="00D65851">
        <w:rPr>
          <w:rFonts w:asciiTheme="minorBidi" w:hAnsiTheme="minorBidi" w:hint="cs"/>
          <w:sz w:val="16"/>
          <w:szCs w:val="16"/>
          <w:rtl/>
        </w:rPr>
        <w:t xml:space="preserve">סי' צה </w:t>
      </w:r>
      <w:r w:rsidRPr="00D65851">
        <w:rPr>
          <w:rFonts w:asciiTheme="minorBidi" w:hAnsiTheme="minorBidi"/>
          <w:sz w:val="16"/>
          <w:szCs w:val="16"/>
          <w:rtl/>
        </w:rPr>
        <w:t>סק"ז)</w:t>
      </w:r>
      <w:r w:rsidRPr="00085E47">
        <w:rPr>
          <w:rFonts w:asciiTheme="minorBidi" w:hAnsiTheme="minorBidi"/>
          <w:rtl/>
        </w:rPr>
        <w:t>.</w:t>
      </w:r>
    </w:p>
  </w:footnote>
  <w:footnote w:id="2106">
    <w:p w14:paraId="5AA27137" w14:textId="77777777" w:rsidR="004C5A3C" w:rsidRDefault="004C5A3C" w:rsidP="002C39F4">
      <w:pPr>
        <w:pStyle w:val="a5"/>
      </w:pPr>
      <w:r>
        <w:rPr>
          <w:rStyle w:val="a7"/>
        </w:rPr>
        <w:footnoteRef/>
      </w:r>
      <w:r>
        <w:rPr>
          <w:rtl/>
        </w:rPr>
        <w:t xml:space="preserve"> </w:t>
      </w:r>
      <w:r>
        <w:rPr>
          <w:rFonts w:hint="cs"/>
          <w:rtl/>
        </w:rPr>
        <w:t xml:space="preserve">דוקא איסור, </w:t>
      </w:r>
      <w:r w:rsidRPr="00F949D3">
        <w:rPr>
          <w:rFonts w:cs="Arial"/>
          <w:rtl/>
        </w:rPr>
        <w:t>אבל היתר בהיתר אין הדין כן</w:t>
      </w:r>
      <w:r w:rsidRPr="00F949D3">
        <w:rPr>
          <w:rFonts w:cs="Arial" w:hint="cs"/>
          <w:rtl/>
        </w:rPr>
        <w:t>,</w:t>
      </w:r>
      <w:r w:rsidRPr="00F949D3">
        <w:rPr>
          <w:rFonts w:cs="Arial"/>
          <w:rtl/>
        </w:rPr>
        <w:t xml:space="preserve"> כמו בשר בכלי של חלב או חלב בכלי של בשר</w:t>
      </w:r>
      <w:r w:rsidRPr="00F949D3">
        <w:rPr>
          <w:rFonts w:cs="Arial" w:hint="cs"/>
          <w:rtl/>
        </w:rPr>
        <w:t>,</w:t>
      </w:r>
      <w:r w:rsidRPr="00F949D3">
        <w:rPr>
          <w:rFonts w:cs="Arial"/>
          <w:rtl/>
        </w:rPr>
        <w:t xml:space="preserve"> דאם הכלי אינו בן יומו הכל מותר אע</w:t>
      </w:r>
      <w:r w:rsidRPr="00F949D3">
        <w:rPr>
          <w:rFonts w:cs="Arial" w:hint="cs"/>
          <w:rtl/>
        </w:rPr>
        <w:t>"</w:t>
      </w:r>
      <w:r w:rsidRPr="00F949D3">
        <w:rPr>
          <w:rFonts w:cs="Arial"/>
          <w:rtl/>
        </w:rPr>
        <w:t>פ שעשו בו המים חמין לעולם</w:t>
      </w:r>
      <w:r w:rsidRPr="00F949D3">
        <w:rPr>
          <w:rFonts w:cs="Arial" w:hint="cs"/>
          <w:rtl/>
        </w:rPr>
        <w:t>,</w:t>
      </w:r>
      <w:r w:rsidRPr="00F949D3">
        <w:rPr>
          <w:rFonts w:cs="Arial"/>
          <w:rtl/>
        </w:rPr>
        <w:t xml:space="preserve"> לפי שכל המים אין להם דין פליטה מן הכלי שהרי הן היתר וכי חזרו ונבלעו בכלי לא נבלע רק מעט מן הבשר שנפלט מן הכלי או מן החלב המעורב במים</w:t>
      </w:r>
      <w:r w:rsidRPr="00F949D3">
        <w:rPr>
          <w:rFonts w:cs="Arial" w:hint="cs"/>
          <w:rtl/>
        </w:rPr>
        <w:t>,</w:t>
      </w:r>
      <w:r w:rsidRPr="00F949D3">
        <w:rPr>
          <w:rFonts w:cs="Arial"/>
          <w:rtl/>
        </w:rPr>
        <w:t xml:space="preserve"> שהרי עשר ידות חזרו ונבלעו המים שהן היתר יותר משחזר ונבלע מן הכלי הפליטה של כלי</w:t>
      </w:r>
      <w:r w:rsidRPr="00F949D3">
        <w:rPr>
          <w:rFonts w:cs="Arial" w:hint="cs"/>
          <w:rtl/>
        </w:rPr>
        <w:t>,</w:t>
      </w:r>
      <w:r w:rsidRPr="00F949D3">
        <w:rPr>
          <w:rFonts w:cs="Arial"/>
          <w:rtl/>
        </w:rPr>
        <w:t xml:space="preserve"> דדוקא באיסור אמרי' חתיכה עצמה נ</w:t>
      </w:r>
      <w:r>
        <w:rPr>
          <w:rFonts w:cs="Arial" w:hint="cs"/>
          <w:rtl/>
        </w:rPr>
        <w:t>"</w:t>
      </w:r>
      <w:r w:rsidRPr="00F949D3">
        <w:rPr>
          <w:rFonts w:cs="Arial"/>
          <w:rtl/>
        </w:rPr>
        <w:t>נ שכל המים קרויים איסור. ועוד יש לו להתיר משום נ</w:t>
      </w:r>
      <w:r w:rsidRPr="00F949D3">
        <w:rPr>
          <w:rFonts w:cs="Arial" w:hint="cs"/>
          <w:rtl/>
        </w:rPr>
        <w:t>"</w:t>
      </w:r>
      <w:r w:rsidRPr="00F949D3">
        <w:rPr>
          <w:rFonts w:cs="Arial"/>
          <w:rtl/>
        </w:rPr>
        <w:t>ט בר נ</w:t>
      </w:r>
      <w:r w:rsidRPr="00F949D3">
        <w:rPr>
          <w:rFonts w:cs="Arial" w:hint="cs"/>
          <w:rtl/>
        </w:rPr>
        <w:t>"</w:t>
      </w:r>
      <w:r w:rsidRPr="00F949D3">
        <w:rPr>
          <w:rFonts w:cs="Arial"/>
          <w:rtl/>
        </w:rPr>
        <w:t>ט</w:t>
      </w:r>
      <w:r w:rsidRPr="00F949D3">
        <w:rPr>
          <w:rFonts w:cs="Arial" w:hint="cs"/>
          <w:rtl/>
        </w:rPr>
        <w:t>,</w:t>
      </w:r>
      <w:r w:rsidRPr="00F949D3">
        <w:rPr>
          <w:rFonts w:cs="Arial"/>
          <w:rtl/>
        </w:rPr>
        <w:t xml:space="preserve"> ואפי' נאמר דוקא דגים שעלו בקערה מותר אבל נתבשלו לא. הכא איכא </w:t>
      </w:r>
      <w:r>
        <w:rPr>
          <w:rFonts w:cs="Arial" w:hint="cs"/>
          <w:rtl/>
        </w:rPr>
        <w:t>ג'</w:t>
      </w:r>
      <w:r w:rsidRPr="00F949D3">
        <w:rPr>
          <w:rFonts w:cs="Arial"/>
          <w:rtl/>
        </w:rPr>
        <w:t xml:space="preserve"> נותני טעם של היתר. הראשון נכנס בכלי ומשם למים ומן המים חוזר ונבלע בכלי הרי </w:t>
      </w:r>
      <w:r>
        <w:rPr>
          <w:rFonts w:cs="Arial" w:hint="cs"/>
          <w:rtl/>
        </w:rPr>
        <w:t>ג',</w:t>
      </w:r>
      <w:r w:rsidRPr="00F949D3">
        <w:rPr>
          <w:rFonts w:cs="Arial"/>
          <w:rtl/>
        </w:rPr>
        <w:t xml:space="preserve"> וכ"ש אם הוחמו המים הרבה פעמים דאיכא נותני טעם הרבה ומותר</w:t>
      </w:r>
      <w:r>
        <w:rPr>
          <w:rFonts w:cs="Arial" w:hint="cs"/>
          <w:rtl/>
        </w:rPr>
        <w:t>, סה"ת</w:t>
      </w:r>
      <w:r w:rsidRPr="00F949D3">
        <w:rPr>
          <w:rFonts w:cs="Arial"/>
          <w:rtl/>
        </w:rPr>
        <w:t>.</w:t>
      </w:r>
      <w:r>
        <w:rPr>
          <w:rFonts w:cs="Arial" w:hint="cs"/>
          <w:rtl/>
        </w:rPr>
        <w:t xml:space="preserve"> וכ"כ הטור והב"י.</w:t>
      </w:r>
    </w:p>
  </w:footnote>
  <w:footnote w:id="2107">
    <w:p w14:paraId="24DE4172" w14:textId="77777777" w:rsidR="004C5A3C" w:rsidRDefault="004C5A3C" w:rsidP="002C39F4">
      <w:pPr>
        <w:pStyle w:val="a5"/>
        <w:rPr>
          <w:rtl/>
        </w:rPr>
      </w:pPr>
      <w:r>
        <w:rPr>
          <w:rStyle w:val="a7"/>
        </w:rPr>
        <w:footnoteRef/>
      </w:r>
      <w:r>
        <w:rPr>
          <w:rtl/>
        </w:rPr>
        <w:t xml:space="preserve"> </w:t>
      </w:r>
      <w:r>
        <w:rPr>
          <w:rFonts w:cs="Arial" w:hint="cs"/>
          <w:rtl/>
        </w:rPr>
        <w:t xml:space="preserve">הסמ"ק </w:t>
      </w:r>
      <w:r w:rsidRPr="00B2199F">
        <w:rPr>
          <w:rFonts w:cs="Arial"/>
          <w:rtl/>
        </w:rPr>
        <w:t>הביא דברי בעל התרומה וכתב אח</w:t>
      </w:r>
      <w:r>
        <w:rPr>
          <w:rFonts w:cs="Arial" w:hint="cs"/>
          <w:rtl/>
        </w:rPr>
        <w:t>"</w:t>
      </w:r>
      <w:r w:rsidRPr="00B2199F">
        <w:rPr>
          <w:rFonts w:cs="Arial"/>
          <w:rtl/>
        </w:rPr>
        <w:t>כ ד</w:t>
      </w:r>
      <w:r>
        <w:rPr>
          <w:rFonts w:hint="cs"/>
          <w:rtl/>
        </w:rPr>
        <w:t>-...</w:t>
      </w:r>
    </w:p>
  </w:footnote>
  <w:footnote w:id="2108">
    <w:p w14:paraId="7D816C8E" w14:textId="77777777" w:rsidR="004C5A3C" w:rsidRDefault="004C5A3C" w:rsidP="002C39F4">
      <w:pPr>
        <w:pStyle w:val="a5"/>
      </w:pPr>
      <w:r>
        <w:rPr>
          <w:rStyle w:val="a7"/>
        </w:rPr>
        <w:footnoteRef/>
      </w:r>
      <w:r>
        <w:rPr>
          <w:rtl/>
        </w:rPr>
        <w:t xml:space="preserve"> </w:t>
      </w:r>
      <w:r>
        <w:rPr>
          <w:rFonts w:hint="cs"/>
          <w:rtl/>
        </w:rPr>
        <w:t xml:space="preserve">וז"ל- </w:t>
      </w:r>
      <w:r>
        <w:rPr>
          <w:rFonts w:cs="Arial" w:hint="cs"/>
          <w:rtl/>
        </w:rPr>
        <w:t>ו</w:t>
      </w:r>
      <w:r w:rsidRPr="00F949D3">
        <w:rPr>
          <w:rFonts w:cs="Arial"/>
          <w:rtl/>
        </w:rPr>
        <w:t xml:space="preserve">אע"ג דכתבתי לעיל סימן צ"ב </w:t>
      </w:r>
      <w:r w:rsidRPr="00F949D3">
        <w:rPr>
          <w:rFonts w:cs="Arial"/>
          <w:sz w:val="16"/>
          <w:szCs w:val="16"/>
          <w:rtl/>
        </w:rPr>
        <w:t xml:space="preserve">(אות ד) </w:t>
      </w:r>
      <w:r w:rsidRPr="00F949D3">
        <w:rPr>
          <w:rFonts w:cs="Arial"/>
          <w:rtl/>
        </w:rPr>
        <w:t>דאנו נוהגין בכל איסורים חנ"נ מ"מ לענין זה יש לסמוך אמקילין</w:t>
      </w:r>
      <w:r>
        <w:rPr>
          <w:rFonts w:cs="Arial" w:hint="cs"/>
          <w:rtl/>
        </w:rPr>
        <w:t>,</w:t>
      </w:r>
      <w:r w:rsidRPr="00F949D3">
        <w:rPr>
          <w:rFonts w:cs="Arial"/>
          <w:rtl/>
        </w:rPr>
        <w:t xml:space="preserve"> ולכן בשאר איסורים</w:t>
      </w:r>
      <w:r>
        <w:rPr>
          <w:rFonts w:cs="Arial" w:hint="cs"/>
          <w:rtl/>
        </w:rPr>
        <w:t>,</w:t>
      </w:r>
      <w:r w:rsidRPr="00617A44">
        <w:rPr>
          <w:rFonts w:cs="Arial"/>
          <w:rtl/>
        </w:rPr>
        <w:t xml:space="preserve"> </w:t>
      </w:r>
      <w:r w:rsidRPr="00F949D3">
        <w:rPr>
          <w:rFonts w:cs="Arial"/>
          <w:rtl/>
        </w:rPr>
        <w:t>אפילו קודם לינת הלילה</w:t>
      </w:r>
      <w:r>
        <w:rPr>
          <w:rFonts w:cs="Arial" w:hint="cs"/>
          <w:rtl/>
        </w:rPr>
        <w:t xml:space="preserve">, </w:t>
      </w:r>
      <w:r w:rsidRPr="00F949D3">
        <w:rPr>
          <w:rFonts w:cs="Arial"/>
          <w:rtl/>
        </w:rPr>
        <w:t>יש להתיר ולסמוך אמקילין</w:t>
      </w:r>
      <w:r>
        <w:rPr>
          <w:rFonts w:cs="Arial" w:hint="cs"/>
          <w:rtl/>
        </w:rPr>
        <w:t>.</w:t>
      </w:r>
    </w:p>
  </w:footnote>
  <w:footnote w:id="2109">
    <w:p w14:paraId="692E81FD" w14:textId="77777777" w:rsidR="004C5A3C" w:rsidRDefault="004C5A3C" w:rsidP="002C39F4">
      <w:pPr>
        <w:pStyle w:val="a5"/>
        <w:rPr>
          <w:rtl/>
        </w:rPr>
      </w:pPr>
      <w:r>
        <w:rPr>
          <w:rStyle w:val="a7"/>
        </w:rPr>
        <w:footnoteRef/>
      </w:r>
      <w:r>
        <w:rPr>
          <w:rtl/>
        </w:rPr>
        <w:t xml:space="preserve"> </w:t>
      </w:r>
      <w:r>
        <w:rPr>
          <w:rFonts w:hint="cs"/>
          <w:rtl/>
        </w:rPr>
        <w:t xml:space="preserve">ז"ל הב"י- </w:t>
      </w:r>
      <w:r w:rsidRPr="00F949D3">
        <w:rPr>
          <w:rFonts w:cs="Arial"/>
          <w:rtl/>
        </w:rPr>
        <w:t>לפי הטעם שכתב סמ"ק בהא נמי איכא למישרי דאע"ג דאמרינן חתיכה עצמה נעשית נבלה היינו לענין שאם נפלה לקדרה אחרת צריך ששים כנגד כולה</w:t>
      </w:r>
      <w:r>
        <w:rPr>
          <w:rFonts w:cs="Arial" w:hint="cs"/>
          <w:rtl/>
        </w:rPr>
        <w:t>, מכל מקום-...</w:t>
      </w:r>
    </w:p>
  </w:footnote>
  <w:footnote w:id="2110">
    <w:p w14:paraId="383DB13C" w14:textId="77777777" w:rsidR="004C5A3C" w:rsidRDefault="004C5A3C" w:rsidP="002C39F4">
      <w:pPr>
        <w:pStyle w:val="a5"/>
        <w:rPr>
          <w:rFonts w:cs="Arial"/>
          <w:rtl/>
        </w:rPr>
      </w:pPr>
      <w:r>
        <w:rPr>
          <w:rStyle w:val="a7"/>
        </w:rPr>
        <w:footnoteRef/>
      </w:r>
      <w:r>
        <w:rPr>
          <w:rtl/>
        </w:rPr>
        <w:t xml:space="preserve"> </w:t>
      </w:r>
      <w:r w:rsidRPr="000D4593">
        <w:rPr>
          <w:rFonts w:cs="Arial" w:hint="cs"/>
          <w:u w:val="single"/>
          <w:rtl/>
        </w:rPr>
        <w:t>ומה הדין אם לאחר בישול המים עבר לילה:</w:t>
      </w:r>
    </w:p>
    <w:p w14:paraId="31C51AF9" w14:textId="77777777" w:rsidR="004C5A3C" w:rsidRDefault="004C5A3C" w:rsidP="0032102C">
      <w:pPr>
        <w:pStyle w:val="a5"/>
        <w:numPr>
          <w:ilvl w:val="0"/>
          <w:numId w:val="220"/>
        </w:numPr>
      </w:pPr>
      <w:r>
        <w:rPr>
          <w:rFonts w:hint="cs"/>
          <w:rtl/>
        </w:rPr>
        <w:t xml:space="preserve">(ב"י </w:t>
      </w:r>
      <w:r w:rsidRPr="000D4593">
        <w:rPr>
          <w:rFonts w:hint="cs"/>
          <w:sz w:val="16"/>
          <w:szCs w:val="16"/>
          <w:rtl/>
        </w:rPr>
        <w:t>להב' ה</w:t>
      </w:r>
      <w:r>
        <w:rPr>
          <w:rFonts w:hint="cs"/>
          <w:sz w:val="16"/>
          <w:szCs w:val="16"/>
          <w:rtl/>
        </w:rPr>
        <w:t>רמ"א</w:t>
      </w:r>
      <w:r w:rsidRPr="000D4593">
        <w:rPr>
          <w:rFonts w:hint="cs"/>
          <w:sz w:val="16"/>
          <w:szCs w:val="16"/>
          <w:rtl/>
        </w:rPr>
        <w:t xml:space="preserve"> </w:t>
      </w:r>
      <w:r>
        <w:rPr>
          <w:rFonts w:hint="cs"/>
          <w:sz w:val="16"/>
          <w:szCs w:val="16"/>
          <w:rtl/>
        </w:rPr>
        <w:t>[בת"ח כלל פה ד"ז]</w:t>
      </w:r>
      <w:r>
        <w:rPr>
          <w:rFonts w:hint="cs"/>
          <w:rtl/>
        </w:rPr>
        <w:t>)</w:t>
      </w:r>
      <w:r>
        <w:rPr>
          <w:rFonts w:cs="Arial" w:hint="cs"/>
          <w:rtl/>
        </w:rPr>
        <w:t xml:space="preserve"> ו</w:t>
      </w:r>
      <w:r w:rsidRPr="00F949D3">
        <w:rPr>
          <w:rFonts w:cs="Arial" w:hint="cs"/>
          <w:rtl/>
        </w:rPr>
        <w:t xml:space="preserve">דרכ"מ </w:t>
      </w:r>
      <w:r w:rsidRPr="00F949D3">
        <w:rPr>
          <w:rFonts w:cs="Arial"/>
          <w:sz w:val="16"/>
          <w:szCs w:val="16"/>
          <w:rtl/>
        </w:rPr>
        <w:t>(</w:t>
      </w:r>
      <w:r w:rsidRPr="00F949D3">
        <w:rPr>
          <w:rFonts w:cs="Arial" w:hint="cs"/>
          <w:sz w:val="16"/>
          <w:szCs w:val="16"/>
          <w:rtl/>
        </w:rPr>
        <w:t xml:space="preserve">אות </w:t>
      </w:r>
      <w:r w:rsidRPr="00F949D3">
        <w:rPr>
          <w:rFonts w:cs="Arial"/>
          <w:sz w:val="16"/>
          <w:szCs w:val="16"/>
          <w:rtl/>
        </w:rPr>
        <w:t>ב)</w:t>
      </w:r>
      <w:r>
        <w:rPr>
          <w:rFonts w:cs="Arial" w:hint="cs"/>
          <w:rtl/>
        </w:rPr>
        <w:t xml:space="preserve">- </w:t>
      </w:r>
      <w:r w:rsidRPr="00F949D3">
        <w:rPr>
          <w:rFonts w:cs="Arial"/>
          <w:rtl/>
        </w:rPr>
        <w:t>נ"ל דה"ה אם לאחר בישול המים עבר עליו הלילה נמי הוי דינא כאילו עבר קודם בישול</w:t>
      </w:r>
      <w:r>
        <w:rPr>
          <w:rFonts w:cs="Arial" w:hint="cs"/>
          <w:rtl/>
        </w:rPr>
        <w:t>.</w:t>
      </w:r>
      <w:r>
        <w:rPr>
          <w:rFonts w:hint="cs"/>
          <w:rtl/>
        </w:rPr>
        <w:t xml:space="preserve"> </w:t>
      </w:r>
      <w:r w:rsidRPr="00225ADE">
        <w:rPr>
          <w:rFonts w:hint="cs"/>
          <w:color w:val="00B0F0"/>
          <w:rtl/>
        </w:rPr>
        <w:t>(וכ"פ בהגה)</w:t>
      </w:r>
    </w:p>
    <w:p w14:paraId="71A88391" w14:textId="77777777" w:rsidR="004C5A3C" w:rsidRDefault="004C5A3C" w:rsidP="0032102C">
      <w:pPr>
        <w:pStyle w:val="a5"/>
        <w:numPr>
          <w:ilvl w:val="0"/>
          <w:numId w:val="220"/>
        </w:numPr>
      </w:pPr>
      <w:r>
        <w:rPr>
          <w:rFonts w:hint="cs"/>
          <w:rtl/>
        </w:rPr>
        <w:t xml:space="preserve">(ב"י </w:t>
      </w:r>
      <w:r w:rsidRPr="000D4593">
        <w:rPr>
          <w:rFonts w:hint="cs"/>
          <w:sz w:val="16"/>
          <w:szCs w:val="16"/>
          <w:rtl/>
        </w:rPr>
        <w:t xml:space="preserve">להב' הש"ך </w:t>
      </w:r>
      <w:r>
        <w:rPr>
          <w:rFonts w:hint="cs"/>
          <w:sz w:val="16"/>
          <w:szCs w:val="16"/>
          <w:rtl/>
        </w:rPr>
        <w:t>[</w:t>
      </w:r>
      <w:r w:rsidRPr="000D4593">
        <w:rPr>
          <w:rFonts w:hint="cs"/>
          <w:sz w:val="16"/>
          <w:szCs w:val="16"/>
          <w:rtl/>
        </w:rPr>
        <w:t>סקי"ח</w:t>
      </w:r>
      <w:r>
        <w:rPr>
          <w:rFonts w:hint="cs"/>
          <w:sz w:val="16"/>
          <w:szCs w:val="16"/>
          <w:rtl/>
        </w:rPr>
        <w:t>]</w:t>
      </w:r>
      <w:r>
        <w:rPr>
          <w:rFonts w:hint="cs"/>
          <w:rtl/>
        </w:rPr>
        <w:t xml:space="preserve">)- </w:t>
      </w:r>
      <w:r w:rsidRPr="000D4593">
        <w:rPr>
          <w:rFonts w:cs="Arial"/>
          <w:rtl/>
        </w:rPr>
        <w:t xml:space="preserve">אם הוחמו מים תוך לילה א' צריך אח"כ מעל"ע מחימום המים </w:t>
      </w:r>
      <w:r w:rsidRPr="000D4593">
        <w:rPr>
          <w:rFonts w:cs="Arial" w:hint="cs"/>
          <w:sz w:val="16"/>
          <w:szCs w:val="16"/>
          <w:rtl/>
        </w:rPr>
        <w:t>(</w:t>
      </w:r>
      <w:r w:rsidRPr="000D4593">
        <w:rPr>
          <w:rFonts w:cs="Arial"/>
          <w:sz w:val="16"/>
          <w:szCs w:val="16"/>
          <w:rtl/>
        </w:rPr>
        <w:t>וזה שכתב כאן בש</w:t>
      </w:r>
      <w:r w:rsidRPr="000D4593">
        <w:rPr>
          <w:rFonts w:cs="Arial" w:hint="cs"/>
          <w:sz w:val="16"/>
          <w:szCs w:val="16"/>
          <w:rtl/>
        </w:rPr>
        <w:t>ו</w:t>
      </w:r>
      <w:r w:rsidRPr="000D4593">
        <w:rPr>
          <w:rFonts w:cs="Arial"/>
          <w:sz w:val="16"/>
          <w:szCs w:val="16"/>
          <w:rtl/>
        </w:rPr>
        <w:t>"ע עד שתשהה מע"ל משעה שהוחמו בה המים</w:t>
      </w:r>
      <w:r>
        <w:rPr>
          <w:rFonts w:cs="Arial" w:hint="cs"/>
          <w:sz w:val="16"/>
          <w:szCs w:val="16"/>
          <w:rtl/>
        </w:rPr>
        <w:t>,</w:t>
      </w:r>
      <w:r w:rsidRPr="000D4593">
        <w:rPr>
          <w:rFonts w:cs="Arial"/>
          <w:sz w:val="16"/>
          <w:szCs w:val="16"/>
          <w:rtl/>
        </w:rPr>
        <w:t xml:space="preserve"> וכ</w:t>
      </w:r>
      <w:r>
        <w:rPr>
          <w:rFonts w:cs="Arial" w:hint="cs"/>
          <w:sz w:val="16"/>
          <w:szCs w:val="16"/>
          <w:rtl/>
        </w:rPr>
        <w:t xml:space="preserve">ן </w:t>
      </w:r>
      <w:r w:rsidRPr="000D4593">
        <w:rPr>
          <w:rFonts w:cs="Arial"/>
          <w:sz w:val="16"/>
          <w:szCs w:val="16"/>
          <w:rtl/>
        </w:rPr>
        <w:t>כ</w:t>
      </w:r>
      <w:r>
        <w:rPr>
          <w:rFonts w:cs="Arial" w:hint="cs"/>
          <w:sz w:val="16"/>
          <w:szCs w:val="16"/>
          <w:rtl/>
        </w:rPr>
        <w:t>תב</w:t>
      </w:r>
      <w:r w:rsidRPr="000D4593">
        <w:rPr>
          <w:rFonts w:cs="Arial"/>
          <w:sz w:val="16"/>
          <w:szCs w:val="16"/>
          <w:rtl/>
        </w:rPr>
        <w:t xml:space="preserve"> לקמן סי' קכב ס"ד</w:t>
      </w:r>
      <w:r>
        <w:rPr>
          <w:rFonts w:cs="Arial" w:hint="cs"/>
          <w:sz w:val="16"/>
          <w:szCs w:val="16"/>
          <w:rtl/>
        </w:rPr>
        <w:t>,</w:t>
      </w:r>
      <w:r w:rsidRPr="000D4593">
        <w:rPr>
          <w:rFonts w:cs="Arial"/>
          <w:sz w:val="16"/>
          <w:szCs w:val="16"/>
          <w:rtl/>
        </w:rPr>
        <w:t xml:space="preserve"> ושלא כמ"ש בת"ח כלל פ"ה ד"ז על שמו דבין נשתהה הקדרה לילה א' קודם החימום בין שנשתהה לילה א' אחר החימום יש להקל ולסמוך בכהאי גוונא אמ"ד לינת לילה פוגמת עכ"ל</w:t>
      </w:r>
      <w:r>
        <w:rPr>
          <w:rFonts w:cs="Arial" w:hint="cs"/>
          <w:sz w:val="16"/>
          <w:szCs w:val="16"/>
          <w:rtl/>
        </w:rPr>
        <w:t>,</w:t>
      </w:r>
      <w:r w:rsidRPr="000D4593">
        <w:rPr>
          <w:rFonts w:cs="Arial"/>
          <w:sz w:val="16"/>
          <w:szCs w:val="16"/>
          <w:rtl/>
        </w:rPr>
        <w:t xml:space="preserve"> דליתא אלא ס"ל להב"י דאינו מועיל לינה אלא לענין שחימום המים אח"כ לא יעשוה ב"י אבל אם חממו מיד שנעשה ב"י מחדש צריך מעל"ע מחימום המים ולפ"ז גם מ"ש הרב וכן אם עברה לילה אחת בין בישול בשר לחלב כו' אינו מוכרח לדעת הב"י</w:t>
      </w:r>
      <w:r>
        <w:rPr>
          <w:rFonts w:cs="Arial" w:hint="cs"/>
          <w:sz w:val="16"/>
          <w:szCs w:val="16"/>
          <w:rtl/>
        </w:rPr>
        <w:t>, ש"ך)</w:t>
      </w:r>
      <w:r>
        <w:rPr>
          <w:rFonts w:hint="cs"/>
          <w:rtl/>
        </w:rPr>
        <w:t>.</w:t>
      </w:r>
    </w:p>
  </w:footnote>
  <w:footnote w:id="2111">
    <w:p w14:paraId="68CC4BF5" w14:textId="77777777" w:rsidR="004C5A3C" w:rsidRDefault="004C5A3C" w:rsidP="002C39F4">
      <w:pPr>
        <w:pStyle w:val="a5"/>
        <w:rPr>
          <w:rtl/>
        </w:rPr>
      </w:pPr>
      <w:r>
        <w:rPr>
          <w:rStyle w:val="a7"/>
        </w:rPr>
        <w:footnoteRef/>
      </w:r>
      <w:r w:rsidRPr="00F949D3">
        <w:rPr>
          <w:rFonts w:cs="Arial"/>
          <w:rtl/>
        </w:rPr>
        <w:t xml:space="preserve"> ואע</w:t>
      </w:r>
      <w:r>
        <w:rPr>
          <w:rFonts w:cs="Arial" w:hint="cs"/>
          <w:rtl/>
        </w:rPr>
        <w:t>"</w:t>
      </w:r>
      <w:r w:rsidRPr="00F949D3">
        <w:rPr>
          <w:rFonts w:cs="Arial"/>
          <w:rtl/>
        </w:rPr>
        <w:t>ג דלא סמכינן עלייהו להתיר מה שנתבשל בה אז</w:t>
      </w:r>
      <w:r>
        <w:rPr>
          <w:rFonts w:cs="Arial" w:hint="cs"/>
          <w:rtl/>
        </w:rPr>
        <w:t>,</w:t>
      </w:r>
      <w:r w:rsidRPr="00F949D3">
        <w:rPr>
          <w:rFonts w:cs="Arial"/>
          <w:rtl/>
        </w:rPr>
        <w:t xml:space="preserve"> מ</w:t>
      </w:r>
      <w:r>
        <w:rPr>
          <w:rFonts w:cs="Arial" w:hint="cs"/>
          <w:rtl/>
        </w:rPr>
        <w:t>"</w:t>
      </w:r>
      <w:r w:rsidRPr="00F949D3">
        <w:rPr>
          <w:rFonts w:cs="Arial"/>
          <w:rtl/>
        </w:rPr>
        <w:t>מ לענין זה שפ</w:t>
      </w:r>
      <w:r>
        <w:rPr>
          <w:rFonts w:cs="Arial" w:hint="cs"/>
          <w:rtl/>
        </w:rPr>
        <w:t>"</w:t>
      </w:r>
      <w:r w:rsidRPr="00F949D3">
        <w:rPr>
          <w:rFonts w:cs="Arial"/>
          <w:rtl/>
        </w:rPr>
        <w:t>ד לסמוך עלייהו</w:t>
      </w:r>
      <w:r>
        <w:rPr>
          <w:rFonts w:cs="Arial" w:hint="cs"/>
          <w:rtl/>
        </w:rPr>
        <w:t>,</w:t>
      </w:r>
      <w:r w:rsidRPr="00F949D3">
        <w:rPr>
          <w:rFonts w:cs="Arial"/>
          <w:rtl/>
        </w:rPr>
        <w:t xml:space="preserve"> אבל אם קודם שעברה כל הלילה הוחמו בה מים נקטי</w:t>
      </w:r>
      <w:r>
        <w:rPr>
          <w:rFonts w:cs="Arial" w:hint="cs"/>
          <w:rtl/>
        </w:rPr>
        <w:t>נן</w:t>
      </w:r>
      <w:r w:rsidRPr="00F949D3">
        <w:rPr>
          <w:rFonts w:cs="Arial"/>
          <w:rtl/>
        </w:rPr>
        <w:t xml:space="preserve"> כד</w:t>
      </w:r>
      <w:r>
        <w:rPr>
          <w:rFonts w:cs="Arial" w:hint="cs"/>
          <w:rtl/>
        </w:rPr>
        <w:t>'</w:t>
      </w:r>
      <w:r w:rsidRPr="00F949D3">
        <w:rPr>
          <w:rFonts w:cs="Arial"/>
          <w:rtl/>
        </w:rPr>
        <w:t xml:space="preserve"> בעל התרומ</w:t>
      </w:r>
      <w:r>
        <w:rPr>
          <w:rFonts w:cs="Arial" w:hint="cs"/>
          <w:rtl/>
        </w:rPr>
        <w:t>'</w:t>
      </w:r>
      <w:r w:rsidRPr="00F949D3">
        <w:rPr>
          <w:rFonts w:cs="Arial"/>
          <w:rtl/>
        </w:rPr>
        <w:t xml:space="preserve"> אם היתה אסורה משום בשר בחלב כיון דלדברי הכל בבשר בחלב חתיכה עצמה נ</w:t>
      </w:r>
      <w:r>
        <w:rPr>
          <w:rFonts w:cs="Arial" w:hint="cs"/>
          <w:rtl/>
        </w:rPr>
        <w:t>"</w:t>
      </w:r>
      <w:r w:rsidRPr="00F949D3">
        <w:rPr>
          <w:rFonts w:cs="Arial"/>
          <w:rtl/>
        </w:rPr>
        <w:t>נ</w:t>
      </w:r>
      <w:r>
        <w:rPr>
          <w:rFonts w:cs="Arial" w:hint="cs"/>
          <w:rtl/>
        </w:rPr>
        <w:t>, ב"י.</w:t>
      </w:r>
    </w:p>
  </w:footnote>
  <w:footnote w:id="2112">
    <w:p w14:paraId="008AE0A2" w14:textId="77777777" w:rsidR="004C5A3C" w:rsidRDefault="004C5A3C" w:rsidP="002C39F4">
      <w:pPr>
        <w:pStyle w:val="a5"/>
        <w:rPr>
          <w:rtl/>
        </w:rPr>
      </w:pPr>
      <w:r>
        <w:rPr>
          <w:rStyle w:val="a7"/>
        </w:rPr>
        <w:footnoteRef/>
      </w:r>
      <w:r>
        <w:rPr>
          <w:rtl/>
        </w:rPr>
        <w:t xml:space="preserve"> </w:t>
      </w:r>
      <w:r w:rsidRPr="00942FCE">
        <w:rPr>
          <w:rFonts w:cs="Arial"/>
          <w:rtl/>
        </w:rPr>
        <w:t>דוקא לילה לפי שהלילה גורם להפיג הטעם כדאיתא בפוסקים</w:t>
      </w:r>
      <w:r>
        <w:rPr>
          <w:rFonts w:hint="cs"/>
          <w:rtl/>
        </w:rPr>
        <w:t>, ש"ך (סקי"ט).</w:t>
      </w:r>
    </w:p>
  </w:footnote>
  <w:footnote w:id="2113">
    <w:p w14:paraId="6AD8462B" w14:textId="77777777" w:rsidR="004C5A3C" w:rsidRDefault="004C5A3C" w:rsidP="002C39F4">
      <w:pPr>
        <w:pStyle w:val="a5"/>
      </w:pPr>
      <w:r>
        <w:rPr>
          <w:rStyle w:val="a7"/>
        </w:rPr>
        <w:footnoteRef/>
      </w:r>
      <w:r>
        <w:rPr>
          <w:rtl/>
        </w:rPr>
        <w:t xml:space="preserve"> </w:t>
      </w:r>
      <w:r w:rsidRPr="00942FCE">
        <w:rPr>
          <w:rFonts w:cs="Arial"/>
          <w:rtl/>
        </w:rPr>
        <w:t>פי</w:t>
      </w:r>
      <w:r>
        <w:rPr>
          <w:rFonts w:cs="Arial" w:hint="cs"/>
          <w:rtl/>
        </w:rPr>
        <w:t>רוש</w:t>
      </w:r>
      <w:r w:rsidRPr="00942FCE">
        <w:rPr>
          <w:rFonts w:cs="Arial"/>
          <w:rtl/>
        </w:rPr>
        <w:t xml:space="preserve"> במקום הפסד קצת</w:t>
      </w:r>
      <w:r>
        <w:rPr>
          <w:rFonts w:cs="Arial" w:hint="cs"/>
          <w:rtl/>
        </w:rPr>
        <w:t>,</w:t>
      </w:r>
      <w:r w:rsidRPr="00942FCE">
        <w:rPr>
          <w:rFonts w:cs="Arial"/>
          <w:rtl/>
        </w:rPr>
        <w:t xml:space="preserve"> דאילו במקום הפסד גדול בל</w:t>
      </w:r>
      <w:r>
        <w:rPr>
          <w:rFonts w:cs="Arial" w:hint="cs"/>
          <w:rtl/>
        </w:rPr>
        <w:t xml:space="preserve">או </w:t>
      </w:r>
      <w:r w:rsidRPr="00942FCE">
        <w:rPr>
          <w:rFonts w:cs="Arial"/>
          <w:rtl/>
        </w:rPr>
        <w:t>ה</w:t>
      </w:r>
      <w:r>
        <w:rPr>
          <w:rFonts w:cs="Arial" w:hint="cs"/>
          <w:rtl/>
        </w:rPr>
        <w:t>כי</w:t>
      </w:r>
      <w:r w:rsidRPr="00942FCE">
        <w:rPr>
          <w:rFonts w:cs="Arial"/>
          <w:rtl/>
        </w:rPr>
        <w:t xml:space="preserve"> מותר מטעמא די"א דאין אומרים חנ"נ באיסור לח שנבלע בהיתר לח</w:t>
      </w:r>
      <w:r>
        <w:rPr>
          <w:rFonts w:cs="Arial" w:hint="cs"/>
          <w:rtl/>
        </w:rPr>
        <w:t>,</w:t>
      </w:r>
      <w:r w:rsidRPr="00942FCE">
        <w:rPr>
          <w:rFonts w:cs="Arial"/>
          <w:rtl/>
        </w:rPr>
        <w:t xml:space="preserve"> וכדלעיל סי</w:t>
      </w:r>
      <w:r>
        <w:rPr>
          <w:rFonts w:cs="Arial" w:hint="cs"/>
          <w:rtl/>
        </w:rPr>
        <w:t>'</w:t>
      </w:r>
      <w:r w:rsidRPr="00942FCE">
        <w:rPr>
          <w:rFonts w:cs="Arial"/>
          <w:rtl/>
        </w:rPr>
        <w:t xml:space="preserve"> צ"ב ס"ד בהג"ה</w:t>
      </w:r>
      <w:r>
        <w:rPr>
          <w:rFonts w:cs="Arial" w:hint="cs"/>
          <w:rtl/>
        </w:rPr>
        <w:t>, ש"ך</w:t>
      </w:r>
      <w:r w:rsidRPr="00942FCE">
        <w:rPr>
          <w:rFonts w:cs="Arial" w:hint="cs"/>
          <w:sz w:val="16"/>
          <w:szCs w:val="16"/>
          <w:rtl/>
        </w:rPr>
        <w:t xml:space="preserve"> (סק"כ)</w:t>
      </w:r>
      <w:r>
        <w:rPr>
          <w:rFonts w:cs="Arial" w:hint="cs"/>
          <w:rtl/>
        </w:rPr>
        <w:t>. ועי' בט"ז שם סקי"ד מש"כ בשם רש"ל דהיינו דוקא שלא כדרך בישול, דגמ"ר</w:t>
      </w:r>
      <w:r w:rsidRPr="00942FCE">
        <w:rPr>
          <w:rFonts w:cs="Arial" w:hint="cs"/>
          <w:sz w:val="14"/>
          <w:szCs w:val="14"/>
          <w:rtl/>
        </w:rPr>
        <w:t xml:space="preserve"> (אוצ"מ)</w:t>
      </w:r>
      <w:r>
        <w:rPr>
          <w:rFonts w:cs="Arial" w:hint="cs"/>
          <w:rtl/>
        </w:rPr>
        <w:t>.</w:t>
      </w:r>
    </w:p>
  </w:footnote>
  <w:footnote w:id="2114">
    <w:p w14:paraId="0608DCFB" w14:textId="77777777" w:rsidR="004C5A3C" w:rsidRDefault="004C5A3C" w:rsidP="002C39F4">
      <w:pPr>
        <w:pStyle w:val="a5"/>
        <w:rPr>
          <w:rtl/>
        </w:rPr>
      </w:pPr>
      <w:r>
        <w:rPr>
          <w:rStyle w:val="a7"/>
        </w:rPr>
        <w:footnoteRef/>
      </w:r>
      <w:r>
        <w:rPr>
          <w:rtl/>
        </w:rPr>
        <w:t xml:space="preserve"> </w:t>
      </w:r>
      <w:r w:rsidRPr="00942FCE">
        <w:rPr>
          <w:rFonts w:cs="Arial"/>
          <w:rtl/>
        </w:rPr>
        <w:t>פי</w:t>
      </w:r>
      <w:r>
        <w:rPr>
          <w:rFonts w:cs="Arial" w:hint="cs"/>
          <w:rtl/>
        </w:rPr>
        <w:t>רוש</w:t>
      </w:r>
      <w:r w:rsidRPr="00942FCE">
        <w:rPr>
          <w:rFonts w:cs="Arial"/>
          <w:rtl/>
        </w:rPr>
        <w:t xml:space="preserve"> אפי</w:t>
      </w:r>
      <w:r>
        <w:rPr>
          <w:rFonts w:cs="Arial" w:hint="cs"/>
          <w:rtl/>
        </w:rPr>
        <w:t>'</w:t>
      </w:r>
      <w:r w:rsidRPr="00942FCE">
        <w:rPr>
          <w:rFonts w:cs="Arial"/>
          <w:rtl/>
        </w:rPr>
        <w:t xml:space="preserve"> קודם לינת לילה </w:t>
      </w:r>
      <w:r w:rsidRPr="00942FCE">
        <w:rPr>
          <w:rFonts w:cs="Arial" w:hint="cs"/>
          <w:sz w:val="16"/>
          <w:szCs w:val="16"/>
          <w:rtl/>
        </w:rPr>
        <w:t>(</w:t>
      </w:r>
      <w:r w:rsidRPr="00942FCE">
        <w:rPr>
          <w:rFonts w:cs="Arial"/>
          <w:sz w:val="16"/>
          <w:szCs w:val="16"/>
          <w:rtl/>
        </w:rPr>
        <w:t>כיון דהיא גופיה דהמים יהיו נחשבים כנבילה בשאר איסורים הוא פלוגתא בסי' צ"ב ובכ</w:t>
      </w:r>
      <w:r>
        <w:rPr>
          <w:rFonts w:cs="Arial" w:hint="cs"/>
          <w:sz w:val="16"/>
          <w:szCs w:val="16"/>
          <w:rtl/>
        </w:rPr>
        <w:t>ה"</w:t>
      </w:r>
      <w:r w:rsidRPr="00942FCE">
        <w:rPr>
          <w:rFonts w:cs="Arial"/>
          <w:sz w:val="16"/>
          <w:szCs w:val="16"/>
          <w:rtl/>
        </w:rPr>
        <w:t>ג סמכי</w:t>
      </w:r>
      <w:r>
        <w:rPr>
          <w:rFonts w:cs="Arial" w:hint="cs"/>
          <w:sz w:val="16"/>
          <w:szCs w:val="16"/>
          <w:rtl/>
        </w:rPr>
        <w:t>'</w:t>
      </w:r>
      <w:r w:rsidRPr="00942FCE">
        <w:rPr>
          <w:rFonts w:cs="Arial"/>
          <w:sz w:val="16"/>
          <w:szCs w:val="16"/>
          <w:rtl/>
        </w:rPr>
        <w:t xml:space="preserve"> אמקילין</w:t>
      </w:r>
      <w:r>
        <w:rPr>
          <w:rFonts w:cs="Arial" w:hint="cs"/>
          <w:sz w:val="16"/>
          <w:szCs w:val="16"/>
          <w:rtl/>
        </w:rPr>
        <w:t>)</w:t>
      </w:r>
      <w:r>
        <w:rPr>
          <w:rFonts w:hint="cs"/>
          <w:rtl/>
        </w:rPr>
        <w:t xml:space="preserve">, ט"ז </w:t>
      </w:r>
      <w:r w:rsidRPr="00942FCE">
        <w:rPr>
          <w:rFonts w:hint="cs"/>
          <w:sz w:val="16"/>
          <w:szCs w:val="16"/>
          <w:rtl/>
        </w:rPr>
        <w:t>(סקי"א)</w:t>
      </w:r>
      <w:r>
        <w:rPr>
          <w:rFonts w:hint="cs"/>
          <w:rtl/>
        </w:rPr>
        <w:t>.</w:t>
      </w:r>
    </w:p>
  </w:footnote>
  <w:footnote w:id="2115">
    <w:p w14:paraId="1D1243DB" w14:textId="77777777" w:rsidR="004C5A3C" w:rsidRDefault="004C5A3C" w:rsidP="002C39F4">
      <w:pPr>
        <w:pStyle w:val="a5"/>
      </w:pPr>
      <w:r>
        <w:rPr>
          <w:rStyle w:val="a7"/>
        </w:rPr>
        <w:footnoteRef/>
      </w:r>
      <w:r>
        <w:rPr>
          <w:rtl/>
        </w:rPr>
        <w:t xml:space="preserve"> </w:t>
      </w:r>
      <w:r>
        <w:rPr>
          <w:rFonts w:hint="cs"/>
          <w:rtl/>
        </w:rPr>
        <w:t xml:space="preserve">וכ' הש"ך (סקי"ט)- </w:t>
      </w:r>
      <w:r w:rsidRPr="000D4593">
        <w:rPr>
          <w:rFonts w:cs="Arial"/>
          <w:rtl/>
        </w:rPr>
        <w:t>בעיקר הדין שס</w:t>
      </w:r>
      <w:r>
        <w:rPr>
          <w:rFonts w:cs="Arial" w:hint="cs"/>
          <w:rtl/>
        </w:rPr>
        <w:t xml:space="preserve">בירא </w:t>
      </w:r>
      <w:r w:rsidRPr="000D4593">
        <w:rPr>
          <w:rFonts w:cs="Arial"/>
          <w:rtl/>
        </w:rPr>
        <w:t>ל</w:t>
      </w:r>
      <w:r>
        <w:rPr>
          <w:rFonts w:cs="Arial" w:hint="cs"/>
          <w:rtl/>
        </w:rPr>
        <w:t>יה</w:t>
      </w:r>
      <w:r w:rsidRPr="000D4593">
        <w:rPr>
          <w:rFonts w:cs="Arial"/>
          <w:rtl/>
        </w:rPr>
        <w:t xml:space="preserve"> להמחבר והרב דקדרה שבלוע מבשר בחלב דאמרינן חנ"נ איני מודה להם</w:t>
      </w:r>
      <w:r>
        <w:rPr>
          <w:rFonts w:cs="Arial" w:hint="cs"/>
          <w:rtl/>
        </w:rPr>
        <w:t>,</w:t>
      </w:r>
      <w:r w:rsidRPr="000D4593">
        <w:rPr>
          <w:rFonts w:cs="Arial"/>
          <w:rtl/>
        </w:rPr>
        <w:t xml:space="preserve"> דזה דמי לשאר איסורים כיון שכבר נאסר וכמ</w:t>
      </w:r>
      <w:r>
        <w:rPr>
          <w:rFonts w:cs="Arial" w:hint="cs"/>
          <w:rtl/>
        </w:rPr>
        <w:t xml:space="preserve">ו </w:t>
      </w:r>
      <w:r w:rsidRPr="000D4593">
        <w:rPr>
          <w:rFonts w:cs="Arial"/>
          <w:rtl/>
        </w:rPr>
        <w:t>ש</w:t>
      </w:r>
      <w:r>
        <w:rPr>
          <w:rFonts w:cs="Arial" w:hint="cs"/>
          <w:rtl/>
        </w:rPr>
        <w:t>כתבתי</w:t>
      </w:r>
      <w:r w:rsidRPr="000D4593">
        <w:rPr>
          <w:rFonts w:cs="Arial"/>
          <w:rtl/>
        </w:rPr>
        <w:t xml:space="preserve"> בסי' צ"ד סקכ"ב ע"ש</w:t>
      </w:r>
      <w:r>
        <w:rPr>
          <w:rFonts w:cs="Arial" w:hint="cs"/>
          <w:rtl/>
        </w:rPr>
        <w:t>,</w:t>
      </w:r>
      <w:r w:rsidRPr="000D4593">
        <w:rPr>
          <w:rFonts w:cs="Arial"/>
          <w:rtl/>
        </w:rPr>
        <w:t xml:space="preserve"> ועוד כתבתי שם דהעיקר אפי' המ"ד דלא אמרינן חנ"נ בשאר איסורים מודה דצריך מעל"ע משעת חימום המים אפי' בשאר איסורים דלא תלי זה בחנ"נ או לא ע"ש</w:t>
      </w:r>
      <w:r>
        <w:rPr>
          <w:rFonts w:cs="Arial" w:hint="cs"/>
          <w:rtl/>
        </w:rPr>
        <w:t>,</w:t>
      </w:r>
      <w:r w:rsidRPr="000D4593">
        <w:rPr>
          <w:rFonts w:cs="Arial"/>
          <w:rtl/>
        </w:rPr>
        <w:t xml:space="preserve"> ונלע"ד דאין לחלק בזה בין בשר בחלב לשאר איסורים ואם נקל בשאר איסורים גם בבשר בחלב יש להקל ע"ש ודו"ק</w:t>
      </w:r>
      <w:r>
        <w:rPr>
          <w:rFonts w:hint="cs"/>
          <w:rtl/>
        </w:rPr>
        <w:t>.</w:t>
      </w:r>
    </w:p>
  </w:footnote>
  <w:footnote w:id="2116">
    <w:p w14:paraId="60C1E4A6" w14:textId="77777777" w:rsidR="004C5A3C" w:rsidRDefault="004C5A3C" w:rsidP="002C39F4">
      <w:pPr>
        <w:pStyle w:val="a5"/>
      </w:pPr>
      <w:r>
        <w:rPr>
          <w:rStyle w:val="a7"/>
        </w:rPr>
        <w:footnoteRef/>
      </w:r>
      <w:r>
        <w:rPr>
          <w:rtl/>
        </w:rPr>
        <w:t xml:space="preserve"> </w:t>
      </w:r>
      <w:r w:rsidRPr="00C81257">
        <w:rPr>
          <w:rFonts w:cs="Arial"/>
          <w:rtl/>
        </w:rPr>
        <w:t>עכבר של יישוב מאיס</w:t>
      </w:r>
      <w:r>
        <w:rPr>
          <w:rFonts w:cs="Arial" w:hint="cs"/>
          <w:rtl/>
        </w:rPr>
        <w:t>, רש"י</w:t>
      </w:r>
      <w:r w:rsidRPr="00C81257">
        <w:rPr>
          <w:rFonts w:cs="Arial"/>
          <w:rtl/>
        </w:rPr>
        <w:t>.</w:t>
      </w:r>
    </w:p>
  </w:footnote>
  <w:footnote w:id="2117">
    <w:p w14:paraId="096DA813" w14:textId="77777777" w:rsidR="004C5A3C" w:rsidRDefault="004C5A3C" w:rsidP="002C39F4">
      <w:pPr>
        <w:pStyle w:val="a5"/>
        <w:rPr>
          <w:rtl/>
        </w:rPr>
      </w:pPr>
      <w:r>
        <w:rPr>
          <w:rStyle w:val="a7"/>
        </w:rPr>
        <w:footnoteRef/>
      </w:r>
      <w:r>
        <w:rPr>
          <w:rtl/>
        </w:rPr>
        <w:t xml:space="preserve"> </w:t>
      </w:r>
      <w:r w:rsidRPr="007F32A1">
        <w:rPr>
          <w:rFonts w:cs="Arial"/>
          <w:rtl/>
        </w:rPr>
        <w:t>מי אמרינן החומץ טעמו קשה ואין השרץ מפיגו לתת בו טעם</w:t>
      </w:r>
      <w:r>
        <w:rPr>
          <w:rFonts w:cs="Arial" w:hint="cs"/>
          <w:rtl/>
        </w:rPr>
        <w:t>, רש"י</w:t>
      </w:r>
      <w:r w:rsidRPr="007F32A1">
        <w:rPr>
          <w:rFonts w:cs="Arial"/>
          <w:rtl/>
        </w:rPr>
        <w:t>.</w:t>
      </w:r>
    </w:p>
  </w:footnote>
  <w:footnote w:id="2118">
    <w:p w14:paraId="4ED5865E" w14:textId="77777777" w:rsidR="004C5A3C" w:rsidRDefault="004C5A3C" w:rsidP="002C39F4">
      <w:pPr>
        <w:pStyle w:val="a5"/>
        <w:rPr>
          <w:rFonts w:cs="Arial"/>
          <w:rtl/>
        </w:rPr>
      </w:pPr>
      <w:r>
        <w:rPr>
          <w:rStyle w:val="a7"/>
        </w:rPr>
        <w:footnoteRef/>
      </w:r>
      <w:r>
        <w:rPr>
          <w:rtl/>
        </w:rPr>
        <w:t xml:space="preserve"> </w:t>
      </w:r>
      <w:r w:rsidRPr="00E15EB4">
        <w:rPr>
          <w:rFonts w:cs="Arial" w:hint="cs"/>
          <w:u w:val="single"/>
          <w:rtl/>
        </w:rPr>
        <w:t>ונחלקו הראשונים בפירוש המילים '</w:t>
      </w:r>
      <w:r w:rsidRPr="00E15EB4">
        <w:rPr>
          <w:rFonts w:cs="Arial"/>
          <w:u w:val="single"/>
          <w:rtl/>
        </w:rPr>
        <w:t>אימרטוטי אימרטט</w:t>
      </w:r>
      <w:r w:rsidRPr="00E15EB4">
        <w:rPr>
          <w:rFonts w:cs="Arial" w:hint="cs"/>
          <w:u w:val="single"/>
          <w:rtl/>
        </w:rPr>
        <w:t>':</w:t>
      </w:r>
    </w:p>
    <w:p w14:paraId="70909717" w14:textId="77777777" w:rsidR="004C5A3C" w:rsidRDefault="004C5A3C" w:rsidP="0032102C">
      <w:pPr>
        <w:pStyle w:val="a5"/>
        <w:numPr>
          <w:ilvl w:val="0"/>
          <w:numId w:val="222"/>
        </w:numPr>
      </w:pPr>
      <w:r>
        <w:rPr>
          <w:rFonts w:cs="Arial" w:hint="cs"/>
          <w:rtl/>
        </w:rPr>
        <w:t>רש"י</w:t>
      </w:r>
      <w:r>
        <w:rPr>
          <w:rFonts w:cs="Arial" w:hint="cs"/>
          <w:sz w:val="14"/>
          <w:szCs w:val="14"/>
          <w:rtl/>
        </w:rPr>
        <w:t xml:space="preserve"> (הב"י הביא רק את פירוש רש"י)</w:t>
      </w:r>
      <w:r>
        <w:rPr>
          <w:rFonts w:cs="Arial" w:hint="cs"/>
          <w:rtl/>
        </w:rPr>
        <w:t xml:space="preserve">- </w:t>
      </w:r>
      <w:r w:rsidRPr="00E15EB4">
        <w:rPr>
          <w:rFonts w:cs="Arial"/>
          <w:rtl/>
        </w:rPr>
        <w:t xml:space="preserve">אימרטוטי אימרטט </w:t>
      </w:r>
      <w:r w:rsidRPr="007F32A1">
        <w:rPr>
          <w:rFonts w:cs="Arial"/>
          <w:rtl/>
        </w:rPr>
        <w:t>לחתיכות דקות קטנות ושרץ איסורו בכעדשה כטומאתו וחיישינן דלמא בולע חתיכות שרץ בהדי חומץ.</w:t>
      </w:r>
      <w:r>
        <w:rPr>
          <w:rFonts w:cs="Arial" w:hint="cs"/>
          <w:sz w:val="16"/>
          <w:szCs w:val="16"/>
          <w:rtl/>
        </w:rPr>
        <w:t xml:space="preserve"> (והקשה הר"ן- </w:t>
      </w:r>
      <w:r w:rsidRPr="00E15EB4">
        <w:rPr>
          <w:rFonts w:cs="Arial"/>
          <w:sz w:val="16"/>
          <w:szCs w:val="16"/>
          <w:rtl/>
        </w:rPr>
        <w:t>תימה הוא למה הוצרך לכך דהא אף בשאר איסורין יש לחוש לפחות מכזית דהא קי"ל כר' יוחנן דאמר בפרק בתרא דיומא (עג</w:t>
      </w:r>
      <w:r>
        <w:rPr>
          <w:rFonts w:cs="Arial" w:hint="cs"/>
          <w:sz w:val="16"/>
          <w:szCs w:val="16"/>
          <w:rtl/>
        </w:rPr>
        <w:t>:</w:t>
      </w:r>
      <w:r w:rsidRPr="00E15EB4">
        <w:rPr>
          <w:rFonts w:cs="Arial"/>
          <w:sz w:val="16"/>
          <w:szCs w:val="16"/>
          <w:rtl/>
        </w:rPr>
        <w:t>) דחצי שיעור אסור מן התורה</w:t>
      </w:r>
      <w:r>
        <w:rPr>
          <w:rFonts w:cs="Arial" w:hint="cs"/>
          <w:sz w:val="16"/>
          <w:szCs w:val="16"/>
          <w:rtl/>
        </w:rPr>
        <w:t>,</w:t>
      </w:r>
      <w:r w:rsidRPr="00E15EB4">
        <w:rPr>
          <w:rFonts w:cs="Arial"/>
          <w:sz w:val="16"/>
          <w:szCs w:val="16"/>
          <w:rtl/>
        </w:rPr>
        <w:t xml:space="preserve"> ותו קשיא עליו אי מש"ה אמאי אסריה רב כהנא</w:t>
      </w:r>
      <w:r>
        <w:rPr>
          <w:rFonts w:cs="Arial" w:hint="cs"/>
          <w:sz w:val="16"/>
          <w:szCs w:val="16"/>
          <w:rtl/>
        </w:rPr>
        <w:t>,</w:t>
      </w:r>
      <w:r w:rsidRPr="00E15EB4">
        <w:rPr>
          <w:rFonts w:cs="Arial"/>
          <w:sz w:val="16"/>
          <w:szCs w:val="16"/>
          <w:rtl/>
        </w:rPr>
        <w:t xml:space="preserve"> ליעבריה במסננת ולישתרי</w:t>
      </w:r>
      <w:r>
        <w:rPr>
          <w:rFonts w:cs="Arial" w:hint="cs"/>
          <w:sz w:val="16"/>
          <w:szCs w:val="16"/>
          <w:rtl/>
        </w:rPr>
        <w:t xml:space="preserve">, עכ"ל. וענה הש"ך [סק"ב] על דבריו וז"ל- </w:t>
      </w:r>
      <w:r w:rsidRPr="00995D20">
        <w:rPr>
          <w:rFonts w:cs="Arial"/>
          <w:sz w:val="16"/>
          <w:szCs w:val="16"/>
          <w:rtl/>
        </w:rPr>
        <w:t>לק"מ</w:t>
      </w:r>
      <w:r>
        <w:rPr>
          <w:rFonts w:cs="Arial" w:hint="cs"/>
          <w:sz w:val="16"/>
          <w:szCs w:val="16"/>
          <w:rtl/>
        </w:rPr>
        <w:t>,</w:t>
      </w:r>
      <w:r w:rsidRPr="00995D20">
        <w:rPr>
          <w:rFonts w:cs="Arial"/>
          <w:sz w:val="16"/>
          <w:szCs w:val="16"/>
          <w:rtl/>
        </w:rPr>
        <w:t xml:space="preserve"> דודאי בשאר איסורים כיון דנטל"פ הוא א</w:t>
      </w:r>
      <w:r>
        <w:rPr>
          <w:rFonts w:cs="Arial" w:hint="cs"/>
          <w:sz w:val="16"/>
          <w:szCs w:val="16"/>
          <w:rtl/>
        </w:rPr>
        <w:t>"</w:t>
      </w:r>
      <w:r w:rsidRPr="00995D20">
        <w:rPr>
          <w:rFonts w:cs="Arial"/>
          <w:sz w:val="16"/>
          <w:szCs w:val="16"/>
          <w:rtl/>
        </w:rPr>
        <w:t>כ ליכא משום טעמא וגם משום גופיה ליכא</w:t>
      </w:r>
      <w:r>
        <w:rPr>
          <w:rFonts w:cs="Arial" w:hint="cs"/>
          <w:sz w:val="16"/>
          <w:szCs w:val="16"/>
          <w:rtl/>
        </w:rPr>
        <w:t>,</w:t>
      </w:r>
      <w:r w:rsidRPr="00995D20">
        <w:rPr>
          <w:rFonts w:cs="Arial"/>
          <w:sz w:val="16"/>
          <w:szCs w:val="16"/>
          <w:rtl/>
        </w:rPr>
        <w:t xml:space="preserve"> דבטל ברוב כיון שאינו מכירו (ועיין לעיל סי</w:t>
      </w:r>
      <w:r>
        <w:rPr>
          <w:rFonts w:cs="Arial" w:hint="cs"/>
          <w:sz w:val="16"/>
          <w:szCs w:val="16"/>
          <w:rtl/>
        </w:rPr>
        <w:t xml:space="preserve">' </w:t>
      </w:r>
      <w:r w:rsidRPr="00995D20">
        <w:rPr>
          <w:rFonts w:cs="Arial"/>
          <w:sz w:val="16"/>
          <w:szCs w:val="16"/>
          <w:rtl/>
        </w:rPr>
        <w:t>ק"ג סק</w:t>
      </w:r>
      <w:r>
        <w:rPr>
          <w:rFonts w:cs="Arial" w:hint="cs"/>
          <w:sz w:val="16"/>
          <w:szCs w:val="16"/>
          <w:rtl/>
        </w:rPr>
        <w:t>"</w:t>
      </w:r>
      <w:r w:rsidRPr="00995D20">
        <w:rPr>
          <w:rFonts w:cs="Arial"/>
          <w:sz w:val="16"/>
          <w:szCs w:val="16"/>
          <w:rtl/>
        </w:rPr>
        <w:t>ג) דמ</w:t>
      </w:r>
      <w:r>
        <w:rPr>
          <w:rFonts w:cs="Arial" w:hint="cs"/>
          <w:sz w:val="16"/>
          <w:szCs w:val="16"/>
          <w:rtl/>
        </w:rPr>
        <w:t xml:space="preserve">אי </w:t>
      </w:r>
      <w:r w:rsidRPr="00995D20">
        <w:rPr>
          <w:rFonts w:cs="Arial"/>
          <w:sz w:val="16"/>
          <w:szCs w:val="16"/>
          <w:rtl/>
        </w:rPr>
        <w:t>ש</w:t>
      </w:r>
      <w:r>
        <w:rPr>
          <w:rFonts w:cs="Arial" w:hint="cs"/>
          <w:sz w:val="16"/>
          <w:szCs w:val="16"/>
          <w:rtl/>
        </w:rPr>
        <w:t>נא</w:t>
      </w:r>
      <w:r w:rsidRPr="00995D20">
        <w:rPr>
          <w:rFonts w:cs="Arial"/>
          <w:sz w:val="16"/>
          <w:szCs w:val="16"/>
          <w:rtl/>
        </w:rPr>
        <w:t xml:space="preserve"> מיבש ביבש</w:t>
      </w:r>
      <w:r>
        <w:rPr>
          <w:rFonts w:cs="Arial" w:hint="cs"/>
          <w:sz w:val="16"/>
          <w:szCs w:val="16"/>
          <w:rtl/>
        </w:rPr>
        <w:t>,</w:t>
      </w:r>
      <w:r w:rsidRPr="00995D20">
        <w:rPr>
          <w:rFonts w:cs="Arial"/>
          <w:sz w:val="16"/>
          <w:szCs w:val="16"/>
          <w:rtl/>
        </w:rPr>
        <w:t xml:space="preserve"> ואע</w:t>
      </w:r>
      <w:r>
        <w:rPr>
          <w:rFonts w:cs="Arial" w:hint="cs"/>
          <w:sz w:val="16"/>
          <w:szCs w:val="16"/>
          <w:rtl/>
        </w:rPr>
        <w:t>"</w:t>
      </w:r>
      <w:r w:rsidRPr="00995D20">
        <w:rPr>
          <w:rFonts w:cs="Arial"/>
          <w:sz w:val="16"/>
          <w:szCs w:val="16"/>
          <w:rtl/>
        </w:rPr>
        <w:t xml:space="preserve">ג דשלא במינו ביבש קי"ל בששים היינו משום דאם יבשלם יתן טעם </w:t>
      </w:r>
      <w:r>
        <w:rPr>
          <w:rFonts w:cs="Arial" w:hint="cs"/>
          <w:sz w:val="16"/>
          <w:szCs w:val="16"/>
          <w:rtl/>
        </w:rPr>
        <w:t>מ</w:t>
      </w:r>
      <w:r w:rsidRPr="00995D20">
        <w:rPr>
          <w:rFonts w:cs="Arial"/>
          <w:sz w:val="16"/>
          <w:szCs w:val="16"/>
          <w:rtl/>
        </w:rPr>
        <w:t>שא</w:t>
      </w:r>
      <w:r>
        <w:rPr>
          <w:rFonts w:cs="Arial" w:hint="cs"/>
          <w:sz w:val="16"/>
          <w:szCs w:val="16"/>
          <w:rtl/>
        </w:rPr>
        <w:t>"</w:t>
      </w:r>
      <w:r w:rsidRPr="00995D20">
        <w:rPr>
          <w:rFonts w:cs="Arial"/>
          <w:sz w:val="16"/>
          <w:szCs w:val="16"/>
          <w:rtl/>
        </w:rPr>
        <w:t>כ הכא דנטל"פ</w:t>
      </w:r>
      <w:r>
        <w:rPr>
          <w:rFonts w:cs="Arial" w:hint="cs"/>
          <w:sz w:val="16"/>
          <w:szCs w:val="16"/>
          <w:rtl/>
        </w:rPr>
        <w:t>,</w:t>
      </w:r>
      <w:r w:rsidRPr="00995D20">
        <w:rPr>
          <w:rFonts w:cs="Arial"/>
          <w:sz w:val="16"/>
          <w:szCs w:val="16"/>
          <w:rtl/>
        </w:rPr>
        <w:t xml:space="preserve"> ומ"ש וליעבריה במסננת ולשתרי י"ל דהיינו כמ"ש הטור וב"י שנחתך בענין שאינו יכול לבררו במסננת כגון שהיה החומץ מעורב במאכל עב והלכך שרץ כיון דשיעורו בכעדשה לא בטיל דהוי כמו בריה וכמ"ש האו"ה</w:t>
      </w:r>
      <w:r w:rsidRPr="00E15EB4">
        <w:rPr>
          <w:rFonts w:cs="Arial" w:hint="cs"/>
          <w:sz w:val="16"/>
          <w:szCs w:val="16"/>
          <w:rtl/>
        </w:rPr>
        <w:t>)</w:t>
      </w:r>
    </w:p>
    <w:p w14:paraId="7601507A" w14:textId="77777777" w:rsidR="004C5A3C" w:rsidRPr="0006386A" w:rsidRDefault="004C5A3C" w:rsidP="0032102C">
      <w:pPr>
        <w:pStyle w:val="a5"/>
        <w:numPr>
          <w:ilvl w:val="0"/>
          <w:numId w:val="222"/>
        </w:numPr>
      </w:pPr>
      <w:r>
        <w:rPr>
          <w:rFonts w:cs="Arial" w:hint="cs"/>
          <w:rtl/>
        </w:rPr>
        <w:t xml:space="preserve">ר"ן </w:t>
      </w:r>
      <w:r w:rsidRPr="00E15EB4">
        <w:rPr>
          <w:rFonts w:cs="Arial"/>
          <w:sz w:val="16"/>
          <w:szCs w:val="16"/>
          <w:rtl/>
        </w:rPr>
        <w:t>(לב: ד"ה ההוא אימרטוטי)</w:t>
      </w:r>
      <w:r>
        <w:rPr>
          <w:rFonts w:cs="Arial" w:hint="cs"/>
          <w:rtl/>
        </w:rPr>
        <w:t>-</w:t>
      </w:r>
      <w:r w:rsidRPr="00E15EB4">
        <w:rPr>
          <w:rFonts w:cs="Arial"/>
          <w:rtl/>
        </w:rPr>
        <w:t xml:space="preserve"> כלומר שהוסר צמרו וכיון דחזינן דשהא טובא איכא למיחש דלמא חורפיה דחלא מהדר ליה לטעמא לשבח ואע"ג דחלא ושיכרא צונן בצונן הוא כיון דשהא טובא ה"ל כבוש שהוא כמבושל</w:t>
      </w:r>
      <w:r>
        <w:rPr>
          <w:rFonts w:cs="Arial" w:hint="cs"/>
          <w:rtl/>
        </w:rPr>
        <w:t>.</w:t>
      </w:r>
    </w:p>
    <w:p w14:paraId="2B7953BB" w14:textId="77777777" w:rsidR="004C5A3C" w:rsidRDefault="004C5A3C" w:rsidP="0032102C">
      <w:pPr>
        <w:pStyle w:val="a5"/>
        <w:numPr>
          <w:ilvl w:val="0"/>
          <w:numId w:val="222"/>
        </w:numPr>
      </w:pPr>
      <w:r w:rsidRPr="00E15EB4">
        <w:rPr>
          <w:rFonts w:cs="Arial"/>
          <w:rtl/>
        </w:rPr>
        <w:t xml:space="preserve">ראב"ד </w:t>
      </w:r>
      <w:r w:rsidRPr="0006386A">
        <w:rPr>
          <w:rFonts w:cs="Arial" w:hint="cs"/>
          <w:sz w:val="16"/>
          <w:szCs w:val="16"/>
          <w:rtl/>
        </w:rPr>
        <w:t>(הביאו הר"ן)</w:t>
      </w:r>
      <w:r>
        <w:rPr>
          <w:rFonts w:cs="Arial" w:hint="cs"/>
          <w:rtl/>
        </w:rPr>
        <w:t xml:space="preserve">- </w:t>
      </w:r>
      <w:r w:rsidRPr="00E15EB4">
        <w:rPr>
          <w:rFonts w:cs="Arial"/>
          <w:rtl/>
        </w:rPr>
        <w:t>שאין העכבר פוגם אלא מחמת צמרו וזה שהוסר צמרו משביח</w:t>
      </w:r>
      <w:r>
        <w:rPr>
          <w:rFonts w:cs="Arial" w:hint="cs"/>
          <w:rtl/>
        </w:rPr>
        <w:t>.</w:t>
      </w:r>
      <w:r w:rsidRPr="00E15EB4">
        <w:rPr>
          <w:rFonts w:cs="Arial"/>
          <w:rtl/>
        </w:rPr>
        <w:t xml:space="preserve"> </w:t>
      </w:r>
      <w:r w:rsidRPr="0006386A">
        <w:rPr>
          <w:rFonts w:cs="Arial" w:hint="cs"/>
          <w:sz w:val="16"/>
          <w:szCs w:val="16"/>
          <w:rtl/>
        </w:rPr>
        <w:t xml:space="preserve">(וכ' הר"ן- </w:t>
      </w:r>
      <w:r w:rsidRPr="0006386A">
        <w:rPr>
          <w:rFonts w:cs="Arial"/>
          <w:sz w:val="16"/>
          <w:szCs w:val="16"/>
          <w:rtl/>
        </w:rPr>
        <w:t>ולא נהירא כלל</w:t>
      </w:r>
      <w:r w:rsidRPr="0006386A">
        <w:rPr>
          <w:rFonts w:cs="Arial" w:hint="cs"/>
          <w:sz w:val="16"/>
          <w:szCs w:val="16"/>
          <w:rtl/>
        </w:rPr>
        <w:t>)</w:t>
      </w:r>
    </w:p>
  </w:footnote>
  <w:footnote w:id="2119">
    <w:p w14:paraId="688DE6B3" w14:textId="77777777" w:rsidR="004C5A3C" w:rsidRDefault="004C5A3C" w:rsidP="002C39F4">
      <w:pPr>
        <w:pStyle w:val="a5"/>
      </w:pPr>
      <w:r>
        <w:rPr>
          <w:rStyle w:val="a7"/>
        </w:rPr>
        <w:footnoteRef/>
      </w:r>
      <w:r>
        <w:rPr>
          <w:rtl/>
        </w:rPr>
        <w:t xml:space="preserve"> </w:t>
      </w:r>
      <w:r>
        <w:rPr>
          <w:rFonts w:cs="Arial"/>
          <w:rtl/>
        </w:rPr>
        <w:t>פירוש בין בשכרא בין בחלא בשיתין</w:t>
      </w:r>
      <w:r>
        <w:rPr>
          <w:rFonts w:cs="Arial" w:hint="cs"/>
          <w:rtl/>
        </w:rPr>
        <w:t>, ב"י.</w:t>
      </w:r>
    </w:p>
  </w:footnote>
  <w:footnote w:id="2120">
    <w:p w14:paraId="26D862F4" w14:textId="77777777" w:rsidR="004C5A3C" w:rsidRDefault="004C5A3C" w:rsidP="002C39F4">
      <w:pPr>
        <w:pStyle w:val="a5"/>
        <w:rPr>
          <w:rtl/>
        </w:rPr>
      </w:pPr>
      <w:r>
        <w:rPr>
          <w:rStyle w:val="a7"/>
        </w:rPr>
        <w:footnoteRef/>
      </w:r>
      <w:r>
        <w:rPr>
          <w:rtl/>
        </w:rPr>
        <w:t xml:space="preserve"> </w:t>
      </w:r>
      <w:r>
        <w:rPr>
          <w:rFonts w:cs="Arial"/>
          <w:rtl/>
        </w:rPr>
        <w:t>כגון שהיה השכר או החומץ מעורב במאכל עב שאי אפשר לסננו</w:t>
      </w:r>
      <w:r>
        <w:rPr>
          <w:rFonts w:hint="cs"/>
          <w:rtl/>
        </w:rPr>
        <w:t>, ב"י.</w:t>
      </w:r>
    </w:p>
  </w:footnote>
  <w:footnote w:id="2121">
    <w:p w14:paraId="56590321" w14:textId="77777777" w:rsidR="004C5A3C" w:rsidRDefault="004C5A3C" w:rsidP="002C39F4">
      <w:pPr>
        <w:pStyle w:val="a5"/>
        <w:rPr>
          <w:rtl/>
        </w:rPr>
      </w:pPr>
      <w:r>
        <w:rPr>
          <w:rStyle w:val="a7"/>
        </w:rPr>
        <w:footnoteRef/>
      </w:r>
      <w:r>
        <w:rPr>
          <w:rtl/>
        </w:rPr>
        <w:t xml:space="preserve"> </w:t>
      </w:r>
      <w:r>
        <w:rPr>
          <w:rFonts w:hint="cs"/>
          <w:rtl/>
        </w:rPr>
        <w:t xml:space="preserve">כן הבין הש"ך (סק"ב) מדבריהם, וז"ל- </w:t>
      </w:r>
      <w:r w:rsidRPr="002A55DF">
        <w:rPr>
          <w:rFonts w:cs="Arial"/>
          <w:rtl/>
        </w:rPr>
        <w:t>ומדברי הב</w:t>
      </w:r>
      <w:r>
        <w:rPr>
          <w:rFonts w:cs="Arial" w:hint="cs"/>
          <w:rtl/>
        </w:rPr>
        <w:t>"</w:t>
      </w:r>
      <w:r w:rsidRPr="002A55DF">
        <w:rPr>
          <w:rFonts w:cs="Arial"/>
          <w:rtl/>
        </w:rPr>
        <w:t>י נראה דאפילו פחות מכעדשה וכן בשאר איסורים נמי לא בטיל אפי' ביותר מששים כל שא"א לסננו</w:t>
      </w:r>
      <w:r>
        <w:rPr>
          <w:rFonts w:cs="Arial" w:hint="cs"/>
          <w:rtl/>
        </w:rPr>
        <w:t>,</w:t>
      </w:r>
      <w:r w:rsidRPr="002A55DF">
        <w:rPr>
          <w:rFonts w:cs="Arial"/>
          <w:rtl/>
        </w:rPr>
        <w:t xml:space="preserve"> וכן דעת מהרש"ל פג"ה סי' מ"ט</w:t>
      </w:r>
      <w:r>
        <w:rPr>
          <w:rFonts w:cs="Arial" w:hint="cs"/>
          <w:rtl/>
        </w:rPr>
        <w:t>, עכ"ל.</w:t>
      </w:r>
    </w:p>
  </w:footnote>
  <w:footnote w:id="2122">
    <w:p w14:paraId="2FD9F6AF" w14:textId="77777777" w:rsidR="004C5A3C" w:rsidRDefault="004C5A3C" w:rsidP="002C39F4">
      <w:pPr>
        <w:pStyle w:val="a5"/>
        <w:rPr>
          <w:rtl/>
        </w:rPr>
      </w:pPr>
      <w:r>
        <w:rPr>
          <w:rStyle w:val="a7"/>
        </w:rPr>
        <w:footnoteRef/>
      </w:r>
      <w:r>
        <w:rPr>
          <w:rtl/>
        </w:rPr>
        <w:t xml:space="preserve"> </w:t>
      </w:r>
      <w:r>
        <w:rPr>
          <w:rFonts w:hint="cs"/>
          <w:rtl/>
        </w:rPr>
        <w:t>ודאי אין כוונת רמ"א לומר דכעדשה משרץ אינו בטל ביבש ביבש מטעם בריה, ועוד דהא בריה צריך להיות דבר שאם יחלק אין שמו עליו, אלא כוונת רמ"א דהכא דיניה כלח בלח כיון דנתערב במשקה, אלא דקשה א"כ אמאי אסור דהא נתבטל כשיש ששים נגדו, אלא ודאי שאני הכא כיון דהוי כמו בריה דלוקה על כעדשה מן התורה, א"כ חמיר טפי, וגזרו רבנן ביה דחיישינן שמא יפגע בממשותו של כעדשה ואתי לידי חיוב דאו' כי היכי דגזרו בבריה דלא בטיל, ש"ך (נה"כ אות א).</w:t>
      </w:r>
    </w:p>
  </w:footnote>
  <w:footnote w:id="2123">
    <w:p w14:paraId="57D96E6A" w14:textId="77777777" w:rsidR="004C5A3C" w:rsidRDefault="004C5A3C" w:rsidP="002C39F4">
      <w:pPr>
        <w:pStyle w:val="a5"/>
        <w:rPr>
          <w:rtl/>
        </w:rPr>
      </w:pPr>
      <w:r>
        <w:rPr>
          <w:rStyle w:val="a7"/>
        </w:rPr>
        <w:footnoteRef/>
      </w:r>
      <w:r>
        <w:rPr>
          <w:rtl/>
        </w:rPr>
        <w:t xml:space="preserve"> </w:t>
      </w:r>
      <w:r w:rsidRPr="000D3051">
        <w:rPr>
          <w:rFonts w:cs="Arial"/>
          <w:rtl/>
        </w:rPr>
        <w:t xml:space="preserve">כן נראה מדברי </w:t>
      </w:r>
      <w:r>
        <w:rPr>
          <w:rFonts w:cs="Arial"/>
          <w:rtl/>
        </w:rPr>
        <w:t>או"ה</w:t>
      </w:r>
      <w:r>
        <w:rPr>
          <w:rFonts w:cs="Arial" w:hint="cs"/>
          <w:rtl/>
        </w:rPr>
        <w:t>,</w:t>
      </w:r>
      <w:r w:rsidRPr="000D3051">
        <w:rPr>
          <w:rFonts w:cs="Arial"/>
          <w:rtl/>
        </w:rPr>
        <w:t xml:space="preserve"> אבל מדברי רבינו אינו נראה כן</w:t>
      </w:r>
      <w:r>
        <w:rPr>
          <w:rFonts w:cs="Arial" w:hint="cs"/>
          <w:rtl/>
        </w:rPr>
        <w:t>,</w:t>
      </w:r>
      <w:r w:rsidRPr="000D3051">
        <w:rPr>
          <w:rFonts w:cs="Arial"/>
          <w:rtl/>
        </w:rPr>
        <w:t xml:space="preserve"> וכ"כ ב</w:t>
      </w:r>
      <w:r>
        <w:rPr>
          <w:rFonts w:cs="Arial" w:hint="cs"/>
          <w:rtl/>
        </w:rPr>
        <w:t>"</w:t>
      </w:r>
      <w:r w:rsidRPr="000D3051">
        <w:rPr>
          <w:rFonts w:cs="Arial"/>
          <w:rtl/>
        </w:rPr>
        <w:t>י דהא דכתב רבינו ואם נתחתך שאינו יכול לבררו מיירי במאכל ואפילו הכי כתב שאינו בטל</w:t>
      </w:r>
      <w:r>
        <w:rPr>
          <w:rFonts w:cs="Arial" w:hint="cs"/>
          <w:rtl/>
        </w:rPr>
        <w:t>,</w:t>
      </w:r>
      <w:r w:rsidRPr="000D3051">
        <w:rPr>
          <w:rFonts w:cs="Arial"/>
          <w:rtl/>
        </w:rPr>
        <w:t xml:space="preserve"> וצ"ל לפ"ד דבשרצים בכל מקום אינו בטל אם יש לחוש שנשאר בכעדשה שהוא שיעור טומאתו וברייתו ודלא כמ"ש ה</w:t>
      </w:r>
      <w:r>
        <w:rPr>
          <w:rFonts w:cs="Arial"/>
          <w:rtl/>
        </w:rPr>
        <w:t>או"ה</w:t>
      </w:r>
      <w:r w:rsidRPr="000D3051">
        <w:rPr>
          <w:rFonts w:cs="Arial"/>
          <w:rtl/>
        </w:rPr>
        <w:t xml:space="preserve"> כלל ל"ב (דין י) וריש כלל כה (דין ב)</w:t>
      </w:r>
      <w:r>
        <w:rPr>
          <w:rFonts w:hint="cs"/>
          <w:rtl/>
        </w:rPr>
        <w:t>, דרכ"מ (אות א).</w:t>
      </w:r>
    </w:p>
  </w:footnote>
  <w:footnote w:id="2124">
    <w:p w14:paraId="4B6DC65A" w14:textId="77777777" w:rsidR="004C5A3C" w:rsidRDefault="004C5A3C" w:rsidP="002C39F4">
      <w:pPr>
        <w:pStyle w:val="a5"/>
        <w:rPr>
          <w:rtl/>
        </w:rPr>
      </w:pPr>
      <w:r>
        <w:rPr>
          <w:rStyle w:val="a7"/>
        </w:rPr>
        <w:footnoteRef/>
      </w:r>
      <w:r>
        <w:rPr>
          <w:rtl/>
        </w:rPr>
        <w:t xml:space="preserve"> </w:t>
      </w:r>
      <w:r w:rsidRPr="00FB0C7E">
        <w:rPr>
          <w:rFonts w:cs="Arial"/>
          <w:rtl/>
        </w:rPr>
        <w:t>ופשוט הוא</w:t>
      </w:r>
      <w:r>
        <w:rPr>
          <w:rFonts w:cs="Arial" w:hint="cs"/>
          <w:rtl/>
        </w:rPr>
        <w:t>,</w:t>
      </w:r>
      <w:r w:rsidRPr="00FB0C7E">
        <w:rPr>
          <w:rFonts w:cs="Arial"/>
          <w:rtl/>
        </w:rPr>
        <w:t xml:space="preserve"> ודייק רבינו לכ</w:t>
      </w:r>
      <w:r>
        <w:rPr>
          <w:rFonts w:cs="Arial" w:hint="cs"/>
          <w:rtl/>
        </w:rPr>
        <w:t>ת'</w:t>
      </w:r>
      <w:r w:rsidRPr="00FB0C7E">
        <w:rPr>
          <w:rFonts w:cs="Arial"/>
          <w:rtl/>
        </w:rPr>
        <w:t xml:space="preserve"> </w:t>
      </w:r>
      <w:r>
        <w:rPr>
          <w:rFonts w:cs="Arial" w:hint="cs"/>
          <w:rtl/>
        </w:rPr>
        <w:t>'</w:t>
      </w:r>
      <w:r w:rsidRPr="00FB0C7E">
        <w:rPr>
          <w:rFonts w:cs="Arial"/>
          <w:rtl/>
        </w:rPr>
        <w:t>לגמרי</w:t>
      </w:r>
      <w:r>
        <w:rPr>
          <w:rFonts w:cs="Arial" w:hint="cs"/>
          <w:rtl/>
        </w:rPr>
        <w:t>'</w:t>
      </w:r>
      <w:r w:rsidRPr="00FB0C7E">
        <w:rPr>
          <w:rFonts w:cs="Arial"/>
          <w:rtl/>
        </w:rPr>
        <w:t xml:space="preserve"> לומר דבעינן שנמוח ונתערב עם המשקה והיה כמוהו שאילו נשתייר שום ממשות ממנו אפי</w:t>
      </w:r>
      <w:r>
        <w:rPr>
          <w:rFonts w:cs="Arial" w:hint="cs"/>
          <w:rtl/>
        </w:rPr>
        <w:t>'</w:t>
      </w:r>
      <w:r w:rsidRPr="00FB0C7E">
        <w:rPr>
          <w:rFonts w:cs="Arial"/>
          <w:rtl/>
        </w:rPr>
        <w:t xml:space="preserve"> היה כעדשה חייב עליו דשרץ שיעורו בכעדשה ואפי</w:t>
      </w:r>
      <w:r>
        <w:rPr>
          <w:rFonts w:cs="Arial" w:hint="cs"/>
          <w:rtl/>
        </w:rPr>
        <w:t>'</w:t>
      </w:r>
      <w:r w:rsidRPr="00FB0C7E">
        <w:rPr>
          <w:rFonts w:cs="Arial"/>
          <w:rtl/>
        </w:rPr>
        <w:t xml:space="preserve"> בפחות מכעדשה נמי איסורא מיהא איכא דחצי שיעור אסור מן התורה</w:t>
      </w:r>
      <w:r>
        <w:rPr>
          <w:rFonts w:cs="Arial" w:hint="cs"/>
          <w:rtl/>
        </w:rPr>
        <w:t>, ב"י</w:t>
      </w:r>
      <w:r w:rsidRPr="00FB0C7E">
        <w:rPr>
          <w:rFonts w:cs="Arial" w:hint="cs"/>
          <w:rtl/>
        </w:rPr>
        <w:t>.</w:t>
      </w:r>
    </w:p>
  </w:footnote>
  <w:footnote w:id="2125">
    <w:p w14:paraId="4D5F4F79" w14:textId="77777777" w:rsidR="004C5A3C" w:rsidRDefault="004C5A3C" w:rsidP="002C39F4">
      <w:pPr>
        <w:pStyle w:val="a5"/>
      </w:pPr>
      <w:r>
        <w:rPr>
          <w:rStyle w:val="a7"/>
        </w:rPr>
        <w:footnoteRef/>
      </w:r>
      <w:r>
        <w:rPr>
          <w:rtl/>
        </w:rPr>
        <w:t xml:space="preserve"> </w:t>
      </w:r>
      <w:r>
        <w:rPr>
          <w:rFonts w:hint="cs"/>
          <w:rtl/>
        </w:rPr>
        <w:t xml:space="preserve">ישנה מחלוקת בפירוש דברי הגמ', הב"י סובר שרב אסר בעכברא דמתא ועליו מספקא הגמ' אם נותן טעם לשבח או לפגם, אבל עכברא דדברא ודאי נותן טעם לשבח, וכן הבין הפר"ח </w:t>
      </w:r>
      <w:r w:rsidRPr="00895ACC">
        <w:rPr>
          <w:rFonts w:hint="cs"/>
          <w:sz w:val="16"/>
          <w:szCs w:val="16"/>
          <w:rtl/>
        </w:rPr>
        <w:t>(סק"א)</w:t>
      </w:r>
      <w:r>
        <w:rPr>
          <w:rFonts w:hint="cs"/>
          <w:rtl/>
        </w:rPr>
        <w:t xml:space="preserve">. אך הש"ך </w:t>
      </w:r>
      <w:r w:rsidRPr="00895ACC">
        <w:rPr>
          <w:rFonts w:hint="cs"/>
          <w:sz w:val="16"/>
          <w:szCs w:val="16"/>
          <w:rtl/>
        </w:rPr>
        <w:t xml:space="preserve">(סק"א) </w:t>
      </w:r>
      <w:r>
        <w:rPr>
          <w:rFonts w:hint="cs"/>
          <w:rtl/>
        </w:rPr>
        <w:t xml:space="preserve">והגר"א </w:t>
      </w:r>
      <w:r w:rsidRPr="00895ACC">
        <w:rPr>
          <w:rFonts w:hint="cs"/>
          <w:sz w:val="16"/>
          <w:szCs w:val="16"/>
          <w:rtl/>
        </w:rPr>
        <w:t xml:space="preserve">(סק"א) </w:t>
      </w:r>
      <w:r>
        <w:rPr>
          <w:rFonts w:hint="cs"/>
          <w:rtl/>
        </w:rPr>
        <w:t xml:space="preserve">כ' שאין זו כוונת הגמ', אלא הגמ' מספקא בכל עכבר </w:t>
      </w:r>
      <w:r w:rsidRPr="00895ACC">
        <w:rPr>
          <w:rFonts w:hint="cs"/>
          <w:sz w:val="16"/>
          <w:szCs w:val="16"/>
          <w:rtl/>
        </w:rPr>
        <w:t>(אף בעכברא דדברא</w:t>
      </w:r>
      <w:r>
        <w:rPr>
          <w:rFonts w:hint="cs"/>
          <w:sz w:val="16"/>
          <w:szCs w:val="16"/>
          <w:rtl/>
        </w:rPr>
        <w:t>)</w:t>
      </w:r>
      <w:r>
        <w:rPr>
          <w:rFonts w:hint="cs"/>
          <w:rtl/>
        </w:rPr>
        <w:t xml:space="preserve"> אם נותן טעם לפגם או לשבח, וכתבו שלכן שום פוסק לא חילקו בזה וכתבו 'בסתם' עכבר. </w:t>
      </w:r>
    </w:p>
  </w:footnote>
  <w:footnote w:id="2126">
    <w:p w14:paraId="5C78BA8F" w14:textId="77777777" w:rsidR="004C5A3C" w:rsidRDefault="004C5A3C" w:rsidP="002C39F4">
      <w:pPr>
        <w:pStyle w:val="a5"/>
        <w:rPr>
          <w:rtl/>
        </w:rPr>
      </w:pPr>
      <w:r>
        <w:rPr>
          <w:rStyle w:val="a7"/>
        </w:rPr>
        <w:footnoteRef/>
      </w:r>
      <w:r>
        <w:rPr>
          <w:rtl/>
        </w:rPr>
        <w:t xml:space="preserve"> </w:t>
      </w:r>
      <w:r>
        <w:rPr>
          <w:rFonts w:hint="cs"/>
          <w:rtl/>
        </w:rPr>
        <w:t>עיין לקמן סי' קה סק"ב מזה, ש"ך (סק"ב).</w:t>
      </w:r>
    </w:p>
  </w:footnote>
  <w:footnote w:id="2127">
    <w:p w14:paraId="1E99E57B" w14:textId="77777777" w:rsidR="004C5A3C" w:rsidRDefault="004C5A3C" w:rsidP="002C39F4">
      <w:pPr>
        <w:pStyle w:val="a5"/>
        <w:rPr>
          <w:rtl/>
        </w:rPr>
      </w:pPr>
      <w:r>
        <w:rPr>
          <w:rStyle w:val="a7"/>
        </w:rPr>
        <w:footnoteRef/>
      </w:r>
      <w:r>
        <w:rPr>
          <w:rtl/>
        </w:rPr>
        <w:t xml:space="preserve"> </w:t>
      </w:r>
      <w:r w:rsidRPr="000D2A94">
        <w:rPr>
          <w:rFonts w:cs="Arial"/>
          <w:rtl/>
        </w:rPr>
        <w:t>בד</w:t>
      </w:r>
      <w:r>
        <w:rPr>
          <w:rFonts w:cs="Arial" w:hint="cs"/>
          <w:rtl/>
        </w:rPr>
        <w:t>רכ</w:t>
      </w:r>
      <w:r w:rsidRPr="000D2A94">
        <w:rPr>
          <w:rFonts w:cs="Arial"/>
          <w:rtl/>
        </w:rPr>
        <w:t>"מ</w:t>
      </w:r>
      <w:r>
        <w:rPr>
          <w:rFonts w:cs="Arial" w:hint="cs"/>
          <w:rtl/>
        </w:rPr>
        <w:t xml:space="preserve"> </w:t>
      </w:r>
      <w:r w:rsidRPr="002A55DF">
        <w:rPr>
          <w:rFonts w:cs="Arial" w:hint="cs"/>
          <w:sz w:val="16"/>
          <w:szCs w:val="16"/>
          <w:rtl/>
        </w:rPr>
        <w:t>(אות ב)</w:t>
      </w:r>
      <w:r w:rsidRPr="002A55DF">
        <w:rPr>
          <w:rFonts w:cs="Arial"/>
          <w:sz w:val="16"/>
          <w:szCs w:val="16"/>
          <w:rtl/>
        </w:rPr>
        <w:t xml:space="preserve"> </w:t>
      </w:r>
      <w:r w:rsidRPr="000D2A94">
        <w:rPr>
          <w:rFonts w:cs="Arial"/>
          <w:rtl/>
        </w:rPr>
        <w:t>כתב הטעם שמא ישאר ממנו כעדשה שהוא שיעור טומאתו הואיל ותחילת ברייתו הוה כעדשה מקרי בריה ואינה בטלה</w:t>
      </w:r>
      <w:r>
        <w:rPr>
          <w:rFonts w:cs="Arial" w:hint="cs"/>
          <w:rtl/>
        </w:rPr>
        <w:t>.</w:t>
      </w:r>
      <w:r w:rsidRPr="000D2A94">
        <w:rPr>
          <w:rFonts w:cs="Arial"/>
          <w:rtl/>
        </w:rPr>
        <w:t xml:space="preserve"> </w:t>
      </w:r>
      <w:r>
        <w:rPr>
          <w:rFonts w:hint="cs"/>
          <w:rtl/>
        </w:rPr>
        <w:t xml:space="preserve">והט"ז </w:t>
      </w:r>
      <w:r w:rsidRPr="002A55DF">
        <w:rPr>
          <w:rFonts w:hint="cs"/>
          <w:sz w:val="16"/>
          <w:szCs w:val="16"/>
          <w:rtl/>
        </w:rPr>
        <w:t xml:space="preserve">(סק"א) </w:t>
      </w:r>
      <w:r>
        <w:rPr>
          <w:rFonts w:hint="cs"/>
          <w:rtl/>
        </w:rPr>
        <w:t>חלק על זה וכ' ד</w:t>
      </w:r>
      <w:r w:rsidRPr="000D2A94">
        <w:rPr>
          <w:rFonts w:cs="Arial"/>
          <w:rtl/>
        </w:rPr>
        <w:t>אין כאן חילוק בעולם בין שרץ לשאר איסורים</w:t>
      </w:r>
      <w:r>
        <w:rPr>
          <w:rFonts w:cs="Arial" w:hint="cs"/>
          <w:rtl/>
        </w:rPr>
        <w:t>,</w:t>
      </w:r>
      <w:r w:rsidRPr="000D2A94">
        <w:rPr>
          <w:rFonts w:cs="Arial"/>
          <w:rtl/>
        </w:rPr>
        <w:t xml:space="preserve"> </w:t>
      </w:r>
      <w:r>
        <w:rPr>
          <w:rFonts w:cs="Arial" w:hint="cs"/>
          <w:rtl/>
        </w:rPr>
        <w:t xml:space="preserve">ומה שבנחתך הכל אסור לאו טעמא משום חשיבות בריה, רק דחיישינן דילמא בלע חתיכה דקה בתוך השכר או החומץ, ומיירי כאן מאיסור ניכר אלא שאי אפשר לבררו, ובזה לא מהני ששים, דלא מהני ששים אלא כשאין האיסור ניכר, וא"כ אף בשאר איסורין הדין כן, עכ"ד. וכן דעת רש"ל ופר"ח </w:t>
      </w:r>
      <w:r w:rsidRPr="002A55DF">
        <w:rPr>
          <w:rFonts w:cs="Arial" w:hint="cs"/>
          <w:sz w:val="16"/>
          <w:szCs w:val="16"/>
          <w:rtl/>
        </w:rPr>
        <w:t>(סק"ג)</w:t>
      </w:r>
      <w:r>
        <w:rPr>
          <w:rFonts w:cs="Arial" w:hint="cs"/>
          <w:rtl/>
        </w:rPr>
        <w:t>.</w:t>
      </w:r>
      <w:r>
        <w:rPr>
          <w:rFonts w:hint="cs"/>
          <w:rtl/>
        </w:rPr>
        <w:t xml:space="preserve"> אך הש"ך </w:t>
      </w:r>
      <w:r w:rsidRPr="002A55DF">
        <w:rPr>
          <w:rFonts w:hint="cs"/>
          <w:sz w:val="16"/>
          <w:szCs w:val="16"/>
          <w:rtl/>
        </w:rPr>
        <w:t xml:space="preserve">(נה"כ אות א) </w:t>
      </w:r>
      <w:r>
        <w:rPr>
          <w:rFonts w:hint="cs"/>
          <w:rtl/>
        </w:rPr>
        <w:t xml:space="preserve">דחה את דברי הט"ז, והסכים </w:t>
      </w:r>
      <w:r w:rsidRPr="002A55DF">
        <w:rPr>
          <w:rFonts w:hint="cs"/>
          <w:sz w:val="16"/>
          <w:szCs w:val="16"/>
          <w:rtl/>
        </w:rPr>
        <w:t xml:space="preserve">(ש"ך סק"ב) </w:t>
      </w:r>
      <w:r>
        <w:rPr>
          <w:rFonts w:hint="cs"/>
          <w:rtl/>
        </w:rPr>
        <w:t>עם דברי הרמ"א, דבשאר איסורין כל שא"א לסננו בטל.</w:t>
      </w:r>
    </w:p>
  </w:footnote>
  <w:footnote w:id="2128">
    <w:p w14:paraId="110557E2" w14:textId="77777777" w:rsidR="004C5A3C" w:rsidRDefault="004C5A3C" w:rsidP="002C39F4">
      <w:pPr>
        <w:pStyle w:val="a5"/>
        <w:rPr>
          <w:rtl/>
        </w:rPr>
      </w:pPr>
      <w:r>
        <w:rPr>
          <w:rStyle w:val="a7"/>
        </w:rPr>
        <w:footnoteRef/>
      </w:r>
      <w:r>
        <w:rPr>
          <w:rtl/>
        </w:rPr>
        <w:t xml:space="preserve"> </w:t>
      </w:r>
      <w:r>
        <w:rPr>
          <w:rFonts w:hint="cs"/>
          <w:rtl/>
        </w:rPr>
        <w:t xml:space="preserve">וז"ל- </w:t>
      </w:r>
      <w:r w:rsidRPr="009430EF">
        <w:rPr>
          <w:rFonts w:cs="Arial"/>
          <w:rtl/>
        </w:rPr>
        <w:t>הורו רבותינו הצרפתים הלכה למעשה דדוקא בחלא ושכרא לפי שמשביחה אבל בשמן ויין ושאר משקין פוגם הוא ומותר</w:t>
      </w:r>
      <w:r>
        <w:rPr>
          <w:rFonts w:cs="Arial" w:hint="cs"/>
          <w:rtl/>
        </w:rPr>
        <w:t>.</w:t>
      </w:r>
    </w:p>
  </w:footnote>
  <w:footnote w:id="2129">
    <w:p w14:paraId="1509356C" w14:textId="77777777" w:rsidR="004C5A3C" w:rsidRDefault="004C5A3C" w:rsidP="002C39F4">
      <w:pPr>
        <w:pStyle w:val="a5"/>
        <w:rPr>
          <w:rtl/>
        </w:rPr>
      </w:pPr>
      <w:r>
        <w:rPr>
          <w:rStyle w:val="a7"/>
        </w:rPr>
        <w:footnoteRef/>
      </w:r>
      <w:r>
        <w:rPr>
          <w:rtl/>
        </w:rPr>
        <w:t xml:space="preserve"> </w:t>
      </w:r>
      <w:r w:rsidRPr="00566A4A">
        <w:rPr>
          <w:rFonts w:cs="Arial"/>
          <w:rtl/>
        </w:rPr>
        <w:t xml:space="preserve">רמב"ם </w:t>
      </w:r>
      <w:r w:rsidRPr="00566A4A">
        <w:rPr>
          <w:rFonts w:cs="Arial" w:hint="cs"/>
          <w:sz w:val="16"/>
          <w:szCs w:val="16"/>
          <w:rtl/>
        </w:rPr>
        <w:t xml:space="preserve">(פט"ו </w:t>
      </w:r>
      <w:r w:rsidRPr="00566A4A">
        <w:rPr>
          <w:rFonts w:cs="Arial"/>
          <w:sz w:val="16"/>
          <w:szCs w:val="16"/>
          <w:rtl/>
        </w:rPr>
        <w:t xml:space="preserve">הל"א) </w:t>
      </w:r>
      <w:r>
        <w:rPr>
          <w:rFonts w:cs="Arial" w:hint="cs"/>
          <w:rtl/>
        </w:rPr>
        <w:t xml:space="preserve">רבותינו הצרפתים </w:t>
      </w:r>
      <w:r>
        <w:rPr>
          <w:rFonts w:cs="Arial" w:hint="cs"/>
          <w:sz w:val="16"/>
          <w:szCs w:val="16"/>
          <w:rtl/>
        </w:rPr>
        <w:t xml:space="preserve">(הביאם הר"ן) </w:t>
      </w:r>
      <w:r w:rsidRPr="009430EF">
        <w:rPr>
          <w:rFonts w:cs="Arial"/>
          <w:rtl/>
        </w:rPr>
        <w:t xml:space="preserve">רשב"א </w:t>
      </w:r>
      <w:r w:rsidRPr="00566A4A">
        <w:rPr>
          <w:rFonts w:cs="Arial" w:hint="cs"/>
          <w:sz w:val="16"/>
          <w:szCs w:val="16"/>
          <w:rtl/>
        </w:rPr>
        <w:t xml:space="preserve">(תוה"א </w:t>
      </w:r>
      <w:r w:rsidRPr="00566A4A">
        <w:rPr>
          <w:rFonts w:cs="Arial"/>
          <w:sz w:val="16"/>
          <w:szCs w:val="16"/>
          <w:rtl/>
        </w:rPr>
        <w:t xml:space="preserve">ב"ד ש"א כ:) </w:t>
      </w:r>
      <w:r w:rsidRPr="00566A4A">
        <w:rPr>
          <w:rFonts w:cs="Arial" w:hint="cs"/>
          <w:rtl/>
        </w:rPr>
        <w:t>טור</w:t>
      </w:r>
      <w:r>
        <w:rPr>
          <w:rFonts w:cs="Arial" w:hint="cs"/>
          <w:rtl/>
        </w:rPr>
        <w:t xml:space="preserve"> ו</w:t>
      </w:r>
      <w:r w:rsidRPr="009430EF">
        <w:rPr>
          <w:rFonts w:cs="Arial"/>
          <w:rtl/>
        </w:rPr>
        <w:t xml:space="preserve">ר"ן </w:t>
      </w:r>
      <w:r w:rsidRPr="00566A4A">
        <w:rPr>
          <w:rFonts w:cs="Arial"/>
          <w:sz w:val="16"/>
          <w:szCs w:val="16"/>
          <w:rtl/>
        </w:rPr>
        <w:t>(</w:t>
      </w:r>
      <w:r w:rsidRPr="00566A4A">
        <w:rPr>
          <w:rFonts w:cs="Arial" w:hint="cs"/>
          <w:sz w:val="16"/>
          <w:szCs w:val="16"/>
          <w:rtl/>
        </w:rPr>
        <w:t xml:space="preserve">ע"ז </w:t>
      </w:r>
      <w:r w:rsidRPr="00566A4A">
        <w:rPr>
          <w:rFonts w:cs="Arial"/>
          <w:sz w:val="16"/>
          <w:szCs w:val="16"/>
          <w:rtl/>
        </w:rPr>
        <w:t>לב: ד"ה והלכתא)</w:t>
      </w:r>
      <w:r w:rsidRPr="00566A4A">
        <w:rPr>
          <w:rFonts w:cs="Arial" w:hint="cs"/>
          <w:rtl/>
        </w:rPr>
        <w:t xml:space="preserve"> </w:t>
      </w:r>
      <w:r>
        <w:rPr>
          <w:rFonts w:cs="Arial" w:hint="cs"/>
          <w:rtl/>
        </w:rPr>
        <w:t>ו</w:t>
      </w:r>
      <w:r>
        <w:rPr>
          <w:rFonts w:cs="Arial"/>
          <w:rtl/>
        </w:rPr>
        <w:t>או"ה</w:t>
      </w:r>
      <w:r w:rsidRPr="00DF3E74">
        <w:rPr>
          <w:rFonts w:cs="Arial"/>
          <w:rtl/>
        </w:rPr>
        <w:t xml:space="preserve"> </w:t>
      </w:r>
      <w:r w:rsidRPr="007851FA">
        <w:rPr>
          <w:rFonts w:cs="Arial" w:hint="cs"/>
          <w:sz w:val="16"/>
          <w:szCs w:val="16"/>
          <w:rtl/>
        </w:rPr>
        <w:t>(</w:t>
      </w:r>
      <w:r w:rsidRPr="007851FA">
        <w:rPr>
          <w:rFonts w:cs="Arial"/>
          <w:sz w:val="16"/>
          <w:szCs w:val="16"/>
          <w:rtl/>
        </w:rPr>
        <w:t>כלל לב ד</w:t>
      </w:r>
      <w:r w:rsidRPr="007851FA">
        <w:rPr>
          <w:rFonts w:cs="Arial" w:hint="cs"/>
          <w:sz w:val="16"/>
          <w:szCs w:val="16"/>
          <w:rtl/>
        </w:rPr>
        <w:t>"</w:t>
      </w:r>
      <w:r w:rsidRPr="007851FA">
        <w:rPr>
          <w:rFonts w:cs="Arial"/>
          <w:sz w:val="16"/>
          <w:szCs w:val="16"/>
          <w:rtl/>
        </w:rPr>
        <w:t>ז)</w:t>
      </w:r>
      <w:r>
        <w:rPr>
          <w:rFonts w:hint="cs"/>
          <w:rtl/>
        </w:rPr>
        <w:t>.</w:t>
      </w:r>
    </w:p>
  </w:footnote>
  <w:footnote w:id="2130">
    <w:p w14:paraId="1D532C2E" w14:textId="77777777" w:rsidR="004C5A3C" w:rsidRDefault="004C5A3C" w:rsidP="002C39F4">
      <w:pPr>
        <w:pStyle w:val="a5"/>
        <w:rPr>
          <w:rtl/>
        </w:rPr>
      </w:pPr>
      <w:r>
        <w:rPr>
          <w:rStyle w:val="a7"/>
        </w:rPr>
        <w:footnoteRef/>
      </w:r>
      <w:r>
        <w:rPr>
          <w:rtl/>
        </w:rPr>
        <w:t xml:space="preserve"> </w:t>
      </w:r>
      <w:r w:rsidRPr="00935612">
        <w:rPr>
          <w:rFonts w:cs="Arial"/>
          <w:rtl/>
        </w:rPr>
        <w:t xml:space="preserve">וכ' רש"ל </w:t>
      </w:r>
      <w:r w:rsidRPr="00935612">
        <w:rPr>
          <w:rFonts w:cs="Arial" w:hint="cs"/>
          <w:sz w:val="16"/>
          <w:szCs w:val="16"/>
          <w:rtl/>
        </w:rPr>
        <w:t>(</w:t>
      </w:r>
      <w:r w:rsidRPr="00935612">
        <w:rPr>
          <w:rFonts w:cs="Arial"/>
          <w:sz w:val="16"/>
          <w:szCs w:val="16"/>
          <w:rtl/>
        </w:rPr>
        <w:t>פג"ה סי' מח</w:t>
      </w:r>
      <w:r>
        <w:rPr>
          <w:rFonts w:cs="Arial" w:hint="cs"/>
          <w:sz w:val="16"/>
          <w:szCs w:val="16"/>
          <w:rtl/>
        </w:rPr>
        <w:t>, העתיקו דבריו הט"ז [סק"ב] והש"ך [סק"ה])</w:t>
      </w:r>
      <w:r w:rsidRPr="00935612">
        <w:rPr>
          <w:rFonts w:cs="Arial"/>
          <w:rtl/>
        </w:rPr>
        <w:t xml:space="preserve"> דמשמע מטעם זה דשאר משקים אסורים</w:t>
      </w:r>
      <w:r>
        <w:rPr>
          <w:rFonts w:cs="Arial" w:hint="cs"/>
          <w:rtl/>
        </w:rPr>
        <w:t>,</w:t>
      </w:r>
      <w:r w:rsidRPr="00935612">
        <w:rPr>
          <w:rFonts w:cs="Arial"/>
          <w:rtl/>
        </w:rPr>
        <w:t xml:space="preserve"> ומסיק שם דיש להחמיר בכל המשקין חוץ מיין ושמן ודבש</w:t>
      </w:r>
      <w:r>
        <w:rPr>
          <w:rFonts w:cs="Arial" w:hint="cs"/>
          <w:rtl/>
        </w:rPr>
        <w:t>.</w:t>
      </w:r>
    </w:p>
  </w:footnote>
  <w:footnote w:id="2131">
    <w:p w14:paraId="1AD2A02E" w14:textId="77777777" w:rsidR="004C5A3C" w:rsidRDefault="004C5A3C" w:rsidP="002C39F4">
      <w:pPr>
        <w:pStyle w:val="a5"/>
        <w:rPr>
          <w:rtl/>
        </w:rPr>
      </w:pPr>
      <w:r>
        <w:rPr>
          <w:rStyle w:val="a7"/>
        </w:rPr>
        <w:footnoteRef/>
      </w:r>
      <w:r>
        <w:rPr>
          <w:rtl/>
        </w:rPr>
        <w:t xml:space="preserve"> </w:t>
      </w:r>
      <w:r>
        <w:rPr>
          <w:rFonts w:hint="cs"/>
          <w:rtl/>
        </w:rPr>
        <w:t>הב"י כתב שכך משמע מדבריו,</w:t>
      </w:r>
      <w:r w:rsidRPr="007851FA">
        <w:rPr>
          <w:rFonts w:cs="Arial"/>
          <w:rtl/>
        </w:rPr>
        <w:t xml:space="preserve"> </w:t>
      </w:r>
      <w:r>
        <w:rPr>
          <w:rFonts w:cs="Arial" w:hint="cs"/>
          <w:rtl/>
        </w:rPr>
        <w:t>וכ' עוד ש</w:t>
      </w:r>
      <w:r w:rsidRPr="007851FA">
        <w:rPr>
          <w:rFonts w:cs="Arial"/>
          <w:rtl/>
        </w:rPr>
        <w:t>כבר הרגיש הר"ן (</w:t>
      </w:r>
      <w:r>
        <w:rPr>
          <w:rFonts w:cs="Arial" w:hint="cs"/>
          <w:rtl/>
        </w:rPr>
        <w:t>שם</w:t>
      </w:r>
      <w:r w:rsidRPr="007851FA">
        <w:rPr>
          <w:rFonts w:cs="Arial"/>
          <w:rtl/>
        </w:rPr>
        <w:t>) בדבר וכתב שהרמב"ם ורבותינו הצרפתים חלוקים עליו בזה</w:t>
      </w:r>
      <w:r>
        <w:rPr>
          <w:rFonts w:hint="cs"/>
          <w:rtl/>
        </w:rPr>
        <w:t>.</w:t>
      </w:r>
    </w:p>
  </w:footnote>
  <w:footnote w:id="2132">
    <w:p w14:paraId="1D57B26B" w14:textId="77777777" w:rsidR="004C5A3C" w:rsidRPr="00D40815" w:rsidRDefault="004C5A3C" w:rsidP="002C39F4">
      <w:pPr>
        <w:pStyle w:val="a5"/>
        <w:rPr>
          <w:rFonts w:cs="Arial"/>
          <w:rtl/>
        </w:rPr>
      </w:pPr>
      <w:r>
        <w:rPr>
          <w:rStyle w:val="a7"/>
        </w:rPr>
        <w:footnoteRef/>
      </w:r>
      <w:r>
        <w:rPr>
          <w:rtl/>
        </w:rPr>
        <w:t xml:space="preserve"> </w:t>
      </w:r>
      <w:r>
        <w:rPr>
          <w:rFonts w:cs="Arial" w:hint="cs"/>
          <w:rtl/>
        </w:rPr>
        <w:t xml:space="preserve">הב"י העתיק תוכן תשובה זו כפי הלשון לעיל, אך הדרכ"מ </w:t>
      </w:r>
      <w:r w:rsidRPr="00DF3E74">
        <w:rPr>
          <w:rFonts w:cs="Arial"/>
          <w:rtl/>
        </w:rPr>
        <w:t>(</w:t>
      </w:r>
      <w:r>
        <w:rPr>
          <w:rFonts w:cs="Arial" w:hint="cs"/>
          <w:rtl/>
        </w:rPr>
        <w:t xml:space="preserve">אות </w:t>
      </w:r>
      <w:r w:rsidRPr="00DF3E74">
        <w:rPr>
          <w:rFonts w:cs="Arial"/>
          <w:rtl/>
        </w:rPr>
        <w:t xml:space="preserve">ג) </w:t>
      </w:r>
      <w:r>
        <w:rPr>
          <w:rFonts w:cs="Arial" w:hint="cs"/>
          <w:rtl/>
        </w:rPr>
        <w:t>כ' דנראה לו דאין זו</w:t>
      </w:r>
      <w:r w:rsidRPr="00DF3E74">
        <w:rPr>
          <w:rFonts w:cs="Arial"/>
          <w:rtl/>
        </w:rPr>
        <w:t xml:space="preserve"> נוסחא אמיתית</w:t>
      </w:r>
      <w:r>
        <w:rPr>
          <w:rFonts w:cs="Arial" w:hint="cs"/>
          <w:rtl/>
        </w:rPr>
        <w:t>,</w:t>
      </w:r>
      <w:r w:rsidRPr="00DF3E74">
        <w:rPr>
          <w:rFonts w:cs="Arial"/>
          <w:rtl/>
        </w:rPr>
        <w:t xml:space="preserve"> דמ"ש </w:t>
      </w:r>
      <w:r>
        <w:rPr>
          <w:rFonts w:cs="Arial" w:hint="cs"/>
          <w:rtl/>
        </w:rPr>
        <w:t>"</w:t>
      </w:r>
      <w:r w:rsidRPr="00DF3E74">
        <w:rPr>
          <w:rFonts w:cs="Arial"/>
          <w:rtl/>
        </w:rPr>
        <w:t>אם השומן קשה צריך כדי נטילה ושאר שומן אם יש בו ס' מותר</w:t>
      </w:r>
      <w:r>
        <w:rPr>
          <w:rFonts w:cs="Arial" w:hint="cs"/>
          <w:rtl/>
        </w:rPr>
        <w:t>"-</w:t>
      </w:r>
      <w:r w:rsidRPr="00DF3E74">
        <w:rPr>
          <w:rFonts w:cs="Arial"/>
          <w:rtl/>
        </w:rPr>
        <w:t xml:space="preserve"> זה טעות </w:t>
      </w:r>
      <w:r>
        <w:rPr>
          <w:rFonts w:cs="Arial" w:hint="cs"/>
          <w:rtl/>
        </w:rPr>
        <w:t>ש</w:t>
      </w:r>
      <w:r w:rsidRPr="00DF3E74">
        <w:rPr>
          <w:rFonts w:cs="Arial"/>
          <w:rtl/>
        </w:rPr>
        <w:t>נפל</w:t>
      </w:r>
      <w:r>
        <w:rPr>
          <w:rFonts w:cs="Arial" w:hint="cs"/>
          <w:rtl/>
        </w:rPr>
        <w:t>ה</w:t>
      </w:r>
      <w:r w:rsidRPr="00DF3E74">
        <w:rPr>
          <w:rFonts w:cs="Arial"/>
          <w:rtl/>
        </w:rPr>
        <w:t xml:space="preserve"> בספרים</w:t>
      </w:r>
      <w:r>
        <w:rPr>
          <w:rFonts w:cs="Arial" w:hint="cs"/>
          <w:rtl/>
        </w:rPr>
        <w:t>,</w:t>
      </w:r>
      <w:r w:rsidRPr="00DF3E74">
        <w:rPr>
          <w:rFonts w:cs="Arial"/>
          <w:rtl/>
        </w:rPr>
        <w:t xml:space="preserve"> דאי היה בו ס' אפילו השומן רך שרי</w:t>
      </w:r>
      <w:r>
        <w:rPr>
          <w:rFonts w:cs="Arial" w:hint="cs"/>
          <w:rtl/>
        </w:rPr>
        <w:t>,</w:t>
      </w:r>
      <w:r w:rsidRPr="00DF3E74">
        <w:rPr>
          <w:rFonts w:cs="Arial"/>
          <w:rtl/>
        </w:rPr>
        <w:t xml:space="preserve"> ועוד דכשהשומן קשה לא שייך בו ס' רק כדי נטילה לחוד דלא שייך ס' רק בכבוש ובישול כדלקמן סימן ק"ה</w:t>
      </w:r>
      <w:r>
        <w:rPr>
          <w:rFonts w:cs="Arial" w:hint="cs"/>
          <w:rtl/>
        </w:rPr>
        <w:t>,</w:t>
      </w:r>
      <w:r w:rsidRPr="00DF3E74">
        <w:rPr>
          <w:rFonts w:cs="Arial"/>
          <w:rtl/>
        </w:rPr>
        <w:t xml:space="preserve"> ועוד דאי הוי מבטלין בס' נטילה זו למה</w:t>
      </w:r>
      <w:r>
        <w:rPr>
          <w:rFonts w:cs="Arial" w:hint="cs"/>
          <w:rtl/>
        </w:rPr>
        <w:t>,</w:t>
      </w:r>
      <w:r w:rsidRPr="00DF3E74">
        <w:rPr>
          <w:rFonts w:cs="Arial"/>
          <w:rtl/>
        </w:rPr>
        <w:t xml:space="preserve"> אלא ודאי זו נוסחא מוטעת</w:t>
      </w:r>
      <w:r>
        <w:rPr>
          <w:rFonts w:cs="Arial" w:hint="cs"/>
          <w:rtl/>
        </w:rPr>
        <w:t>,</w:t>
      </w:r>
      <w:r w:rsidRPr="00DF3E74">
        <w:rPr>
          <w:rFonts w:cs="Arial"/>
          <w:rtl/>
        </w:rPr>
        <w:t xml:space="preserve"> וכן </w:t>
      </w:r>
      <w:r>
        <w:rPr>
          <w:rFonts w:cs="Arial" w:hint="cs"/>
          <w:rtl/>
        </w:rPr>
        <w:t>בהגמ"ר</w:t>
      </w:r>
      <w:r w:rsidRPr="00DF3E74">
        <w:rPr>
          <w:rFonts w:cs="Arial"/>
          <w:rtl/>
        </w:rPr>
        <w:t xml:space="preserve"> (</w:t>
      </w:r>
      <w:r>
        <w:rPr>
          <w:rFonts w:cs="Arial" w:hint="cs"/>
          <w:rtl/>
        </w:rPr>
        <w:t>ס</w:t>
      </w:r>
      <w:r w:rsidRPr="00DF3E74">
        <w:rPr>
          <w:rFonts w:cs="Arial"/>
          <w:rtl/>
        </w:rPr>
        <w:t>י' תשנה) והגה</w:t>
      </w:r>
      <w:r>
        <w:rPr>
          <w:rFonts w:cs="Arial" w:hint="cs"/>
          <w:rtl/>
        </w:rPr>
        <w:t>"מ</w:t>
      </w:r>
      <w:r w:rsidRPr="00DF3E74">
        <w:rPr>
          <w:rFonts w:cs="Arial"/>
          <w:rtl/>
        </w:rPr>
        <w:t xml:space="preserve"> לא כתבו רק ואם הוא קשה צריך כדי נטילה</w:t>
      </w:r>
      <w:r>
        <w:rPr>
          <w:rFonts w:cs="Arial" w:hint="cs"/>
          <w:rtl/>
        </w:rPr>
        <w:t>,</w:t>
      </w:r>
      <w:r w:rsidRPr="00DF3E74">
        <w:rPr>
          <w:rFonts w:cs="Arial"/>
          <w:rtl/>
        </w:rPr>
        <w:t xml:space="preserve"> וכ"ה ב</w:t>
      </w:r>
      <w:r>
        <w:rPr>
          <w:rFonts w:cs="Arial"/>
          <w:rtl/>
        </w:rPr>
        <w:t>או"ה</w:t>
      </w:r>
      <w:r w:rsidRPr="00DF3E74">
        <w:rPr>
          <w:rFonts w:cs="Arial"/>
          <w:rtl/>
        </w:rPr>
        <w:t xml:space="preserve"> (כלל ל דז)</w:t>
      </w:r>
      <w:r>
        <w:rPr>
          <w:rFonts w:cs="Arial" w:hint="cs"/>
          <w:rtl/>
        </w:rPr>
        <w:t>.</w:t>
      </w:r>
      <w:r w:rsidRPr="00DF3E74">
        <w:rPr>
          <w:rFonts w:cs="Arial"/>
          <w:rtl/>
        </w:rPr>
        <w:t xml:space="preserve">ועוד תשובה זו צ"ע דלמה כתב </w:t>
      </w:r>
      <w:r>
        <w:rPr>
          <w:rFonts w:cs="Arial" w:hint="cs"/>
          <w:rtl/>
        </w:rPr>
        <w:t>ד</w:t>
      </w:r>
      <w:r w:rsidRPr="00DF3E74">
        <w:rPr>
          <w:rFonts w:cs="Arial"/>
          <w:rtl/>
        </w:rPr>
        <w:t>אם שפכו עליו שומן רותח הכל אסור</w:t>
      </w:r>
      <w:r>
        <w:rPr>
          <w:rFonts w:cs="Arial" w:hint="cs"/>
          <w:rtl/>
        </w:rPr>
        <w:t>,</w:t>
      </w:r>
      <w:r w:rsidRPr="00DF3E74">
        <w:rPr>
          <w:rFonts w:cs="Arial"/>
          <w:rtl/>
        </w:rPr>
        <w:t xml:space="preserve"> הלא הוי חם לתוך צונן דאינו אסור רק כדי קליפה כמו שנתבאר לעיל סימן צ"א (עמ' תא)</w:t>
      </w:r>
      <w:r>
        <w:rPr>
          <w:rFonts w:cs="Arial" w:hint="cs"/>
          <w:rtl/>
        </w:rPr>
        <w:t>,</w:t>
      </w:r>
      <w:r w:rsidRPr="00DF3E74">
        <w:rPr>
          <w:rFonts w:cs="Arial"/>
          <w:rtl/>
        </w:rPr>
        <w:t xml:space="preserve"> ויתבאר סימן ק"ה (עמ' תסב) דאין לומר דהעירוי נאסר תמיד משום העכבר וכל מה שעירו שם נאסר מ"מ אם העכבר בשולי הכלי היה לנו להתיר מה שלמעלה מקליפה שעל העכבר דשם לא נגע העירוי. ונ"ל לחלק דגבי שומן שאני</w:t>
      </w:r>
      <w:r>
        <w:rPr>
          <w:rFonts w:cs="Arial" w:hint="cs"/>
          <w:rtl/>
        </w:rPr>
        <w:t>,</w:t>
      </w:r>
      <w:r w:rsidRPr="00DF3E74">
        <w:rPr>
          <w:rFonts w:cs="Arial"/>
          <w:rtl/>
        </w:rPr>
        <w:t xml:space="preserve"> דידוע כשמערין עליו רותח מחמת החום נמס הכל ונעשה הכל רך ולכן כל פעם שמערה נעשה רך והעירוי מגיע אל העכבר ונאסר ומתערב בשאר שומן שהיה שם בתחלה ונאסר הכל</w:t>
      </w:r>
      <w:r>
        <w:rPr>
          <w:rFonts w:cs="Arial" w:hint="cs"/>
          <w:rtl/>
        </w:rPr>
        <w:t>,</w:t>
      </w:r>
      <w:r w:rsidRPr="00DF3E74">
        <w:rPr>
          <w:rFonts w:cs="Arial"/>
          <w:rtl/>
        </w:rPr>
        <w:t xml:space="preserve"> א"נ דהואיל ונעשה רך ע"י שפיכות אלו ששפכו עליו הוה ככבוש בתוכו דסתמא דמילתא דלא חזר והוקשה תוך שיעור כבישה ולכן אסור</w:t>
      </w:r>
      <w:r>
        <w:rPr>
          <w:rFonts w:cs="Arial" w:hint="cs"/>
          <w:rtl/>
        </w:rPr>
        <w:t>,</w:t>
      </w:r>
      <w:r w:rsidRPr="00DF3E74">
        <w:rPr>
          <w:rFonts w:cs="Arial"/>
          <w:rtl/>
        </w:rPr>
        <w:t xml:space="preserve"> כן נ"ל ליישב דברי הרא"ש</w:t>
      </w:r>
      <w:r>
        <w:rPr>
          <w:rFonts w:cs="Arial" w:hint="cs"/>
          <w:rtl/>
        </w:rPr>
        <w:t>,</w:t>
      </w:r>
      <w:r w:rsidRPr="00DF3E74">
        <w:rPr>
          <w:rFonts w:cs="Arial"/>
          <w:rtl/>
        </w:rPr>
        <w:t xml:space="preserve"> וכ"כ הר"ן (יח: ד"ה ת"ר) לענין עירוי כעין חילוק זה</w:t>
      </w:r>
      <w:r>
        <w:rPr>
          <w:rFonts w:cs="Arial" w:hint="cs"/>
          <w:rtl/>
        </w:rPr>
        <w:t>,</w:t>
      </w:r>
      <w:r w:rsidRPr="00DF3E74">
        <w:rPr>
          <w:rFonts w:cs="Arial"/>
          <w:rtl/>
        </w:rPr>
        <w:t xml:space="preserve"> וע"ש גם בתוס</w:t>
      </w:r>
      <w:r>
        <w:rPr>
          <w:rFonts w:cs="Arial" w:hint="cs"/>
          <w:rtl/>
        </w:rPr>
        <w:t>'</w:t>
      </w:r>
      <w:r w:rsidRPr="00DF3E74">
        <w:rPr>
          <w:rFonts w:cs="Arial"/>
          <w:rtl/>
        </w:rPr>
        <w:t xml:space="preserve"> פרק כירה (מב. ד"ה נותן) משמע דבדבר המתערב יש לחלק וע"ש. </w:t>
      </w:r>
    </w:p>
  </w:footnote>
  <w:footnote w:id="2133">
    <w:p w14:paraId="48648511" w14:textId="77777777" w:rsidR="004C5A3C" w:rsidRDefault="004C5A3C" w:rsidP="002C39F4">
      <w:pPr>
        <w:pStyle w:val="a5"/>
        <w:rPr>
          <w:rtl/>
        </w:rPr>
      </w:pPr>
      <w:r>
        <w:rPr>
          <w:rStyle w:val="a7"/>
        </w:rPr>
        <w:footnoteRef/>
      </w:r>
      <w:r>
        <w:rPr>
          <w:rtl/>
        </w:rPr>
        <w:t xml:space="preserve"> </w:t>
      </w:r>
      <w:r>
        <w:rPr>
          <w:rFonts w:hint="cs"/>
          <w:rtl/>
        </w:rPr>
        <w:t xml:space="preserve">וכ' </w:t>
      </w:r>
      <w:r>
        <w:rPr>
          <w:rFonts w:cs="Arial" w:hint="cs"/>
          <w:rtl/>
        </w:rPr>
        <w:t>הדרכ"מ</w:t>
      </w:r>
      <w:r w:rsidRPr="00D40815">
        <w:rPr>
          <w:rFonts w:cs="Arial" w:hint="cs"/>
          <w:sz w:val="16"/>
          <w:szCs w:val="16"/>
          <w:rtl/>
        </w:rPr>
        <w:t xml:space="preserve"> </w:t>
      </w:r>
      <w:r w:rsidRPr="00D40815">
        <w:rPr>
          <w:rFonts w:cs="Arial"/>
          <w:sz w:val="16"/>
          <w:szCs w:val="16"/>
          <w:rtl/>
        </w:rPr>
        <w:t>(</w:t>
      </w:r>
      <w:r w:rsidRPr="00D40815">
        <w:rPr>
          <w:rFonts w:cs="Arial" w:hint="cs"/>
          <w:sz w:val="16"/>
          <w:szCs w:val="16"/>
          <w:rtl/>
        </w:rPr>
        <w:t xml:space="preserve">אות </w:t>
      </w:r>
      <w:r w:rsidRPr="00D40815">
        <w:rPr>
          <w:rFonts w:cs="Arial"/>
          <w:sz w:val="16"/>
          <w:szCs w:val="16"/>
          <w:rtl/>
        </w:rPr>
        <w:t>ג)</w:t>
      </w:r>
      <w:r>
        <w:rPr>
          <w:rFonts w:cs="Arial" w:hint="cs"/>
          <w:rtl/>
        </w:rPr>
        <w:t xml:space="preserve">- </w:t>
      </w:r>
      <w:r w:rsidRPr="00DF3E74">
        <w:rPr>
          <w:rFonts w:cs="Arial"/>
          <w:rtl/>
        </w:rPr>
        <w:t>ולפמ"ש בתירוץ האחרון ליישב דברי הרא"ש אין זו נכון במ"ש להתיר אם הוא נודע שהיה רך כשנפל העכבר לתוכה</w:t>
      </w:r>
      <w:r>
        <w:rPr>
          <w:rFonts w:cs="Arial" w:hint="cs"/>
          <w:rtl/>
        </w:rPr>
        <w:t>,</w:t>
      </w:r>
      <w:r w:rsidRPr="00DF3E74">
        <w:rPr>
          <w:rFonts w:cs="Arial"/>
          <w:rtl/>
        </w:rPr>
        <w:t xml:space="preserve"> דהרי כתבתי דבכה"ג אוסר הרא"ש</w:t>
      </w:r>
      <w:r>
        <w:rPr>
          <w:rFonts w:cs="Arial" w:hint="cs"/>
          <w:rtl/>
        </w:rPr>
        <w:t>,</w:t>
      </w:r>
      <w:r w:rsidRPr="00DF3E74">
        <w:rPr>
          <w:rFonts w:cs="Arial"/>
          <w:rtl/>
        </w:rPr>
        <w:t xml:space="preserve"> ואפ</w:t>
      </w:r>
      <w:r>
        <w:rPr>
          <w:rFonts w:cs="Arial" w:hint="cs"/>
          <w:rtl/>
        </w:rPr>
        <w:t>"</w:t>
      </w:r>
      <w:r w:rsidRPr="00DF3E74">
        <w:rPr>
          <w:rFonts w:cs="Arial"/>
          <w:rtl/>
        </w:rPr>
        <w:t>ל דאף הארוך לא קאמר אלא שלא היה כ"כ רך שאפשר להתקשו</w:t>
      </w:r>
      <w:r>
        <w:rPr>
          <w:rFonts w:cs="Arial" w:hint="cs"/>
          <w:rtl/>
        </w:rPr>
        <w:t>ת</w:t>
      </w:r>
      <w:r w:rsidRPr="00DF3E74">
        <w:rPr>
          <w:rFonts w:cs="Arial"/>
          <w:rtl/>
        </w:rPr>
        <w:t xml:space="preserve"> תוך שיעור כבישה</w:t>
      </w:r>
      <w:r>
        <w:rPr>
          <w:rFonts w:cs="Arial" w:hint="cs"/>
          <w:rtl/>
        </w:rPr>
        <w:t>,</w:t>
      </w:r>
      <w:r w:rsidRPr="00DF3E74">
        <w:rPr>
          <w:rFonts w:cs="Arial"/>
          <w:rtl/>
        </w:rPr>
        <w:t xml:space="preserve"> ואפשר גם כי </w:t>
      </w:r>
      <w:r>
        <w:rPr>
          <w:rFonts w:cs="Arial"/>
          <w:rtl/>
        </w:rPr>
        <w:t>או"ה</w:t>
      </w:r>
      <w:r w:rsidRPr="00DF3E74">
        <w:rPr>
          <w:rFonts w:cs="Arial"/>
          <w:rtl/>
        </w:rPr>
        <w:t xml:space="preserve"> לא ס"ל כתירוץ האחרון כי תירוץ ראשון נראה עיקר</w:t>
      </w:r>
      <w:r>
        <w:rPr>
          <w:rFonts w:cs="Arial" w:hint="cs"/>
          <w:rtl/>
        </w:rPr>
        <w:t>,</w:t>
      </w:r>
      <w:r w:rsidRPr="00DF3E74">
        <w:rPr>
          <w:rFonts w:cs="Arial"/>
          <w:rtl/>
        </w:rPr>
        <w:t xml:space="preserve"> אמנם מ"מ דבריו צ"ע דהוא כתב דאחזוקי איסורא לא מחזיקינן אע</w:t>
      </w:r>
      <w:r>
        <w:rPr>
          <w:rFonts w:cs="Arial" w:hint="cs"/>
          <w:rtl/>
        </w:rPr>
        <w:t>"ג</w:t>
      </w:r>
      <w:r w:rsidRPr="00DF3E74">
        <w:rPr>
          <w:rFonts w:cs="Arial"/>
          <w:rtl/>
        </w:rPr>
        <w:t xml:space="preserve"> דבודאי העכבר היה שם כשהיה רך</w:t>
      </w:r>
      <w:r>
        <w:rPr>
          <w:rFonts w:cs="Arial" w:hint="cs"/>
          <w:rtl/>
        </w:rPr>
        <w:t>,</w:t>
      </w:r>
      <w:r w:rsidRPr="00DF3E74">
        <w:rPr>
          <w:rFonts w:cs="Arial"/>
          <w:rtl/>
        </w:rPr>
        <w:t xml:space="preserve"> והרא"ש כתב בתחלת התשו</w:t>
      </w:r>
      <w:r>
        <w:rPr>
          <w:rFonts w:cs="Arial" w:hint="cs"/>
          <w:rtl/>
        </w:rPr>
        <w:t>'</w:t>
      </w:r>
      <w:r w:rsidRPr="00DF3E74">
        <w:rPr>
          <w:rFonts w:cs="Arial"/>
          <w:rtl/>
        </w:rPr>
        <w:t xml:space="preserve"> דאף אם הוא רק ספיקא אם העכבר היה שם אפ</w:t>
      </w:r>
      <w:r>
        <w:rPr>
          <w:rFonts w:cs="Arial" w:hint="cs"/>
          <w:rtl/>
        </w:rPr>
        <w:t>"</w:t>
      </w:r>
      <w:r w:rsidRPr="00DF3E74">
        <w:rPr>
          <w:rFonts w:cs="Arial"/>
          <w:rtl/>
        </w:rPr>
        <w:t>ה אסור ולא אמרינן דלא מחזקינן איסורא לומר שבאותו פעם ששפכו עליו רותח לא היה העכבר שם</w:t>
      </w:r>
      <w:r>
        <w:rPr>
          <w:rFonts w:cs="Arial" w:hint="cs"/>
          <w:rtl/>
        </w:rPr>
        <w:t>,</w:t>
      </w:r>
      <w:r w:rsidRPr="00DF3E74">
        <w:rPr>
          <w:rFonts w:cs="Arial"/>
          <w:rtl/>
        </w:rPr>
        <w:t xml:space="preserve"> ותו דלקמן סי</w:t>
      </w:r>
      <w:r>
        <w:rPr>
          <w:rFonts w:cs="Arial" w:hint="cs"/>
          <w:rtl/>
        </w:rPr>
        <w:t>'</w:t>
      </w:r>
      <w:r w:rsidRPr="00DF3E74">
        <w:rPr>
          <w:rFonts w:cs="Arial"/>
          <w:rtl/>
        </w:rPr>
        <w:t xml:space="preserve"> קה </w:t>
      </w:r>
      <w:r w:rsidRPr="004D0735">
        <w:rPr>
          <w:rFonts w:cs="Arial"/>
          <w:sz w:val="16"/>
          <w:szCs w:val="16"/>
          <w:rtl/>
        </w:rPr>
        <w:t xml:space="preserve">(אות א) </w:t>
      </w:r>
      <w:r w:rsidRPr="00DF3E74">
        <w:rPr>
          <w:rFonts w:cs="Arial"/>
          <w:rtl/>
        </w:rPr>
        <w:t>כתבתי בשמו דספק כבוש אזלינן ביה לחומרא וכאן כתב לקולא</w:t>
      </w:r>
      <w:r>
        <w:rPr>
          <w:rFonts w:cs="Arial" w:hint="cs"/>
          <w:rtl/>
        </w:rPr>
        <w:t>,</w:t>
      </w:r>
      <w:r w:rsidRPr="00DF3E74">
        <w:rPr>
          <w:rFonts w:cs="Arial"/>
          <w:rtl/>
        </w:rPr>
        <w:t xml:space="preserve"> ולכן נ"ל דאין להקל במ"ש להתיר אם ידוע שהיה שם כשהיה רך</w:t>
      </w:r>
      <w:r>
        <w:rPr>
          <w:rFonts w:hint="cs"/>
          <w:rtl/>
        </w:rPr>
        <w:t>.</w:t>
      </w:r>
    </w:p>
  </w:footnote>
  <w:footnote w:id="2134">
    <w:p w14:paraId="5351C0FB" w14:textId="77777777" w:rsidR="004C5A3C" w:rsidRDefault="004C5A3C" w:rsidP="002C39F4">
      <w:pPr>
        <w:pStyle w:val="a5"/>
        <w:rPr>
          <w:rtl/>
        </w:rPr>
      </w:pPr>
      <w:r>
        <w:rPr>
          <w:rStyle w:val="a7"/>
        </w:rPr>
        <w:footnoteRef/>
      </w:r>
      <w:r>
        <w:rPr>
          <w:rtl/>
        </w:rPr>
        <w:t xml:space="preserve"> </w:t>
      </w:r>
      <w:r w:rsidRPr="00C703E7">
        <w:rPr>
          <w:rFonts w:cs="Arial"/>
          <w:rtl/>
        </w:rPr>
        <w:t>עיין בתשו</w:t>
      </w:r>
      <w:r>
        <w:rPr>
          <w:rFonts w:cs="Arial" w:hint="cs"/>
          <w:rtl/>
        </w:rPr>
        <w:t>'</w:t>
      </w:r>
      <w:r w:rsidRPr="00C703E7">
        <w:rPr>
          <w:rFonts w:cs="Arial"/>
          <w:rtl/>
        </w:rPr>
        <w:t xml:space="preserve"> הרדב"ז </w:t>
      </w:r>
      <w:r>
        <w:rPr>
          <w:rFonts w:cs="Arial" w:hint="cs"/>
          <w:rtl/>
        </w:rPr>
        <w:t>(</w:t>
      </w:r>
      <w:r w:rsidRPr="00C703E7">
        <w:rPr>
          <w:rFonts w:cs="Arial"/>
          <w:rtl/>
        </w:rPr>
        <w:t>ח"ב סי</w:t>
      </w:r>
      <w:r>
        <w:rPr>
          <w:rFonts w:cs="Arial" w:hint="cs"/>
          <w:rtl/>
        </w:rPr>
        <w:t>'</w:t>
      </w:r>
      <w:r w:rsidRPr="00C703E7">
        <w:rPr>
          <w:rFonts w:cs="Arial"/>
          <w:rtl/>
        </w:rPr>
        <w:t xml:space="preserve"> תשיז</w:t>
      </w:r>
      <w:r>
        <w:rPr>
          <w:rFonts w:cs="Arial" w:hint="cs"/>
          <w:rtl/>
        </w:rPr>
        <w:t>, הביאו הפת"ש סק"ב</w:t>
      </w:r>
      <w:r w:rsidRPr="00C703E7">
        <w:rPr>
          <w:rFonts w:cs="Arial"/>
          <w:rtl/>
        </w:rPr>
        <w:t>) שכתב דמכל שכן שפוגם בתבשיל</w:t>
      </w:r>
      <w:r>
        <w:rPr>
          <w:rFonts w:hint="cs"/>
          <w:rtl/>
        </w:rPr>
        <w:t>.</w:t>
      </w:r>
    </w:p>
  </w:footnote>
  <w:footnote w:id="2135">
    <w:p w14:paraId="026534EE" w14:textId="77777777" w:rsidR="004C5A3C" w:rsidRDefault="004C5A3C" w:rsidP="002C39F4">
      <w:pPr>
        <w:pStyle w:val="a5"/>
      </w:pPr>
      <w:r>
        <w:rPr>
          <w:rStyle w:val="a7"/>
        </w:rPr>
        <w:footnoteRef/>
      </w:r>
      <w:r>
        <w:rPr>
          <w:rtl/>
        </w:rPr>
        <w:t xml:space="preserve"> </w:t>
      </w:r>
      <w:r w:rsidRPr="00C64173">
        <w:rPr>
          <w:rFonts w:cs="Arial"/>
          <w:rtl/>
        </w:rPr>
        <w:t>דפוגם בודאי</w:t>
      </w:r>
      <w:r>
        <w:rPr>
          <w:rFonts w:cs="Arial" w:hint="cs"/>
          <w:rtl/>
        </w:rPr>
        <w:t>,</w:t>
      </w:r>
      <w:r w:rsidRPr="00C64173">
        <w:rPr>
          <w:rFonts w:cs="Arial"/>
          <w:rtl/>
        </w:rPr>
        <w:t xml:space="preserve"> והיש מחמירין סוברים דדין שכר וחומץ יש לו</w:t>
      </w:r>
      <w:r>
        <w:rPr>
          <w:rFonts w:cs="Arial" w:hint="cs"/>
          <w:rtl/>
        </w:rPr>
        <w:t>,</w:t>
      </w:r>
      <w:r w:rsidRPr="00C64173">
        <w:rPr>
          <w:rFonts w:cs="Arial"/>
          <w:rtl/>
        </w:rPr>
        <w:t xml:space="preserve"> וכן מבואר בב"י ות"ח </w:t>
      </w:r>
      <w:r>
        <w:rPr>
          <w:rFonts w:cs="Arial" w:hint="cs"/>
          <w:rtl/>
        </w:rPr>
        <w:t>(</w:t>
      </w:r>
      <w:r w:rsidRPr="00C64173">
        <w:rPr>
          <w:rFonts w:cs="Arial"/>
          <w:rtl/>
        </w:rPr>
        <w:t>כלל כב</w:t>
      </w:r>
      <w:r>
        <w:rPr>
          <w:rFonts w:cs="Arial" w:hint="cs"/>
          <w:rtl/>
        </w:rPr>
        <w:t>),</w:t>
      </w:r>
      <w:r w:rsidRPr="00C64173">
        <w:rPr>
          <w:rFonts w:cs="Arial"/>
          <w:rtl/>
        </w:rPr>
        <w:t xml:space="preserve"> וא"כ צ"ע בדברי הרב אמאי לא שרי בספק א' בכבוש לחוד</w:t>
      </w:r>
      <w:r>
        <w:rPr>
          <w:rFonts w:cs="Arial" w:hint="cs"/>
          <w:rtl/>
        </w:rPr>
        <w:t>,</w:t>
      </w:r>
      <w:r w:rsidRPr="00C64173">
        <w:rPr>
          <w:rFonts w:cs="Arial"/>
          <w:rtl/>
        </w:rPr>
        <w:t xml:space="preserve"> דהא איכא נמי ספיקא אי משביח אי לא וספק א' דכבוש וא"כ הוי ס"ס</w:t>
      </w:r>
      <w:r>
        <w:rPr>
          <w:rFonts w:cs="Arial" w:hint="cs"/>
          <w:rtl/>
        </w:rPr>
        <w:t>,</w:t>
      </w:r>
      <w:r w:rsidRPr="00C64173">
        <w:rPr>
          <w:rFonts w:cs="Arial"/>
          <w:rtl/>
        </w:rPr>
        <w:t xml:space="preserve"> ונ"ל דהאי ספק אי משביח או פוגם לא הוי ספק כיון דבש"ס גופיה מספקא להו</w:t>
      </w:r>
      <w:r>
        <w:rPr>
          <w:rFonts w:cs="Arial" w:hint="cs"/>
          <w:rtl/>
        </w:rPr>
        <w:t>,</w:t>
      </w:r>
      <w:r w:rsidRPr="00C64173">
        <w:rPr>
          <w:rFonts w:cs="Arial"/>
          <w:rtl/>
        </w:rPr>
        <w:t xml:space="preserve"> או אפשר דדמי לספק בחסרון ידיעה דלעיל סי' </w:t>
      </w:r>
      <w:r>
        <w:rPr>
          <w:rFonts w:cs="Arial" w:hint="cs"/>
          <w:rtl/>
        </w:rPr>
        <w:t>נ</w:t>
      </w:r>
      <w:r w:rsidRPr="00C64173">
        <w:rPr>
          <w:rFonts w:cs="Arial"/>
          <w:rtl/>
        </w:rPr>
        <w:t>"</w:t>
      </w:r>
      <w:r>
        <w:rPr>
          <w:rFonts w:cs="Arial" w:hint="cs"/>
          <w:rtl/>
        </w:rPr>
        <w:t>ה</w:t>
      </w:r>
      <w:r w:rsidRPr="00C64173">
        <w:rPr>
          <w:rFonts w:cs="Arial"/>
          <w:rtl/>
        </w:rPr>
        <w:t xml:space="preserve"> סק</w:t>
      </w:r>
      <w:r>
        <w:rPr>
          <w:rFonts w:cs="Arial" w:hint="cs"/>
          <w:rtl/>
        </w:rPr>
        <w:t>"</w:t>
      </w:r>
      <w:r w:rsidRPr="00C64173">
        <w:rPr>
          <w:rFonts w:cs="Arial"/>
          <w:rtl/>
        </w:rPr>
        <w:t>ט</w:t>
      </w:r>
      <w:r>
        <w:rPr>
          <w:rFonts w:cs="Arial" w:hint="cs"/>
          <w:rtl/>
        </w:rPr>
        <w:t>,</w:t>
      </w:r>
      <w:r w:rsidRPr="00C64173">
        <w:rPr>
          <w:rFonts w:cs="Arial"/>
          <w:rtl/>
        </w:rPr>
        <w:t xml:space="preserve"> וצ"ע</w:t>
      </w:r>
      <w:r>
        <w:rPr>
          <w:rFonts w:cs="Arial" w:hint="cs"/>
          <w:rtl/>
        </w:rPr>
        <w:t>, ש"ך (סק"ד).</w:t>
      </w:r>
    </w:p>
  </w:footnote>
  <w:footnote w:id="2136">
    <w:p w14:paraId="7FAC3678" w14:textId="77777777" w:rsidR="004C5A3C" w:rsidRDefault="004C5A3C" w:rsidP="002C39F4">
      <w:pPr>
        <w:pStyle w:val="a5"/>
        <w:rPr>
          <w:rtl/>
        </w:rPr>
      </w:pPr>
      <w:r>
        <w:rPr>
          <w:rStyle w:val="a7"/>
        </w:rPr>
        <w:footnoteRef/>
      </w:r>
      <w:r>
        <w:rPr>
          <w:rtl/>
        </w:rPr>
        <w:t xml:space="preserve"> </w:t>
      </w:r>
      <w:r w:rsidRPr="00AF70BF">
        <w:rPr>
          <w:rFonts w:cs="Arial"/>
          <w:rtl/>
        </w:rPr>
        <w:t>דכל מה שמערה ונוגע בעכבר נאסר ונתערב בשאר השומן ונאסר הכל ואף דלפעמים העכבר מונחת בשולי הקערה ואם כן היה לנו להתיר כל השומן שהוא למעלה מקליפה שעל העכבר י"ל דידוע כשמערין עליו רותח נמס הכל ולכן העירוי נוגע תמיד בעכבר ונאסר הכל</w:t>
      </w:r>
      <w:r>
        <w:rPr>
          <w:rFonts w:cs="Arial" w:hint="cs"/>
          <w:rtl/>
        </w:rPr>
        <w:t>,</w:t>
      </w:r>
      <w:r w:rsidRPr="00AF70BF">
        <w:rPr>
          <w:rFonts w:cs="Arial"/>
          <w:rtl/>
        </w:rPr>
        <w:t xml:space="preserve"> ת"ח כלל כ"ב ד"ט וע"ש</w:t>
      </w:r>
      <w:r>
        <w:rPr>
          <w:rFonts w:hint="cs"/>
          <w:rtl/>
        </w:rPr>
        <w:t>, ש"ך (סק"ו).</w:t>
      </w:r>
    </w:p>
  </w:footnote>
  <w:footnote w:id="2137">
    <w:p w14:paraId="0CB299A7" w14:textId="77777777" w:rsidR="004C5A3C" w:rsidRDefault="004C5A3C" w:rsidP="002C39F4">
      <w:pPr>
        <w:pStyle w:val="a5"/>
        <w:rPr>
          <w:rtl/>
        </w:rPr>
      </w:pPr>
      <w:r>
        <w:rPr>
          <w:rStyle w:val="a7"/>
        </w:rPr>
        <w:footnoteRef/>
      </w:r>
      <w:r>
        <w:rPr>
          <w:rtl/>
        </w:rPr>
        <w:t xml:space="preserve"> </w:t>
      </w:r>
      <w:r w:rsidRPr="00FD41E3">
        <w:rPr>
          <w:rFonts w:cs="Arial"/>
          <w:rtl/>
        </w:rPr>
        <w:t>אבל בא לפנינו רך ליכא אלא חדא ספיקא שמא היה שם יום שלם וספק כבוש אסור כדלקמן ר"ס ק"ה</w:t>
      </w:r>
      <w:r>
        <w:rPr>
          <w:rFonts w:cs="Arial" w:hint="cs"/>
          <w:rtl/>
        </w:rPr>
        <w:t>,</w:t>
      </w:r>
      <w:r w:rsidRPr="00FD41E3">
        <w:rPr>
          <w:rFonts w:cs="Arial"/>
          <w:rtl/>
        </w:rPr>
        <w:t xml:space="preserve"> וכן אם ידוע שהיה רך כשנפל העכבר לתוכו אסרינן מספקא שמא נכבש בו יום שלם אע</w:t>
      </w:r>
      <w:r>
        <w:rPr>
          <w:rFonts w:cs="Arial" w:hint="cs"/>
          <w:rtl/>
        </w:rPr>
        <w:t>"</w:t>
      </w:r>
      <w:r w:rsidRPr="00FD41E3">
        <w:rPr>
          <w:rFonts w:cs="Arial"/>
          <w:rtl/>
        </w:rPr>
        <w:t>פ שכשבא לפנינו הוא קשה אא"כ ידעינן בברור שלא היה יום שלם רך אחר שבא העכבר לתוכו</w:t>
      </w:r>
      <w:r>
        <w:rPr>
          <w:rFonts w:cs="Arial" w:hint="cs"/>
          <w:rtl/>
        </w:rPr>
        <w:t>,</w:t>
      </w:r>
      <w:r w:rsidRPr="00FD41E3">
        <w:rPr>
          <w:rFonts w:cs="Arial"/>
          <w:rtl/>
        </w:rPr>
        <w:t xml:space="preserve"> וכן אם ידוע שהיה רך יום שלם ונתקשה אח"כ ולא ידעינן אי היתה בו העכבר כשהיה רך או לא אסור</w:t>
      </w:r>
      <w:r>
        <w:rPr>
          <w:rFonts w:cs="Arial" w:hint="cs"/>
          <w:rtl/>
        </w:rPr>
        <w:t>,</w:t>
      </w:r>
      <w:r w:rsidRPr="00FD41E3">
        <w:rPr>
          <w:rFonts w:cs="Arial"/>
          <w:rtl/>
        </w:rPr>
        <w:t xml:space="preserve"> מיהו בכל זה מותר אי איכא ששים</w:t>
      </w:r>
      <w:r>
        <w:rPr>
          <w:rFonts w:cs="Arial" w:hint="cs"/>
          <w:rtl/>
        </w:rPr>
        <w:t>,</w:t>
      </w:r>
      <w:r w:rsidRPr="00FD41E3">
        <w:rPr>
          <w:rFonts w:cs="Arial"/>
          <w:rtl/>
        </w:rPr>
        <w:t xml:space="preserve"> מ</w:t>
      </w:r>
      <w:r>
        <w:rPr>
          <w:rFonts w:cs="Arial" w:hint="cs"/>
          <w:rtl/>
        </w:rPr>
        <w:t>ש</w:t>
      </w:r>
      <w:r w:rsidRPr="00FD41E3">
        <w:rPr>
          <w:rFonts w:cs="Arial"/>
          <w:rtl/>
        </w:rPr>
        <w:t>א</w:t>
      </w:r>
      <w:r>
        <w:rPr>
          <w:rFonts w:cs="Arial" w:hint="cs"/>
          <w:rtl/>
        </w:rPr>
        <w:t>"</w:t>
      </w:r>
      <w:r w:rsidRPr="00FD41E3">
        <w:rPr>
          <w:rFonts w:cs="Arial"/>
          <w:rtl/>
        </w:rPr>
        <w:t>כ בעירה עליו רותח</w:t>
      </w:r>
      <w:r>
        <w:rPr>
          <w:rFonts w:cs="Arial" w:hint="cs"/>
          <w:rtl/>
        </w:rPr>
        <w:t>,</w:t>
      </w:r>
      <w:r w:rsidRPr="00FD41E3">
        <w:rPr>
          <w:rFonts w:cs="Arial"/>
          <w:rtl/>
        </w:rPr>
        <w:t xml:space="preserve"> כל זה העלה בת"ח שם וע"ש</w:t>
      </w:r>
      <w:r>
        <w:rPr>
          <w:rFonts w:hint="cs"/>
          <w:rtl/>
        </w:rPr>
        <w:t>, ש"ך (סק"ז).</w:t>
      </w:r>
    </w:p>
  </w:footnote>
  <w:footnote w:id="2138">
    <w:p w14:paraId="3ABD500B" w14:textId="77777777" w:rsidR="004C5A3C" w:rsidRPr="00D35E0B" w:rsidRDefault="004C5A3C" w:rsidP="002C39F4">
      <w:pPr>
        <w:pStyle w:val="a5"/>
        <w:rPr>
          <w:rFonts w:cs="Arial"/>
        </w:rPr>
      </w:pPr>
      <w:r>
        <w:rPr>
          <w:rStyle w:val="a7"/>
        </w:rPr>
        <w:footnoteRef/>
      </w:r>
      <w:r>
        <w:rPr>
          <w:rtl/>
        </w:rPr>
        <w:t xml:space="preserve"> </w:t>
      </w:r>
      <w:r>
        <w:rPr>
          <w:rFonts w:cs="Arial" w:hint="cs"/>
          <w:rtl/>
        </w:rPr>
        <w:t>הט"ז (סק"ד) כ' דזה במקרה שהוא אסור לאכילה דהיינו דלית ביה ששים, משמע ביש שם ששים מותר בהדלקה. אך הגר"א (סק"י) כ' דאפילו אם מותר באכילה אסור כשהוא מאוס, וכ' ה</w:t>
      </w:r>
      <w:r>
        <w:rPr>
          <w:rFonts w:cs="Arial"/>
          <w:rtl/>
        </w:rPr>
        <w:t>או"ה</w:t>
      </w:r>
      <w:r>
        <w:rPr>
          <w:rFonts w:cs="Arial" w:hint="cs"/>
          <w:rtl/>
        </w:rPr>
        <w:t xml:space="preserve"> (</w:t>
      </w:r>
      <w:r w:rsidRPr="00FD41E3">
        <w:rPr>
          <w:rFonts w:cs="Arial"/>
          <w:rtl/>
        </w:rPr>
        <w:t xml:space="preserve">כלל </w:t>
      </w:r>
      <w:r>
        <w:rPr>
          <w:rFonts w:cs="Arial" w:hint="cs"/>
          <w:rtl/>
        </w:rPr>
        <w:t xml:space="preserve">לב </w:t>
      </w:r>
      <w:r w:rsidRPr="00FD41E3">
        <w:rPr>
          <w:rFonts w:cs="Arial"/>
          <w:rtl/>
        </w:rPr>
        <w:t>דין כו</w:t>
      </w:r>
      <w:r>
        <w:rPr>
          <w:rFonts w:cs="Arial" w:hint="cs"/>
          <w:rtl/>
        </w:rPr>
        <w:t>)</w:t>
      </w:r>
      <w:r w:rsidRPr="00FD41E3">
        <w:rPr>
          <w:rFonts w:cs="Arial"/>
          <w:rtl/>
        </w:rPr>
        <w:t xml:space="preserve"> </w:t>
      </w:r>
      <w:r>
        <w:rPr>
          <w:rFonts w:cs="Arial" w:hint="cs"/>
          <w:rtl/>
        </w:rPr>
        <w:t xml:space="preserve">והש"ך (סק"ח) דאפילו </w:t>
      </w:r>
      <w:r w:rsidRPr="00FD41E3">
        <w:rPr>
          <w:rFonts w:cs="Arial"/>
          <w:rtl/>
        </w:rPr>
        <w:t>אם הוא מאוס עליו אפילו שאין מאוס לאחרים אסור לו אפילו בששים וק' אם הוא מאוס עליו עדיין</w:t>
      </w:r>
      <w:r>
        <w:rPr>
          <w:rFonts w:cs="Arial" w:hint="cs"/>
          <w:rtl/>
        </w:rPr>
        <w:t>,</w:t>
      </w:r>
      <w:r w:rsidRPr="00FD41E3">
        <w:rPr>
          <w:rFonts w:cs="Arial"/>
          <w:rtl/>
        </w:rPr>
        <w:t xml:space="preserve"> וכ"כ בס' אפי רברבי </w:t>
      </w:r>
      <w:r>
        <w:rPr>
          <w:rFonts w:cs="Arial" w:hint="cs"/>
          <w:rtl/>
        </w:rPr>
        <w:t>(שער סג אות טו).</w:t>
      </w:r>
    </w:p>
  </w:footnote>
  <w:footnote w:id="2139">
    <w:p w14:paraId="0BB48E91" w14:textId="77777777" w:rsidR="004C5A3C" w:rsidRDefault="004C5A3C" w:rsidP="002C39F4">
      <w:pPr>
        <w:pStyle w:val="a5"/>
      </w:pPr>
      <w:r>
        <w:rPr>
          <w:rStyle w:val="a7"/>
        </w:rPr>
        <w:footnoteRef/>
      </w:r>
      <w:r>
        <w:rPr>
          <w:rtl/>
        </w:rPr>
        <w:t xml:space="preserve"> </w:t>
      </w:r>
      <w:r w:rsidRPr="001744B6">
        <w:rPr>
          <w:rFonts w:cs="Arial"/>
          <w:rtl/>
        </w:rPr>
        <w:t>זה קאי על ריש ההג"ה ויש מחמירין כו'</w:t>
      </w:r>
      <w:r>
        <w:rPr>
          <w:rFonts w:cs="Arial" w:hint="cs"/>
          <w:rtl/>
        </w:rPr>
        <w:t>,</w:t>
      </w:r>
      <w:r w:rsidRPr="001744B6">
        <w:rPr>
          <w:rFonts w:cs="Arial"/>
          <w:rtl/>
        </w:rPr>
        <w:t xml:space="preserve"> ור"ל במקום הפסד גדול יש להקל בכל המשקים חוץ משכר וחומץ</w:t>
      </w:r>
      <w:r>
        <w:rPr>
          <w:rFonts w:cs="Arial" w:hint="cs"/>
          <w:rtl/>
        </w:rPr>
        <w:t>, ט"ז (סק"ה).</w:t>
      </w:r>
    </w:p>
  </w:footnote>
  <w:footnote w:id="2140">
    <w:p w14:paraId="28CDF89D" w14:textId="77777777" w:rsidR="004C5A3C" w:rsidRDefault="004C5A3C" w:rsidP="002C39F4">
      <w:pPr>
        <w:pStyle w:val="a5"/>
        <w:rPr>
          <w:rtl/>
        </w:rPr>
      </w:pPr>
      <w:r>
        <w:rPr>
          <w:rStyle w:val="a7"/>
        </w:rPr>
        <w:footnoteRef/>
      </w:r>
      <w:r>
        <w:rPr>
          <w:rtl/>
        </w:rPr>
        <w:t xml:space="preserve"> </w:t>
      </w:r>
      <w:r w:rsidRPr="00F6458D">
        <w:rPr>
          <w:rFonts w:cs="Arial"/>
          <w:rtl/>
        </w:rPr>
        <w:t>רשב"א</w:t>
      </w:r>
      <w:r w:rsidRPr="00F6458D">
        <w:rPr>
          <w:rFonts w:cs="Arial" w:hint="cs"/>
          <w:rtl/>
        </w:rPr>
        <w:t xml:space="preserve"> </w:t>
      </w:r>
      <w:r w:rsidRPr="00F6458D">
        <w:rPr>
          <w:rFonts w:cs="Arial" w:hint="cs"/>
          <w:sz w:val="16"/>
          <w:szCs w:val="16"/>
          <w:rtl/>
        </w:rPr>
        <w:t>(תוה"ק</w:t>
      </w:r>
      <w:r w:rsidRPr="00F6458D">
        <w:rPr>
          <w:rFonts w:cs="Arial"/>
          <w:sz w:val="16"/>
          <w:szCs w:val="16"/>
          <w:rtl/>
        </w:rPr>
        <w:t xml:space="preserve"> ב"ד ש"א טז:)</w:t>
      </w:r>
      <w:r>
        <w:rPr>
          <w:rFonts w:cs="Arial" w:hint="cs"/>
          <w:rtl/>
        </w:rPr>
        <w:t xml:space="preserve"> ר"פ</w:t>
      </w:r>
      <w:r w:rsidRPr="009430EF">
        <w:rPr>
          <w:rFonts w:cs="Arial"/>
          <w:rtl/>
        </w:rPr>
        <w:t xml:space="preserve"> </w:t>
      </w:r>
      <w:r w:rsidRPr="00BA5C70">
        <w:rPr>
          <w:rFonts w:cs="Arial"/>
          <w:sz w:val="16"/>
          <w:szCs w:val="16"/>
          <w:rtl/>
        </w:rPr>
        <w:t>(</w:t>
      </w:r>
      <w:r>
        <w:rPr>
          <w:rFonts w:cs="Arial" w:hint="cs"/>
          <w:sz w:val="16"/>
          <w:szCs w:val="16"/>
          <w:rtl/>
        </w:rPr>
        <w:t>כ"כ בשמו הא"ח</w:t>
      </w:r>
      <w:r w:rsidRPr="00BA5C70">
        <w:rPr>
          <w:rFonts w:cs="Arial" w:hint="cs"/>
          <w:sz w:val="16"/>
          <w:szCs w:val="16"/>
          <w:rtl/>
        </w:rPr>
        <w:t xml:space="preserve"> </w:t>
      </w:r>
      <w:r w:rsidRPr="00BA5C70">
        <w:rPr>
          <w:rFonts w:cs="Arial"/>
          <w:sz w:val="16"/>
          <w:szCs w:val="16"/>
          <w:rtl/>
        </w:rPr>
        <w:t xml:space="preserve">סי' מא) </w:t>
      </w:r>
      <w:r w:rsidRPr="00F6458D">
        <w:rPr>
          <w:rFonts w:cs="Arial" w:hint="cs"/>
          <w:rtl/>
        </w:rPr>
        <w:t>טור</w:t>
      </w:r>
      <w:r>
        <w:rPr>
          <w:rFonts w:cs="Arial" w:hint="cs"/>
          <w:rtl/>
        </w:rPr>
        <w:t xml:space="preserve"> </w:t>
      </w:r>
      <w:r>
        <w:rPr>
          <w:rFonts w:cs="Arial" w:hint="cs"/>
          <w:sz w:val="16"/>
          <w:szCs w:val="16"/>
          <w:rtl/>
        </w:rPr>
        <w:t xml:space="preserve">(כך סתם כאן, ובסי' קז כתב בדעת י"א את דעת החולקים) </w:t>
      </w:r>
      <w:r>
        <w:rPr>
          <w:rFonts w:cs="Arial" w:hint="cs"/>
          <w:rtl/>
        </w:rPr>
        <w:t>ו</w:t>
      </w:r>
      <w:r w:rsidRPr="009430EF">
        <w:rPr>
          <w:rFonts w:cs="Arial"/>
          <w:rtl/>
        </w:rPr>
        <w:t xml:space="preserve">ר"ן </w:t>
      </w:r>
      <w:r w:rsidRPr="00BA5C70">
        <w:rPr>
          <w:rFonts w:cs="Arial"/>
          <w:sz w:val="16"/>
          <w:szCs w:val="16"/>
          <w:rtl/>
        </w:rPr>
        <w:t>(ע"ז לב: ד"ה ההוא)</w:t>
      </w:r>
      <w:r>
        <w:rPr>
          <w:rFonts w:hint="cs"/>
          <w:rtl/>
        </w:rPr>
        <w:t>.</w:t>
      </w:r>
    </w:p>
  </w:footnote>
  <w:footnote w:id="2141">
    <w:p w14:paraId="00C771C3" w14:textId="77777777" w:rsidR="004C5A3C" w:rsidRDefault="004C5A3C" w:rsidP="002C39F4">
      <w:pPr>
        <w:pStyle w:val="a5"/>
      </w:pPr>
      <w:r>
        <w:rPr>
          <w:rStyle w:val="a7"/>
        </w:rPr>
        <w:footnoteRef/>
      </w:r>
      <w:r>
        <w:rPr>
          <w:rtl/>
        </w:rPr>
        <w:t xml:space="preserve"> </w:t>
      </w:r>
      <w:r w:rsidRPr="009430EF">
        <w:rPr>
          <w:rFonts w:cs="Arial"/>
          <w:rtl/>
        </w:rPr>
        <w:t>וטעמו מפני שהוא משוה כל הדברים המאוסים שנפשו של אדם קצה מהם לעכבר דמיבדל בדילי אינשי מיניה מחמת מיאוסו</w:t>
      </w:r>
      <w:r>
        <w:rPr>
          <w:rFonts w:cs="Arial" w:hint="cs"/>
          <w:rtl/>
        </w:rPr>
        <w:t>,</w:t>
      </w:r>
      <w:r w:rsidRPr="009430EF">
        <w:rPr>
          <w:rFonts w:cs="Arial"/>
          <w:rtl/>
        </w:rPr>
        <w:t xml:space="preserve"> ומשמע בגמרא דבשאר משקין בר משכרא וחלא מיפגם פגים</w:t>
      </w:r>
      <w:r>
        <w:rPr>
          <w:rFonts w:cs="Arial" w:hint="cs"/>
          <w:rtl/>
        </w:rPr>
        <w:t>,</w:t>
      </w:r>
      <w:r w:rsidRPr="009430EF">
        <w:rPr>
          <w:rFonts w:cs="Arial"/>
          <w:rtl/>
        </w:rPr>
        <w:t xml:space="preserve"> דאע</w:t>
      </w:r>
      <w:r>
        <w:rPr>
          <w:rFonts w:cs="Arial" w:hint="cs"/>
          <w:rtl/>
        </w:rPr>
        <w:t>"</w:t>
      </w:r>
      <w:r w:rsidRPr="009430EF">
        <w:rPr>
          <w:rFonts w:cs="Arial"/>
          <w:rtl/>
        </w:rPr>
        <w:t>ג דגבי עכברא דנפל בשכרא ואסריה רב אמר רב ששת בעלמא סבר רב נותן טעם לפגם מותר והכא חידוש הוא דהא מימאס מאיס ובדילי אינשי מיניה ואפילו הכי אסריה רחמנא הילכך נותן טעם לפגם נמי אסור הא רבא פליג עליה דאמר הלכתא נותן טעם לפגם מותר ועכברא בשיכרא לא ידענא מאי טעמא דרב אי משום דסבר נותן טעם לפגם אסור ולית הלכתא כוותיה אי משום דקסבר נותן טעם לפגם מותר ועכברא בשכרא אשבוחי משבח פירוש אי משום דקסבר נותן טעם לפגם אסור לית הלכתא כותיה אפילו בהא ודלא כרב ששת דאמר דמשום דחידוש הוא אף טעמו אוסר אע</w:t>
      </w:r>
      <w:r>
        <w:rPr>
          <w:rFonts w:cs="Arial" w:hint="cs"/>
          <w:rtl/>
        </w:rPr>
        <w:t>"</w:t>
      </w:r>
      <w:r w:rsidRPr="009430EF">
        <w:rPr>
          <w:rFonts w:cs="Arial"/>
          <w:rtl/>
        </w:rPr>
        <w:t xml:space="preserve">פ שהוא פגום אלא אין לך בו אלא מה שחדשה תורה דהיינו גופו אבל פליטתו לא וקי"ל כרבא דבתרא הוא ומטעם זה פסקו הפוסקים דבשאר משקין בר משכרא וחלא מפגם פגים כלומר ולא בעי </w:t>
      </w:r>
      <w:r>
        <w:rPr>
          <w:rFonts w:cs="Arial" w:hint="cs"/>
          <w:rtl/>
        </w:rPr>
        <w:t>ס'</w:t>
      </w:r>
      <w:r w:rsidRPr="009430EF">
        <w:rPr>
          <w:rFonts w:cs="Arial"/>
          <w:rtl/>
        </w:rPr>
        <w:t xml:space="preserve"> לבטלו</w:t>
      </w:r>
      <w:r>
        <w:rPr>
          <w:rFonts w:cs="Arial" w:hint="cs"/>
          <w:rtl/>
        </w:rPr>
        <w:t>,</w:t>
      </w:r>
      <w:r w:rsidRPr="00BA5C70">
        <w:rPr>
          <w:rFonts w:cs="Arial"/>
          <w:rtl/>
        </w:rPr>
        <w:t xml:space="preserve"> </w:t>
      </w:r>
      <w:r w:rsidRPr="009430EF">
        <w:rPr>
          <w:rFonts w:cs="Arial"/>
          <w:rtl/>
        </w:rPr>
        <w:t>וכן פירש הר"ן</w:t>
      </w:r>
      <w:r>
        <w:rPr>
          <w:rFonts w:cs="Arial" w:hint="cs"/>
          <w:rtl/>
        </w:rPr>
        <w:t xml:space="preserve"> </w:t>
      </w:r>
      <w:r w:rsidRPr="00BA5C70">
        <w:rPr>
          <w:rFonts w:cs="Arial" w:hint="cs"/>
          <w:sz w:val="16"/>
          <w:szCs w:val="16"/>
          <w:rtl/>
        </w:rPr>
        <w:t>(שם</w:t>
      </w:r>
      <w:r w:rsidRPr="00BA5C70">
        <w:rPr>
          <w:rFonts w:cs="Arial"/>
          <w:sz w:val="16"/>
          <w:szCs w:val="16"/>
          <w:rtl/>
        </w:rPr>
        <w:t xml:space="preserve">) </w:t>
      </w:r>
      <w:r w:rsidRPr="009430EF">
        <w:rPr>
          <w:rFonts w:cs="Arial"/>
          <w:rtl/>
        </w:rPr>
        <w:t>דברי רבא</w:t>
      </w:r>
      <w:r>
        <w:rPr>
          <w:rFonts w:cs="Arial" w:hint="cs"/>
          <w:rtl/>
        </w:rPr>
        <w:t>, ב"י.</w:t>
      </w:r>
    </w:p>
  </w:footnote>
  <w:footnote w:id="2142">
    <w:p w14:paraId="7E63E754" w14:textId="77777777" w:rsidR="004C5A3C" w:rsidRDefault="004C5A3C" w:rsidP="002C39F4">
      <w:pPr>
        <w:pStyle w:val="a5"/>
        <w:rPr>
          <w:rtl/>
        </w:rPr>
      </w:pPr>
      <w:r>
        <w:rPr>
          <w:rStyle w:val="a7"/>
        </w:rPr>
        <w:footnoteRef/>
      </w:r>
      <w:r>
        <w:rPr>
          <w:rtl/>
        </w:rPr>
        <w:t xml:space="preserve"> </w:t>
      </w:r>
      <w:r>
        <w:rPr>
          <w:rFonts w:cs="Arial" w:hint="cs"/>
          <w:rtl/>
        </w:rPr>
        <w:t>מה</w:t>
      </w:r>
      <w:r w:rsidRPr="00186585">
        <w:rPr>
          <w:rFonts w:cs="Arial"/>
          <w:rtl/>
        </w:rPr>
        <w:t>ר"</w:t>
      </w:r>
      <w:r>
        <w:rPr>
          <w:rFonts w:cs="Arial" w:hint="cs"/>
          <w:rtl/>
        </w:rPr>
        <w:t>ם</w:t>
      </w:r>
      <w:r>
        <w:rPr>
          <w:rFonts w:cs="Arial" w:hint="cs"/>
          <w:sz w:val="16"/>
          <w:szCs w:val="16"/>
          <w:rtl/>
        </w:rPr>
        <w:t xml:space="preserve"> </w:t>
      </w:r>
      <w:r w:rsidRPr="00662B31">
        <w:rPr>
          <w:rFonts w:cs="Arial"/>
          <w:sz w:val="16"/>
          <w:szCs w:val="16"/>
          <w:rtl/>
        </w:rPr>
        <w:t>(</w:t>
      </w:r>
      <w:r>
        <w:rPr>
          <w:rFonts w:cs="Arial" w:hint="cs"/>
          <w:sz w:val="16"/>
          <w:szCs w:val="16"/>
          <w:rtl/>
        </w:rPr>
        <w:t xml:space="preserve">כ"כ בשמו רי"ו </w:t>
      </w:r>
      <w:r w:rsidRPr="00465CF7">
        <w:rPr>
          <w:rFonts w:cs="Arial" w:hint="cs"/>
          <w:sz w:val="14"/>
          <w:szCs w:val="14"/>
          <w:rtl/>
        </w:rPr>
        <w:t>[</w:t>
      </w:r>
      <w:r w:rsidRPr="00465CF7">
        <w:rPr>
          <w:rFonts w:cs="Arial"/>
          <w:sz w:val="14"/>
          <w:szCs w:val="14"/>
          <w:rtl/>
        </w:rPr>
        <w:t>נט"ו אות כט</w:t>
      </w:r>
      <w:r w:rsidRPr="00465CF7">
        <w:rPr>
          <w:rFonts w:cs="Arial" w:hint="cs"/>
          <w:sz w:val="14"/>
          <w:szCs w:val="14"/>
          <w:rtl/>
        </w:rPr>
        <w:t>]</w:t>
      </w:r>
      <w:r w:rsidRPr="00662B31">
        <w:rPr>
          <w:rFonts w:cs="Arial"/>
          <w:sz w:val="16"/>
          <w:szCs w:val="16"/>
          <w:rtl/>
        </w:rPr>
        <w:t>)</w:t>
      </w:r>
      <w:r w:rsidRPr="00186585">
        <w:rPr>
          <w:rFonts w:cs="Arial"/>
          <w:rtl/>
        </w:rPr>
        <w:t xml:space="preserve"> רא"ש</w:t>
      </w:r>
      <w:r>
        <w:rPr>
          <w:rFonts w:cs="Arial" w:hint="cs"/>
          <w:sz w:val="16"/>
          <w:szCs w:val="16"/>
          <w:rtl/>
        </w:rPr>
        <w:t xml:space="preserve"> </w:t>
      </w:r>
      <w:r w:rsidRPr="00662B31">
        <w:rPr>
          <w:rFonts w:cs="Arial"/>
          <w:sz w:val="16"/>
          <w:szCs w:val="16"/>
          <w:rtl/>
        </w:rPr>
        <w:t>(</w:t>
      </w:r>
      <w:r>
        <w:rPr>
          <w:rFonts w:cs="Arial" w:hint="cs"/>
          <w:sz w:val="16"/>
          <w:szCs w:val="16"/>
          <w:rtl/>
        </w:rPr>
        <w:t>כ"כ בשמו רי"ו [שם]</w:t>
      </w:r>
      <w:r w:rsidRPr="00662B31">
        <w:rPr>
          <w:rFonts w:cs="Arial"/>
          <w:sz w:val="16"/>
          <w:szCs w:val="16"/>
          <w:rtl/>
        </w:rPr>
        <w:t>)</w:t>
      </w:r>
      <w:r w:rsidRPr="00662B31">
        <w:rPr>
          <w:rFonts w:cs="Arial" w:hint="cs"/>
          <w:rtl/>
        </w:rPr>
        <w:t xml:space="preserve"> </w:t>
      </w:r>
      <w:r>
        <w:rPr>
          <w:rFonts w:cs="Arial" w:hint="cs"/>
          <w:rtl/>
        </w:rPr>
        <w:t>שע"ד</w:t>
      </w:r>
      <w:r w:rsidRPr="00186585">
        <w:rPr>
          <w:rFonts w:cs="Arial"/>
          <w:rtl/>
        </w:rPr>
        <w:t xml:space="preserve"> </w:t>
      </w:r>
      <w:r w:rsidRPr="00662B31">
        <w:rPr>
          <w:rFonts w:cs="Arial"/>
          <w:sz w:val="16"/>
          <w:szCs w:val="16"/>
          <w:rtl/>
        </w:rPr>
        <w:t>(ליקוטים שאחר הל' טריפות ע"ה</w:t>
      </w:r>
      <w:r w:rsidRPr="00662B31">
        <w:rPr>
          <w:rFonts w:cs="Arial" w:hint="cs"/>
          <w:sz w:val="16"/>
          <w:szCs w:val="16"/>
          <w:rtl/>
        </w:rPr>
        <w:t>, להב' הב"י</w:t>
      </w:r>
      <w:r w:rsidRPr="00662B31">
        <w:rPr>
          <w:rFonts w:cs="Arial"/>
          <w:sz w:val="16"/>
          <w:szCs w:val="16"/>
          <w:rtl/>
        </w:rPr>
        <w:t xml:space="preserve">) </w:t>
      </w:r>
      <w:r>
        <w:rPr>
          <w:rFonts w:cs="Arial" w:hint="cs"/>
          <w:rtl/>
        </w:rPr>
        <w:t>ואו</w:t>
      </w:r>
      <w:r>
        <w:rPr>
          <w:rFonts w:cs="Arial"/>
          <w:rtl/>
        </w:rPr>
        <w:t>"</w:t>
      </w:r>
      <w:r>
        <w:rPr>
          <w:rFonts w:cs="Arial" w:hint="cs"/>
          <w:rtl/>
        </w:rPr>
        <w:t>ה</w:t>
      </w:r>
      <w:r w:rsidRPr="00DF3E74">
        <w:rPr>
          <w:rFonts w:cs="Arial"/>
          <w:rtl/>
        </w:rPr>
        <w:t xml:space="preserve"> </w:t>
      </w:r>
      <w:r w:rsidRPr="00662B31">
        <w:rPr>
          <w:rFonts w:cs="Arial" w:hint="cs"/>
          <w:sz w:val="16"/>
          <w:szCs w:val="16"/>
          <w:rtl/>
        </w:rPr>
        <w:t>(</w:t>
      </w:r>
      <w:r w:rsidRPr="00662B31">
        <w:rPr>
          <w:rFonts w:cs="Arial"/>
          <w:sz w:val="16"/>
          <w:szCs w:val="16"/>
          <w:rtl/>
        </w:rPr>
        <w:t>כלל לב ד</w:t>
      </w:r>
      <w:r w:rsidRPr="00662B31">
        <w:rPr>
          <w:rFonts w:cs="Arial" w:hint="cs"/>
          <w:sz w:val="16"/>
          <w:szCs w:val="16"/>
          <w:rtl/>
        </w:rPr>
        <w:t>"</w:t>
      </w:r>
      <w:r w:rsidRPr="00662B31">
        <w:rPr>
          <w:rFonts w:cs="Arial"/>
          <w:sz w:val="16"/>
          <w:szCs w:val="16"/>
          <w:rtl/>
        </w:rPr>
        <w:t>ז)</w:t>
      </w:r>
      <w:r>
        <w:rPr>
          <w:rFonts w:hint="cs"/>
          <w:rtl/>
        </w:rPr>
        <w:t>.</w:t>
      </w:r>
    </w:p>
  </w:footnote>
  <w:footnote w:id="2143">
    <w:p w14:paraId="59AE8923" w14:textId="77777777" w:rsidR="004C5A3C" w:rsidRPr="00BD4519" w:rsidRDefault="004C5A3C" w:rsidP="002C39F4">
      <w:pPr>
        <w:pStyle w:val="a5"/>
        <w:rPr>
          <w:rFonts w:cs="Arial"/>
          <w:rtl/>
        </w:rPr>
      </w:pPr>
      <w:r>
        <w:rPr>
          <w:rStyle w:val="a7"/>
        </w:rPr>
        <w:footnoteRef/>
      </w:r>
      <w:r>
        <w:rPr>
          <w:rtl/>
        </w:rPr>
        <w:t xml:space="preserve"> </w:t>
      </w:r>
      <w:r>
        <w:rPr>
          <w:rFonts w:hint="cs"/>
          <w:rtl/>
        </w:rPr>
        <w:t xml:space="preserve">וכ' הב"י- </w:t>
      </w:r>
      <w:r w:rsidRPr="00186585">
        <w:rPr>
          <w:rFonts w:cs="Arial"/>
          <w:rtl/>
        </w:rPr>
        <w:t>ויש לתמוה על זה מפני שדברי הרשב"א והר"ן ז"ל שמחלקים ביניהם מיוסדים על אדני פז דכרבא נקטינן דפליג ארב ששת כמ"ש לעיל</w:t>
      </w:r>
      <w:r>
        <w:rPr>
          <w:rFonts w:cs="Arial" w:hint="cs"/>
          <w:rtl/>
        </w:rPr>
        <w:t>,</w:t>
      </w:r>
      <w:r w:rsidRPr="00186585">
        <w:rPr>
          <w:rFonts w:cs="Arial"/>
          <w:rtl/>
        </w:rPr>
        <w:t xml:space="preserve"> ומשמע נמי דעכברא לאו דוקא אלא ה"ה לכל הדברים שאדם בודל מהם מחמת מיאוסם</w:t>
      </w:r>
      <w:r>
        <w:rPr>
          <w:rFonts w:cs="Arial" w:hint="cs"/>
          <w:rtl/>
        </w:rPr>
        <w:t>,</w:t>
      </w:r>
      <w:r w:rsidRPr="00186585">
        <w:rPr>
          <w:rFonts w:cs="Arial"/>
          <w:rtl/>
        </w:rPr>
        <w:t xml:space="preserve"> וכ"נ מדברי סמ"ג </w:t>
      </w:r>
      <w:r w:rsidRPr="00BD4519">
        <w:rPr>
          <w:rFonts w:cs="Arial"/>
          <w:sz w:val="16"/>
          <w:szCs w:val="16"/>
          <w:rtl/>
        </w:rPr>
        <w:t>(לאוין קלב מה ע"ג)</w:t>
      </w:r>
      <w:r w:rsidRPr="00186585">
        <w:rPr>
          <w:rFonts w:cs="Arial"/>
          <w:rtl/>
        </w:rPr>
        <w:t xml:space="preserve"> והמרדכי בפ"ב דביצה </w:t>
      </w:r>
      <w:r w:rsidRPr="00BD4519">
        <w:rPr>
          <w:rFonts w:cs="Arial"/>
          <w:sz w:val="16"/>
          <w:szCs w:val="16"/>
          <w:rtl/>
        </w:rPr>
        <w:t xml:space="preserve">(סי' תרעד) </w:t>
      </w:r>
      <w:r w:rsidRPr="00186585">
        <w:rPr>
          <w:rFonts w:cs="Arial"/>
          <w:rtl/>
        </w:rPr>
        <w:t>דדבורים הוו כנבלה סרוחה מעיקרא ולא אסרי הדבש</w:t>
      </w:r>
      <w:r>
        <w:rPr>
          <w:rFonts w:cs="Arial" w:hint="cs"/>
          <w:rtl/>
        </w:rPr>
        <w:t>,</w:t>
      </w:r>
      <w:r w:rsidRPr="00186585">
        <w:rPr>
          <w:rFonts w:cs="Arial"/>
          <w:rtl/>
        </w:rPr>
        <w:t xml:space="preserve"> וכתבתיו בסי</w:t>
      </w:r>
      <w:r>
        <w:rPr>
          <w:rFonts w:cs="Arial" w:hint="cs"/>
          <w:rtl/>
        </w:rPr>
        <w:t>'</w:t>
      </w:r>
      <w:r w:rsidRPr="00186585">
        <w:rPr>
          <w:rFonts w:cs="Arial"/>
          <w:rtl/>
        </w:rPr>
        <w:t xml:space="preserve"> פא </w:t>
      </w:r>
      <w:r w:rsidRPr="00BD4519">
        <w:rPr>
          <w:rFonts w:cs="Arial"/>
          <w:sz w:val="16"/>
          <w:szCs w:val="16"/>
          <w:rtl/>
        </w:rPr>
        <w:t>(קכז: ד"ה וכתב בספר המצות)</w:t>
      </w:r>
      <w:r>
        <w:rPr>
          <w:rFonts w:cs="Arial" w:hint="cs"/>
          <w:rtl/>
        </w:rPr>
        <w:t>,</w:t>
      </w:r>
      <w:r w:rsidRPr="00186585">
        <w:rPr>
          <w:rFonts w:cs="Arial"/>
          <w:rtl/>
        </w:rPr>
        <w:t xml:space="preserve"> וגדולה מזו כתב המרדכי </w:t>
      </w:r>
      <w:r w:rsidRPr="00BD4519">
        <w:rPr>
          <w:rFonts w:cs="Arial"/>
          <w:sz w:val="16"/>
          <w:szCs w:val="16"/>
          <w:rtl/>
        </w:rPr>
        <w:t xml:space="preserve">(ע"ז סי' תתנה) </w:t>
      </w:r>
      <w:r w:rsidRPr="00186585">
        <w:rPr>
          <w:rFonts w:cs="Arial"/>
          <w:rtl/>
        </w:rPr>
        <w:t xml:space="preserve">בשם הרוקח </w:t>
      </w:r>
      <w:r w:rsidRPr="00BD4519">
        <w:rPr>
          <w:rFonts w:cs="Arial"/>
          <w:sz w:val="16"/>
          <w:szCs w:val="16"/>
          <w:rtl/>
        </w:rPr>
        <w:t xml:space="preserve">(סי' תסא) </w:t>
      </w:r>
      <w:r w:rsidRPr="00186585">
        <w:rPr>
          <w:rFonts w:cs="Arial"/>
          <w:rtl/>
        </w:rPr>
        <w:t>דאע"ג דקי"ל עכברא בשכרא אשבוחי משבח זבוב אין נ"ט</w:t>
      </w:r>
      <w:r>
        <w:rPr>
          <w:rFonts w:hint="cs"/>
          <w:rtl/>
        </w:rPr>
        <w:t xml:space="preserve">, עכ"ל. אמנם הש"ך </w:t>
      </w:r>
      <w:r w:rsidRPr="00BD4519">
        <w:rPr>
          <w:rFonts w:hint="cs"/>
          <w:sz w:val="16"/>
          <w:szCs w:val="16"/>
          <w:rtl/>
        </w:rPr>
        <w:t>(סי' קז סק"ז)</w:t>
      </w:r>
      <w:r>
        <w:rPr>
          <w:rFonts w:hint="cs"/>
          <w:rtl/>
        </w:rPr>
        <w:t xml:space="preserve"> כ'-</w:t>
      </w:r>
      <w:r w:rsidRPr="00A647A0">
        <w:rPr>
          <w:rFonts w:cs="Arial"/>
          <w:rtl/>
        </w:rPr>
        <w:t xml:space="preserve"> תימה</w:t>
      </w:r>
      <w:r>
        <w:rPr>
          <w:rFonts w:cs="Arial" w:hint="cs"/>
          <w:rtl/>
        </w:rPr>
        <w:t>,</w:t>
      </w:r>
      <w:r w:rsidRPr="00A647A0">
        <w:rPr>
          <w:rFonts w:cs="Arial"/>
          <w:rtl/>
        </w:rPr>
        <w:t xml:space="preserve"> דהרי רבו הפוסקי</w:t>
      </w:r>
      <w:r>
        <w:rPr>
          <w:rFonts w:cs="Arial" w:hint="cs"/>
          <w:rtl/>
        </w:rPr>
        <w:t>ם</w:t>
      </w:r>
      <w:r w:rsidRPr="00A647A0">
        <w:rPr>
          <w:rFonts w:cs="Arial"/>
          <w:rtl/>
        </w:rPr>
        <w:t xml:space="preserve"> ראשוני</w:t>
      </w:r>
      <w:r>
        <w:rPr>
          <w:rFonts w:cs="Arial" w:hint="cs"/>
          <w:rtl/>
        </w:rPr>
        <w:t>ם</w:t>
      </w:r>
      <w:r w:rsidRPr="00A647A0">
        <w:rPr>
          <w:rFonts w:cs="Arial"/>
          <w:rtl/>
        </w:rPr>
        <w:t xml:space="preserve"> ואחרוני</w:t>
      </w:r>
      <w:r>
        <w:rPr>
          <w:rFonts w:cs="Arial" w:hint="cs"/>
          <w:rtl/>
        </w:rPr>
        <w:t>ם</w:t>
      </w:r>
      <w:r w:rsidRPr="00A647A0">
        <w:rPr>
          <w:rFonts w:cs="Arial"/>
          <w:rtl/>
        </w:rPr>
        <w:t xml:space="preserve"> לאיסור</w:t>
      </w:r>
      <w:r>
        <w:rPr>
          <w:rFonts w:cs="Arial" w:hint="cs"/>
          <w:rtl/>
        </w:rPr>
        <w:t>...</w:t>
      </w:r>
      <w:r w:rsidRPr="00A647A0">
        <w:rPr>
          <w:rFonts w:cs="Arial"/>
          <w:rtl/>
        </w:rPr>
        <w:t xml:space="preserve"> וכ"כ מהר"ם פדוואה דכן נוהגין</w:t>
      </w:r>
      <w:r>
        <w:rPr>
          <w:rFonts w:cs="Arial" w:hint="cs"/>
          <w:rtl/>
        </w:rPr>
        <w:t>,</w:t>
      </w:r>
      <w:r w:rsidRPr="00A647A0">
        <w:rPr>
          <w:rFonts w:cs="Arial"/>
          <w:rtl/>
        </w:rPr>
        <w:t xml:space="preserve"> וכ"כ מהרש"ל </w:t>
      </w:r>
      <w:r>
        <w:rPr>
          <w:rFonts w:cs="Arial" w:hint="cs"/>
          <w:sz w:val="16"/>
          <w:szCs w:val="16"/>
          <w:rtl/>
        </w:rPr>
        <w:t>(</w:t>
      </w:r>
      <w:r w:rsidRPr="00A647A0">
        <w:rPr>
          <w:rFonts w:cs="Arial"/>
          <w:sz w:val="16"/>
          <w:szCs w:val="16"/>
          <w:rtl/>
        </w:rPr>
        <w:t>באו"ש ובספרו פג"ה סי' מט</w:t>
      </w:r>
      <w:r>
        <w:rPr>
          <w:rFonts w:cs="Arial" w:hint="cs"/>
          <w:sz w:val="16"/>
          <w:szCs w:val="16"/>
          <w:rtl/>
        </w:rPr>
        <w:t>)</w:t>
      </w:r>
      <w:r w:rsidRPr="00A647A0">
        <w:rPr>
          <w:rFonts w:cs="Arial"/>
          <w:rtl/>
        </w:rPr>
        <w:t xml:space="preserve"> מקבלת מהר"ש דכן נוהגין</w:t>
      </w:r>
      <w:r>
        <w:rPr>
          <w:rFonts w:cs="Arial" w:hint="cs"/>
          <w:rtl/>
        </w:rPr>
        <w:t>,</w:t>
      </w:r>
      <w:r w:rsidRPr="00A647A0">
        <w:rPr>
          <w:rFonts w:cs="Arial"/>
          <w:rtl/>
        </w:rPr>
        <w:t xml:space="preserve"> מיהו במקום הפסד מרובה או שעת הדחק וכה"ג נראה דעת מהר"ם פדוואה בתשובה להתיר</w:t>
      </w:r>
      <w:r>
        <w:rPr>
          <w:rFonts w:cs="Arial" w:hint="cs"/>
          <w:rtl/>
        </w:rPr>
        <w:t>,</w:t>
      </w:r>
      <w:r w:rsidRPr="00A647A0">
        <w:rPr>
          <w:rFonts w:cs="Arial"/>
          <w:rtl/>
        </w:rPr>
        <w:t xml:space="preserve"> וכ"פ הב"ח מיהו בחלא ושיכרא לכ"ע אסור וכמו שנתבאר בס"ס ק</w:t>
      </w:r>
      <w:r>
        <w:rPr>
          <w:rFonts w:cs="Arial" w:hint="cs"/>
          <w:rtl/>
        </w:rPr>
        <w:t>ד.</w:t>
      </w:r>
    </w:p>
  </w:footnote>
  <w:footnote w:id="2144">
    <w:p w14:paraId="17CFE041" w14:textId="77777777" w:rsidR="004C5A3C" w:rsidRDefault="004C5A3C" w:rsidP="002C39F4">
      <w:pPr>
        <w:pStyle w:val="a5"/>
      </w:pPr>
      <w:r>
        <w:rPr>
          <w:rStyle w:val="a7"/>
        </w:rPr>
        <w:footnoteRef/>
      </w:r>
      <w:r>
        <w:rPr>
          <w:rtl/>
        </w:rPr>
        <w:t xml:space="preserve"> </w:t>
      </w:r>
      <w:r>
        <w:rPr>
          <w:rFonts w:hint="cs"/>
          <w:rtl/>
        </w:rPr>
        <w:t xml:space="preserve">וז"ל (הביאו הב"י)- </w:t>
      </w:r>
      <w:r w:rsidRPr="009430EF">
        <w:rPr>
          <w:rFonts w:cs="Arial"/>
          <w:rtl/>
        </w:rPr>
        <w:t>כל הדברים המאוסים כעכבר וכיוצא בו אין אוסרין בפליטתן אלא בחלא ושכרא דמשבחי בהו ואף בשנמחה גופן לגמרי ונתערב בהיתר מרובה מהם יש להתיר משום דמדאורייתא ברובא בטיל ולא מתהני מאיסורא כלל</w:t>
      </w:r>
      <w:r>
        <w:rPr>
          <w:rFonts w:cs="Arial" w:hint="cs"/>
          <w:rtl/>
        </w:rPr>
        <w:t>.</w:t>
      </w:r>
    </w:p>
  </w:footnote>
  <w:footnote w:id="2145">
    <w:p w14:paraId="1CDADD9B" w14:textId="77777777" w:rsidR="004C5A3C" w:rsidRDefault="004C5A3C" w:rsidP="002C39F4">
      <w:pPr>
        <w:pStyle w:val="a5"/>
        <w:rPr>
          <w:rtl/>
        </w:rPr>
      </w:pPr>
      <w:r>
        <w:rPr>
          <w:rStyle w:val="a7"/>
        </w:rPr>
        <w:footnoteRef/>
      </w:r>
      <w:r>
        <w:rPr>
          <w:rtl/>
        </w:rPr>
        <w:t xml:space="preserve"> </w:t>
      </w:r>
      <w:r w:rsidRPr="009430EF">
        <w:rPr>
          <w:rFonts w:cs="Arial"/>
          <w:rtl/>
        </w:rPr>
        <w:t xml:space="preserve">שכתב </w:t>
      </w:r>
      <w:r w:rsidRPr="00BD4519">
        <w:rPr>
          <w:rFonts w:cs="Arial"/>
          <w:sz w:val="16"/>
          <w:szCs w:val="16"/>
          <w:rtl/>
        </w:rPr>
        <w:t xml:space="preserve">(תוה"א ב"ד ש"א כ:) </w:t>
      </w:r>
      <w:r w:rsidRPr="009430EF">
        <w:rPr>
          <w:rFonts w:cs="Arial"/>
          <w:rtl/>
        </w:rPr>
        <w:t>וז"ל</w:t>
      </w:r>
      <w:r>
        <w:rPr>
          <w:rFonts w:cs="Arial" w:hint="cs"/>
          <w:rtl/>
        </w:rPr>
        <w:t>-</w:t>
      </w:r>
      <w:r w:rsidRPr="009430EF">
        <w:rPr>
          <w:rFonts w:cs="Arial"/>
          <w:rtl/>
        </w:rPr>
        <w:t xml:space="preserve"> ואני תמה דבשלמא שאר האסורים המשובחים כשפגמו בין ע</w:t>
      </w:r>
      <w:r>
        <w:rPr>
          <w:rFonts w:cs="Arial" w:hint="cs"/>
          <w:rtl/>
        </w:rPr>
        <w:t>"</w:t>
      </w:r>
      <w:r w:rsidRPr="009430EF">
        <w:rPr>
          <w:rFonts w:cs="Arial"/>
          <w:rtl/>
        </w:rPr>
        <w:t>י עצמן בין ע"י תערובתן הותרו שהרי נשתנו משבח לפגם ולא אסרן הכתוב בפגמן</w:t>
      </w:r>
      <w:r>
        <w:rPr>
          <w:rFonts w:cs="Arial" w:hint="cs"/>
          <w:rtl/>
        </w:rPr>
        <w:t>,</w:t>
      </w:r>
      <w:r w:rsidRPr="009430EF">
        <w:rPr>
          <w:rFonts w:cs="Arial"/>
          <w:rtl/>
        </w:rPr>
        <w:t xml:space="preserve"> אבל האיסורין הפגומין והמאוסים מעיקרן כל שנתערבו כזית בכדי אכילת פרס אע</w:t>
      </w:r>
      <w:r>
        <w:rPr>
          <w:rFonts w:cs="Arial" w:hint="cs"/>
          <w:rtl/>
        </w:rPr>
        <w:t>"</w:t>
      </w:r>
      <w:r w:rsidRPr="009430EF">
        <w:rPr>
          <w:rFonts w:cs="Arial"/>
          <w:rtl/>
        </w:rPr>
        <w:t>פ שההיתר נפגם מ</w:t>
      </w:r>
      <w:r>
        <w:rPr>
          <w:rFonts w:cs="Arial" w:hint="cs"/>
          <w:rtl/>
        </w:rPr>
        <w:t>"</w:t>
      </w:r>
      <w:r w:rsidRPr="009430EF">
        <w:rPr>
          <w:rFonts w:cs="Arial"/>
          <w:rtl/>
        </w:rPr>
        <w:t>מ הרי הוא טועם האיסור בעצמו כבענין שאסרו הכתוב ולמה הותר ע"י פגם שבתערובתו</w:t>
      </w:r>
      <w:r>
        <w:rPr>
          <w:rFonts w:cs="Arial" w:hint="cs"/>
          <w:rtl/>
        </w:rPr>
        <w:t>,</w:t>
      </w:r>
      <w:r w:rsidRPr="009430EF">
        <w:rPr>
          <w:rFonts w:cs="Arial"/>
          <w:rtl/>
        </w:rPr>
        <w:t xml:space="preserve"> וי"ל שלא אסרו הכתוב בפגימתו אלא לאוכלו בפני עצמו אבל כשנתערב עם ההיתר שהולכים אחר נתינת טעמו כיון שהוא נותן טעם לפגם בתערובתו מותר לפי שאין נותן טעם אלא אדרבה פוגם</w:t>
      </w:r>
      <w:r>
        <w:rPr>
          <w:rFonts w:cs="Arial" w:hint="cs"/>
          <w:rtl/>
        </w:rPr>
        <w:t>,</w:t>
      </w:r>
      <w:r w:rsidRPr="009430EF">
        <w:rPr>
          <w:rFonts w:cs="Arial"/>
          <w:rtl/>
        </w:rPr>
        <w:t xml:space="preserve"> וכתב עוד דהא דשרינן דוקא כשההיתר רבה על האיסור שהאיסור המועט בטל אצל ההיתר המרובה דבכל התורה כולה הולכין אחר הרוב</w:t>
      </w:r>
      <w:r>
        <w:rPr>
          <w:rFonts w:cs="Arial" w:hint="cs"/>
          <w:rtl/>
        </w:rPr>
        <w:t>,</w:t>
      </w:r>
      <w:r w:rsidRPr="009430EF">
        <w:rPr>
          <w:rFonts w:cs="Arial"/>
          <w:rtl/>
        </w:rPr>
        <w:t xml:space="preserve"> ואי משום טעמו של איסור שהוא טועם ונרגש בו כאילו הוא בעינו טעם כזה אינו טעם לאסור ההיתר המרובה דאדרבה הוא פוגמו כמו שאמרנו</w:t>
      </w:r>
      <w:r>
        <w:rPr>
          <w:rFonts w:cs="Arial" w:hint="cs"/>
          <w:rtl/>
        </w:rPr>
        <w:t>,</w:t>
      </w:r>
      <w:r w:rsidRPr="009430EF">
        <w:rPr>
          <w:rFonts w:cs="Arial"/>
          <w:rtl/>
        </w:rPr>
        <w:t xml:space="preserve"> ונראה שאפילו נפל לתוך היתר מועט ומכירו זורקו והרוטב מותר לפי שאין כאן אלא טעמו ולא ממשו</w:t>
      </w:r>
      <w:r>
        <w:rPr>
          <w:rFonts w:cs="Arial" w:hint="cs"/>
          <w:rtl/>
        </w:rPr>
        <w:t>,</w:t>
      </w:r>
      <w:r w:rsidRPr="009430EF">
        <w:rPr>
          <w:rFonts w:cs="Arial"/>
          <w:rtl/>
        </w:rPr>
        <w:t xml:space="preserve"> אע</w:t>
      </w:r>
      <w:r>
        <w:rPr>
          <w:rFonts w:cs="Arial" w:hint="cs"/>
          <w:rtl/>
        </w:rPr>
        <w:t>"</w:t>
      </w:r>
      <w:r w:rsidRPr="009430EF">
        <w:rPr>
          <w:rFonts w:cs="Arial"/>
          <w:rtl/>
        </w:rPr>
        <w:t>ג דמשערים בכולו משום דמאי דנפיק מיניה לא ידעינן השתא דאין בו בהנאתו בנותן טעם אינו אוסר תערובתו כלל</w:t>
      </w:r>
      <w:r>
        <w:rPr>
          <w:rFonts w:cs="Arial" w:hint="cs"/>
          <w:rtl/>
        </w:rPr>
        <w:t>,</w:t>
      </w:r>
      <w:r w:rsidRPr="009430EF">
        <w:rPr>
          <w:rFonts w:cs="Arial"/>
          <w:rtl/>
        </w:rPr>
        <w:t xml:space="preserve"> עכ"ל</w:t>
      </w:r>
      <w:r>
        <w:rPr>
          <w:rFonts w:cs="Arial" w:hint="cs"/>
          <w:rtl/>
        </w:rPr>
        <w:t>.</w:t>
      </w:r>
      <w:r w:rsidRPr="009430EF">
        <w:rPr>
          <w:rFonts w:cs="Arial"/>
          <w:rtl/>
        </w:rPr>
        <w:t xml:space="preserve"> ואע</w:t>
      </w:r>
      <w:r>
        <w:rPr>
          <w:rFonts w:cs="Arial" w:hint="cs"/>
          <w:rtl/>
        </w:rPr>
        <w:t>"</w:t>
      </w:r>
      <w:r w:rsidRPr="009430EF">
        <w:rPr>
          <w:rFonts w:cs="Arial"/>
          <w:rtl/>
        </w:rPr>
        <w:t>פ שהר"ן חולק על הרשב"א בשאר נותני טעם לפגם ואין דעתו נוחה להתירם בהיתר מרובה על האיסור</w:t>
      </w:r>
      <w:r>
        <w:rPr>
          <w:rFonts w:cs="Arial" w:hint="cs"/>
          <w:rtl/>
        </w:rPr>
        <w:t>,</w:t>
      </w:r>
      <w:r w:rsidRPr="009430EF">
        <w:rPr>
          <w:rFonts w:cs="Arial"/>
          <w:rtl/>
        </w:rPr>
        <w:t xml:space="preserve"> וכמ"ש בסימן שקודם זה (קסב:)</w:t>
      </w:r>
      <w:r>
        <w:rPr>
          <w:rFonts w:cs="Arial" w:hint="cs"/>
          <w:rtl/>
        </w:rPr>
        <w:t>,</w:t>
      </w:r>
      <w:r w:rsidRPr="009430EF">
        <w:rPr>
          <w:rFonts w:cs="Arial"/>
          <w:rtl/>
        </w:rPr>
        <w:t xml:space="preserve"> נראה דבדברים הפגומים מעצמם כעכבר וכיוצא בו מודה להרשב"א ז"ל וטעם גדול יש לחלק ביניהם וק"ל</w:t>
      </w:r>
      <w:r>
        <w:rPr>
          <w:rFonts w:cs="Arial" w:hint="cs"/>
          <w:rtl/>
        </w:rPr>
        <w:t>, ב"י.</w:t>
      </w:r>
      <w:r>
        <w:rPr>
          <w:rFonts w:hint="cs"/>
          <w:rtl/>
        </w:rPr>
        <w:t xml:space="preserve"> (וכ"כ ש"ך [סק"ט] ופר"ח [סק"י])</w:t>
      </w:r>
    </w:p>
  </w:footnote>
  <w:footnote w:id="2146">
    <w:p w14:paraId="13743B6F" w14:textId="77777777" w:rsidR="004C5A3C" w:rsidRDefault="004C5A3C" w:rsidP="002C39F4">
      <w:pPr>
        <w:pStyle w:val="a5"/>
        <w:rPr>
          <w:rtl/>
        </w:rPr>
      </w:pPr>
      <w:r>
        <w:rPr>
          <w:rStyle w:val="a7"/>
        </w:rPr>
        <w:footnoteRef/>
      </w:r>
      <w:r>
        <w:rPr>
          <w:rtl/>
        </w:rPr>
        <w:t xml:space="preserve"> </w:t>
      </w:r>
      <w:r w:rsidRPr="00186585">
        <w:rPr>
          <w:rFonts w:cs="Arial"/>
          <w:rtl/>
        </w:rPr>
        <w:t xml:space="preserve">ולפי שאמרת שפליטתה אינה אוסרת אלא בס' וכמדומה שאמרת כן מדתנן </w:t>
      </w:r>
      <w:r w:rsidRPr="00662B31">
        <w:rPr>
          <w:rFonts w:cs="Arial"/>
          <w:sz w:val="16"/>
          <w:szCs w:val="16"/>
          <w:rtl/>
        </w:rPr>
        <w:t xml:space="preserve">(צו:) </w:t>
      </w:r>
      <w:r w:rsidRPr="00186585">
        <w:rPr>
          <w:rFonts w:cs="Arial"/>
          <w:rtl/>
        </w:rPr>
        <w:t>גיד הנשה שנתבשל עם הגידים וכו' והרוטב בנ"ט</w:t>
      </w:r>
      <w:r>
        <w:rPr>
          <w:rFonts w:cs="Arial" w:hint="cs"/>
          <w:rtl/>
        </w:rPr>
        <w:t>,</w:t>
      </w:r>
      <w:r w:rsidRPr="00186585">
        <w:rPr>
          <w:rFonts w:cs="Arial"/>
          <w:rtl/>
        </w:rPr>
        <w:t xml:space="preserve"> ועלה בדעתך שאפילו היתוש וזבוב צריך ששים לבטל טעמו</w:t>
      </w:r>
      <w:r>
        <w:rPr>
          <w:rFonts w:cs="Arial" w:hint="cs"/>
          <w:rtl/>
        </w:rPr>
        <w:t>,</w:t>
      </w:r>
      <w:r w:rsidRPr="00186585">
        <w:rPr>
          <w:rFonts w:cs="Arial"/>
          <w:rtl/>
        </w:rPr>
        <w:t xml:space="preserve"> אומר אני שלא אמרו כן אלא בבריה שאינה מאוסה ולא בדילי אינשי מיניה כגיד וצפור אסורה וכיוצא באלו</w:t>
      </w:r>
      <w:r>
        <w:rPr>
          <w:rFonts w:cs="Arial" w:hint="cs"/>
          <w:rtl/>
        </w:rPr>
        <w:t>,</w:t>
      </w:r>
      <w:r w:rsidRPr="00186585">
        <w:rPr>
          <w:rFonts w:cs="Arial"/>
          <w:rtl/>
        </w:rPr>
        <w:t xml:space="preserve"> אבל כל דבר הנמאס ושבדילי אינשי מיניה אינו אוסר בטעמו שהרי הוא נטל</w:t>
      </w:r>
      <w:r>
        <w:rPr>
          <w:rFonts w:cs="Arial" w:hint="cs"/>
          <w:rtl/>
        </w:rPr>
        <w:t>"</w:t>
      </w:r>
      <w:r w:rsidRPr="00186585">
        <w:rPr>
          <w:rFonts w:cs="Arial"/>
          <w:rtl/>
        </w:rPr>
        <w:t>פ ואינו אוסר תערובתו אלא בטל ברוב כדאמרינן בההוא עכברא דנפל לשכרא</w:t>
      </w:r>
      <w:r>
        <w:rPr>
          <w:rFonts w:cs="Arial" w:hint="cs"/>
          <w:rtl/>
        </w:rPr>
        <w:t>,</w:t>
      </w:r>
      <w:r w:rsidRPr="00186585">
        <w:rPr>
          <w:rFonts w:cs="Arial"/>
          <w:rtl/>
        </w:rPr>
        <w:t xml:space="preserve"> והא דתנן </w:t>
      </w:r>
      <w:r w:rsidRPr="00662B31">
        <w:rPr>
          <w:rFonts w:cs="Arial"/>
          <w:sz w:val="16"/>
          <w:szCs w:val="16"/>
          <w:rtl/>
        </w:rPr>
        <w:t xml:space="preserve">(תרומות פ"ח מ"ב) </w:t>
      </w:r>
      <w:r w:rsidRPr="00186585">
        <w:rPr>
          <w:rFonts w:cs="Arial"/>
          <w:rtl/>
        </w:rPr>
        <w:t>היה אוכל בתרומה וטעם טעם פשפש זורקה מסתברא לי משום דחיישינן שמא פשפש עומד בפיו בפני עצמו וא"א לו לברור בתוך פיו ולפיכך זורק</w:t>
      </w:r>
      <w:r>
        <w:rPr>
          <w:rFonts w:cs="Arial" w:hint="cs"/>
          <w:rtl/>
        </w:rPr>
        <w:t>ה, רשב"א.</w:t>
      </w:r>
    </w:p>
  </w:footnote>
  <w:footnote w:id="2147">
    <w:p w14:paraId="6D18C6AC" w14:textId="77777777" w:rsidR="004C5A3C" w:rsidRDefault="004C5A3C" w:rsidP="002C39F4">
      <w:pPr>
        <w:pStyle w:val="a5"/>
      </w:pPr>
      <w:r>
        <w:rPr>
          <w:rStyle w:val="a7"/>
        </w:rPr>
        <w:footnoteRef/>
      </w:r>
      <w:r>
        <w:rPr>
          <w:rtl/>
        </w:rPr>
        <w:t xml:space="preserve"> </w:t>
      </w:r>
      <w:r w:rsidRPr="00794D7C">
        <w:rPr>
          <w:rFonts w:cs="Arial" w:hint="cs"/>
          <w:rtl/>
        </w:rPr>
        <w:t>וכן בדף</w:t>
      </w:r>
      <w:r w:rsidRPr="00794D7C">
        <w:rPr>
          <w:rFonts w:cs="Arial"/>
          <w:rtl/>
        </w:rPr>
        <w:t xml:space="preserve"> קיא</w:t>
      </w:r>
      <w:r>
        <w:rPr>
          <w:rFonts w:cs="Arial" w:hint="cs"/>
          <w:rtl/>
        </w:rPr>
        <w:t xml:space="preserve"> ע"ב,</w:t>
      </w:r>
      <w:r w:rsidRPr="00794D7C">
        <w:rPr>
          <w:rFonts w:cs="Arial" w:hint="cs"/>
          <w:rtl/>
        </w:rPr>
        <w:t xml:space="preserve"> וכן ב</w:t>
      </w:r>
      <w:r w:rsidRPr="00794D7C">
        <w:rPr>
          <w:rFonts w:cs="Arial"/>
          <w:rtl/>
        </w:rPr>
        <w:t>פסחים עו</w:t>
      </w:r>
      <w:r>
        <w:rPr>
          <w:rFonts w:cs="Arial" w:hint="cs"/>
          <w:rtl/>
        </w:rPr>
        <w:t xml:space="preserve"> ע"א.</w:t>
      </w:r>
    </w:p>
  </w:footnote>
  <w:footnote w:id="2148">
    <w:p w14:paraId="6A8A9AE9" w14:textId="77777777" w:rsidR="004C5A3C" w:rsidRDefault="004C5A3C" w:rsidP="002C39F4">
      <w:pPr>
        <w:pStyle w:val="a5"/>
        <w:rPr>
          <w:rtl/>
        </w:rPr>
      </w:pPr>
      <w:r>
        <w:rPr>
          <w:rStyle w:val="a7"/>
        </w:rPr>
        <w:footnoteRef/>
      </w:r>
      <w:r>
        <w:rPr>
          <w:rtl/>
        </w:rPr>
        <w:t xml:space="preserve"> </w:t>
      </w:r>
      <w:r w:rsidRPr="002E1134">
        <w:rPr>
          <w:rFonts w:cs="Arial" w:hint="cs"/>
          <w:rtl/>
        </w:rPr>
        <w:t xml:space="preserve">ריצב"א </w:t>
      </w:r>
      <w:r w:rsidRPr="002E1134">
        <w:rPr>
          <w:rFonts w:cs="Arial" w:hint="cs"/>
          <w:sz w:val="16"/>
          <w:szCs w:val="16"/>
          <w:rtl/>
        </w:rPr>
        <w:t xml:space="preserve">(כ"כ בשמו הרא"ש) </w:t>
      </w:r>
      <w:r w:rsidRPr="00620623">
        <w:rPr>
          <w:rFonts w:cs="Arial"/>
          <w:rtl/>
        </w:rPr>
        <w:t xml:space="preserve">ריב"א </w:t>
      </w:r>
      <w:r>
        <w:rPr>
          <w:rFonts w:cs="Arial" w:hint="cs"/>
          <w:sz w:val="16"/>
          <w:szCs w:val="16"/>
          <w:rtl/>
        </w:rPr>
        <w:t>(כ"כ בשמו הר"מ הביאו המרדכי [ביצה תרעד])</w:t>
      </w:r>
      <w:r>
        <w:rPr>
          <w:rFonts w:cs="Arial" w:hint="cs"/>
          <w:rtl/>
        </w:rPr>
        <w:t xml:space="preserve"> </w:t>
      </w:r>
      <w:r w:rsidRPr="002E1134">
        <w:rPr>
          <w:rFonts w:cs="Arial"/>
          <w:rtl/>
        </w:rPr>
        <w:t xml:space="preserve">רא"ש </w:t>
      </w:r>
      <w:r w:rsidRPr="002E1134">
        <w:rPr>
          <w:rFonts w:cs="Arial"/>
          <w:sz w:val="16"/>
          <w:szCs w:val="16"/>
          <w:rtl/>
        </w:rPr>
        <w:t>(</w:t>
      </w:r>
      <w:r w:rsidRPr="002E1134">
        <w:rPr>
          <w:rFonts w:cs="Arial" w:hint="cs"/>
          <w:sz w:val="16"/>
          <w:szCs w:val="16"/>
          <w:rtl/>
        </w:rPr>
        <w:t xml:space="preserve">ע"ז פרק בתרא </w:t>
      </w:r>
      <w:r w:rsidRPr="002E1134">
        <w:rPr>
          <w:rFonts w:cs="Arial"/>
          <w:sz w:val="16"/>
          <w:szCs w:val="16"/>
          <w:rtl/>
        </w:rPr>
        <w:t>סי' יא</w:t>
      </w:r>
      <w:r w:rsidRPr="002E1134">
        <w:rPr>
          <w:rFonts w:cs="Arial" w:hint="cs"/>
          <w:sz w:val="16"/>
          <w:szCs w:val="16"/>
          <w:rtl/>
        </w:rPr>
        <w:t>, וכן ב</w:t>
      </w:r>
      <w:r w:rsidRPr="002E1134">
        <w:rPr>
          <w:rFonts w:cs="Arial"/>
          <w:sz w:val="16"/>
          <w:szCs w:val="16"/>
          <w:rtl/>
        </w:rPr>
        <w:t>פ"ב סי' כ)</w:t>
      </w:r>
      <w:r>
        <w:rPr>
          <w:rFonts w:cs="Arial" w:hint="cs"/>
          <w:rtl/>
        </w:rPr>
        <w:t xml:space="preserve"> וטור</w:t>
      </w:r>
      <w:r>
        <w:rPr>
          <w:rFonts w:hint="cs"/>
          <w:rtl/>
        </w:rPr>
        <w:t>.</w:t>
      </w:r>
    </w:p>
  </w:footnote>
  <w:footnote w:id="2149">
    <w:p w14:paraId="6265C22C" w14:textId="77777777" w:rsidR="004C5A3C" w:rsidRDefault="004C5A3C" w:rsidP="002C39F4">
      <w:pPr>
        <w:pStyle w:val="a5"/>
        <w:rPr>
          <w:rtl/>
        </w:rPr>
      </w:pPr>
      <w:r>
        <w:rPr>
          <w:rStyle w:val="a7"/>
        </w:rPr>
        <w:footnoteRef/>
      </w:r>
      <w:r>
        <w:rPr>
          <w:rtl/>
        </w:rPr>
        <w:t xml:space="preserve"> </w:t>
      </w:r>
      <w:r w:rsidRPr="00620623">
        <w:rPr>
          <w:rFonts w:cs="Arial"/>
          <w:rtl/>
        </w:rPr>
        <w:t>וראיה מדאמרינן בחולין בשר בחלב חידוש הוא דאי תרי ליה כולי יומא בחלבא שרי ואי בשיל ליה אסור ומה חידוש הוא כל איסורי שבתורה נמי דינם כך דצונן בצונן לא מיתסר ולא בלע אלא ודאי זהו חדושו דכל איסורין שבתורה אף על גב דצונן בצונן לא בלע אם שראו יום שלם נאסרו מטעם כבוש ובבשר בחלב חדוש הוא דאינו נאסר אלא דרך בישול</w:t>
      </w:r>
      <w:r>
        <w:rPr>
          <w:rFonts w:cs="Arial" w:hint="cs"/>
          <w:rtl/>
        </w:rPr>
        <w:t>, רא"ש.</w:t>
      </w:r>
    </w:p>
  </w:footnote>
  <w:footnote w:id="2150">
    <w:p w14:paraId="74D6F08A" w14:textId="77777777" w:rsidR="004C5A3C" w:rsidRPr="00794D7C" w:rsidRDefault="004C5A3C" w:rsidP="002C39F4">
      <w:pPr>
        <w:pStyle w:val="a5"/>
      </w:pPr>
      <w:r>
        <w:rPr>
          <w:rStyle w:val="a7"/>
        </w:rPr>
        <w:footnoteRef/>
      </w:r>
      <w:r>
        <w:rPr>
          <w:rtl/>
        </w:rPr>
        <w:t xml:space="preserve"> </w:t>
      </w:r>
      <w:r w:rsidRPr="002E1134">
        <w:rPr>
          <w:rFonts w:cs="Arial"/>
          <w:rtl/>
        </w:rPr>
        <w:t>ר"ת</w:t>
      </w:r>
      <w:r w:rsidRPr="002E1134">
        <w:rPr>
          <w:rFonts w:cs="Arial" w:hint="cs"/>
          <w:rtl/>
        </w:rPr>
        <w:t xml:space="preserve"> </w:t>
      </w:r>
      <w:r w:rsidRPr="002E1134">
        <w:rPr>
          <w:rFonts w:cs="Arial" w:hint="cs"/>
          <w:sz w:val="16"/>
          <w:szCs w:val="16"/>
          <w:rtl/>
        </w:rPr>
        <w:t xml:space="preserve">(כ"כ בשמו המרדכי [ע"ז </w:t>
      </w:r>
      <w:r w:rsidRPr="002E1134">
        <w:rPr>
          <w:rFonts w:cs="Arial"/>
          <w:sz w:val="16"/>
          <w:szCs w:val="16"/>
          <w:rtl/>
        </w:rPr>
        <w:t>סי' תתנד</w:t>
      </w:r>
      <w:r w:rsidRPr="002E1134">
        <w:rPr>
          <w:rFonts w:cs="Arial" w:hint="cs"/>
          <w:sz w:val="16"/>
          <w:szCs w:val="16"/>
          <w:rtl/>
        </w:rPr>
        <w:t>])</w:t>
      </w:r>
      <w:r w:rsidRPr="002E1134">
        <w:rPr>
          <w:rFonts w:cs="Arial"/>
          <w:sz w:val="16"/>
          <w:szCs w:val="16"/>
          <w:rtl/>
        </w:rPr>
        <w:t xml:space="preserve"> </w:t>
      </w:r>
      <w:r>
        <w:rPr>
          <w:rFonts w:cs="Arial" w:hint="cs"/>
          <w:rtl/>
        </w:rPr>
        <w:t>ו</w:t>
      </w:r>
      <w:r w:rsidRPr="002E1134">
        <w:rPr>
          <w:rFonts w:cs="Arial"/>
          <w:rtl/>
        </w:rPr>
        <w:t xml:space="preserve">ראבי"ה </w:t>
      </w:r>
      <w:r w:rsidRPr="002E1134">
        <w:rPr>
          <w:rFonts w:cs="Arial"/>
          <w:sz w:val="16"/>
          <w:szCs w:val="16"/>
          <w:rtl/>
        </w:rPr>
        <w:t>(חולין סי' אלף וקיד</w:t>
      </w:r>
      <w:r w:rsidRPr="002E1134">
        <w:rPr>
          <w:rFonts w:cs="Arial" w:hint="cs"/>
          <w:sz w:val="16"/>
          <w:szCs w:val="16"/>
          <w:rtl/>
        </w:rPr>
        <w:t>, כ"כ בשמו המרדכי [</w:t>
      </w:r>
      <w:r w:rsidRPr="002E1134">
        <w:rPr>
          <w:rFonts w:cs="Arial"/>
          <w:sz w:val="16"/>
          <w:szCs w:val="16"/>
          <w:rtl/>
        </w:rPr>
        <w:t>ביצה סי' תרעד</w:t>
      </w:r>
      <w:r w:rsidRPr="002E1134">
        <w:rPr>
          <w:rFonts w:cs="Arial" w:hint="cs"/>
          <w:sz w:val="16"/>
          <w:szCs w:val="16"/>
          <w:rtl/>
        </w:rPr>
        <w:t>])</w:t>
      </w:r>
      <w:r>
        <w:rPr>
          <w:rFonts w:cs="Arial" w:hint="cs"/>
          <w:rtl/>
        </w:rPr>
        <w:t>.</w:t>
      </w:r>
    </w:p>
  </w:footnote>
  <w:footnote w:id="2151">
    <w:p w14:paraId="74D6E72C" w14:textId="77777777" w:rsidR="004C5A3C" w:rsidRDefault="004C5A3C" w:rsidP="002C39F4">
      <w:pPr>
        <w:pStyle w:val="a5"/>
        <w:rPr>
          <w:rtl/>
        </w:rPr>
      </w:pPr>
      <w:r>
        <w:rPr>
          <w:rStyle w:val="a7"/>
        </w:rPr>
        <w:footnoteRef/>
      </w:r>
      <w:r>
        <w:rPr>
          <w:rtl/>
        </w:rPr>
        <w:t xml:space="preserve"> </w:t>
      </w:r>
      <w:r w:rsidRPr="002E1134">
        <w:rPr>
          <w:rFonts w:cs="Arial"/>
          <w:rtl/>
        </w:rPr>
        <w:t>כדאמרינן בע"ז (לג.) קנקנים של גוים ממלאם שלשה ימים ומערן מע"ל וכפולטו כך בולעו מה פולטו ג' ימים אף בולעו ג' ימים והיינו דקאמר בע"ז (עד:) כל שמכניסו לקיום אסור ביינם אע</w:t>
      </w:r>
      <w:r>
        <w:rPr>
          <w:rFonts w:cs="Arial" w:hint="cs"/>
          <w:rtl/>
        </w:rPr>
        <w:t>"</w:t>
      </w:r>
      <w:r w:rsidRPr="002E1134">
        <w:rPr>
          <w:rFonts w:cs="Arial"/>
          <w:rtl/>
        </w:rPr>
        <w:t>פ שהוא צונן ומכניסו לקיום ג' ימים קאמר הילכך כל דבר איסור הלח ששהה בכלי היתר ג' ימים אסור</w:t>
      </w:r>
      <w:r>
        <w:rPr>
          <w:rFonts w:hint="cs"/>
          <w:rtl/>
        </w:rPr>
        <w:t>, מרדכי (ביצה תרעד).</w:t>
      </w:r>
    </w:p>
  </w:footnote>
  <w:footnote w:id="2152">
    <w:p w14:paraId="736F8BBA" w14:textId="77777777" w:rsidR="004C5A3C" w:rsidRDefault="004C5A3C" w:rsidP="002C39F4">
      <w:pPr>
        <w:pStyle w:val="a5"/>
        <w:rPr>
          <w:rtl/>
        </w:rPr>
      </w:pPr>
      <w:r>
        <w:rPr>
          <w:rStyle w:val="a7"/>
        </w:rPr>
        <w:footnoteRef/>
      </w:r>
      <w:r>
        <w:rPr>
          <w:rtl/>
        </w:rPr>
        <w:t xml:space="preserve"> </w:t>
      </w:r>
      <w:r>
        <w:rPr>
          <w:rFonts w:cs="Arial" w:hint="cs"/>
          <w:rtl/>
        </w:rPr>
        <w:t xml:space="preserve">וכ' </w:t>
      </w:r>
      <w:r w:rsidRPr="00620623">
        <w:rPr>
          <w:rFonts w:cs="Arial"/>
          <w:rtl/>
        </w:rPr>
        <w:t>המרדכי</w:t>
      </w:r>
      <w:r>
        <w:rPr>
          <w:rFonts w:cs="Arial" w:hint="cs"/>
          <w:rtl/>
        </w:rPr>
        <w:t xml:space="preserve"> </w:t>
      </w:r>
      <w:r w:rsidRPr="00620623">
        <w:rPr>
          <w:rFonts w:cs="Arial"/>
          <w:rtl/>
        </w:rPr>
        <w:t xml:space="preserve">(ביצה סי' תרעד) </w:t>
      </w:r>
      <w:r>
        <w:rPr>
          <w:rFonts w:cs="Arial" w:hint="cs"/>
          <w:rtl/>
        </w:rPr>
        <w:t>ד</w:t>
      </w:r>
      <w:r w:rsidRPr="002E1134">
        <w:rPr>
          <w:rFonts w:cs="Arial"/>
          <w:rtl/>
        </w:rPr>
        <w:t>א"א לומר כן דתנן פ"ז דשביעית (מ"ז) ורד ישן שכבשו בשמן חדש חייב בביעור אלמא בלא חומץ הוא נותן טעם כמבושל</w:t>
      </w:r>
      <w:r>
        <w:rPr>
          <w:rFonts w:hint="cs"/>
          <w:rtl/>
        </w:rPr>
        <w:t>. ו</w:t>
      </w:r>
      <w:r>
        <w:rPr>
          <w:rFonts w:cs="Arial" w:hint="cs"/>
          <w:rtl/>
        </w:rPr>
        <w:t>ההגה"מ כתבו</w:t>
      </w:r>
      <w:r w:rsidRPr="00620623">
        <w:rPr>
          <w:rFonts w:cs="Arial"/>
          <w:rtl/>
        </w:rPr>
        <w:t xml:space="preserve"> </w:t>
      </w:r>
      <w:r>
        <w:rPr>
          <w:rFonts w:cs="Arial" w:hint="cs"/>
          <w:rtl/>
        </w:rPr>
        <w:t>(</w:t>
      </w:r>
      <w:r w:rsidRPr="00620623">
        <w:rPr>
          <w:rFonts w:cs="Arial"/>
          <w:rtl/>
        </w:rPr>
        <w:t xml:space="preserve">פט"ו </w:t>
      </w:r>
      <w:r>
        <w:rPr>
          <w:rFonts w:cs="Arial" w:hint="cs"/>
          <w:rtl/>
        </w:rPr>
        <w:t>ד"ק</w:t>
      </w:r>
      <w:r w:rsidRPr="00620623">
        <w:rPr>
          <w:rFonts w:cs="Arial"/>
          <w:rtl/>
        </w:rPr>
        <w:t xml:space="preserve"> הל"א) בשם הרא"ש דכי אמרינן כבוש הרי הוא כמבושל ה"מ בכבוש בחומץ וציר כדפרש"י</w:t>
      </w:r>
      <w:r>
        <w:rPr>
          <w:rFonts w:cs="Arial" w:hint="cs"/>
          <w:rtl/>
        </w:rPr>
        <w:t>. וכ' הב"י-</w:t>
      </w:r>
      <w:r w:rsidRPr="00620623">
        <w:rPr>
          <w:rFonts w:cs="Arial"/>
          <w:rtl/>
        </w:rPr>
        <w:t xml:space="preserve"> ואיני יודע היאך אפשר שהרא"ש כ"כ שהרי הביא ראיה לומר דכבוש הרי הוא כמבושל בשהיית יום מבשר בחלב והא התם אע</w:t>
      </w:r>
      <w:r>
        <w:rPr>
          <w:rFonts w:cs="Arial" w:hint="cs"/>
          <w:rtl/>
        </w:rPr>
        <w:t>"</w:t>
      </w:r>
      <w:r w:rsidRPr="00620623">
        <w:rPr>
          <w:rFonts w:cs="Arial"/>
          <w:rtl/>
        </w:rPr>
        <w:t>ג דלא הוה חומץ וציר הוה מיתסר אי לאו דחידוש הוא</w:t>
      </w:r>
      <w:r>
        <w:rPr>
          <w:rFonts w:hint="cs"/>
          <w:rtl/>
        </w:rPr>
        <w:t>.</w:t>
      </w:r>
    </w:p>
  </w:footnote>
  <w:footnote w:id="2153">
    <w:p w14:paraId="19504B72" w14:textId="77777777" w:rsidR="004C5A3C" w:rsidRDefault="004C5A3C" w:rsidP="002C39F4">
      <w:pPr>
        <w:pStyle w:val="a5"/>
        <w:rPr>
          <w:rtl/>
        </w:rPr>
      </w:pPr>
      <w:r>
        <w:rPr>
          <w:rStyle w:val="a7"/>
        </w:rPr>
        <w:footnoteRef/>
      </w:r>
      <w:r>
        <w:rPr>
          <w:rtl/>
        </w:rPr>
        <w:t xml:space="preserve"> </w:t>
      </w:r>
      <w:r w:rsidRPr="00E255E4">
        <w:rPr>
          <w:rFonts w:cs="Arial"/>
          <w:rtl/>
        </w:rPr>
        <w:t>ו</w:t>
      </w:r>
      <w:r>
        <w:rPr>
          <w:rFonts w:cs="Arial" w:hint="cs"/>
          <w:rtl/>
        </w:rPr>
        <w:t>כ' הב"י- ו</w:t>
      </w:r>
      <w:r w:rsidRPr="00E255E4">
        <w:rPr>
          <w:rFonts w:cs="Arial"/>
          <w:rtl/>
        </w:rPr>
        <w:t>משם נלמוד לכבוש בחומץ שעד שישהה כשיעור זה אינו אוסר אלא כדי קליפה</w:t>
      </w:r>
      <w:r>
        <w:rPr>
          <w:rFonts w:hint="cs"/>
          <w:rtl/>
        </w:rPr>
        <w:t>.</w:t>
      </w:r>
      <w:r w:rsidRPr="00747160">
        <w:rPr>
          <w:rFonts w:hint="cs"/>
          <w:color w:val="E36C0A" w:themeColor="accent6" w:themeShade="BF"/>
          <w:rtl/>
        </w:rPr>
        <w:t xml:space="preserve"> </w:t>
      </w:r>
      <w:r w:rsidRPr="00D26443">
        <w:rPr>
          <w:rFonts w:hint="cs"/>
          <w:color w:val="E36C0A" w:themeColor="accent6" w:themeShade="BF"/>
          <w:rtl/>
        </w:rPr>
        <w:t>(וכ"פ בשו"ע)</w:t>
      </w:r>
    </w:p>
  </w:footnote>
  <w:footnote w:id="2154">
    <w:p w14:paraId="386B050B" w14:textId="77777777" w:rsidR="004C5A3C" w:rsidRDefault="004C5A3C" w:rsidP="002C39F4">
      <w:pPr>
        <w:pStyle w:val="a5"/>
        <w:rPr>
          <w:rtl/>
        </w:rPr>
      </w:pPr>
      <w:r>
        <w:rPr>
          <w:rStyle w:val="a7"/>
        </w:rPr>
        <w:footnoteRef/>
      </w:r>
      <w:r>
        <w:rPr>
          <w:rtl/>
        </w:rPr>
        <w:t xml:space="preserve"> </w:t>
      </w:r>
      <w:r>
        <w:rPr>
          <w:rFonts w:hint="cs"/>
          <w:rtl/>
        </w:rPr>
        <w:t>וכן בנזיר לז ע"א.</w:t>
      </w:r>
    </w:p>
  </w:footnote>
  <w:footnote w:id="2155">
    <w:p w14:paraId="7CAD4C69" w14:textId="77777777" w:rsidR="004C5A3C" w:rsidRDefault="004C5A3C" w:rsidP="002C39F4">
      <w:pPr>
        <w:pStyle w:val="a5"/>
        <w:rPr>
          <w:rtl/>
        </w:rPr>
      </w:pPr>
      <w:r>
        <w:rPr>
          <w:rStyle w:val="a7"/>
        </w:rPr>
        <w:footnoteRef/>
      </w:r>
      <w:r>
        <w:rPr>
          <w:rtl/>
        </w:rPr>
        <w:t xml:space="preserve"> </w:t>
      </w:r>
      <w:r w:rsidRPr="00E255E4">
        <w:rPr>
          <w:rFonts w:cs="Arial"/>
          <w:rtl/>
        </w:rPr>
        <w:t>ונראה לי דהיינו להיתר הנאה אבל לעולם אסור באכילה</w:t>
      </w:r>
      <w:r>
        <w:rPr>
          <w:rFonts w:cs="Arial" w:hint="cs"/>
          <w:rtl/>
        </w:rPr>
        <w:t>,</w:t>
      </w:r>
      <w:r w:rsidRPr="00E255E4">
        <w:rPr>
          <w:rFonts w:cs="Arial"/>
          <w:rtl/>
        </w:rPr>
        <w:t xml:space="preserve"> וצ"ע</w:t>
      </w:r>
      <w:r>
        <w:rPr>
          <w:rFonts w:hint="cs"/>
          <w:rtl/>
        </w:rPr>
        <w:t>, ב"י (בדה"ב).</w:t>
      </w:r>
    </w:p>
  </w:footnote>
  <w:footnote w:id="2156">
    <w:p w14:paraId="1F595B0C" w14:textId="77777777" w:rsidR="004C5A3C" w:rsidRDefault="004C5A3C" w:rsidP="002C39F4">
      <w:pPr>
        <w:pStyle w:val="a5"/>
        <w:rPr>
          <w:rtl/>
        </w:rPr>
      </w:pPr>
      <w:r>
        <w:rPr>
          <w:rStyle w:val="a7"/>
        </w:rPr>
        <w:footnoteRef/>
      </w:r>
      <w:r>
        <w:rPr>
          <w:rtl/>
        </w:rPr>
        <w:t xml:space="preserve"> </w:t>
      </w:r>
      <w:r w:rsidRPr="008041FA">
        <w:rPr>
          <w:rFonts w:cs="Arial"/>
          <w:rtl/>
        </w:rPr>
        <w:t>ו</w:t>
      </w:r>
      <w:r>
        <w:rPr>
          <w:rFonts w:cs="Arial" w:hint="cs"/>
          <w:rtl/>
        </w:rPr>
        <w:t>כ' הש"ך (סק"א) ד</w:t>
      </w:r>
      <w:r w:rsidRPr="008041FA">
        <w:rPr>
          <w:rFonts w:cs="Arial"/>
          <w:rtl/>
        </w:rPr>
        <w:t xml:space="preserve">מדברי הרב בת"ח </w:t>
      </w:r>
      <w:r>
        <w:rPr>
          <w:rFonts w:cs="Arial" w:hint="cs"/>
          <w:rtl/>
        </w:rPr>
        <w:t>(</w:t>
      </w:r>
      <w:r w:rsidRPr="008041FA">
        <w:rPr>
          <w:rFonts w:cs="Arial"/>
          <w:rtl/>
        </w:rPr>
        <w:t>כלל כ"ב ד"ו</w:t>
      </w:r>
      <w:r>
        <w:rPr>
          <w:rFonts w:cs="Arial" w:hint="cs"/>
          <w:rtl/>
        </w:rPr>
        <w:t>)</w:t>
      </w:r>
      <w:r w:rsidRPr="008041FA">
        <w:rPr>
          <w:rFonts w:cs="Arial"/>
          <w:rtl/>
        </w:rPr>
        <w:t xml:space="preserve"> נראה שכן עיקר, וכן משמע דעת </w:t>
      </w:r>
      <w:r>
        <w:rPr>
          <w:rFonts w:cs="Arial" w:hint="cs"/>
          <w:rtl/>
        </w:rPr>
        <w:t>כמה ראשונים (</w:t>
      </w:r>
      <w:r w:rsidRPr="008041FA">
        <w:rPr>
          <w:rFonts w:cs="Arial"/>
          <w:rtl/>
        </w:rPr>
        <w:t xml:space="preserve">רא"ש רשב"א </w:t>
      </w:r>
      <w:r>
        <w:rPr>
          <w:rFonts w:cs="Arial" w:hint="cs"/>
          <w:rtl/>
        </w:rPr>
        <w:t>טור ואו</w:t>
      </w:r>
      <w:r>
        <w:rPr>
          <w:rFonts w:cs="Arial"/>
          <w:rtl/>
        </w:rPr>
        <w:t>"</w:t>
      </w:r>
      <w:r>
        <w:rPr>
          <w:rFonts w:cs="Arial" w:hint="cs"/>
          <w:rtl/>
        </w:rPr>
        <w:t xml:space="preserve">ה) וכן נראה דעת השו"ע </w:t>
      </w:r>
      <w:r>
        <w:rPr>
          <w:rFonts w:cs="Arial" w:hint="cs"/>
          <w:sz w:val="16"/>
          <w:szCs w:val="16"/>
          <w:rtl/>
        </w:rPr>
        <w:t>(</w:t>
      </w:r>
      <w:r w:rsidRPr="008041FA">
        <w:rPr>
          <w:rFonts w:cs="Arial"/>
          <w:sz w:val="16"/>
          <w:szCs w:val="16"/>
          <w:rtl/>
        </w:rPr>
        <w:t>ו</w:t>
      </w:r>
      <w:r>
        <w:rPr>
          <w:rFonts w:cs="Arial" w:hint="cs"/>
          <w:sz w:val="16"/>
          <w:szCs w:val="16"/>
          <w:rtl/>
        </w:rPr>
        <w:t>כ' עוד ד</w:t>
      </w:r>
      <w:r w:rsidRPr="008041FA">
        <w:rPr>
          <w:rFonts w:cs="Arial"/>
          <w:sz w:val="16"/>
          <w:szCs w:val="16"/>
          <w:rtl/>
        </w:rPr>
        <w:t>לפ"ז היה נראה לכאורה לאסור לדידן מה שחוץ לכבישה כיון דאנן לא מחלקינן בין כחוש לשמן</w:t>
      </w:r>
      <w:r>
        <w:rPr>
          <w:rFonts w:cs="Arial" w:hint="cs"/>
          <w:sz w:val="16"/>
          <w:szCs w:val="16"/>
          <w:rtl/>
        </w:rPr>
        <w:t>,</w:t>
      </w:r>
      <w:r w:rsidRPr="008041FA">
        <w:rPr>
          <w:rFonts w:cs="Arial"/>
          <w:sz w:val="16"/>
          <w:szCs w:val="16"/>
          <w:rtl/>
        </w:rPr>
        <w:t xml:space="preserve"> כדלקמן ס"ה וס"ט בהג"ה</w:t>
      </w:r>
      <w:r w:rsidRPr="008041FA">
        <w:rPr>
          <w:rFonts w:cs="Arial" w:hint="cs"/>
          <w:sz w:val="16"/>
          <w:szCs w:val="16"/>
          <w:rtl/>
        </w:rPr>
        <w:t>,</w:t>
      </w:r>
      <w:r w:rsidRPr="008041FA">
        <w:rPr>
          <w:rFonts w:cs="Arial"/>
          <w:sz w:val="16"/>
          <w:szCs w:val="16"/>
          <w:rtl/>
        </w:rPr>
        <w:t xml:space="preserve"> אלא שא"כ לא ה"ל להרב לכתוב כאן סברא להקל כיון דלדידן לכ"ע אסור ומכ"ש שלא ה"ל לתפוש בת"ח שם סברת המקילין עיקר</w:t>
      </w:r>
      <w:r>
        <w:rPr>
          <w:rFonts w:cs="Arial" w:hint="cs"/>
          <w:sz w:val="16"/>
          <w:szCs w:val="16"/>
          <w:rtl/>
        </w:rPr>
        <w:t>,</w:t>
      </w:r>
      <w:r w:rsidRPr="008041FA">
        <w:rPr>
          <w:rFonts w:cs="Arial"/>
          <w:sz w:val="16"/>
          <w:szCs w:val="16"/>
          <w:rtl/>
        </w:rPr>
        <w:t xml:space="preserve"> ועוד דבס"ס ע' כ' דבשר שנפל לציר מה שחוץ לציר מותר</w:t>
      </w:r>
      <w:r>
        <w:rPr>
          <w:rFonts w:cs="Arial" w:hint="cs"/>
          <w:sz w:val="16"/>
          <w:szCs w:val="16"/>
          <w:rtl/>
        </w:rPr>
        <w:t>,</w:t>
      </w:r>
      <w:r w:rsidRPr="008041FA">
        <w:rPr>
          <w:rFonts w:cs="Arial"/>
          <w:sz w:val="16"/>
          <w:szCs w:val="16"/>
          <w:rtl/>
        </w:rPr>
        <w:t xml:space="preserve"> ועוד דהאו"ה נמי ס"ל דלא מחלקינן בין כחוש לשמן ואפ"ה בכבישה מתיר מה שחוץ לכבישה</w:t>
      </w:r>
      <w:r>
        <w:rPr>
          <w:rFonts w:cs="Arial" w:hint="cs"/>
          <w:sz w:val="16"/>
          <w:szCs w:val="16"/>
          <w:rtl/>
        </w:rPr>
        <w:t>,</w:t>
      </w:r>
      <w:r w:rsidRPr="008041FA">
        <w:rPr>
          <w:rFonts w:cs="Arial"/>
          <w:sz w:val="16"/>
          <w:szCs w:val="16"/>
          <w:rtl/>
        </w:rPr>
        <w:t xml:space="preserve"> לכך נראה דאע"ג דלא מחלקינן בין כחוש לשמן היינו במליחה וצלייה וכה"ג אבל כולי האי לא נחמיר</w:t>
      </w:r>
      <w:r>
        <w:rPr>
          <w:rFonts w:cs="Arial" w:hint="cs"/>
          <w:sz w:val="16"/>
          <w:szCs w:val="16"/>
          <w:rtl/>
        </w:rPr>
        <w:t>,</w:t>
      </w:r>
      <w:r w:rsidRPr="008041FA">
        <w:rPr>
          <w:rFonts w:cs="Arial"/>
          <w:sz w:val="16"/>
          <w:szCs w:val="16"/>
          <w:rtl/>
        </w:rPr>
        <w:t xml:space="preserve"> וכה"ג כתבתי בסקי"ז ע"</w:t>
      </w:r>
      <w:r>
        <w:rPr>
          <w:rFonts w:cs="Arial" w:hint="cs"/>
          <w:sz w:val="16"/>
          <w:szCs w:val="16"/>
          <w:rtl/>
        </w:rPr>
        <w:t>ש)</w:t>
      </w:r>
      <w:r>
        <w:rPr>
          <w:rFonts w:hint="cs"/>
          <w:rtl/>
        </w:rPr>
        <w:t>.</w:t>
      </w:r>
    </w:p>
  </w:footnote>
  <w:footnote w:id="2157">
    <w:p w14:paraId="42069B6C" w14:textId="77777777" w:rsidR="004C5A3C" w:rsidRDefault="004C5A3C" w:rsidP="002C39F4">
      <w:pPr>
        <w:pStyle w:val="a5"/>
        <w:rPr>
          <w:rtl/>
        </w:rPr>
      </w:pPr>
      <w:r>
        <w:rPr>
          <w:rStyle w:val="a7"/>
        </w:rPr>
        <w:footnoteRef/>
      </w:r>
      <w:r>
        <w:rPr>
          <w:rtl/>
        </w:rPr>
        <w:t xml:space="preserve"> </w:t>
      </w:r>
      <w:r>
        <w:rPr>
          <w:rFonts w:hint="cs"/>
          <w:rtl/>
        </w:rPr>
        <w:t xml:space="preserve">הט"ז </w:t>
      </w:r>
      <w:r w:rsidRPr="00D60349">
        <w:rPr>
          <w:rFonts w:hint="cs"/>
          <w:sz w:val="16"/>
          <w:szCs w:val="16"/>
          <w:rtl/>
        </w:rPr>
        <w:t xml:space="preserve">(סק"ג) </w:t>
      </w:r>
      <w:r>
        <w:rPr>
          <w:rFonts w:hint="cs"/>
          <w:rtl/>
        </w:rPr>
        <w:t xml:space="preserve">הקשה על זה ונראה דדעתו להתיר בספק כבוש, והש"ך </w:t>
      </w:r>
      <w:r w:rsidRPr="00D60349">
        <w:rPr>
          <w:rFonts w:hint="cs"/>
          <w:sz w:val="16"/>
          <w:szCs w:val="16"/>
          <w:rtl/>
        </w:rPr>
        <w:t xml:space="preserve">(נה"כ אות א) </w:t>
      </w:r>
      <w:r>
        <w:rPr>
          <w:rFonts w:hint="cs"/>
          <w:rtl/>
        </w:rPr>
        <w:t>והפר"ח</w:t>
      </w:r>
      <w:r w:rsidRPr="00D60349">
        <w:rPr>
          <w:rFonts w:hint="cs"/>
          <w:sz w:val="16"/>
          <w:szCs w:val="16"/>
          <w:rtl/>
        </w:rPr>
        <w:t xml:space="preserve"> (סק"ג) </w:t>
      </w:r>
      <w:r>
        <w:rPr>
          <w:rFonts w:hint="cs"/>
          <w:rtl/>
        </w:rPr>
        <w:t xml:space="preserve">דחו ראייתו, והסכימו לאסור. </w:t>
      </w:r>
    </w:p>
  </w:footnote>
  <w:footnote w:id="2158">
    <w:p w14:paraId="128563B1" w14:textId="77777777" w:rsidR="004C5A3C" w:rsidRPr="00A54042" w:rsidRDefault="004C5A3C" w:rsidP="002C39F4">
      <w:pPr>
        <w:pStyle w:val="a5"/>
        <w:rPr>
          <w:rtl/>
        </w:rPr>
      </w:pPr>
      <w:r>
        <w:rPr>
          <w:rStyle w:val="a7"/>
        </w:rPr>
        <w:footnoteRef/>
      </w:r>
      <w:r>
        <w:rPr>
          <w:rtl/>
        </w:rPr>
        <w:t xml:space="preserve"> </w:t>
      </w:r>
      <w:r>
        <w:rPr>
          <w:rFonts w:hint="cs"/>
          <w:rtl/>
        </w:rPr>
        <w:t xml:space="preserve">דבר זה למד הב"י מדברי הרא"ש בחולין </w:t>
      </w:r>
      <w:r w:rsidRPr="00BA5D46">
        <w:rPr>
          <w:rFonts w:cs="Arial"/>
          <w:sz w:val="16"/>
          <w:szCs w:val="16"/>
          <w:rtl/>
        </w:rPr>
        <w:t>(</w:t>
      </w:r>
      <w:r w:rsidRPr="00BA5D46">
        <w:rPr>
          <w:rFonts w:cs="Arial" w:hint="cs"/>
          <w:sz w:val="16"/>
          <w:szCs w:val="16"/>
          <w:rtl/>
        </w:rPr>
        <w:t>פכ"ה ס"</w:t>
      </w:r>
      <w:r w:rsidRPr="00BA5D46">
        <w:rPr>
          <w:rFonts w:cs="Arial"/>
          <w:sz w:val="16"/>
          <w:szCs w:val="16"/>
          <w:rtl/>
        </w:rPr>
        <w:t>ס מט)</w:t>
      </w:r>
      <w:r>
        <w:rPr>
          <w:rFonts w:cs="Arial" w:hint="cs"/>
          <w:sz w:val="16"/>
          <w:szCs w:val="16"/>
          <w:rtl/>
        </w:rPr>
        <w:t xml:space="preserve"> </w:t>
      </w:r>
      <w:r>
        <w:rPr>
          <w:rFonts w:hint="cs"/>
          <w:rtl/>
        </w:rPr>
        <w:t>שאמר שיעור זה גבי ציר</w:t>
      </w:r>
      <w:r>
        <w:rPr>
          <w:rFonts w:hint="cs"/>
          <w:sz w:val="16"/>
          <w:szCs w:val="16"/>
          <w:rtl/>
        </w:rPr>
        <w:t xml:space="preserve"> (הבאתי לשונו לעיל)</w:t>
      </w:r>
      <w:r>
        <w:rPr>
          <w:rFonts w:hint="cs"/>
          <w:rtl/>
        </w:rPr>
        <w:t xml:space="preserve">. אך הקשו הש"ך </w:t>
      </w:r>
      <w:r w:rsidRPr="00E57DC8">
        <w:rPr>
          <w:rFonts w:hint="cs"/>
          <w:sz w:val="16"/>
          <w:szCs w:val="16"/>
          <w:rtl/>
        </w:rPr>
        <w:t xml:space="preserve">(סק"ב) </w:t>
      </w:r>
      <w:r>
        <w:rPr>
          <w:rFonts w:hint="cs"/>
          <w:rtl/>
        </w:rPr>
        <w:t xml:space="preserve">והגר"א </w:t>
      </w:r>
      <w:r w:rsidRPr="00E57DC8">
        <w:rPr>
          <w:rFonts w:hint="cs"/>
          <w:sz w:val="16"/>
          <w:szCs w:val="16"/>
          <w:rtl/>
        </w:rPr>
        <w:t xml:space="preserve">(סק"ט) </w:t>
      </w:r>
      <w:r>
        <w:rPr>
          <w:rFonts w:hint="cs"/>
          <w:rtl/>
        </w:rPr>
        <w:t>שהרי הרא"ש בעצמו סובר שכדי שיחשב כבוש בחומץ צריך שישהה מעל"ע, וז"ל ה</w:t>
      </w:r>
      <w:r>
        <w:rPr>
          <w:rFonts w:cs="Arial" w:hint="cs"/>
          <w:rtl/>
        </w:rPr>
        <w:t xml:space="preserve">רא"ש </w:t>
      </w:r>
      <w:r>
        <w:rPr>
          <w:rFonts w:cs="Arial" w:hint="cs"/>
          <w:sz w:val="16"/>
          <w:szCs w:val="16"/>
          <w:rtl/>
        </w:rPr>
        <w:t>(ע"ז פ"ה סי' יא)</w:t>
      </w:r>
      <w:r>
        <w:rPr>
          <w:rFonts w:cs="Arial" w:hint="cs"/>
          <w:rtl/>
        </w:rPr>
        <w:t>- ל</w:t>
      </w:r>
      <w:r w:rsidRPr="00FC6B7C">
        <w:rPr>
          <w:rFonts w:cs="Arial"/>
          <w:rtl/>
        </w:rPr>
        <w:t>א פירש התורה כמה יעמוד בחומץ ובשכר דנחשביה כבוש כמבושל ושמע</w:t>
      </w:r>
      <w:r>
        <w:rPr>
          <w:rFonts w:cs="Arial" w:hint="cs"/>
          <w:rtl/>
        </w:rPr>
        <w:t>תי</w:t>
      </w:r>
      <w:r w:rsidRPr="00FC6B7C">
        <w:rPr>
          <w:rFonts w:cs="Arial"/>
          <w:rtl/>
        </w:rPr>
        <w:t xml:space="preserve"> בשם ריצב"א דאם שהה בתוכו יום שלם מעת לעת נקרא כבוש ובולע ופולט כמבושל</w:t>
      </w:r>
      <w:r>
        <w:rPr>
          <w:rFonts w:hint="cs"/>
          <w:rtl/>
        </w:rPr>
        <w:t>. עכ"ל. וכלשון זו כ' גם האו</w:t>
      </w:r>
      <w:r>
        <w:rPr>
          <w:rtl/>
        </w:rPr>
        <w:t>"</w:t>
      </w:r>
      <w:r>
        <w:rPr>
          <w:rFonts w:hint="cs"/>
          <w:rtl/>
        </w:rPr>
        <w:t xml:space="preserve">ה </w:t>
      </w:r>
      <w:r w:rsidRPr="005A3230">
        <w:rPr>
          <w:rFonts w:hint="cs"/>
          <w:sz w:val="16"/>
          <w:szCs w:val="16"/>
          <w:rtl/>
        </w:rPr>
        <w:t>(כלל ל דין ח)</w:t>
      </w:r>
      <w:r>
        <w:rPr>
          <w:rFonts w:hint="cs"/>
          <w:rtl/>
        </w:rPr>
        <w:t xml:space="preserve">. </w:t>
      </w:r>
      <w:r w:rsidRPr="00A54042">
        <w:rPr>
          <w:rFonts w:cs="Arial" w:hint="cs"/>
          <w:rtl/>
        </w:rPr>
        <w:t>ו</w:t>
      </w:r>
      <w:r>
        <w:rPr>
          <w:rFonts w:cs="Arial" w:hint="cs"/>
          <w:rtl/>
        </w:rPr>
        <w:t>גם</w:t>
      </w:r>
      <w:r w:rsidRPr="00A54042">
        <w:rPr>
          <w:rFonts w:cs="Arial" w:hint="cs"/>
          <w:rtl/>
        </w:rPr>
        <w:t xml:space="preserve"> בשו"ע</w:t>
      </w:r>
      <w:r>
        <w:rPr>
          <w:rFonts w:cs="Arial" w:hint="cs"/>
          <w:rtl/>
        </w:rPr>
        <w:t xml:space="preserve"> </w:t>
      </w:r>
      <w:r w:rsidRPr="00A54042">
        <w:rPr>
          <w:rFonts w:cs="Arial" w:hint="cs"/>
          <w:rtl/>
        </w:rPr>
        <w:t>סי' קד סע' א</w:t>
      </w:r>
      <w:r>
        <w:rPr>
          <w:rFonts w:cs="Arial" w:hint="cs"/>
          <w:rtl/>
        </w:rPr>
        <w:t xml:space="preserve"> פסק כדברי הרא"ש</w:t>
      </w:r>
      <w:r>
        <w:rPr>
          <w:rFonts w:hint="cs"/>
          <w:rtl/>
        </w:rPr>
        <w:t xml:space="preserve">. ולכן כ' הש"ך שם דנראה דחומץ שווה לשאר משקין ולא נאסר עד שישהה מעת לעת. והסכימו לדבריו הפר"ח </w:t>
      </w:r>
      <w:r w:rsidRPr="005A3230">
        <w:rPr>
          <w:rFonts w:hint="cs"/>
          <w:sz w:val="16"/>
          <w:szCs w:val="16"/>
          <w:rtl/>
        </w:rPr>
        <w:t xml:space="preserve">(סק"ד) </w:t>
      </w:r>
      <w:r>
        <w:rPr>
          <w:rFonts w:hint="cs"/>
          <w:rtl/>
        </w:rPr>
        <w:t xml:space="preserve">וכנה"ג </w:t>
      </w:r>
      <w:r w:rsidRPr="005A3230">
        <w:rPr>
          <w:rFonts w:hint="cs"/>
          <w:sz w:val="16"/>
          <w:szCs w:val="16"/>
          <w:rtl/>
        </w:rPr>
        <w:t>(הגב"י אות ו)</w:t>
      </w:r>
      <w:r>
        <w:rPr>
          <w:rFonts w:hint="cs"/>
          <w:rtl/>
        </w:rPr>
        <w:t xml:space="preserve">. אך הצבי לצדיק </w:t>
      </w:r>
      <w:r w:rsidRPr="005A3230">
        <w:rPr>
          <w:rFonts w:hint="cs"/>
          <w:sz w:val="16"/>
          <w:szCs w:val="16"/>
          <w:rtl/>
        </w:rPr>
        <w:t xml:space="preserve">(אוצמ"פ אות יב) </w:t>
      </w:r>
      <w:r>
        <w:rPr>
          <w:rFonts w:hint="cs"/>
          <w:rtl/>
        </w:rPr>
        <w:t xml:space="preserve">והדגמ"ר </w:t>
      </w:r>
      <w:r w:rsidRPr="005A3230">
        <w:rPr>
          <w:rFonts w:hint="cs"/>
          <w:sz w:val="16"/>
          <w:szCs w:val="16"/>
          <w:rtl/>
        </w:rPr>
        <w:t xml:space="preserve">(אוצמ"פ אות יג) </w:t>
      </w:r>
      <w:r>
        <w:rPr>
          <w:rFonts w:hint="cs"/>
          <w:rtl/>
        </w:rPr>
        <w:t xml:space="preserve">תירצו ואמרו שאין סתירה ממה שכתבו הרא"ש האו"ה והשו"ע </w:t>
      </w:r>
      <w:r w:rsidRPr="005A3230">
        <w:rPr>
          <w:rFonts w:hint="cs"/>
          <w:sz w:val="16"/>
          <w:szCs w:val="16"/>
          <w:rtl/>
        </w:rPr>
        <w:t xml:space="preserve">(סי' קד) </w:t>
      </w:r>
      <w:r>
        <w:rPr>
          <w:rFonts w:hint="cs"/>
          <w:rtl/>
        </w:rPr>
        <w:t xml:space="preserve">גבי עכבר, דשם מיירי מספק פגם או שבח </w:t>
      </w:r>
      <w:r w:rsidRPr="005A3230">
        <w:rPr>
          <w:rFonts w:hint="cs"/>
          <w:sz w:val="16"/>
          <w:szCs w:val="16"/>
          <w:rtl/>
        </w:rPr>
        <w:t xml:space="preserve">(כדכתבו שם הראשונים והשו"ע) </w:t>
      </w:r>
      <w:r>
        <w:rPr>
          <w:rFonts w:hint="cs"/>
          <w:rtl/>
        </w:rPr>
        <w:t xml:space="preserve">ולפיכך נקט להקל </w:t>
      </w:r>
      <w:r w:rsidRPr="005A3230">
        <w:rPr>
          <w:rFonts w:hint="cs"/>
          <w:sz w:val="16"/>
          <w:szCs w:val="16"/>
          <w:rtl/>
        </w:rPr>
        <w:t>(שאינו כבוש עד מעת לעת)</w:t>
      </w:r>
      <w:r>
        <w:rPr>
          <w:rFonts w:hint="cs"/>
          <w:rtl/>
        </w:rPr>
        <w:t xml:space="preserve">, אבל כאן שיש ודאי איסור נקט להחמיר. והמג"א </w:t>
      </w:r>
      <w:r w:rsidRPr="005A3230">
        <w:rPr>
          <w:rFonts w:hint="cs"/>
          <w:sz w:val="16"/>
          <w:szCs w:val="16"/>
          <w:rtl/>
        </w:rPr>
        <w:t xml:space="preserve">(או"ח סי' תמז סקכ"ח) </w:t>
      </w:r>
      <w:r>
        <w:rPr>
          <w:rFonts w:hint="cs"/>
          <w:rtl/>
        </w:rPr>
        <w:t xml:space="preserve">מחלק בין חומץ חזק לחומץ חלש. וכ' הפמ"ג </w:t>
      </w:r>
      <w:r w:rsidRPr="005A3230">
        <w:rPr>
          <w:rFonts w:hint="cs"/>
          <w:sz w:val="16"/>
          <w:szCs w:val="16"/>
          <w:rtl/>
        </w:rPr>
        <w:t xml:space="preserve">(שפ"ד אות ב) </w:t>
      </w:r>
      <w:r>
        <w:rPr>
          <w:rFonts w:hint="cs"/>
          <w:rtl/>
        </w:rPr>
        <w:t>דבחזק יש להחמיר על כל פנים.</w:t>
      </w:r>
    </w:p>
  </w:footnote>
  <w:footnote w:id="2159">
    <w:p w14:paraId="224E2E88" w14:textId="77777777" w:rsidR="004C5A3C" w:rsidRDefault="004C5A3C" w:rsidP="002C39F4">
      <w:pPr>
        <w:pStyle w:val="a5"/>
      </w:pPr>
      <w:r>
        <w:rPr>
          <w:rStyle w:val="a7"/>
        </w:rPr>
        <w:footnoteRef/>
      </w:r>
      <w:r>
        <w:rPr>
          <w:rtl/>
        </w:rPr>
        <w:t xml:space="preserve"> </w:t>
      </w:r>
      <w:r w:rsidRPr="00D26506">
        <w:rPr>
          <w:rFonts w:cs="Arial"/>
          <w:rtl/>
        </w:rPr>
        <w:t>גם הרב מודה לזה דלא הוי כבישה בפחות משיעור זה וכדכתב נמי בד</w:t>
      </w:r>
      <w:r>
        <w:rPr>
          <w:rFonts w:cs="Arial" w:hint="cs"/>
          <w:rtl/>
        </w:rPr>
        <w:t>רכ</w:t>
      </w:r>
      <w:r w:rsidRPr="00D26506">
        <w:rPr>
          <w:rFonts w:cs="Arial"/>
          <w:rtl/>
        </w:rPr>
        <w:t>"מ</w:t>
      </w:r>
      <w:r w:rsidRPr="00D26506">
        <w:rPr>
          <w:rFonts w:cs="Arial" w:hint="cs"/>
          <w:sz w:val="16"/>
          <w:szCs w:val="16"/>
          <w:rtl/>
        </w:rPr>
        <w:t xml:space="preserve"> (אות א)</w:t>
      </w:r>
      <w:r w:rsidRPr="00D26506">
        <w:rPr>
          <w:rFonts w:cs="Arial"/>
          <w:rtl/>
        </w:rPr>
        <w:t xml:space="preserve"> מיהו עכ"פ מליח כרותח הוי מיד לאסור כולו כמ"ש בת"ח כלל ו ד"ט ובס"ס ע' בהג"ה</w:t>
      </w:r>
      <w:r>
        <w:rPr>
          <w:rFonts w:cs="Arial" w:hint="cs"/>
          <w:rtl/>
        </w:rPr>
        <w:t>,</w:t>
      </w:r>
      <w:r w:rsidRPr="00D26506">
        <w:rPr>
          <w:rFonts w:cs="Arial"/>
          <w:rtl/>
        </w:rPr>
        <w:t xml:space="preserve"> ונ</w:t>
      </w:r>
      <w:r>
        <w:rPr>
          <w:rFonts w:cs="Arial" w:hint="cs"/>
          <w:rtl/>
        </w:rPr>
        <w:t>פ</w:t>
      </w:r>
      <w:r w:rsidRPr="00D26506">
        <w:rPr>
          <w:rFonts w:cs="Arial"/>
          <w:rtl/>
        </w:rPr>
        <w:t>"מ דהיכא דנשרה בציר של היתר איסור דרבנן והיתר כחושים ממש דבמליחה אף להרב אינו אוסר רק כדי קליפה</w:t>
      </w:r>
      <w:r>
        <w:rPr>
          <w:rFonts w:cs="Arial" w:hint="cs"/>
          <w:rtl/>
        </w:rPr>
        <w:t>,</w:t>
      </w:r>
      <w:r w:rsidRPr="00D26506">
        <w:rPr>
          <w:rFonts w:cs="Arial"/>
          <w:rtl/>
        </w:rPr>
        <w:t xml:space="preserve"> וכמ"ש בסי' זה סק</w:t>
      </w:r>
      <w:r>
        <w:rPr>
          <w:rFonts w:cs="Arial" w:hint="cs"/>
          <w:rtl/>
        </w:rPr>
        <w:t>ל"ו-</w:t>
      </w:r>
      <w:r w:rsidRPr="00D26506">
        <w:rPr>
          <w:rFonts w:cs="Arial"/>
          <w:rtl/>
        </w:rPr>
        <w:t>ל"ח</w:t>
      </w:r>
      <w:r>
        <w:rPr>
          <w:rFonts w:cs="Arial" w:hint="cs"/>
          <w:rtl/>
        </w:rPr>
        <w:t>,</w:t>
      </w:r>
      <w:r w:rsidRPr="00D26506">
        <w:rPr>
          <w:rFonts w:cs="Arial"/>
          <w:rtl/>
        </w:rPr>
        <w:t xml:space="preserve"> ובנכבש כשיעור שיתננו על האש וירתיח אוסר כולו</w:t>
      </w:r>
      <w:r>
        <w:rPr>
          <w:rFonts w:cs="Arial" w:hint="cs"/>
          <w:rtl/>
        </w:rPr>
        <w:t>, ש"ך (סק"ג).</w:t>
      </w:r>
    </w:p>
  </w:footnote>
  <w:footnote w:id="2160">
    <w:p w14:paraId="2C5BD7D9" w14:textId="77777777" w:rsidR="004C5A3C" w:rsidRDefault="004C5A3C" w:rsidP="002C39F4">
      <w:pPr>
        <w:pStyle w:val="a5"/>
      </w:pPr>
      <w:r>
        <w:rPr>
          <w:rStyle w:val="a7"/>
        </w:rPr>
        <w:footnoteRef/>
      </w:r>
      <w:r>
        <w:rPr>
          <w:rtl/>
        </w:rPr>
        <w:t xml:space="preserve"> </w:t>
      </w:r>
      <w:r>
        <w:rPr>
          <w:rFonts w:hint="cs"/>
          <w:rtl/>
        </w:rPr>
        <w:t xml:space="preserve">עיין בבאה"ט (סק"א).  </w:t>
      </w:r>
    </w:p>
  </w:footnote>
  <w:footnote w:id="2161">
    <w:p w14:paraId="5A745B66" w14:textId="77777777" w:rsidR="004C5A3C" w:rsidRDefault="004C5A3C" w:rsidP="002C39F4">
      <w:pPr>
        <w:pStyle w:val="a5"/>
        <w:rPr>
          <w:rtl/>
        </w:rPr>
      </w:pPr>
      <w:r>
        <w:rPr>
          <w:rStyle w:val="a7"/>
        </w:rPr>
        <w:footnoteRef/>
      </w:r>
      <w:r>
        <w:rPr>
          <w:rtl/>
        </w:rPr>
        <w:t xml:space="preserve"> </w:t>
      </w:r>
      <w:r w:rsidRPr="009D5C51">
        <w:rPr>
          <w:rFonts w:cs="Arial"/>
          <w:rtl/>
        </w:rPr>
        <w:t>ואיכא למידק במאי מיירי</w:t>
      </w:r>
      <w:r>
        <w:rPr>
          <w:rFonts w:cs="Arial" w:hint="cs"/>
          <w:rtl/>
        </w:rPr>
        <w:t>,</w:t>
      </w:r>
      <w:r w:rsidRPr="009D5C51">
        <w:rPr>
          <w:rFonts w:cs="Arial"/>
          <w:rtl/>
        </w:rPr>
        <w:t xml:space="preserve"> אי בכלי ראשון</w:t>
      </w:r>
      <w:r>
        <w:rPr>
          <w:rFonts w:cs="Arial" w:hint="cs"/>
          <w:rtl/>
        </w:rPr>
        <w:t>,</w:t>
      </w:r>
      <w:r w:rsidRPr="009D5C51">
        <w:rPr>
          <w:rFonts w:cs="Arial"/>
          <w:rtl/>
        </w:rPr>
        <w:t xml:space="preserve"> מאי אוסר כמו מבושל דקאמר</w:t>
      </w:r>
      <w:r>
        <w:rPr>
          <w:rFonts w:cs="Arial" w:hint="cs"/>
          <w:rtl/>
        </w:rPr>
        <w:t>,</w:t>
      </w:r>
      <w:r w:rsidRPr="009D5C51">
        <w:rPr>
          <w:rFonts w:cs="Arial"/>
          <w:rtl/>
        </w:rPr>
        <w:t xml:space="preserve"> הא זה הוא בישול עצמו</w:t>
      </w:r>
      <w:r>
        <w:rPr>
          <w:rFonts w:cs="Arial" w:hint="cs"/>
          <w:rtl/>
        </w:rPr>
        <w:t>,</w:t>
      </w:r>
      <w:r w:rsidRPr="009D5C51">
        <w:rPr>
          <w:rFonts w:cs="Arial"/>
          <w:rtl/>
        </w:rPr>
        <w:t xml:space="preserve"> ואי בכלי שני אפילו יד סולדת בו אינו מבשל</w:t>
      </w:r>
      <w:r>
        <w:rPr>
          <w:rFonts w:cs="Arial" w:hint="cs"/>
          <w:rtl/>
        </w:rPr>
        <w:t>,</w:t>
      </w:r>
      <w:r w:rsidRPr="009D5C51">
        <w:rPr>
          <w:rFonts w:cs="Arial"/>
          <w:rtl/>
        </w:rPr>
        <w:t xml:space="preserve"> וכמ"ש התוס</w:t>
      </w:r>
      <w:r>
        <w:rPr>
          <w:rFonts w:cs="Arial" w:hint="cs"/>
          <w:rtl/>
        </w:rPr>
        <w:t>'</w:t>
      </w:r>
      <w:r w:rsidRPr="009D5C51">
        <w:rPr>
          <w:rFonts w:cs="Arial"/>
          <w:rtl/>
        </w:rPr>
        <w:t xml:space="preserve"> בפרק כירה (שבת מ: ד"ה וש"מ)</w:t>
      </w:r>
      <w:r>
        <w:rPr>
          <w:rFonts w:cs="Arial" w:hint="cs"/>
          <w:rtl/>
        </w:rPr>
        <w:t>... לכך</w:t>
      </w:r>
      <w:r w:rsidRPr="009D5C51">
        <w:rPr>
          <w:rFonts w:cs="Arial"/>
          <w:rtl/>
        </w:rPr>
        <w:t xml:space="preserve"> נראה דרבינו הכא מיירי בין בכלי ראשון בין בכלי שני דכל שהיד סולדת בו אסור</w:t>
      </w:r>
      <w:r>
        <w:rPr>
          <w:rFonts w:cs="Arial" w:hint="cs"/>
          <w:rtl/>
        </w:rPr>
        <w:t>,</w:t>
      </w:r>
      <w:r w:rsidRPr="009D5C51">
        <w:rPr>
          <w:rFonts w:cs="Arial"/>
          <w:rtl/>
        </w:rPr>
        <w:t xml:space="preserve"> שאע"פ שאינו מבשל מבליע ומפליט</w:t>
      </w:r>
      <w:r>
        <w:rPr>
          <w:rFonts w:cs="Arial" w:hint="cs"/>
          <w:rtl/>
        </w:rPr>
        <w:t>, ב"י</w:t>
      </w:r>
      <w:r w:rsidRPr="009D5C51">
        <w:rPr>
          <w:rFonts w:cs="Arial" w:hint="cs"/>
          <w:rtl/>
        </w:rPr>
        <w:t>.</w:t>
      </w:r>
    </w:p>
  </w:footnote>
  <w:footnote w:id="2162">
    <w:p w14:paraId="3CE34168" w14:textId="77777777" w:rsidR="004C5A3C" w:rsidRDefault="004C5A3C" w:rsidP="002C39F4">
      <w:pPr>
        <w:pStyle w:val="a5"/>
        <w:rPr>
          <w:rtl/>
        </w:rPr>
      </w:pPr>
      <w:r>
        <w:rPr>
          <w:rStyle w:val="a7"/>
        </w:rPr>
        <w:footnoteRef/>
      </w:r>
      <w:r>
        <w:rPr>
          <w:rtl/>
        </w:rPr>
        <w:t xml:space="preserve"> </w:t>
      </w:r>
      <w:r w:rsidRPr="008803F3">
        <w:rPr>
          <w:rFonts w:cs="Arial"/>
          <w:rtl/>
        </w:rPr>
        <w:t>ואין דברים אלו נכונים שחום בית השחיטה וחום חלב הכסלים מועט הוא מחום כלי שני ומפליטין ומבליעין, כמו שיתבאר</w:t>
      </w:r>
      <w:r>
        <w:rPr>
          <w:rFonts w:cs="Arial" w:hint="cs"/>
          <w:rtl/>
        </w:rPr>
        <w:t>,</w:t>
      </w:r>
      <w:r w:rsidRPr="008803F3">
        <w:rPr>
          <w:rFonts w:cs="Arial"/>
          <w:rtl/>
        </w:rPr>
        <w:t xml:space="preserve"> שאין הבליעה והפליטה תלוין בבישול, ולפיכך חוששין לכל חום שע"י האש ואפילו אין היד סולדת בו כמו שבארנו</w:t>
      </w:r>
      <w:r>
        <w:rPr>
          <w:rFonts w:cs="Arial" w:hint="cs"/>
          <w:rtl/>
        </w:rPr>
        <w:t>, רשב"א.</w:t>
      </w:r>
      <w:r w:rsidRPr="008803F3">
        <w:rPr>
          <w:rFonts w:cs="Arial"/>
          <w:rtl/>
        </w:rPr>
        <w:t xml:space="preserve"> </w:t>
      </w:r>
      <w:r w:rsidRPr="002D16A1">
        <w:rPr>
          <w:rFonts w:cs="Arial"/>
          <w:rtl/>
        </w:rPr>
        <w:t>ו</w:t>
      </w:r>
      <w:r>
        <w:rPr>
          <w:rFonts w:cs="Arial" w:hint="cs"/>
          <w:rtl/>
        </w:rPr>
        <w:t xml:space="preserve">כ' הטור על דבריו- </w:t>
      </w:r>
      <w:r w:rsidRPr="002D16A1">
        <w:rPr>
          <w:rFonts w:cs="Arial"/>
          <w:rtl/>
        </w:rPr>
        <w:t>נראה לי שאין הנדון דומה לראיה שאין חום בית השחיטה וחום חלב הכסלים מפליט אלא כדי קליפה אבל להבליע בכל ההיתר לא חשוב חום אא"כ היד סולדת בו</w:t>
      </w:r>
      <w:r>
        <w:rPr>
          <w:rFonts w:cs="Arial" w:hint="cs"/>
          <w:rtl/>
        </w:rPr>
        <w:t>,</w:t>
      </w:r>
      <w:r w:rsidRPr="002D16A1">
        <w:rPr>
          <w:rFonts w:cs="Arial"/>
          <w:rtl/>
        </w:rPr>
        <w:t xml:space="preserve"> ואפשר שרוצה לומר דח</w:t>
      </w:r>
      <w:r>
        <w:rPr>
          <w:rFonts w:cs="Arial" w:hint="cs"/>
          <w:rtl/>
        </w:rPr>
        <w:t>ו</w:t>
      </w:r>
      <w:r w:rsidRPr="002D16A1">
        <w:rPr>
          <w:rFonts w:cs="Arial"/>
          <w:rtl/>
        </w:rPr>
        <w:t>ם לתוך ח</w:t>
      </w:r>
      <w:r>
        <w:rPr>
          <w:rFonts w:cs="Arial" w:hint="cs"/>
          <w:rtl/>
        </w:rPr>
        <w:t>ו</w:t>
      </w:r>
      <w:r w:rsidRPr="002D16A1">
        <w:rPr>
          <w:rFonts w:cs="Arial"/>
          <w:rtl/>
        </w:rPr>
        <w:t>ם אינו אוסר ג"כ אלא כדי קליפה וכן ראיתי לקצת מהמחברים ואינו כן אלא אוסר כולו אם היד סולדת בו</w:t>
      </w:r>
      <w:r>
        <w:rPr>
          <w:rFonts w:cs="Arial" w:hint="cs"/>
          <w:rtl/>
        </w:rPr>
        <w:t>, עכ"ל. וכ' הב"י- ו</w:t>
      </w:r>
      <w:r>
        <w:rPr>
          <w:rFonts w:cs="Arial"/>
          <w:rtl/>
        </w:rPr>
        <w:t>באמת שיש לתמוה על רבינו בדברים האלו שכתב דאפשר שר"ל דחם לתוך חם אינו אוסר אלא כדי קליפה</w:t>
      </w:r>
      <w:r>
        <w:rPr>
          <w:rFonts w:cs="Arial" w:hint="cs"/>
          <w:rtl/>
        </w:rPr>
        <w:t>...</w:t>
      </w:r>
      <w:r>
        <w:rPr>
          <w:rFonts w:cs="Arial"/>
          <w:rtl/>
        </w:rPr>
        <w:t xml:space="preserve"> ואע</w:t>
      </w:r>
      <w:r>
        <w:rPr>
          <w:rFonts w:cs="Arial" w:hint="cs"/>
          <w:rtl/>
        </w:rPr>
        <w:t>"</w:t>
      </w:r>
      <w:r>
        <w:rPr>
          <w:rFonts w:cs="Arial"/>
          <w:rtl/>
        </w:rPr>
        <w:t>פ שכ</w:t>
      </w:r>
      <w:r>
        <w:rPr>
          <w:rFonts w:cs="Arial" w:hint="cs"/>
          <w:rtl/>
        </w:rPr>
        <w:t>תב</w:t>
      </w:r>
      <w:r>
        <w:rPr>
          <w:rFonts w:cs="Arial"/>
          <w:rtl/>
        </w:rPr>
        <w:t xml:space="preserve"> שראה כן לקצת מחברים אין הדעת סובלת שראה לשום אחד מהמחברים דחם לתוך חם או צונן לתוך חם בקליפה סגי</w:t>
      </w:r>
      <w:r>
        <w:rPr>
          <w:rFonts w:cs="Arial" w:hint="cs"/>
          <w:rtl/>
        </w:rPr>
        <w:t xml:space="preserve">... </w:t>
      </w:r>
      <w:r>
        <w:rPr>
          <w:rFonts w:cs="Arial"/>
          <w:rtl/>
        </w:rPr>
        <w:t xml:space="preserve">ועוד שהרשב"א כתב באותו שער עצמו לקמן </w:t>
      </w:r>
      <w:r w:rsidRPr="00480E81">
        <w:rPr>
          <w:rFonts w:cs="Arial"/>
          <w:sz w:val="16"/>
          <w:szCs w:val="16"/>
          <w:rtl/>
        </w:rPr>
        <w:t xml:space="preserve">(ז.) </w:t>
      </w:r>
      <w:r>
        <w:rPr>
          <w:rFonts w:cs="Arial"/>
          <w:rtl/>
        </w:rPr>
        <w:t>נפל חם לתוך צונן אינו אוסר אלא כדי קליפה ואם נפל צונן לתוך חם הכל אסור</w:t>
      </w:r>
      <w:r>
        <w:rPr>
          <w:rFonts w:cs="Arial" w:hint="cs"/>
          <w:rtl/>
        </w:rPr>
        <w:t xml:space="preserve"> </w:t>
      </w:r>
      <w:r>
        <w:rPr>
          <w:rFonts w:cs="Arial" w:hint="cs"/>
          <w:sz w:val="14"/>
          <w:szCs w:val="14"/>
          <w:rtl/>
        </w:rPr>
        <w:t>{עי' בב"י שהאריך לתמוה}</w:t>
      </w:r>
      <w:r>
        <w:rPr>
          <w:rFonts w:cs="Arial" w:hint="cs"/>
          <w:rtl/>
        </w:rPr>
        <w:t>,</w:t>
      </w:r>
      <w:r>
        <w:rPr>
          <w:rFonts w:cs="Arial"/>
          <w:rtl/>
        </w:rPr>
        <w:t xml:space="preserve"> ודבריו שהביא רבינו מכוונים וברורים הם</w:t>
      </w:r>
      <w:r>
        <w:rPr>
          <w:rFonts w:cs="Arial" w:hint="cs"/>
          <w:rtl/>
        </w:rPr>
        <w:t>,</w:t>
      </w:r>
      <w:r>
        <w:rPr>
          <w:rFonts w:cs="Arial"/>
          <w:rtl/>
        </w:rPr>
        <w:t xml:space="preserve"> שהרי לא כ</w:t>
      </w:r>
      <w:r>
        <w:rPr>
          <w:rFonts w:cs="Arial" w:hint="cs"/>
          <w:rtl/>
        </w:rPr>
        <w:t>'</w:t>
      </w:r>
      <w:r>
        <w:rPr>
          <w:rFonts w:cs="Arial"/>
          <w:rtl/>
        </w:rPr>
        <w:t xml:space="preserve"> שכל חום שע"י האש אפילו אין היד סולדת בו מבשל</w:t>
      </w:r>
      <w:r>
        <w:rPr>
          <w:rFonts w:cs="Arial" w:hint="cs"/>
          <w:rtl/>
        </w:rPr>
        <w:t>,</w:t>
      </w:r>
      <w:r>
        <w:rPr>
          <w:rFonts w:cs="Arial"/>
          <w:rtl/>
        </w:rPr>
        <w:t xml:space="preserve"> כי היכי דנשמע מיניה</w:t>
      </w:r>
      <w:r>
        <w:rPr>
          <w:rFonts w:cs="Arial" w:hint="cs"/>
          <w:rtl/>
        </w:rPr>
        <w:t>,</w:t>
      </w:r>
      <w:r>
        <w:rPr>
          <w:rFonts w:cs="Arial"/>
          <w:rtl/>
        </w:rPr>
        <w:t xml:space="preserve"> דאע"ג דמבשל אינו אוסר אלא כדי קליפה</w:t>
      </w:r>
      <w:r>
        <w:rPr>
          <w:rFonts w:cs="Arial" w:hint="cs"/>
          <w:rtl/>
        </w:rPr>
        <w:t>,</w:t>
      </w:r>
      <w:r>
        <w:rPr>
          <w:rFonts w:cs="Arial"/>
          <w:rtl/>
        </w:rPr>
        <w:t xml:space="preserve"> אלא לומר שהוא מפליט כ"כ להצריכו קליפה</w:t>
      </w:r>
      <w:r>
        <w:rPr>
          <w:rFonts w:cs="Arial" w:hint="cs"/>
          <w:rtl/>
        </w:rPr>
        <w:t>,</w:t>
      </w:r>
      <w:r>
        <w:rPr>
          <w:rFonts w:cs="Arial"/>
          <w:rtl/>
        </w:rPr>
        <w:t xml:space="preserve"> וכ"כ בפירוש בתו</w:t>
      </w:r>
      <w:r>
        <w:rPr>
          <w:rFonts w:cs="Arial" w:hint="cs"/>
          <w:rtl/>
        </w:rPr>
        <w:t>ה"א</w:t>
      </w:r>
      <w:r w:rsidRPr="00480E81">
        <w:rPr>
          <w:rFonts w:cs="Arial"/>
          <w:sz w:val="16"/>
          <w:szCs w:val="16"/>
          <w:rtl/>
        </w:rPr>
        <w:t xml:space="preserve"> (ב"ד ש"א א ע"ד)</w:t>
      </w:r>
      <w:r>
        <w:rPr>
          <w:rFonts w:cs="Arial" w:hint="cs"/>
          <w:rtl/>
        </w:rPr>
        <w:t>.</w:t>
      </w:r>
    </w:p>
  </w:footnote>
  <w:footnote w:id="2163">
    <w:p w14:paraId="7550F517" w14:textId="77777777" w:rsidR="004C5A3C" w:rsidRDefault="004C5A3C" w:rsidP="002C39F4">
      <w:pPr>
        <w:pStyle w:val="a5"/>
        <w:rPr>
          <w:rtl/>
        </w:rPr>
      </w:pPr>
      <w:r>
        <w:rPr>
          <w:rStyle w:val="a7"/>
        </w:rPr>
        <w:footnoteRef/>
      </w:r>
      <w:r>
        <w:rPr>
          <w:rtl/>
        </w:rPr>
        <w:t xml:space="preserve"> </w:t>
      </w:r>
      <w:r>
        <w:rPr>
          <w:rFonts w:cs="Arial"/>
          <w:rtl/>
        </w:rPr>
        <w:t>לפי מאי דקי"ל דכ"ש אינו מבשל ואינו מבליע ומפליט וכמו שנתבאר לעיל סימן ס"ח (אות ט)</w:t>
      </w:r>
      <w:r>
        <w:rPr>
          <w:rFonts w:cs="Arial" w:hint="cs"/>
          <w:rtl/>
        </w:rPr>
        <w:t>,</w:t>
      </w:r>
      <w:r>
        <w:rPr>
          <w:rFonts w:cs="Arial"/>
          <w:rtl/>
        </w:rPr>
        <w:t xml:space="preserve"> וא</w:t>
      </w:r>
      <w:r>
        <w:rPr>
          <w:rFonts w:cs="Arial" w:hint="cs"/>
          <w:rtl/>
        </w:rPr>
        <w:t>ע"ג</w:t>
      </w:r>
      <w:r>
        <w:rPr>
          <w:rFonts w:cs="Arial"/>
          <w:rtl/>
        </w:rPr>
        <w:t xml:space="preserve"> דאם נפל חם על דבר צונן אסור כדי קליפה</w:t>
      </w:r>
      <w:r>
        <w:rPr>
          <w:rFonts w:cs="Arial" w:hint="cs"/>
          <w:rtl/>
        </w:rPr>
        <w:t>,</w:t>
      </w:r>
      <w:r>
        <w:rPr>
          <w:rFonts w:cs="Arial"/>
          <w:rtl/>
        </w:rPr>
        <w:t xml:space="preserve"> היינו משום דהוי כמו עירוי ואדמיקר ליה בלע פורתא הואיל ולא היה מעולם עדיין בכלי שני</w:t>
      </w:r>
      <w:r>
        <w:rPr>
          <w:rFonts w:cs="Arial" w:hint="cs"/>
          <w:rtl/>
        </w:rPr>
        <w:t>,</w:t>
      </w:r>
      <w:r>
        <w:rPr>
          <w:rFonts w:cs="Arial"/>
          <w:rtl/>
        </w:rPr>
        <w:t xml:space="preserve"> וזהו טעם דגים שעלו בקערה דאינן מותרים רק מטעם נ"ט בנ"ט</w:t>
      </w:r>
      <w:r>
        <w:rPr>
          <w:rFonts w:cs="Arial" w:hint="cs"/>
          <w:rtl/>
        </w:rPr>
        <w:t>,</w:t>
      </w:r>
      <w:r>
        <w:rPr>
          <w:rFonts w:cs="Arial"/>
          <w:rtl/>
        </w:rPr>
        <w:t xml:space="preserve"> וכן לקמן סימן ק"ז גבי דגים טמאים שנתערבו בקערה שהיו אוסרים אי לאו מטעם דבטלים ברוב</w:t>
      </w:r>
      <w:r>
        <w:rPr>
          <w:rFonts w:cs="Arial" w:hint="cs"/>
          <w:rtl/>
        </w:rPr>
        <w:t>,</w:t>
      </w:r>
      <w:r>
        <w:rPr>
          <w:rFonts w:cs="Arial"/>
          <w:rtl/>
        </w:rPr>
        <w:t xml:space="preserve"> אבל אם כבר מונח בכ"ש חם אע</w:t>
      </w:r>
      <w:r>
        <w:rPr>
          <w:rFonts w:cs="Arial" w:hint="cs"/>
          <w:rtl/>
        </w:rPr>
        <w:t>"</w:t>
      </w:r>
      <w:r>
        <w:rPr>
          <w:rFonts w:cs="Arial"/>
          <w:rtl/>
        </w:rPr>
        <w:t>פ שהיד סולדת בו אינו מבליע כמו שאר כ"ש</w:t>
      </w:r>
      <w:r>
        <w:rPr>
          <w:rFonts w:hint="cs"/>
          <w:rtl/>
        </w:rPr>
        <w:t>, דרכ"מ.</w:t>
      </w:r>
    </w:p>
  </w:footnote>
  <w:footnote w:id="2164">
    <w:p w14:paraId="3DD76A0B" w14:textId="77777777" w:rsidR="004C5A3C" w:rsidRDefault="004C5A3C" w:rsidP="002C39F4">
      <w:pPr>
        <w:pStyle w:val="a5"/>
        <w:rPr>
          <w:rtl/>
        </w:rPr>
      </w:pPr>
      <w:r>
        <w:rPr>
          <w:rStyle w:val="a7"/>
        </w:rPr>
        <w:footnoteRef/>
      </w:r>
      <w:r>
        <w:rPr>
          <w:rtl/>
        </w:rPr>
        <w:t xml:space="preserve"> </w:t>
      </w:r>
      <w:r>
        <w:rPr>
          <w:rFonts w:cs="Arial"/>
          <w:rtl/>
        </w:rPr>
        <w:t xml:space="preserve">וכ"מ מדברי הרשב"א </w:t>
      </w:r>
      <w:r w:rsidRPr="00094F89">
        <w:rPr>
          <w:rFonts w:cs="Arial"/>
          <w:sz w:val="16"/>
          <w:szCs w:val="16"/>
          <w:rtl/>
        </w:rPr>
        <w:t xml:space="preserve">(ב"ד ש"א א ע"ד) </w:t>
      </w:r>
      <w:r>
        <w:rPr>
          <w:rFonts w:cs="Arial"/>
          <w:rtl/>
        </w:rPr>
        <w:t>שמדמה ענין כ"ש לחום חלב הכסלים שהוא דבר עב גם שנראה לעינים שרוטב רותחת יותר שומרת חומו מדבר עב ודלא כמו שראיתי למהרש</w:t>
      </w:r>
      <w:r>
        <w:rPr>
          <w:rFonts w:cs="Arial" w:hint="cs"/>
          <w:rtl/>
        </w:rPr>
        <w:t>"</w:t>
      </w:r>
      <w:r>
        <w:rPr>
          <w:rFonts w:cs="Arial"/>
          <w:rtl/>
        </w:rPr>
        <w:t xml:space="preserve">ל </w:t>
      </w:r>
      <w:r w:rsidRPr="00094F89">
        <w:rPr>
          <w:rFonts w:cs="Arial"/>
          <w:sz w:val="16"/>
          <w:szCs w:val="16"/>
          <w:rtl/>
        </w:rPr>
        <w:t xml:space="preserve">(מכונות סי' נא אות ב, </w:t>
      </w:r>
      <w:r>
        <w:rPr>
          <w:rFonts w:cs="Arial" w:hint="cs"/>
          <w:sz w:val="16"/>
          <w:szCs w:val="16"/>
          <w:rtl/>
        </w:rPr>
        <w:t>ובחולין</w:t>
      </w:r>
      <w:r w:rsidRPr="00094F89">
        <w:rPr>
          <w:rFonts w:cs="Arial"/>
          <w:sz w:val="16"/>
          <w:szCs w:val="16"/>
          <w:rtl/>
        </w:rPr>
        <w:t xml:space="preserve"> סי' מד וסי' עא) </w:t>
      </w:r>
      <w:r>
        <w:rPr>
          <w:rFonts w:cs="Arial"/>
          <w:rtl/>
        </w:rPr>
        <w:t>שחילק בהכי ואין דבריו נראין</w:t>
      </w:r>
      <w:r>
        <w:rPr>
          <w:rFonts w:hint="cs"/>
          <w:rtl/>
        </w:rPr>
        <w:t>, דרכ"מ.</w:t>
      </w:r>
    </w:p>
  </w:footnote>
  <w:footnote w:id="2165">
    <w:p w14:paraId="0C0BF70D" w14:textId="77777777" w:rsidR="004C5A3C" w:rsidRPr="00085E47" w:rsidRDefault="004C5A3C" w:rsidP="002C39F4">
      <w:pPr>
        <w:pStyle w:val="a5"/>
        <w:rPr>
          <w:rFonts w:asciiTheme="minorBidi" w:hAnsiTheme="minorBidi"/>
          <w:rtl/>
        </w:rPr>
      </w:pPr>
      <w:r w:rsidRPr="00085E47">
        <w:rPr>
          <w:rStyle w:val="a7"/>
          <w:rFonts w:asciiTheme="minorBidi" w:hAnsiTheme="minorBidi"/>
        </w:rPr>
        <w:footnoteRef/>
      </w:r>
      <w:r w:rsidRPr="00085E47">
        <w:rPr>
          <w:rFonts w:asciiTheme="minorBidi" w:hAnsiTheme="minorBidi"/>
          <w:rtl/>
        </w:rPr>
        <w:t xml:space="preserve"> ודוקא כשנפל על הקתא אבל כשנפל על הברזל של סכין נועץ י' פעמים בקרקע ודיו </w:t>
      </w:r>
      <w:r w:rsidRPr="00085E47">
        <w:rPr>
          <w:rFonts w:asciiTheme="minorBidi" w:hAnsiTheme="minorBidi"/>
          <w:sz w:val="16"/>
          <w:szCs w:val="16"/>
          <w:rtl/>
        </w:rPr>
        <w:t>(תשב"ץ סי' שמט)</w:t>
      </w:r>
      <w:r w:rsidRPr="00085E47">
        <w:rPr>
          <w:rFonts w:asciiTheme="minorBidi" w:hAnsiTheme="minorBidi"/>
          <w:rtl/>
        </w:rPr>
        <w:t>, הגשע"ד</w:t>
      </w:r>
      <w:r w:rsidRPr="00085E47">
        <w:rPr>
          <w:rFonts w:asciiTheme="minorBidi" w:hAnsiTheme="minorBidi"/>
          <w:sz w:val="16"/>
          <w:szCs w:val="16"/>
          <w:rtl/>
        </w:rPr>
        <w:t xml:space="preserve"> (סי' נה אות ב, הביאו הט"ז [סק"ל])</w:t>
      </w:r>
      <w:r w:rsidRPr="00085E47">
        <w:rPr>
          <w:rFonts w:asciiTheme="minorBidi" w:hAnsiTheme="minorBidi"/>
          <w:rtl/>
        </w:rPr>
        <w:t>.</w:t>
      </w:r>
    </w:p>
  </w:footnote>
  <w:footnote w:id="2166">
    <w:p w14:paraId="4211530A" w14:textId="77777777" w:rsidR="004C5A3C" w:rsidRDefault="004C5A3C" w:rsidP="002C39F4">
      <w:pPr>
        <w:pStyle w:val="a5"/>
      </w:pPr>
      <w:r>
        <w:rPr>
          <w:rStyle w:val="a7"/>
        </w:rPr>
        <w:footnoteRef/>
      </w:r>
      <w:r>
        <w:rPr>
          <w:rtl/>
        </w:rPr>
        <w:t xml:space="preserve"> </w:t>
      </w:r>
      <w:r>
        <w:rPr>
          <w:rFonts w:hint="cs"/>
          <w:rtl/>
        </w:rPr>
        <w:t xml:space="preserve">תרוה"ד מדבר על ג' מצבים שנפל </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Pr>
          <w:rFonts w:hint="cs"/>
          <w:rtl/>
        </w:rPr>
        <w:t xml:space="preserve"> על כלי: (א) שנפלה טיפה מנר של </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Pr>
          <w:rFonts w:hint="cs"/>
          <w:rtl/>
        </w:rPr>
        <w:t xml:space="preserve"> מהותך </w:t>
      </w:r>
      <w:r>
        <w:rPr>
          <w:rtl/>
        </w:rPr>
        <w:t>–</w:t>
      </w:r>
      <w:r>
        <w:rPr>
          <w:rFonts w:hint="cs"/>
          <w:rtl/>
        </w:rPr>
        <w:t xml:space="preserve"> צריך הגעלה. (ב) שנפלה טיפה מנר </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Pr>
          <w:rFonts w:hint="cs"/>
          <w:rtl/>
        </w:rPr>
        <w:t xml:space="preserve"> קרוש </w:t>
      </w:r>
      <w:r>
        <w:rPr>
          <w:rtl/>
        </w:rPr>
        <w:t>–</w:t>
      </w:r>
      <w:r>
        <w:rPr>
          <w:rFonts w:hint="cs"/>
          <w:rtl/>
        </w:rPr>
        <w:t xml:space="preserve"> צריך גרירה. (ג) שנפלה טיפה מ</w:t>
      </w:r>
      <w:r w:rsidRPr="00B90061">
        <w:rPr>
          <w:rFonts w:cs="Arial"/>
          <w:rtl/>
        </w:rPr>
        <w:t>ח</w:t>
      </w:r>
      <w:r w:rsidRPr="00B90061">
        <w:rPr>
          <w:rFonts w:cs="Arial" w:hint="cs"/>
          <w:rtl/>
        </w:rPr>
        <w:t>ֵ</w:t>
      </w:r>
      <w:r w:rsidRPr="00B90061">
        <w:rPr>
          <w:rFonts w:cs="Arial"/>
          <w:rtl/>
        </w:rPr>
        <w:t>ל</w:t>
      </w:r>
      <w:r w:rsidRPr="00B90061">
        <w:rPr>
          <w:rFonts w:cs="Arial" w:hint="cs"/>
          <w:rtl/>
        </w:rPr>
        <w:t>ֶ</w:t>
      </w:r>
      <w:r w:rsidRPr="00B90061">
        <w:rPr>
          <w:rFonts w:cs="Arial"/>
          <w:rtl/>
        </w:rPr>
        <w:t>ב</w:t>
      </w:r>
      <w:r>
        <w:rPr>
          <w:rFonts w:hint="cs"/>
          <w:rtl/>
        </w:rPr>
        <w:t xml:space="preserve"> שנרתח בקדרה אצל האש </w:t>
      </w:r>
      <w:r>
        <w:rPr>
          <w:rtl/>
        </w:rPr>
        <w:t>–</w:t>
      </w:r>
      <w:r>
        <w:rPr>
          <w:rFonts w:hint="cs"/>
          <w:rtl/>
        </w:rPr>
        <w:t xml:space="preserve"> צריך גרירה.</w:t>
      </w:r>
    </w:p>
  </w:footnote>
  <w:footnote w:id="2167">
    <w:p w14:paraId="2DAB6BA5" w14:textId="77777777" w:rsidR="004C5A3C" w:rsidRDefault="004C5A3C" w:rsidP="002C39F4">
      <w:pPr>
        <w:pStyle w:val="a5"/>
        <w:rPr>
          <w:rtl/>
        </w:rPr>
      </w:pPr>
      <w:r>
        <w:rPr>
          <w:rStyle w:val="a7"/>
        </w:rPr>
        <w:footnoteRef/>
      </w:r>
      <w:r>
        <w:rPr>
          <w:rtl/>
        </w:rPr>
        <w:t xml:space="preserve"> </w:t>
      </w:r>
      <w:r>
        <w:rPr>
          <w:rFonts w:cs="Arial"/>
          <w:rtl/>
        </w:rPr>
        <w:t>ושיעור יד סולדת בו נתבאר בפרק כירה (שבת מ:) שהוא שכריסו של תינוק נכוה ממנו</w:t>
      </w:r>
      <w:r>
        <w:rPr>
          <w:rFonts w:hint="cs"/>
          <w:rtl/>
        </w:rPr>
        <w:t>, ב"י.</w:t>
      </w:r>
      <w:r w:rsidRPr="0018464C">
        <w:rPr>
          <w:rtl/>
        </w:rPr>
        <w:t xml:space="preserve"> </w:t>
      </w:r>
      <w:r>
        <w:rPr>
          <w:rFonts w:hint="cs"/>
          <w:rtl/>
        </w:rPr>
        <w:t>ו</w:t>
      </w:r>
      <w:r w:rsidRPr="0018464C">
        <w:rPr>
          <w:rFonts w:cs="Arial"/>
          <w:rtl/>
        </w:rPr>
        <w:t>עי</w:t>
      </w:r>
      <w:r>
        <w:rPr>
          <w:rFonts w:cs="Arial" w:hint="cs"/>
          <w:rtl/>
        </w:rPr>
        <w:t>'</w:t>
      </w:r>
      <w:r w:rsidRPr="0018464C">
        <w:rPr>
          <w:rFonts w:cs="Arial"/>
          <w:rtl/>
        </w:rPr>
        <w:t xml:space="preserve"> בספר בכור שור</w:t>
      </w:r>
      <w:r w:rsidRPr="0018464C">
        <w:rPr>
          <w:rFonts w:cs="Arial"/>
          <w:sz w:val="16"/>
          <w:szCs w:val="16"/>
          <w:rtl/>
        </w:rPr>
        <w:t xml:space="preserve"> </w:t>
      </w:r>
      <w:r w:rsidRPr="0018464C">
        <w:rPr>
          <w:rFonts w:cs="Arial" w:hint="cs"/>
          <w:sz w:val="16"/>
          <w:szCs w:val="16"/>
          <w:rtl/>
        </w:rPr>
        <w:t>(</w:t>
      </w:r>
      <w:r w:rsidRPr="0018464C">
        <w:rPr>
          <w:rFonts w:cs="Arial"/>
          <w:sz w:val="16"/>
          <w:szCs w:val="16"/>
          <w:rtl/>
        </w:rPr>
        <w:t>ח</w:t>
      </w:r>
      <w:r w:rsidRPr="0018464C">
        <w:rPr>
          <w:rFonts w:cs="Arial" w:hint="cs"/>
          <w:sz w:val="16"/>
          <w:szCs w:val="16"/>
          <w:rtl/>
        </w:rPr>
        <w:t>י</w:t>
      </w:r>
      <w:r w:rsidRPr="0018464C">
        <w:rPr>
          <w:rFonts w:cs="Arial"/>
          <w:sz w:val="16"/>
          <w:szCs w:val="16"/>
          <w:rtl/>
        </w:rPr>
        <w:t>דו</w:t>
      </w:r>
      <w:r w:rsidRPr="0018464C">
        <w:rPr>
          <w:rFonts w:cs="Arial" w:hint="cs"/>
          <w:sz w:val="16"/>
          <w:szCs w:val="16"/>
          <w:rtl/>
        </w:rPr>
        <w:t>'</w:t>
      </w:r>
      <w:r w:rsidRPr="0018464C">
        <w:rPr>
          <w:rFonts w:cs="Arial"/>
          <w:sz w:val="16"/>
          <w:szCs w:val="16"/>
          <w:rtl/>
        </w:rPr>
        <w:t xml:space="preserve"> חולין קג</w:t>
      </w:r>
      <w:r>
        <w:rPr>
          <w:rFonts w:cs="Arial" w:hint="cs"/>
          <w:sz w:val="16"/>
          <w:szCs w:val="16"/>
          <w:rtl/>
        </w:rPr>
        <w:t>, הביאו הפת"ש סק"ז</w:t>
      </w:r>
      <w:r w:rsidRPr="0018464C">
        <w:rPr>
          <w:rFonts w:cs="Arial" w:hint="cs"/>
          <w:sz w:val="16"/>
          <w:szCs w:val="16"/>
          <w:rtl/>
        </w:rPr>
        <w:t>)</w:t>
      </w:r>
      <w:r w:rsidRPr="0018464C">
        <w:rPr>
          <w:rFonts w:cs="Arial"/>
          <w:rtl/>
        </w:rPr>
        <w:t xml:space="preserve"> שכתב דכיון דאנן לא בקיאין בשיעור שכריסו של תינוק נכוה לכן עכ"פ במידי דאו</w:t>
      </w:r>
      <w:r>
        <w:rPr>
          <w:rFonts w:cs="Arial" w:hint="cs"/>
          <w:rtl/>
        </w:rPr>
        <w:t>'</w:t>
      </w:r>
      <w:r w:rsidRPr="0018464C">
        <w:rPr>
          <w:rFonts w:cs="Arial"/>
          <w:rtl/>
        </w:rPr>
        <w:t xml:space="preserve"> ראוי להחמיר בכלי ראשון עד שיצא הספק מלבו שאין בו חום הנזכר</w:t>
      </w:r>
      <w:r>
        <w:rPr>
          <w:rFonts w:cs="Arial" w:hint="cs"/>
          <w:rtl/>
        </w:rPr>
        <w:t>,</w:t>
      </w:r>
      <w:r w:rsidRPr="0018464C">
        <w:rPr>
          <w:rFonts w:cs="Arial"/>
          <w:rtl/>
        </w:rPr>
        <w:t xml:space="preserve"> ואפילו בדרבנן צריך חקירה ע"ז ודלא כמנהג העולם לשער בזמן שא"א להחזיק בו היד מחמת חום מקרי יס"ב לא זולת</w:t>
      </w:r>
      <w:r>
        <w:rPr>
          <w:rFonts w:cs="Arial" w:hint="cs"/>
          <w:rtl/>
        </w:rPr>
        <w:t>,</w:t>
      </w:r>
      <w:r w:rsidRPr="0018464C">
        <w:rPr>
          <w:rFonts w:cs="Arial"/>
          <w:rtl/>
        </w:rPr>
        <w:t xml:space="preserve"> דליתא</w:t>
      </w:r>
      <w:r>
        <w:rPr>
          <w:rFonts w:cs="Arial" w:hint="cs"/>
          <w:rtl/>
        </w:rPr>
        <w:t>.</w:t>
      </w:r>
    </w:p>
  </w:footnote>
  <w:footnote w:id="2168">
    <w:p w14:paraId="244D5795" w14:textId="77777777" w:rsidR="004C5A3C" w:rsidRDefault="004C5A3C" w:rsidP="002C39F4">
      <w:pPr>
        <w:pStyle w:val="a5"/>
        <w:rPr>
          <w:rtl/>
        </w:rPr>
      </w:pPr>
      <w:r>
        <w:rPr>
          <w:rStyle w:val="a7"/>
        </w:rPr>
        <w:footnoteRef/>
      </w:r>
      <w:r>
        <w:rPr>
          <w:rtl/>
        </w:rPr>
        <w:t xml:space="preserve"> </w:t>
      </w:r>
      <w:r w:rsidRPr="00961B12">
        <w:rPr>
          <w:rFonts w:asciiTheme="minorBidi" w:hAnsiTheme="minorBidi" w:cs="Arial"/>
          <w:rtl/>
        </w:rPr>
        <w:t xml:space="preserve">אפי' הוא דבר שדרכו להדיחו אח"כ </w:t>
      </w:r>
      <w:r w:rsidRPr="00961B12">
        <w:rPr>
          <w:rFonts w:asciiTheme="minorBidi" w:hAnsiTheme="minorBidi" w:cs="Arial" w:hint="cs"/>
          <w:sz w:val="16"/>
          <w:szCs w:val="16"/>
          <w:rtl/>
        </w:rPr>
        <w:t>(</w:t>
      </w:r>
      <w:r w:rsidRPr="00961B12">
        <w:rPr>
          <w:rFonts w:asciiTheme="minorBidi" w:hAnsiTheme="minorBidi" w:cs="Arial"/>
          <w:sz w:val="16"/>
          <w:szCs w:val="16"/>
          <w:rtl/>
        </w:rPr>
        <w:t>דאז מותר להניחו ע"ג איסור צונן</w:t>
      </w:r>
      <w:r>
        <w:rPr>
          <w:rFonts w:asciiTheme="minorBidi" w:hAnsiTheme="minorBidi" w:cs="Arial" w:hint="cs"/>
          <w:sz w:val="16"/>
          <w:szCs w:val="16"/>
          <w:rtl/>
        </w:rPr>
        <w:t>,</w:t>
      </w:r>
      <w:r w:rsidRPr="00961B12">
        <w:rPr>
          <w:rFonts w:asciiTheme="minorBidi" w:hAnsiTheme="minorBidi" w:cs="Arial"/>
          <w:sz w:val="16"/>
          <w:szCs w:val="16"/>
          <w:rtl/>
        </w:rPr>
        <w:t xml:space="preserve"> כדלעיל ר"ס צ"א</w:t>
      </w:r>
      <w:r>
        <w:rPr>
          <w:rFonts w:asciiTheme="minorBidi" w:hAnsiTheme="minorBidi" w:cs="Arial" w:hint="cs"/>
          <w:sz w:val="16"/>
          <w:szCs w:val="16"/>
          <w:rtl/>
        </w:rPr>
        <w:t>,</w:t>
      </w:r>
      <w:r w:rsidRPr="00961B12">
        <w:rPr>
          <w:rFonts w:asciiTheme="minorBidi" w:hAnsiTheme="minorBidi" w:cs="Arial"/>
          <w:sz w:val="16"/>
          <w:szCs w:val="16"/>
          <w:rtl/>
        </w:rPr>
        <w:t xml:space="preserve"> מ"מ הכא יש ליזהר לכתחלה בדבר זה</w:t>
      </w:r>
      <w:r>
        <w:rPr>
          <w:rFonts w:asciiTheme="minorBidi" w:hAnsiTheme="minorBidi" w:cs="Arial" w:hint="cs"/>
          <w:sz w:val="16"/>
          <w:szCs w:val="16"/>
          <w:rtl/>
        </w:rPr>
        <w:t>)</w:t>
      </w:r>
      <w:r>
        <w:rPr>
          <w:rFonts w:hint="cs"/>
          <w:rtl/>
        </w:rPr>
        <w:t>, ש"ך (סק"ה).</w:t>
      </w:r>
    </w:p>
  </w:footnote>
  <w:footnote w:id="2169">
    <w:p w14:paraId="4625C346" w14:textId="77777777" w:rsidR="004C5A3C" w:rsidRDefault="004C5A3C" w:rsidP="002C39F4">
      <w:pPr>
        <w:pStyle w:val="a5"/>
        <w:rPr>
          <w:rtl/>
        </w:rPr>
      </w:pPr>
      <w:r>
        <w:rPr>
          <w:rStyle w:val="a7"/>
        </w:rPr>
        <w:footnoteRef/>
      </w:r>
      <w:r>
        <w:rPr>
          <w:rtl/>
        </w:rPr>
        <w:t xml:space="preserve"> </w:t>
      </w:r>
      <w:r>
        <w:rPr>
          <w:rFonts w:asciiTheme="minorBidi" w:hAnsiTheme="minorBidi" w:cs="Arial" w:hint="cs"/>
          <w:rtl/>
        </w:rPr>
        <w:t>ו</w:t>
      </w:r>
      <w:r w:rsidRPr="00961B12">
        <w:rPr>
          <w:rFonts w:asciiTheme="minorBidi" w:hAnsiTheme="minorBidi" w:cs="Arial"/>
          <w:rtl/>
        </w:rPr>
        <w:t xml:space="preserve">רש"ל </w:t>
      </w:r>
      <w:r w:rsidRPr="000C1934">
        <w:rPr>
          <w:rFonts w:asciiTheme="minorBidi" w:hAnsiTheme="minorBidi" w:cs="Arial" w:hint="cs"/>
          <w:sz w:val="16"/>
          <w:szCs w:val="16"/>
          <w:rtl/>
        </w:rPr>
        <w:t>(חולין</w:t>
      </w:r>
      <w:r w:rsidRPr="000C1934">
        <w:rPr>
          <w:rFonts w:asciiTheme="minorBidi" w:hAnsiTheme="minorBidi" w:cs="Arial"/>
          <w:sz w:val="16"/>
          <w:szCs w:val="16"/>
          <w:rtl/>
        </w:rPr>
        <w:t xml:space="preserve"> סי' עא</w:t>
      </w:r>
      <w:r w:rsidRPr="000C1934">
        <w:rPr>
          <w:rFonts w:asciiTheme="minorBidi" w:hAnsiTheme="minorBidi" w:cs="Arial" w:hint="cs"/>
          <w:sz w:val="16"/>
          <w:szCs w:val="16"/>
          <w:rtl/>
        </w:rPr>
        <w:t>)</w:t>
      </w:r>
      <w:r>
        <w:rPr>
          <w:rFonts w:asciiTheme="minorBidi" w:hAnsiTheme="minorBidi" w:cs="Arial" w:hint="cs"/>
          <w:rtl/>
        </w:rPr>
        <w:t xml:space="preserve"> חלק וכ'-</w:t>
      </w:r>
      <w:r w:rsidRPr="00961B12">
        <w:rPr>
          <w:rFonts w:asciiTheme="minorBidi" w:hAnsiTheme="minorBidi" w:cs="Arial"/>
          <w:rtl/>
        </w:rPr>
        <w:t xml:space="preserve"> נהי דכלי שני אינו מבשל אפילו יד סולדת בו וגם אין מפליט ומבליע כאחד</w:t>
      </w:r>
      <w:r>
        <w:rPr>
          <w:rFonts w:asciiTheme="minorBidi" w:hAnsiTheme="minorBidi" w:cs="Arial" w:hint="cs"/>
          <w:rtl/>
        </w:rPr>
        <w:t xml:space="preserve"> </w:t>
      </w:r>
      <w:r w:rsidRPr="00961B12">
        <w:rPr>
          <w:rFonts w:asciiTheme="minorBidi" w:hAnsiTheme="minorBidi" w:cs="Arial"/>
          <w:rtl/>
        </w:rPr>
        <w:t>כגון דבר איסור שנאסר כבר ודבר היתר שבאו בכ</w:t>
      </w:r>
      <w:r>
        <w:rPr>
          <w:rFonts w:asciiTheme="minorBidi" w:hAnsiTheme="minorBidi" w:cs="Arial" w:hint="cs"/>
          <w:rtl/>
        </w:rPr>
        <w:t>לי שני</w:t>
      </w:r>
      <w:r w:rsidRPr="00961B12">
        <w:rPr>
          <w:rFonts w:asciiTheme="minorBidi" w:hAnsiTheme="minorBidi" w:cs="Arial"/>
          <w:rtl/>
        </w:rPr>
        <w:t xml:space="preserve"> אין נאסרין זה מזה אבל בדבר איסור שנפל לכ</w:t>
      </w:r>
      <w:r>
        <w:rPr>
          <w:rFonts w:asciiTheme="minorBidi" w:hAnsiTheme="minorBidi" w:cs="Arial" w:hint="cs"/>
          <w:rtl/>
        </w:rPr>
        <w:t xml:space="preserve">לי </w:t>
      </w:r>
      <w:r w:rsidRPr="00961B12">
        <w:rPr>
          <w:rFonts w:asciiTheme="minorBidi" w:hAnsiTheme="minorBidi" w:cs="Arial"/>
          <w:rtl/>
        </w:rPr>
        <w:t>ש</w:t>
      </w:r>
      <w:r>
        <w:rPr>
          <w:rFonts w:asciiTheme="minorBidi" w:hAnsiTheme="minorBidi" w:cs="Arial" w:hint="cs"/>
          <w:rtl/>
        </w:rPr>
        <w:t>ני</w:t>
      </w:r>
      <w:r w:rsidRPr="00961B12">
        <w:rPr>
          <w:rFonts w:asciiTheme="minorBidi" w:hAnsiTheme="minorBidi" w:cs="Arial"/>
          <w:rtl/>
        </w:rPr>
        <w:t xml:space="preserve"> של היתר או היתר לאיסור שפיר בולע ואוסר עד כולו מאחר שהיד סולדת בו כמו בכלי ראשון וכל שכן בעירוי</w:t>
      </w:r>
      <w:r>
        <w:rPr>
          <w:rFonts w:asciiTheme="minorBidi" w:hAnsiTheme="minorBidi" w:cs="Arial" w:hint="cs"/>
          <w:rtl/>
        </w:rPr>
        <w:t xml:space="preserve">, עכ"ל. וכ' הט"ז </w:t>
      </w:r>
      <w:r w:rsidRPr="00BF5886">
        <w:rPr>
          <w:rFonts w:asciiTheme="minorBidi" w:hAnsiTheme="minorBidi" w:cs="Arial" w:hint="cs"/>
          <w:sz w:val="16"/>
          <w:szCs w:val="16"/>
          <w:rtl/>
        </w:rPr>
        <w:t xml:space="preserve">(סק"ד) </w:t>
      </w:r>
      <w:r>
        <w:rPr>
          <w:rFonts w:asciiTheme="minorBidi" w:hAnsiTheme="minorBidi" w:cs="Arial" w:hint="cs"/>
          <w:rtl/>
        </w:rPr>
        <w:t>ד</w:t>
      </w:r>
      <w:r w:rsidRPr="00961B12">
        <w:rPr>
          <w:rFonts w:asciiTheme="minorBidi" w:hAnsiTheme="minorBidi" w:cs="Arial"/>
          <w:rtl/>
        </w:rPr>
        <w:t xml:space="preserve">לענין מעשה יש לפסוק לחומרא כדעת רש"ל </w:t>
      </w:r>
      <w:r w:rsidRPr="00BF5886">
        <w:rPr>
          <w:rFonts w:asciiTheme="minorBidi" w:hAnsiTheme="minorBidi" w:cs="Arial" w:hint="cs"/>
          <w:sz w:val="16"/>
          <w:szCs w:val="16"/>
          <w:rtl/>
        </w:rPr>
        <w:t>(וכ' שם ש</w:t>
      </w:r>
      <w:r w:rsidRPr="00BF5886">
        <w:rPr>
          <w:rFonts w:asciiTheme="minorBidi" w:hAnsiTheme="minorBidi" w:cs="Arial"/>
          <w:sz w:val="16"/>
          <w:szCs w:val="16"/>
          <w:rtl/>
        </w:rPr>
        <w:t xml:space="preserve">הטור ס"ל גם כן </w:t>
      </w:r>
      <w:r w:rsidRPr="00BF5886">
        <w:rPr>
          <w:rFonts w:asciiTheme="minorBidi" w:hAnsiTheme="minorBidi" w:cs="Arial" w:hint="cs"/>
          <w:sz w:val="16"/>
          <w:szCs w:val="16"/>
          <w:rtl/>
        </w:rPr>
        <w:t>כרש"ל)</w:t>
      </w:r>
      <w:r w:rsidRPr="00BF5886">
        <w:rPr>
          <w:rFonts w:asciiTheme="minorBidi" w:hAnsiTheme="minorBidi" w:cs="Arial"/>
          <w:sz w:val="16"/>
          <w:szCs w:val="16"/>
          <w:rtl/>
        </w:rPr>
        <w:t xml:space="preserve"> </w:t>
      </w:r>
      <w:r>
        <w:rPr>
          <w:rFonts w:asciiTheme="minorBidi" w:hAnsiTheme="minorBidi" w:cs="Arial" w:hint="cs"/>
          <w:rtl/>
        </w:rPr>
        <w:t>ו</w:t>
      </w:r>
      <w:r w:rsidRPr="00961B12">
        <w:rPr>
          <w:rFonts w:asciiTheme="minorBidi" w:hAnsiTheme="minorBidi" w:cs="Arial"/>
          <w:rtl/>
        </w:rPr>
        <w:t>רק במקום הפסד גדול ודבר חשוב יש לסמוך על ב"י בסי' ס"ח ורמ"א בסעיף ג' כאן להקל בדיעבד בכלי שני דאינו מפליט ומבליע כלל אפי' היד סולדת בו ואם אין היד סולדת בו אין צריך רק הדח</w:t>
      </w:r>
      <w:r>
        <w:rPr>
          <w:rFonts w:asciiTheme="minorBidi" w:hAnsiTheme="minorBidi" w:cs="Arial" w:hint="cs"/>
          <w:rtl/>
        </w:rPr>
        <w:t>ה.</w:t>
      </w:r>
      <w:r>
        <w:rPr>
          <w:rFonts w:hint="cs"/>
          <w:rtl/>
        </w:rPr>
        <w:t xml:space="preserve"> והש"ך </w:t>
      </w:r>
      <w:r w:rsidRPr="008A296D">
        <w:rPr>
          <w:rFonts w:hint="cs"/>
          <w:sz w:val="16"/>
          <w:szCs w:val="16"/>
          <w:rtl/>
        </w:rPr>
        <w:t xml:space="preserve">(סק"ה, ובנה"כ אות ב) </w:t>
      </w:r>
      <w:r>
        <w:rPr>
          <w:rFonts w:hint="cs"/>
          <w:rtl/>
        </w:rPr>
        <w:t>חלק עליהם והעלה כדברי הרשב"א דלעיל.</w:t>
      </w:r>
    </w:p>
  </w:footnote>
  <w:footnote w:id="2170">
    <w:p w14:paraId="31C12D98" w14:textId="77777777" w:rsidR="004C5A3C" w:rsidRDefault="004C5A3C" w:rsidP="002C39F4">
      <w:pPr>
        <w:pStyle w:val="a5"/>
        <w:rPr>
          <w:rtl/>
        </w:rPr>
      </w:pPr>
      <w:r>
        <w:rPr>
          <w:rStyle w:val="a7"/>
        </w:rPr>
        <w:footnoteRef/>
      </w:r>
      <w:r>
        <w:rPr>
          <w:rtl/>
        </w:rPr>
        <w:t xml:space="preserve"> </w:t>
      </w:r>
      <w:r>
        <w:rPr>
          <w:rFonts w:cs="Arial"/>
          <w:rtl/>
        </w:rPr>
        <w:t>קודם שיצטנן בלע כל דהו</w:t>
      </w:r>
      <w:r>
        <w:rPr>
          <w:rFonts w:cs="Arial" w:hint="cs"/>
          <w:rtl/>
        </w:rPr>
        <w:t>, רש"י. וכן פירש הרשב"א (תוה"א</w:t>
      </w:r>
      <w:r>
        <w:rPr>
          <w:rFonts w:cs="Arial"/>
          <w:rtl/>
        </w:rPr>
        <w:t xml:space="preserve"> ב"ד ש"א ג:)</w:t>
      </w:r>
      <w:r>
        <w:rPr>
          <w:rFonts w:cs="Arial" w:hint="cs"/>
          <w:rtl/>
        </w:rPr>
        <w:t xml:space="preserve"> והש"ך (סק"ז).</w:t>
      </w:r>
      <w:r>
        <w:rPr>
          <w:rFonts w:cs="Arial"/>
          <w:rtl/>
        </w:rPr>
        <w:t xml:space="preserve"> </w:t>
      </w:r>
      <w:r>
        <w:rPr>
          <w:rFonts w:cs="Arial" w:hint="cs"/>
          <w:rtl/>
        </w:rPr>
        <w:t xml:space="preserve">אבל </w:t>
      </w:r>
      <w:r w:rsidRPr="009B5D15">
        <w:rPr>
          <w:rFonts w:cs="Arial"/>
          <w:rtl/>
        </w:rPr>
        <w:t xml:space="preserve">באו"ה </w:t>
      </w:r>
      <w:r>
        <w:rPr>
          <w:rFonts w:cs="Arial" w:hint="cs"/>
          <w:rtl/>
        </w:rPr>
        <w:t>(</w:t>
      </w:r>
      <w:r>
        <w:rPr>
          <w:rFonts w:cs="Arial"/>
          <w:rtl/>
        </w:rPr>
        <w:t>כלל כ"ט ס"א</w:t>
      </w:r>
      <w:r>
        <w:rPr>
          <w:rFonts w:cs="Arial" w:hint="cs"/>
          <w:rtl/>
        </w:rPr>
        <w:t>)</w:t>
      </w:r>
      <w:r>
        <w:rPr>
          <w:rFonts w:cs="Arial"/>
          <w:rtl/>
        </w:rPr>
        <w:t xml:space="preserve"> </w:t>
      </w:r>
      <w:r>
        <w:rPr>
          <w:rFonts w:cs="Arial" w:hint="cs"/>
          <w:rtl/>
        </w:rPr>
        <w:t>פירש-</w:t>
      </w:r>
      <w:r w:rsidRPr="009B5D15">
        <w:rPr>
          <w:rFonts w:cs="Arial"/>
          <w:rtl/>
        </w:rPr>
        <w:t xml:space="preserve"> שמכביד עליו</w:t>
      </w:r>
      <w:r>
        <w:rPr>
          <w:rFonts w:cs="Arial" w:hint="cs"/>
          <w:rtl/>
        </w:rPr>
        <w:t>.</w:t>
      </w:r>
      <w:r w:rsidRPr="009B5D15">
        <w:rPr>
          <w:rFonts w:cs="Arial"/>
          <w:rtl/>
        </w:rPr>
        <w:t xml:space="preserve"> </w:t>
      </w:r>
      <w:r>
        <w:rPr>
          <w:rFonts w:cs="Arial" w:hint="cs"/>
          <w:rtl/>
        </w:rPr>
        <w:t>(</w:t>
      </w:r>
      <w:r>
        <w:rPr>
          <w:rFonts w:cs="Arial"/>
          <w:rtl/>
        </w:rPr>
        <w:t>ו</w:t>
      </w:r>
      <w:r>
        <w:rPr>
          <w:rFonts w:cs="Arial" w:hint="cs"/>
          <w:rtl/>
        </w:rPr>
        <w:t>הביא ה</w:t>
      </w:r>
      <w:r w:rsidRPr="009B5D15">
        <w:rPr>
          <w:rFonts w:cs="Arial"/>
          <w:rtl/>
        </w:rPr>
        <w:t>מרדכי פכ"ה</w:t>
      </w:r>
      <w:r>
        <w:rPr>
          <w:rFonts w:cs="Arial" w:hint="cs"/>
          <w:rtl/>
        </w:rPr>
        <w:t xml:space="preserve"> פירוש זה אבל הקשה עליו).</w:t>
      </w:r>
    </w:p>
  </w:footnote>
  <w:footnote w:id="2171">
    <w:p w14:paraId="5AFEFFE7" w14:textId="77777777" w:rsidR="004C5A3C" w:rsidRDefault="004C5A3C" w:rsidP="002C39F4">
      <w:pPr>
        <w:pStyle w:val="a5"/>
        <w:rPr>
          <w:rtl/>
        </w:rPr>
      </w:pPr>
      <w:r>
        <w:rPr>
          <w:rStyle w:val="a7"/>
        </w:rPr>
        <w:footnoteRef/>
      </w:r>
      <w:r>
        <w:rPr>
          <w:rtl/>
        </w:rPr>
        <w:t xml:space="preserve"> </w:t>
      </w:r>
      <w:r w:rsidRPr="00094F89">
        <w:rPr>
          <w:rFonts w:cs="Arial"/>
          <w:rtl/>
        </w:rPr>
        <w:t>וכ"כ הטור לעיל סימן צ"ד (עמ' תיח-תיט)</w:t>
      </w:r>
      <w:r>
        <w:rPr>
          <w:rFonts w:cs="Arial" w:hint="cs"/>
          <w:rtl/>
        </w:rPr>
        <w:t>,</w:t>
      </w:r>
      <w:r w:rsidRPr="00094F89">
        <w:rPr>
          <w:rFonts w:cs="Arial"/>
          <w:rtl/>
        </w:rPr>
        <w:t xml:space="preserve"> ופשוט הוא דכל זה מיירי בחתך בשר רותח שהיד סולדת בו</w:t>
      </w:r>
      <w:r>
        <w:rPr>
          <w:rFonts w:cs="Arial" w:hint="cs"/>
          <w:rtl/>
        </w:rPr>
        <w:t>,</w:t>
      </w:r>
      <w:r w:rsidRPr="00094F89">
        <w:rPr>
          <w:rFonts w:cs="Arial"/>
          <w:rtl/>
        </w:rPr>
        <w:t xml:space="preserve"> אבל בלא"ה אפילו הסכין ב</w:t>
      </w:r>
      <w:r>
        <w:rPr>
          <w:rFonts w:cs="Arial" w:hint="cs"/>
          <w:rtl/>
        </w:rPr>
        <w:t xml:space="preserve">ן </w:t>
      </w:r>
      <w:r w:rsidRPr="00094F89">
        <w:rPr>
          <w:rFonts w:cs="Arial"/>
          <w:rtl/>
        </w:rPr>
        <w:t>י</w:t>
      </w:r>
      <w:r>
        <w:rPr>
          <w:rFonts w:cs="Arial" w:hint="cs"/>
          <w:rtl/>
        </w:rPr>
        <w:t>ומו</w:t>
      </w:r>
      <w:r w:rsidRPr="00094F89">
        <w:rPr>
          <w:rFonts w:cs="Arial"/>
          <w:rtl/>
        </w:rPr>
        <w:t xml:space="preserve"> אינו אוסר רק כדי קליפה</w:t>
      </w:r>
      <w:r>
        <w:rPr>
          <w:rFonts w:cs="Arial" w:hint="cs"/>
          <w:rtl/>
        </w:rPr>
        <w:t>,</w:t>
      </w:r>
      <w:r w:rsidRPr="00094F89">
        <w:rPr>
          <w:rFonts w:cs="Arial"/>
          <w:rtl/>
        </w:rPr>
        <w:t xml:space="preserve"> והסכין נעיצה בעי בקרקע משום השומן הדבוק בו</w:t>
      </w:r>
      <w:r>
        <w:rPr>
          <w:rFonts w:cs="Arial" w:hint="cs"/>
          <w:rtl/>
        </w:rPr>
        <w:t>,</w:t>
      </w:r>
      <w:r w:rsidRPr="00094F89">
        <w:rPr>
          <w:rFonts w:cs="Arial"/>
          <w:rtl/>
        </w:rPr>
        <w:t xml:space="preserve"> וכן המנהג</w:t>
      </w:r>
      <w:r>
        <w:rPr>
          <w:rFonts w:hint="cs"/>
          <w:rtl/>
        </w:rPr>
        <w:t>, דרכ"מ.</w:t>
      </w:r>
    </w:p>
  </w:footnote>
  <w:footnote w:id="2172">
    <w:p w14:paraId="03AC190A" w14:textId="77777777" w:rsidR="004C5A3C" w:rsidRDefault="004C5A3C" w:rsidP="002C39F4">
      <w:pPr>
        <w:pStyle w:val="a5"/>
        <w:rPr>
          <w:rtl/>
        </w:rPr>
      </w:pPr>
      <w:r>
        <w:rPr>
          <w:rStyle w:val="a7"/>
        </w:rPr>
        <w:footnoteRef/>
      </w:r>
      <w:r>
        <w:rPr>
          <w:rtl/>
        </w:rPr>
        <w:t xml:space="preserve"> </w:t>
      </w:r>
      <w:r w:rsidRPr="00BF0648">
        <w:rPr>
          <w:rFonts w:asciiTheme="minorBidi" w:hAnsiTheme="minorBidi"/>
          <w:rtl/>
        </w:rPr>
        <w:t xml:space="preserve">מהרי"ל </w:t>
      </w:r>
      <w:r w:rsidRPr="00A3503C">
        <w:rPr>
          <w:rFonts w:asciiTheme="minorBidi" w:hAnsiTheme="minorBidi" w:hint="cs"/>
          <w:sz w:val="16"/>
          <w:szCs w:val="16"/>
          <w:rtl/>
        </w:rPr>
        <w:t>(סי' סח, ושו"ת החדשות סי' נג אות ב)</w:t>
      </w:r>
      <w:r>
        <w:rPr>
          <w:rFonts w:asciiTheme="minorBidi" w:hAnsiTheme="minorBidi" w:hint="cs"/>
          <w:rtl/>
        </w:rPr>
        <w:t xml:space="preserve"> </w:t>
      </w:r>
      <w:r w:rsidRPr="00BF0648">
        <w:rPr>
          <w:rFonts w:asciiTheme="minorBidi" w:hAnsiTheme="minorBidi"/>
          <w:rtl/>
        </w:rPr>
        <w:t>ו</w:t>
      </w:r>
      <w:r>
        <w:rPr>
          <w:rFonts w:asciiTheme="minorBidi" w:hAnsiTheme="minorBidi" w:hint="cs"/>
          <w:rtl/>
        </w:rPr>
        <w:t>תרוה"ד</w:t>
      </w:r>
      <w:r w:rsidRPr="00BF0648">
        <w:rPr>
          <w:rFonts w:asciiTheme="minorBidi" w:hAnsiTheme="minorBidi"/>
          <w:rtl/>
        </w:rPr>
        <w:t xml:space="preserve"> </w:t>
      </w:r>
      <w:r w:rsidRPr="00A3503C">
        <w:rPr>
          <w:rFonts w:asciiTheme="minorBidi" w:hAnsiTheme="minorBidi" w:hint="cs"/>
          <w:sz w:val="16"/>
          <w:szCs w:val="16"/>
          <w:rtl/>
        </w:rPr>
        <w:t xml:space="preserve">(ח"ב </w:t>
      </w:r>
      <w:r w:rsidRPr="00A3503C">
        <w:rPr>
          <w:rFonts w:asciiTheme="minorBidi" w:hAnsiTheme="minorBidi"/>
          <w:sz w:val="16"/>
          <w:szCs w:val="16"/>
          <w:rtl/>
        </w:rPr>
        <w:t>סי</w:t>
      </w:r>
      <w:r w:rsidRPr="00A3503C">
        <w:rPr>
          <w:rFonts w:asciiTheme="minorBidi" w:hAnsiTheme="minorBidi" w:hint="cs"/>
          <w:sz w:val="16"/>
          <w:szCs w:val="16"/>
          <w:rtl/>
        </w:rPr>
        <w:t>'</w:t>
      </w:r>
      <w:r w:rsidRPr="00A3503C">
        <w:rPr>
          <w:rFonts w:asciiTheme="minorBidi" w:hAnsiTheme="minorBidi"/>
          <w:sz w:val="16"/>
          <w:szCs w:val="16"/>
          <w:rtl/>
        </w:rPr>
        <w:t xml:space="preserve"> קג</w:t>
      </w:r>
      <w:r w:rsidRPr="00A3503C">
        <w:rPr>
          <w:rFonts w:asciiTheme="minorBidi" w:hAnsiTheme="minorBidi" w:hint="cs"/>
          <w:sz w:val="16"/>
          <w:szCs w:val="16"/>
          <w:rtl/>
        </w:rPr>
        <w:t>)</w:t>
      </w:r>
      <w:r>
        <w:rPr>
          <w:rFonts w:hint="cs"/>
          <w:rtl/>
        </w:rPr>
        <w:t>.</w:t>
      </w:r>
    </w:p>
  </w:footnote>
  <w:footnote w:id="2173">
    <w:p w14:paraId="7C49391F" w14:textId="77777777" w:rsidR="004C5A3C" w:rsidRDefault="004C5A3C" w:rsidP="002C39F4">
      <w:pPr>
        <w:pStyle w:val="a5"/>
      </w:pPr>
      <w:r>
        <w:rPr>
          <w:rStyle w:val="a7"/>
        </w:rPr>
        <w:footnoteRef/>
      </w:r>
      <w:r w:rsidRPr="0018464C">
        <w:rPr>
          <w:rFonts w:cs="Arial"/>
          <w:rtl/>
        </w:rPr>
        <w:t xml:space="preserve"> </w:t>
      </w:r>
      <w:r>
        <w:rPr>
          <w:rFonts w:cs="Arial" w:hint="cs"/>
          <w:rtl/>
        </w:rPr>
        <w:t>וכתב ה</w:t>
      </w:r>
      <w:r w:rsidRPr="0018464C">
        <w:rPr>
          <w:rFonts w:cs="Arial"/>
          <w:rtl/>
        </w:rPr>
        <w:t xml:space="preserve">חמודי דניאל </w:t>
      </w:r>
      <w:r>
        <w:rPr>
          <w:rFonts w:cs="Arial" w:hint="cs"/>
          <w:rtl/>
        </w:rPr>
        <w:t>(</w:t>
      </w:r>
      <w:r w:rsidRPr="0018464C">
        <w:rPr>
          <w:rFonts w:cs="Arial"/>
          <w:rtl/>
        </w:rPr>
        <w:t>סי' א</w:t>
      </w:r>
      <w:r>
        <w:rPr>
          <w:rFonts w:cs="Arial" w:hint="cs"/>
          <w:rtl/>
        </w:rPr>
        <w:t>, הביאו הפת"ש סק"ח)</w:t>
      </w:r>
      <w:r w:rsidRPr="0018464C">
        <w:rPr>
          <w:rFonts w:cs="Arial"/>
          <w:rtl/>
        </w:rPr>
        <w:t xml:space="preserve"> דאינו נאסר תיכף אם סילק מיד אלא א"כ שהה קצת </w:t>
      </w:r>
      <w:r>
        <w:rPr>
          <w:rFonts w:cs="Arial" w:hint="cs"/>
          <w:rtl/>
        </w:rPr>
        <w:t>(</w:t>
      </w:r>
      <w:r w:rsidRPr="0018464C">
        <w:rPr>
          <w:rFonts w:cs="Arial"/>
          <w:rtl/>
        </w:rPr>
        <w:t>כמ"ש בסי' צב ס"ב אם ניער וכיסה מיד מות</w:t>
      </w:r>
      <w:r>
        <w:rPr>
          <w:rFonts w:cs="Arial" w:hint="cs"/>
          <w:rtl/>
        </w:rPr>
        <w:t>ר,</w:t>
      </w:r>
      <w:r w:rsidRPr="0018464C">
        <w:rPr>
          <w:rFonts w:cs="Arial"/>
          <w:rtl/>
        </w:rPr>
        <w:t xml:space="preserve"> ומה לי ניער וכיסה או סילק האיסו</w:t>
      </w:r>
      <w:r>
        <w:rPr>
          <w:rFonts w:cs="Arial" w:hint="cs"/>
          <w:rtl/>
        </w:rPr>
        <w:t>ר. וכ"כ בשו"ת נפש חיה, אך חלקו עליהם רוב הפוסקים.</w:t>
      </w:r>
    </w:p>
  </w:footnote>
  <w:footnote w:id="2174">
    <w:p w14:paraId="202145B6" w14:textId="77777777" w:rsidR="004C5A3C" w:rsidRDefault="004C5A3C" w:rsidP="002C39F4">
      <w:pPr>
        <w:pStyle w:val="a5"/>
        <w:rPr>
          <w:rtl/>
        </w:rPr>
      </w:pPr>
      <w:r>
        <w:rPr>
          <w:rStyle w:val="a7"/>
        </w:rPr>
        <w:footnoteRef/>
      </w:r>
      <w:r>
        <w:rPr>
          <w:rtl/>
        </w:rPr>
        <w:t xml:space="preserve"> </w:t>
      </w:r>
      <w:r>
        <w:rPr>
          <w:rFonts w:hint="cs"/>
          <w:rtl/>
        </w:rPr>
        <w:t>דברי הטור.</w:t>
      </w:r>
    </w:p>
  </w:footnote>
  <w:footnote w:id="2175">
    <w:p w14:paraId="377C1CE0" w14:textId="77777777" w:rsidR="004C5A3C" w:rsidRDefault="004C5A3C" w:rsidP="002C39F4">
      <w:pPr>
        <w:pStyle w:val="a5"/>
      </w:pPr>
      <w:r>
        <w:rPr>
          <w:rStyle w:val="a7"/>
        </w:rPr>
        <w:footnoteRef/>
      </w:r>
      <w:r>
        <w:rPr>
          <w:rtl/>
        </w:rPr>
        <w:t xml:space="preserve"> </w:t>
      </w:r>
      <w:r w:rsidRPr="00C7790A">
        <w:rPr>
          <w:rFonts w:cs="Arial"/>
          <w:rtl/>
        </w:rPr>
        <w:t>ובשר וגבינה שנגעו זא"ז וא' מהם צונן שניהם צריכין קליפה</w:t>
      </w:r>
      <w:r>
        <w:rPr>
          <w:rFonts w:cs="Arial" w:hint="cs"/>
          <w:rtl/>
        </w:rPr>
        <w:t>,</w:t>
      </w:r>
      <w:r w:rsidRPr="00C7790A">
        <w:rPr>
          <w:rFonts w:cs="Arial"/>
          <w:rtl/>
        </w:rPr>
        <w:t xml:space="preserve"> וכן משמע באו"ה שם ופשוט</w:t>
      </w:r>
      <w:r>
        <w:rPr>
          <w:rFonts w:cs="Arial" w:hint="cs"/>
          <w:rtl/>
        </w:rPr>
        <w:t>, ש"ך (סק"ט).</w:t>
      </w:r>
    </w:p>
  </w:footnote>
  <w:footnote w:id="2176">
    <w:p w14:paraId="2F6C9B56" w14:textId="77777777" w:rsidR="004C5A3C" w:rsidRDefault="004C5A3C" w:rsidP="002C39F4">
      <w:pPr>
        <w:pStyle w:val="a5"/>
      </w:pPr>
      <w:r>
        <w:rPr>
          <w:rStyle w:val="a7"/>
        </w:rPr>
        <w:footnoteRef/>
      </w:r>
      <w:r>
        <w:rPr>
          <w:rtl/>
        </w:rPr>
        <w:t xml:space="preserve"> </w:t>
      </w:r>
      <w:r>
        <w:rPr>
          <w:rFonts w:hint="cs"/>
          <w:rtl/>
        </w:rPr>
        <w:t>כ' באו</w:t>
      </w:r>
      <w:r>
        <w:rPr>
          <w:rtl/>
        </w:rPr>
        <w:t>"</w:t>
      </w:r>
      <w:r>
        <w:rPr>
          <w:rFonts w:hint="cs"/>
          <w:rtl/>
        </w:rPr>
        <w:t>ה (כלל כט ד"ו) דהטעם הוא דתתאה גבר ומחברו בנצוק. והעתיק דבריו הט"ז (סק"ו). אך בהדיא כתבו מהרי"ל (שם) ותרוה"ד (שם) שאין הטעם משום נצוק. וכ' הש"ך (סקי"א) דהטעם הוא משום דההבל עולה מהנר למעלה, וכן מוכח מהראיה שהביא המרדכי (שם).</w:t>
      </w:r>
    </w:p>
  </w:footnote>
  <w:footnote w:id="2177">
    <w:p w14:paraId="74900389" w14:textId="77777777" w:rsidR="004C5A3C" w:rsidRDefault="004C5A3C" w:rsidP="002C39F4">
      <w:pPr>
        <w:pStyle w:val="a5"/>
        <w:rPr>
          <w:rtl/>
        </w:rPr>
      </w:pPr>
      <w:r>
        <w:rPr>
          <w:rStyle w:val="a7"/>
        </w:rPr>
        <w:footnoteRef/>
      </w:r>
      <w:r>
        <w:rPr>
          <w:rtl/>
        </w:rPr>
        <w:t xml:space="preserve"> </w:t>
      </w:r>
      <w:r>
        <w:rPr>
          <w:rFonts w:cs="Arial"/>
          <w:rtl/>
        </w:rPr>
        <w:t>משום דכשנתבשל הרוטב מוליך פליטת האיסור ומערבו בכל התבשיל וכל החתיכות שבקדרה אבל צלי כיון שאין שם רוטב אין הפליטה מתפשטת</w:t>
      </w:r>
      <w:r>
        <w:rPr>
          <w:rFonts w:cs="Arial" w:hint="cs"/>
          <w:rtl/>
        </w:rPr>
        <w:t>,</w:t>
      </w:r>
      <w:r>
        <w:rPr>
          <w:rFonts w:cs="Arial"/>
          <w:rtl/>
        </w:rPr>
        <w:t xml:space="preserve"> וא</w:t>
      </w:r>
      <w:r>
        <w:rPr>
          <w:rFonts w:cs="Arial" w:hint="cs"/>
          <w:rtl/>
        </w:rPr>
        <w:t>ע"ג</w:t>
      </w:r>
      <w:r>
        <w:rPr>
          <w:rFonts w:cs="Arial"/>
          <w:rtl/>
        </w:rPr>
        <w:t xml:space="preserve"> דקי"ל (צט:) דאין בגידין בנ"ט מ"מ שומן דידיה אסור</w:t>
      </w:r>
      <w:r>
        <w:rPr>
          <w:rFonts w:cs="Arial" w:hint="cs"/>
          <w:rtl/>
        </w:rPr>
        <w:t>, ב"י.</w:t>
      </w:r>
    </w:p>
  </w:footnote>
  <w:footnote w:id="2178">
    <w:p w14:paraId="53E4A20B" w14:textId="77777777" w:rsidR="004C5A3C" w:rsidRDefault="004C5A3C" w:rsidP="002C39F4">
      <w:pPr>
        <w:pStyle w:val="a5"/>
      </w:pPr>
      <w:r>
        <w:rPr>
          <w:rStyle w:val="a7"/>
        </w:rPr>
        <w:footnoteRef/>
      </w:r>
      <w:r>
        <w:rPr>
          <w:rtl/>
        </w:rPr>
        <w:t xml:space="preserve"> </w:t>
      </w:r>
      <w:r>
        <w:rPr>
          <w:rFonts w:cs="Arial"/>
          <w:rtl/>
        </w:rPr>
        <w:t>אע"פ שנפל חם ע"ג חם</w:t>
      </w:r>
      <w:r>
        <w:rPr>
          <w:rFonts w:cs="Arial" w:hint="cs"/>
          <w:rtl/>
        </w:rPr>
        <w:t xml:space="preserve">, </w:t>
      </w:r>
      <w:r>
        <w:rPr>
          <w:rFonts w:cs="Arial"/>
          <w:rtl/>
        </w:rPr>
        <w:t>שאינו מפעפע</w:t>
      </w:r>
      <w:r>
        <w:rPr>
          <w:rFonts w:hint="cs"/>
          <w:rtl/>
        </w:rPr>
        <w:t>, רשב"א (תוה"ק ב"ד ש"א טז:).</w:t>
      </w:r>
    </w:p>
  </w:footnote>
  <w:footnote w:id="2179">
    <w:p w14:paraId="052962D5" w14:textId="77777777" w:rsidR="004C5A3C" w:rsidRDefault="004C5A3C" w:rsidP="002C39F4">
      <w:pPr>
        <w:pStyle w:val="a5"/>
        <w:rPr>
          <w:rtl/>
        </w:rPr>
      </w:pPr>
      <w:r>
        <w:rPr>
          <w:rStyle w:val="a7"/>
        </w:rPr>
        <w:footnoteRef/>
      </w:r>
      <w:r>
        <w:rPr>
          <w:rtl/>
        </w:rPr>
        <w:t xml:space="preserve"> </w:t>
      </w:r>
      <w:r>
        <w:rPr>
          <w:rFonts w:cs="Arial"/>
          <w:rtl/>
        </w:rPr>
        <w:t>ומשמע לי שר"ל דבחלב דאו</w:t>
      </w:r>
      <w:r>
        <w:rPr>
          <w:rFonts w:cs="Arial" w:hint="cs"/>
          <w:rtl/>
        </w:rPr>
        <w:t>'</w:t>
      </w:r>
      <w:r>
        <w:rPr>
          <w:rFonts w:cs="Arial"/>
          <w:rtl/>
        </w:rPr>
        <w:t xml:space="preserve"> ראוי לחוש לדברי המחמירין</w:t>
      </w:r>
      <w:r>
        <w:rPr>
          <w:rFonts w:cs="Arial" w:hint="cs"/>
          <w:rtl/>
        </w:rPr>
        <w:t>,</w:t>
      </w:r>
      <w:r>
        <w:rPr>
          <w:rFonts w:cs="Arial"/>
          <w:rtl/>
        </w:rPr>
        <w:t xml:space="preserve"> אבל בשומן הגיד וקנוקנות שבו דאינו אלא דרבנן כיון ד</w:t>
      </w:r>
      <w:r>
        <w:rPr>
          <w:rFonts w:cs="Arial" w:hint="cs"/>
          <w:rtl/>
        </w:rPr>
        <w:t xml:space="preserve">נראה </w:t>
      </w:r>
      <w:r>
        <w:rPr>
          <w:rFonts w:cs="Arial"/>
          <w:rtl/>
        </w:rPr>
        <w:t>ל</w:t>
      </w:r>
      <w:r>
        <w:rPr>
          <w:rFonts w:cs="Arial" w:hint="cs"/>
          <w:rtl/>
        </w:rPr>
        <w:t>ו</w:t>
      </w:r>
      <w:r>
        <w:rPr>
          <w:rFonts w:cs="Arial"/>
          <w:rtl/>
        </w:rPr>
        <w:t xml:space="preserve"> עיקר דסגי בקליפה א"צ לחוש ולהחמיר</w:t>
      </w:r>
      <w:r>
        <w:rPr>
          <w:rFonts w:cs="Arial" w:hint="cs"/>
          <w:rtl/>
        </w:rPr>
        <w:t>, ב"י.</w:t>
      </w:r>
    </w:p>
  </w:footnote>
  <w:footnote w:id="2180">
    <w:p w14:paraId="1FC128E6" w14:textId="77777777" w:rsidR="004C5A3C" w:rsidRDefault="004C5A3C" w:rsidP="002C39F4">
      <w:pPr>
        <w:pStyle w:val="a5"/>
        <w:rPr>
          <w:rtl/>
        </w:rPr>
      </w:pPr>
      <w:r>
        <w:rPr>
          <w:rStyle w:val="a7"/>
        </w:rPr>
        <w:footnoteRef/>
      </w:r>
      <w:r>
        <w:rPr>
          <w:rtl/>
        </w:rPr>
        <w:t xml:space="preserve"> </w:t>
      </w:r>
      <w:r>
        <w:rPr>
          <w:rFonts w:hint="cs"/>
          <w:rtl/>
        </w:rPr>
        <w:t xml:space="preserve">כ' הב"י בשם הרמב"ם- </w:t>
      </w:r>
      <w:r w:rsidRPr="001872A0">
        <w:rPr>
          <w:rtl/>
        </w:rPr>
        <w:t xml:space="preserve">א"צ נטילת מקום ולא קליפה שאם הוא גדי שמן שאין בו </w:t>
      </w:r>
      <w:r>
        <w:rPr>
          <w:rFonts w:hint="cs"/>
          <w:rtl/>
        </w:rPr>
        <w:t>ס'</w:t>
      </w:r>
      <w:r w:rsidRPr="001872A0">
        <w:rPr>
          <w:rtl/>
        </w:rPr>
        <w:t xml:space="preserve"> כנגד החלב כולו אסור ואם יש בו </w:t>
      </w:r>
      <w:r>
        <w:rPr>
          <w:rFonts w:hint="cs"/>
          <w:rtl/>
        </w:rPr>
        <w:t>ס'</w:t>
      </w:r>
      <w:r w:rsidRPr="001872A0">
        <w:rPr>
          <w:rtl/>
        </w:rPr>
        <w:t xml:space="preserve"> כנגד החלב כולו מותר שנתבטל החלב בכולו הילכך אם נשאר שום חלב משליכו ואוכל הגדי</w:t>
      </w:r>
      <w:r w:rsidRPr="001872A0">
        <w:rPr>
          <w:rFonts w:hint="cs"/>
          <w:rtl/>
        </w:rPr>
        <w:t>,</w:t>
      </w:r>
      <w:r w:rsidRPr="001872A0">
        <w:rPr>
          <w:rtl/>
        </w:rPr>
        <w:t xml:space="preserve"> וה"מ בחלב הכליות והקרב וכיוצ</w:t>
      </w:r>
      <w:r>
        <w:rPr>
          <w:rFonts w:hint="cs"/>
          <w:rtl/>
        </w:rPr>
        <w:t>"</w:t>
      </w:r>
      <w:r w:rsidRPr="001872A0">
        <w:rPr>
          <w:rtl/>
        </w:rPr>
        <w:t>ב אבל</w:t>
      </w:r>
      <w:r>
        <w:rPr>
          <w:rFonts w:hint="cs"/>
          <w:rtl/>
        </w:rPr>
        <w:t>-...</w:t>
      </w:r>
    </w:p>
  </w:footnote>
  <w:footnote w:id="2181">
    <w:p w14:paraId="504AB6C7" w14:textId="77777777" w:rsidR="004C5A3C" w:rsidRDefault="004C5A3C" w:rsidP="002C39F4">
      <w:pPr>
        <w:pStyle w:val="a5"/>
        <w:rPr>
          <w:rtl/>
        </w:rPr>
      </w:pPr>
      <w:r>
        <w:rPr>
          <w:rStyle w:val="a7"/>
        </w:rPr>
        <w:footnoteRef/>
      </w:r>
      <w:r>
        <w:rPr>
          <w:rtl/>
        </w:rPr>
        <w:t xml:space="preserve"> </w:t>
      </w:r>
      <w:r>
        <w:rPr>
          <w:rFonts w:cs="Arial"/>
          <w:rtl/>
        </w:rPr>
        <w:t>וכ"כ הה</w:t>
      </w:r>
      <w:r>
        <w:rPr>
          <w:rFonts w:cs="Arial" w:hint="cs"/>
          <w:rtl/>
        </w:rPr>
        <w:t>"מ</w:t>
      </w:r>
      <w:r>
        <w:rPr>
          <w:rFonts w:cs="Arial"/>
          <w:rtl/>
        </w:rPr>
        <w:t xml:space="preserve"> בפ"ז מהמ"א (ה"כ) שזהו דעת הרמב"ם שלא להצריך קליפה לבהמה שנצלית עם חוטין וקרומות וגיד ושמנו</w:t>
      </w:r>
      <w:r>
        <w:rPr>
          <w:rFonts w:hint="cs"/>
          <w:rtl/>
        </w:rPr>
        <w:t>, ב"י.</w:t>
      </w:r>
    </w:p>
  </w:footnote>
  <w:footnote w:id="2182">
    <w:p w14:paraId="5D52C51C" w14:textId="77777777" w:rsidR="004C5A3C" w:rsidRDefault="004C5A3C" w:rsidP="002C39F4">
      <w:pPr>
        <w:pStyle w:val="a5"/>
        <w:rPr>
          <w:rtl/>
        </w:rPr>
      </w:pPr>
      <w:r>
        <w:rPr>
          <w:rStyle w:val="a7"/>
        </w:rPr>
        <w:footnoteRef/>
      </w:r>
      <w:r>
        <w:rPr>
          <w:rtl/>
        </w:rPr>
        <w:t xml:space="preserve"> </w:t>
      </w:r>
      <w:r w:rsidRPr="00B45994">
        <w:rPr>
          <w:rFonts w:cs="Arial"/>
          <w:rtl/>
        </w:rPr>
        <w:t>נגע הפסח בחרסו של תנור</w:t>
      </w:r>
      <w:r>
        <w:rPr>
          <w:rFonts w:cs="Arial" w:hint="cs"/>
          <w:rtl/>
        </w:rPr>
        <w:t>, רש"י</w:t>
      </w:r>
      <w:r w:rsidRPr="00B45994">
        <w:rPr>
          <w:rFonts w:cs="Arial"/>
          <w:rtl/>
        </w:rPr>
        <w:t>.</w:t>
      </w:r>
    </w:p>
  </w:footnote>
  <w:footnote w:id="2183">
    <w:p w14:paraId="4B60B4B0" w14:textId="77777777" w:rsidR="004C5A3C" w:rsidRDefault="004C5A3C" w:rsidP="002C39F4">
      <w:pPr>
        <w:pStyle w:val="a5"/>
      </w:pPr>
      <w:r>
        <w:rPr>
          <w:rStyle w:val="a7"/>
        </w:rPr>
        <w:footnoteRef/>
      </w:r>
      <w:r>
        <w:rPr>
          <w:rtl/>
        </w:rPr>
        <w:t xml:space="preserve"> </w:t>
      </w:r>
      <w:r w:rsidRPr="00B45994">
        <w:rPr>
          <w:rFonts w:cs="Arial"/>
          <w:rtl/>
        </w:rPr>
        <w:t>מן הפסח מקום שנגע בתנור, כדמפרש בגמרא שנתבשל שם מחום התנור, ולא צלי אש הוא כדאמרן לעיל משום שנאמר צלי אש צלי אש שני פעמים, למעוטי תנור שגרפו, וחרס הדפנות גרוף ועומד הוא</w:t>
      </w:r>
      <w:r>
        <w:rPr>
          <w:rFonts w:cs="Arial" w:hint="cs"/>
          <w:rtl/>
        </w:rPr>
        <w:t>, רש"י</w:t>
      </w:r>
      <w:r w:rsidRPr="00B45994">
        <w:rPr>
          <w:rFonts w:cs="Arial"/>
          <w:rtl/>
        </w:rPr>
        <w:t>.</w:t>
      </w:r>
    </w:p>
  </w:footnote>
  <w:footnote w:id="2184">
    <w:p w14:paraId="5800A4E5" w14:textId="77777777" w:rsidR="004C5A3C" w:rsidRPr="00B45994" w:rsidRDefault="004C5A3C" w:rsidP="002C39F4">
      <w:pPr>
        <w:pStyle w:val="a5"/>
        <w:rPr>
          <w:rFonts w:cs="Arial"/>
          <w:rtl/>
        </w:rPr>
      </w:pPr>
      <w:r>
        <w:rPr>
          <w:rStyle w:val="a7"/>
        </w:rPr>
        <w:footnoteRef/>
      </w:r>
      <w:r>
        <w:rPr>
          <w:rtl/>
        </w:rPr>
        <w:t xml:space="preserve"> </w:t>
      </w:r>
      <w:r w:rsidRPr="00B45994">
        <w:rPr>
          <w:rFonts w:cs="Arial"/>
          <w:rtl/>
        </w:rPr>
        <w:t>בתנור מרוטב על החרס</w:t>
      </w:r>
      <w:r>
        <w:rPr>
          <w:rFonts w:cs="Arial" w:hint="cs"/>
          <w:rtl/>
        </w:rPr>
        <w:t>, רש"י</w:t>
      </w:r>
      <w:r w:rsidRPr="00B45994">
        <w:rPr>
          <w:rFonts w:cs="Arial"/>
          <w:rtl/>
        </w:rPr>
        <w:t>.</w:t>
      </w:r>
    </w:p>
  </w:footnote>
  <w:footnote w:id="2185">
    <w:p w14:paraId="2BC2C0AE" w14:textId="77777777" w:rsidR="004C5A3C" w:rsidRDefault="004C5A3C" w:rsidP="002C39F4">
      <w:pPr>
        <w:pStyle w:val="a5"/>
        <w:rPr>
          <w:rtl/>
        </w:rPr>
      </w:pPr>
      <w:r>
        <w:rPr>
          <w:rStyle w:val="a7"/>
        </w:rPr>
        <w:footnoteRef/>
      </w:r>
      <w:r>
        <w:rPr>
          <w:rtl/>
        </w:rPr>
        <w:t xml:space="preserve"> </w:t>
      </w:r>
      <w:r w:rsidRPr="00B45994">
        <w:rPr>
          <w:rFonts w:cs="Arial"/>
          <w:rtl/>
        </w:rPr>
        <w:t>שחזר שומן שנתחמם מן החרס ונבלע בפסח</w:t>
      </w:r>
      <w:r>
        <w:rPr>
          <w:rFonts w:cs="Arial" w:hint="cs"/>
          <w:rtl/>
        </w:rPr>
        <w:t>, רש"י</w:t>
      </w:r>
      <w:r w:rsidRPr="00B45994">
        <w:rPr>
          <w:rFonts w:cs="Arial"/>
          <w:rtl/>
        </w:rPr>
        <w:t>.</w:t>
      </w:r>
    </w:p>
  </w:footnote>
  <w:footnote w:id="2186">
    <w:p w14:paraId="6966A4BB" w14:textId="77777777" w:rsidR="004C5A3C" w:rsidRDefault="004C5A3C" w:rsidP="002C39F4">
      <w:pPr>
        <w:pStyle w:val="a5"/>
        <w:rPr>
          <w:rtl/>
        </w:rPr>
      </w:pPr>
      <w:r>
        <w:rPr>
          <w:rStyle w:val="a7"/>
        </w:rPr>
        <w:footnoteRef/>
      </w:r>
      <w:r>
        <w:rPr>
          <w:rtl/>
        </w:rPr>
        <w:t xml:space="preserve"> </w:t>
      </w:r>
      <w:r w:rsidRPr="00B45994">
        <w:rPr>
          <w:rFonts w:cs="Arial"/>
          <w:rtl/>
        </w:rPr>
        <w:t>דלא סגי ליה בקליפה אלא בנטילה יפה יפה בעובי, דשומן נבלע בתוכו הרבה, ואותו שומן מבושל מן החרס (היה)</w:t>
      </w:r>
      <w:r>
        <w:rPr>
          <w:rFonts w:cs="Arial" w:hint="cs"/>
          <w:rtl/>
        </w:rPr>
        <w:t>, רש"י</w:t>
      </w:r>
      <w:r w:rsidRPr="00B45994">
        <w:rPr>
          <w:rFonts w:cs="Arial"/>
          <w:rtl/>
        </w:rPr>
        <w:t>.</w:t>
      </w:r>
    </w:p>
  </w:footnote>
  <w:footnote w:id="2187">
    <w:p w14:paraId="21CA8BC0" w14:textId="77777777" w:rsidR="004C5A3C" w:rsidRDefault="004C5A3C" w:rsidP="002C39F4">
      <w:pPr>
        <w:pStyle w:val="a5"/>
        <w:rPr>
          <w:rtl/>
        </w:rPr>
      </w:pPr>
      <w:r>
        <w:rPr>
          <w:rStyle w:val="a7"/>
        </w:rPr>
        <w:footnoteRef/>
      </w:r>
      <w:r>
        <w:rPr>
          <w:rtl/>
        </w:rPr>
        <w:t xml:space="preserve"> </w:t>
      </w:r>
      <w:r w:rsidRPr="00CF7781">
        <w:rPr>
          <w:rFonts w:cs="Arial"/>
          <w:rtl/>
        </w:rPr>
        <w:t>ו</w:t>
      </w:r>
      <w:r>
        <w:rPr>
          <w:rFonts w:cs="Arial" w:hint="cs"/>
          <w:rtl/>
        </w:rPr>
        <w:t xml:space="preserve">גם </w:t>
      </w:r>
      <w:r w:rsidRPr="00CF7781">
        <w:rPr>
          <w:rFonts w:cs="Arial"/>
          <w:rtl/>
        </w:rPr>
        <w:t xml:space="preserve">מהרא"י </w:t>
      </w:r>
      <w:r w:rsidRPr="00B45994">
        <w:rPr>
          <w:rFonts w:cs="Arial" w:hint="cs"/>
          <w:sz w:val="16"/>
          <w:szCs w:val="16"/>
          <w:rtl/>
        </w:rPr>
        <w:t>(</w:t>
      </w:r>
      <w:r w:rsidRPr="00B45994">
        <w:rPr>
          <w:rFonts w:cs="Arial"/>
          <w:sz w:val="16"/>
          <w:szCs w:val="16"/>
          <w:rtl/>
        </w:rPr>
        <w:t>בהג</w:t>
      </w:r>
      <w:r w:rsidRPr="00B45994">
        <w:rPr>
          <w:rFonts w:cs="Arial" w:hint="cs"/>
          <w:sz w:val="16"/>
          <w:szCs w:val="16"/>
          <w:rtl/>
        </w:rPr>
        <w:t xml:space="preserve">שע"ד </w:t>
      </w:r>
      <w:r w:rsidRPr="00B45994">
        <w:rPr>
          <w:rFonts w:cs="Arial"/>
          <w:sz w:val="16"/>
          <w:szCs w:val="16"/>
          <w:rtl/>
        </w:rPr>
        <w:t xml:space="preserve">סי' לז ד"ה בהג"ה בסמ"ק) </w:t>
      </w:r>
      <w:r>
        <w:rPr>
          <w:rFonts w:cs="Arial" w:hint="cs"/>
          <w:rtl/>
        </w:rPr>
        <w:t>כ'</w:t>
      </w:r>
      <w:r w:rsidRPr="00CF7781">
        <w:rPr>
          <w:rFonts w:cs="Arial"/>
          <w:rtl/>
        </w:rPr>
        <w:t xml:space="preserve"> דיש לאסור אף בגדי כחוש עד דאיכא ס' דאין אנו בקיאים איזה מקרי כחוש</w:t>
      </w:r>
      <w:r>
        <w:rPr>
          <w:rFonts w:cs="Arial" w:hint="cs"/>
          <w:rtl/>
        </w:rPr>
        <w:t xml:space="preserve">, </w:t>
      </w:r>
      <w:r w:rsidRPr="00CF7781">
        <w:rPr>
          <w:rFonts w:cs="Arial"/>
          <w:rtl/>
        </w:rPr>
        <w:t>וכ"פ ב</w:t>
      </w:r>
      <w:r>
        <w:rPr>
          <w:rFonts w:cs="Arial"/>
          <w:rtl/>
        </w:rPr>
        <w:t>או"ה</w:t>
      </w:r>
      <w:r w:rsidRPr="00CF7781">
        <w:rPr>
          <w:rFonts w:cs="Arial"/>
          <w:rtl/>
        </w:rPr>
        <w:t xml:space="preserve"> </w:t>
      </w:r>
      <w:r w:rsidRPr="00B45994">
        <w:rPr>
          <w:rFonts w:cs="Arial" w:hint="cs"/>
          <w:sz w:val="16"/>
          <w:szCs w:val="16"/>
          <w:rtl/>
        </w:rPr>
        <w:t>(</w:t>
      </w:r>
      <w:r w:rsidRPr="00B45994">
        <w:rPr>
          <w:rFonts w:cs="Arial"/>
          <w:sz w:val="16"/>
          <w:szCs w:val="16"/>
          <w:rtl/>
        </w:rPr>
        <w:t>כי</w:t>
      </w:r>
      <w:r>
        <w:rPr>
          <w:rFonts w:cs="Arial" w:hint="cs"/>
          <w:sz w:val="16"/>
          <w:szCs w:val="16"/>
          <w:rtl/>
        </w:rPr>
        <w:t>"</w:t>
      </w:r>
      <w:r w:rsidRPr="00B45994">
        <w:rPr>
          <w:rFonts w:cs="Arial"/>
          <w:sz w:val="16"/>
          <w:szCs w:val="16"/>
          <w:rtl/>
        </w:rPr>
        <w:t>ד ד</w:t>
      </w:r>
      <w:r w:rsidRPr="00B45994">
        <w:rPr>
          <w:rFonts w:cs="Arial" w:hint="cs"/>
          <w:sz w:val="16"/>
          <w:szCs w:val="16"/>
          <w:rtl/>
        </w:rPr>
        <w:t>"</w:t>
      </w:r>
      <w:r w:rsidRPr="00B45994">
        <w:rPr>
          <w:rFonts w:cs="Arial"/>
          <w:sz w:val="16"/>
          <w:szCs w:val="16"/>
          <w:rtl/>
        </w:rPr>
        <w:t>ב</w:t>
      </w:r>
      <w:r w:rsidRPr="00B45994">
        <w:rPr>
          <w:rFonts w:cs="Arial" w:hint="cs"/>
          <w:sz w:val="16"/>
          <w:szCs w:val="16"/>
          <w:rtl/>
        </w:rPr>
        <w:t>-</w:t>
      </w:r>
      <w:r w:rsidRPr="00B45994">
        <w:rPr>
          <w:rFonts w:cs="Arial"/>
          <w:sz w:val="16"/>
          <w:szCs w:val="16"/>
          <w:rtl/>
        </w:rPr>
        <w:t xml:space="preserve">ג) </w:t>
      </w:r>
      <w:r w:rsidRPr="00CF7781">
        <w:rPr>
          <w:rFonts w:cs="Arial"/>
          <w:rtl/>
        </w:rPr>
        <w:t>דהכל משערין בס' ואפ</w:t>
      </w:r>
      <w:r>
        <w:rPr>
          <w:rFonts w:cs="Arial" w:hint="cs"/>
          <w:rtl/>
        </w:rPr>
        <w:t>"</w:t>
      </w:r>
      <w:r w:rsidRPr="00CF7781">
        <w:rPr>
          <w:rFonts w:cs="Arial"/>
          <w:rtl/>
        </w:rPr>
        <w:t>ה קולפין דלמא אינו מפעפע ואין חילוק בין אם החלב דבוק או אינו דבוק</w:t>
      </w:r>
      <w:r>
        <w:rPr>
          <w:rFonts w:cs="Arial" w:hint="cs"/>
          <w:rtl/>
        </w:rPr>
        <w:t>,</w:t>
      </w:r>
      <w:r>
        <w:rPr>
          <w:rFonts w:hint="cs"/>
          <w:rtl/>
        </w:rPr>
        <w:t xml:space="preserve"> דרכ"מ </w:t>
      </w:r>
      <w:r w:rsidRPr="00B45994">
        <w:rPr>
          <w:rFonts w:hint="cs"/>
          <w:sz w:val="16"/>
          <w:szCs w:val="16"/>
          <w:rtl/>
        </w:rPr>
        <w:t>(אות ז)</w:t>
      </w:r>
      <w:r>
        <w:rPr>
          <w:rFonts w:hint="cs"/>
          <w:rtl/>
        </w:rPr>
        <w:t>.</w:t>
      </w:r>
    </w:p>
  </w:footnote>
  <w:footnote w:id="2188">
    <w:p w14:paraId="72601B37" w14:textId="77777777" w:rsidR="004C5A3C" w:rsidRDefault="004C5A3C" w:rsidP="002C39F4">
      <w:pPr>
        <w:pStyle w:val="a5"/>
        <w:rPr>
          <w:rtl/>
        </w:rPr>
      </w:pPr>
      <w:r>
        <w:rPr>
          <w:rStyle w:val="a7"/>
        </w:rPr>
        <w:footnoteRef/>
      </w:r>
      <w:r>
        <w:rPr>
          <w:rtl/>
        </w:rPr>
        <w:t xml:space="preserve"> </w:t>
      </w:r>
      <w:r>
        <w:rPr>
          <w:rFonts w:cs="Arial"/>
          <w:rtl/>
        </w:rPr>
        <w:t>ומ"מ לענין מעשה נ"ל כמ"ש רבינו</w:t>
      </w:r>
      <w:r>
        <w:rPr>
          <w:rFonts w:hint="cs"/>
          <w:rtl/>
        </w:rPr>
        <w:t>, ב"י.</w:t>
      </w:r>
    </w:p>
  </w:footnote>
  <w:footnote w:id="2189">
    <w:p w14:paraId="6C00FE58" w14:textId="77777777" w:rsidR="004C5A3C" w:rsidRDefault="004C5A3C" w:rsidP="002C39F4">
      <w:pPr>
        <w:pStyle w:val="a5"/>
        <w:rPr>
          <w:rtl/>
        </w:rPr>
      </w:pPr>
      <w:r>
        <w:rPr>
          <w:rStyle w:val="a7"/>
        </w:rPr>
        <w:footnoteRef/>
      </w:r>
      <w:r>
        <w:rPr>
          <w:rtl/>
        </w:rPr>
        <w:t xml:space="preserve"> </w:t>
      </w:r>
      <w:r>
        <w:rPr>
          <w:rFonts w:hint="cs"/>
          <w:rtl/>
        </w:rPr>
        <w:t xml:space="preserve">חולין פ"ח סי' ע. </w:t>
      </w:r>
      <w:r w:rsidRPr="00C31C7F">
        <w:rPr>
          <w:rFonts w:cs="Arial"/>
          <w:rtl/>
        </w:rPr>
        <w:t>ואפילו לדברי הטור שמחלק כאן כתב רש"ל שם שראוי לנו להחמיר מאחר שהוא מודה בשמינה שהיא מפעפעת בכולה ואין אנו בקיאים איזה שמינה דשמא היא שמינה בפנים</w:t>
      </w:r>
      <w:r>
        <w:rPr>
          <w:rFonts w:cs="Arial" w:hint="cs"/>
          <w:rtl/>
        </w:rPr>
        <w:t>,</w:t>
      </w:r>
      <w:r w:rsidRPr="00C31C7F">
        <w:rPr>
          <w:rFonts w:cs="Arial"/>
          <w:rtl/>
        </w:rPr>
        <w:t xml:space="preserve"> ולא כמו שהעתיק בת"ח להקל כדברי הטור</w:t>
      </w:r>
      <w:r>
        <w:rPr>
          <w:rFonts w:cs="Arial" w:hint="cs"/>
          <w:rtl/>
        </w:rPr>
        <w:t>,</w:t>
      </w:r>
      <w:r w:rsidRPr="00C31C7F">
        <w:rPr>
          <w:rFonts w:cs="Arial"/>
          <w:rtl/>
        </w:rPr>
        <w:t xml:space="preserve"> ע"כ</w:t>
      </w:r>
      <w:r>
        <w:rPr>
          <w:rFonts w:cs="Arial" w:hint="cs"/>
          <w:rtl/>
        </w:rPr>
        <w:t>.</w:t>
      </w:r>
      <w:r w:rsidRPr="00C31C7F">
        <w:rPr>
          <w:rFonts w:cs="Arial"/>
          <w:rtl/>
        </w:rPr>
        <w:t xml:space="preserve"> וכאן בהג"ה בסמוך</w:t>
      </w:r>
      <w:r>
        <w:rPr>
          <w:rFonts w:cs="Arial" w:hint="cs"/>
          <w:rtl/>
        </w:rPr>
        <w:t xml:space="preserve"> (סע' ה)</w:t>
      </w:r>
      <w:r w:rsidRPr="00C31C7F">
        <w:rPr>
          <w:rFonts w:cs="Arial"/>
          <w:rtl/>
        </w:rPr>
        <w:t xml:space="preserve"> פסק רמ"א עצמו להחמיר</w:t>
      </w:r>
      <w:r>
        <w:rPr>
          <w:rFonts w:cs="Arial" w:hint="cs"/>
          <w:rtl/>
        </w:rPr>
        <w:t>, ט"ז (סק"ז).</w:t>
      </w:r>
    </w:p>
  </w:footnote>
  <w:footnote w:id="2190">
    <w:p w14:paraId="7D2A6F6D" w14:textId="77777777" w:rsidR="004C5A3C" w:rsidRDefault="004C5A3C" w:rsidP="002C39F4">
      <w:pPr>
        <w:pStyle w:val="a5"/>
        <w:rPr>
          <w:rtl/>
        </w:rPr>
      </w:pPr>
      <w:r>
        <w:rPr>
          <w:rStyle w:val="a7"/>
        </w:rPr>
        <w:footnoteRef/>
      </w:r>
      <w:r>
        <w:rPr>
          <w:rtl/>
        </w:rPr>
        <w:t xml:space="preserve"> </w:t>
      </w:r>
      <w:r w:rsidRPr="008C32FD">
        <w:rPr>
          <w:rFonts w:cs="Arial"/>
          <w:rtl/>
        </w:rPr>
        <w:t>וכ"ה במרדכי (</w:t>
      </w:r>
      <w:r>
        <w:rPr>
          <w:rFonts w:cs="Arial" w:hint="cs"/>
          <w:rtl/>
        </w:rPr>
        <w:t xml:space="preserve">חולין </w:t>
      </w:r>
      <w:r w:rsidRPr="008C32FD">
        <w:rPr>
          <w:rFonts w:cs="Arial"/>
          <w:rtl/>
        </w:rPr>
        <w:t>סי' תרצה) שמה שחוץ לרוטב דינו כצלי</w:t>
      </w:r>
      <w:r>
        <w:rPr>
          <w:rFonts w:cs="Arial" w:hint="cs"/>
          <w:rtl/>
        </w:rPr>
        <w:t>,</w:t>
      </w:r>
      <w:r w:rsidRPr="008C32FD">
        <w:rPr>
          <w:rFonts w:cs="Arial"/>
          <w:rtl/>
        </w:rPr>
        <w:t xml:space="preserve"> וצ"ע דכאן פסק הטור דאינו אוסר רק כדי נטילה ולעיל סימן צ"ב (עמ' תה) משמע דכל החתיכה אסורה ואפשר דלעיל מיירי באיסור המפעפע כמו טיפת חלב שנפלה על החתיכה והוי כמו חלב שמן שמפרש בסמוך</w:t>
      </w:r>
      <w:r>
        <w:rPr>
          <w:rFonts w:cs="Arial" w:hint="cs"/>
          <w:rtl/>
        </w:rPr>
        <w:t>, דרכ"מ (אות ו).</w:t>
      </w:r>
    </w:p>
  </w:footnote>
  <w:footnote w:id="2191">
    <w:p w14:paraId="6001935E" w14:textId="77777777" w:rsidR="004C5A3C" w:rsidRDefault="004C5A3C" w:rsidP="002C39F4">
      <w:pPr>
        <w:pStyle w:val="a5"/>
      </w:pPr>
      <w:r>
        <w:rPr>
          <w:rStyle w:val="a7"/>
        </w:rPr>
        <w:footnoteRef/>
      </w:r>
      <w:r>
        <w:rPr>
          <w:rtl/>
        </w:rPr>
        <w:t xml:space="preserve"> </w:t>
      </w:r>
      <w:r w:rsidRPr="00950A8F">
        <w:rPr>
          <w:rFonts w:cs="Arial"/>
          <w:rtl/>
        </w:rPr>
        <w:t>והרב בת"ח סוף כלל ל"ז</w:t>
      </w:r>
      <w:r>
        <w:rPr>
          <w:rFonts w:cs="Arial" w:hint="cs"/>
          <w:rtl/>
        </w:rPr>
        <w:t xml:space="preserve"> (ד"ג)</w:t>
      </w:r>
      <w:r w:rsidRPr="00950A8F">
        <w:rPr>
          <w:rFonts w:cs="Arial"/>
          <w:rtl/>
        </w:rPr>
        <w:t xml:space="preserve"> כתב דירך שנצלה עם שמנו של גיד צריך קליפה</w:t>
      </w:r>
      <w:r>
        <w:rPr>
          <w:rFonts w:cs="Arial" w:hint="cs"/>
          <w:rtl/>
        </w:rPr>
        <w:t>,</w:t>
      </w:r>
      <w:r w:rsidRPr="00950A8F">
        <w:rPr>
          <w:rFonts w:cs="Arial"/>
          <w:rtl/>
        </w:rPr>
        <w:t xml:space="preserve"> וצ"ל דלאו דוקא נקט אלא אה"נ דבעי נטילה ומפני כך סתם כאן כדברי המחבר</w:t>
      </w:r>
      <w:r>
        <w:rPr>
          <w:rFonts w:cs="Arial" w:hint="cs"/>
          <w:rtl/>
        </w:rPr>
        <w:t>,</w:t>
      </w:r>
      <w:r w:rsidRPr="00950A8F">
        <w:rPr>
          <w:rFonts w:cs="Arial"/>
          <w:rtl/>
        </w:rPr>
        <w:t xml:space="preserve"> א"נ כאן ל</w:t>
      </w:r>
      <w:r>
        <w:rPr>
          <w:rFonts w:cs="Arial" w:hint="cs"/>
          <w:rtl/>
        </w:rPr>
        <w:t>א דק,</w:t>
      </w:r>
      <w:r w:rsidRPr="00950A8F">
        <w:rPr>
          <w:rFonts w:cs="Arial"/>
          <w:rtl/>
        </w:rPr>
        <w:t xml:space="preserve"> מיהו היינו לעיקר דינא אבל לפי המנהג דעת הרב דבמקום שאין הפסד קצת אף בכה"ג יש להצריך ששים אפילו במליחה</w:t>
      </w:r>
      <w:r>
        <w:rPr>
          <w:rFonts w:cs="Arial" w:hint="cs"/>
          <w:rtl/>
        </w:rPr>
        <w:t>,</w:t>
      </w:r>
      <w:r w:rsidRPr="00950A8F">
        <w:rPr>
          <w:rFonts w:cs="Arial"/>
          <w:rtl/>
        </w:rPr>
        <w:t xml:space="preserve"> וכמו שיתבאר בסקכ"</w:t>
      </w:r>
      <w:r>
        <w:rPr>
          <w:rFonts w:cs="Arial" w:hint="cs"/>
          <w:rtl/>
        </w:rPr>
        <w:t>ז,</w:t>
      </w:r>
      <w:r w:rsidRPr="00950A8F">
        <w:rPr>
          <w:rFonts w:cs="Arial"/>
          <w:rtl/>
        </w:rPr>
        <w:t xml:space="preserve"> וכ"ש בצלי</w:t>
      </w:r>
      <w:r>
        <w:rPr>
          <w:rFonts w:cs="Arial" w:hint="cs"/>
          <w:rtl/>
        </w:rPr>
        <w:t>, ש"ך (סקי"ב).</w:t>
      </w:r>
    </w:p>
  </w:footnote>
  <w:footnote w:id="2192">
    <w:p w14:paraId="377F7735" w14:textId="77777777" w:rsidR="004C5A3C" w:rsidRDefault="004C5A3C" w:rsidP="002C39F4">
      <w:pPr>
        <w:pStyle w:val="a5"/>
        <w:rPr>
          <w:rtl/>
        </w:rPr>
      </w:pPr>
      <w:r>
        <w:rPr>
          <w:rStyle w:val="a7"/>
        </w:rPr>
        <w:footnoteRef/>
      </w:r>
      <w:r>
        <w:rPr>
          <w:rtl/>
        </w:rPr>
        <w:t xml:space="preserve"> </w:t>
      </w:r>
      <w:r w:rsidRPr="00620623">
        <w:rPr>
          <w:rFonts w:cs="Arial"/>
          <w:rtl/>
        </w:rPr>
        <w:t>אפילו הראש למעלה וצד החלב והכליות למטה ועומד בשפוד בתנור אסור לאכול אפילו מראש אזנו דחלב מפעפע אפילו כלפי מעלה</w:t>
      </w:r>
      <w:r>
        <w:rPr>
          <w:rFonts w:cs="Arial" w:hint="cs"/>
          <w:rtl/>
        </w:rPr>
        <w:t>,</w:t>
      </w:r>
      <w:r w:rsidRPr="00E36F51">
        <w:rPr>
          <w:rFonts w:cs="Arial"/>
          <w:rtl/>
        </w:rPr>
        <w:t xml:space="preserve"> </w:t>
      </w:r>
      <w:r w:rsidRPr="00620623">
        <w:rPr>
          <w:rFonts w:cs="Arial"/>
          <w:rtl/>
        </w:rPr>
        <w:t>תוס</w:t>
      </w:r>
      <w:r>
        <w:rPr>
          <w:rFonts w:cs="Arial" w:hint="cs"/>
          <w:rtl/>
        </w:rPr>
        <w:t>'</w:t>
      </w:r>
      <w:r w:rsidRPr="00620623">
        <w:rPr>
          <w:rFonts w:cs="Arial"/>
          <w:rtl/>
        </w:rPr>
        <w:t xml:space="preserve"> (צו: ד"ה אפילו מריש)</w:t>
      </w:r>
      <w:r>
        <w:rPr>
          <w:rFonts w:hint="cs"/>
          <w:rtl/>
        </w:rPr>
        <w:t>.</w:t>
      </w:r>
    </w:p>
  </w:footnote>
  <w:footnote w:id="2193">
    <w:p w14:paraId="300D01F9" w14:textId="77777777" w:rsidR="004C5A3C" w:rsidRDefault="004C5A3C" w:rsidP="002C39F4">
      <w:pPr>
        <w:pStyle w:val="a5"/>
      </w:pPr>
      <w:r>
        <w:rPr>
          <w:rStyle w:val="a7"/>
        </w:rPr>
        <w:footnoteRef/>
      </w:r>
      <w:r>
        <w:rPr>
          <w:rtl/>
        </w:rPr>
        <w:t xml:space="preserve"> </w:t>
      </w:r>
      <w:r w:rsidRPr="00620623">
        <w:rPr>
          <w:rFonts w:cs="Arial"/>
          <w:rtl/>
        </w:rPr>
        <w:t>כתבו התוספות (</w:t>
      </w:r>
      <w:r>
        <w:rPr>
          <w:rFonts w:cs="Arial" w:hint="cs"/>
          <w:rtl/>
        </w:rPr>
        <w:t>צז.</w:t>
      </w:r>
      <w:r w:rsidRPr="00620623">
        <w:rPr>
          <w:rFonts w:cs="Arial"/>
          <w:rtl/>
        </w:rPr>
        <w:t xml:space="preserve"> ד"ה שאני) וא"ת במתניתין איכא שומן גיד דמפעפע ואפילו נצלה נמי ליתסר כוליה</w:t>
      </w:r>
      <w:r>
        <w:rPr>
          <w:rFonts w:cs="Arial" w:hint="cs"/>
          <w:rtl/>
        </w:rPr>
        <w:t>,</w:t>
      </w:r>
      <w:r w:rsidRPr="00620623">
        <w:rPr>
          <w:rFonts w:cs="Arial"/>
          <w:rtl/>
        </w:rPr>
        <w:t xml:space="preserve"> ונראה לר"ת דשמנו של גיד אינו מפעפע</w:t>
      </w:r>
      <w:r>
        <w:rPr>
          <w:rFonts w:cs="Arial" w:hint="cs"/>
          <w:rtl/>
        </w:rPr>
        <w:t>,</w:t>
      </w:r>
      <w:r w:rsidRPr="00620623">
        <w:rPr>
          <w:rFonts w:cs="Arial"/>
          <w:rtl/>
        </w:rPr>
        <w:t xml:space="preserve"> וכתב הרא"ש (שם) שכך צ"ל לדברי רש"י (צט: ד"ה והלכתא) והרי"ף (לד.) שכתבו דשומנו של גיד אוסר ודלא כריב"ם שתירץ דכיון דשומנו של גיד מדרבנן לא החמירו בו יותר מבגיד</w:t>
      </w:r>
      <w:r>
        <w:rPr>
          <w:rFonts w:cs="Arial" w:hint="cs"/>
          <w:rtl/>
        </w:rPr>
        <w:t>,</w:t>
      </w:r>
      <w:r w:rsidRPr="00620623">
        <w:rPr>
          <w:rFonts w:cs="Arial"/>
          <w:rtl/>
        </w:rPr>
        <w:t xml:space="preserve"> ורבינו כתב דין גדי שצלאו בחלבו סתם ולא ביאר אם דעתו כתירוץ ראשון או כתירוץ שני</w:t>
      </w:r>
      <w:r>
        <w:rPr>
          <w:rFonts w:cs="Arial" w:hint="cs"/>
          <w:rtl/>
        </w:rPr>
        <w:t>, ב"י.</w:t>
      </w:r>
    </w:p>
  </w:footnote>
  <w:footnote w:id="2194">
    <w:p w14:paraId="7E117F80" w14:textId="77777777" w:rsidR="004C5A3C" w:rsidRDefault="004C5A3C" w:rsidP="002C39F4">
      <w:pPr>
        <w:pStyle w:val="a5"/>
        <w:rPr>
          <w:rtl/>
        </w:rPr>
      </w:pPr>
      <w:r>
        <w:rPr>
          <w:rStyle w:val="a7"/>
        </w:rPr>
        <w:footnoteRef/>
      </w:r>
      <w:r>
        <w:rPr>
          <w:rtl/>
        </w:rPr>
        <w:t xml:space="preserve"> </w:t>
      </w:r>
      <w:r w:rsidRPr="00620623">
        <w:rPr>
          <w:rFonts w:cs="Arial"/>
          <w:rtl/>
        </w:rPr>
        <w:t>ולכך שרי דחלב כחוש אינו מפעפע</w:t>
      </w:r>
      <w:r>
        <w:rPr>
          <w:rFonts w:cs="Arial" w:hint="cs"/>
          <w:rtl/>
        </w:rPr>
        <w:t>,</w:t>
      </w:r>
      <w:r w:rsidRPr="00620623">
        <w:rPr>
          <w:rFonts w:cs="Arial"/>
          <w:rtl/>
        </w:rPr>
        <w:t xml:space="preserve"> ועי"ל כחוש הוה ויש בו מעט חלב ובטל בששים</w:t>
      </w:r>
      <w:r>
        <w:rPr>
          <w:rFonts w:cs="Arial" w:hint="cs"/>
          <w:rtl/>
        </w:rPr>
        <w:t>,</w:t>
      </w:r>
      <w:r w:rsidRPr="0030209F">
        <w:rPr>
          <w:rFonts w:cs="Arial"/>
          <w:rtl/>
        </w:rPr>
        <w:t xml:space="preserve"> </w:t>
      </w:r>
      <w:r w:rsidRPr="00620623">
        <w:rPr>
          <w:rFonts w:cs="Arial"/>
          <w:rtl/>
        </w:rPr>
        <w:t>תוס</w:t>
      </w:r>
      <w:r>
        <w:rPr>
          <w:rFonts w:cs="Arial" w:hint="cs"/>
          <w:rtl/>
        </w:rPr>
        <w:t>'</w:t>
      </w:r>
      <w:r w:rsidRPr="00620623">
        <w:rPr>
          <w:rFonts w:cs="Arial"/>
          <w:rtl/>
        </w:rPr>
        <w:t xml:space="preserve"> </w:t>
      </w:r>
      <w:r w:rsidRPr="0030209F">
        <w:rPr>
          <w:rFonts w:cs="Arial"/>
          <w:sz w:val="16"/>
          <w:szCs w:val="16"/>
          <w:rtl/>
        </w:rPr>
        <w:t xml:space="preserve">(צז. ד"ה ההוא כחוש) </w:t>
      </w:r>
      <w:r w:rsidRPr="00620623">
        <w:rPr>
          <w:rFonts w:cs="Arial"/>
          <w:rtl/>
        </w:rPr>
        <w:t>ורא"ש</w:t>
      </w:r>
      <w:r w:rsidRPr="0030209F">
        <w:rPr>
          <w:rFonts w:cs="Arial"/>
          <w:sz w:val="16"/>
          <w:szCs w:val="16"/>
          <w:rtl/>
        </w:rPr>
        <w:t xml:space="preserve"> (פ"ז סי' כד)</w:t>
      </w:r>
      <w:r>
        <w:rPr>
          <w:rFonts w:cs="Arial" w:hint="cs"/>
          <w:rtl/>
        </w:rPr>
        <w:t>.</w:t>
      </w:r>
      <w:r w:rsidRPr="00FA5829">
        <w:rPr>
          <w:rFonts w:cs="Arial"/>
          <w:rtl/>
        </w:rPr>
        <w:t xml:space="preserve"> </w:t>
      </w:r>
      <w:r w:rsidRPr="00620623">
        <w:rPr>
          <w:rFonts w:cs="Arial"/>
          <w:rtl/>
        </w:rPr>
        <w:t>ו</w:t>
      </w:r>
      <w:r>
        <w:rPr>
          <w:rFonts w:cs="Arial" w:hint="cs"/>
          <w:rtl/>
        </w:rPr>
        <w:t xml:space="preserve">כ' </w:t>
      </w:r>
      <w:r w:rsidRPr="00620623">
        <w:rPr>
          <w:rFonts w:cs="Arial"/>
          <w:rtl/>
        </w:rPr>
        <w:t xml:space="preserve">הרשב"א </w:t>
      </w:r>
      <w:r w:rsidRPr="00FA5829">
        <w:rPr>
          <w:rFonts w:cs="Arial" w:hint="cs"/>
          <w:sz w:val="16"/>
          <w:szCs w:val="16"/>
          <w:rtl/>
        </w:rPr>
        <w:t>(</w:t>
      </w:r>
      <w:r w:rsidRPr="00FA5829">
        <w:rPr>
          <w:rFonts w:cs="Arial"/>
          <w:sz w:val="16"/>
          <w:szCs w:val="16"/>
          <w:rtl/>
        </w:rPr>
        <w:t>תוה</w:t>
      </w:r>
      <w:r w:rsidRPr="00FA5829">
        <w:rPr>
          <w:rFonts w:cs="Arial" w:hint="cs"/>
          <w:sz w:val="16"/>
          <w:szCs w:val="16"/>
          <w:rtl/>
        </w:rPr>
        <w:t>"א</w:t>
      </w:r>
      <w:r w:rsidRPr="00FA5829">
        <w:rPr>
          <w:rFonts w:cs="Arial"/>
          <w:sz w:val="16"/>
          <w:szCs w:val="16"/>
          <w:rtl/>
        </w:rPr>
        <w:t xml:space="preserve"> ב"ד ש"א ד:) </w:t>
      </w:r>
      <w:r w:rsidRPr="00620623">
        <w:rPr>
          <w:rFonts w:cs="Arial"/>
          <w:rtl/>
        </w:rPr>
        <w:t>נ"ל פירושו של ר"ת שפירש כחוש הוה וטבעו של חלב שהוא כחוש אינו מפעפע ולפיכך אפילו לא היה בבשר הגדי ששים לבטל את החלב אינו אוסר את כולו ובקליפה סגי או בנטילת מקום דה"ל כשמנו של גיד שמחמת כחישותו אינו מפעפע ובצלי אין אוסרין</w:t>
      </w:r>
      <w:r>
        <w:rPr>
          <w:rFonts w:cs="Arial" w:hint="cs"/>
          <w:rtl/>
        </w:rPr>
        <w:t>,</w:t>
      </w:r>
      <w:r w:rsidRPr="00620623">
        <w:rPr>
          <w:rFonts w:cs="Arial"/>
          <w:rtl/>
        </w:rPr>
        <w:t xml:space="preserve"> וכן דעת הרמב"ן ז"ל </w:t>
      </w:r>
      <w:r w:rsidRPr="00FA5829">
        <w:rPr>
          <w:rFonts w:cs="Arial"/>
          <w:sz w:val="16"/>
          <w:szCs w:val="16"/>
          <w:rtl/>
        </w:rPr>
        <w:t>(חולין צז. ד"ה ההוא)</w:t>
      </w:r>
      <w:r>
        <w:rPr>
          <w:rFonts w:cs="Arial" w:hint="cs"/>
          <w:rtl/>
        </w:rPr>
        <w:t>,</w:t>
      </w:r>
      <w:r w:rsidRPr="00620623">
        <w:rPr>
          <w:rFonts w:cs="Arial"/>
          <w:rtl/>
        </w:rPr>
        <w:t xml:space="preserve"> וכן כל הקרומות האסורין משום תרבא אם נמלחו או נצלו עם הבשר קולף ואוכל עד שמגיע להם</w:t>
      </w:r>
      <w:r>
        <w:rPr>
          <w:rFonts w:cs="Arial" w:hint="cs"/>
          <w:rtl/>
        </w:rPr>
        <w:t>,</w:t>
      </w:r>
      <w:r w:rsidRPr="00620623">
        <w:rPr>
          <w:rFonts w:cs="Arial"/>
          <w:rtl/>
        </w:rPr>
        <w:t xml:space="preserve"> וכן דעת הרמב"ם והרמב"ן ז"ל</w:t>
      </w:r>
      <w:r>
        <w:rPr>
          <w:rFonts w:cs="Arial" w:hint="cs"/>
          <w:rtl/>
        </w:rPr>
        <w:t>,</w:t>
      </w:r>
      <w:r w:rsidRPr="00620623">
        <w:rPr>
          <w:rFonts w:cs="Arial"/>
          <w:rtl/>
        </w:rPr>
        <w:t xml:space="preserve"> ויש לי ללמוד עליהם מדאמרינן כוליא בחלבא הוה</w:t>
      </w:r>
      <w:r>
        <w:rPr>
          <w:rFonts w:cs="Arial" w:hint="cs"/>
          <w:rtl/>
        </w:rPr>
        <w:t>,</w:t>
      </w:r>
      <w:r w:rsidRPr="00620623">
        <w:rPr>
          <w:rFonts w:cs="Arial"/>
          <w:rtl/>
        </w:rPr>
        <w:t xml:space="preserve"> אלמא חוטים שבכוליא וקרום שעליה המפסיק בינה ובין החלב שעליה אינה אוסרת אותה</w:t>
      </w:r>
      <w:r>
        <w:rPr>
          <w:rFonts w:cs="Arial" w:hint="cs"/>
          <w:rtl/>
        </w:rPr>
        <w:t>,</w:t>
      </w:r>
      <w:r w:rsidRPr="00620623">
        <w:rPr>
          <w:rFonts w:cs="Arial"/>
          <w:rtl/>
        </w:rPr>
        <w:t xml:space="preserve"> ולא עוד אלא אפילו היה ע"ג הקרום חלב גמור הקרום חוצץ ומציל את הכוליא מלבלוע את החלב שעליו עכ"ל.</w:t>
      </w:r>
      <w:r>
        <w:rPr>
          <w:rFonts w:cs="Arial" w:hint="cs"/>
          <w:rtl/>
        </w:rPr>
        <w:t xml:space="preserve"> </w:t>
      </w:r>
      <w:r w:rsidRPr="00620623">
        <w:rPr>
          <w:rFonts w:cs="Arial"/>
          <w:rtl/>
        </w:rPr>
        <w:t xml:space="preserve">ומ"ש בענין הקרומות כ"כ המרדכי בפג"ה </w:t>
      </w:r>
      <w:r w:rsidRPr="00FA5829">
        <w:rPr>
          <w:rFonts w:cs="Arial"/>
          <w:sz w:val="16"/>
          <w:szCs w:val="16"/>
          <w:rtl/>
        </w:rPr>
        <w:t xml:space="preserve">(סי' תרפד) </w:t>
      </w:r>
      <w:r w:rsidRPr="00620623">
        <w:rPr>
          <w:rFonts w:cs="Arial"/>
          <w:rtl/>
        </w:rPr>
        <w:t>דתורת גדי כחוש יש להם וסגי בקליפה</w:t>
      </w:r>
      <w:r>
        <w:rPr>
          <w:rFonts w:cs="Arial" w:hint="cs"/>
          <w:rtl/>
        </w:rPr>
        <w:t>,</w:t>
      </w:r>
      <w:r w:rsidRPr="00620623">
        <w:rPr>
          <w:rFonts w:cs="Arial"/>
          <w:rtl/>
        </w:rPr>
        <w:t xml:space="preserve"> ודברי הר"ן </w:t>
      </w:r>
      <w:r w:rsidRPr="00FA5829">
        <w:rPr>
          <w:rFonts w:cs="Arial"/>
          <w:sz w:val="16"/>
          <w:szCs w:val="16"/>
          <w:rtl/>
        </w:rPr>
        <w:t xml:space="preserve">(לד: ד"ה גדי שצלאו) </w:t>
      </w:r>
      <w:r w:rsidRPr="00620623">
        <w:rPr>
          <w:rFonts w:cs="Arial"/>
          <w:rtl/>
        </w:rPr>
        <w:t>נראה שהם כדברי הרשב"א</w:t>
      </w:r>
      <w:r>
        <w:rPr>
          <w:rFonts w:cs="Arial" w:hint="cs"/>
          <w:rtl/>
        </w:rPr>
        <w:t>, ב"י.</w:t>
      </w:r>
      <w:r w:rsidRPr="008C32FD">
        <w:rPr>
          <w:rFonts w:cs="Arial"/>
          <w:color w:val="E36C0A" w:themeColor="accent6" w:themeShade="BF"/>
          <w:rtl/>
        </w:rPr>
        <w:t xml:space="preserve"> </w:t>
      </w:r>
      <w:r w:rsidRPr="008C32FD">
        <w:rPr>
          <w:rFonts w:hint="cs"/>
          <w:color w:val="E36C0A" w:themeColor="accent6" w:themeShade="BF"/>
          <w:rtl/>
        </w:rPr>
        <w:t>(וכ"פ בשו"ע)</w:t>
      </w:r>
    </w:p>
  </w:footnote>
  <w:footnote w:id="2195">
    <w:p w14:paraId="00554DBC" w14:textId="77777777" w:rsidR="004C5A3C" w:rsidRDefault="004C5A3C" w:rsidP="002C39F4">
      <w:pPr>
        <w:pStyle w:val="a5"/>
        <w:rPr>
          <w:rtl/>
        </w:rPr>
      </w:pPr>
      <w:r>
        <w:rPr>
          <w:rStyle w:val="a7"/>
        </w:rPr>
        <w:footnoteRef/>
      </w:r>
      <w:r>
        <w:rPr>
          <w:rtl/>
        </w:rPr>
        <w:t xml:space="preserve"> </w:t>
      </w:r>
      <w:r w:rsidRPr="00E36F51">
        <w:rPr>
          <w:rFonts w:cs="Arial"/>
          <w:rtl/>
        </w:rPr>
        <w:t>משום דמפסיק קרמא</w:t>
      </w:r>
      <w:r>
        <w:rPr>
          <w:rFonts w:cs="Arial" w:hint="cs"/>
          <w:rtl/>
        </w:rPr>
        <w:t>, רש"י</w:t>
      </w:r>
      <w:r w:rsidRPr="00E36F51">
        <w:rPr>
          <w:rFonts w:cs="Arial"/>
          <w:rtl/>
        </w:rPr>
        <w:t>.</w:t>
      </w:r>
    </w:p>
  </w:footnote>
  <w:footnote w:id="2196">
    <w:p w14:paraId="6393DF11" w14:textId="77777777" w:rsidR="004C5A3C" w:rsidRDefault="004C5A3C" w:rsidP="002C39F4">
      <w:pPr>
        <w:pStyle w:val="a5"/>
        <w:rPr>
          <w:rtl/>
        </w:rPr>
      </w:pPr>
      <w:r>
        <w:rPr>
          <w:rStyle w:val="a7"/>
        </w:rPr>
        <w:footnoteRef/>
      </w:r>
      <w:r>
        <w:rPr>
          <w:rtl/>
        </w:rPr>
        <w:t xml:space="preserve"> </w:t>
      </w:r>
      <w:r>
        <w:rPr>
          <w:rFonts w:cs="Arial" w:hint="cs"/>
          <w:rtl/>
        </w:rPr>
        <w:t xml:space="preserve">הביא </w:t>
      </w:r>
      <w:r w:rsidRPr="00620623">
        <w:rPr>
          <w:rFonts w:cs="Arial"/>
          <w:rtl/>
        </w:rPr>
        <w:t>הר"ן (לד: ד"ה גדי שצלאו)</w:t>
      </w:r>
      <w:r>
        <w:rPr>
          <w:rFonts w:cs="Arial" w:hint="cs"/>
          <w:rtl/>
        </w:rPr>
        <w:t xml:space="preserve"> את דבריו. </w:t>
      </w:r>
      <w:r w:rsidRPr="00620623">
        <w:rPr>
          <w:rFonts w:cs="Arial"/>
          <w:rtl/>
        </w:rPr>
        <w:t>ו</w:t>
      </w:r>
      <w:r>
        <w:rPr>
          <w:rFonts w:cs="Arial" w:hint="cs"/>
          <w:rtl/>
        </w:rPr>
        <w:t>כ' הב"י ד</w:t>
      </w:r>
      <w:r w:rsidRPr="00620623">
        <w:rPr>
          <w:rFonts w:cs="Arial"/>
          <w:rtl/>
        </w:rPr>
        <w:t>נראה מדברי הר"ן שהוא חולק עליו וגם גדולי כל הפוסקים חלוקים עליו שכבר כתבתי שהרמב"ם פסק שהוא מתבטל וכ"פ הרשב"א (ב"ד ש"א ד: וכא.).</w:t>
      </w:r>
      <w:r w:rsidRPr="0030209F">
        <w:rPr>
          <w:rFonts w:cs="Arial"/>
          <w:rtl/>
        </w:rPr>
        <w:t xml:space="preserve"> </w:t>
      </w:r>
    </w:p>
  </w:footnote>
  <w:footnote w:id="2197">
    <w:p w14:paraId="3AE16ABE" w14:textId="77777777" w:rsidR="004C5A3C" w:rsidRPr="001963CF" w:rsidRDefault="004C5A3C" w:rsidP="002C39F4">
      <w:pPr>
        <w:pStyle w:val="a5"/>
        <w:rPr>
          <w:rtl/>
        </w:rPr>
      </w:pPr>
      <w:r>
        <w:rPr>
          <w:rStyle w:val="a7"/>
        </w:rPr>
        <w:footnoteRef/>
      </w:r>
      <w:r>
        <w:rPr>
          <w:rtl/>
        </w:rPr>
        <w:t xml:space="preserve"> </w:t>
      </w:r>
      <w:r w:rsidRPr="00FF0A0A">
        <w:rPr>
          <w:rFonts w:cs="Arial"/>
          <w:rtl/>
        </w:rPr>
        <w:t xml:space="preserve">ונ"ל דה"ה בצונן לתוך חם דצריך נטילת מקום אם הוא מפעפע אע"פ שיש בהיתר </w:t>
      </w:r>
      <w:r>
        <w:rPr>
          <w:rFonts w:cs="Arial" w:hint="cs"/>
          <w:rtl/>
        </w:rPr>
        <w:t>ס'</w:t>
      </w:r>
      <w:r w:rsidRPr="00FF0A0A">
        <w:rPr>
          <w:rFonts w:cs="Arial"/>
          <w:rtl/>
        </w:rPr>
        <w:t xml:space="preserve"> כנגד האיסור</w:t>
      </w:r>
      <w:r w:rsidRPr="00FF0A0A">
        <w:rPr>
          <w:rFonts w:cs="Arial" w:hint="cs"/>
          <w:rtl/>
        </w:rPr>
        <w:t>,</w:t>
      </w:r>
      <w:r w:rsidRPr="00FF0A0A">
        <w:rPr>
          <w:rFonts w:cs="Arial"/>
          <w:rtl/>
        </w:rPr>
        <w:t xml:space="preserve"> דדין צונן לתוך חם כדין חם לתוך חם כדאיתא פ</w:t>
      </w:r>
      <w:r>
        <w:rPr>
          <w:rFonts w:cs="Arial" w:hint="cs"/>
          <w:rtl/>
        </w:rPr>
        <w:t>כ"</w:t>
      </w:r>
      <w:r w:rsidRPr="00FF0A0A">
        <w:rPr>
          <w:rFonts w:cs="Arial"/>
          <w:rtl/>
        </w:rPr>
        <w:t xml:space="preserve">צ </w:t>
      </w:r>
      <w:r w:rsidRPr="001963CF">
        <w:rPr>
          <w:rFonts w:cs="Arial"/>
          <w:sz w:val="16"/>
          <w:szCs w:val="16"/>
          <w:rtl/>
        </w:rPr>
        <w:t>(עו.)</w:t>
      </w:r>
      <w:r w:rsidRPr="00FF0A0A">
        <w:rPr>
          <w:rFonts w:cs="Arial" w:hint="cs"/>
          <w:rtl/>
        </w:rPr>
        <w:t>,</w:t>
      </w:r>
      <w:r w:rsidRPr="00FF0A0A">
        <w:rPr>
          <w:rFonts w:cs="Arial"/>
          <w:rtl/>
        </w:rPr>
        <w:t xml:space="preserve"> ואפשר דלרבותא נקט הרשב"א חם לתוך חם</w:t>
      </w:r>
      <w:r w:rsidRPr="00FF0A0A">
        <w:rPr>
          <w:rFonts w:cs="Arial" w:hint="cs"/>
          <w:rtl/>
        </w:rPr>
        <w:t>,</w:t>
      </w:r>
      <w:r w:rsidRPr="00FF0A0A">
        <w:rPr>
          <w:rFonts w:cs="Arial"/>
          <w:rtl/>
        </w:rPr>
        <w:t xml:space="preserve"> דאע"ג דחיים טובא</w:t>
      </w:r>
      <w:r w:rsidRPr="00FF0A0A">
        <w:rPr>
          <w:rFonts w:cs="Arial" w:hint="cs"/>
          <w:rtl/>
        </w:rPr>
        <w:t>,</w:t>
      </w:r>
      <w:r w:rsidRPr="00FF0A0A">
        <w:rPr>
          <w:rFonts w:cs="Arial"/>
          <w:rtl/>
        </w:rPr>
        <w:t xml:space="preserve"> לא אמרינן שהוא נימוח לגמרי ומתפשט בכל ההיתר ולא נשאר שום רושם במקום שנפל יותר מבכל שאר החתיכה אלא לעולם מקום שנפל בו צריך נטילת מקום</w:t>
      </w:r>
      <w:r w:rsidRPr="00FF0A0A">
        <w:rPr>
          <w:rFonts w:cs="Arial" w:hint="cs"/>
          <w:rtl/>
        </w:rPr>
        <w:t>,</w:t>
      </w:r>
      <w:r w:rsidRPr="00FF0A0A">
        <w:rPr>
          <w:rFonts w:cs="Arial"/>
          <w:rtl/>
        </w:rPr>
        <w:t xml:space="preserve"> וכ"ש בצונן לתוך חם דאיכא למימר טפי דודאי נשאר רושם במקום שנפל יותר מבשאר החתיכה מאחר שצונן היה האיסור</w:t>
      </w:r>
      <w:r w:rsidRPr="00FF0A0A">
        <w:rPr>
          <w:rFonts w:cs="Arial" w:hint="cs"/>
          <w:rtl/>
        </w:rPr>
        <w:t>,</w:t>
      </w:r>
      <w:r w:rsidRPr="00FF0A0A">
        <w:rPr>
          <w:rFonts w:cs="Arial"/>
          <w:rtl/>
        </w:rPr>
        <w:t xml:space="preserve"> וזו היא סברת כמה רבוותא שכ</w:t>
      </w:r>
      <w:r>
        <w:rPr>
          <w:rFonts w:cs="Arial" w:hint="cs"/>
          <w:rtl/>
        </w:rPr>
        <w:t>'</w:t>
      </w:r>
      <w:r w:rsidRPr="00FF0A0A">
        <w:rPr>
          <w:rFonts w:cs="Arial"/>
          <w:rtl/>
        </w:rPr>
        <w:t xml:space="preserve"> המרדכי </w:t>
      </w:r>
      <w:r w:rsidRPr="001963CF">
        <w:rPr>
          <w:rFonts w:cs="Arial"/>
          <w:sz w:val="16"/>
          <w:szCs w:val="16"/>
          <w:rtl/>
        </w:rPr>
        <w:t>(</w:t>
      </w:r>
      <w:r>
        <w:rPr>
          <w:rFonts w:cs="Arial" w:hint="cs"/>
          <w:sz w:val="16"/>
          <w:szCs w:val="16"/>
          <w:rtl/>
        </w:rPr>
        <w:t xml:space="preserve">פג"ה </w:t>
      </w:r>
      <w:r w:rsidRPr="001963CF">
        <w:rPr>
          <w:rFonts w:cs="Arial"/>
          <w:sz w:val="16"/>
          <w:szCs w:val="16"/>
          <w:rtl/>
        </w:rPr>
        <w:t>סי' תרפד)</w:t>
      </w:r>
      <w:r w:rsidRPr="00FF0A0A">
        <w:rPr>
          <w:rFonts w:cs="Arial" w:hint="cs"/>
          <w:rtl/>
        </w:rPr>
        <w:t>,</w:t>
      </w:r>
      <w:r w:rsidRPr="00FF0A0A">
        <w:rPr>
          <w:rFonts w:cs="Arial"/>
          <w:rtl/>
        </w:rPr>
        <w:t xml:space="preserve"> ואע</w:t>
      </w:r>
      <w:r w:rsidRPr="00FF0A0A">
        <w:rPr>
          <w:rFonts w:cs="Arial" w:hint="cs"/>
          <w:rtl/>
        </w:rPr>
        <w:t>"</w:t>
      </w:r>
      <w:r w:rsidRPr="00FF0A0A">
        <w:rPr>
          <w:rFonts w:cs="Arial"/>
          <w:rtl/>
        </w:rPr>
        <w:t>פ שרבינו ברוך אח"כ חזר בו אינך רבוותא לא חזרו בהם</w:t>
      </w:r>
      <w:r w:rsidRPr="00FF0A0A">
        <w:rPr>
          <w:rFonts w:cs="Arial" w:hint="cs"/>
          <w:rtl/>
        </w:rPr>
        <w:t>,</w:t>
      </w:r>
      <w:r>
        <w:rPr>
          <w:rFonts w:cs="Arial" w:hint="cs"/>
          <w:rtl/>
        </w:rPr>
        <w:t xml:space="preserve"> </w:t>
      </w:r>
      <w:r w:rsidRPr="00F2606C">
        <w:rPr>
          <w:rFonts w:cs="Arial"/>
          <w:rtl/>
        </w:rPr>
        <w:t>ואע</w:t>
      </w:r>
      <w:r w:rsidRPr="00F2606C">
        <w:rPr>
          <w:rFonts w:cs="Arial" w:hint="cs"/>
          <w:rtl/>
        </w:rPr>
        <w:t>"</w:t>
      </w:r>
      <w:r w:rsidRPr="00F2606C">
        <w:rPr>
          <w:rFonts w:cs="Arial"/>
          <w:rtl/>
        </w:rPr>
        <w:t xml:space="preserve">פ שכבר כתבתי </w:t>
      </w:r>
      <w:r w:rsidRPr="001963CF">
        <w:rPr>
          <w:rFonts w:cs="Arial"/>
          <w:sz w:val="16"/>
          <w:szCs w:val="16"/>
          <w:rtl/>
        </w:rPr>
        <w:t>(</w:t>
      </w:r>
      <w:r w:rsidRPr="001963CF">
        <w:rPr>
          <w:rFonts w:cs="Arial" w:hint="cs"/>
          <w:sz w:val="16"/>
          <w:szCs w:val="16"/>
          <w:rtl/>
        </w:rPr>
        <w:t xml:space="preserve">לעיל סע' ד, והוא בב"י עמ' </w:t>
      </w:r>
      <w:r w:rsidRPr="001963CF">
        <w:rPr>
          <w:rFonts w:cs="Arial"/>
          <w:sz w:val="16"/>
          <w:szCs w:val="16"/>
          <w:rtl/>
        </w:rPr>
        <w:t xml:space="preserve">קסה. ד"ה ומדברי הרמב"ם) </w:t>
      </w:r>
      <w:r w:rsidRPr="00F2606C">
        <w:rPr>
          <w:rFonts w:cs="Arial"/>
          <w:rtl/>
        </w:rPr>
        <w:t>שאין דעת הרמב"ם כן אלא שמאחר שיש בו כדי לבטל האיסור אינו צריך נטילת מקום ולא קליפה יש להחמיר כדברי הרשב"א</w:t>
      </w:r>
      <w:r>
        <w:rPr>
          <w:rFonts w:cs="Arial" w:hint="cs"/>
          <w:rtl/>
        </w:rPr>
        <w:t>, ב"י.</w:t>
      </w:r>
      <w:r>
        <w:rPr>
          <w:rFonts w:hint="cs"/>
          <w:rtl/>
        </w:rPr>
        <w:t xml:space="preserve"> ובציונים מהש"ך כ' שכ"כ</w:t>
      </w:r>
      <w:r w:rsidRPr="001963CF">
        <w:rPr>
          <w:rFonts w:hint="cs"/>
          <w:rtl/>
        </w:rPr>
        <w:t xml:space="preserve"> </w:t>
      </w:r>
      <w:r w:rsidRPr="001963CF">
        <w:rPr>
          <w:rFonts w:asciiTheme="minorBidi" w:hAnsiTheme="minorBidi" w:hint="cs"/>
          <w:rtl/>
        </w:rPr>
        <w:t>ה</w:t>
      </w:r>
      <w:r w:rsidRPr="001963CF">
        <w:rPr>
          <w:rFonts w:asciiTheme="minorBidi" w:hAnsiTheme="minorBidi"/>
          <w:rtl/>
        </w:rPr>
        <w:t>סמ"ק ו</w:t>
      </w:r>
      <w:r>
        <w:rPr>
          <w:rFonts w:asciiTheme="minorBidi" w:hAnsiTheme="minorBidi"/>
          <w:rtl/>
        </w:rPr>
        <w:t>הג"א</w:t>
      </w:r>
      <w:r w:rsidRPr="001963CF">
        <w:rPr>
          <w:rFonts w:asciiTheme="minorBidi" w:hAnsiTheme="minorBidi"/>
          <w:rtl/>
        </w:rPr>
        <w:t xml:space="preserve"> ואו"ה כלל י"ד ואגור בשם מהרי"ל</w:t>
      </w:r>
      <w:r>
        <w:rPr>
          <w:rFonts w:asciiTheme="minorBidi" w:hAnsiTheme="minorBidi" w:hint="cs"/>
          <w:rtl/>
        </w:rPr>
        <w:t>.</w:t>
      </w:r>
    </w:p>
  </w:footnote>
  <w:footnote w:id="2198">
    <w:p w14:paraId="74C8BB89" w14:textId="77777777" w:rsidR="004C5A3C" w:rsidRDefault="004C5A3C" w:rsidP="002C39F4">
      <w:pPr>
        <w:pStyle w:val="a5"/>
        <w:rPr>
          <w:rtl/>
        </w:rPr>
      </w:pPr>
      <w:r>
        <w:rPr>
          <w:rStyle w:val="a7"/>
        </w:rPr>
        <w:footnoteRef/>
      </w:r>
      <w:r>
        <w:rPr>
          <w:rtl/>
        </w:rPr>
        <w:t xml:space="preserve"> </w:t>
      </w:r>
      <w:r w:rsidRPr="00FA5829">
        <w:rPr>
          <w:rFonts w:cs="Arial"/>
          <w:rtl/>
        </w:rPr>
        <w:t>וכמו שאמרו בפכ</w:t>
      </w:r>
      <w:r>
        <w:rPr>
          <w:rFonts w:cs="Arial" w:hint="cs"/>
          <w:rtl/>
        </w:rPr>
        <w:t>"</w:t>
      </w:r>
      <w:r w:rsidRPr="00FA5829">
        <w:rPr>
          <w:rFonts w:cs="Arial"/>
          <w:rtl/>
        </w:rPr>
        <w:t xml:space="preserve">צ </w:t>
      </w:r>
      <w:r w:rsidRPr="00FA5829">
        <w:rPr>
          <w:rFonts w:cs="Arial"/>
          <w:sz w:val="16"/>
          <w:szCs w:val="16"/>
          <w:rtl/>
        </w:rPr>
        <w:t xml:space="preserve">(פסחים עה:) </w:t>
      </w:r>
      <w:r w:rsidRPr="00FA5829">
        <w:rPr>
          <w:rFonts w:cs="Arial"/>
          <w:rtl/>
        </w:rPr>
        <w:t>נטף מרוטבו על החרס וחזר אליו יטול את מקומו</w:t>
      </w:r>
      <w:r>
        <w:rPr>
          <w:rFonts w:cs="Arial" w:hint="cs"/>
          <w:rtl/>
        </w:rPr>
        <w:t xml:space="preserve">, </w:t>
      </w:r>
      <w:r w:rsidRPr="00FA5829">
        <w:rPr>
          <w:rFonts w:cs="Arial"/>
          <w:rtl/>
        </w:rPr>
        <w:t>רשב"א</w:t>
      </w:r>
      <w:r w:rsidRPr="00FA5829">
        <w:rPr>
          <w:rFonts w:cs="Arial" w:hint="cs"/>
          <w:rtl/>
        </w:rPr>
        <w:t xml:space="preserve"> </w:t>
      </w:r>
      <w:r w:rsidRPr="00FA5829">
        <w:rPr>
          <w:rFonts w:cs="Arial" w:hint="cs"/>
          <w:sz w:val="16"/>
          <w:szCs w:val="16"/>
          <w:rtl/>
        </w:rPr>
        <w:t>(</w:t>
      </w:r>
      <w:r w:rsidRPr="00FA5829">
        <w:rPr>
          <w:rFonts w:cs="Arial"/>
          <w:sz w:val="16"/>
          <w:szCs w:val="16"/>
          <w:rtl/>
        </w:rPr>
        <w:t>תוה</w:t>
      </w:r>
      <w:r w:rsidRPr="00FA5829">
        <w:rPr>
          <w:rFonts w:cs="Arial" w:hint="cs"/>
          <w:sz w:val="16"/>
          <w:szCs w:val="16"/>
          <w:rtl/>
        </w:rPr>
        <w:t>"א</w:t>
      </w:r>
      <w:r w:rsidRPr="00FA5829">
        <w:rPr>
          <w:rFonts w:cs="Arial"/>
          <w:sz w:val="16"/>
          <w:szCs w:val="16"/>
          <w:rtl/>
        </w:rPr>
        <w:t xml:space="preserve"> ב"ד ש"א כא.)</w:t>
      </w:r>
      <w:r w:rsidRPr="00FA5829">
        <w:rPr>
          <w:rFonts w:cs="Arial"/>
          <w:rtl/>
        </w:rPr>
        <w:t>.</w:t>
      </w:r>
    </w:p>
  </w:footnote>
  <w:footnote w:id="2199">
    <w:p w14:paraId="53CF5FAB" w14:textId="77777777" w:rsidR="004C5A3C" w:rsidRDefault="004C5A3C" w:rsidP="002C39F4">
      <w:pPr>
        <w:pStyle w:val="a5"/>
        <w:rPr>
          <w:rtl/>
        </w:rPr>
      </w:pPr>
      <w:r>
        <w:rPr>
          <w:rStyle w:val="a7"/>
        </w:rPr>
        <w:footnoteRef/>
      </w:r>
      <w:r>
        <w:rPr>
          <w:rtl/>
        </w:rPr>
        <w:t xml:space="preserve"> </w:t>
      </w:r>
      <w:r w:rsidRPr="00620623">
        <w:rPr>
          <w:rFonts w:cs="Arial"/>
          <w:rtl/>
        </w:rPr>
        <w:t>נראה שטעמו משום שנמחה קצת השומן ונבלע בחתיכת האיסור חזר השומן ההוא חתיכת נבלה וכשהוא נבלע אח"כ בחתיכת ההיתר הוא מפעפע</w:t>
      </w:r>
      <w:r>
        <w:rPr>
          <w:rFonts w:cs="Arial" w:hint="cs"/>
          <w:rtl/>
        </w:rPr>
        <w:t>,</w:t>
      </w:r>
      <w:r w:rsidRPr="00620623">
        <w:rPr>
          <w:rFonts w:cs="Arial"/>
          <w:rtl/>
        </w:rPr>
        <w:t xml:space="preserve"> ולפ</w:t>
      </w:r>
      <w:r>
        <w:rPr>
          <w:rFonts w:cs="Arial" w:hint="cs"/>
          <w:rtl/>
        </w:rPr>
        <w:t>"</w:t>
      </w:r>
      <w:r w:rsidRPr="00620623">
        <w:rPr>
          <w:rFonts w:cs="Arial"/>
          <w:rtl/>
        </w:rPr>
        <w:t>ז לדידן דנקטינן כרבינו אפרים דאין חענ</w:t>
      </w:r>
      <w:r>
        <w:rPr>
          <w:rFonts w:cs="Arial" w:hint="cs"/>
          <w:rtl/>
        </w:rPr>
        <w:t>"</w:t>
      </w:r>
      <w:r w:rsidRPr="00620623">
        <w:rPr>
          <w:rFonts w:cs="Arial"/>
          <w:rtl/>
        </w:rPr>
        <w:t>נ אלא בבשר בחלב כמש</w:t>
      </w:r>
      <w:r>
        <w:rPr>
          <w:rFonts w:cs="Arial" w:hint="cs"/>
          <w:rtl/>
        </w:rPr>
        <w:t>"</w:t>
      </w:r>
      <w:r w:rsidRPr="00620623">
        <w:rPr>
          <w:rFonts w:cs="Arial"/>
          <w:rtl/>
        </w:rPr>
        <w:t>כ בסי</w:t>
      </w:r>
      <w:r>
        <w:rPr>
          <w:rFonts w:cs="Arial" w:hint="cs"/>
          <w:rtl/>
        </w:rPr>
        <w:t>'</w:t>
      </w:r>
      <w:r w:rsidRPr="00620623">
        <w:rPr>
          <w:rFonts w:cs="Arial"/>
          <w:rtl/>
        </w:rPr>
        <w:t xml:space="preserve"> צ"ב</w:t>
      </w:r>
      <w:r w:rsidRPr="00A54C4F">
        <w:rPr>
          <w:rFonts w:cs="Arial"/>
          <w:sz w:val="16"/>
          <w:szCs w:val="16"/>
          <w:rtl/>
        </w:rPr>
        <w:t xml:space="preserve"> (קמו: ד"ה ולענין הלכה) </w:t>
      </w:r>
      <w:r w:rsidRPr="00620623">
        <w:rPr>
          <w:rFonts w:cs="Arial"/>
          <w:rtl/>
        </w:rPr>
        <w:t>אע</w:t>
      </w:r>
      <w:r>
        <w:rPr>
          <w:rFonts w:cs="Arial" w:hint="cs"/>
          <w:rtl/>
        </w:rPr>
        <w:t>"</w:t>
      </w:r>
      <w:r w:rsidRPr="00620623">
        <w:rPr>
          <w:rFonts w:cs="Arial"/>
          <w:rtl/>
        </w:rPr>
        <w:t>פ שחתיכת ההיתר שמן אם חתיכת האיסור כחוש שרי</w:t>
      </w:r>
      <w:r>
        <w:rPr>
          <w:rFonts w:cs="Arial" w:hint="cs"/>
          <w:rtl/>
        </w:rPr>
        <w:t>,</w:t>
      </w:r>
      <w:r w:rsidRPr="00620623">
        <w:rPr>
          <w:rFonts w:cs="Arial"/>
          <w:rtl/>
        </w:rPr>
        <w:t xml:space="preserve"> אבל אני מסופק אם הדין כן שהרי אפשר שטעמו של רבינו הוא מדאמר רב בפכ</w:t>
      </w:r>
      <w:r>
        <w:rPr>
          <w:rFonts w:cs="Arial" w:hint="cs"/>
          <w:rtl/>
        </w:rPr>
        <w:t>"</w:t>
      </w:r>
      <w:r w:rsidRPr="00620623">
        <w:rPr>
          <w:rFonts w:cs="Arial"/>
          <w:rtl/>
        </w:rPr>
        <w:t xml:space="preserve">צ </w:t>
      </w:r>
      <w:r w:rsidRPr="00A54C4F">
        <w:rPr>
          <w:rFonts w:cs="Arial"/>
          <w:sz w:val="16"/>
          <w:szCs w:val="16"/>
          <w:rtl/>
        </w:rPr>
        <w:t xml:space="preserve">(פסחים עו:) </w:t>
      </w:r>
      <w:r w:rsidRPr="00620623">
        <w:rPr>
          <w:rFonts w:cs="Arial"/>
          <w:rtl/>
        </w:rPr>
        <w:t>דאפי</w:t>
      </w:r>
      <w:r>
        <w:rPr>
          <w:rFonts w:cs="Arial" w:hint="cs"/>
          <w:rtl/>
        </w:rPr>
        <w:t>'</w:t>
      </w:r>
      <w:r w:rsidRPr="00620623">
        <w:rPr>
          <w:rFonts w:cs="Arial"/>
          <w:rtl/>
        </w:rPr>
        <w:t xml:space="preserve"> בשר שחוטה שמן ובשר נבלה כחוש דאזיל בשר שחוטה ומפטם לבשר נבלה הכחוש והדר ליה בשר נבלה ומפטם ליה בריחיה לבשר שחוטה</w:t>
      </w:r>
      <w:r>
        <w:rPr>
          <w:rFonts w:cs="Arial" w:hint="cs"/>
          <w:rtl/>
        </w:rPr>
        <w:t>,</w:t>
      </w:r>
      <w:r w:rsidRPr="00620623">
        <w:rPr>
          <w:rFonts w:cs="Arial"/>
          <w:rtl/>
        </w:rPr>
        <w:t xml:space="preserve"> ואם בריחיה אנו אומרים כך כ</w:t>
      </w:r>
      <w:r>
        <w:rPr>
          <w:rFonts w:cs="Arial" w:hint="cs"/>
          <w:rtl/>
        </w:rPr>
        <w:t>"</w:t>
      </w:r>
      <w:r w:rsidRPr="00620623">
        <w:rPr>
          <w:rFonts w:cs="Arial"/>
          <w:rtl/>
        </w:rPr>
        <w:t>ש שי"ל כך בצלי ועוד אכתוב בזה בסוף הסי</w:t>
      </w:r>
      <w:r>
        <w:rPr>
          <w:rFonts w:cs="Arial" w:hint="cs"/>
          <w:rtl/>
        </w:rPr>
        <w:t>'</w:t>
      </w:r>
      <w:r w:rsidRPr="00620623">
        <w:rPr>
          <w:rFonts w:cs="Arial"/>
          <w:rtl/>
        </w:rPr>
        <w:t xml:space="preserve"> בס"ד. </w:t>
      </w:r>
      <w:r>
        <w:rPr>
          <w:rFonts w:cs="Arial" w:hint="cs"/>
          <w:rtl/>
        </w:rPr>
        <w:t>ו</w:t>
      </w:r>
      <w:r w:rsidRPr="00620623">
        <w:rPr>
          <w:rFonts w:cs="Arial"/>
          <w:rtl/>
        </w:rPr>
        <w:t>לקמן בסמוך</w:t>
      </w:r>
      <w:r w:rsidRPr="00A54C4F">
        <w:rPr>
          <w:rFonts w:cs="Arial"/>
          <w:sz w:val="16"/>
          <w:szCs w:val="16"/>
          <w:rtl/>
        </w:rPr>
        <w:t xml:space="preserve"> (קסז:) </w:t>
      </w:r>
      <w:r w:rsidRPr="00620623">
        <w:rPr>
          <w:rFonts w:cs="Arial"/>
          <w:rtl/>
        </w:rPr>
        <w:t>כ</w:t>
      </w:r>
      <w:r>
        <w:rPr>
          <w:rFonts w:cs="Arial" w:hint="cs"/>
          <w:rtl/>
        </w:rPr>
        <w:t>'</w:t>
      </w:r>
      <w:r w:rsidRPr="00620623">
        <w:rPr>
          <w:rFonts w:cs="Arial"/>
          <w:rtl/>
        </w:rPr>
        <w:t xml:space="preserve"> רבינו דהא דחתיכת איסור אוסרת חבירתה בנגיעתה דוקא שאיסורה מחמת עצמה או שבלעה איסור מפעפע אבל אם אין בה איסור אלא מה שבלעה ואותו איסור שבלעה אינו מפעפע אינה אוסרת אחרת הנוגעת בה אפילו אם נצלו יחד</w:t>
      </w:r>
      <w:r>
        <w:rPr>
          <w:rFonts w:cs="Arial" w:hint="cs"/>
          <w:rtl/>
        </w:rPr>
        <w:t>, ב"י.</w:t>
      </w:r>
    </w:p>
  </w:footnote>
  <w:footnote w:id="2200">
    <w:p w14:paraId="55960859" w14:textId="77777777" w:rsidR="004C5A3C" w:rsidRDefault="004C5A3C" w:rsidP="002C39F4">
      <w:pPr>
        <w:pStyle w:val="a5"/>
        <w:rPr>
          <w:rtl/>
        </w:rPr>
      </w:pPr>
      <w:r>
        <w:rPr>
          <w:rStyle w:val="a7"/>
        </w:rPr>
        <w:footnoteRef/>
      </w:r>
      <w:r>
        <w:rPr>
          <w:rtl/>
        </w:rPr>
        <w:t xml:space="preserve"> </w:t>
      </w:r>
      <w:r w:rsidRPr="00E27651">
        <w:rPr>
          <w:rFonts w:cs="Arial"/>
          <w:rtl/>
        </w:rPr>
        <w:t>הטעם כתב הב"י דאזיל היתר ומפטם לאיסור והדר אזיל האיסור ומפטם להיתר</w:t>
      </w:r>
      <w:r>
        <w:rPr>
          <w:rFonts w:cs="Arial" w:hint="cs"/>
          <w:rtl/>
        </w:rPr>
        <w:t>,</w:t>
      </w:r>
      <w:r w:rsidRPr="00E27651">
        <w:rPr>
          <w:rFonts w:cs="Arial"/>
          <w:rtl/>
        </w:rPr>
        <w:t xml:space="preserve"> ועי' בסקי"ח</w:t>
      </w:r>
      <w:r>
        <w:rPr>
          <w:rFonts w:cs="Arial" w:hint="cs"/>
          <w:rtl/>
        </w:rPr>
        <w:t>-י"ט, ש"ך (סקי"ד). והקשה הט"ז (סק"י)</w:t>
      </w:r>
      <w:r w:rsidRPr="00E27651">
        <w:rPr>
          <w:rtl/>
        </w:rPr>
        <w:t xml:space="preserve"> </w:t>
      </w:r>
      <w:r>
        <w:rPr>
          <w:rFonts w:cs="Arial" w:hint="cs"/>
          <w:rtl/>
        </w:rPr>
        <w:t xml:space="preserve">דהא קיי"ל דאין הנאסר יכול לאסור אלא במקום שהאיסור עצמו יכול לילך שם, וראיתי מתרצים דכאן מיירי דהאיסור אסור מחמת עצמו אבל לקמן מיירי מאיסור בלוע, וזה אינו נכון כלל לחלק דאף באיסור מחמת עצמו והוא כחוש אין לו כח לאסור יותר מכדי נטילה, אלא ודאי דבר זה אין לו יסוד ועיקר כלל, </w:t>
      </w:r>
      <w:r w:rsidRPr="00E27651">
        <w:rPr>
          <w:rFonts w:cs="Arial"/>
          <w:rtl/>
        </w:rPr>
        <w:t xml:space="preserve">וכתב רש"ל </w:t>
      </w:r>
      <w:r>
        <w:rPr>
          <w:rFonts w:cs="Arial" w:hint="cs"/>
          <w:rtl/>
        </w:rPr>
        <w:t xml:space="preserve">(חולין </w:t>
      </w:r>
      <w:r w:rsidRPr="00E27651">
        <w:rPr>
          <w:rFonts w:cs="Arial"/>
          <w:rtl/>
        </w:rPr>
        <w:t>סי</w:t>
      </w:r>
      <w:r>
        <w:rPr>
          <w:rFonts w:cs="Arial" w:hint="cs"/>
          <w:rtl/>
        </w:rPr>
        <w:t>'</w:t>
      </w:r>
      <w:r w:rsidRPr="00E27651">
        <w:rPr>
          <w:rFonts w:cs="Arial"/>
          <w:rtl/>
        </w:rPr>
        <w:t xml:space="preserve"> </w:t>
      </w:r>
      <w:r>
        <w:rPr>
          <w:rFonts w:cs="Arial" w:hint="cs"/>
          <w:rtl/>
        </w:rPr>
        <w:t>מ</w:t>
      </w:r>
      <w:r w:rsidRPr="00E27651">
        <w:rPr>
          <w:rFonts w:cs="Arial"/>
          <w:rtl/>
        </w:rPr>
        <w:t>ה</w:t>
      </w:r>
      <w:r>
        <w:rPr>
          <w:rFonts w:cs="Arial" w:hint="cs"/>
          <w:rtl/>
        </w:rPr>
        <w:t>)</w:t>
      </w:r>
      <w:r w:rsidRPr="00E27651">
        <w:rPr>
          <w:rFonts w:cs="Arial"/>
          <w:rtl/>
        </w:rPr>
        <w:t xml:space="preserve"> דחתיכה שיש בה דם של עצמה מיקרי ג"כ חתיכה שנאסרה מחמת בלוע ולא איסור מחמת עצמה</w:t>
      </w:r>
      <w:r>
        <w:rPr>
          <w:rFonts w:cs="Arial" w:hint="cs"/>
          <w:rtl/>
        </w:rPr>
        <w:t xml:space="preserve">, עכ"ד. והש"ך (נה"כ אות ד) דחה דבריו. </w:t>
      </w:r>
    </w:p>
  </w:footnote>
  <w:footnote w:id="2201">
    <w:p w14:paraId="77CB2761" w14:textId="77777777" w:rsidR="004C5A3C" w:rsidRDefault="004C5A3C" w:rsidP="002C39F4">
      <w:pPr>
        <w:pStyle w:val="a5"/>
      </w:pPr>
      <w:r>
        <w:rPr>
          <w:rStyle w:val="a7"/>
        </w:rPr>
        <w:footnoteRef/>
      </w:r>
      <w:r>
        <w:rPr>
          <w:rtl/>
        </w:rPr>
        <w:t xml:space="preserve"> </w:t>
      </w:r>
      <w:r w:rsidRPr="00DA25FD">
        <w:rPr>
          <w:rFonts w:cs="Arial"/>
          <w:rtl/>
        </w:rPr>
        <w:t>שבאותו מקום נחשב האיסור טפי כאלו הוא בעין</w:t>
      </w:r>
      <w:r>
        <w:rPr>
          <w:rFonts w:cs="Arial" w:hint="cs"/>
          <w:rtl/>
        </w:rPr>
        <w:t>,</w:t>
      </w:r>
      <w:r w:rsidRPr="00DA25FD">
        <w:rPr>
          <w:rFonts w:cs="Arial"/>
          <w:rtl/>
        </w:rPr>
        <w:t xml:space="preserve"> ונלמד מפסח</w:t>
      </w:r>
      <w:r w:rsidRPr="00DA25FD">
        <w:rPr>
          <w:rFonts w:cs="Arial" w:hint="cs"/>
          <w:sz w:val="16"/>
          <w:szCs w:val="16"/>
          <w:rtl/>
        </w:rPr>
        <w:t xml:space="preserve"> (פסחים עה:)</w:t>
      </w:r>
      <w:r>
        <w:rPr>
          <w:rFonts w:cs="Arial" w:hint="cs"/>
          <w:rtl/>
        </w:rPr>
        <w:t>..., ט"ז (סקי"א).</w:t>
      </w:r>
    </w:p>
  </w:footnote>
  <w:footnote w:id="2202">
    <w:p w14:paraId="47B2A767" w14:textId="77777777" w:rsidR="004C5A3C" w:rsidRDefault="004C5A3C" w:rsidP="002C39F4">
      <w:pPr>
        <w:pStyle w:val="a5"/>
        <w:rPr>
          <w:rtl/>
        </w:rPr>
      </w:pPr>
      <w:r>
        <w:rPr>
          <w:rStyle w:val="a7"/>
        </w:rPr>
        <w:footnoteRef/>
      </w:r>
      <w:r>
        <w:rPr>
          <w:rtl/>
        </w:rPr>
        <w:t xml:space="preserve"> </w:t>
      </w:r>
      <w:r>
        <w:rPr>
          <w:rFonts w:hint="cs"/>
          <w:rtl/>
        </w:rPr>
        <w:t xml:space="preserve">כגון ציר נבילה, דרכ"מ </w:t>
      </w:r>
      <w:r w:rsidRPr="00600076">
        <w:rPr>
          <w:rFonts w:hint="cs"/>
          <w:sz w:val="16"/>
          <w:szCs w:val="16"/>
          <w:rtl/>
        </w:rPr>
        <w:t>(אות י)</w:t>
      </w:r>
      <w:r>
        <w:rPr>
          <w:rFonts w:hint="cs"/>
          <w:rtl/>
        </w:rPr>
        <w:t xml:space="preserve">. </w:t>
      </w:r>
      <w:r w:rsidRPr="003C4CE8">
        <w:rPr>
          <w:rFonts w:cs="Arial"/>
          <w:rtl/>
        </w:rPr>
        <w:t>ונתבאר בכמה דוכתי דדם לא שייך בו שמנונית</w:t>
      </w:r>
      <w:r>
        <w:rPr>
          <w:rFonts w:cs="Arial" w:hint="cs"/>
          <w:rtl/>
        </w:rPr>
        <w:t>,</w:t>
      </w:r>
      <w:r w:rsidRPr="003C4CE8">
        <w:rPr>
          <w:rFonts w:cs="Arial"/>
          <w:rtl/>
        </w:rPr>
        <w:t xml:space="preserve"> מיהו בסעיף ט' יתבאר דנוהגים לשער במליחה בס' אפילו בכחוש לגמרי</w:t>
      </w:r>
      <w:r>
        <w:rPr>
          <w:rFonts w:cs="Arial" w:hint="cs"/>
          <w:rtl/>
        </w:rPr>
        <w:t>,</w:t>
      </w:r>
      <w:r w:rsidRPr="003C4CE8">
        <w:rPr>
          <w:rFonts w:cs="Arial"/>
          <w:rtl/>
        </w:rPr>
        <w:t xml:space="preserve"> א"כ ה"ה בצלי</w:t>
      </w:r>
      <w:r>
        <w:rPr>
          <w:rFonts w:cs="Arial" w:hint="cs"/>
          <w:rtl/>
        </w:rPr>
        <w:t>,</w:t>
      </w:r>
      <w:r w:rsidRPr="003C4CE8">
        <w:rPr>
          <w:rFonts w:cs="Arial"/>
          <w:rtl/>
        </w:rPr>
        <w:t xml:space="preserve"> דצלייה ומליחה שוין בזה</w:t>
      </w:r>
      <w:r>
        <w:rPr>
          <w:rFonts w:cs="Arial" w:hint="cs"/>
          <w:rtl/>
        </w:rPr>
        <w:t>,</w:t>
      </w:r>
      <w:r w:rsidRPr="003C4CE8">
        <w:rPr>
          <w:rFonts w:cs="Arial"/>
          <w:rtl/>
        </w:rPr>
        <w:t xml:space="preserve"> וכ</w:t>
      </w:r>
      <w:r>
        <w:rPr>
          <w:rFonts w:cs="Arial" w:hint="cs"/>
          <w:rtl/>
        </w:rPr>
        <w:t>"</w:t>
      </w:r>
      <w:r w:rsidRPr="003C4CE8">
        <w:rPr>
          <w:rFonts w:cs="Arial"/>
          <w:rtl/>
        </w:rPr>
        <w:t>מ בהדיא בת"ח סוף כלל ל"ז וכ</w:t>
      </w:r>
      <w:r>
        <w:rPr>
          <w:rFonts w:cs="Arial" w:hint="cs"/>
          <w:rtl/>
        </w:rPr>
        <w:t>"מ</w:t>
      </w:r>
      <w:r w:rsidRPr="003C4CE8">
        <w:rPr>
          <w:rFonts w:cs="Arial"/>
          <w:rtl/>
        </w:rPr>
        <w:t xml:space="preserve"> מדברי מהרש"ל ושאר אחרונים</w:t>
      </w:r>
      <w:r>
        <w:rPr>
          <w:rFonts w:cs="Arial" w:hint="cs"/>
          <w:rtl/>
        </w:rPr>
        <w:t>,</w:t>
      </w:r>
      <w:r w:rsidRPr="003C4CE8">
        <w:rPr>
          <w:rFonts w:cs="Arial"/>
          <w:rtl/>
        </w:rPr>
        <w:t xml:space="preserve"> והא דסתם הרב כאן דאיסור כחוש לגמרי אינו אוסר רק כדי נטילה היינו באיסור דרבנן כדלקמן ס"ט וע"ש</w:t>
      </w:r>
      <w:r>
        <w:rPr>
          <w:rFonts w:hint="cs"/>
          <w:rtl/>
        </w:rPr>
        <w:t>, ש"ך</w:t>
      </w:r>
      <w:r w:rsidRPr="00600076">
        <w:rPr>
          <w:rFonts w:hint="cs"/>
          <w:sz w:val="16"/>
          <w:szCs w:val="16"/>
          <w:rtl/>
        </w:rPr>
        <w:t xml:space="preserve"> (סקט"ז)</w:t>
      </w:r>
      <w:r>
        <w:rPr>
          <w:rFonts w:hint="cs"/>
          <w:rtl/>
        </w:rPr>
        <w:t>.</w:t>
      </w:r>
    </w:p>
  </w:footnote>
  <w:footnote w:id="2203">
    <w:p w14:paraId="2BCCFB4D" w14:textId="77777777" w:rsidR="004C5A3C" w:rsidRDefault="004C5A3C" w:rsidP="002C39F4">
      <w:pPr>
        <w:pStyle w:val="a5"/>
        <w:rPr>
          <w:rtl/>
        </w:rPr>
      </w:pPr>
      <w:r>
        <w:rPr>
          <w:rStyle w:val="a7"/>
        </w:rPr>
        <w:footnoteRef/>
      </w:r>
      <w:r>
        <w:rPr>
          <w:rtl/>
        </w:rPr>
        <w:t xml:space="preserve"> </w:t>
      </w:r>
      <w:r>
        <w:rPr>
          <w:rFonts w:hint="cs"/>
          <w:rtl/>
        </w:rPr>
        <w:t>ולא שייך בו בקיאות, גר"א (סקל"ז).</w:t>
      </w:r>
    </w:p>
  </w:footnote>
  <w:footnote w:id="2204">
    <w:p w14:paraId="71D18D7D" w14:textId="77777777" w:rsidR="004C5A3C" w:rsidRPr="00600076" w:rsidRDefault="004C5A3C" w:rsidP="002C39F4">
      <w:pPr>
        <w:pStyle w:val="a5"/>
        <w:rPr>
          <w:color w:val="FF0000"/>
        </w:rPr>
      </w:pPr>
      <w:r w:rsidRPr="00600076">
        <w:rPr>
          <w:rStyle w:val="a7"/>
          <w:color w:val="FF0000"/>
        </w:rPr>
        <w:footnoteRef/>
      </w:r>
      <w:r w:rsidRPr="00600076">
        <w:rPr>
          <w:color w:val="FF0000"/>
          <w:rtl/>
        </w:rPr>
        <w:t xml:space="preserve"> </w:t>
      </w:r>
      <w:r w:rsidRPr="00600076">
        <w:rPr>
          <w:rFonts w:hint="cs"/>
          <w:color w:val="FF0000"/>
          <w:rtl/>
        </w:rPr>
        <w:t>צ"ע למה כתב כדי נטילה, והרי בדרכ"מ (אות י) כתב כדי קליפה, וכ"כ היד אברהם (אוצמ"פ אות מ).</w:t>
      </w:r>
    </w:p>
  </w:footnote>
  <w:footnote w:id="2205">
    <w:p w14:paraId="0F2DF06B" w14:textId="77777777" w:rsidR="004C5A3C" w:rsidRDefault="004C5A3C" w:rsidP="002C39F4">
      <w:pPr>
        <w:pStyle w:val="a5"/>
      </w:pPr>
      <w:r>
        <w:rPr>
          <w:rStyle w:val="a7"/>
        </w:rPr>
        <w:footnoteRef/>
      </w:r>
      <w:r w:rsidRPr="00EA5D1E">
        <w:rPr>
          <w:rFonts w:cs="Arial"/>
          <w:rtl/>
        </w:rPr>
        <w:t xml:space="preserve"> ומשמע שם בהדיא דה"ה חם ע"י בישול אם אינה ברוטב נמי דינא הכי דכתב סתם בכל חם לתוך חם או צונן לתוך חם דאם האיסור מפעפע בעינן ס' ונטילת מקום</w:t>
      </w:r>
      <w:r>
        <w:rPr>
          <w:rFonts w:cs="Arial" w:hint="cs"/>
          <w:rtl/>
        </w:rPr>
        <w:t xml:space="preserve">, דרכ"מ </w:t>
      </w:r>
      <w:r w:rsidRPr="00EA5D1E">
        <w:rPr>
          <w:rFonts w:cs="Arial" w:hint="cs"/>
          <w:sz w:val="16"/>
          <w:szCs w:val="16"/>
          <w:rtl/>
        </w:rPr>
        <w:t>(אות ז)</w:t>
      </w:r>
      <w:r>
        <w:rPr>
          <w:rFonts w:cs="Arial" w:hint="cs"/>
          <w:rtl/>
        </w:rPr>
        <w:t>.</w:t>
      </w:r>
    </w:p>
  </w:footnote>
  <w:footnote w:id="2206">
    <w:p w14:paraId="706D0406" w14:textId="77777777" w:rsidR="004C5A3C" w:rsidRDefault="004C5A3C" w:rsidP="002C39F4">
      <w:pPr>
        <w:pStyle w:val="a5"/>
      </w:pPr>
      <w:r>
        <w:rPr>
          <w:rStyle w:val="a7"/>
        </w:rPr>
        <w:footnoteRef/>
      </w:r>
      <w:r>
        <w:rPr>
          <w:rtl/>
        </w:rPr>
        <w:t xml:space="preserve"> </w:t>
      </w:r>
      <w:r w:rsidRPr="00620623">
        <w:rPr>
          <w:rFonts w:cs="Arial"/>
          <w:rtl/>
        </w:rPr>
        <w:t>והכל אסור שכתב היינו כל שאין בו ס' כנגד האיסור</w:t>
      </w:r>
      <w:r>
        <w:rPr>
          <w:rFonts w:cs="Arial" w:hint="cs"/>
          <w:rtl/>
        </w:rPr>
        <w:t>,</w:t>
      </w:r>
      <w:r w:rsidRPr="00620623">
        <w:rPr>
          <w:rFonts w:cs="Arial"/>
          <w:rtl/>
        </w:rPr>
        <w:t xml:space="preserve"> שאם יש בו ס' מתבטל הוא כמו שנתבאר בדבריו בפירוש</w:t>
      </w:r>
      <w:r>
        <w:rPr>
          <w:rFonts w:cs="Arial" w:hint="cs"/>
          <w:rtl/>
        </w:rPr>
        <w:t>,</w:t>
      </w:r>
      <w:r w:rsidRPr="00620623">
        <w:rPr>
          <w:rFonts w:cs="Arial"/>
          <w:rtl/>
        </w:rPr>
        <w:t xml:space="preserve"> נמצא דאיסור מפעפע בצלי דינו שוה לאיסור בישול שזה וזה בפחות מששים אסור</w:t>
      </w:r>
      <w:r>
        <w:rPr>
          <w:rFonts w:cs="Arial" w:hint="cs"/>
          <w:rtl/>
        </w:rPr>
        <w:t>,</w:t>
      </w:r>
      <w:r w:rsidRPr="00620623">
        <w:rPr>
          <w:rFonts w:cs="Arial"/>
          <w:rtl/>
        </w:rPr>
        <w:t xml:space="preserve"> ומוסיף צלי על הבישול שאע"פ שיש ששים בהיתר מקום שנפל בו האיסור צריך נטילת מקום בצלי לדעת הרשב"א והכי נקטינן</w:t>
      </w:r>
      <w:r>
        <w:rPr>
          <w:rFonts w:cs="Arial" w:hint="cs"/>
          <w:rtl/>
        </w:rPr>
        <w:t>, ב"י.</w:t>
      </w:r>
    </w:p>
  </w:footnote>
  <w:footnote w:id="2207">
    <w:p w14:paraId="21403B24" w14:textId="77777777" w:rsidR="004C5A3C" w:rsidRDefault="004C5A3C" w:rsidP="002C39F4">
      <w:pPr>
        <w:pStyle w:val="a5"/>
        <w:rPr>
          <w:rtl/>
        </w:rPr>
      </w:pPr>
      <w:r>
        <w:rPr>
          <w:rStyle w:val="a7"/>
        </w:rPr>
        <w:footnoteRef/>
      </w:r>
      <w:r>
        <w:rPr>
          <w:rtl/>
        </w:rPr>
        <w:t xml:space="preserve"> </w:t>
      </w:r>
      <w:r>
        <w:rPr>
          <w:rFonts w:cs="Arial" w:hint="cs"/>
          <w:rtl/>
        </w:rPr>
        <w:t xml:space="preserve">וכ"כ הטור, ולפי </w:t>
      </w:r>
      <w:r>
        <w:rPr>
          <w:rFonts w:cs="Arial"/>
          <w:rtl/>
        </w:rPr>
        <w:t>שמתוך דברי התוס</w:t>
      </w:r>
      <w:r>
        <w:rPr>
          <w:rFonts w:cs="Arial" w:hint="cs"/>
          <w:rtl/>
        </w:rPr>
        <w:t>'</w:t>
      </w:r>
      <w:r>
        <w:rPr>
          <w:rFonts w:cs="Arial"/>
          <w:rtl/>
        </w:rPr>
        <w:t xml:space="preserve"> והרא"ש שכתבתי בסמוך אנו לומדין כן מפני כך לא כתב רבינו דברים אלו בשם הרשב"א</w:t>
      </w:r>
      <w:r>
        <w:rPr>
          <w:rFonts w:cs="Arial" w:hint="cs"/>
          <w:rtl/>
        </w:rPr>
        <w:t>,</w:t>
      </w:r>
      <w:r>
        <w:rPr>
          <w:rFonts w:cs="Arial"/>
          <w:rtl/>
        </w:rPr>
        <w:t xml:space="preserve"> ויש לתמוה על דברים אלו שהם סותרים למה שכתב לעיל (קסו.) </w:t>
      </w:r>
      <w:r>
        <w:rPr>
          <w:rFonts w:cs="Arial" w:hint="cs"/>
          <w:rtl/>
        </w:rPr>
        <w:t>'</w:t>
      </w:r>
      <w:r>
        <w:rPr>
          <w:rFonts w:cs="Arial"/>
          <w:rtl/>
        </w:rPr>
        <w:t>אפילו חתיכת האיסור כחושה וחתיכת היתר שנצלה עמה שמינה האיסור מפעפע בכולו</w:t>
      </w:r>
      <w:r>
        <w:rPr>
          <w:rFonts w:cs="Arial" w:hint="cs"/>
          <w:rtl/>
        </w:rPr>
        <w:t>',</w:t>
      </w:r>
      <w:r>
        <w:rPr>
          <w:rFonts w:cs="Arial"/>
          <w:rtl/>
        </w:rPr>
        <w:t xml:space="preserve"> וכאן כתב </w:t>
      </w:r>
      <w:r>
        <w:rPr>
          <w:rFonts w:cs="Arial" w:hint="cs"/>
          <w:rtl/>
        </w:rPr>
        <w:t>'</w:t>
      </w:r>
      <w:r>
        <w:rPr>
          <w:rFonts w:cs="Arial"/>
          <w:rtl/>
        </w:rPr>
        <w:t>שאין השומן שבה מוליך עמו את האיסור אלא במקום שהאיסור יכול לילך בטבעו</w:t>
      </w:r>
      <w:r>
        <w:rPr>
          <w:rFonts w:cs="Arial" w:hint="cs"/>
          <w:rtl/>
        </w:rPr>
        <w:t>'</w:t>
      </w:r>
      <w:r>
        <w:rPr>
          <w:rFonts w:cs="Arial"/>
          <w:rtl/>
        </w:rPr>
        <w:t xml:space="preserve"> </w:t>
      </w:r>
      <w:r w:rsidRPr="00A0540D">
        <w:rPr>
          <w:rFonts w:cs="Arial" w:hint="cs"/>
          <w:sz w:val="16"/>
          <w:szCs w:val="16"/>
          <w:rtl/>
        </w:rPr>
        <w:t>(</w:t>
      </w:r>
      <w:r w:rsidRPr="00A0540D">
        <w:rPr>
          <w:rFonts w:cs="Arial"/>
          <w:sz w:val="16"/>
          <w:szCs w:val="16"/>
          <w:rtl/>
        </w:rPr>
        <w:t>אבל לא קשיא לי ממ"ש קודם לכן בחתיכה שנפלה לתוך הציר שאפילו אם יש בה שומן אין הציר מפעפע על ידו וכו' דאיכא למימר שאני דם דמשרק שריק אפילו דרך הלוכו וכ"ש דאינו מפעפע וכמ"ש התוס' והרא"ש אבל שאר איסורין דלא שרקי אה</w:t>
      </w:r>
      <w:r>
        <w:rPr>
          <w:rFonts w:cs="Arial" w:hint="cs"/>
          <w:sz w:val="16"/>
          <w:szCs w:val="16"/>
          <w:rtl/>
        </w:rPr>
        <w:t>"</w:t>
      </w:r>
      <w:r w:rsidRPr="00A0540D">
        <w:rPr>
          <w:rFonts w:cs="Arial"/>
          <w:sz w:val="16"/>
          <w:szCs w:val="16"/>
          <w:rtl/>
        </w:rPr>
        <w:t>נ דמפעפע ע"י שומן דהתירא</w:t>
      </w:r>
      <w:r w:rsidRPr="00A0540D">
        <w:rPr>
          <w:rFonts w:cs="Arial" w:hint="cs"/>
          <w:sz w:val="16"/>
          <w:szCs w:val="16"/>
          <w:rtl/>
        </w:rPr>
        <w:t>,</w:t>
      </w:r>
      <w:r w:rsidRPr="00A0540D">
        <w:rPr>
          <w:rFonts w:cs="Arial"/>
          <w:sz w:val="16"/>
          <w:szCs w:val="16"/>
          <w:rtl/>
        </w:rPr>
        <w:t xml:space="preserve"> אבל ממ"ש כאן קשיא</w:t>
      </w:r>
      <w:r>
        <w:rPr>
          <w:rFonts w:cs="Arial" w:hint="cs"/>
          <w:sz w:val="16"/>
          <w:szCs w:val="16"/>
          <w:rtl/>
        </w:rPr>
        <w:t>)</w:t>
      </w:r>
      <w:r>
        <w:rPr>
          <w:rFonts w:cs="Arial" w:hint="cs"/>
          <w:rtl/>
        </w:rPr>
        <w:t>, ב"י.</w:t>
      </w:r>
      <w:r w:rsidRPr="00EB1931">
        <w:rPr>
          <w:rFonts w:hint="cs"/>
          <w:rtl/>
        </w:rPr>
        <w:t xml:space="preserve"> </w:t>
      </w:r>
      <w:r>
        <w:rPr>
          <w:rFonts w:hint="cs"/>
          <w:rtl/>
        </w:rPr>
        <w:t xml:space="preserve">אך הדרכ"מ </w:t>
      </w:r>
      <w:r w:rsidRPr="00EB1931">
        <w:rPr>
          <w:rFonts w:hint="cs"/>
          <w:sz w:val="16"/>
          <w:szCs w:val="16"/>
          <w:rtl/>
        </w:rPr>
        <w:t xml:space="preserve">(אות יט) </w:t>
      </w:r>
      <w:r>
        <w:rPr>
          <w:rFonts w:hint="cs"/>
          <w:rtl/>
        </w:rPr>
        <w:t>כ'-</w:t>
      </w:r>
      <w:r w:rsidRPr="00A0540D">
        <w:rPr>
          <w:rFonts w:cs="Arial"/>
          <w:rtl/>
        </w:rPr>
        <w:t xml:space="preserve"> ולי נראה דלא קשה מידי</w:t>
      </w:r>
      <w:r>
        <w:rPr>
          <w:rFonts w:cs="Arial" w:hint="cs"/>
          <w:rtl/>
        </w:rPr>
        <w:t>,</w:t>
      </w:r>
      <w:r w:rsidRPr="00A0540D">
        <w:rPr>
          <w:rFonts w:cs="Arial"/>
          <w:rtl/>
        </w:rPr>
        <w:t xml:space="preserve"> דגבי חלב שטבעו שהוא מפעפע אלא שאינו מפעפע כשהוא כחוש</w:t>
      </w:r>
      <w:r>
        <w:rPr>
          <w:rFonts w:cs="Arial" w:hint="cs"/>
          <w:rtl/>
        </w:rPr>
        <w:t>,</w:t>
      </w:r>
      <w:r w:rsidRPr="00A0540D">
        <w:rPr>
          <w:rFonts w:cs="Arial"/>
          <w:rtl/>
        </w:rPr>
        <w:t xml:space="preserve"> על כן</w:t>
      </w:r>
      <w:r>
        <w:rPr>
          <w:rFonts w:cs="Arial" w:hint="cs"/>
          <w:rtl/>
        </w:rPr>
        <w:t>,</w:t>
      </w:r>
      <w:r w:rsidRPr="00A0540D">
        <w:rPr>
          <w:rFonts w:cs="Arial"/>
          <w:rtl/>
        </w:rPr>
        <w:t xml:space="preserve"> כשהיתר שמן</w:t>
      </w:r>
      <w:r>
        <w:rPr>
          <w:rFonts w:cs="Arial" w:hint="cs"/>
          <w:rtl/>
        </w:rPr>
        <w:t>,</w:t>
      </w:r>
      <w:r w:rsidRPr="00A0540D">
        <w:rPr>
          <w:rFonts w:cs="Arial"/>
          <w:rtl/>
        </w:rPr>
        <w:t xml:space="preserve"> בקל עביד דהחלב הכחוש מפעפע ולכך אסור לעיל דהאיסור בעצמו מפעפע למרחוק ע"י קצת שומן שקיבל מן ההיתר</w:t>
      </w:r>
      <w:r>
        <w:rPr>
          <w:rFonts w:cs="Arial" w:hint="cs"/>
          <w:rtl/>
        </w:rPr>
        <w:t>,</w:t>
      </w:r>
      <w:r w:rsidRPr="00A0540D">
        <w:rPr>
          <w:rFonts w:cs="Arial"/>
          <w:rtl/>
        </w:rPr>
        <w:t xml:space="preserve"> אבל בשאר איסורין שאין מפעפעין בטבען אין השומן של היתר מוליך עמו האיסור אלא במקום שהאיסור יכול לילך לשם</w:t>
      </w:r>
      <w:r>
        <w:rPr>
          <w:rFonts w:cs="Arial" w:hint="cs"/>
          <w:rtl/>
        </w:rPr>
        <w:t>,</w:t>
      </w:r>
      <w:r w:rsidRPr="00A0540D">
        <w:rPr>
          <w:rFonts w:cs="Arial"/>
          <w:rtl/>
        </w:rPr>
        <w:t xml:space="preserve"> כנ"ל פשוט</w:t>
      </w:r>
      <w:r>
        <w:rPr>
          <w:rFonts w:cs="Arial" w:hint="cs"/>
          <w:rtl/>
        </w:rPr>
        <w:t>.</w:t>
      </w:r>
    </w:p>
  </w:footnote>
  <w:footnote w:id="2208">
    <w:p w14:paraId="3829895A" w14:textId="77777777" w:rsidR="004C5A3C" w:rsidRDefault="004C5A3C" w:rsidP="002C39F4">
      <w:pPr>
        <w:pStyle w:val="a5"/>
      </w:pPr>
      <w:r>
        <w:rPr>
          <w:rStyle w:val="a7"/>
        </w:rPr>
        <w:footnoteRef/>
      </w:r>
      <w:r>
        <w:rPr>
          <w:rtl/>
        </w:rPr>
        <w:t xml:space="preserve"> </w:t>
      </w:r>
      <w:r>
        <w:rPr>
          <w:rFonts w:cs="Arial"/>
          <w:rtl/>
        </w:rPr>
        <w:t>מ"ש שנוגעת זו בזו חם בחם מפני שסמך על מ"ש כבר דצונן לתוך חם אוסר כמו חם לתוך חם</w:t>
      </w:r>
      <w:r>
        <w:rPr>
          <w:rFonts w:cs="Arial" w:hint="cs"/>
          <w:rtl/>
        </w:rPr>
        <w:t>, ב"י.</w:t>
      </w:r>
      <w:r>
        <w:rPr>
          <w:rFonts w:hint="cs"/>
          <w:rtl/>
        </w:rPr>
        <w:t xml:space="preserve"> </w:t>
      </w:r>
    </w:p>
  </w:footnote>
  <w:footnote w:id="2209">
    <w:p w14:paraId="2C872128" w14:textId="77777777" w:rsidR="004C5A3C" w:rsidRDefault="004C5A3C" w:rsidP="002C39F4">
      <w:pPr>
        <w:pStyle w:val="a5"/>
      </w:pPr>
      <w:r>
        <w:rPr>
          <w:rStyle w:val="a7"/>
        </w:rPr>
        <w:footnoteRef/>
      </w:r>
      <w:r>
        <w:rPr>
          <w:rtl/>
        </w:rPr>
        <w:t xml:space="preserve"> </w:t>
      </w:r>
      <w:r>
        <w:rPr>
          <w:rFonts w:cs="Arial" w:hint="cs"/>
          <w:rtl/>
        </w:rPr>
        <w:t>ו</w:t>
      </w:r>
      <w:r>
        <w:rPr>
          <w:rFonts w:cs="Arial"/>
          <w:rtl/>
        </w:rPr>
        <w:t>כתב עוד הרשב"א</w:t>
      </w:r>
      <w:r w:rsidRPr="00C22C77">
        <w:rPr>
          <w:rFonts w:cs="Arial"/>
          <w:sz w:val="16"/>
          <w:szCs w:val="16"/>
          <w:rtl/>
        </w:rPr>
        <w:t xml:space="preserve"> (תוה"ק ב"ד ש"א ז.)</w:t>
      </w:r>
      <w:r>
        <w:rPr>
          <w:rFonts w:cs="Arial"/>
          <w:rtl/>
        </w:rPr>
        <w:t xml:space="preserve"> דברים אלו שאמרנו אפילו בשר בחלב שהחלב אינו מפעפע ואע</w:t>
      </w:r>
      <w:r>
        <w:rPr>
          <w:rFonts w:cs="Arial" w:hint="cs"/>
          <w:rtl/>
        </w:rPr>
        <w:t>"</w:t>
      </w:r>
      <w:r>
        <w:rPr>
          <w:rFonts w:cs="Arial"/>
          <w:rtl/>
        </w:rPr>
        <w:t>פ</w:t>
      </w:r>
      <w:r>
        <w:rPr>
          <w:rFonts w:cs="Arial" w:hint="cs"/>
          <w:rtl/>
        </w:rPr>
        <w:t xml:space="preserve"> </w:t>
      </w:r>
      <w:r>
        <w:rPr>
          <w:rFonts w:cs="Arial"/>
          <w:rtl/>
        </w:rPr>
        <w:t>שעשאוה כחתיכת נבלה כמו שביארנו לא עשאוה כנבלה עצמה לדבר זה</w:t>
      </w:r>
      <w:r>
        <w:rPr>
          <w:rFonts w:cs="Arial" w:hint="cs"/>
          <w:rtl/>
        </w:rPr>
        <w:t xml:space="preserve">, ב"י. וכ' הדרכ"מ </w:t>
      </w:r>
      <w:r>
        <w:rPr>
          <w:rFonts w:cs="Arial"/>
          <w:rtl/>
        </w:rPr>
        <w:t>(</w:t>
      </w:r>
      <w:r>
        <w:rPr>
          <w:rFonts w:cs="Arial" w:hint="cs"/>
          <w:rtl/>
        </w:rPr>
        <w:t xml:space="preserve">אות </w:t>
      </w:r>
      <w:r>
        <w:rPr>
          <w:rFonts w:cs="Arial"/>
          <w:rtl/>
        </w:rPr>
        <w:t xml:space="preserve">כ) </w:t>
      </w:r>
      <w:r>
        <w:rPr>
          <w:rFonts w:cs="Arial" w:hint="cs"/>
          <w:rtl/>
        </w:rPr>
        <w:t>ש</w:t>
      </w:r>
      <w:r>
        <w:rPr>
          <w:rFonts w:cs="Arial"/>
          <w:rtl/>
        </w:rPr>
        <w:t>מדברי הטור לא משמע כן</w:t>
      </w:r>
      <w:r>
        <w:rPr>
          <w:rFonts w:cs="Arial" w:hint="cs"/>
          <w:rtl/>
        </w:rPr>
        <w:t>.</w:t>
      </w:r>
    </w:p>
  </w:footnote>
  <w:footnote w:id="2210">
    <w:p w14:paraId="570FBEBE" w14:textId="77777777" w:rsidR="004C5A3C" w:rsidRDefault="004C5A3C" w:rsidP="002C39F4">
      <w:pPr>
        <w:pStyle w:val="a5"/>
      </w:pPr>
      <w:r>
        <w:rPr>
          <w:rStyle w:val="a7"/>
        </w:rPr>
        <w:footnoteRef/>
      </w:r>
      <w:r>
        <w:rPr>
          <w:rtl/>
        </w:rPr>
        <w:t xml:space="preserve"> </w:t>
      </w:r>
      <w:r>
        <w:rPr>
          <w:rFonts w:hint="cs"/>
          <w:rtl/>
        </w:rPr>
        <w:t>וכ' בציונים מהש"ך (אות כ) דכן דעת הרשב"א (חולין קח: ד"ה אילימא) ומהרא</w:t>
      </w:r>
      <w:r>
        <w:rPr>
          <w:rtl/>
        </w:rPr>
        <w:t>"</w:t>
      </w:r>
      <w:r>
        <w:rPr>
          <w:rFonts w:hint="cs"/>
          <w:rtl/>
        </w:rPr>
        <w:t>י (בהגשע</w:t>
      </w:r>
      <w:r>
        <w:rPr>
          <w:rtl/>
        </w:rPr>
        <w:t>"</w:t>
      </w:r>
      <w:r>
        <w:rPr>
          <w:rFonts w:hint="cs"/>
          <w:rtl/>
        </w:rPr>
        <w:t xml:space="preserve">ד סי' נא אות ג) בשם או"ז ומהר"ם. </w:t>
      </w:r>
    </w:p>
  </w:footnote>
  <w:footnote w:id="2211">
    <w:p w14:paraId="1215563E" w14:textId="77777777" w:rsidR="004C5A3C" w:rsidRDefault="004C5A3C" w:rsidP="002C39F4">
      <w:pPr>
        <w:pStyle w:val="a5"/>
        <w:rPr>
          <w:rtl/>
        </w:rPr>
      </w:pPr>
      <w:r>
        <w:rPr>
          <w:rStyle w:val="a7"/>
        </w:rPr>
        <w:footnoteRef/>
      </w:r>
      <w:r>
        <w:rPr>
          <w:rtl/>
        </w:rPr>
        <w:t xml:space="preserve"> </w:t>
      </w:r>
      <w:r w:rsidRPr="00C22C77">
        <w:rPr>
          <w:rFonts w:cs="Arial"/>
          <w:rtl/>
        </w:rPr>
        <w:t>ופשוט הוא דאינו אוסר רק כ"ק בלא רוטב כמו שנתבאר לעיל (אות ה)</w:t>
      </w:r>
      <w:r>
        <w:rPr>
          <w:rFonts w:cs="Arial" w:hint="cs"/>
          <w:rtl/>
        </w:rPr>
        <w:t>, דרכ"מ (אות כ).</w:t>
      </w:r>
    </w:p>
  </w:footnote>
  <w:footnote w:id="2212">
    <w:p w14:paraId="579A4C7B" w14:textId="77777777" w:rsidR="004C5A3C" w:rsidRPr="007449E5" w:rsidRDefault="004C5A3C" w:rsidP="002C39F4">
      <w:pPr>
        <w:pStyle w:val="a5"/>
        <w:rPr>
          <w:rFonts w:cs="Arial"/>
          <w:rtl/>
        </w:rPr>
      </w:pPr>
      <w:r>
        <w:rPr>
          <w:rStyle w:val="a7"/>
        </w:rPr>
        <w:footnoteRef/>
      </w:r>
      <w:r>
        <w:rPr>
          <w:rtl/>
        </w:rPr>
        <w:t xml:space="preserve"> </w:t>
      </w:r>
      <w:r w:rsidRPr="00381ACB">
        <w:rPr>
          <w:rFonts w:cs="Arial"/>
          <w:rtl/>
        </w:rPr>
        <w:t xml:space="preserve">הקשה רש"ל </w:t>
      </w:r>
      <w:r w:rsidRPr="007449E5">
        <w:rPr>
          <w:rFonts w:cs="Arial" w:hint="cs"/>
          <w:sz w:val="16"/>
          <w:szCs w:val="16"/>
          <w:rtl/>
        </w:rPr>
        <w:t>(</w:t>
      </w:r>
      <w:r w:rsidRPr="007449E5">
        <w:rPr>
          <w:rFonts w:cs="Arial"/>
          <w:sz w:val="16"/>
          <w:szCs w:val="16"/>
          <w:rtl/>
        </w:rPr>
        <w:t>פג"ה סי' מה</w:t>
      </w:r>
      <w:r w:rsidRPr="007449E5">
        <w:rPr>
          <w:rFonts w:cs="Arial" w:hint="cs"/>
          <w:sz w:val="16"/>
          <w:szCs w:val="16"/>
          <w:rtl/>
        </w:rPr>
        <w:t>)</w:t>
      </w:r>
      <w:r w:rsidRPr="007449E5">
        <w:rPr>
          <w:rFonts w:cs="Arial"/>
          <w:sz w:val="16"/>
          <w:szCs w:val="16"/>
          <w:rtl/>
        </w:rPr>
        <w:t xml:space="preserve"> </w:t>
      </w:r>
      <w:r w:rsidRPr="00381ACB">
        <w:rPr>
          <w:rFonts w:cs="Arial"/>
          <w:rtl/>
        </w:rPr>
        <w:t>דהא קי"ל אין איסור בלוע הולך בלא רוטב אפילו בבשר בחלב</w:t>
      </w:r>
      <w:r>
        <w:rPr>
          <w:rFonts w:cs="Arial" w:hint="cs"/>
          <w:rtl/>
        </w:rPr>
        <w:t>,</w:t>
      </w:r>
      <w:r w:rsidRPr="00381ACB">
        <w:rPr>
          <w:rFonts w:cs="Arial"/>
          <w:rtl/>
        </w:rPr>
        <w:t xml:space="preserve"> וראייה מטיפת חלב שנפלה על בשר בסי' צ"ב דכשנאסרה אותה חתיכ</w:t>
      </w:r>
      <w:r>
        <w:rPr>
          <w:rFonts w:cs="Arial" w:hint="cs"/>
          <w:rtl/>
        </w:rPr>
        <w:t>ה</w:t>
      </w:r>
      <w:r w:rsidRPr="00381ACB">
        <w:rPr>
          <w:rFonts w:cs="Arial"/>
          <w:rtl/>
        </w:rPr>
        <w:t xml:space="preserve"> בלא ניעור וכיסה אינה אוסרת אחרות שנגעו חמין זו בזו</w:t>
      </w:r>
      <w:r>
        <w:rPr>
          <w:rFonts w:cs="Arial" w:hint="cs"/>
          <w:rtl/>
        </w:rPr>
        <w:t>,</w:t>
      </w:r>
      <w:r w:rsidRPr="00381ACB">
        <w:rPr>
          <w:rFonts w:cs="Arial"/>
          <w:rtl/>
        </w:rPr>
        <w:t xml:space="preserve"> אלא שהטור לא דק בכאן אם לא שנפרש מ"ש כאן בבשר בחלב היינו בשר חם שנגע בגבינה שזה חשוב איסור מחמת עצמו עכ"ל. פי' שהבשר יהא אסור מחמת זה</w:t>
      </w:r>
      <w:r>
        <w:rPr>
          <w:rFonts w:cs="Arial" w:hint="cs"/>
          <w:rtl/>
        </w:rPr>
        <w:t>,</w:t>
      </w:r>
      <w:r w:rsidRPr="00381ACB">
        <w:rPr>
          <w:rFonts w:cs="Arial"/>
          <w:rtl/>
        </w:rPr>
        <w:t xml:space="preserve"> </w:t>
      </w:r>
      <w:r>
        <w:rPr>
          <w:rFonts w:cs="Arial" w:hint="cs"/>
          <w:rtl/>
        </w:rPr>
        <w:t xml:space="preserve">ט"ז </w:t>
      </w:r>
      <w:r w:rsidRPr="007449E5">
        <w:rPr>
          <w:rFonts w:cs="Arial" w:hint="cs"/>
          <w:sz w:val="16"/>
          <w:szCs w:val="16"/>
          <w:rtl/>
        </w:rPr>
        <w:t>(סקי"ג)</w:t>
      </w:r>
      <w:r>
        <w:rPr>
          <w:rFonts w:hint="cs"/>
          <w:rtl/>
        </w:rPr>
        <w:t xml:space="preserve">. אך הש"ך </w:t>
      </w:r>
      <w:r w:rsidRPr="007449E5">
        <w:rPr>
          <w:rFonts w:hint="cs"/>
          <w:sz w:val="16"/>
          <w:szCs w:val="16"/>
          <w:rtl/>
        </w:rPr>
        <w:t xml:space="preserve">(סקי"ז) </w:t>
      </w:r>
      <w:r>
        <w:rPr>
          <w:rFonts w:hint="cs"/>
          <w:rtl/>
        </w:rPr>
        <w:t xml:space="preserve">כ' דאין תירוץ זה עיקר, אלא סבירא ליה להרב דאע"ג דקיי"ל חם בחם בלא רוטב אוסר כולו, היינו מטעם שאין אנו בקיאין בין כחוש לשמן, אבל מ"מ מה שאינו גוף האיסור רק ע"י בליעה לא חמיר כ"כ, ואוקמוה אדינא דאינו אוסר כשאינו מפעפע, וחלב איסור כחוש מיקרי ואינו מפעפע, </w:t>
      </w:r>
      <w:r w:rsidRPr="007449E5">
        <w:rPr>
          <w:rFonts w:cs="Arial"/>
          <w:rtl/>
        </w:rPr>
        <w:t>שוב מצאתי באו"ש מהרש"ל שנדפסו בלובלין</w:t>
      </w:r>
      <w:r w:rsidRPr="007449E5">
        <w:rPr>
          <w:rFonts w:cs="Arial"/>
          <w:sz w:val="16"/>
          <w:szCs w:val="16"/>
          <w:rtl/>
        </w:rPr>
        <w:t xml:space="preserve"> </w:t>
      </w:r>
      <w:r w:rsidRPr="007449E5">
        <w:rPr>
          <w:rFonts w:cs="Arial" w:hint="cs"/>
          <w:sz w:val="16"/>
          <w:szCs w:val="16"/>
          <w:rtl/>
        </w:rPr>
        <w:t>(</w:t>
      </w:r>
      <w:r w:rsidRPr="007449E5">
        <w:rPr>
          <w:rFonts w:cs="Arial"/>
          <w:sz w:val="16"/>
          <w:szCs w:val="16"/>
          <w:rtl/>
        </w:rPr>
        <w:t>דף לג</w:t>
      </w:r>
      <w:r w:rsidRPr="007449E5">
        <w:rPr>
          <w:rFonts w:cs="Arial" w:hint="cs"/>
          <w:sz w:val="16"/>
          <w:szCs w:val="16"/>
          <w:rtl/>
        </w:rPr>
        <w:t>)</w:t>
      </w:r>
      <w:r w:rsidRPr="007449E5">
        <w:rPr>
          <w:rFonts w:cs="Arial"/>
          <w:rtl/>
        </w:rPr>
        <w:t xml:space="preserve"> כתוב שם הג"ה ממהרש"ל שהביא אדרבה ראיה מפכ"ה דגבי בשר בחלב אוסרת חתיכה חברתה בלא רוטב וכתב שם שכ</w:t>
      </w:r>
      <w:r>
        <w:rPr>
          <w:rFonts w:cs="Arial" w:hint="cs"/>
          <w:rtl/>
        </w:rPr>
        <w:t>"</w:t>
      </w:r>
      <w:r w:rsidRPr="007449E5">
        <w:rPr>
          <w:rFonts w:cs="Arial"/>
          <w:rtl/>
        </w:rPr>
        <w:t>פ מורו ורבו הגאון</w:t>
      </w:r>
      <w:r>
        <w:rPr>
          <w:rFonts w:cs="Arial" w:hint="cs"/>
          <w:rtl/>
        </w:rPr>
        <w:t>.</w:t>
      </w:r>
      <w:r>
        <w:rPr>
          <w:rFonts w:hint="cs"/>
          <w:color w:val="FF0000"/>
          <w:rtl/>
        </w:rPr>
        <w:t xml:space="preserve"> </w:t>
      </w:r>
      <w:r w:rsidRPr="007449E5">
        <w:rPr>
          <w:rFonts w:hint="cs"/>
          <w:color w:val="FF0000"/>
          <w:rtl/>
        </w:rPr>
        <w:t>צ</w:t>
      </w:r>
      <w:r>
        <w:rPr>
          <w:rFonts w:hint="cs"/>
          <w:color w:val="FF0000"/>
          <w:rtl/>
        </w:rPr>
        <w:t>ל</w:t>
      </w:r>
      <w:r w:rsidRPr="007449E5">
        <w:rPr>
          <w:rFonts w:hint="cs"/>
          <w:color w:val="FF0000"/>
          <w:rtl/>
        </w:rPr>
        <w:t>"ע שוב בש"ך</w:t>
      </w:r>
      <w:r>
        <w:rPr>
          <w:rFonts w:hint="cs"/>
          <w:color w:val="FF0000"/>
          <w:rtl/>
        </w:rPr>
        <w:t>.</w:t>
      </w:r>
    </w:p>
  </w:footnote>
  <w:footnote w:id="2213">
    <w:p w14:paraId="55750138" w14:textId="77777777" w:rsidR="004C5A3C" w:rsidRDefault="004C5A3C" w:rsidP="002C39F4">
      <w:pPr>
        <w:pStyle w:val="a5"/>
        <w:rPr>
          <w:rtl/>
        </w:rPr>
      </w:pPr>
      <w:r>
        <w:rPr>
          <w:rStyle w:val="a7"/>
        </w:rPr>
        <w:footnoteRef/>
      </w:r>
      <w:r>
        <w:rPr>
          <w:rtl/>
        </w:rPr>
        <w:t xml:space="preserve"> </w:t>
      </w:r>
      <w:r>
        <w:rPr>
          <w:rFonts w:cs="Arial" w:hint="cs"/>
          <w:rtl/>
        </w:rPr>
        <w:t xml:space="preserve">ואפילו קליפה אין צריך, ט"ז (סקי"ד). </w:t>
      </w:r>
      <w:r w:rsidRPr="00300C63">
        <w:rPr>
          <w:rFonts w:cs="Arial"/>
          <w:rtl/>
        </w:rPr>
        <w:t>ומליחה ש</w:t>
      </w:r>
      <w:r>
        <w:rPr>
          <w:rFonts w:cs="Arial" w:hint="cs"/>
          <w:rtl/>
        </w:rPr>
        <w:t>ו</w:t>
      </w:r>
      <w:r w:rsidRPr="00300C63">
        <w:rPr>
          <w:rFonts w:cs="Arial"/>
          <w:rtl/>
        </w:rPr>
        <w:t>וה לצלי</w:t>
      </w:r>
      <w:r>
        <w:rPr>
          <w:rFonts w:cs="Arial" w:hint="cs"/>
          <w:rtl/>
        </w:rPr>
        <w:t>,</w:t>
      </w:r>
      <w:r w:rsidRPr="00300C63">
        <w:rPr>
          <w:rFonts w:cs="Arial"/>
          <w:rtl/>
        </w:rPr>
        <w:t xml:space="preserve"> ת"ח </w:t>
      </w:r>
      <w:r>
        <w:rPr>
          <w:rFonts w:cs="Arial" w:hint="cs"/>
          <w:rtl/>
        </w:rPr>
        <w:t>(</w:t>
      </w:r>
      <w:r w:rsidRPr="00300C63">
        <w:rPr>
          <w:rFonts w:cs="Arial"/>
          <w:rtl/>
        </w:rPr>
        <w:t>כלל כ"ח ד"א</w:t>
      </w:r>
      <w:r>
        <w:rPr>
          <w:rFonts w:cs="Arial" w:hint="cs"/>
          <w:rtl/>
        </w:rPr>
        <w:t>)</w:t>
      </w:r>
      <w:r w:rsidRPr="00300C63">
        <w:rPr>
          <w:rFonts w:cs="Arial"/>
          <w:rtl/>
        </w:rPr>
        <w:t xml:space="preserve"> בשם או"ה</w:t>
      </w:r>
      <w:r>
        <w:rPr>
          <w:rFonts w:cs="Arial" w:hint="cs"/>
          <w:rtl/>
        </w:rPr>
        <w:t>.</w:t>
      </w:r>
      <w:r w:rsidRPr="00300C63">
        <w:rPr>
          <w:rFonts w:cs="Arial"/>
          <w:rtl/>
        </w:rPr>
        <w:t xml:space="preserve"> </w:t>
      </w:r>
      <w:r>
        <w:rPr>
          <w:rFonts w:cs="Arial" w:hint="cs"/>
          <w:rtl/>
        </w:rPr>
        <w:t>וכ' הש"ך (סקי"ט)- ו</w:t>
      </w:r>
      <w:r w:rsidRPr="00EB1931">
        <w:rPr>
          <w:rFonts w:cs="Arial"/>
          <w:rtl/>
        </w:rPr>
        <w:t xml:space="preserve">אפי' החתיכה שנבלע בה האיסור שמן ושומן שבה מפעפע לפי שאין השומן שבה מוליך עמו האיסור אלא למקום שהאיסור עצמו יכול לילך שם בטבעו עכ"ל הטור והוא הסכמת הפוסקים והמחבר שהשמיטו נראה מפני שהקשה בב"י ע"ז </w:t>
      </w:r>
      <w:r>
        <w:rPr>
          <w:rFonts w:cs="Arial" w:hint="cs"/>
          <w:sz w:val="16"/>
          <w:szCs w:val="16"/>
          <w:rtl/>
        </w:rPr>
        <w:t>(</w:t>
      </w:r>
      <w:r w:rsidRPr="00EB1931">
        <w:rPr>
          <w:rFonts w:cs="Arial"/>
          <w:sz w:val="16"/>
          <w:szCs w:val="16"/>
          <w:rtl/>
        </w:rPr>
        <w:t>וז"ל ויש לתמוה על דברים אלו שהם סותרים למ"ש לעיל סעיף ה' אפי' חתיכת האיסור כחוש וחתיכת ההיתר שנצלה עמה שמן האיסור מפעפע בכולה עכ"ל, והיינו כמו שפי' שם דאזיל ההיתר ומפטם לאיסור הכחוש והדר האיסור ומפטם להיתר וא</w:t>
      </w:r>
      <w:r>
        <w:rPr>
          <w:rFonts w:cs="Arial" w:hint="cs"/>
          <w:sz w:val="16"/>
          <w:szCs w:val="16"/>
          <w:rtl/>
        </w:rPr>
        <w:t>"</w:t>
      </w:r>
      <w:r w:rsidRPr="00EB1931">
        <w:rPr>
          <w:rFonts w:cs="Arial"/>
          <w:sz w:val="16"/>
          <w:szCs w:val="16"/>
          <w:rtl/>
        </w:rPr>
        <w:t>כ ע"כ השומן מוליך האיסור עמו ואע</w:t>
      </w:r>
      <w:r>
        <w:rPr>
          <w:rFonts w:cs="Arial" w:hint="cs"/>
          <w:sz w:val="16"/>
          <w:szCs w:val="16"/>
          <w:rtl/>
        </w:rPr>
        <w:t>"</w:t>
      </w:r>
      <w:r w:rsidRPr="00EB1931">
        <w:rPr>
          <w:rFonts w:cs="Arial"/>
          <w:sz w:val="16"/>
          <w:szCs w:val="16"/>
          <w:rtl/>
        </w:rPr>
        <w:t>ג דדין דהכא הוא מוסכם מכל הפוסקים כמ"ש בב"י ודין דלעיל לא הוזכר בשום פוסק עם כל זה חש המחבר להחמיר לעיל ס"ה וכאן סתם הדברים ולא אמר בה לא איסור ולא היתר זהו נראה בדעת המחבר</w:t>
      </w:r>
      <w:r>
        <w:rPr>
          <w:rFonts w:cs="Arial" w:hint="cs"/>
          <w:sz w:val="16"/>
          <w:szCs w:val="16"/>
          <w:rtl/>
        </w:rPr>
        <w:t>)</w:t>
      </w:r>
      <w:r w:rsidRPr="00EB1931">
        <w:rPr>
          <w:rFonts w:cs="Arial"/>
          <w:sz w:val="16"/>
          <w:szCs w:val="16"/>
          <w:rtl/>
        </w:rPr>
        <w:t xml:space="preserve"> </w:t>
      </w:r>
      <w:r w:rsidRPr="00EB1931">
        <w:rPr>
          <w:rFonts w:cs="Arial"/>
          <w:rtl/>
        </w:rPr>
        <w:t>אבל אין זה עיקר אלא נראה דודאי האי דינא דהכא קושטא הוא דהוא מוסכם מכל הפוסקים והך דלעיל לא קשיא כמ"ש מהרש"ל והפרישה והב"ח דהיכא דהאיסור אסור מחמת עצמו בהא קאמר לעיל דאפי' האיסור כחוש ההיתר שהוא שמן מוליך האיסור עמו מאחר דבע"כ בלאו הכי פולטת רוטב של איסור ובלאו הכי אוסר כדי נטילה הלכך אם ההיתר אצלו שמן מחזיק פליטתו ומבליע בכולו משא"כ הכא שאין החתיכה אסורה מחמת עצמה אלא שבלעה איסור</w:t>
      </w:r>
      <w:r>
        <w:rPr>
          <w:rFonts w:cs="Arial" w:hint="cs"/>
          <w:rtl/>
        </w:rPr>
        <w:t>.</w:t>
      </w:r>
    </w:p>
  </w:footnote>
  <w:footnote w:id="2214">
    <w:p w14:paraId="04BCA8D3" w14:textId="77777777" w:rsidR="004C5A3C" w:rsidRDefault="004C5A3C" w:rsidP="002C39F4">
      <w:pPr>
        <w:pStyle w:val="a5"/>
        <w:rPr>
          <w:rtl/>
        </w:rPr>
      </w:pPr>
      <w:r>
        <w:rPr>
          <w:rStyle w:val="a7"/>
        </w:rPr>
        <w:footnoteRef/>
      </w:r>
      <w:r>
        <w:rPr>
          <w:rtl/>
        </w:rPr>
        <w:t xml:space="preserve"> </w:t>
      </w:r>
      <w:r>
        <w:rPr>
          <w:rFonts w:cs="Arial" w:hint="cs"/>
          <w:rtl/>
        </w:rPr>
        <w:t>ו</w:t>
      </w:r>
      <w:r w:rsidRPr="00300C63">
        <w:rPr>
          <w:rFonts w:cs="Arial"/>
          <w:rtl/>
        </w:rPr>
        <w:t>דם לא חשיב איסור מפעפע לענין זה</w:t>
      </w:r>
      <w:r>
        <w:rPr>
          <w:rFonts w:cs="Arial" w:hint="cs"/>
          <w:rtl/>
        </w:rPr>
        <w:t xml:space="preserve">, ש"ך (סקי"ח). וכ' הט"ז (סקט"ו)- </w:t>
      </w:r>
      <w:r w:rsidRPr="00E92A43">
        <w:rPr>
          <w:rFonts w:cs="Arial"/>
          <w:rtl/>
        </w:rPr>
        <w:t>משמע דחלב אינה מפעפעת</w:t>
      </w:r>
      <w:r>
        <w:rPr>
          <w:rFonts w:cs="Arial" w:hint="cs"/>
          <w:rtl/>
        </w:rPr>
        <w:t>...</w:t>
      </w:r>
      <w:r w:rsidRPr="00E92A43">
        <w:rPr>
          <w:rFonts w:cs="Arial"/>
          <w:rtl/>
        </w:rPr>
        <w:t xml:space="preserve"> ולעיל סימן פ"ז סע</w:t>
      </w:r>
      <w:r>
        <w:rPr>
          <w:rFonts w:cs="Arial" w:hint="cs"/>
          <w:rtl/>
        </w:rPr>
        <w:t>'</w:t>
      </w:r>
      <w:r w:rsidRPr="00E92A43">
        <w:rPr>
          <w:rFonts w:cs="Arial"/>
          <w:rtl/>
        </w:rPr>
        <w:t xml:space="preserve"> י' מוכח דאמרינן דהחלב נקרא איסור שהוא מפעפע</w:t>
      </w:r>
      <w:r>
        <w:rPr>
          <w:rFonts w:cs="Arial" w:hint="cs"/>
          <w:rtl/>
        </w:rPr>
        <w:t>.</w:t>
      </w:r>
    </w:p>
  </w:footnote>
  <w:footnote w:id="2215">
    <w:p w14:paraId="54A55435" w14:textId="77777777" w:rsidR="004C5A3C" w:rsidRDefault="004C5A3C" w:rsidP="002C39F4">
      <w:pPr>
        <w:pStyle w:val="a5"/>
      </w:pPr>
      <w:r>
        <w:rPr>
          <w:rStyle w:val="a7"/>
        </w:rPr>
        <w:footnoteRef/>
      </w:r>
      <w:r>
        <w:rPr>
          <w:rtl/>
        </w:rPr>
        <w:t xml:space="preserve"> </w:t>
      </w:r>
      <w:r w:rsidRPr="003668B1">
        <w:rPr>
          <w:rFonts w:cs="Arial"/>
          <w:rtl/>
        </w:rPr>
        <w:t>נראה דהכא אפילו להטו</w:t>
      </w:r>
      <w:r>
        <w:rPr>
          <w:rFonts w:cs="Arial" w:hint="cs"/>
          <w:rtl/>
        </w:rPr>
        <w:t>ר (עמ' רפג) והמחבר (סע' ד)</w:t>
      </w:r>
      <w:r w:rsidRPr="003668B1">
        <w:rPr>
          <w:rFonts w:cs="Arial"/>
          <w:rtl/>
        </w:rPr>
        <w:t xml:space="preserve"> אוסר כולו עד ס' נגד האיסור הבלוע דהא תלי טעמא שהאיסור הבלוע בעצמו מפעפע ויוצא</w:t>
      </w:r>
      <w:r>
        <w:rPr>
          <w:rFonts w:cs="Arial" w:hint="cs"/>
          <w:rtl/>
        </w:rPr>
        <w:t>,</w:t>
      </w:r>
      <w:r w:rsidRPr="003668B1">
        <w:rPr>
          <w:rFonts w:cs="Arial"/>
          <w:rtl/>
        </w:rPr>
        <w:t xml:space="preserve"> וכ"כ באו"ה כלל כ"ט ד"ד בהדיא</w:t>
      </w:r>
      <w:r>
        <w:rPr>
          <w:rFonts w:cs="Arial" w:hint="cs"/>
          <w:rtl/>
        </w:rPr>
        <w:t>, ש"ך (סק"כ).</w:t>
      </w:r>
    </w:p>
  </w:footnote>
  <w:footnote w:id="2216">
    <w:p w14:paraId="659C5FE0" w14:textId="77777777" w:rsidR="004C5A3C" w:rsidRDefault="004C5A3C" w:rsidP="002C39F4">
      <w:pPr>
        <w:pStyle w:val="a5"/>
      </w:pPr>
      <w:r>
        <w:rPr>
          <w:rStyle w:val="a7"/>
        </w:rPr>
        <w:footnoteRef/>
      </w:r>
      <w:r>
        <w:rPr>
          <w:rtl/>
        </w:rPr>
        <w:t xml:space="preserve"> </w:t>
      </w:r>
      <w:r w:rsidRPr="00E92A43">
        <w:rPr>
          <w:rFonts w:cs="Arial"/>
          <w:rtl/>
        </w:rPr>
        <w:t>משמע הא אם התחתונה צוננת אפי' קליפה לא בעי</w:t>
      </w:r>
      <w:r>
        <w:rPr>
          <w:rFonts w:cs="Arial" w:hint="cs"/>
          <w:rtl/>
        </w:rPr>
        <w:t>,</w:t>
      </w:r>
      <w:r w:rsidRPr="00E92A43">
        <w:rPr>
          <w:rFonts w:cs="Arial"/>
          <w:rtl/>
        </w:rPr>
        <w:t xml:space="preserve"> וטעמא נ"ל דהא דקי"ל חם לתוך צונן קולף היינו משום דמקמי דמוקיר ליה א"א דלא בלע פורתא והיינו דוקא מגוף הדבר שאצלו בולע מיד ממנו מעט מקמי דמוקיר ליה כיון שנוגע בו אבל אינו יוצא מחתיכה לחתיכה מקמי דמוקיר ליה</w:t>
      </w:r>
      <w:r>
        <w:rPr>
          <w:rFonts w:cs="Arial" w:hint="cs"/>
          <w:rtl/>
        </w:rPr>
        <w:t>, ש"ך (סקכ"א).</w:t>
      </w:r>
    </w:p>
  </w:footnote>
  <w:footnote w:id="2217">
    <w:p w14:paraId="3B17006C" w14:textId="4F1A1886" w:rsidR="004C5A3C" w:rsidRDefault="004C5A3C" w:rsidP="002C39F4">
      <w:pPr>
        <w:pStyle w:val="a5"/>
        <w:rPr>
          <w:rtl/>
        </w:rPr>
      </w:pPr>
      <w:r>
        <w:rPr>
          <w:rStyle w:val="a7"/>
        </w:rPr>
        <w:footnoteRef/>
      </w:r>
      <w:r>
        <w:rPr>
          <w:rtl/>
        </w:rPr>
        <w:t xml:space="preserve"> </w:t>
      </w:r>
      <w:r w:rsidRPr="00E92A43">
        <w:rPr>
          <w:rFonts w:cs="Arial"/>
          <w:rtl/>
        </w:rPr>
        <w:t>הטעם בזה דדוקא מאכל שיש לו מה לפלוט מגופו אז הבליעה אינה הולכת בלא רוטב</w:t>
      </w:r>
      <w:r w:rsidR="00D02174">
        <w:rPr>
          <w:rFonts w:cs="Arial" w:hint="cs"/>
          <w:rtl/>
        </w:rPr>
        <w:t>,</w:t>
      </w:r>
      <w:r w:rsidRPr="00E92A43">
        <w:rPr>
          <w:rFonts w:cs="Arial"/>
          <w:rtl/>
        </w:rPr>
        <w:t xml:space="preserve"> אבל כלי שאין בה פליטה מגופה אז יוצא שפיר מה שבלע</w:t>
      </w:r>
      <w:r w:rsidR="00D02174">
        <w:rPr>
          <w:rFonts w:cs="Arial" w:hint="cs"/>
          <w:rtl/>
        </w:rPr>
        <w:t>.</w:t>
      </w:r>
      <w:r w:rsidRPr="00E92A43">
        <w:rPr>
          <w:rFonts w:cs="Arial"/>
          <w:rtl/>
        </w:rPr>
        <w:t xml:space="preserve"> ולפי זה פשוט דכלי אין נאסר ממאכל שבלוע בו איסור שאינו מפעפע כגון כבד או בשר שנמלח בכלי שאינו מנוקב שיתבאר בסי' ק"ח סעיף א' דזה אינו מפעפע</w:t>
      </w:r>
      <w:r>
        <w:rPr>
          <w:rFonts w:hint="cs"/>
          <w:rtl/>
        </w:rPr>
        <w:t>, ט"ז (סקט"ז).</w:t>
      </w:r>
    </w:p>
  </w:footnote>
  <w:footnote w:id="2218">
    <w:p w14:paraId="7C780639" w14:textId="77777777" w:rsidR="004C5A3C" w:rsidRDefault="004C5A3C" w:rsidP="002C39F4">
      <w:pPr>
        <w:pStyle w:val="a5"/>
      </w:pPr>
      <w:r>
        <w:rPr>
          <w:rStyle w:val="a7"/>
        </w:rPr>
        <w:footnoteRef/>
      </w:r>
      <w:r>
        <w:rPr>
          <w:rtl/>
        </w:rPr>
        <w:t xml:space="preserve"> </w:t>
      </w:r>
      <w:r w:rsidRPr="00E92A43">
        <w:rPr>
          <w:rFonts w:cs="Arial"/>
          <w:rtl/>
        </w:rPr>
        <w:t>ונראה דדוקא מאכל של היתר אבל אין כלי אוסר כלי בלי רוטב</w:t>
      </w:r>
      <w:r>
        <w:rPr>
          <w:rFonts w:cs="Arial" w:hint="cs"/>
          <w:rtl/>
        </w:rPr>
        <w:t>,</w:t>
      </w:r>
      <w:r w:rsidRPr="00E92A43">
        <w:rPr>
          <w:rFonts w:cs="Arial"/>
          <w:rtl/>
        </w:rPr>
        <w:t xml:space="preserve"> וכמ"ש הרב ס"ס צ"ב וצ"ג גבי שתי קדרות</w:t>
      </w:r>
      <w:r>
        <w:rPr>
          <w:rFonts w:cs="Arial" w:hint="cs"/>
          <w:rtl/>
        </w:rPr>
        <w:t>,</w:t>
      </w:r>
      <w:r w:rsidRPr="00E92A43">
        <w:rPr>
          <w:rFonts w:cs="Arial"/>
          <w:rtl/>
        </w:rPr>
        <w:t xml:space="preserve"> וכ"כ מהרש"ל </w:t>
      </w:r>
      <w:r>
        <w:rPr>
          <w:rFonts w:cs="Arial" w:hint="cs"/>
          <w:sz w:val="16"/>
          <w:szCs w:val="16"/>
          <w:rtl/>
        </w:rPr>
        <w:t>(</w:t>
      </w:r>
      <w:r w:rsidRPr="00E92A43">
        <w:rPr>
          <w:rFonts w:cs="Arial"/>
          <w:sz w:val="16"/>
          <w:szCs w:val="16"/>
          <w:rtl/>
        </w:rPr>
        <w:t>באו"ש ובספרו פג"ה סי' מה</w:t>
      </w:r>
      <w:r>
        <w:rPr>
          <w:rFonts w:cs="Arial" w:hint="cs"/>
          <w:sz w:val="16"/>
          <w:szCs w:val="16"/>
          <w:rtl/>
        </w:rPr>
        <w:t>)</w:t>
      </w:r>
      <w:r>
        <w:rPr>
          <w:rFonts w:cs="Arial" w:hint="cs"/>
          <w:rtl/>
        </w:rPr>
        <w:t>,</w:t>
      </w:r>
      <w:r w:rsidRPr="00E92A43">
        <w:rPr>
          <w:rFonts w:cs="Arial"/>
          <w:rtl/>
        </w:rPr>
        <w:t xml:space="preserve"> וכתב עוד שם אבל תבשיל כגון אורז או דגים שנבלע בהם בשר או חלב אם תחב בהן כף של בשר או חלב בן יומו שפיר אוסר בלוע את המאכל וחשיב המאכל כאילו הוא כולו בשר או חלב ונאסר עם הכף</w:t>
      </w:r>
      <w:r>
        <w:rPr>
          <w:rFonts w:cs="Arial" w:hint="cs"/>
          <w:rtl/>
        </w:rPr>
        <w:t>, ע"כ, ש"ך (סקכ"ב).</w:t>
      </w:r>
    </w:p>
  </w:footnote>
  <w:footnote w:id="2219">
    <w:p w14:paraId="2393B47E" w14:textId="77777777" w:rsidR="004C5A3C" w:rsidRDefault="004C5A3C" w:rsidP="002C39F4">
      <w:pPr>
        <w:pStyle w:val="a5"/>
        <w:rPr>
          <w:rtl/>
        </w:rPr>
      </w:pPr>
      <w:r>
        <w:rPr>
          <w:rStyle w:val="a7"/>
        </w:rPr>
        <w:footnoteRef/>
      </w:r>
      <w:r>
        <w:rPr>
          <w:rtl/>
        </w:rPr>
        <w:t xml:space="preserve"> </w:t>
      </w:r>
      <w:r w:rsidRPr="00E36F51">
        <w:rPr>
          <w:rFonts w:cs="Arial"/>
          <w:rtl/>
        </w:rPr>
        <w:t>משום דמפסיק קרמא</w:t>
      </w:r>
      <w:r>
        <w:rPr>
          <w:rFonts w:cs="Arial" w:hint="cs"/>
          <w:rtl/>
        </w:rPr>
        <w:t>, רש"י</w:t>
      </w:r>
      <w:r w:rsidRPr="00E36F51">
        <w:rPr>
          <w:rFonts w:cs="Arial"/>
          <w:rtl/>
        </w:rPr>
        <w:t>.</w:t>
      </w:r>
    </w:p>
  </w:footnote>
  <w:footnote w:id="2220">
    <w:p w14:paraId="747FFBF2" w14:textId="77777777" w:rsidR="004C5A3C" w:rsidRDefault="004C5A3C" w:rsidP="002C39F4">
      <w:pPr>
        <w:pStyle w:val="a5"/>
        <w:rPr>
          <w:rtl/>
        </w:rPr>
      </w:pPr>
      <w:r>
        <w:rPr>
          <w:rStyle w:val="a7"/>
        </w:rPr>
        <w:footnoteRef/>
      </w:r>
      <w:r>
        <w:rPr>
          <w:rtl/>
        </w:rPr>
        <w:t xml:space="preserve"> </w:t>
      </w:r>
      <w:r w:rsidRPr="002E47B9">
        <w:rPr>
          <w:rFonts w:cs="Arial"/>
          <w:rtl/>
        </w:rPr>
        <w:t>שקץ דגים קטנים</w:t>
      </w:r>
      <w:r>
        <w:rPr>
          <w:rFonts w:cs="Arial" w:hint="cs"/>
          <w:rtl/>
        </w:rPr>
        <w:t>, רש"י</w:t>
      </w:r>
      <w:r w:rsidRPr="002E47B9">
        <w:rPr>
          <w:rFonts w:cs="Arial"/>
          <w:rtl/>
        </w:rPr>
        <w:t>.</w:t>
      </w:r>
    </w:p>
  </w:footnote>
  <w:footnote w:id="2221">
    <w:p w14:paraId="6CF15944" w14:textId="77777777" w:rsidR="004C5A3C" w:rsidRDefault="004C5A3C" w:rsidP="002C39F4">
      <w:pPr>
        <w:pStyle w:val="a5"/>
        <w:rPr>
          <w:rtl/>
        </w:rPr>
      </w:pPr>
      <w:r>
        <w:rPr>
          <w:rStyle w:val="a7"/>
        </w:rPr>
        <w:footnoteRef/>
      </w:r>
      <w:r>
        <w:rPr>
          <w:rtl/>
        </w:rPr>
        <w:t xml:space="preserve"> </w:t>
      </w:r>
      <w:r w:rsidRPr="002E47B9">
        <w:rPr>
          <w:rFonts w:cs="Arial"/>
          <w:rtl/>
        </w:rPr>
        <w:t>של בשר</w:t>
      </w:r>
      <w:r>
        <w:rPr>
          <w:rFonts w:cs="Arial" w:hint="cs"/>
          <w:rtl/>
        </w:rPr>
        <w:t>, רש"י</w:t>
      </w:r>
      <w:r w:rsidRPr="002E47B9">
        <w:rPr>
          <w:rFonts w:cs="Arial"/>
          <w:rtl/>
        </w:rPr>
        <w:t>.</w:t>
      </w:r>
    </w:p>
  </w:footnote>
  <w:footnote w:id="2222">
    <w:p w14:paraId="01FA6457" w14:textId="77777777" w:rsidR="004C5A3C" w:rsidRDefault="004C5A3C" w:rsidP="002C39F4">
      <w:pPr>
        <w:pStyle w:val="a5"/>
      </w:pPr>
      <w:r>
        <w:rPr>
          <w:rStyle w:val="a7"/>
        </w:rPr>
        <w:footnoteRef/>
      </w:r>
      <w:r>
        <w:rPr>
          <w:rtl/>
        </w:rPr>
        <w:t xml:space="preserve"> </w:t>
      </w:r>
      <w:r>
        <w:rPr>
          <w:rFonts w:cs="Arial" w:hint="cs"/>
          <w:rtl/>
        </w:rPr>
        <w:t>ו</w:t>
      </w:r>
      <w:r w:rsidRPr="007834DE">
        <w:rPr>
          <w:rFonts w:cs="Arial"/>
          <w:rtl/>
        </w:rPr>
        <w:t>אע</w:t>
      </w:r>
      <w:r w:rsidRPr="007834DE">
        <w:rPr>
          <w:rFonts w:cs="Arial" w:hint="cs"/>
          <w:rtl/>
        </w:rPr>
        <w:t>"</w:t>
      </w:r>
      <w:r w:rsidRPr="007834DE">
        <w:rPr>
          <w:rFonts w:cs="Arial"/>
          <w:rtl/>
        </w:rPr>
        <w:t xml:space="preserve">פ שהגהות </w:t>
      </w:r>
      <w:r w:rsidRPr="007834DE">
        <w:rPr>
          <w:rFonts w:cs="Arial" w:hint="cs"/>
          <w:sz w:val="16"/>
          <w:szCs w:val="16"/>
          <w:rtl/>
        </w:rPr>
        <w:t>(</w:t>
      </w:r>
      <w:r w:rsidRPr="007834DE">
        <w:rPr>
          <w:rFonts w:cs="Arial"/>
          <w:sz w:val="16"/>
          <w:szCs w:val="16"/>
          <w:rtl/>
        </w:rPr>
        <w:t>פט"ו ד</w:t>
      </w:r>
      <w:r w:rsidRPr="007834DE">
        <w:rPr>
          <w:rFonts w:cs="Arial" w:hint="cs"/>
          <w:sz w:val="16"/>
          <w:szCs w:val="16"/>
          <w:rtl/>
        </w:rPr>
        <w:t>"ק</w:t>
      </w:r>
      <w:r w:rsidRPr="007834DE">
        <w:rPr>
          <w:rFonts w:cs="Arial"/>
          <w:sz w:val="16"/>
          <w:szCs w:val="16"/>
          <w:rtl/>
        </w:rPr>
        <w:t xml:space="preserve"> הל"ב)</w:t>
      </w:r>
      <w:r>
        <w:rPr>
          <w:rFonts w:cs="Arial" w:hint="cs"/>
          <w:rtl/>
        </w:rPr>
        <w:t xml:space="preserve"> </w:t>
      </w:r>
      <w:r w:rsidRPr="007834DE">
        <w:rPr>
          <w:rFonts w:cs="Arial"/>
          <w:rtl/>
        </w:rPr>
        <w:t>כתבו דאפשר דלא קי"ל כשינויא דכוליא בחלבא הוה וכו' על דברי רבינו והרא"ש יש לסמוך</w:t>
      </w:r>
      <w:r>
        <w:rPr>
          <w:rFonts w:cs="Arial" w:hint="cs"/>
          <w:rtl/>
        </w:rPr>
        <w:t>, ב"י</w:t>
      </w:r>
      <w:r w:rsidRPr="007834DE">
        <w:rPr>
          <w:rFonts w:cs="Arial" w:hint="cs"/>
          <w:rtl/>
        </w:rPr>
        <w:t>.</w:t>
      </w:r>
    </w:p>
  </w:footnote>
  <w:footnote w:id="2223">
    <w:p w14:paraId="7DE820F6" w14:textId="77777777" w:rsidR="004C5A3C" w:rsidRDefault="004C5A3C" w:rsidP="002C39F4">
      <w:pPr>
        <w:pStyle w:val="a5"/>
      </w:pPr>
      <w:r>
        <w:rPr>
          <w:rStyle w:val="a7"/>
        </w:rPr>
        <w:footnoteRef/>
      </w:r>
      <w:r>
        <w:rPr>
          <w:rtl/>
        </w:rPr>
        <w:t xml:space="preserve"> </w:t>
      </w:r>
      <w:r w:rsidRPr="00620623">
        <w:rPr>
          <w:rFonts w:cs="Arial"/>
          <w:rtl/>
        </w:rPr>
        <w:t xml:space="preserve">מ"ש בענין הקרומות כ"כ המרדכי בפג"ה </w:t>
      </w:r>
      <w:r w:rsidRPr="00FA5829">
        <w:rPr>
          <w:rFonts w:cs="Arial"/>
          <w:sz w:val="16"/>
          <w:szCs w:val="16"/>
          <w:rtl/>
        </w:rPr>
        <w:t xml:space="preserve">(סי' תרפד) </w:t>
      </w:r>
      <w:r w:rsidRPr="00620623">
        <w:rPr>
          <w:rFonts w:cs="Arial"/>
          <w:rtl/>
        </w:rPr>
        <w:t>דתורת גדי כחוש יש להם וסגי בקליפה</w:t>
      </w:r>
      <w:r>
        <w:rPr>
          <w:rFonts w:cs="Arial" w:hint="cs"/>
          <w:rtl/>
        </w:rPr>
        <w:t>,</w:t>
      </w:r>
      <w:r w:rsidRPr="00620623">
        <w:rPr>
          <w:rFonts w:cs="Arial"/>
          <w:rtl/>
        </w:rPr>
        <w:t xml:space="preserve"> ודברי הר"ן </w:t>
      </w:r>
      <w:r w:rsidRPr="00FA5829">
        <w:rPr>
          <w:rFonts w:cs="Arial"/>
          <w:sz w:val="16"/>
          <w:szCs w:val="16"/>
          <w:rtl/>
        </w:rPr>
        <w:t xml:space="preserve">(לד: ד"ה גדי שצלאו) </w:t>
      </w:r>
      <w:r w:rsidRPr="00620623">
        <w:rPr>
          <w:rFonts w:cs="Arial"/>
          <w:rtl/>
        </w:rPr>
        <w:t>נראה שהם כדברי הרשב"א</w:t>
      </w:r>
      <w:r>
        <w:rPr>
          <w:rFonts w:cs="Arial" w:hint="cs"/>
          <w:rtl/>
        </w:rPr>
        <w:t>, ב"י.</w:t>
      </w:r>
    </w:p>
  </w:footnote>
  <w:footnote w:id="2224">
    <w:p w14:paraId="4D4588E3" w14:textId="77777777" w:rsidR="004C5A3C" w:rsidRDefault="004C5A3C" w:rsidP="002C39F4">
      <w:pPr>
        <w:pStyle w:val="a5"/>
        <w:rPr>
          <w:rtl/>
        </w:rPr>
      </w:pPr>
      <w:r>
        <w:rPr>
          <w:rStyle w:val="a7"/>
        </w:rPr>
        <w:footnoteRef/>
      </w:r>
      <w:r>
        <w:rPr>
          <w:rtl/>
        </w:rPr>
        <w:t xml:space="preserve"> </w:t>
      </w:r>
      <w:r w:rsidRPr="002E47B9">
        <w:rPr>
          <w:rFonts w:cs="Arial"/>
          <w:rtl/>
        </w:rPr>
        <w:t>נראה דבכה"ג אף מהרא"י ז"ל (ת</w:t>
      </w:r>
      <w:r>
        <w:rPr>
          <w:rFonts w:cs="Arial" w:hint="cs"/>
          <w:rtl/>
        </w:rPr>
        <w:t>רו</w:t>
      </w:r>
      <w:r w:rsidRPr="002E47B9">
        <w:rPr>
          <w:rFonts w:cs="Arial"/>
          <w:rtl/>
        </w:rPr>
        <w:t>ה"ד סי' צח) מודה דיש להקל</w:t>
      </w:r>
      <w:r>
        <w:rPr>
          <w:rFonts w:cs="Arial" w:hint="cs"/>
          <w:rtl/>
        </w:rPr>
        <w:t>,</w:t>
      </w:r>
      <w:r w:rsidRPr="002E47B9">
        <w:rPr>
          <w:rFonts w:cs="Arial"/>
          <w:rtl/>
        </w:rPr>
        <w:t xml:space="preserve"> וכמ"ש לעיל בשם הרשב"א והרמב"ם דיש להקל בחלב דרבנן כגון הקרומין והחוטין שהם דרבנן</w:t>
      </w:r>
      <w:r>
        <w:rPr>
          <w:rFonts w:cs="Arial" w:hint="cs"/>
          <w:rtl/>
        </w:rPr>
        <w:t>,</w:t>
      </w:r>
      <w:r w:rsidRPr="002E47B9">
        <w:rPr>
          <w:rFonts w:cs="Arial"/>
          <w:rtl/>
        </w:rPr>
        <w:t xml:space="preserve"> מיהו מדקאמר והוא הדין בקרום שעל היותרת משמע דאין חילוק</w:t>
      </w:r>
      <w:r>
        <w:rPr>
          <w:rFonts w:cs="Arial" w:hint="cs"/>
          <w:rtl/>
        </w:rPr>
        <w:t>, דרכ"מ (אות ח).</w:t>
      </w:r>
    </w:p>
  </w:footnote>
  <w:footnote w:id="2225">
    <w:p w14:paraId="7FA13F42" w14:textId="77777777" w:rsidR="004C5A3C" w:rsidRDefault="004C5A3C" w:rsidP="002C39F4">
      <w:pPr>
        <w:pStyle w:val="a5"/>
      </w:pPr>
      <w:r>
        <w:rPr>
          <w:rStyle w:val="a7"/>
        </w:rPr>
        <w:footnoteRef/>
      </w:r>
      <w:r>
        <w:rPr>
          <w:rtl/>
        </w:rPr>
        <w:t xml:space="preserve"> </w:t>
      </w:r>
      <w:r>
        <w:rPr>
          <w:rFonts w:cs="Arial" w:hint="cs"/>
          <w:rtl/>
        </w:rPr>
        <w:t>ד</w:t>
      </w:r>
      <w:r w:rsidRPr="002E47B9">
        <w:rPr>
          <w:rFonts w:cs="Arial"/>
          <w:rtl/>
        </w:rPr>
        <w:t>ההוא שינוייא דכחוש היה לא קאי לפי המסקנא, וכן שינוייא דכוליה בחלבה הוה, אלא העיקר כילבית באלפס, וכן נראה עיקר דאותו תירוץ בא לסתור כל הראשונים ולומר דל</w:t>
      </w:r>
      <w:r>
        <w:rPr>
          <w:rFonts w:cs="Arial" w:hint="cs"/>
          <w:rtl/>
        </w:rPr>
        <w:t xml:space="preserve">א </w:t>
      </w:r>
      <w:r w:rsidRPr="002E47B9">
        <w:rPr>
          <w:rFonts w:cs="Arial"/>
          <w:rtl/>
        </w:rPr>
        <w:t>ה</w:t>
      </w:r>
      <w:r>
        <w:rPr>
          <w:rFonts w:cs="Arial" w:hint="cs"/>
          <w:rtl/>
        </w:rPr>
        <w:t xml:space="preserve">יו </w:t>
      </w:r>
      <w:r w:rsidRPr="002E47B9">
        <w:rPr>
          <w:rFonts w:cs="Arial"/>
          <w:rtl/>
        </w:rPr>
        <w:t>ד</w:t>
      </w:r>
      <w:r>
        <w:rPr>
          <w:rFonts w:cs="Arial" w:hint="cs"/>
          <w:rtl/>
        </w:rPr>
        <w:t xml:space="preserve">ברים </w:t>
      </w:r>
      <w:r w:rsidRPr="002E47B9">
        <w:rPr>
          <w:rFonts w:cs="Arial"/>
          <w:rtl/>
        </w:rPr>
        <w:t>מ</w:t>
      </w:r>
      <w:r>
        <w:rPr>
          <w:rFonts w:cs="Arial" w:hint="cs"/>
          <w:rtl/>
        </w:rPr>
        <w:t>עולם</w:t>
      </w:r>
      <w:r w:rsidRPr="002E47B9">
        <w:rPr>
          <w:rFonts w:cs="Arial"/>
          <w:rtl/>
        </w:rPr>
        <w:t xml:space="preserve"> דהמעשה הגדי לא הוו בחלבה ולא כוליה בחלבה דאם כן רבי יוחנן לא הוה שרי</w:t>
      </w:r>
      <w:r>
        <w:rPr>
          <w:rFonts w:cs="Arial" w:hint="cs"/>
          <w:rtl/>
        </w:rPr>
        <w:t>,</w:t>
      </w:r>
      <w:r w:rsidRPr="002E47B9">
        <w:rPr>
          <w:rFonts w:cs="Arial"/>
          <w:rtl/>
        </w:rPr>
        <w:t xml:space="preserve"> אלא המעשה הוה בכלבית באלפס ואמר לטעמיה קפילא ארמאה</w:t>
      </w:r>
      <w:r>
        <w:rPr>
          <w:rFonts w:cs="Arial" w:hint="cs"/>
          <w:rtl/>
        </w:rPr>
        <w:t>,</w:t>
      </w:r>
      <w:r w:rsidRPr="002E47B9">
        <w:rPr>
          <w:rFonts w:cs="Arial"/>
          <w:rtl/>
        </w:rPr>
        <w:t xml:space="preserve"> וכן נראה דתימה גדולה הוא להתיר כוליא בחלבה משום קרום מפסיק ודבר ידוע הוא כי החלב נבלע בכל הכוליא</w:t>
      </w:r>
      <w:r>
        <w:rPr>
          <w:rFonts w:cs="Arial" w:hint="cs"/>
          <w:rtl/>
        </w:rPr>
        <w:t xml:space="preserve">, ר"פ </w:t>
      </w:r>
      <w:r w:rsidRPr="00042B57">
        <w:rPr>
          <w:rFonts w:cs="Arial" w:hint="cs"/>
          <w:sz w:val="16"/>
          <w:szCs w:val="16"/>
          <w:rtl/>
        </w:rPr>
        <w:t>(שם)</w:t>
      </w:r>
      <w:r>
        <w:rPr>
          <w:rFonts w:cs="Arial" w:hint="cs"/>
          <w:rtl/>
        </w:rPr>
        <w:t>. וכ' מהרא"י</w:t>
      </w:r>
      <w:r w:rsidRPr="00662B6D">
        <w:rPr>
          <w:rFonts w:cs="Arial" w:hint="cs"/>
          <w:sz w:val="16"/>
          <w:szCs w:val="16"/>
          <w:rtl/>
        </w:rPr>
        <w:t xml:space="preserve"> (בתרוה"ד שם)</w:t>
      </w:r>
      <w:r>
        <w:rPr>
          <w:rFonts w:cs="Arial" w:hint="cs"/>
          <w:rtl/>
        </w:rPr>
        <w:t xml:space="preserve">- </w:t>
      </w:r>
      <w:r w:rsidRPr="002E47B9">
        <w:rPr>
          <w:rFonts w:cs="Arial"/>
          <w:rtl/>
        </w:rPr>
        <w:t>גם</w:t>
      </w:r>
      <w:r>
        <w:rPr>
          <w:rFonts w:cs="Arial" w:hint="cs"/>
          <w:rtl/>
        </w:rPr>
        <w:t xml:space="preserve"> </w:t>
      </w:r>
      <w:r w:rsidRPr="002E47B9">
        <w:rPr>
          <w:rFonts w:cs="Arial"/>
          <w:rtl/>
        </w:rPr>
        <w:t>לפי דברי הטור היה צריך לבדוק אם לא נקרע הקרום קודם לכן דאז דינו כשאר חלב שנצלה או נמלח עם בשר</w:t>
      </w:r>
      <w:r>
        <w:rPr>
          <w:rFonts w:cs="Arial" w:hint="cs"/>
          <w:rtl/>
        </w:rPr>
        <w:t>,</w:t>
      </w:r>
      <w:r w:rsidRPr="002E47B9">
        <w:rPr>
          <w:rFonts w:cs="Arial"/>
          <w:rtl/>
        </w:rPr>
        <w:t xml:space="preserve"> וה"ה אם נתבשל בכוליא נ</w:t>
      </w:r>
      <w:r>
        <w:rPr>
          <w:rFonts w:cs="Arial" w:hint="cs"/>
          <w:rtl/>
        </w:rPr>
        <w:t>"</w:t>
      </w:r>
      <w:r w:rsidRPr="002E47B9">
        <w:rPr>
          <w:rFonts w:cs="Arial"/>
          <w:rtl/>
        </w:rPr>
        <w:t>נ וצריך ס' נגד כולה</w:t>
      </w:r>
      <w:r>
        <w:rPr>
          <w:rFonts w:cs="Arial" w:hint="cs"/>
          <w:rtl/>
        </w:rPr>
        <w:t>,</w:t>
      </w:r>
      <w:r w:rsidRPr="002E47B9">
        <w:rPr>
          <w:rFonts w:cs="Arial"/>
          <w:rtl/>
        </w:rPr>
        <w:t xml:space="preserve"> וכן הוריתי הלכה למעשה כמה פעמים</w:t>
      </w:r>
      <w:r>
        <w:rPr>
          <w:rFonts w:cs="Arial" w:hint="cs"/>
          <w:rtl/>
        </w:rPr>
        <w:t>,</w:t>
      </w:r>
      <w:r w:rsidRPr="002E47B9">
        <w:rPr>
          <w:rFonts w:cs="Arial"/>
          <w:rtl/>
        </w:rPr>
        <w:t xml:space="preserve"> וה"ה בקרום שעל היותרת</w:t>
      </w:r>
      <w:r>
        <w:rPr>
          <w:rFonts w:cs="Arial" w:hint="cs"/>
          <w:rtl/>
        </w:rPr>
        <w:t>.</w:t>
      </w:r>
    </w:p>
  </w:footnote>
  <w:footnote w:id="2226">
    <w:p w14:paraId="6804BC2A" w14:textId="77777777" w:rsidR="004C5A3C" w:rsidRDefault="004C5A3C" w:rsidP="002C39F4">
      <w:pPr>
        <w:pStyle w:val="a5"/>
      </w:pPr>
      <w:r>
        <w:rPr>
          <w:rStyle w:val="a7"/>
        </w:rPr>
        <w:footnoteRef/>
      </w:r>
      <w:r>
        <w:rPr>
          <w:rtl/>
        </w:rPr>
        <w:t xml:space="preserve"> </w:t>
      </w:r>
      <w:r w:rsidRPr="00A41568">
        <w:rPr>
          <w:rFonts w:cs="Arial"/>
          <w:rtl/>
        </w:rPr>
        <w:t>משמע דאפילו לא נמלח או נצלה תחילה מ"מ הוי איסור דבוק וצריך ששים נגד כל הכוליא ולא אמרינן דהקרום מפסיק לענין דאינו ממהר לבלוע טפי משאר החתיכות</w:t>
      </w:r>
      <w:r>
        <w:rPr>
          <w:rFonts w:cs="Arial" w:hint="cs"/>
          <w:rtl/>
        </w:rPr>
        <w:t>,</w:t>
      </w:r>
      <w:r w:rsidRPr="00A41568">
        <w:rPr>
          <w:rFonts w:cs="Arial"/>
          <w:rtl/>
        </w:rPr>
        <w:t xml:space="preserve"> וכ"כ מהרא"י בכתביו סימן צ"ח</w:t>
      </w:r>
      <w:r>
        <w:rPr>
          <w:rFonts w:cs="Arial" w:hint="cs"/>
          <w:rtl/>
        </w:rPr>
        <w:t>, ש"ך (סקכ"ה).</w:t>
      </w:r>
      <w:r w:rsidRPr="00A41568">
        <w:rPr>
          <w:rtl/>
        </w:rPr>
        <w:t xml:space="preserve"> </w:t>
      </w:r>
      <w:r w:rsidRPr="00A41568">
        <w:rPr>
          <w:rFonts w:cs="Arial"/>
          <w:rtl/>
        </w:rPr>
        <w:t>ולעיל סי' ס"ד סע</w:t>
      </w:r>
      <w:r>
        <w:rPr>
          <w:rFonts w:cs="Arial" w:hint="cs"/>
          <w:rtl/>
        </w:rPr>
        <w:t>'</w:t>
      </w:r>
      <w:r w:rsidRPr="00A41568">
        <w:rPr>
          <w:rFonts w:cs="Arial"/>
          <w:rtl/>
        </w:rPr>
        <w:t xml:space="preserve"> כ' כתב רמ"א לענין מליחה דבכל הקרומות א"צ אלא קליפה במקום הפסד קצת</w:t>
      </w:r>
      <w:r>
        <w:rPr>
          <w:rFonts w:hint="cs"/>
          <w:rtl/>
        </w:rPr>
        <w:t>, ט"ז (סקי"ח).</w:t>
      </w:r>
    </w:p>
  </w:footnote>
  <w:footnote w:id="2227">
    <w:p w14:paraId="18B37465" w14:textId="77777777" w:rsidR="004C5A3C" w:rsidRDefault="004C5A3C" w:rsidP="002C39F4">
      <w:pPr>
        <w:pStyle w:val="a5"/>
        <w:rPr>
          <w:rtl/>
        </w:rPr>
      </w:pPr>
      <w:r>
        <w:rPr>
          <w:rStyle w:val="a7"/>
        </w:rPr>
        <w:footnoteRef/>
      </w:r>
      <w:r>
        <w:rPr>
          <w:rtl/>
        </w:rPr>
        <w:t xml:space="preserve"> </w:t>
      </w:r>
      <w:r>
        <w:rPr>
          <w:rFonts w:hint="cs"/>
          <w:rtl/>
        </w:rPr>
        <w:t>ירכות.</w:t>
      </w:r>
    </w:p>
  </w:footnote>
  <w:footnote w:id="2228">
    <w:p w14:paraId="37851810" w14:textId="77777777" w:rsidR="004C5A3C" w:rsidRPr="00824F80" w:rsidRDefault="004C5A3C" w:rsidP="002C39F4">
      <w:pPr>
        <w:pStyle w:val="a5"/>
        <w:rPr>
          <w:rFonts w:cs="Arial"/>
        </w:rPr>
      </w:pPr>
      <w:r>
        <w:rPr>
          <w:rStyle w:val="a7"/>
        </w:rPr>
        <w:footnoteRef/>
      </w:r>
      <w:r>
        <w:rPr>
          <w:rtl/>
        </w:rPr>
        <w:t xml:space="preserve"> </w:t>
      </w:r>
      <w:r>
        <w:rPr>
          <w:rFonts w:cs="Arial"/>
          <w:rtl/>
        </w:rPr>
        <w:t>פיר</w:t>
      </w:r>
      <w:r>
        <w:rPr>
          <w:rFonts w:cs="Arial" w:hint="cs"/>
          <w:rtl/>
        </w:rPr>
        <w:t>ו</w:t>
      </w:r>
      <w:r>
        <w:rPr>
          <w:rFonts w:cs="Arial"/>
          <w:rtl/>
        </w:rPr>
        <w:t>ש משום שמנו של גיד הוה אסר להו רבינא דאילו משום גיד עצמו הא קי"ל דאין בגידין בנ"ט</w:t>
      </w:r>
      <w:r>
        <w:rPr>
          <w:rFonts w:cs="Arial" w:hint="cs"/>
          <w:rtl/>
        </w:rPr>
        <w:t>, ב"י (ע"פ דפוס ראשון).</w:t>
      </w:r>
    </w:p>
  </w:footnote>
  <w:footnote w:id="2229">
    <w:p w14:paraId="07F901B2" w14:textId="77777777" w:rsidR="004C5A3C" w:rsidRDefault="004C5A3C" w:rsidP="002C39F4">
      <w:pPr>
        <w:pStyle w:val="a5"/>
        <w:rPr>
          <w:rtl/>
        </w:rPr>
      </w:pPr>
      <w:r>
        <w:rPr>
          <w:rStyle w:val="a7"/>
        </w:rPr>
        <w:footnoteRef/>
      </w:r>
      <w:r>
        <w:rPr>
          <w:rtl/>
        </w:rPr>
        <w:t xml:space="preserve"> </w:t>
      </w:r>
      <w:r w:rsidRPr="008235DE">
        <w:rPr>
          <w:rFonts w:cs="Arial"/>
          <w:rtl/>
        </w:rPr>
        <w:t xml:space="preserve">רשב"א </w:t>
      </w:r>
      <w:r w:rsidRPr="008235DE">
        <w:rPr>
          <w:rFonts w:cs="Arial"/>
          <w:sz w:val="16"/>
          <w:szCs w:val="16"/>
          <w:rtl/>
        </w:rPr>
        <w:t xml:space="preserve">(תוה"ק ב"ד ש"א ב:) </w:t>
      </w:r>
      <w:r w:rsidRPr="008235DE">
        <w:rPr>
          <w:rFonts w:cs="Arial"/>
          <w:rtl/>
        </w:rPr>
        <w:t xml:space="preserve">רא"ש </w:t>
      </w:r>
      <w:r w:rsidRPr="008235DE">
        <w:rPr>
          <w:rFonts w:cs="Arial"/>
          <w:sz w:val="16"/>
          <w:szCs w:val="16"/>
          <w:rtl/>
        </w:rPr>
        <w:t xml:space="preserve">(פג"ה סי' כד) </w:t>
      </w:r>
      <w:r>
        <w:rPr>
          <w:rFonts w:cs="Arial" w:hint="cs"/>
          <w:rtl/>
        </w:rPr>
        <w:t xml:space="preserve">טור </w:t>
      </w:r>
      <w:r w:rsidRPr="008235DE">
        <w:rPr>
          <w:rFonts w:cs="Arial"/>
          <w:rtl/>
        </w:rPr>
        <w:t xml:space="preserve">ור"ן </w:t>
      </w:r>
      <w:r w:rsidRPr="008235DE">
        <w:rPr>
          <w:rFonts w:cs="Arial"/>
          <w:sz w:val="16"/>
          <w:szCs w:val="16"/>
          <w:rtl/>
        </w:rPr>
        <w:t>(חולין מב. ד"ה דג)</w:t>
      </w:r>
      <w:r>
        <w:rPr>
          <w:rFonts w:hint="cs"/>
          <w:rtl/>
        </w:rPr>
        <w:t>.</w:t>
      </w:r>
      <w:r w:rsidRPr="004146BD">
        <w:rPr>
          <w:rFonts w:hint="cs"/>
          <w:rtl/>
        </w:rPr>
        <w:t xml:space="preserve"> </w:t>
      </w:r>
      <w:r>
        <w:rPr>
          <w:rFonts w:hint="cs"/>
          <w:rtl/>
        </w:rPr>
        <w:t xml:space="preserve">דברי הרשב"א הרא"ש והטור </w:t>
      </w:r>
      <w:r w:rsidRPr="00233BC5">
        <w:rPr>
          <w:rFonts w:hint="cs"/>
          <w:sz w:val="16"/>
          <w:szCs w:val="16"/>
          <w:rtl/>
        </w:rPr>
        <w:t>(וכן דברי הרא"ה)</w:t>
      </w:r>
      <w:r>
        <w:rPr>
          <w:rFonts w:hint="cs"/>
          <w:rtl/>
        </w:rPr>
        <w:t xml:space="preserve"> הובאו גם בב"י לעיל סי' ע </w:t>
      </w:r>
      <w:r w:rsidRPr="006E164B">
        <w:rPr>
          <w:rFonts w:hint="cs"/>
          <w:sz w:val="16"/>
          <w:szCs w:val="16"/>
          <w:rtl/>
        </w:rPr>
        <w:t xml:space="preserve">(עמ' צ ד"ה וכתב הרשב"א) </w:t>
      </w:r>
      <w:r>
        <w:rPr>
          <w:rFonts w:hint="cs"/>
          <w:rtl/>
        </w:rPr>
        <w:t>בעניין דג טמא שמלחו עם דג טהור.</w:t>
      </w:r>
    </w:p>
  </w:footnote>
  <w:footnote w:id="2230">
    <w:p w14:paraId="76C2C202" w14:textId="77777777" w:rsidR="004C5A3C" w:rsidRDefault="004C5A3C" w:rsidP="002C39F4">
      <w:pPr>
        <w:pStyle w:val="a5"/>
        <w:rPr>
          <w:rtl/>
        </w:rPr>
      </w:pPr>
      <w:r>
        <w:rPr>
          <w:rStyle w:val="a7"/>
        </w:rPr>
        <w:footnoteRef/>
      </w:r>
      <w:r>
        <w:rPr>
          <w:rtl/>
        </w:rPr>
        <w:t xml:space="preserve"> </w:t>
      </w:r>
      <w:r w:rsidRPr="007D1324">
        <w:rPr>
          <w:rFonts w:cs="Arial"/>
          <w:rtl/>
        </w:rPr>
        <w:t xml:space="preserve">מהרי"ו </w:t>
      </w:r>
      <w:r w:rsidRPr="002564CD">
        <w:rPr>
          <w:rFonts w:cs="Arial"/>
          <w:sz w:val="16"/>
          <w:szCs w:val="16"/>
          <w:rtl/>
        </w:rPr>
        <w:t xml:space="preserve">(סי' קכב) </w:t>
      </w:r>
      <w:r w:rsidRPr="007D1324">
        <w:rPr>
          <w:rFonts w:cs="Arial"/>
          <w:rtl/>
        </w:rPr>
        <w:t xml:space="preserve">אגור </w:t>
      </w:r>
      <w:r w:rsidRPr="002564CD">
        <w:rPr>
          <w:rFonts w:cs="Arial" w:hint="cs"/>
          <w:sz w:val="16"/>
          <w:szCs w:val="16"/>
          <w:rtl/>
        </w:rPr>
        <w:t>(</w:t>
      </w:r>
      <w:r w:rsidRPr="002564CD">
        <w:rPr>
          <w:rFonts w:cs="Arial"/>
          <w:sz w:val="16"/>
          <w:szCs w:val="16"/>
          <w:rtl/>
        </w:rPr>
        <w:t>סי</w:t>
      </w:r>
      <w:r w:rsidRPr="002564CD">
        <w:rPr>
          <w:rFonts w:cs="Arial" w:hint="cs"/>
          <w:sz w:val="16"/>
          <w:szCs w:val="16"/>
          <w:rtl/>
        </w:rPr>
        <w:t>'</w:t>
      </w:r>
      <w:r w:rsidRPr="002564CD">
        <w:rPr>
          <w:rFonts w:cs="Arial"/>
          <w:sz w:val="16"/>
          <w:szCs w:val="16"/>
          <w:rtl/>
        </w:rPr>
        <w:t xml:space="preserve"> אלף קעו</w:t>
      </w:r>
      <w:r w:rsidRPr="002564CD">
        <w:rPr>
          <w:rFonts w:cs="Arial" w:hint="cs"/>
          <w:sz w:val="16"/>
          <w:szCs w:val="16"/>
          <w:rtl/>
        </w:rPr>
        <w:t>)</w:t>
      </w:r>
      <w:r w:rsidRPr="002564CD">
        <w:rPr>
          <w:rFonts w:cs="Arial"/>
          <w:sz w:val="16"/>
          <w:szCs w:val="16"/>
          <w:rtl/>
        </w:rPr>
        <w:t xml:space="preserve"> </w:t>
      </w:r>
      <w:r w:rsidRPr="007D1324">
        <w:rPr>
          <w:rFonts w:cs="Arial"/>
          <w:rtl/>
        </w:rPr>
        <w:t xml:space="preserve">בשם מהר"י מולין </w:t>
      </w:r>
      <w:r w:rsidRPr="002564CD">
        <w:rPr>
          <w:rFonts w:cs="Arial"/>
          <w:sz w:val="16"/>
          <w:szCs w:val="16"/>
          <w:rtl/>
        </w:rPr>
        <w:t xml:space="preserve">(שו"ת סי' פז, קנז אות יד, שו"ת החדשות סי' עב תשובה א, מנהגי מהרי"ל הל' או"ה משע"ד אות יד) </w:t>
      </w:r>
      <w:r w:rsidRPr="007D1324">
        <w:rPr>
          <w:rFonts w:cs="Arial"/>
          <w:rtl/>
        </w:rPr>
        <w:t xml:space="preserve">מהרא"י </w:t>
      </w:r>
      <w:r w:rsidRPr="002564CD">
        <w:rPr>
          <w:rFonts w:cs="Arial"/>
          <w:sz w:val="16"/>
          <w:szCs w:val="16"/>
          <w:rtl/>
        </w:rPr>
        <w:t>(</w:t>
      </w:r>
      <w:r w:rsidRPr="002564CD">
        <w:rPr>
          <w:rFonts w:cs="Arial" w:hint="cs"/>
          <w:sz w:val="16"/>
          <w:szCs w:val="16"/>
          <w:rtl/>
        </w:rPr>
        <w:t xml:space="preserve">בהגשע"ד </w:t>
      </w:r>
      <w:r w:rsidRPr="002564CD">
        <w:rPr>
          <w:rFonts w:cs="Arial"/>
          <w:sz w:val="16"/>
          <w:szCs w:val="16"/>
          <w:rtl/>
        </w:rPr>
        <w:t>סי' לח ד"ה וכן ראיתי)</w:t>
      </w:r>
      <w:r w:rsidRPr="007D1324">
        <w:rPr>
          <w:rFonts w:cs="Arial"/>
          <w:rtl/>
        </w:rPr>
        <w:t xml:space="preserve"> </w:t>
      </w:r>
      <w:r>
        <w:rPr>
          <w:rFonts w:cs="Arial" w:hint="cs"/>
          <w:rtl/>
        </w:rPr>
        <w:t xml:space="preserve">ואו"ה </w:t>
      </w:r>
      <w:r w:rsidRPr="007D1324">
        <w:rPr>
          <w:rFonts w:cs="Arial"/>
          <w:rtl/>
        </w:rPr>
        <w:t xml:space="preserve">ארוך </w:t>
      </w:r>
      <w:r w:rsidRPr="002564CD">
        <w:rPr>
          <w:rFonts w:cs="Arial" w:hint="cs"/>
          <w:sz w:val="16"/>
          <w:szCs w:val="16"/>
          <w:rtl/>
        </w:rPr>
        <w:t>(</w:t>
      </w:r>
      <w:r w:rsidRPr="002564CD">
        <w:rPr>
          <w:rFonts w:cs="Arial"/>
          <w:sz w:val="16"/>
          <w:szCs w:val="16"/>
          <w:rtl/>
        </w:rPr>
        <w:t>כלל יד ד</w:t>
      </w:r>
      <w:r w:rsidRPr="002564CD">
        <w:rPr>
          <w:rFonts w:cs="Arial" w:hint="cs"/>
          <w:sz w:val="16"/>
          <w:szCs w:val="16"/>
          <w:rtl/>
        </w:rPr>
        <w:t>"</w:t>
      </w:r>
      <w:r w:rsidRPr="002564CD">
        <w:rPr>
          <w:rFonts w:cs="Arial"/>
          <w:sz w:val="16"/>
          <w:szCs w:val="16"/>
          <w:rtl/>
        </w:rPr>
        <w:t>א)</w:t>
      </w:r>
      <w:r>
        <w:rPr>
          <w:rFonts w:hint="cs"/>
          <w:rtl/>
        </w:rPr>
        <w:t>.</w:t>
      </w:r>
    </w:p>
  </w:footnote>
  <w:footnote w:id="2231">
    <w:p w14:paraId="2899B758" w14:textId="77777777" w:rsidR="004C5A3C" w:rsidRDefault="004C5A3C" w:rsidP="002C39F4">
      <w:pPr>
        <w:pStyle w:val="a5"/>
      </w:pPr>
      <w:r>
        <w:rPr>
          <w:rStyle w:val="a7"/>
        </w:rPr>
        <w:footnoteRef/>
      </w:r>
      <w:r>
        <w:rPr>
          <w:rtl/>
        </w:rPr>
        <w:t xml:space="preserve"> </w:t>
      </w:r>
      <w:r w:rsidRPr="007D1324">
        <w:rPr>
          <w:rFonts w:cs="Arial"/>
          <w:rtl/>
        </w:rPr>
        <w:t>ו</w:t>
      </w:r>
      <w:r>
        <w:rPr>
          <w:rFonts w:cs="Arial" w:hint="cs"/>
          <w:rtl/>
        </w:rPr>
        <w:t>כ' מהרא"י ד</w:t>
      </w:r>
      <w:r w:rsidRPr="007D1324">
        <w:rPr>
          <w:rFonts w:cs="Arial"/>
          <w:rtl/>
        </w:rPr>
        <w:t>אי איכא ס' אפילו קליפה לא בעי בין כחוש בין שמן</w:t>
      </w:r>
      <w:r>
        <w:rPr>
          <w:rFonts w:cs="Arial" w:hint="cs"/>
          <w:rtl/>
        </w:rPr>
        <w:t>,</w:t>
      </w:r>
      <w:r w:rsidRPr="007D1324">
        <w:rPr>
          <w:rFonts w:cs="Arial"/>
          <w:rtl/>
        </w:rPr>
        <w:t xml:space="preserve"> ובארוך </w:t>
      </w:r>
      <w:r w:rsidRPr="002564CD">
        <w:rPr>
          <w:rFonts w:cs="Arial" w:hint="cs"/>
          <w:sz w:val="16"/>
          <w:szCs w:val="16"/>
          <w:rtl/>
        </w:rPr>
        <w:t>(</w:t>
      </w:r>
      <w:r w:rsidRPr="002564CD">
        <w:rPr>
          <w:rFonts w:cs="Arial"/>
          <w:sz w:val="16"/>
          <w:szCs w:val="16"/>
          <w:rtl/>
        </w:rPr>
        <w:t>כלל יד ד</w:t>
      </w:r>
      <w:r w:rsidRPr="002564CD">
        <w:rPr>
          <w:rFonts w:cs="Arial" w:hint="cs"/>
          <w:sz w:val="16"/>
          <w:szCs w:val="16"/>
          <w:rtl/>
        </w:rPr>
        <w:t>"</w:t>
      </w:r>
      <w:r w:rsidRPr="002564CD">
        <w:rPr>
          <w:rFonts w:cs="Arial"/>
          <w:sz w:val="16"/>
          <w:szCs w:val="16"/>
          <w:rtl/>
        </w:rPr>
        <w:t xml:space="preserve">ג) </w:t>
      </w:r>
      <w:r w:rsidRPr="007D1324">
        <w:rPr>
          <w:rFonts w:cs="Arial"/>
          <w:rtl/>
        </w:rPr>
        <w:t>מצריכו לקלוף כדעת ב</w:t>
      </w:r>
      <w:r>
        <w:rPr>
          <w:rFonts w:cs="Arial" w:hint="cs"/>
          <w:rtl/>
        </w:rPr>
        <w:t xml:space="preserve">"י, </w:t>
      </w:r>
      <w:r w:rsidRPr="007D1324">
        <w:rPr>
          <w:rFonts w:cs="Arial"/>
          <w:rtl/>
        </w:rPr>
        <w:t>והמנהג כדעת מהרא"י ז"ל</w:t>
      </w:r>
      <w:r>
        <w:rPr>
          <w:rFonts w:cs="Arial" w:hint="cs"/>
          <w:rtl/>
        </w:rPr>
        <w:t>,</w:t>
      </w:r>
      <w:r w:rsidRPr="007D1324">
        <w:rPr>
          <w:rFonts w:cs="Arial"/>
          <w:rtl/>
        </w:rPr>
        <w:t xml:space="preserve"> מיהו נראה דוקא בחלב שמפעפע יש להחמיר להצריכו ס' במליחה אבל לא לענין שאר איסור</w:t>
      </w:r>
      <w:r>
        <w:rPr>
          <w:rFonts w:cs="Arial" w:hint="cs"/>
          <w:rtl/>
        </w:rPr>
        <w:t xml:space="preserve">ים שאינם מפעפעים, וכ"נ דעת ב"י </w:t>
      </w:r>
      <w:r w:rsidRPr="002564CD">
        <w:rPr>
          <w:rFonts w:cs="Arial" w:hint="cs"/>
          <w:sz w:val="16"/>
          <w:szCs w:val="16"/>
          <w:rtl/>
        </w:rPr>
        <w:t>(</w:t>
      </w:r>
      <w:r w:rsidRPr="002564CD">
        <w:rPr>
          <w:rFonts w:cs="Arial"/>
          <w:sz w:val="16"/>
          <w:szCs w:val="16"/>
          <w:rtl/>
        </w:rPr>
        <w:t>סי</w:t>
      </w:r>
      <w:r w:rsidRPr="002564CD">
        <w:rPr>
          <w:rFonts w:cs="Arial" w:hint="cs"/>
          <w:sz w:val="16"/>
          <w:szCs w:val="16"/>
          <w:rtl/>
        </w:rPr>
        <w:t>'</w:t>
      </w:r>
      <w:r w:rsidRPr="002564CD">
        <w:rPr>
          <w:rFonts w:cs="Arial"/>
          <w:sz w:val="16"/>
          <w:szCs w:val="16"/>
          <w:rtl/>
        </w:rPr>
        <w:t xml:space="preserve"> ע</w:t>
      </w:r>
      <w:r w:rsidRPr="002564CD">
        <w:rPr>
          <w:rFonts w:cs="Arial" w:hint="cs"/>
          <w:sz w:val="16"/>
          <w:szCs w:val="16"/>
          <w:rtl/>
        </w:rPr>
        <w:t>,</w:t>
      </w:r>
      <w:r w:rsidRPr="002564CD">
        <w:rPr>
          <w:rFonts w:cs="Arial"/>
          <w:sz w:val="16"/>
          <w:szCs w:val="16"/>
          <w:rtl/>
        </w:rPr>
        <w:t xml:space="preserve"> עמ' שיט ד"ה וכתב הרשב"א</w:t>
      </w:r>
      <w:r w:rsidRPr="002564CD">
        <w:rPr>
          <w:rFonts w:cs="Arial" w:hint="cs"/>
          <w:sz w:val="16"/>
          <w:szCs w:val="16"/>
          <w:rtl/>
        </w:rPr>
        <w:t>,</w:t>
      </w:r>
      <w:r w:rsidRPr="002564CD">
        <w:rPr>
          <w:rFonts w:cs="Arial"/>
          <w:sz w:val="16"/>
          <w:szCs w:val="16"/>
          <w:rtl/>
        </w:rPr>
        <w:t xml:space="preserve"> </w:t>
      </w:r>
      <w:r w:rsidRPr="002564CD">
        <w:rPr>
          <w:rFonts w:cs="Arial" w:hint="cs"/>
          <w:sz w:val="16"/>
          <w:szCs w:val="16"/>
          <w:rtl/>
        </w:rPr>
        <w:t>וכן בסי'</w:t>
      </w:r>
      <w:r w:rsidRPr="002564CD">
        <w:rPr>
          <w:rFonts w:cs="Arial"/>
          <w:sz w:val="16"/>
          <w:szCs w:val="16"/>
          <w:rtl/>
        </w:rPr>
        <w:t xml:space="preserve"> צא</w:t>
      </w:r>
      <w:r w:rsidRPr="002564CD">
        <w:rPr>
          <w:rFonts w:cs="Arial" w:hint="cs"/>
          <w:sz w:val="16"/>
          <w:szCs w:val="16"/>
          <w:rtl/>
        </w:rPr>
        <w:t xml:space="preserve">, </w:t>
      </w:r>
      <w:r w:rsidRPr="002564CD">
        <w:rPr>
          <w:rFonts w:cs="Arial"/>
          <w:sz w:val="16"/>
          <w:szCs w:val="16"/>
          <w:rtl/>
        </w:rPr>
        <w:t xml:space="preserve">עמ' תא ד"ה ולא לגמרי) </w:t>
      </w:r>
      <w:r w:rsidRPr="007D1324">
        <w:rPr>
          <w:rFonts w:cs="Arial"/>
          <w:rtl/>
        </w:rPr>
        <w:t xml:space="preserve">מהרי"ו </w:t>
      </w:r>
      <w:r w:rsidRPr="002564CD">
        <w:rPr>
          <w:rFonts w:cs="Arial"/>
          <w:sz w:val="16"/>
          <w:szCs w:val="16"/>
          <w:rtl/>
        </w:rPr>
        <w:t xml:space="preserve">(עי' סי' קכב) </w:t>
      </w:r>
      <w:r w:rsidRPr="007D1324">
        <w:rPr>
          <w:rFonts w:cs="Arial"/>
          <w:rtl/>
        </w:rPr>
        <w:t>ובהג</w:t>
      </w:r>
      <w:r>
        <w:rPr>
          <w:rFonts w:cs="Arial" w:hint="cs"/>
          <w:rtl/>
        </w:rPr>
        <w:t>שע"ד</w:t>
      </w:r>
      <w:r w:rsidRPr="007D1324">
        <w:rPr>
          <w:rFonts w:cs="Arial"/>
          <w:rtl/>
        </w:rPr>
        <w:t xml:space="preserve"> בשם מהרא"י ובאגור </w:t>
      </w:r>
      <w:r w:rsidRPr="002564CD">
        <w:rPr>
          <w:rFonts w:cs="Arial"/>
          <w:sz w:val="16"/>
          <w:szCs w:val="16"/>
          <w:rtl/>
        </w:rPr>
        <w:t>(עי' סי' אלף קעו)</w:t>
      </w:r>
      <w:r>
        <w:rPr>
          <w:rFonts w:cs="Arial" w:hint="cs"/>
          <w:rtl/>
        </w:rPr>
        <w:t xml:space="preserve">, ע"פ דרכ"מ </w:t>
      </w:r>
      <w:r w:rsidRPr="002564CD">
        <w:rPr>
          <w:rFonts w:cs="Arial" w:hint="cs"/>
          <w:sz w:val="16"/>
          <w:szCs w:val="16"/>
          <w:rtl/>
        </w:rPr>
        <w:t>(אות י)</w:t>
      </w:r>
      <w:r>
        <w:rPr>
          <w:rFonts w:cs="Arial" w:hint="cs"/>
          <w:rtl/>
        </w:rPr>
        <w:t>.</w:t>
      </w:r>
    </w:p>
  </w:footnote>
  <w:footnote w:id="2232">
    <w:p w14:paraId="2C1B851C" w14:textId="77777777" w:rsidR="004C5A3C" w:rsidRDefault="004C5A3C" w:rsidP="002C39F4">
      <w:pPr>
        <w:pStyle w:val="a5"/>
        <w:rPr>
          <w:rtl/>
        </w:rPr>
      </w:pPr>
      <w:r>
        <w:rPr>
          <w:rStyle w:val="a7"/>
        </w:rPr>
        <w:footnoteRef/>
      </w:r>
      <w:r>
        <w:rPr>
          <w:rtl/>
        </w:rPr>
        <w:t xml:space="preserve"> </w:t>
      </w:r>
      <w:r>
        <w:rPr>
          <w:rFonts w:hint="cs"/>
          <w:rtl/>
        </w:rPr>
        <w:t>גם מדברי הרמב"ם משמע דשרי דהרי כתב</w:t>
      </w:r>
      <w:r w:rsidRPr="008A5D0A">
        <w:rPr>
          <w:rFonts w:cs="Arial"/>
          <w:rtl/>
        </w:rPr>
        <w:t xml:space="preserve"> </w:t>
      </w:r>
      <w:r w:rsidRPr="008A5D0A">
        <w:rPr>
          <w:rFonts w:cs="Arial" w:hint="cs"/>
          <w:sz w:val="16"/>
          <w:szCs w:val="16"/>
          <w:rtl/>
        </w:rPr>
        <w:t>(</w:t>
      </w:r>
      <w:r w:rsidRPr="008A5D0A">
        <w:rPr>
          <w:rFonts w:cs="Arial"/>
          <w:sz w:val="16"/>
          <w:szCs w:val="16"/>
          <w:rtl/>
        </w:rPr>
        <w:t>פ"ז הי"ז</w:t>
      </w:r>
      <w:r>
        <w:rPr>
          <w:rFonts w:cs="Arial" w:hint="cs"/>
          <w:sz w:val="16"/>
          <w:szCs w:val="16"/>
          <w:rtl/>
        </w:rPr>
        <w:t xml:space="preserve"> וה</w:t>
      </w:r>
      <w:r w:rsidRPr="008A5D0A">
        <w:rPr>
          <w:rFonts w:cs="Arial"/>
          <w:sz w:val="16"/>
          <w:szCs w:val="16"/>
          <w:rtl/>
        </w:rPr>
        <w:t>י</w:t>
      </w:r>
      <w:r w:rsidRPr="008A5D0A">
        <w:rPr>
          <w:rFonts w:cs="Arial" w:hint="cs"/>
          <w:sz w:val="16"/>
          <w:szCs w:val="16"/>
          <w:rtl/>
        </w:rPr>
        <w:t>"</w:t>
      </w:r>
      <w:r w:rsidRPr="008A5D0A">
        <w:rPr>
          <w:rFonts w:cs="Arial"/>
          <w:sz w:val="16"/>
          <w:szCs w:val="16"/>
          <w:rtl/>
        </w:rPr>
        <w:t>ט</w:t>
      </w:r>
      <w:r>
        <w:rPr>
          <w:rFonts w:cs="Arial" w:hint="cs"/>
          <w:sz w:val="16"/>
          <w:szCs w:val="16"/>
          <w:rtl/>
        </w:rPr>
        <w:t>-כ</w:t>
      </w:r>
      <w:r w:rsidRPr="008A5D0A">
        <w:rPr>
          <w:rFonts w:cs="Arial"/>
          <w:sz w:val="16"/>
          <w:szCs w:val="16"/>
          <w:rtl/>
        </w:rPr>
        <w:t>)</w:t>
      </w:r>
      <w:r w:rsidRPr="008A5D0A">
        <w:rPr>
          <w:rFonts w:cs="Arial" w:hint="cs"/>
          <w:rtl/>
        </w:rPr>
        <w:t>-</w:t>
      </w:r>
      <w:r w:rsidRPr="008A5D0A">
        <w:rPr>
          <w:rFonts w:cs="Arial"/>
          <w:rtl/>
        </w:rPr>
        <w:t xml:space="preserve"> </w:t>
      </w:r>
      <w:r w:rsidRPr="00AE0F17">
        <w:rPr>
          <w:rFonts w:cs="Arial"/>
          <w:rtl/>
        </w:rPr>
        <w:t>אין מולחין חלבים עם הבש</w:t>
      </w:r>
      <w:r>
        <w:rPr>
          <w:rFonts w:cs="Arial" w:hint="cs"/>
          <w:rtl/>
        </w:rPr>
        <w:t xml:space="preserve">ר... </w:t>
      </w:r>
      <w:r w:rsidRPr="00AE0F17">
        <w:rPr>
          <w:rFonts w:cs="Arial"/>
          <w:rtl/>
        </w:rPr>
        <w:t>וכל הדברים האלו אסור לעשותן, ואם נעשו לא נאסר הבשר, ואין מכין את העושה אלא מלמדין אותו שלא יעשה.</w:t>
      </w:r>
      <w:r>
        <w:rPr>
          <w:rFonts w:cs="Arial" w:hint="cs"/>
          <w:rtl/>
        </w:rPr>
        <w:t xml:space="preserve">.. </w:t>
      </w:r>
      <w:r w:rsidRPr="00AE0F17">
        <w:rPr>
          <w:rFonts w:cs="Arial"/>
          <w:rtl/>
        </w:rPr>
        <w:t>וכן אין מולחין את הבשר קודם שיסיר ממנו את הקרומות ואת החוטין האסורין, ואם מלח מסירם אחר שנמלחו ואפילו היה בהן גיד הנשה מסירו אחר שנמלח ומבשל</w:t>
      </w:r>
      <w:r>
        <w:rPr>
          <w:rFonts w:cs="Arial" w:hint="cs"/>
          <w:rtl/>
        </w:rPr>
        <w:t xml:space="preserve">. עכ"ל. וכ' הב"י- </w:t>
      </w:r>
      <w:r w:rsidRPr="008A5D0A">
        <w:rPr>
          <w:rFonts w:cs="Arial"/>
          <w:rtl/>
        </w:rPr>
        <w:t>נראה שאין צריך לא ביטול ולא קליפה אלא מדיח ואוכל</w:t>
      </w:r>
      <w:r w:rsidRPr="008A5D0A">
        <w:rPr>
          <w:rFonts w:cs="Arial" w:hint="cs"/>
          <w:rtl/>
        </w:rPr>
        <w:t>,</w:t>
      </w:r>
      <w:r w:rsidRPr="008A5D0A">
        <w:rPr>
          <w:rFonts w:cs="Arial"/>
          <w:rtl/>
        </w:rPr>
        <w:t xml:space="preserve"> ואע</w:t>
      </w:r>
      <w:r w:rsidRPr="008A5D0A">
        <w:rPr>
          <w:rFonts w:cs="Arial" w:hint="cs"/>
          <w:rtl/>
        </w:rPr>
        <w:t>"</w:t>
      </w:r>
      <w:r w:rsidRPr="008A5D0A">
        <w:rPr>
          <w:rFonts w:cs="Arial"/>
          <w:rtl/>
        </w:rPr>
        <w:t>פ שממ"ש בפט"ו (הל"ד) נראה שהוא מחמיר הרבה בבשר נבלה מליח שנבלל עם בשר שחוטה</w:t>
      </w:r>
      <w:r w:rsidRPr="008A5D0A">
        <w:rPr>
          <w:rFonts w:cs="Arial" w:hint="cs"/>
          <w:rtl/>
        </w:rPr>
        <w:t>,</w:t>
      </w:r>
      <w:r w:rsidRPr="008A5D0A">
        <w:rPr>
          <w:rFonts w:cs="Arial"/>
          <w:rtl/>
        </w:rPr>
        <w:t xml:space="preserve"> כבר כתבתי בס</w:t>
      </w:r>
      <w:r>
        <w:rPr>
          <w:rFonts w:cs="Arial" w:hint="cs"/>
          <w:rtl/>
        </w:rPr>
        <w:t>י'</w:t>
      </w:r>
      <w:r w:rsidRPr="008A5D0A">
        <w:rPr>
          <w:rFonts w:cs="Arial"/>
          <w:rtl/>
        </w:rPr>
        <w:t xml:space="preserve"> ע' (קטו: דבור ראשון) דאפשר דבפ"ז מיירי בחלבים שאינם אסורים אלא מדברי סופרים כשמנו של גיד וכיוצא בו</w:t>
      </w:r>
      <w:r>
        <w:rPr>
          <w:rFonts w:cs="Arial" w:hint="cs"/>
          <w:rtl/>
        </w:rPr>
        <w:t>,</w:t>
      </w:r>
      <w:r w:rsidRPr="008A5D0A">
        <w:rPr>
          <w:rFonts w:cs="Arial"/>
          <w:rtl/>
        </w:rPr>
        <w:t xml:space="preserve"> וסובר דהא דאמרינן בהנהו אטמהתא דרב אחא שרי בלי שום תיקון ובלי שום שיעור שרי אע</w:t>
      </w:r>
      <w:r w:rsidRPr="008A5D0A">
        <w:rPr>
          <w:rFonts w:cs="Arial" w:hint="cs"/>
          <w:rtl/>
        </w:rPr>
        <w:t>"</w:t>
      </w:r>
      <w:r w:rsidRPr="008A5D0A">
        <w:rPr>
          <w:rFonts w:cs="Arial"/>
          <w:rtl/>
        </w:rPr>
        <w:t>ג דמייתי הא דמליח הרי הוא כרותח</w:t>
      </w:r>
      <w:r>
        <w:rPr>
          <w:rFonts w:cs="Arial" w:hint="cs"/>
          <w:rtl/>
        </w:rPr>
        <w:t>,</w:t>
      </w:r>
      <w:r w:rsidRPr="008A5D0A">
        <w:rPr>
          <w:rFonts w:cs="Arial"/>
          <w:rtl/>
        </w:rPr>
        <w:t xml:space="preserve"> לדברי רבינא קאמר דהוה בעי למיסר כאילו היה איסור תורה</w:t>
      </w:r>
      <w:r w:rsidRPr="008A5D0A">
        <w:rPr>
          <w:rFonts w:cs="Arial" w:hint="cs"/>
          <w:rtl/>
        </w:rPr>
        <w:t>,</w:t>
      </w:r>
      <w:r w:rsidRPr="008A5D0A">
        <w:rPr>
          <w:rFonts w:cs="Arial"/>
          <w:rtl/>
        </w:rPr>
        <w:t xml:space="preserve"> אבל לדידיה כיון דאינו אסור אלא מדרבנן בהדחה סגי</w:t>
      </w:r>
      <w:r w:rsidRPr="008A5D0A">
        <w:rPr>
          <w:rFonts w:cs="Arial" w:hint="cs"/>
          <w:rtl/>
        </w:rPr>
        <w:t>,</w:t>
      </w:r>
      <w:r w:rsidRPr="008A5D0A">
        <w:rPr>
          <w:rFonts w:cs="Arial"/>
          <w:rtl/>
        </w:rPr>
        <w:t xml:space="preserve"> והיינו דסתם תלמודא וכתב רב אחא שרי</w:t>
      </w:r>
      <w:r>
        <w:rPr>
          <w:rFonts w:cs="Arial" w:hint="cs"/>
          <w:rtl/>
        </w:rPr>
        <w:t>,</w:t>
      </w:r>
      <w:r w:rsidRPr="008A5D0A">
        <w:rPr>
          <w:rFonts w:cs="Arial"/>
          <w:rtl/>
        </w:rPr>
        <w:t xml:space="preserve"> דמשמע בלי שום תיקון</w:t>
      </w:r>
      <w:r w:rsidRPr="008A5D0A">
        <w:rPr>
          <w:rFonts w:cs="Arial" w:hint="cs"/>
          <w:rtl/>
        </w:rPr>
        <w:t>,</w:t>
      </w:r>
      <w:r w:rsidRPr="008A5D0A">
        <w:rPr>
          <w:rFonts w:cs="Arial"/>
          <w:rtl/>
        </w:rPr>
        <w:t xml:space="preserve"> א"נ בפ"ז מיירי במליחה כל דהו כעין מליחת חלבים ובפט"ו מיירי במליח שאינו נאכל מחמת מלחו</w:t>
      </w:r>
      <w:r w:rsidRPr="008A5D0A">
        <w:rPr>
          <w:rFonts w:cs="Arial" w:hint="cs"/>
          <w:rtl/>
        </w:rPr>
        <w:t>,</w:t>
      </w:r>
      <w:r w:rsidRPr="008A5D0A">
        <w:rPr>
          <w:rFonts w:cs="Arial"/>
          <w:rtl/>
        </w:rPr>
        <w:t xml:space="preserve"> א"נ בפ"ז מיירי שמלח החלבים בפני עצמן אלא שמתוך שהבשר קרוב להם חיישינן שמא יגעו זה בזה ובפט"ו מיירי שנמלחו יחד.</w:t>
      </w:r>
    </w:p>
  </w:footnote>
  <w:footnote w:id="2233">
    <w:p w14:paraId="36CE4A5B" w14:textId="77777777" w:rsidR="004C5A3C" w:rsidRDefault="004C5A3C" w:rsidP="002C39F4">
      <w:pPr>
        <w:pStyle w:val="a5"/>
      </w:pPr>
      <w:r>
        <w:rPr>
          <w:rStyle w:val="a7"/>
        </w:rPr>
        <w:footnoteRef/>
      </w:r>
      <w:r>
        <w:rPr>
          <w:rtl/>
        </w:rPr>
        <w:t xml:space="preserve"> </w:t>
      </w:r>
      <w:r>
        <w:rPr>
          <w:rFonts w:hint="cs"/>
          <w:rtl/>
        </w:rPr>
        <w:t xml:space="preserve">ואע"ג דבב"י לעיל סי' ע </w:t>
      </w:r>
      <w:r w:rsidRPr="006E164B">
        <w:rPr>
          <w:rFonts w:hint="cs"/>
          <w:sz w:val="16"/>
          <w:szCs w:val="16"/>
          <w:rtl/>
        </w:rPr>
        <w:t xml:space="preserve">(עמ' צ ד"ה וכתב הרשב"א) </w:t>
      </w:r>
      <w:r>
        <w:rPr>
          <w:rFonts w:hint="cs"/>
          <w:rtl/>
        </w:rPr>
        <w:t xml:space="preserve">בעניין דג טמא שמלחו עם דג טהור נתבאר </w:t>
      </w:r>
      <w:r>
        <w:rPr>
          <w:rFonts w:cs="Arial" w:hint="cs"/>
          <w:rtl/>
        </w:rPr>
        <w:t>שה</w:t>
      </w:r>
      <w:r w:rsidRPr="008235DE">
        <w:rPr>
          <w:rFonts w:cs="Arial"/>
          <w:rtl/>
        </w:rPr>
        <w:t xml:space="preserve">רמב"ן </w:t>
      </w:r>
      <w:r w:rsidRPr="008235DE">
        <w:rPr>
          <w:rFonts w:cs="Arial"/>
          <w:sz w:val="16"/>
          <w:szCs w:val="16"/>
          <w:rtl/>
        </w:rPr>
        <w:t>(</w:t>
      </w:r>
      <w:r>
        <w:rPr>
          <w:rFonts w:cs="Arial" w:hint="cs"/>
          <w:sz w:val="16"/>
          <w:szCs w:val="16"/>
          <w:rtl/>
        </w:rPr>
        <w:t xml:space="preserve">מהדו' רייכמן </w:t>
      </w:r>
      <w:r w:rsidRPr="008235DE">
        <w:rPr>
          <w:rFonts w:cs="Arial"/>
          <w:sz w:val="16"/>
          <w:szCs w:val="16"/>
          <w:rtl/>
        </w:rPr>
        <w:t>חולין קיב: ד"ה ורבינו שלמה)</w:t>
      </w:r>
      <w:r>
        <w:rPr>
          <w:rFonts w:cs="Arial" w:hint="cs"/>
          <w:rtl/>
        </w:rPr>
        <w:t xml:space="preserve"> </w:t>
      </w:r>
      <w:r w:rsidRPr="008235DE">
        <w:rPr>
          <w:rFonts w:cs="Arial"/>
          <w:rtl/>
        </w:rPr>
        <w:t>א</w:t>
      </w:r>
      <w:r>
        <w:rPr>
          <w:rFonts w:cs="Arial" w:hint="cs"/>
          <w:rtl/>
        </w:rPr>
        <w:t>ו</w:t>
      </w:r>
      <w:r w:rsidRPr="008235DE">
        <w:rPr>
          <w:rFonts w:cs="Arial"/>
          <w:rtl/>
        </w:rPr>
        <w:t xml:space="preserve">סר </w:t>
      </w:r>
      <w:r>
        <w:rPr>
          <w:rFonts w:cs="Arial" w:hint="cs"/>
          <w:rtl/>
        </w:rPr>
        <w:t xml:space="preserve">את </w:t>
      </w:r>
      <w:r w:rsidRPr="008235DE">
        <w:rPr>
          <w:rFonts w:cs="Arial"/>
          <w:rtl/>
        </w:rPr>
        <w:t>כל</w:t>
      </w:r>
      <w:r>
        <w:rPr>
          <w:rFonts w:cs="Arial" w:hint="cs"/>
          <w:rtl/>
        </w:rPr>
        <w:t xml:space="preserve"> הדג, מ"מ כאן הרמב"ן מתיר אפי' בחתיכה שמנה שנמלחה בחלבה מטעם דחלב אינו מפעפע.</w:t>
      </w:r>
    </w:p>
  </w:footnote>
  <w:footnote w:id="2234">
    <w:p w14:paraId="23074DF7" w14:textId="77777777" w:rsidR="004C5A3C" w:rsidRDefault="004C5A3C" w:rsidP="002C39F4">
      <w:pPr>
        <w:pStyle w:val="a5"/>
      </w:pPr>
      <w:r>
        <w:rPr>
          <w:rStyle w:val="a7"/>
        </w:rPr>
        <w:footnoteRef/>
      </w:r>
      <w:r>
        <w:rPr>
          <w:rtl/>
        </w:rPr>
        <w:t xml:space="preserve"> </w:t>
      </w:r>
      <w:r w:rsidRPr="0006128B">
        <w:rPr>
          <w:rFonts w:cs="Arial" w:hint="cs"/>
          <w:rtl/>
        </w:rPr>
        <w:t>או חתיכה שמינה שנגעה באיסור כחוש מלוח</w:t>
      </w:r>
      <w:r>
        <w:rPr>
          <w:rFonts w:hint="cs"/>
          <w:rtl/>
        </w:rPr>
        <w:t>.</w:t>
      </w:r>
    </w:p>
  </w:footnote>
  <w:footnote w:id="2235">
    <w:p w14:paraId="6A46CC74" w14:textId="77777777" w:rsidR="004C5A3C" w:rsidRDefault="004C5A3C" w:rsidP="002C39F4">
      <w:pPr>
        <w:pStyle w:val="a5"/>
        <w:rPr>
          <w:rtl/>
        </w:rPr>
      </w:pPr>
      <w:r>
        <w:rPr>
          <w:rStyle w:val="a7"/>
        </w:rPr>
        <w:footnoteRef/>
      </w:r>
      <w:r>
        <w:rPr>
          <w:rtl/>
        </w:rPr>
        <w:t xml:space="preserve"> </w:t>
      </w:r>
      <w:r w:rsidRPr="00217279">
        <w:rPr>
          <w:rFonts w:cs="Arial"/>
          <w:rtl/>
        </w:rPr>
        <w:t>ואע"ג דאמרינן דמליח הרי הוא כרותח דצלי היינו לאפוקי מרותח דמבושל אבל להא מילתא גריע מצלי דאע"ג דבצלי מפעפע החלב</w:t>
      </w:r>
      <w:r>
        <w:rPr>
          <w:rFonts w:cs="Arial" w:hint="cs"/>
          <w:rtl/>
        </w:rPr>
        <w:t xml:space="preserve"> -</w:t>
      </w:r>
      <w:r w:rsidRPr="00217279">
        <w:rPr>
          <w:rFonts w:cs="Arial"/>
          <w:rtl/>
        </w:rPr>
        <w:t xml:space="preserve"> במליחה אינו מפעפע</w:t>
      </w:r>
      <w:r>
        <w:rPr>
          <w:rFonts w:cs="Arial" w:hint="cs"/>
          <w:rtl/>
        </w:rPr>
        <w:t>,</w:t>
      </w:r>
      <w:r w:rsidRPr="00217279">
        <w:rPr>
          <w:rFonts w:cs="Arial"/>
          <w:rtl/>
        </w:rPr>
        <w:t xml:space="preserve"> </w:t>
      </w:r>
      <w:r>
        <w:rPr>
          <w:rFonts w:cs="Arial" w:hint="cs"/>
          <w:rtl/>
        </w:rPr>
        <w:t xml:space="preserve">רמב"ן. וכ' הר"ן- </w:t>
      </w:r>
      <w:r w:rsidRPr="00217279">
        <w:rPr>
          <w:rFonts w:cs="Arial"/>
          <w:rtl/>
        </w:rPr>
        <w:t>הרשב"א חולק בדבר דכיון דרבינא סבירא ליה דמליח כרותח דמבושל דעדיף מצלי היכי נימא לדידן דגריע מיניה אלא ודאי משמע דכל דמפעפע בצלי מפעפע במליחה</w:t>
      </w:r>
      <w:r>
        <w:rPr>
          <w:rFonts w:hint="cs"/>
          <w:rtl/>
        </w:rPr>
        <w:t>.</w:t>
      </w:r>
    </w:p>
  </w:footnote>
  <w:footnote w:id="2236">
    <w:p w14:paraId="391E622C" w14:textId="77777777" w:rsidR="004C5A3C" w:rsidRDefault="004C5A3C" w:rsidP="002C39F4">
      <w:pPr>
        <w:pStyle w:val="a5"/>
        <w:rPr>
          <w:rtl/>
        </w:rPr>
      </w:pPr>
      <w:r>
        <w:rPr>
          <w:rStyle w:val="a7"/>
        </w:rPr>
        <w:footnoteRef/>
      </w:r>
      <w:r>
        <w:rPr>
          <w:rtl/>
        </w:rPr>
        <w:t xml:space="preserve"> </w:t>
      </w:r>
      <w:r>
        <w:rPr>
          <w:rFonts w:cs="Arial" w:hint="cs"/>
          <w:rtl/>
        </w:rPr>
        <w:t xml:space="preserve">כ"כ הב"י בשמו, וז"ל- </w:t>
      </w:r>
      <w:r>
        <w:rPr>
          <w:rFonts w:cs="Arial"/>
          <w:rtl/>
        </w:rPr>
        <w:t xml:space="preserve">דעת רבינו כדעת הרשב"א והר"ן שהרי כתב לקמן בסמוך </w:t>
      </w:r>
      <w:r w:rsidRPr="00F917FE">
        <w:rPr>
          <w:rFonts w:cs="Arial"/>
          <w:sz w:val="16"/>
          <w:szCs w:val="16"/>
          <w:rtl/>
        </w:rPr>
        <w:t xml:space="preserve">(קסז:) </w:t>
      </w:r>
      <w:r>
        <w:rPr>
          <w:rFonts w:cs="Arial"/>
          <w:rtl/>
        </w:rPr>
        <w:t>וכי היכי דמפליגינן בצלי בין כחוש לשמן ה"ה נמי בחום של מליח שאם החתיכה שמנה ונמלחה בחלבה או איסור מלוח וההיתר תפל והוא שמן מפעפע בכוליה ואוסר כולו עכ"ל ואע</w:t>
      </w:r>
      <w:r>
        <w:rPr>
          <w:rFonts w:cs="Arial" w:hint="cs"/>
          <w:rtl/>
        </w:rPr>
        <w:t>"</w:t>
      </w:r>
      <w:r>
        <w:rPr>
          <w:rFonts w:cs="Arial"/>
          <w:rtl/>
        </w:rPr>
        <w:t xml:space="preserve">פ שסתם וכתב שאוסר כולו לאו למימרא דלעולם אוסר בכולו אלא דוקא היכא דליכא </w:t>
      </w:r>
      <w:r>
        <w:rPr>
          <w:rFonts w:cs="Arial" w:hint="cs"/>
          <w:rtl/>
        </w:rPr>
        <w:t>ס'</w:t>
      </w:r>
      <w:r>
        <w:rPr>
          <w:rFonts w:cs="Arial"/>
          <w:rtl/>
        </w:rPr>
        <w:t xml:space="preserve"> כנגד האיסור אבל אם יש </w:t>
      </w:r>
      <w:r>
        <w:rPr>
          <w:rFonts w:cs="Arial" w:hint="cs"/>
          <w:rtl/>
        </w:rPr>
        <w:t>ס'</w:t>
      </w:r>
      <w:r>
        <w:rPr>
          <w:rFonts w:cs="Arial"/>
          <w:rtl/>
        </w:rPr>
        <w:t xml:space="preserve"> כנגד האיסור מישרא שרי כי היכי דשרי בצלי</w:t>
      </w:r>
      <w:r>
        <w:rPr>
          <w:rFonts w:cs="Arial" w:hint="cs"/>
          <w:rtl/>
        </w:rPr>
        <w:t>,</w:t>
      </w:r>
      <w:r>
        <w:rPr>
          <w:rFonts w:cs="Arial"/>
          <w:rtl/>
        </w:rPr>
        <w:t xml:space="preserve"> ולא חשש להאריך ולפרש לפי שסמך על מ"ש בסמוך שדין המליח שוה לדין הצלי.</w:t>
      </w:r>
    </w:p>
  </w:footnote>
  <w:footnote w:id="2237">
    <w:p w14:paraId="5DA8F844" w14:textId="77777777" w:rsidR="004C5A3C" w:rsidRDefault="004C5A3C" w:rsidP="002C39F4">
      <w:pPr>
        <w:pStyle w:val="a5"/>
        <w:rPr>
          <w:rtl/>
        </w:rPr>
      </w:pPr>
      <w:r>
        <w:rPr>
          <w:rStyle w:val="a7"/>
        </w:rPr>
        <w:footnoteRef/>
      </w:r>
      <w:r>
        <w:rPr>
          <w:rtl/>
        </w:rPr>
        <w:t xml:space="preserve"> </w:t>
      </w:r>
      <w:r>
        <w:rPr>
          <w:rFonts w:cs="Arial" w:hint="cs"/>
          <w:rtl/>
        </w:rPr>
        <w:t xml:space="preserve">וכ"כ </w:t>
      </w:r>
      <w:r>
        <w:rPr>
          <w:rFonts w:cs="Arial"/>
          <w:rtl/>
        </w:rPr>
        <w:t xml:space="preserve">הגמ"ר </w:t>
      </w:r>
      <w:r w:rsidRPr="00284687">
        <w:rPr>
          <w:rFonts w:cs="Arial" w:hint="cs"/>
          <w:sz w:val="16"/>
          <w:szCs w:val="16"/>
          <w:rtl/>
        </w:rPr>
        <w:t>(</w:t>
      </w:r>
      <w:r w:rsidRPr="00284687">
        <w:rPr>
          <w:rFonts w:cs="Arial"/>
          <w:sz w:val="16"/>
          <w:szCs w:val="16"/>
          <w:rtl/>
        </w:rPr>
        <w:t xml:space="preserve">פג"ה סו"ס תשדמ) </w:t>
      </w:r>
      <w:r>
        <w:rPr>
          <w:rFonts w:cs="Arial"/>
          <w:rtl/>
        </w:rPr>
        <w:t>בשם שע</w:t>
      </w:r>
      <w:r>
        <w:rPr>
          <w:rFonts w:cs="Arial" w:hint="cs"/>
          <w:rtl/>
        </w:rPr>
        <w:t>"ד</w:t>
      </w:r>
      <w:r>
        <w:rPr>
          <w:rFonts w:cs="Arial"/>
          <w:rtl/>
        </w:rPr>
        <w:t xml:space="preserve"> </w:t>
      </w:r>
      <w:r w:rsidRPr="00284687">
        <w:rPr>
          <w:rFonts w:cs="Arial"/>
          <w:sz w:val="16"/>
          <w:szCs w:val="16"/>
          <w:rtl/>
        </w:rPr>
        <w:t>(סי' לח)</w:t>
      </w:r>
      <w:r w:rsidRPr="00284687">
        <w:rPr>
          <w:rFonts w:cs="Arial" w:hint="cs"/>
          <w:sz w:val="16"/>
          <w:szCs w:val="16"/>
          <w:rtl/>
        </w:rPr>
        <w:t xml:space="preserve"> </w:t>
      </w:r>
      <w:r>
        <w:rPr>
          <w:rFonts w:cs="Arial" w:hint="cs"/>
          <w:rtl/>
        </w:rPr>
        <w:t>וז"ל-</w:t>
      </w:r>
      <w:r>
        <w:rPr>
          <w:rFonts w:cs="Arial"/>
          <w:rtl/>
        </w:rPr>
        <w:t xml:space="preserve"> במליחה או בצלי לא שייך אלא קליפה</w:t>
      </w:r>
      <w:r>
        <w:rPr>
          <w:rFonts w:cs="Arial" w:hint="cs"/>
          <w:rtl/>
        </w:rPr>
        <w:t>,</w:t>
      </w:r>
      <w:r>
        <w:rPr>
          <w:rFonts w:cs="Arial"/>
          <w:rtl/>
        </w:rPr>
        <w:t xml:space="preserve"> וצריך להעמיק בקליפתו יותר ממה שהיה קולף אם מלח בשר נבלה כחוש עם בשר כשר</w:t>
      </w:r>
      <w:r>
        <w:rPr>
          <w:rFonts w:cs="Arial" w:hint="cs"/>
          <w:rtl/>
        </w:rPr>
        <w:t>,</w:t>
      </w:r>
      <w:r>
        <w:rPr>
          <w:rFonts w:cs="Arial"/>
          <w:rtl/>
        </w:rPr>
        <w:t xml:space="preserve"> שהחלב מפעפע ונבלע בו יותר</w:t>
      </w:r>
      <w:r>
        <w:rPr>
          <w:rFonts w:cs="Arial" w:hint="cs"/>
          <w:rtl/>
        </w:rPr>
        <w:t>,</w:t>
      </w:r>
      <w:r>
        <w:rPr>
          <w:rFonts w:cs="Arial"/>
          <w:rtl/>
        </w:rPr>
        <w:t xml:space="preserve"> והכל לפי אומד הדעת כמה בלע יקלוף</w:t>
      </w:r>
      <w:r>
        <w:rPr>
          <w:rFonts w:cs="Arial" w:hint="cs"/>
          <w:rtl/>
        </w:rPr>
        <w:t>,</w:t>
      </w:r>
      <w:r>
        <w:rPr>
          <w:rFonts w:cs="Arial"/>
          <w:rtl/>
        </w:rPr>
        <w:t xml:space="preserve"> והא דאמרינן </w:t>
      </w:r>
      <w:r w:rsidRPr="00284687">
        <w:rPr>
          <w:rFonts w:cs="Arial"/>
          <w:sz w:val="16"/>
          <w:szCs w:val="16"/>
          <w:rtl/>
        </w:rPr>
        <w:t xml:space="preserve">(חולין צו:) </w:t>
      </w:r>
      <w:r>
        <w:rPr>
          <w:rFonts w:cs="Arial"/>
          <w:rtl/>
        </w:rPr>
        <w:t>אסור לאכול אפילו מריש אודניה כגון שהחלב היה מרובה והיה מפעפע ונוטף מראש אזנו</w:t>
      </w:r>
      <w:r>
        <w:rPr>
          <w:rFonts w:cs="Arial" w:hint="cs"/>
          <w:rtl/>
        </w:rPr>
        <w:t>,</w:t>
      </w:r>
      <w:r>
        <w:rPr>
          <w:rFonts w:cs="Arial"/>
          <w:rtl/>
        </w:rPr>
        <w:t xml:space="preserve"> וכן פירש רש"י</w:t>
      </w:r>
      <w:r>
        <w:rPr>
          <w:rFonts w:cs="Arial" w:hint="cs"/>
          <w:rtl/>
        </w:rPr>
        <w:t>,</w:t>
      </w:r>
      <w:r>
        <w:rPr>
          <w:rFonts w:cs="Arial"/>
          <w:rtl/>
        </w:rPr>
        <w:t xml:space="preserve"> ופירש ראבי"ה </w:t>
      </w:r>
      <w:r w:rsidRPr="00284687">
        <w:rPr>
          <w:rFonts w:cs="Arial"/>
          <w:sz w:val="16"/>
          <w:szCs w:val="16"/>
          <w:rtl/>
        </w:rPr>
        <w:t xml:space="preserve">(שם) </w:t>
      </w:r>
      <w:r>
        <w:rPr>
          <w:rFonts w:cs="Arial"/>
          <w:rtl/>
        </w:rPr>
        <w:t>אפילו חלב הרבה במליחה הוי כמו חלב מעט בצלייה</w:t>
      </w:r>
      <w:r>
        <w:rPr>
          <w:rFonts w:cs="Arial" w:hint="cs"/>
          <w:rtl/>
        </w:rPr>
        <w:t>,</w:t>
      </w:r>
      <w:r>
        <w:rPr>
          <w:rFonts w:cs="Arial"/>
          <w:rtl/>
        </w:rPr>
        <w:t xml:space="preserve"> והרב ממיץ אומר דבצלי ויש הרבה חתיכות ורוב חלב לא סגי אפילו בששים דשאר חתיכות אינם מסייעות רק במבושל שהרוטב מוליך הטעם בכולם</w:t>
      </w:r>
      <w:r>
        <w:rPr>
          <w:rFonts w:cs="Arial" w:hint="cs"/>
          <w:rtl/>
        </w:rPr>
        <w:t>,</w:t>
      </w:r>
      <w:r>
        <w:rPr>
          <w:rFonts w:cs="Arial"/>
          <w:rtl/>
        </w:rPr>
        <w:t xml:space="preserve"> ומסקנא דמילתא דראב"ן דחלב ובשר שנמלחו יחד צריך קליפה אפילו הוי יותר מששים וסגי בקליפה אפילו ליכא ששים</w:t>
      </w:r>
      <w:r>
        <w:rPr>
          <w:rFonts w:cs="Arial" w:hint="cs"/>
          <w:rtl/>
        </w:rPr>
        <w:t>,</w:t>
      </w:r>
      <w:r>
        <w:rPr>
          <w:rFonts w:cs="Arial"/>
          <w:rtl/>
        </w:rPr>
        <w:t xml:space="preserve"> ואני ראיתי כל רבותי שמבטלים בששים</w:t>
      </w:r>
      <w:r>
        <w:rPr>
          <w:rFonts w:cs="Arial" w:hint="cs"/>
          <w:rtl/>
        </w:rPr>
        <w:t xml:space="preserve"> עכ"ל.</w:t>
      </w:r>
    </w:p>
  </w:footnote>
  <w:footnote w:id="2238">
    <w:p w14:paraId="36493114" w14:textId="77777777" w:rsidR="004C5A3C" w:rsidRDefault="004C5A3C" w:rsidP="002C39F4">
      <w:pPr>
        <w:pStyle w:val="a5"/>
        <w:rPr>
          <w:rtl/>
        </w:rPr>
      </w:pPr>
      <w:r>
        <w:rPr>
          <w:rStyle w:val="a7"/>
        </w:rPr>
        <w:footnoteRef/>
      </w:r>
      <w:r>
        <w:rPr>
          <w:rtl/>
        </w:rPr>
        <w:t xml:space="preserve"> </w:t>
      </w:r>
      <w:r w:rsidRPr="007D1324">
        <w:rPr>
          <w:rFonts w:cs="Arial"/>
          <w:rtl/>
        </w:rPr>
        <w:t xml:space="preserve">מהרי"ו </w:t>
      </w:r>
      <w:r w:rsidRPr="002564CD">
        <w:rPr>
          <w:rFonts w:cs="Arial"/>
          <w:sz w:val="16"/>
          <w:szCs w:val="16"/>
          <w:rtl/>
        </w:rPr>
        <w:t xml:space="preserve">(סי' קכב) </w:t>
      </w:r>
      <w:r w:rsidRPr="007D1324">
        <w:rPr>
          <w:rFonts w:cs="Arial"/>
          <w:rtl/>
        </w:rPr>
        <w:t xml:space="preserve">אגור </w:t>
      </w:r>
      <w:r w:rsidRPr="002564CD">
        <w:rPr>
          <w:rFonts w:cs="Arial" w:hint="cs"/>
          <w:sz w:val="16"/>
          <w:szCs w:val="16"/>
          <w:rtl/>
        </w:rPr>
        <w:t>(</w:t>
      </w:r>
      <w:r w:rsidRPr="002564CD">
        <w:rPr>
          <w:rFonts w:cs="Arial"/>
          <w:sz w:val="16"/>
          <w:szCs w:val="16"/>
          <w:rtl/>
        </w:rPr>
        <w:t>סי</w:t>
      </w:r>
      <w:r w:rsidRPr="002564CD">
        <w:rPr>
          <w:rFonts w:cs="Arial" w:hint="cs"/>
          <w:sz w:val="16"/>
          <w:szCs w:val="16"/>
          <w:rtl/>
        </w:rPr>
        <w:t>'</w:t>
      </w:r>
      <w:r w:rsidRPr="002564CD">
        <w:rPr>
          <w:rFonts w:cs="Arial"/>
          <w:sz w:val="16"/>
          <w:szCs w:val="16"/>
          <w:rtl/>
        </w:rPr>
        <w:t xml:space="preserve"> אלף קעו</w:t>
      </w:r>
      <w:r w:rsidRPr="002564CD">
        <w:rPr>
          <w:rFonts w:cs="Arial" w:hint="cs"/>
          <w:sz w:val="16"/>
          <w:szCs w:val="16"/>
          <w:rtl/>
        </w:rPr>
        <w:t>)</w:t>
      </w:r>
      <w:r w:rsidRPr="002564CD">
        <w:rPr>
          <w:rFonts w:cs="Arial"/>
          <w:sz w:val="16"/>
          <w:szCs w:val="16"/>
          <w:rtl/>
        </w:rPr>
        <w:t xml:space="preserve"> </w:t>
      </w:r>
      <w:r w:rsidRPr="007D1324">
        <w:rPr>
          <w:rFonts w:cs="Arial"/>
          <w:rtl/>
        </w:rPr>
        <w:t xml:space="preserve">בשם מהר"י מולין </w:t>
      </w:r>
      <w:r w:rsidRPr="002564CD">
        <w:rPr>
          <w:rFonts w:cs="Arial"/>
          <w:sz w:val="16"/>
          <w:szCs w:val="16"/>
          <w:rtl/>
        </w:rPr>
        <w:t xml:space="preserve">(שו"ת סי' פז, קנז אות יד, שו"ת החדשות סי' עב תשובה א, מנהגי מהרי"ל הל' או"ה משע"ד אות יד) </w:t>
      </w:r>
      <w:r w:rsidRPr="007D1324">
        <w:rPr>
          <w:rFonts w:cs="Arial"/>
          <w:rtl/>
        </w:rPr>
        <w:t xml:space="preserve">מהרא"י </w:t>
      </w:r>
      <w:r w:rsidRPr="002564CD">
        <w:rPr>
          <w:rFonts w:cs="Arial"/>
          <w:sz w:val="16"/>
          <w:szCs w:val="16"/>
          <w:rtl/>
        </w:rPr>
        <w:t>(</w:t>
      </w:r>
      <w:r w:rsidRPr="002564CD">
        <w:rPr>
          <w:rFonts w:cs="Arial" w:hint="cs"/>
          <w:sz w:val="16"/>
          <w:szCs w:val="16"/>
          <w:rtl/>
        </w:rPr>
        <w:t xml:space="preserve">בהגשע"ד </w:t>
      </w:r>
      <w:r w:rsidRPr="002564CD">
        <w:rPr>
          <w:rFonts w:cs="Arial"/>
          <w:sz w:val="16"/>
          <w:szCs w:val="16"/>
          <w:rtl/>
        </w:rPr>
        <w:t>סי' לח ד"ה וכן ראיתי)</w:t>
      </w:r>
      <w:r w:rsidRPr="007D1324">
        <w:rPr>
          <w:rFonts w:cs="Arial"/>
          <w:rtl/>
        </w:rPr>
        <w:t xml:space="preserve"> </w:t>
      </w:r>
      <w:r>
        <w:rPr>
          <w:rFonts w:cs="Arial" w:hint="cs"/>
          <w:rtl/>
        </w:rPr>
        <w:t xml:space="preserve">ואו"ה </w:t>
      </w:r>
      <w:r w:rsidRPr="007D1324">
        <w:rPr>
          <w:rFonts w:cs="Arial"/>
          <w:rtl/>
        </w:rPr>
        <w:t xml:space="preserve">ארוך </w:t>
      </w:r>
      <w:r w:rsidRPr="002564CD">
        <w:rPr>
          <w:rFonts w:cs="Arial" w:hint="cs"/>
          <w:sz w:val="16"/>
          <w:szCs w:val="16"/>
          <w:rtl/>
        </w:rPr>
        <w:t>(</w:t>
      </w:r>
      <w:r w:rsidRPr="002564CD">
        <w:rPr>
          <w:rFonts w:cs="Arial"/>
          <w:sz w:val="16"/>
          <w:szCs w:val="16"/>
          <w:rtl/>
        </w:rPr>
        <w:t>כלל יד ד</w:t>
      </w:r>
      <w:r w:rsidRPr="002564CD">
        <w:rPr>
          <w:rFonts w:cs="Arial" w:hint="cs"/>
          <w:sz w:val="16"/>
          <w:szCs w:val="16"/>
          <w:rtl/>
        </w:rPr>
        <w:t>"</w:t>
      </w:r>
      <w:r w:rsidRPr="002564CD">
        <w:rPr>
          <w:rFonts w:cs="Arial"/>
          <w:sz w:val="16"/>
          <w:szCs w:val="16"/>
          <w:rtl/>
        </w:rPr>
        <w:t>א)</w:t>
      </w:r>
      <w:r>
        <w:rPr>
          <w:rFonts w:hint="cs"/>
          <w:rtl/>
        </w:rPr>
        <w:t>.</w:t>
      </w:r>
    </w:p>
  </w:footnote>
  <w:footnote w:id="2239">
    <w:p w14:paraId="30ECA714" w14:textId="77777777" w:rsidR="004C5A3C" w:rsidRDefault="004C5A3C" w:rsidP="002C39F4">
      <w:pPr>
        <w:pStyle w:val="a5"/>
        <w:rPr>
          <w:rtl/>
        </w:rPr>
      </w:pPr>
      <w:r>
        <w:rPr>
          <w:rStyle w:val="a7"/>
        </w:rPr>
        <w:footnoteRef/>
      </w:r>
      <w:r>
        <w:rPr>
          <w:rtl/>
        </w:rPr>
        <w:t xml:space="preserve"> </w:t>
      </w:r>
      <w:r>
        <w:rPr>
          <w:rFonts w:cs="Arial"/>
          <w:rtl/>
        </w:rPr>
        <w:t>המרדכי כתב (</w:t>
      </w:r>
      <w:r>
        <w:rPr>
          <w:rFonts w:cs="Arial" w:hint="cs"/>
          <w:rtl/>
        </w:rPr>
        <w:t xml:space="preserve">חולין </w:t>
      </w:r>
      <w:r>
        <w:rPr>
          <w:rFonts w:cs="Arial"/>
          <w:rtl/>
        </w:rPr>
        <w:t xml:space="preserve">סי' תרעד) כמה גדולים שכולם סוברים דחלב ובשר שנמלחו יחד משערים בששים זולת </w:t>
      </w:r>
      <w:r>
        <w:rPr>
          <w:rFonts w:cs="Arial" w:hint="cs"/>
          <w:rtl/>
        </w:rPr>
        <w:t xml:space="preserve">ראבי"ה שסובר כנ"ל, </w:t>
      </w:r>
      <w:r w:rsidRPr="00B1234F">
        <w:rPr>
          <w:rFonts w:cs="Arial"/>
          <w:rtl/>
        </w:rPr>
        <w:t xml:space="preserve">וכתב </w:t>
      </w:r>
      <w:r>
        <w:rPr>
          <w:rFonts w:cs="Arial" w:hint="cs"/>
          <w:rtl/>
        </w:rPr>
        <w:t xml:space="preserve">עוד </w:t>
      </w:r>
      <w:r w:rsidRPr="00B1234F">
        <w:rPr>
          <w:rFonts w:cs="Arial"/>
          <w:rtl/>
        </w:rPr>
        <w:t>שרבינו אפרים אומר שנוהגים כראבי"ה</w:t>
      </w:r>
      <w:r w:rsidRPr="00B1234F">
        <w:rPr>
          <w:rFonts w:cs="Arial" w:hint="cs"/>
          <w:rtl/>
        </w:rPr>
        <w:t>.</w:t>
      </w:r>
      <w:r w:rsidRPr="00B1234F">
        <w:rPr>
          <w:rFonts w:cs="Arial"/>
          <w:rtl/>
        </w:rPr>
        <w:t xml:space="preserve"> ו</w:t>
      </w:r>
      <w:r>
        <w:rPr>
          <w:rFonts w:cs="Arial" w:hint="cs"/>
          <w:rtl/>
        </w:rPr>
        <w:t xml:space="preserve">כ' הב"י- </w:t>
      </w:r>
      <w:r w:rsidRPr="00B1234F">
        <w:rPr>
          <w:rFonts w:cs="Arial"/>
          <w:rtl/>
        </w:rPr>
        <w:t>כיוצא בזה היא סברת הרמב"ן שהבאתי שכתב הר"ן בשמו</w:t>
      </w:r>
      <w:r>
        <w:rPr>
          <w:rFonts w:cs="Arial" w:hint="cs"/>
          <w:rtl/>
        </w:rPr>
        <w:t>,</w:t>
      </w:r>
      <w:r w:rsidRPr="00B1234F">
        <w:rPr>
          <w:rFonts w:cs="Arial"/>
          <w:rtl/>
        </w:rPr>
        <w:t xml:space="preserve"> ומיהו מתוך דברי ראבי"ה אפשר לדקדק דלא איירי אלא בשאין החלב דבוק לבשר ומשום דאין חלב מפעפע מחתיכה לחתיכה בלא רוטב</w:t>
      </w:r>
      <w:r w:rsidRPr="00B1234F">
        <w:rPr>
          <w:rFonts w:cs="Arial" w:hint="cs"/>
          <w:rtl/>
        </w:rPr>
        <w:t>,</w:t>
      </w:r>
      <w:r w:rsidRPr="00B1234F">
        <w:rPr>
          <w:rFonts w:cs="Arial"/>
          <w:rtl/>
        </w:rPr>
        <w:t xml:space="preserve"> אבל חתיכת בשר שלא ניקרה מחלבה ונמלחה מודה דמתבטל בששים שבחתיכה עצמה.</w:t>
      </w:r>
    </w:p>
  </w:footnote>
  <w:footnote w:id="2240">
    <w:p w14:paraId="01D289CE" w14:textId="77777777" w:rsidR="004C5A3C" w:rsidRDefault="004C5A3C" w:rsidP="002C39F4">
      <w:pPr>
        <w:pStyle w:val="a5"/>
        <w:rPr>
          <w:rtl/>
        </w:rPr>
      </w:pPr>
      <w:r>
        <w:rPr>
          <w:rStyle w:val="a7"/>
        </w:rPr>
        <w:footnoteRef/>
      </w:r>
      <w:r>
        <w:rPr>
          <w:rtl/>
        </w:rPr>
        <w:t xml:space="preserve"> </w:t>
      </w:r>
      <w:r w:rsidRPr="00284687">
        <w:rPr>
          <w:rFonts w:cs="Arial"/>
          <w:rtl/>
        </w:rPr>
        <w:t>וגם בהגשע</w:t>
      </w:r>
      <w:r>
        <w:rPr>
          <w:rFonts w:cs="Arial" w:hint="cs"/>
          <w:rtl/>
        </w:rPr>
        <w:t>"</w:t>
      </w:r>
      <w:r w:rsidRPr="00284687">
        <w:rPr>
          <w:rFonts w:cs="Arial"/>
          <w:rtl/>
        </w:rPr>
        <w:t>ד</w:t>
      </w:r>
      <w:r w:rsidRPr="00284687">
        <w:rPr>
          <w:rFonts w:cs="Arial"/>
          <w:sz w:val="16"/>
          <w:szCs w:val="16"/>
          <w:rtl/>
        </w:rPr>
        <w:t xml:space="preserve"> (סי' לח סק</w:t>
      </w:r>
      <w:r w:rsidRPr="00284687">
        <w:rPr>
          <w:rFonts w:cs="Arial" w:hint="cs"/>
          <w:sz w:val="16"/>
          <w:szCs w:val="16"/>
          <w:rtl/>
        </w:rPr>
        <w:t>"</w:t>
      </w:r>
      <w:r w:rsidRPr="00284687">
        <w:rPr>
          <w:rFonts w:cs="Arial"/>
          <w:sz w:val="16"/>
          <w:szCs w:val="16"/>
          <w:rtl/>
        </w:rPr>
        <w:t xml:space="preserve">ב) </w:t>
      </w:r>
      <w:r w:rsidRPr="00284687">
        <w:rPr>
          <w:rFonts w:cs="Arial"/>
          <w:rtl/>
        </w:rPr>
        <w:t>כ</w:t>
      </w:r>
      <w:r>
        <w:rPr>
          <w:rFonts w:cs="Arial" w:hint="cs"/>
          <w:rtl/>
        </w:rPr>
        <w:t>'</w:t>
      </w:r>
      <w:r w:rsidRPr="00284687">
        <w:rPr>
          <w:rFonts w:cs="Arial"/>
          <w:rtl/>
        </w:rPr>
        <w:t xml:space="preserve"> בשם מהרא"י קבלתי דהכי נוהגים לאסור במליחה עד </w:t>
      </w:r>
      <w:r>
        <w:rPr>
          <w:rFonts w:cs="Arial" w:hint="cs"/>
          <w:rtl/>
        </w:rPr>
        <w:t>ס'</w:t>
      </w:r>
      <w:r w:rsidRPr="00284687">
        <w:rPr>
          <w:rFonts w:cs="Arial"/>
          <w:rtl/>
        </w:rPr>
        <w:t xml:space="preserve"> וגם לבטל </w:t>
      </w:r>
      <w:r>
        <w:rPr>
          <w:rFonts w:cs="Arial" w:hint="cs"/>
          <w:rtl/>
        </w:rPr>
        <w:t>בס'</w:t>
      </w:r>
      <w:r w:rsidRPr="00284687">
        <w:rPr>
          <w:rFonts w:cs="Arial"/>
          <w:rtl/>
        </w:rPr>
        <w:t xml:space="preserve"> לא בעי קליפה ע"כ</w:t>
      </w:r>
      <w:r>
        <w:rPr>
          <w:rFonts w:cs="Arial" w:hint="cs"/>
          <w:rtl/>
        </w:rPr>
        <w:t>,</w:t>
      </w:r>
      <w:r w:rsidRPr="00284687">
        <w:rPr>
          <w:rFonts w:cs="Arial"/>
          <w:rtl/>
        </w:rPr>
        <w:t xml:space="preserve"> ומיהו כבר כתבתי שדעת הרשב"א שאע"פ שהוא בטל </w:t>
      </w:r>
      <w:r>
        <w:rPr>
          <w:rFonts w:cs="Arial" w:hint="cs"/>
          <w:rtl/>
        </w:rPr>
        <w:t>בס'</w:t>
      </w:r>
      <w:r w:rsidRPr="00284687">
        <w:rPr>
          <w:rFonts w:cs="Arial"/>
          <w:rtl/>
        </w:rPr>
        <w:t xml:space="preserve"> צריך ליטול ממקום שנפל שם האיסור כדי נטילת מקום</w:t>
      </w:r>
      <w:r>
        <w:rPr>
          <w:rFonts w:cs="Arial" w:hint="cs"/>
          <w:rtl/>
        </w:rPr>
        <w:t>,</w:t>
      </w:r>
      <w:r w:rsidRPr="00284687">
        <w:rPr>
          <w:rFonts w:cs="Arial"/>
          <w:rtl/>
        </w:rPr>
        <w:t xml:space="preserve"> וג"כ דעת כמה רבוותא בעובדא דרבינו ברוך שהביא המרדכי בס</w:t>
      </w:r>
      <w:r>
        <w:rPr>
          <w:rFonts w:cs="Arial" w:hint="cs"/>
          <w:rtl/>
        </w:rPr>
        <w:t>פ</w:t>
      </w:r>
      <w:r w:rsidRPr="00284687">
        <w:rPr>
          <w:rFonts w:cs="Arial"/>
          <w:rtl/>
        </w:rPr>
        <w:t xml:space="preserve">ג"ה </w:t>
      </w:r>
      <w:r w:rsidRPr="00284687">
        <w:rPr>
          <w:rFonts w:cs="Arial"/>
          <w:sz w:val="16"/>
          <w:szCs w:val="16"/>
          <w:rtl/>
        </w:rPr>
        <w:t>(סי' תרפד)</w:t>
      </w:r>
      <w:r>
        <w:rPr>
          <w:rFonts w:cs="Arial" w:hint="cs"/>
          <w:rtl/>
        </w:rPr>
        <w:t>,</w:t>
      </w:r>
      <w:r w:rsidRPr="00284687">
        <w:rPr>
          <w:rFonts w:cs="Arial"/>
          <w:rtl/>
        </w:rPr>
        <w:t xml:space="preserve"> ואע</w:t>
      </w:r>
      <w:r w:rsidRPr="00284687">
        <w:rPr>
          <w:rFonts w:cs="Arial" w:hint="cs"/>
          <w:rtl/>
        </w:rPr>
        <w:t>"</w:t>
      </w:r>
      <w:r w:rsidRPr="00284687">
        <w:rPr>
          <w:rFonts w:cs="Arial"/>
          <w:rtl/>
        </w:rPr>
        <w:t>פ שרבינו ברוך חזר בו אח"כ אינך רבוותא לא ראינו שחזרו בהם</w:t>
      </w:r>
      <w:r w:rsidRPr="00284687">
        <w:rPr>
          <w:rFonts w:cs="Arial" w:hint="cs"/>
          <w:rtl/>
        </w:rPr>
        <w:t>,</w:t>
      </w:r>
      <w:r w:rsidRPr="00284687">
        <w:rPr>
          <w:rFonts w:cs="Arial"/>
          <w:rtl/>
        </w:rPr>
        <w:t xml:space="preserve"> ואע</w:t>
      </w:r>
      <w:r w:rsidRPr="00284687">
        <w:rPr>
          <w:rFonts w:cs="Arial" w:hint="cs"/>
          <w:rtl/>
        </w:rPr>
        <w:t>"</w:t>
      </w:r>
      <w:r w:rsidRPr="00284687">
        <w:rPr>
          <w:rFonts w:cs="Arial"/>
          <w:rtl/>
        </w:rPr>
        <w:t>פ שמדברי הרמב"ם יש לדקדק דלא בעינן קליפה מ"מ לענין מעשה יש להורות כדברי הרשב"א שכ</w:t>
      </w:r>
      <w:r>
        <w:rPr>
          <w:rFonts w:cs="Arial" w:hint="cs"/>
          <w:rtl/>
        </w:rPr>
        <w:t>'</w:t>
      </w:r>
      <w:r w:rsidRPr="00284687">
        <w:rPr>
          <w:rFonts w:cs="Arial"/>
          <w:rtl/>
        </w:rPr>
        <w:t xml:space="preserve"> בהדיא לאסור</w:t>
      </w:r>
      <w:r>
        <w:rPr>
          <w:rFonts w:hint="cs"/>
          <w:rtl/>
        </w:rPr>
        <w:t>, ב"י.</w:t>
      </w:r>
    </w:p>
  </w:footnote>
  <w:footnote w:id="2241">
    <w:p w14:paraId="04FD47A8" w14:textId="77777777" w:rsidR="004C5A3C" w:rsidRDefault="004C5A3C" w:rsidP="002C39F4">
      <w:pPr>
        <w:pStyle w:val="a5"/>
        <w:rPr>
          <w:rtl/>
        </w:rPr>
      </w:pPr>
      <w:r>
        <w:rPr>
          <w:rStyle w:val="a7"/>
        </w:rPr>
        <w:footnoteRef/>
      </w:r>
      <w:r>
        <w:rPr>
          <w:rtl/>
        </w:rPr>
        <w:t xml:space="preserve"> </w:t>
      </w:r>
      <w:r>
        <w:rPr>
          <w:rFonts w:cs="Arial" w:hint="cs"/>
          <w:rtl/>
        </w:rPr>
        <w:t xml:space="preserve">וכ' הב"י- </w:t>
      </w:r>
      <w:r>
        <w:rPr>
          <w:rFonts w:cs="Arial"/>
          <w:rtl/>
        </w:rPr>
        <w:t>ומשמע לי דהר"ם איירי בשידוע בבירור שלא נגע החלב כי אם באחת מהן אלא שאין ידוע אי זו היא ולכן מתבטלת בשתים שידוע שלא נגע בהן</w:t>
      </w:r>
      <w:r>
        <w:rPr>
          <w:rFonts w:cs="Arial" w:hint="cs"/>
          <w:rtl/>
        </w:rPr>
        <w:t>,</w:t>
      </w:r>
      <w:r>
        <w:rPr>
          <w:rFonts w:cs="Arial"/>
          <w:rtl/>
        </w:rPr>
        <w:t xml:space="preserve"> שאל"כ הא איכא לאסתפוקי דילמא נגע בכולן והיאך יתבטלו</w:t>
      </w:r>
      <w:r>
        <w:rPr>
          <w:rFonts w:cs="Arial" w:hint="cs"/>
          <w:rtl/>
        </w:rPr>
        <w:t>,</w:t>
      </w:r>
      <w:r>
        <w:rPr>
          <w:rFonts w:cs="Arial"/>
          <w:rtl/>
        </w:rPr>
        <w:t xml:space="preserve"> ועוד שהרי כתבו דספק אם נמלחו טריפה וכשרה אסור מפני שהוא ספיקא דאורייתא </w:t>
      </w:r>
      <w:r w:rsidRPr="00BF1AF0">
        <w:rPr>
          <w:rFonts w:cs="Arial" w:hint="cs"/>
          <w:sz w:val="16"/>
          <w:szCs w:val="16"/>
          <w:rtl/>
        </w:rPr>
        <w:t>(</w:t>
      </w:r>
      <w:r w:rsidRPr="00BF1AF0">
        <w:rPr>
          <w:rFonts w:cs="Arial"/>
          <w:sz w:val="16"/>
          <w:szCs w:val="16"/>
          <w:rtl/>
        </w:rPr>
        <w:t>וכן נראה מדקדוק לשונו שכתב אם יש ספק באותם חתיכות באי זו חתיכה נגע החלב ויש שם חתיכות הרבה דאיכא לאסתפוקי דילמא בהא נגע או בהא נגע</w:t>
      </w:r>
      <w:r w:rsidRPr="00BF1AF0">
        <w:rPr>
          <w:rFonts w:cs="Arial" w:hint="cs"/>
          <w:sz w:val="16"/>
          <w:szCs w:val="16"/>
          <w:rtl/>
        </w:rPr>
        <w:t>,</w:t>
      </w:r>
      <w:r w:rsidRPr="00BF1AF0">
        <w:rPr>
          <w:rFonts w:cs="Arial"/>
          <w:sz w:val="16"/>
          <w:szCs w:val="16"/>
          <w:rtl/>
        </w:rPr>
        <w:t xml:space="preserve"> וכ"נ ג"כ ממ"ש עוד המרדכי (סי' תרעד) בשם ראבי"ה אם יש חתיכות הרבה ונגע האיסור באחד מהן ואין ידוע באיזה מהן אם ראוי להתכבד לא בטלה והכל אסור ואם לאו בטלה ברוב ולא בעינן קליפה דחד בתרי בטיל עכ"ל</w:t>
      </w:r>
      <w:r w:rsidRPr="00BF1AF0">
        <w:rPr>
          <w:rFonts w:cs="Arial" w:hint="cs"/>
          <w:sz w:val="16"/>
          <w:szCs w:val="16"/>
          <w:rtl/>
        </w:rPr>
        <w:t>,</w:t>
      </w:r>
      <w:r w:rsidRPr="00BF1AF0">
        <w:rPr>
          <w:rFonts w:cs="Arial"/>
          <w:sz w:val="16"/>
          <w:szCs w:val="16"/>
          <w:rtl/>
        </w:rPr>
        <w:t xml:space="preserve"> הרי שכתב בהדיא דבנגע באחת מהן ואינו יודע אי זו הוא מיירי משמע שידוע לו שלא נגע אלא באחד בלבד אבל אם אינו ידוע אם נגע בכולן כולן אסורות</w:t>
      </w:r>
      <w:r>
        <w:rPr>
          <w:rFonts w:cs="Arial" w:hint="cs"/>
          <w:sz w:val="16"/>
          <w:szCs w:val="16"/>
          <w:rtl/>
        </w:rPr>
        <w:t>...</w:t>
      </w:r>
      <w:r w:rsidRPr="00BF1AF0">
        <w:rPr>
          <w:rFonts w:cs="Arial" w:hint="cs"/>
          <w:sz w:val="12"/>
          <w:szCs w:val="12"/>
          <w:rtl/>
        </w:rPr>
        <w:t xml:space="preserve"> </w:t>
      </w:r>
      <w:r>
        <w:rPr>
          <w:rFonts w:cs="Arial" w:hint="cs"/>
          <w:sz w:val="12"/>
          <w:szCs w:val="12"/>
          <w:rtl/>
        </w:rPr>
        <w:t>[</w:t>
      </w:r>
      <w:r w:rsidRPr="00BF1AF0">
        <w:rPr>
          <w:rFonts w:cs="Arial"/>
          <w:sz w:val="16"/>
          <w:szCs w:val="16"/>
          <w:rtl/>
        </w:rPr>
        <w:t>ומיהו מ"ש ראבי"ה דהוי חתיכה הראויה להתכבד אע</w:t>
      </w:r>
      <w:r w:rsidRPr="00BF1AF0">
        <w:rPr>
          <w:rFonts w:cs="Arial" w:hint="cs"/>
          <w:sz w:val="16"/>
          <w:szCs w:val="16"/>
          <w:rtl/>
        </w:rPr>
        <w:t>"</w:t>
      </w:r>
      <w:r w:rsidRPr="00BF1AF0">
        <w:rPr>
          <w:rFonts w:cs="Arial"/>
          <w:sz w:val="16"/>
          <w:szCs w:val="16"/>
          <w:rtl/>
        </w:rPr>
        <w:t>פ שלא נאסרה אלא מבליעת איסור כבר נתבאר בסימן ק"א (קס: ד"ה ומ"ש ודוקא) דכמה פוסקים כתבו כדברי מהר"ם וה"ל ראבי"ה יחידאה לגבייהו</w:t>
      </w:r>
      <w:r>
        <w:rPr>
          <w:rFonts w:cs="Arial" w:hint="cs"/>
          <w:sz w:val="16"/>
          <w:szCs w:val="16"/>
          <w:rtl/>
        </w:rPr>
        <w:t>] עכ"ל בב"י. והוסיף הב"י בבדה"ב-)</w:t>
      </w:r>
      <w:r>
        <w:rPr>
          <w:rFonts w:cs="Arial" w:hint="cs"/>
          <w:rtl/>
        </w:rPr>
        <w:t>,</w:t>
      </w:r>
      <w:r>
        <w:rPr>
          <w:rFonts w:cs="Arial"/>
          <w:rtl/>
        </w:rPr>
        <w:t xml:space="preserve"> כנ"ל אלא שמצאתי בא</w:t>
      </w:r>
      <w:r>
        <w:rPr>
          <w:rFonts w:cs="Arial" w:hint="cs"/>
          <w:rtl/>
        </w:rPr>
        <w:t>"</w:t>
      </w:r>
      <w:r>
        <w:rPr>
          <w:rFonts w:cs="Arial"/>
          <w:rtl/>
        </w:rPr>
        <w:t xml:space="preserve">ח </w:t>
      </w:r>
      <w:r w:rsidRPr="00BF1AF0">
        <w:rPr>
          <w:rFonts w:cs="Arial"/>
          <w:sz w:val="16"/>
          <w:szCs w:val="16"/>
          <w:rtl/>
        </w:rPr>
        <w:t>(אמא</w:t>
      </w:r>
      <w:r w:rsidRPr="00BF1AF0">
        <w:rPr>
          <w:rFonts w:cs="Arial" w:hint="cs"/>
          <w:sz w:val="16"/>
          <w:szCs w:val="16"/>
          <w:rtl/>
        </w:rPr>
        <w:t>"כ</w:t>
      </w:r>
      <w:r w:rsidRPr="00BF1AF0">
        <w:rPr>
          <w:rFonts w:cs="Arial"/>
          <w:sz w:val="16"/>
          <w:szCs w:val="16"/>
          <w:rtl/>
        </w:rPr>
        <w:t xml:space="preserve"> סו"ס פו) </w:t>
      </w:r>
      <w:r>
        <w:rPr>
          <w:rFonts w:cs="Arial"/>
          <w:rtl/>
        </w:rPr>
        <w:t xml:space="preserve">תשובות הר"מ ז"ל </w:t>
      </w:r>
      <w:r w:rsidRPr="00BF1AF0">
        <w:rPr>
          <w:rFonts w:cs="Arial"/>
          <w:sz w:val="16"/>
          <w:szCs w:val="16"/>
          <w:rtl/>
        </w:rPr>
        <w:t xml:space="preserve">(ד"פ סימן תריז) </w:t>
      </w:r>
      <w:r>
        <w:rPr>
          <w:rFonts w:cs="Arial"/>
          <w:rtl/>
        </w:rPr>
        <w:t>על חלב הרבה שהיה תלוי בקיבה ומלחוה עם הרבה מעיים הבני מעיים אחרים שרו דכיון שהאיסור היה מכוסה בתוך הקיבה אינו מוליך טעם אלא ע"י רוטב ואי אמרת משום ספיקא דאורייתא לחומרא דנימא בכל החתיכות זאת נמלחה עמה ואסורה דכיון דא"א דנגעה בכולהו אמרינן דכל אחת שנמלחה עמה מיד בטלוה האחרות דחד בתרי בטיל עכ"ל</w:t>
      </w:r>
      <w:r>
        <w:rPr>
          <w:rFonts w:cs="Arial" w:hint="cs"/>
          <w:rtl/>
        </w:rPr>
        <w:t>.</w:t>
      </w:r>
    </w:p>
  </w:footnote>
  <w:footnote w:id="2242">
    <w:p w14:paraId="03B2A4C5" w14:textId="77777777" w:rsidR="004C5A3C" w:rsidRDefault="004C5A3C" w:rsidP="002C39F4">
      <w:pPr>
        <w:pStyle w:val="a5"/>
        <w:rPr>
          <w:rtl/>
        </w:rPr>
      </w:pPr>
      <w:r>
        <w:rPr>
          <w:rStyle w:val="a7"/>
        </w:rPr>
        <w:footnoteRef/>
      </w:r>
      <w:r>
        <w:rPr>
          <w:rtl/>
        </w:rPr>
        <w:t xml:space="preserve"> </w:t>
      </w:r>
      <w:r>
        <w:rPr>
          <w:rFonts w:cs="Arial"/>
          <w:rtl/>
        </w:rPr>
        <w:t>ולטעמייהו אזלי דסברי דחתיכה עצמה נעשית נבלה אמרינן בכל האסורין</w:t>
      </w:r>
      <w:r>
        <w:rPr>
          <w:rFonts w:cs="Arial" w:hint="cs"/>
          <w:rtl/>
        </w:rPr>
        <w:t>,</w:t>
      </w:r>
      <w:r>
        <w:rPr>
          <w:rFonts w:cs="Arial"/>
          <w:rtl/>
        </w:rPr>
        <w:t xml:space="preserve"> אבל לפי מה שכתבתי בסימן צ"ב </w:t>
      </w:r>
      <w:r w:rsidRPr="002E0315">
        <w:rPr>
          <w:rFonts w:cs="Arial"/>
          <w:sz w:val="16"/>
          <w:szCs w:val="16"/>
          <w:rtl/>
        </w:rPr>
        <w:t xml:space="preserve">(קמו: ד"ה ולענין הלכה) </w:t>
      </w:r>
      <w:r>
        <w:rPr>
          <w:rFonts w:cs="Arial"/>
          <w:rtl/>
        </w:rPr>
        <w:t>שרוב הפוסקים בעלי הוראה הסכימו לדברי ה"ר אפרים שכתב דלא אמרינן חתיכה עצמה נעשית נבלה אלא בבשר בחלב בלבד הכא לא בעינן ששים כנגד כל החתיכה</w:t>
      </w:r>
      <w:r>
        <w:rPr>
          <w:rFonts w:cs="Arial" w:hint="cs"/>
          <w:rtl/>
        </w:rPr>
        <w:t>,</w:t>
      </w:r>
      <w:r>
        <w:rPr>
          <w:rFonts w:cs="Arial"/>
          <w:rtl/>
        </w:rPr>
        <w:t xml:space="preserve"> וגם המרדכי (שם) כתב דמדברי ראבי"ה משמע דלא משערים אלא כנגד החלב לבדו</w:t>
      </w:r>
      <w:r>
        <w:rPr>
          <w:rFonts w:cs="Arial" w:hint="cs"/>
          <w:rtl/>
        </w:rPr>
        <w:t>, ב"י</w:t>
      </w:r>
      <w:r>
        <w:rPr>
          <w:rFonts w:cs="Arial"/>
          <w:rtl/>
        </w:rPr>
        <w:t>.</w:t>
      </w:r>
    </w:p>
  </w:footnote>
  <w:footnote w:id="2243">
    <w:p w14:paraId="7767CE87" w14:textId="77777777" w:rsidR="004C5A3C" w:rsidRDefault="004C5A3C" w:rsidP="002C39F4">
      <w:pPr>
        <w:pStyle w:val="a5"/>
        <w:rPr>
          <w:rtl/>
        </w:rPr>
      </w:pPr>
      <w:r>
        <w:rPr>
          <w:rStyle w:val="a7"/>
        </w:rPr>
        <w:footnoteRef/>
      </w:r>
      <w:r>
        <w:rPr>
          <w:rtl/>
        </w:rPr>
        <w:t xml:space="preserve"> </w:t>
      </w:r>
      <w:r>
        <w:rPr>
          <w:rFonts w:cs="Arial" w:hint="cs"/>
          <w:rtl/>
        </w:rPr>
        <w:t xml:space="preserve">וכ' דכך </w:t>
      </w:r>
      <w:r w:rsidRPr="00E724FA">
        <w:rPr>
          <w:rFonts w:cs="Arial"/>
          <w:rtl/>
        </w:rPr>
        <w:t>המנה</w:t>
      </w:r>
      <w:r>
        <w:rPr>
          <w:rFonts w:cs="Arial" w:hint="cs"/>
          <w:rtl/>
        </w:rPr>
        <w:t>ג, היינו ש</w:t>
      </w:r>
      <w:r w:rsidRPr="00E724FA">
        <w:rPr>
          <w:rFonts w:cs="Arial"/>
          <w:rtl/>
        </w:rPr>
        <w:t>כל החתיכות שנמלחו יחד מצטרפים הכל לס'</w:t>
      </w:r>
      <w:r>
        <w:rPr>
          <w:rFonts w:cs="Arial" w:hint="cs"/>
          <w:rtl/>
        </w:rPr>
        <w:t xml:space="preserve"> </w:t>
      </w:r>
      <w:r w:rsidRPr="0044669A">
        <w:rPr>
          <w:rFonts w:cs="Arial" w:hint="cs"/>
          <w:sz w:val="16"/>
          <w:szCs w:val="16"/>
          <w:rtl/>
        </w:rPr>
        <w:t>(וכ</w:t>
      </w:r>
      <w:r>
        <w:rPr>
          <w:rFonts w:cs="Arial" w:hint="cs"/>
          <w:sz w:val="16"/>
          <w:szCs w:val="16"/>
          <w:rtl/>
        </w:rPr>
        <w:t>'</w:t>
      </w:r>
      <w:r w:rsidRPr="0044669A">
        <w:rPr>
          <w:rFonts w:cs="Arial" w:hint="cs"/>
          <w:sz w:val="16"/>
          <w:szCs w:val="16"/>
          <w:rtl/>
        </w:rPr>
        <w:t xml:space="preserve"> ד</w:t>
      </w:r>
      <w:r w:rsidRPr="0044669A">
        <w:rPr>
          <w:rFonts w:cs="Arial"/>
          <w:sz w:val="16"/>
          <w:szCs w:val="16"/>
          <w:rtl/>
        </w:rPr>
        <w:t>אפשר שסומכין אדברי או</w:t>
      </w:r>
      <w:r w:rsidRPr="0044669A">
        <w:rPr>
          <w:rFonts w:cs="Arial" w:hint="cs"/>
          <w:sz w:val="16"/>
          <w:szCs w:val="16"/>
          <w:rtl/>
        </w:rPr>
        <w:t>"</w:t>
      </w:r>
      <w:r w:rsidRPr="0044669A">
        <w:rPr>
          <w:rFonts w:cs="Arial"/>
          <w:sz w:val="16"/>
          <w:szCs w:val="16"/>
          <w:rtl/>
        </w:rPr>
        <w:t>ז (חולין סי' תנג) דלעיל דס"ל דהכל מצטרפין</w:t>
      </w:r>
      <w:r w:rsidRPr="0044669A">
        <w:rPr>
          <w:rFonts w:cs="Arial" w:hint="cs"/>
          <w:sz w:val="16"/>
          <w:szCs w:val="16"/>
          <w:rtl/>
        </w:rPr>
        <w:t>,</w:t>
      </w:r>
      <w:r w:rsidRPr="0044669A">
        <w:rPr>
          <w:rFonts w:cs="Arial"/>
          <w:sz w:val="16"/>
          <w:szCs w:val="16"/>
          <w:rtl/>
        </w:rPr>
        <w:t xml:space="preserve"> דהרי כ</w:t>
      </w:r>
      <w:r>
        <w:rPr>
          <w:rFonts w:cs="Arial" w:hint="cs"/>
          <w:sz w:val="16"/>
          <w:szCs w:val="16"/>
          <w:rtl/>
        </w:rPr>
        <w:t>'</w:t>
      </w:r>
      <w:r w:rsidRPr="0044669A">
        <w:rPr>
          <w:rFonts w:cs="Arial"/>
          <w:sz w:val="16"/>
          <w:szCs w:val="16"/>
          <w:rtl/>
        </w:rPr>
        <w:t xml:space="preserve"> דאם חלב דבוקה בו נ"נ משום דבודאי נמלח תחלה לחוד אבל בלא"ה הוי כולן מצטרפין לבטל החלב א"כ </w:t>
      </w:r>
      <w:r w:rsidRPr="0044669A">
        <w:rPr>
          <w:rFonts w:cs="Arial" w:hint="cs"/>
          <w:sz w:val="16"/>
          <w:szCs w:val="16"/>
          <w:rtl/>
        </w:rPr>
        <w:t>כ</w:t>
      </w:r>
      <w:r w:rsidRPr="0044669A">
        <w:rPr>
          <w:rFonts w:cs="Arial"/>
          <w:sz w:val="16"/>
          <w:szCs w:val="16"/>
          <w:rtl/>
        </w:rPr>
        <w:t>אין החלב דבוק בחתיכה אלא שהחלב נמלח עם בשר הכל מצטרף לבטל החלב בין חתיכה הנוגעת בחלב בין אינה נוגעת</w:t>
      </w:r>
      <w:r w:rsidRPr="0044669A">
        <w:rPr>
          <w:rFonts w:cs="Arial" w:hint="cs"/>
          <w:sz w:val="16"/>
          <w:szCs w:val="16"/>
          <w:rtl/>
        </w:rPr>
        <w:t>,</w:t>
      </w:r>
      <w:r w:rsidRPr="0044669A">
        <w:rPr>
          <w:rFonts w:cs="Arial"/>
          <w:sz w:val="16"/>
          <w:szCs w:val="16"/>
          <w:rtl/>
        </w:rPr>
        <w:t xml:space="preserve"> וכ"ה בהג</w:t>
      </w:r>
      <w:r w:rsidRPr="0044669A">
        <w:rPr>
          <w:rFonts w:cs="Arial" w:hint="cs"/>
          <w:sz w:val="16"/>
          <w:szCs w:val="16"/>
          <w:rtl/>
        </w:rPr>
        <w:t xml:space="preserve">שע"ד </w:t>
      </w:r>
      <w:r w:rsidRPr="0044669A">
        <w:rPr>
          <w:rFonts w:cs="Arial"/>
          <w:sz w:val="16"/>
          <w:szCs w:val="16"/>
          <w:rtl/>
        </w:rPr>
        <w:t>(סי' לז) דלפי מנהגינו בישול ומליחה וצליה הכל שוה וכ"מ לשון האגור (סי' אלף קעו) שכ</w:t>
      </w:r>
      <w:r>
        <w:rPr>
          <w:rFonts w:cs="Arial" w:hint="cs"/>
          <w:sz w:val="16"/>
          <w:szCs w:val="16"/>
          <w:rtl/>
        </w:rPr>
        <w:t>'</w:t>
      </w:r>
      <w:r w:rsidRPr="0044669A">
        <w:rPr>
          <w:rFonts w:cs="Arial"/>
          <w:sz w:val="16"/>
          <w:szCs w:val="16"/>
          <w:rtl/>
        </w:rPr>
        <w:t xml:space="preserve"> דמשערינן בס' בין להקל בין להחמיר וכ"כ </w:t>
      </w:r>
      <w:r w:rsidRPr="0044669A">
        <w:rPr>
          <w:rFonts w:cs="Arial" w:hint="cs"/>
          <w:sz w:val="16"/>
          <w:szCs w:val="16"/>
          <w:rtl/>
        </w:rPr>
        <w:t xml:space="preserve">מהרא"י </w:t>
      </w:r>
      <w:r w:rsidRPr="0044669A">
        <w:rPr>
          <w:rFonts w:cs="Arial"/>
          <w:sz w:val="16"/>
          <w:szCs w:val="16"/>
          <w:rtl/>
        </w:rPr>
        <w:t>(</w:t>
      </w:r>
      <w:r w:rsidRPr="0044669A">
        <w:rPr>
          <w:rFonts w:cs="Arial" w:hint="cs"/>
          <w:sz w:val="16"/>
          <w:szCs w:val="16"/>
          <w:rtl/>
        </w:rPr>
        <w:t>ב</w:t>
      </w:r>
      <w:r w:rsidRPr="0044669A">
        <w:rPr>
          <w:rFonts w:cs="Arial"/>
          <w:sz w:val="16"/>
          <w:szCs w:val="16"/>
          <w:rtl/>
        </w:rPr>
        <w:t>הגש</w:t>
      </w:r>
      <w:r w:rsidRPr="0044669A">
        <w:rPr>
          <w:rFonts w:cs="Arial" w:hint="cs"/>
          <w:sz w:val="16"/>
          <w:szCs w:val="16"/>
          <w:rtl/>
        </w:rPr>
        <w:t>ע</w:t>
      </w:r>
      <w:r w:rsidRPr="0044669A">
        <w:rPr>
          <w:rFonts w:cs="Arial"/>
          <w:sz w:val="16"/>
          <w:szCs w:val="16"/>
          <w:rtl/>
        </w:rPr>
        <w:t>"ד סי' לח ד"ה וכן ראיתי) בהדיא דמליחה כבישול</w:t>
      </w:r>
      <w:r w:rsidRPr="0044669A">
        <w:rPr>
          <w:rFonts w:cs="Arial" w:hint="cs"/>
          <w:sz w:val="16"/>
          <w:szCs w:val="16"/>
          <w:rtl/>
        </w:rPr>
        <w:t>,</w:t>
      </w:r>
      <w:r w:rsidRPr="0044669A">
        <w:rPr>
          <w:rFonts w:cs="Arial"/>
          <w:sz w:val="16"/>
          <w:szCs w:val="16"/>
          <w:rtl/>
        </w:rPr>
        <w:t xml:space="preserve"> ולכך אין לחלק אלא הכל מצטרפין לס' אם אין האיסור דבוק לחתיכה דאז יש להחמיר כד</w:t>
      </w:r>
      <w:r w:rsidRPr="0044669A">
        <w:rPr>
          <w:rFonts w:cs="Arial" w:hint="cs"/>
          <w:sz w:val="16"/>
          <w:szCs w:val="16"/>
          <w:rtl/>
        </w:rPr>
        <w:t>'</w:t>
      </w:r>
      <w:r w:rsidRPr="0044669A">
        <w:rPr>
          <w:rFonts w:cs="Arial"/>
          <w:sz w:val="16"/>
          <w:szCs w:val="16"/>
          <w:rtl/>
        </w:rPr>
        <w:t xml:space="preserve"> או</w:t>
      </w:r>
      <w:r w:rsidRPr="0044669A">
        <w:rPr>
          <w:rFonts w:cs="Arial" w:hint="cs"/>
          <w:sz w:val="16"/>
          <w:szCs w:val="16"/>
          <w:rtl/>
        </w:rPr>
        <w:t xml:space="preserve">"ז, </w:t>
      </w:r>
      <w:r w:rsidRPr="0044669A">
        <w:rPr>
          <w:rFonts w:cs="Arial"/>
          <w:sz w:val="16"/>
          <w:szCs w:val="16"/>
          <w:rtl/>
        </w:rPr>
        <w:t xml:space="preserve">אבל לא משמע כן מדברי הארוך </w:t>
      </w:r>
      <w:r w:rsidRPr="0044669A">
        <w:rPr>
          <w:rFonts w:cs="Arial" w:hint="cs"/>
          <w:sz w:val="16"/>
          <w:szCs w:val="16"/>
          <w:rtl/>
        </w:rPr>
        <w:t>(</w:t>
      </w:r>
      <w:r w:rsidRPr="0044669A">
        <w:rPr>
          <w:rFonts w:cs="Arial"/>
          <w:sz w:val="16"/>
          <w:szCs w:val="16"/>
          <w:rtl/>
        </w:rPr>
        <w:t>סי</w:t>
      </w:r>
      <w:r w:rsidRPr="0044669A">
        <w:rPr>
          <w:rFonts w:cs="Arial" w:hint="cs"/>
          <w:sz w:val="16"/>
          <w:szCs w:val="16"/>
          <w:rtl/>
        </w:rPr>
        <w:t>'</w:t>
      </w:r>
      <w:r w:rsidRPr="0044669A">
        <w:rPr>
          <w:rFonts w:cs="Arial"/>
          <w:sz w:val="16"/>
          <w:szCs w:val="16"/>
          <w:rtl/>
        </w:rPr>
        <w:t xml:space="preserve"> יב ד</w:t>
      </w:r>
      <w:r w:rsidRPr="0044669A">
        <w:rPr>
          <w:rFonts w:cs="Arial" w:hint="cs"/>
          <w:sz w:val="16"/>
          <w:szCs w:val="16"/>
          <w:rtl/>
        </w:rPr>
        <w:t>"</w:t>
      </w:r>
      <w:r w:rsidRPr="0044669A">
        <w:rPr>
          <w:rFonts w:cs="Arial"/>
          <w:sz w:val="16"/>
          <w:szCs w:val="16"/>
          <w:rtl/>
        </w:rPr>
        <w:t>ט, סי' יד ד</w:t>
      </w:r>
      <w:r w:rsidRPr="0044669A">
        <w:rPr>
          <w:rFonts w:cs="Arial" w:hint="cs"/>
          <w:sz w:val="16"/>
          <w:szCs w:val="16"/>
          <w:rtl/>
        </w:rPr>
        <w:t>"</w:t>
      </w:r>
      <w:r w:rsidRPr="0044669A">
        <w:rPr>
          <w:rFonts w:cs="Arial"/>
          <w:sz w:val="16"/>
          <w:szCs w:val="16"/>
          <w:rtl/>
        </w:rPr>
        <w:t>ה) דמשמע דאין מצטרפין כל החתיכות גבי מליחה</w:t>
      </w:r>
      <w:r w:rsidRPr="0044669A">
        <w:rPr>
          <w:rFonts w:cs="Arial" w:hint="cs"/>
          <w:sz w:val="16"/>
          <w:szCs w:val="16"/>
          <w:rtl/>
        </w:rPr>
        <w:t>,</w:t>
      </w:r>
      <w:r w:rsidRPr="0044669A">
        <w:rPr>
          <w:rFonts w:cs="Arial"/>
          <w:sz w:val="16"/>
          <w:szCs w:val="16"/>
          <w:rtl/>
        </w:rPr>
        <w:t xml:space="preserve"> ומ</w:t>
      </w:r>
      <w:r w:rsidRPr="0044669A">
        <w:rPr>
          <w:rFonts w:cs="Arial" w:hint="cs"/>
          <w:sz w:val="16"/>
          <w:szCs w:val="16"/>
          <w:rtl/>
        </w:rPr>
        <w:t xml:space="preserve">ה </w:t>
      </w:r>
      <w:r w:rsidRPr="0044669A">
        <w:rPr>
          <w:rFonts w:cs="Arial"/>
          <w:sz w:val="16"/>
          <w:szCs w:val="16"/>
          <w:rtl/>
        </w:rPr>
        <w:t>ש</w:t>
      </w:r>
      <w:r w:rsidRPr="0044669A">
        <w:rPr>
          <w:rFonts w:cs="Arial" w:hint="cs"/>
          <w:sz w:val="16"/>
          <w:szCs w:val="16"/>
          <w:rtl/>
        </w:rPr>
        <w:t>כתבתי</w:t>
      </w:r>
      <w:r w:rsidRPr="0044669A">
        <w:rPr>
          <w:rFonts w:cs="Arial"/>
          <w:sz w:val="16"/>
          <w:szCs w:val="16"/>
          <w:rtl/>
        </w:rPr>
        <w:t xml:space="preserve"> נ</w:t>
      </w:r>
      <w:r w:rsidRPr="0044669A">
        <w:rPr>
          <w:rFonts w:cs="Arial" w:hint="cs"/>
          <w:sz w:val="16"/>
          <w:szCs w:val="16"/>
          <w:rtl/>
        </w:rPr>
        <w:t xml:space="preserve">ראה </w:t>
      </w:r>
      <w:r w:rsidRPr="0044669A">
        <w:rPr>
          <w:rFonts w:cs="Arial"/>
          <w:sz w:val="16"/>
          <w:szCs w:val="16"/>
          <w:rtl/>
        </w:rPr>
        <w:t>ל</w:t>
      </w:r>
      <w:r w:rsidRPr="0044669A">
        <w:rPr>
          <w:rFonts w:cs="Arial" w:hint="cs"/>
          <w:sz w:val="16"/>
          <w:szCs w:val="16"/>
          <w:rtl/>
        </w:rPr>
        <w:t>י</w:t>
      </w:r>
      <w:r w:rsidRPr="0044669A">
        <w:rPr>
          <w:rFonts w:cs="Arial"/>
          <w:sz w:val="16"/>
          <w:szCs w:val="16"/>
          <w:rtl/>
        </w:rPr>
        <w:t xml:space="preserve"> כי מדינא לא היה מצריך במליחה רק קליפה שהוא דעת רוב הפוסקים אלא שאנו מחמירים לשוייה כבשול ודי לנו בחומר</w:t>
      </w:r>
      <w:r w:rsidRPr="0044669A">
        <w:rPr>
          <w:rFonts w:cs="Arial" w:hint="cs"/>
          <w:sz w:val="16"/>
          <w:szCs w:val="16"/>
          <w:rtl/>
        </w:rPr>
        <w:t>'</w:t>
      </w:r>
      <w:r w:rsidRPr="0044669A">
        <w:rPr>
          <w:rFonts w:cs="Arial"/>
          <w:sz w:val="16"/>
          <w:szCs w:val="16"/>
          <w:rtl/>
        </w:rPr>
        <w:t xml:space="preserve"> זו ולא להחמיר בו יותר מבבשול</w:t>
      </w:r>
      <w:r w:rsidRPr="0044669A">
        <w:rPr>
          <w:rFonts w:cs="Arial" w:hint="cs"/>
          <w:sz w:val="16"/>
          <w:szCs w:val="16"/>
          <w:rtl/>
        </w:rPr>
        <w:t>,</w:t>
      </w:r>
      <w:r w:rsidRPr="0044669A">
        <w:rPr>
          <w:rFonts w:cs="Arial"/>
          <w:sz w:val="16"/>
          <w:szCs w:val="16"/>
          <w:rtl/>
        </w:rPr>
        <w:t xml:space="preserve"> ומטעם זה השיב לי מהר"ם פדאווי כתוב בתשו</w:t>
      </w:r>
      <w:r w:rsidRPr="0044669A">
        <w:rPr>
          <w:rFonts w:cs="Arial" w:hint="cs"/>
          <w:sz w:val="16"/>
          <w:szCs w:val="16"/>
          <w:rtl/>
        </w:rPr>
        <w:t>'</w:t>
      </w:r>
      <w:r w:rsidRPr="00EB5D52">
        <w:rPr>
          <w:rFonts w:cs="Arial"/>
          <w:sz w:val="14"/>
          <w:szCs w:val="14"/>
          <w:rtl/>
        </w:rPr>
        <w:t xml:space="preserve"> (עי' שו"ת הרמ"א סי' צ)</w:t>
      </w:r>
      <w:r w:rsidRPr="0044669A">
        <w:rPr>
          <w:rFonts w:cs="Arial"/>
          <w:sz w:val="16"/>
          <w:szCs w:val="16"/>
          <w:rtl/>
        </w:rPr>
        <w:t xml:space="preserve"> דמנהגו להתיר ע"י קליפה במקום הפסד מרובה</w:t>
      </w:r>
      <w:r>
        <w:rPr>
          <w:rFonts w:cs="Arial" w:hint="cs"/>
          <w:sz w:val="16"/>
          <w:szCs w:val="16"/>
          <w:rtl/>
        </w:rPr>
        <w:t>)</w:t>
      </w:r>
      <w:r>
        <w:rPr>
          <w:rFonts w:cs="Arial" w:hint="cs"/>
          <w:rtl/>
        </w:rPr>
        <w:t>.</w:t>
      </w:r>
    </w:p>
  </w:footnote>
  <w:footnote w:id="2244">
    <w:p w14:paraId="646B1218" w14:textId="77777777" w:rsidR="004C5A3C" w:rsidRDefault="004C5A3C" w:rsidP="002C39F4">
      <w:pPr>
        <w:pStyle w:val="a5"/>
        <w:rPr>
          <w:rtl/>
        </w:rPr>
      </w:pPr>
      <w:r>
        <w:rPr>
          <w:rStyle w:val="a7"/>
        </w:rPr>
        <w:footnoteRef/>
      </w:r>
      <w:r w:rsidRPr="008E2066">
        <w:rPr>
          <w:rFonts w:cs="Arial"/>
          <w:rtl/>
        </w:rPr>
        <w:t xml:space="preserve"> וכתב </w:t>
      </w:r>
      <w:r>
        <w:rPr>
          <w:rFonts w:cs="Arial" w:hint="cs"/>
          <w:rtl/>
        </w:rPr>
        <w:t xml:space="preserve">או"ה </w:t>
      </w:r>
      <w:r w:rsidRPr="008E2066">
        <w:rPr>
          <w:rFonts w:cs="Arial"/>
          <w:rtl/>
        </w:rPr>
        <w:t xml:space="preserve">ארוך </w:t>
      </w:r>
      <w:r>
        <w:rPr>
          <w:rFonts w:cs="Arial" w:hint="cs"/>
          <w:rtl/>
        </w:rPr>
        <w:t>(</w:t>
      </w:r>
      <w:r w:rsidRPr="008E2066">
        <w:rPr>
          <w:rFonts w:cs="Arial"/>
          <w:rtl/>
        </w:rPr>
        <w:t xml:space="preserve">כלל </w:t>
      </w:r>
      <w:r>
        <w:rPr>
          <w:rFonts w:cs="Arial" w:hint="cs"/>
          <w:rtl/>
        </w:rPr>
        <w:t>י</w:t>
      </w:r>
      <w:r w:rsidRPr="008E2066">
        <w:rPr>
          <w:rFonts w:cs="Arial"/>
          <w:rtl/>
        </w:rPr>
        <w:t xml:space="preserve"> דכ</w:t>
      </w:r>
      <w:r>
        <w:rPr>
          <w:rFonts w:cs="Arial" w:hint="cs"/>
          <w:rtl/>
        </w:rPr>
        <w:t>"</w:t>
      </w:r>
      <w:r w:rsidRPr="008E2066">
        <w:rPr>
          <w:rFonts w:cs="Arial"/>
          <w:rtl/>
        </w:rPr>
        <w:t>ב)</w:t>
      </w:r>
      <w:r>
        <w:rPr>
          <w:rFonts w:cs="Arial" w:hint="cs"/>
          <w:rtl/>
        </w:rPr>
        <w:t xml:space="preserve">- </w:t>
      </w:r>
      <w:r w:rsidRPr="008E2066">
        <w:rPr>
          <w:rFonts w:cs="Arial"/>
          <w:rtl/>
        </w:rPr>
        <w:t>ולא חיישינן הואיל ומקצת החתיכה נגעה בציר קודם ששהתה שיעור מליחה לא היה לו מקום לפלוט ודומה למולח בכלי שאינו מנוקב דלא חיישינן להא דאף בכשא"מ חומרא יתירה הוא לאסור הכל עכ"ל</w:t>
      </w:r>
      <w:r>
        <w:rPr>
          <w:rFonts w:cs="Arial" w:hint="cs"/>
          <w:rtl/>
        </w:rPr>
        <w:t xml:space="preserve">, דרכ"מ </w:t>
      </w:r>
      <w:r w:rsidRPr="008E2066">
        <w:rPr>
          <w:rFonts w:cs="Arial"/>
          <w:rtl/>
        </w:rPr>
        <w:t>(</w:t>
      </w:r>
      <w:r>
        <w:rPr>
          <w:rFonts w:cs="Arial" w:hint="cs"/>
          <w:rtl/>
        </w:rPr>
        <w:t xml:space="preserve">אות </w:t>
      </w:r>
      <w:r w:rsidRPr="008E2066">
        <w:rPr>
          <w:rFonts w:cs="Arial"/>
          <w:rtl/>
        </w:rPr>
        <w:t>יח)</w:t>
      </w:r>
      <w:r>
        <w:rPr>
          <w:rFonts w:cs="Arial" w:hint="cs"/>
          <w:rtl/>
        </w:rPr>
        <w:t>.</w:t>
      </w:r>
    </w:p>
  </w:footnote>
  <w:footnote w:id="2245">
    <w:p w14:paraId="7AA2222B" w14:textId="77777777" w:rsidR="004C5A3C" w:rsidRPr="007931F2" w:rsidRDefault="004C5A3C" w:rsidP="002C39F4">
      <w:pPr>
        <w:pStyle w:val="a5"/>
        <w:rPr>
          <w:rFonts w:cs="Arial"/>
        </w:rPr>
      </w:pPr>
      <w:r>
        <w:rPr>
          <w:rStyle w:val="a7"/>
        </w:rPr>
        <w:footnoteRef/>
      </w:r>
      <w:r>
        <w:rPr>
          <w:rtl/>
        </w:rPr>
        <w:t xml:space="preserve"> </w:t>
      </w:r>
      <w:r>
        <w:rPr>
          <w:rFonts w:hint="cs"/>
          <w:rtl/>
        </w:rPr>
        <w:t>ז"ל התוס' והרא"ש</w:t>
      </w:r>
      <w:r w:rsidRPr="007931F2">
        <w:rPr>
          <w:rFonts w:cs="Arial" w:hint="cs"/>
          <w:sz w:val="14"/>
          <w:szCs w:val="14"/>
          <w:rtl/>
        </w:rPr>
        <w:t xml:space="preserve"> </w:t>
      </w:r>
      <w:r>
        <w:rPr>
          <w:rFonts w:cs="Arial" w:hint="cs"/>
          <w:sz w:val="14"/>
          <w:szCs w:val="14"/>
          <w:rtl/>
        </w:rPr>
        <w:t>(</w:t>
      </w:r>
      <w:r w:rsidRPr="007931F2">
        <w:rPr>
          <w:rFonts w:cs="Arial" w:hint="cs"/>
          <w:sz w:val="14"/>
          <w:szCs w:val="14"/>
          <w:rtl/>
        </w:rPr>
        <w:t xml:space="preserve">אההוא </w:t>
      </w:r>
      <w:r w:rsidRPr="007931F2">
        <w:rPr>
          <w:rFonts w:cs="Arial"/>
          <w:sz w:val="14"/>
          <w:szCs w:val="14"/>
          <w:rtl/>
        </w:rPr>
        <w:t>גדי שצלאו בחלבו אסור לאכול אפילו מראש אזנו ופירשו דאפילו היה הראש למעלה אסור משום דמפעפע החלב למעלה</w:t>
      </w:r>
      <w:r>
        <w:rPr>
          <w:rFonts w:cs="Arial" w:hint="cs"/>
          <w:sz w:val="14"/>
          <w:szCs w:val="14"/>
          <w:rtl/>
        </w:rPr>
        <w:t>)</w:t>
      </w:r>
      <w:r>
        <w:rPr>
          <w:rFonts w:hint="cs"/>
          <w:rtl/>
        </w:rPr>
        <w:t>-</w:t>
      </w:r>
      <w:r>
        <w:rPr>
          <w:rFonts w:cs="Arial"/>
          <w:rtl/>
        </w:rPr>
        <w:t xml:space="preserve"> </w:t>
      </w:r>
      <w:r>
        <w:rPr>
          <w:rFonts w:cs="Arial" w:hint="cs"/>
          <w:rtl/>
        </w:rPr>
        <w:t>ו</w:t>
      </w:r>
      <w:r>
        <w:rPr>
          <w:rFonts w:cs="Arial"/>
          <w:rtl/>
        </w:rPr>
        <w:t>מה שנהגו כשמולחים בשר הרבה ע"ג עצים ביחד והציר זב ונופל תחת העצים ופעמים מוצאים חתיכה אחת חציה מונחת בציר וחותכין מה שבתוך הציר ומתירין השאר ולא אמרינן שמפעפע למעלה כדאמרינן הכא היינו לפי שהדם אין דרכו לפעפע ואפילו דרך הילוכו אמרינן (חולין קיא.) מישרק שריק ולא מיבלע כ"ש שאינו מפעפע למעלה ואפילו יש שומן בתוך הציר לא אמרינן שנעשית נבלה ומפעפע למעלה ואסור לדברי רבינו אפרים דסבר דלא אמרינן חתיכה עצמה נעשית נבלה אלא בבשר בחלב</w:t>
      </w:r>
      <w:r>
        <w:rPr>
          <w:rFonts w:cs="Arial" w:hint="cs"/>
          <w:rtl/>
        </w:rPr>
        <w:t>,</w:t>
      </w:r>
      <w:r>
        <w:rPr>
          <w:rFonts w:cs="Arial"/>
          <w:rtl/>
        </w:rPr>
        <w:t xml:space="preserve"> ומיהו בלאו הכי ניחא דכיון דלא איפשר האיסור להתפשט חוץ לציר שרי דלא אמרינן חתיכה עצמה נעשית נבלה ואוסרת כל החתיכות אלא כשהאיסור יכול להתפשט בכל החתיכה</w:t>
      </w:r>
      <w:r>
        <w:rPr>
          <w:rFonts w:cs="Arial" w:hint="cs"/>
          <w:rtl/>
        </w:rPr>
        <w:t>,</w:t>
      </w:r>
      <w:r>
        <w:rPr>
          <w:rFonts w:cs="Arial"/>
          <w:rtl/>
        </w:rPr>
        <w:t xml:space="preserve"> כגון טיפת חלב שנפלה על חתיכה שטעם הטיפה מתפשט בכל החתיכה ונהי דאין לטיפה כח לאסור שאר החתיכות אותה חתיכה שנאסרה מסייעת לטפה לאסרה</w:t>
      </w:r>
      <w:r>
        <w:rPr>
          <w:rFonts w:cs="Arial" w:hint="cs"/>
          <w:rtl/>
        </w:rPr>
        <w:t>,</w:t>
      </w:r>
      <w:r>
        <w:rPr>
          <w:rFonts w:cs="Arial"/>
          <w:rtl/>
        </w:rPr>
        <w:t xml:space="preserve"> אבל דם שאין לו כח לפעפע למעלה גם השומן הנאסר מכחו אינו מפעפע לאסור למעלה</w:t>
      </w:r>
      <w:r>
        <w:rPr>
          <w:rFonts w:cs="Arial" w:hint="cs"/>
          <w:rtl/>
        </w:rPr>
        <w:t>,</w:t>
      </w:r>
      <w:r>
        <w:rPr>
          <w:rFonts w:cs="Arial"/>
          <w:rtl/>
        </w:rPr>
        <w:t xml:space="preserve"> ותדע דבכל מקום שאנו אוסרין כדי קליפה אמאי אותה קליפה אינה חוזרת ואוסרת ובענין זה יאסר הכל</w:t>
      </w:r>
      <w:r>
        <w:rPr>
          <w:rFonts w:cs="Arial" w:hint="cs"/>
          <w:rtl/>
        </w:rPr>
        <w:t>,</w:t>
      </w:r>
      <w:r>
        <w:rPr>
          <w:rFonts w:cs="Arial"/>
          <w:rtl/>
        </w:rPr>
        <w:t xml:space="preserve"> אלא היינו טעמא לפי שאין טעם האיסור עובר כלל יותר מכדי קליפה הילכך גם הנאסר אינו אוסר</w:t>
      </w:r>
      <w:r>
        <w:rPr>
          <w:rFonts w:cs="Arial" w:hint="cs"/>
          <w:rtl/>
        </w:rPr>
        <w:t>,</w:t>
      </w:r>
      <w:r>
        <w:rPr>
          <w:rFonts w:cs="Arial"/>
          <w:rtl/>
        </w:rPr>
        <w:t xml:space="preserve"> ועוד דאי לא תימא הכי אין לך בשר מותר לעולם דהא כל בשר שנמלח כששוהה במלח יותר מכדי שיעור מליחה זמן מרובה יש בו טעם מלח יותר ואפ"ה לא אמרינן דמלח שעל הבשר נאסר מחמת הדם ויחזור ויאסור הבשר</w:t>
      </w:r>
      <w:r>
        <w:rPr>
          <w:rFonts w:cs="Arial" w:hint="cs"/>
          <w:rtl/>
        </w:rPr>
        <w:t>,</w:t>
      </w:r>
      <w:r>
        <w:rPr>
          <w:rFonts w:cs="Arial"/>
          <w:rtl/>
        </w:rPr>
        <w:t xml:space="preserve"> וצ"ל משום שאע"פ שטעם המלח נבלע בבשר הדם שבמלח אינו נבלע בו כלל מאחר שהדם אינו נבלע בבשר דדמא משרק שריק עכ"ל.</w:t>
      </w:r>
      <w:r w:rsidRPr="007931F2">
        <w:rPr>
          <w:rFonts w:cs="Arial"/>
          <w:rtl/>
        </w:rPr>
        <w:t xml:space="preserve"> </w:t>
      </w:r>
      <w:r>
        <w:rPr>
          <w:rFonts w:cs="Arial"/>
          <w:rtl/>
        </w:rPr>
        <w:t>והביא ר</w:t>
      </w:r>
      <w:r>
        <w:rPr>
          <w:rFonts w:cs="Arial" w:hint="cs"/>
          <w:rtl/>
        </w:rPr>
        <w:t xml:space="preserve">י"ו </w:t>
      </w:r>
      <w:r w:rsidRPr="007931F2">
        <w:rPr>
          <w:rFonts w:cs="Arial"/>
          <w:sz w:val="16"/>
          <w:szCs w:val="16"/>
          <w:rtl/>
        </w:rPr>
        <w:t>(נט"ו אות יג קכז ריש ע"ג)</w:t>
      </w:r>
      <w:r>
        <w:rPr>
          <w:rFonts w:cs="Arial"/>
          <w:rtl/>
        </w:rPr>
        <w:t xml:space="preserve"> דברים אלו וכתב עוד </w:t>
      </w:r>
      <w:r w:rsidRPr="007931F2">
        <w:rPr>
          <w:rFonts w:cs="Arial"/>
          <w:sz w:val="16"/>
          <w:szCs w:val="16"/>
          <w:rtl/>
        </w:rPr>
        <w:t xml:space="preserve">(שם) </w:t>
      </w:r>
      <w:r>
        <w:rPr>
          <w:rFonts w:cs="Arial"/>
          <w:rtl/>
        </w:rPr>
        <w:t>וי"מ דלא אמרינן חתיכה עצמה נעשית נבלה אלא כשהיא עומדת בפני עצמה אבל כאן שהקליפה מחוברת עם הירך אינה נעשית נבלה</w:t>
      </w:r>
      <w:r>
        <w:rPr>
          <w:rFonts w:cs="Arial" w:hint="cs"/>
          <w:rtl/>
        </w:rPr>
        <w:t>,</w:t>
      </w:r>
      <w:r>
        <w:rPr>
          <w:rFonts w:cs="Arial"/>
          <w:rtl/>
        </w:rPr>
        <w:t xml:space="preserve"> ולפי זה ירך שנתבשל בו שומן ג"ה דמשערינן בששים אין צריך לשער אלא בו בלבד אבל לא בקליפה כי הקליפה אינה נעשית נבלה כלל לפירוש זה</w:t>
      </w:r>
      <w:r>
        <w:rPr>
          <w:rFonts w:cs="Arial" w:hint="cs"/>
          <w:rtl/>
        </w:rPr>
        <w:t>,</w:t>
      </w:r>
      <w:r>
        <w:rPr>
          <w:rFonts w:cs="Arial"/>
          <w:rtl/>
        </w:rPr>
        <w:t xml:space="preserve"> ולפירוש התוספות שכתבו דנעשית הקליפה נבלה אבל אינה אוסרת חברתה משערינן בשומן גיד ובכדי קליפה כי קודם הבישול נמלח ומליח כרותח דצלי והקליפה סמוך לשומן הגיד נעשית נבילה</w:t>
      </w:r>
      <w:r>
        <w:rPr>
          <w:rFonts w:cs="Arial" w:hint="cs"/>
          <w:rtl/>
        </w:rPr>
        <w:t xml:space="preserve">, ע"כ. </w:t>
      </w:r>
      <w:r>
        <w:rPr>
          <w:rFonts w:cs="Arial"/>
          <w:rtl/>
        </w:rPr>
        <w:t>ו</w:t>
      </w:r>
      <w:r>
        <w:rPr>
          <w:rFonts w:cs="Arial" w:hint="cs"/>
          <w:rtl/>
        </w:rPr>
        <w:t xml:space="preserve">כ' הב"י- </w:t>
      </w:r>
      <w:r>
        <w:rPr>
          <w:rFonts w:cs="Arial"/>
          <w:rtl/>
        </w:rPr>
        <w:t>אע</w:t>
      </w:r>
      <w:r>
        <w:rPr>
          <w:rFonts w:cs="Arial" w:hint="cs"/>
          <w:rtl/>
        </w:rPr>
        <w:t>"</w:t>
      </w:r>
      <w:r>
        <w:rPr>
          <w:rFonts w:cs="Arial"/>
          <w:rtl/>
        </w:rPr>
        <w:t>פ שכבר כתבתי בסימן צ"ב (קמו: ד"ה ולענין הלכה) דנקטינן כרבינו אפרים דסבר דלא אמרינן חתיכה עצמה נעשית נבלה אלא בבשר בחלב בלבד כתבתי כל זה לפי שיש ללמוד ממנו כמה דברים</w:t>
      </w:r>
      <w:r>
        <w:rPr>
          <w:rFonts w:hint="cs"/>
          <w:rtl/>
        </w:rPr>
        <w:t>.</w:t>
      </w:r>
    </w:p>
  </w:footnote>
  <w:footnote w:id="2246">
    <w:p w14:paraId="3905CAB3" w14:textId="77777777" w:rsidR="004C5A3C" w:rsidRDefault="004C5A3C" w:rsidP="002C39F4">
      <w:pPr>
        <w:pStyle w:val="a5"/>
      </w:pPr>
      <w:r>
        <w:rPr>
          <w:rStyle w:val="a7"/>
        </w:rPr>
        <w:footnoteRef/>
      </w:r>
      <w:r>
        <w:rPr>
          <w:rtl/>
        </w:rPr>
        <w:t xml:space="preserve"> </w:t>
      </w:r>
      <w:r>
        <w:rPr>
          <w:rFonts w:hint="cs"/>
          <w:rtl/>
        </w:rPr>
        <w:t>כמבואר בשו"ע סי' צא סע' ה.</w:t>
      </w:r>
    </w:p>
  </w:footnote>
  <w:footnote w:id="2247">
    <w:p w14:paraId="2E3E1144" w14:textId="77777777" w:rsidR="004C5A3C" w:rsidRDefault="004C5A3C" w:rsidP="002C39F4">
      <w:pPr>
        <w:pStyle w:val="a5"/>
      </w:pPr>
      <w:r>
        <w:rPr>
          <w:rStyle w:val="a7"/>
        </w:rPr>
        <w:footnoteRef/>
      </w:r>
      <w:r>
        <w:rPr>
          <w:rtl/>
        </w:rPr>
        <w:t xml:space="preserve"> </w:t>
      </w:r>
      <w:r w:rsidRPr="00753E34">
        <w:rPr>
          <w:rFonts w:cs="Arial"/>
          <w:rtl/>
        </w:rPr>
        <w:t>אבל א</w:t>
      </w:r>
      <w:r>
        <w:rPr>
          <w:rFonts w:cs="Arial" w:hint="cs"/>
          <w:rtl/>
        </w:rPr>
        <w:t xml:space="preserve">ין </w:t>
      </w:r>
      <w:r w:rsidRPr="00753E34">
        <w:rPr>
          <w:rFonts w:cs="Arial"/>
          <w:rtl/>
        </w:rPr>
        <w:t>צ</w:t>
      </w:r>
      <w:r>
        <w:rPr>
          <w:rFonts w:cs="Arial" w:hint="cs"/>
          <w:rtl/>
        </w:rPr>
        <w:t>ריך</w:t>
      </w:r>
      <w:r w:rsidRPr="00753E34">
        <w:rPr>
          <w:rFonts w:cs="Arial"/>
          <w:rtl/>
        </w:rPr>
        <w:t xml:space="preserve"> </w:t>
      </w:r>
      <w:r>
        <w:rPr>
          <w:rFonts w:cs="Arial" w:hint="cs"/>
          <w:rtl/>
        </w:rPr>
        <w:t>ששים,</w:t>
      </w:r>
      <w:r w:rsidRPr="00753E34">
        <w:rPr>
          <w:rFonts w:cs="Arial"/>
          <w:rtl/>
        </w:rPr>
        <w:t xml:space="preserve"> וכ"פ בת"ח </w:t>
      </w:r>
      <w:r>
        <w:rPr>
          <w:rFonts w:cs="Arial" w:hint="cs"/>
          <w:rtl/>
        </w:rPr>
        <w:t>(</w:t>
      </w:r>
      <w:r w:rsidRPr="00753E34">
        <w:rPr>
          <w:rFonts w:cs="Arial"/>
          <w:rtl/>
        </w:rPr>
        <w:t>סוף כלל ל"ז</w:t>
      </w:r>
      <w:r>
        <w:rPr>
          <w:rFonts w:cs="Arial" w:hint="cs"/>
          <w:rtl/>
        </w:rPr>
        <w:t>)</w:t>
      </w:r>
      <w:r w:rsidRPr="00753E34">
        <w:rPr>
          <w:rFonts w:cs="Arial"/>
          <w:rtl/>
        </w:rPr>
        <w:t xml:space="preserve"> וא</w:t>
      </w:r>
      <w:r>
        <w:rPr>
          <w:rFonts w:cs="Arial" w:hint="cs"/>
          <w:rtl/>
        </w:rPr>
        <w:t>ע"ג</w:t>
      </w:r>
      <w:r w:rsidRPr="00753E34">
        <w:rPr>
          <w:rFonts w:cs="Arial"/>
          <w:rtl/>
        </w:rPr>
        <w:t xml:space="preserve"> דקי"ל אפילו בציר ואפילו בכחוש ממש לשער ב</w:t>
      </w:r>
      <w:r>
        <w:rPr>
          <w:rFonts w:cs="Arial" w:hint="cs"/>
          <w:rtl/>
        </w:rPr>
        <w:t>ששים,</w:t>
      </w:r>
      <w:r w:rsidRPr="00753E34">
        <w:rPr>
          <w:rFonts w:cs="Arial"/>
          <w:rtl/>
        </w:rPr>
        <w:t xml:space="preserve"> וכמו שיתבאר</w:t>
      </w:r>
      <w:r>
        <w:rPr>
          <w:rFonts w:cs="Arial" w:hint="cs"/>
          <w:rtl/>
        </w:rPr>
        <w:t>,</w:t>
      </w:r>
      <w:r w:rsidRPr="00753E34">
        <w:rPr>
          <w:rFonts w:cs="Arial"/>
          <w:rtl/>
        </w:rPr>
        <w:t xml:space="preserve"> מ"מ שמנו של גיד דאינו אלא מדרבנן</w:t>
      </w:r>
      <w:r>
        <w:rPr>
          <w:rFonts w:cs="Arial" w:hint="cs"/>
          <w:rtl/>
        </w:rPr>
        <w:t>,</w:t>
      </w:r>
      <w:r w:rsidRPr="00753E34">
        <w:rPr>
          <w:rFonts w:cs="Arial"/>
          <w:rtl/>
        </w:rPr>
        <w:t xml:space="preserve"> וכמו שנתבאר בסי' ס"ה ס"ח</w:t>
      </w:r>
      <w:r>
        <w:rPr>
          <w:rFonts w:cs="Arial" w:hint="cs"/>
          <w:rtl/>
        </w:rPr>
        <w:t>,</w:t>
      </w:r>
      <w:r w:rsidRPr="00753E34">
        <w:rPr>
          <w:rFonts w:cs="Arial"/>
          <w:rtl/>
        </w:rPr>
        <w:t xml:space="preserve"> מקילינן ביה</w:t>
      </w:r>
      <w:r>
        <w:rPr>
          <w:rFonts w:cs="Arial" w:hint="cs"/>
          <w:rtl/>
        </w:rPr>
        <w:t>,</w:t>
      </w:r>
      <w:r w:rsidRPr="00753E34">
        <w:rPr>
          <w:rFonts w:cs="Arial"/>
          <w:rtl/>
        </w:rPr>
        <w:t xml:space="preserve"> וכ"כ בת"ח </w:t>
      </w:r>
      <w:r>
        <w:rPr>
          <w:rFonts w:cs="Arial" w:hint="cs"/>
          <w:rtl/>
        </w:rPr>
        <w:t>(</w:t>
      </w:r>
      <w:r w:rsidRPr="00753E34">
        <w:rPr>
          <w:rFonts w:cs="Arial"/>
          <w:rtl/>
        </w:rPr>
        <w:t>סוף כלל ל"ח</w:t>
      </w:r>
      <w:r>
        <w:rPr>
          <w:rFonts w:cs="Arial" w:hint="cs"/>
          <w:rtl/>
        </w:rPr>
        <w:t>)</w:t>
      </w:r>
      <w:r w:rsidRPr="00753E34">
        <w:rPr>
          <w:rFonts w:cs="Arial"/>
          <w:rtl/>
        </w:rPr>
        <w:t xml:space="preserve"> מיהו היינו לענין עיקר דינא</w:t>
      </w:r>
      <w:r>
        <w:rPr>
          <w:rFonts w:cs="Arial" w:hint="cs"/>
          <w:rtl/>
        </w:rPr>
        <w:t>,</w:t>
      </w:r>
      <w:r w:rsidRPr="00753E34">
        <w:rPr>
          <w:rFonts w:cs="Arial"/>
          <w:rtl/>
        </w:rPr>
        <w:t xml:space="preserve"> אבל לחוש להמנהג כתב הרב סי' ס"ד ס</w:t>
      </w:r>
      <w:r>
        <w:rPr>
          <w:rFonts w:cs="Arial" w:hint="cs"/>
          <w:rtl/>
        </w:rPr>
        <w:t>ע' כ'</w:t>
      </w:r>
      <w:r w:rsidRPr="00753E34">
        <w:rPr>
          <w:rFonts w:cs="Arial"/>
          <w:rtl/>
        </w:rPr>
        <w:t xml:space="preserve"> דבמקום שאין הפסד קצת יש להצריך </w:t>
      </w:r>
      <w:r>
        <w:rPr>
          <w:rFonts w:cs="Arial" w:hint="cs"/>
          <w:rtl/>
        </w:rPr>
        <w:t>ששים,</w:t>
      </w:r>
      <w:r w:rsidRPr="00753E34">
        <w:rPr>
          <w:rFonts w:cs="Arial"/>
          <w:rtl/>
        </w:rPr>
        <w:t xml:space="preserve"> וע"ש</w:t>
      </w:r>
      <w:r>
        <w:rPr>
          <w:rFonts w:cs="Arial" w:hint="cs"/>
          <w:rtl/>
        </w:rPr>
        <w:t>, ש"ך (סקכ"ז).</w:t>
      </w:r>
    </w:p>
  </w:footnote>
  <w:footnote w:id="2248">
    <w:p w14:paraId="1E29282F" w14:textId="77777777" w:rsidR="004C5A3C" w:rsidRDefault="004C5A3C" w:rsidP="002C39F4">
      <w:pPr>
        <w:pStyle w:val="a5"/>
      </w:pPr>
      <w:r>
        <w:rPr>
          <w:rStyle w:val="a7"/>
        </w:rPr>
        <w:footnoteRef/>
      </w:r>
      <w:r>
        <w:rPr>
          <w:rtl/>
        </w:rPr>
        <w:t xml:space="preserve"> </w:t>
      </w:r>
      <w:r w:rsidRPr="009E6D03">
        <w:rPr>
          <w:rFonts w:cs="Arial"/>
          <w:rtl/>
        </w:rPr>
        <w:t>או מונח אצלה</w:t>
      </w:r>
      <w:r>
        <w:rPr>
          <w:rFonts w:cs="Arial" w:hint="cs"/>
          <w:rtl/>
        </w:rPr>
        <w:t>..., ש"ך (סקכ"ט).</w:t>
      </w:r>
    </w:p>
  </w:footnote>
  <w:footnote w:id="2249">
    <w:p w14:paraId="2BF75BAE" w14:textId="77777777" w:rsidR="004C5A3C" w:rsidRDefault="004C5A3C" w:rsidP="002C39F4">
      <w:pPr>
        <w:pStyle w:val="a5"/>
      </w:pPr>
      <w:r>
        <w:rPr>
          <w:rStyle w:val="a7"/>
        </w:rPr>
        <w:footnoteRef/>
      </w:r>
      <w:r>
        <w:rPr>
          <w:rtl/>
        </w:rPr>
        <w:t xml:space="preserve"> </w:t>
      </w:r>
      <w:r>
        <w:rPr>
          <w:rFonts w:hint="cs"/>
          <w:rtl/>
        </w:rPr>
        <w:t>אולי כדאי לעיין שוב בט"ז (סקכ"ב) ובש"ך (בנה"כ) עליו, וכן בש"ך סק"ל וברעק"א עליו.</w:t>
      </w:r>
    </w:p>
  </w:footnote>
  <w:footnote w:id="2250">
    <w:p w14:paraId="4B84FC6D" w14:textId="77777777" w:rsidR="004C5A3C" w:rsidRDefault="004C5A3C" w:rsidP="002C39F4">
      <w:pPr>
        <w:pStyle w:val="a5"/>
        <w:rPr>
          <w:rtl/>
        </w:rPr>
      </w:pPr>
      <w:r>
        <w:rPr>
          <w:rStyle w:val="a7"/>
        </w:rPr>
        <w:footnoteRef/>
      </w:r>
      <w:r>
        <w:rPr>
          <w:rtl/>
        </w:rPr>
        <w:t xml:space="preserve"> </w:t>
      </w:r>
      <w:r w:rsidRPr="00223DC5">
        <w:rPr>
          <w:rFonts w:cs="Arial"/>
          <w:rtl/>
        </w:rPr>
        <w:t>ע</w:t>
      </w:r>
      <w:r>
        <w:rPr>
          <w:rFonts w:cs="Arial" w:hint="cs"/>
          <w:rtl/>
        </w:rPr>
        <w:t xml:space="preserve">ל </w:t>
      </w:r>
      <w:r w:rsidRPr="00223DC5">
        <w:rPr>
          <w:rFonts w:cs="Arial"/>
          <w:rtl/>
        </w:rPr>
        <w:t>כ</w:t>
      </w:r>
      <w:r>
        <w:rPr>
          <w:rFonts w:cs="Arial" w:hint="cs"/>
          <w:rtl/>
        </w:rPr>
        <w:t>רחך</w:t>
      </w:r>
      <w:r w:rsidRPr="00223DC5">
        <w:rPr>
          <w:rFonts w:cs="Arial"/>
          <w:rtl/>
        </w:rPr>
        <w:t xml:space="preserve"> מיירי כשיש בכל הג' לבטל החלב גופיה דאל</w:t>
      </w:r>
      <w:r>
        <w:rPr>
          <w:rFonts w:cs="Arial" w:hint="cs"/>
          <w:rtl/>
        </w:rPr>
        <w:t>"</w:t>
      </w:r>
      <w:r w:rsidRPr="00223DC5">
        <w:rPr>
          <w:rFonts w:cs="Arial"/>
          <w:rtl/>
        </w:rPr>
        <w:t>ה אינו בטל ברוב מטעם דשמא יבשלם ויתן טעם וכדלקמן סי' ק"ט</w:t>
      </w:r>
      <w:r>
        <w:rPr>
          <w:rFonts w:cs="Arial" w:hint="cs"/>
          <w:rtl/>
        </w:rPr>
        <w:t xml:space="preserve"> (סע' א בהגה), ש"ך</w:t>
      </w:r>
      <w:r w:rsidRPr="00223DC5">
        <w:rPr>
          <w:rFonts w:cs="Arial" w:hint="cs"/>
          <w:sz w:val="16"/>
          <w:szCs w:val="16"/>
          <w:rtl/>
        </w:rPr>
        <w:t xml:space="preserve"> (סק"</w:t>
      </w:r>
      <w:r>
        <w:rPr>
          <w:rFonts w:cs="Arial" w:hint="cs"/>
          <w:sz w:val="16"/>
          <w:szCs w:val="16"/>
          <w:rtl/>
        </w:rPr>
        <w:t>ל</w:t>
      </w:r>
      <w:r w:rsidRPr="00223DC5">
        <w:rPr>
          <w:rFonts w:cs="Arial" w:hint="cs"/>
          <w:sz w:val="16"/>
          <w:szCs w:val="16"/>
          <w:rtl/>
        </w:rPr>
        <w:t>)</w:t>
      </w:r>
      <w:r>
        <w:rPr>
          <w:rFonts w:cs="Arial" w:hint="cs"/>
          <w:rtl/>
        </w:rPr>
        <w:t>.</w:t>
      </w:r>
    </w:p>
  </w:footnote>
  <w:footnote w:id="2251">
    <w:p w14:paraId="47D4AFBF" w14:textId="77777777" w:rsidR="004C5A3C" w:rsidRDefault="004C5A3C" w:rsidP="002C39F4">
      <w:pPr>
        <w:pStyle w:val="a5"/>
      </w:pPr>
      <w:r>
        <w:rPr>
          <w:rStyle w:val="a7"/>
        </w:rPr>
        <w:footnoteRef/>
      </w:r>
      <w:r>
        <w:rPr>
          <w:rtl/>
        </w:rPr>
        <w:t xml:space="preserve"> </w:t>
      </w:r>
      <w:r w:rsidRPr="00223DC5">
        <w:rPr>
          <w:rFonts w:cs="Arial"/>
          <w:rtl/>
        </w:rPr>
        <w:t>הטעם שהחלב שבהן הוא איסור בלוע וא"א באיסור בלוע חתיכה הראויה כו' כמ"ש סי' ק"א</w:t>
      </w:r>
      <w:r>
        <w:rPr>
          <w:rFonts w:cs="Arial" w:hint="cs"/>
          <w:rtl/>
        </w:rPr>
        <w:t>, ט"ז (סקכ"ג).</w:t>
      </w:r>
    </w:p>
  </w:footnote>
  <w:footnote w:id="2252">
    <w:p w14:paraId="45671D89" w14:textId="77777777" w:rsidR="004C5A3C" w:rsidRDefault="004C5A3C" w:rsidP="002C39F4">
      <w:pPr>
        <w:pStyle w:val="a5"/>
      </w:pPr>
      <w:r>
        <w:rPr>
          <w:rStyle w:val="a7"/>
        </w:rPr>
        <w:footnoteRef/>
      </w:r>
      <w:r>
        <w:rPr>
          <w:rtl/>
        </w:rPr>
        <w:t xml:space="preserve"> </w:t>
      </w:r>
      <w:r w:rsidRPr="005858A9">
        <w:rPr>
          <w:rFonts w:cs="Arial"/>
          <w:rtl/>
        </w:rPr>
        <w:t xml:space="preserve">דבטל ברוב ת"ח </w:t>
      </w:r>
      <w:r>
        <w:rPr>
          <w:rFonts w:cs="Arial" w:hint="cs"/>
          <w:rtl/>
        </w:rPr>
        <w:t>(כלל לח דין ג),</w:t>
      </w:r>
      <w:r w:rsidRPr="005858A9">
        <w:rPr>
          <w:rFonts w:cs="Arial"/>
          <w:rtl/>
        </w:rPr>
        <w:t xml:space="preserve"> ומיירי דידוע שלא נגע ברובן</w:t>
      </w:r>
      <w:r>
        <w:rPr>
          <w:rFonts w:cs="Arial" w:hint="cs"/>
          <w:rtl/>
        </w:rPr>
        <w:t>, ש"ך (סקל"ה).</w:t>
      </w:r>
    </w:p>
  </w:footnote>
  <w:footnote w:id="2253">
    <w:p w14:paraId="1FE4E0DF" w14:textId="77777777" w:rsidR="004C5A3C" w:rsidRDefault="004C5A3C" w:rsidP="002C39F4">
      <w:pPr>
        <w:pStyle w:val="a5"/>
      </w:pPr>
      <w:r>
        <w:rPr>
          <w:rStyle w:val="a7"/>
        </w:rPr>
        <w:footnoteRef/>
      </w:r>
      <w:r>
        <w:rPr>
          <w:rtl/>
        </w:rPr>
        <w:t xml:space="preserve"> </w:t>
      </w:r>
      <w:r w:rsidRPr="005858A9">
        <w:rPr>
          <w:rFonts w:cs="Arial"/>
          <w:rtl/>
        </w:rPr>
        <w:t>פירוש לענין אם יש חלב באותה חתיכה דלפי הסוברים צריך ס' היינו שצריך ס' באותה חתיכה עצמה נגד החלב שבה ואין שאר חתיכות מצטרפות לבטל חלב שבאותה חתיכה ולפי המנהג אנו מצטרפין גם שאר חתיכות ועוד יש קולא אם החלב אינו דבוק לשום חתיכה אלא מונח אצל אחד מהם והיה לנו לומר דאינן מצטרפות ובכל אחת מהם שנגע בה צריך ששים בפני עצמה מ"מ קי"ל דכולן מצטרפות</w:t>
      </w:r>
      <w:r>
        <w:rPr>
          <w:rFonts w:cs="Arial" w:hint="cs"/>
          <w:rtl/>
        </w:rPr>
        <w:t xml:space="preserve">, ט"ז (סקכ"ה). </w:t>
      </w:r>
      <w:r w:rsidRPr="005858A9">
        <w:rPr>
          <w:rFonts w:cs="Arial"/>
          <w:rtl/>
        </w:rPr>
        <w:t>ובלבוש פירש הקולא הנ"ל לענין שאין אנו מצריכין קליפה</w:t>
      </w:r>
      <w:r>
        <w:rPr>
          <w:rFonts w:cs="Arial" w:hint="cs"/>
          <w:rtl/>
        </w:rPr>
        <w:t>, וחלקו עליו הט"ז והש"ך (סקל"ו).</w:t>
      </w:r>
    </w:p>
  </w:footnote>
  <w:footnote w:id="2254">
    <w:p w14:paraId="2A938528" w14:textId="77777777" w:rsidR="004C5A3C" w:rsidRDefault="004C5A3C" w:rsidP="002C39F4">
      <w:pPr>
        <w:pStyle w:val="a5"/>
        <w:rPr>
          <w:rtl/>
        </w:rPr>
      </w:pPr>
      <w:r>
        <w:rPr>
          <w:rStyle w:val="a7"/>
        </w:rPr>
        <w:footnoteRef/>
      </w:r>
      <w:r>
        <w:rPr>
          <w:rtl/>
        </w:rPr>
        <w:t xml:space="preserve"> </w:t>
      </w:r>
      <w:r w:rsidRPr="002D16A1">
        <w:rPr>
          <w:rFonts w:cs="Arial"/>
          <w:rtl/>
        </w:rPr>
        <w:t>שאין כח במלח שיגרום לאיסור שלא נמלח שיפלוט שאין בו כח אלא להפליט מה שבתוכו</w:t>
      </w:r>
      <w:r>
        <w:rPr>
          <w:rFonts w:cs="Arial" w:hint="cs"/>
          <w:rtl/>
        </w:rPr>
        <w:t>, טור.</w:t>
      </w:r>
    </w:p>
  </w:footnote>
  <w:footnote w:id="2255">
    <w:p w14:paraId="78682792" w14:textId="77777777" w:rsidR="004C5A3C" w:rsidRDefault="004C5A3C" w:rsidP="002C39F4">
      <w:pPr>
        <w:pStyle w:val="a5"/>
      </w:pPr>
      <w:r>
        <w:rPr>
          <w:rStyle w:val="a7"/>
        </w:rPr>
        <w:footnoteRef/>
      </w:r>
      <w:r>
        <w:rPr>
          <w:rtl/>
        </w:rPr>
        <w:t xml:space="preserve"> </w:t>
      </w:r>
      <w:r>
        <w:rPr>
          <w:rFonts w:cs="Arial" w:hint="cs"/>
          <w:rtl/>
        </w:rPr>
        <w:t xml:space="preserve">מקור הדברים </w:t>
      </w:r>
      <w:r>
        <w:rPr>
          <w:rFonts w:cs="Arial"/>
          <w:rtl/>
        </w:rPr>
        <w:t>בתוה</w:t>
      </w:r>
      <w:r>
        <w:rPr>
          <w:rFonts w:cs="Arial" w:hint="cs"/>
          <w:rtl/>
        </w:rPr>
        <w:t>"</w:t>
      </w:r>
      <w:r>
        <w:rPr>
          <w:rFonts w:cs="Arial"/>
          <w:rtl/>
        </w:rPr>
        <w:t xml:space="preserve">ק </w:t>
      </w:r>
      <w:r>
        <w:rPr>
          <w:rFonts w:cs="Arial" w:hint="cs"/>
          <w:rtl/>
        </w:rPr>
        <w:t>(</w:t>
      </w:r>
      <w:r>
        <w:rPr>
          <w:rFonts w:cs="Arial"/>
          <w:rtl/>
        </w:rPr>
        <w:t>ב"ד ש"א ב:)</w:t>
      </w:r>
      <w:r>
        <w:rPr>
          <w:rFonts w:cs="Arial" w:hint="cs"/>
          <w:rtl/>
        </w:rPr>
        <w:t>,</w:t>
      </w:r>
      <w:r>
        <w:rPr>
          <w:rFonts w:cs="Arial"/>
          <w:rtl/>
        </w:rPr>
        <w:t xml:space="preserve"> </w:t>
      </w:r>
      <w:r>
        <w:rPr>
          <w:rFonts w:cs="Arial" w:hint="cs"/>
          <w:rtl/>
        </w:rPr>
        <w:t xml:space="preserve">ושם כתב </w:t>
      </w:r>
      <w:r>
        <w:rPr>
          <w:rFonts w:cs="Arial"/>
          <w:rtl/>
        </w:rPr>
        <w:t>על דין בשר שחוטה שנמלח עם בשר נבלה ודג טהור שמלחו עם דג טמא שאסורים בששניהם מלוחים או בשטמא מליח וטהור תפל</w:t>
      </w:r>
      <w:r>
        <w:rPr>
          <w:rFonts w:cs="Arial" w:hint="cs"/>
          <w:rtl/>
        </w:rPr>
        <w:t>-...</w:t>
      </w:r>
    </w:p>
  </w:footnote>
  <w:footnote w:id="2256">
    <w:p w14:paraId="4EC2F649" w14:textId="77777777" w:rsidR="004C5A3C" w:rsidRDefault="004C5A3C" w:rsidP="002C39F4">
      <w:pPr>
        <w:pStyle w:val="a5"/>
        <w:rPr>
          <w:rtl/>
        </w:rPr>
      </w:pPr>
      <w:r>
        <w:rPr>
          <w:rStyle w:val="a7"/>
        </w:rPr>
        <w:footnoteRef/>
      </w:r>
      <w:r>
        <w:rPr>
          <w:rtl/>
        </w:rPr>
        <w:t xml:space="preserve"> </w:t>
      </w:r>
      <w:r>
        <w:rPr>
          <w:rFonts w:hint="cs"/>
          <w:rtl/>
        </w:rPr>
        <w:t xml:space="preserve">הב"י הביא את דברי הרשב"א הללו, והטור הביא גם את דברי הרשב"א אבל הוא הביא רק חלק מהם, וכתב הטור על דברי הרשב"א- </w:t>
      </w:r>
      <w:r w:rsidRPr="002D16A1">
        <w:rPr>
          <w:rFonts w:cs="Arial"/>
          <w:rtl/>
        </w:rPr>
        <w:t>יראה שהוא סובר שחום ע"י מליח אוסר הכל וא"א הרא"ש ז"ל לא כתב כן</w:t>
      </w:r>
      <w:r>
        <w:rPr>
          <w:rFonts w:cs="Arial" w:hint="cs"/>
          <w:rtl/>
        </w:rPr>
        <w:t xml:space="preserve">, עכ"ל. וכ' הב"י שכתב הטור כן משום </w:t>
      </w:r>
      <w:r>
        <w:rPr>
          <w:rFonts w:cs="Arial"/>
          <w:rtl/>
        </w:rPr>
        <w:t>שראה תחלת דברי הרשב"א ולא הספיק לעיין בסופם עד שכתב עליו מה שכתב ואילו נסתכל בסופם היה רואה שלא היה מחלוקת בינו ובין הרא"ש בכך</w:t>
      </w:r>
      <w:r>
        <w:rPr>
          <w:rFonts w:cs="Arial" w:hint="cs"/>
          <w:rtl/>
        </w:rPr>
        <w:t>...</w:t>
      </w:r>
      <w:r>
        <w:rPr>
          <w:rFonts w:cs="Arial"/>
          <w:rtl/>
        </w:rPr>
        <w:t xml:space="preserve"> </w:t>
      </w:r>
      <w:r>
        <w:rPr>
          <w:rFonts w:cs="Arial" w:hint="cs"/>
          <w:sz w:val="14"/>
          <w:szCs w:val="14"/>
          <w:rtl/>
        </w:rPr>
        <w:t xml:space="preserve"> {ואחרי שהעתיק הב"י את דברי הרשב"א דלעיל כתב-} </w:t>
      </w:r>
      <w:r>
        <w:rPr>
          <w:rFonts w:cs="Arial"/>
          <w:rtl/>
        </w:rPr>
        <w:t>הרי מפורש שלא אמר דחום ע"י מליח אוסר הכל אלא דוקא כשהאיסור שמן ובהא להרא"ש נמי אוסר הכל כדאשכחן בגדי שמן שצלאו בחלבו וקי"ל דמליח כרותח דצלי וכ"כ רבינו בהדיא בסמוך</w:t>
      </w:r>
      <w:r>
        <w:rPr>
          <w:rFonts w:cs="Arial" w:hint="cs"/>
          <w:rtl/>
        </w:rPr>
        <w:t>,</w:t>
      </w:r>
      <w:r>
        <w:rPr>
          <w:rFonts w:cs="Arial"/>
          <w:rtl/>
        </w:rPr>
        <w:t xml:space="preserve"> וגדולה מזו כתב דאפילו איסור כחוש אם ההיתר שמן כל היכא דאיסור מליח והיתר תפל אוסר כולו וכבר פירשתי </w:t>
      </w:r>
      <w:r w:rsidRPr="00301035">
        <w:rPr>
          <w:rFonts w:cs="Arial"/>
          <w:sz w:val="16"/>
          <w:szCs w:val="16"/>
          <w:rtl/>
        </w:rPr>
        <w:t>(קסו. ד"ה כתב עוד הרשב"א)</w:t>
      </w:r>
      <w:r>
        <w:rPr>
          <w:rFonts w:cs="Arial"/>
          <w:rtl/>
        </w:rPr>
        <w:t xml:space="preserve"> דכשאין בו </w:t>
      </w:r>
      <w:r>
        <w:rPr>
          <w:rFonts w:cs="Arial" w:hint="cs"/>
          <w:rtl/>
        </w:rPr>
        <w:t>ס'</w:t>
      </w:r>
      <w:r>
        <w:rPr>
          <w:rFonts w:cs="Arial"/>
          <w:rtl/>
        </w:rPr>
        <w:t xml:space="preserve"> קאמר דאוסר כולו וכך פירוש דברי הרשב"א ומ"מ נתברר שדברי הרשב"א בזה מוסכמים לד</w:t>
      </w:r>
      <w:r>
        <w:rPr>
          <w:rFonts w:cs="Arial" w:hint="cs"/>
          <w:rtl/>
        </w:rPr>
        <w:t>'</w:t>
      </w:r>
      <w:r>
        <w:rPr>
          <w:rFonts w:cs="Arial"/>
          <w:rtl/>
        </w:rPr>
        <w:t xml:space="preserve"> הרא"ש ולדעת רבינו</w:t>
      </w:r>
      <w:r>
        <w:rPr>
          <w:rFonts w:hint="cs"/>
          <w:rtl/>
        </w:rPr>
        <w:t>.</w:t>
      </w:r>
    </w:p>
  </w:footnote>
  <w:footnote w:id="2257">
    <w:p w14:paraId="286F3E3D" w14:textId="77777777" w:rsidR="004C5A3C" w:rsidRDefault="004C5A3C" w:rsidP="002C39F4">
      <w:pPr>
        <w:pStyle w:val="a5"/>
        <w:rPr>
          <w:rtl/>
        </w:rPr>
      </w:pPr>
      <w:r>
        <w:rPr>
          <w:rStyle w:val="a7"/>
        </w:rPr>
        <w:footnoteRef/>
      </w:r>
      <w:r>
        <w:rPr>
          <w:rtl/>
        </w:rPr>
        <w:t xml:space="preserve"> </w:t>
      </w:r>
      <w:r w:rsidRPr="00913D93">
        <w:rPr>
          <w:rFonts w:cs="Arial"/>
          <w:rtl/>
        </w:rPr>
        <w:t>ר"י</w:t>
      </w:r>
      <w:r w:rsidRPr="006F530F">
        <w:rPr>
          <w:rFonts w:cs="Arial"/>
          <w:rtl/>
        </w:rPr>
        <w:t xml:space="preserve"> </w:t>
      </w:r>
      <w:r>
        <w:rPr>
          <w:rFonts w:cs="Arial" w:hint="cs"/>
          <w:sz w:val="16"/>
          <w:szCs w:val="16"/>
          <w:rtl/>
        </w:rPr>
        <w:t xml:space="preserve">(כ"כ הטור בשמו) </w:t>
      </w:r>
      <w:r>
        <w:rPr>
          <w:rFonts w:cs="Arial"/>
          <w:rtl/>
        </w:rPr>
        <w:t>תוס</w:t>
      </w:r>
      <w:r>
        <w:rPr>
          <w:rFonts w:cs="Arial" w:hint="cs"/>
          <w:rtl/>
        </w:rPr>
        <w:t>'</w:t>
      </w:r>
      <w:r>
        <w:rPr>
          <w:rFonts w:cs="Arial"/>
          <w:rtl/>
        </w:rPr>
        <w:t xml:space="preserve"> </w:t>
      </w:r>
      <w:r w:rsidRPr="006F530F">
        <w:rPr>
          <w:rFonts w:cs="Arial"/>
          <w:sz w:val="16"/>
          <w:szCs w:val="16"/>
          <w:rtl/>
        </w:rPr>
        <w:t>(קיג. ד"ה טהור מליח</w:t>
      </w:r>
      <w:r w:rsidRPr="006F530F">
        <w:rPr>
          <w:rFonts w:cs="Arial" w:hint="cs"/>
          <w:sz w:val="16"/>
          <w:szCs w:val="16"/>
          <w:rtl/>
        </w:rPr>
        <w:t>,</w:t>
      </w:r>
      <w:r w:rsidRPr="006F530F">
        <w:rPr>
          <w:rFonts w:cs="Arial"/>
          <w:sz w:val="16"/>
          <w:szCs w:val="16"/>
          <w:rtl/>
        </w:rPr>
        <w:t xml:space="preserve"> גבי טהור מליח וטמא תפל מותר) </w:t>
      </w:r>
      <w:r>
        <w:rPr>
          <w:rFonts w:cs="Arial"/>
          <w:rtl/>
        </w:rPr>
        <w:t>ס</w:t>
      </w:r>
      <w:r>
        <w:rPr>
          <w:rFonts w:cs="Arial" w:hint="cs"/>
          <w:rtl/>
        </w:rPr>
        <w:t xml:space="preserve">ה"ת </w:t>
      </w:r>
      <w:r w:rsidRPr="006F530F">
        <w:rPr>
          <w:rFonts w:cs="Arial"/>
          <w:sz w:val="16"/>
          <w:szCs w:val="16"/>
          <w:rtl/>
        </w:rPr>
        <w:t xml:space="preserve">(סי' סג) </w:t>
      </w:r>
      <w:r>
        <w:rPr>
          <w:rFonts w:cs="Arial"/>
          <w:rtl/>
        </w:rPr>
        <w:t xml:space="preserve">רא"ש </w:t>
      </w:r>
      <w:r w:rsidRPr="006F530F">
        <w:rPr>
          <w:rFonts w:cs="Arial"/>
          <w:sz w:val="16"/>
          <w:szCs w:val="16"/>
          <w:rtl/>
        </w:rPr>
        <w:t>(פכ"ה סי</w:t>
      </w:r>
      <w:r>
        <w:rPr>
          <w:rFonts w:cs="Arial" w:hint="cs"/>
          <w:sz w:val="16"/>
          <w:szCs w:val="16"/>
          <w:rtl/>
        </w:rPr>
        <w:t>'</w:t>
      </w:r>
      <w:r w:rsidRPr="006F530F">
        <w:rPr>
          <w:rFonts w:cs="Arial"/>
          <w:sz w:val="16"/>
          <w:szCs w:val="16"/>
          <w:rtl/>
        </w:rPr>
        <w:t xml:space="preserve"> מא</w:t>
      </w:r>
      <w:r w:rsidRPr="006F530F">
        <w:rPr>
          <w:rFonts w:cs="Arial" w:hint="cs"/>
          <w:sz w:val="16"/>
          <w:szCs w:val="16"/>
          <w:rtl/>
        </w:rPr>
        <w:t>,</w:t>
      </w:r>
      <w:r w:rsidRPr="006F530F">
        <w:rPr>
          <w:rFonts w:cs="Arial"/>
          <w:sz w:val="16"/>
          <w:szCs w:val="16"/>
          <w:rtl/>
        </w:rPr>
        <w:t xml:space="preserve"> גבי </w:t>
      </w:r>
      <w:r w:rsidRPr="006F530F">
        <w:rPr>
          <w:rFonts w:cs="Arial" w:hint="cs"/>
          <w:sz w:val="16"/>
          <w:szCs w:val="16"/>
          <w:rtl/>
        </w:rPr>
        <w:t>הנ"ל בתוס'</w:t>
      </w:r>
      <w:r w:rsidRPr="006F530F">
        <w:rPr>
          <w:rFonts w:cs="Arial"/>
          <w:sz w:val="16"/>
          <w:szCs w:val="16"/>
          <w:rtl/>
        </w:rPr>
        <w:t xml:space="preserve">) </w:t>
      </w:r>
      <w:r>
        <w:rPr>
          <w:rFonts w:cs="Arial"/>
          <w:rtl/>
        </w:rPr>
        <w:t>הגה</w:t>
      </w:r>
      <w:r>
        <w:rPr>
          <w:rFonts w:cs="Arial" w:hint="cs"/>
          <w:rtl/>
        </w:rPr>
        <w:t xml:space="preserve">"מ </w:t>
      </w:r>
      <w:r w:rsidRPr="006F530F">
        <w:rPr>
          <w:rFonts w:cs="Arial" w:hint="cs"/>
          <w:sz w:val="16"/>
          <w:szCs w:val="16"/>
          <w:rtl/>
        </w:rPr>
        <w:t>(</w:t>
      </w:r>
      <w:r w:rsidRPr="006F530F">
        <w:rPr>
          <w:rFonts w:cs="Arial"/>
          <w:sz w:val="16"/>
          <w:szCs w:val="16"/>
          <w:rtl/>
        </w:rPr>
        <w:t>ד</w:t>
      </w:r>
      <w:r w:rsidRPr="006F530F">
        <w:rPr>
          <w:rFonts w:cs="Arial" w:hint="cs"/>
          <w:sz w:val="16"/>
          <w:szCs w:val="16"/>
          <w:rtl/>
        </w:rPr>
        <w:t>"ק</w:t>
      </w:r>
      <w:r w:rsidRPr="006F530F">
        <w:rPr>
          <w:rFonts w:cs="Arial"/>
          <w:sz w:val="16"/>
          <w:szCs w:val="16"/>
          <w:rtl/>
        </w:rPr>
        <w:t xml:space="preserve"> פ"ט</w:t>
      </w:r>
      <w:r w:rsidRPr="006F530F">
        <w:rPr>
          <w:rFonts w:cs="Arial" w:hint="cs"/>
          <w:sz w:val="16"/>
          <w:szCs w:val="16"/>
          <w:rtl/>
        </w:rPr>
        <w:t xml:space="preserve"> </w:t>
      </w:r>
      <w:r w:rsidRPr="006F530F">
        <w:rPr>
          <w:rFonts w:cs="Arial"/>
          <w:sz w:val="16"/>
          <w:szCs w:val="16"/>
          <w:rtl/>
        </w:rPr>
        <w:t xml:space="preserve">הי"ז) </w:t>
      </w:r>
      <w:r>
        <w:rPr>
          <w:rFonts w:cs="Arial"/>
          <w:rtl/>
        </w:rPr>
        <w:t xml:space="preserve">בשם סמ"ק </w:t>
      </w:r>
      <w:r w:rsidRPr="006F530F">
        <w:rPr>
          <w:rFonts w:cs="Arial" w:hint="cs"/>
          <w:sz w:val="16"/>
          <w:szCs w:val="16"/>
          <w:rtl/>
        </w:rPr>
        <w:t>(</w:t>
      </w:r>
      <w:r w:rsidRPr="006F530F">
        <w:rPr>
          <w:rFonts w:cs="Arial"/>
          <w:sz w:val="16"/>
          <w:szCs w:val="16"/>
          <w:rtl/>
        </w:rPr>
        <w:t>סי</w:t>
      </w:r>
      <w:r w:rsidRPr="006F530F">
        <w:rPr>
          <w:rFonts w:cs="Arial" w:hint="cs"/>
          <w:sz w:val="16"/>
          <w:szCs w:val="16"/>
          <w:rtl/>
        </w:rPr>
        <w:t>'</w:t>
      </w:r>
      <w:r w:rsidRPr="006F530F">
        <w:rPr>
          <w:rFonts w:cs="Arial"/>
          <w:sz w:val="16"/>
          <w:szCs w:val="16"/>
          <w:rtl/>
        </w:rPr>
        <w:t xml:space="preserve"> רה</w:t>
      </w:r>
      <w:r>
        <w:rPr>
          <w:rFonts w:cs="Arial" w:hint="cs"/>
          <w:sz w:val="16"/>
          <w:szCs w:val="16"/>
          <w:rtl/>
        </w:rPr>
        <w:t>, ובהגהות שם אות י</w:t>
      </w:r>
      <w:r w:rsidRPr="006F530F">
        <w:rPr>
          <w:rFonts w:cs="Arial" w:hint="cs"/>
          <w:sz w:val="16"/>
          <w:szCs w:val="16"/>
          <w:rtl/>
        </w:rPr>
        <w:t>)</w:t>
      </w:r>
      <w:r>
        <w:rPr>
          <w:rFonts w:hint="cs"/>
          <w:rtl/>
        </w:rPr>
        <w:t xml:space="preserve"> וטור.</w:t>
      </w:r>
    </w:p>
  </w:footnote>
  <w:footnote w:id="2258">
    <w:p w14:paraId="4EB37D54" w14:textId="77777777" w:rsidR="004C5A3C" w:rsidRDefault="004C5A3C" w:rsidP="002C39F4">
      <w:pPr>
        <w:pStyle w:val="a5"/>
      </w:pPr>
      <w:r>
        <w:rPr>
          <w:rStyle w:val="a7"/>
        </w:rPr>
        <w:footnoteRef/>
      </w:r>
      <w:r>
        <w:rPr>
          <w:rtl/>
        </w:rPr>
        <w:t xml:space="preserve"> </w:t>
      </w:r>
      <w:r>
        <w:rPr>
          <w:rFonts w:cs="Arial"/>
          <w:rtl/>
        </w:rPr>
        <w:t xml:space="preserve">וכתב </w:t>
      </w:r>
      <w:r>
        <w:rPr>
          <w:rFonts w:cs="Arial" w:hint="cs"/>
          <w:rtl/>
        </w:rPr>
        <w:t>ר"פ</w:t>
      </w:r>
      <w:r>
        <w:rPr>
          <w:rFonts w:cs="Arial"/>
          <w:rtl/>
        </w:rPr>
        <w:t xml:space="preserve"> (הגה</w:t>
      </w:r>
      <w:r>
        <w:rPr>
          <w:rFonts w:cs="Arial" w:hint="cs"/>
          <w:rtl/>
        </w:rPr>
        <w:t>' סמ"ק סי' רה, אות י הביאו הב"י</w:t>
      </w:r>
      <w:r>
        <w:rPr>
          <w:rFonts w:cs="Arial"/>
          <w:rtl/>
        </w:rPr>
        <w:t>)</w:t>
      </w:r>
      <w:r>
        <w:rPr>
          <w:rFonts w:cs="Arial" w:hint="cs"/>
          <w:rtl/>
        </w:rPr>
        <w:t>-</w:t>
      </w:r>
      <w:r>
        <w:rPr>
          <w:rFonts w:cs="Arial"/>
          <w:rtl/>
        </w:rPr>
        <w:t xml:space="preserve"> ויש לתמוה דכיון דמליח כרותח א</w:t>
      </w:r>
      <w:r>
        <w:rPr>
          <w:rFonts w:cs="Arial" w:hint="cs"/>
          <w:rtl/>
        </w:rPr>
        <w:t>"</w:t>
      </w:r>
      <w:r>
        <w:rPr>
          <w:rFonts w:cs="Arial"/>
          <w:rtl/>
        </w:rPr>
        <w:t>כ הוי ליה להשוות מליחה לחם מחמת האור</w:t>
      </w:r>
      <w:r>
        <w:rPr>
          <w:rFonts w:cs="Arial" w:hint="cs"/>
          <w:rtl/>
        </w:rPr>
        <w:t>,</w:t>
      </w:r>
      <w:r>
        <w:rPr>
          <w:rFonts w:cs="Arial"/>
          <w:rtl/>
        </w:rPr>
        <w:t xml:space="preserve"> ויש לומר נקוט האי כלל בידך דלעולם אין האיסור נפלט ונבלע בהיתר אא"כ יש כח באיסור עצמו מחמת מליחה או מחמת חמימות האור</w:t>
      </w:r>
      <w:r>
        <w:rPr>
          <w:rFonts w:cs="Arial" w:hint="cs"/>
          <w:rtl/>
        </w:rPr>
        <w:t>,</w:t>
      </w:r>
      <w:r>
        <w:rPr>
          <w:rFonts w:cs="Arial"/>
          <w:rtl/>
        </w:rPr>
        <w:t xml:space="preserve"> אך בזה יש חילוק דמחמת האור אותו שהוא גובר מרתיח את חבירו או מצנן את חבירו</w:t>
      </w:r>
      <w:r>
        <w:rPr>
          <w:rFonts w:cs="Arial" w:hint="cs"/>
          <w:rtl/>
        </w:rPr>
        <w:t>,</w:t>
      </w:r>
      <w:r>
        <w:rPr>
          <w:rFonts w:cs="Arial"/>
          <w:rtl/>
        </w:rPr>
        <w:t xml:space="preserve"> כי כן הוא דרך תולדת האור</w:t>
      </w:r>
      <w:r>
        <w:rPr>
          <w:rFonts w:cs="Arial" w:hint="cs"/>
          <w:rtl/>
        </w:rPr>
        <w:t>,</w:t>
      </w:r>
      <w:r>
        <w:rPr>
          <w:rFonts w:cs="Arial"/>
          <w:rtl/>
        </w:rPr>
        <w:t xml:space="preserve"> אבל מחמת מליחה אין כח באותו שהוא תפל לבטל כח המליחה</w:t>
      </w:r>
      <w:r>
        <w:rPr>
          <w:rFonts w:cs="Arial" w:hint="cs"/>
          <w:rtl/>
        </w:rPr>
        <w:t>,</w:t>
      </w:r>
      <w:r>
        <w:rPr>
          <w:rFonts w:cs="Arial"/>
          <w:rtl/>
        </w:rPr>
        <w:t xml:space="preserve"> וכן אין כח במליח לעשות התפל מליח</w:t>
      </w:r>
      <w:r>
        <w:rPr>
          <w:rFonts w:cs="Arial" w:hint="cs"/>
          <w:rtl/>
        </w:rPr>
        <w:t>,</w:t>
      </w:r>
      <w:r>
        <w:rPr>
          <w:rFonts w:cs="Arial"/>
          <w:rtl/>
        </w:rPr>
        <w:t xml:space="preserve"> כי כן הוא דרך המליחה דאינה יכולה להתבטל כי אם ע"י הדחה</w:t>
      </w:r>
      <w:r>
        <w:rPr>
          <w:rFonts w:cs="Arial" w:hint="cs"/>
          <w:rtl/>
        </w:rPr>
        <w:t>,</w:t>
      </w:r>
      <w:r>
        <w:rPr>
          <w:rFonts w:cs="Arial"/>
          <w:rtl/>
        </w:rPr>
        <w:t xml:space="preserve"> והשתא ניחא דגבי חום מחמת האור אזלינן בתר תתאה אפילו תתאה היתר משום דתתאה גבר א"כ הוא מרתיח ומחמם את העליון וה"ל חם לתוך חם דאוסר את הכל</w:t>
      </w:r>
      <w:r>
        <w:rPr>
          <w:rFonts w:cs="Arial" w:hint="cs"/>
          <w:rtl/>
        </w:rPr>
        <w:t>,</w:t>
      </w:r>
      <w:r>
        <w:rPr>
          <w:rFonts w:cs="Arial"/>
          <w:rtl/>
        </w:rPr>
        <w:t xml:space="preserve"> אבל אי תתאה צונן ועילאה חם אפילו אם עילאה חם הוא האיסור אינו אוסר אלא כדי קליפה משום דתתאה שהוא צונן גבר ומצנן את העליון שהוא האיסור ומבטלו מחמימותו וה"ל איסור צונן ולכך אין האיסור יכול ליבלע בהיתר יותר מכדי קליפה וכדי קליפה מיהא בלע דאדמיקר ליה בלע</w:t>
      </w:r>
      <w:r>
        <w:rPr>
          <w:rFonts w:cs="Arial" w:hint="cs"/>
          <w:rtl/>
        </w:rPr>
        <w:t>,</w:t>
      </w:r>
      <w:r>
        <w:rPr>
          <w:rFonts w:cs="Arial"/>
          <w:rtl/>
        </w:rPr>
        <w:t xml:space="preserve"> אבל לענין מליחה שאין זה מבטל את זה כדפרישית לא אזלינן בתר תתאה אלא בתר האיסור</w:t>
      </w:r>
      <w:r>
        <w:rPr>
          <w:rFonts w:cs="Arial" w:hint="cs"/>
          <w:rtl/>
        </w:rPr>
        <w:t>.</w:t>
      </w:r>
    </w:p>
  </w:footnote>
  <w:footnote w:id="2259">
    <w:p w14:paraId="56DBF12E" w14:textId="77777777" w:rsidR="004C5A3C" w:rsidRDefault="004C5A3C" w:rsidP="002C39F4">
      <w:pPr>
        <w:pStyle w:val="a5"/>
        <w:rPr>
          <w:rtl/>
        </w:rPr>
      </w:pPr>
      <w:r>
        <w:rPr>
          <w:rStyle w:val="a7"/>
        </w:rPr>
        <w:footnoteRef/>
      </w:r>
      <w:r>
        <w:rPr>
          <w:rtl/>
        </w:rPr>
        <w:t xml:space="preserve"> </w:t>
      </w:r>
      <w:r>
        <w:rPr>
          <w:rFonts w:cs="Arial"/>
          <w:rtl/>
        </w:rPr>
        <w:t>כבר כתבתי בסימן ע' (קטו: דבור א) ובסימן צ"א (קמד. ד"ה ולא לגמרי) שכן דעת הרא"ש והרשב"א והר"ן ולאפוקי מדברי החולקים בזה</w:t>
      </w:r>
      <w:r>
        <w:rPr>
          <w:rFonts w:cs="Arial" w:hint="cs"/>
          <w:rtl/>
        </w:rPr>
        <w:t>,</w:t>
      </w:r>
      <w:r>
        <w:rPr>
          <w:rFonts w:cs="Arial"/>
          <w:rtl/>
        </w:rPr>
        <w:t xml:space="preserve"> ומיהו היינו דוקא כשהאיסור וההיתר שניהם כחושים שאם היה אחד מהם שמן כתב רבינו בסמוך שדינו שוה לצלי שהוא מפעפע בכולו ע"י החלב והשומן ואוסר כולו כלומר עד שיהא בהיתר ששים כנגד האיסור</w:t>
      </w:r>
      <w:r>
        <w:rPr>
          <w:rFonts w:hint="cs"/>
          <w:rtl/>
        </w:rPr>
        <w:t>, ב"י.</w:t>
      </w:r>
    </w:p>
  </w:footnote>
  <w:footnote w:id="2260">
    <w:p w14:paraId="4EC0609B" w14:textId="77777777" w:rsidR="004C5A3C" w:rsidRDefault="004C5A3C" w:rsidP="002C39F4">
      <w:pPr>
        <w:pStyle w:val="a5"/>
      </w:pPr>
      <w:r>
        <w:rPr>
          <w:rStyle w:val="a7"/>
        </w:rPr>
        <w:footnoteRef/>
      </w:r>
      <w:r>
        <w:rPr>
          <w:rtl/>
        </w:rPr>
        <w:t xml:space="preserve"> </w:t>
      </w:r>
      <w:r>
        <w:rPr>
          <w:rFonts w:cs="Arial"/>
          <w:rtl/>
        </w:rPr>
        <w:t>זה פשוט שאם כשאמרו אסור אינו אלא עד קליפה כשאמרו מותר על כרחין היינו לומר דאפילו קליפה לא בעי</w:t>
      </w:r>
      <w:r>
        <w:rPr>
          <w:rFonts w:cs="Arial" w:hint="cs"/>
          <w:rtl/>
        </w:rPr>
        <w:t>, ב"י.</w:t>
      </w:r>
    </w:p>
  </w:footnote>
  <w:footnote w:id="2261">
    <w:p w14:paraId="4546ED8E" w14:textId="77777777" w:rsidR="004C5A3C" w:rsidRDefault="004C5A3C" w:rsidP="002C39F4">
      <w:pPr>
        <w:pStyle w:val="a5"/>
        <w:rPr>
          <w:rtl/>
        </w:rPr>
      </w:pPr>
      <w:r>
        <w:rPr>
          <w:rStyle w:val="a7"/>
        </w:rPr>
        <w:footnoteRef/>
      </w:r>
      <w:r>
        <w:rPr>
          <w:rtl/>
        </w:rPr>
        <w:t xml:space="preserve"> </w:t>
      </w:r>
      <w:r w:rsidRPr="002C79A5">
        <w:rPr>
          <w:rFonts w:cs="Arial"/>
          <w:rtl/>
        </w:rPr>
        <w:t>אלא בין הוא למעלה או למטה לעולם המליח מבליע בתפל ואינו בולע ממנו</w:t>
      </w:r>
      <w:r>
        <w:rPr>
          <w:rFonts w:hint="cs"/>
          <w:rtl/>
        </w:rPr>
        <w:t>, ש"ך (סקמ"א).</w:t>
      </w:r>
    </w:p>
  </w:footnote>
  <w:footnote w:id="2262">
    <w:p w14:paraId="4D1432DB" w14:textId="77777777" w:rsidR="004C5A3C" w:rsidRDefault="004C5A3C" w:rsidP="002C39F4">
      <w:pPr>
        <w:pStyle w:val="a5"/>
        <w:rPr>
          <w:rtl/>
        </w:rPr>
      </w:pPr>
      <w:r>
        <w:rPr>
          <w:rStyle w:val="a7"/>
        </w:rPr>
        <w:footnoteRef/>
      </w:r>
      <w:r>
        <w:rPr>
          <w:rtl/>
        </w:rPr>
        <w:t xml:space="preserve"> </w:t>
      </w:r>
      <w:r w:rsidRPr="00620623">
        <w:rPr>
          <w:rFonts w:cs="Arial"/>
          <w:rtl/>
        </w:rPr>
        <w:t xml:space="preserve">מרדכי </w:t>
      </w:r>
      <w:r w:rsidRPr="00F92184">
        <w:rPr>
          <w:rFonts w:cs="Arial"/>
          <w:sz w:val="16"/>
          <w:szCs w:val="16"/>
          <w:rtl/>
        </w:rPr>
        <w:t>(פכ"ה סי' תשיח)</w:t>
      </w:r>
      <w:r>
        <w:rPr>
          <w:rFonts w:cs="Arial" w:hint="cs"/>
          <w:rtl/>
        </w:rPr>
        <w:t xml:space="preserve"> </w:t>
      </w:r>
      <w:r w:rsidRPr="00620623">
        <w:rPr>
          <w:rFonts w:cs="Arial"/>
          <w:rtl/>
        </w:rPr>
        <w:t xml:space="preserve">רא"ש </w:t>
      </w:r>
      <w:r w:rsidRPr="00F92184">
        <w:rPr>
          <w:rFonts w:cs="Arial" w:hint="cs"/>
          <w:sz w:val="16"/>
          <w:szCs w:val="16"/>
          <w:rtl/>
        </w:rPr>
        <w:t>(</w:t>
      </w:r>
      <w:r w:rsidRPr="00F92184">
        <w:rPr>
          <w:rFonts w:cs="Arial"/>
          <w:sz w:val="16"/>
          <w:szCs w:val="16"/>
          <w:rtl/>
        </w:rPr>
        <w:t>פכ"ה סי' מב)</w:t>
      </w:r>
      <w:r>
        <w:rPr>
          <w:rFonts w:cs="Arial" w:hint="cs"/>
          <w:rtl/>
        </w:rPr>
        <w:t xml:space="preserve"> טור ומהרא"י </w:t>
      </w:r>
      <w:r>
        <w:rPr>
          <w:rFonts w:cs="Arial" w:hint="cs"/>
          <w:sz w:val="16"/>
          <w:szCs w:val="16"/>
          <w:rtl/>
        </w:rPr>
        <w:t>(בהגשע"ד סי' פג אות ג)</w:t>
      </w:r>
      <w:r>
        <w:rPr>
          <w:rFonts w:hint="cs"/>
          <w:rtl/>
        </w:rPr>
        <w:t>.</w:t>
      </w:r>
    </w:p>
  </w:footnote>
  <w:footnote w:id="2263">
    <w:p w14:paraId="1AEFE656" w14:textId="77777777" w:rsidR="004C5A3C" w:rsidRPr="00504A0A" w:rsidRDefault="004C5A3C" w:rsidP="002C39F4">
      <w:pPr>
        <w:pStyle w:val="a5"/>
        <w:rPr>
          <w:rFonts w:cs="Arial"/>
        </w:rPr>
      </w:pPr>
      <w:r>
        <w:rPr>
          <w:rStyle w:val="a7"/>
        </w:rPr>
        <w:footnoteRef/>
      </w:r>
      <w:r>
        <w:rPr>
          <w:rtl/>
        </w:rPr>
        <w:t xml:space="preserve"> </w:t>
      </w:r>
      <w:r>
        <w:rPr>
          <w:rFonts w:cs="Arial" w:hint="cs"/>
          <w:rtl/>
        </w:rPr>
        <w:t>וכ' המרדכי ד</w:t>
      </w:r>
      <w:r w:rsidRPr="00620623">
        <w:rPr>
          <w:rFonts w:cs="Arial"/>
          <w:rtl/>
        </w:rPr>
        <w:t>לכתחלה אסור משום הרחק מן הכיעור</w:t>
      </w:r>
      <w:r>
        <w:rPr>
          <w:rFonts w:cs="Arial" w:hint="cs"/>
          <w:rtl/>
        </w:rPr>
        <w:t>. וכ' הב"י דכן נראה</w:t>
      </w:r>
      <w:r w:rsidRPr="00620623">
        <w:rPr>
          <w:rFonts w:cs="Arial"/>
          <w:rtl/>
        </w:rPr>
        <w:t xml:space="preserve"> מדברי הרא"ש ורבינו</w:t>
      </w:r>
      <w:r>
        <w:rPr>
          <w:rFonts w:cs="Arial" w:hint="cs"/>
          <w:rtl/>
        </w:rPr>
        <w:t>.</w:t>
      </w:r>
      <w:r w:rsidRPr="00955D48">
        <w:rPr>
          <w:rFonts w:cs="Arial" w:hint="cs"/>
          <w:rtl/>
        </w:rPr>
        <w:t xml:space="preserve"> </w:t>
      </w:r>
      <w:r>
        <w:rPr>
          <w:rFonts w:cs="Arial" w:hint="cs"/>
          <w:rtl/>
        </w:rPr>
        <w:t xml:space="preserve">וסיים הב"י- </w:t>
      </w:r>
      <w:r w:rsidRPr="00504A0A">
        <w:rPr>
          <w:rFonts w:cs="Arial"/>
          <w:rtl/>
        </w:rPr>
        <w:t>על דברי התוספות והרא"ש וחיבורים שכתבו דבריהם סומכין להתיר בדיעבד</w:t>
      </w:r>
      <w:r>
        <w:rPr>
          <w:rFonts w:cs="Arial" w:hint="cs"/>
          <w:rtl/>
        </w:rPr>
        <w:t>.</w:t>
      </w:r>
    </w:p>
  </w:footnote>
  <w:footnote w:id="2264">
    <w:p w14:paraId="00641E81" w14:textId="77777777" w:rsidR="004C5A3C" w:rsidRDefault="004C5A3C" w:rsidP="002C39F4">
      <w:pPr>
        <w:pStyle w:val="a5"/>
        <w:rPr>
          <w:rtl/>
        </w:rPr>
      </w:pPr>
      <w:r>
        <w:rPr>
          <w:rStyle w:val="a7"/>
        </w:rPr>
        <w:footnoteRef/>
      </w:r>
      <w:r>
        <w:rPr>
          <w:rtl/>
        </w:rPr>
        <w:t xml:space="preserve"> </w:t>
      </w:r>
      <w:r w:rsidRPr="008E2066">
        <w:rPr>
          <w:rFonts w:cs="Arial"/>
          <w:rtl/>
        </w:rPr>
        <w:t>וכ</w:t>
      </w:r>
      <w:r>
        <w:rPr>
          <w:rFonts w:cs="Arial" w:hint="cs"/>
          <w:rtl/>
        </w:rPr>
        <w:t>'</w:t>
      </w:r>
      <w:r w:rsidRPr="008E2066">
        <w:rPr>
          <w:rFonts w:cs="Arial"/>
          <w:rtl/>
        </w:rPr>
        <w:t xml:space="preserve"> בה</w:t>
      </w:r>
      <w:r>
        <w:rPr>
          <w:rFonts w:cs="Arial" w:hint="cs"/>
          <w:rtl/>
        </w:rPr>
        <w:t xml:space="preserve">גשע"ד </w:t>
      </w:r>
      <w:r w:rsidRPr="008E2066">
        <w:rPr>
          <w:rFonts w:cs="Arial"/>
          <w:sz w:val="16"/>
          <w:szCs w:val="16"/>
          <w:rtl/>
        </w:rPr>
        <w:t xml:space="preserve">(שם אות ב) </w:t>
      </w:r>
      <w:r w:rsidRPr="008E2066">
        <w:rPr>
          <w:rFonts w:cs="Arial"/>
          <w:rtl/>
        </w:rPr>
        <w:t>דאף לדברי ראבי"ה היינו דוקא בדפוסי גוים משום דמלוח בו הרבה פעמים אבל בשאר דברים מודה</w:t>
      </w:r>
      <w:r>
        <w:rPr>
          <w:rFonts w:cs="Arial" w:hint="cs"/>
          <w:rtl/>
        </w:rPr>
        <w:t>,</w:t>
      </w:r>
      <w:r w:rsidRPr="008E2066">
        <w:rPr>
          <w:rFonts w:cs="Arial"/>
          <w:rtl/>
        </w:rPr>
        <w:t xml:space="preserve"> ע"ל סימן ס"ט בסופו</w:t>
      </w:r>
      <w:r>
        <w:rPr>
          <w:rFonts w:hint="cs"/>
          <w:rtl/>
        </w:rPr>
        <w:t>, דרכ"מ (אות טז).</w:t>
      </w:r>
    </w:p>
  </w:footnote>
  <w:footnote w:id="2265">
    <w:p w14:paraId="1BF2E341" w14:textId="77777777" w:rsidR="004C5A3C" w:rsidRDefault="004C5A3C" w:rsidP="002C39F4">
      <w:pPr>
        <w:pStyle w:val="a5"/>
        <w:rPr>
          <w:rtl/>
        </w:rPr>
      </w:pPr>
      <w:r>
        <w:rPr>
          <w:rStyle w:val="a7"/>
        </w:rPr>
        <w:footnoteRef/>
      </w:r>
      <w:r>
        <w:rPr>
          <w:rtl/>
        </w:rPr>
        <w:t xml:space="preserve"> </w:t>
      </w:r>
      <w:r w:rsidRPr="00E36013">
        <w:rPr>
          <w:rFonts w:cs="Arial"/>
          <w:rtl/>
        </w:rPr>
        <w:t>רש"ל חולק וסבירא ליה שאין מליחה לכלי כלל להפליט אפי' איסור דאורייתא שנבלע בכלי</w:t>
      </w:r>
      <w:r>
        <w:rPr>
          <w:rFonts w:cs="Arial" w:hint="cs"/>
          <w:rtl/>
        </w:rPr>
        <w:t xml:space="preserve">, ט"ז (סקכ"ח, </w:t>
      </w:r>
      <w:r w:rsidRPr="00E36013">
        <w:rPr>
          <w:rFonts w:cs="Arial"/>
          <w:rtl/>
        </w:rPr>
        <w:t>ובסי' ע סע</w:t>
      </w:r>
      <w:r>
        <w:rPr>
          <w:rFonts w:cs="Arial" w:hint="cs"/>
          <w:rtl/>
        </w:rPr>
        <w:t>'</w:t>
      </w:r>
      <w:r w:rsidRPr="00E36013">
        <w:rPr>
          <w:rFonts w:cs="Arial"/>
          <w:rtl/>
        </w:rPr>
        <w:t xml:space="preserve"> ב</w:t>
      </w:r>
      <w:r>
        <w:rPr>
          <w:rFonts w:cs="Arial" w:hint="cs"/>
          <w:rtl/>
        </w:rPr>
        <w:t xml:space="preserve"> סק"ז).</w:t>
      </w:r>
    </w:p>
  </w:footnote>
  <w:footnote w:id="2266">
    <w:p w14:paraId="5004E46B" w14:textId="77777777" w:rsidR="004C5A3C" w:rsidRDefault="004C5A3C" w:rsidP="002C39F4">
      <w:pPr>
        <w:pStyle w:val="a5"/>
        <w:rPr>
          <w:rtl/>
        </w:rPr>
      </w:pPr>
      <w:r>
        <w:rPr>
          <w:rStyle w:val="a7"/>
        </w:rPr>
        <w:footnoteRef/>
      </w:r>
      <w:r>
        <w:rPr>
          <w:rtl/>
        </w:rPr>
        <w:t xml:space="preserve"> </w:t>
      </w:r>
      <w:r>
        <w:rPr>
          <w:rFonts w:hint="cs"/>
          <w:rtl/>
        </w:rPr>
        <w:t>וחלק עליו הדרכ"מ וכ' שגם הב"י לא חילק וכן נראה, ע"כ.</w:t>
      </w:r>
    </w:p>
  </w:footnote>
  <w:footnote w:id="2267">
    <w:p w14:paraId="66BBC0C0" w14:textId="77777777" w:rsidR="004C5A3C" w:rsidRDefault="004C5A3C" w:rsidP="002C39F4">
      <w:pPr>
        <w:pStyle w:val="a5"/>
        <w:rPr>
          <w:rtl/>
        </w:rPr>
      </w:pPr>
      <w:r>
        <w:rPr>
          <w:rStyle w:val="a7"/>
        </w:rPr>
        <w:footnoteRef/>
      </w:r>
      <w:r>
        <w:rPr>
          <w:rtl/>
        </w:rPr>
        <w:t xml:space="preserve"> </w:t>
      </w:r>
      <w:r w:rsidRPr="00E073BE">
        <w:rPr>
          <w:rFonts w:cs="Arial"/>
          <w:rtl/>
        </w:rPr>
        <w:t>דהוי כטהור מליח וטמא תפל</w:t>
      </w:r>
      <w:r>
        <w:rPr>
          <w:rFonts w:cs="Arial" w:hint="cs"/>
          <w:rtl/>
        </w:rPr>
        <w:t>,</w:t>
      </w:r>
      <w:r w:rsidRPr="00E073BE">
        <w:rPr>
          <w:rFonts w:cs="Arial"/>
          <w:rtl/>
        </w:rPr>
        <w:t xml:space="preserve"> כ"כ הפוסקים</w:t>
      </w:r>
      <w:r>
        <w:rPr>
          <w:rFonts w:cs="Arial" w:hint="cs"/>
          <w:rtl/>
        </w:rPr>
        <w:t>, ש"ך (סקמ"ב).</w:t>
      </w:r>
    </w:p>
  </w:footnote>
  <w:footnote w:id="2268">
    <w:p w14:paraId="4BDE6475" w14:textId="77777777" w:rsidR="004C5A3C" w:rsidRDefault="004C5A3C" w:rsidP="002C39F4">
      <w:pPr>
        <w:pStyle w:val="a5"/>
        <w:rPr>
          <w:rtl/>
        </w:rPr>
      </w:pPr>
      <w:r>
        <w:rPr>
          <w:rStyle w:val="a7"/>
        </w:rPr>
        <w:footnoteRef/>
      </w:r>
      <w:r>
        <w:rPr>
          <w:rtl/>
        </w:rPr>
        <w:t xml:space="preserve"> </w:t>
      </w:r>
      <w:r>
        <w:rPr>
          <w:rFonts w:cs="Arial" w:hint="cs"/>
          <w:rtl/>
        </w:rPr>
        <w:t xml:space="preserve">רא"ה </w:t>
      </w:r>
      <w:r w:rsidRPr="00F92184">
        <w:rPr>
          <w:rFonts w:cs="Arial"/>
          <w:sz w:val="16"/>
          <w:szCs w:val="16"/>
          <w:rtl/>
        </w:rPr>
        <w:t>(</w:t>
      </w:r>
      <w:r>
        <w:rPr>
          <w:rFonts w:cs="Arial" w:hint="cs"/>
          <w:sz w:val="16"/>
          <w:szCs w:val="16"/>
          <w:rtl/>
        </w:rPr>
        <w:t xml:space="preserve">כ"כ בשמו הא"ח [הלא"מ </w:t>
      </w:r>
      <w:r w:rsidRPr="00F92184">
        <w:rPr>
          <w:rFonts w:cs="Arial"/>
          <w:sz w:val="16"/>
          <w:szCs w:val="16"/>
          <w:rtl/>
        </w:rPr>
        <w:t>סי' סא</w:t>
      </w:r>
      <w:r>
        <w:rPr>
          <w:rFonts w:cs="Arial" w:hint="cs"/>
          <w:sz w:val="16"/>
          <w:szCs w:val="16"/>
          <w:rtl/>
        </w:rPr>
        <w:t>]</w:t>
      </w:r>
      <w:r w:rsidRPr="00F92184">
        <w:rPr>
          <w:rFonts w:cs="Arial"/>
          <w:sz w:val="16"/>
          <w:szCs w:val="16"/>
          <w:rtl/>
        </w:rPr>
        <w:t>)</w:t>
      </w:r>
      <w:r w:rsidRPr="00620623">
        <w:rPr>
          <w:rFonts w:cs="Arial"/>
          <w:rtl/>
        </w:rPr>
        <w:t xml:space="preserve"> מרדכי </w:t>
      </w:r>
      <w:r w:rsidRPr="00F92184">
        <w:rPr>
          <w:rFonts w:cs="Arial"/>
          <w:sz w:val="16"/>
          <w:szCs w:val="16"/>
          <w:rtl/>
        </w:rPr>
        <w:t>(פכ"ה סי' תשיח)</w:t>
      </w:r>
      <w:r>
        <w:rPr>
          <w:rFonts w:cs="Arial" w:hint="cs"/>
          <w:rtl/>
        </w:rPr>
        <w:t xml:space="preserve"> </w:t>
      </w:r>
      <w:r w:rsidRPr="00620623">
        <w:rPr>
          <w:rFonts w:cs="Arial"/>
          <w:rtl/>
        </w:rPr>
        <w:t xml:space="preserve">רא"ש </w:t>
      </w:r>
      <w:r w:rsidRPr="00F92184">
        <w:rPr>
          <w:rFonts w:cs="Arial" w:hint="cs"/>
          <w:sz w:val="16"/>
          <w:szCs w:val="16"/>
          <w:rtl/>
        </w:rPr>
        <w:t>(</w:t>
      </w:r>
      <w:r w:rsidRPr="00F92184">
        <w:rPr>
          <w:rFonts w:cs="Arial"/>
          <w:sz w:val="16"/>
          <w:szCs w:val="16"/>
          <w:rtl/>
        </w:rPr>
        <w:t>פכ"ה סי' מב)</w:t>
      </w:r>
      <w:r>
        <w:rPr>
          <w:rFonts w:cs="Arial" w:hint="cs"/>
          <w:rtl/>
        </w:rPr>
        <w:t xml:space="preserve"> וטור</w:t>
      </w:r>
      <w:r>
        <w:rPr>
          <w:rFonts w:hint="cs"/>
          <w:rtl/>
        </w:rPr>
        <w:t>.</w:t>
      </w:r>
    </w:p>
  </w:footnote>
  <w:footnote w:id="2269">
    <w:p w14:paraId="2DC0CD1F" w14:textId="77777777" w:rsidR="004C5A3C" w:rsidRDefault="004C5A3C" w:rsidP="002C39F4">
      <w:pPr>
        <w:pStyle w:val="a5"/>
      </w:pPr>
      <w:r>
        <w:rPr>
          <w:rStyle w:val="a7"/>
        </w:rPr>
        <w:footnoteRef/>
      </w:r>
      <w:r>
        <w:rPr>
          <w:rtl/>
        </w:rPr>
        <w:t xml:space="preserve"> </w:t>
      </w:r>
      <w:r w:rsidRPr="00620623">
        <w:rPr>
          <w:rFonts w:cs="Arial"/>
          <w:rtl/>
        </w:rPr>
        <w:t>במלח הנתון בקערה משמע דלכתח</w:t>
      </w:r>
      <w:r>
        <w:rPr>
          <w:rFonts w:cs="Arial" w:hint="cs"/>
          <w:rtl/>
        </w:rPr>
        <w:t>'</w:t>
      </w:r>
      <w:r w:rsidRPr="00620623">
        <w:rPr>
          <w:rFonts w:cs="Arial"/>
          <w:rtl/>
        </w:rPr>
        <w:t xml:space="preserve"> שרי לכ</w:t>
      </w:r>
      <w:r>
        <w:rPr>
          <w:rFonts w:cs="Arial" w:hint="cs"/>
          <w:rtl/>
        </w:rPr>
        <w:t>ו</w:t>
      </w:r>
      <w:r w:rsidRPr="00620623">
        <w:rPr>
          <w:rFonts w:cs="Arial"/>
          <w:rtl/>
        </w:rPr>
        <w:t>"ע שהרי גם הרא"ש והמרדכי כתבו שרגילות הוא לעשות כן וכ"כ בא</w:t>
      </w:r>
      <w:r>
        <w:rPr>
          <w:rFonts w:cs="Arial" w:hint="cs"/>
          <w:rtl/>
        </w:rPr>
        <w:t>"</w:t>
      </w:r>
      <w:r w:rsidRPr="00620623">
        <w:rPr>
          <w:rFonts w:cs="Arial"/>
          <w:rtl/>
        </w:rPr>
        <w:t xml:space="preserve">ח </w:t>
      </w:r>
      <w:r w:rsidRPr="00F92184">
        <w:rPr>
          <w:rFonts w:cs="Arial"/>
          <w:sz w:val="16"/>
          <w:szCs w:val="16"/>
          <w:rtl/>
        </w:rPr>
        <w:t>(אמא</w:t>
      </w:r>
      <w:r w:rsidRPr="00F92184">
        <w:rPr>
          <w:rFonts w:cs="Arial" w:hint="cs"/>
          <w:sz w:val="16"/>
          <w:szCs w:val="16"/>
          <w:rtl/>
        </w:rPr>
        <w:t>"</w:t>
      </w:r>
      <w:r w:rsidRPr="00F92184">
        <w:rPr>
          <w:rFonts w:cs="Arial"/>
          <w:sz w:val="16"/>
          <w:szCs w:val="16"/>
          <w:rtl/>
        </w:rPr>
        <w:t>כ</w:t>
      </w:r>
      <w:r w:rsidRPr="00F92184">
        <w:rPr>
          <w:rFonts w:cs="Arial" w:hint="cs"/>
          <w:sz w:val="16"/>
          <w:szCs w:val="16"/>
          <w:rtl/>
        </w:rPr>
        <w:t xml:space="preserve"> </w:t>
      </w:r>
      <w:r w:rsidRPr="00F92184">
        <w:rPr>
          <w:rFonts w:cs="Arial"/>
          <w:sz w:val="16"/>
          <w:szCs w:val="16"/>
          <w:rtl/>
        </w:rPr>
        <w:t xml:space="preserve">סי' סא) </w:t>
      </w:r>
      <w:r w:rsidRPr="00620623">
        <w:rPr>
          <w:rFonts w:cs="Arial"/>
          <w:rtl/>
        </w:rPr>
        <w:t>בשם הרא"ה כלים של גוים שהודחו יפה מותר ליתן בהם תבלין וכן בצל וכיו</w:t>
      </w:r>
      <w:r>
        <w:rPr>
          <w:rFonts w:cs="Arial" w:hint="cs"/>
          <w:rtl/>
        </w:rPr>
        <w:t>צ"</w:t>
      </w:r>
      <w:r w:rsidRPr="00620623">
        <w:rPr>
          <w:rFonts w:cs="Arial"/>
          <w:rtl/>
        </w:rPr>
        <w:t>ב חריף שאינו מוציא דבר קשה יבש ביבש</w:t>
      </w:r>
      <w:r>
        <w:rPr>
          <w:rFonts w:cs="Arial" w:hint="cs"/>
          <w:rtl/>
        </w:rPr>
        <w:t>, ב"י.</w:t>
      </w:r>
    </w:p>
  </w:footnote>
  <w:footnote w:id="2270">
    <w:p w14:paraId="5889F853" w14:textId="77777777" w:rsidR="004C5A3C" w:rsidRDefault="004C5A3C" w:rsidP="002C39F4">
      <w:pPr>
        <w:pStyle w:val="a5"/>
        <w:rPr>
          <w:rtl/>
        </w:rPr>
      </w:pPr>
      <w:r>
        <w:rPr>
          <w:rStyle w:val="a7"/>
        </w:rPr>
        <w:footnoteRef/>
      </w:r>
      <w:r>
        <w:rPr>
          <w:rtl/>
        </w:rPr>
        <w:t xml:space="preserve"> </w:t>
      </w:r>
      <w:r w:rsidRPr="008E2066">
        <w:rPr>
          <w:rFonts w:cs="Arial"/>
          <w:rtl/>
        </w:rPr>
        <w:t>ולי נראה דאין לחוש רק במקום דנשתמש בשר אצל קערה וכה"ג</w:t>
      </w:r>
      <w:r>
        <w:rPr>
          <w:rFonts w:cs="Arial" w:hint="cs"/>
          <w:rtl/>
        </w:rPr>
        <w:t>,</w:t>
      </w:r>
      <w:r w:rsidRPr="008E2066">
        <w:rPr>
          <w:rFonts w:cs="Arial"/>
          <w:rtl/>
        </w:rPr>
        <w:t xml:space="preserve"> וכמו שהוא המנהג ליחד כלי למלח שמביאין על השולחן לבשר וחלב לכל אחד בפני עצמו</w:t>
      </w:r>
      <w:r>
        <w:rPr>
          <w:rFonts w:cs="Arial" w:hint="cs"/>
          <w:rtl/>
        </w:rPr>
        <w:t>,</w:t>
      </w:r>
      <w:r w:rsidRPr="008E2066">
        <w:rPr>
          <w:rFonts w:cs="Arial"/>
          <w:rtl/>
        </w:rPr>
        <w:t xml:space="preserve"> אבל בלא"ה אין לחוש כלל</w:t>
      </w:r>
      <w:r>
        <w:rPr>
          <w:rFonts w:cs="Arial" w:hint="cs"/>
          <w:rtl/>
        </w:rPr>
        <w:t>, דרכ"מ (אות יז)</w:t>
      </w:r>
      <w:r>
        <w:rPr>
          <w:rFonts w:hint="cs"/>
          <w:rtl/>
        </w:rPr>
        <w:t>.</w:t>
      </w:r>
    </w:p>
  </w:footnote>
  <w:footnote w:id="2271">
    <w:p w14:paraId="40086EBB" w14:textId="77777777" w:rsidR="004C5A3C" w:rsidRDefault="004C5A3C" w:rsidP="002C39F4">
      <w:pPr>
        <w:pStyle w:val="a5"/>
        <w:rPr>
          <w:rtl/>
        </w:rPr>
      </w:pPr>
      <w:r>
        <w:rPr>
          <w:rStyle w:val="a7"/>
        </w:rPr>
        <w:footnoteRef/>
      </w:r>
      <w:r>
        <w:rPr>
          <w:rtl/>
        </w:rPr>
        <w:t xml:space="preserve"> </w:t>
      </w:r>
      <w:r w:rsidRPr="00E073BE">
        <w:rPr>
          <w:rFonts w:cs="Arial"/>
          <w:rtl/>
        </w:rPr>
        <w:t>דהוי כטהור מליח וטמא תפל</w:t>
      </w:r>
      <w:r>
        <w:rPr>
          <w:rFonts w:cs="Arial" w:hint="cs"/>
          <w:rtl/>
        </w:rPr>
        <w:t>,</w:t>
      </w:r>
      <w:r w:rsidRPr="00E073BE">
        <w:rPr>
          <w:rFonts w:cs="Arial"/>
          <w:rtl/>
        </w:rPr>
        <w:t xml:space="preserve"> כ"כ הפוסקים</w:t>
      </w:r>
      <w:r>
        <w:rPr>
          <w:rFonts w:cs="Arial" w:hint="cs"/>
          <w:rtl/>
        </w:rPr>
        <w:t xml:space="preserve">, </w:t>
      </w:r>
      <w:r w:rsidRPr="00E073BE">
        <w:rPr>
          <w:rFonts w:cs="Arial"/>
          <w:rtl/>
        </w:rPr>
        <w:t>אבל מטעם דנ"ט בנ"ט לא הוי שרי</w:t>
      </w:r>
      <w:r>
        <w:rPr>
          <w:rFonts w:cs="Arial" w:hint="cs"/>
          <w:rtl/>
        </w:rPr>
        <w:t>,</w:t>
      </w:r>
      <w:r w:rsidRPr="00E073BE">
        <w:rPr>
          <w:rFonts w:cs="Arial"/>
          <w:rtl/>
        </w:rPr>
        <w:t xml:space="preserve"> דחורפיה דמלח ותבלין משוי ליה כאילו הוא בעין</w:t>
      </w:r>
      <w:r>
        <w:rPr>
          <w:rFonts w:cs="Arial" w:hint="cs"/>
          <w:rtl/>
        </w:rPr>
        <w:t>,</w:t>
      </w:r>
      <w:r w:rsidRPr="00E073BE">
        <w:rPr>
          <w:rFonts w:cs="Arial"/>
          <w:rtl/>
        </w:rPr>
        <w:t xml:space="preserve"> וכמו שנתבאר בסי' צ"ה</w:t>
      </w:r>
      <w:r>
        <w:rPr>
          <w:rFonts w:hint="cs"/>
          <w:rtl/>
        </w:rPr>
        <w:t>, ש"ך (סקמ"ב-מ"ג)</w:t>
      </w:r>
    </w:p>
  </w:footnote>
  <w:footnote w:id="2272">
    <w:p w14:paraId="1E8CC8F6" w14:textId="77777777" w:rsidR="004C5A3C" w:rsidRDefault="004C5A3C" w:rsidP="002C39F4">
      <w:pPr>
        <w:pStyle w:val="a5"/>
        <w:rPr>
          <w:rtl/>
        </w:rPr>
      </w:pPr>
      <w:r>
        <w:rPr>
          <w:rStyle w:val="a7"/>
        </w:rPr>
        <w:footnoteRef/>
      </w:r>
      <w:r>
        <w:rPr>
          <w:rtl/>
        </w:rPr>
        <w:t xml:space="preserve"> </w:t>
      </w:r>
      <w:r w:rsidRPr="00E073BE">
        <w:rPr>
          <w:rFonts w:asciiTheme="minorBidi" w:hAnsiTheme="minorBidi" w:cs="Arial"/>
          <w:rtl/>
        </w:rPr>
        <w:t>כלומר דמותר לכתחלה להניחם בכלי של איסור מאחר דהם יבשים</w:t>
      </w:r>
      <w:r>
        <w:rPr>
          <w:rFonts w:asciiTheme="minorBidi" w:hAnsiTheme="minorBidi" w:cs="Arial" w:hint="cs"/>
          <w:rtl/>
        </w:rPr>
        <w:t>,</w:t>
      </w:r>
      <w:r w:rsidRPr="00E073BE">
        <w:rPr>
          <w:rFonts w:asciiTheme="minorBidi" w:hAnsiTheme="minorBidi" w:cs="Arial"/>
          <w:rtl/>
        </w:rPr>
        <w:t xml:space="preserve"> וכ"כ בד</w:t>
      </w:r>
      <w:r>
        <w:rPr>
          <w:rFonts w:asciiTheme="minorBidi" w:hAnsiTheme="minorBidi" w:cs="Arial" w:hint="cs"/>
          <w:rtl/>
        </w:rPr>
        <w:t>רכ</w:t>
      </w:r>
      <w:r w:rsidRPr="00E073BE">
        <w:rPr>
          <w:rFonts w:asciiTheme="minorBidi" w:hAnsiTheme="minorBidi" w:cs="Arial"/>
          <w:rtl/>
        </w:rPr>
        <w:t xml:space="preserve">"מ </w:t>
      </w:r>
      <w:r>
        <w:rPr>
          <w:rFonts w:asciiTheme="minorBidi" w:hAnsiTheme="minorBidi" w:cs="Arial" w:hint="cs"/>
          <w:rtl/>
        </w:rPr>
        <w:t xml:space="preserve">(אות טו) </w:t>
      </w:r>
      <w:r w:rsidRPr="00E073BE">
        <w:rPr>
          <w:rFonts w:asciiTheme="minorBidi" w:hAnsiTheme="minorBidi" w:cs="Arial"/>
          <w:rtl/>
        </w:rPr>
        <w:t xml:space="preserve">ובת"ח </w:t>
      </w:r>
      <w:r>
        <w:rPr>
          <w:rFonts w:asciiTheme="minorBidi" w:hAnsiTheme="minorBidi" w:cs="Arial" w:hint="cs"/>
          <w:rtl/>
        </w:rPr>
        <w:t>(</w:t>
      </w:r>
      <w:r w:rsidRPr="00E073BE">
        <w:rPr>
          <w:rFonts w:asciiTheme="minorBidi" w:hAnsiTheme="minorBidi" w:cs="Arial"/>
          <w:rtl/>
        </w:rPr>
        <w:t>כלל י"ז ד"ב</w:t>
      </w:r>
      <w:r>
        <w:rPr>
          <w:rFonts w:asciiTheme="minorBidi" w:hAnsiTheme="minorBidi" w:cs="Arial" w:hint="cs"/>
          <w:rtl/>
        </w:rPr>
        <w:t>),</w:t>
      </w:r>
      <w:r w:rsidRPr="00E073BE">
        <w:rPr>
          <w:rFonts w:asciiTheme="minorBidi" w:hAnsiTheme="minorBidi" w:cs="Arial" w:hint="cs"/>
          <w:rtl/>
        </w:rPr>
        <w:t xml:space="preserve"> </w:t>
      </w:r>
      <w:r>
        <w:rPr>
          <w:rFonts w:asciiTheme="minorBidi" w:hAnsiTheme="minorBidi" w:cs="Arial" w:hint="cs"/>
          <w:rtl/>
        </w:rPr>
        <w:t>ש"ך (סקמ"ד).</w:t>
      </w:r>
    </w:p>
  </w:footnote>
  <w:footnote w:id="2273">
    <w:p w14:paraId="1A0654B8" w14:textId="77777777" w:rsidR="004C5A3C" w:rsidRDefault="004C5A3C" w:rsidP="002C39F4">
      <w:pPr>
        <w:pStyle w:val="a5"/>
        <w:rPr>
          <w:rtl/>
        </w:rPr>
      </w:pPr>
      <w:r>
        <w:rPr>
          <w:rStyle w:val="a7"/>
        </w:rPr>
        <w:footnoteRef/>
      </w:r>
      <w:r>
        <w:rPr>
          <w:rtl/>
        </w:rPr>
        <w:t xml:space="preserve"> </w:t>
      </w:r>
      <w:r w:rsidRPr="00E073BE">
        <w:rPr>
          <w:rFonts w:cs="Arial"/>
          <w:rtl/>
        </w:rPr>
        <w:t>ומן הסתם אמרינן שהיה נקי</w:t>
      </w:r>
      <w:r>
        <w:rPr>
          <w:rFonts w:cs="Arial" w:hint="cs"/>
          <w:rtl/>
        </w:rPr>
        <w:t>,</w:t>
      </w:r>
      <w:r w:rsidRPr="00E073BE">
        <w:rPr>
          <w:rFonts w:cs="Arial"/>
          <w:rtl/>
        </w:rPr>
        <w:t xml:space="preserve"> וכ</w:t>
      </w:r>
      <w:r>
        <w:rPr>
          <w:rFonts w:cs="Arial" w:hint="cs"/>
          <w:rtl/>
        </w:rPr>
        <w:t>"מ</w:t>
      </w:r>
      <w:r w:rsidRPr="00E073BE">
        <w:rPr>
          <w:rFonts w:cs="Arial"/>
          <w:rtl/>
        </w:rPr>
        <w:t xml:space="preserve"> בת"ח </w:t>
      </w:r>
      <w:r>
        <w:rPr>
          <w:rFonts w:cs="Arial" w:hint="cs"/>
          <w:rtl/>
        </w:rPr>
        <w:t>(</w:t>
      </w:r>
      <w:r w:rsidRPr="00E073BE">
        <w:rPr>
          <w:rFonts w:cs="Arial"/>
          <w:rtl/>
        </w:rPr>
        <w:t>כלל י"ז ד"ב</w:t>
      </w:r>
      <w:r>
        <w:rPr>
          <w:rFonts w:cs="Arial" w:hint="cs"/>
          <w:rtl/>
        </w:rPr>
        <w:t>)</w:t>
      </w:r>
      <w:r w:rsidRPr="00E073BE">
        <w:rPr>
          <w:rFonts w:cs="Arial"/>
          <w:rtl/>
        </w:rPr>
        <w:t xml:space="preserve"> וכן הוכחתי בר"ס צ"ה ע"ש</w:t>
      </w:r>
      <w:r>
        <w:rPr>
          <w:rFonts w:hint="cs"/>
          <w:rtl/>
        </w:rPr>
        <w:t>, ש"ך (סקמ"ה).</w:t>
      </w:r>
    </w:p>
  </w:footnote>
  <w:footnote w:id="2274">
    <w:p w14:paraId="7FECD807" w14:textId="77777777" w:rsidR="004C5A3C" w:rsidRDefault="004C5A3C" w:rsidP="002C39F4">
      <w:pPr>
        <w:pStyle w:val="a5"/>
        <w:rPr>
          <w:rtl/>
        </w:rPr>
      </w:pPr>
      <w:r>
        <w:rPr>
          <w:rStyle w:val="a7"/>
        </w:rPr>
        <w:footnoteRef/>
      </w:r>
      <w:r>
        <w:rPr>
          <w:rtl/>
        </w:rPr>
        <w:t xml:space="preserve"> </w:t>
      </w:r>
      <w:r>
        <w:rPr>
          <w:rFonts w:cs="Arial" w:hint="cs"/>
          <w:rtl/>
        </w:rPr>
        <w:t xml:space="preserve">תוס' </w:t>
      </w:r>
      <w:r w:rsidRPr="007341EC">
        <w:rPr>
          <w:rFonts w:cs="Arial" w:hint="cs"/>
          <w:sz w:val="16"/>
          <w:szCs w:val="16"/>
          <w:rtl/>
        </w:rPr>
        <w:t xml:space="preserve">(קח: ד"ה אמאי) </w:t>
      </w:r>
      <w:r w:rsidRPr="006A4960">
        <w:rPr>
          <w:rFonts w:cs="Arial" w:hint="cs"/>
          <w:rtl/>
        </w:rPr>
        <w:t>סה"ת</w:t>
      </w:r>
      <w:r w:rsidRPr="006A4960">
        <w:rPr>
          <w:rFonts w:cs="Arial"/>
          <w:rtl/>
        </w:rPr>
        <w:t xml:space="preserve"> </w:t>
      </w:r>
      <w:r w:rsidRPr="007341EC">
        <w:rPr>
          <w:rFonts w:cs="Arial"/>
          <w:sz w:val="16"/>
          <w:szCs w:val="16"/>
          <w:rtl/>
        </w:rPr>
        <w:t>(סי' נג)</w:t>
      </w:r>
      <w:r>
        <w:rPr>
          <w:rFonts w:cs="Arial" w:hint="cs"/>
          <w:rtl/>
        </w:rPr>
        <w:t xml:space="preserve"> </w:t>
      </w:r>
      <w:r>
        <w:rPr>
          <w:rFonts w:cs="Arial"/>
          <w:rtl/>
        </w:rPr>
        <w:t>שע</w:t>
      </w:r>
      <w:r>
        <w:rPr>
          <w:rFonts w:cs="Arial" w:hint="cs"/>
          <w:rtl/>
        </w:rPr>
        <w:t>"</w:t>
      </w:r>
      <w:r>
        <w:rPr>
          <w:rFonts w:cs="Arial"/>
          <w:rtl/>
        </w:rPr>
        <w:t xml:space="preserve">ד </w:t>
      </w:r>
      <w:r w:rsidRPr="004E5DA6">
        <w:rPr>
          <w:rFonts w:cs="Arial"/>
          <w:sz w:val="16"/>
          <w:szCs w:val="16"/>
          <w:rtl/>
        </w:rPr>
        <w:t>(סי' א)</w:t>
      </w:r>
      <w:r>
        <w:rPr>
          <w:rFonts w:cs="Arial" w:hint="cs"/>
          <w:sz w:val="16"/>
          <w:szCs w:val="16"/>
          <w:rtl/>
        </w:rPr>
        <w:t xml:space="preserve"> </w:t>
      </w:r>
      <w:r>
        <w:rPr>
          <w:rFonts w:cs="Arial" w:hint="cs"/>
          <w:rtl/>
        </w:rPr>
        <w:t>טור</w:t>
      </w:r>
      <w:r>
        <w:rPr>
          <w:rFonts w:cs="Arial" w:hint="cs"/>
          <w:sz w:val="16"/>
          <w:szCs w:val="16"/>
          <w:rtl/>
        </w:rPr>
        <w:t xml:space="preserve"> (סי' סט סע' ט)</w:t>
      </w:r>
      <w:r w:rsidRPr="004E5DA6">
        <w:rPr>
          <w:rFonts w:cs="Arial"/>
          <w:rtl/>
        </w:rPr>
        <w:t xml:space="preserve"> </w:t>
      </w:r>
      <w:r>
        <w:rPr>
          <w:rFonts w:cs="Arial" w:hint="cs"/>
          <w:rtl/>
        </w:rPr>
        <w:t>ו</w:t>
      </w:r>
      <w:r>
        <w:rPr>
          <w:rFonts w:cs="Arial"/>
          <w:rtl/>
        </w:rPr>
        <w:t xml:space="preserve">מהרא"י </w:t>
      </w:r>
      <w:r w:rsidRPr="004E5DA6">
        <w:rPr>
          <w:rFonts w:cs="Arial"/>
          <w:sz w:val="16"/>
          <w:szCs w:val="16"/>
          <w:rtl/>
        </w:rPr>
        <w:t>(</w:t>
      </w:r>
      <w:r w:rsidRPr="004E5DA6">
        <w:rPr>
          <w:rFonts w:cs="Arial" w:hint="cs"/>
          <w:sz w:val="16"/>
          <w:szCs w:val="16"/>
          <w:rtl/>
        </w:rPr>
        <w:t xml:space="preserve">בהגשע"ד </w:t>
      </w:r>
      <w:r w:rsidRPr="004E5DA6">
        <w:rPr>
          <w:rFonts w:cs="Arial"/>
          <w:sz w:val="16"/>
          <w:szCs w:val="16"/>
          <w:rtl/>
        </w:rPr>
        <w:t>סי' א סק</w:t>
      </w:r>
      <w:r w:rsidRPr="004E5DA6">
        <w:rPr>
          <w:rFonts w:cs="Arial" w:hint="cs"/>
          <w:sz w:val="16"/>
          <w:szCs w:val="16"/>
          <w:rtl/>
        </w:rPr>
        <w:t>"</w:t>
      </w:r>
      <w:r w:rsidRPr="004E5DA6">
        <w:rPr>
          <w:rFonts w:cs="Arial"/>
          <w:sz w:val="16"/>
          <w:szCs w:val="16"/>
          <w:rtl/>
        </w:rPr>
        <w:t>ו</w:t>
      </w:r>
      <w:r w:rsidRPr="004E5DA6">
        <w:rPr>
          <w:rFonts w:cs="Arial" w:hint="cs"/>
          <w:sz w:val="16"/>
          <w:szCs w:val="16"/>
          <w:rtl/>
        </w:rPr>
        <w:t>-</w:t>
      </w:r>
      <w:r w:rsidRPr="004E5DA6">
        <w:rPr>
          <w:rFonts w:cs="Arial"/>
          <w:sz w:val="16"/>
          <w:szCs w:val="16"/>
          <w:rtl/>
        </w:rPr>
        <w:t>ח)</w:t>
      </w:r>
      <w:r>
        <w:rPr>
          <w:rFonts w:hint="cs"/>
          <w:rtl/>
        </w:rPr>
        <w:t>.</w:t>
      </w:r>
    </w:p>
  </w:footnote>
  <w:footnote w:id="2275">
    <w:p w14:paraId="3C2885CB" w14:textId="77777777" w:rsidR="004C5A3C" w:rsidRDefault="004C5A3C" w:rsidP="002C39F4">
      <w:pPr>
        <w:pStyle w:val="a5"/>
        <w:rPr>
          <w:rtl/>
        </w:rPr>
      </w:pPr>
      <w:r>
        <w:rPr>
          <w:rStyle w:val="a7"/>
        </w:rPr>
        <w:footnoteRef/>
      </w:r>
      <w:r>
        <w:rPr>
          <w:rtl/>
        </w:rPr>
        <w:t xml:space="preserve"> </w:t>
      </w:r>
      <w:r>
        <w:rPr>
          <w:rFonts w:cs="Arial" w:hint="cs"/>
          <w:rtl/>
        </w:rPr>
        <w:t>כיון שאין איסורו מחמת עצמו, שע"ד. וכ' הב"י- ו</w:t>
      </w:r>
      <w:r>
        <w:rPr>
          <w:rFonts w:cs="Arial"/>
          <w:rtl/>
        </w:rPr>
        <w:t>מתוך לשון ס</w:t>
      </w:r>
      <w:r>
        <w:rPr>
          <w:rFonts w:cs="Arial" w:hint="cs"/>
          <w:rtl/>
        </w:rPr>
        <w:t>ה"ת</w:t>
      </w:r>
      <w:r>
        <w:rPr>
          <w:rFonts w:cs="Arial"/>
          <w:rtl/>
        </w:rPr>
        <w:t xml:space="preserve"> שכתבתי יתבאר לך שכל זה אינו אלא לדעת ר"ת דסבר דבכל האיסורין אמרינן חתיכה עצמה נעשית נבלה דאילו לדעת רבינו אפרים דאמר דלא אמרינן חתיכה עצמה נעשית נבלה אלא בבשר בחלב א"צ ששים אפילו כנגד המלח דבששים כנגד האיסור הבלוע בו סגי</w:t>
      </w:r>
      <w:r>
        <w:rPr>
          <w:rFonts w:cs="Arial" w:hint="cs"/>
          <w:rtl/>
        </w:rPr>
        <w:t xml:space="preserve">, </w:t>
      </w:r>
      <w:r>
        <w:rPr>
          <w:rFonts w:cs="Arial"/>
          <w:rtl/>
        </w:rPr>
        <w:t xml:space="preserve">וכבר כתבתי כן בסימן צ"ו </w:t>
      </w:r>
      <w:r w:rsidRPr="004E5DA6">
        <w:rPr>
          <w:rFonts w:cs="Arial"/>
          <w:sz w:val="16"/>
          <w:szCs w:val="16"/>
          <w:rtl/>
        </w:rPr>
        <w:t xml:space="preserve">(קנב. ד"ה ומ"ש דבחתכה) </w:t>
      </w:r>
      <w:r>
        <w:rPr>
          <w:rFonts w:cs="Arial"/>
          <w:rtl/>
        </w:rPr>
        <w:t xml:space="preserve">על מ"ש שאם חתכו צנון בסכין של גוים צריך ששים כנגד כל הצנון ובסימן צ"ב </w:t>
      </w:r>
      <w:r w:rsidRPr="004E5DA6">
        <w:rPr>
          <w:rFonts w:cs="Arial"/>
          <w:sz w:val="16"/>
          <w:szCs w:val="16"/>
          <w:rtl/>
        </w:rPr>
        <w:t xml:space="preserve">(קמו: ד"ה ולענין הלכה) </w:t>
      </w:r>
      <w:r>
        <w:rPr>
          <w:rFonts w:cs="Arial"/>
          <w:rtl/>
        </w:rPr>
        <w:t>כתבתי דכרבינו אפרים נקטינן</w:t>
      </w:r>
      <w:r>
        <w:rPr>
          <w:rFonts w:hint="cs"/>
          <w:rtl/>
        </w:rPr>
        <w:t>.</w:t>
      </w:r>
    </w:p>
  </w:footnote>
  <w:footnote w:id="2276">
    <w:p w14:paraId="79A1A352" w14:textId="77777777" w:rsidR="004C5A3C" w:rsidRDefault="004C5A3C" w:rsidP="002C39F4">
      <w:pPr>
        <w:pStyle w:val="a5"/>
        <w:rPr>
          <w:rtl/>
        </w:rPr>
      </w:pPr>
      <w:r>
        <w:rPr>
          <w:rStyle w:val="a7"/>
        </w:rPr>
        <w:footnoteRef/>
      </w:r>
      <w:r>
        <w:rPr>
          <w:rtl/>
        </w:rPr>
        <w:t xml:space="preserve"> </w:t>
      </w:r>
      <w:r>
        <w:rPr>
          <w:rFonts w:cs="Arial"/>
          <w:rtl/>
        </w:rPr>
        <w:t>וזה כדברי סה</w:t>
      </w:r>
      <w:r>
        <w:rPr>
          <w:rFonts w:cs="Arial" w:hint="cs"/>
          <w:rtl/>
        </w:rPr>
        <w:t>"</w:t>
      </w:r>
      <w:r>
        <w:rPr>
          <w:rFonts w:cs="Arial"/>
          <w:rtl/>
        </w:rPr>
        <w:t>ת</w:t>
      </w:r>
      <w:r>
        <w:rPr>
          <w:rFonts w:cs="Arial" w:hint="cs"/>
          <w:rtl/>
        </w:rPr>
        <w:t>,</w:t>
      </w:r>
      <w:r>
        <w:rPr>
          <w:rFonts w:cs="Arial"/>
          <w:rtl/>
        </w:rPr>
        <w:t xml:space="preserve"> ואע</w:t>
      </w:r>
      <w:r>
        <w:rPr>
          <w:rFonts w:cs="Arial" w:hint="cs"/>
          <w:rtl/>
        </w:rPr>
        <w:t>"</w:t>
      </w:r>
      <w:r>
        <w:rPr>
          <w:rFonts w:cs="Arial"/>
          <w:rtl/>
        </w:rPr>
        <w:t>פ שהוא פוסק כדברי רבינו אפרים לא נמנע מלכתוב כן משום דבמלח וכיוצא בו לא נפ</w:t>
      </w:r>
      <w:r>
        <w:rPr>
          <w:rFonts w:cs="Arial" w:hint="cs"/>
          <w:rtl/>
        </w:rPr>
        <w:t>ק"</w:t>
      </w:r>
      <w:r>
        <w:rPr>
          <w:rFonts w:cs="Arial"/>
          <w:rtl/>
        </w:rPr>
        <w:t>ל מיד</w:t>
      </w:r>
      <w:r>
        <w:rPr>
          <w:rFonts w:cs="Arial" w:hint="cs"/>
          <w:rtl/>
        </w:rPr>
        <w:t>י</w:t>
      </w:r>
      <w:r>
        <w:rPr>
          <w:rFonts w:cs="Arial"/>
          <w:rtl/>
        </w:rPr>
        <w:t xml:space="preserve"> בין שיש בה </w:t>
      </w:r>
      <w:r>
        <w:rPr>
          <w:rFonts w:cs="Arial" w:hint="cs"/>
          <w:rtl/>
        </w:rPr>
        <w:t>ס'</w:t>
      </w:r>
      <w:r>
        <w:rPr>
          <w:rFonts w:cs="Arial"/>
          <w:rtl/>
        </w:rPr>
        <w:t xml:space="preserve"> כנגד האיסור הבלוע ליש בה </w:t>
      </w:r>
      <w:r>
        <w:rPr>
          <w:rFonts w:cs="Arial" w:hint="cs"/>
          <w:rtl/>
        </w:rPr>
        <w:t>ס'</w:t>
      </w:r>
      <w:r>
        <w:rPr>
          <w:rFonts w:cs="Arial"/>
          <w:rtl/>
        </w:rPr>
        <w:t xml:space="preserve"> כנגד כל המלח דאין לך קדרה שאין בה יותר משיעור כל מלח הניתן בה כמה מאות פעמים</w:t>
      </w:r>
      <w:r>
        <w:rPr>
          <w:rFonts w:cs="Arial" w:hint="cs"/>
          <w:rtl/>
        </w:rPr>
        <w:t>,</w:t>
      </w:r>
      <w:r>
        <w:rPr>
          <w:rFonts w:cs="Arial"/>
          <w:rtl/>
        </w:rPr>
        <w:t xml:space="preserve"> ואם לא יהיה בה יותר </w:t>
      </w:r>
      <w:r>
        <w:rPr>
          <w:rFonts w:cs="Arial" w:hint="cs"/>
          <w:rtl/>
        </w:rPr>
        <w:t>מס'</w:t>
      </w:r>
      <w:r>
        <w:rPr>
          <w:rFonts w:cs="Arial"/>
          <w:rtl/>
        </w:rPr>
        <w:t xml:space="preserve"> כנגד כל המלח היא מלוחה ביותר ואינה ראויה לאכילה כלל ואין לספר הימנה</w:t>
      </w:r>
      <w:r>
        <w:rPr>
          <w:rFonts w:cs="Arial" w:hint="cs"/>
          <w:rtl/>
        </w:rPr>
        <w:t>... ו</w:t>
      </w:r>
      <w:r>
        <w:rPr>
          <w:rFonts w:cs="Arial"/>
          <w:rtl/>
        </w:rPr>
        <w:t xml:space="preserve">יותר נכון לומר דאפילו לדברי רבינו אפרים לא משערינן </w:t>
      </w:r>
      <w:r>
        <w:rPr>
          <w:rFonts w:cs="Arial" w:hint="cs"/>
          <w:rtl/>
        </w:rPr>
        <w:t>ס'</w:t>
      </w:r>
      <w:r>
        <w:rPr>
          <w:rFonts w:cs="Arial"/>
          <w:rtl/>
        </w:rPr>
        <w:t xml:space="preserve"> כנגד הדם לבדו משום דלא ידעינן כמה דם בלוע במלח הילכך צריך לשער כנגד המלח</w:t>
      </w:r>
      <w:r>
        <w:rPr>
          <w:rFonts w:cs="Arial" w:hint="cs"/>
          <w:rtl/>
        </w:rPr>
        <w:t>, ב"י.</w:t>
      </w:r>
      <w:r>
        <w:rPr>
          <w:rFonts w:hint="cs"/>
          <w:rtl/>
        </w:rPr>
        <w:t xml:space="preserve"> </w:t>
      </w:r>
    </w:p>
  </w:footnote>
  <w:footnote w:id="2277">
    <w:p w14:paraId="4903742E" w14:textId="77777777" w:rsidR="004C5A3C" w:rsidRDefault="004C5A3C" w:rsidP="002C39F4">
      <w:pPr>
        <w:pStyle w:val="a5"/>
        <w:rPr>
          <w:rtl/>
        </w:rPr>
      </w:pPr>
      <w:r>
        <w:rPr>
          <w:rStyle w:val="a7"/>
        </w:rPr>
        <w:footnoteRef/>
      </w:r>
      <w:r>
        <w:rPr>
          <w:rtl/>
        </w:rPr>
        <w:t xml:space="preserve"> </w:t>
      </w:r>
      <w:r>
        <w:rPr>
          <w:rFonts w:hint="cs"/>
          <w:rtl/>
        </w:rPr>
        <w:t xml:space="preserve">ונ"ל דלפי דברי הב"י (בהערה הקודמת) אף במקרה זה צריך ששים נגד כל המלח דמנא ידעינן כמה בלוע במלח. </w:t>
      </w:r>
    </w:p>
  </w:footnote>
  <w:footnote w:id="2278">
    <w:p w14:paraId="248CD810" w14:textId="77777777" w:rsidR="004C5A3C" w:rsidRDefault="004C5A3C" w:rsidP="002C39F4">
      <w:pPr>
        <w:pStyle w:val="a5"/>
        <w:rPr>
          <w:rtl/>
        </w:rPr>
      </w:pPr>
      <w:r>
        <w:rPr>
          <w:rStyle w:val="a7"/>
        </w:rPr>
        <w:footnoteRef/>
      </w:r>
      <w:r>
        <w:rPr>
          <w:rtl/>
        </w:rPr>
        <w:t xml:space="preserve"> </w:t>
      </w:r>
      <w:r w:rsidRPr="00A35445">
        <w:rPr>
          <w:rFonts w:cs="Arial"/>
          <w:rtl/>
        </w:rPr>
        <w:t xml:space="preserve">וצ"ל הא דמין במינו אינו בטל מיירי בשאין שוים בטעמן ושוים בשמן דקי"ל דבתר שמא אזלינן </w:t>
      </w:r>
      <w:r w:rsidRPr="00A35445">
        <w:rPr>
          <w:rFonts w:cs="Arial"/>
          <w:sz w:val="16"/>
          <w:szCs w:val="16"/>
          <w:rtl/>
        </w:rPr>
        <w:t>(</w:t>
      </w:r>
      <w:r>
        <w:rPr>
          <w:rFonts w:cs="Arial" w:hint="cs"/>
          <w:sz w:val="16"/>
          <w:szCs w:val="16"/>
          <w:rtl/>
        </w:rPr>
        <w:t xml:space="preserve">כמ"ש בסי' צח </w:t>
      </w:r>
      <w:r w:rsidRPr="00A35445">
        <w:rPr>
          <w:rFonts w:cs="Arial"/>
          <w:sz w:val="16"/>
          <w:szCs w:val="16"/>
          <w:rtl/>
        </w:rPr>
        <w:t>ד</w:t>
      </w:r>
      <w:r>
        <w:rPr>
          <w:rFonts w:cs="Arial" w:hint="cs"/>
          <w:sz w:val="16"/>
          <w:szCs w:val="16"/>
          <w:rtl/>
        </w:rPr>
        <w:t>רכ</w:t>
      </w:r>
      <w:r w:rsidRPr="00A35445">
        <w:rPr>
          <w:rFonts w:cs="Arial"/>
          <w:sz w:val="16"/>
          <w:szCs w:val="16"/>
          <w:rtl/>
        </w:rPr>
        <w:t>"מ אות ה)</w:t>
      </w:r>
      <w:r>
        <w:rPr>
          <w:rFonts w:hint="cs"/>
          <w:rtl/>
        </w:rPr>
        <w:t>, דרכ"מ.</w:t>
      </w:r>
    </w:p>
  </w:footnote>
  <w:footnote w:id="2279">
    <w:p w14:paraId="4A499F00" w14:textId="77777777" w:rsidR="004C5A3C" w:rsidRDefault="004C5A3C" w:rsidP="002C39F4">
      <w:pPr>
        <w:pStyle w:val="a5"/>
      </w:pPr>
      <w:r>
        <w:rPr>
          <w:rStyle w:val="a7"/>
        </w:rPr>
        <w:footnoteRef/>
      </w:r>
      <w:r>
        <w:rPr>
          <w:rtl/>
        </w:rPr>
        <w:t xml:space="preserve"> </w:t>
      </w:r>
      <w:r>
        <w:rPr>
          <w:rFonts w:cs="Arial" w:hint="cs"/>
          <w:rtl/>
        </w:rPr>
        <w:t xml:space="preserve">וכ' הב"י- </w:t>
      </w:r>
      <w:r w:rsidRPr="00B41BE4">
        <w:rPr>
          <w:rFonts w:cs="Arial"/>
          <w:rtl/>
        </w:rPr>
        <w:t>ותמיהא לי דאי מהאי טעמא ליטעמיה קפילא לחתיכה זו ואי לית בה טעמא דאיסורא תשתרי</w:t>
      </w:r>
      <w:r>
        <w:rPr>
          <w:rFonts w:cs="Arial" w:hint="cs"/>
          <w:rtl/>
        </w:rPr>
        <w:t>,</w:t>
      </w:r>
      <w:r w:rsidRPr="00B41BE4">
        <w:rPr>
          <w:rFonts w:cs="Arial"/>
          <w:rtl/>
        </w:rPr>
        <w:t xml:space="preserve"> שהרי נתברר שאיסור הבלוע בה נפלט ממנה עד שלא נשאר בהן בנותן טעם ולמה תאסר</w:t>
      </w:r>
      <w:r>
        <w:rPr>
          <w:rFonts w:cs="Arial" w:hint="cs"/>
          <w:rtl/>
        </w:rPr>
        <w:t>, ו</w:t>
      </w:r>
      <w:r w:rsidRPr="004A641C">
        <w:rPr>
          <w:rFonts w:cs="Arial"/>
          <w:rtl/>
        </w:rPr>
        <w:t xml:space="preserve">שמא </w:t>
      </w:r>
      <w:r>
        <w:rPr>
          <w:rFonts w:cs="Arial" w:hint="cs"/>
          <w:rtl/>
        </w:rPr>
        <w:t>י"</w:t>
      </w:r>
      <w:r w:rsidRPr="004A641C">
        <w:rPr>
          <w:rFonts w:cs="Arial"/>
          <w:rtl/>
        </w:rPr>
        <w:t>ל דכיון שכבר נאסרה אע</w:t>
      </w:r>
      <w:r w:rsidRPr="004A641C">
        <w:rPr>
          <w:rFonts w:cs="Arial" w:hint="cs"/>
          <w:rtl/>
        </w:rPr>
        <w:t>"</w:t>
      </w:r>
      <w:r w:rsidRPr="004A641C">
        <w:rPr>
          <w:rFonts w:cs="Arial"/>
          <w:rtl/>
        </w:rPr>
        <w:t>פ שנפלט קצת מאיסור שבה לעולם אסורה עד שיפלט כולו לגמרי ולא ישאר בה ממנו כלל ולא דמי לדבר הנבלל ונמוח שמאחר שהכל מתערב זה עם זה בשוה ואין תוספת איסור בנאסר מבהיתר חשיב כאילו נפלט כולו</w:t>
      </w:r>
      <w:r w:rsidRPr="004A641C">
        <w:rPr>
          <w:rFonts w:cs="Arial" w:hint="cs"/>
          <w:rtl/>
        </w:rPr>
        <w:t>.</w:t>
      </w:r>
      <w:r w:rsidRPr="004A641C">
        <w:rPr>
          <w:rFonts w:cs="Arial"/>
          <w:rtl/>
        </w:rPr>
        <w:t xml:space="preserve"> אח"כ מצאתי בתשו</w:t>
      </w:r>
      <w:r>
        <w:rPr>
          <w:rFonts w:cs="Arial" w:hint="cs"/>
          <w:rtl/>
        </w:rPr>
        <w:t>'</w:t>
      </w:r>
      <w:r w:rsidRPr="004A641C">
        <w:rPr>
          <w:rFonts w:cs="Arial"/>
          <w:rtl/>
        </w:rPr>
        <w:t xml:space="preserve"> להרמב"ן סי</w:t>
      </w:r>
      <w:r>
        <w:rPr>
          <w:rFonts w:cs="Arial" w:hint="cs"/>
          <w:rtl/>
        </w:rPr>
        <w:t>'</w:t>
      </w:r>
      <w:r w:rsidRPr="004A641C">
        <w:rPr>
          <w:rFonts w:cs="Arial"/>
          <w:rtl/>
        </w:rPr>
        <w:t xml:space="preserve"> קנא שנשאל זה מהרשב"א והשיב כמו שכתבתי</w:t>
      </w:r>
      <w:r w:rsidRPr="004A641C">
        <w:rPr>
          <w:rFonts w:cs="Arial" w:hint="cs"/>
          <w:rtl/>
        </w:rPr>
        <w:t>,</w:t>
      </w:r>
      <w:r w:rsidRPr="004A641C">
        <w:rPr>
          <w:rFonts w:cs="Arial"/>
          <w:rtl/>
        </w:rPr>
        <w:t xml:space="preserve"> וכתב עוד באותה תשובה ומה שנסתפק לך אם אותה חתיכה מצטרפת לבטל האיסור</w:t>
      </w:r>
      <w:r w:rsidRPr="004A641C">
        <w:rPr>
          <w:rFonts w:cs="Arial" w:hint="cs"/>
          <w:rtl/>
        </w:rPr>
        <w:t>,</w:t>
      </w:r>
      <w:r w:rsidRPr="004A641C">
        <w:rPr>
          <w:rFonts w:cs="Arial"/>
          <w:rtl/>
        </w:rPr>
        <w:t xml:space="preserve"> נ"ל שגם היא מצטרפת לבטל האיסור</w:t>
      </w:r>
      <w:r w:rsidRPr="004A641C">
        <w:rPr>
          <w:rFonts w:cs="Arial" w:hint="cs"/>
          <w:rtl/>
        </w:rPr>
        <w:t>,</w:t>
      </w:r>
      <w:r w:rsidRPr="004A641C">
        <w:rPr>
          <w:rFonts w:cs="Arial"/>
          <w:rtl/>
        </w:rPr>
        <w:t xml:space="preserve"> תדע שאם היה איפשר לסחוט את האיסור שבה להעלות את האיסור היא עצמה מותרת היא</w:t>
      </w:r>
      <w:r w:rsidRPr="004A641C">
        <w:rPr>
          <w:rFonts w:cs="Arial" w:hint="cs"/>
          <w:rtl/>
        </w:rPr>
        <w:t>,</w:t>
      </w:r>
      <w:r w:rsidRPr="004A641C">
        <w:rPr>
          <w:rFonts w:cs="Arial"/>
          <w:rtl/>
        </w:rPr>
        <w:t xml:space="preserve"> וה"ז ככחל שאמרו (חולין צז:) כחל בששים וכחל מן המנין וכחל עצמו אסור</w:t>
      </w:r>
      <w:r w:rsidRPr="004A641C">
        <w:rPr>
          <w:rFonts w:cs="Arial" w:hint="cs"/>
          <w:rtl/>
        </w:rPr>
        <w:t>.</w:t>
      </w:r>
    </w:p>
  </w:footnote>
  <w:footnote w:id="2280">
    <w:p w14:paraId="05659DE4" w14:textId="77777777" w:rsidR="004C5A3C" w:rsidRDefault="004C5A3C" w:rsidP="002C39F4">
      <w:pPr>
        <w:pStyle w:val="a5"/>
      </w:pPr>
      <w:r>
        <w:rPr>
          <w:rStyle w:val="a7"/>
        </w:rPr>
        <w:footnoteRef/>
      </w:r>
      <w:r>
        <w:rPr>
          <w:rtl/>
        </w:rPr>
        <w:t xml:space="preserve"> </w:t>
      </w:r>
      <w:r>
        <w:rPr>
          <w:rFonts w:cs="Arial" w:hint="cs"/>
          <w:rtl/>
        </w:rPr>
        <w:t xml:space="preserve">עכ"ל הטור בשם הרשב"א, והוסיף הטור וכתב- </w:t>
      </w:r>
      <w:r w:rsidRPr="00B41BE4">
        <w:rPr>
          <w:rFonts w:cs="Arial"/>
          <w:rtl/>
        </w:rPr>
        <w:t>ואיני מבין דבריו דכיון שהכל מצטרף לבטלו ע"כ הטעם מתבלבל בכולו וכיון שמתבלבל בכולו א"כ נתבטל</w:t>
      </w:r>
      <w:r>
        <w:rPr>
          <w:rFonts w:cs="Arial" w:hint="cs"/>
          <w:rtl/>
        </w:rPr>
        <w:t xml:space="preserve">, עכ"ל. וכתב עליו הב"י- </w:t>
      </w:r>
      <w:r w:rsidRPr="00B41BE4">
        <w:rPr>
          <w:rFonts w:cs="Arial"/>
          <w:rtl/>
        </w:rPr>
        <w:t>ואני אומר שאיני מבין דברי רבינו שכתב דכיון שהכל מצטרף לבטלו ע"כ הטעם מתבלבל בכולו כלומר כל טעם האיסור הבלוע בחתיכה זו מתבלבל בכל החתיכות</w:t>
      </w:r>
      <w:r>
        <w:rPr>
          <w:rFonts w:cs="Arial" w:hint="cs"/>
          <w:rtl/>
        </w:rPr>
        <w:t>,</w:t>
      </w:r>
      <w:r w:rsidRPr="00B41BE4">
        <w:rPr>
          <w:rFonts w:cs="Arial"/>
          <w:rtl/>
        </w:rPr>
        <w:t xml:space="preserve"> דמנין לו להכריח כן</w:t>
      </w:r>
      <w:r>
        <w:rPr>
          <w:rFonts w:cs="Arial" w:hint="cs"/>
          <w:rtl/>
        </w:rPr>
        <w:t>,</w:t>
      </w:r>
      <w:r w:rsidRPr="00B41BE4">
        <w:rPr>
          <w:rFonts w:cs="Arial"/>
          <w:rtl/>
        </w:rPr>
        <w:t xml:space="preserve"> דאי משום דמצרכינן ששים כנגד כל האיסור אין משם ראיה דהא אפילו אם ברור לנו שאין הכל מתפשט ומתבלבל אנו מצריכים ששים כנגד כולו וכדאמרינן </w:t>
      </w:r>
      <w:r w:rsidRPr="004A641C">
        <w:rPr>
          <w:rFonts w:cs="Arial"/>
          <w:sz w:val="16"/>
          <w:szCs w:val="16"/>
          <w:rtl/>
        </w:rPr>
        <w:t xml:space="preserve">(חולין צז:) </w:t>
      </w:r>
      <w:r w:rsidRPr="00B41BE4">
        <w:rPr>
          <w:rFonts w:cs="Arial"/>
          <w:rtl/>
        </w:rPr>
        <w:t>גבי כחל בדידיה משערינן דאי במאי דנפק מיניה מנא ידעינן והכי נמי דכוותה</w:t>
      </w:r>
      <w:r>
        <w:rPr>
          <w:rFonts w:cs="Arial" w:hint="cs"/>
          <w:rtl/>
        </w:rPr>
        <w:t>,</w:t>
      </w:r>
      <w:r w:rsidRPr="00B41BE4">
        <w:rPr>
          <w:rFonts w:cs="Arial"/>
          <w:rtl/>
        </w:rPr>
        <w:t xml:space="preserve"> הילכך ודאי דברי הרשב"א עיקר</w:t>
      </w:r>
      <w:r w:rsidRPr="00B801D1">
        <w:rPr>
          <w:rFonts w:cs="Arial" w:hint="cs"/>
          <w:sz w:val="16"/>
          <w:szCs w:val="16"/>
          <w:rtl/>
        </w:rPr>
        <w:t xml:space="preserve"> </w:t>
      </w:r>
      <w:r>
        <w:rPr>
          <w:rFonts w:cs="Arial" w:hint="cs"/>
          <w:sz w:val="16"/>
          <w:szCs w:val="16"/>
          <w:rtl/>
        </w:rPr>
        <w:t xml:space="preserve">(הדרכ"מ </w:t>
      </w:r>
      <w:r w:rsidRPr="00B801D1">
        <w:rPr>
          <w:rFonts w:cs="Arial"/>
          <w:sz w:val="16"/>
          <w:szCs w:val="16"/>
          <w:rtl/>
        </w:rPr>
        <w:t>(</w:t>
      </w:r>
      <w:r>
        <w:rPr>
          <w:rFonts w:cs="Arial" w:hint="cs"/>
          <w:sz w:val="16"/>
          <w:szCs w:val="16"/>
          <w:rtl/>
        </w:rPr>
        <w:t xml:space="preserve">אות </w:t>
      </w:r>
      <w:r w:rsidRPr="00B801D1">
        <w:rPr>
          <w:rFonts w:cs="Arial"/>
          <w:sz w:val="16"/>
          <w:szCs w:val="16"/>
          <w:rtl/>
        </w:rPr>
        <w:t xml:space="preserve">א) </w:t>
      </w:r>
      <w:r>
        <w:rPr>
          <w:rFonts w:cs="Arial" w:hint="cs"/>
          <w:sz w:val="16"/>
          <w:szCs w:val="16"/>
          <w:rtl/>
        </w:rPr>
        <w:t xml:space="preserve">כתב לתרץ דברי הטור </w:t>
      </w:r>
      <w:r w:rsidRPr="00B801D1">
        <w:rPr>
          <w:rFonts w:cs="Arial"/>
          <w:sz w:val="16"/>
          <w:szCs w:val="16"/>
          <w:rtl/>
        </w:rPr>
        <w:t>דס"ל דגבי טיפה שנפלה לא חיישינן להא דהא אילו ניער וכיסה הקדירה מיד אז החתיכה ג"כ מותרת כדלעיל סימן צ"ב (טור עמ' תה) ולא חיישינן שמא נשאר מן האיסור בחתיכה והוא הדין כאן</w:t>
      </w:r>
      <w:r w:rsidRPr="00B801D1">
        <w:rPr>
          <w:rFonts w:cs="Arial" w:hint="cs"/>
          <w:sz w:val="16"/>
          <w:szCs w:val="16"/>
          <w:rtl/>
        </w:rPr>
        <w:t>)</w:t>
      </w:r>
      <w:r>
        <w:rPr>
          <w:rFonts w:cs="Arial" w:hint="cs"/>
          <w:rtl/>
        </w:rPr>
        <w:t>,</w:t>
      </w:r>
      <w:r w:rsidRPr="00B41BE4">
        <w:rPr>
          <w:rFonts w:cs="Arial"/>
          <w:rtl/>
        </w:rPr>
        <w:t xml:space="preserve"> ודברים אלו לא מפי עצמו אמרן אלא מפי רבינו אפרים וכמ"ש בחדושיו פכ"ה </w:t>
      </w:r>
      <w:r w:rsidRPr="004A641C">
        <w:rPr>
          <w:rFonts w:cs="Arial"/>
          <w:sz w:val="16"/>
          <w:szCs w:val="16"/>
          <w:rtl/>
        </w:rPr>
        <w:t>(קח: ד"ה קסבר אפשר)</w:t>
      </w:r>
      <w:r>
        <w:rPr>
          <w:rFonts w:cs="Arial" w:hint="cs"/>
          <w:rtl/>
        </w:rPr>
        <w:t>,</w:t>
      </w:r>
      <w:r w:rsidRPr="00B41BE4">
        <w:rPr>
          <w:rFonts w:cs="Arial"/>
          <w:rtl/>
        </w:rPr>
        <w:t xml:space="preserve"> וטעמא דמילתא משמע בתו</w:t>
      </w:r>
      <w:r>
        <w:rPr>
          <w:rFonts w:cs="Arial" w:hint="cs"/>
          <w:rtl/>
        </w:rPr>
        <w:t>ה"א</w:t>
      </w:r>
      <w:r w:rsidRPr="00B41BE4">
        <w:rPr>
          <w:rFonts w:cs="Arial"/>
          <w:rtl/>
        </w:rPr>
        <w:t xml:space="preserve"> </w:t>
      </w:r>
      <w:r w:rsidRPr="004A641C">
        <w:rPr>
          <w:rFonts w:cs="Arial"/>
          <w:sz w:val="16"/>
          <w:szCs w:val="16"/>
          <w:rtl/>
        </w:rPr>
        <w:t xml:space="preserve">(ב"ד ש"א ח.) </w:t>
      </w:r>
      <w:r w:rsidRPr="00B41BE4">
        <w:rPr>
          <w:rFonts w:cs="Arial"/>
          <w:rtl/>
        </w:rPr>
        <w:t>דהיינו משום דכיון דחתיכה זו נאסרה א"א לה לחזור להיתרה אא"כ יהיה ברור לנו שיצא איסור זה ממנה ונתפשט בה ובכל החתיכות בשוה כמו שהוא בדבר הנבלל ונמוח</w:t>
      </w:r>
      <w:r>
        <w:rPr>
          <w:rFonts w:cs="Arial" w:hint="cs"/>
          <w:rtl/>
        </w:rPr>
        <w:t>,</w:t>
      </w:r>
      <w:r w:rsidRPr="00B41BE4">
        <w:rPr>
          <w:rFonts w:cs="Arial"/>
          <w:rtl/>
        </w:rPr>
        <w:t xml:space="preserve"> וכיון שבדבר שאינו נבלל ונמוח אין אנו יכולין לומר כן אדרבה משמע דברור לנו שנשאר בחתיכה זו יותר חלק איסור ממה שנבלע בחתיכות אחרות הילכך לא יצתה חתיכה זו מאיסורא</w:t>
      </w:r>
      <w:r>
        <w:rPr>
          <w:rFonts w:cs="Arial" w:hint="cs"/>
          <w:rtl/>
        </w:rPr>
        <w:t>.</w:t>
      </w:r>
      <w:r>
        <w:rPr>
          <w:rFonts w:hint="cs"/>
          <w:rtl/>
        </w:rPr>
        <w:t xml:space="preserve"> </w:t>
      </w:r>
      <w:r w:rsidRPr="009C42DC">
        <w:rPr>
          <w:rFonts w:hint="cs"/>
          <w:color w:val="FF0000"/>
          <w:rtl/>
        </w:rPr>
        <w:t>(צל"ע שוב בט"ז סק"א)</w:t>
      </w:r>
    </w:p>
  </w:footnote>
  <w:footnote w:id="2281">
    <w:p w14:paraId="2666F3F8" w14:textId="77777777" w:rsidR="004C5A3C" w:rsidRDefault="004C5A3C" w:rsidP="002C39F4">
      <w:pPr>
        <w:pStyle w:val="a5"/>
        <w:rPr>
          <w:rtl/>
        </w:rPr>
      </w:pPr>
      <w:r>
        <w:rPr>
          <w:rStyle w:val="a7"/>
        </w:rPr>
        <w:footnoteRef/>
      </w:r>
      <w:r>
        <w:rPr>
          <w:rtl/>
        </w:rPr>
        <w:t xml:space="preserve"> </w:t>
      </w:r>
      <w:r w:rsidRPr="009C42DC">
        <w:rPr>
          <w:rFonts w:cs="Arial"/>
          <w:rtl/>
        </w:rPr>
        <w:t>היינו לדעת המחבר דס"ל דלא אמרינן חנ"נ בשאר איסורים משא"כ לדידן וכמו שמבאר הרב והולך</w:t>
      </w:r>
      <w:r>
        <w:rPr>
          <w:rFonts w:cs="Arial" w:hint="cs"/>
          <w:rtl/>
        </w:rPr>
        <w:t>...</w:t>
      </w:r>
      <w:r>
        <w:rPr>
          <w:rFonts w:hint="cs"/>
          <w:rtl/>
        </w:rPr>
        <w:t>, ש"ך (סק"א).</w:t>
      </w:r>
    </w:p>
  </w:footnote>
  <w:footnote w:id="2282">
    <w:p w14:paraId="56AA3727" w14:textId="77777777" w:rsidR="004C5A3C" w:rsidRDefault="004C5A3C" w:rsidP="002C39F4">
      <w:pPr>
        <w:pStyle w:val="a5"/>
        <w:rPr>
          <w:rtl/>
        </w:rPr>
      </w:pPr>
      <w:r>
        <w:rPr>
          <w:rStyle w:val="a7"/>
        </w:rPr>
        <w:footnoteRef/>
      </w:r>
      <w:r>
        <w:rPr>
          <w:rtl/>
        </w:rPr>
        <w:t xml:space="preserve"> </w:t>
      </w:r>
      <w:r w:rsidRPr="009C42DC">
        <w:rPr>
          <w:rFonts w:cs="Arial"/>
          <w:rtl/>
        </w:rPr>
        <w:t>כ"כ הרשב"א בת</w:t>
      </w:r>
      <w:r>
        <w:rPr>
          <w:rFonts w:cs="Arial" w:hint="cs"/>
          <w:rtl/>
        </w:rPr>
        <w:t>ו</w:t>
      </w:r>
      <w:r w:rsidRPr="009C42DC">
        <w:rPr>
          <w:rFonts w:cs="Arial"/>
          <w:rtl/>
        </w:rPr>
        <w:t>ה"א</w:t>
      </w:r>
      <w:r>
        <w:rPr>
          <w:rFonts w:cs="Arial" w:hint="cs"/>
          <w:rtl/>
        </w:rPr>
        <w:t xml:space="preserve"> (ב"ד ש"א ח א) </w:t>
      </w:r>
      <w:r w:rsidRPr="009C42DC">
        <w:rPr>
          <w:rFonts w:cs="Arial"/>
          <w:rtl/>
        </w:rPr>
        <w:t>דאפי' לרבינו אפרים וסייעתו דלא אמרינן חנ"נ בשאר איסורים אפשר לסוחטו אסור והחתיכה עצמה לעולם אסורה</w:t>
      </w:r>
      <w:r>
        <w:rPr>
          <w:rFonts w:cs="Arial" w:hint="cs"/>
          <w:rtl/>
        </w:rPr>
        <w:t>,</w:t>
      </w:r>
      <w:r w:rsidRPr="009C42DC">
        <w:rPr>
          <w:rFonts w:cs="Arial"/>
          <w:rtl/>
        </w:rPr>
        <w:t xml:space="preserve"> וכ"כ הרבה פוסקים וכן הסכמת האחרונים </w:t>
      </w:r>
      <w:r>
        <w:rPr>
          <w:rFonts w:cs="Arial" w:hint="cs"/>
          <w:rtl/>
        </w:rPr>
        <w:t>,</w:t>
      </w:r>
      <w:r w:rsidRPr="009C42DC">
        <w:rPr>
          <w:rFonts w:cs="Arial"/>
          <w:rtl/>
        </w:rPr>
        <w:t>ויש פוסקים דה"ה אפשר לסוחטו נמי מותר</w:t>
      </w:r>
      <w:r>
        <w:rPr>
          <w:rFonts w:cs="Arial" w:hint="cs"/>
          <w:rtl/>
        </w:rPr>
        <w:t>,</w:t>
      </w:r>
      <w:r w:rsidRPr="009C42DC">
        <w:rPr>
          <w:rFonts w:cs="Arial"/>
          <w:rtl/>
        </w:rPr>
        <w:t xml:space="preserve"> ולא קי"ל הכי</w:t>
      </w:r>
      <w:r>
        <w:rPr>
          <w:rFonts w:cs="Arial" w:hint="cs"/>
          <w:rtl/>
        </w:rPr>
        <w:t>,</w:t>
      </w:r>
      <w:r w:rsidRPr="009C42DC">
        <w:rPr>
          <w:rFonts w:cs="Arial"/>
          <w:rtl/>
        </w:rPr>
        <w:t xml:space="preserve"> מיהו לדידן דקי"ל חנ"נ בכל האיסורים פשיטא דלכ</w:t>
      </w:r>
      <w:r>
        <w:rPr>
          <w:rFonts w:cs="Arial" w:hint="cs"/>
          <w:rtl/>
        </w:rPr>
        <w:t>ו</w:t>
      </w:r>
      <w:r w:rsidRPr="009C42DC">
        <w:rPr>
          <w:rFonts w:cs="Arial"/>
          <w:rtl/>
        </w:rPr>
        <w:t>"ע החתיכה לעולם אסורה</w:t>
      </w:r>
      <w:r>
        <w:rPr>
          <w:rFonts w:hint="cs"/>
          <w:rtl/>
        </w:rPr>
        <w:t>, ש"ך (סק"ב).</w:t>
      </w:r>
    </w:p>
  </w:footnote>
  <w:footnote w:id="2283">
    <w:p w14:paraId="5B12A6A3" w14:textId="77777777" w:rsidR="004C5A3C" w:rsidRPr="00A35445" w:rsidRDefault="004C5A3C" w:rsidP="002C39F4">
      <w:pPr>
        <w:pStyle w:val="a5"/>
        <w:rPr>
          <w:rtl/>
        </w:rPr>
      </w:pPr>
      <w:r w:rsidRPr="00A35445">
        <w:rPr>
          <w:rStyle w:val="a7"/>
        </w:rPr>
        <w:footnoteRef/>
      </w:r>
      <w:r w:rsidRPr="00A35445">
        <w:rPr>
          <w:rtl/>
        </w:rPr>
        <w:t xml:space="preserve"> </w:t>
      </w:r>
      <w:r w:rsidRPr="00A35445">
        <w:rPr>
          <w:rFonts w:asciiTheme="minorBidi" w:hAnsiTheme="minorBidi"/>
          <w:rtl/>
        </w:rPr>
        <w:t xml:space="preserve">רשב"א ותוס' </w:t>
      </w:r>
      <w:r>
        <w:rPr>
          <w:rFonts w:asciiTheme="minorBidi" w:hAnsiTheme="minorBidi" w:hint="cs"/>
          <w:rtl/>
        </w:rPr>
        <w:t>(</w:t>
      </w:r>
      <w:r w:rsidRPr="00A35445">
        <w:rPr>
          <w:rFonts w:asciiTheme="minorBidi" w:hAnsiTheme="minorBidi"/>
          <w:rtl/>
        </w:rPr>
        <w:t>פג"ה</w:t>
      </w:r>
      <w:r>
        <w:rPr>
          <w:rFonts w:asciiTheme="minorBidi" w:hAnsiTheme="minorBidi" w:hint="cs"/>
          <w:rtl/>
        </w:rPr>
        <w:t xml:space="preserve"> </w:t>
      </w:r>
      <w:r w:rsidRPr="00A35445">
        <w:rPr>
          <w:rFonts w:asciiTheme="minorBidi" w:hAnsiTheme="minorBidi"/>
          <w:rtl/>
        </w:rPr>
        <w:t>ק</w:t>
      </w:r>
      <w:r>
        <w:rPr>
          <w:rFonts w:asciiTheme="minorBidi" w:hAnsiTheme="minorBidi" w:hint="cs"/>
          <w:rtl/>
        </w:rPr>
        <w:t>.)</w:t>
      </w:r>
      <w:r w:rsidRPr="00A35445">
        <w:rPr>
          <w:rFonts w:asciiTheme="minorBidi" w:hAnsiTheme="minorBidi"/>
          <w:rtl/>
        </w:rPr>
        <w:t xml:space="preserve"> ורא"ש ומרדכי שם וסמ"ג </w:t>
      </w:r>
      <w:r>
        <w:rPr>
          <w:rFonts w:asciiTheme="minorBidi" w:hAnsiTheme="minorBidi" w:hint="cs"/>
          <w:rtl/>
        </w:rPr>
        <w:t>(</w:t>
      </w:r>
      <w:r w:rsidRPr="00A35445">
        <w:rPr>
          <w:rFonts w:asciiTheme="minorBidi" w:hAnsiTheme="minorBidi"/>
          <w:rtl/>
        </w:rPr>
        <w:t>דף נ"א ע"ג</w:t>
      </w:r>
      <w:r>
        <w:rPr>
          <w:rFonts w:asciiTheme="minorBidi" w:hAnsiTheme="minorBidi" w:hint="cs"/>
          <w:rtl/>
        </w:rPr>
        <w:t>)</w:t>
      </w:r>
      <w:r w:rsidRPr="00A35445">
        <w:rPr>
          <w:rFonts w:asciiTheme="minorBidi" w:hAnsiTheme="minorBidi"/>
          <w:rtl/>
        </w:rPr>
        <w:t xml:space="preserve"> וסה"ת </w:t>
      </w:r>
      <w:r>
        <w:rPr>
          <w:rFonts w:asciiTheme="minorBidi" w:hAnsiTheme="minorBidi" w:hint="cs"/>
          <w:rtl/>
        </w:rPr>
        <w:t>(</w:t>
      </w:r>
      <w:r w:rsidRPr="00A35445">
        <w:rPr>
          <w:rFonts w:asciiTheme="minorBidi" w:hAnsiTheme="minorBidi"/>
          <w:rtl/>
        </w:rPr>
        <w:t>סי' נב</w:t>
      </w:r>
      <w:r>
        <w:rPr>
          <w:rFonts w:asciiTheme="minorBidi" w:hAnsiTheme="minorBidi" w:hint="cs"/>
          <w:rtl/>
        </w:rPr>
        <w:t>)</w:t>
      </w:r>
      <w:r w:rsidRPr="00A35445">
        <w:rPr>
          <w:rFonts w:asciiTheme="minorBidi" w:hAnsiTheme="minorBidi"/>
          <w:rtl/>
        </w:rPr>
        <w:t xml:space="preserve"> וכ"ה בלשון ר' אפרים גופיה שבחדושי רשב"א </w:t>
      </w:r>
      <w:r>
        <w:rPr>
          <w:rFonts w:asciiTheme="minorBidi" w:hAnsiTheme="minorBidi" w:hint="cs"/>
          <w:rtl/>
        </w:rPr>
        <w:t>(</w:t>
      </w:r>
      <w:r w:rsidRPr="00A35445">
        <w:rPr>
          <w:rFonts w:asciiTheme="minorBidi" w:hAnsiTheme="minorBidi"/>
          <w:rtl/>
        </w:rPr>
        <w:t>קח</w:t>
      </w:r>
      <w:r>
        <w:rPr>
          <w:rFonts w:asciiTheme="minorBidi" w:hAnsiTheme="minorBidi" w:hint="cs"/>
          <w:rtl/>
        </w:rPr>
        <w:t>.)</w:t>
      </w:r>
      <w:r w:rsidRPr="00A35445">
        <w:rPr>
          <w:rFonts w:asciiTheme="minorBidi" w:hAnsiTheme="minorBidi"/>
          <w:rtl/>
        </w:rPr>
        <w:t xml:space="preserve"> ושבסוף ספר ראב"ן וכ"כ מהרש"ל </w:t>
      </w:r>
      <w:r>
        <w:rPr>
          <w:rFonts w:asciiTheme="minorBidi" w:hAnsiTheme="minorBidi" w:hint="cs"/>
          <w:rtl/>
        </w:rPr>
        <w:t>(</w:t>
      </w:r>
      <w:r w:rsidRPr="00A35445">
        <w:rPr>
          <w:rFonts w:asciiTheme="minorBidi" w:hAnsiTheme="minorBidi"/>
          <w:rtl/>
        </w:rPr>
        <w:t>פג"ה סי' נז</w:t>
      </w:r>
      <w:r>
        <w:rPr>
          <w:rFonts w:asciiTheme="minorBidi" w:hAnsiTheme="minorBidi" w:hint="cs"/>
          <w:rtl/>
        </w:rPr>
        <w:t>)</w:t>
      </w:r>
      <w:r w:rsidRPr="00A35445">
        <w:rPr>
          <w:rFonts w:asciiTheme="minorBidi" w:hAnsiTheme="minorBidi"/>
          <w:rtl/>
        </w:rPr>
        <w:t xml:space="preserve"> וכל האחרונים</w:t>
      </w:r>
      <w:r>
        <w:rPr>
          <w:rFonts w:hint="cs"/>
          <w:rtl/>
        </w:rPr>
        <w:t>, ציונים לרמ"א</w:t>
      </w:r>
      <w:r w:rsidRPr="00A35445">
        <w:rPr>
          <w:rFonts w:hint="cs"/>
          <w:rtl/>
        </w:rPr>
        <w:t>.</w:t>
      </w:r>
    </w:p>
  </w:footnote>
  <w:footnote w:id="2284">
    <w:p w14:paraId="758FA263" w14:textId="77777777" w:rsidR="004C5A3C" w:rsidRDefault="004C5A3C" w:rsidP="002C39F4">
      <w:pPr>
        <w:pStyle w:val="a5"/>
      </w:pPr>
      <w:r>
        <w:rPr>
          <w:rStyle w:val="a7"/>
        </w:rPr>
        <w:footnoteRef/>
      </w:r>
      <w:r>
        <w:rPr>
          <w:rtl/>
        </w:rPr>
        <w:t xml:space="preserve"> </w:t>
      </w:r>
      <w:r w:rsidRPr="0023326A">
        <w:rPr>
          <w:rFonts w:cs="Arial"/>
          <w:rtl/>
        </w:rPr>
        <w:t>פי' וגם בנתערב איסור לח בהיתר לח אמרינן חנ"נ בשאר איסורים במקום שאין הפסד גדול</w:t>
      </w:r>
      <w:r>
        <w:rPr>
          <w:rFonts w:cs="Arial" w:hint="cs"/>
          <w:rtl/>
        </w:rPr>
        <w:t>,</w:t>
      </w:r>
      <w:r w:rsidRPr="0023326A">
        <w:rPr>
          <w:rFonts w:cs="Arial"/>
          <w:rtl/>
        </w:rPr>
        <w:t xml:space="preserve"> וכמ"ש בהג"ה סי' צ"ב ס"ד</w:t>
      </w:r>
      <w:r>
        <w:rPr>
          <w:rFonts w:cs="Arial" w:hint="cs"/>
          <w:rtl/>
        </w:rPr>
        <w:t>,</w:t>
      </w:r>
      <w:r w:rsidRPr="0023326A">
        <w:rPr>
          <w:rFonts w:cs="Arial"/>
          <w:rtl/>
        </w:rPr>
        <w:t xml:space="preserve"> אין חילוק כו'</w:t>
      </w:r>
      <w:r>
        <w:rPr>
          <w:rFonts w:cs="Arial" w:hint="cs"/>
          <w:rtl/>
        </w:rPr>
        <w:t>, ש"ך (סק"ג).</w:t>
      </w:r>
    </w:p>
  </w:footnote>
  <w:footnote w:id="2285">
    <w:p w14:paraId="2255B4BD" w14:textId="77777777" w:rsidR="004C5A3C" w:rsidRDefault="004C5A3C" w:rsidP="002C39F4">
      <w:pPr>
        <w:pStyle w:val="a5"/>
        <w:rPr>
          <w:rtl/>
        </w:rPr>
      </w:pPr>
      <w:r>
        <w:rPr>
          <w:rStyle w:val="a7"/>
        </w:rPr>
        <w:footnoteRef/>
      </w:r>
      <w:r>
        <w:rPr>
          <w:rtl/>
        </w:rPr>
        <w:t xml:space="preserve"> </w:t>
      </w:r>
      <w:r w:rsidRPr="0023326A">
        <w:rPr>
          <w:rFonts w:cs="Arial"/>
          <w:rtl/>
        </w:rPr>
        <w:t>לכאורה משמע דקאי אשאר איסורים דעסיק ביה וקשה דא"כ אפי' יהיה חה"ל בטילה כיון דאין איסורה מחמת עצמה וכמו שנתבאר בר"ס ק"א וצ"ל דהמשך ל' הרב כך הוא ולפי מה שנוהגים לומר בכל האיסורים חנ"נ א"כ כל האיסורים דינן שוה לבשר בחלב ולעולם אין חילוק ביניהם לענין לח ויבש רק לענין דאם הנאסר כבר הוא דבר יבש ויש ס' כנגדו דאז בין בבשר בחלב בין בשאר איסורים חתיכה הנאסרת תחלה נשארת באיסורה וצריך להסירה משם אם מכירה ואם אינו מכירה בטלה אפי' בבשר בחלב אם אינה ראויה להתכבד דאילו ראויה להתכבד בבשר בחלב לא בטלה דחשיב איסור מגופו כיון שכל אחד בפני עצמו מותר וכמו שנתבאר בר"ס ק"א ואם הוא דבר לח בין בבשר בחלב בין בשאר איסורים הכל מותר אי איכא ששים נגד מה שנאסר תחלה מיהו הא דבעינן ששים נגד כל מה שנאסר בתחלה בדבר לח היינו במקום שאין הפסד גדול אבל במקום הפסד גדול לא אמרינן בכה"ג חנ"נ בשאר איסורים רק בבשר בחלב וכמ"ש הרב בסי' צ"ב ס"ד</w:t>
      </w:r>
      <w:r>
        <w:rPr>
          <w:rFonts w:hint="cs"/>
          <w:rtl/>
        </w:rPr>
        <w:t>, ש"ך (סק"ד).</w:t>
      </w:r>
    </w:p>
  </w:footnote>
  <w:footnote w:id="2286">
    <w:p w14:paraId="4D038B67" w14:textId="77777777" w:rsidR="004C5A3C" w:rsidRPr="0023326A" w:rsidRDefault="004C5A3C" w:rsidP="002C39F4">
      <w:pPr>
        <w:pStyle w:val="a5"/>
        <w:rPr>
          <w:rFonts w:cs="Arial"/>
          <w:rtl/>
        </w:rPr>
      </w:pPr>
      <w:r>
        <w:rPr>
          <w:rStyle w:val="a7"/>
        </w:rPr>
        <w:footnoteRef/>
      </w:r>
      <w:r>
        <w:rPr>
          <w:rtl/>
        </w:rPr>
        <w:t xml:space="preserve"> </w:t>
      </w:r>
      <w:r>
        <w:rPr>
          <w:rFonts w:cs="Arial" w:hint="cs"/>
          <w:rtl/>
        </w:rPr>
        <w:t xml:space="preserve">וכ' הטור- </w:t>
      </w:r>
      <w:r w:rsidRPr="00B801D1">
        <w:rPr>
          <w:rFonts w:cs="Arial"/>
          <w:rtl/>
        </w:rPr>
        <w:t xml:space="preserve">וזה לפי סברתו שאף לאחר שנתבטלה לא חזר להיתרה אבל לפמ"ש שלאחר שנתבטל האיסור שבה </w:t>
      </w:r>
      <w:r>
        <w:rPr>
          <w:rFonts w:cs="Arial" w:hint="cs"/>
          <w:rtl/>
        </w:rPr>
        <w:t xml:space="preserve">בששים </w:t>
      </w:r>
      <w:r w:rsidRPr="00B801D1">
        <w:rPr>
          <w:rFonts w:cs="Arial"/>
          <w:rtl/>
        </w:rPr>
        <w:t>אינו אוסר</w:t>
      </w:r>
      <w:r>
        <w:rPr>
          <w:rFonts w:cs="Arial" w:hint="cs"/>
          <w:rtl/>
        </w:rPr>
        <w:t>ה</w:t>
      </w:r>
      <w:r w:rsidRPr="00B801D1">
        <w:rPr>
          <w:rFonts w:cs="Arial"/>
          <w:rtl/>
        </w:rPr>
        <w:t xml:space="preserve"> </w:t>
      </w:r>
      <w:r>
        <w:rPr>
          <w:rFonts w:cs="Arial" w:hint="cs"/>
          <w:rtl/>
        </w:rPr>
        <w:t xml:space="preserve">עוד </w:t>
      </w:r>
      <w:r w:rsidRPr="00B801D1">
        <w:rPr>
          <w:rFonts w:cs="Arial"/>
          <w:rtl/>
        </w:rPr>
        <w:t>וחוזר</w:t>
      </w:r>
      <w:r>
        <w:rPr>
          <w:rFonts w:cs="Arial" w:hint="cs"/>
          <w:rtl/>
        </w:rPr>
        <w:t>ת</w:t>
      </w:r>
      <w:r w:rsidRPr="00B801D1">
        <w:rPr>
          <w:rFonts w:cs="Arial"/>
          <w:rtl/>
        </w:rPr>
        <w:t xml:space="preserve"> להיתרה אין לחוש</w:t>
      </w:r>
      <w:r>
        <w:rPr>
          <w:rFonts w:cs="Arial" w:hint="cs"/>
          <w:rtl/>
        </w:rPr>
        <w:t>,</w:t>
      </w:r>
      <w:r w:rsidRPr="00B801D1">
        <w:rPr>
          <w:rFonts w:cs="Arial"/>
          <w:rtl/>
        </w:rPr>
        <w:t xml:space="preserve"> ומ"מ יש לחלק א</w:t>
      </w:r>
      <w:r w:rsidRPr="00B801D1">
        <w:rPr>
          <w:rFonts w:cs="Arial" w:hint="cs"/>
          <w:rtl/>
        </w:rPr>
        <w:t>ע"פ</w:t>
      </w:r>
      <w:r w:rsidRPr="00B801D1">
        <w:rPr>
          <w:rFonts w:cs="Arial"/>
          <w:rtl/>
        </w:rPr>
        <w:t xml:space="preserve"> שחתיכה שבלעה איסור מתבטל האיסור שבה בס' ואינו אוסר עוד</w:t>
      </w:r>
      <w:r w:rsidRPr="00B801D1">
        <w:rPr>
          <w:rFonts w:cs="Arial" w:hint="cs"/>
          <w:rtl/>
        </w:rPr>
        <w:t>,</w:t>
      </w:r>
      <w:r w:rsidRPr="00B801D1">
        <w:rPr>
          <w:rFonts w:cs="Arial"/>
          <w:rtl/>
        </w:rPr>
        <w:t xml:space="preserve"> חתיכה שחלב שבה הוא בעין אינו מתבטל ואע</w:t>
      </w:r>
      <w:r w:rsidRPr="00B801D1">
        <w:rPr>
          <w:rFonts w:cs="Arial" w:hint="cs"/>
          <w:rtl/>
        </w:rPr>
        <w:t>"</w:t>
      </w:r>
      <w:r w:rsidRPr="00B801D1">
        <w:rPr>
          <w:rFonts w:cs="Arial"/>
          <w:rtl/>
        </w:rPr>
        <w:t>פ שיש ס' כנגדו חוזר ואוסר</w:t>
      </w:r>
      <w:r>
        <w:rPr>
          <w:rFonts w:cs="Arial" w:hint="cs"/>
          <w:rtl/>
        </w:rPr>
        <w:t>, עכ"ל</w:t>
      </w:r>
      <w:r w:rsidRPr="00B801D1">
        <w:rPr>
          <w:rFonts w:cs="Arial" w:hint="cs"/>
          <w:rtl/>
        </w:rPr>
        <w:t>.</w:t>
      </w:r>
      <w:r>
        <w:rPr>
          <w:rFonts w:cs="Arial" w:hint="cs"/>
          <w:rtl/>
        </w:rPr>
        <w:t xml:space="preserve"> וכ' הב"י ש</w:t>
      </w:r>
      <w:r>
        <w:rPr>
          <w:rFonts w:cs="Arial"/>
          <w:rtl/>
        </w:rPr>
        <w:t>דברי הרשב"א נכונים וברורים בטעמם</w:t>
      </w:r>
      <w:r>
        <w:rPr>
          <w:rFonts w:hint="cs"/>
          <w:rtl/>
        </w:rPr>
        <w:t>..</w:t>
      </w:r>
      <w:r>
        <w:rPr>
          <w:rFonts w:cs="Arial" w:hint="cs"/>
          <w:rtl/>
        </w:rPr>
        <w:t>.</w:t>
      </w:r>
      <w:r w:rsidRPr="006F67AA">
        <w:rPr>
          <w:rFonts w:cs="Arial"/>
          <w:rtl/>
        </w:rPr>
        <w:t xml:space="preserve"> </w:t>
      </w:r>
      <w:r>
        <w:rPr>
          <w:rFonts w:cs="Arial" w:hint="cs"/>
          <w:rtl/>
        </w:rPr>
        <w:t>ו</w:t>
      </w:r>
      <w:r>
        <w:rPr>
          <w:rFonts w:cs="Arial"/>
          <w:rtl/>
        </w:rPr>
        <w:t>כבר הוכחתי דדברי הרשב"א עיקר</w:t>
      </w:r>
      <w:r>
        <w:rPr>
          <w:rFonts w:cs="Arial" w:hint="cs"/>
          <w:rtl/>
        </w:rPr>
        <w:t>,</w:t>
      </w:r>
      <w:r>
        <w:rPr>
          <w:rFonts w:cs="Arial"/>
          <w:rtl/>
        </w:rPr>
        <w:t xml:space="preserve"> ואף לפי דברי רבינו בההיא</w:t>
      </w:r>
      <w:r>
        <w:rPr>
          <w:rFonts w:cs="Arial" w:hint="cs"/>
          <w:rtl/>
        </w:rPr>
        <w:t xml:space="preserve"> -</w:t>
      </w:r>
      <w:r>
        <w:rPr>
          <w:rFonts w:cs="Arial"/>
          <w:rtl/>
        </w:rPr>
        <w:t xml:space="preserve"> אינה ענין לדין זה</w:t>
      </w:r>
      <w:r>
        <w:rPr>
          <w:rFonts w:cs="Arial" w:hint="cs"/>
          <w:rtl/>
        </w:rPr>
        <w:t>,</w:t>
      </w:r>
      <w:r>
        <w:rPr>
          <w:rFonts w:cs="Arial"/>
          <w:rtl/>
        </w:rPr>
        <w:t xml:space="preserve"> וכמ"ש הוא עצמו ומ"מ יש לחלק וכו'</w:t>
      </w:r>
      <w:r>
        <w:rPr>
          <w:rFonts w:cs="Arial" w:hint="cs"/>
          <w:rtl/>
        </w:rPr>
        <w:t>,</w:t>
      </w:r>
      <w:r>
        <w:rPr>
          <w:rFonts w:cs="Arial"/>
          <w:rtl/>
        </w:rPr>
        <w:t xml:space="preserve"> והוא דבר פשוט ולא ניתן ליכתב לרוב פשיטותו</w:t>
      </w:r>
      <w:r>
        <w:rPr>
          <w:rFonts w:hint="cs"/>
          <w:rtl/>
        </w:rPr>
        <w:t>, עכ"ל.</w:t>
      </w:r>
      <w:r w:rsidRPr="006F67AA">
        <w:rPr>
          <w:rtl/>
        </w:rPr>
        <w:t xml:space="preserve"> </w:t>
      </w:r>
      <w:r>
        <w:rPr>
          <w:rFonts w:hint="cs"/>
          <w:rtl/>
        </w:rPr>
        <w:t xml:space="preserve">וכ' הדרכ"מ </w:t>
      </w:r>
      <w:r w:rsidRPr="006F67AA">
        <w:rPr>
          <w:rFonts w:cs="Arial"/>
          <w:rtl/>
        </w:rPr>
        <w:t>(</w:t>
      </w:r>
      <w:r>
        <w:rPr>
          <w:rFonts w:cs="Arial" w:hint="cs"/>
          <w:rtl/>
        </w:rPr>
        <w:t xml:space="preserve">אות </w:t>
      </w:r>
      <w:r w:rsidRPr="006F67AA">
        <w:rPr>
          <w:rFonts w:cs="Arial"/>
          <w:rtl/>
        </w:rPr>
        <w:t>ב)</w:t>
      </w:r>
      <w:r>
        <w:rPr>
          <w:rFonts w:cs="Arial" w:hint="cs"/>
          <w:rtl/>
        </w:rPr>
        <w:t xml:space="preserve">- </w:t>
      </w:r>
      <w:r w:rsidRPr="006F67AA">
        <w:rPr>
          <w:rFonts w:cs="Arial"/>
          <w:rtl/>
        </w:rPr>
        <w:t>ולפי מ"ש דנהגו בכל איסורים חנ"נ דבר פשוט שאסור להסיר משם דבר עד שיסיר תחלה לכל החתיכה אלא מסיר האיסור ואין צריך להמתין עד שיצטנן</w:t>
      </w:r>
      <w:r>
        <w:rPr>
          <w:rFonts w:cs="Arial" w:hint="cs"/>
          <w:rtl/>
        </w:rPr>
        <w:t>.</w:t>
      </w:r>
    </w:p>
  </w:footnote>
  <w:footnote w:id="2287">
    <w:p w14:paraId="1C07D8F8" w14:textId="77777777" w:rsidR="004C5A3C" w:rsidRDefault="004C5A3C" w:rsidP="002C39F4">
      <w:pPr>
        <w:pStyle w:val="a5"/>
      </w:pPr>
      <w:r>
        <w:rPr>
          <w:rStyle w:val="a7"/>
        </w:rPr>
        <w:footnoteRef/>
      </w:r>
      <w:r>
        <w:rPr>
          <w:rtl/>
        </w:rPr>
        <w:t xml:space="preserve"> </w:t>
      </w:r>
      <w:r w:rsidRPr="0023326A">
        <w:rPr>
          <w:rFonts w:cs="Arial"/>
          <w:rtl/>
        </w:rPr>
        <w:t>לדידן דקיימא לן חנ"נ בכל האיסורים וכן באיסור דבוק צריך ששים נגד כל החתיכה ה"ה הכא צריך ששים נגד כל החתיכה שהחלב דבוק בה ואפי' הכי החתיכה עצמה אסורה</w:t>
      </w:r>
      <w:r>
        <w:rPr>
          <w:rFonts w:cs="Arial" w:hint="cs"/>
          <w:rtl/>
        </w:rPr>
        <w:t>, ש"ך (סק"ה).</w:t>
      </w:r>
    </w:p>
  </w:footnote>
  <w:footnote w:id="2288">
    <w:p w14:paraId="741B60CE" w14:textId="77777777" w:rsidR="004C5A3C" w:rsidRDefault="004C5A3C" w:rsidP="002C39F4">
      <w:pPr>
        <w:pStyle w:val="a5"/>
      </w:pPr>
      <w:r>
        <w:rPr>
          <w:rStyle w:val="a7"/>
        </w:rPr>
        <w:footnoteRef/>
      </w:r>
      <w:r>
        <w:rPr>
          <w:rtl/>
        </w:rPr>
        <w:t xml:space="preserve"> </w:t>
      </w:r>
      <w:r w:rsidRPr="0023326A">
        <w:rPr>
          <w:rFonts w:cs="Arial"/>
          <w:rtl/>
        </w:rPr>
        <w:t>פי' כשיוציאה ותהיה חמה א</w:t>
      </w:r>
      <w:r>
        <w:rPr>
          <w:rFonts w:cs="Arial" w:hint="cs"/>
          <w:rtl/>
        </w:rPr>
        <w:t>"</w:t>
      </w:r>
      <w:r w:rsidRPr="0023326A">
        <w:rPr>
          <w:rFonts w:cs="Arial"/>
          <w:rtl/>
        </w:rPr>
        <w:t xml:space="preserve">כ יאסר החתיכה מחמת החלב שבה שאין בה </w:t>
      </w:r>
      <w:r>
        <w:rPr>
          <w:rFonts w:cs="Arial" w:hint="cs"/>
          <w:rtl/>
        </w:rPr>
        <w:t>ס'</w:t>
      </w:r>
      <w:r w:rsidRPr="0023326A">
        <w:rPr>
          <w:rFonts w:cs="Arial"/>
          <w:rtl/>
        </w:rPr>
        <w:t xml:space="preserve"> לבטלו</w:t>
      </w:r>
      <w:r>
        <w:rPr>
          <w:rFonts w:cs="Arial" w:hint="cs"/>
          <w:rtl/>
        </w:rPr>
        <w:t>,</w:t>
      </w:r>
      <w:r w:rsidRPr="0023326A">
        <w:rPr>
          <w:rFonts w:cs="Arial"/>
          <w:rtl/>
        </w:rPr>
        <w:t xml:space="preserve"> אבל כשמניחה בקדירה הטעם הולך בכולו בשוה ואין החתיכה נאסרת</w:t>
      </w:r>
      <w:r>
        <w:rPr>
          <w:rFonts w:cs="Arial" w:hint="cs"/>
          <w:rtl/>
        </w:rPr>
        <w:t>,</w:t>
      </w:r>
      <w:r w:rsidRPr="0023326A">
        <w:rPr>
          <w:rFonts w:cs="Arial"/>
          <w:rtl/>
        </w:rPr>
        <w:t xml:space="preserve"> ואין להקשות דהא ע"כ החתיכה נמלחה תחילה </w:t>
      </w:r>
      <w:r w:rsidRPr="0023326A">
        <w:rPr>
          <w:rFonts w:cs="Arial" w:hint="cs"/>
          <w:sz w:val="16"/>
          <w:szCs w:val="16"/>
          <w:rtl/>
        </w:rPr>
        <w:t>(</w:t>
      </w:r>
      <w:r w:rsidRPr="0023326A">
        <w:rPr>
          <w:rFonts w:cs="Arial"/>
          <w:sz w:val="16"/>
          <w:szCs w:val="16"/>
          <w:rtl/>
        </w:rPr>
        <w:t>דאל</w:t>
      </w:r>
      <w:r>
        <w:rPr>
          <w:rFonts w:cs="Arial" w:hint="cs"/>
          <w:sz w:val="16"/>
          <w:szCs w:val="16"/>
          <w:rtl/>
        </w:rPr>
        <w:t>"</w:t>
      </w:r>
      <w:r w:rsidRPr="0023326A">
        <w:rPr>
          <w:rFonts w:cs="Arial"/>
          <w:sz w:val="16"/>
          <w:szCs w:val="16"/>
          <w:rtl/>
        </w:rPr>
        <w:t>ה היתה אסורה משום דם והיה צריך ששים בתבשיל נגד כולה וכמו שנתבאר בסי' סט סי"א</w:t>
      </w:r>
      <w:r>
        <w:rPr>
          <w:rFonts w:cs="Arial" w:hint="cs"/>
          <w:sz w:val="16"/>
          <w:szCs w:val="16"/>
          <w:rtl/>
        </w:rPr>
        <w:t>)</w:t>
      </w:r>
      <w:r>
        <w:rPr>
          <w:rFonts w:cs="Arial" w:hint="cs"/>
          <w:rtl/>
        </w:rPr>
        <w:t>,</w:t>
      </w:r>
      <w:r w:rsidRPr="0023326A">
        <w:rPr>
          <w:rFonts w:cs="Arial"/>
          <w:rtl/>
        </w:rPr>
        <w:t xml:space="preserve"> וא"כ ע"כ נאסרה תחלה משום שנמלחה עם החלב שבה ושוב אינה חוזרת להיתירה וכמ"ש הרשב"א והמחבר בס"א</w:t>
      </w:r>
      <w:r>
        <w:rPr>
          <w:rFonts w:cs="Arial" w:hint="cs"/>
          <w:rtl/>
        </w:rPr>
        <w:t>,</w:t>
      </w:r>
      <w:r w:rsidRPr="0023326A">
        <w:rPr>
          <w:rFonts w:cs="Arial"/>
          <w:rtl/>
        </w:rPr>
        <w:t xml:space="preserve"> י"ל דמיירי שהוא חלב דרבנן או חלב של בהמה כחושה דאינו אוסר במליחה אלא כדי קליפה לדעת הרשב"א והמחבר בסי' ס"ד ס"כ וסי' ק"ה</w:t>
      </w:r>
      <w:r>
        <w:rPr>
          <w:rFonts w:cs="Arial" w:hint="cs"/>
          <w:rtl/>
        </w:rPr>
        <w:t>,</w:t>
      </w:r>
      <w:r w:rsidRPr="0023326A">
        <w:rPr>
          <w:rFonts w:cs="Arial"/>
          <w:rtl/>
        </w:rPr>
        <w:t xml:space="preserve"> א"נ מיירי שהיה בחתיכה ששים נגד החלב ואח"כ קודם הבישול נחתך ממנה</w:t>
      </w:r>
      <w:r>
        <w:rPr>
          <w:rFonts w:cs="Arial" w:hint="cs"/>
          <w:rtl/>
        </w:rPr>
        <w:t>, ש"ך (סק"ו).</w:t>
      </w:r>
    </w:p>
  </w:footnote>
  <w:footnote w:id="2289">
    <w:p w14:paraId="595DC050" w14:textId="77777777" w:rsidR="004C5A3C" w:rsidRDefault="004C5A3C" w:rsidP="002C39F4">
      <w:pPr>
        <w:pStyle w:val="a5"/>
        <w:rPr>
          <w:rtl/>
        </w:rPr>
      </w:pPr>
      <w:r>
        <w:rPr>
          <w:rStyle w:val="a7"/>
        </w:rPr>
        <w:footnoteRef/>
      </w:r>
      <w:r>
        <w:rPr>
          <w:rtl/>
        </w:rPr>
        <w:t xml:space="preserve"> </w:t>
      </w:r>
      <w:r w:rsidRPr="00206792">
        <w:rPr>
          <w:rFonts w:cs="Arial"/>
          <w:rtl/>
        </w:rPr>
        <w:t>פירוש</w:t>
      </w:r>
      <w:r>
        <w:rPr>
          <w:rFonts w:cs="Arial" w:hint="cs"/>
          <w:rtl/>
        </w:rPr>
        <w:t>-</w:t>
      </w:r>
      <w:r w:rsidRPr="00206792">
        <w:rPr>
          <w:rFonts w:cs="Arial"/>
          <w:rtl/>
        </w:rPr>
        <w:t xml:space="preserve"> וא"כ החתיכה זו עכ"פ אסורה משום איסור דבוק</w:t>
      </w:r>
      <w:r>
        <w:rPr>
          <w:rFonts w:cs="Arial" w:hint="cs"/>
          <w:rtl/>
        </w:rPr>
        <w:t>,</w:t>
      </w:r>
      <w:r w:rsidRPr="00206792">
        <w:rPr>
          <w:rFonts w:cs="Arial"/>
          <w:rtl/>
        </w:rPr>
        <w:t xml:space="preserve"> א</w:t>
      </w:r>
      <w:r>
        <w:rPr>
          <w:rFonts w:cs="Arial" w:hint="cs"/>
          <w:rtl/>
        </w:rPr>
        <w:t>"</w:t>
      </w:r>
      <w:r w:rsidRPr="00206792">
        <w:rPr>
          <w:rFonts w:cs="Arial"/>
          <w:rtl/>
        </w:rPr>
        <w:t>כ מסיר החתיכה כו' שהרי אינו מזיק כלום במה שמסירה</w:t>
      </w:r>
      <w:r>
        <w:rPr>
          <w:rFonts w:cs="Arial" w:hint="cs"/>
          <w:rtl/>
        </w:rPr>
        <w:t>,</w:t>
      </w:r>
      <w:r w:rsidRPr="00206792">
        <w:rPr>
          <w:rFonts w:cs="Arial"/>
          <w:rtl/>
        </w:rPr>
        <w:t xml:space="preserve"> וא"כ לא יניחנה בחנם בקדירה</w:t>
      </w:r>
      <w:r>
        <w:rPr>
          <w:rFonts w:cs="Arial" w:hint="cs"/>
          <w:rtl/>
        </w:rPr>
        <w:t>,</w:t>
      </w:r>
      <w:r w:rsidRPr="00206792">
        <w:rPr>
          <w:rFonts w:cs="Arial"/>
          <w:rtl/>
        </w:rPr>
        <w:t xml:space="preserve"> ודברי העט"ז בסעיף זה אינם מכוונים ע</w:t>
      </w:r>
      <w:r>
        <w:rPr>
          <w:rFonts w:cs="Arial" w:hint="cs"/>
          <w:rtl/>
        </w:rPr>
        <w:t>"</w:t>
      </w:r>
      <w:r w:rsidRPr="00206792">
        <w:rPr>
          <w:rFonts w:cs="Arial"/>
          <w:rtl/>
        </w:rPr>
        <w:t>ש</w:t>
      </w:r>
      <w:r>
        <w:rPr>
          <w:rFonts w:cs="Arial" w:hint="cs"/>
          <w:rtl/>
        </w:rPr>
        <w:t>, ש"ך (סק"ז).</w:t>
      </w:r>
    </w:p>
  </w:footnote>
  <w:footnote w:id="2290">
    <w:p w14:paraId="7CA7921A" w14:textId="77777777" w:rsidR="004C5A3C" w:rsidRDefault="004C5A3C" w:rsidP="002C39F4">
      <w:pPr>
        <w:pStyle w:val="a5"/>
      </w:pPr>
      <w:r>
        <w:rPr>
          <w:rStyle w:val="a7"/>
        </w:rPr>
        <w:footnoteRef/>
      </w:r>
      <w:r>
        <w:rPr>
          <w:rtl/>
        </w:rPr>
        <w:t xml:space="preserve"> </w:t>
      </w:r>
      <w:r w:rsidRPr="00220D90">
        <w:rPr>
          <w:rFonts w:cs="Arial"/>
          <w:rtl/>
        </w:rPr>
        <w:t>במקום המים שכתב רבינו פעמים כתוב שם</w:t>
      </w:r>
      <w:r>
        <w:rPr>
          <w:rFonts w:cs="Arial" w:hint="cs"/>
          <w:sz w:val="16"/>
          <w:szCs w:val="16"/>
          <w:rtl/>
        </w:rPr>
        <w:t xml:space="preserve"> {בסמ"ג שהיה לפני הב"י}</w:t>
      </w:r>
      <w:r w:rsidRPr="00220D90">
        <w:rPr>
          <w:rFonts w:cs="Arial"/>
          <w:rtl/>
        </w:rPr>
        <w:t xml:space="preserve"> חמין וכך היא הגיר</w:t>
      </w:r>
      <w:r>
        <w:rPr>
          <w:rFonts w:cs="Arial" w:hint="cs"/>
          <w:rtl/>
        </w:rPr>
        <w:t>'</w:t>
      </w:r>
      <w:r w:rsidRPr="00220D90">
        <w:rPr>
          <w:rFonts w:cs="Arial"/>
          <w:rtl/>
        </w:rPr>
        <w:t xml:space="preserve"> הנכונה</w:t>
      </w:r>
      <w:r>
        <w:rPr>
          <w:rFonts w:cs="Arial" w:hint="cs"/>
          <w:rtl/>
        </w:rPr>
        <w:t>,</w:t>
      </w:r>
      <w:r w:rsidRPr="00220D90">
        <w:rPr>
          <w:rFonts w:cs="Arial"/>
          <w:rtl/>
        </w:rPr>
        <w:t xml:space="preserve"> וכן הוא בס</w:t>
      </w:r>
      <w:r>
        <w:rPr>
          <w:rFonts w:cs="Arial" w:hint="cs"/>
          <w:rtl/>
        </w:rPr>
        <w:t>ה"ת</w:t>
      </w:r>
      <w:r w:rsidRPr="00220D90">
        <w:rPr>
          <w:rFonts w:cs="Arial"/>
          <w:rtl/>
        </w:rPr>
        <w:t xml:space="preserve"> </w:t>
      </w:r>
      <w:r w:rsidRPr="007B5324">
        <w:rPr>
          <w:rFonts w:cs="Arial"/>
          <w:sz w:val="16"/>
          <w:szCs w:val="16"/>
          <w:rtl/>
        </w:rPr>
        <w:t xml:space="preserve">(סי' לה) </w:t>
      </w:r>
      <w:r w:rsidRPr="00220D90">
        <w:rPr>
          <w:rFonts w:cs="Arial"/>
          <w:rtl/>
        </w:rPr>
        <w:t>ג"כ</w:t>
      </w:r>
      <w:r>
        <w:rPr>
          <w:rFonts w:cs="Arial" w:hint="cs"/>
          <w:rtl/>
        </w:rPr>
        <w:t>, ב"י.</w:t>
      </w:r>
    </w:p>
  </w:footnote>
  <w:footnote w:id="2291">
    <w:p w14:paraId="439CF5DE" w14:textId="77777777" w:rsidR="004C5A3C" w:rsidRDefault="004C5A3C" w:rsidP="002C39F4">
      <w:pPr>
        <w:pStyle w:val="a5"/>
        <w:rPr>
          <w:rtl/>
        </w:rPr>
      </w:pPr>
      <w:r>
        <w:rPr>
          <w:rStyle w:val="a7"/>
        </w:rPr>
        <w:footnoteRef/>
      </w:r>
      <w:r>
        <w:rPr>
          <w:rtl/>
        </w:rPr>
        <w:t xml:space="preserve"> </w:t>
      </w:r>
      <w:r>
        <w:rPr>
          <w:rFonts w:hint="cs"/>
          <w:rtl/>
        </w:rPr>
        <w:t xml:space="preserve">בסמ"ג הביא דברי המתירין הללו בשם רבינו ברוך בר יצחק </w:t>
      </w:r>
      <w:r w:rsidRPr="007D68AF">
        <w:rPr>
          <w:rFonts w:hint="cs"/>
          <w:sz w:val="16"/>
          <w:szCs w:val="16"/>
          <w:rtl/>
        </w:rPr>
        <w:t>(שהוא בעל ספר התרומה)</w:t>
      </w:r>
      <w:r>
        <w:rPr>
          <w:rFonts w:hint="cs"/>
          <w:rtl/>
        </w:rPr>
        <w:t xml:space="preserve">, וכאן כתבתי י"א כי כך היא לשון הטור שהעתקתי לשונו, ומ"מ לקמן הבאתי את לשון סה"ת משום שיש ללמוד ממנה מספר דברים. </w:t>
      </w:r>
    </w:p>
  </w:footnote>
  <w:footnote w:id="2292">
    <w:p w14:paraId="77911A64" w14:textId="77777777" w:rsidR="004C5A3C" w:rsidRDefault="004C5A3C" w:rsidP="002C39F4">
      <w:pPr>
        <w:pStyle w:val="a5"/>
      </w:pPr>
      <w:r>
        <w:rPr>
          <w:rStyle w:val="a7"/>
        </w:rPr>
        <w:footnoteRef/>
      </w:r>
      <w:r>
        <w:rPr>
          <w:rtl/>
        </w:rPr>
        <w:t xml:space="preserve"> </w:t>
      </w:r>
      <w:r w:rsidRPr="00220D90">
        <w:rPr>
          <w:rFonts w:cs="Arial"/>
          <w:rtl/>
        </w:rPr>
        <w:t>ו</w:t>
      </w:r>
      <w:r>
        <w:rPr>
          <w:rFonts w:cs="Arial" w:hint="cs"/>
          <w:rtl/>
        </w:rPr>
        <w:t>כ' הב"י- ו</w:t>
      </w:r>
      <w:r w:rsidRPr="00220D90">
        <w:rPr>
          <w:rFonts w:cs="Arial"/>
          <w:rtl/>
        </w:rPr>
        <w:t>ביאור הדברים שדג טמא זה נמצא בתמחוי</w:t>
      </w:r>
      <w:r>
        <w:rPr>
          <w:rFonts w:cs="Arial" w:hint="cs"/>
          <w:rtl/>
        </w:rPr>
        <w:t>,</w:t>
      </w:r>
      <w:r w:rsidRPr="00220D90">
        <w:rPr>
          <w:rFonts w:cs="Arial"/>
          <w:rtl/>
        </w:rPr>
        <w:t xml:space="preserve"> שהאוסרים חוששין שמא כשעירה הדגים מהאלפס לתמחוי לא עירה בבת אחת לגמרי</w:t>
      </w:r>
      <w:r>
        <w:rPr>
          <w:rFonts w:cs="Arial" w:hint="cs"/>
          <w:rtl/>
        </w:rPr>
        <w:t>,</w:t>
      </w:r>
      <w:r w:rsidRPr="00220D90">
        <w:rPr>
          <w:rFonts w:cs="Arial"/>
          <w:rtl/>
        </w:rPr>
        <w:t xml:space="preserve"> ואחר שהתחיל לערות שמא נשאר הדג הטמא באלפס עם מעט דגים ומעט מים עד שאין במים ובדגים ההם ששים כנגדו ונאסרו הם</w:t>
      </w:r>
      <w:r>
        <w:rPr>
          <w:rFonts w:cs="Arial" w:hint="cs"/>
          <w:rtl/>
        </w:rPr>
        <w:t>,</w:t>
      </w:r>
      <w:r w:rsidRPr="00220D90">
        <w:rPr>
          <w:rFonts w:cs="Arial"/>
          <w:rtl/>
        </w:rPr>
        <w:t xml:space="preserve"> וכשגמר העירוי על הראשונים שעירה בתחלה נאסרו גם הם מחמת אותם הדגים שנשתיירו עם הדג טמא האחרון ועכשיו נגעו בהם בעודם חמין</w:t>
      </w:r>
      <w:r>
        <w:rPr>
          <w:rFonts w:cs="Arial" w:hint="cs"/>
          <w:rtl/>
        </w:rPr>
        <w:t>,</w:t>
      </w:r>
      <w:r w:rsidRPr="00220D90">
        <w:rPr>
          <w:rFonts w:cs="Arial"/>
          <w:rtl/>
        </w:rPr>
        <w:t xml:space="preserve"> הלכך אע</w:t>
      </w:r>
      <w:r>
        <w:rPr>
          <w:rFonts w:cs="Arial" w:hint="cs"/>
          <w:rtl/>
        </w:rPr>
        <w:t>"</w:t>
      </w:r>
      <w:r w:rsidRPr="00220D90">
        <w:rPr>
          <w:rFonts w:cs="Arial"/>
          <w:rtl/>
        </w:rPr>
        <w:t>פ שאנו רואין בתמחוי ששים ויותר כנגד הדג טמא הכל אסור</w:t>
      </w:r>
      <w:r>
        <w:rPr>
          <w:rFonts w:cs="Arial" w:hint="cs"/>
          <w:rtl/>
        </w:rPr>
        <w:t>.</w:t>
      </w:r>
      <w:r w:rsidRPr="00220D90">
        <w:rPr>
          <w:rFonts w:cs="Arial"/>
          <w:rtl/>
        </w:rPr>
        <w:t xml:space="preserve"> ודעת המתירין משום דאפילו את"ל שנשתיירו מעט דגים באלפס ודג טמא ביניהם ונאסרו אותם הדגים מחמתו אין בכך כלום</w:t>
      </w:r>
      <w:r>
        <w:rPr>
          <w:rFonts w:cs="Arial" w:hint="cs"/>
          <w:rtl/>
        </w:rPr>
        <w:t>,</w:t>
      </w:r>
      <w:r w:rsidRPr="00220D90">
        <w:rPr>
          <w:rFonts w:cs="Arial"/>
          <w:rtl/>
        </w:rPr>
        <w:t xml:space="preserve"> שאותם הדגים הם מתבטלין בדגים שעירה ראשונים חד בתרי דאין להם דין בריה שלא להתבטל מאחר שאין איסורן אלא מחמת בלע</w:t>
      </w:r>
      <w:r>
        <w:rPr>
          <w:rFonts w:cs="Arial" w:hint="cs"/>
          <w:rtl/>
        </w:rPr>
        <w:t>.</w:t>
      </w:r>
    </w:p>
  </w:footnote>
  <w:footnote w:id="2293">
    <w:p w14:paraId="14AE58E1" w14:textId="77777777" w:rsidR="004C5A3C" w:rsidRDefault="004C5A3C" w:rsidP="002C39F4">
      <w:pPr>
        <w:pStyle w:val="a5"/>
      </w:pPr>
      <w:r>
        <w:rPr>
          <w:rStyle w:val="a7"/>
        </w:rPr>
        <w:footnoteRef/>
      </w:r>
      <w:r>
        <w:rPr>
          <w:rtl/>
        </w:rPr>
        <w:t xml:space="preserve"> </w:t>
      </w:r>
      <w:r>
        <w:rPr>
          <w:rFonts w:hint="cs"/>
          <w:rtl/>
        </w:rPr>
        <w:t>וכ' הט"ז (סק"ד) ד</w:t>
      </w:r>
      <w:r>
        <w:rPr>
          <w:rFonts w:asciiTheme="minorBidi" w:hAnsiTheme="minorBidi" w:cs="Arial" w:hint="cs"/>
          <w:rtl/>
        </w:rPr>
        <w:t>מ"מ</w:t>
      </w:r>
      <w:r w:rsidRPr="006B1084">
        <w:rPr>
          <w:rFonts w:asciiTheme="minorBidi" w:hAnsiTheme="minorBidi" w:cs="Arial"/>
          <w:rtl/>
        </w:rPr>
        <w:t xml:space="preserve"> </w:t>
      </w:r>
      <w:r w:rsidRPr="00445CF7">
        <w:rPr>
          <w:rFonts w:asciiTheme="minorBidi" w:hAnsiTheme="minorBidi" w:cs="Arial"/>
          <w:rtl/>
        </w:rPr>
        <w:t>אם יש לחוש שאין ס' נגד אותן המים שנשארו בקדרה ודאי יש לאסור כל הדגים אח"כ</w:t>
      </w:r>
      <w:r>
        <w:rPr>
          <w:rFonts w:asciiTheme="minorBidi" w:hAnsiTheme="minorBidi" w:cs="Arial" w:hint="cs"/>
          <w:rtl/>
        </w:rPr>
        <w:t>.</w:t>
      </w:r>
    </w:p>
  </w:footnote>
  <w:footnote w:id="2294">
    <w:p w14:paraId="7F946E99" w14:textId="77777777" w:rsidR="004C5A3C" w:rsidRDefault="004C5A3C" w:rsidP="002C39F4">
      <w:pPr>
        <w:pStyle w:val="a5"/>
        <w:rPr>
          <w:rtl/>
        </w:rPr>
      </w:pPr>
      <w:r>
        <w:rPr>
          <w:rStyle w:val="a7"/>
        </w:rPr>
        <w:footnoteRef/>
      </w:r>
      <w:r>
        <w:rPr>
          <w:rtl/>
        </w:rPr>
        <w:t xml:space="preserve"> </w:t>
      </w:r>
      <w:r w:rsidRPr="00220D90">
        <w:rPr>
          <w:rFonts w:cs="Arial"/>
          <w:rtl/>
        </w:rPr>
        <w:t>מהרא"י (בה</w:t>
      </w:r>
      <w:r>
        <w:rPr>
          <w:rFonts w:cs="Arial" w:hint="cs"/>
          <w:rtl/>
        </w:rPr>
        <w:t>ג</w:t>
      </w:r>
      <w:r w:rsidRPr="00220D90">
        <w:rPr>
          <w:rFonts w:cs="Arial"/>
          <w:rtl/>
        </w:rPr>
        <w:t>שע</w:t>
      </w:r>
      <w:r>
        <w:rPr>
          <w:rFonts w:cs="Arial" w:hint="cs"/>
          <w:rtl/>
        </w:rPr>
        <w:t>"</w:t>
      </w:r>
      <w:r w:rsidRPr="00220D90">
        <w:rPr>
          <w:rFonts w:cs="Arial"/>
          <w:rtl/>
        </w:rPr>
        <w:t>ד סי' נא) הביא דברי המתירין שכתב רבינו וכתב עליהן הכי נהוג דמשום חששא אין לאסור מספק עכ"ל</w:t>
      </w:r>
      <w:r>
        <w:rPr>
          <w:rFonts w:cs="Arial" w:hint="cs"/>
          <w:rtl/>
        </w:rPr>
        <w:t>,</w:t>
      </w:r>
      <w:r w:rsidRPr="00220D90">
        <w:rPr>
          <w:rFonts w:cs="Arial"/>
          <w:rtl/>
        </w:rPr>
        <w:t xml:space="preserve"> וצ"ל דדעתו לפסוק כרבינו שמשון ובכל ענין שרי מאחר דכתב דמשום חששא אין לאסור והיינו טעם ר</w:t>
      </w:r>
      <w:r>
        <w:rPr>
          <w:rFonts w:cs="Arial" w:hint="cs"/>
          <w:rtl/>
        </w:rPr>
        <w:t>"</w:t>
      </w:r>
      <w:r w:rsidRPr="00220D90">
        <w:rPr>
          <w:rFonts w:cs="Arial"/>
          <w:rtl/>
        </w:rPr>
        <w:t>ש</w:t>
      </w:r>
      <w:r>
        <w:rPr>
          <w:rFonts w:cs="Arial" w:hint="cs"/>
          <w:rtl/>
        </w:rPr>
        <w:t>,</w:t>
      </w:r>
      <w:r w:rsidRPr="00220D90">
        <w:rPr>
          <w:rFonts w:cs="Arial"/>
          <w:rtl/>
        </w:rPr>
        <w:t xml:space="preserve"> וא"כ אפילו עירה עליהם מים לבסוף שרי</w:t>
      </w:r>
      <w:r>
        <w:rPr>
          <w:rFonts w:cs="Arial" w:hint="cs"/>
          <w:rtl/>
        </w:rPr>
        <w:t>,</w:t>
      </w:r>
      <w:r w:rsidRPr="00220D90">
        <w:rPr>
          <w:rFonts w:cs="Arial"/>
          <w:rtl/>
        </w:rPr>
        <w:t xml:space="preserve"> ומ"מ מסיק לבסוף והמחמיר תע"ב</w:t>
      </w:r>
      <w:r>
        <w:rPr>
          <w:rFonts w:cs="Arial" w:hint="cs"/>
          <w:rtl/>
        </w:rPr>
        <w:t>,</w:t>
      </w:r>
      <w:r w:rsidRPr="00220D90">
        <w:rPr>
          <w:rFonts w:cs="Arial"/>
          <w:rtl/>
        </w:rPr>
        <w:t xml:space="preserve"> לכן טוב לצנן הביצים או הדגים תחלה קודם שיערה לחוץ</w:t>
      </w:r>
      <w:r>
        <w:rPr>
          <w:rFonts w:cs="Arial" w:hint="cs"/>
          <w:rtl/>
        </w:rPr>
        <w:t xml:space="preserve">, דרכ"מ </w:t>
      </w:r>
      <w:r w:rsidRPr="00B048A5">
        <w:rPr>
          <w:rFonts w:cs="Arial" w:hint="cs"/>
          <w:sz w:val="16"/>
          <w:szCs w:val="16"/>
          <w:rtl/>
        </w:rPr>
        <w:t>(אות ג)</w:t>
      </w:r>
      <w:r>
        <w:rPr>
          <w:rFonts w:cs="Arial" w:hint="cs"/>
          <w:rtl/>
        </w:rPr>
        <w:t>.</w:t>
      </w:r>
    </w:p>
  </w:footnote>
  <w:footnote w:id="2295">
    <w:p w14:paraId="7C63F2FE" w14:textId="77777777" w:rsidR="004C5A3C" w:rsidRDefault="004C5A3C" w:rsidP="002C39F4">
      <w:pPr>
        <w:pStyle w:val="a5"/>
        <w:rPr>
          <w:rtl/>
        </w:rPr>
      </w:pPr>
      <w:r>
        <w:rPr>
          <w:rStyle w:val="a7"/>
        </w:rPr>
        <w:footnoteRef/>
      </w:r>
      <w:r>
        <w:rPr>
          <w:rtl/>
        </w:rPr>
        <w:t xml:space="preserve"> </w:t>
      </w:r>
      <w:r>
        <w:rPr>
          <w:rFonts w:hint="cs"/>
          <w:rtl/>
        </w:rPr>
        <w:t>בדברי הטור והסמ"ג לעיל נכללים דברי סה"ת, אבל מ"מ הבאתי את דבריו כהוייתם כדי לראות שסברת היש אוסרין שהוזכרה בטור ובסמ"ג היא סברה שסה"ת דחה תוך כדי דבריו, וכן לשם עוד כמה דיוקים.</w:t>
      </w:r>
    </w:p>
  </w:footnote>
  <w:footnote w:id="2296">
    <w:p w14:paraId="216DED97" w14:textId="77777777" w:rsidR="004C5A3C" w:rsidRDefault="004C5A3C" w:rsidP="002C39F4">
      <w:pPr>
        <w:pStyle w:val="a5"/>
        <w:rPr>
          <w:rtl/>
        </w:rPr>
      </w:pPr>
      <w:r>
        <w:rPr>
          <w:rStyle w:val="a7"/>
        </w:rPr>
        <w:footnoteRef/>
      </w:r>
      <w:r>
        <w:rPr>
          <w:rtl/>
        </w:rPr>
        <w:t xml:space="preserve"> </w:t>
      </w:r>
      <w:r w:rsidRPr="00BB51B4">
        <w:rPr>
          <w:rFonts w:cs="Arial"/>
          <w:rtl/>
        </w:rPr>
        <w:t>אבל משום תערובת לא כיון שהכשרים הוו רובא</w:t>
      </w:r>
      <w:r>
        <w:rPr>
          <w:rFonts w:cs="Arial" w:hint="cs"/>
          <w:rtl/>
        </w:rPr>
        <w:t>,</w:t>
      </w:r>
      <w:r w:rsidRPr="00BB51B4">
        <w:rPr>
          <w:rFonts w:cs="Arial"/>
          <w:rtl/>
        </w:rPr>
        <w:t xml:space="preserve"> ואין האסורים קרויין דבר שבמנין דנימא אפילו באלף לא בטיל</w:t>
      </w:r>
      <w:r>
        <w:rPr>
          <w:rFonts w:cs="Arial" w:hint="cs"/>
          <w:rtl/>
        </w:rPr>
        <w:t>,</w:t>
      </w:r>
      <w:r w:rsidRPr="00BB51B4">
        <w:rPr>
          <w:rFonts w:cs="Arial"/>
          <w:rtl/>
        </w:rPr>
        <w:t xml:space="preserve"> וגם משום בריה לא בטלה אין לאוסרן דאין קרוי בריה אלא דבר שנאסר מחמת עצמו ולא מחמת אחרים והדג טמא כשמצאו השליכו לחוץ</w:t>
      </w:r>
      <w:r>
        <w:rPr>
          <w:rFonts w:cs="Arial" w:hint="cs"/>
          <w:rtl/>
        </w:rPr>
        <w:t>,</w:t>
      </w:r>
      <w:r w:rsidRPr="00BB51B4">
        <w:rPr>
          <w:rFonts w:cs="Arial"/>
          <w:rtl/>
        </w:rPr>
        <w:t xml:space="preserve"> אלא אסורין מפני שנגעו חמין זה לזה</w:t>
      </w:r>
      <w:r>
        <w:rPr>
          <w:rFonts w:cs="Arial" w:hint="cs"/>
          <w:rtl/>
        </w:rPr>
        <w:t>, סה"ת.</w:t>
      </w:r>
    </w:p>
  </w:footnote>
  <w:footnote w:id="2297">
    <w:p w14:paraId="11408250" w14:textId="77777777" w:rsidR="004C5A3C" w:rsidRDefault="004C5A3C" w:rsidP="002C39F4">
      <w:pPr>
        <w:pStyle w:val="a5"/>
        <w:rPr>
          <w:rtl/>
        </w:rPr>
      </w:pPr>
      <w:r>
        <w:rPr>
          <w:rStyle w:val="a7"/>
        </w:rPr>
        <w:footnoteRef/>
      </w:r>
      <w:r>
        <w:rPr>
          <w:rtl/>
        </w:rPr>
        <w:t xml:space="preserve"> </w:t>
      </w:r>
      <w:r w:rsidRPr="00220D90">
        <w:rPr>
          <w:rFonts w:cs="Arial"/>
          <w:rtl/>
        </w:rPr>
        <w:t>וכ"כ במרדכי</w:t>
      </w:r>
      <w:r w:rsidRPr="00A57D2B">
        <w:rPr>
          <w:rFonts w:cs="Arial"/>
          <w:sz w:val="16"/>
          <w:szCs w:val="16"/>
          <w:rtl/>
        </w:rPr>
        <w:t xml:space="preserve"> (</w:t>
      </w:r>
      <w:r w:rsidRPr="00A57D2B">
        <w:rPr>
          <w:rFonts w:cs="Arial" w:hint="cs"/>
          <w:sz w:val="16"/>
          <w:szCs w:val="16"/>
          <w:rtl/>
        </w:rPr>
        <w:t xml:space="preserve">חולין </w:t>
      </w:r>
      <w:r w:rsidRPr="00A57D2B">
        <w:rPr>
          <w:rFonts w:cs="Arial"/>
          <w:sz w:val="16"/>
          <w:szCs w:val="16"/>
          <w:rtl/>
        </w:rPr>
        <w:t xml:space="preserve">סי' תרמה) </w:t>
      </w:r>
      <w:r w:rsidRPr="00220D90">
        <w:rPr>
          <w:rFonts w:cs="Arial"/>
          <w:rtl/>
        </w:rPr>
        <w:t>ובהג</w:t>
      </w:r>
      <w:r>
        <w:rPr>
          <w:rFonts w:cs="Arial" w:hint="cs"/>
          <w:rtl/>
        </w:rPr>
        <w:t>ה"</w:t>
      </w:r>
      <w:r w:rsidRPr="00220D90">
        <w:rPr>
          <w:rFonts w:cs="Arial"/>
          <w:rtl/>
        </w:rPr>
        <w:t xml:space="preserve">מ </w:t>
      </w:r>
      <w:r w:rsidRPr="00A57D2B">
        <w:rPr>
          <w:rFonts w:cs="Arial" w:hint="cs"/>
          <w:sz w:val="16"/>
          <w:szCs w:val="16"/>
          <w:rtl/>
        </w:rPr>
        <w:t>(</w:t>
      </w:r>
      <w:r w:rsidRPr="00A57D2B">
        <w:rPr>
          <w:rFonts w:cs="Arial"/>
          <w:sz w:val="16"/>
          <w:szCs w:val="16"/>
          <w:rtl/>
        </w:rPr>
        <w:t xml:space="preserve">פ"ב מהמ"א ד' קושטא הט"ו, ולפנינו פט"ו מהמ"א אות י) </w:t>
      </w:r>
      <w:r w:rsidRPr="00220D90">
        <w:rPr>
          <w:rFonts w:cs="Arial"/>
          <w:rtl/>
        </w:rPr>
        <w:t>ובשע</w:t>
      </w:r>
      <w:r>
        <w:rPr>
          <w:rFonts w:cs="Arial" w:hint="cs"/>
          <w:rtl/>
        </w:rPr>
        <w:t>"</w:t>
      </w:r>
      <w:r w:rsidRPr="00220D90">
        <w:rPr>
          <w:rFonts w:cs="Arial"/>
          <w:rtl/>
        </w:rPr>
        <w:t xml:space="preserve">ד </w:t>
      </w:r>
      <w:r w:rsidRPr="00A57D2B">
        <w:rPr>
          <w:rFonts w:cs="Arial"/>
          <w:sz w:val="16"/>
          <w:szCs w:val="16"/>
          <w:rtl/>
        </w:rPr>
        <w:t>(סו"ס נא)</w:t>
      </w:r>
      <w:r>
        <w:rPr>
          <w:rFonts w:hint="cs"/>
          <w:rtl/>
        </w:rPr>
        <w:t>, דרכ"מ (אות א).</w:t>
      </w:r>
    </w:p>
  </w:footnote>
  <w:footnote w:id="2298">
    <w:p w14:paraId="72D40356" w14:textId="77777777" w:rsidR="004C5A3C" w:rsidRDefault="004C5A3C" w:rsidP="002C39F4">
      <w:pPr>
        <w:pStyle w:val="a5"/>
      </w:pPr>
      <w:r>
        <w:rPr>
          <w:rStyle w:val="a7"/>
        </w:rPr>
        <w:footnoteRef/>
      </w:r>
      <w:r>
        <w:rPr>
          <w:rtl/>
        </w:rPr>
        <w:t xml:space="preserve"> </w:t>
      </w:r>
      <w:r w:rsidRPr="00BF419E">
        <w:rPr>
          <w:rFonts w:cs="Arial"/>
          <w:rtl/>
        </w:rPr>
        <w:t>ו</w:t>
      </w:r>
      <w:r>
        <w:rPr>
          <w:rFonts w:cs="Arial" w:hint="cs"/>
          <w:rtl/>
        </w:rPr>
        <w:t xml:space="preserve">כ' הדרכ"מ (אות ג)- </w:t>
      </w:r>
      <w:r w:rsidRPr="00BF419E">
        <w:rPr>
          <w:rFonts w:cs="Arial"/>
          <w:rtl/>
        </w:rPr>
        <w:t xml:space="preserve">צ"ל דדעתו </w:t>
      </w:r>
      <w:r>
        <w:rPr>
          <w:rFonts w:cs="Arial" w:hint="cs"/>
          <w:sz w:val="16"/>
          <w:szCs w:val="16"/>
          <w:rtl/>
        </w:rPr>
        <w:t xml:space="preserve">{דמהרא"י} </w:t>
      </w:r>
      <w:r w:rsidRPr="00BF419E">
        <w:rPr>
          <w:rFonts w:cs="Arial"/>
          <w:rtl/>
        </w:rPr>
        <w:t>לפסוק כרבינו שמשון ובכל ענין שרי מאחר דכתב דמשום חששא אין לאסור והיינו טעם רבינו שמשון וא"כ אפילו עירה עליהם מים לבסוף שרי</w:t>
      </w:r>
      <w:r>
        <w:rPr>
          <w:rFonts w:cs="Arial" w:hint="cs"/>
          <w:rtl/>
        </w:rPr>
        <w:t>,</w:t>
      </w:r>
      <w:r w:rsidRPr="004F11B3">
        <w:rPr>
          <w:rFonts w:cs="Arial"/>
          <w:rtl/>
        </w:rPr>
        <w:t xml:space="preserve"> </w:t>
      </w:r>
      <w:r w:rsidRPr="00220D90">
        <w:rPr>
          <w:rFonts w:cs="Arial"/>
          <w:rtl/>
        </w:rPr>
        <w:t>ומ"מ מסיק לבסוף והמחמיר תע"ב</w:t>
      </w:r>
      <w:r>
        <w:rPr>
          <w:rFonts w:cs="Arial" w:hint="cs"/>
          <w:rtl/>
        </w:rPr>
        <w:t>,</w:t>
      </w:r>
      <w:r w:rsidRPr="00220D90">
        <w:rPr>
          <w:rFonts w:cs="Arial"/>
          <w:rtl/>
        </w:rPr>
        <w:t xml:space="preserve"> לכן טוב לצנן הביצים או הדגים תחלה קודם שיערה לחוץ</w:t>
      </w:r>
      <w:r>
        <w:rPr>
          <w:rFonts w:hint="cs"/>
          <w:sz w:val="14"/>
          <w:szCs w:val="14"/>
          <w:rtl/>
        </w:rPr>
        <w:t xml:space="preserve"> (עכ"ל הדרכ"מ)</w:t>
      </w:r>
      <w:r>
        <w:rPr>
          <w:rFonts w:hint="cs"/>
          <w:rtl/>
        </w:rPr>
        <w:t>.</w:t>
      </w:r>
    </w:p>
  </w:footnote>
  <w:footnote w:id="2299">
    <w:p w14:paraId="4A90F6FF" w14:textId="77777777" w:rsidR="004C5A3C" w:rsidRDefault="004C5A3C" w:rsidP="002C39F4">
      <w:pPr>
        <w:pStyle w:val="a5"/>
      </w:pPr>
      <w:r>
        <w:rPr>
          <w:rStyle w:val="a7"/>
        </w:rPr>
        <w:footnoteRef/>
      </w:r>
      <w:r w:rsidRPr="00220D90">
        <w:rPr>
          <w:rFonts w:cs="Arial"/>
          <w:rtl/>
        </w:rPr>
        <w:t xml:space="preserve"> וכ</w:t>
      </w:r>
      <w:r>
        <w:rPr>
          <w:rFonts w:cs="Arial" w:hint="cs"/>
          <w:rtl/>
        </w:rPr>
        <w:t>'</w:t>
      </w:r>
      <w:r w:rsidRPr="00220D90">
        <w:rPr>
          <w:rFonts w:cs="Arial"/>
          <w:rtl/>
        </w:rPr>
        <w:t xml:space="preserve"> בהגשע</w:t>
      </w:r>
      <w:r>
        <w:rPr>
          <w:rFonts w:cs="Arial" w:hint="cs"/>
          <w:rtl/>
        </w:rPr>
        <w:t>"</w:t>
      </w:r>
      <w:r w:rsidRPr="00220D90">
        <w:rPr>
          <w:rFonts w:cs="Arial"/>
          <w:rtl/>
        </w:rPr>
        <w:t xml:space="preserve">ד </w:t>
      </w:r>
      <w:r w:rsidRPr="00813CDA">
        <w:rPr>
          <w:rFonts w:cs="Arial"/>
          <w:sz w:val="16"/>
          <w:szCs w:val="16"/>
          <w:rtl/>
        </w:rPr>
        <w:t xml:space="preserve">(שם ד"ה לכן) </w:t>
      </w:r>
      <w:r w:rsidRPr="00220D90">
        <w:rPr>
          <w:rFonts w:cs="Arial"/>
          <w:rtl/>
        </w:rPr>
        <w:t>דאף המתירין לא התירו אלא ששפך המים שנשארו דרך המחבת ולא עירה לתוך הדגים או לתוך הביצים אבל אם עירה אותן מים על הדגים כולן אסורין דאז ע"י הרוטב מוליך האיסור מחתיכה לחתיכה עכ"ל</w:t>
      </w:r>
      <w:r>
        <w:rPr>
          <w:rFonts w:cs="Arial" w:hint="cs"/>
          <w:rtl/>
        </w:rPr>
        <w:t>.</w:t>
      </w:r>
      <w:r w:rsidRPr="00220D90">
        <w:rPr>
          <w:rFonts w:cs="Arial"/>
          <w:rtl/>
        </w:rPr>
        <w:t xml:space="preserve"> </w:t>
      </w:r>
      <w:r>
        <w:rPr>
          <w:rFonts w:cs="Arial" w:hint="cs"/>
          <w:rtl/>
        </w:rPr>
        <w:t xml:space="preserve">וכ' הדרכ"מ </w:t>
      </w:r>
      <w:r w:rsidRPr="00445CF7">
        <w:rPr>
          <w:rFonts w:cs="Arial" w:hint="cs"/>
          <w:sz w:val="16"/>
          <w:szCs w:val="16"/>
          <w:rtl/>
        </w:rPr>
        <w:t>(אות ב)</w:t>
      </w:r>
      <w:r>
        <w:rPr>
          <w:rFonts w:cs="Arial" w:hint="cs"/>
          <w:rtl/>
        </w:rPr>
        <w:t xml:space="preserve">- </w:t>
      </w:r>
      <w:r w:rsidRPr="00220D90">
        <w:rPr>
          <w:rFonts w:cs="Arial"/>
          <w:rtl/>
        </w:rPr>
        <w:t>ופשוט הוא הא דקאמר אף המתירין לא התירו כו' היינו דוקא לסברת המתירים מטעם דאין האיסור יוצא מחתיכה לחתיכה בלא רוטב כו' ולכן אם עירה עליהן הרוטב אסור</w:t>
      </w:r>
      <w:r>
        <w:rPr>
          <w:rFonts w:cs="Arial" w:hint="cs"/>
          <w:rtl/>
        </w:rPr>
        <w:t>,</w:t>
      </w:r>
      <w:r w:rsidRPr="00220D90">
        <w:rPr>
          <w:rFonts w:cs="Arial"/>
          <w:rtl/>
        </w:rPr>
        <w:t xml:space="preserve"> אבל לסברת רבינו שמשון שאכתוב בסמוך בכל ענין שרי וכמו שאכתוב לקמן דנראה מדברי הג</w:t>
      </w:r>
      <w:r>
        <w:rPr>
          <w:rFonts w:cs="Arial" w:hint="cs"/>
          <w:rtl/>
        </w:rPr>
        <w:t xml:space="preserve">שע"ד </w:t>
      </w:r>
      <w:r w:rsidRPr="00220D90">
        <w:rPr>
          <w:rFonts w:cs="Arial"/>
          <w:rtl/>
        </w:rPr>
        <w:t>דכן נוהגין</w:t>
      </w:r>
      <w:r>
        <w:rPr>
          <w:rFonts w:cs="Arial" w:hint="cs"/>
          <w:rtl/>
        </w:rPr>
        <w:t>.</w:t>
      </w:r>
    </w:p>
  </w:footnote>
  <w:footnote w:id="2300">
    <w:p w14:paraId="36607F1C" w14:textId="77777777" w:rsidR="004C5A3C" w:rsidRDefault="004C5A3C" w:rsidP="002C39F4">
      <w:pPr>
        <w:pStyle w:val="a5"/>
        <w:rPr>
          <w:rtl/>
        </w:rPr>
      </w:pPr>
      <w:r>
        <w:rPr>
          <w:rStyle w:val="a7"/>
        </w:rPr>
        <w:footnoteRef/>
      </w:r>
      <w:r>
        <w:rPr>
          <w:rtl/>
        </w:rPr>
        <w:t xml:space="preserve"> </w:t>
      </w:r>
      <w:r>
        <w:rPr>
          <w:rFonts w:cs="Arial" w:hint="cs"/>
          <w:rtl/>
        </w:rPr>
        <w:t>וכ'</w:t>
      </w:r>
      <w:r w:rsidRPr="00220D90">
        <w:rPr>
          <w:rFonts w:cs="Arial"/>
          <w:rtl/>
        </w:rPr>
        <w:t xml:space="preserve"> </w:t>
      </w:r>
      <w:r>
        <w:rPr>
          <w:rFonts w:cs="Arial" w:hint="cs"/>
          <w:rtl/>
        </w:rPr>
        <w:t>הדרכ"מ (אות ב, ובסי' סו</w:t>
      </w:r>
      <w:r w:rsidRPr="00220D90">
        <w:rPr>
          <w:rFonts w:cs="Arial"/>
          <w:rtl/>
        </w:rPr>
        <w:t xml:space="preserve"> אות ח)</w:t>
      </w:r>
      <w:r>
        <w:rPr>
          <w:rFonts w:cs="Arial" w:hint="cs"/>
          <w:rtl/>
        </w:rPr>
        <w:t xml:space="preserve"> ד</w:t>
      </w:r>
      <w:r w:rsidRPr="00220D90">
        <w:rPr>
          <w:rFonts w:cs="Arial"/>
          <w:rtl/>
        </w:rPr>
        <w:t>אין לחוש לזה ו</w:t>
      </w:r>
      <w:r>
        <w:rPr>
          <w:rFonts w:cs="Arial" w:hint="cs"/>
          <w:rtl/>
        </w:rPr>
        <w:t>ש</w:t>
      </w:r>
      <w:r w:rsidRPr="00220D90">
        <w:rPr>
          <w:rFonts w:cs="Arial"/>
          <w:rtl/>
        </w:rPr>
        <w:t>כן המנהג</w:t>
      </w:r>
      <w:r>
        <w:rPr>
          <w:rFonts w:cs="Arial" w:hint="cs"/>
          <w:rtl/>
        </w:rPr>
        <w:t>.</w:t>
      </w:r>
    </w:p>
  </w:footnote>
  <w:footnote w:id="2301">
    <w:p w14:paraId="2EF93348" w14:textId="77777777" w:rsidR="004C5A3C" w:rsidRDefault="004C5A3C" w:rsidP="002C39F4">
      <w:pPr>
        <w:pStyle w:val="a5"/>
        <w:rPr>
          <w:rtl/>
        </w:rPr>
      </w:pPr>
      <w:r>
        <w:rPr>
          <w:rStyle w:val="a7"/>
        </w:rPr>
        <w:footnoteRef/>
      </w:r>
      <w:r>
        <w:rPr>
          <w:rtl/>
        </w:rPr>
        <w:t xml:space="preserve"> </w:t>
      </w:r>
      <w:r w:rsidRPr="00445CF7">
        <w:rPr>
          <w:rFonts w:cs="Arial"/>
          <w:rtl/>
        </w:rPr>
        <w:t xml:space="preserve">בת"ח </w:t>
      </w:r>
      <w:r>
        <w:rPr>
          <w:rFonts w:cs="Arial" w:hint="cs"/>
          <w:rtl/>
        </w:rPr>
        <w:t>(</w:t>
      </w:r>
      <w:r w:rsidRPr="00445CF7">
        <w:rPr>
          <w:rFonts w:cs="Arial"/>
          <w:rtl/>
        </w:rPr>
        <w:t>כלל נא</w:t>
      </w:r>
      <w:r>
        <w:rPr>
          <w:rFonts w:cs="Arial" w:hint="cs"/>
          <w:rtl/>
        </w:rPr>
        <w:t>)</w:t>
      </w:r>
      <w:r w:rsidRPr="00445CF7">
        <w:rPr>
          <w:rFonts w:cs="Arial"/>
          <w:rtl/>
        </w:rPr>
        <w:t xml:space="preserve"> דקדק מדלא כתב הש</w:t>
      </w:r>
      <w:r>
        <w:rPr>
          <w:rFonts w:cs="Arial" w:hint="cs"/>
          <w:rtl/>
        </w:rPr>
        <w:t>ו</w:t>
      </w:r>
      <w:r w:rsidRPr="00445CF7">
        <w:rPr>
          <w:rFonts w:cs="Arial"/>
          <w:rtl/>
        </w:rPr>
        <w:t>"ע דאם לא עשה כן אסור שמע מיניה דדוקא לכתחלה קמזהיר ובדיעבד מותר</w:t>
      </w:r>
      <w:r>
        <w:rPr>
          <w:rFonts w:cs="Arial" w:hint="cs"/>
          <w:rtl/>
        </w:rPr>
        <w:t>,</w:t>
      </w:r>
      <w:r w:rsidRPr="00445CF7">
        <w:rPr>
          <w:rFonts w:cs="Arial"/>
          <w:rtl/>
        </w:rPr>
        <w:t xml:space="preserve"> כיש מתירין שזכר רמ"א</w:t>
      </w:r>
      <w:r>
        <w:rPr>
          <w:rFonts w:hint="cs"/>
          <w:rtl/>
        </w:rPr>
        <w:t>, ט"ז (סק"א).</w:t>
      </w:r>
    </w:p>
  </w:footnote>
  <w:footnote w:id="2302">
    <w:p w14:paraId="29313064" w14:textId="77777777" w:rsidR="004C5A3C" w:rsidRDefault="004C5A3C" w:rsidP="002C39F4">
      <w:pPr>
        <w:pStyle w:val="a5"/>
        <w:rPr>
          <w:rtl/>
        </w:rPr>
      </w:pPr>
      <w:r>
        <w:rPr>
          <w:rStyle w:val="a7"/>
        </w:rPr>
        <w:footnoteRef/>
      </w:r>
      <w:r>
        <w:rPr>
          <w:rtl/>
        </w:rPr>
        <w:t xml:space="preserve"> </w:t>
      </w:r>
      <w:r w:rsidRPr="00445CF7">
        <w:rPr>
          <w:rFonts w:cs="Arial"/>
          <w:rtl/>
        </w:rPr>
        <w:t xml:space="preserve">וכ' או"ה </w:t>
      </w:r>
      <w:r>
        <w:rPr>
          <w:rFonts w:cs="Arial" w:hint="cs"/>
          <w:rtl/>
        </w:rPr>
        <w:t>(</w:t>
      </w:r>
      <w:r w:rsidRPr="00445CF7">
        <w:rPr>
          <w:rFonts w:cs="Arial"/>
          <w:rtl/>
        </w:rPr>
        <w:t>כלל כז</w:t>
      </w:r>
      <w:r>
        <w:rPr>
          <w:rFonts w:cs="Arial" w:hint="cs"/>
          <w:rtl/>
        </w:rPr>
        <w:t>)</w:t>
      </w:r>
      <w:r w:rsidRPr="00445CF7">
        <w:rPr>
          <w:rFonts w:cs="Arial"/>
          <w:rtl/>
        </w:rPr>
        <w:t xml:space="preserve"> דאם לא עירה אותן לקערה אלא נשארו בקדירה ועירה הרותחין מהן ג"כ אסור דשמא היתה ביצה האסורה בשולי הקדירה ונאסרו הביצים שאצלה דעד הנה שהיו המים מוליכין הטעם לכל הביצים היו כולן מסייעות לבטל והשתא דליתנהו אין שאר הביצים מסייעות לבטל ומאחר שעל ידי לחלוחית מים שעליהם אוסרים מיהא גם האחרים שנוגעים אחר כן באותה שנגעה בביצים האסורות לכן אסורות כולן ואפילו הם מאה</w:t>
      </w:r>
      <w:r>
        <w:rPr>
          <w:rFonts w:hint="cs"/>
          <w:rtl/>
        </w:rPr>
        <w:t>, ט"ז (סק"ב).</w:t>
      </w:r>
    </w:p>
  </w:footnote>
  <w:footnote w:id="2303">
    <w:p w14:paraId="5F1A40FF" w14:textId="77777777" w:rsidR="004C5A3C" w:rsidRDefault="004C5A3C" w:rsidP="002C39F4">
      <w:pPr>
        <w:pStyle w:val="a5"/>
        <w:rPr>
          <w:rtl/>
        </w:rPr>
      </w:pPr>
      <w:r>
        <w:rPr>
          <w:rStyle w:val="a7"/>
        </w:rPr>
        <w:footnoteRef/>
      </w:r>
      <w:r>
        <w:rPr>
          <w:rtl/>
        </w:rPr>
        <w:t xml:space="preserve"> </w:t>
      </w:r>
      <w:r w:rsidRPr="00445CF7">
        <w:rPr>
          <w:rFonts w:cs="Arial"/>
          <w:rtl/>
        </w:rPr>
        <w:t>ואם יש ספק בדבר אם עירה בפעם אחת משמע בטור להחמיר</w:t>
      </w:r>
      <w:r>
        <w:rPr>
          <w:rFonts w:cs="Arial" w:hint="cs"/>
          <w:rtl/>
        </w:rPr>
        <w:t>,</w:t>
      </w:r>
      <w:r w:rsidRPr="00445CF7">
        <w:rPr>
          <w:rFonts w:cs="Arial"/>
          <w:rtl/>
        </w:rPr>
        <w:t xml:space="preserve"> וכ</w:t>
      </w:r>
      <w:r>
        <w:rPr>
          <w:rFonts w:cs="Arial" w:hint="cs"/>
          <w:rtl/>
        </w:rPr>
        <w:t>"</w:t>
      </w:r>
      <w:r w:rsidRPr="00445CF7">
        <w:rPr>
          <w:rFonts w:cs="Arial"/>
          <w:rtl/>
        </w:rPr>
        <w:t>כ או"ה</w:t>
      </w:r>
      <w:r>
        <w:rPr>
          <w:rFonts w:hint="cs"/>
          <w:rtl/>
        </w:rPr>
        <w:t>, ט"ז (סק"ג).</w:t>
      </w:r>
    </w:p>
  </w:footnote>
  <w:footnote w:id="2304">
    <w:p w14:paraId="0D3C5A38" w14:textId="77777777" w:rsidR="004C5A3C" w:rsidRDefault="004C5A3C" w:rsidP="002C39F4">
      <w:pPr>
        <w:pStyle w:val="a5"/>
        <w:rPr>
          <w:rtl/>
        </w:rPr>
      </w:pPr>
      <w:r>
        <w:rPr>
          <w:rStyle w:val="a7"/>
        </w:rPr>
        <w:footnoteRef/>
      </w:r>
      <w:r>
        <w:rPr>
          <w:rtl/>
        </w:rPr>
        <w:t xml:space="preserve"> </w:t>
      </w:r>
      <w:r>
        <w:rPr>
          <w:rFonts w:asciiTheme="minorBidi" w:hAnsiTheme="minorBidi" w:cs="Arial" w:hint="cs"/>
          <w:rtl/>
        </w:rPr>
        <w:t xml:space="preserve">וכ' הט"ז </w:t>
      </w:r>
      <w:r w:rsidRPr="00FA1B76">
        <w:rPr>
          <w:rFonts w:asciiTheme="minorBidi" w:hAnsiTheme="minorBidi" w:cs="Arial"/>
          <w:rtl/>
        </w:rPr>
        <w:t>(</w:t>
      </w:r>
      <w:r>
        <w:rPr>
          <w:rFonts w:asciiTheme="minorBidi" w:hAnsiTheme="minorBidi" w:cs="Arial" w:hint="cs"/>
          <w:rtl/>
        </w:rPr>
        <w:t>סק"</w:t>
      </w:r>
      <w:r w:rsidRPr="00FA1B76">
        <w:rPr>
          <w:rFonts w:asciiTheme="minorBidi" w:hAnsiTheme="minorBidi" w:cs="Arial"/>
          <w:rtl/>
        </w:rPr>
        <w:t>ה)</w:t>
      </w:r>
      <w:r>
        <w:rPr>
          <w:rFonts w:asciiTheme="minorBidi" w:hAnsiTheme="minorBidi" w:cs="Arial" w:hint="cs"/>
          <w:rtl/>
        </w:rPr>
        <w:t>-</w:t>
      </w:r>
      <w:r w:rsidRPr="00FA1B76">
        <w:rPr>
          <w:rFonts w:asciiTheme="minorBidi" w:hAnsiTheme="minorBidi" w:cs="Arial"/>
          <w:rtl/>
        </w:rPr>
        <w:t xml:space="preserve"> כבר כתבתי דעת רש"ל דלא קי"ל כן ושכן עיקר להחמיר בביצים</w:t>
      </w:r>
      <w:r>
        <w:rPr>
          <w:rFonts w:asciiTheme="minorBidi" w:hAnsiTheme="minorBidi" w:cs="Arial" w:hint="cs"/>
          <w:rtl/>
        </w:rPr>
        <w:t>,</w:t>
      </w:r>
      <w:r w:rsidRPr="00FA1B76">
        <w:rPr>
          <w:rFonts w:asciiTheme="minorBidi" w:hAnsiTheme="minorBidi" w:cs="Arial"/>
          <w:rtl/>
        </w:rPr>
        <w:t xml:space="preserve"> ואפילו לדעה זו יש להחמיר אם בישל ביצים הרבה בקדירה והיה ביניהם אחת שהיא אסורה והוציא כל א' בכף אחת דיש לחוש שמא הוציא האסורה בראשונה ונאסר הכף ממילא נאסרו האחרים אח"כ דהא דאמרי' לא מחזקינן איסורא כו' היינו מטעם דאמרינן איסורא ברובא איתא</w:t>
      </w:r>
      <w:r>
        <w:rPr>
          <w:rFonts w:asciiTheme="minorBidi" w:hAnsiTheme="minorBidi" w:cs="Arial" w:hint="cs"/>
          <w:rtl/>
        </w:rPr>
        <w:t>,</w:t>
      </w:r>
      <w:r w:rsidRPr="00FA1B76">
        <w:rPr>
          <w:rFonts w:asciiTheme="minorBidi" w:hAnsiTheme="minorBidi" w:cs="Arial"/>
          <w:rtl/>
        </w:rPr>
        <w:t xml:space="preserve"> וכן העתיק בת"ח בשם הר"ש שהוא מרא דדיעה זו</w:t>
      </w:r>
      <w:r>
        <w:rPr>
          <w:rFonts w:asciiTheme="minorBidi" w:hAnsiTheme="minorBidi" w:cs="Arial" w:hint="cs"/>
          <w:rtl/>
        </w:rPr>
        <w:t>,</w:t>
      </w:r>
      <w:r w:rsidRPr="00FA1B76">
        <w:rPr>
          <w:rFonts w:asciiTheme="minorBidi" w:hAnsiTheme="minorBidi" w:cs="Arial"/>
          <w:rtl/>
        </w:rPr>
        <w:t xml:space="preserve"> משא"כ בדין זה</w:t>
      </w:r>
      <w:r>
        <w:rPr>
          <w:rFonts w:asciiTheme="minorBidi" w:hAnsiTheme="minorBidi" w:cs="Arial" w:hint="cs"/>
          <w:rtl/>
        </w:rPr>
        <w:t>,</w:t>
      </w:r>
      <w:r w:rsidRPr="00FA1B76">
        <w:rPr>
          <w:rFonts w:asciiTheme="minorBidi" w:hAnsiTheme="minorBidi" w:cs="Arial"/>
          <w:rtl/>
        </w:rPr>
        <w:t xml:space="preserve"> וכ"פ באו"ה </w:t>
      </w:r>
      <w:r>
        <w:rPr>
          <w:rFonts w:asciiTheme="minorBidi" w:hAnsiTheme="minorBidi" w:cs="Arial" w:hint="cs"/>
          <w:rtl/>
        </w:rPr>
        <w:t>(</w:t>
      </w:r>
      <w:r w:rsidRPr="00FA1B76">
        <w:rPr>
          <w:rFonts w:asciiTheme="minorBidi" w:hAnsiTheme="minorBidi" w:cs="Arial"/>
          <w:rtl/>
        </w:rPr>
        <w:t>כלל כז</w:t>
      </w:r>
      <w:r>
        <w:rPr>
          <w:rFonts w:asciiTheme="minorBidi" w:hAnsiTheme="minorBidi" w:cs="Arial" w:hint="cs"/>
          <w:rtl/>
        </w:rPr>
        <w:t>),</w:t>
      </w:r>
      <w:r w:rsidRPr="00FA1B76">
        <w:rPr>
          <w:rFonts w:asciiTheme="minorBidi" w:hAnsiTheme="minorBidi" w:cs="Arial"/>
          <w:rtl/>
        </w:rPr>
        <w:t xml:space="preserve"> וכ' שם עוד בדין זה דאע</w:t>
      </w:r>
      <w:r>
        <w:rPr>
          <w:rFonts w:asciiTheme="minorBidi" w:hAnsiTheme="minorBidi" w:cs="Arial" w:hint="cs"/>
          <w:rtl/>
        </w:rPr>
        <w:t>"</w:t>
      </w:r>
      <w:r w:rsidRPr="00FA1B76">
        <w:rPr>
          <w:rFonts w:asciiTheme="minorBidi" w:hAnsiTheme="minorBidi" w:cs="Arial"/>
          <w:rtl/>
        </w:rPr>
        <w:t>פ שאין בביצה האסורה אפרוח רק דם</w:t>
      </w:r>
      <w:r>
        <w:rPr>
          <w:rFonts w:asciiTheme="minorBidi" w:hAnsiTheme="minorBidi" w:cs="Arial" w:hint="cs"/>
          <w:rtl/>
        </w:rPr>
        <w:t>,</w:t>
      </w:r>
      <w:r w:rsidRPr="00FA1B76">
        <w:rPr>
          <w:rFonts w:asciiTheme="minorBidi" w:hAnsiTheme="minorBidi" w:cs="Arial"/>
          <w:rtl/>
        </w:rPr>
        <w:t xml:space="preserve"> ודם ביצים דרבנן</w:t>
      </w:r>
      <w:r>
        <w:rPr>
          <w:rFonts w:asciiTheme="minorBidi" w:hAnsiTheme="minorBidi" w:cs="Arial" w:hint="cs"/>
          <w:rtl/>
        </w:rPr>
        <w:t>,</w:t>
      </w:r>
      <w:r w:rsidRPr="00FA1B76">
        <w:rPr>
          <w:rFonts w:asciiTheme="minorBidi" w:hAnsiTheme="minorBidi" w:cs="Arial"/>
          <w:rtl/>
        </w:rPr>
        <w:t xml:space="preserve"> וספיקא דרבנן לקולא</w:t>
      </w:r>
      <w:r>
        <w:rPr>
          <w:rFonts w:asciiTheme="minorBidi" w:hAnsiTheme="minorBidi" w:cs="Arial" w:hint="cs"/>
          <w:rtl/>
        </w:rPr>
        <w:t>,</w:t>
      </w:r>
      <w:r w:rsidRPr="00FA1B76">
        <w:rPr>
          <w:rFonts w:asciiTheme="minorBidi" w:hAnsiTheme="minorBidi" w:cs="Arial"/>
          <w:rtl/>
        </w:rPr>
        <w:t xml:space="preserve"> דהיינו דוקא קודם שנודע איסור ודאי בביצה אבל לאחר שנודע בודאי איסור פעם אחת אין לחלק בין ספיקא דרבנן לספיקא איסור דאו</w:t>
      </w:r>
      <w:r>
        <w:rPr>
          <w:rFonts w:asciiTheme="minorBidi" w:hAnsiTheme="minorBidi" w:cs="Arial" w:hint="cs"/>
          <w:rtl/>
        </w:rPr>
        <w:t>'</w:t>
      </w:r>
      <w:r w:rsidRPr="00FA1B76">
        <w:rPr>
          <w:rFonts w:asciiTheme="minorBidi" w:hAnsiTheme="minorBidi" w:cs="Arial"/>
          <w:rtl/>
        </w:rPr>
        <w:t xml:space="preserve"> דכל דתיקון רבנן כעין דאו</w:t>
      </w:r>
      <w:r>
        <w:rPr>
          <w:rFonts w:asciiTheme="minorBidi" w:hAnsiTheme="minorBidi" w:cs="Arial" w:hint="cs"/>
          <w:rtl/>
        </w:rPr>
        <w:t>'</w:t>
      </w:r>
      <w:r w:rsidRPr="00FA1B76">
        <w:rPr>
          <w:rFonts w:asciiTheme="minorBidi" w:hAnsiTheme="minorBidi" w:cs="Arial"/>
          <w:rtl/>
        </w:rPr>
        <w:t xml:space="preserve"> תיקון עכ"ל</w:t>
      </w:r>
      <w:r>
        <w:rPr>
          <w:rFonts w:asciiTheme="minorBidi" w:hAnsiTheme="minorBidi" w:cs="Arial" w:hint="cs"/>
          <w:rtl/>
        </w:rPr>
        <w:t>,</w:t>
      </w:r>
      <w:r w:rsidRPr="00FA1B76">
        <w:rPr>
          <w:rFonts w:asciiTheme="minorBidi" w:hAnsiTheme="minorBidi" w:cs="Arial"/>
          <w:rtl/>
        </w:rPr>
        <w:t xml:space="preserve"> ולא נהירא האי מילתא</w:t>
      </w:r>
      <w:r>
        <w:rPr>
          <w:rFonts w:asciiTheme="minorBidi" w:hAnsiTheme="minorBidi" w:cs="Arial" w:hint="cs"/>
          <w:rtl/>
        </w:rPr>
        <w:t>...</w:t>
      </w:r>
      <w:r w:rsidRPr="00FA1B76">
        <w:rPr>
          <w:rFonts w:asciiTheme="minorBidi" w:hAnsiTheme="minorBidi" w:cs="Arial"/>
          <w:rtl/>
        </w:rPr>
        <w:t xml:space="preserve"> אלא ע"כ דגם בכה"ג הוה ספיקא דרבנן ולקולא </w:t>
      </w:r>
      <w:r w:rsidRPr="00FA1B76">
        <w:rPr>
          <w:rFonts w:asciiTheme="minorBidi" w:hAnsiTheme="minorBidi" w:cs="Arial" w:hint="cs"/>
          <w:sz w:val="16"/>
          <w:szCs w:val="16"/>
          <w:rtl/>
        </w:rPr>
        <w:t>(</w:t>
      </w:r>
      <w:r w:rsidRPr="00FA1B76">
        <w:rPr>
          <w:rFonts w:asciiTheme="minorBidi" w:hAnsiTheme="minorBidi" w:cs="Arial"/>
          <w:sz w:val="16"/>
          <w:szCs w:val="16"/>
          <w:rtl/>
        </w:rPr>
        <w:t>ולענין עיקר הדין שכתב או"ה דקי"ל דם ביצים דרבנן כבר נתבאר בסימן ס"ו סע</w:t>
      </w:r>
      <w:r>
        <w:rPr>
          <w:rFonts w:asciiTheme="minorBidi" w:hAnsiTheme="minorBidi" w:cs="Arial" w:hint="cs"/>
          <w:sz w:val="16"/>
          <w:szCs w:val="16"/>
          <w:rtl/>
        </w:rPr>
        <w:t>'</w:t>
      </w:r>
      <w:r w:rsidRPr="00FA1B76">
        <w:rPr>
          <w:rFonts w:asciiTheme="minorBidi" w:hAnsiTheme="minorBidi" w:cs="Arial"/>
          <w:sz w:val="16"/>
          <w:szCs w:val="16"/>
          <w:rtl/>
        </w:rPr>
        <w:t xml:space="preserve"> ד' הכרעת רמ"א דכל היכא די"ל חד בתרי בטל אז סמכינן אמ"ד דם ביצים דרבנן אבל בלא</w:t>
      </w:r>
      <w:r>
        <w:rPr>
          <w:rFonts w:asciiTheme="minorBidi" w:hAnsiTheme="minorBidi" w:cs="Arial" w:hint="cs"/>
          <w:sz w:val="16"/>
          <w:szCs w:val="16"/>
          <w:rtl/>
        </w:rPr>
        <w:t>"</w:t>
      </w:r>
      <w:r w:rsidRPr="00FA1B76">
        <w:rPr>
          <w:rFonts w:asciiTheme="minorBidi" w:hAnsiTheme="minorBidi" w:cs="Arial"/>
          <w:sz w:val="16"/>
          <w:szCs w:val="16"/>
          <w:rtl/>
        </w:rPr>
        <w:t>ה אנו מחמירין כמ"ד דם ביצים הוא דאו</w:t>
      </w:r>
      <w:r>
        <w:rPr>
          <w:rFonts w:asciiTheme="minorBidi" w:hAnsiTheme="minorBidi" w:cs="Arial" w:hint="cs"/>
          <w:sz w:val="16"/>
          <w:szCs w:val="16"/>
          <w:rtl/>
        </w:rPr>
        <w:t>',</w:t>
      </w:r>
      <w:r w:rsidRPr="00FA1B76">
        <w:rPr>
          <w:rFonts w:asciiTheme="minorBidi" w:hAnsiTheme="minorBidi" w:cs="Arial"/>
          <w:sz w:val="16"/>
          <w:szCs w:val="16"/>
          <w:rtl/>
        </w:rPr>
        <w:t xml:space="preserve"> מש</w:t>
      </w:r>
      <w:r>
        <w:rPr>
          <w:rFonts w:asciiTheme="minorBidi" w:hAnsiTheme="minorBidi" w:cs="Arial" w:hint="cs"/>
          <w:sz w:val="16"/>
          <w:szCs w:val="16"/>
          <w:rtl/>
        </w:rPr>
        <w:t>"</w:t>
      </w:r>
      <w:r w:rsidRPr="00FA1B76">
        <w:rPr>
          <w:rFonts w:asciiTheme="minorBidi" w:hAnsiTheme="minorBidi" w:cs="Arial"/>
          <w:sz w:val="16"/>
          <w:szCs w:val="16"/>
          <w:rtl/>
        </w:rPr>
        <w:t>ה כאן דא"ל חד בתרי בטל דהא אנו מכירין הביצה האסורה ומש</w:t>
      </w:r>
      <w:r>
        <w:rPr>
          <w:rFonts w:asciiTheme="minorBidi" w:hAnsiTheme="minorBidi" w:cs="Arial" w:hint="cs"/>
          <w:sz w:val="16"/>
          <w:szCs w:val="16"/>
          <w:rtl/>
        </w:rPr>
        <w:t>"</w:t>
      </w:r>
      <w:r w:rsidRPr="00FA1B76">
        <w:rPr>
          <w:rFonts w:asciiTheme="minorBidi" w:hAnsiTheme="minorBidi" w:cs="Arial"/>
          <w:sz w:val="16"/>
          <w:szCs w:val="16"/>
          <w:rtl/>
        </w:rPr>
        <w:t>ה אפי' בביצה שנאסרה משום דם יש לאסור כולן אם נטלן בכף כל אחד בפני עצמו מהקדירה דה"ל ספק דאו</w:t>
      </w:r>
      <w:r>
        <w:rPr>
          <w:rFonts w:asciiTheme="minorBidi" w:hAnsiTheme="minorBidi" w:cs="Arial" w:hint="cs"/>
          <w:sz w:val="16"/>
          <w:szCs w:val="16"/>
          <w:rtl/>
        </w:rPr>
        <w:t>'</w:t>
      </w:r>
      <w:r w:rsidRPr="00FA1B76">
        <w:rPr>
          <w:rFonts w:asciiTheme="minorBidi" w:hAnsiTheme="minorBidi" w:cs="Arial"/>
          <w:sz w:val="16"/>
          <w:szCs w:val="16"/>
          <w:rtl/>
        </w:rPr>
        <w:t xml:space="preserve"> דשמא נאסר הכף בראשונה</w:t>
      </w:r>
      <w:r>
        <w:rPr>
          <w:rFonts w:asciiTheme="minorBidi" w:hAnsiTheme="minorBidi" w:cs="Arial" w:hint="cs"/>
          <w:sz w:val="16"/>
          <w:szCs w:val="16"/>
          <w:rtl/>
        </w:rPr>
        <w:t>)</w:t>
      </w:r>
      <w:r>
        <w:rPr>
          <w:rFonts w:hint="cs"/>
          <w:rtl/>
        </w:rPr>
        <w:t>.</w:t>
      </w:r>
    </w:p>
  </w:footnote>
  <w:footnote w:id="2305">
    <w:p w14:paraId="5F5DD92E" w14:textId="77777777" w:rsidR="004C5A3C" w:rsidRDefault="004C5A3C" w:rsidP="002C39F4">
      <w:pPr>
        <w:pStyle w:val="a5"/>
      </w:pPr>
      <w:r>
        <w:rPr>
          <w:rStyle w:val="a7"/>
        </w:rPr>
        <w:footnoteRef/>
      </w:r>
      <w:r>
        <w:rPr>
          <w:rtl/>
        </w:rPr>
        <w:t xml:space="preserve"> </w:t>
      </w:r>
      <w:r w:rsidRPr="000339D5">
        <w:rPr>
          <w:rFonts w:cs="Arial" w:hint="cs"/>
          <w:rtl/>
        </w:rPr>
        <w:t xml:space="preserve">רי"ו </w:t>
      </w:r>
      <w:r w:rsidRPr="000339D5">
        <w:rPr>
          <w:rFonts w:cs="Arial" w:hint="cs"/>
          <w:sz w:val="16"/>
          <w:szCs w:val="16"/>
          <w:rtl/>
        </w:rPr>
        <w:t xml:space="preserve">(שם) </w:t>
      </w:r>
      <w:r>
        <w:rPr>
          <w:rFonts w:cs="Arial" w:hint="cs"/>
          <w:rtl/>
        </w:rPr>
        <w:t>כתב ד</w:t>
      </w:r>
      <w:r w:rsidRPr="000339D5">
        <w:rPr>
          <w:rFonts w:cs="Arial"/>
          <w:rtl/>
        </w:rPr>
        <w:t>הרא"ש</w:t>
      </w:r>
      <w:r>
        <w:rPr>
          <w:rFonts w:cs="Arial" w:hint="cs"/>
          <w:rtl/>
        </w:rPr>
        <w:t xml:space="preserve"> בתשובה</w:t>
      </w:r>
      <w:r w:rsidRPr="000339D5">
        <w:rPr>
          <w:rFonts w:cs="Arial"/>
          <w:rtl/>
        </w:rPr>
        <w:t xml:space="preserve"> </w:t>
      </w:r>
      <w:r w:rsidRPr="000339D5">
        <w:rPr>
          <w:rFonts w:cs="Arial" w:hint="cs"/>
          <w:rtl/>
        </w:rPr>
        <w:t>התיר</w:t>
      </w:r>
      <w:r>
        <w:rPr>
          <w:rFonts w:cs="Arial" w:hint="cs"/>
          <w:rtl/>
        </w:rPr>
        <w:t xml:space="preserve"> בנמלה</w:t>
      </w:r>
      <w:r w:rsidRPr="000339D5">
        <w:rPr>
          <w:rFonts w:cs="Arial"/>
          <w:rtl/>
        </w:rPr>
        <w:t xml:space="preserve"> כי לא </w:t>
      </w:r>
      <w:r>
        <w:rPr>
          <w:rFonts w:cs="Arial" w:hint="cs"/>
          <w:rtl/>
        </w:rPr>
        <w:t>אין בה</w:t>
      </w:r>
      <w:r w:rsidRPr="000339D5">
        <w:rPr>
          <w:rFonts w:cs="Arial"/>
          <w:rtl/>
        </w:rPr>
        <w:t xml:space="preserve"> אחד מששים במלוא הכף</w:t>
      </w:r>
      <w:r w:rsidRPr="000339D5">
        <w:rPr>
          <w:rFonts w:cs="Arial" w:hint="cs"/>
          <w:rtl/>
        </w:rPr>
        <w:t>,</w:t>
      </w:r>
      <w:r w:rsidRPr="000339D5">
        <w:rPr>
          <w:rFonts w:cs="Arial"/>
          <w:rtl/>
        </w:rPr>
        <w:t xml:space="preserve"> אבל בזבוב הנמצא בכף צוה להגעיל הכף כי לא היה בכף ששים כנגד הזבוב</w:t>
      </w:r>
      <w:r>
        <w:rPr>
          <w:rFonts w:hint="cs"/>
          <w:rtl/>
        </w:rPr>
        <w:t>, ע"כ.</w:t>
      </w:r>
      <w:r w:rsidRPr="00875E43">
        <w:rPr>
          <w:rFonts w:cs="Arial" w:hint="cs"/>
          <w:rtl/>
        </w:rPr>
        <w:t xml:space="preserve"> </w:t>
      </w:r>
      <w:r>
        <w:rPr>
          <w:rFonts w:cs="Arial" w:hint="cs"/>
          <w:rtl/>
        </w:rPr>
        <w:t xml:space="preserve">אך </w:t>
      </w:r>
      <w:r w:rsidRPr="00220D90">
        <w:rPr>
          <w:rFonts w:cs="Arial"/>
          <w:rtl/>
        </w:rPr>
        <w:t>ה</w:t>
      </w:r>
      <w:r>
        <w:rPr>
          <w:rFonts w:cs="Arial" w:hint="cs"/>
          <w:rtl/>
        </w:rPr>
        <w:t>גמ"ר</w:t>
      </w:r>
      <w:r w:rsidRPr="00220D90">
        <w:rPr>
          <w:rFonts w:cs="Arial"/>
          <w:rtl/>
        </w:rPr>
        <w:t xml:space="preserve"> </w:t>
      </w:r>
      <w:r>
        <w:rPr>
          <w:rFonts w:cs="Arial" w:hint="cs"/>
          <w:rtl/>
        </w:rPr>
        <w:t>(</w:t>
      </w:r>
      <w:r w:rsidRPr="00220D90">
        <w:rPr>
          <w:rFonts w:cs="Arial"/>
          <w:rtl/>
        </w:rPr>
        <w:t>חולין סי' תשמז) דאף הכף עצמו מותר דיש בו ס' נגד הזבוב</w:t>
      </w:r>
      <w:r>
        <w:rPr>
          <w:rFonts w:hint="cs"/>
          <w:rtl/>
        </w:rPr>
        <w:t>, ע"כ.</w:t>
      </w:r>
      <w:r w:rsidRPr="00875E43">
        <w:rPr>
          <w:rFonts w:cs="Arial"/>
          <w:rtl/>
        </w:rPr>
        <w:t xml:space="preserve"> </w:t>
      </w:r>
      <w:r w:rsidRPr="00220D90">
        <w:rPr>
          <w:rFonts w:cs="Arial"/>
          <w:rtl/>
        </w:rPr>
        <w:t>ו</w:t>
      </w:r>
      <w:r>
        <w:rPr>
          <w:rFonts w:cs="Arial" w:hint="cs"/>
          <w:rtl/>
        </w:rPr>
        <w:t>כ' הדרכ"מ (אות ד) ד</w:t>
      </w:r>
      <w:r w:rsidRPr="00220D90">
        <w:rPr>
          <w:rFonts w:cs="Arial"/>
          <w:rtl/>
        </w:rPr>
        <w:t>לעיל סימן צ"ב (עמ' תד) גבי טיפה שנפלה על הקדרה משמע דאין משערין בקדרה בס' וה"ה בכף</w:t>
      </w:r>
      <w:r>
        <w:rPr>
          <w:rFonts w:cs="Arial" w:hint="cs"/>
          <w:rtl/>
        </w:rPr>
        <w:t>,</w:t>
      </w:r>
      <w:r w:rsidRPr="00220D90">
        <w:rPr>
          <w:rFonts w:cs="Arial"/>
          <w:rtl/>
        </w:rPr>
        <w:t xml:space="preserve"> ומ"מ אין צריך לשער ס' נגד כל הכף דלא אמרינן חנ"נ לגבי כלי כמ"ש לעיל סימן צ"ח (אות ח) וצ"ב (אות ד)</w:t>
      </w:r>
      <w:r>
        <w:rPr>
          <w:rFonts w:cs="Arial" w:hint="cs"/>
          <w:rtl/>
        </w:rPr>
        <w:t>,</w:t>
      </w:r>
      <w:r w:rsidRPr="00220D90">
        <w:rPr>
          <w:rFonts w:cs="Arial"/>
          <w:rtl/>
        </w:rPr>
        <w:t xml:space="preserve"> ולכן מאחר דידעינן כמה הוא האיסור הבלוע לא בעינן רק ס' נגד האיסור</w:t>
      </w:r>
      <w:r>
        <w:rPr>
          <w:rFonts w:cs="Arial" w:hint="cs"/>
          <w:rtl/>
        </w:rPr>
        <w:t>,</w:t>
      </w:r>
      <w:r w:rsidRPr="00220D90">
        <w:rPr>
          <w:rFonts w:cs="Arial"/>
          <w:rtl/>
        </w:rPr>
        <w:t xml:space="preserve"> אמנם לענין עיקר דינא פסק בית יוסף דזבוב אינו אוסר כלל</w:t>
      </w:r>
      <w:r>
        <w:rPr>
          <w:rFonts w:cs="Arial" w:hint="cs"/>
          <w:rtl/>
        </w:rPr>
        <w:t>.</w:t>
      </w:r>
    </w:p>
  </w:footnote>
  <w:footnote w:id="2306">
    <w:p w14:paraId="2E619473" w14:textId="77777777" w:rsidR="004C5A3C" w:rsidRDefault="004C5A3C" w:rsidP="002C39F4">
      <w:pPr>
        <w:pStyle w:val="a5"/>
      </w:pPr>
      <w:r>
        <w:rPr>
          <w:rStyle w:val="a7"/>
        </w:rPr>
        <w:footnoteRef/>
      </w:r>
      <w:r>
        <w:rPr>
          <w:rtl/>
        </w:rPr>
        <w:t xml:space="preserve"> </w:t>
      </w:r>
      <w:r>
        <w:rPr>
          <w:rFonts w:cs="Arial" w:hint="cs"/>
          <w:rtl/>
        </w:rPr>
        <w:t xml:space="preserve">וכ' הב"י- </w:t>
      </w:r>
      <w:r>
        <w:rPr>
          <w:rFonts w:cs="Arial"/>
          <w:rtl/>
        </w:rPr>
        <w:t xml:space="preserve">ולפי מ"ש רבינו בסימן ק"ד בשם הרשב"א </w:t>
      </w:r>
      <w:r w:rsidRPr="000339D5">
        <w:rPr>
          <w:rFonts w:cs="Arial" w:hint="cs"/>
          <w:sz w:val="16"/>
          <w:szCs w:val="16"/>
          <w:rtl/>
        </w:rPr>
        <w:t>(</w:t>
      </w:r>
      <w:r w:rsidRPr="000339D5">
        <w:rPr>
          <w:rFonts w:cs="Arial"/>
          <w:sz w:val="16"/>
          <w:szCs w:val="16"/>
          <w:rtl/>
        </w:rPr>
        <w:t>דדברים המאוסים שנפשו של אדם קצה בהם כנמלים וזבובים ויתושים אפילו נתערבו בתבשיל ונמחה גופן לתוכו אם ההיתר רבה עליו מותרים</w:t>
      </w:r>
      <w:r>
        <w:rPr>
          <w:rFonts w:cs="Arial" w:hint="cs"/>
          <w:sz w:val="16"/>
          <w:szCs w:val="16"/>
          <w:rtl/>
        </w:rPr>
        <w:t>)</w:t>
      </w:r>
      <w:r>
        <w:rPr>
          <w:rFonts w:cs="Arial" w:hint="cs"/>
          <w:rtl/>
        </w:rPr>
        <w:t>,</w:t>
      </w:r>
      <w:r>
        <w:rPr>
          <w:rFonts w:cs="Arial"/>
          <w:rtl/>
        </w:rPr>
        <w:t xml:space="preserve"> א"כ בכה"ג דליכא אלא פליטת הזבוב או הנמלה פשיטא דבכל גוונא שרי</w:t>
      </w:r>
      <w:r>
        <w:rPr>
          <w:rFonts w:cs="Arial" w:hint="cs"/>
          <w:rtl/>
        </w:rPr>
        <w:t>,</w:t>
      </w:r>
      <w:r>
        <w:rPr>
          <w:rFonts w:cs="Arial"/>
          <w:rtl/>
        </w:rPr>
        <w:t xml:space="preserve"> וכבר כתבתי שם דכמה רבוותא סברי כהרשב"א</w:t>
      </w:r>
      <w:r>
        <w:rPr>
          <w:rFonts w:cs="Arial" w:hint="cs"/>
          <w:rtl/>
        </w:rPr>
        <w:t>,</w:t>
      </w:r>
      <w:r>
        <w:rPr>
          <w:rFonts w:cs="Arial"/>
          <w:rtl/>
        </w:rPr>
        <w:t xml:space="preserve"> ואע</w:t>
      </w:r>
      <w:r>
        <w:rPr>
          <w:rFonts w:cs="Arial" w:hint="cs"/>
          <w:rtl/>
        </w:rPr>
        <w:t>"</w:t>
      </w:r>
      <w:r>
        <w:rPr>
          <w:rFonts w:cs="Arial"/>
          <w:rtl/>
        </w:rPr>
        <w:t>פ שרבינו כתב כאן דין הזבוב וחלק על המצריכים ששים כנגד כל הכף</w:t>
      </w:r>
      <w:r>
        <w:rPr>
          <w:rFonts w:cs="Arial" w:hint="cs"/>
          <w:rtl/>
        </w:rPr>
        <w:t>,</w:t>
      </w:r>
      <w:r>
        <w:rPr>
          <w:rFonts w:cs="Arial"/>
          <w:rtl/>
        </w:rPr>
        <w:t xml:space="preserve"> ומשמע דכנגד הזבוב מיהא ס"ל דבעי ס'</w:t>
      </w:r>
      <w:r>
        <w:rPr>
          <w:rFonts w:cs="Arial" w:hint="cs"/>
          <w:rtl/>
        </w:rPr>
        <w:t>,</w:t>
      </w:r>
      <w:r>
        <w:rPr>
          <w:rFonts w:cs="Arial"/>
          <w:rtl/>
        </w:rPr>
        <w:t xml:space="preserve"> אפשר דלדבריהם קאמר אבל איהו כהרשב"א ס"ל דכיון שההיתר רבה על האיסור שרי בכל גוונא</w:t>
      </w:r>
      <w:r>
        <w:rPr>
          <w:rFonts w:cs="Arial" w:hint="cs"/>
          <w:rtl/>
        </w:rPr>
        <w:t xml:space="preserve">, עכ"ל </w:t>
      </w:r>
      <w:r>
        <w:rPr>
          <w:rFonts w:cs="Arial" w:hint="cs"/>
          <w:sz w:val="16"/>
          <w:szCs w:val="16"/>
          <w:rtl/>
        </w:rPr>
        <w:t>(הב"י)</w:t>
      </w:r>
      <w:r>
        <w:rPr>
          <w:rFonts w:cs="Arial" w:hint="cs"/>
          <w:rtl/>
        </w:rPr>
        <w:t>.</w:t>
      </w:r>
      <w:r w:rsidRPr="00220D90">
        <w:rPr>
          <w:rFonts w:cs="Arial"/>
          <w:rtl/>
        </w:rPr>
        <w:t xml:space="preserve"> </w:t>
      </w:r>
      <w:r>
        <w:rPr>
          <w:rFonts w:cs="Arial" w:hint="cs"/>
          <w:rtl/>
        </w:rPr>
        <w:t>והסכים עמו הדרכ"מ (אות ה) לדינא. וכ' עוד דאף המהר"ם פדוואה כ' שהמיקל להתיר כדברי הרוקח לא הפסיד. וכ' הש"ך (סק"ז) דנראה</w:t>
      </w:r>
      <w:r w:rsidRPr="00026941">
        <w:rPr>
          <w:rFonts w:cs="Arial"/>
          <w:rtl/>
        </w:rPr>
        <w:t xml:space="preserve"> במקום הפסד מרובה או שעת הדחק וכה"ג נראה דעת מהר"ם פדוואה</w:t>
      </w:r>
      <w:r>
        <w:rPr>
          <w:rFonts w:cs="Arial" w:hint="cs"/>
          <w:rtl/>
        </w:rPr>
        <w:t xml:space="preserve"> להתיר,</w:t>
      </w:r>
      <w:r w:rsidRPr="00026941">
        <w:rPr>
          <w:rFonts w:cs="Arial"/>
          <w:rtl/>
        </w:rPr>
        <w:t xml:space="preserve"> וכ"פ הב"ח</w:t>
      </w:r>
      <w:r>
        <w:rPr>
          <w:rFonts w:cs="Arial" w:hint="cs"/>
          <w:rtl/>
        </w:rPr>
        <w:t>,</w:t>
      </w:r>
      <w:r w:rsidRPr="00026941">
        <w:rPr>
          <w:rFonts w:cs="Arial"/>
          <w:rtl/>
        </w:rPr>
        <w:t xml:space="preserve"> מיהו בחלא ושיכרא לכ"ע אסור וכמו שנתבאר בס"ס ק"ד</w:t>
      </w:r>
      <w:r>
        <w:rPr>
          <w:rFonts w:cs="Arial" w:hint="cs"/>
          <w:rtl/>
        </w:rPr>
        <w:t>, ומ"מ תמה הש"ך (שם) על הרמ"א ש</w:t>
      </w:r>
      <w:r w:rsidRPr="00026941">
        <w:rPr>
          <w:rFonts w:cs="Arial"/>
          <w:rtl/>
        </w:rPr>
        <w:t xml:space="preserve">הסכים </w:t>
      </w:r>
      <w:r>
        <w:rPr>
          <w:rFonts w:cs="Arial" w:hint="cs"/>
          <w:rtl/>
        </w:rPr>
        <w:t>לדינו של הב"י.</w:t>
      </w:r>
    </w:p>
  </w:footnote>
  <w:footnote w:id="2307">
    <w:p w14:paraId="7088D857" w14:textId="77777777" w:rsidR="004C5A3C" w:rsidRDefault="004C5A3C" w:rsidP="002C39F4">
      <w:pPr>
        <w:pStyle w:val="a5"/>
      </w:pPr>
      <w:r>
        <w:rPr>
          <w:rStyle w:val="a7"/>
        </w:rPr>
        <w:footnoteRef/>
      </w:r>
      <w:r>
        <w:rPr>
          <w:rtl/>
        </w:rPr>
        <w:t xml:space="preserve"> </w:t>
      </w:r>
      <w:r w:rsidRPr="00E04B54">
        <w:rPr>
          <w:rFonts w:cs="Arial"/>
          <w:rtl/>
        </w:rPr>
        <w:t>אע</w:t>
      </w:r>
      <w:r>
        <w:rPr>
          <w:rFonts w:cs="Arial" w:hint="cs"/>
          <w:rtl/>
        </w:rPr>
        <w:t>"</w:t>
      </w:r>
      <w:r w:rsidRPr="00E04B54">
        <w:rPr>
          <w:rFonts w:cs="Arial"/>
          <w:rtl/>
        </w:rPr>
        <w:t>פ דיש בכף ס' נגד האיסור דאין משערינן בכלי בס' כ"כ בת"ח שם ד"ג וכבר נתבאר כן לעיל סימן צ"ב ס"ה</w:t>
      </w:r>
      <w:r>
        <w:rPr>
          <w:rFonts w:cs="Arial" w:hint="cs"/>
          <w:rtl/>
        </w:rPr>
        <w:t>, ש"ך (סק"ד).</w:t>
      </w:r>
    </w:p>
  </w:footnote>
  <w:footnote w:id="2308">
    <w:p w14:paraId="4CE07645" w14:textId="77777777" w:rsidR="004C5A3C" w:rsidRDefault="004C5A3C" w:rsidP="002C39F4">
      <w:pPr>
        <w:pStyle w:val="a5"/>
        <w:rPr>
          <w:rtl/>
        </w:rPr>
      </w:pPr>
      <w:r>
        <w:rPr>
          <w:rStyle w:val="a7"/>
        </w:rPr>
        <w:footnoteRef/>
      </w:r>
      <w:r>
        <w:rPr>
          <w:rtl/>
        </w:rPr>
        <w:t xml:space="preserve"> </w:t>
      </w:r>
      <w:r w:rsidRPr="00E04B54">
        <w:rPr>
          <w:rFonts w:cs="Arial"/>
          <w:rtl/>
        </w:rPr>
        <w:t>דלא אמרינן בכלי חנ"נ</w:t>
      </w:r>
      <w:r>
        <w:rPr>
          <w:rFonts w:cs="Arial" w:hint="cs"/>
          <w:rtl/>
        </w:rPr>
        <w:t>,</w:t>
      </w:r>
      <w:r w:rsidRPr="00E04B54">
        <w:rPr>
          <w:rFonts w:cs="Arial"/>
          <w:rtl/>
        </w:rPr>
        <w:t xml:space="preserve"> והיינו דוקא בכלי של עץ ומתכות חדש אבל בישן או של חרס אפילו חדש דעת הרב לעיל סימן צ"ח ס"ה (ועמ"ש שם) דיש להחמיר דנ"נ וצריך ששים נגד כל הכף</w:t>
      </w:r>
      <w:r>
        <w:rPr>
          <w:rFonts w:cs="Arial" w:hint="cs"/>
          <w:rtl/>
        </w:rPr>
        <w:t>,</w:t>
      </w:r>
      <w:r w:rsidRPr="00E04B54">
        <w:rPr>
          <w:rFonts w:cs="Arial"/>
          <w:rtl/>
        </w:rPr>
        <w:t xml:space="preserve"> וכ"כ בת"ח </w:t>
      </w:r>
      <w:r>
        <w:rPr>
          <w:rFonts w:cs="Arial" w:hint="cs"/>
          <w:rtl/>
        </w:rPr>
        <w:t>(</w:t>
      </w:r>
      <w:r w:rsidRPr="00E04B54">
        <w:rPr>
          <w:rFonts w:cs="Arial"/>
          <w:rtl/>
        </w:rPr>
        <w:t>כלל נ"א ד"ב</w:t>
      </w:r>
      <w:r>
        <w:rPr>
          <w:rFonts w:cs="Arial" w:hint="cs"/>
          <w:rtl/>
        </w:rPr>
        <w:t>)</w:t>
      </w:r>
      <w:r>
        <w:rPr>
          <w:rFonts w:hint="cs"/>
          <w:rtl/>
        </w:rPr>
        <w:t>, ש"ך (סק"ה).</w:t>
      </w:r>
    </w:p>
  </w:footnote>
  <w:footnote w:id="2309">
    <w:p w14:paraId="5A2607DC" w14:textId="77777777" w:rsidR="004C5A3C" w:rsidRDefault="004C5A3C" w:rsidP="002C39F4">
      <w:pPr>
        <w:pStyle w:val="a5"/>
      </w:pPr>
      <w:r>
        <w:rPr>
          <w:rStyle w:val="a7"/>
        </w:rPr>
        <w:footnoteRef/>
      </w:r>
      <w:r>
        <w:rPr>
          <w:rtl/>
        </w:rPr>
        <w:t xml:space="preserve"> </w:t>
      </w:r>
      <w:r w:rsidRPr="00E04B54">
        <w:rPr>
          <w:rFonts w:cs="Arial"/>
          <w:rtl/>
        </w:rPr>
        <w:t>משמע דאפילו הוחזר לקדרה עם הכף אינו צריך אלא ששים נגד מעט התבשיל אם הוא יותר מן האיסור</w:t>
      </w:r>
      <w:r>
        <w:rPr>
          <w:rFonts w:cs="Arial" w:hint="cs"/>
          <w:rtl/>
        </w:rPr>
        <w:t>,</w:t>
      </w:r>
      <w:r w:rsidRPr="00E04B54">
        <w:rPr>
          <w:rFonts w:cs="Arial"/>
          <w:rtl/>
        </w:rPr>
        <w:t xml:space="preserve"> דנ"נ</w:t>
      </w:r>
      <w:r>
        <w:rPr>
          <w:rFonts w:cs="Arial" w:hint="cs"/>
          <w:rtl/>
        </w:rPr>
        <w:t>,</w:t>
      </w:r>
      <w:r w:rsidRPr="00E04B54">
        <w:rPr>
          <w:rFonts w:cs="Arial"/>
          <w:rtl/>
        </w:rPr>
        <w:t xml:space="preserve"> אבל א"צ ס' גם נגד כל הכף</w:t>
      </w:r>
      <w:r>
        <w:rPr>
          <w:rFonts w:cs="Arial" w:hint="cs"/>
          <w:rtl/>
        </w:rPr>
        <w:t>,</w:t>
      </w:r>
      <w:r w:rsidRPr="00E04B54">
        <w:rPr>
          <w:rFonts w:cs="Arial"/>
          <w:rtl/>
        </w:rPr>
        <w:t xml:space="preserve"> וכ</w:t>
      </w:r>
      <w:r>
        <w:rPr>
          <w:rFonts w:cs="Arial" w:hint="cs"/>
          <w:rtl/>
        </w:rPr>
        <w:t>"מ</w:t>
      </w:r>
      <w:r w:rsidRPr="00E04B54">
        <w:rPr>
          <w:rFonts w:cs="Arial"/>
          <w:rtl/>
        </w:rPr>
        <w:t xml:space="preserve"> להדיא בת"ח </w:t>
      </w:r>
      <w:r>
        <w:rPr>
          <w:rFonts w:cs="Arial" w:hint="cs"/>
          <w:rtl/>
        </w:rPr>
        <w:t>(</w:t>
      </w:r>
      <w:r w:rsidRPr="00E04B54">
        <w:rPr>
          <w:rFonts w:cs="Arial"/>
          <w:rtl/>
        </w:rPr>
        <w:t>כלל נא ד"ב</w:t>
      </w:r>
      <w:r>
        <w:rPr>
          <w:rFonts w:cs="Arial" w:hint="cs"/>
          <w:rtl/>
        </w:rPr>
        <w:t>),</w:t>
      </w:r>
      <w:r w:rsidRPr="00E04B54">
        <w:rPr>
          <w:rFonts w:cs="Arial"/>
          <w:rtl/>
        </w:rPr>
        <w:t xml:space="preserve"> וקשה</w:t>
      </w:r>
      <w:r>
        <w:rPr>
          <w:rFonts w:cs="Arial" w:hint="cs"/>
          <w:rtl/>
        </w:rPr>
        <w:t>,</w:t>
      </w:r>
      <w:r w:rsidRPr="00E04B54">
        <w:rPr>
          <w:rFonts w:cs="Arial"/>
          <w:rtl/>
        </w:rPr>
        <w:t xml:space="preserve"> דכיון דידעי' דהיה מעט תבשיל עם האיסור בכף א"כ מאן לימא לן דאין כל הכף בלוע מאיסור דנהי דלא נעשה נבילה מ"מ לא ידעינן כמה בלע</w:t>
      </w:r>
      <w:r>
        <w:rPr>
          <w:rFonts w:cs="Arial" w:hint="cs"/>
          <w:rtl/>
        </w:rPr>
        <w:t>,</w:t>
      </w:r>
      <w:r w:rsidRPr="00E04B54">
        <w:rPr>
          <w:rFonts w:cs="Arial"/>
          <w:rtl/>
        </w:rPr>
        <w:t xml:space="preserve"> וכ"פ באו"ה</w:t>
      </w:r>
      <w:r>
        <w:rPr>
          <w:rFonts w:cs="Arial" w:hint="cs"/>
          <w:rtl/>
        </w:rPr>
        <w:t>,</w:t>
      </w:r>
      <w:r w:rsidRPr="00E04B54">
        <w:rPr>
          <w:rFonts w:cs="Arial"/>
          <w:rtl/>
        </w:rPr>
        <w:t xml:space="preserve"> וצ</w:t>
      </w:r>
      <w:r>
        <w:rPr>
          <w:rFonts w:cs="Arial" w:hint="cs"/>
          <w:rtl/>
        </w:rPr>
        <w:t>"</w:t>
      </w:r>
      <w:r w:rsidRPr="00E04B54">
        <w:rPr>
          <w:rFonts w:cs="Arial"/>
          <w:rtl/>
        </w:rPr>
        <w:t>ע בסוף ש</w:t>
      </w:r>
      <w:r>
        <w:rPr>
          <w:rFonts w:cs="Arial" w:hint="cs"/>
          <w:rtl/>
        </w:rPr>
        <w:t>ע</w:t>
      </w:r>
      <w:r w:rsidRPr="00E04B54">
        <w:rPr>
          <w:rFonts w:cs="Arial"/>
          <w:rtl/>
        </w:rPr>
        <w:t>"ד בדיני זבוב ובאו"ה כלל כ"ז ד"ג עוד מזה</w:t>
      </w:r>
      <w:r>
        <w:rPr>
          <w:rFonts w:hint="cs"/>
          <w:rtl/>
        </w:rPr>
        <w:t>, ש"ך (סק"ו).</w:t>
      </w:r>
    </w:p>
  </w:footnote>
  <w:footnote w:id="2310">
    <w:p w14:paraId="0008781D" w14:textId="77777777" w:rsidR="004C5A3C" w:rsidRDefault="004C5A3C" w:rsidP="002C39F4">
      <w:pPr>
        <w:pStyle w:val="a5"/>
      </w:pPr>
      <w:r>
        <w:rPr>
          <w:rStyle w:val="a7"/>
        </w:rPr>
        <w:footnoteRef/>
      </w:r>
      <w:r>
        <w:rPr>
          <w:rtl/>
        </w:rPr>
        <w:t xml:space="preserve"> </w:t>
      </w:r>
      <w:r w:rsidRPr="00026941">
        <w:rPr>
          <w:rFonts w:cs="Arial"/>
          <w:rtl/>
        </w:rPr>
        <w:t>דאנו מחזיקין הכף ההיא שעתא כמו הקדרה עצמה מאחר שהוציאה עתה מהקדרה רותחת וחשיב כלי ראשון לחומרא</w:t>
      </w:r>
      <w:r>
        <w:rPr>
          <w:rFonts w:cs="Arial" w:hint="cs"/>
          <w:rtl/>
        </w:rPr>
        <w:t>,</w:t>
      </w:r>
      <w:r w:rsidRPr="00026941">
        <w:rPr>
          <w:rFonts w:cs="Arial"/>
          <w:rtl/>
        </w:rPr>
        <w:t xml:space="preserve"> כ"כ באו"ה </w:t>
      </w:r>
      <w:r>
        <w:rPr>
          <w:rFonts w:cs="Arial" w:hint="cs"/>
          <w:rtl/>
        </w:rPr>
        <w:t>(</w:t>
      </w:r>
      <w:r w:rsidRPr="00026941">
        <w:rPr>
          <w:rFonts w:cs="Arial"/>
          <w:rtl/>
        </w:rPr>
        <w:t>כלל כ"ז ד"ב</w:t>
      </w:r>
      <w:r>
        <w:rPr>
          <w:rFonts w:cs="Arial" w:hint="cs"/>
          <w:rtl/>
        </w:rPr>
        <w:t>),</w:t>
      </w:r>
      <w:r w:rsidRPr="00026941">
        <w:rPr>
          <w:rFonts w:cs="Arial"/>
          <w:rtl/>
        </w:rPr>
        <w:t xml:space="preserve"> </w:t>
      </w:r>
      <w:r>
        <w:rPr>
          <w:rFonts w:cs="Arial" w:hint="cs"/>
          <w:rtl/>
        </w:rPr>
        <w:t>ש"ך (סק"ז).</w:t>
      </w:r>
    </w:p>
  </w:footnote>
  <w:footnote w:id="2311">
    <w:p w14:paraId="5FF4A74E" w14:textId="77777777" w:rsidR="004C5A3C" w:rsidRDefault="004C5A3C" w:rsidP="002C39F4">
      <w:pPr>
        <w:pStyle w:val="a5"/>
        <w:rPr>
          <w:rtl/>
        </w:rPr>
      </w:pPr>
      <w:r>
        <w:rPr>
          <w:rStyle w:val="a7"/>
        </w:rPr>
        <w:footnoteRef/>
      </w:r>
      <w:r>
        <w:rPr>
          <w:rtl/>
        </w:rPr>
        <w:t xml:space="preserve"> </w:t>
      </w:r>
      <w:r>
        <w:rPr>
          <w:rFonts w:cs="Arial" w:hint="cs"/>
          <w:rtl/>
        </w:rPr>
        <w:t xml:space="preserve">בה"ג </w:t>
      </w:r>
      <w:r>
        <w:rPr>
          <w:rFonts w:cs="Arial" w:hint="cs"/>
          <w:sz w:val="16"/>
          <w:szCs w:val="16"/>
          <w:rtl/>
        </w:rPr>
        <w:t xml:space="preserve">(כ"כ בשמו הטור ר"ס קח) </w:t>
      </w:r>
      <w:r w:rsidRPr="00586043">
        <w:rPr>
          <w:rFonts w:cs="Arial"/>
          <w:rtl/>
        </w:rPr>
        <w:t>רי"ף</w:t>
      </w:r>
      <w:r w:rsidRPr="00586043">
        <w:rPr>
          <w:rFonts w:cs="Arial" w:hint="cs"/>
          <w:rtl/>
        </w:rPr>
        <w:t xml:space="preserve"> </w:t>
      </w:r>
      <w:r w:rsidRPr="00586043">
        <w:rPr>
          <w:rFonts w:cs="Arial"/>
          <w:sz w:val="16"/>
          <w:szCs w:val="16"/>
          <w:rtl/>
        </w:rPr>
        <w:t xml:space="preserve">(לב:) </w:t>
      </w:r>
      <w:r w:rsidRPr="00586043">
        <w:rPr>
          <w:rFonts w:cs="Arial"/>
          <w:rtl/>
        </w:rPr>
        <w:t>רש"י</w:t>
      </w:r>
      <w:r w:rsidRPr="00586043">
        <w:rPr>
          <w:rFonts w:cs="Arial" w:hint="cs"/>
          <w:rtl/>
        </w:rPr>
        <w:t xml:space="preserve"> </w:t>
      </w:r>
      <w:r w:rsidRPr="00586043">
        <w:rPr>
          <w:rFonts w:cs="Arial"/>
          <w:sz w:val="16"/>
          <w:szCs w:val="16"/>
          <w:rtl/>
        </w:rPr>
        <w:t>(ד"ה אמר לך רב)</w:t>
      </w:r>
      <w:r w:rsidRPr="00C774D0">
        <w:rPr>
          <w:rFonts w:cs="Arial"/>
          <w:rtl/>
        </w:rPr>
        <w:t xml:space="preserve"> </w:t>
      </w:r>
      <w:r w:rsidRPr="00586043">
        <w:rPr>
          <w:rFonts w:cs="Arial"/>
          <w:rtl/>
        </w:rPr>
        <w:t xml:space="preserve">רמב"ם </w:t>
      </w:r>
      <w:r w:rsidRPr="00586043">
        <w:rPr>
          <w:rFonts w:cs="Arial" w:hint="cs"/>
          <w:sz w:val="16"/>
          <w:szCs w:val="16"/>
          <w:rtl/>
        </w:rPr>
        <w:t>(</w:t>
      </w:r>
      <w:r w:rsidRPr="00586043">
        <w:rPr>
          <w:rFonts w:cs="Arial"/>
          <w:sz w:val="16"/>
          <w:szCs w:val="16"/>
          <w:rtl/>
        </w:rPr>
        <w:t>פט"ו הל"ג)</w:t>
      </w:r>
      <w:r w:rsidRPr="00C774D0">
        <w:rPr>
          <w:rFonts w:cs="Arial" w:hint="cs"/>
          <w:rtl/>
        </w:rPr>
        <w:t xml:space="preserve"> </w:t>
      </w:r>
      <w:r>
        <w:rPr>
          <w:rFonts w:cs="Arial" w:hint="cs"/>
          <w:rtl/>
        </w:rPr>
        <w:t>ו</w:t>
      </w:r>
      <w:r w:rsidRPr="00586043">
        <w:rPr>
          <w:rFonts w:cs="Arial" w:hint="cs"/>
          <w:rtl/>
        </w:rPr>
        <w:t xml:space="preserve">רשב"א </w:t>
      </w:r>
      <w:r w:rsidRPr="00586043">
        <w:rPr>
          <w:rFonts w:cs="Arial" w:hint="cs"/>
          <w:sz w:val="16"/>
          <w:szCs w:val="16"/>
          <w:rtl/>
        </w:rPr>
        <w:t xml:space="preserve">(תוה"ק </w:t>
      </w:r>
      <w:r w:rsidRPr="00586043">
        <w:rPr>
          <w:rFonts w:cs="Arial"/>
          <w:sz w:val="16"/>
          <w:szCs w:val="16"/>
          <w:rtl/>
        </w:rPr>
        <w:t>ב"ד ש"א י.)</w:t>
      </w:r>
      <w:r>
        <w:rPr>
          <w:rFonts w:hint="cs"/>
          <w:rtl/>
        </w:rPr>
        <w:t>.</w:t>
      </w:r>
    </w:p>
  </w:footnote>
  <w:footnote w:id="2312">
    <w:p w14:paraId="47C35313" w14:textId="77777777" w:rsidR="004C5A3C" w:rsidRDefault="004C5A3C" w:rsidP="002C39F4">
      <w:pPr>
        <w:pStyle w:val="a5"/>
      </w:pPr>
      <w:r>
        <w:rPr>
          <w:rStyle w:val="a7"/>
        </w:rPr>
        <w:footnoteRef/>
      </w:r>
      <w:r>
        <w:rPr>
          <w:rtl/>
        </w:rPr>
        <w:t xml:space="preserve"> </w:t>
      </w:r>
      <w:r>
        <w:rPr>
          <w:rFonts w:cs="Arial" w:hint="cs"/>
          <w:rtl/>
        </w:rPr>
        <w:t>ז"ל הב"י- ה</w:t>
      </w:r>
      <w:r w:rsidRPr="00135581">
        <w:rPr>
          <w:rFonts w:cs="Arial"/>
          <w:rtl/>
        </w:rPr>
        <w:t xml:space="preserve">רא"ש בפרק בתרא דע"ז (סי' </w:t>
      </w:r>
      <w:r>
        <w:rPr>
          <w:rFonts w:cs="Arial"/>
          <w:rtl/>
        </w:rPr>
        <w:t>ח) הביא דברי רש"י ודברי ר</w:t>
      </w:r>
      <w:r>
        <w:rPr>
          <w:rFonts w:cs="Arial" w:hint="cs"/>
          <w:rtl/>
        </w:rPr>
        <w:t>"</w:t>
      </w:r>
      <w:r>
        <w:rPr>
          <w:rFonts w:cs="Arial"/>
          <w:rtl/>
        </w:rPr>
        <w:t>ת</w:t>
      </w:r>
      <w:r w:rsidRPr="00135581">
        <w:rPr>
          <w:rFonts w:cs="Arial"/>
          <w:rtl/>
        </w:rPr>
        <w:t xml:space="preserve"> ולא הכריע ביניהם</w:t>
      </w:r>
      <w:r>
        <w:rPr>
          <w:rFonts w:cs="Arial" w:hint="cs"/>
          <w:rtl/>
        </w:rPr>
        <w:t>,</w:t>
      </w:r>
      <w:r w:rsidRPr="00135581">
        <w:rPr>
          <w:rFonts w:cs="Arial"/>
          <w:rtl/>
        </w:rPr>
        <w:t xml:space="preserve"> ורבינו כתב בסימן ק"ח שמסקנת הר</w:t>
      </w:r>
      <w:r>
        <w:rPr>
          <w:rFonts w:cs="Arial"/>
          <w:rtl/>
        </w:rPr>
        <w:t>א"ש כרבינו תם ולא ידעתי מנין לו</w:t>
      </w:r>
      <w:r>
        <w:rPr>
          <w:rFonts w:cs="Arial" w:hint="cs"/>
          <w:rtl/>
        </w:rPr>
        <w:t>,</w:t>
      </w:r>
      <w:r w:rsidRPr="00135581">
        <w:rPr>
          <w:rFonts w:cs="Arial"/>
          <w:rtl/>
        </w:rPr>
        <w:t xml:space="preserve"> ואפשר שטעמו מפני שהביא דבריו לבסוף.</w:t>
      </w:r>
    </w:p>
  </w:footnote>
  <w:footnote w:id="2313">
    <w:p w14:paraId="2B56CB0F" w14:textId="77777777" w:rsidR="004C5A3C" w:rsidRPr="00586043" w:rsidRDefault="004C5A3C" w:rsidP="002C39F4">
      <w:pPr>
        <w:pStyle w:val="a5"/>
        <w:rPr>
          <w:rtl/>
        </w:rPr>
      </w:pPr>
      <w:r w:rsidRPr="00586043">
        <w:rPr>
          <w:rStyle w:val="a7"/>
        </w:rPr>
        <w:footnoteRef/>
      </w:r>
      <w:r w:rsidRPr="00586043">
        <w:rPr>
          <w:rtl/>
        </w:rPr>
        <w:t xml:space="preserve"> </w:t>
      </w:r>
      <w:r w:rsidRPr="005C54C8">
        <w:rPr>
          <w:rFonts w:cs="Arial"/>
          <w:rtl/>
        </w:rPr>
        <w:t>ואפילו בשר נבילה כחוש עם בשר שמן שחוטה דריח כי האי מילתא היא</w:t>
      </w:r>
      <w:r>
        <w:rPr>
          <w:rFonts w:cs="Arial" w:hint="cs"/>
          <w:rtl/>
        </w:rPr>
        <w:t xml:space="preserve">, טור </w:t>
      </w:r>
      <w:r w:rsidRPr="004543C4">
        <w:rPr>
          <w:rFonts w:cs="Arial" w:hint="cs"/>
          <w:sz w:val="16"/>
          <w:szCs w:val="16"/>
          <w:rtl/>
        </w:rPr>
        <w:t>(סי' קח)</w:t>
      </w:r>
      <w:r>
        <w:rPr>
          <w:rFonts w:cs="Arial" w:hint="cs"/>
          <w:rtl/>
        </w:rPr>
        <w:t xml:space="preserve">. </w:t>
      </w:r>
    </w:p>
  </w:footnote>
  <w:footnote w:id="2314">
    <w:p w14:paraId="3BB8B90B" w14:textId="77777777" w:rsidR="004C5A3C" w:rsidRDefault="004C5A3C" w:rsidP="002C39F4">
      <w:pPr>
        <w:pStyle w:val="a5"/>
        <w:rPr>
          <w:rtl/>
        </w:rPr>
      </w:pPr>
      <w:r>
        <w:rPr>
          <w:rStyle w:val="a7"/>
        </w:rPr>
        <w:footnoteRef/>
      </w:r>
      <w:r>
        <w:rPr>
          <w:rtl/>
        </w:rPr>
        <w:t xml:space="preserve"> </w:t>
      </w:r>
      <w:r>
        <w:rPr>
          <w:rFonts w:cs="Arial" w:hint="cs"/>
          <w:rtl/>
        </w:rPr>
        <w:t xml:space="preserve">דאם שניהם כחושים </w:t>
      </w:r>
      <w:r>
        <w:rPr>
          <w:rFonts w:cs="Arial"/>
          <w:rtl/>
        </w:rPr>
        <w:t>כ</w:t>
      </w:r>
      <w:r>
        <w:rPr>
          <w:rFonts w:cs="Arial" w:hint="cs"/>
          <w:rtl/>
        </w:rPr>
        <w:t>'</w:t>
      </w:r>
      <w:r>
        <w:rPr>
          <w:rFonts w:cs="Arial"/>
          <w:rtl/>
        </w:rPr>
        <w:t xml:space="preserve"> הרשב"א</w:t>
      </w:r>
      <w:r w:rsidRPr="00D04A78">
        <w:rPr>
          <w:rFonts w:cs="Arial"/>
          <w:sz w:val="16"/>
          <w:szCs w:val="16"/>
          <w:rtl/>
        </w:rPr>
        <w:t xml:space="preserve"> </w:t>
      </w:r>
      <w:r w:rsidRPr="00D04A78">
        <w:rPr>
          <w:rFonts w:cs="Arial" w:hint="cs"/>
          <w:sz w:val="16"/>
          <w:szCs w:val="16"/>
          <w:rtl/>
        </w:rPr>
        <w:t>(</w:t>
      </w:r>
      <w:r w:rsidRPr="00D04A78">
        <w:rPr>
          <w:rFonts w:cs="Arial"/>
          <w:sz w:val="16"/>
          <w:szCs w:val="16"/>
          <w:rtl/>
        </w:rPr>
        <w:t>תוה</w:t>
      </w:r>
      <w:r w:rsidRPr="00D04A78">
        <w:rPr>
          <w:rFonts w:cs="Arial" w:hint="cs"/>
          <w:sz w:val="16"/>
          <w:szCs w:val="16"/>
          <w:rtl/>
        </w:rPr>
        <w:t>"</w:t>
      </w:r>
      <w:r w:rsidRPr="00D04A78">
        <w:rPr>
          <w:rFonts w:cs="Arial"/>
          <w:sz w:val="16"/>
          <w:szCs w:val="16"/>
          <w:rtl/>
        </w:rPr>
        <w:t>א</w:t>
      </w:r>
      <w:r w:rsidRPr="00D04A78">
        <w:rPr>
          <w:rFonts w:cs="Arial" w:hint="cs"/>
          <w:sz w:val="16"/>
          <w:szCs w:val="16"/>
          <w:rtl/>
        </w:rPr>
        <w:t xml:space="preserve"> </w:t>
      </w:r>
      <w:r w:rsidRPr="00D04A78">
        <w:rPr>
          <w:rFonts w:cs="Arial"/>
          <w:sz w:val="16"/>
          <w:szCs w:val="16"/>
          <w:rtl/>
        </w:rPr>
        <w:t>ב"ד ש"א יד סוע"ג</w:t>
      </w:r>
      <w:r w:rsidRPr="00D04A78">
        <w:rPr>
          <w:rFonts w:cs="Arial" w:hint="cs"/>
          <w:sz w:val="16"/>
          <w:szCs w:val="16"/>
          <w:rtl/>
        </w:rPr>
        <w:t>, הביאו הב"י</w:t>
      </w:r>
      <w:r w:rsidRPr="00D04A78">
        <w:rPr>
          <w:rFonts w:cs="Arial"/>
          <w:sz w:val="16"/>
          <w:szCs w:val="16"/>
          <w:rtl/>
        </w:rPr>
        <w:t>)</w:t>
      </w:r>
      <w:r w:rsidRPr="00135581">
        <w:rPr>
          <w:rFonts w:cs="Arial"/>
          <w:rtl/>
        </w:rPr>
        <w:t xml:space="preserve"> דמלישנא דפלוגתא דרב ולוי משמע דלא איפליגו אלא כשבשר שחוטה ונבלה אחד מהם </w:t>
      </w:r>
      <w:r>
        <w:rPr>
          <w:rFonts w:cs="Arial"/>
          <w:rtl/>
        </w:rPr>
        <w:t>שמן אבל כששניהם כחושין כו</w:t>
      </w:r>
      <w:r>
        <w:rPr>
          <w:rFonts w:cs="Arial" w:hint="cs"/>
          <w:rtl/>
        </w:rPr>
        <w:t>"</w:t>
      </w:r>
      <w:r>
        <w:rPr>
          <w:rFonts w:cs="Arial"/>
          <w:rtl/>
        </w:rPr>
        <w:t>ע</w:t>
      </w:r>
      <w:r w:rsidRPr="00135581">
        <w:rPr>
          <w:rFonts w:cs="Arial"/>
          <w:rtl/>
        </w:rPr>
        <w:t xml:space="preserve"> מודו שהוא מותר דריחא כי האי לאו מילתא היא</w:t>
      </w:r>
      <w:r>
        <w:rPr>
          <w:rFonts w:hint="cs"/>
          <w:rtl/>
        </w:rPr>
        <w:t>.</w:t>
      </w:r>
    </w:p>
  </w:footnote>
  <w:footnote w:id="2315">
    <w:p w14:paraId="389FB67C" w14:textId="77777777" w:rsidR="004C5A3C" w:rsidRDefault="004C5A3C" w:rsidP="002C39F4">
      <w:pPr>
        <w:pStyle w:val="a5"/>
      </w:pPr>
      <w:r>
        <w:rPr>
          <w:rStyle w:val="a7"/>
        </w:rPr>
        <w:footnoteRef/>
      </w:r>
      <w:r>
        <w:rPr>
          <w:rtl/>
        </w:rPr>
        <w:t xml:space="preserve"> </w:t>
      </w:r>
      <w:r>
        <w:rPr>
          <w:rFonts w:cs="Arial" w:hint="cs"/>
          <w:rtl/>
        </w:rPr>
        <w:t>ז"ל הב"י- ה</w:t>
      </w:r>
      <w:r w:rsidRPr="00135581">
        <w:rPr>
          <w:rFonts w:cs="Arial"/>
          <w:rtl/>
        </w:rPr>
        <w:t xml:space="preserve">רא"ש בפרק בתרא דע"ז (סי' </w:t>
      </w:r>
      <w:r>
        <w:rPr>
          <w:rFonts w:cs="Arial"/>
          <w:rtl/>
        </w:rPr>
        <w:t>ח) הביא דברי רש"י ודברי ר</w:t>
      </w:r>
      <w:r>
        <w:rPr>
          <w:rFonts w:cs="Arial" w:hint="cs"/>
          <w:rtl/>
        </w:rPr>
        <w:t>"</w:t>
      </w:r>
      <w:r>
        <w:rPr>
          <w:rFonts w:cs="Arial"/>
          <w:rtl/>
        </w:rPr>
        <w:t>ת</w:t>
      </w:r>
      <w:r w:rsidRPr="00135581">
        <w:rPr>
          <w:rFonts w:cs="Arial"/>
          <w:rtl/>
        </w:rPr>
        <w:t xml:space="preserve"> ולא הכריע ביניהם</w:t>
      </w:r>
      <w:r>
        <w:rPr>
          <w:rFonts w:cs="Arial" w:hint="cs"/>
          <w:rtl/>
        </w:rPr>
        <w:t>,</w:t>
      </w:r>
      <w:r w:rsidRPr="00135581">
        <w:rPr>
          <w:rFonts w:cs="Arial"/>
          <w:rtl/>
        </w:rPr>
        <w:t xml:space="preserve"> ורבינו כתב בסימן ק"ח שמסקנת הר</w:t>
      </w:r>
      <w:r>
        <w:rPr>
          <w:rFonts w:cs="Arial"/>
          <w:rtl/>
        </w:rPr>
        <w:t>א"ש כרבינו תם ולא ידעתי מנין לו</w:t>
      </w:r>
      <w:r>
        <w:rPr>
          <w:rFonts w:cs="Arial" w:hint="cs"/>
          <w:rtl/>
        </w:rPr>
        <w:t>,</w:t>
      </w:r>
      <w:r w:rsidRPr="00135581">
        <w:rPr>
          <w:rFonts w:cs="Arial"/>
          <w:rtl/>
        </w:rPr>
        <w:t xml:space="preserve"> ואפשר שטעמו מפני שהביא דבריו לבסוף.</w:t>
      </w:r>
    </w:p>
  </w:footnote>
  <w:footnote w:id="2316">
    <w:p w14:paraId="62288491" w14:textId="77777777" w:rsidR="004C5A3C" w:rsidRDefault="004C5A3C" w:rsidP="002C39F4">
      <w:pPr>
        <w:pStyle w:val="a5"/>
      </w:pPr>
      <w:r>
        <w:rPr>
          <w:rStyle w:val="a7"/>
        </w:rPr>
        <w:footnoteRef/>
      </w:r>
      <w:r>
        <w:rPr>
          <w:rtl/>
        </w:rPr>
        <w:t xml:space="preserve"> </w:t>
      </w:r>
      <w:r>
        <w:rPr>
          <w:rFonts w:cs="Arial" w:hint="cs"/>
          <w:rtl/>
        </w:rPr>
        <w:t>ז"ל ה</w:t>
      </w:r>
      <w:r w:rsidRPr="00586043">
        <w:rPr>
          <w:rFonts w:cs="Arial" w:hint="cs"/>
          <w:rtl/>
        </w:rPr>
        <w:t xml:space="preserve">רשב"א </w:t>
      </w:r>
      <w:r w:rsidRPr="00586043">
        <w:rPr>
          <w:rFonts w:cs="Arial" w:hint="cs"/>
          <w:sz w:val="16"/>
          <w:szCs w:val="16"/>
          <w:rtl/>
        </w:rPr>
        <w:t xml:space="preserve">(תוה"ק </w:t>
      </w:r>
      <w:r w:rsidRPr="00586043">
        <w:rPr>
          <w:rFonts w:cs="Arial"/>
          <w:sz w:val="16"/>
          <w:szCs w:val="16"/>
          <w:rtl/>
        </w:rPr>
        <w:t>ב"ד ש"א י.)</w:t>
      </w:r>
      <w:r w:rsidRPr="00586043">
        <w:rPr>
          <w:rFonts w:cs="Arial" w:hint="cs"/>
          <w:rtl/>
        </w:rPr>
        <w:t>-</w:t>
      </w:r>
      <w:r w:rsidRPr="00586043">
        <w:rPr>
          <w:rFonts w:cs="Arial"/>
          <w:rtl/>
        </w:rPr>
        <w:t xml:space="preserve"> יש איסור שאוסר בריחו וכו' כיצד בשר נב</w:t>
      </w:r>
      <w:r w:rsidRPr="00586043">
        <w:rPr>
          <w:rFonts w:cs="Arial" w:hint="cs"/>
          <w:rtl/>
        </w:rPr>
        <w:t>ל</w:t>
      </w:r>
      <w:r w:rsidRPr="00586043">
        <w:rPr>
          <w:rFonts w:cs="Arial"/>
          <w:rtl/>
        </w:rPr>
        <w:t>ה שמן שצלאו וכו' ולא עוד אלא אפילו בשר שחוטה שמן שצלאו עם בשר נבלה כחוש אסור וכן דג ובשר שצלאן בתנור אחד אסור לאכול הדג עם הכותח וכן הפת שאפאה בתנור אחד עם הבשר אסור לאכלו בכותח במה דברים אמורים בשנצלו בתנור אחד צר או כיוצא בו אבל אם נצלו במקום רחב הריח מתפזר ואין כחן גדול להיות כמתערב עם בשר השחוטה או הפת והדג</w:t>
      </w:r>
      <w:r w:rsidRPr="00586043">
        <w:rPr>
          <w:rFonts w:cs="Arial" w:hint="cs"/>
          <w:rtl/>
        </w:rPr>
        <w:t>,</w:t>
      </w:r>
      <w:r w:rsidRPr="00586043">
        <w:rPr>
          <w:rFonts w:cs="Arial"/>
          <w:rtl/>
        </w:rPr>
        <w:t xml:space="preserve"> ויש מי שהורה בכל אלה להתיר וכן הסכמת רוב גדולי המורים הראשונים והאחרונים ומ</w:t>
      </w:r>
      <w:r w:rsidRPr="00586043">
        <w:rPr>
          <w:rFonts w:cs="Arial" w:hint="cs"/>
          <w:rtl/>
        </w:rPr>
        <w:t>"</w:t>
      </w:r>
      <w:r w:rsidRPr="00586043">
        <w:rPr>
          <w:rFonts w:cs="Arial"/>
          <w:rtl/>
        </w:rPr>
        <w:t>מ לכתחלה אסור לצלותם בתנור אחד צר</w:t>
      </w:r>
      <w:r>
        <w:rPr>
          <w:rFonts w:cs="Arial" w:hint="cs"/>
          <w:rtl/>
        </w:rPr>
        <w:t>, עכ"ל.</w:t>
      </w:r>
      <w:r w:rsidRPr="00E60643">
        <w:rPr>
          <w:rFonts w:cs="Arial"/>
          <w:rtl/>
        </w:rPr>
        <w:t xml:space="preserve"> </w:t>
      </w:r>
      <w:r>
        <w:rPr>
          <w:rFonts w:cs="Arial"/>
          <w:rtl/>
        </w:rPr>
        <w:t>וכ</w:t>
      </w:r>
      <w:r>
        <w:rPr>
          <w:rFonts w:cs="Arial" w:hint="cs"/>
          <w:rtl/>
        </w:rPr>
        <w:t>'</w:t>
      </w:r>
      <w:r>
        <w:rPr>
          <w:rFonts w:cs="Arial"/>
          <w:rtl/>
        </w:rPr>
        <w:t xml:space="preserve"> רבינו דברי</w:t>
      </w:r>
      <w:r>
        <w:rPr>
          <w:rFonts w:cs="Arial" w:hint="cs"/>
          <w:rtl/>
        </w:rPr>
        <w:t xml:space="preserve">ו </w:t>
      </w:r>
      <w:r w:rsidRPr="00135581">
        <w:rPr>
          <w:rFonts w:cs="Arial"/>
          <w:rtl/>
        </w:rPr>
        <w:t>בסימן ק"ח</w:t>
      </w:r>
      <w:r>
        <w:rPr>
          <w:rFonts w:cs="Arial" w:hint="cs"/>
          <w:rtl/>
        </w:rPr>
        <w:t xml:space="preserve">. וכ' עוד הרשב"א בתוה"א- </w:t>
      </w:r>
      <w:r w:rsidRPr="00135581">
        <w:rPr>
          <w:rFonts w:cs="Arial"/>
          <w:rtl/>
        </w:rPr>
        <w:t>אלא שמדברי הירושלמי (תרומות פ"י סוף ה"ב) נראה דללוי אפילו לכתחלה שרי</w:t>
      </w:r>
      <w:r>
        <w:rPr>
          <w:rFonts w:cs="Arial" w:hint="cs"/>
          <w:rtl/>
        </w:rPr>
        <w:t>,</w:t>
      </w:r>
      <w:r w:rsidRPr="00135581">
        <w:rPr>
          <w:rFonts w:cs="Arial"/>
          <w:rtl/>
        </w:rPr>
        <w:t xml:space="preserve"> וראוי לחוש לדברי הראשונים ז"ל שאסרו לעשות כן לכתחלה אבל בדיעבד נראה דהלכה כלוי וכן הסכימו רוב הפו</w:t>
      </w:r>
      <w:r>
        <w:rPr>
          <w:rFonts w:cs="Arial"/>
          <w:rtl/>
        </w:rPr>
        <w:t>סקים הראשונים והאחרונים ז"</w:t>
      </w:r>
      <w:r>
        <w:rPr>
          <w:rFonts w:cs="Arial" w:hint="cs"/>
          <w:rtl/>
        </w:rPr>
        <w:t>ל.</w:t>
      </w:r>
      <w:r w:rsidRPr="002E0825">
        <w:rPr>
          <w:rFonts w:cs="Arial"/>
          <w:rtl/>
        </w:rPr>
        <w:t xml:space="preserve"> </w:t>
      </w:r>
    </w:p>
  </w:footnote>
  <w:footnote w:id="2317">
    <w:p w14:paraId="4772A07E" w14:textId="77777777" w:rsidR="004C5A3C" w:rsidRDefault="004C5A3C" w:rsidP="002C39F4">
      <w:pPr>
        <w:pStyle w:val="a5"/>
        <w:rPr>
          <w:rtl/>
        </w:rPr>
      </w:pPr>
      <w:r>
        <w:rPr>
          <w:rStyle w:val="a7"/>
        </w:rPr>
        <w:footnoteRef/>
      </w:r>
      <w:r>
        <w:rPr>
          <w:rtl/>
        </w:rPr>
        <w:t xml:space="preserve"> ו</w:t>
      </w:r>
      <w:r>
        <w:rPr>
          <w:rFonts w:hint="cs"/>
          <w:rtl/>
        </w:rPr>
        <w:t>כ' הדרכ"מ (סי' קח אות ג) ד</w:t>
      </w:r>
      <w:r>
        <w:rPr>
          <w:rtl/>
        </w:rPr>
        <w:t>נראה מדברי</w:t>
      </w:r>
      <w:r>
        <w:rPr>
          <w:rFonts w:hint="cs"/>
          <w:rtl/>
        </w:rPr>
        <w:t xml:space="preserve"> הב"י</w:t>
      </w:r>
      <w:r>
        <w:rPr>
          <w:rtl/>
        </w:rPr>
        <w:t xml:space="preserve"> דאף בפת שאפאו עם בשר מותר לאכול בחלב דזו מקרי דיעבד</w:t>
      </w:r>
      <w:r>
        <w:rPr>
          <w:rFonts w:hint="cs"/>
          <w:rtl/>
        </w:rPr>
        <w:t>, ו</w:t>
      </w:r>
      <w:r>
        <w:rPr>
          <w:rtl/>
        </w:rPr>
        <w:t xml:space="preserve">כמ"ש </w:t>
      </w:r>
      <w:r>
        <w:rPr>
          <w:rFonts w:hint="cs"/>
          <w:rtl/>
        </w:rPr>
        <w:t>הטור (</w:t>
      </w:r>
      <w:r>
        <w:rPr>
          <w:rtl/>
        </w:rPr>
        <w:t>סי</w:t>
      </w:r>
      <w:r>
        <w:rPr>
          <w:rFonts w:hint="cs"/>
          <w:rtl/>
        </w:rPr>
        <w:t>'</w:t>
      </w:r>
      <w:r>
        <w:rPr>
          <w:rtl/>
        </w:rPr>
        <w:t xml:space="preserve"> צז</w:t>
      </w:r>
      <w:r>
        <w:rPr>
          <w:rFonts w:hint="cs"/>
          <w:rtl/>
        </w:rPr>
        <w:t>)</w:t>
      </w:r>
      <w:r>
        <w:rPr>
          <w:rtl/>
        </w:rPr>
        <w:t xml:space="preserve"> בשם הרשב"א</w:t>
      </w:r>
      <w:r>
        <w:rPr>
          <w:rFonts w:hint="cs"/>
          <w:rtl/>
        </w:rPr>
        <w:t>,</w:t>
      </w:r>
      <w:r>
        <w:rPr>
          <w:rtl/>
        </w:rPr>
        <w:t xml:space="preserve"> וא</w:t>
      </w:r>
      <w:r>
        <w:rPr>
          <w:rFonts w:hint="cs"/>
          <w:rtl/>
        </w:rPr>
        <w:t>ע"ג</w:t>
      </w:r>
      <w:r>
        <w:rPr>
          <w:rtl/>
        </w:rPr>
        <w:t xml:space="preserve"> דב</w:t>
      </w:r>
      <w:r>
        <w:rPr>
          <w:rFonts w:hint="cs"/>
          <w:rtl/>
        </w:rPr>
        <w:t>"</w:t>
      </w:r>
      <w:r>
        <w:rPr>
          <w:rtl/>
        </w:rPr>
        <w:t>י כ</w:t>
      </w:r>
      <w:r>
        <w:rPr>
          <w:rFonts w:hint="cs"/>
          <w:rtl/>
        </w:rPr>
        <w:t>'</w:t>
      </w:r>
      <w:r>
        <w:rPr>
          <w:rtl/>
        </w:rPr>
        <w:t xml:space="preserve"> בשם הרי"ף ורמב"ם </w:t>
      </w:r>
      <w:r>
        <w:rPr>
          <w:rFonts w:hint="cs"/>
          <w:rtl/>
        </w:rPr>
        <w:t>(סי'</w:t>
      </w:r>
      <w:r>
        <w:rPr>
          <w:rtl/>
        </w:rPr>
        <w:t xml:space="preserve"> צ</w:t>
      </w:r>
      <w:r>
        <w:rPr>
          <w:rFonts w:hint="cs"/>
          <w:rtl/>
        </w:rPr>
        <w:t>ז</w:t>
      </w:r>
      <w:r>
        <w:rPr>
          <w:rtl/>
        </w:rPr>
        <w:t>) דס"ל דזו מקרי לכתחילה הואיל ואפשר לאכול הפת עם בשר</w:t>
      </w:r>
      <w:r>
        <w:rPr>
          <w:rFonts w:hint="cs"/>
          <w:rtl/>
        </w:rPr>
        <w:t>,</w:t>
      </w:r>
      <w:r>
        <w:rPr>
          <w:rtl/>
        </w:rPr>
        <w:t xml:space="preserve"> מ"מ משמע דלענין הלכתא נקטינן דאין לחלק בין זו לשאר איסורין וכדעת המתירין בכה"ג כמו שנתבאר לעיל סימן צ"ז מדכתב סתמא דבדיעבד שרי</w:t>
      </w:r>
      <w:r>
        <w:rPr>
          <w:rFonts w:hint="cs"/>
          <w:rtl/>
        </w:rPr>
        <w:t>,</w:t>
      </w:r>
      <w:r>
        <w:rPr>
          <w:rtl/>
        </w:rPr>
        <w:t xml:space="preserve"> ועוד דכלל יחד דעת הרי"ף ורמב"ם עם דעת שאר המורים וכתב שהם מסכימים לדעת רוב המורים דהיינו שבדיעבד שרי, אבל באו"ה </w:t>
      </w:r>
      <w:r>
        <w:rPr>
          <w:rFonts w:hint="cs"/>
          <w:rtl/>
        </w:rPr>
        <w:t>(</w:t>
      </w:r>
      <w:r>
        <w:rPr>
          <w:rtl/>
        </w:rPr>
        <w:t>כלל לט ד</w:t>
      </w:r>
      <w:r>
        <w:rPr>
          <w:rFonts w:hint="cs"/>
          <w:rtl/>
        </w:rPr>
        <w:t>"</w:t>
      </w:r>
      <w:r>
        <w:rPr>
          <w:rtl/>
        </w:rPr>
        <w:t>ג</w:t>
      </w:r>
      <w:r>
        <w:rPr>
          <w:rFonts w:hint="cs"/>
          <w:rtl/>
        </w:rPr>
        <w:t>-</w:t>
      </w:r>
      <w:r>
        <w:rPr>
          <w:rtl/>
        </w:rPr>
        <w:t>ד) פסק דפת הנאפה עם פשטיד"א אסור לאכלו בכותח דזה מקרי לכתחלה.</w:t>
      </w:r>
    </w:p>
  </w:footnote>
  <w:footnote w:id="2318">
    <w:p w14:paraId="1383D83E" w14:textId="77777777" w:rsidR="004C5A3C" w:rsidRDefault="004C5A3C" w:rsidP="002C39F4">
      <w:pPr>
        <w:pStyle w:val="a5"/>
      </w:pPr>
      <w:r>
        <w:rPr>
          <w:rStyle w:val="a7"/>
        </w:rPr>
        <w:footnoteRef/>
      </w:r>
      <w:r>
        <w:rPr>
          <w:rtl/>
        </w:rPr>
        <w:t xml:space="preserve"> </w:t>
      </w:r>
      <w:r>
        <w:rPr>
          <w:rFonts w:cs="Arial" w:hint="cs"/>
          <w:rtl/>
        </w:rPr>
        <w:t>ד</w:t>
      </w:r>
      <w:r w:rsidRPr="00586043">
        <w:rPr>
          <w:rFonts w:cs="Arial"/>
          <w:rtl/>
        </w:rPr>
        <w:t xml:space="preserve">הא דתני רב כהנא פת שאפאה עם הצלי אסורה לאכלה בכותח </w:t>
      </w:r>
      <w:r>
        <w:rPr>
          <w:rFonts w:cs="Arial" w:hint="cs"/>
          <w:rtl/>
        </w:rPr>
        <w:t>ו</w:t>
      </w:r>
      <w:r w:rsidRPr="00586043">
        <w:rPr>
          <w:rFonts w:cs="Arial"/>
          <w:rtl/>
        </w:rPr>
        <w:t>ההיא ביניתא דאיטוויא בהדי בישרא ואסרה רבא מפרזיקיא למיכלה בכותחא</w:t>
      </w:r>
      <w:r>
        <w:rPr>
          <w:rFonts w:cs="Arial" w:hint="cs"/>
          <w:rtl/>
        </w:rPr>
        <w:t>,</w:t>
      </w:r>
      <w:r w:rsidRPr="00586043">
        <w:rPr>
          <w:rFonts w:cs="Arial"/>
          <w:rtl/>
        </w:rPr>
        <w:t xml:space="preserve"> לאו כרב אסרי בלחוד אלא אפי' כלוי אסירי למיכלינהו בכותחא</w:t>
      </w:r>
      <w:r>
        <w:rPr>
          <w:rFonts w:cs="Arial" w:hint="cs"/>
          <w:rtl/>
        </w:rPr>
        <w:t>,</w:t>
      </w:r>
      <w:r w:rsidRPr="008822B5">
        <w:rPr>
          <w:rFonts w:cs="Arial"/>
          <w:rtl/>
        </w:rPr>
        <w:t xml:space="preserve"> מאי טעמא דכיון דשרי למיכלינהו בלא כותחא אי שרית להו למיכלינהו בכותחא אישתכח כמאן דשרי לאטוויי בשר שחוטה בהדי בשר נבלה לכתחלה</w:t>
      </w:r>
      <w:r>
        <w:rPr>
          <w:rFonts w:cs="Arial" w:hint="cs"/>
          <w:rtl/>
        </w:rPr>
        <w:t>,</w:t>
      </w:r>
      <w:r w:rsidRPr="008822B5">
        <w:rPr>
          <w:rFonts w:cs="Arial"/>
          <w:rtl/>
        </w:rPr>
        <w:t xml:space="preserve"> ולו</w:t>
      </w:r>
      <w:r>
        <w:rPr>
          <w:rFonts w:cs="Arial" w:hint="cs"/>
          <w:rtl/>
        </w:rPr>
        <w:t>י</w:t>
      </w:r>
      <w:r w:rsidRPr="008822B5">
        <w:rPr>
          <w:rFonts w:cs="Arial"/>
          <w:rtl/>
        </w:rPr>
        <w:t xml:space="preserve"> לא קא שרי הכין אלא דיעבד</w:t>
      </w:r>
      <w:r>
        <w:rPr>
          <w:rFonts w:cs="Arial" w:hint="cs"/>
          <w:rtl/>
        </w:rPr>
        <w:t>,</w:t>
      </w:r>
      <w:r w:rsidRPr="008822B5">
        <w:rPr>
          <w:rFonts w:cs="Arial"/>
          <w:rtl/>
        </w:rPr>
        <w:t xml:space="preserve"> דהא לוי שצלאו קאמר ולא אמר צולין לכתחלה</w:t>
      </w:r>
      <w:r>
        <w:rPr>
          <w:rFonts w:cs="Arial" w:hint="cs"/>
          <w:rtl/>
        </w:rPr>
        <w:t>,</w:t>
      </w:r>
      <w:r w:rsidRPr="008822B5">
        <w:rPr>
          <w:rFonts w:cs="Arial"/>
          <w:rtl/>
        </w:rPr>
        <w:t xml:space="preserve"> ועוד דהאי פת שאפאה עם הצלי כיון דשריא בלחוד בלא כותחא הויא לה כדבר שיש לו מתירין </w:t>
      </w:r>
      <w:r w:rsidRPr="008822B5">
        <w:rPr>
          <w:rFonts w:cs="Arial" w:hint="cs"/>
          <w:sz w:val="16"/>
          <w:szCs w:val="16"/>
          <w:rtl/>
        </w:rPr>
        <w:t>(</w:t>
      </w:r>
      <w:r w:rsidRPr="008822B5">
        <w:rPr>
          <w:rFonts w:cs="Arial"/>
          <w:sz w:val="16"/>
          <w:szCs w:val="16"/>
          <w:rtl/>
        </w:rPr>
        <w:t>ביצה ג</w:t>
      </w:r>
      <w:r w:rsidRPr="008822B5">
        <w:rPr>
          <w:rFonts w:cs="Arial" w:hint="cs"/>
          <w:sz w:val="16"/>
          <w:szCs w:val="16"/>
          <w:rtl/>
        </w:rPr>
        <w:t>:)</w:t>
      </w:r>
      <w:r w:rsidRPr="008822B5">
        <w:rPr>
          <w:rFonts w:cs="Arial"/>
          <w:sz w:val="16"/>
          <w:szCs w:val="16"/>
          <w:rtl/>
        </w:rPr>
        <w:t xml:space="preserve"> </w:t>
      </w:r>
      <w:r w:rsidRPr="008822B5">
        <w:rPr>
          <w:rFonts w:cs="Arial"/>
          <w:rtl/>
        </w:rPr>
        <w:t>וכל דבר שיש לו מתירין אפי</w:t>
      </w:r>
      <w:r w:rsidRPr="008822B5">
        <w:rPr>
          <w:rFonts w:cs="Arial" w:hint="cs"/>
          <w:rtl/>
        </w:rPr>
        <w:t>'</w:t>
      </w:r>
      <w:r w:rsidRPr="008822B5">
        <w:rPr>
          <w:rFonts w:cs="Arial"/>
          <w:rtl/>
        </w:rPr>
        <w:t xml:space="preserve"> באלף לא בטיל</w:t>
      </w:r>
      <w:r>
        <w:rPr>
          <w:rFonts w:cs="Arial" w:hint="cs"/>
          <w:rtl/>
        </w:rPr>
        <w:t>,</w:t>
      </w:r>
      <w:r w:rsidRPr="008822B5">
        <w:rPr>
          <w:rFonts w:cs="Arial"/>
          <w:rtl/>
        </w:rPr>
        <w:t xml:space="preserve"> וכל דבר שהוא אחד באלף כריחא בעלמא הוא ואפ"ה באלף לא בטיל הואיל ויש לו מתירין</w:t>
      </w:r>
      <w:r>
        <w:rPr>
          <w:rFonts w:cs="Arial" w:hint="cs"/>
          <w:rtl/>
        </w:rPr>
        <w:t>,</w:t>
      </w:r>
      <w:r w:rsidRPr="008822B5">
        <w:rPr>
          <w:rFonts w:cs="Arial"/>
          <w:rtl/>
        </w:rPr>
        <w:t xml:space="preserve"> והאי פת נמי הכין הוא ולאו משום דסבירא לן כרב</w:t>
      </w:r>
      <w:r>
        <w:rPr>
          <w:rFonts w:cs="Arial" w:hint="cs"/>
          <w:rtl/>
        </w:rPr>
        <w:t xml:space="preserve">, רי"ף. אמנם </w:t>
      </w:r>
      <w:r w:rsidRPr="00865737">
        <w:rPr>
          <w:rFonts w:cs="Arial"/>
          <w:rtl/>
        </w:rPr>
        <w:t xml:space="preserve">הר"ן </w:t>
      </w:r>
      <w:r w:rsidRPr="00865737">
        <w:rPr>
          <w:rFonts w:cs="Arial"/>
          <w:sz w:val="16"/>
          <w:szCs w:val="16"/>
          <w:rtl/>
        </w:rPr>
        <w:t xml:space="preserve">(לב. ד"ה והא דתני) </w:t>
      </w:r>
      <w:r>
        <w:rPr>
          <w:rFonts w:cs="Arial"/>
          <w:rtl/>
        </w:rPr>
        <w:t>כ</w:t>
      </w:r>
      <w:r>
        <w:rPr>
          <w:rFonts w:cs="Arial" w:hint="cs"/>
          <w:rtl/>
        </w:rPr>
        <w:t>'</w:t>
      </w:r>
      <w:r w:rsidRPr="00865737">
        <w:rPr>
          <w:rFonts w:cs="Arial"/>
          <w:rtl/>
        </w:rPr>
        <w:t xml:space="preserve"> טעם אחר</w:t>
      </w:r>
      <w:r>
        <w:rPr>
          <w:rFonts w:cs="Arial" w:hint="cs"/>
          <w:rtl/>
        </w:rPr>
        <w:t>, והוא-</w:t>
      </w:r>
      <w:r w:rsidRPr="00865737">
        <w:rPr>
          <w:rFonts w:cs="Arial"/>
          <w:rtl/>
        </w:rPr>
        <w:t xml:space="preserve"> דכיון שריח הבשר נרגש בהם הטועם אותם יהא סבור שממשו של בשר נבלע בהן וכי אכיל להו </w:t>
      </w:r>
      <w:r>
        <w:rPr>
          <w:rFonts w:cs="Arial"/>
          <w:rtl/>
        </w:rPr>
        <w:t>בכותחא מתחזי כבשר בחלב ומש</w:t>
      </w:r>
      <w:r>
        <w:rPr>
          <w:rFonts w:cs="Arial" w:hint="cs"/>
          <w:rtl/>
        </w:rPr>
        <w:t>ו"</w:t>
      </w:r>
      <w:r>
        <w:rPr>
          <w:rFonts w:cs="Arial"/>
          <w:rtl/>
        </w:rPr>
        <w:t>ה</w:t>
      </w:r>
      <w:r w:rsidRPr="00865737">
        <w:rPr>
          <w:rFonts w:cs="Arial"/>
          <w:rtl/>
        </w:rPr>
        <w:t xml:space="preserve"> אסור</w:t>
      </w:r>
      <w:r>
        <w:rPr>
          <w:rFonts w:cs="Arial" w:hint="cs"/>
          <w:rtl/>
        </w:rPr>
        <w:t>,</w:t>
      </w:r>
      <w:r w:rsidRPr="00865737">
        <w:rPr>
          <w:rFonts w:cs="Arial"/>
          <w:rtl/>
        </w:rPr>
        <w:t xml:space="preserve"> משא"כ בבשר שחוטה שצלאה עם בשר נבלה שאין ריחה וטעמה של נבלה נרגש בשחוטה כלל</w:t>
      </w:r>
      <w:r>
        <w:rPr>
          <w:rFonts w:cs="Arial" w:hint="cs"/>
          <w:rtl/>
        </w:rPr>
        <w:t>,</w:t>
      </w:r>
      <w:r w:rsidRPr="00865737">
        <w:rPr>
          <w:rFonts w:cs="Arial"/>
          <w:rtl/>
        </w:rPr>
        <w:t xml:space="preserve"> ועוד שאפשר שחומרא הוא שהחמירו בבשר בחלב יותר משאר איסורין משום דלא בדילי אינשי מ</w:t>
      </w:r>
      <w:r>
        <w:rPr>
          <w:rFonts w:cs="Arial"/>
          <w:rtl/>
        </w:rPr>
        <w:t>יניה מפני שכל א</w:t>
      </w:r>
      <w:r>
        <w:rPr>
          <w:rFonts w:cs="Arial" w:hint="cs"/>
          <w:rtl/>
        </w:rPr>
        <w:t>'</w:t>
      </w:r>
      <w:r>
        <w:rPr>
          <w:rFonts w:cs="Arial"/>
          <w:rtl/>
        </w:rPr>
        <w:t xml:space="preserve"> היתר בפ</w:t>
      </w:r>
      <w:r>
        <w:rPr>
          <w:rFonts w:cs="Arial" w:hint="cs"/>
          <w:rtl/>
        </w:rPr>
        <w:t xml:space="preserve">ני </w:t>
      </w:r>
      <w:r>
        <w:rPr>
          <w:rFonts w:cs="Arial"/>
          <w:rtl/>
        </w:rPr>
        <w:t>ע</w:t>
      </w:r>
      <w:r>
        <w:rPr>
          <w:rFonts w:cs="Arial" w:hint="cs"/>
          <w:rtl/>
        </w:rPr>
        <w:t>צמו</w:t>
      </w:r>
      <w:r w:rsidRPr="00865737">
        <w:rPr>
          <w:rFonts w:cs="Arial"/>
          <w:rtl/>
        </w:rPr>
        <w:t xml:space="preserve"> החמירו בו יותר מבשאר איסורים כמו שהחמירו בו שלא להעלותו עם הבשר על השולחן משא"כ בשאר איסורין</w:t>
      </w:r>
      <w:r>
        <w:rPr>
          <w:rFonts w:hint="cs"/>
          <w:rtl/>
        </w:rPr>
        <w:t>.</w:t>
      </w:r>
    </w:p>
  </w:footnote>
  <w:footnote w:id="2319">
    <w:p w14:paraId="440B8D87" w14:textId="77777777" w:rsidR="004C5A3C" w:rsidRDefault="004C5A3C" w:rsidP="002C39F4">
      <w:pPr>
        <w:pStyle w:val="a5"/>
        <w:rPr>
          <w:rtl/>
        </w:rPr>
      </w:pPr>
      <w:r>
        <w:rPr>
          <w:rStyle w:val="a7"/>
        </w:rPr>
        <w:footnoteRef/>
      </w:r>
      <w:r>
        <w:rPr>
          <w:rtl/>
        </w:rPr>
        <w:t xml:space="preserve"> </w:t>
      </w:r>
      <w:r>
        <w:rPr>
          <w:rFonts w:cs="Arial" w:hint="cs"/>
          <w:rtl/>
        </w:rPr>
        <w:t xml:space="preserve">דלא אסר רב אלא בבשר שחוטה ובשר נבלה שקולטין הריח ביותר </w:t>
      </w:r>
      <w:r w:rsidRPr="00135581">
        <w:rPr>
          <w:rFonts w:cs="Arial"/>
          <w:rtl/>
        </w:rPr>
        <w:t>מפני הפיטום</w:t>
      </w:r>
      <w:r>
        <w:rPr>
          <w:rFonts w:cs="Arial" w:hint="cs"/>
          <w:rtl/>
        </w:rPr>
        <w:t>,</w:t>
      </w:r>
      <w:r w:rsidRPr="00135581">
        <w:rPr>
          <w:rFonts w:cs="Arial"/>
          <w:rtl/>
        </w:rPr>
        <w:t xml:space="preserve"> אבל לית ליה הא דתני רב כהנא פת שאפאה עם הצלי אסורה לאכלה בכותח</w:t>
      </w:r>
      <w:r>
        <w:rPr>
          <w:rFonts w:cs="Arial" w:hint="cs"/>
          <w:rtl/>
        </w:rPr>
        <w:t>,</w:t>
      </w:r>
      <w:r w:rsidRPr="00135581">
        <w:rPr>
          <w:rFonts w:cs="Arial"/>
          <w:rtl/>
        </w:rPr>
        <w:t xml:space="preserve"> דלרב נ"ל דשרי</w:t>
      </w:r>
      <w:r>
        <w:rPr>
          <w:rFonts w:cs="Arial" w:hint="cs"/>
          <w:rtl/>
        </w:rPr>
        <w:t>,</w:t>
      </w:r>
      <w:r w:rsidRPr="00135581">
        <w:rPr>
          <w:rFonts w:cs="Arial"/>
          <w:rtl/>
        </w:rPr>
        <w:t xml:space="preserve"> ומזה הטעם נהגו למאן דאית ליה ריחא מילתא היא שהפת אינם מקפידין עליו ואוכלין אותו בין עם בשר בין עם גבינה</w:t>
      </w:r>
      <w:r>
        <w:rPr>
          <w:rFonts w:cs="Arial" w:hint="cs"/>
          <w:rtl/>
        </w:rPr>
        <w:t>,</w:t>
      </w:r>
      <w:r w:rsidRPr="00135581">
        <w:rPr>
          <w:rFonts w:cs="Arial"/>
          <w:rtl/>
        </w:rPr>
        <w:t xml:space="preserve"> וכן דעתי נוטה שבפשטיד"א ופלדוני"ש שנאפו יחד דריחא מילתא היא אבל הפת שעמו שרי אפילו בלא כיסוי</w:t>
      </w:r>
      <w:r>
        <w:rPr>
          <w:rFonts w:cs="Arial" w:hint="cs"/>
          <w:rtl/>
        </w:rPr>
        <w:t>,</w:t>
      </w:r>
      <w:r w:rsidRPr="00135581">
        <w:rPr>
          <w:rFonts w:cs="Arial"/>
          <w:rtl/>
        </w:rPr>
        <w:t xml:space="preserve"> גם מורי אבי היה</w:t>
      </w:r>
      <w:r>
        <w:rPr>
          <w:rFonts w:cs="Arial"/>
          <w:rtl/>
        </w:rPr>
        <w:t xml:space="preserve"> נוהג בהן איסור אבל בפת לא</w:t>
      </w:r>
      <w:r>
        <w:rPr>
          <w:rFonts w:cs="Arial" w:hint="cs"/>
          <w:rtl/>
        </w:rPr>
        <w:t>, ראבי"ה.</w:t>
      </w:r>
    </w:p>
  </w:footnote>
  <w:footnote w:id="2320">
    <w:p w14:paraId="0A414711" w14:textId="77777777" w:rsidR="004C5A3C" w:rsidRDefault="004C5A3C" w:rsidP="002C39F4">
      <w:pPr>
        <w:pStyle w:val="a5"/>
        <w:rPr>
          <w:rtl/>
        </w:rPr>
      </w:pPr>
      <w:r>
        <w:rPr>
          <w:rStyle w:val="a7"/>
        </w:rPr>
        <w:footnoteRef/>
      </w:r>
      <w:r>
        <w:rPr>
          <w:rtl/>
        </w:rPr>
        <w:t xml:space="preserve"> </w:t>
      </w:r>
      <w:r>
        <w:rPr>
          <w:rFonts w:hint="cs"/>
          <w:rtl/>
        </w:rPr>
        <w:t>ז"ל הרשב"א-</w:t>
      </w:r>
      <w:r w:rsidRPr="00AF5A73">
        <w:rPr>
          <w:rFonts w:cs="Arial"/>
          <w:rtl/>
        </w:rPr>
        <w:t xml:space="preserve"> </w:t>
      </w:r>
      <w:r w:rsidRPr="003629C7">
        <w:rPr>
          <w:rFonts w:cs="Arial"/>
          <w:rtl/>
        </w:rPr>
        <w:t xml:space="preserve">דג ובשר שצלאן בתנור אחד אסור לאכול הדג עם הכותח כאילו נתערב הבשר עצמו עם הדג. וכן הפת שאפאה בתנור עם הבשר אסור לאוכלו בכותח. במה דברים אמורים כשנצלו בתנור אחד צר או כיוצא בו, אבל אם נצלו במקום רחב הרוח מפזר ואין כחו גדול להיותו כמתערב עם בשר השחוטה או הפת והדג. ויש מי שהורה בכל אלו </w:t>
      </w:r>
      <w:r>
        <w:rPr>
          <w:rFonts w:cs="Arial" w:hint="cs"/>
          <w:sz w:val="14"/>
          <w:szCs w:val="14"/>
          <w:rtl/>
        </w:rPr>
        <w:t>{</w:t>
      </w:r>
      <w:r w:rsidRPr="00AF5A73">
        <w:rPr>
          <w:rFonts w:hint="cs"/>
          <w:sz w:val="14"/>
          <w:szCs w:val="14"/>
          <w:rtl/>
        </w:rPr>
        <w:t>כוונתו גם למה שכתב לפני כן היינו לבשר נבלה שמן בהדי בשר שחוטה</w:t>
      </w:r>
      <w:r>
        <w:rPr>
          <w:rFonts w:hint="cs"/>
          <w:sz w:val="14"/>
          <w:szCs w:val="14"/>
          <w:rtl/>
        </w:rPr>
        <w:t xml:space="preserve">, </w:t>
      </w:r>
      <w:r w:rsidRPr="00AF5A73">
        <w:rPr>
          <w:rFonts w:hint="cs"/>
          <w:sz w:val="14"/>
          <w:szCs w:val="14"/>
          <w:rtl/>
        </w:rPr>
        <w:t>אפי' בשר השחוטה כחוש</w:t>
      </w:r>
      <w:r>
        <w:rPr>
          <w:rFonts w:hint="cs"/>
          <w:sz w:val="14"/>
          <w:szCs w:val="14"/>
          <w:rtl/>
        </w:rPr>
        <w:t>}</w:t>
      </w:r>
      <w:r>
        <w:rPr>
          <w:rFonts w:cs="Arial" w:hint="cs"/>
          <w:rtl/>
        </w:rPr>
        <w:t xml:space="preserve"> </w:t>
      </w:r>
      <w:r w:rsidRPr="003629C7">
        <w:rPr>
          <w:rFonts w:cs="Arial"/>
          <w:rtl/>
        </w:rPr>
        <w:t xml:space="preserve">להתיר, וכן הסכמת רוב גדולי המורים הראשונים והאחרונים. ומכל מקום </w:t>
      </w:r>
      <w:r>
        <w:rPr>
          <w:rFonts w:cs="Arial" w:hint="cs"/>
          <w:sz w:val="16"/>
          <w:szCs w:val="16"/>
          <w:rtl/>
        </w:rPr>
        <w:t>{לכתחילה, ב"י}</w:t>
      </w:r>
      <w:r>
        <w:rPr>
          <w:rFonts w:cs="Arial" w:hint="cs"/>
          <w:rtl/>
        </w:rPr>
        <w:t xml:space="preserve"> </w:t>
      </w:r>
      <w:r w:rsidRPr="003629C7">
        <w:rPr>
          <w:rFonts w:cs="Arial"/>
          <w:rtl/>
        </w:rPr>
        <w:t xml:space="preserve">אסור </w:t>
      </w:r>
      <w:r>
        <w:rPr>
          <w:rFonts w:cs="Arial" w:hint="cs"/>
          <w:sz w:val="16"/>
          <w:szCs w:val="16"/>
          <w:rtl/>
        </w:rPr>
        <w:t xml:space="preserve"> </w:t>
      </w:r>
      <w:r w:rsidRPr="003629C7">
        <w:rPr>
          <w:rFonts w:cs="Arial"/>
          <w:rtl/>
        </w:rPr>
        <w:t>לצלותם בתנור אחד צר</w:t>
      </w:r>
      <w:r>
        <w:rPr>
          <w:rFonts w:hint="cs"/>
          <w:rtl/>
        </w:rPr>
        <w:t xml:space="preserve"> </w:t>
      </w:r>
      <w:r>
        <w:rPr>
          <w:rFonts w:hint="cs"/>
          <w:sz w:val="16"/>
          <w:szCs w:val="16"/>
          <w:rtl/>
        </w:rPr>
        <w:t>{</w:t>
      </w:r>
      <w:r w:rsidRPr="00AF5A73">
        <w:rPr>
          <w:rFonts w:hint="cs"/>
          <w:sz w:val="16"/>
          <w:szCs w:val="16"/>
          <w:rtl/>
        </w:rPr>
        <w:t xml:space="preserve">עכ"ל בתוה"ק. ובתוה"א </w:t>
      </w:r>
      <w:r>
        <w:rPr>
          <w:rFonts w:cs="Arial" w:hint="cs"/>
          <w:sz w:val="14"/>
          <w:szCs w:val="14"/>
          <w:rtl/>
        </w:rPr>
        <w:t>[</w:t>
      </w:r>
      <w:r w:rsidRPr="00AF5A73">
        <w:rPr>
          <w:rFonts w:cs="Arial"/>
          <w:sz w:val="14"/>
          <w:szCs w:val="14"/>
          <w:rtl/>
        </w:rPr>
        <w:t>ב"ד ש"א טו</w:t>
      </w:r>
      <w:r w:rsidRPr="00AF5A73">
        <w:rPr>
          <w:rFonts w:cs="Arial" w:hint="cs"/>
          <w:sz w:val="14"/>
          <w:szCs w:val="14"/>
          <w:rtl/>
        </w:rPr>
        <w:t>:</w:t>
      </w:r>
      <w:r>
        <w:rPr>
          <w:rFonts w:cs="Arial" w:hint="cs"/>
          <w:sz w:val="14"/>
          <w:szCs w:val="14"/>
          <w:rtl/>
        </w:rPr>
        <w:t xml:space="preserve">] </w:t>
      </w:r>
      <w:r w:rsidRPr="00AF5A73">
        <w:rPr>
          <w:rFonts w:hint="cs"/>
          <w:sz w:val="16"/>
          <w:szCs w:val="16"/>
          <w:rtl/>
        </w:rPr>
        <w:t>כ</w:t>
      </w:r>
      <w:r>
        <w:rPr>
          <w:rFonts w:hint="cs"/>
          <w:sz w:val="16"/>
          <w:szCs w:val="16"/>
          <w:rtl/>
        </w:rPr>
        <w:t>תב</w:t>
      </w:r>
      <w:r w:rsidRPr="00AF5A73">
        <w:rPr>
          <w:rFonts w:hint="cs"/>
          <w:sz w:val="16"/>
          <w:szCs w:val="16"/>
          <w:rtl/>
        </w:rPr>
        <w:t>-</w:t>
      </w:r>
      <w:r>
        <w:rPr>
          <w:rFonts w:hint="cs"/>
          <w:sz w:val="16"/>
          <w:szCs w:val="16"/>
          <w:rtl/>
        </w:rPr>
        <w:t>}</w:t>
      </w:r>
      <w:r>
        <w:rPr>
          <w:rFonts w:hint="cs"/>
          <w:rtl/>
        </w:rPr>
        <w:t xml:space="preserve"> </w:t>
      </w:r>
      <w:r w:rsidRPr="00135581">
        <w:rPr>
          <w:rFonts w:cs="Arial"/>
          <w:rtl/>
        </w:rPr>
        <w:t xml:space="preserve">אלא שמדברי הירושלמי </w:t>
      </w:r>
      <w:r w:rsidRPr="00AF5A73">
        <w:rPr>
          <w:rFonts w:cs="Arial"/>
          <w:sz w:val="16"/>
          <w:szCs w:val="16"/>
          <w:rtl/>
        </w:rPr>
        <w:t xml:space="preserve">(תרומות פ"י סוף ה"ב) </w:t>
      </w:r>
      <w:r w:rsidRPr="00135581">
        <w:rPr>
          <w:rFonts w:cs="Arial"/>
          <w:rtl/>
        </w:rPr>
        <w:t>נראה דללוי אפילו לכתחלה שרי</w:t>
      </w:r>
      <w:r>
        <w:rPr>
          <w:rFonts w:cs="Arial" w:hint="cs"/>
          <w:rtl/>
        </w:rPr>
        <w:t>,</w:t>
      </w:r>
      <w:r w:rsidRPr="00135581">
        <w:rPr>
          <w:rFonts w:cs="Arial"/>
          <w:rtl/>
        </w:rPr>
        <w:t xml:space="preserve"> וראוי לחוש לדברי הראשונים ז"ל שאסרו לעשות כן לכתחלה אבל בדיעבד נראה דהלכה כלוי וכן הסכימו רוב הפו</w:t>
      </w:r>
      <w:r>
        <w:rPr>
          <w:rFonts w:cs="Arial"/>
          <w:rtl/>
        </w:rPr>
        <w:t>סקים הראשונים והאחרונים ז"</w:t>
      </w:r>
      <w:r>
        <w:rPr>
          <w:rFonts w:cs="Arial" w:hint="cs"/>
          <w:rtl/>
        </w:rPr>
        <w:t>ל</w:t>
      </w:r>
      <w:r>
        <w:rPr>
          <w:rFonts w:hint="cs"/>
          <w:rtl/>
        </w:rPr>
        <w:t>. עכ"ל.</w:t>
      </w:r>
      <w:r w:rsidRPr="00AF5A73">
        <w:rPr>
          <w:rFonts w:cs="Arial"/>
          <w:rtl/>
        </w:rPr>
        <w:t xml:space="preserve"> </w:t>
      </w:r>
      <w:r>
        <w:rPr>
          <w:rFonts w:cs="Arial" w:hint="cs"/>
          <w:rtl/>
        </w:rPr>
        <w:t xml:space="preserve">והביא הב"י את דבריו. </w:t>
      </w:r>
      <w:r w:rsidRPr="00135581">
        <w:rPr>
          <w:rFonts w:cs="Arial"/>
          <w:rtl/>
        </w:rPr>
        <w:t>ו</w:t>
      </w:r>
      <w:r>
        <w:rPr>
          <w:rFonts w:cs="Arial" w:hint="cs"/>
          <w:rtl/>
        </w:rPr>
        <w:t xml:space="preserve">גם הטור </w:t>
      </w:r>
      <w:r w:rsidRPr="00135581">
        <w:rPr>
          <w:rFonts w:cs="Arial"/>
          <w:rtl/>
        </w:rPr>
        <w:t xml:space="preserve">כתב </w:t>
      </w:r>
      <w:r>
        <w:rPr>
          <w:rFonts w:cs="Arial" w:hint="cs"/>
          <w:rtl/>
        </w:rPr>
        <w:t>את</w:t>
      </w:r>
      <w:r w:rsidRPr="00135581">
        <w:rPr>
          <w:rFonts w:cs="Arial"/>
          <w:rtl/>
        </w:rPr>
        <w:t xml:space="preserve"> דברי</w:t>
      </w:r>
      <w:r>
        <w:rPr>
          <w:rFonts w:cs="Arial" w:hint="cs"/>
          <w:rtl/>
        </w:rPr>
        <w:t xml:space="preserve"> הרשב"א מתוה"ק </w:t>
      </w:r>
      <w:r w:rsidRPr="00135581">
        <w:rPr>
          <w:rFonts w:cs="Arial"/>
          <w:rtl/>
        </w:rPr>
        <w:t>בסי</w:t>
      </w:r>
      <w:r>
        <w:rPr>
          <w:rFonts w:cs="Arial" w:hint="cs"/>
          <w:rtl/>
        </w:rPr>
        <w:t>'</w:t>
      </w:r>
      <w:r w:rsidRPr="00135581">
        <w:rPr>
          <w:rFonts w:cs="Arial"/>
          <w:rtl/>
        </w:rPr>
        <w:t xml:space="preserve"> קח</w:t>
      </w:r>
      <w:r>
        <w:rPr>
          <w:rFonts w:cs="Arial" w:hint="cs"/>
          <w:rtl/>
        </w:rPr>
        <w:t>.</w:t>
      </w:r>
    </w:p>
  </w:footnote>
  <w:footnote w:id="2321">
    <w:p w14:paraId="0550148C" w14:textId="77777777" w:rsidR="004C5A3C" w:rsidRDefault="004C5A3C" w:rsidP="002C39F4">
      <w:pPr>
        <w:pStyle w:val="a5"/>
      </w:pPr>
      <w:r>
        <w:rPr>
          <w:rStyle w:val="a7"/>
        </w:rPr>
        <w:footnoteRef/>
      </w:r>
      <w:r>
        <w:rPr>
          <w:rtl/>
        </w:rPr>
        <w:t xml:space="preserve"> </w:t>
      </w:r>
      <w:r w:rsidRPr="00934E32">
        <w:rPr>
          <w:rFonts w:cs="Arial"/>
          <w:rtl/>
        </w:rPr>
        <w:t>נראה דר"ל ואפי' פלדונ"ש שהוא של חלב עם פשטיד"א של בשר אף שיש להרחיק מן העבירה ושלא יזוב מזה תחת זה מ"מ אין נראה לר"י שיהא אסור משום ריחא כיון שיש אויר כו' אבל לשון פסקי תוספות ואף פלאד"ן שיש להרחיק מן הלחם כו' אינו מיושב בעיני דמאי לשון אפילו ודו"ק</w:t>
      </w:r>
      <w:r>
        <w:rPr>
          <w:rFonts w:cs="Arial" w:hint="cs"/>
          <w:rtl/>
        </w:rPr>
        <w:t>, מהרש"א (חידושי הלכות פסחים עו: ד"ה תוס' בד"ה).</w:t>
      </w:r>
    </w:p>
  </w:footnote>
  <w:footnote w:id="2322">
    <w:p w14:paraId="6C30E944" w14:textId="77777777" w:rsidR="004C5A3C" w:rsidRDefault="004C5A3C" w:rsidP="002C39F4">
      <w:pPr>
        <w:pStyle w:val="a5"/>
        <w:rPr>
          <w:rtl/>
        </w:rPr>
      </w:pPr>
      <w:r>
        <w:rPr>
          <w:rStyle w:val="a7"/>
        </w:rPr>
        <w:footnoteRef/>
      </w:r>
      <w:r>
        <w:rPr>
          <w:rtl/>
        </w:rPr>
        <w:t xml:space="preserve"> </w:t>
      </w:r>
      <w:r>
        <w:rPr>
          <w:rFonts w:hint="cs"/>
          <w:rtl/>
        </w:rPr>
        <w:t xml:space="preserve">כתבו התוס', וז"ל- </w:t>
      </w:r>
      <w:r w:rsidRPr="002E76B8">
        <w:rPr>
          <w:rFonts w:cs="Arial"/>
          <w:rtl/>
        </w:rPr>
        <w:t>לענין ריחא דהתם הלכה כרב דאמר ריחא מילתא היא ה"מ בתנורים שלהם שהיו קטנים</w:t>
      </w:r>
      <w:r>
        <w:rPr>
          <w:rFonts w:cs="Arial" w:hint="cs"/>
          <w:rtl/>
        </w:rPr>
        <w:t>,</w:t>
      </w:r>
      <w:r w:rsidRPr="002E76B8">
        <w:rPr>
          <w:rFonts w:cs="Arial"/>
          <w:rtl/>
        </w:rPr>
        <w:t xml:space="preserve"> וה"ה תחת מחבת שלנו שקורין תרפי"ד בלע"ז שאופין תחתיה הפשטיד"א כמו כן ריחא מילתא היא</w:t>
      </w:r>
      <w:r>
        <w:rPr>
          <w:rFonts w:cs="Arial" w:hint="cs"/>
          <w:rtl/>
        </w:rPr>
        <w:t>,</w:t>
      </w:r>
      <w:r w:rsidRPr="002E76B8">
        <w:rPr>
          <w:rFonts w:cs="Arial"/>
          <w:rtl/>
        </w:rPr>
        <w:t xml:space="preserve"> אבל</w:t>
      </w:r>
      <w:r>
        <w:rPr>
          <w:rFonts w:cs="Arial" w:hint="cs"/>
          <w:rtl/>
        </w:rPr>
        <w:t>-...</w:t>
      </w:r>
    </w:p>
  </w:footnote>
  <w:footnote w:id="2323">
    <w:p w14:paraId="2B71CE90" w14:textId="77777777" w:rsidR="004C5A3C" w:rsidRDefault="004C5A3C" w:rsidP="002C39F4">
      <w:pPr>
        <w:pStyle w:val="a5"/>
      </w:pPr>
      <w:r>
        <w:rPr>
          <w:rStyle w:val="a7"/>
        </w:rPr>
        <w:footnoteRef/>
      </w:r>
      <w:r>
        <w:rPr>
          <w:rtl/>
        </w:rPr>
        <w:t xml:space="preserve"> </w:t>
      </w:r>
      <w:r>
        <w:rPr>
          <w:rFonts w:hint="cs"/>
          <w:rtl/>
        </w:rPr>
        <w:t xml:space="preserve">אף לדעת ר"ת </w:t>
      </w:r>
      <w:r w:rsidRPr="000124E5">
        <w:rPr>
          <w:rFonts w:hint="cs"/>
          <w:sz w:val="16"/>
          <w:szCs w:val="16"/>
          <w:rtl/>
        </w:rPr>
        <w:t>(ע"פ תוס' ורא"ש</w:t>
      </w:r>
      <w:r>
        <w:rPr>
          <w:rFonts w:hint="cs"/>
          <w:sz w:val="16"/>
          <w:szCs w:val="16"/>
          <w:rtl/>
        </w:rPr>
        <w:t>)</w:t>
      </w:r>
      <w:r>
        <w:rPr>
          <w:rFonts w:hint="cs"/>
          <w:rtl/>
        </w:rPr>
        <w:t>.</w:t>
      </w:r>
    </w:p>
  </w:footnote>
  <w:footnote w:id="2324">
    <w:p w14:paraId="480E43B4" w14:textId="77777777" w:rsidR="004C5A3C" w:rsidRDefault="004C5A3C" w:rsidP="002C39F4">
      <w:pPr>
        <w:pStyle w:val="a5"/>
        <w:rPr>
          <w:rtl/>
        </w:rPr>
      </w:pPr>
      <w:r>
        <w:rPr>
          <w:rStyle w:val="a7"/>
        </w:rPr>
        <w:footnoteRef/>
      </w:r>
      <w:r>
        <w:rPr>
          <w:rtl/>
        </w:rPr>
        <w:t xml:space="preserve"> </w:t>
      </w:r>
      <w:r>
        <w:rPr>
          <w:rFonts w:hint="cs"/>
          <w:rtl/>
        </w:rPr>
        <w:t xml:space="preserve">הב"י שינה מלשון התוס', ומהשינוי אפשר להבין לא כשורה את דעת התוס' לכן העתקתי את דברי התוס'. </w:t>
      </w:r>
    </w:p>
  </w:footnote>
  <w:footnote w:id="2325">
    <w:p w14:paraId="66481E9D" w14:textId="77777777" w:rsidR="004C5A3C" w:rsidRDefault="004C5A3C" w:rsidP="002C39F4">
      <w:pPr>
        <w:pStyle w:val="a5"/>
        <w:rPr>
          <w:rtl/>
        </w:rPr>
      </w:pPr>
      <w:r>
        <w:rPr>
          <w:rStyle w:val="a7"/>
        </w:rPr>
        <w:footnoteRef/>
      </w:r>
      <w:r>
        <w:rPr>
          <w:rtl/>
        </w:rPr>
        <w:t xml:space="preserve"> </w:t>
      </w:r>
      <w:r>
        <w:rPr>
          <w:rFonts w:cs="Arial" w:hint="cs"/>
          <w:rtl/>
        </w:rPr>
        <w:t>וכ"כ בתוה"ק</w:t>
      </w:r>
      <w:r w:rsidRPr="00586043">
        <w:rPr>
          <w:rFonts w:cs="Arial" w:hint="cs"/>
          <w:rtl/>
        </w:rPr>
        <w:t xml:space="preserve"> </w:t>
      </w:r>
      <w:r w:rsidRPr="00586043">
        <w:rPr>
          <w:rFonts w:cs="Arial" w:hint="cs"/>
          <w:sz w:val="16"/>
          <w:szCs w:val="16"/>
          <w:rtl/>
        </w:rPr>
        <w:t>(</w:t>
      </w:r>
      <w:r w:rsidRPr="00586043">
        <w:rPr>
          <w:rFonts w:cs="Arial"/>
          <w:sz w:val="16"/>
          <w:szCs w:val="16"/>
          <w:rtl/>
        </w:rPr>
        <w:t>ב"ד ש"א י.)</w:t>
      </w:r>
      <w:r>
        <w:rPr>
          <w:rFonts w:cs="Arial" w:hint="cs"/>
          <w:rtl/>
        </w:rPr>
        <w:t xml:space="preserve"> </w:t>
      </w:r>
      <w:r>
        <w:rPr>
          <w:rFonts w:hint="cs"/>
          <w:rtl/>
        </w:rPr>
        <w:t xml:space="preserve">וז"ל- </w:t>
      </w:r>
      <w:r w:rsidRPr="00AF5A73">
        <w:rPr>
          <w:rFonts w:cs="Arial"/>
          <w:rtl/>
        </w:rPr>
        <w:t>דג ובשר שצלאן בתנור אחד אסור לאכול הדג עם הכותח</w:t>
      </w:r>
      <w:r>
        <w:rPr>
          <w:rFonts w:cs="Arial" w:hint="cs"/>
          <w:rtl/>
        </w:rPr>
        <w:t xml:space="preserve">... </w:t>
      </w:r>
      <w:r w:rsidRPr="00AF5A73">
        <w:rPr>
          <w:rFonts w:cs="Arial"/>
          <w:rtl/>
        </w:rPr>
        <w:t xml:space="preserve">וכן הפת שאפאה בתנור עם הבשר אסור לאוכלו בכותח. במה דברים אמורים כשנצלו בתנור אחד צר או כיוצא בו, אבל אם נצלו במקום רחב הרוח מפזר ואין כחו גדול להיותו כמתערב עם </w:t>
      </w:r>
      <w:r w:rsidRPr="00893865">
        <w:rPr>
          <w:rFonts w:cs="Arial"/>
          <w:b/>
          <w:bCs/>
          <w:rtl/>
        </w:rPr>
        <w:t>בשר השחוטה</w:t>
      </w:r>
      <w:r w:rsidRPr="00AF5A73">
        <w:rPr>
          <w:rFonts w:cs="Arial"/>
          <w:rtl/>
        </w:rPr>
        <w:t xml:space="preserve"> או הפת והדג.</w:t>
      </w:r>
    </w:p>
  </w:footnote>
  <w:footnote w:id="2326">
    <w:p w14:paraId="77CB5F26" w14:textId="77777777" w:rsidR="004C5A3C" w:rsidRDefault="004C5A3C" w:rsidP="002C39F4">
      <w:pPr>
        <w:pStyle w:val="a5"/>
        <w:rPr>
          <w:rtl/>
        </w:rPr>
      </w:pPr>
      <w:r>
        <w:rPr>
          <w:rStyle w:val="a7"/>
        </w:rPr>
        <w:footnoteRef/>
      </w:r>
      <w:r>
        <w:rPr>
          <w:rtl/>
        </w:rPr>
        <w:t xml:space="preserve"> </w:t>
      </w:r>
      <w:r w:rsidRPr="00C32AC9">
        <w:rPr>
          <w:rFonts w:cs="Arial"/>
          <w:rtl/>
        </w:rPr>
        <w:t>תוס</w:t>
      </w:r>
      <w:r w:rsidRPr="00C32AC9">
        <w:rPr>
          <w:rFonts w:cs="Arial" w:hint="cs"/>
          <w:rtl/>
        </w:rPr>
        <w:t>'</w:t>
      </w:r>
      <w:r w:rsidRPr="00C32AC9">
        <w:rPr>
          <w:rFonts w:cs="Arial"/>
          <w:rtl/>
        </w:rPr>
        <w:t xml:space="preserve"> </w:t>
      </w:r>
      <w:r w:rsidRPr="00C32AC9">
        <w:rPr>
          <w:rFonts w:cs="Arial"/>
          <w:sz w:val="16"/>
          <w:szCs w:val="16"/>
          <w:rtl/>
        </w:rPr>
        <w:t>(פסחים עו: ד"ה אסרה רבא)</w:t>
      </w:r>
      <w:r w:rsidRPr="00C32AC9">
        <w:rPr>
          <w:rFonts w:cs="Arial"/>
          <w:rtl/>
        </w:rPr>
        <w:t xml:space="preserve"> ס</w:t>
      </w:r>
      <w:r>
        <w:rPr>
          <w:rFonts w:cs="Arial"/>
          <w:rtl/>
        </w:rPr>
        <w:t xml:space="preserve">מ"ג </w:t>
      </w:r>
      <w:r w:rsidRPr="00C32AC9">
        <w:rPr>
          <w:rFonts w:cs="Arial"/>
          <w:sz w:val="16"/>
          <w:szCs w:val="16"/>
          <w:rtl/>
        </w:rPr>
        <w:t xml:space="preserve">(לאוין קמ נג ע"ג) </w:t>
      </w:r>
      <w:r w:rsidRPr="00C32AC9">
        <w:rPr>
          <w:rFonts w:cs="Arial"/>
          <w:rtl/>
        </w:rPr>
        <w:t xml:space="preserve">סמ"ק </w:t>
      </w:r>
      <w:r w:rsidRPr="00C32AC9">
        <w:rPr>
          <w:rFonts w:cs="Arial"/>
          <w:sz w:val="16"/>
          <w:szCs w:val="16"/>
          <w:rtl/>
        </w:rPr>
        <w:t xml:space="preserve">(סו"ס ריג) </w:t>
      </w:r>
      <w:r>
        <w:rPr>
          <w:rFonts w:cs="Arial"/>
          <w:rtl/>
        </w:rPr>
        <w:t xml:space="preserve">רשב"א </w:t>
      </w:r>
      <w:r w:rsidRPr="007E7133">
        <w:rPr>
          <w:rFonts w:cs="Arial"/>
          <w:sz w:val="16"/>
          <w:szCs w:val="16"/>
          <w:rtl/>
        </w:rPr>
        <w:t>(תוה"א ב"ד ש"א טו.)</w:t>
      </w:r>
      <w:r>
        <w:rPr>
          <w:rFonts w:cs="Arial" w:hint="cs"/>
          <w:rtl/>
        </w:rPr>
        <w:t xml:space="preserve"> </w:t>
      </w:r>
      <w:r>
        <w:rPr>
          <w:rFonts w:cs="Arial"/>
          <w:rtl/>
        </w:rPr>
        <w:t>ו</w:t>
      </w:r>
      <w:r w:rsidRPr="00C32AC9">
        <w:rPr>
          <w:rFonts w:cs="Arial"/>
          <w:rtl/>
        </w:rPr>
        <w:t xml:space="preserve">מרדכי </w:t>
      </w:r>
      <w:r w:rsidRPr="00C32AC9">
        <w:rPr>
          <w:rFonts w:cs="Arial"/>
          <w:sz w:val="16"/>
          <w:szCs w:val="16"/>
          <w:rtl/>
        </w:rPr>
        <w:t>(חולין סי' תרסו)</w:t>
      </w:r>
      <w:r>
        <w:rPr>
          <w:rFonts w:hint="cs"/>
          <w:rtl/>
        </w:rPr>
        <w:t>.</w:t>
      </w:r>
    </w:p>
  </w:footnote>
  <w:footnote w:id="2327">
    <w:p w14:paraId="500E2725" w14:textId="77777777" w:rsidR="004C5A3C" w:rsidRDefault="004C5A3C" w:rsidP="002C39F4">
      <w:pPr>
        <w:pStyle w:val="a5"/>
        <w:rPr>
          <w:rtl/>
        </w:rPr>
      </w:pPr>
      <w:r>
        <w:rPr>
          <w:rStyle w:val="a7"/>
        </w:rPr>
        <w:footnoteRef/>
      </w:r>
      <w:r>
        <w:rPr>
          <w:rtl/>
        </w:rPr>
        <w:t xml:space="preserve"> </w:t>
      </w:r>
      <w:r w:rsidRPr="00135581">
        <w:rPr>
          <w:rFonts w:cs="Arial"/>
          <w:rtl/>
        </w:rPr>
        <w:t>ואין דבריו נראים בעיני דדיעבד מותר גמור הוא ואפילו יש פת אחרת לפניו מותר לאכול מזו</w:t>
      </w:r>
      <w:r>
        <w:rPr>
          <w:rFonts w:hint="cs"/>
          <w:rtl/>
        </w:rPr>
        <w:t>, ב"י.</w:t>
      </w:r>
      <w:r w:rsidRPr="00710F3F">
        <w:rPr>
          <w:rFonts w:hint="cs"/>
          <w:rtl/>
        </w:rPr>
        <w:t xml:space="preserve"> </w:t>
      </w:r>
      <w:r>
        <w:rPr>
          <w:rFonts w:hint="cs"/>
          <w:rtl/>
        </w:rPr>
        <w:t xml:space="preserve">והסכים הדרכ"מ </w:t>
      </w:r>
      <w:r w:rsidRPr="00D13F79">
        <w:rPr>
          <w:rFonts w:hint="cs"/>
          <w:sz w:val="16"/>
          <w:szCs w:val="16"/>
          <w:rtl/>
        </w:rPr>
        <w:t xml:space="preserve">(סי' קח אות ג) </w:t>
      </w:r>
      <w:r>
        <w:rPr>
          <w:rFonts w:hint="cs"/>
          <w:rtl/>
        </w:rPr>
        <w:t>לד' הב"י,</w:t>
      </w:r>
      <w:r w:rsidRPr="00D13F79">
        <w:rPr>
          <w:rtl/>
        </w:rPr>
        <w:t xml:space="preserve"> </w:t>
      </w:r>
      <w:r>
        <w:rPr>
          <w:rFonts w:hint="cs"/>
          <w:rtl/>
        </w:rPr>
        <w:t>וכ' עוד ד</w:t>
      </w:r>
      <w:r>
        <w:rPr>
          <w:rtl/>
        </w:rPr>
        <w:t>לכ</w:t>
      </w:r>
      <w:r>
        <w:rPr>
          <w:rFonts w:hint="cs"/>
          <w:rtl/>
        </w:rPr>
        <w:t>ו</w:t>
      </w:r>
      <w:r>
        <w:rPr>
          <w:rtl/>
        </w:rPr>
        <w:t>"ע בדיעבד מיהו יש להתיר, ולקנות מן הגוים מקרי דיעבד כמו שיתבאר לקמן סימן קי"ג וקי"ד וקכ"ב</w:t>
      </w:r>
      <w:r>
        <w:rPr>
          <w:rFonts w:hint="cs"/>
          <w:rtl/>
        </w:rPr>
        <w:t>,</w:t>
      </w:r>
      <w:r>
        <w:rPr>
          <w:rtl/>
        </w:rPr>
        <w:t xml:space="preserve"> וכ</w:t>
      </w:r>
      <w:r>
        <w:rPr>
          <w:rFonts w:hint="cs"/>
          <w:rtl/>
        </w:rPr>
        <w:t>"פ</w:t>
      </w:r>
      <w:r>
        <w:rPr>
          <w:rtl/>
        </w:rPr>
        <w:t xml:space="preserve"> בהג</w:t>
      </w:r>
      <w:r>
        <w:rPr>
          <w:rFonts w:hint="cs"/>
          <w:rtl/>
        </w:rPr>
        <w:t>שע"ד</w:t>
      </w:r>
      <w:r>
        <w:rPr>
          <w:rtl/>
        </w:rPr>
        <w:t xml:space="preserve"> </w:t>
      </w:r>
      <w:r w:rsidRPr="00D13F79">
        <w:rPr>
          <w:sz w:val="16"/>
          <w:szCs w:val="16"/>
          <w:rtl/>
        </w:rPr>
        <w:t xml:space="preserve">(סי' עה ד"ה בפא"מ) </w:t>
      </w:r>
      <w:r>
        <w:rPr>
          <w:rtl/>
        </w:rPr>
        <w:t xml:space="preserve">בשם מהרא"י ז"ל ומהר"י מינץ בתשובות </w:t>
      </w:r>
      <w:r w:rsidRPr="00D13F79">
        <w:rPr>
          <w:sz w:val="16"/>
          <w:szCs w:val="16"/>
          <w:rtl/>
        </w:rPr>
        <w:t>(סי</w:t>
      </w:r>
      <w:r w:rsidRPr="00D13F79">
        <w:rPr>
          <w:rFonts w:hint="cs"/>
          <w:sz w:val="16"/>
          <w:szCs w:val="16"/>
          <w:rtl/>
        </w:rPr>
        <w:t xml:space="preserve">' </w:t>
      </w:r>
      <w:r w:rsidRPr="00D13F79">
        <w:rPr>
          <w:sz w:val="16"/>
          <w:szCs w:val="16"/>
          <w:rtl/>
        </w:rPr>
        <w:t xml:space="preserve">טו) </w:t>
      </w:r>
      <w:r>
        <w:rPr>
          <w:rtl/>
        </w:rPr>
        <w:t xml:space="preserve">והארוך </w:t>
      </w:r>
      <w:r w:rsidRPr="00D13F79">
        <w:rPr>
          <w:sz w:val="16"/>
          <w:szCs w:val="16"/>
          <w:rtl/>
        </w:rPr>
        <w:t xml:space="preserve">(כלל לט) </w:t>
      </w:r>
      <w:r>
        <w:rPr>
          <w:rtl/>
        </w:rPr>
        <w:t>דאנו נוהגין להתיר ריחא מילתא בדיעבד אבל לכתחלה יש לאסור</w:t>
      </w:r>
      <w:r>
        <w:rPr>
          <w:rFonts w:hint="cs"/>
          <w:rtl/>
        </w:rPr>
        <w:t>,</w:t>
      </w:r>
      <w:r>
        <w:rPr>
          <w:rtl/>
        </w:rPr>
        <w:t xml:space="preserve"> ואין חילוק בין תנורים שלנו לשלהם דלעולם לכתחלה אסור ובדיעבד שרי</w:t>
      </w:r>
      <w:r>
        <w:rPr>
          <w:rFonts w:hint="cs"/>
          <w:rtl/>
        </w:rPr>
        <w:t xml:space="preserve"> </w:t>
      </w:r>
      <w:r w:rsidRPr="00541475">
        <w:rPr>
          <w:rFonts w:cs="Arial" w:hint="cs"/>
          <w:color w:val="00B0F0"/>
          <w:sz w:val="16"/>
          <w:szCs w:val="16"/>
          <w:rtl/>
        </w:rPr>
        <w:t xml:space="preserve">(וכ"פ </w:t>
      </w:r>
      <w:r>
        <w:rPr>
          <w:rFonts w:cs="Arial" w:hint="cs"/>
          <w:color w:val="00B0F0"/>
          <w:sz w:val="16"/>
          <w:szCs w:val="16"/>
          <w:rtl/>
        </w:rPr>
        <w:t>בהגה</w:t>
      </w:r>
      <w:r w:rsidRPr="00541475">
        <w:rPr>
          <w:rFonts w:cs="Arial" w:hint="cs"/>
          <w:color w:val="00B0F0"/>
          <w:sz w:val="16"/>
          <w:szCs w:val="16"/>
          <w:rtl/>
        </w:rPr>
        <w:t>)</w:t>
      </w:r>
      <w:r>
        <w:rPr>
          <w:rFonts w:hint="cs"/>
          <w:rtl/>
        </w:rPr>
        <w:t>,</w:t>
      </w:r>
      <w:r>
        <w:rPr>
          <w:rtl/>
        </w:rPr>
        <w:t xml:space="preserve"> אמנם בדברי ב</w:t>
      </w:r>
      <w:r>
        <w:rPr>
          <w:rFonts w:hint="cs"/>
          <w:rtl/>
        </w:rPr>
        <w:t>"י</w:t>
      </w:r>
      <w:r>
        <w:rPr>
          <w:rtl/>
        </w:rPr>
        <w:t xml:space="preserve"> משמע דאף לכתחלה אין לאסור אלא בתנור צר</w:t>
      </w:r>
      <w:r>
        <w:rPr>
          <w:rFonts w:hint="cs"/>
          <w:rtl/>
        </w:rPr>
        <w:t xml:space="preserve"> </w:t>
      </w:r>
      <w:r>
        <w:rPr>
          <w:rFonts w:hint="cs"/>
          <w:sz w:val="16"/>
          <w:szCs w:val="16"/>
          <w:rtl/>
        </w:rPr>
        <w:t>(</w:t>
      </w:r>
      <w:r w:rsidRPr="00541475">
        <w:rPr>
          <w:rFonts w:hint="cs"/>
          <w:sz w:val="16"/>
          <w:szCs w:val="16"/>
          <w:rtl/>
        </w:rPr>
        <w:t>עכ"ל הדרכ"מ)</w:t>
      </w:r>
      <w:r>
        <w:rPr>
          <w:rFonts w:hint="cs"/>
          <w:rtl/>
        </w:rPr>
        <w:t>.</w:t>
      </w:r>
    </w:p>
  </w:footnote>
  <w:footnote w:id="2328">
    <w:p w14:paraId="4A009779" w14:textId="77777777" w:rsidR="004C5A3C" w:rsidRDefault="004C5A3C" w:rsidP="002C39F4">
      <w:pPr>
        <w:pStyle w:val="a5"/>
        <w:rPr>
          <w:rtl/>
        </w:rPr>
      </w:pPr>
      <w:r>
        <w:rPr>
          <w:rStyle w:val="a7"/>
        </w:rPr>
        <w:footnoteRef/>
      </w:r>
      <w:r>
        <w:rPr>
          <w:rtl/>
        </w:rPr>
        <w:t xml:space="preserve"> </w:t>
      </w:r>
      <w:r>
        <w:rPr>
          <w:rFonts w:cs="Arial"/>
          <w:rtl/>
        </w:rPr>
        <w:t>וכ</w:t>
      </w:r>
      <w:r>
        <w:rPr>
          <w:rFonts w:cs="Arial" w:hint="cs"/>
          <w:rtl/>
        </w:rPr>
        <w:t>"כ</w:t>
      </w:r>
      <w:r>
        <w:rPr>
          <w:rFonts w:cs="Arial"/>
          <w:rtl/>
        </w:rPr>
        <w:t xml:space="preserve"> הגה</w:t>
      </w:r>
      <w:r>
        <w:rPr>
          <w:rFonts w:cs="Arial" w:hint="cs"/>
          <w:rtl/>
        </w:rPr>
        <w:t>"מ</w:t>
      </w:r>
      <w:r>
        <w:rPr>
          <w:rFonts w:cs="Arial"/>
          <w:rtl/>
        </w:rPr>
        <w:t xml:space="preserve"> בפ"ט </w:t>
      </w:r>
      <w:r>
        <w:rPr>
          <w:rFonts w:cs="Arial" w:hint="cs"/>
          <w:rtl/>
        </w:rPr>
        <w:t>(</w:t>
      </w:r>
      <w:r>
        <w:rPr>
          <w:rFonts w:cs="Arial"/>
          <w:rtl/>
        </w:rPr>
        <w:t>מהל</w:t>
      </w:r>
      <w:r>
        <w:rPr>
          <w:rFonts w:cs="Arial" w:hint="cs"/>
          <w:rtl/>
        </w:rPr>
        <w:t>'</w:t>
      </w:r>
      <w:r>
        <w:rPr>
          <w:rFonts w:cs="Arial"/>
          <w:rtl/>
        </w:rPr>
        <w:t xml:space="preserve"> מאכ</w:t>
      </w:r>
      <w:r>
        <w:rPr>
          <w:rFonts w:cs="Arial" w:hint="cs"/>
          <w:rtl/>
        </w:rPr>
        <w:t xml:space="preserve">"א </w:t>
      </w:r>
      <w:r>
        <w:rPr>
          <w:rFonts w:cs="Arial"/>
          <w:rtl/>
        </w:rPr>
        <w:t>אות ק)</w:t>
      </w:r>
      <w:r>
        <w:rPr>
          <w:rFonts w:cs="Arial" w:hint="cs"/>
          <w:rtl/>
        </w:rPr>
        <w:t>,</w:t>
      </w:r>
      <w:r>
        <w:rPr>
          <w:rFonts w:cs="Arial"/>
          <w:rtl/>
        </w:rPr>
        <w:t xml:space="preserve"> ובפרק ט"ו (ד"ק הל"ג) כתבו</w:t>
      </w:r>
      <w:r>
        <w:rPr>
          <w:rFonts w:cs="Arial" w:hint="cs"/>
          <w:rtl/>
        </w:rPr>
        <w:t>-</w:t>
      </w:r>
      <w:r>
        <w:rPr>
          <w:rFonts w:cs="Arial"/>
          <w:rtl/>
        </w:rPr>
        <w:t xml:space="preserve"> מצאתי כתוב דאפילו מאן דאמר ריחא לאו מילתא היא הני מילי בתנורים שלהם שפיהם למעלה אבל בתנורים שלנו שפיהם מן הצד מחזיק ריחו ומפטם כל מה שבצדו ולכן מודו כו</w:t>
      </w:r>
      <w:r>
        <w:rPr>
          <w:rFonts w:cs="Arial" w:hint="cs"/>
          <w:rtl/>
        </w:rPr>
        <w:t>"</w:t>
      </w:r>
      <w:r>
        <w:rPr>
          <w:rFonts w:cs="Arial"/>
          <w:rtl/>
        </w:rPr>
        <w:t>ע דלכתחלה אסור וזה היפך ממה שפירשתי לעיל פ</w:t>
      </w:r>
      <w:r>
        <w:rPr>
          <w:rFonts w:cs="Arial" w:hint="cs"/>
          <w:rtl/>
        </w:rPr>
        <w:t>"</w:t>
      </w:r>
      <w:r>
        <w:rPr>
          <w:rFonts w:cs="Arial"/>
          <w:rtl/>
        </w:rPr>
        <w:t>ט עכ"ל</w:t>
      </w:r>
      <w:r>
        <w:rPr>
          <w:rFonts w:cs="Arial" w:hint="cs"/>
          <w:rtl/>
        </w:rPr>
        <w:t>,</w:t>
      </w:r>
      <w:r>
        <w:rPr>
          <w:rFonts w:cs="Arial"/>
          <w:rtl/>
        </w:rPr>
        <w:t xml:space="preserve"> ונראה דליתא להגה"ה זו שלא נודע מי בעל דבריה מקמי כל הנך רבוותא שלא חילקו בכך ואדרבה כתבו להקל בתנורים דידן.</w:t>
      </w:r>
      <w:r>
        <w:rPr>
          <w:rFonts w:hint="cs"/>
          <w:rtl/>
        </w:rPr>
        <w:t xml:space="preserve"> </w:t>
      </w:r>
    </w:p>
  </w:footnote>
  <w:footnote w:id="2329">
    <w:p w14:paraId="13BFDF6A" w14:textId="77777777" w:rsidR="004C5A3C" w:rsidRDefault="004C5A3C" w:rsidP="002C39F4">
      <w:pPr>
        <w:pStyle w:val="a5"/>
        <w:rPr>
          <w:rtl/>
        </w:rPr>
      </w:pPr>
      <w:r>
        <w:rPr>
          <w:rStyle w:val="a7"/>
        </w:rPr>
        <w:footnoteRef/>
      </w:r>
      <w:r>
        <w:rPr>
          <w:rtl/>
        </w:rPr>
        <w:t xml:space="preserve"> </w:t>
      </w:r>
      <w:r>
        <w:rPr>
          <w:rFonts w:cs="Arial"/>
          <w:rtl/>
        </w:rPr>
        <w:t>נראה מדבריו דברחב קצת סגי ולא בעי מחזיק שנים עשר עשרונים כסמ"ק</w:t>
      </w:r>
      <w:r>
        <w:rPr>
          <w:rFonts w:cs="Arial" w:hint="cs"/>
          <w:rtl/>
        </w:rPr>
        <w:t>, ב"י.</w:t>
      </w:r>
    </w:p>
  </w:footnote>
  <w:footnote w:id="2330">
    <w:p w14:paraId="42EAB2E9" w14:textId="77777777" w:rsidR="004C5A3C" w:rsidRDefault="004C5A3C" w:rsidP="002C39F4">
      <w:pPr>
        <w:pStyle w:val="a5"/>
      </w:pPr>
      <w:r>
        <w:rPr>
          <w:rStyle w:val="a7"/>
        </w:rPr>
        <w:footnoteRef/>
      </w:r>
      <w:r>
        <w:rPr>
          <w:rtl/>
        </w:rPr>
        <w:t xml:space="preserve"> </w:t>
      </w:r>
      <w:r w:rsidRPr="00934E32">
        <w:rPr>
          <w:rFonts w:cs="Arial"/>
          <w:rtl/>
        </w:rPr>
        <w:t>נראה דר"ל ואפי' פלדונ"ש שהוא של חלב עם פשטיד"א של בשר אף שיש להרחיק מן העבירה ושלא יזוב מזה תחת זה מ"מ אין נראה לר"י שיהא אסור משום ריחא כיון שיש אויר כו' אבל לשון פסקי תוספות ואף פלאד"ן שיש להרחיק מן הלחם כו' אינו מיושב בעיני דמאי לשון אפילו ודו"ק</w:t>
      </w:r>
      <w:r>
        <w:rPr>
          <w:rFonts w:cs="Arial" w:hint="cs"/>
          <w:rtl/>
        </w:rPr>
        <w:t>, מהרש"א (חידושי הלכות פסחים עו: ד"ה תוס' בד"ה).</w:t>
      </w:r>
    </w:p>
  </w:footnote>
  <w:footnote w:id="2331">
    <w:p w14:paraId="40DE6079" w14:textId="77777777" w:rsidR="004C5A3C" w:rsidRDefault="004C5A3C" w:rsidP="002C39F4">
      <w:pPr>
        <w:pStyle w:val="a5"/>
        <w:rPr>
          <w:rtl/>
        </w:rPr>
      </w:pPr>
      <w:r>
        <w:rPr>
          <w:rStyle w:val="a7"/>
        </w:rPr>
        <w:footnoteRef/>
      </w:r>
      <w:r>
        <w:rPr>
          <w:rtl/>
        </w:rPr>
        <w:t xml:space="preserve"> </w:t>
      </w:r>
      <w:r>
        <w:rPr>
          <w:rFonts w:hint="cs"/>
          <w:rtl/>
        </w:rPr>
        <w:t>ו</w:t>
      </w:r>
      <w:r>
        <w:rPr>
          <w:rtl/>
        </w:rPr>
        <w:t>הא דנהגינן להתיר ריחא בדיעבד היינו שהתנור פתוח מעט</w:t>
      </w:r>
      <w:r>
        <w:rPr>
          <w:rFonts w:hint="cs"/>
          <w:rtl/>
        </w:rPr>
        <w:t>,</w:t>
      </w:r>
      <w:r>
        <w:rPr>
          <w:rtl/>
        </w:rPr>
        <w:t xml:space="preserve"> אפילו אינו פתוח רק הנקב שהעשן יוצא ממנו</w:t>
      </w:r>
      <w:r>
        <w:rPr>
          <w:rFonts w:hint="cs"/>
          <w:rtl/>
        </w:rPr>
        <w:t>,</w:t>
      </w:r>
      <w:r>
        <w:rPr>
          <w:rtl/>
        </w:rPr>
        <w:t xml:space="preserve"> אבל אם הוא סתום לגמרי מכל צד ריחא מילתא היא אפילו בדיעבד אסור</w:t>
      </w:r>
      <w:r>
        <w:rPr>
          <w:rFonts w:hint="cs"/>
          <w:rtl/>
        </w:rPr>
        <w:t>,</w:t>
      </w:r>
      <w:r>
        <w:rPr>
          <w:rtl/>
        </w:rPr>
        <w:t xml:space="preserve"> ואין חילוק בין שנצלה עם איסור דאורייתא או של דרבנן</w:t>
      </w:r>
      <w:r>
        <w:rPr>
          <w:rFonts w:hint="cs"/>
          <w:rtl/>
        </w:rPr>
        <w:t>, או</w:t>
      </w:r>
      <w:r>
        <w:rPr>
          <w:rtl/>
        </w:rPr>
        <w:t>"</w:t>
      </w:r>
      <w:r>
        <w:rPr>
          <w:rFonts w:hint="cs"/>
          <w:rtl/>
        </w:rPr>
        <w:t>ה</w:t>
      </w:r>
      <w:r>
        <w:rPr>
          <w:rtl/>
        </w:rPr>
        <w:t xml:space="preserve"> </w:t>
      </w:r>
      <w:r w:rsidRPr="00EB642F">
        <w:rPr>
          <w:rFonts w:hint="cs"/>
          <w:sz w:val="16"/>
          <w:szCs w:val="16"/>
          <w:rtl/>
        </w:rPr>
        <w:t>(</w:t>
      </w:r>
      <w:r w:rsidRPr="00EB642F">
        <w:rPr>
          <w:sz w:val="16"/>
          <w:szCs w:val="16"/>
          <w:rtl/>
        </w:rPr>
        <w:t>כלל לט ד</w:t>
      </w:r>
      <w:r>
        <w:rPr>
          <w:rFonts w:hint="cs"/>
          <w:sz w:val="16"/>
          <w:szCs w:val="16"/>
          <w:rtl/>
        </w:rPr>
        <w:t>"</w:t>
      </w:r>
      <w:r w:rsidRPr="00EB642F">
        <w:rPr>
          <w:sz w:val="16"/>
          <w:szCs w:val="16"/>
          <w:rtl/>
        </w:rPr>
        <w:t>ו)</w:t>
      </w:r>
      <w:r>
        <w:rPr>
          <w:rFonts w:hint="cs"/>
          <w:rtl/>
        </w:rPr>
        <w:t>. אך מבואר מדברי רוב הפוסקים לעיל והב"י שלא כדבריו, וכן הסכים הרמ"א בהגה.</w:t>
      </w:r>
    </w:p>
  </w:footnote>
  <w:footnote w:id="2332">
    <w:p w14:paraId="2E27D4E7" w14:textId="77777777" w:rsidR="004C5A3C" w:rsidRDefault="004C5A3C" w:rsidP="002C39F4">
      <w:pPr>
        <w:pStyle w:val="a5"/>
      </w:pPr>
      <w:r>
        <w:rPr>
          <w:rStyle w:val="a7"/>
        </w:rPr>
        <w:footnoteRef/>
      </w:r>
      <w:r>
        <w:rPr>
          <w:rtl/>
        </w:rPr>
        <w:t xml:space="preserve"> </w:t>
      </w:r>
      <w:r>
        <w:rPr>
          <w:rFonts w:hint="cs"/>
          <w:rtl/>
        </w:rPr>
        <w:t>וכ' הדרכ"מ (סי' קח אות ג) ד</w:t>
      </w:r>
      <w:r>
        <w:rPr>
          <w:rtl/>
        </w:rPr>
        <w:t>משמע דמ"מ לא גרע מתנורים שלהם ובדיעבד מיהו משרי שרי</w:t>
      </w:r>
      <w:r>
        <w:rPr>
          <w:rFonts w:hint="cs"/>
          <w:rtl/>
        </w:rPr>
        <w:t>,</w:t>
      </w:r>
      <w:r>
        <w:rPr>
          <w:rtl/>
        </w:rPr>
        <w:t xml:space="preserve"> אמנם באו"ה (</w:t>
      </w:r>
      <w:r>
        <w:rPr>
          <w:rFonts w:hint="cs"/>
          <w:rtl/>
        </w:rPr>
        <w:t>כלל לט</w:t>
      </w:r>
      <w:r>
        <w:rPr>
          <w:rtl/>
        </w:rPr>
        <w:t xml:space="preserve"> דין ו) אוסר בכה"ג אפילו בדיעבד אם היא ריחא של איסור</w:t>
      </w:r>
      <w:r>
        <w:rPr>
          <w:rFonts w:hint="cs"/>
          <w:rtl/>
        </w:rPr>
        <w:t>,</w:t>
      </w:r>
      <w:r>
        <w:rPr>
          <w:rtl/>
        </w:rPr>
        <w:t xml:space="preserve"> אבל פת שנאפה כה"ג עם בשר מותר לאכלו עם בשר</w:t>
      </w:r>
      <w:r>
        <w:rPr>
          <w:rFonts w:hint="cs"/>
          <w:rtl/>
        </w:rPr>
        <w:t>,</w:t>
      </w:r>
      <w:r>
        <w:rPr>
          <w:rtl/>
        </w:rPr>
        <w:t xml:space="preserve"> עכ"ל</w:t>
      </w:r>
      <w:r>
        <w:rPr>
          <w:rFonts w:hint="cs"/>
          <w:rtl/>
        </w:rPr>
        <w:t xml:space="preserve"> </w:t>
      </w:r>
      <w:r w:rsidRPr="00541475">
        <w:rPr>
          <w:rFonts w:cs="Arial" w:hint="cs"/>
          <w:color w:val="00B0F0"/>
          <w:sz w:val="16"/>
          <w:szCs w:val="16"/>
          <w:rtl/>
        </w:rPr>
        <w:t xml:space="preserve">(וכ"פ </w:t>
      </w:r>
      <w:r>
        <w:rPr>
          <w:rFonts w:cs="Arial" w:hint="cs"/>
          <w:color w:val="00B0F0"/>
          <w:sz w:val="16"/>
          <w:szCs w:val="16"/>
          <w:rtl/>
        </w:rPr>
        <w:t>בהגה</w:t>
      </w:r>
      <w:r w:rsidRPr="00541475">
        <w:rPr>
          <w:rFonts w:cs="Arial" w:hint="cs"/>
          <w:color w:val="00B0F0"/>
          <w:sz w:val="16"/>
          <w:szCs w:val="16"/>
          <w:rtl/>
        </w:rPr>
        <w:t>)</w:t>
      </w:r>
      <w:r>
        <w:rPr>
          <w:rFonts w:hint="cs"/>
          <w:rtl/>
        </w:rPr>
        <w:t>.</w:t>
      </w:r>
      <w:r>
        <w:rPr>
          <w:rtl/>
        </w:rPr>
        <w:t xml:space="preserve"> </w:t>
      </w:r>
      <w:r>
        <w:rPr>
          <w:rFonts w:hint="cs"/>
          <w:rtl/>
        </w:rPr>
        <w:t>ו</w:t>
      </w:r>
      <w:r>
        <w:rPr>
          <w:rtl/>
        </w:rPr>
        <w:t>בשע</w:t>
      </w:r>
      <w:r>
        <w:rPr>
          <w:rFonts w:hint="cs"/>
          <w:rtl/>
        </w:rPr>
        <w:t>"ד</w:t>
      </w:r>
      <w:r>
        <w:rPr>
          <w:rtl/>
        </w:rPr>
        <w:t xml:space="preserve"> סי</w:t>
      </w:r>
      <w:r>
        <w:rPr>
          <w:rFonts w:hint="cs"/>
          <w:rtl/>
        </w:rPr>
        <w:t>'</w:t>
      </w:r>
      <w:r>
        <w:rPr>
          <w:rtl/>
        </w:rPr>
        <w:t xml:space="preserve"> ס' ובהג"ה שם (אות א) בשם מהרא"י משמע דבכה"ג אפילו פת שאפאו עם פשטיד"א אע"פ שאינו נוגע אסור לאכלו אפילו עם בשר שמא יבא לאכלו עם חלב</w:t>
      </w:r>
      <w:r>
        <w:rPr>
          <w:rFonts w:hint="cs"/>
          <w:rtl/>
        </w:rPr>
        <w:t>.</w:t>
      </w:r>
      <w:r w:rsidRPr="00D6570B">
        <w:rPr>
          <w:rFonts w:cs="Arial"/>
          <w:rtl/>
        </w:rPr>
        <w:t xml:space="preserve"> </w:t>
      </w:r>
      <w:r w:rsidRPr="00541475">
        <w:rPr>
          <w:rFonts w:cs="Arial" w:hint="cs"/>
          <w:color w:val="00B0F0"/>
          <w:rtl/>
        </w:rPr>
        <w:t xml:space="preserve">(וכ"פ </w:t>
      </w:r>
      <w:r>
        <w:rPr>
          <w:rFonts w:cs="Arial" w:hint="cs"/>
          <w:color w:val="00B0F0"/>
          <w:rtl/>
        </w:rPr>
        <w:t>בהגה</w:t>
      </w:r>
      <w:r w:rsidRPr="00541475">
        <w:rPr>
          <w:rFonts w:cs="Arial" w:hint="cs"/>
          <w:color w:val="00B0F0"/>
          <w:rtl/>
        </w:rPr>
        <w:t>)</w:t>
      </w:r>
    </w:p>
  </w:footnote>
  <w:footnote w:id="2333">
    <w:p w14:paraId="491F7EAE" w14:textId="77777777" w:rsidR="004C5A3C" w:rsidRDefault="004C5A3C" w:rsidP="002C39F4">
      <w:pPr>
        <w:pStyle w:val="a5"/>
        <w:rPr>
          <w:rtl/>
        </w:rPr>
      </w:pPr>
      <w:r>
        <w:rPr>
          <w:rStyle w:val="a7"/>
        </w:rPr>
        <w:footnoteRef/>
      </w:r>
      <w:r>
        <w:rPr>
          <w:rtl/>
        </w:rPr>
        <w:t xml:space="preserve"> ואין להקשות ע"ז ממה שכתב הטור בשם הרא"ש ס</w:t>
      </w:r>
      <w:r>
        <w:rPr>
          <w:rFonts w:hint="cs"/>
          <w:rtl/>
        </w:rPr>
        <w:t xml:space="preserve">"ס </w:t>
      </w:r>
      <w:r>
        <w:rPr>
          <w:rtl/>
        </w:rPr>
        <w:t>צ"ב דמחבת שתחת קדרה אוסר משום הזיעה</w:t>
      </w:r>
      <w:r>
        <w:rPr>
          <w:rFonts w:hint="cs"/>
          <w:rtl/>
        </w:rPr>
        <w:t>,</w:t>
      </w:r>
      <w:r>
        <w:rPr>
          <w:rtl/>
        </w:rPr>
        <w:t xml:space="preserve"> די"ל דהתם היה מאכל חלב בתוך המחבת אבל הכלי עצמו אינה מפטם לאסור ממש</w:t>
      </w:r>
      <w:r>
        <w:rPr>
          <w:rFonts w:hint="cs"/>
          <w:rtl/>
        </w:rPr>
        <w:t>,</w:t>
      </w:r>
      <w:r>
        <w:rPr>
          <w:rtl/>
        </w:rPr>
        <w:t xml:space="preserve"> כנ"ל</w:t>
      </w:r>
      <w:r>
        <w:rPr>
          <w:rFonts w:hint="cs"/>
          <w:rtl/>
        </w:rPr>
        <w:t>,</w:t>
      </w:r>
      <w:r>
        <w:rPr>
          <w:rtl/>
        </w:rPr>
        <w:t xml:space="preserve"> ומ</w:t>
      </w:r>
      <w:r>
        <w:rPr>
          <w:rFonts w:hint="cs"/>
          <w:rtl/>
        </w:rPr>
        <w:t>"</w:t>
      </w:r>
      <w:r>
        <w:rPr>
          <w:rtl/>
        </w:rPr>
        <w:t>מ צ"ע דמ"ש מכיסוי שעל הקדרה שאוסר כמו שנתבאר לעיל סי</w:t>
      </w:r>
      <w:r>
        <w:rPr>
          <w:rFonts w:hint="cs"/>
          <w:rtl/>
        </w:rPr>
        <w:t>'</w:t>
      </w:r>
      <w:r>
        <w:rPr>
          <w:rtl/>
        </w:rPr>
        <w:t xml:space="preserve"> צ"ג (ד</w:t>
      </w:r>
      <w:r>
        <w:rPr>
          <w:rFonts w:hint="cs"/>
          <w:rtl/>
        </w:rPr>
        <w:t>רכ</w:t>
      </w:r>
      <w:r>
        <w:rPr>
          <w:rtl/>
        </w:rPr>
        <w:t>"מ אות ב)</w:t>
      </w:r>
      <w:r>
        <w:rPr>
          <w:rFonts w:hint="cs"/>
          <w:rtl/>
        </w:rPr>
        <w:t>,</w:t>
      </w:r>
      <w:r>
        <w:rPr>
          <w:rtl/>
        </w:rPr>
        <w:t xml:space="preserve"> מיהו יש לחלק בין דבר מכוסה כגון פשטיד"א ופלאדי"ן ובין דבר שלא היה מכוסה ואפילו אם היה מגולה מ</w:t>
      </w:r>
      <w:r>
        <w:rPr>
          <w:rFonts w:hint="cs"/>
          <w:rtl/>
        </w:rPr>
        <w:t>"</w:t>
      </w:r>
      <w:r>
        <w:rPr>
          <w:rtl/>
        </w:rPr>
        <w:t>מ אין בהם לחלוחית וזיעה כמו בקדרה</w:t>
      </w:r>
      <w:r>
        <w:rPr>
          <w:rFonts w:hint="cs"/>
          <w:rtl/>
        </w:rPr>
        <w:t xml:space="preserve"> </w:t>
      </w:r>
      <w:r w:rsidRPr="00541475">
        <w:rPr>
          <w:rFonts w:cs="Arial" w:hint="cs"/>
          <w:color w:val="00B0F0"/>
          <w:sz w:val="16"/>
          <w:szCs w:val="16"/>
          <w:rtl/>
        </w:rPr>
        <w:t xml:space="preserve">(וכ"פ </w:t>
      </w:r>
      <w:r>
        <w:rPr>
          <w:rFonts w:cs="Arial" w:hint="cs"/>
          <w:color w:val="00B0F0"/>
          <w:sz w:val="16"/>
          <w:szCs w:val="16"/>
          <w:rtl/>
        </w:rPr>
        <w:t>בהגה</w:t>
      </w:r>
      <w:r w:rsidRPr="00541475">
        <w:rPr>
          <w:rFonts w:cs="Arial" w:hint="cs"/>
          <w:color w:val="00B0F0"/>
          <w:sz w:val="16"/>
          <w:szCs w:val="16"/>
          <w:rtl/>
        </w:rPr>
        <w:t>)</w:t>
      </w:r>
      <w:r>
        <w:rPr>
          <w:rFonts w:hint="cs"/>
          <w:rtl/>
        </w:rPr>
        <w:t>,</w:t>
      </w:r>
      <w:r>
        <w:rPr>
          <w:rtl/>
        </w:rPr>
        <w:t xml:space="preserve"> וכתב או"ה (כלל לט סוף דין כב) דע"ג כירה אין בו משום ריחא מילתא הואיל והוא במקום מגולה עכ"ל</w:t>
      </w:r>
      <w:r>
        <w:rPr>
          <w:rFonts w:hint="cs"/>
          <w:rtl/>
        </w:rPr>
        <w:t>,</w:t>
      </w:r>
      <w:r>
        <w:rPr>
          <w:rtl/>
        </w:rPr>
        <w:t xml:space="preserve"> ופשוט</w:t>
      </w:r>
      <w:r>
        <w:rPr>
          <w:rFonts w:hint="cs"/>
          <w:rtl/>
        </w:rPr>
        <w:t>, דרכ"מ.</w:t>
      </w:r>
    </w:p>
  </w:footnote>
  <w:footnote w:id="2334">
    <w:p w14:paraId="584BAE1B" w14:textId="77777777" w:rsidR="004C5A3C" w:rsidRDefault="004C5A3C" w:rsidP="002C39F4">
      <w:pPr>
        <w:pStyle w:val="a5"/>
        <w:rPr>
          <w:rtl/>
        </w:rPr>
      </w:pPr>
      <w:r>
        <w:rPr>
          <w:rStyle w:val="a7"/>
        </w:rPr>
        <w:footnoteRef/>
      </w:r>
      <w:r>
        <w:rPr>
          <w:rtl/>
        </w:rPr>
        <w:t xml:space="preserve"> </w:t>
      </w:r>
      <w:r w:rsidRPr="00C71914">
        <w:rPr>
          <w:rFonts w:cs="Arial"/>
          <w:rtl/>
        </w:rPr>
        <w:t>והפריז על המדה, דבפרק בתרא דע</w:t>
      </w:r>
      <w:r>
        <w:rPr>
          <w:rFonts w:cs="Arial" w:hint="cs"/>
          <w:rtl/>
        </w:rPr>
        <w:t>"ז</w:t>
      </w:r>
      <w:r w:rsidRPr="00C71914">
        <w:rPr>
          <w:rFonts w:cs="Arial"/>
          <w:rtl/>
        </w:rPr>
        <w:t xml:space="preserve"> </w:t>
      </w:r>
      <w:r>
        <w:rPr>
          <w:rFonts w:cs="Arial" w:hint="cs"/>
          <w:rtl/>
        </w:rPr>
        <w:t>(</w:t>
      </w:r>
      <w:r w:rsidRPr="00C71914">
        <w:rPr>
          <w:rFonts w:cs="Arial"/>
          <w:rtl/>
        </w:rPr>
        <w:t>שם</w:t>
      </w:r>
      <w:r>
        <w:rPr>
          <w:rFonts w:cs="Arial" w:hint="cs"/>
          <w:rtl/>
        </w:rPr>
        <w:t>)</w:t>
      </w:r>
      <w:r w:rsidRPr="00C71914">
        <w:rPr>
          <w:rFonts w:cs="Arial"/>
          <w:rtl/>
        </w:rPr>
        <w:t xml:space="preserve"> מוכח דלרבא דקיי</w:t>
      </w:r>
      <w:r>
        <w:rPr>
          <w:rFonts w:cs="Arial" w:hint="cs"/>
          <w:rtl/>
        </w:rPr>
        <w:t>"ל</w:t>
      </w:r>
      <w:r w:rsidRPr="00C71914">
        <w:rPr>
          <w:rFonts w:cs="Arial"/>
          <w:rtl/>
        </w:rPr>
        <w:t xml:space="preserve"> כותיה לא שאני ליה בין קלי איסורא ללא קלי, ובכל גוונא משמע דאם אפו פת וכמון של תרומה בצדו ליתן בו ריח דמשרא שרי ואף בתנור קטן ופיו סתום בדיעבד שרי, דלא עדיף מפת חמה וחבית פתוחה דקי</w:t>
      </w:r>
      <w:r>
        <w:rPr>
          <w:rFonts w:cs="Arial" w:hint="cs"/>
          <w:rtl/>
        </w:rPr>
        <w:t>י"ל</w:t>
      </w:r>
      <w:r w:rsidRPr="00C71914">
        <w:rPr>
          <w:rFonts w:cs="Arial"/>
          <w:rtl/>
        </w:rPr>
        <w:t xml:space="preserve"> דשרי וכשיטת הרי"ף </w:t>
      </w:r>
      <w:r>
        <w:rPr>
          <w:rFonts w:cs="Arial" w:hint="cs"/>
          <w:rtl/>
        </w:rPr>
        <w:t>(</w:t>
      </w:r>
      <w:r w:rsidRPr="00C71914">
        <w:rPr>
          <w:rFonts w:cs="Arial"/>
          <w:rtl/>
        </w:rPr>
        <w:t>חולין לב</w:t>
      </w:r>
      <w:r>
        <w:rPr>
          <w:rFonts w:cs="Arial" w:hint="cs"/>
          <w:rtl/>
        </w:rPr>
        <w:t>.)</w:t>
      </w:r>
      <w:r w:rsidRPr="00C71914">
        <w:rPr>
          <w:rFonts w:cs="Arial"/>
          <w:rtl/>
        </w:rPr>
        <w:t xml:space="preserve"> והרמב"ם </w:t>
      </w:r>
      <w:r>
        <w:rPr>
          <w:rFonts w:cs="Arial" w:hint="cs"/>
          <w:rtl/>
        </w:rPr>
        <w:t>(</w:t>
      </w:r>
      <w:r w:rsidRPr="00C71914">
        <w:rPr>
          <w:rFonts w:cs="Arial"/>
          <w:rtl/>
        </w:rPr>
        <w:t>תרומות טו, יג</w:t>
      </w:r>
      <w:r>
        <w:rPr>
          <w:rFonts w:cs="Arial" w:hint="cs"/>
          <w:rtl/>
        </w:rPr>
        <w:t>)</w:t>
      </w:r>
      <w:r w:rsidRPr="00C71914">
        <w:rPr>
          <w:rFonts w:cs="Arial"/>
          <w:rtl/>
        </w:rPr>
        <w:t xml:space="preserve"> והרשב"א </w:t>
      </w:r>
      <w:r>
        <w:rPr>
          <w:rFonts w:cs="Arial" w:hint="cs"/>
          <w:rtl/>
        </w:rPr>
        <w:t>(</w:t>
      </w:r>
      <w:r w:rsidRPr="00C71914">
        <w:rPr>
          <w:rFonts w:cs="Arial"/>
          <w:rtl/>
        </w:rPr>
        <w:t>תו</w:t>
      </w:r>
      <w:r>
        <w:rPr>
          <w:rFonts w:cs="Arial" w:hint="cs"/>
          <w:rtl/>
        </w:rPr>
        <w:t>ה"ב ב"ד</w:t>
      </w:r>
      <w:r w:rsidRPr="00C71914">
        <w:rPr>
          <w:rFonts w:cs="Arial"/>
          <w:rtl/>
        </w:rPr>
        <w:t xml:space="preserve"> ש</w:t>
      </w:r>
      <w:r>
        <w:rPr>
          <w:rFonts w:cs="Arial" w:hint="cs"/>
          <w:rtl/>
        </w:rPr>
        <w:t>"</w:t>
      </w:r>
      <w:r w:rsidRPr="00C71914">
        <w:rPr>
          <w:rFonts w:cs="Arial"/>
          <w:rtl/>
        </w:rPr>
        <w:t>א טו</w:t>
      </w:r>
      <w:r>
        <w:rPr>
          <w:rFonts w:ascii="Segoe UI Emoji" w:eastAsia="Segoe UI Emoji" w:hAnsi="Segoe UI Emoji" w:cs="Times New Roman" w:hint="cs"/>
          <w:rtl/>
        </w:rPr>
        <w:t>:)</w:t>
      </w:r>
      <w:r w:rsidRPr="00C71914">
        <w:rPr>
          <w:rFonts w:cs="Arial"/>
          <w:rtl/>
        </w:rPr>
        <w:t xml:space="preserve"> וכדלקמן בסקי"ח ועיקר</w:t>
      </w:r>
      <w:r>
        <w:rPr>
          <w:rFonts w:hint="cs"/>
          <w:rtl/>
        </w:rPr>
        <w:t>, פר"ח (סי' קח סק"ח).</w:t>
      </w:r>
    </w:p>
  </w:footnote>
  <w:footnote w:id="2335">
    <w:p w14:paraId="6A6313EE" w14:textId="77777777" w:rsidR="004C5A3C" w:rsidRPr="00EC5E5D" w:rsidRDefault="004C5A3C" w:rsidP="002C39F4">
      <w:pPr>
        <w:pStyle w:val="a5"/>
        <w:rPr>
          <w:rtl/>
        </w:rPr>
      </w:pPr>
      <w:r>
        <w:rPr>
          <w:rStyle w:val="a7"/>
        </w:rPr>
        <w:footnoteRef/>
      </w:r>
      <w:r>
        <w:rPr>
          <w:rtl/>
        </w:rPr>
        <w:t xml:space="preserve"> </w:t>
      </w:r>
      <w:r>
        <w:rPr>
          <w:rFonts w:hint="cs"/>
          <w:rtl/>
        </w:rPr>
        <w:t xml:space="preserve">הדרכ"מ (אות א) הבין </w:t>
      </w:r>
      <w:r>
        <w:rPr>
          <w:rFonts w:cs="Arial" w:hint="cs"/>
          <w:rtl/>
        </w:rPr>
        <w:t>שגם ה</w:t>
      </w:r>
      <w:r w:rsidRPr="00F23469">
        <w:rPr>
          <w:rFonts w:cs="Arial"/>
          <w:rtl/>
        </w:rPr>
        <w:t xml:space="preserve">מרדכי </w:t>
      </w:r>
      <w:r w:rsidRPr="00F23469">
        <w:rPr>
          <w:rFonts w:cs="Arial"/>
          <w:sz w:val="16"/>
          <w:szCs w:val="16"/>
          <w:rtl/>
        </w:rPr>
        <w:t>(</w:t>
      </w:r>
      <w:r>
        <w:rPr>
          <w:rFonts w:cs="Arial" w:hint="cs"/>
          <w:sz w:val="16"/>
          <w:szCs w:val="16"/>
          <w:rtl/>
        </w:rPr>
        <w:t xml:space="preserve">פסחים </w:t>
      </w:r>
      <w:r w:rsidRPr="00F23469">
        <w:rPr>
          <w:rFonts w:cs="Arial"/>
          <w:sz w:val="16"/>
          <w:szCs w:val="16"/>
          <w:rtl/>
        </w:rPr>
        <w:t>סי' תקע)</w:t>
      </w:r>
      <w:r>
        <w:rPr>
          <w:rFonts w:cs="Arial" w:hint="cs"/>
          <w:rtl/>
        </w:rPr>
        <w:t xml:space="preserve"> סבירא ליה כך, וכ"כ בהגה באו"ח סי' תמז סע' א</w:t>
      </w:r>
      <w:r w:rsidRPr="00EC5E5D">
        <w:rPr>
          <w:rFonts w:cs="Arial" w:hint="cs"/>
          <w:sz w:val="16"/>
          <w:szCs w:val="16"/>
          <w:rtl/>
        </w:rPr>
        <w:t xml:space="preserve"> </w:t>
      </w:r>
      <w:r>
        <w:rPr>
          <w:rFonts w:cs="Arial" w:hint="cs"/>
          <w:sz w:val="16"/>
          <w:szCs w:val="16"/>
          <w:rtl/>
        </w:rPr>
        <w:t>(</w:t>
      </w:r>
      <w:r w:rsidRPr="00F23469">
        <w:rPr>
          <w:rFonts w:cs="Arial" w:hint="cs"/>
          <w:sz w:val="16"/>
          <w:szCs w:val="16"/>
          <w:rtl/>
        </w:rPr>
        <w:t>ועי' באו"ח</w:t>
      </w:r>
      <w:r w:rsidRPr="00F23469">
        <w:rPr>
          <w:rFonts w:cs="Arial"/>
          <w:sz w:val="16"/>
          <w:szCs w:val="16"/>
          <w:rtl/>
        </w:rPr>
        <w:t xml:space="preserve"> ס</w:t>
      </w:r>
      <w:r w:rsidRPr="00F23469">
        <w:rPr>
          <w:rFonts w:cs="Arial" w:hint="cs"/>
          <w:sz w:val="16"/>
          <w:szCs w:val="16"/>
          <w:rtl/>
        </w:rPr>
        <w:t>"</w:t>
      </w:r>
      <w:r w:rsidRPr="00F23469">
        <w:rPr>
          <w:rFonts w:cs="Arial"/>
          <w:sz w:val="16"/>
          <w:szCs w:val="16"/>
          <w:rtl/>
        </w:rPr>
        <w:t>ס תסא</w:t>
      </w:r>
      <w:r>
        <w:rPr>
          <w:rFonts w:cs="Arial" w:hint="cs"/>
          <w:sz w:val="16"/>
          <w:szCs w:val="16"/>
          <w:rtl/>
        </w:rPr>
        <w:t>)</w:t>
      </w:r>
      <w:r>
        <w:rPr>
          <w:rFonts w:cs="Arial" w:hint="cs"/>
          <w:rtl/>
        </w:rPr>
        <w:t>, והש"ך (סקט"ו) הקשה עליו דבמרדכי משמע כהסמ"ק, ולכן כתב דמ"מ כך היא דעת מהרי"ל שם.</w:t>
      </w:r>
    </w:p>
  </w:footnote>
  <w:footnote w:id="2336">
    <w:p w14:paraId="76006E4B" w14:textId="77777777" w:rsidR="004C5A3C" w:rsidRDefault="004C5A3C" w:rsidP="002C39F4">
      <w:pPr>
        <w:pStyle w:val="a5"/>
      </w:pPr>
      <w:r>
        <w:rPr>
          <w:rStyle w:val="a7"/>
        </w:rPr>
        <w:footnoteRef/>
      </w:r>
      <w:r>
        <w:rPr>
          <w:rtl/>
        </w:rPr>
        <w:t xml:space="preserve"> וכתב שם (דין יא בהגהה) דאם פתוח למעלה הנקב שהעשן יוצא ממנו יש להקל ולומר דהוי כפתוח מן הצדדים</w:t>
      </w:r>
      <w:r>
        <w:rPr>
          <w:rFonts w:hint="cs"/>
          <w:rtl/>
        </w:rPr>
        <w:t>.</w:t>
      </w:r>
    </w:p>
  </w:footnote>
  <w:footnote w:id="2337">
    <w:p w14:paraId="0994357A" w14:textId="77777777" w:rsidR="004C5A3C" w:rsidRDefault="004C5A3C" w:rsidP="002C39F4">
      <w:pPr>
        <w:pStyle w:val="a5"/>
      </w:pPr>
      <w:r>
        <w:rPr>
          <w:rStyle w:val="a7"/>
        </w:rPr>
        <w:footnoteRef/>
      </w:r>
      <w:r>
        <w:rPr>
          <w:rtl/>
        </w:rPr>
        <w:t xml:space="preserve"> </w:t>
      </w:r>
      <w:r>
        <w:rPr>
          <w:rFonts w:cs="Arial" w:hint="cs"/>
          <w:rtl/>
        </w:rPr>
        <w:t xml:space="preserve">וכ' </w:t>
      </w:r>
      <w:r w:rsidRPr="00197C59">
        <w:rPr>
          <w:rFonts w:cs="Arial"/>
          <w:rtl/>
        </w:rPr>
        <w:t xml:space="preserve">רש"ל </w:t>
      </w:r>
      <w:r>
        <w:rPr>
          <w:rFonts w:cs="Arial" w:hint="cs"/>
          <w:rtl/>
        </w:rPr>
        <w:t>(</w:t>
      </w:r>
      <w:r w:rsidRPr="00197C59">
        <w:rPr>
          <w:rFonts w:cs="Arial"/>
          <w:rtl/>
        </w:rPr>
        <w:t>סי' לה</w:t>
      </w:r>
      <w:r>
        <w:rPr>
          <w:rFonts w:cs="Arial" w:hint="cs"/>
          <w:rtl/>
        </w:rPr>
        <w:t>)</w:t>
      </w:r>
      <w:r w:rsidRPr="00197C59">
        <w:rPr>
          <w:rFonts w:cs="Arial"/>
          <w:rtl/>
        </w:rPr>
        <w:t xml:space="preserve"> </w:t>
      </w:r>
      <w:r>
        <w:rPr>
          <w:rFonts w:cs="Arial" w:hint="cs"/>
          <w:rtl/>
        </w:rPr>
        <w:t>ד</w:t>
      </w:r>
      <w:r w:rsidRPr="00197C59">
        <w:rPr>
          <w:rFonts w:cs="Arial"/>
          <w:rtl/>
        </w:rPr>
        <w:t>דוקא בכבד שכולו היתר התיר מהרא"י אבל בשר שנאסר מחמת דם כגון שנמלח בכלי שאינו מנוקב אוסר בשר שנצלה או נתבשל עמו בתנור לפי שאמרי' חתיכה עצמה נעשה נבילה אפי' גבי דם</w:t>
      </w:r>
      <w:r>
        <w:rPr>
          <w:rFonts w:hint="cs"/>
          <w:rtl/>
        </w:rPr>
        <w:t>.</w:t>
      </w:r>
      <w:r w:rsidRPr="00197C59">
        <w:rPr>
          <w:rtl/>
        </w:rPr>
        <w:t xml:space="preserve"> </w:t>
      </w:r>
      <w:r w:rsidRPr="00197C59">
        <w:rPr>
          <w:rFonts w:cs="Arial"/>
          <w:rtl/>
        </w:rPr>
        <w:t>ו</w:t>
      </w:r>
      <w:r>
        <w:rPr>
          <w:rFonts w:cs="Arial" w:hint="cs"/>
          <w:rtl/>
        </w:rPr>
        <w:t>הב"ח</w:t>
      </w:r>
      <w:r w:rsidRPr="00197C59">
        <w:rPr>
          <w:rFonts w:cs="Arial"/>
          <w:rtl/>
        </w:rPr>
        <w:t xml:space="preserve"> חולק עליו דכל דם קלוש הוא ואינו אוסר בריחא</w:t>
      </w:r>
      <w:r>
        <w:rPr>
          <w:rFonts w:cs="Arial" w:hint="cs"/>
          <w:rtl/>
        </w:rPr>
        <w:t xml:space="preserve">. וכן נראה דעת הדרכ"מ (אות ג). </w:t>
      </w:r>
      <w:r w:rsidRPr="00197C59">
        <w:rPr>
          <w:rFonts w:cs="Arial"/>
          <w:rtl/>
        </w:rPr>
        <w:t>ו</w:t>
      </w:r>
      <w:r>
        <w:rPr>
          <w:rFonts w:cs="Arial" w:hint="cs"/>
          <w:rtl/>
        </w:rPr>
        <w:t>כ' הט"ז (סי' קח סק"א) ד</w:t>
      </w:r>
      <w:r w:rsidRPr="00197C59">
        <w:rPr>
          <w:rFonts w:cs="Arial"/>
          <w:rtl/>
        </w:rPr>
        <w:t>הכי משמע לישנא דמהרא"י הנ"ל</w:t>
      </w:r>
      <w:r>
        <w:rPr>
          <w:rFonts w:cs="Arial" w:hint="cs"/>
          <w:rtl/>
        </w:rPr>
        <w:t>,</w:t>
      </w:r>
      <w:r w:rsidRPr="00197C59">
        <w:rPr>
          <w:rFonts w:cs="Arial"/>
          <w:rtl/>
        </w:rPr>
        <w:t xml:space="preserve"> ו</w:t>
      </w:r>
      <w:r>
        <w:rPr>
          <w:rFonts w:cs="Arial" w:hint="cs"/>
          <w:rtl/>
        </w:rPr>
        <w:t>כ' עוד ד</w:t>
      </w:r>
      <w:r w:rsidRPr="00197C59">
        <w:rPr>
          <w:rFonts w:cs="Arial"/>
          <w:rtl/>
        </w:rPr>
        <w:t>כ</w:t>
      </w:r>
      <w:r>
        <w:rPr>
          <w:rFonts w:cs="Arial" w:hint="cs"/>
          <w:rtl/>
        </w:rPr>
        <w:t xml:space="preserve">ל </w:t>
      </w:r>
      <w:r w:rsidRPr="00197C59">
        <w:rPr>
          <w:rFonts w:cs="Arial"/>
          <w:rtl/>
        </w:rPr>
        <w:t>ז</w:t>
      </w:r>
      <w:r>
        <w:rPr>
          <w:rFonts w:cs="Arial" w:hint="cs"/>
          <w:rtl/>
        </w:rPr>
        <w:t>ה</w:t>
      </w:r>
      <w:r w:rsidRPr="00197C59">
        <w:rPr>
          <w:rFonts w:cs="Arial"/>
          <w:rtl/>
        </w:rPr>
        <w:t xml:space="preserve"> הוא לכתחלה אליבא דהלכתא דבדיעבד הכל שרי</w:t>
      </w:r>
      <w:r>
        <w:rPr>
          <w:rFonts w:hint="cs"/>
          <w:rtl/>
        </w:rPr>
        <w:t>.</w:t>
      </w:r>
    </w:p>
  </w:footnote>
  <w:footnote w:id="2338">
    <w:p w14:paraId="15D4311C" w14:textId="77777777" w:rsidR="004C5A3C" w:rsidRPr="0051477C" w:rsidRDefault="004C5A3C" w:rsidP="002C39F4">
      <w:pPr>
        <w:pStyle w:val="a5"/>
        <w:rPr>
          <w:rFonts w:cs="Arial"/>
          <w:rtl/>
        </w:rPr>
      </w:pPr>
      <w:r>
        <w:rPr>
          <w:rStyle w:val="a7"/>
        </w:rPr>
        <w:footnoteRef/>
      </w:r>
      <w:r>
        <w:rPr>
          <w:rtl/>
        </w:rPr>
        <w:t xml:space="preserve"> </w:t>
      </w:r>
      <w:r w:rsidRPr="00D6570B">
        <w:rPr>
          <w:rFonts w:cs="Arial"/>
          <w:rtl/>
        </w:rPr>
        <w:t>ונת</w:t>
      </w:r>
      <w:r>
        <w:rPr>
          <w:rFonts w:cs="Arial"/>
          <w:rtl/>
        </w:rPr>
        <w:t>ן טעם לדבר ואין טעמו נראה בעיני</w:t>
      </w:r>
      <w:r>
        <w:rPr>
          <w:rFonts w:cs="Arial" w:hint="cs"/>
          <w:sz w:val="16"/>
          <w:szCs w:val="16"/>
          <w:rtl/>
        </w:rPr>
        <w:t xml:space="preserve"> {להתיר לכתחילה אבל בדיעבד ודאי שהב"י מודה דשרי בכה"ג}</w:t>
      </w:r>
      <w:r>
        <w:rPr>
          <w:rFonts w:hint="cs"/>
          <w:rtl/>
        </w:rPr>
        <w:t>, ב"י.</w:t>
      </w:r>
      <w:r w:rsidRPr="0051477C">
        <w:rPr>
          <w:rtl/>
        </w:rPr>
        <w:t xml:space="preserve"> </w:t>
      </w:r>
      <w:r w:rsidRPr="0051477C">
        <w:rPr>
          <w:rFonts w:cs="Arial"/>
          <w:rtl/>
        </w:rPr>
        <w:t>אבל כששניהם כחושים ודאי דהב"י לא פליג</w:t>
      </w:r>
      <w:r>
        <w:rPr>
          <w:rFonts w:cs="Arial" w:hint="cs"/>
          <w:rtl/>
        </w:rPr>
        <w:t xml:space="preserve">... </w:t>
      </w:r>
      <w:r w:rsidRPr="0051477C">
        <w:rPr>
          <w:rFonts w:cs="Arial"/>
          <w:rtl/>
        </w:rPr>
        <w:t>דבששניהם כחושים אפילו לרב שרי</w:t>
      </w:r>
      <w:r>
        <w:rPr>
          <w:rFonts w:cs="Arial" w:hint="cs"/>
          <w:rtl/>
        </w:rPr>
        <w:t xml:space="preserve"> </w:t>
      </w:r>
      <w:r w:rsidRPr="006976DF">
        <w:rPr>
          <w:rFonts w:cs="Arial" w:hint="cs"/>
          <w:sz w:val="16"/>
          <w:szCs w:val="16"/>
          <w:rtl/>
        </w:rPr>
        <w:t>(ואע"ג ד</w:t>
      </w:r>
      <w:r w:rsidRPr="006976DF">
        <w:rPr>
          <w:rFonts w:cs="Arial"/>
          <w:sz w:val="16"/>
          <w:szCs w:val="16"/>
          <w:rtl/>
        </w:rPr>
        <w:t xml:space="preserve">באו"ה </w:t>
      </w:r>
      <w:r w:rsidRPr="006976DF">
        <w:rPr>
          <w:rFonts w:cs="Arial" w:hint="cs"/>
          <w:sz w:val="16"/>
          <w:szCs w:val="16"/>
          <w:rtl/>
        </w:rPr>
        <w:t>(</w:t>
      </w:r>
      <w:r w:rsidRPr="006976DF">
        <w:rPr>
          <w:rFonts w:cs="Arial"/>
          <w:sz w:val="16"/>
          <w:szCs w:val="16"/>
          <w:rtl/>
        </w:rPr>
        <w:t>כלל לט דכ"ד</w:t>
      </w:r>
      <w:r w:rsidRPr="006976DF">
        <w:rPr>
          <w:rFonts w:cs="Arial" w:hint="cs"/>
          <w:sz w:val="16"/>
          <w:szCs w:val="16"/>
          <w:rtl/>
        </w:rPr>
        <w:t>)</w:t>
      </w:r>
      <w:r w:rsidRPr="006976DF">
        <w:rPr>
          <w:rFonts w:cs="Arial"/>
          <w:sz w:val="16"/>
          <w:szCs w:val="16"/>
          <w:rtl/>
        </w:rPr>
        <w:t xml:space="preserve"> משמע דאיסור דאו</w:t>
      </w:r>
      <w:r w:rsidRPr="006976DF">
        <w:rPr>
          <w:rFonts w:cs="Arial" w:hint="cs"/>
          <w:sz w:val="16"/>
          <w:szCs w:val="16"/>
          <w:rtl/>
        </w:rPr>
        <w:t>'</w:t>
      </w:r>
      <w:r w:rsidRPr="006976DF">
        <w:rPr>
          <w:rFonts w:cs="Arial"/>
          <w:sz w:val="16"/>
          <w:szCs w:val="16"/>
          <w:rtl/>
        </w:rPr>
        <w:t xml:space="preserve"> כחוש אסור לכתחלה</w:t>
      </w:r>
      <w:r w:rsidRPr="006976DF">
        <w:rPr>
          <w:rFonts w:cs="Arial" w:hint="cs"/>
          <w:sz w:val="16"/>
          <w:szCs w:val="16"/>
          <w:rtl/>
        </w:rPr>
        <w:t>,</w:t>
      </w:r>
      <w:r w:rsidRPr="006976DF">
        <w:rPr>
          <w:rFonts w:cs="Arial"/>
          <w:sz w:val="16"/>
          <w:szCs w:val="16"/>
          <w:rtl/>
        </w:rPr>
        <w:t xml:space="preserve"> ז"א</w:t>
      </w:r>
      <w:r w:rsidRPr="006976DF">
        <w:rPr>
          <w:rFonts w:cs="Arial" w:hint="cs"/>
          <w:sz w:val="16"/>
          <w:szCs w:val="16"/>
          <w:rtl/>
        </w:rPr>
        <w:t>,</w:t>
      </w:r>
      <w:r w:rsidRPr="006976DF">
        <w:rPr>
          <w:rFonts w:cs="Arial"/>
          <w:sz w:val="16"/>
          <w:szCs w:val="16"/>
          <w:rtl/>
        </w:rPr>
        <w:t xml:space="preserve"> והכי מוכח נמי להדיא מתשובת ר"ת וראבי"ה שבש"ד </w:t>
      </w:r>
      <w:r w:rsidRPr="006976DF">
        <w:rPr>
          <w:rFonts w:cs="Arial" w:hint="cs"/>
          <w:sz w:val="16"/>
          <w:szCs w:val="16"/>
          <w:rtl/>
        </w:rPr>
        <w:t>(</w:t>
      </w:r>
      <w:r w:rsidRPr="006976DF">
        <w:rPr>
          <w:rFonts w:cs="Arial"/>
          <w:sz w:val="16"/>
          <w:szCs w:val="16"/>
          <w:rtl/>
        </w:rPr>
        <w:t>סי' לו</w:t>
      </w:r>
      <w:r w:rsidRPr="006976DF">
        <w:rPr>
          <w:rFonts w:cs="Arial" w:hint="cs"/>
          <w:sz w:val="16"/>
          <w:szCs w:val="16"/>
          <w:rtl/>
        </w:rPr>
        <w:t>)</w:t>
      </w:r>
      <w:r w:rsidRPr="006976DF">
        <w:rPr>
          <w:rFonts w:cs="Arial"/>
          <w:sz w:val="16"/>
          <w:szCs w:val="16"/>
          <w:rtl/>
        </w:rPr>
        <w:t xml:space="preserve"> ובתשו' מיימוני </w:t>
      </w:r>
      <w:r w:rsidRPr="006976DF">
        <w:rPr>
          <w:rFonts w:cs="Arial" w:hint="cs"/>
          <w:sz w:val="16"/>
          <w:szCs w:val="16"/>
          <w:rtl/>
        </w:rPr>
        <w:t>(</w:t>
      </w:r>
      <w:r w:rsidRPr="006976DF">
        <w:rPr>
          <w:rFonts w:cs="Arial"/>
          <w:sz w:val="16"/>
          <w:szCs w:val="16"/>
          <w:rtl/>
        </w:rPr>
        <w:t>המ"א סי"ו</w:t>
      </w:r>
      <w:r w:rsidRPr="006976DF">
        <w:rPr>
          <w:rFonts w:cs="Arial" w:hint="cs"/>
          <w:sz w:val="16"/>
          <w:szCs w:val="16"/>
          <w:rtl/>
        </w:rPr>
        <w:t>)</w:t>
      </w:r>
      <w:r w:rsidRPr="006976DF">
        <w:rPr>
          <w:rFonts w:cs="Arial"/>
          <w:sz w:val="16"/>
          <w:szCs w:val="16"/>
          <w:rtl/>
        </w:rPr>
        <w:t xml:space="preserve"> ובמרדכי </w:t>
      </w:r>
      <w:r w:rsidRPr="006976DF">
        <w:rPr>
          <w:rFonts w:cs="Arial" w:hint="cs"/>
          <w:sz w:val="16"/>
          <w:szCs w:val="16"/>
          <w:rtl/>
        </w:rPr>
        <w:t>(</w:t>
      </w:r>
      <w:r w:rsidRPr="006976DF">
        <w:rPr>
          <w:rFonts w:cs="Arial"/>
          <w:sz w:val="16"/>
          <w:szCs w:val="16"/>
          <w:rtl/>
        </w:rPr>
        <w:t>פכ"ש</w:t>
      </w:r>
      <w:r w:rsidRPr="006976DF">
        <w:rPr>
          <w:rFonts w:cs="Arial" w:hint="cs"/>
          <w:sz w:val="16"/>
          <w:szCs w:val="16"/>
          <w:rtl/>
        </w:rPr>
        <w:t>)</w:t>
      </w:r>
      <w:r w:rsidRPr="006976DF">
        <w:rPr>
          <w:rFonts w:cs="Arial"/>
          <w:sz w:val="16"/>
          <w:szCs w:val="16"/>
          <w:rtl/>
        </w:rPr>
        <w:t xml:space="preserve"> וברוקח </w:t>
      </w:r>
      <w:r w:rsidRPr="006976DF">
        <w:rPr>
          <w:rFonts w:cs="Arial" w:hint="cs"/>
          <w:sz w:val="16"/>
          <w:szCs w:val="16"/>
          <w:rtl/>
        </w:rPr>
        <w:t>(</w:t>
      </w:r>
      <w:r w:rsidRPr="006976DF">
        <w:rPr>
          <w:rFonts w:cs="Arial"/>
          <w:sz w:val="16"/>
          <w:szCs w:val="16"/>
          <w:rtl/>
        </w:rPr>
        <w:t>סי' רצב</w:t>
      </w:r>
      <w:r w:rsidRPr="006976DF">
        <w:rPr>
          <w:rFonts w:cs="Arial" w:hint="cs"/>
          <w:sz w:val="16"/>
          <w:szCs w:val="16"/>
          <w:rtl/>
        </w:rPr>
        <w:t>)</w:t>
      </w:r>
      <w:r>
        <w:rPr>
          <w:rFonts w:cs="Arial" w:hint="cs"/>
          <w:sz w:val="16"/>
          <w:szCs w:val="16"/>
          <w:rtl/>
        </w:rPr>
        <w:t>)</w:t>
      </w:r>
      <w:r>
        <w:rPr>
          <w:rFonts w:cs="Arial" w:hint="cs"/>
          <w:rtl/>
        </w:rPr>
        <w:t>, ש"ך (סק"א).</w:t>
      </w:r>
      <w:r w:rsidRPr="0051477C">
        <w:rPr>
          <w:rFonts w:cs="Arial"/>
          <w:rtl/>
        </w:rPr>
        <w:t xml:space="preserve"> </w:t>
      </w:r>
      <w:r>
        <w:rPr>
          <w:rFonts w:cs="Arial" w:hint="cs"/>
          <w:rtl/>
        </w:rPr>
        <w:t>וכ"כ הט"ז (סק"א) דב</w:t>
      </w:r>
      <w:r w:rsidRPr="0051477C">
        <w:rPr>
          <w:rFonts w:cs="Arial"/>
          <w:rtl/>
        </w:rPr>
        <w:t>דבר כחוש אפילו לכתחלה שרי</w:t>
      </w:r>
      <w:r>
        <w:rPr>
          <w:rFonts w:cs="Arial" w:hint="cs"/>
          <w:rtl/>
        </w:rPr>
        <w:t xml:space="preserve"> </w:t>
      </w:r>
      <w:r w:rsidRPr="006976DF">
        <w:rPr>
          <w:rFonts w:cs="Arial" w:hint="cs"/>
          <w:sz w:val="16"/>
          <w:szCs w:val="16"/>
          <w:rtl/>
        </w:rPr>
        <w:t>(וכ' עוד</w:t>
      </w:r>
      <w:r w:rsidRPr="006976DF">
        <w:rPr>
          <w:rFonts w:cs="Arial"/>
          <w:sz w:val="16"/>
          <w:szCs w:val="16"/>
          <w:rtl/>
        </w:rPr>
        <w:t xml:space="preserve"> </w:t>
      </w:r>
      <w:r w:rsidRPr="006976DF">
        <w:rPr>
          <w:rFonts w:cs="Arial" w:hint="cs"/>
          <w:sz w:val="16"/>
          <w:szCs w:val="16"/>
          <w:rtl/>
        </w:rPr>
        <w:t xml:space="preserve">דמש"כ </w:t>
      </w:r>
      <w:r w:rsidRPr="006976DF">
        <w:rPr>
          <w:rFonts w:cs="Arial"/>
          <w:sz w:val="16"/>
          <w:szCs w:val="16"/>
          <w:rtl/>
        </w:rPr>
        <w:t xml:space="preserve">בת"ח </w:t>
      </w:r>
      <w:r w:rsidRPr="006976DF">
        <w:rPr>
          <w:rFonts w:cs="Arial" w:hint="cs"/>
          <w:sz w:val="16"/>
          <w:szCs w:val="16"/>
          <w:rtl/>
        </w:rPr>
        <w:t>(</w:t>
      </w:r>
      <w:r w:rsidRPr="006976DF">
        <w:rPr>
          <w:rFonts w:cs="Arial"/>
          <w:sz w:val="16"/>
          <w:szCs w:val="16"/>
          <w:rtl/>
        </w:rPr>
        <w:t>כלל לה ד</w:t>
      </w:r>
      <w:r w:rsidRPr="006976DF">
        <w:rPr>
          <w:rFonts w:cs="Arial" w:hint="cs"/>
          <w:sz w:val="16"/>
          <w:szCs w:val="16"/>
          <w:rtl/>
        </w:rPr>
        <w:t>"</w:t>
      </w:r>
      <w:r w:rsidRPr="006976DF">
        <w:rPr>
          <w:rFonts w:cs="Arial"/>
          <w:sz w:val="16"/>
          <w:szCs w:val="16"/>
          <w:rtl/>
        </w:rPr>
        <w:t>ג</w:t>
      </w:r>
      <w:r w:rsidRPr="006976DF">
        <w:rPr>
          <w:rFonts w:cs="Arial" w:hint="cs"/>
          <w:sz w:val="16"/>
          <w:szCs w:val="16"/>
          <w:rtl/>
        </w:rPr>
        <w:t>) בשם הב"י שיש להחמיר בשניהם כחושים - לא דק. וכ"כ הש"ך</w:t>
      </w:r>
      <w:r>
        <w:rPr>
          <w:rFonts w:cs="Arial" w:hint="cs"/>
          <w:sz w:val="16"/>
          <w:szCs w:val="16"/>
          <w:rtl/>
        </w:rPr>
        <w:t>)</w:t>
      </w:r>
      <w:r>
        <w:rPr>
          <w:rFonts w:cs="Arial" w:hint="cs"/>
          <w:rtl/>
        </w:rPr>
        <w:t>, וכ' עוד ד</w:t>
      </w:r>
      <w:r w:rsidRPr="0051477C">
        <w:rPr>
          <w:rFonts w:cs="Arial"/>
          <w:rtl/>
        </w:rPr>
        <w:t>בפת כתבו הפוסקים בשם ר"ת שאין שייך בו ריח כלל משום הכי אין אוסר פת חמץ בפסח שנאפית עם מצה</w:t>
      </w:r>
      <w:r>
        <w:rPr>
          <w:rFonts w:cs="Arial" w:hint="cs"/>
          <w:rtl/>
        </w:rPr>
        <w:t xml:space="preserve">. וכ"כ הש"ך  </w:t>
      </w:r>
      <w:r>
        <w:rPr>
          <w:rFonts w:cs="Arial" w:hint="cs"/>
          <w:sz w:val="16"/>
          <w:szCs w:val="16"/>
          <w:rtl/>
        </w:rPr>
        <w:t xml:space="preserve">(סקט"ו. </w:t>
      </w:r>
      <w:r w:rsidRPr="006976DF">
        <w:rPr>
          <w:rFonts w:cs="Arial" w:hint="cs"/>
          <w:sz w:val="16"/>
          <w:szCs w:val="16"/>
          <w:rtl/>
        </w:rPr>
        <w:t>וכ' שם שכן הוא ב</w:t>
      </w:r>
      <w:r w:rsidRPr="006976DF">
        <w:rPr>
          <w:rFonts w:cs="Arial"/>
          <w:sz w:val="16"/>
          <w:szCs w:val="16"/>
          <w:rtl/>
        </w:rPr>
        <w:t>תשו</w:t>
      </w:r>
      <w:r w:rsidRPr="006976DF">
        <w:rPr>
          <w:rFonts w:cs="Arial" w:hint="cs"/>
          <w:sz w:val="16"/>
          <w:szCs w:val="16"/>
          <w:rtl/>
        </w:rPr>
        <w:t>'</w:t>
      </w:r>
      <w:r w:rsidRPr="006976DF">
        <w:rPr>
          <w:rFonts w:cs="Arial"/>
          <w:sz w:val="16"/>
          <w:szCs w:val="16"/>
          <w:rtl/>
        </w:rPr>
        <w:t xml:space="preserve"> מיי' </w:t>
      </w:r>
      <w:r w:rsidRPr="006976DF">
        <w:rPr>
          <w:rFonts w:cs="Arial" w:hint="cs"/>
          <w:sz w:val="16"/>
          <w:szCs w:val="16"/>
          <w:rtl/>
        </w:rPr>
        <w:t xml:space="preserve">(קדושה סי' ו) </w:t>
      </w:r>
      <w:r w:rsidRPr="006976DF">
        <w:rPr>
          <w:rFonts w:cs="Arial"/>
          <w:sz w:val="16"/>
          <w:szCs w:val="16"/>
          <w:rtl/>
        </w:rPr>
        <w:t>וש</w:t>
      </w:r>
      <w:r w:rsidRPr="006976DF">
        <w:rPr>
          <w:rFonts w:cs="Arial" w:hint="cs"/>
          <w:sz w:val="16"/>
          <w:szCs w:val="16"/>
          <w:rtl/>
        </w:rPr>
        <w:t>ע</w:t>
      </w:r>
      <w:r w:rsidRPr="006976DF">
        <w:rPr>
          <w:rFonts w:cs="Arial"/>
          <w:sz w:val="16"/>
          <w:szCs w:val="16"/>
          <w:rtl/>
        </w:rPr>
        <w:t xml:space="preserve">"ד </w:t>
      </w:r>
      <w:r w:rsidRPr="006976DF">
        <w:rPr>
          <w:rFonts w:cs="Arial" w:hint="cs"/>
          <w:sz w:val="16"/>
          <w:szCs w:val="16"/>
          <w:rtl/>
        </w:rPr>
        <w:t>(</w:t>
      </w:r>
      <w:r w:rsidRPr="006976DF">
        <w:rPr>
          <w:rFonts w:cs="Arial"/>
          <w:sz w:val="16"/>
          <w:szCs w:val="16"/>
          <w:rtl/>
        </w:rPr>
        <w:t>סי' לו</w:t>
      </w:r>
      <w:r w:rsidRPr="006976DF">
        <w:rPr>
          <w:rFonts w:cs="Arial" w:hint="cs"/>
          <w:sz w:val="16"/>
          <w:szCs w:val="16"/>
          <w:rtl/>
        </w:rPr>
        <w:t>)</w:t>
      </w:r>
      <w:r w:rsidRPr="006976DF">
        <w:rPr>
          <w:rFonts w:cs="Arial"/>
          <w:sz w:val="16"/>
          <w:szCs w:val="16"/>
          <w:rtl/>
        </w:rPr>
        <w:t xml:space="preserve"> ורוקח </w:t>
      </w:r>
      <w:r w:rsidRPr="006976DF">
        <w:rPr>
          <w:rFonts w:cs="Arial" w:hint="cs"/>
          <w:sz w:val="16"/>
          <w:szCs w:val="16"/>
          <w:rtl/>
        </w:rPr>
        <w:t>(</w:t>
      </w:r>
      <w:r w:rsidRPr="006976DF">
        <w:rPr>
          <w:rFonts w:cs="Arial"/>
          <w:sz w:val="16"/>
          <w:szCs w:val="16"/>
          <w:rtl/>
        </w:rPr>
        <w:t>סי' ר</w:t>
      </w:r>
      <w:r w:rsidRPr="006976DF">
        <w:rPr>
          <w:rFonts w:cs="Arial" w:hint="cs"/>
          <w:sz w:val="16"/>
          <w:szCs w:val="16"/>
          <w:rtl/>
        </w:rPr>
        <w:t>צ</w:t>
      </w:r>
      <w:r w:rsidRPr="006976DF">
        <w:rPr>
          <w:rFonts w:cs="Arial"/>
          <w:sz w:val="16"/>
          <w:szCs w:val="16"/>
          <w:rtl/>
        </w:rPr>
        <w:t>ב</w:t>
      </w:r>
      <w:r w:rsidRPr="006976DF">
        <w:rPr>
          <w:rFonts w:cs="Arial" w:hint="cs"/>
          <w:sz w:val="16"/>
          <w:szCs w:val="16"/>
          <w:rtl/>
        </w:rPr>
        <w:t>)</w:t>
      </w:r>
      <w:r>
        <w:rPr>
          <w:rFonts w:cs="Arial" w:hint="cs"/>
          <w:sz w:val="16"/>
          <w:szCs w:val="16"/>
          <w:rtl/>
        </w:rPr>
        <w:t>)</w:t>
      </w:r>
      <w:r>
        <w:rPr>
          <w:rFonts w:cs="Arial" w:hint="cs"/>
          <w:rtl/>
        </w:rPr>
        <w:t>.</w:t>
      </w:r>
    </w:p>
  </w:footnote>
  <w:footnote w:id="2339">
    <w:p w14:paraId="086CC3F6" w14:textId="77777777" w:rsidR="004C5A3C" w:rsidRDefault="004C5A3C" w:rsidP="002C39F4">
      <w:pPr>
        <w:pStyle w:val="a5"/>
      </w:pPr>
      <w:r>
        <w:rPr>
          <w:rStyle w:val="a7"/>
        </w:rPr>
        <w:footnoteRef/>
      </w:r>
      <w:r>
        <w:rPr>
          <w:rtl/>
        </w:rPr>
        <w:t xml:space="preserve"> </w:t>
      </w:r>
      <w:r>
        <w:rPr>
          <w:rFonts w:hint="cs"/>
          <w:rtl/>
        </w:rPr>
        <w:t>אמנם כ' הדרכ"מ ד</w:t>
      </w:r>
      <w:r w:rsidRPr="00371D80">
        <w:rPr>
          <w:rtl/>
        </w:rPr>
        <w:t>אפשר דכל מה שנכנס בספק מהני לבטל כדלק</w:t>
      </w:r>
      <w:r>
        <w:rPr>
          <w:rFonts w:hint="cs"/>
          <w:rtl/>
        </w:rPr>
        <w:t>'</w:t>
      </w:r>
      <w:r w:rsidRPr="00371D80">
        <w:rPr>
          <w:rtl/>
        </w:rPr>
        <w:t xml:space="preserve"> סי</w:t>
      </w:r>
      <w:r>
        <w:rPr>
          <w:rFonts w:hint="cs"/>
          <w:rtl/>
        </w:rPr>
        <w:t>'</w:t>
      </w:r>
      <w:r w:rsidRPr="00371D80">
        <w:rPr>
          <w:rtl/>
        </w:rPr>
        <w:t xml:space="preserve"> קיא</w:t>
      </w:r>
      <w:r w:rsidRPr="00371D80">
        <w:rPr>
          <w:rFonts w:hint="cs"/>
          <w:rtl/>
        </w:rPr>
        <w:t>,</w:t>
      </w:r>
      <w:r w:rsidRPr="00371D80">
        <w:rPr>
          <w:rtl/>
        </w:rPr>
        <w:t xml:space="preserve"> וא</w:t>
      </w:r>
      <w:r w:rsidRPr="00371D80">
        <w:rPr>
          <w:rFonts w:hint="cs"/>
          <w:rtl/>
        </w:rPr>
        <w:t xml:space="preserve">ע"ג </w:t>
      </w:r>
      <w:r w:rsidRPr="00371D80">
        <w:rPr>
          <w:rtl/>
        </w:rPr>
        <w:t>דבשאר איסורין לא קי</w:t>
      </w:r>
      <w:r w:rsidRPr="00371D80">
        <w:rPr>
          <w:rFonts w:hint="cs"/>
          <w:rtl/>
        </w:rPr>
        <w:t>י"</w:t>
      </w:r>
      <w:r w:rsidRPr="00371D80">
        <w:rPr>
          <w:rtl/>
        </w:rPr>
        <w:t>ל כן בריחא יש להקל.</w:t>
      </w:r>
    </w:p>
  </w:footnote>
  <w:footnote w:id="2340">
    <w:p w14:paraId="4FA65E1A" w14:textId="77777777" w:rsidR="004C5A3C" w:rsidRDefault="004C5A3C" w:rsidP="002C39F4">
      <w:pPr>
        <w:pStyle w:val="a5"/>
      </w:pPr>
      <w:r>
        <w:rPr>
          <w:rStyle w:val="a7"/>
        </w:rPr>
        <w:footnoteRef/>
      </w:r>
      <w:r>
        <w:rPr>
          <w:rtl/>
        </w:rPr>
        <w:t xml:space="preserve"> </w:t>
      </w:r>
      <w:r w:rsidRPr="007A3B04">
        <w:rPr>
          <w:rFonts w:cs="Arial"/>
          <w:rtl/>
        </w:rPr>
        <w:t>דריחא לאו מלתא היא בדיעבד אבל פת שאפאה עם הצלי כתב הרמב"ם והמחבר לעיל ס"ס צ"ז דאסור לאכלו בכותח מטעם שכתב הרי"ף דכיון דאפשר לאכלו בלא כותח הוי כלכתחלה</w:t>
      </w:r>
      <w:r>
        <w:rPr>
          <w:rFonts w:cs="Arial" w:hint="cs"/>
          <w:rtl/>
        </w:rPr>
        <w:t>, ש"ך (סק"ב).</w:t>
      </w:r>
    </w:p>
  </w:footnote>
  <w:footnote w:id="2341">
    <w:p w14:paraId="3C74EBF4" w14:textId="77777777" w:rsidR="004C5A3C" w:rsidRDefault="004C5A3C" w:rsidP="002C39F4">
      <w:pPr>
        <w:pStyle w:val="a5"/>
      </w:pPr>
      <w:r>
        <w:rPr>
          <w:rStyle w:val="a7"/>
        </w:rPr>
        <w:footnoteRef/>
      </w:r>
      <w:r>
        <w:rPr>
          <w:rtl/>
        </w:rPr>
        <w:t xml:space="preserve"> </w:t>
      </w:r>
      <w:r>
        <w:rPr>
          <w:rFonts w:hint="cs"/>
          <w:rtl/>
        </w:rPr>
        <w:t>צל"ע גדול מה המקור לדבריו של השו"ע לקמן, שהרי התוס' בפסחים (שהגר"א ציין אליהם) לא התירו אלא בששניהן מכוסות וגם זה רק בתנורים גדולים שלנו. וכ"כ ההג"א (ע"ז פ"ה סי' ח) וגם האו"ה (כלל לט דין יב) לא התיר אלא בדיעבד בתנורים גדולים. ופתחתי את כל הציונים שהפנה אליהם באר הגולה ולא מצאתי מקור לדברי השו"ע.</w:t>
      </w:r>
    </w:p>
  </w:footnote>
  <w:footnote w:id="2342">
    <w:p w14:paraId="6C8CC7AE" w14:textId="77777777" w:rsidR="004C5A3C" w:rsidRPr="00DF3E50" w:rsidRDefault="004C5A3C" w:rsidP="002C39F4">
      <w:pPr>
        <w:pStyle w:val="a5"/>
      </w:pPr>
      <w:r w:rsidRPr="00DF3E50">
        <w:rPr>
          <w:rStyle w:val="a7"/>
        </w:rPr>
        <w:footnoteRef/>
      </w:r>
      <w:r w:rsidRPr="00DF3E50">
        <w:rPr>
          <w:rtl/>
        </w:rPr>
        <w:t xml:space="preserve"> </w:t>
      </w:r>
      <w:r w:rsidRPr="00F470DE">
        <w:rPr>
          <w:rFonts w:asciiTheme="minorBidi" w:hAnsiTheme="minorBidi" w:cs="Arial"/>
          <w:rtl/>
        </w:rPr>
        <w:t>פי' אפי' סתום</w:t>
      </w:r>
      <w:r>
        <w:rPr>
          <w:rFonts w:asciiTheme="minorBidi" w:hAnsiTheme="minorBidi" w:cs="Arial" w:hint="cs"/>
          <w:rtl/>
        </w:rPr>
        <w:t xml:space="preserve">, ט"ז (סק"ג). בציונים לרמ"א נכתב כאן- </w:t>
      </w:r>
      <w:r w:rsidRPr="00DF3E50">
        <w:rPr>
          <w:rFonts w:asciiTheme="minorBidi" w:hAnsiTheme="minorBidi"/>
          <w:rtl/>
        </w:rPr>
        <w:t>ארו</w:t>
      </w:r>
      <w:r w:rsidRPr="00DF3E50">
        <w:rPr>
          <w:rFonts w:asciiTheme="minorBidi" w:hAnsiTheme="minorBidi" w:hint="cs"/>
          <w:rtl/>
        </w:rPr>
        <w:t xml:space="preserve">ך </w:t>
      </w:r>
      <w:r w:rsidRPr="00DF3E50">
        <w:rPr>
          <w:rFonts w:asciiTheme="minorBidi" w:hAnsiTheme="minorBidi"/>
          <w:rtl/>
        </w:rPr>
        <w:t>ר"י מינץ הגש</w:t>
      </w:r>
      <w:r w:rsidRPr="00DF3E50">
        <w:rPr>
          <w:rFonts w:asciiTheme="minorBidi" w:hAnsiTheme="minorBidi" w:hint="cs"/>
          <w:rtl/>
        </w:rPr>
        <w:t>ע</w:t>
      </w:r>
      <w:r w:rsidRPr="00DF3E50">
        <w:rPr>
          <w:rFonts w:asciiTheme="minorBidi" w:hAnsiTheme="minorBidi"/>
          <w:rtl/>
        </w:rPr>
        <w:t xml:space="preserve">"ד אגור בשם מהרי"ל טור בשם רשב"א </w:t>
      </w:r>
      <w:r>
        <w:rPr>
          <w:rFonts w:asciiTheme="minorBidi" w:hAnsiTheme="minorBidi" w:hint="cs"/>
          <w:rtl/>
        </w:rPr>
        <w:t>ו</w:t>
      </w:r>
      <w:r w:rsidRPr="00DF3E50">
        <w:rPr>
          <w:rFonts w:asciiTheme="minorBidi" w:hAnsiTheme="minorBidi"/>
          <w:rtl/>
        </w:rPr>
        <w:t>כן הסכמת רוב המורים והוא שיטת רש"י וה"ג ורי"ף ורמב"ם</w:t>
      </w:r>
      <w:r w:rsidRPr="00DF3E50">
        <w:rPr>
          <w:rFonts w:asciiTheme="minorBidi" w:hAnsiTheme="minorBidi" w:hint="cs"/>
          <w:rtl/>
        </w:rPr>
        <w:t>.</w:t>
      </w:r>
    </w:p>
  </w:footnote>
  <w:footnote w:id="2343">
    <w:p w14:paraId="6FD54875" w14:textId="77777777" w:rsidR="004C5A3C" w:rsidRDefault="004C5A3C" w:rsidP="002C39F4">
      <w:pPr>
        <w:pStyle w:val="a5"/>
        <w:rPr>
          <w:rtl/>
        </w:rPr>
      </w:pPr>
      <w:r>
        <w:rPr>
          <w:rStyle w:val="a7"/>
        </w:rPr>
        <w:footnoteRef/>
      </w:r>
      <w:r>
        <w:rPr>
          <w:rtl/>
        </w:rPr>
        <w:t xml:space="preserve"> </w:t>
      </w:r>
      <w:r w:rsidRPr="00F470DE">
        <w:rPr>
          <w:rFonts w:cs="Arial"/>
          <w:rtl/>
        </w:rPr>
        <w:t>אפילו בתנור גדול ופיו פתוח מעט למעלה אסור לאוכלו עם חלב כו', כן משמע בסימני ת"ח ריש כלל ל"ה</w:t>
      </w:r>
      <w:r>
        <w:rPr>
          <w:rFonts w:hint="cs"/>
          <w:rtl/>
        </w:rPr>
        <w:t>, ש"ך (סק"ה).</w:t>
      </w:r>
    </w:p>
  </w:footnote>
  <w:footnote w:id="2344">
    <w:p w14:paraId="6449A038" w14:textId="77777777" w:rsidR="004C5A3C" w:rsidRDefault="004C5A3C" w:rsidP="002C39F4">
      <w:pPr>
        <w:pStyle w:val="a5"/>
        <w:rPr>
          <w:rtl/>
        </w:rPr>
      </w:pPr>
      <w:r>
        <w:rPr>
          <w:rStyle w:val="a7"/>
        </w:rPr>
        <w:footnoteRef/>
      </w:r>
      <w:r>
        <w:rPr>
          <w:rtl/>
        </w:rPr>
        <w:t xml:space="preserve"> </w:t>
      </w:r>
      <w:r w:rsidRPr="001F77AB">
        <w:rPr>
          <w:rFonts w:cs="Arial"/>
          <w:rtl/>
        </w:rPr>
        <w:t>כתב בת"ח כלל ל"ה ומ"מ המנהג להקל לקנות מן העובדי כוכבים דברים המבושלים בכליהם שאין בהם משום בישול עובדי כוכבים דסתם כליהם אינן בני יומן ואף על פי דנ"ט לפגם אסור לכתחלה מ"מ לא חשבינן הקנייה לכתחלה לכן נוהגים היתר פה קראקא לקנות האגוזים שלמים (בקצת דפוסים של מים) שמבשלים העובדי כוכבים או שאר דברים</w:t>
      </w:r>
      <w:r>
        <w:rPr>
          <w:rFonts w:hint="cs"/>
          <w:rtl/>
        </w:rPr>
        <w:t>, ט"ז (סק"ד).</w:t>
      </w:r>
    </w:p>
  </w:footnote>
  <w:footnote w:id="2345">
    <w:p w14:paraId="77947DF3" w14:textId="77777777" w:rsidR="004C5A3C" w:rsidRDefault="004C5A3C" w:rsidP="002C39F4">
      <w:pPr>
        <w:pStyle w:val="a5"/>
      </w:pPr>
      <w:r>
        <w:rPr>
          <w:rStyle w:val="a7"/>
        </w:rPr>
        <w:footnoteRef/>
      </w:r>
      <w:r>
        <w:rPr>
          <w:rtl/>
        </w:rPr>
        <w:t xml:space="preserve"> </w:t>
      </w:r>
      <w:r w:rsidRPr="00F470DE">
        <w:rPr>
          <w:rFonts w:cs="Arial"/>
          <w:rtl/>
        </w:rPr>
        <w:t>היינו הפסד מרובה כמ"ש בת"ח שם ד"ד וכן אפי' בבישול כתב בסעיף ב' הפסד מרובה</w:t>
      </w:r>
      <w:r>
        <w:rPr>
          <w:rFonts w:cs="Arial" w:hint="cs"/>
          <w:rtl/>
        </w:rPr>
        <w:t>, ש"ך (סק"ח).</w:t>
      </w:r>
    </w:p>
  </w:footnote>
  <w:footnote w:id="2346">
    <w:p w14:paraId="16B0CBEA" w14:textId="77777777" w:rsidR="004C5A3C" w:rsidRDefault="004C5A3C" w:rsidP="002C39F4">
      <w:pPr>
        <w:pStyle w:val="a5"/>
      </w:pPr>
      <w:r>
        <w:rPr>
          <w:rStyle w:val="a7"/>
        </w:rPr>
        <w:footnoteRef/>
      </w:r>
      <w:r>
        <w:rPr>
          <w:rtl/>
        </w:rPr>
        <w:t xml:space="preserve"> </w:t>
      </w:r>
      <w:r w:rsidRPr="00F470DE">
        <w:rPr>
          <w:rFonts w:cs="Arial"/>
          <w:rtl/>
        </w:rPr>
        <w:t xml:space="preserve">או שנעשה לריח ונאפה אפילו עם הפת ובתנורים גדולים ודאי אמרינן ריחא מילתא היא אפילו בדיעבד אפילו פי התנור פתוח בצידו עכ"ל או"ה כלל ל"ט דין </w:t>
      </w:r>
      <w:r>
        <w:rPr>
          <w:rFonts w:cs="Arial" w:hint="cs"/>
          <w:rtl/>
        </w:rPr>
        <w:t>כ, ש"ך (סק"ט).</w:t>
      </w:r>
    </w:p>
  </w:footnote>
  <w:footnote w:id="2347">
    <w:p w14:paraId="178B9492" w14:textId="77777777" w:rsidR="004C5A3C" w:rsidRDefault="004C5A3C" w:rsidP="002C39F4">
      <w:pPr>
        <w:pStyle w:val="a5"/>
        <w:rPr>
          <w:rtl/>
        </w:rPr>
      </w:pPr>
      <w:r>
        <w:rPr>
          <w:rStyle w:val="a7"/>
        </w:rPr>
        <w:footnoteRef/>
      </w:r>
      <w:r>
        <w:rPr>
          <w:rtl/>
        </w:rPr>
        <w:t xml:space="preserve"> </w:t>
      </w:r>
      <w:r w:rsidRPr="001F77AB">
        <w:rPr>
          <w:rFonts w:cs="Arial"/>
          <w:rtl/>
        </w:rPr>
        <w:t xml:space="preserve">זה דעת </w:t>
      </w:r>
      <w:r>
        <w:rPr>
          <w:rFonts w:cs="Arial"/>
          <w:rtl/>
        </w:rPr>
        <w:t>או"ה</w:t>
      </w:r>
      <w:r w:rsidRPr="001F77AB">
        <w:rPr>
          <w:rFonts w:cs="Arial"/>
          <w:rtl/>
        </w:rPr>
        <w:t xml:space="preserve"> לפרש כן דברי המרדכי פג"ה כמ"ש בת"ח משמו דאפילו בתנור גדול ופתוח אסור</w:t>
      </w:r>
      <w:r>
        <w:rPr>
          <w:rFonts w:cs="Arial" w:hint="cs"/>
          <w:rtl/>
        </w:rPr>
        <w:t>,</w:t>
      </w:r>
      <w:r w:rsidRPr="001F77AB">
        <w:rPr>
          <w:rFonts w:cs="Arial"/>
          <w:rtl/>
        </w:rPr>
        <w:t xml:space="preserve"> אבל רש"ל </w:t>
      </w:r>
      <w:r w:rsidRPr="001F77AB">
        <w:rPr>
          <w:rFonts w:cs="Arial" w:hint="cs"/>
          <w:sz w:val="16"/>
          <w:szCs w:val="16"/>
          <w:rtl/>
        </w:rPr>
        <w:t>(</w:t>
      </w:r>
      <w:r w:rsidRPr="001F77AB">
        <w:rPr>
          <w:rFonts w:cs="Arial"/>
          <w:sz w:val="16"/>
          <w:szCs w:val="16"/>
          <w:rtl/>
        </w:rPr>
        <w:t>פג"ה סי' טו</w:t>
      </w:r>
      <w:r>
        <w:rPr>
          <w:rFonts w:cs="Arial" w:hint="cs"/>
          <w:sz w:val="16"/>
          <w:szCs w:val="16"/>
          <w:rtl/>
        </w:rPr>
        <w:t>)</w:t>
      </w:r>
      <w:r w:rsidRPr="001F77AB">
        <w:rPr>
          <w:rFonts w:cs="Arial"/>
          <w:sz w:val="16"/>
          <w:szCs w:val="16"/>
          <w:rtl/>
        </w:rPr>
        <w:t xml:space="preserve"> </w:t>
      </w:r>
      <w:r w:rsidRPr="001F77AB">
        <w:rPr>
          <w:rFonts w:cs="Arial"/>
          <w:rtl/>
        </w:rPr>
        <w:t>כ</w:t>
      </w:r>
      <w:r>
        <w:rPr>
          <w:rFonts w:cs="Arial" w:hint="cs"/>
          <w:rtl/>
        </w:rPr>
        <w:t>'</w:t>
      </w:r>
      <w:r w:rsidRPr="001F77AB">
        <w:rPr>
          <w:rFonts w:cs="Arial"/>
          <w:rtl/>
        </w:rPr>
        <w:t xml:space="preserve"> על דברי המרדכי שהיינו דוקא בתנור קטן או מכוסה אבל בתנור גדול ופתוח לכ</w:t>
      </w:r>
      <w:r>
        <w:rPr>
          <w:rFonts w:cs="Arial" w:hint="cs"/>
          <w:rtl/>
        </w:rPr>
        <w:t>ו</w:t>
      </w:r>
      <w:r w:rsidRPr="001F77AB">
        <w:rPr>
          <w:rFonts w:cs="Arial"/>
          <w:rtl/>
        </w:rPr>
        <w:t>"ע שרי ולזה הסכים מו"ח ז"ל</w:t>
      </w:r>
      <w:r>
        <w:rPr>
          <w:rFonts w:cs="Arial" w:hint="cs"/>
          <w:rtl/>
        </w:rPr>
        <w:t>,</w:t>
      </w:r>
      <w:r w:rsidRPr="001F77AB">
        <w:rPr>
          <w:rFonts w:cs="Arial"/>
          <w:rtl/>
        </w:rPr>
        <w:t xml:space="preserve"> ולי נראה כפסק רמ"א דהא במרדכי שמה מדמי לה לפת חמה וחבית פתוחה דהוא אסור אפי' דיעבד כמ"ש הש</w:t>
      </w:r>
      <w:r>
        <w:rPr>
          <w:rFonts w:cs="Arial" w:hint="cs"/>
          <w:rtl/>
        </w:rPr>
        <w:t>ו</w:t>
      </w:r>
      <w:r w:rsidRPr="001F77AB">
        <w:rPr>
          <w:rFonts w:cs="Arial"/>
          <w:rtl/>
        </w:rPr>
        <w:t>"ע בסע</w:t>
      </w:r>
      <w:r>
        <w:rPr>
          <w:rFonts w:cs="Arial" w:hint="cs"/>
          <w:rtl/>
        </w:rPr>
        <w:t>'</w:t>
      </w:r>
      <w:r w:rsidRPr="001F77AB">
        <w:rPr>
          <w:rFonts w:cs="Arial"/>
          <w:rtl/>
        </w:rPr>
        <w:t xml:space="preserve"> ד'</w:t>
      </w:r>
      <w:r>
        <w:rPr>
          <w:rFonts w:hint="cs"/>
          <w:rtl/>
        </w:rPr>
        <w:t>, ט"ז (סק"ה).</w:t>
      </w:r>
    </w:p>
  </w:footnote>
  <w:footnote w:id="2348">
    <w:p w14:paraId="60CF603B" w14:textId="77777777" w:rsidR="004C5A3C" w:rsidRDefault="004C5A3C" w:rsidP="002C39F4">
      <w:pPr>
        <w:pStyle w:val="a5"/>
        <w:rPr>
          <w:rtl/>
        </w:rPr>
      </w:pPr>
      <w:r>
        <w:rPr>
          <w:rStyle w:val="a7"/>
        </w:rPr>
        <w:footnoteRef/>
      </w:r>
      <w:r>
        <w:rPr>
          <w:rtl/>
        </w:rPr>
        <w:t xml:space="preserve"> </w:t>
      </w:r>
      <w:r w:rsidRPr="001F77AB">
        <w:rPr>
          <w:rFonts w:cs="Arial"/>
          <w:rtl/>
        </w:rPr>
        <w:t>היינו בפת מועט או שיש היכר בפת אבל בפת מרובה ואין היכר אסור אפילו לאכלו לבדו גזירה שמא יבא לאכלו בחלב כדלעיל ר"ס צ"ז וכן משמע להדיא בת"ח שם ד"ה ע"ש</w:t>
      </w:r>
      <w:r>
        <w:rPr>
          <w:rFonts w:hint="cs"/>
          <w:rtl/>
        </w:rPr>
        <w:t>, ש"ך (סקי"א).</w:t>
      </w:r>
    </w:p>
  </w:footnote>
  <w:footnote w:id="2349">
    <w:p w14:paraId="0EABA44F" w14:textId="77777777" w:rsidR="004C5A3C" w:rsidRDefault="004C5A3C" w:rsidP="002C39F4">
      <w:pPr>
        <w:pStyle w:val="a5"/>
      </w:pPr>
      <w:r>
        <w:rPr>
          <w:rStyle w:val="a7"/>
        </w:rPr>
        <w:footnoteRef/>
      </w:r>
      <w:r>
        <w:rPr>
          <w:rtl/>
        </w:rPr>
        <w:t xml:space="preserve"> </w:t>
      </w:r>
      <w:r w:rsidRPr="001F77AB">
        <w:rPr>
          <w:rFonts w:cs="Arial"/>
          <w:rtl/>
        </w:rPr>
        <w:t>ונראה דאפילו דבר שנעשה להריח ועדיין ריחו בתנור אין לחוש לבזה אחר זה</w:t>
      </w:r>
      <w:r>
        <w:rPr>
          <w:rFonts w:cs="Arial" w:hint="cs"/>
          <w:rtl/>
        </w:rPr>
        <w:t>, ש"ך (סקי"ב).</w:t>
      </w:r>
    </w:p>
  </w:footnote>
  <w:footnote w:id="2350">
    <w:p w14:paraId="69CB1B40" w14:textId="77777777" w:rsidR="004C5A3C" w:rsidRDefault="004C5A3C" w:rsidP="002C39F4">
      <w:pPr>
        <w:pStyle w:val="a5"/>
        <w:rPr>
          <w:rtl/>
        </w:rPr>
      </w:pPr>
      <w:r>
        <w:rPr>
          <w:rStyle w:val="a7"/>
        </w:rPr>
        <w:footnoteRef/>
      </w:r>
      <w:r>
        <w:rPr>
          <w:rtl/>
        </w:rPr>
        <w:t xml:space="preserve"> </w:t>
      </w:r>
      <w:r w:rsidRPr="001F58C5">
        <w:rPr>
          <w:rFonts w:cs="Arial"/>
          <w:rtl/>
        </w:rPr>
        <w:t>דעת הרב שדין ריחא שוה לשאר איסורים לענין צירוף ששים</w:t>
      </w:r>
      <w:r>
        <w:rPr>
          <w:rFonts w:cs="Arial" w:hint="cs"/>
          <w:rtl/>
        </w:rPr>
        <w:t>,</w:t>
      </w:r>
      <w:r w:rsidRPr="001F58C5">
        <w:rPr>
          <w:rFonts w:cs="Arial"/>
          <w:rtl/>
        </w:rPr>
        <w:t xml:space="preserve"> וכמו דקי"ל לקמן ס"ס קי"א דבמקום שאין הפסד אין הכל נכנס בספק לצרף ה"ה בריחא דבמקום שאין הפסד צריך בכל חתיכה וחתיכה בפני עצמה ששים לבטל אפילו כל החתיכות נוגעות זו אצל זו </w:t>
      </w:r>
      <w:r w:rsidRPr="001F58C5">
        <w:rPr>
          <w:rFonts w:cs="Arial" w:hint="cs"/>
          <w:sz w:val="16"/>
          <w:szCs w:val="16"/>
          <w:rtl/>
        </w:rPr>
        <w:t>(</w:t>
      </w:r>
      <w:r w:rsidRPr="001F58C5">
        <w:rPr>
          <w:rFonts w:cs="Arial"/>
          <w:sz w:val="16"/>
          <w:szCs w:val="16"/>
          <w:rtl/>
        </w:rPr>
        <w:t>דלא עדיף מבליעת איסור עצמו דקיי</w:t>
      </w:r>
      <w:r w:rsidRPr="001F58C5">
        <w:rPr>
          <w:rFonts w:cs="Arial" w:hint="cs"/>
          <w:sz w:val="16"/>
          <w:szCs w:val="16"/>
          <w:rtl/>
        </w:rPr>
        <w:t>"</w:t>
      </w:r>
      <w:r w:rsidRPr="001F58C5">
        <w:rPr>
          <w:rFonts w:cs="Arial"/>
          <w:sz w:val="16"/>
          <w:szCs w:val="16"/>
          <w:rtl/>
        </w:rPr>
        <w:t>ל לעיל סימן ק"ה ס"ז שאין הולך מחתיכה לחתיכה בלא רוטב</w:t>
      </w:r>
      <w:r>
        <w:rPr>
          <w:rFonts w:cs="Arial" w:hint="cs"/>
          <w:sz w:val="16"/>
          <w:szCs w:val="16"/>
          <w:rtl/>
        </w:rPr>
        <w:t>)</w:t>
      </w:r>
      <w:r>
        <w:rPr>
          <w:rFonts w:cs="Arial" w:hint="cs"/>
          <w:rtl/>
        </w:rPr>
        <w:t>,</w:t>
      </w:r>
      <w:r w:rsidRPr="001F58C5">
        <w:rPr>
          <w:rFonts w:cs="Arial"/>
          <w:rtl/>
        </w:rPr>
        <w:t xml:space="preserve"> אבל במקום הפסד יש לצרף כל החתיכות אפילו אינן נוגעות לבטל </w:t>
      </w:r>
      <w:r>
        <w:rPr>
          <w:rFonts w:cs="Arial" w:hint="cs"/>
          <w:rtl/>
        </w:rPr>
        <w:t>בס'</w:t>
      </w:r>
      <w:r w:rsidRPr="001F58C5">
        <w:rPr>
          <w:rFonts w:cs="Arial"/>
          <w:rtl/>
        </w:rPr>
        <w:t xml:space="preserve"> דכולן נכנסו בספק</w:t>
      </w:r>
      <w:r>
        <w:rPr>
          <w:rFonts w:cs="Arial" w:hint="cs"/>
          <w:rtl/>
        </w:rPr>
        <w:t>,</w:t>
      </w:r>
      <w:r w:rsidRPr="001F58C5">
        <w:rPr>
          <w:rFonts w:cs="Arial" w:hint="cs"/>
          <w:rtl/>
        </w:rPr>
        <w:t xml:space="preserve"> </w:t>
      </w:r>
      <w:r>
        <w:rPr>
          <w:rFonts w:cs="Arial" w:hint="cs"/>
          <w:rtl/>
        </w:rPr>
        <w:t xml:space="preserve">ש"ך </w:t>
      </w:r>
      <w:r w:rsidRPr="001F58C5">
        <w:rPr>
          <w:rFonts w:cs="Arial" w:hint="cs"/>
          <w:sz w:val="16"/>
          <w:szCs w:val="16"/>
          <w:rtl/>
        </w:rPr>
        <w:t>(סקי"ג)</w:t>
      </w:r>
      <w:r>
        <w:rPr>
          <w:rFonts w:cs="Arial" w:hint="cs"/>
          <w:rtl/>
        </w:rPr>
        <w:t xml:space="preserve">. וכ"כ הט"ז </w:t>
      </w:r>
      <w:r w:rsidRPr="001F58C5">
        <w:rPr>
          <w:rFonts w:cs="Arial" w:hint="cs"/>
          <w:sz w:val="16"/>
          <w:szCs w:val="16"/>
          <w:rtl/>
        </w:rPr>
        <w:t>(סק"ו)</w:t>
      </w:r>
      <w:r>
        <w:rPr>
          <w:rFonts w:cs="Arial" w:hint="cs"/>
          <w:rtl/>
        </w:rPr>
        <w:t xml:space="preserve">. </w:t>
      </w:r>
      <w:r w:rsidRPr="001F58C5">
        <w:rPr>
          <w:rFonts w:cs="Arial"/>
          <w:rtl/>
        </w:rPr>
        <w:t>ו</w:t>
      </w:r>
      <w:r>
        <w:rPr>
          <w:rFonts w:cs="Arial" w:hint="cs"/>
          <w:rtl/>
        </w:rPr>
        <w:t>כ' עוד הש"ך ד</w:t>
      </w:r>
      <w:r w:rsidRPr="001F58C5">
        <w:rPr>
          <w:rFonts w:cs="Arial"/>
          <w:rtl/>
        </w:rPr>
        <w:t>מקום הפסד היינו הפסד מרובה</w:t>
      </w:r>
      <w:r>
        <w:rPr>
          <w:rFonts w:cs="Arial" w:hint="cs"/>
          <w:rtl/>
        </w:rPr>
        <w:t>.</w:t>
      </w:r>
    </w:p>
  </w:footnote>
  <w:footnote w:id="2351">
    <w:p w14:paraId="2FE15B11" w14:textId="77777777" w:rsidR="004C5A3C" w:rsidRDefault="004C5A3C" w:rsidP="002C39F4">
      <w:pPr>
        <w:pStyle w:val="a5"/>
      </w:pPr>
      <w:r>
        <w:rPr>
          <w:rStyle w:val="a7"/>
        </w:rPr>
        <w:footnoteRef/>
      </w:r>
      <w:r>
        <w:rPr>
          <w:rtl/>
        </w:rPr>
        <w:t xml:space="preserve"> </w:t>
      </w:r>
      <w:r w:rsidRPr="00EA4984">
        <w:rPr>
          <w:rFonts w:cs="Arial"/>
          <w:rtl/>
        </w:rPr>
        <w:t>וכי צולין פסח בקדירה</w:t>
      </w:r>
      <w:r>
        <w:rPr>
          <w:rFonts w:cs="Arial" w:hint="cs"/>
          <w:rtl/>
        </w:rPr>
        <w:t>?, רש"י.</w:t>
      </w:r>
    </w:p>
  </w:footnote>
  <w:footnote w:id="2352">
    <w:p w14:paraId="736F5578" w14:textId="77777777" w:rsidR="004C5A3C" w:rsidRDefault="004C5A3C" w:rsidP="002C39F4">
      <w:pPr>
        <w:pStyle w:val="a5"/>
      </w:pPr>
      <w:r>
        <w:rPr>
          <w:rStyle w:val="a7"/>
        </w:rPr>
        <w:footnoteRef/>
      </w:r>
      <w:r>
        <w:rPr>
          <w:rtl/>
        </w:rPr>
        <w:t xml:space="preserve"> </w:t>
      </w:r>
      <w:r w:rsidRPr="00EA4984">
        <w:rPr>
          <w:rFonts w:cs="Arial"/>
          <w:rtl/>
        </w:rPr>
        <w:t>שפוד מכאן ושפוד מכאן, ותל גדול של גחלים או אפר באמצע</w:t>
      </w:r>
      <w:r>
        <w:rPr>
          <w:rFonts w:cs="Arial" w:hint="cs"/>
          <w:rtl/>
        </w:rPr>
        <w:t>, רש"י</w:t>
      </w:r>
      <w:r w:rsidRPr="00EA4984">
        <w:rPr>
          <w:rFonts w:cs="Arial"/>
          <w:rtl/>
        </w:rPr>
        <w:t>.</w:t>
      </w:r>
    </w:p>
  </w:footnote>
  <w:footnote w:id="2353">
    <w:p w14:paraId="112EC293" w14:textId="77777777" w:rsidR="004C5A3C" w:rsidRPr="00582D7F" w:rsidRDefault="004C5A3C" w:rsidP="002C39F4">
      <w:pPr>
        <w:pStyle w:val="a5"/>
      </w:pPr>
      <w:r>
        <w:rPr>
          <w:rStyle w:val="a7"/>
        </w:rPr>
        <w:footnoteRef/>
      </w:r>
      <w:r>
        <w:rPr>
          <w:rtl/>
        </w:rPr>
        <w:t xml:space="preserve"> </w:t>
      </w:r>
      <w:r w:rsidRPr="00EF777D">
        <w:rPr>
          <w:rFonts w:cs="Arial"/>
          <w:rtl/>
        </w:rPr>
        <w:t xml:space="preserve">כדאמרינן התם </w:t>
      </w:r>
      <w:r w:rsidRPr="005C25AB">
        <w:rPr>
          <w:rFonts w:cs="Arial"/>
          <w:sz w:val="16"/>
          <w:szCs w:val="16"/>
          <w:rtl/>
        </w:rPr>
        <w:t xml:space="preserve">(פסחים עו:) </w:t>
      </w:r>
      <w:r w:rsidRPr="00EF777D">
        <w:rPr>
          <w:rFonts w:cs="Arial"/>
          <w:rtl/>
        </w:rPr>
        <w:t>כעין שתי קדרות לא</w:t>
      </w:r>
      <w:r w:rsidRPr="00EF777D">
        <w:rPr>
          <w:rFonts w:cs="Arial" w:hint="cs"/>
          <w:rtl/>
        </w:rPr>
        <w:t>,</w:t>
      </w:r>
      <w:r w:rsidRPr="00EF777D">
        <w:rPr>
          <w:rFonts w:cs="Arial"/>
          <w:rtl/>
        </w:rPr>
        <w:t xml:space="preserve"> דכיון דכל אחד בקדרה בפני עצמה ליכא ריחא כולי האי</w:t>
      </w:r>
      <w:r w:rsidRPr="00EF777D">
        <w:rPr>
          <w:rFonts w:cs="Arial" w:hint="cs"/>
          <w:rtl/>
        </w:rPr>
        <w:t>,</w:t>
      </w:r>
      <w:r>
        <w:rPr>
          <w:rFonts w:cs="Arial"/>
          <w:rtl/>
        </w:rPr>
        <w:t xml:space="preserve"> ואמרינן נמי בפ</w:t>
      </w:r>
      <w:r>
        <w:rPr>
          <w:rFonts w:cs="Arial" w:hint="cs"/>
          <w:rtl/>
        </w:rPr>
        <w:t>"</w:t>
      </w:r>
      <w:r>
        <w:rPr>
          <w:rFonts w:cs="Arial"/>
          <w:rtl/>
        </w:rPr>
        <w:t>ק</w:t>
      </w:r>
      <w:r w:rsidRPr="00EF777D">
        <w:rPr>
          <w:rFonts w:cs="Arial"/>
          <w:rtl/>
        </w:rPr>
        <w:t xml:space="preserve"> דע"ז </w:t>
      </w:r>
      <w:r w:rsidRPr="005C25AB">
        <w:rPr>
          <w:rFonts w:cs="Arial"/>
          <w:sz w:val="16"/>
          <w:szCs w:val="16"/>
          <w:rtl/>
        </w:rPr>
        <w:t xml:space="preserve">(יא:) </w:t>
      </w:r>
      <w:r w:rsidRPr="00EF777D">
        <w:rPr>
          <w:rFonts w:cs="Arial"/>
          <w:rtl/>
        </w:rPr>
        <w:t>לא הלכת לצור מימיך וראית ישראל וגוי ששפתו שתי קדרות זו אצל זו ולא חשו לה</w:t>
      </w:r>
      <w:r>
        <w:rPr>
          <w:rFonts w:cs="Arial"/>
          <w:rtl/>
        </w:rPr>
        <w:t>ם חכמים</w:t>
      </w:r>
      <w:r>
        <w:rPr>
          <w:rFonts w:cs="Arial" w:hint="cs"/>
          <w:rtl/>
        </w:rPr>
        <w:t xml:space="preserve">, רשב"א </w:t>
      </w:r>
      <w:r w:rsidRPr="00EF777D">
        <w:rPr>
          <w:rFonts w:cs="Arial" w:hint="cs"/>
          <w:sz w:val="16"/>
          <w:szCs w:val="16"/>
          <w:rtl/>
        </w:rPr>
        <w:t>(</w:t>
      </w:r>
      <w:r w:rsidRPr="00582D7F">
        <w:rPr>
          <w:rFonts w:cs="Arial"/>
          <w:sz w:val="16"/>
          <w:szCs w:val="16"/>
          <w:rtl/>
        </w:rPr>
        <w:t>תוה</w:t>
      </w:r>
      <w:r w:rsidRPr="00582D7F">
        <w:rPr>
          <w:rFonts w:cs="Arial" w:hint="cs"/>
          <w:sz w:val="16"/>
          <w:szCs w:val="16"/>
          <w:rtl/>
        </w:rPr>
        <w:t>"</w:t>
      </w:r>
      <w:r w:rsidRPr="00582D7F">
        <w:rPr>
          <w:rFonts w:cs="Arial"/>
          <w:sz w:val="16"/>
          <w:szCs w:val="16"/>
          <w:rtl/>
        </w:rPr>
        <w:t>א</w:t>
      </w:r>
      <w:r w:rsidRPr="00582D7F">
        <w:rPr>
          <w:rFonts w:cs="Arial" w:hint="cs"/>
          <w:sz w:val="16"/>
          <w:szCs w:val="16"/>
          <w:rtl/>
        </w:rPr>
        <w:t xml:space="preserve"> </w:t>
      </w:r>
      <w:r w:rsidRPr="00582D7F">
        <w:rPr>
          <w:rFonts w:cs="Arial"/>
          <w:sz w:val="16"/>
          <w:szCs w:val="16"/>
          <w:rtl/>
        </w:rPr>
        <w:t>ב"ד ש"א טו.</w:t>
      </w:r>
      <w:r w:rsidRPr="00EF777D">
        <w:rPr>
          <w:rFonts w:cs="Arial"/>
          <w:sz w:val="16"/>
          <w:szCs w:val="16"/>
          <w:rtl/>
        </w:rPr>
        <w:t>)</w:t>
      </w:r>
      <w:r>
        <w:rPr>
          <w:rFonts w:cs="Arial" w:hint="cs"/>
          <w:rtl/>
        </w:rPr>
        <w:t>.</w:t>
      </w:r>
    </w:p>
  </w:footnote>
  <w:footnote w:id="2354">
    <w:p w14:paraId="49EB3D1F" w14:textId="77777777" w:rsidR="004C5A3C" w:rsidRDefault="004C5A3C" w:rsidP="002C39F4">
      <w:pPr>
        <w:pStyle w:val="a5"/>
        <w:rPr>
          <w:rtl/>
        </w:rPr>
      </w:pPr>
      <w:r>
        <w:rPr>
          <w:rStyle w:val="a7"/>
        </w:rPr>
        <w:footnoteRef/>
      </w:r>
      <w:r>
        <w:rPr>
          <w:rtl/>
        </w:rPr>
        <w:t xml:space="preserve"> </w:t>
      </w:r>
      <w:r w:rsidRPr="00EF777D">
        <w:rPr>
          <w:rFonts w:cs="Arial"/>
          <w:rtl/>
        </w:rPr>
        <w:t>וכתבו רבינו בסי</w:t>
      </w:r>
      <w:r>
        <w:rPr>
          <w:rFonts w:cs="Arial" w:hint="cs"/>
          <w:rtl/>
        </w:rPr>
        <w:t>'</w:t>
      </w:r>
      <w:r>
        <w:rPr>
          <w:rFonts w:cs="Arial"/>
          <w:rtl/>
        </w:rPr>
        <w:t xml:space="preserve"> קח (קסט:)</w:t>
      </w:r>
      <w:r>
        <w:rPr>
          <w:rFonts w:hint="cs"/>
          <w:rtl/>
        </w:rPr>
        <w:t>.</w:t>
      </w:r>
      <w:r w:rsidRPr="00D6570B">
        <w:rPr>
          <w:rFonts w:cs="Arial"/>
          <w:rtl/>
        </w:rPr>
        <w:t xml:space="preserve"> </w:t>
      </w:r>
      <w:r w:rsidRPr="00EF777D">
        <w:rPr>
          <w:rFonts w:cs="Arial"/>
          <w:rtl/>
        </w:rPr>
        <w:t>וכתב הרשב"א (תוה"א ב"ד ש"א טו.)</w:t>
      </w:r>
      <w:r>
        <w:rPr>
          <w:rFonts w:cs="Arial"/>
          <w:rtl/>
        </w:rPr>
        <w:t xml:space="preserve"> שלמד כן מדמותיב בפכ</w:t>
      </w:r>
      <w:r>
        <w:rPr>
          <w:rFonts w:cs="Arial" w:hint="cs"/>
          <w:rtl/>
        </w:rPr>
        <w:t>"</w:t>
      </w:r>
      <w:r>
        <w:rPr>
          <w:rFonts w:cs="Arial"/>
          <w:rtl/>
        </w:rPr>
        <w:t>צ</w:t>
      </w:r>
      <w:r w:rsidRPr="00EF777D">
        <w:rPr>
          <w:rFonts w:cs="Arial"/>
          <w:rtl/>
        </w:rPr>
        <w:t xml:space="preserve"> (פסחים עו:) לרב מדתניא אין צולין שני פסחים כאחד מפני התערובת ודייק עליה דמפני תערובת גופים קאמר אבל מפני תערובת טעמים שרי ומשני רבי ירמיה הכא במאי עסקינן כגון שצלאו בשתי קדרות בשתי קדרות סלקא דעתך אלא אימא כעין שתי קדרות ע"כ ופירש רש"י כעין שתי קדרות שפוד מכאן ושפוד מכאן ותל גדול של גחלים או אפר באמצע. וק</w:t>
      </w:r>
      <w:r>
        <w:rPr>
          <w:rFonts w:cs="Arial" w:hint="cs"/>
          <w:rtl/>
        </w:rPr>
        <w:t xml:space="preserve">שה </w:t>
      </w:r>
      <w:r w:rsidRPr="00EF777D">
        <w:rPr>
          <w:rFonts w:cs="Arial"/>
          <w:rtl/>
        </w:rPr>
        <w:t>ל</w:t>
      </w:r>
      <w:r>
        <w:rPr>
          <w:rFonts w:cs="Arial" w:hint="cs"/>
          <w:rtl/>
        </w:rPr>
        <w:t>י</w:t>
      </w:r>
      <w:r w:rsidRPr="00EF777D">
        <w:rPr>
          <w:rFonts w:cs="Arial"/>
          <w:rtl/>
        </w:rPr>
        <w:t xml:space="preserve"> למה למד למתבשלים דוקא דמשמע אבל בנצלים אפילו בשתי קדרות לא והא ההיא דפסחים בצלי היא ומדבעא ר' ירמיה לאוקמי בשתי קדרות אלא דאתמהינן עליה בשתי קדרות סלקא דעתך כלומר וכי פסח נצלה בקדרה משמע דאי לאו הכי הוה ניחא לן משום דכל שהוא נצלה בשתי קדרות אין הריח מתפשט להתערב עם מה שבקדרה אחרת וכן למאי דאסיקנא כעין שתי קדרות בצלי אסיקנא הכי ולא במבושל דוקא</w:t>
      </w:r>
      <w:r>
        <w:rPr>
          <w:rFonts w:hint="cs"/>
          <w:rtl/>
        </w:rPr>
        <w:t>, ב"י.</w:t>
      </w:r>
    </w:p>
  </w:footnote>
  <w:footnote w:id="2355">
    <w:p w14:paraId="60949F2F" w14:textId="77777777" w:rsidR="004C5A3C" w:rsidRDefault="004C5A3C" w:rsidP="002C39F4">
      <w:pPr>
        <w:pStyle w:val="a5"/>
        <w:rPr>
          <w:rtl/>
        </w:rPr>
      </w:pPr>
      <w:r>
        <w:rPr>
          <w:rStyle w:val="a7"/>
        </w:rPr>
        <w:footnoteRef/>
      </w:r>
      <w:r>
        <w:rPr>
          <w:rtl/>
        </w:rPr>
        <w:t xml:space="preserve"> </w:t>
      </w:r>
      <w:r>
        <w:rPr>
          <w:rFonts w:cs="Arial" w:hint="cs"/>
          <w:rtl/>
        </w:rPr>
        <w:t>והמ</w:t>
      </w:r>
      <w:r w:rsidRPr="005C54C8">
        <w:rPr>
          <w:rFonts w:cs="Arial"/>
          <w:rtl/>
        </w:rPr>
        <w:t>רדכי</w:t>
      </w:r>
      <w:r>
        <w:rPr>
          <w:rFonts w:cs="Arial" w:hint="cs"/>
          <w:rtl/>
        </w:rPr>
        <w:t xml:space="preserve"> </w:t>
      </w:r>
      <w:r w:rsidRPr="00212A41">
        <w:rPr>
          <w:rFonts w:cs="Arial"/>
          <w:sz w:val="16"/>
          <w:szCs w:val="16"/>
          <w:rtl/>
        </w:rPr>
        <w:t>(</w:t>
      </w:r>
      <w:r w:rsidRPr="00212A41">
        <w:rPr>
          <w:rFonts w:cs="Arial" w:hint="cs"/>
          <w:sz w:val="16"/>
          <w:szCs w:val="16"/>
          <w:rtl/>
        </w:rPr>
        <w:t xml:space="preserve">ע"ז </w:t>
      </w:r>
      <w:r w:rsidRPr="00212A41">
        <w:rPr>
          <w:rFonts w:cs="Arial"/>
          <w:sz w:val="16"/>
          <w:szCs w:val="16"/>
          <w:rtl/>
        </w:rPr>
        <w:t>סי' תתלא</w:t>
      </w:r>
      <w:r w:rsidRPr="00212A41">
        <w:rPr>
          <w:rFonts w:cs="Arial" w:hint="cs"/>
          <w:sz w:val="16"/>
          <w:szCs w:val="16"/>
          <w:rtl/>
        </w:rPr>
        <w:t>)</w:t>
      </w:r>
      <w:r>
        <w:rPr>
          <w:rFonts w:cs="Arial" w:hint="cs"/>
          <w:rtl/>
        </w:rPr>
        <w:t xml:space="preserve"> כ'- </w:t>
      </w:r>
      <w:r w:rsidRPr="005C54C8">
        <w:rPr>
          <w:rFonts w:cs="Arial"/>
          <w:rtl/>
        </w:rPr>
        <w:t xml:space="preserve">אסור לצלות ב' שפודין אחד של נבילה ואחד של שחוטה כדאמרינן </w:t>
      </w:r>
      <w:r>
        <w:rPr>
          <w:rFonts w:cs="Arial" w:hint="cs"/>
          <w:rtl/>
        </w:rPr>
        <w:t>פכ"צ</w:t>
      </w:r>
      <w:r w:rsidRPr="005C54C8">
        <w:rPr>
          <w:rFonts w:cs="Arial"/>
          <w:rtl/>
        </w:rPr>
        <w:t xml:space="preserve"> (פסחים עו</w:t>
      </w:r>
      <w:r>
        <w:rPr>
          <w:rFonts w:cs="Arial" w:hint="cs"/>
          <w:rtl/>
        </w:rPr>
        <w:t>:</w:t>
      </w:r>
      <w:r w:rsidRPr="005C54C8">
        <w:rPr>
          <w:rFonts w:cs="Arial"/>
          <w:rtl/>
        </w:rPr>
        <w:t>) אין צולין ב' פסחים זה אצל זה משום תערובות גופין</w:t>
      </w:r>
      <w:r>
        <w:rPr>
          <w:rFonts w:cs="Arial" w:hint="cs"/>
          <w:rtl/>
        </w:rPr>
        <w:t>, עכ"ל.</w:t>
      </w:r>
      <w:r w:rsidRPr="005C54C8">
        <w:rPr>
          <w:rFonts w:cs="Arial"/>
          <w:rtl/>
        </w:rPr>
        <w:t xml:space="preserve"> אבל לקמן ס"ס קי"ח (ד</w:t>
      </w:r>
      <w:r>
        <w:rPr>
          <w:rFonts w:cs="Arial" w:hint="cs"/>
          <w:rtl/>
        </w:rPr>
        <w:t>רכ</w:t>
      </w:r>
      <w:r w:rsidRPr="005C54C8">
        <w:rPr>
          <w:rFonts w:cs="Arial"/>
          <w:rtl/>
        </w:rPr>
        <w:t>"מ אות יא) יתבאר דאף ב' קדרות זו אצל זו אף לכתחלה אינו אלא חומרא בעלמא</w:t>
      </w:r>
      <w:r>
        <w:rPr>
          <w:rFonts w:hint="cs"/>
          <w:rtl/>
        </w:rPr>
        <w:t>, דרכ"מ (אות ב).</w:t>
      </w:r>
    </w:p>
  </w:footnote>
  <w:footnote w:id="2356">
    <w:p w14:paraId="40ABAE82" w14:textId="77777777" w:rsidR="004C5A3C" w:rsidRDefault="004C5A3C" w:rsidP="002C39F4">
      <w:pPr>
        <w:pStyle w:val="a5"/>
      </w:pPr>
      <w:r>
        <w:rPr>
          <w:rStyle w:val="a7"/>
        </w:rPr>
        <w:footnoteRef/>
      </w:r>
      <w:r>
        <w:rPr>
          <w:rtl/>
        </w:rPr>
        <w:t xml:space="preserve"> </w:t>
      </w:r>
      <w:r>
        <w:rPr>
          <w:rFonts w:cs="Arial" w:hint="cs"/>
          <w:rtl/>
        </w:rPr>
        <w:t>וז"ל-</w:t>
      </w:r>
      <w:r w:rsidRPr="005C54C8">
        <w:rPr>
          <w:rFonts w:cs="Arial"/>
          <w:rtl/>
        </w:rPr>
        <w:t xml:space="preserve"> ונראה למהר"ם שראה מעשה בחמין הטמונים ונמצא טריפה באחד מהן והתירו האחרים ודוקא שהיו האחרים מכוסים דאל"כ אסורים כמו פשטיד"א ופלאדי"ן</w:t>
      </w:r>
      <w:r>
        <w:rPr>
          <w:rFonts w:cs="Arial" w:hint="cs"/>
          <w:rtl/>
        </w:rPr>
        <w:t>.</w:t>
      </w:r>
    </w:p>
  </w:footnote>
  <w:footnote w:id="2357">
    <w:p w14:paraId="1552824D" w14:textId="77777777" w:rsidR="004C5A3C" w:rsidRDefault="004C5A3C" w:rsidP="002C39F4">
      <w:pPr>
        <w:pStyle w:val="a5"/>
        <w:rPr>
          <w:rtl/>
        </w:rPr>
      </w:pPr>
      <w:r>
        <w:rPr>
          <w:rStyle w:val="a7"/>
        </w:rPr>
        <w:footnoteRef/>
      </w:r>
      <w:r>
        <w:rPr>
          <w:rtl/>
        </w:rPr>
        <w:t xml:space="preserve"> </w:t>
      </w:r>
      <w:r w:rsidRPr="005C54C8">
        <w:rPr>
          <w:rFonts w:cs="Arial"/>
          <w:rtl/>
        </w:rPr>
        <w:t>משמע דאם התנור סתום מכל צד יש בו משום ריחא מילתא אפילו בקדרה</w:t>
      </w:r>
      <w:r>
        <w:rPr>
          <w:rFonts w:cs="Arial" w:hint="cs"/>
          <w:rtl/>
        </w:rPr>
        <w:t>,</w:t>
      </w:r>
      <w:r w:rsidRPr="005C54C8">
        <w:rPr>
          <w:rFonts w:cs="Arial"/>
          <w:rtl/>
        </w:rPr>
        <w:t xml:space="preserve"> דהוי כמו פשטיד"א ופלאדי"ן דאסור לכ</w:t>
      </w:r>
      <w:r>
        <w:rPr>
          <w:rFonts w:cs="Arial" w:hint="cs"/>
          <w:rtl/>
        </w:rPr>
        <w:t>ו</w:t>
      </w:r>
      <w:r w:rsidRPr="005C54C8">
        <w:rPr>
          <w:rFonts w:cs="Arial"/>
          <w:rtl/>
        </w:rPr>
        <w:t>"ע</w:t>
      </w:r>
      <w:r>
        <w:rPr>
          <w:rFonts w:cs="Arial" w:hint="cs"/>
          <w:rtl/>
        </w:rPr>
        <w:t xml:space="preserve"> כמ"ש </w:t>
      </w:r>
      <w:r w:rsidRPr="005C54C8">
        <w:rPr>
          <w:rFonts w:cs="Arial"/>
          <w:rtl/>
        </w:rPr>
        <w:t xml:space="preserve">המרדכי </w:t>
      </w:r>
      <w:r w:rsidRPr="00212A41">
        <w:rPr>
          <w:rFonts w:cs="Arial"/>
          <w:sz w:val="16"/>
          <w:szCs w:val="16"/>
          <w:rtl/>
        </w:rPr>
        <w:t>(</w:t>
      </w:r>
      <w:r w:rsidRPr="00212A41">
        <w:rPr>
          <w:rFonts w:cs="Arial" w:hint="cs"/>
          <w:sz w:val="16"/>
          <w:szCs w:val="16"/>
          <w:rtl/>
        </w:rPr>
        <w:t xml:space="preserve">חולין </w:t>
      </w:r>
      <w:r w:rsidRPr="00212A41">
        <w:rPr>
          <w:rFonts w:cs="Arial"/>
          <w:sz w:val="16"/>
          <w:szCs w:val="16"/>
          <w:rtl/>
        </w:rPr>
        <w:t>סי' תרסה</w:t>
      </w:r>
      <w:r w:rsidRPr="00212A41">
        <w:rPr>
          <w:rFonts w:cs="Arial" w:hint="cs"/>
          <w:sz w:val="16"/>
          <w:szCs w:val="16"/>
          <w:rtl/>
        </w:rPr>
        <w:t>)</w:t>
      </w:r>
      <w:r w:rsidRPr="00212A41">
        <w:rPr>
          <w:rFonts w:cs="Arial"/>
          <w:sz w:val="16"/>
          <w:szCs w:val="16"/>
          <w:rtl/>
        </w:rPr>
        <w:t xml:space="preserve"> </w:t>
      </w:r>
      <w:r w:rsidRPr="005C54C8">
        <w:rPr>
          <w:rFonts w:cs="Arial"/>
          <w:rtl/>
        </w:rPr>
        <w:t>שע</w:t>
      </w:r>
      <w:r>
        <w:rPr>
          <w:rFonts w:cs="Arial" w:hint="cs"/>
          <w:rtl/>
        </w:rPr>
        <w:t>"ד</w:t>
      </w:r>
      <w:r w:rsidRPr="005C54C8">
        <w:rPr>
          <w:rFonts w:cs="Arial"/>
          <w:rtl/>
        </w:rPr>
        <w:t xml:space="preserve"> </w:t>
      </w:r>
      <w:r w:rsidRPr="00212A41">
        <w:rPr>
          <w:rFonts w:cs="Arial"/>
          <w:sz w:val="16"/>
          <w:szCs w:val="16"/>
          <w:rtl/>
        </w:rPr>
        <w:t xml:space="preserve">(סי' לה) </w:t>
      </w:r>
      <w:r>
        <w:rPr>
          <w:rFonts w:cs="Arial" w:hint="cs"/>
          <w:rtl/>
        </w:rPr>
        <w:t>ואו</w:t>
      </w:r>
      <w:r>
        <w:rPr>
          <w:rFonts w:cs="Arial"/>
          <w:rtl/>
        </w:rPr>
        <w:t>"</w:t>
      </w:r>
      <w:r>
        <w:rPr>
          <w:rFonts w:cs="Arial" w:hint="cs"/>
          <w:rtl/>
        </w:rPr>
        <w:t>ה</w:t>
      </w:r>
      <w:r w:rsidRPr="005C54C8">
        <w:rPr>
          <w:rFonts w:cs="Arial"/>
          <w:rtl/>
        </w:rPr>
        <w:t xml:space="preserve"> </w:t>
      </w:r>
      <w:r w:rsidRPr="00212A41">
        <w:rPr>
          <w:rFonts w:cs="Arial"/>
          <w:sz w:val="16"/>
          <w:szCs w:val="16"/>
          <w:rtl/>
        </w:rPr>
        <w:t>(כלל לט ד</w:t>
      </w:r>
      <w:r>
        <w:rPr>
          <w:rFonts w:cs="Arial" w:hint="cs"/>
          <w:sz w:val="16"/>
          <w:szCs w:val="16"/>
          <w:rtl/>
        </w:rPr>
        <w:t>"</w:t>
      </w:r>
      <w:r w:rsidRPr="00212A41">
        <w:rPr>
          <w:rFonts w:cs="Arial"/>
          <w:sz w:val="16"/>
          <w:szCs w:val="16"/>
          <w:rtl/>
        </w:rPr>
        <w:t>ו)</w:t>
      </w:r>
      <w:r>
        <w:rPr>
          <w:rFonts w:cs="Arial" w:hint="cs"/>
          <w:rtl/>
        </w:rPr>
        <w:t>.</w:t>
      </w:r>
      <w:r w:rsidRPr="005C54C8">
        <w:rPr>
          <w:rFonts w:cs="Arial"/>
          <w:rtl/>
        </w:rPr>
        <w:t xml:space="preserve"> וא"כ צ"ל דמ"ש הרשב"א </w:t>
      </w:r>
      <w:r w:rsidRPr="00212A41">
        <w:rPr>
          <w:rFonts w:cs="Arial"/>
          <w:sz w:val="16"/>
          <w:szCs w:val="16"/>
          <w:rtl/>
        </w:rPr>
        <w:t>(תוה"א ב"ד ש"א ט</w:t>
      </w:r>
      <w:r>
        <w:rPr>
          <w:rFonts w:cs="Arial" w:hint="cs"/>
          <w:sz w:val="16"/>
          <w:szCs w:val="16"/>
          <w:rtl/>
        </w:rPr>
        <w:t>ו.</w:t>
      </w:r>
      <w:r w:rsidRPr="00212A41">
        <w:rPr>
          <w:rFonts w:cs="Arial"/>
          <w:sz w:val="16"/>
          <w:szCs w:val="16"/>
          <w:rtl/>
        </w:rPr>
        <w:t xml:space="preserve">) </w:t>
      </w:r>
      <w:r w:rsidRPr="005C54C8">
        <w:rPr>
          <w:rFonts w:cs="Arial"/>
          <w:rtl/>
        </w:rPr>
        <w:t>דבקדרה לית ביה משום ריחא מילתא היינו כשהתנור פתוח קצת אבל כשהתנור סתום כמו שטומנין אסור אף בבישול</w:t>
      </w:r>
      <w:r>
        <w:rPr>
          <w:rFonts w:cs="Arial" w:hint="cs"/>
          <w:rtl/>
        </w:rPr>
        <w:t>,</w:t>
      </w:r>
      <w:r w:rsidRPr="005C54C8">
        <w:rPr>
          <w:rFonts w:cs="Arial"/>
          <w:rtl/>
        </w:rPr>
        <w:t xml:space="preserve"> וכ"מ באו"ה </w:t>
      </w:r>
      <w:r w:rsidRPr="00212A41">
        <w:rPr>
          <w:rFonts w:cs="Arial" w:hint="cs"/>
          <w:sz w:val="16"/>
          <w:szCs w:val="16"/>
          <w:rtl/>
        </w:rPr>
        <w:t>(</w:t>
      </w:r>
      <w:r>
        <w:rPr>
          <w:rFonts w:cs="Arial" w:hint="cs"/>
          <w:sz w:val="16"/>
          <w:szCs w:val="16"/>
          <w:rtl/>
        </w:rPr>
        <w:t>שם</w:t>
      </w:r>
      <w:r w:rsidRPr="00212A41">
        <w:rPr>
          <w:rFonts w:cs="Arial"/>
          <w:sz w:val="16"/>
          <w:szCs w:val="16"/>
          <w:rtl/>
        </w:rPr>
        <w:t xml:space="preserve"> דכ</w:t>
      </w:r>
      <w:r w:rsidRPr="00212A41">
        <w:rPr>
          <w:rFonts w:cs="Arial" w:hint="cs"/>
          <w:sz w:val="16"/>
          <w:szCs w:val="16"/>
          <w:rtl/>
        </w:rPr>
        <w:t>"</w:t>
      </w:r>
      <w:r w:rsidRPr="00212A41">
        <w:rPr>
          <w:rFonts w:cs="Arial"/>
          <w:sz w:val="16"/>
          <w:szCs w:val="16"/>
          <w:rtl/>
        </w:rPr>
        <w:t>ב)</w:t>
      </w:r>
      <w:r>
        <w:rPr>
          <w:rFonts w:cs="Arial" w:hint="cs"/>
          <w:rtl/>
        </w:rPr>
        <w:t>, דרכ"מ.</w:t>
      </w:r>
    </w:p>
  </w:footnote>
  <w:footnote w:id="2358">
    <w:p w14:paraId="195D8BFB" w14:textId="77777777" w:rsidR="004C5A3C" w:rsidRDefault="004C5A3C" w:rsidP="002C39F4">
      <w:pPr>
        <w:pStyle w:val="a5"/>
        <w:rPr>
          <w:rtl/>
        </w:rPr>
      </w:pPr>
      <w:r>
        <w:rPr>
          <w:rStyle w:val="a7"/>
        </w:rPr>
        <w:footnoteRef/>
      </w:r>
      <w:r>
        <w:rPr>
          <w:rtl/>
        </w:rPr>
        <w:t xml:space="preserve"> </w:t>
      </w:r>
      <w:r w:rsidRPr="007F7530">
        <w:rPr>
          <w:rFonts w:cs="Arial"/>
          <w:rtl/>
        </w:rPr>
        <w:t>הטור בשם הרשב"א סיים הטעם שאין ריח המתבשלים כ"כ אוסר</w:t>
      </w:r>
      <w:r>
        <w:rPr>
          <w:rFonts w:cs="Arial" w:hint="cs"/>
          <w:sz w:val="14"/>
          <w:szCs w:val="14"/>
          <w:rtl/>
        </w:rPr>
        <w:t xml:space="preserve"> {אצלנו הגי'- גדול כ"כ}</w:t>
      </w:r>
      <w:r w:rsidRPr="007F7530">
        <w:rPr>
          <w:rFonts w:cs="Arial"/>
          <w:rtl/>
        </w:rPr>
        <w:t xml:space="preserve"> עכ"</w:t>
      </w:r>
      <w:r>
        <w:rPr>
          <w:rFonts w:cs="Arial" w:hint="cs"/>
          <w:rtl/>
        </w:rPr>
        <w:t>ל,</w:t>
      </w:r>
      <w:r w:rsidRPr="007F7530">
        <w:rPr>
          <w:rFonts w:cs="Arial"/>
          <w:rtl/>
        </w:rPr>
        <w:t xml:space="preserve"> והב"י בסי</w:t>
      </w:r>
      <w:r>
        <w:rPr>
          <w:rFonts w:cs="Arial" w:hint="cs"/>
          <w:rtl/>
        </w:rPr>
        <w:t>'</w:t>
      </w:r>
      <w:r w:rsidRPr="007F7530">
        <w:rPr>
          <w:rFonts w:cs="Arial"/>
          <w:rtl/>
        </w:rPr>
        <w:t xml:space="preserve"> צז הקשה ע"ז והוכיח מש"ס דאפילו נצלה בקדרה אינו אוסר ע"ש</w:t>
      </w:r>
      <w:r>
        <w:rPr>
          <w:rFonts w:cs="Arial" w:hint="cs"/>
          <w:rtl/>
        </w:rPr>
        <w:t>,</w:t>
      </w:r>
      <w:r w:rsidRPr="007F7530">
        <w:rPr>
          <w:rFonts w:cs="Arial"/>
          <w:rtl/>
        </w:rPr>
        <w:t xml:space="preserve"> ואולי לזה השמיט סיום דברי הרשב"א לומר דלא תליא מידי בריח הבישול או צלי</w:t>
      </w:r>
      <w:r>
        <w:rPr>
          <w:rFonts w:cs="Arial" w:hint="cs"/>
          <w:rtl/>
        </w:rPr>
        <w:t>,</w:t>
      </w:r>
      <w:r w:rsidRPr="007F7530">
        <w:rPr>
          <w:rFonts w:cs="Arial"/>
          <w:rtl/>
        </w:rPr>
        <w:t xml:space="preserve"> רק בהפסק הקדרה</w:t>
      </w:r>
      <w:r>
        <w:rPr>
          <w:rFonts w:cs="Arial" w:hint="cs"/>
          <w:rtl/>
        </w:rPr>
        <w:t>,</w:t>
      </w:r>
      <w:r w:rsidRPr="007F7530">
        <w:rPr>
          <w:rFonts w:cs="Arial"/>
          <w:rtl/>
        </w:rPr>
        <w:t xml:space="preserve"> ומ</w:t>
      </w:r>
      <w:r>
        <w:rPr>
          <w:rFonts w:cs="Arial" w:hint="cs"/>
          <w:rtl/>
        </w:rPr>
        <w:t xml:space="preserve">ה </w:t>
      </w:r>
      <w:r w:rsidRPr="007F7530">
        <w:rPr>
          <w:rFonts w:cs="Arial"/>
          <w:rtl/>
        </w:rPr>
        <w:t>ש</w:t>
      </w:r>
      <w:r>
        <w:rPr>
          <w:rFonts w:cs="Arial" w:hint="cs"/>
          <w:rtl/>
        </w:rPr>
        <w:t>כתב</w:t>
      </w:r>
      <w:r w:rsidRPr="007F7530">
        <w:rPr>
          <w:rFonts w:cs="Arial"/>
          <w:rtl/>
        </w:rPr>
        <w:t xml:space="preserve"> בד"א בצלי כו' אבל לבשל כו' אפשר דאורחא דמלתא נקט דכל צלי דרך לצלותו בשפוד וצלי קדר חשיב בישול</w:t>
      </w:r>
      <w:r>
        <w:rPr>
          <w:rFonts w:cs="Arial" w:hint="cs"/>
          <w:rtl/>
        </w:rPr>
        <w:t>,</w:t>
      </w:r>
      <w:r w:rsidRPr="007F7530">
        <w:rPr>
          <w:rFonts w:cs="Arial"/>
          <w:rtl/>
        </w:rPr>
        <w:t xml:space="preserve"> ובב"ח שם רצה לסתור הוכחות ב"י ע"ש</w:t>
      </w:r>
      <w:r>
        <w:rPr>
          <w:rFonts w:cs="Arial" w:hint="cs"/>
          <w:rtl/>
        </w:rPr>
        <w:t>,</w:t>
      </w:r>
      <w:r w:rsidRPr="007F7530">
        <w:rPr>
          <w:rFonts w:cs="Arial"/>
          <w:rtl/>
        </w:rPr>
        <w:t xml:space="preserve"> ובאמת דברי ב"י נכונים וברורים וצריך לדחוק וליישב דברי הטור בשם הרשב"א דגם הוא לא תלי מידי בבישול אלא ה"ק שאין ריח המתבשלים כיון שהוא בקדרה המפסקת כ"כ אוסר</w:t>
      </w:r>
      <w:r>
        <w:rPr>
          <w:rFonts w:cs="Arial" w:hint="cs"/>
          <w:rtl/>
        </w:rPr>
        <w:t>,</w:t>
      </w:r>
      <w:r w:rsidRPr="007F7530">
        <w:rPr>
          <w:rFonts w:cs="Arial"/>
          <w:rtl/>
        </w:rPr>
        <w:t xml:space="preserve"> ובאו"ה כלל לט הבין דברי הטור כפשוטו</w:t>
      </w:r>
      <w:r>
        <w:rPr>
          <w:rFonts w:hint="cs"/>
          <w:rtl/>
        </w:rPr>
        <w:t>, ש"ך (סקט"ז).</w:t>
      </w:r>
    </w:p>
  </w:footnote>
  <w:footnote w:id="2359">
    <w:p w14:paraId="34CFE504" w14:textId="77777777" w:rsidR="004C5A3C" w:rsidRDefault="004C5A3C" w:rsidP="002C39F4">
      <w:pPr>
        <w:pStyle w:val="a5"/>
        <w:rPr>
          <w:rtl/>
        </w:rPr>
      </w:pPr>
      <w:r>
        <w:rPr>
          <w:rStyle w:val="a7"/>
        </w:rPr>
        <w:footnoteRef/>
      </w:r>
      <w:r>
        <w:rPr>
          <w:rtl/>
        </w:rPr>
        <w:t xml:space="preserve"> </w:t>
      </w:r>
      <w:r w:rsidRPr="00BD377F">
        <w:rPr>
          <w:rFonts w:cs="Arial"/>
          <w:rtl/>
        </w:rPr>
        <w:t>ואז אפילו לכתחלה מותר וכדכתב בת"ח שם דין י' ע"ש הרשב"א וכ"כ בסימני ת"ח שם וזה החילוק בין בישול לצלי והעט"ז הבין שדעת הרב דלענין ריחא אין איסור בבישול אפילו בתנור קטן וסתום ופי הקדרות מגולים אלא דהמנהג שבישול שוה לצלי בכל מילי בין ענין לכתחלה בין לענין דיעבד ולא כיון יפה עיין בת"ח שם</w:t>
      </w:r>
      <w:r>
        <w:rPr>
          <w:rFonts w:hint="cs"/>
          <w:rtl/>
        </w:rPr>
        <w:t>, ש"ך (סקי"ז).</w:t>
      </w:r>
    </w:p>
  </w:footnote>
  <w:footnote w:id="2360">
    <w:p w14:paraId="26919336" w14:textId="77777777" w:rsidR="004C5A3C" w:rsidRDefault="004C5A3C" w:rsidP="002C39F4">
      <w:pPr>
        <w:pStyle w:val="a5"/>
        <w:rPr>
          <w:rtl/>
        </w:rPr>
      </w:pPr>
      <w:r>
        <w:rPr>
          <w:rStyle w:val="a7"/>
        </w:rPr>
        <w:footnoteRef/>
      </w:r>
      <w:r>
        <w:rPr>
          <w:rtl/>
        </w:rPr>
        <w:t xml:space="preserve"> </w:t>
      </w:r>
      <w:r w:rsidRPr="00BD377F">
        <w:rPr>
          <w:rFonts w:cs="Arial"/>
          <w:rtl/>
        </w:rPr>
        <w:t xml:space="preserve">ומהרש"ל </w:t>
      </w:r>
      <w:r w:rsidRPr="00BD377F">
        <w:rPr>
          <w:rFonts w:cs="Arial" w:hint="cs"/>
          <w:sz w:val="16"/>
          <w:szCs w:val="16"/>
          <w:rtl/>
        </w:rPr>
        <w:t>(</w:t>
      </w:r>
      <w:r w:rsidRPr="00BD377F">
        <w:rPr>
          <w:rFonts w:cs="Arial"/>
          <w:sz w:val="16"/>
          <w:szCs w:val="16"/>
          <w:rtl/>
        </w:rPr>
        <w:t>באו"ש ובספרו פג"ה סי' י"ד</w:t>
      </w:r>
      <w:r>
        <w:rPr>
          <w:rFonts w:cs="Arial" w:hint="cs"/>
          <w:sz w:val="16"/>
          <w:szCs w:val="16"/>
          <w:rtl/>
        </w:rPr>
        <w:t>)</w:t>
      </w:r>
      <w:r w:rsidRPr="00BD377F">
        <w:rPr>
          <w:rFonts w:cs="Arial"/>
          <w:rtl/>
        </w:rPr>
        <w:t xml:space="preserve"> לא חילק ואוסר לעולם בתנור סתום אפילו גדול ומשמע דאוסר אף במקום הפסד מרובה ע"ש</w:t>
      </w:r>
      <w:r>
        <w:rPr>
          <w:rFonts w:cs="Arial" w:hint="cs"/>
          <w:rtl/>
        </w:rPr>
        <w:t xml:space="preserve"> </w:t>
      </w:r>
      <w:r w:rsidRPr="00BD377F">
        <w:rPr>
          <w:rFonts w:cs="Arial"/>
          <w:rtl/>
        </w:rPr>
        <w:t>טעמו</w:t>
      </w:r>
      <w:r>
        <w:rPr>
          <w:rFonts w:cs="Arial" w:hint="cs"/>
          <w:rtl/>
        </w:rPr>
        <w:t>,</w:t>
      </w:r>
      <w:r w:rsidRPr="00BD377F">
        <w:rPr>
          <w:rFonts w:cs="Arial"/>
          <w:rtl/>
        </w:rPr>
        <w:t xml:space="preserve"> והב"ח פסק כהרב</w:t>
      </w:r>
      <w:r>
        <w:rPr>
          <w:rFonts w:hint="cs"/>
          <w:rtl/>
        </w:rPr>
        <w:t>, ש"ך (סקי"ח).</w:t>
      </w:r>
    </w:p>
  </w:footnote>
  <w:footnote w:id="2361">
    <w:p w14:paraId="39C94068" w14:textId="77777777" w:rsidR="004C5A3C" w:rsidRDefault="004C5A3C" w:rsidP="002C39F4">
      <w:pPr>
        <w:pStyle w:val="a5"/>
      </w:pPr>
      <w:r>
        <w:rPr>
          <w:rStyle w:val="a7"/>
        </w:rPr>
        <w:footnoteRef/>
      </w:r>
      <w:r>
        <w:rPr>
          <w:rtl/>
        </w:rPr>
        <w:t xml:space="preserve"> </w:t>
      </w:r>
      <w:r w:rsidRPr="00BD377F">
        <w:rPr>
          <w:rFonts w:cs="Arial"/>
          <w:rtl/>
        </w:rPr>
        <w:t xml:space="preserve">נראה פירושו שהרי אנו קונין פת </w:t>
      </w:r>
      <w:r>
        <w:rPr>
          <w:rFonts w:cs="Arial" w:hint="cs"/>
          <w:rtl/>
        </w:rPr>
        <w:t>גו</w:t>
      </w:r>
      <w:r w:rsidRPr="00BD377F">
        <w:rPr>
          <w:rFonts w:cs="Arial"/>
          <w:rtl/>
        </w:rPr>
        <w:t>ים ואין להם אלא מרדה אחת שמוציא עליה איסור ג</w:t>
      </w:r>
      <w:r>
        <w:rPr>
          <w:rFonts w:cs="Arial" w:hint="cs"/>
          <w:rtl/>
        </w:rPr>
        <w:t>"</w:t>
      </w:r>
      <w:r w:rsidRPr="00BD377F">
        <w:rPr>
          <w:rFonts w:cs="Arial"/>
          <w:rtl/>
        </w:rPr>
        <w:t>כ וא</w:t>
      </w:r>
      <w:r>
        <w:rPr>
          <w:rFonts w:cs="Arial" w:hint="cs"/>
          <w:rtl/>
        </w:rPr>
        <w:t>"</w:t>
      </w:r>
      <w:r w:rsidRPr="00BD377F">
        <w:rPr>
          <w:rFonts w:cs="Arial"/>
          <w:rtl/>
        </w:rPr>
        <w:t>א להזהר מזה שהרי ה</w:t>
      </w:r>
      <w:r>
        <w:rPr>
          <w:rFonts w:cs="Arial" w:hint="cs"/>
          <w:rtl/>
        </w:rPr>
        <w:t>גו</w:t>
      </w:r>
      <w:r w:rsidRPr="00BD377F">
        <w:rPr>
          <w:rFonts w:cs="Arial"/>
          <w:rtl/>
        </w:rPr>
        <w:t>י לא ישמע לנו אם נאמר לו שיעשה מרדה חדשה תמיד ע"כ הותר גם לישראל להשתמש בה לכתחלה</w:t>
      </w:r>
      <w:r>
        <w:rPr>
          <w:rFonts w:cs="Arial" w:hint="cs"/>
          <w:rtl/>
        </w:rPr>
        <w:t>..., ט"ז (סק"ח).</w:t>
      </w:r>
    </w:p>
  </w:footnote>
  <w:footnote w:id="2362">
    <w:p w14:paraId="78B89BB0" w14:textId="77777777" w:rsidR="004C5A3C" w:rsidRDefault="004C5A3C" w:rsidP="002C39F4">
      <w:pPr>
        <w:pStyle w:val="a5"/>
        <w:rPr>
          <w:rtl/>
        </w:rPr>
      </w:pPr>
      <w:r>
        <w:rPr>
          <w:rStyle w:val="a7"/>
        </w:rPr>
        <w:footnoteRef/>
      </w:r>
      <w:r>
        <w:rPr>
          <w:rtl/>
        </w:rPr>
        <w:t xml:space="preserve"> </w:t>
      </w:r>
      <w:r w:rsidRPr="00BD377F">
        <w:rPr>
          <w:rFonts w:cs="Arial"/>
          <w:rtl/>
        </w:rPr>
        <w:t xml:space="preserve">באו"ה </w:t>
      </w:r>
      <w:r>
        <w:rPr>
          <w:rFonts w:cs="Arial" w:hint="cs"/>
          <w:rtl/>
        </w:rPr>
        <w:t>(</w:t>
      </w:r>
      <w:r w:rsidRPr="00BD377F">
        <w:rPr>
          <w:rFonts w:cs="Arial"/>
          <w:rtl/>
        </w:rPr>
        <w:t>כלל ל"ט סי' ז'</w:t>
      </w:r>
      <w:r>
        <w:rPr>
          <w:rFonts w:cs="Arial" w:hint="cs"/>
          <w:rtl/>
        </w:rPr>
        <w:t>) כ'</w:t>
      </w:r>
      <w:r w:rsidRPr="00BD377F">
        <w:rPr>
          <w:rFonts w:cs="Arial"/>
          <w:rtl/>
        </w:rPr>
        <w:t xml:space="preserve"> שאסרו אפי' בדיעבד אם הוציאו ה</w:t>
      </w:r>
      <w:r>
        <w:rPr>
          <w:rFonts w:cs="Arial" w:hint="cs"/>
          <w:rtl/>
        </w:rPr>
        <w:t>גו</w:t>
      </w:r>
      <w:r w:rsidRPr="00BD377F">
        <w:rPr>
          <w:rFonts w:cs="Arial"/>
          <w:rtl/>
        </w:rPr>
        <w:t>י</w:t>
      </w:r>
      <w:r>
        <w:rPr>
          <w:rFonts w:cs="Arial" w:hint="cs"/>
          <w:rtl/>
        </w:rPr>
        <w:t>ם</w:t>
      </w:r>
      <w:r w:rsidRPr="00BD377F">
        <w:rPr>
          <w:rFonts w:cs="Arial"/>
          <w:rtl/>
        </w:rPr>
        <w:t xml:space="preserve"> מן התנור על כלי אחד עוגות עם פשטיד"א של איסור</w:t>
      </w:r>
      <w:r>
        <w:rPr>
          <w:rFonts w:cs="Arial" w:hint="cs"/>
          <w:rtl/>
        </w:rPr>
        <w:t>,</w:t>
      </w:r>
      <w:r w:rsidRPr="00BD377F">
        <w:rPr>
          <w:rFonts w:cs="Arial"/>
          <w:rtl/>
        </w:rPr>
        <w:t xml:space="preserve"> וסיים אח</w:t>
      </w:r>
      <w:r>
        <w:rPr>
          <w:rFonts w:cs="Arial" w:hint="cs"/>
          <w:rtl/>
        </w:rPr>
        <w:t>"</w:t>
      </w:r>
      <w:r w:rsidRPr="00BD377F">
        <w:rPr>
          <w:rFonts w:cs="Arial"/>
          <w:rtl/>
        </w:rPr>
        <w:t>כ</w:t>
      </w:r>
      <w:r>
        <w:rPr>
          <w:rFonts w:cs="Arial" w:hint="cs"/>
          <w:rtl/>
        </w:rPr>
        <w:t xml:space="preserve"> </w:t>
      </w:r>
      <w:r w:rsidRPr="00BD377F">
        <w:rPr>
          <w:rFonts w:cs="Arial"/>
          <w:rtl/>
        </w:rPr>
        <w:t>מיהו לא אסר אלא הפת הראשון שידוע בבירור שהוציאוהו מיד אחר הפשטיד"א משום שמנונית של איסור שעל המרדה</w:t>
      </w:r>
      <w:r>
        <w:rPr>
          <w:rFonts w:cs="Arial" w:hint="cs"/>
          <w:rtl/>
        </w:rPr>
        <w:t>,</w:t>
      </w:r>
      <w:r w:rsidRPr="00BD377F">
        <w:rPr>
          <w:rFonts w:cs="Arial"/>
          <w:rtl/>
        </w:rPr>
        <w:t xml:space="preserve"> ואם אין מכירו חד בתרי בטל אע</w:t>
      </w:r>
      <w:r>
        <w:rPr>
          <w:rFonts w:cs="Arial" w:hint="cs"/>
          <w:rtl/>
        </w:rPr>
        <w:t>,</w:t>
      </w:r>
      <w:r w:rsidRPr="00BD377F">
        <w:rPr>
          <w:rFonts w:cs="Arial"/>
          <w:rtl/>
        </w:rPr>
        <w:t>ג דהוה ראוי להתכבד דאין איסורו מגופו ואם היא אינה בת יומא פשיטא דאינה אוסרת</w:t>
      </w:r>
      <w:r>
        <w:rPr>
          <w:rFonts w:cs="Arial" w:hint="cs"/>
          <w:rtl/>
        </w:rPr>
        <w:t>,</w:t>
      </w:r>
      <w:r w:rsidRPr="00BD377F">
        <w:rPr>
          <w:rFonts w:cs="Arial"/>
          <w:rtl/>
        </w:rPr>
        <w:t xml:space="preserve"> וכתב רש"ל </w:t>
      </w:r>
      <w:r>
        <w:rPr>
          <w:rFonts w:cs="Arial" w:hint="cs"/>
          <w:rtl/>
        </w:rPr>
        <w:t>(</w:t>
      </w:r>
      <w:r w:rsidRPr="00BD377F">
        <w:rPr>
          <w:rFonts w:cs="Arial"/>
          <w:rtl/>
        </w:rPr>
        <w:t>פ</w:t>
      </w:r>
      <w:r>
        <w:rPr>
          <w:rFonts w:cs="Arial" w:hint="cs"/>
          <w:rtl/>
        </w:rPr>
        <w:t>ג"</w:t>
      </w:r>
      <w:r w:rsidRPr="00BD377F">
        <w:rPr>
          <w:rFonts w:cs="Arial"/>
          <w:rtl/>
        </w:rPr>
        <w:t>ה סי' לט</w:t>
      </w:r>
      <w:r>
        <w:rPr>
          <w:rFonts w:cs="Arial" w:hint="cs"/>
          <w:rtl/>
        </w:rPr>
        <w:t>)</w:t>
      </w:r>
      <w:r w:rsidRPr="00BD377F">
        <w:rPr>
          <w:rFonts w:cs="Arial"/>
          <w:rtl/>
        </w:rPr>
        <w:t xml:space="preserve"> דצריך ששים בהיתר נגד האיסור שברחת</w:t>
      </w:r>
      <w:r>
        <w:rPr>
          <w:rFonts w:cs="Arial" w:hint="cs"/>
          <w:rtl/>
        </w:rPr>
        <w:t>,</w:t>
      </w:r>
      <w:r w:rsidRPr="00BD377F">
        <w:rPr>
          <w:rFonts w:cs="Arial"/>
          <w:rtl/>
        </w:rPr>
        <w:t xml:space="preserve"> והוא אזיל לטעמיה דכתבתי משמו בסי' ק"ה סעיף ט' דאף באפייה בעינן ס' כבישול ולא כרמ"א</w:t>
      </w:r>
      <w:r>
        <w:rPr>
          <w:rFonts w:cs="Arial" w:hint="cs"/>
          <w:rtl/>
        </w:rPr>
        <w:t>, ט"ז (סק"ז).</w:t>
      </w:r>
    </w:p>
  </w:footnote>
  <w:footnote w:id="2363">
    <w:p w14:paraId="5D399AD5" w14:textId="77777777" w:rsidR="004C5A3C" w:rsidRDefault="004C5A3C" w:rsidP="002C39F4">
      <w:pPr>
        <w:pStyle w:val="a5"/>
        <w:rPr>
          <w:rtl/>
        </w:rPr>
      </w:pPr>
      <w:r>
        <w:rPr>
          <w:rStyle w:val="a7"/>
        </w:rPr>
        <w:footnoteRef/>
      </w:r>
      <w:r>
        <w:rPr>
          <w:rtl/>
        </w:rPr>
        <w:t xml:space="preserve"> </w:t>
      </w:r>
      <w:r w:rsidRPr="00BD377F">
        <w:rPr>
          <w:rFonts w:cs="Arial"/>
          <w:rtl/>
        </w:rPr>
        <w:t>ולא הגעלה אחר הקליפה דמרדה דינה ככלי שתשמישו ע"י האור דנתבאר בא</w:t>
      </w:r>
      <w:r>
        <w:rPr>
          <w:rFonts w:cs="Arial" w:hint="cs"/>
          <w:rtl/>
        </w:rPr>
        <w:t>ו</w:t>
      </w:r>
      <w:r w:rsidRPr="00BD377F">
        <w:rPr>
          <w:rFonts w:cs="Arial"/>
          <w:rtl/>
        </w:rPr>
        <w:t>"ח סי</w:t>
      </w:r>
      <w:r>
        <w:rPr>
          <w:rFonts w:cs="Arial" w:hint="cs"/>
          <w:rtl/>
        </w:rPr>
        <w:t>'</w:t>
      </w:r>
      <w:r w:rsidRPr="00BD377F">
        <w:rPr>
          <w:rFonts w:cs="Arial"/>
          <w:rtl/>
        </w:rPr>
        <w:t xml:space="preserve"> תנ"א ס"ד דצריך ליבון</w:t>
      </w:r>
      <w:r>
        <w:rPr>
          <w:rFonts w:cs="Arial" w:hint="cs"/>
          <w:rtl/>
        </w:rPr>
        <w:t>,</w:t>
      </w:r>
      <w:r w:rsidRPr="00BD377F">
        <w:rPr>
          <w:rFonts w:cs="Arial"/>
          <w:rtl/>
        </w:rPr>
        <w:t xml:space="preserve"> ת</w:t>
      </w:r>
      <w:r>
        <w:rPr>
          <w:rFonts w:cs="Arial" w:hint="cs"/>
          <w:rtl/>
        </w:rPr>
        <w:t>רו</w:t>
      </w:r>
      <w:r w:rsidRPr="00BD377F">
        <w:rPr>
          <w:rFonts w:cs="Arial"/>
          <w:rtl/>
        </w:rPr>
        <w:t>ה</w:t>
      </w:r>
      <w:r>
        <w:rPr>
          <w:rFonts w:cs="Arial" w:hint="cs"/>
          <w:rtl/>
        </w:rPr>
        <w:t>"ד</w:t>
      </w:r>
      <w:r w:rsidRPr="00BD377F">
        <w:rPr>
          <w:rFonts w:cs="Arial"/>
          <w:rtl/>
        </w:rPr>
        <w:t xml:space="preserve"> שם</w:t>
      </w:r>
      <w:r>
        <w:rPr>
          <w:rFonts w:cs="Arial" w:hint="cs"/>
          <w:rtl/>
        </w:rPr>
        <w:t>,</w:t>
      </w:r>
      <w:r w:rsidRPr="00BD377F">
        <w:rPr>
          <w:rFonts w:cs="Arial"/>
          <w:rtl/>
        </w:rPr>
        <w:t xml:space="preserve"> וע"ל סי' קכ"א</w:t>
      </w:r>
      <w:r>
        <w:rPr>
          <w:rFonts w:hint="cs"/>
          <w:rtl/>
        </w:rPr>
        <w:t>, ש"ך (סק"כ).</w:t>
      </w:r>
    </w:p>
  </w:footnote>
  <w:footnote w:id="2364">
    <w:p w14:paraId="05F5CCCD" w14:textId="77777777" w:rsidR="004C5A3C" w:rsidRDefault="004C5A3C" w:rsidP="002C39F4">
      <w:pPr>
        <w:pStyle w:val="a5"/>
        <w:rPr>
          <w:rtl/>
        </w:rPr>
      </w:pPr>
      <w:r>
        <w:rPr>
          <w:rStyle w:val="a7"/>
        </w:rPr>
        <w:footnoteRef/>
      </w:r>
      <w:r>
        <w:rPr>
          <w:rtl/>
        </w:rPr>
        <w:t xml:space="preserve"> </w:t>
      </w:r>
      <w:r w:rsidRPr="00EF1888">
        <w:rPr>
          <w:rFonts w:cs="Arial"/>
          <w:rtl/>
        </w:rPr>
        <w:t>נקב נוקבים במגופת חבית להריח את היין לבודקו אם יכול להתקיים</w:t>
      </w:r>
      <w:r>
        <w:rPr>
          <w:rFonts w:cs="Arial" w:hint="cs"/>
          <w:rtl/>
        </w:rPr>
        <w:t>, רש"י</w:t>
      </w:r>
      <w:r w:rsidRPr="00EF1888">
        <w:rPr>
          <w:rFonts w:cs="Arial"/>
          <w:rtl/>
        </w:rPr>
        <w:t>.</w:t>
      </w:r>
    </w:p>
  </w:footnote>
  <w:footnote w:id="2365">
    <w:p w14:paraId="41BE8BC5" w14:textId="77777777" w:rsidR="004C5A3C" w:rsidRDefault="004C5A3C" w:rsidP="002C39F4">
      <w:pPr>
        <w:pStyle w:val="a5"/>
        <w:rPr>
          <w:rtl/>
        </w:rPr>
      </w:pPr>
      <w:r>
        <w:rPr>
          <w:rStyle w:val="a7"/>
        </w:rPr>
        <w:footnoteRef/>
      </w:r>
      <w:r>
        <w:rPr>
          <w:rtl/>
        </w:rPr>
        <w:t xml:space="preserve"> </w:t>
      </w:r>
      <w:r w:rsidRPr="00A92CAA">
        <w:rPr>
          <w:rFonts w:cs="Arial"/>
          <w:rtl/>
        </w:rPr>
        <w:t>לפי ששאבה את ריח היין</w:t>
      </w:r>
      <w:r>
        <w:rPr>
          <w:rFonts w:cs="Arial" w:hint="cs"/>
          <w:rtl/>
        </w:rPr>
        <w:t>, רש"י</w:t>
      </w:r>
      <w:r w:rsidRPr="00A92CAA">
        <w:rPr>
          <w:rFonts w:cs="Arial"/>
          <w:rtl/>
        </w:rPr>
        <w:t>.</w:t>
      </w:r>
    </w:p>
  </w:footnote>
  <w:footnote w:id="2366">
    <w:p w14:paraId="4604E05B" w14:textId="77777777" w:rsidR="004C5A3C" w:rsidRPr="00A92CAA" w:rsidRDefault="004C5A3C" w:rsidP="002C39F4">
      <w:pPr>
        <w:pStyle w:val="a5"/>
        <w:rPr>
          <w:rtl/>
        </w:rPr>
      </w:pPr>
      <w:r w:rsidRPr="00A92CAA">
        <w:rPr>
          <w:rStyle w:val="a7"/>
        </w:rPr>
        <w:footnoteRef/>
      </w:r>
      <w:r w:rsidRPr="00A92CAA">
        <w:rPr>
          <w:rtl/>
        </w:rPr>
        <w:t xml:space="preserve"> </w:t>
      </w:r>
      <w:r w:rsidRPr="00A92CAA">
        <w:rPr>
          <w:rFonts w:cs="Arial"/>
          <w:rtl/>
        </w:rPr>
        <w:t>דאמר לאו מילתא היא ודאי על כורחיה כתנאי אמרה למילתיה</w:t>
      </w:r>
      <w:r>
        <w:rPr>
          <w:rFonts w:cs="Arial" w:hint="cs"/>
          <w:rtl/>
        </w:rPr>
        <w:t>,</w:t>
      </w:r>
      <w:r w:rsidRPr="00A92CAA">
        <w:rPr>
          <w:rFonts w:cs="Arial"/>
          <w:rtl/>
        </w:rPr>
        <w:t xml:space="preserve"> ולאו דברי הכל היא דהא ר"מ אוסר</w:t>
      </w:r>
      <w:r>
        <w:rPr>
          <w:rFonts w:cs="Arial" w:hint="cs"/>
          <w:rtl/>
        </w:rPr>
        <w:t>,</w:t>
      </w:r>
      <w:r w:rsidRPr="00A92CAA">
        <w:rPr>
          <w:rFonts w:cs="Arial"/>
          <w:rtl/>
        </w:rPr>
        <w:t xml:space="preserve"> וליכא למימר איסור אלא משום ריחא</w:t>
      </w:r>
      <w:r w:rsidRPr="00A92CAA">
        <w:rPr>
          <w:rFonts w:cs="Arial" w:hint="cs"/>
          <w:rtl/>
        </w:rPr>
        <w:t>, רש"י</w:t>
      </w:r>
      <w:r w:rsidRPr="00A92CAA">
        <w:rPr>
          <w:rFonts w:cs="Arial"/>
          <w:rtl/>
        </w:rPr>
        <w:t>.</w:t>
      </w:r>
    </w:p>
  </w:footnote>
  <w:footnote w:id="2367">
    <w:p w14:paraId="441FCA17" w14:textId="77777777" w:rsidR="004C5A3C" w:rsidRPr="00A92CAA" w:rsidRDefault="004C5A3C" w:rsidP="002C39F4">
      <w:pPr>
        <w:spacing w:after="0" w:line="240" w:lineRule="auto"/>
        <w:rPr>
          <w:sz w:val="20"/>
          <w:szCs w:val="20"/>
          <w:rtl/>
        </w:rPr>
      </w:pPr>
      <w:r w:rsidRPr="00A92CAA">
        <w:rPr>
          <w:rStyle w:val="a7"/>
        </w:rPr>
        <w:footnoteRef/>
      </w:r>
      <w:r w:rsidRPr="00A92CAA">
        <w:rPr>
          <w:sz w:val="20"/>
          <w:szCs w:val="20"/>
          <w:rtl/>
        </w:rPr>
        <w:t xml:space="preserve"> </w:t>
      </w:r>
      <w:r w:rsidRPr="00A92CAA">
        <w:rPr>
          <w:rFonts w:cs="Arial"/>
          <w:sz w:val="20"/>
          <w:szCs w:val="20"/>
          <w:rtl/>
        </w:rPr>
        <w:t>מי אמרינן ר' יהודה לית ליה דאביי או דלמא לעולם אית ליה וטעמא דרבי יהודה הכא דקסבר אין ריח היין נכנס בפת אבל בבת תיהא דריח נסך נכנס בגוף מודי</w:t>
      </w:r>
      <w:r w:rsidRPr="00A92CAA">
        <w:rPr>
          <w:rFonts w:hint="cs"/>
          <w:sz w:val="20"/>
          <w:szCs w:val="20"/>
          <w:rtl/>
        </w:rPr>
        <w:t>, רש"י.</w:t>
      </w:r>
    </w:p>
  </w:footnote>
  <w:footnote w:id="2368">
    <w:p w14:paraId="1298B5B1" w14:textId="77777777" w:rsidR="004C5A3C" w:rsidRDefault="004C5A3C" w:rsidP="002C39F4">
      <w:pPr>
        <w:pStyle w:val="a5"/>
        <w:rPr>
          <w:rtl/>
        </w:rPr>
      </w:pPr>
      <w:r>
        <w:rPr>
          <w:rStyle w:val="a7"/>
        </w:rPr>
        <w:footnoteRef/>
      </w:r>
      <w:r>
        <w:rPr>
          <w:rtl/>
        </w:rPr>
        <w:t xml:space="preserve"> </w:t>
      </w:r>
      <w:r w:rsidRPr="00A92CAA">
        <w:rPr>
          <w:rFonts w:cs="Arial"/>
          <w:rtl/>
        </w:rPr>
        <w:t>דודאי עייל בה ריחא</w:t>
      </w:r>
      <w:r>
        <w:rPr>
          <w:rFonts w:cs="Arial" w:hint="cs"/>
          <w:rtl/>
        </w:rPr>
        <w:t>, רש"י</w:t>
      </w:r>
      <w:r w:rsidRPr="00A92CAA">
        <w:rPr>
          <w:rFonts w:cs="Arial"/>
          <w:rtl/>
        </w:rPr>
        <w:t>.</w:t>
      </w:r>
    </w:p>
  </w:footnote>
  <w:footnote w:id="2369">
    <w:p w14:paraId="077EF8E8" w14:textId="77777777" w:rsidR="004C5A3C" w:rsidRPr="00A92CAA" w:rsidRDefault="004C5A3C" w:rsidP="002C39F4">
      <w:pPr>
        <w:pStyle w:val="a5"/>
        <w:rPr>
          <w:rtl/>
        </w:rPr>
      </w:pPr>
      <w:r w:rsidRPr="00A92CAA">
        <w:rPr>
          <w:rStyle w:val="a7"/>
        </w:rPr>
        <w:footnoteRef/>
      </w:r>
      <w:r w:rsidRPr="00A92CAA">
        <w:rPr>
          <w:rtl/>
        </w:rPr>
        <w:t xml:space="preserve"> </w:t>
      </w:r>
      <w:r w:rsidRPr="00A92CAA">
        <w:rPr>
          <w:rFonts w:cs="Arial"/>
          <w:rtl/>
        </w:rPr>
        <w:t>האי בת תיהא דאסרנא כפת חמה וחבית פתוחה דמי</w:t>
      </w:r>
      <w:r w:rsidRPr="00A92CAA">
        <w:rPr>
          <w:rFonts w:cs="Arial" w:hint="cs"/>
          <w:rtl/>
        </w:rPr>
        <w:t>, רש"י</w:t>
      </w:r>
      <w:r w:rsidRPr="00A92CAA">
        <w:rPr>
          <w:rFonts w:cs="Arial"/>
          <w:rtl/>
        </w:rPr>
        <w:t>.</w:t>
      </w:r>
    </w:p>
  </w:footnote>
  <w:footnote w:id="2370">
    <w:p w14:paraId="2D1F9933" w14:textId="77777777" w:rsidR="004C5A3C" w:rsidRDefault="004C5A3C" w:rsidP="002C39F4">
      <w:pPr>
        <w:pStyle w:val="a5"/>
      </w:pPr>
      <w:r>
        <w:rPr>
          <w:rStyle w:val="a7"/>
        </w:rPr>
        <w:footnoteRef/>
      </w:r>
      <w:r>
        <w:rPr>
          <w:rtl/>
        </w:rPr>
        <w:t xml:space="preserve"> </w:t>
      </w:r>
      <w:r w:rsidRPr="00111B39">
        <w:rPr>
          <w:rFonts w:cs="Arial"/>
          <w:rtl/>
        </w:rPr>
        <w:t>פירוש אפילו סתם יינם או שאר יין נסך שמותר בהנאה</w:t>
      </w:r>
      <w:r>
        <w:rPr>
          <w:rFonts w:cs="Arial" w:hint="cs"/>
          <w:rtl/>
        </w:rPr>
        <w:t>,</w:t>
      </w:r>
      <w:r w:rsidRPr="00111B39">
        <w:rPr>
          <w:rFonts w:cs="Arial"/>
          <w:rtl/>
        </w:rPr>
        <w:t xml:space="preserve"> משום דריח כי האי חשיב כאוכל</w:t>
      </w:r>
      <w:r>
        <w:rPr>
          <w:rFonts w:cs="Arial" w:hint="cs"/>
          <w:rtl/>
        </w:rPr>
        <w:t>,</w:t>
      </w:r>
      <w:r w:rsidRPr="00111B39">
        <w:rPr>
          <w:rFonts w:cs="Arial"/>
          <w:rtl/>
        </w:rPr>
        <w:t xml:space="preserve"> כמ"ש בפרק בתרא דע</w:t>
      </w:r>
      <w:r>
        <w:rPr>
          <w:rFonts w:cs="Arial" w:hint="cs"/>
          <w:rtl/>
        </w:rPr>
        <w:t>"ז</w:t>
      </w:r>
      <w:r w:rsidRPr="00111B39">
        <w:rPr>
          <w:rFonts w:cs="Arial"/>
          <w:rtl/>
        </w:rPr>
        <w:t xml:space="preserve"> דריח זה חשיב כאוכל</w:t>
      </w:r>
      <w:r>
        <w:rPr>
          <w:rFonts w:cs="Arial" w:hint="cs"/>
          <w:rtl/>
        </w:rPr>
        <w:t>,</w:t>
      </w:r>
      <w:r w:rsidRPr="00111B39">
        <w:rPr>
          <w:rFonts w:cs="Arial"/>
          <w:rtl/>
        </w:rPr>
        <w:t xml:space="preserve"> והכי מוכח בש"ס דאיתא התם דין זה גבי יין של תרומה דמותר בהנאה</w:t>
      </w:r>
      <w:r>
        <w:rPr>
          <w:rFonts w:cs="Arial" w:hint="cs"/>
          <w:rtl/>
        </w:rPr>
        <w:t>, ש"ך (סקכ"ב).</w:t>
      </w:r>
    </w:p>
  </w:footnote>
  <w:footnote w:id="2371">
    <w:p w14:paraId="304506DB" w14:textId="77777777" w:rsidR="004C5A3C" w:rsidRDefault="004C5A3C" w:rsidP="002C39F4">
      <w:pPr>
        <w:pStyle w:val="a5"/>
        <w:rPr>
          <w:rtl/>
        </w:rPr>
      </w:pPr>
      <w:r>
        <w:rPr>
          <w:rStyle w:val="a7"/>
        </w:rPr>
        <w:footnoteRef/>
      </w:r>
      <w:r>
        <w:rPr>
          <w:rtl/>
        </w:rPr>
        <w:t xml:space="preserve"> </w:t>
      </w:r>
      <w:r w:rsidRPr="00111B39">
        <w:rPr>
          <w:rFonts w:cs="Arial"/>
          <w:rtl/>
        </w:rPr>
        <w:t>אסור מפני ששואב הריח של יין</w:t>
      </w:r>
      <w:r>
        <w:rPr>
          <w:rFonts w:cs="Arial" w:hint="cs"/>
          <w:rtl/>
        </w:rPr>
        <w:t>,</w:t>
      </w:r>
      <w:r w:rsidRPr="00111B39">
        <w:rPr>
          <w:rFonts w:cs="Arial"/>
          <w:rtl/>
        </w:rPr>
        <w:t xml:space="preserve"> וא</w:t>
      </w:r>
      <w:r>
        <w:rPr>
          <w:rFonts w:cs="Arial" w:hint="cs"/>
          <w:rtl/>
        </w:rPr>
        <w:t>ע"ג</w:t>
      </w:r>
      <w:r w:rsidRPr="00111B39">
        <w:rPr>
          <w:rFonts w:cs="Arial"/>
          <w:rtl/>
        </w:rPr>
        <w:t xml:space="preserve"> דלעיל סע</w:t>
      </w:r>
      <w:r>
        <w:rPr>
          <w:rFonts w:cs="Arial" w:hint="cs"/>
          <w:rtl/>
        </w:rPr>
        <w:t>'</w:t>
      </w:r>
      <w:r w:rsidRPr="00111B39">
        <w:rPr>
          <w:rFonts w:cs="Arial"/>
          <w:rtl/>
        </w:rPr>
        <w:t xml:space="preserve"> א' כתב ואם צלאן ה"ז מותר</w:t>
      </w:r>
      <w:r>
        <w:rPr>
          <w:rFonts w:cs="Arial" w:hint="cs"/>
          <w:rtl/>
        </w:rPr>
        <w:t>,</w:t>
      </w:r>
      <w:r w:rsidRPr="00111B39">
        <w:rPr>
          <w:rFonts w:cs="Arial"/>
          <w:rtl/>
        </w:rPr>
        <w:t xml:space="preserve"> והפוסקים מדמים ב' דינים אלו להדדי</w:t>
      </w:r>
      <w:r>
        <w:rPr>
          <w:rFonts w:cs="Arial" w:hint="cs"/>
          <w:rtl/>
        </w:rPr>
        <w:t>,</w:t>
      </w:r>
      <w:r w:rsidRPr="00111B39">
        <w:rPr>
          <w:rFonts w:cs="Arial"/>
          <w:rtl/>
        </w:rPr>
        <w:t xml:space="preserve"> מ"מ הא התוס' והרא"ש כתבו להדיא בפרק בתרא דע</w:t>
      </w:r>
      <w:r>
        <w:rPr>
          <w:rFonts w:cs="Arial" w:hint="cs"/>
          <w:rtl/>
        </w:rPr>
        <w:t>"ז</w:t>
      </w:r>
      <w:r w:rsidRPr="00111B39">
        <w:rPr>
          <w:rFonts w:cs="Arial"/>
          <w:rtl/>
        </w:rPr>
        <w:t xml:space="preserve"> </w:t>
      </w:r>
      <w:r w:rsidRPr="00111B39">
        <w:rPr>
          <w:rFonts w:cs="Arial" w:hint="cs"/>
          <w:sz w:val="16"/>
          <w:szCs w:val="16"/>
          <w:rtl/>
        </w:rPr>
        <w:t>(</w:t>
      </w:r>
      <w:r w:rsidRPr="00111B39">
        <w:rPr>
          <w:rFonts w:cs="Arial"/>
          <w:sz w:val="16"/>
          <w:szCs w:val="16"/>
          <w:rtl/>
        </w:rPr>
        <w:t>ס</w:t>
      </w:r>
      <w:r>
        <w:rPr>
          <w:rFonts w:cs="Arial" w:hint="cs"/>
          <w:sz w:val="16"/>
          <w:szCs w:val="16"/>
          <w:rtl/>
        </w:rPr>
        <w:t>ו:</w:t>
      </w:r>
      <w:r w:rsidRPr="00111B39">
        <w:rPr>
          <w:rFonts w:cs="Arial" w:hint="cs"/>
          <w:sz w:val="16"/>
          <w:szCs w:val="16"/>
          <w:rtl/>
        </w:rPr>
        <w:t>)</w:t>
      </w:r>
      <w:r w:rsidRPr="00111B39">
        <w:rPr>
          <w:rFonts w:cs="Arial"/>
          <w:sz w:val="16"/>
          <w:szCs w:val="16"/>
          <w:rtl/>
        </w:rPr>
        <w:t xml:space="preserve"> </w:t>
      </w:r>
      <w:r w:rsidRPr="00111B39">
        <w:rPr>
          <w:rFonts w:cs="Arial"/>
          <w:rtl/>
        </w:rPr>
        <w:t>דל"ד להדדי</w:t>
      </w:r>
      <w:r>
        <w:rPr>
          <w:rFonts w:cs="Arial" w:hint="cs"/>
          <w:rtl/>
        </w:rPr>
        <w:t>,</w:t>
      </w:r>
      <w:r w:rsidRPr="00111B39">
        <w:rPr>
          <w:rFonts w:cs="Arial"/>
          <w:rtl/>
        </w:rPr>
        <w:t xml:space="preserve"> וכן הוא בראב"ן</w:t>
      </w:r>
      <w:r>
        <w:rPr>
          <w:rFonts w:cs="Arial" w:hint="cs"/>
          <w:rtl/>
        </w:rPr>
        <w:t xml:space="preserve"> </w:t>
      </w:r>
      <w:r w:rsidRPr="00111B39">
        <w:rPr>
          <w:rFonts w:cs="Arial" w:hint="cs"/>
          <w:sz w:val="16"/>
          <w:szCs w:val="16"/>
          <w:rtl/>
        </w:rPr>
        <w:t>(פסחים קסד.)</w:t>
      </w:r>
      <w:r w:rsidRPr="00111B39">
        <w:rPr>
          <w:rFonts w:cs="Arial"/>
          <w:rtl/>
        </w:rPr>
        <w:t xml:space="preserve"> ובשא</w:t>
      </w:r>
      <w:r>
        <w:rPr>
          <w:rFonts w:cs="Arial" w:hint="cs"/>
          <w:rtl/>
        </w:rPr>
        <w:t>"</w:t>
      </w:r>
      <w:r w:rsidRPr="00111B39">
        <w:rPr>
          <w:rFonts w:cs="Arial"/>
          <w:rtl/>
        </w:rPr>
        <w:t>פ ואחרונים</w:t>
      </w:r>
      <w:r>
        <w:rPr>
          <w:rFonts w:hint="cs"/>
          <w:rtl/>
        </w:rPr>
        <w:t xml:space="preserve">, ש"ך </w:t>
      </w:r>
      <w:r w:rsidRPr="00111B39">
        <w:rPr>
          <w:rFonts w:hint="cs"/>
          <w:sz w:val="16"/>
          <w:szCs w:val="16"/>
          <w:rtl/>
        </w:rPr>
        <w:t>(סקכ"א)</w:t>
      </w:r>
      <w:r>
        <w:rPr>
          <w:rFonts w:hint="cs"/>
          <w:rtl/>
        </w:rPr>
        <w:t>.</w:t>
      </w:r>
    </w:p>
  </w:footnote>
  <w:footnote w:id="2372">
    <w:p w14:paraId="6324C46A" w14:textId="77777777" w:rsidR="004C5A3C" w:rsidRDefault="004C5A3C" w:rsidP="002C39F4">
      <w:pPr>
        <w:pStyle w:val="a5"/>
      </w:pPr>
      <w:r>
        <w:rPr>
          <w:rStyle w:val="a7"/>
        </w:rPr>
        <w:footnoteRef/>
      </w:r>
      <w:r>
        <w:rPr>
          <w:rtl/>
        </w:rPr>
        <w:t xml:space="preserve"> </w:t>
      </w:r>
      <w:r w:rsidRPr="00111B39">
        <w:rPr>
          <w:rFonts w:cs="Arial"/>
          <w:rtl/>
        </w:rPr>
        <w:t xml:space="preserve">ה"ה בחבית פתוחה ופת צוננת כדאיתא בש"ס פכ"צ </w:t>
      </w:r>
      <w:r>
        <w:rPr>
          <w:rFonts w:cs="Arial" w:hint="cs"/>
          <w:rtl/>
        </w:rPr>
        <w:t>(</w:t>
      </w:r>
      <w:r w:rsidRPr="00111B39">
        <w:rPr>
          <w:rFonts w:cs="Arial"/>
          <w:rtl/>
        </w:rPr>
        <w:t>עו</w:t>
      </w:r>
      <w:r>
        <w:rPr>
          <w:rFonts w:cs="Arial" w:hint="cs"/>
          <w:rtl/>
        </w:rPr>
        <w:t>.)</w:t>
      </w:r>
      <w:r w:rsidRPr="00111B39">
        <w:rPr>
          <w:rFonts w:cs="Arial"/>
          <w:rtl/>
        </w:rPr>
        <w:t xml:space="preserve"> ופ' בתרא דע</w:t>
      </w:r>
      <w:r>
        <w:rPr>
          <w:rFonts w:cs="Arial" w:hint="cs"/>
          <w:rtl/>
        </w:rPr>
        <w:t>"ז</w:t>
      </w:r>
      <w:r w:rsidRPr="00111B39">
        <w:rPr>
          <w:rFonts w:cs="Arial"/>
          <w:rtl/>
        </w:rPr>
        <w:t xml:space="preserve"> </w:t>
      </w:r>
      <w:r>
        <w:rPr>
          <w:rFonts w:cs="Arial" w:hint="cs"/>
          <w:rtl/>
        </w:rPr>
        <w:t>(</w:t>
      </w:r>
      <w:r w:rsidRPr="00111B39">
        <w:rPr>
          <w:rFonts w:cs="Arial"/>
          <w:rtl/>
        </w:rPr>
        <w:t>סו</w:t>
      </w:r>
      <w:r>
        <w:rPr>
          <w:rFonts w:cs="Arial" w:hint="cs"/>
          <w:rtl/>
        </w:rPr>
        <w:t xml:space="preserve">:), </w:t>
      </w:r>
      <w:r w:rsidRPr="00111B39">
        <w:rPr>
          <w:rFonts w:cs="Arial"/>
          <w:rtl/>
        </w:rPr>
        <w:t>וכן משמע בסימני ת"ח שם די"א</w:t>
      </w:r>
      <w:r>
        <w:rPr>
          <w:rFonts w:cs="Arial" w:hint="cs"/>
          <w:rtl/>
        </w:rPr>
        <w:t>, ש"ך (סקכ"ג).</w:t>
      </w:r>
    </w:p>
  </w:footnote>
  <w:footnote w:id="2373">
    <w:p w14:paraId="149013F1" w14:textId="77777777" w:rsidR="004C5A3C" w:rsidRDefault="004C5A3C" w:rsidP="002C39F4">
      <w:pPr>
        <w:pStyle w:val="a5"/>
        <w:rPr>
          <w:rtl/>
        </w:rPr>
      </w:pPr>
      <w:r>
        <w:rPr>
          <w:rStyle w:val="a7"/>
        </w:rPr>
        <w:footnoteRef/>
      </w:r>
      <w:r>
        <w:rPr>
          <w:rtl/>
        </w:rPr>
        <w:t xml:space="preserve"> </w:t>
      </w:r>
      <w:r w:rsidRPr="00EF1888">
        <w:rPr>
          <w:rFonts w:cs="Arial"/>
          <w:rtl/>
        </w:rPr>
        <w:t>נקב נוקבים במגופת חבית להריח את היין לבודקו אם יכול להתקיים</w:t>
      </w:r>
      <w:r>
        <w:rPr>
          <w:rFonts w:cs="Arial" w:hint="cs"/>
          <w:rtl/>
        </w:rPr>
        <w:t>, רש"י</w:t>
      </w:r>
      <w:r w:rsidRPr="00EF1888">
        <w:rPr>
          <w:rFonts w:cs="Arial"/>
          <w:rtl/>
        </w:rPr>
        <w:t>.</w:t>
      </w:r>
    </w:p>
  </w:footnote>
  <w:footnote w:id="2374">
    <w:p w14:paraId="7659BA92" w14:textId="77777777" w:rsidR="004C5A3C" w:rsidRDefault="004C5A3C" w:rsidP="002C39F4">
      <w:pPr>
        <w:pStyle w:val="a5"/>
      </w:pPr>
      <w:r>
        <w:rPr>
          <w:rStyle w:val="a7"/>
        </w:rPr>
        <w:footnoteRef/>
      </w:r>
      <w:r>
        <w:rPr>
          <w:rtl/>
        </w:rPr>
        <w:t xml:space="preserve"> </w:t>
      </w:r>
      <w:r w:rsidRPr="00F03958">
        <w:rPr>
          <w:rFonts w:cs="Arial"/>
          <w:rtl/>
        </w:rPr>
        <w:t>דלא גרע מריחא מילתא</w:t>
      </w:r>
      <w:r>
        <w:rPr>
          <w:rFonts w:cs="Arial" w:hint="cs"/>
          <w:rtl/>
        </w:rPr>
        <w:t>, ריב"ש.</w:t>
      </w:r>
      <w:r>
        <w:rPr>
          <w:rFonts w:hint="cs"/>
          <w:rtl/>
        </w:rPr>
        <w:t xml:space="preserve"> ו</w:t>
      </w:r>
      <w:r w:rsidRPr="00F03958">
        <w:rPr>
          <w:rFonts w:cs="Arial"/>
          <w:rtl/>
        </w:rPr>
        <w:t>כ'</w:t>
      </w:r>
      <w:r>
        <w:rPr>
          <w:rFonts w:cs="Arial" w:hint="cs"/>
          <w:rtl/>
        </w:rPr>
        <w:t xml:space="preserve"> עוד</w:t>
      </w:r>
      <w:r w:rsidRPr="00F03958">
        <w:rPr>
          <w:rFonts w:cs="Arial"/>
          <w:rtl/>
        </w:rPr>
        <w:t xml:space="preserve"> </w:t>
      </w:r>
      <w:r w:rsidRPr="00F03958">
        <w:rPr>
          <w:rFonts w:cs="Arial" w:hint="cs"/>
          <w:sz w:val="16"/>
          <w:szCs w:val="16"/>
          <w:rtl/>
        </w:rPr>
        <w:t>(</w:t>
      </w:r>
      <w:r>
        <w:rPr>
          <w:rFonts w:cs="Arial" w:hint="cs"/>
          <w:sz w:val="16"/>
          <w:szCs w:val="16"/>
          <w:rtl/>
        </w:rPr>
        <w:t xml:space="preserve">הביאו הש"ך </w:t>
      </w:r>
      <w:r w:rsidRPr="00F03958">
        <w:rPr>
          <w:rFonts w:cs="Arial" w:hint="cs"/>
          <w:sz w:val="16"/>
          <w:szCs w:val="16"/>
          <w:rtl/>
        </w:rPr>
        <w:t>סקכ"ד)</w:t>
      </w:r>
      <w:r>
        <w:rPr>
          <w:rFonts w:cs="Arial" w:hint="cs"/>
          <w:rtl/>
        </w:rPr>
        <w:t xml:space="preserve"> </w:t>
      </w:r>
      <w:r w:rsidRPr="00F03958">
        <w:rPr>
          <w:rFonts w:cs="Arial"/>
          <w:rtl/>
        </w:rPr>
        <w:t>דבכל איסורי אכילה אפי' שאינם אסורים בהנאה נמי אסור לטועמן</w:t>
      </w:r>
      <w:r>
        <w:rPr>
          <w:rFonts w:cs="Arial" w:hint="cs"/>
          <w:rtl/>
        </w:rPr>
        <w:t>.</w:t>
      </w:r>
      <w:r>
        <w:rPr>
          <w:rFonts w:hint="cs"/>
          <w:rtl/>
        </w:rPr>
        <w:t xml:space="preserve"> וכ"כ הט"ז (סק"ט).</w:t>
      </w:r>
    </w:p>
  </w:footnote>
  <w:footnote w:id="2375">
    <w:p w14:paraId="6B5771D1" w14:textId="77777777" w:rsidR="004C5A3C" w:rsidRDefault="004C5A3C" w:rsidP="002C39F4">
      <w:pPr>
        <w:pStyle w:val="a5"/>
      </w:pPr>
      <w:r>
        <w:rPr>
          <w:rStyle w:val="a7"/>
        </w:rPr>
        <w:footnoteRef/>
      </w:r>
      <w:r>
        <w:rPr>
          <w:rtl/>
        </w:rPr>
        <w:t xml:space="preserve"> </w:t>
      </w:r>
      <w:r w:rsidRPr="0068299E">
        <w:rPr>
          <w:rFonts w:cs="Arial"/>
          <w:rtl/>
        </w:rPr>
        <w:t>צ"ע דלקמן ר"ס קכג כתב דיש לאסור סתם יינם לכתחלה בהנאה</w:t>
      </w:r>
      <w:r>
        <w:rPr>
          <w:rFonts w:cs="Arial" w:hint="cs"/>
          <w:rtl/>
        </w:rPr>
        <w:t>,</w:t>
      </w:r>
      <w:r w:rsidRPr="0068299E">
        <w:rPr>
          <w:rFonts w:cs="Arial"/>
          <w:rtl/>
        </w:rPr>
        <w:t xml:space="preserve"> ובדברי התוס' פ' בתרא דע</w:t>
      </w:r>
      <w:r>
        <w:rPr>
          <w:rFonts w:cs="Arial" w:hint="cs"/>
          <w:rtl/>
        </w:rPr>
        <w:t>"ז</w:t>
      </w:r>
      <w:r w:rsidRPr="0068299E">
        <w:rPr>
          <w:rFonts w:cs="Arial"/>
          <w:rtl/>
        </w:rPr>
        <w:t xml:space="preserve"> </w:t>
      </w:r>
      <w:r w:rsidRPr="001F2A51">
        <w:rPr>
          <w:rFonts w:cs="Arial" w:hint="cs"/>
          <w:sz w:val="16"/>
          <w:szCs w:val="16"/>
          <w:rtl/>
        </w:rPr>
        <w:t>(ס</w:t>
      </w:r>
      <w:r w:rsidRPr="001F2A51">
        <w:rPr>
          <w:rFonts w:cs="Arial"/>
          <w:sz w:val="16"/>
          <w:szCs w:val="16"/>
          <w:rtl/>
        </w:rPr>
        <w:t>ו</w:t>
      </w:r>
      <w:r w:rsidRPr="001F2A51">
        <w:rPr>
          <w:rFonts w:cs="Arial" w:hint="cs"/>
          <w:sz w:val="16"/>
          <w:szCs w:val="16"/>
          <w:rtl/>
        </w:rPr>
        <w:t>:</w:t>
      </w:r>
      <w:r w:rsidRPr="001F2A51">
        <w:rPr>
          <w:rFonts w:cs="Arial"/>
          <w:sz w:val="16"/>
          <w:szCs w:val="16"/>
          <w:rtl/>
        </w:rPr>
        <w:t xml:space="preserve"> ד"ה אביי</w:t>
      </w:r>
      <w:r w:rsidRPr="001F2A51">
        <w:rPr>
          <w:rFonts w:cs="Arial" w:hint="cs"/>
          <w:sz w:val="16"/>
          <w:szCs w:val="16"/>
          <w:rtl/>
        </w:rPr>
        <w:t>)</w:t>
      </w:r>
      <w:r w:rsidRPr="001F2A51">
        <w:rPr>
          <w:rFonts w:cs="Arial"/>
          <w:sz w:val="16"/>
          <w:szCs w:val="16"/>
          <w:rtl/>
        </w:rPr>
        <w:t xml:space="preserve"> </w:t>
      </w:r>
      <w:r w:rsidRPr="0068299E">
        <w:rPr>
          <w:rFonts w:cs="Arial"/>
          <w:rtl/>
        </w:rPr>
        <w:t>מבואר דזילוף חשיב הנאה גמורה ואסור לכ</w:t>
      </w:r>
      <w:r>
        <w:rPr>
          <w:rFonts w:cs="Arial" w:hint="cs"/>
          <w:rtl/>
        </w:rPr>
        <w:t>ו"</w:t>
      </w:r>
      <w:r w:rsidRPr="0068299E">
        <w:rPr>
          <w:rFonts w:cs="Arial"/>
          <w:rtl/>
        </w:rPr>
        <w:t xml:space="preserve">ע ביין האסור בהנאה </w:t>
      </w:r>
      <w:r w:rsidRPr="001F2A51">
        <w:rPr>
          <w:rFonts w:cs="Arial"/>
          <w:sz w:val="16"/>
          <w:szCs w:val="16"/>
          <w:rtl/>
        </w:rPr>
        <w:t>(וכ"פ הרשב"א בתשו' ומביאו ב"י לקמן ר"ס קכג דזילוף הוא הנאה גמורה ואסור בסתם יינם ע"ש)</w:t>
      </w:r>
      <w:r>
        <w:rPr>
          <w:rFonts w:cs="Arial" w:hint="cs"/>
          <w:rtl/>
        </w:rPr>
        <w:t>,</w:t>
      </w:r>
      <w:r w:rsidRPr="0068299E">
        <w:rPr>
          <w:rFonts w:cs="Arial"/>
          <w:rtl/>
        </w:rPr>
        <w:t xml:space="preserve"> ויש ליישב בדוחק</w:t>
      </w:r>
      <w:r>
        <w:rPr>
          <w:rFonts w:cs="Arial" w:hint="cs"/>
          <w:rtl/>
        </w:rPr>
        <w:t>,</w:t>
      </w:r>
      <w:r w:rsidRPr="0068299E">
        <w:rPr>
          <w:rFonts w:cs="Arial"/>
          <w:rtl/>
        </w:rPr>
        <w:t xml:space="preserve"> וע"ל ס"ס קנ"ה</w:t>
      </w:r>
      <w:r>
        <w:rPr>
          <w:rFonts w:cs="Arial" w:hint="cs"/>
          <w:rtl/>
        </w:rPr>
        <w:t>, ש"ך (סקכ"ה).</w:t>
      </w:r>
    </w:p>
  </w:footnote>
  <w:footnote w:id="2376">
    <w:p w14:paraId="14B645A8" w14:textId="77777777" w:rsidR="004C5A3C" w:rsidRDefault="004C5A3C" w:rsidP="002C39F4">
      <w:pPr>
        <w:pStyle w:val="a5"/>
      </w:pPr>
      <w:r>
        <w:rPr>
          <w:rStyle w:val="a7"/>
        </w:rPr>
        <w:footnoteRef/>
      </w:r>
      <w:r>
        <w:rPr>
          <w:rtl/>
        </w:rPr>
        <w:t xml:space="preserve"> </w:t>
      </w:r>
      <w:r>
        <w:rPr>
          <w:rFonts w:hint="cs"/>
          <w:rtl/>
        </w:rPr>
        <w:t>וכ' הט"ז (סק"י) דמכאן משמע דשאר פלפלין מותר לברך עליהם בהבדלה. אך הש"ך (נה"כ אות ב) חלק עליו וכ' שאין לברך עליהם בהבדלה.</w:t>
      </w:r>
    </w:p>
  </w:footnote>
  <w:footnote w:id="2377">
    <w:p w14:paraId="2F9AF2B5" w14:textId="77777777" w:rsidR="004C5A3C" w:rsidRDefault="004C5A3C" w:rsidP="002C39F4">
      <w:pPr>
        <w:pStyle w:val="a5"/>
        <w:rPr>
          <w:rtl/>
        </w:rPr>
      </w:pPr>
      <w:r>
        <w:rPr>
          <w:rStyle w:val="a7"/>
        </w:rPr>
        <w:footnoteRef/>
      </w:r>
      <w:r>
        <w:rPr>
          <w:rtl/>
        </w:rPr>
        <w:t xml:space="preserve"> </w:t>
      </w:r>
      <w:r w:rsidRPr="001F2A51">
        <w:rPr>
          <w:rFonts w:cs="Arial"/>
          <w:rtl/>
        </w:rPr>
        <w:t>ודרך העובדי כוכבים להיות להם יום שוק ויריד ביום אידם</w:t>
      </w:r>
      <w:r>
        <w:rPr>
          <w:rFonts w:cs="Arial" w:hint="cs"/>
          <w:rtl/>
        </w:rPr>
        <w:t>, רש"י</w:t>
      </w:r>
      <w:r w:rsidRPr="001F2A51">
        <w:rPr>
          <w:rFonts w:cs="Arial"/>
          <w:rtl/>
        </w:rPr>
        <w:t>.</w:t>
      </w:r>
    </w:p>
  </w:footnote>
  <w:footnote w:id="2378">
    <w:p w14:paraId="665DD7D4" w14:textId="77777777" w:rsidR="004C5A3C" w:rsidRDefault="004C5A3C" w:rsidP="002C39F4">
      <w:pPr>
        <w:pStyle w:val="a5"/>
      </w:pPr>
      <w:r>
        <w:rPr>
          <w:rStyle w:val="a7"/>
        </w:rPr>
        <w:footnoteRef/>
      </w:r>
      <w:r>
        <w:rPr>
          <w:rtl/>
        </w:rPr>
        <w:t xml:space="preserve"> </w:t>
      </w:r>
      <w:r w:rsidRPr="001F2A51">
        <w:rPr>
          <w:rFonts w:cs="Arial"/>
          <w:rtl/>
        </w:rPr>
        <w:t>וסימן הוא להם שאותן חנויות של עבודת כוכבים הם ליטול מהם מכס</w:t>
      </w:r>
      <w:r>
        <w:rPr>
          <w:rFonts w:cs="Arial" w:hint="cs"/>
          <w:rtl/>
        </w:rPr>
        <w:t>, רש"י</w:t>
      </w:r>
      <w:r w:rsidRPr="001F2A51">
        <w:rPr>
          <w:rFonts w:cs="Arial"/>
          <w:rtl/>
        </w:rPr>
        <w:t>.</w:t>
      </w:r>
    </w:p>
  </w:footnote>
  <w:footnote w:id="2379">
    <w:p w14:paraId="392DC432" w14:textId="77777777" w:rsidR="004C5A3C" w:rsidRDefault="004C5A3C" w:rsidP="002C39F4">
      <w:pPr>
        <w:pStyle w:val="a5"/>
      </w:pPr>
      <w:r>
        <w:rPr>
          <w:rStyle w:val="a7"/>
        </w:rPr>
        <w:footnoteRef/>
      </w:r>
      <w:r>
        <w:rPr>
          <w:rtl/>
        </w:rPr>
        <w:t xml:space="preserve"> </w:t>
      </w:r>
      <w:r w:rsidRPr="000F0A81">
        <w:rPr>
          <w:rFonts w:cs="Arial"/>
          <w:rtl/>
        </w:rPr>
        <w:t>דבאותן שאין מעוטרות לא שקלי מינייהו מכסא לעבודת כוכבים ולא מטיא לעבודת כוכבים הנאה מינייהו ואי משום דנושא ונותן ביום אידם ה"מ לזבוני להו דלמא מזבן ליה בהמה ואזיל ומקריב לה לעבודת כוכבים אי נמי דרך לוקח להיות שמח ואזיל ומודי אבל למזבן מינייהו דבר המתקיים שרי דסתם מוכר עצב הוא</w:t>
      </w:r>
      <w:r>
        <w:rPr>
          <w:rFonts w:cs="Arial" w:hint="cs"/>
          <w:rtl/>
        </w:rPr>
        <w:t>, רש"י</w:t>
      </w:r>
      <w:r w:rsidRPr="000F0A81">
        <w:rPr>
          <w:rFonts w:cs="Arial"/>
          <w:rtl/>
        </w:rPr>
        <w:t>.</w:t>
      </w:r>
    </w:p>
  </w:footnote>
  <w:footnote w:id="2380">
    <w:p w14:paraId="2BCC8663" w14:textId="77777777" w:rsidR="004C5A3C" w:rsidRDefault="004C5A3C" w:rsidP="002C39F4">
      <w:pPr>
        <w:pStyle w:val="a5"/>
        <w:rPr>
          <w:rtl/>
        </w:rPr>
      </w:pPr>
      <w:r>
        <w:rPr>
          <w:rStyle w:val="a7"/>
        </w:rPr>
        <w:footnoteRef/>
      </w:r>
      <w:r>
        <w:rPr>
          <w:rtl/>
        </w:rPr>
        <w:t xml:space="preserve"> </w:t>
      </w:r>
      <w:r w:rsidRPr="000F0A81">
        <w:rPr>
          <w:rFonts w:cs="Arial"/>
          <w:rtl/>
        </w:rPr>
        <w:t>וורד והדס דרך לשטחן לפני עבודת כוכבים ואסורין משום תקרובת עבודה כוכבים</w:t>
      </w:r>
      <w:r>
        <w:rPr>
          <w:rFonts w:cs="Arial" w:hint="cs"/>
          <w:rtl/>
        </w:rPr>
        <w:t>, רש"י</w:t>
      </w:r>
      <w:r w:rsidRPr="000F0A81">
        <w:rPr>
          <w:rFonts w:cs="Arial"/>
          <w:rtl/>
        </w:rPr>
        <w:t>.</w:t>
      </w:r>
    </w:p>
  </w:footnote>
  <w:footnote w:id="2381">
    <w:p w14:paraId="604C3DBC" w14:textId="77777777" w:rsidR="004C5A3C" w:rsidRDefault="004C5A3C" w:rsidP="002C39F4">
      <w:pPr>
        <w:pStyle w:val="a5"/>
        <w:rPr>
          <w:rtl/>
        </w:rPr>
      </w:pPr>
      <w:r>
        <w:rPr>
          <w:rStyle w:val="a7"/>
        </w:rPr>
        <w:footnoteRef/>
      </w:r>
      <w:r>
        <w:rPr>
          <w:rtl/>
        </w:rPr>
        <w:t xml:space="preserve"> </w:t>
      </w:r>
      <w:r w:rsidRPr="000F0A81">
        <w:rPr>
          <w:rFonts w:cs="Arial"/>
          <w:rtl/>
        </w:rPr>
        <w:t>מותרין ליקח מהן ואף על גב דמטיא הנאה לעבודת כוכבים בהנך זביני לית לן בה כדמפרש במהנה מותר</w:t>
      </w:r>
      <w:r>
        <w:rPr>
          <w:rFonts w:cs="Arial" w:hint="cs"/>
          <w:rtl/>
        </w:rPr>
        <w:t>, רש"י</w:t>
      </w:r>
      <w:r w:rsidRPr="000F0A81">
        <w:rPr>
          <w:rFonts w:cs="Arial"/>
          <w:rtl/>
        </w:rPr>
        <w:t>.</w:t>
      </w:r>
    </w:p>
  </w:footnote>
  <w:footnote w:id="2382">
    <w:p w14:paraId="67E930DB" w14:textId="77777777" w:rsidR="004C5A3C" w:rsidRDefault="004C5A3C" w:rsidP="002C39F4">
      <w:pPr>
        <w:pStyle w:val="a5"/>
      </w:pPr>
      <w:r>
        <w:rPr>
          <w:rStyle w:val="a7"/>
        </w:rPr>
        <w:footnoteRef/>
      </w:r>
      <w:r>
        <w:rPr>
          <w:rtl/>
        </w:rPr>
        <w:t xml:space="preserve"> </w:t>
      </w:r>
      <w:r w:rsidRPr="000F0A81">
        <w:rPr>
          <w:rFonts w:cs="Arial"/>
          <w:rtl/>
        </w:rPr>
        <w:t>מן הריח של עשבים או של בשמים</w:t>
      </w:r>
      <w:r>
        <w:rPr>
          <w:rFonts w:cs="Arial" w:hint="cs"/>
          <w:rtl/>
        </w:rPr>
        <w:t>, רש"י</w:t>
      </w:r>
      <w:r w:rsidRPr="000F0A81">
        <w:rPr>
          <w:rFonts w:cs="Arial"/>
          <w:rtl/>
        </w:rPr>
        <w:t>.</w:t>
      </w:r>
    </w:p>
  </w:footnote>
  <w:footnote w:id="2383">
    <w:p w14:paraId="78044069" w14:textId="77777777" w:rsidR="004C5A3C" w:rsidRDefault="004C5A3C" w:rsidP="002C39F4">
      <w:pPr>
        <w:pStyle w:val="a5"/>
      </w:pPr>
      <w:r>
        <w:rPr>
          <w:rStyle w:val="a7"/>
        </w:rPr>
        <w:footnoteRef/>
      </w:r>
      <w:r>
        <w:rPr>
          <w:rtl/>
        </w:rPr>
        <w:t xml:space="preserve"> </w:t>
      </w:r>
      <w:r w:rsidRPr="000F0A81">
        <w:rPr>
          <w:rFonts w:cs="Arial"/>
          <w:rtl/>
        </w:rPr>
        <w:t>נותן מכס</w:t>
      </w:r>
      <w:r>
        <w:rPr>
          <w:rFonts w:cs="Arial" w:hint="cs"/>
          <w:rtl/>
        </w:rPr>
        <w:t>, רש"י</w:t>
      </w:r>
      <w:r w:rsidRPr="000F0A81">
        <w:rPr>
          <w:rFonts w:cs="Arial"/>
          <w:rtl/>
        </w:rPr>
        <w:t>.</w:t>
      </w:r>
    </w:p>
  </w:footnote>
  <w:footnote w:id="2384">
    <w:p w14:paraId="5627E9D7" w14:textId="77777777" w:rsidR="004C5A3C" w:rsidRDefault="004C5A3C" w:rsidP="002C39F4">
      <w:pPr>
        <w:pStyle w:val="a5"/>
      </w:pPr>
      <w:r>
        <w:rPr>
          <w:rStyle w:val="a7"/>
        </w:rPr>
        <w:footnoteRef/>
      </w:r>
      <w:r>
        <w:rPr>
          <w:rtl/>
        </w:rPr>
        <w:t xml:space="preserve"> </w:t>
      </w:r>
      <w:r>
        <w:rPr>
          <w:rFonts w:cs="Arial" w:hint="cs"/>
          <w:rtl/>
        </w:rPr>
        <w:t xml:space="preserve">וז"ל- </w:t>
      </w:r>
      <w:r w:rsidRPr="00060E68">
        <w:rPr>
          <w:rFonts w:cs="Arial"/>
          <w:rtl/>
        </w:rPr>
        <w:t>זה הכלל כל מידי דלא הוי לריחא ריחא לאו מילתא היא אבל דבר שעומד להריח כגון ורד והדס אסור ליהנות מהריח</w:t>
      </w:r>
      <w:r>
        <w:rPr>
          <w:rFonts w:cs="Arial" w:hint="cs"/>
          <w:rtl/>
        </w:rPr>
        <w:t>.</w:t>
      </w:r>
    </w:p>
  </w:footnote>
  <w:footnote w:id="2385">
    <w:p w14:paraId="5442B3F2" w14:textId="77777777" w:rsidR="004C5A3C" w:rsidRDefault="004C5A3C" w:rsidP="002C39F4">
      <w:pPr>
        <w:pStyle w:val="a5"/>
      </w:pPr>
      <w:r>
        <w:rPr>
          <w:rStyle w:val="a7"/>
        </w:rPr>
        <w:footnoteRef/>
      </w:r>
      <w:r>
        <w:rPr>
          <w:rtl/>
        </w:rPr>
        <w:t xml:space="preserve"> </w:t>
      </w:r>
      <w:r>
        <w:rPr>
          <w:rFonts w:cs="Arial" w:hint="cs"/>
          <w:rtl/>
        </w:rPr>
        <w:t xml:space="preserve">ודוקא </w:t>
      </w:r>
      <w:r w:rsidRPr="009670EC">
        <w:rPr>
          <w:rFonts w:cs="Arial"/>
          <w:rtl/>
        </w:rPr>
        <w:t>ביין</w:t>
      </w:r>
      <w:r>
        <w:rPr>
          <w:rFonts w:cs="Arial" w:hint="cs"/>
          <w:rtl/>
        </w:rPr>
        <w:t xml:space="preserve"> מותר, משום</w:t>
      </w:r>
      <w:r w:rsidRPr="009670EC">
        <w:rPr>
          <w:rFonts w:cs="Arial"/>
          <w:rtl/>
        </w:rPr>
        <w:t xml:space="preserve"> </w:t>
      </w:r>
      <w:r>
        <w:rPr>
          <w:rFonts w:cs="Arial" w:hint="cs"/>
          <w:rtl/>
        </w:rPr>
        <w:t>ד</w:t>
      </w:r>
      <w:r w:rsidRPr="009670EC">
        <w:rPr>
          <w:rFonts w:cs="Arial"/>
          <w:rtl/>
        </w:rPr>
        <w:t xml:space="preserve">חוזק היין נכנס בחוטמו ומזיקו </w:t>
      </w:r>
      <w:r>
        <w:rPr>
          <w:rFonts w:cs="Arial" w:hint="cs"/>
          <w:rtl/>
        </w:rPr>
        <w:t xml:space="preserve">וליכא הנאה, </w:t>
      </w:r>
      <w:r w:rsidRPr="009670EC">
        <w:rPr>
          <w:rFonts w:cs="Arial"/>
          <w:rtl/>
        </w:rPr>
        <w:t xml:space="preserve">אבל בשאר איסורים </w:t>
      </w:r>
      <w:r>
        <w:rPr>
          <w:rFonts w:cs="Arial" w:hint="cs"/>
          <w:rtl/>
        </w:rPr>
        <w:t xml:space="preserve">לא, תוס' </w:t>
      </w:r>
      <w:r w:rsidRPr="009670EC">
        <w:rPr>
          <w:rFonts w:cs="Arial" w:hint="cs"/>
          <w:sz w:val="16"/>
          <w:szCs w:val="16"/>
          <w:rtl/>
        </w:rPr>
        <w:t>(ע"ז יב:)</w:t>
      </w:r>
      <w:r>
        <w:rPr>
          <w:rFonts w:cs="Arial" w:hint="cs"/>
          <w:rtl/>
        </w:rPr>
        <w:t xml:space="preserve">, ע"פ ש"ך </w:t>
      </w:r>
      <w:r w:rsidRPr="009670EC">
        <w:rPr>
          <w:rFonts w:cs="Arial" w:hint="cs"/>
          <w:sz w:val="16"/>
          <w:szCs w:val="16"/>
          <w:rtl/>
        </w:rPr>
        <w:t>(סקכ"ז)</w:t>
      </w:r>
      <w:r>
        <w:rPr>
          <w:rFonts w:cs="Arial" w:hint="cs"/>
          <w:rtl/>
        </w:rPr>
        <w:t>.</w:t>
      </w:r>
    </w:p>
  </w:footnote>
  <w:footnote w:id="2386">
    <w:p w14:paraId="1DFE38C3" w14:textId="77777777" w:rsidR="004C5A3C" w:rsidRDefault="004C5A3C" w:rsidP="002C39F4">
      <w:pPr>
        <w:pStyle w:val="a5"/>
        <w:rPr>
          <w:rtl/>
        </w:rPr>
      </w:pPr>
      <w:r>
        <w:rPr>
          <w:rStyle w:val="a7"/>
        </w:rPr>
        <w:footnoteRef/>
      </w:r>
      <w:r>
        <w:rPr>
          <w:rtl/>
        </w:rPr>
        <w:t xml:space="preserve"> </w:t>
      </w:r>
      <w:r w:rsidRPr="006571B3">
        <w:rPr>
          <w:rFonts w:cs="Arial"/>
          <w:rtl/>
        </w:rPr>
        <w:t>תוס</w:t>
      </w:r>
      <w:r w:rsidRPr="006571B3">
        <w:rPr>
          <w:rFonts w:cs="Arial" w:hint="cs"/>
          <w:rtl/>
        </w:rPr>
        <w:t>'</w:t>
      </w:r>
      <w:r w:rsidRPr="006571B3">
        <w:rPr>
          <w:rFonts w:cs="Arial"/>
          <w:rtl/>
        </w:rPr>
        <w:t xml:space="preserve"> </w:t>
      </w:r>
      <w:r w:rsidRPr="006571B3">
        <w:rPr>
          <w:rFonts w:cs="Arial"/>
          <w:sz w:val="16"/>
          <w:szCs w:val="16"/>
          <w:rtl/>
        </w:rPr>
        <w:t xml:space="preserve">(חולין ק. ד"ה בריה שאני) </w:t>
      </w:r>
      <w:r>
        <w:rPr>
          <w:rFonts w:cs="Arial"/>
          <w:rtl/>
        </w:rPr>
        <w:t>סה</w:t>
      </w:r>
      <w:r>
        <w:rPr>
          <w:rFonts w:cs="Arial" w:hint="cs"/>
          <w:rtl/>
        </w:rPr>
        <w:t>"</w:t>
      </w:r>
      <w:r>
        <w:rPr>
          <w:rFonts w:cs="Arial"/>
          <w:rtl/>
        </w:rPr>
        <w:t xml:space="preserve">ת </w:t>
      </w:r>
      <w:r w:rsidRPr="00053D4A">
        <w:rPr>
          <w:rFonts w:cs="Arial"/>
          <w:sz w:val="16"/>
          <w:szCs w:val="16"/>
          <w:rtl/>
        </w:rPr>
        <w:t xml:space="preserve">(סי' נ ד"ה הלכך) </w:t>
      </w:r>
      <w:r>
        <w:rPr>
          <w:rFonts w:cs="Arial"/>
          <w:rtl/>
        </w:rPr>
        <w:t xml:space="preserve">סמ"ג </w:t>
      </w:r>
      <w:r w:rsidRPr="00053D4A">
        <w:rPr>
          <w:rFonts w:cs="Arial"/>
          <w:sz w:val="16"/>
          <w:szCs w:val="16"/>
          <w:rtl/>
        </w:rPr>
        <w:t>(לאוין קמ וקמא נג.)</w:t>
      </w:r>
      <w:r>
        <w:rPr>
          <w:rFonts w:cs="Arial" w:hint="cs"/>
          <w:rtl/>
        </w:rPr>
        <w:t xml:space="preserve"> </w:t>
      </w:r>
      <w:r w:rsidRPr="006571B3">
        <w:rPr>
          <w:rFonts w:cs="Arial"/>
          <w:rtl/>
        </w:rPr>
        <w:t xml:space="preserve">רשב"א </w:t>
      </w:r>
      <w:r w:rsidRPr="006571B3">
        <w:rPr>
          <w:rFonts w:cs="Arial"/>
          <w:sz w:val="16"/>
          <w:szCs w:val="16"/>
          <w:rtl/>
        </w:rPr>
        <w:t xml:space="preserve">(תוה"א ב"ד ש"א יז.) </w:t>
      </w:r>
      <w:r w:rsidRPr="006571B3">
        <w:rPr>
          <w:rFonts w:cs="Arial"/>
          <w:rtl/>
        </w:rPr>
        <w:t xml:space="preserve">רא"ש </w:t>
      </w:r>
      <w:r w:rsidRPr="006571B3">
        <w:rPr>
          <w:rFonts w:cs="Arial"/>
          <w:sz w:val="16"/>
          <w:szCs w:val="16"/>
          <w:rtl/>
        </w:rPr>
        <w:t xml:space="preserve">(פג"ה סי' לז) </w:t>
      </w:r>
      <w:r w:rsidRPr="006571B3">
        <w:rPr>
          <w:rFonts w:cs="Arial"/>
          <w:rtl/>
        </w:rPr>
        <w:t xml:space="preserve">ור"ן </w:t>
      </w:r>
      <w:r w:rsidRPr="006571B3">
        <w:rPr>
          <w:rFonts w:cs="Arial"/>
          <w:sz w:val="16"/>
          <w:szCs w:val="16"/>
          <w:rtl/>
        </w:rPr>
        <w:t>(חולין לו. ד"ה גרסי' בגמ')</w:t>
      </w:r>
      <w:r>
        <w:rPr>
          <w:rFonts w:hint="cs"/>
          <w:rtl/>
        </w:rPr>
        <w:t>.</w:t>
      </w:r>
    </w:p>
  </w:footnote>
  <w:footnote w:id="2387">
    <w:p w14:paraId="3CD44F41" w14:textId="77777777" w:rsidR="004C5A3C" w:rsidRDefault="004C5A3C" w:rsidP="002C39F4">
      <w:pPr>
        <w:pStyle w:val="a5"/>
        <w:rPr>
          <w:rtl/>
        </w:rPr>
      </w:pPr>
      <w:r>
        <w:rPr>
          <w:rStyle w:val="a7"/>
        </w:rPr>
        <w:footnoteRef/>
      </w:r>
      <w:r>
        <w:rPr>
          <w:rtl/>
        </w:rPr>
        <w:t xml:space="preserve"> </w:t>
      </w:r>
      <w:r>
        <w:rPr>
          <w:rFonts w:cs="Arial" w:hint="cs"/>
          <w:rtl/>
        </w:rPr>
        <w:t>ו</w:t>
      </w:r>
      <w:r>
        <w:rPr>
          <w:rFonts w:cs="Arial"/>
          <w:rtl/>
        </w:rPr>
        <w:t>על הסכמה זו שהסכימו רובן של ראשונים דיבש ביבש בטל ברוב ממש אנו סומכין ועושין מעשה</w:t>
      </w:r>
      <w:r>
        <w:rPr>
          <w:rFonts w:hint="cs"/>
          <w:rtl/>
        </w:rPr>
        <w:t>,</w:t>
      </w:r>
      <w:r w:rsidRPr="00053D4A">
        <w:rPr>
          <w:rFonts w:cs="Arial"/>
          <w:rtl/>
        </w:rPr>
        <w:t xml:space="preserve"> </w:t>
      </w:r>
      <w:r>
        <w:rPr>
          <w:rFonts w:cs="Arial"/>
          <w:rtl/>
        </w:rPr>
        <w:t>רשב"א</w:t>
      </w:r>
      <w:r w:rsidRPr="00053D4A">
        <w:rPr>
          <w:rFonts w:cs="Arial"/>
          <w:sz w:val="16"/>
          <w:szCs w:val="16"/>
          <w:rtl/>
        </w:rPr>
        <w:t xml:space="preserve"> </w:t>
      </w:r>
      <w:r w:rsidRPr="00053D4A">
        <w:rPr>
          <w:rFonts w:cs="Arial" w:hint="cs"/>
          <w:sz w:val="16"/>
          <w:szCs w:val="16"/>
          <w:rtl/>
        </w:rPr>
        <w:t>(</w:t>
      </w:r>
      <w:r w:rsidRPr="00053D4A">
        <w:rPr>
          <w:rFonts w:cs="Arial"/>
          <w:sz w:val="16"/>
          <w:szCs w:val="16"/>
          <w:rtl/>
        </w:rPr>
        <w:t>תוה</w:t>
      </w:r>
      <w:r w:rsidRPr="00053D4A">
        <w:rPr>
          <w:rFonts w:cs="Arial" w:hint="cs"/>
          <w:sz w:val="16"/>
          <w:szCs w:val="16"/>
          <w:rtl/>
        </w:rPr>
        <w:t>"</w:t>
      </w:r>
      <w:r w:rsidRPr="00053D4A">
        <w:rPr>
          <w:rFonts w:cs="Arial"/>
          <w:sz w:val="16"/>
          <w:szCs w:val="16"/>
          <w:rtl/>
        </w:rPr>
        <w:t>א</w:t>
      </w:r>
      <w:r w:rsidRPr="00053D4A">
        <w:rPr>
          <w:rFonts w:cs="Arial" w:hint="cs"/>
          <w:sz w:val="16"/>
          <w:szCs w:val="16"/>
          <w:rtl/>
        </w:rPr>
        <w:t xml:space="preserve"> </w:t>
      </w:r>
      <w:r w:rsidRPr="00053D4A">
        <w:rPr>
          <w:rFonts w:cs="Arial"/>
          <w:sz w:val="16"/>
          <w:szCs w:val="16"/>
          <w:rtl/>
        </w:rPr>
        <w:t xml:space="preserve">ב"ד ש"א יז </w:t>
      </w:r>
      <w:r>
        <w:rPr>
          <w:rFonts w:cs="Arial" w:hint="cs"/>
          <w:sz w:val="16"/>
          <w:szCs w:val="16"/>
          <w:rtl/>
        </w:rPr>
        <w:t>ע"</w:t>
      </w:r>
      <w:r w:rsidRPr="00053D4A">
        <w:rPr>
          <w:rFonts w:cs="Arial"/>
          <w:sz w:val="16"/>
          <w:szCs w:val="16"/>
          <w:rtl/>
        </w:rPr>
        <w:t>ג)</w:t>
      </w:r>
      <w:r>
        <w:rPr>
          <w:rFonts w:hint="cs"/>
          <w:rtl/>
        </w:rPr>
        <w:t>.</w:t>
      </w:r>
    </w:p>
  </w:footnote>
  <w:footnote w:id="2388">
    <w:p w14:paraId="37F15638" w14:textId="77777777" w:rsidR="004C5A3C" w:rsidRDefault="004C5A3C" w:rsidP="002C39F4">
      <w:pPr>
        <w:pStyle w:val="a5"/>
        <w:rPr>
          <w:rtl/>
        </w:rPr>
      </w:pPr>
      <w:r>
        <w:rPr>
          <w:rStyle w:val="a7"/>
        </w:rPr>
        <w:footnoteRef/>
      </w:r>
      <w:r>
        <w:rPr>
          <w:rtl/>
        </w:rPr>
        <w:t xml:space="preserve"> </w:t>
      </w:r>
      <w:r>
        <w:rPr>
          <w:rFonts w:cs="Arial" w:hint="cs"/>
          <w:rtl/>
        </w:rPr>
        <w:t>ד</w:t>
      </w:r>
      <w:r w:rsidRPr="006571B3">
        <w:rPr>
          <w:rFonts w:cs="Arial"/>
          <w:rtl/>
        </w:rPr>
        <w:t xml:space="preserve">הא דמקשי </w:t>
      </w:r>
      <w:r>
        <w:rPr>
          <w:rFonts w:cs="Arial" w:hint="cs"/>
          <w:rtl/>
        </w:rPr>
        <w:t xml:space="preserve">בגמ' </w:t>
      </w:r>
      <w:r w:rsidRPr="006571B3">
        <w:rPr>
          <w:rFonts w:cs="Arial"/>
          <w:rtl/>
        </w:rPr>
        <w:t>וליבטיל ברובא לאו ברובא ממש קאמר דהיינו חד בתרי דהא מדרבנן ששים בעינן אלא ברביה קאמר דהיינו ששים</w:t>
      </w:r>
      <w:r>
        <w:rPr>
          <w:rFonts w:cs="Arial" w:hint="cs"/>
          <w:rtl/>
        </w:rPr>
        <w:t>, וכ' הב"י ד</w:t>
      </w:r>
      <w:r w:rsidRPr="006571B3">
        <w:rPr>
          <w:rFonts w:cs="Arial"/>
          <w:rtl/>
        </w:rPr>
        <w:t xml:space="preserve">כן נראה מדברי רש"י וכ"נ שהוא דעת הרמב"ם </w:t>
      </w:r>
      <w:r w:rsidRPr="006571B3">
        <w:rPr>
          <w:rFonts w:cs="Arial" w:hint="cs"/>
          <w:sz w:val="16"/>
          <w:szCs w:val="16"/>
          <w:rtl/>
        </w:rPr>
        <w:t>(</w:t>
      </w:r>
      <w:r w:rsidRPr="006571B3">
        <w:rPr>
          <w:rFonts w:cs="Arial"/>
          <w:sz w:val="16"/>
          <w:szCs w:val="16"/>
          <w:rtl/>
        </w:rPr>
        <w:t xml:space="preserve">שכתב </w:t>
      </w:r>
      <w:r w:rsidRPr="006571B3">
        <w:rPr>
          <w:rFonts w:cs="Arial" w:hint="cs"/>
          <w:sz w:val="16"/>
          <w:szCs w:val="16"/>
          <w:rtl/>
        </w:rPr>
        <w:t>(</w:t>
      </w:r>
      <w:r w:rsidRPr="006571B3">
        <w:rPr>
          <w:rFonts w:cs="Arial"/>
          <w:sz w:val="16"/>
          <w:szCs w:val="16"/>
          <w:rtl/>
        </w:rPr>
        <w:t>בפט"ו מאכ"א ה"ד) נפל חלב כליות לחלב האליה ונמוח הכל אם היה חלב האליה כשנים בחלב הכליות הרי הכל מותר מן התורה אפילו חתיכת נבילה שנתערבה בשתי חתיכות של שחוטה הכל מותר מן התורה אבל מד"ס הכל אסור עד שיאבד דבר האסור מעוצם מיעוטו וכו'</w:t>
      </w:r>
      <w:r>
        <w:rPr>
          <w:rFonts w:cs="Arial" w:hint="cs"/>
          <w:sz w:val="16"/>
          <w:szCs w:val="16"/>
          <w:rtl/>
        </w:rPr>
        <w:t>)</w:t>
      </w:r>
      <w:r>
        <w:rPr>
          <w:rFonts w:cs="Arial" w:hint="cs"/>
          <w:rtl/>
        </w:rPr>
        <w:t xml:space="preserve">, אמנם הוסיף הב"י, דאעפ"כ, </w:t>
      </w:r>
      <w:r w:rsidRPr="006571B3">
        <w:rPr>
          <w:rFonts w:cs="Arial"/>
          <w:rtl/>
        </w:rPr>
        <w:t>כבר הביאו הרשב"א והר"ן ראיה מדאמרינן בפרק הזהב (ב"מ נב:) התרומה והבכורים חייבים עליהם מיתה וחומש ואסורין לזרים ועולין באחד ומאה משא"כ במעשר</w:t>
      </w:r>
      <w:r>
        <w:rPr>
          <w:rFonts w:cs="Arial" w:hint="cs"/>
          <w:rtl/>
        </w:rPr>
        <w:t>,</w:t>
      </w:r>
      <w:r w:rsidRPr="006571B3">
        <w:rPr>
          <w:rFonts w:cs="Arial"/>
          <w:rtl/>
        </w:rPr>
        <w:t xml:space="preserve"> ואמרינן עלה דמשא"כ במעשר</w:t>
      </w:r>
      <w:r>
        <w:rPr>
          <w:rFonts w:cs="Arial" w:hint="cs"/>
          <w:rtl/>
        </w:rPr>
        <w:t xml:space="preserve"> -</w:t>
      </w:r>
      <w:r w:rsidRPr="006571B3">
        <w:rPr>
          <w:rFonts w:cs="Arial"/>
          <w:rtl/>
        </w:rPr>
        <w:t xml:space="preserve"> דבטל ברובא</w:t>
      </w:r>
      <w:r>
        <w:rPr>
          <w:rFonts w:cs="Arial" w:hint="cs"/>
          <w:rtl/>
        </w:rPr>
        <w:t>,</w:t>
      </w:r>
      <w:r w:rsidRPr="006571B3">
        <w:rPr>
          <w:rFonts w:cs="Arial"/>
          <w:rtl/>
        </w:rPr>
        <w:t xml:space="preserve"> והתם ודאי מדרבנן קאמר דומיא דאחד וק' דתרומה</w:t>
      </w:r>
      <w:r>
        <w:rPr>
          <w:rFonts w:cs="Arial" w:hint="cs"/>
          <w:rtl/>
        </w:rPr>
        <w:t>,</w:t>
      </w:r>
      <w:r w:rsidRPr="006571B3">
        <w:rPr>
          <w:rFonts w:cs="Arial"/>
          <w:rtl/>
        </w:rPr>
        <w:t xml:space="preserve"> וביבש ביבש הוא דאילו בלח ששים בעינן</w:t>
      </w:r>
      <w:r>
        <w:rPr>
          <w:rFonts w:cs="Arial" w:hint="cs"/>
          <w:rtl/>
        </w:rPr>
        <w:t>,</w:t>
      </w:r>
      <w:r w:rsidRPr="006571B3">
        <w:rPr>
          <w:rFonts w:cs="Arial"/>
          <w:rtl/>
        </w:rPr>
        <w:t xml:space="preserve"> וקאמר דבטיל ברובא כלומר חד בתרי כשאר האיסורים</w:t>
      </w:r>
      <w:r>
        <w:rPr>
          <w:rFonts w:cs="Arial" w:hint="cs"/>
          <w:rtl/>
        </w:rPr>
        <w:t>,</w:t>
      </w:r>
      <w:r w:rsidRPr="006571B3">
        <w:rPr>
          <w:rFonts w:cs="Arial"/>
          <w:rtl/>
        </w:rPr>
        <w:t xml:space="preserve"> שלא החמירו עליו כמו שהחמירו בתרומה</w:t>
      </w:r>
      <w:r>
        <w:rPr>
          <w:rFonts w:cs="Arial" w:hint="cs"/>
          <w:rtl/>
        </w:rPr>
        <w:t>,</w:t>
      </w:r>
      <w:r w:rsidRPr="006571B3">
        <w:rPr>
          <w:rFonts w:cs="Arial"/>
          <w:rtl/>
        </w:rPr>
        <w:t xml:space="preserve"> ולא כדמשמע מרש"י שמפרש בטל ברובא ברביה קאמר דהיינו ששים</w:t>
      </w:r>
      <w:r>
        <w:rPr>
          <w:rFonts w:cs="Arial" w:hint="cs"/>
          <w:rtl/>
        </w:rPr>
        <w:t>,</w:t>
      </w:r>
      <w:r w:rsidRPr="006571B3">
        <w:rPr>
          <w:rFonts w:cs="Arial"/>
          <w:rtl/>
        </w:rPr>
        <w:t xml:space="preserve"> דא"כ היכי קאמר סתמא משא"כ במעשר דבטל ברביה תרומה ובכורים נמי בטלי ברביה שהרי יש להם שיעור ושיעור מועט כנגד שיעור מרובה אין אומרים על המועט בטל ברוב</w:t>
      </w:r>
      <w:r>
        <w:rPr>
          <w:rFonts w:hint="cs"/>
          <w:rtl/>
        </w:rPr>
        <w:t>.</w:t>
      </w:r>
    </w:p>
  </w:footnote>
  <w:footnote w:id="2389">
    <w:p w14:paraId="40856182" w14:textId="77777777" w:rsidR="004C5A3C" w:rsidRDefault="004C5A3C" w:rsidP="002C39F4">
      <w:pPr>
        <w:pStyle w:val="a5"/>
        <w:rPr>
          <w:rtl/>
        </w:rPr>
      </w:pPr>
      <w:r>
        <w:rPr>
          <w:rStyle w:val="a7"/>
        </w:rPr>
        <w:footnoteRef/>
      </w:r>
      <w:r>
        <w:rPr>
          <w:rtl/>
        </w:rPr>
        <w:t xml:space="preserve"> </w:t>
      </w:r>
      <w:r>
        <w:rPr>
          <w:rFonts w:cs="Arial" w:hint="cs"/>
          <w:rtl/>
        </w:rPr>
        <w:t xml:space="preserve">הטור כתב- </w:t>
      </w:r>
      <w:r w:rsidRPr="00B55E7C">
        <w:rPr>
          <w:rFonts w:cs="Arial"/>
          <w:rtl/>
        </w:rPr>
        <w:t>לכאורה נראה שאין חילוק בין נתערבה במינה בין שלא במינה כגון שנפרד לחתיכות דקות שאין ניכר בין זה לזה אבל בעל התרומ</w:t>
      </w:r>
      <w:r w:rsidRPr="00B55E7C">
        <w:rPr>
          <w:rFonts w:cs="Arial" w:hint="cs"/>
          <w:rtl/>
        </w:rPr>
        <w:t>ה</w:t>
      </w:r>
      <w:r w:rsidRPr="00B55E7C">
        <w:rPr>
          <w:rFonts w:cs="Arial"/>
          <w:rtl/>
        </w:rPr>
        <w:t xml:space="preserve"> כתב</w:t>
      </w:r>
      <w:r>
        <w:rPr>
          <w:rFonts w:hint="cs"/>
          <w:rtl/>
        </w:rPr>
        <w:t>-...</w:t>
      </w:r>
    </w:p>
  </w:footnote>
  <w:footnote w:id="2390">
    <w:p w14:paraId="57FA96C9" w14:textId="77777777" w:rsidR="004C5A3C" w:rsidRDefault="004C5A3C" w:rsidP="002C39F4">
      <w:pPr>
        <w:pStyle w:val="a5"/>
      </w:pPr>
      <w:r>
        <w:rPr>
          <w:rStyle w:val="a7"/>
        </w:rPr>
        <w:footnoteRef/>
      </w:r>
      <w:r>
        <w:rPr>
          <w:rtl/>
        </w:rPr>
        <w:t xml:space="preserve"> </w:t>
      </w:r>
      <w:r>
        <w:rPr>
          <w:rFonts w:hint="cs"/>
          <w:rtl/>
        </w:rPr>
        <w:t>וז"ל הר"ן-</w:t>
      </w:r>
      <w:r w:rsidRPr="005A0418">
        <w:rPr>
          <w:rFonts w:cs="Arial"/>
          <w:rtl/>
        </w:rPr>
        <w:t xml:space="preserve"> </w:t>
      </w:r>
      <w:r>
        <w:rPr>
          <w:rFonts w:cs="Arial"/>
          <w:rtl/>
        </w:rPr>
        <w:t>כי אמרינן דיבש ביבש בטל חד בתרי אפילו מדרבנן ה"מ במין במינו דכיון דמדאורייתא אפילו לח בלח ברובא בטיל לא אחמור רבנן יבש ביבש דהא א"א למיתי לידי איסורא דאורייתא</w:t>
      </w:r>
      <w:r>
        <w:rPr>
          <w:rFonts w:cs="Arial" w:hint="cs"/>
          <w:rtl/>
        </w:rPr>
        <w:t>,</w:t>
      </w:r>
      <w:r>
        <w:rPr>
          <w:rFonts w:cs="Arial"/>
          <w:rtl/>
        </w:rPr>
        <w:t xml:space="preserve"> אבל במין בשאינו מינו דבלח בלח אפילו מדאורייתא אזלינן בתר טעמא אפילו ביבש נמי בעינן ששים כי היכי דאי מבשל להו בהדדי לא ליתי לידי טעמא דהוי איסורא דאורייתא</w:t>
      </w:r>
      <w:r>
        <w:rPr>
          <w:rFonts w:cs="Arial" w:hint="cs"/>
          <w:rtl/>
        </w:rPr>
        <w:t>.</w:t>
      </w:r>
      <w:r w:rsidRPr="00204271">
        <w:rPr>
          <w:rFonts w:hint="cs"/>
          <w:sz w:val="16"/>
          <w:szCs w:val="16"/>
          <w:rtl/>
        </w:rPr>
        <w:t xml:space="preserve"> (</w:t>
      </w:r>
      <w:r w:rsidRPr="00204271">
        <w:rPr>
          <w:rFonts w:cs="Arial" w:hint="cs"/>
          <w:sz w:val="16"/>
          <w:szCs w:val="16"/>
          <w:rtl/>
        </w:rPr>
        <w:t>וה</w:t>
      </w:r>
      <w:r w:rsidRPr="00204271">
        <w:rPr>
          <w:rFonts w:cs="Arial"/>
          <w:sz w:val="16"/>
          <w:szCs w:val="16"/>
          <w:rtl/>
        </w:rPr>
        <w:t xml:space="preserve">קשה </w:t>
      </w:r>
      <w:r w:rsidRPr="00204271">
        <w:rPr>
          <w:rFonts w:cs="Arial" w:hint="cs"/>
          <w:sz w:val="16"/>
          <w:szCs w:val="16"/>
          <w:rtl/>
        </w:rPr>
        <w:t>הט"ז [סק"ב]</w:t>
      </w:r>
      <w:r w:rsidRPr="00204271">
        <w:rPr>
          <w:rFonts w:cs="Arial"/>
          <w:sz w:val="16"/>
          <w:szCs w:val="16"/>
          <w:rtl/>
        </w:rPr>
        <w:t xml:space="preserve"> </w:t>
      </w:r>
      <w:r w:rsidRPr="00204271">
        <w:rPr>
          <w:rFonts w:cs="Arial" w:hint="cs"/>
          <w:sz w:val="16"/>
          <w:szCs w:val="16"/>
          <w:rtl/>
        </w:rPr>
        <w:t>שכיון ש</w:t>
      </w:r>
      <w:r w:rsidRPr="00204271">
        <w:rPr>
          <w:rFonts w:cs="Arial"/>
          <w:sz w:val="16"/>
          <w:szCs w:val="16"/>
          <w:rtl/>
        </w:rPr>
        <w:t>קודם הבישול נתבטל ברוב ואי בעי שרי למיכליה מדאורייתא ונעשה כהיתר גמור</w:t>
      </w:r>
      <w:r w:rsidRPr="00204271">
        <w:rPr>
          <w:rFonts w:cs="Arial" w:hint="cs"/>
          <w:sz w:val="16"/>
          <w:szCs w:val="16"/>
          <w:rtl/>
        </w:rPr>
        <w:t>-</w:t>
      </w:r>
      <w:r w:rsidRPr="00204271">
        <w:rPr>
          <w:rFonts w:cs="Arial"/>
          <w:sz w:val="16"/>
          <w:szCs w:val="16"/>
          <w:rtl/>
        </w:rPr>
        <w:t xml:space="preserve"> למה יאסר אח"כ מן התורה בבישול</w:t>
      </w:r>
      <w:r w:rsidRPr="00204271">
        <w:rPr>
          <w:rFonts w:cs="Arial" w:hint="cs"/>
          <w:sz w:val="16"/>
          <w:szCs w:val="16"/>
          <w:rtl/>
        </w:rPr>
        <w:t>,</w:t>
      </w:r>
      <w:r w:rsidRPr="00204271">
        <w:rPr>
          <w:rFonts w:cs="Arial"/>
          <w:sz w:val="16"/>
          <w:szCs w:val="16"/>
          <w:rtl/>
        </w:rPr>
        <w:t xml:space="preserve"> ומ</w:t>
      </w:r>
      <w:r w:rsidRPr="00204271">
        <w:rPr>
          <w:rFonts w:cs="Arial" w:hint="cs"/>
          <w:sz w:val="16"/>
          <w:szCs w:val="16"/>
          <w:rtl/>
        </w:rPr>
        <w:t xml:space="preserve">אי </w:t>
      </w:r>
      <w:r w:rsidRPr="00204271">
        <w:rPr>
          <w:rFonts w:cs="Arial"/>
          <w:sz w:val="16"/>
          <w:szCs w:val="16"/>
          <w:rtl/>
        </w:rPr>
        <w:t>ש</w:t>
      </w:r>
      <w:r w:rsidRPr="00204271">
        <w:rPr>
          <w:rFonts w:cs="Arial" w:hint="cs"/>
          <w:sz w:val="16"/>
          <w:szCs w:val="16"/>
          <w:rtl/>
        </w:rPr>
        <w:t>נא</w:t>
      </w:r>
      <w:r w:rsidRPr="00204271">
        <w:rPr>
          <w:rFonts w:cs="Arial"/>
          <w:sz w:val="16"/>
          <w:szCs w:val="16"/>
          <w:rtl/>
        </w:rPr>
        <w:t xml:space="preserve"> מההיא דסי' צ"ח סע</w:t>
      </w:r>
      <w:r w:rsidRPr="00204271">
        <w:rPr>
          <w:rFonts w:cs="Arial" w:hint="cs"/>
          <w:sz w:val="16"/>
          <w:szCs w:val="16"/>
          <w:rtl/>
        </w:rPr>
        <w:t>'</w:t>
      </w:r>
      <w:r w:rsidRPr="00204271">
        <w:rPr>
          <w:rFonts w:cs="Arial"/>
          <w:sz w:val="16"/>
          <w:szCs w:val="16"/>
          <w:rtl/>
        </w:rPr>
        <w:t xml:space="preserve"> ב' בנתערב במינו ואינו מינו דאמרינן מינו רבה עליו ואין איסור במה שיתן האיסור אח"כ טעם באינו מינו כיון שכבר נעשה היתר ומן התורה אין צריך ס'</w:t>
      </w:r>
      <w:r w:rsidRPr="00204271">
        <w:rPr>
          <w:rFonts w:cs="Arial" w:hint="cs"/>
          <w:sz w:val="16"/>
          <w:szCs w:val="16"/>
          <w:rtl/>
        </w:rPr>
        <w:t>,</w:t>
      </w:r>
      <w:r w:rsidRPr="00204271">
        <w:rPr>
          <w:rFonts w:cs="Arial"/>
          <w:sz w:val="16"/>
          <w:szCs w:val="16"/>
          <w:rtl/>
        </w:rPr>
        <w:t xml:space="preserve"> ה"נ נימא הכי</w:t>
      </w:r>
      <w:r w:rsidRPr="00204271">
        <w:rPr>
          <w:rFonts w:cs="Arial" w:hint="cs"/>
          <w:sz w:val="16"/>
          <w:szCs w:val="16"/>
          <w:rtl/>
        </w:rPr>
        <w:t>,</w:t>
      </w:r>
      <w:r w:rsidRPr="00204271">
        <w:rPr>
          <w:rFonts w:cs="Arial"/>
          <w:sz w:val="16"/>
          <w:szCs w:val="16"/>
          <w:rtl/>
        </w:rPr>
        <w:t xml:space="preserve"> וי"ל דשם אע</w:t>
      </w:r>
      <w:r w:rsidRPr="00204271">
        <w:rPr>
          <w:rFonts w:cs="Arial" w:hint="cs"/>
          <w:sz w:val="16"/>
          <w:szCs w:val="16"/>
          <w:rtl/>
        </w:rPr>
        <w:t>"</w:t>
      </w:r>
      <w:r w:rsidRPr="00204271">
        <w:rPr>
          <w:rFonts w:cs="Arial"/>
          <w:sz w:val="16"/>
          <w:szCs w:val="16"/>
          <w:rtl/>
        </w:rPr>
        <w:t>פ שגם האיסור נ"ט לאינו מינו מ"מ אין הטעם נרגש בפני עצמו משא"כ בדין זה שטעם האיסור נרגש בפני עצמו</w:t>
      </w:r>
      <w:r w:rsidRPr="00204271">
        <w:rPr>
          <w:rFonts w:cs="Arial" w:hint="cs"/>
          <w:sz w:val="16"/>
          <w:szCs w:val="16"/>
          <w:rtl/>
        </w:rPr>
        <w:t>)</w:t>
      </w:r>
    </w:p>
  </w:footnote>
  <w:footnote w:id="2391">
    <w:p w14:paraId="43777FB3" w14:textId="77777777" w:rsidR="004C5A3C" w:rsidRDefault="004C5A3C" w:rsidP="002C39F4">
      <w:pPr>
        <w:pStyle w:val="a5"/>
        <w:rPr>
          <w:rtl/>
        </w:rPr>
      </w:pPr>
      <w:r>
        <w:rPr>
          <w:rStyle w:val="a7"/>
        </w:rPr>
        <w:footnoteRef/>
      </w:r>
      <w:r>
        <w:rPr>
          <w:rtl/>
        </w:rPr>
        <w:t xml:space="preserve"> </w:t>
      </w:r>
      <w:r>
        <w:rPr>
          <w:rFonts w:hint="cs"/>
          <w:rtl/>
        </w:rPr>
        <w:t xml:space="preserve">והוסיף מהרא"י </w:t>
      </w:r>
      <w:r>
        <w:rPr>
          <w:rFonts w:cs="Arial" w:hint="cs"/>
          <w:rtl/>
        </w:rPr>
        <w:t>ד</w:t>
      </w:r>
      <w:r w:rsidRPr="001620F9">
        <w:rPr>
          <w:rFonts w:cs="Arial"/>
          <w:rtl/>
        </w:rPr>
        <w:t>נ</w:t>
      </w:r>
      <w:r>
        <w:rPr>
          <w:rFonts w:cs="Arial" w:hint="cs"/>
          <w:rtl/>
        </w:rPr>
        <w:t>פ</w:t>
      </w:r>
      <w:r w:rsidRPr="001620F9">
        <w:rPr>
          <w:rFonts w:cs="Arial"/>
          <w:rtl/>
        </w:rPr>
        <w:t>"מ</w:t>
      </w:r>
      <w:r>
        <w:rPr>
          <w:rFonts w:cs="Arial" w:hint="cs"/>
          <w:rtl/>
        </w:rPr>
        <w:t xml:space="preserve"> </w:t>
      </w:r>
      <w:r w:rsidRPr="001620F9">
        <w:rPr>
          <w:rFonts w:cs="Arial"/>
          <w:rtl/>
        </w:rPr>
        <w:t>אם נתערבו דברים שחלוקין בשמן והן שוין במראה שאינו ניכר ההיתר והאיסור והוי ספק בדבר אי הוי ספיקא דאו</w:t>
      </w:r>
      <w:r>
        <w:rPr>
          <w:rFonts w:cs="Arial" w:hint="cs"/>
          <w:rtl/>
        </w:rPr>
        <w:t>'</w:t>
      </w:r>
      <w:r w:rsidRPr="001620F9">
        <w:rPr>
          <w:rFonts w:cs="Arial"/>
          <w:rtl/>
        </w:rPr>
        <w:t xml:space="preserve"> או דרבנן</w:t>
      </w:r>
      <w:r>
        <w:rPr>
          <w:rFonts w:hint="cs"/>
          <w:rtl/>
        </w:rPr>
        <w:t>.</w:t>
      </w:r>
    </w:p>
  </w:footnote>
  <w:footnote w:id="2392">
    <w:p w14:paraId="5A6AD855" w14:textId="77777777" w:rsidR="004C5A3C" w:rsidRDefault="004C5A3C" w:rsidP="002C39F4">
      <w:pPr>
        <w:pStyle w:val="a5"/>
        <w:rPr>
          <w:rtl/>
        </w:rPr>
      </w:pPr>
      <w:r>
        <w:rPr>
          <w:rStyle w:val="a7"/>
        </w:rPr>
        <w:footnoteRef/>
      </w:r>
      <w:r>
        <w:rPr>
          <w:rtl/>
        </w:rPr>
        <w:t xml:space="preserve"> </w:t>
      </w:r>
      <w:r>
        <w:rPr>
          <w:rFonts w:cs="Arial" w:hint="cs"/>
          <w:rtl/>
        </w:rPr>
        <w:t>וכתב ה</w:t>
      </w:r>
      <w:r w:rsidRPr="001B316B">
        <w:rPr>
          <w:rFonts w:cs="Arial"/>
          <w:rtl/>
        </w:rPr>
        <w:t>סמ"ג (לאוין קמ וקמא נג.)</w:t>
      </w:r>
      <w:r>
        <w:rPr>
          <w:rFonts w:cs="Arial" w:hint="cs"/>
          <w:rtl/>
        </w:rPr>
        <w:t xml:space="preserve"> ד</w:t>
      </w:r>
      <w:r w:rsidRPr="001B316B">
        <w:rPr>
          <w:rFonts w:cs="Arial"/>
          <w:rtl/>
        </w:rPr>
        <w:t>יש להחמיר שלא לאכלן אדם אחד שנמצא שאוכל בודאי איסור</w:t>
      </w:r>
      <w:r>
        <w:rPr>
          <w:rFonts w:cs="Arial" w:hint="cs"/>
          <w:rtl/>
        </w:rPr>
        <w:t>.</w:t>
      </w:r>
    </w:p>
  </w:footnote>
  <w:footnote w:id="2393">
    <w:p w14:paraId="4FFA1AB5" w14:textId="77777777" w:rsidR="004C5A3C" w:rsidRDefault="004C5A3C" w:rsidP="002C39F4">
      <w:pPr>
        <w:pStyle w:val="a5"/>
        <w:rPr>
          <w:rtl/>
        </w:rPr>
      </w:pPr>
      <w:r>
        <w:rPr>
          <w:rStyle w:val="a7"/>
        </w:rPr>
        <w:footnoteRef/>
      </w:r>
      <w:r>
        <w:rPr>
          <w:rtl/>
        </w:rPr>
        <w:t xml:space="preserve"> </w:t>
      </w:r>
      <w:r w:rsidRPr="00065583">
        <w:rPr>
          <w:rFonts w:cs="Arial"/>
          <w:rtl/>
        </w:rPr>
        <w:t>והא דאמרינן לעיל דמהר"ם נתן אחד לגוי ולא רצה לסמוך על ביטול ברוב אפשר משום דהוא היה ת"ח וצדיק והיה נראה דרך גנאי שיזדמן שום אכילת איסור לפיהו כדמפרשים התוספות (חולין ה:) גבי השתא בהמתן של צדיקים וכו' וכיון שרצה מהר"מ להחמיר ולהסיר אחד ולתלות ולומר שהוא האיסור והשאר כולם היתר לא נתן אותה חתיכה לישראל אחר שהיה נראה כמאכילו איסור ולא רצה לסמוך אשריותא דשני בני אדם דמ"מ היה הוא בספיקא כמו אידך</w:t>
      </w:r>
      <w:r>
        <w:rPr>
          <w:rFonts w:hint="cs"/>
          <w:rtl/>
        </w:rPr>
        <w:t>, הגשע"ד.</w:t>
      </w:r>
    </w:p>
  </w:footnote>
  <w:footnote w:id="2394">
    <w:p w14:paraId="48DF65D3" w14:textId="77777777" w:rsidR="004C5A3C" w:rsidRDefault="004C5A3C" w:rsidP="002C39F4">
      <w:pPr>
        <w:pStyle w:val="a5"/>
      </w:pPr>
      <w:r>
        <w:rPr>
          <w:rStyle w:val="a7"/>
        </w:rPr>
        <w:footnoteRef/>
      </w:r>
      <w:r>
        <w:rPr>
          <w:rtl/>
        </w:rPr>
        <w:t xml:space="preserve"> </w:t>
      </w:r>
      <w:r w:rsidRPr="001B316B">
        <w:rPr>
          <w:rFonts w:cs="Arial"/>
          <w:rtl/>
        </w:rPr>
        <w:t>דאע"ג דבפרק התערובות (זבחים עד.) תניא רבי יהודה אומר רמוני בדן אוסרין בכל שהן וכו' ופירש ר"י שהשלש אסור לאכלן כאחת</w:t>
      </w:r>
      <w:r>
        <w:rPr>
          <w:rFonts w:cs="Arial" w:hint="cs"/>
          <w:rtl/>
        </w:rPr>
        <w:t>,</w:t>
      </w:r>
      <w:r w:rsidRPr="001B316B">
        <w:rPr>
          <w:rFonts w:cs="Arial"/>
          <w:rtl/>
        </w:rPr>
        <w:t xml:space="preserve"> דהתם התערובת השני מותר משום ספק ספיקא דאמרינן איתיה לאיסורא בתערובת הראשון ואי אמרת נמי נפל לתערובת השני כל חד כי אכיל ליה היתר קא אכיל אבל אי אכיל שלשתן כאחד קא אכיל חדא מתערובת הראשון והוי חד ספיקא אבל הכא חד בתרי בדבר יבש דאפילו מדרבנן בטל דלא משום ספיקא שריין ליה דאפילו אי אכיל ליה חדא חדא ליכא אלא חד ספיקא וספיקא דאורייתא לחומרא אלא משום דגזרת הכתוב הוא דכתיב (שמות כג, ב) אחרי רבים להטות הילכך חד בתרי בטיל ונהפך איסור להיות היתר ומותר לאכלן אפילו כולן כאחד</w:t>
      </w:r>
      <w:r>
        <w:rPr>
          <w:rFonts w:cs="Arial" w:hint="cs"/>
          <w:rtl/>
        </w:rPr>
        <w:t>,</w:t>
      </w:r>
      <w:r w:rsidRPr="001B316B">
        <w:rPr>
          <w:rFonts w:cs="Arial"/>
          <w:rtl/>
        </w:rPr>
        <w:t xml:space="preserve"> וגם לא דמי לטבעת ע"ז (זבחים עד.) שנתערבה באלף טבעות ונפלה אחת מהם לים הגדול הותרו כולן כאחת ופר"י דאסור ליהנות מהן כולן כאחד</w:t>
      </w:r>
      <w:r w:rsidRPr="001B316B">
        <w:rPr>
          <w:rFonts w:cs="Arial" w:hint="cs"/>
          <w:rtl/>
        </w:rPr>
        <w:t>,</w:t>
      </w:r>
      <w:r w:rsidRPr="001B316B">
        <w:rPr>
          <w:rFonts w:cs="Arial"/>
          <w:rtl/>
        </w:rPr>
        <w:t xml:space="preserve"> וכן איברי תמימים שנתערבו באיברי בעלי מומין דקאמר ר' אליעזר (שם עז:) אם קרב ראש אחד יקרבו כל הראשים וקאמר רבי אלעזר דלא התיר רבי אליעזר אלא ב' ב' אבל אחד אחד לא ופר"י דגם כולם כאחד אסור להקריב</w:t>
      </w:r>
      <w:r w:rsidRPr="001B316B">
        <w:rPr>
          <w:rFonts w:cs="Arial" w:hint="cs"/>
          <w:rtl/>
        </w:rPr>
        <w:t>,</w:t>
      </w:r>
      <w:r w:rsidRPr="001B316B">
        <w:rPr>
          <w:rFonts w:cs="Arial"/>
          <w:rtl/>
        </w:rPr>
        <w:t xml:space="preserve"> דהתם ע"י התערובת נאסרו כולם אלא דמקילים לתלות האיסור באותו שפירש</w:t>
      </w:r>
      <w:r w:rsidRPr="001B316B">
        <w:rPr>
          <w:rFonts w:cs="Arial" w:hint="cs"/>
          <w:rtl/>
        </w:rPr>
        <w:t>,</w:t>
      </w:r>
      <w:r w:rsidRPr="001B316B">
        <w:rPr>
          <w:rFonts w:cs="Arial"/>
          <w:rtl/>
        </w:rPr>
        <w:t xml:space="preserve"> וכולי האי לא מקילים להתירן כולן כאחת</w:t>
      </w:r>
      <w:r w:rsidRPr="001B316B">
        <w:rPr>
          <w:rFonts w:cs="Arial" w:hint="cs"/>
          <w:rtl/>
        </w:rPr>
        <w:t>,</w:t>
      </w:r>
      <w:r w:rsidRPr="001B316B">
        <w:rPr>
          <w:rFonts w:cs="Arial"/>
          <w:rtl/>
        </w:rPr>
        <w:t xml:space="preserve"> ולא שרינן להו אלא ע"י ספק ספיקא דאמרינן דילמא דאיסורא נפל ואם תמצא לומר דלא נפל דאיסורא כיון דלא אכיל כולן כאחד אמרינן הנשאר הוא האסור</w:t>
      </w:r>
      <w:r w:rsidRPr="001B316B">
        <w:rPr>
          <w:rFonts w:cs="Arial" w:hint="cs"/>
          <w:rtl/>
        </w:rPr>
        <w:t>,</w:t>
      </w:r>
      <w:r w:rsidRPr="001B316B">
        <w:rPr>
          <w:rFonts w:cs="Arial"/>
          <w:rtl/>
        </w:rPr>
        <w:t xml:space="preserve"> אבל דבר יבש חד בתרי דבטל ברוב לאו משום ספיקא מותר אלא דגזרת הכתוב הוא הילכך מותר לאכלן כולן כאחד</w:t>
      </w:r>
      <w:r w:rsidRPr="001B316B">
        <w:rPr>
          <w:rFonts w:cs="Arial" w:hint="cs"/>
          <w:rtl/>
        </w:rPr>
        <w:t>,</w:t>
      </w:r>
      <w:r w:rsidRPr="001B316B">
        <w:rPr>
          <w:rFonts w:cs="Arial"/>
          <w:rtl/>
        </w:rPr>
        <w:t xml:space="preserve"> וגם מטעם זה לא מצריכינן ביבש חד בתרי לאכלן שנים שנים כדאמרינן גבי טבעת ואיברי קדשים</w:t>
      </w:r>
      <w:r w:rsidRPr="001B316B">
        <w:rPr>
          <w:rFonts w:cs="Arial" w:hint="cs"/>
          <w:rtl/>
        </w:rPr>
        <w:t>,</w:t>
      </w:r>
      <w:r w:rsidRPr="001B316B">
        <w:rPr>
          <w:rFonts w:cs="Arial"/>
          <w:rtl/>
        </w:rPr>
        <w:t xml:space="preserve"> משום דהתם נאסרו ע"י תערובת ומקילים בהו לתלות האיסור באותו שפירש ולהכי בעינן שיאכלם או שיקריבם שנים שנים דממ"נ איכא בההיא אכילה ובההיא הקרבה חדא דהתירא</w:t>
      </w:r>
      <w:r w:rsidRPr="001B316B">
        <w:rPr>
          <w:rFonts w:cs="Arial" w:hint="cs"/>
          <w:rtl/>
        </w:rPr>
        <w:t>,</w:t>
      </w:r>
      <w:r w:rsidRPr="001B316B">
        <w:rPr>
          <w:rFonts w:cs="Arial"/>
          <w:rtl/>
        </w:rPr>
        <w:t xml:space="preserve"> אבל יבש ביבש לא נאסר תערובתו הילכך מצי למכלינהו כולהו כחדא</w:t>
      </w:r>
      <w:r>
        <w:rPr>
          <w:rFonts w:cs="Arial" w:hint="cs"/>
          <w:rtl/>
        </w:rPr>
        <w:t>, רא"ש</w:t>
      </w:r>
      <w:r w:rsidRPr="001B316B">
        <w:rPr>
          <w:rFonts w:cs="Arial" w:hint="cs"/>
          <w:rtl/>
        </w:rPr>
        <w:t>.</w:t>
      </w:r>
    </w:p>
  </w:footnote>
  <w:footnote w:id="2395">
    <w:p w14:paraId="3D5221D9" w14:textId="77777777" w:rsidR="004C5A3C" w:rsidRDefault="004C5A3C" w:rsidP="002C39F4">
      <w:pPr>
        <w:pStyle w:val="a5"/>
      </w:pPr>
      <w:r>
        <w:rPr>
          <w:rStyle w:val="a7"/>
        </w:rPr>
        <w:footnoteRef/>
      </w:r>
      <w:r>
        <w:rPr>
          <w:rtl/>
        </w:rPr>
        <w:t xml:space="preserve"> </w:t>
      </w:r>
      <w:r w:rsidRPr="00065583">
        <w:rPr>
          <w:rFonts w:cs="Arial"/>
          <w:rtl/>
        </w:rPr>
        <w:t>וז"ל חתיכה של נבלה שאינה ראויה להתכבד שנתערבה באחרות יבש ביבש בטלים אפילו אחד בתוך שנים ואפילו איסור של דבריהם אין כאן והקלו בדבר זה לפי שכל אחד עומד בעצמו ואוכל כל אחד בפני עצמו וכיון שנתבטל ברוב דבר תורה ואין כאן איסור של תורה כשאוכל האחד אני אומר זהו של היתר וכן בכל אחד ואחד ואפילו באחרון אני אומר מה שנאכל ראשון הוא היה של איסור וכבר הלך לו וזה של היתר הוא משא"כ בדברים הנבללים ולפיכך אינו אוכלן כולן כאחד ואינו מבשלן כאחד</w:t>
      </w:r>
      <w:r w:rsidRPr="00065583">
        <w:rPr>
          <w:rFonts w:cs="Arial" w:hint="cs"/>
          <w:rtl/>
        </w:rPr>
        <w:t>.</w:t>
      </w:r>
    </w:p>
  </w:footnote>
  <w:footnote w:id="2396">
    <w:p w14:paraId="12E965A4" w14:textId="77777777" w:rsidR="004C5A3C" w:rsidRDefault="004C5A3C" w:rsidP="002C39F4">
      <w:pPr>
        <w:pStyle w:val="a5"/>
        <w:rPr>
          <w:rtl/>
        </w:rPr>
      </w:pPr>
      <w:r>
        <w:rPr>
          <w:rStyle w:val="a7"/>
        </w:rPr>
        <w:footnoteRef/>
      </w:r>
      <w:r>
        <w:rPr>
          <w:rtl/>
        </w:rPr>
        <w:t xml:space="preserve"> </w:t>
      </w:r>
      <w:r w:rsidRPr="00065583">
        <w:rPr>
          <w:rFonts w:cs="Arial"/>
          <w:rtl/>
        </w:rPr>
        <w:t>כלומר דאע</w:t>
      </w:r>
      <w:r>
        <w:rPr>
          <w:rFonts w:cs="Arial" w:hint="cs"/>
          <w:rtl/>
        </w:rPr>
        <w:t>"</w:t>
      </w:r>
      <w:r w:rsidRPr="00065583">
        <w:rPr>
          <w:rFonts w:cs="Arial"/>
          <w:rtl/>
        </w:rPr>
        <w:t xml:space="preserve">ג דתרומה שנתערבה בק' של חולין בטלה ומותר הכל לזרים וצריך להרים אחד כשיעור תרומה שנפלה כדתנן במסכת תרומות (פ"ה מ"ב) הרי מפרש בירושלמי (ערלה פ"ב ה"א) דהיינו מפני גזל הכהן אבל באיסור שבטל בהיתר ליכא משום גזל אם הם של אדם אחד. וכ"כ הרא"ש בסוף מסכת ע"ז (פ"ה סי' ל) ולאפוקי מדברי </w:t>
      </w:r>
      <w:r>
        <w:rPr>
          <w:rFonts w:cs="Arial" w:hint="cs"/>
          <w:rtl/>
        </w:rPr>
        <w:t>רש"י..., ב"י.</w:t>
      </w:r>
    </w:p>
  </w:footnote>
  <w:footnote w:id="2397">
    <w:p w14:paraId="1EECF5F5" w14:textId="77777777" w:rsidR="004C5A3C" w:rsidRDefault="004C5A3C" w:rsidP="002C39F4">
      <w:pPr>
        <w:pStyle w:val="a5"/>
        <w:rPr>
          <w:rtl/>
        </w:rPr>
      </w:pPr>
      <w:r>
        <w:rPr>
          <w:rStyle w:val="a7"/>
        </w:rPr>
        <w:footnoteRef/>
      </w:r>
      <w:r>
        <w:rPr>
          <w:rtl/>
        </w:rPr>
        <w:t xml:space="preserve"> </w:t>
      </w:r>
      <w:r>
        <w:rPr>
          <w:rFonts w:hint="cs"/>
          <w:rtl/>
        </w:rPr>
        <w:t xml:space="preserve">וכ' הב"י- </w:t>
      </w:r>
      <w:r w:rsidRPr="00190B5B">
        <w:rPr>
          <w:rFonts w:cs="Arial"/>
          <w:rtl/>
        </w:rPr>
        <w:t>ודבר ברור הוא שאין זה דרכו של הרא"ש אלא שהוא סובר דלגמרי נתבטל חד בתרי יבש ביבש וחזר הכל היתר גמור</w:t>
      </w:r>
      <w:r>
        <w:rPr>
          <w:rFonts w:cs="Arial" w:hint="cs"/>
          <w:rtl/>
        </w:rPr>
        <w:t>,</w:t>
      </w:r>
      <w:r w:rsidRPr="00190B5B">
        <w:rPr>
          <w:rFonts w:cs="Arial"/>
          <w:rtl/>
        </w:rPr>
        <w:t xml:space="preserve"> וא</w:t>
      </w:r>
      <w:r>
        <w:rPr>
          <w:rFonts w:cs="Arial" w:hint="cs"/>
          <w:rtl/>
        </w:rPr>
        <w:t>"</w:t>
      </w:r>
      <w:r w:rsidRPr="00190B5B">
        <w:rPr>
          <w:rFonts w:cs="Arial"/>
          <w:rtl/>
        </w:rPr>
        <w:t>כ אף באיסורים שהם למעלה מכדי נ"ט שרי</w:t>
      </w:r>
      <w:r>
        <w:rPr>
          <w:rFonts w:cs="Arial" w:hint="cs"/>
          <w:rtl/>
        </w:rPr>
        <w:t>,</w:t>
      </w:r>
      <w:r w:rsidRPr="00190B5B">
        <w:rPr>
          <w:rFonts w:cs="Arial"/>
          <w:rtl/>
        </w:rPr>
        <w:t xml:space="preserve"> וזהו שהתיר תערובת חמץ ביבש אפילו באכילה</w:t>
      </w:r>
      <w:r>
        <w:rPr>
          <w:rFonts w:cs="Arial" w:hint="cs"/>
          <w:rtl/>
        </w:rPr>
        <w:t>.</w:t>
      </w:r>
    </w:p>
  </w:footnote>
  <w:footnote w:id="2398">
    <w:p w14:paraId="03A48662" w14:textId="77777777" w:rsidR="004C5A3C" w:rsidRDefault="004C5A3C" w:rsidP="002C39F4">
      <w:pPr>
        <w:pStyle w:val="a5"/>
        <w:rPr>
          <w:rtl/>
        </w:rPr>
      </w:pPr>
      <w:r>
        <w:rPr>
          <w:rStyle w:val="a7"/>
        </w:rPr>
        <w:footnoteRef/>
      </w:r>
      <w:r>
        <w:rPr>
          <w:rtl/>
        </w:rPr>
        <w:t xml:space="preserve"> </w:t>
      </w:r>
      <w:r>
        <w:rPr>
          <w:rFonts w:cs="Arial" w:hint="cs"/>
          <w:rtl/>
        </w:rPr>
        <w:t>הפר"ח (סק"ג) כתב ד</w:t>
      </w:r>
      <w:r w:rsidRPr="00FD33CE">
        <w:rPr>
          <w:rFonts w:cs="Arial"/>
          <w:rtl/>
        </w:rPr>
        <w:t>פירוש</w:t>
      </w:r>
      <w:r>
        <w:rPr>
          <w:rFonts w:cs="Arial" w:hint="cs"/>
          <w:rtl/>
        </w:rPr>
        <w:t xml:space="preserve"> הדברים הם</w:t>
      </w:r>
      <w:r w:rsidRPr="00FD33CE">
        <w:rPr>
          <w:rFonts w:cs="Arial"/>
          <w:rtl/>
        </w:rPr>
        <w:t xml:space="preserve"> </w:t>
      </w:r>
      <w:r>
        <w:rPr>
          <w:rFonts w:cs="Arial" w:hint="cs"/>
          <w:rtl/>
        </w:rPr>
        <w:t xml:space="preserve">כך: </w:t>
      </w:r>
      <w:r w:rsidRPr="00FD33CE">
        <w:rPr>
          <w:rFonts w:cs="Arial"/>
          <w:rtl/>
        </w:rPr>
        <w:t>תערובת לח בלח מקרי גוף האיסור או טעמו שמתערב יפה ונבלל יפה עם ההיתר לגמרי באופן שבכל חלק מן התערובת אפילו בדבר מועט יש שם איסור והיתר מעורבין יחד</w:t>
      </w:r>
      <w:r>
        <w:rPr>
          <w:rFonts w:cs="Arial" w:hint="cs"/>
          <w:rtl/>
        </w:rPr>
        <w:t>,</w:t>
      </w:r>
      <w:r w:rsidRPr="00FD33CE">
        <w:rPr>
          <w:rFonts w:cs="Arial"/>
          <w:rtl/>
        </w:rPr>
        <w:t xml:space="preserve"> כגון שמן בשמן ויין ביין שנבללין, וכן חתיכת איסור שנתבשלה עם חתיכות היתר, אע</w:t>
      </w:r>
      <w:r>
        <w:rPr>
          <w:rFonts w:cs="Arial" w:hint="cs"/>
          <w:rtl/>
        </w:rPr>
        <w:t>"</w:t>
      </w:r>
      <w:r w:rsidRPr="00FD33CE">
        <w:rPr>
          <w:rFonts w:cs="Arial"/>
          <w:rtl/>
        </w:rPr>
        <w:t>פ שהחתיכות מצד עצמן מקרו יבש וצריך רובא דהיתרא, מ</w:t>
      </w:r>
      <w:r>
        <w:rPr>
          <w:rFonts w:cs="Arial" w:hint="cs"/>
          <w:rtl/>
        </w:rPr>
        <w:t>"מ</w:t>
      </w:r>
      <w:r w:rsidRPr="00FD33CE">
        <w:rPr>
          <w:rFonts w:cs="Arial"/>
          <w:rtl/>
        </w:rPr>
        <w:t xml:space="preserve"> כיון שנתבשלו יחד ע</w:t>
      </w:r>
      <w:r>
        <w:rPr>
          <w:rFonts w:cs="Arial" w:hint="cs"/>
          <w:rtl/>
        </w:rPr>
        <w:t>"</w:t>
      </w:r>
      <w:r w:rsidRPr="00FD33CE">
        <w:rPr>
          <w:rFonts w:cs="Arial"/>
          <w:rtl/>
        </w:rPr>
        <w:t>י המרק והרוטב מתפשט טעם האיסור בהיתר ומקרי נמי לח בלח להצריך ששים בחתיכות ההיתר ובתבשיל נגד החתיכה של איסור. ויבש ביבש מקרי מה שהאיסור עומד בעצמו וההיתר עומד בעצמו ונתערב זה בזה ואינו מכירו כגון חטים בחטים, וכן חתיכת איסור שנתבשלה עם חתיכות היתר אפילו ע</w:t>
      </w:r>
      <w:r>
        <w:rPr>
          <w:rFonts w:cs="Arial" w:hint="cs"/>
          <w:rtl/>
        </w:rPr>
        <w:t>"</w:t>
      </w:r>
      <w:r w:rsidRPr="00FD33CE">
        <w:rPr>
          <w:rFonts w:cs="Arial"/>
          <w:rtl/>
        </w:rPr>
        <w:t>י מים ומשקים אחרים שמתערבים פליטתם יחד מ</w:t>
      </w:r>
      <w:r>
        <w:rPr>
          <w:rFonts w:cs="Arial" w:hint="cs"/>
          <w:rtl/>
        </w:rPr>
        <w:t>"</w:t>
      </w:r>
      <w:r w:rsidRPr="00FD33CE">
        <w:rPr>
          <w:rFonts w:cs="Arial"/>
          <w:rtl/>
        </w:rPr>
        <w:t xml:space="preserve">מ מקרי יבש וצריך ששים של היתר בכל מה שבקדרה לבטל חתיכת האיסור, וגם צריך שיהא בחתיכות ההיתר רוב נגד חתיכת האיסור אם הוא מין במינו. ובמין בשאינו מינו צריך ששים חתיכות של היתר נגד חתיכת האיסור, ואי איכא ששים ורוב הכל שרי, ואי ליכא ששים אף דאיכא רוב הכל אסור כדין לח בלח, ואי איכא ששים וליכא רוב כל החתיכות אסורות והרוטב מותר. </w:t>
      </w:r>
    </w:p>
  </w:footnote>
  <w:footnote w:id="2399">
    <w:p w14:paraId="59C410ED" w14:textId="77777777" w:rsidR="004C5A3C" w:rsidRDefault="004C5A3C" w:rsidP="002C39F4">
      <w:pPr>
        <w:pStyle w:val="a5"/>
        <w:rPr>
          <w:rtl/>
        </w:rPr>
      </w:pPr>
      <w:r>
        <w:rPr>
          <w:rStyle w:val="a7"/>
        </w:rPr>
        <w:footnoteRef/>
      </w:r>
      <w:r>
        <w:rPr>
          <w:rtl/>
        </w:rPr>
        <w:t xml:space="preserve"> </w:t>
      </w:r>
      <w:r>
        <w:rPr>
          <w:rFonts w:cs="Arial" w:hint="cs"/>
          <w:rtl/>
        </w:rPr>
        <w:t xml:space="preserve">אבל </w:t>
      </w:r>
      <w:r w:rsidRPr="00C273A0">
        <w:rPr>
          <w:rFonts w:cs="Arial"/>
          <w:rtl/>
        </w:rPr>
        <w:t>קמח בקמח כיון דנבלל מיקרי לח בלח</w:t>
      </w:r>
      <w:r>
        <w:rPr>
          <w:rFonts w:cs="Arial" w:hint="cs"/>
          <w:rtl/>
        </w:rPr>
        <w:t xml:space="preserve">, ב"ח. וכ"כ </w:t>
      </w:r>
      <w:r w:rsidRPr="00C273A0">
        <w:rPr>
          <w:rFonts w:cs="Arial"/>
          <w:rtl/>
        </w:rPr>
        <w:t>ת</w:t>
      </w:r>
      <w:r>
        <w:rPr>
          <w:rFonts w:cs="Arial" w:hint="cs"/>
          <w:rtl/>
        </w:rPr>
        <w:t>רו</w:t>
      </w:r>
      <w:r w:rsidRPr="00C273A0">
        <w:rPr>
          <w:rFonts w:cs="Arial"/>
          <w:rtl/>
        </w:rPr>
        <w:t>ה</w:t>
      </w:r>
      <w:r>
        <w:rPr>
          <w:rFonts w:cs="Arial" w:hint="cs"/>
          <w:rtl/>
        </w:rPr>
        <w:t>"ד</w:t>
      </w:r>
      <w:r w:rsidRPr="00C273A0">
        <w:rPr>
          <w:rFonts w:cs="Arial"/>
          <w:sz w:val="16"/>
          <w:szCs w:val="16"/>
          <w:rtl/>
        </w:rPr>
        <w:t xml:space="preserve"> </w:t>
      </w:r>
      <w:r w:rsidRPr="00C273A0">
        <w:rPr>
          <w:rFonts w:cs="Arial" w:hint="cs"/>
          <w:sz w:val="16"/>
          <w:szCs w:val="16"/>
          <w:rtl/>
        </w:rPr>
        <w:t>(</w:t>
      </w:r>
      <w:r w:rsidRPr="00C273A0">
        <w:rPr>
          <w:rFonts w:cs="Arial"/>
          <w:sz w:val="16"/>
          <w:szCs w:val="16"/>
          <w:rtl/>
        </w:rPr>
        <w:t>סי' קיד</w:t>
      </w:r>
      <w:r w:rsidRPr="00C273A0">
        <w:rPr>
          <w:rFonts w:cs="Arial" w:hint="cs"/>
          <w:sz w:val="16"/>
          <w:szCs w:val="16"/>
          <w:rtl/>
        </w:rPr>
        <w:t>)</w:t>
      </w:r>
      <w:r w:rsidRPr="00C273A0">
        <w:rPr>
          <w:rFonts w:cs="Arial"/>
          <w:sz w:val="16"/>
          <w:szCs w:val="16"/>
          <w:rtl/>
        </w:rPr>
        <w:t xml:space="preserve"> </w:t>
      </w:r>
      <w:r w:rsidRPr="00C273A0">
        <w:rPr>
          <w:rFonts w:cs="Arial"/>
          <w:rtl/>
        </w:rPr>
        <w:t xml:space="preserve">בשם הסמ"ג </w:t>
      </w:r>
      <w:r w:rsidRPr="00C273A0">
        <w:rPr>
          <w:rFonts w:cs="Arial" w:hint="cs"/>
          <w:sz w:val="16"/>
          <w:szCs w:val="16"/>
          <w:rtl/>
        </w:rPr>
        <w:t>(</w:t>
      </w:r>
      <w:r w:rsidRPr="00C273A0">
        <w:rPr>
          <w:rFonts w:cs="Arial"/>
          <w:sz w:val="16"/>
          <w:szCs w:val="16"/>
          <w:rtl/>
        </w:rPr>
        <w:t>ומביאו ב"י וד</w:t>
      </w:r>
      <w:r w:rsidRPr="00C273A0">
        <w:rPr>
          <w:rFonts w:cs="Arial" w:hint="cs"/>
          <w:sz w:val="16"/>
          <w:szCs w:val="16"/>
          <w:rtl/>
        </w:rPr>
        <w:t>רכ</w:t>
      </w:r>
      <w:r w:rsidRPr="00C273A0">
        <w:rPr>
          <w:rFonts w:cs="Arial"/>
          <w:sz w:val="16"/>
          <w:szCs w:val="16"/>
          <w:rtl/>
        </w:rPr>
        <w:t>"מ בא</w:t>
      </w:r>
      <w:r w:rsidRPr="00C273A0">
        <w:rPr>
          <w:rFonts w:cs="Arial" w:hint="cs"/>
          <w:sz w:val="16"/>
          <w:szCs w:val="16"/>
          <w:rtl/>
        </w:rPr>
        <w:t>ו</w:t>
      </w:r>
      <w:r w:rsidRPr="00C273A0">
        <w:rPr>
          <w:rFonts w:cs="Arial"/>
          <w:sz w:val="16"/>
          <w:szCs w:val="16"/>
          <w:rtl/>
        </w:rPr>
        <w:t>"ח סי' תמז מחודש ג'</w:t>
      </w:r>
      <w:r>
        <w:rPr>
          <w:rFonts w:cs="Arial" w:hint="cs"/>
          <w:sz w:val="16"/>
          <w:szCs w:val="16"/>
          <w:rtl/>
        </w:rPr>
        <w:t>)</w:t>
      </w:r>
      <w:r>
        <w:rPr>
          <w:rFonts w:cs="Arial" w:hint="cs"/>
          <w:rtl/>
        </w:rPr>
        <w:t xml:space="preserve">, </w:t>
      </w:r>
      <w:r w:rsidRPr="00C273A0">
        <w:rPr>
          <w:rFonts w:cs="Arial"/>
          <w:rtl/>
        </w:rPr>
        <w:t xml:space="preserve">וכ"כ הרשב"א </w:t>
      </w:r>
      <w:r w:rsidRPr="00C273A0">
        <w:rPr>
          <w:rFonts w:cs="Arial" w:hint="cs"/>
          <w:sz w:val="16"/>
          <w:szCs w:val="16"/>
          <w:rtl/>
        </w:rPr>
        <w:t>(חולין צז:,</w:t>
      </w:r>
      <w:r w:rsidRPr="00C273A0">
        <w:rPr>
          <w:rFonts w:cs="Arial"/>
          <w:sz w:val="16"/>
          <w:szCs w:val="16"/>
          <w:rtl/>
        </w:rPr>
        <w:t xml:space="preserve"> ובתשו</w:t>
      </w:r>
      <w:r w:rsidRPr="00C273A0">
        <w:rPr>
          <w:rFonts w:cs="Arial" w:hint="cs"/>
          <w:sz w:val="16"/>
          <w:szCs w:val="16"/>
          <w:rtl/>
        </w:rPr>
        <w:t>'</w:t>
      </w:r>
      <w:r w:rsidRPr="00C273A0">
        <w:rPr>
          <w:rFonts w:cs="Arial"/>
          <w:sz w:val="16"/>
          <w:szCs w:val="16"/>
          <w:rtl/>
        </w:rPr>
        <w:t xml:space="preserve"> סי' רפג</w:t>
      </w:r>
      <w:r w:rsidRPr="00C273A0">
        <w:rPr>
          <w:rFonts w:cs="Arial" w:hint="cs"/>
          <w:sz w:val="16"/>
          <w:szCs w:val="16"/>
          <w:rtl/>
        </w:rPr>
        <w:t>)</w:t>
      </w:r>
      <w:r w:rsidRPr="00C273A0">
        <w:rPr>
          <w:rFonts w:cs="Arial"/>
          <w:sz w:val="16"/>
          <w:szCs w:val="16"/>
          <w:rtl/>
        </w:rPr>
        <w:t xml:space="preserve"> </w:t>
      </w:r>
      <w:r w:rsidRPr="00C273A0">
        <w:rPr>
          <w:rFonts w:cs="Arial"/>
          <w:rtl/>
        </w:rPr>
        <w:t>ו</w:t>
      </w:r>
      <w:r>
        <w:rPr>
          <w:rFonts w:cs="Arial" w:hint="cs"/>
          <w:rtl/>
        </w:rPr>
        <w:t>ה</w:t>
      </w:r>
      <w:r w:rsidRPr="00C273A0">
        <w:rPr>
          <w:rFonts w:cs="Arial"/>
          <w:rtl/>
        </w:rPr>
        <w:t>תו</w:t>
      </w:r>
      <w:r>
        <w:rPr>
          <w:rFonts w:cs="Arial" w:hint="cs"/>
          <w:rtl/>
        </w:rPr>
        <w:t>ס</w:t>
      </w:r>
      <w:r w:rsidRPr="00C273A0">
        <w:rPr>
          <w:rFonts w:cs="Arial"/>
          <w:rtl/>
        </w:rPr>
        <w:t xml:space="preserve">' </w:t>
      </w:r>
      <w:r>
        <w:rPr>
          <w:rFonts w:cs="Arial" w:hint="cs"/>
          <w:rtl/>
        </w:rPr>
        <w:t>ב</w:t>
      </w:r>
      <w:r w:rsidRPr="00C273A0">
        <w:rPr>
          <w:rFonts w:cs="Arial"/>
          <w:rtl/>
        </w:rPr>
        <w:t xml:space="preserve">זבחים </w:t>
      </w:r>
      <w:r w:rsidRPr="00C273A0">
        <w:rPr>
          <w:rFonts w:cs="Arial" w:hint="cs"/>
          <w:sz w:val="16"/>
          <w:szCs w:val="16"/>
          <w:rtl/>
        </w:rPr>
        <w:t>(עג.</w:t>
      </w:r>
      <w:r w:rsidRPr="00C273A0">
        <w:rPr>
          <w:rFonts w:cs="Arial"/>
          <w:sz w:val="16"/>
          <w:szCs w:val="16"/>
          <w:rtl/>
        </w:rPr>
        <w:t xml:space="preserve"> ד"ה רבי יודא</w:t>
      </w:r>
      <w:r w:rsidRPr="00C273A0">
        <w:rPr>
          <w:rFonts w:cs="Arial" w:hint="cs"/>
          <w:sz w:val="16"/>
          <w:szCs w:val="16"/>
          <w:rtl/>
        </w:rPr>
        <w:t>)</w:t>
      </w:r>
      <w:r w:rsidRPr="00C273A0">
        <w:rPr>
          <w:rFonts w:cs="Arial"/>
          <w:sz w:val="16"/>
          <w:szCs w:val="16"/>
          <w:rtl/>
        </w:rPr>
        <w:t xml:space="preserve"> </w:t>
      </w:r>
      <w:r w:rsidRPr="00C273A0">
        <w:rPr>
          <w:rFonts w:cs="Arial"/>
          <w:rtl/>
        </w:rPr>
        <w:t xml:space="preserve">ובמנחות </w:t>
      </w:r>
      <w:r w:rsidRPr="00C273A0">
        <w:rPr>
          <w:rFonts w:cs="Arial" w:hint="cs"/>
          <w:sz w:val="16"/>
          <w:szCs w:val="16"/>
          <w:rtl/>
        </w:rPr>
        <w:t>(</w:t>
      </w:r>
      <w:r w:rsidRPr="00C273A0">
        <w:rPr>
          <w:rFonts w:cs="Arial"/>
          <w:sz w:val="16"/>
          <w:szCs w:val="16"/>
          <w:rtl/>
        </w:rPr>
        <w:t>כב</w:t>
      </w:r>
      <w:r w:rsidRPr="00C273A0">
        <w:rPr>
          <w:rFonts w:cs="Arial" w:hint="cs"/>
          <w:sz w:val="16"/>
          <w:szCs w:val="16"/>
          <w:rtl/>
        </w:rPr>
        <w:t>:)</w:t>
      </w:r>
      <w:r>
        <w:rPr>
          <w:rFonts w:cs="Arial" w:hint="cs"/>
          <w:rtl/>
        </w:rPr>
        <w:t>,</w:t>
      </w:r>
      <w:r w:rsidRPr="00C273A0">
        <w:rPr>
          <w:rFonts w:cs="Arial"/>
          <w:rtl/>
        </w:rPr>
        <w:t xml:space="preserve"> דלא כדמשמע בתו</w:t>
      </w:r>
      <w:r>
        <w:rPr>
          <w:rFonts w:cs="Arial" w:hint="cs"/>
          <w:rtl/>
        </w:rPr>
        <w:t>ס' יבמות</w:t>
      </w:r>
      <w:r w:rsidRPr="00C273A0">
        <w:rPr>
          <w:rFonts w:cs="Arial"/>
          <w:rtl/>
        </w:rPr>
        <w:t xml:space="preserve"> </w:t>
      </w:r>
      <w:r w:rsidRPr="00C273A0">
        <w:rPr>
          <w:rFonts w:cs="Arial" w:hint="cs"/>
          <w:sz w:val="16"/>
          <w:szCs w:val="16"/>
          <w:rtl/>
        </w:rPr>
        <w:t>(</w:t>
      </w:r>
      <w:r w:rsidRPr="00C273A0">
        <w:rPr>
          <w:rFonts w:cs="Arial"/>
          <w:sz w:val="16"/>
          <w:szCs w:val="16"/>
          <w:rtl/>
        </w:rPr>
        <w:t>פב</w:t>
      </w:r>
      <w:r w:rsidRPr="00C273A0">
        <w:rPr>
          <w:rFonts w:cs="Arial" w:hint="cs"/>
          <w:sz w:val="16"/>
          <w:szCs w:val="16"/>
          <w:rtl/>
        </w:rPr>
        <w:t>.</w:t>
      </w:r>
      <w:r w:rsidRPr="00C273A0">
        <w:rPr>
          <w:rFonts w:cs="Arial"/>
          <w:sz w:val="16"/>
          <w:szCs w:val="16"/>
          <w:rtl/>
        </w:rPr>
        <w:t xml:space="preserve"> </w:t>
      </w:r>
      <w:r w:rsidRPr="00C273A0">
        <w:rPr>
          <w:rFonts w:cs="Arial" w:hint="cs"/>
          <w:sz w:val="16"/>
          <w:szCs w:val="16"/>
          <w:rtl/>
        </w:rPr>
        <w:t xml:space="preserve">ד"ה רבי יהודה) </w:t>
      </w:r>
      <w:r w:rsidRPr="00C273A0">
        <w:rPr>
          <w:rFonts w:cs="Arial"/>
          <w:rtl/>
        </w:rPr>
        <w:t>דקמח בקמח לא הוי כלח בלח אלא כשהוא רותח</w:t>
      </w:r>
      <w:r>
        <w:rPr>
          <w:rFonts w:hint="cs"/>
          <w:rtl/>
        </w:rPr>
        <w:t xml:space="preserve">, ש"ך (סק"ג). אך מפורש ברמב"ם </w:t>
      </w:r>
      <w:r w:rsidRPr="002309F8">
        <w:rPr>
          <w:rFonts w:hint="cs"/>
          <w:sz w:val="16"/>
          <w:szCs w:val="16"/>
          <w:rtl/>
        </w:rPr>
        <w:t xml:space="preserve">(תרומות פי"ג ה"ד) </w:t>
      </w:r>
      <w:r>
        <w:rPr>
          <w:rFonts w:hint="cs"/>
          <w:rtl/>
        </w:rPr>
        <w:t xml:space="preserve">דקמח אין דרכו להבלל. והעיר כן רעק"א </w:t>
      </w:r>
      <w:r w:rsidRPr="002309F8">
        <w:rPr>
          <w:rFonts w:hint="cs"/>
          <w:sz w:val="16"/>
          <w:szCs w:val="16"/>
          <w:rtl/>
        </w:rPr>
        <w:t xml:space="preserve">(אות א) </w:t>
      </w:r>
      <w:r>
        <w:rPr>
          <w:rFonts w:hint="cs"/>
          <w:rtl/>
        </w:rPr>
        <w:t>על דברי הש"ך.</w:t>
      </w:r>
    </w:p>
  </w:footnote>
  <w:footnote w:id="2400">
    <w:p w14:paraId="51CA3E32" w14:textId="77777777" w:rsidR="004C5A3C" w:rsidRDefault="004C5A3C" w:rsidP="002C39F4">
      <w:pPr>
        <w:pStyle w:val="a5"/>
      </w:pPr>
      <w:r>
        <w:rPr>
          <w:rStyle w:val="a7"/>
        </w:rPr>
        <w:footnoteRef/>
      </w:r>
      <w:r>
        <w:rPr>
          <w:rtl/>
        </w:rPr>
        <w:t xml:space="preserve"> </w:t>
      </w:r>
      <w:r w:rsidRPr="00C273A0">
        <w:rPr>
          <w:rFonts w:cs="Arial"/>
          <w:rtl/>
        </w:rPr>
        <w:t>אע</w:t>
      </w:r>
      <w:r>
        <w:rPr>
          <w:rFonts w:cs="Arial" w:hint="cs"/>
          <w:rtl/>
        </w:rPr>
        <w:t>"</w:t>
      </w:r>
      <w:r w:rsidRPr="00C273A0">
        <w:rPr>
          <w:rFonts w:cs="Arial"/>
          <w:rtl/>
        </w:rPr>
        <w:t>פ שהוא מבושל במים או משקים אחרים מקרי יבש, ב"י ות"ח</w:t>
      </w:r>
      <w:r w:rsidRPr="00C273A0">
        <w:rPr>
          <w:rFonts w:cs="Arial"/>
          <w:sz w:val="16"/>
          <w:szCs w:val="16"/>
          <w:rtl/>
        </w:rPr>
        <w:t xml:space="preserve"> </w:t>
      </w:r>
      <w:r w:rsidRPr="00C273A0">
        <w:rPr>
          <w:rFonts w:cs="Arial" w:hint="cs"/>
          <w:sz w:val="16"/>
          <w:szCs w:val="16"/>
          <w:rtl/>
        </w:rPr>
        <w:t>(</w:t>
      </w:r>
      <w:r w:rsidRPr="00C273A0">
        <w:rPr>
          <w:rFonts w:cs="Arial"/>
          <w:sz w:val="16"/>
          <w:szCs w:val="16"/>
          <w:rtl/>
        </w:rPr>
        <w:t>כלל ל"ט סוף דין א בשם הפוסקים</w:t>
      </w:r>
      <w:r w:rsidRPr="00C273A0">
        <w:rPr>
          <w:rFonts w:cs="Arial" w:hint="cs"/>
          <w:sz w:val="16"/>
          <w:szCs w:val="16"/>
          <w:rtl/>
        </w:rPr>
        <w:t>)</w:t>
      </w:r>
      <w:r>
        <w:rPr>
          <w:rFonts w:cs="Arial" w:hint="cs"/>
          <w:rtl/>
        </w:rPr>
        <w:t>...</w:t>
      </w:r>
      <w:r w:rsidRPr="00C273A0">
        <w:rPr>
          <w:rFonts w:cs="Arial"/>
          <w:rtl/>
        </w:rPr>
        <w:t xml:space="preserve"> מיהו פשיטא דבמבושל צריך ששים בין החתיכות והמים נגד האיסור</w:t>
      </w:r>
      <w:r>
        <w:rPr>
          <w:rFonts w:cs="Arial" w:hint="cs"/>
          <w:rtl/>
        </w:rPr>
        <w:t>,</w:t>
      </w:r>
      <w:r w:rsidRPr="00C273A0">
        <w:rPr>
          <w:rFonts w:cs="Arial"/>
          <w:rtl/>
        </w:rPr>
        <w:t xml:space="preserve"> אלא</w:t>
      </w:r>
      <w:r>
        <w:rPr>
          <w:rFonts w:cs="Arial" w:hint="cs"/>
          <w:rtl/>
        </w:rPr>
        <w:t>,</w:t>
      </w:r>
      <w:r w:rsidRPr="00C273A0">
        <w:rPr>
          <w:rFonts w:cs="Arial"/>
          <w:rtl/>
        </w:rPr>
        <w:t xml:space="preserve"> דאפילו יש ס' דין החתיכות כיבש דבטל ברוב</w:t>
      </w:r>
      <w:r>
        <w:rPr>
          <w:rFonts w:cs="Arial" w:hint="cs"/>
          <w:rtl/>
        </w:rPr>
        <w:t>,</w:t>
      </w:r>
      <w:r w:rsidRPr="00C273A0">
        <w:rPr>
          <w:rFonts w:cs="Arial"/>
          <w:rtl/>
        </w:rPr>
        <w:t xml:space="preserve"> ואם אין בחתיכות רוב כל החתיכות אסורות אע</w:t>
      </w:r>
      <w:r>
        <w:rPr>
          <w:rFonts w:cs="Arial" w:hint="cs"/>
          <w:rtl/>
        </w:rPr>
        <w:t>"</w:t>
      </w:r>
      <w:r w:rsidRPr="00C273A0">
        <w:rPr>
          <w:rFonts w:cs="Arial"/>
          <w:rtl/>
        </w:rPr>
        <w:t>פ שיש ס</w:t>
      </w:r>
      <w:r>
        <w:rPr>
          <w:rFonts w:cs="Arial" w:hint="cs"/>
          <w:rtl/>
        </w:rPr>
        <w:t>',</w:t>
      </w:r>
      <w:r w:rsidRPr="00C273A0">
        <w:rPr>
          <w:rFonts w:cs="Arial"/>
          <w:rtl/>
        </w:rPr>
        <w:t xml:space="preserve"> וק"ל</w:t>
      </w:r>
      <w:r>
        <w:rPr>
          <w:rFonts w:cs="Arial" w:hint="cs"/>
          <w:rtl/>
        </w:rPr>
        <w:t>,</w:t>
      </w:r>
      <w:r w:rsidRPr="00C273A0">
        <w:rPr>
          <w:rFonts w:cs="Arial"/>
          <w:rtl/>
        </w:rPr>
        <w:t xml:space="preserve"> וכן מוכח בש"ס ופוסקי</w:t>
      </w:r>
      <w:r>
        <w:rPr>
          <w:rFonts w:cs="Arial" w:hint="cs"/>
          <w:rtl/>
        </w:rPr>
        <w:t>ם, ש"ך (סק"ד).</w:t>
      </w:r>
    </w:p>
  </w:footnote>
  <w:footnote w:id="2401">
    <w:p w14:paraId="56C0E5CB" w14:textId="77777777" w:rsidR="004C5A3C" w:rsidRDefault="004C5A3C" w:rsidP="002C39F4">
      <w:pPr>
        <w:pStyle w:val="a5"/>
      </w:pPr>
      <w:r>
        <w:rPr>
          <w:rStyle w:val="a7"/>
        </w:rPr>
        <w:footnoteRef/>
      </w:r>
      <w:r>
        <w:rPr>
          <w:rtl/>
        </w:rPr>
        <w:t xml:space="preserve"> </w:t>
      </w:r>
      <w:r w:rsidRPr="00646147">
        <w:rPr>
          <w:rFonts w:cs="Arial"/>
          <w:rtl/>
        </w:rPr>
        <w:t>כלו</w:t>
      </w:r>
      <w:r>
        <w:rPr>
          <w:rFonts w:cs="Arial" w:hint="cs"/>
          <w:rtl/>
        </w:rPr>
        <w:t>מר</w:t>
      </w:r>
      <w:r w:rsidRPr="00646147">
        <w:rPr>
          <w:rFonts w:cs="Arial"/>
          <w:rtl/>
        </w:rPr>
        <w:t xml:space="preserve"> ברוב</w:t>
      </w:r>
      <w:r>
        <w:rPr>
          <w:rFonts w:cs="Arial" w:hint="cs"/>
          <w:rtl/>
        </w:rPr>
        <w:t>,</w:t>
      </w:r>
      <w:r w:rsidRPr="00646147">
        <w:rPr>
          <w:rFonts w:cs="Arial"/>
          <w:rtl/>
        </w:rPr>
        <w:t xml:space="preserve"> כדכתיב </w:t>
      </w:r>
      <w:r>
        <w:rPr>
          <w:rFonts w:cs="Arial" w:hint="cs"/>
          <w:sz w:val="16"/>
          <w:szCs w:val="16"/>
          <w:rtl/>
        </w:rPr>
        <w:t>(שמות כג, ב)</w:t>
      </w:r>
      <w:r>
        <w:rPr>
          <w:rFonts w:cs="Arial" w:hint="cs"/>
          <w:rtl/>
        </w:rPr>
        <w:t xml:space="preserve"> </w:t>
      </w:r>
      <w:r w:rsidRPr="00646147">
        <w:rPr>
          <w:rFonts w:cs="Arial"/>
          <w:rtl/>
        </w:rPr>
        <w:t>אחרי רבים להטות</w:t>
      </w:r>
      <w:r>
        <w:rPr>
          <w:rFonts w:cs="Arial" w:hint="cs"/>
          <w:rtl/>
        </w:rPr>
        <w:t>,</w:t>
      </w:r>
      <w:r w:rsidRPr="00646147">
        <w:rPr>
          <w:rFonts w:cs="Arial"/>
          <w:rtl/>
        </w:rPr>
        <w:t xml:space="preserve"> ואפילו ליכא רוב אלא בהנך תרי שהם קטנים מהאיסור </w:t>
      </w:r>
      <w:r w:rsidRPr="00646147">
        <w:rPr>
          <w:rFonts w:cs="Arial"/>
          <w:sz w:val="16"/>
          <w:szCs w:val="16"/>
          <w:rtl/>
        </w:rPr>
        <w:t>(וכגון שלא נודע איזה מהן אסור וכדלקמן סק</w:t>
      </w:r>
      <w:r>
        <w:rPr>
          <w:rFonts w:cs="Arial" w:hint="cs"/>
          <w:sz w:val="16"/>
          <w:szCs w:val="16"/>
          <w:rtl/>
        </w:rPr>
        <w:t>"</w:t>
      </w:r>
      <w:r w:rsidRPr="00646147">
        <w:rPr>
          <w:rFonts w:cs="Arial"/>
          <w:sz w:val="16"/>
          <w:szCs w:val="16"/>
          <w:rtl/>
        </w:rPr>
        <w:t>ח)</w:t>
      </w:r>
      <w:r w:rsidRPr="00646147">
        <w:rPr>
          <w:rFonts w:cs="Arial"/>
          <w:rtl/>
        </w:rPr>
        <w:t xml:space="preserve"> בטל</w:t>
      </w:r>
      <w:r>
        <w:rPr>
          <w:rFonts w:cs="Arial" w:hint="cs"/>
          <w:rtl/>
        </w:rPr>
        <w:t>, ש"ך (סק"ו).</w:t>
      </w:r>
    </w:p>
  </w:footnote>
  <w:footnote w:id="2402">
    <w:p w14:paraId="413C9096" w14:textId="77777777" w:rsidR="004C5A3C" w:rsidRDefault="004C5A3C" w:rsidP="002C39F4">
      <w:pPr>
        <w:pStyle w:val="a5"/>
        <w:rPr>
          <w:rtl/>
        </w:rPr>
      </w:pPr>
      <w:r>
        <w:rPr>
          <w:rStyle w:val="a7"/>
        </w:rPr>
        <w:footnoteRef/>
      </w:r>
      <w:r>
        <w:rPr>
          <w:rtl/>
        </w:rPr>
        <w:t xml:space="preserve"> </w:t>
      </w:r>
      <w:r w:rsidRPr="00906C75">
        <w:rPr>
          <w:rFonts w:cs="Arial"/>
          <w:rtl/>
        </w:rPr>
        <w:t>ומטע</w:t>
      </w:r>
      <w:r>
        <w:rPr>
          <w:rFonts w:cs="Arial" w:hint="cs"/>
          <w:rtl/>
        </w:rPr>
        <w:t>מו של הרשב"א משמע</w:t>
      </w:r>
      <w:r w:rsidRPr="00906C75">
        <w:rPr>
          <w:rFonts w:cs="Arial"/>
          <w:rtl/>
        </w:rPr>
        <w:t xml:space="preserve"> דמותר לאכול </w:t>
      </w:r>
      <w:r>
        <w:rPr>
          <w:rFonts w:cs="Arial" w:hint="cs"/>
          <w:rtl/>
        </w:rPr>
        <w:t>אחד</w:t>
      </w:r>
      <w:r w:rsidRPr="00906C75">
        <w:rPr>
          <w:rFonts w:cs="Arial"/>
          <w:rtl/>
        </w:rPr>
        <w:t xml:space="preserve"> ו</w:t>
      </w:r>
      <w:r>
        <w:rPr>
          <w:rFonts w:cs="Arial" w:hint="cs"/>
          <w:rtl/>
        </w:rPr>
        <w:t>שנים</w:t>
      </w:r>
      <w:r w:rsidRPr="00906C75">
        <w:rPr>
          <w:rFonts w:cs="Arial"/>
          <w:rtl/>
        </w:rPr>
        <w:t xml:space="preserve"> או </w:t>
      </w:r>
      <w:r>
        <w:rPr>
          <w:rFonts w:cs="Arial" w:hint="cs"/>
          <w:rtl/>
        </w:rPr>
        <w:t>שנים</w:t>
      </w:r>
      <w:r w:rsidRPr="00906C75">
        <w:rPr>
          <w:rFonts w:cs="Arial"/>
          <w:rtl/>
        </w:rPr>
        <w:t xml:space="preserve"> וא</w:t>
      </w:r>
      <w:r>
        <w:rPr>
          <w:rFonts w:cs="Arial" w:hint="cs"/>
          <w:rtl/>
        </w:rPr>
        <w:t>חד</w:t>
      </w:r>
      <w:r w:rsidRPr="00906C75">
        <w:rPr>
          <w:rFonts w:cs="Arial"/>
          <w:rtl/>
        </w:rPr>
        <w:t xml:space="preserve"> לאפוקי שלשתן יחד דלא</w:t>
      </w:r>
      <w:r>
        <w:rPr>
          <w:rFonts w:cs="Arial" w:hint="cs"/>
          <w:rtl/>
        </w:rPr>
        <w:t>,</w:t>
      </w:r>
      <w:r w:rsidRPr="00906C75">
        <w:rPr>
          <w:rFonts w:cs="Arial"/>
          <w:rtl/>
        </w:rPr>
        <w:t xml:space="preserve"> והכי משמע ממאי דיתבאר לקמן סקי"ב דמותר לבשלם בב' קדרות</w:t>
      </w:r>
      <w:r>
        <w:rPr>
          <w:rFonts w:cs="Arial" w:hint="cs"/>
          <w:rtl/>
        </w:rPr>
        <w:t>, ע"פ ש"ך (סק"ז).</w:t>
      </w:r>
    </w:p>
  </w:footnote>
  <w:footnote w:id="2403">
    <w:p w14:paraId="4B839D4A" w14:textId="77777777" w:rsidR="004C5A3C" w:rsidRDefault="004C5A3C" w:rsidP="002C39F4">
      <w:pPr>
        <w:pStyle w:val="a5"/>
        <w:rPr>
          <w:rtl/>
        </w:rPr>
      </w:pPr>
      <w:r>
        <w:rPr>
          <w:rStyle w:val="a7"/>
        </w:rPr>
        <w:footnoteRef/>
      </w:r>
      <w:r>
        <w:rPr>
          <w:rtl/>
        </w:rPr>
        <w:t xml:space="preserve"> </w:t>
      </w:r>
      <w:r>
        <w:rPr>
          <w:rFonts w:cs="Arial" w:hint="cs"/>
          <w:rtl/>
        </w:rPr>
        <w:t xml:space="preserve">ואז </w:t>
      </w:r>
      <w:r w:rsidRPr="00034971">
        <w:rPr>
          <w:rFonts w:cs="Arial"/>
          <w:rtl/>
        </w:rPr>
        <w:t>אפי</w:t>
      </w:r>
      <w:r>
        <w:rPr>
          <w:rFonts w:cs="Arial" w:hint="cs"/>
          <w:rtl/>
        </w:rPr>
        <w:t>'</w:t>
      </w:r>
      <w:r w:rsidRPr="00034971">
        <w:rPr>
          <w:rFonts w:cs="Arial"/>
          <w:rtl/>
        </w:rPr>
        <w:t xml:space="preserve"> אדם א</w:t>
      </w:r>
      <w:r>
        <w:rPr>
          <w:rFonts w:cs="Arial" w:hint="cs"/>
          <w:rtl/>
        </w:rPr>
        <w:t>חד</w:t>
      </w:r>
      <w:r w:rsidRPr="00034971">
        <w:rPr>
          <w:rFonts w:cs="Arial"/>
          <w:rtl/>
        </w:rPr>
        <w:t xml:space="preserve"> יכול לאכול מ</w:t>
      </w:r>
      <w:r>
        <w:rPr>
          <w:rFonts w:cs="Arial" w:hint="cs"/>
          <w:rtl/>
        </w:rPr>
        <w:t>ב'</w:t>
      </w:r>
      <w:r w:rsidRPr="00034971">
        <w:rPr>
          <w:rFonts w:cs="Arial"/>
          <w:rtl/>
        </w:rPr>
        <w:t xml:space="preserve"> הנותרים ולא אמרינן בהא איסורא ברובא אישתייר</w:t>
      </w:r>
      <w:r>
        <w:rPr>
          <w:rFonts w:cs="Arial" w:hint="cs"/>
          <w:rtl/>
        </w:rPr>
        <w:t>,</w:t>
      </w:r>
      <w:r w:rsidRPr="00034971">
        <w:rPr>
          <w:rFonts w:cs="Arial"/>
          <w:rtl/>
        </w:rPr>
        <w:t xml:space="preserve"> נו"ב</w:t>
      </w:r>
      <w:r w:rsidRPr="00034971">
        <w:rPr>
          <w:rFonts w:cs="Arial"/>
          <w:sz w:val="16"/>
          <w:szCs w:val="16"/>
          <w:rtl/>
        </w:rPr>
        <w:t xml:space="preserve"> </w:t>
      </w:r>
      <w:r w:rsidRPr="00034971">
        <w:rPr>
          <w:rFonts w:cs="Arial" w:hint="cs"/>
          <w:sz w:val="16"/>
          <w:szCs w:val="16"/>
          <w:rtl/>
        </w:rPr>
        <w:t>(</w:t>
      </w:r>
      <w:r w:rsidRPr="00034971">
        <w:rPr>
          <w:rFonts w:cs="Arial"/>
          <w:sz w:val="16"/>
          <w:szCs w:val="16"/>
          <w:rtl/>
        </w:rPr>
        <w:t>תניינא י</w:t>
      </w:r>
      <w:r w:rsidRPr="00034971">
        <w:rPr>
          <w:rFonts w:cs="Arial" w:hint="cs"/>
          <w:sz w:val="16"/>
          <w:szCs w:val="16"/>
          <w:rtl/>
        </w:rPr>
        <w:t>ו</w:t>
      </w:r>
      <w:r w:rsidRPr="00034971">
        <w:rPr>
          <w:rFonts w:cs="Arial"/>
          <w:sz w:val="16"/>
          <w:szCs w:val="16"/>
          <w:rtl/>
        </w:rPr>
        <w:t>"ד סי</w:t>
      </w:r>
      <w:r w:rsidRPr="00034971">
        <w:rPr>
          <w:rFonts w:cs="Arial" w:hint="cs"/>
          <w:sz w:val="16"/>
          <w:szCs w:val="16"/>
          <w:rtl/>
        </w:rPr>
        <w:t>'</w:t>
      </w:r>
      <w:r w:rsidRPr="00034971">
        <w:rPr>
          <w:rFonts w:cs="Arial"/>
          <w:sz w:val="16"/>
          <w:szCs w:val="16"/>
          <w:rtl/>
        </w:rPr>
        <w:t xml:space="preserve"> מז</w:t>
      </w:r>
      <w:r w:rsidRPr="00034971">
        <w:rPr>
          <w:rFonts w:cs="Arial" w:hint="cs"/>
          <w:sz w:val="16"/>
          <w:szCs w:val="16"/>
          <w:rtl/>
        </w:rPr>
        <w:t>, הביאו הפת"ש סק"ב</w:t>
      </w:r>
      <w:r w:rsidRPr="00034971">
        <w:rPr>
          <w:rFonts w:cs="Arial"/>
          <w:sz w:val="16"/>
          <w:szCs w:val="16"/>
          <w:rtl/>
        </w:rPr>
        <w:t>)</w:t>
      </w:r>
      <w:r>
        <w:rPr>
          <w:rFonts w:cs="Arial" w:hint="cs"/>
          <w:rtl/>
        </w:rPr>
        <w:t>.</w:t>
      </w:r>
    </w:p>
  </w:footnote>
  <w:footnote w:id="2404">
    <w:p w14:paraId="1335EEB6" w14:textId="77777777" w:rsidR="004C5A3C" w:rsidRDefault="004C5A3C" w:rsidP="002C39F4">
      <w:pPr>
        <w:pStyle w:val="a5"/>
        <w:rPr>
          <w:rtl/>
        </w:rPr>
      </w:pPr>
      <w:r>
        <w:rPr>
          <w:rStyle w:val="a7"/>
        </w:rPr>
        <w:footnoteRef/>
      </w:r>
      <w:r>
        <w:rPr>
          <w:rtl/>
        </w:rPr>
        <w:t xml:space="preserve"> </w:t>
      </w:r>
      <w:r w:rsidRPr="00E47064">
        <w:rPr>
          <w:rFonts w:cs="Arial"/>
          <w:rtl/>
        </w:rPr>
        <w:t>כגון שנפרך לחתיכות דקות שאין ניכר בין זה לזה</w:t>
      </w:r>
      <w:r>
        <w:rPr>
          <w:rFonts w:cs="Arial" w:hint="cs"/>
          <w:rtl/>
        </w:rPr>
        <w:t>,</w:t>
      </w:r>
      <w:r w:rsidRPr="00E47064">
        <w:rPr>
          <w:rFonts w:cs="Arial"/>
          <w:rtl/>
        </w:rPr>
        <w:t xml:space="preserve"> טור</w:t>
      </w:r>
      <w:r>
        <w:rPr>
          <w:rFonts w:cs="Arial" w:hint="cs"/>
          <w:rtl/>
        </w:rPr>
        <w:t>,</w:t>
      </w:r>
      <w:r w:rsidRPr="00E47064">
        <w:rPr>
          <w:rFonts w:cs="Arial"/>
          <w:rtl/>
        </w:rPr>
        <w:t xml:space="preserve"> ונ"ל דמשכחת לה נמי כגון שיש כאן ב' או ג' מינים ונודע שאחד מהן אסור ואינו ידוע איזה מהן כגון ששחט כמה מינים וידוע שאחד מהן נשחט שלא כהוגן ואינו ידוע איזהו וכן כל כיוצא בזה </w:t>
      </w:r>
      <w:r w:rsidRPr="00E47064">
        <w:rPr>
          <w:rFonts w:cs="Arial" w:hint="cs"/>
          <w:sz w:val="16"/>
          <w:szCs w:val="16"/>
          <w:rtl/>
        </w:rPr>
        <w:t>(</w:t>
      </w:r>
      <w:r w:rsidRPr="00E47064">
        <w:rPr>
          <w:rFonts w:cs="Arial"/>
          <w:sz w:val="16"/>
          <w:szCs w:val="16"/>
          <w:rtl/>
        </w:rPr>
        <w:t>אבל מ"ש מהרא"י בהגש</w:t>
      </w:r>
      <w:r>
        <w:rPr>
          <w:rFonts w:cs="Arial" w:hint="cs"/>
          <w:sz w:val="16"/>
          <w:szCs w:val="16"/>
          <w:rtl/>
        </w:rPr>
        <w:t>ע</w:t>
      </w:r>
      <w:r w:rsidRPr="00E47064">
        <w:rPr>
          <w:rFonts w:cs="Arial"/>
          <w:sz w:val="16"/>
          <w:szCs w:val="16"/>
          <w:rtl/>
        </w:rPr>
        <w:t>"ד סי' ל"ט</w:t>
      </w:r>
      <w:r>
        <w:rPr>
          <w:rFonts w:cs="Arial" w:hint="cs"/>
          <w:sz w:val="16"/>
          <w:szCs w:val="16"/>
          <w:rtl/>
        </w:rPr>
        <w:t>,</w:t>
      </w:r>
      <w:r w:rsidRPr="00E47064">
        <w:rPr>
          <w:rFonts w:cs="Arial"/>
          <w:sz w:val="16"/>
          <w:szCs w:val="16"/>
          <w:rtl/>
        </w:rPr>
        <w:t xml:space="preserve"> והעתיקו מהרש"ל באו"ש ובספרו פג"ה סי' מ"ו והב"ח ושאר אחרונים</w:t>
      </w:r>
      <w:r>
        <w:rPr>
          <w:rFonts w:cs="Arial" w:hint="cs"/>
          <w:sz w:val="16"/>
          <w:szCs w:val="16"/>
          <w:rtl/>
        </w:rPr>
        <w:t>,</w:t>
      </w:r>
      <w:r w:rsidRPr="00E47064">
        <w:rPr>
          <w:rFonts w:cs="Arial"/>
          <w:sz w:val="16"/>
          <w:szCs w:val="16"/>
          <w:rtl/>
        </w:rPr>
        <w:t xml:space="preserve"> דמשכחת לה כשנתערבו ב' מינים שחלוקים בשמן ושוים במראה כו'</w:t>
      </w:r>
      <w:r>
        <w:rPr>
          <w:rFonts w:cs="Arial" w:hint="cs"/>
          <w:sz w:val="16"/>
          <w:szCs w:val="16"/>
          <w:rtl/>
        </w:rPr>
        <w:t>,</w:t>
      </w:r>
      <w:r w:rsidRPr="00E47064">
        <w:rPr>
          <w:rFonts w:cs="Arial"/>
          <w:sz w:val="16"/>
          <w:szCs w:val="16"/>
          <w:rtl/>
        </w:rPr>
        <w:t xml:space="preserve"> צ"ע דמה בכך שחלוקים בשמן הא צריכין להיות חלוקים בטעמן דהא אסור משו</w:t>
      </w:r>
      <w:r>
        <w:rPr>
          <w:rFonts w:cs="Arial" w:hint="cs"/>
          <w:sz w:val="16"/>
          <w:szCs w:val="16"/>
          <w:rtl/>
        </w:rPr>
        <w:t>ם</w:t>
      </w:r>
      <w:r w:rsidRPr="00E47064">
        <w:rPr>
          <w:rFonts w:cs="Arial"/>
          <w:sz w:val="16"/>
          <w:szCs w:val="16"/>
          <w:rtl/>
        </w:rPr>
        <w:t xml:space="preserve"> טעמא</w:t>
      </w:r>
      <w:r>
        <w:rPr>
          <w:rFonts w:cs="Arial" w:hint="cs"/>
          <w:sz w:val="16"/>
          <w:szCs w:val="16"/>
          <w:rtl/>
        </w:rPr>
        <w:t>,</w:t>
      </w:r>
      <w:r w:rsidRPr="00E47064">
        <w:rPr>
          <w:rFonts w:cs="Arial"/>
          <w:sz w:val="16"/>
          <w:szCs w:val="16"/>
          <w:rtl/>
        </w:rPr>
        <w:t xml:space="preserve"> ונראה דט"ס הוא וצ"ל שחלוקין בטעמן ושוין במראה או סתמא דמילתא כשחלוקין בשמן חלוקים בטעמן</w:t>
      </w:r>
      <w:r>
        <w:rPr>
          <w:rFonts w:cs="Arial" w:hint="cs"/>
          <w:sz w:val="16"/>
          <w:szCs w:val="16"/>
          <w:rtl/>
        </w:rPr>
        <w:t>,</w:t>
      </w:r>
      <w:r w:rsidRPr="00E47064">
        <w:rPr>
          <w:rFonts w:cs="Arial"/>
          <w:sz w:val="16"/>
          <w:szCs w:val="16"/>
          <w:rtl/>
        </w:rPr>
        <w:t xml:space="preserve"> וע"ל סי' ק"י סק</w:t>
      </w:r>
      <w:r>
        <w:rPr>
          <w:rFonts w:cs="Arial" w:hint="cs"/>
          <w:sz w:val="16"/>
          <w:szCs w:val="16"/>
          <w:rtl/>
        </w:rPr>
        <w:t>"</w:t>
      </w:r>
      <w:r w:rsidRPr="00E47064">
        <w:rPr>
          <w:rFonts w:cs="Arial"/>
          <w:sz w:val="16"/>
          <w:szCs w:val="16"/>
          <w:rtl/>
        </w:rPr>
        <w:t>א</w:t>
      </w:r>
      <w:r>
        <w:rPr>
          <w:rFonts w:cs="Arial" w:hint="cs"/>
          <w:sz w:val="16"/>
          <w:szCs w:val="16"/>
          <w:rtl/>
        </w:rPr>
        <w:t>)</w:t>
      </w:r>
      <w:r>
        <w:rPr>
          <w:rFonts w:hint="cs"/>
          <w:rtl/>
        </w:rPr>
        <w:t>, ש"ך (סק"ח).</w:t>
      </w:r>
    </w:p>
  </w:footnote>
  <w:footnote w:id="2405">
    <w:p w14:paraId="171372E5" w14:textId="77777777" w:rsidR="004C5A3C" w:rsidRDefault="004C5A3C" w:rsidP="002C39F4">
      <w:pPr>
        <w:pStyle w:val="a5"/>
      </w:pPr>
      <w:r>
        <w:rPr>
          <w:rStyle w:val="a7"/>
        </w:rPr>
        <w:footnoteRef/>
      </w:r>
      <w:r>
        <w:rPr>
          <w:rtl/>
        </w:rPr>
        <w:t xml:space="preserve"> </w:t>
      </w:r>
      <w:r w:rsidRPr="008363AC">
        <w:rPr>
          <w:rFonts w:cs="Arial"/>
          <w:rtl/>
        </w:rPr>
        <w:t>כיון דאם יבשלם יתן טעם</w:t>
      </w:r>
      <w:r>
        <w:rPr>
          <w:rFonts w:cs="Arial" w:hint="cs"/>
          <w:rtl/>
        </w:rPr>
        <w:t>,</w:t>
      </w:r>
      <w:r w:rsidRPr="008363AC">
        <w:rPr>
          <w:rFonts w:cs="Arial"/>
          <w:rtl/>
        </w:rPr>
        <w:t xml:space="preserve"> טור בשם סה"ת</w:t>
      </w:r>
      <w:r>
        <w:rPr>
          <w:rFonts w:cs="Arial" w:hint="cs"/>
          <w:rtl/>
        </w:rPr>
        <w:t>,</w:t>
      </w:r>
      <w:r w:rsidRPr="008363AC">
        <w:rPr>
          <w:rFonts w:cs="Arial"/>
          <w:rtl/>
        </w:rPr>
        <w:t xml:space="preserve"> וכ"כ הר"ן</w:t>
      </w:r>
      <w:r>
        <w:rPr>
          <w:rFonts w:cs="Arial" w:hint="cs"/>
          <w:rtl/>
        </w:rPr>
        <w:t xml:space="preserve"> וז"ל</w:t>
      </w:r>
      <w:r>
        <w:rPr>
          <w:rFonts w:cs="Arial" w:hint="cs"/>
          <w:sz w:val="16"/>
          <w:szCs w:val="16"/>
          <w:rtl/>
        </w:rPr>
        <w:t xml:space="preserve"> {לשונו כבר מועתקת לעיל}</w:t>
      </w:r>
      <w:r>
        <w:rPr>
          <w:rFonts w:cs="Arial" w:hint="cs"/>
          <w:rtl/>
        </w:rPr>
        <w:t xml:space="preserve">... </w:t>
      </w:r>
      <w:r w:rsidRPr="008363AC">
        <w:rPr>
          <w:rFonts w:cs="Arial"/>
          <w:rtl/>
        </w:rPr>
        <w:t>ומביאו ב"י</w:t>
      </w:r>
      <w:r>
        <w:rPr>
          <w:rFonts w:cs="Arial" w:hint="cs"/>
          <w:rtl/>
        </w:rPr>
        <w:t>,</w:t>
      </w:r>
      <w:r w:rsidRPr="008363AC">
        <w:rPr>
          <w:rFonts w:cs="Arial"/>
          <w:rtl/>
        </w:rPr>
        <w:t xml:space="preserve"> מבואר מדבריו דדבר שאינו אסור אלא מדרבנן אף שלא במינו א"צ ס' ביבש דהא א"א כלל למיתי לידי איסור דאורייתא</w:t>
      </w:r>
      <w:r>
        <w:rPr>
          <w:rFonts w:cs="Arial" w:hint="cs"/>
          <w:rtl/>
        </w:rPr>
        <w:t>,</w:t>
      </w:r>
      <w:r w:rsidRPr="008363AC">
        <w:rPr>
          <w:rFonts w:cs="Arial"/>
          <w:rtl/>
        </w:rPr>
        <w:t xml:space="preserve"> וכה"ג כתבתי בסי' צ"ח סק</w:t>
      </w:r>
      <w:r>
        <w:rPr>
          <w:rFonts w:cs="Arial" w:hint="cs"/>
          <w:rtl/>
        </w:rPr>
        <w:t>"</w:t>
      </w:r>
      <w:r w:rsidRPr="008363AC">
        <w:rPr>
          <w:rFonts w:cs="Arial"/>
          <w:rtl/>
        </w:rPr>
        <w:t>ז</w:t>
      </w:r>
      <w:r>
        <w:rPr>
          <w:rFonts w:cs="Arial" w:hint="cs"/>
          <w:rtl/>
        </w:rPr>
        <w:t>,</w:t>
      </w:r>
      <w:r w:rsidRPr="008363AC">
        <w:rPr>
          <w:rFonts w:cs="Arial"/>
          <w:rtl/>
        </w:rPr>
        <w:t xml:space="preserve"> וכי היכי דקי"ל מין במינו ספיקו לקולא כיון דלא צריך ס' אלא מדרבנן ה"ה באיסור דרבנן ע"ש</w:t>
      </w:r>
      <w:r>
        <w:rPr>
          <w:rFonts w:cs="Arial" w:hint="cs"/>
          <w:rtl/>
        </w:rPr>
        <w:t xml:space="preserve">... </w:t>
      </w:r>
      <w:r w:rsidRPr="008363AC">
        <w:rPr>
          <w:rFonts w:cs="Arial"/>
          <w:rtl/>
        </w:rPr>
        <w:t>וא"כ צ</w:t>
      </w:r>
      <w:r>
        <w:rPr>
          <w:rFonts w:cs="Arial" w:hint="cs"/>
          <w:rtl/>
        </w:rPr>
        <w:t>"</w:t>
      </w:r>
      <w:r w:rsidRPr="008363AC">
        <w:rPr>
          <w:rFonts w:cs="Arial"/>
          <w:rtl/>
        </w:rPr>
        <w:t>ע על מ"ש הרב ואין חילוק בכל זה בין אם האיסור מדרבנן כו'</w:t>
      </w:r>
      <w:r>
        <w:rPr>
          <w:rFonts w:cs="Arial" w:hint="cs"/>
          <w:rtl/>
        </w:rPr>
        <w:t>,</w:t>
      </w:r>
      <w:r w:rsidRPr="008363AC">
        <w:rPr>
          <w:rFonts w:cs="Arial"/>
          <w:rtl/>
        </w:rPr>
        <w:t xml:space="preserve"> דמנין לו זה והרי מוכח מדברי הר"ן והגש</w:t>
      </w:r>
      <w:r>
        <w:rPr>
          <w:rFonts w:cs="Arial" w:hint="cs"/>
          <w:rtl/>
        </w:rPr>
        <w:t>ע</w:t>
      </w:r>
      <w:r w:rsidRPr="008363AC">
        <w:rPr>
          <w:rFonts w:cs="Arial"/>
          <w:rtl/>
        </w:rPr>
        <w:t>"ד</w:t>
      </w:r>
      <w:r>
        <w:rPr>
          <w:rFonts w:cs="Arial" w:hint="cs"/>
          <w:sz w:val="16"/>
          <w:szCs w:val="16"/>
          <w:rtl/>
        </w:rPr>
        <w:t xml:space="preserve"> {מביא דבריו בש"ך ע"ש}</w:t>
      </w:r>
      <w:r w:rsidRPr="008363AC">
        <w:rPr>
          <w:rFonts w:cs="Arial"/>
          <w:rtl/>
        </w:rPr>
        <w:t xml:space="preserve"> דאיסור דרבנן אף שלא במינו בטל ברוב ואין חולק ע"ז ודברי סברא הם</w:t>
      </w:r>
      <w:r>
        <w:rPr>
          <w:rFonts w:cs="Arial" w:hint="cs"/>
          <w:rtl/>
        </w:rPr>
        <w:t>,</w:t>
      </w:r>
      <w:r w:rsidRPr="008363AC">
        <w:rPr>
          <w:rFonts w:cs="Arial"/>
          <w:rtl/>
        </w:rPr>
        <w:t xml:space="preserve"> גם בד</w:t>
      </w:r>
      <w:r>
        <w:rPr>
          <w:rFonts w:cs="Arial" w:hint="cs"/>
          <w:rtl/>
        </w:rPr>
        <w:t>רכ</w:t>
      </w:r>
      <w:r w:rsidRPr="008363AC">
        <w:rPr>
          <w:rFonts w:cs="Arial"/>
          <w:rtl/>
        </w:rPr>
        <w:t>"מ ובת"ח לא כתב רק שאפילו איסור דרבנן צריך רוב ולא בטל חד בחד כמו שהסכים ב"י ממשמעות הפוסקים</w:t>
      </w:r>
      <w:r>
        <w:rPr>
          <w:rFonts w:cs="Arial" w:hint="cs"/>
          <w:rtl/>
        </w:rPr>
        <w:t>,</w:t>
      </w:r>
      <w:r w:rsidRPr="008363AC">
        <w:rPr>
          <w:rFonts w:cs="Arial"/>
          <w:rtl/>
        </w:rPr>
        <w:t xml:space="preserve"> ולאפוקי הגש</w:t>
      </w:r>
      <w:r>
        <w:rPr>
          <w:rFonts w:cs="Arial" w:hint="cs"/>
          <w:rtl/>
        </w:rPr>
        <w:t>ע</w:t>
      </w:r>
      <w:r w:rsidRPr="008363AC">
        <w:rPr>
          <w:rFonts w:cs="Arial"/>
          <w:rtl/>
        </w:rPr>
        <w:t>"ד הראשונה הנזכרת</w:t>
      </w:r>
      <w:r>
        <w:rPr>
          <w:rFonts w:cs="Arial" w:hint="cs"/>
          <w:rtl/>
        </w:rPr>
        <w:t>,</w:t>
      </w:r>
      <w:r w:rsidRPr="008363AC">
        <w:rPr>
          <w:rFonts w:cs="Arial"/>
          <w:rtl/>
        </w:rPr>
        <w:t xml:space="preserve"> אבל מהא דאיסור דרבנן אינו בטל ברוב שלא במינו</w:t>
      </w:r>
      <w:r>
        <w:rPr>
          <w:rFonts w:cs="Arial" w:hint="cs"/>
          <w:rtl/>
        </w:rPr>
        <w:t>-</w:t>
      </w:r>
      <w:r w:rsidRPr="008363AC">
        <w:rPr>
          <w:rFonts w:cs="Arial"/>
          <w:rtl/>
        </w:rPr>
        <w:t xml:space="preserve"> לא הזכיר</w:t>
      </w:r>
      <w:r>
        <w:rPr>
          <w:rFonts w:cs="Arial" w:hint="cs"/>
          <w:rtl/>
        </w:rPr>
        <w:t>,</w:t>
      </w:r>
      <w:r w:rsidRPr="008363AC">
        <w:rPr>
          <w:rFonts w:cs="Arial"/>
          <w:rtl/>
        </w:rPr>
        <w:t xml:space="preserve"> ונראה דהרב לא קאי אלא ארישא דצריך ביטול רוב ולא סגי חד בחד בכל זה אין חילוק בין איסור דרבנן או דאורייתא (ולישנא דבכל זה דחוק קצת)</w:t>
      </w:r>
      <w:r>
        <w:rPr>
          <w:rFonts w:cs="Arial" w:hint="cs"/>
          <w:rtl/>
        </w:rPr>
        <w:t>,</w:t>
      </w:r>
      <w:r w:rsidRPr="008363AC">
        <w:rPr>
          <w:rFonts w:cs="Arial"/>
          <w:rtl/>
        </w:rPr>
        <w:t xml:space="preserve"> וכן משמע בעט"ז שהעתיק ל' הר"ן הנ"ל והשמיט הגהת הרב דאין חילוק בכל זה כו'</w:t>
      </w:r>
      <w:r>
        <w:rPr>
          <w:rFonts w:cs="Arial" w:hint="cs"/>
          <w:rtl/>
        </w:rPr>
        <w:t>, ש"ך (סק"ט).</w:t>
      </w:r>
    </w:p>
  </w:footnote>
  <w:footnote w:id="2406">
    <w:p w14:paraId="602B6633" w14:textId="77777777" w:rsidR="004C5A3C" w:rsidRDefault="004C5A3C" w:rsidP="002C39F4">
      <w:pPr>
        <w:pStyle w:val="a5"/>
        <w:rPr>
          <w:rtl/>
        </w:rPr>
      </w:pPr>
      <w:r>
        <w:rPr>
          <w:rStyle w:val="a7"/>
        </w:rPr>
        <w:footnoteRef/>
      </w:r>
      <w:r>
        <w:rPr>
          <w:rtl/>
        </w:rPr>
        <w:t xml:space="preserve"> </w:t>
      </w:r>
      <w:r w:rsidRPr="00C273A0">
        <w:rPr>
          <w:rFonts w:asciiTheme="minorBidi" w:hAnsiTheme="minorBidi" w:cs="Arial"/>
          <w:rtl/>
        </w:rPr>
        <w:t xml:space="preserve">ועי' פמ"ג בפתיחה </w:t>
      </w:r>
      <w:r w:rsidRPr="00646147">
        <w:rPr>
          <w:rFonts w:asciiTheme="minorBidi" w:hAnsiTheme="minorBidi" w:cs="Arial" w:hint="cs"/>
          <w:sz w:val="16"/>
          <w:szCs w:val="16"/>
          <w:rtl/>
        </w:rPr>
        <w:t xml:space="preserve">(שער התערובות ח"א פ"א ד"ה והנה יבש ביבש דבטל) </w:t>
      </w:r>
      <w:r w:rsidRPr="00C273A0">
        <w:rPr>
          <w:rFonts w:asciiTheme="minorBidi" w:hAnsiTheme="minorBidi" w:cs="Arial"/>
          <w:rtl/>
        </w:rPr>
        <w:t>שכתב דבאיסור דרבנן גם המנ"י מודה דאין צריך כפל ואף באיסור דאורייתא המקיל במשהו יותר כפר"ח אין לגעור בו.</w:t>
      </w:r>
    </w:p>
  </w:footnote>
  <w:footnote w:id="2407">
    <w:p w14:paraId="7BFC9667" w14:textId="77777777" w:rsidR="004C5A3C" w:rsidRDefault="004C5A3C" w:rsidP="002C39F4">
      <w:pPr>
        <w:pStyle w:val="a5"/>
        <w:rPr>
          <w:rtl/>
        </w:rPr>
      </w:pPr>
      <w:r>
        <w:rPr>
          <w:rStyle w:val="a7"/>
        </w:rPr>
        <w:footnoteRef/>
      </w:r>
      <w:r>
        <w:rPr>
          <w:rtl/>
        </w:rPr>
        <w:t xml:space="preserve"> </w:t>
      </w:r>
      <w:r w:rsidRPr="00C273A0">
        <w:rPr>
          <w:rFonts w:asciiTheme="minorBidi" w:hAnsiTheme="minorBidi" w:cs="Arial"/>
          <w:rtl/>
        </w:rPr>
        <w:t xml:space="preserve">חכם אחד פירש דברי הש"ך </w:t>
      </w:r>
      <w:r>
        <w:rPr>
          <w:rFonts w:asciiTheme="minorBidi" w:hAnsiTheme="minorBidi" w:cs="Arial" w:hint="cs"/>
          <w:sz w:val="16"/>
          <w:szCs w:val="16"/>
          <w:rtl/>
        </w:rPr>
        <w:t xml:space="preserve">(סק"ו) </w:t>
      </w:r>
      <w:r w:rsidRPr="00C273A0">
        <w:rPr>
          <w:rFonts w:asciiTheme="minorBidi" w:hAnsiTheme="minorBidi" w:cs="Arial"/>
          <w:rtl/>
        </w:rPr>
        <w:t>שכ</w:t>
      </w:r>
      <w:r>
        <w:rPr>
          <w:rFonts w:asciiTheme="minorBidi" w:hAnsiTheme="minorBidi" w:cs="Arial" w:hint="cs"/>
          <w:rtl/>
        </w:rPr>
        <w:t>'</w:t>
      </w:r>
      <w:r w:rsidRPr="00C273A0">
        <w:rPr>
          <w:rFonts w:asciiTheme="minorBidi" w:hAnsiTheme="minorBidi" w:cs="Arial"/>
          <w:rtl/>
        </w:rPr>
        <w:t xml:space="preserve"> חד בתרי בטל כלומר ברוב ואפי</w:t>
      </w:r>
      <w:r>
        <w:rPr>
          <w:rFonts w:asciiTheme="minorBidi" w:hAnsiTheme="minorBidi" w:cs="Arial" w:hint="cs"/>
          <w:rtl/>
        </w:rPr>
        <w:t>'</w:t>
      </w:r>
      <w:r w:rsidRPr="00C273A0">
        <w:rPr>
          <w:rFonts w:asciiTheme="minorBidi" w:hAnsiTheme="minorBidi" w:cs="Arial"/>
          <w:rtl/>
        </w:rPr>
        <w:t xml:space="preserve"> ליכא רוב אלא בהנך תרי שהם קטנים מן האיסור כו'</w:t>
      </w:r>
      <w:r>
        <w:rPr>
          <w:rFonts w:asciiTheme="minorBidi" w:hAnsiTheme="minorBidi" w:cs="Arial" w:hint="cs"/>
          <w:rtl/>
        </w:rPr>
        <w:t>,</w:t>
      </w:r>
      <w:r w:rsidRPr="00C273A0">
        <w:rPr>
          <w:rFonts w:asciiTheme="minorBidi" w:hAnsiTheme="minorBidi" w:cs="Arial"/>
          <w:rtl/>
        </w:rPr>
        <w:t xml:space="preserve"> דר"ל דהב' חתיכו</w:t>
      </w:r>
      <w:r>
        <w:rPr>
          <w:rFonts w:asciiTheme="minorBidi" w:hAnsiTheme="minorBidi" w:cs="Arial" w:hint="cs"/>
          <w:rtl/>
        </w:rPr>
        <w:t>ת</w:t>
      </w:r>
      <w:r w:rsidRPr="00C273A0">
        <w:rPr>
          <w:rFonts w:asciiTheme="minorBidi" w:hAnsiTheme="minorBidi" w:cs="Arial"/>
          <w:rtl/>
        </w:rPr>
        <w:t xml:space="preserve"> ביחד המה קטנים מן האיסור וליכא אלא רוב מנין דהיינו ב' חלקים נגד א' ולא רוב בנין אפ"ה בטל</w:t>
      </w:r>
      <w:r>
        <w:rPr>
          <w:rFonts w:asciiTheme="minorBidi" w:hAnsiTheme="minorBidi" w:cs="Arial" w:hint="cs"/>
          <w:rtl/>
        </w:rPr>
        <w:t>,</w:t>
      </w:r>
      <w:r w:rsidRPr="00C273A0">
        <w:rPr>
          <w:rFonts w:asciiTheme="minorBidi" w:hAnsiTheme="minorBidi" w:cs="Arial"/>
          <w:rtl/>
        </w:rPr>
        <w:t xml:space="preserve"> וה</w:t>
      </w:r>
      <w:r>
        <w:rPr>
          <w:rFonts w:asciiTheme="minorBidi" w:hAnsiTheme="minorBidi" w:cs="Arial" w:hint="cs"/>
          <w:rtl/>
        </w:rPr>
        <w:t>חינוך בית יהודה</w:t>
      </w:r>
      <w:r w:rsidRPr="00C273A0">
        <w:rPr>
          <w:rFonts w:asciiTheme="minorBidi" w:hAnsiTheme="minorBidi" w:cs="Arial"/>
          <w:rtl/>
        </w:rPr>
        <w:t xml:space="preserve"> חלק עליו ופירש דר"ל דבהנך תרי יש גם רוב בנין שהב' יותר גדולים מן הא' אלא דא"צ כפל</w:t>
      </w:r>
      <w:r>
        <w:rPr>
          <w:rFonts w:asciiTheme="minorBidi" w:hAnsiTheme="minorBidi" w:cs="Arial" w:hint="cs"/>
          <w:rtl/>
        </w:rPr>
        <w:t>,</w:t>
      </w:r>
      <w:r w:rsidRPr="00C273A0">
        <w:rPr>
          <w:rFonts w:asciiTheme="minorBidi" w:hAnsiTheme="minorBidi" w:cs="Arial"/>
          <w:rtl/>
        </w:rPr>
        <w:t xml:space="preserve"> וכתב</w:t>
      </w:r>
      <w:r>
        <w:rPr>
          <w:rFonts w:asciiTheme="minorBidi" w:hAnsiTheme="minorBidi" w:cs="Arial" w:hint="cs"/>
          <w:rtl/>
        </w:rPr>
        <w:t>-</w:t>
      </w:r>
      <w:r w:rsidRPr="00C273A0">
        <w:rPr>
          <w:rFonts w:asciiTheme="minorBidi" w:hAnsiTheme="minorBidi" w:cs="Arial"/>
          <w:rtl/>
        </w:rPr>
        <w:t xml:space="preserve"> היוצא לדינא</w:t>
      </w:r>
      <w:r>
        <w:rPr>
          <w:rFonts w:asciiTheme="minorBidi" w:hAnsiTheme="minorBidi" w:cs="Arial" w:hint="cs"/>
          <w:rtl/>
        </w:rPr>
        <w:t>-...</w:t>
      </w:r>
    </w:p>
  </w:footnote>
  <w:footnote w:id="2408">
    <w:p w14:paraId="2422F27E" w14:textId="77777777" w:rsidR="004C5A3C" w:rsidRDefault="004C5A3C" w:rsidP="002C39F4">
      <w:pPr>
        <w:pStyle w:val="a5"/>
        <w:rPr>
          <w:rtl/>
        </w:rPr>
      </w:pPr>
      <w:r>
        <w:rPr>
          <w:rStyle w:val="a7"/>
        </w:rPr>
        <w:footnoteRef/>
      </w:r>
      <w:r>
        <w:rPr>
          <w:rtl/>
        </w:rPr>
        <w:t xml:space="preserve"> </w:t>
      </w:r>
      <w:r w:rsidRPr="00C273A0">
        <w:rPr>
          <w:rFonts w:asciiTheme="minorBidi" w:hAnsiTheme="minorBidi" w:cs="Arial"/>
          <w:rtl/>
        </w:rPr>
        <w:t>ולדברי החכם הנ"ל לא בטיל</w:t>
      </w:r>
      <w:r>
        <w:rPr>
          <w:rFonts w:asciiTheme="minorBidi" w:hAnsiTheme="minorBidi" w:cs="Arial" w:hint="cs"/>
          <w:rtl/>
        </w:rPr>
        <w:t>,</w:t>
      </w:r>
      <w:r w:rsidRPr="00C273A0">
        <w:rPr>
          <w:rFonts w:asciiTheme="minorBidi" w:hAnsiTheme="minorBidi" w:cs="Arial"/>
          <w:rtl/>
        </w:rPr>
        <w:t xml:space="preserve"> דהא אפילו לקולא חד גדולה בטל בתרי קטנים אף שבצירוף אינם כמו הגדולה</w:t>
      </w:r>
      <w:r>
        <w:rPr>
          <w:rFonts w:asciiTheme="minorBidi" w:hAnsiTheme="minorBidi" w:cs="Arial" w:hint="cs"/>
          <w:rtl/>
        </w:rPr>
        <w:t>,</w:t>
      </w:r>
      <w:r w:rsidRPr="00C273A0">
        <w:rPr>
          <w:rFonts w:asciiTheme="minorBidi" w:hAnsiTheme="minorBidi" w:cs="Arial"/>
          <w:rtl/>
        </w:rPr>
        <w:t xml:space="preserve"> כ"ש לחומרא שהגדולה של היתר בטילה בששה חתיכות איסור</w:t>
      </w:r>
      <w:r>
        <w:rPr>
          <w:rFonts w:asciiTheme="minorBidi" w:hAnsiTheme="minorBidi" w:cs="Arial" w:hint="cs"/>
          <w:rtl/>
        </w:rPr>
        <w:t>.</w:t>
      </w:r>
    </w:p>
  </w:footnote>
  <w:footnote w:id="2409">
    <w:p w14:paraId="6BBD9606" w14:textId="77777777" w:rsidR="004C5A3C" w:rsidRDefault="004C5A3C" w:rsidP="002C39F4">
      <w:pPr>
        <w:pStyle w:val="a5"/>
      </w:pPr>
      <w:r>
        <w:rPr>
          <w:rStyle w:val="a7"/>
        </w:rPr>
        <w:footnoteRef/>
      </w:r>
      <w:r>
        <w:rPr>
          <w:rtl/>
        </w:rPr>
        <w:t xml:space="preserve"> </w:t>
      </w:r>
      <w:r>
        <w:rPr>
          <w:rFonts w:cs="Arial" w:hint="cs"/>
          <w:rtl/>
        </w:rPr>
        <w:t xml:space="preserve">בטור העתיק את דברי הרשב"א </w:t>
      </w:r>
      <w:r>
        <w:rPr>
          <w:rFonts w:cs="Arial"/>
          <w:rtl/>
        </w:rPr>
        <w:t>בתוה</w:t>
      </w:r>
      <w:r>
        <w:rPr>
          <w:rFonts w:cs="Arial" w:hint="cs"/>
          <w:rtl/>
        </w:rPr>
        <w:t>"ק</w:t>
      </w:r>
      <w:r w:rsidRPr="00DA1E11">
        <w:rPr>
          <w:rFonts w:cs="Arial"/>
          <w:sz w:val="16"/>
          <w:szCs w:val="16"/>
          <w:rtl/>
        </w:rPr>
        <w:t xml:space="preserve"> (ב"ד ש"א יב:) </w:t>
      </w:r>
      <w:r>
        <w:rPr>
          <w:rFonts w:cs="Arial" w:hint="cs"/>
          <w:rtl/>
        </w:rPr>
        <w:t xml:space="preserve">וז"ל- </w:t>
      </w:r>
      <w:r w:rsidRPr="00DA1E11">
        <w:rPr>
          <w:rFonts w:cs="Arial"/>
          <w:rtl/>
        </w:rPr>
        <w:t>כל אחד ואחד מותר בפני עצמו והרוטב בנותן טעם שצריך ששים כנגד האיסו</w:t>
      </w:r>
      <w:r w:rsidRPr="00DA1E11">
        <w:rPr>
          <w:rFonts w:cs="Arial" w:hint="cs"/>
          <w:rtl/>
        </w:rPr>
        <w:t>ר</w:t>
      </w:r>
      <w:r>
        <w:rPr>
          <w:rFonts w:cs="Arial" w:hint="cs"/>
          <w:rtl/>
        </w:rPr>
        <w:t>, עכ"ל</w:t>
      </w:r>
      <w:r w:rsidRPr="00DA1E11">
        <w:rPr>
          <w:rFonts w:cs="Arial" w:hint="cs"/>
          <w:rtl/>
        </w:rPr>
        <w:t>.</w:t>
      </w:r>
      <w:r>
        <w:rPr>
          <w:rFonts w:cs="Arial" w:hint="cs"/>
          <w:rtl/>
        </w:rPr>
        <w:t xml:space="preserve"> וכתב הב"י דהרשב"א </w:t>
      </w:r>
      <w:r>
        <w:rPr>
          <w:rFonts w:cs="Arial"/>
          <w:rtl/>
        </w:rPr>
        <w:t xml:space="preserve">בתשובה </w:t>
      </w:r>
      <w:r w:rsidRPr="00DA1E11">
        <w:rPr>
          <w:rFonts w:cs="Arial"/>
          <w:sz w:val="16"/>
          <w:szCs w:val="16"/>
          <w:rtl/>
        </w:rPr>
        <w:t>(ח"א סימן ער"ב)</w:t>
      </w:r>
      <w:r>
        <w:rPr>
          <w:rFonts w:cs="Arial"/>
          <w:rtl/>
        </w:rPr>
        <w:t xml:space="preserve"> כתב</w:t>
      </w:r>
      <w:r>
        <w:rPr>
          <w:rFonts w:cs="Arial" w:hint="cs"/>
          <w:rtl/>
        </w:rPr>
        <w:t xml:space="preserve"> </w:t>
      </w:r>
      <w:r>
        <w:rPr>
          <w:rFonts w:cs="Arial"/>
          <w:rtl/>
        </w:rPr>
        <w:t>שתמהו עליו למה כתב שכל אחד ואחד מותר הרי בכל אחד יש מטעם האיסור אם היה אפשר למיקם אטעמא</w:t>
      </w:r>
      <w:r>
        <w:rPr>
          <w:rFonts w:cs="Arial" w:hint="cs"/>
          <w:rtl/>
        </w:rPr>
        <w:t>,</w:t>
      </w:r>
      <w:r>
        <w:rPr>
          <w:rFonts w:cs="Arial"/>
          <w:rtl/>
        </w:rPr>
        <w:t xml:space="preserve"> והשיב בזה צדקת וכבר צויתי לתקן כן</w:t>
      </w:r>
      <w:r>
        <w:rPr>
          <w:rFonts w:cs="Arial" w:hint="cs"/>
          <w:rtl/>
        </w:rPr>
        <w:t>-</w:t>
      </w:r>
      <w:r>
        <w:rPr>
          <w:rFonts w:cs="Arial"/>
          <w:rtl/>
        </w:rPr>
        <w:t xml:space="preserve"> </w:t>
      </w:r>
      <w:r>
        <w:rPr>
          <w:rFonts w:cs="Arial" w:hint="cs"/>
          <w:rtl/>
        </w:rPr>
        <w:t>'</w:t>
      </w:r>
      <w:r>
        <w:rPr>
          <w:rFonts w:cs="Arial"/>
          <w:rtl/>
        </w:rPr>
        <w:t>עבר ובשלן כאחד אפילו לאכול כל אחד בפני עצמו אסור שהרוטב בנ"ט ונבלע בחתיכות</w:t>
      </w:r>
      <w:r>
        <w:rPr>
          <w:rFonts w:cs="Arial" w:hint="cs"/>
          <w:rtl/>
        </w:rPr>
        <w:t>'</w:t>
      </w:r>
      <w:r>
        <w:rPr>
          <w:rFonts w:cs="Arial"/>
          <w:rtl/>
        </w:rPr>
        <w:t xml:space="preserve"> עכ"ל</w:t>
      </w:r>
      <w:r>
        <w:rPr>
          <w:rFonts w:cs="Arial" w:hint="cs"/>
          <w:rtl/>
        </w:rPr>
        <w:t>,</w:t>
      </w:r>
      <w:r>
        <w:rPr>
          <w:rFonts w:cs="Arial"/>
          <w:rtl/>
        </w:rPr>
        <w:t xml:space="preserve"> וכ"כ בתוה</w:t>
      </w:r>
      <w:r>
        <w:rPr>
          <w:rFonts w:cs="Arial" w:hint="cs"/>
          <w:rtl/>
        </w:rPr>
        <w:t>"</w:t>
      </w:r>
      <w:r>
        <w:rPr>
          <w:rFonts w:cs="Arial"/>
          <w:rtl/>
        </w:rPr>
        <w:t>ב שלפני</w:t>
      </w:r>
      <w:r>
        <w:rPr>
          <w:rFonts w:cs="Arial" w:hint="cs"/>
          <w:rtl/>
        </w:rPr>
        <w:t>,</w:t>
      </w:r>
      <w:r>
        <w:rPr>
          <w:rFonts w:cs="Arial"/>
          <w:rtl/>
        </w:rPr>
        <w:t xml:space="preserve"> וז"ל תו</w:t>
      </w:r>
      <w:r>
        <w:rPr>
          <w:rFonts w:cs="Arial" w:hint="cs"/>
          <w:rtl/>
        </w:rPr>
        <w:t xml:space="preserve">ה"א </w:t>
      </w:r>
      <w:r w:rsidRPr="00D15189">
        <w:rPr>
          <w:rFonts w:cs="Arial"/>
          <w:sz w:val="16"/>
          <w:szCs w:val="16"/>
          <w:rtl/>
        </w:rPr>
        <w:t>(ב"ד ש"א יז.)</w:t>
      </w:r>
      <w:r>
        <w:rPr>
          <w:rFonts w:cs="Arial"/>
          <w:rtl/>
        </w:rPr>
        <w:t xml:space="preserve"> על היתר ביטול יבש ביבש חד בתרי מסתברא דטעמא דמילתא משום דבדברים הנבללים שא"א להפריד החתיכות ולאכול כל חתיכה בפני עצמה צריך ששים לפי שבפחות משיעור זה האיסור נטעם ונרגש בכל</w:t>
      </w:r>
      <w:r>
        <w:rPr>
          <w:rFonts w:cs="Arial" w:hint="cs"/>
          <w:rtl/>
        </w:rPr>
        <w:t>,</w:t>
      </w:r>
      <w:r>
        <w:rPr>
          <w:rFonts w:cs="Arial"/>
          <w:rtl/>
        </w:rPr>
        <w:t xml:space="preserve"> ואפילו מין במינו שאין טעם האיסור נרגש בו מ"מ כיון שכנגדו במין ושאינו מינו נרגש החמירו ואסרוהו מדבריהם</w:t>
      </w:r>
      <w:r>
        <w:rPr>
          <w:rFonts w:cs="Arial" w:hint="cs"/>
          <w:rtl/>
        </w:rPr>
        <w:t>,</w:t>
      </w:r>
      <w:r>
        <w:rPr>
          <w:rFonts w:cs="Arial"/>
          <w:rtl/>
        </w:rPr>
        <w:t xml:space="preserve"> אבל יבש ביבש שהוא יכול לאכול כל חתיכה וחתיכה בפ"ע אוכל כל חתיכה בפ"ע כו' וכשאוכל האחרונה שבכולן אני אומר במה שכבר נאכל היה האיסור</w:t>
      </w:r>
      <w:r>
        <w:rPr>
          <w:rFonts w:cs="Arial" w:hint="cs"/>
          <w:rtl/>
        </w:rPr>
        <w:t>,</w:t>
      </w:r>
      <w:r>
        <w:rPr>
          <w:rFonts w:cs="Arial"/>
          <w:rtl/>
        </w:rPr>
        <w:t xml:space="preserve"> וזו של היתר היא</w:t>
      </w:r>
      <w:r>
        <w:rPr>
          <w:rFonts w:cs="Arial" w:hint="cs"/>
          <w:rtl/>
        </w:rPr>
        <w:t>,</w:t>
      </w:r>
      <w:r>
        <w:rPr>
          <w:rFonts w:cs="Arial"/>
          <w:rtl/>
        </w:rPr>
        <w:t xml:space="preserve"> ולפיכך אוכל כל אחד בפ"ע ואינו חושש</w:t>
      </w:r>
      <w:r>
        <w:rPr>
          <w:rFonts w:cs="Arial" w:hint="cs"/>
          <w:rtl/>
        </w:rPr>
        <w:t>,</w:t>
      </w:r>
      <w:r>
        <w:rPr>
          <w:rFonts w:cs="Arial"/>
          <w:rtl/>
        </w:rPr>
        <w:t xml:space="preserve"> דכיון שיש שם כדי שיעור ביטול מדאורייתא ואפשר לומר בכל אחד שמא עכשיו אינו אוכל האיסור הקלו בו אף מדבריהם שלא להצריכו ששים כשאר האיסורים</w:t>
      </w:r>
      <w:r>
        <w:rPr>
          <w:rFonts w:cs="Arial" w:hint="cs"/>
          <w:rtl/>
        </w:rPr>
        <w:t>,</w:t>
      </w:r>
      <w:r>
        <w:rPr>
          <w:rFonts w:cs="Arial"/>
          <w:rtl/>
        </w:rPr>
        <w:t xml:space="preserve"> ודוקא לאכול כל אחת בפני עצמה אבל לבשלן יחד אסור שהרי חזר האיסור להתערב עם ההיתר והרי הוא כשאר האיסורים הנבללים</w:t>
      </w:r>
      <w:r>
        <w:rPr>
          <w:rFonts w:cs="Arial" w:hint="cs"/>
          <w:rtl/>
        </w:rPr>
        <w:t>,</w:t>
      </w:r>
      <w:r>
        <w:rPr>
          <w:rFonts w:cs="Arial"/>
          <w:rtl/>
        </w:rPr>
        <w:t xml:space="preserve"> ומיהו אפשר שאם בישל מקצתן לצד אחד ומקצתן לצד אחר שהכל מותר ומן הטעם שכתבתי</w:t>
      </w:r>
      <w:r>
        <w:rPr>
          <w:rFonts w:cs="Arial" w:hint="cs"/>
          <w:rtl/>
        </w:rPr>
        <w:t>,</w:t>
      </w:r>
      <w:r>
        <w:rPr>
          <w:rFonts w:cs="Arial"/>
          <w:rtl/>
        </w:rPr>
        <w:t xml:space="preserve"> שבשעה שאוכל אלו שנתבשלו אני אומר עכשיו אינו טועם האיסור</w:t>
      </w:r>
      <w:r>
        <w:rPr>
          <w:rFonts w:cs="Arial" w:hint="cs"/>
          <w:rtl/>
        </w:rPr>
        <w:t>,</w:t>
      </w:r>
      <w:r>
        <w:rPr>
          <w:rFonts w:cs="Arial"/>
          <w:rtl/>
        </w:rPr>
        <w:t xml:space="preserve"> שהאיסור שמא בתוך האחרים הוא שנשאר</w:t>
      </w:r>
      <w:r>
        <w:rPr>
          <w:rFonts w:cs="Arial" w:hint="cs"/>
          <w:rtl/>
        </w:rPr>
        <w:t>,</w:t>
      </w:r>
      <w:r>
        <w:rPr>
          <w:rFonts w:cs="Arial"/>
          <w:rtl/>
        </w:rPr>
        <w:t xml:space="preserve"> וכן בשעה שחוזר ואוכל את השאר אני אומר שמא האיסור כבר נאכל ואלו כולן היתר הם</w:t>
      </w:r>
      <w:r>
        <w:rPr>
          <w:rFonts w:cs="Arial" w:hint="cs"/>
          <w:rtl/>
        </w:rPr>
        <w:t>,</w:t>
      </w:r>
      <w:r>
        <w:rPr>
          <w:rFonts w:cs="Arial"/>
          <w:rtl/>
        </w:rPr>
        <w:t xml:space="preserve"> אבל לערב הכל ולאכול אסור</w:t>
      </w:r>
      <w:r>
        <w:rPr>
          <w:rFonts w:cs="Arial" w:hint="cs"/>
          <w:rtl/>
        </w:rPr>
        <w:t>,</w:t>
      </w:r>
      <w:r>
        <w:rPr>
          <w:rFonts w:cs="Arial"/>
          <w:rtl/>
        </w:rPr>
        <w:t xml:space="preserve"> עכ"ל</w:t>
      </w:r>
      <w:r>
        <w:rPr>
          <w:rFonts w:cs="Arial" w:hint="cs"/>
          <w:rtl/>
        </w:rPr>
        <w:t>.</w:t>
      </w:r>
    </w:p>
  </w:footnote>
  <w:footnote w:id="2410">
    <w:p w14:paraId="6331649B" w14:textId="77777777" w:rsidR="004C5A3C" w:rsidRDefault="004C5A3C" w:rsidP="002C39F4">
      <w:pPr>
        <w:pStyle w:val="a5"/>
      </w:pPr>
      <w:r>
        <w:rPr>
          <w:rStyle w:val="a7"/>
        </w:rPr>
        <w:footnoteRef/>
      </w:r>
      <w:r>
        <w:rPr>
          <w:rtl/>
        </w:rPr>
        <w:t xml:space="preserve"> </w:t>
      </w:r>
      <w:r>
        <w:rPr>
          <w:rFonts w:cs="Arial" w:hint="cs"/>
          <w:rtl/>
        </w:rPr>
        <w:t xml:space="preserve">וז"ל- </w:t>
      </w:r>
      <w:r w:rsidRPr="003318D1">
        <w:rPr>
          <w:rFonts w:cs="Arial"/>
          <w:rtl/>
        </w:rPr>
        <w:t>יש מי שכתב שאפילו בישל היבש ביבש שמותר</w:t>
      </w:r>
      <w:r>
        <w:rPr>
          <w:rFonts w:cs="Arial" w:hint="cs"/>
          <w:rtl/>
        </w:rPr>
        <w:t>,</w:t>
      </w:r>
      <w:r w:rsidRPr="003318D1">
        <w:rPr>
          <w:rFonts w:cs="Arial"/>
          <w:rtl/>
        </w:rPr>
        <w:t xml:space="preserve"> כיון שהיה בטל כבר בעודו יבש</w:t>
      </w:r>
      <w:r>
        <w:rPr>
          <w:rFonts w:cs="Arial" w:hint="cs"/>
          <w:rtl/>
        </w:rPr>
        <w:t>,</w:t>
      </w:r>
      <w:r w:rsidRPr="003318D1">
        <w:rPr>
          <w:rFonts w:cs="Arial"/>
          <w:rtl/>
        </w:rPr>
        <w:t xml:space="preserve"> ולא נאמר כבר נפלט טעמו ואוסר ולא התירוהו אלא בעודו יבש ואין אנו מוצאים שום דבר שהוא מותר לאכלו ורוטבו יהיה אסור</w:t>
      </w:r>
      <w:r>
        <w:rPr>
          <w:rFonts w:cs="Arial" w:hint="cs"/>
          <w:rtl/>
        </w:rPr>
        <w:t xml:space="preserve">, </w:t>
      </w:r>
      <w:r w:rsidRPr="003318D1">
        <w:rPr>
          <w:rFonts w:cs="Arial"/>
          <w:rtl/>
        </w:rPr>
        <w:t>כי כשאוסר עד ששים בבישול</w:t>
      </w:r>
      <w:r>
        <w:rPr>
          <w:rFonts w:cs="Arial" w:hint="cs"/>
          <w:rtl/>
        </w:rPr>
        <w:t xml:space="preserve"> -</w:t>
      </w:r>
      <w:r w:rsidRPr="003318D1">
        <w:rPr>
          <w:rFonts w:cs="Arial"/>
          <w:rtl/>
        </w:rPr>
        <w:t xml:space="preserve"> כשלא נודע התערובת</w:t>
      </w:r>
      <w:r w:rsidRPr="003318D1">
        <w:rPr>
          <w:rtl/>
        </w:rPr>
        <w:t xml:space="preserve"> </w:t>
      </w:r>
      <w:r w:rsidRPr="003318D1">
        <w:rPr>
          <w:rFonts w:cs="Arial"/>
          <w:rtl/>
        </w:rPr>
        <w:t>ולא היה לו לתערובת עדין התר כמו שכתבתי</w:t>
      </w:r>
      <w:r>
        <w:rPr>
          <w:rFonts w:cs="Arial" w:hint="cs"/>
          <w:rtl/>
        </w:rPr>
        <w:t>,</w:t>
      </w:r>
      <w:r w:rsidRPr="003318D1">
        <w:rPr>
          <w:rFonts w:cs="Arial"/>
          <w:rtl/>
        </w:rPr>
        <w:t xml:space="preserve"> אבל ביבש מיד שנתערבו היה מותר בגזיר</w:t>
      </w:r>
      <w:r>
        <w:rPr>
          <w:rFonts w:cs="Arial" w:hint="cs"/>
          <w:rtl/>
        </w:rPr>
        <w:t>ת</w:t>
      </w:r>
      <w:r w:rsidRPr="003318D1">
        <w:rPr>
          <w:rFonts w:cs="Arial"/>
          <w:rtl/>
        </w:rPr>
        <w:t xml:space="preserve"> הכתוב וכן בתוס</w:t>
      </w:r>
      <w:r>
        <w:rPr>
          <w:rFonts w:cs="Arial" w:hint="cs"/>
          <w:rtl/>
        </w:rPr>
        <w:t>'</w:t>
      </w:r>
      <w:r w:rsidRPr="003318D1">
        <w:rPr>
          <w:rFonts w:cs="Arial"/>
          <w:rtl/>
        </w:rPr>
        <w:t xml:space="preserve"> וכ</w:t>
      </w:r>
      <w:r>
        <w:rPr>
          <w:rFonts w:cs="Arial" w:hint="cs"/>
          <w:rtl/>
        </w:rPr>
        <w:t>"</w:t>
      </w:r>
      <w:r w:rsidRPr="003318D1">
        <w:rPr>
          <w:rFonts w:cs="Arial"/>
          <w:rtl/>
        </w:rPr>
        <w:t>כ הרא</w:t>
      </w:r>
      <w:r>
        <w:rPr>
          <w:rFonts w:cs="Arial" w:hint="cs"/>
          <w:rtl/>
        </w:rPr>
        <w:t>"</w:t>
      </w:r>
      <w:r w:rsidRPr="003318D1">
        <w:rPr>
          <w:rFonts w:cs="Arial"/>
          <w:rtl/>
        </w:rPr>
        <w:t>ש וכן עקר</w:t>
      </w:r>
      <w:r>
        <w:rPr>
          <w:rFonts w:cs="Arial" w:hint="cs"/>
          <w:rtl/>
        </w:rPr>
        <w:t>.</w:t>
      </w:r>
    </w:p>
  </w:footnote>
  <w:footnote w:id="2411">
    <w:p w14:paraId="78ED7508" w14:textId="77777777" w:rsidR="004C5A3C" w:rsidRDefault="004C5A3C" w:rsidP="002C39F4">
      <w:pPr>
        <w:pStyle w:val="a5"/>
      </w:pPr>
      <w:r>
        <w:rPr>
          <w:rStyle w:val="a7"/>
        </w:rPr>
        <w:footnoteRef/>
      </w:r>
      <w:r>
        <w:rPr>
          <w:rtl/>
        </w:rPr>
        <w:t xml:space="preserve"> </w:t>
      </w:r>
      <w:r>
        <w:rPr>
          <w:rFonts w:cs="Arial"/>
          <w:rtl/>
        </w:rPr>
        <w:t>דטעמא דיבש ביבש משום דגזירת הכתוב הוא דכתיב (שמות כג ב) אחרי רבים להטות</w:t>
      </w:r>
      <w:r>
        <w:rPr>
          <w:rFonts w:cs="Arial" w:hint="cs"/>
          <w:rtl/>
        </w:rPr>
        <w:t>,</w:t>
      </w:r>
      <w:r>
        <w:rPr>
          <w:rFonts w:cs="Arial"/>
          <w:rtl/>
        </w:rPr>
        <w:t xml:space="preserve"> הילכך חד בתרי בטיל ונהפך איסור להיות היתר ומותר לאכלן אפילו כולן כאחד</w:t>
      </w:r>
      <w:r>
        <w:rPr>
          <w:rFonts w:cs="Arial" w:hint="cs"/>
          <w:rtl/>
        </w:rPr>
        <w:t>,</w:t>
      </w:r>
      <w:r>
        <w:rPr>
          <w:rFonts w:cs="Arial"/>
          <w:rtl/>
        </w:rPr>
        <w:t xml:space="preserve"> ומדרבנן החמירו במין במינו היכא שנתבשל יחד קודם שנודע תערובתו ולא נקרא עדיין עליו שם היתר להצריכו ששים אע</w:t>
      </w:r>
      <w:r>
        <w:rPr>
          <w:rFonts w:cs="Arial" w:hint="cs"/>
          <w:rtl/>
        </w:rPr>
        <w:t>"</w:t>
      </w:r>
      <w:r>
        <w:rPr>
          <w:rFonts w:cs="Arial"/>
          <w:rtl/>
        </w:rPr>
        <w:t>ג דלא יהיב טעמא גזרה אטו מין בשאינו מינו</w:t>
      </w:r>
      <w:r>
        <w:rPr>
          <w:rFonts w:cs="Arial" w:hint="cs"/>
          <w:rtl/>
        </w:rPr>
        <w:t>,</w:t>
      </w:r>
      <w:r>
        <w:rPr>
          <w:rFonts w:cs="Arial"/>
          <w:rtl/>
        </w:rPr>
        <w:t xml:space="preserve"> אבל מין במינו בדבר יבש ונודע תערובתו נעשה היתר גמור ואפילו מדרבנן לא אצרכוהו ששים כיון דאף אם נתבשל לא יהיב טעמא</w:t>
      </w:r>
      <w:r>
        <w:rPr>
          <w:rFonts w:cs="Arial" w:hint="cs"/>
          <w:rtl/>
        </w:rPr>
        <w:t>,</w:t>
      </w:r>
      <w:r>
        <w:rPr>
          <w:rFonts w:cs="Arial"/>
          <w:rtl/>
        </w:rPr>
        <w:t xml:space="preserve"> וליכא למימר דבחתיכה הראויה להתכבד אסרו חכמים חד ספיקא</w:t>
      </w:r>
      <w:r>
        <w:rPr>
          <w:rFonts w:cs="Arial" w:hint="cs"/>
          <w:rtl/>
        </w:rPr>
        <w:t>,</w:t>
      </w:r>
      <w:r>
        <w:rPr>
          <w:rFonts w:cs="Arial"/>
          <w:rtl/>
        </w:rPr>
        <w:t xml:space="preserve"> כגון התערובת הראשון לאוכלו אפילו חדא חדא</w:t>
      </w:r>
      <w:r>
        <w:rPr>
          <w:rFonts w:cs="Arial" w:hint="cs"/>
          <w:rtl/>
        </w:rPr>
        <w:t>,</w:t>
      </w:r>
      <w:r>
        <w:rPr>
          <w:rFonts w:cs="Arial"/>
          <w:rtl/>
        </w:rPr>
        <w:t xml:space="preserve"> והתירו ס"ס</w:t>
      </w:r>
      <w:r>
        <w:rPr>
          <w:rFonts w:cs="Arial" w:hint="cs"/>
          <w:rtl/>
        </w:rPr>
        <w:t>,</w:t>
      </w:r>
      <w:r>
        <w:rPr>
          <w:rFonts w:cs="Arial"/>
          <w:rtl/>
        </w:rPr>
        <w:t xml:space="preserve"> כגון תערובת שני לאוכלן שנים שנים ולא כולן כאחת</w:t>
      </w:r>
      <w:r>
        <w:rPr>
          <w:rFonts w:cs="Arial" w:hint="cs"/>
          <w:rtl/>
        </w:rPr>
        <w:t>,</w:t>
      </w:r>
      <w:r>
        <w:rPr>
          <w:rFonts w:cs="Arial"/>
          <w:rtl/>
        </w:rPr>
        <w:t xml:space="preserve"> אבל בחתיכה שאינה ראויה להתכבד התירו חדא ספיקא</w:t>
      </w:r>
      <w:r>
        <w:rPr>
          <w:rFonts w:cs="Arial" w:hint="cs"/>
          <w:rtl/>
        </w:rPr>
        <w:t>,</w:t>
      </w:r>
      <w:r>
        <w:rPr>
          <w:rFonts w:cs="Arial"/>
          <w:rtl/>
        </w:rPr>
        <w:t xml:space="preserve"> כגון התערובת הראשון לאכלו חדא חדא אבל לא לאכלן כולן כאחד</w:t>
      </w:r>
      <w:r>
        <w:rPr>
          <w:rFonts w:cs="Arial" w:hint="cs"/>
          <w:rtl/>
        </w:rPr>
        <w:t>,</w:t>
      </w:r>
      <w:r>
        <w:rPr>
          <w:rFonts w:cs="Arial"/>
          <w:rtl/>
        </w:rPr>
        <w:t xml:space="preserve"> דא"כ לא לישתמיט תלמודא לאשמועינן איסור בשום דוכתא בחתיכה שאינה ראויה להתכבד כי היכי דאשמועינן ברמוני בדן ובכוס של ע"ז</w:t>
      </w:r>
      <w:r>
        <w:rPr>
          <w:rFonts w:cs="Arial" w:hint="cs"/>
          <w:rtl/>
        </w:rPr>
        <w:t>,</w:t>
      </w:r>
      <w:r>
        <w:rPr>
          <w:rFonts w:cs="Arial"/>
          <w:rtl/>
        </w:rPr>
        <w:t xml:space="preserve"> אלא בכל דוכתא הכא (חולין צט:) ובזבחים (עב.) פריך וליבטיל ברובא</w:t>
      </w:r>
      <w:r>
        <w:rPr>
          <w:rFonts w:cs="Arial" w:hint="cs"/>
          <w:rtl/>
        </w:rPr>
        <w:t>,</w:t>
      </w:r>
      <w:r>
        <w:rPr>
          <w:rFonts w:cs="Arial"/>
          <w:rtl/>
        </w:rPr>
        <w:t xml:space="preserve"> ולשון ביטול משמע היתר גמור כאיסור הבטל בששים או במאה</w:t>
      </w:r>
      <w:r>
        <w:rPr>
          <w:rFonts w:cs="Arial" w:hint="cs"/>
          <w:rtl/>
        </w:rPr>
        <w:t>,</w:t>
      </w:r>
      <w:r>
        <w:rPr>
          <w:rFonts w:cs="Arial"/>
          <w:rtl/>
        </w:rPr>
        <w:t xml:space="preserve"> הלכך נראה דאם בישל שלשתן כאחד או בישלו עם חתיכות אחרות הכל מותר ולא אמרינן נהי דכל זמן שהוא יבש הוא בטל ברוב מ</w:t>
      </w:r>
      <w:r>
        <w:rPr>
          <w:rFonts w:cs="Arial" w:hint="cs"/>
          <w:rtl/>
        </w:rPr>
        <w:t>"</w:t>
      </w:r>
      <w:r>
        <w:rPr>
          <w:rFonts w:cs="Arial"/>
          <w:rtl/>
        </w:rPr>
        <w:t>מ כשבשלו נפלט טעמו ואוסר</w:t>
      </w:r>
      <w:r>
        <w:rPr>
          <w:rFonts w:cs="Arial" w:hint="cs"/>
          <w:rtl/>
        </w:rPr>
        <w:t>,</w:t>
      </w:r>
      <w:r>
        <w:rPr>
          <w:rFonts w:cs="Arial"/>
          <w:rtl/>
        </w:rPr>
        <w:t xml:space="preserve"> דלא מצינו דבר המותר לאכלו שיהא צירו אסור</w:t>
      </w:r>
      <w:r>
        <w:rPr>
          <w:rFonts w:cs="Arial" w:hint="cs"/>
          <w:rtl/>
        </w:rPr>
        <w:t>,</w:t>
      </w:r>
      <w:r>
        <w:rPr>
          <w:rFonts w:cs="Arial"/>
          <w:rtl/>
        </w:rPr>
        <w:t xml:space="preserve"> ואיפכא חזינן מצינו (ע"ז מ.) דגים טמאים צירן מותר מן התורה אבל איך יתכן שדבר המותר יאסור בפליטתו</w:t>
      </w:r>
      <w:r>
        <w:rPr>
          <w:rFonts w:cs="Arial" w:hint="cs"/>
          <w:rtl/>
        </w:rPr>
        <w:t>,</w:t>
      </w:r>
      <w:r>
        <w:rPr>
          <w:rFonts w:cs="Arial"/>
          <w:rtl/>
        </w:rPr>
        <w:t xml:space="preserve"> ועוד ראיה מפרק התערובת (עג:) דדבר שהותר ע"י ביטול אינו חוזר ונאסר דפריך תלמודא ונכבשינהו דניידי וכו' ומשני גזרה שמא יבואו עשרה כהנים בבת אחת ויקריבו ופריך אטו מגסא אסר כלומר אחר שהותרו בפרישתן וכי בשביל שחזרו לקביעותן יאסרו</w:t>
      </w:r>
      <w:r>
        <w:rPr>
          <w:rFonts w:cs="Arial" w:hint="cs"/>
          <w:rtl/>
        </w:rPr>
        <w:t>,</w:t>
      </w:r>
      <w:r>
        <w:rPr>
          <w:rFonts w:cs="Arial"/>
          <w:rtl/>
        </w:rPr>
        <w:t xml:space="preserve"> ה"נ אחרי שהותרו ביבש ונהפך האיסור להיות היתר שוב אינו חוזר ונאסר ע</w:t>
      </w:r>
      <w:r>
        <w:rPr>
          <w:rFonts w:cs="Arial" w:hint="cs"/>
          <w:rtl/>
        </w:rPr>
        <w:t>"</w:t>
      </w:r>
      <w:r>
        <w:rPr>
          <w:rFonts w:cs="Arial"/>
          <w:rtl/>
        </w:rPr>
        <w:t>י בישול ואע</w:t>
      </w:r>
      <w:r>
        <w:rPr>
          <w:rFonts w:cs="Arial" w:hint="cs"/>
          <w:rtl/>
        </w:rPr>
        <w:t>"</w:t>
      </w:r>
      <w:r>
        <w:rPr>
          <w:rFonts w:cs="Arial"/>
          <w:rtl/>
        </w:rPr>
        <w:t>ג דמין במינו אוסר עד ששים היינו קודם שנודע תערובתו וגזרו חכמים שאוסר בששים אע"ג דלא יהיב טעמא גזרה אטו מין בשאינו מינו דיהיב טעמא אבל אחר שנודע תערובתו ונתבטל ברוב ונתהפך האיסור להיות כולו מותר ויכול לאכלן אפילו בבת אחת שוב לא יתכן לומר שתאסר פליטתו</w:t>
      </w:r>
      <w:r>
        <w:rPr>
          <w:rFonts w:cs="Arial" w:hint="cs"/>
          <w:rtl/>
        </w:rPr>
        <w:t>,</w:t>
      </w:r>
      <w:r>
        <w:rPr>
          <w:rFonts w:cs="Arial"/>
          <w:rtl/>
        </w:rPr>
        <w:t xml:space="preserve"> וכה"ג אשכחן חילוק באיסור המתבטל בין קודם ידיעה לאחר ידיעה בפ"ה דתרומות (מ"ח) ובזבחים פרק טבול יום (קד.)</w:t>
      </w:r>
      <w:r>
        <w:rPr>
          <w:rFonts w:cs="Arial" w:hint="cs"/>
          <w:rtl/>
        </w:rPr>
        <w:t>, רא"ש.</w:t>
      </w:r>
    </w:p>
  </w:footnote>
  <w:footnote w:id="2412">
    <w:p w14:paraId="48AFB53B" w14:textId="77777777" w:rsidR="004C5A3C" w:rsidRDefault="004C5A3C" w:rsidP="002C39F4">
      <w:pPr>
        <w:pStyle w:val="a5"/>
      </w:pPr>
      <w:r>
        <w:rPr>
          <w:rStyle w:val="a7"/>
        </w:rPr>
        <w:footnoteRef/>
      </w:r>
      <w:r>
        <w:rPr>
          <w:rtl/>
        </w:rPr>
        <w:t xml:space="preserve"> </w:t>
      </w:r>
      <w:r w:rsidRPr="00471D1E">
        <w:rPr>
          <w:rFonts w:cs="Arial"/>
          <w:rtl/>
        </w:rPr>
        <w:t>ולעיל (ד</w:t>
      </w:r>
      <w:r>
        <w:rPr>
          <w:rFonts w:cs="Arial" w:hint="cs"/>
          <w:rtl/>
        </w:rPr>
        <w:t>רכ</w:t>
      </w:r>
      <w:r w:rsidRPr="00471D1E">
        <w:rPr>
          <w:rFonts w:cs="Arial"/>
          <w:rtl/>
        </w:rPr>
        <w:t>"מ הארוך אות ד) כתבתי דדעת הסמ"ק כדעת הרא"ש</w:t>
      </w:r>
      <w:r>
        <w:rPr>
          <w:rFonts w:cs="Arial" w:hint="cs"/>
          <w:rtl/>
        </w:rPr>
        <w:t>,</w:t>
      </w:r>
      <w:r w:rsidRPr="00471D1E">
        <w:rPr>
          <w:rFonts w:cs="Arial"/>
          <w:rtl/>
        </w:rPr>
        <w:t xml:space="preserve"> ונראה כי הרשב"א דאוסר אזיל לטעמיה דס"ל דצריך לאוכלן אחד אחד וא"כ לא אמרינן דהאיסור חזר להיות היתר אלא מתירין לאכול בב' בני אדם משום דכל אחד י"ל שהוא אוכל היתר ושרי מספיקא</w:t>
      </w:r>
      <w:r>
        <w:rPr>
          <w:rFonts w:cs="Arial" w:hint="cs"/>
          <w:rtl/>
        </w:rPr>
        <w:t>,</w:t>
      </w:r>
      <w:r w:rsidRPr="00471D1E">
        <w:rPr>
          <w:rFonts w:cs="Arial"/>
          <w:rtl/>
        </w:rPr>
        <w:t xml:space="preserve"> כמו שביאר ב</w:t>
      </w:r>
      <w:r>
        <w:rPr>
          <w:rFonts w:cs="Arial" w:hint="cs"/>
          <w:rtl/>
        </w:rPr>
        <w:t>"י</w:t>
      </w:r>
      <w:r w:rsidRPr="00471D1E">
        <w:rPr>
          <w:rFonts w:cs="Arial"/>
          <w:rtl/>
        </w:rPr>
        <w:t xml:space="preserve"> בארוכה</w:t>
      </w:r>
      <w:r>
        <w:rPr>
          <w:rFonts w:cs="Arial" w:hint="cs"/>
          <w:rtl/>
        </w:rPr>
        <w:t>,</w:t>
      </w:r>
      <w:r w:rsidRPr="00471D1E">
        <w:rPr>
          <w:rFonts w:cs="Arial"/>
          <w:rtl/>
        </w:rPr>
        <w:t xml:space="preserve"> וא"כ דין זה תלוי בסברא דלעיל</w:t>
      </w:r>
      <w:r>
        <w:rPr>
          <w:rFonts w:cs="Arial" w:hint="cs"/>
          <w:rtl/>
        </w:rPr>
        <w:t>,</w:t>
      </w:r>
      <w:r w:rsidRPr="00471D1E">
        <w:rPr>
          <w:rFonts w:cs="Arial"/>
          <w:rtl/>
        </w:rPr>
        <w:t xml:space="preserve"> והואיל וכתבתי לעיל (שם) בשם האחרונים דהמיקל לאוכלן אדם אחד לא הפסיד ה"ה גם כן כאן המיקל כדברי הרא"ש לא הפסיד כנ"ל</w:t>
      </w:r>
      <w:r>
        <w:rPr>
          <w:rFonts w:cs="Arial" w:hint="cs"/>
          <w:rtl/>
        </w:rPr>
        <w:t>, דרכ"מ (אות ד).</w:t>
      </w:r>
      <w:r>
        <w:rPr>
          <w:rFonts w:hint="cs"/>
          <w:rtl/>
        </w:rPr>
        <w:t xml:space="preserve"> </w:t>
      </w:r>
      <w:r w:rsidRPr="005957D2">
        <w:rPr>
          <w:rFonts w:hint="cs"/>
          <w:color w:val="00B0F0"/>
          <w:rtl/>
        </w:rPr>
        <w:t>(וכ"פ בהגה)</w:t>
      </w:r>
    </w:p>
  </w:footnote>
  <w:footnote w:id="2413">
    <w:p w14:paraId="17C8860E" w14:textId="77777777" w:rsidR="004C5A3C" w:rsidRDefault="004C5A3C" w:rsidP="002C39F4">
      <w:pPr>
        <w:pStyle w:val="a5"/>
        <w:rPr>
          <w:rtl/>
        </w:rPr>
      </w:pPr>
      <w:r>
        <w:rPr>
          <w:rStyle w:val="a7"/>
        </w:rPr>
        <w:footnoteRef/>
      </w:r>
      <w:r>
        <w:rPr>
          <w:rtl/>
        </w:rPr>
        <w:t xml:space="preserve"> </w:t>
      </w:r>
      <w:r w:rsidRPr="00471D1E">
        <w:rPr>
          <w:rFonts w:cs="Arial"/>
          <w:rtl/>
        </w:rPr>
        <w:t>וכן הוא בשע</w:t>
      </w:r>
      <w:r>
        <w:rPr>
          <w:rFonts w:cs="Arial" w:hint="cs"/>
          <w:rtl/>
        </w:rPr>
        <w:t>"</w:t>
      </w:r>
      <w:r w:rsidRPr="00471D1E">
        <w:rPr>
          <w:rFonts w:cs="Arial"/>
          <w:rtl/>
        </w:rPr>
        <w:t>ד (סי' לט)</w:t>
      </w:r>
      <w:r>
        <w:rPr>
          <w:rFonts w:cs="Arial" w:hint="cs"/>
          <w:rtl/>
        </w:rPr>
        <w:t>, דרכ"מ (אות ה).</w:t>
      </w:r>
    </w:p>
  </w:footnote>
  <w:footnote w:id="2414">
    <w:p w14:paraId="02CB96F7" w14:textId="77777777" w:rsidR="004C5A3C" w:rsidRDefault="004C5A3C" w:rsidP="002C39F4">
      <w:pPr>
        <w:pStyle w:val="a5"/>
        <w:rPr>
          <w:rtl/>
        </w:rPr>
      </w:pPr>
      <w:r>
        <w:rPr>
          <w:rStyle w:val="a7"/>
        </w:rPr>
        <w:footnoteRef/>
      </w:r>
      <w:r>
        <w:rPr>
          <w:rtl/>
        </w:rPr>
        <w:t xml:space="preserve"> </w:t>
      </w:r>
      <w:r w:rsidRPr="003318D1">
        <w:rPr>
          <w:rFonts w:cs="Arial"/>
          <w:rtl/>
        </w:rPr>
        <w:t>ויחיד הוא בדבר זה ואין לסמוך עליו</w:t>
      </w:r>
      <w:r>
        <w:rPr>
          <w:rFonts w:hint="cs"/>
          <w:rtl/>
        </w:rPr>
        <w:t>, ב"י.</w:t>
      </w:r>
    </w:p>
  </w:footnote>
  <w:footnote w:id="2415">
    <w:p w14:paraId="576B26F8" w14:textId="77777777" w:rsidR="004C5A3C" w:rsidRPr="005932D2" w:rsidRDefault="004C5A3C" w:rsidP="002C39F4">
      <w:pPr>
        <w:pStyle w:val="a5"/>
        <w:rPr>
          <w:rFonts w:cs="Arial"/>
          <w:rtl/>
        </w:rPr>
      </w:pPr>
      <w:r>
        <w:rPr>
          <w:rStyle w:val="a7"/>
        </w:rPr>
        <w:footnoteRef/>
      </w:r>
      <w:r>
        <w:rPr>
          <w:rtl/>
        </w:rPr>
        <w:t xml:space="preserve"> </w:t>
      </w:r>
      <w:r>
        <w:rPr>
          <w:rFonts w:hint="cs"/>
          <w:rtl/>
        </w:rPr>
        <w:t xml:space="preserve">אבל אם בשלן </w:t>
      </w:r>
      <w:r w:rsidRPr="005932D2">
        <w:rPr>
          <w:rFonts w:cs="Arial"/>
          <w:rtl/>
        </w:rPr>
        <w:t>בב' קדרות שרי</w:t>
      </w:r>
      <w:r>
        <w:rPr>
          <w:rFonts w:cs="Arial" w:hint="cs"/>
          <w:rtl/>
        </w:rPr>
        <w:t xml:space="preserve">, ב"ח וש"ך </w:t>
      </w:r>
      <w:r w:rsidRPr="005932D2">
        <w:rPr>
          <w:rFonts w:cs="Arial" w:hint="cs"/>
          <w:sz w:val="16"/>
          <w:szCs w:val="16"/>
          <w:rtl/>
        </w:rPr>
        <w:t>(סקי"ב)</w:t>
      </w:r>
      <w:r>
        <w:rPr>
          <w:rFonts w:cs="Arial" w:hint="cs"/>
          <w:rtl/>
        </w:rPr>
        <w:t xml:space="preserve"> בשם הרשב"א.</w:t>
      </w:r>
      <w:r w:rsidRPr="005932D2">
        <w:rPr>
          <w:rFonts w:cs="Arial"/>
          <w:rtl/>
        </w:rPr>
        <w:t xml:space="preserve"> </w:t>
      </w:r>
      <w:r w:rsidRPr="005932D2">
        <w:rPr>
          <w:rFonts w:cs="Arial" w:hint="cs"/>
          <w:rtl/>
        </w:rPr>
        <w:t xml:space="preserve">ומ"מ נחלקו הב"ח והש"ך </w:t>
      </w:r>
      <w:r>
        <w:rPr>
          <w:rFonts w:cs="Arial" w:hint="cs"/>
          <w:rtl/>
        </w:rPr>
        <w:t xml:space="preserve">במקרה הבא- </w:t>
      </w:r>
    </w:p>
    <w:p w14:paraId="44C2DC80" w14:textId="77777777" w:rsidR="004C5A3C" w:rsidRPr="005932D2" w:rsidRDefault="004C5A3C" w:rsidP="002C39F4">
      <w:pPr>
        <w:pStyle w:val="a5"/>
        <w:rPr>
          <w:rFonts w:cs="Arial"/>
          <w:u w:val="single"/>
          <w:rtl/>
        </w:rPr>
      </w:pPr>
      <w:r w:rsidRPr="005932D2">
        <w:rPr>
          <w:rFonts w:cs="Arial" w:hint="cs"/>
          <w:u w:val="single"/>
          <w:rtl/>
        </w:rPr>
        <w:t>ב</w:t>
      </w:r>
      <w:r>
        <w:rPr>
          <w:rFonts w:cs="Arial" w:hint="cs"/>
          <w:u w:val="single"/>
          <w:rtl/>
        </w:rPr>
        <w:t>י</w:t>
      </w:r>
      <w:r w:rsidRPr="005932D2">
        <w:rPr>
          <w:rFonts w:cs="Arial" w:hint="cs"/>
          <w:u w:val="single"/>
          <w:rtl/>
        </w:rPr>
        <w:t>של</w:t>
      </w:r>
      <w:r>
        <w:rPr>
          <w:rFonts w:cs="Arial" w:hint="cs"/>
          <w:u w:val="single"/>
          <w:rtl/>
        </w:rPr>
        <w:t xml:space="preserve"> את התערובת</w:t>
      </w:r>
      <w:r w:rsidRPr="005932D2">
        <w:rPr>
          <w:rFonts w:cs="Arial" w:hint="cs"/>
          <w:u w:val="single"/>
          <w:rtl/>
        </w:rPr>
        <w:t xml:space="preserve"> בב' קדרות קודם שנודע התערובת:</w:t>
      </w:r>
    </w:p>
    <w:p w14:paraId="0291F445" w14:textId="77777777" w:rsidR="004C5A3C" w:rsidRDefault="004C5A3C" w:rsidP="0032102C">
      <w:pPr>
        <w:pStyle w:val="a5"/>
        <w:numPr>
          <w:ilvl w:val="0"/>
          <w:numId w:val="246"/>
        </w:numPr>
        <w:rPr>
          <w:rFonts w:cs="Arial"/>
          <w:rtl/>
        </w:rPr>
      </w:pPr>
      <w:r>
        <w:rPr>
          <w:rFonts w:cs="Arial" w:hint="cs"/>
          <w:rtl/>
        </w:rPr>
        <w:t xml:space="preserve">ב"ח- </w:t>
      </w:r>
      <w:r w:rsidRPr="005932D2">
        <w:rPr>
          <w:rFonts w:cs="Arial"/>
          <w:rtl/>
        </w:rPr>
        <w:t>אפילו בשלם בב' קדרות קודם שנודע התערובות מותר לאכלן אח"כ</w:t>
      </w:r>
      <w:r>
        <w:rPr>
          <w:rFonts w:cs="Arial" w:hint="cs"/>
          <w:rtl/>
        </w:rPr>
        <w:t>,</w:t>
      </w:r>
      <w:r w:rsidRPr="005932D2">
        <w:rPr>
          <w:rFonts w:cs="Arial"/>
          <w:rtl/>
        </w:rPr>
        <w:t xml:space="preserve"> שהרי הרשב"א מחמיר כשבשלן יחד אפילו בשלן אחר שנודע התערובות והתיר בבישל מקצתן לצד אחד ומקצתן לצד אח' כמ"ש ב"י משמו</w:t>
      </w:r>
      <w:r>
        <w:rPr>
          <w:rFonts w:cs="Arial" w:hint="cs"/>
          <w:rtl/>
        </w:rPr>
        <w:t>.</w:t>
      </w:r>
      <w:r w:rsidRPr="005932D2">
        <w:rPr>
          <w:rFonts w:cs="Arial"/>
          <w:rtl/>
        </w:rPr>
        <w:t xml:space="preserve"> </w:t>
      </w:r>
    </w:p>
    <w:p w14:paraId="34549F68" w14:textId="77777777" w:rsidR="004C5A3C" w:rsidRDefault="004C5A3C" w:rsidP="0032102C">
      <w:pPr>
        <w:pStyle w:val="a5"/>
        <w:numPr>
          <w:ilvl w:val="0"/>
          <w:numId w:val="246"/>
        </w:numPr>
        <w:rPr>
          <w:rtl/>
        </w:rPr>
      </w:pPr>
      <w:r>
        <w:rPr>
          <w:rFonts w:cs="Arial" w:hint="cs"/>
          <w:rtl/>
        </w:rPr>
        <w:t xml:space="preserve">ש"ך- </w:t>
      </w:r>
      <w:r w:rsidRPr="005932D2">
        <w:rPr>
          <w:rFonts w:cs="Arial"/>
          <w:rtl/>
        </w:rPr>
        <w:t>הא דמתיר הרשב"א בבשלן בב' קדרות היינו משום דכיון דנודע ונתבטל מן התורה וגם מדרבנן ברוב אלא דלבשלן יחד אסור משום שחזר האיסור ונתערב עם ההיתר והרי הוא כשאר איסורים הנבללים כדכתב הרשב"א להדיא ואסור אז מדרבנן</w:t>
      </w:r>
      <w:r>
        <w:rPr>
          <w:rFonts w:cs="Arial" w:hint="cs"/>
          <w:rtl/>
        </w:rPr>
        <w:t>,</w:t>
      </w:r>
      <w:r w:rsidRPr="005932D2">
        <w:rPr>
          <w:rFonts w:cs="Arial"/>
          <w:rtl/>
        </w:rPr>
        <w:t xml:space="preserve"> והלכך כל שנתבשל בב' קדרות דלא חזר להיות כשאר איסורים הנבללים ובשעה שאוכל כל קדרה וקדרה שנתבשל בה אומר האיסור בקדרה אחרת מותר</w:t>
      </w:r>
      <w:r>
        <w:rPr>
          <w:rFonts w:cs="Arial" w:hint="cs"/>
          <w:rtl/>
        </w:rPr>
        <w:t>,</w:t>
      </w:r>
      <w:r w:rsidRPr="005932D2">
        <w:rPr>
          <w:rFonts w:cs="Arial"/>
          <w:rtl/>
        </w:rPr>
        <w:t xml:space="preserve"> </w:t>
      </w:r>
      <w:r w:rsidRPr="004A56B9">
        <w:rPr>
          <w:rFonts w:cs="Arial" w:hint="cs"/>
          <w:sz w:val="16"/>
          <w:szCs w:val="16"/>
          <w:rtl/>
        </w:rPr>
        <w:t>(</w:t>
      </w:r>
      <w:r w:rsidRPr="004A56B9">
        <w:rPr>
          <w:rFonts w:cs="Arial"/>
          <w:sz w:val="16"/>
          <w:szCs w:val="16"/>
          <w:rtl/>
        </w:rPr>
        <w:t>ואפילו תימא דמידי ספיקא לא נפקא מ"מ ה"ל ספיקא דרבנן לקולא</w:t>
      </w:r>
      <w:r w:rsidRPr="004A56B9">
        <w:rPr>
          <w:rFonts w:cs="Arial" w:hint="cs"/>
          <w:sz w:val="16"/>
          <w:szCs w:val="16"/>
          <w:rtl/>
        </w:rPr>
        <w:t>,</w:t>
      </w:r>
      <w:r w:rsidRPr="004A56B9">
        <w:rPr>
          <w:rFonts w:cs="Arial"/>
          <w:sz w:val="16"/>
          <w:szCs w:val="16"/>
          <w:rtl/>
        </w:rPr>
        <w:t xml:space="preserve"> ואפשר אפילו ספיקא דרבנן ליכא דאפשר דלא גזרו רבנן מין במינו בס' אלא בלח ממש אבל כשנתבטל כבר ברוב לא החמירו אח"כ ואוקמא אדאו</w:t>
      </w:r>
      <w:r w:rsidRPr="004A56B9">
        <w:rPr>
          <w:rFonts w:cs="Arial" w:hint="cs"/>
          <w:sz w:val="16"/>
          <w:szCs w:val="16"/>
          <w:rtl/>
        </w:rPr>
        <w:t>'</w:t>
      </w:r>
      <w:r w:rsidRPr="004A56B9">
        <w:rPr>
          <w:rFonts w:cs="Arial"/>
          <w:sz w:val="16"/>
          <w:szCs w:val="16"/>
          <w:rtl/>
        </w:rPr>
        <w:t xml:space="preserve"> כל שי"ל שאני אומר כו')</w:t>
      </w:r>
      <w:r>
        <w:rPr>
          <w:rFonts w:cs="Arial" w:hint="cs"/>
          <w:rtl/>
        </w:rPr>
        <w:t>,</w:t>
      </w:r>
      <w:r w:rsidRPr="005932D2">
        <w:rPr>
          <w:rFonts w:cs="Arial"/>
          <w:rtl/>
        </w:rPr>
        <w:t xml:space="preserve"> אבל כשלא נודע התערובת דאז לא נתבטל האיסור כלל ואסור מן התורה אלא דעתה בשעת הבישול נודע התערובת</w:t>
      </w:r>
      <w:r>
        <w:rPr>
          <w:rFonts w:cs="Arial" w:hint="cs"/>
          <w:rtl/>
        </w:rPr>
        <w:t>,</w:t>
      </w:r>
      <w:r w:rsidRPr="005932D2">
        <w:rPr>
          <w:rFonts w:cs="Arial"/>
          <w:rtl/>
        </w:rPr>
        <w:t xml:space="preserve"> א"כ על כל קדירה י"ל שמא האיסור בזו ה"ל ספיקא דאור</w:t>
      </w:r>
      <w:r>
        <w:rPr>
          <w:rFonts w:cs="Arial" w:hint="cs"/>
          <w:rtl/>
        </w:rPr>
        <w:t>'</w:t>
      </w:r>
      <w:r w:rsidRPr="005932D2">
        <w:rPr>
          <w:rFonts w:cs="Arial"/>
          <w:rtl/>
        </w:rPr>
        <w:t xml:space="preserve"> ולחומרא ואסור לכ"ע ודינו כדלקמן ס"ס קי"א דב' קדרות של אדם אחד מצטרפים לבטל בס' ע"ש</w:t>
      </w:r>
      <w:r>
        <w:rPr>
          <w:rFonts w:hint="cs"/>
          <w:rtl/>
        </w:rPr>
        <w:t>.</w:t>
      </w:r>
    </w:p>
  </w:footnote>
  <w:footnote w:id="2416">
    <w:p w14:paraId="2D74364C" w14:textId="77777777" w:rsidR="004C5A3C" w:rsidRDefault="004C5A3C" w:rsidP="002C39F4">
      <w:pPr>
        <w:pStyle w:val="a5"/>
        <w:rPr>
          <w:rtl/>
        </w:rPr>
      </w:pPr>
      <w:r>
        <w:rPr>
          <w:rStyle w:val="a7"/>
        </w:rPr>
        <w:footnoteRef/>
      </w:r>
      <w:r>
        <w:rPr>
          <w:rtl/>
        </w:rPr>
        <w:t xml:space="preserve"> </w:t>
      </w:r>
      <w:r w:rsidRPr="007D49CD">
        <w:rPr>
          <w:rFonts w:cs="Arial"/>
          <w:rtl/>
        </w:rPr>
        <w:t>דפליגי על רבי יהושע וסברי שדבר שדרכו להמנות כן בטל, שאני הכא, כי בעלי חיים חשיבי מצד היותם "בעלי חיים", ואין חשיבותם מצד "דבר שדרכו להמנות" ולא בטלי</w:t>
      </w:r>
      <w:r>
        <w:rPr>
          <w:rFonts w:cs="Arial" w:hint="cs"/>
          <w:rtl/>
        </w:rPr>
        <w:t>, חברותא</w:t>
      </w:r>
      <w:r w:rsidRPr="007D49CD">
        <w:rPr>
          <w:rFonts w:cs="Arial"/>
          <w:rtl/>
        </w:rPr>
        <w:t>.</w:t>
      </w:r>
    </w:p>
  </w:footnote>
  <w:footnote w:id="2417">
    <w:p w14:paraId="5E53C019" w14:textId="77777777" w:rsidR="004C5A3C" w:rsidRDefault="004C5A3C" w:rsidP="002C39F4">
      <w:pPr>
        <w:pStyle w:val="a5"/>
        <w:rPr>
          <w:rtl/>
        </w:rPr>
      </w:pPr>
      <w:r>
        <w:rPr>
          <w:rStyle w:val="a7"/>
        </w:rPr>
        <w:footnoteRef/>
      </w:r>
      <w:r>
        <w:rPr>
          <w:rtl/>
        </w:rPr>
        <w:t xml:space="preserve"> </w:t>
      </w:r>
      <w:r>
        <w:rPr>
          <w:rFonts w:cs="Arial" w:hint="cs"/>
          <w:rtl/>
        </w:rPr>
        <w:t>וכן ב</w:t>
      </w:r>
      <w:r>
        <w:rPr>
          <w:rFonts w:cs="Arial"/>
          <w:rtl/>
        </w:rPr>
        <w:t xml:space="preserve">יבמות </w:t>
      </w:r>
      <w:r>
        <w:rPr>
          <w:rFonts w:cs="Arial" w:hint="cs"/>
          <w:rtl/>
        </w:rPr>
        <w:t>(</w:t>
      </w:r>
      <w:r>
        <w:rPr>
          <w:rFonts w:cs="Arial"/>
          <w:rtl/>
        </w:rPr>
        <w:t xml:space="preserve">פא:) </w:t>
      </w:r>
      <w:r>
        <w:rPr>
          <w:rFonts w:cs="Arial" w:hint="cs"/>
          <w:rtl/>
        </w:rPr>
        <w:t>וב</w:t>
      </w:r>
      <w:r>
        <w:rPr>
          <w:rFonts w:cs="Arial"/>
          <w:rtl/>
        </w:rPr>
        <w:t xml:space="preserve">זבחים </w:t>
      </w:r>
      <w:r>
        <w:rPr>
          <w:rFonts w:cs="Arial" w:hint="cs"/>
          <w:rtl/>
        </w:rPr>
        <w:t>(</w:t>
      </w:r>
      <w:r>
        <w:rPr>
          <w:rFonts w:cs="Arial"/>
          <w:rtl/>
        </w:rPr>
        <w:t>עב:) וב</w:t>
      </w:r>
      <w:r>
        <w:rPr>
          <w:rFonts w:cs="Arial" w:hint="cs"/>
          <w:rtl/>
        </w:rPr>
        <w:t>חולין</w:t>
      </w:r>
      <w:r>
        <w:rPr>
          <w:rFonts w:cs="Arial"/>
          <w:rtl/>
        </w:rPr>
        <w:t xml:space="preserve"> (ק.) ובדוכתי אחריני</w:t>
      </w:r>
      <w:r>
        <w:rPr>
          <w:rFonts w:hint="cs"/>
          <w:rtl/>
        </w:rPr>
        <w:t>, ב"י.</w:t>
      </w:r>
    </w:p>
  </w:footnote>
  <w:footnote w:id="2418">
    <w:p w14:paraId="4DFD6BA7" w14:textId="77777777" w:rsidR="004C5A3C" w:rsidRDefault="004C5A3C" w:rsidP="002C39F4">
      <w:pPr>
        <w:pStyle w:val="a5"/>
        <w:rPr>
          <w:rtl/>
        </w:rPr>
      </w:pPr>
      <w:r>
        <w:rPr>
          <w:rStyle w:val="a7"/>
        </w:rPr>
        <w:footnoteRef/>
      </w:r>
      <w:r>
        <w:rPr>
          <w:rtl/>
        </w:rPr>
        <w:t xml:space="preserve"> </w:t>
      </w:r>
      <w:r>
        <w:rPr>
          <w:rFonts w:hint="cs"/>
          <w:rtl/>
        </w:rPr>
        <w:t>ערלה פ"ג מ"ז.</w:t>
      </w:r>
    </w:p>
  </w:footnote>
  <w:footnote w:id="2419">
    <w:p w14:paraId="0E17C714" w14:textId="77777777" w:rsidR="004C5A3C" w:rsidRDefault="004C5A3C" w:rsidP="002C39F4">
      <w:pPr>
        <w:pStyle w:val="a5"/>
        <w:rPr>
          <w:rtl/>
        </w:rPr>
      </w:pPr>
      <w:r>
        <w:rPr>
          <w:rStyle w:val="a7"/>
        </w:rPr>
        <w:footnoteRef/>
      </w:r>
      <w:r>
        <w:rPr>
          <w:rtl/>
        </w:rPr>
        <w:t xml:space="preserve"> </w:t>
      </w:r>
      <w:r w:rsidRPr="003A0359">
        <w:rPr>
          <w:rFonts w:cs="Arial"/>
          <w:rtl/>
        </w:rPr>
        <w:t>פירוש</w:t>
      </w:r>
      <w:r w:rsidRPr="003A0359">
        <w:rPr>
          <w:rFonts w:cs="Arial" w:hint="cs"/>
          <w:rtl/>
        </w:rPr>
        <w:t>,</w:t>
      </w:r>
      <w:r w:rsidRPr="003A0359">
        <w:rPr>
          <w:rFonts w:cs="Arial"/>
          <w:rtl/>
        </w:rPr>
        <w:t xml:space="preserve"> אליבא דרבי מאיר פליגי רבי יוחנן וריש לקיש</w:t>
      </w:r>
      <w:r w:rsidRPr="003A0359">
        <w:rPr>
          <w:rFonts w:cs="Arial" w:hint="cs"/>
          <w:rtl/>
        </w:rPr>
        <w:t>,</w:t>
      </w:r>
      <w:r w:rsidRPr="003A0359">
        <w:rPr>
          <w:rFonts w:cs="Arial"/>
          <w:rtl/>
        </w:rPr>
        <w:t xml:space="preserve"> דרבי יוחנן סבר דרבי מאיר את שדרכו לימנות קאמר כלומר דדוקא מה שאינו נמכר לעולם אלא במנין קאמר רבי מאיר דלא בטיל</w:t>
      </w:r>
      <w:r>
        <w:rPr>
          <w:rFonts w:cs="Arial" w:hint="cs"/>
          <w:rtl/>
        </w:rPr>
        <w:t>,</w:t>
      </w:r>
      <w:r w:rsidRPr="003A0359">
        <w:rPr>
          <w:rFonts w:cs="Arial"/>
          <w:rtl/>
        </w:rPr>
        <w:t xml:space="preserve"> אבל מה שנמכר לפעמים באומד אע</w:t>
      </w:r>
      <w:r w:rsidRPr="003A0359">
        <w:rPr>
          <w:rFonts w:cs="Arial" w:hint="cs"/>
          <w:rtl/>
        </w:rPr>
        <w:t>"</w:t>
      </w:r>
      <w:r w:rsidRPr="003A0359">
        <w:rPr>
          <w:rFonts w:cs="Arial"/>
          <w:rtl/>
        </w:rPr>
        <w:t>פ שלפעמים נמכר במנין בטיל</w:t>
      </w:r>
      <w:r>
        <w:rPr>
          <w:rFonts w:cs="Arial" w:hint="cs"/>
          <w:rtl/>
        </w:rPr>
        <w:t>.</w:t>
      </w:r>
      <w:r w:rsidRPr="003A0359">
        <w:rPr>
          <w:rFonts w:cs="Arial"/>
          <w:rtl/>
        </w:rPr>
        <w:t xml:space="preserve"> וריש לקיש פליג ואמר כל שדרכו לימנות אפילו לפעמים</w:t>
      </w:r>
      <w:r>
        <w:rPr>
          <w:rFonts w:cs="Arial" w:hint="cs"/>
          <w:rtl/>
        </w:rPr>
        <w:t xml:space="preserve"> -</w:t>
      </w:r>
      <w:r w:rsidRPr="003A0359">
        <w:rPr>
          <w:rFonts w:cs="Arial"/>
          <w:rtl/>
        </w:rPr>
        <w:t xml:space="preserve"> לא בטיל לרבי מאיר</w:t>
      </w:r>
      <w:r>
        <w:rPr>
          <w:rFonts w:hint="cs"/>
          <w:rtl/>
        </w:rPr>
        <w:t>...</w:t>
      </w:r>
      <w:r w:rsidRPr="003A0359">
        <w:rPr>
          <w:rFonts w:cs="Arial"/>
          <w:rtl/>
        </w:rPr>
        <w:t xml:space="preserve"> </w:t>
      </w:r>
      <w:r>
        <w:rPr>
          <w:rFonts w:cs="Arial"/>
          <w:rtl/>
        </w:rPr>
        <w:t>ולכאורה משמע דכיון דפליגי רבי יוחנן וריש לקיש אליבא דרבי מאיר הלכתא כותיה וכדרבי יוחנן דאמר את שדרכו לימנות שנינו</w:t>
      </w:r>
      <w:r>
        <w:rPr>
          <w:rFonts w:cs="Arial" w:hint="cs"/>
          <w:rtl/>
        </w:rPr>
        <w:t xml:space="preserve">, ב"י. </w:t>
      </w:r>
      <w:r w:rsidRPr="002B1376">
        <w:rPr>
          <w:rFonts w:cs="Arial" w:hint="cs"/>
          <w:sz w:val="16"/>
          <w:szCs w:val="16"/>
          <w:rtl/>
        </w:rPr>
        <w:t>(ועי' לקמן שדעתו אינה כן, ולכן כתב 'לכאורה'</w:t>
      </w:r>
      <w:r>
        <w:rPr>
          <w:rFonts w:cs="Arial" w:hint="cs"/>
          <w:sz w:val="16"/>
          <w:szCs w:val="16"/>
          <w:rtl/>
        </w:rPr>
        <w:t>)</w:t>
      </w:r>
    </w:p>
  </w:footnote>
  <w:footnote w:id="2420">
    <w:p w14:paraId="413D02D6" w14:textId="77777777" w:rsidR="004C5A3C" w:rsidRDefault="004C5A3C" w:rsidP="002C39F4">
      <w:pPr>
        <w:pStyle w:val="a5"/>
      </w:pPr>
      <w:r>
        <w:rPr>
          <w:rStyle w:val="a7"/>
        </w:rPr>
        <w:footnoteRef/>
      </w:r>
      <w:r>
        <w:rPr>
          <w:rtl/>
        </w:rPr>
        <w:t xml:space="preserve"> </w:t>
      </w:r>
      <w:r>
        <w:rPr>
          <w:rFonts w:cs="Arial" w:hint="cs"/>
          <w:rtl/>
        </w:rPr>
        <w:t xml:space="preserve">ר"י </w:t>
      </w:r>
      <w:r>
        <w:rPr>
          <w:rFonts w:cs="Arial" w:hint="cs"/>
          <w:sz w:val="16"/>
          <w:szCs w:val="16"/>
          <w:rtl/>
        </w:rPr>
        <w:t>(כ"כ הטור בשמו)</w:t>
      </w:r>
      <w:r>
        <w:rPr>
          <w:rFonts w:cs="Arial" w:hint="cs"/>
          <w:rtl/>
        </w:rPr>
        <w:t xml:space="preserve"> </w:t>
      </w:r>
      <w:r w:rsidRPr="00DF493B">
        <w:rPr>
          <w:rFonts w:cs="Arial"/>
          <w:rtl/>
        </w:rPr>
        <w:t xml:space="preserve">ריצב"א </w:t>
      </w:r>
      <w:r w:rsidRPr="00DF493B">
        <w:rPr>
          <w:rFonts w:cs="Arial" w:hint="cs"/>
          <w:sz w:val="16"/>
          <w:szCs w:val="16"/>
          <w:rtl/>
        </w:rPr>
        <w:t>(כ"כ בשמו הסמ"ג ס</w:t>
      </w:r>
      <w:r w:rsidRPr="00DF493B">
        <w:rPr>
          <w:rFonts w:cs="Arial"/>
          <w:sz w:val="16"/>
          <w:szCs w:val="16"/>
          <w:rtl/>
        </w:rPr>
        <w:t>י</w:t>
      </w:r>
      <w:r w:rsidRPr="00DF493B">
        <w:rPr>
          <w:rFonts w:cs="Arial" w:hint="cs"/>
          <w:sz w:val="16"/>
          <w:szCs w:val="16"/>
          <w:rtl/>
        </w:rPr>
        <w:t>'</w:t>
      </w:r>
      <w:r w:rsidRPr="00DF493B">
        <w:rPr>
          <w:rFonts w:cs="Arial"/>
          <w:sz w:val="16"/>
          <w:szCs w:val="16"/>
          <w:rtl/>
        </w:rPr>
        <w:t xml:space="preserve"> קמא לאוין נב ע"ג)</w:t>
      </w:r>
      <w:r w:rsidRPr="00DF493B">
        <w:rPr>
          <w:rFonts w:cs="Arial" w:hint="cs"/>
          <w:sz w:val="16"/>
          <w:szCs w:val="16"/>
          <w:rtl/>
        </w:rPr>
        <w:t xml:space="preserve"> </w:t>
      </w:r>
      <w:r w:rsidRPr="00DF493B">
        <w:rPr>
          <w:rFonts w:cs="Arial" w:hint="cs"/>
          <w:rtl/>
        </w:rPr>
        <w:t>ו</w:t>
      </w:r>
      <w:r w:rsidRPr="00DF493B">
        <w:rPr>
          <w:rFonts w:cs="Arial"/>
          <w:rtl/>
        </w:rPr>
        <w:t xml:space="preserve">סמ"ק </w:t>
      </w:r>
      <w:r w:rsidRPr="003A0359">
        <w:rPr>
          <w:rFonts w:cs="Arial"/>
          <w:sz w:val="16"/>
          <w:szCs w:val="16"/>
          <w:rtl/>
        </w:rPr>
        <w:t>(סי' ריד)</w:t>
      </w:r>
      <w:r>
        <w:rPr>
          <w:rFonts w:hint="cs"/>
          <w:rtl/>
        </w:rPr>
        <w:t>.</w:t>
      </w:r>
    </w:p>
  </w:footnote>
  <w:footnote w:id="2421">
    <w:p w14:paraId="5CA2AAE6" w14:textId="77777777" w:rsidR="004C5A3C" w:rsidRDefault="004C5A3C" w:rsidP="002C39F4">
      <w:pPr>
        <w:pStyle w:val="a5"/>
        <w:rPr>
          <w:rtl/>
        </w:rPr>
      </w:pPr>
      <w:r>
        <w:rPr>
          <w:rStyle w:val="a7"/>
        </w:rPr>
        <w:footnoteRef/>
      </w:r>
      <w:r>
        <w:rPr>
          <w:rtl/>
        </w:rPr>
        <w:t xml:space="preserve"> </w:t>
      </w:r>
      <w:r w:rsidRPr="00872368">
        <w:rPr>
          <w:rFonts w:cs="Arial"/>
          <w:rtl/>
        </w:rPr>
        <w:t>פירוש שלעולם אין מוכרין אותו אלא במנין אבל דברים שלפעמים מוכרין אותו באומד בטל ברוב</w:t>
      </w:r>
      <w:r>
        <w:rPr>
          <w:rFonts w:hint="cs"/>
          <w:rtl/>
        </w:rPr>
        <w:t>, טור.</w:t>
      </w:r>
    </w:p>
  </w:footnote>
  <w:footnote w:id="2422">
    <w:p w14:paraId="67832D9E" w14:textId="77777777" w:rsidR="004C5A3C" w:rsidRDefault="004C5A3C" w:rsidP="002C39F4">
      <w:pPr>
        <w:pStyle w:val="a5"/>
        <w:rPr>
          <w:rtl/>
        </w:rPr>
      </w:pPr>
      <w:r>
        <w:rPr>
          <w:rStyle w:val="a7"/>
        </w:rPr>
        <w:footnoteRef/>
      </w:r>
      <w:r>
        <w:rPr>
          <w:rtl/>
        </w:rPr>
        <w:t xml:space="preserve"> </w:t>
      </w:r>
      <w:r>
        <w:rPr>
          <w:rFonts w:cs="Arial"/>
          <w:rtl/>
        </w:rPr>
        <w:t>וכ</w:t>
      </w:r>
      <w:r>
        <w:rPr>
          <w:rFonts w:cs="Arial" w:hint="cs"/>
          <w:rtl/>
        </w:rPr>
        <w:t>'</w:t>
      </w:r>
      <w:r>
        <w:rPr>
          <w:rFonts w:cs="Arial"/>
          <w:rtl/>
        </w:rPr>
        <w:t xml:space="preserve"> ר</w:t>
      </w:r>
      <w:r>
        <w:rPr>
          <w:rFonts w:cs="Arial" w:hint="cs"/>
          <w:rtl/>
        </w:rPr>
        <w:t xml:space="preserve">י"ו </w:t>
      </w:r>
      <w:r w:rsidRPr="00DB4D9F">
        <w:rPr>
          <w:rFonts w:cs="Arial"/>
          <w:sz w:val="16"/>
          <w:szCs w:val="16"/>
          <w:rtl/>
        </w:rPr>
        <w:t>(נט"ו אות כט קלט:</w:t>
      </w:r>
      <w:r w:rsidRPr="00DB4D9F">
        <w:rPr>
          <w:rFonts w:cs="Arial" w:hint="cs"/>
          <w:sz w:val="16"/>
          <w:szCs w:val="16"/>
          <w:rtl/>
        </w:rPr>
        <w:t>, הביאו הב"י בבדה"ב</w:t>
      </w:r>
      <w:r w:rsidRPr="00DB4D9F">
        <w:rPr>
          <w:rFonts w:cs="Arial"/>
          <w:sz w:val="16"/>
          <w:szCs w:val="16"/>
          <w:rtl/>
        </w:rPr>
        <w:t xml:space="preserve">) </w:t>
      </w:r>
      <w:r>
        <w:rPr>
          <w:rFonts w:cs="Arial" w:hint="cs"/>
          <w:rtl/>
        </w:rPr>
        <w:t xml:space="preserve">שכן </w:t>
      </w:r>
      <w:r>
        <w:rPr>
          <w:rFonts w:cs="Arial"/>
          <w:rtl/>
        </w:rPr>
        <w:t>שהסכימו רוב הפוסקים</w:t>
      </w:r>
      <w:r>
        <w:rPr>
          <w:rFonts w:hint="cs"/>
          <w:rtl/>
        </w:rPr>
        <w:t>.</w:t>
      </w:r>
      <w:r w:rsidRPr="00DB4D9F">
        <w:rPr>
          <w:rFonts w:cs="Arial"/>
          <w:rtl/>
        </w:rPr>
        <w:t xml:space="preserve"> </w:t>
      </w:r>
    </w:p>
  </w:footnote>
  <w:footnote w:id="2423">
    <w:p w14:paraId="2E79EE1A" w14:textId="77777777" w:rsidR="004C5A3C" w:rsidRDefault="004C5A3C" w:rsidP="002C39F4">
      <w:pPr>
        <w:pStyle w:val="a5"/>
        <w:rPr>
          <w:rtl/>
        </w:rPr>
      </w:pPr>
      <w:r>
        <w:rPr>
          <w:rStyle w:val="a7"/>
        </w:rPr>
        <w:footnoteRef/>
      </w:r>
      <w:r>
        <w:rPr>
          <w:rtl/>
        </w:rPr>
        <w:t xml:space="preserve"> </w:t>
      </w:r>
      <w:r w:rsidRPr="003A0359">
        <w:rPr>
          <w:rFonts w:cs="Arial"/>
          <w:rtl/>
        </w:rPr>
        <w:t>וסובר הרמב"ם דאע"ג דחכמים נקטו בדוקא הנך ששה היינו משום דהנך חשיבי בכל דוכתא אבל אה"נ שאם בשום מקום חשיב להו אי זה מין שהוא מזרע הארץ ופרי עץ כל כך כמו חשיבותן של אלו</w:t>
      </w:r>
      <w:r>
        <w:rPr>
          <w:rFonts w:cs="Arial" w:hint="cs"/>
          <w:rtl/>
        </w:rPr>
        <w:t xml:space="preserve"> -</w:t>
      </w:r>
      <w:r w:rsidRPr="003A0359">
        <w:rPr>
          <w:rFonts w:cs="Arial"/>
          <w:rtl/>
        </w:rPr>
        <w:t xml:space="preserve"> דמקדש ולא בטיל</w:t>
      </w:r>
      <w:r>
        <w:rPr>
          <w:rFonts w:cs="Arial" w:hint="cs"/>
          <w:rtl/>
        </w:rPr>
        <w:t>,</w:t>
      </w:r>
      <w:r w:rsidRPr="003A0359">
        <w:rPr>
          <w:rFonts w:cs="Arial"/>
          <w:rtl/>
        </w:rPr>
        <w:t xml:space="preserve"> ומינה נשמע לחתיכה הראויה להתכבד ולבריה דחשיבי כי הנך ששה דברים דלא בטלי</w:t>
      </w:r>
      <w:r>
        <w:rPr>
          <w:rFonts w:cs="Arial" w:hint="cs"/>
          <w:rtl/>
        </w:rPr>
        <w:t>,</w:t>
      </w:r>
      <w:r w:rsidRPr="003A0359">
        <w:rPr>
          <w:rFonts w:cs="Arial"/>
          <w:rtl/>
        </w:rPr>
        <w:t xml:space="preserve"> והא דלא מנו להו רבנן אע"פ שבכל מקום ובכל זמן הם חשובים</w:t>
      </w:r>
      <w:r>
        <w:rPr>
          <w:rFonts w:cs="Arial" w:hint="cs"/>
          <w:rtl/>
        </w:rPr>
        <w:t xml:space="preserve"> -</w:t>
      </w:r>
      <w:r w:rsidRPr="003A0359">
        <w:rPr>
          <w:rFonts w:cs="Arial"/>
          <w:rtl/>
        </w:rPr>
        <w:t xml:space="preserve"> משום דרבנן לא איירו אלא בדבר שגידולו מן הקרקע דומיא דחבילי תלתן דאיירי ביה רבי מאיר</w:t>
      </w:r>
      <w:r>
        <w:rPr>
          <w:rFonts w:cs="Arial" w:hint="cs"/>
          <w:rtl/>
        </w:rPr>
        <w:t>, ב"י.</w:t>
      </w:r>
    </w:p>
  </w:footnote>
  <w:footnote w:id="2424">
    <w:p w14:paraId="16B01DE9" w14:textId="77777777" w:rsidR="004C5A3C" w:rsidRDefault="004C5A3C" w:rsidP="002C39F4">
      <w:pPr>
        <w:pStyle w:val="a5"/>
      </w:pPr>
      <w:r>
        <w:rPr>
          <w:rStyle w:val="a7"/>
        </w:rPr>
        <w:footnoteRef/>
      </w:r>
      <w:r>
        <w:rPr>
          <w:rtl/>
        </w:rPr>
        <w:t xml:space="preserve"> </w:t>
      </w:r>
      <w:r w:rsidRPr="00872368">
        <w:rPr>
          <w:rFonts w:cs="Arial"/>
          <w:rtl/>
        </w:rPr>
        <w:t>דמדאו</w:t>
      </w:r>
      <w:r>
        <w:rPr>
          <w:rFonts w:cs="Arial" w:hint="cs"/>
          <w:rtl/>
        </w:rPr>
        <w:t>'</w:t>
      </w:r>
      <w:r w:rsidRPr="00872368">
        <w:rPr>
          <w:rFonts w:cs="Arial"/>
          <w:rtl/>
        </w:rPr>
        <w:t xml:space="preserve"> בטיל הוא ברוב</w:t>
      </w:r>
      <w:r>
        <w:rPr>
          <w:rFonts w:cs="Arial" w:hint="cs"/>
          <w:rtl/>
        </w:rPr>
        <w:t>,</w:t>
      </w:r>
      <w:r w:rsidRPr="00872368">
        <w:rPr>
          <w:rFonts w:cs="Arial"/>
          <w:rtl/>
        </w:rPr>
        <w:t xml:space="preserve"> ולכן ספיקו לקולא</w:t>
      </w:r>
      <w:r>
        <w:rPr>
          <w:rFonts w:cs="Arial" w:hint="cs"/>
          <w:rtl/>
        </w:rPr>
        <w:t>,</w:t>
      </w:r>
      <w:r w:rsidRPr="00872368">
        <w:rPr>
          <w:rFonts w:cs="Arial"/>
          <w:rtl/>
        </w:rPr>
        <w:t xml:space="preserve"> </w:t>
      </w:r>
      <w:r>
        <w:rPr>
          <w:rFonts w:cs="Arial" w:hint="cs"/>
          <w:rtl/>
        </w:rPr>
        <w:t>או</w:t>
      </w:r>
      <w:r>
        <w:rPr>
          <w:rFonts w:cs="Arial"/>
          <w:rtl/>
        </w:rPr>
        <w:t>"</w:t>
      </w:r>
      <w:r>
        <w:rPr>
          <w:rFonts w:cs="Arial" w:hint="cs"/>
          <w:rtl/>
        </w:rPr>
        <w:t>ה (כלל כה דין ו-ז). הביאו הדרכ"מ (אות א).</w:t>
      </w:r>
    </w:p>
  </w:footnote>
  <w:footnote w:id="2425">
    <w:p w14:paraId="7D782B8A" w14:textId="77777777" w:rsidR="004C5A3C" w:rsidRDefault="004C5A3C" w:rsidP="002C39F4">
      <w:pPr>
        <w:pStyle w:val="a5"/>
      </w:pPr>
      <w:r>
        <w:rPr>
          <w:rStyle w:val="a7"/>
        </w:rPr>
        <w:footnoteRef/>
      </w:r>
      <w:r>
        <w:rPr>
          <w:rtl/>
        </w:rPr>
        <w:t xml:space="preserve"> </w:t>
      </w:r>
      <w:r w:rsidRPr="009E0A55">
        <w:rPr>
          <w:rFonts w:cs="Arial" w:hint="cs"/>
          <w:rtl/>
        </w:rPr>
        <w:t xml:space="preserve">כ"כ בשמו הרשב"א חולין </w:t>
      </w:r>
      <w:r>
        <w:rPr>
          <w:rFonts w:cs="Arial" w:hint="cs"/>
          <w:rtl/>
        </w:rPr>
        <w:t>(</w:t>
      </w:r>
      <w:r w:rsidRPr="009E0A55">
        <w:rPr>
          <w:rFonts w:cs="Arial"/>
          <w:rtl/>
        </w:rPr>
        <w:t>צז:</w:t>
      </w:r>
      <w:r>
        <w:rPr>
          <w:rFonts w:cs="Arial" w:hint="cs"/>
          <w:rtl/>
        </w:rPr>
        <w:t>)</w:t>
      </w:r>
      <w:r w:rsidRPr="009E0A55">
        <w:rPr>
          <w:rFonts w:cs="Arial"/>
          <w:rtl/>
        </w:rPr>
        <w:t xml:space="preserve"> ד"ה אמר ליה הכא</w:t>
      </w:r>
      <w:r>
        <w:rPr>
          <w:rFonts w:cs="Arial" w:hint="cs"/>
          <w:rtl/>
        </w:rPr>
        <w:t>.</w:t>
      </w:r>
    </w:p>
  </w:footnote>
  <w:footnote w:id="2426">
    <w:p w14:paraId="062B3A4F" w14:textId="77777777" w:rsidR="004C5A3C" w:rsidRDefault="004C5A3C" w:rsidP="002C39F4">
      <w:pPr>
        <w:pStyle w:val="a5"/>
        <w:rPr>
          <w:rtl/>
        </w:rPr>
      </w:pPr>
      <w:r>
        <w:rPr>
          <w:rStyle w:val="a7"/>
        </w:rPr>
        <w:footnoteRef/>
      </w:r>
      <w:r>
        <w:rPr>
          <w:rtl/>
        </w:rPr>
        <w:t xml:space="preserve"> </w:t>
      </w:r>
      <w:r w:rsidRPr="003A0359">
        <w:rPr>
          <w:rFonts w:cs="Arial"/>
          <w:rtl/>
        </w:rPr>
        <w:t xml:space="preserve">דמדפריך התם (צז:) לרב נחמן דאמר ביצה </w:t>
      </w:r>
      <w:r>
        <w:rPr>
          <w:rFonts w:cs="Arial" w:hint="cs"/>
          <w:rtl/>
        </w:rPr>
        <w:t>בס'</w:t>
      </w:r>
      <w:r w:rsidRPr="003A0359">
        <w:rPr>
          <w:rFonts w:cs="Arial"/>
          <w:rtl/>
        </w:rPr>
        <w:t xml:space="preserve"> ואחת למימרא דיהיב טעמא והא אמרי אינשי כמיא דביעי בעלמא ולא שני ליה הב"ע לבטולי גופה משמע דביצה גופה חשיבא כבריה ולא בטלה</w:t>
      </w:r>
      <w:r>
        <w:rPr>
          <w:rFonts w:cs="Arial" w:hint="cs"/>
          <w:rtl/>
        </w:rPr>
        <w:t>,</w:t>
      </w:r>
      <w:r w:rsidRPr="003A0359">
        <w:rPr>
          <w:rFonts w:cs="Arial"/>
          <w:rtl/>
        </w:rPr>
        <w:t xml:space="preserve"> ובפ"ק דביצה (ג:) משמע דבטלה אליבא דרבי יוחנן דאמר את שדרכו למנות שנינו ואיכא למימר דאינו מקדש ובטל באלף ומאתים אבל </w:t>
      </w:r>
      <w:r>
        <w:rPr>
          <w:rFonts w:cs="Arial" w:hint="cs"/>
          <w:rtl/>
        </w:rPr>
        <w:t>בס'</w:t>
      </w:r>
      <w:r w:rsidRPr="003A0359">
        <w:rPr>
          <w:rFonts w:cs="Arial"/>
          <w:rtl/>
        </w:rPr>
        <w:t xml:space="preserve"> לא בטלה כיון דבריה היא</w:t>
      </w:r>
      <w:r>
        <w:rPr>
          <w:rFonts w:hint="cs"/>
          <w:rtl/>
        </w:rPr>
        <w:t>, רשב"א בשם הראב"ד.</w:t>
      </w:r>
    </w:p>
  </w:footnote>
  <w:footnote w:id="2427">
    <w:p w14:paraId="43688ED6" w14:textId="77777777" w:rsidR="004C5A3C" w:rsidRDefault="004C5A3C" w:rsidP="002C39F4">
      <w:pPr>
        <w:pStyle w:val="a5"/>
        <w:rPr>
          <w:rtl/>
        </w:rPr>
      </w:pPr>
      <w:r>
        <w:rPr>
          <w:rStyle w:val="a7"/>
        </w:rPr>
        <w:footnoteRef/>
      </w:r>
      <w:r>
        <w:rPr>
          <w:rtl/>
        </w:rPr>
        <w:t xml:space="preserve"> </w:t>
      </w:r>
      <w:r>
        <w:rPr>
          <w:rFonts w:hint="cs"/>
          <w:rtl/>
        </w:rPr>
        <w:t xml:space="preserve">דכתב וז"ל- </w:t>
      </w:r>
      <w:r w:rsidRPr="003A0359">
        <w:rPr>
          <w:rFonts w:cs="Arial"/>
          <w:rtl/>
        </w:rPr>
        <w:t>ביצה שנמצא בה אפרוח שנשלקה עם ביצים המותרות אם היתה עם ששים ואחת הרי הם מותרות היתה עם ששים בלבד נאסרו הכל מפני שהיא בריה בפני עצמה עשו בה היכר והוסיפו בשיעורה</w:t>
      </w:r>
      <w:r>
        <w:rPr>
          <w:rFonts w:hint="cs"/>
          <w:rtl/>
        </w:rPr>
        <w:t xml:space="preserve">, עכ"ל. וכ' הב"י- </w:t>
      </w:r>
      <w:r w:rsidRPr="003A0359">
        <w:rPr>
          <w:rFonts w:cs="Arial"/>
          <w:rtl/>
        </w:rPr>
        <w:t>נראה שהוא סובר שהיא בריה ובזמן שהוא מכירה פליטתה בטל בששים ואחת ואם אינו מכירה אפילו באלף לא בטלה ויש להסתפק אם קורא אותה בריה מפני האפרוח שבה אבל אם יש בה דם ואין בה אפרוח לא חשיבא בריה כיון שאינה בריית נשמה או דילמא כיון שיש בה דם שדא תיכלא בכוליה וחשיב כיש בה אפרוח ולא בטלה</w:t>
      </w:r>
      <w:r>
        <w:rPr>
          <w:rFonts w:hint="cs"/>
          <w:rtl/>
        </w:rPr>
        <w:t>.</w:t>
      </w:r>
    </w:p>
  </w:footnote>
  <w:footnote w:id="2428">
    <w:p w14:paraId="1D3C930B" w14:textId="77777777" w:rsidR="004C5A3C" w:rsidRDefault="004C5A3C" w:rsidP="002C39F4">
      <w:pPr>
        <w:pStyle w:val="a5"/>
        <w:rPr>
          <w:rtl/>
        </w:rPr>
      </w:pPr>
      <w:r>
        <w:rPr>
          <w:rStyle w:val="a7"/>
        </w:rPr>
        <w:footnoteRef/>
      </w:r>
      <w:r>
        <w:rPr>
          <w:rtl/>
        </w:rPr>
        <w:t xml:space="preserve"> </w:t>
      </w:r>
      <w:r w:rsidRPr="001C0049">
        <w:rPr>
          <w:rFonts w:cs="Arial"/>
          <w:rtl/>
        </w:rPr>
        <w:t xml:space="preserve">כמו ליטרא </w:t>
      </w:r>
      <w:r w:rsidRPr="00DF493B">
        <w:rPr>
          <w:rFonts w:cs="Arial"/>
          <w:rtl/>
        </w:rPr>
        <w:t xml:space="preserve">קציעות דריש ביצה </w:t>
      </w:r>
      <w:r w:rsidRPr="001C0049">
        <w:rPr>
          <w:rFonts w:cs="Arial"/>
          <w:sz w:val="16"/>
          <w:szCs w:val="16"/>
          <w:rtl/>
        </w:rPr>
        <w:t xml:space="preserve">(ג:) </w:t>
      </w:r>
      <w:r w:rsidRPr="00DF493B">
        <w:rPr>
          <w:rFonts w:cs="Arial"/>
          <w:rtl/>
        </w:rPr>
        <w:t>דהוי דרבנן ואפילו באלף לא בטיל</w:t>
      </w:r>
      <w:r>
        <w:rPr>
          <w:rFonts w:hint="cs"/>
          <w:rtl/>
        </w:rPr>
        <w:t>, סה"ת.</w:t>
      </w:r>
    </w:p>
  </w:footnote>
  <w:footnote w:id="2429">
    <w:p w14:paraId="37E1C4AB" w14:textId="77777777" w:rsidR="004C5A3C" w:rsidRDefault="004C5A3C" w:rsidP="002C39F4">
      <w:pPr>
        <w:pStyle w:val="a5"/>
        <w:rPr>
          <w:rtl/>
        </w:rPr>
      </w:pPr>
      <w:r>
        <w:rPr>
          <w:rStyle w:val="a7"/>
        </w:rPr>
        <w:footnoteRef/>
      </w:r>
      <w:r>
        <w:rPr>
          <w:rtl/>
        </w:rPr>
        <w:t xml:space="preserve"> </w:t>
      </w:r>
      <w:r>
        <w:rPr>
          <w:rFonts w:cs="Arial" w:hint="cs"/>
          <w:rtl/>
        </w:rPr>
        <w:t>ד</w:t>
      </w:r>
      <w:r w:rsidRPr="00DF493B">
        <w:rPr>
          <w:rFonts w:cs="Arial"/>
          <w:rtl/>
        </w:rPr>
        <w:t xml:space="preserve">הלכה כרבי יוחנן האומר את שדרכו לימנות שנינו שאינו בטל, כלומר אין דבר חשוב שבמניין אלא דבר המיוחד למניין </w:t>
      </w:r>
      <w:r w:rsidRPr="001C0049">
        <w:rPr>
          <w:rFonts w:cs="Arial"/>
          <w:u w:val="single"/>
          <w:rtl/>
        </w:rPr>
        <w:t>לעולם</w:t>
      </w:r>
      <w:r w:rsidRPr="00DF493B">
        <w:rPr>
          <w:rFonts w:cs="Arial"/>
          <w:rtl/>
        </w:rPr>
        <w:t xml:space="preserve"> ולא דבר שפעמים מונין אותו ופעמים אין מונין אותו, וביצים לפעמים מוכרין אותן סל מלא באומד</w:t>
      </w:r>
      <w:r>
        <w:rPr>
          <w:rFonts w:cs="Arial" w:hint="cs"/>
          <w:rtl/>
        </w:rPr>
        <w:t>, ריצב"א.</w:t>
      </w:r>
    </w:p>
  </w:footnote>
  <w:footnote w:id="2430">
    <w:p w14:paraId="6B42AC62" w14:textId="77777777" w:rsidR="004C5A3C" w:rsidRDefault="004C5A3C" w:rsidP="002C39F4">
      <w:pPr>
        <w:pStyle w:val="a5"/>
        <w:rPr>
          <w:rtl/>
        </w:rPr>
      </w:pPr>
      <w:r>
        <w:rPr>
          <w:rStyle w:val="a7"/>
        </w:rPr>
        <w:footnoteRef/>
      </w:r>
      <w:r>
        <w:rPr>
          <w:rtl/>
        </w:rPr>
        <w:t xml:space="preserve"> </w:t>
      </w:r>
      <w:r w:rsidRPr="003A0359">
        <w:rPr>
          <w:rFonts w:cs="Arial"/>
          <w:rtl/>
        </w:rPr>
        <w:t>וכ</w:t>
      </w:r>
      <w:r>
        <w:rPr>
          <w:rFonts w:cs="Arial" w:hint="cs"/>
          <w:rtl/>
        </w:rPr>
        <w:t>' ה</w:t>
      </w:r>
      <w:r w:rsidRPr="003A0359">
        <w:rPr>
          <w:rFonts w:cs="Arial"/>
          <w:rtl/>
        </w:rPr>
        <w:t>א</w:t>
      </w:r>
      <w:r>
        <w:rPr>
          <w:rFonts w:cs="Arial" w:hint="cs"/>
          <w:rtl/>
        </w:rPr>
        <w:t>"</w:t>
      </w:r>
      <w:r w:rsidRPr="003A0359">
        <w:rPr>
          <w:rFonts w:cs="Arial"/>
          <w:rtl/>
        </w:rPr>
        <w:t>ח (</w:t>
      </w:r>
      <w:r>
        <w:rPr>
          <w:rFonts w:cs="Arial" w:hint="cs"/>
          <w:rtl/>
        </w:rPr>
        <w:t>אמא"כ</w:t>
      </w:r>
      <w:r w:rsidRPr="003A0359">
        <w:rPr>
          <w:rFonts w:cs="Arial"/>
          <w:rtl/>
        </w:rPr>
        <w:t xml:space="preserve"> סי' לד) שדעת רוב הפוסקים כהרמב"ן</w:t>
      </w:r>
      <w:r>
        <w:rPr>
          <w:rFonts w:cs="Arial" w:hint="cs"/>
          <w:rtl/>
        </w:rPr>
        <w:t>.</w:t>
      </w:r>
    </w:p>
  </w:footnote>
  <w:footnote w:id="2431">
    <w:p w14:paraId="77DC2AC0" w14:textId="77777777" w:rsidR="004C5A3C" w:rsidRPr="009E0A55" w:rsidRDefault="004C5A3C" w:rsidP="002C39F4">
      <w:pPr>
        <w:pStyle w:val="a5"/>
      </w:pPr>
      <w:r>
        <w:rPr>
          <w:rStyle w:val="a7"/>
        </w:rPr>
        <w:footnoteRef/>
      </w:r>
      <w:r>
        <w:rPr>
          <w:rtl/>
        </w:rPr>
        <w:t xml:space="preserve"> </w:t>
      </w:r>
      <w:r>
        <w:rPr>
          <w:rFonts w:cs="Arial" w:hint="cs"/>
          <w:rtl/>
        </w:rPr>
        <w:t>ד</w:t>
      </w:r>
      <w:r w:rsidRPr="003A0359">
        <w:rPr>
          <w:rFonts w:cs="Arial"/>
          <w:rtl/>
        </w:rPr>
        <w:t>ביצה כחטה אחת כברייתה דמיא ובטלה</w:t>
      </w:r>
      <w:r>
        <w:rPr>
          <w:rFonts w:cs="Arial" w:hint="cs"/>
          <w:rtl/>
        </w:rPr>
        <w:t>,</w:t>
      </w:r>
      <w:r w:rsidRPr="003A0359">
        <w:rPr>
          <w:rFonts w:cs="Arial"/>
          <w:rtl/>
        </w:rPr>
        <w:t xml:space="preserve"> </w:t>
      </w:r>
      <w:r>
        <w:rPr>
          <w:rFonts w:cs="Arial" w:hint="cs"/>
          <w:rtl/>
        </w:rPr>
        <w:t xml:space="preserve">דרק </w:t>
      </w:r>
      <w:r w:rsidRPr="003A0359">
        <w:rPr>
          <w:rFonts w:cs="Arial"/>
          <w:rtl/>
        </w:rPr>
        <w:t>בריית נשמה חשיבא ולא בטלה</w:t>
      </w:r>
      <w:r>
        <w:rPr>
          <w:rFonts w:cs="Arial" w:hint="cs"/>
          <w:rtl/>
        </w:rPr>
        <w:t xml:space="preserve"> </w:t>
      </w:r>
      <w:r w:rsidRPr="002074CA">
        <w:rPr>
          <w:rFonts w:cs="Arial" w:hint="cs"/>
          <w:sz w:val="16"/>
          <w:szCs w:val="16"/>
          <w:rtl/>
        </w:rPr>
        <w:t>(</w:t>
      </w:r>
      <w:r w:rsidRPr="002074CA">
        <w:rPr>
          <w:rFonts w:cs="Arial"/>
          <w:sz w:val="16"/>
          <w:szCs w:val="16"/>
          <w:rtl/>
        </w:rPr>
        <w:t>מכות יז.)</w:t>
      </w:r>
      <w:r>
        <w:rPr>
          <w:rFonts w:cs="Arial" w:hint="cs"/>
          <w:rtl/>
        </w:rPr>
        <w:t>.</w:t>
      </w:r>
    </w:p>
  </w:footnote>
  <w:footnote w:id="2432">
    <w:p w14:paraId="54611164" w14:textId="77777777" w:rsidR="004C5A3C" w:rsidRDefault="004C5A3C" w:rsidP="002C39F4">
      <w:pPr>
        <w:pStyle w:val="a5"/>
        <w:rPr>
          <w:rtl/>
        </w:rPr>
      </w:pPr>
      <w:r>
        <w:rPr>
          <w:rStyle w:val="a7"/>
        </w:rPr>
        <w:footnoteRef/>
      </w:r>
      <w:r>
        <w:rPr>
          <w:rtl/>
        </w:rPr>
        <w:t xml:space="preserve"> </w:t>
      </w:r>
      <w:r>
        <w:rPr>
          <w:rFonts w:hint="cs"/>
          <w:rtl/>
        </w:rPr>
        <w:t>הב"י כ' דברים אלו בבדה"ב בסוף הסע' מיד לאחר שהביא את דברי הרמב"ם לגבי ביצה, אבל אם כונתו לדברי הרמב"ם לגבי ביצה- קשה, שהרי הרמב"ם מחמיר, ואולי כונתו שיש להקל לפי מה שפירש את ד' הרמב"ם שרק אם יש בביצה אפרוח חשיבא ברי</w:t>
      </w:r>
      <w:r w:rsidRPr="00D26B85">
        <w:rPr>
          <w:rFonts w:hint="cs"/>
          <w:rtl/>
        </w:rPr>
        <w:t xml:space="preserve">ה אבל אם אין בה אלא דם לא חשיבא בריה, </w:t>
      </w:r>
      <w:r>
        <w:rPr>
          <w:rFonts w:hint="cs"/>
          <w:rtl/>
        </w:rPr>
        <w:t>א"נ-</w:t>
      </w:r>
      <w:r w:rsidRPr="00D26B85">
        <w:rPr>
          <w:rFonts w:hint="cs"/>
          <w:rtl/>
        </w:rPr>
        <w:t xml:space="preserve"> כונתו שהלכה כדברי הרמב"ם לגבי דברים שבמניין דלא הוי דברים שבמנין שאסורים בכל מקום אלא שבעה, אבל כל שאר הדברים אינם אסורים בכל מקום אלא לפי החשיבות שנו</w:t>
      </w:r>
      <w:r>
        <w:rPr>
          <w:rFonts w:hint="cs"/>
          <w:rtl/>
        </w:rPr>
        <w:t>תנים לדבר</w:t>
      </w:r>
      <w:r w:rsidRPr="00D26B85">
        <w:rPr>
          <w:rFonts w:hint="cs"/>
          <w:rtl/>
        </w:rPr>
        <w:t xml:space="preserve"> באותו </w:t>
      </w:r>
      <w:r>
        <w:rPr>
          <w:rFonts w:hint="cs"/>
          <w:rtl/>
        </w:rPr>
        <w:t>מקום</w:t>
      </w:r>
      <w:r w:rsidRPr="00D26B85">
        <w:rPr>
          <w:rFonts w:hint="cs"/>
          <w:rtl/>
        </w:rPr>
        <w:t>.</w:t>
      </w:r>
    </w:p>
  </w:footnote>
  <w:footnote w:id="2433">
    <w:p w14:paraId="2AE51D18" w14:textId="77777777" w:rsidR="004C5A3C" w:rsidRDefault="004C5A3C" w:rsidP="002C39F4">
      <w:pPr>
        <w:pStyle w:val="a5"/>
      </w:pPr>
      <w:r>
        <w:rPr>
          <w:rStyle w:val="a7"/>
        </w:rPr>
        <w:footnoteRef/>
      </w:r>
      <w:r>
        <w:rPr>
          <w:rtl/>
        </w:rPr>
        <w:t xml:space="preserve"> </w:t>
      </w:r>
      <w:r>
        <w:rPr>
          <w:rFonts w:hint="cs"/>
          <w:rtl/>
        </w:rPr>
        <w:t xml:space="preserve">והוסיף הטור- </w:t>
      </w:r>
      <w:r w:rsidRPr="00872368">
        <w:rPr>
          <w:rFonts w:cs="Arial"/>
          <w:rtl/>
        </w:rPr>
        <w:t>ולפי זה הוא הדין נמי בכל בני המעים</w:t>
      </w:r>
      <w:r>
        <w:rPr>
          <w:rFonts w:cs="Arial" w:hint="cs"/>
          <w:rtl/>
        </w:rPr>
        <w:t>.</w:t>
      </w:r>
    </w:p>
  </w:footnote>
  <w:footnote w:id="2434">
    <w:p w14:paraId="3299ED8C" w14:textId="77777777" w:rsidR="004C5A3C" w:rsidRDefault="004C5A3C" w:rsidP="002C39F4">
      <w:pPr>
        <w:pStyle w:val="a5"/>
        <w:rPr>
          <w:rtl/>
        </w:rPr>
      </w:pPr>
      <w:r>
        <w:rPr>
          <w:rStyle w:val="a7"/>
        </w:rPr>
        <w:footnoteRef/>
      </w:r>
      <w:r>
        <w:rPr>
          <w:rtl/>
        </w:rPr>
        <w:t xml:space="preserve"> </w:t>
      </w:r>
      <w:r>
        <w:rPr>
          <w:rFonts w:cs="Arial" w:hint="cs"/>
          <w:rtl/>
        </w:rPr>
        <w:t>ד</w:t>
      </w:r>
      <w:r w:rsidRPr="00DF493B">
        <w:rPr>
          <w:rFonts w:cs="Arial"/>
          <w:rtl/>
        </w:rPr>
        <w:t xml:space="preserve">הלכה כרבי יוחנן האומר את שדרכו לימנות שנינו שאינו בטל, כלומר אין דבר חשוב שבמניין אלא דבר המיוחד למניין </w:t>
      </w:r>
      <w:r w:rsidRPr="001C0049">
        <w:rPr>
          <w:rFonts w:cs="Arial"/>
          <w:u w:val="single"/>
          <w:rtl/>
        </w:rPr>
        <w:t>לעולם</w:t>
      </w:r>
      <w:r w:rsidRPr="00DF493B">
        <w:rPr>
          <w:rFonts w:cs="Arial"/>
          <w:rtl/>
        </w:rPr>
        <w:t xml:space="preserve"> ולא דבר שפעמים מונין אותו ופעמים אין מונין אותו, </w:t>
      </w:r>
      <w:r>
        <w:rPr>
          <w:rFonts w:cs="Arial" w:hint="cs"/>
          <w:rtl/>
        </w:rPr>
        <w:t>וקורקבנים</w:t>
      </w:r>
      <w:r w:rsidRPr="00DF493B">
        <w:rPr>
          <w:rFonts w:cs="Arial"/>
          <w:rtl/>
        </w:rPr>
        <w:t xml:space="preserve"> לפעמים מוכרין אותן באומד</w:t>
      </w:r>
      <w:r>
        <w:rPr>
          <w:rFonts w:cs="Arial" w:hint="cs"/>
          <w:rtl/>
        </w:rPr>
        <w:t>, ע"פ ריצב"א.</w:t>
      </w:r>
    </w:p>
  </w:footnote>
  <w:footnote w:id="2435">
    <w:p w14:paraId="563AE6CE" w14:textId="77777777" w:rsidR="004C5A3C" w:rsidRDefault="004C5A3C" w:rsidP="002C39F4">
      <w:pPr>
        <w:pStyle w:val="a5"/>
        <w:rPr>
          <w:rtl/>
        </w:rPr>
      </w:pPr>
      <w:r>
        <w:rPr>
          <w:rStyle w:val="a7"/>
        </w:rPr>
        <w:footnoteRef/>
      </w:r>
      <w:r>
        <w:rPr>
          <w:rtl/>
        </w:rPr>
        <w:t xml:space="preserve"> </w:t>
      </w:r>
      <w:r w:rsidRPr="00640BF7">
        <w:rPr>
          <w:rFonts w:cs="Arial"/>
          <w:rtl/>
        </w:rPr>
        <w:t>כל הסעיף הוא לשון הרמב"ם</w:t>
      </w:r>
      <w:r>
        <w:rPr>
          <w:rFonts w:cs="Arial" w:hint="cs"/>
          <w:rtl/>
        </w:rPr>
        <w:t xml:space="preserve"> (</w:t>
      </w:r>
      <w:r w:rsidRPr="00640BF7">
        <w:rPr>
          <w:rFonts w:cs="Arial"/>
          <w:rtl/>
        </w:rPr>
        <w:t>פט"ז</w:t>
      </w:r>
      <w:r>
        <w:rPr>
          <w:rFonts w:cs="Arial" w:hint="cs"/>
          <w:rtl/>
        </w:rPr>
        <w:t>),</w:t>
      </w:r>
      <w:r w:rsidRPr="00640BF7">
        <w:rPr>
          <w:rFonts w:cs="Arial"/>
          <w:rtl/>
        </w:rPr>
        <w:t xml:space="preserve"> וכ"כ האו"ה </w:t>
      </w:r>
      <w:r>
        <w:rPr>
          <w:rFonts w:cs="Arial" w:hint="cs"/>
          <w:rtl/>
        </w:rPr>
        <w:t>(</w:t>
      </w:r>
      <w:r w:rsidRPr="00640BF7">
        <w:rPr>
          <w:rFonts w:cs="Arial"/>
          <w:rtl/>
        </w:rPr>
        <w:t>כלל כה די"ז</w:t>
      </w:r>
      <w:r>
        <w:rPr>
          <w:rFonts w:cs="Arial" w:hint="cs"/>
          <w:rtl/>
        </w:rPr>
        <w:t>)</w:t>
      </w:r>
      <w:r w:rsidRPr="00640BF7">
        <w:rPr>
          <w:rFonts w:cs="Arial"/>
          <w:rtl/>
        </w:rPr>
        <w:t xml:space="preserve"> דדוקא במינו</w:t>
      </w:r>
      <w:r>
        <w:rPr>
          <w:rFonts w:cs="Arial" w:hint="cs"/>
          <w:rtl/>
        </w:rPr>
        <w:t>,</w:t>
      </w:r>
      <w:r w:rsidRPr="00640BF7">
        <w:rPr>
          <w:rFonts w:cs="Arial"/>
          <w:rtl/>
        </w:rPr>
        <w:t xml:space="preserve"> אבל הרב בת"ח </w:t>
      </w:r>
      <w:r>
        <w:rPr>
          <w:rFonts w:cs="Arial" w:hint="cs"/>
          <w:rtl/>
        </w:rPr>
        <w:t>(</w:t>
      </w:r>
      <w:r w:rsidRPr="00640BF7">
        <w:rPr>
          <w:rFonts w:cs="Arial"/>
          <w:rtl/>
        </w:rPr>
        <w:t>כלל מ ד"ו</w:t>
      </w:r>
      <w:r>
        <w:rPr>
          <w:rFonts w:cs="Arial" w:hint="cs"/>
          <w:rtl/>
        </w:rPr>
        <w:t>)</w:t>
      </w:r>
      <w:r w:rsidRPr="00640BF7">
        <w:rPr>
          <w:rFonts w:cs="Arial"/>
          <w:rtl/>
        </w:rPr>
        <w:t xml:space="preserve"> השיג על האו"ה בזה ופסק דאפילו שלא במינו אוסר בכל שהוא</w:t>
      </w:r>
      <w:r>
        <w:rPr>
          <w:rFonts w:cs="Arial" w:hint="cs"/>
          <w:rtl/>
        </w:rPr>
        <w:t>,</w:t>
      </w:r>
      <w:r w:rsidRPr="00640BF7">
        <w:rPr>
          <w:rFonts w:cs="Arial"/>
          <w:rtl/>
        </w:rPr>
        <w:t xml:space="preserve"> וכ"פ בהג"ה לעיל סי</w:t>
      </w:r>
      <w:r>
        <w:rPr>
          <w:rFonts w:cs="Arial" w:hint="cs"/>
          <w:rtl/>
        </w:rPr>
        <w:t>'</w:t>
      </w:r>
      <w:r w:rsidRPr="00640BF7">
        <w:rPr>
          <w:rFonts w:cs="Arial"/>
          <w:rtl/>
        </w:rPr>
        <w:t xml:space="preserve"> קא סס"ו </w:t>
      </w:r>
      <w:r w:rsidRPr="001C1EA6">
        <w:rPr>
          <w:rFonts w:cs="Arial" w:hint="cs"/>
          <w:sz w:val="16"/>
          <w:szCs w:val="16"/>
          <w:rtl/>
        </w:rPr>
        <w:t>(</w:t>
      </w:r>
      <w:r w:rsidRPr="001C1EA6">
        <w:rPr>
          <w:rFonts w:cs="Arial"/>
          <w:sz w:val="16"/>
          <w:szCs w:val="16"/>
          <w:rtl/>
        </w:rPr>
        <w:t>וצ"ע למה לא הגיה כאן כלום אדברי המחבר ונראה דס"ל דהרמב"ם והמחבר לא נקטו מינו אלא משום דלא משכחת לה שלא במינו דהא יהא ניכר האיסור ונמשך אחר הטור ס"ס ק"ט שכתב דדבר יבש שלא במינו היינו כגון שנפרך לחתיכות דקות א"כ דבר חשוב שאינו נפרך לחתיכות דקות לא משכחת לה שלא במינו ובת"ח ובהג"ה שם דכתב דאפילו שלא במינו אינו בטל לא נקטיה אלא משום בריה דאיירי התם שנתערב במרק ותבשיל דבריה אע</w:t>
      </w:r>
      <w:r>
        <w:rPr>
          <w:rFonts w:cs="Arial" w:hint="cs"/>
          <w:sz w:val="16"/>
          <w:szCs w:val="16"/>
          <w:rtl/>
        </w:rPr>
        <w:t>"</w:t>
      </w:r>
      <w:r w:rsidRPr="001C1EA6">
        <w:rPr>
          <w:rFonts w:cs="Arial"/>
          <w:sz w:val="16"/>
          <w:szCs w:val="16"/>
          <w:rtl/>
        </w:rPr>
        <w:t>פ שהיא קטנה אינה בטלה זהו נ"ל בדעת הרב</w:t>
      </w:r>
      <w:r>
        <w:rPr>
          <w:rFonts w:cs="Arial" w:hint="cs"/>
          <w:sz w:val="16"/>
          <w:szCs w:val="16"/>
          <w:rtl/>
        </w:rPr>
        <w:t>)</w:t>
      </w:r>
      <w:r w:rsidRPr="00640BF7">
        <w:rPr>
          <w:rFonts w:cs="Arial"/>
          <w:rtl/>
        </w:rPr>
        <w:t xml:space="preserve"> </w:t>
      </w:r>
      <w:r>
        <w:rPr>
          <w:rFonts w:cs="Arial" w:hint="cs"/>
          <w:rtl/>
        </w:rPr>
        <w:t>הילכך</w:t>
      </w:r>
      <w:r w:rsidRPr="00640BF7">
        <w:rPr>
          <w:rFonts w:cs="Arial"/>
          <w:rtl/>
        </w:rPr>
        <w:t xml:space="preserve"> אף שלא במינו אוסר דבר חשוב בכל שהוא</w:t>
      </w:r>
      <w:r>
        <w:rPr>
          <w:rFonts w:cs="Arial" w:hint="cs"/>
          <w:rtl/>
        </w:rPr>
        <w:t>,</w:t>
      </w:r>
      <w:r w:rsidRPr="00640BF7">
        <w:rPr>
          <w:rFonts w:cs="Arial"/>
          <w:rtl/>
        </w:rPr>
        <w:t xml:space="preserve"> ומשכחת לה שפיר נתערב שלא במינו כמ</w:t>
      </w:r>
      <w:r>
        <w:rPr>
          <w:rFonts w:cs="Arial" w:hint="cs"/>
          <w:rtl/>
        </w:rPr>
        <w:t xml:space="preserve">ו </w:t>
      </w:r>
      <w:r w:rsidRPr="00640BF7">
        <w:rPr>
          <w:rFonts w:cs="Arial"/>
          <w:rtl/>
        </w:rPr>
        <w:t>ש</w:t>
      </w:r>
      <w:r>
        <w:rPr>
          <w:rFonts w:cs="Arial" w:hint="cs"/>
          <w:rtl/>
        </w:rPr>
        <w:t>כתבתי</w:t>
      </w:r>
      <w:r w:rsidRPr="00640BF7">
        <w:rPr>
          <w:rFonts w:cs="Arial"/>
          <w:rtl/>
        </w:rPr>
        <w:t xml:space="preserve"> בסי' קט סק"ח </w:t>
      </w:r>
      <w:r>
        <w:rPr>
          <w:rFonts w:cs="Arial" w:hint="cs"/>
          <w:sz w:val="16"/>
          <w:szCs w:val="16"/>
          <w:rtl/>
        </w:rPr>
        <w:t xml:space="preserve">(וז"ל שם- </w:t>
      </w:r>
      <w:r w:rsidRPr="001C1EA6">
        <w:rPr>
          <w:rFonts w:cs="Arial"/>
          <w:sz w:val="16"/>
          <w:szCs w:val="16"/>
          <w:rtl/>
        </w:rPr>
        <w:t>כגון שיש כאן ב' או ג' מינים ונודע שאחד מהן אסור ואינו ידוע איזה מהן כגון ששחט כמה מינים וידוע שאחד מהן נשחט שלא כהוגן ואינו ידוע איזהו</w:t>
      </w:r>
      <w:r w:rsidRPr="001C1EA6">
        <w:rPr>
          <w:rFonts w:cs="Arial" w:hint="cs"/>
          <w:sz w:val="16"/>
          <w:szCs w:val="16"/>
          <w:rtl/>
        </w:rPr>
        <w:t>)</w:t>
      </w:r>
      <w:r>
        <w:rPr>
          <w:rFonts w:cs="Arial" w:hint="cs"/>
          <w:rtl/>
        </w:rPr>
        <w:t>, ע"פ ש"ך (סק"א).</w:t>
      </w:r>
    </w:p>
  </w:footnote>
  <w:footnote w:id="2436">
    <w:p w14:paraId="2CB54999" w14:textId="77777777" w:rsidR="004C5A3C" w:rsidRDefault="004C5A3C" w:rsidP="002C39F4">
      <w:pPr>
        <w:pStyle w:val="a5"/>
        <w:rPr>
          <w:rtl/>
        </w:rPr>
      </w:pPr>
      <w:r>
        <w:rPr>
          <w:rStyle w:val="a7"/>
        </w:rPr>
        <w:footnoteRef/>
      </w:r>
      <w:r>
        <w:rPr>
          <w:rtl/>
        </w:rPr>
        <w:t xml:space="preserve"> </w:t>
      </w:r>
      <w:r w:rsidRPr="001C1EA6">
        <w:rPr>
          <w:rFonts w:cs="Arial"/>
          <w:rtl/>
        </w:rPr>
        <w:t>כלומר אפילו בכמה אלפים אינו בטל</w:t>
      </w:r>
      <w:r>
        <w:rPr>
          <w:rFonts w:cs="Arial" w:hint="cs"/>
          <w:rtl/>
        </w:rPr>
        <w:t>,</w:t>
      </w:r>
      <w:r w:rsidRPr="001C1EA6">
        <w:rPr>
          <w:rFonts w:cs="Arial"/>
          <w:rtl/>
        </w:rPr>
        <w:t xml:space="preserve"> </w:t>
      </w:r>
      <w:r>
        <w:rPr>
          <w:rFonts w:cs="Arial" w:hint="cs"/>
          <w:rtl/>
        </w:rPr>
        <w:t>וכן אם ה</w:t>
      </w:r>
      <w:r w:rsidRPr="001C1EA6">
        <w:rPr>
          <w:rFonts w:cs="Arial"/>
          <w:rtl/>
        </w:rPr>
        <w:t>דברים החשובים אסורים בהנאה אם נתערבו אפילו באלף כולן אסורות בהנאה</w:t>
      </w:r>
      <w:r>
        <w:rPr>
          <w:rFonts w:cs="Arial" w:hint="cs"/>
          <w:rtl/>
        </w:rPr>
        <w:t xml:space="preserve"> </w:t>
      </w:r>
      <w:r w:rsidRPr="00892D75">
        <w:rPr>
          <w:rFonts w:cs="Arial" w:hint="cs"/>
          <w:sz w:val="16"/>
          <w:szCs w:val="16"/>
          <w:rtl/>
        </w:rPr>
        <w:t xml:space="preserve">(כך מפורש בש"ס </w:t>
      </w:r>
      <w:r w:rsidRPr="00892D75">
        <w:rPr>
          <w:rFonts w:cs="Arial"/>
          <w:sz w:val="16"/>
          <w:szCs w:val="16"/>
          <w:rtl/>
        </w:rPr>
        <w:t>(</w:t>
      </w:r>
      <w:r w:rsidRPr="00892D75">
        <w:rPr>
          <w:rFonts w:cs="Arial" w:hint="cs"/>
          <w:sz w:val="16"/>
          <w:szCs w:val="16"/>
          <w:rtl/>
        </w:rPr>
        <w:t>ע"ז ע</w:t>
      </w:r>
      <w:r w:rsidRPr="00892D75">
        <w:rPr>
          <w:rFonts w:cs="Arial"/>
          <w:sz w:val="16"/>
          <w:szCs w:val="16"/>
          <w:rtl/>
        </w:rPr>
        <w:t>ד</w:t>
      </w:r>
      <w:r w:rsidRPr="00892D75">
        <w:rPr>
          <w:rFonts w:cs="Arial" w:hint="cs"/>
          <w:sz w:val="16"/>
          <w:szCs w:val="16"/>
          <w:rtl/>
        </w:rPr>
        <w:t>.</w:t>
      </w:r>
      <w:r w:rsidRPr="00892D75">
        <w:rPr>
          <w:rFonts w:cs="Arial"/>
          <w:sz w:val="16"/>
          <w:szCs w:val="16"/>
          <w:rtl/>
        </w:rPr>
        <w:t>) וכן מוסכם מכל הפוסקים</w:t>
      </w:r>
      <w:r w:rsidRPr="00892D75">
        <w:rPr>
          <w:rFonts w:cs="Arial" w:hint="cs"/>
          <w:sz w:val="16"/>
          <w:szCs w:val="16"/>
          <w:rtl/>
        </w:rPr>
        <w:t>)</w:t>
      </w:r>
      <w:r>
        <w:rPr>
          <w:rFonts w:cs="Arial" w:hint="cs"/>
          <w:rtl/>
        </w:rPr>
        <w:t>,</w:t>
      </w:r>
      <w:r w:rsidRPr="001C1EA6">
        <w:rPr>
          <w:rFonts w:cs="Arial"/>
          <w:rtl/>
        </w:rPr>
        <w:t xml:space="preserve"> מיהו כתבו התוס' </w:t>
      </w:r>
      <w:r w:rsidRPr="00892D75">
        <w:rPr>
          <w:rFonts w:cs="Arial" w:hint="cs"/>
          <w:sz w:val="16"/>
          <w:szCs w:val="16"/>
          <w:rtl/>
        </w:rPr>
        <w:t>(</w:t>
      </w:r>
      <w:r w:rsidRPr="00892D75">
        <w:rPr>
          <w:rFonts w:cs="Arial"/>
          <w:sz w:val="16"/>
          <w:szCs w:val="16"/>
          <w:rtl/>
        </w:rPr>
        <w:t>יבמות פא</w:t>
      </w:r>
      <w:r w:rsidRPr="00892D75">
        <w:rPr>
          <w:rFonts w:cs="Arial" w:hint="cs"/>
          <w:sz w:val="16"/>
          <w:szCs w:val="16"/>
          <w:rtl/>
        </w:rPr>
        <w:t>:,</w:t>
      </w:r>
      <w:r w:rsidRPr="00892D75">
        <w:rPr>
          <w:rFonts w:cs="Arial"/>
          <w:sz w:val="16"/>
          <w:szCs w:val="16"/>
          <w:rtl/>
        </w:rPr>
        <w:t xml:space="preserve"> ובזבחים עג</w:t>
      </w:r>
      <w:r w:rsidRPr="00892D75">
        <w:rPr>
          <w:rFonts w:cs="Arial" w:hint="cs"/>
          <w:sz w:val="16"/>
          <w:szCs w:val="16"/>
          <w:rtl/>
        </w:rPr>
        <w:t>:</w:t>
      </w:r>
      <w:r w:rsidRPr="00892D75">
        <w:rPr>
          <w:rFonts w:cs="Arial"/>
          <w:sz w:val="16"/>
          <w:szCs w:val="16"/>
          <w:rtl/>
        </w:rPr>
        <w:t xml:space="preserve">) </w:t>
      </w:r>
      <w:r w:rsidRPr="001C1EA6">
        <w:rPr>
          <w:rFonts w:cs="Arial"/>
          <w:rtl/>
        </w:rPr>
        <w:t>בשם הירושלמי דמותר למכרן ל</w:t>
      </w:r>
      <w:r>
        <w:rPr>
          <w:rFonts w:cs="Arial" w:hint="cs"/>
          <w:rtl/>
        </w:rPr>
        <w:t>גוי</w:t>
      </w:r>
      <w:r w:rsidRPr="001C1EA6">
        <w:rPr>
          <w:rFonts w:cs="Arial"/>
          <w:rtl/>
        </w:rPr>
        <w:t xml:space="preserve"> חוץ מדמי איסור שבהן </w:t>
      </w:r>
      <w:r w:rsidRPr="00892D75">
        <w:rPr>
          <w:rFonts w:cs="Arial"/>
          <w:sz w:val="16"/>
          <w:szCs w:val="16"/>
          <w:rtl/>
        </w:rPr>
        <w:t xml:space="preserve">(כדלקמן סי' קל"ד גבי יין נסך) </w:t>
      </w:r>
      <w:r w:rsidRPr="001C1EA6">
        <w:rPr>
          <w:rFonts w:cs="Arial"/>
          <w:rtl/>
        </w:rPr>
        <w:t>אם הוא בענין שאין לחוש שה</w:t>
      </w:r>
      <w:r>
        <w:rPr>
          <w:rFonts w:cs="Arial" w:hint="cs"/>
          <w:rtl/>
        </w:rPr>
        <w:t>גוי</w:t>
      </w:r>
      <w:r w:rsidRPr="001C1EA6">
        <w:rPr>
          <w:rFonts w:cs="Arial"/>
          <w:rtl/>
        </w:rPr>
        <w:t xml:space="preserve"> ימכרנו אח"כ לישראל </w:t>
      </w:r>
      <w:r w:rsidRPr="001C1EA6">
        <w:rPr>
          <w:rFonts w:cs="Arial" w:hint="cs"/>
          <w:sz w:val="16"/>
          <w:szCs w:val="16"/>
          <w:rtl/>
        </w:rPr>
        <w:t>(</w:t>
      </w:r>
      <w:r w:rsidRPr="001C1EA6">
        <w:rPr>
          <w:rFonts w:cs="Arial"/>
          <w:sz w:val="16"/>
          <w:szCs w:val="16"/>
          <w:rtl/>
        </w:rPr>
        <w:t>וכ"כ ר</w:t>
      </w:r>
      <w:r>
        <w:rPr>
          <w:rFonts w:cs="Arial" w:hint="cs"/>
          <w:sz w:val="16"/>
          <w:szCs w:val="16"/>
          <w:rtl/>
        </w:rPr>
        <w:t xml:space="preserve">"ש </w:t>
      </w:r>
      <w:r w:rsidRPr="001C1EA6">
        <w:rPr>
          <w:rFonts w:cs="Arial"/>
          <w:sz w:val="16"/>
          <w:szCs w:val="16"/>
          <w:rtl/>
        </w:rPr>
        <w:t>ו</w:t>
      </w:r>
      <w:r>
        <w:rPr>
          <w:rFonts w:cs="Arial" w:hint="cs"/>
          <w:sz w:val="16"/>
          <w:szCs w:val="16"/>
          <w:rtl/>
        </w:rPr>
        <w:t>רע"ב</w:t>
      </w:r>
      <w:r w:rsidRPr="001C1EA6">
        <w:rPr>
          <w:rFonts w:cs="Arial"/>
          <w:sz w:val="16"/>
          <w:szCs w:val="16"/>
          <w:rtl/>
        </w:rPr>
        <w:t xml:space="preserve"> בסוף ערלה</w:t>
      </w:r>
      <w:r>
        <w:rPr>
          <w:rFonts w:cs="Arial" w:hint="cs"/>
          <w:sz w:val="16"/>
          <w:szCs w:val="16"/>
          <w:rtl/>
        </w:rPr>
        <w:t>,</w:t>
      </w:r>
      <w:r w:rsidRPr="001C1EA6">
        <w:rPr>
          <w:rFonts w:cs="Arial"/>
          <w:sz w:val="16"/>
          <w:szCs w:val="16"/>
          <w:rtl/>
        </w:rPr>
        <w:t xml:space="preserve"> ו</w:t>
      </w:r>
      <w:r>
        <w:rPr>
          <w:rFonts w:cs="Arial" w:hint="cs"/>
          <w:sz w:val="16"/>
          <w:szCs w:val="16"/>
          <w:rtl/>
        </w:rPr>
        <w:t>ה</w:t>
      </w:r>
      <w:r w:rsidRPr="001C1EA6">
        <w:rPr>
          <w:rFonts w:cs="Arial"/>
          <w:sz w:val="16"/>
          <w:szCs w:val="16"/>
          <w:rtl/>
        </w:rPr>
        <w:t xml:space="preserve">אגודה </w:t>
      </w:r>
      <w:r>
        <w:rPr>
          <w:rFonts w:cs="Arial" w:hint="cs"/>
          <w:sz w:val="16"/>
          <w:szCs w:val="16"/>
          <w:rtl/>
        </w:rPr>
        <w:t>ב</w:t>
      </w:r>
      <w:r w:rsidRPr="001C1EA6">
        <w:rPr>
          <w:rFonts w:cs="Arial"/>
          <w:sz w:val="16"/>
          <w:szCs w:val="16"/>
          <w:rtl/>
        </w:rPr>
        <w:t>פרק התערובות</w:t>
      </w:r>
      <w:r>
        <w:rPr>
          <w:rFonts w:cs="Arial" w:hint="cs"/>
          <w:sz w:val="16"/>
          <w:szCs w:val="16"/>
          <w:rtl/>
        </w:rPr>
        <w:t>,</w:t>
      </w:r>
      <w:r w:rsidRPr="001C1EA6">
        <w:rPr>
          <w:rFonts w:cs="Arial"/>
          <w:sz w:val="16"/>
          <w:szCs w:val="16"/>
          <w:rtl/>
        </w:rPr>
        <w:t xml:space="preserve"> ובנ"י פ' הערל</w:t>
      </w:r>
      <w:r>
        <w:rPr>
          <w:rFonts w:cs="Arial" w:hint="cs"/>
          <w:sz w:val="16"/>
          <w:szCs w:val="16"/>
          <w:rtl/>
        </w:rPr>
        <w:t>,</w:t>
      </w:r>
      <w:r w:rsidRPr="001C1EA6">
        <w:rPr>
          <w:rFonts w:cs="Arial"/>
          <w:sz w:val="16"/>
          <w:szCs w:val="16"/>
          <w:rtl/>
        </w:rPr>
        <w:t xml:space="preserve"> והר"ן ס"פ כל הצלמים</w:t>
      </w:r>
      <w:r>
        <w:rPr>
          <w:rFonts w:cs="Arial" w:hint="cs"/>
          <w:sz w:val="16"/>
          <w:szCs w:val="16"/>
          <w:rtl/>
        </w:rPr>
        <w:t>,</w:t>
      </w:r>
      <w:r w:rsidRPr="001C1EA6">
        <w:rPr>
          <w:rFonts w:cs="Arial"/>
          <w:sz w:val="16"/>
          <w:szCs w:val="16"/>
          <w:rtl/>
        </w:rPr>
        <w:t xml:space="preserve"> וכ</w:t>
      </w:r>
      <w:r>
        <w:rPr>
          <w:rFonts w:cs="Arial" w:hint="cs"/>
          <w:sz w:val="16"/>
          <w:szCs w:val="16"/>
          <w:rtl/>
        </w:rPr>
        <w:t>"כ</w:t>
      </w:r>
      <w:r w:rsidRPr="001C1EA6">
        <w:rPr>
          <w:rFonts w:cs="Arial"/>
          <w:sz w:val="16"/>
          <w:szCs w:val="16"/>
          <w:rtl/>
        </w:rPr>
        <w:t xml:space="preserve"> בפרק בתרא דע</w:t>
      </w:r>
      <w:r>
        <w:rPr>
          <w:rFonts w:cs="Arial" w:hint="cs"/>
          <w:sz w:val="16"/>
          <w:szCs w:val="16"/>
          <w:rtl/>
        </w:rPr>
        <w:t>"ז</w:t>
      </w:r>
      <w:r w:rsidRPr="001C1EA6">
        <w:rPr>
          <w:rFonts w:cs="Arial"/>
          <w:sz w:val="16"/>
          <w:szCs w:val="16"/>
          <w:rtl/>
        </w:rPr>
        <w:t xml:space="preserve"> בשם הראב"ד והסכים כן</w:t>
      </w:r>
      <w:r>
        <w:rPr>
          <w:rFonts w:cs="Arial" w:hint="cs"/>
          <w:sz w:val="16"/>
          <w:szCs w:val="16"/>
          <w:rtl/>
        </w:rPr>
        <w:t>,</w:t>
      </w:r>
      <w:r w:rsidRPr="001C1EA6">
        <w:rPr>
          <w:rFonts w:cs="Arial"/>
          <w:sz w:val="16"/>
          <w:szCs w:val="16"/>
          <w:rtl/>
        </w:rPr>
        <w:t xml:space="preserve"> וכ"כ הראב"ד בהשגות פ</w:t>
      </w:r>
      <w:r>
        <w:rPr>
          <w:rFonts w:cs="Arial" w:hint="cs"/>
          <w:sz w:val="16"/>
          <w:szCs w:val="16"/>
          <w:rtl/>
        </w:rPr>
        <w:t>ט</w:t>
      </w:r>
      <w:r w:rsidRPr="001C1EA6">
        <w:rPr>
          <w:rFonts w:cs="Arial"/>
          <w:sz w:val="16"/>
          <w:szCs w:val="16"/>
          <w:rtl/>
        </w:rPr>
        <w:t>"</w:t>
      </w:r>
      <w:r>
        <w:rPr>
          <w:rFonts w:cs="Arial" w:hint="cs"/>
          <w:sz w:val="16"/>
          <w:szCs w:val="16"/>
          <w:rtl/>
        </w:rPr>
        <w:t>ז</w:t>
      </w:r>
      <w:r w:rsidRPr="001C1EA6">
        <w:rPr>
          <w:rFonts w:cs="Arial"/>
          <w:sz w:val="16"/>
          <w:szCs w:val="16"/>
          <w:rtl/>
        </w:rPr>
        <w:t xml:space="preserve"> מהמ"א ד"ז</w:t>
      </w:r>
      <w:r>
        <w:rPr>
          <w:rFonts w:cs="Arial" w:hint="cs"/>
          <w:sz w:val="16"/>
          <w:szCs w:val="16"/>
          <w:rtl/>
        </w:rPr>
        <w:t>,</w:t>
      </w:r>
      <w:r w:rsidRPr="001C1EA6">
        <w:rPr>
          <w:rFonts w:cs="Arial"/>
          <w:sz w:val="16"/>
          <w:szCs w:val="16"/>
          <w:rtl/>
        </w:rPr>
        <w:t xml:space="preserve"> ובכ"מ שם כתב דגם הרמב"ם סובר כן</w:t>
      </w:r>
      <w:r>
        <w:rPr>
          <w:rFonts w:cs="Arial" w:hint="cs"/>
          <w:sz w:val="16"/>
          <w:szCs w:val="16"/>
          <w:rtl/>
        </w:rPr>
        <w:t>,</w:t>
      </w:r>
      <w:r w:rsidRPr="001C1EA6">
        <w:rPr>
          <w:rFonts w:cs="Arial"/>
          <w:sz w:val="16"/>
          <w:szCs w:val="16"/>
          <w:rtl/>
        </w:rPr>
        <w:t xml:space="preserve"> ודלא כבעל מגדול עוז שכתב שם דברים מעורבבים בלא טעם</w:t>
      </w:r>
      <w:r>
        <w:rPr>
          <w:rFonts w:cs="Arial" w:hint="cs"/>
          <w:sz w:val="16"/>
          <w:szCs w:val="16"/>
          <w:rtl/>
        </w:rPr>
        <w:t>)</w:t>
      </w:r>
      <w:r>
        <w:rPr>
          <w:rFonts w:cs="Arial" w:hint="cs"/>
          <w:rtl/>
        </w:rPr>
        <w:t>,</w:t>
      </w:r>
      <w:r w:rsidRPr="001C1EA6">
        <w:rPr>
          <w:rFonts w:cs="Arial"/>
          <w:rtl/>
        </w:rPr>
        <w:t xml:space="preserve"> מיהו מש</w:t>
      </w:r>
      <w:r>
        <w:rPr>
          <w:rFonts w:cs="Arial" w:hint="cs"/>
          <w:rtl/>
        </w:rPr>
        <w:t>"כ</w:t>
      </w:r>
      <w:r w:rsidRPr="001C1EA6">
        <w:rPr>
          <w:rFonts w:cs="Arial"/>
          <w:rtl/>
        </w:rPr>
        <w:t xml:space="preserve"> הראב"ד </w:t>
      </w:r>
      <w:r>
        <w:rPr>
          <w:rFonts w:cs="Arial" w:hint="cs"/>
          <w:sz w:val="16"/>
          <w:szCs w:val="16"/>
          <w:rtl/>
        </w:rPr>
        <w:t>(שם)</w:t>
      </w:r>
      <w:r w:rsidRPr="001C1EA6">
        <w:rPr>
          <w:rFonts w:cs="Arial"/>
          <w:rtl/>
        </w:rPr>
        <w:t xml:space="preserve"> דה"ה דתקנתא דר' אליעזר דהיינו יוליך הנאה לים המלח מהני בכל האיסורים</w:t>
      </w:r>
      <w:r>
        <w:rPr>
          <w:rFonts w:cs="Arial" w:hint="cs"/>
          <w:rtl/>
        </w:rPr>
        <w:t xml:space="preserve"> -</w:t>
      </w:r>
      <w:r w:rsidRPr="001C1EA6">
        <w:rPr>
          <w:rFonts w:cs="Arial"/>
          <w:rtl/>
        </w:rPr>
        <w:t xml:space="preserve"> הוא כדעת הרשב"ם שהביאו התוס' ור"ן שם</w:t>
      </w:r>
      <w:r>
        <w:rPr>
          <w:rFonts w:cs="Arial" w:hint="cs"/>
          <w:rtl/>
        </w:rPr>
        <w:t>,</w:t>
      </w:r>
      <w:r w:rsidRPr="001C1EA6">
        <w:rPr>
          <w:rFonts w:cs="Arial"/>
          <w:rtl/>
        </w:rPr>
        <w:t xml:space="preserve"> אבל אין כן דעת התוס' והפוסקים הנ"ל שם</w:t>
      </w:r>
      <w:r>
        <w:rPr>
          <w:rFonts w:cs="Arial" w:hint="cs"/>
          <w:rtl/>
        </w:rPr>
        <w:t>,</w:t>
      </w:r>
      <w:r w:rsidRPr="001C1EA6">
        <w:rPr>
          <w:rFonts w:cs="Arial"/>
          <w:rtl/>
        </w:rPr>
        <w:t xml:space="preserve"> אלא ס"ל דדוקא בע</w:t>
      </w:r>
      <w:r>
        <w:rPr>
          <w:rFonts w:cs="Arial" w:hint="cs"/>
          <w:rtl/>
        </w:rPr>
        <w:t>"ז</w:t>
      </w:r>
      <w:r w:rsidRPr="001C1EA6">
        <w:rPr>
          <w:rFonts w:cs="Arial"/>
          <w:rtl/>
        </w:rPr>
        <w:t xml:space="preserve"> שתופסת דמי</w:t>
      </w:r>
      <w:r>
        <w:rPr>
          <w:rFonts w:cs="Arial" w:hint="cs"/>
          <w:rtl/>
        </w:rPr>
        <w:t>ה</w:t>
      </w:r>
      <w:r w:rsidRPr="001C1EA6">
        <w:rPr>
          <w:rFonts w:cs="Arial"/>
          <w:rtl/>
        </w:rPr>
        <w:t xml:space="preserve"> סגי ליה בפדיון הולכת הנאה לים המלח ולא בשאר איסורים</w:t>
      </w:r>
      <w:r>
        <w:rPr>
          <w:rFonts w:cs="Arial" w:hint="cs"/>
          <w:rtl/>
        </w:rPr>
        <w:t>,</w:t>
      </w:r>
      <w:r w:rsidRPr="001C1EA6">
        <w:rPr>
          <w:rFonts w:cs="Arial"/>
          <w:rtl/>
        </w:rPr>
        <w:t xml:space="preserve"> וכן דעת הרא"ש ס"פ כל הצלמים</w:t>
      </w:r>
      <w:r>
        <w:rPr>
          <w:rFonts w:cs="Arial" w:hint="cs"/>
          <w:rtl/>
        </w:rPr>
        <w:t>,</w:t>
      </w:r>
      <w:r w:rsidRPr="001C1EA6">
        <w:rPr>
          <w:rFonts w:cs="Arial"/>
          <w:rtl/>
        </w:rPr>
        <w:t xml:space="preserve"> דלא כהלבוש בא"ח סי</w:t>
      </w:r>
      <w:r>
        <w:rPr>
          <w:rFonts w:cs="Arial" w:hint="cs"/>
          <w:rtl/>
        </w:rPr>
        <w:t>'</w:t>
      </w:r>
      <w:r w:rsidRPr="001C1EA6">
        <w:rPr>
          <w:rFonts w:cs="Arial"/>
          <w:rtl/>
        </w:rPr>
        <w:t xml:space="preserve"> תמה ס"ב שכ</w:t>
      </w:r>
      <w:r>
        <w:rPr>
          <w:rFonts w:cs="Arial" w:hint="cs"/>
          <w:rtl/>
        </w:rPr>
        <w:t>'</w:t>
      </w:r>
      <w:r w:rsidRPr="001C1EA6">
        <w:rPr>
          <w:rFonts w:cs="Arial"/>
          <w:rtl/>
        </w:rPr>
        <w:t xml:space="preserve"> גם גבי פת שנאפה בגחלי חמץ דנ"ל דסגי בהולכת הנאה לים המלח ומותר בהנאה עכ"ל</w:t>
      </w:r>
      <w:r>
        <w:rPr>
          <w:rFonts w:cs="Arial" w:hint="cs"/>
          <w:rtl/>
        </w:rPr>
        <w:t>,</w:t>
      </w:r>
      <w:r w:rsidRPr="001C1EA6">
        <w:rPr>
          <w:rFonts w:cs="Arial"/>
          <w:rtl/>
        </w:rPr>
        <w:t xml:space="preserve"> דליתא</w:t>
      </w:r>
      <w:r>
        <w:rPr>
          <w:rFonts w:cs="Arial" w:hint="cs"/>
          <w:rtl/>
        </w:rPr>
        <w:t>,</w:t>
      </w:r>
      <w:r w:rsidRPr="001C1EA6">
        <w:rPr>
          <w:rFonts w:cs="Arial"/>
          <w:rtl/>
        </w:rPr>
        <w:t xml:space="preserve"> דלא קי"ל הכי אלא בע</w:t>
      </w:r>
      <w:r>
        <w:rPr>
          <w:rFonts w:cs="Arial" w:hint="cs"/>
          <w:rtl/>
        </w:rPr>
        <w:t>"ז</w:t>
      </w:r>
      <w:r w:rsidRPr="001C1EA6">
        <w:rPr>
          <w:rFonts w:cs="Arial"/>
          <w:rtl/>
        </w:rPr>
        <w:t xml:space="preserve"> דתופסת דמי</w:t>
      </w:r>
      <w:r>
        <w:rPr>
          <w:rFonts w:cs="Arial" w:hint="cs"/>
          <w:rtl/>
        </w:rPr>
        <w:t>ה,</w:t>
      </w:r>
      <w:r w:rsidRPr="001C1EA6">
        <w:rPr>
          <w:rFonts w:cs="Arial"/>
          <w:rtl/>
        </w:rPr>
        <w:t xml:space="preserve"> ועמ"ש בא</w:t>
      </w:r>
      <w:r>
        <w:rPr>
          <w:rFonts w:cs="Arial" w:hint="cs"/>
          <w:rtl/>
        </w:rPr>
        <w:t>ו</w:t>
      </w:r>
      <w:r w:rsidRPr="001C1EA6">
        <w:rPr>
          <w:rFonts w:cs="Arial"/>
          <w:rtl/>
        </w:rPr>
        <w:t xml:space="preserve">"ח ר"ס תמז ולקמן סי' קמב </w:t>
      </w:r>
      <w:r>
        <w:rPr>
          <w:rFonts w:cs="Arial" w:hint="cs"/>
          <w:rtl/>
        </w:rPr>
        <w:t>סק"</w:t>
      </w:r>
      <w:r w:rsidRPr="001C1EA6">
        <w:rPr>
          <w:rFonts w:cs="Arial"/>
          <w:rtl/>
        </w:rPr>
        <w:t>ח</w:t>
      </w:r>
      <w:r>
        <w:rPr>
          <w:rFonts w:hint="cs"/>
          <w:rtl/>
        </w:rPr>
        <w:t>, ש"ך (סק"ב).</w:t>
      </w:r>
    </w:p>
  </w:footnote>
  <w:footnote w:id="2437">
    <w:p w14:paraId="41D5477A" w14:textId="77777777" w:rsidR="004C5A3C" w:rsidRDefault="004C5A3C" w:rsidP="002C39F4">
      <w:pPr>
        <w:pStyle w:val="a5"/>
      </w:pPr>
      <w:r>
        <w:rPr>
          <w:rStyle w:val="a7"/>
        </w:rPr>
        <w:footnoteRef/>
      </w:r>
      <w:r>
        <w:rPr>
          <w:rtl/>
        </w:rPr>
        <w:t xml:space="preserve"> </w:t>
      </w:r>
      <w:r w:rsidRPr="00892D75">
        <w:rPr>
          <w:rFonts w:cs="Arial"/>
          <w:rtl/>
        </w:rPr>
        <w:t>פרש"י פרך ובדן מקומות הן</w:t>
      </w:r>
      <w:r>
        <w:rPr>
          <w:rFonts w:cs="Arial" w:hint="cs"/>
          <w:rtl/>
        </w:rPr>
        <w:t>,</w:t>
      </w:r>
      <w:r w:rsidRPr="00892D75">
        <w:rPr>
          <w:rFonts w:cs="Arial"/>
          <w:rtl/>
        </w:rPr>
        <w:t xml:space="preserve"> וכן פי' הריב"ש </w:t>
      </w:r>
      <w:r>
        <w:rPr>
          <w:rFonts w:cs="Arial" w:hint="cs"/>
          <w:rtl/>
        </w:rPr>
        <w:t>(</w:t>
      </w:r>
      <w:r w:rsidRPr="00892D75">
        <w:rPr>
          <w:rFonts w:cs="Arial"/>
          <w:rtl/>
        </w:rPr>
        <w:t>סי' תמח</w:t>
      </w:r>
      <w:r>
        <w:rPr>
          <w:rFonts w:cs="Arial" w:hint="cs"/>
          <w:rtl/>
        </w:rPr>
        <w:t>),</w:t>
      </w:r>
      <w:r w:rsidRPr="00892D75">
        <w:rPr>
          <w:rFonts w:cs="Arial"/>
          <w:rtl/>
        </w:rPr>
        <w:t xml:space="preserve"> והברטנורה כ</w:t>
      </w:r>
      <w:r>
        <w:rPr>
          <w:rFonts w:cs="Arial" w:hint="cs"/>
          <w:rtl/>
        </w:rPr>
        <w:t>'-</w:t>
      </w:r>
      <w:r w:rsidRPr="00892D75">
        <w:rPr>
          <w:rFonts w:cs="Arial"/>
          <w:rtl/>
        </w:rPr>
        <w:t xml:space="preserve"> ואני שמעתי אגוזים שקליפתן רכה ונפרכים ביד</w:t>
      </w:r>
      <w:r>
        <w:rPr>
          <w:rFonts w:cs="Arial" w:hint="cs"/>
          <w:rtl/>
        </w:rPr>
        <w:t>,</w:t>
      </w:r>
      <w:r w:rsidRPr="00892D75">
        <w:rPr>
          <w:rFonts w:cs="Arial"/>
          <w:rtl/>
        </w:rPr>
        <w:t xml:space="preserve"> וכן פירשו התוס</w:t>
      </w:r>
      <w:r>
        <w:rPr>
          <w:rFonts w:cs="Arial" w:hint="cs"/>
          <w:rtl/>
        </w:rPr>
        <w:t>'</w:t>
      </w:r>
      <w:r w:rsidRPr="00892D75">
        <w:rPr>
          <w:rFonts w:cs="Arial"/>
          <w:rtl/>
        </w:rPr>
        <w:t xml:space="preserve"> </w:t>
      </w:r>
      <w:r w:rsidRPr="00892D75">
        <w:rPr>
          <w:rFonts w:cs="Arial" w:hint="cs"/>
          <w:sz w:val="16"/>
          <w:szCs w:val="16"/>
          <w:rtl/>
        </w:rPr>
        <w:t>(</w:t>
      </w:r>
      <w:r w:rsidRPr="00892D75">
        <w:rPr>
          <w:rFonts w:cs="Arial"/>
          <w:sz w:val="16"/>
          <w:szCs w:val="16"/>
          <w:rtl/>
        </w:rPr>
        <w:t>ביבמות ובזבחים שם</w:t>
      </w:r>
      <w:r>
        <w:rPr>
          <w:rFonts w:cs="Arial" w:hint="cs"/>
          <w:sz w:val="16"/>
          <w:szCs w:val="16"/>
          <w:rtl/>
        </w:rPr>
        <w:t>)</w:t>
      </w:r>
      <w:r>
        <w:rPr>
          <w:rFonts w:cs="Arial" w:hint="cs"/>
          <w:rtl/>
        </w:rPr>
        <w:t>,</w:t>
      </w:r>
      <w:r w:rsidRPr="00892D75">
        <w:rPr>
          <w:rFonts w:cs="Arial"/>
          <w:rtl/>
        </w:rPr>
        <w:t xml:space="preserve"> ובערוך כתב שני הפירושים</w:t>
      </w:r>
      <w:r>
        <w:rPr>
          <w:rFonts w:cs="Arial" w:hint="cs"/>
          <w:rtl/>
        </w:rPr>
        <w:t>, ש"ך (סק"ג).</w:t>
      </w:r>
    </w:p>
  </w:footnote>
  <w:footnote w:id="2438">
    <w:p w14:paraId="2E23E571" w14:textId="77777777" w:rsidR="004C5A3C" w:rsidRDefault="004C5A3C" w:rsidP="002C39F4">
      <w:pPr>
        <w:pStyle w:val="a5"/>
      </w:pPr>
      <w:r>
        <w:rPr>
          <w:rStyle w:val="a7"/>
        </w:rPr>
        <w:footnoteRef/>
      </w:r>
      <w:r>
        <w:rPr>
          <w:rtl/>
        </w:rPr>
        <w:t xml:space="preserve"> </w:t>
      </w:r>
      <w:r w:rsidRPr="00892D75">
        <w:rPr>
          <w:rFonts w:cs="Arial"/>
          <w:rtl/>
        </w:rPr>
        <w:t>דוקא גדולות</w:t>
      </w:r>
      <w:r>
        <w:rPr>
          <w:rFonts w:cs="Arial" w:hint="cs"/>
          <w:rtl/>
        </w:rPr>
        <w:t>,</w:t>
      </w:r>
      <w:r w:rsidRPr="00892D75">
        <w:rPr>
          <w:rFonts w:cs="Arial"/>
          <w:rtl/>
        </w:rPr>
        <w:t xml:space="preserve"> אבל קטנות אינן חשובים וחד בתרי בטיל</w:t>
      </w:r>
      <w:r>
        <w:rPr>
          <w:rFonts w:cs="Arial" w:hint="cs"/>
          <w:rtl/>
        </w:rPr>
        <w:t>,</w:t>
      </w:r>
      <w:r w:rsidRPr="00892D75">
        <w:rPr>
          <w:rFonts w:cs="Arial"/>
          <w:rtl/>
        </w:rPr>
        <w:t xml:space="preserve"> כדלקמן סי' קל"ד ס"ב בהג"ה</w:t>
      </w:r>
      <w:r>
        <w:rPr>
          <w:rFonts w:cs="Arial" w:hint="cs"/>
          <w:rtl/>
        </w:rPr>
        <w:t>, ש"ך (סק"ד).</w:t>
      </w:r>
    </w:p>
  </w:footnote>
  <w:footnote w:id="2439">
    <w:p w14:paraId="3225FCE3" w14:textId="77777777" w:rsidR="004C5A3C" w:rsidRDefault="004C5A3C" w:rsidP="002C39F4">
      <w:pPr>
        <w:pStyle w:val="a5"/>
        <w:rPr>
          <w:rtl/>
        </w:rPr>
      </w:pPr>
      <w:r>
        <w:rPr>
          <w:rStyle w:val="a7"/>
        </w:rPr>
        <w:footnoteRef/>
      </w:r>
      <w:r>
        <w:rPr>
          <w:rtl/>
        </w:rPr>
        <w:t xml:space="preserve"> </w:t>
      </w:r>
      <w:r w:rsidRPr="00892D75">
        <w:rPr>
          <w:rFonts w:cs="Arial"/>
          <w:rtl/>
        </w:rPr>
        <w:t>אבל פתוחות אפי' של יין נסך בטילים</w:t>
      </w:r>
      <w:r>
        <w:rPr>
          <w:rFonts w:cs="Arial" w:hint="cs"/>
          <w:rtl/>
        </w:rPr>
        <w:t>,</w:t>
      </w:r>
      <w:r w:rsidRPr="00892D75">
        <w:rPr>
          <w:rFonts w:cs="Arial"/>
          <w:rtl/>
        </w:rPr>
        <w:t xml:space="preserve"> דלא חשיבי</w:t>
      </w:r>
      <w:r>
        <w:rPr>
          <w:rFonts w:cs="Arial" w:hint="cs"/>
          <w:rtl/>
        </w:rPr>
        <w:t>,</w:t>
      </w:r>
      <w:r w:rsidRPr="00892D75">
        <w:rPr>
          <w:rFonts w:cs="Arial"/>
          <w:rtl/>
        </w:rPr>
        <w:t xml:space="preserve"> כ"כ התוס' </w:t>
      </w:r>
      <w:r w:rsidRPr="00892D75">
        <w:rPr>
          <w:rFonts w:cs="Arial" w:hint="cs"/>
          <w:rtl/>
        </w:rPr>
        <w:t>בע"ז</w:t>
      </w:r>
      <w:r w:rsidRPr="00892D75">
        <w:rPr>
          <w:rFonts w:cs="Arial" w:hint="cs"/>
          <w:sz w:val="16"/>
          <w:szCs w:val="16"/>
          <w:rtl/>
        </w:rPr>
        <w:t xml:space="preserve"> </w:t>
      </w:r>
      <w:r>
        <w:rPr>
          <w:rFonts w:cs="Arial" w:hint="cs"/>
          <w:sz w:val="16"/>
          <w:szCs w:val="16"/>
          <w:rtl/>
        </w:rPr>
        <w:t>(</w:t>
      </w:r>
      <w:r w:rsidRPr="00892D75">
        <w:rPr>
          <w:rFonts w:cs="Arial" w:hint="cs"/>
          <w:sz w:val="16"/>
          <w:szCs w:val="16"/>
          <w:rtl/>
        </w:rPr>
        <w:t>עד.</w:t>
      </w:r>
      <w:r w:rsidRPr="00892D75">
        <w:rPr>
          <w:rFonts w:cs="Arial"/>
          <w:sz w:val="16"/>
          <w:szCs w:val="16"/>
          <w:rtl/>
        </w:rPr>
        <w:t xml:space="preserve"> ד"ה הא תנא ליה כו'</w:t>
      </w:r>
      <w:r w:rsidRPr="00892D75">
        <w:rPr>
          <w:rFonts w:cs="Arial" w:hint="cs"/>
          <w:sz w:val="16"/>
          <w:szCs w:val="16"/>
          <w:rtl/>
        </w:rPr>
        <w:t>,</w:t>
      </w:r>
      <w:r w:rsidRPr="00892D75">
        <w:rPr>
          <w:rFonts w:cs="Arial"/>
          <w:sz w:val="16"/>
          <w:szCs w:val="16"/>
          <w:rtl/>
        </w:rPr>
        <w:t xml:space="preserve"> וביבמות שם ד"ה רבי יוחנן כו'</w:t>
      </w:r>
      <w:r w:rsidRPr="00892D75">
        <w:rPr>
          <w:rFonts w:cs="Arial" w:hint="cs"/>
          <w:sz w:val="16"/>
          <w:szCs w:val="16"/>
          <w:rtl/>
        </w:rPr>
        <w:t>)</w:t>
      </w:r>
      <w:r>
        <w:rPr>
          <w:rFonts w:cs="Arial" w:hint="cs"/>
          <w:rtl/>
        </w:rPr>
        <w:t>,</w:t>
      </w:r>
      <w:r w:rsidRPr="00892D75">
        <w:rPr>
          <w:rFonts w:cs="Arial"/>
          <w:rtl/>
        </w:rPr>
        <w:t xml:space="preserve"> אבל בזבחים </w:t>
      </w:r>
      <w:r w:rsidRPr="00892D75">
        <w:rPr>
          <w:rFonts w:cs="Arial" w:hint="cs"/>
          <w:sz w:val="16"/>
          <w:szCs w:val="16"/>
          <w:rtl/>
        </w:rPr>
        <w:t>(עב.</w:t>
      </w:r>
      <w:r w:rsidRPr="00892D75">
        <w:rPr>
          <w:rFonts w:cs="Arial"/>
          <w:sz w:val="16"/>
          <w:szCs w:val="16"/>
          <w:rtl/>
        </w:rPr>
        <w:t xml:space="preserve"> ד"ה אלא למ"ד כו'</w:t>
      </w:r>
      <w:r w:rsidRPr="00892D75">
        <w:rPr>
          <w:rFonts w:cs="Arial" w:hint="cs"/>
          <w:sz w:val="16"/>
          <w:szCs w:val="16"/>
          <w:rtl/>
        </w:rPr>
        <w:t>)</w:t>
      </w:r>
      <w:r w:rsidRPr="00892D75">
        <w:rPr>
          <w:rFonts w:cs="Arial"/>
          <w:sz w:val="16"/>
          <w:szCs w:val="16"/>
          <w:rtl/>
        </w:rPr>
        <w:t xml:space="preserve"> </w:t>
      </w:r>
      <w:r w:rsidRPr="00892D75">
        <w:rPr>
          <w:rFonts w:cs="Arial"/>
          <w:rtl/>
        </w:rPr>
        <w:t>כתבו</w:t>
      </w:r>
      <w:r>
        <w:rPr>
          <w:rFonts w:cs="Arial" w:hint="cs"/>
          <w:rtl/>
        </w:rPr>
        <w:t>-</w:t>
      </w:r>
      <w:r w:rsidRPr="00892D75">
        <w:rPr>
          <w:rFonts w:cs="Arial"/>
          <w:rtl/>
        </w:rPr>
        <w:t xml:space="preserve"> ושמא החמירו ביין נסך לאסור אפילו בחביות פתוחות משום דחמירא ע</w:t>
      </w:r>
      <w:r>
        <w:rPr>
          <w:rFonts w:cs="Arial" w:hint="cs"/>
          <w:rtl/>
        </w:rPr>
        <w:t>בודת כוכבים</w:t>
      </w:r>
      <w:r w:rsidRPr="00892D75">
        <w:rPr>
          <w:rFonts w:cs="Arial"/>
          <w:rtl/>
        </w:rPr>
        <w:t xml:space="preserve"> משאר איסורים כו'</w:t>
      </w:r>
      <w:r>
        <w:rPr>
          <w:rFonts w:cs="Arial" w:hint="cs"/>
          <w:rtl/>
        </w:rPr>
        <w:t>,</w:t>
      </w:r>
      <w:r w:rsidRPr="00892D75">
        <w:rPr>
          <w:rFonts w:cs="Arial"/>
          <w:rtl/>
        </w:rPr>
        <w:t xml:space="preserve"> וכ"כ עוד שם</w:t>
      </w:r>
      <w:r>
        <w:rPr>
          <w:rFonts w:cs="Arial" w:hint="cs"/>
          <w:rtl/>
        </w:rPr>
        <w:t>-</w:t>
      </w:r>
      <w:r w:rsidRPr="00892D75">
        <w:rPr>
          <w:rFonts w:cs="Arial"/>
          <w:rtl/>
        </w:rPr>
        <w:t xml:space="preserve"> וא"נ כדמפ</w:t>
      </w:r>
      <w:r>
        <w:rPr>
          <w:rFonts w:cs="Arial" w:hint="cs"/>
          <w:rtl/>
        </w:rPr>
        <w:t>רש</w:t>
      </w:r>
      <w:r w:rsidRPr="00892D75">
        <w:rPr>
          <w:rFonts w:cs="Arial"/>
          <w:rtl/>
        </w:rPr>
        <w:t xml:space="preserve"> בירושלמי יין נסך ועבודת כוכבים משום דלא ידבק בך מאומה מן החרם ומיירי אפילו בחביות פתוחות עכ"ל</w:t>
      </w:r>
      <w:r>
        <w:rPr>
          <w:rFonts w:cs="Arial" w:hint="cs"/>
          <w:rtl/>
        </w:rPr>
        <w:t>,</w:t>
      </w:r>
      <w:r w:rsidRPr="00892D75">
        <w:rPr>
          <w:rFonts w:cs="Arial"/>
          <w:rtl/>
        </w:rPr>
        <w:t xml:space="preserve"> וכ"כ ר</w:t>
      </w:r>
      <w:r>
        <w:rPr>
          <w:rFonts w:cs="Arial" w:hint="cs"/>
          <w:rtl/>
        </w:rPr>
        <w:t>י"ו (נ</w:t>
      </w:r>
      <w:r w:rsidRPr="00892D75">
        <w:rPr>
          <w:rFonts w:cs="Arial"/>
          <w:rtl/>
        </w:rPr>
        <w:t>י"ז ח"א</w:t>
      </w:r>
      <w:r>
        <w:rPr>
          <w:rFonts w:cs="Arial" w:hint="cs"/>
          <w:rtl/>
        </w:rPr>
        <w:t>), ש"ך (סק"ה).</w:t>
      </w:r>
    </w:p>
  </w:footnote>
  <w:footnote w:id="2440">
    <w:p w14:paraId="76636C53" w14:textId="77777777" w:rsidR="004C5A3C" w:rsidRDefault="004C5A3C" w:rsidP="002C39F4">
      <w:pPr>
        <w:pStyle w:val="a5"/>
      </w:pPr>
      <w:r>
        <w:rPr>
          <w:rStyle w:val="a7"/>
        </w:rPr>
        <w:footnoteRef/>
      </w:r>
      <w:r>
        <w:rPr>
          <w:rtl/>
        </w:rPr>
        <w:t xml:space="preserve"> </w:t>
      </w:r>
      <w:r w:rsidRPr="009B338F">
        <w:rPr>
          <w:rFonts w:cs="Arial"/>
          <w:rtl/>
        </w:rPr>
        <w:t>לאפוקי דנחתום דלא חשיבי כן פשוט בש"ס ופוסקים וצ"ל דהיינו דוקא בזמנם אבל במקומות שגם של נחתום חשובים פשיטא דאינן בטלים וק"ל</w:t>
      </w:r>
      <w:r>
        <w:rPr>
          <w:rFonts w:cs="Arial" w:hint="cs"/>
          <w:rtl/>
        </w:rPr>
        <w:t>, ש"ך (סק"ו).</w:t>
      </w:r>
    </w:p>
  </w:footnote>
  <w:footnote w:id="2441">
    <w:p w14:paraId="5F3FA084" w14:textId="77777777" w:rsidR="004C5A3C" w:rsidRDefault="004C5A3C" w:rsidP="002C39F4">
      <w:pPr>
        <w:pStyle w:val="a5"/>
        <w:rPr>
          <w:rtl/>
        </w:rPr>
      </w:pPr>
      <w:r>
        <w:rPr>
          <w:rStyle w:val="a7"/>
        </w:rPr>
        <w:footnoteRef/>
      </w:r>
      <w:r>
        <w:rPr>
          <w:rtl/>
        </w:rPr>
        <w:t xml:space="preserve"> </w:t>
      </w:r>
      <w:r w:rsidRPr="009B338F">
        <w:rPr>
          <w:rFonts w:cs="Arial"/>
          <w:rtl/>
        </w:rPr>
        <w:t>אע</w:t>
      </w:r>
      <w:r>
        <w:rPr>
          <w:rFonts w:cs="Arial" w:hint="cs"/>
          <w:rtl/>
        </w:rPr>
        <w:t>"</w:t>
      </w:r>
      <w:r w:rsidRPr="009B338F">
        <w:rPr>
          <w:rFonts w:cs="Arial"/>
          <w:rtl/>
        </w:rPr>
        <w:t>ג דלא אסירי מתחלת ברייתן כגון שור הנסקל ודרוסה וכה"ג לא בטילי מכח חשיבותן כך פשוט בש"ס ופוסקים</w:t>
      </w:r>
      <w:r>
        <w:rPr>
          <w:rFonts w:hint="cs"/>
          <w:rtl/>
        </w:rPr>
        <w:t xml:space="preserve">, ש"ך </w:t>
      </w:r>
      <w:r w:rsidRPr="009B338F">
        <w:rPr>
          <w:rFonts w:hint="cs"/>
          <w:sz w:val="16"/>
          <w:szCs w:val="16"/>
          <w:rtl/>
        </w:rPr>
        <w:t>(סק"ז)</w:t>
      </w:r>
      <w:r>
        <w:rPr>
          <w:rFonts w:hint="cs"/>
          <w:rtl/>
        </w:rPr>
        <w:t>.</w:t>
      </w:r>
    </w:p>
  </w:footnote>
  <w:footnote w:id="2442">
    <w:p w14:paraId="26FDC53E" w14:textId="77777777" w:rsidR="004C5A3C" w:rsidRDefault="004C5A3C" w:rsidP="002C39F4">
      <w:pPr>
        <w:pStyle w:val="a5"/>
      </w:pPr>
      <w:r>
        <w:rPr>
          <w:rStyle w:val="a7"/>
        </w:rPr>
        <w:footnoteRef/>
      </w:r>
      <w:r>
        <w:rPr>
          <w:rtl/>
        </w:rPr>
        <w:t xml:space="preserve"> </w:t>
      </w:r>
      <w:r w:rsidRPr="009B338F">
        <w:rPr>
          <w:rFonts w:cs="Arial"/>
          <w:rtl/>
        </w:rPr>
        <w:t>לעולם</w:t>
      </w:r>
      <w:r>
        <w:rPr>
          <w:rFonts w:cs="Arial" w:hint="cs"/>
          <w:rtl/>
        </w:rPr>
        <w:t>,</w:t>
      </w:r>
      <w:r w:rsidRPr="009B338F">
        <w:rPr>
          <w:rFonts w:cs="Arial"/>
          <w:rtl/>
        </w:rPr>
        <w:t xml:space="preserve"> ואינן נמכרים כלל באומד</w:t>
      </w:r>
      <w:r>
        <w:rPr>
          <w:rFonts w:cs="Arial" w:hint="cs"/>
          <w:rtl/>
        </w:rPr>
        <w:t>,</w:t>
      </w:r>
      <w:r w:rsidRPr="009B338F">
        <w:rPr>
          <w:rFonts w:cs="Arial"/>
          <w:rtl/>
        </w:rPr>
        <w:t xml:space="preserve"> עולים בשיעורן כיון שאינן חשובים</w:t>
      </w:r>
      <w:r>
        <w:rPr>
          <w:rFonts w:cs="Arial" w:hint="cs"/>
          <w:rtl/>
        </w:rPr>
        <w:t>, ש"ך (סק"ח).</w:t>
      </w:r>
    </w:p>
  </w:footnote>
  <w:footnote w:id="2443">
    <w:p w14:paraId="70849477" w14:textId="77777777" w:rsidR="004C5A3C" w:rsidRDefault="004C5A3C" w:rsidP="002C39F4">
      <w:pPr>
        <w:pStyle w:val="a5"/>
      </w:pPr>
      <w:r>
        <w:rPr>
          <w:rStyle w:val="a7"/>
        </w:rPr>
        <w:footnoteRef/>
      </w:r>
      <w:r>
        <w:rPr>
          <w:rtl/>
        </w:rPr>
        <w:t xml:space="preserve"> </w:t>
      </w:r>
      <w:r w:rsidRPr="009B338F">
        <w:rPr>
          <w:rFonts w:cs="Arial"/>
          <w:rtl/>
        </w:rPr>
        <w:t xml:space="preserve">אבל דבר שמוכרים לפעמים ג"כ באומד כמו ביצים </w:t>
      </w:r>
      <w:r w:rsidRPr="00087ED5">
        <w:rPr>
          <w:rFonts w:cs="Arial" w:hint="cs"/>
          <w:sz w:val="16"/>
          <w:szCs w:val="16"/>
          <w:rtl/>
        </w:rPr>
        <w:t>(</w:t>
      </w:r>
      <w:r w:rsidRPr="00087ED5">
        <w:rPr>
          <w:rFonts w:cs="Arial"/>
          <w:sz w:val="16"/>
          <w:szCs w:val="16"/>
          <w:rtl/>
        </w:rPr>
        <w:t>שלפעמים מוכרים סל מלא ביצים</w:t>
      </w:r>
      <w:r w:rsidRPr="00087ED5">
        <w:rPr>
          <w:rFonts w:cs="Arial" w:hint="cs"/>
          <w:sz w:val="16"/>
          <w:szCs w:val="16"/>
          <w:rtl/>
        </w:rPr>
        <w:t xml:space="preserve">, </w:t>
      </w:r>
      <w:r w:rsidRPr="00087ED5">
        <w:rPr>
          <w:rFonts w:cs="Arial"/>
          <w:sz w:val="16"/>
          <w:szCs w:val="16"/>
          <w:rtl/>
        </w:rPr>
        <w:t>ביצה</w:t>
      </w:r>
      <w:r w:rsidRPr="00087ED5">
        <w:rPr>
          <w:rFonts w:cs="Arial" w:hint="cs"/>
          <w:sz w:val="16"/>
          <w:szCs w:val="16"/>
          <w:rtl/>
        </w:rPr>
        <w:t xml:space="preserve"> ג:)</w:t>
      </w:r>
      <w:r w:rsidRPr="00087ED5">
        <w:rPr>
          <w:rFonts w:cs="Arial"/>
          <w:sz w:val="16"/>
          <w:szCs w:val="16"/>
          <w:rtl/>
        </w:rPr>
        <w:t xml:space="preserve"> </w:t>
      </w:r>
      <w:r w:rsidRPr="009B338F">
        <w:rPr>
          <w:rFonts w:cs="Arial"/>
          <w:rtl/>
        </w:rPr>
        <w:t>בטל</w:t>
      </w:r>
      <w:r>
        <w:rPr>
          <w:rFonts w:cs="Arial" w:hint="cs"/>
          <w:rtl/>
        </w:rPr>
        <w:t xml:space="preserve">, </w:t>
      </w:r>
      <w:r w:rsidRPr="009B338F">
        <w:rPr>
          <w:rFonts w:cs="Arial"/>
          <w:rtl/>
        </w:rPr>
        <w:t>ת"ח</w:t>
      </w:r>
      <w:r w:rsidRPr="00087ED5">
        <w:rPr>
          <w:rFonts w:cs="Arial"/>
          <w:sz w:val="16"/>
          <w:szCs w:val="16"/>
          <w:rtl/>
        </w:rPr>
        <w:t xml:space="preserve"> </w:t>
      </w:r>
      <w:r w:rsidRPr="00087ED5">
        <w:rPr>
          <w:rFonts w:cs="Arial" w:hint="cs"/>
          <w:sz w:val="16"/>
          <w:szCs w:val="16"/>
          <w:rtl/>
        </w:rPr>
        <w:t>(</w:t>
      </w:r>
      <w:r w:rsidRPr="00087ED5">
        <w:rPr>
          <w:rFonts w:cs="Arial"/>
          <w:sz w:val="16"/>
          <w:szCs w:val="16"/>
          <w:rtl/>
        </w:rPr>
        <w:t>כלל מב ד</w:t>
      </w:r>
      <w:r w:rsidRPr="00087ED5">
        <w:rPr>
          <w:rFonts w:cs="Arial" w:hint="cs"/>
          <w:sz w:val="16"/>
          <w:szCs w:val="16"/>
          <w:rtl/>
        </w:rPr>
        <w:t>"</w:t>
      </w:r>
      <w:r w:rsidRPr="00087ED5">
        <w:rPr>
          <w:rFonts w:cs="Arial"/>
          <w:sz w:val="16"/>
          <w:szCs w:val="16"/>
          <w:rtl/>
        </w:rPr>
        <w:t>א</w:t>
      </w:r>
      <w:r w:rsidRPr="00087ED5">
        <w:rPr>
          <w:rFonts w:cs="Arial" w:hint="cs"/>
          <w:sz w:val="16"/>
          <w:szCs w:val="16"/>
          <w:rtl/>
        </w:rPr>
        <w:t xml:space="preserve"> </w:t>
      </w:r>
      <w:r w:rsidRPr="00087ED5">
        <w:rPr>
          <w:rFonts w:cs="Arial"/>
          <w:sz w:val="16"/>
          <w:szCs w:val="16"/>
          <w:rtl/>
        </w:rPr>
        <w:t>וכלל סג ד"ג</w:t>
      </w:r>
      <w:r w:rsidRPr="00087ED5">
        <w:rPr>
          <w:rFonts w:cs="Arial" w:hint="cs"/>
          <w:sz w:val="16"/>
          <w:szCs w:val="16"/>
          <w:rtl/>
        </w:rPr>
        <w:t>)</w:t>
      </w:r>
      <w:r>
        <w:rPr>
          <w:rFonts w:cs="Arial" w:hint="cs"/>
          <w:rtl/>
        </w:rPr>
        <w:t>.</w:t>
      </w:r>
    </w:p>
  </w:footnote>
  <w:footnote w:id="2444">
    <w:p w14:paraId="29409B3C" w14:textId="77777777" w:rsidR="004C5A3C" w:rsidRDefault="004C5A3C" w:rsidP="002C39F4">
      <w:pPr>
        <w:pStyle w:val="a5"/>
        <w:rPr>
          <w:rtl/>
        </w:rPr>
      </w:pPr>
      <w:r>
        <w:rPr>
          <w:rStyle w:val="a7"/>
        </w:rPr>
        <w:footnoteRef/>
      </w:r>
      <w:r>
        <w:rPr>
          <w:rtl/>
        </w:rPr>
        <w:t xml:space="preserve"> </w:t>
      </w:r>
      <w:r w:rsidRPr="00087ED5">
        <w:rPr>
          <w:rFonts w:cs="Arial"/>
          <w:rtl/>
        </w:rPr>
        <w:t xml:space="preserve">כלומר אם יש בו ספק אם הוא דבר חשוב או לא </w:t>
      </w:r>
      <w:r w:rsidRPr="00087ED5">
        <w:rPr>
          <w:rFonts w:cs="Arial" w:hint="cs"/>
          <w:sz w:val="16"/>
          <w:szCs w:val="16"/>
          <w:rtl/>
        </w:rPr>
        <w:t>(</w:t>
      </w:r>
      <w:r w:rsidRPr="00087ED5">
        <w:rPr>
          <w:rFonts w:cs="Arial"/>
          <w:sz w:val="16"/>
          <w:szCs w:val="16"/>
          <w:rtl/>
        </w:rPr>
        <w:t>וכ"כ האו"ה שם וכ"כ הרב לעיל ר"ס ק"א</w:t>
      </w:r>
      <w:r>
        <w:rPr>
          <w:rFonts w:cs="Arial" w:hint="cs"/>
          <w:sz w:val="16"/>
          <w:szCs w:val="16"/>
          <w:rtl/>
        </w:rPr>
        <w:t>)</w:t>
      </w:r>
      <w:r>
        <w:rPr>
          <w:rFonts w:cs="Arial" w:hint="cs"/>
          <w:rtl/>
        </w:rPr>
        <w:t>,</w:t>
      </w:r>
      <w:r w:rsidRPr="00087ED5">
        <w:rPr>
          <w:rFonts w:cs="Arial"/>
          <w:rtl/>
        </w:rPr>
        <w:t xml:space="preserve"> אבל שאר ספיקות אשכחן דאזלינן לחומרא כמו שיתבאר בסימן זה בכמה דוכתי</w:t>
      </w:r>
      <w:r>
        <w:rPr>
          <w:rFonts w:hint="cs"/>
          <w:rtl/>
        </w:rPr>
        <w:t>, ש"ך (סק"י).</w:t>
      </w:r>
    </w:p>
  </w:footnote>
  <w:footnote w:id="2445">
    <w:p w14:paraId="2E9005F8" w14:textId="77777777" w:rsidR="004C5A3C" w:rsidRPr="004A56B9" w:rsidRDefault="004C5A3C" w:rsidP="002C39F4">
      <w:pPr>
        <w:pStyle w:val="a5"/>
      </w:pPr>
      <w:r w:rsidRPr="004A56B9">
        <w:rPr>
          <w:rStyle w:val="a7"/>
        </w:rPr>
        <w:footnoteRef/>
      </w:r>
      <w:r w:rsidRPr="004A56B9">
        <w:rPr>
          <w:rtl/>
        </w:rPr>
        <w:t xml:space="preserve"> </w:t>
      </w:r>
      <w:r w:rsidRPr="004A56B9">
        <w:rPr>
          <w:rFonts w:asciiTheme="minorBidi" w:hAnsiTheme="minorBidi"/>
          <w:rtl/>
        </w:rPr>
        <w:t>ארוך כלל כ"ה והרמב"ם פט"ז דמאכלות אסורות ותוספות דזבחים סוף דף ע"ג ואגודה שם ורא"ש פרק ג"ה ורשב"א בת"ה ונ"י פ' הערל ועוד הרבה פוסקים כמו שיתבאר בסי' זה בכמה דוכתי</w:t>
      </w:r>
      <w:r w:rsidRPr="004A56B9">
        <w:rPr>
          <w:rFonts w:asciiTheme="minorBidi" w:hAnsiTheme="minorBidi" w:hint="cs"/>
          <w:rtl/>
        </w:rPr>
        <w:t>, ציונים לרמ"א.</w:t>
      </w:r>
    </w:p>
  </w:footnote>
  <w:footnote w:id="2446">
    <w:p w14:paraId="6641C545" w14:textId="77777777" w:rsidR="004C5A3C" w:rsidRDefault="004C5A3C" w:rsidP="002C39F4">
      <w:pPr>
        <w:pStyle w:val="a5"/>
        <w:rPr>
          <w:rtl/>
        </w:rPr>
      </w:pPr>
      <w:r>
        <w:rPr>
          <w:rStyle w:val="a7"/>
        </w:rPr>
        <w:footnoteRef/>
      </w:r>
      <w:r>
        <w:rPr>
          <w:rtl/>
        </w:rPr>
        <w:t xml:space="preserve"> </w:t>
      </w:r>
      <w:r w:rsidRPr="007C1C62">
        <w:rPr>
          <w:rFonts w:cs="Arial"/>
          <w:rtl/>
        </w:rPr>
        <w:t>וכן חתיכה שנחתכה לאחר שנתערבה בטלה כדפרישית לעי</w:t>
      </w:r>
      <w:r w:rsidRPr="007C1C62">
        <w:rPr>
          <w:rFonts w:cs="Arial" w:hint="cs"/>
          <w:rtl/>
        </w:rPr>
        <w:t>ל</w:t>
      </w:r>
      <w:r>
        <w:rPr>
          <w:rFonts w:hint="cs"/>
          <w:rtl/>
        </w:rPr>
        <w:t>, טור.</w:t>
      </w:r>
    </w:p>
  </w:footnote>
  <w:footnote w:id="2447">
    <w:p w14:paraId="0439E187" w14:textId="77777777" w:rsidR="004C5A3C" w:rsidRDefault="004C5A3C" w:rsidP="002C39F4">
      <w:pPr>
        <w:pStyle w:val="a5"/>
        <w:rPr>
          <w:rtl/>
        </w:rPr>
      </w:pPr>
      <w:r>
        <w:rPr>
          <w:rStyle w:val="a7"/>
        </w:rPr>
        <w:footnoteRef/>
      </w:r>
      <w:r>
        <w:rPr>
          <w:rtl/>
        </w:rPr>
        <w:t xml:space="preserve"> </w:t>
      </w:r>
      <w:r w:rsidRPr="007C1C62">
        <w:rPr>
          <w:rFonts w:cs="Arial"/>
          <w:rtl/>
        </w:rPr>
        <w:t>וא"ת היכי קאמר דכשנשחטו בטל חשיבותן דהא אע</w:t>
      </w:r>
      <w:r w:rsidRPr="007C1C62">
        <w:rPr>
          <w:rFonts w:cs="Arial" w:hint="cs"/>
          <w:rtl/>
        </w:rPr>
        <w:t>"</w:t>
      </w:r>
      <w:r w:rsidRPr="007C1C62">
        <w:rPr>
          <w:rFonts w:cs="Arial"/>
          <w:rtl/>
        </w:rPr>
        <w:t>ג דבטל מינייהו חשיבות ב</w:t>
      </w:r>
      <w:r>
        <w:rPr>
          <w:rFonts w:cs="Arial" w:hint="cs"/>
          <w:rtl/>
        </w:rPr>
        <w:t>ע</w:t>
      </w:r>
      <w:r w:rsidRPr="007C1C62">
        <w:rPr>
          <w:rFonts w:cs="Arial"/>
          <w:rtl/>
        </w:rPr>
        <w:t>"ח אכתי אית בהו חשיבות חתיכה הראויה להתכבד</w:t>
      </w:r>
      <w:r w:rsidRPr="007C1C62">
        <w:rPr>
          <w:rFonts w:cs="Arial" w:hint="cs"/>
          <w:rtl/>
        </w:rPr>
        <w:t>,</w:t>
      </w:r>
      <w:r w:rsidRPr="007C1C62">
        <w:rPr>
          <w:rFonts w:cs="Arial"/>
          <w:rtl/>
        </w:rPr>
        <w:t xml:space="preserve"> וי"ל דהרשב"א לטעמיה דסבר דכבש שלם לא חשיב ראוי להתכבד כמו שנתבאר בסי</w:t>
      </w:r>
      <w:r w:rsidRPr="007C1C62">
        <w:rPr>
          <w:rFonts w:cs="Arial" w:hint="cs"/>
          <w:rtl/>
        </w:rPr>
        <w:t>'</w:t>
      </w:r>
      <w:r w:rsidRPr="007C1C62">
        <w:rPr>
          <w:rFonts w:cs="Arial"/>
          <w:rtl/>
        </w:rPr>
        <w:t xml:space="preserve"> קא</w:t>
      </w:r>
      <w:r w:rsidRPr="007C1C62">
        <w:rPr>
          <w:rFonts w:cs="Arial"/>
          <w:sz w:val="16"/>
          <w:szCs w:val="16"/>
          <w:rtl/>
        </w:rPr>
        <w:t xml:space="preserve"> (קס: ד"ה ובענין חתיכה)</w:t>
      </w:r>
      <w:r w:rsidRPr="007C1C62">
        <w:rPr>
          <w:rFonts w:cs="Arial" w:hint="cs"/>
          <w:rtl/>
        </w:rPr>
        <w:t>,</w:t>
      </w:r>
      <w:r w:rsidRPr="007C1C62">
        <w:rPr>
          <w:rFonts w:cs="Arial"/>
          <w:rtl/>
        </w:rPr>
        <w:t xml:space="preserve"> וכבר כ</w:t>
      </w:r>
      <w:r>
        <w:rPr>
          <w:rFonts w:cs="Arial" w:hint="cs"/>
          <w:rtl/>
        </w:rPr>
        <w:t>תב</w:t>
      </w:r>
      <w:r w:rsidRPr="007C1C62">
        <w:rPr>
          <w:rFonts w:cs="Arial"/>
          <w:rtl/>
        </w:rPr>
        <w:t xml:space="preserve"> שם רבינו שהרא"ש חולק בזה ולפי דעתו אע"פ שנשחטו לא בטלו עד שיחתכו לחתיכות שאינן ראויות להתכבד</w:t>
      </w:r>
      <w:r w:rsidRPr="007C1C62">
        <w:rPr>
          <w:rFonts w:cs="Arial" w:hint="cs"/>
          <w:rtl/>
        </w:rPr>
        <w:t>,</w:t>
      </w:r>
      <w:r w:rsidRPr="007C1C62">
        <w:rPr>
          <w:rFonts w:cs="Arial"/>
          <w:rtl/>
        </w:rPr>
        <w:t xml:space="preserve"> ויש לתמוה על רבינו שסתם וכתב שאם נשחטו בטל חשיבותן דמשמע שאע"פ שהם שלימים בטלים ובסימן ק"א פסק כהרא"ש דכבש שלם חשיב ראוי להתכבד</w:t>
      </w:r>
      <w:r>
        <w:rPr>
          <w:rFonts w:cs="Arial" w:hint="cs"/>
          <w:rtl/>
        </w:rPr>
        <w:t>, ב"י</w:t>
      </w:r>
      <w:r w:rsidRPr="007C1C62">
        <w:rPr>
          <w:rFonts w:cs="Arial" w:hint="cs"/>
          <w:rtl/>
        </w:rPr>
        <w:t>.</w:t>
      </w:r>
      <w:r w:rsidRPr="00191CEC">
        <w:rPr>
          <w:rtl/>
        </w:rPr>
        <w:t xml:space="preserve"> </w:t>
      </w:r>
      <w:r>
        <w:rPr>
          <w:rFonts w:cs="Arial" w:hint="cs"/>
          <w:rtl/>
        </w:rPr>
        <w:t>וכ' הדרכ"מ</w:t>
      </w:r>
      <w:r w:rsidRPr="00191CEC">
        <w:rPr>
          <w:rFonts w:cs="Arial" w:hint="cs"/>
          <w:sz w:val="16"/>
          <w:szCs w:val="16"/>
          <w:rtl/>
        </w:rPr>
        <w:t xml:space="preserve"> </w:t>
      </w:r>
      <w:r w:rsidRPr="00191CEC">
        <w:rPr>
          <w:rFonts w:cs="Arial"/>
          <w:sz w:val="16"/>
          <w:szCs w:val="16"/>
          <w:rtl/>
        </w:rPr>
        <w:t>(</w:t>
      </w:r>
      <w:r w:rsidRPr="00191CEC">
        <w:rPr>
          <w:rFonts w:cs="Arial" w:hint="cs"/>
          <w:sz w:val="16"/>
          <w:szCs w:val="16"/>
          <w:rtl/>
        </w:rPr>
        <w:t xml:space="preserve">אות </w:t>
      </w:r>
      <w:r w:rsidRPr="00191CEC">
        <w:rPr>
          <w:rFonts w:cs="Arial"/>
          <w:sz w:val="16"/>
          <w:szCs w:val="16"/>
          <w:rtl/>
        </w:rPr>
        <w:t xml:space="preserve">ג) </w:t>
      </w:r>
      <w:r>
        <w:rPr>
          <w:rFonts w:cs="Arial" w:hint="cs"/>
          <w:rtl/>
        </w:rPr>
        <w:t>שה</w:t>
      </w:r>
      <w:r>
        <w:rPr>
          <w:rFonts w:cs="Arial"/>
          <w:rtl/>
        </w:rPr>
        <w:t>או"ה</w:t>
      </w:r>
      <w:r w:rsidRPr="00191CEC">
        <w:rPr>
          <w:rFonts w:cs="Arial"/>
          <w:sz w:val="16"/>
          <w:szCs w:val="16"/>
          <w:rtl/>
        </w:rPr>
        <w:t xml:space="preserve"> </w:t>
      </w:r>
      <w:r w:rsidRPr="00191CEC">
        <w:rPr>
          <w:rFonts w:cs="Arial" w:hint="cs"/>
          <w:sz w:val="16"/>
          <w:szCs w:val="16"/>
          <w:rtl/>
        </w:rPr>
        <w:t>(</w:t>
      </w:r>
      <w:r w:rsidRPr="00191CEC">
        <w:rPr>
          <w:rFonts w:cs="Arial"/>
          <w:sz w:val="16"/>
          <w:szCs w:val="16"/>
          <w:rtl/>
        </w:rPr>
        <w:t>כלל כה</w:t>
      </w:r>
      <w:r w:rsidRPr="00191CEC">
        <w:rPr>
          <w:rFonts w:cs="Arial" w:hint="cs"/>
          <w:sz w:val="16"/>
          <w:szCs w:val="16"/>
          <w:rtl/>
        </w:rPr>
        <w:t>,</w:t>
      </w:r>
      <w:r w:rsidRPr="00191CEC">
        <w:rPr>
          <w:rFonts w:cs="Arial"/>
          <w:sz w:val="16"/>
          <w:szCs w:val="16"/>
          <w:rtl/>
        </w:rPr>
        <w:t xml:space="preserve"> ע</w:t>
      </w:r>
      <w:r w:rsidRPr="00191CEC">
        <w:rPr>
          <w:rFonts w:cs="Arial" w:hint="cs"/>
          <w:sz w:val="16"/>
          <w:szCs w:val="16"/>
          <w:rtl/>
        </w:rPr>
        <w:t>"</w:t>
      </w:r>
      <w:r w:rsidRPr="00191CEC">
        <w:rPr>
          <w:rFonts w:cs="Arial"/>
          <w:sz w:val="16"/>
          <w:szCs w:val="16"/>
          <w:rtl/>
        </w:rPr>
        <w:t>ש סוף דין ה)</w:t>
      </w:r>
      <w:r w:rsidRPr="00191CEC">
        <w:rPr>
          <w:rFonts w:cs="Arial"/>
          <w:rtl/>
        </w:rPr>
        <w:t xml:space="preserve"> כ</w:t>
      </w:r>
      <w:r>
        <w:rPr>
          <w:rFonts w:cs="Arial" w:hint="cs"/>
          <w:rtl/>
        </w:rPr>
        <w:t>'</w:t>
      </w:r>
      <w:r w:rsidRPr="00191CEC">
        <w:rPr>
          <w:rFonts w:cs="Arial"/>
          <w:rtl/>
        </w:rPr>
        <w:t xml:space="preserve"> דמיירי כאן בבע</w:t>
      </w:r>
      <w:r>
        <w:rPr>
          <w:rFonts w:cs="Arial" w:hint="cs"/>
          <w:rtl/>
        </w:rPr>
        <w:t>"</w:t>
      </w:r>
      <w:r w:rsidRPr="00191CEC">
        <w:rPr>
          <w:rFonts w:cs="Arial"/>
          <w:rtl/>
        </w:rPr>
        <w:t>ח קטנים שלאחר שנשחטו אינן ראוים להתכבד</w:t>
      </w:r>
      <w:r>
        <w:rPr>
          <w:rFonts w:cs="Arial" w:hint="cs"/>
          <w:rtl/>
        </w:rPr>
        <w:t>.</w:t>
      </w:r>
    </w:p>
  </w:footnote>
  <w:footnote w:id="2448">
    <w:p w14:paraId="3B8DBC61" w14:textId="77777777" w:rsidR="004C5A3C" w:rsidRDefault="004C5A3C" w:rsidP="002C39F4">
      <w:pPr>
        <w:pStyle w:val="a5"/>
        <w:rPr>
          <w:rtl/>
        </w:rPr>
      </w:pPr>
      <w:r>
        <w:rPr>
          <w:rStyle w:val="a7"/>
        </w:rPr>
        <w:footnoteRef/>
      </w:r>
      <w:r>
        <w:rPr>
          <w:rtl/>
        </w:rPr>
        <w:t xml:space="preserve"> </w:t>
      </w:r>
      <w:r w:rsidRPr="00AA6E98">
        <w:rPr>
          <w:rFonts w:cs="Arial"/>
          <w:rtl/>
        </w:rPr>
        <w:t>דוקא נשחטו אחר שנתערבו בעינן נשחטו בשוגג אבל נשחטו קודם שנתערבו אפי' במזיד בטלים וק"ל</w:t>
      </w:r>
      <w:r>
        <w:rPr>
          <w:rFonts w:hint="cs"/>
          <w:rtl/>
        </w:rPr>
        <w:t>, ש"ך (סקי"ג).</w:t>
      </w:r>
    </w:p>
  </w:footnote>
  <w:footnote w:id="2449">
    <w:p w14:paraId="4780A1E4" w14:textId="77777777" w:rsidR="004C5A3C" w:rsidRDefault="004C5A3C" w:rsidP="002C39F4">
      <w:pPr>
        <w:pStyle w:val="a5"/>
        <w:rPr>
          <w:rtl/>
        </w:rPr>
      </w:pPr>
      <w:r>
        <w:rPr>
          <w:rStyle w:val="a7"/>
        </w:rPr>
        <w:footnoteRef/>
      </w:r>
      <w:r>
        <w:rPr>
          <w:rtl/>
        </w:rPr>
        <w:t xml:space="preserve"> </w:t>
      </w:r>
      <w:r w:rsidRPr="00AA6E98">
        <w:rPr>
          <w:rFonts w:cs="Arial"/>
          <w:rtl/>
        </w:rPr>
        <w:t>אפילו אחר שנודע התערובות כמו שנתבאר בסי</w:t>
      </w:r>
      <w:r>
        <w:rPr>
          <w:rFonts w:cs="Arial" w:hint="cs"/>
          <w:rtl/>
        </w:rPr>
        <w:t xml:space="preserve">' </w:t>
      </w:r>
      <w:r w:rsidRPr="00AA6E98">
        <w:rPr>
          <w:rFonts w:cs="Arial"/>
          <w:rtl/>
        </w:rPr>
        <w:t>קא ס"ו וע"ש</w:t>
      </w:r>
      <w:r>
        <w:rPr>
          <w:rFonts w:cs="Arial" w:hint="cs"/>
          <w:rtl/>
        </w:rPr>
        <w:t>,</w:t>
      </w:r>
      <w:r w:rsidRPr="00AA6E98">
        <w:rPr>
          <w:rFonts w:cs="Arial"/>
          <w:rtl/>
        </w:rPr>
        <w:t xml:space="preserve"> ועיין בסי</w:t>
      </w:r>
      <w:r>
        <w:rPr>
          <w:rFonts w:cs="Arial" w:hint="cs"/>
          <w:rtl/>
        </w:rPr>
        <w:t>'</w:t>
      </w:r>
      <w:r w:rsidRPr="00AA6E98">
        <w:rPr>
          <w:rFonts w:cs="Arial"/>
          <w:rtl/>
        </w:rPr>
        <w:t xml:space="preserve"> צט סקט"ו</w:t>
      </w:r>
      <w:r>
        <w:rPr>
          <w:rFonts w:cs="Arial" w:hint="cs"/>
          <w:rtl/>
        </w:rPr>
        <w:t>, ש"ך (סקי"ד).</w:t>
      </w:r>
    </w:p>
  </w:footnote>
  <w:footnote w:id="2450">
    <w:p w14:paraId="2CCF7AB3" w14:textId="77777777" w:rsidR="004C5A3C" w:rsidRDefault="004C5A3C" w:rsidP="002C39F4">
      <w:pPr>
        <w:pStyle w:val="a5"/>
        <w:rPr>
          <w:rtl/>
        </w:rPr>
      </w:pPr>
      <w:r>
        <w:rPr>
          <w:rStyle w:val="a7"/>
        </w:rPr>
        <w:footnoteRef/>
      </w:r>
      <w:r>
        <w:rPr>
          <w:rtl/>
        </w:rPr>
        <w:t xml:space="preserve"> </w:t>
      </w:r>
      <w:r w:rsidRPr="00AE5FD4">
        <w:rPr>
          <w:rFonts w:hint="cs"/>
          <w:u w:val="single"/>
          <w:rtl/>
        </w:rPr>
        <w:t>וקשה</w:t>
      </w:r>
      <w:r>
        <w:rPr>
          <w:rFonts w:hint="cs"/>
          <w:u w:val="single"/>
          <w:rtl/>
        </w:rPr>
        <w:t>,</w:t>
      </w:r>
      <w:r w:rsidRPr="00AE5FD4">
        <w:rPr>
          <w:rFonts w:hint="cs"/>
          <w:u w:val="single"/>
          <w:rtl/>
        </w:rPr>
        <w:t xml:space="preserve"> דהרי בסי' קא סע' פסק דאפילו תרנגולת בנוצתה בטילה:</w:t>
      </w:r>
      <w:r>
        <w:rPr>
          <w:rFonts w:hint="cs"/>
          <w:rtl/>
        </w:rPr>
        <w:t xml:space="preserve"> </w:t>
      </w:r>
    </w:p>
    <w:p w14:paraId="2EA2FAD2" w14:textId="77777777" w:rsidR="004C5A3C" w:rsidRDefault="004C5A3C" w:rsidP="0032102C">
      <w:pPr>
        <w:pStyle w:val="a5"/>
        <w:numPr>
          <w:ilvl w:val="0"/>
          <w:numId w:val="250"/>
        </w:numPr>
      </w:pPr>
      <w:r>
        <w:rPr>
          <w:rFonts w:hint="cs"/>
          <w:rtl/>
        </w:rPr>
        <w:t>ב"ח- דבריו סותרים זה את זה.</w:t>
      </w:r>
    </w:p>
    <w:p w14:paraId="3D7D234E" w14:textId="77777777" w:rsidR="004C5A3C" w:rsidRDefault="004C5A3C" w:rsidP="0032102C">
      <w:pPr>
        <w:pStyle w:val="a5"/>
        <w:numPr>
          <w:ilvl w:val="0"/>
          <w:numId w:val="250"/>
        </w:numPr>
      </w:pPr>
      <w:r>
        <w:rPr>
          <w:rFonts w:cs="Arial" w:hint="cs"/>
          <w:rtl/>
        </w:rPr>
        <w:t xml:space="preserve">ש"ך </w:t>
      </w:r>
      <w:r w:rsidRPr="007E4796">
        <w:rPr>
          <w:rFonts w:cs="Arial" w:hint="cs"/>
          <w:sz w:val="14"/>
          <w:szCs w:val="14"/>
          <w:rtl/>
        </w:rPr>
        <w:t>(סקי"ג)</w:t>
      </w:r>
      <w:r>
        <w:rPr>
          <w:rFonts w:cs="Arial" w:hint="cs"/>
          <w:rtl/>
        </w:rPr>
        <w:t>- דבריו לא קשים זה על זה</w:t>
      </w:r>
      <w:r w:rsidRPr="00AE5FD4">
        <w:rPr>
          <w:rFonts w:cs="Arial"/>
          <w:rtl/>
        </w:rPr>
        <w:t xml:space="preserve"> </w:t>
      </w:r>
      <w:r>
        <w:rPr>
          <w:rFonts w:cs="Arial" w:hint="cs"/>
          <w:rtl/>
        </w:rPr>
        <w:t xml:space="preserve">דהרי </w:t>
      </w:r>
      <w:r w:rsidRPr="00AE5FD4">
        <w:rPr>
          <w:rFonts w:cs="Arial"/>
          <w:rtl/>
        </w:rPr>
        <w:t>בת"</w:t>
      </w:r>
      <w:r>
        <w:rPr>
          <w:rFonts w:cs="Arial" w:hint="cs"/>
          <w:rtl/>
        </w:rPr>
        <w:t>ח</w:t>
      </w:r>
      <w:r w:rsidRPr="007E4796">
        <w:rPr>
          <w:rFonts w:cs="Arial"/>
          <w:sz w:val="16"/>
          <w:szCs w:val="16"/>
          <w:rtl/>
        </w:rPr>
        <w:t xml:space="preserve"> </w:t>
      </w:r>
      <w:r w:rsidRPr="007E4796">
        <w:rPr>
          <w:rFonts w:cs="Arial" w:hint="cs"/>
          <w:sz w:val="16"/>
          <w:szCs w:val="16"/>
          <w:rtl/>
        </w:rPr>
        <w:t>(</w:t>
      </w:r>
      <w:r w:rsidRPr="007E4796">
        <w:rPr>
          <w:rFonts w:cs="Arial"/>
          <w:sz w:val="16"/>
          <w:szCs w:val="16"/>
          <w:rtl/>
        </w:rPr>
        <w:t>כלל מב סוף ד</w:t>
      </w:r>
      <w:r w:rsidRPr="007E4796">
        <w:rPr>
          <w:rFonts w:cs="Arial" w:hint="cs"/>
          <w:sz w:val="16"/>
          <w:szCs w:val="16"/>
          <w:rtl/>
        </w:rPr>
        <w:t>"</w:t>
      </w:r>
      <w:r w:rsidRPr="007E4796">
        <w:rPr>
          <w:rFonts w:cs="Arial"/>
          <w:sz w:val="16"/>
          <w:szCs w:val="16"/>
          <w:rtl/>
        </w:rPr>
        <w:t>ג</w:t>
      </w:r>
      <w:r w:rsidRPr="007E4796">
        <w:rPr>
          <w:rFonts w:cs="Arial" w:hint="cs"/>
          <w:sz w:val="16"/>
          <w:szCs w:val="16"/>
          <w:rtl/>
        </w:rPr>
        <w:t xml:space="preserve">) </w:t>
      </w:r>
      <w:r>
        <w:rPr>
          <w:rFonts w:cs="Arial" w:hint="cs"/>
          <w:rtl/>
        </w:rPr>
        <w:t>כתב</w:t>
      </w:r>
      <w:r w:rsidRPr="00AE5FD4">
        <w:rPr>
          <w:rFonts w:cs="Arial"/>
          <w:rtl/>
        </w:rPr>
        <w:t xml:space="preserve"> דהא דכבש בעורו וצמרו בטל היינו דוקא משום חה"ל </w:t>
      </w:r>
      <w:r w:rsidRPr="007E4796">
        <w:rPr>
          <w:rFonts w:cs="Arial"/>
          <w:sz w:val="16"/>
          <w:szCs w:val="16"/>
          <w:rtl/>
        </w:rPr>
        <w:t>(ר"ל משום דצריך תיקון גדול ומחוסר מעשה גדול לכשתהיה ראויה להתכבד)</w:t>
      </w:r>
      <w:r w:rsidRPr="00AE5FD4">
        <w:rPr>
          <w:rFonts w:cs="Arial"/>
          <w:rtl/>
        </w:rPr>
        <w:t xml:space="preserve"> אבל מ"מ אינו בטל מטעם דבר שבמנין </w:t>
      </w:r>
      <w:r w:rsidRPr="007E4796">
        <w:rPr>
          <w:rFonts w:cs="Arial"/>
          <w:sz w:val="16"/>
          <w:szCs w:val="16"/>
          <w:rtl/>
        </w:rPr>
        <w:t>(כיון דחשוב הוא דלענין דבר שבמנין לא איכפת במאי דמחוסר מעשה</w:t>
      </w:r>
      <w:r>
        <w:rPr>
          <w:rFonts w:cs="Arial" w:hint="cs"/>
          <w:sz w:val="16"/>
          <w:szCs w:val="16"/>
          <w:rtl/>
        </w:rPr>
        <w:t>)</w:t>
      </w:r>
      <w:r w:rsidRPr="00AE5FD4">
        <w:rPr>
          <w:rFonts w:cs="Arial"/>
          <w:rtl/>
        </w:rPr>
        <w:t xml:space="preserve"> כדלקמן כלל מ"ב </w:t>
      </w:r>
      <w:r w:rsidRPr="007E4796">
        <w:rPr>
          <w:rFonts w:cs="Arial"/>
          <w:sz w:val="16"/>
          <w:szCs w:val="16"/>
          <w:rtl/>
        </w:rPr>
        <w:t xml:space="preserve">(ונ"מ אם הוא במקום שאין מוכרים אותו במנין בטל) </w:t>
      </w:r>
      <w:r w:rsidRPr="00AE5FD4">
        <w:rPr>
          <w:rFonts w:cs="Arial"/>
          <w:rtl/>
        </w:rPr>
        <w:t>עכ"ל</w:t>
      </w:r>
      <w:r>
        <w:rPr>
          <w:rFonts w:cs="Arial" w:hint="cs"/>
          <w:rtl/>
        </w:rPr>
        <w:t>,</w:t>
      </w:r>
      <w:r w:rsidRPr="00AE5FD4">
        <w:rPr>
          <w:rFonts w:cs="Arial"/>
          <w:rtl/>
        </w:rPr>
        <w:t xml:space="preserve"> וכ"כ בסוף כלל מב דוקא ב</w:t>
      </w:r>
      <w:r>
        <w:rPr>
          <w:rFonts w:cs="Arial" w:hint="cs"/>
          <w:rtl/>
        </w:rPr>
        <w:t>ע</w:t>
      </w:r>
      <w:r w:rsidRPr="00AE5FD4">
        <w:rPr>
          <w:rFonts w:cs="Arial"/>
          <w:rtl/>
        </w:rPr>
        <w:t xml:space="preserve">"ח קטנים שלאחר שנשחטו בטל חשיבותן ולא הוי אח"כ חתיכה הראויה להתכבד או דבר שבמנין כו' </w:t>
      </w:r>
      <w:r w:rsidRPr="007E4796">
        <w:rPr>
          <w:rFonts w:cs="Arial" w:hint="cs"/>
          <w:sz w:val="16"/>
          <w:szCs w:val="16"/>
          <w:rtl/>
        </w:rPr>
        <w:t>(</w:t>
      </w:r>
      <w:r w:rsidRPr="007E4796">
        <w:rPr>
          <w:rFonts w:cs="Arial"/>
          <w:sz w:val="16"/>
          <w:szCs w:val="16"/>
          <w:rtl/>
        </w:rPr>
        <w:t>לזה כתב כאן ודוקא ב</w:t>
      </w:r>
      <w:r w:rsidRPr="007E4796">
        <w:rPr>
          <w:rFonts w:cs="Arial" w:hint="cs"/>
          <w:sz w:val="16"/>
          <w:szCs w:val="16"/>
          <w:rtl/>
        </w:rPr>
        <w:t>ע</w:t>
      </w:r>
      <w:r w:rsidRPr="007E4796">
        <w:rPr>
          <w:rFonts w:cs="Arial"/>
          <w:sz w:val="16"/>
          <w:szCs w:val="16"/>
          <w:rtl/>
        </w:rPr>
        <w:t>"ח קטנים שאינן ראוין להתכבד</w:t>
      </w:r>
      <w:r w:rsidRPr="007E4796">
        <w:rPr>
          <w:rFonts w:cs="Arial" w:hint="cs"/>
          <w:sz w:val="16"/>
          <w:szCs w:val="16"/>
          <w:rtl/>
        </w:rPr>
        <w:t>,</w:t>
      </w:r>
      <w:r w:rsidRPr="007E4796">
        <w:rPr>
          <w:rFonts w:cs="Arial"/>
          <w:sz w:val="16"/>
          <w:szCs w:val="16"/>
          <w:rtl/>
        </w:rPr>
        <w:t xml:space="preserve"> ר"ל לא חשיבי וא"כ לא הוה דבר שבמנין</w:t>
      </w:r>
      <w:r w:rsidRPr="007E4796">
        <w:rPr>
          <w:rFonts w:cs="Arial" w:hint="cs"/>
          <w:sz w:val="16"/>
          <w:szCs w:val="16"/>
          <w:rtl/>
        </w:rPr>
        <w:t>,</w:t>
      </w:r>
      <w:r w:rsidRPr="007E4796">
        <w:rPr>
          <w:rFonts w:cs="Arial"/>
          <w:sz w:val="16"/>
          <w:szCs w:val="16"/>
          <w:rtl/>
        </w:rPr>
        <w:t xml:space="preserve"> ולעיל סי' ק"א לא כתב דבטל אלא מטעם חה"ל וזה ברור</w:t>
      </w:r>
      <w:r w:rsidRPr="007E4796">
        <w:rPr>
          <w:rFonts w:cs="Arial" w:hint="cs"/>
          <w:sz w:val="16"/>
          <w:szCs w:val="16"/>
          <w:rtl/>
        </w:rPr>
        <w:t>,</w:t>
      </w:r>
      <w:r w:rsidRPr="007E4796">
        <w:rPr>
          <w:rFonts w:cs="Arial"/>
          <w:sz w:val="16"/>
          <w:szCs w:val="16"/>
          <w:rtl/>
        </w:rPr>
        <w:t xml:space="preserve"> ומ"מ לענין דינא ע"ל סי</w:t>
      </w:r>
      <w:r w:rsidRPr="007E4796">
        <w:rPr>
          <w:rFonts w:cs="Arial" w:hint="cs"/>
          <w:sz w:val="16"/>
          <w:szCs w:val="16"/>
          <w:rtl/>
        </w:rPr>
        <w:t>'</w:t>
      </w:r>
      <w:r w:rsidRPr="007E4796">
        <w:rPr>
          <w:rFonts w:cs="Arial"/>
          <w:sz w:val="16"/>
          <w:szCs w:val="16"/>
          <w:rtl/>
        </w:rPr>
        <w:t xml:space="preserve"> קח סק</w:t>
      </w:r>
      <w:r w:rsidRPr="007E4796">
        <w:rPr>
          <w:rFonts w:cs="Arial" w:hint="cs"/>
          <w:sz w:val="16"/>
          <w:szCs w:val="16"/>
          <w:rtl/>
        </w:rPr>
        <w:t>"ז</w:t>
      </w:r>
      <w:r>
        <w:rPr>
          <w:rFonts w:cs="Arial" w:hint="cs"/>
          <w:sz w:val="16"/>
          <w:szCs w:val="16"/>
          <w:rtl/>
        </w:rPr>
        <w:t>)</w:t>
      </w:r>
      <w:r>
        <w:rPr>
          <w:rFonts w:cs="Arial" w:hint="cs"/>
          <w:rtl/>
        </w:rPr>
        <w:t>.</w:t>
      </w:r>
    </w:p>
    <w:p w14:paraId="04C03916" w14:textId="77777777" w:rsidR="004C5A3C" w:rsidRPr="007E4796" w:rsidRDefault="004C5A3C" w:rsidP="0032102C">
      <w:pPr>
        <w:pStyle w:val="a5"/>
        <w:numPr>
          <w:ilvl w:val="0"/>
          <w:numId w:val="250"/>
        </w:numPr>
      </w:pPr>
      <w:r>
        <w:rPr>
          <w:rFonts w:hint="cs"/>
          <w:rtl/>
        </w:rPr>
        <w:t xml:space="preserve">ט"ז </w:t>
      </w:r>
      <w:r w:rsidRPr="007E4796">
        <w:rPr>
          <w:rFonts w:hint="cs"/>
          <w:sz w:val="14"/>
          <w:szCs w:val="14"/>
          <w:rtl/>
        </w:rPr>
        <w:t>(סק"ב)</w:t>
      </w:r>
      <w:r>
        <w:rPr>
          <w:rFonts w:hint="cs"/>
          <w:rtl/>
        </w:rPr>
        <w:t xml:space="preserve">- </w:t>
      </w:r>
      <w:r w:rsidRPr="007E4796">
        <w:rPr>
          <w:rFonts w:cs="Arial"/>
          <w:rtl/>
        </w:rPr>
        <w:t>הך קטנים דכאן צריך לומר כמו צפרים קטנים</w:t>
      </w:r>
      <w:r>
        <w:rPr>
          <w:rFonts w:cs="Arial" w:hint="cs"/>
          <w:rtl/>
        </w:rPr>
        <w:t>,</w:t>
      </w:r>
      <w:r w:rsidRPr="007E4796">
        <w:rPr>
          <w:rFonts w:cs="Arial"/>
          <w:rtl/>
        </w:rPr>
        <w:t xml:space="preserve"> ולא תרנגולת</w:t>
      </w:r>
      <w:r>
        <w:rPr>
          <w:rFonts w:cs="Arial" w:hint="cs"/>
          <w:rtl/>
        </w:rPr>
        <w:t>,</w:t>
      </w:r>
      <w:r w:rsidRPr="007E4796">
        <w:rPr>
          <w:rFonts w:cs="Arial"/>
          <w:rtl/>
        </w:rPr>
        <w:t xml:space="preserve"> דהא בתרנגולת כתב לעיל דאינה בטלה</w:t>
      </w:r>
      <w:r>
        <w:rPr>
          <w:rFonts w:cs="Arial" w:hint="cs"/>
          <w:rtl/>
        </w:rPr>
        <w:t>.</w:t>
      </w:r>
    </w:p>
    <w:p w14:paraId="5D5ABAFC" w14:textId="77777777" w:rsidR="004C5A3C" w:rsidRDefault="004C5A3C" w:rsidP="0032102C">
      <w:pPr>
        <w:pStyle w:val="a5"/>
        <w:numPr>
          <w:ilvl w:val="0"/>
          <w:numId w:val="250"/>
        </w:numPr>
      </w:pPr>
      <w:r w:rsidRPr="007E4796">
        <w:rPr>
          <w:rFonts w:cs="Arial"/>
          <w:rtl/>
        </w:rPr>
        <w:t xml:space="preserve">רש"ל </w:t>
      </w:r>
      <w:r w:rsidRPr="007E4796">
        <w:rPr>
          <w:rFonts w:cs="Arial" w:hint="cs"/>
          <w:sz w:val="14"/>
          <w:szCs w:val="14"/>
          <w:rtl/>
        </w:rPr>
        <w:t>(</w:t>
      </w:r>
      <w:r w:rsidRPr="007E4796">
        <w:rPr>
          <w:rFonts w:cs="Arial"/>
          <w:sz w:val="14"/>
          <w:szCs w:val="14"/>
          <w:rtl/>
        </w:rPr>
        <w:t>פג"ה סי</w:t>
      </w:r>
      <w:r w:rsidRPr="007E4796">
        <w:rPr>
          <w:rFonts w:cs="Arial" w:hint="cs"/>
          <w:sz w:val="14"/>
          <w:szCs w:val="14"/>
          <w:rtl/>
        </w:rPr>
        <w:t xml:space="preserve">' </w:t>
      </w:r>
      <w:r w:rsidRPr="007E4796">
        <w:rPr>
          <w:rFonts w:cs="Arial"/>
          <w:sz w:val="14"/>
          <w:szCs w:val="14"/>
          <w:rtl/>
        </w:rPr>
        <w:t>נא</w:t>
      </w:r>
      <w:r w:rsidRPr="007E4796">
        <w:rPr>
          <w:rFonts w:cs="Arial" w:hint="cs"/>
          <w:sz w:val="14"/>
          <w:szCs w:val="14"/>
          <w:rtl/>
        </w:rPr>
        <w:t>)</w:t>
      </w:r>
      <w:r>
        <w:rPr>
          <w:rFonts w:cs="Arial" w:hint="cs"/>
          <w:rtl/>
        </w:rPr>
        <w:t>-</w:t>
      </w:r>
      <w:r w:rsidRPr="007E4796">
        <w:rPr>
          <w:rFonts w:cs="Arial"/>
          <w:rtl/>
        </w:rPr>
        <w:t xml:space="preserve"> לעיל מיירי בכבש שהופשט והוא שלם עדיין אבל כאן מיירי שלא הופשט ממילא מחוסר מעשה גדול ודומה למה שפסק לעיל תרנגולת בנוצתה דבטילה וכל שכן כאן דכבש בצמרה הוה מחוסר מעשה גדול טפי. </w:t>
      </w:r>
      <w:r>
        <w:rPr>
          <w:rFonts w:cs="Arial" w:hint="cs"/>
          <w:sz w:val="16"/>
          <w:szCs w:val="16"/>
          <w:rtl/>
        </w:rPr>
        <w:t xml:space="preserve">(הביאו הט"ז וכ'- </w:t>
      </w:r>
      <w:r w:rsidRPr="007E4796">
        <w:rPr>
          <w:rFonts w:cs="Arial"/>
          <w:sz w:val="16"/>
          <w:szCs w:val="16"/>
          <w:rtl/>
        </w:rPr>
        <w:t>ולי נראה דחשיבות של בעל חי הוא חשיבות בפני עצמו דהיינו אם הוא דבר כחוש ואינו ראוי לאכילה ממילא אין לו חשיבות מצד חתיכה ראויה להתכבד כשנשחט רק כ"ז שהוא חי יש לו חשיבות מצד שהוא בעל חי ועל זה אמר הטור דכאן שהוא חשוב מצד בעל חי בטל חשיבותו כשנשחט אבל אם יש לו חשיבות מצד ראויה להתכבד זה כתבו כבר בסי' קא</w:t>
      </w:r>
      <w:r w:rsidRPr="007E4796">
        <w:rPr>
          <w:rFonts w:cs="Arial" w:hint="cs"/>
          <w:sz w:val="16"/>
          <w:szCs w:val="16"/>
          <w:rtl/>
        </w:rPr>
        <w:t>)</w:t>
      </w:r>
    </w:p>
  </w:footnote>
  <w:footnote w:id="2451">
    <w:p w14:paraId="7CC44603" w14:textId="77777777" w:rsidR="004C5A3C" w:rsidRDefault="004C5A3C" w:rsidP="002C39F4">
      <w:pPr>
        <w:pStyle w:val="a5"/>
        <w:rPr>
          <w:rtl/>
        </w:rPr>
      </w:pPr>
      <w:r>
        <w:rPr>
          <w:rStyle w:val="a7"/>
        </w:rPr>
        <w:footnoteRef/>
      </w:r>
      <w:r>
        <w:rPr>
          <w:rtl/>
        </w:rPr>
        <w:t xml:space="preserve"> </w:t>
      </w:r>
      <w:r>
        <w:rPr>
          <w:rFonts w:cs="Arial" w:hint="cs"/>
          <w:rtl/>
        </w:rPr>
        <w:t>וכן ב</w:t>
      </w:r>
      <w:r>
        <w:rPr>
          <w:rFonts w:cs="Arial"/>
          <w:rtl/>
        </w:rPr>
        <w:t xml:space="preserve">פסחים </w:t>
      </w:r>
      <w:r>
        <w:rPr>
          <w:rFonts w:cs="Arial" w:hint="cs"/>
          <w:rtl/>
        </w:rPr>
        <w:t>(</w:t>
      </w:r>
      <w:r>
        <w:rPr>
          <w:rFonts w:cs="Arial"/>
          <w:rtl/>
        </w:rPr>
        <w:t>ט:</w:t>
      </w:r>
      <w:r>
        <w:rPr>
          <w:rFonts w:cs="Arial" w:hint="cs"/>
          <w:rtl/>
        </w:rPr>
        <w:t>)</w:t>
      </w:r>
      <w:r>
        <w:rPr>
          <w:rFonts w:cs="Arial"/>
          <w:rtl/>
        </w:rPr>
        <w:t xml:space="preserve"> </w:t>
      </w:r>
      <w:r>
        <w:rPr>
          <w:rFonts w:cs="Arial" w:hint="cs"/>
          <w:rtl/>
        </w:rPr>
        <w:t>ב</w:t>
      </w:r>
      <w:r>
        <w:rPr>
          <w:rFonts w:cs="Arial"/>
          <w:rtl/>
        </w:rPr>
        <w:t xml:space="preserve">נדה </w:t>
      </w:r>
      <w:r>
        <w:rPr>
          <w:rFonts w:cs="Arial" w:hint="cs"/>
          <w:rtl/>
        </w:rPr>
        <w:t>(</w:t>
      </w:r>
      <w:r>
        <w:rPr>
          <w:rFonts w:cs="Arial"/>
          <w:rtl/>
        </w:rPr>
        <w:t>יח.</w:t>
      </w:r>
      <w:r>
        <w:rPr>
          <w:rFonts w:cs="Arial" w:hint="cs"/>
          <w:rtl/>
        </w:rPr>
        <w:t>)</w:t>
      </w:r>
      <w:r>
        <w:rPr>
          <w:rFonts w:cs="Arial"/>
          <w:rtl/>
        </w:rPr>
        <w:t xml:space="preserve"> </w:t>
      </w:r>
      <w:r>
        <w:rPr>
          <w:rFonts w:cs="Arial" w:hint="cs"/>
          <w:rtl/>
        </w:rPr>
        <w:t>וב</w:t>
      </w:r>
      <w:r>
        <w:rPr>
          <w:rFonts w:cs="Arial"/>
          <w:rtl/>
        </w:rPr>
        <w:t xml:space="preserve">כתובות </w:t>
      </w:r>
      <w:r>
        <w:rPr>
          <w:rFonts w:cs="Arial" w:hint="cs"/>
          <w:rtl/>
        </w:rPr>
        <w:t>(</w:t>
      </w:r>
      <w:r>
        <w:rPr>
          <w:rFonts w:cs="Arial"/>
          <w:rtl/>
        </w:rPr>
        <w:t>טו.)</w:t>
      </w:r>
      <w:r>
        <w:rPr>
          <w:rFonts w:cs="Arial" w:hint="cs"/>
          <w:rtl/>
        </w:rPr>
        <w:t>.</w:t>
      </w:r>
    </w:p>
  </w:footnote>
  <w:footnote w:id="2452">
    <w:p w14:paraId="10BED395" w14:textId="77777777" w:rsidR="004C5A3C" w:rsidRDefault="004C5A3C" w:rsidP="002C39F4">
      <w:pPr>
        <w:pStyle w:val="a5"/>
        <w:rPr>
          <w:rtl/>
        </w:rPr>
      </w:pPr>
      <w:r>
        <w:rPr>
          <w:rStyle w:val="a7"/>
        </w:rPr>
        <w:footnoteRef/>
      </w:r>
      <w:r>
        <w:rPr>
          <w:rtl/>
        </w:rPr>
        <w:t xml:space="preserve"> </w:t>
      </w:r>
      <w:r>
        <w:rPr>
          <w:rFonts w:cs="Arial"/>
          <w:rtl/>
        </w:rPr>
        <w:t>וכתבו התוס</w:t>
      </w:r>
      <w:r>
        <w:rPr>
          <w:rFonts w:cs="Arial" w:hint="cs"/>
          <w:rtl/>
        </w:rPr>
        <w:t>'</w:t>
      </w:r>
      <w:r>
        <w:rPr>
          <w:rFonts w:cs="Arial"/>
          <w:rtl/>
        </w:rPr>
        <w:t xml:space="preserve"> (ד"ה ספקו אסור) והרא"ש (פג"ה סי' כ) ספיקו אסור דכל קבוע כמחצה על מחצה דמי</w:t>
      </w:r>
      <w:r>
        <w:rPr>
          <w:rFonts w:cs="Arial" w:hint="cs"/>
          <w:rtl/>
        </w:rPr>
        <w:t>,</w:t>
      </w:r>
      <w:r>
        <w:rPr>
          <w:rFonts w:cs="Arial"/>
          <w:rtl/>
        </w:rPr>
        <w:t xml:space="preserve"> והא דקי"ל דדבר יבש חד בתרי בטיל היינו היכא שמעורב ואינו ניכר האיסור</w:t>
      </w:r>
      <w:r>
        <w:rPr>
          <w:rFonts w:cs="Arial" w:hint="cs"/>
          <w:rtl/>
        </w:rPr>
        <w:t>,</w:t>
      </w:r>
      <w:r>
        <w:rPr>
          <w:rFonts w:cs="Arial"/>
          <w:rtl/>
        </w:rPr>
        <w:t xml:space="preserve"> אבל כשהאיסור ניכר במקומו לא שייך ביה ביטול</w:t>
      </w:r>
      <w:r>
        <w:rPr>
          <w:rFonts w:cs="Arial" w:hint="cs"/>
          <w:rtl/>
        </w:rPr>
        <w:t>,</w:t>
      </w:r>
      <w:r>
        <w:rPr>
          <w:rFonts w:cs="Arial"/>
          <w:rtl/>
        </w:rPr>
        <w:t xml:space="preserve"> ובדבר המעורב נמי היכא דחשיב ולא בטיל אמרינן כל קבוע כמחצה על מחצה דמי</w:t>
      </w:r>
      <w:r>
        <w:rPr>
          <w:rFonts w:cs="Arial" w:hint="cs"/>
          <w:rtl/>
        </w:rPr>
        <w:t>,</w:t>
      </w:r>
      <w:r>
        <w:rPr>
          <w:rFonts w:cs="Arial"/>
          <w:rtl/>
        </w:rPr>
        <w:t xml:space="preserve"> כדאמרינן בפרק התערובות (זבחים עג.) גבי בעלי חיים דחשיבי ולא בטלי דפריך ונמשוך ונקריב חד מינייהו ונימא כל דפריש מרובא פריש ומשני משום דהו"ל קבוע</w:t>
      </w:r>
      <w:r>
        <w:rPr>
          <w:rFonts w:cs="Arial" w:hint="cs"/>
          <w:rtl/>
        </w:rPr>
        <w:t>,</w:t>
      </w:r>
      <w:r>
        <w:rPr>
          <w:rFonts w:cs="Arial"/>
          <w:rtl/>
        </w:rPr>
        <w:t xml:space="preserve"> וכתבו התוס</w:t>
      </w:r>
      <w:r>
        <w:rPr>
          <w:rFonts w:cs="Arial" w:hint="cs"/>
          <w:rtl/>
        </w:rPr>
        <w:t>'</w:t>
      </w:r>
      <w:r>
        <w:rPr>
          <w:rFonts w:cs="Arial"/>
          <w:rtl/>
        </w:rPr>
        <w:t xml:space="preserve"> (שם) עוד על זה ועיקר הטעם אינו משום קבוע אלא משום דבעלי חיים לא בטלי</w:t>
      </w:r>
      <w:r>
        <w:rPr>
          <w:rFonts w:cs="Arial" w:hint="cs"/>
          <w:rtl/>
        </w:rPr>
        <w:t>, ב"י.</w:t>
      </w:r>
    </w:p>
  </w:footnote>
  <w:footnote w:id="2453">
    <w:p w14:paraId="03C7C397" w14:textId="77777777" w:rsidR="004C5A3C" w:rsidRPr="00194730" w:rsidRDefault="004C5A3C" w:rsidP="002C39F4">
      <w:pPr>
        <w:pStyle w:val="a5"/>
        <w:rPr>
          <w:rFonts w:asciiTheme="minorBidi" w:hAnsiTheme="minorBidi"/>
        </w:rPr>
      </w:pPr>
      <w:r w:rsidRPr="00194730">
        <w:rPr>
          <w:rStyle w:val="a7"/>
          <w:rFonts w:asciiTheme="minorBidi" w:hAnsiTheme="minorBidi"/>
        </w:rPr>
        <w:footnoteRef/>
      </w:r>
      <w:r w:rsidRPr="00194730">
        <w:rPr>
          <w:rFonts w:asciiTheme="minorBidi" w:hAnsiTheme="minorBidi"/>
          <w:rtl/>
        </w:rPr>
        <w:t xml:space="preserve"> כתב הרשב"א (שם ל.) דהכי משמע מדאמרינן בפ"ק דפסחים (ט:) ט' צבורין של מצה ואחד של חמץ ואתא עכבר ושקל ולא ידעינן מהי שקל- היינו מתניתין דט' חנויות, פירש ואתא עכבר ושקל- היינו סיפא ובנמצא הלך אחר הרוב, וכ"כ הרא"ש בתשו' (כלל כ סי' יז) וכ"כ סמ"ג (לאוין קמ וקמא נב ע"ד) וסמ"ק (סי' ריד), ב"י.</w:t>
      </w:r>
    </w:p>
  </w:footnote>
  <w:footnote w:id="2454">
    <w:p w14:paraId="21A71DC5" w14:textId="77777777" w:rsidR="004C5A3C" w:rsidRPr="00194730" w:rsidRDefault="004C5A3C" w:rsidP="002C39F4">
      <w:pPr>
        <w:pStyle w:val="a5"/>
        <w:rPr>
          <w:rFonts w:asciiTheme="minorBidi" w:hAnsiTheme="minorBidi"/>
        </w:rPr>
      </w:pPr>
      <w:r w:rsidRPr="00194730">
        <w:rPr>
          <w:rStyle w:val="a7"/>
          <w:rFonts w:asciiTheme="minorBidi" w:hAnsiTheme="minorBidi"/>
        </w:rPr>
        <w:footnoteRef/>
      </w:r>
      <w:r w:rsidRPr="00194730">
        <w:rPr>
          <w:rFonts w:asciiTheme="minorBidi" w:hAnsiTheme="minorBidi"/>
          <w:rtl/>
        </w:rPr>
        <w:t xml:space="preserve"> וכ' הב"י- ושיעור דברי רבינו מתחלתן כך הם- כשהאיסור אינו ניכר במקומו אז מפלגינן בין דבר חשוב לשאינו חשוב, דשאינו חשוב בטל, וחשוב אינו בטל, ולא שאני בין פירש אחד מהם ללא פירש. אבל כשהאיסור ניכר במקומו הוי איפכא דלא מפלגינן בין דבר חשוב לשאינו חשוב אלא בין פירש ללא פירש, שאם לא פירש אלא שנטלו ממקום קביעותו אע"פ שהיא חתיכה שאינה ראויה להתכבד דלא הוי דבר חשוב אסור, ואם פירש אע"פ שהיא חתיכה הראויה להתכבד דהיינו דבר חשוב מותר.</w:t>
      </w:r>
    </w:p>
  </w:footnote>
  <w:footnote w:id="2455">
    <w:p w14:paraId="232DE4F6" w14:textId="77777777" w:rsidR="004C5A3C" w:rsidRPr="00194730" w:rsidRDefault="004C5A3C" w:rsidP="002C39F4">
      <w:pPr>
        <w:pStyle w:val="a5"/>
        <w:rPr>
          <w:rFonts w:asciiTheme="minorBidi" w:hAnsiTheme="minorBidi"/>
          <w:rtl/>
        </w:rPr>
      </w:pPr>
      <w:r w:rsidRPr="00194730">
        <w:rPr>
          <w:rStyle w:val="a7"/>
          <w:rFonts w:asciiTheme="minorBidi" w:hAnsiTheme="minorBidi"/>
        </w:rPr>
        <w:footnoteRef/>
      </w:r>
      <w:r w:rsidRPr="00194730">
        <w:rPr>
          <w:rFonts w:asciiTheme="minorBidi" w:hAnsiTheme="minorBidi"/>
          <w:rtl/>
        </w:rPr>
        <w:t xml:space="preserve"> וכתב הה"מ שהרמב"ם סמך על מה שאמרו בירושלמי (שקלים פ"ז ה"ד)</w:t>
      </w:r>
      <w:r>
        <w:rPr>
          <w:rFonts w:asciiTheme="minorBidi" w:hAnsiTheme="minorBidi" w:hint="cs"/>
          <w:rtl/>
        </w:rPr>
        <w:t>,</w:t>
      </w:r>
      <w:r w:rsidRPr="00194730">
        <w:rPr>
          <w:rFonts w:asciiTheme="minorBidi" w:hAnsiTheme="minorBidi"/>
          <w:rtl/>
        </w:rPr>
        <w:t xml:space="preserve"> אבל דעת הרבה מן המפרשים דבנמצא ביד גוי במקום שרוב טבחי ישראל מותר ומ"מ ראוי להחמיר בדבר עכ"ל, ב"י.</w:t>
      </w:r>
    </w:p>
  </w:footnote>
  <w:footnote w:id="2456">
    <w:p w14:paraId="32B57567" w14:textId="77777777" w:rsidR="004C5A3C" w:rsidRPr="00194730" w:rsidRDefault="004C5A3C" w:rsidP="002C39F4">
      <w:pPr>
        <w:spacing w:after="0" w:line="240" w:lineRule="auto"/>
        <w:rPr>
          <w:rFonts w:asciiTheme="minorBidi" w:hAnsiTheme="minorBidi"/>
          <w:sz w:val="20"/>
          <w:szCs w:val="20"/>
        </w:rPr>
      </w:pPr>
      <w:r w:rsidRPr="00194730">
        <w:rPr>
          <w:rStyle w:val="a7"/>
          <w:rFonts w:asciiTheme="minorBidi" w:hAnsiTheme="minorBidi"/>
        </w:rPr>
        <w:footnoteRef/>
      </w:r>
      <w:r w:rsidRPr="00194730">
        <w:rPr>
          <w:rFonts w:asciiTheme="minorBidi" w:hAnsiTheme="minorBidi"/>
          <w:sz w:val="20"/>
          <w:szCs w:val="20"/>
          <w:rtl/>
        </w:rPr>
        <w:t xml:space="preserve"> </w:t>
      </w:r>
      <w:r>
        <w:rPr>
          <w:rFonts w:asciiTheme="minorBidi" w:hAnsiTheme="minorBidi" w:hint="cs"/>
          <w:sz w:val="20"/>
          <w:szCs w:val="20"/>
          <w:rtl/>
        </w:rPr>
        <w:t xml:space="preserve">כ' הדרכ"מ </w:t>
      </w:r>
      <w:r w:rsidRPr="00194730">
        <w:rPr>
          <w:rFonts w:asciiTheme="minorBidi" w:hAnsiTheme="minorBidi"/>
          <w:sz w:val="16"/>
          <w:szCs w:val="16"/>
          <w:rtl/>
        </w:rPr>
        <w:t>(</w:t>
      </w:r>
      <w:r w:rsidRPr="00194730">
        <w:rPr>
          <w:rFonts w:asciiTheme="minorBidi" w:hAnsiTheme="minorBidi" w:hint="cs"/>
          <w:sz w:val="16"/>
          <w:szCs w:val="16"/>
          <w:rtl/>
        </w:rPr>
        <w:t xml:space="preserve">אות </w:t>
      </w:r>
      <w:r w:rsidRPr="00194730">
        <w:rPr>
          <w:rFonts w:asciiTheme="minorBidi" w:hAnsiTheme="minorBidi"/>
          <w:sz w:val="16"/>
          <w:szCs w:val="16"/>
          <w:rtl/>
        </w:rPr>
        <w:t>ד)</w:t>
      </w:r>
      <w:r>
        <w:rPr>
          <w:rFonts w:asciiTheme="minorBidi" w:hAnsiTheme="minorBidi" w:hint="cs"/>
          <w:sz w:val="20"/>
          <w:szCs w:val="20"/>
          <w:rtl/>
        </w:rPr>
        <w:t>-</w:t>
      </w:r>
      <w:r w:rsidRPr="00194730">
        <w:rPr>
          <w:rFonts w:asciiTheme="minorBidi" w:hAnsiTheme="minorBidi"/>
          <w:sz w:val="20"/>
          <w:szCs w:val="20"/>
          <w:rtl/>
        </w:rPr>
        <w:t xml:space="preserve"> יש מקשין ומתמיהין דכאן פסק רבינו דבדברים חשובים אפי</w:t>
      </w:r>
      <w:r>
        <w:rPr>
          <w:rFonts w:asciiTheme="minorBidi" w:hAnsiTheme="minorBidi" w:hint="cs"/>
          <w:sz w:val="20"/>
          <w:szCs w:val="20"/>
          <w:rtl/>
        </w:rPr>
        <w:t>'</w:t>
      </w:r>
      <w:r w:rsidRPr="00194730">
        <w:rPr>
          <w:rFonts w:asciiTheme="minorBidi" w:hAnsiTheme="minorBidi"/>
          <w:sz w:val="20"/>
          <w:szCs w:val="20"/>
          <w:rtl/>
        </w:rPr>
        <w:t xml:space="preserve"> פירש אחד מהן אסור דלא אמרינן מרובא פירש</w:t>
      </w:r>
      <w:r>
        <w:rPr>
          <w:rFonts w:asciiTheme="minorBidi" w:hAnsiTheme="minorBidi" w:hint="cs"/>
          <w:sz w:val="20"/>
          <w:szCs w:val="20"/>
          <w:rtl/>
        </w:rPr>
        <w:t xml:space="preserve"> </w:t>
      </w:r>
      <w:r w:rsidRPr="00194730">
        <w:rPr>
          <w:rFonts w:asciiTheme="minorBidi" w:hAnsiTheme="minorBidi" w:hint="cs"/>
          <w:sz w:val="16"/>
          <w:szCs w:val="16"/>
          <w:rtl/>
        </w:rPr>
        <w:t>(</w:t>
      </w:r>
      <w:r w:rsidRPr="00194730">
        <w:rPr>
          <w:rFonts w:asciiTheme="minorBidi" w:hAnsiTheme="minorBidi"/>
          <w:sz w:val="16"/>
          <w:szCs w:val="16"/>
          <w:rtl/>
        </w:rPr>
        <w:t>וכ"כ עוד לקמן סוף סימן זה</w:t>
      </w:r>
      <w:r>
        <w:rPr>
          <w:rFonts w:asciiTheme="minorBidi" w:hAnsiTheme="minorBidi" w:hint="cs"/>
          <w:sz w:val="16"/>
          <w:szCs w:val="16"/>
          <w:rtl/>
        </w:rPr>
        <w:t>)</w:t>
      </w:r>
      <w:r w:rsidRPr="00194730">
        <w:rPr>
          <w:rFonts w:asciiTheme="minorBidi" w:hAnsiTheme="minorBidi"/>
          <w:sz w:val="20"/>
          <w:szCs w:val="20"/>
          <w:rtl/>
        </w:rPr>
        <w:t>, והנה כתב בהדיא להיפך בסי</w:t>
      </w:r>
      <w:r>
        <w:rPr>
          <w:rFonts w:asciiTheme="minorBidi" w:hAnsiTheme="minorBidi" w:hint="cs"/>
          <w:sz w:val="20"/>
          <w:szCs w:val="20"/>
          <w:rtl/>
        </w:rPr>
        <w:t>'</w:t>
      </w:r>
      <w:r w:rsidRPr="00194730">
        <w:rPr>
          <w:rFonts w:asciiTheme="minorBidi" w:hAnsiTheme="minorBidi"/>
          <w:sz w:val="20"/>
          <w:szCs w:val="20"/>
          <w:rtl/>
        </w:rPr>
        <w:t xml:space="preserve"> ט"ז </w:t>
      </w:r>
      <w:r w:rsidRPr="00194730">
        <w:rPr>
          <w:rFonts w:asciiTheme="minorBidi" w:hAnsiTheme="minorBidi"/>
          <w:sz w:val="16"/>
          <w:szCs w:val="16"/>
          <w:rtl/>
        </w:rPr>
        <w:t xml:space="preserve">(בסופו) </w:t>
      </w:r>
      <w:r w:rsidRPr="00194730">
        <w:rPr>
          <w:rFonts w:asciiTheme="minorBidi" w:hAnsiTheme="minorBidi"/>
          <w:sz w:val="20"/>
          <w:szCs w:val="20"/>
          <w:rtl/>
        </w:rPr>
        <w:t xml:space="preserve">ובס"ס נ"ז </w:t>
      </w:r>
      <w:r w:rsidRPr="00194730">
        <w:rPr>
          <w:rFonts w:asciiTheme="minorBidi" w:hAnsiTheme="minorBidi"/>
          <w:sz w:val="16"/>
          <w:szCs w:val="16"/>
          <w:rtl/>
        </w:rPr>
        <w:t xml:space="preserve">(עמ' רמ-רמב) </w:t>
      </w:r>
      <w:r w:rsidRPr="00194730">
        <w:rPr>
          <w:rFonts w:asciiTheme="minorBidi" w:hAnsiTheme="minorBidi"/>
          <w:sz w:val="20"/>
          <w:szCs w:val="20"/>
          <w:rtl/>
        </w:rPr>
        <w:t>גבי בעלי חיים שנתערבו פסק דנכבשינהו דניידי וכל דפריש מרובא קא פריש, ובב</w:t>
      </w:r>
      <w:r>
        <w:rPr>
          <w:rFonts w:asciiTheme="minorBidi" w:hAnsiTheme="minorBidi" w:hint="cs"/>
          <w:sz w:val="20"/>
          <w:szCs w:val="20"/>
          <w:rtl/>
        </w:rPr>
        <w:t>"י</w:t>
      </w:r>
      <w:r w:rsidRPr="00194730">
        <w:rPr>
          <w:rFonts w:asciiTheme="minorBidi" w:hAnsiTheme="minorBidi"/>
          <w:sz w:val="20"/>
          <w:szCs w:val="20"/>
          <w:rtl/>
        </w:rPr>
        <w:t xml:space="preserve"> סי</w:t>
      </w:r>
      <w:r>
        <w:rPr>
          <w:rFonts w:asciiTheme="minorBidi" w:hAnsiTheme="minorBidi" w:hint="cs"/>
          <w:sz w:val="20"/>
          <w:szCs w:val="20"/>
          <w:rtl/>
        </w:rPr>
        <w:t>'</w:t>
      </w:r>
      <w:r w:rsidRPr="00194730">
        <w:rPr>
          <w:rFonts w:asciiTheme="minorBidi" w:hAnsiTheme="minorBidi"/>
          <w:sz w:val="20"/>
          <w:szCs w:val="20"/>
          <w:rtl/>
        </w:rPr>
        <w:t xml:space="preserve"> נז (עמ' רמב ד"ה ומכל) הקשה קושיא זו ורצה לתרצה</w:t>
      </w:r>
      <w:r>
        <w:rPr>
          <w:rFonts w:asciiTheme="minorBidi" w:hAnsiTheme="minorBidi" w:hint="cs"/>
          <w:sz w:val="20"/>
          <w:szCs w:val="20"/>
          <w:rtl/>
        </w:rPr>
        <w:t xml:space="preserve">... </w:t>
      </w:r>
      <w:r w:rsidRPr="00194730">
        <w:rPr>
          <w:rFonts w:asciiTheme="minorBidi" w:hAnsiTheme="minorBidi"/>
          <w:sz w:val="20"/>
          <w:szCs w:val="20"/>
          <w:rtl/>
        </w:rPr>
        <w:t>ע</w:t>
      </w:r>
      <w:r>
        <w:rPr>
          <w:rFonts w:asciiTheme="minorBidi" w:hAnsiTheme="minorBidi" w:hint="cs"/>
          <w:sz w:val="20"/>
          <w:szCs w:val="20"/>
          <w:rtl/>
        </w:rPr>
        <w:t xml:space="preserve">ל </w:t>
      </w:r>
      <w:r w:rsidRPr="00194730">
        <w:rPr>
          <w:rFonts w:asciiTheme="minorBidi" w:hAnsiTheme="minorBidi"/>
          <w:sz w:val="20"/>
          <w:szCs w:val="20"/>
          <w:rtl/>
        </w:rPr>
        <w:t>כ</w:t>
      </w:r>
      <w:r>
        <w:rPr>
          <w:rFonts w:asciiTheme="minorBidi" w:hAnsiTheme="minorBidi" w:hint="cs"/>
          <w:sz w:val="20"/>
          <w:szCs w:val="20"/>
          <w:rtl/>
        </w:rPr>
        <w:t>ן</w:t>
      </w:r>
      <w:r w:rsidRPr="00194730">
        <w:rPr>
          <w:rFonts w:asciiTheme="minorBidi" w:hAnsiTheme="minorBidi"/>
          <w:sz w:val="20"/>
          <w:szCs w:val="20"/>
          <w:rtl/>
        </w:rPr>
        <w:t xml:space="preserve"> אומר לך שהאמת הוא מה שתירץ לי הגאון מורי חמי מוהר"ר שכנא ש"ן בישוב קושיא זו דמ"ש הטור כאן היינו בעוד שהדברים החשובים נשארו במקומן רק שפירש אחד מהן או ב' ולכן לא אמרינן דפריש מרובא קפריש דהואיל ועדיין מונחים במקומן הו"ל עדיין קבוע וכל קבוע כמע"מ דמי אבל אם פירשו וניידי כולן ממקומן שלא נשאר שם קבוע ואחד פירש מהן אותו שפירש שרי דליכא למיחש שמא יקח מן הקבוע דהרי לא נשאר שם קבוע דהרי פירשו כולן </w:t>
      </w:r>
      <w:r>
        <w:rPr>
          <w:rFonts w:asciiTheme="minorBidi" w:hAnsiTheme="minorBidi" w:hint="cs"/>
          <w:sz w:val="16"/>
          <w:szCs w:val="16"/>
          <w:rtl/>
        </w:rPr>
        <w:t>(</w:t>
      </w:r>
      <w:r w:rsidRPr="00194730">
        <w:rPr>
          <w:rFonts w:asciiTheme="minorBidi" w:hAnsiTheme="minorBidi"/>
          <w:sz w:val="16"/>
          <w:szCs w:val="16"/>
          <w:rtl/>
        </w:rPr>
        <w:t>כן השיב לי מסברתו ואני מצאתי בהדיא בטור או</w:t>
      </w:r>
      <w:r>
        <w:rPr>
          <w:rFonts w:asciiTheme="minorBidi" w:hAnsiTheme="minorBidi" w:hint="cs"/>
          <w:sz w:val="16"/>
          <w:szCs w:val="16"/>
          <w:rtl/>
        </w:rPr>
        <w:t>"</w:t>
      </w:r>
      <w:r w:rsidRPr="00194730">
        <w:rPr>
          <w:rFonts w:asciiTheme="minorBidi" w:hAnsiTheme="minorBidi"/>
          <w:sz w:val="16"/>
          <w:szCs w:val="16"/>
          <w:rtl/>
        </w:rPr>
        <w:t>ח סי</w:t>
      </w:r>
      <w:r>
        <w:rPr>
          <w:rFonts w:asciiTheme="minorBidi" w:hAnsiTheme="minorBidi" w:hint="cs"/>
          <w:sz w:val="16"/>
          <w:szCs w:val="16"/>
          <w:rtl/>
        </w:rPr>
        <w:t>'</w:t>
      </w:r>
      <w:r w:rsidRPr="00194730">
        <w:rPr>
          <w:rFonts w:asciiTheme="minorBidi" w:hAnsiTheme="minorBidi"/>
          <w:sz w:val="16"/>
          <w:szCs w:val="16"/>
          <w:rtl/>
        </w:rPr>
        <w:t xml:space="preserve"> שכט (עמ' שא) שזו היא דעת הטור וע"ש</w:t>
      </w:r>
      <w:r>
        <w:rPr>
          <w:rFonts w:asciiTheme="minorBidi" w:hAnsiTheme="minorBidi" w:hint="cs"/>
          <w:sz w:val="16"/>
          <w:szCs w:val="16"/>
          <w:rtl/>
        </w:rPr>
        <w:t>,</w:t>
      </w:r>
      <w:r w:rsidRPr="00194730">
        <w:rPr>
          <w:rFonts w:asciiTheme="minorBidi" w:hAnsiTheme="minorBidi"/>
          <w:sz w:val="16"/>
          <w:szCs w:val="16"/>
          <w:rtl/>
        </w:rPr>
        <w:t xml:space="preserve"> וב</w:t>
      </w:r>
      <w:r>
        <w:rPr>
          <w:rFonts w:asciiTheme="minorBidi" w:hAnsiTheme="minorBidi" w:hint="cs"/>
          <w:sz w:val="16"/>
          <w:szCs w:val="16"/>
          <w:rtl/>
        </w:rPr>
        <w:t>ב"</w:t>
      </w:r>
      <w:r w:rsidRPr="00194730">
        <w:rPr>
          <w:rFonts w:asciiTheme="minorBidi" w:hAnsiTheme="minorBidi"/>
          <w:sz w:val="16"/>
          <w:szCs w:val="16"/>
          <w:rtl/>
        </w:rPr>
        <w:t>י (עמ' תפג דיבור ראשון) כ</w:t>
      </w:r>
      <w:r>
        <w:rPr>
          <w:rFonts w:asciiTheme="minorBidi" w:hAnsiTheme="minorBidi" w:hint="cs"/>
          <w:sz w:val="16"/>
          <w:szCs w:val="16"/>
          <w:rtl/>
        </w:rPr>
        <w:t>'</w:t>
      </w:r>
      <w:r w:rsidRPr="00194730">
        <w:rPr>
          <w:rFonts w:asciiTheme="minorBidi" w:hAnsiTheme="minorBidi"/>
          <w:sz w:val="16"/>
          <w:szCs w:val="16"/>
          <w:rtl/>
        </w:rPr>
        <w:t xml:space="preserve"> בשם הרשב"א חילוק זו ולא ידעתי מה הוצרך לדחוק את עצמו בישוב הקושיא הואיל וגלוי חילוק זו</w:t>
      </w:r>
      <w:r w:rsidRPr="00194730">
        <w:rPr>
          <w:rFonts w:asciiTheme="minorBidi" w:hAnsiTheme="minorBidi" w:hint="cs"/>
          <w:sz w:val="16"/>
          <w:szCs w:val="16"/>
          <w:rtl/>
        </w:rPr>
        <w:t>)</w:t>
      </w:r>
      <w:r>
        <w:rPr>
          <w:rFonts w:asciiTheme="minorBidi" w:hAnsiTheme="minorBidi" w:hint="cs"/>
          <w:sz w:val="20"/>
          <w:szCs w:val="20"/>
          <w:rtl/>
        </w:rPr>
        <w:t>, עכ"ל הדרכ"מ.</w:t>
      </w:r>
    </w:p>
  </w:footnote>
  <w:footnote w:id="2457">
    <w:p w14:paraId="7665C78E" w14:textId="77777777" w:rsidR="004C5A3C" w:rsidRPr="008F62E0" w:rsidRDefault="004C5A3C" w:rsidP="002C39F4">
      <w:pPr>
        <w:pStyle w:val="a5"/>
        <w:rPr>
          <w:rFonts w:cs="Arial"/>
          <w:rtl/>
        </w:rPr>
      </w:pPr>
      <w:r>
        <w:rPr>
          <w:rStyle w:val="a7"/>
        </w:rPr>
        <w:footnoteRef/>
      </w:r>
      <w:r>
        <w:rPr>
          <w:rtl/>
        </w:rPr>
        <w:t xml:space="preserve"> </w:t>
      </w:r>
      <w:r w:rsidRPr="00F95BC5">
        <w:rPr>
          <w:rFonts w:cs="Arial"/>
          <w:rtl/>
        </w:rPr>
        <w:t>דהתם</w:t>
      </w:r>
      <w:r>
        <w:rPr>
          <w:rFonts w:cs="Arial" w:hint="cs"/>
          <w:rtl/>
        </w:rPr>
        <w:t xml:space="preserve"> </w:t>
      </w:r>
      <w:r>
        <w:rPr>
          <w:rFonts w:cs="Arial" w:hint="cs"/>
          <w:sz w:val="16"/>
          <w:szCs w:val="16"/>
          <w:rtl/>
        </w:rPr>
        <w:t>(זבחים [עד.], גבי טבעות של ע"ז שפירשו מעצמן והרי הן אסורות עד שיתערבו)</w:t>
      </w:r>
      <w:r w:rsidRPr="00F95BC5">
        <w:rPr>
          <w:rFonts w:cs="Arial"/>
          <w:rtl/>
        </w:rPr>
        <w:t xml:space="preserve"> כשפירש לפנינו מן הקבוע</w:t>
      </w:r>
      <w:r>
        <w:rPr>
          <w:rFonts w:cs="Arial" w:hint="cs"/>
          <w:rtl/>
        </w:rPr>
        <w:t>,</w:t>
      </w:r>
      <w:r w:rsidRPr="00F95BC5">
        <w:rPr>
          <w:rFonts w:cs="Arial"/>
          <w:rtl/>
        </w:rPr>
        <w:t xml:space="preserve"> ובודאי כשפירש לפנינו מן הקבוע ה"ז כלוקח מן הקבוע</w:t>
      </w:r>
      <w:r>
        <w:rPr>
          <w:rFonts w:cs="Arial" w:hint="cs"/>
          <w:rtl/>
        </w:rPr>
        <w:t>,</w:t>
      </w:r>
      <w:r w:rsidRPr="00F95BC5">
        <w:rPr>
          <w:rFonts w:cs="Arial"/>
          <w:rtl/>
        </w:rPr>
        <w:t xml:space="preserve"> וכמו שכתבנו וכדמוכח בההיא דפ"ק דפסחים (ט:)</w:t>
      </w:r>
      <w:r>
        <w:rPr>
          <w:rFonts w:cs="Arial" w:hint="cs"/>
          <w:rtl/>
        </w:rPr>
        <w:t>,</w:t>
      </w:r>
      <w:r w:rsidRPr="00F95BC5">
        <w:rPr>
          <w:rFonts w:cs="Arial"/>
          <w:rtl/>
        </w:rPr>
        <w:t xml:space="preserve"> ואפ"ה אם חזר אותו שפירש לפנינו ונפל לתוך היתר מרובה מותר שאני אומר איסורא לתוך רובא אשתאר דהו"ל ספק ספקא ומותר</w:t>
      </w:r>
      <w:r>
        <w:rPr>
          <w:rFonts w:cs="Arial" w:hint="cs"/>
          <w:rtl/>
        </w:rPr>
        <w:t>...</w:t>
      </w:r>
      <w:r w:rsidRPr="00F95BC5">
        <w:rPr>
          <w:rFonts w:cs="Arial"/>
          <w:rtl/>
        </w:rPr>
        <w:t xml:space="preserve"> ולא אמרו שם בשור הנסקל גזרה שמא יקח מן הקבוע אלא בכובש ביד כדי שיתפזרו שאם אתה מתיר לכבוש כדי שיתפזרו ויקח מן הפורשים ודאי איכא למגזר שמא לא יפזר ויקח מן הקבוע</w:t>
      </w:r>
      <w:r>
        <w:rPr>
          <w:rFonts w:cs="Arial" w:hint="cs"/>
          <w:rtl/>
        </w:rPr>
        <w:t>,</w:t>
      </w:r>
      <w:r w:rsidRPr="00F95BC5">
        <w:rPr>
          <w:rFonts w:cs="Arial"/>
          <w:rtl/>
        </w:rPr>
        <w:t xml:space="preserve"> וכן כתב בשאלתות דרב אחאי פרשת ויקרא (סי</w:t>
      </w:r>
      <w:r>
        <w:rPr>
          <w:rFonts w:cs="Arial" w:hint="cs"/>
          <w:rtl/>
        </w:rPr>
        <w:t>'</w:t>
      </w:r>
      <w:r w:rsidRPr="00F95BC5">
        <w:rPr>
          <w:rFonts w:cs="Arial"/>
          <w:rtl/>
        </w:rPr>
        <w:t xml:space="preserve"> סח)</w:t>
      </w:r>
      <w:r>
        <w:rPr>
          <w:rFonts w:cs="Arial" w:hint="cs"/>
          <w:rtl/>
        </w:rPr>
        <w:t>,</w:t>
      </w:r>
      <w:r w:rsidRPr="00F95BC5">
        <w:rPr>
          <w:rFonts w:cs="Arial"/>
          <w:rtl/>
        </w:rPr>
        <w:t xml:space="preserve"> </w:t>
      </w:r>
      <w:r>
        <w:rPr>
          <w:rFonts w:hint="cs"/>
          <w:rtl/>
        </w:rPr>
        <w:t>רשב"א.</w:t>
      </w:r>
    </w:p>
  </w:footnote>
  <w:footnote w:id="2458">
    <w:p w14:paraId="39A59C4E" w14:textId="77777777" w:rsidR="004C5A3C" w:rsidRDefault="004C5A3C" w:rsidP="002C39F4">
      <w:pPr>
        <w:pStyle w:val="a5"/>
        <w:rPr>
          <w:rtl/>
        </w:rPr>
      </w:pPr>
      <w:r>
        <w:rPr>
          <w:rStyle w:val="a7"/>
        </w:rPr>
        <w:footnoteRef/>
      </w:r>
      <w:r>
        <w:rPr>
          <w:rtl/>
        </w:rPr>
        <w:t xml:space="preserve"> </w:t>
      </w:r>
      <w:r>
        <w:rPr>
          <w:rFonts w:hint="cs"/>
          <w:rtl/>
        </w:rPr>
        <w:t xml:space="preserve">וכ' הש"ך דהרשב"א </w:t>
      </w:r>
      <w:r w:rsidRPr="003346A4">
        <w:rPr>
          <w:rFonts w:cs="Arial" w:hint="cs"/>
          <w:sz w:val="16"/>
          <w:szCs w:val="16"/>
          <w:rtl/>
        </w:rPr>
        <w:t>(</w:t>
      </w:r>
      <w:r w:rsidRPr="003346A4">
        <w:rPr>
          <w:rFonts w:cs="Arial"/>
          <w:sz w:val="16"/>
          <w:szCs w:val="16"/>
          <w:rtl/>
        </w:rPr>
        <w:t>משמרת הבית שם</w:t>
      </w:r>
      <w:r w:rsidRPr="003346A4">
        <w:rPr>
          <w:rFonts w:cs="Arial" w:hint="cs"/>
          <w:sz w:val="16"/>
          <w:szCs w:val="16"/>
          <w:rtl/>
        </w:rPr>
        <w:t>)</w:t>
      </w:r>
      <w:r>
        <w:rPr>
          <w:rFonts w:cs="Arial" w:hint="cs"/>
          <w:rtl/>
        </w:rPr>
        <w:t xml:space="preserve"> </w:t>
      </w:r>
      <w:r w:rsidRPr="003346A4">
        <w:rPr>
          <w:rFonts w:cs="Arial"/>
          <w:rtl/>
        </w:rPr>
        <w:t>מודה ל</w:t>
      </w:r>
      <w:r>
        <w:rPr>
          <w:rFonts w:cs="Arial" w:hint="cs"/>
          <w:rtl/>
        </w:rPr>
        <w:t>רא"ה בדין זה</w:t>
      </w:r>
      <w:r w:rsidRPr="003346A4">
        <w:rPr>
          <w:rFonts w:cs="Arial"/>
          <w:rtl/>
        </w:rPr>
        <w:t xml:space="preserve"> אלא שמחלק שם </w:t>
      </w:r>
      <w:r w:rsidRPr="000C32D4">
        <w:rPr>
          <w:rFonts w:cs="Arial" w:hint="cs"/>
          <w:sz w:val="16"/>
          <w:szCs w:val="16"/>
          <w:rtl/>
        </w:rPr>
        <w:t>(</w:t>
      </w:r>
      <w:r w:rsidRPr="000C32D4">
        <w:rPr>
          <w:rFonts w:cs="Arial"/>
          <w:sz w:val="16"/>
          <w:szCs w:val="16"/>
          <w:rtl/>
        </w:rPr>
        <w:t>וביאר דבריו שבתוה</w:t>
      </w:r>
      <w:r>
        <w:rPr>
          <w:rFonts w:cs="Arial" w:hint="cs"/>
          <w:sz w:val="16"/>
          <w:szCs w:val="16"/>
          <w:rtl/>
        </w:rPr>
        <w:t>"</w:t>
      </w:r>
      <w:r w:rsidRPr="000C32D4">
        <w:rPr>
          <w:rFonts w:cs="Arial"/>
          <w:sz w:val="16"/>
          <w:szCs w:val="16"/>
          <w:rtl/>
        </w:rPr>
        <w:t>ב שהעתיקם המחבר בס"ה</w:t>
      </w:r>
      <w:r>
        <w:rPr>
          <w:rFonts w:cs="Arial" w:hint="cs"/>
          <w:sz w:val="16"/>
          <w:szCs w:val="16"/>
          <w:rtl/>
        </w:rPr>
        <w:t>)</w:t>
      </w:r>
      <w:r>
        <w:rPr>
          <w:rFonts w:hint="cs"/>
          <w:rtl/>
        </w:rPr>
        <w:t xml:space="preserve"> ד</w:t>
      </w:r>
      <w:r w:rsidRPr="003346A4">
        <w:rPr>
          <w:rFonts w:cs="Arial"/>
          <w:rtl/>
        </w:rPr>
        <w:t>דוקא כשנולד ספק טרפה במקולין כגון שנתערב טרפה בין הכשרות בחה"ל או אפילו ודאי טרפה ולא נודע אלא עד אחר שלקח ויש ספק אם היתה הודאי טרפה במקולין זו שלקח</w:t>
      </w:r>
      <w:r>
        <w:rPr>
          <w:rFonts w:cs="Arial" w:hint="cs"/>
          <w:rtl/>
        </w:rPr>
        <w:t xml:space="preserve"> בעת שלקח,</w:t>
      </w:r>
      <w:r w:rsidRPr="003346A4">
        <w:rPr>
          <w:rFonts w:cs="Arial"/>
          <w:rtl/>
        </w:rPr>
        <w:t xml:space="preserve"> אבל מ"מ יודע הוא מאיזה מקולין לקח</w:t>
      </w:r>
      <w:r>
        <w:rPr>
          <w:rFonts w:cs="Arial" w:hint="cs"/>
          <w:rtl/>
        </w:rPr>
        <w:t>,</w:t>
      </w:r>
      <w:r w:rsidRPr="003346A4">
        <w:rPr>
          <w:rFonts w:cs="Arial"/>
          <w:rtl/>
        </w:rPr>
        <w:t xml:space="preserve"> נמצא אין הספק מצד ברירת החנויות אלא שאינו יודע אם לקח מן הכשרה או מן הטריפה</w:t>
      </w:r>
      <w:r>
        <w:rPr>
          <w:rFonts w:cs="Arial" w:hint="cs"/>
          <w:rtl/>
        </w:rPr>
        <w:t>,</w:t>
      </w:r>
      <w:r w:rsidRPr="003346A4">
        <w:rPr>
          <w:rFonts w:cs="Arial"/>
          <w:rtl/>
        </w:rPr>
        <w:t xml:space="preserve"> וא"כ כיון שלקח קודם שנמצאת הטריפה לא אזלינן בתר האי שעתא אלא בתר השתא דהוי פירש ממילא ושרי</w:t>
      </w:r>
      <w:r>
        <w:rPr>
          <w:rFonts w:cs="Arial" w:hint="cs"/>
          <w:rtl/>
        </w:rPr>
        <w:t>.</w:t>
      </w:r>
    </w:p>
  </w:footnote>
  <w:footnote w:id="2459">
    <w:p w14:paraId="216A30C8" w14:textId="77777777" w:rsidR="004C5A3C" w:rsidRPr="00FF1C9D" w:rsidRDefault="004C5A3C" w:rsidP="002C39F4">
      <w:pPr>
        <w:pStyle w:val="a5"/>
        <w:rPr>
          <w:color w:val="FF0000"/>
          <w:rtl/>
        </w:rPr>
      </w:pPr>
      <w:r>
        <w:rPr>
          <w:rStyle w:val="a7"/>
        </w:rPr>
        <w:footnoteRef/>
      </w:r>
      <w:r>
        <w:rPr>
          <w:rtl/>
        </w:rPr>
        <w:t xml:space="preserve"> </w:t>
      </w:r>
      <w:r w:rsidRPr="003346A4">
        <w:rPr>
          <w:rFonts w:cs="Arial"/>
          <w:rtl/>
        </w:rPr>
        <w:t xml:space="preserve">וכן פירשו הב"ח והאחרונים </w:t>
      </w:r>
      <w:r>
        <w:rPr>
          <w:rFonts w:cs="Arial" w:hint="cs"/>
          <w:rtl/>
        </w:rPr>
        <w:t xml:space="preserve">את </w:t>
      </w:r>
      <w:r w:rsidRPr="003346A4">
        <w:rPr>
          <w:rFonts w:cs="Arial"/>
          <w:rtl/>
        </w:rPr>
        <w:t xml:space="preserve">דברי הטור </w:t>
      </w:r>
      <w:r>
        <w:rPr>
          <w:rFonts w:cs="Arial" w:hint="cs"/>
          <w:rtl/>
        </w:rPr>
        <w:t>וא"כ אז כך דעת הרא"ש דהרי כתב הטור '</w:t>
      </w:r>
      <w:r w:rsidRPr="003346A4">
        <w:rPr>
          <w:rFonts w:cs="Arial"/>
          <w:rtl/>
        </w:rPr>
        <w:t>וכ"כ א"א הרא"ש</w:t>
      </w:r>
      <w:r>
        <w:rPr>
          <w:rFonts w:cs="Arial" w:hint="cs"/>
          <w:rtl/>
        </w:rPr>
        <w:t>'</w:t>
      </w:r>
      <w:r w:rsidRPr="003346A4">
        <w:rPr>
          <w:rFonts w:cs="Arial"/>
          <w:rtl/>
        </w:rPr>
        <w:t xml:space="preserve"> ז"ל</w:t>
      </w:r>
      <w:r>
        <w:rPr>
          <w:rFonts w:cs="Arial" w:hint="cs"/>
          <w:rtl/>
        </w:rPr>
        <w:t xml:space="preserve">', </w:t>
      </w:r>
      <w:r w:rsidRPr="003346A4">
        <w:rPr>
          <w:rFonts w:cs="Arial"/>
          <w:rtl/>
        </w:rPr>
        <w:t>אבל באמת לא משמע כן בתשו</w:t>
      </w:r>
      <w:r>
        <w:rPr>
          <w:rFonts w:cs="Arial" w:hint="cs"/>
          <w:rtl/>
        </w:rPr>
        <w:t>'</w:t>
      </w:r>
      <w:r w:rsidRPr="003346A4">
        <w:rPr>
          <w:rFonts w:cs="Arial"/>
          <w:rtl/>
        </w:rPr>
        <w:t xml:space="preserve"> הרא"ש </w:t>
      </w:r>
      <w:r w:rsidRPr="000D6CE5">
        <w:rPr>
          <w:rFonts w:cs="Arial" w:hint="cs"/>
          <w:sz w:val="16"/>
          <w:szCs w:val="16"/>
          <w:rtl/>
        </w:rPr>
        <w:t>(</w:t>
      </w:r>
      <w:r w:rsidRPr="000D6CE5">
        <w:rPr>
          <w:rFonts w:cs="Arial"/>
          <w:sz w:val="16"/>
          <w:szCs w:val="16"/>
          <w:rtl/>
        </w:rPr>
        <w:t xml:space="preserve">כלל </w:t>
      </w:r>
      <w:r w:rsidRPr="000D6CE5">
        <w:rPr>
          <w:rFonts w:cs="Arial" w:hint="cs"/>
          <w:sz w:val="16"/>
          <w:szCs w:val="16"/>
          <w:rtl/>
        </w:rPr>
        <w:t>כ</w:t>
      </w:r>
      <w:r w:rsidRPr="000D6CE5">
        <w:rPr>
          <w:rFonts w:cs="Arial"/>
          <w:sz w:val="16"/>
          <w:szCs w:val="16"/>
          <w:rtl/>
        </w:rPr>
        <w:t xml:space="preserve"> סי</w:t>
      </w:r>
      <w:r w:rsidRPr="000D6CE5">
        <w:rPr>
          <w:rFonts w:cs="Arial" w:hint="cs"/>
          <w:sz w:val="16"/>
          <w:szCs w:val="16"/>
          <w:rtl/>
        </w:rPr>
        <w:t>'</w:t>
      </w:r>
      <w:r w:rsidRPr="000D6CE5">
        <w:rPr>
          <w:rFonts w:cs="Arial"/>
          <w:sz w:val="16"/>
          <w:szCs w:val="16"/>
          <w:rtl/>
        </w:rPr>
        <w:t xml:space="preserve"> יז</w:t>
      </w:r>
      <w:r w:rsidRPr="000D6CE5">
        <w:rPr>
          <w:rFonts w:cs="Arial" w:hint="cs"/>
          <w:sz w:val="16"/>
          <w:szCs w:val="16"/>
          <w:rtl/>
        </w:rPr>
        <w:t>)</w:t>
      </w:r>
      <w:r w:rsidRPr="000D6CE5">
        <w:rPr>
          <w:rFonts w:cs="Arial"/>
          <w:sz w:val="16"/>
          <w:szCs w:val="16"/>
          <w:rtl/>
        </w:rPr>
        <w:t xml:space="preserve"> </w:t>
      </w:r>
      <w:r>
        <w:rPr>
          <w:rFonts w:cs="Arial" w:hint="cs"/>
          <w:rtl/>
        </w:rPr>
        <w:t>דדוקא</w:t>
      </w:r>
      <w:r w:rsidRPr="003346A4">
        <w:rPr>
          <w:rFonts w:cs="Arial"/>
          <w:rtl/>
        </w:rPr>
        <w:t xml:space="preserve"> בנתערבו החתיכות זו בתוך זו </w:t>
      </w:r>
      <w:r>
        <w:rPr>
          <w:rFonts w:cs="Arial" w:hint="cs"/>
          <w:rtl/>
        </w:rPr>
        <w:t xml:space="preserve">אבל </w:t>
      </w:r>
      <w:r w:rsidRPr="003346A4">
        <w:rPr>
          <w:rFonts w:cs="Arial"/>
          <w:rtl/>
        </w:rPr>
        <w:t>לא בספיקא דחנ</w:t>
      </w:r>
      <w:r>
        <w:rPr>
          <w:rFonts w:cs="Arial" w:hint="cs"/>
          <w:rtl/>
        </w:rPr>
        <w:t>ו</w:t>
      </w:r>
      <w:r w:rsidRPr="003346A4">
        <w:rPr>
          <w:rFonts w:cs="Arial"/>
          <w:rtl/>
        </w:rPr>
        <w:t>יות</w:t>
      </w:r>
      <w:r>
        <w:rPr>
          <w:rFonts w:cs="Arial" w:hint="cs"/>
          <w:rtl/>
        </w:rPr>
        <w:t>,</w:t>
      </w:r>
      <w:r w:rsidRPr="003346A4">
        <w:rPr>
          <w:rFonts w:cs="Arial"/>
          <w:rtl/>
        </w:rPr>
        <w:t xml:space="preserve"> וגם דברי הטור לכאורה לא משמע כן וגם הב"י הבינם דמיירי בתערובות דחתיכות וכ"כ בדרישה </w:t>
      </w:r>
      <w:r>
        <w:rPr>
          <w:rFonts w:cs="Arial" w:hint="cs"/>
          <w:rtl/>
        </w:rPr>
        <w:t>(</w:t>
      </w:r>
      <w:r w:rsidRPr="003346A4">
        <w:rPr>
          <w:rFonts w:cs="Arial"/>
          <w:rtl/>
        </w:rPr>
        <w:t>ס</w:t>
      </w:r>
      <w:r>
        <w:rPr>
          <w:rFonts w:cs="Arial" w:hint="cs"/>
          <w:rtl/>
        </w:rPr>
        <w:t>ע' ד*)</w:t>
      </w:r>
      <w:r w:rsidRPr="003346A4">
        <w:rPr>
          <w:rFonts w:cs="Arial"/>
          <w:rtl/>
        </w:rPr>
        <w:t xml:space="preserve"> בשם הב"י</w:t>
      </w:r>
      <w:r>
        <w:rPr>
          <w:rFonts w:cs="Arial" w:hint="cs"/>
          <w:rtl/>
        </w:rPr>
        <w:t>, ע"פ ש"ך</w:t>
      </w:r>
      <w:r w:rsidRPr="000D6CE5">
        <w:rPr>
          <w:rFonts w:cs="Arial" w:hint="cs"/>
          <w:sz w:val="16"/>
          <w:szCs w:val="16"/>
          <w:rtl/>
        </w:rPr>
        <w:t xml:space="preserve"> (סקי"ד)</w:t>
      </w:r>
      <w:r>
        <w:rPr>
          <w:rFonts w:cs="Arial" w:hint="cs"/>
          <w:rtl/>
        </w:rPr>
        <w:t>.</w:t>
      </w:r>
      <w:r>
        <w:rPr>
          <w:rFonts w:hint="cs"/>
          <w:color w:val="FF0000"/>
          <w:rtl/>
        </w:rPr>
        <w:t xml:space="preserve"> לחזור שוב על הש"ך</w:t>
      </w:r>
    </w:p>
  </w:footnote>
  <w:footnote w:id="2460">
    <w:p w14:paraId="01DE3756" w14:textId="77777777" w:rsidR="004C5A3C" w:rsidRDefault="004C5A3C" w:rsidP="002C39F4">
      <w:pPr>
        <w:pStyle w:val="a5"/>
        <w:rPr>
          <w:rtl/>
        </w:rPr>
      </w:pPr>
      <w:r>
        <w:rPr>
          <w:rStyle w:val="a7"/>
        </w:rPr>
        <w:footnoteRef/>
      </w:r>
      <w:r>
        <w:rPr>
          <w:rtl/>
        </w:rPr>
        <w:t xml:space="preserve"> </w:t>
      </w:r>
      <w:r w:rsidRPr="00827C60">
        <w:rPr>
          <w:rFonts w:cs="Arial"/>
          <w:rtl/>
        </w:rPr>
        <w:t xml:space="preserve">הכי ילפינן בב"ק </w:t>
      </w:r>
      <w:r w:rsidRPr="00827C60">
        <w:rPr>
          <w:rFonts w:cs="Arial"/>
          <w:sz w:val="16"/>
          <w:szCs w:val="16"/>
          <w:rtl/>
        </w:rPr>
        <w:t>(מד</w:t>
      </w:r>
      <w:r w:rsidRPr="00827C60">
        <w:rPr>
          <w:rFonts w:cs="Arial" w:hint="cs"/>
          <w:sz w:val="16"/>
          <w:szCs w:val="16"/>
          <w:rtl/>
        </w:rPr>
        <w:t>:</w:t>
      </w:r>
      <w:r w:rsidRPr="00827C60">
        <w:rPr>
          <w:rFonts w:cs="Arial"/>
          <w:sz w:val="16"/>
          <w:szCs w:val="16"/>
          <w:rtl/>
        </w:rPr>
        <w:t xml:space="preserve">) </w:t>
      </w:r>
      <w:r w:rsidRPr="00827C60">
        <w:rPr>
          <w:rFonts w:cs="Arial"/>
          <w:rtl/>
        </w:rPr>
        <w:t xml:space="preserve">ובכתובות </w:t>
      </w:r>
      <w:r w:rsidRPr="00827C60">
        <w:rPr>
          <w:rFonts w:cs="Arial"/>
          <w:sz w:val="16"/>
          <w:szCs w:val="16"/>
          <w:rtl/>
        </w:rPr>
        <w:t>(</w:t>
      </w:r>
      <w:r w:rsidRPr="00827C60">
        <w:rPr>
          <w:rFonts w:cs="Arial" w:hint="cs"/>
          <w:sz w:val="16"/>
          <w:szCs w:val="16"/>
          <w:rtl/>
        </w:rPr>
        <w:t>ט</w:t>
      </w:r>
      <w:r w:rsidRPr="00827C60">
        <w:rPr>
          <w:rFonts w:cs="Arial"/>
          <w:sz w:val="16"/>
          <w:szCs w:val="16"/>
          <w:rtl/>
        </w:rPr>
        <w:t>ו</w:t>
      </w:r>
      <w:r w:rsidRPr="00827C60">
        <w:rPr>
          <w:rFonts w:cs="Arial" w:hint="cs"/>
          <w:sz w:val="16"/>
          <w:szCs w:val="16"/>
          <w:rtl/>
        </w:rPr>
        <w:t>.</w:t>
      </w:r>
      <w:r w:rsidRPr="00827C60">
        <w:rPr>
          <w:rFonts w:cs="Arial"/>
          <w:sz w:val="16"/>
          <w:szCs w:val="16"/>
          <w:rtl/>
        </w:rPr>
        <w:t xml:space="preserve">) </w:t>
      </w:r>
      <w:r w:rsidRPr="00827C60">
        <w:rPr>
          <w:rFonts w:cs="Arial"/>
          <w:rtl/>
        </w:rPr>
        <w:t xml:space="preserve">מקרא דוארב לו וקם </w:t>
      </w:r>
      <w:r>
        <w:rPr>
          <w:rFonts w:cs="Arial" w:hint="cs"/>
          <w:sz w:val="16"/>
          <w:szCs w:val="16"/>
          <w:rtl/>
        </w:rPr>
        <w:t>(דברים יט, יא)</w:t>
      </w:r>
      <w:r>
        <w:rPr>
          <w:rFonts w:cs="Arial" w:hint="cs"/>
          <w:rtl/>
        </w:rPr>
        <w:t xml:space="preserve"> </w:t>
      </w:r>
      <w:r w:rsidRPr="00827C60">
        <w:rPr>
          <w:rFonts w:cs="Arial"/>
          <w:rtl/>
        </w:rPr>
        <w:t xml:space="preserve">פרט לזורק אבן לחבורת אנשים שעמדו שם ט' ישראלים וחד </w:t>
      </w:r>
      <w:r>
        <w:rPr>
          <w:rFonts w:cs="Arial" w:hint="cs"/>
          <w:rtl/>
        </w:rPr>
        <w:t xml:space="preserve">גוי </w:t>
      </w:r>
      <w:r w:rsidRPr="00827C60">
        <w:rPr>
          <w:rFonts w:cs="Arial"/>
          <w:rtl/>
        </w:rPr>
        <w:t>דפטור משום ספק נפשות להקל</w:t>
      </w:r>
      <w:r>
        <w:rPr>
          <w:rFonts w:cs="Arial" w:hint="cs"/>
          <w:rtl/>
        </w:rPr>
        <w:t>,</w:t>
      </w:r>
      <w:r w:rsidRPr="00827C60">
        <w:rPr>
          <w:rFonts w:cs="Arial"/>
          <w:rtl/>
        </w:rPr>
        <w:t xml:space="preserve"> דאע</w:t>
      </w:r>
      <w:r>
        <w:rPr>
          <w:rFonts w:cs="Arial" w:hint="cs"/>
          <w:rtl/>
        </w:rPr>
        <w:t>"</w:t>
      </w:r>
      <w:r w:rsidRPr="00827C60">
        <w:rPr>
          <w:rFonts w:cs="Arial"/>
          <w:rtl/>
        </w:rPr>
        <w:t>ג דרוב ישראלים מ"מ ה"ל קבוע וכמחצה על מחצה דמי, ודע דהא דקי"ל דכל קבוע כמחצה על מחצה הוא בין לקולא ובין לחומרא כגון ט' חנויות מוכרות בשר נבילה וא' בשר שחוטה ולקח ואינו יודע מאיזה מהן לקח הוי כמחצה על מחצה ולא אסור אלא משום ספיקא ולא אמרינן דהוי כרובא</w:t>
      </w:r>
      <w:r>
        <w:rPr>
          <w:rFonts w:cs="Arial" w:hint="cs"/>
          <w:rtl/>
        </w:rPr>
        <w:t>,</w:t>
      </w:r>
      <w:r w:rsidRPr="00827C60">
        <w:rPr>
          <w:rFonts w:cs="Arial"/>
          <w:rtl/>
        </w:rPr>
        <w:t xml:space="preserve"> הכי אמרינן בהדיא בכתובות שם</w:t>
      </w:r>
      <w:r>
        <w:rPr>
          <w:rFonts w:hint="cs"/>
          <w:rtl/>
        </w:rPr>
        <w:t xml:space="preserve">, ש"ך </w:t>
      </w:r>
      <w:r w:rsidRPr="00827C60">
        <w:rPr>
          <w:rFonts w:hint="cs"/>
          <w:sz w:val="16"/>
          <w:szCs w:val="16"/>
          <w:rtl/>
        </w:rPr>
        <w:t>(סקט"ו)</w:t>
      </w:r>
      <w:r>
        <w:rPr>
          <w:rFonts w:hint="cs"/>
          <w:rtl/>
        </w:rPr>
        <w:t>.</w:t>
      </w:r>
    </w:p>
  </w:footnote>
  <w:footnote w:id="2461">
    <w:p w14:paraId="44FD8714" w14:textId="77777777" w:rsidR="004C5A3C" w:rsidRDefault="004C5A3C" w:rsidP="002C39F4">
      <w:pPr>
        <w:pStyle w:val="a5"/>
      </w:pPr>
      <w:r>
        <w:rPr>
          <w:rStyle w:val="a7"/>
        </w:rPr>
        <w:footnoteRef/>
      </w:r>
      <w:r>
        <w:rPr>
          <w:rtl/>
        </w:rPr>
        <w:t xml:space="preserve"> </w:t>
      </w:r>
      <w:r w:rsidRPr="005A4612">
        <w:rPr>
          <w:rFonts w:cs="Arial"/>
          <w:rtl/>
        </w:rPr>
        <w:t>אפילו הוא חה"ל</w:t>
      </w:r>
      <w:r>
        <w:rPr>
          <w:rFonts w:cs="Arial" w:hint="cs"/>
          <w:rtl/>
        </w:rPr>
        <w:t>,</w:t>
      </w:r>
      <w:r w:rsidRPr="005A4612">
        <w:rPr>
          <w:rFonts w:cs="Arial"/>
          <w:rtl/>
        </w:rPr>
        <w:t xml:space="preserve"> כך פשוט בפוסקים</w:t>
      </w:r>
      <w:r>
        <w:rPr>
          <w:rFonts w:cs="Arial" w:hint="cs"/>
          <w:rtl/>
        </w:rPr>
        <w:t>, ש"ך (סקט"ז).</w:t>
      </w:r>
    </w:p>
  </w:footnote>
  <w:footnote w:id="2462">
    <w:p w14:paraId="4D33E3E2" w14:textId="77777777" w:rsidR="004C5A3C" w:rsidRDefault="004C5A3C" w:rsidP="002C39F4">
      <w:pPr>
        <w:pStyle w:val="a5"/>
        <w:rPr>
          <w:rtl/>
        </w:rPr>
      </w:pPr>
      <w:r>
        <w:rPr>
          <w:rStyle w:val="a7"/>
        </w:rPr>
        <w:footnoteRef/>
      </w:r>
      <w:r>
        <w:rPr>
          <w:rtl/>
        </w:rPr>
        <w:t xml:space="preserve"> </w:t>
      </w:r>
      <w:r w:rsidRPr="005A4612">
        <w:rPr>
          <w:rFonts w:cs="Arial"/>
          <w:rtl/>
        </w:rPr>
        <w:t>כ</w:t>
      </w:r>
      <w:r>
        <w:rPr>
          <w:rFonts w:cs="Arial" w:hint="cs"/>
          <w:rtl/>
        </w:rPr>
        <w:t>'</w:t>
      </w:r>
      <w:r w:rsidRPr="005A4612">
        <w:rPr>
          <w:rFonts w:cs="Arial"/>
          <w:rtl/>
        </w:rPr>
        <w:t xml:space="preserve"> הרוקח </w:t>
      </w:r>
      <w:r w:rsidRPr="005A4612">
        <w:rPr>
          <w:rFonts w:cs="Arial" w:hint="cs"/>
          <w:sz w:val="16"/>
          <w:szCs w:val="16"/>
          <w:rtl/>
        </w:rPr>
        <w:t>(</w:t>
      </w:r>
      <w:r w:rsidRPr="005A4612">
        <w:rPr>
          <w:rFonts w:cs="Arial"/>
          <w:sz w:val="16"/>
          <w:szCs w:val="16"/>
          <w:rtl/>
        </w:rPr>
        <w:t>סי' תפ</w:t>
      </w:r>
      <w:r w:rsidRPr="005A4612">
        <w:rPr>
          <w:rFonts w:cs="Arial" w:hint="cs"/>
          <w:sz w:val="16"/>
          <w:szCs w:val="16"/>
          <w:rtl/>
        </w:rPr>
        <w:t>)</w:t>
      </w:r>
      <w:r w:rsidRPr="005A4612">
        <w:rPr>
          <w:rFonts w:cs="Arial"/>
          <w:sz w:val="16"/>
          <w:szCs w:val="16"/>
          <w:rtl/>
        </w:rPr>
        <w:t xml:space="preserve"> </w:t>
      </w:r>
      <w:r w:rsidRPr="005A4612">
        <w:rPr>
          <w:rFonts w:cs="Arial"/>
          <w:rtl/>
        </w:rPr>
        <w:t>דלקחו קטן דינו כלקחו ע</w:t>
      </w:r>
      <w:r>
        <w:rPr>
          <w:rFonts w:cs="Arial" w:hint="cs"/>
          <w:rtl/>
        </w:rPr>
        <w:t xml:space="preserve">כו"ם, ש"ך </w:t>
      </w:r>
      <w:r w:rsidRPr="005A4612">
        <w:rPr>
          <w:rFonts w:cs="Arial" w:hint="cs"/>
          <w:sz w:val="16"/>
          <w:szCs w:val="16"/>
          <w:rtl/>
        </w:rPr>
        <w:t>(סקי"ח)</w:t>
      </w:r>
      <w:r>
        <w:rPr>
          <w:rFonts w:cs="Arial" w:hint="cs"/>
          <w:rtl/>
        </w:rPr>
        <w:t>. וכ' הפר"ח</w:t>
      </w:r>
      <w:r w:rsidRPr="005A4612">
        <w:rPr>
          <w:rFonts w:cs="Arial" w:hint="cs"/>
          <w:sz w:val="16"/>
          <w:szCs w:val="16"/>
          <w:rtl/>
        </w:rPr>
        <w:t xml:space="preserve"> (סקט"ז</w:t>
      </w:r>
      <w:r w:rsidRPr="005A4612">
        <w:rPr>
          <w:rFonts w:cs="Arial" w:hint="cs"/>
          <w:sz w:val="14"/>
          <w:szCs w:val="14"/>
          <w:rtl/>
        </w:rPr>
        <w:t xml:space="preserve"> [הביאו החת"ס אוצ"מ אות טז]</w:t>
      </w:r>
      <w:r w:rsidRPr="005A4612">
        <w:rPr>
          <w:rFonts w:cs="Arial" w:hint="cs"/>
          <w:sz w:val="16"/>
          <w:szCs w:val="16"/>
          <w:rtl/>
        </w:rPr>
        <w:t>)</w:t>
      </w:r>
      <w:r>
        <w:rPr>
          <w:rFonts w:hint="cs"/>
          <w:rtl/>
        </w:rPr>
        <w:t xml:space="preserve"> דדוקא קטן שאינו חריף.</w:t>
      </w:r>
    </w:p>
  </w:footnote>
  <w:footnote w:id="2463">
    <w:p w14:paraId="5ABA28DF" w14:textId="77777777" w:rsidR="004C5A3C" w:rsidRDefault="004C5A3C" w:rsidP="002C39F4">
      <w:pPr>
        <w:pStyle w:val="a5"/>
        <w:rPr>
          <w:rtl/>
        </w:rPr>
      </w:pPr>
      <w:r>
        <w:rPr>
          <w:rStyle w:val="a7"/>
        </w:rPr>
        <w:footnoteRef/>
      </w:r>
      <w:r>
        <w:rPr>
          <w:rtl/>
        </w:rPr>
        <w:t xml:space="preserve"> </w:t>
      </w:r>
      <w:r w:rsidRPr="00C355CE">
        <w:rPr>
          <w:rFonts w:cs="Arial"/>
          <w:rtl/>
        </w:rPr>
        <w:t>דכיון דנייד</w:t>
      </w:r>
      <w:r>
        <w:rPr>
          <w:rFonts w:cs="Arial" w:hint="cs"/>
          <w:rtl/>
        </w:rPr>
        <w:t>-</w:t>
      </w:r>
      <w:r w:rsidRPr="00C355CE">
        <w:rPr>
          <w:rFonts w:cs="Arial"/>
          <w:rtl/>
        </w:rPr>
        <w:t xml:space="preserve"> הלך אחר הרוב</w:t>
      </w:r>
      <w:r>
        <w:rPr>
          <w:rFonts w:cs="Arial" w:hint="cs"/>
          <w:rtl/>
        </w:rPr>
        <w:t>,</w:t>
      </w:r>
      <w:r w:rsidRPr="00C355CE">
        <w:rPr>
          <w:rFonts w:cs="Arial"/>
          <w:rtl/>
        </w:rPr>
        <w:t xml:space="preserve"> דהשתא לאו קבוע הוא ולא נולד הספק אלא כשפירש</w:t>
      </w:r>
      <w:r>
        <w:rPr>
          <w:rFonts w:cs="Arial" w:hint="cs"/>
          <w:rtl/>
        </w:rPr>
        <w:t>,</w:t>
      </w:r>
      <w:r w:rsidRPr="00C355CE">
        <w:rPr>
          <w:rFonts w:cs="Arial"/>
          <w:rtl/>
        </w:rPr>
        <w:t xml:space="preserve"> ועיין בתשו' מהרי"ל סי</w:t>
      </w:r>
      <w:r>
        <w:rPr>
          <w:rFonts w:cs="Arial" w:hint="cs"/>
          <w:rtl/>
        </w:rPr>
        <w:t>'</w:t>
      </w:r>
      <w:r w:rsidRPr="00C355CE">
        <w:rPr>
          <w:rFonts w:cs="Arial"/>
          <w:rtl/>
        </w:rPr>
        <w:t xml:space="preserve"> קנט</w:t>
      </w:r>
      <w:r>
        <w:rPr>
          <w:rFonts w:cs="Arial" w:hint="cs"/>
          <w:rtl/>
        </w:rPr>
        <w:t>,</w:t>
      </w:r>
      <w:r>
        <w:rPr>
          <w:rFonts w:hint="cs"/>
          <w:rtl/>
        </w:rPr>
        <w:t xml:space="preserve"> ש"ך (סקי"ט).</w:t>
      </w:r>
    </w:p>
  </w:footnote>
  <w:footnote w:id="2464">
    <w:p w14:paraId="32BECFB3" w14:textId="77777777" w:rsidR="004C5A3C" w:rsidRDefault="004C5A3C" w:rsidP="002C39F4">
      <w:pPr>
        <w:pStyle w:val="a5"/>
      </w:pPr>
      <w:r>
        <w:rPr>
          <w:rStyle w:val="a7"/>
        </w:rPr>
        <w:footnoteRef/>
      </w:r>
      <w:r>
        <w:rPr>
          <w:rtl/>
        </w:rPr>
        <w:t xml:space="preserve"> </w:t>
      </w:r>
      <w:r w:rsidRPr="00C355CE">
        <w:rPr>
          <w:rFonts w:cs="Arial"/>
          <w:rtl/>
        </w:rPr>
        <w:t>משום בשר שנתעלם מן העין כדלעיל סי' ס"ג וכבר נתבאר שם על נכון באיזה ענין אנו מתירין משום בשר שנתעלם מן העין וכה"ג מותר כאן פירש ממילא</w:t>
      </w:r>
      <w:r>
        <w:rPr>
          <w:rFonts w:cs="Arial" w:hint="cs"/>
          <w:rtl/>
        </w:rPr>
        <w:t>, ש"ך (סק"כ).</w:t>
      </w:r>
    </w:p>
  </w:footnote>
  <w:footnote w:id="2465">
    <w:p w14:paraId="5D32D3F4" w14:textId="77777777" w:rsidR="004C5A3C" w:rsidRPr="004A56B9" w:rsidRDefault="004C5A3C" w:rsidP="002C39F4">
      <w:pPr>
        <w:pStyle w:val="a5"/>
      </w:pPr>
      <w:r w:rsidRPr="004A56B9">
        <w:rPr>
          <w:rStyle w:val="a7"/>
        </w:rPr>
        <w:footnoteRef/>
      </w:r>
      <w:r w:rsidRPr="004A56B9">
        <w:rPr>
          <w:rtl/>
        </w:rPr>
        <w:t xml:space="preserve"> </w:t>
      </w:r>
      <w:r w:rsidRPr="004A56B9">
        <w:rPr>
          <w:rFonts w:asciiTheme="minorBidi" w:hAnsiTheme="minorBidi"/>
          <w:rtl/>
        </w:rPr>
        <w:t xml:space="preserve">טור בשם רשב"א ותוס' פג"ה </w:t>
      </w:r>
      <w:r w:rsidRPr="004A56B9">
        <w:rPr>
          <w:rFonts w:asciiTheme="minorBidi" w:hAnsiTheme="minorBidi" w:hint="cs"/>
          <w:rtl/>
        </w:rPr>
        <w:t>[</w:t>
      </w:r>
      <w:r w:rsidRPr="004A56B9">
        <w:rPr>
          <w:rFonts w:asciiTheme="minorBidi" w:hAnsiTheme="minorBidi"/>
          <w:rtl/>
        </w:rPr>
        <w:t>צה</w:t>
      </w:r>
      <w:r w:rsidRPr="004A56B9">
        <w:rPr>
          <w:rFonts w:asciiTheme="minorBidi" w:hAnsiTheme="minorBidi" w:hint="cs"/>
          <w:rtl/>
        </w:rPr>
        <w:t>.]</w:t>
      </w:r>
      <w:r w:rsidRPr="004A56B9">
        <w:rPr>
          <w:rFonts w:asciiTheme="minorBidi" w:hAnsiTheme="minorBidi"/>
          <w:rtl/>
        </w:rPr>
        <w:t xml:space="preserve"> ור"ן שם והג"א בשם ר"י ותוס' ואגודה פ' התערובות ורא"ש בתש</w:t>
      </w:r>
      <w:r w:rsidRPr="004A56B9">
        <w:rPr>
          <w:rFonts w:asciiTheme="minorBidi" w:hAnsiTheme="minorBidi" w:hint="cs"/>
          <w:rtl/>
        </w:rPr>
        <w:t>ו'</w:t>
      </w:r>
      <w:r w:rsidRPr="004A56B9">
        <w:rPr>
          <w:rFonts w:asciiTheme="minorBidi" w:hAnsiTheme="minorBidi"/>
          <w:rtl/>
        </w:rPr>
        <w:t xml:space="preserve"> כלל כ סי</w:t>
      </w:r>
      <w:r w:rsidRPr="004A56B9">
        <w:rPr>
          <w:rFonts w:asciiTheme="minorBidi" w:hAnsiTheme="minorBidi" w:hint="cs"/>
          <w:rtl/>
        </w:rPr>
        <w:t>'</w:t>
      </w:r>
      <w:r w:rsidRPr="004A56B9">
        <w:rPr>
          <w:rFonts w:asciiTheme="minorBidi" w:hAnsiTheme="minorBidi"/>
          <w:rtl/>
        </w:rPr>
        <w:t xml:space="preserve"> יז וסמ"ג </w:t>
      </w:r>
      <w:r w:rsidRPr="004A56B9">
        <w:rPr>
          <w:rFonts w:asciiTheme="minorBidi" w:hAnsiTheme="minorBidi" w:hint="cs"/>
          <w:rtl/>
        </w:rPr>
        <w:t xml:space="preserve">דף </w:t>
      </w:r>
      <w:r w:rsidRPr="004A56B9">
        <w:rPr>
          <w:rFonts w:asciiTheme="minorBidi" w:hAnsiTheme="minorBidi"/>
          <w:rtl/>
        </w:rPr>
        <w:t>נב וסמ"ק סי</w:t>
      </w:r>
      <w:r w:rsidRPr="004A56B9">
        <w:rPr>
          <w:rFonts w:asciiTheme="minorBidi" w:hAnsiTheme="minorBidi" w:hint="cs"/>
          <w:rtl/>
        </w:rPr>
        <w:t>'</w:t>
      </w:r>
      <w:r w:rsidRPr="004A56B9">
        <w:rPr>
          <w:rFonts w:asciiTheme="minorBidi" w:hAnsiTheme="minorBidi"/>
          <w:rtl/>
        </w:rPr>
        <w:t xml:space="preserve"> ריד וש"ד סי</w:t>
      </w:r>
      <w:r w:rsidRPr="004A56B9">
        <w:rPr>
          <w:rFonts w:asciiTheme="minorBidi" w:hAnsiTheme="minorBidi" w:hint="cs"/>
          <w:rtl/>
        </w:rPr>
        <w:t>'</w:t>
      </w:r>
      <w:r w:rsidRPr="004A56B9">
        <w:rPr>
          <w:rFonts w:asciiTheme="minorBidi" w:hAnsiTheme="minorBidi"/>
          <w:rtl/>
        </w:rPr>
        <w:t xml:space="preserve"> מ"ו ור</w:t>
      </w:r>
      <w:r w:rsidRPr="004A56B9">
        <w:rPr>
          <w:rFonts w:asciiTheme="minorBidi" w:hAnsiTheme="minorBidi" w:hint="cs"/>
          <w:rtl/>
        </w:rPr>
        <w:t>י"ו</w:t>
      </w:r>
      <w:r w:rsidRPr="004A56B9">
        <w:rPr>
          <w:rFonts w:asciiTheme="minorBidi" w:hAnsiTheme="minorBidi"/>
          <w:rtl/>
        </w:rPr>
        <w:t xml:space="preserve"> נט"ו והמ"מ פ"ה מהמ"א בשם המפרשים</w:t>
      </w:r>
      <w:r w:rsidRPr="004A56B9">
        <w:rPr>
          <w:rFonts w:asciiTheme="minorBidi" w:hAnsiTheme="minorBidi" w:hint="cs"/>
          <w:rtl/>
        </w:rPr>
        <w:t>, ציונים לרמ"א.</w:t>
      </w:r>
    </w:p>
  </w:footnote>
  <w:footnote w:id="2466">
    <w:p w14:paraId="01FA0DE3" w14:textId="77777777" w:rsidR="004C5A3C" w:rsidRDefault="004C5A3C" w:rsidP="002C39F4">
      <w:pPr>
        <w:pStyle w:val="a5"/>
      </w:pPr>
      <w:r>
        <w:rPr>
          <w:rStyle w:val="a7"/>
        </w:rPr>
        <w:footnoteRef/>
      </w:r>
      <w:r>
        <w:rPr>
          <w:rtl/>
        </w:rPr>
        <w:t xml:space="preserve"> </w:t>
      </w:r>
      <w:r>
        <w:rPr>
          <w:rFonts w:hint="cs"/>
          <w:rtl/>
        </w:rPr>
        <w:t xml:space="preserve">כן הבינו הב"י והרמ"א בדברי הרשב"א, אך הב"ח והט"ז </w:t>
      </w:r>
      <w:r w:rsidRPr="00DC2995">
        <w:rPr>
          <w:rFonts w:hint="cs"/>
          <w:sz w:val="16"/>
          <w:szCs w:val="16"/>
          <w:rtl/>
        </w:rPr>
        <w:t xml:space="preserve">(סק"ג) </w:t>
      </w:r>
      <w:r>
        <w:rPr>
          <w:rFonts w:hint="cs"/>
          <w:rtl/>
        </w:rPr>
        <w:t>חלקו, וכתבו ש</w:t>
      </w:r>
      <w:r>
        <w:rPr>
          <w:rFonts w:cs="Arial" w:hint="cs"/>
          <w:rtl/>
        </w:rPr>
        <w:t>דעת כולם שווה</w:t>
      </w:r>
      <w:r>
        <w:rPr>
          <w:rFonts w:hint="cs"/>
          <w:rtl/>
        </w:rPr>
        <w:t>, והרשב"א לא התיר אלא רק ב</w:t>
      </w:r>
      <w:r w:rsidRPr="000F6591">
        <w:rPr>
          <w:rFonts w:cs="Arial"/>
          <w:rtl/>
        </w:rPr>
        <w:t xml:space="preserve">מקולין </w:t>
      </w:r>
      <w:r>
        <w:rPr>
          <w:rFonts w:cs="Arial" w:hint="cs"/>
          <w:rtl/>
        </w:rPr>
        <w:t xml:space="preserve">כשרה </w:t>
      </w:r>
      <w:r w:rsidRPr="000F6591">
        <w:rPr>
          <w:rFonts w:cs="Arial"/>
          <w:rtl/>
        </w:rPr>
        <w:t>שנתערבה שם טריפה ולקח ממנה ואינו יודע מא</w:t>
      </w:r>
      <w:r>
        <w:rPr>
          <w:rFonts w:cs="Arial" w:hint="cs"/>
          <w:rtl/>
        </w:rPr>
        <w:t>לו חתיכות</w:t>
      </w:r>
      <w:r w:rsidRPr="000F6591">
        <w:rPr>
          <w:rFonts w:cs="Arial"/>
          <w:rtl/>
        </w:rPr>
        <w:t xml:space="preserve"> לקח ונתערב באחרים כו'</w:t>
      </w:r>
      <w:r>
        <w:rPr>
          <w:rFonts w:cs="Arial" w:hint="cs"/>
          <w:rtl/>
        </w:rPr>
        <w:t>, והיינו ספק ספקא כששני הספיקות הם בדרבנן, אבל מה שכתב הב"י בדעת הרשב"א הוי ספק ספקא</w:t>
      </w:r>
      <w:r>
        <w:rPr>
          <w:rFonts w:hint="cs"/>
          <w:rtl/>
        </w:rPr>
        <w:t xml:space="preserve"> כשהספק הראשון דאו' </w:t>
      </w:r>
      <w:r w:rsidRPr="00865D1A">
        <w:rPr>
          <w:rFonts w:hint="cs"/>
          <w:sz w:val="16"/>
          <w:szCs w:val="16"/>
          <w:rtl/>
        </w:rPr>
        <w:t>(</w:t>
      </w:r>
      <w:r w:rsidRPr="00865D1A">
        <w:rPr>
          <w:rFonts w:cs="Arial"/>
          <w:sz w:val="16"/>
          <w:szCs w:val="16"/>
          <w:rtl/>
        </w:rPr>
        <w:t>ששני מיני קבוע יש לפנינו האחד הוא קבוע דאו</w:t>
      </w:r>
      <w:r>
        <w:rPr>
          <w:rFonts w:cs="Arial" w:hint="cs"/>
          <w:sz w:val="16"/>
          <w:szCs w:val="16"/>
          <w:rtl/>
        </w:rPr>
        <w:t>'</w:t>
      </w:r>
      <w:r w:rsidRPr="00865D1A">
        <w:rPr>
          <w:rFonts w:cs="Arial"/>
          <w:sz w:val="16"/>
          <w:szCs w:val="16"/>
          <w:rtl/>
        </w:rPr>
        <w:t xml:space="preserve"> דהיינו ט' חנויות כשרות וא' טריפה שבזה אמרינן מדאו</w:t>
      </w:r>
      <w:r>
        <w:rPr>
          <w:rFonts w:cs="Arial" w:hint="cs"/>
          <w:sz w:val="16"/>
          <w:szCs w:val="16"/>
          <w:rtl/>
        </w:rPr>
        <w:t>'</w:t>
      </w:r>
      <w:r w:rsidRPr="00865D1A">
        <w:rPr>
          <w:rFonts w:cs="Arial"/>
          <w:sz w:val="16"/>
          <w:szCs w:val="16"/>
          <w:rtl/>
        </w:rPr>
        <w:t xml:space="preserve"> כל קבוע כמחצה כו' כיון שהאיסור ניכר במקומו ובזה אין חילוק בין ראויה להתכבד או לא וקבוע דרבנן הוא במקולין אחד שנמצא שם טריפה נתערבה בין הכשירות ואינו יודע מאיזה לקח דמדאו</w:t>
      </w:r>
      <w:r>
        <w:rPr>
          <w:rFonts w:cs="Arial" w:hint="cs"/>
          <w:sz w:val="16"/>
          <w:szCs w:val="16"/>
          <w:rtl/>
        </w:rPr>
        <w:t>'</w:t>
      </w:r>
      <w:r w:rsidRPr="00865D1A">
        <w:rPr>
          <w:rFonts w:cs="Arial"/>
          <w:sz w:val="16"/>
          <w:szCs w:val="16"/>
          <w:rtl/>
        </w:rPr>
        <w:t xml:space="preserve"> הוה כל בשר שבמקולין כשר דבטל ברוב אלא דחכמים גזרו באם יש שם חתיכה הראויה להתכבד דלא ליהוי בטילה ונתנו על מקולין זה דין קבוע</w:t>
      </w:r>
      <w:r w:rsidRPr="00865D1A">
        <w:rPr>
          <w:rFonts w:cs="Arial" w:hint="cs"/>
          <w:sz w:val="16"/>
          <w:szCs w:val="16"/>
          <w:rtl/>
        </w:rPr>
        <w:t>)</w:t>
      </w:r>
      <w:r>
        <w:rPr>
          <w:rFonts w:cs="Arial" w:hint="cs"/>
          <w:rtl/>
        </w:rPr>
        <w:t xml:space="preserve"> </w:t>
      </w:r>
      <w:r>
        <w:rPr>
          <w:rFonts w:hint="cs"/>
          <w:rtl/>
        </w:rPr>
        <w:t xml:space="preserve">והשני דרבנן ובזה אין להתיר כספק טרפה </w:t>
      </w:r>
      <w:r w:rsidRPr="00DC2995">
        <w:rPr>
          <w:rFonts w:hint="cs"/>
          <w:sz w:val="16"/>
          <w:szCs w:val="16"/>
          <w:rtl/>
        </w:rPr>
        <w:t>(לקמן סע' ט)</w:t>
      </w:r>
      <w:r>
        <w:rPr>
          <w:rFonts w:hint="cs"/>
          <w:rtl/>
        </w:rPr>
        <w:t xml:space="preserve">. וכדברי הב"ח והט"ז כן הבין הגהות או"ה </w:t>
      </w:r>
      <w:r w:rsidRPr="00DC2995">
        <w:rPr>
          <w:rFonts w:hint="cs"/>
          <w:sz w:val="16"/>
          <w:szCs w:val="16"/>
          <w:rtl/>
        </w:rPr>
        <w:t xml:space="preserve">(כלל כה די"ב) </w:t>
      </w:r>
      <w:r>
        <w:rPr>
          <w:rFonts w:hint="cs"/>
          <w:rtl/>
        </w:rPr>
        <w:t xml:space="preserve">בדברי הרשב"א. אך הש"ך </w:t>
      </w:r>
      <w:r w:rsidRPr="00DC2995">
        <w:rPr>
          <w:rFonts w:hint="cs"/>
          <w:sz w:val="16"/>
          <w:szCs w:val="16"/>
          <w:rtl/>
        </w:rPr>
        <w:t xml:space="preserve">(סקכ"ב) </w:t>
      </w:r>
      <w:r>
        <w:rPr>
          <w:rFonts w:hint="cs"/>
          <w:rtl/>
        </w:rPr>
        <w:t xml:space="preserve">העמיד את הבנת הב"י ורמ"א בדברי הרשב"א, ובאמת התיר הרשב"א כשהספק הראשון דאו', וכתב שכן הבין הה"מ </w:t>
      </w:r>
      <w:r w:rsidRPr="00DC2995">
        <w:rPr>
          <w:rFonts w:hint="cs"/>
          <w:sz w:val="16"/>
          <w:szCs w:val="16"/>
          <w:rtl/>
        </w:rPr>
        <w:t xml:space="preserve">(פ"ח הי"א) </w:t>
      </w:r>
      <w:r>
        <w:rPr>
          <w:rFonts w:hint="cs"/>
          <w:rtl/>
        </w:rPr>
        <w:t xml:space="preserve">בדברי הרשב"א, וכתב שלא קשה על הרשב"א והמחבר </w:t>
      </w:r>
      <w:r w:rsidRPr="00DC2995">
        <w:rPr>
          <w:rFonts w:cs="Arial"/>
          <w:rtl/>
        </w:rPr>
        <w:t>ממאי דס"ל בספק טרפה שנתערבה ברוב דלא בטלה</w:t>
      </w:r>
      <w:r>
        <w:rPr>
          <w:rFonts w:cs="Arial" w:hint="cs"/>
          <w:rtl/>
        </w:rPr>
        <w:t>,</w:t>
      </w:r>
      <w:r w:rsidRPr="00DC2995">
        <w:rPr>
          <w:rFonts w:cs="Arial"/>
          <w:rtl/>
        </w:rPr>
        <w:t xml:space="preserve"> דהכא דין קבוע חידוש וכדכתבתי בסקי"ד בשם הר"ן</w:t>
      </w:r>
      <w:r>
        <w:rPr>
          <w:rFonts w:cs="Arial" w:hint="cs"/>
          <w:rtl/>
        </w:rPr>
        <w:t>,</w:t>
      </w:r>
      <w:r w:rsidRPr="00DC2995">
        <w:rPr>
          <w:rFonts w:cs="Arial"/>
          <w:rtl/>
        </w:rPr>
        <w:t xml:space="preserve"> משום דבכל דוכתי אזלינן בתר רובא ואין לך בו אלא חידושו והיינו כל שהוא בפני עצמו אבל לא כשנתערב אח"כ</w:t>
      </w:r>
      <w:r>
        <w:rPr>
          <w:rFonts w:cs="Arial" w:hint="cs"/>
          <w:rtl/>
        </w:rPr>
        <w:t>.</w:t>
      </w:r>
    </w:p>
  </w:footnote>
  <w:footnote w:id="2467">
    <w:p w14:paraId="70F3738F" w14:textId="77777777" w:rsidR="004C5A3C" w:rsidRDefault="004C5A3C" w:rsidP="002C39F4">
      <w:pPr>
        <w:pStyle w:val="a5"/>
        <w:rPr>
          <w:rtl/>
        </w:rPr>
      </w:pPr>
      <w:r>
        <w:rPr>
          <w:rStyle w:val="a7"/>
        </w:rPr>
        <w:footnoteRef/>
      </w:r>
      <w:r w:rsidRPr="00C729EA">
        <w:rPr>
          <w:rFonts w:cs="Arial"/>
          <w:rtl/>
        </w:rPr>
        <w:t xml:space="preserve"> דהכי מוכח בהנהו דפרק התערובת (זבחים עד.) דטבעת של ע"ז שנפלה לק' וכוס של ע"ז שנפל לאוצר מלא כוסות שאע"פ שפירש אחד מהם לפנינו ונפל לאחרים מותרים וכפי התירוץ שכתבתי אני למעלה</w:t>
      </w:r>
      <w:r>
        <w:rPr>
          <w:rFonts w:hint="cs"/>
          <w:rtl/>
        </w:rPr>
        <w:t xml:space="preserve">, רשב"א </w:t>
      </w:r>
      <w:r>
        <w:rPr>
          <w:rFonts w:cs="Arial" w:hint="cs"/>
          <w:rtl/>
        </w:rPr>
        <w:t>(</w:t>
      </w:r>
      <w:r w:rsidRPr="00C729EA">
        <w:rPr>
          <w:rFonts w:cs="Arial"/>
          <w:rtl/>
        </w:rPr>
        <w:t>תוה</w:t>
      </w:r>
      <w:r>
        <w:rPr>
          <w:rFonts w:cs="Arial" w:hint="cs"/>
          <w:rtl/>
        </w:rPr>
        <w:t>"</w:t>
      </w:r>
      <w:r w:rsidRPr="00C729EA">
        <w:rPr>
          <w:rFonts w:cs="Arial"/>
          <w:rtl/>
        </w:rPr>
        <w:t>א שם ל:)</w:t>
      </w:r>
      <w:r>
        <w:rPr>
          <w:rFonts w:hint="cs"/>
          <w:rtl/>
        </w:rPr>
        <w:t>.</w:t>
      </w:r>
    </w:p>
  </w:footnote>
  <w:footnote w:id="2468">
    <w:p w14:paraId="46A53AB3" w14:textId="77777777" w:rsidR="004C5A3C" w:rsidRDefault="004C5A3C" w:rsidP="002C39F4">
      <w:pPr>
        <w:pStyle w:val="a5"/>
      </w:pPr>
      <w:r>
        <w:rPr>
          <w:rStyle w:val="a7"/>
        </w:rPr>
        <w:footnoteRef/>
      </w:r>
      <w:r>
        <w:rPr>
          <w:rtl/>
        </w:rPr>
        <w:t xml:space="preserve"> </w:t>
      </w:r>
      <w:r w:rsidRPr="001F13D8">
        <w:rPr>
          <w:rtl/>
        </w:rPr>
        <w:t>אמנם אם פירש מן התערובות שאינו קבוע אע</w:t>
      </w:r>
      <w:r w:rsidRPr="001F13D8">
        <w:rPr>
          <w:rFonts w:hint="cs"/>
          <w:rtl/>
        </w:rPr>
        <w:t>"</w:t>
      </w:r>
      <w:r w:rsidRPr="001F13D8">
        <w:rPr>
          <w:rtl/>
        </w:rPr>
        <w:t>פ שבעצמו אסור דחיישינן שמא יקח מן הקבוע מ"מ הואיל ואינו אסור אלא מדרבנן אם נתערב אח"כ באחרים מותר מטעם ס"ס</w:t>
      </w:r>
      <w:r>
        <w:rPr>
          <w:rFonts w:hint="cs"/>
          <w:rtl/>
        </w:rPr>
        <w:t>, או"ה.</w:t>
      </w:r>
    </w:p>
  </w:footnote>
  <w:footnote w:id="2469">
    <w:p w14:paraId="4BC9B846" w14:textId="77777777" w:rsidR="004C5A3C" w:rsidRDefault="004C5A3C" w:rsidP="002C39F4">
      <w:pPr>
        <w:pStyle w:val="a5"/>
      </w:pPr>
      <w:r>
        <w:rPr>
          <w:rStyle w:val="a7"/>
        </w:rPr>
        <w:footnoteRef/>
      </w:r>
      <w:r>
        <w:rPr>
          <w:rtl/>
        </w:rPr>
        <w:t xml:space="preserve"> </w:t>
      </w:r>
      <w:r w:rsidRPr="009045F3">
        <w:rPr>
          <w:rFonts w:cs="Arial"/>
          <w:rtl/>
        </w:rPr>
        <w:t>צ"ע דלא יהא אלא תערובות הא המחבר ס"ל בס"ח דלא שרי אלא בג' תערובות והרשב"א לטעמיה אזיל דס"</w:t>
      </w:r>
      <w:r>
        <w:rPr>
          <w:rFonts w:cs="Arial"/>
          <w:rtl/>
        </w:rPr>
        <w:t xml:space="preserve">ל דשרי בב' תערובות וכדלקמן </w:t>
      </w:r>
      <w:r>
        <w:rPr>
          <w:rFonts w:cs="Arial" w:hint="cs"/>
          <w:rtl/>
        </w:rPr>
        <w:t>סק"נ,</w:t>
      </w:r>
      <w:r w:rsidRPr="009045F3">
        <w:rPr>
          <w:rFonts w:cs="Arial"/>
          <w:rtl/>
        </w:rPr>
        <w:t xml:space="preserve"> וצ"ל דס"ל להמחבר דכיון דקבוע חידוש הוא גרע מתערובות וכל שנתערב אח"כ אזלינן בתר רוב ושרי</w:t>
      </w:r>
      <w:r>
        <w:rPr>
          <w:rFonts w:cs="Arial" w:hint="cs"/>
          <w:rtl/>
        </w:rPr>
        <w:t>,</w:t>
      </w:r>
      <w:r w:rsidRPr="009045F3">
        <w:rPr>
          <w:rFonts w:cs="Arial"/>
          <w:rtl/>
        </w:rPr>
        <w:t xml:space="preserve"> ועוד ס"ל כיון דבלא"ה הרבה פוסקים מתירים בב' תערובות וכמו שיתבאר ב</w:t>
      </w:r>
      <w:r>
        <w:rPr>
          <w:rFonts w:cs="Arial" w:hint="cs"/>
          <w:rtl/>
        </w:rPr>
        <w:t>סק"נ</w:t>
      </w:r>
      <w:r w:rsidRPr="009045F3">
        <w:rPr>
          <w:rFonts w:cs="Arial"/>
          <w:rtl/>
        </w:rPr>
        <w:t xml:space="preserve"> א"כ בקבוע דחידוש הוא אין לך בו אלא חידושו ושרי בנתערב אח"כ</w:t>
      </w:r>
      <w:r>
        <w:rPr>
          <w:rFonts w:cs="Arial" w:hint="cs"/>
          <w:rtl/>
        </w:rPr>
        <w:t>,</w:t>
      </w:r>
      <w:r w:rsidRPr="009045F3">
        <w:rPr>
          <w:rFonts w:cs="Arial"/>
          <w:rtl/>
        </w:rPr>
        <w:t xml:space="preserve"> ודוחק</w:t>
      </w:r>
      <w:r>
        <w:rPr>
          <w:rFonts w:cs="Arial" w:hint="cs"/>
          <w:rtl/>
        </w:rPr>
        <w:t>, ש"ך (סקכ"ג).</w:t>
      </w:r>
    </w:p>
  </w:footnote>
  <w:footnote w:id="2470">
    <w:p w14:paraId="14AF27B4" w14:textId="77777777" w:rsidR="004C5A3C" w:rsidRDefault="004C5A3C" w:rsidP="002C39F4">
      <w:pPr>
        <w:pStyle w:val="a5"/>
      </w:pPr>
      <w:r>
        <w:rPr>
          <w:rStyle w:val="a7"/>
        </w:rPr>
        <w:footnoteRef/>
      </w:r>
      <w:r>
        <w:rPr>
          <w:rtl/>
        </w:rPr>
        <w:t xml:space="preserve"> </w:t>
      </w:r>
      <w:r w:rsidRPr="00E40A18">
        <w:rPr>
          <w:rFonts w:cs="Arial"/>
          <w:rtl/>
        </w:rPr>
        <w:t>ספק בשעה שאוכל החתיכה שמא לא זו היא שבאה מהקבוע</w:t>
      </w:r>
      <w:r>
        <w:rPr>
          <w:rFonts w:cs="Arial" w:hint="cs"/>
          <w:rtl/>
        </w:rPr>
        <w:t xml:space="preserve">, </w:t>
      </w:r>
      <w:r w:rsidRPr="00E40A18">
        <w:rPr>
          <w:rFonts w:cs="Arial"/>
          <w:rtl/>
        </w:rPr>
        <w:t>ואת"ל זו היא שמא של היתר היא</w:t>
      </w:r>
      <w:r>
        <w:rPr>
          <w:rFonts w:cs="Arial" w:hint="cs"/>
          <w:rtl/>
        </w:rPr>
        <w:t>,</w:t>
      </w:r>
      <w:r w:rsidRPr="00E40A18">
        <w:rPr>
          <w:rFonts w:cs="Arial"/>
          <w:rtl/>
        </w:rPr>
        <w:t xml:space="preserve"> ולפי זה אסור לאכול כולן בבת אחת דליכא אלא חדא ספיקא ופשוט הוא</w:t>
      </w:r>
      <w:r>
        <w:rPr>
          <w:rFonts w:cs="Arial" w:hint="cs"/>
          <w:rtl/>
        </w:rPr>
        <w:t>, ש"ך (סקכ"ד).</w:t>
      </w:r>
    </w:p>
  </w:footnote>
  <w:footnote w:id="2471">
    <w:p w14:paraId="1E92E8CD" w14:textId="77777777" w:rsidR="004C5A3C" w:rsidRDefault="004C5A3C" w:rsidP="002C39F4">
      <w:pPr>
        <w:pStyle w:val="a5"/>
      </w:pPr>
      <w:r>
        <w:rPr>
          <w:rStyle w:val="a7"/>
        </w:rPr>
        <w:footnoteRef/>
      </w:r>
      <w:r>
        <w:rPr>
          <w:rtl/>
        </w:rPr>
        <w:t xml:space="preserve"> </w:t>
      </w:r>
      <w:r w:rsidRPr="006B5CF8">
        <w:rPr>
          <w:rFonts w:cs="Arial"/>
          <w:rtl/>
        </w:rPr>
        <w:t>בדין זה דקבוע ואפי' פירש לפנינו אסור מן התורה כמחצה על מחצה ואסור אח"כ כשנתערב</w:t>
      </w:r>
      <w:r>
        <w:rPr>
          <w:rFonts w:cs="Arial" w:hint="cs"/>
          <w:rtl/>
        </w:rPr>
        <w:t>,</w:t>
      </w:r>
      <w:r w:rsidRPr="006B5CF8">
        <w:rPr>
          <w:rFonts w:cs="Arial"/>
          <w:rtl/>
        </w:rPr>
        <w:t xml:space="preserve"> כ"כ בת"ח </w:t>
      </w:r>
      <w:r w:rsidRPr="006B5CF8">
        <w:rPr>
          <w:rFonts w:cs="Arial" w:hint="cs"/>
          <w:sz w:val="16"/>
          <w:szCs w:val="16"/>
          <w:rtl/>
        </w:rPr>
        <w:t>(</w:t>
      </w:r>
      <w:r w:rsidRPr="006B5CF8">
        <w:rPr>
          <w:rFonts w:cs="Arial"/>
          <w:sz w:val="16"/>
          <w:szCs w:val="16"/>
          <w:rtl/>
        </w:rPr>
        <w:t>כלל מג ד</w:t>
      </w:r>
      <w:r w:rsidRPr="006B5CF8">
        <w:rPr>
          <w:rFonts w:cs="Arial" w:hint="cs"/>
          <w:sz w:val="16"/>
          <w:szCs w:val="16"/>
          <w:rtl/>
        </w:rPr>
        <w:t>"</w:t>
      </w:r>
      <w:r w:rsidRPr="006B5CF8">
        <w:rPr>
          <w:rFonts w:cs="Arial"/>
          <w:sz w:val="16"/>
          <w:szCs w:val="16"/>
          <w:rtl/>
        </w:rPr>
        <w:t>ח</w:t>
      </w:r>
      <w:r w:rsidRPr="006B5CF8">
        <w:rPr>
          <w:rFonts w:cs="Arial" w:hint="cs"/>
          <w:sz w:val="16"/>
          <w:szCs w:val="16"/>
          <w:rtl/>
        </w:rPr>
        <w:t>)</w:t>
      </w:r>
      <w:r w:rsidRPr="006B5CF8">
        <w:rPr>
          <w:rFonts w:cs="Arial"/>
          <w:sz w:val="16"/>
          <w:szCs w:val="16"/>
          <w:rtl/>
        </w:rPr>
        <w:t xml:space="preserve"> </w:t>
      </w:r>
      <w:r w:rsidRPr="006B5CF8">
        <w:rPr>
          <w:rFonts w:cs="Arial"/>
          <w:rtl/>
        </w:rPr>
        <w:t>בשם או"ה ופסק כך בסימנים</w:t>
      </w:r>
      <w:r>
        <w:rPr>
          <w:rFonts w:cs="Arial" w:hint="cs"/>
          <w:rtl/>
        </w:rPr>
        <w:t>,</w:t>
      </w:r>
      <w:r w:rsidRPr="006B5CF8">
        <w:rPr>
          <w:rFonts w:cs="Arial"/>
          <w:rtl/>
        </w:rPr>
        <w:t xml:space="preserve"> והיינו דהאריך כאן בהגה וכ</w:t>
      </w:r>
      <w:r>
        <w:rPr>
          <w:rFonts w:cs="Arial" w:hint="cs"/>
          <w:rtl/>
        </w:rPr>
        <w:t>'-</w:t>
      </w:r>
      <w:r w:rsidRPr="006B5CF8">
        <w:rPr>
          <w:rFonts w:cs="Arial"/>
          <w:rtl/>
        </w:rPr>
        <w:t xml:space="preserve"> משום דכל מקום דאיסור במקומו כו'</w:t>
      </w:r>
      <w:r>
        <w:rPr>
          <w:rFonts w:cs="Arial" w:hint="cs"/>
          <w:rtl/>
        </w:rPr>
        <w:t>,</w:t>
      </w:r>
      <w:r w:rsidRPr="006B5CF8">
        <w:rPr>
          <w:rFonts w:cs="Arial"/>
          <w:rtl/>
        </w:rPr>
        <w:t xml:space="preserve"> ולא כ' בקיצור</w:t>
      </w:r>
      <w:r>
        <w:rPr>
          <w:rFonts w:cs="Arial" w:hint="cs"/>
          <w:rtl/>
        </w:rPr>
        <w:t>-</w:t>
      </w:r>
      <w:r w:rsidRPr="006B5CF8">
        <w:rPr>
          <w:rFonts w:cs="Arial"/>
          <w:rtl/>
        </w:rPr>
        <w:t xml:space="preserve"> משום דהואיל וספק הראשון מן התורה כו'</w:t>
      </w:r>
      <w:r>
        <w:rPr>
          <w:rFonts w:cs="Arial" w:hint="cs"/>
          <w:rtl/>
        </w:rPr>
        <w:t>,</w:t>
      </w:r>
      <w:r w:rsidRPr="006B5CF8">
        <w:rPr>
          <w:rFonts w:cs="Arial"/>
          <w:rtl/>
        </w:rPr>
        <w:t xml:space="preserve"> אלא בא לומר דאע"פ דפירש לפנינו או לקחו </w:t>
      </w:r>
      <w:r>
        <w:rPr>
          <w:rFonts w:cs="Arial" w:hint="cs"/>
          <w:rtl/>
        </w:rPr>
        <w:t>גוי</w:t>
      </w:r>
      <w:r w:rsidRPr="006B5CF8">
        <w:rPr>
          <w:rFonts w:cs="Arial"/>
          <w:rtl/>
        </w:rPr>
        <w:t xml:space="preserve"> לפנינו מ"מ כיון דהאיסור במקומו הוי כמע</w:t>
      </w:r>
      <w:r>
        <w:rPr>
          <w:rFonts w:cs="Arial" w:hint="cs"/>
          <w:rtl/>
        </w:rPr>
        <w:t>"מ,</w:t>
      </w:r>
      <w:r w:rsidRPr="006B5CF8">
        <w:rPr>
          <w:rFonts w:cs="Arial"/>
          <w:rtl/>
        </w:rPr>
        <w:t xml:space="preserve"> והואיל כו'</w:t>
      </w:r>
      <w:r>
        <w:rPr>
          <w:rFonts w:cs="Arial" w:hint="cs"/>
          <w:rtl/>
        </w:rPr>
        <w:t>,</w:t>
      </w:r>
      <w:r w:rsidRPr="006B5CF8">
        <w:rPr>
          <w:rFonts w:cs="Arial"/>
          <w:rtl/>
        </w:rPr>
        <w:t xml:space="preserve"> מיהו בהא אפשר להתיר אם נתערב במקום הפסד מרובה וכה"ג כיון דמהרש"ל</w:t>
      </w:r>
      <w:r w:rsidRPr="006B5CF8">
        <w:rPr>
          <w:rFonts w:cs="Arial"/>
          <w:sz w:val="16"/>
          <w:szCs w:val="16"/>
          <w:rtl/>
        </w:rPr>
        <w:t xml:space="preserve"> </w:t>
      </w:r>
      <w:r w:rsidRPr="006B5CF8">
        <w:rPr>
          <w:rFonts w:cs="Arial" w:hint="cs"/>
          <w:sz w:val="16"/>
          <w:szCs w:val="16"/>
          <w:rtl/>
        </w:rPr>
        <w:t>(</w:t>
      </w:r>
      <w:r w:rsidRPr="006B5CF8">
        <w:rPr>
          <w:rFonts w:cs="Arial"/>
          <w:sz w:val="16"/>
          <w:szCs w:val="16"/>
          <w:rtl/>
        </w:rPr>
        <w:t>פג"ה סי' צד</w:t>
      </w:r>
      <w:r w:rsidRPr="006B5CF8">
        <w:rPr>
          <w:rFonts w:cs="Arial" w:hint="cs"/>
          <w:sz w:val="16"/>
          <w:szCs w:val="16"/>
          <w:rtl/>
        </w:rPr>
        <w:t>)</w:t>
      </w:r>
      <w:r w:rsidRPr="006B5CF8">
        <w:rPr>
          <w:rFonts w:cs="Arial"/>
          <w:rtl/>
        </w:rPr>
        <w:t xml:space="preserve"> פסק נמי כהרשב"א</w:t>
      </w:r>
      <w:r>
        <w:rPr>
          <w:rFonts w:cs="Arial" w:hint="cs"/>
          <w:rtl/>
        </w:rPr>
        <w:t>,</w:t>
      </w:r>
      <w:r w:rsidRPr="006B5CF8">
        <w:rPr>
          <w:rFonts w:cs="Arial"/>
          <w:rtl/>
        </w:rPr>
        <w:t xml:space="preserve"> וגם דעת הר"ן ויש פוסקים דפירש לפנינו אינו אלא מדרבנן</w:t>
      </w:r>
      <w:r>
        <w:rPr>
          <w:rFonts w:cs="Arial" w:hint="cs"/>
          <w:rtl/>
        </w:rPr>
        <w:t>,</w:t>
      </w:r>
      <w:r w:rsidRPr="006B5CF8">
        <w:rPr>
          <w:rFonts w:cs="Arial"/>
          <w:rtl/>
        </w:rPr>
        <w:t xml:space="preserve"> מיהו היינו דוקא בשאינו אוכלן </w:t>
      </w:r>
      <w:r>
        <w:rPr>
          <w:rFonts w:cs="Arial"/>
          <w:rtl/>
        </w:rPr>
        <w:t>כאחד דאל"ה ליכא ס"ס כדלקמן סקנ"</w:t>
      </w:r>
      <w:r>
        <w:rPr>
          <w:rFonts w:cs="Arial" w:hint="cs"/>
          <w:rtl/>
        </w:rPr>
        <w:t xml:space="preserve">ג, ש"ך </w:t>
      </w:r>
      <w:r w:rsidRPr="006B5CF8">
        <w:rPr>
          <w:rFonts w:cs="Arial" w:hint="cs"/>
          <w:sz w:val="16"/>
          <w:szCs w:val="16"/>
          <w:rtl/>
        </w:rPr>
        <w:t>(סקכ"ו)</w:t>
      </w:r>
      <w:r>
        <w:rPr>
          <w:rFonts w:cs="Arial" w:hint="cs"/>
          <w:rtl/>
        </w:rPr>
        <w:t>.</w:t>
      </w:r>
    </w:p>
  </w:footnote>
  <w:footnote w:id="2472">
    <w:p w14:paraId="04F9D419" w14:textId="77777777" w:rsidR="004C5A3C" w:rsidRDefault="004C5A3C" w:rsidP="002C39F4">
      <w:pPr>
        <w:pStyle w:val="a5"/>
      </w:pPr>
      <w:r>
        <w:rPr>
          <w:rStyle w:val="a7"/>
        </w:rPr>
        <w:footnoteRef/>
      </w:r>
      <w:r>
        <w:rPr>
          <w:rtl/>
        </w:rPr>
        <w:t xml:space="preserve"> </w:t>
      </w:r>
      <w:r w:rsidRPr="00B30B8A">
        <w:rPr>
          <w:rFonts w:cs="Arial"/>
          <w:rtl/>
        </w:rPr>
        <w:t>אה"נ אילו היה אסור משום תערובות לא הוי שרי בנתערב אח"כ בתערובות</w:t>
      </w:r>
      <w:r>
        <w:rPr>
          <w:rFonts w:cs="Arial" w:hint="cs"/>
          <w:rtl/>
        </w:rPr>
        <w:t>,</w:t>
      </w:r>
      <w:r w:rsidRPr="00B30B8A">
        <w:rPr>
          <w:rFonts w:cs="Arial"/>
          <w:rtl/>
        </w:rPr>
        <w:t xml:space="preserve"> כדלקמן ס"ח</w:t>
      </w:r>
      <w:r>
        <w:rPr>
          <w:rFonts w:cs="Arial" w:hint="cs"/>
          <w:rtl/>
        </w:rPr>
        <w:t>,</w:t>
      </w:r>
      <w:r w:rsidRPr="00B30B8A">
        <w:rPr>
          <w:rFonts w:cs="Arial"/>
          <w:rtl/>
        </w:rPr>
        <w:t xml:space="preserve"> אלא אתי לאפוקי אילו הוי ספק איסור דאסור מדרבנן הוי שרי בתערובות כדלקמן </w:t>
      </w:r>
      <w:r>
        <w:rPr>
          <w:rFonts w:cs="Arial" w:hint="cs"/>
          <w:rtl/>
        </w:rPr>
        <w:t>סקנ"ד,</w:t>
      </w:r>
      <w:r w:rsidRPr="00B30B8A">
        <w:rPr>
          <w:rFonts w:cs="Arial"/>
          <w:rtl/>
        </w:rPr>
        <w:t xml:space="preserve"> א"נ קמ"ל דל"ת דגרע טפי מתערובות כיון דקבוע חידוש הוא קמ"ל כיון דספק הראשון אסור מן התורה לא אמרינן הכי</w:t>
      </w:r>
      <w:r>
        <w:rPr>
          <w:rFonts w:cs="Arial" w:hint="cs"/>
          <w:rtl/>
        </w:rPr>
        <w:t>,</w:t>
      </w:r>
      <w:r w:rsidRPr="00B30B8A">
        <w:rPr>
          <w:rFonts w:cs="Arial"/>
          <w:rtl/>
        </w:rPr>
        <w:t xml:space="preserve"> וכל זה הוצרכתי להרב בהג"ה דס</w:t>
      </w:r>
      <w:r>
        <w:rPr>
          <w:rFonts w:cs="Arial" w:hint="cs"/>
          <w:rtl/>
        </w:rPr>
        <w:t>"</w:t>
      </w:r>
      <w:r w:rsidRPr="00B30B8A">
        <w:rPr>
          <w:rFonts w:cs="Arial"/>
          <w:rtl/>
        </w:rPr>
        <w:t>ל לקמן ס"ח דהתערובות הב' אסור לאכלו אע</w:t>
      </w:r>
      <w:r>
        <w:rPr>
          <w:rFonts w:cs="Arial" w:hint="cs"/>
          <w:rtl/>
        </w:rPr>
        <w:t>"</w:t>
      </w:r>
      <w:r w:rsidRPr="00B30B8A">
        <w:rPr>
          <w:rFonts w:cs="Arial"/>
          <w:rtl/>
        </w:rPr>
        <w:t>פ שאינו אוכלו כולו כאחד</w:t>
      </w:r>
      <w:r>
        <w:rPr>
          <w:rFonts w:cs="Arial" w:hint="cs"/>
          <w:rtl/>
        </w:rPr>
        <w:t>,</w:t>
      </w:r>
      <w:r w:rsidRPr="00B30B8A">
        <w:rPr>
          <w:rFonts w:cs="Arial"/>
          <w:rtl/>
        </w:rPr>
        <w:t xml:space="preserve"> אבל באו"ה גופיה אתי שפיר</w:t>
      </w:r>
      <w:r>
        <w:rPr>
          <w:rFonts w:cs="Arial" w:hint="cs"/>
          <w:rtl/>
        </w:rPr>
        <w:t>,</w:t>
      </w:r>
      <w:r>
        <w:rPr>
          <w:rFonts w:cs="Arial"/>
          <w:rtl/>
        </w:rPr>
        <w:t xml:space="preserve"> דכתבתי לקמן</w:t>
      </w:r>
      <w:r>
        <w:rPr>
          <w:rFonts w:cs="Arial" w:hint="cs"/>
          <w:rtl/>
        </w:rPr>
        <w:t xml:space="preserve"> סקנ"ה</w:t>
      </w:r>
      <w:r w:rsidRPr="00B30B8A">
        <w:rPr>
          <w:rFonts w:cs="Arial"/>
          <w:rtl/>
        </w:rPr>
        <w:t xml:space="preserve"> בשמו דבב' תערובות מותר התערובות הב' כשאינו אוכלו כולן כאחד</w:t>
      </w:r>
      <w:r>
        <w:rPr>
          <w:rFonts w:cs="Arial" w:hint="cs"/>
          <w:rtl/>
        </w:rPr>
        <w:t>,</w:t>
      </w:r>
      <w:r w:rsidRPr="00B30B8A">
        <w:rPr>
          <w:rFonts w:cs="Arial"/>
          <w:rtl/>
        </w:rPr>
        <w:t xml:space="preserve"> א"כ אשמועינן כאן דגרע מתערובות והוי כספק טרפה שנתערב דלקמן סעיף ט'</w:t>
      </w:r>
      <w:r>
        <w:rPr>
          <w:rFonts w:cs="Arial" w:hint="cs"/>
          <w:rtl/>
        </w:rPr>
        <w:t>,</w:t>
      </w:r>
      <w:r w:rsidRPr="00B30B8A">
        <w:rPr>
          <w:rFonts w:cs="Arial"/>
          <w:rtl/>
        </w:rPr>
        <w:t xml:space="preserve"> ואסור התערובות אע</w:t>
      </w:r>
      <w:r>
        <w:rPr>
          <w:rFonts w:cs="Arial" w:hint="cs"/>
          <w:rtl/>
        </w:rPr>
        <w:t>"</w:t>
      </w:r>
      <w:r w:rsidRPr="00B30B8A">
        <w:rPr>
          <w:rFonts w:cs="Arial"/>
          <w:rtl/>
        </w:rPr>
        <w:t>פ שאינו אוכלו כולו כאחד והוא ברור</w:t>
      </w:r>
      <w:r>
        <w:rPr>
          <w:rFonts w:cs="Arial" w:hint="cs"/>
          <w:rtl/>
        </w:rPr>
        <w:t>, ש"ך (סקכ"ז).</w:t>
      </w:r>
    </w:p>
  </w:footnote>
  <w:footnote w:id="2473">
    <w:p w14:paraId="7F4A6B77" w14:textId="77777777" w:rsidR="004C5A3C" w:rsidRDefault="004C5A3C" w:rsidP="002C39F4">
      <w:pPr>
        <w:pStyle w:val="a5"/>
        <w:rPr>
          <w:rtl/>
        </w:rPr>
      </w:pPr>
      <w:r>
        <w:rPr>
          <w:rStyle w:val="a7"/>
        </w:rPr>
        <w:footnoteRef/>
      </w:r>
      <w:r>
        <w:rPr>
          <w:rtl/>
        </w:rPr>
        <w:t xml:space="preserve"> </w:t>
      </w:r>
      <w:r>
        <w:rPr>
          <w:rFonts w:hint="cs"/>
          <w:rtl/>
        </w:rPr>
        <w:t xml:space="preserve">כ' הרשב"א </w:t>
      </w:r>
      <w:r w:rsidRPr="008C0A32">
        <w:rPr>
          <w:rFonts w:cs="Arial" w:hint="cs"/>
          <w:sz w:val="16"/>
          <w:szCs w:val="16"/>
          <w:rtl/>
        </w:rPr>
        <w:t xml:space="preserve">(תוה"א </w:t>
      </w:r>
      <w:r w:rsidRPr="008C0A32">
        <w:rPr>
          <w:rFonts w:cs="Arial"/>
          <w:sz w:val="16"/>
          <w:szCs w:val="16"/>
          <w:rtl/>
        </w:rPr>
        <w:t>ב"ד ש"ב ל.)</w:t>
      </w:r>
      <w:r>
        <w:rPr>
          <w:rFonts w:cs="Arial" w:hint="cs"/>
          <w:sz w:val="16"/>
          <w:szCs w:val="16"/>
          <w:rtl/>
        </w:rPr>
        <w:t xml:space="preserve"> </w:t>
      </w:r>
      <w:r>
        <w:rPr>
          <w:rFonts w:hint="cs"/>
          <w:rtl/>
        </w:rPr>
        <w:t>וז"ל- ו</w:t>
      </w:r>
      <w:r w:rsidRPr="008C0A32">
        <w:rPr>
          <w:rFonts w:cs="Arial"/>
          <w:rtl/>
        </w:rPr>
        <w:t>בנמצא הלך אחר הרוב</w:t>
      </w:r>
      <w:r w:rsidRPr="008C0A32">
        <w:rPr>
          <w:rFonts w:cs="Arial" w:hint="cs"/>
          <w:rtl/>
        </w:rPr>
        <w:t>,</w:t>
      </w:r>
      <w:r w:rsidRPr="008C0A32">
        <w:rPr>
          <w:rFonts w:cs="Arial"/>
          <w:rtl/>
        </w:rPr>
        <w:t xml:space="preserve"> וא"ת אפילו פירש אמאי שריא ליה והא איכא למיגזר שמא יקח מן הקבוע</w:t>
      </w:r>
      <w:r w:rsidRPr="008C0A32">
        <w:rPr>
          <w:rFonts w:cs="Arial" w:hint="cs"/>
          <w:rtl/>
        </w:rPr>
        <w:t>,</w:t>
      </w:r>
      <w:r w:rsidRPr="008C0A32">
        <w:rPr>
          <w:rFonts w:cs="Arial"/>
          <w:rtl/>
        </w:rPr>
        <w:t xml:space="preserve"> וכדתנן בפרק התערובות (זבחים ע:) כל הזבחים שנתערבו בחטאות המתות או בשור הנסקל אפילו הן רבוא ימותו כולם</w:t>
      </w:r>
      <w:r>
        <w:rPr>
          <w:rFonts w:cs="Arial" w:hint="cs"/>
          <w:rtl/>
        </w:rPr>
        <w:t>,</w:t>
      </w:r>
      <w:r w:rsidRPr="008C0A32">
        <w:rPr>
          <w:rFonts w:cs="Arial"/>
          <w:rtl/>
        </w:rPr>
        <w:t xml:space="preserve"> ואקשי עליה בגמרא (עג:) ונכבשינהו כי היכי דניניידן ונימא כל דפריש מרובא פריש</w:t>
      </w:r>
      <w:r>
        <w:rPr>
          <w:rFonts w:cs="Arial" w:hint="cs"/>
          <w:rtl/>
        </w:rPr>
        <w:t>,</w:t>
      </w:r>
      <w:r w:rsidRPr="008C0A32">
        <w:rPr>
          <w:rFonts w:cs="Arial"/>
          <w:rtl/>
        </w:rPr>
        <w:t xml:space="preserve"> ומשני שמא יקח מן הקבוע</w:t>
      </w:r>
      <w:r w:rsidRPr="008C0A32">
        <w:rPr>
          <w:rFonts w:cs="Arial" w:hint="cs"/>
          <w:rtl/>
        </w:rPr>
        <w:t>,</w:t>
      </w:r>
      <w:r w:rsidRPr="008C0A32">
        <w:rPr>
          <w:rFonts w:cs="Arial"/>
          <w:rtl/>
        </w:rPr>
        <w:t xml:space="preserve"> תירץ ר"י דהתם היתר ואיסור מעורבים זה בזה ואי שרית ליה כשפירש אתי למשקל מן הקבוע כיון דאין מקומו ניכר</w:t>
      </w:r>
      <w:r w:rsidRPr="008C0A32">
        <w:rPr>
          <w:rFonts w:cs="Arial" w:hint="cs"/>
          <w:rtl/>
        </w:rPr>
        <w:t>,</w:t>
      </w:r>
      <w:r w:rsidRPr="008C0A32">
        <w:rPr>
          <w:rFonts w:cs="Arial"/>
          <w:rtl/>
        </w:rPr>
        <w:t xml:space="preserve"> אבל היכא דמקום האיסור נודע וניכר לא חיישינן דברשיעי לא עסקינן שמא יקח מן האיסור הברור</w:t>
      </w:r>
      <w:r w:rsidRPr="008C0A32">
        <w:rPr>
          <w:rFonts w:cs="Arial" w:hint="cs"/>
          <w:rtl/>
        </w:rPr>
        <w:t>,</w:t>
      </w:r>
      <w:r w:rsidRPr="008C0A32">
        <w:rPr>
          <w:rFonts w:cs="Arial"/>
          <w:rtl/>
        </w:rPr>
        <w:t xml:space="preserve"> ולפי דברי ר"י</w:t>
      </w:r>
      <w:r>
        <w:rPr>
          <w:rFonts w:hint="cs"/>
          <w:rtl/>
        </w:rPr>
        <w:t>-...</w:t>
      </w:r>
    </w:p>
  </w:footnote>
  <w:footnote w:id="2474">
    <w:p w14:paraId="6509B0C2" w14:textId="77777777" w:rsidR="004C5A3C" w:rsidRDefault="004C5A3C" w:rsidP="002C39F4">
      <w:pPr>
        <w:pStyle w:val="a5"/>
        <w:rPr>
          <w:rtl/>
        </w:rPr>
      </w:pPr>
      <w:r>
        <w:rPr>
          <w:rStyle w:val="a7"/>
        </w:rPr>
        <w:footnoteRef/>
      </w:r>
      <w:r>
        <w:rPr>
          <w:rtl/>
        </w:rPr>
        <w:t xml:space="preserve"> </w:t>
      </w:r>
      <w:r>
        <w:rPr>
          <w:rFonts w:hint="cs"/>
          <w:rtl/>
        </w:rPr>
        <w:t xml:space="preserve">והוסיף הרשב"א וכ'- </w:t>
      </w:r>
      <w:r w:rsidRPr="008C0A32">
        <w:rPr>
          <w:rFonts w:cs="Arial"/>
          <w:rtl/>
        </w:rPr>
        <w:t>וכן דעת רבינו שמשון ז"ל שכל שנאסרו שעה אחת משום קביעות שוב אין ניתרות ואפילו פירשו מעצמן</w:t>
      </w:r>
      <w:r w:rsidRPr="008C0A32">
        <w:rPr>
          <w:rFonts w:cs="Arial" w:hint="cs"/>
          <w:rtl/>
        </w:rPr>
        <w:t>,</w:t>
      </w:r>
      <w:r w:rsidRPr="008C0A32">
        <w:rPr>
          <w:rFonts w:cs="Arial"/>
          <w:rtl/>
        </w:rPr>
        <w:t xml:space="preserve"> והביא ראיה מהא דאמרינן פרק התערובות (שם עד.) טבעת של ע"ז שנפלה לק' טבעות</w:t>
      </w:r>
      <w:r>
        <w:rPr>
          <w:rFonts w:cs="Arial" w:hint="cs"/>
          <w:rtl/>
        </w:rPr>
        <w:t>,</w:t>
      </w:r>
      <w:r w:rsidRPr="008C0A32">
        <w:rPr>
          <w:rFonts w:cs="Arial"/>
          <w:rtl/>
        </w:rPr>
        <w:t xml:space="preserve"> פירשו מ' למקום אחר אין אוסרין</w:t>
      </w:r>
      <w:r w:rsidRPr="008C0A32">
        <w:rPr>
          <w:rFonts w:cs="Arial" w:hint="cs"/>
          <w:rtl/>
        </w:rPr>
        <w:t>,</w:t>
      </w:r>
      <w:r w:rsidRPr="008C0A32">
        <w:rPr>
          <w:rFonts w:cs="Arial"/>
          <w:rtl/>
        </w:rPr>
        <w:t xml:space="preserve"> ששים למקום אחר אוסרין</w:t>
      </w:r>
      <w:r w:rsidRPr="008C0A32">
        <w:rPr>
          <w:rFonts w:cs="Arial" w:hint="cs"/>
          <w:rtl/>
        </w:rPr>
        <w:t>,</w:t>
      </w:r>
      <w:r w:rsidRPr="008C0A32">
        <w:rPr>
          <w:rFonts w:cs="Arial"/>
          <w:rtl/>
        </w:rPr>
        <w:t xml:space="preserve"> ותניא ספק ע"ז אסור וס"ס מותר</w:t>
      </w:r>
      <w:r w:rsidRPr="008C0A32">
        <w:rPr>
          <w:rFonts w:cs="Arial" w:hint="cs"/>
          <w:rtl/>
        </w:rPr>
        <w:t>,</w:t>
      </w:r>
      <w:r w:rsidRPr="008C0A32">
        <w:rPr>
          <w:rFonts w:cs="Arial"/>
          <w:rtl/>
        </w:rPr>
        <w:t xml:space="preserve"> כיצד</w:t>
      </w:r>
      <w:r w:rsidRPr="008C0A32">
        <w:rPr>
          <w:rFonts w:cs="Arial" w:hint="cs"/>
          <w:rtl/>
        </w:rPr>
        <w:t>,</w:t>
      </w:r>
      <w:r w:rsidRPr="008C0A32">
        <w:rPr>
          <w:rFonts w:cs="Arial"/>
          <w:rtl/>
        </w:rPr>
        <w:t xml:space="preserve"> כוס של ע"ז שנפל לאוצר מלא כוסות כולם אסורין</w:t>
      </w:r>
      <w:r>
        <w:rPr>
          <w:rFonts w:cs="Arial" w:hint="cs"/>
          <w:rtl/>
        </w:rPr>
        <w:t>,</w:t>
      </w:r>
      <w:r w:rsidRPr="008C0A32">
        <w:rPr>
          <w:rFonts w:cs="Arial"/>
          <w:rtl/>
        </w:rPr>
        <w:t xml:space="preserve"> פירש אחד לרבוא ומרבוא לרבוא מותרים</w:t>
      </w:r>
      <w:r w:rsidRPr="008C0A32">
        <w:rPr>
          <w:rFonts w:cs="Arial" w:hint="cs"/>
          <w:rtl/>
        </w:rPr>
        <w:t>,</w:t>
      </w:r>
      <w:r w:rsidRPr="008C0A32">
        <w:rPr>
          <w:rFonts w:cs="Arial"/>
          <w:rtl/>
        </w:rPr>
        <w:t xml:space="preserve"> ופירשו</w:t>
      </w:r>
      <w:r>
        <w:rPr>
          <w:rFonts w:cs="Arial" w:hint="cs"/>
          <w:rtl/>
        </w:rPr>
        <w:t>-</w:t>
      </w:r>
      <w:r w:rsidRPr="008C0A32">
        <w:rPr>
          <w:rFonts w:cs="Arial"/>
          <w:rtl/>
        </w:rPr>
        <w:t xml:space="preserve"> מעצמן משמע ואפ"ה משמע דדוקא פירשו ונתערבו באחרים אבל פירשו מאיליהן והרי הן עומדים בפני עצמן אסורין</w:t>
      </w:r>
      <w:r w:rsidRPr="008C0A32">
        <w:rPr>
          <w:rFonts w:cs="Arial" w:hint="cs"/>
          <w:rtl/>
        </w:rPr>
        <w:t>,</w:t>
      </w:r>
      <w:r w:rsidRPr="008C0A32">
        <w:rPr>
          <w:rFonts w:cs="Arial"/>
          <w:rtl/>
        </w:rPr>
        <w:t xml:space="preserve"> וטעמא כדאמרן דכל שנאסרו מחמת קביעותן אע</w:t>
      </w:r>
      <w:r w:rsidRPr="008C0A32">
        <w:rPr>
          <w:rFonts w:cs="Arial" w:hint="cs"/>
          <w:rtl/>
        </w:rPr>
        <w:t>"</w:t>
      </w:r>
      <w:r w:rsidRPr="008C0A32">
        <w:rPr>
          <w:rFonts w:cs="Arial"/>
          <w:rtl/>
        </w:rPr>
        <w:t>פ שפירשו</w:t>
      </w:r>
      <w:r w:rsidRPr="008C0A32">
        <w:rPr>
          <w:rFonts w:cs="Arial" w:hint="cs"/>
          <w:rtl/>
        </w:rPr>
        <w:t>-</w:t>
      </w:r>
      <w:r w:rsidRPr="008C0A32">
        <w:rPr>
          <w:rFonts w:cs="Arial"/>
          <w:rtl/>
        </w:rPr>
        <w:t xml:space="preserve"> באיסורן הן עומדים גזרה שמא יקח מן הקבוע</w:t>
      </w:r>
      <w:r>
        <w:rPr>
          <w:rFonts w:cs="Arial" w:hint="cs"/>
          <w:rtl/>
        </w:rPr>
        <w:t xml:space="preserve">. </w:t>
      </w:r>
      <w:r w:rsidRPr="008C0A32">
        <w:rPr>
          <w:rFonts w:cs="Arial"/>
          <w:rtl/>
        </w:rPr>
        <w:t>ונ"ל שאין ראיית הרב ז"ל בזה מחוורת דהתם כשפירש לפנינו מן הקבוע ובודאי כשפירש לפנינו מן הקבוע ה"ז כלוקח מן הקבוע</w:t>
      </w:r>
      <w:r w:rsidRPr="008C0A32">
        <w:rPr>
          <w:rFonts w:cs="Arial" w:hint="cs"/>
          <w:rtl/>
        </w:rPr>
        <w:t>,</w:t>
      </w:r>
      <w:r w:rsidRPr="008C0A32">
        <w:rPr>
          <w:rFonts w:cs="Arial"/>
          <w:rtl/>
        </w:rPr>
        <w:t xml:space="preserve"> וכמו שכתבנו</w:t>
      </w:r>
      <w:r w:rsidRPr="008C0A32">
        <w:rPr>
          <w:rFonts w:cs="Arial" w:hint="cs"/>
          <w:rtl/>
        </w:rPr>
        <w:t>,</w:t>
      </w:r>
      <w:r w:rsidRPr="008C0A32">
        <w:rPr>
          <w:rFonts w:cs="Arial"/>
          <w:rtl/>
        </w:rPr>
        <w:t xml:space="preserve"> וכדמוכח בההיא דפ"ק דפסחים (ט:)</w:t>
      </w:r>
      <w:r w:rsidRPr="008C0A32">
        <w:rPr>
          <w:rFonts w:cs="Arial" w:hint="cs"/>
          <w:rtl/>
        </w:rPr>
        <w:t>,</w:t>
      </w:r>
      <w:r w:rsidRPr="008C0A32">
        <w:rPr>
          <w:rFonts w:cs="Arial"/>
          <w:rtl/>
        </w:rPr>
        <w:t xml:space="preserve"> ואפ"ה אם חזר אותו שפירש לפנינו ונפל לתוך היתר מרובה מותר</w:t>
      </w:r>
      <w:r w:rsidRPr="008C0A32">
        <w:rPr>
          <w:rFonts w:cs="Arial" w:hint="cs"/>
          <w:rtl/>
        </w:rPr>
        <w:t>,</w:t>
      </w:r>
      <w:r w:rsidRPr="008C0A32">
        <w:rPr>
          <w:rFonts w:cs="Arial"/>
          <w:rtl/>
        </w:rPr>
        <w:t xml:space="preserve"> שאני אומר איסורא לתוך רובא אשתאר דהו"ל ספק ספקא ומותר</w:t>
      </w:r>
      <w:r w:rsidRPr="008C0A32">
        <w:rPr>
          <w:rFonts w:cs="Arial" w:hint="cs"/>
          <w:rtl/>
        </w:rPr>
        <w:t>,</w:t>
      </w:r>
      <w:r w:rsidRPr="008C0A32">
        <w:rPr>
          <w:rFonts w:cs="Arial"/>
          <w:rtl/>
        </w:rPr>
        <w:t xml:space="preserve"> אבל כשפירש שלא בפנינו או שנתפזרו כולן ואפילו בפנינו כבר נתבטלה הקביעות ומותר</w:t>
      </w:r>
      <w:r w:rsidRPr="008C0A32">
        <w:rPr>
          <w:rFonts w:cs="Arial" w:hint="cs"/>
          <w:rtl/>
        </w:rPr>
        <w:t>,</w:t>
      </w:r>
      <w:r w:rsidRPr="008C0A32">
        <w:rPr>
          <w:rFonts w:cs="Arial"/>
          <w:rtl/>
        </w:rPr>
        <w:t xml:space="preserve"> וכן דעת ר"ת ז"ל דכל שפירש מעצמו מותר</w:t>
      </w:r>
      <w:r>
        <w:rPr>
          <w:rFonts w:cs="Arial" w:hint="cs"/>
          <w:rtl/>
        </w:rPr>
        <w:t>,</w:t>
      </w:r>
      <w:r w:rsidRPr="008C0A32">
        <w:rPr>
          <w:rFonts w:cs="Arial"/>
          <w:rtl/>
        </w:rPr>
        <w:t xml:space="preserve"> ולא אמרו שם בשור הנסקל גזרה שמא יקח מן הקבוע אלא בכובש ביד כדי שיתפזרו</w:t>
      </w:r>
      <w:r w:rsidRPr="008C0A32">
        <w:rPr>
          <w:rFonts w:cs="Arial" w:hint="cs"/>
          <w:rtl/>
        </w:rPr>
        <w:t>,</w:t>
      </w:r>
      <w:r w:rsidRPr="008C0A32">
        <w:rPr>
          <w:rFonts w:cs="Arial"/>
          <w:rtl/>
        </w:rPr>
        <w:t xml:space="preserve"> שאם אתה מתיר לכבוש כדי שיתפזרו ויקח מן הפורשים ודאי איכא למגזר שמא לא יפזר ויקח מן הקבוע</w:t>
      </w:r>
      <w:r w:rsidRPr="008C0A32">
        <w:rPr>
          <w:rFonts w:cs="Arial" w:hint="cs"/>
          <w:rtl/>
        </w:rPr>
        <w:t>,</w:t>
      </w:r>
      <w:r w:rsidRPr="008C0A32">
        <w:rPr>
          <w:rFonts w:cs="Arial"/>
          <w:rtl/>
        </w:rPr>
        <w:t xml:space="preserve"> וכן כתב בשאלתות דרב אחאי פרשת ויקרא (סי</w:t>
      </w:r>
      <w:r w:rsidRPr="008C0A32">
        <w:rPr>
          <w:rFonts w:cs="Arial" w:hint="cs"/>
          <w:rtl/>
        </w:rPr>
        <w:t>'</w:t>
      </w:r>
      <w:r w:rsidRPr="008C0A32">
        <w:rPr>
          <w:rFonts w:cs="Arial"/>
          <w:rtl/>
        </w:rPr>
        <w:t xml:space="preserve"> סח)</w:t>
      </w:r>
      <w:r>
        <w:rPr>
          <w:rFonts w:cs="Arial" w:hint="cs"/>
          <w:rtl/>
        </w:rPr>
        <w:t>,</w:t>
      </w:r>
      <w:r w:rsidRPr="008C0A32">
        <w:rPr>
          <w:rFonts w:cs="Arial"/>
          <w:rtl/>
        </w:rPr>
        <w:t xml:space="preserve"> עכ"ל</w:t>
      </w:r>
      <w:r>
        <w:rPr>
          <w:rFonts w:hint="cs"/>
          <w:rtl/>
        </w:rPr>
        <w:t xml:space="preserve"> הרשב"א.</w:t>
      </w:r>
    </w:p>
  </w:footnote>
  <w:footnote w:id="2475">
    <w:p w14:paraId="3FCEFE7C" w14:textId="77777777" w:rsidR="004C5A3C" w:rsidRDefault="004C5A3C" w:rsidP="002C39F4">
      <w:pPr>
        <w:pStyle w:val="a5"/>
        <w:rPr>
          <w:rtl/>
        </w:rPr>
      </w:pPr>
      <w:r>
        <w:rPr>
          <w:rStyle w:val="a7"/>
        </w:rPr>
        <w:footnoteRef/>
      </w:r>
      <w:r>
        <w:rPr>
          <w:rtl/>
        </w:rPr>
        <w:t xml:space="preserve"> </w:t>
      </w:r>
      <w:r>
        <w:rPr>
          <w:rFonts w:cs="Arial" w:hint="cs"/>
          <w:rtl/>
        </w:rPr>
        <w:t xml:space="preserve">וכ' הב"י- </w:t>
      </w:r>
      <w:r w:rsidRPr="008C0A32">
        <w:rPr>
          <w:rFonts w:cs="Arial"/>
          <w:rtl/>
        </w:rPr>
        <w:t>ויש לתמוה על רבינו שכתב לעיל דדבר חשוב אינו בטל חד בתרי ואפילו אם פירש אחד מהתערובות אסור וכו' שזהו כדעת ר"י</w:t>
      </w:r>
      <w:r>
        <w:rPr>
          <w:rFonts w:cs="Arial" w:hint="cs"/>
          <w:rtl/>
        </w:rPr>
        <w:t>,</w:t>
      </w:r>
      <w:r w:rsidRPr="008C0A32">
        <w:rPr>
          <w:rFonts w:cs="Arial"/>
          <w:rtl/>
        </w:rPr>
        <w:t xml:space="preserve"> ולפי דבריו אם לקח בשר מן המקולין ואח"כ נמצאת טריפה במקולין אסור</w:t>
      </w:r>
      <w:r>
        <w:rPr>
          <w:rFonts w:cs="Arial" w:hint="cs"/>
          <w:rtl/>
        </w:rPr>
        <w:t>,</w:t>
      </w:r>
      <w:r w:rsidRPr="008C0A32">
        <w:rPr>
          <w:rFonts w:cs="Arial"/>
          <w:rtl/>
        </w:rPr>
        <w:t xml:space="preserve"> וכמ"ש הרשב"א לפי דבריו</w:t>
      </w:r>
      <w:r>
        <w:rPr>
          <w:rFonts w:cs="Arial" w:hint="cs"/>
          <w:rtl/>
        </w:rPr>
        <w:t>,</w:t>
      </w:r>
      <w:r w:rsidRPr="008C0A32">
        <w:rPr>
          <w:rFonts w:cs="Arial"/>
          <w:rtl/>
        </w:rPr>
        <w:t xml:space="preserve"> והיאך כתב כאן הסכמת הרשב"א דשרי בלקח בשר מן המקולין ואח</w:t>
      </w:r>
      <w:r w:rsidRPr="008C0A32">
        <w:rPr>
          <w:rFonts w:cs="Arial" w:hint="cs"/>
          <w:rtl/>
        </w:rPr>
        <w:t>"</w:t>
      </w:r>
      <w:r w:rsidRPr="008C0A32">
        <w:rPr>
          <w:rFonts w:cs="Arial"/>
          <w:rtl/>
        </w:rPr>
        <w:t>כ נמצאת טריפה במקולין</w:t>
      </w:r>
      <w:r w:rsidRPr="008C0A32">
        <w:rPr>
          <w:rFonts w:cs="Arial" w:hint="cs"/>
          <w:rtl/>
        </w:rPr>
        <w:t>,</w:t>
      </w:r>
      <w:r w:rsidRPr="008C0A32">
        <w:rPr>
          <w:rFonts w:cs="Arial"/>
          <w:rtl/>
        </w:rPr>
        <w:t xml:space="preserve"> ומדהביא דבריו משמע דהכי ס"ל</w:t>
      </w:r>
      <w:r w:rsidRPr="008C0A32">
        <w:rPr>
          <w:rFonts w:cs="Arial" w:hint="cs"/>
          <w:rtl/>
        </w:rPr>
        <w:t>,</w:t>
      </w:r>
      <w:r w:rsidRPr="008C0A32">
        <w:rPr>
          <w:rFonts w:cs="Arial"/>
          <w:rtl/>
        </w:rPr>
        <w:t xml:space="preserve"> וצ"ל שרבינו לא ראה דברי הרשב"א בתוה</w:t>
      </w:r>
      <w:r w:rsidRPr="008C0A32">
        <w:rPr>
          <w:rFonts w:cs="Arial" w:hint="cs"/>
          <w:rtl/>
        </w:rPr>
        <w:t>"</w:t>
      </w:r>
      <w:r w:rsidRPr="008C0A32">
        <w:rPr>
          <w:rFonts w:cs="Arial"/>
          <w:rtl/>
        </w:rPr>
        <w:t>א ולא עלה על דעתו ששני דינים אלו תלויין זה בזה כמו שתלאם הרשב"א</w:t>
      </w:r>
      <w:r w:rsidRPr="008C0A32">
        <w:rPr>
          <w:rFonts w:cs="Arial" w:hint="cs"/>
          <w:rtl/>
        </w:rPr>
        <w:t>,</w:t>
      </w:r>
      <w:r w:rsidRPr="008C0A32">
        <w:rPr>
          <w:rFonts w:cs="Arial"/>
          <w:rtl/>
        </w:rPr>
        <w:t xml:space="preserve"> ולפיכך אע</w:t>
      </w:r>
      <w:r w:rsidRPr="008C0A32">
        <w:rPr>
          <w:rFonts w:cs="Arial" w:hint="cs"/>
          <w:rtl/>
        </w:rPr>
        <w:t>"</w:t>
      </w:r>
      <w:r w:rsidRPr="008C0A32">
        <w:rPr>
          <w:rFonts w:cs="Arial"/>
          <w:rtl/>
        </w:rPr>
        <w:t>פ שכתב דברי ר"י כמו שהיה הסכמת התוס</w:t>
      </w:r>
      <w:r w:rsidRPr="008C0A32">
        <w:rPr>
          <w:rFonts w:cs="Arial" w:hint="cs"/>
          <w:rtl/>
        </w:rPr>
        <w:t>'</w:t>
      </w:r>
      <w:r w:rsidRPr="008C0A32">
        <w:rPr>
          <w:rFonts w:cs="Arial"/>
          <w:rtl/>
        </w:rPr>
        <w:t xml:space="preserve"> והרא"ש לא נמנע מלכתוב דינו של הרשב"א ז"ל</w:t>
      </w:r>
      <w:r w:rsidRPr="008C0A32">
        <w:rPr>
          <w:rFonts w:cs="Arial" w:hint="cs"/>
          <w:rtl/>
        </w:rPr>
        <w:t>,</w:t>
      </w:r>
      <w:r w:rsidRPr="008C0A32">
        <w:rPr>
          <w:rFonts w:cs="Arial"/>
          <w:rtl/>
        </w:rPr>
        <w:t xml:space="preserve"> אבל לפום קושטא דדינא כבר למדנו הרשב"א שהם תלוים זה בזה ואי איתיה להאי ליתיה להאי</w:t>
      </w:r>
      <w:r w:rsidRPr="008C0A32">
        <w:rPr>
          <w:rFonts w:cs="Arial" w:hint="cs"/>
          <w:rtl/>
        </w:rPr>
        <w:t>.</w:t>
      </w:r>
    </w:p>
  </w:footnote>
  <w:footnote w:id="2476">
    <w:p w14:paraId="0305A621" w14:textId="77777777" w:rsidR="004C5A3C" w:rsidRDefault="004C5A3C" w:rsidP="002C39F4">
      <w:pPr>
        <w:pStyle w:val="a5"/>
        <w:rPr>
          <w:rtl/>
        </w:rPr>
      </w:pPr>
      <w:r>
        <w:rPr>
          <w:rStyle w:val="a7"/>
        </w:rPr>
        <w:footnoteRef/>
      </w:r>
      <w:r>
        <w:rPr>
          <w:rtl/>
        </w:rPr>
        <w:t xml:space="preserve"> </w:t>
      </w:r>
      <w:r>
        <w:rPr>
          <w:rFonts w:cs="Arial" w:hint="cs"/>
          <w:rtl/>
        </w:rPr>
        <w:t xml:space="preserve">וכ' הרשב"א </w:t>
      </w:r>
      <w:r w:rsidRPr="008C0A32">
        <w:rPr>
          <w:rFonts w:cs="Arial" w:hint="cs"/>
          <w:sz w:val="16"/>
          <w:szCs w:val="16"/>
          <w:rtl/>
        </w:rPr>
        <w:t xml:space="preserve">(תוה"א </w:t>
      </w:r>
      <w:r w:rsidRPr="008C0A32">
        <w:rPr>
          <w:rFonts w:cs="Arial"/>
          <w:sz w:val="16"/>
          <w:szCs w:val="16"/>
          <w:rtl/>
        </w:rPr>
        <w:t>ב"ד ש"ב ל.)</w:t>
      </w:r>
      <w:r>
        <w:rPr>
          <w:rFonts w:cs="Arial" w:hint="cs"/>
          <w:sz w:val="16"/>
          <w:szCs w:val="16"/>
          <w:rtl/>
        </w:rPr>
        <w:t xml:space="preserve"> </w:t>
      </w:r>
      <w:r>
        <w:rPr>
          <w:rFonts w:cs="Arial" w:hint="cs"/>
          <w:rtl/>
        </w:rPr>
        <w:t xml:space="preserve">שכן דעת השאילתות </w:t>
      </w:r>
      <w:r>
        <w:rPr>
          <w:rFonts w:cs="Arial" w:hint="cs"/>
          <w:sz w:val="16"/>
          <w:szCs w:val="16"/>
          <w:rtl/>
        </w:rPr>
        <w:t>(ויקרא סי' סח)</w:t>
      </w:r>
      <w:r>
        <w:rPr>
          <w:rFonts w:cs="Arial" w:hint="cs"/>
          <w:rtl/>
        </w:rPr>
        <w:t xml:space="preserve"> ור"ת. וכ' הב"י שכ"כ הר"ן </w:t>
      </w:r>
      <w:r>
        <w:rPr>
          <w:rFonts w:cs="Arial" w:hint="cs"/>
          <w:sz w:val="16"/>
          <w:szCs w:val="16"/>
          <w:rtl/>
        </w:rPr>
        <w:t>(חולין לג:)</w:t>
      </w:r>
      <w:r>
        <w:rPr>
          <w:rFonts w:cs="Arial" w:hint="cs"/>
          <w:rtl/>
        </w:rPr>
        <w:t xml:space="preserve"> בשם התוס'</w:t>
      </w:r>
      <w:r w:rsidRPr="008C0A32">
        <w:rPr>
          <w:rFonts w:cs="Arial"/>
          <w:rtl/>
        </w:rPr>
        <w:t xml:space="preserve"> </w:t>
      </w:r>
      <w:r w:rsidRPr="00FF1C9D">
        <w:rPr>
          <w:rFonts w:cs="Arial" w:hint="cs"/>
          <w:sz w:val="16"/>
          <w:szCs w:val="16"/>
          <w:rtl/>
        </w:rPr>
        <w:t>(</w:t>
      </w:r>
      <w:r>
        <w:rPr>
          <w:rFonts w:cs="Arial" w:hint="cs"/>
          <w:sz w:val="16"/>
          <w:szCs w:val="16"/>
          <w:rtl/>
        </w:rPr>
        <w:t xml:space="preserve">וז"ל  הר"ן- </w:t>
      </w:r>
      <w:r w:rsidRPr="00FF1C9D">
        <w:rPr>
          <w:rFonts w:cs="Arial"/>
          <w:sz w:val="16"/>
          <w:szCs w:val="16"/>
          <w:rtl/>
        </w:rPr>
        <w:t>דלא מיקרי קבוע אלא כשהיה האיסור נודע קודם שלקח</w:t>
      </w:r>
      <w:r w:rsidRPr="00FF1C9D">
        <w:rPr>
          <w:rFonts w:cs="Arial" w:hint="cs"/>
          <w:sz w:val="16"/>
          <w:szCs w:val="16"/>
          <w:rtl/>
        </w:rPr>
        <w:t>,</w:t>
      </w:r>
      <w:r w:rsidRPr="00FF1C9D">
        <w:rPr>
          <w:rFonts w:cs="Arial"/>
          <w:sz w:val="16"/>
          <w:szCs w:val="16"/>
          <w:rtl/>
        </w:rPr>
        <w:t xml:space="preserve"> אבל אם לא נודע האיסור בשעה שלקח אע</w:t>
      </w:r>
      <w:r w:rsidRPr="00FF1C9D">
        <w:rPr>
          <w:rFonts w:cs="Arial" w:hint="cs"/>
          <w:sz w:val="16"/>
          <w:szCs w:val="16"/>
          <w:rtl/>
        </w:rPr>
        <w:t>"</w:t>
      </w:r>
      <w:r w:rsidRPr="00FF1C9D">
        <w:rPr>
          <w:rFonts w:cs="Arial"/>
          <w:sz w:val="16"/>
          <w:szCs w:val="16"/>
          <w:rtl/>
        </w:rPr>
        <w:t>פ שלאחר שלקח נתגלה האיסור ונעשה קבוע לא אמרינן דנעשה קבוע למפרע</w:t>
      </w:r>
      <w:r w:rsidRPr="00FF1C9D">
        <w:rPr>
          <w:rFonts w:cs="Arial" w:hint="cs"/>
          <w:sz w:val="16"/>
          <w:szCs w:val="16"/>
          <w:rtl/>
        </w:rPr>
        <w:t>,</w:t>
      </w:r>
      <w:r w:rsidRPr="00FF1C9D">
        <w:rPr>
          <w:rFonts w:cs="Arial"/>
          <w:sz w:val="16"/>
          <w:szCs w:val="16"/>
          <w:rtl/>
        </w:rPr>
        <w:t xml:space="preserve"> ונ"מ למי שלקח בשר מהמקולין ואח"כ נודע שהיתה טריפה ביניהם דשרי</w:t>
      </w:r>
      <w:r w:rsidRPr="00FF1C9D">
        <w:rPr>
          <w:rFonts w:cs="Arial" w:hint="cs"/>
          <w:sz w:val="16"/>
          <w:szCs w:val="16"/>
          <w:rtl/>
        </w:rPr>
        <w:t>,</w:t>
      </w:r>
      <w:r w:rsidRPr="00FF1C9D">
        <w:rPr>
          <w:rFonts w:cs="Arial"/>
          <w:sz w:val="16"/>
          <w:szCs w:val="16"/>
          <w:rtl/>
        </w:rPr>
        <w:t xml:space="preserve"> שדין קבוע שיהיה כמחצה על מחצה חידוש הוא ואין לך בו אלא מחידושו ואילך אבל למפרע לא</w:t>
      </w:r>
      <w:r w:rsidRPr="00FF1C9D">
        <w:rPr>
          <w:rFonts w:cs="Arial" w:hint="cs"/>
          <w:sz w:val="16"/>
          <w:szCs w:val="16"/>
          <w:rtl/>
        </w:rPr>
        <w:t>,</w:t>
      </w:r>
      <w:r w:rsidRPr="00FF1C9D">
        <w:rPr>
          <w:rFonts w:cs="Arial"/>
          <w:sz w:val="16"/>
          <w:szCs w:val="16"/>
          <w:rtl/>
        </w:rPr>
        <w:t xml:space="preserve"> עכ"ל</w:t>
      </w:r>
      <w:r>
        <w:rPr>
          <w:rFonts w:cs="Arial" w:hint="cs"/>
          <w:sz w:val="16"/>
          <w:szCs w:val="16"/>
          <w:rtl/>
        </w:rPr>
        <w:t>)</w:t>
      </w:r>
      <w:r>
        <w:rPr>
          <w:rFonts w:cs="Arial" w:hint="cs"/>
          <w:rtl/>
        </w:rPr>
        <w:t>,</w:t>
      </w:r>
      <w:r w:rsidRPr="008C0A32">
        <w:rPr>
          <w:rFonts w:cs="Arial"/>
          <w:rtl/>
        </w:rPr>
        <w:t xml:space="preserve"> וזה כדעת ר"ת וכהסכמת הרשב"א. </w:t>
      </w:r>
      <w:r w:rsidRPr="008E0700">
        <w:rPr>
          <w:rFonts w:cs="Arial"/>
          <w:rtl/>
        </w:rPr>
        <w:t xml:space="preserve">אבל </w:t>
      </w:r>
      <w:r>
        <w:rPr>
          <w:rFonts w:cs="Arial" w:hint="cs"/>
          <w:rtl/>
        </w:rPr>
        <w:t>ה</w:t>
      </w:r>
      <w:r w:rsidRPr="008E0700">
        <w:rPr>
          <w:rFonts w:cs="Arial"/>
          <w:rtl/>
        </w:rPr>
        <w:t>תוס</w:t>
      </w:r>
      <w:r w:rsidRPr="008E0700">
        <w:rPr>
          <w:rFonts w:cs="Arial" w:hint="cs"/>
          <w:rtl/>
        </w:rPr>
        <w:t>'</w:t>
      </w:r>
      <w:r w:rsidRPr="008E0700">
        <w:rPr>
          <w:rFonts w:cs="Arial"/>
          <w:rtl/>
        </w:rPr>
        <w:t xml:space="preserve"> </w:t>
      </w:r>
      <w:r w:rsidRPr="006829E8">
        <w:rPr>
          <w:rFonts w:cs="Arial"/>
          <w:sz w:val="16"/>
          <w:szCs w:val="16"/>
          <w:rtl/>
        </w:rPr>
        <w:t>(עי' חולין צה. סוד"ה הכא נמי)</w:t>
      </w:r>
      <w:r w:rsidRPr="008E0700">
        <w:rPr>
          <w:rFonts w:cs="Arial"/>
          <w:rtl/>
        </w:rPr>
        <w:t xml:space="preserve"> והרא"ש ז"ל </w:t>
      </w:r>
      <w:r w:rsidRPr="006829E8">
        <w:rPr>
          <w:rFonts w:cs="Arial"/>
          <w:sz w:val="16"/>
          <w:szCs w:val="16"/>
          <w:rtl/>
        </w:rPr>
        <w:t>(</w:t>
      </w:r>
      <w:r w:rsidRPr="006829E8">
        <w:rPr>
          <w:rFonts w:cs="Arial" w:hint="cs"/>
          <w:sz w:val="16"/>
          <w:szCs w:val="16"/>
          <w:rtl/>
        </w:rPr>
        <w:t xml:space="preserve">חולין פג"ה </w:t>
      </w:r>
      <w:r w:rsidRPr="006829E8">
        <w:rPr>
          <w:rFonts w:cs="Arial"/>
          <w:sz w:val="16"/>
          <w:szCs w:val="16"/>
          <w:rtl/>
        </w:rPr>
        <w:t xml:space="preserve">סי' כא) </w:t>
      </w:r>
      <w:r w:rsidRPr="008E0700">
        <w:rPr>
          <w:rFonts w:cs="Arial"/>
          <w:rtl/>
        </w:rPr>
        <w:t>כתבו בפג"ה דהלכה למעשה נראה כדברי ר"י</w:t>
      </w:r>
      <w:r>
        <w:rPr>
          <w:rFonts w:cs="Arial" w:hint="cs"/>
          <w:rtl/>
        </w:rPr>
        <w:t xml:space="preserve"> </w:t>
      </w:r>
      <w:r w:rsidRPr="008E0700">
        <w:rPr>
          <w:rFonts w:cs="Arial" w:hint="cs"/>
          <w:sz w:val="16"/>
          <w:szCs w:val="16"/>
          <w:rtl/>
        </w:rPr>
        <w:t>(עכ"ל הב"י)</w:t>
      </w:r>
      <w:r>
        <w:rPr>
          <w:rFonts w:cs="Arial" w:hint="cs"/>
          <w:rtl/>
        </w:rPr>
        <w:t>.</w:t>
      </w:r>
      <w:r>
        <w:rPr>
          <w:rFonts w:hint="cs"/>
          <w:rtl/>
        </w:rPr>
        <w:t xml:space="preserve"> וכ' עוד הב"י שכן דעת </w:t>
      </w:r>
      <w:r>
        <w:rPr>
          <w:rFonts w:cs="Arial" w:hint="cs"/>
          <w:rtl/>
        </w:rPr>
        <w:t>ה</w:t>
      </w:r>
      <w:r>
        <w:rPr>
          <w:rFonts w:cs="Arial"/>
          <w:rtl/>
        </w:rPr>
        <w:t xml:space="preserve">רא"ש </w:t>
      </w:r>
      <w:r>
        <w:rPr>
          <w:rFonts w:cs="Arial" w:hint="cs"/>
          <w:sz w:val="16"/>
          <w:szCs w:val="16"/>
          <w:rtl/>
        </w:rPr>
        <w:t xml:space="preserve">(בתשובה </w:t>
      </w:r>
      <w:r w:rsidRPr="00346692">
        <w:rPr>
          <w:rFonts w:cs="Arial"/>
          <w:sz w:val="16"/>
          <w:szCs w:val="16"/>
          <w:rtl/>
        </w:rPr>
        <w:t>כלל כ סי' יז)</w:t>
      </w:r>
      <w:r>
        <w:rPr>
          <w:rFonts w:hint="cs"/>
          <w:rtl/>
        </w:rPr>
        <w:t>.</w:t>
      </w:r>
    </w:p>
  </w:footnote>
  <w:footnote w:id="2477">
    <w:p w14:paraId="0AC2F39E" w14:textId="77777777" w:rsidR="004C5A3C" w:rsidRDefault="004C5A3C" w:rsidP="002C39F4">
      <w:pPr>
        <w:pStyle w:val="a5"/>
        <w:rPr>
          <w:rtl/>
        </w:rPr>
      </w:pPr>
      <w:r>
        <w:rPr>
          <w:rStyle w:val="a7"/>
        </w:rPr>
        <w:footnoteRef/>
      </w:r>
      <w:r>
        <w:rPr>
          <w:rtl/>
        </w:rPr>
        <w:t xml:space="preserve"> </w:t>
      </w:r>
      <w:r>
        <w:rPr>
          <w:rFonts w:cs="Arial" w:hint="cs"/>
          <w:rtl/>
        </w:rPr>
        <w:t xml:space="preserve">כ' הב"י- </w:t>
      </w:r>
      <w:r w:rsidRPr="008C0A32">
        <w:rPr>
          <w:rFonts w:cs="Arial"/>
          <w:rtl/>
        </w:rPr>
        <w:t xml:space="preserve">ואיכא למידק דלעיל קאמר </w:t>
      </w:r>
      <w:r w:rsidRPr="003E6F7C">
        <w:rPr>
          <w:rFonts w:cs="Arial"/>
          <w:sz w:val="16"/>
          <w:szCs w:val="16"/>
          <w:rtl/>
        </w:rPr>
        <w:t xml:space="preserve">(שם כט:) </w:t>
      </w:r>
      <w:r w:rsidRPr="008C0A32">
        <w:rPr>
          <w:rFonts w:cs="Arial"/>
          <w:rtl/>
        </w:rPr>
        <w:t>דכשנתערבה באחרות בטלה ברוב משום ספק ספקא</w:t>
      </w:r>
      <w:r>
        <w:rPr>
          <w:rFonts w:cs="Arial" w:hint="cs"/>
          <w:rtl/>
        </w:rPr>
        <w:t>,</w:t>
      </w:r>
      <w:r w:rsidRPr="008C0A32">
        <w:rPr>
          <w:rFonts w:cs="Arial"/>
          <w:rtl/>
        </w:rPr>
        <w:t xml:space="preserve"> והשתא קאמר דבטלה ברוב כדין יבש ביבש</w:t>
      </w:r>
      <w:r>
        <w:rPr>
          <w:rFonts w:cs="Arial" w:hint="cs"/>
          <w:rtl/>
        </w:rPr>
        <w:t>,</w:t>
      </w:r>
      <w:r w:rsidRPr="008C0A32">
        <w:rPr>
          <w:rFonts w:cs="Arial"/>
          <w:rtl/>
        </w:rPr>
        <w:t xml:space="preserve"> והלא דין יבש ביבש דבטל ברוב אפילו בדליכא אלא חד ספק הוא</w:t>
      </w:r>
      <w:r>
        <w:rPr>
          <w:rFonts w:cs="Arial" w:hint="cs"/>
          <w:rtl/>
        </w:rPr>
        <w:t>,</w:t>
      </w:r>
      <w:r w:rsidRPr="008C0A32">
        <w:rPr>
          <w:rFonts w:cs="Arial"/>
          <w:rtl/>
        </w:rPr>
        <w:t xml:space="preserve"> ונ"ל דלעיל איירי בחתיכה הראויה להתכבד שלקחה מן הקבוע</w:t>
      </w:r>
      <w:r>
        <w:rPr>
          <w:rFonts w:cs="Arial" w:hint="cs"/>
          <w:rtl/>
        </w:rPr>
        <w:t>,</w:t>
      </w:r>
      <w:r w:rsidRPr="008C0A32">
        <w:rPr>
          <w:rFonts w:cs="Arial"/>
          <w:rtl/>
        </w:rPr>
        <w:t xml:space="preserve"> שאילו היתה ודאי נבלה אע</w:t>
      </w:r>
      <w:r>
        <w:rPr>
          <w:rFonts w:cs="Arial" w:hint="cs"/>
          <w:rtl/>
        </w:rPr>
        <w:t>"</w:t>
      </w:r>
      <w:r w:rsidRPr="008C0A32">
        <w:rPr>
          <w:rFonts w:cs="Arial"/>
          <w:rtl/>
        </w:rPr>
        <w:t>פ שנתערבה באלף לא בטלה</w:t>
      </w:r>
      <w:r>
        <w:rPr>
          <w:rFonts w:cs="Arial" w:hint="cs"/>
          <w:rtl/>
        </w:rPr>
        <w:t>,</w:t>
      </w:r>
      <w:r w:rsidRPr="008C0A32">
        <w:rPr>
          <w:rFonts w:cs="Arial"/>
          <w:rtl/>
        </w:rPr>
        <w:t xml:space="preserve"> והשתא דאינה אלא ספק נבלה כשנתערבה באחרות הוי ליה ספק ספיקא ובטלה ברובא</w:t>
      </w:r>
      <w:r>
        <w:rPr>
          <w:rFonts w:cs="Arial" w:hint="cs"/>
          <w:rtl/>
        </w:rPr>
        <w:t>,</w:t>
      </w:r>
      <w:r w:rsidRPr="008C0A32">
        <w:rPr>
          <w:rFonts w:cs="Arial"/>
          <w:rtl/>
        </w:rPr>
        <w:t xml:space="preserve"> אבל הכא בחתיכות של נבלה שנתערבו במקולין עצמן בחתיכות כשרה וקאמר שאם אינם חתיכות הראויות להתכבד בטלי ברובא כדין יבש ביבש דקי"ל דבטיל ברובא דמה לי נתערב בבית מה לי נתערב במקולין</w:t>
      </w:r>
      <w:r>
        <w:rPr>
          <w:rFonts w:cs="Arial" w:hint="cs"/>
          <w:rtl/>
        </w:rPr>
        <w:t>...</w:t>
      </w:r>
    </w:p>
  </w:footnote>
  <w:footnote w:id="2478">
    <w:p w14:paraId="7408ADA5" w14:textId="77777777" w:rsidR="004C5A3C" w:rsidRDefault="004C5A3C" w:rsidP="002C39F4">
      <w:pPr>
        <w:pStyle w:val="a5"/>
        <w:rPr>
          <w:rtl/>
        </w:rPr>
      </w:pPr>
      <w:r>
        <w:rPr>
          <w:rStyle w:val="a7"/>
        </w:rPr>
        <w:footnoteRef/>
      </w:r>
      <w:r>
        <w:rPr>
          <w:rtl/>
        </w:rPr>
        <w:t xml:space="preserve"> </w:t>
      </w:r>
      <w:r>
        <w:rPr>
          <w:rFonts w:cs="Arial"/>
          <w:rtl/>
        </w:rPr>
        <w:t>וכ</w:t>
      </w:r>
      <w:r>
        <w:rPr>
          <w:rFonts w:cs="Arial" w:hint="cs"/>
          <w:rtl/>
        </w:rPr>
        <w:t>'</w:t>
      </w:r>
      <w:r>
        <w:rPr>
          <w:rFonts w:cs="Arial"/>
          <w:rtl/>
        </w:rPr>
        <w:t xml:space="preserve"> עוד בתשובותיו </w:t>
      </w:r>
      <w:r w:rsidRPr="00C473B0">
        <w:rPr>
          <w:rFonts w:cs="Arial"/>
          <w:sz w:val="16"/>
          <w:szCs w:val="16"/>
          <w:rtl/>
        </w:rPr>
        <w:t>(תשו</w:t>
      </w:r>
      <w:r>
        <w:rPr>
          <w:rFonts w:cs="Arial" w:hint="cs"/>
          <w:sz w:val="16"/>
          <w:szCs w:val="16"/>
          <w:rtl/>
        </w:rPr>
        <w:t>'</w:t>
      </w:r>
      <w:r w:rsidRPr="00C473B0">
        <w:rPr>
          <w:rFonts w:cs="Arial"/>
          <w:sz w:val="16"/>
          <w:szCs w:val="16"/>
          <w:rtl/>
        </w:rPr>
        <w:t xml:space="preserve"> הרשב"א ח"א סי' שיב</w:t>
      </w:r>
      <w:r>
        <w:rPr>
          <w:rFonts w:cs="Arial" w:hint="cs"/>
          <w:sz w:val="16"/>
          <w:szCs w:val="16"/>
          <w:rtl/>
        </w:rPr>
        <w:t>, הביאה הב"י</w:t>
      </w:r>
      <w:r w:rsidRPr="00C473B0">
        <w:rPr>
          <w:rFonts w:cs="Arial"/>
          <w:sz w:val="16"/>
          <w:szCs w:val="16"/>
          <w:rtl/>
        </w:rPr>
        <w:t xml:space="preserve">) </w:t>
      </w:r>
      <w:r>
        <w:rPr>
          <w:rFonts w:cs="Arial"/>
          <w:rtl/>
        </w:rPr>
        <w:t>שנשאל על ענין טריפה שנמצאת במקולין לאחר שנמכרו כמה מן הבהמות שנשחטו במקולין אם נאסור אפי</w:t>
      </w:r>
      <w:r>
        <w:rPr>
          <w:rFonts w:cs="Arial" w:hint="cs"/>
          <w:rtl/>
        </w:rPr>
        <w:t>'</w:t>
      </w:r>
      <w:r>
        <w:rPr>
          <w:rFonts w:cs="Arial"/>
          <w:rtl/>
        </w:rPr>
        <w:t xml:space="preserve"> מה שנמכר כבר קודם שנודע אותו טרפות ואם נדון אותו כדין ט' חנויות או נתיר מה שנמכר כדין מה שאמרו בנמצא הלך אחר הרוב</w:t>
      </w:r>
      <w:r>
        <w:rPr>
          <w:rFonts w:cs="Arial" w:hint="cs"/>
          <w:rtl/>
        </w:rPr>
        <w:t>.</w:t>
      </w:r>
      <w:r>
        <w:rPr>
          <w:rFonts w:cs="Arial"/>
          <w:rtl/>
        </w:rPr>
        <w:t xml:space="preserve"> והשיב</w:t>
      </w:r>
      <w:r>
        <w:rPr>
          <w:rFonts w:cs="Arial" w:hint="cs"/>
          <w:rtl/>
        </w:rPr>
        <w:t>,</w:t>
      </w:r>
      <w:r>
        <w:rPr>
          <w:rFonts w:cs="Arial"/>
          <w:rtl/>
        </w:rPr>
        <w:t xml:space="preserve"> אני נמנע מלהשיבך הנח להם לקהלה הקדושה אם נהגו בו איסור ינהגו בו כמנהגם</w:t>
      </w:r>
      <w:r>
        <w:rPr>
          <w:rFonts w:hint="cs"/>
          <w:rtl/>
        </w:rPr>
        <w:t>.</w:t>
      </w:r>
    </w:p>
  </w:footnote>
  <w:footnote w:id="2479">
    <w:p w14:paraId="0BFA7B16" w14:textId="77777777" w:rsidR="004C5A3C" w:rsidRDefault="004C5A3C" w:rsidP="002C39F4">
      <w:pPr>
        <w:pStyle w:val="a5"/>
        <w:rPr>
          <w:rtl/>
        </w:rPr>
      </w:pPr>
      <w:r>
        <w:rPr>
          <w:rStyle w:val="a7"/>
        </w:rPr>
        <w:footnoteRef/>
      </w:r>
      <w:r>
        <w:rPr>
          <w:rtl/>
        </w:rPr>
        <w:t xml:space="preserve"> </w:t>
      </w:r>
      <w:r>
        <w:rPr>
          <w:rFonts w:hint="cs"/>
          <w:rtl/>
        </w:rPr>
        <w:t xml:space="preserve">הטור הביא את דברי הרשב"א </w:t>
      </w:r>
      <w:r w:rsidRPr="00F76E86">
        <w:rPr>
          <w:rFonts w:hint="cs"/>
          <w:sz w:val="16"/>
          <w:szCs w:val="16"/>
          <w:rtl/>
        </w:rPr>
        <w:t xml:space="preserve">(יותר בקיצור ממה שכתוב לעיל, </w:t>
      </w:r>
      <w:r>
        <w:rPr>
          <w:rFonts w:hint="cs"/>
          <w:sz w:val="16"/>
          <w:szCs w:val="16"/>
          <w:rtl/>
        </w:rPr>
        <w:t>ו</w:t>
      </w:r>
      <w:r w:rsidRPr="00F76E86">
        <w:rPr>
          <w:rFonts w:hint="cs"/>
          <w:sz w:val="16"/>
          <w:szCs w:val="16"/>
          <w:rtl/>
        </w:rPr>
        <w:t xml:space="preserve">הב"י העיר על הטור שהביא את דברי הרשב"א שלא כהוויתם, ולכן הביא הביא את דברי הרשב"א במלואם כדלעיל) </w:t>
      </w:r>
      <w:r>
        <w:rPr>
          <w:rFonts w:hint="cs"/>
          <w:rtl/>
        </w:rPr>
        <w:t xml:space="preserve">וכ' עליהם- </w:t>
      </w:r>
      <w:r w:rsidRPr="008E0700">
        <w:rPr>
          <w:rFonts w:cs="Arial"/>
          <w:rtl/>
        </w:rPr>
        <w:t>ואיני מבין מה שכתב להתיר בחתיכות שאינן ראוין להתכבד אלא שהחמיר לאוסרן שנראה שאסורין מן הדין ולא מטעם חומרא ד</w:t>
      </w:r>
      <w:r>
        <w:rPr>
          <w:rFonts w:hint="cs"/>
          <w:rtl/>
        </w:rPr>
        <w:t>-...</w:t>
      </w:r>
    </w:p>
  </w:footnote>
  <w:footnote w:id="2480">
    <w:p w14:paraId="2350B1C4" w14:textId="77777777" w:rsidR="004C5A3C" w:rsidRDefault="004C5A3C" w:rsidP="002C39F4">
      <w:pPr>
        <w:pStyle w:val="a5"/>
        <w:rPr>
          <w:rtl/>
        </w:rPr>
      </w:pPr>
      <w:r>
        <w:rPr>
          <w:rStyle w:val="a7"/>
        </w:rPr>
        <w:footnoteRef/>
      </w:r>
      <w:r>
        <w:rPr>
          <w:rtl/>
        </w:rPr>
        <w:t xml:space="preserve"> </w:t>
      </w:r>
      <w:r>
        <w:rPr>
          <w:rFonts w:cs="Arial" w:hint="cs"/>
          <w:rtl/>
        </w:rPr>
        <w:t>וכ' הב"י על דברי הטור-</w:t>
      </w:r>
      <w:r w:rsidRPr="008C0A32">
        <w:rPr>
          <w:rFonts w:cs="Arial"/>
          <w:rtl/>
        </w:rPr>
        <w:t xml:space="preserve"> תמהני עליו היכי חשיב להרשב"א לקטיל קני באגמא שלא ידע דין קבוע כמחצה על מחצה שהתלמוד מלא ממנו</w:t>
      </w:r>
      <w:r>
        <w:rPr>
          <w:rFonts w:cs="Arial" w:hint="cs"/>
          <w:rtl/>
        </w:rPr>
        <w:t>,</w:t>
      </w:r>
      <w:r w:rsidRPr="008C0A32">
        <w:rPr>
          <w:rFonts w:cs="Arial"/>
          <w:rtl/>
        </w:rPr>
        <w:t xml:space="preserve"> ולא עוד אלא שבתחלת דבריו ידעו וכשבא לגמור דבריו שכחו ונעלם ממנו לפי מה שעלה על דעת רבינו</w:t>
      </w:r>
      <w:r>
        <w:rPr>
          <w:rFonts w:cs="Arial" w:hint="cs"/>
          <w:rtl/>
        </w:rPr>
        <w:t>,</w:t>
      </w:r>
      <w:r w:rsidRPr="008C0A32">
        <w:rPr>
          <w:rFonts w:cs="Arial"/>
          <w:rtl/>
        </w:rPr>
        <w:t xml:space="preserve"> וזה דבר שא"א לאומרו על שום מעיין כל שכן על מעין המתגבר עמוד העולם אשר באורו נראה אור</w:t>
      </w:r>
      <w:r>
        <w:rPr>
          <w:rFonts w:cs="Arial" w:hint="cs"/>
          <w:rtl/>
        </w:rPr>
        <w:t>,</w:t>
      </w:r>
      <w:r w:rsidRPr="008C0A32">
        <w:rPr>
          <w:rFonts w:cs="Arial"/>
          <w:rtl/>
        </w:rPr>
        <w:t xml:space="preserve"> ומבואר הוא שדבריו נכונים וברורים דכשנתערבו חתיכות הטריפה עם חתיכות הכשרה במקולין עצמם דינם כמו שנתערבו בבית וכאן וכאן בטלים הם ברוב אם אינם ראויות להתכבד</w:t>
      </w:r>
      <w:r>
        <w:rPr>
          <w:rFonts w:cs="Arial" w:hint="cs"/>
          <w:rtl/>
        </w:rPr>
        <w:t>,</w:t>
      </w:r>
      <w:r w:rsidRPr="008C0A32">
        <w:rPr>
          <w:rFonts w:cs="Arial"/>
          <w:rtl/>
        </w:rPr>
        <w:t xml:space="preserve"> כמ"ש בסי</w:t>
      </w:r>
      <w:r>
        <w:rPr>
          <w:rFonts w:cs="Arial" w:hint="cs"/>
          <w:rtl/>
        </w:rPr>
        <w:t>'</w:t>
      </w:r>
      <w:r w:rsidRPr="008C0A32">
        <w:rPr>
          <w:rFonts w:cs="Arial"/>
          <w:rtl/>
        </w:rPr>
        <w:t xml:space="preserve"> ק"ט</w:t>
      </w:r>
      <w:r>
        <w:rPr>
          <w:rFonts w:cs="Arial" w:hint="cs"/>
          <w:rtl/>
        </w:rPr>
        <w:t>,</w:t>
      </w:r>
      <w:r w:rsidRPr="008C0A32">
        <w:rPr>
          <w:rFonts w:cs="Arial"/>
          <w:rtl/>
        </w:rPr>
        <w:t xml:space="preserve"> ואין זה ענין לקבוע כמחצה על מחצה כלל דהתם כשלקח מאחת מהחנויות ולא נודע אם לקח מהמוכרת כשירה או מהמוכרת טריפה דאמרינן דלמא מהמוכרת טריפה לקח</w:t>
      </w:r>
      <w:r>
        <w:rPr>
          <w:rFonts w:cs="Arial" w:hint="cs"/>
          <w:rtl/>
        </w:rPr>
        <w:t>,</w:t>
      </w:r>
      <w:r w:rsidRPr="008C0A32">
        <w:rPr>
          <w:rFonts w:cs="Arial"/>
          <w:rtl/>
        </w:rPr>
        <w:t xml:space="preserve"> ואע"ג דרובן מוכרות כשרה מאחר שהאיסור קבוע וניכר במקומו אינו בטל</w:t>
      </w:r>
      <w:r>
        <w:rPr>
          <w:rFonts w:cs="Arial" w:hint="cs"/>
          <w:rtl/>
        </w:rPr>
        <w:t>,</w:t>
      </w:r>
      <w:r w:rsidRPr="008C0A32">
        <w:rPr>
          <w:rFonts w:cs="Arial"/>
          <w:rtl/>
        </w:rPr>
        <w:t xml:space="preserve"> אבל הכא שיודע שלא לקח מחנות המוכרת טריפה הניכרת אלא שבמקולין נתערבו בו חתיכות הטריפה עם חתיכות הכשרה והם חתיכות שאינם ראויות להתכבד וידוע שהכשרות מרובות פשוט הוא שהם מתבטלות ברוב חתיכות הכשרות כדין כל יבש ביבש</w:t>
      </w:r>
      <w:r>
        <w:rPr>
          <w:rFonts w:cs="Arial" w:hint="cs"/>
          <w:rtl/>
        </w:rPr>
        <w:t>,</w:t>
      </w:r>
      <w:r w:rsidRPr="008C0A32">
        <w:rPr>
          <w:rFonts w:cs="Arial"/>
          <w:rtl/>
        </w:rPr>
        <w:t xml:space="preserve"> ומותר לכתחילה ליקח ממקולין שמוכרין חתיכות אלו שאין כאן דבר איסור כלל</w:t>
      </w:r>
      <w:r>
        <w:rPr>
          <w:rFonts w:cs="Arial" w:hint="cs"/>
          <w:rtl/>
        </w:rPr>
        <w:t xml:space="preserve">, עכ"ל הב"י. </w:t>
      </w:r>
    </w:p>
  </w:footnote>
  <w:footnote w:id="2481">
    <w:p w14:paraId="69C07D93" w14:textId="77777777" w:rsidR="004C5A3C" w:rsidRDefault="004C5A3C" w:rsidP="002C39F4">
      <w:pPr>
        <w:pStyle w:val="a5"/>
      </w:pPr>
      <w:r>
        <w:rPr>
          <w:rStyle w:val="a7"/>
        </w:rPr>
        <w:footnoteRef/>
      </w:r>
      <w:r>
        <w:rPr>
          <w:rtl/>
        </w:rPr>
        <w:t xml:space="preserve"> </w:t>
      </w:r>
      <w:r>
        <w:rPr>
          <w:rFonts w:cs="Arial" w:hint="cs"/>
          <w:rtl/>
        </w:rPr>
        <w:t xml:space="preserve">וכ' הב"י- </w:t>
      </w:r>
      <w:r w:rsidRPr="00657440">
        <w:rPr>
          <w:rFonts w:cs="Arial"/>
          <w:rtl/>
        </w:rPr>
        <w:t>ומ"ש בשם הרא"ש דכל מה שלקחו קודם הספיקא הכל מותר</w:t>
      </w:r>
      <w:r>
        <w:rPr>
          <w:rFonts w:cs="Arial" w:hint="cs"/>
          <w:rtl/>
        </w:rPr>
        <w:t>,</w:t>
      </w:r>
      <w:r w:rsidRPr="00657440">
        <w:rPr>
          <w:rFonts w:cs="Arial"/>
          <w:rtl/>
        </w:rPr>
        <w:t xml:space="preserve"> </w:t>
      </w:r>
      <w:r>
        <w:rPr>
          <w:rFonts w:cs="Arial"/>
          <w:rtl/>
        </w:rPr>
        <w:t>מתוך דבריו בפ</w:t>
      </w:r>
      <w:r>
        <w:rPr>
          <w:rFonts w:cs="Arial" w:hint="cs"/>
          <w:rtl/>
        </w:rPr>
        <w:t>ג"ה</w:t>
      </w:r>
      <w:r>
        <w:rPr>
          <w:rFonts w:cs="Arial"/>
          <w:rtl/>
        </w:rPr>
        <w:t xml:space="preserve"> לא משמע הכי</w:t>
      </w:r>
      <w:r>
        <w:rPr>
          <w:rFonts w:cs="Arial" w:hint="cs"/>
          <w:rtl/>
        </w:rPr>
        <w:t>,</w:t>
      </w:r>
      <w:r>
        <w:rPr>
          <w:rFonts w:cs="Arial"/>
          <w:rtl/>
        </w:rPr>
        <w:t xml:space="preserve"> שהרי בפלוגתא דר"י ור"ת שכתבתי בשם הרשב"א כתב הרא"ש (פג"ה סי' כא) דנראה הלכה למעשה כדברי ר"י</w:t>
      </w:r>
      <w:r>
        <w:rPr>
          <w:rFonts w:cs="Arial" w:hint="cs"/>
          <w:rtl/>
        </w:rPr>
        <w:t>,</w:t>
      </w:r>
      <w:r>
        <w:rPr>
          <w:rFonts w:cs="Arial"/>
          <w:rtl/>
        </w:rPr>
        <w:t xml:space="preserve"> וכבר כתבתי בשם הרשב"א דלפי דברי ר"י אם לקח אדם מן המקולין חתיכה הראויה להתכבד ואח"כ נמצא טריפה במקולין אע</w:t>
      </w:r>
      <w:r>
        <w:rPr>
          <w:rFonts w:cs="Arial" w:hint="cs"/>
          <w:rtl/>
        </w:rPr>
        <w:t>"</w:t>
      </w:r>
      <w:r>
        <w:rPr>
          <w:rFonts w:cs="Arial"/>
          <w:rtl/>
        </w:rPr>
        <w:t>פ שלא נודע עד שפירשה זו אפ"ה אסורה גזרה שמא יקח מן הקבוע הואיל ולא נודעו חתיכות הטריפות בין חתיכות ההיתר</w:t>
      </w:r>
      <w:r>
        <w:rPr>
          <w:rFonts w:cs="Arial" w:hint="cs"/>
          <w:rtl/>
        </w:rPr>
        <w:t>,</w:t>
      </w:r>
      <w:r>
        <w:rPr>
          <w:rFonts w:cs="Arial"/>
          <w:rtl/>
        </w:rPr>
        <w:t xml:space="preserve"> ע"כ</w:t>
      </w:r>
      <w:r>
        <w:rPr>
          <w:rFonts w:cs="Arial" w:hint="cs"/>
          <w:rtl/>
        </w:rPr>
        <w:t>,</w:t>
      </w:r>
      <w:r>
        <w:rPr>
          <w:rFonts w:cs="Arial"/>
          <w:rtl/>
        </w:rPr>
        <w:t xml:space="preserve"> ומכיון דהרא"ש פסק הלכה כר"י היה נראה שהוא סובר דמה שלקחו קודם שנולד הספק אסור</w:t>
      </w:r>
      <w:r>
        <w:rPr>
          <w:rFonts w:cs="Arial" w:hint="cs"/>
          <w:rtl/>
        </w:rPr>
        <w:t>,</w:t>
      </w:r>
      <w:r>
        <w:rPr>
          <w:rFonts w:cs="Arial"/>
          <w:rtl/>
        </w:rPr>
        <w:t xml:space="preserve"> אבל בתשובה (להרא"ש כלל כ סי' יז) כתב בהדיא להתיר</w:t>
      </w:r>
      <w:r>
        <w:rPr>
          <w:rFonts w:cs="Arial" w:hint="cs"/>
          <w:rtl/>
        </w:rPr>
        <w:t>,</w:t>
      </w:r>
      <w:r>
        <w:rPr>
          <w:rFonts w:cs="Arial"/>
          <w:rtl/>
        </w:rPr>
        <w:t xml:space="preserve"> וכמ"ש רבינו בשמו וז"ל</w:t>
      </w:r>
      <w:r>
        <w:rPr>
          <w:rFonts w:cs="Arial" w:hint="cs"/>
          <w:rtl/>
        </w:rPr>
        <w:t>-</w:t>
      </w:r>
      <w:r>
        <w:rPr>
          <w:rFonts w:cs="Arial"/>
          <w:rtl/>
        </w:rPr>
        <w:t xml:space="preserve"> על כבש טרפה שנתערב עם הכשרים וכולם שחוטים נ"ל דמה שלקחו מן הבשר קודם שנולד הספק אפילו חתיכה הראויה להתכבד מותרת דתלינן דמרובא פריש</w:t>
      </w:r>
      <w:r>
        <w:rPr>
          <w:rFonts w:cs="Arial" w:hint="cs"/>
          <w:rtl/>
        </w:rPr>
        <w:t>,</w:t>
      </w:r>
      <w:r>
        <w:rPr>
          <w:rFonts w:cs="Arial"/>
          <w:rtl/>
        </w:rPr>
        <w:t xml:space="preserve"> דלא אשכחן דאסר הגמ</w:t>
      </w:r>
      <w:r>
        <w:rPr>
          <w:rFonts w:cs="Arial" w:hint="cs"/>
          <w:rtl/>
        </w:rPr>
        <w:t>'</w:t>
      </w:r>
      <w:r>
        <w:rPr>
          <w:rFonts w:cs="Arial"/>
          <w:rtl/>
        </w:rPr>
        <w:t xml:space="preserve"> משום גזרה שמא יקח מן הקבוע אלא היכא שכבר היו עומדים בחזקת איסור</w:t>
      </w:r>
      <w:r>
        <w:rPr>
          <w:rFonts w:cs="Arial" w:hint="cs"/>
          <w:rtl/>
        </w:rPr>
        <w:t>,</w:t>
      </w:r>
      <w:r>
        <w:rPr>
          <w:rFonts w:cs="Arial"/>
          <w:rtl/>
        </w:rPr>
        <w:t xml:space="preserve"> דאי שרית ליה אותם שפירשו אתי נמי ליקח מן הקבוע</w:t>
      </w:r>
      <w:r>
        <w:rPr>
          <w:rFonts w:cs="Arial" w:hint="cs"/>
          <w:rtl/>
        </w:rPr>
        <w:t>,</w:t>
      </w:r>
      <w:r>
        <w:rPr>
          <w:rFonts w:cs="Arial"/>
          <w:rtl/>
        </w:rPr>
        <w:t xml:space="preserve"> אבל קודם שנולד הספק לא שייך למיגזר מידי שכולן בחזקת היתר הם עומדים</w:t>
      </w:r>
      <w:r>
        <w:rPr>
          <w:rFonts w:cs="Arial" w:hint="cs"/>
          <w:rtl/>
        </w:rPr>
        <w:t>,</w:t>
      </w:r>
      <w:r>
        <w:rPr>
          <w:rFonts w:cs="Arial"/>
          <w:rtl/>
        </w:rPr>
        <w:t xml:space="preserve"> מאי אמרת</w:t>
      </w:r>
      <w:r>
        <w:rPr>
          <w:rFonts w:cs="Arial" w:hint="cs"/>
          <w:rtl/>
        </w:rPr>
        <w:t>-</w:t>
      </w:r>
      <w:r>
        <w:rPr>
          <w:rFonts w:cs="Arial"/>
          <w:rtl/>
        </w:rPr>
        <w:t xml:space="preserve"> גזרה שמא יקח אחר שנולד הספק</w:t>
      </w:r>
      <w:r>
        <w:rPr>
          <w:rFonts w:cs="Arial" w:hint="cs"/>
          <w:rtl/>
        </w:rPr>
        <w:t>,</w:t>
      </w:r>
      <w:r>
        <w:rPr>
          <w:rFonts w:cs="Arial"/>
          <w:rtl/>
        </w:rPr>
        <w:t xml:space="preserve"> הך גזרה לא אשכחן בגמ</w:t>
      </w:r>
      <w:r>
        <w:rPr>
          <w:rFonts w:cs="Arial" w:hint="cs"/>
          <w:rtl/>
        </w:rPr>
        <w:t>',</w:t>
      </w:r>
      <w:r>
        <w:rPr>
          <w:rFonts w:cs="Arial"/>
          <w:rtl/>
        </w:rPr>
        <w:t xml:space="preserve"> ועוד דבהא ליכא למיטעי דאם לקח בעוד שהיו בחזקת היתר בשביל זה לא אתי ליקח לאחר שנאסרו</w:t>
      </w:r>
      <w:r>
        <w:rPr>
          <w:rFonts w:cs="Arial" w:hint="cs"/>
          <w:rtl/>
        </w:rPr>
        <w:t>,</w:t>
      </w:r>
      <w:r>
        <w:rPr>
          <w:rFonts w:cs="Arial"/>
          <w:rtl/>
        </w:rPr>
        <w:t xml:space="preserve"> אבל לאחר שכבר נאסרו אי שרית ליה אותה שפירשה אתי למיטעי וליקח נמי מן הקבוע דמימר אמר מ</w:t>
      </w:r>
      <w:r>
        <w:rPr>
          <w:rFonts w:cs="Arial" w:hint="cs"/>
          <w:rtl/>
        </w:rPr>
        <w:t>ה</w:t>
      </w:r>
      <w:r>
        <w:rPr>
          <w:rFonts w:cs="Arial"/>
          <w:rtl/>
        </w:rPr>
        <w:t xml:space="preserve"> לי האי מה לי האי דכ"ע לא בקיאי בדינא דקבוע</w:t>
      </w:r>
      <w:r>
        <w:rPr>
          <w:rFonts w:cs="Arial" w:hint="cs"/>
          <w:rtl/>
        </w:rPr>
        <w:t>,</w:t>
      </w:r>
      <w:r>
        <w:rPr>
          <w:rFonts w:cs="Arial"/>
          <w:rtl/>
        </w:rPr>
        <w:t xml:space="preserve"> ואע</w:t>
      </w:r>
      <w:r>
        <w:rPr>
          <w:rFonts w:cs="Arial" w:hint="cs"/>
          <w:rtl/>
        </w:rPr>
        <w:t>"</w:t>
      </w:r>
      <w:r>
        <w:rPr>
          <w:rFonts w:cs="Arial"/>
          <w:rtl/>
        </w:rPr>
        <w:t>ג דפירש לפנינו אכתי לא נולד הספק במקום הקביעות ותלינן מרובא פריש דאין חילוק בין פירש לפנינו לפירש שלא בפנינו כל זמן שעומדים בחזקת היתר עכ"ל</w:t>
      </w:r>
      <w:r>
        <w:rPr>
          <w:rFonts w:cs="Arial" w:hint="cs"/>
          <w:rtl/>
        </w:rPr>
        <w:t>,</w:t>
      </w:r>
      <w:r>
        <w:rPr>
          <w:rFonts w:cs="Arial"/>
          <w:rtl/>
        </w:rPr>
        <w:t xml:space="preserve"> ובסמוך כתב רבינו תשובה זו בקוצר</w:t>
      </w:r>
      <w:r>
        <w:rPr>
          <w:rFonts w:cs="Arial" w:hint="cs"/>
          <w:rtl/>
        </w:rPr>
        <w:t>.</w:t>
      </w:r>
    </w:p>
  </w:footnote>
  <w:footnote w:id="2482">
    <w:p w14:paraId="189E5449" w14:textId="77777777" w:rsidR="004C5A3C" w:rsidRDefault="004C5A3C" w:rsidP="002C39F4">
      <w:pPr>
        <w:pStyle w:val="a5"/>
      </w:pPr>
      <w:r>
        <w:rPr>
          <w:rStyle w:val="a7"/>
        </w:rPr>
        <w:footnoteRef/>
      </w:r>
      <w:r>
        <w:rPr>
          <w:rtl/>
        </w:rPr>
        <w:t xml:space="preserve"> </w:t>
      </w:r>
      <w:r>
        <w:rPr>
          <w:rFonts w:hint="cs"/>
          <w:rtl/>
        </w:rPr>
        <w:t xml:space="preserve">וכ' הב"י- </w:t>
      </w:r>
      <w:r>
        <w:rPr>
          <w:rFonts w:cs="Arial"/>
          <w:rtl/>
        </w:rPr>
        <w:t>כלומר דבמ"ש דלאחר הספק הכל אסור הוא חולק עם הרשב"א</w:t>
      </w:r>
      <w:r>
        <w:rPr>
          <w:rFonts w:cs="Arial" w:hint="cs"/>
          <w:rtl/>
        </w:rPr>
        <w:t>,</w:t>
      </w:r>
      <w:r>
        <w:rPr>
          <w:rFonts w:cs="Arial"/>
          <w:rtl/>
        </w:rPr>
        <w:t xml:space="preserve"> דאילו לדעת הרשב"א אין הכל אסור אחר הספק שאם הם חתיכות שאינם ראויות להתכבד הרי הן מתבטלות ברוב ומותרות</w:t>
      </w:r>
      <w:r>
        <w:rPr>
          <w:rFonts w:cs="Arial" w:hint="cs"/>
          <w:rtl/>
        </w:rPr>
        <w:t>,</w:t>
      </w:r>
      <w:r>
        <w:rPr>
          <w:rFonts w:cs="Arial"/>
          <w:rtl/>
        </w:rPr>
        <w:t xml:space="preserve"> ואני אומר שלא מצאתי להרא"ש שכתב כלשון הזה ממש</w:t>
      </w:r>
      <w:r>
        <w:rPr>
          <w:rFonts w:cs="Arial" w:hint="cs"/>
          <w:rtl/>
        </w:rPr>
        <w:t>,</w:t>
      </w:r>
      <w:r>
        <w:rPr>
          <w:rFonts w:cs="Arial"/>
          <w:rtl/>
        </w:rPr>
        <w:t xml:space="preserve"> ואף אם היה כותב כן אין משם ראיה כלל דהא איכא למימר דמיירי כשהיו חתיכות ראויות להתכבד שאינן בטילות או שהיו חתיכות שאינן ראויות להתכבד ולא היה שם רוב כשרות</w:t>
      </w:r>
      <w:r>
        <w:rPr>
          <w:rFonts w:cs="Arial" w:hint="cs"/>
          <w:rtl/>
        </w:rPr>
        <w:t>,</w:t>
      </w:r>
      <w:r>
        <w:rPr>
          <w:rFonts w:cs="Arial"/>
          <w:rtl/>
        </w:rPr>
        <w:t xml:space="preserve"> אבל כשהם חתיכות שאינם ראויות להתכבד ויש שם רוב כשרות פשיטא דלהרא"ש נמי בטלי כדין יבש ביבש וכמו שכתבתי דעתו בסי</w:t>
      </w:r>
      <w:r>
        <w:rPr>
          <w:rFonts w:cs="Arial" w:hint="cs"/>
          <w:rtl/>
        </w:rPr>
        <w:t>'</w:t>
      </w:r>
      <w:r>
        <w:rPr>
          <w:rFonts w:cs="Arial"/>
          <w:rtl/>
        </w:rPr>
        <w:t xml:space="preserve"> ק"ט</w:t>
      </w:r>
      <w:r>
        <w:rPr>
          <w:rFonts w:cs="Arial" w:hint="cs"/>
          <w:rtl/>
        </w:rPr>
        <w:t>,</w:t>
      </w:r>
      <w:r>
        <w:rPr>
          <w:rFonts w:cs="Arial"/>
          <w:rtl/>
        </w:rPr>
        <w:t xml:space="preserve"> וזה דבר ברור לא הוצרכתי להאריך בו אלא להוציא מדברי רבינו</w:t>
      </w:r>
      <w:r>
        <w:rPr>
          <w:rFonts w:cs="Arial" w:hint="cs"/>
          <w:rtl/>
        </w:rPr>
        <w:t>,</w:t>
      </w:r>
      <w:r>
        <w:rPr>
          <w:rFonts w:cs="Arial"/>
          <w:rtl/>
        </w:rPr>
        <w:t xml:space="preserve"> ומ</w:t>
      </w:r>
      <w:r>
        <w:rPr>
          <w:rFonts w:cs="Arial" w:hint="cs"/>
          <w:rtl/>
        </w:rPr>
        <w:t>"</w:t>
      </w:r>
      <w:r>
        <w:rPr>
          <w:rFonts w:cs="Arial"/>
          <w:rtl/>
        </w:rPr>
        <w:t>מ זהו לענין הלכה</w:t>
      </w:r>
      <w:r>
        <w:rPr>
          <w:rFonts w:cs="Arial" w:hint="cs"/>
          <w:rtl/>
        </w:rPr>
        <w:t>,</w:t>
      </w:r>
      <w:r>
        <w:rPr>
          <w:rFonts w:cs="Arial"/>
          <w:rtl/>
        </w:rPr>
        <w:t xml:space="preserve"> אבל לענין מעשה כבר כתב הרשב"א שראוי להחמיר</w:t>
      </w:r>
      <w:r>
        <w:rPr>
          <w:rFonts w:hint="cs"/>
          <w:rtl/>
        </w:rPr>
        <w:t>. וכ' הדרכ"מ (אות ו)-</w:t>
      </w:r>
      <w:r w:rsidRPr="00F51300">
        <w:rPr>
          <w:rtl/>
        </w:rPr>
        <w:t xml:space="preserve"> </w:t>
      </w:r>
      <w:r w:rsidRPr="00F51300">
        <w:rPr>
          <w:rFonts w:cs="Arial"/>
          <w:rtl/>
        </w:rPr>
        <w:t>ובכל זאת לטעמיה אזיל</w:t>
      </w:r>
      <w:r>
        <w:rPr>
          <w:rFonts w:cs="Arial" w:hint="cs"/>
          <w:sz w:val="16"/>
          <w:szCs w:val="16"/>
          <w:rtl/>
        </w:rPr>
        <w:t xml:space="preserve"> {הב"י}</w:t>
      </w:r>
      <w:r w:rsidRPr="00F51300">
        <w:rPr>
          <w:rFonts w:cs="Arial"/>
          <w:rtl/>
        </w:rPr>
        <w:t xml:space="preserve"> שרצה לומר שהספק הוא שנתערבו החתיכות זו בזו ולכך כתב דפשוט הוא דחד בתרי בטיל</w:t>
      </w:r>
      <w:r>
        <w:rPr>
          <w:rFonts w:cs="Arial" w:hint="cs"/>
          <w:rtl/>
        </w:rPr>
        <w:t>,</w:t>
      </w:r>
      <w:r w:rsidRPr="00F51300">
        <w:rPr>
          <w:rFonts w:cs="Arial"/>
          <w:rtl/>
        </w:rPr>
        <w:t xml:space="preserve"> אבל ל"נ דהטור הבין מדברי הרשב"א שמ"ש </w:t>
      </w:r>
      <w:r>
        <w:rPr>
          <w:rFonts w:cs="Arial" w:hint="cs"/>
          <w:rtl/>
        </w:rPr>
        <w:t>'</w:t>
      </w:r>
      <w:r w:rsidRPr="00F51300">
        <w:rPr>
          <w:rFonts w:cs="Arial"/>
          <w:rtl/>
        </w:rPr>
        <w:t>לפיכך מי שלקח כו' עד ולא נודעו חתיכות הטריפות בין שאר החתיכות</w:t>
      </w:r>
      <w:r>
        <w:rPr>
          <w:rFonts w:cs="Arial" w:hint="cs"/>
          <w:rtl/>
        </w:rPr>
        <w:t>'</w:t>
      </w:r>
      <w:r w:rsidRPr="00F51300">
        <w:rPr>
          <w:rFonts w:cs="Arial"/>
          <w:rtl/>
        </w:rPr>
        <w:t xml:space="preserve"> דר"ל בנפל טריפה במקולין ולא נודע איזה מהמקולין היא טריפה ולכן נשאר הטריפות בקביעתו והוי כמחצה על מחצה</w:t>
      </w:r>
      <w:r>
        <w:rPr>
          <w:rFonts w:cs="Arial" w:hint="cs"/>
          <w:rtl/>
        </w:rPr>
        <w:t>,</w:t>
      </w:r>
      <w:r w:rsidRPr="00F51300">
        <w:rPr>
          <w:rFonts w:cs="Arial"/>
          <w:rtl/>
        </w:rPr>
        <w:t xml:space="preserve"> ולכן כתב הטור שאינו מבין דברי הרשב"א</w:t>
      </w:r>
      <w:r>
        <w:rPr>
          <w:rFonts w:cs="Arial" w:hint="cs"/>
          <w:rtl/>
        </w:rPr>
        <w:t>,</w:t>
      </w:r>
      <w:r w:rsidRPr="00F51300">
        <w:rPr>
          <w:rFonts w:cs="Arial"/>
          <w:rtl/>
        </w:rPr>
        <w:t xml:space="preserve"> ולכן ג"כ כתב בשם הרא"ש דכל מה שלקח אחר הספק אסור</w:t>
      </w:r>
      <w:r>
        <w:rPr>
          <w:rFonts w:cs="Arial" w:hint="cs"/>
          <w:rtl/>
        </w:rPr>
        <w:t>,</w:t>
      </w:r>
      <w:r w:rsidRPr="00F51300">
        <w:rPr>
          <w:rFonts w:cs="Arial"/>
          <w:rtl/>
        </w:rPr>
        <w:t xml:space="preserve"> ובאמת שדברי הרשב"א בספר תו</w:t>
      </w:r>
      <w:r>
        <w:rPr>
          <w:rFonts w:cs="Arial" w:hint="cs"/>
          <w:rtl/>
        </w:rPr>
        <w:t>ה"ב</w:t>
      </w:r>
      <w:r w:rsidRPr="00F51300">
        <w:rPr>
          <w:rFonts w:cs="Arial"/>
          <w:rtl/>
        </w:rPr>
        <w:t xml:space="preserve"> שהביא ב</w:t>
      </w:r>
      <w:r>
        <w:rPr>
          <w:rFonts w:cs="Arial" w:hint="cs"/>
          <w:rtl/>
        </w:rPr>
        <w:t>"</w:t>
      </w:r>
      <w:r w:rsidRPr="00F51300">
        <w:rPr>
          <w:rFonts w:cs="Arial"/>
          <w:rtl/>
        </w:rPr>
        <w:t>י מבוארין כפי מה שהבינו הטור ולא כפי מה שהבינו ב</w:t>
      </w:r>
      <w:r>
        <w:rPr>
          <w:rFonts w:cs="Arial" w:hint="cs"/>
          <w:rtl/>
        </w:rPr>
        <w:t>"</w:t>
      </w:r>
      <w:r w:rsidRPr="00F51300">
        <w:rPr>
          <w:rFonts w:cs="Arial"/>
          <w:rtl/>
        </w:rPr>
        <w:t>י</w:t>
      </w:r>
      <w:r>
        <w:rPr>
          <w:rFonts w:cs="Arial" w:hint="cs"/>
          <w:rtl/>
        </w:rPr>
        <w:t xml:space="preserve"> </w:t>
      </w:r>
      <w:r w:rsidRPr="00346692">
        <w:rPr>
          <w:rFonts w:cs="Arial" w:hint="cs"/>
          <w:sz w:val="16"/>
          <w:szCs w:val="16"/>
          <w:rtl/>
        </w:rPr>
        <w:t>(עכ"ל הדרכ"מ</w:t>
      </w:r>
      <w:r>
        <w:rPr>
          <w:rFonts w:cs="Arial" w:hint="cs"/>
          <w:sz w:val="16"/>
          <w:szCs w:val="16"/>
          <w:rtl/>
        </w:rPr>
        <w:t>)</w:t>
      </w:r>
      <w:r>
        <w:rPr>
          <w:rFonts w:cs="Arial" w:hint="cs"/>
          <w:rtl/>
        </w:rPr>
        <w:t>.</w:t>
      </w:r>
    </w:p>
  </w:footnote>
  <w:footnote w:id="2483">
    <w:p w14:paraId="0D142CDE" w14:textId="77777777" w:rsidR="004C5A3C" w:rsidRDefault="004C5A3C" w:rsidP="002C39F4">
      <w:pPr>
        <w:pStyle w:val="a5"/>
      </w:pPr>
      <w:r>
        <w:rPr>
          <w:rStyle w:val="a7"/>
        </w:rPr>
        <w:footnoteRef/>
      </w:r>
      <w:r>
        <w:rPr>
          <w:rtl/>
        </w:rPr>
        <w:t xml:space="preserve"> </w:t>
      </w:r>
      <w:r>
        <w:rPr>
          <w:rFonts w:hint="cs"/>
          <w:rtl/>
        </w:rPr>
        <w:t>וקשה, דהרי בסימן קא סע' ג פסק השו"ע דחתיכה חיה לא מיקרי חתיכה הראויה להתכבד, והלוקח ממקולין ודאי שלוקח חתיכה חיה, וא"כ כל החתיכות שם אינן ראויות להתכבד, וא"כ כולן בטלות לפי מה שפסק השו"ע, ולכן יש לשאול מדוע אסר השו"ע לקחת מן המקולין אם נתערבה שם חתיכת טריפה דהרי נתבטלה באחרות, וי"ל דהשו"ע העתיק את דברי הרשב"א ולא רצה לשנות מדבריו, כדרכו בהעתקת דברי הפוסקים, וכוונתו לפסוק בכך שמי שלקח חתיכה קודם שנודע שיש טריפה במקולין שרי ליה לאוכלה אף לדעת האומרים שחתיכה חיה מיקרי ראויה להתכבד. ועוד שסוגיה בדוכתא עדיף, ובסי' קא הביא השו"ע את כל פסיקותיו לגבי חתיכה הראויה להתכבד, וא"כ מה שכתב כאן אינה עיקר דעתו, וכ"כ בשו"ת יבי"א (ח"ה חיו"ד סי' ח).</w:t>
      </w:r>
    </w:p>
  </w:footnote>
  <w:footnote w:id="2484">
    <w:p w14:paraId="5A0A0AE7" w14:textId="77777777" w:rsidR="004C5A3C" w:rsidRDefault="004C5A3C" w:rsidP="002C39F4">
      <w:pPr>
        <w:pStyle w:val="a5"/>
        <w:rPr>
          <w:rtl/>
        </w:rPr>
      </w:pPr>
      <w:r>
        <w:rPr>
          <w:rStyle w:val="a7"/>
        </w:rPr>
        <w:footnoteRef/>
      </w:r>
      <w:r>
        <w:rPr>
          <w:rtl/>
        </w:rPr>
        <w:t xml:space="preserve"> </w:t>
      </w:r>
      <w:r w:rsidRPr="000D6CE5">
        <w:rPr>
          <w:rFonts w:cs="Arial"/>
          <w:rtl/>
        </w:rPr>
        <w:t xml:space="preserve">כתב הב"ח </w:t>
      </w:r>
      <w:r w:rsidRPr="00477843">
        <w:rPr>
          <w:rFonts w:cs="Arial" w:hint="cs"/>
          <w:sz w:val="16"/>
          <w:szCs w:val="16"/>
          <w:rtl/>
        </w:rPr>
        <w:t>(</w:t>
      </w:r>
      <w:r w:rsidRPr="00477843">
        <w:rPr>
          <w:rFonts w:cs="Arial"/>
          <w:sz w:val="16"/>
          <w:szCs w:val="16"/>
          <w:rtl/>
        </w:rPr>
        <w:t>ריש ס</w:t>
      </w:r>
      <w:r w:rsidRPr="00477843">
        <w:rPr>
          <w:rFonts w:cs="Arial" w:hint="cs"/>
          <w:sz w:val="16"/>
          <w:szCs w:val="16"/>
          <w:rtl/>
        </w:rPr>
        <w:t xml:space="preserve">ע' </w:t>
      </w:r>
      <w:r w:rsidRPr="00477843">
        <w:rPr>
          <w:rFonts w:cs="Arial"/>
          <w:sz w:val="16"/>
          <w:szCs w:val="16"/>
          <w:rtl/>
        </w:rPr>
        <w:t>ו</w:t>
      </w:r>
      <w:r w:rsidRPr="00477843">
        <w:rPr>
          <w:rFonts w:cs="Arial" w:hint="cs"/>
          <w:sz w:val="16"/>
          <w:szCs w:val="16"/>
          <w:rtl/>
        </w:rPr>
        <w:t>)</w:t>
      </w:r>
      <w:r w:rsidRPr="00477843">
        <w:rPr>
          <w:rFonts w:cs="Arial"/>
          <w:sz w:val="16"/>
          <w:szCs w:val="16"/>
          <w:rtl/>
        </w:rPr>
        <w:t xml:space="preserve"> </w:t>
      </w:r>
      <w:r w:rsidRPr="000D6CE5">
        <w:rPr>
          <w:rFonts w:cs="Arial"/>
          <w:rtl/>
        </w:rPr>
        <w:t>דהיינו טעמא כיון שהתערובות במקולין הוא שרבים קונים משם קרוב הדבר לטעות</w:t>
      </w:r>
      <w:r>
        <w:rPr>
          <w:rFonts w:cs="Arial" w:hint="cs"/>
          <w:rtl/>
        </w:rPr>
        <w:t>,</w:t>
      </w:r>
      <w:r>
        <w:rPr>
          <w:rFonts w:cs="Arial"/>
          <w:rtl/>
        </w:rPr>
        <w:t xml:space="preserve"> מ</w:t>
      </w:r>
      <w:r>
        <w:rPr>
          <w:rFonts w:cs="Arial" w:hint="cs"/>
          <w:rtl/>
        </w:rPr>
        <w:t>שא"כ</w:t>
      </w:r>
      <w:r w:rsidRPr="000D6CE5">
        <w:rPr>
          <w:rFonts w:cs="Arial"/>
          <w:rtl/>
        </w:rPr>
        <w:t xml:space="preserve"> בנתערב כך ליחיד בביתו דאין להחמיר </w:t>
      </w:r>
      <w:r w:rsidRPr="00477843">
        <w:rPr>
          <w:rFonts w:cs="Arial"/>
          <w:sz w:val="16"/>
          <w:szCs w:val="16"/>
          <w:rtl/>
        </w:rPr>
        <w:t>(ר"ל אע</w:t>
      </w:r>
      <w:r w:rsidRPr="00477843">
        <w:rPr>
          <w:rFonts w:cs="Arial" w:hint="cs"/>
          <w:sz w:val="16"/>
          <w:szCs w:val="16"/>
          <w:rtl/>
        </w:rPr>
        <w:t>"</w:t>
      </w:r>
      <w:r w:rsidRPr="00477843">
        <w:rPr>
          <w:rFonts w:cs="Arial"/>
          <w:sz w:val="16"/>
          <w:szCs w:val="16"/>
          <w:rtl/>
        </w:rPr>
        <w:t>פ שיש שם ג"כ חתיכות הראויות להתכבד שלא נתערבו)</w:t>
      </w:r>
      <w:r w:rsidRPr="000D6CE5">
        <w:rPr>
          <w:rFonts w:cs="Arial"/>
          <w:rtl/>
        </w:rPr>
        <w:t xml:space="preserve"> אלא להורות בדין חתיכה שאינה ראוי</w:t>
      </w:r>
      <w:r>
        <w:rPr>
          <w:rFonts w:cs="Arial"/>
          <w:rtl/>
        </w:rPr>
        <w:t>ה להתכבד דבטלה ברוב</w:t>
      </w:r>
      <w:r>
        <w:rPr>
          <w:rFonts w:cs="Arial" w:hint="cs"/>
          <w:rtl/>
        </w:rPr>
        <w:t>,</w:t>
      </w:r>
      <w:r>
        <w:rPr>
          <w:rFonts w:cs="Arial"/>
          <w:rtl/>
        </w:rPr>
        <w:t xml:space="preserve"> עכ</w:t>
      </w:r>
      <w:r>
        <w:rPr>
          <w:rFonts w:cs="Arial" w:hint="cs"/>
          <w:rtl/>
        </w:rPr>
        <w:t>"</w:t>
      </w:r>
      <w:r>
        <w:rPr>
          <w:rFonts w:cs="Arial"/>
          <w:rtl/>
        </w:rPr>
        <w:t>ל</w:t>
      </w:r>
      <w:r>
        <w:rPr>
          <w:rFonts w:cs="Arial" w:hint="cs"/>
          <w:rtl/>
        </w:rPr>
        <w:t>,</w:t>
      </w:r>
      <w:r w:rsidRPr="000D6CE5">
        <w:rPr>
          <w:rFonts w:cs="Arial"/>
          <w:rtl/>
        </w:rPr>
        <w:t xml:space="preserve"> וכ"כ מהרש"ל</w:t>
      </w:r>
      <w:r w:rsidRPr="00477843">
        <w:rPr>
          <w:rFonts w:cs="Arial"/>
          <w:sz w:val="16"/>
          <w:szCs w:val="16"/>
          <w:rtl/>
        </w:rPr>
        <w:t xml:space="preserve"> </w:t>
      </w:r>
      <w:r w:rsidRPr="00477843">
        <w:rPr>
          <w:rFonts w:cs="Arial" w:hint="cs"/>
          <w:sz w:val="16"/>
          <w:szCs w:val="16"/>
          <w:rtl/>
        </w:rPr>
        <w:t>(</w:t>
      </w:r>
      <w:r w:rsidRPr="00477843">
        <w:rPr>
          <w:rFonts w:cs="Arial"/>
          <w:sz w:val="16"/>
          <w:szCs w:val="16"/>
          <w:rtl/>
        </w:rPr>
        <w:t>פג"ה ססכ</w:t>
      </w:r>
      <w:r w:rsidRPr="00477843">
        <w:rPr>
          <w:rFonts w:cs="Arial" w:hint="cs"/>
          <w:sz w:val="16"/>
          <w:szCs w:val="16"/>
          <w:rtl/>
        </w:rPr>
        <w:t>"</w:t>
      </w:r>
      <w:r w:rsidRPr="00477843">
        <w:rPr>
          <w:rFonts w:cs="Arial"/>
          <w:sz w:val="16"/>
          <w:szCs w:val="16"/>
          <w:rtl/>
        </w:rPr>
        <w:t>ד</w:t>
      </w:r>
      <w:r w:rsidRPr="00477843">
        <w:rPr>
          <w:rFonts w:cs="Arial" w:hint="cs"/>
          <w:sz w:val="16"/>
          <w:szCs w:val="16"/>
          <w:rtl/>
        </w:rPr>
        <w:t>)</w:t>
      </w:r>
      <w:r>
        <w:rPr>
          <w:rFonts w:hint="cs"/>
          <w:rtl/>
        </w:rPr>
        <w:t xml:space="preserve">, ש"ך </w:t>
      </w:r>
      <w:r w:rsidRPr="00477843">
        <w:rPr>
          <w:rFonts w:hint="cs"/>
          <w:sz w:val="16"/>
          <w:szCs w:val="16"/>
          <w:rtl/>
        </w:rPr>
        <w:t>(סקל"א)</w:t>
      </w:r>
      <w:r>
        <w:rPr>
          <w:rFonts w:hint="cs"/>
          <w:rtl/>
        </w:rPr>
        <w:t xml:space="preserve">. אך הט"ז </w:t>
      </w:r>
      <w:r w:rsidRPr="00477843">
        <w:rPr>
          <w:rFonts w:hint="cs"/>
          <w:sz w:val="16"/>
          <w:szCs w:val="16"/>
          <w:rtl/>
        </w:rPr>
        <w:t xml:space="preserve">(סק"ה) </w:t>
      </w:r>
      <w:r>
        <w:rPr>
          <w:rFonts w:hint="cs"/>
          <w:rtl/>
        </w:rPr>
        <w:t>חלק על זה מטעם דמצינו בש"ס</w:t>
      </w:r>
      <w:r w:rsidRPr="00477843">
        <w:rPr>
          <w:rFonts w:hint="cs"/>
          <w:sz w:val="16"/>
          <w:szCs w:val="16"/>
          <w:rtl/>
        </w:rPr>
        <w:t xml:space="preserve"> (שבת קמז.)</w:t>
      </w:r>
      <w:r>
        <w:rPr>
          <w:rFonts w:hint="cs"/>
          <w:rtl/>
        </w:rPr>
        <w:t xml:space="preserve"> דברבים יש להקל טפי דמדכרי אהדדי וביחיד גזרו יותר. אך עבודת הגרשוני </w:t>
      </w:r>
      <w:r w:rsidRPr="00477843">
        <w:rPr>
          <w:rFonts w:hint="cs"/>
          <w:sz w:val="16"/>
          <w:szCs w:val="16"/>
          <w:rtl/>
        </w:rPr>
        <w:t xml:space="preserve">(סי' ב) </w:t>
      </w:r>
      <w:r>
        <w:rPr>
          <w:rFonts w:hint="cs"/>
          <w:rtl/>
        </w:rPr>
        <w:t xml:space="preserve">הש"ך </w:t>
      </w:r>
      <w:r w:rsidRPr="00477843">
        <w:rPr>
          <w:rFonts w:hint="cs"/>
          <w:sz w:val="16"/>
          <w:szCs w:val="16"/>
          <w:rtl/>
        </w:rPr>
        <w:t xml:space="preserve">(בנה"כ אות ג-ז) </w:t>
      </w:r>
      <w:r>
        <w:rPr>
          <w:rFonts w:hint="cs"/>
          <w:rtl/>
        </w:rPr>
        <w:t xml:space="preserve">ורעק"א </w:t>
      </w:r>
      <w:r w:rsidRPr="00477843">
        <w:rPr>
          <w:rFonts w:hint="cs"/>
          <w:sz w:val="16"/>
          <w:szCs w:val="16"/>
          <w:rtl/>
        </w:rPr>
        <w:t>(על הט"ז אות ד)</w:t>
      </w:r>
      <w:r>
        <w:rPr>
          <w:rFonts w:hint="cs"/>
          <w:rtl/>
        </w:rPr>
        <w:t xml:space="preserve"> השיגו על דברי הט"ז ואמרו דלא שייך לומר רבים מדכרי אהדדי אלא כשהם במעמד אחד אבל הכא יש לחוש שיקנו זה אחר זה. </w:t>
      </w:r>
    </w:p>
  </w:footnote>
  <w:footnote w:id="2485">
    <w:p w14:paraId="4E5119FB" w14:textId="77777777" w:rsidR="004C5A3C" w:rsidRDefault="004C5A3C" w:rsidP="002C39F4">
      <w:pPr>
        <w:pStyle w:val="a5"/>
      </w:pPr>
      <w:r>
        <w:rPr>
          <w:rStyle w:val="a7"/>
        </w:rPr>
        <w:footnoteRef/>
      </w:r>
      <w:r>
        <w:rPr>
          <w:rtl/>
        </w:rPr>
        <w:t xml:space="preserve"> </w:t>
      </w:r>
      <w:r>
        <w:rPr>
          <w:rFonts w:hint="cs"/>
          <w:rtl/>
        </w:rPr>
        <w:t>וכ' בת"ח (כלל מג דין א) שטוב להחמיר כן. ונראה דדעת הש"ך (סקל"ו) לאסור.</w:t>
      </w:r>
    </w:p>
  </w:footnote>
  <w:footnote w:id="2486">
    <w:p w14:paraId="185E98C3" w14:textId="77777777" w:rsidR="004C5A3C" w:rsidRDefault="004C5A3C" w:rsidP="002C39F4">
      <w:pPr>
        <w:pStyle w:val="a5"/>
        <w:rPr>
          <w:rtl/>
        </w:rPr>
      </w:pPr>
      <w:r>
        <w:rPr>
          <w:rStyle w:val="a7"/>
        </w:rPr>
        <w:footnoteRef/>
      </w:r>
      <w:r>
        <w:rPr>
          <w:rtl/>
        </w:rPr>
        <w:t xml:space="preserve"> </w:t>
      </w:r>
      <w:r>
        <w:rPr>
          <w:rFonts w:cs="Arial" w:hint="cs"/>
          <w:rtl/>
        </w:rPr>
        <w:t xml:space="preserve">שאילתות </w:t>
      </w:r>
      <w:r>
        <w:rPr>
          <w:rFonts w:cs="Arial" w:hint="cs"/>
          <w:sz w:val="16"/>
          <w:szCs w:val="16"/>
          <w:rtl/>
        </w:rPr>
        <w:t>(ויקרא סי' סח)</w:t>
      </w:r>
      <w:r>
        <w:rPr>
          <w:rFonts w:cs="Arial" w:hint="cs"/>
          <w:rtl/>
        </w:rPr>
        <w:t xml:space="preserve"> ר"ת</w:t>
      </w:r>
      <w:r w:rsidRPr="008C0A32">
        <w:rPr>
          <w:rFonts w:cs="Arial" w:hint="cs"/>
          <w:rtl/>
        </w:rPr>
        <w:t xml:space="preserve"> </w:t>
      </w:r>
      <w:r>
        <w:rPr>
          <w:rFonts w:cs="Arial" w:hint="cs"/>
          <w:sz w:val="16"/>
          <w:szCs w:val="16"/>
          <w:rtl/>
        </w:rPr>
        <w:t xml:space="preserve">(כ"כ הרשב"א והב"י בשמו) </w:t>
      </w:r>
      <w:r>
        <w:rPr>
          <w:rFonts w:cs="Arial" w:hint="cs"/>
          <w:rtl/>
        </w:rPr>
        <w:t>ו</w:t>
      </w:r>
      <w:r w:rsidRPr="008C0A32">
        <w:rPr>
          <w:rFonts w:cs="Arial" w:hint="cs"/>
          <w:rtl/>
        </w:rPr>
        <w:t xml:space="preserve">רשב"א </w:t>
      </w:r>
      <w:r w:rsidRPr="008C0A32">
        <w:rPr>
          <w:rFonts w:cs="Arial" w:hint="cs"/>
          <w:sz w:val="16"/>
          <w:szCs w:val="16"/>
          <w:rtl/>
        </w:rPr>
        <w:t>(</w:t>
      </w:r>
      <w:r>
        <w:rPr>
          <w:rFonts w:cs="Arial" w:hint="cs"/>
          <w:sz w:val="16"/>
          <w:szCs w:val="16"/>
          <w:rtl/>
        </w:rPr>
        <w:t>כ"כ הטור בשמו</w:t>
      </w:r>
      <w:r w:rsidRPr="008C0A32">
        <w:rPr>
          <w:rFonts w:cs="Arial"/>
          <w:sz w:val="16"/>
          <w:szCs w:val="16"/>
          <w:rtl/>
        </w:rPr>
        <w:t>)</w:t>
      </w:r>
      <w:r>
        <w:rPr>
          <w:rFonts w:hint="cs"/>
          <w:rtl/>
        </w:rPr>
        <w:t>.</w:t>
      </w:r>
    </w:p>
  </w:footnote>
  <w:footnote w:id="2487">
    <w:p w14:paraId="00173DDF" w14:textId="77777777" w:rsidR="004C5A3C" w:rsidRDefault="004C5A3C" w:rsidP="002C39F4">
      <w:pPr>
        <w:pStyle w:val="a5"/>
      </w:pPr>
      <w:r>
        <w:rPr>
          <w:rStyle w:val="a7"/>
        </w:rPr>
        <w:footnoteRef/>
      </w:r>
      <w:r>
        <w:rPr>
          <w:rtl/>
        </w:rPr>
        <w:t xml:space="preserve"> </w:t>
      </w:r>
      <w:r>
        <w:rPr>
          <w:rFonts w:cs="Arial" w:hint="cs"/>
          <w:rtl/>
        </w:rPr>
        <w:t>כ"כ הב"י בשמו, אך הדרכ"מ (אות ז) ד</w:t>
      </w:r>
      <w:r w:rsidRPr="006B7497">
        <w:rPr>
          <w:rFonts w:cs="Arial"/>
          <w:rtl/>
        </w:rPr>
        <w:t xml:space="preserve">דברי הרשב"א </w:t>
      </w:r>
      <w:r>
        <w:rPr>
          <w:rFonts w:cs="Arial" w:hint="cs"/>
          <w:rtl/>
        </w:rPr>
        <w:t>בתוה"ב לא כך אלא דס"ל לרשב"א</w:t>
      </w:r>
      <w:r>
        <w:rPr>
          <w:rFonts w:cs="Arial"/>
          <w:rtl/>
        </w:rPr>
        <w:t xml:space="preserve"> ד</w:t>
      </w:r>
      <w:r w:rsidRPr="006B7497">
        <w:rPr>
          <w:rFonts w:cs="Arial"/>
          <w:rtl/>
        </w:rPr>
        <w:t>מאן דאסר אם פירש לאחר שנודע התערובות ה"ה אם פירש קודם לכן אסור</w:t>
      </w:r>
      <w:r>
        <w:rPr>
          <w:rFonts w:cs="Arial" w:hint="cs"/>
          <w:rtl/>
        </w:rPr>
        <w:t>. וכ' עוד דה</w:t>
      </w:r>
      <w:r w:rsidRPr="006B7497">
        <w:rPr>
          <w:rFonts w:cs="Arial"/>
          <w:rtl/>
        </w:rPr>
        <w:t>ב</w:t>
      </w:r>
      <w:r>
        <w:rPr>
          <w:rFonts w:cs="Arial" w:hint="cs"/>
          <w:rtl/>
        </w:rPr>
        <w:t>"</w:t>
      </w:r>
      <w:r>
        <w:rPr>
          <w:rFonts w:cs="Arial"/>
          <w:rtl/>
        </w:rPr>
        <w:t>י</w:t>
      </w:r>
      <w:r w:rsidRPr="006B7497">
        <w:rPr>
          <w:rFonts w:cs="Arial"/>
          <w:rtl/>
        </w:rPr>
        <w:t xml:space="preserve"> האריך לתמוה על רבינו מכח דברי הרשב"א ואין בדבר זו ממש כי פליג עליו בסברא זו וכדברי הרא"ש ז"ל</w:t>
      </w:r>
      <w:r>
        <w:rPr>
          <w:rFonts w:cs="Arial" w:hint="cs"/>
          <w:rtl/>
        </w:rPr>
        <w:t>.</w:t>
      </w:r>
    </w:p>
  </w:footnote>
  <w:footnote w:id="2488">
    <w:p w14:paraId="16AD3D00" w14:textId="77777777" w:rsidR="004C5A3C" w:rsidRDefault="004C5A3C" w:rsidP="002C39F4">
      <w:pPr>
        <w:pStyle w:val="a5"/>
        <w:rPr>
          <w:rtl/>
        </w:rPr>
      </w:pPr>
      <w:r>
        <w:rPr>
          <w:rStyle w:val="a7"/>
        </w:rPr>
        <w:footnoteRef/>
      </w:r>
      <w:r>
        <w:rPr>
          <w:rtl/>
        </w:rPr>
        <w:t xml:space="preserve"> </w:t>
      </w:r>
      <w:r w:rsidRPr="00A76FEE">
        <w:rPr>
          <w:rFonts w:cs="Arial"/>
          <w:rtl/>
        </w:rPr>
        <w:t>אבל קודם שנודע התערובות מותר אפי' למ"ד פירש ממילא אסור</w:t>
      </w:r>
      <w:r>
        <w:rPr>
          <w:rFonts w:cs="Arial" w:hint="cs"/>
          <w:rtl/>
        </w:rPr>
        <w:t>,</w:t>
      </w:r>
      <w:r w:rsidRPr="00A76FEE">
        <w:rPr>
          <w:rFonts w:cs="Arial"/>
          <w:rtl/>
        </w:rPr>
        <w:t xml:space="preserve"> כ"כ הרא"ש והטור</w:t>
      </w:r>
      <w:r>
        <w:rPr>
          <w:rFonts w:cs="Arial" w:hint="cs"/>
          <w:rtl/>
        </w:rPr>
        <w:t>,</w:t>
      </w:r>
      <w:r>
        <w:rPr>
          <w:rFonts w:cs="Arial"/>
          <w:rtl/>
        </w:rPr>
        <w:t xml:space="preserve"> וכן הסכים מהרש"ל </w:t>
      </w:r>
      <w:r>
        <w:rPr>
          <w:rFonts w:cs="Arial" w:hint="cs"/>
          <w:rtl/>
        </w:rPr>
        <w:t>(</w:t>
      </w:r>
      <w:r>
        <w:rPr>
          <w:rFonts w:cs="Arial"/>
          <w:rtl/>
        </w:rPr>
        <w:t>פג"ה סי</w:t>
      </w:r>
      <w:r>
        <w:rPr>
          <w:rFonts w:cs="Arial" w:hint="cs"/>
          <w:rtl/>
        </w:rPr>
        <w:t>'</w:t>
      </w:r>
      <w:r>
        <w:rPr>
          <w:rFonts w:cs="Arial"/>
          <w:rtl/>
        </w:rPr>
        <w:t xml:space="preserve"> כ</w:t>
      </w:r>
      <w:r w:rsidRPr="00A76FEE">
        <w:rPr>
          <w:rFonts w:cs="Arial"/>
          <w:rtl/>
        </w:rPr>
        <w:t>א</w:t>
      </w:r>
      <w:r>
        <w:rPr>
          <w:rFonts w:cs="Arial" w:hint="cs"/>
          <w:rtl/>
        </w:rPr>
        <w:t>)</w:t>
      </w:r>
      <w:r w:rsidRPr="00A76FEE">
        <w:rPr>
          <w:rFonts w:cs="Arial"/>
          <w:rtl/>
        </w:rPr>
        <w:t xml:space="preserve"> וד</w:t>
      </w:r>
      <w:r>
        <w:rPr>
          <w:rFonts w:cs="Arial" w:hint="cs"/>
          <w:rtl/>
        </w:rPr>
        <w:t>רכ</w:t>
      </w:r>
      <w:r w:rsidRPr="00A76FEE">
        <w:rPr>
          <w:rFonts w:cs="Arial"/>
          <w:rtl/>
        </w:rPr>
        <w:t xml:space="preserve">"מ </w:t>
      </w:r>
      <w:r>
        <w:rPr>
          <w:rFonts w:cs="Arial" w:hint="cs"/>
          <w:rtl/>
        </w:rPr>
        <w:t xml:space="preserve">(אות ט) </w:t>
      </w:r>
      <w:r>
        <w:rPr>
          <w:rFonts w:cs="Arial"/>
          <w:rtl/>
        </w:rPr>
        <w:t>והאחרונים</w:t>
      </w:r>
      <w:r>
        <w:rPr>
          <w:rFonts w:cs="Arial" w:hint="cs"/>
          <w:rtl/>
        </w:rPr>
        <w:t xml:space="preserve">, </w:t>
      </w:r>
      <w:r w:rsidRPr="00A76FEE">
        <w:rPr>
          <w:rFonts w:cs="Arial"/>
          <w:rtl/>
        </w:rPr>
        <w:t>ודלא כהרשב"א וב"י</w:t>
      </w:r>
      <w:r>
        <w:rPr>
          <w:rFonts w:cs="Arial" w:hint="cs"/>
          <w:rtl/>
        </w:rPr>
        <w:t>,</w:t>
      </w:r>
      <w:r>
        <w:rPr>
          <w:rFonts w:cs="Arial"/>
          <w:rtl/>
        </w:rPr>
        <w:t xml:space="preserve"> והטעם כ</w:t>
      </w:r>
      <w:r>
        <w:rPr>
          <w:rFonts w:cs="Arial" w:hint="cs"/>
          <w:rtl/>
        </w:rPr>
        <w:t>'</w:t>
      </w:r>
      <w:r>
        <w:rPr>
          <w:rFonts w:cs="Arial"/>
          <w:rtl/>
        </w:rPr>
        <w:t xml:space="preserve"> הרא"ש בתשו</w:t>
      </w:r>
      <w:r>
        <w:rPr>
          <w:rFonts w:cs="Arial" w:hint="cs"/>
          <w:rtl/>
        </w:rPr>
        <w:t>'</w:t>
      </w:r>
      <w:r w:rsidRPr="00A76FEE">
        <w:rPr>
          <w:rFonts w:cs="Arial"/>
          <w:rtl/>
        </w:rPr>
        <w:t xml:space="preserve"> דהא דאסור פירש ממילא הוא משום שמא יקח בידים מן הקבוע והך גזרה לא אשכחן אלא היכא שכבר עומדים בחזקת איסור אבל קודם שנולד הספק לא שייך למגזר מידי שכולן בחזקת היתר הן עומדים</w:t>
      </w:r>
      <w:r>
        <w:rPr>
          <w:rFonts w:cs="Arial" w:hint="cs"/>
          <w:rtl/>
        </w:rPr>
        <w:t>,</w:t>
      </w:r>
      <w:r w:rsidRPr="00A76FEE">
        <w:rPr>
          <w:rFonts w:cs="Arial"/>
          <w:rtl/>
        </w:rPr>
        <w:t xml:space="preserve"> מאי אמרת שמא יקח אחר שנולד הספק</w:t>
      </w:r>
      <w:r>
        <w:rPr>
          <w:rFonts w:cs="Arial" w:hint="cs"/>
          <w:rtl/>
        </w:rPr>
        <w:t>-</w:t>
      </w:r>
      <w:r w:rsidRPr="00A76FEE">
        <w:rPr>
          <w:rFonts w:cs="Arial"/>
          <w:rtl/>
        </w:rPr>
        <w:t xml:space="preserve"> הך גזירה לא אשכחן בש"ס ועוד בהא ליכא למטעי דאם לקח בעוד שהיה בחזקת היתר בשביל זה לא אתי ליקח לאחר שנאסרו ע"כ</w:t>
      </w:r>
      <w:r>
        <w:rPr>
          <w:rFonts w:hint="cs"/>
          <w:rtl/>
        </w:rPr>
        <w:t>, ש"ך (סקל"ג).</w:t>
      </w:r>
    </w:p>
  </w:footnote>
  <w:footnote w:id="2489">
    <w:p w14:paraId="0F09EA31" w14:textId="77777777" w:rsidR="004C5A3C" w:rsidRDefault="004C5A3C" w:rsidP="002C39F4">
      <w:pPr>
        <w:pStyle w:val="a5"/>
        <w:rPr>
          <w:rtl/>
        </w:rPr>
      </w:pPr>
      <w:r>
        <w:rPr>
          <w:rStyle w:val="a7"/>
        </w:rPr>
        <w:footnoteRef/>
      </w:r>
      <w:r>
        <w:rPr>
          <w:rtl/>
        </w:rPr>
        <w:t xml:space="preserve"> </w:t>
      </w:r>
      <w:r w:rsidRPr="00A76FEE">
        <w:rPr>
          <w:rFonts w:cs="Arial"/>
          <w:rtl/>
        </w:rPr>
        <w:t>שלא בפנינו</w:t>
      </w:r>
      <w:r>
        <w:rPr>
          <w:rFonts w:cs="Arial" w:hint="cs"/>
          <w:rtl/>
        </w:rPr>
        <w:t>,</w:t>
      </w:r>
      <w:r>
        <w:rPr>
          <w:rFonts w:cs="Arial"/>
          <w:rtl/>
        </w:rPr>
        <w:t xml:space="preserve"> או שנתפזרו כולן אפי</w:t>
      </w:r>
      <w:r>
        <w:rPr>
          <w:rFonts w:cs="Arial" w:hint="cs"/>
          <w:rtl/>
        </w:rPr>
        <w:t>לו</w:t>
      </w:r>
      <w:r w:rsidRPr="00A76FEE">
        <w:rPr>
          <w:rFonts w:cs="Arial"/>
          <w:rtl/>
        </w:rPr>
        <w:t xml:space="preserve"> בפנינו מותר</w:t>
      </w:r>
      <w:r>
        <w:rPr>
          <w:rFonts w:cs="Arial" w:hint="cs"/>
          <w:rtl/>
        </w:rPr>
        <w:t>,</w:t>
      </w:r>
      <w:r w:rsidRPr="00A76FEE">
        <w:rPr>
          <w:rFonts w:cs="Arial"/>
          <w:rtl/>
        </w:rPr>
        <w:t xml:space="preserve"> שכבר נתבטל הקביעות</w:t>
      </w:r>
      <w:r>
        <w:rPr>
          <w:rFonts w:cs="Arial" w:hint="cs"/>
          <w:rtl/>
        </w:rPr>
        <w:t>,</w:t>
      </w:r>
      <w:r w:rsidRPr="00A76FEE">
        <w:rPr>
          <w:rFonts w:cs="Arial"/>
          <w:rtl/>
        </w:rPr>
        <w:t xml:space="preserve"> כ</w:t>
      </w:r>
      <w:r>
        <w:rPr>
          <w:rFonts w:cs="Arial" w:hint="cs"/>
          <w:rtl/>
        </w:rPr>
        <w:t>"כ</w:t>
      </w:r>
      <w:r w:rsidRPr="00A76FEE">
        <w:rPr>
          <w:rFonts w:cs="Arial"/>
          <w:rtl/>
        </w:rPr>
        <w:t xml:space="preserve"> הרשב"א בת</w:t>
      </w:r>
      <w:r>
        <w:rPr>
          <w:rFonts w:cs="Arial" w:hint="cs"/>
          <w:rtl/>
        </w:rPr>
        <w:t>ו</w:t>
      </w:r>
      <w:r w:rsidRPr="00A76FEE">
        <w:rPr>
          <w:rFonts w:cs="Arial"/>
          <w:rtl/>
        </w:rPr>
        <w:t xml:space="preserve">ה"א </w:t>
      </w:r>
      <w:r>
        <w:rPr>
          <w:rFonts w:cs="Arial" w:hint="cs"/>
          <w:rtl/>
        </w:rPr>
        <w:t>(ב"ד ש"ב ל.) ו</w:t>
      </w:r>
      <w:r w:rsidRPr="00A76FEE">
        <w:rPr>
          <w:rFonts w:cs="Arial"/>
          <w:rtl/>
        </w:rPr>
        <w:t>מביאו ב"י</w:t>
      </w:r>
      <w:r>
        <w:rPr>
          <w:rFonts w:cs="Arial" w:hint="cs"/>
          <w:rtl/>
        </w:rPr>
        <w:t>,</w:t>
      </w:r>
      <w:r w:rsidRPr="00A76FEE">
        <w:rPr>
          <w:rFonts w:cs="Arial"/>
          <w:rtl/>
        </w:rPr>
        <w:t xml:space="preserve"> וכ"כ במשמרת הבית </w:t>
      </w:r>
      <w:r>
        <w:rPr>
          <w:rFonts w:cs="Arial" w:hint="cs"/>
          <w:rtl/>
        </w:rPr>
        <w:t>(ב"ד ש"א יג.)</w:t>
      </w:r>
      <w:r w:rsidRPr="00A76FEE">
        <w:rPr>
          <w:rFonts w:cs="Arial"/>
          <w:rtl/>
        </w:rPr>
        <w:t xml:space="preserve"> דנתפזרו כולן בפנינו חשוב כפירשו שלא בפנינו ע"ש</w:t>
      </w:r>
      <w:r>
        <w:rPr>
          <w:rFonts w:cs="Arial" w:hint="cs"/>
          <w:rtl/>
        </w:rPr>
        <w:t>, ש"ך (סקל"ה).</w:t>
      </w:r>
    </w:p>
  </w:footnote>
  <w:footnote w:id="2490">
    <w:p w14:paraId="0A6A1BFC" w14:textId="77777777" w:rsidR="004C5A3C" w:rsidRDefault="004C5A3C" w:rsidP="002C39F4">
      <w:pPr>
        <w:pStyle w:val="a5"/>
        <w:rPr>
          <w:rtl/>
        </w:rPr>
      </w:pPr>
      <w:r>
        <w:rPr>
          <w:rStyle w:val="a7"/>
        </w:rPr>
        <w:footnoteRef/>
      </w:r>
      <w:r>
        <w:rPr>
          <w:rtl/>
        </w:rPr>
        <w:t xml:space="preserve"> </w:t>
      </w:r>
      <w:r w:rsidRPr="00A76FEE">
        <w:rPr>
          <w:rFonts w:cs="Arial"/>
          <w:rtl/>
        </w:rPr>
        <w:t>דכל המיעוטים שפירשו לצד א</w:t>
      </w:r>
      <w:r>
        <w:rPr>
          <w:rFonts w:cs="Arial" w:hint="cs"/>
          <w:rtl/>
        </w:rPr>
        <w:t>'</w:t>
      </w:r>
      <w:r w:rsidRPr="00A76FEE">
        <w:rPr>
          <w:rFonts w:cs="Arial"/>
          <w:rtl/>
        </w:rPr>
        <w:t xml:space="preserve"> אנו אמרינן בהן דכל דפריש מרובא קא פריש ואיסורא בתוך רובא אישתאר עכ"ל הרשב"א במש</w:t>
      </w:r>
      <w:r>
        <w:rPr>
          <w:rFonts w:cs="Arial" w:hint="cs"/>
          <w:rtl/>
        </w:rPr>
        <w:t>ה"ב</w:t>
      </w:r>
      <w:r w:rsidRPr="00A76FEE">
        <w:rPr>
          <w:rFonts w:cs="Arial"/>
          <w:rtl/>
        </w:rPr>
        <w:t xml:space="preserve"> </w:t>
      </w:r>
      <w:r w:rsidRPr="00FC5FCF">
        <w:rPr>
          <w:rFonts w:cs="Arial" w:hint="cs"/>
          <w:sz w:val="16"/>
          <w:szCs w:val="16"/>
          <w:rtl/>
        </w:rPr>
        <w:t>(ב"ד ש"ב ל.</w:t>
      </w:r>
      <w:r>
        <w:rPr>
          <w:rFonts w:cs="Arial" w:hint="cs"/>
          <w:sz w:val="16"/>
          <w:szCs w:val="16"/>
          <w:rtl/>
        </w:rPr>
        <w:t>,</w:t>
      </w:r>
      <w:r w:rsidRPr="00060EB2">
        <w:rPr>
          <w:rFonts w:cs="Arial"/>
          <w:sz w:val="12"/>
          <w:szCs w:val="12"/>
          <w:rtl/>
        </w:rPr>
        <w:t xml:space="preserve"> </w:t>
      </w:r>
      <w:r w:rsidRPr="00060EB2">
        <w:rPr>
          <w:rFonts w:cs="Arial"/>
          <w:sz w:val="16"/>
          <w:szCs w:val="16"/>
          <w:rtl/>
        </w:rPr>
        <w:t>וכ</w:t>
      </w:r>
      <w:r w:rsidRPr="00060EB2">
        <w:rPr>
          <w:rFonts w:cs="Arial" w:hint="cs"/>
          <w:sz w:val="16"/>
          <w:szCs w:val="16"/>
          <w:rtl/>
        </w:rPr>
        <w:t>"כ</w:t>
      </w:r>
      <w:r w:rsidRPr="00060EB2">
        <w:rPr>
          <w:rFonts w:cs="Arial"/>
          <w:sz w:val="16"/>
          <w:szCs w:val="16"/>
          <w:rtl/>
        </w:rPr>
        <w:t xml:space="preserve"> בת</w:t>
      </w:r>
      <w:r w:rsidRPr="00060EB2">
        <w:rPr>
          <w:rFonts w:cs="Arial" w:hint="cs"/>
          <w:sz w:val="16"/>
          <w:szCs w:val="16"/>
          <w:rtl/>
        </w:rPr>
        <w:t>ו</w:t>
      </w:r>
      <w:r w:rsidRPr="00060EB2">
        <w:rPr>
          <w:rFonts w:cs="Arial"/>
          <w:sz w:val="16"/>
          <w:szCs w:val="16"/>
          <w:rtl/>
        </w:rPr>
        <w:t xml:space="preserve">ה"ק </w:t>
      </w:r>
      <w:r w:rsidRPr="00FC5FCF">
        <w:rPr>
          <w:rFonts w:cs="Arial"/>
          <w:sz w:val="16"/>
          <w:szCs w:val="16"/>
          <w:rtl/>
        </w:rPr>
        <w:t>ב</w:t>
      </w:r>
      <w:r w:rsidRPr="00FC5FCF">
        <w:rPr>
          <w:rFonts w:cs="Arial" w:hint="cs"/>
          <w:sz w:val="16"/>
          <w:szCs w:val="16"/>
          <w:rtl/>
        </w:rPr>
        <w:t>"</w:t>
      </w:r>
      <w:r w:rsidRPr="00FC5FCF">
        <w:rPr>
          <w:rFonts w:cs="Arial"/>
          <w:sz w:val="16"/>
          <w:szCs w:val="16"/>
          <w:rtl/>
        </w:rPr>
        <w:t>ד ש</w:t>
      </w:r>
      <w:r w:rsidRPr="00FC5FCF">
        <w:rPr>
          <w:rFonts w:cs="Arial" w:hint="cs"/>
          <w:sz w:val="16"/>
          <w:szCs w:val="16"/>
          <w:rtl/>
        </w:rPr>
        <w:t>"</w:t>
      </w:r>
      <w:r w:rsidRPr="00FC5FCF">
        <w:rPr>
          <w:rFonts w:cs="Arial"/>
          <w:sz w:val="16"/>
          <w:szCs w:val="16"/>
          <w:rtl/>
        </w:rPr>
        <w:t>א לט</w:t>
      </w:r>
      <w:r w:rsidRPr="00FC5FCF">
        <w:rPr>
          <w:rFonts w:cs="Arial" w:hint="cs"/>
          <w:sz w:val="16"/>
          <w:szCs w:val="16"/>
          <w:rtl/>
        </w:rPr>
        <w:t>:)</w:t>
      </w:r>
      <w:r>
        <w:rPr>
          <w:rFonts w:cs="Arial" w:hint="cs"/>
          <w:rtl/>
        </w:rPr>
        <w:t>,</w:t>
      </w:r>
      <w:r w:rsidRPr="00A76FEE">
        <w:rPr>
          <w:rFonts w:cs="Arial"/>
          <w:rtl/>
        </w:rPr>
        <w:t xml:space="preserve"> ולפ</w:t>
      </w:r>
      <w:r>
        <w:rPr>
          <w:rFonts w:cs="Arial" w:hint="cs"/>
          <w:rtl/>
        </w:rPr>
        <w:t>"</w:t>
      </w:r>
      <w:r w:rsidRPr="00A76FEE">
        <w:rPr>
          <w:rFonts w:cs="Arial"/>
          <w:rtl/>
        </w:rPr>
        <w:t>ז פירשו מחציתן בבת אחת אסורים</w:t>
      </w:r>
      <w:r>
        <w:rPr>
          <w:rFonts w:cs="Arial" w:hint="cs"/>
          <w:rtl/>
        </w:rPr>
        <w:t>,</w:t>
      </w:r>
      <w:r w:rsidRPr="00A76FEE">
        <w:rPr>
          <w:rFonts w:cs="Arial"/>
          <w:rtl/>
        </w:rPr>
        <w:t xml:space="preserve"> וכ</w:t>
      </w:r>
      <w:r>
        <w:rPr>
          <w:rFonts w:cs="Arial" w:hint="cs"/>
          <w:rtl/>
        </w:rPr>
        <w:t>"</w:t>
      </w:r>
      <w:r w:rsidRPr="00A76FEE">
        <w:rPr>
          <w:rFonts w:cs="Arial"/>
          <w:rtl/>
        </w:rPr>
        <w:t>מ להדיא בת</w:t>
      </w:r>
      <w:r>
        <w:rPr>
          <w:rFonts w:cs="Arial" w:hint="cs"/>
          <w:rtl/>
        </w:rPr>
        <w:t>ו</w:t>
      </w:r>
      <w:r w:rsidRPr="00A76FEE">
        <w:rPr>
          <w:rFonts w:cs="Arial"/>
          <w:rtl/>
        </w:rPr>
        <w:t xml:space="preserve">ה"ק </w:t>
      </w:r>
      <w:r w:rsidRPr="00FC5FCF">
        <w:rPr>
          <w:rFonts w:cs="Arial" w:hint="cs"/>
          <w:sz w:val="16"/>
          <w:szCs w:val="16"/>
          <w:rtl/>
        </w:rPr>
        <w:t>(ב"ד ש"ב מב:)</w:t>
      </w:r>
      <w:r>
        <w:rPr>
          <w:rFonts w:cs="Arial" w:hint="cs"/>
          <w:rtl/>
        </w:rPr>
        <w:t>,</w:t>
      </w:r>
      <w:r w:rsidRPr="00A76FEE">
        <w:rPr>
          <w:rFonts w:cs="Arial"/>
          <w:rtl/>
        </w:rPr>
        <w:t xml:space="preserve"> ודלא כהפרישה סע</w:t>
      </w:r>
      <w:r>
        <w:rPr>
          <w:rFonts w:cs="Arial" w:hint="cs"/>
          <w:rtl/>
        </w:rPr>
        <w:t>'</w:t>
      </w:r>
      <w:r w:rsidRPr="00A76FEE">
        <w:rPr>
          <w:rFonts w:cs="Arial"/>
          <w:rtl/>
        </w:rPr>
        <w:t xml:space="preserve"> כח</w:t>
      </w:r>
      <w:r>
        <w:rPr>
          <w:rFonts w:hint="cs"/>
          <w:rtl/>
        </w:rPr>
        <w:t xml:space="preserve">, ש"ך </w:t>
      </w:r>
      <w:r w:rsidRPr="00FC5FCF">
        <w:rPr>
          <w:rFonts w:hint="cs"/>
          <w:sz w:val="16"/>
          <w:szCs w:val="16"/>
          <w:rtl/>
        </w:rPr>
        <w:t>(סקל"ד)</w:t>
      </w:r>
      <w:r>
        <w:rPr>
          <w:rFonts w:hint="cs"/>
          <w:rtl/>
        </w:rPr>
        <w:t>.</w:t>
      </w:r>
    </w:p>
  </w:footnote>
  <w:footnote w:id="2491">
    <w:p w14:paraId="23C04D16" w14:textId="77777777" w:rsidR="004C5A3C" w:rsidRPr="00B90EDF" w:rsidRDefault="004C5A3C" w:rsidP="002C39F4">
      <w:pPr>
        <w:pStyle w:val="a5"/>
        <w:rPr>
          <w:color w:val="FF0000"/>
        </w:rPr>
      </w:pPr>
      <w:r>
        <w:rPr>
          <w:rStyle w:val="a7"/>
        </w:rPr>
        <w:footnoteRef/>
      </w:r>
      <w:r>
        <w:rPr>
          <w:rtl/>
        </w:rPr>
        <w:t xml:space="preserve"> </w:t>
      </w:r>
      <w:r>
        <w:rPr>
          <w:rFonts w:hint="cs"/>
          <w:rtl/>
        </w:rPr>
        <w:t>משום דנתפזרו כבר, היינו דיעבד, אבל לפזר לכתח' אסור אע"ג דכולם ניידי, אבל אם פיזר במתכוין ולא ידע דיש איסור בדבר שרי</w:t>
      </w:r>
      <w:r w:rsidRPr="00B90EDF">
        <w:rPr>
          <w:rFonts w:hint="cs"/>
          <w:sz w:val="16"/>
          <w:szCs w:val="16"/>
          <w:rtl/>
        </w:rPr>
        <w:t xml:space="preserve"> (</w:t>
      </w:r>
      <w:r>
        <w:rPr>
          <w:rFonts w:cs="Arial"/>
          <w:sz w:val="16"/>
          <w:szCs w:val="16"/>
          <w:rtl/>
        </w:rPr>
        <w:t>אע</w:t>
      </w:r>
      <w:r>
        <w:rPr>
          <w:rFonts w:cs="Arial" w:hint="cs"/>
          <w:sz w:val="16"/>
          <w:szCs w:val="16"/>
          <w:rtl/>
        </w:rPr>
        <w:t>"</w:t>
      </w:r>
      <w:r>
        <w:rPr>
          <w:rFonts w:cs="Arial"/>
          <w:sz w:val="16"/>
          <w:szCs w:val="16"/>
          <w:rtl/>
        </w:rPr>
        <w:t>ג</w:t>
      </w:r>
      <w:r w:rsidRPr="00B90EDF">
        <w:rPr>
          <w:rFonts w:cs="Arial"/>
          <w:sz w:val="16"/>
          <w:szCs w:val="16"/>
          <w:rtl/>
        </w:rPr>
        <w:t xml:space="preserve"> דפירשו לפנינו</w:t>
      </w:r>
      <w:r>
        <w:rPr>
          <w:rFonts w:cs="Arial" w:hint="cs"/>
          <w:sz w:val="16"/>
          <w:szCs w:val="16"/>
          <w:rtl/>
        </w:rPr>
        <w:t>,</w:t>
      </w:r>
      <w:r w:rsidRPr="00B90EDF">
        <w:rPr>
          <w:rFonts w:cs="Arial"/>
          <w:sz w:val="16"/>
          <w:szCs w:val="16"/>
          <w:rtl/>
        </w:rPr>
        <w:t xml:space="preserve"> שהרי הפרישן במתכוין</w:t>
      </w:r>
      <w:r>
        <w:rPr>
          <w:rFonts w:cs="Arial" w:hint="cs"/>
          <w:sz w:val="16"/>
          <w:szCs w:val="16"/>
          <w:rtl/>
        </w:rPr>
        <w:t>,</w:t>
      </w:r>
      <w:r w:rsidRPr="00B90EDF">
        <w:rPr>
          <w:rFonts w:cs="Arial"/>
          <w:sz w:val="16"/>
          <w:szCs w:val="16"/>
          <w:rtl/>
        </w:rPr>
        <w:t xml:space="preserve"> מותר</w:t>
      </w:r>
      <w:r>
        <w:rPr>
          <w:rFonts w:cs="Arial" w:hint="cs"/>
          <w:sz w:val="16"/>
          <w:szCs w:val="16"/>
          <w:rtl/>
        </w:rPr>
        <w:t>,</w:t>
      </w:r>
      <w:r w:rsidRPr="00B90EDF">
        <w:rPr>
          <w:rFonts w:cs="Arial"/>
          <w:sz w:val="16"/>
          <w:szCs w:val="16"/>
          <w:rtl/>
        </w:rPr>
        <w:t xml:space="preserve"> כיון דנתפזרו כולן חשוב כפירשו שלא בפנינו</w:t>
      </w:r>
      <w:r w:rsidRPr="00B90EDF">
        <w:rPr>
          <w:rFonts w:cs="Arial" w:hint="cs"/>
          <w:sz w:val="16"/>
          <w:szCs w:val="16"/>
          <w:rtl/>
        </w:rPr>
        <w:t>)</w:t>
      </w:r>
      <w:r>
        <w:rPr>
          <w:rFonts w:hint="cs"/>
          <w:rtl/>
        </w:rPr>
        <w:t xml:space="preserve">, ע"פ ש"ך </w:t>
      </w:r>
      <w:r w:rsidRPr="00B90EDF">
        <w:rPr>
          <w:rFonts w:hint="cs"/>
          <w:sz w:val="16"/>
          <w:szCs w:val="16"/>
          <w:rtl/>
        </w:rPr>
        <w:t>(סקל"ז)</w:t>
      </w:r>
      <w:r>
        <w:rPr>
          <w:rFonts w:hint="cs"/>
          <w:rtl/>
        </w:rPr>
        <w:t xml:space="preserve">. </w:t>
      </w:r>
      <w:r w:rsidRPr="00B90EDF">
        <w:rPr>
          <w:rFonts w:hint="cs"/>
          <w:color w:val="FF0000"/>
          <w:rtl/>
        </w:rPr>
        <w:t xml:space="preserve">צ"ע שוב בש"ך ובט"ז </w:t>
      </w:r>
      <w:r w:rsidRPr="004E6272">
        <w:rPr>
          <w:rFonts w:hint="cs"/>
          <w:color w:val="FF0000"/>
          <w:sz w:val="14"/>
          <w:szCs w:val="14"/>
          <w:rtl/>
        </w:rPr>
        <w:t>(סק"ז)</w:t>
      </w:r>
      <w:r w:rsidRPr="00B90EDF">
        <w:rPr>
          <w:rFonts w:hint="cs"/>
          <w:color w:val="FF0000"/>
          <w:rtl/>
        </w:rPr>
        <w:t>.</w:t>
      </w:r>
    </w:p>
  </w:footnote>
  <w:footnote w:id="2492">
    <w:p w14:paraId="235A11AA" w14:textId="77777777" w:rsidR="004C5A3C" w:rsidRDefault="004C5A3C" w:rsidP="002C39F4">
      <w:pPr>
        <w:pStyle w:val="a5"/>
      </w:pPr>
      <w:r>
        <w:rPr>
          <w:rStyle w:val="a7"/>
        </w:rPr>
        <w:footnoteRef/>
      </w:r>
      <w:r>
        <w:rPr>
          <w:rtl/>
        </w:rPr>
        <w:t xml:space="preserve"> </w:t>
      </w:r>
      <w:r>
        <w:rPr>
          <w:rFonts w:cs="Arial" w:hint="cs"/>
          <w:rtl/>
        </w:rPr>
        <w:t>ו</w:t>
      </w:r>
      <w:r w:rsidRPr="00194730">
        <w:rPr>
          <w:rFonts w:cs="Arial"/>
          <w:rtl/>
        </w:rPr>
        <w:t>אמרינן כל דפריש מרובא פריש ולא גזרינן שאם יקח הביצה יקח התרנגולת מן הקבו</w:t>
      </w:r>
      <w:r>
        <w:rPr>
          <w:rFonts w:cs="Arial" w:hint="cs"/>
          <w:rtl/>
        </w:rPr>
        <w:t>ע, דרכ"מ (אות ד) בשם או</w:t>
      </w:r>
      <w:r>
        <w:rPr>
          <w:rFonts w:cs="Arial"/>
          <w:rtl/>
        </w:rPr>
        <w:t>"</w:t>
      </w:r>
      <w:r>
        <w:rPr>
          <w:rFonts w:cs="Arial" w:hint="cs"/>
          <w:rtl/>
        </w:rPr>
        <w:t>ה.</w:t>
      </w:r>
      <w:r>
        <w:rPr>
          <w:rFonts w:hint="cs"/>
          <w:rtl/>
        </w:rPr>
        <w:t xml:space="preserve"> וכ' הש"ך (סקל"ח) </w:t>
      </w:r>
      <w:r>
        <w:rPr>
          <w:rFonts w:cs="Arial" w:hint="cs"/>
          <w:rtl/>
        </w:rPr>
        <w:t>ד</w:t>
      </w:r>
      <w:r w:rsidRPr="00B90EDF">
        <w:rPr>
          <w:rFonts w:cs="Arial"/>
          <w:rtl/>
        </w:rPr>
        <w:t>לפי זה אפילו למ"ד דביצה חשיב דבר שבמנין</w:t>
      </w:r>
      <w:r>
        <w:rPr>
          <w:rFonts w:cs="Arial" w:hint="cs"/>
          <w:rtl/>
        </w:rPr>
        <w:t>-</w:t>
      </w:r>
      <w:r w:rsidRPr="00B90EDF">
        <w:rPr>
          <w:rFonts w:cs="Arial"/>
          <w:rtl/>
        </w:rPr>
        <w:t xml:space="preserve"> שרי</w:t>
      </w:r>
      <w:r>
        <w:rPr>
          <w:rFonts w:cs="Arial" w:hint="cs"/>
          <w:rtl/>
        </w:rPr>
        <w:t>,</w:t>
      </w:r>
      <w:r w:rsidRPr="00B90EDF">
        <w:rPr>
          <w:rFonts w:cs="Arial"/>
          <w:rtl/>
        </w:rPr>
        <w:t xml:space="preserve"> דהא בתשע חנויות שרי בפירש ממילא אפילו חה"ל</w:t>
      </w:r>
      <w:r>
        <w:rPr>
          <w:rFonts w:cs="Arial" w:hint="cs"/>
          <w:rtl/>
        </w:rPr>
        <w:t>,</w:t>
      </w:r>
      <w:r w:rsidRPr="00B90EDF">
        <w:rPr>
          <w:rFonts w:cs="Arial"/>
          <w:rtl/>
        </w:rPr>
        <w:t xml:space="preserve"> ופשוט הוא</w:t>
      </w:r>
      <w:r>
        <w:rPr>
          <w:rFonts w:cs="Arial" w:hint="cs"/>
          <w:rtl/>
        </w:rPr>
        <w:t>,</w:t>
      </w:r>
      <w:r w:rsidRPr="00B90EDF">
        <w:rPr>
          <w:rFonts w:cs="Arial"/>
          <w:rtl/>
        </w:rPr>
        <w:t xml:space="preserve"> וכן מוכח באו"ה</w:t>
      </w:r>
      <w:r>
        <w:rPr>
          <w:rFonts w:cs="Arial" w:hint="cs"/>
          <w:rtl/>
        </w:rPr>
        <w:t>,</w:t>
      </w:r>
      <w:r w:rsidRPr="00B90EDF">
        <w:rPr>
          <w:rFonts w:cs="Arial"/>
          <w:rtl/>
        </w:rPr>
        <w:t xml:space="preserve"> דהא ס"ל דביצה הוי דבר שבמנין</w:t>
      </w:r>
      <w:r>
        <w:rPr>
          <w:rFonts w:cs="Arial" w:hint="cs"/>
          <w:rtl/>
        </w:rPr>
        <w:t>.</w:t>
      </w:r>
    </w:p>
  </w:footnote>
  <w:footnote w:id="2493">
    <w:p w14:paraId="516471C3" w14:textId="77777777" w:rsidR="004C5A3C" w:rsidRDefault="004C5A3C" w:rsidP="002C39F4">
      <w:pPr>
        <w:pStyle w:val="a5"/>
      </w:pPr>
      <w:r>
        <w:rPr>
          <w:rStyle w:val="a7"/>
        </w:rPr>
        <w:footnoteRef/>
      </w:r>
      <w:r>
        <w:rPr>
          <w:rtl/>
        </w:rPr>
        <w:t xml:space="preserve"> </w:t>
      </w:r>
      <w:r w:rsidRPr="00772DBB">
        <w:rPr>
          <w:rFonts w:cs="Arial"/>
          <w:rtl/>
        </w:rPr>
        <w:t>שנתקשטה בה</w:t>
      </w:r>
      <w:r>
        <w:rPr>
          <w:rFonts w:cs="Arial" w:hint="cs"/>
          <w:rtl/>
        </w:rPr>
        <w:t xml:space="preserve"> עבודה זרה, רש"י.</w:t>
      </w:r>
    </w:p>
  </w:footnote>
  <w:footnote w:id="2494">
    <w:p w14:paraId="156D18DD" w14:textId="77777777" w:rsidR="004C5A3C" w:rsidRDefault="004C5A3C" w:rsidP="002C39F4">
      <w:pPr>
        <w:pStyle w:val="a5"/>
        <w:rPr>
          <w:rtl/>
        </w:rPr>
      </w:pPr>
      <w:r>
        <w:rPr>
          <w:rStyle w:val="a7"/>
        </w:rPr>
        <w:footnoteRef/>
      </w:r>
      <w:r>
        <w:rPr>
          <w:rtl/>
        </w:rPr>
        <w:t xml:space="preserve"> </w:t>
      </w:r>
      <w:r>
        <w:rPr>
          <w:rFonts w:cs="Arial"/>
          <w:rtl/>
        </w:rPr>
        <w:t>כל הזבחים שנתערבו בחטאות המתות או בשור הנסקל</w:t>
      </w:r>
      <w:r>
        <w:rPr>
          <w:rFonts w:hint="cs"/>
          <w:rtl/>
        </w:rPr>
        <w:t>...</w:t>
      </w:r>
    </w:p>
  </w:footnote>
  <w:footnote w:id="2495">
    <w:p w14:paraId="155F93A8" w14:textId="77777777" w:rsidR="004C5A3C" w:rsidRDefault="004C5A3C" w:rsidP="002C39F4">
      <w:pPr>
        <w:pStyle w:val="a5"/>
      </w:pPr>
      <w:r>
        <w:rPr>
          <w:rStyle w:val="a7"/>
        </w:rPr>
        <w:footnoteRef/>
      </w:r>
      <w:r>
        <w:rPr>
          <w:rtl/>
        </w:rPr>
        <w:t xml:space="preserve"> </w:t>
      </w:r>
      <w:r>
        <w:rPr>
          <w:rFonts w:cs="Arial"/>
          <w:rtl/>
        </w:rPr>
        <w:t>פירוש ליהנות משנים שנים ביחד אבל מכל אחד ואחד לבד לא דכיון שנאסרו ע"י תערובת ומקילים בהו לתלות האיסור באותו שפירש לא שרינן אלא להקריב או לאכול שנים שנים דממה נפשך איכא בההיא אכילה ובההיא קריבה חדא דהיתרא</w:t>
      </w:r>
      <w:r>
        <w:rPr>
          <w:rFonts w:cs="Arial" w:hint="cs"/>
          <w:rtl/>
        </w:rPr>
        <w:t>, ב"י.</w:t>
      </w:r>
    </w:p>
  </w:footnote>
  <w:footnote w:id="2496">
    <w:p w14:paraId="0EB03E72" w14:textId="77777777" w:rsidR="004C5A3C" w:rsidRDefault="004C5A3C" w:rsidP="002C39F4">
      <w:pPr>
        <w:pStyle w:val="a5"/>
      </w:pPr>
      <w:r>
        <w:rPr>
          <w:rStyle w:val="a7"/>
        </w:rPr>
        <w:footnoteRef/>
      </w:r>
      <w:r>
        <w:rPr>
          <w:rtl/>
        </w:rPr>
        <w:t xml:space="preserve"> </w:t>
      </w:r>
      <w:r w:rsidRPr="00606EBD">
        <w:rPr>
          <w:rFonts w:cs="Arial"/>
          <w:rtl/>
        </w:rPr>
        <w:t>קטנה היא ואין מקום חסרונה ניכר</w:t>
      </w:r>
      <w:r>
        <w:rPr>
          <w:rFonts w:cs="Arial" w:hint="cs"/>
          <w:rtl/>
        </w:rPr>
        <w:t>, רש"י</w:t>
      </w:r>
      <w:r w:rsidRPr="00606EBD">
        <w:rPr>
          <w:rFonts w:cs="Arial"/>
          <w:rtl/>
        </w:rPr>
        <w:t>.</w:t>
      </w:r>
    </w:p>
  </w:footnote>
  <w:footnote w:id="2497">
    <w:p w14:paraId="1A58478D" w14:textId="77777777" w:rsidR="004C5A3C" w:rsidRDefault="004C5A3C" w:rsidP="002C39F4">
      <w:pPr>
        <w:pStyle w:val="a5"/>
      </w:pPr>
      <w:r>
        <w:rPr>
          <w:rStyle w:val="a7"/>
        </w:rPr>
        <w:footnoteRef/>
      </w:r>
      <w:r>
        <w:rPr>
          <w:rtl/>
        </w:rPr>
        <w:t xml:space="preserve"> </w:t>
      </w:r>
      <w:r w:rsidRPr="00772DBB">
        <w:rPr>
          <w:rFonts w:cs="Arial"/>
          <w:rtl/>
        </w:rPr>
        <w:t>כש</w:t>
      </w:r>
      <w:r>
        <w:rPr>
          <w:rFonts w:cs="Arial"/>
          <w:rtl/>
        </w:rPr>
        <w:t>ם שתחיל</w:t>
      </w:r>
      <w:r>
        <w:rPr>
          <w:rFonts w:cs="Arial" w:hint="cs"/>
          <w:rtl/>
        </w:rPr>
        <w:t>ת</w:t>
      </w:r>
      <w:r>
        <w:rPr>
          <w:rFonts w:cs="Arial"/>
          <w:rtl/>
        </w:rPr>
        <w:t xml:space="preserve"> נפילתה בתוך ההיתר נחשב</w:t>
      </w:r>
      <w:r>
        <w:rPr>
          <w:rFonts w:cs="Arial" w:hint="cs"/>
          <w:rtl/>
        </w:rPr>
        <w:t>ת</w:t>
      </w:r>
      <w:r w:rsidRPr="00772DBB">
        <w:rPr>
          <w:rFonts w:cs="Arial"/>
          <w:rtl/>
        </w:rPr>
        <w:t xml:space="preserve"> בעיניך לאסור את אלו כך כשעלתה מתוכ</w:t>
      </w:r>
      <w:r>
        <w:rPr>
          <w:rFonts w:cs="Arial"/>
          <w:rtl/>
        </w:rPr>
        <w:t>ן יחשב בעיניך מקום עלייתה להתיר</w:t>
      </w:r>
      <w:r>
        <w:rPr>
          <w:rFonts w:cs="Arial" w:hint="cs"/>
          <w:rtl/>
        </w:rPr>
        <w:t>, רש"י.</w:t>
      </w:r>
    </w:p>
  </w:footnote>
  <w:footnote w:id="2498">
    <w:p w14:paraId="47BD9F2C" w14:textId="77777777" w:rsidR="004C5A3C" w:rsidRDefault="004C5A3C" w:rsidP="002C39F4">
      <w:pPr>
        <w:pStyle w:val="a5"/>
        <w:rPr>
          <w:rtl/>
        </w:rPr>
      </w:pPr>
      <w:r>
        <w:rPr>
          <w:rStyle w:val="a7"/>
        </w:rPr>
        <w:footnoteRef/>
      </w:r>
      <w:r>
        <w:rPr>
          <w:rtl/>
        </w:rPr>
        <w:t xml:space="preserve"> </w:t>
      </w:r>
      <w:r w:rsidRPr="0072642D">
        <w:rPr>
          <w:rFonts w:cs="Arial"/>
          <w:rtl/>
        </w:rPr>
        <w:t>של חולין</w:t>
      </w:r>
      <w:r>
        <w:rPr>
          <w:rFonts w:cs="Arial" w:hint="cs"/>
          <w:rtl/>
        </w:rPr>
        <w:t>,</w:t>
      </w:r>
      <w:r w:rsidRPr="0072642D">
        <w:rPr>
          <w:rFonts w:cs="Arial"/>
          <w:rtl/>
        </w:rPr>
        <w:t xml:space="preserve"> ונפלה אחת של תרומה לתוכן ונעשה הכל מדומע</w:t>
      </w:r>
      <w:r>
        <w:rPr>
          <w:rFonts w:cs="Arial" w:hint="cs"/>
          <w:rtl/>
        </w:rPr>
        <w:t>, ידיד נפש.</w:t>
      </w:r>
      <w:r w:rsidRPr="0072642D">
        <w:rPr>
          <w:rFonts w:cs="Arial"/>
          <w:rtl/>
        </w:rPr>
        <w:t xml:space="preserve">  </w:t>
      </w:r>
    </w:p>
  </w:footnote>
  <w:footnote w:id="2499">
    <w:p w14:paraId="5090489B" w14:textId="77777777" w:rsidR="004C5A3C" w:rsidRDefault="004C5A3C" w:rsidP="002C39F4">
      <w:pPr>
        <w:pStyle w:val="a5"/>
      </w:pPr>
      <w:r>
        <w:rPr>
          <w:rStyle w:val="a7"/>
        </w:rPr>
        <w:footnoteRef/>
      </w:r>
      <w:r>
        <w:rPr>
          <w:rtl/>
        </w:rPr>
        <w:t xml:space="preserve"> </w:t>
      </w:r>
      <w:r w:rsidRPr="00A160A6">
        <w:rPr>
          <w:rFonts w:cs="Arial"/>
          <w:rtl/>
        </w:rPr>
        <w:t>כיון שיש לנו ספק מדומע, מקילים והולכים אחר רוב חולין, ולא נצריך מאה כנגד התרומה</w:t>
      </w:r>
      <w:r>
        <w:rPr>
          <w:rFonts w:cs="Arial" w:hint="cs"/>
          <w:rtl/>
        </w:rPr>
        <w:t>, ידיד נפש.</w:t>
      </w:r>
    </w:p>
  </w:footnote>
  <w:footnote w:id="2500">
    <w:p w14:paraId="4A3E322F" w14:textId="77777777" w:rsidR="004C5A3C" w:rsidRDefault="004C5A3C" w:rsidP="002C39F4">
      <w:pPr>
        <w:pStyle w:val="a5"/>
        <w:rPr>
          <w:rtl/>
        </w:rPr>
      </w:pPr>
      <w:r>
        <w:rPr>
          <w:rStyle w:val="a7"/>
        </w:rPr>
        <w:footnoteRef/>
      </w:r>
      <w:r>
        <w:rPr>
          <w:rtl/>
        </w:rPr>
        <w:t xml:space="preserve"> </w:t>
      </w:r>
      <w:r w:rsidRPr="00A160A6">
        <w:rPr>
          <w:rFonts w:cs="Arial"/>
          <w:rtl/>
        </w:rPr>
        <w:t>כלומר, משעה שנפלה התרומה כבר הוקבעו כולם באיסור ולא שייך לומר בהם היתר מספק</w:t>
      </w:r>
      <w:r>
        <w:rPr>
          <w:rFonts w:cs="Arial" w:hint="cs"/>
          <w:rtl/>
        </w:rPr>
        <w:t>, ידיד נפש</w:t>
      </w:r>
      <w:r w:rsidRPr="00A160A6">
        <w:rPr>
          <w:rFonts w:cs="Arial"/>
          <w:rtl/>
        </w:rPr>
        <w:t>.</w:t>
      </w:r>
    </w:p>
  </w:footnote>
  <w:footnote w:id="2501">
    <w:p w14:paraId="4F1800AD" w14:textId="77777777" w:rsidR="004C5A3C" w:rsidRDefault="004C5A3C" w:rsidP="002C39F4">
      <w:pPr>
        <w:pStyle w:val="a5"/>
      </w:pPr>
      <w:r>
        <w:rPr>
          <w:rStyle w:val="a7"/>
        </w:rPr>
        <w:footnoteRef/>
      </w:r>
      <w:r>
        <w:rPr>
          <w:rtl/>
        </w:rPr>
        <w:t xml:space="preserve"> </w:t>
      </w:r>
      <w:r w:rsidRPr="00A160A6">
        <w:rPr>
          <w:rFonts w:cs="Arial"/>
          <w:rtl/>
        </w:rPr>
        <w:t>כלומר לאחר שאבדה אחת מהן עשה אחת ממה שנשאר תרומה על מקום אחר</w:t>
      </w:r>
      <w:r>
        <w:rPr>
          <w:rFonts w:cs="Arial" w:hint="cs"/>
          <w:rtl/>
        </w:rPr>
        <w:t>,</w:t>
      </w:r>
      <w:r w:rsidRPr="00A160A6">
        <w:rPr>
          <w:rFonts w:cs="Arial"/>
          <w:rtl/>
        </w:rPr>
        <w:t xml:space="preserve"> או שהביא תאנים ממקום אחר והוסיף על עשרים התאנים שספיקן בטל ברוב</w:t>
      </w:r>
      <w:r>
        <w:rPr>
          <w:rFonts w:cs="Arial" w:hint="cs"/>
          <w:rtl/>
        </w:rPr>
        <w:t xml:space="preserve"> -</w:t>
      </w:r>
      <w:r w:rsidRPr="00A160A6">
        <w:rPr>
          <w:rFonts w:cs="Arial"/>
          <w:rtl/>
        </w:rPr>
        <w:t xml:space="preserve"> חזרו כולן להיות היתר כיון שאלה שהוסיף של היתר הן ולא הוקבעו לאיסור</w:t>
      </w:r>
      <w:r>
        <w:rPr>
          <w:rFonts w:cs="Arial" w:hint="cs"/>
          <w:rtl/>
        </w:rPr>
        <w:t>,</w:t>
      </w:r>
      <w:r w:rsidRPr="00A160A6">
        <w:rPr>
          <w:rFonts w:cs="Arial"/>
          <w:rtl/>
        </w:rPr>
        <w:t xml:space="preserve"> נמצא הספק בטל אצלן ברוב וחוזרות ומבטלות אף את התאנים שנעשו הוכיח </w:t>
      </w:r>
      <w:r>
        <w:rPr>
          <w:rFonts w:cs="Arial" w:hint="cs"/>
          <w:rtl/>
        </w:rPr>
        <w:t>, ידיד נפש.</w:t>
      </w:r>
      <w:r w:rsidRPr="00A160A6">
        <w:rPr>
          <w:rFonts w:cs="Arial"/>
          <w:rtl/>
        </w:rPr>
        <w:t xml:space="preserve"> </w:t>
      </w:r>
    </w:p>
  </w:footnote>
  <w:footnote w:id="2502">
    <w:p w14:paraId="66DED140" w14:textId="77777777" w:rsidR="004C5A3C" w:rsidRPr="008949BF" w:rsidRDefault="004C5A3C" w:rsidP="002C39F4">
      <w:pPr>
        <w:pStyle w:val="a5"/>
      </w:pPr>
      <w:r>
        <w:rPr>
          <w:rStyle w:val="a7"/>
        </w:rPr>
        <w:footnoteRef/>
      </w:r>
      <w:r>
        <w:rPr>
          <w:rtl/>
        </w:rPr>
        <w:t xml:space="preserve"> </w:t>
      </w:r>
      <w:r w:rsidRPr="00CF43EB">
        <w:rPr>
          <w:rFonts w:cs="Arial"/>
          <w:rtl/>
        </w:rPr>
        <w:t xml:space="preserve">רשב"א </w:t>
      </w:r>
      <w:r w:rsidRPr="00CF43EB">
        <w:rPr>
          <w:rFonts w:cs="Arial" w:hint="cs"/>
          <w:sz w:val="16"/>
          <w:szCs w:val="16"/>
          <w:rtl/>
        </w:rPr>
        <w:t>(תוה"א</w:t>
      </w:r>
      <w:r w:rsidRPr="00CF43EB">
        <w:rPr>
          <w:rFonts w:cs="Arial"/>
          <w:sz w:val="16"/>
          <w:szCs w:val="16"/>
          <w:rtl/>
        </w:rPr>
        <w:t xml:space="preserve"> ב"ד ש"</w:t>
      </w:r>
      <w:r>
        <w:rPr>
          <w:rFonts w:cs="Arial" w:hint="cs"/>
          <w:sz w:val="16"/>
          <w:szCs w:val="16"/>
          <w:rtl/>
        </w:rPr>
        <w:t>א-</w:t>
      </w:r>
      <w:r w:rsidRPr="00CF43EB">
        <w:rPr>
          <w:rFonts w:cs="Arial"/>
          <w:sz w:val="16"/>
          <w:szCs w:val="16"/>
          <w:rtl/>
        </w:rPr>
        <w:t>ב כו.</w:t>
      </w:r>
      <w:r>
        <w:rPr>
          <w:rFonts w:cs="Arial" w:hint="cs"/>
          <w:sz w:val="16"/>
          <w:szCs w:val="16"/>
          <w:rtl/>
        </w:rPr>
        <w:t>, ובתשו' ח"א סי' תקד</w:t>
      </w:r>
      <w:r w:rsidRPr="00CF43EB">
        <w:rPr>
          <w:rFonts w:cs="Arial"/>
          <w:sz w:val="16"/>
          <w:szCs w:val="16"/>
          <w:rtl/>
        </w:rPr>
        <w:t xml:space="preserve">) </w:t>
      </w:r>
      <w:r w:rsidRPr="00CF43EB">
        <w:rPr>
          <w:rFonts w:cs="Arial"/>
          <w:rtl/>
        </w:rPr>
        <w:t xml:space="preserve">רא"ש </w:t>
      </w:r>
      <w:r w:rsidRPr="00CF43EB">
        <w:rPr>
          <w:rFonts w:cs="Arial" w:hint="cs"/>
          <w:sz w:val="16"/>
          <w:szCs w:val="16"/>
          <w:rtl/>
        </w:rPr>
        <w:t>(</w:t>
      </w:r>
      <w:r>
        <w:rPr>
          <w:rFonts w:cs="Arial" w:hint="cs"/>
          <w:sz w:val="16"/>
          <w:szCs w:val="16"/>
          <w:rtl/>
        </w:rPr>
        <w:t>חולין פ"ז סי' לז, ו</w:t>
      </w:r>
      <w:r w:rsidRPr="00CF43EB">
        <w:rPr>
          <w:rFonts w:cs="Arial"/>
          <w:sz w:val="16"/>
          <w:szCs w:val="16"/>
          <w:rtl/>
        </w:rPr>
        <w:t>בתש</w:t>
      </w:r>
      <w:r w:rsidRPr="00CF43EB">
        <w:rPr>
          <w:rFonts w:cs="Arial" w:hint="cs"/>
          <w:sz w:val="16"/>
          <w:szCs w:val="16"/>
          <w:rtl/>
        </w:rPr>
        <w:t>ו'</w:t>
      </w:r>
      <w:r>
        <w:rPr>
          <w:rFonts w:cs="Arial"/>
          <w:sz w:val="16"/>
          <w:szCs w:val="16"/>
          <w:rtl/>
        </w:rPr>
        <w:t xml:space="preserve"> כלל כ' דין י</w:t>
      </w:r>
      <w:r w:rsidRPr="00CF43EB">
        <w:rPr>
          <w:rFonts w:cs="Arial"/>
          <w:sz w:val="16"/>
          <w:szCs w:val="16"/>
          <w:rtl/>
        </w:rPr>
        <w:t>ז</w:t>
      </w:r>
      <w:r w:rsidRPr="00CF43EB">
        <w:rPr>
          <w:rFonts w:cs="Arial" w:hint="cs"/>
          <w:sz w:val="16"/>
          <w:szCs w:val="16"/>
          <w:rtl/>
        </w:rPr>
        <w:t>)</w:t>
      </w:r>
      <w:r w:rsidRPr="00CF43EB">
        <w:rPr>
          <w:rFonts w:cs="Arial"/>
          <w:sz w:val="16"/>
          <w:szCs w:val="16"/>
          <w:rtl/>
        </w:rPr>
        <w:t xml:space="preserve"> </w:t>
      </w:r>
      <w:r w:rsidRPr="00CF43EB">
        <w:rPr>
          <w:rFonts w:cs="Arial"/>
          <w:rtl/>
        </w:rPr>
        <w:t xml:space="preserve">ור"ן </w:t>
      </w:r>
      <w:r w:rsidRPr="00CF43EB">
        <w:rPr>
          <w:rFonts w:cs="Arial" w:hint="cs"/>
          <w:sz w:val="16"/>
          <w:szCs w:val="16"/>
          <w:rtl/>
        </w:rPr>
        <w:t xml:space="preserve">(חולין </w:t>
      </w:r>
      <w:r w:rsidRPr="00CF43EB">
        <w:rPr>
          <w:rFonts w:cs="Arial"/>
          <w:sz w:val="16"/>
          <w:szCs w:val="16"/>
          <w:rtl/>
        </w:rPr>
        <w:t>לו</w:t>
      </w:r>
      <w:r w:rsidRPr="00CF43EB">
        <w:rPr>
          <w:rFonts w:cs="Arial" w:hint="cs"/>
          <w:sz w:val="16"/>
          <w:szCs w:val="16"/>
          <w:rtl/>
        </w:rPr>
        <w:t>:</w:t>
      </w:r>
      <w:r w:rsidRPr="00CF43EB">
        <w:rPr>
          <w:rFonts w:cs="Arial"/>
          <w:sz w:val="16"/>
          <w:szCs w:val="16"/>
          <w:rtl/>
        </w:rPr>
        <w:t>)</w:t>
      </w:r>
      <w:r>
        <w:rPr>
          <w:rFonts w:cs="Arial" w:hint="cs"/>
          <w:rtl/>
        </w:rPr>
        <w:t>.</w:t>
      </w:r>
    </w:p>
  </w:footnote>
  <w:footnote w:id="2503">
    <w:p w14:paraId="0D0E6D61" w14:textId="77777777" w:rsidR="004C5A3C" w:rsidRDefault="004C5A3C" w:rsidP="002C39F4">
      <w:pPr>
        <w:pStyle w:val="a5"/>
      </w:pPr>
      <w:r>
        <w:rPr>
          <w:rStyle w:val="a7"/>
        </w:rPr>
        <w:footnoteRef/>
      </w:r>
      <w:r>
        <w:rPr>
          <w:rtl/>
        </w:rPr>
        <w:t xml:space="preserve"> </w:t>
      </w:r>
      <w:r>
        <w:rPr>
          <w:rFonts w:cs="Arial"/>
          <w:rtl/>
        </w:rPr>
        <w:t>וכתב הרשב"א דה"ה לדבר שיש לו מתירין</w:t>
      </w:r>
      <w:r>
        <w:rPr>
          <w:rFonts w:cs="Arial" w:hint="cs"/>
          <w:rtl/>
        </w:rPr>
        <w:t>, ב"י.</w:t>
      </w:r>
      <w:r w:rsidRPr="00CF43EB">
        <w:rPr>
          <w:color w:val="E36C0A" w:themeColor="accent6" w:themeShade="BF"/>
          <w:rtl/>
        </w:rPr>
        <w:t xml:space="preserve"> </w:t>
      </w:r>
      <w:r w:rsidRPr="00CF43EB">
        <w:rPr>
          <w:rFonts w:hint="cs"/>
          <w:color w:val="E36C0A" w:themeColor="accent6" w:themeShade="BF"/>
          <w:rtl/>
        </w:rPr>
        <w:t>(וכ</w:t>
      </w:r>
      <w:r>
        <w:rPr>
          <w:rFonts w:hint="cs"/>
          <w:color w:val="E36C0A" w:themeColor="accent6" w:themeShade="BF"/>
          <w:rtl/>
        </w:rPr>
        <w:t>"</w:t>
      </w:r>
      <w:r w:rsidRPr="00CF43EB">
        <w:rPr>
          <w:rFonts w:hint="cs"/>
          <w:color w:val="E36C0A" w:themeColor="accent6" w:themeShade="BF"/>
          <w:rtl/>
        </w:rPr>
        <w:t>פ בשו"ע)</w:t>
      </w:r>
      <w:r>
        <w:rPr>
          <w:rFonts w:hint="cs"/>
          <w:rtl/>
        </w:rPr>
        <w:t xml:space="preserve">. אך הרמ"א (סע' ח בסוף ההגה) חולק, עי' בש"ך (סקנ"ז-נח). </w:t>
      </w:r>
    </w:p>
  </w:footnote>
  <w:footnote w:id="2504">
    <w:p w14:paraId="7D86CFA4" w14:textId="77777777" w:rsidR="004C5A3C" w:rsidRDefault="004C5A3C" w:rsidP="002C39F4">
      <w:pPr>
        <w:pStyle w:val="a5"/>
        <w:rPr>
          <w:rtl/>
        </w:rPr>
      </w:pPr>
      <w:r>
        <w:rPr>
          <w:rStyle w:val="a7"/>
        </w:rPr>
        <w:footnoteRef/>
      </w:r>
      <w:r>
        <w:rPr>
          <w:rtl/>
        </w:rPr>
        <w:t xml:space="preserve"> </w:t>
      </w:r>
      <w:r>
        <w:rPr>
          <w:rFonts w:cs="Arial"/>
          <w:rtl/>
        </w:rPr>
        <w:t>אבל מצאתי ב</w:t>
      </w:r>
      <w:r>
        <w:rPr>
          <w:rFonts w:cs="Arial" w:hint="cs"/>
          <w:rtl/>
        </w:rPr>
        <w:t>תוה"ק (</w:t>
      </w:r>
      <w:r>
        <w:rPr>
          <w:rFonts w:cs="Arial"/>
          <w:rtl/>
        </w:rPr>
        <w:t>ב"ד ש"ב כה.) אפילו נפלה חתיכה לתוך עשרים</w:t>
      </w:r>
      <w:r>
        <w:rPr>
          <w:rFonts w:cs="Arial" w:hint="cs"/>
          <w:rtl/>
        </w:rPr>
        <w:t>,</w:t>
      </w:r>
      <w:r>
        <w:rPr>
          <w:rFonts w:cs="Arial"/>
          <w:rtl/>
        </w:rPr>
        <w:t xml:space="preserve"> ואפילו היתה חתיכה הראויה להתכבד או משאר איסורים שאינם בטלים לעולם ונפלה אחת מהם שוגג לים הותרו כל השאר</w:t>
      </w:r>
      <w:r>
        <w:rPr>
          <w:rFonts w:cs="Arial" w:hint="cs"/>
          <w:rtl/>
        </w:rPr>
        <w:t>,</w:t>
      </w:r>
      <w:r>
        <w:rPr>
          <w:rFonts w:cs="Arial"/>
          <w:rtl/>
        </w:rPr>
        <w:t xml:space="preserve"> והיה נ"ל שצריך להגיה ולכתוב אפילו נפלה חתיכה לתוך שתים</w:t>
      </w:r>
      <w:r>
        <w:rPr>
          <w:rFonts w:cs="Arial" w:hint="cs"/>
          <w:rtl/>
        </w:rPr>
        <w:t>,</w:t>
      </w:r>
      <w:r>
        <w:rPr>
          <w:rFonts w:cs="Arial"/>
          <w:rtl/>
        </w:rPr>
        <w:t xml:space="preserve"> והסופר מצא כתוב בי"ת ונדמית לו כ"ף וכתב עשרים</w:t>
      </w:r>
      <w:r>
        <w:rPr>
          <w:rFonts w:cs="Arial" w:hint="cs"/>
          <w:rtl/>
        </w:rPr>
        <w:t>,</w:t>
      </w:r>
      <w:r>
        <w:rPr>
          <w:rFonts w:cs="Arial"/>
          <w:rtl/>
        </w:rPr>
        <w:t xml:space="preserve"> אבל כן מצאתי בנוסחא אחרת וגם בתורת הבית הארוך מצאתי שכתב ג"כ עשרים וכתב כן בשם גירסת הירושלמי (תרומות פ"ד ה"ז)</w:t>
      </w:r>
      <w:r>
        <w:rPr>
          <w:rFonts w:cs="Arial" w:hint="cs"/>
          <w:rtl/>
        </w:rPr>
        <w:t>,</w:t>
      </w:r>
      <w:r>
        <w:rPr>
          <w:rFonts w:cs="Arial"/>
          <w:rtl/>
        </w:rPr>
        <w:t xml:space="preserve"> ולכן נ"ל דעשרים לאו דוקא דה"ה לשתים</w:t>
      </w:r>
      <w:r>
        <w:rPr>
          <w:rFonts w:cs="Arial" w:hint="cs"/>
          <w:rtl/>
        </w:rPr>
        <w:t>, ב"י.</w:t>
      </w:r>
    </w:p>
  </w:footnote>
  <w:footnote w:id="2505">
    <w:p w14:paraId="37D8C9A1" w14:textId="77777777" w:rsidR="004C5A3C" w:rsidRDefault="004C5A3C" w:rsidP="002C39F4">
      <w:pPr>
        <w:pStyle w:val="a5"/>
      </w:pPr>
      <w:r>
        <w:rPr>
          <w:rStyle w:val="a7"/>
        </w:rPr>
        <w:footnoteRef/>
      </w:r>
      <w:r>
        <w:rPr>
          <w:rtl/>
        </w:rPr>
        <w:t xml:space="preserve"> </w:t>
      </w:r>
      <w:r>
        <w:rPr>
          <w:rFonts w:cs="Arial" w:hint="cs"/>
          <w:rtl/>
        </w:rPr>
        <w:t xml:space="preserve">הטור הוסיף כאן- </w:t>
      </w:r>
      <w:r w:rsidRPr="002C662A">
        <w:rPr>
          <w:rFonts w:cs="Arial"/>
          <w:rtl/>
        </w:rPr>
        <w:t>או שאוכלם כולם אדם אחד אסו</w:t>
      </w:r>
      <w:r>
        <w:rPr>
          <w:rFonts w:cs="Arial" w:hint="cs"/>
          <w:rtl/>
        </w:rPr>
        <w:t>ר, עכ"ל.</w:t>
      </w:r>
      <w:r>
        <w:rPr>
          <w:rFonts w:hint="cs"/>
          <w:rtl/>
        </w:rPr>
        <w:t xml:space="preserve"> וכ' על זה הב"י- </w:t>
      </w:r>
      <w:r>
        <w:rPr>
          <w:rFonts w:cs="Arial"/>
          <w:rtl/>
        </w:rPr>
        <w:t>זה לא מצאתי מבואר</w:t>
      </w:r>
      <w:r>
        <w:rPr>
          <w:rFonts w:cs="Arial" w:hint="cs"/>
          <w:rtl/>
        </w:rPr>
        <w:t>,</w:t>
      </w:r>
      <w:r>
        <w:rPr>
          <w:rFonts w:cs="Arial"/>
          <w:rtl/>
        </w:rPr>
        <w:t xml:space="preserve"> וקשיא לי דמדכתבו התוס</w:t>
      </w:r>
      <w:r>
        <w:rPr>
          <w:rFonts w:cs="Arial" w:hint="cs"/>
          <w:rtl/>
        </w:rPr>
        <w:t>'</w:t>
      </w:r>
      <w:r>
        <w:rPr>
          <w:rFonts w:cs="Arial"/>
          <w:rtl/>
        </w:rPr>
        <w:t xml:space="preserve"> בפרק התערובות (שם ד"ה פירש) והרא"ש בפג"ה (סי' לז) דליהנות מכולן בבת אחת פשיטא דאסור משום דודאי אכיל בההיא אכילה חד דאיסורא</w:t>
      </w:r>
      <w:r>
        <w:rPr>
          <w:rFonts w:cs="Arial" w:hint="cs"/>
          <w:rtl/>
        </w:rPr>
        <w:t>-</w:t>
      </w:r>
      <w:r>
        <w:rPr>
          <w:rFonts w:cs="Arial"/>
          <w:rtl/>
        </w:rPr>
        <w:t xml:space="preserve"> משמע דלאוכלם שתים שתים אפילו לאוכלם אדם אחד שרי</w:t>
      </w:r>
      <w:r>
        <w:rPr>
          <w:rFonts w:cs="Arial" w:hint="cs"/>
          <w:rtl/>
        </w:rPr>
        <w:t>,</w:t>
      </w:r>
      <w:r>
        <w:rPr>
          <w:rFonts w:cs="Arial"/>
          <w:rtl/>
        </w:rPr>
        <w:t xml:space="preserve"> דאל"כ לישמעינן דלאדם אחד אסור אפילו שתים אחר שתים וכ"ש שהוא אסור לאכלם בבת אחת</w:t>
      </w:r>
      <w:r>
        <w:rPr>
          <w:rFonts w:cs="Arial" w:hint="cs"/>
          <w:rtl/>
        </w:rPr>
        <w:t>,</w:t>
      </w:r>
      <w:r>
        <w:rPr>
          <w:rFonts w:cs="Arial"/>
          <w:rtl/>
        </w:rPr>
        <w:t xml:space="preserve"> ושמא י"ל דרבינו מפרש דליהנות מכולן בבת אחת דאסור אפילו בששני בני אדם נהנין מהם אסור</w:t>
      </w:r>
      <w:r>
        <w:rPr>
          <w:rFonts w:cs="Arial" w:hint="cs"/>
          <w:rtl/>
        </w:rPr>
        <w:t>,</w:t>
      </w:r>
      <w:r>
        <w:rPr>
          <w:rFonts w:cs="Arial"/>
          <w:rtl/>
        </w:rPr>
        <w:t xml:space="preserve"> דכיון דבשעה אחת נהנין מכולן ודאי חד מתהני מאיסורא בההיא שעתא ואסור</w:t>
      </w:r>
      <w:r>
        <w:rPr>
          <w:rFonts w:cs="Arial" w:hint="cs"/>
          <w:rtl/>
        </w:rPr>
        <w:t>,</w:t>
      </w:r>
      <w:r>
        <w:rPr>
          <w:rFonts w:cs="Arial"/>
          <w:rtl/>
        </w:rPr>
        <w:t xml:space="preserve"> וכך לי אכילת אדם אחד שתים אחר שתים כמו אכילת כולם בבת אחת לשני בני אדם</w:t>
      </w:r>
      <w:r>
        <w:rPr>
          <w:rFonts w:cs="Arial" w:hint="cs"/>
          <w:rtl/>
        </w:rPr>
        <w:t>.</w:t>
      </w:r>
      <w:r>
        <w:rPr>
          <w:rFonts w:hint="cs"/>
          <w:rtl/>
        </w:rPr>
        <w:t xml:space="preserve"> </w:t>
      </w:r>
      <w:r w:rsidRPr="008949BF">
        <w:rPr>
          <w:rFonts w:hint="cs"/>
          <w:color w:val="00B0F0"/>
          <w:rtl/>
        </w:rPr>
        <w:t>(וכ"פ הרמ"א)</w:t>
      </w:r>
    </w:p>
  </w:footnote>
  <w:footnote w:id="2506">
    <w:p w14:paraId="12BBF37E" w14:textId="77777777" w:rsidR="004C5A3C" w:rsidRDefault="004C5A3C" w:rsidP="002C39F4">
      <w:pPr>
        <w:pStyle w:val="a5"/>
      </w:pPr>
      <w:r>
        <w:rPr>
          <w:rStyle w:val="a7"/>
        </w:rPr>
        <w:footnoteRef/>
      </w:r>
      <w:r>
        <w:rPr>
          <w:rtl/>
        </w:rPr>
        <w:t xml:space="preserve"> </w:t>
      </w:r>
      <w:r>
        <w:rPr>
          <w:rFonts w:cs="Arial" w:hint="cs"/>
          <w:color w:val="000000" w:themeColor="text1"/>
          <w:rtl/>
        </w:rPr>
        <w:t>כ' ה</w:t>
      </w:r>
      <w:r w:rsidRPr="00CF43EB">
        <w:rPr>
          <w:rFonts w:cs="Arial"/>
          <w:color w:val="000000" w:themeColor="text1"/>
          <w:rtl/>
        </w:rPr>
        <w:t>ר"ן</w:t>
      </w:r>
      <w:r w:rsidRPr="00CF43EB">
        <w:rPr>
          <w:rFonts w:cs="Arial"/>
          <w:color w:val="000000" w:themeColor="text1"/>
          <w:sz w:val="16"/>
          <w:szCs w:val="16"/>
          <w:rtl/>
        </w:rPr>
        <w:t xml:space="preserve"> </w:t>
      </w:r>
      <w:r w:rsidRPr="00CF43EB">
        <w:rPr>
          <w:rFonts w:cs="Arial" w:hint="cs"/>
          <w:color w:val="000000" w:themeColor="text1"/>
          <w:sz w:val="16"/>
          <w:szCs w:val="16"/>
          <w:rtl/>
        </w:rPr>
        <w:t>(</w:t>
      </w:r>
      <w:r w:rsidRPr="00CF43EB">
        <w:rPr>
          <w:rFonts w:cs="Arial"/>
          <w:color w:val="000000" w:themeColor="text1"/>
          <w:sz w:val="16"/>
          <w:szCs w:val="16"/>
          <w:rtl/>
        </w:rPr>
        <w:t>ע"ז לז</w:t>
      </w:r>
      <w:r w:rsidRPr="00CF43EB">
        <w:rPr>
          <w:rFonts w:cs="Arial" w:hint="cs"/>
          <w:color w:val="000000" w:themeColor="text1"/>
          <w:sz w:val="16"/>
          <w:szCs w:val="16"/>
          <w:rtl/>
        </w:rPr>
        <w:t>:, הביאו הב"י</w:t>
      </w:r>
      <w:r w:rsidRPr="00CF43EB">
        <w:rPr>
          <w:rFonts w:cs="Arial"/>
          <w:color w:val="000000" w:themeColor="text1"/>
          <w:sz w:val="16"/>
          <w:szCs w:val="16"/>
          <w:rtl/>
        </w:rPr>
        <w:t>)</w:t>
      </w:r>
      <w:r>
        <w:rPr>
          <w:rFonts w:cs="Arial" w:hint="cs"/>
          <w:color w:val="000000" w:themeColor="text1"/>
          <w:rtl/>
        </w:rPr>
        <w:t>-</w:t>
      </w:r>
      <w:r w:rsidRPr="00CF43EB">
        <w:rPr>
          <w:rFonts w:cs="Arial"/>
          <w:color w:val="000000" w:themeColor="text1"/>
          <w:rtl/>
        </w:rPr>
        <w:t xml:space="preserve"> גמרא יין נסך שנפל לבור דלפום פשטא דסוגיא זו משמע דאפילו לאכילה תלינן להיתר ושרו</w:t>
      </w:r>
      <w:r w:rsidRPr="00CF43EB">
        <w:rPr>
          <w:rFonts w:cs="Arial" w:hint="cs"/>
          <w:color w:val="000000" w:themeColor="text1"/>
          <w:rtl/>
        </w:rPr>
        <w:t>,</w:t>
      </w:r>
      <w:r w:rsidRPr="00CF43EB">
        <w:rPr>
          <w:rFonts w:cs="Arial"/>
          <w:color w:val="000000" w:themeColor="text1"/>
          <w:rtl/>
        </w:rPr>
        <w:t xml:space="preserve"> אלא דאיכא נוסחי</w:t>
      </w:r>
      <w:r>
        <w:rPr>
          <w:rFonts w:cs="Arial"/>
          <w:color w:val="000000" w:themeColor="text1"/>
          <w:rtl/>
        </w:rPr>
        <w:t xml:space="preserve"> דגרסי אמר רבא לא הכשיר ר</w:t>
      </w:r>
      <w:r>
        <w:rPr>
          <w:rFonts w:cs="Arial" w:hint="cs"/>
          <w:color w:val="000000" w:themeColor="text1"/>
          <w:rtl/>
        </w:rPr>
        <w:t>"</w:t>
      </w:r>
      <w:r>
        <w:rPr>
          <w:rFonts w:cs="Arial"/>
          <w:color w:val="000000" w:themeColor="text1"/>
          <w:rtl/>
        </w:rPr>
        <w:t>ל</w:t>
      </w:r>
      <w:r w:rsidRPr="00CF43EB">
        <w:rPr>
          <w:rFonts w:cs="Arial"/>
          <w:color w:val="000000" w:themeColor="text1"/>
          <w:rtl/>
        </w:rPr>
        <w:t xml:space="preserve"> אלא בטבעת אבל תאנה לא</w:t>
      </w:r>
      <w:r w:rsidRPr="00CF43EB">
        <w:rPr>
          <w:rFonts w:cs="Arial" w:hint="cs"/>
          <w:color w:val="000000" w:themeColor="text1"/>
          <w:rtl/>
        </w:rPr>
        <w:t>,</w:t>
      </w:r>
      <w:r w:rsidRPr="00CF43EB">
        <w:rPr>
          <w:rFonts w:cs="Arial"/>
          <w:color w:val="000000" w:themeColor="text1"/>
          <w:rtl/>
        </w:rPr>
        <w:t xml:space="preserve"> ולפ"ז לא שריא בהכי אלא לענין איסורי הנאה אבל לאכילה לא</w:t>
      </w:r>
      <w:r w:rsidRPr="00CF43EB">
        <w:rPr>
          <w:rFonts w:cs="Arial" w:hint="cs"/>
          <w:color w:val="000000" w:themeColor="text1"/>
          <w:rtl/>
        </w:rPr>
        <w:t>,</w:t>
      </w:r>
      <w:r w:rsidRPr="00CF43EB">
        <w:rPr>
          <w:rFonts w:cs="Arial"/>
          <w:color w:val="000000" w:themeColor="text1"/>
          <w:rtl/>
        </w:rPr>
        <w:t xml:space="preserve"> וכן דעת הרמב"ם (תרומות פט"ו ה"ב)</w:t>
      </w:r>
      <w:r w:rsidRPr="00CF43EB">
        <w:rPr>
          <w:rFonts w:cs="Arial" w:hint="cs"/>
          <w:color w:val="000000" w:themeColor="text1"/>
          <w:rtl/>
        </w:rPr>
        <w:t>,</w:t>
      </w:r>
      <w:r w:rsidRPr="00CF43EB">
        <w:rPr>
          <w:rFonts w:cs="Arial"/>
          <w:color w:val="000000" w:themeColor="text1"/>
          <w:rtl/>
        </w:rPr>
        <w:t xml:space="preserve"> אבל בירושלמי דמסכת תרומות (פ"ד ה"ז) משמע דאפילו לאכילה שרי עכ"ל</w:t>
      </w:r>
      <w:r>
        <w:rPr>
          <w:rFonts w:cs="Arial" w:hint="cs"/>
          <w:color w:val="000000" w:themeColor="text1"/>
          <w:rtl/>
        </w:rPr>
        <w:t>.</w:t>
      </w:r>
    </w:p>
  </w:footnote>
  <w:footnote w:id="2507">
    <w:p w14:paraId="4F78DF9F" w14:textId="77777777" w:rsidR="004C5A3C" w:rsidRDefault="004C5A3C" w:rsidP="002C39F4">
      <w:pPr>
        <w:pStyle w:val="a5"/>
        <w:rPr>
          <w:rtl/>
        </w:rPr>
      </w:pPr>
      <w:r>
        <w:rPr>
          <w:rStyle w:val="a7"/>
        </w:rPr>
        <w:footnoteRef/>
      </w:r>
      <w:r>
        <w:rPr>
          <w:rtl/>
        </w:rPr>
        <w:t xml:space="preserve"> </w:t>
      </w:r>
      <w:r>
        <w:rPr>
          <w:rFonts w:cs="Arial"/>
          <w:color w:val="000000" w:themeColor="text1"/>
          <w:rtl/>
        </w:rPr>
        <w:t>ו</w:t>
      </w:r>
      <w:r>
        <w:rPr>
          <w:rFonts w:cs="Arial" w:hint="cs"/>
          <w:color w:val="000000" w:themeColor="text1"/>
          <w:rtl/>
        </w:rPr>
        <w:t>כ' עוד הרשב"א ש</w:t>
      </w:r>
      <w:r w:rsidRPr="00CF43EB">
        <w:rPr>
          <w:rFonts w:cs="Arial"/>
          <w:color w:val="000000" w:themeColor="text1"/>
          <w:rtl/>
        </w:rPr>
        <w:t>הראב"ד והרמב"ן ז"ל כתבו גירסת הירושלמי בזה ואתיא כדרב יוסף דאפילו תאנה נמי מהניא</w:t>
      </w:r>
      <w:r w:rsidRPr="00CF43EB">
        <w:rPr>
          <w:rFonts w:cs="Arial" w:hint="cs"/>
          <w:color w:val="000000" w:themeColor="text1"/>
          <w:rtl/>
        </w:rPr>
        <w:t>.</w:t>
      </w:r>
    </w:p>
  </w:footnote>
  <w:footnote w:id="2508">
    <w:p w14:paraId="6B27AF1A" w14:textId="77777777" w:rsidR="004C5A3C" w:rsidRDefault="004C5A3C" w:rsidP="002C39F4">
      <w:pPr>
        <w:pStyle w:val="a5"/>
        <w:rPr>
          <w:rtl/>
        </w:rPr>
      </w:pPr>
      <w:r>
        <w:rPr>
          <w:rStyle w:val="a7"/>
        </w:rPr>
        <w:footnoteRef/>
      </w:r>
      <w:r>
        <w:rPr>
          <w:rtl/>
        </w:rPr>
        <w:t xml:space="preserve"> </w:t>
      </w:r>
      <w:r>
        <w:rPr>
          <w:rFonts w:cs="Arial"/>
          <w:rtl/>
        </w:rPr>
        <w:t>וכתב הרשב"א</w:t>
      </w:r>
      <w:r>
        <w:rPr>
          <w:rFonts w:cs="Arial" w:hint="cs"/>
          <w:rtl/>
        </w:rPr>
        <w:t>-</w:t>
      </w:r>
      <w:r>
        <w:rPr>
          <w:rFonts w:cs="Arial"/>
          <w:rtl/>
        </w:rPr>
        <w:t xml:space="preserve"> וטעמא דמילתא דכל שישנה בעין ואתה צריך לדון עליה ועל השאר</w:t>
      </w:r>
      <w:r>
        <w:rPr>
          <w:rFonts w:cs="Arial" w:hint="cs"/>
          <w:rtl/>
        </w:rPr>
        <w:t>,</w:t>
      </w:r>
      <w:r>
        <w:rPr>
          <w:rFonts w:cs="Arial"/>
          <w:rtl/>
        </w:rPr>
        <w:t xml:space="preserve"> מפני מה נאמר שזו האחת היא האסורה</w:t>
      </w:r>
      <w:r>
        <w:rPr>
          <w:rFonts w:cs="Arial" w:hint="cs"/>
          <w:rtl/>
        </w:rPr>
        <w:t>,</w:t>
      </w:r>
      <w:r>
        <w:rPr>
          <w:rFonts w:cs="Arial"/>
          <w:rtl/>
        </w:rPr>
        <w:t xml:space="preserve"> אדרבה יש לנו לומר שהאיסור נשאר ברוב</w:t>
      </w:r>
      <w:r>
        <w:rPr>
          <w:rFonts w:cs="Arial" w:hint="cs"/>
          <w:rtl/>
        </w:rPr>
        <w:t>,</w:t>
      </w:r>
      <w:r>
        <w:rPr>
          <w:rFonts w:cs="Arial"/>
          <w:rtl/>
        </w:rPr>
        <w:t xml:space="preserve"> אבל כשנאכלה אחת מהם או נאבדה ואין אתה צריך לדון עליה שכבר הלכה ואינה בפנינו לדון עליה אלא על אלו</w:t>
      </w:r>
      <w:r>
        <w:rPr>
          <w:rFonts w:cs="Arial" w:hint="cs"/>
          <w:rtl/>
        </w:rPr>
        <w:t>-</w:t>
      </w:r>
      <w:r>
        <w:rPr>
          <w:rFonts w:cs="Arial"/>
          <w:rtl/>
        </w:rPr>
        <w:t xml:space="preserve"> אנו אומרים שאותה שנאבדה היא האסורה</w:t>
      </w:r>
      <w:r>
        <w:rPr>
          <w:rFonts w:cs="Arial" w:hint="cs"/>
          <w:rtl/>
        </w:rPr>
        <w:t>,</w:t>
      </w:r>
      <w:r>
        <w:rPr>
          <w:rFonts w:cs="Arial"/>
          <w:rtl/>
        </w:rPr>
        <w:t xml:space="preserve"> והעיקר לכל זה מפני שכבר נתבטלה ברוב דבר תורה</w:t>
      </w:r>
      <w:r>
        <w:rPr>
          <w:rFonts w:cs="Arial" w:hint="cs"/>
          <w:rtl/>
        </w:rPr>
        <w:t>,</w:t>
      </w:r>
      <w:r>
        <w:rPr>
          <w:rFonts w:cs="Arial"/>
          <w:rtl/>
        </w:rPr>
        <w:t xml:space="preserve"> וכל בדרבנן יכולים אנו לתלות ולומר דהך דאיסורא נפל והני דהיתרא נינהו</w:t>
      </w:r>
      <w:r>
        <w:rPr>
          <w:rFonts w:cs="Arial" w:hint="cs"/>
          <w:rtl/>
        </w:rPr>
        <w:t>.</w:t>
      </w:r>
    </w:p>
  </w:footnote>
  <w:footnote w:id="2509">
    <w:p w14:paraId="6C755834" w14:textId="77777777" w:rsidR="004C5A3C" w:rsidRDefault="004C5A3C" w:rsidP="002C39F4">
      <w:pPr>
        <w:pStyle w:val="a5"/>
        <w:rPr>
          <w:rtl/>
        </w:rPr>
      </w:pPr>
      <w:r>
        <w:rPr>
          <w:rStyle w:val="a7"/>
        </w:rPr>
        <w:footnoteRef/>
      </w:r>
      <w:r>
        <w:rPr>
          <w:rtl/>
        </w:rPr>
        <w:t xml:space="preserve"> </w:t>
      </w:r>
      <w:r w:rsidRPr="002C662A">
        <w:rPr>
          <w:rFonts w:cs="Arial"/>
          <w:rtl/>
        </w:rPr>
        <w:t>ר"י</w:t>
      </w:r>
      <w:r>
        <w:rPr>
          <w:rFonts w:cs="Arial" w:hint="cs"/>
          <w:sz w:val="16"/>
          <w:szCs w:val="16"/>
          <w:rtl/>
        </w:rPr>
        <w:t xml:space="preserve"> (כ"כ הטור בשמו)</w:t>
      </w:r>
      <w:r>
        <w:rPr>
          <w:rFonts w:cs="Arial" w:hint="cs"/>
          <w:rtl/>
        </w:rPr>
        <w:t xml:space="preserve"> </w:t>
      </w:r>
      <w:r>
        <w:rPr>
          <w:rFonts w:cs="Arial"/>
          <w:rtl/>
        </w:rPr>
        <w:t>תו</w:t>
      </w:r>
      <w:r>
        <w:rPr>
          <w:rFonts w:cs="Arial" w:hint="cs"/>
          <w:rtl/>
        </w:rPr>
        <w:t>ס'</w:t>
      </w:r>
      <w:r>
        <w:rPr>
          <w:rFonts w:cs="Arial"/>
          <w:rtl/>
        </w:rPr>
        <w:t xml:space="preserve"> </w:t>
      </w:r>
      <w:r w:rsidRPr="008B69CD">
        <w:rPr>
          <w:rFonts w:cs="Arial"/>
          <w:sz w:val="16"/>
          <w:szCs w:val="16"/>
          <w:rtl/>
        </w:rPr>
        <w:t>(זבחים עד. ד"ה ונפלה אחת)</w:t>
      </w:r>
      <w:r>
        <w:rPr>
          <w:rFonts w:cs="Arial"/>
          <w:rtl/>
        </w:rPr>
        <w:t xml:space="preserve"> ו</w:t>
      </w:r>
      <w:r w:rsidRPr="008B69CD">
        <w:rPr>
          <w:rFonts w:cs="Arial"/>
          <w:rtl/>
        </w:rPr>
        <w:t xml:space="preserve">רא"ש </w:t>
      </w:r>
      <w:r w:rsidRPr="008B69CD">
        <w:rPr>
          <w:rFonts w:cs="Arial"/>
          <w:sz w:val="16"/>
          <w:szCs w:val="16"/>
          <w:rtl/>
        </w:rPr>
        <w:t>(כלל כ סי' יז)</w:t>
      </w:r>
      <w:r>
        <w:rPr>
          <w:rFonts w:hint="cs"/>
          <w:rtl/>
        </w:rPr>
        <w:t>.</w:t>
      </w:r>
    </w:p>
  </w:footnote>
  <w:footnote w:id="2510">
    <w:p w14:paraId="6CC5A21F" w14:textId="77777777" w:rsidR="004C5A3C" w:rsidRDefault="004C5A3C" w:rsidP="002C39F4">
      <w:pPr>
        <w:pStyle w:val="a5"/>
        <w:rPr>
          <w:rFonts w:cs="Arial"/>
          <w:rtl/>
        </w:rPr>
      </w:pPr>
      <w:r>
        <w:rPr>
          <w:rStyle w:val="a7"/>
        </w:rPr>
        <w:footnoteRef/>
      </w:r>
      <w:r>
        <w:rPr>
          <w:rtl/>
        </w:rPr>
        <w:t xml:space="preserve"> </w:t>
      </w:r>
      <w:r>
        <w:rPr>
          <w:rFonts w:cs="Arial" w:hint="cs"/>
          <w:rtl/>
        </w:rPr>
        <w:t xml:space="preserve">הט"ז </w:t>
      </w:r>
      <w:r w:rsidRPr="00ED65A4">
        <w:rPr>
          <w:rFonts w:cs="Arial" w:hint="cs"/>
          <w:sz w:val="16"/>
          <w:szCs w:val="16"/>
          <w:rtl/>
        </w:rPr>
        <w:t xml:space="preserve">(סק"ח) </w:t>
      </w:r>
      <w:r>
        <w:rPr>
          <w:rFonts w:cs="Arial" w:hint="cs"/>
          <w:rtl/>
        </w:rPr>
        <w:t xml:space="preserve">והש"ך </w:t>
      </w:r>
      <w:r w:rsidRPr="00ED65A4">
        <w:rPr>
          <w:rFonts w:cs="Arial" w:hint="cs"/>
          <w:sz w:val="16"/>
          <w:szCs w:val="16"/>
          <w:rtl/>
        </w:rPr>
        <w:t xml:space="preserve">(סק"מ) </w:t>
      </w:r>
      <w:r>
        <w:rPr>
          <w:rFonts w:cs="Arial" w:hint="cs"/>
          <w:rtl/>
        </w:rPr>
        <w:t xml:space="preserve">חלקו על דבריו וכתבו שמוכח מתשו' הרא"ש </w:t>
      </w:r>
      <w:r w:rsidRPr="00ED65A4">
        <w:rPr>
          <w:rFonts w:cs="Arial" w:hint="cs"/>
          <w:sz w:val="16"/>
          <w:szCs w:val="16"/>
          <w:rtl/>
        </w:rPr>
        <w:t xml:space="preserve">(כלל כ דין יז) </w:t>
      </w:r>
      <w:r>
        <w:rPr>
          <w:rFonts w:cs="Arial" w:hint="cs"/>
          <w:rtl/>
        </w:rPr>
        <w:t xml:space="preserve">ומהטור שאין הבדל בין הפילו לאכלו/האכילו בשוגג, שהרי כתב הרא"ש (שם) </w:t>
      </w:r>
      <w:r w:rsidRPr="00ED65A4">
        <w:rPr>
          <w:rFonts w:cs="Arial"/>
          <w:rtl/>
        </w:rPr>
        <w:t>דדוקא קודם שנולד הספק מותר אבל נאכל אחר ש</w:t>
      </w:r>
      <w:r>
        <w:rPr>
          <w:rFonts w:cs="Arial"/>
          <w:rtl/>
        </w:rPr>
        <w:t>נולד הספק אסור משום גזירה דמזיד</w:t>
      </w:r>
      <w:r>
        <w:rPr>
          <w:rFonts w:cs="Arial" w:hint="cs"/>
          <w:rtl/>
        </w:rPr>
        <w:t xml:space="preserve">. לכן אם אכלה הוא בשוגג או שהאכילה לאחר בשוגג - יש לאסור, בין האכילה לבן ברית ובין לגוי או לכלב, גזרה שמא יאכילנו לגוי או לכלב במזיד </w:t>
      </w:r>
      <w:r>
        <w:rPr>
          <w:rFonts w:cs="Arial" w:hint="cs"/>
          <w:sz w:val="16"/>
          <w:szCs w:val="16"/>
          <w:rtl/>
        </w:rPr>
        <w:t>(</w:t>
      </w:r>
      <w:r w:rsidRPr="00F46759">
        <w:rPr>
          <w:rFonts w:cs="Arial" w:hint="cs"/>
          <w:sz w:val="16"/>
          <w:szCs w:val="16"/>
          <w:rtl/>
        </w:rPr>
        <w:t>כמו גזרה שמא יפילנו לים)</w:t>
      </w:r>
      <w:r>
        <w:rPr>
          <w:rFonts w:cs="Arial" w:hint="cs"/>
          <w:rtl/>
        </w:rPr>
        <w:t>. וסיים הט"ז ד</w:t>
      </w:r>
      <w:r w:rsidRPr="00F46759">
        <w:rPr>
          <w:rFonts w:cs="Arial"/>
          <w:rtl/>
        </w:rPr>
        <w:t>אין היתר אלא בנאכלת מע</w:t>
      </w:r>
      <w:r>
        <w:rPr>
          <w:rFonts w:cs="Arial"/>
          <w:rtl/>
        </w:rPr>
        <w:t xml:space="preserve">צמה </w:t>
      </w:r>
      <w:r>
        <w:rPr>
          <w:rFonts w:cs="Arial" w:hint="cs"/>
          <w:rtl/>
        </w:rPr>
        <w:t xml:space="preserve">כגון שאכלה </w:t>
      </w:r>
      <w:r>
        <w:rPr>
          <w:rFonts w:cs="Arial"/>
          <w:rtl/>
        </w:rPr>
        <w:t>כלב</w:t>
      </w:r>
      <w:r>
        <w:rPr>
          <w:rFonts w:cs="Arial" w:hint="cs"/>
          <w:rtl/>
        </w:rPr>
        <w:t xml:space="preserve"> מעצמו, דומיא דנפל מעצמו.</w:t>
      </w:r>
    </w:p>
    <w:p w14:paraId="74E97A5E" w14:textId="77777777" w:rsidR="004C5A3C" w:rsidRDefault="004C5A3C" w:rsidP="002C39F4">
      <w:pPr>
        <w:pStyle w:val="a5"/>
        <w:rPr>
          <w:rtl/>
        </w:rPr>
      </w:pPr>
      <w:r w:rsidRPr="00492505">
        <w:rPr>
          <w:rFonts w:cs="Arial"/>
          <w:rtl/>
        </w:rPr>
        <w:t>לפע"ד דברי מהרא"י אינם מוכרחים</w:t>
      </w:r>
      <w:r>
        <w:rPr>
          <w:rFonts w:cs="Arial" w:hint="cs"/>
          <w:rtl/>
        </w:rPr>
        <w:t>,</w:t>
      </w:r>
      <w:r w:rsidRPr="00492505">
        <w:rPr>
          <w:rFonts w:cs="Arial"/>
          <w:rtl/>
        </w:rPr>
        <w:t xml:space="preserve"> דנראה דנהי דליכא למיגזר שיאכיל במזיד</w:t>
      </w:r>
      <w:r>
        <w:rPr>
          <w:rFonts w:cs="Arial" w:hint="cs"/>
          <w:rtl/>
        </w:rPr>
        <w:t>,</w:t>
      </w:r>
      <w:r w:rsidRPr="00492505">
        <w:rPr>
          <w:rFonts w:cs="Arial"/>
          <w:rtl/>
        </w:rPr>
        <w:t xml:space="preserve"> מ"מ הא ודאי אם נאכל מותר</w:t>
      </w:r>
      <w:r>
        <w:rPr>
          <w:rFonts w:cs="Arial" w:hint="cs"/>
          <w:rtl/>
        </w:rPr>
        <w:t>,</w:t>
      </w:r>
      <w:r w:rsidRPr="00492505">
        <w:rPr>
          <w:rFonts w:cs="Arial"/>
          <w:rtl/>
        </w:rPr>
        <w:t xml:space="preserve"> כ"ש נפל לים</w:t>
      </w:r>
      <w:r>
        <w:rPr>
          <w:rFonts w:cs="Arial" w:hint="cs"/>
          <w:rtl/>
        </w:rPr>
        <w:t>,</w:t>
      </w:r>
      <w:r w:rsidRPr="00492505">
        <w:rPr>
          <w:rFonts w:cs="Arial"/>
          <w:rtl/>
        </w:rPr>
        <w:t xml:space="preserve"> א"כ ניחוש כי שרינן ליה נאכל בשוגג יפילו במזיד לים</w:t>
      </w:r>
      <w:r>
        <w:rPr>
          <w:rFonts w:cs="Arial" w:hint="cs"/>
          <w:rtl/>
        </w:rPr>
        <w:t>,</w:t>
      </w:r>
      <w:r w:rsidRPr="00492505">
        <w:rPr>
          <w:rFonts w:cs="Arial"/>
          <w:rtl/>
        </w:rPr>
        <w:t xml:space="preserve"> ועוד דכיון דשריא לדידיה לאכול </w:t>
      </w:r>
      <w:r>
        <w:rPr>
          <w:rFonts w:cs="Arial"/>
          <w:rtl/>
        </w:rPr>
        <w:t>ניחוש שמא יאכיל ל</w:t>
      </w:r>
      <w:r>
        <w:rPr>
          <w:rFonts w:cs="Arial" w:hint="cs"/>
          <w:rtl/>
        </w:rPr>
        <w:t>גוי</w:t>
      </w:r>
      <w:r w:rsidRPr="00492505">
        <w:rPr>
          <w:rFonts w:cs="Arial"/>
          <w:rtl/>
        </w:rPr>
        <w:t xml:space="preserve"> או לכלב להתיר האחרות</w:t>
      </w:r>
      <w:r>
        <w:rPr>
          <w:rFonts w:cs="Arial" w:hint="cs"/>
          <w:rtl/>
        </w:rPr>
        <w:t>,</w:t>
      </w:r>
      <w:r w:rsidRPr="00492505">
        <w:rPr>
          <w:rFonts w:cs="Arial"/>
          <w:rtl/>
        </w:rPr>
        <w:t xml:space="preserve"> וגם בתשו' הרא"ש </w:t>
      </w:r>
      <w:r>
        <w:rPr>
          <w:rFonts w:cs="Arial" w:hint="cs"/>
          <w:rtl/>
        </w:rPr>
        <w:t>(</w:t>
      </w:r>
      <w:r>
        <w:rPr>
          <w:rFonts w:cs="Arial"/>
          <w:rtl/>
        </w:rPr>
        <w:t>כלל כ סי</w:t>
      </w:r>
      <w:r>
        <w:rPr>
          <w:rFonts w:cs="Arial" w:hint="cs"/>
          <w:rtl/>
        </w:rPr>
        <w:t>'</w:t>
      </w:r>
      <w:r>
        <w:rPr>
          <w:rFonts w:cs="Arial"/>
          <w:rtl/>
        </w:rPr>
        <w:t xml:space="preserve"> י</w:t>
      </w:r>
      <w:r w:rsidRPr="00492505">
        <w:rPr>
          <w:rFonts w:cs="Arial"/>
          <w:rtl/>
        </w:rPr>
        <w:t>ז</w:t>
      </w:r>
      <w:r>
        <w:rPr>
          <w:rFonts w:cs="Arial" w:hint="cs"/>
          <w:rtl/>
        </w:rPr>
        <w:t>)</w:t>
      </w:r>
      <w:r w:rsidRPr="00492505">
        <w:rPr>
          <w:rFonts w:cs="Arial"/>
          <w:rtl/>
        </w:rPr>
        <w:t xml:space="preserve"> משמע להדיא דאפילו נאכל קנסינן שוגג אטו מזיד</w:t>
      </w:r>
      <w:r>
        <w:rPr>
          <w:rFonts w:cs="Arial" w:hint="cs"/>
          <w:rtl/>
        </w:rPr>
        <w:t>,</w:t>
      </w:r>
      <w:r w:rsidRPr="00492505">
        <w:rPr>
          <w:rFonts w:cs="Arial"/>
          <w:rtl/>
        </w:rPr>
        <w:t xml:space="preserve"> דכתב ש</w:t>
      </w:r>
      <w:r>
        <w:rPr>
          <w:rFonts w:cs="Arial"/>
          <w:rtl/>
        </w:rPr>
        <w:t>ם אמעשה שלקחו הקהל כבשים ואח</w:t>
      </w:r>
      <w:r>
        <w:rPr>
          <w:rFonts w:cs="Arial" w:hint="cs"/>
          <w:rtl/>
        </w:rPr>
        <w:t>"</w:t>
      </w:r>
      <w:r>
        <w:rPr>
          <w:rFonts w:cs="Arial"/>
          <w:rtl/>
        </w:rPr>
        <w:t>כ</w:t>
      </w:r>
      <w:r w:rsidRPr="00492505">
        <w:rPr>
          <w:rFonts w:cs="Arial"/>
          <w:rtl/>
        </w:rPr>
        <w:t xml:space="preserve"> נודע שכבש אחד טרפה היה שם</w:t>
      </w:r>
      <w:r>
        <w:rPr>
          <w:rFonts w:cs="Arial" w:hint="cs"/>
          <w:rtl/>
        </w:rPr>
        <w:t>,</w:t>
      </w:r>
      <w:r w:rsidRPr="00492505">
        <w:rPr>
          <w:rFonts w:cs="Arial"/>
          <w:rtl/>
        </w:rPr>
        <w:t xml:space="preserve"> דאם נאכל אחד מן הכבשים הותרו כולן</w:t>
      </w:r>
      <w:r>
        <w:rPr>
          <w:rFonts w:cs="Arial" w:hint="cs"/>
          <w:rtl/>
        </w:rPr>
        <w:t>,</w:t>
      </w:r>
      <w:r>
        <w:rPr>
          <w:rFonts w:cs="Arial"/>
          <w:rtl/>
        </w:rPr>
        <w:t xml:space="preserve"> ואע</w:t>
      </w:r>
      <w:r>
        <w:rPr>
          <w:rFonts w:cs="Arial" w:hint="cs"/>
          <w:rtl/>
        </w:rPr>
        <w:t>"</w:t>
      </w:r>
      <w:r>
        <w:rPr>
          <w:rFonts w:cs="Arial"/>
          <w:rtl/>
        </w:rPr>
        <w:t>פ</w:t>
      </w:r>
      <w:r w:rsidRPr="00492505">
        <w:rPr>
          <w:rFonts w:cs="Arial"/>
          <w:rtl/>
        </w:rPr>
        <w:t xml:space="preserve"> דפי' ר"י דדוקא נפלה אבל הפילה שוגג גזרינן אטו מזיד</w:t>
      </w:r>
      <w:r>
        <w:rPr>
          <w:rFonts w:cs="Arial" w:hint="cs"/>
          <w:rtl/>
        </w:rPr>
        <w:t>,</w:t>
      </w:r>
      <w:r w:rsidRPr="00492505">
        <w:rPr>
          <w:rFonts w:cs="Arial"/>
          <w:rtl/>
        </w:rPr>
        <w:t xml:space="preserve"> כיון שנאכל קודם שנודע הספק לא שייך למקנסיה</w:t>
      </w:r>
      <w:r>
        <w:rPr>
          <w:rFonts w:cs="Arial" w:hint="cs"/>
          <w:rtl/>
        </w:rPr>
        <w:t>,</w:t>
      </w:r>
      <w:r w:rsidRPr="00492505">
        <w:rPr>
          <w:rFonts w:cs="Arial"/>
          <w:rtl/>
        </w:rPr>
        <w:t xml:space="preserve"> עכ"ל</w:t>
      </w:r>
      <w:r>
        <w:rPr>
          <w:rFonts w:cs="Arial" w:hint="cs"/>
          <w:rtl/>
        </w:rPr>
        <w:t>,</w:t>
      </w:r>
      <w:r w:rsidRPr="00492505">
        <w:rPr>
          <w:rFonts w:cs="Arial"/>
          <w:rtl/>
        </w:rPr>
        <w:t xml:space="preserve"> אלא אם ת</w:t>
      </w:r>
      <w:r>
        <w:rPr>
          <w:rFonts w:cs="Arial"/>
          <w:rtl/>
        </w:rPr>
        <w:t xml:space="preserve">אמר דמיירי שנאכל ע"י </w:t>
      </w:r>
      <w:r>
        <w:rPr>
          <w:rFonts w:cs="Arial" w:hint="cs"/>
          <w:rtl/>
        </w:rPr>
        <w:t>גוי</w:t>
      </w:r>
      <w:r w:rsidRPr="00492505">
        <w:rPr>
          <w:rFonts w:cs="Arial"/>
          <w:rtl/>
        </w:rPr>
        <w:t xml:space="preserve"> וזה אינו במשמע בתשובה שם ע"</w:t>
      </w:r>
      <w:r>
        <w:rPr>
          <w:rFonts w:cs="Arial" w:hint="cs"/>
          <w:rtl/>
        </w:rPr>
        <w:t>ש.</w:t>
      </w:r>
    </w:p>
  </w:footnote>
  <w:footnote w:id="2511">
    <w:p w14:paraId="3C0852C6" w14:textId="77777777" w:rsidR="004C5A3C" w:rsidRDefault="004C5A3C" w:rsidP="002C39F4">
      <w:pPr>
        <w:pStyle w:val="a5"/>
      </w:pPr>
      <w:r>
        <w:rPr>
          <w:rStyle w:val="a7"/>
        </w:rPr>
        <w:footnoteRef/>
      </w:r>
      <w:r>
        <w:rPr>
          <w:rtl/>
        </w:rPr>
        <w:t xml:space="preserve"> </w:t>
      </w:r>
      <w:r w:rsidRPr="00C3601A">
        <w:rPr>
          <w:rFonts w:cs="Arial" w:hint="cs"/>
          <w:rtl/>
        </w:rPr>
        <w:t xml:space="preserve">וכן אם </w:t>
      </w:r>
      <w:r w:rsidRPr="00C3601A">
        <w:rPr>
          <w:rFonts w:cs="Arial"/>
          <w:rtl/>
        </w:rPr>
        <w:t>הפילו קודם שנודע</w:t>
      </w:r>
      <w:r>
        <w:rPr>
          <w:rFonts w:cs="Arial" w:hint="cs"/>
          <w:rtl/>
        </w:rPr>
        <w:t xml:space="preserve"> הספק</w:t>
      </w:r>
      <w:r w:rsidRPr="00C3601A">
        <w:rPr>
          <w:rFonts w:cs="Arial" w:hint="cs"/>
          <w:rtl/>
        </w:rPr>
        <w:t>, טור בשם הרא"ש</w:t>
      </w:r>
      <w:r>
        <w:rPr>
          <w:rFonts w:cs="Arial" w:hint="cs"/>
          <w:rtl/>
        </w:rPr>
        <w:t>.</w:t>
      </w:r>
    </w:p>
  </w:footnote>
  <w:footnote w:id="2512">
    <w:p w14:paraId="265C3BB1" w14:textId="77777777" w:rsidR="004C5A3C" w:rsidRDefault="004C5A3C" w:rsidP="002C39F4">
      <w:pPr>
        <w:pStyle w:val="a5"/>
        <w:rPr>
          <w:rtl/>
        </w:rPr>
      </w:pPr>
      <w:r>
        <w:rPr>
          <w:rStyle w:val="a7"/>
        </w:rPr>
        <w:footnoteRef/>
      </w:r>
      <w:r>
        <w:rPr>
          <w:rtl/>
        </w:rPr>
        <w:t xml:space="preserve"> </w:t>
      </w:r>
      <w:r w:rsidRPr="00130C71">
        <w:rPr>
          <w:rFonts w:cs="Arial"/>
          <w:rtl/>
        </w:rPr>
        <w:t>דיש לסמוך ע</w:t>
      </w:r>
      <w:r>
        <w:rPr>
          <w:rFonts w:cs="Arial"/>
          <w:rtl/>
        </w:rPr>
        <w:t>ל דמיון זו אפילו באיסור דאו</w:t>
      </w:r>
      <w:r>
        <w:rPr>
          <w:rFonts w:cs="Arial" w:hint="cs"/>
          <w:rtl/>
        </w:rPr>
        <w:t xml:space="preserve">', </w:t>
      </w:r>
      <w:r w:rsidRPr="00130C71">
        <w:rPr>
          <w:rFonts w:cs="Arial"/>
          <w:rtl/>
        </w:rPr>
        <w:t>וכן בהגה</w:t>
      </w:r>
      <w:r>
        <w:rPr>
          <w:rFonts w:cs="Arial" w:hint="cs"/>
          <w:rtl/>
        </w:rPr>
        <w:t>"מ (</w:t>
      </w:r>
      <w:r>
        <w:rPr>
          <w:rFonts w:cs="Arial"/>
          <w:rtl/>
        </w:rPr>
        <w:t>הל</w:t>
      </w:r>
      <w:r>
        <w:rPr>
          <w:rFonts w:cs="Arial" w:hint="cs"/>
          <w:rtl/>
        </w:rPr>
        <w:t>'</w:t>
      </w:r>
      <w:r>
        <w:rPr>
          <w:rFonts w:cs="Arial"/>
          <w:rtl/>
        </w:rPr>
        <w:t xml:space="preserve"> שחיטה </w:t>
      </w:r>
      <w:r w:rsidRPr="00130C71">
        <w:rPr>
          <w:rFonts w:cs="Arial"/>
          <w:rtl/>
        </w:rPr>
        <w:t>פ"ו אות ט) בשם ראבי"ה שעשה מעשה כזו בקורקבן שנתערב</w:t>
      </w:r>
      <w:r>
        <w:rPr>
          <w:rFonts w:cs="Arial" w:hint="cs"/>
          <w:rtl/>
        </w:rPr>
        <w:t>,</w:t>
      </w:r>
      <w:r>
        <w:rPr>
          <w:rFonts w:cs="Arial"/>
          <w:rtl/>
        </w:rPr>
        <w:t xml:space="preserve"> וכ</w:t>
      </w:r>
      <w:r>
        <w:rPr>
          <w:rFonts w:cs="Arial" w:hint="cs"/>
          <w:rtl/>
        </w:rPr>
        <w:t>'</w:t>
      </w:r>
      <w:r w:rsidRPr="00130C71">
        <w:rPr>
          <w:rFonts w:cs="Arial"/>
          <w:rtl/>
        </w:rPr>
        <w:t xml:space="preserve"> ב</w:t>
      </w:r>
      <w:r>
        <w:rPr>
          <w:rFonts w:cs="Arial"/>
          <w:rtl/>
        </w:rPr>
        <w:t xml:space="preserve">או"ה </w:t>
      </w:r>
      <w:r>
        <w:rPr>
          <w:rFonts w:cs="Arial" w:hint="cs"/>
          <w:rtl/>
        </w:rPr>
        <w:t>(</w:t>
      </w:r>
      <w:r>
        <w:rPr>
          <w:rFonts w:cs="Arial"/>
          <w:rtl/>
        </w:rPr>
        <w:t>כלל נב</w:t>
      </w:r>
      <w:r>
        <w:rPr>
          <w:rFonts w:cs="Arial" w:hint="cs"/>
          <w:rtl/>
        </w:rPr>
        <w:t xml:space="preserve"> </w:t>
      </w:r>
      <w:r>
        <w:rPr>
          <w:rFonts w:cs="Arial"/>
          <w:rtl/>
        </w:rPr>
        <w:t>ד</w:t>
      </w:r>
      <w:r>
        <w:rPr>
          <w:rFonts w:cs="Arial" w:hint="cs"/>
          <w:rtl/>
        </w:rPr>
        <w:t>"</w:t>
      </w:r>
      <w:r>
        <w:rPr>
          <w:rFonts w:cs="Arial"/>
          <w:rtl/>
        </w:rPr>
        <w:t>ג</w:t>
      </w:r>
      <w:r w:rsidRPr="00130C71">
        <w:rPr>
          <w:rFonts w:cs="Arial"/>
          <w:rtl/>
        </w:rPr>
        <w:t>) דבעינן שיהא ניכר היטב ונדמו לגמרי</w:t>
      </w:r>
      <w:r>
        <w:rPr>
          <w:rFonts w:hint="cs"/>
          <w:rtl/>
        </w:rPr>
        <w:t>, דרכ"מ.</w:t>
      </w:r>
    </w:p>
  </w:footnote>
  <w:footnote w:id="2513">
    <w:p w14:paraId="3B6AACE6" w14:textId="77777777" w:rsidR="004C5A3C" w:rsidRDefault="004C5A3C" w:rsidP="002C39F4">
      <w:pPr>
        <w:pStyle w:val="a5"/>
        <w:rPr>
          <w:rtl/>
        </w:rPr>
      </w:pPr>
      <w:r>
        <w:rPr>
          <w:rStyle w:val="a7"/>
        </w:rPr>
        <w:footnoteRef/>
      </w:r>
      <w:r>
        <w:rPr>
          <w:rtl/>
        </w:rPr>
        <w:t xml:space="preserve"> </w:t>
      </w:r>
      <w:r>
        <w:rPr>
          <w:rFonts w:hint="cs"/>
          <w:rtl/>
        </w:rPr>
        <w:t xml:space="preserve">אך הרמ"א (סע' ח בסוף ההגה) חולק, עי' בש"ך (סקנ"ז-נח). </w:t>
      </w:r>
    </w:p>
  </w:footnote>
  <w:footnote w:id="2514">
    <w:p w14:paraId="0677C4DB" w14:textId="77777777" w:rsidR="004C5A3C" w:rsidRDefault="004C5A3C" w:rsidP="002C39F4">
      <w:pPr>
        <w:pStyle w:val="a5"/>
      </w:pPr>
      <w:r>
        <w:rPr>
          <w:rStyle w:val="a7"/>
        </w:rPr>
        <w:footnoteRef/>
      </w:r>
      <w:r>
        <w:rPr>
          <w:rtl/>
        </w:rPr>
        <w:t xml:space="preserve"> </w:t>
      </w:r>
      <w:r w:rsidRPr="00F46759">
        <w:rPr>
          <w:rFonts w:cs="Arial"/>
          <w:rtl/>
        </w:rPr>
        <w:t>דסתמו אבוד</w:t>
      </w:r>
      <w:r>
        <w:rPr>
          <w:rFonts w:cs="Arial" w:hint="cs"/>
          <w:rtl/>
        </w:rPr>
        <w:t>,</w:t>
      </w:r>
      <w:r w:rsidRPr="00F46759">
        <w:rPr>
          <w:rFonts w:cs="Arial"/>
          <w:rtl/>
        </w:rPr>
        <w:t xml:space="preserve"> וה"ה לכל מקום שהוא אבוד כגון נהר עמוק וכה"ג</w:t>
      </w:r>
      <w:r>
        <w:rPr>
          <w:rFonts w:cs="Arial" w:hint="cs"/>
          <w:rtl/>
        </w:rPr>
        <w:t>,</w:t>
      </w:r>
      <w:r w:rsidRPr="00F46759">
        <w:rPr>
          <w:rFonts w:cs="Arial"/>
          <w:rtl/>
        </w:rPr>
        <w:t xml:space="preserve"> אבל אם נפל למקום שאפשר להמצא לא הותרו השאר</w:t>
      </w:r>
      <w:r>
        <w:rPr>
          <w:rFonts w:cs="Arial" w:hint="cs"/>
          <w:rtl/>
        </w:rPr>
        <w:t>,</w:t>
      </w:r>
      <w:r w:rsidRPr="00F46759">
        <w:rPr>
          <w:rFonts w:cs="Arial"/>
          <w:rtl/>
        </w:rPr>
        <w:t xml:space="preserve"> כ"כ בכ</w:t>
      </w:r>
      <w:r>
        <w:rPr>
          <w:rFonts w:cs="Arial" w:hint="cs"/>
          <w:rtl/>
        </w:rPr>
        <w:t>ס</w:t>
      </w:r>
      <w:r w:rsidRPr="00F46759">
        <w:rPr>
          <w:rFonts w:cs="Arial"/>
          <w:rtl/>
        </w:rPr>
        <w:t xml:space="preserve">"מ </w:t>
      </w:r>
      <w:r>
        <w:rPr>
          <w:rFonts w:cs="Arial" w:hint="cs"/>
          <w:rtl/>
        </w:rPr>
        <w:t>(</w:t>
      </w:r>
      <w:r w:rsidRPr="00F46759">
        <w:rPr>
          <w:rFonts w:cs="Arial"/>
          <w:rtl/>
        </w:rPr>
        <w:t>פ"ז מה</w:t>
      </w:r>
      <w:r>
        <w:rPr>
          <w:rFonts w:cs="Arial" w:hint="cs"/>
          <w:rtl/>
        </w:rPr>
        <w:t>ל</w:t>
      </w:r>
      <w:r w:rsidRPr="00F46759">
        <w:rPr>
          <w:rFonts w:cs="Arial"/>
          <w:rtl/>
        </w:rPr>
        <w:t xml:space="preserve">' </w:t>
      </w:r>
      <w:r>
        <w:rPr>
          <w:rFonts w:cs="Arial" w:hint="cs"/>
          <w:rtl/>
        </w:rPr>
        <w:t>ע"ז</w:t>
      </w:r>
      <w:r>
        <w:rPr>
          <w:rFonts w:cs="Arial"/>
          <w:rtl/>
        </w:rPr>
        <w:t xml:space="preserve"> </w:t>
      </w:r>
      <w:r>
        <w:rPr>
          <w:rFonts w:cs="Arial" w:hint="cs"/>
          <w:rtl/>
        </w:rPr>
        <w:t>ה"</w:t>
      </w:r>
      <w:r>
        <w:rPr>
          <w:rFonts w:cs="Arial"/>
          <w:rtl/>
        </w:rPr>
        <w:t>י</w:t>
      </w:r>
      <w:r>
        <w:rPr>
          <w:rFonts w:cs="Arial" w:hint="cs"/>
          <w:rtl/>
        </w:rPr>
        <w:t>), ש"ך (סקמ"ג).</w:t>
      </w:r>
    </w:p>
  </w:footnote>
  <w:footnote w:id="2515">
    <w:p w14:paraId="3BC7BC1B" w14:textId="77777777" w:rsidR="004C5A3C" w:rsidRDefault="004C5A3C" w:rsidP="002C39F4">
      <w:pPr>
        <w:pStyle w:val="a5"/>
      </w:pPr>
      <w:r>
        <w:rPr>
          <w:rStyle w:val="a7"/>
        </w:rPr>
        <w:footnoteRef/>
      </w:r>
      <w:r>
        <w:rPr>
          <w:rtl/>
        </w:rPr>
        <w:t xml:space="preserve"> </w:t>
      </w:r>
      <w:r w:rsidRPr="00E876C8">
        <w:rPr>
          <w:rFonts w:cs="Arial"/>
          <w:rtl/>
        </w:rPr>
        <w:t>אבל נחתך או נתרסק נתבאר דינו בסימן ק"א ס"ז וע"ש</w:t>
      </w:r>
      <w:r>
        <w:rPr>
          <w:rFonts w:cs="Arial" w:hint="cs"/>
          <w:rtl/>
        </w:rPr>
        <w:t>, ש"ך (סקמ"ה).</w:t>
      </w:r>
    </w:p>
  </w:footnote>
  <w:footnote w:id="2516">
    <w:p w14:paraId="78883AA3" w14:textId="77777777" w:rsidR="004C5A3C" w:rsidRDefault="004C5A3C" w:rsidP="002C39F4">
      <w:pPr>
        <w:pStyle w:val="a5"/>
      </w:pPr>
      <w:r>
        <w:rPr>
          <w:rStyle w:val="a7"/>
        </w:rPr>
        <w:footnoteRef/>
      </w:r>
      <w:r>
        <w:rPr>
          <w:rtl/>
        </w:rPr>
        <w:t xml:space="preserve"> </w:t>
      </w:r>
      <w:r w:rsidRPr="00F46759">
        <w:rPr>
          <w:rFonts w:cs="Arial"/>
          <w:rtl/>
        </w:rPr>
        <w:t>נראה דהיינו דוקא נאכל או נפל אחד מהם קודם שפירש מהן</w:t>
      </w:r>
      <w:r>
        <w:rPr>
          <w:rFonts w:cs="Arial" w:hint="cs"/>
          <w:rtl/>
        </w:rPr>
        <w:t>,</w:t>
      </w:r>
      <w:r w:rsidRPr="00F46759">
        <w:rPr>
          <w:rFonts w:cs="Arial"/>
          <w:rtl/>
        </w:rPr>
        <w:t xml:space="preserve"> אבל אם פירש מהן לפנינו</w:t>
      </w:r>
      <w:r>
        <w:rPr>
          <w:rFonts w:cs="Arial" w:hint="cs"/>
          <w:rtl/>
        </w:rPr>
        <w:t>,</w:t>
      </w:r>
      <w:r w:rsidRPr="00F46759">
        <w:rPr>
          <w:rFonts w:cs="Arial"/>
          <w:rtl/>
        </w:rPr>
        <w:t xml:space="preserve"> או </w:t>
      </w:r>
      <w:r>
        <w:rPr>
          <w:rFonts w:cs="Arial"/>
          <w:rtl/>
        </w:rPr>
        <w:t xml:space="preserve">פירש ממילא </w:t>
      </w:r>
      <w:r>
        <w:rPr>
          <w:rFonts w:cs="Arial" w:hint="cs"/>
          <w:rtl/>
        </w:rPr>
        <w:t xml:space="preserve">[אפילו] </w:t>
      </w:r>
      <w:r>
        <w:rPr>
          <w:rFonts w:cs="Arial"/>
          <w:rtl/>
        </w:rPr>
        <w:t>למאן דאוסר פירש ממיל</w:t>
      </w:r>
      <w:r>
        <w:rPr>
          <w:rFonts w:cs="Arial" w:hint="cs"/>
          <w:rtl/>
        </w:rPr>
        <w:t>א,</w:t>
      </w:r>
      <w:r>
        <w:rPr>
          <w:rFonts w:cs="Arial"/>
          <w:rtl/>
        </w:rPr>
        <w:t xml:space="preserve"> אף</w:t>
      </w:r>
      <w:r>
        <w:rPr>
          <w:rFonts w:cs="Arial" w:hint="cs"/>
          <w:rtl/>
        </w:rPr>
        <w:t xml:space="preserve"> </w:t>
      </w:r>
      <w:r w:rsidRPr="00F46759">
        <w:rPr>
          <w:rFonts w:cs="Arial"/>
          <w:rtl/>
        </w:rPr>
        <w:t>דנאסר הוא וגם התערובות כיון שהנפרש הוא בעין א"כ כשנפל אח"כ לים לא מן התערובות הוא נפרש שנאמר הך דנפל דאיסור נפל אלא עמד בפני עצמו</w:t>
      </w:r>
      <w:r>
        <w:rPr>
          <w:rFonts w:cs="Arial" w:hint="cs"/>
          <w:rtl/>
        </w:rPr>
        <w:t>,</w:t>
      </w:r>
      <w:r w:rsidRPr="00F46759">
        <w:rPr>
          <w:rFonts w:cs="Arial"/>
          <w:rtl/>
        </w:rPr>
        <w:t xml:space="preserve"> והלכך התערובות נשאר באיסורו</w:t>
      </w:r>
      <w:r>
        <w:rPr>
          <w:rFonts w:cs="Arial" w:hint="cs"/>
          <w:rtl/>
        </w:rPr>
        <w:t>, ש"ך (סקמ"ב).</w:t>
      </w:r>
    </w:p>
  </w:footnote>
  <w:footnote w:id="2517">
    <w:p w14:paraId="1D3E6F76" w14:textId="77777777" w:rsidR="004C5A3C" w:rsidRDefault="004C5A3C" w:rsidP="002C39F4">
      <w:pPr>
        <w:pStyle w:val="a5"/>
      </w:pPr>
      <w:r>
        <w:rPr>
          <w:rStyle w:val="a7"/>
        </w:rPr>
        <w:footnoteRef/>
      </w:r>
      <w:r>
        <w:rPr>
          <w:rtl/>
        </w:rPr>
        <w:t xml:space="preserve"> </w:t>
      </w:r>
      <w:r w:rsidRPr="00E876C8">
        <w:rPr>
          <w:rFonts w:cs="Arial"/>
          <w:rtl/>
        </w:rPr>
        <w:t>ואמרינן מדחבריה לאו דאיסורא איהו נמי לאו דאיסורא</w:t>
      </w:r>
      <w:r>
        <w:rPr>
          <w:rFonts w:cs="Arial" w:hint="cs"/>
          <w:rtl/>
        </w:rPr>
        <w:t>,</w:t>
      </w:r>
      <w:r w:rsidRPr="00E876C8">
        <w:rPr>
          <w:rFonts w:cs="Arial"/>
          <w:rtl/>
        </w:rPr>
        <w:t xml:space="preserve"> כ"כ רש"י בזבחים</w:t>
      </w:r>
      <w:r>
        <w:rPr>
          <w:rFonts w:cs="Arial" w:hint="cs"/>
          <w:rtl/>
        </w:rPr>
        <w:t xml:space="preserve"> </w:t>
      </w:r>
      <w:r w:rsidRPr="00E876C8">
        <w:rPr>
          <w:rFonts w:cs="Arial" w:hint="cs"/>
          <w:sz w:val="16"/>
          <w:szCs w:val="16"/>
          <w:rtl/>
        </w:rPr>
        <w:t>(עד.</w:t>
      </w:r>
      <w:r>
        <w:rPr>
          <w:rFonts w:cs="Arial" w:hint="cs"/>
          <w:sz w:val="16"/>
          <w:szCs w:val="16"/>
          <w:rtl/>
        </w:rPr>
        <w:t xml:space="preserve"> ד"ה והא</w:t>
      </w:r>
      <w:r w:rsidRPr="00E876C8">
        <w:rPr>
          <w:rFonts w:cs="Arial" w:hint="cs"/>
          <w:sz w:val="16"/>
          <w:szCs w:val="16"/>
          <w:rtl/>
        </w:rPr>
        <w:t>, עז:</w:t>
      </w:r>
      <w:r>
        <w:rPr>
          <w:rFonts w:cs="Arial" w:hint="cs"/>
          <w:sz w:val="16"/>
          <w:szCs w:val="16"/>
          <w:rtl/>
        </w:rPr>
        <w:t xml:space="preserve"> ד"ה אלא</w:t>
      </w:r>
      <w:r w:rsidRPr="00E876C8">
        <w:rPr>
          <w:rFonts w:cs="Arial" w:hint="cs"/>
          <w:sz w:val="16"/>
          <w:szCs w:val="16"/>
          <w:rtl/>
        </w:rPr>
        <w:t>)</w:t>
      </w:r>
      <w:r>
        <w:rPr>
          <w:rFonts w:cs="Arial" w:hint="cs"/>
          <w:rtl/>
        </w:rPr>
        <w:t>,</w:t>
      </w:r>
      <w:r>
        <w:rPr>
          <w:rFonts w:cs="Arial"/>
          <w:rtl/>
        </w:rPr>
        <w:t xml:space="preserve"> ומזה משמע דאם נתערבו </w:t>
      </w:r>
      <w:r>
        <w:rPr>
          <w:rFonts w:cs="Arial" w:hint="cs"/>
          <w:rtl/>
        </w:rPr>
        <w:t>ב'</w:t>
      </w:r>
      <w:r w:rsidRPr="00E876C8">
        <w:rPr>
          <w:rFonts w:cs="Arial"/>
          <w:rtl/>
        </w:rPr>
        <w:t xml:space="preserve"> צריך לאכול ארבע ארבע</w:t>
      </w:r>
      <w:r>
        <w:rPr>
          <w:rFonts w:cs="Arial" w:hint="cs"/>
          <w:rtl/>
        </w:rPr>
        <w:t>,</w:t>
      </w:r>
      <w:r w:rsidRPr="00E876C8">
        <w:rPr>
          <w:rFonts w:cs="Arial"/>
          <w:rtl/>
        </w:rPr>
        <w:t xml:space="preserve"> וכן ג' צריך לאכול שש שש</w:t>
      </w:r>
      <w:r>
        <w:rPr>
          <w:rFonts w:cs="Arial" w:hint="cs"/>
          <w:rtl/>
        </w:rPr>
        <w:t>,</w:t>
      </w:r>
      <w:r w:rsidRPr="00E876C8">
        <w:rPr>
          <w:rFonts w:cs="Arial"/>
          <w:rtl/>
        </w:rPr>
        <w:t xml:space="preserve"> דאל"כ ליכא למימר מדחבריה לאו דאיסורא כו'</w:t>
      </w:r>
      <w:r>
        <w:rPr>
          <w:rFonts w:cs="Arial" w:hint="cs"/>
          <w:rtl/>
        </w:rPr>
        <w:t>,</w:t>
      </w:r>
      <w:r w:rsidRPr="00E876C8">
        <w:rPr>
          <w:rFonts w:cs="Arial"/>
          <w:rtl/>
        </w:rPr>
        <w:t xml:space="preserve"> דלמא</w:t>
      </w:r>
      <w:r>
        <w:rPr>
          <w:rFonts w:cs="Arial"/>
          <w:rtl/>
        </w:rPr>
        <w:t xml:space="preserve"> בחד דהו</w:t>
      </w:r>
      <w:r>
        <w:rPr>
          <w:rFonts w:cs="Arial" w:hint="cs"/>
          <w:rtl/>
        </w:rPr>
        <w:t>א</w:t>
      </w:r>
      <w:r w:rsidRPr="00E876C8">
        <w:rPr>
          <w:rFonts w:cs="Arial"/>
          <w:rtl/>
        </w:rPr>
        <w:t xml:space="preserve"> המיעוט אמרינן לאו דאיסורא אלא</w:t>
      </w:r>
      <w:r>
        <w:rPr>
          <w:rFonts w:cs="Arial"/>
          <w:rtl/>
        </w:rPr>
        <w:t xml:space="preserve"> איסורא ברובא דהיינו בשנים איתא</w:t>
      </w:r>
      <w:r>
        <w:rPr>
          <w:rFonts w:cs="Arial" w:hint="cs"/>
          <w:rtl/>
        </w:rPr>
        <w:t xml:space="preserve">, </w:t>
      </w:r>
      <w:r w:rsidRPr="00E876C8">
        <w:rPr>
          <w:rFonts w:cs="Arial"/>
          <w:rtl/>
        </w:rPr>
        <w:t>ודוק</w:t>
      </w:r>
      <w:r>
        <w:rPr>
          <w:rFonts w:cs="Arial" w:hint="cs"/>
          <w:rtl/>
        </w:rPr>
        <w:t>,</w:t>
      </w:r>
      <w:r>
        <w:rPr>
          <w:rFonts w:cs="Arial"/>
          <w:rtl/>
        </w:rPr>
        <w:t xml:space="preserve"> וכ</w:t>
      </w:r>
      <w:r>
        <w:rPr>
          <w:rFonts w:cs="Arial" w:hint="cs"/>
          <w:rtl/>
        </w:rPr>
        <w:t>"</w:t>
      </w:r>
      <w:r>
        <w:rPr>
          <w:rFonts w:cs="Arial"/>
          <w:rtl/>
        </w:rPr>
        <w:t>מ</w:t>
      </w:r>
      <w:r w:rsidRPr="00E876C8">
        <w:rPr>
          <w:rFonts w:cs="Arial"/>
          <w:rtl/>
        </w:rPr>
        <w:t xml:space="preserve"> מתוך דברי מהרש"ל</w:t>
      </w:r>
      <w:r w:rsidRPr="00E876C8">
        <w:rPr>
          <w:rFonts w:cs="Arial"/>
          <w:sz w:val="16"/>
          <w:szCs w:val="16"/>
          <w:rtl/>
        </w:rPr>
        <w:t xml:space="preserve"> </w:t>
      </w:r>
      <w:r w:rsidRPr="00E876C8">
        <w:rPr>
          <w:rFonts w:cs="Arial" w:hint="cs"/>
          <w:sz w:val="16"/>
          <w:szCs w:val="16"/>
          <w:rtl/>
        </w:rPr>
        <w:t>(</w:t>
      </w:r>
      <w:r w:rsidRPr="00E876C8">
        <w:rPr>
          <w:rFonts w:cs="Arial"/>
          <w:sz w:val="16"/>
          <w:szCs w:val="16"/>
          <w:rtl/>
        </w:rPr>
        <w:t>פג"ה סי' נה</w:t>
      </w:r>
      <w:r w:rsidRPr="00E876C8">
        <w:rPr>
          <w:rFonts w:cs="Arial" w:hint="cs"/>
          <w:sz w:val="16"/>
          <w:szCs w:val="16"/>
          <w:rtl/>
        </w:rPr>
        <w:t>)</w:t>
      </w:r>
      <w:r w:rsidRPr="00E876C8">
        <w:rPr>
          <w:rFonts w:cs="Arial"/>
          <w:rtl/>
        </w:rPr>
        <w:t xml:space="preserve"> ע"ש</w:t>
      </w:r>
      <w:r>
        <w:rPr>
          <w:rFonts w:cs="Arial" w:hint="cs"/>
          <w:rtl/>
        </w:rPr>
        <w:t>, ש"ך (סקמ"ו).</w:t>
      </w:r>
    </w:p>
  </w:footnote>
  <w:footnote w:id="2518">
    <w:p w14:paraId="7F46B93C" w14:textId="77777777" w:rsidR="004C5A3C" w:rsidRDefault="004C5A3C" w:rsidP="002C39F4">
      <w:pPr>
        <w:pStyle w:val="a5"/>
        <w:rPr>
          <w:rtl/>
        </w:rPr>
      </w:pPr>
      <w:r>
        <w:rPr>
          <w:rStyle w:val="a7"/>
        </w:rPr>
        <w:footnoteRef/>
      </w:r>
      <w:r>
        <w:rPr>
          <w:rtl/>
        </w:rPr>
        <w:t xml:space="preserve"> </w:t>
      </w:r>
      <w:r>
        <w:rPr>
          <w:rFonts w:cs="Arial"/>
          <w:rtl/>
        </w:rPr>
        <w:t>ואע</w:t>
      </w:r>
      <w:r>
        <w:rPr>
          <w:rFonts w:cs="Arial" w:hint="cs"/>
          <w:rtl/>
        </w:rPr>
        <w:t>"</w:t>
      </w:r>
      <w:r>
        <w:rPr>
          <w:rFonts w:cs="Arial"/>
          <w:rtl/>
        </w:rPr>
        <w:t>ג</w:t>
      </w:r>
      <w:r w:rsidRPr="008F19D8">
        <w:rPr>
          <w:rFonts w:cs="Arial"/>
          <w:rtl/>
        </w:rPr>
        <w:t xml:space="preserve"> דבחתיכה שאינה ראויה להתכבד יש מתירים לאכלה לאדם אחד לעיל ר"ס ק"ט</w:t>
      </w:r>
      <w:r>
        <w:rPr>
          <w:rFonts w:cs="Arial" w:hint="cs"/>
          <w:rtl/>
        </w:rPr>
        <w:t>,</w:t>
      </w:r>
      <w:r w:rsidRPr="008F19D8">
        <w:rPr>
          <w:rFonts w:cs="Arial"/>
          <w:rtl/>
        </w:rPr>
        <w:t xml:space="preserve"> שאני התם כיון דנתבטל מן התורה וגם מדרבנן ברוב בלא ס"ס</w:t>
      </w:r>
      <w:r>
        <w:rPr>
          <w:rFonts w:cs="Arial" w:hint="cs"/>
          <w:rtl/>
        </w:rPr>
        <w:t>,</w:t>
      </w:r>
      <w:r w:rsidRPr="008F19D8">
        <w:rPr>
          <w:rFonts w:cs="Arial"/>
          <w:rtl/>
        </w:rPr>
        <w:t xml:space="preserve"> משא"כ הכא דלא שרי אלא מטעם ס"ס דאמרינן דלמא דאיסורא נפל ואת"ל דלא נפל דאיסורא דלמא לא אכיל השתא האיסור</w:t>
      </w:r>
      <w:r>
        <w:rPr>
          <w:rFonts w:cs="Arial" w:hint="cs"/>
          <w:rtl/>
        </w:rPr>
        <w:t>,</w:t>
      </w:r>
      <w:r w:rsidRPr="008F19D8">
        <w:rPr>
          <w:rFonts w:cs="Arial"/>
          <w:rtl/>
        </w:rPr>
        <w:t xml:space="preserve"> כ"כ הרא"ש פג"ה ומביאו ב"י סי' ק"ט</w:t>
      </w:r>
      <w:r>
        <w:rPr>
          <w:rFonts w:hint="cs"/>
          <w:rtl/>
        </w:rPr>
        <w:t>, ש"ך (סקמ"ח).</w:t>
      </w:r>
    </w:p>
  </w:footnote>
  <w:footnote w:id="2519">
    <w:p w14:paraId="573D3BEA" w14:textId="77777777" w:rsidR="004C5A3C" w:rsidRDefault="004C5A3C" w:rsidP="002C39F4">
      <w:pPr>
        <w:pStyle w:val="a5"/>
      </w:pPr>
      <w:r>
        <w:rPr>
          <w:rStyle w:val="a7"/>
        </w:rPr>
        <w:footnoteRef/>
      </w:r>
      <w:r>
        <w:rPr>
          <w:rtl/>
        </w:rPr>
        <w:t xml:space="preserve"> </w:t>
      </w:r>
      <w:r>
        <w:rPr>
          <w:rFonts w:hint="cs"/>
          <w:rtl/>
        </w:rPr>
        <w:t xml:space="preserve">הגה זו כתב הרמ"א ע"פ דברי הב"י בפירוש דברי הטור, והט"ז (סק"ט) חולק על הדין האחרון וכ' </w:t>
      </w:r>
      <w:r>
        <w:rPr>
          <w:rFonts w:cs="Arial" w:hint="cs"/>
          <w:rtl/>
        </w:rPr>
        <w:t>דאין לגזור</w:t>
      </w:r>
      <w:r w:rsidRPr="009E545E">
        <w:rPr>
          <w:rFonts w:cs="Arial"/>
          <w:rtl/>
        </w:rPr>
        <w:t xml:space="preserve"> על שני בני אדם</w:t>
      </w:r>
      <w:r>
        <w:rPr>
          <w:rFonts w:cs="Arial" w:hint="cs"/>
          <w:rtl/>
        </w:rPr>
        <w:t xml:space="preserve"> לאוכלם כולם בפעם אחת, וגם הש"ך (סקמ"ט) כ' שאין דברי הב"י והרמ"א בזה מוכרחים, ומ"מ סיים הט"ז וז"ל- </w:t>
      </w:r>
      <w:r>
        <w:rPr>
          <w:rFonts w:cs="Arial"/>
          <w:rtl/>
        </w:rPr>
        <w:t>כן נ</w:t>
      </w:r>
      <w:r w:rsidRPr="008F19D8">
        <w:rPr>
          <w:rFonts w:cs="Arial"/>
          <w:rtl/>
        </w:rPr>
        <w:t>לע"ד להלכה אבל אין בידי להקל בזה מאחר שכבר פסקו לאיסור בעלי הש</w:t>
      </w:r>
      <w:r>
        <w:rPr>
          <w:rFonts w:cs="Arial" w:hint="cs"/>
          <w:rtl/>
        </w:rPr>
        <w:t>ו</w:t>
      </w:r>
      <w:r w:rsidRPr="008F19D8">
        <w:rPr>
          <w:rFonts w:cs="Arial"/>
          <w:rtl/>
        </w:rPr>
        <w:t>"ע</w:t>
      </w:r>
      <w:r>
        <w:rPr>
          <w:rFonts w:cs="Arial" w:hint="cs"/>
          <w:rtl/>
        </w:rPr>
        <w:t>.</w:t>
      </w:r>
    </w:p>
  </w:footnote>
  <w:footnote w:id="2520">
    <w:p w14:paraId="6330696E" w14:textId="77777777" w:rsidR="004C5A3C" w:rsidRDefault="004C5A3C" w:rsidP="002C39F4">
      <w:pPr>
        <w:pStyle w:val="a5"/>
      </w:pPr>
      <w:r>
        <w:rPr>
          <w:rStyle w:val="a7"/>
        </w:rPr>
        <w:footnoteRef/>
      </w:r>
      <w:r>
        <w:rPr>
          <w:rtl/>
        </w:rPr>
        <w:t xml:space="preserve"> </w:t>
      </w:r>
      <w:r>
        <w:rPr>
          <w:rFonts w:cs="Arial"/>
          <w:rtl/>
        </w:rPr>
        <w:t>פירוש נימא הך דפריש דהיתרא הוא ואיסורא ברובא איתיה בנ"ט הנותרים</w:t>
      </w:r>
      <w:r>
        <w:rPr>
          <w:rFonts w:cs="Arial" w:hint="cs"/>
          <w:rtl/>
        </w:rPr>
        <w:t>, ב"י.</w:t>
      </w:r>
    </w:p>
  </w:footnote>
  <w:footnote w:id="2521">
    <w:p w14:paraId="5349909A" w14:textId="77777777" w:rsidR="004C5A3C" w:rsidRDefault="004C5A3C" w:rsidP="002C39F4">
      <w:pPr>
        <w:pStyle w:val="a5"/>
      </w:pPr>
      <w:r>
        <w:rPr>
          <w:rStyle w:val="a7"/>
        </w:rPr>
        <w:footnoteRef/>
      </w:r>
      <w:r>
        <w:rPr>
          <w:rtl/>
        </w:rPr>
        <w:t xml:space="preserve"> </w:t>
      </w:r>
      <w:r>
        <w:rPr>
          <w:rFonts w:hint="cs"/>
          <w:rtl/>
        </w:rPr>
        <w:t>אפשר לפרש דרב אמר שאם הארבעים נתערבו ברוב אז אינן אוסרות אבל לכשלעצמן אינן מותרות (וכן פירש רש"י</w:t>
      </w:r>
      <w:r>
        <w:rPr>
          <w:rFonts w:hint="cs"/>
          <w:sz w:val="16"/>
          <w:szCs w:val="16"/>
          <w:rtl/>
        </w:rPr>
        <w:t xml:space="preserve"> {כ"כ הב"י בשמו}</w:t>
      </w:r>
      <w:r>
        <w:rPr>
          <w:rFonts w:hint="cs"/>
          <w:rtl/>
        </w:rPr>
        <w:t>), ואפשר לפרש שרב מתיר את הארבעים בפני עצמן, ועיין לקמן בדברי הב"י דכתב דמהרשב"א משמע כפירוש ראשון.</w:t>
      </w:r>
    </w:p>
  </w:footnote>
  <w:footnote w:id="2522">
    <w:p w14:paraId="483D5683" w14:textId="77777777" w:rsidR="004C5A3C" w:rsidRDefault="004C5A3C" w:rsidP="002C39F4">
      <w:pPr>
        <w:pStyle w:val="a5"/>
        <w:rPr>
          <w:rtl/>
        </w:rPr>
      </w:pPr>
      <w:r>
        <w:rPr>
          <w:rStyle w:val="a7"/>
        </w:rPr>
        <w:footnoteRef/>
      </w:r>
      <w:r>
        <w:rPr>
          <w:rtl/>
        </w:rPr>
        <w:t xml:space="preserve"> </w:t>
      </w:r>
      <w:r>
        <w:rPr>
          <w:rFonts w:hint="cs"/>
          <w:rtl/>
        </w:rPr>
        <w:t>כן גורסים רש"י והתוס', וכך היא גיר' הרמב"ם</w:t>
      </w:r>
      <w:r>
        <w:rPr>
          <w:rFonts w:cs="Arial" w:hint="cs"/>
          <w:sz w:val="16"/>
          <w:szCs w:val="16"/>
          <w:rtl/>
        </w:rPr>
        <w:t xml:space="preserve"> </w:t>
      </w:r>
      <w:r w:rsidRPr="008641AA">
        <w:rPr>
          <w:rFonts w:cs="Arial" w:hint="cs"/>
          <w:sz w:val="16"/>
          <w:szCs w:val="16"/>
          <w:rtl/>
        </w:rPr>
        <w:t>(</w:t>
      </w:r>
      <w:r w:rsidRPr="008641AA">
        <w:rPr>
          <w:rFonts w:cs="Arial"/>
          <w:sz w:val="16"/>
          <w:szCs w:val="16"/>
          <w:rtl/>
        </w:rPr>
        <w:t>פ</w:t>
      </w:r>
      <w:r w:rsidRPr="008641AA">
        <w:rPr>
          <w:rFonts w:cs="Arial" w:hint="cs"/>
          <w:sz w:val="16"/>
          <w:szCs w:val="16"/>
          <w:rtl/>
        </w:rPr>
        <w:t>ט</w:t>
      </w:r>
      <w:r>
        <w:rPr>
          <w:rFonts w:cs="Arial"/>
          <w:sz w:val="16"/>
          <w:szCs w:val="16"/>
          <w:rtl/>
        </w:rPr>
        <w:t>"</w:t>
      </w:r>
      <w:r>
        <w:rPr>
          <w:rFonts w:cs="Arial" w:hint="cs"/>
          <w:sz w:val="16"/>
          <w:szCs w:val="16"/>
          <w:rtl/>
        </w:rPr>
        <w:t>ז</w:t>
      </w:r>
      <w:r w:rsidRPr="008641AA">
        <w:rPr>
          <w:rFonts w:cs="Arial"/>
          <w:sz w:val="16"/>
          <w:szCs w:val="16"/>
          <w:rtl/>
        </w:rPr>
        <w:t xml:space="preserve"> ה"י)</w:t>
      </w:r>
      <w:r>
        <w:rPr>
          <w:rFonts w:hint="cs"/>
          <w:rtl/>
        </w:rPr>
        <w:t xml:space="preserve">, אך הרשב"א </w:t>
      </w:r>
      <w:r w:rsidRPr="008641AA">
        <w:rPr>
          <w:rFonts w:cs="Arial"/>
          <w:sz w:val="16"/>
          <w:szCs w:val="16"/>
          <w:rtl/>
        </w:rPr>
        <w:t xml:space="preserve">(תוה"א ב"ד ש"ב כד.) </w:t>
      </w:r>
      <w:r>
        <w:rPr>
          <w:rFonts w:hint="cs"/>
          <w:rtl/>
        </w:rPr>
        <w:t xml:space="preserve"> לא גורס את התיבה "ומריבוא" אלא כך גירסתו- </w:t>
      </w:r>
      <w:r>
        <w:rPr>
          <w:rFonts w:cs="Arial" w:hint="cs"/>
          <w:rtl/>
        </w:rPr>
        <w:t>"</w:t>
      </w:r>
      <w:r>
        <w:rPr>
          <w:rFonts w:cs="Arial"/>
          <w:rtl/>
        </w:rPr>
        <w:t>רבי שמעון אומר לרבוא אסור</w:t>
      </w:r>
      <w:r>
        <w:rPr>
          <w:rFonts w:cs="Arial" w:hint="cs"/>
          <w:rtl/>
        </w:rPr>
        <w:t>,</w:t>
      </w:r>
      <w:r>
        <w:rPr>
          <w:rFonts w:cs="Arial"/>
          <w:rtl/>
        </w:rPr>
        <w:t xml:space="preserve"> לשלש ומשלש למקום אחר מותר</w:t>
      </w:r>
      <w:r>
        <w:rPr>
          <w:rFonts w:cs="Arial" w:hint="cs"/>
          <w:rtl/>
        </w:rPr>
        <w:t>".</w:t>
      </w:r>
      <w:r>
        <w:rPr>
          <w:rFonts w:cs="Arial"/>
          <w:rtl/>
        </w:rPr>
        <w:t xml:space="preserve"> </w:t>
      </w:r>
    </w:p>
  </w:footnote>
  <w:footnote w:id="2523">
    <w:p w14:paraId="742CAF03" w14:textId="77777777" w:rsidR="004C5A3C" w:rsidRDefault="004C5A3C" w:rsidP="002C39F4">
      <w:pPr>
        <w:pStyle w:val="a5"/>
        <w:rPr>
          <w:rtl/>
        </w:rPr>
      </w:pPr>
      <w:r>
        <w:rPr>
          <w:rStyle w:val="a7"/>
        </w:rPr>
        <w:footnoteRef/>
      </w:r>
      <w:r>
        <w:rPr>
          <w:rtl/>
        </w:rPr>
        <w:t xml:space="preserve"> </w:t>
      </w:r>
      <w:r>
        <w:rPr>
          <w:rFonts w:hint="cs"/>
          <w:rtl/>
        </w:rPr>
        <w:t xml:space="preserve">הב"י העתיק עד כאן </w:t>
      </w:r>
      <w:r>
        <w:rPr>
          <w:rtl/>
        </w:rPr>
        <w:t>–</w:t>
      </w:r>
      <w:r>
        <w:rPr>
          <w:rFonts w:hint="cs"/>
          <w:rtl/>
        </w:rPr>
        <w:t xml:space="preserve"> צ"ע למה לא כתב את האב"א.</w:t>
      </w:r>
    </w:p>
  </w:footnote>
  <w:footnote w:id="2524">
    <w:p w14:paraId="7142F49B" w14:textId="77777777" w:rsidR="004C5A3C" w:rsidRDefault="004C5A3C" w:rsidP="002C39F4">
      <w:pPr>
        <w:pStyle w:val="a5"/>
      </w:pPr>
      <w:r>
        <w:rPr>
          <w:rStyle w:val="a7"/>
        </w:rPr>
        <w:footnoteRef/>
      </w:r>
      <w:r>
        <w:rPr>
          <w:rtl/>
        </w:rPr>
        <w:t xml:space="preserve"> </w:t>
      </w:r>
      <w:r w:rsidRPr="005F2E9D">
        <w:rPr>
          <w:rFonts w:cs="Arial"/>
          <w:rtl/>
        </w:rPr>
        <w:t>שמ</w:t>
      </w:r>
      <w:r>
        <w:rPr>
          <w:rFonts w:cs="Arial"/>
          <w:rtl/>
        </w:rPr>
        <w:t>ואל דאמר ספק ספיקא דע</w:t>
      </w:r>
      <w:r>
        <w:rPr>
          <w:rFonts w:cs="Arial" w:hint="cs"/>
          <w:rtl/>
        </w:rPr>
        <w:t>כו"ם</w:t>
      </w:r>
      <w:r w:rsidRPr="005F2E9D">
        <w:rPr>
          <w:rFonts w:cs="Arial"/>
          <w:rtl/>
        </w:rPr>
        <w:t xml:space="preserve"> </w:t>
      </w:r>
      <w:r>
        <w:rPr>
          <w:rFonts w:cs="Arial"/>
          <w:rtl/>
        </w:rPr>
        <w:t>אסור דאמר כר"א דתנן במסכת ע</w:t>
      </w:r>
      <w:r>
        <w:rPr>
          <w:rFonts w:cs="Arial" w:hint="cs"/>
          <w:rtl/>
        </w:rPr>
        <w:t>"</w:t>
      </w:r>
      <w:r w:rsidRPr="005F2E9D">
        <w:rPr>
          <w:rFonts w:cs="Arial"/>
          <w:rtl/>
        </w:rPr>
        <w:t>ז (דף מט:) נטל הימנה עצים אסורין בהנאה הסיק בהן את התנור חדש יותץ ישן יוצן אפה בו את הפת אסורה בהנאה נתערבה באחרות ואחרות באחרות אסורות בהנאה רבי אליעזר אומר יוליך הנאה לים המלח אלמא אית ליה לר' אליעזר ספק ספיקא בעבודת כוכבים מדקתני ואחרות באחרות, ל"א סבר כר"א אר"ש קאי דאמר מריבוא לג' ותריצנא מאי שלשה דקתני תרי והוא ואי בעית אימא ג' דוקא ודקאמרינן תיסגי בתרי סבר לה כר' אלעזר דאמר לא התיר ר"א אלא שנים שנים הלכך בעינא דלהוו ד' דלישקלינהו שנים שנים וראשון ישר בעיני</w:t>
      </w:r>
      <w:r>
        <w:rPr>
          <w:rFonts w:cs="Arial" w:hint="cs"/>
          <w:rtl/>
        </w:rPr>
        <w:t>, רש"י</w:t>
      </w:r>
      <w:r w:rsidRPr="005F2E9D">
        <w:rPr>
          <w:rFonts w:cs="Arial"/>
          <w:rtl/>
        </w:rPr>
        <w:t>.</w:t>
      </w:r>
    </w:p>
  </w:footnote>
  <w:footnote w:id="2525">
    <w:p w14:paraId="30AEDB84" w14:textId="77777777" w:rsidR="004C5A3C" w:rsidRPr="00A826CA" w:rsidRDefault="004C5A3C" w:rsidP="002C39F4">
      <w:pPr>
        <w:pStyle w:val="a5"/>
        <w:rPr>
          <w:rtl/>
        </w:rPr>
      </w:pPr>
      <w:r w:rsidRPr="00A826CA">
        <w:rPr>
          <w:rStyle w:val="a7"/>
        </w:rPr>
        <w:footnoteRef/>
      </w:r>
      <w:r w:rsidRPr="00A826CA">
        <w:rPr>
          <w:rtl/>
        </w:rPr>
        <w:t xml:space="preserve"> </w:t>
      </w:r>
      <w:r w:rsidRPr="00A826CA">
        <w:rPr>
          <w:rFonts w:hint="cs"/>
          <w:rtl/>
        </w:rPr>
        <w:t>עיין בסמוך שלדעת רש"י לא רק האחרים מותרים משום ס"ס אלא אף האמצעים (היינו התערובת הב') מותרים.</w:t>
      </w:r>
    </w:p>
  </w:footnote>
  <w:footnote w:id="2526">
    <w:p w14:paraId="3F281E83" w14:textId="77777777" w:rsidR="004C5A3C" w:rsidRPr="00A826CA" w:rsidRDefault="004C5A3C" w:rsidP="002C39F4">
      <w:pPr>
        <w:pStyle w:val="a5"/>
        <w:rPr>
          <w:rtl/>
        </w:rPr>
      </w:pPr>
      <w:r w:rsidRPr="00A826CA">
        <w:rPr>
          <w:rStyle w:val="a7"/>
        </w:rPr>
        <w:footnoteRef/>
      </w:r>
      <w:r w:rsidRPr="00A826CA">
        <w:rPr>
          <w:rtl/>
        </w:rPr>
        <w:t xml:space="preserve"> </w:t>
      </w:r>
      <w:r>
        <w:rPr>
          <w:rFonts w:cs="Arial" w:hint="cs"/>
          <w:rtl/>
        </w:rPr>
        <w:t xml:space="preserve">הב"י כ' שדעת התוס' </w:t>
      </w:r>
      <w:r w:rsidRPr="0005519B">
        <w:rPr>
          <w:rFonts w:cs="Arial"/>
          <w:sz w:val="16"/>
          <w:szCs w:val="16"/>
          <w:rtl/>
        </w:rPr>
        <w:t>(זבחים עד: ד"ה ואי בעית אימא)</w:t>
      </w:r>
      <w:r w:rsidRPr="0005519B">
        <w:rPr>
          <w:rFonts w:cs="Arial" w:hint="cs"/>
          <w:sz w:val="16"/>
          <w:szCs w:val="16"/>
          <w:rtl/>
        </w:rPr>
        <w:t xml:space="preserve"> </w:t>
      </w:r>
      <w:r>
        <w:rPr>
          <w:rFonts w:cs="Arial" w:hint="cs"/>
          <w:rtl/>
        </w:rPr>
        <w:t xml:space="preserve">כדעת הרמב"ם, אך בדברי התוס' </w:t>
      </w:r>
      <w:r w:rsidRPr="0005519B">
        <w:rPr>
          <w:rFonts w:cs="Arial" w:hint="cs"/>
          <w:sz w:val="16"/>
          <w:szCs w:val="16"/>
          <w:rtl/>
        </w:rPr>
        <w:t xml:space="preserve">(בזבחים עד. ד"ה פירש) </w:t>
      </w:r>
      <w:r>
        <w:rPr>
          <w:rFonts w:cs="Arial" w:hint="cs"/>
          <w:rtl/>
        </w:rPr>
        <w:t xml:space="preserve">מוכח להדיא דסברי כהרשב"א, וכן העירו הש"ך (סק"נ) והגר"א (סקכ"ט) על דברי הב"י. וכ' הש"ך על דברי הב"י, וז"ל- </w:t>
      </w:r>
      <w:r w:rsidRPr="00A826CA">
        <w:rPr>
          <w:rFonts w:cs="Arial"/>
          <w:rtl/>
        </w:rPr>
        <w:t>לטעמיה אזיל שכתב בספרו ב"י שכן הוא גירסת רש"י ותוס' והרמב"ם אבל לא שת לבו לעיין היטב בתוס' ופוסקים שאע"פ שהם גורסים כגי' הרמב"ם מרבוא ומשלש למקום אחר מותרים הא כתבו התוספות</w:t>
      </w:r>
      <w:r>
        <w:rPr>
          <w:rFonts w:cs="Arial" w:hint="cs"/>
          <w:rtl/>
        </w:rPr>
        <w:t>...</w:t>
      </w:r>
      <w:r w:rsidRPr="00A826CA">
        <w:rPr>
          <w:rFonts w:cs="Arial"/>
          <w:rtl/>
        </w:rPr>
        <w:t xml:space="preserve"> מרבוא לג' ומג' למקום אחר אסור ליהנות מג' הראשון בבת אחת ומן השנ</w:t>
      </w:r>
      <w:r>
        <w:rPr>
          <w:rFonts w:cs="Arial" w:hint="cs"/>
          <w:rtl/>
        </w:rPr>
        <w:t>י</w:t>
      </w:r>
      <w:r w:rsidRPr="00A826CA">
        <w:rPr>
          <w:rFonts w:cs="Arial"/>
          <w:rtl/>
        </w:rPr>
        <w:t>ים שר</w:t>
      </w:r>
      <w:r>
        <w:rPr>
          <w:rFonts w:cs="Arial" w:hint="cs"/>
          <w:rtl/>
        </w:rPr>
        <w:t xml:space="preserve">י... </w:t>
      </w:r>
      <w:r w:rsidRPr="00A826CA">
        <w:rPr>
          <w:rFonts w:cs="Arial"/>
          <w:rtl/>
        </w:rPr>
        <w:t xml:space="preserve">עכ"ל </w:t>
      </w:r>
      <w:r w:rsidRPr="0005519B">
        <w:rPr>
          <w:rFonts w:cs="Arial" w:hint="cs"/>
          <w:sz w:val="16"/>
          <w:szCs w:val="16"/>
          <w:rtl/>
        </w:rPr>
        <w:t>(</w:t>
      </w:r>
      <w:r w:rsidRPr="0005519B">
        <w:rPr>
          <w:rFonts w:cs="Arial"/>
          <w:sz w:val="16"/>
          <w:szCs w:val="16"/>
          <w:rtl/>
        </w:rPr>
        <w:t>וכ"כ הרא"ש פג"ה (סי' לז) ומביאו ב"י בסי' קצט בשם ר"י</w:t>
      </w:r>
      <w:r>
        <w:rPr>
          <w:rFonts w:cs="Arial" w:hint="cs"/>
          <w:sz w:val="16"/>
          <w:szCs w:val="16"/>
          <w:rtl/>
        </w:rPr>
        <w:t>,</w:t>
      </w:r>
      <w:r w:rsidRPr="0005519B">
        <w:rPr>
          <w:rFonts w:cs="Arial"/>
          <w:sz w:val="16"/>
          <w:szCs w:val="16"/>
          <w:rtl/>
        </w:rPr>
        <w:t xml:space="preserve"> וכ</w:t>
      </w:r>
      <w:r>
        <w:rPr>
          <w:rFonts w:cs="Arial" w:hint="cs"/>
          <w:sz w:val="16"/>
          <w:szCs w:val="16"/>
          <w:rtl/>
        </w:rPr>
        <w:t xml:space="preserve">"ה בתשו' </w:t>
      </w:r>
      <w:r w:rsidRPr="0005519B">
        <w:rPr>
          <w:rFonts w:cs="Arial"/>
          <w:sz w:val="16"/>
          <w:szCs w:val="16"/>
          <w:rtl/>
        </w:rPr>
        <w:t xml:space="preserve">הרשב"א </w:t>
      </w:r>
      <w:r>
        <w:rPr>
          <w:rFonts w:cs="Arial" w:hint="cs"/>
          <w:sz w:val="16"/>
          <w:szCs w:val="16"/>
          <w:rtl/>
        </w:rPr>
        <w:t>(</w:t>
      </w:r>
      <w:r w:rsidRPr="0005519B">
        <w:rPr>
          <w:rFonts w:cs="Arial"/>
          <w:sz w:val="16"/>
          <w:szCs w:val="16"/>
          <w:rtl/>
        </w:rPr>
        <w:t>סי' תשל</w:t>
      </w:r>
      <w:r>
        <w:rPr>
          <w:rFonts w:cs="Arial" w:hint="cs"/>
          <w:sz w:val="16"/>
          <w:szCs w:val="16"/>
          <w:rtl/>
        </w:rPr>
        <w:t>)</w:t>
      </w:r>
      <w:r w:rsidRPr="0005519B">
        <w:rPr>
          <w:rFonts w:cs="Arial"/>
          <w:sz w:val="16"/>
          <w:szCs w:val="16"/>
          <w:rtl/>
        </w:rPr>
        <w:t xml:space="preserve"> בשם מהר"ם מרוטנבורק ממש כדברי התוס</w:t>
      </w:r>
      <w:r>
        <w:rPr>
          <w:rFonts w:cs="Arial" w:hint="cs"/>
          <w:sz w:val="16"/>
          <w:szCs w:val="16"/>
          <w:rtl/>
        </w:rPr>
        <w:t>'</w:t>
      </w:r>
      <w:r w:rsidRPr="0005519B">
        <w:rPr>
          <w:rFonts w:cs="Arial"/>
          <w:sz w:val="16"/>
          <w:szCs w:val="16"/>
          <w:rtl/>
        </w:rPr>
        <w:t xml:space="preserve"> הנ"ל</w:t>
      </w:r>
      <w:r>
        <w:rPr>
          <w:rFonts w:cs="Arial" w:hint="cs"/>
          <w:sz w:val="16"/>
          <w:szCs w:val="16"/>
          <w:rtl/>
        </w:rPr>
        <w:t>,</w:t>
      </w:r>
      <w:r w:rsidRPr="0005519B">
        <w:rPr>
          <w:rFonts w:cs="Arial"/>
          <w:sz w:val="16"/>
          <w:szCs w:val="16"/>
          <w:rtl/>
        </w:rPr>
        <w:t xml:space="preserve"> וכ</w:t>
      </w:r>
      <w:r>
        <w:rPr>
          <w:rFonts w:cs="Arial" w:hint="cs"/>
          <w:sz w:val="16"/>
          <w:szCs w:val="16"/>
          <w:rtl/>
        </w:rPr>
        <w:t>"פ</w:t>
      </w:r>
      <w:r w:rsidRPr="0005519B">
        <w:rPr>
          <w:rFonts w:cs="Arial"/>
          <w:sz w:val="16"/>
          <w:szCs w:val="16"/>
          <w:rtl/>
        </w:rPr>
        <w:t xml:space="preserve"> כל הפוסקים דתערובות השני מותר הלא המה התוס' בדוכתי טובי והרא"ש ומהר"מ הנ"ל והרשב"א והטור והר"ן </w:t>
      </w:r>
      <w:r>
        <w:rPr>
          <w:rFonts w:cs="Arial" w:hint="cs"/>
          <w:sz w:val="16"/>
          <w:szCs w:val="16"/>
          <w:rtl/>
        </w:rPr>
        <w:t>(</w:t>
      </w:r>
      <w:r w:rsidRPr="0005519B">
        <w:rPr>
          <w:rFonts w:cs="Arial"/>
          <w:sz w:val="16"/>
          <w:szCs w:val="16"/>
          <w:rtl/>
        </w:rPr>
        <w:t>בפ</w:t>
      </w:r>
      <w:r>
        <w:rPr>
          <w:rFonts w:cs="Arial" w:hint="cs"/>
          <w:sz w:val="16"/>
          <w:szCs w:val="16"/>
          <w:rtl/>
        </w:rPr>
        <w:t>כה"צ</w:t>
      </w:r>
      <w:r w:rsidRPr="0005519B">
        <w:rPr>
          <w:rFonts w:cs="Arial"/>
          <w:sz w:val="16"/>
          <w:szCs w:val="16"/>
          <w:rtl/>
        </w:rPr>
        <w:t xml:space="preserve"> במתני' דנטל הימנה עצים</w:t>
      </w:r>
      <w:r>
        <w:rPr>
          <w:rFonts w:cs="Arial" w:hint="cs"/>
          <w:sz w:val="16"/>
          <w:szCs w:val="16"/>
          <w:rtl/>
        </w:rPr>
        <w:t>)</w:t>
      </w:r>
      <w:r w:rsidRPr="0005519B">
        <w:rPr>
          <w:rFonts w:cs="Arial"/>
          <w:sz w:val="16"/>
          <w:szCs w:val="16"/>
          <w:rtl/>
        </w:rPr>
        <w:t xml:space="preserve"> והנ</w:t>
      </w:r>
      <w:r>
        <w:rPr>
          <w:rFonts w:cs="Arial" w:hint="cs"/>
          <w:sz w:val="16"/>
          <w:szCs w:val="16"/>
          <w:rtl/>
        </w:rPr>
        <w:t>מוק</w:t>
      </w:r>
      <w:r w:rsidRPr="0005519B">
        <w:rPr>
          <w:rFonts w:cs="Arial"/>
          <w:sz w:val="16"/>
          <w:szCs w:val="16"/>
          <w:rtl/>
        </w:rPr>
        <w:t xml:space="preserve">"י פרק הערל וכ"כ הסה"ת וסמ"ג </w:t>
      </w:r>
      <w:r>
        <w:rPr>
          <w:rFonts w:cs="Arial" w:hint="cs"/>
          <w:sz w:val="16"/>
          <w:szCs w:val="16"/>
          <w:rtl/>
        </w:rPr>
        <w:t>(</w:t>
      </w:r>
      <w:r w:rsidRPr="0005519B">
        <w:rPr>
          <w:rFonts w:cs="Arial"/>
          <w:sz w:val="16"/>
          <w:szCs w:val="16"/>
          <w:rtl/>
        </w:rPr>
        <w:t>לאוין קמא דף כב ע</w:t>
      </w:r>
      <w:r>
        <w:rPr>
          <w:rFonts w:cs="Arial" w:hint="cs"/>
          <w:sz w:val="16"/>
          <w:szCs w:val="16"/>
          <w:rtl/>
        </w:rPr>
        <w:t>"</w:t>
      </w:r>
      <w:r w:rsidRPr="0005519B">
        <w:rPr>
          <w:rFonts w:cs="Arial"/>
          <w:sz w:val="16"/>
          <w:szCs w:val="16"/>
          <w:rtl/>
        </w:rPr>
        <w:t>ד</w:t>
      </w:r>
      <w:r>
        <w:rPr>
          <w:rFonts w:cs="Arial" w:hint="cs"/>
          <w:sz w:val="16"/>
          <w:szCs w:val="16"/>
          <w:rtl/>
        </w:rPr>
        <w:t>)</w:t>
      </w:r>
      <w:r w:rsidRPr="0005519B">
        <w:rPr>
          <w:rFonts w:cs="Arial"/>
          <w:sz w:val="16"/>
          <w:szCs w:val="16"/>
          <w:rtl/>
        </w:rPr>
        <w:t xml:space="preserve"> והאגודה </w:t>
      </w:r>
      <w:r>
        <w:rPr>
          <w:rFonts w:cs="Arial" w:hint="cs"/>
          <w:sz w:val="16"/>
          <w:szCs w:val="16"/>
          <w:rtl/>
        </w:rPr>
        <w:t>(</w:t>
      </w:r>
      <w:r w:rsidRPr="0005519B">
        <w:rPr>
          <w:rFonts w:cs="Arial"/>
          <w:sz w:val="16"/>
          <w:szCs w:val="16"/>
          <w:rtl/>
        </w:rPr>
        <w:t>רפ"ק דביצה סי' ו</w:t>
      </w:r>
      <w:r>
        <w:rPr>
          <w:rFonts w:cs="Arial" w:hint="cs"/>
          <w:sz w:val="16"/>
          <w:szCs w:val="16"/>
          <w:rtl/>
        </w:rPr>
        <w:t>)</w:t>
      </w:r>
      <w:r w:rsidRPr="0005519B">
        <w:rPr>
          <w:rFonts w:cs="Arial"/>
          <w:sz w:val="16"/>
          <w:szCs w:val="16"/>
          <w:rtl/>
        </w:rPr>
        <w:t xml:space="preserve"> והמרדכי </w:t>
      </w:r>
      <w:r>
        <w:rPr>
          <w:rFonts w:cs="Arial" w:hint="cs"/>
          <w:sz w:val="16"/>
          <w:szCs w:val="16"/>
          <w:rtl/>
        </w:rPr>
        <w:t>(</w:t>
      </w:r>
      <w:r w:rsidRPr="0005519B">
        <w:rPr>
          <w:rFonts w:cs="Arial"/>
          <w:sz w:val="16"/>
          <w:szCs w:val="16"/>
          <w:rtl/>
        </w:rPr>
        <w:t>ספ</w:t>
      </w:r>
      <w:r>
        <w:rPr>
          <w:rFonts w:cs="Arial" w:hint="cs"/>
          <w:sz w:val="16"/>
          <w:szCs w:val="16"/>
          <w:rtl/>
        </w:rPr>
        <w:t>כה"צ)</w:t>
      </w:r>
      <w:r w:rsidRPr="0005519B">
        <w:rPr>
          <w:rFonts w:cs="Arial"/>
          <w:sz w:val="16"/>
          <w:szCs w:val="16"/>
          <w:rtl/>
        </w:rPr>
        <w:t xml:space="preserve"> והגש</w:t>
      </w:r>
      <w:r>
        <w:rPr>
          <w:rFonts w:cs="Arial" w:hint="cs"/>
          <w:sz w:val="16"/>
          <w:szCs w:val="16"/>
          <w:rtl/>
        </w:rPr>
        <w:t>ע</w:t>
      </w:r>
      <w:r w:rsidRPr="0005519B">
        <w:rPr>
          <w:rFonts w:cs="Arial"/>
          <w:sz w:val="16"/>
          <w:szCs w:val="16"/>
          <w:rtl/>
        </w:rPr>
        <w:t xml:space="preserve">"ד </w:t>
      </w:r>
      <w:r>
        <w:rPr>
          <w:rFonts w:cs="Arial" w:hint="cs"/>
          <w:sz w:val="16"/>
          <w:szCs w:val="16"/>
          <w:rtl/>
        </w:rPr>
        <w:t>(</w:t>
      </w:r>
      <w:r w:rsidRPr="0005519B">
        <w:rPr>
          <w:rFonts w:cs="Arial"/>
          <w:sz w:val="16"/>
          <w:szCs w:val="16"/>
          <w:rtl/>
        </w:rPr>
        <w:t>סי' מה</w:t>
      </w:r>
      <w:r>
        <w:rPr>
          <w:rFonts w:cs="Arial" w:hint="cs"/>
          <w:sz w:val="16"/>
          <w:szCs w:val="16"/>
          <w:rtl/>
        </w:rPr>
        <w:t>)</w:t>
      </w:r>
      <w:r w:rsidRPr="0005519B">
        <w:rPr>
          <w:rFonts w:cs="Arial"/>
          <w:sz w:val="16"/>
          <w:szCs w:val="16"/>
          <w:rtl/>
        </w:rPr>
        <w:t xml:space="preserve"> וכ"פ האו"ה </w:t>
      </w:r>
      <w:r>
        <w:rPr>
          <w:rFonts w:cs="Arial" w:hint="cs"/>
          <w:sz w:val="16"/>
          <w:szCs w:val="16"/>
          <w:rtl/>
        </w:rPr>
        <w:t>(</w:t>
      </w:r>
      <w:r w:rsidRPr="0005519B">
        <w:rPr>
          <w:rFonts w:cs="Arial"/>
          <w:sz w:val="16"/>
          <w:szCs w:val="16"/>
          <w:rtl/>
        </w:rPr>
        <w:t>כלל כז די"א</w:t>
      </w:r>
      <w:r>
        <w:rPr>
          <w:rFonts w:cs="Arial" w:hint="cs"/>
          <w:sz w:val="16"/>
          <w:szCs w:val="16"/>
          <w:rtl/>
        </w:rPr>
        <w:t>,</w:t>
      </w:r>
      <w:r w:rsidRPr="0005519B">
        <w:rPr>
          <w:rFonts w:cs="Arial"/>
          <w:sz w:val="16"/>
          <w:szCs w:val="16"/>
          <w:rtl/>
        </w:rPr>
        <w:t xml:space="preserve"> דלא כהרב בד"מ ובת"ח עיין מ"ש בזה בשם או"ה) וכ"פ מהרש"ל </w:t>
      </w:r>
      <w:r>
        <w:rPr>
          <w:rFonts w:cs="Arial" w:hint="cs"/>
          <w:sz w:val="16"/>
          <w:szCs w:val="16"/>
          <w:rtl/>
        </w:rPr>
        <w:t>(</w:t>
      </w:r>
      <w:r w:rsidRPr="0005519B">
        <w:rPr>
          <w:rFonts w:cs="Arial"/>
          <w:sz w:val="16"/>
          <w:szCs w:val="16"/>
          <w:rtl/>
        </w:rPr>
        <w:t>פג"ה סי</w:t>
      </w:r>
      <w:r>
        <w:rPr>
          <w:rFonts w:cs="Arial" w:hint="cs"/>
          <w:sz w:val="16"/>
          <w:szCs w:val="16"/>
          <w:rtl/>
        </w:rPr>
        <w:t>'</w:t>
      </w:r>
      <w:r w:rsidRPr="0005519B">
        <w:rPr>
          <w:rFonts w:cs="Arial"/>
          <w:sz w:val="16"/>
          <w:szCs w:val="16"/>
          <w:rtl/>
        </w:rPr>
        <w:t xml:space="preserve"> נה</w:t>
      </w:r>
      <w:r>
        <w:rPr>
          <w:rFonts w:cs="Arial" w:hint="cs"/>
          <w:sz w:val="16"/>
          <w:szCs w:val="16"/>
          <w:rtl/>
        </w:rPr>
        <w:t>)</w:t>
      </w:r>
      <w:r w:rsidRPr="0005519B">
        <w:rPr>
          <w:rFonts w:cs="Arial"/>
          <w:sz w:val="16"/>
          <w:szCs w:val="16"/>
          <w:rtl/>
        </w:rPr>
        <w:t xml:space="preserve"> וכ"פ העט"ז</w:t>
      </w:r>
      <w:r>
        <w:rPr>
          <w:rFonts w:cs="Arial" w:hint="cs"/>
          <w:sz w:val="16"/>
          <w:szCs w:val="16"/>
          <w:rtl/>
        </w:rPr>
        <w:t xml:space="preserve">. </w:t>
      </w:r>
      <w:r w:rsidRPr="0005519B">
        <w:rPr>
          <w:rFonts w:cs="Arial"/>
          <w:sz w:val="16"/>
          <w:szCs w:val="16"/>
          <w:rtl/>
        </w:rPr>
        <w:t>וכתבו האו"ה ומהרש"ל והעט"ז דאסור לאכלן כולן בבת אחת ופשוט הוא דאם אוכל כולן כאחד ליכא ס"ס וכן נתבאר בדברי התוס' ומהר"מ והרא"ש דלעיל)</w:t>
      </w:r>
      <w:r>
        <w:rPr>
          <w:rFonts w:cs="Arial" w:hint="cs"/>
          <w:rtl/>
        </w:rPr>
        <w:t xml:space="preserve">... </w:t>
      </w:r>
      <w:r w:rsidRPr="00A826CA">
        <w:rPr>
          <w:rFonts w:cs="Arial"/>
          <w:rtl/>
        </w:rPr>
        <w:t>הלכך נראה דבהפסד מרובה וכהאי גוונא ודאי שרי התערובות הב' כשאינו אוכלו כולו כאחד</w:t>
      </w:r>
      <w:r>
        <w:rPr>
          <w:rFonts w:cs="Arial" w:hint="cs"/>
          <w:rtl/>
        </w:rPr>
        <w:t>, ש"ך (סק"נ).</w:t>
      </w:r>
    </w:p>
  </w:footnote>
  <w:footnote w:id="2527">
    <w:p w14:paraId="01274CFA" w14:textId="77777777" w:rsidR="004C5A3C" w:rsidRDefault="004C5A3C" w:rsidP="002C39F4">
      <w:pPr>
        <w:pStyle w:val="a5"/>
        <w:rPr>
          <w:rtl/>
        </w:rPr>
      </w:pPr>
      <w:r>
        <w:rPr>
          <w:rStyle w:val="a7"/>
        </w:rPr>
        <w:footnoteRef/>
      </w:r>
      <w:r>
        <w:rPr>
          <w:rtl/>
        </w:rPr>
        <w:t xml:space="preserve"> </w:t>
      </w:r>
      <w:r w:rsidRPr="00CA4AF5">
        <w:rPr>
          <w:rFonts w:cs="Arial"/>
          <w:rtl/>
        </w:rPr>
        <w:t xml:space="preserve">דיש חילוק בין </w:t>
      </w:r>
      <w:r w:rsidRPr="00A826CA">
        <w:rPr>
          <w:rFonts w:cs="Arial" w:hint="cs"/>
          <w:rtl/>
        </w:rPr>
        <w:t>תערובת</w:t>
      </w:r>
      <w:r w:rsidRPr="00CA4AF5">
        <w:rPr>
          <w:rFonts w:cs="Arial"/>
          <w:rtl/>
        </w:rPr>
        <w:t xml:space="preserve"> ראשון </w:t>
      </w:r>
      <w:r>
        <w:rPr>
          <w:rFonts w:cs="Arial" w:hint="cs"/>
          <w:rtl/>
        </w:rPr>
        <w:t>ל</w:t>
      </w:r>
      <w:r w:rsidRPr="00A826CA">
        <w:rPr>
          <w:rFonts w:cs="Arial" w:hint="cs"/>
          <w:rtl/>
        </w:rPr>
        <w:t>תערובת</w:t>
      </w:r>
      <w:r w:rsidRPr="00CA4AF5">
        <w:rPr>
          <w:rFonts w:cs="Arial"/>
          <w:rtl/>
        </w:rPr>
        <w:t xml:space="preserve"> שני</w:t>
      </w:r>
      <w:r>
        <w:rPr>
          <w:rFonts w:cs="Arial" w:hint="cs"/>
          <w:rtl/>
        </w:rPr>
        <w:t>,</w:t>
      </w:r>
      <w:r w:rsidRPr="00CA4AF5">
        <w:rPr>
          <w:rFonts w:cs="Arial"/>
          <w:rtl/>
        </w:rPr>
        <w:t xml:space="preserve"> </w:t>
      </w:r>
      <w:r>
        <w:rPr>
          <w:rFonts w:cs="Arial" w:hint="cs"/>
          <w:rtl/>
        </w:rPr>
        <w:t>ד</w:t>
      </w:r>
      <w:r w:rsidRPr="00A826CA">
        <w:rPr>
          <w:rFonts w:cs="Arial" w:hint="cs"/>
          <w:rtl/>
        </w:rPr>
        <w:t>תערובת</w:t>
      </w:r>
      <w:r w:rsidRPr="00CA4AF5">
        <w:rPr>
          <w:rFonts w:cs="Arial"/>
          <w:rtl/>
        </w:rPr>
        <w:t xml:space="preserve"> ראשון אי מתהני מכולהו בבת אחת</w:t>
      </w:r>
      <w:r>
        <w:rPr>
          <w:rFonts w:cs="Arial" w:hint="cs"/>
          <w:rtl/>
        </w:rPr>
        <w:t>,</w:t>
      </w:r>
      <w:r w:rsidRPr="00CA4AF5">
        <w:rPr>
          <w:rFonts w:cs="Arial"/>
          <w:rtl/>
        </w:rPr>
        <w:t xml:space="preserve"> אסור</w:t>
      </w:r>
      <w:r>
        <w:rPr>
          <w:rFonts w:cs="Arial" w:hint="cs"/>
          <w:rtl/>
        </w:rPr>
        <w:t>,</w:t>
      </w:r>
      <w:r w:rsidRPr="00CA4AF5">
        <w:rPr>
          <w:rFonts w:cs="Arial"/>
          <w:rtl/>
        </w:rPr>
        <w:t xml:space="preserve"> דקמתהני בחדא ספיקא כיון דבבת אחת מתהני</w:t>
      </w:r>
      <w:r>
        <w:rPr>
          <w:rFonts w:cs="Arial" w:hint="cs"/>
          <w:rtl/>
        </w:rPr>
        <w:t>,</w:t>
      </w:r>
      <w:r w:rsidRPr="00CA4AF5">
        <w:rPr>
          <w:rFonts w:cs="Arial"/>
          <w:rtl/>
        </w:rPr>
        <w:t xml:space="preserve"> אבל </w:t>
      </w:r>
      <w:r w:rsidRPr="00A826CA">
        <w:rPr>
          <w:rFonts w:cs="Arial" w:hint="cs"/>
          <w:rtl/>
        </w:rPr>
        <w:t>תערובת</w:t>
      </w:r>
      <w:r w:rsidRPr="00CA4AF5">
        <w:rPr>
          <w:rFonts w:cs="Arial"/>
          <w:rtl/>
        </w:rPr>
        <w:t xml:space="preserve"> שני אפילו נהנה מכולם בבת א' ספק ספיקא הוא ושרי</w:t>
      </w:r>
      <w:r>
        <w:rPr>
          <w:rFonts w:hint="cs"/>
          <w:rtl/>
        </w:rPr>
        <w:t>, ע"פ תוס'.</w:t>
      </w:r>
    </w:p>
  </w:footnote>
  <w:footnote w:id="2528">
    <w:p w14:paraId="5BC0CDF0" w14:textId="77777777" w:rsidR="004C5A3C" w:rsidRDefault="004C5A3C" w:rsidP="002C39F4">
      <w:pPr>
        <w:pStyle w:val="a5"/>
      </w:pPr>
      <w:r w:rsidRPr="00A826CA">
        <w:rPr>
          <w:rStyle w:val="a7"/>
        </w:rPr>
        <w:footnoteRef/>
      </w:r>
      <w:r w:rsidRPr="00A826CA">
        <w:rPr>
          <w:rtl/>
        </w:rPr>
        <w:t xml:space="preserve"> </w:t>
      </w:r>
      <w:r>
        <w:rPr>
          <w:rFonts w:hint="cs"/>
          <w:rtl/>
        </w:rPr>
        <w:t>הש"ך (סקנ"ג) חולק על דברי הרמ</w:t>
      </w:r>
      <w:r>
        <w:rPr>
          <w:rtl/>
        </w:rPr>
        <w:t>"</w:t>
      </w:r>
      <w:r>
        <w:rPr>
          <w:rFonts w:hint="cs"/>
          <w:rtl/>
        </w:rPr>
        <w:t xml:space="preserve">א מכל וכל, מכיון </w:t>
      </w:r>
      <w:r>
        <w:rPr>
          <w:rFonts w:cs="Arial" w:hint="cs"/>
          <w:rtl/>
        </w:rPr>
        <w:t>דה</w:t>
      </w:r>
      <w:r w:rsidRPr="00BB32B0">
        <w:rPr>
          <w:rFonts w:cs="Arial"/>
          <w:rtl/>
        </w:rPr>
        <w:t>ב"י לא קאי אלא אמאי דפירש רש"י בדברי רב דהמעוטים שפירשו בתערובות ב' מותר מטעם ס"ס</w:t>
      </w:r>
      <w:r>
        <w:rPr>
          <w:rFonts w:cs="Arial" w:hint="cs"/>
          <w:rtl/>
        </w:rPr>
        <w:t>,</w:t>
      </w:r>
      <w:r w:rsidRPr="00BB32B0">
        <w:rPr>
          <w:rFonts w:cs="Arial"/>
          <w:rtl/>
        </w:rPr>
        <w:t xml:space="preserve"> דבתערובות ב' ודאי ליכא ס"ס כשאוכלן כולן כאחד </w:t>
      </w:r>
      <w:r>
        <w:rPr>
          <w:rFonts w:cs="Arial" w:hint="cs"/>
          <w:sz w:val="16"/>
          <w:szCs w:val="16"/>
          <w:rtl/>
        </w:rPr>
        <w:t>(</w:t>
      </w:r>
      <w:r w:rsidRPr="00BB32B0">
        <w:rPr>
          <w:rFonts w:cs="Arial"/>
          <w:sz w:val="16"/>
          <w:szCs w:val="16"/>
          <w:rtl/>
        </w:rPr>
        <w:t>והיינו דכתב הב"י ומשמע מדברי רש"י דהא דשרינן בנתערבו המעוטים כו'</w:t>
      </w:r>
      <w:r w:rsidRPr="00BB32B0">
        <w:rPr>
          <w:rFonts w:cs="Arial" w:hint="cs"/>
          <w:sz w:val="16"/>
          <w:szCs w:val="16"/>
          <w:rtl/>
        </w:rPr>
        <w:t>,</w:t>
      </w:r>
      <w:r w:rsidRPr="00BB32B0">
        <w:rPr>
          <w:rFonts w:cs="Arial"/>
          <w:sz w:val="16"/>
          <w:szCs w:val="16"/>
          <w:rtl/>
        </w:rPr>
        <w:t xml:space="preserve"> ואי הוי קא אברייתא דג' תערובות הל"ל ומשמע מדברי רש"י דהא דשרי פירש א' מ</w:t>
      </w:r>
      <w:r>
        <w:rPr>
          <w:rFonts w:cs="Arial"/>
          <w:sz w:val="16"/>
          <w:szCs w:val="16"/>
          <w:rtl/>
        </w:rPr>
        <w:t>הן לרבוא ומרבוא לג' כו' ע"ש</w:t>
      </w:r>
      <w:r w:rsidRPr="00BB32B0">
        <w:rPr>
          <w:rFonts w:cs="Arial" w:hint="cs"/>
          <w:sz w:val="16"/>
          <w:szCs w:val="16"/>
          <w:rtl/>
        </w:rPr>
        <w:t>)</w:t>
      </w:r>
      <w:r>
        <w:rPr>
          <w:rFonts w:cs="Arial" w:hint="cs"/>
          <w:rtl/>
        </w:rPr>
        <w:t xml:space="preserve">, </w:t>
      </w:r>
      <w:r w:rsidRPr="00BB32B0">
        <w:rPr>
          <w:rFonts w:cs="Arial"/>
          <w:rtl/>
        </w:rPr>
        <w:t>אבל התערובות הג' ודאי דמותר לאכלו כולו כא' דהא איכא שפיר ס"ס</w:t>
      </w:r>
      <w:r>
        <w:rPr>
          <w:rFonts w:cs="Arial" w:hint="cs"/>
          <w:rtl/>
        </w:rPr>
        <w:t>,</w:t>
      </w:r>
      <w:r w:rsidRPr="00BB32B0">
        <w:rPr>
          <w:rFonts w:cs="Arial"/>
          <w:rtl/>
        </w:rPr>
        <w:t xml:space="preserve"> ספק אם היה האיסור בתערובות הב' ואת"ל היה שמא לא נפל לתערובות הג' </w:t>
      </w:r>
      <w:r>
        <w:rPr>
          <w:rFonts w:cs="Arial" w:hint="cs"/>
          <w:sz w:val="16"/>
          <w:szCs w:val="16"/>
          <w:rtl/>
        </w:rPr>
        <w:t>(</w:t>
      </w:r>
      <w:r w:rsidRPr="00AC5FBD">
        <w:rPr>
          <w:rFonts w:cs="Arial"/>
          <w:sz w:val="16"/>
          <w:szCs w:val="16"/>
          <w:rtl/>
        </w:rPr>
        <w:t xml:space="preserve">וכ"כ התוס' </w:t>
      </w:r>
      <w:r w:rsidRPr="00AC5FBD">
        <w:rPr>
          <w:rFonts w:cs="Arial" w:hint="cs"/>
          <w:sz w:val="16"/>
          <w:szCs w:val="16"/>
          <w:rtl/>
        </w:rPr>
        <w:t>(</w:t>
      </w:r>
      <w:r w:rsidRPr="00AC5FBD">
        <w:rPr>
          <w:rFonts w:cs="Arial"/>
          <w:sz w:val="16"/>
          <w:szCs w:val="16"/>
          <w:rtl/>
        </w:rPr>
        <w:t>בזבחים שם</w:t>
      </w:r>
      <w:r w:rsidRPr="00AC5FBD">
        <w:rPr>
          <w:rFonts w:cs="Arial" w:hint="cs"/>
          <w:sz w:val="16"/>
          <w:szCs w:val="16"/>
          <w:rtl/>
        </w:rPr>
        <w:t>)</w:t>
      </w:r>
      <w:r w:rsidRPr="00AC5FBD">
        <w:rPr>
          <w:rFonts w:cs="Arial"/>
          <w:sz w:val="16"/>
          <w:szCs w:val="16"/>
          <w:rtl/>
        </w:rPr>
        <w:t xml:space="preserve"> והרא"ש </w:t>
      </w:r>
      <w:r w:rsidRPr="00AC5FBD">
        <w:rPr>
          <w:rFonts w:cs="Arial" w:hint="cs"/>
          <w:sz w:val="16"/>
          <w:szCs w:val="16"/>
          <w:rtl/>
        </w:rPr>
        <w:t>(</w:t>
      </w:r>
      <w:r w:rsidRPr="00AC5FBD">
        <w:rPr>
          <w:rFonts w:cs="Arial"/>
          <w:sz w:val="16"/>
          <w:szCs w:val="16"/>
          <w:rtl/>
        </w:rPr>
        <w:t>פג"ה</w:t>
      </w:r>
      <w:r w:rsidRPr="00AC5FBD">
        <w:rPr>
          <w:rFonts w:cs="Arial" w:hint="cs"/>
          <w:sz w:val="16"/>
          <w:szCs w:val="16"/>
          <w:rtl/>
        </w:rPr>
        <w:t>)</w:t>
      </w:r>
      <w:r w:rsidRPr="00AC5FBD">
        <w:rPr>
          <w:rFonts w:cs="Arial"/>
          <w:sz w:val="16"/>
          <w:szCs w:val="16"/>
          <w:rtl/>
        </w:rPr>
        <w:t xml:space="preserve"> להדיא והבאתים לעיל סק"</w:t>
      </w:r>
      <w:r w:rsidRPr="00AC5FBD">
        <w:rPr>
          <w:rFonts w:cs="Arial" w:hint="cs"/>
          <w:sz w:val="16"/>
          <w:szCs w:val="16"/>
          <w:rtl/>
        </w:rPr>
        <w:t>נ</w:t>
      </w:r>
      <w:r w:rsidRPr="00AC5FBD">
        <w:rPr>
          <w:rFonts w:cs="Arial"/>
          <w:sz w:val="16"/>
          <w:szCs w:val="16"/>
          <w:rtl/>
        </w:rPr>
        <w:t xml:space="preserve"> דהתערובות הג' מותר לאכלו כולו כא' מטעם ס"ס</w:t>
      </w:r>
      <w:r w:rsidRPr="00AC5FBD">
        <w:rPr>
          <w:rFonts w:cs="Arial" w:hint="cs"/>
          <w:sz w:val="16"/>
          <w:szCs w:val="16"/>
          <w:rtl/>
        </w:rPr>
        <w:t>,</w:t>
      </w:r>
      <w:r w:rsidRPr="00AC5FBD">
        <w:rPr>
          <w:rFonts w:cs="Arial"/>
          <w:sz w:val="16"/>
          <w:szCs w:val="16"/>
          <w:rtl/>
        </w:rPr>
        <w:t xml:space="preserve"> וכ</w:t>
      </w:r>
      <w:r w:rsidRPr="00AC5FBD">
        <w:rPr>
          <w:rFonts w:cs="Arial" w:hint="cs"/>
          <w:sz w:val="16"/>
          <w:szCs w:val="16"/>
          <w:rtl/>
        </w:rPr>
        <w:t>"</w:t>
      </w:r>
      <w:r w:rsidRPr="00AC5FBD">
        <w:rPr>
          <w:rFonts w:cs="Arial"/>
          <w:sz w:val="16"/>
          <w:szCs w:val="16"/>
          <w:rtl/>
        </w:rPr>
        <w:t>ה בתש</w:t>
      </w:r>
      <w:r w:rsidRPr="00AC5FBD">
        <w:rPr>
          <w:rFonts w:cs="Arial" w:hint="cs"/>
          <w:sz w:val="16"/>
          <w:szCs w:val="16"/>
          <w:rtl/>
        </w:rPr>
        <w:t>ו'</w:t>
      </w:r>
      <w:r w:rsidRPr="00AC5FBD">
        <w:rPr>
          <w:rFonts w:cs="Arial"/>
          <w:sz w:val="16"/>
          <w:szCs w:val="16"/>
          <w:rtl/>
        </w:rPr>
        <w:t xml:space="preserve"> הרשב"א </w:t>
      </w:r>
      <w:r w:rsidRPr="00AC5FBD">
        <w:rPr>
          <w:rFonts w:cs="Arial" w:hint="cs"/>
          <w:sz w:val="16"/>
          <w:szCs w:val="16"/>
          <w:rtl/>
        </w:rPr>
        <w:t>(</w:t>
      </w:r>
      <w:r w:rsidRPr="00AC5FBD">
        <w:rPr>
          <w:rFonts w:cs="Arial"/>
          <w:sz w:val="16"/>
          <w:szCs w:val="16"/>
          <w:rtl/>
        </w:rPr>
        <w:t>סי</w:t>
      </w:r>
      <w:r w:rsidRPr="00AC5FBD">
        <w:rPr>
          <w:rFonts w:cs="Arial" w:hint="cs"/>
          <w:sz w:val="16"/>
          <w:szCs w:val="16"/>
          <w:rtl/>
        </w:rPr>
        <w:t>'</w:t>
      </w:r>
      <w:r w:rsidRPr="00AC5FBD">
        <w:rPr>
          <w:rFonts w:cs="Arial"/>
          <w:sz w:val="16"/>
          <w:szCs w:val="16"/>
          <w:rtl/>
        </w:rPr>
        <w:t xml:space="preserve"> תשל</w:t>
      </w:r>
      <w:r w:rsidRPr="00AC5FBD">
        <w:rPr>
          <w:rFonts w:cs="Arial" w:hint="cs"/>
          <w:sz w:val="16"/>
          <w:szCs w:val="16"/>
          <w:rtl/>
        </w:rPr>
        <w:t>)</w:t>
      </w:r>
      <w:r w:rsidRPr="00AC5FBD">
        <w:rPr>
          <w:rFonts w:cs="Arial"/>
          <w:sz w:val="16"/>
          <w:szCs w:val="16"/>
          <w:rtl/>
        </w:rPr>
        <w:t xml:space="preserve"> בדין יבש ביבש למהר"ם מרוטנבורק</w:t>
      </w:r>
      <w:r w:rsidRPr="00AC5FBD">
        <w:rPr>
          <w:rFonts w:cs="Arial" w:hint="cs"/>
          <w:sz w:val="16"/>
          <w:szCs w:val="16"/>
          <w:rtl/>
        </w:rPr>
        <w:t>,</w:t>
      </w:r>
      <w:r w:rsidRPr="00AC5FBD">
        <w:rPr>
          <w:rFonts w:cs="Arial"/>
          <w:sz w:val="16"/>
          <w:szCs w:val="16"/>
          <w:rtl/>
        </w:rPr>
        <w:t xml:space="preserve"> וכ"כ האו"ה </w:t>
      </w:r>
      <w:r w:rsidRPr="00AC5FBD">
        <w:rPr>
          <w:rFonts w:cs="Arial" w:hint="cs"/>
          <w:sz w:val="16"/>
          <w:szCs w:val="16"/>
          <w:rtl/>
        </w:rPr>
        <w:t>(</w:t>
      </w:r>
      <w:r w:rsidRPr="00AC5FBD">
        <w:rPr>
          <w:rFonts w:cs="Arial"/>
          <w:sz w:val="16"/>
          <w:szCs w:val="16"/>
          <w:rtl/>
        </w:rPr>
        <w:t xml:space="preserve">כלל </w:t>
      </w:r>
      <w:r w:rsidRPr="00AC5FBD">
        <w:rPr>
          <w:rFonts w:cs="Arial" w:hint="cs"/>
          <w:sz w:val="16"/>
          <w:szCs w:val="16"/>
          <w:rtl/>
        </w:rPr>
        <w:t>כ</w:t>
      </w:r>
      <w:r w:rsidRPr="00AC5FBD">
        <w:rPr>
          <w:rFonts w:cs="Arial"/>
          <w:sz w:val="16"/>
          <w:szCs w:val="16"/>
          <w:rtl/>
        </w:rPr>
        <w:t>ו דין ט</w:t>
      </w:r>
      <w:r w:rsidRPr="00AC5FBD">
        <w:rPr>
          <w:rFonts w:cs="Arial" w:hint="cs"/>
          <w:sz w:val="16"/>
          <w:szCs w:val="16"/>
          <w:rtl/>
        </w:rPr>
        <w:t>)</w:t>
      </w:r>
      <w:r w:rsidRPr="00AC5FBD">
        <w:rPr>
          <w:rFonts w:cs="Arial"/>
          <w:sz w:val="16"/>
          <w:szCs w:val="16"/>
          <w:rtl/>
        </w:rPr>
        <w:t xml:space="preserve"> דתערובות הג' אפילו ודאי איסור דאו</w:t>
      </w:r>
      <w:r w:rsidRPr="00AC5FBD">
        <w:rPr>
          <w:rFonts w:cs="Arial" w:hint="cs"/>
          <w:sz w:val="16"/>
          <w:szCs w:val="16"/>
          <w:rtl/>
        </w:rPr>
        <w:t>'</w:t>
      </w:r>
      <w:r w:rsidRPr="00AC5FBD">
        <w:rPr>
          <w:rFonts w:cs="Arial"/>
          <w:sz w:val="16"/>
          <w:szCs w:val="16"/>
          <w:rtl/>
        </w:rPr>
        <w:t xml:space="preserve"> שנתערב מותרים כולם לאדם א' בבת א' וא"צ לזרוק א' מהן עכ"ל</w:t>
      </w:r>
      <w:r w:rsidRPr="00AC5FBD">
        <w:rPr>
          <w:rFonts w:cs="Arial" w:hint="cs"/>
          <w:sz w:val="16"/>
          <w:szCs w:val="16"/>
          <w:rtl/>
        </w:rPr>
        <w:t>,</w:t>
      </w:r>
      <w:r>
        <w:rPr>
          <w:rFonts w:cs="Arial"/>
          <w:sz w:val="16"/>
          <w:szCs w:val="16"/>
          <w:rtl/>
        </w:rPr>
        <w:t xml:space="preserve"> וכ"כ בספר אפי רברבי</w:t>
      </w:r>
      <w:r w:rsidRPr="00AC5FBD">
        <w:rPr>
          <w:rFonts w:cs="Arial" w:hint="cs"/>
          <w:sz w:val="16"/>
          <w:szCs w:val="16"/>
          <w:rtl/>
        </w:rPr>
        <w:t>,</w:t>
      </w:r>
      <w:r w:rsidRPr="00AC5FBD">
        <w:rPr>
          <w:rFonts w:cs="Arial"/>
          <w:sz w:val="16"/>
          <w:szCs w:val="16"/>
          <w:rtl/>
        </w:rPr>
        <w:t xml:space="preserve"> וכ</w:t>
      </w:r>
      <w:r w:rsidRPr="00AC5FBD">
        <w:rPr>
          <w:rFonts w:cs="Arial" w:hint="cs"/>
          <w:sz w:val="16"/>
          <w:szCs w:val="16"/>
          <w:rtl/>
        </w:rPr>
        <w:t>"</w:t>
      </w:r>
      <w:r w:rsidRPr="00AC5FBD">
        <w:rPr>
          <w:rFonts w:cs="Arial"/>
          <w:sz w:val="16"/>
          <w:szCs w:val="16"/>
          <w:rtl/>
        </w:rPr>
        <w:t xml:space="preserve">ד מהרש"ל </w:t>
      </w:r>
      <w:r w:rsidRPr="00AC5FBD">
        <w:rPr>
          <w:rFonts w:cs="Arial" w:hint="cs"/>
          <w:sz w:val="16"/>
          <w:szCs w:val="16"/>
          <w:rtl/>
        </w:rPr>
        <w:t>(</w:t>
      </w:r>
      <w:r w:rsidRPr="00AC5FBD">
        <w:rPr>
          <w:rFonts w:cs="Arial"/>
          <w:sz w:val="16"/>
          <w:szCs w:val="16"/>
          <w:rtl/>
        </w:rPr>
        <w:t>פ</w:t>
      </w:r>
      <w:r>
        <w:rPr>
          <w:rFonts w:cs="Arial"/>
          <w:sz w:val="16"/>
          <w:szCs w:val="16"/>
          <w:rtl/>
        </w:rPr>
        <w:t>ג"ה סי' נ</w:t>
      </w:r>
      <w:r w:rsidRPr="00AC5FBD">
        <w:rPr>
          <w:rFonts w:cs="Arial"/>
          <w:sz w:val="16"/>
          <w:szCs w:val="16"/>
          <w:rtl/>
        </w:rPr>
        <w:t>ה</w:t>
      </w:r>
      <w:r w:rsidRPr="00AC5FBD">
        <w:rPr>
          <w:rFonts w:cs="Arial" w:hint="cs"/>
          <w:sz w:val="16"/>
          <w:szCs w:val="16"/>
          <w:rtl/>
        </w:rPr>
        <w:t>)</w:t>
      </w:r>
      <w:r>
        <w:rPr>
          <w:rFonts w:cs="Arial"/>
          <w:sz w:val="16"/>
          <w:szCs w:val="16"/>
          <w:rtl/>
        </w:rPr>
        <w:t xml:space="preserve"> וכ</w:t>
      </w:r>
      <w:r>
        <w:rPr>
          <w:rFonts w:cs="Arial" w:hint="cs"/>
          <w:sz w:val="16"/>
          <w:szCs w:val="16"/>
          <w:rtl/>
        </w:rPr>
        <w:t>"</w:t>
      </w:r>
      <w:r>
        <w:rPr>
          <w:rFonts w:cs="Arial"/>
          <w:sz w:val="16"/>
          <w:szCs w:val="16"/>
          <w:rtl/>
        </w:rPr>
        <w:t>מ גם לרש"י לפמ</w:t>
      </w:r>
      <w:r>
        <w:rPr>
          <w:rFonts w:cs="Arial" w:hint="cs"/>
          <w:sz w:val="16"/>
          <w:szCs w:val="16"/>
          <w:rtl/>
        </w:rPr>
        <w:t>"</w:t>
      </w:r>
      <w:r>
        <w:rPr>
          <w:rFonts w:cs="Arial"/>
          <w:sz w:val="16"/>
          <w:szCs w:val="16"/>
          <w:rtl/>
        </w:rPr>
        <w:t>ש</w:t>
      </w:r>
      <w:r w:rsidRPr="00AC5FBD">
        <w:rPr>
          <w:rFonts w:cs="Arial"/>
          <w:sz w:val="16"/>
          <w:szCs w:val="16"/>
          <w:rtl/>
        </w:rPr>
        <w:t xml:space="preserve"> דהב"י לא קאי רק אב' תערובות</w:t>
      </w:r>
      <w:r w:rsidRPr="00AC5FBD">
        <w:rPr>
          <w:rFonts w:cs="Arial" w:hint="cs"/>
          <w:sz w:val="16"/>
          <w:szCs w:val="16"/>
          <w:rtl/>
        </w:rPr>
        <w:t>)</w:t>
      </w:r>
      <w:r>
        <w:rPr>
          <w:rFonts w:cs="Arial" w:hint="cs"/>
          <w:rtl/>
        </w:rPr>
        <w:t xml:space="preserve">, </w:t>
      </w:r>
      <w:r w:rsidRPr="00BB32B0">
        <w:rPr>
          <w:rFonts w:cs="Arial"/>
          <w:rtl/>
        </w:rPr>
        <w:t>א</w:t>
      </w:r>
      <w:r>
        <w:rPr>
          <w:rFonts w:cs="Arial" w:hint="cs"/>
          <w:rtl/>
        </w:rPr>
        <w:t>"כ</w:t>
      </w:r>
      <w:r w:rsidRPr="00BB32B0">
        <w:rPr>
          <w:rFonts w:cs="Arial"/>
          <w:rtl/>
        </w:rPr>
        <w:t xml:space="preserve"> אפילו התערובות הב' מותר כשאינו אוכלו כולו כאחד</w:t>
      </w:r>
      <w:r>
        <w:rPr>
          <w:rFonts w:cs="Arial" w:hint="cs"/>
          <w:rtl/>
        </w:rPr>
        <w:t>,</w:t>
      </w:r>
      <w:r w:rsidRPr="00BB32B0">
        <w:rPr>
          <w:rFonts w:cs="Arial"/>
          <w:rtl/>
        </w:rPr>
        <w:t xml:space="preserve"> ע"כ ודאי דהתערובות הג' מותר אפילו אוכלו כולו כאחד </w:t>
      </w:r>
      <w:r w:rsidRPr="00AC5FBD">
        <w:rPr>
          <w:rFonts w:cs="Arial"/>
          <w:sz w:val="16"/>
          <w:szCs w:val="16"/>
          <w:rtl/>
        </w:rPr>
        <w:t>(וע</w:t>
      </w:r>
      <w:r w:rsidRPr="00AC5FBD">
        <w:rPr>
          <w:rFonts w:cs="Arial" w:hint="cs"/>
          <w:sz w:val="16"/>
          <w:szCs w:val="16"/>
          <w:rtl/>
        </w:rPr>
        <w:t>"ש</w:t>
      </w:r>
      <w:r w:rsidRPr="00AC5FBD">
        <w:rPr>
          <w:rFonts w:cs="Arial"/>
          <w:sz w:val="16"/>
          <w:szCs w:val="16"/>
          <w:rtl/>
        </w:rPr>
        <w:t xml:space="preserve"> עוד ברש"י ומה שכתבו התוס' שם ובקונטרס לא פירש כן צל"ע)</w:t>
      </w:r>
      <w:r>
        <w:rPr>
          <w:rFonts w:cs="Arial" w:hint="cs"/>
          <w:rtl/>
        </w:rPr>
        <w:t xml:space="preserve">, </w:t>
      </w:r>
      <w:r w:rsidRPr="00BB32B0">
        <w:rPr>
          <w:rFonts w:cs="Arial"/>
          <w:rtl/>
        </w:rPr>
        <w:t>דהא אפילו מניח התערובות הב' קצתן לצד זה וקצתן לצד זה מותר לאכול כולן כיון שאינו אוכלן כא' כ"ש התערובות הג' דלא יהא אם לא נתערב בתערובת הג' שרי כיון שאינו אוכלן כולן כא' כ"ש עתה שנתערב</w:t>
      </w:r>
      <w:r>
        <w:rPr>
          <w:rFonts w:cs="Arial" w:hint="cs"/>
          <w:rtl/>
        </w:rPr>
        <w:t>.</w:t>
      </w:r>
    </w:p>
  </w:footnote>
  <w:footnote w:id="2529">
    <w:p w14:paraId="0EA95618" w14:textId="77777777" w:rsidR="004C5A3C" w:rsidRDefault="004C5A3C" w:rsidP="002C39F4">
      <w:pPr>
        <w:pStyle w:val="a5"/>
        <w:rPr>
          <w:rtl/>
        </w:rPr>
      </w:pPr>
      <w:r>
        <w:rPr>
          <w:rStyle w:val="a7"/>
        </w:rPr>
        <w:footnoteRef/>
      </w:r>
      <w:r>
        <w:rPr>
          <w:rtl/>
        </w:rPr>
        <w:t xml:space="preserve"> </w:t>
      </w:r>
      <w:r>
        <w:rPr>
          <w:rFonts w:cs="Arial" w:hint="cs"/>
          <w:rtl/>
        </w:rPr>
        <w:t xml:space="preserve">כ' הב"י- </w:t>
      </w:r>
      <w:r>
        <w:rPr>
          <w:rFonts w:cs="Arial"/>
          <w:rtl/>
        </w:rPr>
        <w:t xml:space="preserve">מ"ש </w:t>
      </w:r>
      <w:r>
        <w:rPr>
          <w:rFonts w:cs="Arial" w:hint="cs"/>
          <w:sz w:val="16"/>
          <w:szCs w:val="16"/>
          <w:rtl/>
        </w:rPr>
        <w:t xml:space="preserve">{הרשב"א} </w:t>
      </w:r>
      <w:r>
        <w:rPr>
          <w:rFonts w:cs="Arial"/>
          <w:rtl/>
        </w:rPr>
        <w:t>דמיעוט שפירשו מותרים לאו למימרא שהם מותרין כמות שהן דהא ליכא מאן דשרי להו כמות שהן</w:t>
      </w:r>
      <w:r>
        <w:rPr>
          <w:rFonts w:cs="Arial" w:hint="cs"/>
          <w:rtl/>
        </w:rPr>
        <w:t>,</w:t>
      </w:r>
      <w:r>
        <w:rPr>
          <w:rFonts w:cs="Arial"/>
          <w:rtl/>
        </w:rPr>
        <w:t xml:space="preserve"> ועוד דא"כ היאך כתב אח"כ אבל אם המיעוט נפל למקום אחר מותר שאם הם עצמן מותרים כשנפלו למקום אחר מהיכן היה יכול לבוא להן איסור שהוצרך להשמיענו שהם מותרין</w:t>
      </w:r>
      <w:r>
        <w:rPr>
          <w:rFonts w:cs="Arial" w:hint="cs"/>
          <w:rtl/>
        </w:rPr>
        <w:t>,</w:t>
      </w:r>
      <w:r>
        <w:rPr>
          <w:rFonts w:cs="Arial"/>
          <w:rtl/>
        </w:rPr>
        <w:t xml:space="preserve"> אלא מותרים דקאמר היינו לענין שאם נתערבו באחרים בטלות ברוב ומותרין משא"כ במרובין הנשארין שאפילו נתערבו ברובא כולם אסורים שאנו אומרים איסורא ברובא איתיה והוי כאילו נפל שם האיסור בידוע</w:t>
      </w:r>
      <w:r>
        <w:rPr>
          <w:rFonts w:cs="Arial" w:hint="cs"/>
          <w:rtl/>
        </w:rPr>
        <w:t>,</w:t>
      </w:r>
      <w:r>
        <w:rPr>
          <w:rFonts w:cs="Arial"/>
          <w:rtl/>
        </w:rPr>
        <w:t xml:space="preserve"> וכן מה שכתב בשער ראשון (בקצר ח:) גבי בעלי חיים פירשו מקצתן למקום אחד והרוב למקום אחר המועטים מותרים והמרובים אסורין ע"כ ג"ז צריך לפרש דמותרין דקאמר לא שיהיו מותרים כמות שהן אלא לענין אם נתערב באחרים קאמר</w:t>
      </w:r>
      <w:r>
        <w:rPr>
          <w:rFonts w:cs="Arial" w:hint="cs"/>
          <w:rtl/>
        </w:rPr>
        <w:t>,</w:t>
      </w:r>
      <w:r>
        <w:rPr>
          <w:rFonts w:cs="Arial"/>
          <w:rtl/>
        </w:rPr>
        <w:t xml:space="preserve"> דהא לישנא דפירשו מ' כולם למקום אחד אין אוסרות דקאמר רב הכי משמע דאין אוסרות את אחרות שנתערבו בהם אבל כל זמן שלא נתערבו אסורות הן. ומיהו כבר אפשר לומר שהרשב"א מפרש שהארבעים עצמן מותרות בלי תערובת והא דנקט רב אין אוסרות משום דבעי למיתני סיפא ששים למקום אחד אוסרות נקט גבי ארבעים אין אוסרות אבל אה"נ שהן עצמן מותרות בלא תערובת</w:t>
      </w:r>
      <w:r>
        <w:rPr>
          <w:rFonts w:cs="Arial" w:hint="cs"/>
          <w:rtl/>
        </w:rPr>
        <w:t>,</w:t>
      </w:r>
      <w:r>
        <w:rPr>
          <w:rFonts w:cs="Arial"/>
          <w:rtl/>
        </w:rPr>
        <w:t xml:space="preserve"> ומ"ש הרשב"א אם המיעוט נפל למקום אחר מותר</w:t>
      </w:r>
      <w:r>
        <w:rPr>
          <w:rFonts w:cs="Arial" w:hint="cs"/>
          <w:rtl/>
        </w:rPr>
        <w:t>-</w:t>
      </w:r>
      <w:r>
        <w:rPr>
          <w:rFonts w:cs="Arial"/>
          <w:rtl/>
        </w:rPr>
        <w:t xml:space="preserve"> כדי נסבא</w:t>
      </w:r>
      <w:r>
        <w:rPr>
          <w:rFonts w:cs="Arial" w:hint="cs"/>
          <w:rtl/>
        </w:rPr>
        <w:t>,</w:t>
      </w:r>
      <w:r>
        <w:rPr>
          <w:rFonts w:cs="Arial"/>
          <w:rtl/>
        </w:rPr>
        <w:t xml:space="preserve"> דהא אפילו לא נפל למקום אחר מותר</w:t>
      </w:r>
      <w:r>
        <w:rPr>
          <w:rFonts w:cs="Arial" w:hint="cs"/>
          <w:rtl/>
        </w:rPr>
        <w:t>,</w:t>
      </w:r>
      <w:r>
        <w:rPr>
          <w:rFonts w:cs="Arial"/>
          <w:rtl/>
        </w:rPr>
        <w:t xml:space="preserve"> אלא משום דנקט אם הרוב נתערב באחרים כולם אסורים נקט סיפא דאם המיעוט נתערב באחרים כולם מותרים.</w:t>
      </w:r>
      <w:r w:rsidRPr="004858E2">
        <w:rPr>
          <w:rFonts w:hint="cs"/>
          <w:sz w:val="16"/>
          <w:szCs w:val="16"/>
          <w:rtl/>
        </w:rPr>
        <w:t xml:space="preserve"> (ועי' בהערה הבאה דמשמע </w:t>
      </w:r>
      <w:r>
        <w:rPr>
          <w:rFonts w:hint="cs"/>
          <w:sz w:val="16"/>
          <w:szCs w:val="16"/>
          <w:rtl/>
        </w:rPr>
        <w:t xml:space="preserve">דפירוש </w:t>
      </w:r>
      <w:r w:rsidRPr="004858E2">
        <w:rPr>
          <w:rFonts w:hint="cs"/>
          <w:sz w:val="16"/>
          <w:szCs w:val="16"/>
          <w:rtl/>
        </w:rPr>
        <w:t>ראשון עיקר)</w:t>
      </w:r>
    </w:p>
  </w:footnote>
  <w:footnote w:id="2530">
    <w:p w14:paraId="115896DC" w14:textId="77777777" w:rsidR="004C5A3C" w:rsidRDefault="004C5A3C" w:rsidP="002C39F4">
      <w:pPr>
        <w:pStyle w:val="a5"/>
        <w:rPr>
          <w:rtl/>
        </w:rPr>
      </w:pPr>
      <w:r>
        <w:rPr>
          <w:rStyle w:val="a7"/>
        </w:rPr>
        <w:footnoteRef/>
      </w:r>
      <w:r>
        <w:rPr>
          <w:rtl/>
        </w:rPr>
        <w:t xml:space="preserve"> </w:t>
      </w:r>
      <w:r>
        <w:rPr>
          <w:rFonts w:hint="cs"/>
          <w:rtl/>
        </w:rPr>
        <w:t xml:space="preserve">היינו בנתערבו ה-נ' הללו ברוב וה-נ' הללו ברוב, כ"מ מסוף דבריו, וכהבנתו הראשונה של הב"י </w:t>
      </w:r>
      <w:r w:rsidRPr="00CA4AF5">
        <w:rPr>
          <w:rFonts w:hint="cs"/>
          <w:sz w:val="16"/>
          <w:szCs w:val="16"/>
          <w:rtl/>
        </w:rPr>
        <w:t xml:space="preserve">(בהערה הקודמת) </w:t>
      </w:r>
      <w:r>
        <w:rPr>
          <w:rFonts w:hint="cs"/>
          <w:rtl/>
        </w:rPr>
        <w:t xml:space="preserve">בדברי הרשב"א. </w:t>
      </w:r>
    </w:p>
  </w:footnote>
  <w:footnote w:id="2531">
    <w:p w14:paraId="0EA03BFC" w14:textId="77777777" w:rsidR="004C5A3C" w:rsidRDefault="004C5A3C" w:rsidP="002C39F4">
      <w:pPr>
        <w:pStyle w:val="a5"/>
        <w:rPr>
          <w:rtl/>
        </w:rPr>
      </w:pPr>
      <w:r>
        <w:rPr>
          <w:rStyle w:val="a7"/>
        </w:rPr>
        <w:footnoteRef/>
      </w:r>
      <w:r>
        <w:rPr>
          <w:rtl/>
        </w:rPr>
        <w:t xml:space="preserve"> </w:t>
      </w:r>
      <w:r>
        <w:rPr>
          <w:rFonts w:cs="Arial"/>
          <w:rtl/>
        </w:rPr>
        <w:t>שמא לא היה איסור בתוך אלו שנפלו לכאן ואת"ל כאן היה שמא זה שאוכל עתה אינו האיסור</w:t>
      </w:r>
      <w:r>
        <w:rPr>
          <w:rFonts w:hint="cs"/>
          <w:rtl/>
        </w:rPr>
        <w:t>, טור.</w:t>
      </w:r>
    </w:p>
  </w:footnote>
  <w:footnote w:id="2532">
    <w:p w14:paraId="3429DFA8" w14:textId="77777777" w:rsidR="004C5A3C" w:rsidRDefault="004C5A3C" w:rsidP="002C39F4">
      <w:pPr>
        <w:pStyle w:val="a5"/>
      </w:pPr>
      <w:r>
        <w:rPr>
          <w:rStyle w:val="a7"/>
        </w:rPr>
        <w:footnoteRef/>
      </w:r>
      <w:r>
        <w:rPr>
          <w:rtl/>
        </w:rPr>
        <w:t xml:space="preserve"> </w:t>
      </w:r>
      <w:r>
        <w:rPr>
          <w:rFonts w:cs="Arial"/>
          <w:rtl/>
        </w:rPr>
        <w:t xml:space="preserve">וז"ל </w:t>
      </w:r>
      <w:r>
        <w:rPr>
          <w:rFonts w:cs="Arial" w:hint="cs"/>
          <w:rtl/>
        </w:rPr>
        <w:t xml:space="preserve">הרשב"א </w:t>
      </w:r>
      <w:r>
        <w:rPr>
          <w:rFonts w:cs="Arial"/>
          <w:rtl/>
        </w:rPr>
        <w:t>בארוך (שם כה:)</w:t>
      </w:r>
      <w:r>
        <w:rPr>
          <w:rFonts w:cs="Arial" w:hint="cs"/>
          <w:rtl/>
        </w:rPr>
        <w:t>-</w:t>
      </w:r>
      <w:r>
        <w:rPr>
          <w:rFonts w:cs="Arial"/>
          <w:rtl/>
        </w:rPr>
        <w:t xml:space="preserve"> ואני תמה באותה שמועה דפרק התערובת דהתם משמע דדוקא כשנפל האיסור לרוב ומאותו רוב נפל למקום אחר הוא שאמרו ס"ס להקל שכבר נתבטל מדאורייתא</w:t>
      </w:r>
      <w:r>
        <w:rPr>
          <w:rFonts w:cs="Arial" w:hint="cs"/>
          <w:rtl/>
        </w:rPr>
        <w:t>,</w:t>
      </w:r>
      <w:r>
        <w:rPr>
          <w:rFonts w:cs="Arial"/>
          <w:rtl/>
        </w:rPr>
        <w:t xml:space="preserve"> הל</w:t>
      </w:r>
      <w:r>
        <w:rPr>
          <w:rFonts w:cs="Arial" w:hint="cs"/>
          <w:rtl/>
        </w:rPr>
        <w:t>א"ה</w:t>
      </w:r>
      <w:r>
        <w:rPr>
          <w:rFonts w:cs="Arial"/>
          <w:rtl/>
        </w:rPr>
        <w:t xml:space="preserve"> לא</w:t>
      </w:r>
      <w:r>
        <w:rPr>
          <w:rFonts w:cs="Arial" w:hint="cs"/>
          <w:rtl/>
        </w:rPr>
        <w:t>,</w:t>
      </w:r>
      <w:r>
        <w:rPr>
          <w:rFonts w:cs="Arial"/>
          <w:rtl/>
        </w:rPr>
        <w:t xml:space="preserve"> כדתניא לג' ומג' למקום אחר מותר</w:t>
      </w:r>
      <w:r>
        <w:rPr>
          <w:rFonts w:cs="Arial" w:hint="cs"/>
          <w:rtl/>
        </w:rPr>
        <w:t>,</w:t>
      </w:r>
      <w:r>
        <w:rPr>
          <w:rFonts w:cs="Arial"/>
          <w:rtl/>
        </w:rPr>
        <w:t xml:space="preserve"> ואקשינן מ"ש לג' דאיכא רובא לתרי נמי איכא רובא ופרקינן מאי ג' נמי תרי והוא</w:t>
      </w:r>
      <w:r>
        <w:rPr>
          <w:rFonts w:cs="Arial" w:hint="cs"/>
          <w:rtl/>
        </w:rPr>
        <w:t>,</w:t>
      </w:r>
      <w:r>
        <w:rPr>
          <w:rFonts w:cs="Arial"/>
          <w:rtl/>
        </w:rPr>
        <w:t xml:space="preserve"> והוה קשיא לי כי ליכא רובא נמי הא איכא בכל חד וחד שבתערובת ס"ס</w:t>
      </w:r>
      <w:r>
        <w:rPr>
          <w:rFonts w:cs="Arial" w:hint="cs"/>
          <w:rtl/>
        </w:rPr>
        <w:t>,</w:t>
      </w:r>
      <w:r>
        <w:rPr>
          <w:rFonts w:cs="Arial"/>
          <w:rtl/>
        </w:rPr>
        <w:t xml:space="preserve"> ושמא לא אמרו ס"ס להקל אלא ע"י שתי תערובות וכדעת ר"י</w:t>
      </w:r>
      <w:r>
        <w:rPr>
          <w:rFonts w:cs="Arial" w:hint="cs"/>
          <w:rtl/>
        </w:rPr>
        <w:t>,</w:t>
      </w:r>
      <w:r>
        <w:rPr>
          <w:rFonts w:cs="Arial"/>
          <w:rtl/>
        </w:rPr>
        <w:t xml:space="preserve"> וי"ל עוד דכל שנפל כאן איסור בודאי וליכא רוב היתר הרי אנו רואים כל אחד מאלו כגופו של איסור שהרי הוא אסור ד"ת והילכך אין הולכין בכל ס"ס בזה להקל ע"כ.</w:t>
      </w:r>
    </w:p>
  </w:footnote>
  <w:footnote w:id="2533">
    <w:p w14:paraId="4575F0D8" w14:textId="77777777" w:rsidR="004C5A3C" w:rsidRDefault="004C5A3C" w:rsidP="002C39F4">
      <w:pPr>
        <w:pStyle w:val="a5"/>
      </w:pPr>
      <w:r>
        <w:rPr>
          <w:rStyle w:val="a7"/>
        </w:rPr>
        <w:footnoteRef/>
      </w:r>
      <w:r>
        <w:rPr>
          <w:rtl/>
        </w:rPr>
        <w:t xml:space="preserve"> </w:t>
      </w:r>
      <w:r>
        <w:rPr>
          <w:rFonts w:cs="Arial" w:hint="cs"/>
          <w:rtl/>
        </w:rPr>
        <w:t xml:space="preserve">וכ' הב"י- </w:t>
      </w:r>
      <w:r>
        <w:rPr>
          <w:rFonts w:cs="Arial"/>
          <w:rtl/>
        </w:rPr>
        <w:t>ויש ללמוד מדבריהם דתערובת שני לא בעינן שיהיה בטל ברוב אלא אפילו נתערבו בכמותן שרי</w:t>
      </w:r>
      <w:r>
        <w:rPr>
          <w:rFonts w:cs="Arial" w:hint="cs"/>
          <w:rtl/>
        </w:rPr>
        <w:t>,</w:t>
      </w:r>
      <w:r>
        <w:rPr>
          <w:rFonts w:cs="Arial"/>
          <w:rtl/>
        </w:rPr>
        <w:t xml:space="preserve"> ואפשר דאפילו בפחות מהן נמי</w:t>
      </w:r>
      <w:r>
        <w:rPr>
          <w:rFonts w:cs="Arial" w:hint="cs"/>
          <w:rtl/>
        </w:rPr>
        <w:t>,</w:t>
      </w:r>
      <w:r>
        <w:rPr>
          <w:rFonts w:cs="Arial"/>
          <w:rtl/>
        </w:rPr>
        <w:t xml:space="preserve"> דכיון שנתבטל בתערובת ראשון מן התורה לא החמירו עליו חכמים כל שאינו ניכר שהוא מאותו תערובת</w:t>
      </w:r>
      <w:r>
        <w:rPr>
          <w:rFonts w:cs="Arial" w:hint="cs"/>
          <w:rtl/>
        </w:rPr>
        <w:t>,</w:t>
      </w:r>
      <w:r>
        <w:rPr>
          <w:rFonts w:cs="Arial"/>
          <w:rtl/>
        </w:rPr>
        <w:t xml:space="preserve"> אלא דלפי זה אפילו נתערבה חתיכת היתר במיעוט תערובת ראשון או במחציתו אית לן למישרי משום ס"ס אבל אין נראה כן מדברי הרמב"ם </w:t>
      </w:r>
      <w:r>
        <w:rPr>
          <w:rFonts w:cs="Arial" w:hint="cs"/>
          <w:rtl/>
        </w:rPr>
        <w:t>(</w:t>
      </w:r>
      <w:r>
        <w:rPr>
          <w:rFonts w:cs="Arial"/>
          <w:rtl/>
        </w:rPr>
        <w:t>בפ"ז מהל</w:t>
      </w:r>
      <w:r>
        <w:rPr>
          <w:rFonts w:cs="Arial" w:hint="cs"/>
          <w:rtl/>
        </w:rPr>
        <w:t>'</w:t>
      </w:r>
      <w:r>
        <w:rPr>
          <w:rFonts w:cs="Arial"/>
          <w:rtl/>
        </w:rPr>
        <w:t xml:space="preserve"> ע"ז ה"י</w:t>
      </w:r>
      <w:r>
        <w:rPr>
          <w:rFonts w:cs="Arial" w:hint="cs"/>
          <w:rtl/>
        </w:rPr>
        <w:t>,</w:t>
      </w:r>
      <w:r>
        <w:rPr>
          <w:rFonts w:cs="Arial"/>
          <w:rtl/>
        </w:rPr>
        <w:t xml:space="preserve"> ו</w:t>
      </w:r>
      <w:r>
        <w:rPr>
          <w:rFonts w:cs="Arial" w:hint="cs"/>
          <w:rtl/>
        </w:rPr>
        <w:t>ב</w:t>
      </w:r>
      <w:r>
        <w:rPr>
          <w:rFonts w:cs="Arial"/>
          <w:rtl/>
        </w:rPr>
        <w:t>פ</w:t>
      </w:r>
      <w:r>
        <w:rPr>
          <w:rFonts w:cs="Arial" w:hint="cs"/>
          <w:rtl/>
        </w:rPr>
        <w:t xml:space="preserve">ט"ז מהמ"א </w:t>
      </w:r>
      <w:r>
        <w:rPr>
          <w:rFonts w:cs="Arial"/>
          <w:rtl/>
        </w:rPr>
        <w:t>ה"י)</w:t>
      </w:r>
      <w:r>
        <w:rPr>
          <w:rFonts w:cs="Arial" w:hint="cs"/>
          <w:rtl/>
        </w:rPr>
        <w:t>.</w:t>
      </w:r>
    </w:p>
  </w:footnote>
  <w:footnote w:id="2534">
    <w:p w14:paraId="58A56CE1" w14:textId="77777777" w:rsidR="004C5A3C" w:rsidRDefault="004C5A3C" w:rsidP="002C39F4">
      <w:pPr>
        <w:pStyle w:val="a5"/>
      </w:pPr>
      <w:r>
        <w:rPr>
          <w:rStyle w:val="a7"/>
        </w:rPr>
        <w:footnoteRef/>
      </w:r>
      <w:r>
        <w:rPr>
          <w:rtl/>
        </w:rPr>
        <w:t xml:space="preserve"> </w:t>
      </w:r>
      <w:r w:rsidRPr="005175F5">
        <w:rPr>
          <w:rFonts w:cs="Arial"/>
          <w:rtl/>
        </w:rPr>
        <w:t>היינו שפירש לפנינו או שפירשו מחציתן דאי פירש ממילא אפילו בלא תערובות שרי לדעת המחבר בס"ו אבל לדעת הפוסקים דאסרי פירש ממילא איירי הכא אפי' בפירש ממילא</w:t>
      </w:r>
      <w:r>
        <w:rPr>
          <w:rFonts w:cs="Arial" w:hint="cs"/>
          <w:rtl/>
        </w:rPr>
        <w:t>, ש"ך (סקנ"א).</w:t>
      </w:r>
    </w:p>
  </w:footnote>
  <w:footnote w:id="2535">
    <w:p w14:paraId="5D4EC87B" w14:textId="77777777" w:rsidR="004C5A3C" w:rsidRDefault="004C5A3C" w:rsidP="002C39F4">
      <w:pPr>
        <w:pStyle w:val="a5"/>
      </w:pPr>
      <w:r>
        <w:rPr>
          <w:rStyle w:val="a7"/>
        </w:rPr>
        <w:footnoteRef/>
      </w:r>
      <w:r>
        <w:rPr>
          <w:rtl/>
        </w:rPr>
        <w:t xml:space="preserve"> </w:t>
      </w:r>
      <w:r>
        <w:rPr>
          <w:rFonts w:hint="cs"/>
          <w:rtl/>
        </w:rPr>
        <w:t>וכ' הש"ך (סק"נ) דנראה דבהפסד מרובה וכה"ג שרי התערובת השניה כשאינו אוכלו כאחד. וגם הט"ז (סק"י) חוכך בזה והעלה לבסוף דלכתחילה יש להחמיר עד שיהיה שלש תערובות, באה"ט (סקכ"ד).</w:t>
      </w:r>
    </w:p>
  </w:footnote>
  <w:footnote w:id="2536">
    <w:p w14:paraId="326E013C" w14:textId="77777777" w:rsidR="004C5A3C" w:rsidRDefault="004C5A3C" w:rsidP="002C39F4">
      <w:pPr>
        <w:pStyle w:val="a5"/>
        <w:rPr>
          <w:rtl/>
        </w:rPr>
      </w:pPr>
      <w:r>
        <w:rPr>
          <w:rStyle w:val="a7"/>
        </w:rPr>
        <w:footnoteRef/>
      </w:r>
      <w:r>
        <w:rPr>
          <w:rtl/>
        </w:rPr>
        <w:t xml:space="preserve"> </w:t>
      </w:r>
      <w:r>
        <w:rPr>
          <w:rFonts w:hint="cs"/>
          <w:rtl/>
        </w:rPr>
        <w:t>והט"ז (סק"י) והש"ך (סקנ"ג) פוסקים דהתערובת השניה מותר כשאינו אוכלו כלו כאחד אפילו בודאי איסור תורה, ותערובת שלישית מותר אפילו בודאי איסור לאוכלו כולו כאחד, וכן ספק איסור שנתערב מותר התערובת השניה אפילו לאוכלו כאחד, דספק איסור ושתי תערובות הוי כשלש תערובות בודאי איסור, באה"ט (סקכ"ה).</w:t>
      </w:r>
    </w:p>
  </w:footnote>
  <w:footnote w:id="2537">
    <w:p w14:paraId="41321983" w14:textId="77777777" w:rsidR="004C5A3C" w:rsidRDefault="004C5A3C" w:rsidP="002C39F4">
      <w:pPr>
        <w:pStyle w:val="a5"/>
        <w:rPr>
          <w:rtl/>
        </w:rPr>
      </w:pPr>
      <w:r>
        <w:rPr>
          <w:rStyle w:val="a7"/>
        </w:rPr>
        <w:footnoteRef/>
      </w:r>
      <w:r>
        <w:rPr>
          <w:rtl/>
        </w:rPr>
        <w:t xml:space="preserve"> </w:t>
      </w:r>
      <w:r w:rsidRPr="00423901">
        <w:rPr>
          <w:rFonts w:cs="Arial"/>
          <w:rtl/>
        </w:rPr>
        <w:t>דאורייתא</w:t>
      </w:r>
      <w:r>
        <w:rPr>
          <w:rFonts w:cs="Arial" w:hint="cs"/>
          <w:rtl/>
        </w:rPr>
        <w:t>,</w:t>
      </w:r>
      <w:r w:rsidRPr="00423901">
        <w:rPr>
          <w:rFonts w:cs="Arial"/>
          <w:rtl/>
        </w:rPr>
        <w:t xml:space="preserve"> אבל ודאי איסור דרבנן הרי הוא כספק איסור דאורייתא</w:t>
      </w:r>
      <w:r>
        <w:rPr>
          <w:rFonts w:cs="Arial" w:hint="cs"/>
          <w:rtl/>
        </w:rPr>
        <w:t>,</w:t>
      </w:r>
      <w:r w:rsidRPr="00423901">
        <w:rPr>
          <w:rFonts w:cs="Arial"/>
          <w:rtl/>
        </w:rPr>
        <w:t xml:space="preserve"> כ"כ האו"ה </w:t>
      </w:r>
      <w:r>
        <w:rPr>
          <w:rFonts w:cs="Arial" w:hint="cs"/>
          <w:rtl/>
        </w:rPr>
        <w:t>(</w:t>
      </w:r>
      <w:r>
        <w:rPr>
          <w:rFonts w:cs="Arial"/>
          <w:rtl/>
        </w:rPr>
        <w:t>כלל כו ד</w:t>
      </w:r>
      <w:r>
        <w:rPr>
          <w:rFonts w:cs="Arial" w:hint="cs"/>
          <w:rtl/>
        </w:rPr>
        <w:t>"</w:t>
      </w:r>
      <w:r>
        <w:rPr>
          <w:rFonts w:cs="Arial"/>
          <w:rtl/>
        </w:rPr>
        <w:t>ח ודי</w:t>
      </w:r>
      <w:r>
        <w:rPr>
          <w:rFonts w:cs="Arial" w:hint="cs"/>
          <w:rtl/>
        </w:rPr>
        <w:t>"</w:t>
      </w:r>
      <w:r w:rsidRPr="00423901">
        <w:rPr>
          <w:rFonts w:cs="Arial"/>
          <w:rtl/>
        </w:rPr>
        <w:t>א</w:t>
      </w:r>
      <w:r>
        <w:rPr>
          <w:rFonts w:cs="Arial" w:hint="cs"/>
          <w:rtl/>
        </w:rPr>
        <w:t>)</w:t>
      </w:r>
      <w:r w:rsidRPr="00423901">
        <w:rPr>
          <w:rFonts w:cs="Arial"/>
          <w:rtl/>
        </w:rPr>
        <w:t xml:space="preserve"> ופשוט הוא</w:t>
      </w:r>
      <w:r>
        <w:rPr>
          <w:rFonts w:cs="Arial" w:hint="cs"/>
          <w:rtl/>
        </w:rPr>
        <w:t>, ש"ך (סנ"ד).</w:t>
      </w:r>
    </w:p>
  </w:footnote>
  <w:footnote w:id="2538">
    <w:p w14:paraId="3A0991B4" w14:textId="77777777" w:rsidR="004C5A3C" w:rsidRDefault="004C5A3C" w:rsidP="002C39F4">
      <w:pPr>
        <w:pStyle w:val="a5"/>
        <w:rPr>
          <w:rtl/>
        </w:rPr>
      </w:pPr>
      <w:r>
        <w:rPr>
          <w:rStyle w:val="a7"/>
        </w:rPr>
        <w:footnoteRef/>
      </w:r>
      <w:r>
        <w:rPr>
          <w:rtl/>
        </w:rPr>
        <w:t xml:space="preserve"> </w:t>
      </w:r>
      <w:r w:rsidRPr="0097152A">
        <w:rPr>
          <w:rFonts w:cs="Arial"/>
          <w:rtl/>
        </w:rPr>
        <w:t>כ"כ בד</w:t>
      </w:r>
      <w:r>
        <w:rPr>
          <w:rFonts w:cs="Arial" w:hint="cs"/>
          <w:rtl/>
        </w:rPr>
        <w:t>רכ</w:t>
      </w:r>
      <w:r w:rsidRPr="0097152A">
        <w:rPr>
          <w:rFonts w:cs="Arial"/>
          <w:rtl/>
        </w:rPr>
        <w:t xml:space="preserve">"מ ובת"ח </w:t>
      </w:r>
      <w:r>
        <w:rPr>
          <w:rFonts w:cs="Arial" w:hint="cs"/>
          <w:rtl/>
        </w:rPr>
        <w:t>(</w:t>
      </w:r>
      <w:r>
        <w:rPr>
          <w:rFonts w:cs="Arial"/>
          <w:rtl/>
        </w:rPr>
        <w:t>כלל מ"ג ד</w:t>
      </w:r>
      <w:r>
        <w:rPr>
          <w:rFonts w:cs="Arial" w:hint="cs"/>
          <w:rtl/>
        </w:rPr>
        <w:t>"</w:t>
      </w:r>
      <w:r>
        <w:rPr>
          <w:rFonts w:cs="Arial"/>
          <w:rtl/>
        </w:rPr>
        <w:t>ו</w:t>
      </w:r>
      <w:r>
        <w:rPr>
          <w:rFonts w:cs="Arial" w:hint="cs"/>
          <w:rtl/>
        </w:rPr>
        <w:t>)</w:t>
      </w:r>
      <w:r w:rsidRPr="0097152A">
        <w:rPr>
          <w:rFonts w:cs="Arial"/>
          <w:rtl/>
        </w:rPr>
        <w:t xml:space="preserve"> בשם או"ה</w:t>
      </w:r>
      <w:r>
        <w:rPr>
          <w:rFonts w:cs="Arial" w:hint="cs"/>
          <w:rtl/>
        </w:rPr>
        <w:t>,</w:t>
      </w:r>
      <w:r w:rsidRPr="0097152A">
        <w:rPr>
          <w:rFonts w:cs="Arial"/>
          <w:rtl/>
        </w:rPr>
        <w:t xml:space="preserve"> דבודאי איסור נקטינן כהרמב"ם ובספק איסור נקטינן כהרשב"א עכ"ל</w:t>
      </w:r>
      <w:r>
        <w:rPr>
          <w:rFonts w:cs="Arial" w:hint="cs"/>
          <w:rtl/>
        </w:rPr>
        <w:t>,</w:t>
      </w:r>
      <w:r w:rsidRPr="0097152A">
        <w:rPr>
          <w:rFonts w:cs="Arial"/>
          <w:rtl/>
        </w:rPr>
        <w:t xml:space="preserve"> ולפ"ז בספק איסור</w:t>
      </w:r>
      <w:r>
        <w:rPr>
          <w:rFonts w:cs="Arial" w:hint="cs"/>
          <w:rtl/>
        </w:rPr>
        <w:t>-</w:t>
      </w:r>
      <w:r w:rsidRPr="0097152A">
        <w:rPr>
          <w:rFonts w:cs="Arial"/>
          <w:rtl/>
        </w:rPr>
        <w:t xml:space="preserve"> תערובות הב' אסור לאכלו כולו כא'</w:t>
      </w:r>
      <w:r>
        <w:rPr>
          <w:rFonts w:cs="Arial" w:hint="cs"/>
          <w:rtl/>
        </w:rPr>
        <w:t>,</w:t>
      </w:r>
      <w:r w:rsidRPr="0097152A">
        <w:rPr>
          <w:rFonts w:cs="Arial"/>
          <w:rtl/>
        </w:rPr>
        <w:t xml:space="preserve"> כמו התערובות הג' בודאי איסור</w:t>
      </w:r>
      <w:r>
        <w:rPr>
          <w:rFonts w:cs="Arial" w:hint="cs"/>
          <w:rtl/>
        </w:rPr>
        <w:t>,</w:t>
      </w:r>
      <w:r w:rsidRPr="0097152A">
        <w:rPr>
          <w:rFonts w:cs="Arial"/>
          <w:rtl/>
        </w:rPr>
        <w:t xml:space="preserve"> אבל באמת לא כתב האו"ה כן ואגב חורפיה לא עיין הרב שפיר באו"ה</w:t>
      </w:r>
      <w:r>
        <w:rPr>
          <w:rFonts w:cs="Arial" w:hint="cs"/>
          <w:rtl/>
        </w:rPr>
        <w:t>,</w:t>
      </w:r>
      <w:r w:rsidRPr="0097152A">
        <w:rPr>
          <w:rFonts w:cs="Arial"/>
          <w:rtl/>
        </w:rPr>
        <w:t xml:space="preserve"> ואדרבא פסק שם האו"ה כר"י ורוב הפוסקים דהתערובות הב' מותר כשאינו אוכלו כולו כא' אפילו בודאי איסור תורה</w:t>
      </w:r>
      <w:r>
        <w:rPr>
          <w:rFonts w:cs="Arial" w:hint="cs"/>
          <w:rtl/>
        </w:rPr>
        <w:t>,</w:t>
      </w:r>
      <w:r w:rsidRPr="0097152A">
        <w:rPr>
          <w:rFonts w:cs="Arial"/>
          <w:rtl/>
        </w:rPr>
        <w:t xml:space="preserve"> וכן התערובות הג' מותר אפילו לאכלו כולו כאחד אפי' בודאי איסור</w:t>
      </w:r>
      <w:r>
        <w:rPr>
          <w:rFonts w:cs="Arial" w:hint="cs"/>
          <w:rtl/>
        </w:rPr>
        <w:t>,</w:t>
      </w:r>
      <w:r w:rsidRPr="0097152A">
        <w:rPr>
          <w:rFonts w:cs="Arial"/>
          <w:rtl/>
        </w:rPr>
        <w:t xml:space="preserve"> וכן בספק איסור שנתערב מותר התערובות הב' לאכלו כולו כאחד</w:t>
      </w:r>
      <w:r>
        <w:rPr>
          <w:rFonts w:cs="Arial" w:hint="cs"/>
          <w:rtl/>
        </w:rPr>
        <w:t>,</w:t>
      </w:r>
      <w:r w:rsidRPr="0097152A">
        <w:rPr>
          <w:rFonts w:cs="Arial"/>
          <w:rtl/>
        </w:rPr>
        <w:t xml:space="preserve"> כל זה כתב האו"ה שם להדיא</w:t>
      </w:r>
      <w:r>
        <w:rPr>
          <w:rFonts w:cs="Arial" w:hint="cs"/>
          <w:rtl/>
        </w:rPr>
        <w:t>,</w:t>
      </w:r>
      <w:r w:rsidRPr="0097152A">
        <w:rPr>
          <w:rFonts w:cs="Arial"/>
          <w:rtl/>
        </w:rPr>
        <w:t xml:space="preserve"> ולא הביא שם הרמב"ם אלא אגב גררא לומר דאף הרמב"ם דמצריך ג' תערובות מודה דספק איסור ושני תערובות הוי כג' תערובות</w:t>
      </w:r>
      <w:r>
        <w:rPr>
          <w:rFonts w:cs="Arial" w:hint="cs"/>
          <w:rtl/>
        </w:rPr>
        <w:t>,</w:t>
      </w:r>
      <w:r w:rsidRPr="0097152A">
        <w:rPr>
          <w:rFonts w:cs="Arial"/>
          <w:rtl/>
        </w:rPr>
        <w:t xml:space="preserve"> ע"ש ותמצא כדברי וזה ברור</w:t>
      </w:r>
      <w:r>
        <w:rPr>
          <w:rFonts w:cs="Arial" w:hint="cs"/>
          <w:rtl/>
        </w:rPr>
        <w:t>, ש"ך (סקנ"ה).</w:t>
      </w:r>
      <w:r>
        <w:rPr>
          <w:rFonts w:cs="Arial"/>
          <w:rtl/>
        </w:rPr>
        <w:tab/>
      </w:r>
      <w:r>
        <w:rPr>
          <w:rFonts w:cs="Arial"/>
          <w:rtl/>
        </w:rPr>
        <w:tab/>
      </w:r>
    </w:p>
  </w:footnote>
  <w:footnote w:id="2539">
    <w:p w14:paraId="1C277B70" w14:textId="77777777" w:rsidR="004C5A3C" w:rsidRDefault="004C5A3C" w:rsidP="002C39F4">
      <w:pPr>
        <w:pStyle w:val="a5"/>
        <w:rPr>
          <w:rtl/>
        </w:rPr>
      </w:pPr>
      <w:r>
        <w:rPr>
          <w:rStyle w:val="a7"/>
        </w:rPr>
        <w:footnoteRef/>
      </w:r>
      <w:r>
        <w:rPr>
          <w:rtl/>
        </w:rPr>
        <w:t xml:space="preserve"> </w:t>
      </w:r>
      <w:r>
        <w:rPr>
          <w:rFonts w:cs="Arial"/>
          <w:rtl/>
        </w:rPr>
        <w:t xml:space="preserve">משמע אפילו התערובות הג' אסור בדשיל"מ </w:t>
      </w:r>
      <w:r w:rsidRPr="002C66CA">
        <w:rPr>
          <w:rFonts w:cs="Arial" w:hint="cs"/>
          <w:sz w:val="16"/>
          <w:szCs w:val="16"/>
          <w:rtl/>
        </w:rPr>
        <w:t>(</w:t>
      </w:r>
      <w:r w:rsidRPr="002C66CA">
        <w:rPr>
          <w:rFonts w:cs="Arial"/>
          <w:sz w:val="16"/>
          <w:szCs w:val="16"/>
          <w:rtl/>
        </w:rPr>
        <w:t>וכ</w:t>
      </w:r>
      <w:r w:rsidRPr="002C66CA">
        <w:rPr>
          <w:rFonts w:cs="Arial" w:hint="cs"/>
          <w:sz w:val="16"/>
          <w:szCs w:val="16"/>
          <w:rtl/>
        </w:rPr>
        <w:t>"מ</w:t>
      </w:r>
      <w:r w:rsidRPr="002C66CA">
        <w:rPr>
          <w:rFonts w:cs="Arial"/>
          <w:sz w:val="16"/>
          <w:szCs w:val="16"/>
          <w:rtl/>
        </w:rPr>
        <w:t xml:space="preserve"> באו"ה </w:t>
      </w:r>
      <w:r w:rsidRPr="002C66CA">
        <w:rPr>
          <w:rFonts w:cs="Arial" w:hint="cs"/>
          <w:sz w:val="16"/>
          <w:szCs w:val="16"/>
          <w:rtl/>
        </w:rPr>
        <w:t>[</w:t>
      </w:r>
      <w:r w:rsidRPr="002C66CA">
        <w:rPr>
          <w:rFonts w:cs="Arial"/>
          <w:sz w:val="16"/>
          <w:szCs w:val="16"/>
          <w:rtl/>
        </w:rPr>
        <w:t xml:space="preserve">כלל כז </w:t>
      </w:r>
      <w:r w:rsidRPr="002C66CA">
        <w:rPr>
          <w:rFonts w:cs="Arial" w:hint="cs"/>
          <w:sz w:val="16"/>
          <w:szCs w:val="16"/>
          <w:rtl/>
        </w:rPr>
        <w:t>ס</w:t>
      </w:r>
      <w:r w:rsidRPr="002C66CA">
        <w:rPr>
          <w:rFonts w:cs="Arial"/>
          <w:sz w:val="16"/>
          <w:szCs w:val="16"/>
          <w:rtl/>
        </w:rPr>
        <w:t>ד</w:t>
      </w:r>
      <w:r w:rsidRPr="002C66CA">
        <w:rPr>
          <w:rFonts w:cs="Arial" w:hint="cs"/>
          <w:sz w:val="16"/>
          <w:szCs w:val="16"/>
          <w:rtl/>
        </w:rPr>
        <w:t>"</w:t>
      </w:r>
      <w:r w:rsidRPr="002C66CA">
        <w:rPr>
          <w:rFonts w:cs="Arial"/>
          <w:sz w:val="16"/>
          <w:szCs w:val="16"/>
          <w:rtl/>
        </w:rPr>
        <w:t>ט</w:t>
      </w:r>
      <w:r w:rsidRPr="002C66CA">
        <w:rPr>
          <w:rFonts w:cs="Arial" w:hint="cs"/>
          <w:sz w:val="16"/>
          <w:szCs w:val="16"/>
          <w:rtl/>
        </w:rPr>
        <w:t>]</w:t>
      </w:r>
      <w:r w:rsidRPr="002C66CA">
        <w:rPr>
          <w:rFonts w:cs="Arial"/>
          <w:sz w:val="16"/>
          <w:szCs w:val="16"/>
          <w:rtl/>
        </w:rPr>
        <w:t xml:space="preserve"> ובמרדכי </w:t>
      </w:r>
      <w:r w:rsidRPr="002C66CA">
        <w:rPr>
          <w:rFonts w:cs="Arial" w:hint="cs"/>
          <w:sz w:val="16"/>
          <w:szCs w:val="16"/>
          <w:rtl/>
        </w:rPr>
        <w:t>[ע"ז תתמא] ו</w:t>
      </w:r>
      <w:r w:rsidRPr="002C66CA">
        <w:rPr>
          <w:rFonts w:cs="Arial"/>
          <w:sz w:val="16"/>
          <w:szCs w:val="16"/>
          <w:rtl/>
        </w:rPr>
        <w:t xml:space="preserve">בגליון או"ה </w:t>
      </w:r>
      <w:r w:rsidRPr="002C66CA">
        <w:rPr>
          <w:rFonts w:cs="Arial" w:hint="cs"/>
          <w:sz w:val="16"/>
          <w:szCs w:val="16"/>
          <w:rtl/>
        </w:rPr>
        <w:t>[</w:t>
      </w:r>
      <w:r>
        <w:rPr>
          <w:rFonts w:cs="Arial"/>
          <w:sz w:val="16"/>
          <w:szCs w:val="16"/>
          <w:rtl/>
        </w:rPr>
        <w:t>שם סד</w:t>
      </w:r>
      <w:r>
        <w:rPr>
          <w:rFonts w:cs="Arial" w:hint="cs"/>
          <w:sz w:val="16"/>
          <w:szCs w:val="16"/>
          <w:rtl/>
        </w:rPr>
        <w:t>"</w:t>
      </w:r>
      <w:r w:rsidRPr="002C66CA">
        <w:rPr>
          <w:rFonts w:cs="Arial"/>
          <w:sz w:val="16"/>
          <w:szCs w:val="16"/>
          <w:rtl/>
        </w:rPr>
        <w:t>א</w:t>
      </w:r>
      <w:r w:rsidRPr="002C66CA">
        <w:rPr>
          <w:rFonts w:cs="Arial" w:hint="cs"/>
          <w:sz w:val="16"/>
          <w:szCs w:val="16"/>
          <w:rtl/>
        </w:rPr>
        <w:t>])</w:t>
      </w:r>
      <w:r>
        <w:rPr>
          <w:rFonts w:cs="Arial"/>
          <w:rtl/>
        </w:rPr>
        <w:t>, מיהו קשה דבא</w:t>
      </w:r>
      <w:r>
        <w:rPr>
          <w:rFonts w:cs="Arial" w:hint="cs"/>
          <w:rtl/>
        </w:rPr>
        <w:t>ו</w:t>
      </w:r>
      <w:r>
        <w:rPr>
          <w:rFonts w:cs="Arial"/>
          <w:rtl/>
        </w:rPr>
        <w:t>"ח סי</w:t>
      </w:r>
      <w:r>
        <w:rPr>
          <w:rFonts w:cs="Arial" w:hint="cs"/>
          <w:rtl/>
        </w:rPr>
        <w:t>'</w:t>
      </w:r>
      <w:r>
        <w:rPr>
          <w:rFonts w:cs="Arial"/>
          <w:rtl/>
        </w:rPr>
        <w:t xml:space="preserve"> תצ"ז ס"ד סתם הרב כדברי המחבר דספק מוכן בי</w:t>
      </w:r>
      <w:r>
        <w:rPr>
          <w:rFonts w:cs="Arial" w:hint="cs"/>
          <w:rtl/>
        </w:rPr>
        <w:t>ו</w:t>
      </w:r>
      <w:r>
        <w:rPr>
          <w:rFonts w:cs="Arial"/>
          <w:rtl/>
        </w:rPr>
        <w:t>"ט שני מותר משום דהוי ס"ס עכ"ל</w:t>
      </w:r>
      <w:r>
        <w:rPr>
          <w:rFonts w:cs="Arial" w:hint="cs"/>
          <w:rtl/>
        </w:rPr>
        <w:t>,</w:t>
      </w:r>
      <w:r>
        <w:rPr>
          <w:rFonts w:cs="Arial"/>
          <w:rtl/>
        </w:rPr>
        <w:t xml:space="preserve"> אע</w:t>
      </w:r>
      <w:r>
        <w:rPr>
          <w:rFonts w:cs="Arial" w:hint="cs"/>
          <w:rtl/>
        </w:rPr>
        <w:t>"</w:t>
      </w:r>
      <w:r>
        <w:rPr>
          <w:rFonts w:cs="Arial"/>
          <w:rtl/>
        </w:rPr>
        <w:t xml:space="preserve">ג דהוי דשיל"מ </w:t>
      </w:r>
      <w:r w:rsidRPr="002C66CA">
        <w:rPr>
          <w:rFonts w:cs="Arial" w:hint="cs"/>
          <w:sz w:val="16"/>
          <w:szCs w:val="16"/>
          <w:rtl/>
        </w:rPr>
        <w:t>(</w:t>
      </w:r>
      <w:r w:rsidRPr="002C66CA">
        <w:rPr>
          <w:rFonts w:cs="Arial"/>
          <w:sz w:val="16"/>
          <w:szCs w:val="16"/>
          <w:rtl/>
        </w:rPr>
        <w:t>והוא מדברי הר"ן</w:t>
      </w:r>
      <w:r>
        <w:rPr>
          <w:rFonts w:cs="Arial" w:hint="cs"/>
          <w:sz w:val="16"/>
          <w:szCs w:val="16"/>
          <w:rtl/>
        </w:rPr>
        <w:t xml:space="preserve"> [ביצה יג.])</w:t>
      </w:r>
      <w:r>
        <w:rPr>
          <w:rFonts w:cs="Arial" w:hint="cs"/>
          <w:rtl/>
        </w:rPr>
        <w:t xml:space="preserve">, </w:t>
      </w:r>
      <w:r>
        <w:rPr>
          <w:rFonts w:cs="Arial"/>
          <w:rtl/>
        </w:rPr>
        <w:t>ואפ</w:t>
      </w:r>
      <w:r>
        <w:rPr>
          <w:rFonts w:cs="Arial" w:hint="cs"/>
          <w:rtl/>
        </w:rPr>
        <w:t>"ל</w:t>
      </w:r>
      <w:r>
        <w:rPr>
          <w:rFonts w:cs="Arial"/>
          <w:rtl/>
        </w:rPr>
        <w:t xml:space="preserve"> דשאני התם כיון דאנן לא עבדינן י</w:t>
      </w:r>
      <w:r>
        <w:rPr>
          <w:rFonts w:cs="Arial" w:hint="cs"/>
          <w:rtl/>
        </w:rPr>
        <w:t>ו</w:t>
      </w:r>
      <w:r>
        <w:rPr>
          <w:rFonts w:cs="Arial"/>
          <w:rtl/>
        </w:rPr>
        <w:t>"ט שני אלא משום מנהג אבותינו לא מחמירינן טפי מנייהו וכי היכי דלדידהו ספק לדידן נמי ספק וה"ל ספק ספיקא</w:t>
      </w:r>
      <w:r>
        <w:rPr>
          <w:rFonts w:cs="Arial" w:hint="cs"/>
          <w:rtl/>
        </w:rPr>
        <w:t xml:space="preserve"> </w:t>
      </w:r>
      <w:r w:rsidRPr="002C66CA">
        <w:rPr>
          <w:rFonts w:cs="Arial" w:hint="cs"/>
          <w:sz w:val="16"/>
          <w:szCs w:val="16"/>
          <w:rtl/>
        </w:rPr>
        <w:t>(</w:t>
      </w:r>
      <w:r w:rsidRPr="002C66CA">
        <w:rPr>
          <w:rFonts w:cs="Arial"/>
          <w:sz w:val="16"/>
          <w:szCs w:val="16"/>
          <w:rtl/>
        </w:rPr>
        <w:t>והלכך אע</w:t>
      </w:r>
      <w:r w:rsidRPr="002C66CA">
        <w:rPr>
          <w:rFonts w:cs="Arial" w:hint="cs"/>
          <w:sz w:val="16"/>
          <w:szCs w:val="16"/>
          <w:rtl/>
        </w:rPr>
        <w:t>"</w:t>
      </w:r>
      <w:r w:rsidRPr="002C66CA">
        <w:rPr>
          <w:rFonts w:cs="Arial"/>
          <w:sz w:val="16"/>
          <w:szCs w:val="16"/>
          <w:rtl/>
        </w:rPr>
        <w:t>ג דבעלמא יש להחמיר מ"מ י</w:t>
      </w:r>
      <w:r w:rsidRPr="002C66CA">
        <w:rPr>
          <w:rFonts w:cs="Arial" w:hint="cs"/>
          <w:sz w:val="16"/>
          <w:szCs w:val="16"/>
          <w:rtl/>
        </w:rPr>
        <w:t>ו</w:t>
      </w:r>
      <w:r w:rsidRPr="002C66CA">
        <w:rPr>
          <w:rFonts w:cs="Arial"/>
          <w:sz w:val="16"/>
          <w:szCs w:val="16"/>
          <w:rtl/>
        </w:rPr>
        <w:t>"ט שני דאינו אלא מנהג אוקמוה אדינא</w:t>
      </w:r>
      <w:r w:rsidRPr="002C66CA">
        <w:rPr>
          <w:rFonts w:cs="Arial" w:hint="cs"/>
          <w:sz w:val="16"/>
          <w:szCs w:val="16"/>
          <w:rtl/>
        </w:rPr>
        <w:t>)</w:t>
      </w:r>
      <w:r>
        <w:rPr>
          <w:rFonts w:cs="Arial" w:hint="cs"/>
          <w:rtl/>
        </w:rPr>
        <w:t xml:space="preserve">, </w:t>
      </w:r>
      <w:r>
        <w:rPr>
          <w:rFonts w:cs="Arial"/>
          <w:rtl/>
        </w:rPr>
        <w:t>א"נ סתם י</w:t>
      </w:r>
      <w:r>
        <w:rPr>
          <w:rFonts w:cs="Arial" w:hint="cs"/>
          <w:rtl/>
        </w:rPr>
        <w:t>ו</w:t>
      </w:r>
      <w:r>
        <w:rPr>
          <w:rFonts w:cs="Arial"/>
          <w:rtl/>
        </w:rPr>
        <w:t>"ט לצורך הוא</w:t>
      </w:r>
      <w:r>
        <w:rPr>
          <w:rFonts w:cs="Arial" w:hint="cs"/>
          <w:rtl/>
        </w:rPr>
        <w:t>,</w:t>
      </w:r>
      <w:r>
        <w:rPr>
          <w:rFonts w:cs="Arial"/>
          <w:rtl/>
        </w:rPr>
        <w:t xml:space="preserve"> א"נ והוא העיקר</w:t>
      </w:r>
      <w:r>
        <w:rPr>
          <w:rFonts w:cs="Arial" w:hint="cs"/>
          <w:rtl/>
        </w:rPr>
        <w:t>,</w:t>
      </w:r>
      <w:r>
        <w:rPr>
          <w:rFonts w:cs="Arial"/>
          <w:rtl/>
        </w:rPr>
        <w:t xml:space="preserve"> כמ"ש הרא"ש </w:t>
      </w:r>
      <w:r>
        <w:rPr>
          <w:rFonts w:cs="Arial" w:hint="cs"/>
          <w:rtl/>
        </w:rPr>
        <w:t>(</w:t>
      </w:r>
      <w:r>
        <w:rPr>
          <w:rFonts w:cs="Arial"/>
          <w:rtl/>
        </w:rPr>
        <w:t>בתשובה כלל ב</w:t>
      </w:r>
      <w:r>
        <w:rPr>
          <w:rFonts w:cs="Arial" w:hint="cs"/>
          <w:rtl/>
        </w:rPr>
        <w:t xml:space="preserve"> סד"א)</w:t>
      </w:r>
      <w:r>
        <w:rPr>
          <w:rFonts w:cs="Arial"/>
          <w:rtl/>
        </w:rPr>
        <w:t xml:space="preserve"> </w:t>
      </w:r>
      <w:r>
        <w:rPr>
          <w:rFonts w:cs="Arial" w:hint="cs"/>
          <w:rtl/>
        </w:rPr>
        <w:t xml:space="preserve">בשם מהר"ם, </w:t>
      </w:r>
      <w:r>
        <w:rPr>
          <w:rFonts w:cs="Arial"/>
          <w:rtl/>
        </w:rPr>
        <w:t>דדבר שיל"מ אפילו ס"ס אסור היינו דוקא בתערובות</w:t>
      </w:r>
      <w:r>
        <w:rPr>
          <w:rFonts w:cs="Arial" w:hint="cs"/>
          <w:rtl/>
        </w:rPr>
        <w:t>,</w:t>
      </w:r>
      <w:r>
        <w:rPr>
          <w:rFonts w:cs="Arial"/>
          <w:rtl/>
        </w:rPr>
        <w:t xml:space="preserve"> דאע"ג דבעלמא מותר משום ס"ס בדשיל"מ החמירו חז"ל דלא בטיל ע"י תערובות אפי' באלף בס"ס</w:t>
      </w:r>
      <w:r>
        <w:rPr>
          <w:rFonts w:cs="Arial" w:hint="cs"/>
          <w:rtl/>
        </w:rPr>
        <w:t>,</w:t>
      </w:r>
      <w:r>
        <w:rPr>
          <w:rFonts w:cs="Arial"/>
          <w:rtl/>
        </w:rPr>
        <w:t xml:space="preserve"> דמאי נ</w:t>
      </w:r>
      <w:r>
        <w:rPr>
          <w:rFonts w:cs="Arial" w:hint="cs"/>
          <w:rtl/>
        </w:rPr>
        <w:t>פ</w:t>
      </w:r>
      <w:r>
        <w:rPr>
          <w:rFonts w:cs="Arial"/>
          <w:rtl/>
        </w:rPr>
        <w:t>"מ להתיר בביטול בלאו הכי יש לו היתר</w:t>
      </w:r>
      <w:r>
        <w:rPr>
          <w:rFonts w:cs="Arial" w:hint="cs"/>
          <w:rtl/>
        </w:rPr>
        <w:t>,</w:t>
      </w:r>
      <w:r>
        <w:rPr>
          <w:rFonts w:cs="Arial"/>
          <w:rtl/>
        </w:rPr>
        <w:t xml:space="preserve"> אבל ס"ס כי האי שעל התבואה אני אומר שהוא ישן ואת"ל שהוא חדש שמא השריש קודם לעומר ואין כאן איסור חדש כלל</w:t>
      </w:r>
      <w:r>
        <w:rPr>
          <w:rFonts w:cs="Arial" w:hint="cs"/>
          <w:rtl/>
        </w:rPr>
        <w:t>-</w:t>
      </w:r>
      <w:r>
        <w:rPr>
          <w:rFonts w:cs="Arial"/>
          <w:rtl/>
        </w:rPr>
        <w:t xml:space="preserve"> כה"ג לא אסרינן ס"ס בדשיל"מ עכ"ל</w:t>
      </w:r>
      <w:r>
        <w:rPr>
          <w:rFonts w:cs="Arial" w:hint="cs"/>
          <w:sz w:val="14"/>
          <w:szCs w:val="14"/>
          <w:rtl/>
        </w:rPr>
        <w:t xml:space="preserve"> (הרא"ש)</w:t>
      </w:r>
      <w:r>
        <w:rPr>
          <w:rFonts w:cs="Arial" w:hint="cs"/>
          <w:rtl/>
        </w:rPr>
        <w:t>,</w:t>
      </w:r>
      <w:r>
        <w:rPr>
          <w:rFonts w:cs="Arial"/>
          <w:rtl/>
        </w:rPr>
        <w:t xml:space="preserve"> וספק מוכן בי"ט שני דמי ממש לספק חדש</w:t>
      </w:r>
      <w:r>
        <w:rPr>
          <w:rFonts w:cs="Arial" w:hint="cs"/>
          <w:rtl/>
        </w:rPr>
        <w:t>,</w:t>
      </w:r>
      <w:r>
        <w:rPr>
          <w:rFonts w:cs="Arial"/>
          <w:rtl/>
        </w:rPr>
        <w:t xml:space="preserve"> ואע</w:t>
      </w:r>
      <w:r>
        <w:rPr>
          <w:rFonts w:cs="Arial" w:hint="cs"/>
          <w:rtl/>
        </w:rPr>
        <w:t>"</w:t>
      </w:r>
      <w:r>
        <w:rPr>
          <w:rFonts w:cs="Arial"/>
          <w:rtl/>
        </w:rPr>
        <w:t xml:space="preserve">ג דהרב בת"ח </w:t>
      </w:r>
      <w:r>
        <w:rPr>
          <w:rFonts w:cs="Arial" w:hint="cs"/>
          <w:rtl/>
        </w:rPr>
        <w:t>(</w:t>
      </w:r>
      <w:r>
        <w:rPr>
          <w:rFonts w:cs="Arial"/>
          <w:rtl/>
        </w:rPr>
        <w:t>סוף כלל עד</w:t>
      </w:r>
      <w:r>
        <w:rPr>
          <w:rFonts w:cs="Arial" w:hint="cs"/>
          <w:rtl/>
        </w:rPr>
        <w:t>)</w:t>
      </w:r>
      <w:r>
        <w:rPr>
          <w:rFonts w:cs="Arial"/>
          <w:rtl/>
        </w:rPr>
        <w:t xml:space="preserve"> הביא דברי הר"ן וכתב עליו דבאו"ה </w:t>
      </w:r>
      <w:r>
        <w:rPr>
          <w:rFonts w:cs="Arial" w:hint="cs"/>
          <w:rtl/>
        </w:rPr>
        <w:t>(</w:t>
      </w:r>
      <w:r>
        <w:rPr>
          <w:rFonts w:cs="Arial"/>
          <w:rtl/>
        </w:rPr>
        <w:t>כלל כו</w:t>
      </w:r>
      <w:r>
        <w:rPr>
          <w:rFonts w:cs="Arial" w:hint="cs"/>
          <w:rtl/>
        </w:rPr>
        <w:t>)</w:t>
      </w:r>
      <w:r>
        <w:rPr>
          <w:rFonts w:cs="Arial"/>
          <w:rtl/>
        </w:rPr>
        <w:t xml:space="preserve"> כתב דהמנהג לאסור ס"ס אפילו בדשיל"מ עכ"ל</w:t>
      </w:r>
      <w:r>
        <w:rPr>
          <w:rFonts w:cs="Arial" w:hint="cs"/>
          <w:rtl/>
        </w:rPr>
        <w:t>,</w:t>
      </w:r>
      <w:r>
        <w:rPr>
          <w:rFonts w:cs="Arial"/>
          <w:rtl/>
        </w:rPr>
        <w:t xml:space="preserve"> היינו משום דהאו"ה שם אוסר להדיא אפילו בס"ס גמור</w:t>
      </w:r>
      <w:r>
        <w:rPr>
          <w:rFonts w:cs="Arial" w:hint="cs"/>
          <w:rtl/>
        </w:rPr>
        <w:t>,</w:t>
      </w:r>
      <w:r>
        <w:rPr>
          <w:rFonts w:cs="Arial"/>
          <w:rtl/>
        </w:rPr>
        <w:t xml:space="preserve"> אבל מ"מ אפשר דדעת הרב כאן בהג"ה לחלק כהרא"ש</w:t>
      </w:r>
      <w:r>
        <w:rPr>
          <w:rFonts w:cs="Arial" w:hint="cs"/>
          <w:rtl/>
        </w:rPr>
        <w:t>,</w:t>
      </w:r>
      <w:r>
        <w:rPr>
          <w:rFonts w:cs="Arial"/>
          <w:rtl/>
        </w:rPr>
        <w:t xml:space="preserve"> וכדפי'</w:t>
      </w:r>
      <w:r>
        <w:rPr>
          <w:rFonts w:cs="Arial" w:hint="cs"/>
          <w:rtl/>
        </w:rPr>
        <w:t>,</w:t>
      </w:r>
      <w:r>
        <w:rPr>
          <w:rFonts w:cs="Arial"/>
          <w:rtl/>
        </w:rPr>
        <w:t xml:space="preserve"> והשתא ניחא הא דכתב הרב לקמן סי' רצ"ג דסתם תבואה מותר מטעם ס"ס והוא מדברי הרא"ש הנ"ל</w:t>
      </w:r>
      <w:r>
        <w:rPr>
          <w:rFonts w:cs="Arial" w:hint="cs"/>
          <w:rtl/>
        </w:rPr>
        <w:t>,</w:t>
      </w:r>
      <w:r>
        <w:rPr>
          <w:rFonts w:cs="Arial"/>
          <w:rtl/>
        </w:rPr>
        <w:t xml:space="preserve"> מיהו בלאו הכי י"ל דלקמן ודאי לצורך הוא</w:t>
      </w:r>
      <w:r>
        <w:rPr>
          <w:rFonts w:cs="Arial" w:hint="cs"/>
          <w:rtl/>
        </w:rPr>
        <w:t>, ש"ך (סקנ"ו).</w:t>
      </w:r>
      <w:r>
        <w:rPr>
          <w:rFonts w:hint="cs"/>
          <w:rtl/>
        </w:rPr>
        <w:t xml:space="preserve"> </w:t>
      </w:r>
      <w:r>
        <w:rPr>
          <w:rFonts w:cs="Arial" w:hint="cs"/>
          <w:rtl/>
        </w:rPr>
        <w:t>וכ' עוד (סקנ"ז) ד</w:t>
      </w:r>
      <w:r>
        <w:rPr>
          <w:rFonts w:cs="Arial"/>
          <w:rtl/>
        </w:rPr>
        <w:t>לפ"ז נראה דכ"ש דאין להתיר בדשיל"מ נפל א' מהן לים</w:t>
      </w:r>
      <w:r>
        <w:rPr>
          <w:rFonts w:cs="Arial" w:hint="cs"/>
          <w:rtl/>
        </w:rPr>
        <w:t>,</w:t>
      </w:r>
      <w:r>
        <w:rPr>
          <w:rFonts w:cs="Arial"/>
          <w:rtl/>
        </w:rPr>
        <w:t xml:space="preserve"> והמחבר שכ</w:t>
      </w:r>
      <w:r>
        <w:rPr>
          <w:rFonts w:cs="Arial" w:hint="cs"/>
          <w:rtl/>
        </w:rPr>
        <w:t>'</w:t>
      </w:r>
      <w:r>
        <w:rPr>
          <w:rFonts w:cs="Arial"/>
          <w:rtl/>
        </w:rPr>
        <w:t xml:space="preserve"> בס"ז דגם בדשיל"מ מותר כשנפל א' מהן לים היינו לפי שהביא בספרו ב"י כן בשם הרשב"א</w:t>
      </w:r>
      <w:r>
        <w:rPr>
          <w:rFonts w:cs="Arial" w:hint="cs"/>
          <w:rtl/>
        </w:rPr>
        <w:t>,</w:t>
      </w:r>
      <w:r>
        <w:rPr>
          <w:rFonts w:cs="Arial"/>
          <w:rtl/>
        </w:rPr>
        <w:t xml:space="preserve"> והרשב"א כ"כ נמי בב' תערובות דאפילו דשיל"מ מותר</w:t>
      </w:r>
      <w:r>
        <w:rPr>
          <w:rFonts w:cs="Arial" w:hint="cs"/>
          <w:rtl/>
        </w:rPr>
        <w:t>,</w:t>
      </w:r>
      <w:r>
        <w:rPr>
          <w:rFonts w:cs="Arial"/>
          <w:rtl/>
        </w:rPr>
        <w:t xml:space="preserve"> וא"כ דעת המחבר כאן דגם דשיל"מ מותר</w:t>
      </w:r>
      <w:r>
        <w:rPr>
          <w:rFonts w:cs="Arial" w:hint="cs"/>
          <w:rtl/>
        </w:rPr>
        <w:t xml:space="preserve">, </w:t>
      </w:r>
      <w:r>
        <w:rPr>
          <w:rFonts w:cs="Arial"/>
          <w:rtl/>
        </w:rPr>
        <w:t>אבל הרב דאסר בג' תערובות דשיל"מ כ"ש דאסר בנפל א' מהן לים</w:t>
      </w:r>
      <w:r>
        <w:rPr>
          <w:rFonts w:cs="Arial" w:hint="cs"/>
          <w:rtl/>
        </w:rPr>
        <w:t>,</w:t>
      </w:r>
      <w:r>
        <w:rPr>
          <w:rFonts w:cs="Arial"/>
          <w:rtl/>
        </w:rPr>
        <w:t xml:space="preserve"> ופשוט הוא</w:t>
      </w:r>
      <w:r>
        <w:rPr>
          <w:rFonts w:cs="Arial" w:hint="cs"/>
          <w:rtl/>
        </w:rPr>
        <w:t>,</w:t>
      </w:r>
      <w:r>
        <w:rPr>
          <w:rFonts w:cs="Arial"/>
          <w:rtl/>
        </w:rPr>
        <w:t xml:space="preserve"> והא דלא הגיה כן הרב בס"ז היינו משום שסמך עצמו אמ"ש כאן וע"ל סי' ק"ב מדיני דשיל"מ</w:t>
      </w:r>
      <w:r>
        <w:rPr>
          <w:rFonts w:cs="Arial" w:hint="cs"/>
          <w:rtl/>
        </w:rPr>
        <w:t>.</w:t>
      </w:r>
    </w:p>
  </w:footnote>
  <w:footnote w:id="2540">
    <w:p w14:paraId="31B73162" w14:textId="77777777" w:rsidR="004C5A3C" w:rsidRDefault="004C5A3C" w:rsidP="002C39F4">
      <w:pPr>
        <w:pStyle w:val="a5"/>
      </w:pPr>
      <w:r>
        <w:rPr>
          <w:rStyle w:val="a7"/>
        </w:rPr>
        <w:footnoteRef/>
      </w:r>
      <w:r>
        <w:rPr>
          <w:rtl/>
        </w:rPr>
        <w:t xml:space="preserve"> </w:t>
      </w:r>
      <w:r w:rsidRPr="00E14578">
        <w:rPr>
          <w:rFonts w:cs="Arial"/>
          <w:rtl/>
        </w:rPr>
        <w:t>דוקא בס"ס</w:t>
      </w:r>
      <w:r>
        <w:rPr>
          <w:rFonts w:cs="Arial" w:hint="cs"/>
          <w:rtl/>
        </w:rPr>
        <w:t>,</w:t>
      </w:r>
      <w:r w:rsidRPr="00E14578">
        <w:rPr>
          <w:rFonts w:cs="Arial"/>
          <w:rtl/>
        </w:rPr>
        <w:t xml:space="preserve"> אבל באיסור דרב</w:t>
      </w:r>
      <w:r>
        <w:rPr>
          <w:rFonts w:cs="Arial" w:hint="cs"/>
          <w:rtl/>
        </w:rPr>
        <w:t>נן</w:t>
      </w:r>
      <w:r w:rsidRPr="00E14578">
        <w:rPr>
          <w:rFonts w:cs="Arial"/>
          <w:rtl/>
        </w:rPr>
        <w:t xml:space="preserve"> ויש בו ספק</w:t>
      </w:r>
      <w:r>
        <w:rPr>
          <w:rFonts w:cs="Arial"/>
          <w:rtl/>
        </w:rPr>
        <w:t xml:space="preserve"> אע</w:t>
      </w:r>
      <w:r>
        <w:rPr>
          <w:rFonts w:cs="Arial" w:hint="cs"/>
          <w:rtl/>
        </w:rPr>
        <w:t>"</w:t>
      </w:r>
      <w:r>
        <w:rPr>
          <w:rFonts w:cs="Arial"/>
          <w:rtl/>
        </w:rPr>
        <w:t>ג דבעלמא אמרינן ספק דרבנן לקול</w:t>
      </w:r>
      <w:r>
        <w:rPr>
          <w:rFonts w:cs="Arial" w:hint="cs"/>
          <w:rtl/>
        </w:rPr>
        <w:t>א-</w:t>
      </w:r>
      <w:r w:rsidRPr="00E14578">
        <w:rPr>
          <w:rFonts w:cs="Arial"/>
          <w:rtl/>
        </w:rPr>
        <w:t xml:space="preserve"> בדשיל"מ לא אמרי</w:t>
      </w:r>
      <w:r>
        <w:rPr>
          <w:rFonts w:cs="Arial" w:hint="cs"/>
          <w:rtl/>
        </w:rPr>
        <w:t>'</w:t>
      </w:r>
      <w:r w:rsidRPr="00E14578">
        <w:rPr>
          <w:rFonts w:cs="Arial"/>
          <w:rtl/>
        </w:rPr>
        <w:t xml:space="preserve"> הכי</w:t>
      </w:r>
      <w:r>
        <w:rPr>
          <w:rFonts w:cs="Arial" w:hint="cs"/>
          <w:rtl/>
        </w:rPr>
        <w:t>,</w:t>
      </w:r>
      <w:r w:rsidRPr="00E14578">
        <w:rPr>
          <w:rFonts w:cs="Arial"/>
          <w:rtl/>
        </w:rPr>
        <w:t xml:space="preserve"> </w:t>
      </w:r>
      <w:r>
        <w:rPr>
          <w:rFonts w:cs="Arial" w:hint="cs"/>
          <w:rtl/>
        </w:rPr>
        <w:t>ש"ך</w:t>
      </w:r>
      <w:r w:rsidRPr="004858E2">
        <w:rPr>
          <w:rFonts w:cs="Arial" w:hint="cs"/>
          <w:sz w:val="14"/>
          <w:szCs w:val="14"/>
          <w:rtl/>
        </w:rPr>
        <w:t xml:space="preserve"> (סקנ"ט)</w:t>
      </w:r>
      <w:r>
        <w:rPr>
          <w:rFonts w:cs="Arial" w:hint="cs"/>
          <w:rtl/>
        </w:rPr>
        <w:t>.</w:t>
      </w:r>
    </w:p>
  </w:footnote>
  <w:footnote w:id="2541">
    <w:p w14:paraId="5BEE5132" w14:textId="77777777" w:rsidR="004C5A3C" w:rsidRDefault="004C5A3C" w:rsidP="002C39F4">
      <w:pPr>
        <w:pStyle w:val="a5"/>
      </w:pPr>
      <w:r>
        <w:rPr>
          <w:rStyle w:val="a7"/>
        </w:rPr>
        <w:footnoteRef/>
      </w:r>
      <w:r>
        <w:rPr>
          <w:rtl/>
        </w:rPr>
        <w:t xml:space="preserve"> </w:t>
      </w:r>
      <w:r w:rsidRPr="00E14578">
        <w:rPr>
          <w:rFonts w:cs="Arial"/>
          <w:rtl/>
        </w:rPr>
        <w:t>וצ"ע אם יש להקל בזה שלא במקום הפסד מרובה כיון דגדו</w:t>
      </w:r>
      <w:r>
        <w:rPr>
          <w:rFonts w:cs="Arial"/>
          <w:rtl/>
        </w:rPr>
        <w:t>לי הפוסקים סוברים כן וכמ"ש בסק</w:t>
      </w:r>
      <w:r w:rsidRPr="00E14578">
        <w:rPr>
          <w:rFonts w:cs="Arial"/>
          <w:rtl/>
        </w:rPr>
        <w:t>נ"</w:t>
      </w:r>
      <w:r>
        <w:rPr>
          <w:rFonts w:cs="Arial" w:hint="cs"/>
          <w:rtl/>
        </w:rPr>
        <w:t>ו, ש"ך (סקנ"ח).</w:t>
      </w:r>
    </w:p>
  </w:footnote>
  <w:footnote w:id="2542">
    <w:p w14:paraId="60ADC7C6" w14:textId="77777777" w:rsidR="004C5A3C" w:rsidRDefault="004C5A3C" w:rsidP="002C39F4">
      <w:pPr>
        <w:pStyle w:val="a5"/>
        <w:rPr>
          <w:rtl/>
        </w:rPr>
      </w:pPr>
      <w:r>
        <w:rPr>
          <w:rStyle w:val="a7"/>
        </w:rPr>
        <w:footnoteRef/>
      </w:r>
      <w:r>
        <w:rPr>
          <w:rtl/>
        </w:rPr>
        <w:t xml:space="preserve"> </w:t>
      </w:r>
      <w:r>
        <w:rPr>
          <w:rFonts w:cs="Arial" w:hint="cs"/>
          <w:rtl/>
        </w:rPr>
        <w:t xml:space="preserve">ר"ת פירש דהא דאמרו בגמ' (ביצה ג:) גבי ביצה "ספקה אסורה ואם </w:t>
      </w:r>
      <w:r>
        <w:rPr>
          <w:rFonts w:cs="Arial"/>
          <w:rtl/>
        </w:rPr>
        <w:t>נתערבה באלף כולן אסורות</w:t>
      </w:r>
      <w:r>
        <w:rPr>
          <w:rFonts w:cs="Arial" w:hint="cs"/>
          <w:rtl/>
        </w:rPr>
        <w:t>"- ד</w:t>
      </w:r>
      <w:r w:rsidRPr="00D67A0E">
        <w:rPr>
          <w:rFonts w:cs="Arial"/>
          <w:rtl/>
        </w:rPr>
        <w:t>אאיסור עצמו קאי</w:t>
      </w:r>
      <w:r>
        <w:rPr>
          <w:rFonts w:cs="Arial" w:hint="cs"/>
          <w:rtl/>
        </w:rPr>
        <w:t>,</w:t>
      </w:r>
      <w:r w:rsidRPr="00FF04F9">
        <w:rPr>
          <w:rFonts w:cs="Arial"/>
          <w:rtl/>
        </w:rPr>
        <w:t xml:space="preserve"> דליכא אלא חד ספיקא</w:t>
      </w:r>
      <w:r>
        <w:rPr>
          <w:rFonts w:cs="Arial" w:hint="cs"/>
          <w:rtl/>
        </w:rPr>
        <w:t>,</w:t>
      </w:r>
      <w:r w:rsidRPr="00FF04F9">
        <w:rPr>
          <w:rFonts w:cs="Arial"/>
          <w:rtl/>
        </w:rPr>
        <w:t xml:space="preserve"> אבל ספק אם נתערבה באחרות כולן מותרות ד</w:t>
      </w:r>
      <w:r>
        <w:rPr>
          <w:rFonts w:hint="cs"/>
          <w:rtl/>
        </w:rPr>
        <w:t>-...</w:t>
      </w:r>
    </w:p>
  </w:footnote>
  <w:footnote w:id="2543">
    <w:p w14:paraId="05D5E441" w14:textId="77777777" w:rsidR="004C5A3C" w:rsidRDefault="004C5A3C" w:rsidP="002C39F4">
      <w:pPr>
        <w:pStyle w:val="a5"/>
      </w:pPr>
      <w:r>
        <w:rPr>
          <w:rStyle w:val="a7"/>
        </w:rPr>
        <w:footnoteRef/>
      </w:r>
      <w:r>
        <w:rPr>
          <w:rtl/>
        </w:rPr>
        <w:t xml:space="preserve"> </w:t>
      </w:r>
      <w:r>
        <w:rPr>
          <w:rFonts w:cs="Arial" w:hint="cs"/>
          <w:rtl/>
        </w:rPr>
        <w:t>הסמ"ג</w:t>
      </w:r>
      <w:r w:rsidRPr="00663AE9">
        <w:rPr>
          <w:rFonts w:cs="Arial"/>
          <w:sz w:val="16"/>
          <w:szCs w:val="16"/>
          <w:rtl/>
        </w:rPr>
        <w:t xml:space="preserve"> </w:t>
      </w:r>
      <w:r>
        <w:rPr>
          <w:rFonts w:cs="Arial" w:hint="cs"/>
          <w:sz w:val="16"/>
          <w:szCs w:val="16"/>
          <w:rtl/>
        </w:rPr>
        <w:t>(</w:t>
      </w:r>
      <w:r w:rsidRPr="00A46634">
        <w:rPr>
          <w:rFonts w:cs="Arial"/>
          <w:sz w:val="16"/>
          <w:szCs w:val="16"/>
          <w:rtl/>
        </w:rPr>
        <w:t>לאוין קמ-קמא נב ע"ג-ע"ד</w:t>
      </w:r>
      <w:r>
        <w:rPr>
          <w:rFonts w:cs="Arial" w:hint="cs"/>
          <w:sz w:val="16"/>
          <w:szCs w:val="16"/>
          <w:rtl/>
        </w:rPr>
        <w:t>)</w:t>
      </w:r>
      <w:r>
        <w:rPr>
          <w:rFonts w:cs="Arial" w:hint="cs"/>
          <w:rtl/>
        </w:rPr>
        <w:t xml:space="preserve"> הביא את דבריו, והעתיק הב"י</w:t>
      </w:r>
      <w:r>
        <w:rPr>
          <w:rFonts w:cs="Arial" w:hint="cs"/>
          <w:sz w:val="16"/>
          <w:szCs w:val="16"/>
          <w:rtl/>
        </w:rPr>
        <w:t xml:space="preserve"> (</w:t>
      </w:r>
      <w:r w:rsidRPr="00A46634">
        <w:rPr>
          <w:rFonts w:cs="Arial" w:hint="cs"/>
          <w:sz w:val="16"/>
          <w:szCs w:val="16"/>
          <w:rtl/>
        </w:rPr>
        <w:t>ס</w:t>
      </w:r>
      <w:r>
        <w:rPr>
          <w:rFonts w:cs="Arial" w:hint="cs"/>
          <w:sz w:val="16"/>
          <w:szCs w:val="16"/>
          <w:rtl/>
        </w:rPr>
        <w:t>י'</w:t>
      </w:r>
      <w:r w:rsidRPr="00A46634">
        <w:rPr>
          <w:rFonts w:cs="Arial" w:hint="cs"/>
          <w:sz w:val="16"/>
          <w:szCs w:val="16"/>
          <w:rtl/>
        </w:rPr>
        <w:t xml:space="preserve"> נז</w:t>
      </w:r>
      <w:r>
        <w:rPr>
          <w:rFonts w:cs="Arial" w:hint="cs"/>
          <w:sz w:val="16"/>
          <w:szCs w:val="16"/>
          <w:rtl/>
        </w:rPr>
        <w:t>)</w:t>
      </w:r>
      <w:r>
        <w:rPr>
          <w:rFonts w:cs="Arial" w:hint="cs"/>
          <w:rtl/>
        </w:rPr>
        <w:t xml:space="preserve"> את דברי הסמ"ג, וראיתי לנכון להביא את דברי סה"ת כהוויתם מכיון שעל הדברים שאמר בשם ר"י מסתמכים כל הבאים אחריו, וז"ל- </w:t>
      </w:r>
      <w:r w:rsidRPr="007747D8">
        <w:rPr>
          <w:rFonts w:cs="Arial"/>
          <w:rtl/>
        </w:rPr>
        <w:t>יזהר החכם שלא יתיר כשספק הראשון א</w:t>
      </w:r>
      <w:r>
        <w:rPr>
          <w:rFonts w:cs="Arial" w:hint="cs"/>
          <w:rtl/>
        </w:rPr>
        <w:t>י</w:t>
      </w:r>
      <w:r w:rsidRPr="007747D8">
        <w:rPr>
          <w:rFonts w:cs="Arial"/>
          <w:rtl/>
        </w:rPr>
        <w:t>סור דאורייתא והוא בריה או אף דבר שבמנין או חתיכה עצמה ראויה להתכבד בו ונתערב באחרים הכל אסור ואפי' באלף לא בטיל</w:t>
      </w:r>
      <w:r>
        <w:rPr>
          <w:rFonts w:cs="Arial" w:hint="cs"/>
          <w:rtl/>
        </w:rPr>
        <w:t>,</w:t>
      </w:r>
      <w:r w:rsidRPr="007747D8">
        <w:rPr>
          <w:rFonts w:cs="Arial"/>
          <w:rtl/>
        </w:rPr>
        <w:t xml:space="preserve"> כמו אלו נתערב ודאי של איסור</w:t>
      </w:r>
      <w:r>
        <w:rPr>
          <w:rFonts w:cs="Arial" w:hint="cs"/>
          <w:rtl/>
        </w:rPr>
        <w:t>,</w:t>
      </w:r>
      <w:r w:rsidRPr="007747D8">
        <w:rPr>
          <w:rFonts w:cs="Arial"/>
          <w:rtl/>
        </w:rPr>
        <w:t xml:space="preserve"> שהרי מקודם שנתערב נמי הוי שם מספק דאורייתא אסור וחייב עליו אשם תלוי אי הוי שייך בה כרת בודאי אסור. וכן מפ' מורי רבינו יצחק בר</w:t>
      </w:r>
      <w:r>
        <w:rPr>
          <w:rFonts w:cs="Arial"/>
          <w:rtl/>
        </w:rPr>
        <w:t xml:space="preserve"> רב שמואל ההיא דריש ביצה </w:t>
      </w:r>
      <w:r w:rsidRPr="00663AE9">
        <w:rPr>
          <w:rFonts w:cs="Arial"/>
          <w:sz w:val="16"/>
          <w:szCs w:val="16"/>
          <w:rtl/>
        </w:rPr>
        <w:t>(ג</w:t>
      </w:r>
      <w:r w:rsidRPr="00663AE9">
        <w:rPr>
          <w:rFonts w:cs="Arial" w:hint="cs"/>
          <w:sz w:val="16"/>
          <w:szCs w:val="16"/>
          <w:rtl/>
        </w:rPr>
        <w:t>.</w:t>
      </w:r>
      <w:r w:rsidRPr="00663AE9">
        <w:rPr>
          <w:rFonts w:cs="Arial"/>
          <w:sz w:val="16"/>
          <w:szCs w:val="16"/>
          <w:rtl/>
        </w:rPr>
        <w:t xml:space="preserve">) </w:t>
      </w:r>
      <w:r w:rsidRPr="007747D8">
        <w:rPr>
          <w:rFonts w:cs="Arial"/>
          <w:rtl/>
        </w:rPr>
        <w:t>ספק ביצה טריפה אסורה ואי נתערבה באלף לא בטיל וכולן אסורו</w:t>
      </w:r>
      <w:r>
        <w:rPr>
          <w:rFonts w:cs="Arial" w:hint="cs"/>
          <w:rtl/>
        </w:rPr>
        <w:t>ת</w:t>
      </w:r>
      <w:r w:rsidRPr="007747D8">
        <w:rPr>
          <w:rFonts w:cs="Arial"/>
          <w:rtl/>
        </w:rPr>
        <w:t>.</w:t>
      </w:r>
      <w:r>
        <w:rPr>
          <w:rFonts w:cs="Arial" w:hint="cs"/>
          <w:rtl/>
        </w:rPr>
        <w:t xml:space="preserve"> </w:t>
      </w:r>
      <w:r w:rsidRPr="007747D8">
        <w:rPr>
          <w:rFonts w:cs="Arial"/>
          <w:rtl/>
        </w:rPr>
        <w:t>ורבינו יעקב מפרש דנתערבה קאי אודאי דאלו אספק טריפה אמאי אסורות הוה ליה ס"ס ולא אשכחן תנא דאמר אסורות אלא ר"י פרק התערובות ואמר דשמואל סבר לה כוותיה בחדא ופליג עליה בחדא ולכך או' ר' יעקב דלא גרסי ליה ואחרות באחרות לא במשנת כל הצלמים ולא במס' ערלה מדלא משכח אלא ר' יהודה. ומורי רבינו מפרש</w:t>
      </w:r>
      <w:r>
        <w:rPr>
          <w:rFonts w:cs="Arial" w:hint="cs"/>
          <w:rtl/>
        </w:rPr>
        <w:t xml:space="preserve"> </w:t>
      </w:r>
      <w:r w:rsidRPr="007747D8">
        <w:rPr>
          <w:rFonts w:cs="Arial"/>
          <w:rtl/>
        </w:rPr>
        <w:t>דנתערבה קאי שפיר אספיקא</w:t>
      </w:r>
      <w:r>
        <w:rPr>
          <w:rFonts w:cs="Arial" w:hint="cs"/>
          <w:rtl/>
        </w:rPr>
        <w:t>,</w:t>
      </w:r>
      <w:r w:rsidRPr="007747D8">
        <w:rPr>
          <w:rFonts w:cs="Arial"/>
          <w:rtl/>
        </w:rPr>
        <w:t xml:space="preserve"> דכיון דמן התורה אסורה ושייך בה אשם תלוי בוודאי אי הוה ביה כרת</w:t>
      </w:r>
      <w:r>
        <w:rPr>
          <w:rFonts w:cs="Arial" w:hint="cs"/>
          <w:rtl/>
        </w:rPr>
        <w:t>,</w:t>
      </w:r>
      <w:r w:rsidRPr="007747D8">
        <w:rPr>
          <w:rFonts w:cs="Arial"/>
          <w:rtl/>
        </w:rPr>
        <w:t xml:space="preserve"> לכך כי נתערבה הוי חד ספיקא ואפי' באלף לא בטיל</w:t>
      </w:r>
      <w:r>
        <w:rPr>
          <w:rFonts w:cs="Arial" w:hint="cs"/>
          <w:rtl/>
        </w:rPr>
        <w:t>,</w:t>
      </w:r>
      <w:r w:rsidRPr="007747D8">
        <w:rPr>
          <w:rFonts w:cs="Arial"/>
          <w:rtl/>
        </w:rPr>
        <w:t xml:space="preserve"> הילכך תרנגולת או בהמה או ביצה והן ספק טרפה או חתיכה שנאסרה מספק או אם הן כולן אסורות ונתערבו עם אחת של היתר כיוצא בהם דהשתא כל אחד ואחד הוי ספיקא דאורייתא כיון שלא נתערבו ברוב אם הספיקא נתערבה באלף כולן אסורות כדין דבר שבמנין דלא בטיל כמו אם נתערב ודאי של איסור</w:t>
      </w:r>
      <w:r>
        <w:rPr>
          <w:rFonts w:cs="Arial" w:hint="cs"/>
          <w:rtl/>
        </w:rPr>
        <w:t>,</w:t>
      </w:r>
      <w:r w:rsidRPr="007747D8">
        <w:rPr>
          <w:rFonts w:cs="Arial"/>
          <w:rtl/>
        </w:rPr>
        <w:t xml:space="preserve"> אבל אי האסורין בודאי נתערבו מתחלה בשנים דהשתא מותרין הכל מן התורה מטעם רוב אבל מדרבנן אסורין משום דהוי דבר שבמנין אם נפל אחד מאותו התערובת ברוב הכל מותר מטעם ס"ס כמו מריבוא לריבוא</w:t>
      </w:r>
      <w:r>
        <w:rPr>
          <w:rFonts w:cs="Arial" w:hint="cs"/>
          <w:rtl/>
        </w:rPr>
        <w:t>,</w:t>
      </w:r>
      <w:r w:rsidRPr="007747D8">
        <w:rPr>
          <w:rFonts w:cs="Arial"/>
          <w:rtl/>
        </w:rPr>
        <w:t xml:space="preserve"> או ס"ס שהכל בגוף הדבר בלא התערובות נמי מותר</w:t>
      </w:r>
      <w:r>
        <w:rPr>
          <w:rFonts w:cs="Arial" w:hint="cs"/>
          <w:sz w:val="16"/>
          <w:szCs w:val="16"/>
          <w:rtl/>
        </w:rPr>
        <w:t xml:space="preserve"> (עכ"ל סה"ת)</w:t>
      </w:r>
      <w:r>
        <w:rPr>
          <w:rFonts w:hint="cs"/>
          <w:rtl/>
        </w:rPr>
        <w:t>.</w:t>
      </w:r>
    </w:p>
  </w:footnote>
  <w:footnote w:id="2544">
    <w:p w14:paraId="79A2459C" w14:textId="77777777" w:rsidR="004C5A3C" w:rsidRDefault="004C5A3C" w:rsidP="002C39F4">
      <w:pPr>
        <w:pStyle w:val="a5"/>
      </w:pPr>
      <w:r>
        <w:rPr>
          <w:rStyle w:val="a7"/>
        </w:rPr>
        <w:footnoteRef/>
      </w:r>
      <w:r>
        <w:rPr>
          <w:rtl/>
        </w:rPr>
        <w:t xml:space="preserve"> </w:t>
      </w:r>
      <w:r w:rsidRPr="00906A89">
        <w:rPr>
          <w:rFonts w:cs="Arial" w:hint="cs"/>
          <w:rtl/>
        </w:rPr>
        <w:t xml:space="preserve">ר"י </w:t>
      </w:r>
      <w:r w:rsidRPr="00906A89">
        <w:rPr>
          <w:rFonts w:cs="Arial" w:hint="cs"/>
          <w:sz w:val="16"/>
          <w:szCs w:val="16"/>
          <w:rtl/>
        </w:rPr>
        <w:t>(בר שמואל, הביאו סה"ת, וכ"כ בשמו הרשב"א)</w:t>
      </w:r>
      <w:r w:rsidRPr="00906A89">
        <w:rPr>
          <w:rFonts w:cs="Arial" w:hint="cs"/>
          <w:rtl/>
        </w:rPr>
        <w:t xml:space="preserve"> סה"ת</w:t>
      </w:r>
      <w:r w:rsidRPr="00906A89">
        <w:rPr>
          <w:rStyle w:val="a7"/>
          <w:rFonts w:cs="Arial"/>
          <w:rtl/>
        </w:rPr>
        <w:footnoteRef/>
      </w:r>
      <w:r w:rsidRPr="00906A89">
        <w:rPr>
          <w:rFonts w:cs="Arial" w:hint="cs"/>
          <w:rtl/>
        </w:rPr>
        <w:t xml:space="preserve"> </w:t>
      </w:r>
      <w:r w:rsidRPr="00906A89">
        <w:rPr>
          <w:rFonts w:cs="Arial" w:hint="cs"/>
          <w:sz w:val="16"/>
          <w:szCs w:val="16"/>
          <w:rtl/>
        </w:rPr>
        <w:t>(סי' עו</w:t>
      </w:r>
      <w:r w:rsidRPr="00906A89">
        <w:rPr>
          <w:rFonts w:cs="Arial"/>
          <w:sz w:val="16"/>
          <w:szCs w:val="16"/>
          <w:rtl/>
        </w:rPr>
        <w:t>)</w:t>
      </w:r>
      <w:r w:rsidRPr="00906A89">
        <w:rPr>
          <w:rFonts w:cs="Arial" w:hint="cs"/>
          <w:rtl/>
        </w:rPr>
        <w:t xml:space="preserve"> </w:t>
      </w:r>
      <w:r w:rsidRPr="00906A89">
        <w:rPr>
          <w:rFonts w:cs="Arial"/>
          <w:rtl/>
        </w:rPr>
        <w:t xml:space="preserve">רשב"א </w:t>
      </w:r>
      <w:r w:rsidRPr="00906A89">
        <w:rPr>
          <w:rFonts w:cs="Arial"/>
          <w:sz w:val="16"/>
          <w:szCs w:val="16"/>
          <w:rtl/>
        </w:rPr>
        <w:t>(תוה"א ב"ד ש"ב כד:)</w:t>
      </w:r>
      <w:r w:rsidRPr="00906A89">
        <w:rPr>
          <w:rFonts w:cs="Arial" w:hint="cs"/>
          <w:rtl/>
        </w:rPr>
        <w:t xml:space="preserve"> וטור</w:t>
      </w:r>
      <w:r>
        <w:rPr>
          <w:rFonts w:cs="Arial" w:hint="cs"/>
          <w:rtl/>
        </w:rPr>
        <w:t>.</w:t>
      </w:r>
    </w:p>
  </w:footnote>
  <w:footnote w:id="2545">
    <w:p w14:paraId="6155741F" w14:textId="77777777" w:rsidR="004C5A3C" w:rsidRDefault="004C5A3C" w:rsidP="002C39F4">
      <w:pPr>
        <w:pStyle w:val="a5"/>
        <w:rPr>
          <w:rtl/>
        </w:rPr>
      </w:pPr>
      <w:r>
        <w:rPr>
          <w:rStyle w:val="a7"/>
        </w:rPr>
        <w:footnoteRef/>
      </w:r>
      <w:r>
        <w:rPr>
          <w:rtl/>
        </w:rPr>
        <w:t xml:space="preserve"> </w:t>
      </w:r>
      <w:r w:rsidRPr="00FF04F9">
        <w:rPr>
          <w:rFonts w:cs="Arial"/>
          <w:rtl/>
        </w:rPr>
        <w:t>וע"כ הוא</w:t>
      </w:r>
      <w:r>
        <w:rPr>
          <w:rFonts w:cs="Arial" w:hint="cs"/>
          <w:sz w:val="16"/>
          <w:szCs w:val="16"/>
          <w:rtl/>
        </w:rPr>
        <w:t xml:space="preserve"> {ר"י}</w:t>
      </w:r>
      <w:r w:rsidRPr="00FF04F9">
        <w:rPr>
          <w:rFonts w:cs="Arial"/>
          <w:rtl/>
        </w:rPr>
        <w:t xml:space="preserve"> מפרש בפ"ק דביצה</w:t>
      </w:r>
      <w:r w:rsidRPr="00FF04F9">
        <w:rPr>
          <w:rFonts w:cs="Arial"/>
          <w:sz w:val="16"/>
          <w:szCs w:val="16"/>
          <w:rtl/>
        </w:rPr>
        <w:t xml:space="preserve"> (ג:) </w:t>
      </w:r>
      <w:r w:rsidRPr="00FF04F9">
        <w:rPr>
          <w:rFonts w:cs="Arial"/>
          <w:rtl/>
        </w:rPr>
        <w:t>כי מה שאמרו שם נתערבה באלף כולן אסורות אספיקא אסור קאי לומר שאפילו ספק נולדה בי"ט ספק לא נולדה נתערבה באחרות כולן אסורות דהיאך אתה אומר שמא לא זה הוא ואת"ל זה הוא שמא אותו ספק מותר היה והלא כבר אסרתו מספק שנפל בגופו ואחר שאסרתו היאך אתה חוזר ומתירו</w:t>
      </w:r>
      <w:r>
        <w:rPr>
          <w:rFonts w:hint="cs"/>
          <w:rtl/>
        </w:rPr>
        <w:t xml:space="preserve">, </w:t>
      </w:r>
      <w:r w:rsidRPr="00FF04F9">
        <w:rPr>
          <w:rFonts w:cs="Arial"/>
          <w:rtl/>
        </w:rPr>
        <w:t xml:space="preserve">ורבינו יעקב פירש בפ"ק דביצה </w:t>
      </w:r>
      <w:r w:rsidRPr="00FF04F9">
        <w:rPr>
          <w:rFonts w:cs="Arial"/>
          <w:sz w:val="16"/>
          <w:szCs w:val="16"/>
          <w:rtl/>
        </w:rPr>
        <w:t xml:space="preserve">(שם תוד"ה ואחרות) </w:t>
      </w:r>
      <w:r w:rsidRPr="00FF04F9">
        <w:rPr>
          <w:rFonts w:cs="Arial"/>
          <w:rtl/>
        </w:rPr>
        <w:t>דאודאה קאי דליכא אלא חד ספיקא אבל ספק אם נתערבה באחרות כולן מותרות דכל ס"ס מותר</w:t>
      </w:r>
      <w:r>
        <w:rPr>
          <w:rFonts w:cs="Arial" w:hint="cs"/>
          <w:rtl/>
        </w:rPr>
        <w:t>,</w:t>
      </w:r>
      <w:r w:rsidRPr="00FF04F9">
        <w:rPr>
          <w:rFonts w:cs="Arial"/>
          <w:rtl/>
        </w:rPr>
        <w:t xml:space="preserve"> ובירושלמי משמע כדבריו</w:t>
      </w:r>
      <w:r>
        <w:rPr>
          <w:rFonts w:cs="Arial" w:hint="cs"/>
          <w:rtl/>
        </w:rPr>
        <w:t>,</w:t>
      </w:r>
      <w:r w:rsidRPr="00FF04F9">
        <w:rPr>
          <w:rFonts w:cs="Arial"/>
          <w:rtl/>
        </w:rPr>
        <w:t xml:space="preserve"> ומ"מ יש לחוש לדברי ר"י שלא להתיר בס"ס אלא בשתי ספיקות הבאות מכח התערובות</w:t>
      </w:r>
      <w:r>
        <w:rPr>
          <w:rFonts w:cs="Arial" w:hint="cs"/>
          <w:rtl/>
        </w:rPr>
        <w:t xml:space="preserve">, </w:t>
      </w:r>
      <w:r>
        <w:rPr>
          <w:rFonts w:hint="cs"/>
          <w:rtl/>
        </w:rPr>
        <w:t>רשב"א.</w:t>
      </w:r>
    </w:p>
  </w:footnote>
  <w:footnote w:id="2546">
    <w:p w14:paraId="2654AC3E" w14:textId="77777777" w:rsidR="004C5A3C" w:rsidRDefault="004C5A3C" w:rsidP="002C39F4">
      <w:pPr>
        <w:pStyle w:val="a5"/>
      </w:pPr>
      <w:r>
        <w:rPr>
          <w:rStyle w:val="a7"/>
        </w:rPr>
        <w:footnoteRef/>
      </w:r>
      <w:r>
        <w:rPr>
          <w:rtl/>
        </w:rPr>
        <w:t xml:space="preserve"> </w:t>
      </w:r>
      <w:r>
        <w:rPr>
          <w:rFonts w:hint="cs"/>
          <w:rtl/>
        </w:rPr>
        <w:t xml:space="preserve">הטור כתב כן בשם י"א, וכ' הב"י על דבריו- </w:t>
      </w:r>
      <w:r>
        <w:rPr>
          <w:rFonts w:cs="Arial"/>
          <w:rtl/>
        </w:rPr>
        <w:t>כבר נתבאר שזהו דעת ר"י</w:t>
      </w:r>
      <w:r>
        <w:rPr>
          <w:rFonts w:cs="Arial" w:hint="cs"/>
          <w:rtl/>
        </w:rPr>
        <w:t>.</w:t>
      </w:r>
    </w:p>
  </w:footnote>
  <w:footnote w:id="2547">
    <w:p w14:paraId="19609E58" w14:textId="77777777" w:rsidR="004C5A3C" w:rsidRDefault="004C5A3C" w:rsidP="002C39F4">
      <w:pPr>
        <w:pStyle w:val="a5"/>
      </w:pPr>
      <w:r>
        <w:rPr>
          <w:rStyle w:val="a7"/>
        </w:rPr>
        <w:footnoteRef/>
      </w:r>
      <w:r>
        <w:rPr>
          <w:rtl/>
        </w:rPr>
        <w:t xml:space="preserve"> </w:t>
      </w:r>
      <w:r>
        <w:rPr>
          <w:rFonts w:hint="cs"/>
          <w:rtl/>
        </w:rPr>
        <w:t xml:space="preserve">וכ' הטור על דבריהם- </w:t>
      </w:r>
      <w:r w:rsidRPr="00FF04F9">
        <w:rPr>
          <w:rFonts w:cs="Arial"/>
          <w:rtl/>
        </w:rPr>
        <w:t>ולא נהירא דספק ספי</w:t>
      </w:r>
      <w:r>
        <w:rPr>
          <w:rFonts w:cs="Arial"/>
          <w:rtl/>
        </w:rPr>
        <w:t>קא מותר בכל האסורים אפילו בע</w:t>
      </w:r>
      <w:r>
        <w:rPr>
          <w:rFonts w:cs="Arial" w:hint="cs"/>
          <w:rtl/>
        </w:rPr>
        <w:t>"ז. עכ"ל.</w:t>
      </w:r>
      <w:r w:rsidRPr="00874D70">
        <w:rPr>
          <w:rFonts w:hint="cs"/>
          <w:rtl/>
        </w:rPr>
        <w:t xml:space="preserve"> </w:t>
      </w:r>
      <w:r>
        <w:rPr>
          <w:rFonts w:hint="cs"/>
          <w:rtl/>
        </w:rPr>
        <w:t xml:space="preserve">וכ' הב"י- </w:t>
      </w:r>
      <w:r>
        <w:rPr>
          <w:rFonts w:cs="Arial"/>
          <w:rtl/>
        </w:rPr>
        <w:t xml:space="preserve">כבר כתבתי בסי' נ"ז </w:t>
      </w:r>
      <w:r w:rsidRPr="00874D70">
        <w:rPr>
          <w:rFonts w:cs="Arial"/>
          <w:sz w:val="16"/>
          <w:szCs w:val="16"/>
          <w:rtl/>
        </w:rPr>
        <w:t xml:space="preserve">(שם) </w:t>
      </w:r>
      <w:r>
        <w:rPr>
          <w:rFonts w:cs="Arial"/>
          <w:rtl/>
        </w:rPr>
        <w:t>שאין זו קושיא כלל</w:t>
      </w:r>
      <w:r>
        <w:rPr>
          <w:rFonts w:cs="Arial" w:hint="cs"/>
          <w:rtl/>
        </w:rPr>
        <w:t xml:space="preserve">, עכ"ל. וז"ל הב"י בסי' נז- </w:t>
      </w:r>
      <w:r w:rsidRPr="003950BF">
        <w:rPr>
          <w:rFonts w:cs="Arial"/>
          <w:rtl/>
        </w:rPr>
        <w:t>ומצאתי כתוב</w:t>
      </w:r>
      <w:r>
        <w:rPr>
          <w:rFonts w:cs="Arial" w:hint="cs"/>
          <w:rtl/>
        </w:rPr>
        <w:t>,</w:t>
      </w:r>
      <w:r w:rsidRPr="003950BF">
        <w:rPr>
          <w:rFonts w:cs="Arial"/>
          <w:rtl/>
        </w:rPr>
        <w:t xml:space="preserve"> קשה</w:t>
      </w:r>
      <w:r>
        <w:rPr>
          <w:rFonts w:cs="Arial" w:hint="cs"/>
          <w:rtl/>
        </w:rPr>
        <w:t>,</w:t>
      </w:r>
      <w:r w:rsidRPr="003950BF">
        <w:rPr>
          <w:rFonts w:cs="Arial"/>
          <w:rtl/>
        </w:rPr>
        <w:t xml:space="preserve"> וכי פליג ר"י על התלמוד בכל מקום </w:t>
      </w:r>
      <w:r w:rsidRPr="00874D70">
        <w:rPr>
          <w:rFonts w:cs="Arial"/>
          <w:sz w:val="16"/>
          <w:szCs w:val="16"/>
          <w:rtl/>
        </w:rPr>
        <w:t xml:space="preserve">(זבחים עד.) </w:t>
      </w:r>
      <w:r w:rsidRPr="003950BF">
        <w:rPr>
          <w:rFonts w:cs="Arial"/>
          <w:rtl/>
        </w:rPr>
        <w:t>דאמר ס</w:t>
      </w:r>
      <w:r>
        <w:rPr>
          <w:rFonts w:cs="Arial"/>
          <w:rtl/>
        </w:rPr>
        <w:t>פק ספיקא בדאו</w:t>
      </w:r>
      <w:r>
        <w:rPr>
          <w:rFonts w:cs="Arial" w:hint="cs"/>
          <w:rtl/>
        </w:rPr>
        <w:t>',</w:t>
      </w:r>
      <w:r w:rsidRPr="003950BF">
        <w:rPr>
          <w:rFonts w:cs="Arial"/>
          <w:rtl/>
        </w:rPr>
        <w:t xml:space="preserve"> ועוד קשה למה אין כל העדר מותר מכח ספיקא דרבנן לקולא </w:t>
      </w:r>
      <w:r w:rsidRPr="00874D70">
        <w:rPr>
          <w:rFonts w:cs="Arial"/>
          <w:sz w:val="16"/>
          <w:szCs w:val="16"/>
          <w:rtl/>
        </w:rPr>
        <w:t>(ביצה שם)</w:t>
      </w:r>
      <w:r>
        <w:rPr>
          <w:rFonts w:cs="Arial" w:hint="cs"/>
          <w:rtl/>
        </w:rPr>
        <w:t>,</w:t>
      </w:r>
      <w:r w:rsidRPr="003950BF">
        <w:rPr>
          <w:rFonts w:cs="Arial"/>
          <w:rtl/>
        </w:rPr>
        <w:t xml:space="preserve"> שהרי אפילו אי ודאי דרס לא היה אסור העדר רק מדרבנן</w:t>
      </w:r>
      <w:r>
        <w:rPr>
          <w:rFonts w:cs="Arial" w:hint="cs"/>
          <w:rtl/>
        </w:rPr>
        <w:t>,</w:t>
      </w:r>
      <w:r w:rsidRPr="003950BF">
        <w:rPr>
          <w:rFonts w:cs="Arial"/>
          <w:rtl/>
        </w:rPr>
        <w:t xml:space="preserve"> ונראה לי דלא איירי ר"י אלא דוקא היכא שנודע שדרס הזאב קודם שנתערב באחרים</w:t>
      </w:r>
      <w:r>
        <w:rPr>
          <w:rFonts w:cs="Arial" w:hint="cs"/>
          <w:rtl/>
        </w:rPr>
        <w:t>,</w:t>
      </w:r>
      <w:r w:rsidRPr="003950BF">
        <w:rPr>
          <w:rFonts w:cs="Arial"/>
          <w:rtl/>
        </w:rPr>
        <w:t xml:space="preserve"> וא</w:t>
      </w:r>
      <w:r>
        <w:rPr>
          <w:rFonts w:cs="Arial" w:hint="cs"/>
          <w:rtl/>
        </w:rPr>
        <w:t>"כ</w:t>
      </w:r>
      <w:r w:rsidRPr="003950BF">
        <w:rPr>
          <w:rFonts w:cs="Arial"/>
          <w:rtl/>
        </w:rPr>
        <w:t xml:space="preserve"> כיון שנודע מיד</w:t>
      </w:r>
      <w:r>
        <w:rPr>
          <w:rFonts w:cs="Arial"/>
          <w:rtl/>
        </w:rPr>
        <w:t xml:space="preserve"> שהוא ספק דרוסה והוא ספק דאו</w:t>
      </w:r>
      <w:r>
        <w:rPr>
          <w:rFonts w:cs="Arial" w:hint="cs"/>
          <w:rtl/>
        </w:rPr>
        <w:t>'</w:t>
      </w:r>
      <w:r w:rsidRPr="003950BF">
        <w:rPr>
          <w:rFonts w:cs="Arial"/>
          <w:rtl/>
        </w:rPr>
        <w:t xml:space="preserve"> ובאותו פעם לא היה עדיין רק ספק אחד שהרי לא נתערב עדיין ונעשה הספק כודאי וכש</w:t>
      </w:r>
      <w:r>
        <w:rPr>
          <w:rFonts w:cs="Arial"/>
          <w:rtl/>
        </w:rPr>
        <w:t>נתערב בעדר הוי כמו ודאי דאו</w:t>
      </w:r>
      <w:r>
        <w:rPr>
          <w:rFonts w:cs="Arial" w:hint="cs"/>
          <w:rtl/>
        </w:rPr>
        <w:t>'</w:t>
      </w:r>
      <w:r w:rsidRPr="003950BF">
        <w:rPr>
          <w:rFonts w:cs="Arial"/>
          <w:rtl/>
        </w:rPr>
        <w:t xml:space="preserve"> שנתערב בעדר</w:t>
      </w:r>
      <w:r>
        <w:rPr>
          <w:rFonts w:cs="Arial" w:hint="cs"/>
          <w:rtl/>
        </w:rPr>
        <w:t>,</w:t>
      </w:r>
      <w:r w:rsidRPr="003950BF">
        <w:rPr>
          <w:rFonts w:cs="Arial"/>
          <w:rtl/>
        </w:rPr>
        <w:t xml:space="preserve"> אבל אם לא נודע לנו שדרס הזאב עד אחר שנתערב בעדר מודה שמותר מטעם ספק ספיקא הואיל ששני הספיקות באים יחד מיד כשנולד הספק</w:t>
      </w:r>
      <w:r>
        <w:rPr>
          <w:rFonts w:cs="Arial" w:hint="cs"/>
          <w:rtl/>
        </w:rPr>
        <w:t>,</w:t>
      </w:r>
      <w:r w:rsidRPr="003950BF">
        <w:rPr>
          <w:rFonts w:cs="Arial"/>
          <w:rtl/>
        </w:rPr>
        <w:t xml:space="preserve"> וכן בכל התלמוד</w:t>
      </w:r>
      <w:r>
        <w:rPr>
          <w:rFonts w:cs="Arial" w:hint="cs"/>
          <w:rtl/>
        </w:rPr>
        <w:t>,</w:t>
      </w:r>
      <w:r w:rsidRPr="003950BF">
        <w:rPr>
          <w:rFonts w:cs="Arial"/>
          <w:rtl/>
        </w:rPr>
        <w:t xml:space="preserve"> ו</w:t>
      </w:r>
      <w:r>
        <w:rPr>
          <w:rFonts w:cs="Arial"/>
          <w:rtl/>
        </w:rPr>
        <w:t>כ</w:t>
      </w:r>
      <w:r>
        <w:rPr>
          <w:rFonts w:cs="Arial" w:hint="cs"/>
          <w:rtl/>
        </w:rPr>
        <w:t xml:space="preserve">ן משמע </w:t>
      </w:r>
      <w:r w:rsidRPr="003950BF">
        <w:rPr>
          <w:rFonts w:cs="Arial"/>
          <w:rtl/>
        </w:rPr>
        <w:t>באו</w:t>
      </w:r>
      <w:r>
        <w:rPr>
          <w:rFonts w:cs="Arial" w:hint="cs"/>
          <w:rtl/>
        </w:rPr>
        <w:t>"ז</w:t>
      </w:r>
      <w:r w:rsidRPr="003950BF">
        <w:rPr>
          <w:rFonts w:cs="Arial"/>
          <w:rtl/>
        </w:rPr>
        <w:t xml:space="preserve"> גדול ובסמ"ק </w:t>
      </w:r>
      <w:r w:rsidRPr="00874D70">
        <w:rPr>
          <w:rFonts w:cs="Arial"/>
          <w:sz w:val="16"/>
          <w:szCs w:val="16"/>
          <w:rtl/>
        </w:rPr>
        <w:t xml:space="preserve">(סי' רא הגהות הר"ף אות ה) </w:t>
      </w:r>
      <w:r w:rsidRPr="003950BF">
        <w:rPr>
          <w:rFonts w:cs="Arial"/>
          <w:rtl/>
        </w:rPr>
        <w:t>דלא איירי ר"י אלא שנודע מתחלה שדרס הזאב ואח"כ נתערב</w:t>
      </w:r>
      <w:r>
        <w:rPr>
          <w:rFonts w:cs="Arial" w:hint="cs"/>
          <w:rtl/>
        </w:rPr>
        <w:t>,</w:t>
      </w:r>
      <w:r>
        <w:rPr>
          <w:rFonts w:cs="Arial"/>
          <w:rtl/>
        </w:rPr>
        <w:t xml:space="preserve"> וכן משמע הלשון שכ</w:t>
      </w:r>
      <w:r>
        <w:rPr>
          <w:rFonts w:cs="Arial" w:hint="cs"/>
          <w:rtl/>
        </w:rPr>
        <w:t>'</w:t>
      </w:r>
      <w:r>
        <w:rPr>
          <w:rFonts w:cs="Arial"/>
          <w:rtl/>
        </w:rPr>
        <w:t xml:space="preserve"> או</w:t>
      </w:r>
      <w:r>
        <w:rPr>
          <w:rFonts w:cs="Arial" w:hint="cs"/>
          <w:rtl/>
        </w:rPr>
        <w:t>"</w:t>
      </w:r>
      <w:r>
        <w:rPr>
          <w:rFonts w:cs="Arial"/>
          <w:rtl/>
        </w:rPr>
        <w:t>ז</w:t>
      </w:r>
      <w:r w:rsidRPr="003950BF">
        <w:rPr>
          <w:rFonts w:cs="Arial"/>
          <w:rtl/>
        </w:rPr>
        <w:t xml:space="preserve"> </w:t>
      </w:r>
      <w:r w:rsidRPr="00874D70">
        <w:rPr>
          <w:rFonts w:cs="Arial"/>
          <w:sz w:val="16"/>
          <w:szCs w:val="16"/>
          <w:rtl/>
        </w:rPr>
        <w:t xml:space="preserve">(ח"א סי' תכ) </w:t>
      </w:r>
      <w:r w:rsidRPr="003950BF">
        <w:rPr>
          <w:rFonts w:cs="Arial"/>
          <w:rtl/>
        </w:rPr>
        <w:t>עכ"ל</w:t>
      </w:r>
      <w:r>
        <w:rPr>
          <w:rFonts w:cs="Arial" w:hint="cs"/>
          <w:sz w:val="16"/>
          <w:szCs w:val="16"/>
          <w:rtl/>
        </w:rPr>
        <w:t xml:space="preserve"> {המצאתי כתוב שהביא הב"י}</w:t>
      </w:r>
      <w:r>
        <w:rPr>
          <w:rFonts w:hint="cs"/>
          <w:rtl/>
        </w:rPr>
        <w:t>.</w:t>
      </w:r>
    </w:p>
  </w:footnote>
  <w:footnote w:id="2548">
    <w:p w14:paraId="2AA744F3" w14:textId="77777777" w:rsidR="004C5A3C" w:rsidRDefault="004C5A3C" w:rsidP="002C39F4">
      <w:pPr>
        <w:pStyle w:val="a5"/>
        <w:rPr>
          <w:rtl/>
        </w:rPr>
      </w:pPr>
      <w:r>
        <w:rPr>
          <w:rStyle w:val="a7"/>
        </w:rPr>
        <w:footnoteRef/>
      </w:r>
      <w:r>
        <w:rPr>
          <w:rtl/>
        </w:rPr>
        <w:t xml:space="preserve"> </w:t>
      </w:r>
      <w:r>
        <w:rPr>
          <w:rFonts w:hint="cs"/>
          <w:rtl/>
        </w:rPr>
        <w:t>והט"ז (סקי"ב) כ' דבאמת צריך שיהא ס"ס בגוף אחד מענין אחד כמו שתי תערובות או ס"ס אם יש כאן איסור או לא, כמו באשה שזינתה ספק תחתיו ספק אינה תחתיו ואם תמצי לומר תחתיו ספק באונס ספק ברצון. ומש"כ המחבר דאין מתירין מכח ס"ס מיירי אפילו לא נודע בנתיים, באה"ט (סקכ"ז).</w:t>
      </w:r>
    </w:p>
  </w:footnote>
  <w:footnote w:id="2549">
    <w:p w14:paraId="6E0CF3D8" w14:textId="77777777" w:rsidR="004C5A3C" w:rsidRDefault="004C5A3C" w:rsidP="002C39F4">
      <w:pPr>
        <w:pStyle w:val="a5"/>
        <w:rPr>
          <w:rtl/>
        </w:rPr>
      </w:pPr>
      <w:r>
        <w:rPr>
          <w:rStyle w:val="a7"/>
        </w:rPr>
        <w:footnoteRef/>
      </w:r>
      <w:r>
        <w:rPr>
          <w:rtl/>
        </w:rPr>
        <w:t xml:space="preserve"> </w:t>
      </w:r>
      <w:r w:rsidRPr="00110F5C">
        <w:rPr>
          <w:rFonts w:cs="Arial"/>
          <w:rtl/>
        </w:rPr>
        <w:t>אפי' לא נודע ספק הראשון רק עד אחר שנתערב</w:t>
      </w:r>
      <w:r>
        <w:rPr>
          <w:rFonts w:cs="Arial" w:hint="cs"/>
          <w:rtl/>
        </w:rPr>
        <w:t>,</w:t>
      </w:r>
      <w:r w:rsidRPr="00110F5C">
        <w:rPr>
          <w:rFonts w:cs="Arial"/>
          <w:rtl/>
        </w:rPr>
        <w:t xml:space="preserve"> כגון שנתערבו כמה ביצים ביחד ואח"כ נודע ספק טריפות בתרנגולת ונודע שביצה אחת היא ממנה שהטילה אחר שאירע לה הספק טריפות</w:t>
      </w:r>
      <w:r>
        <w:rPr>
          <w:rFonts w:cs="Arial" w:hint="cs"/>
          <w:rtl/>
        </w:rPr>
        <w:t>,</w:t>
      </w:r>
      <w:r w:rsidRPr="00110F5C">
        <w:rPr>
          <w:rFonts w:cs="Arial"/>
          <w:rtl/>
        </w:rPr>
        <w:t xml:space="preserve"> וכן כל כיוצא בזה</w:t>
      </w:r>
      <w:r>
        <w:rPr>
          <w:rFonts w:cs="Arial" w:hint="cs"/>
          <w:rtl/>
        </w:rPr>
        <w:t>,</w:t>
      </w:r>
      <w:r>
        <w:rPr>
          <w:rFonts w:cs="Arial"/>
          <w:rtl/>
        </w:rPr>
        <w:t xml:space="preserve"> אע</w:t>
      </w:r>
      <w:r>
        <w:rPr>
          <w:rFonts w:cs="Arial" w:hint="cs"/>
          <w:rtl/>
        </w:rPr>
        <w:t>"</w:t>
      </w:r>
      <w:r>
        <w:rPr>
          <w:rFonts w:cs="Arial"/>
          <w:rtl/>
        </w:rPr>
        <w:t>ג</w:t>
      </w:r>
      <w:r w:rsidRPr="00110F5C">
        <w:rPr>
          <w:rFonts w:cs="Arial"/>
          <w:rtl/>
        </w:rPr>
        <w:t xml:space="preserve"> שלא נודע שום ספק איסור רק עד אחר שנתערב</w:t>
      </w:r>
      <w:r>
        <w:rPr>
          <w:rFonts w:cs="Arial" w:hint="cs"/>
          <w:rtl/>
        </w:rPr>
        <w:t>,</w:t>
      </w:r>
      <w:r w:rsidRPr="00110F5C">
        <w:rPr>
          <w:rFonts w:cs="Arial"/>
          <w:rtl/>
        </w:rPr>
        <w:t xml:space="preserve"> וא"כ שני הספיקות נודעו יחד ובאין כאחת</w:t>
      </w:r>
      <w:r>
        <w:rPr>
          <w:rFonts w:cs="Arial" w:hint="cs"/>
          <w:rtl/>
        </w:rPr>
        <w:t>,</w:t>
      </w:r>
      <w:r w:rsidRPr="00110F5C">
        <w:rPr>
          <w:rFonts w:cs="Arial"/>
          <w:rtl/>
        </w:rPr>
        <w:t xml:space="preserve"> מ"מ כיון שהספק הראשון אסור מן התורה לא הוי ספק ספיקא, כך העלה בד</w:t>
      </w:r>
      <w:r>
        <w:rPr>
          <w:rFonts w:cs="Arial" w:hint="cs"/>
          <w:rtl/>
        </w:rPr>
        <w:t>רכ</w:t>
      </w:r>
      <w:r w:rsidRPr="00110F5C">
        <w:rPr>
          <w:rFonts w:cs="Arial"/>
          <w:rtl/>
        </w:rPr>
        <w:t>"מ</w:t>
      </w:r>
      <w:r w:rsidRPr="00110F5C">
        <w:rPr>
          <w:rFonts w:cs="Arial"/>
          <w:sz w:val="16"/>
          <w:szCs w:val="16"/>
          <w:rtl/>
        </w:rPr>
        <w:t xml:space="preserve"> </w:t>
      </w:r>
      <w:r w:rsidRPr="00110F5C">
        <w:rPr>
          <w:rFonts w:cs="Arial" w:hint="cs"/>
          <w:sz w:val="16"/>
          <w:szCs w:val="16"/>
          <w:rtl/>
        </w:rPr>
        <w:t>(</w:t>
      </w:r>
      <w:r w:rsidRPr="00110F5C">
        <w:rPr>
          <w:rFonts w:cs="Arial"/>
          <w:sz w:val="16"/>
          <w:szCs w:val="16"/>
          <w:rtl/>
        </w:rPr>
        <w:t>ס"ס נ"ז ובת"ח כלל מג ד</w:t>
      </w:r>
      <w:r w:rsidRPr="00110F5C">
        <w:rPr>
          <w:rFonts w:cs="Arial" w:hint="cs"/>
          <w:sz w:val="16"/>
          <w:szCs w:val="16"/>
          <w:rtl/>
        </w:rPr>
        <w:t>"</w:t>
      </w:r>
      <w:r w:rsidRPr="00110F5C">
        <w:rPr>
          <w:rFonts w:cs="Arial"/>
          <w:sz w:val="16"/>
          <w:szCs w:val="16"/>
          <w:rtl/>
        </w:rPr>
        <w:t>ז</w:t>
      </w:r>
      <w:r w:rsidRPr="00110F5C">
        <w:rPr>
          <w:rFonts w:cs="Arial" w:hint="cs"/>
          <w:sz w:val="16"/>
          <w:szCs w:val="16"/>
          <w:rtl/>
        </w:rPr>
        <w:t>)</w:t>
      </w:r>
      <w:r w:rsidRPr="00110F5C">
        <w:rPr>
          <w:rFonts w:cs="Arial"/>
          <w:rtl/>
        </w:rPr>
        <w:t xml:space="preserve"> והשיג אב"י בס"ס נ"ז בשם מ"כ דמתיר בלא נודע הספק הראשון קודם שנתערב משום ס"ס</w:t>
      </w:r>
      <w:r w:rsidRPr="00110F5C">
        <w:rPr>
          <w:rFonts w:cs="Arial"/>
          <w:sz w:val="16"/>
          <w:szCs w:val="16"/>
          <w:rtl/>
        </w:rPr>
        <w:t xml:space="preserve"> </w:t>
      </w:r>
      <w:r w:rsidRPr="00110F5C">
        <w:rPr>
          <w:rFonts w:cs="Arial" w:hint="cs"/>
          <w:sz w:val="16"/>
          <w:szCs w:val="16"/>
          <w:rtl/>
        </w:rPr>
        <w:t>(</w:t>
      </w:r>
      <w:r w:rsidRPr="00110F5C">
        <w:rPr>
          <w:rFonts w:cs="Arial"/>
          <w:sz w:val="16"/>
          <w:szCs w:val="16"/>
          <w:rtl/>
        </w:rPr>
        <w:t>והיינו דמסיים כאן בהג"ה אבל אם היה ב' ספיקות אם היה כאן איסור כלל ונודעו ב' הספיקות יחד כו' אלמא דברישא אפי' נודעו ב' הספיקות יחד לא הוה ס"ס</w:t>
      </w:r>
      <w:r w:rsidRPr="00110F5C">
        <w:rPr>
          <w:rFonts w:cs="Arial" w:hint="cs"/>
          <w:sz w:val="16"/>
          <w:szCs w:val="16"/>
          <w:rtl/>
        </w:rPr>
        <w:t>)</w:t>
      </w:r>
      <w:r>
        <w:rPr>
          <w:rFonts w:cs="Arial" w:hint="cs"/>
          <w:rtl/>
        </w:rPr>
        <w:t xml:space="preserve">, ש"ך </w:t>
      </w:r>
      <w:r w:rsidRPr="00110F5C">
        <w:rPr>
          <w:rFonts w:cs="Arial" w:hint="cs"/>
          <w:sz w:val="16"/>
          <w:szCs w:val="16"/>
          <w:rtl/>
        </w:rPr>
        <w:t>(דיני ספק ספיקא ס"ק סג אות א)</w:t>
      </w:r>
      <w:r>
        <w:rPr>
          <w:rFonts w:cs="Arial" w:hint="cs"/>
          <w:rtl/>
        </w:rPr>
        <w:t>.</w:t>
      </w:r>
    </w:p>
  </w:footnote>
  <w:footnote w:id="2550">
    <w:p w14:paraId="01F38FF2" w14:textId="77777777" w:rsidR="004C5A3C" w:rsidRDefault="004C5A3C" w:rsidP="002C39F4">
      <w:pPr>
        <w:pStyle w:val="a5"/>
        <w:rPr>
          <w:rtl/>
        </w:rPr>
      </w:pPr>
      <w:r>
        <w:rPr>
          <w:rStyle w:val="a7"/>
        </w:rPr>
        <w:footnoteRef/>
      </w:r>
      <w:r>
        <w:rPr>
          <w:rtl/>
        </w:rPr>
        <w:t xml:space="preserve"> </w:t>
      </w:r>
      <w:r>
        <w:rPr>
          <w:rFonts w:cs="Arial"/>
          <w:rtl/>
        </w:rPr>
        <w:t>ונ</w:t>
      </w:r>
      <w:r>
        <w:rPr>
          <w:rFonts w:cs="Arial" w:hint="cs"/>
          <w:rtl/>
        </w:rPr>
        <w:t>פ"</w:t>
      </w:r>
      <w:r w:rsidRPr="00931B0D">
        <w:rPr>
          <w:rFonts w:cs="Arial"/>
          <w:rtl/>
        </w:rPr>
        <w:t>מ דאילו לטעם המחבר אפילו היה הספק הא' מדרבנן כיון שהיה בגופו אינו בטל בתערובות</w:t>
      </w:r>
      <w:r>
        <w:rPr>
          <w:rFonts w:cs="Arial" w:hint="cs"/>
          <w:rtl/>
        </w:rPr>
        <w:t>,</w:t>
      </w:r>
      <w:r w:rsidRPr="00931B0D">
        <w:rPr>
          <w:rFonts w:cs="Arial"/>
          <w:rtl/>
        </w:rPr>
        <w:t xml:space="preserve"> ולטעם הרב בטל</w:t>
      </w:r>
      <w:r>
        <w:rPr>
          <w:rFonts w:cs="Arial" w:hint="cs"/>
          <w:rtl/>
        </w:rPr>
        <w:t>,</w:t>
      </w:r>
      <w:r>
        <w:rPr>
          <w:rFonts w:cs="Arial"/>
          <w:rtl/>
        </w:rPr>
        <w:t xml:space="preserve"> ונפ</w:t>
      </w:r>
      <w:r>
        <w:rPr>
          <w:rFonts w:cs="Arial" w:hint="cs"/>
          <w:rtl/>
        </w:rPr>
        <w:t>"מ</w:t>
      </w:r>
      <w:r w:rsidRPr="00931B0D">
        <w:rPr>
          <w:rFonts w:cs="Arial"/>
          <w:rtl/>
        </w:rPr>
        <w:t xml:space="preserve"> אם נתחלפה גבינה שאינה ידוע אם היא גבינת ישראל או גבינת </w:t>
      </w:r>
      <w:r>
        <w:rPr>
          <w:rFonts w:cs="Arial" w:hint="cs"/>
          <w:rtl/>
        </w:rPr>
        <w:t>גוי</w:t>
      </w:r>
      <w:r w:rsidRPr="00931B0D">
        <w:rPr>
          <w:rFonts w:cs="Arial"/>
          <w:rtl/>
        </w:rPr>
        <w:t xml:space="preserve"> דבכה"ג הוי ספק דרבנן ולחומרא</w:t>
      </w:r>
      <w:r>
        <w:rPr>
          <w:rFonts w:cs="Arial" w:hint="cs"/>
          <w:rtl/>
        </w:rPr>
        <w:t>...</w:t>
      </w:r>
      <w:r w:rsidRPr="00931B0D">
        <w:rPr>
          <w:rFonts w:cs="Arial"/>
          <w:rtl/>
        </w:rPr>
        <w:t xml:space="preserve"> להמחבר אינה בטלה בתערובות אף שהספק הראשון הוא מדרבנן כיון שהוא בגופו</w:t>
      </w:r>
      <w:r>
        <w:rPr>
          <w:rFonts w:cs="Arial" w:hint="cs"/>
          <w:rtl/>
        </w:rPr>
        <w:t>,</w:t>
      </w:r>
      <w:r w:rsidRPr="00931B0D">
        <w:rPr>
          <w:rFonts w:cs="Arial"/>
          <w:rtl/>
        </w:rPr>
        <w:t xml:space="preserve"> ולהרב בהג"ה בטל</w:t>
      </w:r>
      <w:r>
        <w:rPr>
          <w:rFonts w:cs="Arial" w:hint="cs"/>
          <w:rtl/>
        </w:rPr>
        <w:t>...</w:t>
      </w:r>
      <w:r w:rsidRPr="00931B0D">
        <w:rPr>
          <w:rFonts w:cs="Arial"/>
          <w:rtl/>
        </w:rPr>
        <w:t xml:space="preserve"> כיון שהספק הראשון אינו מה"ת</w:t>
      </w:r>
      <w:r>
        <w:rPr>
          <w:rFonts w:cs="Arial" w:hint="cs"/>
          <w:rtl/>
        </w:rPr>
        <w:t>,</w:t>
      </w:r>
      <w:r w:rsidRPr="00931B0D">
        <w:rPr>
          <w:rFonts w:cs="Arial"/>
          <w:rtl/>
        </w:rPr>
        <w:t xml:space="preserve"> א"כ ה"ל ספק ספיקא</w:t>
      </w:r>
      <w:r>
        <w:rPr>
          <w:rFonts w:cs="Arial" w:hint="cs"/>
          <w:rtl/>
        </w:rPr>
        <w:t>,</w:t>
      </w:r>
      <w:r>
        <w:rPr>
          <w:rFonts w:cs="Arial"/>
          <w:rtl/>
        </w:rPr>
        <w:t xml:space="preserve"> ואפ</w:t>
      </w:r>
      <w:r>
        <w:rPr>
          <w:rFonts w:cs="Arial" w:hint="cs"/>
          <w:rtl/>
        </w:rPr>
        <w:t>"</w:t>
      </w:r>
      <w:r>
        <w:rPr>
          <w:rFonts w:cs="Arial"/>
          <w:rtl/>
        </w:rPr>
        <w:t>ל</w:t>
      </w:r>
      <w:r w:rsidRPr="00931B0D">
        <w:rPr>
          <w:rFonts w:cs="Arial"/>
          <w:rtl/>
        </w:rPr>
        <w:t xml:space="preserve"> דאף המחבר לא קאמר אלא היכא דהספק הראשון שהיה בגופו אסור מה"ת והרב בהג"ה מחמיר אפילו לא היה הספק הראשון בגופו כיון שהוא מן התורה לא הוה ס"ס</w:t>
      </w:r>
      <w:r>
        <w:rPr>
          <w:rFonts w:cs="Arial" w:hint="cs"/>
          <w:rtl/>
        </w:rPr>
        <w:t>,</w:t>
      </w:r>
      <w:r w:rsidRPr="00931B0D">
        <w:rPr>
          <w:rFonts w:cs="Arial"/>
          <w:rtl/>
        </w:rPr>
        <w:t xml:space="preserve"> או אפשר דמר אמר חדא ומר אמר חדא ולא פליגי ולא בא הרב אלא להוסיף דבספק ספיקא אם יש כאן איסור כלל מותר אפילו בגופו של איסור</w:t>
      </w:r>
      <w:r>
        <w:rPr>
          <w:rFonts w:cs="Arial" w:hint="cs"/>
          <w:rtl/>
        </w:rPr>
        <w:t>,</w:t>
      </w:r>
      <w:r w:rsidRPr="00931B0D">
        <w:rPr>
          <w:rFonts w:cs="Arial"/>
          <w:rtl/>
        </w:rPr>
        <w:t xml:space="preserve"> ועי' בתשו' ן' לב </w:t>
      </w:r>
      <w:r>
        <w:rPr>
          <w:rFonts w:cs="Arial" w:hint="cs"/>
          <w:rtl/>
        </w:rPr>
        <w:t>(</w:t>
      </w:r>
      <w:r w:rsidRPr="00931B0D">
        <w:rPr>
          <w:rFonts w:cs="Arial"/>
          <w:rtl/>
        </w:rPr>
        <w:t>ח"ג סי' ק</w:t>
      </w:r>
      <w:r>
        <w:rPr>
          <w:rFonts w:cs="Arial" w:hint="cs"/>
          <w:rtl/>
        </w:rPr>
        <w:t>)</w:t>
      </w:r>
      <w:r>
        <w:rPr>
          <w:rFonts w:hint="cs"/>
          <w:rtl/>
        </w:rPr>
        <w:t>, ש"ך (ס"ק ס"ב).</w:t>
      </w:r>
    </w:p>
  </w:footnote>
  <w:footnote w:id="2551">
    <w:p w14:paraId="77E5EEBC" w14:textId="77777777" w:rsidR="004C5A3C" w:rsidRDefault="004C5A3C" w:rsidP="002C39F4">
      <w:pPr>
        <w:pStyle w:val="a5"/>
      </w:pPr>
      <w:r>
        <w:rPr>
          <w:rStyle w:val="a7"/>
        </w:rPr>
        <w:footnoteRef/>
      </w:r>
      <w:r>
        <w:rPr>
          <w:rtl/>
        </w:rPr>
        <w:t xml:space="preserve"> </w:t>
      </w:r>
      <w:r w:rsidRPr="002A24D1">
        <w:rPr>
          <w:rFonts w:cs="Arial"/>
          <w:rtl/>
        </w:rPr>
        <w:t>שהאנדרוגינוס לרבי יוסי ודאי זכר הוא, ולפיכך מאכילה אף בחזה ושוק שהם מדאורייתא</w:t>
      </w:r>
      <w:r>
        <w:rPr>
          <w:rFonts w:cs="Arial" w:hint="cs"/>
          <w:rtl/>
        </w:rPr>
        <w:t>, חברותא</w:t>
      </w:r>
      <w:r w:rsidRPr="002A24D1">
        <w:rPr>
          <w:rFonts w:cs="Arial"/>
          <w:rtl/>
        </w:rPr>
        <w:t>.</w:t>
      </w:r>
    </w:p>
  </w:footnote>
  <w:footnote w:id="2552">
    <w:p w14:paraId="4B048880" w14:textId="77777777" w:rsidR="004C5A3C" w:rsidRDefault="004C5A3C" w:rsidP="002C39F4">
      <w:pPr>
        <w:pStyle w:val="a5"/>
      </w:pPr>
      <w:r>
        <w:rPr>
          <w:rStyle w:val="a7"/>
        </w:rPr>
        <w:footnoteRef/>
      </w:r>
      <w:r>
        <w:rPr>
          <w:rtl/>
        </w:rPr>
        <w:t xml:space="preserve"> </w:t>
      </w:r>
      <w:r>
        <w:rPr>
          <w:rFonts w:cs="Arial" w:hint="cs"/>
          <w:rtl/>
        </w:rPr>
        <w:t>ב</w:t>
      </w:r>
      <w:r w:rsidRPr="002A24D1">
        <w:rPr>
          <w:rFonts w:cs="Arial" w:hint="cs"/>
          <w:rtl/>
        </w:rPr>
        <w:t xml:space="preserve">תוספתא תרומות </w:t>
      </w:r>
      <w:r>
        <w:rPr>
          <w:rFonts w:cs="Arial" w:hint="cs"/>
          <w:rtl/>
        </w:rPr>
        <w:t>(</w:t>
      </w:r>
      <w:r w:rsidRPr="002A24D1">
        <w:rPr>
          <w:rFonts w:cs="Arial" w:hint="cs"/>
          <w:rtl/>
        </w:rPr>
        <w:t>פ"ו הט"ו</w:t>
      </w:r>
      <w:r>
        <w:rPr>
          <w:rFonts w:cs="Arial" w:hint="cs"/>
          <w:rtl/>
        </w:rPr>
        <w:t>)</w:t>
      </w:r>
      <w:r w:rsidRPr="002A24D1">
        <w:rPr>
          <w:rFonts w:cs="Arial" w:hint="cs"/>
          <w:rtl/>
        </w:rPr>
        <w:t>.</w:t>
      </w:r>
    </w:p>
  </w:footnote>
  <w:footnote w:id="2553">
    <w:p w14:paraId="07F57E21" w14:textId="77777777" w:rsidR="004C5A3C" w:rsidRDefault="004C5A3C" w:rsidP="002C39F4">
      <w:pPr>
        <w:pStyle w:val="a5"/>
        <w:rPr>
          <w:rtl/>
        </w:rPr>
      </w:pPr>
      <w:r>
        <w:rPr>
          <w:rStyle w:val="a7"/>
        </w:rPr>
        <w:footnoteRef/>
      </w:r>
      <w:r>
        <w:rPr>
          <w:rtl/>
        </w:rPr>
        <w:t xml:space="preserve"> </w:t>
      </w:r>
      <w:r w:rsidRPr="00A125E5">
        <w:rPr>
          <w:rFonts w:cs="Arial"/>
          <w:rtl/>
        </w:rPr>
        <w:t>דסמכינן אשאני אומר</w:t>
      </w:r>
      <w:r>
        <w:rPr>
          <w:rFonts w:cs="Arial" w:hint="cs"/>
          <w:rtl/>
        </w:rPr>
        <w:t>, רש"י</w:t>
      </w:r>
      <w:r w:rsidRPr="00A125E5">
        <w:rPr>
          <w:rFonts w:cs="Arial"/>
          <w:rtl/>
        </w:rPr>
        <w:t>.</w:t>
      </w:r>
    </w:p>
  </w:footnote>
  <w:footnote w:id="2554">
    <w:p w14:paraId="6FF4737B" w14:textId="77777777" w:rsidR="004C5A3C" w:rsidRDefault="004C5A3C" w:rsidP="002C39F4">
      <w:pPr>
        <w:pStyle w:val="a5"/>
        <w:rPr>
          <w:rtl/>
        </w:rPr>
      </w:pPr>
      <w:r>
        <w:rPr>
          <w:rStyle w:val="a7"/>
        </w:rPr>
        <w:footnoteRef/>
      </w:r>
      <w:r>
        <w:rPr>
          <w:rtl/>
        </w:rPr>
        <w:t xml:space="preserve"> </w:t>
      </w:r>
      <w:r w:rsidRPr="00A125E5">
        <w:rPr>
          <w:rFonts w:cs="Arial"/>
          <w:rtl/>
        </w:rPr>
        <w:t>דמי תלינן לקולא באיסור דאורייתא</w:t>
      </w:r>
      <w:r>
        <w:rPr>
          <w:rFonts w:cs="Arial" w:hint="cs"/>
          <w:rtl/>
        </w:rPr>
        <w:t>, רש"י</w:t>
      </w:r>
      <w:r w:rsidRPr="00A125E5">
        <w:rPr>
          <w:rFonts w:cs="Arial"/>
          <w:rtl/>
        </w:rPr>
        <w:t>.</w:t>
      </w:r>
    </w:p>
  </w:footnote>
  <w:footnote w:id="2555">
    <w:p w14:paraId="0FFF1811" w14:textId="77777777" w:rsidR="004C5A3C" w:rsidRPr="006A30BB" w:rsidRDefault="004C5A3C" w:rsidP="002C39F4">
      <w:pPr>
        <w:spacing w:after="0" w:line="240" w:lineRule="auto"/>
        <w:rPr>
          <w:rFonts w:asciiTheme="minorBidi" w:hAnsiTheme="minorBidi"/>
          <w:sz w:val="20"/>
          <w:szCs w:val="20"/>
          <w:rtl/>
        </w:rPr>
      </w:pPr>
      <w:r w:rsidRPr="006A30BB">
        <w:rPr>
          <w:rStyle w:val="a7"/>
          <w:rFonts w:asciiTheme="minorBidi" w:hAnsiTheme="minorBidi"/>
        </w:rPr>
        <w:footnoteRef/>
      </w:r>
      <w:r w:rsidRPr="006A30BB">
        <w:rPr>
          <w:rFonts w:asciiTheme="minorBidi" w:hAnsiTheme="minorBidi"/>
          <w:sz w:val="20"/>
          <w:szCs w:val="20"/>
          <w:rtl/>
        </w:rPr>
        <w:t xml:space="preserve"> </w:t>
      </w:r>
      <w:r>
        <w:rPr>
          <w:rFonts w:asciiTheme="minorBidi" w:hAnsiTheme="minorBidi" w:hint="cs"/>
          <w:sz w:val="20"/>
          <w:szCs w:val="20"/>
          <w:rtl/>
        </w:rPr>
        <w:t xml:space="preserve">ברייתא זו "שתי קופות... שאני אומר..." רבנן היא, </w:t>
      </w:r>
      <w:r w:rsidRPr="006A30BB">
        <w:rPr>
          <w:rFonts w:asciiTheme="minorBidi" w:hAnsiTheme="minorBidi"/>
          <w:sz w:val="20"/>
          <w:szCs w:val="20"/>
          <w:rtl/>
        </w:rPr>
        <w:t>דסברי תרומה בזמן הזה דרבנן</w:t>
      </w:r>
      <w:r>
        <w:rPr>
          <w:rFonts w:asciiTheme="minorBidi" w:hAnsiTheme="minorBidi"/>
          <w:sz w:val="20"/>
          <w:szCs w:val="20"/>
          <w:rtl/>
        </w:rPr>
        <w:t xml:space="preserve">, </w:t>
      </w:r>
      <w:r>
        <w:rPr>
          <w:rFonts w:asciiTheme="minorBidi" w:hAnsiTheme="minorBidi" w:hint="cs"/>
          <w:sz w:val="20"/>
          <w:szCs w:val="20"/>
          <w:rtl/>
        </w:rPr>
        <w:t>ולדבריהם קאמר רבי יוחנ</w:t>
      </w:r>
      <w:r w:rsidRPr="0072763C">
        <w:rPr>
          <w:rFonts w:asciiTheme="minorBidi" w:hAnsiTheme="minorBidi" w:hint="cs"/>
          <w:sz w:val="20"/>
          <w:szCs w:val="20"/>
          <w:rtl/>
        </w:rPr>
        <w:t>ן</w:t>
      </w:r>
      <w:r>
        <w:rPr>
          <w:rFonts w:asciiTheme="minorBidi" w:hAnsiTheme="minorBidi" w:hint="cs"/>
          <w:sz w:val="20"/>
          <w:szCs w:val="20"/>
          <w:rtl/>
        </w:rPr>
        <w:t>-</w:t>
      </w:r>
      <w:r w:rsidRPr="0072763C">
        <w:rPr>
          <w:rFonts w:asciiTheme="minorBidi" w:hAnsiTheme="minorBidi" w:hint="cs"/>
          <w:sz w:val="20"/>
          <w:szCs w:val="20"/>
          <w:rtl/>
        </w:rPr>
        <w:t xml:space="preserve"> "</w:t>
      </w:r>
      <w:r w:rsidRPr="0072763C">
        <w:rPr>
          <w:rFonts w:cs="Arial"/>
          <w:sz w:val="20"/>
          <w:szCs w:val="20"/>
          <w:rtl/>
        </w:rPr>
        <w:t>א</w:t>
      </w:r>
      <w:r w:rsidRPr="0072763C">
        <w:rPr>
          <w:rFonts w:cs="Arial" w:hint="cs"/>
          <w:sz w:val="20"/>
          <w:szCs w:val="20"/>
          <w:rtl/>
        </w:rPr>
        <w:t>ע"פ</w:t>
      </w:r>
      <w:r w:rsidRPr="0072763C">
        <w:rPr>
          <w:rFonts w:cs="Arial"/>
          <w:sz w:val="20"/>
          <w:szCs w:val="20"/>
          <w:rtl/>
        </w:rPr>
        <w:t xml:space="preserve"> שלא רבו חולין על התרומה</w:t>
      </w:r>
      <w:r w:rsidRPr="0072763C">
        <w:rPr>
          <w:rFonts w:asciiTheme="minorBidi" w:hAnsiTheme="minorBidi" w:hint="cs"/>
          <w:sz w:val="20"/>
          <w:szCs w:val="20"/>
          <w:rtl/>
        </w:rPr>
        <w:t>"</w:t>
      </w:r>
      <w:r>
        <w:rPr>
          <w:rFonts w:asciiTheme="minorBidi" w:hAnsiTheme="minorBidi" w:hint="cs"/>
          <w:sz w:val="20"/>
          <w:szCs w:val="20"/>
          <w:rtl/>
        </w:rPr>
        <w:t>,</w:t>
      </w:r>
      <w:r w:rsidRPr="0072763C">
        <w:rPr>
          <w:rFonts w:asciiTheme="minorBidi" w:hAnsiTheme="minorBidi" w:hint="cs"/>
          <w:sz w:val="20"/>
          <w:szCs w:val="20"/>
          <w:rtl/>
        </w:rPr>
        <w:t xml:space="preserve"> אבל </w:t>
      </w:r>
      <w:r w:rsidRPr="0072763C">
        <w:rPr>
          <w:rFonts w:asciiTheme="minorBidi" w:hAnsiTheme="minorBidi"/>
          <w:sz w:val="20"/>
          <w:szCs w:val="20"/>
          <w:rtl/>
        </w:rPr>
        <w:t>רבי יוחנן</w:t>
      </w:r>
      <w:r w:rsidRPr="0072763C">
        <w:rPr>
          <w:rFonts w:asciiTheme="minorBidi" w:hAnsiTheme="minorBidi" w:hint="cs"/>
          <w:sz w:val="20"/>
          <w:szCs w:val="20"/>
          <w:rtl/>
        </w:rPr>
        <w:t xml:space="preserve"> סבר ד</w:t>
      </w:r>
      <w:r>
        <w:rPr>
          <w:rFonts w:asciiTheme="minorBidi" w:hAnsiTheme="minorBidi" w:hint="cs"/>
          <w:sz w:val="20"/>
          <w:szCs w:val="20"/>
          <w:rtl/>
        </w:rPr>
        <w:t>מד</w:t>
      </w:r>
      <w:r w:rsidRPr="0072763C">
        <w:rPr>
          <w:rFonts w:asciiTheme="minorBidi" w:hAnsiTheme="minorBidi" w:hint="cs"/>
          <w:sz w:val="20"/>
          <w:szCs w:val="20"/>
          <w:rtl/>
        </w:rPr>
        <w:t>אורייתא</w:t>
      </w:r>
      <w:r>
        <w:rPr>
          <w:rFonts w:asciiTheme="minorBidi" w:hAnsiTheme="minorBidi" w:hint="cs"/>
          <w:sz w:val="20"/>
          <w:szCs w:val="20"/>
          <w:rtl/>
        </w:rPr>
        <w:t xml:space="preserve"> היא, כרבי יוסי.</w:t>
      </w:r>
    </w:p>
  </w:footnote>
  <w:footnote w:id="2556">
    <w:p w14:paraId="484B0AAF" w14:textId="77777777" w:rsidR="004C5A3C" w:rsidRDefault="004C5A3C" w:rsidP="002C39F4">
      <w:pPr>
        <w:pStyle w:val="a5"/>
        <w:rPr>
          <w:rtl/>
        </w:rPr>
      </w:pPr>
      <w:r>
        <w:rPr>
          <w:rStyle w:val="a7"/>
        </w:rPr>
        <w:footnoteRef/>
      </w:r>
      <w:r>
        <w:rPr>
          <w:rtl/>
        </w:rPr>
        <w:t xml:space="preserve"> </w:t>
      </w:r>
      <w:r w:rsidRPr="006A30BB">
        <w:rPr>
          <w:rFonts w:cs="Arial"/>
          <w:rtl/>
        </w:rPr>
        <w:t>דהא מתני' ר' יוסי קאמר לה אנדרוגינוס כהן וכו' ולדידיה אמינא אף מאכילה בחזה ושוק דהא תרומה נמי לר' יוסי דאורייתא היא אף בזמן הזה</w:t>
      </w:r>
      <w:r>
        <w:rPr>
          <w:rFonts w:cs="Arial" w:hint="cs"/>
          <w:rtl/>
        </w:rPr>
        <w:t>, רש"י</w:t>
      </w:r>
      <w:r w:rsidRPr="006A30BB">
        <w:rPr>
          <w:rFonts w:cs="Arial"/>
          <w:rtl/>
        </w:rPr>
        <w:t>.</w:t>
      </w:r>
    </w:p>
  </w:footnote>
  <w:footnote w:id="2557">
    <w:p w14:paraId="01E5B27F" w14:textId="77777777" w:rsidR="004C5A3C" w:rsidRDefault="004C5A3C" w:rsidP="002C39F4">
      <w:pPr>
        <w:pStyle w:val="a5"/>
      </w:pPr>
      <w:r>
        <w:rPr>
          <w:rStyle w:val="a7"/>
        </w:rPr>
        <w:footnoteRef/>
      </w:r>
      <w:r>
        <w:rPr>
          <w:rtl/>
        </w:rPr>
        <w:t xml:space="preserve"> </w:t>
      </w:r>
      <w:r w:rsidRPr="00A125E5">
        <w:rPr>
          <w:rFonts w:cs="Arial"/>
          <w:rtl/>
        </w:rPr>
        <w:t>בימי יהושע הויא ירושה וכן שניה דבימי עזרא דכשגלו גלות ראשונה בטלה קדושת הארץ</w:t>
      </w:r>
      <w:r>
        <w:rPr>
          <w:rFonts w:cs="Arial" w:hint="cs"/>
          <w:rtl/>
        </w:rPr>
        <w:t>, רש"י</w:t>
      </w:r>
      <w:r w:rsidRPr="00A125E5">
        <w:rPr>
          <w:rFonts w:cs="Arial"/>
          <w:rtl/>
        </w:rPr>
        <w:t>.</w:t>
      </w:r>
    </w:p>
  </w:footnote>
  <w:footnote w:id="2558">
    <w:p w14:paraId="63FD5A39" w14:textId="77777777" w:rsidR="004C5A3C" w:rsidRDefault="004C5A3C" w:rsidP="002C39F4">
      <w:pPr>
        <w:pStyle w:val="a5"/>
        <w:rPr>
          <w:rtl/>
        </w:rPr>
      </w:pPr>
      <w:r>
        <w:rPr>
          <w:rStyle w:val="a7"/>
        </w:rPr>
        <w:footnoteRef/>
      </w:r>
      <w:r>
        <w:rPr>
          <w:rtl/>
        </w:rPr>
        <w:t xml:space="preserve"> </w:t>
      </w:r>
      <w:r w:rsidRPr="00A125E5">
        <w:rPr>
          <w:rFonts w:cs="Arial"/>
          <w:rtl/>
        </w:rPr>
        <w:t>כלומר לא בעי למהדר ומירתא דירושה עומדת היא ואשמעינן האי קרא דלא בטלה קדושת הארץ בגלות טיטוס</w:t>
      </w:r>
      <w:r>
        <w:rPr>
          <w:rFonts w:hint="cs"/>
          <w:rtl/>
        </w:rPr>
        <w:t>, רש"י.</w:t>
      </w:r>
    </w:p>
  </w:footnote>
  <w:footnote w:id="2559">
    <w:p w14:paraId="097B1D5F" w14:textId="77777777" w:rsidR="004C5A3C" w:rsidRDefault="004C5A3C" w:rsidP="002C39F4">
      <w:pPr>
        <w:pStyle w:val="a5"/>
        <w:rPr>
          <w:rtl/>
        </w:rPr>
      </w:pPr>
      <w:r>
        <w:rPr>
          <w:rStyle w:val="a7"/>
        </w:rPr>
        <w:footnoteRef/>
      </w:r>
      <w:r>
        <w:rPr>
          <w:rtl/>
        </w:rPr>
        <w:t xml:space="preserve"> </w:t>
      </w:r>
      <w:r>
        <w:rPr>
          <w:rFonts w:hint="cs"/>
          <w:rtl/>
        </w:rPr>
        <w:t>רב דימי לאביי.</w:t>
      </w:r>
    </w:p>
  </w:footnote>
  <w:footnote w:id="2560">
    <w:p w14:paraId="532275C4" w14:textId="77777777" w:rsidR="004C5A3C" w:rsidRDefault="004C5A3C" w:rsidP="002C39F4">
      <w:pPr>
        <w:pStyle w:val="a5"/>
        <w:rPr>
          <w:rtl/>
        </w:rPr>
      </w:pPr>
      <w:r>
        <w:rPr>
          <w:rStyle w:val="a7"/>
        </w:rPr>
        <w:footnoteRef/>
      </w:r>
      <w:r>
        <w:rPr>
          <w:rtl/>
        </w:rPr>
        <w:t xml:space="preserve"> </w:t>
      </w:r>
      <w:r w:rsidRPr="00BA1DE9">
        <w:rPr>
          <w:rFonts w:cs="Arial"/>
          <w:rtl/>
        </w:rPr>
        <w:t>ותלינן לקולא בעון מיתה, ודילמא תרומה לתוך חולין נפל, וכי אכיל לה - איכא כזית תרומה באכילת פרס, אלא שמע מינה: אי נמי ודאי נפל - לא מיחייב משום כזית בכדי אכילת פרס אלא מדרבנן, וכי מספקא לן - תלינן לקולא, במסכת נזיר גרסינן: ואלא מאי - היתר מצטרף לאיסור, היכי אמר שאני אומר, אלא הנח לתרומת תבלין דמדרבנן, דראשית דגנך תירושך ויצהרך כתיב</w:t>
      </w:r>
      <w:r>
        <w:rPr>
          <w:rFonts w:cs="Arial" w:hint="cs"/>
          <w:rtl/>
        </w:rPr>
        <w:t>, רש"י</w:t>
      </w:r>
      <w:r w:rsidRPr="00BA1DE9">
        <w:rPr>
          <w:rFonts w:cs="Arial"/>
          <w:rtl/>
        </w:rPr>
        <w:t>.</w:t>
      </w:r>
    </w:p>
  </w:footnote>
  <w:footnote w:id="2561">
    <w:p w14:paraId="6C0CB924" w14:textId="77777777" w:rsidR="004C5A3C" w:rsidRDefault="004C5A3C" w:rsidP="002C39F4">
      <w:pPr>
        <w:pStyle w:val="a5"/>
      </w:pPr>
      <w:r>
        <w:rPr>
          <w:rStyle w:val="a7"/>
        </w:rPr>
        <w:footnoteRef/>
      </w:r>
      <w:r>
        <w:rPr>
          <w:rtl/>
        </w:rPr>
        <w:t xml:space="preserve"> </w:t>
      </w:r>
      <w:r>
        <w:rPr>
          <w:rFonts w:hint="cs"/>
          <w:rtl/>
        </w:rPr>
        <w:t xml:space="preserve">כל דברי הטור בסימן זה הם העתק מספר תורת הבית של הרשב"א, וציין זאת הטור בתחילת הסימן. וכ' הב"י דהטור העתיק דבריו משום </w:t>
      </w:r>
      <w:r w:rsidRPr="00B41A98">
        <w:rPr>
          <w:rFonts w:cs="Arial"/>
          <w:rtl/>
        </w:rPr>
        <w:t>שלא נמצא לפוסקים דבר בז</w:t>
      </w:r>
      <w:r>
        <w:rPr>
          <w:rFonts w:cs="Arial" w:hint="cs"/>
          <w:rtl/>
        </w:rPr>
        <w:t>ה.</w:t>
      </w:r>
    </w:p>
  </w:footnote>
  <w:footnote w:id="2562">
    <w:p w14:paraId="3F278B38" w14:textId="77777777" w:rsidR="004C5A3C" w:rsidRDefault="004C5A3C" w:rsidP="002C39F4">
      <w:pPr>
        <w:pStyle w:val="a5"/>
        <w:rPr>
          <w:rtl/>
        </w:rPr>
      </w:pPr>
      <w:r>
        <w:rPr>
          <w:rStyle w:val="a7"/>
        </w:rPr>
        <w:footnoteRef/>
      </w:r>
      <w:r>
        <w:rPr>
          <w:rtl/>
        </w:rPr>
        <w:t xml:space="preserve"> </w:t>
      </w:r>
      <w:r>
        <w:rPr>
          <w:rFonts w:cs="Arial" w:hint="cs"/>
          <w:rtl/>
        </w:rPr>
        <w:t>וכ' ה</w:t>
      </w:r>
      <w:r w:rsidRPr="003032CD">
        <w:rPr>
          <w:rFonts w:cs="Arial"/>
          <w:rtl/>
        </w:rPr>
        <w:t>נמ</w:t>
      </w:r>
      <w:r>
        <w:rPr>
          <w:rFonts w:cs="Arial" w:hint="cs"/>
          <w:rtl/>
        </w:rPr>
        <w:t>וק</w:t>
      </w:r>
      <w:r>
        <w:rPr>
          <w:rFonts w:cs="Arial"/>
          <w:rtl/>
        </w:rPr>
        <w:t>"י</w:t>
      </w:r>
      <w:r w:rsidRPr="003032CD">
        <w:rPr>
          <w:rFonts w:cs="Arial"/>
          <w:rtl/>
        </w:rPr>
        <w:t xml:space="preserve"> </w:t>
      </w:r>
      <w:r w:rsidRPr="00204CFF">
        <w:rPr>
          <w:rFonts w:cs="Arial"/>
          <w:sz w:val="16"/>
          <w:szCs w:val="16"/>
          <w:rtl/>
        </w:rPr>
        <w:t>(</w:t>
      </w:r>
      <w:r w:rsidRPr="00204CFF">
        <w:rPr>
          <w:rFonts w:cs="Arial" w:hint="cs"/>
          <w:sz w:val="16"/>
          <w:szCs w:val="16"/>
          <w:rtl/>
        </w:rPr>
        <w:t xml:space="preserve">יבמות </w:t>
      </w:r>
      <w:r w:rsidRPr="00204CFF">
        <w:rPr>
          <w:rFonts w:cs="Arial"/>
          <w:sz w:val="16"/>
          <w:szCs w:val="16"/>
          <w:rtl/>
        </w:rPr>
        <w:t>כו. ד"ה ואיבעית אימא)</w:t>
      </w:r>
      <w:r w:rsidRPr="00204CFF">
        <w:rPr>
          <w:rFonts w:cs="Arial" w:hint="cs"/>
          <w:sz w:val="16"/>
          <w:szCs w:val="16"/>
          <w:rtl/>
        </w:rPr>
        <w:t xml:space="preserve"> </w:t>
      </w:r>
      <w:r w:rsidRPr="003032CD">
        <w:rPr>
          <w:rFonts w:cs="Arial"/>
          <w:rtl/>
        </w:rPr>
        <w:t>וז"ל</w:t>
      </w:r>
      <w:r>
        <w:rPr>
          <w:rFonts w:cs="Arial" w:hint="cs"/>
          <w:rtl/>
        </w:rPr>
        <w:t>-</w:t>
      </w:r>
      <w:r w:rsidRPr="003032CD">
        <w:rPr>
          <w:rFonts w:cs="Arial"/>
          <w:rtl/>
        </w:rPr>
        <w:t xml:space="preserve"> ואפשר דלענין איסורי משהו החמורים לא תלינן לקולא אפילו באיסורי דרבנן בפחות מרבייה דהיינו שיהא בהיתר רוב נגד האיסור שנפל בו</w:t>
      </w:r>
      <w:r>
        <w:rPr>
          <w:rFonts w:cs="Arial" w:hint="cs"/>
          <w:rtl/>
        </w:rPr>
        <w:t>.</w:t>
      </w:r>
      <w:r>
        <w:rPr>
          <w:rFonts w:hint="cs"/>
          <w:rtl/>
        </w:rPr>
        <w:t xml:space="preserve"> עכ"ל. </w:t>
      </w:r>
      <w:r>
        <w:rPr>
          <w:rFonts w:cs="Arial" w:hint="cs"/>
          <w:rtl/>
        </w:rPr>
        <w:t xml:space="preserve">והביאו הדרכ"מ </w:t>
      </w:r>
      <w:r w:rsidRPr="00204CFF">
        <w:rPr>
          <w:rFonts w:cs="Arial"/>
          <w:sz w:val="16"/>
          <w:szCs w:val="16"/>
          <w:rtl/>
        </w:rPr>
        <w:t>(</w:t>
      </w:r>
      <w:r w:rsidRPr="00204CFF">
        <w:rPr>
          <w:rFonts w:cs="Arial" w:hint="cs"/>
          <w:sz w:val="16"/>
          <w:szCs w:val="16"/>
          <w:rtl/>
        </w:rPr>
        <w:t xml:space="preserve">אות </w:t>
      </w:r>
      <w:r w:rsidRPr="00204CFF">
        <w:rPr>
          <w:rFonts w:cs="Arial"/>
          <w:sz w:val="16"/>
          <w:szCs w:val="16"/>
          <w:rtl/>
        </w:rPr>
        <w:t>א)</w:t>
      </w:r>
      <w:r>
        <w:rPr>
          <w:rFonts w:hint="cs"/>
          <w:rtl/>
        </w:rPr>
        <w:t xml:space="preserve">. והביאם הש"ך </w:t>
      </w:r>
      <w:r w:rsidRPr="00204CFF">
        <w:rPr>
          <w:rFonts w:hint="cs"/>
          <w:sz w:val="16"/>
          <w:szCs w:val="16"/>
          <w:rtl/>
        </w:rPr>
        <w:t>(סק"ג)</w:t>
      </w:r>
      <w:r>
        <w:rPr>
          <w:rFonts w:hint="cs"/>
          <w:rtl/>
        </w:rPr>
        <w:t>.</w:t>
      </w:r>
      <w:r w:rsidRPr="00204CFF">
        <w:rPr>
          <w:rFonts w:hint="cs"/>
          <w:rtl/>
        </w:rPr>
        <w:t xml:space="preserve"> </w:t>
      </w:r>
      <w:r>
        <w:rPr>
          <w:rFonts w:hint="cs"/>
          <w:rtl/>
        </w:rPr>
        <w:t xml:space="preserve">ופר"ח </w:t>
      </w:r>
      <w:r>
        <w:rPr>
          <w:rFonts w:hint="cs"/>
          <w:sz w:val="16"/>
          <w:szCs w:val="16"/>
          <w:rtl/>
        </w:rPr>
        <w:t>(סק"ב</w:t>
      </w:r>
      <w:r w:rsidRPr="00204CFF">
        <w:rPr>
          <w:rFonts w:hint="cs"/>
          <w:sz w:val="16"/>
          <w:szCs w:val="16"/>
          <w:rtl/>
        </w:rPr>
        <w:t xml:space="preserve">) </w:t>
      </w:r>
      <w:r>
        <w:rPr>
          <w:rFonts w:hint="cs"/>
          <w:rtl/>
        </w:rPr>
        <w:t>חולק.</w:t>
      </w:r>
    </w:p>
  </w:footnote>
  <w:footnote w:id="2563">
    <w:p w14:paraId="6B14C7F8" w14:textId="77777777" w:rsidR="004C5A3C" w:rsidRDefault="004C5A3C" w:rsidP="002C39F4">
      <w:pPr>
        <w:pStyle w:val="a5"/>
      </w:pPr>
      <w:r>
        <w:rPr>
          <w:rStyle w:val="a7"/>
        </w:rPr>
        <w:footnoteRef/>
      </w:r>
      <w:r>
        <w:rPr>
          <w:rtl/>
        </w:rPr>
        <w:t xml:space="preserve"> </w:t>
      </w:r>
      <w:r>
        <w:rPr>
          <w:rFonts w:cs="Arial"/>
          <w:rtl/>
        </w:rPr>
        <w:t>וגבינה של עו</w:t>
      </w:r>
      <w:r>
        <w:rPr>
          <w:rFonts w:cs="Arial" w:hint="cs"/>
          <w:rtl/>
        </w:rPr>
        <w:t>כ"ם</w:t>
      </w:r>
      <w:r w:rsidRPr="00F12F05">
        <w:rPr>
          <w:rFonts w:cs="Arial"/>
          <w:rtl/>
        </w:rPr>
        <w:t xml:space="preserve"> וכיוצא בו</w:t>
      </w:r>
      <w:r>
        <w:rPr>
          <w:rFonts w:cs="Arial" w:hint="cs"/>
          <w:rtl/>
        </w:rPr>
        <w:t>,</w:t>
      </w:r>
      <w:r w:rsidRPr="00F12F05">
        <w:rPr>
          <w:rFonts w:cs="Arial"/>
          <w:rtl/>
        </w:rPr>
        <w:t xml:space="preserve"> אפילו איסור שיש להם עיקר בדאורייתא</w:t>
      </w:r>
      <w:r>
        <w:rPr>
          <w:rFonts w:cs="Arial" w:hint="cs"/>
          <w:rtl/>
        </w:rPr>
        <w:t>,</w:t>
      </w:r>
      <w:r>
        <w:rPr>
          <w:rFonts w:cs="Arial"/>
          <w:rtl/>
        </w:rPr>
        <w:t xml:space="preserve"> כ"כ הרשב"א בת</w:t>
      </w:r>
      <w:r>
        <w:rPr>
          <w:rFonts w:cs="Arial" w:hint="cs"/>
          <w:rtl/>
        </w:rPr>
        <w:t>וה"ב, ש"ך (סק"ב).</w:t>
      </w:r>
    </w:p>
  </w:footnote>
  <w:footnote w:id="2564">
    <w:p w14:paraId="17487320" w14:textId="77777777" w:rsidR="004C5A3C" w:rsidRDefault="004C5A3C" w:rsidP="002C39F4">
      <w:pPr>
        <w:pStyle w:val="a5"/>
      </w:pPr>
      <w:r>
        <w:rPr>
          <w:rStyle w:val="a7"/>
        </w:rPr>
        <w:footnoteRef/>
      </w:r>
      <w:r>
        <w:rPr>
          <w:rtl/>
        </w:rPr>
        <w:t xml:space="preserve"> </w:t>
      </w:r>
      <w:r w:rsidRPr="00F12F05">
        <w:rPr>
          <w:rFonts w:cs="Arial"/>
          <w:rtl/>
        </w:rPr>
        <w:t>נראה דכאן מיירי דהב' חתיכות היו ניכרות בפני עצמן קודם נפילתן איזה מהן של היתר ואיזה מהן של איסור דאי נתערבו מתחלה חד בחד א"כ כיון דאתחזק איסור בב' חתיכות כל א' וא' דיינינן ליה כגופו של איסור ותו לא אמרינן ספקא דרבנן לקולא כמ"ש בדיני ס"ס דין כ"א</w:t>
      </w:r>
      <w:r>
        <w:rPr>
          <w:rFonts w:cs="Arial" w:hint="cs"/>
          <w:rtl/>
        </w:rPr>
        <w:t>,</w:t>
      </w:r>
      <w:r w:rsidRPr="00F12F05">
        <w:rPr>
          <w:rFonts w:cs="Arial"/>
          <w:rtl/>
        </w:rPr>
        <w:t xml:space="preserve"> ומ"ש הפרישה ס"ב דמיירי דהב' חתיכות נתערבו מתחלה זה בזה קאי להדיא אב' קדרות דאפילו דיינינן כ"א כגופו של איסור מ"מ הא אפילו בחתיכה א' איכא ספיקא דרבנן לקולא בב' קדרות משא"כ בקדרה א' ודו"ק</w:t>
      </w:r>
      <w:r>
        <w:rPr>
          <w:rFonts w:cs="Arial" w:hint="cs"/>
          <w:rtl/>
        </w:rPr>
        <w:t>, ש"ך (סק"ד).</w:t>
      </w:r>
    </w:p>
  </w:footnote>
  <w:footnote w:id="2565">
    <w:p w14:paraId="51755A2E" w14:textId="77777777" w:rsidR="004C5A3C" w:rsidRDefault="004C5A3C" w:rsidP="002C39F4">
      <w:pPr>
        <w:pStyle w:val="a5"/>
      </w:pPr>
      <w:r>
        <w:rPr>
          <w:rStyle w:val="a7"/>
        </w:rPr>
        <w:footnoteRef/>
      </w:r>
      <w:r>
        <w:rPr>
          <w:rtl/>
        </w:rPr>
        <w:t xml:space="preserve"> </w:t>
      </w:r>
      <w:r w:rsidRPr="00F12F05">
        <w:rPr>
          <w:rFonts w:cs="Arial"/>
          <w:rtl/>
        </w:rPr>
        <w:t>אפי' אם החתיכ</w:t>
      </w:r>
      <w:r>
        <w:rPr>
          <w:rFonts w:cs="Arial" w:hint="cs"/>
          <w:rtl/>
        </w:rPr>
        <w:t>ה ראויה להתכבד,</w:t>
      </w:r>
      <w:r w:rsidRPr="00F12F05">
        <w:rPr>
          <w:rFonts w:cs="Arial"/>
          <w:rtl/>
        </w:rPr>
        <w:t xml:space="preserve"> דמה"ת גם היא בטילה אלא דרבנן אמרו שהחה"ל אינה בטלה</w:t>
      </w:r>
      <w:r>
        <w:rPr>
          <w:rFonts w:cs="Arial" w:hint="cs"/>
          <w:rtl/>
        </w:rPr>
        <w:t>,</w:t>
      </w:r>
      <w:r w:rsidRPr="00F12F05">
        <w:rPr>
          <w:rFonts w:cs="Arial"/>
          <w:rtl/>
        </w:rPr>
        <w:t xml:space="preserve"> ובספק כזה שהקדרה א' של נבלה לא אמרו</w:t>
      </w:r>
      <w:r>
        <w:rPr>
          <w:rFonts w:cs="Arial" w:hint="cs"/>
          <w:rtl/>
        </w:rPr>
        <w:t>,</w:t>
      </w:r>
      <w:r w:rsidRPr="00F12F05">
        <w:rPr>
          <w:rFonts w:cs="Arial"/>
          <w:rtl/>
        </w:rPr>
        <w:t xml:space="preserve"> עכ"ל פרישה </w:t>
      </w:r>
      <w:r>
        <w:rPr>
          <w:rFonts w:cs="Arial" w:hint="cs"/>
          <w:rtl/>
        </w:rPr>
        <w:t>(</w:t>
      </w:r>
      <w:r w:rsidRPr="00F12F05">
        <w:rPr>
          <w:rFonts w:cs="Arial"/>
          <w:rtl/>
        </w:rPr>
        <w:t>ס"ד</w:t>
      </w:r>
      <w:r>
        <w:rPr>
          <w:rFonts w:cs="Arial" w:hint="cs"/>
          <w:rtl/>
        </w:rPr>
        <w:t>),</w:t>
      </w:r>
      <w:r w:rsidRPr="00F12F05">
        <w:rPr>
          <w:rFonts w:cs="Arial"/>
          <w:rtl/>
        </w:rPr>
        <w:t xml:space="preserve"> ונ"ל דה"ה בב' חתיכות וב' קדרות דינא הכי</w:t>
      </w:r>
      <w:r>
        <w:rPr>
          <w:rFonts w:cs="Arial" w:hint="cs"/>
          <w:rtl/>
        </w:rPr>
        <w:t>,</w:t>
      </w:r>
      <w:r w:rsidRPr="00F12F05">
        <w:rPr>
          <w:rFonts w:cs="Arial"/>
          <w:rtl/>
        </w:rPr>
        <w:t xml:space="preserve"> וכ"כ הנ"י שם דבב' קדרות א' של שחוטה וא' של נבילה ולפניהן חתיכה של נבילה וחתיכה של שחוטה ונפלו זו לזו ואין ידוע לאיזה מהן נפלו דמדאורייתא בטל ברוב תלינן לקולא כיון דאיכא רבייה ואפילו בחתיכה חשובה דאפילו דבר שבמנין מדאורייתא חד בתרי בטל עכ"ל</w:t>
      </w:r>
      <w:r>
        <w:rPr>
          <w:rFonts w:cs="Arial" w:hint="cs"/>
          <w:rtl/>
        </w:rPr>
        <w:t>,</w:t>
      </w:r>
      <w:r w:rsidRPr="00F12F05">
        <w:rPr>
          <w:rFonts w:cs="Arial"/>
          <w:rtl/>
        </w:rPr>
        <w:t xml:space="preserve"> וכיון דמתיר באיסור דאורייתא ברבייה כ"ש באיסור דרבנן עצמו</w:t>
      </w:r>
      <w:r>
        <w:rPr>
          <w:rFonts w:cs="Arial" w:hint="cs"/>
          <w:rtl/>
        </w:rPr>
        <w:t>,</w:t>
      </w:r>
      <w:r w:rsidRPr="00F12F05">
        <w:rPr>
          <w:rFonts w:cs="Arial"/>
          <w:rtl/>
        </w:rPr>
        <w:t xml:space="preserve"> ונ"ל דה"ה בב' חתיכות וקדירה א' מותר אפילו אין חד בחד דהא מ"מ ה"ל ספק דרבנן לקולא</w:t>
      </w:r>
      <w:r>
        <w:rPr>
          <w:rFonts w:cs="Arial" w:hint="cs"/>
          <w:rtl/>
        </w:rPr>
        <w:t>,</w:t>
      </w:r>
      <w:r w:rsidRPr="00F12F05">
        <w:rPr>
          <w:rFonts w:cs="Arial"/>
          <w:rtl/>
        </w:rPr>
        <w:t xml:space="preserve"> ואדרבה בזה אמרינן טפי ספק ד</w:t>
      </w:r>
      <w:r>
        <w:rPr>
          <w:rFonts w:cs="Arial"/>
          <w:rtl/>
        </w:rPr>
        <w:t>רבנן מבב' קדרות כמ"ש לקמן סק</w:t>
      </w:r>
      <w:r>
        <w:rPr>
          <w:rFonts w:cs="Arial" w:hint="cs"/>
          <w:rtl/>
        </w:rPr>
        <w:t>"</w:t>
      </w:r>
      <w:r>
        <w:rPr>
          <w:rFonts w:cs="Arial"/>
          <w:rtl/>
        </w:rPr>
        <w:t>ו</w:t>
      </w:r>
      <w:r w:rsidRPr="00F12F05">
        <w:rPr>
          <w:rFonts w:cs="Arial"/>
          <w:rtl/>
        </w:rPr>
        <w:t xml:space="preserve"> מתה</w:t>
      </w:r>
      <w:r>
        <w:rPr>
          <w:rFonts w:cs="Arial" w:hint="cs"/>
          <w:rtl/>
        </w:rPr>
        <w:t>ו</w:t>
      </w:r>
      <w:r w:rsidRPr="00F12F05">
        <w:rPr>
          <w:rFonts w:cs="Arial"/>
          <w:rtl/>
        </w:rPr>
        <w:t>"א ע"ש</w:t>
      </w:r>
      <w:r>
        <w:rPr>
          <w:rFonts w:cs="Arial" w:hint="cs"/>
          <w:rtl/>
        </w:rPr>
        <w:t>, ש"ך (סק"ה).</w:t>
      </w:r>
      <w:r>
        <w:rPr>
          <w:rFonts w:hint="cs"/>
          <w:rtl/>
        </w:rPr>
        <w:t xml:space="preserve"> ופר"ח (סק"ג) חולק.</w:t>
      </w:r>
    </w:p>
  </w:footnote>
  <w:footnote w:id="2566">
    <w:p w14:paraId="1E118276" w14:textId="77777777" w:rsidR="004C5A3C" w:rsidRDefault="004C5A3C" w:rsidP="002C39F4">
      <w:pPr>
        <w:pStyle w:val="a5"/>
        <w:rPr>
          <w:rtl/>
        </w:rPr>
      </w:pPr>
      <w:r>
        <w:rPr>
          <w:rStyle w:val="a7"/>
        </w:rPr>
        <w:footnoteRef/>
      </w:r>
      <w:r>
        <w:rPr>
          <w:rtl/>
        </w:rPr>
        <w:t xml:space="preserve"> </w:t>
      </w:r>
      <w:r w:rsidRPr="00A125E5">
        <w:rPr>
          <w:rFonts w:cs="Arial"/>
          <w:rtl/>
        </w:rPr>
        <w:t>דסמכינן אשאני אומר</w:t>
      </w:r>
      <w:r>
        <w:rPr>
          <w:rFonts w:cs="Arial" w:hint="cs"/>
          <w:rtl/>
        </w:rPr>
        <w:t>, רש"י</w:t>
      </w:r>
      <w:r w:rsidRPr="00A125E5">
        <w:rPr>
          <w:rFonts w:cs="Arial"/>
          <w:rtl/>
        </w:rPr>
        <w:t>.</w:t>
      </w:r>
    </w:p>
  </w:footnote>
  <w:footnote w:id="2567">
    <w:p w14:paraId="20C6A3FD" w14:textId="77777777" w:rsidR="004C5A3C" w:rsidRDefault="004C5A3C" w:rsidP="002C39F4">
      <w:pPr>
        <w:pStyle w:val="a5"/>
        <w:rPr>
          <w:rtl/>
        </w:rPr>
      </w:pPr>
      <w:r>
        <w:rPr>
          <w:rStyle w:val="a7"/>
        </w:rPr>
        <w:footnoteRef/>
      </w:r>
      <w:r>
        <w:rPr>
          <w:rtl/>
        </w:rPr>
        <w:t xml:space="preserve"> </w:t>
      </w:r>
      <w:r w:rsidRPr="00A125E5">
        <w:rPr>
          <w:rFonts w:cs="Arial"/>
          <w:rtl/>
        </w:rPr>
        <w:t>דמי תלינן לקולא באיסור דאורייתא</w:t>
      </w:r>
      <w:r>
        <w:rPr>
          <w:rFonts w:cs="Arial" w:hint="cs"/>
          <w:rtl/>
        </w:rPr>
        <w:t>, רש"י</w:t>
      </w:r>
      <w:r w:rsidRPr="00A125E5">
        <w:rPr>
          <w:rFonts w:cs="Arial"/>
          <w:rtl/>
        </w:rPr>
        <w:t>.</w:t>
      </w:r>
    </w:p>
  </w:footnote>
  <w:footnote w:id="2568">
    <w:p w14:paraId="7F8DE072" w14:textId="77777777" w:rsidR="004C5A3C" w:rsidRPr="006A30BB" w:rsidRDefault="004C5A3C" w:rsidP="002C39F4">
      <w:pPr>
        <w:spacing w:after="0" w:line="240" w:lineRule="auto"/>
        <w:rPr>
          <w:rFonts w:asciiTheme="minorBidi" w:hAnsiTheme="minorBidi"/>
          <w:sz w:val="20"/>
          <w:szCs w:val="20"/>
          <w:rtl/>
        </w:rPr>
      </w:pPr>
      <w:r w:rsidRPr="006A30BB">
        <w:rPr>
          <w:rStyle w:val="a7"/>
          <w:rFonts w:asciiTheme="minorBidi" w:hAnsiTheme="minorBidi"/>
        </w:rPr>
        <w:footnoteRef/>
      </w:r>
      <w:r w:rsidRPr="006A30BB">
        <w:rPr>
          <w:rFonts w:asciiTheme="minorBidi" w:hAnsiTheme="minorBidi"/>
          <w:sz w:val="20"/>
          <w:szCs w:val="20"/>
          <w:rtl/>
        </w:rPr>
        <w:t xml:space="preserve"> </w:t>
      </w:r>
      <w:r>
        <w:rPr>
          <w:rFonts w:asciiTheme="minorBidi" w:hAnsiTheme="minorBidi" w:hint="cs"/>
          <w:sz w:val="20"/>
          <w:szCs w:val="20"/>
          <w:rtl/>
        </w:rPr>
        <w:t xml:space="preserve">ברייתא זו "שתי קופות... שאני אומר..." רבנן היא, </w:t>
      </w:r>
      <w:r w:rsidRPr="006A30BB">
        <w:rPr>
          <w:rFonts w:asciiTheme="minorBidi" w:hAnsiTheme="minorBidi"/>
          <w:sz w:val="20"/>
          <w:szCs w:val="20"/>
          <w:rtl/>
        </w:rPr>
        <w:t>דסברי תרומה בזמן הזה דרבנן</w:t>
      </w:r>
      <w:r>
        <w:rPr>
          <w:rFonts w:asciiTheme="minorBidi" w:hAnsiTheme="minorBidi"/>
          <w:sz w:val="20"/>
          <w:szCs w:val="20"/>
          <w:rtl/>
        </w:rPr>
        <w:t xml:space="preserve">, </w:t>
      </w:r>
      <w:r>
        <w:rPr>
          <w:rFonts w:asciiTheme="minorBidi" w:hAnsiTheme="minorBidi" w:hint="cs"/>
          <w:sz w:val="20"/>
          <w:szCs w:val="20"/>
          <w:rtl/>
        </w:rPr>
        <w:t>ולדבריהם קאמר רבי יוחנ</w:t>
      </w:r>
      <w:r w:rsidRPr="0072763C">
        <w:rPr>
          <w:rFonts w:asciiTheme="minorBidi" w:hAnsiTheme="minorBidi" w:hint="cs"/>
          <w:sz w:val="20"/>
          <w:szCs w:val="20"/>
          <w:rtl/>
        </w:rPr>
        <w:t>ן</w:t>
      </w:r>
      <w:r>
        <w:rPr>
          <w:rFonts w:asciiTheme="minorBidi" w:hAnsiTheme="minorBidi" w:hint="cs"/>
          <w:sz w:val="20"/>
          <w:szCs w:val="20"/>
          <w:rtl/>
        </w:rPr>
        <w:t>-</w:t>
      </w:r>
      <w:r w:rsidRPr="0072763C">
        <w:rPr>
          <w:rFonts w:asciiTheme="minorBidi" w:hAnsiTheme="minorBidi" w:hint="cs"/>
          <w:sz w:val="20"/>
          <w:szCs w:val="20"/>
          <w:rtl/>
        </w:rPr>
        <w:t xml:space="preserve"> "</w:t>
      </w:r>
      <w:r w:rsidRPr="0072763C">
        <w:rPr>
          <w:rFonts w:cs="Arial"/>
          <w:sz w:val="20"/>
          <w:szCs w:val="20"/>
          <w:rtl/>
        </w:rPr>
        <w:t>א</w:t>
      </w:r>
      <w:r w:rsidRPr="0072763C">
        <w:rPr>
          <w:rFonts w:cs="Arial" w:hint="cs"/>
          <w:sz w:val="20"/>
          <w:szCs w:val="20"/>
          <w:rtl/>
        </w:rPr>
        <w:t>ע"פ</w:t>
      </w:r>
      <w:r w:rsidRPr="0072763C">
        <w:rPr>
          <w:rFonts w:cs="Arial"/>
          <w:sz w:val="20"/>
          <w:szCs w:val="20"/>
          <w:rtl/>
        </w:rPr>
        <w:t xml:space="preserve"> שלא רבו חולין על התרומה</w:t>
      </w:r>
      <w:r w:rsidRPr="0072763C">
        <w:rPr>
          <w:rFonts w:asciiTheme="minorBidi" w:hAnsiTheme="minorBidi" w:hint="cs"/>
          <w:sz w:val="20"/>
          <w:szCs w:val="20"/>
          <w:rtl/>
        </w:rPr>
        <w:t>"</w:t>
      </w:r>
      <w:r>
        <w:rPr>
          <w:rFonts w:asciiTheme="minorBidi" w:hAnsiTheme="minorBidi" w:hint="cs"/>
          <w:sz w:val="20"/>
          <w:szCs w:val="20"/>
          <w:rtl/>
        </w:rPr>
        <w:t>,</w:t>
      </w:r>
      <w:r w:rsidRPr="0072763C">
        <w:rPr>
          <w:rFonts w:asciiTheme="minorBidi" w:hAnsiTheme="minorBidi" w:hint="cs"/>
          <w:sz w:val="20"/>
          <w:szCs w:val="20"/>
          <w:rtl/>
        </w:rPr>
        <w:t xml:space="preserve"> </w:t>
      </w:r>
      <w:r>
        <w:rPr>
          <w:rFonts w:asciiTheme="minorBidi" w:hAnsiTheme="minorBidi" w:hint="cs"/>
          <w:sz w:val="20"/>
          <w:szCs w:val="20"/>
          <w:rtl/>
        </w:rPr>
        <w:t xml:space="preserve">דסבר רבי יוחנן דבדרבנן לא בעינן ריבויא, </w:t>
      </w:r>
      <w:r w:rsidRPr="0072763C">
        <w:rPr>
          <w:rFonts w:asciiTheme="minorBidi" w:hAnsiTheme="minorBidi" w:hint="cs"/>
          <w:sz w:val="20"/>
          <w:szCs w:val="20"/>
          <w:rtl/>
        </w:rPr>
        <w:t xml:space="preserve">אבל </w:t>
      </w:r>
      <w:r w:rsidRPr="0072763C">
        <w:rPr>
          <w:rFonts w:asciiTheme="minorBidi" w:hAnsiTheme="minorBidi"/>
          <w:sz w:val="20"/>
          <w:szCs w:val="20"/>
          <w:rtl/>
        </w:rPr>
        <w:t>רבי יוחנן</w:t>
      </w:r>
      <w:r w:rsidRPr="0072763C">
        <w:rPr>
          <w:rFonts w:asciiTheme="minorBidi" w:hAnsiTheme="minorBidi" w:hint="cs"/>
          <w:sz w:val="20"/>
          <w:szCs w:val="20"/>
          <w:rtl/>
        </w:rPr>
        <w:t xml:space="preserve"> סבר ד</w:t>
      </w:r>
      <w:r>
        <w:rPr>
          <w:rFonts w:asciiTheme="minorBidi" w:hAnsiTheme="minorBidi" w:hint="cs"/>
          <w:sz w:val="20"/>
          <w:szCs w:val="20"/>
          <w:rtl/>
        </w:rPr>
        <w:t>תרומה מד</w:t>
      </w:r>
      <w:r w:rsidRPr="0072763C">
        <w:rPr>
          <w:rFonts w:asciiTheme="minorBidi" w:hAnsiTheme="minorBidi" w:hint="cs"/>
          <w:sz w:val="20"/>
          <w:szCs w:val="20"/>
          <w:rtl/>
        </w:rPr>
        <w:t>אורייתא</w:t>
      </w:r>
      <w:r>
        <w:rPr>
          <w:rFonts w:asciiTheme="minorBidi" w:hAnsiTheme="minorBidi" w:hint="cs"/>
          <w:sz w:val="20"/>
          <w:szCs w:val="20"/>
          <w:rtl/>
        </w:rPr>
        <w:t xml:space="preserve"> אף בזמה"ז, כרבי יוסי.</w:t>
      </w:r>
    </w:p>
  </w:footnote>
  <w:footnote w:id="2569">
    <w:p w14:paraId="00E876D2" w14:textId="77777777" w:rsidR="004C5A3C" w:rsidRDefault="004C5A3C" w:rsidP="002C39F4">
      <w:pPr>
        <w:pStyle w:val="a5"/>
        <w:rPr>
          <w:rtl/>
        </w:rPr>
      </w:pPr>
      <w:r>
        <w:rPr>
          <w:rStyle w:val="a7"/>
        </w:rPr>
        <w:footnoteRef/>
      </w:r>
      <w:r>
        <w:rPr>
          <w:rtl/>
        </w:rPr>
        <w:t xml:space="preserve"> </w:t>
      </w:r>
      <w:r w:rsidRPr="006A30BB">
        <w:rPr>
          <w:rFonts w:cs="Arial"/>
          <w:rtl/>
        </w:rPr>
        <w:t>דהא מתני' ר' יוסי קאמר לה אנדרוגינוס כהן וכו' ולדידיה אמינא אף מאכילה בחזה ושוק דהא תרומה נמי לר' יוסי דאורייתא היא אף בזמן הזה</w:t>
      </w:r>
      <w:r>
        <w:rPr>
          <w:rFonts w:cs="Arial" w:hint="cs"/>
          <w:rtl/>
        </w:rPr>
        <w:t>, רש"י</w:t>
      </w:r>
      <w:r w:rsidRPr="006A30BB">
        <w:rPr>
          <w:rFonts w:cs="Arial"/>
          <w:rtl/>
        </w:rPr>
        <w:t>.</w:t>
      </w:r>
    </w:p>
  </w:footnote>
  <w:footnote w:id="2570">
    <w:p w14:paraId="7122FE13" w14:textId="77777777" w:rsidR="004C5A3C" w:rsidRDefault="004C5A3C" w:rsidP="002C39F4">
      <w:pPr>
        <w:pStyle w:val="a5"/>
      </w:pPr>
      <w:r>
        <w:rPr>
          <w:rStyle w:val="a7"/>
        </w:rPr>
        <w:footnoteRef/>
      </w:r>
      <w:r>
        <w:rPr>
          <w:rtl/>
        </w:rPr>
        <w:t xml:space="preserve"> </w:t>
      </w:r>
      <w:r w:rsidRPr="00A125E5">
        <w:rPr>
          <w:rFonts w:cs="Arial"/>
          <w:rtl/>
        </w:rPr>
        <w:t>בימי יהושע הויא ירושה וכן שניה דבימי עזרא דכשגלו גלות ראשונה בטלה קדושת הארץ</w:t>
      </w:r>
      <w:r>
        <w:rPr>
          <w:rFonts w:cs="Arial" w:hint="cs"/>
          <w:rtl/>
        </w:rPr>
        <w:t>, רש"י</w:t>
      </w:r>
      <w:r w:rsidRPr="00A125E5">
        <w:rPr>
          <w:rFonts w:cs="Arial"/>
          <w:rtl/>
        </w:rPr>
        <w:t>.</w:t>
      </w:r>
    </w:p>
  </w:footnote>
  <w:footnote w:id="2571">
    <w:p w14:paraId="667A0A0D" w14:textId="77777777" w:rsidR="004C5A3C" w:rsidRDefault="004C5A3C" w:rsidP="002C39F4">
      <w:pPr>
        <w:pStyle w:val="a5"/>
        <w:rPr>
          <w:rtl/>
        </w:rPr>
      </w:pPr>
      <w:r>
        <w:rPr>
          <w:rStyle w:val="a7"/>
        </w:rPr>
        <w:footnoteRef/>
      </w:r>
      <w:r>
        <w:rPr>
          <w:rtl/>
        </w:rPr>
        <w:t xml:space="preserve"> </w:t>
      </w:r>
      <w:r w:rsidRPr="00A125E5">
        <w:rPr>
          <w:rFonts w:cs="Arial"/>
          <w:rtl/>
        </w:rPr>
        <w:t>כלומר לא בעי למהדר ומירתא דירושה עומדת היא ואשמעינן האי קרא דלא בטלה קדושת הארץ בגלות טיטוס</w:t>
      </w:r>
      <w:r>
        <w:rPr>
          <w:rFonts w:hint="cs"/>
          <w:rtl/>
        </w:rPr>
        <w:t>, רש"י.</w:t>
      </w:r>
    </w:p>
  </w:footnote>
  <w:footnote w:id="2572">
    <w:p w14:paraId="72E0705B" w14:textId="77777777" w:rsidR="004C5A3C" w:rsidRPr="00344B52" w:rsidRDefault="004C5A3C" w:rsidP="002C39F4">
      <w:pPr>
        <w:pStyle w:val="a5"/>
        <w:rPr>
          <w:rtl/>
        </w:rPr>
      </w:pPr>
      <w:r w:rsidRPr="00344B52">
        <w:rPr>
          <w:rStyle w:val="a7"/>
        </w:rPr>
        <w:footnoteRef/>
      </w:r>
      <w:r w:rsidRPr="00344B52">
        <w:rPr>
          <w:rtl/>
        </w:rPr>
        <w:t xml:space="preserve"> </w:t>
      </w:r>
      <w:r w:rsidRPr="00344B52">
        <w:rPr>
          <w:rFonts w:cs="Arial"/>
          <w:rtl/>
        </w:rPr>
        <w:t>כלומר שאינו ודאי שנפלה לתוך חולין שאני אומר לתוך תרומה נפלה ולפיכך תולין להקל אפילו לא רבו חולין על התרומה</w:t>
      </w:r>
      <w:r w:rsidRPr="00344B52">
        <w:rPr>
          <w:rFonts w:hint="cs"/>
          <w:rtl/>
        </w:rPr>
        <w:t>, ב"י.</w:t>
      </w:r>
    </w:p>
  </w:footnote>
  <w:footnote w:id="2573">
    <w:p w14:paraId="274358E2" w14:textId="77777777" w:rsidR="004C5A3C" w:rsidRDefault="004C5A3C" w:rsidP="002C39F4">
      <w:pPr>
        <w:pStyle w:val="a5"/>
        <w:rPr>
          <w:rtl/>
        </w:rPr>
      </w:pPr>
      <w:r>
        <w:rPr>
          <w:rStyle w:val="a7"/>
        </w:rPr>
        <w:footnoteRef/>
      </w:r>
      <w:r>
        <w:rPr>
          <w:rtl/>
        </w:rPr>
        <w:t xml:space="preserve"> </w:t>
      </w:r>
      <w:r>
        <w:rPr>
          <w:rFonts w:hint="cs"/>
          <w:rtl/>
        </w:rPr>
        <w:t xml:space="preserve">וכ' הש"ך (סק"ו) </w:t>
      </w:r>
      <w:r>
        <w:rPr>
          <w:rFonts w:cs="Arial" w:hint="cs"/>
          <w:rtl/>
        </w:rPr>
        <w:t xml:space="preserve">דכוונתו להתיר </w:t>
      </w:r>
      <w:r>
        <w:rPr>
          <w:rFonts w:cs="Arial"/>
          <w:rtl/>
        </w:rPr>
        <w:t>אפילו בב' קדרות</w:t>
      </w:r>
      <w:r w:rsidRPr="005359ED">
        <w:rPr>
          <w:rFonts w:cs="Arial"/>
          <w:rtl/>
        </w:rPr>
        <w:t xml:space="preserve"> </w:t>
      </w:r>
      <w:r w:rsidRPr="0025409D">
        <w:rPr>
          <w:rFonts w:cs="Arial" w:hint="cs"/>
          <w:sz w:val="16"/>
          <w:szCs w:val="16"/>
          <w:rtl/>
        </w:rPr>
        <w:t>{היינו מה שאסר הרשב"א,</w:t>
      </w:r>
      <w:r>
        <w:rPr>
          <w:rFonts w:cs="Arial" w:hint="cs"/>
          <w:sz w:val="16"/>
          <w:szCs w:val="16"/>
          <w:rtl/>
        </w:rPr>
        <w:t xml:space="preserve"> להבנת הש"ך</w:t>
      </w:r>
      <w:r w:rsidRPr="0025409D">
        <w:rPr>
          <w:rFonts w:cs="Arial" w:hint="cs"/>
          <w:sz w:val="16"/>
          <w:szCs w:val="16"/>
          <w:rtl/>
        </w:rPr>
        <w:t xml:space="preserve"> בדברי הרשב"א</w:t>
      </w:r>
      <w:r>
        <w:rPr>
          <w:rFonts w:cs="Arial" w:hint="cs"/>
          <w:sz w:val="16"/>
          <w:szCs w:val="16"/>
          <w:rtl/>
        </w:rPr>
        <w:t>}</w:t>
      </w:r>
      <w:r>
        <w:rPr>
          <w:rFonts w:cs="Arial" w:hint="cs"/>
          <w:rtl/>
        </w:rPr>
        <w:t>.</w:t>
      </w:r>
    </w:p>
  </w:footnote>
  <w:footnote w:id="2574">
    <w:p w14:paraId="5DB59976" w14:textId="77777777" w:rsidR="004C5A3C" w:rsidRDefault="004C5A3C" w:rsidP="002C39F4">
      <w:pPr>
        <w:pStyle w:val="a5"/>
        <w:rPr>
          <w:rtl/>
        </w:rPr>
      </w:pPr>
      <w:r>
        <w:rPr>
          <w:rStyle w:val="a7"/>
        </w:rPr>
        <w:footnoteRef/>
      </w:r>
      <w:r>
        <w:rPr>
          <w:rtl/>
        </w:rPr>
        <w:t xml:space="preserve"> </w:t>
      </w:r>
      <w:r w:rsidRPr="00A125E5">
        <w:rPr>
          <w:rFonts w:cs="Arial"/>
          <w:rtl/>
        </w:rPr>
        <w:t>דסמכינן אשאני אומר</w:t>
      </w:r>
      <w:r>
        <w:rPr>
          <w:rFonts w:cs="Arial" w:hint="cs"/>
          <w:rtl/>
        </w:rPr>
        <w:t>, רש"י</w:t>
      </w:r>
      <w:r w:rsidRPr="00A125E5">
        <w:rPr>
          <w:rFonts w:cs="Arial"/>
          <w:rtl/>
        </w:rPr>
        <w:t>.</w:t>
      </w:r>
    </w:p>
  </w:footnote>
  <w:footnote w:id="2575">
    <w:p w14:paraId="1ACD2906" w14:textId="77777777" w:rsidR="004C5A3C" w:rsidRDefault="004C5A3C" w:rsidP="002C39F4">
      <w:pPr>
        <w:pStyle w:val="a5"/>
        <w:rPr>
          <w:rtl/>
        </w:rPr>
      </w:pPr>
      <w:r>
        <w:rPr>
          <w:rStyle w:val="a7"/>
        </w:rPr>
        <w:footnoteRef/>
      </w:r>
      <w:r>
        <w:rPr>
          <w:rtl/>
        </w:rPr>
        <w:t xml:space="preserve"> </w:t>
      </w:r>
      <w:r w:rsidRPr="00A125E5">
        <w:rPr>
          <w:rFonts w:cs="Arial"/>
          <w:rtl/>
        </w:rPr>
        <w:t>דמי תלינן לקולא באיסור דאורייתא</w:t>
      </w:r>
      <w:r>
        <w:rPr>
          <w:rFonts w:cs="Arial" w:hint="cs"/>
          <w:rtl/>
        </w:rPr>
        <w:t>, רש"י</w:t>
      </w:r>
      <w:r w:rsidRPr="00A125E5">
        <w:rPr>
          <w:rFonts w:cs="Arial"/>
          <w:rtl/>
        </w:rPr>
        <w:t>.</w:t>
      </w:r>
    </w:p>
  </w:footnote>
  <w:footnote w:id="2576">
    <w:p w14:paraId="4BAB86E6" w14:textId="77777777" w:rsidR="004C5A3C" w:rsidRPr="006A30BB" w:rsidRDefault="004C5A3C" w:rsidP="002C39F4">
      <w:pPr>
        <w:spacing w:after="0" w:line="240" w:lineRule="auto"/>
        <w:rPr>
          <w:rFonts w:asciiTheme="minorBidi" w:hAnsiTheme="minorBidi"/>
          <w:sz w:val="20"/>
          <w:szCs w:val="20"/>
          <w:rtl/>
        </w:rPr>
      </w:pPr>
      <w:r w:rsidRPr="006A30BB">
        <w:rPr>
          <w:rStyle w:val="a7"/>
          <w:rFonts w:asciiTheme="minorBidi" w:hAnsiTheme="minorBidi"/>
        </w:rPr>
        <w:footnoteRef/>
      </w:r>
      <w:r w:rsidRPr="006A30BB">
        <w:rPr>
          <w:rFonts w:asciiTheme="minorBidi" w:hAnsiTheme="minorBidi"/>
          <w:sz w:val="20"/>
          <w:szCs w:val="20"/>
          <w:rtl/>
        </w:rPr>
        <w:t xml:space="preserve"> </w:t>
      </w:r>
      <w:r>
        <w:rPr>
          <w:rFonts w:asciiTheme="minorBidi" w:hAnsiTheme="minorBidi" w:hint="cs"/>
          <w:sz w:val="20"/>
          <w:szCs w:val="20"/>
          <w:rtl/>
        </w:rPr>
        <w:t xml:space="preserve">ברייתא זו "שתי קופות... שאני אומר..." רבנן היא, </w:t>
      </w:r>
      <w:r w:rsidRPr="006A30BB">
        <w:rPr>
          <w:rFonts w:asciiTheme="minorBidi" w:hAnsiTheme="minorBidi"/>
          <w:sz w:val="20"/>
          <w:szCs w:val="20"/>
          <w:rtl/>
        </w:rPr>
        <w:t>דסברי תרומה בזמן הזה דרבנן</w:t>
      </w:r>
      <w:r>
        <w:rPr>
          <w:rFonts w:asciiTheme="minorBidi" w:hAnsiTheme="minorBidi"/>
          <w:sz w:val="20"/>
          <w:szCs w:val="20"/>
          <w:rtl/>
        </w:rPr>
        <w:t xml:space="preserve">, </w:t>
      </w:r>
      <w:r>
        <w:rPr>
          <w:rFonts w:asciiTheme="minorBidi" w:hAnsiTheme="minorBidi" w:hint="cs"/>
          <w:sz w:val="20"/>
          <w:szCs w:val="20"/>
          <w:rtl/>
        </w:rPr>
        <w:t>ולדבריהם קאמר רבי יוחנ</w:t>
      </w:r>
      <w:r w:rsidRPr="0072763C">
        <w:rPr>
          <w:rFonts w:asciiTheme="minorBidi" w:hAnsiTheme="minorBidi" w:hint="cs"/>
          <w:sz w:val="20"/>
          <w:szCs w:val="20"/>
          <w:rtl/>
        </w:rPr>
        <w:t>ן</w:t>
      </w:r>
      <w:r>
        <w:rPr>
          <w:rFonts w:asciiTheme="minorBidi" w:hAnsiTheme="minorBidi" w:hint="cs"/>
          <w:sz w:val="20"/>
          <w:szCs w:val="20"/>
          <w:rtl/>
        </w:rPr>
        <w:t>-</w:t>
      </w:r>
      <w:r w:rsidRPr="0072763C">
        <w:rPr>
          <w:rFonts w:asciiTheme="minorBidi" w:hAnsiTheme="minorBidi" w:hint="cs"/>
          <w:sz w:val="20"/>
          <w:szCs w:val="20"/>
          <w:rtl/>
        </w:rPr>
        <w:t xml:space="preserve"> "</w:t>
      </w:r>
      <w:r w:rsidRPr="0072763C">
        <w:rPr>
          <w:rFonts w:cs="Arial"/>
          <w:sz w:val="20"/>
          <w:szCs w:val="20"/>
          <w:rtl/>
        </w:rPr>
        <w:t>א</w:t>
      </w:r>
      <w:r w:rsidRPr="0072763C">
        <w:rPr>
          <w:rFonts w:cs="Arial" w:hint="cs"/>
          <w:sz w:val="20"/>
          <w:szCs w:val="20"/>
          <w:rtl/>
        </w:rPr>
        <w:t>ע"פ</w:t>
      </w:r>
      <w:r w:rsidRPr="0072763C">
        <w:rPr>
          <w:rFonts w:cs="Arial"/>
          <w:sz w:val="20"/>
          <w:szCs w:val="20"/>
          <w:rtl/>
        </w:rPr>
        <w:t xml:space="preserve"> שלא רבו חולין על התרומה</w:t>
      </w:r>
      <w:r w:rsidRPr="0072763C">
        <w:rPr>
          <w:rFonts w:asciiTheme="minorBidi" w:hAnsiTheme="minorBidi" w:hint="cs"/>
          <w:sz w:val="20"/>
          <w:szCs w:val="20"/>
          <w:rtl/>
        </w:rPr>
        <w:t>"</w:t>
      </w:r>
      <w:r>
        <w:rPr>
          <w:rFonts w:asciiTheme="minorBidi" w:hAnsiTheme="minorBidi" w:hint="cs"/>
          <w:sz w:val="20"/>
          <w:szCs w:val="20"/>
          <w:rtl/>
        </w:rPr>
        <w:t>,</w:t>
      </w:r>
      <w:r w:rsidRPr="0072763C">
        <w:rPr>
          <w:rFonts w:asciiTheme="minorBidi" w:hAnsiTheme="minorBidi" w:hint="cs"/>
          <w:sz w:val="20"/>
          <w:szCs w:val="20"/>
          <w:rtl/>
        </w:rPr>
        <w:t xml:space="preserve"> אבל </w:t>
      </w:r>
      <w:r w:rsidRPr="0072763C">
        <w:rPr>
          <w:rFonts w:asciiTheme="minorBidi" w:hAnsiTheme="minorBidi"/>
          <w:sz w:val="20"/>
          <w:szCs w:val="20"/>
          <w:rtl/>
        </w:rPr>
        <w:t>רבי יוחנן</w:t>
      </w:r>
      <w:r w:rsidRPr="0072763C">
        <w:rPr>
          <w:rFonts w:asciiTheme="minorBidi" w:hAnsiTheme="minorBidi" w:hint="cs"/>
          <w:sz w:val="20"/>
          <w:szCs w:val="20"/>
          <w:rtl/>
        </w:rPr>
        <w:t xml:space="preserve"> סבר ד</w:t>
      </w:r>
      <w:r>
        <w:rPr>
          <w:rFonts w:asciiTheme="minorBidi" w:hAnsiTheme="minorBidi" w:hint="cs"/>
          <w:sz w:val="20"/>
          <w:szCs w:val="20"/>
          <w:rtl/>
        </w:rPr>
        <w:t>מד</w:t>
      </w:r>
      <w:r w:rsidRPr="0072763C">
        <w:rPr>
          <w:rFonts w:asciiTheme="minorBidi" w:hAnsiTheme="minorBidi" w:hint="cs"/>
          <w:sz w:val="20"/>
          <w:szCs w:val="20"/>
          <w:rtl/>
        </w:rPr>
        <w:t>אורייתא</w:t>
      </w:r>
      <w:r>
        <w:rPr>
          <w:rFonts w:asciiTheme="minorBidi" w:hAnsiTheme="minorBidi" w:hint="cs"/>
          <w:sz w:val="20"/>
          <w:szCs w:val="20"/>
          <w:rtl/>
        </w:rPr>
        <w:t xml:space="preserve"> היא, כרבי יוסי.</w:t>
      </w:r>
    </w:p>
  </w:footnote>
  <w:footnote w:id="2577">
    <w:p w14:paraId="0E62F67B" w14:textId="77777777" w:rsidR="004C5A3C" w:rsidRDefault="004C5A3C" w:rsidP="002C39F4">
      <w:pPr>
        <w:pStyle w:val="a5"/>
      </w:pPr>
      <w:r>
        <w:rPr>
          <w:rStyle w:val="a7"/>
        </w:rPr>
        <w:footnoteRef/>
      </w:r>
      <w:r>
        <w:rPr>
          <w:rtl/>
        </w:rPr>
        <w:t xml:space="preserve"> </w:t>
      </w:r>
      <w:r w:rsidRPr="008818E9">
        <w:rPr>
          <w:rFonts w:cs="Arial"/>
          <w:rtl/>
        </w:rPr>
        <w:t>כלומר במין במינו דוקא סגי ברוב לחוד כדבסמוך ס"ד</w:t>
      </w:r>
      <w:r>
        <w:rPr>
          <w:rFonts w:cs="Arial" w:hint="cs"/>
          <w:rtl/>
        </w:rPr>
        <w:t>, ש"ך (סק"ח).</w:t>
      </w:r>
    </w:p>
  </w:footnote>
  <w:footnote w:id="2578">
    <w:p w14:paraId="059686C2" w14:textId="77777777" w:rsidR="004C5A3C" w:rsidRDefault="004C5A3C" w:rsidP="002C39F4">
      <w:pPr>
        <w:pStyle w:val="a5"/>
      </w:pPr>
      <w:r>
        <w:rPr>
          <w:rStyle w:val="a7"/>
        </w:rPr>
        <w:footnoteRef/>
      </w:r>
      <w:r>
        <w:rPr>
          <w:rtl/>
        </w:rPr>
        <w:t xml:space="preserve"> </w:t>
      </w:r>
      <w:r>
        <w:rPr>
          <w:rFonts w:hint="cs"/>
          <w:rtl/>
        </w:rPr>
        <w:t>וכ' הט"ז (סק"א) דל</w:t>
      </w:r>
      <w:r w:rsidRPr="00FF65D7">
        <w:rPr>
          <w:rFonts w:cs="Arial"/>
          <w:rtl/>
        </w:rPr>
        <w:t>כא</w:t>
      </w:r>
      <w:r>
        <w:rPr>
          <w:rFonts w:cs="Arial"/>
          <w:rtl/>
        </w:rPr>
        <w:t xml:space="preserve">ורה יש להקשות על </w:t>
      </w:r>
      <w:r>
        <w:rPr>
          <w:rFonts w:cs="Arial" w:hint="cs"/>
          <w:rtl/>
        </w:rPr>
        <w:t xml:space="preserve">זה </w:t>
      </w:r>
      <w:r w:rsidRPr="00FF65D7">
        <w:rPr>
          <w:rFonts w:cs="Arial" w:hint="cs"/>
          <w:sz w:val="16"/>
          <w:szCs w:val="16"/>
          <w:rtl/>
        </w:rPr>
        <w:t>(</w:t>
      </w:r>
      <w:r>
        <w:rPr>
          <w:rFonts w:cs="Arial" w:hint="cs"/>
          <w:sz w:val="16"/>
          <w:szCs w:val="16"/>
          <w:rtl/>
        </w:rPr>
        <w:t xml:space="preserve">היינו על הא </w:t>
      </w:r>
      <w:r w:rsidRPr="00FF65D7">
        <w:rPr>
          <w:rFonts w:cs="Arial"/>
          <w:sz w:val="16"/>
          <w:szCs w:val="16"/>
          <w:rtl/>
        </w:rPr>
        <w:t>דאם ספק נפל איסור דאורייתא מותר בשיעור דרבנן</w:t>
      </w:r>
      <w:r>
        <w:rPr>
          <w:rFonts w:cs="Arial" w:hint="cs"/>
          <w:sz w:val="16"/>
          <w:szCs w:val="16"/>
          <w:rtl/>
        </w:rPr>
        <w:t>)</w:t>
      </w:r>
      <w:r>
        <w:rPr>
          <w:rFonts w:cs="Arial"/>
          <w:rtl/>
        </w:rPr>
        <w:t xml:space="preserve"> </w:t>
      </w:r>
      <w:r>
        <w:rPr>
          <w:rFonts w:cs="Arial" w:hint="cs"/>
          <w:rtl/>
        </w:rPr>
        <w:t>ש</w:t>
      </w:r>
      <w:r w:rsidRPr="00FF65D7">
        <w:rPr>
          <w:rFonts w:cs="Arial"/>
          <w:rtl/>
        </w:rPr>
        <w:t xml:space="preserve">זה סותר </w:t>
      </w:r>
      <w:r>
        <w:rPr>
          <w:rFonts w:cs="Arial"/>
          <w:rtl/>
        </w:rPr>
        <w:t>הכלל שאמרנו בסי' ס"ו ס"ד דבזה א</w:t>
      </w:r>
      <w:r>
        <w:rPr>
          <w:rFonts w:cs="Arial" w:hint="cs"/>
          <w:rtl/>
        </w:rPr>
        <w:t xml:space="preserve">ין </w:t>
      </w:r>
      <w:r w:rsidRPr="00FF65D7">
        <w:rPr>
          <w:rFonts w:cs="Arial"/>
          <w:rtl/>
        </w:rPr>
        <w:t>א</w:t>
      </w:r>
      <w:r>
        <w:rPr>
          <w:rFonts w:cs="Arial" w:hint="cs"/>
          <w:rtl/>
        </w:rPr>
        <w:t>נו</w:t>
      </w:r>
      <w:r>
        <w:rPr>
          <w:rFonts w:cs="Arial"/>
          <w:rtl/>
        </w:rPr>
        <w:t xml:space="preserve"> מקילין אלא הוה כודאי דאו</w:t>
      </w:r>
      <w:r w:rsidRPr="00FF65D7">
        <w:rPr>
          <w:rFonts w:cs="Arial"/>
          <w:rtl/>
        </w:rPr>
        <w:t>'</w:t>
      </w:r>
      <w:r>
        <w:rPr>
          <w:rFonts w:cs="Arial" w:hint="cs"/>
          <w:rtl/>
        </w:rPr>
        <w:t>,</w:t>
      </w:r>
      <w:r w:rsidRPr="00FF65D7">
        <w:rPr>
          <w:rFonts w:cs="Arial"/>
          <w:rtl/>
        </w:rPr>
        <w:t xml:space="preserve"> לק"מ דכאן ההיתר מכח שאני אומר ובהדיא אמרינן בפרק הערל שזכרתי בסמוך דכל ספק שיש בו לומר שאני אומר לא נפל כאן איסור קיל טפי</w:t>
      </w:r>
      <w:r>
        <w:rPr>
          <w:rFonts w:hint="cs"/>
          <w:rtl/>
        </w:rPr>
        <w:t>.</w:t>
      </w:r>
    </w:p>
  </w:footnote>
  <w:footnote w:id="2579">
    <w:p w14:paraId="7ABC6B2F" w14:textId="77777777" w:rsidR="004C5A3C" w:rsidRDefault="004C5A3C" w:rsidP="002C39F4">
      <w:pPr>
        <w:pStyle w:val="a5"/>
      </w:pPr>
      <w:r>
        <w:rPr>
          <w:rStyle w:val="a7"/>
        </w:rPr>
        <w:footnoteRef/>
      </w:r>
      <w:r>
        <w:rPr>
          <w:rtl/>
        </w:rPr>
        <w:t xml:space="preserve"> </w:t>
      </w:r>
      <w:r>
        <w:rPr>
          <w:rFonts w:cs="Arial"/>
          <w:rtl/>
        </w:rPr>
        <w:t>ואע</w:t>
      </w:r>
      <w:r>
        <w:rPr>
          <w:rFonts w:cs="Arial" w:hint="cs"/>
          <w:rtl/>
        </w:rPr>
        <w:t>"</w:t>
      </w:r>
      <w:r>
        <w:rPr>
          <w:rFonts w:cs="Arial"/>
          <w:rtl/>
        </w:rPr>
        <w:t>ג דמדרבנן לא בטל בההוא שיעורא כבר נתבאר דמההיא דפרק אלו עוברין שמעינן דבאיסורא דאורייתא ושיעורא דרבנן אמרינן שאני אומר</w:t>
      </w:r>
      <w:r>
        <w:rPr>
          <w:rFonts w:cs="Arial" w:hint="cs"/>
          <w:rtl/>
        </w:rPr>
        <w:t>, ב"י.</w:t>
      </w:r>
    </w:p>
  </w:footnote>
  <w:footnote w:id="2580">
    <w:p w14:paraId="2968D872" w14:textId="77777777" w:rsidR="004C5A3C" w:rsidRDefault="004C5A3C" w:rsidP="002C39F4">
      <w:pPr>
        <w:pStyle w:val="a5"/>
      </w:pPr>
      <w:r>
        <w:rPr>
          <w:rStyle w:val="a7"/>
        </w:rPr>
        <w:footnoteRef/>
      </w:r>
      <w:r>
        <w:rPr>
          <w:rtl/>
        </w:rPr>
        <w:t xml:space="preserve"> </w:t>
      </w:r>
      <w:r>
        <w:rPr>
          <w:rFonts w:cs="Arial"/>
          <w:rtl/>
        </w:rPr>
        <w:t>נתבאר בסימן צ"ח (קנד:) שכ"כ ר"ת והסכימו לדעתו הפוסקים ז"ל</w:t>
      </w:r>
      <w:r>
        <w:rPr>
          <w:rFonts w:cs="Arial" w:hint="cs"/>
          <w:rtl/>
        </w:rPr>
        <w:t>, ב"י.</w:t>
      </w:r>
    </w:p>
  </w:footnote>
  <w:footnote w:id="2581">
    <w:p w14:paraId="36445652" w14:textId="77777777" w:rsidR="004C5A3C" w:rsidRDefault="004C5A3C" w:rsidP="002C39F4">
      <w:pPr>
        <w:pStyle w:val="a5"/>
        <w:rPr>
          <w:rtl/>
        </w:rPr>
      </w:pPr>
      <w:r>
        <w:rPr>
          <w:rStyle w:val="a7"/>
        </w:rPr>
        <w:footnoteRef/>
      </w:r>
      <w:r>
        <w:rPr>
          <w:rtl/>
        </w:rPr>
        <w:t xml:space="preserve"> </w:t>
      </w:r>
      <w:r>
        <w:rPr>
          <w:rFonts w:cs="Arial"/>
          <w:rtl/>
        </w:rPr>
        <w:t>כבר נתבאר בסימן צ"ח (קנה.) שזהו דעת ר"ת</w:t>
      </w:r>
      <w:r>
        <w:rPr>
          <w:rFonts w:hint="cs"/>
          <w:rtl/>
        </w:rPr>
        <w:t>, ב"י.</w:t>
      </w:r>
    </w:p>
  </w:footnote>
  <w:footnote w:id="2582">
    <w:p w14:paraId="76B05782" w14:textId="77777777" w:rsidR="004C5A3C" w:rsidRDefault="004C5A3C" w:rsidP="002C39F4">
      <w:pPr>
        <w:pStyle w:val="a5"/>
      </w:pPr>
      <w:r>
        <w:rPr>
          <w:rStyle w:val="a7"/>
        </w:rPr>
        <w:footnoteRef/>
      </w:r>
      <w:r>
        <w:rPr>
          <w:rtl/>
        </w:rPr>
        <w:t xml:space="preserve"> </w:t>
      </w:r>
      <w:r>
        <w:rPr>
          <w:rFonts w:cs="Arial"/>
          <w:rtl/>
        </w:rPr>
        <w:t>כבר נתבאר (סי' צח קנה. סד"ה והרמב"ם) שזהו דעת רש"י (חולין צח: ד"ה לטעם)</w:t>
      </w:r>
      <w:r>
        <w:rPr>
          <w:rFonts w:cs="Arial" w:hint="cs"/>
          <w:rtl/>
        </w:rPr>
        <w:t>, ב"י.</w:t>
      </w:r>
    </w:p>
  </w:footnote>
  <w:footnote w:id="2583">
    <w:p w14:paraId="661A209E" w14:textId="77777777" w:rsidR="004C5A3C" w:rsidRDefault="004C5A3C" w:rsidP="002C39F4">
      <w:pPr>
        <w:pStyle w:val="a5"/>
      </w:pPr>
      <w:r>
        <w:rPr>
          <w:rStyle w:val="a7"/>
        </w:rPr>
        <w:footnoteRef/>
      </w:r>
      <w:r>
        <w:rPr>
          <w:rtl/>
        </w:rPr>
        <w:t xml:space="preserve"> </w:t>
      </w:r>
      <w:r w:rsidRPr="008818E9">
        <w:rPr>
          <w:rFonts w:cs="Arial"/>
          <w:rtl/>
        </w:rPr>
        <w:t>הוא הדין מין במינו ואינו מינו דאמרינן סלק שאינו מינו כאילו אינו ומינו רבה עליו ומבטלו כדאיתא סימן צ"ח</w:t>
      </w:r>
      <w:r>
        <w:rPr>
          <w:rFonts w:cs="Arial" w:hint="cs"/>
          <w:rtl/>
        </w:rPr>
        <w:t>, ט"ז (סק"ג).</w:t>
      </w:r>
    </w:p>
  </w:footnote>
  <w:footnote w:id="2584">
    <w:p w14:paraId="13623A1F" w14:textId="77777777" w:rsidR="004C5A3C" w:rsidRDefault="004C5A3C" w:rsidP="002C39F4">
      <w:pPr>
        <w:pStyle w:val="a5"/>
      </w:pPr>
      <w:r>
        <w:rPr>
          <w:rStyle w:val="a7"/>
        </w:rPr>
        <w:footnoteRef/>
      </w:r>
      <w:r>
        <w:rPr>
          <w:rtl/>
        </w:rPr>
        <w:t xml:space="preserve"> </w:t>
      </w:r>
      <w:r w:rsidRPr="008818E9">
        <w:rPr>
          <w:rFonts w:cs="Arial"/>
          <w:rtl/>
        </w:rPr>
        <w:t>וה"ה בקדרה אחת וב' חתיכות וחתיכת האיסור אינו מינו של הקדרה</w:t>
      </w:r>
      <w:r>
        <w:rPr>
          <w:rFonts w:cs="Arial"/>
          <w:rtl/>
        </w:rPr>
        <w:t xml:space="preserve"> ה"ל ספיקא דאורייתא ולחומרא</w:t>
      </w:r>
      <w:r>
        <w:rPr>
          <w:rFonts w:cs="Arial" w:hint="cs"/>
          <w:rtl/>
        </w:rPr>
        <w:t>, ש"ך (סק"י).</w:t>
      </w:r>
    </w:p>
  </w:footnote>
  <w:footnote w:id="2585">
    <w:p w14:paraId="3A5C803E" w14:textId="77777777" w:rsidR="004C5A3C" w:rsidRDefault="004C5A3C" w:rsidP="002C39F4">
      <w:pPr>
        <w:pStyle w:val="a5"/>
      </w:pPr>
      <w:r>
        <w:rPr>
          <w:rStyle w:val="a7"/>
        </w:rPr>
        <w:footnoteRef/>
      </w:r>
      <w:r>
        <w:rPr>
          <w:rtl/>
        </w:rPr>
        <w:t xml:space="preserve"> </w:t>
      </w:r>
      <w:r w:rsidRPr="008818E9">
        <w:rPr>
          <w:rFonts w:cs="Arial"/>
          <w:rtl/>
        </w:rPr>
        <w:t>לאו דוקא אלא בא לומר שקדרת ההיתר הוא אינו מינו של חתיכת האיסור</w:t>
      </w:r>
      <w:r>
        <w:rPr>
          <w:rFonts w:cs="Arial" w:hint="cs"/>
          <w:rtl/>
        </w:rPr>
        <w:t>,</w:t>
      </w:r>
      <w:r w:rsidRPr="008818E9">
        <w:rPr>
          <w:rFonts w:cs="Arial"/>
          <w:rtl/>
        </w:rPr>
        <w:t xml:space="preserve"> ואה"נ אם קדרת האיסור אינו מינו של קדי</w:t>
      </w:r>
      <w:r>
        <w:rPr>
          <w:rFonts w:cs="Arial"/>
          <w:rtl/>
        </w:rPr>
        <w:t>רת ההיתר ואינו ידוע להיכן נפל</w:t>
      </w:r>
      <w:r>
        <w:rPr>
          <w:rFonts w:cs="Arial" w:hint="cs"/>
          <w:rtl/>
        </w:rPr>
        <w:t>,</w:t>
      </w:r>
      <w:r>
        <w:rPr>
          <w:rFonts w:cs="Arial"/>
          <w:rtl/>
        </w:rPr>
        <w:t xml:space="preserve"> ה</w:t>
      </w:r>
      <w:r>
        <w:rPr>
          <w:rFonts w:cs="Arial" w:hint="cs"/>
          <w:rtl/>
        </w:rPr>
        <w:t xml:space="preserve">וי </w:t>
      </w:r>
      <w:r w:rsidRPr="008818E9">
        <w:rPr>
          <w:rFonts w:cs="Arial"/>
          <w:rtl/>
        </w:rPr>
        <w:t>ל</w:t>
      </w:r>
      <w:r>
        <w:rPr>
          <w:rFonts w:cs="Arial" w:hint="cs"/>
          <w:rtl/>
        </w:rPr>
        <w:t>יה</w:t>
      </w:r>
      <w:r w:rsidRPr="008818E9">
        <w:rPr>
          <w:rFonts w:cs="Arial"/>
          <w:rtl/>
        </w:rPr>
        <w:t xml:space="preserve"> ספיקא דאורייתא</w:t>
      </w:r>
      <w:r>
        <w:rPr>
          <w:rFonts w:cs="Arial" w:hint="cs"/>
          <w:rtl/>
        </w:rPr>
        <w:t>, ש"ך (סק"ט).</w:t>
      </w:r>
      <w:r>
        <w:rPr>
          <w:rFonts w:hint="cs"/>
          <w:rtl/>
        </w:rPr>
        <w:t xml:space="preserve"> </w:t>
      </w:r>
    </w:p>
  </w:footnote>
  <w:footnote w:id="2586">
    <w:p w14:paraId="09B0A138" w14:textId="77777777" w:rsidR="004C5A3C" w:rsidRDefault="004C5A3C" w:rsidP="002C39F4">
      <w:pPr>
        <w:pStyle w:val="a5"/>
      </w:pPr>
      <w:r>
        <w:rPr>
          <w:rStyle w:val="a7"/>
        </w:rPr>
        <w:footnoteRef/>
      </w:r>
      <w:r>
        <w:rPr>
          <w:rtl/>
        </w:rPr>
        <w:t xml:space="preserve"> </w:t>
      </w:r>
      <w:r>
        <w:rPr>
          <w:rFonts w:hint="cs"/>
          <w:rtl/>
        </w:rPr>
        <w:t xml:space="preserve">כ' הט"ז (סק"ה)- </w:t>
      </w:r>
      <w:r w:rsidRPr="008818E9">
        <w:rPr>
          <w:rFonts w:cs="Arial"/>
          <w:rtl/>
        </w:rPr>
        <w:t>זה מיירי בחתיכה הראויה לכבד שמדרבנן לא מהני ס' מ"מ כאן בספק הקילו</w:t>
      </w:r>
      <w:r>
        <w:rPr>
          <w:rFonts w:cs="Arial" w:hint="cs"/>
          <w:rtl/>
        </w:rPr>
        <w:t>,</w:t>
      </w:r>
      <w:r>
        <w:rPr>
          <w:rFonts w:cs="Arial"/>
          <w:rtl/>
        </w:rPr>
        <w:t xml:space="preserve"> כן הוא בנ</w:t>
      </w:r>
      <w:r>
        <w:rPr>
          <w:rFonts w:cs="Arial" w:hint="cs"/>
          <w:rtl/>
        </w:rPr>
        <w:t>מוק</w:t>
      </w:r>
      <w:r>
        <w:rPr>
          <w:rFonts w:cs="Arial"/>
          <w:rtl/>
        </w:rPr>
        <w:t>"י</w:t>
      </w:r>
      <w:r w:rsidRPr="0046262E">
        <w:rPr>
          <w:rFonts w:cs="Arial" w:hint="cs"/>
          <w:sz w:val="16"/>
          <w:szCs w:val="16"/>
          <w:rtl/>
        </w:rPr>
        <w:t xml:space="preserve"> (יבמות כו.)</w:t>
      </w:r>
      <w:r>
        <w:rPr>
          <w:rFonts w:cs="Arial" w:hint="cs"/>
          <w:rtl/>
        </w:rPr>
        <w:t>,</w:t>
      </w:r>
      <w:r w:rsidRPr="008818E9">
        <w:rPr>
          <w:rFonts w:cs="Arial"/>
          <w:rtl/>
        </w:rPr>
        <w:t xml:space="preserve"> ובת</w:t>
      </w:r>
      <w:r>
        <w:rPr>
          <w:rFonts w:cs="Arial" w:hint="cs"/>
          <w:rtl/>
        </w:rPr>
        <w:t>ו</w:t>
      </w:r>
      <w:r w:rsidRPr="008818E9">
        <w:rPr>
          <w:rFonts w:cs="Arial"/>
          <w:rtl/>
        </w:rPr>
        <w:t>ה</w:t>
      </w:r>
      <w:r>
        <w:rPr>
          <w:rFonts w:cs="Arial" w:hint="cs"/>
          <w:rtl/>
        </w:rPr>
        <w:t>"א</w:t>
      </w:r>
      <w:r>
        <w:rPr>
          <w:rFonts w:cs="Arial"/>
          <w:rtl/>
        </w:rPr>
        <w:t xml:space="preserve"> </w:t>
      </w:r>
      <w:r w:rsidRPr="0046262E">
        <w:rPr>
          <w:rFonts w:cs="Arial" w:hint="cs"/>
          <w:sz w:val="16"/>
          <w:szCs w:val="16"/>
          <w:rtl/>
        </w:rPr>
        <w:t>(ב"ד ש"ב כג:)</w:t>
      </w:r>
      <w:r>
        <w:rPr>
          <w:rFonts w:cs="Arial" w:hint="cs"/>
          <w:rtl/>
        </w:rPr>
        <w:t xml:space="preserve"> </w:t>
      </w:r>
      <w:r>
        <w:rPr>
          <w:rFonts w:cs="Arial"/>
          <w:rtl/>
        </w:rPr>
        <w:t>כ</w:t>
      </w:r>
      <w:r>
        <w:rPr>
          <w:rFonts w:cs="Arial" w:hint="cs"/>
          <w:rtl/>
        </w:rPr>
        <w:t>'</w:t>
      </w:r>
      <w:r>
        <w:rPr>
          <w:rFonts w:cs="Arial"/>
          <w:rtl/>
        </w:rPr>
        <w:t xml:space="preserve"> וז"ל</w:t>
      </w:r>
      <w:r>
        <w:rPr>
          <w:rFonts w:cs="Arial" w:hint="cs"/>
          <w:rtl/>
        </w:rPr>
        <w:t>-</w:t>
      </w:r>
      <w:r>
        <w:rPr>
          <w:rFonts w:cs="Arial"/>
          <w:rtl/>
        </w:rPr>
        <w:t xml:space="preserve"> אע</w:t>
      </w:r>
      <w:r>
        <w:rPr>
          <w:rFonts w:cs="Arial" w:hint="cs"/>
          <w:rtl/>
        </w:rPr>
        <w:t>"</w:t>
      </w:r>
      <w:r>
        <w:rPr>
          <w:rFonts w:cs="Arial"/>
          <w:rtl/>
        </w:rPr>
        <w:t>פ</w:t>
      </w:r>
      <w:r w:rsidRPr="008818E9">
        <w:rPr>
          <w:rFonts w:cs="Arial"/>
          <w:rtl/>
        </w:rPr>
        <w:t xml:space="preserve"> שהחמירו חכמים להצריכן יותר </w:t>
      </w:r>
      <w:r>
        <w:rPr>
          <w:rFonts w:cs="Arial" w:hint="cs"/>
          <w:rtl/>
        </w:rPr>
        <w:t>מס'</w:t>
      </w:r>
      <w:r w:rsidRPr="008818E9">
        <w:rPr>
          <w:rFonts w:cs="Arial"/>
          <w:rtl/>
        </w:rPr>
        <w:t xml:space="preserve"> עכ"ל</w:t>
      </w:r>
      <w:r>
        <w:rPr>
          <w:rFonts w:cs="Arial" w:hint="cs"/>
          <w:rtl/>
        </w:rPr>
        <w:t>,</w:t>
      </w:r>
      <w:r w:rsidRPr="008818E9">
        <w:rPr>
          <w:rFonts w:cs="Arial"/>
          <w:rtl/>
        </w:rPr>
        <w:t xml:space="preserve"> ור"ל דלפעמים דצריכין מאה לבטלו כמו בתרומה</w:t>
      </w:r>
      <w:r>
        <w:rPr>
          <w:rFonts w:hint="cs"/>
          <w:rtl/>
        </w:rPr>
        <w:t>...</w:t>
      </w:r>
    </w:p>
  </w:footnote>
  <w:footnote w:id="2587">
    <w:p w14:paraId="58259AE3" w14:textId="77777777" w:rsidR="004C5A3C" w:rsidRDefault="004C5A3C" w:rsidP="002C39F4">
      <w:pPr>
        <w:pStyle w:val="a5"/>
        <w:rPr>
          <w:rtl/>
        </w:rPr>
      </w:pPr>
      <w:r>
        <w:rPr>
          <w:rStyle w:val="a7"/>
        </w:rPr>
        <w:footnoteRef/>
      </w:r>
      <w:r>
        <w:rPr>
          <w:rtl/>
        </w:rPr>
        <w:t xml:space="preserve"> </w:t>
      </w:r>
      <w:r>
        <w:rPr>
          <w:rFonts w:hint="cs"/>
          <w:rtl/>
        </w:rPr>
        <w:t>ומייתי לה פ"ק דביצה (ג:).</w:t>
      </w:r>
    </w:p>
  </w:footnote>
  <w:footnote w:id="2588">
    <w:p w14:paraId="35B3E37D" w14:textId="77777777" w:rsidR="004C5A3C" w:rsidRDefault="004C5A3C" w:rsidP="002C39F4">
      <w:pPr>
        <w:pStyle w:val="a5"/>
        <w:rPr>
          <w:rtl/>
        </w:rPr>
      </w:pPr>
      <w:r>
        <w:rPr>
          <w:rStyle w:val="a7"/>
        </w:rPr>
        <w:footnoteRef/>
      </w:r>
      <w:r>
        <w:rPr>
          <w:rtl/>
        </w:rPr>
        <w:t xml:space="preserve"> </w:t>
      </w:r>
      <w:r>
        <w:rPr>
          <w:rFonts w:hint="cs"/>
          <w:rtl/>
        </w:rPr>
        <w:t xml:space="preserve">פירש הרמב"ם" </w:t>
      </w:r>
      <w:r>
        <w:rPr>
          <w:rFonts w:cs="Arial"/>
          <w:rtl/>
        </w:rPr>
        <w:t>לטרה</w:t>
      </w:r>
      <w:r>
        <w:rPr>
          <w:rFonts w:cs="Arial" w:hint="cs"/>
          <w:rtl/>
        </w:rPr>
        <w:t>-</w:t>
      </w:r>
      <w:r>
        <w:rPr>
          <w:rFonts w:cs="Arial"/>
          <w:rtl/>
        </w:rPr>
        <w:t xml:space="preserve"> הרוטל</w:t>
      </w:r>
      <w:r>
        <w:rPr>
          <w:rFonts w:cs="Arial" w:hint="cs"/>
          <w:rtl/>
        </w:rPr>
        <w:t>,</w:t>
      </w:r>
      <w:r>
        <w:rPr>
          <w:rFonts w:cs="Arial"/>
          <w:rtl/>
        </w:rPr>
        <w:t xml:space="preserve"> וקציעות</w:t>
      </w:r>
      <w:r>
        <w:rPr>
          <w:rFonts w:cs="Arial" w:hint="cs"/>
          <w:rtl/>
        </w:rPr>
        <w:t>-</w:t>
      </w:r>
      <w:r>
        <w:rPr>
          <w:rFonts w:cs="Arial"/>
          <w:rtl/>
        </w:rPr>
        <w:t xml:space="preserve"> התאנים היבשים</w:t>
      </w:r>
      <w:r>
        <w:rPr>
          <w:rFonts w:cs="Arial" w:hint="cs"/>
          <w:rtl/>
        </w:rPr>
        <w:t>,</w:t>
      </w:r>
      <w:r w:rsidRPr="00863A55">
        <w:rPr>
          <w:rFonts w:cs="Arial"/>
          <w:rtl/>
        </w:rPr>
        <w:t xml:space="preserve"> אמר שמי שלקח רוטל תאנים של תרומה ודרסם בפי כד של תאנים חולין, והיו שם כדין ולא ידע באיזה כד דרסן, ר' אליעזר אומר אם היה בכל הכדין מאה רוטלים, רואין את כל התאנים כאלו </w:t>
      </w:r>
      <w:r>
        <w:rPr>
          <w:rFonts w:cs="Arial"/>
          <w:rtl/>
        </w:rPr>
        <w:t>הן פרודות, והרי נתערב רוטל במאה</w:t>
      </w:r>
      <w:r w:rsidRPr="00863A55">
        <w:rPr>
          <w:rFonts w:cs="Arial"/>
          <w:rtl/>
        </w:rPr>
        <w:t xml:space="preserve"> ויעלה באחד ומאה. והלכה כר' יהושע.</w:t>
      </w:r>
    </w:p>
  </w:footnote>
  <w:footnote w:id="2589">
    <w:p w14:paraId="512AF0E6" w14:textId="77777777" w:rsidR="004C5A3C" w:rsidRPr="00EB55F7" w:rsidRDefault="004C5A3C" w:rsidP="002C39F4">
      <w:pPr>
        <w:spacing w:after="0" w:line="240" w:lineRule="auto"/>
        <w:rPr>
          <w:rFonts w:asciiTheme="minorBidi" w:hAnsiTheme="minorBidi"/>
          <w:sz w:val="20"/>
          <w:szCs w:val="20"/>
          <w:u w:val="single"/>
          <w:rtl/>
        </w:rPr>
      </w:pPr>
      <w:r w:rsidRPr="00EB55F7">
        <w:rPr>
          <w:rStyle w:val="a7"/>
          <w:rFonts w:asciiTheme="minorBidi" w:hAnsiTheme="minorBidi"/>
        </w:rPr>
        <w:footnoteRef/>
      </w:r>
      <w:r w:rsidRPr="00EB55F7">
        <w:rPr>
          <w:rFonts w:asciiTheme="minorBidi" w:hAnsiTheme="minorBidi"/>
          <w:sz w:val="20"/>
          <w:szCs w:val="20"/>
          <w:rtl/>
        </w:rPr>
        <w:t xml:space="preserve"> </w:t>
      </w:r>
      <w:r w:rsidRPr="00EB55F7">
        <w:rPr>
          <w:rFonts w:asciiTheme="minorBidi" w:hAnsiTheme="minorBidi"/>
          <w:sz w:val="20"/>
          <w:szCs w:val="20"/>
          <w:u w:val="single"/>
          <w:rtl/>
        </w:rPr>
        <w:t xml:space="preserve">ויש לשאול מדוע רבי יהושע מחמיר, והרי דבר זה הוא ספק, ואם כן ספק דרבנן לקולא </w:t>
      </w:r>
      <w:r w:rsidRPr="003E58A3">
        <w:rPr>
          <w:rFonts w:asciiTheme="minorBidi" w:hAnsiTheme="minorBidi"/>
          <w:sz w:val="16"/>
          <w:szCs w:val="16"/>
          <w:u w:val="single"/>
          <w:rtl/>
        </w:rPr>
        <w:t>(ביצה ג:)</w:t>
      </w:r>
      <w:r w:rsidRPr="00EB55F7">
        <w:rPr>
          <w:rFonts w:asciiTheme="minorBidi" w:hAnsiTheme="minorBidi"/>
          <w:sz w:val="20"/>
          <w:szCs w:val="20"/>
          <w:u w:val="single"/>
          <w:rtl/>
        </w:rPr>
        <w:t>:</w:t>
      </w:r>
    </w:p>
    <w:p w14:paraId="7768941F" w14:textId="77777777" w:rsidR="004C5A3C" w:rsidRPr="00EB55F7" w:rsidRDefault="004C5A3C" w:rsidP="0032102C">
      <w:pPr>
        <w:pStyle w:val="a8"/>
        <w:numPr>
          <w:ilvl w:val="0"/>
          <w:numId w:val="258"/>
        </w:numPr>
        <w:spacing w:after="0" w:line="240" w:lineRule="auto"/>
        <w:rPr>
          <w:rFonts w:asciiTheme="minorBidi" w:hAnsiTheme="minorBidi"/>
          <w:sz w:val="20"/>
          <w:szCs w:val="20"/>
        </w:rPr>
      </w:pPr>
      <w:r w:rsidRPr="00EB55F7">
        <w:rPr>
          <w:rFonts w:asciiTheme="minorBidi" w:hAnsiTheme="minorBidi"/>
          <w:sz w:val="20"/>
          <w:szCs w:val="20"/>
          <w:rtl/>
        </w:rPr>
        <w:t>רמב"ן</w:t>
      </w:r>
      <w:r>
        <w:rPr>
          <w:rFonts w:asciiTheme="minorBidi" w:hAnsiTheme="minorBidi" w:hint="cs"/>
          <w:sz w:val="14"/>
          <w:szCs w:val="14"/>
          <w:rtl/>
        </w:rPr>
        <w:t xml:space="preserve"> (הביאו הרשב"א)</w:t>
      </w:r>
      <w:r w:rsidRPr="00EB55F7">
        <w:rPr>
          <w:rFonts w:asciiTheme="minorBidi" w:hAnsiTheme="minorBidi"/>
          <w:sz w:val="20"/>
          <w:szCs w:val="20"/>
          <w:rtl/>
        </w:rPr>
        <w:t xml:space="preserve">- התם בשהן של אדם אחד, א"נ בשל שני בני אדם ובאו לישאל בבת אחת, אבל אם היו חביות של שני בני אדם ובאו לישאל בזה אחר זה אפילו לא היו שם ק' כד כולן מותרות דכל בדרבנן תולין להקל דומיא דשני שבילין </w:t>
      </w:r>
      <w:r w:rsidRPr="00EB55F7">
        <w:rPr>
          <w:rFonts w:asciiTheme="minorBidi" w:hAnsiTheme="minorBidi"/>
          <w:sz w:val="16"/>
          <w:szCs w:val="16"/>
          <w:rtl/>
        </w:rPr>
        <w:t>(נדה ס.)</w:t>
      </w:r>
      <w:r w:rsidRPr="00EB55F7">
        <w:rPr>
          <w:rFonts w:asciiTheme="minorBidi" w:hAnsiTheme="minorBidi"/>
          <w:sz w:val="20"/>
          <w:szCs w:val="20"/>
          <w:rtl/>
        </w:rPr>
        <w:t xml:space="preserve">. </w:t>
      </w:r>
      <w:r w:rsidRPr="00EB55F7">
        <w:rPr>
          <w:rFonts w:asciiTheme="minorBidi" w:hAnsiTheme="minorBidi"/>
          <w:sz w:val="16"/>
          <w:szCs w:val="16"/>
          <w:rtl/>
        </w:rPr>
        <w:t>(והביא הרשב"א את דבריו וכתב שאין זה מחוור בעיניו דאם איתא ה"ל לפרושי התם בחביות של אדם אחד או שבאו לישאל בבת אחת, וכדרך שפירשו בשני שבילים, ועוד דאדרבה בתוספתא דתרומות (פ"ו הי"א) משמע בהפך, אלא מסתברא לי</w:t>
      </w:r>
      <w:r>
        <w:rPr>
          <w:rFonts w:asciiTheme="minorBidi" w:hAnsiTheme="minorBidi" w:hint="cs"/>
          <w:sz w:val="16"/>
          <w:szCs w:val="16"/>
          <w:rtl/>
        </w:rPr>
        <w:t xml:space="preserve"> לפי שאין</w:t>
      </w:r>
      <w:r w:rsidRPr="00EB55F7">
        <w:rPr>
          <w:rFonts w:asciiTheme="minorBidi" w:hAnsiTheme="minorBidi"/>
          <w:sz w:val="16"/>
          <w:szCs w:val="16"/>
          <w:rtl/>
        </w:rPr>
        <w:t>-...)</w:t>
      </w:r>
      <w:r w:rsidRPr="00EB55F7">
        <w:rPr>
          <w:rFonts w:asciiTheme="minorBidi" w:hAnsiTheme="minorBidi" w:hint="cs"/>
          <w:sz w:val="20"/>
          <w:szCs w:val="20"/>
          <w:rtl/>
        </w:rPr>
        <w:t xml:space="preserve"> </w:t>
      </w:r>
    </w:p>
    <w:p w14:paraId="02077109" w14:textId="77777777" w:rsidR="004C5A3C" w:rsidRPr="00EB55F7" w:rsidRDefault="004C5A3C" w:rsidP="0032102C">
      <w:pPr>
        <w:pStyle w:val="a8"/>
        <w:numPr>
          <w:ilvl w:val="0"/>
          <w:numId w:val="258"/>
        </w:numPr>
        <w:spacing w:after="0" w:line="240" w:lineRule="auto"/>
        <w:rPr>
          <w:rFonts w:cs="Arial"/>
          <w:rtl/>
        </w:rPr>
      </w:pPr>
      <w:r w:rsidRPr="00EB55F7">
        <w:rPr>
          <w:rFonts w:asciiTheme="minorBidi" w:hAnsiTheme="minorBidi"/>
          <w:sz w:val="20"/>
          <w:szCs w:val="20"/>
          <w:rtl/>
        </w:rPr>
        <w:t xml:space="preserve">רשב"א </w:t>
      </w:r>
      <w:r w:rsidRPr="00EB55F7">
        <w:rPr>
          <w:rFonts w:asciiTheme="minorBidi" w:hAnsiTheme="minorBidi"/>
          <w:sz w:val="16"/>
          <w:szCs w:val="16"/>
          <w:rtl/>
        </w:rPr>
        <w:t>(תוה"א ב"ד ש"ב כג.)</w:t>
      </w:r>
      <w:r w:rsidRPr="00EB55F7">
        <w:rPr>
          <w:rFonts w:asciiTheme="minorBidi" w:hAnsiTheme="minorBidi"/>
          <w:sz w:val="20"/>
          <w:szCs w:val="20"/>
          <w:rtl/>
        </w:rPr>
        <w:t>- לפי שאין אומרין שאני אומר אלא במקום שא"צ לבטל כלל, כשתמצא לומר תרומה לתוך תרומה נפלה לא מדין בטול אני מתירה אלא ממילא יש לה מתירין אלא שקופת התרומה נשארה בהיתרה כמו שהיתה, וכן החולין, וכן ב' קופות אחת מדומעת ואחת שאינה מדומעת דתנן פ"ו דתרומות אני אומר לתוך של מדומעת נפלה, לפי שבכל אלו תולין תרומה לתוך תרומה משום דיש היתר לשתיהן, אבל כשאין היתר לשתיהן אלא בביטול לא... וכיון שכן כל שאם אתה אומר בזו נפלה ולא בזו, אם אתה יכול להתיר שתיהם בלי שתצטרך שום שיעור לבטל האיסור, אתה תולה להקל ואומר בזו נפלה, אבל כל שאתה צריך לשיעור לבטל, כגון ליטרא קציעות שנדרסה על פי החבית שאילו אתה אומר לא לתוך חבית זה נדרסה אלא לתוך חברתה- אין אתה מתיר עדיין את השנית אלא אוסרה, כיון שאין בה כדי לבטל האיסור, וכיון שאנו צריכין על כל פנים לשיעורים אם באנו להתיר- אפילו בפרודות לא תתיר אא"כ יש בשתיהן ס' או ק' של היתר כנגד האיסור לפי מה שהוא האיסור.</w:t>
      </w:r>
      <w:r w:rsidRPr="00EB55F7">
        <w:rPr>
          <w:rFonts w:hint="cs"/>
          <w:sz w:val="16"/>
          <w:szCs w:val="16"/>
          <w:rtl/>
        </w:rPr>
        <w:t xml:space="preserve"> (</w:t>
      </w:r>
      <w:r w:rsidRPr="00EB55F7">
        <w:rPr>
          <w:rFonts w:cs="Arial" w:hint="cs"/>
          <w:sz w:val="16"/>
          <w:szCs w:val="16"/>
          <w:rtl/>
        </w:rPr>
        <w:t xml:space="preserve">וכ' הב"י- </w:t>
      </w:r>
      <w:r w:rsidRPr="00EB55F7">
        <w:rPr>
          <w:rFonts w:cs="Arial"/>
          <w:sz w:val="16"/>
          <w:szCs w:val="16"/>
          <w:rtl/>
        </w:rPr>
        <w:t>ומתוך דברים אלו מבואר שמה שכתב ואין חילוק בין אם שתי הקדרות של אדם אחד או משל שני בני אדם שהוא לאפוקי ממה שחילק הרמב"ן בין של אדם אחד לשל שני בני אדם</w:t>
      </w:r>
      <w:r>
        <w:rPr>
          <w:rFonts w:cs="Arial" w:hint="cs"/>
          <w:sz w:val="16"/>
          <w:szCs w:val="16"/>
          <w:rtl/>
        </w:rPr>
        <w:t>)</w:t>
      </w:r>
    </w:p>
  </w:footnote>
  <w:footnote w:id="2590">
    <w:p w14:paraId="72881ED6" w14:textId="77777777" w:rsidR="004C5A3C" w:rsidRDefault="004C5A3C" w:rsidP="002C39F4">
      <w:pPr>
        <w:pStyle w:val="a5"/>
      </w:pPr>
      <w:r>
        <w:rPr>
          <w:rStyle w:val="a7"/>
        </w:rPr>
        <w:footnoteRef/>
      </w:r>
      <w:r>
        <w:rPr>
          <w:rtl/>
        </w:rPr>
        <w:t xml:space="preserve"> </w:t>
      </w:r>
      <w:r>
        <w:rPr>
          <w:rFonts w:cs="Arial" w:hint="cs"/>
          <w:rtl/>
        </w:rPr>
        <w:t xml:space="preserve">וכ' הדרכ"מ </w:t>
      </w:r>
      <w:r w:rsidRPr="002955BA">
        <w:rPr>
          <w:rFonts w:cs="Arial"/>
          <w:sz w:val="16"/>
          <w:szCs w:val="16"/>
          <w:rtl/>
        </w:rPr>
        <w:t>(</w:t>
      </w:r>
      <w:r w:rsidRPr="002955BA">
        <w:rPr>
          <w:rFonts w:cs="Arial" w:hint="cs"/>
          <w:sz w:val="16"/>
          <w:szCs w:val="16"/>
          <w:rtl/>
        </w:rPr>
        <w:t xml:space="preserve">אות </w:t>
      </w:r>
      <w:r w:rsidRPr="002955BA">
        <w:rPr>
          <w:rFonts w:cs="Arial"/>
          <w:sz w:val="16"/>
          <w:szCs w:val="16"/>
          <w:rtl/>
        </w:rPr>
        <w:t>ב)</w:t>
      </w:r>
      <w:r>
        <w:rPr>
          <w:rFonts w:cs="Arial" w:hint="cs"/>
          <w:rtl/>
        </w:rPr>
        <w:t>-</w:t>
      </w:r>
      <w:r>
        <w:rPr>
          <w:rFonts w:cs="Arial"/>
          <w:rtl/>
        </w:rPr>
        <w:t xml:space="preserve"> </w:t>
      </w:r>
      <w:r w:rsidRPr="003032CD">
        <w:rPr>
          <w:rFonts w:cs="Arial"/>
          <w:rtl/>
        </w:rPr>
        <w:t>נראה דכאן מיירי שאין ב' הקדרות מין אחד ולכך לא מצטרפי ביחד לבטל האיסור</w:t>
      </w:r>
      <w:r>
        <w:rPr>
          <w:rFonts w:cs="Arial" w:hint="cs"/>
          <w:rtl/>
        </w:rPr>
        <w:t>,</w:t>
      </w:r>
      <w:r>
        <w:rPr>
          <w:rFonts w:cs="Arial"/>
          <w:rtl/>
        </w:rPr>
        <w:t xml:space="preserve"> אבל כשהן מין א</w:t>
      </w:r>
      <w:r>
        <w:rPr>
          <w:rFonts w:cs="Arial" w:hint="cs"/>
          <w:rtl/>
        </w:rPr>
        <w:t>'</w:t>
      </w:r>
      <w:r w:rsidRPr="003032CD">
        <w:rPr>
          <w:rFonts w:cs="Arial"/>
          <w:rtl/>
        </w:rPr>
        <w:t xml:space="preserve"> ועומדים להתערב ביחד שניהם מצטרפין לבטל האיסור אם הן של אדם אחד</w:t>
      </w:r>
      <w:r>
        <w:rPr>
          <w:rFonts w:cs="Arial" w:hint="cs"/>
          <w:rtl/>
        </w:rPr>
        <w:t>,</w:t>
      </w:r>
      <w:r w:rsidRPr="003032CD">
        <w:rPr>
          <w:rFonts w:cs="Arial"/>
          <w:rtl/>
        </w:rPr>
        <w:t xml:space="preserve"> וכמו שיתבאר סוף סימן זה</w:t>
      </w:r>
      <w:r>
        <w:rPr>
          <w:rFonts w:cs="Arial"/>
          <w:rtl/>
        </w:rPr>
        <w:t>. ומדברי תו</w:t>
      </w:r>
      <w:r>
        <w:rPr>
          <w:rFonts w:cs="Arial" w:hint="cs"/>
          <w:rtl/>
        </w:rPr>
        <w:t xml:space="preserve">ה"ב </w:t>
      </w:r>
      <w:r>
        <w:rPr>
          <w:rFonts w:cs="Arial"/>
          <w:rtl/>
        </w:rPr>
        <w:t>שכתב ב</w:t>
      </w:r>
      <w:r>
        <w:rPr>
          <w:rFonts w:cs="Arial" w:hint="cs"/>
          <w:rtl/>
        </w:rPr>
        <w:t>"י</w:t>
      </w:r>
      <w:r w:rsidRPr="003032CD">
        <w:rPr>
          <w:rFonts w:cs="Arial"/>
          <w:rtl/>
        </w:rPr>
        <w:t xml:space="preserve"> יש לפרש בתירוץ אחר</w:t>
      </w:r>
      <w:r>
        <w:rPr>
          <w:rFonts w:cs="Arial" w:hint="cs"/>
          <w:rtl/>
        </w:rPr>
        <w:t>,</w:t>
      </w:r>
      <w:r w:rsidRPr="003032CD">
        <w:rPr>
          <w:rFonts w:cs="Arial"/>
          <w:rtl/>
        </w:rPr>
        <w:t xml:space="preserve"> דלא אמרינן שב' הקדרות מצטרפין אלא כששניהם בספק איסור</w:t>
      </w:r>
      <w:r>
        <w:rPr>
          <w:rFonts w:cs="Arial" w:hint="cs"/>
          <w:rtl/>
        </w:rPr>
        <w:t>,</w:t>
      </w:r>
      <w:r w:rsidRPr="003032CD">
        <w:rPr>
          <w:rFonts w:cs="Arial"/>
          <w:rtl/>
        </w:rPr>
        <w:t xml:space="preserve"> דהיינו שאין בכל אחד לחוד לבטל האיסור</w:t>
      </w:r>
      <w:r>
        <w:rPr>
          <w:rFonts w:cs="Arial" w:hint="cs"/>
          <w:rtl/>
        </w:rPr>
        <w:t>,</w:t>
      </w:r>
      <w:r w:rsidRPr="003032CD">
        <w:rPr>
          <w:rFonts w:cs="Arial"/>
          <w:rtl/>
        </w:rPr>
        <w:t xml:space="preserve"> אבל כשיש באחד מהן לבטל לא אמרינן דמצטרפים</w:t>
      </w:r>
      <w:r>
        <w:rPr>
          <w:rFonts w:cs="Arial" w:hint="cs"/>
          <w:rtl/>
        </w:rPr>
        <w:t>,</w:t>
      </w:r>
      <w:r w:rsidRPr="003032CD">
        <w:rPr>
          <w:rFonts w:cs="Arial"/>
          <w:rtl/>
        </w:rPr>
        <w:t xml:space="preserve"> כן תירץ הרשב"א. והרמב"ן כתב דכאן מיירי בשני בני אדם</w:t>
      </w:r>
      <w:r>
        <w:rPr>
          <w:rFonts w:cs="Arial" w:hint="cs"/>
          <w:rtl/>
        </w:rPr>
        <w:t>,</w:t>
      </w:r>
      <w:r w:rsidRPr="003032CD">
        <w:rPr>
          <w:rFonts w:cs="Arial"/>
          <w:rtl/>
        </w:rPr>
        <w:t xml:space="preserve"> כן נראה מדברי תו</w:t>
      </w:r>
      <w:r>
        <w:rPr>
          <w:rFonts w:cs="Arial" w:hint="cs"/>
          <w:rtl/>
        </w:rPr>
        <w:t>ה"ב</w:t>
      </w:r>
      <w:r w:rsidRPr="003032CD">
        <w:rPr>
          <w:rFonts w:cs="Arial"/>
          <w:rtl/>
        </w:rPr>
        <w:t xml:space="preserve"> שהביא ב</w:t>
      </w:r>
      <w:r>
        <w:rPr>
          <w:rFonts w:cs="Arial" w:hint="cs"/>
          <w:rtl/>
        </w:rPr>
        <w:t>"</w:t>
      </w:r>
      <w:r w:rsidRPr="003032CD">
        <w:rPr>
          <w:rFonts w:cs="Arial"/>
          <w:rtl/>
        </w:rPr>
        <w:t>י</w:t>
      </w:r>
      <w:r>
        <w:rPr>
          <w:rFonts w:hint="cs"/>
          <w:rtl/>
        </w:rPr>
        <w:t>.</w:t>
      </w:r>
    </w:p>
  </w:footnote>
  <w:footnote w:id="2591">
    <w:p w14:paraId="6B13FD44" w14:textId="77777777" w:rsidR="004C5A3C" w:rsidRDefault="004C5A3C" w:rsidP="002C39F4">
      <w:pPr>
        <w:pStyle w:val="a5"/>
      </w:pPr>
      <w:r>
        <w:rPr>
          <w:rStyle w:val="a7"/>
        </w:rPr>
        <w:footnoteRef/>
      </w:r>
      <w:r>
        <w:rPr>
          <w:rtl/>
        </w:rPr>
        <w:t xml:space="preserve"> </w:t>
      </w:r>
      <w:r w:rsidRPr="004C74D4">
        <w:rPr>
          <w:rFonts w:cs="Arial"/>
          <w:rtl/>
        </w:rPr>
        <w:t xml:space="preserve">והיינו דוקא באיסור דרבנן אבל </w:t>
      </w:r>
      <w:r>
        <w:rPr>
          <w:rFonts w:cs="Arial"/>
          <w:rtl/>
        </w:rPr>
        <w:t>בדאורייתא לא אמרינן שאני אומר דספק דאורייתא לחומרא כדלקמן סק</w:t>
      </w:r>
      <w:r>
        <w:rPr>
          <w:rFonts w:cs="Arial" w:hint="cs"/>
          <w:rtl/>
        </w:rPr>
        <w:t>י</w:t>
      </w:r>
      <w:r w:rsidRPr="004C74D4">
        <w:rPr>
          <w:rFonts w:cs="Arial"/>
          <w:rtl/>
        </w:rPr>
        <w:t>"ד</w:t>
      </w:r>
      <w:r>
        <w:rPr>
          <w:rFonts w:cs="Arial" w:hint="cs"/>
          <w:rtl/>
        </w:rPr>
        <w:t>, ש"ך (סקי"ב).</w:t>
      </w:r>
    </w:p>
  </w:footnote>
  <w:footnote w:id="2592">
    <w:p w14:paraId="78E7FE7B" w14:textId="77777777" w:rsidR="004C5A3C" w:rsidRDefault="004C5A3C" w:rsidP="002C39F4">
      <w:pPr>
        <w:pStyle w:val="a5"/>
        <w:rPr>
          <w:rtl/>
        </w:rPr>
      </w:pPr>
      <w:r>
        <w:rPr>
          <w:rStyle w:val="a7"/>
        </w:rPr>
        <w:footnoteRef/>
      </w:r>
      <w:r>
        <w:rPr>
          <w:rtl/>
        </w:rPr>
        <w:t xml:space="preserve"> </w:t>
      </w:r>
      <w:r w:rsidRPr="0046262E">
        <w:rPr>
          <w:rFonts w:cs="Arial"/>
          <w:rtl/>
        </w:rPr>
        <w:t>לפי שאין אנו אומרים שאני אומר אלא היכא שאנו תולין את האיסור באיסור אין אנו אוסרים את האיסור יותר ממה שהיה כבר אבל כאן ששתיהן של היתר אם אתה תולה האיסור בא' ומתיר השני הרי אתה אוסר א' מהן מהיתירו וא"כ כיון שאתה אוסר עכ"פ אחד מהן מאי חזית דאסרת להאי דלמא איפכא וע"כ שתיהן אסורות כ"כ הטעם הרשב"א בתה"א וכה"ג אמרינן לקמן סי' ק"ץ סעיף מ"ג וכ"כ גבי כתם ע"ש ולפ"ז משמע להדיא דאפילו שתי הקדרות ההיתר אינן שוות אלא אחת מהן קטנה ואחת גדולה אין בידינו להתיר הגדולה ולומר דהאיסור לתוך הקטנה נפל דסוף סוף אתה אוסר אחת מהן מהיתירא ומאי חזית כו' וכן הרשב"א והנמשכים אחריו לא חלקו כלל בזה וכן נראה לי ודלא כאו"ה כלל כ"ט דין ה' שכתב שתולין להקל שעל הקטנה נפל ע"ל סי' ר"א סעיף ס"ח וע"ג</w:t>
      </w:r>
      <w:r>
        <w:rPr>
          <w:rFonts w:hint="cs"/>
          <w:rtl/>
        </w:rPr>
        <w:t>, ש"ך (סקי"א).</w:t>
      </w:r>
    </w:p>
  </w:footnote>
  <w:footnote w:id="2593">
    <w:p w14:paraId="771A9A5C" w14:textId="77777777" w:rsidR="004C5A3C" w:rsidRDefault="004C5A3C" w:rsidP="002C39F4">
      <w:pPr>
        <w:pStyle w:val="a5"/>
      </w:pPr>
      <w:r>
        <w:rPr>
          <w:rStyle w:val="a7"/>
        </w:rPr>
        <w:footnoteRef/>
      </w:r>
      <w:r>
        <w:rPr>
          <w:rtl/>
        </w:rPr>
        <w:t xml:space="preserve"> </w:t>
      </w:r>
      <w:r w:rsidRPr="004C74D4">
        <w:rPr>
          <w:rFonts w:cs="Arial"/>
          <w:rtl/>
        </w:rPr>
        <w:t>ו</w:t>
      </w:r>
      <w:r>
        <w:rPr>
          <w:rFonts w:cs="Arial" w:hint="cs"/>
          <w:rtl/>
        </w:rPr>
        <w:t xml:space="preserve">וכ' הש"ך (סקי"ג) וז"ל- </w:t>
      </w:r>
      <w:r w:rsidRPr="004C74D4">
        <w:rPr>
          <w:rFonts w:cs="Arial"/>
          <w:rtl/>
        </w:rPr>
        <w:t>הקשה הב"ח אמאי לא אמרינן דשתי הקדירות מצטרפין לבטל כשהם של אדם אחד כדלקמן ס"ס זה ותירץ דהכא כיון שיש ב' חתיכות גרע טפי וכ"כ מהרש"ל בהגהותיו לטור ומביאו הפרישה ס"י ולא מסתבר לחלק בכך גם בדברי הרשב"א בתה"א משמע דאין חילוק בזה אלא נראה דלא מיירי כאן אלא מדין שאני אומר אבל מדין צירוף לא מירי כלל הכא ואפשר דמיירי הכא בהנך גווני דלא מהני לקמן צירוף וכמ"ש בס"ק י"ח וכ"כ בד"מ ובדרישה ס"ט שוב ראיתי בדברי מהרש"ל פג"ה סי' נ"ו שהוא עצמו חזר מדבריו ופירש כדברי אלא שאח"כ כתב בסוף הסימן דלענין הדין סברא חזקה היא דבב' נפילות אין מצטרפין ע"ש וסברא זו צל"ע וכן בד"מ שהבאתי לקמן ס"ק י"ח משמע להדיא דגם בב' נפילות מצטרפין</w:t>
      </w:r>
      <w:r>
        <w:rPr>
          <w:rFonts w:cs="Arial" w:hint="cs"/>
          <w:rtl/>
        </w:rPr>
        <w:t>.</w:t>
      </w:r>
    </w:p>
  </w:footnote>
  <w:footnote w:id="2594">
    <w:p w14:paraId="52A0A7FE" w14:textId="77777777" w:rsidR="004C5A3C" w:rsidRDefault="004C5A3C" w:rsidP="002C39F4">
      <w:pPr>
        <w:pStyle w:val="a5"/>
      </w:pPr>
      <w:r>
        <w:rPr>
          <w:rStyle w:val="a7"/>
        </w:rPr>
        <w:footnoteRef/>
      </w:r>
      <w:r>
        <w:rPr>
          <w:rtl/>
        </w:rPr>
        <w:t xml:space="preserve"> </w:t>
      </w:r>
      <w:r w:rsidRPr="0046262E">
        <w:rPr>
          <w:rFonts w:cs="Arial"/>
          <w:rtl/>
        </w:rPr>
        <w:t>שאני אומר האיסור נפל לתוך אותו שיש בה כדי לבטל</w:t>
      </w:r>
      <w:r>
        <w:rPr>
          <w:rFonts w:cs="Arial" w:hint="cs"/>
          <w:rtl/>
        </w:rPr>
        <w:t>,</w:t>
      </w:r>
      <w:r w:rsidRPr="0046262E">
        <w:rPr>
          <w:rFonts w:cs="Arial"/>
          <w:rtl/>
        </w:rPr>
        <w:t xml:space="preserve"> טור מת</w:t>
      </w:r>
      <w:r>
        <w:rPr>
          <w:rFonts w:cs="Arial" w:hint="cs"/>
          <w:rtl/>
        </w:rPr>
        <w:t>ו</w:t>
      </w:r>
      <w:r w:rsidRPr="0046262E">
        <w:rPr>
          <w:rFonts w:cs="Arial"/>
          <w:rtl/>
        </w:rPr>
        <w:t>ה"ק</w:t>
      </w:r>
      <w:r>
        <w:rPr>
          <w:rFonts w:cs="Arial" w:hint="cs"/>
          <w:rtl/>
        </w:rPr>
        <w:t>,</w:t>
      </w:r>
      <w:r w:rsidRPr="0046262E">
        <w:rPr>
          <w:rFonts w:cs="Arial"/>
          <w:rtl/>
        </w:rPr>
        <w:t xml:space="preserve"> והיינו דוקא באיסור דרבנן אבל בדאורייתא לא אמרינן שאני אומר ד</w:t>
      </w:r>
      <w:r>
        <w:rPr>
          <w:rFonts w:cs="Arial"/>
          <w:rtl/>
        </w:rPr>
        <w:t>הספק דאורייתא לחומרא</w:t>
      </w:r>
      <w:r>
        <w:rPr>
          <w:rFonts w:cs="Arial" w:hint="cs"/>
          <w:rtl/>
        </w:rPr>
        <w:t>,</w:t>
      </w:r>
      <w:r>
        <w:rPr>
          <w:rFonts w:cs="Arial"/>
          <w:rtl/>
        </w:rPr>
        <w:t xml:space="preserve"> כדלקמן סק</w:t>
      </w:r>
      <w:r w:rsidRPr="0046262E">
        <w:rPr>
          <w:rFonts w:cs="Arial"/>
          <w:rtl/>
        </w:rPr>
        <w:t>י"ד</w:t>
      </w:r>
      <w:r>
        <w:rPr>
          <w:rFonts w:cs="Arial" w:hint="cs"/>
          <w:rtl/>
        </w:rPr>
        <w:t>, ש"ך (סקי"ב).</w:t>
      </w:r>
    </w:p>
  </w:footnote>
  <w:footnote w:id="2595">
    <w:p w14:paraId="78599CC1" w14:textId="77777777" w:rsidR="004C5A3C" w:rsidRDefault="004C5A3C" w:rsidP="002C39F4">
      <w:pPr>
        <w:pStyle w:val="a5"/>
        <w:rPr>
          <w:rtl/>
        </w:rPr>
      </w:pPr>
      <w:r>
        <w:rPr>
          <w:rStyle w:val="a7"/>
        </w:rPr>
        <w:footnoteRef/>
      </w:r>
      <w:r>
        <w:rPr>
          <w:rtl/>
        </w:rPr>
        <w:t xml:space="preserve"> </w:t>
      </w:r>
      <w:r>
        <w:rPr>
          <w:rFonts w:hint="cs"/>
          <w:rtl/>
        </w:rPr>
        <w:t xml:space="preserve">וכ' הב"י- </w:t>
      </w:r>
      <w:r>
        <w:rPr>
          <w:rFonts w:cs="Arial"/>
          <w:rtl/>
        </w:rPr>
        <w:t>ומבואר בדבריו דבשאין בו כדי להעלות האיסור שנפל תחלה מיירי דהשתא ה"ל אחד של איסור ואחד של היתר ולפיכך אני אומר באיסור שני לתוך של איסור נפל ומשמע שאם היה בה כדי להעלות את האיסור שנפל תחלה כיון שעדיין הן של היתר כמות שהיו אין תולין באחת יותר מבחברתה אא"כ היה באחת מהן כדי לבטל איסור אחרון</w:t>
      </w:r>
      <w:r>
        <w:rPr>
          <w:rFonts w:cs="Arial" w:hint="cs"/>
          <w:rtl/>
        </w:rPr>
        <w:t>.</w:t>
      </w:r>
    </w:p>
  </w:footnote>
  <w:footnote w:id="2596">
    <w:p w14:paraId="20DF7E05" w14:textId="77777777" w:rsidR="004C5A3C" w:rsidRDefault="004C5A3C" w:rsidP="002C39F4">
      <w:pPr>
        <w:pStyle w:val="a5"/>
        <w:rPr>
          <w:rtl/>
        </w:rPr>
      </w:pPr>
      <w:r>
        <w:rPr>
          <w:rStyle w:val="a7"/>
        </w:rPr>
        <w:footnoteRef/>
      </w:r>
      <w:r>
        <w:rPr>
          <w:rtl/>
        </w:rPr>
        <w:t xml:space="preserve"> </w:t>
      </w:r>
      <w:r>
        <w:rPr>
          <w:rFonts w:cs="Arial"/>
          <w:rtl/>
        </w:rPr>
        <w:t>ונראה דטעמא משום דכיון דבשעה שנפל לא נודע באיזו מהן נפל ומחמת כן נאסרו לא יוציא שום אחת מהן מחזקתה בשביל האיסור שנפל באחרונה</w:t>
      </w:r>
      <w:r>
        <w:rPr>
          <w:rFonts w:hint="cs"/>
          <w:rtl/>
        </w:rPr>
        <w:t>, ב"י.</w:t>
      </w:r>
    </w:p>
  </w:footnote>
  <w:footnote w:id="2597">
    <w:p w14:paraId="38F23A7E" w14:textId="77777777" w:rsidR="004C5A3C" w:rsidRDefault="004C5A3C" w:rsidP="002C39F4">
      <w:pPr>
        <w:pStyle w:val="a5"/>
        <w:rPr>
          <w:rtl/>
        </w:rPr>
      </w:pPr>
      <w:r>
        <w:rPr>
          <w:rStyle w:val="a7"/>
        </w:rPr>
        <w:footnoteRef/>
      </w:r>
      <w:r>
        <w:rPr>
          <w:rtl/>
        </w:rPr>
        <w:t xml:space="preserve"> </w:t>
      </w:r>
      <w:r w:rsidRPr="004001DB">
        <w:rPr>
          <w:rFonts w:cs="Arial"/>
          <w:rtl/>
        </w:rPr>
        <w:t>ואין בה כד</w:t>
      </w:r>
      <w:r>
        <w:rPr>
          <w:rFonts w:cs="Arial"/>
          <w:rtl/>
        </w:rPr>
        <w:t>י להעלות ונאסרה מחמת</w:t>
      </w:r>
      <w:r w:rsidRPr="004001DB">
        <w:rPr>
          <w:rFonts w:cs="Arial"/>
          <w:rtl/>
        </w:rPr>
        <w:t xml:space="preserve"> מיעוטה</w:t>
      </w:r>
      <w:r>
        <w:rPr>
          <w:rFonts w:hint="cs"/>
          <w:rtl/>
        </w:rPr>
        <w:t>, רשב"א (תוה"א ב"ד ש"ב כג:).</w:t>
      </w:r>
    </w:p>
  </w:footnote>
  <w:footnote w:id="2598">
    <w:p w14:paraId="3FBAC1D9" w14:textId="77777777" w:rsidR="004C5A3C" w:rsidRPr="00FF6E19" w:rsidRDefault="004C5A3C" w:rsidP="002C39F4">
      <w:pPr>
        <w:pStyle w:val="a5"/>
        <w:rPr>
          <w:rFonts w:cs="Arial"/>
          <w:u w:val="single"/>
          <w:rtl/>
        </w:rPr>
      </w:pPr>
      <w:r>
        <w:rPr>
          <w:rStyle w:val="a7"/>
        </w:rPr>
        <w:footnoteRef/>
      </w:r>
      <w:r>
        <w:rPr>
          <w:rtl/>
        </w:rPr>
        <w:t xml:space="preserve"> </w:t>
      </w:r>
      <w:r w:rsidRPr="00FF6E19">
        <w:rPr>
          <w:rFonts w:cs="Arial" w:hint="cs"/>
          <w:u w:val="single"/>
          <w:rtl/>
        </w:rPr>
        <w:t>וקש</w:t>
      </w:r>
      <w:r w:rsidRPr="00FF6E19">
        <w:rPr>
          <w:rFonts w:cs="Arial"/>
          <w:u w:val="single"/>
          <w:rtl/>
        </w:rPr>
        <w:t>ה</w:t>
      </w:r>
      <w:r w:rsidRPr="00FF6E19">
        <w:rPr>
          <w:rFonts w:cs="Arial" w:hint="cs"/>
          <w:u w:val="single"/>
          <w:rtl/>
        </w:rPr>
        <w:t xml:space="preserve">, </w:t>
      </w:r>
      <w:r w:rsidRPr="00FF6E19">
        <w:rPr>
          <w:rFonts w:cs="Arial"/>
          <w:u w:val="single"/>
          <w:rtl/>
        </w:rPr>
        <w:t>מאי קמ"ל</w:t>
      </w:r>
      <w:r w:rsidRPr="00FF6E19">
        <w:rPr>
          <w:rFonts w:cs="Arial" w:hint="cs"/>
          <w:u w:val="single"/>
          <w:rtl/>
        </w:rPr>
        <w:t>,</w:t>
      </w:r>
      <w:r w:rsidRPr="00FF6E19">
        <w:rPr>
          <w:rFonts w:cs="Arial"/>
          <w:u w:val="single"/>
          <w:rtl/>
        </w:rPr>
        <w:t xml:space="preserve"> הא כ"ש הוא ממ</w:t>
      </w:r>
      <w:r w:rsidRPr="00FF6E19">
        <w:rPr>
          <w:rFonts w:cs="Arial" w:hint="cs"/>
          <w:u w:val="single"/>
          <w:rtl/>
        </w:rPr>
        <w:t xml:space="preserve">ה </w:t>
      </w:r>
      <w:r w:rsidRPr="00FF6E19">
        <w:rPr>
          <w:rFonts w:cs="Arial"/>
          <w:u w:val="single"/>
          <w:rtl/>
        </w:rPr>
        <w:t>ש</w:t>
      </w:r>
      <w:r w:rsidRPr="00FF6E19">
        <w:rPr>
          <w:rFonts w:cs="Arial" w:hint="cs"/>
          <w:u w:val="single"/>
          <w:rtl/>
        </w:rPr>
        <w:t>נתבאר</w:t>
      </w:r>
      <w:r w:rsidRPr="00FF6E19">
        <w:rPr>
          <w:rFonts w:cs="Arial"/>
          <w:u w:val="single"/>
          <w:rtl/>
        </w:rPr>
        <w:t xml:space="preserve"> לעיל ס"א דבשתי קדירות א' של היתר וא' של איסור וחתיכה א' של איסור דתלינן שנפל איסור לתוך האיסור וכ"ש כאן דאיכא למימר דלמקום שנפל איסור הראשון נפל גם השני</w:t>
      </w:r>
      <w:r w:rsidRPr="00FF6E19">
        <w:rPr>
          <w:rFonts w:cs="Arial" w:hint="cs"/>
          <w:u w:val="single"/>
          <w:rtl/>
        </w:rPr>
        <w:t>:</w:t>
      </w:r>
    </w:p>
    <w:p w14:paraId="7AAB8602" w14:textId="77777777" w:rsidR="004C5A3C" w:rsidRPr="00FF6E19" w:rsidRDefault="004C5A3C" w:rsidP="0032102C">
      <w:pPr>
        <w:pStyle w:val="a5"/>
        <w:numPr>
          <w:ilvl w:val="0"/>
          <w:numId w:val="246"/>
        </w:numPr>
        <w:rPr>
          <w:rtl/>
        </w:rPr>
      </w:pPr>
      <w:r>
        <w:rPr>
          <w:rFonts w:cs="Arial" w:hint="cs"/>
          <w:rtl/>
        </w:rPr>
        <w:t xml:space="preserve">ב"ח- </w:t>
      </w:r>
      <w:r w:rsidRPr="004001DB">
        <w:rPr>
          <w:rFonts w:cs="Arial"/>
          <w:rtl/>
        </w:rPr>
        <w:t>ה</w:t>
      </w:r>
      <w:r>
        <w:rPr>
          <w:rFonts w:cs="Arial"/>
          <w:rtl/>
        </w:rPr>
        <w:t xml:space="preserve">כא אשמעינן </w:t>
      </w:r>
      <w:r>
        <w:rPr>
          <w:rFonts w:cs="Arial" w:hint="cs"/>
          <w:rtl/>
        </w:rPr>
        <w:t>ד</w:t>
      </w:r>
      <w:r>
        <w:rPr>
          <w:rFonts w:cs="Arial"/>
          <w:rtl/>
        </w:rPr>
        <w:t>אפילו באיסור דאו</w:t>
      </w:r>
      <w:r>
        <w:rPr>
          <w:rFonts w:cs="Arial" w:hint="cs"/>
          <w:rtl/>
        </w:rPr>
        <w:t>'</w:t>
      </w:r>
      <w:r w:rsidRPr="004001DB">
        <w:rPr>
          <w:rFonts w:cs="Arial"/>
          <w:rtl/>
        </w:rPr>
        <w:t xml:space="preserve"> תלינן לקולא</w:t>
      </w:r>
      <w:r>
        <w:rPr>
          <w:rFonts w:cs="Arial" w:hint="cs"/>
          <w:rtl/>
        </w:rPr>
        <w:t xml:space="preserve">. </w:t>
      </w:r>
      <w:r w:rsidRPr="004001DB">
        <w:rPr>
          <w:rFonts w:cs="Arial" w:hint="cs"/>
          <w:sz w:val="16"/>
          <w:szCs w:val="16"/>
          <w:rtl/>
        </w:rPr>
        <w:t>(</w:t>
      </w:r>
      <w:r>
        <w:rPr>
          <w:rFonts w:cs="Arial" w:hint="cs"/>
          <w:sz w:val="16"/>
          <w:szCs w:val="16"/>
          <w:rtl/>
        </w:rPr>
        <w:t>ודחו הט"ז</w:t>
      </w:r>
      <w:r w:rsidRPr="004001DB">
        <w:rPr>
          <w:rFonts w:cs="Arial" w:hint="cs"/>
          <w:sz w:val="16"/>
          <w:szCs w:val="16"/>
          <w:rtl/>
        </w:rPr>
        <w:t xml:space="preserve"> </w:t>
      </w:r>
      <w:r>
        <w:rPr>
          <w:rFonts w:cs="Arial" w:hint="cs"/>
          <w:sz w:val="16"/>
          <w:szCs w:val="16"/>
          <w:rtl/>
        </w:rPr>
        <w:t>(סק"ז) ו</w:t>
      </w:r>
      <w:r w:rsidRPr="004001DB">
        <w:rPr>
          <w:rFonts w:cs="Arial" w:hint="cs"/>
          <w:sz w:val="16"/>
          <w:szCs w:val="16"/>
          <w:rtl/>
        </w:rPr>
        <w:t>הש"ך (סקי"ד)</w:t>
      </w:r>
      <w:r w:rsidRPr="004001DB">
        <w:rPr>
          <w:rFonts w:cs="Arial"/>
          <w:sz w:val="16"/>
          <w:szCs w:val="16"/>
          <w:rtl/>
        </w:rPr>
        <w:t xml:space="preserve"> </w:t>
      </w:r>
      <w:r w:rsidRPr="004001DB">
        <w:rPr>
          <w:rFonts w:cs="Arial" w:hint="cs"/>
          <w:sz w:val="16"/>
          <w:szCs w:val="16"/>
          <w:rtl/>
        </w:rPr>
        <w:t xml:space="preserve">את דבריו מכל וכל דהרי </w:t>
      </w:r>
      <w:r>
        <w:rPr>
          <w:rFonts w:cs="Arial"/>
          <w:sz w:val="16"/>
          <w:szCs w:val="16"/>
          <w:rtl/>
        </w:rPr>
        <w:t xml:space="preserve">ש"ס ערוכה </w:t>
      </w:r>
      <w:r>
        <w:rPr>
          <w:rFonts w:cs="Arial" w:hint="cs"/>
          <w:sz w:val="16"/>
          <w:szCs w:val="16"/>
          <w:rtl/>
        </w:rPr>
        <w:t>(</w:t>
      </w:r>
      <w:r>
        <w:rPr>
          <w:rFonts w:cs="Arial"/>
          <w:sz w:val="16"/>
          <w:szCs w:val="16"/>
          <w:rtl/>
        </w:rPr>
        <w:t>פסחים י</w:t>
      </w:r>
      <w:r>
        <w:rPr>
          <w:rFonts w:cs="Arial" w:hint="cs"/>
          <w:sz w:val="16"/>
          <w:szCs w:val="16"/>
          <w:rtl/>
        </w:rPr>
        <w:t>.)</w:t>
      </w:r>
      <w:r w:rsidRPr="004001DB">
        <w:rPr>
          <w:rFonts w:cs="Arial"/>
          <w:sz w:val="16"/>
          <w:szCs w:val="16"/>
          <w:rtl/>
        </w:rPr>
        <w:t xml:space="preserve"> ומוסכם מכל הפוסקים</w:t>
      </w:r>
      <w:r w:rsidRPr="004001DB">
        <w:rPr>
          <w:rFonts w:cs="Arial" w:hint="cs"/>
          <w:sz w:val="16"/>
          <w:szCs w:val="16"/>
          <w:rtl/>
        </w:rPr>
        <w:t>...</w:t>
      </w:r>
      <w:r>
        <w:rPr>
          <w:rFonts w:cs="Arial" w:hint="cs"/>
          <w:sz w:val="16"/>
          <w:szCs w:val="16"/>
          <w:rtl/>
        </w:rPr>
        <w:t>)</w:t>
      </w:r>
      <w:r w:rsidRPr="004001DB">
        <w:rPr>
          <w:rFonts w:cs="Arial"/>
          <w:rtl/>
        </w:rPr>
        <w:t xml:space="preserve"> </w:t>
      </w:r>
    </w:p>
    <w:p w14:paraId="2140F550" w14:textId="77777777" w:rsidR="004C5A3C" w:rsidRDefault="004C5A3C" w:rsidP="0032102C">
      <w:pPr>
        <w:pStyle w:val="a5"/>
        <w:numPr>
          <w:ilvl w:val="0"/>
          <w:numId w:val="259"/>
        </w:numPr>
        <w:rPr>
          <w:rtl/>
        </w:rPr>
      </w:pPr>
      <w:r>
        <w:rPr>
          <w:rFonts w:cs="Arial" w:hint="cs"/>
          <w:rtl/>
        </w:rPr>
        <w:t xml:space="preserve">ש"ך (סקי"ד)- </w:t>
      </w:r>
      <w:r w:rsidRPr="004001DB">
        <w:rPr>
          <w:rFonts w:cs="Arial"/>
          <w:rtl/>
        </w:rPr>
        <w:t>אשמועינן הכא דאע"פ שהקדירה היתה כבר מוחזקת בהיתר אלא דהשתא בנפילה איתרעי אפ"ה תלינן לקולא אבל באיסור דאורייתא ממש ודאי אין תולין להקל</w:t>
      </w:r>
      <w:r>
        <w:rPr>
          <w:rFonts w:hint="cs"/>
          <w:rtl/>
        </w:rPr>
        <w:t>.</w:t>
      </w:r>
    </w:p>
    <w:p w14:paraId="540FB7D5" w14:textId="77777777" w:rsidR="004C5A3C" w:rsidRDefault="004C5A3C" w:rsidP="0032102C">
      <w:pPr>
        <w:pStyle w:val="a5"/>
        <w:numPr>
          <w:ilvl w:val="0"/>
          <w:numId w:val="259"/>
        </w:numPr>
        <w:rPr>
          <w:rtl/>
        </w:rPr>
      </w:pPr>
      <w:r>
        <w:rPr>
          <w:rtl/>
        </w:rPr>
        <w:t>ט</w:t>
      </w:r>
      <w:r>
        <w:rPr>
          <w:rFonts w:hint="cs"/>
          <w:rtl/>
        </w:rPr>
        <w:t xml:space="preserve">"ז (סק"ז)- </w:t>
      </w:r>
      <w:r w:rsidRPr="004001DB">
        <w:rPr>
          <w:rFonts w:cs="Arial"/>
          <w:rtl/>
        </w:rPr>
        <w:t>נראה דקמ"ל כאן אף על פי שאין כאן איסור מן התורה דבטיל ברוב היא אלא דנאסרה מחמת מיעוט' מדרבנן דאין בה ס' וה"א דלא לתלות באיסור בזה</w:t>
      </w:r>
      <w:r>
        <w:rPr>
          <w:rFonts w:cs="Arial" w:hint="cs"/>
          <w:rtl/>
        </w:rPr>
        <w:t>.</w:t>
      </w:r>
    </w:p>
  </w:footnote>
  <w:footnote w:id="2599">
    <w:p w14:paraId="7A0C41F0" w14:textId="77777777" w:rsidR="004C5A3C" w:rsidRDefault="004C5A3C" w:rsidP="002C39F4">
      <w:pPr>
        <w:pStyle w:val="a5"/>
        <w:rPr>
          <w:rtl/>
        </w:rPr>
      </w:pPr>
      <w:r>
        <w:rPr>
          <w:rStyle w:val="a7"/>
        </w:rPr>
        <w:footnoteRef/>
      </w:r>
      <w:r>
        <w:rPr>
          <w:rtl/>
        </w:rPr>
        <w:t xml:space="preserve"> </w:t>
      </w:r>
      <w:r w:rsidRPr="004001DB">
        <w:rPr>
          <w:rFonts w:cs="Arial"/>
          <w:rtl/>
        </w:rPr>
        <w:t xml:space="preserve">ואין אומרים למקום שנפל האיסור האחרון נפל גם הראשון אלא דינו כמו נפל איסור ואינו </w:t>
      </w:r>
      <w:r>
        <w:rPr>
          <w:rFonts w:cs="Arial"/>
          <w:rtl/>
        </w:rPr>
        <w:t>ידוע להיכן נפל וכמו שנתבאר בסע</w:t>
      </w:r>
      <w:r>
        <w:rPr>
          <w:rFonts w:cs="Arial" w:hint="cs"/>
          <w:rtl/>
        </w:rPr>
        <w:t>'</w:t>
      </w:r>
      <w:r>
        <w:rPr>
          <w:rFonts w:cs="Arial"/>
          <w:rtl/>
        </w:rPr>
        <w:t xml:space="preserve"> ה</w:t>
      </w:r>
      <w:r>
        <w:rPr>
          <w:rFonts w:hint="cs"/>
          <w:rtl/>
        </w:rPr>
        <w:t>, ש"ך (סקט"ו).</w:t>
      </w:r>
    </w:p>
  </w:footnote>
  <w:footnote w:id="2600">
    <w:p w14:paraId="434A930B" w14:textId="77777777" w:rsidR="004C5A3C" w:rsidRDefault="004C5A3C" w:rsidP="002C39F4">
      <w:pPr>
        <w:pStyle w:val="a5"/>
        <w:rPr>
          <w:rtl/>
        </w:rPr>
      </w:pPr>
      <w:r>
        <w:rPr>
          <w:rStyle w:val="a7"/>
        </w:rPr>
        <w:footnoteRef/>
      </w:r>
      <w:r>
        <w:rPr>
          <w:rtl/>
        </w:rPr>
        <w:t xml:space="preserve"> </w:t>
      </w:r>
      <w:r>
        <w:rPr>
          <w:rFonts w:hint="cs"/>
          <w:rtl/>
        </w:rPr>
        <w:t>ומייתי לה פ"ק דביצה (ג:).</w:t>
      </w:r>
    </w:p>
  </w:footnote>
  <w:footnote w:id="2601">
    <w:p w14:paraId="1EF7D468" w14:textId="77777777" w:rsidR="004C5A3C" w:rsidRDefault="004C5A3C" w:rsidP="002C39F4">
      <w:pPr>
        <w:pStyle w:val="a5"/>
        <w:rPr>
          <w:rtl/>
        </w:rPr>
      </w:pPr>
      <w:r>
        <w:rPr>
          <w:rStyle w:val="a7"/>
        </w:rPr>
        <w:footnoteRef/>
      </w:r>
      <w:r>
        <w:rPr>
          <w:rtl/>
        </w:rPr>
        <w:t xml:space="preserve"> </w:t>
      </w:r>
      <w:r>
        <w:rPr>
          <w:rFonts w:hint="cs"/>
          <w:rtl/>
        </w:rPr>
        <w:t xml:space="preserve">פירש הרמב"ם" </w:t>
      </w:r>
      <w:r>
        <w:rPr>
          <w:rFonts w:cs="Arial"/>
          <w:rtl/>
        </w:rPr>
        <w:t>לטרה</w:t>
      </w:r>
      <w:r>
        <w:rPr>
          <w:rFonts w:cs="Arial" w:hint="cs"/>
          <w:rtl/>
        </w:rPr>
        <w:t>-</w:t>
      </w:r>
      <w:r>
        <w:rPr>
          <w:rFonts w:cs="Arial"/>
          <w:rtl/>
        </w:rPr>
        <w:t xml:space="preserve"> הרוטל</w:t>
      </w:r>
      <w:r>
        <w:rPr>
          <w:rFonts w:cs="Arial" w:hint="cs"/>
          <w:rtl/>
        </w:rPr>
        <w:t>,</w:t>
      </w:r>
      <w:r>
        <w:rPr>
          <w:rFonts w:cs="Arial"/>
          <w:rtl/>
        </w:rPr>
        <w:t xml:space="preserve"> וקציעות</w:t>
      </w:r>
      <w:r>
        <w:rPr>
          <w:rFonts w:cs="Arial" w:hint="cs"/>
          <w:rtl/>
        </w:rPr>
        <w:t>-</w:t>
      </w:r>
      <w:r>
        <w:rPr>
          <w:rFonts w:cs="Arial"/>
          <w:rtl/>
        </w:rPr>
        <w:t xml:space="preserve"> התאנים היבשים</w:t>
      </w:r>
      <w:r>
        <w:rPr>
          <w:rFonts w:cs="Arial" w:hint="cs"/>
          <w:rtl/>
        </w:rPr>
        <w:t>,</w:t>
      </w:r>
      <w:r w:rsidRPr="00863A55">
        <w:rPr>
          <w:rFonts w:cs="Arial"/>
          <w:rtl/>
        </w:rPr>
        <w:t xml:space="preserve"> אמר שמי שלקח רוטל תאנים של תרומה ודרסם בפי כד של תאנים חולין, והיו שם כדין ולא ידע באיזה כד דרסן, ר' אליעזר אומר אם היה בכל הכדין מאה רוטלים, רואין את כל התאנים כאלו </w:t>
      </w:r>
      <w:r>
        <w:rPr>
          <w:rFonts w:cs="Arial"/>
          <w:rtl/>
        </w:rPr>
        <w:t>הן פרודות, והרי נתערב רוטל במאה</w:t>
      </w:r>
      <w:r w:rsidRPr="00863A55">
        <w:rPr>
          <w:rFonts w:cs="Arial"/>
          <w:rtl/>
        </w:rPr>
        <w:t xml:space="preserve"> ויעלה באחד ומאה. והלכה כר' יהושע.</w:t>
      </w:r>
    </w:p>
  </w:footnote>
  <w:footnote w:id="2602">
    <w:p w14:paraId="249C513B" w14:textId="77777777" w:rsidR="004C5A3C" w:rsidRDefault="004C5A3C" w:rsidP="002C39F4">
      <w:pPr>
        <w:pStyle w:val="a5"/>
        <w:rPr>
          <w:rtl/>
        </w:rPr>
      </w:pPr>
      <w:r>
        <w:rPr>
          <w:rStyle w:val="a7"/>
        </w:rPr>
        <w:footnoteRef/>
      </w:r>
      <w:r>
        <w:rPr>
          <w:rtl/>
        </w:rPr>
        <w:t xml:space="preserve"> </w:t>
      </w:r>
      <w:r>
        <w:rPr>
          <w:rFonts w:hint="cs"/>
          <w:rtl/>
        </w:rPr>
        <w:t>וכן בירושלמי (וילנא) תרומות פ"ד ה"ח.</w:t>
      </w:r>
    </w:p>
  </w:footnote>
  <w:footnote w:id="2603">
    <w:p w14:paraId="1BE507CC" w14:textId="77777777" w:rsidR="004C5A3C" w:rsidRDefault="004C5A3C" w:rsidP="002C39F4">
      <w:pPr>
        <w:pStyle w:val="a5"/>
      </w:pPr>
      <w:r>
        <w:rPr>
          <w:rStyle w:val="a7"/>
        </w:rPr>
        <w:footnoteRef/>
      </w:r>
      <w:r>
        <w:rPr>
          <w:rtl/>
        </w:rPr>
        <w:t xml:space="preserve"> </w:t>
      </w:r>
      <w:r>
        <w:rPr>
          <w:rFonts w:hint="cs"/>
          <w:rtl/>
        </w:rPr>
        <w:t>אסמים.</w:t>
      </w:r>
    </w:p>
  </w:footnote>
  <w:footnote w:id="2604">
    <w:p w14:paraId="3C68DBE6" w14:textId="77777777" w:rsidR="004C5A3C" w:rsidRDefault="004C5A3C" w:rsidP="002C39F4">
      <w:pPr>
        <w:pStyle w:val="a5"/>
      </w:pPr>
      <w:r>
        <w:rPr>
          <w:rStyle w:val="a7"/>
        </w:rPr>
        <w:footnoteRef/>
      </w:r>
      <w:r>
        <w:rPr>
          <w:rtl/>
        </w:rPr>
        <w:t xml:space="preserve"> </w:t>
      </w:r>
      <w:r w:rsidRPr="00B57603">
        <w:rPr>
          <w:rFonts w:cs="Arial"/>
          <w:rtl/>
        </w:rPr>
        <w:t xml:space="preserve">והביא </w:t>
      </w:r>
      <w:r>
        <w:rPr>
          <w:rFonts w:cs="Arial" w:hint="cs"/>
          <w:rtl/>
        </w:rPr>
        <w:t xml:space="preserve">ר"ש </w:t>
      </w:r>
      <w:r w:rsidRPr="00B57603">
        <w:rPr>
          <w:rFonts w:cs="Arial"/>
          <w:rtl/>
        </w:rPr>
        <w:t>ראיה ממה ששנו בתוספתא זו דבב' קופות אפילו בשתי עליות יעלו ואילו במגורות קתני בעליה אחת יעלו אבל בשתי עליות לא יעלו</w:t>
      </w:r>
      <w:r>
        <w:rPr>
          <w:rFonts w:cs="Arial" w:hint="cs"/>
          <w:rtl/>
        </w:rPr>
        <w:t>,</w:t>
      </w:r>
      <w:r w:rsidRPr="00B57603">
        <w:rPr>
          <w:rFonts w:cs="Arial"/>
          <w:rtl/>
        </w:rPr>
        <w:t xml:space="preserve"> ומפרש בירושלמי (תרומות פ"ד ה"ח) מה בין קופות למגורות קופות עשויות להתפנות ולהתערב יחד אבל מגורות אין דרכן להתפנות ולהתערב יחד</w:t>
      </w:r>
      <w:r>
        <w:rPr>
          <w:rFonts w:cs="Arial" w:hint="cs"/>
          <w:rtl/>
        </w:rPr>
        <w:t>,</w:t>
      </w:r>
      <w:r w:rsidRPr="00B57603">
        <w:rPr>
          <w:rFonts w:cs="Arial"/>
          <w:rtl/>
        </w:rPr>
        <w:t xml:space="preserve"> כלומר</w:t>
      </w:r>
      <w:r>
        <w:rPr>
          <w:rFonts w:cs="Arial" w:hint="cs"/>
          <w:rtl/>
        </w:rPr>
        <w:t>-</w:t>
      </w:r>
      <w:r w:rsidRPr="00B57603">
        <w:rPr>
          <w:rFonts w:cs="Arial"/>
          <w:rtl/>
        </w:rPr>
        <w:t xml:space="preserve"> וכל העשוי להתערב כמעורב דמי</w:t>
      </w:r>
      <w:r>
        <w:rPr>
          <w:rFonts w:cs="Arial" w:hint="cs"/>
          <w:rtl/>
        </w:rPr>
        <w:t>,</w:t>
      </w:r>
      <w:r>
        <w:rPr>
          <w:rFonts w:cs="Arial"/>
          <w:rtl/>
        </w:rPr>
        <w:t xml:space="preserve"> וכתב </w:t>
      </w:r>
      <w:r>
        <w:rPr>
          <w:rFonts w:cs="Arial" w:hint="cs"/>
          <w:rtl/>
        </w:rPr>
        <w:t>ד</w:t>
      </w:r>
      <w:r w:rsidRPr="00B57603">
        <w:rPr>
          <w:rFonts w:cs="Arial"/>
          <w:rtl/>
        </w:rPr>
        <w:t>לפי טעם זה נראה דהא דמעלות זו את זו כשיש בזו חמשים ובזו חמשים היינו בששתיהן של אדם אחד שדרכן להתפנות ולהתערב אבל בשל ב' בני אדם שאין דרכן להתערב לא</w:t>
      </w:r>
      <w:r>
        <w:rPr>
          <w:rFonts w:cs="Arial" w:hint="cs"/>
          <w:rtl/>
        </w:rPr>
        <w:t>,</w:t>
      </w:r>
      <w:r w:rsidRPr="00B57603">
        <w:rPr>
          <w:rFonts w:cs="Arial"/>
          <w:rtl/>
        </w:rPr>
        <w:t xml:space="preserve"> וח</w:t>
      </w:r>
      <w:r>
        <w:rPr>
          <w:rFonts w:cs="Arial" w:hint="cs"/>
          <w:rtl/>
        </w:rPr>
        <w:t>י</w:t>
      </w:r>
      <w:r w:rsidRPr="00B57603">
        <w:rPr>
          <w:rFonts w:cs="Arial"/>
          <w:rtl/>
        </w:rPr>
        <w:t xml:space="preserve">זק </w:t>
      </w:r>
      <w:r>
        <w:rPr>
          <w:rFonts w:cs="Arial" w:hint="cs"/>
          <w:rtl/>
        </w:rPr>
        <w:t xml:space="preserve">הרשב"א (בארוך שם) </w:t>
      </w:r>
      <w:r w:rsidRPr="00B57603">
        <w:rPr>
          <w:rFonts w:cs="Arial"/>
          <w:rtl/>
        </w:rPr>
        <w:t>סברא הזו ממה ששנו בסיפא דאותה תוספתא בזו ק' ובזו אין ק' אומרין לתוך ק' נפלה</w:t>
      </w:r>
      <w:r>
        <w:rPr>
          <w:rFonts w:cs="Arial" w:hint="cs"/>
          <w:rtl/>
        </w:rPr>
        <w:t>,</w:t>
      </w:r>
      <w:r w:rsidRPr="00B57603">
        <w:rPr>
          <w:rFonts w:cs="Arial"/>
          <w:rtl/>
        </w:rPr>
        <w:t xml:space="preserve"> ואיכא למידק למאי נ"מ כי איכא באחד ק' והא אפילו אין בכל חדא אלא נ' מעלות זו את זו</w:t>
      </w:r>
      <w:r>
        <w:rPr>
          <w:rFonts w:cs="Arial" w:hint="cs"/>
          <w:rtl/>
        </w:rPr>
        <w:t>-</w:t>
      </w:r>
      <w:r w:rsidRPr="00B57603">
        <w:rPr>
          <w:rFonts w:cs="Arial"/>
          <w:rtl/>
        </w:rPr>
        <w:t xml:space="preserve"> אלא משום דתרי גברי איצטריך</w:t>
      </w:r>
      <w:r>
        <w:rPr>
          <w:rFonts w:cs="Arial" w:hint="cs"/>
          <w:rtl/>
        </w:rPr>
        <w:t>.</w:t>
      </w:r>
      <w:r>
        <w:rPr>
          <w:rFonts w:hint="cs"/>
          <w:rtl/>
        </w:rPr>
        <w:t xml:space="preserve"> אמנם בהמשך דבריו דחה את דברי ר"ש ואף סתר את הראיה שהביא הוא עצמו, וכ'- </w:t>
      </w:r>
      <w:r w:rsidRPr="00B57603">
        <w:rPr>
          <w:rFonts w:cs="Arial"/>
          <w:rtl/>
        </w:rPr>
        <w:t>ולי נראה דבין של אדם אחד בין של שני בני אדם מצטרפין ומעלין</w:t>
      </w:r>
      <w:r>
        <w:rPr>
          <w:rFonts w:hint="cs"/>
          <w:rtl/>
        </w:rPr>
        <w:t>...</w:t>
      </w:r>
      <w:r w:rsidRPr="0006765A">
        <w:rPr>
          <w:rFonts w:cs="Arial"/>
          <w:rtl/>
        </w:rPr>
        <w:t xml:space="preserve"> </w:t>
      </w:r>
      <w:r>
        <w:rPr>
          <w:rFonts w:cs="Arial"/>
          <w:rtl/>
        </w:rPr>
        <w:t>כ</w:t>
      </w:r>
      <w:r>
        <w:rPr>
          <w:rFonts w:cs="Arial" w:hint="cs"/>
          <w:rtl/>
        </w:rPr>
        <w:t xml:space="preserve">ן נראה </w:t>
      </w:r>
      <w:r w:rsidRPr="00B57603">
        <w:rPr>
          <w:rFonts w:cs="Arial"/>
          <w:rtl/>
        </w:rPr>
        <w:t>ל</w:t>
      </w:r>
      <w:r>
        <w:rPr>
          <w:rFonts w:cs="Arial" w:hint="cs"/>
          <w:rtl/>
        </w:rPr>
        <w:t>י,</w:t>
      </w:r>
      <w:r w:rsidRPr="00B57603">
        <w:rPr>
          <w:rFonts w:cs="Arial"/>
          <w:rtl/>
        </w:rPr>
        <w:t xml:space="preserve"> ומ"מ צריכים אנו לחוש לדברי רבינו שמשון שרב גדול ומובהק הוא</w:t>
      </w:r>
      <w:r>
        <w:rPr>
          <w:rFonts w:cs="Arial" w:hint="cs"/>
          <w:rtl/>
        </w:rPr>
        <w:t>, עכ"ל.</w:t>
      </w:r>
      <w:r w:rsidRPr="0006765A">
        <w:rPr>
          <w:rFonts w:cs="Arial"/>
          <w:rtl/>
        </w:rPr>
        <w:t xml:space="preserve"> </w:t>
      </w:r>
      <w:r w:rsidRPr="00B57603">
        <w:rPr>
          <w:rFonts w:cs="Arial"/>
          <w:rtl/>
        </w:rPr>
        <w:t>ו</w:t>
      </w:r>
      <w:r>
        <w:rPr>
          <w:rFonts w:cs="Arial" w:hint="cs"/>
          <w:rtl/>
        </w:rPr>
        <w:t xml:space="preserve">כ"כ </w:t>
      </w:r>
      <w:r>
        <w:rPr>
          <w:rFonts w:cs="Arial"/>
          <w:rtl/>
        </w:rPr>
        <w:t>בקצר (ב"ד ש"ב כג:</w:t>
      </w:r>
      <w:r>
        <w:rPr>
          <w:rFonts w:cs="Arial" w:hint="cs"/>
          <w:rtl/>
        </w:rPr>
        <w:t>) וז"ל-</w:t>
      </w:r>
      <w:r w:rsidRPr="00B57603">
        <w:rPr>
          <w:rFonts w:cs="Arial"/>
          <w:rtl/>
        </w:rPr>
        <w:t xml:space="preserve"> ויראה לי שאפילו היו לב' בני אדם אלא שאחד מגדולי המורים אוסר ויש לחוש להורות הלכה למעשה כדבריו</w:t>
      </w:r>
      <w:r>
        <w:rPr>
          <w:rFonts w:cs="Arial" w:hint="cs"/>
          <w:rtl/>
        </w:rPr>
        <w:t>.</w:t>
      </w:r>
    </w:p>
  </w:footnote>
  <w:footnote w:id="2605">
    <w:p w14:paraId="1DC8E8A3" w14:textId="77777777" w:rsidR="004C5A3C" w:rsidRDefault="004C5A3C" w:rsidP="002C39F4">
      <w:pPr>
        <w:pStyle w:val="a5"/>
        <w:rPr>
          <w:rtl/>
        </w:rPr>
      </w:pPr>
      <w:r>
        <w:rPr>
          <w:rStyle w:val="a7"/>
        </w:rPr>
        <w:footnoteRef/>
      </w:r>
      <w:r>
        <w:rPr>
          <w:rtl/>
        </w:rPr>
        <w:t xml:space="preserve"> </w:t>
      </w:r>
      <w:r>
        <w:rPr>
          <w:rFonts w:cs="Arial" w:hint="cs"/>
          <w:rtl/>
        </w:rPr>
        <w:t xml:space="preserve">וכ' הדרכ"מ </w:t>
      </w:r>
      <w:r w:rsidRPr="003032CD">
        <w:rPr>
          <w:rFonts w:cs="Arial"/>
          <w:rtl/>
        </w:rPr>
        <w:t>(</w:t>
      </w:r>
      <w:r>
        <w:rPr>
          <w:rFonts w:cs="Arial" w:hint="cs"/>
          <w:rtl/>
        </w:rPr>
        <w:t xml:space="preserve">אות </w:t>
      </w:r>
      <w:r w:rsidRPr="003032CD">
        <w:rPr>
          <w:rFonts w:cs="Arial"/>
          <w:rtl/>
        </w:rPr>
        <w:t xml:space="preserve">ג) </w:t>
      </w:r>
      <w:r>
        <w:rPr>
          <w:rFonts w:cs="Arial" w:hint="cs"/>
          <w:rtl/>
        </w:rPr>
        <w:t>ד</w:t>
      </w:r>
      <w:r>
        <w:rPr>
          <w:rFonts w:cs="Arial"/>
          <w:rtl/>
        </w:rPr>
        <w:t xml:space="preserve">משמע </w:t>
      </w:r>
      <w:r>
        <w:rPr>
          <w:rFonts w:cs="Arial" w:hint="cs"/>
          <w:rtl/>
        </w:rPr>
        <w:t>בדברי תוה"א שהביא הב"י</w:t>
      </w:r>
      <w:r w:rsidRPr="003032CD">
        <w:rPr>
          <w:rFonts w:cs="Arial"/>
          <w:rtl/>
        </w:rPr>
        <w:t xml:space="preserve"> </w:t>
      </w:r>
      <w:r>
        <w:rPr>
          <w:rFonts w:cs="Arial" w:hint="cs"/>
          <w:rtl/>
        </w:rPr>
        <w:t>ד</w:t>
      </w:r>
      <w:r w:rsidRPr="003032CD">
        <w:rPr>
          <w:rFonts w:cs="Arial"/>
          <w:rtl/>
        </w:rPr>
        <w:t>הא דאינו מצטרף בב' בני אדם היינו שאחד בבית ואחד בעליה אבל בעליה אחת מצטרפים אפילו בשני בני אדם</w:t>
      </w:r>
      <w:r>
        <w:rPr>
          <w:rFonts w:hint="cs"/>
          <w:rtl/>
        </w:rPr>
        <w:t>.</w:t>
      </w:r>
    </w:p>
  </w:footnote>
  <w:footnote w:id="2606">
    <w:p w14:paraId="3F918623" w14:textId="77777777" w:rsidR="004C5A3C" w:rsidRDefault="004C5A3C" w:rsidP="002C39F4">
      <w:pPr>
        <w:pStyle w:val="a5"/>
      </w:pPr>
      <w:r>
        <w:rPr>
          <w:rStyle w:val="a7"/>
        </w:rPr>
        <w:footnoteRef/>
      </w:r>
      <w:r>
        <w:rPr>
          <w:rtl/>
        </w:rPr>
        <w:t xml:space="preserve"> </w:t>
      </w:r>
      <w:r>
        <w:rPr>
          <w:rFonts w:hint="cs"/>
          <w:rtl/>
        </w:rPr>
        <w:t xml:space="preserve">כן ציין הרמ"א אך </w:t>
      </w:r>
      <w:r w:rsidRPr="00FE7171">
        <w:rPr>
          <w:rFonts w:cs="Arial" w:hint="cs"/>
          <w:rtl/>
        </w:rPr>
        <w:t xml:space="preserve">לפנינו ליתא באו"ה, וראה בהגה' הרמ"א לספר </w:t>
      </w:r>
      <w:r>
        <w:rPr>
          <w:rFonts w:cs="Arial" w:hint="cs"/>
          <w:rtl/>
        </w:rPr>
        <w:t>או</w:t>
      </w:r>
      <w:r>
        <w:rPr>
          <w:rFonts w:cs="Arial"/>
          <w:rtl/>
        </w:rPr>
        <w:t>"</w:t>
      </w:r>
      <w:r>
        <w:rPr>
          <w:rFonts w:cs="Arial" w:hint="cs"/>
          <w:rtl/>
        </w:rPr>
        <w:t>ה</w:t>
      </w:r>
      <w:r w:rsidRPr="00FE7171">
        <w:rPr>
          <w:rFonts w:cs="Arial" w:hint="cs"/>
          <w:rtl/>
        </w:rPr>
        <w:t xml:space="preserve"> בסוף כלל כו</w:t>
      </w:r>
      <w:r>
        <w:rPr>
          <w:rFonts w:hint="cs"/>
          <w:rtl/>
        </w:rPr>
        <w:t>.</w:t>
      </w:r>
    </w:p>
  </w:footnote>
  <w:footnote w:id="2607">
    <w:p w14:paraId="4CD3CD26" w14:textId="77777777" w:rsidR="004C5A3C" w:rsidRDefault="004C5A3C" w:rsidP="002C39F4">
      <w:pPr>
        <w:pStyle w:val="a5"/>
        <w:rPr>
          <w:rtl/>
        </w:rPr>
      </w:pPr>
      <w:r>
        <w:rPr>
          <w:rStyle w:val="a7"/>
        </w:rPr>
        <w:footnoteRef/>
      </w:r>
      <w:r>
        <w:rPr>
          <w:rtl/>
        </w:rPr>
        <w:t xml:space="preserve"> </w:t>
      </w:r>
      <w:r>
        <w:rPr>
          <w:rFonts w:cs="Arial" w:hint="cs"/>
          <w:rtl/>
        </w:rPr>
        <w:t>וכ' עוד או</w:t>
      </w:r>
      <w:r>
        <w:rPr>
          <w:rFonts w:cs="Arial"/>
          <w:rtl/>
        </w:rPr>
        <w:t>"</w:t>
      </w:r>
      <w:r>
        <w:rPr>
          <w:rFonts w:cs="Arial" w:hint="cs"/>
          <w:rtl/>
        </w:rPr>
        <w:t xml:space="preserve">ה </w:t>
      </w:r>
      <w:r>
        <w:rPr>
          <w:rFonts w:cs="Arial" w:hint="cs"/>
          <w:sz w:val="16"/>
          <w:szCs w:val="16"/>
          <w:rtl/>
        </w:rPr>
        <w:t>(כלל יב ד"ט)</w:t>
      </w:r>
      <w:r>
        <w:rPr>
          <w:rFonts w:cs="Arial" w:hint="cs"/>
          <w:rtl/>
        </w:rPr>
        <w:t xml:space="preserve">- </w:t>
      </w:r>
      <w:r w:rsidRPr="00FE7171">
        <w:rPr>
          <w:rFonts w:cs="Arial"/>
          <w:rtl/>
        </w:rPr>
        <w:t>לא קיי"ל כי</w:t>
      </w:r>
      <w:r>
        <w:rPr>
          <w:rFonts w:cs="Arial" w:hint="cs"/>
          <w:rtl/>
        </w:rPr>
        <w:t>ו</w:t>
      </w:r>
      <w:r w:rsidRPr="00FE7171">
        <w:rPr>
          <w:rFonts w:cs="Arial"/>
          <w:rtl/>
        </w:rPr>
        <w:t>"ד שפסק שמה שנכנס בספק יסייעו לבטל</w:t>
      </w:r>
      <w:r>
        <w:rPr>
          <w:rFonts w:cs="Arial" w:hint="cs"/>
          <w:rtl/>
        </w:rPr>
        <w:t>,</w:t>
      </w:r>
      <w:r w:rsidRPr="00FE7171">
        <w:rPr>
          <w:rFonts w:cs="Arial"/>
          <w:rtl/>
        </w:rPr>
        <w:t xml:space="preserve"> ואינם מצטרפין כלל לבטל כמו בבישול שיש שם רוטב שמוליך הטעם מחתיכה לחתיכה</w:t>
      </w:r>
      <w:r>
        <w:rPr>
          <w:rFonts w:hint="cs"/>
          <w:rtl/>
        </w:rPr>
        <w:t xml:space="preserve">, עכ"ל. והביא הדרכ"מ (אות ג) את דבריו, אך כתב </w:t>
      </w:r>
      <w:r>
        <w:rPr>
          <w:rFonts w:cs="Arial" w:hint="cs"/>
          <w:rtl/>
        </w:rPr>
        <w:t>שמדברי ה</w:t>
      </w:r>
      <w:r w:rsidRPr="00FE7171">
        <w:rPr>
          <w:rFonts w:cs="Arial" w:hint="cs"/>
          <w:rtl/>
        </w:rPr>
        <w:t>ב"</w:t>
      </w:r>
      <w:r w:rsidRPr="00FE7171">
        <w:rPr>
          <w:rFonts w:cs="Arial"/>
          <w:rtl/>
        </w:rPr>
        <w:t>י משמע דדברים אלו הם בלא מחלוקת</w:t>
      </w:r>
      <w:r>
        <w:rPr>
          <w:rFonts w:cs="Arial" w:hint="cs"/>
          <w:rtl/>
        </w:rPr>
        <w:t>,</w:t>
      </w:r>
      <w:r w:rsidRPr="00FE7171">
        <w:rPr>
          <w:rFonts w:cs="Arial"/>
          <w:rtl/>
        </w:rPr>
        <w:t xml:space="preserve"> וא"כ יש לתמוה אמאי אין לנו לפסוק כן</w:t>
      </w:r>
      <w:r w:rsidRPr="00FE7171">
        <w:rPr>
          <w:rFonts w:cs="Arial" w:hint="cs"/>
          <w:rtl/>
        </w:rPr>
        <w:t>,</w:t>
      </w:r>
      <w:r>
        <w:rPr>
          <w:rFonts w:hint="cs"/>
          <w:rtl/>
        </w:rPr>
        <w:t xml:space="preserve"> וכ' על דברי האו"ה-</w:t>
      </w:r>
      <w:r w:rsidRPr="00681A71">
        <w:rPr>
          <w:rFonts w:cs="Arial"/>
          <w:rtl/>
        </w:rPr>
        <w:t xml:space="preserve"> </w:t>
      </w:r>
      <w:r w:rsidRPr="00FE7171">
        <w:rPr>
          <w:rFonts w:cs="Arial"/>
          <w:rtl/>
        </w:rPr>
        <w:t>לא ידעתי טעמו ואם קבלה היא נקבל</w:t>
      </w:r>
      <w:r>
        <w:rPr>
          <w:rFonts w:hint="cs"/>
          <w:rtl/>
        </w:rPr>
        <w:t xml:space="preserve">, עכ"ל. וגם הט"ז (סק"ט) תמה על פסק השו"ע. אך הש"ך (נה"כ אות ג) דחה דבריו (ע"פ תרוצו בסי' קה סק"ל). </w:t>
      </w:r>
    </w:p>
  </w:footnote>
  <w:footnote w:id="2608">
    <w:p w14:paraId="7471FBE0" w14:textId="77777777" w:rsidR="004C5A3C" w:rsidRDefault="004C5A3C" w:rsidP="002C39F4">
      <w:pPr>
        <w:pStyle w:val="a5"/>
      </w:pPr>
      <w:r>
        <w:rPr>
          <w:rStyle w:val="a7"/>
        </w:rPr>
        <w:footnoteRef/>
      </w:r>
      <w:r>
        <w:rPr>
          <w:rtl/>
        </w:rPr>
        <w:t xml:space="preserve"> </w:t>
      </w:r>
      <w:r w:rsidRPr="00486201">
        <w:rPr>
          <w:rFonts w:cs="Arial"/>
          <w:rtl/>
        </w:rPr>
        <w:t>ב</w:t>
      </w:r>
      <w:r>
        <w:rPr>
          <w:rFonts w:cs="Arial" w:hint="cs"/>
          <w:rtl/>
        </w:rPr>
        <w:t>תוה"א</w:t>
      </w:r>
      <w:r>
        <w:rPr>
          <w:rFonts w:cs="Arial"/>
          <w:rtl/>
        </w:rPr>
        <w:t xml:space="preserve"> כ</w:t>
      </w:r>
      <w:r>
        <w:rPr>
          <w:rFonts w:cs="Arial" w:hint="cs"/>
          <w:rtl/>
        </w:rPr>
        <w:t>'</w:t>
      </w:r>
      <w:r w:rsidRPr="00486201">
        <w:rPr>
          <w:rFonts w:cs="Arial"/>
          <w:rtl/>
        </w:rPr>
        <w:t xml:space="preserve"> לחד תירוצא דוקא שאין בא</w:t>
      </w:r>
      <w:r>
        <w:rPr>
          <w:rFonts w:cs="Arial" w:hint="cs"/>
          <w:rtl/>
        </w:rPr>
        <w:t>'</w:t>
      </w:r>
      <w:r>
        <w:rPr>
          <w:rFonts w:cs="Arial"/>
          <w:rtl/>
        </w:rPr>
        <w:t xml:space="preserve"> מהן לבטלו רק בשתיהן אבל יש בא</w:t>
      </w:r>
      <w:r>
        <w:rPr>
          <w:rFonts w:cs="Arial" w:hint="cs"/>
          <w:rtl/>
        </w:rPr>
        <w:t>'</w:t>
      </w:r>
      <w:r w:rsidRPr="00486201">
        <w:rPr>
          <w:rFonts w:cs="Arial"/>
          <w:rtl/>
        </w:rPr>
        <w:t xml:space="preserve"> מהן לבטלו ואין בשני לבטלו אין אומרים בזה שהוא מותר מחמת שנכנס בספק שהרי אותו שיש בו כדי לבטל לא נכנס בספק כלל שאפילו את"ל דבתוכה נפל מותרת היא לולי המדה שאני אומר בשל אותו שיש בו כדי לבטלו נפל</w:t>
      </w:r>
      <w:r>
        <w:rPr>
          <w:rFonts w:cs="Arial" w:hint="cs"/>
          <w:rtl/>
        </w:rPr>
        <w:t>,</w:t>
      </w:r>
      <w:r w:rsidRPr="00486201">
        <w:rPr>
          <w:rFonts w:cs="Arial"/>
          <w:rtl/>
        </w:rPr>
        <w:t xml:space="preserve"> עכ"ל</w:t>
      </w:r>
      <w:r>
        <w:rPr>
          <w:rFonts w:cs="Arial" w:hint="cs"/>
          <w:rtl/>
        </w:rPr>
        <w:t>,</w:t>
      </w:r>
      <w:r w:rsidRPr="00486201">
        <w:rPr>
          <w:rFonts w:cs="Arial"/>
          <w:rtl/>
        </w:rPr>
        <w:t xml:space="preserve"> ומביאו ב"י</w:t>
      </w:r>
      <w:r>
        <w:rPr>
          <w:rFonts w:cs="Arial" w:hint="cs"/>
          <w:rtl/>
        </w:rPr>
        <w:t>,</w:t>
      </w:r>
      <w:r>
        <w:rPr>
          <w:rFonts w:cs="Arial"/>
          <w:rtl/>
        </w:rPr>
        <w:t xml:space="preserve"> ואע</w:t>
      </w:r>
      <w:r>
        <w:rPr>
          <w:rFonts w:cs="Arial" w:hint="cs"/>
          <w:rtl/>
        </w:rPr>
        <w:t>"</w:t>
      </w:r>
      <w:r>
        <w:rPr>
          <w:rFonts w:cs="Arial"/>
          <w:rtl/>
        </w:rPr>
        <w:t>ג</w:t>
      </w:r>
      <w:r w:rsidRPr="00486201">
        <w:rPr>
          <w:rFonts w:cs="Arial"/>
          <w:rtl/>
        </w:rPr>
        <w:t xml:space="preserve"> דכ</w:t>
      </w:r>
      <w:r>
        <w:rPr>
          <w:rFonts w:cs="Arial"/>
          <w:rtl/>
        </w:rPr>
        <w:t>תב שם עוד תירו</w:t>
      </w:r>
      <w:r>
        <w:rPr>
          <w:rFonts w:cs="Arial" w:hint="cs"/>
          <w:rtl/>
        </w:rPr>
        <w:t>ץ</w:t>
      </w:r>
      <w:r w:rsidRPr="00486201">
        <w:rPr>
          <w:rFonts w:cs="Arial"/>
          <w:rtl/>
        </w:rPr>
        <w:t xml:space="preserve"> אחר מ</w:t>
      </w:r>
      <w:r>
        <w:rPr>
          <w:rFonts w:cs="Arial" w:hint="cs"/>
          <w:rtl/>
        </w:rPr>
        <w:t>"מ</w:t>
      </w:r>
      <w:r w:rsidRPr="00486201">
        <w:rPr>
          <w:rFonts w:cs="Arial"/>
          <w:rtl/>
        </w:rPr>
        <w:t xml:space="preserve"> לענין הדין אפשר דשניהם קיימים</w:t>
      </w:r>
      <w:r>
        <w:rPr>
          <w:rFonts w:cs="Arial" w:hint="cs"/>
          <w:rtl/>
        </w:rPr>
        <w:t>,</w:t>
      </w:r>
      <w:r w:rsidRPr="00486201">
        <w:rPr>
          <w:rFonts w:cs="Arial"/>
          <w:rtl/>
        </w:rPr>
        <w:t xml:space="preserve"> וגם בד</w:t>
      </w:r>
      <w:r>
        <w:rPr>
          <w:rFonts w:cs="Arial" w:hint="cs"/>
          <w:rtl/>
        </w:rPr>
        <w:t>רכ</w:t>
      </w:r>
      <w:r w:rsidRPr="00486201">
        <w:rPr>
          <w:rFonts w:cs="Arial"/>
          <w:rtl/>
        </w:rPr>
        <w:t>"מ הביא תירוץ זה בפשיטות</w:t>
      </w:r>
      <w:r>
        <w:rPr>
          <w:rFonts w:cs="Arial" w:hint="cs"/>
          <w:rtl/>
        </w:rPr>
        <w:t>,</w:t>
      </w:r>
      <w:r>
        <w:rPr>
          <w:rFonts w:cs="Arial"/>
          <w:rtl/>
        </w:rPr>
        <w:t xml:space="preserve"> והבאתי</w:t>
      </w:r>
      <w:r>
        <w:rPr>
          <w:rFonts w:cs="Arial" w:hint="cs"/>
          <w:rtl/>
        </w:rPr>
        <w:t>ו</w:t>
      </w:r>
      <w:r>
        <w:rPr>
          <w:rFonts w:cs="Arial"/>
          <w:rtl/>
        </w:rPr>
        <w:t xml:space="preserve"> בסק</w:t>
      </w:r>
      <w:r w:rsidRPr="00486201">
        <w:rPr>
          <w:rFonts w:cs="Arial"/>
          <w:rtl/>
        </w:rPr>
        <w:t>י"ח</w:t>
      </w:r>
      <w:r>
        <w:rPr>
          <w:rFonts w:cs="Arial" w:hint="cs"/>
          <w:rtl/>
        </w:rPr>
        <w:t>.</w:t>
      </w:r>
      <w:r w:rsidRPr="00486201">
        <w:rPr>
          <w:rFonts w:cs="Arial"/>
          <w:rtl/>
        </w:rPr>
        <w:t xml:space="preserve"> ותו דהרא"ה בב"ה הסכים לתירוץ זה</w:t>
      </w:r>
      <w:r>
        <w:rPr>
          <w:rFonts w:cs="Arial" w:hint="cs"/>
          <w:rtl/>
        </w:rPr>
        <w:t>,</w:t>
      </w:r>
      <w:r w:rsidRPr="00486201">
        <w:rPr>
          <w:rFonts w:cs="Arial"/>
          <w:rtl/>
        </w:rPr>
        <w:t xml:space="preserve"> ולפ"ז היכא דל"ל שא</w:t>
      </w:r>
      <w:r>
        <w:rPr>
          <w:rFonts w:cs="Arial"/>
          <w:rtl/>
        </w:rPr>
        <w:t>ני אומר כגון שהוא איסור דאו</w:t>
      </w:r>
      <w:r>
        <w:rPr>
          <w:rFonts w:cs="Arial" w:hint="cs"/>
          <w:rtl/>
        </w:rPr>
        <w:t>'-</w:t>
      </w:r>
      <w:r w:rsidRPr="00486201">
        <w:rPr>
          <w:rFonts w:cs="Arial"/>
          <w:rtl/>
        </w:rPr>
        <w:t xml:space="preserve"> אסור</w:t>
      </w:r>
      <w:r>
        <w:rPr>
          <w:rFonts w:cs="Arial" w:hint="cs"/>
          <w:rtl/>
        </w:rPr>
        <w:t>,</w:t>
      </w:r>
      <w:r>
        <w:rPr>
          <w:rFonts w:cs="Arial"/>
          <w:rtl/>
        </w:rPr>
        <w:t xml:space="preserve"> וגם בל</w:t>
      </w:r>
      <w:r>
        <w:rPr>
          <w:rFonts w:cs="Arial" w:hint="cs"/>
          <w:rtl/>
        </w:rPr>
        <w:t>א"</w:t>
      </w:r>
      <w:r>
        <w:rPr>
          <w:rFonts w:cs="Arial"/>
          <w:rtl/>
        </w:rPr>
        <w:t>ה</w:t>
      </w:r>
      <w:r w:rsidRPr="00486201">
        <w:rPr>
          <w:rFonts w:cs="Arial"/>
          <w:rtl/>
        </w:rPr>
        <w:t xml:space="preserve"> הרא"ה חולק על הא </w:t>
      </w:r>
      <w:r>
        <w:rPr>
          <w:rFonts w:cs="Arial"/>
          <w:rtl/>
        </w:rPr>
        <w:t>דב' קדירות מצטרפות וכמ"ש בסק</w:t>
      </w:r>
      <w:r>
        <w:rPr>
          <w:rFonts w:cs="Arial" w:hint="cs"/>
          <w:rtl/>
        </w:rPr>
        <w:t>"</w:t>
      </w:r>
      <w:r>
        <w:rPr>
          <w:rFonts w:cs="Arial"/>
          <w:rtl/>
        </w:rPr>
        <w:t>כ</w:t>
      </w:r>
      <w:r>
        <w:rPr>
          <w:rFonts w:cs="Arial" w:hint="cs"/>
          <w:rtl/>
        </w:rPr>
        <w:t>, ש"ך (סקט"ז).</w:t>
      </w:r>
    </w:p>
  </w:footnote>
  <w:footnote w:id="2609">
    <w:p w14:paraId="53D8AEBE" w14:textId="77777777" w:rsidR="004C5A3C" w:rsidRDefault="004C5A3C" w:rsidP="002C39F4">
      <w:pPr>
        <w:pStyle w:val="a5"/>
      </w:pPr>
      <w:r>
        <w:rPr>
          <w:rStyle w:val="a7"/>
        </w:rPr>
        <w:footnoteRef/>
      </w:r>
      <w:r>
        <w:rPr>
          <w:rtl/>
        </w:rPr>
        <w:t xml:space="preserve"> </w:t>
      </w:r>
      <w:r>
        <w:rPr>
          <w:rFonts w:hint="cs"/>
          <w:rtl/>
        </w:rPr>
        <w:t>ונראה אפילו באדם אחד אם ידוע בבירור שאינם עתידים להתערב, כגון שאחד של בשר והשני של חלב, או שיש בדבר אחד דבר מתיקות ובשני דבר קיוהא כגון חומץ או כה"ג, אינם מצטרפין, רש"ל עט"ז ט"ז (סק"ח) ש"ך (סקי"ח) ובאה"ט (סקי"ד).</w:t>
      </w:r>
    </w:p>
  </w:footnote>
  <w:footnote w:id="2610">
    <w:p w14:paraId="3AB49E4B" w14:textId="77777777" w:rsidR="004C5A3C" w:rsidRDefault="004C5A3C" w:rsidP="002C39F4">
      <w:pPr>
        <w:pStyle w:val="a5"/>
        <w:rPr>
          <w:rtl/>
        </w:rPr>
      </w:pPr>
      <w:r>
        <w:rPr>
          <w:rStyle w:val="a7"/>
        </w:rPr>
        <w:footnoteRef/>
      </w:r>
      <w:r>
        <w:rPr>
          <w:rtl/>
        </w:rPr>
        <w:t xml:space="preserve"> </w:t>
      </w:r>
      <w:r w:rsidRPr="004A4BE4">
        <w:rPr>
          <w:rFonts w:cs="Arial"/>
          <w:rtl/>
        </w:rPr>
        <w:t>היינו הפ</w:t>
      </w:r>
      <w:r>
        <w:rPr>
          <w:rFonts w:cs="Arial" w:hint="cs"/>
          <w:rtl/>
        </w:rPr>
        <w:t xml:space="preserve">סד </w:t>
      </w:r>
      <w:r w:rsidRPr="004A4BE4">
        <w:rPr>
          <w:rFonts w:cs="Arial"/>
          <w:rtl/>
        </w:rPr>
        <w:t>מ</w:t>
      </w:r>
      <w:r>
        <w:rPr>
          <w:rFonts w:cs="Arial" w:hint="cs"/>
          <w:rtl/>
        </w:rPr>
        <w:t>רובה,</w:t>
      </w:r>
      <w:r w:rsidRPr="004A4BE4">
        <w:rPr>
          <w:rFonts w:cs="Arial"/>
          <w:rtl/>
        </w:rPr>
        <w:t xml:space="preserve"> כמ"ש בסימן ק"ח ס</w:t>
      </w:r>
      <w:r>
        <w:rPr>
          <w:rFonts w:cs="Arial"/>
          <w:rtl/>
        </w:rPr>
        <w:t>ק</w:t>
      </w:r>
      <w:r w:rsidRPr="004A4BE4">
        <w:rPr>
          <w:rFonts w:cs="Arial"/>
          <w:rtl/>
        </w:rPr>
        <w:t>י"ב ע"ש</w:t>
      </w:r>
      <w:r>
        <w:rPr>
          <w:rFonts w:cs="Arial" w:hint="cs"/>
          <w:rtl/>
        </w:rPr>
        <w:t>,</w:t>
      </w:r>
      <w:r>
        <w:rPr>
          <w:rFonts w:cs="Arial"/>
          <w:rtl/>
        </w:rPr>
        <w:t xml:space="preserve"> וכן נראה בדין</w:t>
      </w:r>
      <w:r>
        <w:rPr>
          <w:rFonts w:cs="Arial" w:hint="cs"/>
          <w:rtl/>
        </w:rPr>
        <w:t xml:space="preserve">, </w:t>
      </w:r>
      <w:r>
        <w:rPr>
          <w:rFonts w:cs="Arial"/>
          <w:rtl/>
        </w:rPr>
        <w:t>דאין להתיר אלא במקו</w:t>
      </w:r>
      <w:r>
        <w:rPr>
          <w:rFonts w:cs="Arial" w:hint="cs"/>
          <w:rtl/>
        </w:rPr>
        <w:t>ם</w:t>
      </w:r>
      <w:r w:rsidRPr="004A4BE4">
        <w:rPr>
          <w:rFonts w:cs="Arial"/>
          <w:rtl/>
        </w:rPr>
        <w:t xml:space="preserve"> הפ</w:t>
      </w:r>
      <w:r>
        <w:rPr>
          <w:rFonts w:cs="Arial" w:hint="cs"/>
          <w:rtl/>
        </w:rPr>
        <w:t xml:space="preserve">סד </w:t>
      </w:r>
      <w:r w:rsidRPr="004A4BE4">
        <w:rPr>
          <w:rFonts w:cs="Arial"/>
          <w:rtl/>
        </w:rPr>
        <w:t>מ</w:t>
      </w:r>
      <w:r>
        <w:rPr>
          <w:rFonts w:cs="Arial" w:hint="cs"/>
          <w:rtl/>
        </w:rPr>
        <w:t>רובה</w:t>
      </w:r>
      <w:r w:rsidRPr="004A4BE4">
        <w:rPr>
          <w:rFonts w:cs="Arial"/>
          <w:rtl/>
        </w:rPr>
        <w:t xml:space="preserve"> דהא הרא"ה חולק על הרשב"א</w:t>
      </w:r>
      <w:r>
        <w:rPr>
          <w:rFonts w:cs="Arial" w:hint="cs"/>
          <w:rtl/>
        </w:rPr>
        <w:t>...</w:t>
      </w:r>
      <w:r>
        <w:rPr>
          <w:rFonts w:hint="cs"/>
          <w:rtl/>
        </w:rPr>
        <w:t>, ש"ך (סק"כ).</w:t>
      </w:r>
    </w:p>
  </w:footnote>
  <w:footnote w:id="2611">
    <w:p w14:paraId="3E2972F8" w14:textId="77777777" w:rsidR="004C5A3C" w:rsidRDefault="004C5A3C" w:rsidP="002C39F4">
      <w:pPr>
        <w:pStyle w:val="a5"/>
      </w:pPr>
      <w:r>
        <w:rPr>
          <w:rStyle w:val="a7"/>
        </w:rPr>
        <w:footnoteRef/>
      </w:r>
      <w:r>
        <w:rPr>
          <w:rtl/>
        </w:rPr>
        <w:t xml:space="preserve"> </w:t>
      </w:r>
      <w:r>
        <w:rPr>
          <w:rFonts w:cs="Arial" w:hint="cs"/>
          <w:rtl/>
        </w:rPr>
        <w:t>הט"ז (סק"י) חולק על זה וכ' ד</w:t>
      </w:r>
      <w:r w:rsidRPr="004A4BE4">
        <w:rPr>
          <w:rFonts w:cs="Arial"/>
          <w:rtl/>
        </w:rPr>
        <w:t>אף אם לא נתערבו</w:t>
      </w:r>
      <w:r>
        <w:rPr>
          <w:rFonts w:cs="Arial" w:hint="cs"/>
          <w:rtl/>
        </w:rPr>
        <w:t>,</w:t>
      </w:r>
      <w:r w:rsidRPr="004A4BE4">
        <w:rPr>
          <w:rFonts w:cs="Arial"/>
          <w:rtl/>
        </w:rPr>
        <w:t xml:space="preserve"> כיון שמן התורה מותר ע"י ביטול ברוב רק מדרבנן צריך ס' וכיון שיש ספק לאיזה נפל ונכנסו שניהם בספק</w:t>
      </w:r>
      <w:r>
        <w:rPr>
          <w:rFonts w:cs="Arial" w:hint="cs"/>
          <w:rtl/>
        </w:rPr>
        <w:t>,</w:t>
      </w:r>
      <w:r w:rsidRPr="004A4BE4">
        <w:rPr>
          <w:rFonts w:cs="Arial"/>
          <w:rtl/>
        </w:rPr>
        <w:t xml:space="preserve"> שניהם מצטרפים לבטל ומותר כל אחד בפני עצמו</w:t>
      </w:r>
      <w:r>
        <w:rPr>
          <w:rFonts w:cs="Arial" w:hint="cs"/>
          <w:rtl/>
        </w:rPr>
        <w:t>,</w:t>
      </w:r>
      <w:r w:rsidRPr="004A4BE4">
        <w:rPr>
          <w:rFonts w:cs="Arial"/>
          <w:rtl/>
        </w:rPr>
        <w:t xml:space="preserve"> דכיון שעתידים להתערב חשבינן כאלו כבר נתערבו</w:t>
      </w:r>
      <w:r>
        <w:rPr>
          <w:rFonts w:cs="Arial" w:hint="cs"/>
          <w:rtl/>
        </w:rPr>
        <w:t>, עכ"ל. ועי' בכנה"ג (הגב"י אות טו).</w:t>
      </w:r>
    </w:p>
  </w:footnote>
  <w:footnote w:id="2612">
    <w:p w14:paraId="572C781F" w14:textId="77777777" w:rsidR="004C5A3C" w:rsidRDefault="004C5A3C" w:rsidP="002C39F4">
      <w:pPr>
        <w:pStyle w:val="a5"/>
      </w:pPr>
      <w:r>
        <w:rPr>
          <w:rStyle w:val="a7"/>
        </w:rPr>
        <w:footnoteRef/>
      </w:r>
      <w:r>
        <w:rPr>
          <w:rtl/>
        </w:rPr>
        <w:t xml:space="preserve"> </w:t>
      </w:r>
      <w:r w:rsidRPr="007E118A">
        <w:rPr>
          <w:rFonts w:cs="Arial"/>
          <w:rtl/>
        </w:rPr>
        <w:t xml:space="preserve">וקשה דהא כל האחרונים האו"ה </w:t>
      </w:r>
      <w:r>
        <w:rPr>
          <w:rFonts w:cs="Arial" w:hint="cs"/>
          <w:rtl/>
        </w:rPr>
        <w:t>(</w:t>
      </w:r>
      <w:r w:rsidRPr="007E118A">
        <w:rPr>
          <w:rFonts w:cs="Arial"/>
          <w:rtl/>
        </w:rPr>
        <w:t>סוף כלל כ"ו</w:t>
      </w:r>
      <w:r>
        <w:rPr>
          <w:rFonts w:cs="Arial" w:hint="cs"/>
          <w:rtl/>
        </w:rPr>
        <w:t>)</w:t>
      </w:r>
      <w:r w:rsidRPr="007E118A">
        <w:rPr>
          <w:rFonts w:cs="Arial"/>
          <w:rtl/>
        </w:rPr>
        <w:t xml:space="preserve"> ומהרש"ל </w:t>
      </w:r>
      <w:r>
        <w:rPr>
          <w:rFonts w:cs="Arial" w:hint="cs"/>
          <w:rtl/>
        </w:rPr>
        <w:t>(</w:t>
      </w:r>
      <w:r>
        <w:rPr>
          <w:rFonts w:cs="Arial"/>
          <w:rtl/>
        </w:rPr>
        <w:t>פג"ה סי' נ</w:t>
      </w:r>
      <w:r w:rsidRPr="007E118A">
        <w:rPr>
          <w:rFonts w:cs="Arial"/>
          <w:rtl/>
        </w:rPr>
        <w:t>ז</w:t>
      </w:r>
      <w:r>
        <w:rPr>
          <w:rFonts w:cs="Arial" w:hint="cs"/>
          <w:rtl/>
        </w:rPr>
        <w:t>)</w:t>
      </w:r>
      <w:r w:rsidRPr="007E118A">
        <w:rPr>
          <w:rFonts w:cs="Arial"/>
          <w:rtl/>
        </w:rPr>
        <w:t xml:space="preserve"> והרב בת"ח </w:t>
      </w:r>
      <w:r>
        <w:rPr>
          <w:rFonts w:cs="Arial" w:hint="cs"/>
          <w:rtl/>
        </w:rPr>
        <w:t>(</w:t>
      </w:r>
      <w:r w:rsidRPr="007E118A">
        <w:rPr>
          <w:rFonts w:cs="Arial"/>
          <w:rtl/>
        </w:rPr>
        <w:t>ריש כלל נ"א</w:t>
      </w:r>
      <w:r>
        <w:rPr>
          <w:rFonts w:cs="Arial" w:hint="cs"/>
          <w:rtl/>
        </w:rPr>
        <w:t>)</w:t>
      </w:r>
      <w:r w:rsidRPr="007E118A">
        <w:rPr>
          <w:rFonts w:cs="Arial"/>
          <w:rtl/>
        </w:rPr>
        <w:t xml:space="preserve"> והעט"ז כולם העתיקו דברי הרשב"א בסתם דב' קדרות מצטרפים ודוחק לומר דנ"מ דמשכחת לה בשנתערב יבש ביבש ואין בא' מהן רוב ויש בשניהם רוב דמצטרפים דביבש לא אמרינן חנ"נ כדלעיל סי' צ"ב ס"ד בהג"ה דהא בב' קדרות איירי דהיינו בלח</w:t>
      </w:r>
      <w:r>
        <w:rPr>
          <w:rFonts w:cs="Arial" w:hint="cs"/>
          <w:rtl/>
        </w:rPr>
        <w:t>,</w:t>
      </w:r>
      <w:r w:rsidRPr="007E118A">
        <w:rPr>
          <w:rFonts w:cs="Arial"/>
          <w:rtl/>
        </w:rPr>
        <w:t xml:space="preserve"> וגם דוחק לומר הא דסתם כאן הרב כהמחבר היינו ע"פ מ"ש בסי' צ"ב ובמקום הפסד גדול אין לומר חנ"נ בלח</w:t>
      </w:r>
      <w:r>
        <w:rPr>
          <w:rFonts w:cs="Arial" w:hint="cs"/>
          <w:rtl/>
        </w:rPr>
        <w:t>,</w:t>
      </w:r>
      <w:r w:rsidRPr="007E118A">
        <w:rPr>
          <w:rFonts w:cs="Arial"/>
          <w:rtl/>
        </w:rPr>
        <w:t xml:space="preserve"> דא"כ למה הביא הרב כלל כאן דעת היש מחמירין דהא בלאו הכי אין להתיר אלא במקום הפסד גדול</w:t>
      </w:r>
      <w:r>
        <w:rPr>
          <w:rFonts w:cs="Arial" w:hint="cs"/>
          <w:rtl/>
        </w:rPr>
        <w:t>,</w:t>
      </w:r>
      <w:r w:rsidRPr="007E118A">
        <w:rPr>
          <w:rFonts w:cs="Arial"/>
          <w:rtl/>
        </w:rPr>
        <w:t xml:space="preserve"> ועוד דבד"מ תמה על המחמירים וסיים ולא ידעתי טעמו ואם קבלה היא נקבל ואם איתא הא רוב הפוסקים סוברים דאמרינן חנ"נ בלח וכמ"ש הרב בסי' צ"ב</w:t>
      </w:r>
      <w:r>
        <w:rPr>
          <w:rFonts w:cs="Arial" w:hint="cs"/>
          <w:rtl/>
        </w:rPr>
        <w:t>, ש"ך (סקי"ז).</w:t>
      </w:r>
    </w:p>
  </w:footnote>
  <w:footnote w:id="2613">
    <w:p w14:paraId="600929E8" w14:textId="77777777" w:rsidR="004C5A3C" w:rsidRDefault="004C5A3C" w:rsidP="002C39F4">
      <w:pPr>
        <w:pStyle w:val="a5"/>
        <w:rPr>
          <w:rtl/>
        </w:rPr>
      </w:pPr>
      <w:r>
        <w:rPr>
          <w:rStyle w:val="a7"/>
        </w:rPr>
        <w:footnoteRef/>
      </w:r>
      <w:r>
        <w:rPr>
          <w:rtl/>
        </w:rPr>
        <w:t xml:space="preserve"> </w:t>
      </w:r>
      <w:r>
        <w:rPr>
          <w:rFonts w:hint="cs"/>
          <w:rtl/>
        </w:rPr>
        <w:t xml:space="preserve">כך היא גירסת ר"ח רי"ף ורא"ש </w:t>
      </w:r>
      <w:r w:rsidRPr="00E51D3D">
        <w:rPr>
          <w:rFonts w:hint="cs"/>
          <w:sz w:val="16"/>
          <w:szCs w:val="16"/>
          <w:rtl/>
        </w:rPr>
        <w:t xml:space="preserve">(וכ"ה בכמה כתבי יד של הגמרא, וכן גיר' הרשב"א </w:t>
      </w:r>
      <w:r w:rsidRPr="00E51D3D">
        <w:rPr>
          <w:rFonts w:cs="Arial" w:hint="cs"/>
          <w:sz w:val="16"/>
          <w:szCs w:val="16"/>
          <w:rtl/>
        </w:rPr>
        <w:t xml:space="preserve">(תוה"א </w:t>
      </w:r>
      <w:r w:rsidRPr="00E51D3D">
        <w:rPr>
          <w:rFonts w:cs="Arial"/>
          <w:sz w:val="16"/>
          <w:szCs w:val="16"/>
          <w:rtl/>
        </w:rPr>
        <w:t xml:space="preserve">ב"ג ש"ז צג.) </w:t>
      </w:r>
      <w:r w:rsidRPr="00E51D3D">
        <w:rPr>
          <w:rFonts w:cs="Arial" w:hint="cs"/>
          <w:sz w:val="16"/>
          <w:szCs w:val="16"/>
          <w:rtl/>
        </w:rPr>
        <w:t xml:space="preserve">רק שבמקום </w:t>
      </w:r>
      <w:r>
        <w:rPr>
          <w:rFonts w:cs="Arial" w:hint="cs"/>
          <w:sz w:val="16"/>
          <w:szCs w:val="16"/>
          <w:rtl/>
        </w:rPr>
        <w:t>'</w:t>
      </w:r>
      <w:r w:rsidRPr="00E51D3D">
        <w:rPr>
          <w:rFonts w:cs="Arial" w:hint="cs"/>
          <w:sz w:val="16"/>
          <w:szCs w:val="16"/>
          <w:rtl/>
        </w:rPr>
        <w:t>א"ר אחי</w:t>
      </w:r>
      <w:r>
        <w:rPr>
          <w:rFonts w:cs="Arial" w:hint="cs"/>
          <w:sz w:val="16"/>
          <w:szCs w:val="16"/>
          <w:rtl/>
        </w:rPr>
        <w:t>'</w:t>
      </w:r>
      <w:r w:rsidRPr="00E51D3D">
        <w:rPr>
          <w:rFonts w:cs="Arial" w:hint="cs"/>
          <w:sz w:val="16"/>
          <w:szCs w:val="16"/>
          <w:rtl/>
        </w:rPr>
        <w:t xml:space="preserve"> גרס </w:t>
      </w:r>
      <w:r>
        <w:rPr>
          <w:rFonts w:cs="Arial" w:hint="cs"/>
          <w:sz w:val="16"/>
          <w:szCs w:val="16"/>
          <w:rtl/>
        </w:rPr>
        <w:t>'</w:t>
      </w:r>
      <w:r w:rsidRPr="00E51D3D">
        <w:rPr>
          <w:rFonts w:cs="Arial" w:hint="cs"/>
          <w:sz w:val="16"/>
          <w:szCs w:val="16"/>
          <w:rtl/>
        </w:rPr>
        <w:t>א"ר יוחנן</w:t>
      </w:r>
      <w:r>
        <w:rPr>
          <w:rFonts w:cs="Arial" w:hint="cs"/>
          <w:sz w:val="16"/>
          <w:szCs w:val="16"/>
          <w:rtl/>
        </w:rPr>
        <w:t>')</w:t>
      </w:r>
      <w:r>
        <w:rPr>
          <w:rFonts w:cs="Arial" w:hint="cs"/>
          <w:rtl/>
        </w:rPr>
        <w:t xml:space="preserve">. </w:t>
      </w:r>
      <w:r>
        <w:rPr>
          <w:rFonts w:hint="cs"/>
          <w:rtl/>
        </w:rPr>
        <w:t>אבל לפנינו הגירסא- אמר רבינא הלכתא הא ריפתא...</w:t>
      </w:r>
    </w:p>
  </w:footnote>
  <w:footnote w:id="2614">
    <w:p w14:paraId="5A9991A8" w14:textId="77777777" w:rsidR="004C5A3C" w:rsidRDefault="004C5A3C" w:rsidP="002C39F4">
      <w:pPr>
        <w:pStyle w:val="a5"/>
      </w:pPr>
      <w:r>
        <w:rPr>
          <w:rStyle w:val="a7"/>
        </w:rPr>
        <w:footnoteRef/>
      </w:r>
      <w:r>
        <w:rPr>
          <w:rtl/>
        </w:rPr>
        <w:t xml:space="preserve"> </w:t>
      </w:r>
      <w:r w:rsidRPr="00F45AF1">
        <w:rPr>
          <w:rFonts w:cs="Arial"/>
          <w:rtl/>
        </w:rPr>
        <w:t>שלש מלאכות יש בה</w:t>
      </w:r>
      <w:r>
        <w:rPr>
          <w:rFonts w:cs="Arial" w:hint="cs"/>
          <w:sz w:val="16"/>
          <w:szCs w:val="16"/>
          <w:rtl/>
        </w:rPr>
        <w:t xml:space="preserve"> {והם- היסק התנור, אפיית הפת, וחתיית הגחלים}</w:t>
      </w:r>
      <w:r>
        <w:rPr>
          <w:rFonts w:cs="Arial" w:hint="cs"/>
          <w:rtl/>
        </w:rPr>
        <w:t>, ר"ן על הרי"ף (טו:).</w:t>
      </w:r>
    </w:p>
  </w:footnote>
  <w:footnote w:id="2615">
    <w:p w14:paraId="5075B4D8" w14:textId="77777777" w:rsidR="004C5A3C" w:rsidRDefault="004C5A3C" w:rsidP="002C39F4">
      <w:pPr>
        <w:pStyle w:val="a5"/>
      </w:pPr>
      <w:r>
        <w:rPr>
          <w:rStyle w:val="a7"/>
        </w:rPr>
        <w:footnoteRef/>
      </w:r>
      <w:r>
        <w:rPr>
          <w:rtl/>
        </w:rPr>
        <w:t xml:space="preserve"> </w:t>
      </w:r>
      <w:r w:rsidRPr="00F45AF1">
        <w:rPr>
          <w:rFonts w:cs="Arial"/>
          <w:rtl/>
        </w:rPr>
        <w:t>הסיק התנור</w:t>
      </w:r>
      <w:r>
        <w:rPr>
          <w:rFonts w:cs="Arial" w:hint="cs"/>
          <w:rtl/>
        </w:rPr>
        <w:t>, ר"ן על הרי"ף (טו:).</w:t>
      </w:r>
    </w:p>
  </w:footnote>
  <w:footnote w:id="2616">
    <w:p w14:paraId="4EA7A200" w14:textId="77777777" w:rsidR="004C5A3C" w:rsidRDefault="004C5A3C" w:rsidP="002C39F4">
      <w:pPr>
        <w:pStyle w:val="a5"/>
      </w:pPr>
      <w:r>
        <w:rPr>
          <w:rStyle w:val="a7"/>
        </w:rPr>
        <w:footnoteRef/>
      </w:r>
      <w:r>
        <w:rPr>
          <w:rtl/>
        </w:rPr>
        <w:t xml:space="preserve"> </w:t>
      </w:r>
      <w:r>
        <w:rPr>
          <w:rFonts w:hint="cs"/>
          <w:rtl/>
        </w:rPr>
        <w:t>וכתב-</w:t>
      </w:r>
      <w:r w:rsidRPr="00EA1B19">
        <w:rPr>
          <w:rFonts w:cs="Arial"/>
          <w:rtl/>
        </w:rPr>
        <w:t xml:space="preserve"> וכן מצאתי בספרי הגאוני' דהא דהתירו פת של גוי</w:t>
      </w:r>
      <w:r w:rsidRPr="00EA1B19">
        <w:rPr>
          <w:rFonts w:cs="Arial" w:hint="cs"/>
          <w:rtl/>
        </w:rPr>
        <w:t>ם</w:t>
      </w:r>
      <w:r w:rsidRPr="00EA1B19">
        <w:rPr>
          <w:rFonts w:cs="Arial"/>
          <w:rtl/>
        </w:rPr>
        <w:t xml:space="preserve"> ה"מ של גוי</w:t>
      </w:r>
      <w:r w:rsidRPr="00EA1B19">
        <w:rPr>
          <w:rFonts w:cs="Arial" w:hint="cs"/>
          <w:rtl/>
        </w:rPr>
        <w:t>ם</w:t>
      </w:r>
      <w:r w:rsidRPr="00EA1B19">
        <w:rPr>
          <w:rFonts w:cs="Arial"/>
          <w:rtl/>
        </w:rPr>
        <w:t xml:space="preserve"> אבל של ישראל שאפאה גוי אסורה</w:t>
      </w:r>
      <w:r>
        <w:rPr>
          <w:rFonts w:cs="Arial" w:hint="cs"/>
          <w:rtl/>
        </w:rPr>
        <w:t>.</w:t>
      </w:r>
    </w:p>
  </w:footnote>
  <w:footnote w:id="2617">
    <w:p w14:paraId="0FFECA8C" w14:textId="77777777" w:rsidR="004C5A3C" w:rsidRDefault="004C5A3C" w:rsidP="002C39F4">
      <w:pPr>
        <w:pStyle w:val="a5"/>
        <w:rPr>
          <w:rtl/>
        </w:rPr>
      </w:pPr>
      <w:r>
        <w:rPr>
          <w:rStyle w:val="a7"/>
        </w:rPr>
        <w:footnoteRef/>
      </w:r>
      <w:r>
        <w:rPr>
          <w:rtl/>
        </w:rPr>
        <w:t xml:space="preserve"> </w:t>
      </w:r>
      <w:r>
        <w:rPr>
          <w:rFonts w:cs="Arial" w:hint="cs"/>
          <w:rtl/>
        </w:rPr>
        <w:t>ו</w:t>
      </w:r>
      <w:r w:rsidRPr="002F0B75">
        <w:rPr>
          <w:rFonts w:cs="Arial"/>
          <w:rtl/>
        </w:rPr>
        <w:t>האוכל פת של גוים אין מלקין אותו ואין משמתין אותו אלא מוכיחין אותו ואין אומרים בבית המד</w:t>
      </w:r>
      <w:r>
        <w:rPr>
          <w:rFonts w:cs="Arial"/>
          <w:rtl/>
        </w:rPr>
        <w:t>רש דבר שמועה מפיו כן נמצא בתשו</w:t>
      </w:r>
      <w:r>
        <w:rPr>
          <w:rFonts w:cs="Arial" w:hint="cs"/>
          <w:rtl/>
        </w:rPr>
        <w:t>'</w:t>
      </w:r>
      <w:r w:rsidRPr="002F0B75">
        <w:rPr>
          <w:rFonts w:cs="Arial"/>
          <w:rtl/>
        </w:rPr>
        <w:t xml:space="preserve"> הגאונים.</w:t>
      </w:r>
      <w:r>
        <w:rPr>
          <w:rFonts w:cs="Arial" w:hint="cs"/>
          <w:rtl/>
        </w:rPr>
        <w:t>..</w:t>
      </w:r>
      <w:r w:rsidRPr="002F0B75">
        <w:rPr>
          <w:rFonts w:cs="Arial"/>
          <w:rtl/>
        </w:rPr>
        <w:t xml:space="preserve"> </w:t>
      </w:r>
      <w:r>
        <w:rPr>
          <w:rFonts w:cs="Arial" w:hint="cs"/>
          <w:rtl/>
        </w:rPr>
        <w:t>ו</w:t>
      </w:r>
      <w:r w:rsidRPr="002F0B75">
        <w:rPr>
          <w:rFonts w:cs="Arial"/>
          <w:rtl/>
        </w:rPr>
        <w:t>אף בזמן הזה אם יסכימו חכמי ישראל וג</w:t>
      </w:r>
      <w:r>
        <w:rPr>
          <w:rFonts w:cs="Arial"/>
          <w:rtl/>
        </w:rPr>
        <w:t>דוליהן ומתירין הפת מותר אע</w:t>
      </w:r>
      <w:r>
        <w:rPr>
          <w:rFonts w:cs="Arial" w:hint="cs"/>
          <w:rtl/>
        </w:rPr>
        <w:t>"</w:t>
      </w:r>
      <w:r>
        <w:rPr>
          <w:rFonts w:cs="Arial"/>
          <w:rtl/>
        </w:rPr>
        <w:t>פ שאין ב</w:t>
      </w:r>
      <w:r>
        <w:rPr>
          <w:rFonts w:cs="Arial" w:hint="cs"/>
          <w:rtl/>
        </w:rPr>
        <w:t>"</w:t>
      </w:r>
      <w:r>
        <w:rPr>
          <w:rFonts w:cs="Arial"/>
          <w:rtl/>
        </w:rPr>
        <w:t>ד יכול לבטל דברי ב</w:t>
      </w:r>
      <w:r>
        <w:rPr>
          <w:rFonts w:cs="Arial" w:hint="cs"/>
          <w:rtl/>
        </w:rPr>
        <w:t>"</w:t>
      </w:r>
      <w:r>
        <w:rPr>
          <w:rFonts w:cs="Arial"/>
          <w:rtl/>
        </w:rPr>
        <w:t>ד</w:t>
      </w:r>
      <w:r w:rsidRPr="002F0B75">
        <w:rPr>
          <w:rFonts w:cs="Arial"/>
          <w:rtl/>
        </w:rPr>
        <w:t xml:space="preserve"> חבירו עד שיהא גדול ממנו בחכמה ובמנין</w:t>
      </w:r>
      <w:r w:rsidRPr="0075456D">
        <w:rPr>
          <w:rFonts w:cs="Arial"/>
          <w:sz w:val="16"/>
          <w:szCs w:val="16"/>
          <w:rtl/>
        </w:rPr>
        <w:t xml:space="preserve"> (מגילה ב. ע"ז לו</w:t>
      </w:r>
      <w:r w:rsidRPr="0075456D">
        <w:rPr>
          <w:rFonts w:cs="Arial" w:hint="cs"/>
          <w:sz w:val="16"/>
          <w:szCs w:val="16"/>
          <w:rtl/>
        </w:rPr>
        <w:t>.</w:t>
      </w:r>
      <w:r w:rsidRPr="0075456D">
        <w:rPr>
          <w:rFonts w:cs="Arial"/>
          <w:sz w:val="16"/>
          <w:szCs w:val="16"/>
          <w:rtl/>
        </w:rPr>
        <w:t xml:space="preserve">) </w:t>
      </w:r>
      <w:r w:rsidRPr="002F0B75">
        <w:rPr>
          <w:rFonts w:cs="Arial"/>
          <w:rtl/>
        </w:rPr>
        <w:t>שאני גזירת הפת הואיל ולא נתפשט איסורו ברוב ישראל והוא גזירה שאין רוב הציבור י</w:t>
      </w:r>
      <w:r>
        <w:rPr>
          <w:rFonts w:cs="Arial"/>
          <w:rtl/>
        </w:rPr>
        <w:t>כולין לעמוד בה</w:t>
      </w:r>
      <w:r w:rsidRPr="0075456D">
        <w:rPr>
          <w:rFonts w:cs="Arial"/>
          <w:sz w:val="16"/>
          <w:szCs w:val="16"/>
          <w:rtl/>
        </w:rPr>
        <w:t xml:space="preserve"> (ב"ק עט: ע"ז לו</w:t>
      </w:r>
      <w:r w:rsidRPr="0075456D">
        <w:rPr>
          <w:rFonts w:cs="Arial" w:hint="cs"/>
          <w:sz w:val="16"/>
          <w:szCs w:val="16"/>
          <w:rtl/>
        </w:rPr>
        <w:t>.</w:t>
      </w:r>
      <w:r w:rsidRPr="0075456D">
        <w:rPr>
          <w:rFonts w:cs="Arial"/>
          <w:sz w:val="16"/>
          <w:szCs w:val="16"/>
          <w:rtl/>
        </w:rPr>
        <w:t xml:space="preserve">) </w:t>
      </w:r>
      <w:r w:rsidRPr="002F0B75">
        <w:rPr>
          <w:rFonts w:cs="Arial"/>
          <w:rtl/>
        </w:rPr>
        <w:t>על כן יכולין כל בית דין להתיר</w:t>
      </w:r>
      <w:r>
        <w:rPr>
          <w:rFonts w:cs="Arial" w:hint="cs"/>
          <w:rtl/>
        </w:rPr>
        <w:t>ו,</w:t>
      </w:r>
      <w:r w:rsidRPr="002F0B75">
        <w:rPr>
          <w:rFonts w:cs="Arial" w:hint="cs"/>
          <w:rtl/>
        </w:rPr>
        <w:t xml:space="preserve"> </w:t>
      </w:r>
      <w:r>
        <w:rPr>
          <w:rFonts w:cs="Arial" w:hint="cs"/>
          <w:rtl/>
        </w:rPr>
        <w:t>ר</w:t>
      </w:r>
      <w:r>
        <w:rPr>
          <w:rFonts w:cs="Arial"/>
          <w:rtl/>
        </w:rPr>
        <w:t>"ן</w:t>
      </w:r>
      <w:r w:rsidRPr="002F0B75">
        <w:rPr>
          <w:rFonts w:cs="Arial"/>
          <w:sz w:val="16"/>
          <w:szCs w:val="16"/>
          <w:rtl/>
        </w:rPr>
        <w:t xml:space="preserve"> (יד: ד"ה איבו</w:t>
      </w:r>
      <w:r w:rsidRPr="002F0B75">
        <w:rPr>
          <w:rFonts w:cs="Arial" w:hint="cs"/>
          <w:sz w:val="16"/>
          <w:szCs w:val="16"/>
          <w:rtl/>
        </w:rPr>
        <w:t xml:space="preserve"> ו</w:t>
      </w:r>
      <w:r w:rsidRPr="002F0B75">
        <w:rPr>
          <w:rFonts w:cs="Arial"/>
          <w:sz w:val="16"/>
          <w:szCs w:val="16"/>
          <w:rtl/>
        </w:rPr>
        <w:t>ד"ה רבי יהודה הנשיא)</w:t>
      </w:r>
      <w:r>
        <w:rPr>
          <w:rFonts w:cs="Arial" w:hint="cs"/>
          <w:rtl/>
        </w:rPr>
        <w:t>.</w:t>
      </w:r>
      <w:r>
        <w:rPr>
          <w:rFonts w:hint="cs"/>
          <w:rtl/>
        </w:rPr>
        <w:t xml:space="preserve"> הביאו הדרכ"מ</w:t>
      </w:r>
      <w:r w:rsidRPr="0075456D">
        <w:rPr>
          <w:rFonts w:hint="cs"/>
          <w:sz w:val="16"/>
          <w:szCs w:val="16"/>
          <w:rtl/>
        </w:rPr>
        <w:t xml:space="preserve"> (אות ב)</w:t>
      </w:r>
      <w:r>
        <w:rPr>
          <w:rFonts w:hint="cs"/>
          <w:rtl/>
        </w:rPr>
        <w:t>.</w:t>
      </w:r>
    </w:p>
  </w:footnote>
  <w:footnote w:id="2618">
    <w:p w14:paraId="3CAD0998" w14:textId="77777777" w:rsidR="004C5A3C" w:rsidRDefault="004C5A3C" w:rsidP="002C39F4">
      <w:pPr>
        <w:pStyle w:val="a5"/>
        <w:rPr>
          <w:rtl/>
        </w:rPr>
      </w:pPr>
      <w:r>
        <w:rPr>
          <w:rStyle w:val="a7"/>
        </w:rPr>
        <w:footnoteRef/>
      </w:r>
      <w:r>
        <w:rPr>
          <w:rtl/>
        </w:rPr>
        <w:t xml:space="preserve"> </w:t>
      </w:r>
      <w:r>
        <w:rPr>
          <w:rFonts w:cs="Arial"/>
          <w:rtl/>
        </w:rPr>
        <w:t>ומש</w:t>
      </w:r>
      <w:r>
        <w:rPr>
          <w:rFonts w:cs="Arial" w:hint="cs"/>
          <w:rtl/>
        </w:rPr>
        <w:t>"</w:t>
      </w:r>
      <w:r>
        <w:rPr>
          <w:rFonts w:cs="Arial"/>
          <w:rtl/>
        </w:rPr>
        <w:t>ה</w:t>
      </w:r>
      <w:r w:rsidRPr="00F037C3">
        <w:rPr>
          <w:rFonts w:cs="Arial"/>
          <w:rtl/>
        </w:rPr>
        <w:t xml:space="preserve"> פלגינהו תנא לפת ושלקות בתרתי</w:t>
      </w:r>
      <w:r>
        <w:rPr>
          <w:rFonts w:cs="Arial" w:hint="cs"/>
          <w:rtl/>
        </w:rPr>
        <w:t>,</w:t>
      </w:r>
      <w:r w:rsidRPr="00F037C3">
        <w:rPr>
          <w:rFonts w:cs="Arial"/>
          <w:rtl/>
        </w:rPr>
        <w:t xml:space="preserve"> ותדע לך דלשמואל</w:t>
      </w:r>
      <w:r>
        <w:rPr>
          <w:rFonts w:cs="Arial" w:hint="cs"/>
          <w:rtl/>
        </w:rPr>
        <w:t>,</w:t>
      </w:r>
      <w:r w:rsidRPr="00F037C3">
        <w:rPr>
          <w:rFonts w:cs="Arial"/>
          <w:rtl/>
        </w:rPr>
        <w:t xml:space="preserve"> דאמר דשמן שאסר תנא דידן משום זליפתן של כלים אסורים אסרו</w:t>
      </w:r>
      <w:r>
        <w:rPr>
          <w:rFonts w:cs="Arial" w:hint="cs"/>
          <w:rtl/>
        </w:rPr>
        <w:t>,</w:t>
      </w:r>
      <w:r w:rsidRPr="00F037C3">
        <w:rPr>
          <w:rFonts w:cs="Arial"/>
          <w:rtl/>
        </w:rPr>
        <w:t xml:space="preserve"> על כרחך הפת אפילו לא אפאו הגוי אסור משום זליפתן של כלים</w:t>
      </w:r>
      <w:r>
        <w:rPr>
          <w:rFonts w:cs="Arial" w:hint="cs"/>
          <w:rtl/>
        </w:rPr>
        <w:t>,</w:t>
      </w:r>
      <w:r w:rsidRPr="00F037C3">
        <w:rPr>
          <w:rFonts w:cs="Arial"/>
          <w:rtl/>
        </w:rPr>
        <w:t xml:space="preserve"> וכיון דל</w:t>
      </w:r>
      <w:r>
        <w:rPr>
          <w:rFonts w:cs="Arial"/>
          <w:rtl/>
        </w:rPr>
        <w:t>שמואל כל שנלוש ביד גוים אע</w:t>
      </w:r>
      <w:r>
        <w:rPr>
          <w:rFonts w:cs="Arial" w:hint="cs"/>
          <w:rtl/>
        </w:rPr>
        <w:t>"</w:t>
      </w:r>
      <w:r>
        <w:rPr>
          <w:rFonts w:cs="Arial"/>
          <w:rtl/>
        </w:rPr>
        <w:t>פ</w:t>
      </w:r>
      <w:r w:rsidRPr="00F037C3">
        <w:rPr>
          <w:rFonts w:cs="Arial"/>
          <w:rtl/>
        </w:rPr>
        <w:t xml:space="preserve"> שלא אפאוהו גוים אסור</w:t>
      </w:r>
      <w:r>
        <w:rPr>
          <w:rFonts w:cs="Arial" w:hint="cs"/>
          <w:rtl/>
        </w:rPr>
        <w:t>,</w:t>
      </w:r>
      <w:r w:rsidRPr="00F037C3">
        <w:rPr>
          <w:rFonts w:cs="Arial"/>
          <w:rtl/>
        </w:rPr>
        <w:t xml:space="preserve"> אף לרב דאמר משום חתנות משמע דאסור</w:t>
      </w:r>
      <w:r>
        <w:rPr>
          <w:rFonts w:cs="Arial" w:hint="cs"/>
          <w:rtl/>
        </w:rPr>
        <w:t>,</w:t>
      </w:r>
      <w:r w:rsidRPr="00F037C3">
        <w:rPr>
          <w:rFonts w:cs="Arial"/>
          <w:rtl/>
        </w:rPr>
        <w:t xml:space="preserve"> דהא לא איפליגו בהכי והיינו דבכל האי פיסקא דפת לא אייתינן ההיא דרבי יוחנן דאמר דשלש מלאכות יש בו לפי שהפת השנוי במשנתינו לא מתורת בישולו בלבד נאסר</w:t>
      </w:r>
      <w:r>
        <w:rPr>
          <w:rFonts w:cs="Arial" w:hint="cs"/>
          <w:rtl/>
        </w:rPr>
        <w:t>,</w:t>
      </w:r>
      <w:r w:rsidRPr="00F037C3">
        <w:rPr>
          <w:rFonts w:cs="Arial"/>
          <w:rtl/>
        </w:rPr>
        <w:t xml:space="preserve"> אבל בפיסקא דשלקות לקמן דאיירי באיסור בישולי גוים מייתינן לה לפי שהוא ענין לפת שלנו שאין בה איסור אלא משום בישולי גוים</w:t>
      </w:r>
      <w:r>
        <w:rPr>
          <w:rFonts w:hint="cs"/>
          <w:rtl/>
        </w:rPr>
        <w:t>, ר"ן.</w:t>
      </w:r>
    </w:p>
  </w:footnote>
  <w:footnote w:id="2619">
    <w:p w14:paraId="5555D08D" w14:textId="77777777" w:rsidR="004C5A3C" w:rsidRDefault="004C5A3C" w:rsidP="002C39F4">
      <w:pPr>
        <w:pStyle w:val="a5"/>
        <w:rPr>
          <w:rtl/>
        </w:rPr>
      </w:pPr>
      <w:r>
        <w:rPr>
          <w:rStyle w:val="a7"/>
        </w:rPr>
        <w:footnoteRef/>
      </w:r>
      <w:r>
        <w:rPr>
          <w:rtl/>
        </w:rPr>
        <w:t xml:space="preserve"> </w:t>
      </w:r>
      <w:r w:rsidRPr="006B447A">
        <w:rPr>
          <w:rFonts w:cs="Arial"/>
          <w:rtl/>
        </w:rPr>
        <w:t xml:space="preserve">ואף לראב"ד ז"ל </w:t>
      </w:r>
      <w:r w:rsidRPr="00D551CC">
        <w:rPr>
          <w:rFonts w:cs="Arial"/>
          <w:sz w:val="16"/>
          <w:szCs w:val="16"/>
          <w:rtl/>
        </w:rPr>
        <w:t xml:space="preserve">(ע"ז לח: ד"ה הלכך) </w:t>
      </w:r>
      <w:r w:rsidRPr="006B447A">
        <w:rPr>
          <w:rFonts w:cs="Arial"/>
          <w:rtl/>
        </w:rPr>
        <w:t>מצאתי שפירשה לההיא דלקמן דפת שלש מלאכות יש בו דוקא בפת שלנו אבל לא מן הטעם שכתבתי</w:t>
      </w:r>
      <w:r w:rsidRPr="006B447A">
        <w:rPr>
          <w:rFonts w:cs="Arial" w:hint="cs"/>
          <w:rtl/>
        </w:rPr>
        <w:t>,</w:t>
      </w:r>
      <w:r w:rsidRPr="006B447A">
        <w:rPr>
          <w:rFonts w:cs="Arial"/>
          <w:rtl/>
        </w:rPr>
        <w:t xml:space="preserve"> אלא שהוא חושש לפתן אף משום גיעולי גוים</w:t>
      </w:r>
      <w:r w:rsidRPr="006B447A">
        <w:rPr>
          <w:rFonts w:cs="Arial" w:hint="cs"/>
          <w:rtl/>
        </w:rPr>
        <w:t>,</w:t>
      </w:r>
      <w:r>
        <w:rPr>
          <w:rFonts w:cs="Arial"/>
          <w:rtl/>
        </w:rPr>
        <w:t xml:space="preserve"> אלא שאין זה מחוור שהסוגיו</w:t>
      </w:r>
      <w:r>
        <w:rPr>
          <w:rFonts w:cs="Arial" w:hint="cs"/>
          <w:rtl/>
        </w:rPr>
        <w:t xml:space="preserve">' </w:t>
      </w:r>
      <w:r w:rsidRPr="006B447A">
        <w:rPr>
          <w:rFonts w:cs="Arial"/>
          <w:rtl/>
        </w:rPr>
        <w:t>מוכיחות דלקדרה בת יומא לא חיישינן</w:t>
      </w:r>
      <w:r>
        <w:rPr>
          <w:rFonts w:cs="Arial" w:hint="cs"/>
          <w:rtl/>
        </w:rPr>
        <w:t>, ר"ן</w:t>
      </w:r>
      <w:r w:rsidRPr="006B447A">
        <w:rPr>
          <w:rFonts w:cs="Arial"/>
          <w:rtl/>
        </w:rPr>
        <w:t>.</w:t>
      </w:r>
    </w:p>
  </w:footnote>
  <w:footnote w:id="2620">
    <w:p w14:paraId="582EA43D" w14:textId="77777777" w:rsidR="004C5A3C" w:rsidRDefault="004C5A3C" w:rsidP="002C39F4">
      <w:pPr>
        <w:pStyle w:val="a5"/>
        <w:rPr>
          <w:rtl/>
        </w:rPr>
      </w:pPr>
      <w:r>
        <w:rPr>
          <w:rStyle w:val="a7"/>
        </w:rPr>
        <w:footnoteRef/>
      </w:r>
      <w:r>
        <w:rPr>
          <w:rtl/>
        </w:rPr>
        <w:t xml:space="preserve"> </w:t>
      </w:r>
      <w:r>
        <w:rPr>
          <w:rFonts w:cs="Arial" w:hint="cs"/>
          <w:rtl/>
        </w:rPr>
        <w:t>וכ' הב"י דאע"ג ד</w:t>
      </w:r>
      <w:r>
        <w:rPr>
          <w:rFonts w:cs="Arial"/>
          <w:rtl/>
        </w:rPr>
        <w:t>מדברי</w:t>
      </w:r>
      <w:r>
        <w:rPr>
          <w:rFonts w:cs="Arial" w:hint="cs"/>
          <w:rtl/>
        </w:rPr>
        <w:t xml:space="preserve"> הרשב"א בתוה"א (</w:t>
      </w:r>
      <w:r>
        <w:rPr>
          <w:rFonts w:cs="Arial"/>
          <w:rtl/>
        </w:rPr>
        <w:t>ב"ג ש"ז צג.) משמע לכאורה כדברי הר"ן</w:t>
      </w:r>
      <w:r w:rsidRPr="006B447A">
        <w:rPr>
          <w:rFonts w:cs="Arial"/>
          <w:sz w:val="16"/>
          <w:szCs w:val="16"/>
          <w:rtl/>
        </w:rPr>
        <w:t xml:space="preserve"> </w:t>
      </w:r>
      <w:r w:rsidRPr="006B447A">
        <w:rPr>
          <w:rFonts w:cs="Arial" w:hint="cs"/>
          <w:sz w:val="16"/>
          <w:szCs w:val="16"/>
          <w:rtl/>
        </w:rPr>
        <w:t xml:space="preserve">(שכתב הרשב"א </w:t>
      </w:r>
      <w:r w:rsidRPr="006B447A">
        <w:rPr>
          <w:rFonts w:cs="Arial"/>
          <w:sz w:val="16"/>
          <w:szCs w:val="16"/>
          <w:rtl/>
        </w:rPr>
        <w:t>אחר שגמר דיני פת של גוים כלשון הזה</w:t>
      </w:r>
      <w:r w:rsidRPr="006B447A">
        <w:rPr>
          <w:rFonts w:cs="Arial" w:hint="cs"/>
          <w:sz w:val="16"/>
          <w:szCs w:val="16"/>
          <w:rtl/>
        </w:rPr>
        <w:t xml:space="preserve">- </w:t>
      </w:r>
      <w:r w:rsidRPr="006B447A">
        <w:rPr>
          <w:rFonts w:cs="Arial"/>
          <w:sz w:val="16"/>
          <w:szCs w:val="16"/>
          <w:rtl/>
        </w:rPr>
        <w:t>ולענין פת של ישראל שנעשה ע"י גוי גרסינן בפרק אין מעמידין א"ר יוחנן שלש מלאכות יש בפת וכו'</w:t>
      </w:r>
      <w:r w:rsidRPr="006B447A">
        <w:rPr>
          <w:rFonts w:cs="Arial" w:hint="cs"/>
          <w:sz w:val="16"/>
          <w:szCs w:val="16"/>
          <w:rtl/>
        </w:rPr>
        <w:t>)</w:t>
      </w:r>
      <w:r>
        <w:rPr>
          <w:rFonts w:cs="Arial" w:hint="cs"/>
          <w:rtl/>
        </w:rPr>
        <w:t>, מ"מ</w:t>
      </w:r>
      <w:r>
        <w:rPr>
          <w:rFonts w:cs="Arial"/>
          <w:rtl/>
        </w:rPr>
        <w:t xml:space="preserve"> בתשובה</w:t>
      </w:r>
      <w:r>
        <w:rPr>
          <w:rFonts w:cs="Arial" w:hint="cs"/>
          <w:rtl/>
        </w:rPr>
        <w:t xml:space="preserve"> כתב בפירוש </w:t>
      </w:r>
      <w:r w:rsidRPr="006B447A">
        <w:rPr>
          <w:rFonts w:cs="Arial"/>
          <w:rtl/>
        </w:rPr>
        <w:t>פת של בעלי בתים שאפאו ישראל או שהסיק בתנור או שהפך בגחלים שרי.</w:t>
      </w:r>
    </w:p>
  </w:footnote>
  <w:footnote w:id="2621">
    <w:p w14:paraId="105F8B09" w14:textId="77777777" w:rsidR="004C5A3C" w:rsidRDefault="004C5A3C" w:rsidP="002C39F4">
      <w:pPr>
        <w:pStyle w:val="a5"/>
        <w:rPr>
          <w:rtl/>
        </w:rPr>
      </w:pPr>
      <w:r>
        <w:rPr>
          <w:rStyle w:val="a7"/>
        </w:rPr>
        <w:footnoteRef/>
      </w:r>
      <w:r>
        <w:rPr>
          <w:rtl/>
        </w:rPr>
        <w:t xml:space="preserve"> </w:t>
      </w:r>
      <w:r w:rsidRPr="006B447A">
        <w:rPr>
          <w:rFonts w:cs="Arial"/>
          <w:rtl/>
        </w:rPr>
        <w:t>דלא אסר הר"ן אלא היכא שנשאר הפת על אותו תבנית שערכו הגוי</w:t>
      </w:r>
      <w:r w:rsidRPr="006B447A">
        <w:rPr>
          <w:rFonts w:cs="Arial" w:hint="cs"/>
          <w:rtl/>
        </w:rPr>
        <w:t>,</w:t>
      </w:r>
      <w:r w:rsidRPr="006B447A">
        <w:rPr>
          <w:rFonts w:cs="Arial"/>
          <w:rtl/>
        </w:rPr>
        <w:t xml:space="preserve"> וכדדייק לישנא דכיון שהגוי לשו וערכו דמשמע דאם הגוי לשו וערכו ישראל או ל</w:t>
      </w:r>
      <w:r>
        <w:rPr>
          <w:rFonts w:cs="Arial"/>
          <w:rtl/>
        </w:rPr>
        <w:t>שו ישראל וערכו גוי שרי דכל כה</w:t>
      </w:r>
      <w:r>
        <w:rPr>
          <w:rFonts w:cs="Arial" w:hint="cs"/>
          <w:rtl/>
        </w:rPr>
        <w:t>"</w:t>
      </w:r>
      <w:r>
        <w:rPr>
          <w:rFonts w:cs="Arial"/>
          <w:rtl/>
        </w:rPr>
        <w:t>ג לית ליה קירוב דעת כ</w:t>
      </w:r>
      <w:r>
        <w:rPr>
          <w:rFonts w:cs="Arial" w:hint="cs"/>
          <w:rtl/>
        </w:rPr>
        <w:t>"</w:t>
      </w:r>
      <w:r w:rsidRPr="006B447A">
        <w:rPr>
          <w:rFonts w:cs="Arial"/>
          <w:rtl/>
        </w:rPr>
        <w:t>כ</w:t>
      </w:r>
      <w:r>
        <w:rPr>
          <w:rFonts w:hint="cs"/>
          <w:rtl/>
        </w:rPr>
        <w:t>,</w:t>
      </w:r>
      <w:r w:rsidRPr="00BA29CB">
        <w:rPr>
          <w:rFonts w:cs="Arial" w:hint="cs"/>
          <w:rtl/>
        </w:rPr>
        <w:t xml:space="preserve"> </w:t>
      </w:r>
      <w:r>
        <w:rPr>
          <w:rFonts w:cs="Arial" w:hint="cs"/>
          <w:rtl/>
        </w:rPr>
        <w:t>ו</w:t>
      </w:r>
      <w:r>
        <w:rPr>
          <w:rFonts w:cs="Arial"/>
          <w:rtl/>
        </w:rPr>
        <w:t>היכא דלשו גוי וערכו ג</w:t>
      </w:r>
      <w:r>
        <w:rPr>
          <w:rFonts w:cs="Arial" w:hint="cs"/>
          <w:rtl/>
        </w:rPr>
        <w:t>"</w:t>
      </w:r>
      <w:r>
        <w:rPr>
          <w:rFonts w:cs="Arial"/>
          <w:rtl/>
        </w:rPr>
        <w:t>כ</w:t>
      </w:r>
      <w:r>
        <w:rPr>
          <w:rFonts w:cs="Arial" w:hint="cs"/>
          <w:rtl/>
        </w:rPr>
        <w:t>,</w:t>
      </w:r>
      <w:r w:rsidRPr="006B447A">
        <w:rPr>
          <w:rFonts w:cs="Arial"/>
          <w:rtl/>
        </w:rPr>
        <w:t xml:space="preserve"> אם בא ישראל וב</w:t>
      </w:r>
      <w:r>
        <w:rPr>
          <w:rFonts w:cs="Arial"/>
          <w:rtl/>
        </w:rPr>
        <w:t>יטל עריכתו וחזר וערכו משמע דשרי</w:t>
      </w:r>
      <w:r>
        <w:rPr>
          <w:rFonts w:cs="Arial" w:hint="cs"/>
          <w:rtl/>
        </w:rPr>
        <w:t>,</w:t>
      </w:r>
      <w:r w:rsidRPr="006B447A">
        <w:rPr>
          <w:rFonts w:cs="Arial"/>
          <w:rtl/>
        </w:rPr>
        <w:t xml:space="preserve"> דהא לא אהנו מעשה עריכת גוי כלום</w:t>
      </w:r>
      <w:r w:rsidRPr="006B447A">
        <w:rPr>
          <w:rFonts w:cs="Arial" w:hint="cs"/>
          <w:rtl/>
        </w:rPr>
        <w:t>,</w:t>
      </w:r>
      <w:r w:rsidRPr="006B447A">
        <w:rPr>
          <w:rFonts w:cs="Arial"/>
          <w:rtl/>
        </w:rPr>
        <w:t xml:space="preserve"> ובשאור כיון שמתבטלת עריכתו של גוי שרי</w:t>
      </w:r>
      <w:r>
        <w:rPr>
          <w:rFonts w:cs="Arial" w:hint="cs"/>
          <w:rtl/>
        </w:rPr>
        <w:t xml:space="preserve">, </w:t>
      </w:r>
      <w:r>
        <w:rPr>
          <w:rFonts w:cs="Arial"/>
          <w:rtl/>
        </w:rPr>
        <w:t xml:space="preserve">ועוד דאפילו </w:t>
      </w:r>
      <w:r>
        <w:rPr>
          <w:rFonts w:cs="Arial" w:hint="cs"/>
          <w:rtl/>
        </w:rPr>
        <w:t>א</w:t>
      </w:r>
      <w:r>
        <w:rPr>
          <w:rFonts w:cs="Arial"/>
          <w:rtl/>
        </w:rPr>
        <w:t>ת</w:t>
      </w:r>
      <w:r>
        <w:rPr>
          <w:rFonts w:cs="Arial" w:hint="cs"/>
          <w:rtl/>
        </w:rPr>
        <w:t>"</w:t>
      </w:r>
      <w:r>
        <w:rPr>
          <w:rFonts w:cs="Arial"/>
          <w:rtl/>
        </w:rPr>
        <w:t>ל</w:t>
      </w:r>
      <w:r w:rsidRPr="006B447A">
        <w:rPr>
          <w:rFonts w:cs="Arial"/>
          <w:rtl/>
        </w:rPr>
        <w:t xml:space="preserve"> דכל שלשו וערכו גוי אפילו ב</w:t>
      </w:r>
      <w:r>
        <w:rPr>
          <w:rFonts w:cs="Arial"/>
          <w:rtl/>
        </w:rPr>
        <w:t>יטל ישראל עריכתו אסור א</w:t>
      </w:r>
      <w:r>
        <w:rPr>
          <w:rFonts w:cs="Arial" w:hint="cs"/>
          <w:rtl/>
        </w:rPr>
        <w:t xml:space="preserve">יכא </w:t>
      </w:r>
      <w:r>
        <w:rPr>
          <w:rFonts w:cs="Arial"/>
          <w:rtl/>
        </w:rPr>
        <w:t>ל</w:t>
      </w:r>
      <w:r>
        <w:rPr>
          <w:rFonts w:cs="Arial" w:hint="cs"/>
          <w:rtl/>
        </w:rPr>
        <w:t>מימר</w:t>
      </w:r>
      <w:r>
        <w:rPr>
          <w:rFonts w:cs="Arial"/>
          <w:rtl/>
        </w:rPr>
        <w:t xml:space="preserve"> דהנ</w:t>
      </w:r>
      <w:r>
        <w:rPr>
          <w:rFonts w:cs="Arial" w:hint="cs"/>
          <w:rtl/>
        </w:rPr>
        <w:t>"</w:t>
      </w:r>
      <w:r>
        <w:rPr>
          <w:rFonts w:cs="Arial"/>
          <w:rtl/>
        </w:rPr>
        <w:t>מ</w:t>
      </w:r>
      <w:r w:rsidRPr="006B447A">
        <w:rPr>
          <w:rFonts w:cs="Arial"/>
          <w:rtl/>
        </w:rPr>
        <w:t xml:space="preserve"> בפת שערך אותו הגוי מתחלה על דעת לאפותו ע"י עריכה זו אבל כשמתחלה ערכ</w:t>
      </w:r>
      <w:r>
        <w:rPr>
          <w:rFonts w:cs="Arial"/>
          <w:rtl/>
        </w:rPr>
        <w:t>ו על דעת שאור הוי כלשו ולא ערכו</w:t>
      </w:r>
      <w:r>
        <w:rPr>
          <w:rFonts w:cs="Arial" w:hint="cs"/>
          <w:rtl/>
        </w:rPr>
        <w:t xml:space="preserve">, </w:t>
      </w:r>
      <w:r w:rsidRPr="006B447A">
        <w:rPr>
          <w:rFonts w:cs="Arial"/>
          <w:rtl/>
        </w:rPr>
        <w:t>שהרי עריכה זו עריכה על מנת לסתור היא שידוע הוא שהשאור אין אופין אותו כמות שהוא אלא מערבין אותו עם העיסה ונמצא שמשעה ראשונה היה ידוע שלא תתקיים עריכה זו</w:t>
      </w:r>
      <w:r>
        <w:rPr>
          <w:rFonts w:cs="Arial" w:hint="cs"/>
          <w:rtl/>
        </w:rPr>
        <w:t>, ב"י</w:t>
      </w:r>
      <w:r w:rsidRPr="006B447A">
        <w:rPr>
          <w:rFonts w:cs="Arial"/>
          <w:rtl/>
        </w:rPr>
        <w:t>.</w:t>
      </w:r>
    </w:p>
  </w:footnote>
  <w:footnote w:id="2622">
    <w:p w14:paraId="3C6587B3" w14:textId="77777777" w:rsidR="004C5A3C" w:rsidRDefault="004C5A3C" w:rsidP="002C39F4">
      <w:pPr>
        <w:pStyle w:val="a5"/>
        <w:rPr>
          <w:rtl/>
        </w:rPr>
      </w:pPr>
      <w:r>
        <w:rPr>
          <w:rStyle w:val="a7"/>
        </w:rPr>
        <w:footnoteRef/>
      </w:r>
      <w:r>
        <w:rPr>
          <w:rtl/>
        </w:rPr>
        <w:t xml:space="preserve"> </w:t>
      </w:r>
      <w:r>
        <w:rPr>
          <w:rFonts w:cs="Arial"/>
          <w:rtl/>
        </w:rPr>
        <w:t>ומכל מקום מהטעמים שכתבתי לעיל נראה להתיר שאור של גוים</w:t>
      </w:r>
      <w:r>
        <w:rPr>
          <w:rFonts w:cs="Arial" w:hint="cs"/>
          <w:rtl/>
        </w:rPr>
        <w:t>,</w:t>
      </w:r>
      <w:r>
        <w:rPr>
          <w:rFonts w:cs="Arial"/>
          <w:rtl/>
        </w:rPr>
        <w:t xml:space="preserve"> ובהדיא אמרינן פרק כל שעה (פסחים ל.) דאמר רבא כי הוינן בי רב נחמן כי הוו נפקי שבעה יומי פיסחא אמר לן פוקו וזבינו חמירא דבני חילא</w:t>
      </w:r>
      <w:r>
        <w:rPr>
          <w:rFonts w:cs="Arial" w:hint="cs"/>
          <w:rtl/>
        </w:rPr>
        <w:t>,</w:t>
      </w:r>
      <w:r>
        <w:rPr>
          <w:rFonts w:cs="Arial"/>
          <w:rtl/>
        </w:rPr>
        <w:t xml:space="preserve"> ומשמע דלא היו נוהגין במקומו של רב נחמן היתר בפת של גוים דאם כן הוה מייתי ליה תלמודא בפרק אין מעמידין</w:t>
      </w:r>
      <w:r>
        <w:rPr>
          <w:rFonts w:cs="Arial" w:hint="cs"/>
          <w:rtl/>
        </w:rPr>
        <w:t>,</w:t>
      </w:r>
      <w:r>
        <w:rPr>
          <w:rFonts w:cs="Arial"/>
          <w:rtl/>
        </w:rPr>
        <w:t xml:space="preserve"> אלא ודאי עיסה היו לוקחין מהגוים ועורכין אותה או שאור היו לוקחים מהם ומחמצים בו עיסתם </w:t>
      </w:r>
      <w:r w:rsidRPr="00D551CC">
        <w:rPr>
          <w:rFonts w:cs="Arial" w:hint="cs"/>
          <w:sz w:val="16"/>
          <w:szCs w:val="16"/>
          <w:rtl/>
        </w:rPr>
        <w:t>(</w:t>
      </w:r>
      <w:r w:rsidRPr="00D551CC">
        <w:rPr>
          <w:rFonts w:cs="Arial"/>
          <w:sz w:val="16"/>
          <w:szCs w:val="16"/>
          <w:rtl/>
        </w:rPr>
        <w:t>וא</w:t>
      </w:r>
      <w:r w:rsidRPr="00D551CC">
        <w:rPr>
          <w:rFonts w:cs="Arial" w:hint="cs"/>
          <w:sz w:val="16"/>
          <w:szCs w:val="16"/>
          <w:rtl/>
        </w:rPr>
        <w:t>ע"פ</w:t>
      </w:r>
      <w:r w:rsidRPr="00D551CC">
        <w:rPr>
          <w:rFonts w:cs="Arial"/>
          <w:sz w:val="16"/>
          <w:szCs w:val="16"/>
          <w:rtl/>
        </w:rPr>
        <w:t xml:space="preserve"> שפירש"י בני חילא גוים אע</w:t>
      </w:r>
      <w:r w:rsidRPr="00D551CC">
        <w:rPr>
          <w:rFonts w:cs="Arial" w:hint="cs"/>
          <w:sz w:val="16"/>
          <w:szCs w:val="16"/>
          <w:rtl/>
        </w:rPr>
        <w:t>"</w:t>
      </w:r>
      <w:r w:rsidRPr="00D551CC">
        <w:rPr>
          <w:rFonts w:cs="Arial"/>
          <w:sz w:val="16"/>
          <w:szCs w:val="16"/>
          <w:rtl/>
        </w:rPr>
        <w:t>פ שאופהו יום זה שעבר והוא פסח</w:t>
      </w:r>
      <w:r w:rsidRPr="00D551CC">
        <w:rPr>
          <w:rFonts w:cs="Arial" w:hint="cs"/>
          <w:sz w:val="16"/>
          <w:szCs w:val="16"/>
          <w:rtl/>
        </w:rPr>
        <w:t>,</w:t>
      </w:r>
      <w:r w:rsidRPr="00D551CC">
        <w:rPr>
          <w:rFonts w:cs="Arial"/>
          <w:sz w:val="16"/>
          <w:szCs w:val="16"/>
          <w:rtl/>
        </w:rPr>
        <w:t xml:space="preserve"> י"ל דלישנא דאופהו לאו דוקא אלא ללישה קרי אפיה</w:t>
      </w:r>
      <w:r w:rsidRPr="00D551CC">
        <w:rPr>
          <w:rFonts w:cs="Arial" w:hint="cs"/>
          <w:sz w:val="16"/>
          <w:szCs w:val="16"/>
          <w:rtl/>
        </w:rPr>
        <w:t>,</w:t>
      </w:r>
      <w:r w:rsidRPr="00D551CC">
        <w:rPr>
          <w:rFonts w:cs="Arial"/>
          <w:sz w:val="16"/>
          <w:szCs w:val="16"/>
          <w:rtl/>
        </w:rPr>
        <w:t xml:space="preserve"> דאל</w:t>
      </w:r>
      <w:r w:rsidRPr="00D551CC">
        <w:rPr>
          <w:rFonts w:cs="Arial" w:hint="cs"/>
          <w:sz w:val="16"/>
          <w:szCs w:val="16"/>
          <w:rtl/>
        </w:rPr>
        <w:t>"</w:t>
      </w:r>
      <w:r w:rsidRPr="00D551CC">
        <w:rPr>
          <w:rFonts w:cs="Arial"/>
          <w:sz w:val="16"/>
          <w:szCs w:val="16"/>
          <w:rtl/>
        </w:rPr>
        <w:t>כ יקשה מה שהקשיתי שהיו נוהגין היתר בפת של גוים</w:t>
      </w:r>
      <w:r w:rsidRPr="00D551CC">
        <w:rPr>
          <w:rFonts w:cs="Arial" w:hint="cs"/>
          <w:sz w:val="16"/>
          <w:szCs w:val="16"/>
          <w:rtl/>
        </w:rPr>
        <w:t>)</w:t>
      </w:r>
      <w:r>
        <w:rPr>
          <w:rFonts w:cs="Arial" w:hint="cs"/>
          <w:rtl/>
        </w:rPr>
        <w:t>...</w:t>
      </w:r>
      <w:r w:rsidRPr="00293D43">
        <w:rPr>
          <w:rFonts w:cs="Arial"/>
          <w:rtl/>
        </w:rPr>
        <w:t xml:space="preserve"> </w:t>
      </w:r>
      <w:r>
        <w:rPr>
          <w:rFonts w:cs="Arial"/>
          <w:rtl/>
        </w:rPr>
        <w:t>והוצרכתי לכתוב כל זה לפי שראיתי מחמירים לאסור לחמץ בשאור של גוים</w:t>
      </w:r>
      <w:r>
        <w:rPr>
          <w:rFonts w:cs="Arial" w:hint="cs"/>
          <w:rtl/>
        </w:rPr>
        <w:t>,</w:t>
      </w:r>
      <w:r>
        <w:rPr>
          <w:rFonts w:cs="Arial"/>
          <w:rtl/>
        </w:rPr>
        <w:t xml:space="preserve"> וכבר הוכחתי שאין להם על מה שיסמוכו</w:t>
      </w:r>
      <w:r>
        <w:rPr>
          <w:rFonts w:cs="Arial" w:hint="cs"/>
          <w:rtl/>
        </w:rPr>
        <w:t>, ב"י.</w:t>
      </w:r>
    </w:p>
  </w:footnote>
  <w:footnote w:id="2623">
    <w:p w14:paraId="1E13B70B" w14:textId="77777777" w:rsidR="004C5A3C" w:rsidRDefault="004C5A3C" w:rsidP="002C39F4">
      <w:pPr>
        <w:pStyle w:val="a5"/>
        <w:rPr>
          <w:rtl/>
        </w:rPr>
      </w:pPr>
      <w:r>
        <w:rPr>
          <w:rStyle w:val="a7"/>
        </w:rPr>
        <w:footnoteRef/>
      </w:r>
      <w:r>
        <w:rPr>
          <w:rtl/>
        </w:rPr>
        <w:t xml:space="preserve"> </w:t>
      </w:r>
      <w:r>
        <w:rPr>
          <w:rFonts w:cs="Arial" w:hint="cs"/>
          <w:rtl/>
        </w:rPr>
        <w:t xml:space="preserve">וכ' הב"י- ואע"ג שכ' בספר אדם... דחמצן של כותים אסור... </w:t>
      </w:r>
      <w:r>
        <w:rPr>
          <w:rFonts w:cs="Arial"/>
          <w:rtl/>
        </w:rPr>
        <w:t>י"ל דהתם משום חשש מעשר המעורב בו חיישינן</w:t>
      </w:r>
      <w:r>
        <w:rPr>
          <w:rFonts w:cs="Arial" w:hint="cs"/>
          <w:rtl/>
        </w:rPr>
        <w:t>,</w:t>
      </w:r>
      <w:r>
        <w:rPr>
          <w:rFonts w:cs="Arial"/>
          <w:rtl/>
        </w:rPr>
        <w:t xml:space="preserve"> וכמו שנתבאר דכל דלטעמא עביד לא בטיל אפילו בדמאי</w:t>
      </w:r>
      <w:r>
        <w:rPr>
          <w:rFonts w:cs="Arial" w:hint="cs"/>
          <w:rtl/>
        </w:rPr>
        <w:t>,</w:t>
      </w:r>
      <w:r>
        <w:rPr>
          <w:rFonts w:cs="Arial"/>
          <w:rtl/>
        </w:rPr>
        <w:t xml:space="preserve"> אבל לדידן דלית לן חששא דדמאי לא מיתסר כלל ושרי לחמץ בו לכתחלה כנ"ל.</w:t>
      </w:r>
    </w:p>
  </w:footnote>
  <w:footnote w:id="2624">
    <w:p w14:paraId="7561F2BD" w14:textId="77777777" w:rsidR="004C5A3C" w:rsidRDefault="004C5A3C" w:rsidP="002C39F4">
      <w:pPr>
        <w:pStyle w:val="a5"/>
      </w:pPr>
      <w:r>
        <w:rPr>
          <w:rStyle w:val="a7"/>
        </w:rPr>
        <w:footnoteRef/>
      </w:r>
      <w:r>
        <w:rPr>
          <w:rtl/>
        </w:rPr>
        <w:t xml:space="preserve"> </w:t>
      </w:r>
      <w:r>
        <w:rPr>
          <w:rFonts w:hint="cs"/>
          <w:rtl/>
        </w:rPr>
        <w:t>היינו- אינו נאסר מחמת יין נסך. וכ"ה בטור וז</w:t>
      </w:r>
      <w:r>
        <w:rPr>
          <w:rtl/>
        </w:rPr>
        <w:t>"</w:t>
      </w:r>
      <w:r>
        <w:rPr>
          <w:rFonts w:hint="cs"/>
          <w:rtl/>
        </w:rPr>
        <w:t>ל-</w:t>
      </w:r>
      <w:r w:rsidRPr="00BA29CB">
        <w:rPr>
          <w:rFonts w:cs="Arial"/>
          <w:rtl/>
        </w:rPr>
        <w:t xml:space="preserve"> </w:t>
      </w:r>
      <w:r w:rsidRPr="003E504D">
        <w:rPr>
          <w:rFonts w:cs="Arial"/>
          <w:rtl/>
        </w:rPr>
        <w:t>ואסרו לשתות במסיבתן אפילו שאר משקין שאין בהן משום חשש יין נסך</w:t>
      </w:r>
      <w:r>
        <w:rPr>
          <w:rFonts w:cs="Arial" w:hint="cs"/>
          <w:rtl/>
        </w:rPr>
        <w:t>.</w:t>
      </w:r>
    </w:p>
  </w:footnote>
  <w:footnote w:id="2625">
    <w:p w14:paraId="49AA4362" w14:textId="77777777" w:rsidR="004C5A3C" w:rsidRDefault="004C5A3C" w:rsidP="002C39F4">
      <w:pPr>
        <w:pStyle w:val="a5"/>
        <w:rPr>
          <w:rtl/>
        </w:rPr>
      </w:pPr>
      <w:r>
        <w:rPr>
          <w:rStyle w:val="a7"/>
        </w:rPr>
        <w:footnoteRef/>
      </w:r>
      <w:r>
        <w:rPr>
          <w:rtl/>
        </w:rPr>
        <w:t xml:space="preserve"> </w:t>
      </w:r>
      <w:r>
        <w:rPr>
          <w:rFonts w:cs="Arial"/>
          <w:rtl/>
        </w:rPr>
        <w:t>ואפשר שהוא ברייתא או תוספתא</w:t>
      </w:r>
      <w:r>
        <w:rPr>
          <w:rFonts w:cs="Arial" w:hint="cs"/>
          <w:rtl/>
        </w:rPr>
        <w:t>, ב"י</w:t>
      </w:r>
      <w:r>
        <w:rPr>
          <w:rFonts w:cs="Arial"/>
          <w:rtl/>
        </w:rPr>
        <w:t>.</w:t>
      </w:r>
    </w:p>
  </w:footnote>
  <w:footnote w:id="2626">
    <w:p w14:paraId="23E7D0DC" w14:textId="77777777" w:rsidR="004C5A3C" w:rsidRDefault="004C5A3C" w:rsidP="002C39F4">
      <w:pPr>
        <w:pStyle w:val="a5"/>
        <w:rPr>
          <w:rtl/>
        </w:rPr>
      </w:pPr>
      <w:r>
        <w:rPr>
          <w:rStyle w:val="a7"/>
        </w:rPr>
        <w:footnoteRef/>
      </w:r>
      <w:r>
        <w:rPr>
          <w:rtl/>
        </w:rPr>
        <w:t xml:space="preserve"> </w:t>
      </w:r>
      <w:r>
        <w:rPr>
          <w:rFonts w:cs="Arial"/>
          <w:rtl/>
        </w:rPr>
        <w:t>ונראה שלמד כן מדאמרינן בפרק אין מעמידין (</w:t>
      </w:r>
      <w:r>
        <w:rPr>
          <w:rFonts w:cs="Arial" w:hint="cs"/>
          <w:rtl/>
        </w:rPr>
        <w:t xml:space="preserve">ע"ז </w:t>
      </w:r>
      <w:r>
        <w:rPr>
          <w:rFonts w:cs="Arial"/>
          <w:rtl/>
        </w:rPr>
        <w:t>ל.) דשמואל ואבלט הוו שתו יין מבושל ואי לא הוה צד היתר לשתותו במסבת הגוי היכי הוה שתי שמואל</w:t>
      </w:r>
      <w:r>
        <w:rPr>
          <w:rFonts w:hint="cs"/>
          <w:rtl/>
        </w:rPr>
        <w:t>, ב"י.</w:t>
      </w:r>
    </w:p>
  </w:footnote>
  <w:footnote w:id="2627">
    <w:p w14:paraId="0F443BA0" w14:textId="77777777" w:rsidR="004C5A3C" w:rsidRDefault="004C5A3C" w:rsidP="002C39F4">
      <w:pPr>
        <w:pStyle w:val="a5"/>
      </w:pPr>
      <w:r>
        <w:rPr>
          <w:rStyle w:val="a7"/>
        </w:rPr>
        <w:footnoteRef/>
      </w:r>
      <w:r>
        <w:rPr>
          <w:rtl/>
        </w:rPr>
        <w:t xml:space="preserve"> </w:t>
      </w:r>
      <w:r>
        <w:rPr>
          <w:rFonts w:cs="Arial" w:hint="cs"/>
          <w:rtl/>
        </w:rPr>
        <w:t xml:space="preserve">וז"ל- </w:t>
      </w:r>
      <w:r w:rsidRPr="00D85CC6">
        <w:rPr>
          <w:rFonts w:cs="Arial"/>
          <w:rtl/>
        </w:rPr>
        <w:t>אין בו משום בישולי גוים דאינו עולה על שלחן מלכים</w:t>
      </w:r>
      <w:r>
        <w:rPr>
          <w:rFonts w:cs="Arial" w:hint="cs"/>
          <w:rtl/>
        </w:rPr>
        <w:t>, עכ"ל.</w:t>
      </w:r>
      <w:r w:rsidRPr="003D122E">
        <w:rPr>
          <w:rFonts w:cs="Arial" w:hint="cs"/>
          <w:rtl/>
        </w:rPr>
        <w:t xml:space="preserve"> </w:t>
      </w:r>
      <w:r>
        <w:rPr>
          <w:rFonts w:cs="Arial" w:hint="cs"/>
          <w:rtl/>
        </w:rPr>
        <w:t xml:space="preserve">הביאו הב"י </w:t>
      </w:r>
      <w:r w:rsidRPr="00D85CC6">
        <w:rPr>
          <w:rFonts w:cs="Arial" w:hint="cs"/>
          <w:sz w:val="16"/>
          <w:szCs w:val="16"/>
          <w:rtl/>
        </w:rPr>
        <w:t>(בבדה"ב)</w:t>
      </w:r>
      <w:r>
        <w:rPr>
          <w:rFonts w:cs="Arial" w:hint="cs"/>
          <w:rtl/>
        </w:rPr>
        <w:t>, וכתב דדבריו</w:t>
      </w:r>
      <w:r>
        <w:rPr>
          <w:rFonts w:cs="Arial"/>
          <w:rtl/>
        </w:rPr>
        <w:t xml:space="preserve"> </w:t>
      </w:r>
      <w:r>
        <w:rPr>
          <w:rFonts w:cs="Arial" w:hint="cs"/>
          <w:rtl/>
        </w:rPr>
        <w:t>הם כדברי</w:t>
      </w:r>
      <w:r w:rsidRPr="00D85CC6">
        <w:rPr>
          <w:rFonts w:cs="Arial"/>
          <w:rtl/>
        </w:rPr>
        <w:t xml:space="preserve"> </w:t>
      </w:r>
      <w:r>
        <w:rPr>
          <w:rFonts w:cs="Arial" w:hint="cs"/>
          <w:rtl/>
        </w:rPr>
        <w:t>הטור</w:t>
      </w:r>
      <w:r>
        <w:rPr>
          <w:rFonts w:hint="cs"/>
          <w:rtl/>
        </w:rPr>
        <w:t>.</w:t>
      </w:r>
    </w:p>
  </w:footnote>
  <w:footnote w:id="2628">
    <w:p w14:paraId="47B02957" w14:textId="77777777" w:rsidR="004C5A3C" w:rsidRPr="0075456D" w:rsidRDefault="004C5A3C" w:rsidP="002C39F4">
      <w:pPr>
        <w:pStyle w:val="a5"/>
      </w:pPr>
      <w:r>
        <w:rPr>
          <w:rStyle w:val="a7"/>
        </w:rPr>
        <w:footnoteRef/>
      </w:r>
      <w:r>
        <w:rPr>
          <w:rtl/>
        </w:rPr>
        <w:t xml:space="preserve"> </w:t>
      </w:r>
      <w:r w:rsidRPr="00D85CC6">
        <w:rPr>
          <w:rFonts w:cs="Arial"/>
          <w:rtl/>
        </w:rPr>
        <w:t>ומשמע מדבריו שאם הוא עולה על שלחן מלכים אסור משום שלקות דלא גרע מפני שהוא עשוי פת וזה נראה ברור</w:t>
      </w:r>
      <w:r>
        <w:rPr>
          <w:rFonts w:hint="cs"/>
          <w:rtl/>
        </w:rPr>
        <w:t>, ב"י</w:t>
      </w:r>
      <w:r>
        <w:rPr>
          <w:rFonts w:cs="Arial" w:hint="cs"/>
          <w:rtl/>
        </w:rPr>
        <w:t>.</w:t>
      </w:r>
      <w:r>
        <w:rPr>
          <w:rFonts w:hint="cs"/>
          <w:rtl/>
        </w:rPr>
        <w:t xml:space="preserve"> וכ' הדרכ"מ </w:t>
      </w:r>
      <w:r w:rsidRPr="00E20D39">
        <w:rPr>
          <w:rFonts w:hint="cs"/>
          <w:sz w:val="16"/>
          <w:szCs w:val="16"/>
          <w:rtl/>
        </w:rPr>
        <w:t xml:space="preserve">(אות ג) </w:t>
      </w:r>
      <w:r>
        <w:rPr>
          <w:rFonts w:hint="cs"/>
          <w:rtl/>
        </w:rPr>
        <w:t>ד</w:t>
      </w:r>
      <w:r>
        <w:rPr>
          <w:rFonts w:cs="Arial" w:hint="cs"/>
          <w:rtl/>
        </w:rPr>
        <w:t>כ"פ או</w:t>
      </w:r>
      <w:r>
        <w:rPr>
          <w:rFonts w:cs="Arial"/>
          <w:rtl/>
        </w:rPr>
        <w:t>"</w:t>
      </w:r>
      <w:r>
        <w:rPr>
          <w:rFonts w:cs="Arial" w:hint="cs"/>
          <w:rtl/>
        </w:rPr>
        <w:t>ה</w:t>
      </w:r>
      <w:r>
        <w:rPr>
          <w:rFonts w:cs="Arial" w:hint="cs"/>
          <w:sz w:val="16"/>
          <w:szCs w:val="16"/>
          <w:rtl/>
        </w:rPr>
        <w:t xml:space="preserve"> (כלל מד ד"ב)</w:t>
      </w:r>
      <w:r>
        <w:rPr>
          <w:rFonts w:cs="Arial" w:hint="cs"/>
          <w:rtl/>
        </w:rPr>
        <w:t xml:space="preserve">. </w:t>
      </w:r>
    </w:p>
  </w:footnote>
  <w:footnote w:id="2629">
    <w:p w14:paraId="4C2EBBA2" w14:textId="77777777" w:rsidR="004C5A3C" w:rsidRDefault="004C5A3C" w:rsidP="002C39F4">
      <w:pPr>
        <w:pStyle w:val="a5"/>
      </w:pPr>
      <w:r>
        <w:rPr>
          <w:rStyle w:val="a7"/>
        </w:rPr>
        <w:footnoteRef/>
      </w:r>
      <w:r>
        <w:rPr>
          <w:rtl/>
        </w:rPr>
        <w:t xml:space="preserve"> </w:t>
      </w:r>
      <w:r w:rsidRPr="003D122E">
        <w:rPr>
          <w:rFonts w:cs="Arial"/>
          <w:rtl/>
        </w:rPr>
        <w:t>הב"ח השיג על זה וכתב דאין ספק דפת קטנית ואורז ודוחן אינו עולה על שולחן מלכים כדמשמע מדברי הטור אלא דהרא"ש מיירי בתבשיל שנעשה מאורז ודוחן דהתם איכא לפלוגי בין עולה על שלחן מלכים או לא</w:t>
      </w:r>
      <w:r>
        <w:rPr>
          <w:rFonts w:cs="Arial" w:hint="cs"/>
          <w:rtl/>
        </w:rPr>
        <w:t>.</w:t>
      </w:r>
    </w:p>
  </w:footnote>
  <w:footnote w:id="2630">
    <w:p w14:paraId="37E10534" w14:textId="77777777" w:rsidR="004C5A3C" w:rsidRDefault="004C5A3C" w:rsidP="002C39F4">
      <w:pPr>
        <w:pStyle w:val="a5"/>
        <w:rPr>
          <w:rtl/>
        </w:rPr>
      </w:pPr>
      <w:r>
        <w:rPr>
          <w:rStyle w:val="a7"/>
        </w:rPr>
        <w:footnoteRef/>
      </w:r>
      <w:r>
        <w:rPr>
          <w:rtl/>
        </w:rPr>
        <w:t xml:space="preserve"> </w:t>
      </w:r>
      <w:r>
        <w:rPr>
          <w:rFonts w:hint="cs"/>
          <w:rtl/>
        </w:rPr>
        <w:t>נוסף ממהדורת ויניציאה שכ"ז, כנראה מיראת הצנזור</w:t>
      </w:r>
      <w:r>
        <w:rPr>
          <w:rFonts w:hint="cs"/>
          <w:sz w:val="14"/>
          <w:szCs w:val="14"/>
          <w:rtl/>
        </w:rPr>
        <w:t xml:space="preserve"> (הגהות והערות אות א פריעדמאן)</w:t>
      </w:r>
      <w:r>
        <w:rPr>
          <w:rFonts w:hint="cs"/>
          <w:rtl/>
        </w:rPr>
        <w:t>. וכ' הפמ"ג (שפת"ד אות ב)-</w:t>
      </w:r>
      <w:r w:rsidRPr="00B651B4">
        <w:rPr>
          <w:rtl/>
        </w:rPr>
        <w:t xml:space="preserve"> </w:t>
      </w:r>
      <w:r w:rsidRPr="00B651B4">
        <w:rPr>
          <w:rFonts w:cs="Arial"/>
          <w:rtl/>
        </w:rPr>
        <w:t xml:space="preserve">ואף גוי שאין עובד </w:t>
      </w:r>
      <w:r>
        <w:rPr>
          <w:rFonts w:cs="Arial" w:hint="cs"/>
          <w:rtl/>
        </w:rPr>
        <w:t>ע"ז</w:t>
      </w:r>
      <w:r>
        <w:rPr>
          <w:rFonts w:cs="Arial"/>
          <w:rtl/>
        </w:rPr>
        <w:t xml:space="preserve"> פתו אסור, וכ</w:t>
      </w:r>
      <w:r>
        <w:rPr>
          <w:rFonts w:cs="Arial" w:hint="cs"/>
          <w:rtl/>
        </w:rPr>
        <w:t>"</w:t>
      </w:r>
      <w:r>
        <w:rPr>
          <w:rFonts w:cs="Arial"/>
          <w:rtl/>
        </w:rPr>
        <w:t>כ</w:t>
      </w:r>
      <w:r w:rsidRPr="00B651B4">
        <w:rPr>
          <w:rFonts w:cs="Arial"/>
          <w:rtl/>
        </w:rPr>
        <w:t xml:space="preserve"> הפרי תואר </w:t>
      </w:r>
      <w:r>
        <w:rPr>
          <w:rFonts w:cs="Arial" w:hint="cs"/>
          <w:rtl/>
        </w:rPr>
        <w:t>(</w:t>
      </w:r>
      <w:r>
        <w:rPr>
          <w:rFonts w:cs="Arial"/>
          <w:rtl/>
        </w:rPr>
        <w:t>אות ג</w:t>
      </w:r>
      <w:r>
        <w:rPr>
          <w:rFonts w:cs="Arial" w:hint="cs"/>
          <w:rtl/>
        </w:rPr>
        <w:t>)</w:t>
      </w:r>
      <w:r w:rsidRPr="00B651B4">
        <w:rPr>
          <w:rFonts w:cs="Arial"/>
          <w:rtl/>
        </w:rPr>
        <w:t xml:space="preserve">, ופשוט הוא. </w:t>
      </w:r>
      <w:r>
        <w:rPr>
          <w:rFonts w:cs="Arial" w:hint="cs"/>
          <w:rtl/>
        </w:rPr>
        <w:t>ו</w:t>
      </w:r>
      <w:r>
        <w:rPr>
          <w:rFonts w:cs="Arial"/>
          <w:rtl/>
        </w:rPr>
        <w:t>כתב הפר</w:t>
      </w:r>
      <w:r>
        <w:rPr>
          <w:rFonts w:cs="Arial" w:hint="cs"/>
          <w:rtl/>
        </w:rPr>
        <w:t>"</w:t>
      </w:r>
      <w:r>
        <w:rPr>
          <w:rFonts w:cs="Arial"/>
          <w:rtl/>
        </w:rPr>
        <w:t xml:space="preserve">ח </w:t>
      </w:r>
      <w:r>
        <w:rPr>
          <w:rFonts w:cs="Arial" w:hint="cs"/>
          <w:rtl/>
        </w:rPr>
        <w:t>(</w:t>
      </w:r>
      <w:r>
        <w:rPr>
          <w:rFonts w:cs="Arial"/>
          <w:rtl/>
        </w:rPr>
        <w:t>אות ב</w:t>
      </w:r>
      <w:r>
        <w:rPr>
          <w:rFonts w:cs="Arial" w:hint="cs"/>
          <w:rtl/>
        </w:rPr>
        <w:t>)</w:t>
      </w:r>
      <w:r w:rsidRPr="00B651B4">
        <w:rPr>
          <w:rFonts w:cs="Arial"/>
          <w:rtl/>
        </w:rPr>
        <w:t xml:space="preserve"> דפת כותים כפת של גוי, ובמקום שהתירו של גוי הוא הדין של כותים. ופת קראים אסור, דמחללין שבת הוה כגוי</w:t>
      </w:r>
      <w:r>
        <w:rPr>
          <w:rFonts w:cs="Arial" w:hint="cs"/>
          <w:rtl/>
        </w:rPr>
        <w:t>.</w:t>
      </w:r>
    </w:p>
  </w:footnote>
  <w:footnote w:id="2631">
    <w:p w14:paraId="4E915D14" w14:textId="77777777" w:rsidR="004C5A3C" w:rsidRDefault="004C5A3C" w:rsidP="002C39F4">
      <w:pPr>
        <w:pStyle w:val="a5"/>
      </w:pPr>
      <w:r>
        <w:rPr>
          <w:rStyle w:val="a7"/>
        </w:rPr>
        <w:footnoteRef/>
      </w:r>
      <w:r>
        <w:rPr>
          <w:rtl/>
        </w:rPr>
        <w:t xml:space="preserve"> </w:t>
      </w:r>
      <w:r>
        <w:rPr>
          <w:rFonts w:cs="Arial"/>
          <w:rtl/>
        </w:rPr>
        <w:t xml:space="preserve">אבל משום געולי </w:t>
      </w:r>
      <w:r>
        <w:rPr>
          <w:rFonts w:cs="Arial" w:hint="cs"/>
          <w:rtl/>
        </w:rPr>
        <w:t xml:space="preserve">גוים </w:t>
      </w:r>
      <w:r w:rsidRPr="007C2C9E">
        <w:rPr>
          <w:rFonts w:cs="Arial"/>
          <w:rtl/>
        </w:rPr>
        <w:t>ליכא למיחש דסתם כליהם אינן בני יומן כדלקמן סי' קכ"ב</w:t>
      </w:r>
      <w:r>
        <w:rPr>
          <w:rFonts w:cs="Arial" w:hint="cs"/>
          <w:rtl/>
        </w:rPr>
        <w:t>, ש"ך (סק"ג).</w:t>
      </w:r>
    </w:p>
  </w:footnote>
  <w:footnote w:id="2632">
    <w:p w14:paraId="39ACA328" w14:textId="77777777" w:rsidR="004C5A3C" w:rsidRDefault="004C5A3C" w:rsidP="002C39F4">
      <w:pPr>
        <w:pStyle w:val="a5"/>
        <w:rPr>
          <w:rtl/>
        </w:rPr>
      </w:pPr>
      <w:r>
        <w:rPr>
          <w:rStyle w:val="a7"/>
        </w:rPr>
        <w:footnoteRef/>
      </w:r>
      <w:r>
        <w:rPr>
          <w:rtl/>
        </w:rPr>
        <w:t xml:space="preserve"> </w:t>
      </w:r>
      <w:r w:rsidRPr="007C2C9E">
        <w:rPr>
          <w:rFonts w:cs="Arial"/>
          <w:rtl/>
        </w:rPr>
        <w:t>כגון פת הכומרים שאין להם בנים אסור דלא משום בתו של מוכר או נותן אמ</w:t>
      </w:r>
      <w:r>
        <w:rPr>
          <w:rFonts w:cs="Arial"/>
          <w:rtl/>
        </w:rPr>
        <w:t xml:space="preserve">רו אלא משום בנות </w:t>
      </w:r>
      <w:r>
        <w:rPr>
          <w:rFonts w:cs="Arial" w:hint="cs"/>
          <w:rtl/>
        </w:rPr>
        <w:t>עכו"</w:t>
      </w:r>
      <w:r w:rsidRPr="007C2C9E">
        <w:rPr>
          <w:rFonts w:cs="Arial"/>
          <w:rtl/>
        </w:rPr>
        <w:t>ם שאם אין לזה יש לזה, רשב"א שם</w:t>
      </w:r>
      <w:r>
        <w:rPr>
          <w:rFonts w:hint="cs"/>
          <w:rtl/>
        </w:rPr>
        <w:t>, ש"ך (סק"ד).</w:t>
      </w:r>
    </w:p>
  </w:footnote>
  <w:footnote w:id="2633">
    <w:p w14:paraId="2EFBF5AC" w14:textId="77777777" w:rsidR="004C5A3C" w:rsidRPr="00794C3A" w:rsidRDefault="004C5A3C" w:rsidP="002C39F4">
      <w:pPr>
        <w:pStyle w:val="a5"/>
        <w:rPr>
          <w:rFonts w:cs="Arial"/>
        </w:rPr>
      </w:pPr>
      <w:r>
        <w:rPr>
          <w:rStyle w:val="a7"/>
        </w:rPr>
        <w:footnoteRef/>
      </w:r>
      <w:r>
        <w:rPr>
          <w:rtl/>
        </w:rPr>
        <w:t xml:space="preserve"> </w:t>
      </w:r>
      <w:r w:rsidRPr="00794C3A">
        <w:rPr>
          <w:rFonts w:cs="Arial"/>
          <w:rtl/>
        </w:rPr>
        <w:t>אלא ש</w:t>
      </w:r>
      <w:r>
        <w:rPr>
          <w:rFonts w:cs="Arial" w:hint="cs"/>
          <w:rtl/>
        </w:rPr>
        <w:t>יש</w:t>
      </w:r>
      <w:r w:rsidRPr="00794C3A">
        <w:rPr>
          <w:rFonts w:cs="Arial"/>
          <w:rtl/>
        </w:rPr>
        <w:t xml:space="preserve"> עוד טעם מבואר בב"י דשמא יאכילנו דברים אסורים</w:t>
      </w:r>
      <w:r>
        <w:rPr>
          <w:rFonts w:cs="Arial" w:hint="cs"/>
          <w:rtl/>
        </w:rPr>
        <w:t>,</w:t>
      </w:r>
      <w:r w:rsidRPr="00794C3A">
        <w:rPr>
          <w:rFonts w:cs="Arial"/>
          <w:rtl/>
        </w:rPr>
        <w:t xml:space="preserve"> ולפ"ז גם בישול של מומר אסור דהוי ככופר לכל התורה כולה ושמא יאכילנו דברים האסורים</w:t>
      </w:r>
      <w:r>
        <w:rPr>
          <w:rFonts w:cs="Arial" w:hint="cs"/>
          <w:rtl/>
        </w:rPr>
        <w:t xml:space="preserve">, תפא"ל. </w:t>
      </w:r>
      <w:r w:rsidRPr="00794C3A">
        <w:rPr>
          <w:rFonts w:cs="Arial"/>
          <w:rtl/>
        </w:rPr>
        <w:t>ולפ"ז ה"ה מומר לחלל שבת בפרהסיא או לכל התורה כולה חוץ משתים אלו דדינו כעובד כוכבים כדלעיל סי' ב' ס"ה ולקמן סי' קי"ט גם כן בישולו אסור</w:t>
      </w:r>
      <w:r>
        <w:rPr>
          <w:rFonts w:cs="Arial" w:hint="cs"/>
          <w:rtl/>
        </w:rPr>
        <w:t>, פת"ש (סי' קיג ס"א).</w:t>
      </w:r>
    </w:p>
  </w:footnote>
  <w:footnote w:id="2634">
    <w:p w14:paraId="130C8D8C" w14:textId="77777777" w:rsidR="004C5A3C" w:rsidRPr="00BE259B" w:rsidRDefault="004C5A3C" w:rsidP="002C39F4">
      <w:pPr>
        <w:spacing w:after="0" w:line="240" w:lineRule="auto"/>
        <w:rPr>
          <w:rFonts w:asciiTheme="minorBidi" w:hAnsiTheme="minorBidi"/>
          <w:sz w:val="20"/>
          <w:szCs w:val="20"/>
        </w:rPr>
      </w:pPr>
      <w:r w:rsidRPr="00BE259B">
        <w:rPr>
          <w:rStyle w:val="a7"/>
          <w:rFonts w:asciiTheme="minorBidi" w:hAnsiTheme="minorBidi"/>
          <w:sz w:val="20"/>
          <w:szCs w:val="20"/>
        </w:rPr>
        <w:footnoteRef/>
      </w:r>
      <w:r w:rsidRPr="00BE259B">
        <w:rPr>
          <w:rFonts w:asciiTheme="minorBidi" w:hAnsiTheme="minorBidi"/>
          <w:sz w:val="20"/>
          <w:szCs w:val="20"/>
          <w:rtl/>
        </w:rPr>
        <w:t xml:space="preserve"> וכן </w:t>
      </w:r>
      <w:r>
        <w:rPr>
          <w:rFonts w:asciiTheme="minorBidi" w:hAnsiTheme="minorBidi" w:hint="cs"/>
          <w:sz w:val="20"/>
          <w:szCs w:val="20"/>
          <w:rtl/>
        </w:rPr>
        <w:t>במסכת</w:t>
      </w:r>
      <w:r w:rsidRPr="00BE259B">
        <w:rPr>
          <w:rFonts w:asciiTheme="minorBidi" w:hAnsiTheme="minorBidi"/>
          <w:sz w:val="20"/>
          <w:szCs w:val="20"/>
          <w:rtl/>
        </w:rPr>
        <w:t xml:space="preserve"> שבת </w:t>
      </w:r>
      <w:r>
        <w:rPr>
          <w:rFonts w:asciiTheme="minorBidi" w:hAnsiTheme="minorBidi" w:hint="cs"/>
          <w:sz w:val="20"/>
          <w:szCs w:val="20"/>
          <w:rtl/>
        </w:rPr>
        <w:t xml:space="preserve">(בירושלמי) </w:t>
      </w:r>
      <w:r w:rsidRPr="00BE259B">
        <w:rPr>
          <w:rFonts w:asciiTheme="minorBidi" w:hAnsiTheme="minorBidi"/>
          <w:sz w:val="20"/>
          <w:szCs w:val="20"/>
          <w:rtl/>
        </w:rPr>
        <w:t>פ"א ה"ד.</w:t>
      </w:r>
    </w:p>
  </w:footnote>
  <w:footnote w:id="2635">
    <w:p w14:paraId="639EE0F7" w14:textId="77777777" w:rsidR="004C5A3C" w:rsidRPr="00526EFB" w:rsidRDefault="004C5A3C" w:rsidP="002C39F4">
      <w:pPr>
        <w:pStyle w:val="a5"/>
        <w:rPr>
          <w:u w:val="single"/>
        </w:rPr>
      </w:pPr>
      <w:r>
        <w:rPr>
          <w:rStyle w:val="a7"/>
        </w:rPr>
        <w:footnoteRef/>
      </w:r>
      <w:r>
        <w:rPr>
          <w:rtl/>
        </w:rPr>
        <w:t xml:space="preserve"> </w:t>
      </w:r>
      <w:r>
        <w:rPr>
          <w:rFonts w:hint="cs"/>
          <w:u w:val="single"/>
          <w:rtl/>
        </w:rPr>
        <w:t xml:space="preserve">ישנה מחלוקת באיזה עניין אמרו - </w:t>
      </w:r>
      <w:r w:rsidRPr="00526EFB">
        <w:rPr>
          <w:rFonts w:hint="cs"/>
          <w:u w:val="single"/>
          <w:rtl/>
        </w:rPr>
        <w:t xml:space="preserve">"והתירוה מפני חיי נפש": </w:t>
      </w:r>
    </w:p>
    <w:p w14:paraId="61294AE8" w14:textId="77777777" w:rsidR="004C5A3C" w:rsidRPr="00526EFB" w:rsidRDefault="004C5A3C" w:rsidP="0032102C">
      <w:pPr>
        <w:pStyle w:val="a5"/>
        <w:numPr>
          <w:ilvl w:val="0"/>
          <w:numId w:val="267"/>
        </w:numPr>
      </w:pPr>
      <w:r w:rsidRPr="00526EFB">
        <w:rPr>
          <w:rFonts w:hint="cs"/>
          <w:rtl/>
        </w:rPr>
        <w:t xml:space="preserve">רשב"א </w:t>
      </w:r>
      <w:r w:rsidRPr="00526EFB">
        <w:rPr>
          <w:rFonts w:hint="cs"/>
          <w:sz w:val="16"/>
          <w:szCs w:val="16"/>
          <w:rtl/>
        </w:rPr>
        <w:t>(שם)</w:t>
      </w:r>
      <w:r w:rsidRPr="00526EFB">
        <w:rPr>
          <w:rFonts w:hint="cs"/>
          <w:rtl/>
        </w:rPr>
        <w:t xml:space="preserve">- לעניין לקיחת פת </w:t>
      </w:r>
      <w:r w:rsidRPr="00526EFB">
        <w:rPr>
          <w:rtl/>
        </w:rPr>
        <w:t>בע</w:t>
      </w:r>
      <w:r>
        <w:rPr>
          <w:rFonts w:hint="cs"/>
          <w:rtl/>
        </w:rPr>
        <w:t>ה"ב גוי</w:t>
      </w:r>
      <w:r w:rsidRPr="00526EFB">
        <w:rPr>
          <w:rFonts w:hint="cs"/>
          <w:rtl/>
        </w:rPr>
        <w:t>, ד-</w:t>
      </w:r>
      <w:r>
        <w:rPr>
          <w:rFonts w:hint="cs"/>
          <w:rtl/>
        </w:rPr>
        <w:t>'</w:t>
      </w:r>
      <w:r w:rsidRPr="00526EFB">
        <w:rPr>
          <w:rtl/>
        </w:rPr>
        <w:t xml:space="preserve">אפילו אם אין לו מה יאכל אסור </w:t>
      </w:r>
      <w:r w:rsidRPr="00526EFB">
        <w:rPr>
          <w:rFonts w:hint="cs"/>
          <w:rtl/>
        </w:rPr>
        <w:t>א</w:t>
      </w:r>
      <w:r w:rsidRPr="00526EFB">
        <w:rPr>
          <w:rtl/>
        </w:rPr>
        <w:t>א</w:t>
      </w:r>
      <w:r w:rsidRPr="00526EFB">
        <w:rPr>
          <w:rFonts w:hint="cs"/>
          <w:rtl/>
        </w:rPr>
        <w:t>"</w:t>
      </w:r>
      <w:r w:rsidRPr="00526EFB">
        <w:rPr>
          <w:rtl/>
        </w:rPr>
        <w:t>כ משום סכנת נפש כגון שהתענה הרבה</w:t>
      </w:r>
      <w:r w:rsidRPr="00526EFB">
        <w:rPr>
          <w:rFonts w:hint="cs"/>
          <w:rtl/>
        </w:rPr>
        <w:t>,</w:t>
      </w:r>
      <w:r w:rsidRPr="00526EFB">
        <w:rPr>
          <w:rtl/>
        </w:rPr>
        <w:t xml:space="preserve"> וכתב הר"מ ז"ל כגון שהתענה שלשה ימים</w:t>
      </w:r>
      <w:r>
        <w:rPr>
          <w:rFonts w:hint="cs"/>
          <w:rtl/>
        </w:rPr>
        <w:t>'</w:t>
      </w:r>
      <w:r w:rsidRPr="00526EFB">
        <w:rPr>
          <w:rFonts w:hint="cs"/>
          <w:rtl/>
        </w:rPr>
        <w:t xml:space="preserve"> </w:t>
      </w:r>
      <w:r w:rsidRPr="00526EFB">
        <w:rPr>
          <w:rFonts w:hint="cs"/>
          <w:sz w:val="16"/>
          <w:szCs w:val="16"/>
          <w:rtl/>
        </w:rPr>
        <w:t>(ל' הרשב"א)</w:t>
      </w:r>
      <w:r w:rsidRPr="00526EFB">
        <w:rPr>
          <w:rFonts w:hint="cs"/>
          <w:rtl/>
        </w:rPr>
        <w:t>.</w:t>
      </w:r>
      <w:r>
        <w:rPr>
          <w:rFonts w:hint="cs"/>
          <w:rtl/>
        </w:rPr>
        <w:t xml:space="preserve"> </w:t>
      </w:r>
    </w:p>
    <w:p w14:paraId="082B84B2" w14:textId="77777777" w:rsidR="004C5A3C" w:rsidRDefault="004C5A3C" w:rsidP="0032102C">
      <w:pPr>
        <w:pStyle w:val="a5"/>
        <w:numPr>
          <w:ilvl w:val="0"/>
          <w:numId w:val="267"/>
        </w:numPr>
        <w:rPr>
          <w:rtl/>
        </w:rPr>
      </w:pPr>
      <w:r w:rsidRPr="00526EFB">
        <w:rPr>
          <w:rtl/>
        </w:rPr>
        <w:t>הגה</w:t>
      </w:r>
      <w:r w:rsidRPr="00526EFB">
        <w:rPr>
          <w:rFonts w:hint="cs"/>
          <w:rtl/>
        </w:rPr>
        <w:t>"</w:t>
      </w:r>
      <w:r w:rsidRPr="00526EFB">
        <w:rPr>
          <w:rtl/>
        </w:rPr>
        <w:t xml:space="preserve">מ </w:t>
      </w:r>
      <w:r w:rsidRPr="00526EFB">
        <w:rPr>
          <w:sz w:val="16"/>
          <w:szCs w:val="16"/>
          <w:rtl/>
        </w:rPr>
        <w:t>(</w:t>
      </w:r>
      <w:r>
        <w:rPr>
          <w:rFonts w:hint="cs"/>
          <w:sz w:val="16"/>
          <w:szCs w:val="16"/>
          <w:rtl/>
        </w:rPr>
        <w:t>הל</w:t>
      </w:r>
      <w:r w:rsidRPr="00526EFB">
        <w:rPr>
          <w:sz w:val="16"/>
          <w:szCs w:val="16"/>
          <w:rtl/>
        </w:rPr>
        <w:t>מ</w:t>
      </w:r>
      <w:r>
        <w:rPr>
          <w:rFonts w:hint="cs"/>
          <w:sz w:val="16"/>
          <w:szCs w:val="16"/>
          <w:rtl/>
        </w:rPr>
        <w:t>"</w:t>
      </w:r>
      <w:r w:rsidRPr="00526EFB">
        <w:rPr>
          <w:sz w:val="16"/>
          <w:szCs w:val="16"/>
          <w:rtl/>
        </w:rPr>
        <w:t>א פי"ז אות פ)</w:t>
      </w:r>
      <w:r w:rsidRPr="00526EFB">
        <w:rPr>
          <w:rFonts w:hint="cs"/>
          <w:rtl/>
        </w:rPr>
        <w:t>-</w:t>
      </w:r>
      <w:r w:rsidRPr="00526EFB">
        <w:rPr>
          <w:rtl/>
        </w:rPr>
        <w:t xml:space="preserve"> </w:t>
      </w:r>
      <w:r w:rsidRPr="00526EFB">
        <w:rPr>
          <w:rFonts w:hint="cs"/>
          <w:rtl/>
        </w:rPr>
        <w:t xml:space="preserve">לעניין </w:t>
      </w:r>
      <w:r>
        <w:rPr>
          <w:rFonts w:hint="cs"/>
          <w:rtl/>
        </w:rPr>
        <w:t>'</w:t>
      </w:r>
      <w:r w:rsidRPr="00526EFB">
        <w:rPr>
          <w:rtl/>
        </w:rPr>
        <w:t xml:space="preserve">מקום שלא נהגו להקל בו </w:t>
      </w:r>
      <w:r w:rsidRPr="00526EFB">
        <w:rPr>
          <w:rFonts w:hint="cs"/>
          <w:rtl/>
        </w:rPr>
        <w:t>ד</w:t>
      </w:r>
      <w:r w:rsidRPr="00526EFB">
        <w:rPr>
          <w:rtl/>
        </w:rPr>
        <w:t>אסור באכילה אא"כ מפני חיי נפש כגון שהתענה שלשה ימים אז מותר אפי' במקום שנהגו איסור כדאיתא בירושלמ</w:t>
      </w:r>
      <w:r w:rsidRPr="00526EFB">
        <w:rPr>
          <w:rFonts w:hint="cs"/>
          <w:rtl/>
        </w:rPr>
        <w:t>י</w:t>
      </w:r>
      <w:r>
        <w:rPr>
          <w:rFonts w:hint="cs"/>
          <w:rtl/>
        </w:rPr>
        <w:t>'</w:t>
      </w:r>
      <w:r w:rsidRPr="00526EFB">
        <w:rPr>
          <w:rFonts w:hint="cs"/>
          <w:rtl/>
        </w:rPr>
        <w:t xml:space="preserve"> </w:t>
      </w:r>
      <w:r w:rsidRPr="00526EFB">
        <w:rPr>
          <w:rFonts w:hint="cs"/>
          <w:sz w:val="16"/>
          <w:szCs w:val="16"/>
          <w:rtl/>
        </w:rPr>
        <w:t>(ל' הגה"מ)</w:t>
      </w:r>
      <w:r w:rsidRPr="00526EFB">
        <w:rPr>
          <w:rFonts w:hint="cs"/>
          <w:rtl/>
        </w:rPr>
        <w:t>.</w:t>
      </w:r>
    </w:p>
  </w:footnote>
  <w:footnote w:id="2636">
    <w:p w14:paraId="088E4F0C" w14:textId="77777777" w:rsidR="004C5A3C" w:rsidRDefault="004C5A3C" w:rsidP="002C39F4">
      <w:pPr>
        <w:pStyle w:val="a5"/>
        <w:rPr>
          <w:rFonts w:cs="Arial"/>
          <w:rtl/>
        </w:rPr>
      </w:pPr>
      <w:r>
        <w:rPr>
          <w:rStyle w:val="a7"/>
        </w:rPr>
        <w:footnoteRef/>
      </w:r>
      <w:r>
        <w:rPr>
          <w:rtl/>
        </w:rPr>
        <w:t xml:space="preserve"> </w:t>
      </w:r>
      <w:r w:rsidRPr="00487235">
        <w:rPr>
          <w:rFonts w:hint="cs"/>
          <w:u w:val="single"/>
          <w:rtl/>
        </w:rPr>
        <w:t>בפירוש דבריהם של ר' חלבו ורבי יוחנן יש כמה פירושים</w:t>
      </w:r>
      <w:r w:rsidRPr="00487235">
        <w:rPr>
          <w:rFonts w:cs="Arial" w:hint="cs"/>
          <w:u w:val="single"/>
          <w:rtl/>
        </w:rPr>
        <w:t>:</w:t>
      </w:r>
      <w:r>
        <w:rPr>
          <w:rFonts w:cs="Arial" w:hint="cs"/>
          <w:rtl/>
        </w:rPr>
        <w:t xml:space="preserve">  </w:t>
      </w:r>
      <w:r w:rsidRPr="00487235">
        <w:rPr>
          <w:rFonts w:cs="Arial"/>
          <w:rtl/>
        </w:rPr>
        <w:t xml:space="preserve"> </w:t>
      </w:r>
      <w:r w:rsidRPr="00487235">
        <w:rPr>
          <w:rFonts w:cs="Arial" w:hint="cs"/>
          <w:sz w:val="16"/>
          <w:szCs w:val="16"/>
          <w:rtl/>
        </w:rPr>
        <w:t xml:space="preserve">(ע"פ דברי </w:t>
      </w:r>
      <w:r w:rsidRPr="00487235">
        <w:rPr>
          <w:rFonts w:cs="Arial"/>
          <w:sz w:val="16"/>
          <w:szCs w:val="16"/>
          <w:rtl/>
        </w:rPr>
        <w:t xml:space="preserve">הר"ן </w:t>
      </w:r>
      <w:r w:rsidRPr="00487235">
        <w:rPr>
          <w:rFonts w:cs="Arial" w:hint="cs"/>
          <w:sz w:val="16"/>
          <w:szCs w:val="16"/>
          <w:rtl/>
        </w:rPr>
        <w:t>יד. ד"ה רבי יוחנן])</w:t>
      </w:r>
    </w:p>
    <w:p w14:paraId="567B438B" w14:textId="77777777" w:rsidR="004C5A3C" w:rsidRPr="00487235" w:rsidRDefault="004C5A3C" w:rsidP="0032102C">
      <w:pPr>
        <w:pStyle w:val="a5"/>
        <w:numPr>
          <w:ilvl w:val="0"/>
          <w:numId w:val="269"/>
        </w:numPr>
      </w:pPr>
      <w:r>
        <w:rPr>
          <w:rFonts w:cs="Arial"/>
          <w:rtl/>
        </w:rPr>
        <w:t>א</w:t>
      </w:r>
      <w:r>
        <w:rPr>
          <w:rFonts w:cs="Arial" w:hint="cs"/>
          <w:rtl/>
        </w:rPr>
        <w:t>כ</w:t>
      </w:r>
      <w:r>
        <w:rPr>
          <w:rFonts w:cs="Arial"/>
          <w:rtl/>
        </w:rPr>
        <w:t>מ"ד</w:t>
      </w:r>
      <w:r>
        <w:rPr>
          <w:rFonts w:cs="Arial" w:hint="cs"/>
          <w:rtl/>
        </w:rPr>
        <w:t>-</w:t>
      </w:r>
      <w:r>
        <w:rPr>
          <w:rFonts w:cs="Arial"/>
          <w:rtl/>
        </w:rPr>
        <w:t xml:space="preserve"> </w:t>
      </w:r>
      <w:r w:rsidRPr="004E2B05">
        <w:rPr>
          <w:rFonts w:cs="Arial"/>
          <w:rtl/>
        </w:rPr>
        <w:t xml:space="preserve">ר' יוחנן אדרבי חלבו סמיך </w:t>
      </w:r>
      <w:r w:rsidRPr="00FB2AC1">
        <w:rPr>
          <w:rFonts w:cs="Arial"/>
          <w:u w:val="single"/>
          <w:rtl/>
        </w:rPr>
        <w:t>ותרתי בעינן ולחומרא שדה וליכא פלטר ישראל</w:t>
      </w:r>
      <w:r>
        <w:rPr>
          <w:rFonts w:cs="Arial" w:hint="cs"/>
          <w:rtl/>
        </w:rPr>
        <w:t>.</w:t>
      </w:r>
      <w:r w:rsidRPr="004E2B05">
        <w:rPr>
          <w:rFonts w:cs="Arial"/>
          <w:rtl/>
        </w:rPr>
        <w:t xml:space="preserve"> </w:t>
      </w:r>
    </w:p>
    <w:p w14:paraId="51DB1093" w14:textId="77777777" w:rsidR="004C5A3C" w:rsidRPr="00487235" w:rsidRDefault="004C5A3C" w:rsidP="0032102C">
      <w:pPr>
        <w:pStyle w:val="a5"/>
        <w:numPr>
          <w:ilvl w:val="0"/>
          <w:numId w:val="269"/>
        </w:numPr>
      </w:pPr>
      <w:r>
        <w:rPr>
          <w:rFonts w:cs="Arial"/>
          <w:rtl/>
        </w:rPr>
        <w:t>א</w:t>
      </w:r>
      <w:r>
        <w:rPr>
          <w:rFonts w:cs="Arial" w:hint="cs"/>
          <w:rtl/>
        </w:rPr>
        <w:t>כ</w:t>
      </w:r>
      <w:r w:rsidRPr="004E2B05">
        <w:rPr>
          <w:rFonts w:cs="Arial"/>
          <w:rtl/>
        </w:rPr>
        <w:t>מ"ד</w:t>
      </w:r>
      <w:r>
        <w:rPr>
          <w:rFonts w:cs="Arial" w:hint="cs"/>
          <w:rtl/>
        </w:rPr>
        <w:t>-</w:t>
      </w:r>
      <w:r>
        <w:rPr>
          <w:rFonts w:cs="Arial"/>
          <w:rtl/>
        </w:rPr>
        <w:t xml:space="preserve"> </w:t>
      </w:r>
      <w:r w:rsidRPr="004E2B05">
        <w:rPr>
          <w:rFonts w:cs="Arial"/>
          <w:rtl/>
        </w:rPr>
        <w:t xml:space="preserve">ר' יוחנן לא סמיך אדרבי חלבו אלא כולה מילתא תליא בין שדה ועיר </w:t>
      </w:r>
      <w:r w:rsidRPr="00FB2AC1">
        <w:rPr>
          <w:rFonts w:cs="Arial"/>
          <w:u w:val="single"/>
          <w:rtl/>
        </w:rPr>
        <w:t>דבשדה שרי לעולם ובעיר אסור לעולם</w:t>
      </w:r>
      <w:r>
        <w:rPr>
          <w:rFonts w:cs="Arial" w:hint="cs"/>
          <w:rtl/>
        </w:rPr>
        <w:t>.</w:t>
      </w:r>
    </w:p>
    <w:p w14:paraId="5C17B284" w14:textId="77777777" w:rsidR="004C5A3C" w:rsidRDefault="004C5A3C" w:rsidP="0032102C">
      <w:pPr>
        <w:pStyle w:val="a5"/>
        <w:numPr>
          <w:ilvl w:val="0"/>
          <w:numId w:val="269"/>
        </w:numPr>
      </w:pPr>
      <w:r>
        <w:rPr>
          <w:rFonts w:cs="Arial" w:hint="cs"/>
          <w:rtl/>
        </w:rPr>
        <w:t xml:space="preserve">אכמ"ד- </w:t>
      </w:r>
      <w:r w:rsidRPr="004E2B05">
        <w:rPr>
          <w:rFonts w:cs="Arial"/>
          <w:rtl/>
        </w:rPr>
        <w:t xml:space="preserve">ר' יוחנן לא פליג אדרבי חלבו ונקטינהו כתרוייהו לקולא </w:t>
      </w:r>
      <w:r w:rsidRPr="00FB2AC1">
        <w:rPr>
          <w:rFonts w:cs="Arial"/>
          <w:u w:val="single"/>
          <w:rtl/>
        </w:rPr>
        <w:t>דבשדה לעולם מותר ובעיר מותר כשאין שם פלטר ישראל</w:t>
      </w:r>
      <w:r w:rsidRPr="004E2B05">
        <w:rPr>
          <w:rFonts w:cs="Arial"/>
          <w:rtl/>
        </w:rPr>
        <w:t>.</w:t>
      </w:r>
      <w:r>
        <w:rPr>
          <w:rFonts w:hint="cs"/>
          <w:rtl/>
        </w:rPr>
        <w:t xml:space="preserve"> (וכ"פ הרשב"א והר"ן, מובאים דבריהם לקמן)</w:t>
      </w:r>
    </w:p>
  </w:footnote>
  <w:footnote w:id="2637">
    <w:p w14:paraId="14284700" w14:textId="77777777" w:rsidR="004C5A3C" w:rsidRDefault="004C5A3C" w:rsidP="002C39F4">
      <w:pPr>
        <w:pStyle w:val="a5"/>
        <w:rPr>
          <w:rtl/>
        </w:rPr>
      </w:pPr>
      <w:r>
        <w:rPr>
          <w:rStyle w:val="a7"/>
        </w:rPr>
        <w:footnoteRef/>
      </w:r>
      <w:r>
        <w:rPr>
          <w:rtl/>
        </w:rPr>
        <w:t xml:space="preserve"> </w:t>
      </w:r>
      <w:r>
        <w:rPr>
          <w:rFonts w:hint="cs"/>
          <w:rtl/>
        </w:rPr>
        <w:t xml:space="preserve">וכ"פ הרמב"ם פ"ב מהל' ממרים (ה"ח) וז"ל- </w:t>
      </w:r>
      <w:r>
        <w:rPr>
          <w:rFonts w:cs="Arial"/>
          <w:rtl/>
        </w:rPr>
        <w:t>וכל בית דין שהתיר שני דברים אל ימהר להתיר דבר שלישי.</w:t>
      </w:r>
      <w:r>
        <w:rPr>
          <w:rFonts w:cs="Arial" w:hint="cs"/>
          <w:rtl/>
        </w:rPr>
        <w:t xml:space="preserve"> עכ"ל. ופירש בספר עלי תמר (שבת פ"א ד"ה ולשון הרמב"ם)</w:t>
      </w:r>
      <w:r>
        <w:rPr>
          <w:rFonts w:hint="cs"/>
          <w:rtl/>
        </w:rPr>
        <w:t xml:space="preserve"> את דבריו וז"ל-</w:t>
      </w:r>
      <w:r w:rsidRPr="006146CD">
        <w:rPr>
          <w:rtl/>
        </w:rPr>
        <w:t xml:space="preserve"> </w:t>
      </w:r>
      <w:r w:rsidRPr="006146CD">
        <w:rPr>
          <w:rFonts w:cs="Arial"/>
          <w:rtl/>
        </w:rPr>
        <w:t>כלומר, שבוודאי אם רואים שעפ"י הלכה יש להתיר אף דבר שלישי בוודאי שיש להם להתיר, שהרי אסור לאסור המותר, כמ"ש בירושלמי חגיגה סוף פ"א ובברכות פ"ד ה"ב, ובוידוי של ר"נ גאון, את אשר התרת אסרתי ואת אשר אסרת התרתי, והרי יוסי בן יועזר התיר שלושה דברים למרות שידע שיקראו לו יוסי שריא קיבל עליו הצער הזה כדי לפסוק הוראה כמו שהוא עפ"י התורה. אלא פירושו שאל ימהר להתיר ויעיין היטב בהדבר מכל הצדדים. ונ"ל דהוא הדין מי שאוסר שלשה דברים שהיו מקובלים להיתר. קוראים לו פלוני אסרא, כמ"ש בע"ז ל"ז ולבי"ד קוראים בי"ד אסרא. שהרי אסור לאסור המותר ולפיכך לא ימהר לאסור אלא אחרי שיקול דעת מרובה בהדבר.</w:t>
      </w:r>
    </w:p>
  </w:footnote>
  <w:footnote w:id="2638">
    <w:p w14:paraId="683884B1" w14:textId="77777777" w:rsidR="004C5A3C" w:rsidRDefault="004C5A3C" w:rsidP="002C39F4">
      <w:pPr>
        <w:pStyle w:val="a5"/>
      </w:pPr>
      <w:r>
        <w:rPr>
          <w:rStyle w:val="a7"/>
        </w:rPr>
        <w:footnoteRef/>
      </w:r>
      <w:r>
        <w:rPr>
          <w:rtl/>
        </w:rPr>
        <w:t xml:space="preserve"> </w:t>
      </w:r>
      <w:r w:rsidRPr="004E2B05">
        <w:rPr>
          <w:rFonts w:cs="Arial"/>
          <w:rtl/>
        </w:rPr>
        <w:t xml:space="preserve">מדקאמר תלמודא </w:t>
      </w:r>
      <w:r>
        <w:rPr>
          <w:rFonts w:cs="Arial" w:hint="cs"/>
          <w:rtl/>
        </w:rPr>
        <w:t>"</w:t>
      </w:r>
      <w:r w:rsidRPr="004E2B05">
        <w:rPr>
          <w:rFonts w:cs="Arial"/>
          <w:rtl/>
        </w:rPr>
        <w:t>מכלל דאיכא מאן דשרי</w:t>
      </w:r>
      <w:r>
        <w:rPr>
          <w:rFonts w:cs="Arial" w:hint="cs"/>
          <w:rtl/>
        </w:rPr>
        <w:t>"</w:t>
      </w:r>
      <w:r w:rsidRPr="004E2B05">
        <w:rPr>
          <w:rFonts w:cs="Arial"/>
          <w:rtl/>
        </w:rPr>
        <w:t xml:space="preserve"> משמע שידוע היה </w:t>
      </w:r>
      <w:r>
        <w:rPr>
          <w:rFonts w:cs="Arial"/>
          <w:rtl/>
        </w:rPr>
        <w:t>להם שיש מקומות שנוהגין בו היתר</w:t>
      </w:r>
      <w:r>
        <w:rPr>
          <w:rFonts w:cs="Arial" w:hint="cs"/>
          <w:rtl/>
        </w:rPr>
        <w:t>, תוס' ורא"ש.</w:t>
      </w:r>
    </w:p>
  </w:footnote>
  <w:footnote w:id="2639">
    <w:p w14:paraId="5B477542" w14:textId="77777777" w:rsidR="004C5A3C" w:rsidRDefault="004C5A3C" w:rsidP="002C39F4">
      <w:pPr>
        <w:pStyle w:val="a5"/>
        <w:rPr>
          <w:rtl/>
        </w:rPr>
      </w:pPr>
      <w:r>
        <w:rPr>
          <w:rStyle w:val="a7"/>
        </w:rPr>
        <w:footnoteRef/>
      </w:r>
      <w:r>
        <w:rPr>
          <w:rtl/>
        </w:rPr>
        <w:t xml:space="preserve"> </w:t>
      </w:r>
      <w:r w:rsidRPr="004E2B05">
        <w:rPr>
          <w:rFonts w:cs="Arial"/>
          <w:rtl/>
        </w:rPr>
        <w:t xml:space="preserve">וכן מוכח לקמן שפת לא פשט איסורו בכל ישראל. מדאמר רבי שמלאי לרבי יהודה נשיאה בימינו תתיר את הפת והשיב לו אם כן קרו לן בי דינא שריא. משמע הא לאו הכי הוה מתירו. ועוד ראיה שכתוב בהלכות שבין בני ארץ ישראל לבני </w:t>
      </w:r>
      <w:r>
        <w:rPr>
          <w:rFonts w:cs="Arial"/>
          <w:rtl/>
        </w:rPr>
        <w:t>בבל בבבל נותנין קיסם לתוך התנור</w:t>
      </w:r>
      <w:r>
        <w:rPr>
          <w:rFonts w:cs="Arial" w:hint="cs"/>
          <w:rtl/>
        </w:rPr>
        <w:t>,</w:t>
      </w:r>
      <w:r w:rsidRPr="004E2B05">
        <w:rPr>
          <w:rFonts w:cs="Arial"/>
          <w:rtl/>
        </w:rPr>
        <w:t xml:space="preserve"> ובני ארץ ישראל א</w:t>
      </w:r>
      <w:r>
        <w:rPr>
          <w:rFonts w:cs="Arial"/>
          <w:rtl/>
        </w:rPr>
        <w:t>ומרים קיסם זה מה מעלה ומה מוריד</w:t>
      </w:r>
      <w:r w:rsidRPr="004E2B05">
        <w:rPr>
          <w:rFonts w:cs="Arial"/>
          <w:rtl/>
        </w:rPr>
        <w:t xml:space="preserve"> אלא מקום שהתענה בו שלשה ימים פת של </w:t>
      </w:r>
      <w:r>
        <w:rPr>
          <w:rFonts w:cs="Arial"/>
          <w:rtl/>
        </w:rPr>
        <w:t>עכו"ם</w:t>
      </w:r>
      <w:r w:rsidRPr="004E2B05">
        <w:rPr>
          <w:rFonts w:cs="Arial"/>
          <w:rtl/>
        </w:rPr>
        <w:t xml:space="preserve"> מותר מפני חיי נפש. וברוב מקומות פזורינו אין פלטר ישראל מצוי והוי כמו התענה שלשה ימים. וגם בירושלמי שכתב לעיל קאמר שעמעמו עליו והתירוהו מפני חיי נפש במקום שאין פת ישראל מצויה. ועוד אמר בירושלמ</w:t>
      </w:r>
      <w:r>
        <w:rPr>
          <w:rFonts w:cs="Arial"/>
          <w:rtl/>
        </w:rPr>
        <w:t>י בפ' כל שעה חמץ של עכו"ם</w:t>
      </w:r>
      <w:r>
        <w:rPr>
          <w:rFonts w:cs="Arial" w:hint="cs"/>
          <w:rtl/>
        </w:rPr>
        <w:t xml:space="preserve">... </w:t>
      </w:r>
      <w:r w:rsidRPr="004E2B05">
        <w:rPr>
          <w:rFonts w:cs="Arial"/>
          <w:rtl/>
        </w:rPr>
        <w:t xml:space="preserve">במקום שנהגו לאכול פת של </w:t>
      </w:r>
      <w:r>
        <w:rPr>
          <w:rFonts w:cs="Arial"/>
          <w:rtl/>
        </w:rPr>
        <w:t>עכו"ם</w:t>
      </w:r>
      <w:r w:rsidRPr="004E2B05">
        <w:rPr>
          <w:rFonts w:cs="Arial"/>
          <w:rtl/>
        </w:rPr>
        <w:t xml:space="preserve"> מותר אפי' באכילה</w:t>
      </w:r>
      <w:r>
        <w:rPr>
          <w:rFonts w:cs="Arial" w:hint="cs"/>
          <w:rtl/>
        </w:rPr>
        <w:t>, רא"ש.</w:t>
      </w:r>
      <w:r w:rsidRPr="001B4E5F">
        <w:rPr>
          <w:rFonts w:cs="Arial"/>
          <w:rtl/>
        </w:rPr>
        <w:t xml:space="preserve"> </w:t>
      </w:r>
      <w:r w:rsidRPr="006146CD">
        <w:rPr>
          <w:rFonts w:cs="Arial"/>
          <w:rtl/>
        </w:rPr>
        <w:t>ויש לסמוך על דברי רשב"ג ור"א בר צדוק דאמ</w:t>
      </w:r>
      <w:r>
        <w:rPr>
          <w:rFonts w:cs="Arial"/>
          <w:rtl/>
        </w:rPr>
        <w:t>רי אין גוזרין גזרה על הצבור א</w:t>
      </w:r>
      <w:r w:rsidRPr="006146CD">
        <w:rPr>
          <w:rFonts w:cs="Arial"/>
          <w:rtl/>
        </w:rPr>
        <w:t>א"כ רוב הצבור יכולין לעמוד בו</w:t>
      </w:r>
      <w:r>
        <w:rPr>
          <w:rFonts w:cs="Arial" w:hint="cs"/>
          <w:rtl/>
        </w:rPr>
        <w:t>,</w:t>
      </w:r>
      <w:r w:rsidRPr="006146CD">
        <w:rPr>
          <w:rFonts w:cs="Arial"/>
          <w:rtl/>
        </w:rPr>
        <w:t xml:space="preserve"> ועוד דאמרי בירושלמי דפרקין ובפ"ק דשבת פת עמדו עליו והתירוהו ומי שנזהר מפת של עובדי כוכבים מותר לאכול עם מי שאינו נזהר בקערה אחת אף על פי שטעם פת </w:t>
      </w:r>
      <w:r>
        <w:rPr>
          <w:rFonts w:cs="Arial"/>
          <w:rtl/>
        </w:rPr>
        <w:t>עכו"ם</w:t>
      </w:r>
      <w:r w:rsidRPr="006146CD">
        <w:rPr>
          <w:rFonts w:cs="Arial"/>
          <w:rtl/>
        </w:rPr>
        <w:t xml:space="preserve"> מתערב בפת ישראל דאין להחמיר לאסור ע"י תערובת כדאמר בפ"ק דחולין (דף ו.) דלא גזרו על תערובת דמאי וכה"ג במנא דעובדי כוכבים שרי דליתיה לפת בעיניה דלא גזרו אלא היכא דאיתא בעיניה</w:t>
      </w:r>
      <w:r>
        <w:rPr>
          <w:rFonts w:cs="Arial" w:hint="cs"/>
          <w:rtl/>
        </w:rPr>
        <w:t>, תוס'</w:t>
      </w:r>
      <w:r w:rsidRPr="006146CD">
        <w:rPr>
          <w:rFonts w:cs="Arial"/>
          <w:rtl/>
        </w:rPr>
        <w:t>.</w:t>
      </w:r>
    </w:p>
  </w:footnote>
  <w:footnote w:id="2640">
    <w:p w14:paraId="5F6A4196" w14:textId="77777777" w:rsidR="004C5A3C" w:rsidRDefault="004C5A3C" w:rsidP="002C39F4">
      <w:pPr>
        <w:pStyle w:val="a5"/>
        <w:rPr>
          <w:rtl/>
        </w:rPr>
      </w:pPr>
      <w:r>
        <w:rPr>
          <w:rStyle w:val="a7"/>
        </w:rPr>
        <w:footnoteRef/>
      </w:r>
      <w:r>
        <w:rPr>
          <w:rtl/>
        </w:rPr>
        <w:t xml:space="preserve"> </w:t>
      </w:r>
      <w:r>
        <w:rPr>
          <w:rFonts w:cs="Arial" w:hint="cs"/>
          <w:rtl/>
        </w:rPr>
        <w:t xml:space="preserve">וכ' הדרכ"מ </w:t>
      </w:r>
      <w:r w:rsidRPr="004E2B05">
        <w:rPr>
          <w:rFonts w:cs="Arial"/>
          <w:rtl/>
        </w:rPr>
        <w:t>(</w:t>
      </w:r>
      <w:r>
        <w:rPr>
          <w:rFonts w:cs="Arial" w:hint="cs"/>
          <w:rtl/>
        </w:rPr>
        <w:t xml:space="preserve">אות </w:t>
      </w:r>
      <w:r>
        <w:rPr>
          <w:rFonts w:cs="Arial"/>
          <w:rtl/>
        </w:rPr>
        <w:t xml:space="preserve">ג*) </w:t>
      </w:r>
      <w:r>
        <w:rPr>
          <w:rFonts w:cs="Arial" w:hint="cs"/>
          <w:rtl/>
        </w:rPr>
        <w:t>ד</w:t>
      </w:r>
      <w:r>
        <w:rPr>
          <w:rFonts w:cs="Arial"/>
          <w:rtl/>
        </w:rPr>
        <w:t>כן הוא בסמ"ק (סי' רכג)</w:t>
      </w:r>
      <w:r>
        <w:rPr>
          <w:rFonts w:cs="Arial" w:hint="cs"/>
          <w:rtl/>
        </w:rPr>
        <w:t xml:space="preserve">. </w:t>
      </w:r>
      <w:r w:rsidRPr="001210D7">
        <w:rPr>
          <w:rFonts w:cs="Arial" w:hint="cs"/>
          <w:color w:val="FF0000"/>
          <w:rtl/>
        </w:rPr>
        <w:t>וצ"ע, שעיינתי שם ולא הבנתי מדוע יש הכרח לומר כן.</w:t>
      </w:r>
    </w:p>
  </w:footnote>
  <w:footnote w:id="2641">
    <w:p w14:paraId="0A6304D1" w14:textId="77777777" w:rsidR="004C5A3C" w:rsidRDefault="004C5A3C" w:rsidP="002C39F4">
      <w:pPr>
        <w:pStyle w:val="a5"/>
        <w:rPr>
          <w:rFonts w:cs="Arial"/>
          <w:u w:val="single"/>
          <w:rtl/>
        </w:rPr>
      </w:pPr>
      <w:r>
        <w:rPr>
          <w:rStyle w:val="a7"/>
        </w:rPr>
        <w:footnoteRef/>
      </w:r>
      <w:r>
        <w:rPr>
          <w:rtl/>
        </w:rPr>
        <w:t xml:space="preserve"> </w:t>
      </w:r>
      <w:r>
        <w:rPr>
          <w:rFonts w:cs="Arial" w:hint="cs"/>
          <w:rtl/>
        </w:rPr>
        <w:t>ה</w:t>
      </w:r>
      <w:r w:rsidRPr="00487235">
        <w:rPr>
          <w:rFonts w:cs="Arial" w:hint="cs"/>
          <w:rtl/>
        </w:rPr>
        <w:t xml:space="preserve">רמב"ם </w:t>
      </w:r>
      <w:r w:rsidRPr="00487235">
        <w:rPr>
          <w:rFonts w:cs="Arial" w:hint="cs"/>
          <w:sz w:val="16"/>
          <w:szCs w:val="16"/>
          <w:rtl/>
        </w:rPr>
        <w:t>(פי"ז הי"ב)</w:t>
      </w:r>
      <w:r>
        <w:rPr>
          <w:rFonts w:cs="Arial" w:hint="cs"/>
          <w:rtl/>
        </w:rPr>
        <w:t xml:space="preserve"> כתב</w:t>
      </w:r>
      <w:r w:rsidRPr="00487235">
        <w:rPr>
          <w:rFonts w:cs="Arial" w:hint="cs"/>
          <w:rtl/>
        </w:rPr>
        <w:t xml:space="preserve">- </w:t>
      </w:r>
      <w:r w:rsidRPr="00487235">
        <w:rPr>
          <w:rFonts w:cs="Arial"/>
          <w:rtl/>
        </w:rPr>
        <w:t>אע</w:t>
      </w:r>
      <w:r w:rsidRPr="00487235">
        <w:rPr>
          <w:rFonts w:cs="Arial" w:hint="cs"/>
          <w:rtl/>
        </w:rPr>
        <w:t>"</w:t>
      </w:r>
      <w:r w:rsidRPr="00487235">
        <w:rPr>
          <w:rFonts w:cs="Arial"/>
          <w:rtl/>
        </w:rPr>
        <w:t>פ שאסרו פת עכו"ם יש מקומות שמקילין בדבר ולוקחין פת הנחתום העכו"ם במקום שאין שם נחתום</w:t>
      </w:r>
      <w:r>
        <w:rPr>
          <w:rFonts w:cs="Arial"/>
          <w:rtl/>
        </w:rPr>
        <w:t xml:space="preserve"> ישראל ובשדה מפני שהוא שעת הדחק</w:t>
      </w:r>
      <w:r>
        <w:rPr>
          <w:rFonts w:cs="Arial" w:hint="cs"/>
          <w:rtl/>
        </w:rPr>
        <w:t>.</w:t>
      </w:r>
    </w:p>
    <w:p w14:paraId="13BC79EE" w14:textId="77777777" w:rsidR="004C5A3C" w:rsidRPr="009E0ADB" w:rsidRDefault="004C5A3C" w:rsidP="002C39F4">
      <w:pPr>
        <w:pStyle w:val="a5"/>
        <w:rPr>
          <w:rFonts w:cs="Arial"/>
          <w:u w:val="single"/>
          <w:rtl/>
        </w:rPr>
      </w:pPr>
      <w:r w:rsidRPr="00C739EC">
        <w:rPr>
          <w:rFonts w:cs="Arial" w:hint="cs"/>
          <w:u w:val="single"/>
          <w:rtl/>
        </w:rPr>
        <w:t xml:space="preserve">ונחלקו הפוסקים בפירוש דבריו, האם מצריך תרתי לחומרא, או </w:t>
      </w:r>
      <w:r>
        <w:rPr>
          <w:rFonts w:cs="Arial" w:hint="cs"/>
          <w:u w:val="single"/>
          <w:rtl/>
        </w:rPr>
        <w:t>שהתכוון לומר</w:t>
      </w:r>
      <w:r w:rsidRPr="00C739EC">
        <w:rPr>
          <w:rFonts w:cs="Arial" w:hint="cs"/>
          <w:u w:val="single"/>
          <w:rtl/>
        </w:rPr>
        <w:t xml:space="preserve"> שמותר בעיר אם אין פלטר ומותר גם בשדה:</w:t>
      </w:r>
    </w:p>
    <w:p w14:paraId="409E552F" w14:textId="77777777" w:rsidR="004C5A3C" w:rsidRDefault="004C5A3C" w:rsidP="0032102C">
      <w:pPr>
        <w:pStyle w:val="a5"/>
        <w:numPr>
          <w:ilvl w:val="0"/>
          <w:numId w:val="294"/>
        </w:numPr>
      </w:pPr>
      <w:r>
        <w:rPr>
          <w:rFonts w:cs="Arial" w:hint="cs"/>
          <w:rtl/>
        </w:rPr>
        <w:t xml:space="preserve">ב"י- </w:t>
      </w:r>
      <w:r w:rsidRPr="002E7F6E">
        <w:rPr>
          <w:rFonts w:cs="Arial"/>
          <w:rtl/>
        </w:rPr>
        <w:t xml:space="preserve">כפירושא קמא </w:t>
      </w:r>
      <w:r>
        <w:rPr>
          <w:rFonts w:cs="Arial" w:hint="cs"/>
          <w:sz w:val="16"/>
          <w:szCs w:val="16"/>
          <w:rtl/>
        </w:rPr>
        <w:t xml:space="preserve">{לעיל- דתרתי בעינן שדה וליכא פלטר ישראל} </w:t>
      </w:r>
      <w:r w:rsidRPr="002E7F6E">
        <w:rPr>
          <w:rFonts w:cs="Arial"/>
          <w:rtl/>
        </w:rPr>
        <w:t>וכרבי יוחנן לחומרא.</w:t>
      </w:r>
      <w:r>
        <w:rPr>
          <w:rFonts w:hint="cs"/>
          <w:rtl/>
        </w:rPr>
        <w:t xml:space="preserve"> </w:t>
      </w:r>
      <w:r w:rsidRPr="00C739EC">
        <w:rPr>
          <w:rFonts w:hint="cs"/>
          <w:sz w:val="16"/>
          <w:szCs w:val="16"/>
          <w:rtl/>
        </w:rPr>
        <w:t>(וכ' ערוה"ש [סע' ה] דהב"י חזר בו ומפרש בדברי הרמב"ם ד-או... או... קאמר, עיי"ש טעמו)</w:t>
      </w:r>
      <w:r>
        <w:rPr>
          <w:rFonts w:hint="cs"/>
          <w:rtl/>
        </w:rPr>
        <w:t xml:space="preserve"> </w:t>
      </w:r>
    </w:p>
    <w:p w14:paraId="1536CEFC" w14:textId="77777777" w:rsidR="004C5A3C" w:rsidRDefault="004C5A3C" w:rsidP="0032102C">
      <w:pPr>
        <w:pStyle w:val="a5"/>
        <w:numPr>
          <w:ilvl w:val="0"/>
          <w:numId w:val="294"/>
        </w:numPr>
        <w:rPr>
          <w:rtl/>
        </w:rPr>
      </w:pPr>
      <w:r>
        <w:rPr>
          <w:rFonts w:hint="cs"/>
          <w:rtl/>
        </w:rPr>
        <w:t>מראה הפנים</w:t>
      </w:r>
      <w:r>
        <w:rPr>
          <w:rFonts w:hint="cs"/>
          <w:sz w:val="16"/>
          <w:szCs w:val="16"/>
          <w:rtl/>
        </w:rPr>
        <w:t xml:space="preserve"> (ע"ז פ"ב טו:)</w:t>
      </w:r>
      <w:r>
        <w:rPr>
          <w:rFonts w:hint="cs"/>
          <w:rtl/>
        </w:rPr>
        <w:t xml:space="preserve">- </w:t>
      </w:r>
      <w:r w:rsidRPr="00C739EC">
        <w:rPr>
          <w:rFonts w:cs="Arial"/>
          <w:rtl/>
        </w:rPr>
        <w:t>לאו דבעינן תרווייהו קאמר אלא וכן בשדה קאמר</w:t>
      </w:r>
      <w:r>
        <w:rPr>
          <w:rFonts w:cs="Arial" w:hint="cs"/>
          <w:rtl/>
        </w:rPr>
        <w:t>.</w:t>
      </w:r>
      <w:r>
        <w:rPr>
          <w:rFonts w:hint="cs"/>
          <w:rtl/>
        </w:rPr>
        <w:t xml:space="preserve"> </w:t>
      </w:r>
    </w:p>
  </w:footnote>
  <w:footnote w:id="2642">
    <w:p w14:paraId="72AF4407" w14:textId="77777777" w:rsidR="004C5A3C" w:rsidRDefault="004C5A3C" w:rsidP="002C39F4">
      <w:pPr>
        <w:pStyle w:val="a5"/>
      </w:pPr>
      <w:r>
        <w:rPr>
          <w:rStyle w:val="a7"/>
        </w:rPr>
        <w:footnoteRef/>
      </w:r>
      <w:r>
        <w:rPr>
          <w:rtl/>
        </w:rPr>
        <w:t xml:space="preserve"> </w:t>
      </w:r>
      <w:r>
        <w:rPr>
          <w:rFonts w:cs="Arial"/>
          <w:rtl/>
        </w:rPr>
        <w:t>אע</w:t>
      </w:r>
      <w:r>
        <w:rPr>
          <w:rFonts w:cs="Arial" w:hint="cs"/>
          <w:rtl/>
        </w:rPr>
        <w:t>"</w:t>
      </w:r>
      <w:r>
        <w:rPr>
          <w:rFonts w:cs="Arial"/>
          <w:rtl/>
        </w:rPr>
        <w:t>ג</w:t>
      </w:r>
      <w:r w:rsidRPr="00487235">
        <w:rPr>
          <w:rFonts w:cs="Arial"/>
          <w:rtl/>
        </w:rPr>
        <w:t xml:space="preserve"> דאיכא בעיר הסמוכה לו פלטר ישראל לא מטרחינן ליה לשדורי ולמיזבן מיניה כיון דבשדה מיהא אין פת של ישראל מצויה</w:t>
      </w:r>
      <w:r>
        <w:rPr>
          <w:rFonts w:cs="Arial" w:hint="cs"/>
          <w:rtl/>
        </w:rPr>
        <w:t>, רשב"א</w:t>
      </w:r>
      <w:r w:rsidRPr="00487235">
        <w:rPr>
          <w:rFonts w:cs="Arial" w:hint="cs"/>
          <w:rtl/>
        </w:rPr>
        <w:t>.</w:t>
      </w:r>
    </w:p>
  </w:footnote>
  <w:footnote w:id="2643">
    <w:p w14:paraId="48D1C05F" w14:textId="77777777" w:rsidR="004C5A3C" w:rsidRDefault="004C5A3C" w:rsidP="002C39F4">
      <w:pPr>
        <w:pStyle w:val="a5"/>
      </w:pPr>
      <w:r>
        <w:rPr>
          <w:rStyle w:val="a7"/>
        </w:rPr>
        <w:footnoteRef/>
      </w:r>
      <w:r>
        <w:rPr>
          <w:rtl/>
        </w:rPr>
        <w:t xml:space="preserve"> </w:t>
      </w:r>
      <w:r w:rsidRPr="00C313EA">
        <w:rPr>
          <w:rFonts w:cs="Arial"/>
          <w:rtl/>
        </w:rPr>
        <w:t>והאוכל לחם של בעלי בתים אפילו שלא בביתו של גוי ואפילו שלא בעיר שאין שם חשש חתנות עובר על גזרת ב"ד שבכל מקום אסרוהו ואם תלמיד חכם הוא אסור לספר שמועה משמו דגרסינן התם (ע"ז לה:) איבו מנכית ואכיל אמצרי דמתא אמר להו רבא לא תשתעו מיניה דאיבו דאכול נהמא דארמאי</w:t>
      </w:r>
      <w:r>
        <w:rPr>
          <w:rFonts w:cs="Arial" w:hint="cs"/>
          <w:rtl/>
        </w:rPr>
        <w:t xml:space="preserve">, </w:t>
      </w:r>
      <w:r w:rsidRPr="00C313EA">
        <w:rPr>
          <w:rFonts w:cs="Arial"/>
          <w:rtl/>
        </w:rPr>
        <w:t>וטעמא דפלטר שרי כיון דעשוי למכור לכל אין בלקיחתו קירוב דעת כל כך אבל בבעל הבית יש קירוב דעת טפי ואיכא למיגזר ביה טפי משום חתנות ואלא מיהו במקום שיש פלטר ישראל אפילו מפלטר גוי אסור שלא התירו אלא במקום שאין פת של ישראל מצויה משום חיי נפש כדאיתא בירושלמי</w:t>
      </w:r>
      <w:r>
        <w:rPr>
          <w:rFonts w:cs="Arial" w:hint="cs"/>
          <w:rtl/>
        </w:rPr>
        <w:t>, רשב"א.</w:t>
      </w:r>
    </w:p>
  </w:footnote>
  <w:footnote w:id="2644">
    <w:p w14:paraId="31CDD1DB" w14:textId="77777777" w:rsidR="004C5A3C" w:rsidRDefault="004C5A3C" w:rsidP="002C39F4">
      <w:pPr>
        <w:pStyle w:val="a5"/>
      </w:pPr>
      <w:r>
        <w:rPr>
          <w:rStyle w:val="a7"/>
        </w:rPr>
        <w:footnoteRef/>
      </w:r>
      <w:r>
        <w:rPr>
          <w:rtl/>
        </w:rPr>
        <w:t xml:space="preserve"> </w:t>
      </w:r>
      <w:r>
        <w:rPr>
          <w:rFonts w:cs="Arial" w:hint="cs"/>
          <w:rtl/>
        </w:rPr>
        <w:t>וכ' הב"י על דברי הטור וז"ל-</w:t>
      </w:r>
      <w:r w:rsidRPr="00571BCE">
        <w:rPr>
          <w:rFonts w:cs="Arial"/>
          <w:rtl/>
        </w:rPr>
        <w:t xml:space="preserve"> </w:t>
      </w:r>
      <w:r>
        <w:rPr>
          <w:rFonts w:cs="Arial"/>
          <w:rtl/>
        </w:rPr>
        <w:t>לא ידענו מנין לו</w:t>
      </w:r>
      <w:r>
        <w:rPr>
          <w:rFonts w:cs="Arial" w:hint="cs"/>
          <w:rtl/>
        </w:rPr>
        <w:t>,</w:t>
      </w:r>
      <w:r>
        <w:rPr>
          <w:rFonts w:cs="Arial"/>
          <w:rtl/>
        </w:rPr>
        <w:t xml:space="preserve"> שהרי הוא כתב לישנא דרבי חלבו דמדכר פלטר וגם הירושלמי (ע"ז שם) דקאמר הלכה כדברי המתיר ובלבד מן הפלטר</w:t>
      </w:r>
      <w:r>
        <w:rPr>
          <w:rFonts w:cs="Arial" w:hint="cs"/>
          <w:rtl/>
        </w:rPr>
        <w:t>,</w:t>
      </w:r>
      <w:r>
        <w:rPr>
          <w:rFonts w:cs="Arial"/>
          <w:rtl/>
        </w:rPr>
        <w:t xml:space="preserve"> וכ</w:t>
      </w:r>
      <w:r>
        <w:rPr>
          <w:rFonts w:cs="Arial" w:hint="cs"/>
          <w:rtl/>
        </w:rPr>
        <w:t>"</w:t>
      </w:r>
      <w:r>
        <w:rPr>
          <w:rFonts w:cs="Arial"/>
          <w:rtl/>
        </w:rPr>
        <w:t xml:space="preserve">כ בפירוש בתשובה </w:t>
      </w:r>
      <w:r w:rsidRPr="00571BCE">
        <w:rPr>
          <w:rFonts w:cs="Arial" w:hint="cs"/>
          <w:sz w:val="16"/>
          <w:szCs w:val="16"/>
          <w:rtl/>
        </w:rPr>
        <w:t>(</w:t>
      </w:r>
      <w:r w:rsidRPr="00571BCE">
        <w:rPr>
          <w:rFonts w:cs="Arial"/>
          <w:sz w:val="16"/>
          <w:szCs w:val="16"/>
          <w:rtl/>
        </w:rPr>
        <w:t xml:space="preserve">כלל יט סי' כ) </w:t>
      </w:r>
      <w:r>
        <w:rPr>
          <w:rFonts w:cs="Arial"/>
          <w:rtl/>
        </w:rPr>
        <w:t>וז"ל ובמקום שנהגו על פי הירושלמי לקנות מן הפלטר ולאסור של בעלי בתים</w:t>
      </w:r>
      <w:r>
        <w:rPr>
          <w:rFonts w:cs="Arial" w:hint="cs"/>
          <w:rtl/>
        </w:rPr>
        <w:t>,</w:t>
      </w:r>
      <w:r>
        <w:rPr>
          <w:rFonts w:cs="Arial"/>
          <w:rtl/>
        </w:rPr>
        <w:t xml:space="preserve"> של פלטר מותר בכל ענין אפילו אם קנאו בעל הבית ממנו</w:t>
      </w:r>
      <w:r>
        <w:rPr>
          <w:rFonts w:cs="Arial" w:hint="cs"/>
          <w:rtl/>
        </w:rPr>
        <w:t>,</w:t>
      </w:r>
      <w:r>
        <w:rPr>
          <w:rFonts w:cs="Arial"/>
          <w:rtl/>
        </w:rPr>
        <w:t xml:space="preserve"> ושל בעלי בתים אסור בכל ענין ואין לו היתר </w:t>
      </w:r>
      <w:r>
        <w:rPr>
          <w:rFonts w:cs="Arial" w:hint="cs"/>
          <w:rtl/>
        </w:rPr>
        <w:t>ע</w:t>
      </w:r>
      <w:r>
        <w:rPr>
          <w:rFonts w:cs="Arial"/>
          <w:rtl/>
        </w:rPr>
        <w:t>כ</w:t>
      </w:r>
      <w:r>
        <w:rPr>
          <w:rFonts w:cs="Arial" w:hint="cs"/>
          <w:rtl/>
        </w:rPr>
        <w:t>"</w:t>
      </w:r>
      <w:r>
        <w:rPr>
          <w:rFonts w:cs="Arial"/>
          <w:rtl/>
        </w:rPr>
        <w:t>ל</w:t>
      </w:r>
      <w:r>
        <w:rPr>
          <w:rFonts w:cs="Arial" w:hint="cs"/>
          <w:rtl/>
        </w:rPr>
        <w:t>.</w:t>
      </w:r>
      <w:r>
        <w:rPr>
          <w:rFonts w:cs="Arial"/>
          <w:rtl/>
        </w:rPr>
        <w:t xml:space="preserve"> והרי דברים אלו כדברי המחברים ממש דיש מקומות שמקילין ע"פ הירושלמי בפת של פלטר אבל פת של בעל הבית אין מי שמורה בה היתר</w:t>
      </w:r>
      <w:r>
        <w:rPr>
          <w:rFonts w:cs="Arial" w:hint="cs"/>
          <w:rtl/>
        </w:rPr>
        <w:t>.</w:t>
      </w:r>
      <w:r>
        <w:rPr>
          <w:rFonts w:hint="cs"/>
          <w:rtl/>
        </w:rPr>
        <w:t xml:space="preserve"> עכ"ל הב"י. וכ' הש"ך </w:t>
      </w:r>
      <w:r>
        <w:rPr>
          <w:rFonts w:cs="Arial" w:hint="cs"/>
          <w:rtl/>
        </w:rPr>
        <w:t xml:space="preserve">(סק"ח) דמדברי המרדכי (סי' תתל, הביאו הב"י) </w:t>
      </w:r>
      <w:r w:rsidRPr="00720676">
        <w:rPr>
          <w:rFonts w:cs="Arial"/>
          <w:rtl/>
        </w:rPr>
        <w:t>משמע דאפילו פת של בעלי בתים מותר דהא לא נתפשט כלל א</w:t>
      </w:r>
      <w:r>
        <w:rPr>
          <w:rFonts w:cs="Arial"/>
          <w:rtl/>
        </w:rPr>
        <w:t>יסור פת של ע</w:t>
      </w:r>
      <w:r>
        <w:rPr>
          <w:rFonts w:cs="Arial" w:hint="cs"/>
          <w:rtl/>
        </w:rPr>
        <w:t>כו"ם</w:t>
      </w:r>
      <w:r w:rsidRPr="00720676">
        <w:rPr>
          <w:rFonts w:cs="Arial"/>
          <w:rtl/>
        </w:rPr>
        <w:t xml:space="preserve"> באותן מקומות</w:t>
      </w:r>
      <w:r>
        <w:rPr>
          <w:rFonts w:cs="Arial" w:hint="cs"/>
          <w:rtl/>
        </w:rPr>
        <w:t>,</w:t>
      </w:r>
      <w:r w:rsidRPr="00720676">
        <w:rPr>
          <w:rFonts w:cs="Arial"/>
          <w:rtl/>
        </w:rPr>
        <w:t xml:space="preserve"> וכן מוכח עוד במרדכי שם ע"ש</w:t>
      </w:r>
      <w:r>
        <w:rPr>
          <w:rFonts w:cs="Arial" w:hint="cs"/>
          <w:rtl/>
        </w:rPr>
        <w:t>,</w:t>
      </w:r>
      <w:r>
        <w:rPr>
          <w:rFonts w:cs="Arial"/>
          <w:rtl/>
        </w:rPr>
        <w:t xml:space="preserve"> ואע</w:t>
      </w:r>
      <w:r>
        <w:rPr>
          <w:rFonts w:cs="Arial" w:hint="cs"/>
          <w:rtl/>
        </w:rPr>
        <w:t>"</w:t>
      </w:r>
      <w:r>
        <w:rPr>
          <w:rFonts w:cs="Arial"/>
          <w:rtl/>
        </w:rPr>
        <w:t>ג</w:t>
      </w:r>
      <w:r w:rsidRPr="00720676">
        <w:rPr>
          <w:rFonts w:cs="Arial"/>
          <w:rtl/>
        </w:rPr>
        <w:t xml:space="preserve"> דבירושלמי פא"מ אוסר פת של בעלי בתים וכן סוברים יש פוסקים</w:t>
      </w:r>
      <w:r>
        <w:rPr>
          <w:rFonts w:cs="Arial" w:hint="cs"/>
          <w:rtl/>
        </w:rPr>
        <w:t>,</w:t>
      </w:r>
      <w:r w:rsidRPr="00720676">
        <w:rPr>
          <w:rFonts w:cs="Arial"/>
          <w:rtl/>
        </w:rPr>
        <w:t xml:space="preserve"> הא אינהו נמי אסרי פלטר עכו</w:t>
      </w:r>
      <w:r>
        <w:rPr>
          <w:rFonts w:cs="Arial" w:hint="cs"/>
          <w:rtl/>
        </w:rPr>
        <w:t>"</w:t>
      </w:r>
      <w:r w:rsidRPr="00720676">
        <w:rPr>
          <w:rFonts w:cs="Arial"/>
          <w:rtl/>
        </w:rPr>
        <w:t>ם בדאיכא פלטר ישראל והיינו משום דס"ל נתפשט האיסור בכל המקומות</w:t>
      </w:r>
      <w:r>
        <w:rPr>
          <w:rFonts w:cs="Arial" w:hint="cs"/>
          <w:rtl/>
        </w:rPr>
        <w:t>,</w:t>
      </w:r>
      <w:r w:rsidRPr="00720676">
        <w:rPr>
          <w:rFonts w:cs="Arial"/>
          <w:rtl/>
        </w:rPr>
        <w:t xml:space="preserve"> אלא דחזרו והתירו משום חיי נפש </w:t>
      </w:r>
      <w:r>
        <w:rPr>
          <w:rFonts w:cs="Arial"/>
          <w:rtl/>
        </w:rPr>
        <w:t>פלטר עכ</w:t>
      </w:r>
      <w:r>
        <w:rPr>
          <w:rFonts w:cs="Arial" w:hint="cs"/>
          <w:rtl/>
        </w:rPr>
        <w:t>ו"</w:t>
      </w:r>
      <w:r w:rsidRPr="00720676">
        <w:rPr>
          <w:rFonts w:cs="Arial"/>
          <w:rtl/>
        </w:rPr>
        <w:t>ם היכא דליכא פלטר ישראל</w:t>
      </w:r>
      <w:r>
        <w:rPr>
          <w:rFonts w:cs="Arial" w:hint="cs"/>
          <w:rtl/>
        </w:rPr>
        <w:t>,</w:t>
      </w:r>
      <w:r w:rsidRPr="00720676">
        <w:rPr>
          <w:rFonts w:cs="Arial"/>
          <w:rtl/>
        </w:rPr>
        <w:t xml:space="preserve"> אבל מאן דס"ל דלא נתפשט האיסור באותן מקומות כלל בכל ענין שרי</w:t>
      </w:r>
      <w:r>
        <w:rPr>
          <w:rFonts w:cs="Arial" w:hint="cs"/>
          <w:rtl/>
        </w:rPr>
        <w:t xml:space="preserve">... </w:t>
      </w:r>
      <w:r w:rsidRPr="00720676">
        <w:rPr>
          <w:rFonts w:cs="Arial"/>
          <w:rtl/>
        </w:rPr>
        <w:t xml:space="preserve">אבל מדברי האו"ה </w:t>
      </w:r>
      <w:r>
        <w:rPr>
          <w:rFonts w:cs="Arial" w:hint="cs"/>
          <w:rtl/>
        </w:rPr>
        <w:t>(</w:t>
      </w:r>
      <w:r>
        <w:rPr>
          <w:rFonts w:cs="Arial"/>
          <w:rtl/>
        </w:rPr>
        <w:t>ריש כלל מ</w:t>
      </w:r>
      <w:r w:rsidRPr="00720676">
        <w:rPr>
          <w:rFonts w:cs="Arial"/>
          <w:rtl/>
        </w:rPr>
        <w:t>ד</w:t>
      </w:r>
      <w:r>
        <w:rPr>
          <w:rFonts w:cs="Arial" w:hint="cs"/>
          <w:rtl/>
        </w:rPr>
        <w:t>)</w:t>
      </w:r>
      <w:r w:rsidRPr="00720676">
        <w:rPr>
          <w:rFonts w:cs="Arial"/>
          <w:rtl/>
        </w:rPr>
        <w:t xml:space="preserve"> והרב והעט"ז מבואר דאפילו אותן שנהגו היתר בפת פלטר אף בדאיכא פלטר ישראל אסורים בפת של בעלי בתים</w:t>
      </w:r>
      <w:r>
        <w:rPr>
          <w:rFonts w:hint="cs"/>
          <w:rtl/>
        </w:rPr>
        <w:t xml:space="preserve">. </w:t>
      </w:r>
      <w:r w:rsidRPr="00333F58">
        <w:rPr>
          <w:rFonts w:hint="cs"/>
          <w:color w:val="FF0000"/>
          <w:sz w:val="16"/>
          <w:szCs w:val="16"/>
          <w:rtl/>
        </w:rPr>
        <w:t xml:space="preserve">(צל"ע משום שהמרדכי כתב בפירוש בסוף דבריו </w:t>
      </w:r>
      <w:r w:rsidRPr="00333F58">
        <w:rPr>
          <w:rFonts w:cs="Arial" w:hint="cs"/>
          <w:color w:val="FF0000"/>
          <w:sz w:val="16"/>
          <w:szCs w:val="16"/>
          <w:rtl/>
        </w:rPr>
        <w:t>"</w:t>
      </w:r>
      <w:r w:rsidRPr="00333F58">
        <w:rPr>
          <w:rFonts w:cs="Arial"/>
          <w:color w:val="FF0000"/>
          <w:sz w:val="16"/>
          <w:szCs w:val="16"/>
          <w:rtl/>
        </w:rPr>
        <w:t>הלכה כדברי המתיר ובלבד מן הפלטר</w:t>
      </w:r>
      <w:r w:rsidRPr="00333F58">
        <w:rPr>
          <w:rFonts w:cs="Arial" w:hint="cs"/>
          <w:color w:val="FF0000"/>
          <w:sz w:val="16"/>
          <w:szCs w:val="16"/>
          <w:rtl/>
        </w:rPr>
        <w:t>")</w:t>
      </w:r>
    </w:p>
  </w:footnote>
  <w:footnote w:id="2645">
    <w:p w14:paraId="3FF89421" w14:textId="77777777" w:rsidR="004C5A3C" w:rsidRDefault="004C5A3C" w:rsidP="002C39F4">
      <w:pPr>
        <w:pStyle w:val="a5"/>
        <w:rPr>
          <w:rtl/>
        </w:rPr>
      </w:pPr>
      <w:r>
        <w:rPr>
          <w:rStyle w:val="a7"/>
        </w:rPr>
        <w:footnoteRef/>
      </w:r>
      <w:r>
        <w:rPr>
          <w:rtl/>
        </w:rPr>
        <w:t xml:space="preserve"> </w:t>
      </w:r>
      <w:r>
        <w:rPr>
          <w:rFonts w:hint="cs"/>
          <w:rtl/>
        </w:rPr>
        <w:t xml:space="preserve">כתב הרא"ה וז"ל- </w:t>
      </w:r>
      <w:r w:rsidRPr="00510944">
        <w:rPr>
          <w:rtl/>
        </w:rPr>
        <w:t>לענין פת בעלי בתים בשדה כיון דלישני נינהו ופלוגתא דרב דימי ורב יוסף מסתבר דאזלינן בה לקולא ו</w:t>
      </w:r>
      <w:r>
        <w:rPr>
          <w:rFonts w:hint="cs"/>
          <w:rtl/>
        </w:rPr>
        <w:t>-...</w:t>
      </w:r>
    </w:p>
  </w:footnote>
  <w:footnote w:id="2646">
    <w:p w14:paraId="3E577A19" w14:textId="77777777" w:rsidR="004C5A3C" w:rsidRDefault="004C5A3C" w:rsidP="002C39F4">
      <w:pPr>
        <w:pStyle w:val="a5"/>
        <w:rPr>
          <w:rtl/>
        </w:rPr>
      </w:pPr>
      <w:r>
        <w:rPr>
          <w:rStyle w:val="a7"/>
        </w:rPr>
        <w:footnoteRef/>
      </w:r>
      <w:r>
        <w:rPr>
          <w:rtl/>
        </w:rPr>
        <w:t xml:space="preserve"> </w:t>
      </w:r>
      <w:r w:rsidRPr="00510944">
        <w:rPr>
          <w:rtl/>
        </w:rPr>
        <w:t>ואע</w:t>
      </w:r>
      <w:r w:rsidRPr="00510944">
        <w:rPr>
          <w:rFonts w:hint="cs"/>
          <w:rtl/>
        </w:rPr>
        <w:t>"</w:t>
      </w:r>
      <w:r w:rsidRPr="00510944">
        <w:rPr>
          <w:rtl/>
        </w:rPr>
        <w:t>ג דשקלי וטרי לפום לישנא דרב יוסף לאו משום דסבירא להו כותיה אלא אפילו קאמרינן הילכך כל מקום שאין מצוי בו פלטר כלל מותר ואפילו פת בעלי בתים</w:t>
      </w:r>
      <w:r>
        <w:rPr>
          <w:rFonts w:hint="cs"/>
          <w:rtl/>
        </w:rPr>
        <w:t>, רא"ה.</w:t>
      </w:r>
    </w:p>
  </w:footnote>
  <w:footnote w:id="2647">
    <w:p w14:paraId="3CF3EF31" w14:textId="77777777" w:rsidR="004C5A3C" w:rsidRDefault="004C5A3C" w:rsidP="002C39F4">
      <w:pPr>
        <w:pStyle w:val="a5"/>
        <w:rPr>
          <w:rtl/>
        </w:rPr>
      </w:pPr>
      <w:r>
        <w:rPr>
          <w:rStyle w:val="a7"/>
        </w:rPr>
        <w:footnoteRef/>
      </w:r>
      <w:r>
        <w:rPr>
          <w:rtl/>
        </w:rPr>
        <w:t xml:space="preserve"> </w:t>
      </w:r>
      <w:r w:rsidRPr="00510944">
        <w:rPr>
          <w:rtl/>
        </w:rPr>
        <w:t>דאמרינן איבו מנכית ואכיל ביה מצרי פי' פת בעלי בתים של בני העיר בשדות אמר להו רבא לרבנן לא תשתעו מיניה דאיבו דאכיל נהמא דארמאי, ופרשו הגאונים ז"ל לא תאמרו דבר שמועה משמו</w:t>
      </w:r>
      <w:r>
        <w:rPr>
          <w:rFonts w:hint="cs"/>
          <w:rtl/>
        </w:rPr>
        <w:t>, רא"ה.</w:t>
      </w:r>
    </w:p>
  </w:footnote>
  <w:footnote w:id="2648">
    <w:p w14:paraId="752C0A08" w14:textId="77777777" w:rsidR="004C5A3C" w:rsidRPr="00737F4D" w:rsidRDefault="004C5A3C" w:rsidP="002C39F4">
      <w:pPr>
        <w:pStyle w:val="a5"/>
      </w:pPr>
      <w:r w:rsidRPr="00737F4D">
        <w:rPr>
          <w:rStyle w:val="a7"/>
        </w:rPr>
        <w:footnoteRef/>
      </w:r>
      <w:r w:rsidRPr="00737F4D">
        <w:rPr>
          <w:rtl/>
        </w:rPr>
        <w:t xml:space="preserve"> </w:t>
      </w:r>
      <w:r w:rsidRPr="00737F4D">
        <w:rPr>
          <w:rFonts w:cs="Arial" w:hint="cs"/>
          <w:rtl/>
        </w:rPr>
        <w:t>כ"כ בשמם ה</w:t>
      </w:r>
      <w:r w:rsidRPr="00737F4D">
        <w:rPr>
          <w:rFonts w:cs="Arial"/>
          <w:rtl/>
        </w:rPr>
        <w:t>רמב"ן (ע"ז לה: ד"ה מה)</w:t>
      </w:r>
      <w:r w:rsidRPr="00737F4D">
        <w:rPr>
          <w:rFonts w:cs="Arial" w:hint="cs"/>
          <w:rtl/>
        </w:rPr>
        <w:t xml:space="preserve"> הרשב"א (שם) הטור וה</w:t>
      </w:r>
      <w:r w:rsidRPr="00737F4D">
        <w:rPr>
          <w:rFonts w:cs="Arial"/>
          <w:rtl/>
        </w:rPr>
        <w:t xml:space="preserve">ר"ן </w:t>
      </w:r>
      <w:r w:rsidRPr="00737F4D">
        <w:rPr>
          <w:rFonts w:cs="Arial" w:hint="cs"/>
          <w:rtl/>
        </w:rPr>
        <w:t>(</w:t>
      </w:r>
      <w:r w:rsidRPr="00737F4D">
        <w:rPr>
          <w:rFonts w:cs="Arial"/>
          <w:rtl/>
        </w:rPr>
        <w:t>ע"ז יד: דיבור ראשון)</w:t>
      </w:r>
      <w:r w:rsidRPr="00737F4D">
        <w:rPr>
          <w:rFonts w:cs="Arial" w:hint="cs"/>
          <w:rtl/>
        </w:rPr>
        <w:t>.</w:t>
      </w:r>
    </w:p>
  </w:footnote>
  <w:footnote w:id="2649">
    <w:p w14:paraId="3589CFF1" w14:textId="77777777" w:rsidR="004C5A3C" w:rsidRDefault="004C5A3C" w:rsidP="002C39F4">
      <w:pPr>
        <w:pStyle w:val="a5"/>
        <w:rPr>
          <w:rtl/>
        </w:rPr>
      </w:pPr>
      <w:r>
        <w:rPr>
          <w:rStyle w:val="a7"/>
        </w:rPr>
        <w:footnoteRef/>
      </w:r>
      <w:r>
        <w:rPr>
          <w:rtl/>
        </w:rPr>
        <w:t xml:space="preserve"> </w:t>
      </w:r>
      <w:r w:rsidRPr="00C313EA">
        <w:rPr>
          <w:rFonts w:cs="Arial"/>
          <w:rtl/>
        </w:rPr>
        <w:t>ולפי מה שפירשנו אף בחול בכה</w:t>
      </w:r>
      <w:r w:rsidRPr="00C313EA">
        <w:rPr>
          <w:rFonts w:cs="Arial" w:hint="cs"/>
          <w:rtl/>
        </w:rPr>
        <w:t>"ג</w:t>
      </w:r>
      <w:r w:rsidRPr="00C313EA">
        <w:rPr>
          <w:rFonts w:cs="Arial"/>
          <w:rtl/>
        </w:rPr>
        <w:t xml:space="preserve"> כגון שאין שם פלטר ישראל ואין לו פת אחרת מותר אלא שהם התירו בשבת אפ</w:t>
      </w:r>
      <w:r>
        <w:rPr>
          <w:rFonts w:cs="Arial"/>
          <w:rtl/>
        </w:rPr>
        <w:t>ילו מב</w:t>
      </w:r>
      <w:r>
        <w:rPr>
          <w:rFonts w:cs="Arial" w:hint="cs"/>
          <w:rtl/>
        </w:rPr>
        <w:t>ע</w:t>
      </w:r>
      <w:r>
        <w:rPr>
          <w:rFonts w:cs="Arial"/>
          <w:rtl/>
        </w:rPr>
        <w:t>ה</w:t>
      </w:r>
      <w:r>
        <w:rPr>
          <w:rFonts w:cs="Arial" w:hint="cs"/>
          <w:rtl/>
        </w:rPr>
        <w:t>"</w:t>
      </w:r>
      <w:r>
        <w:rPr>
          <w:rFonts w:cs="Arial"/>
          <w:rtl/>
        </w:rPr>
        <w:t>ב אם אין שם פלטר</w:t>
      </w:r>
      <w:r>
        <w:rPr>
          <w:rFonts w:cs="Arial" w:hint="cs"/>
          <w:rtl/>
        </w:rPr>
        <w:t>, רשב"א</w:t>
      </w:r>
      <w:r w:rsidRPr="00C313EA">
        <w:rPr>
          <w:rFonts w:cs="Arial" w:hint="cs"/>
          <w:rtl/>
        </w:rPr>
        <w:t>.</w:t>
      </w:r>
    </w:p>
  </w:footnote>
  <w:footnote w:id="2650">
    <w:p w14:paraId="02FB0DEC" w14:textId="77777777" w:rsidR="004C5A3C" w:rsidRDefault="004C5A3C" w:rsidP="002C39F4">
      <w:pPr>
        <w:pStyle w:val="a5"/>
      </w:pPr>
      <w:r>
        <w:rPr>
          <w:rStyle w:val="a7"/>
        </w:rPr>
        <w:footnoteRef/>
      </w:r>
      <w:r w:rsidRPr="001453C5">
        <w:rPr>
          <w:rFonts w:cs="Arial"/>
          <w:rtl/>
        </w:rPr>
        <w:t xml:space="preserve"> ונראה לי לפי דבריו דהא דמחלק בין פת פלטר לבעל הבית היינו בסתמא דסתם פת פלטר למכור וסתם בעל הבית לאכול בעצמו אי נמי דכל שעשאו לעצמו מקרי בעל הבית וכל שעשאו למכור מקרי פלטר</w:t>
      </w:r>
      <w:r>
        <w:rPr>
          <w:rFonts w:cs="Arial" w:hint="cs"/>
          <w:rtl/>
        </w:rPr>
        <w:t>, דרכ"מ (אות ה).</w:t>
      </w:r>
    </w:p>
  </w:footnote>
  <w:footnote w:id="2651">
    <w:p w14:paraId="7451C124" w14:textId="77777777" w:rsidR="004C5A3C" w:rsidRDefault="004C5A3C" w:rsidP="002C39F4">
      <w:pPr>
        <w:pStyle w:val="a5"/>
      </w:pPr>
      <w:r>
        <w:rPr>
          <w:rStyle w:val="a7"/>
        </w:rPr>
        <w:footnoteRef/>
      </w:r>
      <w:r>
        <w:rPr>
          <w:rtl/>
        </w:rPr>
        <w:t xml:space="preserve"> </w:t>
      </w:r>
      <w:r>
        <w:rPr>
          <w:rFonts w:hint="cs"/>
          <w:rtl/>
        </w:rPr>
        <w:t xml:space="preserve">לפי שגזירת הפת לא נתפשטה </w:t>
      </w:r>
      <w:r w:rsidRPr="00C347B4">
        <w:rPr>
          <w:rFonts w:cs="Arial"/>
          <w:rtl/>
        </w:rPr>
        <w:t>בכל המקומות בשעה שגזרו עליה בימי התנאים</w:t>
      </w:r>
      <w:r>
        <w:rPr>
          <w:rFonts w:cs="Arial" w:hint="cs"/>
          <w:rtl/>
        </w:rPr>
        <w:t xml:space="preserve">, ט"ז (סק"ד). </w:t>
      </w:r>
      <w:r>
        <w:rPr>
          <w:rFonts w:cs="Arial"/>
          <w:rtl/>
        </w:rPr>
        <w:t>ול</w:t>
      </w:r>
      <w:r>
        <w:rPr>
          <w:rFonts w:cs="Arial" w:hint="cs"/>
          <w:rtl/>
        </w:rPr>
        <w:t xml:space="preserve">א </w:t>
      </w:r>
      <w:r w:rsidRPr="00C347B4">
        <w:rPr>
          <w:rFonts w:cs="Arial"/>
          <w:rtl/>
        </w:rPr>
        <w:t>ד</w:t>
      </w:r>
      <w:r>
        <w:rPr>
          <w:rFonts w:cs="Arial" w:hint="cs"/>
          <w:rtl/>
        </w:rPr>
        <w:t>מי</w:t>
      </w:r>
      <w:r>
        <w:rPr>
          <w:rFonts w:cs="Arial"/>
          <w:rtl/>
        </w:rPr>
        <w:t xml:space="preserve"> לשלקות בסי' קי</w:t>
      </w:r>
      <w:r w:rsidRPr="00C347B4">
        <w:rPr>
          <w:rFonts w:cs="Arial"/>
          <w:rtl/>
        </w:rPr>
        <w:t>ג דלא נהגו היתר בשום מקום</w:t>
      </w:r>
      <w:r>
        <w:rPr>
          <w:rFonts w:cs="Arial" w:hint="cs"/>
          <w:rtl/>
        </w:rPr>
        <w:t>,</w:t>
      </w:r>
      <w:r w:rsidRPr="00C347B4">
        <w:rPr>
          <w:rFonts w:cs="Arial"/>
          <w:rtl/>
        </w:rPr>
        <w:t xml:space="preserve"> דעל הפת יחיה האדם ושייך ביה טעמא דירושלמי דחיי נפש</w:t>
      </w:r>
      <w:r>
        <w:rPr>
          <w:rFonts w:cs="Arial" w:hint="cs"/>
          <w:rtl/>
        </w:rPr>
        <w:t>,</w:t>
      </w:r>
      <w:r w:rsidRPr="00C347B4">
        <w:rPr>
          <w:rFonts w:cs="Arial"/>
          <w:rtl/>
        </w:rPr>
        <w:t xml:space="preserve"> ומה"ט הקילו נמי בפת השלכת קיסם וכן כמה דברים דלא מהני בשלקות כמ"ש המחבר בסי' קי"ג סעיף ו</w:t>
      </w:r>
      <w:r>
        <w:rPr>
          <w:rFonts w:hint="cs"/>
          <w:rtl/>
        </w:rPr>
        <w:t xml:space="preserve">, ש"ך (סק"ו). </w:t>
      </w:r>
    </w:p>
  </w:footnote>
  <w:footnote w:id="2652">
    <w:p w14:paraId="7F6B7AF0" w14:textId="77777777" w:rsidR="004C5A3C" w:rsidRDefault="004C5A3C" w:rsidP="002C39F4">
      <w:pPr>
        <w:pStyle w:val="a5"/>
      </w:pPr>
      <w:r>
        <w:rPr>
          <w:rStyle w:val="a7"/>
        </w:rPr>
        <w:footnoteRef/>
      </w:r>
      <w:r>
        <w:rPr>
          <w:rtl/>
        </w:rPr>
        <w:t xml:space="preserve"> </w:t>
      </w:r>
      <w:r w:rsidRPr="009C5110">
        <w:rPr>
          <w:rFonts w:cs="Arial"/>
          <w:rtl/>
        </w:rPr>
        <w:t xml:space="preserve">דוקא פת </w:t>
      </w:r>
      <w:r>
        <w:rPr>
          <w:rFonts w:cs="Arial"/>
          <w:rtl/>
        </w:rPr>
        <w:t>עכו"ם</w:t>
      </w:r>
      <w:r>
        <w:rPr>
          <w:rFonts w:cs="Arial" w:hint="cs"/>
          <w:rtl/>
        </w:rPr>
        <w:t>,</w:t>
      </w:r>
      <w:r w:rsidRPr="009C5110">
        <w:rPr>
          <w:rFonts w:cs="Arial"/>
          <w:rtl/>
        </w:rPr>
        <w:t xml:space="preserve"> אבל פת ישראל שאפאו </w:t>
      </w:r>
      <w:r>
        <w:rPr>
          <w:rFonts w:cs="Arial"/>
          <w:rtl/>
        </w:rPr>
        <w:t>עכו"ם</w:t>
      </w:r>
      <w:r w:rsidRPr="009C5110">
        <w:rPr>
          <w:rFonts w:cs="Arial"/>
          <w:rtl/>
        </w:rPr>
        <w:t xml:space="preserve"> כתב הטור שלא נהגו בשום מקום להתיר שהרי הוא כבישולי </w:t>
      </w:r>
      <w:r>
        <w:rPr>
          <w:rFonts w:cs="Arial"/>
          <w:rtl/>
        </w:rPr>
        <w:t>עכו"ם</w:t>
      </w:r>
      <w:r>
        <w:rPr>
          <w:rFonts w:cs="Arial" w:hint="cs"/>
          <w:rtl/>
        </w:rPr>
        <w:t>,</w:t>
      </w:r>
      <w:r w:rsidRPr="009C5110">
        <w:rPr>
          <w:rFonts w:cs="Arial"/>
          <w:rtl/>
        </w:rPr>
        <w:t xml:space="preserve"> וכ"כ </w:t>
      </w:r>
      <w:r>
        <w:rPr>
          <w:rFonts w:cs="Arial" w:hint="cs"/>
          <w:rtl/>
        </w:rPr>
        <w:t xml:space="preserve">הגאונים </w:t>
      </w:r>
      <w:r w:rsidRPr="009C5110">
        <w:rPr>
          <w:rFonts w:cs="Arial" w:hint="cs"/>
          <w:sz w:val="16"/>
          <w:szCs w:val="16"/>
          <w:rtl/>
        </w:rPr>
        <w:t xml:space="preserve">(כ"כ </w:t>
      </w:r>
      <w:r w:rsidRPr="009C5110">
        <w:rPr>
          <w:rFonts w:cs="Arial"/>
          <w:sz w:val="16"/>
          <w:szCs w:val="16"/>
          <w:rtl/>
        </w:rPr>
        <w:t xml:space="preserve">האו"ה </w:t>
      </w:r>
      <w:r w:rsidRPr="009C5110">
        <w:rPr>
          <w:rFonts w:cs="Arial" w:hint="cs"/>
          <w:sz w:val="16"/>
          <w:szCs w:val="16"/>
          <w:rtl/>
        </w:rPr>
        <w:t>(</w:t>
      </w:r>
      <w:r w:rsidRPr="009C5110">
        <w:rPr>
          <w:rFonts w:cs="Arial"/>
          <w:sz w:val="16"/>
          <w:szCs w:val="16"/>
          <w:rtl/>
        </w:rPr>
        <w:t>כלל מד ד</w:t>
      </w:r>
      <w:r w:rsidRPr="009C5110">
        <w:rPr>
          <w:rFonts w:cs="Arial" w:hint="cs"/>
          <w:sz w:val="16"/>
          <w:szCs w:val="16"/>
          <w:rtl/>
        </w:rPr>
        <w:t>"</w:t>
      </w:r>
      <w:r w:rsidRPr="009C5110">
        <w:rPr>
          <w:rFonts w:cs="Arial"/>
          <w:sz w:val="16"/>
          <w:szCs w:val="16"/>
          <w:rtl/>
        </w:rPr>
        <w:t>ט</w:t>
      </w:r>
      <w:r w:rsidRPr="009C5110">
        <w:rPr>
          <w:rFonts w:cs="Arial" w:hint="cs"/>
          <w:sz w:val="16"/>
          <w:szCs w:val="16"/>
          <w:rtl/>
        </w:rPr>
        <w:t>)</w:t>
      </w:r>
      <w:r w:rsidRPr="009C5110">
        <w:rPr>
          <w:rFonts w:cs="Arial"/>
          <w:sz w:val="16"/>
          <w:szCs w:val="16"/>
          <w:rtl/>
        </w:rPr>
        <w:t xml:space="preserve"> </w:t>
      </w:r>
      <w:r w:rsidRPr="009C5110">
        <w:rPr>
          <w:rFonts w:cs="Arial" w:hint="cs"/>
          <w:sz w:val="16"/>
          <w:szCs w:val="16"/>
          <w:rtl/>
        </w:rPr>
        <w:t>ומ</w:t>
      </w:r>
      <w:r w:rsidRPr="009C5110">
        <w:rPr>
          <w:rFonts w:cs="Arial"/>
          <w:sz w:val="16"/>
          <w:szCs w:val="16"/>
          <w:rtl/>
        </w:rPr>
        <w:t xml:space="preserve">הר"ם </w:t>
      </w:r>
      <w:r w:rsidRPr="009C5110">
        <w:rPr>
          <w:rFonts w:cs="Arial" w:hint="cs"/>
          <w:sz w:val="16"/>
          <w:szCs w:val="16"/>
          <w:rtl/>
        </w:rPr>
        <w:t xml:space="preserve">(ד"פ </w:t>
      </w:r>
      <w:r w:rsidRPr="009C5110">
        <w:rPr>
          <w:rFonts w:cs="Arial"/>
          <w:sz w:val="16"/>
          <w:szCs w:val="16"/>
          <w:rtl/>
        </w:rPr>
        <w:t>סי</w:t>
      </w:r>
      <w:r w:rsidRPr="009C5110">
        <w:rPr>
          <w:rFonts w:cs="Arial" w:hint="cs"/>
          <w:sz w:val="16"/>
          <w:szCs w:val="16"/>
          <w:rtl/>
        </w:rPr>
        <w:t>'</w:t>
      </w:r>
      <w:r w:rsidRPr="009C5110">
        <w:rPr>
          <w:rFonts w:cs="Arial"/>
          <w:sz w:val="16"/>
          <w:szCs w:val="16"/>
          <w:rtl/>
        </w:rPr>
        <w:t xml:space="preserve"> לג</w:t>
      </w:r>
      <w:r w:rsidRPr="009C5110">
        <w:rPr>
          <w:rFonts w:cs="Arial" w:hint="cs"/>
          <w:sz w:val="16"/>
          <w:szCs w:val="16"/>
          <w:rtl/>
        </w:rPr>
        <w:t>, הביא המרדכי דבריו בע"ז סי' תתל</w:t>
      </w:r>
      <w:r w:rsidRPr="009C5110">
        <w:rPr>
          <w:rFonts w:cs="Arial"/>
          <w:sz w:val="16"/>
          <w:szCs w:val="16"/>
          <w:rtl/>
        </w:rPr>
        <w:t>)</w:t>
      </w:r>
      <w:r w:rsidRPr="009C5110">
        <w:rPr>
          <w:rFonts w:cs="Arial" w:hint="cs"/>
          <w:sz w:val="16"/>
          <w:szCs w:val="16"/>
          <w:rtl/>
        </w:rPr>
        <w:t xml:space="preserve"> בשמם)</w:t>
      </w:r>
      <w:r>
        <w:rPr>
          <w:rFonts w:cs="Arial" w:hint="cs"/>
          <w:rtl/>
        </w:rPr>
        <w:t>,</w:t>
      </w:r>
      <w:r w:rsidRPr="009C5110">
        <w:rPr>
          <w:rFonts w:cs="Arial"/>
          <w:rtl/>
        </w:rPr>
        <w:t xml:space="preserve"> וכ"כ בת"ח </w:t>
      </w:r>
      <w:r w:rsidRPr="009C5110">
        <w:rPr>
          <w:rFonts w:cs="Arial" w:hint="cs"/>
          <w:sz w:val="16"/>
          <w:szCs w:val="16"/>
          <w:rtl/>
        </w:rPr>
        <w:t>(</w:t>
      </w:r>
      <w:r w:rsidRPr="009C5110">
        <w:rPr>
          <w:rFonts w:cs="Arial"/>
          <w:sz w:val="16"/>
          <w:szCs w:val="16"/>
          <w:rtl/>
        </w:rPr>
        <w:t>שם ד</w:t>
      </w:r>
      <w:r w:rsidRPr="009C5110">
        <w:rPr>
          <w:rFonts w:cs="Arial" w:hint="cs"/>
          <w:sz w:val="16"/>
          <w:szCs w:val="16"/>
          <w:rtl/>
        </w:rPr>
        <w:t>"</w:t>
      </w:r>
      <w:r w:rsidRPr="009C5110">
        <w:rPr>
          <w:rFonts w:cs="Arial"/>
          <w:sz w:val="16"/>
          <w:szCs w:val="16"/>
          <w:rtl/>
        </w:rPr>
        <w:t>ב</w:t>
      </w:r>
      <w:r w:rsidRPr="009C5110">
        <w:rPr>
          <w:rFonts w:cs="Arial" w:hint="cs"/>
          <w:sz w:val="16"/>
          <w:szCs w:val="16"/>
          <w:rtl/>
        </w:rPr>
        <w:t>)</w:t>
      </w:r>
      <w:r>
        <w:rPr>
          <w:rFonts w:cs="Arial" w:hint="cs"/>
          <w:rtl/>
        </w:rPr>
        <w:t>,</w:t>
      </w:r>
      <w:r w:rsidRPr="009C5110">
        <w:rPr>
          <w:rFonts w:cs="Arial"/>
          <w:rtl/>
        </w:rPr>
        <w:t xml:space="preserve"> ומבואר בדבריהם שם דאע"פ שהפת של </w:t>
      </w:r>
      <w:r>
        <w:rPr>
          <w:rFonts w:cs="Arial"/>
          <w:rtl/>
        </w:rPr>
        <w:t>עכו"ם</w:t>
      </w:r>
      <w:r w:rsidRPr="009C5110">
        <w:rPr>
          <w:rFonts w:cs="Arial"/>
          <w:rtl/>
        </w:rPr>
        <w:t xml:space="preserve"> אפה </w:t>
      </w:r>
      <w:r>
        <w:rPr>
          <w:rFonts w:cs="Arial"/>
          <w:rtl/>
        </w:rPr>
        <w:t>עכו"ם</w:t>
      </w:r>
      <w:r w:rsidRPr="009C5110">
        <w:rPr>
          <w:rFonts w:cs="Arial"/>
          <w:rtl/>
        </w:rPr>
        <w:t xml:space="preserve"> נהגו בו היתר</w:t>
      </w:r>
      <w:r>
        <w:rPr>
          <w:rFonts w:cs="Arial" w:hint="cs"/>
          <w:rtl/>
        </w:rPr>
        <w:t>,</w:t>
      </w:r>
      <w:r w:rsidRPr="009C5110">
        <w:rPr>
          <w:rFonts w:cs="Arial"/>
          <w:rtl/>
        </w:rPr>
        <w:t xml:space="preserve"> וטעמא דלא אסרי בכה"ג פת משום בשולי ע</w:t>
      </w:r>
      <w:r>
        <w:rPr>
          <w:rFonts w:cs="Arial" w:hint="cs"/>
          <w:rtl/>
        </w:rPr>
        <w:t>כו"ם</w:t>
      </w:r>
      <w:r w:rsidRPr="009C5110">
        <w:rPr>
          <w:rFonts w:cs="Arial"/>
          <w:rtl/>
        </w:rPr>
        <w:t xml:space="preserve"> דהוא גזירה שאין רוב הצבור יכולים לעמוד בה והלכך בפת של ישראל שאפאה </w:t>
      </w:r>
      <w:r>
        <w:rPr>
          <w:rFonts w:cs="Arial"/>
          <w:rtl/>
        </w:rPr>
        <w:t>עכו"ם</w:t>
      </w:r>
      <w:r w:rsidRPr="009C5110">
        <w:rPr>
          <w:rFonts w:cs="Arial"/>
          <w:rtl/>
        </w:rPr>
        <w:t xml:space="preserve"> דלא שי</w:t>
      </w:r>
      <w:r>
        <w:rPr>
          <w:rFonts w:cs="Arial" w:hint="cs"/>
          <w:rtl/>
        </w:rPr>
        <w:t>י</w:t>
      </w:r>
      <w:r w:rsidRPr="009C5110">
        <w:rPr>
          <w:rFonts w:cs="Arial"/>
          <w:rtl/>
        </w:rPr>
        <w:t>ך ה"ט אסור</w:t>
      </w:r>
      <w:r>
        <w:rPr>
          <w:rFonts w:hint="cs"/>
          <w:rtl/>
        </w:rPr>
        <w:t xml:space="preserve">, ש"ך </w:t>
      </w:r>
      <w:r w:rsidRPr="009C5110">
        <w:rPr>
          <w:rFonts w:hint="cs"/>
          <w:sz w:val="16"/>
          <w:szCs w:val="16"/>
          <w:rtl/>
        </w:rPr>
        <w:t>(סק"ז)</w:t>
      </w:r>
      <w:r>
        <w:rPr>
          <w:rFonts w:hint="cs"/>
          <w:rtl/>
        </w:rPr>
        <w:t>.</w:t>
      </w:r>
    </w:p>
  </w:footnote>
  <w:footnote w:id="2653">
    <w:p w14:paraId="59583981" w14:textId="77777777" w:rsidR="004C5A3C" w:rsidRDefault="004C5A3C" w:rsidP="002C39F4">
      <w:pPr>
        <w:pStyle w:val="a5"/>
        <w:rPr>
          <w:rtl/>
        </w:rPr>
      </w:pPr>
      <w:r>
        <w:rPr>
          <w:rStyle w:val="a7"/>
        </w:rPr>
        <w:footnoteRef/>
      </w:r>
      <w:r>
        <w:rPr>
          <w:rtl/>
        </w:rPr>
        <w:t xml:space="preserve"> </w:t>
      </w:r>
      <w:r w:rsidRPr="00720676">
        <w:rPr>
          <w:rFonts w:cs="Arial"/>
          <w:rtl/>
        </w:rPr>
        <w:t xml:space="preserve">וכתבו האחרונים והרב בת"ח </w:t>
      </w:r>
      <w:r>
        <w:rPr>
          <w:rFonts w:cs="Arial" w:hint="cs"/>
          <w:rtl/>
        </w:rPr>
        <w:t>(</w:t>
      </w:r>
      <w:r>
        <w:rPr>
          <w:rFonts w:cs="Arial"/>
          <w:rtl/>
        </w:rPr>
        <w:t>ריש כלל ע</w:t>
      </w:r>
      <w:r w:rsidRPr="00720676">
        <w:rPr>
          <w:rFonts w:cs="Arial"/>
          <w:rtl/>
        </w:rPr>
        <w:t>ה</w:t>
      </w:r>
      <w:r>
        <w:rPr>
          <w:rFonts w:cs="Arial" w:hint="cs"/>
          <w:rtl/>
        </w:rPr>
        <w:t>)</w:t>
      </w:r>
      <w:r w:rsidRPr="00720676">
        <w:rPr>
          <w:rFonts w:cs="Arial"/>
          <w:rtl/>
        </w:rPr>
        <w:t xml:space="preserve"> והב"ח שכן נתפשט המנהג</w:t>
      </w:r>
      <w:r>
        <w:rPr>
          <w:rFonts w:cs="Arial" w:hint="cs"/>
          <w:rtl/>
        </w:rPr>
        <w:t>,</w:t>
      </w:r>
      <w:r w:rsidRPr="00720676">
        <w:rPr>
          <w:rFonts w:cs="Arial"/>
          <w:rtl/>
        </w:rPr>
        <w:t xml:space="preserve"> מיהו כתב בת"ח שם בשם הפוסקים דבי' ימי הת</w:t>
      </w:r>
      <w:r>
        <w:rPr>
          <w:rFonts w:cs="Arial"/>
          <w:rtl/>
        </w:rPr>
        <w:t>שובה יש ליזהר בפת של ע</w:t>
      </w:r>
      <w:r>
        <w:rPr>
          <w:rFonts w:cs="Arial" w:hint="cs"/>
          <w:rtl/>
        </w:rPr>
        <w:t>כו"</w:t>
      </w:r>
      <w:r w:rsidRPr="00720676">
        <w:rPr>
          <w:rFonts w:cs="Arial"/>
          <w:rtl/>
        </w:rPr>
        <w:t>ם</w:t>
      </w:r>
      <w:r>
        <w:rPr>
          <w:rFonts w:cs="Arial" w:hint="cs"/>
          <w:rtl/>
        </w:rPr>
        <w:t>,</w:t>
      </w:r>
      <w:r w:rsidRPr="00720676">
        <w:rPr>
          <w:rFonts w:cs="Arial"/>
          <w:rtl/>
        </w:rPr>
        <w:t xml:space="preserve"> וכן נתבאר בא</w:t>
      </w:r>
      <w:r>
        <w:rPr>
          <w:rFonts w:cs="Arial" w:hint="cs"/>
          <w:rtl/>
        </w:rPr>
        <w:t>ו</w:t>
      </w:r>
      <w:r>
        <w:rPr>
          <w:rFonts w:cs="Arial"/>
          <w:rtl/>
        </w:rPr>
        <w:t>"ח סי</w:t>
      </w:r>
      <w:r>
        <w:rPr>
          <w:rFonts w:cs="Arial" w:hint="cs"/>
          <w:rtl/>
        </w:rPr>
        <w:t>'</w:t>
      </w:r>
      <w:r w:rsidRPr="00720676">
        <w:rPr>
          <w:rFonts w:cs="Arial"/>
          <w:rtl/>
        </w:rPr>
        <w:t xml:space="preserve"> תר"ב ס"ב ע"ש</w:t>
      </w:r>
      <w:r>
        <w:rPr>
          <w:rFonts w:cs="Arial" w:hint="cs"/>
          <w:rtl/>
        </w:rPr>
        <w:t>,</w:t>
      </w:r>
      <w:r w:rsidRPr="00720676">
        <w:rPr>
          <w:rFonts w:cs="Arial"/>
          <w:rtl/>
        </w:rPr>
        <w:t xml:space="preserve"> מיהו נראה דיש ליזהר אף כל ימו</w:t>
      </w:r>
      <w:r>
        <w:rPr>
          <w:rFonts w:cs="Arial"/>
          <w:rtl/>
        </w:rPr>
        <w:t xml:space="preserve">ת השנה שלא ליקח פת של </w:t>
      </w:r>
      <w:r>
        <w:rPr>
          <w:rFonts w:cs="Arial" w:hint="cs"/>
          <w:rtl/>
        </w:rPr>
        <w:t>עכו"</w:t>
      </w:r>
      <w:r w:rsidRPr="00720676">
        <w:rPr>
          <w:rFonts w:cs="Arial"/>
          <w:rtl/>
        </w:rPr>
        <w:t xml:space="preserve">ם מן הפלטר היכא דיש </w:t>
      </w:r>
      <w:r>
        <w:rPr>
          <w:rFonts w:cs="Arial"/>
          <w:rtl/>
        </w:rPr>
        <w:t>פלטר ישראל אם לא שהפת ע</w:t>
      </w:r>
      <w:r>
        <w:rPr>
          <w:rFonts w:cs="Arial" w:hint="cs"/>
          <w:rtl/>
        </w:rPr>
        <w:t>כו"</w:t>
      </w:r>
      <w:r w:rsidRPr="00720676">
        <w:rPr>
          <w:rFonts w:cs="Arial"/>
          <w:rtl/>
        </w:rPr>
        <w:t>ם יפה יותר דאז שרי כדלקמן ס"ה</w:t>
      </w:r>
      <w:r>
        <w:rPr>
          <w:rFonts w:hint="cs"/>
          <w:rtl/>
        </w:rPr>
        <w:t>, ש"ך (סק"ט).</w:t>
      </w:r>
    </w:p>
  </w:footnote>
  <w:footnote w:id="2654">
    <w:p w14:paraId="28A2EE7E" w14:textId="77777777" w:rsidR="004C5A3C" w:rsidRDefault="004C5A3C" w:rsidP="002C39F4">
      <w:pPr>
        <w:pStyle w:val="a5"/>
      </w:pPr>
      <w:r>
        <w:rPr>
          <w:rStyle w:val="a7"/>
        </w:rPr>
        <w:footnoteRef/>
      </w:r>
      <w:r>
        <w:rPr>
          <w:rtl/>
        </w:rPr>
        <w:t xml:space="preserve"> </w:t>
      </w:r>
      <w:r w:rsidRPr="004A35BF">
        <w:rPr>
          <w:rFonts w:cs="Arial"/>
          <w:rtl/>
        </w:rPr>
        <w:t>זהו דעת הרמב"ם אבל אנן לא קי"ל הכי כדלקמן ס"ח</w:t>
      </w:r>
      <w:r>
        <w:rPr>
          <w:rFonts w:cs="Arial" w:hint="cs"/>
          <w:rtl/>
        </w:rPr>
        <w:t>, ש"ך (סק"י).</w:t>
      </w:r>
    </w:p>
  </w:footnote>
  <w:footnote w:id="2655">
    <w:p w14:paraId="0DA42F71" w14:textId="77777777" w:rsidR="004C5A3C" w:rsidRDefault="004C5A3C" w:rsidP="002C39F4">
      <w:pPr>
        <w:pStyle w:val="a5"/>
      </w:pPr>
      <w:r>
        <w:rPr>
          <w:rStyle w:val="a7"/>
        </w:rPr>
        <w:footnoteRef/>
      </w:r>
      <w:r>
        <w:rPr>
          <w:rtl/>
        </w:rPr>
        <w:t xml:space="preserve"> </w:t>
      </w:r>
      <w:r w:rsidRPr="000E6BE0">
        <w:rPr>
          <w:rFonts w:cs="Arial"/>
          <w:rtl/>
        </w:rPr>
        <w:t>אי</w:t>
      </w:r>
      <w:r>
        <w:rPr>
          <w:rFonts w:cs="Arial" w:hint="cs"/>
          <w:rtl/>
        </w:rPr>
        <w:t>ן</w:t>
      </w:r>
      <w:r w:rsidRPr="000E6BE0">
        <w:rPr>
          <w:rFonts w:cs="Arial"/>
          <w:rtl/>
        </w:rPr>
        <w:t xml:space="preserve"> ר"ל שהזמינו מפת שאפה לצורך ביתו</w:t>
      </w:r>
      <w:r>
        <w:rPr>
          <w:rFonts w:cs="Arial" w:hint="cs"/>
          <w:rtl/>
        </w:rPr>
        <w:t>,</w:t>
      </w:r>
      <w:r w:rsidRPr="000E6BE0">
        <w:rPr>
          <w:rFonts w:cs="Arial"/>
          <w:rtl/>
        </w:rPr>
        <w:t xml:space="preserve"> דהא פשיטא דאסיר לכו</w:t>
      </w:r>
      <w:r>
        <w:rPr>
          <w:rFonts w:cs="Arial" w:hint="cs"/>
          <w:rtl/>
        </w:rPr>
        <w:t>"ע</w:t>
      </w:r>
      <w:r w:rsidRPr="000E6BE0">
        <w:rPr>
          <w:rFonts w:cs="Arial"/>
          <w:rtl/>
        </w:rPr>
        <w:t xml:space="preserve"> ואפילו שלחו לו לביתו, אלא ר"ל שהזמינו ונתן לפניו מהפת שעשה למכור וא</w:t>
      </w:r>
      <w:r>
        <w:rPr>
          <w:rFonts w:cs="Arial" w:hint="cs"/>
          <w:rtl/>
        </w:rPr>
        <w:t>עפ"כ</w:t>
      </w:r>
      <w:r w:rsidRPr="000E6BE0">
        <w:rPr>
          <w:rFonts w:cs="Arial"/>
          <w:rtl/>
        </w:rPr>
        <w:t xml:space="preserve"> אסיר לסברא זו משום דבתר השתא אזלינן והשתא הוי בעל הבית, וזו היא דעת </w:t>
      </w:r>
      <w:r w:rsidRPr="00B20FA4">
        <w:rPr>
          <w:rFonts w:cs="Arial"/>
          <w:rtl/>
        </w:rPr>
        <w:t xml:space="preserve">הרא"ה </w:t>
      </w:r>
      <w:r w:rsidRPr="0043600C">
        <w:rPr>
          <w:rFonts w:cs="Arial"/>
          <w:sz w:val="16"/>
          <w:szCs w:val="16"/>
          <w:rtl/>
        </w:rPr>
        <w:t>(בדה"ב שם צב: ד"ה ולענין</w:t>
      </w:r>
      <w:r>
        <w:rPr>
          <w:rFonts w:cs="Arial" w:hint="cs"/>
          <w:sz w:val="16"/>
          <w:szCs w:val="16"/>
          <w:rtl/>
        </w:rPr>
        <w:t>,</w:t>
      </w:r>
      <w:r w:rsidRPr="000E6BE0">
        <w:rPr>
          <w:rFonts w:cs="Arial" w:hint="cs"/>
          <w:sz w:val="16"/>
          <w:szCs w:val="16"/>
          <w:rtl/>
        </w:rPr>
        <w:t xml:space="preserve"> </w:t>
      </w:r>
      <w:r>
        <w:rPr>
          <w:rFonts w:cs="Arial" w:hint="cs"/>
          <w:sz w:val="16"/>
          <w:szCs w:val="16"/>
          <w:rtl/>
        </w:rPr>
        <w:t>כ"כ הא"ח בשמו [</w:t>
      </w:r>
      <w:r w:rsidRPr="0043600C">
        <w:rPr>
          <w:rFonts w:cs="Arial"/>
          <w:sz w:val="16"/>
          <w:szCs w:val="16"/>
          <w:rtl/>
        </w:rPr>
        <w:t>הלא</w:t>
      </w:r>
      <w:r w:rsidRPr="0043600C">
        <w:rPr>
          <w:rFonts w:cs="Arial" w:hint="cs"/>
          <w:sz w:val="16"/>
          <w:szCs w:val="16"/>
          <w:rtl/>
        </w:rPr>
        <w:t>"מ</w:t>
      </w:r>
      <w:r w:rsidRPr="0043600C">
        <w:rPr>
          <w:rFonts w:cs="Arial"/>
          <w:sz w:val="16"/>
          <w:szCs w:val="16"/>
          <w:rtl/>
        </w:rPr>
        <w:t xml:space="preserve"> אות סג ד"ה הפת</w:t>
      </w:r>
      <w:r>
        <w:rPr>
          <w:rFonts w:cs="Arial" w:hint="cs"/>
          <w:sz w:val="16"/>
          <w:szCs w:val="16"/>
          <w:rtl/>
        </w:rPr>
        <w:t>]</w:t>
      </w:r>
      <w:r w:rsidRPr="0043600C">
        <w:rPr>
          <w:rFonts w:cs="Arial"/>
          <w:sz w:val="16"/>
          <w:szCs w:val="16"/>
          <w:rtl/>
        </w:rPr>
        <w:t>)</w:t>
      </w:r>
      <w:r>
        <w:rPr>
          <w:rFonts w:cs="Arial" w:hint="cs"/>
          <w:rtl/>
        </w:rPr>
        <w:t xml:space="preserve">, </w:t>
      </w:r>
      <w:r w:rsidRPr="000E6BE0">
        <w:rPr>
          <w:rFonts w:cs="Arial"/>
          <w:rtl/>
        </w:rPr>
        <w:t>אבל לא קיי</w:t>
      </w:r>
      <w:r>
        <w:rPr>
          <w:rFonts w:cs="Arial" w:hint="cs"/>
          <w:rtl/>
        </w:rPr>
        <w:t>"ל</w:t>
      </w:r>
      <w:r w:rsidRPr="000E6BE0">
        <w:rPr>
          <w:rFonts w:cs="Arial"/>
          <w:rtl/>
        </w:rPr>
        <w:t xml:space="preserve"> הכי אלא כדעת הרשב"א שם במשמ</w:t>
      </w:r>
      <w:r>
        <w:rPr>
          <w:rFonts w:cs="Arial" w:hint="cs"/>
          <w:rtl/>
        </w:rPr>
        <w:t xml:space="preserve">ה"ב </w:t>
      </w:r>
      <w:r w:rsidRPr="000E6BE0">
        <w:rPr>
          <w:rFonts w:cs="Arial" w:hint="cs"/>
          <w:sz w:val="16"/>
          <w:szCs w:val="16"/>
          <w:rtl/>
        </w:rPr>
        <w:t>(</w:t>
      </w:r>
      <w:r w:rsidRPr="000E6BE0">
        <w:rPr>
          <w:rFonts w:cs="Arial"/>
          <w:sz w:val="16"/>
          <w:szCs w:val="16"/>
          <w:rtl/>
        </w:rPr>
        <w:t>שם דיבור ראשון</w:t>
      </w:r>
      <w:r>
        <w:rPr>
          <w:rFonts w:cs="Arial" w:hint="cs"/>
          <w:sz w:val="16"/>
          <w:szCs w:val="16"/>
          <w:rtl/>
        </w:rPr>
        <w:t>)</w:t>
      </w:r>
      <w:r w:rsidRPr="000E6BE0">
        <w:rPr>
          <w:rFonts w:cs="Arial"/>
          <w:rtl/>
        </w:rPr>
        <w:t xml:space="preserve"> שחלק עליו דלעולם בתר אפייה אזלינן וכל שנעשה למכור אף שהיא עכשיו ביד בעל הבית מותר, וכמו שפסק המחבר לקמן בסעיף ז' והוא האמת</w:t>
      </w:r>
      <w:r>
        <w:rPr>
          <w:rFonts w:cs="Arial" w:hint="cs"/>
          <w:rtl/>
        </w:rPr>
        <w:t>, פר"ח (סקי"ב). ובפירוש כ' ה</w:t>
      </w:r>
      <w:r w:rsidRPr="0067411D">
        <w:rPr>
          <w:rFonts w:cs="Arial"/>
          <w:rtl/>
        </w:rPr>
        <w:t xml:space="preserve">רשב"א </w:t>
      </w:r>
      <w:r w:rsidRPr="0043600C">
        <w:rPr>
          <w:rFonts w:cs="Arial" w:hint="cs"/>
          <w:sz w:val="16"/>
          <w:szCs w:val="16"/>
          <w:rtl/>
        </w:rPr>
        <w:t>(</w:t>
      </w:r>
      <w:r w:rsidRPr="0043600C">
        <w:rPr>
          <w:rFonts w:cs="Arial"/>
          <w:sz w:val="16"/>
          <w:szCs w:val="16"/>
          <w:rtl/>
        </w:rPr>
        <w:t>במ</w:t>
      </w:r>
      <w:r w:rsidRPr="0043600C">
        <w:rPr>
          <w:rFonts w:cs="Arial" w:hint="cs"/>
          <w:sz w:val="16"/>
          <w:szCs w:val="16"/>
          <w:rtl/>
        </w:rPr>
        <w:t>ש</w:t>
      </w:r>
      <w:r w:rsidRPr="0043600C">
        <w:rPr>
          <w:rFonts w:cs="Arial"/>
          <w:sz w:val="16"/>
          <w:szCs w:val="16"/>
          <w:rtl/>
        </w:rPr>
        <w:t>"ה שם</w:t>
      </w:r>
      <w:r w:rsidRPr="0043600C">
        <w:rPr>
          <w:rFonts w:cs="Arial" w:hint="cs"/>
          <w:sz w:val="16"/>
          <w:szCs w:val="16"/>
          <w:rtl/>
        </w:rPr>
        <w:t>)</w:t>
      </w:r>
      <w:r w:rsidRPr="0043600C">
        <w:rPr>
          <w:rFonts w:cs="Arial"/>
          <w:sz w:val="16"/>
          <w:szCs w:val="16"/>
          <w:rtl/>
        </w:rPr>
        <w:t xml:space="preserve"> </w:t>
      </w:r>
      <w:r w:rsidRPr="0067411D">
        <w:rPr>
          <w:rFonts w:cs="Arial"/>
          <w:rtl/>
        </w:rPr>
        <w:t>דאפילו זימנו הפלטר אצלו מותר כיון שהיה מותר בשעת אפייתו</w:t>
      </w:r>
      <w:r>
        <w:rPr>
          <w:rFonts w:cs="Arial" w:hint="cs"/>
          <w:rtl/>
        </w:rPr>
        <w:t>,</w:t>
      </w:r>
      <w:r w:rsidRPr="0067411D">
        <w:rPr>
          <w:rFonts w:cs="Arial"/>
          <w:rtl/>
        </w:rPr>
        <w:t xml:space="preserve"> ולפ"ז קשה דהא המחבר ס"ל לקמן ס"ז דבתר תחלתו אזלינן והיאך כתב כאן דין זה</w:t>
      </w:r>
      <w:r>
        <w:rPr>
          <w:rFonts w:cs="Arial" w:hint="cs"/>
          <w:rtl/>
        </w:rPr>
        <w:t>,</w:t>
      </w:r>
      <w:r w:rsidRPr="0067411D">
        <w:rPr>
          <w:rFonts w:cs="Arial"/>
          <w:rtl/>
        </w:rPr>
        <w:t xml:space="preserve"> ואולי לכך כתבו בשם יש מי שאומר</w:t>
      </w:r>
      <w:r>
        <w:rPr>
          <w:rFonts w:cs="Arial" w:hint="cs"/>
          <w:rtl/>
        </w:rPr>
        <w:t>,</w:t>
      </w:r>
      <w:r w:rsidRPr="0067411D">
        <w:rPr>
          <w:rFonts w:cs="Arial"/>
          <w:rtl/>
        </w:rPr>
        <w:t xml:space="preserve"> או אפשר דס"ל מסברתו לחלק דמזמינו אצלו גרע טפי</w:t>
      </w:r>
      <w:r>
        <w:rPr>
          <w:rFonts w:cs="Arial" w:hint="cs"/>
          <w:rtl/>
        </w:rPr>
        <w:t xml:space="preserve">, ש"ך </w:t>
      </w:r>
      <w:r w:rsidRPr="0043600C">
        <w:rPr>
          <w:rFonts w:cs="Arial" w:hint="cs"/>
          <w:sz w:val="16"/>
          <w:szCs w:val="16"/>
          <w:rtl/>
        </w:rPr>
        <w:t>(סקי"ב)</w:t>
      </w:r>
      <w:r>
        <w:rPr>
          <w:rFonts w:cs="Arial" w:hint="cs"/>
          <w:rtl/>
        </w:rPr>
        <w:t>.</w:t>
      </w:r>
    </w:p>
  </w:footnote>
  <w:footnote w:id="2656">
    <w:p w14:paraId="6EBCC974" w14:textId="77777777" w:rsidR="004C5A3C" w:rsidRDefault="004C5A3C" w:rsidP="002C39F4">
      <w:pPr>
        <w:pStyle w:val="a5"/>
      </w:pPr>
      <w:r>
        <w:rPr>
          <w:rStyle w:val="a7"/>
        </w:rPr>
        <w:footnoteRef/>
      </w:r>
      <w:r>
        <w:rPr>
          <w:rtl/>
        </w:rPr>
        <w:t xml:space="preserve"> </w:t>
      </w:r>
      <w:r w:rsidRPr="009E2D45">
        <w:rPr>
          <w:rFonts w:cs="Arial"/>
          <w:rtl/>
        </w:rPr>
        <w:t>היינו לדעת המחבר ס"ב אבל לדעת הי"א בהג"ה פשיטא דשרי</w:t>
      </w:r>
      <w:r>
        <w:rPr>
          <w:rFonts w:cs="Arial" w:hint="cs"/>
          <w:rtl/>
        </w:rPr>
        <w:t>, ש"ך (סקי"ד).</w:t>
      </w:r>
    </w:p>
  </w:footnote>
  <w:footnote w:id="2657">
    <w:p w14:paraId="5B896B50" w14:textId="77777777" w:rsidR="004C5A3C" w:rsidRDefault="004C5A3C" w:rsidP="002C39F4">
      <w:pPr>
        <w:pStyle w:val="a5"/>
        <w:rPr>
          <w:rtl/>
        </w:rPr>
      </w:pPr>
      <w:r>
        <w:rPr>
          <w:rStyle w:val="a7"/>
        </w:rPr>
        <w:footnoteRef/>
      </w:r>
      <w:r>
        <w:rPr>
          <w:rtl/>
        </w:rPr>
        <w:t xml:space="preserve"> </w:t>
      </w:r>
      <w:r w:rsidRPr="00C661C1">
        <w:rPr>
          <w:rFonts w:cs="Arial"/>
          <w:rtl/>
        </w:rPr>
        <w:t>ה"ר יונה</w:t>
      </w:r>
      <w:r w:rsidRPr="00C661C1">
        <w:rPr>
          <w:rFonts w:cs="Arial"/>
          <w:sz w:val="16"/>
          <w:szCs w:val="16"/>
          <w:rtl/>
        </w:rPr>
        <w:t xml:space="preserve"> (לה: ד"ה אמר רבי יוחנן</w:t>
      </w:r>
      <w:r w:rsidRPr="00C661C1">
        <w:rPr>
          <w:rFonts w:cs="Arial" w:hint="cs"/>
          <w:sz w:val="16"/>
          <w:szCs w:val="16"/>
          <w:rtl/>
        </w:rPr>
        <w:t>, כ"כ בשמו הרשב"א</w:t>
      </w:r>
      <w:r w:rsidRPr="00C661C1">
        <w:rPr>
          <w:rFonts w:cs="Arial"/>
          <w:sz w:val="16"/>
          <w:szCs w:val="16"/>
          <w:rtl/>
        </w:rPr>
        <w:t xml:space="preserve">) </w:t>
      </w:r>
      <w:r>
        <w:rPr>
          <w:rFonts w:cs="Arial" w:hint="cs"/>
          <w:rtl/>
        </w:rPr>
        <w:t>ורשב"א</w:t>
      </w:r>
      <w:r w:rsidRPr="00C661C1">
        <w:rPr>
          <w:rFonts w:cs="Arial"/>
          <w:sz w:val="16"/>
          <w:szCs w:val="16"/>
          <w:rtl/>
        </w:rPr>
        <w:t xml:space="preserve"> (תוה"א ב"ג ש"ז צב:</w:t>
      </w:r>
      <w:r w:rsidRPr="00C661C1">
        <w:rPr>
          <w:rFonts w:cs="Arial" w:hint="cs"/>
          <w:sz w:val="16"/>
          <w:szCs w:val="16"/>
          <w:rtl/>
        </w:rPr>
        <w:t>,</w:t>
      </w:r>
      <w:r w:rsidRPr="00C661C1">
        <w:rPr>
          <w:rFonts w:cs="Arial"/>
          <w:sz w:val="16"/>
          <w:szCs w:val="16"/>
          <w:rtl/>
        </w:rPr>
        <w:t xml:space="preserve"> </w:t>
      </w:r>
      <w:r>
        <w:rPr>
          <w:rFonts w:cs="Arial" w:hint="cs"/>
          <w:sz w:val="16"/>
          <w:szCs w:val="16"/>
          <w:rtl/>
        </w:rPr>
        <w:t xml:space="preserve">ובחידו' לה: ד"ה והאוכל לחם. </w:t>
      </w:r>
      <w:r w:rsidRPr="00C661C1">
        <w:rPr>
          <w:rFonts w:cs="Arial"/>
          <w:sz w:val="16"/>
          <w:szCs w:val="16"/>
          <w:rtl/>
        </w:rPr>
        <w:t>והביא דבריו הר"ן (</w:t>
      </w:r>
      <w:r w:rsidRPr="00C661C1">
        <w:rPr>
          <w:rFonts w:cs="Arial" w:hint="cs"/>
          <w:sz w:val="16"/>
          <w:szCs w:val="16"/>
          <w:rtl/>
        </w:rPr>
        <w:t>יג:</w:t>
      </w:r>
      <w:r w:rsidRPr="00C661C1">
        <w:rPr>
          <w:rFonts w:cs="Arial"/>
          <w:sz w:val="16"/>
          <w:szCs w:val="16"/>
          <w:rtl/>
        </w:rPr>
        <w:t>))</w:t>
      </w:r>
      <w:r>
        <w:rPr>
          <w:rFonts w:hint="cs"/>
          <w:rtl/>
        </w:rPr>
        <w:t>.</w:t>
      </w:r>
    </w:p>
  </w:footnote>
  <w:footnote w:id="2658">
    <w:p w14:paraId="41E6C5C9" w14:textId="77777777" w:rsidR="004C5A3C" w:rsidRDefault="004C5A3C" w:rsidP="002C39F4">
      <w:pPr>
        <w:pStyle w:val="a5"/>
      </w:pPr>
      <w:r>
        <w:rPr>
          <w:rStyle w:val="a7"/>
        </w:rPr>
        <w:footnoteRef/>
      </w:r>
      <w:r>
        <w:rPr>
          <w:rtl/>
        </w:rPr>
        <w:t xml:space="preserve"> </w:t>
      </w:r>
      <w:r>
        <w:rPr>
          <w:rFonts w:hint="cs"/>
          <w:rtl/>
        </w:rPr>
        <w:t xml:space="preserve">והביא הטור את דבריו וכתב עליהם- </w:t>
      </w:r>
      <w:r w:rsidRPr="00C661C1">
        <w:rPr>
          <w:rFonts w:cs="Arial"/>
          <w:rtl/>
        </w:rPr>
        <w:t>ואין נראה כן מן הירושלמי שלא התיר אלא במקום שאין פלטר ישראל מצוי אבל אם הוא מצוי אלא דשל גוים ערב לו יותר לא התיר</w:t>
      </w:r>
      <w:r w:rsidRPr="00C661C1">
        <w:rPr>
          <w:rFonts w:cs="Arial" w:hint="cs"/>
          <w:rtl/>
        </w:rPr>
        <w:t>.</w:t>
      </w:r>
      <w:r>
        <w:rPr>
          <w:rFonts w:hint="cs"/>
          <w:rtl/>
        </w:rPr>
        <w:t xml:space="preserve"> עכ"ל. וכ' הב"י על דברי הטור- </w:t>
      </w:r>
      <w:r w:rsidRPr="00C661C1">
        <w:rPr>
          <w:rFonts w:cs="Arial"/>
          <w:rtl/>
        </w:rPr>
        <w:t>אע"פ שר</w:t>
      </w:r>
      <w:r>
        <w:rPr>
          <w:rFonts w:cs="Arial"/>
          <w:rtl/>
        </w:rPr>
        <w:t>בינו לא ראה כי אם תוה</w:t>
      </w:r>
      <w:r>
        <w:rPr>
          <w:rFonts w:cs="Arial" w:hint="cs"/>
          <w:rtl/>
        </w:rPr>
        <w:t>"ק</w:t>
      </w:r>
      <w:r w:rsidRPr="00C661C1">
        <w:rPr>
          <w:rFonts w:cs="Arial"/>
          <w:rtl/>
        </w:rPr>
        <w:t xml:space="preserve"> לא היה לו לכתוב כן</w:t>
      </w:r>
      <w:r>
        <w:rPr>
          <w:rFonts w:cs="Arial" w:hint="cs"/>
          <w:rtl/>
        </w:rPr>
        <w:t>,</w:t>
      </w:r>
      <w:r w:rsidRPr="00C661C1">
        <w:rPr>
          <w:rFonts w:cs="Arial"/>
          <w:rtl/>
        </w:rPr>
        <w:t xml:space="preserve"> דמשמע מדבריו שהרשב"א לא ראה הירושלמי הזה או ראהו ונעלמה ידיעתו ממנו שאילו ידעו ונזכר ממנו לא היה כותב כן</w:t>
      </w:r>
      <w:r>
        <w:rPr>
          <w:rFonts w:cs="Arial" w:hint="cs"/>
          <w:rtl/>
        </w:rPr>
        <w:t>,</w:t>
      </w:r>
      <w:r w:rsidRPr="00C661C1">
        <w:rPr>
          <w:rFonts w:cs="Arial"/>
          <w:rtl/>
        </w:rPr>
        <w:t xml:space="preserve"> וזה דבר שלא ניתן ליחשד בכך מאן דנהירן ליה שבילי רקיעא</w:t>
      </w:r>
      <w:r>
        <w:rPr>
          <w:rFonts w:cs="Arial" w:hint="cs"/>
          <w:rtl/>
        </w:rPr>
        <w:t>,</w:t>
      </w:r>
      <w:r w:rsidRPr="00C661C1">
        <w:rPr>
          <w:rFonts w:cs="Arial"/>
          <w:rtl/>
        </w:rPr>
        <w:t xml:space="preserve"> </w:t>
      </w:r>
      <w:r>
        <w:rPr>
          <w:rFonts w:cs="Arial"/>
          <w:rtl/>
        </w:rPr>
        <w:t>ואילו ראה לשונו בתוה</w:t>
      </w:r>
      <w:r>
        <w:rPr>
          <w:rFonts w:cs="Arial" w:hint="cs"/>
          <w:rtl/>
        </w:rPr>
        <w:t>"א</w:t>
      </w:r>
      <w:r w:rsidRPr="00C661C1">
        <w:rPr>
          <w:rFonts w:cs="Arial"/>
          <w:rtl/>
        </w:rPr>
        <w:t xml:space="preserve"> (שם) לא היה חושדו בכך וגם לא היה מקשה עליו מן הירושלמי שהוא הביא תחלה הירושלמי והבבלי ואח"כ כתב</w:t>
      </w:r>
      <w:r>
        <w:rPr>
          <w:rFonts w:cs="Arial" w:hint="cs"/>
          <w:rtl/>
        </w:rPr>
        <w:t xml:space="preserve"> וכו'</w:t>
      </w:r>
      <w:r>
        <w:rPr>
          <w:rFonts w:hint="cs"/>
          <w:rtl/>
        </w:rPr>
        <w:t>.</w:t>
      </w:r>
    </w:p>
  </w:footnote>
  <w:footnote w:id="2659">
    <w:p w14:paraId="4D3E952C" w14:textId="77777777" w:rsidR="004C5A3C" w:rsidRDefault="004C5A3C" w:rsidP="002C39F4">
      <w:pPr>
        <w:pStyle w:val="a5"/>
        <w:rPr>
          <w:rtl/>
        </w:rPr>
      </w:pPr>
      <w:r>
        <w:rPr>
          <w:rStyle w:val="a7"/>
        </w:rPr>
        <w:footnoteRef/>
      </w:r>
      <w:r>
        <w:rPr>
          <w:rtl/>
        </w:rPr>
        <w:t xml:space="preserve"> </w:t>
      </w:r>
      <w:r>
        <w:rPr>
          <w:rFonts w:cs="Arial" w:hint="cs"/>
          <w:rtl/>
        </w:rPr>
        <w:t xml:space="preserve">תוס' </w:t>
      </w:r>
      <w:r w:rsidRPr="00C52086">
        <w:rPr>
          <w:rFonts w:cs="Arial" w:hint="cs"/>
          <w:sz w:val="16"/>
          <w:szCs w:val="16"/>
          <w:rtl/>
        </w:rPr>
        <w:t xml:space="preserve">(להב' הב"י) </w:t>
      </w:r>
      <w:r>
        <w:rPr>
          <w:rFonts w:cs="Arial" w:hint="cs"/>
          <w:rtl/>
        </w:rPr>
        <w:t xml:space="preserve">רא"ש </w:t>
      </w:r>
      <w:r w:rsidRPr="00C52086">
        <w:rPr>
          <w:rFonts w:cs="Arial" w:hint="cs"/>
          <w:sz w:val="16"/>
          <w:szCs w:val="16"/>
          <w:rtl/>
        </w:rPr>
        <w:t xml:space="preserve">(להב' הב"י) </w:t>
      </w:r>
      <w:r w:rsidRPr="00CF56C8">
        <w:rPr>
          <w:rFonts w:cs="Arial"/>
          <w:rtl/>
        </w:rPr>
        <w:t xml:space="preserve">רשב"א </w:t>
      </w:r>
      <w:r w:rsidRPr="00C52086">
        <w:rPr>
          <w:rFonts w:cs="Arial"/>
          <w:sz w:val="16"/>
          <w:szCs w:val="16"/>
          <w:rtl/>
        </w:rPr>
        <w:t xml:space="preserve">(תוה"א ב"ג ש"א סח: קצר סח., ב"ג ש"ז קצר צה.) </w:t>
      </w:r>
      <w:r>
        <w:rPr>
          <w:rFonts w:cs="Arial"/>
          <w:rtl/>
        </w:rPr>
        <w:t>ו</w:t>
      </w:r>
      <w:r w:rsidRPr="00CF56C8">
        <w:rPr>
          <w:rFonts w:cs="Arial"/>
          <w:rtl/>
        </w:rPr>
        <w:t xml:space="preserve">ר"ן </w:t>
      </w:r>
      <w:r w:rsidRPr="00C52086">
        <w:rPr>
          <w:rFonts w:cs="Arial"/>
          <w:sz w:val="16"/>
          <w:szCs w:val="16"/>
          <w:rtl/>
        </w:rPr>
        <w:t>(שם, חולין כב. ד"ה תניא)</w:t>
      </w:r>
      <w:r>
        <w:rPr>
          <w:rFonts w:hint="cs"/>
          <w:rtl/>
        </w:rPr>
        <w:t>.</w:t>
      </w:r>
    </w:p>
  </w:footnote>
  <w:footnote w:id="2660">
    <w:p w14:paraId="74ED9B10" w14:textId="77777777" w:rsidR="004C5A3C" w:rsidRDefault="004C5A3C" w:rsidP="002C39F4">
      <w:pPr>
        <w:pStyle w:val="a5"/>
        <w:rPr>
          <w:rtl/>
        </w:rPr>
      </w:pPr>
      <w:r>
        <w:rPr>
          <w:rStyle w:val="a7"/>
        </w:rPr>
        <w:footnoteRef/>
      </w:r>
      <w:r>
        <w:rPr>
          <w:rtl/>
        </w:rPr>
        <w:t xml:space="preserve"> </w:t>
      </w:r>
      <w:r>
        <w:rPr>
          <w:rFonts w:cs="Arial" w:hint="cs"/>
          <w:rtl/>
        </w:rPr>
        <w:t xml:space="preserve">וכ' הב"י- </w:t>
      </w:r>
      <w:r w:rsidRPr="00CF56C8">
        <w:rPr>
          <w:rFonts w:cs="Arial"/>
          <w:rtl/>
        </w:rPr>
        <w:t>ומיהו אינפאנאדא שאפאה גוי אסור לאכול מהפת שלה ויתבאר בסימן שאחר זה (קפ: ד"ה פנאד"ה) בס"ד</w:t>
      </w:r>
      <w:r>
        <w:rPr>
          <w:rFonts w:hint="cs"/>
          <w:rtl/>
        </w:rPr>
        <w:t>.</w:t>
      </w:r>
    </w:p>
  </w:footnote>
  <w:footnote w:id="2661">
    <w:p w14:paraId="5A62AC19" w14:textId="77777777" w:rsidR="004C5A3C" w:rsidRDefault="004C5A3C" w:rsidP="002C39F4">
      <w:pPr>
        <w:pStyle w:val="a5"/>
      </w:pPr>
      <w:r>
        <w:rPr>
          <w:rStyle w:val="a7"/>
        </w:rPr>
        <w:footnoteRef/>
      </w:r>
      <w:r>
        <w:rPr>
          <w:rtl/>
        </w:rPr>
        <w:t xml:space="preserve"> </w:t>
      </w:r>
      <w:r>
        <w:rPr>
          <w:rFonts w:cs="Arial"/>
          <w:rtl/>
        </w:rPr>
        <w:t>תוס</w:t>
      </w:r>
      <w:r>
        <w:rPr>
          <w:rFonts w:cs="Arial" w:hint="cs"/>
          <w:rtl/>
        </w:rPr>
        <w:t>'</w:t>
      </w:r>
      <w:r>
        <w:rPr>
          <w:rFonts w:cs="Arial"/>
          <w:rtl/>
        </w:rPr>
        <w:t xml:space="preserve"> </w:t>
      </w:r>
      <w:r w:rsidRPr="001D3151">
        <w:rPr>
          <w:rFonts w:cs="Arial"/>
          <w:sz w:val="16"/>
          <w:szCs w:val="16"/>
          <w:rtl/>
        </w:rPr>
        <w:t xml:space="preserve">(חולין סד. ד"ה סימנין) </w:t>
      </w:r>
      <w:r w:rsidRPr="00592D51">
        <w:rPr>
          <w:rFonts w:cs="Arial"/>
          <w:rtl/>
        </w:rPr>
        <w:t xml:space="preserve">סמ"ג </w:t>
      </w:r>
      <w:r>
        <w:rPr>
          <w:rFonts w:cs="Arial"/>
          <w:sz w:val="16"/>
          <w:szCs w:val="16"/>
          <w:rtl/>
        </w:rPr>
        <w:t>(לאוין קלב מד</w:t>
      </w:r>
      <w:r>
        <w:rPr>
          <w:rFonts w:cs="Arial" w:hint="cs"/>
          <w:sz w:val="16"/>
          <w:szCs w:val="16"/>
          <w:rtl/>
        </w:rPr>
        <w:t xml:space="preserve"> ע"ג</w:t>
      </w:r>
      <w:r w:rsidRPr="001D3151">
        <w:rPr>
          <w:rFonts w:cs="Arial"/>
          <w:sz w:val="16"/>
          <w:szCs w:val="16"/>
          <w:rtl/>
        </w:rPr>
        <w:t>)</w:t>
      </w:r>
      <w:r w:rsidRPr="001D3151">
        <w:rPr>
          <w:rFonts w:cs="Arial" w:hint="cs"/>
          <w:sz w:val="16"/>
          <w:szCs w:val="16"/>
          <w:rtl/>
        </w:rPr>
        <w:t xml:space="preserve"> </w:t>
      </w:r>
      <w:r w:rsidRPr="00592D51">
        <w:rPr>
          <w:rFonts w:cs="Arial"/>
          <w:rtl/>
        </w:rPr>
        <w:t xml:space="preserve">מרדכי </w:t>
      </w:r>
      <w:r w:rsidRPr="001D3151">
        <w:rPr>
          <w:rFonts w:cs="Arial"/>
          <w:sz w:val="16"/>
          <w:szCs w:val="16"/>
          <w:rtl/>
        </w:rPr>
        <w:t xml:space="preserve">(סי' תרמ) </w:t>
      </w:r>
      <w:r>
        <w:rPr>
          <w:rFonts w:cs="Arial" w:hint="cs"/>
          <w:rtl/>
        </w:rPr>
        <w:t>רא"ש</w:t>
      </w:r>
      <w:r w:rsidRPr="00592D51">
        <w:rPr>
          <w:rFonts w:cs="Arial"/>
          <w:rtl/>
        </w:rPr>
        <w:t xml:space="preserve"> </w:t>
      </w:r>
      <w:r w:rsidRPr="001D3151">
        <w:rPr>
          <w:rFonts w:cs="Arial"/>
          <w:sz w:val="16"/>
          <w:szCs w:val="16"/>
          <w:rtl/>
        </w:rPr>
        <w:t>(</w:t>
      </w:r>
      <w:r w:rsidRPr="001D3151">
        <w:rPr>
          <w:rFonts w:cs="Arial" w:hint="cs"/>
          <w:sz w:val="16"/>
          <w:szCs w:val="16"/>
          <w:rtl/>
        </w:rPr>
        <w:t xml:space="preserve">חולין פ"ג </w:t>
      </w:r>
      <w:r w:rsidRPr="001D3151">
        <w:rPr>
          <w:rFonts w:cs="Arial"/>
          <w:sz w:val="16"/>
          <w:szCs w:val="16"/>
          <w:rtl/>
        </w:rPr>
        <w:t>סי' סא)</w:t>
      </w:r>
      <w:r w:rsidRPr="001D3151">
        <w:rPr>
          <w:rFonts w:cs="Arial" w:hint="cs"/>
          <w:sz w:val="16"/>
          <w:szCs w:val="16"/>
          <w:rtl/>
        </w:rPr>
        <w:t xml:space="preserve"> </w:t>
      </w:r>
      <w:r>
        <w:rPr>
          <w:rFonts w:cs="Arial"/>
          <w:rtl/>
        </w:rPr>
        <w:t>הג"א</w:t>
      </w:r>
      <w:r>
        <w:rPr>
          <w:rFonts w:cs="Arial" w:hint="cs"/>
          <w:rtl/>
        </w:rPr>
        <w:t xml:space="preserve"> </w:t>
      </w:r>
      <w:r w:rsidRPr="001D3151">
        <w:rPr>
          <w:rFonts w:cs="Arial"/>
          <w:sz w:val="16"/>
          <w:szCs w:val="16"/>
          <w:rtl/>
        </w:rPr>
        <w:t>(</w:t>
      </w:r>
      <w:r w:rsidRPr="001D3151">
        <w:rPr>
          <w:rFonts w:cs="Arial" w:hint="cs"/>
          <w:sz w:val="16"/>
          <w:szCs w:val="16"/>
          <w:rtl/>
        </w:rPr>
        <w:t xml:space="preserve">ע"ז </w:t>
      </w:r>
      <w:r w:rsidRPr="001D3151">
        <w:rPr>
          <w:rFonts w:cs="Arial"/>
          <w:sz w:val="16"/>
          <w:szCs w:val="16"/>
          <w:rtl/>
        </w:rPr>
        <w:t>סי' כט)</w:t>
      </w:r>
      <w:r w:rsidRPr="001D3151">
        <w:rPr>
          <w:rFonts w:cs="Arial" w:hint="cs"/>
          <w:sz w:val="16"/>
          <w:szCs w:val="16"/>
          <w:rtl/>
        </w:rPr>
        <w:t xml:space="preserve"> </w:t>
      </w:r>
      <w:r>
        <w:rPr>
          <w:rFonts w:cs="Arial" w:hint="cs"/>
          <w:rtl/>
        </w:rPr>
        <w:t>ואו</w:t>
      </w:r>
      <w:r>
        <w:rPr>
          <w:rFonts w:cs="Arial"/>
          <w:rtl/>
        </w:rPr>
        <w:t>"</w:t>
      </w:r>
      <w:r>
        <w:rPr>
          <w:rFonts w:cs="Arial" w:hint="cs"/>
          <w:rtl/>
        </w:rPr>
        <w:t>ה</w:t>
      </w:r>
      <w:r w:rsidRPr="00592D51">
        <w:rPr>
          <w:rFonts w:cs="Arial"/>
          <w:rtl/>
        </w:rPr>
        <w:t xml:space="preserve"> </w:t>
      </w:r>
      <w:r w:rsidRPr="001D3151">
        <w:rPr>
          <w:rFonts w:cs="Arial"/>
          <w:sz w:val="16"/>
          <w:szCs w:val="16"/>
          <w:rtl/>
        </w:rPr>
        <w:t>(כלל מ</w:t>
      </w:r>
      <w:r>
        <w:rPr>
          <w:rFonts w:cs="Arial"/>
          <w:sz w:val="16"/>
          <w:szCs w:val="16"/>
          <w:rtl/>
        </w:rPr>
        <w:t>ד ד</w:t>
      </w:r>
      <w:r>
        <w:rPr>
          <w:rFonts w:cs="Arial" w:hint="cs"/>
          <w:sz w:val="16"/>
          <w:szCs w:val="16"/>
          <w:rtl/>
        </w:rPr>
        <w:t>"</w:t>
      </w:r>
      <w:r w:rsidRPr="001D3151">
        <w:rPr>
          <w:rFonts w:cs="Arial"/>
          <w:sz w:val="16"/>
          <w:szCs w:val="16"/>
          <w:rtl/>
        </w:rPr>
        <w:t>ז)</w:t>
      </w:r>
      <w:r>
        <w:rPr>
          <w:rFonts w:cs="Arial" w:hint="cs"/>
          <w:rtl/>
        </w:rPr>
        <w:t>.</w:t>
      </w:r>
    </w:p>
  </w:footnote>
  <w:footnote w:id="2662">
    <w:p w14:paraId="16711B85" w14:textId="77777777" w:rsidR="004C5A3C" w:rsidRDefault="004C5A3C" w:rsidP="002C39F4">
      <w:pPr>
        <w:pStyle w:val="a5"/>
      </w:pPr>
      <w:r>
        <w:rPr>
          <w:rStyle w:val="a7"/>
        </w:rPr>
        <w:footnoteRef/>
      </w:r>
      <w:r>
        <w:rPr>
          <w:rtl/>
        </w:rPr>
        <w:t xml:space="preserve"> </w:t>
      </w:r>
      <w:r w:rsidRPr="00592D51">
        <w:rPr>
          <w:rFonts w:cs="Arial"/>
          <w:rtl/>
        </w:rPr>
        <w:t xml:space="preserve">דכתבו </w:t>
      </w:r>
      <w:r>
        <w:rPr>
          <w:rFonts w:cs="Arial" w:hint="cs"/>
          <w:sz w:val="16"/>
          <w:szCs w:val="16"/>
          <w:rtl/>
        </w:rPr>
        <w:t xml:space="preserve">{כל הני רבוותא} </w:t>
      </w:r>
      <w:r w:rsidRPr="00592D51">
        <w:rPr>
          <w:rFonts w:cs="Arial"/>
          <w:rtl/>
        </w:rPr>
        <w:t>אהא שריותא דפת שנילוש בביצים</w:t>
      </w:r>
      <w:r>
        <w:rPr>
          <w:rFonts w:cs="Arial" w:hint="cs"/>
          <w:rtl/>
        </w:rPr>
        <w:t>,</w:t>
      </w:r>
      <w:r w:rsidRPr="00592D51">
        <w:rPr>
          <w:rFonts w:cs="Arial"/>
          <w:rtl/>
        </w:rPr>
        <w:t xml:space="preserve"> ו</w:t>
      </w:r>
      <w:r>
        <w:rPr>
          <w:rFonts w:cs="Arial" w:hint="cs"/>
          <w:rtl/>
        </w:rPr>
        <w:t>כ' ד</w:t>
      </w:r>
      <w:r w:rsidRPr="00592D51">
        <w:rPr>
          <w:rFonts w:cs="Arial"/>
          <w:rtl/>
        </w:rPr>
        <w:t>לא דמי לשמנונית דגים שעל הפשטיד"א</w:t>
      </w:r>
      <w:r>
        <w:rPr>
          <w:rFonts w:cs="Arial" w:hint="cs"/>
          <w:rtl/>
        </w:rPr>
        <w:t>,</w:t>
      </w:r>
      <w:r w:rsidRPr="00592D51">
        <w:rPr>
          <w:rFonts w:cs="Arial"/>
          <w:rtl/>
        </w:rPr>
        <w:t xml:space="preserve"> משום דהביצים נתערבו ונתבטלו בעיסה קודם שנאסרו משום בישולי גוי</w:t>
      </w:r>
      <w:r>
        <w:rPr>
          <w:rFonts w:cs="Arial"/>
          <w:rtl/>
        </w:rPr>
        <w:t>ם משא</w:t>
      </w:r>
      <w:r>
        <w:rPr>
          <w:rFonts w:cs="Arial" w:hint="cs"/>
          <w:rtl/>
        </w:rPr>
        <w:t>"</w:t>
      </w:r>
      <w:r>
        <w:rPr>
          <w:rFonts w:cs="Arial"/>
          <w:rtl/>
        </w:rPr>
        <w:t>כ</w:t>
      </w:r>
      <w:r w:rsidRPr="00592D51">
        <w:rPr>
          <w:rFonts w:cs="Arial"/>
          <w:rtl/>
        </w:rPr>
        <w:t xml:space="preserve"> פשטיד"א דהשמנונית בעין על העיסה וגם נאסר תחלה משום בישולי גוים ואח"כ נבלע בעיסת הפשטיד"א עכ"ל</w:t>
      </w:r>
      <w:r>
        <w:rPr>
          <w:rFonts w:cs="Arial" w:hint="cs"/>
          <w:rtl/>
        </w:rPr>
        <w:t>,</w:t>
      </w:r>
      <w:r w:rsidRPr="00592D51">
        <w:rPr>
          <w:rFonts w:cs="Arial"/>
          <w:rtl/>
        </w:rPr>
        <w:t xml:space="preserve"> משמע דאם הביצים ניכרין בעין על הפת נמי אסור</w:t>
      </w:r>
      <w:r>
        <w:rPr>
          <w:rFonts w:cs="Arial" w:hint="cs"/>
          <w:rtl/>
        </w:rPr>
        <w:t xml:space="preserve">... </w:t>
      </w:r>
      <w:r w:rsidRPr="00592D51">
        <w:rPr>
          <w:rFonts w:cs="Arial"/>
          <w:rtl/>
        </w:rPr>
        <w:t>וכן נוהגין ליזהר</w:t>
      </w:r>
      <w:r>
        <w:rPr>
          <w:rFonts w:cs="Arial" w:hint="cs"/>
          <w:rtl/>
        </w:rPr>
        <w:t>..., דרכ"מ</w:t>
      </w:r>
      <w:r w:rsidRPr="001D3151">
        <w:rPr>
          <w:rFonts w:cs="Arial" w:hint="cs"/>
          <w:sz w:val="16"/>
          <w:szCs w:val="16"/>
          <w:rtl/>
        </w:rPr>
        <w:t xml:space="preserve"> (אות ח)</w:t>
      </w:r>
      <w:r>
        <w:rPr>
          <w:rFonts w:cs="Arial" w:hint="cs"/>
          <w:rtl/>
        </w:rPr>
        <w:t>.</w:t>
      </w:r>
    </w:p>
  </w:footnote>
  <w:footnote w:id="2663">
    <w:p w14:paraId="0C396807" w14:textId="77777777" w:rsidR="004C5A3C" w:rsidRDefault="004C5A3C" w:rsidP="002C39F4">
      <w:pPr>
        <w:pStyle w:val="a5"/>
      </w:pPr>
      <w:r>
        <w:rPr>
          <w:rStyle w:val="a7"/>
        </w:rPr>
        <w:footnoteRef/>
      </w:r>
      <w:r>
        <w:rPr>
          <w:rtl/>
        </w:rPr>
        <w:t xml:space="preserve"> </w:t>
      </w:r>
      <w:r>
        <w:rPr>
          <w:rFonts w:cs="Arial" w:hint="cs"/>
          <w:rtl/>
        </w:rPr>
        <w:t xml:space="preserve">וכ"פ </w:t>
      </w:r>
      <w:r>
        <w:rPr>
          <w:rFonts w:cs="Arial"/>
          <w:rtl/>
        </w:rPr>
        <w:t>שע</w:t>
      </w:r>
      <w:r>
        <w:rPr>
          <w:rFonts w:cs="Arial" w:hint="cs"/>
          <w:rtl/>
        </w:rPr>
        <w:t>"</w:t>
      </w:r>
      <w:r>
        <w:rPr>
          <w:rFonts w:cs="Arial"/>
          <w:rtl/>
        </w:rPr>
        <w:t>ד</w:t>
      </w:r>
      <w:r w:rsidRPr="0075456D">
        <w:rPr>
          <w:rFonts w:cs="Arial"/>
          <w:rtl/>
        </w:rPr>
        <w:t xml:space="preserve"> </w:t>
      </w:r>
      <w:r w:rsidRPr="00E20D39">
        <w:rPr>
          <w:rFonts w:cs="Arial"/>
          <w:sz w:val="16"/>
          <w:szCs w:val="16"/>
          <w:rtl/>
        </w:rPr>
        <w:t>(סי' סט)</w:t>
      </w:r>
      <w:r>
        <w:rPr>
          <w:rFonts w:cs="Arial" w:hint="cs"/>
          <w:rtl/>
        </w:rPr>
        <w:t xml:space="preserve"> משום ד</w:t>
      </w:r>
      <w:r w:rsidRPr="0075456D">
        <w:rPr>
          <w:rFonts w:cs="Arial"/>
          <w:rtl/>
        </w:rPr>
        <w:t>גובלא בעלמא הוא ואינה בגזירת הפת דהא מברכין עלייהו בורא מיני מזונ</w:t>
      </w:r>
      <w:r>
        <w:rPr>
          <w:rFonts w:cs="Arial"/>
          <w:rtl/>
        </w:rPr>
        <w:t>ות ו</w:t>
      </w:r>
      <w:r>
        <w:rPr>
          <w:rFonts w:cs="Arial" w:hint="cs"/>
          <w:rtl/>
        </w:rPr>
        <w:t xml:space="preserve">לכן </w:t>
      </w:r>
      <w:r>
        <w:rPr>
          <w:rFonts w:cs="Arial"/>
          <w:rtl/>
        </w:rPr>
        <w:t>אסורים</w:t>
      </w:r>
      <w:r>
        <w:rPr>
          <w:rFonts w:cs="Arial" w:hint="cs"/>
          <w:rtl/>
        </w:rPr>
        <w:t>.</w:t>
      </w:r>
    </w:p>
  </w:footnote>
  <w:footnote w:id="2664">
    <w:p w14:paraId="11589C8D" w14:textId="77777777" w:rsidR="004C5A3C" w:rsidRDefault="004C5A3C" w:rsidP="002C39F4">
      <w:pPr>
        <w:pStyle w:val="a5"/>
      </w:pPr>
      <w:r>
        <w:rPr>
          <w:rStyle w:val="a7"/>
        </w:rPr>
        <w:footnoteRef/>
      </w:r>
      <w:r>
        <w:rPr>
          <w:rtl/>
        </w:rPr>
        <w:t xml:space="preserve"> </w:t>
      </w:r>
      <w:r w:rsidRPr="009E2D45">
        <w:rPr>
          <w:rFonts w:cs="Arial"/>
          <w:rtl/>
        </w:rPr>
        <w:t>דוקא שבלילתן עבה ויש בהן תואר לחם</w:t>
      </w:r>
      <w:r>
        <w:rPr>
          <w:rFonts w:cs="Arial" w:hint="cs"/>
          <w:rtl/>
        </w:rPr>
        <w:t>,</w:t>
      </w:r>
      <w:r w:rsidRPr="009E2D45">
        <w:rPr>
          <w:rFonts w:cs="Arial"/>
          <w:rtl/>
        </w:rPr>
        <w:t xml:space="preserve"> כ"כ בת"ח </w:t>
      </w:r>
      <w:r>
        <w:rPr>
          <w:rFonts w:cs="Arial" w:hint="cs"/>
          <w:rtl/>
        </w:rPr>
        <w:t>(</w:t>
      </w:r>
      <w:r>
        <w:rPr>
          <w:rFonts w:cs="Arial"/>
          <w:rtl/>
        </w:rPr>
        <w:t>שם ד</w:t>
      </w:r>
      <w:r w:rsidRPr="009E2D45">
        <w:rPr>
          <w:rFonts w:cs="Arial"/>
          <w:rtl/>
        </w:rPr>
        <w:t>י"ב</w:t>
      </w:r>
      <w:r>
        <w:rPr>
          <w:rFonts w:cs="Arial" w:hint="cs"/>
          <w:rtl/>
        </w:rPr>
        <w:t>)</w:t>
      </w:r>
      <w:r w:rsidRPr="009E2D45">
        <w:rPr>
          <w:rFonts w:cs="Arial"/>
          <w:rtl/>
        </w:rPr>
        <w:t xml:space="preserve"> ע"ש</w:t>
      </w:r>
      <w:r>
        <w:rPr>
          <w:rFonts w:cs="Arial" w:hint="cs"/>
          <w:rtl/>
        </w:rPr>
        <w:t>, ש"ך (סקט"ו).</w:t>
      </w:r>
    </w:p>
  </w:footnote>
  <w:footnote w:id="2665">
    <w:p w14:paraId="0F7A960E" w14:textId="77777777" w:rsidR="004C5A3C" w:rsidRDefault="004C5A3C" w:rsidP="002C39F4">
      <w:pPr>
        <w:pStyle w:val="a5"/>
        <w:rPr>
          <w:rtl/>
        </w:rPr>
      </w:pPr>
      <w:r>
        <w:rPr>
          <w:rStyle w:val="a7"/>
        </w:rPr>
        <w:footnoteRef/>
      </w:r>
      <w:r>
        <w:rPr>
          <w:rtl/>
        </w:rPr>
        <w:t xml:space="preserve"> </w:t>
      </w:r>
      <w:r w:rsidRPr="009E2D45">
        <w:rPr>
          <w:rFonts w:cs="Arial"/>
          <w:rtl/>
        </w:rPr>
        <w:t>כיון דאי קבע עלייהו סעודה מברך המוציא ע"כ דינם כפת ממש</w:t>
      </w:r>
      <w:r>
        <w:rPr>
          <w:rFonts w:hint="cs"/>
          <w:rtl/>
        </w:rPr>
        <w:t>, ט"ז (סק"ו).</w:t>
      </w:r>
    </w:p>
  </w:footnote>
  <w:footnote w:id="2666">
    <w:p w14:paraId="6CDB5FD7" w14:textId="77777777" w:rsidR="004C5A3C" w:rsidRDefault="004C5A3C" w:rsidP="002C39F4">
      <w:pPr>
        <w:pStyle w:val="a5"/>
      </w:pPr>
      <w:r>
        <w:rPr>
          <w:rStyle w:val="a7"/>
        </w:rPr>
        <w:footnoteRef/>
      </w:r>
      <w:r>
        <w:rPr>
          <w:rtl/>
        </w:rPr>
        <w:t xml:space="preserve"> </w:t>
      </w:r>
      <w:r>
        <w:rPr>
          <w:rFonts w:cs="Arial" w:hint="cs"/>
          <w:rtl/>
        </w:rPr>
        <w:t>ראב</w:t>
      </w:r>
      <w:r>
        <w:rPr>
          <w:rFonts w:cs="Arial"/>
          <w:rtl/>
        </w:rPr>
        <w:t>"ד</w:t>
      </w:r>
      <w:r w:rsidRPr="009506B9">
        <w:rPr>
          <w:rFonts w:cs="Arial"/>
          <w:rtl/>
        </w:rPr>
        <w:t xml:space="preserve"> </w:t>
      </w:r>
      <w:r w:rsidRPr="007E1FFE">
        <w:rPr>
          <w:rFonts w:cs="Arial"/>
          <w:sz w:val="16"/>
          <w:szCs w:val="16"/>
          <w:rtl/>
        </w:rPr>
        <w:t>(לח: ד"ה הלכך</w:t>
      </w:r>
      <w:r w:rsidRPr="007E1FFE">
        <w:rPr>
          <w:rFonts w:cs="Arial" w:hint="cs"/>
          <w:sz w:val="16"/>
          <w:szCs w:val="16"/>
          <w:rtl/>
        </w:rPr>
        <w:t>, להב' הרשב"א והר"ן</w:t>
      </w:r>
      <w:r w:rsidRPr="007E1FFE">
        <w:rPr>
          <w:rFonts w:cs="Arial"/>
          <w:sz w:val="16"/>
          <w:szCs w:val="16"/>
          <w:rtl/>
        </w:rPr>
        <w:t xml:space="preserve">) </w:t>
      </w:r>
      <w:r>
        <w:rPr>
          <w:rFonts w:cs="Arial"/>
          <w:rtl/>
        </w:rPr>
        <w:t xml:space="preserve">רשב"א </w:t>
      </w:r>
      <w:r w:rsidRPr="007E1FFE">
        <w:rPr>
          <w:rFonts w:cs="Arial" w:hint="cs"/>
          <w:sz w:val="16"/>
          <w:szCs w:val="16"/>
          <w:rtl/>
        </w:rPr>
        <w:t xml:space="preserve">(תוה"ק </w:t>
      </w:r>
      <w:r w:rsidRPr="007E1FFE">
        <w:rPr>
          <w:rFonts w:cs="Arial"/>
          <w:sz w:val="16"/>
          <w:szCs w:val="16"/>
          <w:rtl/>
        </w:rPr>
        <w:t xml:space="preserve">ב"ג ש"ז צג. ארוך צב:) </w:t>
      </w:r>
      <w:r>
        <w:rPr>
          <w:rFonts w:cs="Arial"/>
          <w:rtl/>
        </w:rPr>
        <w:t xml:space="preserve">רא"ש </w:t>
      </w:r>
      <w:r w:rsidRPr="007E1FFE">
        <w:rPr>
          <w:rFonts w:cs="Arial" w:hint="cs"/>
          <w:sz w:val="16"/>
          <w:szCs w:val="16"/>
          <w:rtl/>
        </w:rPr>
        <w:t>(בתשו'</w:t>
      </w:r>
      <w:r w:rsidRPr="007E1FFE">
        <w:rPr>
          <w:sz w:val="16"/>
          <w:szCs w:val="16"/>
          <w:rtl/>
        </w:rPr>
        <w:t xml:space="preserve"> </w:t>
      </w:r>
      <w:r w:rsidRPr="007E1FFE">
        <w:rPr>
          <w:rFonts w:cs="Arial"/>
          <w:sz w:val="16"/>
          <w:szCs w:val="16"/>
          <w:rtl/>
        </w:rPr>
        <w:t>כלל יט סי</w:t>
      </w:r>
      <w:r w:rsidRPr="007E1FFE">
        <w:rPr>
          <w:rFonts w:cs="Arial" w:hint="cs"/>
          <w:sz w:val="16"/>
          <w:szCs w:val="16"/>
          <w:rtl/>
        </w:rPr>
        <w:t>'</w:t>
      </w:r>
      <w:r w:rsidRPr="007E1FFE">
        <w:rPr>
          <w:rFonts w:cs="Arial"/>
          <w:sz w:val="16"/>
          <w:szCs w:val="16"/>
          <w:rtl/>
        </w:rPr>
        <w:t xml:space="preserve"> כא</w:t>
      </w:r>
      <w:r w:rsidRPr="007E1FFE">
        <w:rPr>
          <w:rFonts w:cs="Arial" w:hint="cs"/>
          <w:sz w:val="16"/>
          <w:szCs w:val="16"/>
          <w:rtl/>
        </w:rPr>
        <w:t>)</w:t>
      </w:r>
      <w:r w:rsidRPr="009506B9">
        <w:rPr>
          <w:rFonts w:cs="Arial"/>
          <w:rtl/>
        </w:rPr>
        <w:t xml:space="preserve"> </w:t>
      </w:r>
      <w:r>
        <w:rPr>
          <w:rFonts w:hint="cs"/>
          <w:rtl/>
        </w:rPr>
        <w:t>טור</w:t>
      </w:r>
      <w:r>
        <w:rPr>
          <w:rFonts w:cs="Arial"/>
          <w:rtl/>
        </w:rPr>
        <w:t xml:space="preserve"> ו</w:t>
      </w:r>
      <w:r w:rsidRPr="009506B9">
        <w:rPr>
          <w:rFonts w:cs="Arial"/>
          <w:rtl/>
        </w:rPr>
        <w:t xml:space="preserve">ר"ן </w:t>
      </w:r>
      <w:r w:rsidRPr="007E1FFE">
        <w:rPr>
          <w:rFonts w:cs="Arial"/>
          <w:sz w:val="16"/>
          <w:szCs w:val="16"/>
          <w:rtl/>
        </w:rPr>
        <w:t>(</w:t>
      </w:r>
      <w:r w:rsidRPr="007E1FFE">
        <w:rPr>
          <w:rFonts w:cs="Arial" w:hint="cs"/>
          <w:sz w:val="16"/>
          <w:szCs w:val="16"/>
          <w:rtl/>
        </w:rPr>
        <w:t xml:space="preserve">ע"ז </w:t>
      </w:r>
      <w:r w:rsidRPr="007E1FFE">
        <w:rPr>
          <w:rFonts w:cs="Arial"/>
          <w:sz w:val="16"/>
          <w:szCs w:val="16"/>
          <w:rtl/>
        </w:rPr>
        <w:t>יד: סוף דיבור ראשון)</w:t>
      </w:r>
      <w:r>
        <w:rPr>
          <w:rFonts w:cs="Arial" w:hint="cs"/>
          <w:rtl/>
        </w:rPr>
        <w:t>.</w:t>
      </w:r>
    </w:p>
  </w:footnote>
  <w:footnote w:id="2667">
    <w:p w14:paraId="36F8A342" w14:textId="77777777" w:rsidR="004C5A3C" w:rsidRDefault="004C5A3C" w:rsidP="002C39F4">
      <w:pPr>
        <w:pStyle w:val="a5"/>
        <w:rPr>
          <w:rtl/>
        </w:rPr>
      </w:pPr>
      <w:r>
        <w:rPr>
          <w:rStyle w:val="a7"/>
        </w:rPr>
        <w:footnoteRef/>
      </w:r>
      <w:r>
        <w:rPr>
          <w:rtl/>
        </w:rPr>
        <w:t xml:space="preserve"> </w:t>
      </w:r>
      <w:r w:rsidRPr="009506B9">
        <w:rPr>
          <w:rFonts w:cs="Arial"/>
          <w:rtl/>
        </w:rPr>
        <w:t>והביאו</w:t>
      </w:r>
      <w:r>
        <w:rPr>
          <w:rFonts w:cs="Arial" w:hint="cs"/>
          <w:sz w:val="16"/>
          <w:szCs w:val="16"/>
          <w:rtl/>
        </w:rPr>
        <w:t xml:space="preserve"> {הרשב"א והר"ן}</w:t>
      </w:r>
      <w:r w:rsidRPr="009506B9">
        <w:rPr>
          <w:rFonts w:cs="Arial"/>
          <w:rtl/>
        </w:rPr>
        <w:t xml:space="preserve"> ראיה לד</w:t>
      </w:r>
      <w:r>
        <w:rPr>
          <w:rFonts w:cs="Arial"/>
          <w:rtl/>
        </w:rPr>
        <w:t>בר מדאמרינן בפרק השוכר את ה</w:t>
      </w:r>
      <w:r>
        <w:rPr>
          <w:rFonts w:cs="Arial" w:hint="cs"/>
          <w:rtl/>
        </w:rPr>
        <w:t xml:space="preserve">פועל </w:t>
      </w:r>
      <w:r w:rsidRPr="009506B9">
        <w:rPr>
          <w:rFonts w:cs="Arial"/>
          <w:rtl/>
        </w:rPr>
        <w:t>(ע"ז סה:) ההוא ביתא דחטי דנפל עליה חביתא דיין נסך שרייה רבא למטחנא ולמיפא ולזבוניה לגוים שלא בפני ישראל הא בפני ישראל אסור לפי שישראל שראה שמישראל היה אף הוא יקחנו מן הגוי אלמא בתר תחלתו אזלינן</w:t>
      </w:r>
      <w:r>
        <w:rPr>
          <w:rFonts w:cs="Arial" w:hint="cs"/>
          <w:rtl/>
        </w:rPr>
        <w:t>,</w:t>
      </w:r>
      <w:r w:rsidRPr="009506B9">
        <w:rPr>
          <w:rFonts w:cs="Arial"/>
          <w:rtl/>
        </w:rPr>
        <w:t xml:space="preserve"> ואף בפת פלטר שבא ליד בעל הבית הוא הדין והוא הטעם דבתר תחלתו אזלינן ומינה לפת בעל הבית שבא לידו של פלטר שאסור ללקחו מן הפלטר</w:t>
      </w:r>
      <w:r>
        <w:rPr>
          <w:rFonts w:cs="Arial" w:hint="cs"/>
          <w:rtl/>
        </w:rPr>
        <w:t>,</w:t>
      </w:r>
      <w:r>
        <w:rPr>
          <w:rFonts w:cs="Arial"/>
          <w:rtl/>
        </w:rPr>
        <w:t xml:space="preserve"> וכ</w:t>
      </w:r>
      <w:r>
        <w:rPr>
          <w:rFonts w:cs="Arial" w:hint="cs"/>
          <w:rtl/>
        </w:rPr>
        <w:t>'</w:t>
      </w:r>
      <w:r w:rsidRPr="009506B9">
        <w:rPr>
          <w:rFonts w:cs="Arial"/>
          <w:rtl/>
        </w:rPr>
        <w:t xml:space="preserve"> הר"ן שאע"פ שיש חולקים על הרשב"א כדבריו נ"ל עיקר</w:t>
      </w:r>
      <w:r>
        <w:rPr>
          <w:rFonts w:cs="Arial" w:hint="cs"/>
          <w:rtl/>
        </w:rPr>
        <w:t>, ב"י.</w:t>
      </w:r>
    </w:p>
  </w:footnote>
  <w:footnote w:id="2668">
    <w:p w14:paraId="7B9BE108" w14:textId="77777777" w:rsidR="004C5A3C" w:rsidRDefault="004C5A3C" w:rsidP="002C39F4">
      <w:pPr>
        <w:pStyle w:val="a5"/>
        <w:rPr>
          <w:rtl/>
        </w:rPr>
      </w:pPr>
      <w:r>
        <w:rPr>
          <w:rStyle w:val="a7"/>
        </w:rPr>
        <w:footnoteRef/>
      </w:r>
      <w:r>
        <w:rPr>
          <w:rtl/>
        </w:rPr>
        <w:t xml:space="preserve"> </w:t>
      </w:r>
      <w:r>
        <w:rPr>
          <w:rFonts w:hint="cs"/>
          <w:rtl/>
        </w:rPr>
        <w:t xml:space="preserve">כתב הרא"ה וז"ל- </w:t>
      </w:r>
      <w:r w:rsidRPr="004D2534">
        <w:rPr>
          <w:rtl/>
        </w:rPr>
        <w:t>פת פלטר הרי הוא כפתו של נכרי אחר</w:t>
      </w:r>
      <w:r w:rsidRPr="004D2534">
        <w:rPr>
          <w:rFonts w:hint="cs"/>
          <w:rtl/>
        </w:rPr>
        <w:t>,</w:t>
      </w:r>
      <w:r w:rsidRPr="004D2534">
        <w:rPr>
          <w:rtl/>
        </w:rPr>
        <w:t xml:space="preserve"> ואפייתו באיסור כשל נכרי אחר</w:t>
      </w:r>
      <w:r w:rsidRPr="004D2534">
        <w:rPr>
          <w:rFonts w:hint="cs"/>
          <w:rtl/>
        </w:rPr>
        <w:t>,</w:t>
      </w:r>
      <w:r w:rsidRPr="004D2534">
        <w:rPr>
          <w:rtl/>
        </w:rPr>
        <w:t xml:space="preserve"> אלא שמידו התירו</w:t>
      </w:r>
      <w:r w:rsidRPr="004D2534">
        <w:rPr>
          <w:rFonts w:hint="cs"/>
          <w:rtl/>
        </w:rPr>
        <w:t>,</w:t>
      </w:r>
      <w:r w:rsidRPr="004D2534">
        <w:rPr>
          <w:rtl/>
        </w:rPr>
        <w:t xml:space="preserve"> נמצא שאין אפייתו מתרת אלא מכירתו על ידו של פלטר היא המתרת</w:t>
      </w:r>
      <w:r w:rsidRPr="004D2534">
        <w:rPr>
          <w:rFonts w:hint="cs"/>
          <w:rtl/>
        </w:rPr>
        <w:t>,</w:t>
      </w:r>
      <w:r w:rsidRPr="004D2534">
        <w:rPr>
          <w:rtl/>
        </w:rPr>
        <w:t xml:space="preserve"> שכיון שאין כוונתו אלא להשתכר במכירתו אין כאן כל כך קירוב והתירוה מפני חיי נפש כדאיתא בירושלמי</w:t>
      </w:r>
      <w:r w:rsidRPr="004D2534">
        <w:rPr>
          <w:rFonts w:hint="cs"/>
          <w:rtl/>
        </w:rPr>
        <w:t>,</w:t>
      </w:r>
      <w:r w:rsidRPr="004D2534">
        <w:rPr>
          <w:rtl/>
        </w:rPr>
        <w:t xml:space="preserve"> הילכך</w:t>
      </w:r>
      <w:r>
        <w:rPr>
          <w:rFonts w:hint="cs"/>
          <w:rtl/>
        </w:rPr>
        <w:t>-...</w:t>
      </w:r>
    </w:p>
  </w:footnote>
  <w:footnote w:id="2669">
    <w:p w14:paraId="2614E9BE" w14:textId="77777777" w:rsidR="004C5A3C" w:rsidRDefault="004C5A3C" w:rsidP="002C39F4">
      <w:pPr>
        <w:pStyle w:val="a5"/>
      </w:pPr>
      <w:r>
        <w:rPr>
          <w:rStyle w:val="a7"/>
        </w:rPr>
        <w:footnoteRef/>
      </w:r>
      <w:r>
        <w:rPr>
          <w:rtl/>
        </w:rPr>
        <w:t xml:space="preserve"> </w:t>
      </w:r>
      <w:r>
        <w:rPr>
          <w:rFonts w:cs="Arial" w:hint="cs"/>
          <w:rtl/>
        </w:rPr>
        <w:t xml:space="preserve">ונשאל </w:t>
      </w:r>
      <w:r w:rsidRPr="009506B9">
        <w:rPr>
          <w:rFonts w:cs="Arial"/>
          <w:rtl/>
        </w:rPr>
        <w:t xml:space="preserve">מהרי"ל </w:t>
      </w:r>
      <w:r w:rsidRPr="00AB6CCE">
        <w:rPr>
          <w:rFonts w:cs="Arial" w:hint="cs"/>
          <w:sz w:val="16"/>
          <w:szCs w:val="16"/>
          <w:rtl/>
        </w:rPr>
        <w:t>(</w:t>
      </w:r>
      <w:r w:rsidRPr="00AB6CCE">
        <w:rPr>
          <w:rFonts w:cs="Arial"/>
          <w:sz w:val="16"/>
          <w:szCs w:val="16"/>
          <w:rtl/>
        </w:rPr>
        <w:t>סי' קנז אות ד</w:t>
      </w:r>
      <w:r w:rsidRPr="00AB6CCE">
        <w:rPr>
          <w:rFonts w:cs="Arial" w:hint="cs"/>
          <w:sz w:val="16"/>
          <w:szCs w:val="16"/>
          <w:rtl/>
        </w:rPr>
        <w:t xml:space="preserve">, הביאו הב"י בשם </w:t>
      </w:r>
      <w:r w:rsidRPr="00AB6CCE">
        <w:rPr>
          <w:rFonts w:cs="Arial"/>
          <w:sz w:val="16"/>
          <w:szCs w:val="16"/>
          <w:rtl/>
        </w:rPr>
        <w:t>תשובה אשכנזית)</w:t>
      </w:r>
      <w:r>
        <w:rPr>
          <w:rFonts w:cs="Arial" w:hint="cs"/>
          <w:rtl/>
        </w:rPr>
        <w:t xml:space="preserve"> האם ההיתר הוא לגבי פת פלטר או אף לגבי פת בעה"ב, וז"ל בתשובה- </w:t>
      </w:r>
      <w:r w:rsidRPr="00AB6CCE">
        <w:rPr>
          <w:rFonts w:cs="Arial"/>
          <w:rtl/>
        </w:rPr>
        <w:t xml:space="preserve">מאן </w:t>
      </w:r>
      <w:r>
        <w:rPr>
          <w:rFonts w:cs="Arial"/>
          <w:rtl/>
        </w:rPr>
        <w:t>דמשוה פתן של גוים לדמאי היינו</w:t>
      </w:r>
      <w:r w:rsidRPr="00AB6CCE">
        <w:rPr>
          <w:rFonts w:cs="Arial"/>
          <w:rtl/>
        </w:rPr>
        <w:t xml:space="preserve"> דלא חמיר ליה גזירת י"ח דברים טפי מגזירת דמאי, וכל עיקר גזירת פתן של גוים לא חמיר מדמאי דלית ביה שום עמעום</w:t>
      </w:r>
      <w:r>
        <w:rPr>
          <w:rFonts w:cs="Arial" w:hint="cs"/>
          <w:rtl/>
        </w:rPr>
        <w:t>,</w:t>
      </w:r>
      <w:r w:rsidRPr="00AB6CCE">
        <w:rPr>
          <w:rFonts w:cs="Arial"/>
          <w:rtl/>
        </w:rPr>
        <w:t xml:space="preserve"> ומהלך בדרך חשיב ליה כאכסניא וכעני </w:t>
      </w:r>
      <w:r>
        <w:rPr>
          <w:rFonts w:cs="Arial" w:hint="cs"/>
          <w:sz w:val="16"/>
          <w:szCs w:val="16"/>
          <w:rtl/>
        </w:rPr>
        <w:t>(</w:t>
      </w:r>
      <w:r w:rsidRPr="00AB6CCE">
        <w:rPr>
          <w:rFonts w:cs="Arial"/>
          <w:sz w:val="16"/>
          <w:szCs w:val="16"/>
          <w:rtl/>
        </w:rPr>
        <w:t>כמו בעל הבית העובר ממקום למקום וכו' בפרק הזרוע</w:t>
      </w:r>
      <w:r w:rsidRPr="00AB6CCE">
        <w:rPr>
          <w:rFonts w:cs="Arial" w:hint="cs"/>
          <w:sz w:val="16"/>
          <w:szCs w:val="16"/>
          <w:rtl/>
        </w:rPr>
        <w:t>)</w:t>
      </w:r>
      <w:r>
        <w:rPr>
          <w:rFonts w:cs="Arial" w:hint="cs"/>
          <w:rtl/>
        </w:rPr>
        <w:t>. עכ"ל. וכ' הב"י דרצון מהרי"ל לומר ד</w:t>
      </w:r>
      <w:r w:rsidRPr="009506B9">
        <w:rPr>
          <w:rFonts w:cs="Arial"/>
          <w:rtl/>
        </w:rPr>
        <w:t xml:space="preserve">אפילו בפת של בעל הבית </w:t>
      </w:r>
      <w:r>
        <w:rPr>
          <w:rFonts w:cs="Arial" w:hint="cs"/>
          <w:rtl/>
        </w:rPr>
        <w:t>התיר.</w:t>
      </w:r>
    </w:p>
  </w:footnote>
  <w:footnote w:id="2670">
    <w:p w14:paraId="0B57DEFD" w14:textId="77777777" w:rsidR="004C5A3C" w:rsidRDefault="004C5A3C" w:rsidP="002C39F4">
      <w:pPr>
        <w:pStyle w:val="a5"/>
        <w:rPr>
          <w:rtl/>
        </w:rPr>
      </w:pPr>
      <w:r>
        <w:rPr>
          <w:rStyle w:val="a7"/>
        </w:rPr>
        <w:footnoteRef/>
      </w:r>
      <w:r>
        <w:rPr>
          <w:rtl/>
        </w:rPr>
        <w:t xml:space="preserve"> </w:t>
      </w:r>
      <w:r w:rsidRPr="00592D51">
        <w:rPr>
          <w:rFonts w:cs="Arial"/>
          <w:rtl/>
        </w:rPr>
        <w:t>וזהו כסברת המקילין אבל למאן דא</w:t>
      </w:r>
      <w:r>
        <w:rPr>
          <w:rFonts w:cs="Arial"/>
          <w:rtl/>
        </w:rPr>
        <w:t>וסר אוסר אפי</w:t>
      </w:r>
      <w:r>
        <w:rPr>
          <w:rFonts w:cs="Arial" w:hint="cs"/>
          <w:rtl/>
        </w:rPr>
        <w:t>'</w:t>
      </w:r>
      <w:r>
        <w:rPr>
          <w:rFonts w:cs="Arial"/>
          <w:rtl/>
        </w:rPr>
        <w:t xml:space="preserve"> בכ</w:t>
      </w:r>
      <w:r>
        <w:rPr>
          <w:rFonts w:cs="Arial" w:hint="cs"/>
          <w:rtl/>
        </w:rPr>
        <w:t>ה"</w:t>
      </w:r>
      <w:r>
        <w:rPr>
          <w:rFonts w:cs="Arial"/>
          <w:rtl/>
        </w:rPr>
        <w:t>ג</w:t>
      </w:r>
      <w:r w:rsidRPr="00592D51">
        <w:rPr>
          <w:rFonts w:cs="Arial"/>
          <w:rtl/>
        </w:rPr>
        <w:t xml:space="preserve"> אלא צריך להמתין עד שמגיע לפת כשר</w:t>
      </w:r>
      <w:r>
        <w:rPr>
          <w:rFonts w:cs="Arial" w:hint="cs"/>
          <w:rtl/>
        </w:rPr>
        <w:t>,</w:t>
      </w:r>
      <w:r>
        <w:rPr>
          <w:rFonts w:cs="Arial"/>
          <w:rtl/>
        </w:rPr>
        <w:t xml:space="preserve"> וכ</w:t>
      </w:r>
      <w:r>
        <w:rPr>
          <w:rFonts w:cs="Arial" w:hint="cs"/>
          <w:rtl/>
        </w:rPr>
        <w:t>"</w:t>
      </w:r>
      <w:r>
        <w:rPr>
          <w:rFonts w:cs="Arial"/>
          <w:rtl/>
        </w:rPr>
        <w:t>מ מ</w:t>
      </w:r>
      <w:r>
        <w:rPr>
          <w:rFonts w:cs="Arial" w:hint="cs"/>
          <w:rtl/>
        </w:rPr>
        <w:t>ד'</w:t>
      </w:r>
      <w:r w:rsidRPr="00592D51">
        <w:rPr>
          <w:rFonts w:cs="Arial"/>
          <w:rtl/>
        </w:rPr>
        <w:t xml:space="preserve"> ב"י</w:t>
      </w:r>
      <w:r>
        <w:rPr>
          <w:rFonts w:cs="Arial" w:hint="cs"/>
          <w:rtl/>
        </w:rPr>
        <w:t>, דרכ"מ</w:t>
      </w:r>
      <w:r w:rsidRPr="00000834">
        <w:rPr>
          <w:rFonts w:cs="Arial" w:hint="cs"/>
          <w:sz w:val="16"/>
          <w:szCs w:val="16"/>
          <w:rtl/>
        </w:rPr>
        <w:t xml:space="preserve"> (אות ח)</w:t>
      </w:r>
      <w:r>
        <w:rPr>
          <w:rFonts w:cs="Arial" w:hint="cs"/>
          <w:rtl/>
        </w:rPr>
        <w:t>.</w:t>
      </w:r>
    </w:p>
  </w:footnote>
  <w:footnote w:id="2671">
    <w:p w14:paraId="451255E5" w14:textId="77777777" w:rsidR="004C5A3C" w:rsidRDefault="004C5A3C" w:rsidP="002C39F4">
      <w:pPr>
        <w:pStyle w:val="a5"/>
        <w:rPr>
          <w:rtl/>
        </w:rPr>
      </w:pPr>
      <w:r>
        <w:rPr>
          <w:rStyle w:val="a7"/>
        </w:rPr>
        <w:footnoteRef/>
      </w:r>
      <w:r>
        <w:rPr>
          <w:rtl/>
        </w:rPr>
        <w:t xml:space="preserve"> </w:t>
      </w:r>
      <w:r>
        <w:rPr>
          <w:rFonts w:cs="Arial" w:hint="cs"/>
          <w:rtl/>
        </w:rPr>
        <w:t>ו</w:t>
      </w:r>
      <w:r w:rsidRPr="009506B9">
        <w:rPr>
          <w:rFonts w:cs="Arial"/>
          <w:rtl/>
        </w:rPr>
        <w:t xml:space="preserve">מדברי הרמב"ם </w:t>
      </w:r>
      <w:r>
        <w:rPr>
          <w:rFonts w:cs="Arial"/>
          <w:rtl/>
        </w:rPr>
        <w:t>שכ</w:t>
      </w:r>
      <w:r>
        <w:rPr>
          <w:rFonts w:cs="Arial" w:hint="cs"/>
          <w:rtl/>
        </w:rPr>
        <w:t>'</w:t>
      </w:r>
      <w:r>
        <w:rPr>
          <w:rFonts w:cs="Arial"/>
          <w:rtl/>
        </w:rPr>
        <w:t xml:space="preserve"> </w:t>
      </w:r>
      <w:r w:rsidRPr="009506B9">
        <w:rPr>
          <w:rFonts w:cs="Arial"/>
          <w:rtl/>
        </w:rPr>
        <w:t xml:space="preserve">שלא נהגו להתיר אלא פת של נחתום ובשדה </w:t>
      </w:r>
      <w:r>
        <w:rPr>
          <w:rFonts w:cs="Arial"/>
          <w:rtl/>
        </w:rPr>
        <w:t>משמע אבל פת של בעל הבית אע</w:t>
      </w:r>
      <w:r>
        <w:rPr>
          <w:rFonts w:cs="Arial" w:hint="cs"/>
          <w:rtl/>
        </w:rPr>
        <w:t>"</w:t>
      </w:r>
      <w:r>
        <w:rPr>
          <w:rFonts w:cs="Arial"/>
          <w:rtl/>
        </w:rPr>
        <w:t>פ</w:t>
      </w:r>
      <w:r w:rsidRPr="009506B9">
        <w:rPr>
          <w:rFonts w:cs="Arial"/>
          <w:rtl/>
        </w:rPr>
        <w:t xml:space="preserve"> שהוא בשדה לא</w:t>
      </w:r>
      <w:r>
        <w:rPr>
          <w:rFonts w:hint="cs"/>
          <w:rtl/>
        </w:rPr>
        <w:t>, ב"י.</w:t>
      </w:r>
    </w:p>
  </w:footnote>
  <w:footnote w:id="2672">
    <w:p w14:paraId="6B75FEB1" w14:textId="77777777" w:rsidR="004C5A3C" w:rsidRDefault="004C5A3C" w:rsidP="002C39F4">
      <w:pPr>
        <w:pStyle w:val="a5"/>
      </w:pPr>
      <w:r>
        <w:rPr>
          <w:rStyle w:val="a7"/>
        </w:rPr>
        <w:footnoteRef/>
      </w:r>
      <w:r>
        <w:rPr>
          <w:rtl/>
        </w:rPr>
        <w:t xml:space="preserve"> </w:t>
      </w:r>
      <w:r>
        <w:rPr>
          <w:rFonts w:hint="cs"/>
          <w:rtl/>
        </w:rPr>
        <w:t>היינו דאינו צריך להמתין אפילו כדי מרחק ד' מילין, כמו שיתבאר בסוף הסימן בדברי הרמ"א.</w:t>
      </w:r>
    </w:p>
  </w:footnote>
  <w:footnote w:id="2673">
    <w:p w14:paraId="28B8B79A" w14:textId="77777777" w:rsidR="004C5A3C" w:rsidRDefault="004C5A3C" w:rsidP="002C39F4">
      <w:pPr>
        <w:pStyle w:val="a5"/>
        <w:rPr>
          <w:rtl/>
        </w:rPr>
      </w:pPr>
      <w:r>
        <w:rPr>
          <w:rStyle w:val="a7"/>
        </w:rPr>
        <w:footnoteRef/>
      </w:r>
      <w:r>
        <w:rPr>
          <w:rtl/>
        </w:rPr>
        <w:t xml:space="preserve"> </w:t>
      </w:r>
      <w:r>
        <w:rPr>
          <w:rFonts w:hint="cs"/>
          <w:rtl/>
        </w:rPr>
        <w:t xml:space="preserve">כך היא גירסת ר"ח רי"ף ורא"ש </w:t>
      </w:r>
      <w:r w:rsidRPr="00E51D3D">
        <w:rPr>
          <w:rFonts w:hint="cs"/>
          <w:sz w:val="16"/>
          <w:szCs w:val="16"/>
          <w:rtl/>
        </w:rPr>
        <w:t xml:space="preserve">(וכ"ה בכמה כתבי יד של הגמרא, וכן גיר' הרשב"א </w:t>
      </w:r>
      <w:r w:rsidRPr="00E51D3D">
        <w:rPr>
          <w:rFonts w:cs="Arial" w:hint="cs"/>
          <w:sz w:val="16"/>
          <w:szCs w:val="16"/>
          <w:rtl/>
        </w:rPr>
        <w:t xml:space="preserve">(תוה"א </w:t>
      </w:r>
      <w:r w:rsidRPr="00E51D3D">
        <w:rPr>
          <w:rFonts w:cs="Arial"/>
          <w:sz w:val="16"/>
          <w:szCs w:val="16"/>
          <w:rtl/>
        </w:rPr>
        <w:t xml:space="preserve">ב"ג ש"ז צג.) </w:t>
      </w:r>
      <w:r w:rsidRPr="00E51D3D">
        <w:rPr>
          <w:rFonts w:cs="Arial" w:hint="cs"/>
          <w:sz w:val="16"/>
          <w:szCs w:val="16"/>
          <w:rtl/>
        </w:rPr>
        <w:t xml:space="preserve">רק שבמקום </w:t>
      </w:r>
      <w:r>
        <w:rPr>
          <w:rFonts w:cs="Arial" w:hint="cs"/>
          <w:sz w:val="16"/>
          <w:szCs w:val="16"/>
          <w:rtl/>
        </w:rPr>
        <w:t>'</w:t>
      </w:r>
      <w:r w:rsidRPr="00E51D3D">
        <w:rPr>
          <w:rFonts w:cs="Arial" w:hint="cs"/>
          <w:sz w:val="16"/>
          <w:szCs w:val="16"/>
          <w:rtl/>
        </w:rPr>
        <w:t>א"ר אחי</w:t>
      </w:r>
      <w:r>
        <w:rPr>
          <w:rFonts w:cs="Arial" w:hint="cs"/>
          <w:sz w:val="16"/>
          <w:szCs w:val="16"/>
          <w:rtl/>
        </w:rPr>
        <w:t>'</w:t>
      </w:r>
      <w:r w:rsidRPr="00E51D3D">
        <w:rPr>
          <w:rFonts w:cs="Arial" w:hint="cs"/>
          <w:sz w:val="16"/>
          <w:szCs w:val="16"/>
          <w:rtl/>
        </w:rPr>
        <w:t xml:space="preserve"> גרס </w:t>
      </w:r>
      <w:r>
        <w:rPr>
          <w:rFonts w:cs="Arial" w:hint="cs"/>
          <w:sz w:val="16"/>
          <w:szCs w:val="16"/>
          <w:rtl/>
        </w:rPr>
        <w:t>'</w:t>
      </w:r>
      <w:r w:rsidRPr="00E51D3D">
        <w:rPr>
          <w:rFonts w:cs="Arial" w:hint="cs"/>
          <w:sz w:val="16"/>
          <w:szCs w:val="16"/>
          <w:rtl/>
        </w:rPr>
        <w:t>א"ר יוחנן</w:t>
      </w:r>
      <w:r>
        <w:rPr>
          <w:rFonts w:cs="Arial" w:hint="cs"/>
          <w:sz w:val="16"/>
          <w:szCs w:val="16"/>
          <w:rtl/>
        </w:rPr>
        <w:t>')</w:t>
      </w:r>
      <w:r>
        <w:rPr>
          <w:rFonts w:cs="Arial" w:hint="cs"/>
          <w:rtl/>
        </w:rPr>
        <w:t xml:space="preserve">. </w:t>
      </w:r>
      <w:r>
        <w:rPr>
          <w:rFonts w:hint="cs"/>
          <w:rtl/>
        </w:rPr>
        <w:t>אבל לפנינו הגירסא- אמר רבינא הלכתא הא ריפתא...</w:t>
      </w:r>
    </w:p>
  </w:footnote>
  <w:footnote w:id="2674">
    <w:p w14:paraId="5168469E" w14:textId="77777777" w:rsidR="004C5A3C" w:rsidRDefault="004C5A3C" w:rsidP="002C39F4">
      <w:pPr>
        <w:pStyle w:val="a5"/>
      </w:pPr>
      <w:r>
        <w:rPr>
          <w:rStyle w:val="a7"/>
        </w:rPr>
        <w:footnoteRef/>
      </w:r>
      <w:r>
        <w:rPr>
          <w:rtl/>
        </w:rPr>
        <w:t xml:space="preserve"> </w:t>
      </w:r>
      <w:r w:rsidRPr="00F45AF1">
        <w:rPr>
          <w:rFonts w:cs="Arial"/>
          <w:rtl/>
        </w:rPr>
        <w:t>שלש מלאכות יש בה</w:t>
      </w:r>
      <w:r>
        <w:rPr>
          <w:rFonts w:cs="Arial" w:hint="cs"/>
          <w:sz w:val="16"/>
          <w:szCs w:val="16"/>
          <w:rtl/>
        </w:rPr>
        <w:t xml:space="preserve"> {והם- היסק התנור, אפיית הפת, וחתיית הגחלים}</w:t>
      </w:r>
      <w:r>
        <w:rPr>
          <w:rFonts w:cs="Arial" w:hint="cs"/>
          <w:rtl/>
        </w:rPr>
        <w:t>, ר"ן על הרי"ף (טו:).</w:t>
      </w:r>
    </w:p>
  </w:footnote>
  <w:footnote w:id="2675">
    <w:p w14:paraId="2869F3AA" w14:textId="77777777" w:rsidR="004C5A3C" w:rsidRDefault="004C5A3C" w:rsidP="002C39F4">
      <w:pPr>
        <w:pStyle w:val="a5"/>
      </w:pPr>
      <w:r>
        <w:rPr>
          <w:rStyle w:val="a7"/>
        </w:rPr>
        <w:footnoteRef/>
      </w:r>
      <w:r>
        <w:rPr>
          <w:rtl/>
        </w:rPr>
        <w:t xml:space="preserve"> </w:t>
      </w:r>
      <w:r w:rsidRPr="00F45AF1">
        <w:rPr>
          <w:rFonts w:cs="Arial"/>
          <w:rtl/>
        </w:rPr>
        <w:t>הסיק התנור</w:t>
      </w:r>
      <w:r>
        <w:rPr>
          <w:rFonts w:cs="Arial" w:hint="cs"/>
          <w:rtl/>
        </w:rPr>
        <w:t>, ר"ן על הרי"ף (טו:).</w:t>
      </w:r>
    </w:p>
  </w:footnote>
  <w:footnote w:id="2676">
    <w:p w14:paraId="03B5998D" w14:textId="77777777" w:rsidR="004C5A3C" w:rsidRDefault="004C5A3C" w:rsidP="002C39F4">
      <w:pPr>
        <w:pStyle w:val="a5"/>
      </w:pPr>
      <w:r>
        <w:rPr>
          <w:rStyle w:val="a7"/>
        </w:rPr>
        <w:footnoteRef/>
      </w:r>
      <w:r>
        <w:rPr>
          <w:rtl/>
        </w:rPr>
        <w:t xml:space="preserve"> </w:t>
      </w:r>
      <w:r w:rsidRPr="007A0602">
        <w:rPr>
          <w:rFonts w:cs="Arial"/>
          <w:rtl/>
        </w:rPr>
        <w:t>משום דבהפוך הגחלים יוצא חומן</w:t>
      </w:r>
      <w:r>
        <w:rPr>
          <w:rFonts w:cs="Arial" w:hint="cs"/>
          <w:rtl/>
        </w:rPr>
        <w:t>, רמב"ן.</w:t>
      </w:r>
    </w:p>
  </w:footnote>
  <w:footnote w:id="2677">
    <w:p w14:paraId="68D07310" w14:textId="77777777" w:rsidR="004C5A3C" w:rsidRDefault="004C5A3C" w:rsidP="002C39F4">
      <w:pPr>
        <w:pStyle w:val="a5"/>
      </w:pPr>
      <w:r>
        <w:rPr>
          <w:rStyle w:val="a7"/>
        </w:rPr>
        <w:footnoteRef/>
      </w:r>
      <w:r>
        <w:rPr>
          <w:rtl/>
        </w:rPr>
        <w:t xml:space="preserve"> </w:t>
      </w:r>
      <w:r w:rsidRPr="003E77AC">
        <w:rPr>
          <w:rFonts w:cs="Arial"/>
          <w:rtl/>
        </w:rPr>
        <w:t>ובהלכות שבין בני א"י לבני בבל כתוב בני מזרח משליכים קיסם לתנור ובני מערב אומרים קיסם זה אינו מעלה לו ולא מוריד אא"כ התענה ג' ימים מותר משום חיי נפש</w:t>
      </w:r>
      <w:r>
        <w:rPr>
          <w:rFonts w:cs="Arial" w:hint="cs"/>
          <w:rtl/>
        </w:rPr>
        <w:t>,</w:t>
      </w:r>
      <w:r w:rsidRPr="003E77AC">
        <w:rPr>
          <w:rFonts w:cs="Arial"/>
          <w:rtl/>
        </w:rPr>
        <w:t xml:space="preserve"> ואפשר שנהגו הראשונים בתחלת הסיקו של תנור שנתן בו הישראל מעט גחלים וקיסם להעלות שלהבת הילכך אע</w:t>
      </w:r>
      <w:r w:rsidRPr="003E77AC">
        <w:rPr>
          <w:rFonts w:cs="Arial" w:hint="cs"/>
          <w:rtl/>
        </w:rPr>
        <w:t>"</w:t>
      </w:r>
      <w:r w:rsidRPr="003E77AC">
        <w:rPr>
          <w:rFonts w:cs="Arial"/>
          <w:rtl/>
        </w:rPr>
        <w:t>פ שהוסיף הגוי בעצים והסיק ואפה כיון שתחלת הדלקת המדורה נעשית בישראל נקרא כל ההיסק על שמו</w:t>
      </w:r>
      <w:r>
        <w:rPr>
          <w:rFonts w:cs="Arial" w:hint="cs"/>
          <w:rtl/>
        </w:rPr>
        <w:t>,</w:t>
      </w:r>
      <w:r w:rsidRPr="003E77AC">
        <w:rPr>
          <w:rFonts w:cs="Arial"/>
          <w:rtl/>
        </w:rPr>
        <w:t xml:space="preserve"> והאחרונים ראו והקילו בהשלכת קיסם אפילו באחרונה</w:t>
      </w:r>
      <w:r w:rsidRPr="003E77AC">
        <w:rPr>
          <w:rFonts w:cs="Arial" w:hint="cs"/>
          <w:rtl/>
        </w:rPr>
        <w:t>,</w:t>
      </w:r>
      <w:r w:rsidRPr="003E77AC">
        <w:rPr>
          <w:rFonts w:cs="Arial"/>
          <w:rtl/>
        </w:rPr>
        <w:t xml:space="preserve"> והרי"ף (טו:) גורס ואתא ישראל והדר הדרויי שפיר דמי</w:t>
      </w:r>
      <w:r>
        <w:rPr>
          <w:rFonts w:cs="Arial" w:hint="cs"/>
          <w:rtl/>
        </w:rPr>
        <w:t>,</w:t>
      </w:r>
      <w:r w:rsidRPr="003E77AC">
        <w:rPr>
          <w:rFonts w:cs="Arial"/>
          <w:rtl/>
        </w:rPr>
        <w:t xml:space="preserve"> פירוש שמהפך בפת לקרב בישולו</w:t>
      </w:r>
      <w:r w:rsidRPr="003E77AC">
        <w:rPr>
          <w:rFonts w:cs="Arial" w:hint="cs"/>
          <w:rtl/>
        </w:rPr>
        <w:t>,</w:t>
      </w:r>
      <w:r w:rsidRPr="003E77AC">
        <w:rPr>
          <w:rFonts w:cs="Arial"/>
          <w:rtl/>
        </w:rPr>
        <w:t xml:space="preserve"> והרמב"ם (פי"ז מהמ"א הי"ג) כתב שאפילו לא זרק הישראל אלא עץ אחד לתוך התנור התיר כל הפת שבו שאין הדבר אלא היכר שפת של גוים אסורה ולישנא דגמרא לא משמע ה</w:t>
      </w:r>
      <w:r>
        <w:rPr>
          <w:rFonts w:cs="Arial"/>
          <w:rtl/>
        </w:rPr>
        <w:t>כי</w:t>
      </w:r>
      <w:r>
        <w:rPr>
          <w:rFonts w:cs="Arial" w:hint="cs"/>
          <w:rtl/>
        </w:rPr>
        <w:t>, רא"ש.</w:t>
      </w:r>
    </w:p>
  </w:footnote>
  <w:footnote w:id="2678">
    <w:p w14:paraId="1FDB1989" w14:textId="77777777" w:rsidR="004C5A3C" w:rsidRDefault="004C5A3C" w:rsidP="002C39F4">
      <w:pPr>
        <w:pStyle w:val="a5"/>
        <w:rPr>
          <w:rtl/>
        </w:rPr>
      </w:pPr>
      <w:r>
        <w:rPr>
          <w:rStyle w:val="a7"/>
        </w:rPr>
        <w:footnoteRef/>
      </w:r>
      <w:r>
        <w:rPr>
          <w:rFonts w:cs="Arial" w:hint="cs"/>
          <w:rtl/>
        </w:rPr>
        <w:t xml:space="preserve"> </w:t>
      </w:r>
      <w:r>
        <w:rPr>
          <w:rFonts w:cs="Arial"/>
          <w:rtl/>
        </w:rPr>
        <w:t>וא"נ בשליה טפי</w:t>
      </w:r>
      <w:r w:rsidRPr="007A0602">
        <w:rPr>
          <w:rFonts w:cs="Arial"/>
          <w:rtl/>
        </w:rPr>
        <w:t xml:space="preserve"> פורתא ממאי דהוה בשיל בלא עצו </w:t>
      </w:r>
      <w:r>
        <w:rPr>
          <w:rFonts w:cs="Arial"/>
          <w:rtl/>
        </w:rPr>
        <w:t>כיון דלא מינכר ופורתא הוא</w:t>
      </w:r>
      <w:r>
        <w:rPr>
          <w:rFonts w:cs="Arial" w:hint="cs"/>
          <w:rtl/>
        </w:rPr>
        <w:t>-</w:t>
      </w:r>
      <w:r w:rsidRPr="007A0602">
        <w:rPr>
          <w:rFonts w:cs="Arial"/>
          <w:rtl/>
        </w:rPr>
        <w:t xml:space="preserve"> אסור</w:t>
      </w:r>
      <w:r>
        <w:rPr>
          <w:rFonts w:cs="Arial" w:hint="cs"/>
          <w:rtl/>
        </w:rPr>
        <w:t>,</w:t>
      </w:r>
      <w:r w:rsidRPr="007A0602">
        <w:rPr>
          <w:rFonts w:cs="Arial"/>
          <w:rtl/>
        </w:rPr>
        <w:t xml:space="preserve"> דתחילתו וגמרו ביד גוי </w:t>
      </w:r>
      <w:r>
        <w:rPr>
          <w:rFonts w:cs="Arial"/>
          <w:rtl/>
        </w:rPr>
        <w:t>הוא, וכדאמרינן לעיל ה"ד אילימא וכו'</w:t>
      </w:r>
      <w:r w:rsidRPr="007A0602">
        <w:rPr>
          <w:rFonts w:cs="Arial"/>
          <w:rtl/>
        </w:rPr>
        <w:t xml:space="preserve"> כל היכא דלא מינכר בישוליה לאו כלום הוא ולא מישתרי בהכי במעשה דישראל, והיינו נמי דא"ר יוחנן פת ג' מלאכות יש בה</w:t>
      </w:r>
      <w:r>
        <w:rPr>
          <w:rFonts w:cs="Arial" w:hint="cs"/>
          <w:rtl/>
        </w:rPr>
        <w:t>,</w:t>
      </w:r>
      <w:r w:rsidRPr="007A0602">
        <w:rPr>
          <w:rFonts w:cs="Arial"/>
          <w:rtl/>
        </w:rPr>
        <w:t xml:space="preserve"> אלמא דבעינן או דשגיר ישראל תנורא או שיאפה את הפת או שיחתה את הגחלים, ואלו הוה שרי בהשלכת עץ כמה מלאכות יש בה והיכי א"ר יוחנן ג' מלאכות</w:t>
      </w:r>
      <w:r>
        <w:rPr>
          <w:rFonts w:cs="Arial" w:hint="cs"/>
          <w:rtl/>
        </w:rPr>
        <w:t xml:space="preserve">, </w:t>
      </w:r>
      <w:r w:rsidRPr="007A0602">
        <w:rPr>
          <w:rFonts w:cs="Arial"/>
          <w:rtl/>
        </w:rPr>
        <w:t>ורבינו הגדול ז"ל</w:t>
      </w:r>
      <w:r>
        <w:rPr>
          <w:rFonts w:cs="Arial" w:hint="cs"/>
          <w:sz w:val="16"/>
          <w:szCs w:val="16"/>
          <w:rtl/>
        </w:rPr>
        <w:t xml:space="preserve"> {הרי"ף</w:t>
      </w:r>
      <w:r>
        <w:rPr>
          <w:rFonts w:cs="Arial"/>
          <w:sz w:val="16"/>
          <w:szCs w:val="16"/>
        </w:rPr>
        <w:t>{</w:t>
      </w:r>
      <w:r w:rsidRPr="007A0602">
        <w:rPr>
          <w:rFonts w:cs="Arial"/>
          <w:rtl/>
        </w:rPr>
        <w:t xml:space="preserve"> גריס וישראל מהדר הדרויי</w:t>
      </w:r>
      <w:r>
        <w:rPr>
          <w:rFonts w:cs="Arial" w:hint="cs"/>
          <w:rtl/>
        </w:rPr>
        <w:t xml:space="preserve"> </w:t>
      </w:r>
      <w:r w:rsidRPr="00DD4DF2">
        <w:rPr>
          <w:rFonts w:cs="Arial" w:hint="cs"/>
          <w:sz w:val="14"/>
          <w:szCs w:val="14"/>
          <w:rtl/>
        </w:rPr>
        <w:t>(</w:t>
      </w:r>
      <w:r w:rsidRPr="00DD4DF2">
        <w:rPr>
          <w:rFonts w:cs="Arial"/>
          <w:sz w:val="14"/>
          <w:szCs w:val="14"/>
          <w:rtl/>
        </w:rPr>
        <w:t>לא מצאתי גירסא זו בהלכות</w:t>
      </w:r>
      <w:r>
        <w:rPr>
          <w:rFonts w:cs="Arial" w:hint="cs"/>
          <w:sz w:val="14"/>
          <w:szCs w:val="14"/>
          <w:rtl/>
        </w:rPr>
        <w:t>, ר"ן)</w:t>
      </w:r>
      <w:r w:rsidRPr="007A0602">
        <w:rPr>
          <w:rFonts w:cs="Arial"/>
          <w:rtl/>
        </w:rPr>
        <w:t>, כלומר שישראל מהפך בפת דלימטי ליה בישולא מכל צדדיו והיינו אפייה גמורה הניכרת בפת, שאין דבר אחר מ</w:t>
      </w:r>
      <w:r>
        <w:rPr>
          <w:rFonts w:cs="Arial"/>
          <w:rtl/>
        </w:rPr>
        <w:t>תירו אלא בישולא או קירוב בישולא</w:t>
      </w:r>
      <w:r>
        <w:rPr>
          <w:rFonts w:cs="Arial" w:hint="cs"/>
          <w:rtl/>
        </w:rPr>
        <w:t>...</w:t>
      </w:r>
      <w:r w:rsidRPr="00DD4DF2">
        <w:rPr>
          <w:rFonts w:cs="Arial"/>
          <w:rtl/>
        </w:rPr>
        <w:t xml:space="preserve"> </w:t>
      </w:r>
      <w:r w:rsidRPr="007A0602">
        <w:rPr>
          <w:rFonts w:cs="Arial"/>
          <w:rtl/>
        </w:rPr>
        <w:t>אלמא מעשה הניכר בעינן ודבר פשוט הוא, ולא נתכוונו</w:t>
      </w:r>
      <w:r>
        <w:rPr>
          <w:rFonts w:cs="Arial"/>
          <w:rtl/>
        </w:rPr>
        <w:t xml:space="preserve"> דברי הר"מ הספרדי ז"ל שהתיר בעץ</w:t>
      </w:r>
      <w:r>
        <w:rPr>
          <w:rFonts w:cs="Arial" w:hint="cs"/>
          <w:rtl/>
        </w:rPr>
        <w:t>, רמב"ן</w:t>
      </w:r>
      <w:r w:rsidRPr="007A0602">
        <w:rPr>
          <w:rFonts w:cs="Arial"/>
          <w:rtl/>
        </w:rPr>
        <w:t>.</w:t>
      </w:r>
    </w:p>
  </w:footnote>
  <w:footnote w:id="2679">
    <w:p w14:paraId="336F65C0" w14:textId="77777777" w:rsidR="004C5A3C" w:rsidRDefault="004C5A3C" w:rsidP="002C39F4">
      <w:pPr>
        <w:pStyle w:val="a5"/>
      </w:pPr>
      <w:r>
        <w:rPr>
          <w:rStyle w:val="a7"/>
        </w:rPr>
        <w:footnoteRef/>
      </w:r>
      <w:r>
        <w:rPr>
          <w:rtl/>
        </w:rPr>
        <w:t xml:space="preserve"> </w:t>
      </w:r>
      <w:r>
        <w:rPr>
          <w:rFonts w:cs="Arial"/>
          <w:rtl/>
        </w:rPr>
        <w:t>אף היתר זה אינו ברור בעיני</w:t>
      </w:r>
      <w:r>
        <w:rPr>
          <w:rFonts w:cs="Arial" w:hint="cs"/>
          <w:rtl/>
        </w:rPr>
        <w:t xml:space="preserve">, </w:t>
      </w:r>
      <w:r w:rsidRPr="003E77AC">
        <w:rPr>
          <w:rFonts w:cs="Arial"/>
          <w:rtl/>
        </w:rPr>
        <w:t>ר"ן (טו: ד"ה ואתא ישראל, וד"ה ואף היתר)</w:t>
      </w:r>
      <w:r>
        <w:rPr>
          <w:rFonts w:cs="Arial" w:hint="cs"/>
          <w:rtl/>
        </w:rPr>
        <w:t>.</w:t>
      </w:r>
    </w:p>
  </w:footnote>
  <w:footnote w:id="2680">
    <w:p w14:paraId="539F4D71" w14:textId="77777777" w:rsidR="004C5A3C" w:rsidRDefault="004C5A3C" w:rsidP="002C39F4">
      <w:pPr>
        <w:pStyle w:val="a5"/>
        <w:rPr>
          <w:rtl/>
        </w:rPr>
      </w:pPr>
      <w:r>
        <w:rPr>
          <w:rStyle w:val="a7"/>
        </w:rPr>
        <w:footnoteRef/>
      </w:r>
      <w:r>
        <w:rPr>
          <w:rtl/>
        </w:rPr>
        <w:t xml:space="preserve"> </w:t>
      </w:r>
      <w:r>
        <w:rPr>
          <w:rFonts w:cs="Arial" w:hint="cs"/>
          <w:rtl/>
        </w:rPr>
        <w:t xml:space="preserve">וכ' הב"י- </w:t>
      </w:r>
      <w:r w:rsidRPr="0067280A">
        <w:rPr>
          <w:rFonts w:cs="Arial"/>
          <w:rtl/>
        </w:rPr>
        <w:t>ולענין הלכה כיון שהרמב"ם והרשב"א מסכימים להתיר בהשלכת עץ</w:t>
      </w:r>
      <w:r>
        <w:rPr>
          <w:rFonts w:cs="Arial" w:hint="cs"/>
          <w:rtl/>
        </w:rPr>
        <w:t>,</w:t>
      </w:r>
      <w:r w:rsidRPr="0067280A">
        <w:rPr>
          <w:rFonts w:cs="Arial"/>
          <w:rtl/>
        </w:rPr>
        <w:t xml:space="preserve"> והטעם שכתב הרמב"ם טעמא דמסתבר הוא</w:t>
      </w:r>
      <w:r>
        <w:rPr>
          <w:rFonts w:cs="Arial" w:hint="cs"/>
          <w:rtl/>
        </w:rPr>
        <w:t>,</w:t>
      </w:r>
      <w:r w:rsidRPr="0067280A">
        <w:rPr>
          <w:rFonts w:cs="Arial"/>
          <w:rtl/>
        </w:rPr>
        <w:t xml:space="preserve"> ומנהגן של ישראל שהוא תורה מסייען</w:t>
      </w:r>
      <w:r>
        <w:rPr>
          <w:rFonts w:cs="Arial" w:hint="cs"/>
          <w:rtl/>
        </w:rPr>
        <w:t>-</w:t>
      </w:r>
      <w:r w:rsidRPr="0067280A">
        <w:rPr>
          <w:rFonts w:cs="Arial"/>
          <w:rtl/>
        </w:rPr>
        <w:t xml:space="preserve"> הכי נקטינן</w:t>
      </w:r>
      <w:r>
        <w:rPr>
          <w:rFonts w:cs="Arial" w:hint="cs"/>
          <w:rtl/>
        </w:rPr>
        <w:t xml:space="preserve">. עכ"ל. וכ' הדרכ"מ </w:t>
      </w:r>
      <w:r>
        <w:rPr>
          <w:rFonts w:cs="Arial"/>
          <w:rtl/>
        </w:rPr>
        <w:t>(</w:t>
      </w:r>
      <w:r>
        <w:rPr>
          <w:rFonts w:cs="Arial" w:hint="cs"/>
          <w:rtl/>
        </w:rPr>
        <w:t xml:space="preserve">אות </w:t>
      </w:r>
      <w:r>
        <w:rPr>
          <w:rFonts w:cs="Arial"/>
          <w:rtl/>
        </w:rPr>
        <w:t xml:space="preserve">ו) </w:t>
      </w:r>
      <w:r>
        <w:rPr>
          <w:rFonts w:cs="Arial" w:hint="cs"/>
          <w:rtl/>
        </w:rPr>
        <w:t>ד</w:t>
      </w:r>
      <w:r>
        <w:rPr>
          <w:rFonts w:cs="Arial"/>
          <w:rtl/>
        </w:rPr>
        <w:t>כ</w:t>
      </w:r>
      <w:r>
        <w:rPr>
          <w:rFonts w:cs="Arial" w:hint="cs"/>
          <w:rtl/>
        </w:rPr>
        <w:t>"</w:t>
      </w:r>
      <w:r>
        <w:rPr>
          <w:rFonts w:cs="Arial"/>
          <w:rtl/>
        </w:rPr>
        <w:t>פ המרדכי (</w:t>
      </w:r>
      <w:r>
        <w:rPr>
          <w:rFonts w:cs="Arial" w:hint="cs"/>
          <w:rtl/>
        </w:rPr>
        <w:t>ע"ז</w:t>
      </w:r>
      <w:r>
        <w:rPr>
          <w:rFonts w:cs="Arial"/>
          <w:rtl/>
        </w:rPr>
        <w:t xml:space="preserve"> סי' תתלא) מהרא"י </w:t>
      </w:r>
      <w:r>
        <w:rPr>
          <w:rFonts w:cs="Arial" w:hint="cs"/>
          <w:rtl/>
        </w:rPr>
        <w:t xml:space="preserve">(בשעריו </w:t>
      </w:r>
      <w:r>
        <w:rPr>
          <w:rFonts w:cs="Arial"/>
          <w:rtl/>
        </w:rPr>
        <w:t>ש</w:t>
      </w:r>
      <w:r>
        <w:rPr>
          <w:rFonts w:cs="Arial" w:hint="cs"/>
          <w:rtl/>
        </w:rPr>
        <w:t xml:space="preserve">ער </w:t>
      </w:r>
      <w:r>
        <w:rPr>
          <w:rFonts w:cs="Arial"/>
          <w:rtl/>
        </w:rPr>
        <w:t>כ"ה</w:t>
      </w:r>
      <w:r>
        <w:rPr>
          <w:rFonts w:cs="Arial" w:hint="cs"/>
          <w:rtl/>
        </w:rPr>
        <w:t>)</w:t>
      </w:r>
      <w:r>
        <w:rPr>
          <w:rFonts w:cs="Arial"/>
          <w:rtl/>
        </w:rPr>
        <w:t xml:space="preserve"> </w:t>
      </w:r>
      <w:r>
        <w:rPr>
          <w:rFonts w:cs="Arial" w:hint="cs"/>
          <w:rtl/>
        </w:rPr>
        <w:t>או</w:t>
      </w:r>
      <w:r>
        <w:rPr>
          <w:rFonts w:cs="Arial"/>
          <w:rtl/>
        </w:rPr>
        <w:t>"</w:t>
      </w:r>
      <w:r>
        <w:rPr>
          <w:rFonts w:cs="Arial" w:hint="cs"/>
          <w:rtl/>
        </w:rPr>
        <w:t>ה</w:t>
      </w:r>
      <w:r>
        <w:rPr>
          <w:rFonts w:cs="Arial"/>
          <w:rtl/>
        </w:rPr>
        <w:t xml:space="preserve"> </w:t>
      </w:r>
      <w:r>
        <w:rPr>
          <w:rFonts w:cs="Arial" w:hint="cs"/>
          <w:rtl/>
        </w:rPr>
        <w:t>(</w:t>
      </w:r>
      <w:r>
        <w:rPr>
          <w:rFonts w:cs="Arial"/>
          <w:rtl/>
        </w:rPr>
        <w:t>כלל מג ד</w:t>
      </w:r>
      <w:r>
        <w:rPr>
          <w:rFonts w:cs="Arial" w:hint="cs"/>
          <w:rtl/>
        </w:rPr>
        <w:t>"</w:t>
      </w:r>
      <w:r>
        <w:rPr>
          <w:rFonts w:cs="Arial"/>
          <w:rtl/>
        </w:rPr>
        <w:t xml:space="preserve">ט) </w:t>
      </w:r>
      <w:r>
        <w:rPr>
          <w:rFonts w:cs="Arial" w:hint="cs"/>
          <w:rtl/>
        </w:rPr>
        <w:t>ושע"ד</w:t>
      </w:r>
      <w:r>
        <w:rPr>
          <w:rFonts w:cs="Arial"/>
          <w:rtl/>
        </w:rPr>
        <w:t xml:space="preserve"> (סי' עה)</w:t>
      </w:r>
      <w:r>
        <w:rPr>
          <w:rFonts w:cs="Arial" w:hint="cs"/>
          <w:rtl/>
        </w:rPr>
        <w:t xml:space="preserve">. </w:t>
      </w:r>
    </w:p>
  </w:footnote>
  <w:footnote w:id="2681">
    <w:p w14:paraId="216AC7F6" w14:textId="77777777" w:rsidR="004C5A3C" w:rsidRDefault="004C5A3C" w:rsidP="002C39F4">
      <w:pPr>
        <w:pStyle w:val="a5"/>
        <w:rPr>
          <w:rtl/>
        </w:rPr>
      </w:pPr>
      <w:r>
        <w:rPr>
          <w:rStyle w:val="a7"/>
        </w:rPr>
        <w:footnoteRef/>
      </w:r>
      <w:r>
        <w:rPr>
          <w:rtl/>
        </w:rPr>
        <w:t xml:space="preserve"> </w:t>
      </w:r>
      <w:r w:rsidRPr="00D55A7C">
        <w:rPr>
          <w:rFonts w:cs="Arial"/>
          <w:rtl/>
        </w:rPr>
        <w:t>ו</w:t>
      </w:r>
      <w:r>
        <w:rPr>
          <w:rFonts w:cs="Arial" w:hint="cs"/>
          <w:rtl/>
        </w:rPr>
        <w:t>כ' עוד הריב"ש- ו</w:t>
      </w:r>
      <w:r>
        <w:rPr>
          <w:rFonts w:cs="Arial"/>
          <w:rtl/>
        </w:rPr>
        <w:t>כן</w:t>
      </w:r>
      <w:r>
        <w:rPr>
          <w:rFonts w:cs="Arial" w:hint="cs"/>
          <w:rtl/>
        </w:rPr>
        <w:t xml:space="preserve"> </w:t>
      </w:r>
      <w:r w:rsidRPr="00D55A7C">
        <w:rPr>
          <w:rFonts w:cs="Arial"/>
          <w:rtl/>
        </w:rPr>
        <w:t>בדין שאף הרא"ה לא אמרה אלא מדוחק</w:t>
      </w:r>
      <w:r>
        <w:rPr>
          <w:rFonts w:cs="Arial" w:hint="cs"/>
          <w:rtl/>
        </w:rPr>
        <w:t>,</w:t>
      </w:r>
      <w:r w:rsidRPr="00D55A7C">
        <w:rPr>
          <w:rFonts w:cs="Arial"/>
          <w:rtl/>
        </w:rPr>
        <w:t xml:space="preserve"> שהרי תמה על מה שנהגו להקל להתיר בהשלכת קיסם שלפי דעתו אינו מעלה ולא מוריד</w:t>
      </w:r>
      <w:r>
        <w:rPr>
          <w:rFonts w:cs="Arial" w:hint="cs"/>
          <w:rtl/>
        </w:rPr>
        <w:t>,</w:t>
      </w:r>
      <w:r w:rsidRPr="00D55A7C">
        <w:rPr>
          <w:rFonts w:cs="Arial"/>
          <w:rtl/>
        </w:rPr>
        <w:t xml:space="preserve"> וטרח לדחוק ללמד זכות על מה שנהגו להתיר לאפות בפורני של גוים וכתב שכיון שגזירת מלכות היא לאפות הכל בפורני ואין אדם רשאי לקבוע פורני לעצמו ראוי להתיר</w:t>
      </w:r>
      <w:r w:rsidRPr="00D55A7C">
        <w:rPr>
          <w:rFonts w:cs="Arial" w:hint="cs"/>
          <w:rtl/>
        </w:rPr>
        <w:t>,</w:t>
      </w:r>
      <w:r w:rsidRPr="00D55A7C">
        <w:rPr>
          <w:rFonts w:cs="Arial"/>
          <w:rtl/>
        </w:rPr>
        <w:t xml:space="preserve"> ועוד שאופה בבית מיוחד לכך שאין אוכלים ואין שותים שם והוא רשות הרבים לכל העולם ואינו מתכוין לאפות לאדם מיוחד אלא שכיר הוא לאפות לכל בני העיר אין בזה משום חתנות</w:t>
      </w:r>
      <w:r>
        <w:rPr>
          <w:rFonts w:cs="Arial" w:hint="cs"/>
          <w:rtl/>
        </w:rPr>
        <w:t>,</w:t>
      </w:r>
      <w:r w:rsidRPr="00D55A7C">
        <w:rPr>
          <w:rFonts w:cs="Arial"/>
          <w:rtl/>
        </w:rPr>
        <w:t xml:space="preserve"> וכמו שכתוב בספר ארחות חיים </w:t>
      </w:r>
      <w:r w:rsidRPr="00D55A7C">
        <w:rPr>
          <w:rFonts w:cs="Arial"/>
          <w:sz w:val="16"/>
          <w:szCs w:val="16"/>
          <w:rtl/>
        </w:rPr>
        <w:t>(הל' איסורי מאכלות אות סג)</w:t>
      </w:r>
      <w:r>
        <w:rPr>
          <w:rFonts w:cs="Arial" w:hint="cs"/>
          <w:rtl/>
        </w:rPr>
        <w:t xml:space="preserve">, </w:t>
      </w:r>
      <w:r w:rsidRPr="00D55A7C">
        <w:rPr>
          <w:rFonts w:cs="Arial"/>
          <w:rtl/>
        </w:rPr>
        <w:t xml:space="preserve">ומינה נשמע שאפילו לפי טעם זה לא התיר הרא"ה אלא לפי שהוא שכיר לאפות לכל בני העיר ואינו מתכוין לזה אבל כגון פורני דידן שכל </w:t>
      </w:r>
      <w:r>
        <w:rPr>
          <w:rFonts w:cs="Arial"/>
          <w:rtl/>
        </w:rPr>
        <w:t>אחד פורע לאופה ליתיה לההוא טעמא</w:t>
      </w:r>
      <w:r>
        <w:rPr>
          <w:rFonts w:cs="Arial" w:hint="cs"/>
          <w:rtl/>
        </w:rPr>
        <w:t>.</w:t>
      </w:r>
    </w:p>
  </w:footnote>
  <w:footnote w:id="2682">
    <w:p w14:paraId="1885EF07" w14:textId="77777777" w:rsidR="004C5A3C" w:rsidRDefault="004C5A3C" w:rsidP="002C39F4">
      <w:pPr>
        <w:pStyle w:val="a5"/>
      </w:pPr>
      <w:r>
        <w:rPr>
          <w:rStyle w:val="a7"/>
        </w:rPr>
        <w:footnoteRef/>
      </w:r>
      <w:r>
        <w:rPr>
          <w:rtl/>
        </w:rPr>
        <w:t xml:space="preserve"> </w:t>
      </w:r>
      <w:r>
        <w:rPr>
          <w:rFonts w:cs="Arial" w:hint="cs"/>
          <w:rtl/>
        </w:rPr>
        <w:t xml:space="preserve">הביא דבריו הב"י וכ'- </w:t>
      </w:r>
      <w:r w:rsidRPr="009506B9">
        <w:rPr>
          <w:rFonts w:cs="Arial"/>
          <w:rtl/>
        </w:rPr>
        <w:t>וקולא יתירה היא</w:t>
      </w:r>
      <w:r>
        <w:rPr>
          <w:rFonts w:cs="Arial" w:hint="cs"/>
          <w:rtl/>
        </w:rPr>
        <w:t xml:space="preserve">. עכ"ל. וכ' הדרכ"מ </w:t>
      </w:r>
      <w:r w:rsidRPr="001453C5">
        <w:rPr>
          <w:rFonts w:cs="Arial"/>
          <w:rtl/>
        </w:rPr>
        <w:t>(</w:t>
      </w:r>
      <w:r>
        <w:rPr>
          <w:rFonts w:cs="Arial" w:hint="cs"/>
          <w:rtl/>
        </w:rPr>
        <w:t xml:space="preserve">אות </w:t>
      </w:r>
      <w:r w:rsidRPr="001453C5">
        <w:rPr>
          <w:rFonts w:cs="Arial"/>
          <w:rtl/>
        </w:rPr>
        <w:t>ז)</w:t>
      </w:r>
      <w:r>
        <w:rPr>
          <w:rFonts w:cs="Arial" w:hint="cs"/>
          <w:rtl/>
        </w:rPr>
        <w:t>-</w:t>
      </w:r>
      <w:r w:rsidRPr="001453C5">
        <w:rPr>
          <w:rFonts w:cs="Arial"/>
          <w:rtl/>
        </w:rPr>
        <w:t xml:space="preserve"> ואפשר דמיירי</w:t>
      </w:r>
      <w:r>
        <w:rPr>
          <w:rFonts w:cs="Arial" w:hint="cs"/>
          <w:sz w:val="16"/>
          <w:szCs w:val="16"/>
          <w:rtl/>
        </w:rPr>
        <w:t xml:space="preserve"> {האגור}</w:t>
      </w:r>
      <w:r>
        <w:rPr>
          <w:rFonts w:cs="Arial"/>
          <w:rtl/>
        </w:rPr>
        <w:t xml:space="preserve"> בענין שכתב האו"ה</w:t>
      </w:r>
      <w:r w:rsidRPr="001453C5">
        <w:rPr>
          <w:rFonts w:cs="Arial"/>
          <w:rtl/>
        </w:rPr>
        <w:t xml:space="preserve"> (שם דין י) דהיינו שלא עמד יום שלם בלי היסק</w:t>
      </w:r>
      <w:r>
        <w:rPr>
          <w:rFonts w:cs="Arial" w:hint="cs"/>
          <w:rtl/>
        </w:rPr>
        <w:t>.</w:t>
      </w:r>
    </w:p>
  </w:footnote>
  <w:footnote w:id="2683">
    <w:p w14:paraId="652F9E08" w14:textId="77777777" w:rsidR="004C5A3C" w:rsidRDefault="004C5A3C" w:rsidP="002C39F4">
      <w:pPr>
        <w:pStyle w:val="a5"/>
        <w:rPr>
          <w:rtl/>
        </w:rPr>
      </w:pPr>
      <w:r>
        <w:rPr>
          <w:rStyle w:val="a7"/>
        </w:rPr>
        <w:footnoteRef/>
      </w:r>
      <w:r>
        <w:rPr>
          <w:rtl/>
        </w:rPr>
        <w:t xml:space="preserve"> </w:t>
      </w:r>
      <w:r w:rsidRPr="005A2FF7">
        <w:rPr>
          <w:rFonts w:cs="Arial"/>
          <w:rtl/>
        </w:rPr>
        <w:t>דהסקות הראשונות מועילות להיסק האחרון יותר מקיסם וחתה וכ"ש שגם נשארו גחלים מהסקות הראשונות</w:t>
      </w:r>
      <w:r>
        <w:rPr>
          <w:rFonts w:hint="cs"/>
          <w:rtl/>
        </w:rPr>
        <w:t>, גר"א (סק"כ).</w:t>
      </w:r>
    </w:p>
  </w:footnote>
  <w:footnote w:id="2684">
    <w:p w14:paraId="6ECE857A" w14:textId="77777777" w:rsidR="004C5A3C" w:rsidRDefault="004C5A3C" w:rsidP="002C39F4">
      <w:pPr>
        <w:pStyle w:val="a5"/>
      </w:pPr>
      <w:r>
        <w:rPr>
          <w:rStyle w:val="a7"/>
        </w:rPr>
        <w:footnoteRef/>
      </w:r>
      <w:r>
        <w:rPr>
          <w:rtl/>
        </w:rPr>
        <w:t xml:space="preserve"> </w:t>
      </w:r>
      <w:r>
        <w:rPr>
          <w:rFonts w:cs="Arial"/>
          <w:rtl/>
        </w:rPr>
        <w:t>וכ</w:t>
      </w:r>
      <w:r>
        <w:rPr>
          <w:rFonts w:cs="Arial" w:hint="cs"/>
          <w:rtl/>
        </w:rPr>
        <w:t>'</w:t>
      </w:r>
      <w:r w:rsidRPr="005A2FF7">
        <w:rPr>
          <w:rFonts w:cs="Arial"/>
          <w:rtl/>
        </w:rPr>
        <w:t xml:space="preserve"> הש</w:t>
      </w:r>
      <w:r>
        <w:rPr>
          <w:rFonts w:cs="Arial" w:hint="cs"/>
          <w:rtl/>
        </w:rPr>
        <w:t>ע</w:t>
      </w:r>
      <w:r w:rsidRPr="005A2FF7">
        <w:rPr>
          <w:rFonts w:cs="Arial"/>
          <w:rtl/>
        </w:rPr>
        <w:t>"ד דאם הוא מסופק אם הכשיר ישראל התנור או לא שרי דהוה ספיקא דרבנן ולקולא</w:t>
      </w:r>
      <w:r>
        <w:rPr>
          <w:rFonts w:cs="Arial" w:hint="cs"/>
          <w:sz w:val="16"/>
          <w:szCs w:val="16"/>
          <w:rtl/>
        </w:rPr>
        <w:t xml:space="preserve"> {וכתב שם שכ"פ ר"ת}</w:t>
      </w:r>
      <w:r>
        <w:rPr>
          <w:rFonts w:cs="Arial" w:hint="cs"/>
          <w:rtl/>
        </w:rPr>
        <w:t>,</w:t>
      </w:r>
      <w:r w:rsidRPr="005A2FF7">
        <w:rPr>
          <w:rFonts w:cs="Arial"/>
          <w:rtl/>
        </w:rPr>
        <w:t xml:space="preserve"> וכ"כ הרב בת"ח </w:t>
      </w:r>
      <w:r>
        <w:rPr>
          <w:rFonts w:cs="Arial" w:hint="cs"/>
          <w:rtl/>
        </w:rPr>
        <w:t>(</w:t>
      </w:r>
      <w:r>
        <w:rPr>
          <w:rFonts w:cs="Arial"/>
          <w:rtl/>
        </w:rPr>
        <w:t>שם ד</w:t>
      </w:r>
      <w:r>
        <w:rPr>
          <w:rFonts w:cs="Arial" w:hint="cs"/>
          <w:rtl/>
        </w:rPr>
        <w:t>"</w:t>
      </w:r>
      <w:r>
        <w:rPr>
          <w:rFonts w:cs="Arial"/>
          <w:rtl/>
        </w:rPr>
        <w:t>ו</w:t>
      </w:r>
      <w:r>
        <w:rPr>
          <w:rFonts w:cs="Arial" w:hint="cs"/>
          <w:rtl/>
        </w:rPr>
        <w:t>)</w:t>
      </w:r>
      <w:r w:rsidRPr="005A2FF7">
        <w:rPr>
          <w:rFonts w:cs="Arial"/>
          <w:rtl/>
        </w:rPr>
        <w:t xml:space="preserve"> ושאר אחרונים</w:t>
      </w:r>
      <w:r>
        <w:rPr>
          <w:rFonts w:hint="cs"/>
          <w:rtl/>
        </w:rPr>
        <w:t>, ש"ך (סק"כ).</w:t>
      </w:r>
    </w:p>
  </w:footnote>
  <w:footnote w:id="2685">
    <w:p w14:paraId="03E37ABB" w14:textId="77777777" w:rsidR="004C5A3C" w:rsidRDefault="004C5A3C" w:rsidP="002C39F4">
      <w:pPr>
        <w:pStyle w:val="a5"/>
      </w:pPr>
      <w:r>
        <w:rPr>
          <w:rStyle w:val="a7"/>
        </w:rPr>
        <w:footnoteRef/>
      </w:r>
      <w:r>
        <w:rPr>
          <w:rtl/>
        </w:rPr>
        <w:t xml:space="preserve"> </w:t>
      </w:r>
      <w:r>
        <w:rPr>
          <w:rFonts w:cs="Arial"/>
          <w:rtl/>
        </w:rPr>
        <w:t>וכ</w:t>
      </w:r>
      <w:r>
        <w:rPr>
          <w:rFonts w:cs="Arial" w:hint="cs"/>
          <w:rtl/>
        </w:rPr>
        <w:t>'</w:t>
      </w:r>
      <w:r>
        <w:rPr>
          <w:rFonts w:cs="Arial"/>
          <w:rtl/>
        </w:rPr>
        <w:t xml:space="preserve"> </w:t>
      </w:r>
      <w:r>
        <w:rPr>
          <w:rFonts w:cs="Arial" w:hint="cs"/>
          <w:rtl/>
        </w:rPr>
        <w:t>באו</w:t>
      </w:r>
      <w:r>
        <w:rPr>
          <w:rFonts w:cs="Arial"/>
          <w:rtl/>
        </w:rPr>
        <w:t>"</w:t>
      </w:r>
      <w:r>
        <w:rPr>
          <w:rFonts w:cs="Arial" w:hint="cs"/>
          <w:rtl/>
        </w:rPr>
        <w:t>ה</w:t>
      </w:r>
      <w:r>
        <w:rPr>
          <w:rFonts w:cs="Arial"/>
          <w:rtl/>
        </w:rPr>
        <w:t xml:space="preserve"> </w:t>
      </w:r>
      <w:r>
        <w:rPr>
          <w:rFonts w:cs="Arial"/>
          <w:sz w:val="16"/>
          <w:szCs w:val="16"/>
          <w:rtl/>
        </w:rPr>
        <w:t>(כמ</w:t>
      </w:r>
      <w:r>
        <w:rPr>
          <w:rFonts w:cs="Arial" w:hint="cs"/>
          <w:sz w:val="16"/>
          <w:szCs w:val="16"/>
          <w:rtl/>
        </w:rPr>
        <w:t>"</w:t>
      </w:r>
      <w:r>
        <w:rPr>
          <w:rFonts w:cs="Arial"/>
          <w:sz w:val="16"/>
          <w:szCs w:val="16"/>
          <w:rtl/>
        </w:rPr>
        <w:t>ד ד</w:t>
      </w:r>
      <w:r>
        <w:rPr>
          <w:rFonts w:cs="Arial" w:hint="cs"/>
          <w:sz w:val="16"/>
          <w:szCs w:val="16"/>
          <w:rtl/>
        </w:rPr>
        <w:t>"</w:t>
      </w:r>
      <w:r w:rsidRPr="00EA1B19">
        <w:rPr>
          <w:rFonts w:cs="Arial"/>
          <w:sz w:val="16"/>
          <w:szCs w:val="16"/>
          <w:rtl/>
        </w:rPr>
        <w:t xml:space="preserve">ט) </w:t>
      </w:r>
      <w:r>
        <w:rPr>
          <w:rFonts w:cs="Arial"/>
          <w:rtl/>
        </w:rPr>
        <w:t>דמטעם זה נהגו במקום שהרבה ישראל דרים דאסור לקנות פת חתוך מן הגוי שמא קנאו מישראל</w:t>
      </w:r>
      <w:r>
        <w:rPr>
          <w:rFonts w:hint="cs"/>
          <w:rtl/>
        </w:rPr>
        <w:t>, דרכ"מ</w:t>
      </w:r>
      <w:r w:rsidRPr="00442C38">
        <w:rPr>
          <w:rFonts w:hint="cs"/>
          <w:sz w:val="16"/>
          <w:szCs w:val="16"/>
          <w:rtl/>
        </w:rPr>
        <w:t xml:space="preserve"> (אות ו)</w:t>
      </w:r>
      <w:r>
        <w:rPr>
          <w:rFonts w:hint="cs"/>
          <w:rtl/>
        </w:rPr>
        <w:t>.</w:t>
      </w:r>
    </w:p>
  </w:footnote>
  <w:footnote w:id="2686">
    <w:p w14:paraId="48E81081" w14:textId="77777777" w:rsidR="004C5A3C" w:rsidRDefault="004C5A3C" w:rsidP="002C39F4">
      <w:pPr>
        <w:pStyle w:val="a5"/>
        <w:rPr>
          <w:rtl/>
        </w:rPr>
      </w:pPr>
      <w:r>
        <w:rPr>
          <w:rStyle w:val="a7"/>
        </w:rPr>
        <w:footnoteRef/>
      </w:r>
      <w:r>
        <w:rPr>
          <w:rtl/>
        </w:rPr>
        <w:t xml:space="preserve"> </w:t>
      </w:r>
      <w:r w:rsidRPr="00C24535">
        <w:rPr>
          <w:rtl/>
        </w:rPr>
        <w:t>וכן מצאתי בספרי הגאוני' דהא דהתירו פת של גוי</w:t>
      </w:r>
      <w:r w:rsidRPr="00C24535">
        <w:rPr>
          <w:rFonts w:hint="cs"/>
          <w:rtl/>
        </w:rPr>
        <w:t>ם</w:t>
      </w:r>
      <w:r w:rsidRPr="00C24535">
        <w:rPr>
          <w:rtl/>
        </w:rPr>
        <w:t xml:space="preserve"> ה"מ של גוי</w:t>
      </w:r>
      <w:r w:rsidRPr="00C24535">
        <w:rPr>
          <w:rFonts w:hint="cs"/>
          <w:rtl/>
        </w:rPr>
        <w:t>ם</w:t>
      </w:r>
      <w:r w:rsidRPr="00C24535">
        <w:rPr>
          <w:rtl/>
        </w:rPr>
        <w:t xml:space="preserve"> אבל של ישראל שאפאה גוי אסורה</w:t>
      </w:r>
      <w:r>
        <w:rPr>
          <w:rFonts w:hint="cs"/>
          <w:rtl/>
        </w:rPr>
        <w:t>, מהר"ם.</w:t>
      </w:r>
    </w:p>
  </w:footnote>
  <w:footnote w:id="2687">
    <w:p w14:paraId="09CE0407" w14:textId="77777777" w:rsidR="004C5A3C" w:rsidRDefault="004C5A3C" w:rsidP="002C39F4">
      <w:pPr>
        <w:pStyle w:val="a5"/>
      </w:pPr>
      <w:r>
        <w:rPr>
          <w:rStyle w:val="a7"/>
        </w:rPr>
        <w:footnoteRef/>
      </w:r>
      <w:r>
        <w:rPr>
          <w:rtl/>
        </w:rPr>
        <w:t xml:space="preserve"> </w:t>
      </w:r>
      <w:r>
        <w:rPr>
          <w:rFonts w:hint="cs"/>
          <w:rtl/>
        </w:rPr>
        <w:t xml:space="preserve">וכ' המרדכי (סי' תתל)- </w:t>
      </w:r>
      <w:r w:rsidRPr="00F573F5">
        <w:rPr>
          <w:rFonts w:cs="Arial"/>
          <w:rtl/>
        </w:rPr>
        <w:t>כגון לפתת הלחם לשני חלקים דבענין זה ליכא למיחש דילמא אתי לזבוני לישראל דאיכא היכרא טובא</w:t>
      </w:r>
      <w:r>
        <w:rPr>
          <w:rFonts w:cs="Arial" w:hint="cs"/>
          <w:rtl/>
        </w:rPr>
        <w:t>.</w:t>
      </w:r>
    </w:p>
  </w:footnote>
  <w:footnote w:id="2688">
    <w:p w14:paraId="3F7D27E1" w14:textId="77777777" w:rsidR="004C5A3C" w:rsidRDefault="004C5A3C" w:rsidP="002C39F4">
      <w:pPr>
        <w:pStyle w:val="a5"/>
        <w:rPr>
          <w:rtl/>
        </w:rPr>
      </w:pPr>
      <w:r>
        <w:rPr>
          <w:rStyle w:val="a7"/>
        </w:rPr>
        <w:footnoteRef/>
      </w:r>
      <w:r>
        <w:rPr>
          <w:rtl/>
        </w:rPr>
        <w:t xml:space="preserve"> </w:t>
      </w:r>
      <w:r>
        <w:rPr>
          <w:rFonts w:cs="Arial" w:hint="cs"/>
          <w:rtl/>
        </w:rPr>
        <w:t>ד</w:t>
      </w:r>
      <w:r w:rsidRPr="00C43CF7">
        <w:rPr>
          <w:rFonts w:cs="Arial"/>
          <w:rtl/>
        </w:rPr>
        <w:t>זה יש לו דין שלקות הנזכר בסימן קיג</w:t>
      </w:r>
      <w:r>
        <w:rPr>
          <w:rFonts w:cs="Arial" w:hint="cs"/>
          <w:rtl/>
        </w:rPr>
        <w:t>,</w:t>
      </w:r>
      <w:r w:rsidRPr="00C43CF7">
        <w:rPr>
          <w:rFonts w:cs="Arial"/>
          <w:rtl/>
        </w:rPr>
        <w:t xml:space="preserve"> כ"פ הטור</w:t>
      </w:r>
      <w:r>
        <w:rPr>
          <w:rFonts w:cs="Arial" w:hint="cs"/>
          <w:rtl/>
        </w:rPr>
        <w:t>, ט"ז (סק"ז).</w:t>
      </w:r>
      <w:r>
        <w:rPr>
          <w:rFonts w:hint="cs"/>
          <w:rtl/>
        </w:rPr>
        <w:t xml:space="preserve"> והיינו לדברי הטור, אבל השו"ע בסע' א לא פסק כן, וכ' בב"י שאין לחלק בין פת גוי שאפאה גוי ובין פת ישראל שאפאה גוי, וכדברי הרמב"ם והרשב"א עיי"ש.</w:t>
      </w:r>
    </w:p>
  </w:footnote>
  <w:footnote w:id="2689">
    <w:p w14:paraId="3F6FCA70" w14:textId="77777777" w:rsidR="004C5A3C" w:rsidRDefault="004C5A3C" w:rsidP="002C39F4">
      <w:pPr>
        <w:pStyle w:val="a5"/>
      </w:pPr>
      <w:r>
        <w:rPr>
          <w:rStyle w:val="a7"/>
        </w:rPr>
        <w:footnoteRef/>
      </w:r>
      <w:r>
        <w:rPr>
          <w:rtl/>
        </w:rPr>
        <w:t xml:space="preserve"> </w:t>
      </w:r>
      <w:r>
        <w:rPr>
          <w:rFonts w:cs="Arial"/>
          <w:rtl/>
        </w:rPr>
        <w:t>ו</w:t>
      </w:r>
      <w:r>
        <w:rPr>
          <w:rFonts w:cs="Arial" w:hint="cs"/>
          <w:rtl/>
        </w:rPr>
        <w:t>כתב מהרא"י</w:t>
      </w:r>
      <w:r w:rsidRPr="00C619A2">
        <w:rPr>
          <w:rFonts w:cs="Arial"/>
          <w:rtl/>
        </w:rPr>
        <w:t xml:space="preserve"> </w:t>
      </w:r>
      <w:r w:rsidRPr="00C619A2">
        <w:rPr>
          <w:rFonts w:cs="Arial"/>
          <w:sz w:val="16"/>
          <w:szCs w:val="16"/>
          <w:rtl/>
        </w:rPr>
        <w:t>(</w:t>
      </w:r>
      <w:r>
        <w:rPr>
          <w:rFonts w:cs="Arial" w:hint="cs"/>
          <w:sz w:val="16"/>
          <w:szCs w:val="16"/>
          <w:rtl/>
        </w:rPr>
        <w:t xml:space="preserve">בהגשע"ד </w:t>
      </w:r>
      <w:r w:rsidRPr="00C619A2">
        <w:rPr>
          <w:rFonts w:cs="Arial"/>
          <w:sz w:val="16"/>
          <w:szCs w:val="16"/>
          <w:rtl/>
        </w:rPr>
        <w:t>סי' עה אות ב ד"ה ולא</w:t>
      </w:r>
      <w:r>
        <w:rPr>
          <w:rFonts w:cs="Arial" w:hint="cs"/>
          <w:sz w:val="16"/>
          <w:szCs w:val="16"/>
          <w:rtl/>
        </w:rPr>
        <w:t>, הביאו הדרכ"מ אות יא</w:t>
      </w:r>
      <w:r w:rsidRPr="00C619A2">
        <w:rPr>
          <w:rFonts w:cs="Arial"/>
          <w:sz w:val="16"/>
          <w:szCs w:val="16"/>
          <w:rtl/>
        </w:rPr>
        <w:t>)</w:t>
      </w:r>
      <w:r w:rsidRPr="00C619A2">
        <w:rPr>
          <w:rFonts w:cs="Arial"/>
          <w:rtl/>
        </w:rPr>
        <w:t xml:space="preserve"> דהכי נהיגין דדי בהיכר כל דהו</w:t>
      </w:r>
      <w:r>
        <w:rPr>
          <w:rFonts w:cs="Arial" w:hint="cs"/>
          <w:rtl/>
        </w:rPr>
        <w:t>.</w:t>
      </w:r>
    </w:p>
  </w:footnote>
  <w:footnote w:id="2690">
    <w:p w14:paraId="3EB61383" w14:textId="77777777" w:rsidR="004C5A3C" w:rsidRDefault="004C5A3C" w:rsidP="002C39F4">
      <w:pPr>
        <w:pStyle w:val="a5"/>
      </w:pPr>
      <w:r>
        <w:rPr>
          <w:rStyle w:val="a7"/>
        </w:rPr>
        <w:footnoteRef/>
      </w:r>
      <w:r>
        <w:rPr>
          <w:rtl/>
        </w:rPr>
        <w:t xml:space="preserve"> </w:t>
      </w:r>
      <w:r>
        <w:rPr>
          <w:rFonts w:hint="cs"/>
          <w:rtl/>
        </w:rPr>
        <w:t>הוא רבנו שמואל שנקרא מורי"ל, כדכתב באו"ז (הל' גיד הנשה סי' תנג).</w:t>
      </w:r>
    </w:p>
  </w:footnote>
  <w:footnote w:id="2691">
    <w:p w14:paraId="6A1766D9" w14:textId="77777777" w:rsidR="004C5A3C" w:rsidRPr="00C619A2" w:rsidRDefault="004C5A3C" w:rsidP="002C39F4">
      <w:pPr>
        <w:pStyle w:val="a5"/>
        <w:rPr>
          <w:color w:val="FF0000"/>
          <w:rtl/>
        </w:rPr>
      </w:pPr>
      <w:r w:rsidRPr="00C619A2">
        <w:rPr>
          <w:rStyle w:val="a7"/>
          <w:color w:val="FF0000"/>
        </w:rPr>
        <w:footnoteRef/>
      </w:r>
      <w:r w:rsidRPr="00C619A2">
        <w:rPr>
          <w:color w:val="FF0000"/>
          <w:rtl/>
        </w:rPr>
        <w:t xml:space="preserve"> </w:t>
      </w:r>
      <w:r w:rsidRPr="00C619A2">
        <w:rPr>
          <w:rFonts w:cs="Arial" w:hint="cs"/>
          <w:color w:val="FF0000"/>
          <w:rtl/>
        </w:rPr>
        <w:t>וכ' הב"י (בבדה"ב) ל</w:t>
      </w:r>
      <w:r w:rsidRPr="00C619A2">
        <w:rPr>
          <w:rFonts w:cs="Arial"/>
          <w:color w:val="FF0000"/>
          <w:rtl/>
        </w:rPr>
        <w:t>עיין בסימן שבסמוך</w:t>
      </w:r>
      <w:r w:rsidRPr="00C619A2">
        <w:rPr>
          <w:rFonts w:cs="Arial" w:hint="cs"/>
          <w:color w:val="FF0000"/>
          <w:rtl/>
        </w:rPr>
        <w:t>.</w:t>
      </w:r>
      <w:r>
        <w:rPr>
          <w:rFonts w:hint="cs"/>
          <w:color w:val="FF0000"/>
          <w:rtl/>
        </w:rPr>
        <w:t xml:space="preserve"> (צ"ע למה התכוון)</w:t>
      </w:r>
    </w:p>
  </w:footnote>
  <w:footnote w:id="2692">
    <w:p w14:paraId="1ED18001" w14:textId="77777777" w:rsidR="004C5A3C" w:rsidRDefault="004C5A3C" w:rsidP="002C39F4">
      <w:pPr>
        <w:pStyle w:val="a5"/>
        <w:rPr>
          <w:rtl/>
        </w:rPr>
      </w:pPr>
      <w:r>
        <w:rPr>
          <w:rStyle w:val="a7"/>
        </w:rPr>
        <w:footnoteRef/>
      </w:r>
      <w:r>
        <w:rPr>
          <w:rtl/>
        </w:rPr>
        <w:t xml:space="preserve"> </w:t>
      </w:r>
      <w:r w:rsidRPr="00CF30A8">
        <w:rPr>
          <w:rFonts w:cs="Arial"/>
          <w:rtl/>
        </w:rPr>
        <w:t>וכ"כ המחבר בא</w:t>
      </w:r>
      <w:r>
        <w:rPr>
          <w:rFonts w:cs="Arial" w:hint="cs"/>
          <w:rtl/>
        </w:rPr>
        <w:t>ו</w:t>
      </w:r>
      <w:r>
        <w:rPr>
          <w:rFonts w:cs="Arial"/>
          <w:rtl/>
        </w:rPr>
        <w:t>"ח סי</w:t>
      </w:r>
      <w:r>
        <w:rPr>
          <w:rFonts w:cs="Arial" w:hint="cs"/>
          <w:rtl/>
        </w:rPr>
        <w:t>'</w:t>
      </w:r>
      <w:r>
        <w:rPr>
          <w:rFonts w:cs="Arial"/>
          <w:rtl/>
        </w:rPr>
        <w:t xml:space="preserve"> קס</w:t>
      </w:r>
      <w:r w:rsidRPr="00CF30A8">
        <w:rPr>
          <w:rFonts w:cs="Arial"/>
          <w:rtl/>
        </w:rPr>
        <w:t>ח ס"ה</w:t>
      </w:r>
      <w:r>
        <w:rPr>
          <w:rFonts w:cs="Arial" w:hint="cs"/>
          <w:rtl/>
        </w:rPr>
        <w:t>,</w:t>
      </w:r>
      <w:r w:rsidRPr="00CF30A8">
        <w:rPr>
          <w:rFonts w:cs="Arial"/>
          <w:rtl/>
        </w:rPr>
        <w:t xml:space="preserve"> וכ"פ הרב בת"ח </w:t>
      </w:r>
      <w:r>
        <w:rPr>
          <w:rFonts w:cs="Arial" w:hint="cs"/>
          <w:rtl/>
        </w:rPr>
        <w:t>(</w:t>
      </w:r>
      <w:r>
        <w:rPr>
          <w:rFonts w:cs="Arial"/>
          <w:rtl/>
        </w:rPr>
        <w:t>שם ד</w:t>
      </w:r>
      <w:r>
        <w:rPr>
          <w:rFonts w:cs="Arial" w:hint="cs"/>
          <w:rtl/>
        </w:rPr>
        <w:t>"ט),</w:t>
      </w:r>
      <w:r w:rsidRPr="00CF30A8">
        <w:rPr>
          <w:rFonts w:cs="Arial"/>
          <w:rtl/>
        </w:rPr>
        <w:t xml:space="preserve"> וכתב המחבר שם ב</w:t>
      </w:r>
      <w:r>
        <w:rPr>
          <w:rFonts w:cs="Arial"/>
          <w:rtl/>
        </w:rPr>
        <w:t>רישא דמי שנזהר מפת של ע</w:t>
      </w:r>
      <w:r>
        <w:rPr>
          <w:rFonts w:cs="Arial" w:hint="cs"/>
          <w:rtl/>
        </w:rPr>
        <w:t>כו"</w:t>
      </w:r>
      <w:r>
        <w:rPr>
          <w:rFonts w:cs="Arial"/>
          <w:rtl/>
        </w:rPr>
        <w:t>ם ולפניו פת של ע</w:t>
      </w:r>
      <w:r>
        <w:rPr>
          <w:rFonts w:cs="Arial" w:hint="cs"/>
          <w:rtl/>
        </w:rPr>
        <w:t>כו"</w:t>
      </w:r>
      <w:r w:rsidRPr="00CF30A8">
        <w:rPr>
          <w:rFonts w:cs="Arial"/>
          <w:rtl/>
        </w:rPr>
        <w:t>ם נקי ופת של ישר</w:t>
      </w:r>
      <w:r>
        <w:rPr>
          <w:rFonts w:cs="Arial"/>
          <w:rtl/>
        </w:rPr>
        <w:t>אל אינו נקי מסלק פת של ע</w:t>
      </w:r>
      <w:r>
        <w:rPr>
          <w:rFonts w:cs="Arial" w:hint="cs"/>
          <w:rtl/>
        </w:rPr>
        <w:t>כו"</w:t>
      </w:r>
      <w:r w:rsidRPr="00CF30A8">
        <w:rPr>
          <w:rFonts w:cs="Arial"/>
          <w:rtl/>
        </w:rPr>
        <w:t>ם מעל השלחן עד אחר ברכת המוציא</w:t>
      </w:r>
      <w:r>
        <w:rPr>
          <w:rFonts w:cs="Arial" w:hint="cs"/>
          <w:rtl/>
        </w:rPr>
        <w:t>,</w:t>
      </w:r>
      <w:r w:rsidRPr="00CF30A8">
        <w:rPr>
          <w:rFonts w:cs="Arial"/>
          <w:rtl/>
        </w:rPr>
        <w:t xml:space="preserve"> וטעמא דברישא אין ישראל אחר מיסב אצלו</w:t>
      </w:r>
      <w:r>
        <w:rPr>
          <w:rFonts w:cs="Arial" w:hint="cs"/>
          <w:rtl/>
        </w:rPr>
        <w:t>,</w:t>
      </w:r>
      <w:r w:rsidRPr="00CF30A8">
        <w:rPr>
          <w:rFonts w:cs="Arial"/>
          <w:rtl/>
        </w:rPr>
        <w:t xml:space="preserve"> אבל בסיפא וכאן כיון דישראל אחר מיסב אצלו אם לא יברך ע</w:t>
      </w:r>
      <w:r>
        <w:rPr>
          <w:rFonts w:cs="Arial"/>
          <w:rtl/>
        </w:rPr>
        <w:t>ל פת נקייה איכא איבה כדלקמן סע</w:t>
      </w:r>
      <w:r>
        <w:rPr>
          <w:rFonts w:cs="Arial" w:hint="cs"/>
          <w:rtl/>
        </w:rPr>
        <w:t>'</w:t>
      </w:r>
      <w:r>
        <w:rPr>
          <w:rFonts w:cs="Arial"/>
          <w:rtl/>
        </w:rPr>
        <w:t xml:space="preserve"> ט</w:t>
      </w:r>
      <w:r w:rsidRPr="00CF30A8">
        <w:rPr>
          <w:rFonts w:cs="Arial"/>
          <w:rtl/>
        </w:rPr>
        <w:t>ו בהג"ה</w:t>
      </w:r>
      <w:r>
        <w:rPr>
          <w:rFonts w:cs="Arial" w:hint="cs"/>
          <w:rtl/>
        </w:rPr>
        <w:t>,</w:t>
      </w:r>
      <w:r w:rsidRPr="00CF30A8">
        <w:rPr>
          <w:rFonts w:cs="Arial"/>
          <w:rtl/>
        </w:rPr>
        <w:t xml:space="preserve"> וא</w:t>
      </w:r>
      <w:r>
        <w:rPr>
          <w:rFonts w:cs="Arial" w:hint="cs"/>
          <w:rtl/>
        </w:rPr>
        <w:t>ע"ג</w:t>
      </w:r>
      <w:r w:rsidRPr="00CF30A8">
        <w:rPr>
          <w:rFonts w:cs="Arial"/>
          <w:rtl/>
        </w:rPr>
        <w:t xml:space="preserve"> דמשמע שם דליכא משום איבה אלא היכא דאוכל מי שנזהר עם אחרים שאינם נזהרים אבל האוכל רק עם א' שאינו נזהר ליכא איבה דמאי אולמיה האי מהאי</w:t>
      </w:r>
      <w:r>
        <w:rPr>
          <w:rFonts w:cs="Arial" w:hint="cs"/>
          <w:rtl/>
        </w:rPr>
        <w:t>,</w:t>
      </w:r>
      <w:r w:rsidRPr="00CF30A8">
        <w:rPr>
          <w:rFonts w:cs="Arial"/>
          <w:rtl/>
        </w:rPr>
        <w:t xml:space="preserve"> מ"מ כיון דלענין ברכת המוציא מצוה לברך על היפה אם לא יברך איכא איבה טובא</w:t>
      </w:r>
      <w:r>
        <w:rPr>
          <w:rFonts w:cs="Arial" w:hint="cs"/>
          <w:rtl/>
        </w:rPr>
        <w:t>,</w:t>
      </w:r>
      <w:r w:rsidRPr="00CF30A8">
        <w:rPr>
          <w:rFonts w:cs="Arial"/>
          <w:rtl/>
        </w:rPr>
        <w:t xml:space="preserve"> א"נ דוקא כשהפת של שניהם שוה הוא דליכא איבה כשאין שם אלא א' שאינו נזהר אבל כשהפת מי שאינו נזהר נקי ויפה יותר ואפ"ה אינו אוכלו ודאי איכא איבה</w:t>
      </w:r>
      <w:r>
        <w:rPr>
          <w:rFonts w:cs="Arial" w:hint="cs"/>
          <w:rtl/>
        </w:rPr>
        <w:t>..., ש"ך (סקכ"א).</w:t>
      </w:r>
    </w:p>
  </w:footnote>
  <w:footnote w:id="2693">
    <w:p w14:paraId="662872CA" w14:textId="77777777" w:rsidR="004C5A3C" w:rsidRPr="00045578" w:rsidRDefault="004C5A3C" w:rsidP="002C39F4">
      <w:pPr>
        <w:pStyle w:val="a5"/>
        <w:rPr>
          <w:u w:val="single"/>
          <w:rtl/>
        </w:rPr>
      </w:pPr>
      <w:r>
        <w:rPr>
          <w:rStyle w:val="a7"/>
        </w:rPr>
        <w:footnoteRef/>
      </w:r>
      <w:r>
        <w:rPr>
          <w:rtl/>
        </w:rPr>
        <w:t xml:space="preserve"> </w:t>
      </w:r>
      <w:r w:rsidRPr="00045578">
        <w:rPr>
          <w:rFonts w:hint="cs"/>
          <w:u w:val="single"/>
          <w:rtl/>
        </w:rPr>
        <w:t>מדוע</w:t>
      </w:r>
      <w:r>
        <w:rPr>
          <w:rFonts w:hint="cs"/>
          <w:u w:val="single"/>
          <w:rtl/>
        </w:rPr>
        <w:t xml:space="preserve"> אין חוששין לפת עכו"ם שמעורב בו:</w:t>
      </w:r>
    </w:p>
    <w:p w14:paraId="38C893B6" w14:textId="77777777" w:rsidR="004C5A3C" w:rsidRPr="00045578" w:rsidRDefault="004C5A3C" w:rsidP="0032102C">
      <w:pPr>
        <w:pStyle w:val="a5"/>
        <w:numPr>
          <w:ilvl w:val="0"/>
          <w:numId w:val="276"/>
        </w:numPr>
        <w:rPr>
          <w:rFonts w:cs="Arial"/>
        </w:rPr>
      </w:pPr>
      <w:r>
        <w:rPr>
          <w:rFonts w:hint="cs"/>
          <w:rtl/>
        </w:rPr>
        <w:t xml:space="preserve">פר"ח </w:t>
      </w:r>
      <w:r w:rsidRPr="0083592C">
        <w:rPr>
          <w:rFonts w:hint="cs"/>
          <w:sz w:val="16"/>
          <w:szCs w:val="16"/>
          <w:rtl/>
        </w:rPr>
        <w:t>(סקכ"ד)</w:t>
      </w:r>
      <w:r>
        <w:rPr>
          <w:rFonts w:asciiTheme="minorBidi" w:hAnsiTheme="minorBidi" w:cs="Arial" w:hint="cs"/>
          <w:rtl/>
        </w:rPr>
        <w:t xml:space="preserve">- </w:t>
      </w:r>
      <w:r w:rsidRPr="00A22858">
        <w:rPr>
          <w:rFonts w:asciiTheme="minorBidi" w:hAnsiTheme="minorBidi" w:cs="Arial"/>
          <w:rtl/>
        </w:rPr>
        <w:t>כיון דהפת ליתיה בעיניה על תערובתו לא גזרו</w:t>
      </w:r>
      <w:r>
        <w:rPr>
          <w:rFonts w:asciiTheme="minorBidi" w:hAnsiTheme="minorBidi" w:cs="Arial" w:hint="cs"/>
          <w:rtl/>
        </w:rPr>
        <w:t>...</w:t>
      </w:r>
      <w:r w:rsidRPr="00A22858">
        <w:rPr>
          <w:rFonts w:asciiTheme="minorBidi" w:hAnsiTheme="minorBidi" w:cs="Arial"/>
          <w:rtl/>
        </w:rPr>
        <w:t xml:space="preserve"> ואף במין בשאינו מינו יש להתיר דומיא דדמאי</w:t>
      </w:r>
      <w:r>
        <w:rPr>
          <w:rFonts w:asciiTheme="minorBidi" w:hAnsiTheme="minorBidi" w:cs="Arial" w:hint="cs"/>
          <w:rtl/>
        </w:rPr>
        <w:t>.</w:t>
      </w:r>
      <w:r w:rsidRPr="00045578">
        <w:rPr>
          <w:rFonts w:asciiTheme="minorBidi" w:hAnsiTheme="minorBidi" w:cs="Arial" w:hint="cs"/>
          <w:rtl/>
        </w:rPr>
        <w:t xml:space="preserve"> </w:t>
      </w:r>
      <w:r>
        <w:rPr>
          <w:rFonts w:asciiTheme="minorBidi" w:hAnsiTheme="minorBidi" w:cs="Arial" w:hint="cs"/>
          <w:rtl/>
        </w:rPr>
        <w:t>ו</w:t>
      </w:r>
      <w:r w:rsidRPr="00A22858">
        <w:rPr>
          <w:rFonts w:asciiTheme="minorBidi" w:hAnsiTheme="minorBidi" w:cs="Arial"/>
          <w:rtl/>
        </w:rPr>
        <w:t>מדברי ר</w:t>
      </w:r>
      <w:r>
        <w:rPr>
          <w:rFonts w:asciiTheme="minorBidi" w:hAnsiTheme="minorBidi" w:cs="Arial" w:hint="cs"/>
          <w:rtl/>
        </w:rPr>
        <w:t>"ח</w:t>
      </w:r>
      <w:r>
        <w:rPr>
          <w:rFonts w:asciiTheme="minorBidi" w:hAnsiTheme="minorBidi" w:cs="Arial"/>
          <w:rtl/>
        </w:rPr>
        <w:t xml:space="preserve"> </w:t>
      </w:r>
      <w:r w:rsidRPr="00A22858">
        <w:rPr>
          <w:rFonts w:asciiTheme="minorBidi" w:hAnsiTheme="minorBidi" w:cs="Arial" w:hint="cs"/>
          <w:sz w:val="16"/>
          <w:szCs w:val="16"/>
          <w:rtl/>
        </w:rPr>
        <w:t>(</w:t>
      </w:r>
      <w:r w:rsidRPr="00A22858">
        <w:rPr>
          <w:rFonts w:asciiTheme="minorBidi" w:hAnsiTheme="minorBidi" w:cs="Arial"/>
          <w:sz w:val="16"/>
          <w:szCs w:val="16"/>
          <w:rtl/>
        </w:rPr>
        <w:t>ע</w:t>
      </w:r>
      <w:r w:rsidRPr="00A22858">
        <w:rPr>
          <w:rFonts w:asciiTheme="minorBidi" w:hAnsiTheme="minorBidi" w:cs="Arial" w:hint="cs"/>
          <w:sz w:val="16"/>
          <w:szCs w:val="16"/>
          <w:rtl/>
        </w:rPr>
        <w:t>"ז</w:t>
      </w:r>
      <w:r w:rsidRPr="00A22858">
        <w:rPr>
          <w:rFonts w:asciiTheme="minorBidi" w:hAnsiTheme="minorBidi" w:cs="Arial"/>
          <w:sz w:val="16"/>
          <w:szCs w:val="16"/>
          <w:rtl/>
        </w:rPr>
        <w:t xml:space="preserve"> לח</w:t>
      </w:r>
      <w:r w:rsidRPr="00A22858">
        <w:rPr>
          <w:rFonts w:asciiTheme="minorBidi" w:hAnsiTheme="minorBidi" w:cs="Arial" w:hint="cs"/>
          <w:sz w:val="16"/>
          <w:szCs w:val="16"/>
          <w:rtl/>
        </w:rPr>
        <w:t>.</w:t>
      </w:r>
      <w:r w:rsidRPr="00A22858">
        <w:rPr>
          <w:rFonts w:asciiTheme="minorBidi" w:hAnsiTheme="minorBidi" w:cs="Arial"/>
          <w:sz w:val="16"/>
          <w:szCs w:val="16"/>
          <w:rtl/>
        </w:rPr>
        <w:t xml:space="preserve"> ד"ה ודייסא</w:t>
      </w:r>
      <w:r>
        <w:rPr>
          <w:rFonts w:asciiTheme="minorBidi" w:hAnsiTheme="minorBidi" w:cs="Arial" w:hint="cs"/>
          <w:sz w:val="16"/>
          <w:szCs w:val="16"/>
          <w:rtl/>
        </w:rPr>
        <w:t>)</w:t>
      </w:r>
      <w:r w:rsidRPr="00A22858">
        <w:rPr>
          <w:rFonts w:asciiTheme="minorBidi" w:hAnsiTheme="minorBidi" w:cs="Arial"/>
          <w:rtl/>
        </w:rPr>
        <w:t xml:space="preserve"> שהביא הרשב"א </w:t>
      </w:r>
      <w:r w:rsidRPr="00A22858">
        <w:rPr>
          <w:rFonts w:asciiTheme="minorBidi" w:hAnsiTheme="minorBidi" w:cs="Arial" w:hint="cs"/>
          <w:sz w:val="16"/>
          <w:szCs w:val="16"/>
          <w:rtl/>
        </w:rPr>
        <w:t xml:space="preserve">(בתוה"ב ב"ג ש"ז </w:t>
      </w:r>
      <w:r w:rsidRPr="00A22858">
        <w:rPr>
          <w:rFonts w:asciiTheme="minorBidi" w:hAnsiTheme="minorBidi" w:cs="Arial"/>
          <w:sz w:val="16"/>
          <w:szCs w:val="16"/>
          <w:rtl/>
        </w:rPr>
        <w:t>צג</w:t>
      </w:r>
      <w:r w:rsidRPr="00A22858">
        <w:rPr>
          <w:rFonts w:asciiTheme="minorBidi" w:hAnsiTheme="minorBidi" w:cs="Arial" w:hint="cs"/>
          <w:sz w:val="16"/>
          <w:szCs w:val="16"/>
          <w:rtl/>
        </w:rPr>
        <w:t>.)</w:t>
      </w:r>
      <w:r w:rsidRPr="00A22858">
        <w:rPr>
          <w:rFonts w:asciiTheme="minorBidi" w:hAnsiTheme="minorBidi" w:cs="Arial"/>
          <w:sz w:val="16"/>
          <w:szCs w:val="16"/>
          <w:rtl/>
        </w:rPr>
        <w:t xml:space="preserve"> </w:t>
      </w:r>
      <w:r w:rsidRPr="00A22858">
        <w:rPr>
          <w:rFonts w:asciiTheme="minorBidi" w:hAnsiTheme="minorBidi" w:cs="Arial"/>
          <w:rtl/>
        </w:rPr>
        <w:t xml:space="preserve">משמע דטעמא דהוי פת העשוי בחמה דפטור מן החלה </w:t>
      </w:r>
      <w:r w:rsidRPr="00A22858">
        <w:rPr>
          <w:rFonts w:asciiTheme="minorBidi" w:hAnsiTheme="minorBidi" w:cs="Arial" w:hint="cs"/>
          <w:sz w:val="16"/>
          <w:szCs w:val="16"/>
          <w:rtl/>
        </w:rPr>
        <w:t>(ברכות לז:)</w:t>
      </w:r>
      <w:r w:rsidRPr="00A22858">
        <w:rPr>
          <w:rFonts w:asciiTheme="minorBidi" w:hAnsiTheme="minorBidi" w:cs="Arial"/>
          <w:rtl/>
        </w:rPr>
        <w:t xml:space="preserve"> ולא נכנס בגזרת הפת שאסרו חכמים משום חתנות, והכל אמת.</w:t>
      </w:r>
    </w:p>
    <w:p w14:paraId="01D78F47" w14:textId="77777777" w:rsidR="004C5A3C" w:rsidRPr="00045578" w:rsidRDefault="004C5A3C" w:rsidP="002C39F4">
      <w:pPr>
        <w:pStyle w:val="a5"/>
        <w:rPr>
          <w:rFonts w:cs="Arial"/>
          <w:u w:val="single"/>
        </w:rPr>
      </w:pPr>
      <w:r w:rsidRPr="001978E5">
        <w:rPr>
          <w:rFonts w:cs="Arial" w:hint="cs"/>
          <w:rtl/>
        </w:rPr>
        <w:t xml:space="preserve">  </w:t>
      </w:r>
      <w:r w:rsidRPr="00045578">
        <w:rPr>
          <w:rFonts w:cs="Arial" w:hint="cs"/>
          <w:u w:val="single"/>
          <w:rtl/>
        </w:rPr>
        <w:t xml:space="preserve">מדוע אין חוששין משום </w:t>
      </w:r>
      <w:r>
        <w:rPr>
          <w:rFonts w:cs="Arial" w:hint="cs"/>
          <w:u w:val="single"/>
          <w:rtl/>
        </w:rPr>
        <w:t>ה</w:t>
      </w:r>
      <w:r w:rsidRPr="00045578">
        <w:rPr>
          <w:rFonts w:asciiTheme="minorBidi" w:hAnsiTheme="minorBidi" w:cs="Arial"/>
          <w:u w:val="single"/>
          <w:rtl/>
        </w:rPr>
        <w:t xml:space="preserve">חלב דאית ביה </w:t>
      </w:r>
      <w:r>
        <w:rPr>
          <w:rFonts w:asciiTheme="minorBidi" w:hAnsiTheme="minorBidi" w:cs="Arial"/>
          <w:u w:val="single"/>
          <w:rtl/>
        </w:rPr>
        <w:t>–</w:t>
      </w:r>
      <w:r>
        <w:rPr>
          <w:rFonts w:asciiTheme="minorBidi" w:hAnsiTheme="minorBidi" w:cs="Arial" w:hint="cs"/>
          <w:u w:val="single"/>
          <w:rtl/>
        </w:rPr>
        <w:t xml:space="preserve"> </w:t>
      </w:r>
      <w:r w:rsidRPr="00045578">
        <w:rPr>
          <w:rFonts w:asciiTheme="minorBidi" w:hAnsiTheme="minorBidi" w:cs="Arial"/>
          <w:u w:val="single"/>
          <w:rtl/>
        </w:rPr>
        <w:t>דה</w:t>
      </w:r>
      <w:r>
        <w:rPr>
          <w:rFonts w:asciiTheme="minorBidi" w:hAnsiTheme="minorBidi" w:cs="Arial" w:hint="cs"/>
          <w:u w:val="single"/>
          <w:rtl/>
        </w:rPr>
        <w:t>רי הוא</w:t>
      </w:r>
      <w:r w:rsidRPr="00045578">
        <w:rPr>
          <w:rFonts w:asciiTheme="minorBidi" w:hAnsiTheme="minorBidi" w:cs="Arial"/>
          <w:u w:val="single"/>
          <w:rtl/>
        </w:rPr>
        <w:t xml:space="preserve"> חלב שחלבו גוי ואין ישראל רואהו</w:t>
      </w:r>
      <w:r w:rsidRPr="00045578">
        <w:rPr>
          <w:rFonts w:cs="Arial" w:hint="cs"/>
          <w:u w:val="single"/>
          <w:rtl/>
        </w:rPr>
        <w:t>:</w:t>
      </w:r>
    </w:p>
    <w:p w14:paraId="45A04852" w14:textId="77777777" w:rsidR="004C5A3C" w:rsidRDefault="004C5A3C" w:rsidP="0032102C">
      <w:pPr>
        <w:pStyle w:val="a5"/>
        <w:numPr>
          <w:ilvl w:val="0"/>
          <w:numId w:val="276"/>
        </w:numPr>
        <w:rPr>
          <w:rFonts w:cs="Arial"/>
        </w:rPr>
      </w:pPr>
      <w:r w:rsidRPr="001978E5">
        <w:rPr>
          <w:rFonts w:asciiTheme="minorBidi" w:hAnsiTheme="minorBidi" w:cs="Arial"/>
          <w:rtl/>
        </w:rPr>
        <w:t xml:space="preserve">מהר"ם </w:t>
      </w:r>
      <w:r w:rsidRPr="0083592C">
        <w:rPr>
          <w:rFonts w:asciiTheme="minorBidi" w:hAnsiTheme="minorBidi" w:cs="Arial" w:hint="cs"/>
          <w:sz w:val="16"/>
          <w:szCs w:val="16"/>
          <w:rtl/>
        </w:rPr>
        <w:t>(ד"פ סי' קנד)</w:t>
      </w:r>
      <w:r w:rsidRPr="001978E5">
        <w:rPr>
          <w:rFonts w:hint="cs"/>
          <w:rtl/>
        </w:rPr>
        <w:t xml:space="preserve"> </w:t>
      </w:r>
      <w:r>
        <w:rPr>
          <w:rFonts w:cs="Arial" w:hint="cs"/>
          <w:rtl/>
        </w:rPr>
        <w:t xml:space="preserve">מרדכי </w:t>
      </w:r>
      <w:r w:rsidRPr="002B5A15">
        <w:rPr>
          <w:rFonts w:cs="Arial" w:hint="cs"/>
          <w:sz w:val="16"/>
          <w:szCs w:val="16"/>
          <w:rtl/>
        </w:rPr>
        <w:t>(חולין סי' תקצ)</w:t>
      </w:r>
      <w:r>
        <w:rPr>
          <w:rFonts w:hint="cs"/>
          <w:rtl/>
        </w:rPr>
        <w:t xml:space="preserve"> </w:t>
      </w:r>
      <w:r w:rsidRPr="00045578">
        <w:rPr>
          <w:rFonts w:asciiTheme="minorBidi" w:hAnsiTheme="minorBidi" w:cs="Arial"/>
          <w:rtl/>
        </w:rPr>
        <w:t xml:space="preserve">מהרש"ל </w:t>
      </w:r>
      <w:r w:rsidRPr="0083592C">
        <w:rPr>
          <w:rFonts w:asciiTheme="minorBidi" w:hAnsiTheme="minorBidi" w:cs="Arial" w:hint="cs"/>
          <w:sz w:val="16"/>
          <w:szCs w:val="16"/>
          <w:rtl/>
        </w:rPr>
        <w:t>(</w:t>
      </w:r>
      <w:r w:rsidRPr="0083592C">
        <w:rPr>
          <w:rFonts w:asciiTheme="minorBidi" w:hAnsiTheme="minorBidi" w:cs="Arial"/>
          <w:sz w:val="16"/>
          <w:szCs w:val="16"/>
          <w:rtl/>
        </w:rPr>
        <w:t>הובא בפרישה אות יז</w:t>
      </w:r>
      <w:r w:rsidRPr="0083592C">
        <w:rPr>
          <w:rFonts w:asciiTheme="minorBidi" w:hAnsiTheme="minorBidi" w:cs="Arial" w:hint="cs"/>
          <w:sz w:val="16"/>
          <w:szCs w:val="16"/>
          <w:rtl/>
        </w:rPr>
        <w:t>)</w:t>
      </w:r>
      <w:r>
        <w:rPr>
          <w:rFonts w:asciiTheme="minorBidi" w:hAnsiTheme="minorBidi" w:cs="Arial" w:hint="cs"/>
          <w:sz w:val="16"/>
          <w:szCs w:val="16"/>
          <w:rtl/>
        </w:rPr>
        <w:t xml:space="preserve"> </w:t>
      </w:r>
      <w:r>
        <w:rPr>
          <w:rFonts w:hint="cs"/>
          <w:rtl/>
        </w:rPr>
        <w:t xml:space="preserve">ב"ח ש"ך </w:t>
      </w:r>
      <w:r>
        <w:rPr>
          <w:rFonts w:hint="cs"/>
          <w:sz w:val="16"/>
          <w:szCs w:val="16"/>
          <w:rtl/>
        </w:rPr>
        <w:t xml:space="preserve">(סקכ"ב) </w:t>
      </w:r>
      <w:r>
        <w:rPr>
          <w:rFonts w:hint="cs"/>
          <w:rtl/>
        </w:rPr>
        <w:t xml:space="preserve">ופר"ח </w:t>
      </w:r>
      <w:r w:rsidRPr="0083592C">
        <w:rPr>
          <w:rFonts w:hint="cs"/>
          <w:sz w:val="16"/>
          <w:szCs w:val="16"/>
          <w:rtl/>
        </w:rPr>
        <w:t>(סקכ"ד)</w:t>
      </w:r>
      <w:r>
        <w:rPr>
          <w:rFonts w:asciiTheme="minorBidi" w:hAnsiTheme="minorBidi" w:cs="Arial" w:hint="cs"/>
          <w:rtl/>
        </w:rPr>
        <w:t>- טעמא</w:t>
      </w:r>
      <w:r w:rsidRPr="001978E5">
        <w:rPr>
          <w:rFonts w:asciiTheme="minorBidi" w:hAnsiTheme="minorBidi" w:cs="Arial"/>
          <w:rtl/>
        </w:rPr>
        <w:t xml:space="preserve"> דכותח של גוים שרי משום דחלב טמא אינו עומד ולכותח לא חזי</w:t>
      </w:r>
      <w:r>
        <w:rPr>
          <w:rFonts w:asciiTheme="minorBidi" w:hAnsiTheme="minorBidi" w:cs="Arial"/>
          <w:rtl/>
        </w:rPr>
        <w:t xml:space="preserve"> </w:t>
      </w:r>
      <w:r>
        <w:rPr>
          <w:rFonts w:asciiTheme="minorBidi" w:hAnsiTheme="minorBidi" w:cs="Arial" w:hint="cs"/>
          <w:sz w:val="16"/>
          <w:szCs w:val="16"/>
          <w:rtl/>
        </w:rPr>
        <w:t>(ל' מהר"ם, ופירש הפר"ח (שם) ד</w:t>
      </w:r>
      <w:r w:rsidRPr="001978E5">
        <w:rPr>
          <w:rFonts w:asciiTheme="minorBidi" w:hAnsiTheme="minorBidi" w:cs="Arial"/>
          <w:sz w:val="16"/>
          <w:szCs w:val="16"/>
          <w:rtl/>
        </w:rPr>
        <w:t>י</w:t>
      </w:r>
      <w:r w:rsidRPr="001978E5">
        <w:rPr>
          <w:rFonts w:asciiTheme="minorBidi" w:hAnsiTheme="minorBidi" w:cs="Arial" w:hint="cs"/>
          <w:sz w:val="16"/>
          <w:szCs w:val="16"/>
          <w:rtl/>
        </w:rPr>
        <w:t>"</w:t>
      </w:r>
      <w:r w:rsidRPr="001978E5">
        <w:rPr>
          <w:rFonts w:asciiTheme="minorBidi" w:hAnsiTheme="minorBidi" w:cs="Arial"/>
          <w:sz w:val="16"/>
          <w:szCs w:val="16"/>
          <w:rtl/>
        </w:rPr>
        <w:t>ל דהכותח אינו נעשה אלא מנסיובי דחלבא</w:t>
      </w:r>
      <w:r>
        <w:rPr>
          <w:rFonts w:asciiTheme="minorBidi" w:hAnsiTheme="minorBidi" w:cs="Arial" w:hint="cs"/>
          <w:sz w:val="16"/>
          <w:szCs w:val="16"/>
          <w:rtl/>
        </w:rPr>
        <w:t xml:space="preserve">, </w:t>
      </w:r>
      <w:r w:rsidRPr="0083592C">
        <w:rPr>
          <w:rFonts w:asciiTheme="minorBidi" w:hAnsiTheme="minorBidi" w:cs="Arial"/>
          <w:sz w:val="16"/>
          <w:szCs w:val="16"/>
          <w:rtl/>
        </w:rPr>
        <w:t>והנסיובי דחלבא הוי מה שנשאר אחר שעושין הגבינה, וידוע שחלב טמא אינו עומד</w:t>
      </w:r>
      <w:r>
        <w:rPr>
          <w:rFonts w:asciiTheme="minorBidi" w:hAnsiTheme="minorBidi" w:cs="Arial" w:hint="cs"/>
          <w:sz w:val="16"/>
          <w:szCs w:val="16"/>
          <w:rtl/>
        </w:rPr>
        <w:t xml:space="preserve"> {לכן כל נסיובי כשר משום שנסיובי יוצא רק מחלב של טהורה לאחר שמעמידים אותו לגבינה}, </w:t>
      </w:r>
      <w:r w:rsidRPr="0083592C">
        <w:rPr>
          <w:rFonts w:asciiTheme="minorBidi" w:hAnsiTheme="minorBidi" w:cs="Arial"/>
          <w:sz w:val="16"/>
          <w:szCs w:val="16"/>
          <w:rtl/>
        </w:rPr>
        <w:t>ואע</w:t>
      </w:r>
      <w:r w:rsidRPr="0083592C">
        <w:rPr>
          <w:rFonts w:asciiTheme="minorBidi" w:hAnsiTheme="minorBidi" w:cs="Arial" w:hint="cs"/>
          <w:sz w:val="16"/>
          <w:szCs w:val="16"/>
          <w:rtl/>
        </w:rPr>
        <w:t>"</w:t>
      </w:r>
      <w:r w:rsidRPr="0083592C">
        <w:rPr>
          <w:rFonts w:asciiTheme="minorBidi" w:hAnsiTheme="minorBidi" w:cs="Arial"/>
          <w:sz w:val="16"/>
          <w:szCs w:val="16"/>
          <w:rtl/>
        </w:rPr>
        <w:t xml:space="preserve">פ שהמרדכי </w:t>
      </w:r>
      <w:r w:rsidRPr="0083592C">
        <w:rPr>
          <w:rFonts w:asciiTheme="minorBidi" w:hAnsiTheme="minorBidi" w:cs="Arial" w:hint="cs"/>
          <w:sz w:val="16"/>
          <w:szCs w:val="16"/>
          <w:rtl/>
        </w:rPr>
        <w:t>(ע"ז סי'</w:t>
      </w:r>
      <w:r w:rsidRPr="0083592C">
        <w:rPr>
          <w:rFonts w:asciiTheme="minorBidi" w:hAnsiTheme="minorBidi" w:cs="Arial"/>
          <w:sz w:val="16"/>
          <w:szCs w:val="16"/>
          <w:rtl/>
        </w:rPr>
        <w:t xml:space="preserve"> תתכו</w:t>
      </w:r>
      <w:r w:rsidRPr="0083592C">
        <w:rPr>
          <w:rFonts w:asciiTheme="minorBidi" w:hAnsiTheme="minorBidi" w:cs="Arial" w:hint="cs"/>
          <w:sz w:val="16"/>
          <w:szCs w:val="16"/>
          <w:rtl/>
        </w:rPr>
        <w:t>)</w:t>
      </w:r>
      <w:r w:rsidRPr="0083592C">
        <w:rPr>
          <w:rFonts w:asciiTheme="minorBidi" w:hAnsiTheme="minorBidi" w:cs="Arial"/>
          <w:sz w:val="16"/>
          <w:szCs w:val="16"/>
          <w:rtl/>
        </w:rPr>
        <w:t xml:space="preserve"> כ</w:t>
      </w:r>
      <w:r w:rsidRPr="0083592C">
        <w:rPr>
          <w:rFonts w:asciiTheme="minorBidi" w:hAnsiTheme="minorBidi" w:cs="Arial" w:hint="cs"/>
          <w:sz w:val="16"/>
          <w:szCs w:val="16"/>
          <w:rtl/>
        </w:rPr>
        <w:t>'</w:t>
      </w:r>
      <w:r w:rsidRPr="0083592C">
        <w:rPr>
          <w:rFonts w:asciiTheme="minorBidi" w:hAnsiTheme="minorBidi" w:cs="Arial"/>
          <w:sz w:val="16"/>
          <w:szCs w:val="16"/>
          <w:rtl/>
        </w:rPr>
        <w:t xml:space="preserve"> בשם ר"ת שאם ידוע שיש בחמאה נסיובי דחלבא אסור אבל מספק לא אסרינן דספק דרבנן לקולא, אנן לא קיי</w:t>
      </w:r>
      <w:r w:rsidRPr="0083592C">
        <w:rPr>
          <w:rFonts w:asciiTheme="minorBidi" w:hAnsiTheme="minorBidi" w:cs="Arial" w:hint="cs"/>
          <w:sz w:val="16"/>
          <w:szCs w:val="16"/>
          <w:rtl/>
        </w:rPr>
        <w:t>"</w:t>
      </w:r>
      <w:r w:rsidRPr="0083592C">
        <w:rPr>
          <w:rFonts w:asciiTheme="minorBidi" w:hAnsiTheme="minorBidi" w:cs="Arial"/>
          <w:sz w:val="16"/>
          <w:szCs w:val="16"/>
          <w:rtl/>
        </w:rPr>
        <w:t>ל כותיה בהא אלא בכל גוונא יש להתיר מטעמא דכתיבנא</w:t>
      </w:r>
      <w:r>
        <w:rPr>
          <w:rFonts w:asciiTheme="minorBidi" w:hAnsiTheme="minorBidi" w:cs="Arial" w:hint="cs"/>
          <w:sz w:val="16"/>
          <w:szCs w:val="16"/>
          <w:rtl/>
        </w:rPr>
        <w:t>)</w:t>
      </w:r>
      <w:r>
        <w:rPr>
          <w:rFonts w:cs="Arial" w:hint="cs"/>
          <w:rtl/>
        </w:rPr>
        <w:t>.</w:t>
      </w:r>
    </w:p>
    <w:p w14:paraId="31034E1B" w14:textId="77777777" w:rsidR="004C5A3C" w:rsidRPr="00045578" w:rsidRDefault="004C5A3C" w:rsidP="0032102C">
      <w:pPr>
        <w:pStyle w:val="a5"/>
        <w:numPr>
          <w:ilvl w:val="0"/>
          <w:numId w:val="276"/>
        </w:numPr>
        <w:rPr>
          <w:rFonts w:cs="Arial"/>
        </w:rPr>
      </w:pPr>
      <w:r>
        <w:rPr>
          <w:rFonts w:cs="Arial" w:hint="cs"/>
          <w:rtl/>
        </w:rPr>
        <w:t xml:space="preserve">ט"ז </w:t>
      </w:r>
      <w:r w:rsidRPr="00DB15E2">
        <w:rPr>
          <w:rFonts w:cs="Arial" w:hint="cs"/>
          <w:sz w:val="16"/>
          <w:szCs w:val="16"/>
          <w:rtl/>
        </w:rPr>
        <w:t>(סק"ט)</w:t>
      </w:r>
      <w:r>
        <w:rPr>
          <w:rFonts w:cs="Arial" w:hint="cs"/>
          <w:rtl/>
        </w:rPr>
        <w:t xml:space="preserve">- </w:t>
      </w:r>
      <w:r w:rsidRPr="00DB15E2">
        <w:rPr>
          <w:rFonts w:cs="Arial"/>
          <w:rtl/>
        </w:rPr>
        <w:t>ודאי כותח של עובד כוכבים אסור אלא דכאן מיירי שנעשה בהכשר שישראל רואהו אלא שהעובד כוכבים נותן שם פת שלו דאין בזה משום איסור פת של עובד כוכבים</w:t>
      </w:r>
      <w:r>
        <w:rPr>
          <w:rFonts w:cs="Arial" w:hint="cs"/>
          <w:rtl/>
        </w:rPr>
        <w:t>.</w:t>
      </w:r>
      <w:r>
        <w:rPr>
          <w:rFonts w:cs="Arial" w:hint="cs"/>
          <w:sz w:val="16"/>
          <w:szCs w:val="16"/>
          <w:rtl/>
        </w:rPr>
        <w:t xml:space="preserve"> (וכ' הפר"ח (שם)- </w:t>
      </w:r>
      <w:r w:rsidRPr="0083592C">
        <w:rPr>
          <w:rFonts w:asciiTheme="minorBidi" w:hAnsiTheme="minorBidi" w:cs="Arial"/>
          <w:sz w:val="16"/>
          <w:szCs w:val="16"/>
          <w:rtl/>
        </w:rPr>
        <w:t xml:space="preserve">ומה שהקשה הט"ז </w:t>
      </w:r>
      <w:r w:rsidRPr="0083592C">
        <w:rPr>
          <w:rFonts w:asciiTheme="minorBidi" w:hAnsiTheme="minorBidi" w:cs="Arial" w:hint="cs"/>
          <w:sz w:val="16"/>
          <w:szCs w:val="16"/>
          <w:rtl/>
        </w:rPr>
        <w:t>(</w:t>
      </w:r>
      <w:r w:rsidRPr="0083592C">
        <w:rPr>
          <w:rFonts w:asciiTheme="minorBidi" w:hAnsiTheme="minorBidi" w:cs="Arial"/>
          <w:sz w:val="16"/>
          <w:szCs w:val="16"/>
          <w:rtl/>
        </w:rPr>
        <w:t>סק</w:t>
      </w:r>
      <w:r w:rsidRPr="0083592C">
        <w:rPr>
          <w:rFonts w:asciiTheme="minorBidi" w:hAnsiTheme="minorBidi" w:cs="Arial" w:hint="cs"/>
          <w:sz w:val="16"/>
          <w:szCs w:val="16"/>
          <w:rtl/>
        </w:rPr>
        <w:t>"</w:t>
      </w:r>
      <w:r w:rsidRPr="0083592C">
        <w:rPr>
          <w:rFonts w:asciiTheme="minorBidi" w:hAnsiTheme="minorBidi" w:cs="Arial"/>
          <w:sz w:val="16"/>
          <w:szCs w:val="16"/>
          <w:rtl/>
        </w:rPr>
        <w:t>ט</w:t>
      </w:r>
      <w:r w:rsidRPr="0083592C">
        <w:rPr>
          <w:rFonts w:asciiTheme="minorBidi" w:hAnsiTheme="minorBidi" w:cs="Arial" w:hint="cs"/>
          <w:sz w:val="16"/>
          <w:szCs w:val="16"/>
          <w:rtl/>
        </w:rPr>
        <w:t>)</w:t>
      </w:r>
      <w:r w:rsidRPr="0083592C">
        <w:rPr>
          <w:rFonts w:asciiTheme="minorBidi" w:hAnsiTheme="minorBidi" w:cs="Arial"/>
          <w:sz w:val="16"/>
          <w:szCs w:val="16"/>
          <w:rtl/>
        </w:rPr>
        <w:t xml:space="preserve"> דאיתא בש"ס </w:t>
      </w:r>
      <w:r w:rsidRPr="0083592C">
        <w:rPr>
          <w:rFonts w:asciiTheme="minorBidi" w:hAnsiTheme="minorBidi" w:cs="Arial" w:hint="cs"/>
          <w:sz w:val="16"/>
          <w:szCs w:val="16"/>
          <w:rtl/>
        </w:rPr>
        <w:t>(ע"ז לה:)</w:t>
      </w:r>
      <w:r w:rsidRPr="0083592C">
        <w:rPr>
          <w:rFonts w:asciiTheme="minorBidi" w:hAnsiTheme="minorBidi" w:cs="Arial"/>
          <w:sz w:val="16"/>
          <w:szCs w:val="16"/>
          <w:rtl/>
        </w:rPr>
        <w:t xml:space="preserve"> דחולב לכמכא והוא כותח דהחלב אסור, לא קשיא מידי דהחלב בעיניה ודאי אסיר וכשנעשה כותח שרי, וכן חמאה של גוים התירה ר"ת, ואם חלב לחמאה משמע ודאי דאסיר משום חלב שחלבו גוי ואין ישראל רואהו, אלא דכשעשאו חמאה לבסוף הוכיח סופו על תחלתו שלא היה בו שום חשש תערובת חלב טמא ושריא, ולא דמי למה שכתב המרדכי </w:t>
      </w:r>
      <w:r w:rsidRPr="0083592C">
        <w:rPr>
          <w:rFonts w:asciiTheme="minorBidi" w:hAnsiTheme="minorBidi" w:cs="Arial" w:hint="cs"/>
          <w:sz w:val="16"/>
          <w:szCs w:val="16"/>
          <w:rtl/>
        </w:rPr>
        <w:t>(</w:t>
      </w:r>
      <w:r w:rsidRPr="0083592C">
        <w:rPr>
          <w:rFonts w:asciiTheme="minorBidi" w:hAnsiTheme="minorBidi" w:cs="Arial"/>
          <w:sz w:val="16"/>
          <w:szCs w:val="16"/>
          <w:rtl/>
        </w:rPr>
        <w:t>שם</w:t>
      </w:r>
      <w:r w:rsidRPr="0083592C">
        <w:rPr>
          <w:rFonts w:asciiTheme="minorBidi" w:hAnsiTheme="minorBidi" w:cs="Arial" w:hint="cs"/>
          <w:sz w:val="16"/>
          <w:szCs w:val="16"/>
          <w:rtl/>
        </w:rPr>
        <w:t>)</w:t>
      </w:r>
      <w:r w:rsidRPr="0083592C">
        <w:rPr>
          <w:rFonts w:asciiTheme="minorBidi" w:hAnsiTheme="minorBidi" w:cs="Arial"/>
          <w:sz w:val="16"/>
          <w:szCs w:val="16"/>
          <w:rtl/>
        </w:rPr>
        <w:t xml:space="preserve"> בשם ר"ת שאם חלב לצורך אכילת חלב שאף אם נמלך לחמאה אסיר, דשאני התם שכבר נאסר לגמרי משום גזרת חכמים מדין חלב שחלבו גוי ואין ישראל רואהו ותו לא פקע איסוריה במה שעשאו חמאה, אבל חלב שחלב גוי לצורך חמאה או כותח וכיוצא כל כמה דלא </w:t>
      </w:r>
      <w:r>
        <w:rPr>
          <w:rFonts w:asciiTheme="minorBidi" w:hAnsiTheme="minorBidi" w:cs="Arial"/>
          <w:sz w:val="16"/>
          <w:szCs w:val="16"/>
          <w:rtl/>
        </w:rPr>
        <w:t>חזינן מעשה שיהא מוכיח על מחשבתו</w:t>
      </w:r>
      <w:r w:rsidRPr="0083592C">
        <w:rPr>
          <w:rFonts w:asciiTheme="minorBidi" w:hAnsiTheme="minorBidi" w:cs="Arial"/>
          <w:sz w:val="16"/>
          <w:szCs w:val="16"/>
          <w:rtl/>
        </w:rPr>
        <w:t xml:space="preserve"> </w:t>
      </w:r>
      <w:r>
        <w:rPr>
          <w:rFonts w:asciiTheme="minorBidi" w:hAnsiTheme="minorBidi" w:cs="Arial" w:hint="cs"/>
          <w:sz w:val="16"/>
          <w:szCs w:val="16"/>
          <w:rtl/>
        </w:rPr>
        <w:t xml:space="preserve">- </w:t>
      </w:r>
      <w:r w:rsidRPr="0083592C">
        <w:rPr>
          <w:rFonts w:asciiTheme="minorBidi" w:hAnsiTheme="minorBidi" w:cs="Arial"/>
          <w:sz w:val="16"/>
          <w:szCs w:val="16"/>
          <w:rtl/>
        </w:rPr>
        <w:t>מידי ספיקא דתערובת חלב טמא לא נפיק, ולהכי אסור עד שיהא עשוי חמאה או כותח דאז אף על הסתם תלינן להקל דמתחלה אדעתא דהכי חלבו ושרי</w:t>
      </w:r>
      <w:r>
        <w:rPr>
          <w:rFonts w:cs="Arial" w:hint="cs"/>
          <w:sz w:val="16"/>
          <w:szCs w:val="16"/>
          <w:rtl/>
        </w:rPr>
        <w:t>)</w:t>
      </w:r>
    </w:p>
    <w:p w14:paraId="66D823E5" w14:textId="77777777" w:rsidR="004C5A3C" w:rsidRPr="00045578" w:rsidRDefault="004C5A3C" w:rsidP="002C39F4">
      <w:pPr>
        <w:pStyle w:val="a5"/>
        <w:rPr>
          <w:rFonts w:cs="Arial"/>
          <w:u w:val="single"/>
        </w:rPr>
      </w:pPr>
      <w:r w:rsidRPr="001978E5">
        <w:rPr>
          <w:rFonts w:cs="Arial" w:hint="cs"/>
          <w:rtl/>
        </w:rPr>
        <w:t xml:space="preserve">  </w:t>
      </w:r>
      <w:r>
        <w:rPr>
          <w:rFonts w:cs="Arial" w:hint="cs"/>
          <w:u w:val="single"/>
          <w:rtl/>
        </w:rPr>
        <w:t xml:space="preserve">למתירים </w:t>
      </w:r>
      <w:r w:rsidRPr="00311C67">
        <w:rPr>
          <w:rFonts w:cs="Arial" w:hint="cs"/>
          <w:sz w:val="14"/>
          <w:szCs w:val="14"/>
          <w:u w:val="single"/>
          <w:rtl/>
        </w:rPr>
        <w:t xml:space="preserve">(מהר"ם מרדכי מהרש"ל ב"ח ש"ך ופר"ח) </w:t>
      </w:r>
      <w:r>
        <w:rPr>
          <w:rFonts w:cs="Arial" w:hint="cs"/>
          <w:u w:val="single"/>
          <w:rtl/>
        </w:rPr>
        <w:t xml:space="preserve">- </w:t>
      </w:r>
      <w:r w:rsidRPr="00045578">
        <w:rPr>
          <w:rFonts w:cs="Arial" w:hint="cs"/>
          <w:u w:val="single"/>
          <w:rtl/>
        </w:rPr>
        <w:t xml:space="preserve">מדוע </w:t>
      </w:r>
      <w:r>
        <w:rPr>
          <w:rFonts w:cs="Arial" w:hint="cs"/>
          <w:u w:val="single"/>
          <w:rtl/>
        </w:rPr>
        <w:t>ל</w:t>
      </w:r>
      <w:r w:rsidRPr="00045578">
        <w:rPr>
          <w:rFonts w:cs="Arial" w:hint="cs"/>
          <w:u w:val="single"/>
          <w:rtl/>
        </w:rPr>
        <w:t>א</w:t>
      </w:r>
      <w:r>
        <w:rPr>
          <w:rFonts w:cs="Arial" w:hint="cs"/>
          <w:u w:val="single"/>
          <w:rtl/>
        </w:rPr>
        <w:t xml:space="preserve"> נחשוש שנתערב בו מעט מחלב טמאה</w:t>
      </w:r>
      <w:r>
        <w:rPr>
          <w:rFonts w:cs="Arial" w:hint="cs"/>
          <w:sz w:val="16"/>
          <w:szCs w:val="16"/>
          <w:u w:val="single"/>
          <w:rtl/>
        </w:rPr>
        <w:t xml:space="preserve"> (וכך עדיין החלב טהורה יוכל לעמוד)</w:t>
      </w:r>
      <w:r w:rsidRPr="00045578">
        <w:rPr>
          <w:rFonts w:cs="Arial" w:hint="cs"/>
          <w:u w:val="single"/>
          <w:rtl/>
        </w:rPr>
        <w:t>:</w:t>
      </w:r>
    </w:p>
    <w:p w14:paraId="0CE5E9FA" w14:textId="77777777" w:rsidR="004C5A3C" w:rsidRDefault="004C5A3C" w:rsidP="0032102C">
      <w:pPr>
        <w:pStyle w:val="a5"/>
        <w:numPr>
          <w:ilvl w:val="0"/>
          <w:numId w:val="276"/>
        </w:numPr>
        <w:rPr>
          <w:rFonts w:cs="Arial"/>
        </w:rPr>
      </w:pPr>
      <w:r w:rsidRPr="00045578">
        <w:rPr>
          <w:rFonts w:asciiTheme="minorBidi" w:hAnsiTheme="minorBidi" w:cs="Arial"/>
          <w:rtl/>
        </w:rPr>
        <w:t xml:space="preserve">מהרש"ל </w:t>
      </w:r>
      <w:r w:rsidRPr="0083592C">
        <w:rPr>
          <w:rFonts w:asciiTheme="minorBidi" w:hAnsiTheme="minorBidi" w:cs="Arial" w:hint="cs"/>
          <w:sz w:val="16"/>
          <w:szCs w:val="16"/>
          <w:rtl/>
        </w:rPr>
        <w:t>(</w:t>
      </w:r>
      <w:r w:rsidRPr="0083592C">
        <w:rPr>
          <w:rFonts w:asciiTheme="minorBidi" w:hAnsiTheme="minorBidi" w:cs="Arial"/>
          <w:sz w:val="16"/>
          <w:szCs w:val="16"/>
          <w:rtl/>
        </w:rPr>
        <w:t>הובא בפרישה אות יז</w:t>
      </w:r>
      <w:r w:rsidRPr="0083592C">
        <w:rPr>
          <w:rFonts w:asciiTheme="minorBidi" w:hAnsiTheme="minorBidi" w:cs="Arial" w:hint="cs"/>
          <w:sz w:val="16"/>
          <w:szCs w:val="16"/>
          <w:rtl/>
        </w:rPr>
        <w:t>)</w:t>
      </w:r>
      <w:r>
        <w:rPr>
          <w:rFonts w:asciiTheme="minorBidi" w:hAnsiTheme="minorBidi" w:cs="Arial" w:hint="cs"/>
          <w:rtl/>
        </w:rPr>
        <w:t xml:space="preserve">- </w:t>
      </w:r>
      <w:r w:rsidRPr="00045578">
        <w:rPr>
          <w:rFonts w:asciiTheme="minorBidi" w:hAnsiTheme="minorBidi" w:cs="Arial"/>
          <w:rtl/>
        </w:rPr>
        <w:t>דמעט נסיובי דחלבא דאית ביה בטל במיעוטו ולא דמי לחמאה שאינו מעורב בה</w:t>
      </w:r>
      <w:r w:rsidRPr="0083592C">
        <w:rPr>
          <w:rFonts w:asciiTheme="minorBidi" w:hAnsiTheme="minorBidi" w:cs="Arial"/>
          <w:sz w:val="16"/>
          <w:szCs w:val="16"/>
          <w:rtl/>
        </w:rPr>
        <w:t xml:space="preserve"> </w:t>
      </w:r>
      <w:r>
        <w:rPr>
          <w:rFonts w:asciiTheme="minorBidi" w:hAnsiTheme="minorBidi" w:cs="Arial" w:hint="cs"/>
          <w:sz w:val="16"/>
          <w:szCs w:val="16"/>
          <w:rtl/>
        </w:rPr>
        <w:t>(וכ' הפר"ח (שם) ד</w:t>
      </w:r>
      <w:r w:rsidRPr="0083592C">
        <w:rPr>
          <w:rFonts w:asciiTheme="minorBidi" w:hAnsiTheme="minorBidi" w:cs="Arial"/>
          <w:sz w:val="16"/>
          <w:szCs w:val="16"/>
          <w:rtl/>
        </w:rPr>
        <w:t xml:space="preserve">אינו מחוור שהרי כתבו הרמב"ן </w:t>
      </w:r>
      <w:r w:rsidRPr="0083592C">
        <w:rPr>
          <w:rFonts w:asciiTheme="minorBidi" w:hAnsiTheme="minorBidi" w:cs="Arial" w:hint="cs"/>
          <w:sz w:val="16"/>
          <w:szCs w:val="16"/>
          <w:rtl/>
        </w:rPr>
        <w:t xml:space="preserve">(ע"ז </w:t>
      </w:r>
      <w:r w:rsidRPr="0083592C">
        <w:rPr>
          <w:rFonts w:asciiTheme="minorBidi" w:hAnsiTheme="minorBidi" w:cs="Arial"/>
          <w:sz w:val="16"/>
          <w:szCs w:val="16"/>
          <w:rtl/>
        </w:rPr>
        <w:t>לה</w:t>
      </w:r>
      <w:r w:rsidRPr="0083592C">
        <w:rPr>
          <w:rFonts w:asciiTheme="minorBidi" w:hAnsiTheme="minorBidi" w:cs="Arial" w:hint="cs"/>
          <w:sz w:val="16"/>
          <w:szCs w:val="16"/>
          <w:rtl/>
        </w:rPr>
        <w:t>.</w:t>
      </w:r>
      <w:r w:rsidRPr="0083592C">
        <w:rPr>
          <w:rFonts w:asciiTheme="minorBidi" w:hAnsiTheme="minorBidi" w:cs="Arial"/>
          <w:sz w:val="16"/>
          <w:szCs w:val="16"/>
          <w:rtl/>
        </w:rPr>
        <w:t xml:space="preserve"> ד"ה הא</w:t>
      </w:r>
      <w:r w:rsidRPr="0083592C">
        <w:rPr>
          <w:rFonts w:asciiTheme="minorBidi" w:hAnsiTheme="minorBidi" w:cs="Arial" w:hint="cs"/>
          <w:sz w:val="16"/>
          <w:szCs w:val="16"/>
          <w:rtl/>
        </w:rPr>
        <w:t>)</w:t>
      </w:r>
      <w:r w:rsidRPr="0083592C">
        <w:rPr>
          <w:rFonts w:asciiTheme="minorBidi" w:hAnsiTheme="minorBidi" w:cs="Arial"/>
          <w:sz w:val="16"/>
          <w:szCs w:val="16"/>
          <w:rtl/>
        </w:rPr>
        <w:t xml:space="preserve"> והרשב"א </w:t>
      </w:r>
      <w:r w:rsidRPr="0083592C">
        <w:rPr>
          <w:rFonts w:asciiTheme="minorBidi" w:hAnsiTheme="minorBidi" w:cs="Arial" w:hint="cs"/>
          <w:sz w:val="16"/>
          <w:szCs w:val="16"/>
          <w:rtl/>
        </w:rPr>
        <w:t>(</w:t>
      </w:r>
      <w:r w:rsidRPr="0083592C">
        <w:rPr>
          <w:rFonts w:asciiTheme="minorBidi" w:hAnsiTheme="minorBidi" w:cs="Arial"/>
          <w:sz w:val="16"/>
          <w:szCs w:val="16"/>
          <w:rtl/>
        </w:rPr>
        <w:t>שם ד"ה שמואל</w:t>
      </w:r>
      <w:r w:rsidRPr="0083592C">
        <w:rPr>
          <w:rFonts w:asciiTheme="minorBidi" w:hAnsiTheme="minorBidi" w:cs="Arial" w:hint="cs"/>
          <w:sz w:val="16"/>
          <w:szCs w:val="16"/>
          <w:rtl/>
        </w:rPr>
        <w:t>)</w:t>
      </w:r>
      <w:r w:rsidRPr="0083592C">
        <w:rPr>
          <w:rFonts w:asciiTheme="minorBidi" w:hAnsiTheme="minorBidi" w:cs="Arial"/>
          <w:sz w:val="16"/>
          <w:szCs w:val="16"/>
          <w:rtl/>
        </w:rPr>
        <w:t xml:space="preserve"> ושאר אחרונים דבדברים של גוים לא הלכו בהם אחר נתינת טעם כדי </w:t>
      </w:r>
      <w:r>
        <w:rPr>
          <w:rFonts w:asciiTheme="minorBidi" w:hAnsiTheme="minorBidi" w:cs="Arial"/>
          <w:sz w:val="16"/>
          <w:szCs w:val="16"/>
          <w:rtl/>
        </w:rPr>
        <w:t>שלא יפרוצו</w:t>
      </w:r>
      <w:r>
        <w:rPr>
          <w:rFonts w:asciiTheme="minorBidi" w:hAnsiTheme="minorBidi" w:cs="Arial" w:hint="cs"/>
          <w:sz w:val="16"/>
          <w:szCs w:val="16"/>
          <w:rtl/>
        </w:rPr>
        <w:t>)</w:t>
      </w:r>
      <w:r>
        <w:rPr>
          <w:rFonts w:asciiTheme="minorBidi" w:hAnsiTheme="minorBidi" w:cs="Arial" w:hint="cs"/>
          <w:rtl/>
        </w:rPr>
        <w:t>.</w:t>
      </w:r>
    </w:p>
    <w:p w14:paraId="6B4DD0DE" w14:textId="77777777" w:rsidR="004C5A3C" w:rsidRPr="00A22858" w:rsidRDefault="004C5A3C" w:rsidP="0032102C">
      <w:pPr>
        <w:pStyle w:val="a5"/>
        <w:numPr>
          <w:ilvl w:val="0"/>
          <w:numId w:val="276"/>
        </w:numPr>
        <w:rPr>
          <w:rFonts w:cs="Arial"/>
          <w:rtl/>
        </w:rPr>
      </w:pPr>
      <w:r>
        <w:rPr>
          <w:rFonts w:cs="Arial" w:hint="cs"/>
          <w:rtl/>
        </w:rPr>
        <w:t xml:space="preserve">פר"ח </w:t>
      </w:r>
      <w:r>
        <w:rPr>
          <w:rFonts w:asciiTheme="minorBidi" w:hAnsiTheme="minorBidi" w:cs="Arial" w:hint="cs"/>
          <w:sz w:val="16"/>
          <w:szCs w:val="16"/>
          <w:rtl/>
        </w:rPr>
        <w:t>(שם)</w:t>
      </w:r>
      <w:r w:rsidRPr="00DB15E2">
        <w:rPr>
          <w:rFonts w:asciiTheme="minorBidi" w:hAnsiTheme="minorBidi" w:cs="Arial" w:hint="cs"/>
          <w:rtl/>
        </w:rPr>
        <w:t xml:space="preserve">- </w:t>
      </w:r>
      <w:r w:rsidRPr="00DB15E2">
        <w:rPr>
          <w:rFonts w:asciiTheme="minorBidi" w:hAnsiTheme="minorBidi" w:cs="Arial"/>
          <w:rtl/>
        </w:rPr>
        <w:t>דבמה שעושים הגוים לצרכו ליכא למיחש דילמא עירב חלב טמא כיון שאינו עומד</w:t>
      </w:r>
      <w:r>
        <w:rPr>
          <w:rFonts w:asciiTheme="minorBidi" w:hAnsiTheme="minorBidi" w:cs="Arial" w:hint="cs"/>
          <w:rtl/>
        </w:rPr>
        <w:t xml:space="preserve"> </w:t>
      </w:r>
      <w:r w:rsidRPr="00DB15E2">
        <w:rPr>
          <w:rFonts w:asciiTheme="minorBidi" w:hAnsiTheme="minorBidi" w:cs="Arial" w:hint="cs"/>
          <w:sz w:val="16"/>
          <w:szCs w:val="16"/>
          <w:rtl/>
        </w:rPr>
        <w:t>(</w:t>
      </w:r>
      <w:r w:rsidRPr="00DB15E2">
        <w:rPr>
          <w:rFonts w:asciiTheme="minorBidi" w:hAnsiTheme="minorBidi" w:cs="Arial"/>
          <w:sz w:val="16"/>
          <w:szCs w:val="16"/>
          <w:rtl/>
        </w:rPr>
        <w:t>תוס</w:t>
      </w:r>
      <w:r w:rsidRPr="00DB15E2">
        <w:rPr>
          <w:rFonts w:asciiTheme="minorBidi" w:hAnsiTheme="minorBidi" w:cs="Arial" w:hint="cs"/>
          <w:sz w:val="16"/>
          <w:szCs w:val="16"/>
          <w:rtl/>
        </w:rPr>
        <w:t xml:space="preserve">' ע"ז לה: </w:t>
      </w:r>
      <w:r w:rsidRPr="00DB15E2">
        <w:rPr>
          <w:rFonts w:asciiTheme="minorBidi" w:hAnsiTheme="minorBidi" w:cs="Arial"/>
          <w:sz w:val="16"/>
          <w:szCs w:val="16"/>
          <w:rtl/>
        </w:rPr>
        <w:t>ד"ה לגבינה</w:t>
      </w:r>
      <w:r w:rsidRPr="00DB15E2">
        <w:rPr>
          <w:rFonts w:asciiTheme="minorBidi" w:hAnsiTheme="minorBidi" w:cs="Arial" w:hint="cs"/>
          <w:sz w:val="16"/>
          <w:szCs w:val="16"/>
          <w:rtl/>
        </w:rPr>
        <w:t>)</w:t>
      </w:r>
      <w:r w:rsidRPr="00DB15E2">
        <w:rPr>
          <w:rFonts w:asciiTheme="minorBidi" w:hAnsiTheme="minorBidi" w:cs="Arial"/>
          <w:rtl/>
        </w:rPr>
        <w:t>, וא</w:t>
      </w:r>
      <w:r w:rsidRPr="00DB15E2">
        <w:rPr>
          <w:rFonts w:asciiTheme="minorBidi" w:hAnsiTheme="minorBidi" w:cs="Arial" w:hint="cs"/>
          <w:rtl/>
        </w:rPr>
        <w:t>"</w:t>
      </w:r>
      <w:r w:rsidRPr="00DB15E2">
        <w:rPr>
          <w:rFonts w:asciiTheme="minorBidi" w:hAnsiTheme="minorBidi" w:cs="Arial"/>
          <w:rtl/>
        </w:rPr>
        <w:t>כ בידוע שהנסיובי דחלבא שמערבין בכותח דהוי מחלב טהור</w:t>
      </w:r>
      <w:r>
        <w:rPr>
          <w:rFonts w:asciiTheme="minorBidi" w:hAnsiTheme="minorBidi" w:cs="Arial" w:hint="cs"/>
          <w:rtl/>
        </w:rPr>
        <w:t>,</w:t>
      </w:r>
      <w:r w:rsidRPr="00DB15E2">
        <w:rPr>
          <w:rFonts w:asciiTheme="minorBidi" w:hAnsiTheme="minorBidi" w:cs="Arial"/>
          <w:rtl/>
        </w:rPr>
        <w:t xml:space="preserve"> והכותח לא נכ</w:t>
      </w:r>
      <w:r>
        <w:rPr>
          <w:rFonts w:asciiTheme="minorBidi" w:hAnsiTheme="minorBidi" w:cs="Arial"/>
          <w:rtl/>
        </w:rPr>
        <w:t>נס תחת גזרת גבינה של גוים</w:t>
      </w:r>
      <w:r w:rsidRPr="00DB15E2">
        <w:rPr>
          <w:rFonts w:asciiTheme="minorBidi" w:hAnsiTheme="minorBidi" w:cs="Arial"/>
          <w:rtl/>
        </w:rPr>
        <w:t>.</w:t>
      </w:r>
    </w:p>
  </w:footnote>
  <w:footnote w:id="2694">
    <w:p w14:paraId="2352C591" w14:textId="77777777" w:rsidR="004C5A3C" w:rsidRDefault="004C5A3C" w:rsidP="002C39F4">
      <w:pPr>
        <w:pStyle w:val="a5"/>
      </w:pPr>
      <w:r>
        <w:rPr>
          <w:rStyle w:val="a7"/>
        </w:rPr>
        <w:footnoteRef/>
      </w:r>
      <w:r>
        <w:rPr>
          <w:rtl/>
        </w:rPr>
        <w:t xml:space="preserve"> </w:t>
      </w:r>
      <w:r>
        <w:rPr>
          <w:rFonts w:cs="Arial" w:hint="cs"/>
          <w:rtl/>
        </w:rPr>
        <w:t>וכ' הדרכ"מ</w:t>
      </w:r>
      <w:r w:rsidRPr="000756B5">
        <w:rPr>
          <w:rFonts w:cs="Arial" w:hint="cs"/>
          <w:sz w:val="16"/>
          <w:szCs w:val="16"/>
          <w:rtl/>
        </w:rPr>
        <w:t xml:space="preserve"> (אות ט)</w:t>
      </w:r>
      <w:r>
        <w:rPr>
          <w:rFonts w:cs="Arial" w:hint="cs"/>
          <w:rtl/>
        </w:rPr>
        <w:t>- ו</w:t>
      </w:r>
      <w:r w:rsidRPr="000756B5">
        <w:rPr>
          <w:rFonts w:cs="Arial"/>
          <w:rtl/>
        </w:rPr>
        <w:t>נ</w:t>
      </w:r>
      <w:r>
        <w:rPr>
          <w:rFonts w:cs="Arial" w:hint="cs"/>
          <w:rtl/>
        </w:rPr>
        <w:t>"</w:t>
      </w:r>
      <w:r w:rsidRPr="000756B5">
        <w:rPr>
          <w:rFonts w:cs="Arial"/>
          <w:rtl/>
        </w:rPr>
        <w:t>ל דמ</w:t>
      </w:r>
      <w:r>
        <w:rPr>
          <w:rFonts w:cs="Arial" w:hint="cs"/>
          <w:rtl/>
        </w:rPr>
        <w:t>"מ</w:t>
      </w:r>
      <w:r w:rsidRPr="000756B5">
        <w:rPr>
          <w:rFonts w:cs="Arial"/>
          <w:rtl/>
        </w:rPr>
        <w:t xml:space="preserve"> יכול להיות שמתירין לאכול בקערה א</w:t>
      </w:r>
      <w:r>
        <w:rPr>
          <w:rFonts w:cs="Arial" w:hint="cs"/>
          <w:rtl/>
        </w:rPr>
        <w:t>'</w:t>
      </w:r>
      <w:r w:rsidRPr="000756B5">
        <w:rPr>
          <w:rFonts w:cs="Arial"/>
          <w:rtl/>
        </w:rPr>
        <w:t xml:space="preserve"> וליכא למיחש משום הטעם שנתערב</w:t>
      </w:r>
      <w:r w:rsidRPr="000756B5">
        <w:rPr>
          <w:rFonts w:cs="Arial" w:hint="cs"/>
          <w:rtl/>
        </w:rPr>
        <w:t>,</w:t>
      </w:r>
      <w:r w:rsidRPr="000756B5">
        <w:rPr>
          <w:rFonts w:cs="Arial"/>
          <w:rtl/>
        </w:rPr>
        <w:t xml:space="preserve"> ולא אסרו לערב לכתח</w:t>
      </w:r>
      <w:r>
        <w:rPr>
          <w:rFonts w:cs="Arial" w:hint="cs"/>
          <w:rtl/>
        </w:rPr>
        <w:t>'</w:t>
      </w:r>
      <w:r w:rsidRPr="000756B5">
        <w:rPr>
          <w:rFonts w:cs="Arial"/>
          <w:rtl/>
        </w:rPr>
        <w:t xml:space="preserve"> אלא לאכול הפת עצמו אבל משום טעמא ליכא למיחש</w:t>
      </w:r>
      <w:r w:rsidRPr="000756B5">
        <w:rPr>
          <w:rFonts w:cs="Arial" w:hint="cs"/>
          <w:rtl/>
        </w:rPr>
        <w:t>,</w:t>
      </w:r>
      <w:r w:rsidRPr="000756B5">
        <w:rPr>
          <w:rFonts w:cs="Arial"/>
          <w:rtl/>
        </w:rPr>
        <w:t xml:space="preserve"> אך הג</w:t>
      </w:r>
      <w:r w:rsidRPr="000756B5">
        <w:rPr>
          <w:rFonts w:cs="Arial" w:hint="cs"/>
          <w:rtl/>
        </w:rPr>
        <w:t xml:space="preserve">שע"ד </w:t>
      </w:r>
      <w:r w:rsidRPr="000756B5">
        <w:rPr>
          <w:rFonts w:cs="Arial"/>
          <w:rtl/>
        </w:rPr>
        <w:t>שכתבתי אוסרת לכתחלה</w:t>
      </w:r>
      <w:r>
        <w:rPr>
          <w:rFonts w:cs="Arial" w:hint="cs"/>
          <w:rtl/>
        </w:rPr>
        <w:t xml:space="preserve">. עכ"ל. וכ' הש"ך </w:t>
      </w:r>
      <w:r w:rsidRPr="00BE6670">
        <w:rPr>
          <w:rFonts w:cs="Arial" w:hint="cs"/>
          <w:sz w:val="16"/>
          <w:szCs w:val="16"/>
          <w:rtl/>
        </w:rPr>
        <w:t>(סקכ"ד)</w:t>
      </w:r>
      <w:r>
        <w:rPr>
          <w:rFonts w:cs="Arial" w:hint="cs"/>
          <w:rtl/>
        </w:rPr>
        <w:t xml:space="preserve">- </w:t>
      </w:r>
      <w:r>
        <w:rPr>
          <w:rFonts w:cs="Arial"/>
          <w:rtl/>
        </w:rPr>
        <w:t>ועיינתי בהג</w:t>
      </w:r>
      <w:r w:rsidRPr="0083592C">
        <w:rPr>
          <w:rFonts w:cs="Arial"/>
          <w:rtl/>
        </w:rPr>
        <w:t>ש</w:t>
      </w:r>
      <w:r>
        <w:rPr>
          <w:rFonts w:cs="Arial" w:hint="cs"/>
          <w:rtl/>
        </w:rPr>
        <w:t>ע</w:t>
      </w:r>
      <w:r w:rsidRPr="0083592C">
        <w:rPr>
          <w:rFonts w:cs="Arial"/>
          <w:rtl/>
        </w:rPr>
        <w:t>"ד ולא מצאתי הכרח</w:t>
      </w:r>
      <w:r>
        <w:rPr>
          <w:rFonts w:cs="Arial" w:hint="cs"/>
          <w:rtl/>
        </w:rPr>
        <w:t>,</w:t>
      </w:r>
      <w:r w:rsidRPr="0083592C">
        <w:rPr>
          <w:rFonts w:cs="Arial"/>
          <w:rtl/>
        </w:rPr>
        <w:t xml:space="preserve"> די"ל דמיירי כשאוכל הפת עצמו</w:t>
      </w:r>
      <w:r>
        <w:rPr>
          <w:rFonts w:cs="Arial" w:hint="cs"/>
          <w:rtl/>
        </w:rPr>
        <w:t>,</w:t>
      </w:r>
      <w:r>
        <w:rPr>
          <w:rFonts w:cs="Arial"/>
          <w:rtl/>
        </w:rPr>
        <w:t xml:space="preserve"> ובלא</w:t>
      </w:r>
      <w:r>
        <w:rPr>
          <w:rFonts w:cs="Arial" w:hint="cs"/>
          <w:rtl/>
        </w:rPr>
        <w:t>"</w:t>
      </w:r>
      <w:r>
        <w:rPr>
          <w:rFonts w:cs="Arial"/>
          <w:rtl/>
        </w:rPr>
        <w:t>ה</w:t>
      </w:r>
      <w:r w:rsidRPr="0083592C">
        <w:rPr>
          <w:rFonts w:cs="Arial"/>
          <w:rtl/>
        </w:rPr>
        <w:t xml:space="preserve"> הא קערה היא כלי שני ואינו מבשל</w:t>
      </w:r>
      <w:r>
        <w:rPr>
          <w:rFonts w:cs="Arial" w:hint="cs"/>
          <w:rtl/>
        </w:rPr>
        <w:t>.</w:t>
      </w:r>
    </w:p>
  </w:footnote>
  <w:footnote w:id="2695">
    <w:p w14:paraId="39721B53" w14:textId="77777777" w:rsidR="004C5A3C" w:rsidRDefault="004C5A3C" w:rsidP="002C39F4">
      <w:pPr>
        <w:pStyle w:val="a5"/>
        <w:rPr>
          <w:rtl/>
        </w:rPr>
      </w:pPr>
      <w:r>
        <w:rPr>
          <w:rStyle w:val="a7"/>
        </w:rPr>
        <w:footnoteRef/>
      </w:r>
      <w:r>
        <w:rPr>
          <w:rtl/>
        </w:rPr>
        <w:t xml:space="preserve"> </w:t>
      </w:r>
      <w:r w:rsidRPr="003B5990">
        <w:rPr>
          <w:rFonts w:cs="Arial"/>
          <w:rtl/>
        </w:rPr>
        <w:t>אפילו הוא דבר חשוב</w:t>
      </w:r>
      <w:r>
        <w:rPr>
          <w:rFonts w:cs="Arial" w:hint="cs"/>
          <w:rtl/>
        </w:rPr>
        <w:t>,</w:t>
      </w:r>
      <w:r w:rsidRPr="003B5990">
        <w:rPr>
          <w:rFonts w:cs="Arial"/>
          <w:rtl/>
        </w:rPr>
        <w:t xml:space="preserve"> כ"כ בד</w:t>
      </w:r>
      <w:r>
        <w:rPr>
          <w:rFonts w:cs="Arial" w:hint="cs"/>
          <w:rtl/>
        </w:rPr>
        <w:t>רכ</w:t>
      </w:r>
      <w:r>
        <w:rPr>
          <w:rFonts w:cs="Arial"/>
          <w:rtl/>
        </w:rPr>
        <w:t xml:space="preserve">"מ ובת"ח </w:t>
      </w:r>
      <w:r>
        <w:rPr>
          <w:rFonts w:cs="Arial" w:hint="cs"/>
          <w:rtl/>
        </w:rPr>
        <w:t>(</w:t>
      </w:r>
      <w:r>
        <w:rPr>
          <w:rFonts w:cs="Arial"/>
          <w:rtl/>
        </w:rPr>
        <w:t>שם ד</w:t>
      </w:r>
      <w:r>
        <w:rPr>
          <w:rFonts w:cs="Arial" w:hint="cs"/>
          <w:rtl/>
        </w:rPr>
        <w:t>"</w:t>
      </w:r>
      <w:r>
        <w:rPr>
          <w:rFonts w:cs="Arial"/>
          <w:rtl/>
        </w:rPr>
        <w:t>ח</w:t>
      </w:r>
      <w:r>
        <w:rPr>
          <w:rFonts w:cs="Arial" w:hint="cs"/>
          <w:rtl/>
        </w:rPr>
        <w:t>)</w:t>
      </w:r>
      <w:r w:rsidRPr="003B5990">
        <w:rPr>
          <w:rFonts w:cs="Arial"/>
          <w:rtl/>
        </w:rPr>
        <w:t xml:space="preserve"> בשם או"ה</w:t>
      </w:r>
      <w:r>
        <w:rPr>
          <w:rFonts w:cs="Arial" w:hint="cs"/>
          <w:rtl/>
        </w:rPr>
        <w:t>,</w:t>
      </w:r>
      <w:r w:rsidRPr="003B5990">
        <w:rPr>
          <w:rFonts w:cs="Arial"/>
          <w:rtl/>
        </w:rPr>
        <w:t xml:space="preserve"> והאו"ה </w:t>
      </w:r>
      <w:r>
        <w:rPr>
          <w:rFonts w:cs="Arial" w:hint="cs"/>
          <w:rtl/>
        </w:rPr>
        <w:t>(</w:t>
      </w:r>
      <w:r>
        <w:rPr>
          <w:rFonts w:cs="Arial"/>
          <w:rtl/>
        </w:rPr>
        <w:t>כלל מג ד</w:t>
      </w:r>
      <w:r>
        <w:rPr>
          <w:rFonts w:cs="Arial" w:hint="cs"/>
          <w:rtl/>
        </w:rPr>
        <w:t>"</w:t>
      </w:r>
      <w:r>
        <w:rPr>
          <w:rFonts w:cs="Arial"/>
          <w:rtl/>
        </w:rPr>
        <w:t>ו</w:t>
      </w:r>
      <w:r>
        <w:rPr>
          <w:rFonts w:cs="Arial" w:hint="cs"/>
          <w:rtl/>
        </w:rPr>
        <w:t>)</w:t>
      </w:r>
      <w:r w:rsidRPr="003B5990">
        <w:rPr>
          <w:rFonts w:cs="Arial"/>
          <w:rtl/>
        </w:rPr>
        <w:t xml:space="preserve"> כ</w:t>
      </w:r>
      <w:r>
        <w:rPr>
          <w:rFonts w:cs="Arial"/>
          <w:rtl/>
        </w:rPr>
        <w:t>תב דינים אלו אפילו בבישולי ע</w:t>
      </w:r>
      <w:r>
        <w:rPr>
          <w:rFonts w:cs="Arial" w:hint="cs"/>
          <w:rtl/>
        </w:rPr>
        <w:t>כו"</w:t>
      </w:r>
      <w:r w:rsidRPr="003B5990">
        <w:rPr>
          <w:rFonts w:cs="Arial"/>
          <w:rtl/>
        </w:rPr>
        <w:t>ם ממש</w:t>
      </w:r>
      <w:r>
        <w:rPr>
          <w:rFonts w:cs="Arial" w:hint="cs"/>
          <w:rtl/>
        </w:rPr>
        <w:t>,</w:t>
      </w:r>
      <w:r>
        <w:rPr>
          <w:rFonts w:cs="Arial"/>
          <w:rtl/>
        </w:rPr>
        <w:t xml:space="preserve"> וכ"פ בת"ח שם</w:t>
      </w:r>
      <w:r>
        <w:rPr>
          <w:rFonts w:cs="Arial" w:hint="cs"/>
          <w:rtl/>
        </w:rPr>
        <w:t>,</w:t>
      </w:r>
      <w:r>
        <w:rPr>
          <w:rFonts w:cs="Arial"/>
          <w:rtl/>
        </w:rPr>
        <w:t xml:space="preserve"> וע"ל סי' קט"ז סק</w:t>
      </w:r>
      <w:r w:rsidRPr="003B5990">
        <w:rPr>
          <w:rFonts w:cs="Arial"/>
          <w:rtl/>
        </w:rPr>
        <w:t>י"ז</w:t>
      </w:r>
      <w:r>
        <w:rPr>
          <w:rFonts w:hint="cs"/>
          <w:rtl/>
        </w:rPr>
        <w:t>, ש"ך (סקכ"ג).</w:t>
      </w:r>
    </w:p>
  </w:footnote>
  <w:footnote w:id="2696">
    <w:p w14:paraId="698F1C36" w14:textId="77777777" w:rsidR="004C5A3C" w:rsidRDefault="004C5A3C" w:rsidP="002C39F4">
      <w:pPr>
        <w:pStyle w:val="a5"/>
      </w:pPr>
      <w:r>
        <w:rPr>
          <w:rStyle w:val="a7"/>
        </w:rPr>
        <w:footnoteRef/>
      </w:r>
      <w:r>
        <w:rPr>
          <w:rtl/>
        </w:rPr>
        <w:t xml:space="preserve"> </w:t>
      </w:r>
      <w:r>
        <w:rPr>
          <w:rFonts w:cs="Arial" w:hint="cs"/>
          <w:rtl/>
        </w:rPr>
        <w:t xml:space="preserve">וכ' הש"ך </w:t>
      </w:r>
      <w:r w:rsidRPr="00BE6670">
        <w:rPr>
          <w:rFonts w:cs="Arial" w:hint="cs"/>
          <w:sz w:val="16"/>
          <w:szCs w:val="16"/>
          <w:rtl/>
        </w:rPr>
        <w:t>(סקכ"ד)</w:t>
      </w:r>
      <w:r>
        <w:rPr>
          <w:rFonts w:cs="Arial" w:hint="cs"/>
          <w:rtl/>
        </w:rPr>
        <w:t xml:space="preserve">- </w:t>
      </w:r>
      <w:r>
        <w:rPr>
          <w:rFonts w:cs="Arial"/>
          <w:rtl/>
        </w:rPr>
        <w:t>עיינתי בהג</w:t>
      </w:r>
      <w:r w:rsidRPr="0083592C">
        <w:rPr>
          <w:rFonts w:cs="Arial"/>
          <w:rtl/>
        </w:rPr>
        <w:t>ש</w:t>
      </w:r>
      <w:r>
        <w:rPr>
          <w:rFonts w:cs="Arial" w:hint="cs"/>
          <w:rtl/>
        </w:rPr>
        <w:t>ע</w:t>
      </w:r>
      <w:r w:rsidRPr="0083592C">
        <w:rPr>
          <w:rFonts w:cs="Arial"/>
          <w:rtl/>
        </w:rPr>
        <w:t>"ד ולא מצאתי הכרח</w:t>
      </w:r>
      <w:r>
        <w:rPr>
          <w:rFonts w:cs="Arial" w:hint="cs"/>
          <w:rtl/>
        </w:rPr>
        <w:t>,</w:t>
      </w:r>
      <w:r w:rsidRPr="0083592C">
        <w:rPr>
          <w:rFonts w:cs="Arial"/>
          <w:rtl/>
        </w:rPr>
        <w:t xml:space="preserve"> די"ל דמיירי כשאוכל הפת עצמו</w:t>
      </w:r>
      <w:r>
        <w:rPr>
          <w:rFonts w:cs="Arial" w:hint="cs"/>
          <w:rtl/>
        </w:rPr>
        <w:t>,</w:t>
      </w:r>
      <w:r>
        <w:rPr>
          <w:rFonts w:cs="Arial"/>
          <w:rtl/>
        </w:rPr>
        <w:t xml:space="preserve"> ובלא</w:t>
      </w:r>
      <w:r>
        <w:rPr>
          <w:rFonts w:cs="Arial" w:hint="cs"/>
          <w:rtl/>
        </w:rPr>
        <w:t>"</w:t>
      </w:r>
      <w:r>
        <w:rPr>
          <w:rFonts w:cs="Arial"/>
          <w:rtl/>
        </w:rPr>
        <w:t>ה</w:t>
      </w:r>
      <w:r w:rsidRPr="0083592C">
        <w:rPr>
          <w:rFonts w:cs="Arial"/>
          <w:rtl/>
        </w:rPr>
        <w:t xml:space="preserve"> הא קערה היא כ</w:t>
      </w:r>
      <w:r>
        <w:rPr>
          <w:rFonts w:cs="Arial" w:hint="cs"/>
          <w:rtl/>
        </w:rPr>
        <w:t>"</w:t>
      </w:r>
      <w:r w:rsidRPr="0083592C">
        <w:rPr>
          <w:rFonts w:cs="Arial"/>
          <w:rtl/>
        </w:rPr>
        <w:t>ש ואינו מבשל</w:t>
      </w:r>
      <w:r>
        <w:rPr>
          <w:rFonts w:cs="Arial" w:hint="cs"/>
          <w:rtl/>
        </w:rPr>
        <w:t>.</w:t>
      </w:r>
    </w:p>
  </w:footnote>
  <w:footnote w:id="2697">
    <w:p w14:paraId="323A3463" w14:textId="77777777" w:rsidR="004C5A3C" w:rsidRDefault="004C5A3C" w:rsidP="002C39F4">
      <w:pPr>
        <w:pStyle w:val="a5"/>
        <w:rPr>
          <w:rtl/>
        </w:rPr>
      </w:pPr>
      <w:r>
        <w:rPr>
          <w:rStyle w:val="a7"/>
        </w:rPr>
        <w:footnoteRef/>
      </w:r>
      <w:r>
        <w:rPr>
          <w:rtl/>
        </w:rPr>
        <w:t xml:space="preserve"> </w:t>
      </w:r>
      <w:r w:rsidRPr="009506B9">
        <w:rPr>
          <w:rFonts w:cs="Arial"/>
          <w:rtl/>
        </w:rPr>
        <w:t>וראייתו מירושלמי דדמאי (פ"ד ה"ב)</w:t>
      </w:r>
      <w:r>
        <w:rPr>
          <w:rFonts w:cs="Arial" w:hint="cs"/>
          <w:rtl/>
        </w:rPr>
        <w:t>,</w:t>
      </w:r>
      <w:r w:rsidRPr="009506B9">
        <w:rPr>
          <w:rFonts w:cs="Arial"/>
          <w:rtl/>
        </w:rPr>
        <w:t xml:space="preserve"> דהתיר דמאי כה</w:t>
      </w:r>
      <w:r>
        <w:rPr>
          <w:rFonts w:cs="Arial" w:hint="cs"/>
          <w:rtl/>
        </w:rPr>
        <w:t>"</w:t>
      </w:r>
      <w:r w:rsidRPr="009506B9">
        <w:rPr>
          <w:rFonts w:cs="Arial"/>
          <w:rtl/>
        </w:rPr>
        <w:t>ג בשבת של פרוגטמא</w:t>
      </w:r>
      <w:r>
        <w:rPr>
          <w:rFonts w:cs="Arial" w:hint="cs"/>
          <w:rtl/>
        </w:rPr>
        <w:t xml:space="preserve">, </w:t>
      </w:r>
      <w:r w:rsidRPr="009506B9">
        <w:rPr>
          <w:rFonts w:cs="Arial"/>
          <w:rtl/>
        </w:rPr>
        <w:t>פירוש</w:t>
      </w:r>
      <w:r>
        <w:rPr>
          <w:rFonts w:cs="Arial" w:hint="cs"/>
          <w:rtl/>
        </w:rPr>
        <w:t>,</w:t>
      </w:r>
      <w:r w:rsidRPr="009506B9">
        <w:rPr>
          <w:rFonts w:cs="Arial"/>
          <w:rtl/>
        </w:rPr>
        <w:t xml:space="preserve"> של אסיפה כגון לסעודת מצוה</w:t>
      </w:r>
      <w:r>
        <w:rPr>
          <w:rFonts w:cs="Arial" w:hint="cs"/>
          <w:rtl/>
        </w:rPr>
        <w:t>, מהרי"ל</w:t>
      </w:r>
      <w:r>
        <w:rPr>
          <w:rFonts w:hint="cs"/>
          <w:rtl/>
        </w:rPr>
        <w:t>.</w:t>
      </w:r>
    </w:p>
  </w:footnote>
  <w:footnote w:id="2698">
    <w:p w14:paraId="7DF87B99" w14:textId="77777777" w:rsidR="004C5A3C" w:rsidRDefault="004C5A3C" w:rsidP="002C39F4">
      <w:pPr>
        <w:pStyle w:val="a5"/>
      </w:pPr>
      <w:r>
        <w:rPr>
          <w:rStyle w:val="a7"/>
        </w:rPr>
        <w:footnoteRef/>
      </w:r>
      <w:r>
        <w:rPr>
          <w:rtl/>
        </w:rPr>
        <w:t xml:space="preserve"> </w:t>
      </w:r>
      <w:r>
        <w:rPr>
          <w:rFonts w:hint="cs"/>
          <w:rtl/>
        </w:rPr>
        <w:t>ואפ"ל דדוקא כשהפת של זה שאינו נזהר יותר נקיה ויפה אז איכא איבה אי לא יאכל, אבל כשהפת של שניהם שווה אין בזה איבה, ע"פ ש"ך (סקכ"א).</w:t>
      </w:r>
    </w:p>
  </w:footnote>
  <w:footnote w:id="2699">
    <w:p w14:paraId="40AAA148" w14:textId="77777777" w:rsidR="004C5A3C" w:rsidRDefault="004C5A3C" w:rsidP="002C39F4">
      <w:pPr>
        <w:pStyle w:val="a5"/>
        <w:rPr>
          <w:rtl/>
        </w:rPr>
      </w:pPr>
      <w:r>
        <w:rPr>
          <w:rStyle w:val="a7"/>
        </w:rPr>
        <w:footnoteRef/>
      </w:r>
      <w:r>
        <w:rPr>
          <w:rtl/>
        </w:rPr>
        <w:t xml:space="preserve"> </w:t>
      </w:r>
      <w:r>
        <w:rPr>
          <w:rFonts w:cs="Arial" w:hint="cs"/>
          <w:rtl/>
        </w:rPr>
        <w:t>ו</w:t>
      </w:r>
      <w:r w:rsidRPr="00B665E9">
        <w:rPr>
          <w:rFonts w:cs="Arial"/>
          <w:rtl/>
        </w:rPr>
        <w:t>עכ"פ לדעה זו שיעור מיל צריך לילך אפי' אינו הולך לשם</w:t>
      </w:r>
      <w:r>
        <w:rPr>
          <w:rFonts w:cs="Arial" w:hint="cs"/>
          <w:rtl/>
        </w:rPr>
        <w:t>,</w:t>
      </w:r>
      <w:r w:rsidRPr="00B665E9">
        <w:rPr>
          <w:rFonts w:cs="Arial"/>
          <w:rtl/>
        </w:rPr>
        <w:t xml:space="preserve"> דקי"ל לגבל ולתפלה לאחריו עד מיל</w:t>
      </w:r>
      <w:r>
        <w:rPr>
          <w:rFonts w:cs="Arial" w:hint="cs"/>
          <w:rtl/>
        </w:rPr>
        <w:t>,</w:t>
      </w:r>
      <w:r w:rsidRPr="00794C3A">
        <w:rPr>
          <w:rFonts w:cs="Arial" w:hint="cs"/>
          <w:rtl/>
        </w:rPr>
        <w:t xml:space="preserve"> </w:t>
      </w:r>
      <w:r>
        <w:rPr>
          <w:rFonts w:cs="Arial" w:hint="cs"/>
          <w:rtl/>
        </w:rPr>
        <w:t>חכ"א</w:t>
      </w:r>
      <w:r w:rsidRPr="00B665E9">
        <w:rPr>
          <w:rFonts w:cs="Arial"/>
          <w:rtl/>
        </w:rPr>
        <w:t xml:space="preserve"> </w:t>
      </w:r>
      <w:r w:rsidRPr="00794C3A">
        <w:rPr>
          <w:rFonts w:cs="Arial" w:hint="cs"/>
          <w:sz w:val="16"/>
          <w:szCs w:val="16"/>
          <w:rtl/>
        </w:rPr>
        <w:t>(</w:t>
      </w:r>
      <w:r w:rsidRPr="00794C3A">
        <w:rPr>
          <w:rFonts w:cs="Arial"/>
          <w:sz w:val="16"/>
          <w:szCs w:val="16"/>
          <w:rtl/>
        </w:rPr>
        <w:t>כלל סה</w:t>
      </w:r>
      <w:r w:rsidRPr="00794C3A">
        <w:rPr>
          <w:rFonts w:cs="Arial" w:hint="cs"/>
          <w:sz w:val="16"/>
          <w:szCs w:val="16"/>
          <w:rtl/>
        </w:rPr>
        <w:t>)</w:t>
      </w:r>
      <w:r>
        <w:rPr>
          <w:rFonts w:cs="Arial" w:hint="cs"/>
          <w:rtl/>
        </w:rPr>
        <w:t>.</w:t>
      </w:r>
      <w:r w:rsidRPr="00B665E9">
        <w:rPr>
          <w:rFonts w:cs="Arial"/>
          <w:rtl/>
        </w:rPr>
        <w:t xml:space="preserve"> </w:t>
      </w:r>
      <w:r>
        <w:rPr>
          <w:rFonts w:cs="Arial" w:hint="cs"/>
          <w:rtl/>
        </w:rPr>
        <w:t>ו</w:t>
      </w:r>
      <w:r w:rsidRPr="00B665E9">
        <w:rPr>
          <w:rFonts w:cs="Arial"/>
          <w:rtl/>
        </w:rPr>
        <w:t>אין חילוק בין רוכב על סוס או הולך ברגליו וכן אם הדרך רע</w:t>
      </w:r>
      <w:r>
        <w:rPr>
          <w:rFonts w:cs="Arial" w:hint="cs"/>
          <w:rtl/>
        </w:rPr>
        <w:t>,</w:t>
      </w:r>
      <w:r w:rsidRPr="00B665E9">
        <w:rPr>
          <w:rFonts w:cs="Arial"/>
          <w:rtl/>
        </w:rPr>
        <w:t xml:space="preserve"> אלא בזה יש חילוק אם הוא הולך לבדו או אם הולך עם בניו ובני ביתו</w:t>
      </w:r>
      <w:r>
        <w:rPr>
          <w:rFonts w:cs="Arial" w:hint="cs"/>
          <w:rtl/>
        </w:rPr>
        <w:t>,</w:t>
      </w:r>
      <w:r w:rsidRPr="00794C3A">
        <w:rPr>
          <w:rFonts w:cs="Arial"/>
          <w:rtl/>
        </w:rPr>
        <w:t xml:space="preserve"> </w:t>
      </w:r>
      <w:r w:rsidRPr="00B665E9">
        <w:rPr>
          <w:rFonts w:cs="Arial"/>
          <w:rtl/>
        </w:rPr>
        <w:t>ב"י</w:t>
      </w:r>
      <w:r w:rsidRPr="00794C3A">
        <w:rPr>
          <w:rFonts w:cs="Arial"/>
          <w:sz w:val="16"/>
          <w:szCs w:val="16"/>
          <w:rtl/>
        </w:rPr>
        <w:t xml:space="preserve"> </w:t>
      </w:r>
      <w:r w:rsidRPr="00794C3A">
        <w:rPr>
          <w:rFonts w:cs="Arial" w:hint="cs"/>
          <w:sz w:val="16"/>
          <w:szCs w:val="16"/>
          <w:rtl/>
        </w:rPr>
        <w:t xml:space="preserve">(בתשו' </w:t>
      </w:r>
      <w:r w:rsidRPr="00794C3A">
        <w:rPr>
          <w:rFonts w:cs="Arial"/>
          <w:sz w:val="16"/>
          <w:szCs w:val="16"/>
          <w:rtl/>
        </w:rPr>
        <w:t>סי' לה</w:t>
      </w:r>
      <w:r>
        <w:rPr>
          <w:rFonts w:hint="cs"/>
          <w:sz w:val="16"/>
          <w:szCs w:val="16"/>
          <w:rtl/>
        </w:rPr>
        <w:t>, הביאם הפת"ש סק"ו</w:t>
      </w:r>
      <w:r w:rsidRPr="00794C3A">
        <w:rPr>
          <w:rFonts w:hint="cs"/>
          <w:sz w:val="16"/>
          <w:szCs w:val="16"/>
          <w:rtl/>
        </w:rPr>
        <w:t>)</w:t>
      </w:r>
      <w:r>
        <w:rPr>
          <w:rFonts w:hint="cs"/>
          <w:rtl/>
        </w:rPr>
        <w:t>.</w:t>
      </w:r>
    </w:p>
  </w:footnote>
  <w:footnote w:id="2700">
    <w:p w14:paraId="6CFA1501" w14:textId="77777777" w:rsidR="004C5A3C" w:rsidRDefault="004C5A3C" w:rsidP="002C39F4">
      <w:pPr>
        <w:pStyle w:val="a5"/>
      </w:pPr>
      <w:r>
        <w:rPr>
          <w:rStyle w:val="a7"/>
        </w:rPr>
        <w:footnoteRef/>
      </w:r>
      <w:r>
        <w:rPr>
          <w:rtl/>
        </w:rPr>
        <w:t xml:space="preserve"> </w:t>
      </w:r>
      <w:r>
        <w:rPr>
          <w:rFonts w:hint="cs"/>
          <w:rtl/>
        </w:rPr>
        <w:t>בסע' ח, וכתב שם הרמ"א דאין צריך להמתין, ויכול לאכול אף פת בעל הבית.</w:t>
      </w:r>
    </w:p>
  </w:footnote>
  <w:footnote w:id="2701">
    <w:p w14:paraId="5104BD00" w14:textId="77777777" w:rsidR="004C5A3C" w:rsidRDefault="004C5A3C" w:rsidP="002C39F4">
      <w:pPr>
        <w:pStyle w:val="a5"/>
      </w:pPr>
      <w:r>
        <w:rPr>
          <w:rStyle w:val="a7"/>
        </w:rPr>
        <w:footnoteRef/>
      </w:r>
      <w:r>
        <w:rPr>
          <w:rtl/>
        </w:rPr>
        <w:t xml:space="preserve"> </w:t>
      </w:r>
      <w:r>
        <w:rPr>
          <w:rFonts w:cs="Arial"/>
          <w:rtl/>
        </w:rPr>
        <w:t>ופירש רש"י</w:t>
      </w:r>
      <w:r>
        <w:rPr>
          <w:rFonts w:cs="Arial" w:hint="cs"/>
          <w:rtl/>
        </w:rPr>
        <w:t>,</w:t>
      </w:r>
      <w:r>
        <w:rPr>
          <w:rFonts w:cs="Arial"/>
          <w:rtl/>
        </w:rPr>
        <w:t xml:space="preserve"> שלקות</w:t>
      </w:r>
      <w:r>
        <w:rPr>
          <w:rFonts w:cs="Arial" w:hint="cs"/>
          <w:rtl/>
        </w:rPr>
        <w:t>-</w:t>
      </w:r>
      <w:r>
        <w:rPr>
          <w:rFonts w:cs="Arial"/>
          <w:rtl/>
        </w:rPr>
        <w:t xml:space="preserve"> כל דבר שבשלו גוי ואפילו בכלי טהור וכולהו משום חתנות</w:t>
      </w:r>
      <w:r>
        <w:rPr>
          <w:rFonts w:cs="Arial" w:hint="cs"/>
          <w:rtl/>
        </w:rPr>
        <w:t>.</w:t>
      </w:r>
      <w:r>
        <w:rPr>
          <w:rFonts w:cs="Arial"/>
          <w:rtl/>
        </w:rPr>
        <w:t xml:space="preserve"> וכ</w:t>
      </w:r>
      <w:r>
        <w:rPr>
          <w:rFonts w:cs="Arial" w:hint="cs"/>
          <w:rtl/>
        </w:rPr>
        <w:t>"כ</w:t>
      </w:r>
      <w:r>
        <w:rPr>
          <w:rFonts w:cs="Arial"/>
          <w:rtl/>
        </w:rPr>
        <w:t xml:space="preserve"> הרמב"ם </w:t>
      </w:r>
      <w:r>
        <w:rPr>
          <w:rFonts w:cs="Arial" w:hint="cs"/>
          <w:rtl/>
        </w:rPr>
        <w:t>(</w:t>
      </w:r>
      <w:r>
        <w:rPr>
          <w:rFonts w:cs="Arial"/>
          <w:rtl/>
        </w:rPr>
        <w:t>פי"ז מהמ"א ה"ט). ובגמרא פירש רש"י (לח. ד"ה מדרבנן) טעמא אחרינא שלא יהא ישראל רגיל אצל גוי במאכל ובמשתה ויאכילנו דבר טמא</w:t>
      </w:r>
      <w:r>
        <w:rPr>
          <w:rFonts w:cs="Arial" w:hint="cs"/>
          <w:rtl/>
        </w:rPr>
        <w:t>. עכ"ל הב"י.</w:t>
      </w:r>
    </w:p>
  </w:footnote>
  <w:footnote w:id="2702">
    <w:p w14:paraId="3DD389BC" w14:textId="77777777" w:rsidR="004C5A3C" w:rsidRDefault="004C5A3C" w:rsidP="002C39F4">
      <w:pPr>
        <w:pStyle w:val="a5"/>
        <w:rPr>
          <w:rtl/>
        </w:rPr>
      </w:pPr>
      <w:r>
        <w:rPr>
          <w:rStyle w:val="a7"/>
        </w:rPr>
        <w:footnoteRef/>
      </w:r>
      <w:r>
        <w:rPr>
          <w:rtl/>
        </w:rPr>
        <w:t xml:space="preserve"> </w:t>
      </w:r>
      <w:r>
        <w:rPr>
          <w:rFonts w:cs="Arial" w:hint="cs"/>
          <w:rtl/>
        </w:rPr>
        <w:t xml:space="preserve">ר"ח ר"ת </w:t>
      </w:r>
      <w:r w:rsidRPr="000B0FB6">
        <w:rPr>
          <w:rFonts w:cs="Arial" w:hint="cs"/>
          <w:sz w:val="16"/>
          <w:szCs w:val="16"/>
          <w:rtl/>
        </w:rPr>
        <w:t xml:space="preserve">(הביאוהו תוס' רשב"א רא"ש ור"ן) </w:t>
      </w:r>
      <w:r>
        <w:rPr>
          <w:rFonts w:cs="Arial"/>
          <w:rtl/>
        </w:rPr>
        <w:t>תוס</w:t>
      </w:r>
      <w:r>
        <w:rPr>
          <w:rFonts w:cs="Arial" w:hint="cs"/>
          <w:rtl/>
        </w:rPr>
        <w:t>'</w:t>
      </w:r>
      <w:r>
        <w:rPr>
          <w:rFonts w:cs="Arial"/>
          <w:rtl/>
        </w:rPr>
        <w:t xml:space="preserve"> </w:t>
      </w:r>
      <w:r w:rsidRPr="000B0FB6">
        <w:rPr>
          <w:rFonts w:cs="Arial"/>
          <w:sz w:val="16"/>
          <w:szCs w:val="16"/>
          <w:rtl/>
        </w:rPr>
        <w:t xml:space="preserve">(ד"ה איכא בינייהו) </w:t>
      </w:r>
      <w:r>
        <w:rPr>
          <w:rFonts w:cs="Arial"/>
          <w:rtl/>
        </w:rPr>
        <w:t>רמב"ם</w:t>
      </w:r>
      <w:r w:rsidRPr="000B0FB6">
        <w:rPr>
          <w:rFonts w:cs="Arial"/>
          <w:sz w:val="16"/>
          <w:szCs w:val="16"/>
          <w:rtl/>
        </w:rPr>
        <w:t xml:space="preserve"> </w:t>
      </w:r>
      <w:r w:rsidRPr="000B0FB6">
        <w:rPr>
          <w:rFonts w:cs="Arial" w:hint="cs"/>
          <w:sz w:val="16"/>
          <w:szCs w:val="16"/>
          <w:rtl/>
        </w:rPr>
        <w:t>(</w:t>
      </w:r>
      <w:r w:rsidRPr="000B0FB6">
        <w:rPr>
          <w:rFonts w:cs="Arial"/>
          <w:sz w:val="16"/>
          <w:szCs w:val="16"/>
          <w:rtl/>
        </w:rPr>
        <w:t>פי"ז</w:t>
      </w:r>
      <w:r w:rsidRPr="000B0FB6">
        <w:rPr>
          <w:rFonts w:cs="Arial" w:hint="cs"/>
          <w:sz w:val="16"/>
          <w:szCs w:val="16"/>
          <w:rtl/>
        </w:rPr>
        <w:t xml:space="preserve"> </w:t>
      </w:r>
      <w:r w:rsidRPr="000B0FB6">
        <w:rPr>
          <w:rFonts w:cs="Arial"/>
          <w:sz w:val="16"/>
          <w:szCs w:val="16"/>
          <w:rtl/>
        </w:rPr>
        <w:t xml:space="preserve">הט"ו) </w:t>
      </w:r>
      <w:r>
        <w:rPr>
          <w:rFonts w:cs="Arial"/>
          <w:rtl/>
        </w:rPr>
        <w:t xml:space="preserve">רשב"א </w:t>
      </w:r>
      <w:r w:rsidRPr="000B0FB6">
        <w:rPr>
          <w:rFonts w:cs="Arial"/>
          <w:sz w:val="16"/>
          <w:szCs w:val="16"/>
          <w:rtl/>
        </w:rPr>
        <w:t xml:space="preserve">(בתוה"א שם) </w:t>
      </w:r>
      <w:r>
        <w:rPr>
          <w:rFonts w:cs="Arial"/>
          <w:rtl/>
        </w:rPr>
        <w:t xml:space="preserve">רא"ש </w:t>
      </w:r>
      <w:r w:rsidRPr="000B0FB6">
        <w:rPr>
          <w:rFonts w:cs="Arial"/>
          <w:sz w:val="16"/>
          <w:szCs w:val="16"/>
          <w:rtl/>
        </w:rPr>
        <w:t xml:space="preserve">(סי' כח) </w:t>
      </w:r>
      <w:r>
        <w:rPr>
          <w:rFonts w:cs="Arial" w:hint="cs"/>
          <w:rtl/>
        </w:rPr>
        <w:t>ו</w:t>
      </w:r>
      <w:r>
        <w:rPr>
          <w:rFonts w:cs="Arial"/>
          <w:rtl/>
        </w:rPr>
        <w:t xml:space="preserve">ר"ן </w:t>
      </w:r>
      <w:r w:rsidRPr="000B0FB6">
        <w:rPr>
          <w:rFonts w:cs="Arial"/>
          <w:sz w:val="16"/>
          <w:szCs w:val="16"/>
          <w:rtl/>
        </w:rPr>
        <w:t>(טו.</w:t>
      </w:r>
      <w:r w:rsidRPr="000B0FB6">
        <w:rPr>
          <w:rFonts w:cs="Arial" w:hint="cs"/>
          <w:sz w:val="16"/>
          <w:szCs w:val="16"/>
          <w:rtl/>
        </w:rPr>
        <w:t>)</w:t>
      </w:r>
      <w:r>
        <w:rPr>
          <w:rFonts w:hint="cs"/>
          <w:rtl/>
        </w:rPr>
        <w:t>.</w:t>
      </w:r>
    </w:p>
  </w:footnote>
  <w:footnote w:id="2703">
    <w:p w14:paraId="7757B7E0" w14:textId="77777777" w:rsidR="004C5A3C" w:rsidRDefault="004C5A3C" w:rsidP="002C39F4">
      <w:pPr>
        <w:pStyle w:val="a5"/>
      </w:pPr>
      <w:r>
        <w:rPr>
          <w:rStyle w:val="a7"/>
        </w:rPr>
        <w:footnoteRef/>
      </w:r>
      <w:r>
        <w:rPr>
          <w:rtl/>
        </w:rPr>
        <w:t xml:space="preserve"> </w:t>
      </w:r>
      <w:r w:rsidRPr="000B0FB6">
        <w:rPr>
          <w:rFonts w:cs="Arial"/>
          <w:rtl/>
        </w:rPr>
        <w:t>וכתב הרמב"ם דטעמא דבעינן שיהא עולה על שלחן מלכים הוא מפני שעיקר הגזרה משום חתנות שלא יזמנו הגוי בסעודה ודבר שאינו עולה על שלחן מלכים לאכול בו את הפת אין אדם מזמן את חבירו עליו</w:t>
      </w:r>
      <w:r>
        <w:rPr>
          <w:rFonts w:cs="Arial" w:hint="cs"/>
          <w:rtl/>
        </w:rPr>
        <w:t>, ב"י</w:t>
      </w:r>
      <w:r w:rsidRPr="000B0FB6">
        <w:rPr>
          <w:rFonts w:cs="Arial" w:hint="cs"/>
          <w:rtl/>
        </w:rPr>
        <w:t>.</w:t>
      </w:r>
    </w:p>
  </w:footnote>
  <w:footnote w:id="2704">
    <w:p w14:paraId="7B36109F" w14:textId="77777777" w:rsidR="004C5A3C" w:rsidRDefault="004C5A3C" w:rsidP="002C39F4">
      <w:pPr>
        <w:pStyle w:val="a5"/>
        <w:rPr>
          <w:rtl/>
        </w:rPr>
      </w:pPr>
      <w:r>
        <w:rPr>
          <w:rStyle w:val="a7"/>
        </w:rPr>
        <w:footnoteRef/>
      </w:r>
      <w:r>
        <w:rPr>
          <w:rtl/>
        </w:rPr>
        <w:t xml:space="preserve"> </w:t>
      </w:r>
      <w:r>
        <w:rPr>
          <w:rFonts w:cs="Arial" w:hint="cs"/>
          <w:rtl/>
        </w:rPr>
        <w:t>וכ' הב"י-</w:t>
      </w:r>
      <w:r w:rsidRPr="00A22E57">
        <w:rPr>
          <w:rtl/>
        </w:rPr>
        <w:t xml:space="preserve"> </w:t>
      </w:r>
      <w:r>
        <w:rPr>
          <w:rFonts w:cs="Arial"/>
          <w:rtl/>
        </w:rPr>
        <w:t>ומ"ש רבינו או לפרפרת</w:t>
      </w:r>
      <w:r>
        <w:rPr>
          <w:rFonts w:cs="Arial" w:hint="cs"/>
          <w:rtl/>
        </w:rPr>
        <w:t>,</w:t>
      </w:r>
      <w:r>
        <w:rPr>
          <w:rFonts w:cs="Arial"/>
          <w:rtl/>
        </w:rPr>
        <w:t xml:space="preserve"> כן נראה מדברי הרמב"ם </w:t>
      </w:r>
      <w:r w:rsidRPr="00F75015">
        <w:rPr>
          <w:rFonts w:cs="Arial"/>
          <w:sz w:val="16"/>
          <w:szCs w:val="16"/>
          <w:rtl/>
        </w:rPr>
        <w:t>(פי"ז מהמ"א הי"ט</w:t>
      </w:r>
      <w:r w:rsidRPr="00F75015">
        <w:rPr>
          <w:rFonts w:cs="Arial" w:hint="cs"/>
          <w:sz w:val="16"/>
          <w:szCs w:val="16"/>
          <w:rtl/>
        </w:rPr>
        <w:t>,</w:t>
      </w:r>
      <w:r w:rsidRPr="00F75015">
        <w:rPr>
          <w:rFonts w:cs="Arial"/>
          <w:sz w:val="16"/>
          <w:szCs w:val="16"/>
          <w:rtl/>
        </w:rPr>
        <w:t xml:space="preserve"> שכתב</w:t>
      </w:r>
      <w:r w:rsidRPr="00F75015">
        <w:rPr>
          <w:rFonts w:cs="Arial" w:hint="cs"/>
          <w:sz w:val="16"/>
          <w:szCs w:val="16"/>
          <w:rtl/>
        </w:rPr>
        <w:t>-</w:t>
      </w:r>
      <w:r w:rsidRPr="00F75015">
        <w:rPr>
          <w:rFonts w:cs="Arial"/>
          <w:sz w:val="16"/>
          <w:szCs w:val="16"/>
          <w:rtl/>
        </w:rPr>
        <w:t xml:space="preserve"> גוי שהצית אור באגם כדי להע</w:t>
      </w:r>
      <w:r w:rsidRPr="00F75015">
        <w:rPr>
          <w:rFonts w:cs="Arial" w:hint="cs"/>
          <w:sz w:val="16"/>
          <w:szCs w:val="16"/>
          <w:rtl/>
        </w:rPr>
        <w:t>ב</w:t>
      </w:r>
      <w:r w:rsidRPr="00F75015">
        <w:rPr>
          <w:rFonts w:cs="Arial"/>
          <w:sz w:val="16"/>
          <w:szCs w:val="16"/>
          <w:rtl/>
        </w:rPr>
        <w:t>יר החציר ונתבשלו בו חגבים הרי אלו מותרים ואפילו במקום שהן עולין על שלחן מלכים משום פרפרת</w:t>
      </w:r>
      <w:r w:rsidRPr="00F75015">
        <w:rPr>
          <w:rFonts w:cs="Arial" w:hint="cs"/>
          <w:sz w:val="16"/>
          <w:szCs w:val="16"/>
          <w:rtl/>
        </w:rPr>
        <w:t>)</w:t>
      </w:r>
      <w:r>
        <w:rPr>
          <w:rFonts w:cs="Arial" w:hint="cs"/>
          <w:rtl/>
        </w:rPr>
        <w:t>.</w:t>
      </w:r>
      <w:r w:rsidRPr="00F75015">
        <w:rPr>
          <w:rFonts w:hint="cs"/>
          <w:rtl/>
        </w:rPr>
        <w:t xml:space="preserve"> </w:t>
      </w:r>
      <w:r>
        <w:rPr>
          <w:rFonts w:hint="cs"/>
          <w:rtl/>
        </w:rPr>
        <w:t>וכ"כ האו</w:t>
      </w:r>
      <w:r>
        <w:rPr>
          <w:rtl/>
        </w:rPr>
        <w:t>"</w:t>
      </w:r>
      <w:r>
        <w:rPr>
          <w:rFonts w:hint="cs"/>
          <w:rtl/>
        </w:rPr>
        <w:t>ה</w:t>
      </w:r>
      <w:r>
        <w:rPr>
          <w:rtl/>
        </w:rPr>
        <w:t xml:space="preserve"> </w:t>
      </w:r>
      <w:r w:rsidRPr="00F75015">
        <w:rPr>
          <w:sz w:val="16"/>
          <w:szCs w:val="16"/>
          <w:rtl/>
        </w:rPr>
        <w:t>(כלל מג ד</w:t>
      </w:r>
      <w:r w:rsidRPr="00F75015">
        <w:rPr>
          <w:rFonts w:hint="cs"/>
          <w:sz w:val="16"/>
          <w:szCs w:val="16"/>
          <w:rtl/>
        </w:rPr>
        <w:t>"</w:t>
      </w:r>
      <w:r w:rsidRPr="00F75015">
        <w:rPr>
          <w:sz w:val="16"/>
          <w:szCs w:val="16"/>
          <w:rtl/>
        </w:rPr>
        <w:t>ב</w:t>
      </w:r>
      <w:r>
        <w:rPr>
          <w:rFonts w:hint="cs"/>
          <w:sz w:val="16"/>
          <w:szCs w:val="16"/>
          <w:rtl/>
        </w:rPr>
        <w:t>, הביאו הדרכ"מ אות ב</w:t>
      </w:r>
      <w:r w:rsidRPr="00F75015">
        <w:rPr>
          <w:sz w:val="16"/>
          <w:szCs w:val="16"/>
          <w:rtl/>
        </w:rPr>
        <w:t>)</w:t>
      </w:r>
      <w:r>
        <w:rPr>
          <w:rFonts w:hint="cs"/>
          <w:rtl/>
        </w:rPr>
        <w:t>.</w:t>
      </w:r>
    </w:p>
  </w:footnote>
  <w:footnote w:id="2705">
    <w:p w14:paraId="64289487" w14:textId="77777777" w:rsidR="004C5A3C" w:rsidRDefault="004C5A3C" w:rsidP="002C39F4">
      <w:pPr>
        <w:pStyle w:val="a5"/>
        <w:rPr>
          <w:rtl/>
        </w:rPr>
      </w:pPr>
      <w:r>
        <w:rPr>
          <w:rStyle w:val="a7"/>
        </w:rPr>
        <w:footnoteRef/>
      </w:r>
      <w:r>
        <w:rPr>
          <w:rtl/>
        </w:rPr>
        <w:t xml:space="preserve"> </w:t>
      </w:r>
      <w:r>
        <w:rPr>
          <w:rFonts w:cs="Arial"/>
          <w:rtl/>
        </w:rPr>
        <w:t>וכבר דחה הר"ן ראייתו</w:t>
      </w:r>
      <w:r>
        <w:rPr>
          <w:rFonts w:cs="Arial" w:hint="cs"/>
          <w:rtl/>
        </w:rPr>
        <w:t>, ב"י</w:t>
      </w:r>
      <w:r>
        <w:rPr>
          <w:rFonts w:cs="Arial"/>
          <w:rtl/>
        </w:rPr>
        <w:t>.</w:t>
      </w:r>
    </w:p>
  </w:footnote>
  <w:footnote w:id="2706">
    <w:p w14:paraId="03D6E71F" w14:textId="77777777" w:rsidR="004C5A3C" w:rsidRPr="000F7955" w:rsidRDefault="004C5A3C" w:rsidP="002C39F4">
      <w:pPr>
        <w:pStyle w:val="a5"/>
      </w:pPr>
      <w:r w:rsidRPr="000F7955">
        <w:rPr>
          <w:rStyle w:val="a7"/>
        </w:rPr>
        <w:footnoteRef/>
      </w:r>
      <w:r w:rsidRPr="000F7955">
        <w:rPr>
          <w:rtl/>
        </w:rPr>
        <w:t xml:space="preserve"> </w:t>
      </w:r>
      <w:r w:rsidRPr="000F7955">
        <w:rPr>
          <w:rFonts w:cs="Arial" w:hint="cs"/>
          <w:rtl/>
        </w:rPr>
        <w:t xml:space="preserve">כ"כ בשמו </w:t>
      </w:r>
      <w:r w:rsidRPr="000F7955">
        <w:rPr>
          <w:rFonts w:cs="Arial"/>
          <w:rtl/>
        </w:rPr>
        <w:t>תוס</w:t>
      </w:r>
      <w:r w:rsidRPr="000F7955">
        <w:rPr>
          <w:rFonts w:cs="Arial" w:hint="cs"/>
          <w:rtl/>
        </w:rPr>
        <w:t>'</w:t>
      </w:r>
      <w:r w:rsidRPr="000F7955">
        <w:rPr>
          <w:rFonts w:cs="Arial"/>
          <w:rtl/>
        </w:rPr>
        <w:t xml:space="preserve"> (ד"ה אלא מדרבנן) מרדכי (סי' תתל) </w:t>
      </w:r>
      <w:r w:rsidRPr="000F7955">
        <w:rPr>
          <w:rFonts w:cs="Arial" w:hint="cs"/>
          <w:rtl/>
        </w:rPr>
        <w:t>וטור</w:t>
      </w:r>
      <w:r>
        <w:rPr>
          <w:rFonts w:hint="cs"/>
          <w:rtl/>
        </w:rPr>
        <w:t>. ולא מדובר על הראב"ד בעל ההשגות אלא על הראב"ד מאורלייניש. אמנם האו</w:t>
      </w:r>
      <w:r>
        <w:rPr>
          <w:rtl/>
        </w:rPr>
        <w:t>"</w:t>
      </w:r>
      <w:r>
        <w:rPr>
          <w:rFonts w:hint="cs"/>
          <w:rtl/>
        </w:rPr>
        <w:t>ה (כלל מג די"ג) כתב כן על שם רש"מ וראבי"ה מאורלייניש.</w:t>
      </w:r>
    </w:p>
  </w:footnote>
  <w:footnote w:id="2707">
    <w:p w14:paraId="666D4F33" w14:textId="77777777" w:rsidR="004C5A3C" w:rsidRDefault="004C5A3C" w:rsidP="002C39F4">
      <w:pPr>
        <w:pStyle w:val="a5"/>
        <w:rPr>
          <w:rtl/>
        </w:rPr>
      </w:pPr>
      <w:r>
        <w:rPr>
          <w:rStyle w:val="a7"/>
        </w:rPr>
        <w:footnoteRef/>
      </w:r>
      <w:r>
        <w:rPr>
          <w:rtl/>
        </w:rPr>
        <w:t xml:space="preserve"> </w:t>
      </w:r>
      <w:r>
        <w:rPr>
          <w:rFonts w:hint="cs"/>
          <w:rtl/>
        </w:rPr>
        <w:t xml:space="preserve">וכן נוהגין, טור. וכ' הב"י- </w:t>
      </w:r>
      <w:r w:rsidRPr="00B70A11">
        <w:rPr>
          <w:rFonts w:cs="Arial"/>
          <w:rtl/>
        </w:rPr>
        <w:t xml:space="preserve">וכן נראה שהוא דעת </w:t>
      </w:r>
      <w:r>
        <w:rPr>
          <w:rFonts w:cs="Arial"/>
          <w:rtl/>
        </w:rPr>
        <w:t>הפוסקים שסתמו דבריהם ולא חילקו</w:t>
      </w:r>
      <w:r>
        <w:rPr>
          <w:rFonts w:cs="Arial" w:hint="cs"/>
          <w:rtl/>
        </w:rPr>
        <w:t>,</w:t>
      </w:r>
      <w:r>
        <w:rPr>
          <w:rFonts w:cs="Arial"/>
          <w:rtl/>
        </w:rPr>
        <w:t xml:space="preserve"> </w:t>
      </w:r>
      <w:r w:rsidRPr="001656EB">
        <w:rPr>
          <w:rFonts w:cs="Arial" w:hint="cs"/>
          <w:sz w:val="16"/>
          <w:szCs w:val="16"/>
          <w:rtl/>
        </w:rPr>
        <w:t>[</w:t>
      </w:r>
      <w:r w:rsidRPr="001656EB">
        <w:rPr>
          <w:rFonts w:cs="Arial"/>
          <w:sz w:val="16"/>
          <w:szCs w:val="16"/>
          <w:rtl/>
        </w:rPr>
        <w:t>בד</w:t>
      </w:r>
      <w:r w:rsidRPr="001656EB">
        <w:rPr>
          <w:rFonts w:cs="Arial" w:hint="cs"/>
          <w:sz w:val="16"/>
          <w:szCs w:val="16"/>
          <w:rtl/>
        </w:rPr>
        <w:t>ה"ב</w:t>
      </w:r>
      <w:r w:rsidRPr="001656EB">
        <w:rPr>
          <w:rFonts w:cs="Arial"/>
          <w:sz w:val="16"/>
          <w:szCs w:val="16"/>
          <w:rtl/>
        </w:rPr>
        <w:t xml:space="preserve">] </w:t>
      </w:r>
      <w:r w:rsidRPr="00B70A11">
        <w:rPr>
          <w:rFonts w:cs="Arial"/>
          <w:rtl/>
        </w:rPr>
        <w:t>ולאפוקי מר</w:t>
      </w:r>
      <w:r w:rsidRPr="00B70A11">
        <w:rPr>
          <w:rFonts w:cs="Arial" w:hint="cs"/>
          <w:rtl/>
        </w:rPr>
        <w:t xml:space="preserve">י"ו </w:t>
      </w:r>
      <w:r w:rsidRPr="00B70A11">
        <w:rPr>
          <w:rFonts w:cs="Arial"/>
          <w:rtl/>
        </w:rPr>
        <w:t>(ני"ז ח"ז קס ע"ד) שכתב שרוב הפו</w:t>
      </w:r>
      <w:r>
        <w:rPr>
          <w:rFonts w:cs="Arial"/>
          <w:rtl/>
        </w:rPr>
        <w:t xml:space="preserve">סקים הסכימו להתיר </w:t>
      </w:r>
      <w:r w:rsidRPr="001656EB">
        <w:rPr>
          <w:rFonts w:cs="Arial"/>
          <w:sz w:val="16"/>
          <w:szCs w:val="16"/>
          <w:rtl/>
        </w:rPr>
        <w:t>[</w:t>
      </w:r>
      <w:r w:rsidRPr="001656EB">
        <w:rPr>
          <w:rFonts w:cs="Arial" w:hint="cs"/>
          <w:sz w:val="16"/>
          <w:szCs w:val="16"/>
          <w:rtl/>
        </w:rPr>
        <w:t>ע"</w:t>
      </w:r>
      <w:r w:rsidRPr="001656EB">
        <w:rPr>
          <w:rFonts w:cs="Arial"/>
          <w:sz w:val="16"/>
          <w:szCs w:val="16"/>
          <w:rtl/>
        </w:rPr>
        <w:t>כ]</w:t>
      </w:r>
      <w:r>
        <w:rPr>
          <w:rFonts w:cs="Arial" w:hint="cs"/>
          <w:rtl/>
        </w:rPr>
        <w:t>.</w:t>
      </w:r>
    </w:p>
  </w:footnote>
  <w:footnote w:id="2708">
    <w:p w14:paraId="0A84478C" w14:textId="77777777" w:rsidR="004C5A3C" w:rsidRDefault="004C5A3C" w:rsidP="002C39F4">
      <w:pPr>
        <w:pStyle w:val="a5"/>
      </w:pPr>
      <w:r>
        <w:rPr>
          <w:rStyle w:val="a7"/>
        </w:rPr>
        <w:footnoteRef/>
      </w:r>
      <w:r>
        <w:rPr>
          <w:rtl/>
        </w:rPr>
        <w:t xml:space="preserve"> </w:t>
      </w:r>
      <w:r w:rsidRPr="001111DA">
        <w:rPr>
          <w:rFonts w:cs="Arial"/>
          <w:rtl/>
        </w:rPr>
        <w:t>אתורמוסן קאי דאי הן בני תורה שרי כדמפרש לקמיה תורמוס אינו נאכל חי ואינו עולה על שלחן מלכים</w:t>
      </w:r>
      <w:r>
        <w:rPr>
          <w:rFonts w:cs="Arial" w:hint="cs"/>
          <w:rtl/>
        </w:rPr>
        <w:t>, רש"י.</w:t>
      </w:r>
    </w:p>
  </w:footnote>
  <w:footnote w:id="2709">
    <w:p w14:paraId="0FB98E8B" w14:textId="77777777" w:rsidR="004C5A3C" w:rsidRDefault="004C5A3C" w:rsidP="002C39F4">
      <w:pPr>
        <w:pStyle w:val="a5"/>
        <w:rPr>
          <w:rtl/>
        </w:rPr>
      </w:pPr>
      <w:r>
        <w:rPr>
          <w:rStyle w:val="a7"/>
        </w:rPr>
        <w:footnoteRef/>
      </w:r>
      <w:r>
        <w:rPr>
          <w:rtl/>
        </w:rPr>
        <w:t xml:space="preserve"> </w:t>
      </w:r>
      <w:r>
        <w:rPr>
          <w:rFonts w:hint="cs"/>
          <w:rtl/>
        </w:rPr>
        <w:t>ותורמוסים אינם ראויים לאכילה אלא ע"י בישול, א"כ אסורים מדינא ולא מכיון דאינם בני תורה.</w:t>
      </w:r>
    </w:p>
  </w:footnote>
  <w:footnote w:id="2710">
    <w:p w14:paraId="5C9E2550" w14:textId="77777777" w:rsidR="004C5A3C" w:rsidRDefault="004C5A3C" w:rsidP="002C39F4">
      <w:pPr>
        <w:pStyle w:val="a5"/>
      </w:pPr>
      <w:r>
        <w:rPr>
          <w:rStyle w:val="a7"/>
        </w:rPr>
        <w:footnoteRef/>
      </w:r>
      <w:r>
        <w:rPr>
          <w:rtl/>
        </w:rPr>
        <w:t xml:space="preserve"> </w:t>
      </w:r>
      <w:r>
        <w:rPr>
          <w:rFonts w:hint="cs"/>
          <w:rtl/>
        </w:rPr>
        <w:t>ותורמוסים אינם עולים על שולחן מלכים, אבל אעפ"כ תורמוסי הגוים אסורים להם משום שהם לא בני תורה.</w:t>
      </w:r>
    </w:p>
  </w:footnote>
  <w:footnote w:id="2711">
    <w:p w14:paraId="3A0A5E75" w14:textId="77777777" w:rsidR="004C5A3C" w:rsidRDefault="004C5A3C" w:rsidP="002C39F4">
      <w:pPr>
        <w:pStyle w:val="a5"/>
      </w:pPr>
      <w:r>
        <w:rPr>
          <w:rStyle w:val="a7"/>
        </w:rPr>
        <w:footnoteRef/>
      </w:r>
      <w:r>
        <w:rPr>
          <w:rtl/>
        </w:rPr>
        <w:t xml:space="preserve"> </w:t>
      </w:r>
      <w:r>
        <w:rPr>
          <w:rFonts w:hint="cs"/>
          <w:rtl/>
        </w:rPr>
        <w:t xml:space="preserve">הב"י ושאר מפרשים לא הביאו גמרא זו, ולא הביאו את דברי רי"ד והמאירי, אלא הב"י הביא את דברי רי"ו שהזכיר גמ' זו, ומ"מ ראיתי להביא את דברי הגמ' ואת דבריהם דיש ללמוד מזה לכל מיני מקרים.  </w:t>
      </w:r>
    </w:p>
  </w:footnote>
  <w:footnote w:id="2712">
    <w:p w14:paraId="3AD673AA" w14:textId="77777777" w:rsidR="004C5A3C" w:rsidRDefault="004C5A3C" w:rsidP="002C39F4">
      <w:pPr>
        <w:pStyle w:val="a5"/>
      </w:pPr>
      <w:r>
        <w:rPr>
          <w:rStyle w:val="a7"/>
        </w:rPr>
        <w:footnoteRef/>
      </w:r>
      <w:r>
        <w:rPr>
          <w:rtl/>
        </w:rPr>
        <w:t xml:space="preserve"> </w:t>
      </w:r>
      <w:r>
        <w:rPr>
          <w:rFonts w:cs="Arial" w:hint="cs"/>
          <w:rtl/>
        </w:rPr>
        <w:t>וכ' הר"ן שכן דעת רי"ף ורש"י. וכ' ה</w:t>
      </w:r>
      <w:r>
        <w:rPr>
          <w:rFonts w:cs="Arial"/>
          <w:rtl/>
        </w:rPr>
        <w:t>הג"א</w:t>
      </w:r>
      <w:r>
        <w:rPr>
          <w:rFonts w:cs="Arial" w:hint="cs"/>
          <w:rtl/>
        </w:rPr>
        <w:t xml:space="preserve"> </w:t>
      </w:r>
      <w:r w:rsidRPr="008D7DCB">
        <w:rPr>
          <w:rFonts w:cs="Arial" w:hint="cs"/>
          <w:sz w:val="16"/>
          <w:szCs w:val="16"/>
          <w:rtl/>
        </w:rPr>
        <w:t>(הביאו הדרכ"מ אות ב)</w:t>
      </w:r>
      <w:r>
        <w:rPr>
          <w:rFonts w:cs="Arial" w:hint="cs"/>
          <w:rtl/>
        </w:rPr>
        <w:t xml:space="preserve"> ד</w:t>
      </w:r>
      <w:r w:rsidRPr="00EF088B">
        <w:rPr>
          <w:rFonts w:cs="Arial"/>
          <w:rtl/>
        </w:rPr>
        <w:t>לכן נוהגי</w:t>
      </w:r>
      <w:r>
        <w:rPr>
          <w:rFonts w:cs="Arial"/>
          <w:rtl/>
        </w:rPr>
        <w:t>ן לאכול קומפש"ט של גוים אע</w:t>
      </w:r>
      <w:r>
        <w:rPr>
          <w:rFonts w:cs="Arial" w:hint="cs"/>
          <w:rtl/>
        </w:rPr>
        <w:t>"</w:t>
      </w:r>
      <w:r>
        <w:rPr>
          <w:rFonts w:cs="Arial"/>
          <w:rtl/>
        </w:rPr>
        <w:t>פ שמבשלין אותו</w:t>
      </w:r>
      <w:r>
        <w:rPr>
          <w:rFonts w:cs="Arial" w:hint="cs"/>
          <w:rtl/>
        </w:rPr>
        <w:t>.</w:t>
      </w:r>
      <w:r w:rsidRPr="00EF088B">
        <w:rPr>
          <w:rFonts w:cs="Arial"/>
          <w:rtl/>
        </w:rPr>
        <w:t xml:space="preserve"> </w:t>
      </w:r>
      <w:r>
        <w:rPr>
          <w:rFonts w:cs="Arial" w:hint="cs"/>
          <w:rtl/>
        </w:rPr>
        <w:t xml:space="preserve">אמנם </w:t>
      </w:r>
      <w:r w:rsidRPr="00EF088B">
        <w:rPr>
          <w:rFonts w:cs="Arial"/>
          <w:rtl/>
        </w:rPr>
        <w:t>ב</w:t>
      </w:r>
      <w:r>
        <w:rPr>
          <w:rFonts w:cs="Arial"/>
          <w:rtl/>
        </w:rPr>
        <w:t>או"ה</w:t>
      </w:r>
      <w:r w:rsidRPr="00EF088B">
        <w:rPr>
          <w:rFonts w:cs="Arial"/>
          <w:rtl/>
        </w:rPr>
        <w:t xml:space="preserve"> </w:t>
      </w:r>
      <w:r w:rsidRPr="008D7DCB">
        <w:rPr>
          <w:rFonts w:cs="Arial" w:hint="cs"/>
          <w:sz w:val="16"/>
          <w:szCs w:val="16"/>
          <w:rtl/>
        </w:rPr>
        <w:t>(</w:t>
      </w:r>
      <w:r w:rsidRPr="008D7DCB">
        <w:rPr>
          <w:rFonts w:cs="Arial"/>
          <w:sz w:val="16"/>
          <w:szCs w:val="16"/>
          <w:rtl/>
        </w:rPr>
        <w:t>כלל מג ד</w:t>
      </w:r>
      <w:r w:rsidRPr="008D7DCB">
        <w:rPr>
          <w:rFonts w:cs="Arial" w:hint="cs"/>
          <w:sz w:val="16"/>
          <w:szCs w:val="16"/>
          <w:rtl/>
        </w:rPr>
        <w:t>"</w:t>
      </w:r>
      <w:r w:rsidRPr="008D7DCB">
        <w:rPr>
          <w:rFonts w:cs="Arial"/>
          <w:sz w:val="16"/>
          <w:szCs w:val="16"/>
          <w:rtl/>
        </w:rPr>
        <w:t>א</w:t>
      </w:r>
      <w:r>
        <w:rPr>
          <w:rFonts w:cs="Arial" w:hint="cs"/>
          <w:sz w:val="16"/>
          <w:szCs w:val="16"/>
          <w:rtl/>
        </w:rPr>
        <w:t>, הביאו הדרכ"מ</w:t>
      </w:r>
      <w:r w:rsidRPr="008D7DCB">
        <w:rPr>
          <w:rFonts w:cs="Arial"/>
          <w:sz w:val="16"/>
          <w:szCs w:val="16"/>
          <w:rtl/>
        </w:rPr>
        <w:t xml:space="preserve">) </w:t>
      </w:r>
      <w:r>
        <w:rPr>
          <w:rFonts w:cs="Arial" w:hint="cs"/>
          <w:rtl/>
        </w:rPr>
        <w:t xml:space="preserve">כ' </w:t>
      </w:r>
      <w:r w:rsidRPr="00EF088B">
        <w:rPr>
          <w:rFonts w:cs="Arial"/>
          <w:rtl/>
        </w:rPr>
        <w:t>דאין לחלק בין נשתנה ללא נשתנה</w:t>
      </w:r>
      <w:r>
        <w:rPr>
          <w:rFonts w:cs="Arial" w:hint="cs"/>
          <w:rtl/>
        </w:rPr>
        <w:t>.</w:t>
      </w:r>
      <w:r>
        <w:rPr>
          <w:rFonts w:hint="cs"/>
          <w:rtl/>
        </w:rPr>
        <w:t xml:space="preserve"> </w:t>
      </w:r>
    </w:p>
  </w:footnote>
  <w:footnote w:id="2713">
    <w:p w14:paraId="50200D55" w14:textId="77777777" w:rsidR="004C5A3C" w:rsidRDefault="004C5A3C" w:rsidP="002C39F4">
      <w:pPr>
        <w:pStyle w:val="a5"/>
      </w:pPr>
      <w:r>
        <w:rPr>
          <w:rStyle w:val="a7"/>
        </w:rPr>
        <w:footnoteRef/>
      </w:r>
      <w:r>
        <w:rPr>
          <w:rtl/>
        </w:rPr>
        <w:t xml:space="preserve"> </w:t>
      </w:r>
      <w:r>
        <w:rPr>
          <w:rFonts w:cs="Arial" w:hint="cs"/>
          <w:rtl/>
        </w:rPr>
        <w:t xml:space="preserve">וכ' הש"ך </w:t>
      </w:r>
      <w:r w:rsidRPr="006D34EA">
        <w:rPr>
          <w:rFonts w:cs="Arial" w:hint="cs"/>
          <w:sz w:val="16"/>
          <w:szCs w:val="16"/>
          <w:rtl/>
        </w:rPr>
        <w:t>(סק"א)</w:t>
      </w:r>
      <w:r>
        <w:rPr>
          <w:rFonts w:cs="Arial" w:hint="cs"/>
          <w:rtl/>
        </w:rPr>
        <w:t xml:space="preserve">- </w:t>
      </w:r>
      <w:r w:rsidRPr="00224925">
        <w:rPr>
          <w:rFonts w:cs="Arial"/>
          <w:rtl/>
        </w:rPr>
        <w:t xml:space="preserve">מדלא התנה המחבר </w:t>
      </w:r>
      <w:r w:rsidRPr="006D34EA">
        <w:rPr>
          <w:rFonts w:cs="Arial" w:hint="cs"/>
          <w:sz w:val="16"/>
          <w:szCs w:val="16"/>
          <w:rtl/>
        </w:rPr>
        <w:t xml:space="preserve">{בסע' א} </w:t>
      </w:r>
      <w:r w:rsidRPr="00224925">
        <w:rPr>
          <w:rFonts w:cs="Arial"/>
          <w:rtl/>
        </w:rPr>
        <w:t>שיהא נשתנה מברייתו ע"י האור אלמא דס"ל אפילו לא נשתנה אסור</w:t>
      </w:r>
      <w:r>
        <w:rPr>
          <w:rFonts w:cs="Arial" w:hint="cs"/>
          <w:rtl/>
        </w:rPr>
        <w:t>,</w:t>
      </w:r>
      <w:r w:rsidRPr="00224925">
        <w:rPr>
          <w:rFonts w:cs="Arial"/>
          <w:rtl/>
        </w:rPr>
        <w:t xml:space="preserve"> וכדעת הרמב"ם שהביא בב"י</w:t>
      </w:r>
      <w:r>
        <w:rPr>
          <w:rFonts w:cs="Arial" w:hint="cs"/>
          <w:rtl/>
        </w:rPr>
        <w:t>,</w:t>
      </w:r>
      <w:r w:rsidRPr="00224925">
        <w:rPr>
          <w:rFonts w:cs="Arial"/>
          <w:rtl/>
        </w:rPr>
        <w:t xml:space="preserve"> וכן דעת הרב בד</w:t>
      </w:r>
      <w:r>
        <w:rPr>
          <w:rFonts w:cs="Arial" w:hint="cs"/>
          <w:rtl/>
        </w:rPr>
        <w:t>רכ</w:t>
      </w:r>
      <w:r w:rsidRPr="00224925">
        <w:rPr>
          <w:rFonts w:cs="Arial"/>
          <w:rtl/>
        </w:rPr>
        <w:t xml:space="preserve">"מ </w:t>
      </w:r>
      <w:r w:rsidRPr="006D34EA">
        <w:rPr>
          <w:rFonts w:cs="Arial" w:hint="cs"/>
          <w:sz w:val="16"/>
          <w:szCs w:val="16"/>
          <w:rtl/>
        </w:rPr>
        <w:t xml:space="preserve">(אות ב) </w:t>
      </w:r>
      <w:r w:rsidRPr="00224925">
        <w:rPr>
          <w:rFonts w:cs="Arial"/>
          <w:rtl/>
        </w:rPr>
        <w:t xml:space="preserve">ובת"ח </w:t>
      </w:r>
      <w:r w:rsidRPr="006D34EA">
        <w:rPr>
          <w:rFonts w:cs="Arial" w:hint="cs"/>
          <w:sz w:val="16"/>
          <w:szCs w:val="16"/>
          <w:rtl/>
        </w:rPr>
        <w:t>(</w:t>
      </w:r>
      <w:r w:rsidRPr="006D34EA">
        <w:rPr>
          <w:rFonts w:cs="Arial"/>
          <w:sz w:val="16"/>
          <w:szCs w:val="16"/>
          <w:rtl/>
        </w:rPr>
        <w:t>כלל עה ד</w:t>
      </w:r>
      <w:r w:rsidRPr="006D34EA">
        <w:rPr>
          <w:rFonts w:cs="Arial" w:hint="cs"/>
          <w:sz w:val="16"/>
          <w:szCs w:val="16"/>
          <w:rtl/>
        </w:rPr>
        <w:t>"</w:t>
      </w:r>
      <w:r w:rsidRPr="006D34EA">
        <w:rPr>
          <w:rFonts w:cs="Arial"/>
          <w:sz w:val="16"/>
          <w:szCs w:val="16"/>
          <w:rtl/>
        </w:rPr>
        <w:t>ט</w:t>
      </w:r>
      <w:r w:rsidRPr="006D34EA">
        <w:rPr>
          <w:rFonts w:cs="Arial" w:hint="cs"/>
          <w:sz w:val="16"/>
          <w:szCs w:val="16"/>
          <w:rtl/>
        </w:rPr>
        <w:t>)</w:t>
      </w:r>
      <w:r>
        <w:rPr>
          <w:rFonts w:cs="Arial" w:hint="cs"/>
          <w:rtl/>
        </w:rPr>
        <w:t>,</w:t>
      </w:r>
      <w:r w:rsidRPr="00224925">
        <w:rPr>
          <w:rFonts w:cs="Arial"/>
          <w:rtl/>
        </w:rPr>
        <w:t xml:space="preserve"> וזה דעתו בהג"ה ס"ב שלא התיר האפונים אלא מטעם שאינם עולים על שולחן מלכים ולא מטעם דלא נשתנו מברייתן</w:t>
      </w:r>
      <w:r>
        <w:rPr>
          <w:rFonts w:cs="Arial" w:hint="cs"/>
          <w:rtl/>
        </w:rPr>
        <w:t>,</w:t>
      </w:r>
      <w:r w:rsidRPr="00224925">
        <w:rPr>
          <w:rFonts w:cs="Arial"/>
          <w:rtl/>
        </w:rPr>
        <w:t xml:space="preserve"> וכמ"ש בד</w:t>
      </w:r>
      <w:r>
        <w:rPr>
          <w:rFonts w:cs="Arial" w:hint="cs"/>
          <w:rtl/>
        </w:rPr>
        <w:t>רכ</w:t>
      </w:r>
      <w:r w:rsidRPr="00224925">
        <w:rPr>
          <w:rFonts w:cs="Arial"/>
          <w:rtl/>
        </w:rPr>
        <w:t>"מ ובת"ח שם</w:t>
      </w:r>
      <w:r>
        <w:rPr>
          <w:rFonts w:cs="Arial" w:hint="cs"/>
          <w:rtl/>
        </w:rPr>
        <w:t>,</w:t>
      </w:r>
      <w:r w:rsidRPr="00224925">
        <w:rPr>
          <w:rFonts w:cs="Arial"/>
          <w:rtl/>
        </w:rPr>
        <w:t xml:space="preserve"> אבל באמת נראה</w:t>
      </w:r>
      <w:r>
        <w:rPr>
          <w:rFonts w:cs="Arial"/>
          <w:rtl/>
        </w:rPr>
        <w:t xml:space="preserve"> עיקר בש"ס </w:t>
      </w:r>
      <w:r w:rsidRPr="006D34EA">
        <w:rPr>
          <w:rFonts w:cs="Arial"/>
          <w:sz w:val="16"/>
          <w:szCs w:val="16"/>
          <w:rtl/>
        </w:rPr>
        <w:t>(</w:t>
      </w:r>
      <w:r w:rsidRPr="006D34EA">
        <w:rPr>
          <w:rFonts w:cs="Arial" w:hint="cs"/>
          <w:sz w:val="16"/>
          <w:szCs w:val="16"/>
          <w:rtl/>
        </w:rPr>
        <w:t>ע"ז</w:t>
      </w:r>
      <w:r w:rsidRPr="006D34EA">
        <w:rPr>
          <w:rFonts w:cs="Arial"/>
          <w:sz w:val="16"/>
          <w:szCs w:val="16"/>
          <w:rtl/>
        </w:rPr>
        <w:t xml:space="preserve"> </w:t>
      </w:r>
      <w:r w:rsidRPr="006D34EA">
        <w:rPr>
          <w:rFonts w:cs="Arial" w:hint="cs"/>
          <w:sz w:val="16"/>
          <w:szCs w:val="16"/>
          <w:rtl/>
        </w:rPr>
        <w:t xml:space="preserve">סוף דף </w:t>
      </w:r>
      <w:r w:rsidRPr="006D34EA">
        <w:rPr>
          <w:rFonts w:cs="Arial"/>
          <w:sz w:val="16"/>
          <w:szCs w:val="16"/>
          <w:rtl/>
        </w:rPr>
        <w:t>לז</w:t>
      </w:r>
      <w:r w:rsidRPr="006D34EA">
        <w:rPr>
          <w:rFonts w:cs="Arial" w:hint="cs"/>
          <w:sz w:val="16"/>
          <w:szCs w:val="16"/>
          <w:rtl/>
        </w:rPr>
        <w:t>.</w:t>
      </w:r>
      <w:r w:rsidRPr="006D34EA">
        <w:rPr>
          <w:rFonts w:cs="Arial"/>
          <w:sz w:val="16"/>
          <w:szCs w:val="16"/>
          <w:rtl/>
        </w:rPr>
        <w:t xml:space="preserve">) </w:t>
      </w:r>
      <w:r w:rsidRPr="00224925">
        <w:rPr>
          <w:rFonts w:cs="Arial"/>
          <w:rtl/>
        </w:rPr>
        <w:t>כהר"ן ורש"י דאין אסור משום בשולי עובדי כוכבים אלא כשנשתנה מברייתו ע"י האור</w:t>
      </w:r>
      <w:r>
        <w:rPr>
          <w:rFonts w:cs="Arial" w:hint="cs"/>
          <w:rtl/>
        </w:rPr>
        <w:t>,</w:t>
      </w:r>
      <w:r w:rsidRPr="00224925">
        <w:rPr>
          <w:rFonts w:cs="Arial"/>
          <w:rtl/>
        </w:rPr>
        <w:t xml:space="preserve"> וכ"פ בהג"א </w:t>
      </w:r>
      <w:r w:rsidRPr="006D34EA">
        <w:rPr>
          <w:rFonts w:cs="Arial" w:hint="cs"/>
          <w:sz w:val="16"/>
          <w:szCs w:val="16"/>
          <w:rtl/>
        </w:rPr>
        <w:t xml:space="preserve">(ע"ז פ"ב סי' כח) </w:t>
      </w:r>
      <w:r w:rsidRPr="00224925">
        <w:rPr>
          <w:rFonts w:cs="Arial"/>
          <w:rtl/>
        </w:rPr>
        <w:t>מא</w:t>
      </w:r>
      <w:r>
        <w:rPr>
          <w:rFonts w:cs="Arial" w:hint="cs"/>
          <w:rtl/>
        </w:rPr>
        <w:t>ו</w:t>
      </w:r>
      <w:r w:rsidRPr="00224925">
        <w:rPr>
          <w:rFonts w:cs="Arial"/>
          <w:rtl/>
        </w:rPr>
        <w:t>"ז</w:t>
      </w:r>
      <w:r>
        <w:rPr>
          <w:rFonts w:cs="Arial" w:hint="cs"/>
          <w:rtl/>
        </w:rPr>
        <w:t>,</w:t>
      </w:r>
      <w:r w:rsidRPr="00224925">
        <w:rPr>
          <w:rFonts w:cs="Arial"/>
          <w:rtl/>
        </w:rPr>
        <w:t xml:space="preserve"> וכן נראה דעת הרי"ף וכמו שכתב הר"ן</w:t>
      </w:r>
      <w:r>
        <w:rPr>
          <w:rFonts w:cs="Arial" w:hint="cs"/>
          <w:rtl/>
        </w:rPr>
        <w:t>,</w:t>
      </w:r>
      <w:r w:rsidRPr="00224925">
        <w:rPr>
          <w:rFonts w:cs="Arial"/>
          <w:rtl/>
        </w:rPr>
        <w:t xml:space="preserve"> וכן נראה דעת ראב"ן </w:t>
      </w:r>
      <w:r w:rsidRPr="006D34EA">
        <w:rPr>
          <w:rFonts w:cs="Arial" w:hint="cs"/>
          <w:sz w:val="16"/>
          <w:szCs w:val="16"/>
          <w:rtl/>
        </w:rPr>
        <w:t>(</w:t>
      </w:r>
      <w:r w:rsidRPr="006D34EA">
        <w:rPr>
          <w:rFonts w:cs="Arial"/>
          <w:sz w:val="16"/>
          <w:szCs w:val="16"/>
          <w:rtl/>
        </w:rPr>
        <w:t>סי' שג</w:t>
      </w:r>
      <w:r w:rsidRPr="006D34EA">
        <w:rPr>
          <w:rFonts w:cs="Arial" w:hint="cs"/>
          <w:sz w:val="16"/>
          <w:szCs w:val="16"/>
          <w:rtl/>
        </w:rPr>
        <w:t>)</w:t>
      </w:r>
      <w:r>
        <w:rPr>
          <w:rFonts w:cs="Arial" w:hint="cs"/>
          <w:rtl/>
        </w:rPr>
        <w:t>,</w:t>
      </w:r>
      <w:r w:rsidRPr="00224925">
        <w:rPr>
          <w:rFonts w:cs="Arial"/>
          <w:rtl/>
        </w:rPr>
        <w:t xml:space="preserve"> מיהו דעת שאר הפוסקים נראה דאין לחלק בזה</w:t>
      </w:r>
      <w:r>
        <w:rPr>
          <w:rFonts w:hint="cs"/>
          <w:rtl/>
        </w:rPr>
        <w:t>.</w:t>
      </w:r>
    </w:p>
  </w:footnote>
  <w:footnote w:id="2714">
    <w:p w14:paraId="78AC6824" w14:textId="77777777" w:rsidR="004C5A3C" w:rsidRDefault="004C5A3C" w:rsidP="002C39F4">
      <w:pPr>
        <w:pStyle w:val="a5"/>
        <w:rPr>
          <w:rtl/>
        </w:rPr>
      </w:pPr>
      <w:r>
        <w:rPr>
          <w:rStyle w:val="a7"/>
        </w:rPr>
        <w:footnoteRef/>
      </w:r>
      <w:r>
        <w:rPr>
          <w:rtl/>
        </w:rPr>
        <w:t xml:space="preserve"> </w:t>
      </w:r>
      <w:r>
        <w:rPr>
          <w:rFonts w:cs="Arial" w:hint="cs"/>
          <w:rtl/>
        </w:rPr>
        <w:t xml:space="preserve">וכ' הדרכ"מ </w:t>
      </w:r>
      <w:r>
        <w:rPr>
          <w:rFonts w:cs="Arial"/>
          <w:rtl/>
        </w:rPr>
        <w:t>(</w:t>
      </w:r>
      <w:r>
        <w:rPr>
          <w:rFonts w:cs="Arial" w:hint="cs"/>
          <w:rtl/>
        </w:rPr>
        <w:t xml:space="preserve">אות </w:t>
      </w:r>
      <w:r>
        <w:rPr>
          <w:rFonts w:cs="Arial"/>
          <w:rtl/>
        </w:rPr>
        <w:t xml:space="preserve">ג) </w:t>
      </w:r>
      <w:r>
        <w:rPr>
          <w:rFonts w:cs="Arial" w:hint="cs"/>
          <w:rtl/>
        </w:rPr>
        <w:t>ד</w:t>
      </w:r>
      <w:r>
        <w:rPr>
          <w:rFonts w:cs="Arial"/>
          <w:rtl/>
        </w:rPr>
        <w:t>כן מצא בהגהות מוהר"ר אברהם מפראג שהתיר קטניות שקורין בלשון אשכנז ערבי"ס שקולין הגוים בכליהם שאין בהן משום בישולי גוים</w:t>
      </w:r>
      <w:r>
        <w:rPr>
          <w:rFonts w:cs="Arial" w:hint="cs"/>
          <w:rtl/>
        </w:rPr>
        <w:t>,</w:t>
      </w:r>
      <w:r>
        <w:rPr>
          <w:rFonts w:cs="Arial"/>
          <w:rtl/>
        </w:rPr>
        <w:t xml:space="preserve"> וכתב</w:t>
      </w:r>
      <w:r w:rsidRPr="008D7DCB">
        <w:rPr>
          <w:rFonts w:cs="Arial"/>
          <w:sz w:val="16"/>
          <w:szCs w:val="16"/>
          <w:rtl/>
        </w:rPr>
        <w:t xml:space="preserve"> </w:t>
      </w:r>
      <w:r w:rsidRPr="008D7DCB">
        <w:rPr>
          <w:rFonts w:cs="Arial" w:hint="cs"/>
          <w:sz w:val="16"/>
          <w:szCs w:val="16"/>
          <w:rtl/>
        </w:rPr>
        <w:t>{ה"ר אברהם}</w:t>
      </w:r>
      <w:r>
        <w:rPr>
          <w:rFonts w:cs="Arial" w:hint="cs"/>
          <w:rtl/>
        </w:rPr>
        <w:t xml:space="preserve"> </w:t>
      </w:r>
      <w:r>
        <w:rPr>
          <w:rFonts w:cs="Arial"/>
          <w:rtl/>
        </w:rPr>
        <w:t xml:space="preserve">דכן משמע בסמ"ג </w:t>
      </w:r>
      <w:r>
        <w:rPr>
          <w:rFonts w:cs="Arial" w:hint="cs"/>
          <w:rtl/>
        </w:rPr>
        <w:t>(</w:t>
      </w:r>
      <w:r>
        <w:rPr>
          <w:rFonts w:cs="Arial"/>
          <w:rtl/>
        </w:rPr>
        <w:t>הל</w:t>
      </w:r>
      <w:r>
        <w:rPr>
          <w:rFonts w:cs="Arial" w:hint="cs"/>
          <w:rtl/>
        </w:rPr>
        <w:t>'</w:t>
      </w:r>
      <w:r>
        <w:rPr>
          <w:rFonts w:cs="Arial"/>
          <w:rtl/>
        </w:rPr>
        <w:t xml:space="preserve"> יו</w:t>
      </w:r>
      <w:r>
        <w:rPr>
          <w:rFonts w:cs="Arial" w:hint="cs"/>
          <w:rtl/>
        </w:rPr>
        <w:t>"</w:t>
      </w:r>
      <w:r>
        <w:rPr>
          <w:rFonts w:cs="Arial"/>
          <w:rtl/>
        </w:rPr>
        <w:t>ט סי</w:t>
      </w:r>
      <w:r>
        <w:rPr>
          <w:rFonts w:cs="Arial" w:hint="cs"/>
          <w:rtl/>
        </w:rPr>
        <w:t>'</w:t>
      </w:r>
      <w:r>
        <w:rPr>
          <w:rFonts w:cs="Arial"/>
          <w:rtl/>
        </w:rPr>
        <w:t xml:space="preserve"> עה עשין כה ע"ג) דנוהגין היתר בתורמוס של גוים וגם ליכא למיחש שבישלו אותן בכליהם דסתם כלי גוים אינן בני יומן</w:t>
      </w:r>
      <w:r>
        <w:rPr>
          <w:rFonts w:cs="Arial" w:hint="cs"/>
          <w:rtl/>
        </w:rPr>
        <w:t>.</w:t>
      </w:r>
    </w:p>
  </w:footnote>
  <w:footnote w:id="2715">
    <w:p w14:paraId="09242D5C" w14:textId="77777777" w:rsidR="004C5A3C" w:rsidRDefault="004C5A3C" w:rsidP="002C39F4">
      <w:pPr>
        <w:pStyle w:val="a5"/>
      </w:pPr>
      <w:r>
        <w:rPr>
          <w:rStyle w:val="a7"/>
        </w:rPr>
        <w:footnoteRef/>
      </w:r>
      <w:r>
        <w:rPr>
          <w:rtl/>
        </w:rPr>
        <w:t xml:space="preserve"> </w:t>
      </w:r>
      <w:r w:rsidRPr="00B945CF">
        <w:rPr>
          <w:rFonts w:cs="Arial"/>
          <w:rtl/>
        </w:rPr>
        <w:t>שהרואה אותו שהוא מיקל - עומד ומיקל יותר</w:t>
      </w:r>
      <w:r>
        <w:rPr>
          <w:rFonts w:cs="Arial" w:hint="cs"/>
          <w:rtl/>
        </w:rPr>
        <w:t>, רש"י.</w:t>
      </w:r>
      <w:r w:rsidRPr="00B945CF">
        <w:rPr>
          <w:rtl/>
        </w:rPr>
        <w:t xml:space="preserve"> </w:t>
      </w:r>
      <w:r w:rsidRPr="00B945CF">
        <w:rPr>
          <w:rFonts w:cs="Arial"/>
          <w:rtl/>
        </w:rPr>
        <w:t>שיש לו להחמיר לפנים משורת הדין בדבר שנראה לבני אדם שיש בו איסור כדי שלא יבא הרואה להקל יותר, וזה כלל גדול</w:t>
      </w:r>
      <w:r>
        <w:rPr>
          <w:rFonts w:cs="Arial" w:hint="cs"/>
          <w:rtl/>
        </w:rPr>
        <w:t>, ריטב"א</w:t>
      </w:r>
      <w:r w:rsidRPr="00B945CF">
        <w:rPr>
          <w:rFonts w:cs="Arial"/>
          <w:rtl/>
        </w:rPr>
        <w:t>.</w:t>
      </w:r>
      <w:r>
        <w:rPr>
          <w:rFonts w:cs="Arial" w:hint="cs"/>
          <w:rtl/>
        </w:rPr>
        <w:t xml:space="preserve"> וכ"כ המאירי. אך הקו"נ (</w:t>
      </w:r>
      <w:r>
        <w:rPr>
          <w:rFonts w:hint="cs"/>
          <w:rtl/>
        </w:rPr>
        <w:t xml:space="preserve">שבת פ"ד סי' יב אות ש) כתב </w:t>
      </w:r>
      <w:r>
        <w:rPr>
          <w:rFonts w:cs="Arial" w:hint="cs"/>
          <w:rtl/>
        </w:rPr>
        <w:t>ש</w:t>
      </w:r>
      <w:r w:rsidRPr="005462F1">
        <w:rPr>
          <w:rFonts w:cs="Arial"/>
          <w:rtl/>
        </w:rPr>
        <w:t>ה</w:t>
      </w:r>
      <w:r>
        <w:rPr>
          <w:rFonts w:cs="Arial" w:hint="cs"/>
          <w:rtl/>
        </w:rPr>
        <w:t>גמ' אמרה "סבר אדם חשוב שאני" כדי ל</w:t>
      </w:r>
      <w:r w:rsidRPr="005462F1">
        <w:rPr>
          <w:rFonts w:cs="Arial"/>
          <w:rtl/>
        </w:rPr>
        <w:t>יישב דעת ר' אמי מה שהקפיד בתחלה</w:t>
      </w:r>
      <w:r>
        <w:rPr>
          <w:rFonts w:cs="Arial" w:hint="cs"/>
          <w:rtl/>
        </w:rPr>
        <w:t>,</w:t>
      </w:r>
      <w:r w:rsidRPr="005462F1">
        <w:rPr>
          <w:rFonts w:cs="Arial"/>
          <w:rtl/>
        </w:rPr>
        <w:t xml:space="preserve"> אבל אחר שאמר ליה רב יוסף שתרווייהו כרבוותא עביד והם לא חלקו בין אדם חשוב הודה ר"א לדבריו. ומש"ה הטור והרמב"ם לא חלקו בזה וכ"ה בכ"ה ובמ"א</w:t>
      </w:r>
      <w:r>
        <w:rPr>
          <w:rFonts w:cs="Arial" w:hint="cs"/>
          <w:rtl/>
        </w:rPr>
        <w:t>.</w:t>
      </w:r>
    </w:p>
  </w:footnote>
  <w:footnote w:id="2716">
    <w:p w14:paraId="4BECD4B3" w14:textId="77777777" w:rsidR="004C5A3C" w:rsidRDefault="004C5A3C" w:rsidP="002C39F4">
      <w:pPr>
        <w:pStyle w:val="a5"/>
      </w:pPr>
      <w:r>
        <w:rPr>
          <w:rStyle w:val="a7"/>
        </w:rPr>
        <w:footnoteRef/>
      </w:r>
      <w:r>
        <w:rPr>
          <w:rtl/>
        </w:rPr>
        <w:t xml:space="preserve"> </w:t>
      </w:r>
      <w:r>
        <w:rPr>
          <w:rFonts w:cs="Arial" w:hint="cs"/>
          <w:rtl/>
        </w:rPr>
        <w:t>וכ' הדרכ"מ</w:t>
      </w:r>
      <w:r w:rsidRPr="00C40394">
        <w:rPr>
          <w:rFonts w:cs="Arial" w:hint="cs"/>
          <w:sz w:val="16"/>
          <w:szCs w:val="16"/>
          <w:rtl/>
        </w:rPr>
        <w:t xml:space="preserve"> </w:t>
      </w:r>
      <w:r w:rsidRPr="00C40394">
        <w:rPr>
          <w:rFonts w:cs="Arial"/>
          <w:sz w:val="16"/>
          <w:szCs w:val="16"/>
          <w:rtl/>
        </w:rPr>
        <w:t>(</w:t>
      </w:r>
      <w:r w:rsidRPr="00C40394">
        <w:rPr>
          <w:rFonts w:cs="Arial" w:hint="cs"/>
          <w:sz w:val="16"/>
          <w:szCs w:val="16"/>
          <w:rtl/>
        </w:rPr>
        <w:t xml:space="preserve">אות </w:t>
      </w:r>
      <w:r w:rsidRPr="00C40394">
        <w:rPr>
          <w:rFonts w:cs="Arial"/>
          <w:sz w:val="16"/>
          <w:szCs w:val="16"/>
          <w:rtl/>
        </w:rPr>
        <w:t>ט)</w:t>
      </w:r>
      <w:r>
        <w:rPr>
          <w:rFonts w:cs="Arial" w:hint="cs"/>
          <w:rtl/>
        </w:rPr>
        <w:t>-</w:t>
      </w:r>
      <w:r>
        <w:rPr>
          <w:rFonts w:cs="Arial"/>
          <w:rtl/>
        </w:rPr>
        <w:t xml:space="preserve"> ונ</w:t>
      </w:r>
      <w:r>
        <w:rPr>
          <w:rFonts w:cs="Arial" w:hint="cs"/>
          <w:rtl/>
        </w:rPr>
        <w:t>"</w:t>
      </w:r>
      <w:r>
        <w:rPr>
          <w:rFonts w:cs="Arial"/>
          <w:rtl/>
        </w:rPr>
        <w:t>ל</w:t>
      </w:r>
      <w:r w:rsidRPr="00EF088B">
        <w:rPr>
          <w:rFonts w:cs="Arial"/>
          <w:rtl/>
        </w:rPr>
        <w:t xml:space="preserve"> לומר דלא קאמר רק במיני מתיקה שבלילתן רכה</w:t>
      </w:r>
      <w:r>
        <w:rPr>
          <w:rFonts w:cs="Arial" w:hint="cs"/>
          <w:rtl/>
        </w:rPr>
        <w:t>,</w:t>
      </w:r>
      <w:r w:rsidRPr="00EF088B">
        <w:rPr>
          <w:rFonts w:cs="Arial"/>
          <w:rtl/>
        </w:rPr>
        <w:t xml:space="preserve"> ולכך יש לחוש כמו בהרסנא</w:t>
      </w:r>
      <w:r>
        <w:rPr>
          <w:rFonts w:cs="Arial" w:hint="cs"/>
          <w:rtl/>
        </w:rPr>
        <w:t>,</w:t>
      </w:r>
      <w:r w:rsidRPr="00EF088B">
        <w:rPr>
          <w:rFonts w:cs="Arial"/>
          <w:rtl/>
        </w:rPr>
        <w:t xml:space="preserve"> אבל מיני מתיקה דבלילתן עבה ויש בהן תואר לחם דפת גמור הוא לענין המוציא ולענ</w:t>
      </w:r>
      <w:r>
        <w:rPr>
          <w:rFonts w:cs="Arial"/>
          <w:rtl/>
        </w:rPr>
        <w:t xml:space="preserve">ין חלה </w:t>
      </w:r>
      <w:r w:rsidRPr="00B945CF">
        <w:rPr>
          <w:rFonts w:cs="Arial" w:hint="cs"/>
          <w:sz w:val="16"/>
          <w:szCs w:val="16"/>
          <w:rtl/>
        </w:rPr>
        <w:t>(</w:t>
      </w:r>
      <w:r w:rsidRPr="00B945CF">
        <w:rPr>
          <w:rFonts w:cs="Arial"/>
          <w:sz w:val="16"/>
          <w:szCs w:val="16"/>
          <w:rtl/>
        </w:rPr>
        <w:t>כמו שנתבאר בטור א</w:t>
      </w:r>
      <w:r w:rsidRPr="00B945CF">
        <w:rPr>
          <w:rFonts w:cs="Arial" w:hint="cs"/>
          <w:sz w:val="16"/>
          <w:szCs w:val="16"/>
          <w:rtl/>
        </w:rPr>
        <w:t>ו"</w:t>
      </w:r>
      <w:r w:rsidRPr="00B945CF">
        <w:rPr>
          <w:rFonts w:cs="Arial"/>
          <w:sz w:val="16"/>
          <w:szCs w:val="16"/>
          <w:rtl/>
        </w:rPr>
        <w:t>ח סי</w:t>
      </w:r>
      <w:r w:rsidRPr="00B945CF">
        <w:rPr>
          <w:rFonts w:cs="Arial" w:hint="cs"/>
          <w:sz w:val="16"/>
          <w:szCs w:val="16"/>
          <w:rtl/>
        </w:rPr>
        <w:t>'</w:t>
      </w:r>
      <w:r w:rsidRPr="00B945CF">
        <w:rPr>
          <w:rFonts w:cs="Arial"/>
          <w:sz w:val="16"/>
          <w:szCs w:val="16"/>
          <w:rtl/>
        </w:rPr>
        <w:t xml:space="preserve"> קסח (עמ' תכא-תכב ובד"מ הארוך אות ה) ואע</w:t>
      </w:r>
      <w:r w:rsidRPr="00B945CF">
        <w:rPr>
          <w:rFonts w:cs="Arial" w:hint="cs"/>
          <w:sz w:val="16"/>
          <w:szCs w:val="16"/>
          <w:rtl/>
        </w:rPr>
        <w:t>"</w:t>
      </w:r>
      <w:r w:rsidRPr="00B945CF">
        <w:rPr>
          <w:rFonts w:cs="Arial"/>
          <w:sz w:val="16"/>
          <w:szCs w:val="16"/>
          <w:rtl/>
        </w:rPr>
        <w:t>ג דיש בהן דבש הרבה וכן בשמים הרבה ואיכא למימר דדינן כפת הבא בכסנין דמברכים עליהם בורא מיני מזונות אם לא שקבע סעודתא עלייהו</w:t>
      </w:r>
      <w:r w:rsidRPr="00B945CF">
        <w:rPr>
          <w:rFonts w:cs="Arial" w:hint="cs"/>
          <w:sz w:val="16"/>
          <w:szCs w:val="16"/>
          <w:rtl/>
        </w:rPr>
        <w:t>,</w:t>
      </w:r>
      <w:r w:rsidRPr="00B945CF">
        <w:rPr>
          <w:rFonts w:cs="Arial"/>
          <w:sz w:val="16"/>
          <w:szCs w:val="16"/>
          <w:rtl/>
        </w:rPr>
        <w:t xml:space="preserve"> מ</w:t>
      </w:r>
      <w:r w:rsidRPr="00B945CF">
        <w:rPr>
          <w:rFonts w:cs="Arial" w:hint="cs"/>
          <w:sz w:val="16"/>
          <w:szCs w:val="16"/>
          <w:rtl/>
        </w:rPr>
        <w:t>"</w:t>
      </w:r>
      <w:r w:rsidRPr="00B945CF">
        <w:rPr>
          <w:rFonts w:cs="Arial"/>
          <w:sz w:val="16"/>
          <w:szCs w:val="16"/>
          <w:rtl/>
        </w:rPr>
        <w:t>מ נראה דלענין פת של גוים</w:t>
      </w:r>
      <w:r>
        <w:rPr>
          <w:rFonts w:cs="Arial" w:hint="cs"/>
          <w:sz w:val="16"/>
          <w:szCs w:val="16"/>
          <w:rtl/>
        </w:rPr>
        <w:t>-)</w:t>
      </w:r>
      <w:r w:rsidRPr="00B945CF">
        <w:rPr>
          <w:rFonts w:cs="Arial"/>
          <w:sz w:val="16"/>
          <w:szCs w:val="16"/>
          <w:rtl/>
        </w:rPr>
        <w:t xml:space="preserve"> </w:t>
      </w:r>
      <w:r w:rsidRPr="00EF088B">
        <w:rPr>
          <w:rFonts w:cs="Arial"/>
          <w:rtl/>
        </w:rPr>
        <w:t>חשבינן הסולת עיקר ולא אזלינן בתר הבשמים והדבש</w:t>
      </w:r>
      <w:r>
        <w:rPr>
          <w:rFonts w:cs="Arial" w:hint="cs"/>
          <w:rtl/>
        </w:rPr>
        <w:t>,</w:t>
      </w:r>
      <w:r w:rsidRPr="00EF088B">
        <w:rPr>
          <w:rFonts w:cs="Arial"/>
          <w:rtl/>
        </w:rPr>
        <w:t xml:space="preserve"> וגם יש ללמוד להתיר מדיני נ</w:t>
      </w:r>
      <w:r>
        <w:rPr>
          <w:rFonts w:cs="Arial"/>
          <w:rtl/>
        </w:rPr>
        <w:t>ילוש שנתבאר לעיל סי</w:t>
      </w:r>
      <w:r>
        <w:rPr>
          <w:rFonts w:cs="Arial" w:hint="cs"/>
          <w:rtl/>
        </w:rPr>
        <w:t>'</w:t>
      </w:r>
      <w:r>
        <w:rPr>
          <w:rFonts w:cs="Arial"/>
          <w:rtl/>
        </w:rPr>
        <w:t xml:space="preserve"> קי</w:t>
      </w:r>
      <w:r w:rsidRPr="00EF088B">
        <w:rPr>
          <w:rFonts w:cs="Arial"/>
          <w:rtl/>
        </w:rPr>
        <w:t>ב</w:t>
      </w:r>
      <w:r w:rsidRPr="00C40394">
        <w:rPr>
          <w:rFonts w:cs="Arial"/>
          <w:sz w:val="16"/>
          <w:szCs w:val="16"/>
          <w:rtl/>
        </w:rPr>
        <w:t xml:space="preserve"> (אות ח)</w:t>
      </w:r>
      <w:r>
        <w:rPr>
          <w:rFonts w:cs="Arial" w:hint="cs"/>
          <w:rtl/>
        </w:rPr>
        <w:t xml:space="preserve">, </w:t>
      </w:r>
      <w:r>
        <w:rPr>
          <w:rFonts w:cs="Arial"/>
          <w:rtl/>
        </w:rPr>
        <w:t>גם מדברי הגשע</w:t>
      </w:r>
      <w:r>
        <w:rPr>
          <w:rFonts w:cs="Arial" w:hint="cs"/>
          <w:rtl/>
        </w:rPr>
        <w:t>"</w:t>
      </w:r>
      <w:r>
        <w:rPr>
          <w:rFonts w:cs="Arial"/>
          <w:rtl/>
        </w:rPr>
        <w:t xml:space="preserve">ד בשם מהרא"י </w:t>
      </w:r>
      <w:r>
        <w:rPr>
          <w:rFonts w:cs="Arial" w:hint="cs"/>
          <w:rtl/>
        </w:rPr>
        <w:t>(</w:t>
      </w:r>
      <w:r>
        <w:rPr>
          <w:rFonts w:cs="Arial"/>
          <w:rtl/>
        </w:rPr>
        <w:t>ש</w:t>
      </w:r>
      <w:r>
        <w:rPr>
          <w:rFonts w:cs="Arial" w:hint="cs"/>
          <w:rtl/>
        </w:rPr>
        <w:t>"</w:t>
      </w:r>
      <w:r>
        <w:rPr>
          <w:rFonts w:cs="Arial"/>
          <w:rtl/>
        </w:rPr>
        <w:t>א</w:t>
      </w:r>
      <w:r>
        <w:rPr>
          <w:rFonts w:cs="Arial" w:hint="cs"/>
          <w:rtl/>
        </w:rPr>
        <w:t xml:space="preserve"> </w:t>
      </w:r>
      <w:r>
        <w:rPr>
          <w:rFonts w:cs="Arial"/>
          <w:rtl/>
        </w:rPr>
        <w:t>סי' א אות ז-</w:t>
      </w:r>
      <w:r w:rsidRPr="00EF088B">
        <w:rPr>
          <w:rFonts w:cs="Arial"/>
          <w:rtl/>
        </w:rPr>
        <w:t>ח) משמע בפשיטות להיתר</w:t>
      </w:r>
      <w:r>
        <w:rPr>
          <w:rFonts w:cs="Arial" w:hint="cs"/>
          <w:rtl/>
        </w:rPr>
        <w:t>,</w:t>
      </w:r>
      <w:r w:rsidRPr="00EF088B">
        <w:rPr>
          <w:rFonts w:cs="Arial"/>
          <w:rtl/>
        </w:rPr>
        <w:t xml:space="preserve"> ומימי לא ראיתי שום אדם חושש לדברי תשובה זו</w:t>
      </w:r>
      <w:r>
        <w:rPr>
          <w:rFonts w:cs="Arial" w:hint="cs"/>
          <w:rtl/>
        </w:rPr>
        <w:t>,</w:t>
      </w:r>
      <w:r w:rsidRPr="00EF088B">
        <w:rPr>
          <w:rFonts w:cs="Arial"/>
          <w:rtl/>
        </w:rPr>
        <w:t xml:space="preserve"> גם </w:t>
      </w:r>
      <w:r>
        <w:rPr>
          <w:rFonts w:cs="Arial"/>
          <w:rtl/>
        </w:rPr>
        <w:t>הרמב"ם פי"ז דהלמ"א</w:t>
      </w:r>
      <w:r w:rsidRPr="00EF088B">
        <w:rPr>
          <w:rFonts w:cs="Arial"/>
          <w:rtl/>
        </w:rPr>
        <w:t xml:space="preserve"> (הכ"ג) כתב להתיר מיני מתיקה</w:t>
      </w:r>
      <w:r>
        <w:rPr>
          <w:rFonts w:cs="Arial" w:hint="cs"/>
          <w:rtl/>
        </w:rPr>
        <w:t>.</w:t>
      </w:r>
    </w:p>
  </w:footnote>
  <w:footnote w:id="2717">
    <w:p w14:paraId="57A8AC4B" w14:textId="77777777" w:rsidR="004C5A3C" w:rsidRDefault="004C5A3C" w:rsidP="002C39F4">
      <w:pPr>
        <w:pStyle w:val="a5"/>
      </w:pPr>
      <w:r>
        <w:rPr>
          <w:rStyle w:val="a7"/>
        </w:rPr>
        <w:footnoteRef/>
      </w:r>
      <w:r>
        <w:rPr>
          <w:rtl/>
        </w:rPr>
        <w:t xml:space="preserve"> </w:t>
      </w:r>
      <w:r>
        <w:rPr>
          <w:rFonts w:cs="Arial" w:hint="cs"/>
          <w:rtl/>
        </w:rPr>
        <w:t xml:space="preserve">של גוי, כ"כ הטור, אך הב"י כ' על זה- </w:t>
      </w:r>
      <w:r w:rsidRPr="0047720E">
        <w:rPr>
          <w:rFonts w:cs="Arial"/>
          <w:rtl/>
        </w:rPr>
        <w:t xml:space="preserve">ומה שכתוב בספרי רבינו </w:t>
      </w:r>
      <w:r>
        <w:rPr>
          <w:rFonts w:cs="Arial" w:hint="cs"/>
          <w:rtl/>
        </w:rPr>
        <w:t>'</w:t>
      </w:r>
      <w:r w:rsidRPr="0047720E">
        <w:rPr>
          <w:rFonts w:cs="Arial"/>
          <w:rtl/>
        </w:rPr>
        <w:t>פנאד"ה של גוי</w:t>
      </w:r>
      <w:r>
        <w:rPr>
          <w:rFonts w:cs="Arial" w:hint="cs"/>
          <w:rtl/>
        </w:rPr>
        <w:t>'</w:t>
      </w:r>
      <w:r w:rsidRPr="0047720E">
        <w:rPr>
          <w:rFonts w:cs="Arial"/>
          <w:rtl/>
        </w:rPr>
        <w:t xml:space="preserve"> טעות סופר הוא</w:t>
      </w:r>
      <w:r>
        <w:rPr>
          <w:rFonts w:cs="Arial" w:hint="cs"/>
          <w:rtl/>
        </w:rPr>
        <w:t>,</w:t>
      </w:r>
      <w:r w:rsidRPr="0047720E">
        <w:rPr>
          <w:rFonts w:cs="Arial"/>
          <w:rtl/>
        </w:rPr>
        <w:t xml:space="preserve"> דמאי איריא של גוי</w:t>
      </w:r>
      <w:r>
        <w:rPr>
          <w:rFonts w:cs="Arial" w:hint="cs"/>
          <w:rtl/>
        </w:rPr>
        <w:t>,</w:t>
      </w:r>
      <w:r w:rsidRPr="0047720E">
        <w:rPr>
          <w:rFonts w:cs="Arial"/>
          <w:rtl/>
        </w:rPr>
        <w:t xml:space="preserve"> אפילו אם היא של ישראל נמי אסור</w:t>
      </w:r>
      <w:r>
        <w:rPr>
          <w:rFonts w:cs="Arial" w:hint="cs"/>
          <w:rtl/>
        </w:rPr>
        <w:t>,</w:t>
      </w:r>
      <w:r w:rsidRPr="0047720E">
        <w:rPr>
          <w:rFonts w:cs="Arial"/>
          <w:rtl/>
        </w:rPr>
        <w:t xml:space="preserve"> דהא בישולי גוים אפילו במידי דישראל אסור</w:t>
      </w:r>
      <w:r>
        <w:rPr>
          <w:rFonts w:cs="Arial" w:hint="cs"/>
          <w:rtl/>
        </w:rPr>
        <w:t>. עכ"ל.</w:t>
      </w:r>
      <w:r>
        <w:rPr>
          <w:rFonts w:hint="cs"/>
          <w:rtl/>
        </w:rPr>
        <w:t xml:space="preserve"> </w:t>
      </w:r>
      <w:r w:rsidRPr="00623D84">
        <w:rPr>
          <w:rFonts w:hint="cs"/>
          <w:sz w:val="16"/>
          <w:szCs w:val="16"/>
          <w:rtl/>
        </w:rPr>
        <w:t xml:space="preserve">(ונראה דהב"י אמר כן לשיטתו, דלא שני ליה לעניין אפיית גוי בין כשהפת של ישראל ובין כשהפת של גוי, אבל לטור, דס"ל דגוי שאפה פת של ישראל אין היתר לפת </w:t>
      </w:r>
      <w:r>
        <w:rPr>
          <w:rFonts w:hint="cs"/>
          <w:sz w:val="16"/>
          <w:szCs w:val="16"/>
          <w:rtl/>
        </w:rPr>
        <w:t>בג' מלאכות, דהוי כשלקות</w:t>
      </w:r>
      <w:r w:rsidRPr="00623D84">
        <w:rPr>
          <w:rFonts w:hint="cs"/>
          <w:sz w:val="16"/>
          <w:szCs w:val="16"/>
          <w:rtl/>
        </w:rPr>
        <w:t xml:space="preserve">, צ"ל דנקט כן בכוונה, דהרי </w:t>
      </w:r>
      <w:r>
        <w:rPr>
          <w:rFonts w:hint="cs"/>
          <w:sz w:val="16"/>
          <w:szCs w:val="16"/>
          <w:rtl/>
        </w:rPr>
        <w:t>פת של ישראל שאפאה גוי אסורה בכל מקרה ולא צריך את השומן של הבשר או הדגים כדי לאסור משום בישולי גוים)</w:t>
      </w:r>
    </w:p>
  </w:footnote>
  <w:footnote w:id="2718">
    <w:p w14:paraId="7CE6AE35" w14:textId="77777777" w:rsidR="004C5A3C" w:rsidRDefault="004C5A3C" w:rsidP="002C39F4">
      <w:pPr>
        <w:pStyle w:val="a5"/>
        <w:rPr>
          <w:rtl/>
        </w:rPr>
      </w:pPr>
      <w:r>
        <w:rPr>
          <w:rStyle w:val="a7"/>
        </w:rPr>
        <w:footnoteRef/>
      </w:r>
      <w:r>
        <w:rPr>
          <w:rtl/>
        </w:rPr>
        <w:t xml:space="preserve"> </w:t>
      </w:r>
      <w:r>
        <w:rPr>
          <w:rFonts w:hint="cs"/>
          <w:rtl/>
        </w:rPr>
        <w:t>כן הוא בסה"ת וברשב"א ובעוד פוסקים, ועי' לקמן מדוע דוקא דגים.</w:t>
      </w:r>
    </w:p>
  </w:footnote>
  <w:footnote w:id="2719">
    <w:p w14:paraId="38B615D9" w14:textId="77777777" w:rsidR="004C5A3C" w:rsidRDefault="004C5A3C" w:rsidP="002C39F4">
      <w:pPr>
        <w:pStyle w:val="a5"/>
        <w:rPr>
          <w:rtl/>
        </w:rPr>
      </w:pPr>
      <w:r>
        <w:rPr>
          <w:rStyle w:val="a7"/>
        </w:rPr>
        <w:footnoteRef/>
      </w:r>
      <w:r>
        <w:rPr>
          <w:rtl/>
        </w:rPr>
        <w:t xml:space="preserve"> </w:t>
      </w:r>
      <w:r>
        <w:rPr>
          <w:rFonts w:cs="Arial"/>
          <w:rtl/>
        </w:rPr>
        <w:t>וכ</w:t>
      </w:r>
      <w:r>
        <w:rPr>
          <w:rFonts w:cs="Arial" w:hint="cs"/>
          <w:rtl/>
        </w:rPr>
        <w:t>'</w:t>
      </w:r>
      <w:r>
        <w:rPr>
          <w:rFonts w:cs="Arial"/>
          <w:rtl/>
        </w:rPr>
        <w:t xml:space="preserve"> ר</w:t>
      </w:r>
      <w:r>
        <w:rPr>
          <w:rFonts w:cs="Arial" w:hint="cs"/>
          <w:rtl/>
        </w:rPr>
        <w:t xml:space="preserve">י"ו </w:t>
      </w:r>
      <w:r>
        <w:rPr>
          <w:rFonts w:cs="Arial"/>
          <w:rtl/>
        </w:rPr>
        <w:t>(נט"ו ח"ה קלו.</w:t>
      </w:r>
      <w:r>
        <w:rPr>
          <w:rFonts w:cs="Arial" w:hint="cs"/>
          <w:rtl/>
        </w:rPr>
        <w:t>, הביאו הב"י בבדה"ב</w:t>
      </w:r>
      <w:r>
        <w:rPr>
          <w:rFonts w:cs="Arial"/>
          <w:rtl/>
        </w:rPr>
        <w:t>) ויש שמסירים השמנונית מהפת ואוכלים השאר וראשון נראה עיקר</w:t>
      </w:r>
      <w:r>
        <w:rPr>
          <w:rFonts w:cs="Arial" w:hint="cs"/>
          <w:rtl/>
        </w:rPr>
        <w:t>.</w:t>
      </w:r>
    </w:p>
  </w:footnote>
  <w:footnote w:id="2720">
    <w:p w14:paraId="3C710391" w14:textId="77777777" w:rsidR="004C5A3C" w:rsidRDefault="004C5A3C" w:rsidP="002C39F4">
      <w:pPr>
        <w:pStyle w:val="a5"/>
      </w:pPr>
      <w:r>
        <w:rPr>
          <w:rStyle w:val="a7"/>
        </w:rPr>
        <w:footnoteRef/>
      </w:r>
      <w:r>
        <w:rPr>
          <w:rtl/>
        </w:rPr>
        <w:t xml:space="preserve"> </w:t>
      </w:r>
      <w:r>
        <w:rPr>
          <w:rFonts w:cs="Arial"/>
          <w:rtl/>
        </w:rPr>
        <w:t>של דגים, כן הוא בפוסקי</w:t>
      </w:r>
      <w:r>
        <w:rPr>
          <w:rFonts w:cs="Arial" w:hint="cs"/>
          <w:rtl/>
        </w:rPr>
        <w:t>ם,</w:t>
      </w:r>
      <w:r w:rsidRPr="00281FC6">
        <w:rPr>
          <w:rFonts w:cs="Arial"/>
          <w:rtl/>
        </w:rPr>
        <w:t xml:space="preserve"> וכ' </w:t>
      </w:r>
      <w:r>
        <w:rPr>
          <w:rFonts w:cs="Arial"/>
          <w:rtl/>
        </w:rPr>
        <w:t xml:space="preserve">מהר"א מטיקטין בגליון המרדכי </w:t>
      </w:r>
      <w:r w:rsidRPr="00281FC6">
        <w:rPr>
          <w:rFonts w:cs="Arial" w:hint="cs"/>
          <w:sz w:val="16"/>
          <w:szCs w:val="16"/>
          <w:rtl/>
        </w:rPr>
        <w:t>(חדושי אנשי שם חולין סי' תרמ אות ה)</w:t>
      </w:r>
      <w:r w:rsidRPr="00281FC6">
        <w:rPr>
          <w:rFonts w:cs="Arial"/>
          <w:sz w:val="16"/>
          <w:szCs w:val="16"/>
          <w:rtl/>
        </w:rPr>
        <w:t xml:space="preserve"> </w:t>
      </w:r>
      <w:r w:rsidRPr="00281FC6">
        <w:rPr>
          <w:rFonts w:cs="Arial"/>
          <w:rtl/>
        </w:rPr>
        <w:t>דאלו שומן בשר או של אווזא סתמן כבר מהות</w:t>
      </w:r>
      <w:r>
        <w:rPr>
          <w:rFonts w:cs="Arial"/>
          <w:rtl/>
        </w:rPr>
        <w:t xml:space="preserve">ך ואין בו משום בשולי </w:t>
      </w:r>
      <w:r>
        <w:rPr>
          <w:rFonts w:cs="Arial" w:hint="cs"/>
          <w:rtl/>
        </w:rPr>
        <w:t>גוי</w:t>
      </w:r>
      <w:r w:rsidRPr="00281FC6">
        <w:rPr>
          <w:rFonts w:cs="Arial"/>
          <w:rtl/>
        </w:rPr>
        <w:t>ם דאין בישול אחר בישול עכ"ל</w:t>
      </w:r>
      <w:r>
        <w:rPr>
          <w:rFonts w:cs="Arial" w:hint="cs"/>
          <w:rtl/>
        </w:rPr>
        <w:t>,</w:t>
      </w:r>
      <w:r>
        <w:rPr>
          <w:rFonts w:cs="Arial"/>
          <w:rtl/>
        </w:rPr>
        <w:t xml:space="preserve"> ואם אפה</w:t>
      </w:r>
      <w:r>
        <w:rPr>
          <w:rFonts w:cs="Arial" w:hint="cs"/>
          <w:rtl/>
        </w:rPr>
        <w:t xml:space="preserve"> גוי</w:t>
      </w:r>
      <w:r w:rsidRPr="00281FC6">
        <w:rPr>
          <w:rFonts w:cs="Arial"/>
          <w:rtl/>
        </w:rPr>
        <w:t xml:space="preserve"> פנאדי"ש עם שומן חי של בשר דינו כשומן דגים</w:t>
      </w:r>
      <w:r>
        <w:rPr>
          <w:rFonts w:cs="Arial" w:hint="cs"/>
          <w:rtl/>
        </w:rPr>
        <w:t>,</w:t>
      </w:r>
      <w:r w:rsidRPr="00281FC6">
        <w:rPr>
          <w:rFonts w:cs="Arial"/>
          <w:rtl/>
        </w:rPr>
        <w:t xml:space="preserve"> ופשוט הוא</w:t>
      </w:r>
      <w:r>
        <w:rPr>
          <w:rFonts w:cs="Arial" w:hint="cs"/>
          <w:rtl/>
        </w:rPr>
        <w:t xml:space="preserve">, ש"ך (סק"ה). ופנאד"ה זה מאכל הדומה לפשטידה שיש מלמעלה ומלמטה בצק ובאמצע בשר/גבינה/דגים/וכדו'. </w:t>
      </w:r>
    </w:p>
  </w:footnote>
  <w:footnote w:id="2721">
    <w:p w14:paraId="56A2B46E" w14:textId="77777777" w:rsidR="004C5A3C" w:rsidRDefault="004C5A3C" w:rsidP="002C39F4">
      <w:pPr>
        <w:pStyle w:val="a5"/>
        <w:rPr>
          <w:rtl/>
        </w:rPr>
      </w:pPr>
      <w:r>
        <w:rPr>
          <w:rStyle w:val="a7"/>
        </w:rPr>
        <w:footnoteRef/>
      </w:r>
      <w:r>
        <w:rPr>
          <w:rtl/>
        </w:rPr>
        <w:t xml:space="preserve"> </w:t>
      </w:r>
      <w:r w:rsidRPr="00623D84">
        <w:rPr>
          <w:rFonts w:cs="Arial"/>
          <w:rtl/>
        </w:rPr>
        <w:t xml:space="preserve">והיינו בפנאד"ה של </w:t>
      </w:r>
      <w:r>
        <w:rPr>
          <w:rFonts w:cs="Arial" w:hint="cs"/>
          <w:rtl/>
        </w:rPr>
        <w:t>גוי,</w:t>
      </w:r>
      <w:r w:rsidRPr="00623D84">
        <w:rPr>
          <w:rFonts w:cs="Arial"/>
          <w:rtl/>
        </w:rPr>
        <w:t xml:space="preserve"> אבל פ</w:t>
      </w:r>
      <w:r>
        <w:rPr>
          <w:rFonts w:cs="Arial"/>
          <w:rtl/>
        </w:rPr>
        <w:t xml:space="preserve">נאד"ה של ישראל שאפאה </w:t>
      </w:r>
      <w:r>
        <w:rPr>
          <w:rFonts w:cs="Arial" w:hint="cs"/>
          <w:rtl/>
        </w:rPr>
        <w:t>גוי</w:t>
      </w:r>
      <w:r w:rsidRPr="00623D84">
        <w:rPr>
          <w:rFonts w:cs="Arial"/>
          <w:rtl/>
        </w:rPr>
        <w:t xml:space="preserve"> </w:t>
      </w:r>
      <w:r>
        <w:rPr>
          <w:rFonts w:cs="Arial" w:hint="cs"/>
          <w:rtl/>
        </w:rPr>
        <w:t>לא נהגו היתר בשום מקום, כדלעיל סי' קיב סק"ז. והוא הדין דמשכחת לה להאי דינא בפנאד"ה של ישראל שאפאה גוי, ל</w:t>
      </w:r>
      <w:r w:rsidRPr="00623D84">
        <w:rPr>
          <w:rFonts w:cs="Arial"/>
          <w:rtl/>
        </w:rPr>
        <w:t>הכשירו ע"י קיסם</w:t>
      </w:r>
      <w:r>
        <w:rPr>
          <w:rFonts w:cs="Arial" w:hint="cs"/>
          <w:rtl/>
        </w:rPr>
        <w:t>,</w:t>
      </w:r>
      <w:r>
        <w:rPr>
          <w:rFonts w:cs="Arial"/>
          <w:rtl/>
        </w:rPr>
        <w:t xml:space="preserve"> דמהני לענין פת כדלעיל סי' קי</w:t>
      </w:r>
      <w:r w:rsidRPr="00623D84">
        <w:rPr>
          <w:rFonts w:cs="Arial"/>
          <w:rtl/>
        </w:rPr>
        <w:t>ב סי"א</w:t>
      </w:r>
      <w:r>
        <w:rPr>
          <w:rFonts w:cs="Arial" w:hint="cs"/>
          <w:rtl/>
        </w:rPr>
        <w:t>,</w:t>
      </w:r>
      <w:r w:rsidRPr="00623D84">
        <w:rPr>
          <w:rFonts w:cs="Arial"/>
          <w:rtl/>
        </w:rPr>
        <w:t xml:space="preserve"> ולא מהני לענין בשולי </w:t>
      </w:r>
      <w:r>
        <w:rPr>
          <w:rFonts w:cs="Arial" w:hint="cs"/>
          <w:rtl/>
        </w:rPr>
        <w:t>גו</w:t>
      </w:r>
      <w:r w:rsidRPr="00623D84">
        <w:rPr>
          <w:rFonts w:cs="Arial"/>
          <w:rtl/>
        </w:rPr>
        <w:t>ים לדעת המחבר בסעיף ז'</w:t>
      </w:r>
      <w:r>
        <w:rPr>
          <w:rFonts w:cs="Arial" w:hint="cs"/>
          <w:rtl/>
        </w:rPr>
        <w:t>,</w:t>
      </w:r>
      <w:r w:rsidRPr="00623D84">
        <w:rPr>
          <w:rFonts w:cs="Arial"/>
          <w:rtl/>
        </w:rPr>
        <w:t xml:space="preserve"> אבל למ"ש הרב שם דאפילו בבישול </w:t>
      </w:r>
      <w:r>
        <w:rPr>
          <w:rFonts w:cs="Arial" w:hint="cs"/>
          <w:rtl/>
        </w:rPr>
        <w:t>גו</w:t>
      </w:r>
      <w:r w:rsidRPr="00623D84">
        <w:rPr>
          <w:rFonts w:cs="Arial"/>
          <w:rtl/>
        </w:rPr>
        <w:t xml:space="preserve">ים מהני קיסם לא משכחת להאי דינא אלא בפנאד"ה של </w:t>
      </w:r>
      <w:r>
        <w:rPr>
          <w:rFonts w:cs="Arial" w:hint="cs"/>
          <w:rtl/>
        </w:rPr>
        <w:t>גו</w:t>
      </w:r>
      <w:r w:rsidRPr="00623D84">
        <w:rPr>
          <w:rFonts w:cs="Arial"/>
          <w:rtl/>
        </w:rPr>
        <w:t>ים</w:t>
      </w:r>
      <w:r>
        <w:rPr>
          <w:rFonts w:cs="Arial" w:hint="cs"/>
          <w:rtl/>
        </w:rPr>
        <w:t>,</w:t>
      </w:r>
      <w:r w:rsidRPr="00623D84">
        <w:rPr>
          <w:rFonts w:cs="Arial"/>
          <w:rtl/>
        </w:rPr>
        <w:t xml:space="preserve"> וכ"כ ה"ר פרץ בסמ"ק סימן ר"ז</w:t>
      </w:r>
      <w:r>
        <w:rPr>
          <w:rFonts w:cs="Arial" w:hint="cs"/>
          <w:rtl/>
        </w:rPr>
        <w:t>, ש"ך (סק"ו).</w:t>
      </w:r>
    </w:p>
  </w:footnote>
  <w:footnote w:id="2722">
    <w:p w14:paraId="3AF0C93C" w14:textId="77777777" w:rsidR="004C5A3C" w:rsidRDefault="004C5A3C" w:rsidP="002C39F4">
      <w:pPr>
        <w:pStyle w:val="a5"/>
        <w:rPr>
          <w:rtl/>
        </w:rPr>
      </w:pPr>
      <w:r>
        <w:rPr>
          <w:rStyle w:val="a7"/>
        </w:rPr>
        <w:footnoteRef/>
      </w:r>
      <w:r>
        <w:rPr>
          <w:rtl/>
        </w:rPr>
        <w:t xml:space="preserve"> </w:t>
      </w:r>
      <w:r w:rsidRPr="00C847FB">
        <w:rPr>
          <w:rFonts w:cs="Arial"/>
          <w:rtl/>
        </w:rPr>
        <w:t>ר</w:t>
      </w:r>
      <w:r>
        <w:rPr>
          <w:rFonts w:cs="Arial"/>
          <w:rtl/>
        </w:rPr>
        <w:t>' יצחק ב</w:t>
      </w:r>
      <w:r>
        <w:rPr>
          <w:rFonts w:cs="Arial" w:hint="cs"/>
          <w:rtl/>
        </w:rPr>
        <w:t>"ר</w:t>
      </w:r>
      <w:r w:rsidRPr="00C847FB">
        <w:rPr>
          <w:rFonts w:cs="Arial"/>
          <w:rtl/>
        </w:rPr>
        <w:t xml:space="preserve"> מנוח</w:t>
      </w:r>
      <w:r>
        <w:rPr>
          <w:rFonts w:cs="Arial" w:hint="cs"/>
          <w:rtl/>
        </w:rPr>
        <w:t xml:space="preserve"> </w:t>
      </w:r>
      <w:r>
        <w:rPr>
          <w:rFonts w:cs="Arial" w:hint="cs"/>
          <w:sz w:val="16"/>
          <w:szCs w:val="16"/>
          <w:rtl/>
        </w:rPr>
        <w:t xml:space="preserve">(כ"כ הרא"ה </w:t>
      </w:r>
      <w:r w:rsidRPr="00042A81">
        <w:rPr>
          <w:rFonts w:cs="Arial" w:hint="cs"/>
          <w:sz w:val="14"/>
          <w:szCs w:val="14"/>
          <w:rtl/>
        </w:rPr>
        <w:t>[</w:t>
      </w:r>
      <w:r w:rsidRPr="00042A81">
        <w:rPr>
          <w:rFonts w:cs="Arial"/>
          <w:sz w:val="14"/>
          <w:szCs w:val="14"/>
          <w:rtl/>
        </w:rPr>
        <w:t>בדה"ב ב"ג ש"ז צד.</w:t>
      </w:r>
      <w:r w:rsidRPr="00042A81">
        <w:rPr>
          <w:rFonts w:cs="Arial" w:hint="cs"/>
          <w:sz w:val="14"/>
          <w:szCs w:val="14"/>
          <w:rtl/>
        </w:rPr>
        <w:t>]</w:t>
      </w:r>
      <w:r>
        <w:rPr>
          <w:rFonts w:cs="Arial" w:hint="cs"/>
          <w:sz w:val="16"/>
          <w:szCs w:val="16"/>
          <w:rtl/>
        </w:rPr>
        <w:t xml:space="preserve"> בשמו) </w:t>
      </w:r>
      <w:r>
        <w:rPr>
          <w:rFonts w:cs="Arial" w:hint="cs"/>
          <w:rtl/>
        </w:rPr>
        <w:t xml:space="preserve">ורמב"ן </w:t>
      </w:r>
      <w:r w:rsidRPr="000E04BE">
        <w:rPr>
          <w:rFonts w:cs="Arial"/>
          <w:sz w:val="16"/>
          <w:szCs w:val="16"/>
          <w:rtl/>
        </w:rPr>
        <w:t>(</w:t>
      </w:r>
      <w:r>
        <w:rPr>
          <w:rFonts w:cs="Arial" w:hint="cs"/>
          <w:sz w:val="16"/>
          <w:szCs w:val="16"/>
          <w:rtl/>
        </w:rPr>
        <w:t xml:space="preserve">כ"כ הא"ח בשמו </w:t>
      </w:r>
      <w:r w:rsidRPr="00042A81">
        <w:rPr>
          <w:rFonts w:cs="Arial" w:hint="cs"/>
          <w:sz w:val="14"/>
          <w:szCs w:val="14"/>
          <w:rtl/>
        </w:rPr>
        <w:t>[</w:t>
      </w:r>
      <w:r w:rsidRPr="00042A81">
        <w:rPr>
          <w:rFonts w:cs="Arial"/>
          <w:sz w:val="14"/>
          <w:szCs w:val="14"/>
          <w:rtl/>
        </w:rPr>
        <w:t>הל' אמ</w:t>
      </w:r>
      <w:r w:rsidRPr="00042A81">
        <w:rPr>
          <w:rFonts w:cs="Arial" w:hint="cs"/>
          <w:sz w:val="14"/>
          <w:szCs w:val="14"/>
          <w:rtl/>
        </w:rPr>
        <w:t>"</w:t>
      </w:r>
      <w:r w:rsidRPr="00042A81">
        <w:rPr>
          <w:rFonts w:cs="Arial"/>
          <w:sz w:val="14"/>
          <w:szCs w:val="14"/>
          <w:rtl/>
        </w:rPr>
        <w:t>א סי' סז</w:t>
      </w:r>
      <w:r w:rsidRPr="00042A81">
        <w:rPr>
          <w:rFonts w:cs="Arial" w:hint="cs"/>
          <w:sz w:val="14"/>
          <w:szCs w:val="14"/>
          <w:rtl/>
        </w:rPr>
        <w:t>]</w:t>
      </w:r>
      <w:r>
        <w:rPr>
          <w:rFonts w:cs="Arial" w:hint="cs"/>
          <w:sz w:val="16"/>
          <w:szCs w:val="16"/>
          <w:rtl/>
        </w:rPr>
        <w:t xml:space="preserve">, וכ"כ הרשב"א </w:t>
      </w:r>
      <w:r w:rsidRPr="00042A81">
        <w:rPr>
          <w:rFonts w:cs="Arial" w:hint="cs"/>
          <w:sz w:val="14"/>
          <w:szCs w:val="14"/>
          <w:rtl/>
        </w:rPr>
        <w:t xml:space="preserve">[במיוחסות סי' רפד] </w:t>
      </w:r>
      <w:r>
        <w:rPr>
          <w:rFonts w:cs="Arial" w:hint="cs"/>
          <w:sz w:val="16"/>
          <w:szCs w:val="16"/>
          <w:rtl/>
        </w:rPr>
        <w:t>בשם הרמב"ן</w:t>
      </w:r>
      <w:r w:rsidRPr="000E04BE">
        <w:rPr>
          <w:rFonts w:cs="Arial"/>
          <w:sz w:val="16"/>
          <w:szCs w:val="16"/>
          <w:rtl/>
        </w:rPr>
        <w:t>)</w:t>
      </w:r>
      <w:r>
        <w:rPr>
          <w:rFonts w:hint="cs"/>
          <w:rtl/>
        </w:rPr>
        <w:t>.</w:t>
      </w:r>
    </w:p>
  </w:footnote>
  <w:footnote w:id="2723">
    <w:p w14:paraId="4264E481" w14:textId="77777777" w:rsidR="004C5A3C" w:rsidRDefault="004C5A3C" w:rsidP="002C39F4">
      <w:pPr>
        <w:pStyle w:val="a5"/>
      </w:pPr>
      <w:r>
        <w:rPr>
          <w:rStyle w:val="a7"/>
        </w:rPr>
        <w:footnoteRef/>
      </w:r>
      <w:r>
        <w:rPr>
          <w:rtl/>
        </w:rPr>
        <w:t xml:space="preserve"> </w:t>
      </w:r>
      <w:r>
        <w:rPr>
          <w:rFonts w:hint="cs"/>
          <w:rtl/>
        </w:rPr>
        <w:t>וכ"כ הרא"ה (שם) בשם ה</w:t>
      </w:r>
      <w:r>
        <w:rPr>
          <w:rFonts w:cs="Arial" w:hint="cs"/>
          <w:rtl/>
        </w:rPr>
        <w:t>רמב"ן.</w:t>
      </w:r>
    </w:p>
  </w:footnote>
  <w:footnote w:id="2724">
    <w:p w14:paraId="339EFD4F" w14:textId="77777777" w:rsidR="004C5A3C" w:rsidRDefault="004C5A3C" w:rsidP="002C39F4">
      <w:pPr>
        <w:pStyle w:val="a5"/>
      </w:pPr>
      <w:r>
        <w:rPr>
          <w:rStyle w:val="a7"/>
        </w:rPr>
        <w:footnoteRef/>
      </w:r>
      <w:r>
        <w:rPr>
          <w:rtl/>
        </w:rPr>
        <w:t xml:space="preserve"> </w:t>
      </w:r>
      <w:r>
        <w:rPr>
          <w:rFonts w:cs="Arial"/>
          <w:rtl/>
        </w:rPr>
        <w:t>הקנויות לנו</w:t>
      </w:r>
      <w:r>
        <w:rPr>
          <w:rFonts w:cs="Arial" w:hint="cs"/>
          <w:rtl/>
        </w:rPr>
        <w:t>,</w:t>
      </w:r>
      <w:r w:rsidRPr="00C847FB">
        <w:rPr>
          <w:rFonts w:cs="Arial"/>
          <w:rtl/>
        </w:rPr>
        <w:t xml:space="preserve"> דמלאכה דעבד ערל מלאכה דישראל הוא</w:t>
      </w:r>
      <w:r>
        <w:rPr>
          <w:rFonts w:cs="Arial" w:hint="cs"/>
          <w:rtl/>
        </w:rPr>
        <w:t>,</w:t>
      </w:r>
      <w:r w:rsidRPr="00C847FB">
        <w:rPr>
          <w:rFonts w:cs="Arial"/>
          <w:rtl/>
        </w:rPr>
        <w:t xml:space="preserve"> דקנוי לו למעשה ידיו ומוזהר עליו </w:t>
      </w:r>
      <w:r>
        <w:rPr>
          <w:rFonts w:cs="Arial"/>
          <w:rtl/>
        </w:rPr>
        <w:t>בשבת מן התורה וליתיה בכלל נכרים</w:t>
      </w:r>
      <w:r>
        <w:rPr>
          <w:rFonts w:cs="Arial" w:hint="cs"/>
          <w:rtl/>
        </w:rPr>
        <w:t>,</w:t>
      </w:r>
      <w:r w:rsidRPr="00C847FB">
        <w:rPr>
          <w:rFonts w:cs="Arial"/>
          <w:rtl/>
        </w:rPr>
        <w:t xml:space="preserve"> והלכך ליתיה בכלל גזירות דידהו</w:t>
      </w:r>
      <w:r>
        <w:rPr>
          <w:rFonts w:cs="Arial" w:hint="cs"/>
          <w:rtl/>
        </w:rPr>
        <w:t>,</w:t>
      </w:r>
      <w:r w:rsidRPr="002F27A5">
        <w:rPr>
          <w:rFonts w:cs="Arial"/>
          <w:rtl/>
        </w:rPr>
        <w:t xml:space="preserve"> עכ"ל תשובת הרמב"ן שהביא ב</w:t>
      </w:r>
      <w:r>
        <w:rPr>
          <w:rFonts w:cs="Arial" w:hint="cs"/>
          <w:rtl/>
        </w:rPr>
        <w:t>"</w:t>
      </w:r>
      <w:r w:rsidRPr="002F27A5">
        <w:rPr>
          <w:rFonts w:cs="Arial"/>
          <w:rtl/>
        </w:rPr>
        <w:t>י</w:t>
      </w:r>
      <w:r>
        <w:rPr>
          <w:rFonts w:cs="Arial" w:hint="cs"/>
          <w:rtl/>
        </w:rPr>
        <w:t>,</w:t>
      </w:r>
      <w:r w:rsidRPr="002F27A5">
        <w:rPr>
          <w:rFonts w:cs="Arial"/>
          <w:rtl/>
        </w:rPr>
        <w:t xml:space="preserve"> ובהנך שפחות מיירי המחבר אבל לא בשפחות שלנו שבארצות אלו שאין קנויות לנו רק שנשכרו לשנה ואין אנו מוזהרין עליהם בשבת </w:t>
      </w:r>
      <w:r w:rsidRPr="002C7200">
        <w:rPr>
          <w:rFonts w:cs="Arial" w:hint="cs"/>
          <w:sz w:val="16"/>
          <w:szCs w:val="16"/>
          <w:rtl/>
        </w:rPr>
        <w:t>(</w:t>
      </w:r>
      <w:r w:rsidRPr="002C7200">
        <w:rPr>
          <w:rFonts w:cs="Arial"/>
          <w:sz w:val="16"/>
          <w:szCs w:val="16"/>
          <w:rtl/>
        </w:rPr>
        <w:t>כמו שנתבאר בא</w:t>
      </w:r>
      <w:r w:rsidRPr="002C7200">
        <w:rPr>
          <w:rFonts w:cs="Arial" w:hint="cs"/>
          <w:sz w:val="16"/>
          <w:szCs w:val="16"/>
          <w:rtl/>
        </w:rPr>
        <w:t>ו</w:t>
      </w:r>
      <w:r w:rsidRPr="002C7200">
        <w:rPr>
          <w:rFonts w:cs="Arial"/>
          <w:sz w:val="16"/>
          <w:szCs w:val="16"/>
          <w:rtl/>
        </w:rPr>
        <w:t>"ח סי</w:t>
      </w:r>
      <w:r w:rsidRPr="002C7200">
        <w:rPr>
          <w:rFonts w:cs="Arial" w:hint="cs"/>
          <w:sz w:val="16"/>
          <w:szCs w:val="16"/>
          <w:rtl/>
        </w:rPr>
        <w:t>'</w:t>
      </w:r>
      <w:r w:rsidRPr="002C7200">
        <w:rPr>
          <w:rFonts w:cs="Arial"/>
          <w:sz w:val="16"/>
          <w:szCs w:val="16"/>
          <w:rtl/>
        </w:rPr>
        <w:t xml:space="preserve"> שד</w:t>
      </w:r>
      <w:r w:rsidRPr="002C7200">
        <w:rPr>
          <w:rFonts w:cs="Arial" w:hint="cs"/>
          <w:sz w:val="16"/>
          <w:szCs w:val="16"/>
          <w:rtl/>
        </w:rPr>
        <w:t>)</w:t>
      </w:r>
      <w:r>
        <w:rPr>
          <w:rFonts w:cs="Arial" w:hint="cs"/>
          <w:rtl/>
        </w:rPr>
        <w:t xml:space="preserve"> שבהם יש לאסור אפילו בדיעבד, </w:t>
      </w:r>
      <w:r w:rsidRPr="002F27A5">
        <w:rPr>
          <w:rFonts w:cs="Arial"/>
          <w:rtl/>
        </w:rPr>
        <w:t>ב"ח</w:t>
      </w:r>
      <w:r>
        <w:rPr>
          <w:rFonts w:cs="Arial" w:hint="cs"/>
          <w:rtl/>
        </w:rPr>
        <w:t xml:space="preserve"> ש"ך </w:t>
      </w:r>
      <w:r>
        <w:rPr>
          <w:rFonts w:cs="Arial" w:hint="cs"/>
          <w:sz w:val="16"/>
          <w:szCs w:val="16"/>
          <w:rtl/>
        </w:rPr>
        <w:t>(סק"ז)</w:t>
      </w:r>
      <w:r>
        <w:rPr>
          <w:rFonts w:cs="Arial" w:hint="cs"/>
          <w:rtl/>
        </w:rPr>
        <w:t xml:space="preserve"> ט"ז</w:t>
      </w:r>
      <w:r>
        <w:rPr>
          <w:rFonts w:cs="Arial" w:hint="cs"/>
          <w:sz w:val="16"/>
          <w:szCs w:val="16"/>
          <w:rtl/>
        </w:rPr>
        <w:t xml:space="preserve"> (סק"ג)</w:t>
      </w:r>
      <w:r>
        <w:rPr>
          <w:rFonts w:cs="Arial" w:hint="cs"/>
          <w:rtl/>
        </w:rPr>
        <w:t xml:space="preserve"> ופר"ח </w:t>
      </w:r>
      <w:r>
        <w:rPr>
          <w:rFonts w:cs="Arial" w:hint="cs"/>
          <w:sz w:val="16"/>
          <w:szCs w:val="16"/>
          <w:rtl/>
        </w:rPr>
        <w:t>(סק"ט)</w:t>
      </w:r>
      <w:r>
        <w:rPr>
          <w:rFonts w:cs="Arial" w:hint="cs"/>
          <w:rtl/>
        </w:rPr>
        <w:t>. והוסיף הש"ך (סק"ז)-</w:t>
      </w:r>
      <w:r w:rsidRPr="002F27A5">
        <w:rPr>
          <w:rFonts w:cs="Arial"/>
          <w:rtl/>
        </w:rPr>
        <w:t xml:space="preserve"> ולפ"ז מ"ש הרב ובדי</w:t>
      </w:r>
      <w:r>
        <w:rPr>
          <w:rFonts w:cs="Arial"/>
          <w:rtl/>
        </w:rPr>
        <w:t>עבד יש לסמוך אדברי המתירים לא א</w:t>
      </w:r>
      <w:r>
        <w:rPr>
          <w:rFonts w:cs="Arial" w:hint="cs"/>
          <w:rtl/>
        </w:rPr>
        <w:t xml:space="preserve">תי </w:t>
      </w:r>
      <w:r w:rsidRPr="002F27A5">
        <w:rPr>
          <w:rFonts w:cs="Arial"/>
          <w:rtl/>
        </w:rPr>
        <w:t>ש</w:t>
      </w:r>
      <w:r>
        <w:rPr>
          <w:rFonts w:cs="Arial" w:hint="cs"/>
          <w:rtl/>
        </w:rPr>
        <w:t>פיר</w:t>
      </w:r>
      <w:r w:rsidRPr="002F27A5">
        <w:rPr>
          <w:rFonts w:cs="Arial"/>
          <w:rtl/>
        </w:rPr>
        <w:t xml:space="preserve"> בשפחות שלנו</w:t>
      </w:r>
      <w:r>
        <w:rPr>
          <w:rFonts w:cs="Arial" w:hint="cs"/>
          <w:rtl/>
        </w:rPr>
        <w:t>,</w:t>
      </w:r>
      <w:r w:rsidRPr="002F27A5">
        <w:rPr>
          <w:rFonts w:cs="Arial"/>
          <w:rtl/>
        </w:rPr>
        <w:t xml:space="preserve"> וצ"ל דקאי אשפחות דמיירי המחבר</w:t>
      </w:r>
      <w:r>
        <w:rPr>
          <w:rFonts w:cs="Arial" w:hint="cs"/>
          <w:rtl/>
        </w:rPr>
        <w:t>,</w:t>
      </w:r>
      <w:r w:rsidRPr="002F27A5">
        <w:rPr>
          <w:rFonts w:cs="Arial"/>
          <w:rtl/>
        </w:rPr>
        <w:t xml:space="preserve"> או ר"ל דיש לסמוך אדברי המתירין בישולי </w:t>
      </w:r>
      <w:r>
        <w:rPr>
          <w:rFonts w:cs="Arial" w:hint="cs"/>
          <w:rtl/>
        </w:rPr>
        <w:t>גו</w:t>
      </w:r>
      <w:r w:rsidRPr="002F27A5">
        <w:rPr>
          <w:rFonts w:cs="Arial"/>
          <w:rtl/>
        </w:rPr>
        <w:t xml:space="preserve">ים בבית ישראל והוא דעת ר' אברהם שהביא הטור </w:t>
      </w:r>
      <w:r w:rsidRPr="002C7200">
        <w:rPr>
          <w:rFonts w:cs="Arial" w:hint="cs"/>
          <w:sz w:val="16"/>
          <w:szCs w:val="16"/>
          <w:rtl/>
        </w:rPr>
        <w:t>(</w:t>
      </w:r>
      <w:r w:rsidRPr="002C7200">
        <w:rPr>
          <w:rFonts w:cs="Arial"/>
          <w:sz w:val="16"/>
          <w:szCs w:val="16"/>
          <w:rtl/>
        </w:rPr>
        <w:t>וכ"כ בד</w:t>
      </w:r>
      <w:r>
        <w:rPr>
          <w:rFonts w:cs="Arial" w:hint="cs"/>
          <w:sz w:val="16"/>
          <w:szCs w:val="16"/>
          <w:rtl/>
        </w:rPr>
        <w:t>רכ</w:t>
      </w:r>
      <w:r>
        <w:rPr>
          <w:rFonts w:cs="Arial"/>
          <w:sz w:val="16"/>
          <w:szCs w:val="16"/>
          <w:rtl/>
        </w:rPr>
        <w:t>"מ ובת"ח כלל עה די"ז בשם או"ה כלל מ</w:t>
      </w:r>
      <w:r w:rsidRPr="002C7200">
        <w:rPr>
          <w:rFonts w:cs="Arial"/>
          <w:sz w:val="16"/>
          <w:szCs w:val="16"/>
          <w:rtl/>
        </w:rPr>
        <w:t>ג די"ג</w:t>
      </w:r>
      <w:r>
        <w:rPr>
          <w:rFonts w:cs="Arial" w:hint="cs"/>
          <w:sz w:val="16"/>
          <w:szCs w:val="16"/>
          <w:rtl/>
        </w:rPr>
        <w:t>)</w:t>
      </w:r>
      <w:r>
        <w:rPr>
          <w:rFonts w:cs="Arial" w:hint="cs"/>
          <w:rtl/>
        </w:rPr>
        <w:t>,</w:t>
      </w:r>
      <w:r w:rsidRPr="002F27A5">
        <w:rPr>
          <w:rFonts w:cs="Arial"/>
          <w:rtl/>
        </w:rPr>
        <w:t xml:space="preserve"> א"נ הרב לא דקדק בזה דעיקר דמילתא סמיך אטעמא דא"א שלא יחתה אחד מבני הבית מעט</w:t>
      </w:r>
      <w:r>
        <w:rPr>
          <w:rFonts w:cs="Arial" w:hint="cs"/>
          <w:rtl/>
        </w:rPr>
        <w:t>,</w:t>
      </w:r>
      <w:r w:rsidRPr="002F27A5">
        <w:rPr>
          <w:rFonts w:cs="Arial"/>
          <w:rtl/>
        </w:rPr>
        <w:t xml:space="preserve"> ועיין בא"ו של מהרש"ל </w:t>
      </w:r>
      <w:r w:rsidRPr="002C7200">
        <w:rPr>
          <w:rFonts w:cs="Arial" w:hint="cs"/>
          <w:sz w:val="16"/>
          <w:szCs w:val="16"/>
          <w:rtl/>
        </w:rPr>
        <w:t>(</w:t>
      </w:r>
      <w:r>
        <w:rPr>
          <w:rFonts w:cs="Arial"/>
          <w:sz w:val="16"/>
          <w:szCs w:val="16"/>
          <w:rtl/>
        </w:rPr>
        <w:t>סי' ע</w:t>
      </w:r>
      <w:r w:rsidRPr="002C7200">
        <w:rPr>
          <w:rFonts w:cs="Arial"/>
          <w:sz w:val="16"/>
          <w:szCs w:val="16"/>
          <w:rtl/>
        </w:rPr>
        <w:t>ה</w:t>
      </w:r>
      <w:r>
        <w:rPr>
          <w:rFonts w:cs="Arial" w:hint="cs"/>
          <w:sz w:val="16"/>
          <w:szCs w:val="16"/>
          <w:rtl/>
        </w:rPr>
        <w:t>)</w:t>
      </w:r>
      <w:r>
        <w:rPr>
          <w:rFonts w:cs="Arial"/>
          <w:rtl/>
        </w:rPr>
        <w:t xml:space="preserve"> מביא תשו</w:t>
      </w:r>
      <w:r>
        <w:rPr>
          <w:rFonts w:cs="Arial" w:hint="cs"/>
          <w:rtl/>
        </w:rPr>
        <w:t>'</w:t>
      </w:r>
      <w:r>
        <w:rPr>
          <w:rFonts w:cs="Arial"/>
          <w:rtl/>
        </w:rPr>
        <w:t xml:space="preserve"> הרמב"ן</w:t>
      </w:r>
      <w:r w:rsidRPr="002C7200">
        <w:rPr>
          <w:rFonts w:cs="Arial"/>
          <w:sz w:val="16"/>
          <w:szCs w:val="16"/>
          <w:rtl/>
        </w:rPr>
        <w:t xml:space="preserve"> </w:t>
      </w:r>
      <w:r>
        <w:rPr>
          <w:rFonts w:cs="Arial" w:hint="cs"/>
          <w:sz w:val="16"/>
          <w:szCs w:val="16"/>
          <w:rtl/>
        </w:rPr>
        <w:t>(</w:t>
      </w:r>
      <w:r w:rsidRPr="002C7200">
        <w:rPr>
          <w:rFonts w:cs="Arial"/>
          <w:sz w:val="16"/>
          <w:szCs w:val="16"/>
          <w:rtl/>
        </w:rPr>
        <w:t>סי' קמט</w:t>
      </w:r>
      <w:r w:rsidRPr="002C7200">
        <w:rPr>
          <w:rFonts w:cs="Arial" w:hint="cs"/>
          <w:sz w:val="16"/>
          <w:szCs w:val="16"/>
          <w:rtl/>
        </w:rPr>
        <w:t>)</w:t>
      </w:r>
      <w:r w:rsidRPr="002F27A5">
        <w:rPr>
          <w:rFonts w:cs="Arial"/>
          <w:rtl/>
        </w:rPr>
        <w:t xml:space="preserve"> דיש מרבותינו מתירין בשפחות מטעם </w:t>
      </w:r>
      <w:r>
        <w:rPr>
          <w:rFonts w:cs="Arial"/>
          <w:rtl/>
        </w:rPr>
        <w:t xml:space="preserve">דאין איסור משום בישולי </w:t>
      </w:r>
      <w:r>
        <w:rPr>
          <w:rFonts w:cs="Arial" w:hint="cs"/>
          <w:rtl/>
        </w:rPr>
        <w:t>גו</w:t>
      </w:r>
      <w:r w:rsidRPr="002F27A5">
        <w:rPr>
          <w:rFonts w:cs="Arial"/>
          <w:rtl/>
        </w:rPr>
        <w:t>ים אלא בעושה מרצונו משום גזירת חתנות אבל אלו השפחות ו</w:t>
      </w:r>
      <w:r>
        <w:rPr>
          <w:rFonts w:cs="Arial"/>
          <w:rtl/>
        </w:rPr>
        <w:t>העבדים שלנו שעושים בע</w:t>
      </w:r>
      <w:r>
        <w:rPr>
          <w:rFonts w:cs="Arial" w:hint="cs"/>
          <w:rtl/>
        </w:rPr>
        <w:t xml:space="preserve">ל </w:t>
      </w:r>
      <w:r w:rsidRPr="002F27A5">
        <w:rPr>
          <w:rFonts w:cs="Arial"/>
          <w:rtl/>
        </w:rPr>
        <w:t>כ</w:t>
      </w:r>
      <w:r>
        <w:rPr>
          <w:rFonts w:cs="Arial" w:hint="cs"/>
          <w:rtl/>
        </w:rPr>
        <w:t>רחם</w:t>
      </w:r>
      <w:r w:rsidRPr="002F27A5">
        <w:rPr>
          <w:rFonts w:cs="Arial"/>
          <w:rtl/>
        </w:rPr>
        <w:t xml:space="preserve"> בין ירצו בין לא ירצו אין בזה קירוב הדעת ומ"מ אין דבריהם מחוורין ואין אנו סומכין ע"ז ואנ</w:t>
      </w:r>
      <w:r>
        <w:rPr>
          <w:rFonts w:cs="Arial"/>
          <w:rtl/>
        </w:rPr>
        <w:t xml:space="preserve">ו נוהגין איסור אפילו בדיעבד </w:t>
      </w:r>
      <w:r w:rsidRPr="002F27A5">
        <w:rPr>
          <w:rFonts w:cs="Arial"/>
          <w:rtl/>
        </w:rPr>
        <w:t xml:space="preserve">עכ"ל </w:t>
      </w:r>
      <w:r w:rsidRPr="002C7200">
        <w:rPr>
          <w:rFonts w:cs="Arial" w:hint="cs"/>
          <w:sz w:val="16"/>
          <w:szCs w:val="16"/>
          <w:rtl/>
        </w:rPr>
        <w:t>(</w:t>
      </w:r>
      <w:r w:rsidRPr="002C7200">
        <w:rPr>
          <w:rFonts w:cs="Arial"/>
          <w:sz w:val="16"/>
          <w:szCs w:val="16"/>
          <w:rtl/>
        </w:rPr>
        <w:t>וכ</w:t>
      </w:r>
      <w:r w:rsidRPr="002C7200">
        <w:rPr>
          <w:rFonts w:cs="Arial" w:hint="cs"/>
          <w:sz w:val="16"/>
          <w:szCs w:val="16"/>
          <w:rtl/>
        </w:rPr>
        <w:t>"ה</w:t>
      </w:r>
      <w:r w:rsidRPr="002C7200">
        <w:rPr>
          <w:rFonts w:cs="Arial"/>
          <w:sz w:val="16"/>
          <w:szCs w:val="16"/>
          <w:rtl/>
        </w:rPr>
        <w:t xml:space="preserve"> בתשו</w:t>
      </w:r>
      <w:r w:rsidRPr="002C7200">
        <w:rPr>
          <w:rFonts w:cs="Arial" w:hint="cs"/>
          <w:sz w:val="16"/>
          <w:szCs w:val="16"/>
          <w:rtl/>
        </w:rPr>
        <w:t>'</w:t>
      </w:r>
      <w:r w:rsidRPr="002C7200">
        <w:rPr>
          <w:rFonts w:cs="Arial"/>
          <w:sz w:val="16"/>
          <w:szCs w:val="16"/>
          <w:rtl/>
        </w:rPr>
        <w:t xml:space="preserve"> הרשב"א סי</w:t>
      </w:r>
      <w:r w:rsidRPr="002C7200">
        <w:rPr>
          <w:rFonts w:cs="Arial" w:hint="cs"/>
          <w:sz w:val="16"/>
          <w:szCs w:val="16"/>
          <w:rtl/>
        </w:rPr>
        <w:t>'</w:t>
      </w:r>
      <w:r w:rsidRPr="002C7200">
        <w:rPr>
          <w:rFonts w:cs="Arial"/>
          <w:sz w:val="16"/>
          <w:szCs w:val="16"/>
          <w:rtl/>
        </w:rPr>
        <w:t xml:space="preserve"> ס"ח</w:t>
      </w:r>
      <w:r w:rsidRPr="002C7200">
        <w:rPr>
          <w:rFonts w:cs="Arial" w:hint="cs"/>
          <w:sz w:val="16"/>
          <w:szCs w:val="16"/>
          <w:rtl/>
        </w:rPr>
        <w:t>)</w:t>
      </w:r>
      <w:r>
        <w:rPr>
          <w:rFonts w:cs="Arial" w:hint="cs"/>
          <w:rtl/>
        </w:rPr>
        <w:t>,</w:t>
      </w:r>
      <w:r w:rsidRPr="002F27A5">
        <w:rPr>
          <w:rFonts w:cs="Arial"/>
          <w:rtl/>
        </w:rPr>
        <w:t xml:space="preserve"> ולפ"ז י"ל דסברת המתיר שכתב המחבר הוא מטעם זה ולזה כתב הרב דיש לסמוך עליהם בדיעבד</w:t>
      </w:r>
      <w:r>
        <w:rPr>
          <w:rFonts w:cs="Arial" w:hint="cs"/>
          <w:rtl/>
        </w:rPr>
        <w:t>,</w:t>
      </w:r>
      <w:r w:rsidRPr="002F27A5">
        <w:rPr>
          <w:rFonts w:cs="Arial"/>
          <w:rtl/>
        </w:rPr>
        <w:t xml:space="preserve"> אלא דבב"י וד</w:t>
      </w:r>
      <w:r>
        <w:rPr>
          <w:rFonts w:cs="Arial" w:hint="cs"/>
          <w:rtl/>
        </w:rPr>
        <w:t>רכ</w:t>
      </w:r>
      <w:r w:rsidRPr="002F27A5">
        <w:rPr>
          <w:rFonts w:cs="Arial"/>
          <w:rtl/>
        </w:rPr>
        <w:t>"מ לא נזכר טעם זה</w:t>
      </w:r>
      <w:r>
        <w:rPr>
          <w:rFonts w:cs="Arial" w:hint="cs"/>
          <w:rtl/>
        </w:rPr>
        <w:t>.</w:t>
      </w:r>
    </w:p>
  </w:footnote>
  <w:footnote w:id="2725">
    <w:p w14:paraId="75688E5F" w14:textId="77777777" w:rsidR="004C5A3C" w:rsidRDefault="004C5A3C" w:rsidP="002C39F4">
      <w:pPr>
        <w:pStyle w:val="a5"/>
        <w:rPr>
          <w:rtl/>
        </w:rPr>
      </w:pPr>
      <w:r>
        <w:rPr>
          <w:rStyle w:val="a7"/>
        </w:rPr>
        <w:footnoteRef/>
      </w:r>
      <w:r>
        <w:rPr>
          <w:rtl/>
        </w:rPr>
        <w:t xml:space="preserve"> </w:t>
      </w:r>
      <w:r w:rsidRPr="00BA4BB0">
        <w:rPr>
          <w:rFonts w:cs="Arial"/>
          <w:rtl/>
        </w:rPr>
        <w:t>זהו לשיטת ההג"ה</w:t>
      </w:r>
      <w:r w:rsidRPr="00BA4BB0">
        <w:rPr>
          <w:rFonts w:cs="Arial" w:hint="cs"/>
          <w:sz w:val="16"/>
          <w:szCs w:val="16"/>
          <w:rtl/>
        </w:rPr>
        <w:t xml:space="preserve"> {דמהני חיתוי}</w:t>
      </w:r>
      <w:r w:rsidRPr="00BA4BB0">
        <w:rPr>
          <w:rFonts w:cs="Arial"/>
          <w:rtl/>
        </w:rPr>
        <w:t>, אבל לדעת המחבר לא מהני חיתוי בתבשיל וכדלקמן בסעיף ז'</w:t>
      </w:r>
      <w:r>
        <w:rPr>
          <w:rFonts w:cs="Arial" w:hint="cs"/>
          <w:rtl/>
        </w:rPr>
        <w:t>, פר"ח (סק"י).</w:t>
      </w:r>
    </w:p>
  </w:footnote>
  <w:footnote w:id="2726">
    <w:p w14:paraId="472AC813" w14:textId="77777777" w:rsidR="004C5A3C" w:rsidRDefault="004C5A3C" w:rsidP="002C39F4">
      <w:pPr>
        <w:pStyle w:val="a5"/>
        <w:rPr>
          <w:rtl/>
        </w:rPr>
      </w:pPr>
      <w:r>
        <w:rPr>
          <w:rStyle w:val="a7"/>
        </w:rPr>
        <w:footnoteRef/>
      </w:r>
      <w:r>
        <w:rPr>
          <w:rFonts w:hint="cs"/>
          <w:rtl/>
        </w:rPr>
        <w:t xml:space="preserve"> ולא בעינן כונה בחיתוי אלא אפילו מחתה בגחלים בלא כונה מהני שלא יאסר משום בישולי גוים, ע"פ דרכ"מ </w:t>
      </w:r>
      <w:r>
        <w:rPr>
          <w:rFonts w:hint="cs"/>
          <w:sz w:val="16"/>
          <w:szCs w:val="16"/>
          <w:rtl/>
        </w:rPr>
        <w:t>(אות א, וכ'</w:t>
      </w:r>
      <w:r w:rsidRPr="004F4649">
        <w:rPr>
          <w:rFonts w:hint="cs"/>
          <w:sz w:val="16"/>
          <w:szCs w:val="16"/>
          <w:rtl/>
        </w:rPr>
        <w:t xml:space="preserve"> שכן נראה לו מדברי ההגשע"ד </w:t>
      </w:r>
      <w:r w:rsidRPr="00BA4BB0">
        <w:rPr>
          <w:rFonts w:hint="cs"/>
          <w:sz w:val="14"/>
          <w:szCs w:val="14"/>
          <w:rtl/>
        </w:rPr>
        <w:t>[סי' עה אות א/ב/ג-תלוי בגירסאות]</w:t>
      </w:r>
      <w:r>
        <w:rPr>
          <w:rFonts w:hint="cs"/>
          <w:sz w:val="16"/>
          <w:szCs w:val="16"/>
          <w:rtl/>
        </w:rPr>
        <w:t>, אך בגירסא שהעתיק ה</w:t>
      </w:r>
      <w:r w:rsidRPr="004F4649">
        <w:rPr>
          <w:rFonts w:hint="cs"/>
          <w:sz w:val="16"/>
          <w:szCs w:val="16"/>
          <w:rtl/>
        </w:rPr>
        <w:t xml:space="preserve">דרכ"מ </w:t>
      </w:r>
      <w:r>
        <w:rPr>
          <w:rFonts w:hint="cs"/>
          <w:sz w:val="16"/>
          <w:szCs w:val="16"/>
          <w:rtl/>
        </w:rPr>
        <w:t>כתוב-</w:t>
      </w:r>
      <w:r w:rsidRPr="004F4649">
        <w:rPr>
          <w:rFonts w:hint="cs"/>
          <w:sz w:val="16"/>
          <w:szCs w:val="16"/>
          <w:rtl/>
        </w:rPr>
        <w:t xml:space="preserve"> "</w:t>
      </w:r>
      <w:r w:rsidRPr="004B3B25">
        <w:rPr>
          <w:rFonts w:cs="Arial"/>
          <w:sz w:val="16"/>
          <w:szCs w:val="16"/>
          <w:rtl/>
        </w:rPr>
        <w:t>דאי אפשר שלא יחתה אחד מבני בית בגחלים</w:t>
      </w:r>
      <w:r>
        <w:rPr>
          <w:rFonts w:cs="Arial" w:hint="cs"/>
          <w:sz w:val="16"/>
          <w:szCs w:val="16"/>
          <w:rtl/>
        </w:rPr>
        <w:t>" ואילו בנוסחאות מדויקות נוסף מיד-</w:t>
      </w:r>
      <w:r w:rsidRPr="004B3B25">
        <w:rPr>
          <w:rFonts w:cs="Arial"/>
          <w:sz w:val="16"/>
          <w:szCs w:val="16"/>
          <w:rtl/>
        </w:rPr>
        <w:t xml:space="preserve"> </w:t>
      </w:r>
      <w:r w:rsidRPr="004B3B25">
        <w:rPr>
          <w:rFonts w:cs="Arial" w:hint="cs"/>
          <w:sz w:val="16"/>
          <w:szCs w:val="16"/>
          <w:rtl/>
        </w:rPr>
        <w:t>"</w:t>
      </w:r>
      <w:r w:rsidRPr="004B3B25">
        <w:rPr>
          <w:rFonts w:cs="Arial"/>
          <w:sz w:val="16"/>
          <w:szCs w:val="16"/>
          <w:rtl/>
        </w:rPr>
        <w:t>לצורך בישול או צלייה</w:t>
      </w:r>
      <w:r>
        <w:rPr>
          <w:rFonts w:cs="Arial" w:hint="cs"/>
          <w:sz w:val="16"/>
          <w:szCs w:val="16"/>
          <w:rtl/>
        </w:rPr>
        <w:t>"</w:t>
      </w:r>
      <w:r w:rsidRPr="004F4649">
        <w:rPr>
          <w:rFonts w:hint="cs"/>
          <w:sz w:val="16"/>
          <w:szCs w:val="16"/>
          <w:rtl/>
        </w:rPr>
        <w:t xml:space="preserve">, וא"כ </w:t>
      </w:r>
      <w:r>
        <w:rPr>
          <w:rFonts w:hint="cs"/>
          <w:sz w:val="16"/>
          <w:szCs w:val="16"/>
          <w:rtl/>
        </w:rPr>
        <w:t xml:space="preserve">קשה </w:t>
      </w:r>
      <w:r w:rsidRPr="004F4649">
        <w:rPr>
          <w:rFonts w:hint="cs"/>
          <w:sz w:val="16"/>
          <w:szCs w:val="16"/>
          <w:rtl/>
        </w:rPr>
        <w:t>להבין כן מדבריו)</w:t>
      </w:r>
      <w:r>
        <w:rPr>
          <w:rFonts w:hint="cs"/>
          <w:rtl/>
        </w:rPr>
        <w:t xml:space="preserve">. וכ"כ ר"פ </w:t>
      </w:r>
      <w:r w:rsidRPr="004B3B25">
        <w:rPr>
          <w:rFonts w:hint="cs"/>
          <w:sz w:val="16"/>
          <w:szCs w:val="16"/>
          <w:rtl/>
        </w:rPr>
        <w:t xml:space="preserve">(כ"כ בשמו הכלבו </w:t>
      </w:r>
      <w:r w:rsidRPr="00BA4BB0">
        <w:rPr>
          <w:rFonts w:hint="cs"/>
          <w:sz w:val="14"/>
          <w:szCs w:val="14"/>
          <w:rtl/>
        </w:rPr>
        <w:t>[סי' ק ד"ה הדליק גוי, וכ"כ בא"ח אות סג]</w:t>
      </w:r>
      <w:r w:rsidRPr="004B3B25">
        <w:rPr>
          <w:rFonts w:hint="cs"/>
          <w:sz w:val="16"/>
          <w:szCs w:val="16"/>
          <w:rtl/>
        </w:rPr>
        <w:t>)</w:t>
      </w:r>
      <w:r>
        <w:rPr>
          <w:rFonts w:hint="cs"/>
          <w:rtl/>
        </w:rPr>
        <w:t>.</w:t>
      </w:r>
      <w:r w:rsidRPr="004F4649">
        <w:rPr>
          <w:rFonts w:hint="cs"/>
          <w:rtl/>
        </w:rPr>
        <w:t xml:space="preserve"> </w:t>
      </w:r>
      <w:r w:rsidRPr="00BA4BB0">
        <w:rPr>
          <w:rFonts w:hint="cs"/>
          <w:color w:val="00B0F0"/>
          <w:rtl/>
        </w:rPr>
        <w:t xml:space="preserve">(וכ"פ הרמ"א </w:t>
      </w:r>
      <w:r w:rsidRPr="00BA4BB0">
        <w:rPr>
          <w:rFonts w:hint="cs"/>
          <w:sz w:val="16"/>
          <w:szCs w:val="16"/>
          <w:rtl/>
        </w:rPr>
        <w:t>[</w:t>
      </w:r>
      <w:r>
        <w:rPr>
          <w:rFonts w:hint="cs"/>
          <w:sz w:val="16"/>
          <w:szCs w:val="16"/>
          <w:rtl/>
        </w:rPr>
        <w:t>ב</w:t>
      </w:r>
      <w:r w:rsidRPr="00BA4BB0">
        <w:rPr>
          <w:rFonts w:hint="cs"/>
          <w:sz w:val="16"/>
          <w:szCs w:val="16"/>
          <w:rtl/>
        </w:rPr>
        <w:t>סע' ז]</w:t>
      </w:r>
      <w:r w:rsidRPr="00BA4BB0">
        <w:rPr>
          <w:rFonts w:hint="cs"/>
          <w:color w:val="00B0F0"/>
          <w:rtl/>
        </w:rPr>
        <w:t>)</w:t>
      </w:r>
    </w:p>
  </w:footnote>
  <w:footnote w:id="2727">
    <w:p w14:paraId="4F4A5A97" w14:textId="77777777" w:rsidR="004C5A3C" w:rsidRDefault="004C5A3C" w:rsidP="002C39F4">
      <w:pPr>
        <w:pStyle w:val="a5"/>
        <w:rPr>
          <w:rtl/>
        </w:rPr>
      </w:pPr>
      <w:r>
        <w:rPr>
          <w:rStyle w:val="a7"/>
        </w:rPr>
        <w:footnoteRef/>
      </w:r>
      <w:r>
        <w:rPr>
          <w:rtl/>
        </w:rPr>
        <w:t xml:space="preserve"> </w:t>
      </w:r>
      <w:r>
        <w:rPr>
          <w:rFonts w:hint="cs"/>
          <w:rtl/>
        </w:rPr>
        <w:t>יתד, ב"י.</w:t>
      </w:r>
    </w:p>
  </w:footnote>
  <w:footnote w:id="2728">
    <w:p w14:paraId="72823CF3" w14:textId="77777777" w:rsidR="004C5A3C" w:rsidRDefault="004C5A3C" w:rsidP="002C39F4">
      <w:pPr>
        <w:pStyle w:val="a5"/>
      </w:pPr>
      <w:r>
        <w:rPr>
          <w:rStyle w:val="a7"/>
        </w:rPr>
        <w:footnoteRef/>
      </w:r>
      <w:r>
        <w:rPr>
          <w:rtl/>
        </w:rPr>
        <w:t xml:space="preserve"> </w:t>
      </w:r>
      <w:r w:rsidRPr="004221BF">
        <w:rPr>
          <w:rFonts w:cs="Arial"/>
          <w:rtl/>
        </w:rPr>
        <w:t>והטמין ישראל בתנור דלעת חיה קודם שהוסק התנור וה</w:t>
      </w:r>
      <w:r>
        <w:rPr>
          <w:rFonts w:cs="Arial"/>
          <w:rtl/>
        </w:rPr>
        <w:t>עובד כוכבים הסיקו ונתבשלה הדלעת</w:t>
      </w:r>
      <w:r>
        <w:rPr>
          <w:rFonts w:cs="Arial" w:hint="cs"/>
          <w:rtl/>
        </w:rPr>
        <w:t>, רש"י.</w:t>
      </w:r>
    </w:p>
  </w:footnote>
  <w:footnote w:id="2729">
    <w:p w14:paraId="09693E47" w14:textId="77777777" w:rsidR="004C5A3C" w:rsidRDefault="004C5A3C" w:rsidP="002C39F4">
      <w:pPr>
        <w:pStyle w:val="a5"/>
        <w:rPr>
          <w:rtl/>
        </w:rPr>
      </w:pPr>
      <w:r>
        <w:rPr>
          <w:rStyle w:val="a7"/>
        </w:rPr>
        <w:footnoteRef/>
      </w:r>
      <w:r>
        <w:rPr>
          <w:rtl/>
        </w:rPr>
        <w:t xml:space="preserve"> </w:t>
      </w:r>
      <w:r w:rsidRPr="004221BF">
        <w:rPr>
          <w:rFonts w:cs="Arial"/>
          <w:rtl/>
        </w:rPr>
        <w:t>הואיל והעובד כוכבים לא לבשל נתכוין</w:t>
      </w:r>
      <w:r>
        <w:rPr>
          <w:rFonts w:cs="Arial" w:hint="cs"/>
          <w:rtl/>
        </w:rPr>
        <w:t>, רש"י</w:t>
      </w:r>
      <w:r w:rsidRPr="004221BF">
        <w:rPr>
          <w:rFonts w:cs="Arial"/>
          <w:rtl/>
        </w:rPr>
        <w:t>.</w:t>
      </w:r>
    </w:p>
  </w:footnote>
  <w:footnote w:id="2730">
    <w:p w14:paraId="2586D0FB" w14:textId="77777777" w:rsidR="004C5A3C" w:rsidRDefault="004C5A3C" w:rsidP="002C39F4">
      <w:pPr>
        <w:pStyle w:val="a5"/>
        <w:rPr>
          <w:rtl/>
        </w:rPr>
      </w:pPr>
      <w:r>
        <w:rPr>
          <w:rStyle w:val="a7"/>
        </w:rPr>
        <w:footnoteRef/>
      </w:r>
      <w:r>
        <w:rPr>
          <w:rtl/>
        </w:rPr>
        <w:t xml:space="preserve"> </w:t>
      </w:r>
      <w:r w:rsidRPr="004221BF">
        <w:rPr>
          <w:rFonts w:cs="Arial"/>
          <w:rtl/>
        </w:rPr>
        <w:t>להקשות את היתד ואין דעתו לבישול</w:t>
      </w:r>
      <w:r>
        <w:rPr>
          <w:rFonts w:cs="Arial" w:hint="cs"/>
          <w:rtl/>
        </w:rPr>
        <w:t>, רש"י</w:t>
      </w:r>
      <w:r w:rsidRPr="004221BF">
        <w:rPr>
          <w:rFonts w:cs="Arial"/>
          <w:rtl/>
        </w:rPr>
        <w:t>.</w:t>
      </w:r>
    </w:p>
  </w:footnote>
  <w:footnote w:id="2731">
    <w:p w14:paraId="400C06F3" w14:textId="77777777" w:rsidR="004C5A3C" w:rsidRDefault="004C5A3C" w:rsidP="002C39F4">
      <w:pPr>
        <w:pStyle w:val="a5"/>
      </w:pPr>
      <w:r>
        <w:rPr>
          <w:rStyle w:val="a7"/>
        </w:rPr>
        <w:footnoteRef/>
      </w:r>
      <w:r>
        <w:rPr>
          <w:rtl/>
        </w:rPr>
        <w:t xml:space="preserve"> </w:t>
      </w:r>
      <w:r>
        <w:rPr>
          <w:rFonts w:cs="Arial" w:hint="cs"/>
          <w:rtl/>
        </w:rPr>
        <w:t xml:space="preserve">כ' הט"ז (סק"ה)- </w:t>
      </w:r>
      <w:r w:rsidRPr="009063D2">
        <w:rPr>
          <w:rFonts w:cs="Arial"/>
          <w:rtl/>
        </w:rPr>
        <w:t>וקשה לי</w:t>
      </w:r>
      <w:r>
        <w:rPr>
          <w:rFonts w:cs="Arial" w:hint="cs"/>
          <w:rtl/>
        </w:rPr>
        <w:t>,</w:t>
      </w:r>
      <w:r w:rsidRPr="009063D2">
        <w:rPr>
          <w:rFonts w:cs="Arial"/>
          <w:rtl/>
        </w:rPr>
        <w:t xml:space="preserve"> הא כתב הטור אח"</w:t>
      </w:r>
      <w:r>
        <w:rPr>
          <w:rFonts w:cs="Arial"/>
          <w:rtl/>
        </w:rPr>
        <w:t>כ בסי' זה דאם היפך בו ע</w:t>
      </w:r>
      <w:r>
        <w:rPr>
          <w:rFonts w:cs="Arial" w:hint="cs"/>
          <w:rtl/>
        </w:rPr>
        <w:t>כו"</w:t>
      </w:r>
      <w:r w:rsidRPr="009063D2">
        <w:rPr>
          <w:rFonts w:cs="Arial"/>
          <w:rtl/>
        </w:rPr>
        <w:t>ם ואין ידוע אם סילקו כו' ולא חיישינן שמא סילקו דספק דבריהם להקל</w:t>
      </w:r>
      <w:r>
        <w:rPr>
          <w:rFonts w:cs="Arial" w:hint="cs"/>
          <w:rtl/>
        </w:rPr>
        <w:t>,</w:t>
      </w:r>
      <w:r w:rsidRPr="009063D2">
        <w:rPr>
          <w:rFonts w:cs="Arial"/>
          <w:rtl/>
        </w:rPr>
        <w:t xml:space="preserve"> וא"כ ק"ו כאן</w:t>
      </w:r>
      <w:r>
        <w:rPr>
          <w:rFonts w:cs="Arial"/>
          <w:rtl/>
        </w:rPr>
        <w:t xml:space="preserve"> דהא התם חזינן שעשה הע</w:t>
      </w:r>
      <w:r>
        <w:rPr>
          <w:rFonts w:cs="Arial" w:hint="cs"/>
          <w:rtl/>
        </w:rPr>
        <w:t>כו"ם</w:t>
      </w:r>
      <w:r>
        <w:rPr>
          <w:rFonts w:cs="Arial"/>
          <w:rtl/>
        </w:rPr>
        <w:t xml:space="preserve"> מעשה ההיפוך ואפ</w:t>
      </w:r>
      <w:r>
        <w:rPr>
          <w:rFonts w:cs="Arial" w:hint="cs"/>
          <w:rtl/>
        </w:rPr>
        <w:t>"</w:t>
      </w:r>
      <w:r>
        <w:rPr>
          <w:rFonts w:cs="Arial"/>
          <w:rtl/>
        </w:rPr>
        <w:t>ה</w:t>
      </w:r>
      <w:r w:rsidRPr="009063D2">
        <w:rPr>
          <w:rFonts w:cs="Arial"/>
          <w:rtl/>
        </w:rPr>
        <w:t xml:space="preserve"> לא חיישינן לאיסור</w:t>
      </w:r>
      <w:r>
        <w:rPr>
          <w:rFonts w:cs="Arial" w:hint="cs"/>
          <w:rtl/>
        </w:rPr>
        <w:t>,</w:t>
      </w:r>
      <w:r w:rsidRPr="009063D2">
        <w:rPr>
          <w:rFonts w:cs="Arial"/>
          <w:rtl/>
        </w:rPr>
        <w:t xml:space="preserve"> ק"ו כאן</w:t>
      </w:r>
      <w:r>
        <w:rPr>
          <w:rFonts w:cs="Arial" w:hint="cs"/>
          <w:rtl/>
        </w:rPr>
        <w:t>,</w:t>
      </w:r>
      <w:r>
        <w:rPr>
          <w:rFonts w:cs="Arial"/>
          <w:rtl/>
        </w:rPr>
        <w:t xml:space="preserve"> וא"ל דשם אין לע</w:t>
      </w:r>
      <w:r>
        <w:rPr>
          <w:rFonts w:cs="Arial" w:hint="cs"/>
          <w:rtl/>
        </w:rPr>
        <w:t>כו"</w:t>
      </w:r>
      <w:r w:rsidRPr="009063D2">
        <w:rPr>
          <w:rFonts w:cs="Arial"/>
          <w:rtl/>
        </w:rPr>
        <w:t>ם הנאה כמ"ש ב"י בשם הרשב"א</w:t>
      </w:r>
      <w:r>
        <w:rPr>
          <w:rFonts w:cs="Arial" w:hint="cs"/>
          <w:rtl/>
        </w:rPr>
        <w:t>,</w:t>
      </w:r>
      <w:r w:rsidRPr="009063D2">
        <w:rPr>
          <w:rFonts w:cs="Arial"/>
          <w:rtl/>
        </w:rPr>
        <w:t xml:space="preserve"> דא"כ אפילו </w:t>
      </w:r>
      <w:r>
        <w:rPr>
          <w:rFonts w:cs="Arial"/>
          <w:rtl/>
        </w:rPr>
        <w:t>בשל תורה הולכין להקל כדלקמן סי</w:t>
      </w:r>
      <w:r>
        <w:rPr>
          <w:rFonts w:cs="Arial" w:hint="cs"/>
          <w:rtl/>
        </w:rPr>
        <w:t>'</w:t>
      </w:r>
      <w:r>
        <w:rPr>
          <w:rFonts w:cs="Arial"/>
          <w:rtl/>
        </w:rPr>
        <w:t xml:space="preserve"> קיח סע</w:t>
      </w:r>
      <w:r>
        <w:rPr>
          <w:rFonts w:cs="Arial" w:hint="cs"/>
          <w:rtl/>
        </w:rPr>
        <w:t>'</w:t>
      </w:r>
      <w:r>
        <w:rPr>
          <w:rFonts w:cs="Arial"/>
          <w:rtl/>
        </w:rPr>
        <w:t xml:space="preserve"> י</w:t>
      </w:r>
      <w:r>
        <w:rPr>
          <w:rFonts w:cs="Arial" w:hint="cs"/>
          <w:rtl/>
        </w:rPr>
        <w:t>,</w:t>
      </w:r>
      <w:r w:rsidRPr="009063D2">
        <w:rPr>
          <w:rFonts w:cs="Arial"/>
          <w:rtl/>
        </w:rPr>
        <w:t xml:space="preserve"> וזהו באמת כוונת הרשב"א שכתב ועוד כו'</w:t>
      </w:r>
      <w:r>
        <w:rPr>
          <w:rFonts w:cs="Arial" w:hint="cs"/>
          <w:rtl/>
        </w:rPr>
        <w:t>,</w:t>
      </w:r>
      <w:r w:rsidRPr="009063D2">
        <w:rPr>
          <w:rFonts w:cs="Arial"/>
          <w:rtl/>
        </w:rPr>
        <w:t xml:space="preserve"> אבל על הטור קשה</w:t>
      </w:r>
      <w:r>
        <w:rPr>
          <w:rFonts w:cs="Arial" w:hint="cs"/>
          <w:rtl/>
        </w:rPr>
        <w:t>,</w:t>
      </w:r>
      <w:r w:rsidRPr="009063D2">
        <w:rPr>
          <w:rFonts w:cs="Arial"/>
          <w:rtl/>
        </w:rPr>
        <w:t xml:space="preserve"> וצריך לדחוק ולחלק דשאני גבי סילוק דהוא אינו דבר מצוי כ"כ לעשותו כמו כאן שמצוי הוא לכוין גם לבישול</w:t>
      </w:r>
      <w:r>
        <w:rPr>
          <w:rFonts w:cs="Arial" w:hint="cs"/>
          <w:rtl/>
        </w:rPr>
        <w:t>.</w:t>
      </w:r>
    </w:p>
  </w:footnote>
  <w:footnote w:id="2732">
    <w:p w14:paraId="287362FC" w14:textId="77777777" w:rsidR="004C5A3C" w:rsidRDefault="004C5A3C" w:rsidP="002C39F4">
      <w:pPr>
        <w:pStyle w:val="a5"/>
      </w:pPr>
      <w:r>
        <w:rPr>
          <w:rStyle w:val="a7"/>
        </w:rPr>
        <w:footnoteRef/>
      </w:r>
      <w:r>
        <w:rPr>
          <w:rtl/>
        </w:rPr>
        <w:t xml:space="preserve"> </w:t>
      </w:r>
      <w:r>
        <w:rPr>
          <w:rFonts w:cs="Arial"/>
          <w:rtl/>
        </w:rPr>
        <w:t xml:space="preserve">היינו מדאמרינן גבי סיכתא </w:t>
      </w:r>
      <w:r>
        <w:rPr>
          <w:rFonts w:cs="Arial" w:hint="cs"/>
          <w:rtl/>
        </w:rPr>
        <w:t>'</w:t>
      </w:r>
      <w:r>
        <w:rPr>
          <w:rFonts w:cs="Arial"/>
          <w:rtl/>
        </w:rPr>
        <w:t>מהו דתימא לבשולי מנא קא מכוין</w:t>
      </w:r>
      <w:r>
        <w:rPr>
          <w:rFonts w:cs="Arial" w:hint="cs"/>
          <w:rtl/>
        </w:rPr>
        <w:t>'</w:t>
      </w:r>
      <w:r>
        <w:rPr>
          <w:rFonts w:cs="Arial"/>
          <w:rtl/>
        </w:rPr>
        <w:t xml:space="preserve"> משמע דאי הוה מכוין לבשולי מנא הוה מיתסר קרא אע</w:t>
      </w:r>
      <w:r>
        <w:rPr>
          <w:rFonts w:cs="Arial" w:hint="cs"/>
          <w:rtl/>
        </w:rPr>
        <w:t>"</w:t>
      </w:r>
      <w:r>
        <w:rPr>
          <w:rFonts w:cs="Arial"/>
          <w:rtl/>
        </w:rPr>
        <w:t>ג דלא ידע בה הגוי דהא קברה ישראל מעיקרא</w:t>
      </w:r>
      <w:r>
        <w:rPr>
          <w:rFonts w:cs="Arial" w:hint="cs"/>
          <w:rtl/>
        </w:rPr>
        <w:t>,</w:t>
      </w:r>
      <w:r>
        <w:rPr>
          <w:rFonts w:cs="Arial"/>
          <w:rtl/>
        </w:rPr>
        <w:t xml:space="preserve"> וכ</w:t>
      </w:r>
      <w:r>
        <w:rPr>
          <w:rFonts w:cs="Arial" w:hint="cs"/>
          <w:rtl/>
        </w:rPr>
        <w:t>"</w:t>
      </w:r>
      <w:r>
        <w:rPr>
          <w:rFonts w:cs="Arial"/>
          <w:rtl/>
        </w:rPr>
        <w:t>כ הרשב"א בת</w:t>
      </w:r>
      <w:r>
        <w:rPr>
          <w:rFonts w:cs="Arial" w:hint="cs"/>
          <w:rtl/>
        </w:rPr>
        <w:t>ו</w:t>
      </w:r>
      <w:r>
        <w:rPr>
          <w:rFonts w:cs="Arial"/>
          <w:rtl/>
        </w:rPr>
        <w:t>ה</w:t>
      </w:r>
      <w:r>
        <w:rPr>
          <w:rFonts w:cs="Arial" w:hint="cs"/>
          <w:rtl/>
        </w:rPr>
        <w:t>"ב</w:t>
      </w:r>
      <w:r>
        <w:rPr>
          <w:rFonts w:cs="Arial"/>
          <w:rtl/>
        </w:rPr>
        <w:t xml:space="preserve"> (שם צה.)</w:t>
      </w:r>
      <w:r>
        <w:rPr>
          <w:rFonts w:cs="Arial" w:hint="cs"/>
          <w:rtl/>
        </w:rPr>
        <w:t>, ב"י.</w:t>
      </w:r>
      <w:r w:rsidRPr="009C376D">
        <w:rPr>
          <w:rFonts w:cs="Arial" w:hint="cs"/>
          <w:sz w:val="16"/>
          <w:szCs w:val="16"/>
          <w:rtl/>
        </w:rPr>
        <w:t xml:space="preserve"> (אך עי' ברש"י </w:t>
      </w:r>
      <w:r>
        <w:rPr>
          <w:rFonts w:cs="Arial" w:hint="cs"/>
          <w:sz w:val="16"/>
          <w:szCs w:val="16"/>
          <w:rtl/>
        </w:rPr>
        <w:t xml:space="preserve">[שם </w:t>
      </w:r>
      <w:r w:rsidRPr="009C376D">
        <w:rPr>
          <w:rFonts w:cs="Arial" w:hint="cs"/>
          <w:sz w:val="16"/>
          <w:szCs w:val="16"/>
          <w:rtl/>
        </w:rPr>
        <w:t>ד"ה קמ"ל</w:t>
      </w:r>
      <w:r>
        <w:rPr>
          <w:rFonts w:cs="Arial" w:hint="cs"/>
          <w:sz w:val="16"/>
          <w:szCs w:val="16"/>
          <w:rtl/>
        </w:rPr>
        <w:t>]</w:t>
      </w:r>
      <w:r w:rsidRPr="009C376D">
        <w:rPr>
          <w:rFonts w:cs="Arial" w:hint="cs"/>
          <w:sz w:val="16"/>
          <w:szCs w:val="16"/>
          <w:rtl/>
        </w:rPr>
        <w:t xml:space="preserve"> דכתב שם </w:t>
      </w:r>
      <w:r>
        <w:rPr>
          <w:rFonts w:cs="Arial" w:hint="cs"/>
          <w:sz w:val="16"/>
          <w:szCs w:val="16"/>
          <w:rtl/>
        </w:rPr>
        <w:t>'</w:t>
      </w:r>
      <w:r w:rsidRPr="009C376D">
        <w:rPr>
          <w:rFonts w:cs="Arial" w:hint="cs"/>
          <w:sz w:val="16"/>
          <w:szCs w:val="16"/>
          <w:rtl/>
        </w:rPr>
        <w:t>דאין בישול בכלים</w:t>
      </w:r>
      <w:r>
        <w:rPr>
          <w:rFonts w:cs="Arial" w:hint="cs"/>
          <w:sz w:val="16"/>
          <w:szCs w:val="16"/>
          <w:rtl/>
        </w:rPr>
        <w:t>'</w:t>
      </w:r>
      <w:r w:rsidRPr="009C376D">
        <w:rPr>
          <w:rFonts w:cs="Arial" w:hint="cs"/>
          <w:sz w:val="16"/>
          <w:szCs w:val="16"/>
          <w:rtl/>
        </w:rPr>
        <w:t>, משמע אפי' כי מיכ</w:t>
      </w:r>
      <w:r>
        <w:rPr>
          <w:rFonts w:cs="Arial" w:hint="cs"/>
          <w:sz w:val="16"/>
          <w:szCs w:val="16"/>
          <w:rtl/>
        </w:rPr>
        <w:t>ו</w:t>
      </w:r>
      <w:r w:rsidRPr="009C376D">
        <w:rPr>
          <w:rFonts w:cs="Arial" w:hint="cs"/>
          <w:sz w:val="16"/>
          <w:szCs w:val="16"/>
          <w:rtl/>
        </w:rPr>
        <w:t>ון לבשל לא מקרי כוונת בישול</w:t>
      </w:r>
      <w:r>
        <w:rPr>
          <w:rFonts w:cs="Arial" w:hint="cs"/>
          <w:sz w:val="16"/>
          <w:szCs w:val="16"/>
          <w:rtl/>
        </w:rPr>
        <w:t xml:space="preserve"> [וצל"ע מדוע הב"י </w:t>
      </w:r>
      <w:r>
        <w:rPr>
          <w:rFonts w:cs="Arial" w:hint="cs"/>
          <w:sz w:val="16"/>
          <w:szCs w:val="16"/>
          <w:u w:val="single"/>
          <w:rtl/>
        </w:rPr>
        <w:t>לא</w:t>
      </w:r>
      <w:r>
        <w:rPr>
          <w:rFonts w:cs="Arial" w:hint="cs"/>
          <w:sz w:val="16"/>
          <w:szCs w:val="16"/>
          <w:rtl/>
        </w:rPr>
        <w:t xml:space="preserve"> הביאו]</w:t>
      </w:r>
      <w:r w:rsidRPr="009C376D">
        <w:rPr>
          <w:rFonts w:cs="Arial" w:hint="cs"/>
          <w:sz w:val="16"/>
          <w:szCs w:val="16"/>
          <w:rtl/>
        </w:rPr>
        <w:t>)</w:t>
      </w:r>
    </w:p>
  </w:footnote>
  <w:footnote w:id="2733">
    <w:p w14:paraId="6DA914B1" w14:textId="77777777" w:rsidR="004C5A3C" w:rsidRDefault="004C5A3C" w:rsidP="002C39F4">
      <w:pPr>
        <w:pStyle w:val="a5"/>
        <w:rPr>
          <w:rtl/>
        </w:rPr>
      </w:pPr>
      <w:r>
        <w:rPr>
          <w:rStyle w:val="a7"/>
        </w:rPr>
        <w:footnoteRef/>
      </w:r>
      <w:r>
        <w:rPr>
          <w:rtl/>
        </w:rPr>
        <w:t xml:space="preserve"> </w:t>
      </w:r>
      <w:r>
        <w:rPr>
          <w:rFonts w:cs="Arial"/>
          <w:rtl/>
        </w:rPr>
        <w:t>היינו מה שכתב הרא"ש לפי גירסת הרי"ף</w:t>
      </w:r>
      <w:r>
        <w:rPr>
          <w:rFonts w:cs="Arial" w:hint="cs"/>
          <w:rtl/>
        </w:rPr>
        <w:t>,</w:t>
      </w:r>
      <w:r>
        <w:rPr>
          <w:rFonts w:cs="Arial"/>
          <w:rtl/>
        </w:rPr>
        <w:t xml:space="preserve"> ולא ראיתי לאחד מהפוסקים שכתב כן</w:t>
      </w:r>
      <w:r>
        <w:rPr>
          <w:rFonts w:cs="Arial" w:hint="cs"/>
          <w:rtl/>
        </w:rPr>
        <w:t>,</w:t>
      </w:r>
      <w:r>
        <w:rPr>
          <w:rFonts w:cs="Arial"/>
          <w:rtl/>
        </w:rPr>
        <w:t xml:space="preserve"> כי הר"ן (טו. ד"ה כל) פירש גירסת הרי"ף דמשמע מינה דמעיקרא מכוין גוי לשרורי מנא ובתר הכי לבשולה וכתב שאינו מחוור</w:t>
      </w:r>
      <w:r>
        <w:rPr>
          <w:rFonts w:hint="cs"/>
          <w:rtl/>
        </w:rPr>
        <w:t>, ב"י.</w:t>
      </w:r>
    </w:p>
  </w:footnote>
  <w:footnote w:id="2734">
    <w:p w14:paraId="0A8BBE85" w14:textId="77777777" w:rsidR="004C5A3C" w:rsidRDefault="004C5A3C" w:rsidP="002C39F4">
      <w:pPr>
        <w:pStyle w:val="a5"/>
      </w:pPr>
      <w:r>
        <w:rPr>
          <w:rStyle w:val="a7"/>
        </w:rPr>
        <w:footnoteRef/>
      </w:r>
      <w:r>
        <w:rPr>
          <w:rtl/>
        </w:rPr>
        <w:t xml:space="preserve"> </w:t>
      </w:r>
      <w:r>
        <w:rPr>
          <w:rFonts w:cs="Arial"/>
          <w:rtl/>
        </w:rPr>
        <w:t>כלומר ואע</w:t>
      </w:r>
      <w:r>
        <w:rPr>
          <w:rFonts w:cs="Arial" w:hint="cs"/>
          <w:rtl/>
        </w:rPr>
        <w:t>"</w:t>
      </w:r>
      <w:r>
        <w:rPr>
          <w:rFonts w:cs="Arial"/>
          <w:rtl/>
        </w:rPr>
        <w:t>ג</w:t>
      </w:r>
      <w:r w:rsidRPr="00EF088B">
        <w:rPr>
          <w:rFonts w:cs="Arial"/>
          <w:rtl/>
        </w:rPr>
        <w:t xml:space="preserve"> דהתם מיבשיל ממילא אלא שהגוי קירב בבישול</w:t>
      </w:r>
      <w:r>
        <w:rPr>
          <w:rFonts w:cs="Arial" w:hint="cs"/>
          <w:rtl/>
        </w:rPr>
        <w:t>, ב"י.</w:t>
      </w:r>
    </w:p>
  </w:footnote>
  <w:footnote w:id="2735">
    <w:p w14:paraId="2E189D4E" w14:textId="77777777" w:rsidR="004C5A3C" w:rsidRDefault="004C5A3C" w:rsidP="002C39F4">
      <w:pPr>
        <w:pStyle w:val="a5"/>
      </w:pPr>
      <w:r>
        <w:rPr>
          <w:rStyle w:val="a7"/>
        </w:rPr>
        <w:footnoteRef/>
      </w:r>
      <w:r>
        <w:rPr>
          <w:rtl/>
        </w:rPr>
        <w:t xml:space="preserve"> </w:t>
      </w:r>
      <w:r w:rsidRPr="00750668">
        <w:rPr>
          <w:rFonts w:cs="Arial"/>
          <w:rtl/>
        </w:rPr>
        <w:t>בסל אבל הכא דמנחא אגומרי בלאו היסק דעובד כוכבים הוה מבשל לה לזמן מרובה</w:t>
      </w:r>
      <w:r>
        <w:rPr>
          <w:rFonts w:cs="Arial" w:hint="cs"/>
          <w:rtl/>
        </w:rPr>
        <w:t>, רש"י</w:t>
      </w:r>
      <w:r w:rsidRPr="00750668">
        <w:rPr>
          <w:rFonts w:cs="Arial"/>
          <w:rtl/>
        </w:rPr>
        <w:t>.</w:t>
      </w:r>
    </w:p>
  </w:footnote>
  <w:footnote w:id="2736">
    <w:p w14:paraId="01577A87" w14:textId="77777777" w:rsidR="004C5A3C" w:rsidRDefault="004C5A3C" w:rsidP="002C39F4">
      <w:pPr>
        <w:pStyle w:val="a5"/>
      </w:pPr>
      <w:r>
        <w:rPr>
          <w:rStyle w:val="a7"/>
        </w:rPr>
        <w:footnoteRef/>
      </w:r>
      <w:r>
        <w:rPr>
          <w:rtl/>
        </w:rPr>
        <w:t xml:space="preserve"> </w:t>
      </w:r>
      <w:r>
        <w:rPr>
          <w:rFonts w:hint="cs"/>
          <w:rtl/>
        </w:rPr>
        <w:t xml:space="preserve">וז"ל- </w:t>
      </w:r>
      <w:r w:rsidRPr="00B25650">
        <w:rPr>
          <w:rFonts w:cs="Arial"/>
          <w:rtl/>
        </w:rPr>
        <w:t xml:space="preserve">לא אסרו אלא כשכל הבישול ע"י </w:t>
      </w:r>
      <w:r w:rsidRPr="00B25650">
        <w:rPr>
          <w:rFonts w:cs="Arial" w:hint="cs"/>
          <w:rtl/>
        </w:rPr>
        <w:t>גוי</w:t>
      </w:r>
      <w:r w:rsidRPr="00B25650">
        <w:rPr>
          <w:rFonts w:cs="Arial"/>
          <w:rtl/>
        </w:rPr>
        <w:t xml:space="preserve"> אבל היה תחלתו או סופו על ידי ישראל מותר</w:t>
      </w:r>
      <w:r w:rsidRPr="00B25650">
        <w:rPr>
          <w:rFonts w:cs="Arial" w:hint="cs"/>
          <w:rtl/>
        </w:rPr>
        <w:t>,</w:t>
      </w:r>
      <w:r w:rsidRPr="00B25650">
        <w:rPr>
          <w:rFonts w:cs="Arial"/>
          <w:rtl/>
        </w:rPr>
        <w:t xml:space="preserve"> כיצד</w:t>
      </w:r>
      <w:r w:rsidRPr="00B25650">
        <w:rPr>
          <w:rFonts w:cs="Arial" w:hint="cs"/>
          <w:rtl/>
        </w:rPr>
        <w:t>,</w:t>
      </w:r>
      <w:r w:rsidRPr="00B25650">
        <w:rPr>
          <w:rFonts w:cs="Arial"/>
          <w:rtl/>
        </w:rPr>
        <w:t xml:space="preserve"> הניח </w:t>
      </w:r>
      <w:r w:rsidRPr="00B25650">
        <w:rPr>
          <w:rFonts w:cs="Arial" w:hint="cs"/>
          <w:rtl/>
        </w:rPr>
        <w:t>גוי</w:t>
      </w:r>
      <w:r w:rsidRPr="00B25650">
        <w:rPr>
          <w:rFonts w:cs="Arial"/>
          <w:rtl/>
        </w:rPr>
        <w:t xml:space="preserve"> התבשיל על הגחלים ובא ישראל וחתה בגחלים מותר אע</w:t>
      </w:r>
      <w:r w:rsidRPr="00B25650">
        <w:rPr>
          <w:rFonts w:cs="Arial" w:hint="cs"/>
          <w:rtl/>
        </w:rPr>
        <w:t>"</w:t>
      </w:r>
      <w:r w:rsidRPr="00B25650">
        <w:rPr>
          <w:rFonts w:cs="Arial"/>
          <w:rtl/>
        </w:rPr>
        <w:t>פ שהיה מתבשל בלא חתוי</w:t>
      </w:r>
      <w:r w:rsidRPr="00B25650">
        <w:rPr>
          <w:rFonts w:cs="Arial" w:hint="cs"/>
          <w:rtl/>
        </w:rPr>
        <w:t>,</w:t>
      </w:r>
      <w:r w:rsidRPr="00B25650">
        <w:rPr>
          <w:rFonts w:cs="Arial"/>
          <w:rtl/>
        </w:rPr>
        <w:t xml:space="preserve"> וכן אם הניח ישראל ובא </w:t>
      </w:r>
      <w:r w:rsidRPr="00B25650">
        <w:rPr>
          <w:rFonts w:cs="Arial" w:hint="cs"/>
          <w:rtl/>
        </w:rPr>
        <w:t>גוי</w:t>
      </w:r>
      <w:r w:rsidRPr="00B25650">
        <w:rPr>
          <w:rFonts w:cs="Arial"/>
          <w:rtl/>
        </w:rPr>
        <w:t xml:space="preserve"> וחתה מותר</w:t>
      </w:r>
      <w:r>
        <w:rPr>
          <w:rFonts w:hint="cs"/>
          <w:rtl/>
        </w:rPr>
        <w:t>.</w:t>
      </w:r>
    </w:p>
  </w:footnote>
  <w:footnote w:id="2737">
    <w:p w14:paraId="14044192" w14:textId="77777777" w:rsidR="004C5A3C" w:rsidRDefault="004C5A3C" w:rsidP="002C39F4">
      <w:pPr>
        <w:pStyle w:val="a5"/>
      </w:pPr>
      <w:r>
        <w:rPr>
          <w:rStyle w:val="a7"/>
        </w:rPr>
        <w:footnoteRef/>
      </w:r>
      <w:r>
        <w:rPr>
          <w:rtl/>
        </w:rPr>
        <w:t xml:space="preserve"> </w:t>
      </w:r>
      <w:r>
        <w:rPr>
          <w:rFonts w:cs="Arial"/>
          <w:rtl/>
        </w:rPr>
        <w:t xml:space="preserve">וכן מבואר בדברי הרשב"א </w:t>
      </w:r>
      <w:r>
        <w:rPr>
          <w:rFonts w:cs="Arial" w:hint="cs"/>
          <w:rtl/>
        </w:rPr>
        <w:t>(</w:t>
      </w:r>
      <w:r w:rsidRPr="00735DB2">
        <w:rPr>
          <w:rFonts w:cs="Arial"/>
          <w:rtl/>
        </w:rPr>
        <w:t>תו</w:t>
      </w:r>
      <w:r>
        <w:rPr>
          <w:rFonts w:cs="Arial" w:hint="cs"/>
          <w:rtl/>
        </w:rPr>
        <w:t>ה"ב ב"ג ש"ז</w:t>
      </w:r>
      <w:r>
        <w:rPr>
          <w:rFonts w:cs="Arial"/>
          <w:rtl/>
        </w:rPr>
        <w:t xml:space="preserve"> צה</w:t>
      </w:r>
      <w:r>
        <w:rPr>
          <w:rFonts w:cs="Arial" w:hint="cs"/>
          <w:rtl/>
        </w:rPr>
        <w:t>.)</w:t>
      </w:r>
      <w:r w:rsidRPr="00735DB2">
        <w:rPr>
          <w:rFonts w:cs="Arial"/>
          <w:rtl/>
        </w:rPr>
        <w:t xml:space="preserve"> ושאר פוסקים</w:t>
      </w:r>
      <w:r>
        <w:rPr>
          <w:rFonts w:cs="Arial" w:hint="cs"/>
          <w:rtl/>
        </w:rPr>
        <w:t>, פר"ח (סקי"ג)</w:t>
      </w:r>
      <w:r w:rsidRPr="00735DB2">
        <w:rPr>
          <w:rFonts w:cs="Arial"/>
          <w:rtl/>
        </w:rPr>
        <w:t>.</w:t>
      </w:r>
    </w:p>
  </w:footnote>
  <w:footnote w:id="2738">
    <w:p w14:paraId="02543E2F" w14:textId="77777777" w:rsidR="004C5A3C" w:rsidRDefault="004C5A3C" w:rsidP="002C39F4">
      <w:pPr>
        <w:pStyle w:val="a5"/>
        <w:rPr>
          <w:rtl/>
        </w:rPr>
      </w:pPr>
      <w:r>
        <w:rPr>
          <w:rStyle w:val="a7"/>
        </w:rPr>
        <w:footnoteRef/>
      </w:r>
      <w:r>
        <w:rPr>
          <w:rtl/>
        </w:rPr>
        <w:t xml:space="preserve"> </w:t>
      </w:r>
      <w:r>
        <w:rPr>
          <w:rFonts w:hint="cs"/>
          <w:rtl/>
        </w:rPr>
        <w:t xml:space="preserve">וכ' הדרכ"מ </w:t>
      </w:r>
      <w:r w:rsidRPr="00EF088B">
        <w:rPr>
          <w:rFonts w:cs="Arial"/>
          <w:rtl/>
        </w:rPr>
        <w:t>(</w:t>
      </w:r>
      <w:r>
        <w:rPr>
          <w:rFonts w:cs="Arial" w:hint="cs"/>
          <w:rtl/>
        </w:rPr>
        <w:t xml:space="preserve">אות </w:t>
      </w:r>
      <w:r w:rsidRPr="00EF088B">
        <w:rPr>
          <w:rFonts w:cs="Arial"/>
          <w:rtl/>
        </w:rPr>
        <w:t>ה)</w:t>
      </w:r>
      <w:r>
        <w:rPr>
          <w:rFonts w:cs="Arial" w:hint="cs"/>
          <w:rtl/>
        </w:rPr>
        <w:t>-</w:t>
      </w:r>
      <w:r w:rsidRPr="00EF088B">
        <w:rPr>
          <w:rFonts w:cs="Arial"/>
          <w:rtl/>
        </w:rPr>
        <w:t xml:space="preserve"> ומאוד החמיר בדבר זה לחוש לספיקא דרבנן</w:t>
      </w:r>
      <w:r>
        <w:rPr>
          <w:rFonts w:cs="Arial" w:hint="cs"/>
          <w:rtl/>
        </w:rPr>
        <w:t>,</w:t>
      </w:r>
      <w:r w:rsidRPr="00EF088B">
        <w:rPr>
          <w:rFonts w:cs="Arial"/>
          <w:rtl/>
        </w:rPr>
        <w:t xml:space="preserve"> וגם לעיל (אות א) נתבאר מדברי מהרא"י</w:t>
      </w:r>
      <w:r>
        <w:rPr>
          <w:rFonts w:cs="Arial" w:hint="cs"/>
          <w:rtl/>
        </w:rPr>
        <w:t xml:space="preserve"> </w:t>
      </w:r>
      <w:r w:rsidRPr="00836E83">
        <w:rPr>
          <w:rFonts w:cs="Arial"/>
          <w:rtl/>
        </w:rPr>
        <w:t>(</w:t>
      </w:r>
      <w:r>
        <w:rPr>
          <w:rFonts w:cs="Arial" w:hint="cs"/>
          <w:rtl/>
        </w:rPr>
        <w:t xml:space="preserve">בהגשע"ד </w:t>
      </w:r>
      <w:r w:rsidRPr="00836E83">
        <w:rPr>
          <w:rFonts w:cs="Arial"/>
          <w:rtl/>
        </w:rPr>
        <w:t>סי' עה אות ב)</w:t>
      </w:r>
      <w:r w:rsidRPr="00EF088B">
        <w:rPr>
          <w:rFonts w:cs="Arial"/>
          <w:rtl/>
        </w:rPr>
        <w:t xml:space="preserve"> דאין לחוש אף בצלי</w:t>
      </w:r>
      <w:r>
        <w:rPr>
          <w:rFonts w:cs="Arial" w:hint="cs"/>
          <w:rtl/>
        </w:rPr>
        <w:t>,</w:t>
      </w:r>
      <w:r w:rsidRPr="00EF088B">
        <w:rPr>
          <w:rFonts w:cs="Arial"/>
          <w:rtl/>
        </w:rPr>
        <w:t xml:space="preserve"> וגם רבינו כתב סתם להתיר בסמוך ולא חילק בין צלי לבישול</w:t>
      </w:r>
      <w:r>
        <w:rPr>
          <w:rFonts w:cs="Arial" w:hint="cs"/>
          <w:rtl/>
        </w:rPr>
        <w:t>.</w:t>
      </w:r>
      <w:r>
        <w:rPr>
          <w:rFonts w:hint="cs"/>
          <w:rtl/>
        </w:rPr>
        <w:t xml:space="preserve"> עכ"ל הדרכ"מ.</w:t>
      </w:r>
    </w:p>
  </w:footnote>
  <w:footnote w:id="2739">
    <w:p w14:paraId="74E23C44" w14:textId="77777777" w:rsidR="004C5A3C" w:rsidRPr="00735DB2" w:rsidRDefault="004C5A3C" w:rsidP="002C39F4">
      <w:pPr>
        <w:pStyle w:val="a5"/>
        <w:rPr>
          <w:u w:val="single"/>
          <w:rtl/>
        </w:rPr>
      </w:pPr>
      <w:r>
        <w:rPr>
          <w:rStyle w:val="a7"/>
        </w:rPr>
        <w:footnoteRef/>
      </w:r>
      <w:r>
        <w:rPr>
          <w:rtl/>
        </w:rPr>
        <w:t xml:space="preserve"> </w:t>
      </w:r>
      <w:r w:rsidRPr="00735DB2">
        <w:rPr>
          <w:rFonts w:hint="cs"/>
          <w:u w:val="single"/>
          <w:rtl/>
        </w:rPr>
        <w:t>וקשה, דהרי תלמוד ערוך</w:t>
      </w:r>
      <w:r>
        <w:rPr>
          <w:rFonts w:hint="cs"/>
          <w:u w:val="single"/>
          <w:rtl/>
        </w:rPr>
        <w:t xml:space="preserve"> הוא</w:t>
      </w:r>
      <w:r w:rsidRPr="00735DB2">
        <w:rPr>
          <w:rFonts w:hint="cs"/>
          <w:u w:val="single"/>
          <w:rtl/>
        </w:rPr>
        <w:t xml:space="preserve"> </w:t>
      </w:r>
      <w:r w:rsidRPr="00735DB2">
        <w:rPr>
          <w:rFonts w:hint="cs"/>
          <w:sz w:val="16"/>
          <w:szCs w:val="16"/>
          <w:u w:val="single"/>
          <w:rtl/>
        </w:rPr>
        <w:t>(ע"ז לח:)</w:t>
      </w:r>
      <w:r>
        <w:rPr>
          <w:rFonts w:hint="cs"/>
          <w:u w:val="single"/>
          <w:rtl/>
        </w:rPr>
        <w:t xml:space="preserve"> ד-</w:t>
      </w:r>
      <w:r w:rsidRPr="00735DB2">
        <w:rPr>
          <w:rFonts w:hint="cs"/>
          <w:u w:val="single"/>
          <w:rtl/>
        </w:rPr>
        <w:t>'אי לא הפך לא הוה בשיל אמאי מותר</w:t>
      </w:r>
      <w:r>
        <w:rPr>
          <w:rFonts w:hint="cs"/>
          <w:u w:val="single"/>
          <w:rtl/>
        </w:rPr>
        <w:t>?</w:t>
      </w:r>
      <w:r w:rsidRPr="00735DB2">
        <w:rPr>
          <w:rFonts w:hint="cs"/>
          <w:u w:val="single"/>
          <w:rtl/>
        </w:rPr>
        <w:t xml:space="preserve">' </w:t>
      </w:r>
      <w:r w:rsidRPr="00735DB2">
        <w:rPr>
          <w:rFonts w:hint="cs"/>
          <w:sz w:val="16"/>
          <w:szCs w:val="16"/>
          <w:u w:val="single"/>
          <w:rtl/>
        </w:rPr>
        <w:t xml:space="preserve">(וא"כ כיצד </w:t>
      </w:r>
      <w:r>
        <w:rPr>
          <w:rFonts w:hint="cs"/>
          <w:sz w:val="16"/>
          <w:szCs w:val="16"/>
          <w:u w:val="single"/>
          <w:rtl/>
        </w:rPr>
        <w:t>התירו</w:t>
      </w:r>
      <w:r w:rsidRPr="00735DB2">
        <w:rPr>
          <w:rFonts w:hint="cs"/>
          <w:sz w:val="16"/>
          <w:szCs w:val="16"/>
          <w:u w:val="single"/>
          <w:rtl/>
        </w:rPr>
        <w:t xml:space="preserve"> </w:t>
      </w:r>
      <w:r>
        <w:rPr>
          <w:rFonts w:hint="cs"/>
          <w:sz w:val="16"/>
          <w:szCs w:val="16"/>
          <w:u w:val="single"/>
          <w:rtl/>
        </w:rPr>
        <w:t>או"ה והרמ"א בכה"ג)</w:t>
      </w:r>
      <w:r w:rsidRPr="00735DB2">
        <w:rPr>
          <w:rFonts w:hint="cs"/>
          <w:u w:val="single"/>
          <w:rtl/>
        </w:rPr>
        <w:t>:</w:t>
      </w:r>
    </w:p>
    <w:p w14:paraId="262F0530" w14:textId="77777777" w:rsidR="004C5A3C" w:rsidRDefault="004C5A3C" w:rsidP="0032102C">
      <w:pPr>
        <w:pStyle w:val="a5"/>
        <w:numPr>
          <w:ilvl w:val="0"/>
          <w:numId w:val="283"/>
        </w:numPr>
      </w:pPr>
      <w:r>
        <w:rPr>
          <w:rFonts w:cs="Arial" w:hint="cs"/>
          <w:rtl/>
        </w:rPr>
        <w:t xml:space="preserve">ט"ז </w:t>
      </w:r>
      <w:r w:rsidRPr="00735DB2">
        <w:rPr>
          <w:rFonts w:cs="Arial" w:hint="cs"/>
          <w:sz w:val="16"/>
          <w:szCs w:val="16"/>
          <w:rtl/>
        </w:rPr>
        <w:t>(סק"ו)</w:t>
      </w:r>
      <w:r>
        <w:rPr>
          <w:rFonts w:cs="Arial" w:hint="cs"/>
          <w:rtl/>
        </w:rPr>
        <w:t xml:space="preserve">- </w:t>
      </w:r>
      <w:r w:rsidRPr="00735DB2">
        <w:rPr>
          <w:rFonts w:cs="Arial"/>
          <w:rtl/>
        </w:rPr>
        <w:t>צ"ל דה"ק דלא היה</w:t>
      </w:r>
      <w:r>
        <w:rPr>
          <w:rFonts w:cs="Arial"/>
          <w:rtl/>
        </w:rPr>
        <w:t xml:space="preserve"> מתבשל כראוי בלא סיוע </w:t>
      </w:r>
      <w:r>
        <w:rPr>
          <w:rFonts w:cs="Arial" w:hint="cs"/>
          <w:rtl/>
        </w:rPr>
        <w:t>הגוי,</w:t>
      </w:r>
      <w:r w:rsidRPr="00735DB2">
        <w:rPr>
          <w:rFonts w:cs="Arial"/>
          <w:rtl/>
        </w:rPr>
        <w:t xml:space="preserve"> אבל כמאכל בן דרוסאי הוי בשיל</w:t>
      </w:r>
      <w:r>
        <w:rPr>
          <w:rFonts w:cs="Arial" w:hint="cs"/>
          <w:rtl/>
        </w:rPr>
        <w:t>,</w:t>
      </w:r>
      <w:r w:rsidRPr="00735DB2">
        <w:rPr>
          <w:rFonts w:cs="Arial"/>
          <w:rtl/>
        </w:rPr>
        <w:t xml:space="preserve"> אבל באמת בלאו הכי קי"ל כיש חולקין שהביא רמ"א בסמוך דהדלקת אש או חיתוי מהני</w:t>
      </w:r>
      <w:r>
        <w:rPr>
          <w:rFonts w:cs="Arial" w:hint="cs"/>
          <w:rtl/>
        </w:rPr>
        <w:t>,</w:t>
      </w:r>
      <w:r w:rsidRPr="00735DB2">
        <w:rPr>
          <w:rFonts w:cs="Arial"/>
          <w:rtl/>
        </w:rPr>
        <w:t xml:space="preserve"> והא בכזה ודאי לא היה בשיל אם לא היה מעשה </w:t>
      </w:r>
      <w:r>
        <w:rPr>
          <w:rFonts w:cs="Arial" w:hint="cs"/>
          <w:rtl/>
        </w:rPr>
        <w:t>גוי</w:t>
      </w:r>
      <w:r w:rsidRPr="00735DB2">
        <w:rPr>
          <w:rFonts w:cs="Arial"/>
          <w:rtl/>
        </w:rPr>
        <w:t xml:space="preserve"> </w:t>
      </w:r>
      <w:r w:rsidRPr="00B00699">
        <w:rPr>
          <w:rFonts w:cs="Arial" w:hint="cs"/>
          <w:sz w:val="16"/>
          <w:szCs w:val="16"/>
          <w:rtl/>
        </w:rPr>
        <w:t>(</w:t>
      </w:r>
      <w:r w:rsidRPr="00B00699">
        <w:rPr>
          <w:rFonts w:cs="Arial"/>
          <w:sz w:val="16"/>
          <w:szCs w:val="16"/>
          <w:rtl/>
        </w:rPr>
        <w:t>וכיוצא בזה הקשה הר"ן על אותן המתירין שיביא הישראל גחלים ומשים בתנור להדליק אח"כ האש</w:t>
      </w:r>
      <w:r w:rsidRPr="00B00699">
        <w:rPr>
          <w:rFonts w:cs="Arial" w:hint="cs"/>
          <w:sz w:val="16"/>
          <w:szCs w:val="16"/>
          <w:rtl/>
        </w:rPr>
        <w:t>,</w:t>
      </w:r>
      <w:r w:rsidRPr="00B00699">
        <w:rPr>
          <w:rFonts w:cs="Arial"/>
          <w:sz w:val="16"/>
          <w:szCs w:val="16"/>
          <w:rtl/>
        </w:rPr>
        <w:t xml:space="preserve"> ונ</w:t>
      </w:r>
      <w:r>
        <w:rPr>
          <w:rFonts w:cs="Arial" w:hint="cs"/>
          <w:sz w:val="16"/>
          <w:szCs w:val="16"/>
          <w:rtl/>
        </w:rPr>
        <w:t>"</w:t>
      </w:r>
      <w:r>
        <w:rPr>
          <w:rFonts w:cs="Arial"/>
          <w:sz w:val="16"/>
          <w:szCs w:val="16"/>
          <w:rtl/>
        </w:rPr>
        <w:t>ל</w:t>
      </w:r>
      <w:r w:rsidRPr="00B00699">
        <w:rPr>
          <w:rFonts w:cs="Arial"/>
          <w:sz w:val="16"/>
          <w:szCs w:val="16"/>
          <w:rtl/>
        </w:rPr>
        <w:t xml:space="preserve"> דהם סבירא להו דכשאומר אח"כ בגמרא דאין אסור עד שיהא תחילתו וגמרו ביד ע</w:t>
      </w:r>
      <w:r w:rsidRPr="00B00699">
        <w:rPr>
          <w:rFonts w:cs="Arial" w:hint="cs"/>
          <w:sz w:val="16"/>
          <w:szCs w:val="16"/>
          <w:rtl/>
        </w:rPr>
        <w:t>כו"ם</w:t>
      </w:r>
      <w:r w:rsidRPr="00B00699">
        <w:rPr>
          <w:rFonts w:cs="Arial"/>
          <w:sz w:val="16"/>
          <w:szCs w:val="16"/>
          <w:rtl/>
        </w:rPr>
        <w:t xml:space="preserve"> הדר ביה מסברא זו</w:t>
      </w:r>
      <w:r w:rsidRPr="00B00699">
        <w:rPr>
          <w:rFonts w:cs="Arial" w:hint="cs"/>
          <w:sz w:val="16"/>
          <w:szCs w:val="16"/>
          <w:rtl/>
        </w:rPr>
        <w:t>,</w:t>
      </w:r>
      <w:r w:rsidRPr="00B00699">
        <w:rPr>
          <w:rFonts w:cs="Arial"/>
          <w:sz w:val="16"/>
          <w:szCs w:val="16"/>
          <w:rtl/>
        </w:rPr>
        <w:t xml:space="preserve"> ואע</w:t>
      </w:r>
      <w:r w:rsidRPr="00B00699">
        <w:rPr>
          <w:rFonts w:cs="Arial" w:hint="cs"/>
          <w:sz w:val="16"/>
          <w:szCs w:val="16"/>
          <w:rtl/>
        </w:rPr>
        <w:t>"</w:t>
      </w:r>
      <w:r w:rsidRPr="00B00699">
        <w:rPr>
          <w:rFonts w:cs="Arial"/>
          <w:sz w:val="16"/>
          <w:szCs w:val="16"/>
          <w:rtl/>
        </w:rPr>
        <w:t xml:space="preserve">פ דבלא </w:t>
      </w:r>
      <w:r w:rsidRPr="00B00699">
        <w:rPr>
          <w:rFonts w:cs="Arial" w:hint="cs"/>
          <w:sz w:val="16"/>
          <w:szCs w:val="16"/>
          <w:rtl/>
        </w:rPr>
        <w:t>עכו"</w:t>
      </w:r>
      <w:r w:rsidRPr="00B00699">
        <w:rPr>
          <w:rFonts w:cs="Arial"/>
          <w:sz w:val="16"/>
          <w:szCs w:val="16"/>
          <w:rtl/>
        </w:rPr>
        <w:t>ם לא היה מתבשל מ"מ כיון שהישראל סייע בהתחלה או בסוף מותר</w:t>
      </w:r>
      <w:r>
        <w:rPr>
          <w:rFonts w:cs="Arial" w:hint="cs"/>
          <w:sz w:val="16"/>
          <w:szCs w:val="16"/>
          <w:rtl/>
        </w:rPr>
        <w:t>)</w:t>
      </w:r>
      <w:r>
        <w:rPr>
          <w:rFonts w:cs="Arial" w:hint="cs"/>
          <w:rtl/>
        </w:rPr>
        <w:t>,</w:t>
      </w:r>
      <w:r w:rsidRPr="00735DB2">
        <w:rPr>
          <w:rFonts w:cs="Arial"/>
          <w:rtl/>
        </w:rPr>
        <w:t xml:space="preserve"> </w:t>
      </w:r>
      <w:r>
        <w:rPr>
          <w:rFonts w:cs="Arial" w:hint="cs"/>
          <w:rtl/>
        </w:rPr>
        <w:t>ו</w:t>
      </w:r>
      <w:r w:rsidRPr="00735DB2">
        <w:rPr>
          <w:rFonts w:cs="Arial"/>
          <w:rtl/>
        </w:rPr>
        <w:t xml:space="preserve">לענין הלכה דדוקא בבית ישראל יש לסמוך אקולא זו דיש חולקין של רמ"א בסמוך </w:t>
      </w:r>
      <w:r>
        <w:rPr>
          <w:rFonts w:cs="Arial" w:hint="cs"/>
          <w:sz w:val="16"/>
          <w:szCs w:val="16"/>
          <w:rtl/>
        </w:rPr>
        <w:t>(</w:t>
      </w:r>
      <w:r w:rsidRPr="00735DB2">
        <w:rPr>
          <w:rFonts w:cs="Arial"/>
          <w:sz w:val="16"/>
          <w:szCs w:val="16"/>
          <w:rtl/>
        </w:rPr>
        <w:t>כיון דיש דעה בהתחלת סימן זה בטור בשם ה"ר אברהם דבבית ישראל אין איסור שלקות אע</w:t>
      </w:r>
      <w:r w:rsidRPr="00735DB2">
        <w:rPr>
          <w:rFonts w:cs="Arial" w:hint="cs"/>
          <w:sz w:val="16"/>
          <w:szCs w:val="16"/>
          <w:rtl/>
        </w:rPr>
        <w:t>"</w:t>
      </w:r>
      <w:r w:rsidRPr="00735DB2">
        <w:rPr>
          <w:rFonts w:cs="Arial"/>
          <w:sz w:val="16"/>
          <w:szCs w:val="16"/>
          <w:rtl/>
        </w:rPr>
        <w:t>ג דר"ת פליג עליה מ"מ בכה"ג הוה מותר</w:t>
      </w:r>
      <w:r w:rsidRPr="00735DB2">
        <w:rPr>
          <w:rFonts w:cs="Arial" w:hint="cs"/>
          <w:sz w:val="16"/>
          <w:szCs w:val="16"/>
          <w:rtl/>
        </w:rPr>
        <w:t>)</w:t>
      </w:r>
      <w:r>
        <w:rPr>
          <w:rFonts w:cs="Arial"/>
          <w:rtl/>
        </w:rPr>
        <w:t xml:space="preserve"> אבל בבית ע</w:t>
      </w:r>
      <w:r>
        <w:rPr>
          <w:rFonts w:cs="Arial" w:hint="cs"/>
          <w:rtl/>
        </w:rPr>
        <w:t>כו"</w:t>
      </w:r>
      <w:r w:rsidRPr="00735DB2">
        <w:rPr>
          <w:rFonts w:cs="Arial"/>
          <w:rtl/>
        </w:rPr>
        <w:t>ם אין להקל רק שהישראל יניח הקדירה למקום הראוי להתבשל</w:t>
      </w:r>
      <w:r>
        <w:rPr>
          <w:rFonts w:cs="Arial" w:hint="cs"/>
          <w:rtl/>
        </w:rPr>
        <w:t>.</w:t>
      </w:r>
    </w:p>
    <w:p w14:paraId="74E6DAC6" w14:textId="77777777" w:rsidR="004C5A3C" w:rsidRDefault="004C5A3C" w:rsidP="0032102C">
      <w:pPr>
        <w:pStyle w:val="a5"/>
        <w:numPr>
          <w:ilvl w:val="0"/>
          <w:numId w:val="283"/>
        </w:numPr>
      </w:pPr>
      <w:r>
        <w:rPr>
          <w:rFonts w:cs="Arial" w:hint="cs"/>
          <w:rtl/>
        </w:rPr>
        <w:t xml:space="preserve">ש"ך </w:t>
      </w:r>
      <w:r>
        <w:rPr>
          <w:rFonts w:cs="Arial" w:hint="cs"/>
          <w:sz w:val="16"/>
          <w:szCs w:val="16"/>
          <w:rtl/>
        </w:rPr>
        <w:t>(סק"ח)</w:t>
      </w:r>
      <w:r>
        <w:rPr>
          <w:rFonts w:cs="Arial" w:hint="cs"/>
          <w:rtl/>
        </w:rPr>
        <w:t xml:space="preserve">- </w:t>
      </w:r>
      <w:r w:rsidRPr="00B00699">
        <w:rPr>
          <w:rFonts w:cs="Arial"/>
          <w:rtl/>
        </w:rPr>
        <w:t xml:space="preserve">נראה דס"ל להאו"ה והרב דנהי דמדינא דש"ס אסור בכה"ג מ"מ הא גם חיתוי וקיסם אסור מדינא דש"ס דהא לא היה מתבשל בלא סיוע </w:t>
      </w:r>
      <w:r>
        <w:rPr>
          <w:rFonts w:cs="Arial" w:hint="cs"/>
          <w:rtl/>
        </w:rPr>
        <w:t>הגוי</w:t>
      </w:r>
      <w:r w:rsidRPr="00B00699">
        <w:rPr>
          <w:rFonts w:cs="Arial"/>
          <w:rtl/>
        </w:rPr>
        <w:t xml:space="preserve"> ואפ"ה אנו מתירין</w:t>
      </w:r>
      <w:r>
        <w:rPr>
          <w:rFonts w:cs="Arial" w:hint="cs"/>
          <w:rtl/>
        </w:rPr>
        <w:t>,</w:t>
      </w:r>
      <w:r w:rsidRPr="00B00699">
        <w:rPr>
          <w:rFonts w:cs="Arial"/>
          <w:rtl/>
        </w:rPr>
        <w:t xml:space="preserve"> אלא היינו מטעמא דקי"ל דכי היכי דמהני קיסם </w:t>
      </w:r>
      <w:r w:rsidRPr="00B00699">
        <w:rPr>
          <w:rFonts w:cs="Arial" w:hint="cs"/>
          <w:sz w:val="16"/>
          <w:szCs w:val="16"/>
          <w:rtl/>
        </w:rPr>
        <w:t>(</w:t>
      </w:r>
      <w:r>
        <w:rPr>
          <w:rFonts w:cs="Arial"/>
          <w:sz w:val="16"/>
          <w:szCs w:val="16"/>
          <w:rtl/>
        </w:rPr>
        <w:t>לעיל סי</w:t>
      </w:r>
      <w:r>
        <w:rPr>
          <w:rFonts w:cs="Arial" w:hint="cs"/>
          <w:sz w:val="16"/>
          <w:szCs w:val="16"/>
          <w:rtl/>
        </w:rPr>
        <w:t>'</w:t>
      </w:r>
      <w:r>
        <w:rPr>
          <w:rFonts w:cs="Arial"/>
          <w:sz w:val="16"/>
          <w:szCs w:val="16"/>
          <w:rtl/>
        </w:rPr>
        <w:t xml:space="preserve"> קי</w:t>
      </w:r>
      <w:r w:rsidRPr="00B00699">
        <w:rPr>
          <w:rFonts w:cs="Arial"/>
          <w:sz w:val="16"/>
          <w:szCs w:val="16"/>
          <w:rtl/>
        </w:rPr>
        <w:t>ב ס"י</w:t>
      </w:r>
      <w:r>
        <w:rPr>
          <w:rFonts w:cs="Arial" w:hint="cs"/>
          <w:sz w:val="16"/>
          <w:szCs w:val="16"/>
          <w:rtl/>
        </w:rPr>
        <w:t>)</w:t>
      </w:r>
      <w:r w:rsidRPr="00B00699">
        <w:rPr>
          <w:rFonts w:cs="Arial"/>
          <w:rtl/>
        </w:rPr>
        <w:t xml:space="preserve"> ה"ה בבשולי </w:t>
      </w:r>
      <w:r>
        <w:rPr>
          <w:rFonts w:cs="Arial" w:hint="cs"/>
          <w:rtl/>
        </w:rPr>
        <w:t>גוים</w:t>
      </w:r>
      <w:r w:rsidRPr="00B00699">
        <w:rPr>
          <w:rFonts w:cs="Arial"/>
          <w:rtl/>
        </w:rPr>
        <w:t xml:space="preserve"> </w:t>
      </w:r>
      <w:r w:rsidRPr="00B00699">
        <w:rPr>
          <w:rFonts w:cs="Arial" w:hint="cs"/>
          <w:sz w:val="16"/>
          <w:szCs w:val="16"/>
          <w:rtl/>
        </w:rPr>
        <w:t>(</w:t>
      </w:r>
      <w:r w:rsidRPr="00B00699">
        <w:rPr>
          <w:rFonts w:cs="Arial"/>
          <w:sz w:val="16"/>
          <w:szCs w:val="16"/>
          <w:rtl/>
        </w:rPr>
        <w:t xml:space="preserve">וכמ"ש הר"ף בסמ"ק ואו"ה </w:t>
      </w:r>
      <w:r>
        <w:rPr>
          <w:rFonts w:cs="Arial" w:hint="cs"/>
          <w:sz w:val="16"/>
          <w:szCs w:val="16"/>
          <w:rtl/>
        </w:rPr>
        <w:t>כ</w:t>
      </w:r>
      <w:r w:rsidRPr="00B00699">
        <w:rPr>
          <w:rFonts w:cs="Arial"/>
          <w:sz w:val="16"/>
          <w:szCs w:val="16"/>
          <w:rtl/>
        </w:rPr>
        <w:t>מ</w:t>
      </w:r>
      <w:r>
        <w:rPr>
          <w:rFonts w:cs="Arial" w:hint="cs"/>
          <w:sz w:val="16"/>
          <w:szCs w:val="16"/>
          <w:rtl/>
        </w:rPr>
        <w:t>"</w:t>
      </w:r>
      <w:r w:rsidRPr="00B00699">
        <w:rPr>
          <w:rFonts w:cs="Arial"/>
          <w:sz w:val="16"/>
          <w:szCs w:val="16"/>
          <w:rtl/>
        </w:rPr>
        <w:t>ג</w:t>
      </w:r>
      <w:r>
        <w:rPr>
          <w:rFonts w:cs="Arial" w:hint="cs"/>
          <w:sz w:val="16"/>
          <w:szCs w:val="16"/>
          <w:rtl/>
        </w:rPr>
        <w:t>)</w:t>
      </w:r>
      <w:r>
        <w:rPr>
          <w:rFonts w:cs="Arial" w:hint="cs"/>
          <w:rtl/>
        </w:rPr>
        <w:t>,</w:t>
      </w:r>
      <w:r w:rsidRPr="00B00699">
        <w:rPr>
          <w:rFonts w:cs="Arial"/>
          <w:rtl/>
        </w:rPr>
        <w:t xml:space="preserve"> וא"כ כי היכי דקיסם בפת לא שרי מדינא דש"ס</w:t>
      </w:r>
      <w:r>
        <w:rPr>
          <w:rFonts w:cs="Arial" w:hint="cs"/>
          <w:rtl/>
        </w:rPr>
        <w:t>...</w:t>
      </w:r>
      <w:r w:rsidRPr="00B00699">
        <w:rPr>
          <w:rFonts w:cs="Arial"/>
          <w:rtl/>
        </w:rPr>
        <w:t xml:space="preserve"> אלא דסמכינן אמ"ש בחילופי מנהגים דבין בני א"י ובין בני בבל דמהני והנח להם לישראל שיהו שוגגין כו'</w:t>
      </w:r>
      <w:r>
        <w:rPr>
          <w:rFonts w:cs="Arial" w:hint="cs"/>
          <w:rtl/>
        </w:rPr>
        <w:t>...</w:t>
      </w:r>
      <w:r w:rsidRPr="00B00699">
        <w:rPr>
          <w:rFonts w:cs="Arial"/>
          <w:rtl/>
        </w:rPr>
        <w:t xml:space="preserve"> א"כ ה"ה בבשולי </w:t>
      </w:r>
      <w:r>
        <w:rPr>
          <w:rFonts w:cs="Arial" w:hint="cs"/>
          <w:rtl/>
        </w:rPr>
        <w:t>גוים</w:t>
      </w:r>
      <w:r w:rsidRPr="00B00699">
        <w:rPr>
          <w:rFonts w:cs="Arial"/>
          <w:rtl/>
        </w:rPr>
        <w:t xml:space="preserve"> </w:t>
      </w:r>
      <w:r w:rsidRPr="00B00699">
        <w:rPr>
          <w:rFonts w:cs="Arial" w:hint="cs"/>
          <w:sz w:val="16"/>
          <w:szCs w:val="16"/>
          <w:rtl/>
        </w:rPr>
        <w:t>(</w:t>
      </w:r>
      <w:r w:rsidRPr="00B00699">
        <w:rPr>
          <w:rFonts w:cs="Arial"/>
          <w:sz w:val="16"/>
          <w:szCs w:val="16"/>
          <w:rtl/>
        </w:rPr>
        <w:t>וכן הרמב"ן שהביא הר"ן פא"מ דחה הך דקיסם מש"ס דלעיל</w:t>
      </w:r>
      <w:r>
        <w:rPr>
          <w:rFonts w:cs="Arial" w:hint="cs"/>
          <w:sz w:val="16"/>
          <w:szCs w:val="16"/>
          <w:rtl/>
        </w:rPr>
        <w:t>,</w:t>
      </w:r>
      <w:r w:rsidRPr="00164B8F">
        <w:rPr>
          <w:rFonts w:cs="Arial"/>
          <w:sz w:val="16"/>
          <w:szCs w:val="16"/>
          <w:rtl/>
        </w:rPr>
        <w:t xml:space="preserve"> ולפ"ז הא דלא הגיה הרב בסע</w:t>
      </w:r>
      <w:r w:rsidRPr="00164B8F">
        <w:rPr>
          <w:rFonts w:cs="Arial" w:hint="cs"/>
          <w:sz w:val="16"/>
          <w:szCs w:val="16"/>
          <w:rtl/>
        </w:rPr>
        <w:t>'</w:t>
      </w:r>
      <w:r w:rsidRPr="00164B8F">
        <w:rPr>
          <w:rFonts w:cs="Arial"/>
          <w:sz w:val="16"/>
          <w:szCs w:val="16"/>
          <w:rtl/>
        </w:rPr>
        <w:t xml:space="preserve"> י' מידי אדברי המחבר היינו משום שסמך עצמו אמ"ש קודם לכן</w:t>
      </w:r>
      <w:r>
        <w:rPr>
          <w:rFonts w:cs="Arial" w:hint="cs"/>
          <w:sz w:val="16"/>
          <w:szCs w:val="16"/>
          <w:rtl/>
        </w:rPr>
        <w:t>)</w:t>
      </w:r>
      <w:r>
        <w:rPr>
          <w:rFonts w:cs="Arial" w:hint="cs"/>
          <w:rtl/>
        </w:rPr>
        <w:t>,</w:t>
      </w:r>
      <w:r>
        <w:rPr>
          <w:rFonts w:cs="Arial"/>
          <w:rtl/>
        </w:rPr>
        <w:t xml:space="preserve"> ואפ</w:t>
      </w:r>
      <w:r>
        <w:rPr>
          <w:rFonts w:cs="Arial" w:hint="cs"/>
          <w:rtl/>
        </w:rPr>
        <w:t>"</w:t>
      </w:r>
      <w:r>
        <w:rPr>
          <w:rFonts w:cs="Arial"/>
          <w:rtl/>
        </w:rPr>
        <w:t>ל</w:t>
      </w:r>
      <w:r w:rsidRPr="00B00699">
        <w:rPr>
          <w:rFonts w:cs="Arial"/>
          <w:rtl/>
        </w:rPr>
        <w:t xml:space="preserve"> דכאן מיירי שהניח הישראל הגחלים</w:t>
      </w:r>
      <w:r>
        <w:rPr>
          <w:rFonts w:cs="Arial" w:hint="cs"/>
          <w:rtl/>
        </w:rPr>
        <w:t>,</w:t>
      </w:r>
      <w:r>
        <w:rPr>
          <w:rFonts w:cs="Arial"/>
          <w:rtl/>
        </w:rPr>
        <w:t xml:space="preserve"> הלכך אע</w:t>
      </w:r>
      <w:r>
        <w:rPr>
          <w:rFonts w:cs="Arial" w:hint="cs"/>
          <w:rtl/>
        </w:rPr>
        <w:t>"</w:t>
      </w:r>
      <w:r>
        <w:rPr>
          <w:rFonts w:cs="Arial"/>
          <w:rtl/>
        </w:rPr>
        <w:t>פ</w:t>
      </w:r>
      <w:r w:rsidRPr="00B00699">
        <w:rPr>
          <w:rFonts w:cs="Arial"/>
          <w:rtl/>
        </w:rPr>
        <w:t xml:space="preserve"> שלא היה מתבשל בלא סיוע ה</w:t>
      </w:r>
      <w:r>
        <w:rPr>
          <w:rFonts w:cs="Arial" w:hint="cs"/>
          <w:rtl/>
        </w:rPr>
        <w:t>גוי</w:t>
      </w:r>
      <w:r w:rsidRPr="00B00699">
        <w:rPr>
          <w:rFonts w:cs="Arial"/>
          <w:rtl/>
        </w:rPr>
        <w:t xml:space="preserve"> שרי דהוי כהדלקת האש בהג"ה ס"ז דשרי</w:t>
      </w:r>
      <w:r>
        <w:rPr>
          <w:rFonts w:cs="Arial" w:hint="cs"/>
          <w:rtl/>
        </w:rPr>
        <w:t>,</w:t>
      </w:r>
      <w:r w:rsidRPr="00B00699">
        <w:rPr>
          <w:rFonts w:cs="Arial"/>
          <w:rtl/>
        </w:rPr>
        <w:t xml:space="preserve"> וטעמא כיון דהישראל עשה השלהבת שרי</w:t>
      </w:r>
      <w:r>
        <w:rPr>
          <w:rFonts w:cs="Arial"/>
          <w:rtl/>
        </w:rPr>
        <w:t xml:space="preserve"> </w:t>
      </w:r>
      <w:r w:rsidRPr="00164B8F">
        <w:rPr>
          <w:rFonts w:cs="Arial" w:hint="cs"/>
          <w:sz w:val="16"/>
          <w:szCs w:val="16"/>
          <w:rtl/>
        </w:rPr>
        <w:t>(</w:t>
      </w:r>
      <w:r w:rsidRPr="00164B8F">
        <w:rPr>
          <w:rFonts w:cs="Arial"/>
          <w:sz w:val="16"/>
          <w:szCs w:val="16"/>
          <w:rtl/>
        </w:rPr>
        <w:t>ולקמן סע</w:t>
      </w:r>
      <w:r w:rsidRPr="00164B8F">
        <w:rPr>
          <w:rFonts w:cs="Arial" w:hint="cs"/>
          <w:sz w:val="16"/>
          <w:szCs w:val="16"/>
          <w:rtl/>
        </w:rPr>
        <w:t>'</w:t>
      </w:r>
      <w:r w:rsidRPr="00164B8F">
        <w:rPr>
          <w:rFonts w:cs="Arial"/>
          <w:sz w:val="16"/>
          <w:szCs w:val="16"/>
          <w:rtl/>
        </w:rPr>
        <w:t xml:space="preserve"> י' מיירי שהניח ה</w:t>
      </w:r>
      <w:r w:rsidRPr="00164B8F">
        <w:rPr>
          <w:rFonts w:cs="Arial" w:hint="cs"/>
          <w:sz w:val="16"/>
          <w:szCs w:val="16"/>
          <w:rtl/>
        </w:rPr>
        <w:t>גוי</w:t>
      </w:r>
      <w:r w:rsidRPr="00164B8F">
        <w:rPr>
          <w:rFonts w:cs="Arial"/>
          <w:sz w:val="16"/>
          <w:szCs w:val="16"/>
          <w:rtl/>
        </w:rPr>
        <w:t xml:space="preserve"> הגחלים והלכך אע</w:t>
      </w:r>
      <w:r w:rsidRPr="00164B8F">
        <w:rPr>
          <w:rFonts w:cs="Arial" w:hint="cs"/>
          <w:sz w:val="16"/>
          <w:szCs w:val="16"/>
          <w:rtl/>
        </w:rPr>
        <w:t>"</w:t>
      </w:r>
      <w:r w:rsidRPr="00164B8F">
        <w:rPr>
          <w:rFonts w:cs="Arial"/>
          <w:sz w:val="16"/>
          <w:szCs w:val="16"/>
          <w:rtl/>
        </w:rPr>
        <w:t>פ שהניח הישראל הבשר ע"ג גחלים כיון דלא היה מתבשל בלא סיועת ה</w:t>
      </w:r>
      <w:r w:rsidRPr="00164B8F">
        <w:rPr>
          <w:rFonts w:cs="Arial" w:hint="cs"/>
          <w:sz w:val="16"/>
          <w:szCs w:val="16"/>
          <w:rtl/>
        </w:rPr>
        <w:t>גוי</w:t>
      </w:r>
      <w:r w:rsidRPr="00164B8F">
        <w:rPr>
          <w:rFonts w:cs="Arial"/>
          <w:sz w:val="16"/>
          <w:szCs w:val="16"/>
          <w:rtl/>
        </w:rPr>
        <w:t xml:space="preserve"> אסור</w:t>
      </w:r>
      <w:r>
        <w:rPr>
          <w:rFonts w:cs="Arial" w:hint="cs"/>
          <w:rtl/>
        </w:rPr>
        <w:t>,</w:t>
      </w:r>
      <w:r>
        <w:rPr>
          <w:rFonts w:cs="Arial" w:hint="cs"/>
          <w:sz w:val="16"/>
          <w:szCs w:val="16"/>
          <w:rtl/>
        </w:rPr>
        <w:t xml:space="preserve"> </w:t>
      </w:r>
      <w:r w:rsidRPr="00164B8F">
        <w:rPr>
          <w:rFonts w:cs="Arial"/>
          <w:sz w:val="16"/>
          <w:szCs w:val="16"/>
          <w:rtl/>
        </w:rPr>
        <w:t>אבל באו"ה ובת"ח שם משמע דבכל גווני שרי ע"ש</w:t>
      </w:r>
      <w:r w:rsidRPr="00164B8F">
        <w:rPr>
          <w:rFonts w:cs="Arial" w:hint="cs"/>
          <w:sz w:val="16"/>
          <w:szCs w:val="16"/>
          <w:rtl/>
        </w:rPr>
        <w:t>,</w:t>
      </w:r>
      <w:r w:rsidRPr="00164B8F">
        <w:rPr>
          <w:rFonts w:cs="Arial"/>
          <w:sz w:val="16"/>
          <w:szCs w:val="16"/>
          <w:rtl/>
        </w:rPr>
        <w:t xml:space="preserve"> וגם כאן משמע דלא מיתכשר אלא משום שהניח הישראל הבשר ע"ג גחלים</w:t>
      </w:r>
      <w:r>
        <w:rPr>
          <w:rFonts w:cs="Arial" w:hint="cs"/>
          <w:sz w:val="16"/>
          <w:szCs w:val="16"/>
          <w:rtl/>
        </w:rPr>
        <w:t>.</w:t>
      </w:r>
      <w:r w:rsidRPr="00164B8F">
        <w:rPr>
          <w:rFonts w:cs="Arial"/>
          <w:sz w:val="16"/>
          <w:szCs w:val="16"/>
          <w:rtl/>
        </w:rPr>
        <w:t xml:space="preserve"> </w:t>
      </w:r>
      <w:r w:rsidRPr="00B00699">
        <w:rPr>
          <w:rFonts w:cs="Arial"/>
          <w:sz w:val="16"/>
          <w:szCs w:val="16"/>
          <w:rtl/>
        </w:rPr>
        <w:t>ומ"מ לענין דינא צ"ע כיון דבש"ס איתא בהדיא דהיכא דהניח ישראל בשר ע"ג גחלים ובא</w:t>
      </w:r>
      <w:r w:rsidRPr="00B00699">
        <w:rPr>
          <w:rFonts w:cs="Arial" w:hint="cs"/>
          <w:sz w:val="16"/>
          <w:szCs w:val="16"/>
          <w:rtl/>
        </w:rPr>
        <w:t xml:space="preserve"> גוי</w:t>
      </w:r>
      <w:r w:rsidRPr="00B00699">
        <w:rPr>
          <w:rFonts w:cs="Arial"/>
          <w:sz w:val="16"/>
          <w:szCs w:val="16"/>
          <w:rtl/>
        </w:rPr>
        <w:t xml:space="preserve"> והפך בו אסור אם לא היה מתבשל בלא סיועת ה</w:t>
      </w:r>
      <w:r>
        <w:rPr>
          <w:rFonts w:cs="Arial" w:hint="cs"/>
          <w:sz w:val="16"/>
          <w:szCs w:val="16"/>
          <w:rtl/>
        </w:rPr>
        <w:t>גוי</w:t>
      </w:r>
      <w:r w:rsidRPr="00B00699">
        <w:rPr>
          <w:rFonts w:cs="Arial"/>
          <w:sz w:val="16"/>
          <w:szCs w:val="16"/>
          <w:rtl/>
        </w:rPr>
        <w:t xml:space="preserve"> וכ"כ הפוסקים אלא דהאו"ה והרב מקילין בזה ומטעמא דמדמי להו לקיסם וחיתוי וי"ל דל"ד לקיסם וחיתוי כמו שמחלק הר"ן פא"מ להדיא</w:t>
      </w:r>
      <w:r w:rsidRPr="00B00699">
        <w:rPr>
          <w:rFonts w:cs="Arial" w:hint="cs"/>
          <w:sz w:val="16"/>
          <w:szCs w:val="16"/>
          <w:rtl/>
        </w:rPr>
        <w:t>)</w:t>
      </w:r>
      <w:r>
        <w:rPr>
          <w:rFonts w:cs="Arial" w:hint="cs"/>
          <w:rtl/>
        </w:rPr>
        <w:t>.</w:t>
      </w:r>
    </w:p>
    <w:p w14:paraId="5763E40D" w14:textId="77777777" w:rsidR="004C5A3C" w:rsidRDefault="004C5A3C" w:rsidP="0032102C">
      <w:pPr>
        <w:pStyle w:val="a5"/>
        <w:numPr>
          <w:ilvl w:val="0"/>
          <w:numId w:val="283"/>
        </w:numPr>
      </w:pPr>
      <w:r>
        <w:rPr>
          <w:rFonts w:hint="cs"/>
          <w:rtl/>
        </w:rPr>
        <w:t xml:space="preserve">פר"ח </w:t>
      </w:r>
      <w:r w:rsidRPr="00735DB2">
        <w:rPr>
          <w:rFonts w:hint="cs"/>
          <w:sz w:val="16"/>
          <w:szCs w:val="16"/>
          <w:rtl/>
        </w:rPr>
        <w:t>(סקי"ג)</w:t>
      </w:r>
      <w:r>
        <w:rPr>
          <w:rFonts w:cs="Arial" w:hint="cs"/>
          <w:rtl/>
        </w:rPr>
        <w:t>-</w:t>
      </w:r>
      <w:r>
        <w:rPr>
          <w:rFonts w:cs="Arial"/>
          <w:rtl/>
        </w:rPr>
        <w:t xml:space="preserve"> ראיתי בת</w:t>
      </w:r>
      <w:r>
        <w:rPr>
          <w:rFonts w:cs="Arial" w:hint="cs"/>
          <w:rtl/>
        </w:rPr>
        <w:t>"ח</w:t>
      </w:r>
      <w:r w:rsidRPr="00735DB2">
        <w:rPr>
          <w:rFonts w:cs="Arial"/>
          <w:rtl/>
        </w:rPr>
        <w:t xml:space="preserve"> </w:t>
      </w:r>
      <w:r w:rsidRPr="00735DB2">
        <w:rPr>
          <w:rFonts w:cs="Arial" w:hint="cs"/>
          <w:sz w:val="16"/>
          <w:szCs w:val="16"/>
          <w:rtl/>
        </w:rPr>
        <w:t>(</w:t>
      </w:r>
      <w:r w:rsidRPr="00735DB2">
        <w:rPr>
          <w:rFonts w:cs="Arial"/>
          <w:sz w:val="16"/>
          <w:szCs w:val="16"/>
          <w:rtl/>
        </w:rPr>
        <w:t>כלל עה די"ט</w:t>
      </w:r>
      <w:r w:rsidRPr="00735DB2">
        <w:rPr>
          <w:rFonts w:cs="Arial" w:hint="cs"/>
          <w:sz w:val="16"/>
          <w:szCs w:val="16"/>
          <w:rtl/>
        </w:rPr>
        <w:t>)</w:t>
      </w:r>
      <w:r w:rsidRPr="00735DB2">
        <w:rPr>
          <w:rFonts w:cs="Arial"/>
          <w:sz w:val="16"/>
          <w:szCs w:val="16"/>
          <w:rtl/>
        </w:rPr>
        <w:t xml:space="preserve"> </w:t>
      </w:r>
      <w:r w:rsidRPr="00735DB2">
        <w:rPr>
          <w:rFonts w:cs="Arial"/>
          <w:rtl/>
        </w:rPr>
        <w:t xml:space="preserve">שהעתיק כל מה שכתבתי </w:t>
      </w:r>
      <w:r>
        <w:rPr>
          <w:rFonts w:cs="Arial" w:hint="cs"/>
          <w:sz w:val="16"/>
          <w:szCs w:val="16"/>
          <w:rtl/>
        </w:rPr>
        <w:t xml:space="preserve">{את לשון הגמ' והב"י שהובאו לעיל} </w:t>
      </w:r>
      <w:r w:rsidRPr="00735DB2">
        <w:rPr>
          <w:rFonts w:cs="Arial"/>
          <w:rtl/>
        </w:rPr>
        <w:t>וסיים וז"ל</w:t>
      </w:r>
      <w:r>
        <w:rPr>
          <w:rFonts w:cs="Arial" w:hint="cs"/>
          <w:rtl/>
        </w:rPr>
        <w:t>-</w:t>
      </w:r>
      <w:r>
        <w:rPr>
          <w:rFonts w:cs="Arial"/>
          <w:rtl/>
        </w:rPr>
        <w:t xml:space="preserve"> אבל לפי מה שנתבאר </w:t>
      </w:r>
      <w:r w:rsidRPr="00735DB2">
        <w:rPr>
          <w:rFonts w:cs="Arial" w:hint="cs"/>
          <w:sz w:val="16"/>
          <w:szCs w:val="16"/>
          <w:rtl/>
        </w:rPr>
        <w:t>(</w:t>
      </w:r>
      <w:r>
        <w:rPr>
          <w:rFonts w:cs="Arial"/>
          <w:sz w:val="16"/>
          <w:szCs w:val="16"/>
          <w:rtl/>
        </w:rPr>
        <w:t>שם ד</w:t>
      </w:r>
      <w:r w:rsidRPr="00735DB2">
        <w:rPr>
          <w:rFonts w:cs="Arial"/>
          <w:sz w:val="16"/>
          <w:szCs w:val="16"/>
          <w:rtl/>
        </w:rPr>
        <w:t>י</w:t>
      </w:r>
      <w:r>
        <w:rPr>
          <w:rFonts w:cs="Arial" w:hint="cs"/>
          <w:sz w:val="16"/>
          <w:szCs w:val="16"/>
          <w:rtl/>
        </w:rPr>
        <w:t>"</w:t>
      </w:r>
      <w:r w:rsidRPr="00735DB2">
        <w:rPr>
          <w:rFonts w:cs="Arial"/>
          <w:sz w:val="16"/>
          <w:szCs w:val="16"/>
          <w:rtl/>
        </w:rPr>
        <w:t>ח</w:t>
      </w:r>
      <w:r>
        <w:rPr>
          <w:rFonts w:cs="Arial" w:hint="cs"/>
          <w:sz w:val="16"/>
          <w:szCs w:val="16"/>
          <w:rtl/>
        </w:rPr>
        <w:t>)</w:t>
      </w:r>
      <w:r w:rsidRPr="00735DB2">
        <w:rPr>
          <w:rFonts w:cs="Arial"/>
          <w:rtl/>
        </w:rPr>
        <w:t xml:space="preserve"> דחת</w:t>
      </w:r>
      <w:r>
        <w:rPr>
          <w:rFonts w:cs="Arial"/>
          <w:rtl/>
        </w:rPr>
        <w:t>וי בעלמא מהני כל שכן דכה</w:t>
      </w:r>
      <w:r>
        <w:rPr>
          <w:rFonts w:cs="Arial" w:hint="cs"/>
          <w:rtl/>
        </w:rPr>
        <w:t>"</w:t>
      </w:r>
      <w:r>
        <w:rPr>
          <w:rFonts w:cs="Arial"/>
          <w:rtl/>
        </w:rPr>
        <w:t>ג</w:t>
      </w:r>
      <w:r w:rsidRPr="00735DB2">
        <w:rPr>
          <w:rFonts w:cs="Arial"/>
          <w:rtl/>
        </w:rPr>
        <w:t xml:space="preserve"> מהני בדיעבד, ע</w:t>
      </w:r>
      <w:r>
        <w:rPr>
          <w:rFonts w:cs="Arial" w:hint="cs"/>
          <w:rtl/>
        </w:rPr>
        <w:t>כ"ל</w:t>
      </w:r>
      <w:r w:rsidRPr="00735DB2">
        <w:rPr>
          <w:rFonts w:cs="Arial"/>
          <w:rtl/>
        </w:rPr>
        <w:t>. ושרי ליה מאריה דדחי תלמוד ערוך לפי שכתב דחתוי בעלמא מהני, ואדרבא הוי ליה למדחי מה שכתב לעיל דחתוי בעלמא מהני במכל שכן ממה שכתוב כאן בש"ס דלא מהני, ולפיכך אין לזוז מפסק המחבר דחתוי לא מהני בתבשיל ואף בדיעבד אסיר כהסכמת כל הראשונים ז"ל. ואם הניחו ישראל במקום שלא היה מתבשל לפחות כמאכל בן דרוסאי יש לאסור אפילו בדיעבד</w:t>
      </w:r>
      <w:r>
        <w:rPr>
          <w:rFonts w:cs="Arial" w:hint="cs"/>
          <w:rtl/>
        </w:rPr>
        <w:t>.</w:t>
      </w:r>
    </w:p>
    <w:p w14:paraId="2E30A5F5" w14:textId="77777777" w:rsidR="004C5A3C" w:rsidRPr="00F06989" w:rsidRDefault="004C5A3C" w:rsidP="0032102C">
      <w:pPr>
        <w:pStyle w:val="a5"/>
        <w:numPr>
          <w:ilvl w:val="0"/>
          <w:numId w:val="283"/>
        </w:numPr>
      </w:pPr>
      <w:r>
        <w:rPr>
          <w:rtl/>
        </w:rPr>
        <w:t xml:space="preserve">מטה </w:t>
      </w:r>
      <w:r>
        <w:rPr>
          <w:rFonts w:hint="cs"/>
          <w:rtl/>
        </w:rPr>
        <w:t xml:space="preserve">יהונתן </w:t>
      </w:r>
      <w:r w:rsidRPr="00164B8F">
        <w:rPr>
          <w:rFonts w:hint="cs"/>
          <w:sz w:val="16"/>
          <w:szCs w:val="16"/>
          <w:rtl/>
        </w:rPr>
        <w:t>(אוצמ"פ</w:t>
      </w:r>
      <w:r>
        <w:rPr>
          <w:rFonts w:hint="cs"/>
          <w:sz w:val="16"/>
          <w:szCs w:val="16"/>
          <w:rtl/>
        </w:rPr>
        <w:t xml:space="preserve"> אות ה</w:t>
      </w:r>
      <w:r w:rsidRPr="00164B8F">
        <w:rPr>
          <w:rFonts w:hint="cs"/>
          <w:sz w:val="16"/>
          <w:szCs w:val="16"/>
          <w:rtl/>
        </w:rPr>
        <w:t>)</w:t>
      </w:r>
      <w:r>
        <w:rPr>
          <w:rFonts w:hint="cs"/>
          <w:rtl/>
        </w:rPr>
        <w:t xml:space="preserve">- הא דקאמר הגמ' שאם לא נתבשל בלא סיועי הגוי דאסור, היינו היכא שישראל אין עושה מעשה גמור, רק הישראל נותנו על האש ובא הגוי והיפך בו, א"כ הישראל אין עושה כלום והוי כאילו הגוי נותנו מתחילה ע"ג האש בלי שום סיועת ישראל, משא"כ כשישראל עושה מעשה גמור, כגון שהגיס בו, כה"ג אין סיועת הגוי אוסר כלל. </w:t>
      </w:r>
      <w:r w:rsidRPr="00F06989">
        <w:rPr>
          <w:rFonts w:hint="cs"/>
          <w:color w:val="FF0000"/>
          <w:sz w:val="16"/>
          <w:szCs w:val="16"/>
          <w:rtl/>
        </w:rPr>
        <w:t xml:space="preserve">{צל"ע על החילוק שעשה, שהרי השו"ע </w:t>
      </w:r>
      <w:r>
        <w:rPr>
          <w:rFonts w:hint="cs"/>
          <w:color w:val="FF0000"/>
          <w:sz w:val="16"/>
          <w:szCs w:val="16"/>
          <w:rtl/>
        </w:rPr>
        <w:t>[סע' ז</w:t>
      </w:r>
      <w:r w:rsidRPr="00F06989">
        <w:rPr>
          <w:rFonts w:hint="cs"/>
          <w:color w:val="FF0000"/>
          <w:sz w:val="16"/>
          <w:szCs w:val="16"/>
          <w:rtl/>
        </w:rPr>
        <w:t>] בעצמו כתב דהנחה הוי מעשה גמור שאם ישראל מניח יכול שאר הבישול או האפייה להעשות ע"י גוי}</w:t>
      </w:r>
    </w:p>
  </w:footnote>
  <w:footnote w:id="2740">
    <w:p w14:paraId="1B5B7CAD" w14:textId="77777777" w:rsidR="004C5A3C" w:rsidRDefault="004C5A3C" w:rsidP="002C39F4">
      <w:pPr>
        <w:pStyle w:val="a5"/>
        <w:rPr>
          <w:rtl/>
        </w:rPr>
      </w:pPr>
      <w:r>
        <w:rPr>
          <w:rStyle w:val="a7"/>
        </w:rPr>
        <w:footnoteRef/>
      </w:r>
      <w:r>
        <w:rPr>
          <w:rtl/>
        </w:rPr>
        <w:t xml:space="preserve"> </w:t>
      </w:r>
      <w:r>
        <w:rPr>
          <w:rFonts w:hint="cs"/>
          <w:rtl/>
        </w:rPr>
        <w:t>נפק"מ כיצד יש להתיר בישולי גוים, האם כשהישראל היפך בגחלים מהני או שצריך דוקא הנחת/היפוך הבשר.</w:t>
      </w:r>
    </w:p>
  </w:footnote>
  <w:footnote w:id="2741">
    <w:p w14:paraId="1FCAB611" w14:textId="77777777" w:rsidR="004C5A3C" w:rsidRPr="001A433F" w:rsidRDefault="004C5A3C" w:rsidP="002C39F4">
      <w:pPr>
        <w:pStyle w:val="a5"/>
      </w:pPr>
      <w:r>
        <w:rPr>
          <w:rStyle w:val="a7"/>
        </w:rPr>
        <w:footnoteRef/>
      </w:r>
      <w:r>
        <w:rPr>
          <w:rtl/>
        </w:rPr>
        <w:t xml:space="preserve"> </w:t>
      </w:r>
      <w:r w:rsidRPr="001A433F">
        <w:rPr>
          <w:rFonts w:cs="Arial"/>
          <w:rtl/>
        </w:rPr>
        <w:t xml:space="preserve">דומיא דמגיס את הקדרה דתני לה בהדה בברייתא בגמרא </w:t>
      </w:r>
      <w:r w:rsidRPr="001A433F">
        <w:rPr>
          <w:rFonts w:cs="Arial" w:hint="cs"/>
          <w:sz w:val="16"/>
          <w:szCs w:val="16"/>
          <w:rtl/>
        </w:rPr>
        <w:t>('</w:t>
      </w:r>
      <w:r w:rsidRPr="001A433F">
        <w:rPr>
          <w:rFonts w:cs="Arial"/>
          <w:sz w:val="16"/>
          <w:szCs w:val="16"/>
          <w:rtl/>
        </w:rPr>
        <w:t>מניח ישראל בשר על גבי גחלים ובא גוי ומהפך בו עד שיבא ישראל מבית המרחץ שופתת אשה קדרה על גבי כירה ובאה גויה ומגיסה עד שתבא מבית המרחץ או מבית הכנסת ואינה חוששת</w:t>
      </w:r>
      <w:r w:rsidRPr="001A433F">
        <w:rPr>
          <w:rFonts w:cs="Arial" w:hint="cs"/>
          <w:sz w:val="16"/>
          <w:szCs w:val="16"/>
          <w:rtl/>
        </w:rPr>
        <w:t>'</w:t>
      </w:r>
      <w:r>
        <w:rPr>
          <w:rFonts w:cs="Arial" w:hint="cs"/>
          <w:sz w:val="16"/>
          <w:szCs w:val="16"/>
          <w:rtl/>
        </w:rPr>
        <w:t>)</w:t>
      </w:r>
      <w:r>
        <w:rPr>
          <w:rFonts w:hint="cs"/>
          <w:rtl/>
        </w:rPr>
        <w:t xml:space="preserve">. </w:t>
      </w:r>
      <w:r>
        <w:rPr>
          <w:rFonts w:cs="Arial"/>
          <w:rtl/>
        </w:rPr>
        <w:t>ונ</w:t>
      </w:r>
      <w:r>
        <w:rPr>
          <w:rFonts w:cs="Arial" w:hint="cs"/>
          <w:rtl/>
        </w:rPr>
        <w:t xml:space="preserve">ראה </w:t>
      </w:r>
      <w:r>
        <w:rPr>
          <w:rFonts w:cs="Arial"/>
          <w:rtl/>
        </w:rPr>
        <w:t>ל</w:t>
      </w:r>
      <w:r>
        <w:rPr>
          <w:rFonts w:cs="Arial" w:hint="cs"/>
          <w:rtl/>
        </w:rPr>
        <w:t>י</w:t>
      </w:r>
      <w:r w:rsidRPr="001A433F">
        <w:rPr>
          <w:rFonts w:cs="Arial"/>
          <w:rtl/>
        </w:rPr>
        <w:t xml:space="preserve"> דהאי היפוך בבשר לא להפכו מצד שהוא מונח על גבי גחלים ולהניחו מצד אחר קאמר</w:t>
      </w:r>
      <w:r w:rsidRPr="001A433F">
        <w:rPr>
          <w:rFonts w:cs="Arial" w:hint="cs"/>
          <w:rtl/>
        </w:rPr>
        <w:t>,</w:t>
      </w:r>
      <w:r w:rsidRPr="001A433F">
        <w:rPr>
          <w:rFonts w:cs="Arial"/>
          <w:rtl/>
        </w:rPr>
        <w:t xml:space="preserve"> דהיינו מסלקו ממש</w:t>
      </w:r>
      <w:r w:rsidRPr="001A433F">
        <w:rPr>
          <w:rFonts w:cs="Arial" w:hint="cs"/>
          <w:rtl/>
        </w:rPr>
        <w:t>,</w:t>
      </w:r>
      <w:r w:rsidRPr="001A433F">
        <w:rPr>
          <w:rFonts w:cs="Arial"/>
          <w:rtl/>
        </w:rPr>
        <w:t xml:space="preserve"> וכל שסילקו הגוי קודם שיתבשל כמאכל בן דרוסאי והחזירו לאור אסור</w:t>
      </w:r>
      <w:r w:rsidRPr="001A433F">
        <w:rPr>
          <w:rFonts w:cs="Arial" w:hint="cs"/>
          <w:rtl/>
        </w:rPr>
        <w:t>,</w:t>
      </w:r>
      <w:r w:rsidRPr="001A433F">
        <w:rPr>
          <w:rFonts w:cs="Arial"/>
          <w:rtl/>
        </w:rPr>
        <w:t xml:space="preserve"> אלא כשהיה מנענעו והוא מונע האש קא מיירי וע"י כך הובערו הגחלים ונתקרב בישולו</w:t>
      </w:r>
      <w:r>
        <w:rPr>
          <w:rFonts w:hint="cs"/>
          <w:rtl/>
        </w:rPr>
        <w:t>, ב"י.</w:t>
      </w:r>
    </w:p>
  </w:footnote>
  <w:footnote w:id="2742">
    <w:p w14:paraId="3EB76D03" w14:textId="77777777" w:rsidR="004C5A3C" w:rsidRDefault="004C5A3C" w:rsidP="002C39F4">
      <w:pPr>
        <w:pStyle w:val="a5"/>
      </w:pPr>
      <w:r>
        <w:rPr>
          <w:rStyle w:val="a7"/>
        </w:rPr>
        <w:footnoteRef/>
      </w:r>
      <w:r>
        <w:rPr>
          <w:rtl/>
        </w:rPr>
        <w:t xml:space="preserve"> </w:t>
      </w:r>
      <w:r w:rsidRPr="001A433F">
        <w:rPr>
          <w:rFonts w:cs="Arial"/>
          <w:rtl/>
        </w:rPr>
        <w:t>ולפיכך כתב וחתה בגחלים במקום והיפך</w:t>
      </w:r>
      <w:r>
        <w:rPr>
          <w:rFonts w:cs="Arial" w:hint="cs"/>
          <w:rtl/>
        </w:rPr>
        <w:t>, ב"י.</w:t>
      </w:r>
    </w:p>
  </w:footnote>
  <w:footnote w:id="2743">
    <w:p w14:paraId="1DDDE6D5" w14:textId="77777777" w:rsidR="004C5A3C" w:rsidRPr="001827F6" w:rsidRDefault="004C5A3C" w:rsidP="002C39F4">
      <w:pPr>
        <w:pStyle w:val="a5"/>
      </w:pPr>
      <w:r>
        <w:rPr>
          <w:rStyle w:val="a7"/>
        </w:rPr>
        <w:footnoteRef/>
      </w:r>
      <w:r>
        <w:rPr>
          <w:rtl/>
        </w:rPr>
        <w:t xml:space="preserve"> </w:t>
      </w:r>
      <w:r w:rsidRPr="00747474">
        <w:rPr>
          <w:rFonts w:cs="Arial"/>
          <w:rtl/>
        </w:rPr>
        <w:t>ה"ר יונ</w:t>
      </w:r>
      <w:r w:rsidRPr="00747474">
        <w:rPr>
          <w:rFonts w:cs="Arial" w:hint="cs"/>
          <w:rtl/>
        </w:rPr>
        <w:t>ה</w:t>
      </w:r>
      <w:r w:rsidRPr="00747474">
        <w:rPr>
          <w:rFonts w:cs="Arial"/>
          <w:rtl/>
        </w:rPr>
        <w:t xml:space="preserve"> </w:t>
      </w:r>
      <w:r w:rsidRPr="00747474">
        <w:rPr>
          <w:rFonts w:cs="Arial"/>
          <w:sz w:val="16"/>
          <w:szCs w:val="16"/>
          <w:rtl/>
        </w:rPr>
        <w:t>(</w:t>
      </w:r>
      <w:r w:rsidRPr="00747474">
        <w:rPr>
          <w:rFonts w:cs="Arial" w:hint="cs"/>
          <w:sz w:val="16"/>
          <w:szCs w:val="16"/>
          <w:rtl/>
        </w:rPr>
        <w:t xml:space="preserve">אגרת התשובה השלם, הדרש השני, יום ד, </w:t>
      </w:r>
      <w:r w:rsidRPr="00747474">
        <w:rPr>
          <w:rFonts w:cs="Arial"/>
          <w:sz w:val="16"/>
          <w:szCs w:val="16"/>
          <w:rtl/>
        </w:rPr>
        <w:t>אות לח</w:t>
      </w:r>
      <w:r w:rsidRPr="00747474">
        <w:rPr>
          <w:rFonts w:cs="Arial" w:hint="cs"/>
          <w:sz w:val="16"/>
          <w:szCs w:val="16"/>
          <w:rtl/>
        </w:rPr>
        <w:t>-לט</w:t>
      </w:r>
      <w:r w:rsidRPr="00747474">
        <w:rPr>
          <w:rFonts w:cs="Arial"/>
          <w:sz w:val="16"/>
          <w:szCs w:val="16"/>
          <w:rtl/>
        </w:rPr>
        <w:t>)</w:t>
      </w:r>
      <w:r w:rsidRPr="00747474">
        <w:rPr>
          <w:rFonts w:cs="Arial" w:hint="cs"/>
          <w:rtl/>
        </w:rPr>
        <w:t xml:space="preserve"> </w:t>
      </w:r>
      <w:r w:rsidRPr="00747474">
        <w:rPr>
          <w:rFonts w:cs="Arial"/>
          <w:rtl/>
        </w:rPr>
        <w:t xml:space="preserve">רשב"א </w:t>
      </w:r>
      <w:r w:rsidRPr="00747474">
        <w:rPr>
          <w:rFonts w:cs="Arial" w:hint="cs"/>
          <w:sz w:val="16"/>
          <w:szCs w:val="16"/>
          <w:rtl/>
        </w:rPr>
        <w:t>(</w:t>
      </w:r>
      <w:r w:rsidRPr="00747474">
        <w:rPr>
          <w:rFonts w:cs="Arial"/>
          <w:sz w:val="16"/>
          <w:szCs w:val="16"/>
          <w:rtl/>
        </w:rPr>
        <w:t>ב</w:t>
      </w:r>
      <w:r w:rsidRPr="00747474">
        <w:rPr>
          <w:rFonts w:cs="Arial" w:hint="cs"/>
          <w:sz w:val="16"/>
          <w:szCs w:val="16"/>
          <w:rtl/>
        </w:rPr>
        <w:t>"</w:t>
      </w:r>
      <w:r w:rsidRPr="00747474">
        <w:rPr>
          <w:rFonts w:cs="Arial"/>
          <w:sz w:val="16"/>
          <w:szCs w:val="16"/>
          <w:rtl/>
        </w:rPr>
        <w:t>ג</w:t>
      </w:r>
      <w:r w:rsidRPr="00747474">
        <w:rPr>
          <w:rFonts w:cs="Arial" w:hint="cs"/>
          <w:sz w:val="16"/>
          <w:szCs w:val="16"/>
          <w:rtl/>
        </w:rPr>
        <w:t xml:space="preserve"> ש"ז</w:t>
      </w:r>
      <w:r w:rsidRPr="00747474">
        <w:rPr>
          <w:rFonts w:cs="Arial"/>
          <w:sz w:val="16"/>
          <w:szCs w:val="16"/>
          <w:rtl/>
        </w:rPr>
        <w:t xml:space="preserve"> צה.</w:t>
      </w:r>
      <w:r w:rsidRPr="00747474">
        <w:rPr>
          <w:rFonts w:cs="Arial" w:hint="cs"/>
          <w:sz w:val="16"/>
          <w:szCs w:val="16"/>
          <w:rtl/>
        </w:rPr>
        <w:t>, להב' הב"י</w:t>
      </w:r>
      <w:r w:rsidRPr="00747474">
        <w:rPr>
          <w:rFonts w:cs="Arial"/>
          <w:sz w:val="16"/>
          <w:szCs w:val="16"/>
          <w:rtl/>
        </w:rPr>
        <w:t>)</w:t>
      </w:r>
      <w:r w:rsidRPr="00747474">
        <w:rPr>
          <w:rFonts w:cs="Arial" w:hint="cs"/>
          <w:rtl/>
        </w:rPr>
        <w:t xml:space="preserve"> </w:t>
      </w:r>
      <w:r w:rsidRPr="00747474">
        <w:rPr>
          <w:rFonts w:cs="Arial"/>
          <w:rtl/>
        </w:rPr>
        <w:t xml:space="preserve">ר"ן </w:t>
      </w:r>
      <w:r w:rsidRPr="00747474">
        <w:rPr>
          <w:rFonts w:cs="Arial"/>
          <w:sz w:val="16"/>
          <w:szCs w:val="16"/>
          <w:rtl/>
        </w:rPr>
        <w:t>(טו: ד"ה פת שלש)</w:t>
      </w:r>
      <w:r w:rsidRPr="00397B75">
        <w:rPr>
          <w:rFonts w:cs="Arial"/>
          <w:rtl/>
        </w:rPr>
        <w:t xml:space="preserve"> </w:t>
      </w:r>
      <w:r>
        <w:rPr>
          <w:rFonts w:cs="Arial" w:hint="cs"/>
          <w:rtl/>
        </w:rPr>
        <w:t>ו</w:t>
      </w:r>
      <w:r w:rsidRPr="00747474">
        <w:rPr>
          <w:rFonts w:cs="Arial"/>
          <w:rtl/>
        </w:rPr>
        <w:t xml:space="preserve">ריב"ש </w:t>
      </w:r>
      <w:r>
        <w:rPr>
          <w:rFonts w:cs="Arial"/>
          <w:sz w:val="16"/>
          <w:szCs w:val="16"/>
          <w:rtl/>
        </w:rPr>
        <w:t>(</w:t>
      </w:r>
      <w:r>
        <w:rPr>
          <w:rFonts w:cs="Arial" w:hint="cs"/>
          <w:sz w:val="16"/>
          <w:szCs w:val="16"/>
          <w:rtl/>
        </w:rPr>
        <w:t>ס</w:t>
      </w:r>
      <w:r w:rsidRPr="00747474">
        <w:rPr>
          <w:rFonts w:cs="Arial"/>
          <w:sz w:val="16"/>
          <w:szCs w:val="16"/>
          <w:rtl/>
        </w:rPr>
        <w:t>י</w:t>
      </w:r>
      <w:r w:rsidRPr="00747474">
        <w:rPr>
          <w:rFonts w:cs="Arial" w:hint="cs"/>
          <w:sz w:val="16"/>
          <w:szCs w:val="16"/>
          <w:rtl/>
        </w:rPr>
        <w:t xml:space="preserve">' </w:t>
      </w:r>
      <w:r w:rsidRPr="00747474">
        <w:rPr>
          <w:rFonts w:cs="Arial"/>
          <w:sz w:val="16"/>
          <w:szCs w:val="16"/>
          <w:rtl/>
        </w:rPr>
        <w:t>תקיד)</w:t>
      </w:r>
      <w:r>
        <w:rPr>
          <w:rFonts w:cs="Arial" w:hint="cs"/>
          <w:rtl/>
        </w:rPr>
        <w:t>.</w:t>
      </w:r>
    </w:p>
  </w:footnote>
  <w:footnote w:id="2744">
    <w:p w14:paraId="64ED2B94" w14:textId="77777777" w:rsidR="004C5A3C" w:rsidRDefault="004C5A3C" w:rsidP="002C39F4">
      <w:pPr>
        <w:pStyle w:val="a5"/>
        <w:rPr>
          <w:rtl/>
        </w:rPr>
      </w:pPr>
      <w:r>
        <w:rPr>
          <w:rStyle w:val="a7"/>
        </w:rPr>
        <w:footnoteRef/>
      </w:r>
      <w:r>
        <w:rPr>
          <w:rtl/>
        </w:rPr>
        <w:t xml:space="preserve"> </w:t>
      </w:r>
      <w:r>
        <w:rPr>
          <w:rFonts w:cs="Arial" w:hint="cs"/>
          <w:rtl/>
        </w:rPr>
        <w:t xml:space="preserve">וז"ל הב"י- </w:t>
      </w:r>
      <w:r w:rsidRPr="00FA2CC1">
        <w:rPr>
          <w:rFonts w:cs="Arial"/>
          <w:rtl/>
        </w:rPr>
        <w:t xml:space="preserve">משמע דלפי דבריהם </w:t>
      </w:r>
      <w:r>
        <w:rPr>
          <w:rFonts w:cs="Arial" w:hint="cs"/>
          <w:sz w:val="16"/>
          <w:szCs w:val="16"/>
          <w:rtl/>
        </w:rPr>
        <w:t xml:space="preserve">{שאמרו שהדלקה אינה מועילה} </w:t>
      </w:r>
      <w:r w:rsidRPr="00FA2CC1">
        <w:rPr>
          <w:rFonts w:cs="Arial"/>
          <w:rtl/>
        </w:rPr>
        <w:t>כל שכן דחיתוי באור לא מהני</w:t>
      </w:r>
      <w:r>
        <w:rPr>
          <w:rFonts w:cs="Arial" w:hint="cs"/>
          <w:rtl/>
        </w:rPr>
        <w:t>.</w:t>
      </w:r>
      <w:r w:rsidRPr="00FA2CC1">
        <w:rPr>
          <w:rFonts w:cs="Arial" w:hint="cs"/>
          <w:rtl/>
        </w:rPr>
        <w:t xml:space="preserve"> </w:t>
      </w:r>
      <w:r w:rsidRPr="00AE08DE">
        <w:rPr>
          <w:rFonts w:cs="Arial" w:hint="cs"/>
          <w:rtl/>
        </w:rPr>
        <w:t xml:space="preserve">וכ' עוד הב"י- </w:t>
      </w:r>
      <w:r w:rsidRPr="00AE08DE">
        <w:rPr>
          <w:rFonts w:cs="Arial"/>
          <w:rtl/>
        </w:rPr>
        <w:t>ומיהו יש לדחות ולומר דע"כ לא אמרו אלא בהדלקת האש</w:t>
      </w:r>
      <w:r w:rsidRPr="00D45C88">
        <w:rPr>
          <w:rFonts w:cs="Arial"/>
          <w:sz w:val="16"/>
          <w:szCs w:val="16"/>
          <w:rtl/>
        </w:rPr>
        <w:t xml:space="preserve"> </w:t>
      </w:r>
      <w:r w:rsidRPr="00AE08DE">
        <w:rPr>
          <w:rFonts w:cs="Arial" w:hint="cs"/>
          <w:sz w:val="16"/>
          <w:szCs w:val="16"/>
          <w:rtl/>
        </w:rPr>
        <w:t>(</w:t>
      </w:r>
      <w:r w:rsidRPr="00AE08DE">
        <w:rPr>
          <w:rFonts w:cs="Arial"/>
          <w:sz w:val="16"/>
          <w:szCs w:val="16"/>
          <w:rtl/>
        </w:rPr>
        <w:t>שמאחר שהיא נעשית קודם שיניח הבשר לצלות אינה הוכחה שהוא מדליקו לצלות בשר אלא להתחמם בו או לבשל בו דברים שאינם עולים על שלחן מלכים או שהן נאכלים חיים מש</w:t>
      </w:r>
      <w:r w:rsidRPr="00AE08DE">
        <w:rPr>
          <w:rFonts w:cs="Arial" w:hint="cs"/>
          <w:sz w:val="16"/>
          <w:szCs w:val="16"/>
          <w:rtl/>
        </w:rPr>
        <w:t>א"</w:t>
      </w:r>
      <w:r w:rsidRPr="00AE08DE">
        <w:rPr>
          <w:rFonts w:cs="Arial"/>
          <w:sz w:val="16"/>
          <w:szCs w:val="16"/>
          <w:rtl/>
        </w:rPr>
        <w:t>כ בתנור דסתמו אינו אלא לאפות בו</w:t>
      </w:r>
      <w:r w:rsidRPr="00AE08DE">
        <w:rPr>
          <w:rFonts w:cs="Arial" w:hint="cs"/>
          <w:sz w:val="16"/>
          <w:szCs w:val="16"/>
          <w:rtl/>
        </w:rPr>
        <w:t>)</w:t>
      </w:r>
      <w:r>
        <w:rPr>
          <w:rFonts w:cs="Arial" w:hint="cs"/>
          <w:rtl/>
        </w:rPr>
        <w:t xml:space="preserve">, </w:t>
      </w:r>
      <w:r w:rsidRPr="00AE08DE">
        <w:rPr>
          <w:rFonts w:cs="Arial"/>
          <w:rtl/>
        </w:rPr>
        <w:t>אבל כשמחתה בגחלים בעוד הבשר עליהם ומקרב בישולו מישרא שרי אפילו לדעת הר"ן</w:t>
      </w:r>
      <w:r w:rsidRPr="00AE08DE">
        <w:rPr>
          <w:rFonts w:cs="Arial" w:hint="cs"/>
          <w:rtl/>
        </w:rPr>
        <w:t>,</w:t>
      </w:r>
      <w:r w:rsidRPr="00AE08DE">
        <w:rPr>
          <w:rFonts w:cs="Arial"/>
          <w:rtl/>
        </w:rPr>
        <w:t xml:space="preserve"> ודוחק</w:t>
      </w:r>
      <w:r w:rsidRPr="00AE08DE">
        <w:rPr>
          <w:rFonts w:cs="Arial" w:hint="cs"/>
          <w:rtl/>
        </w:rPr>
        <w:t>. עכ"ל</w:t>
      </w:r>
      <w:r>
        <w:rPr>
          <w:rFonts w:cs="Arial" w:hint="cs"/>
          <w:rtl/>
        </w:rPr>
        <w:t>.</w:t>
      </w:r>
      <w:r>
        <w:rPr>
          <w:rFonts w:cs="Arial" w:hint="cs"/>
          <w:sz w:val="16"/>
          <w:szCs w:val="16"/>
          <w:rtl/>
        </w:rPr>
        <w:t xml:space="preserve"> </w:t>
      </w:r>
      <w:r w:rsidRPr="00AE08DE">
        <w:rPr>
          <w:rFonts w:cs="Arial" w:hint="cs"/>
          <w:rtl/>
        </w:rPr>
        <w:t xml:space="preserve">משמע דנשאר </w:t>
      </w:r>
      <w:r>
        <w:rPr>
          <w:rFonts w:cs="Arial" w:hint="cs"/>
          <w:rtl/>
        </w:rPr>
        <w:t xml:space="preserve">הב"י </w:t>
      </w:r>
      <w:r w:rsidRPr="00AE08DE">
        <w:rPr>
          <w:rFonts w:cs="Arial" w:hint="cs"/>
          <w:rtl/>
        </w:rPr>
        <w:t>בהבנתו הראשונה שגם הם מסכימים לרמב"ם</w:t>
      </w:r>
      <w:r>
        <w:rPr>
          <w:rFonts w:hint="cs"/>
          <w:rtl/>
        </w:rPr>
        <w:t>.</w:t>
      </w:r>
      <w:r w:rsidRPr="00AE08DE">
        <w:rPr>
          <w:rFonts w:cs="Arial" w:hint="cs"/>
          <w:rtl/>
        </w:rPr>
        <w:t xml:space="preserve"> </w:t>
      </w:r>
    </w:p>
  </w:footnote>
  <w:footnote w:id="2745">
    <w:p w14:paraId="79ADC16D" w14:textId="77777777" w:rsidR="004C5A3C" w:rsidRDefault="004C5A3C" w:rsidP="002C39F4">
      <w:pPr>
        <w:pStyle w:val="a5"/>
        <w:rPr>
          <w:rtl/>
        </w:rPr>
      </w:pPr>
      <w:r>
        <w:rPr>
          <w:rStyle w:val="a7"/>
        </w:rPr>
        <w:footnoteRef/>
      </w:r>
      <w:r>
        <w:rPr>
          <w:rtl/>
        </w:rPr>
        <w:t xml:space="preserve"> </w:t>
      </w:r>
      <w:r>
        <w:rPr>
          <w:rFonts w:hint="cs"/>
          <w:rtl/>
        </w:rPr>
        <w:t xml:space="preserve">באות ד, וז"ל- </w:t>
      </w:r>
      <w:r w:rsidRPr="00EF088B">
        <w:rPr>
          <w:rFonts w:cs="Arial"/>
          <w:rtl/>
        </w:rPr>
        <w:t>ונראה לי דס</w:t>
      </w:r>
      <w:r>
        <w:rPr>
          <w:rFonts w:cs="Arial" w:hint="cs"/>
          <w:rtl/>
        </w:rPr>
        <w:t>"</w:t>
      </w:r>
      <w:r w:rsidRPr="00EF088B">
        <w:rPr>
          <w:rFonts w:cs="Arial"/>
          <w:rtl/>
        </w:rPr>
        <w:t xml:space="preserve">ל לכל הני רבוותא דחיתוי נמי אסור כמו הדלקה ומה שאמרינן בגמרא דאם היפך בבשר או הגיס שרי אינו רצה לומר היפך בגחלים דהיינו חיתוי אלא קאי אבשר כמ"ש הרמב"ם שאם </w:t>
      </w:r>
      <w:r>
        <w:rPr>
          <w:rFonts w:cs="Arial" w:hint="cs"/>
          <w:rtl/>
        </w:rPr>
        <w:t>"</w:t>
      </w:r>
      <w:r w:rsidRPr="00EF088B">
        <w:rPr>
          <w:rFonts w:cs="Arial"/>
          <w:rtl/>
        </w:rPr>
        <w:t>היפך</w:t>
      </w:r>
      <w:r>
        <w:rPr>
          <w:rFonts w:cs="Arial" w:hint="cs"/>
          <w:rtl/>
        </w:rPr>
        <w:t xml:space="preserve"> </w:t>
      </w:r>
      <w:r>
        <w:rPr>
          <w:rFonts w:cs="Arial" w:hint="cs"/>
          <w:sz w:val="16"/>
          <w:szCs w:val="16"/>
          <w:rtl/>
        </w:rPr>
        <w:t>{ישראל}</w:t>
      </w:r>
      <w:r w:rsidRPr="00EF088B">
        <w:rPr>
          <w:rFonts w:cs="Arial"/>
          <w:rtl/>
        </w:rPr>
        <w:t xml:space="preserve"> בבשר או הגיס הקדרה שרי</w:t>
      </w:r>
      <w:r>
        <w:rPr>
          <w:rFonts w:cs="Arial" w:hint="cs"/>
          <w:rtl/>
        </w:rPr>
        <w:t>"</w:t>
      </w:r>
      <w:r w:rsidRPr="00EF088B">
        <w:rPr>
          <w:rFonts w:cs="Arial"/>
          <w:rtl/>
        </w:rPr>
        <w:t>.</w:t>
      </w:r>
    </w:p>
  </w:footnote>
  <w:footnote w:id="2746">
    <w:p w14:paraId="19E26BAF" w14:textId="77777777" w:rsidR="004C5A3C" w:rsidRPr="001827F6" w:rsidRDefault="004C5A3C" w:rsidP="002C39F4">
      <w:pPr>
        <w:pStyle w:val="a5"/>
      </w:pPr>
      <w:r>
        <w:rPr>
          <w:rStyle w:val="a7"/>
        </w:rPr>
        <w:footnoteRef/>
      </w:r>
      <w:r>
        <w:rPr>
          <w:rtl/>
        </w:rPr>
        <w:t xml:space="preserve"> </w:t>
      </w:r>
      <w:r w:rsidRPr="00EF088B">
        <w:rPr>
          <w:rFonts w:cs="Arial"/>
          <w:rtl/>
        </w:rPr>
        <w:t xml:space="preserve">מרדכי </w:t>
      </w:r>
      <w:r w:rsidRPr="00FA2CC1">
        <w:rPr>
          <w:rFonts w:cs="Arial"/>
          <w:sz w:val="16"/>
          <w:szCs w:val="16"/>
          <w:rtl/>
        </w:rPr>
        <w:t>(</w:t>
      </w:r>
      <w:r w:rsidRPr="00FA2CC1">
        <w:rPr>
          <w:rFonts w:cs="Arial" w:hint="cs"/>
          <w:sz w:val="16"/>
          <w:szCs w:val="16"/>
          <w:rtl/>
        </w:rPr>
        <w:t xml:space="preserve">ע"ז </w:t>
      </w:r>
      <w:r w:rsidRPr="00FA2CC1">
        <w:rPr>
          <w:rFonts w:cs="Arial"/>
          <w:sz w:val="16"/>
          <w:szCs w:val="16"/>
          <w:rtl/>
        </w:rPr>
        <w:t>סי' תתלא)</w:t>
      </w:r>
      <w:r>
        <w:rPr>
          <w:rFonts w:cs="Arial" w:hint="cs"/>
          <w:rtl/>
        </w:rPr>
        <w:t xml:space="preserve"> מהרא"י </w:t>
      </w:r>
      <w:r>
        <w:rPr>
          <w:rFonts w:cs="Arial" w:hint="cs"/>
          <w:sz w:val="16"/>
          <w:szCs w:val="16"/>
          <w:rtl/>
        </w:rPr>
        <w:t>(בהגשע"ד סי' עה אות א)</w:t>
      </w:r>
      <w:r w:rsidRPr="00AE08DE">
        <w:rPr>
          <w:rFonts w:cs="Arial"/>
          <w:rtl/>
        </w:rPr>
        <w:t xml:space="preserve"> </w:t>
      </w:r>
      <w:r>
        <w:rPr>
          <w:rFonts w:cs="Arial" w:hint="cs"/>
          <w:rtl/>
        </w:rPr>
        <w:t>ואו</w:t>
      </w:r>
      <w:r>
        <w:rPr>
          <w:rFonts w:cs="Arial"/>
          <w:rtl/>
        </w:rPr>
        <w:t>"</w:t>
      </w:r>
      <w:r>
        <w:rPr>
          <w:rFonts w:cs="Arial" w:hint="cs"/>
          <w:rtl/>
        </w:rPr>
        <w:t>ה</w:t>
      </w:r>
      <w:r w:rsidRPr="00EF088B">
        <w:rPr>
          <w:rFonts w:cs="Arial"/>
          <w:rtl/>
        </w:rPr>
        <w:t xml:space="preserve"> </w:t>
      </w:r>
      <w:r>
        <w:rPr>
          <w:rFonts w:cs="Arial"/>
          <w:sz w:val="16"/>
          <w:szCs w:val="16"/>
          <w:rtl/>
        </w:rPr>
        <w:t>(כלל מג ד</w:t>
      </w:r>
      <w:r>
        <w:rPr>
          <w:rFonts w:cs="Arial" w:hint="cs"/>
          <w:sz w:val="16"/>
          <w:szCs w:val="16"/>
          <w:rtl/>
        </w:rPr>
        <w:t>"</w:t>
      </w:r>
      <w:r w:rsidRPr="00AE08DE">
        <w:rPr>
          <w:rFonts w:cs="Arial"/>
          <w:sz w:val="16"/>
          <w:szCs w:val="16"/>
          <w:rtl/>
        </w:rPr>
        <w:t>ט)</w:t>
      </w:r>
      <w:r>
        <w:rPr>
          <w:rFonts w:cs="Arial" w:hint="cs"/>
          <w:rtl/>
        </w:rPr>
        <w:t>.</w:t>
      </w:r>
    </w:p>
  </w:footnote>
  <w:footnote w:id="2747">
    <w:p w14:paraId="1E49E06F" w14:textId="77777777" w:rsidR="004C5A3C" w:rsidRPr="00F06989" w:rsidRDefault="004C5A3C" w:rsidP="002C39F4">
      <w:pPr>
        <w:pStyle w:val="a5"/>
      </w:pPr>
      <w:r w:rsidRPr="00F06989">
        <w:rPr>
          <w:rStyle w:val="a7"/>
        </w:rPr>
        <w:footnoteRef/>
      </w:r>
      <w:r w:rsidRPr="00F06989">
        <w:rPr>
          <w:rtl/>
        </w:rPr>
        <w:t xml:space="preserve"> </w:t>
      </w:r>
      <w:r w:rsidRPr="00F06989">
        <w:rPr>
          <w:rFonts w:asciiTheme="minorBidi" w:hAnsiTheme="minorBidi"/>
          <w:rtl/>
        </w:rPr>
        <w:t>פי' הבערה. ובערו והשיקו (יחזקאל לט ט), תרגום ויהון שגרין</w:t>
      </w:r>
      <w:r w:rsidRPr="00F06989">
        <w:rPr>
          <w:rFonts w:asciiTheme="minorBidi" w:hAnsiTheme="minorBidi" w:hint="cs"/>
          <w:rtl/>
        </w:rPr>
        <w:t>.</w:t>
      </w:r>
    </w:p>
  </w:footnote>
  <w:footnote w:id="2748">
    <w:p w14:paraId="1333BD39" w14:textId="77777777" w:rsidR="004C5A3C" w:rsidRDefault="004C5A3C" w:rsidP="002C39F4">
      <w:pPr>
        <w:pStyle w:val="a5"/>
        <w:rPr>
          <w:rtl/>
        </w:rPr>
      </w:pPr>
      <w:r>
        <w:rPr>
          <w:rStyle w:val="a7"/>
        </w:rPr>
        <w:footnoteRef/>
      </w:r>
      <w:r>
        <w:rPr>
          <w:rtl/>
        </w:rPr>
        <w:t xml:space="preserve"> </w:t>
      </w:r>
      <w:r w:rsidRPr="00235AF2">
        <w:rPr>
          <w:rFonts w:cs="Arial"/>
          <w:rtl/>
        </w:rPr>
        <w:t>בר"ן כתוב הטעם ששגירת התנור בפת מלאכה מיוחדת בו</w:t>
      </w:r>
      <w:r>
        <w:rPr>
          <w:rFonts w:cs="Arial" w:hint="cs"/>
          <w:rtl/>
        </w:rPr>
        <w:t>, עכ"ל,</w:t>
      </w:r>
      <w:r w:rsidRPr="00235AF2">
        <w:rPr>
          <w:rFonts w:cs="Arial"/>
          <w:rtl/>
        </w:rPr>
        <w:t xml:space="preserve"> וב"י מביאו</w:t>
      </w:r>
      <w:r>
        <w:rPr>
          <w:rFonts w:cs="Arial" w:hint="cs"/>
          <w:rtl/>
        </w:rPr>
        <w:t>,</w:t>
      </w:r>
      <w:r w:rsidRPr="00235AF2">
        <w:rPr>
          <w:rFonts w:cs="Arial"/>
          <w:rtl/>
        </w:rPr>
        <w:t xml:space="preserve"> נראה פירושו שבפת צריך להסיק התנור ולהוציא כל הגחלים קודם שיאפה הלחם משא</w:t>
      </w:r>
      <w:r>
        <w:rPr>
          <w:rFonts w:cs="Arial" w:hint="cs"/>
          <w:rtl/>
        </w:rPr>
        <w:t>"</w:t>
      </w:r>
      <w:r w:rsidRPr="00235AF2">
        <w:rPr>
          <w:rFonts w:cs="Arial"/>
          <w:rtl/>
        </w:rPr>
        <w:t>כ בשאר תבשיל מסיק האור ובשעה שהתבשיל מתבשל מוסיף והולך תמיד ע"כ לא ניכר כ"כ מעשה ישראל</w:t>
      </w:r>
      <w:r>
        <w:rPr>
          <w:rFonts w:hint="cs"/>
          <w:rtl/>
        </w:rPr>
        <w:t>, ט"ז (סק"ז).</w:t>
      </w:r>
    </w:p>
  </w:footnote>
  <w:footnote w:id="2749">
    <w:p w14:paraId="42EEDE57" w14:textId="77777777" w:rsidR="004C5A3C" w:rsidRDefault="004C5A3C" w:rsidP="002C39F4">
      <w:pPr>
        <w:pStyle w:val="a5"/>
        <w:rPr>
          <w:rtl/>
        </w:rPr>
      </w:pPr>
      <w:r>
        <w:rPr>
          <w:rStyle w:val="a7"/>
        </w:rPr>
        <w:footnoteRef/>
      </w:r>
      <w:r>
        <w:rPr>
          <w:rtl/>
        </w:rPr>
        <w:t xml:space="preserve"> </w:t>
      </w:r>
      <w:r w:rsidRPr="00041578">
        <w:rPr>
          <w:rFonts w:cs="Arial"/>
          <w:rtl/>
        </w:rPr>
        <w:t>אע</w:t>
      </w:r>
      <w:r>
        <w:rPr>
          <w:rFonts w:cs="Arial" w:hint="cs"/>
          <w:rtl/>
        </w:rPr>
        <w:t>"</w:t>
      </w:r>
      <w:r w:rsidRPr="00041578">
        <w:rPr>
          <w:rFonts w:cs="Arial"/>
          <w:rtl/>
        </w:rPr>
        <w:t>ג דלא מהני כלל לקרב הבישול</w:t>
      </w:r>
      <w:r>
        <w:rPr>
          <w:rFonts w:hint="cs"/>
          <w:rtl/>
        </w:rPr>
        <w:t xml:space="preserve">, דרכ"מ (אות ו). אך </w:t>
      </w:r>
      <w:r>
        <w:rPr>
          <w:rFonts w:cs="Arial" w:hint="cs"/>
          <w:rtl/>
        </w:rPr>
        <w:t>ה</w:t>
      </w:r>
      <w:r>
        <w:rPr>
          <w:rFonts w:cs="Arial"/>
          <w:rtl/>
        </w:rPr>
        <w:t>או"ה</w:t>
      </w:r>
      <w:r w:rsidRPr="0033696D">
        <w:rPr>
          <w:rFonts w:cs="Arial"/>
          <w:rtl/>
        </w:rPr>
        <w:t xml:space="preserve"> </w:t>
      </w:r>
      <w:r>
        <w:rPr>
          <w:rFonts w:cs="Arial" w:hint="cs"/>
          <w:rtl/>
        </w:rPr>
        <w:t>(</w:t>
      </w:r>
      <w:r>
        <w:rPr>
          <w:rFonts w:cs="Arial"/>
          <w:rtl/>
        </w:rPr>
        <w:t>כלל מ</w:t>
      </w:r>
      <w:r w:rsidRPr="0033696D">
        <w:rPr>
          <w:rFonts w:cs="Arial"/>
          <w:rtl/>
        </w:rPr>
        <w:t>ג</w:t>
      </w:r>
      <w:r>
        <w:rPr>
          <w:rFonts w:cs="Arial" w:hint="cs"/>
          <w:rtl/>
        </w:rPr>
        <w:t xml:space="preserve"> ד"י) כ'-</w:t>
      </w:r>
      <w:r>
        <w:rPr>
          <w:rFonts w:hint="cs"/>
          <w:rtl/>
        </w:rPr>
        <w:t xml:space="preserve"> </w:t>
      </w:r>
      <w:r w:rsidRPr="0033696D">
        <w:rPr>
          <w:rFonts w:cs="Arial"/>
          <w:rtl/>
        </w:rPr>
        <w:t xml:space="preserve">אך יזהר </w:t>
      </w:r>
      <w:r>
        <w:rPr>
          <w:rFonts w:cs="Arial" w:hint="cs"/>
          <w:rtl/>
        </w:rPr>
        <w:t xml:space="preserve">כשמחתה בגחלים </w:t>
      </w:r>
      <w:r w:rsidRPr="0033696D">
        <w:rPr>
          <w:rFonts w:cs="Arial"/>
          <w:rtl/>
        </w:rPr>
        <w:t>שאותו חיתוי יועיל לתקן האש ו</w:t>
      </w:r>
      <w:r>
        <w:rPr>
          <w:rFonts w:cs="Arial"/>
          <w:rtl/>
        </w:rPr>
        <w:t>יועיל למהר בישולו ע"י ישראל</w:t>
      </w:r>
      <w:r>
        <w:rPr>
          <w:rFonts w:cs="Arial" w:hint="cs"/>
          <w:rtl/>
        </w:rPr>
        <w:t>. עכ"ל. והביאוהו הט"ז (סק"ד) והש"ך (סק"ט). וכ' הש"ך</w:t>
      </w:r>
      <w:r w:rsidRPr="00235AF2">
        <w:rPr>
          <w:rFonts w:cs="Arial"/>
          <w:rtl/>
        </w:rPr>
        <w:t xml:space="preserve"> </w:t>
      </w:r>
      <w:r>
        <w:rPr>
          <w:rFonts w:cs="Arial" w:hint="cs"/>
          <w:rtl/>
        </w:rPr>
        <w:t>ד</w:t>
      </w:r>
      <w:r w:rsidRPr="00235AF2">
        <w:rPr>
          <w:rFonts w:cs="Arial"/>
          <w:rtl/>
        </w:rPr>
        <w:t>כן משמע בש"ס ופוסקים דבעינן שהישראל יעשה קירוב בישול</w:t>
      </w:r>
      <w:r>
        <w:rPr>
          <w:rFonts w:cs="Arial" w:hint="cs"/>
          <w:rtl/>
        </w:rPr>
        <w:t>.</w:t>
      </w:r>
      <w:r>
        <w:rPr>
          <w:rFonts w:hint="cs"/>
          <w:rtl/>
        </w:rPr>
        <w:t xml:space="preserve"> </w:t>
      </w:r>
    </w:p>
  </w:footnote>
  <w:footnote w:id="2750">
    <w:p w14:paraId="60D49701" w14:textId="77777777" w:rsidR="004C5A3C" w:rsidRDefault="004C5A3C" w:rsidP="002C39F4">
      <w:pPr>
        <w:pStyle w:val="a5"/>
        <w:rPr>
          <w:rtl/>
        </w:rPr>
      </w:pPr>
      <w:r>
        <w:rPr>
          <w:rStyle w:val="a7"/>
        </w:rPr>
        <w:footnoteRef/>
      </w:r>
      <w:r>
        <w:rPr>
          <w:rtl/>
        </w:rPr>
        <w:t xml:space="preserve"> </w:t>
      </w:r>
      <w:r w:rsidRPr="00235AF2">
        <w:rPr>
          <w:rFonts w:cs="Arial"/>
          <w:rtl/>
        </w:rPr>
        <w:t>ובהגהה שבסוף ספר או"ה כלל מ"ג פסק שצריך שיכוין לסייע בתיקון האש להכשיר</w:t>
      </w:r>
      <w:r>
        <w:rPr>
          <w:rFonts w:hint="cs"/>
          <w:rtl/>
        </w:rPr>
        <w:t>, ש"ך (סק"י).</w:t>
      </w:r>
    </w:p>
  </w:footnote>
  <w:footnote w:id="2751">
    <w:p w14:paraId="56B1F4AD" w14:textId="77777777" w:rsidR="004C5A3C" w:rsidRDefault="004C5A3C" w:rsidP="002C39F4">
      <w:pPr>
        <w:pStyle w:val="a5"/>
      </w:pPr>
      <w:r>
        <w:rPr>
          <w:rStyle w:val="a7"/>
        </w:rPr>
        <w:footnoteRef/>
      </w:r>
      <w:r>
        <w:rPr>
          <w:rtl/>
        </w:rPr>
        <w:t xml:space="preserve"> </w:t>
      </w:r>
      <w:r w:rsidRPr="00EE55BF">
        <w:rPr>
          <w:rFonts w:cs="Arial"/>
          <w:rtl/>
        </w:rPr>
        <w:t>משמע אבל השליך קיסם מועיל גם בבשולי ע</w:t>
      </w:r>
      <w:r>
        <w:rPr>
          <w:rFonts w:cs="Arial" w:hint="cs"/>
          <w:rtl/>
        </w:rPr>
        <w:t>כו"ם,</w:t>
      </w:r>
      <w:r w:rsidRPr="00EE55BF">
        <w:rPr>
          <w:rFonts w:cs="Arial"/>
          <w:rtl/>
        </w:rPr>
        <w:t xml:space="preserve"> וכן הוא בסמ"ק ובאו"ה להדיא</w:t>
      </w:r>
      <w:r>
        <w:rPr>
          <w:rFonts w:cs="Arial" w:hint="cs"/>
          <w:rtl/>
        </w:rPr>
        <w:t>, ש"ך (סקי"א).</w:t>
      </w:r>
    </w:p>
  </w:footnote>
  <w:footnote w:id="2752">
    <w:p w14:paraId="04047F98" w14:textId="77777777" w:rsidR="004C5A3C" w:rsidRDefault="004C5A3C" w:rsidP="002C39F4">
      <w:pPr>
        <w:pStyle w:val="a5"/>
      </w:pPr>
      <w:r>
        <w:rPr>
          <w:rStyle w:val="a7"/>
        </w:rPr>
        <w:footnoteRef/>
      </w:r>
      <w:r>
        <w:rPr>
          <w:rtl/>
        </w:rPr>
        <w:t xml:space="preserve"> </w:t>
      </w:r>
      <w:r w:rsidRPr="001236C9">
        <w:rPr>
          <w:rFonts w:cs="Arial"/>
          <w:rtl/>
        </w:rPr>
        <w:t>כ</w:t>
      </w:r>
      <w:r>
        <w:rPr>
          <w:rFonts w:cs="Arial" w:hint="cs"/>
          <w:rtl/>
        </w:rPr>
        <w:t>"כ</w:t>
      </w:r>
      <w:r w:rsidRPr="001236C9">
        <w:rPr>
          <w:rFonts w:cs="Arial"/>
          <w:rtl/>
        </w:rPr>
        <w:t xml:space="preserve"> הרשב"א </w:t>
      </w:r>
      <w:r>
        <w:rPr>
          <w:rFonts w:cs="Arial" w:hint="cs"/>
          <w:rtl/>
        </w:rPr>
        <w:t>(תוה"ק</w:t>
      </w:r>
      <w:r w:rsidRPr="001236C9">
        <w:rPr>
          <w:rFonts w:cs="Arial"/>
          <w:rtl/>
        </w:rPr>
        <w:t xml:space="preserve"> ב"ג ש"ז צג.) וכן פירש רש"י בספ"ק דשבת (כ. ד"ה בן דרוסאי) ובכמה דוכתי</w:t>
      </w:r>
      <w:r>
        <w:rPr>
          <w:rFonts w:cs="Arial" w:hint="cs"/>
          <w:rtl/>
        </w:rPr>
        <w:t>,</w:t>
      </w:r>
      <w:r w:rsidRPr="001236C9">
        <w:rPr>
          <w:rFonts w:cs="Arial"/>
          <w:rtl/>
        </w:rPr>
        <w:t xml:space="preserve"> ואע</w:t>
      </w:r>
      <w:r>
        <w:rPr>
          <w:rFonts w:cs="Arial" w:hint="cs"/>
          <w:rtl/>
        </w:rPr>
        <w:t>"</w:t>
      </w:r>
      <w:r w:rsidRPr="001236C9">
        <w:rPr>
          <w:rFonts w:cs="Arial"/>
          <w:rtl/>
        </w:rPr>
        <w:t>פ שמדברי הרמב"ם בפ"ט מהל</w:t>
      </w:r>
      <w:r>
        <w:rPr>
          <w:rFonts w:cs="Arial" w:hint="cs"/>
          <w:rtl/>
        </w:rPr>
        <w:t>'</w:t>
      </w:r>
      <w:r w:rsidRPr="001236C9">
        <w:rPr>
          <w:rFonts w:cs="Arial"/>
          <w:rtl/>
        </w:rPr>
        <w:t xml:space="preserve"> שבת (ה"ה) נראה שהוא חצי בישולו כדי הם רש"י והרשב"א לסמוך עליהם באיסור בישולי גוים דרבנן</w:t>
      </w:r>
      <w:r>
        <w:rPr>
          <w:rFonts w:hint="cs"/>
          <w:rtl/>
        </w:rPr>
        <w:t>, ב"י.</w:t>
      </w:r>
    </w:p>
  </w:footnote>
  <w:footnote w:id="2753">
    <w:p w14:paraId="3B9FAF87" w14:textId="77777777" w:rsidR="004C5A3C" w:rsidRDefault="004C5A3C" w:rsidP="002C39F4">
      <w:pPr>
        <w:pStyle w:val="a5"/>
      </w:pPr>
      <w:r>
        <w:rPr>
          <w:rStyle w:val="a7"/>
        </w:rPr>
        <w:footnoteRef/>
      </w:r>
      <w:r>
        <w:rPr>
          <w:rtl/>
        </w:rPr>
        <w:t xml:space="preserve"> </w:t>
      </w:r>
      <w:r>
        <w:rPr>
          <w:rFonts w:cs="Arial" w:hint="cs"/>
          <w:rtl/>
        </w:rPr>
        <w:t xml:space="preserve">וכ' הב"י- </w:t>
      </w:r>
      <w:r w:rsidRPr="001236C9">
        <w:rPr>
          <w:rFonts w:cs="Arial"/>
          <w:rtl/>
        </w:rPr>
        <w:t>ומשמע מדבריו שהאריך שם בזה דל"ש לן בין נופח בפה לנופח במפוח או בשפופרת</w:t>
      </w:r>
      <w:r>
        <w:rPr>
          <w:rFonts w:cs="Arial" w:hint="cs"/>
          <w:rtl/>
        </w:rPr>
        <w:t xml:space="preserve">. עכ"ל. אך הדרכ"מ </w:t>
      </w:r>
      <w:r w:rsidRPr="00041578">
        <w:rPr>
          <w:rFonts w:cs="Arial"/>
          <w:rtl/>
        </w:rPr>
        <w:t>(</w:t>
      </w:r>
      <w:r>
        <w:rPr>
          <w:rFonts w:cs="Arial" w:hint="cs"/>
          <w:rtl/>
        </w:rPr>
        <w:t xml:space="preserve">אות </w:t>
      </w:r>
      <w:r w:rsidRPr="00041578">
        <w:rPr>
          <w:rFonts w:cs="Arial"/>
          <w:rtl/>
        </w:rPr>
        <w:t xml:space="preserve">ו) </w:t>
      </w:r>
      <w:r>
        <w:rPr>
          <w:rFonts w:cs="Arial" w:hint="cs"/>
          <w:rtl/>
        </w:rPr>
        <w:t>כ'-</w:t>
      </w:r>
      <w:r w:rsidRPr="00041578">
        <w:rPr>
          <w:rFonts w:cs="Arial"/>
          <w:rtl/>
        </w:rPr>
        <w:t>נראה לי דהואיל וכתב דניפוח הוי כאילו עשאו ביד</w:t>
      </w:r>
      <w:r>
        <w:rPr>
          <w:rFonts w:cs="Arial" w:hint="cs"/>
          <w:rtl/>
        </w:rPr>
        <w:t>,</w:t>
      </w:r>
      <w:r w:rsidRPr="00041578">
        <w:rPr>
          <w:rFonts w:cs="Arial"/>
          <w:rtl/>
        </w:rPr>
        <w:t xml:space="preserve"> א"כ לדידן דקיי</w:t>
      </w:r>
      <w:r>
        <w:rPr>
          <w:rFonts w:cs="Arial" w:hint="cs"/>
          <w:rtl/>
        </w:rPr>
        <w:t>"</w:t>
      </w:r>
      <w:r w:rsidRPr="00041578">
        <w:rPr>
          <w:rFonts w:cs="Arial"/>
          <w:rtl/>
        </w:rPr>
        <w:t>ל דחיתוי או השלכת קיסם מהני אע</w:t>
      </w:r>
      <w:r>
        <w:rPr>
          <w:rFonts w:cs="Arial" w:hint="cs"/>
          <w:rtl/>
        </w:rPr>
        <w:t>"</w:t>
      </w:r>
      <w:r w:rsidRPr="00041578">
        <w:rPr>
          <w:rFonts w:cs="Arial"/>
          <w:rtl/>
        </w:rPr>
        <w:t>ג דלא מהני כלל לקרב הבישול הוא הדין הניפוח כנ"ל</w:t>
      </w:r>
      <w:r>
        <w:rPr>
          <w:rFonts w:cs="Arial" w:hint="cs"/>
          <w:rtl/>
        </w:rPr>
        <w:t>.</w:t>
      </w:r>
    </w:p>
  </w:footnote>
  <w:footnote w:id="2754">
    <w:p w14:paraId="781DA88E" w14:textId="77777777" w:rsidR="004C5A3C" w:rsidRDefault="004C5A3C" w:rsidP="002C39F4">
      <w:pPr>
        <w:pStyle w:val="a5"/>
      </w:pPr>
      <w:r>
        <w:rPr>
          <w:rStyle w:val="a7"/>
        </w:rPr>
        <w:footnoteRef/>
      </w:r>
      <w:r>
        <w:rPr>
          <w:rtl/>
        </w:rPr>
        <w:t xml:space="preserve"> </w:t>
      </w:r>
      <w:r w:rsidRPr="000B7D9D">
        <w:rPr>
          <w:rFonts w:asciiTheme="minorBidi" w:hAnsiTheme="minorBidi" w:cs="Arial"/>
          <w:rtl/>
        </w:rPr>
        <w:t>כמ"ש הרשב"א והטו</w:t>
      </w:r>
      <w:r>
        <w:rPr>
          <w:rFonts w:asciiTheme="minorBidi" w:hAnsiTheme="minorBidi" w:cs="Arial" w:hint="cs"/>
          <w:rtl/>
        </w:rPr>
        <w:t>ר והמחבר</w:t>
      </w:r>
      <w:r w:rsidRPr="000B7D9D">
        <w:rPr>
          <w:rFonts w:asciiTheme="minorBidi" w:hAnsiTheme="minorBidi" w:cs="Arial"/>
          <w:rtl/>
        </w:rPr>
        <w:t xml:space="preserve"> בסע</w:t>
      </w:r>
      <w:r>
        <w:rPr>
          <w:rFonts w:asciiTheme="minorBidi" w:hAnsiTheme="minorBidi" w:cs="Arial" w:hint="cs"/>
          <w:rtl/>
        </w:rPr>
        <w:t>'</w:t>
      </w:r>
      <w:r w:rsidRPr="000B7D9D">
        <w:rPr>
          <w:rFonts w:asciiTheme="minorBidi" w:hAnsiTheme="minorBidi" w:cs="Arial"/>
          <w:rtl/>
        </w:rPr>
        <w:t xml:space="preserve"> י' וי"א</w:t>
      </w:r>
      <w:r>
        <w:rPr>
          <w:rFonts w:asciiTheme="minorBidi" w:hAnsiTheme="minorBidi" w:cs="Arial" w:hint="cs"/>
          <w:rtl/>
        </w:rPr>
        <w:t>, ש"ך (סקי"ב).</w:t>
      </w:r>
      <w:r w:rsidRPr="000B7D9D">
        <w:rPr>
          <w:rFonts w:asciiTheme="minorBidi" w:hAnsiTheme="minorBidi" w:cs="Arial"/>
          <w:rtl/>
        </w:rPr>
        <w:t xml:space="preserve"> </w:t>
      </w:r>
      <w:r>
        <w:rPr>
          <w:rFonts w:asciiTheme="minorBidi" w:hAnsiTheme="minorBidi" w:cs="Arial" w:hint="cs"/>
          <w:rtl/>
        </w:rPr>
        <w:t xml:space="preserve">וכ' עוד הט"ז (סק"ט)- </w:t>
      </w:r>
      <w:r w:rsidRPr="000B7D9D">
        <w:rPr>
          <w:rFonts w:asciiTheme="minorBidi" w:hAnsiTheme="minorBidi" w:cs="Arial"/>
          <w:rtl/>
        </w:rPr>
        <w:t xml:space="preserve">ונראה לי דכל שכן הוא דאסור בסילקה </w:t>
      </w:r>
      <w:r>
        <w:rPr>
          <w:rFonts w:asciiTheme="minorBidi" w:hAnsiTheme="minorBidi" w:cs="Arial" w:hint="cs"/>
          <w:rtl/>
        </w:rPr>
        <w:t>גוי</w:t>
      </w:r>
      <w:r w:rsidRPr="000B7D9D">
        <w:rPr>
          <w:rFonts w:asciiTheme="minorBidi" w:hAnsiTheme="minorBidi" w:cs="Arial"/>
          <w:rtl/>
        </w:rPr>
        <w:t xml:space="preserve"> כיון ש</w:t>
      </w:r>
      <w:r>
        <w:rPr>
          <w:rFonts w:asciiTheme="minorBidi" w:hAnsiTheme="minorBidi" w:cs="Arial" w:hint="cs"/>
          <w:rtl/>
        </w:rPr>
        <w:t>הגוי</w:t>
      </w:r>
      <w:r w:rsidRPr="000B7D9D">
        <w:rPr>
          <w:rFonts w:asciiTheme="minorBidi" w:hAnsiTheme="minorBidi" w:cs="Arial"/>
          <w:rtl/>
        </w:rPr>
        <w:t xml:space="preserve"> עצמו ביטל מעשה ישראל ועשה מחדש הכל ממילא עקר שם ישראל ממלאכה זו וזה גרע ממה שנעקרה ממילא ע"י ישראל</w:t>
      </w:r>
      <w:r>
        <w:rPr>
          <w:rFonts w:asciiTheme="minorBidi" w:hAnsiTheme="minorBidi" w:cs="Arial" w:hint="cs"/>
          <w:rtl/>
        </w:rPr>
        <w:t>,</w:t>
      </w:r>
      <w:r w:rsidRPr="000B7D9D">
        <w:rPr>
          <w:rFonts w:asciiTheme="minorBidi" w:hAnsiTheme="minorBidi" w:cs="Arial"/>
          <w:rtl/>
        </w:rPr>
        <w:t xml:space="preserve"> ואפילו אם תמצי לומר שגרע טפי אם סילקו ישראל מ"מ לא קשיא אמאי לא קמ"ל רבותא כאן דאפילו סילקו </w:t>
      </w:r>
      <w:r>
        <w:rPr>
          <w:rFonts w:asciiTheme="minorBidi" w:hAnsiTheme="minorBidi" w:cs="Arial" w:hint="cs"/>
          <w:rtl/>
        </w:rPr>
        <w:t xml:space="preserve">גוי </w:t>
      </w:r>
      <w:r w:rsidRPr="000B7D9D">
        <w:rPr>
          <w:rFonts w:asciiTheme="minorBidi" w:hAnsiTheme="minorBidi" w:cs="Arial"/>
          <w:rtl/>
        </w:rPr>
        <w:t>אסור דיש לומר דקמ"ל דאפילו בסילק ישראל אין איסור רק קודם שהגיע למאכל בן דרוסאי ולא אח"כ</w:t>
      </w:r>
      <w:r>
        <w:rPr>
          <w:rFonts w:asciiTheme="minorBidi" w:hAnsiTheme="minorBidi" w:cs="Arial" w:hint="cs"/>
          <w:rtl/>
        </w:rPr>
        <w:t>.</w:t>
      </w:r>
    </w:p>
  </w:footnote>
  <w:footnote w:id="2755">
    <w:p w14:paraId="24D8399D" w14:textId="77777777" w:rsidR="004C5A3C" w:rsidRDefault="004C5A3C" w:rsidP="002C39F4">
      <w:pPr>
        <w:pStyle w:val="a5"/>
        <w:rPr>
          <w:rtl/>
        </w:rPr>
      </w:pPr>
      <w:r>
        <w:rPr>
          <w:rStyle w:val="a7"/>
        </w:rPr>
        <w:footnoteRef/>
      </w:r>
      <w:r>
        <w:rPr>
          <w:rtl/>
        </w:rPr>
        <w:t xml:space="preserve"> </w:t>
      </w:r>
      <w:r w:rsidRPr="000B7D9D">
        <w:rPr>
          <w:rFonts w:asciiTheme="minorBidi" w:hAnsiTheme="minorBidi" w:cs="Arial"/>
          <w:rtl/>
        </w:rPr>
        <w:t>ויש לי להשיב על דבריו וכאן אין מקום להאריך כי למאי דקי"ל דאפילו הדליק ישראל האש או השליך קיסם שרי לא נ</w:t>
      </w:r>
      <w:r>
        <w:rPr>
          <w:rFonts w:asciiTheme="minorBidi" w:hAnsiTheme="minorBidi" w:cs="Arial" w:hint="cs"/>
          <w:rtl/>
        </w:rPr>
        <w:t>פ</w:t>
      </w:r>
      <w:r w:rsidRPr="000B7D9D">
        <w:rPr>
          <w:rFonts w:asciiTheme="minorBidi" w:hAnsiTheme="minorBidi" w:cs="Arial"/>
          <w:rtl/>
        </w:rPr>
        <w:t>"מ מידי בהא דפשיטא דשרי</w:t>
      </w:r>
      <w:r>
        <w:rPr>
          <w:rFonts w:asciiTheme="minorBidi" w:hAnsiTheme="minorBidi" w:cs="Arial" w:hint="cs"/>
          <w:rtl/>
        </w:rPr>
        <w:t>,</w:t>
      </w:r>
      <w:r w:rsidRPr="000B7D9D">
        <w:rPr>
          <w:rFonts w:asciiTheme="minorBidi" w:hAnsiTheme="minorBidi" w:cs="Arial"/>
          <w:rtl/>
        </w:rPr>
        <w:t xml:space="preserve"> ואף שכתבתי בס</w:t>
      </w:r>
      <w:r>
        <w:rPr>
          <w:rFonts w:asciiTheme="minorBidi" w:hAnsiTheme="minorBidi" w:cs="Arial" w:hint="cs"/>
          <w:rtl/>
        </w:rPr>
        <w:t>ק"</w:t>
      </w:r>
      <w:r w:rsidRPr="000B7D9D">
        <w:rPr>
          <w:rFonts w:asciiTheme="minorBidi" w:hAnsiTheme="minorBidi" w:cs="Arial"/>
          <w:rtl/>
        </w:rPr>
        <w:t xml:space="preserve">ח בשם הר"ן דיש לחלק מכל מקום כאן כיון דלא סלקו הישראל רק </w:t>
      </w:r>
      <w:r>
        <w:rPr>
          <w:rFonts w:asciiTheme="minorBidi" w:hAnsiTheme="minorBidi" w:cs="Arial" w:hint="cs"/>
          <w:rtl/>
        </w:rPr>
        <w:t>הגוי</w:t>
      </w:r>
      <w:r w:rsidRPr="000B7D9D">
        <w:rPr>
          <w:rFonts w:asciiTheme="minorBidi" w:hAnsiTheme="minorBidi" w:cs="Arial"/>
          <w:rtl/>
        </w:rPr>
        <w:t xml:space="preserve"> נראה דדמי מיהת לקיסם וכה"ג</w:t>
      </w:r>
      <w:r>
        <w:rPr>
          <w:rFonts w:asciiTheme="minorBidi" w:hAnsiTheme="minorBidi" w:cs="Arial" w:hint="cs"/>
          <w:rtl/>
        </w:rPr>
        <w:t xml:space="preserve">, ש"ך (סקי"ב). </w:t>
      </w:r>
      <w:r w:rsidRPr="000B7D9D">
        <w:rPr>
          <w:rFonts w:asciiTheme="minorBidi" w:hAnsiTheme="minorBidi" w:cs="Arial"/>
          <w:rtl/>
        </w:rPr>
        <w:t>ו</w:t>
      </w:r>
      <w:r>
        <w:rPr>
          <w:rFonts w:asciiTheme="minorBidi" w:hAnsiTheme="minorBidi" w:cs="Arial" w:hint="cs"/>
          <w:rtl/>
        </w:rPr>
        <w:t>גם הט"ז (סק"ט) דחה את דברי הב"ח.</w:t>
      </w:r>
    </w:p>
  </w:footnote>
  <w:footnote w:id="2756">
    <w:p w14:paraId="1626F06A" w14:textId="77777777" w:rsidR="004C5A3C" w:rsidRDefault="004C5A3C" w:rsidP="002C39F4">
      <w:pPr>
        <w:pStyle w:val="a5"/>
      </w:pPr>
      <w:r>
        <w:rPr>
          <w:rStyle w:val="a7"/>
        </w:rPr>
        <w:footnoteRef/>
      </w:r>
      <w:r>
        <w:rPr>
          <w:rtl/>
        </w:rPr>
        <w:t xml:space="preserve"> </w:t>
      </w:r>
      <w:r>
        <w:rPr>
          <w:rFonts w:cs="Arial"/>
          <w:rtl/>
        </w:rPr>
        <w:t>כלומר ואע</w:t>
      </w:r>
      <w:r>
        <w:rPr>
          <w:rFonts w:cs="Arial" w:hint="cs"/>
          <w:rtl/>
        </w:rPr>
        <w:t>"</w:t>
      </w:r>
      <w:r>
        <w:rPr>
          <w:rFonts w:cs="Arial"/>
          <w:rtl/>
        </w:rPr>
        <w:t>ג</w:t>
      </w:r>
      <w:r w:rsidRPr="00EF088B">
        <w:rPr>
          <w:rFonts w:cs="Arial"/>
          <w:rtl/>
        </w:rPr>
        <w:t xml:space="preserve"> דהתם מיבשיל ממילא אלא שהגוי קירב בבישול</w:t>
      </w:r>
      <w:r>
        <w:rPr>
          <w:rFonts w:cs="Arial" w:hint="cs"/>
          <w:rtl/>
        </w:rPr>
        <w:t>, ב"י.</w:t>
      </w:r>
    </w:p>
  </w:footnote>
  <w:footnote w:id="2757">
    <w:p w14:paraId="6EE1C4B5" w14:textId="77777777" w:rsidR="004C5A3C" w:rsidRDefault="004C5A3C" w:rsidP="002C39F4">
      <w:pPr>
        <w:pStyle w:val="a5"/>
      </w:pPr>
      <w:r>
        <w:rPr>
          <w:rStyle w:val="a7"/>
        </w:rPr>
        <w:footnoteRef/>
      </w:r>
      <w:r>
        <w:rPr>
          <w:rtl/>
        </w:rPr>
        <w:t xml:space="preserve"> </w:t>
      </w:r>
      <w:r w:rsidRPr="00750668">
        <w:rPr>
          <w:rFonts w:cs="Arial"/>
          <w:rtl/>
        </w:rPr>
        <w:t>בסל אבל הכא דמנחא אגומרי בלאו היסק דעובד כוכבים הוה מבשל לה לזמן מרובה</w:t>
      </w:r>
      <w:r>
        <w:rPr>
          <w:rFonts w:cs="Arial" w:hint="cs"/>
          <w:rtl/>
        </w:rPr>
        <w:t>, רש"י</w:t>
      </w:r>
      <w:r w:rsidRPr="00750668">
        <w:rPr>
          <w:rFonts w:cs="Arial"/>
          <w:rtl/>
        </w:rPr>
        <w:t>.</w:t>
      </w:r>
    </w:p>
  </w:footnote>
  <w:footnote w:id="2758">
    <w:p w14:paraId="6644486A" w14:textId="77777777" w:rsidR="004C5A3C" w:rsidRDefault="004C5A3C" w:rsidP="002C39F4">
      <w:pPr>
        <w:pStyle w:val="a5"/>
        <w:rPr>
          <w:rtl/>
        </w:rPr>
      </w:pPr>
      <w:r>
        <w:rPr>
          <w:rStyle w:val="a7"/>
        </w:rPr>
        <w:footnoteRef/>
      </w:r>
      <w:r>
        <w:rPr>
          <w:rtl/>
        </w:rPr>
        <w:t xml:space="preserve"> </w:t>
      </w:r>
      <w:r>
        <w:rPr>
          <w:rFonts w:cs="Arial" w:hint="cs"/>
          <w:rtl/>
        </w:rPr>
        <w:t xml:space="preserve">ר"ח </w:t>
      </w:r>
      <w:r w:rsidRPr="00CD58DC">
        <w:rPr>
          <w:rFonts w:cs="Arial" w:hint="cs"/>
          <w:sz w:val="16"/>
          <w:szCs w:val="16"/>
          <w:rtl/>
        </w:rPr>
        <w:t xml:space="preserve">(כ"כ בשמו רשב"א ור"ן) </w:t>
      </w:r>
      <w:r>
        <w:rPr>
          <w:rFonts w:cs="Arial"/>
          <w:rtl/>
        </w:rPr>
        <w:t xml:space="preserve">רשב"א </w:t>
      </w:r>
      <w:r w:rsidRPr="00CD58DC">
        <w:rPr>
          <w:rFonts w:cs="Arial"/>
          <w:sz w:val="16"/>
          <w:szCs w:val="16"/>
          <w:rtl/>
        </w:rPr>
        <w:t>(</w:t>
      </w:r>
      <w:r w:rsidRPr="00EE12FF">
        <w:rPr>
          <w:rFonts w:cs="Arial"/>
          <w:sz w:val="16"/>
          <w:szCs w:val="16"/>
          <w:rtl/>
        </w:rPr>
        <w:t>תוה"ק ב"ג ש"ז צג.</w:t>
      </w:r>
      <w:r>
        <w:rPr>
          <w:rFonts w:cs="Arial" w:hint="cs"/>
          <w:sz w:val="16"/>
          <w:szCs w:val="16"/>
          <w:rtl/>
        </w:rPr>
        <w:t xml:space="preserve">, ובארוך </w:t>
      </w:r>
      <w:r w:rsidRPr="00CD58DC">
        <w:rPr>
          <w:rFonts w:cs="Arial"/>
          <w:sz w:val="16"/>
          <w:szCs w:val="16"/>
          <w:rtl/>
        </w:rPr>
        <w:t xml:space="preserve">צה.) </w:t>
      </w:r>
      <w:r>
        <w:rPr>
          <w:rFonts w:cs="Arial" w:hint="cs"/>
          <w:rtl/>
        </w:rPr>
        <w:t xml:space="preserve">ר' יהודה </w:t>
      </w:r>
      <w:r w:rsidRPr="006E6A35">
        <w:rPr>
          <w:rFonts w:cs="Arial"/>
          <w:sz w:val="16"/>
          <w:szCs w:val="16"/>
          <w:rtl/>
        </w:rPr>
        <w:t>(</w:t>
      </w:r>
      <w:r>
        <w:rPr>
          <w:rFonts w:cs="Arial" w:hint="cs"/>
          <w:sz w:val="16"/>
          <w:szCs w:val="16"/>
          <w:rtl/>
        </w:rPr>
        <w:t>כ"כ ר"פ בשמו</w:t>
      </w:r>
      <w:r w:rsidRPr="006E6A35">
        <w:rPr>
          <w:rFonts w:cs="Arial"/>
          <w:sz w:val="16"/>
          <w:szCs w:val="16"/>
          <w:rtl/>
        </w:rPr>
        <w:t>)</w:t>
      </w:r>
      <w:r>
        <w:rPr>
          <w:rFonts w:cs="Arial" w:hint="cs"/>
          <w:rtl/>
        </w:rPr>
        <w:t xml:space="preserve"> </w:t>
      </w:r>
      <w:r>
        <w:rPr>
          <w:rFonts w:cs="Arial"/>
          <w:rtl/>
        </w:rPr>
        <w:t xml:space="preserve">ר"ן </w:t>
      </w:r>
      <w:r w:rsidRPr="00CD58DC">
        <w:rPr>
          <w:rFonts w:cs="Arial"/>
          <w:sz w:val="16"/>
          <w:szCs w:val="16"/>
          <w:rtl/>
        </w:rPr>
        <w:t xml:space="preserve">(שם: ד"ה ואינו אסור) </w:t>
      </w:r>
      <w:r>
        <w:rPr>
          <w:rFonts w:cs="Arial" w:hint="cs"/>
          <w:rtl/>
        </w:rPr>
        <w:t>ו</w:t>
      </w:r>
      <w:r>
        <w:rPr>
          <w:rFonts w:cs="Arial"/>
          <w:rtl/>
        </w:rPr>
        <w:t xml:space="preserve">ריב"ש </w:t>
      </w:r>
      <w:r w:rsidRPr="00CD58DC">
        <w:rPr>
          <w:rFonts w:cs="Arial"/>
          <w:sz w:val="16"/>
          <w:szCs w:val="16"/>
          <w:rtl/>
        </w:rPr>
        <w:t>(סי' תקיד)</w:t>
      </w:r>
      <w:r>
        <w:rPr>
          <w:rFonts w:hint="cs"/>
          <w:rtl/>
        </w:rPr>
        <w:t>.</w:t>
      </w:r>
    </w:p>
  </w:footnote>
  <w:footnote w:id="2759">
    <w:p w14:paraId="649B03AA" w14:textId="77777777" w:rsidR="004C5A3C" w:rsidRDefault="004C5A3C" w:rsidP="002C39F4">
      <w:pPr>
        <w:pStyle w:val="a5"/>
      </w:pPr>
      <w:r>
        <w:rPr>
          <w:rStyle w:val="a7"/>
        </w:rPr>
        <w:footnoteRef/>
      </w:r>
      <w:r>
        <w:rPr>
          <w:rtl/>
        </w:rPr>
        <w:t xml:space="preserve"> </w:t>
      </w:r>
      <w:r>
        <w:rPr>
          <w:rFonts w:cs="Arial"/>
          <w:rtl/>
        </w:rPr>
        <w:t>והכי נקטינן</w:t>
      </w:r>
      <w:r>
        <w:rPr>
          <w:rFonts w:cs="Arial" w:hint="cs"/>
          <w:rtl/>
        </w:rPr>
        <w:t>,</w:t>
      </w:r>
      <w:r>
        <w:rPr>
          <w:rFonts w:cs="Arial"/>
          <w:rtl/>
        </w:rPr>
        <w:t xml:space="preserve"> דדברי ר"ח דברי קבלה הם וכל שכן שהסכימו עמו הני רבוותא והרא"ש הוא יחיד</w:t>
      </w:r>
      <w:r>
        <w:rPr>
          <w:rFonts w:cs="Arial" w:hint="cs"/>
          <w:rtl/>
        </w:rPr>
        <w:t>,</w:t>
      </w:r>
      <w:r>
        <w:rPr>
          <w:rFonts w:cs="Arial"/>
          <w:rtl/>
        </w:rPr>
        <w:t xml:space="preserve"> מיהו אם הוא שעת הדחק כגון שהוא ערב שבת או ערב יום טוב או שיש הפסד מרובה בדבר כיון דמידי דרבנן הוא כדי הם הנך רבוותא דשרו לסמוך עליהם</w:t>
      </w:r>
      <w:r>
        <w:rPr>
          <w:rFonts w:cs="Arial" w:hint="cs"/>
          <w:rtl/>
        </w:rPr>
        <w:t>, ב"י.</w:t>
      </w:r>
      <w:r w:rsidRPr="00CD58DC">
        <w:rPr>
          <w:rFonts w:cs="Arial"/>
          <w:rtl/>
        </w:rPr>
        <w:t xml:space="preserve"> </w:t>
      </w:r>
      <w:r w:rsidRPr="001A01EE">
        <w:rPr>
          <w:rFonts w:cs="Arial" w:hint="cs"/>
          <w:color w:val="E36C0A" w:themeColor="accent6" w:themeShade="BF"/>
          <w:rtl/>
        </w:rPr>
        <w:t>(וכ"פ בשו"ע)</w:t>
      </w:r>
      <w:r>
        <w:rPr>
          <w:rFonts w:cs="Arial" w:hint="cs"/>
          <w:rtl/>
        </w:rPr>
        <w:t xml:space="preserve">. וכ' הדרכ"מ </w:t>
      </w:r>
      <w:r w:rsidRPr="00EF088B">
        <w:rPr>
          <w:rFonts w:cs="Arial"/>
          <w:rtl/>
        </w:rPr>
        <w:t>(</w:t>
      </w:r>
      <w:r>
        <w:rPr>
          <w:rFonts w:cs="Arial" w:hint="cs"/>
          <w:rtl/>
        </w:rPr>
        <w:t xml:space="preserve">אות </w:t>
      </w:r>
      <w:r w:rsidRPr="00EF088B">
        <w:rPr>
          <w:rFonts w:cs="Arial"/>
          <w:rtl/>
        </w:rPr>
        <w:t>ח)</w:t>
      </w:r>
      <w:r>
        <w:rPr>
          <w:rFonts w:cs="Arial" w:hint="cs"/>
          <w:rtl/>
        </w:rPr>
        <w:t>-</w:t>
      </w:r>
      <w:r w:rsidRPr="00EF088B">
        <w:rPr>
          <w:rFonts w:cs="Arial"/>
          <w:rtl/>
        </w:rPr>
        <w:t xml:space="preserve"> ותמהני עליו שכתב כיון דהרא"ש הוא יחיד בדבר זה אחרי שבעצמו כתב דרבים הסכימו עמו להתירו וכל שכן דמוהר"ם וה"ר פרץ והמרדכי שדרכן בכל מקום להחמיר והכא מקילין והמה בתראי נינהו שיש לסמוך עלייהו באיסור בישולי גוים שהוא מדרבנן</w:t>
      </w:r>
      <w:r>
        <w:rPr>
          <w:rFonts w:cs="Arial" w:hint="cs"/>
          <w:rtl/>
        </w:rPr>
        <w:t>,</w:t>
      </w:r>
      <w:r w:rsidRPr="00EF088B">
        <w:rPr>
          <w:rFonts w:cs="Arial"/>
          <w:rtl/>
        </w:rPr>
        <w:t xml:space="preserve"> וכ</w:t>
      </w:r>
      <w:r>
        <w:rPr>
          <w:rFonts w:cs="Arial" w:hint="cs"/>
          <w:rtl/>
        </w:rPr>
        <w:t>"</w:t>
      </w:r>
      <w:r w:rsidRPr="00EF088B">
        <w:rPr>
          <w:rFonts w:cs="Arial"/>
          <w:rtl/>
        </w:rPr>
        <w:t>פ ה</w:t>
      </w:r>
      <w:r>
        <w:rPr>
          <w:rFonts w:cs="Arial"/>
          <w:rtl/>
        </w:rPr>
        <w:t>או"ה</w:t>
      </w:r>
      <w:r w:rsidRPr="00EF088B">
        <w:rPr>
          <w:rFonts w:cs="Arial"/>
          <w:rtl/>
        </w:rPr>
        <w:t xml:space="preserve"> (כלל מג דין ט) דכן נוהגין</w:t>
      </w:r>
      <w:r>
        <w:rPr>
          <w:rFonts w:cs="Arial" w:hint="cs"/>
          <w:rtl/>
        </w:rPr>
        <w:t>.</w:t>
      </w:r>
      <w:r>
        <w:rPr>
          <w:rFonts w:hint="cs"/>
          <w:rtl/>
        </w:rPr>
        <w:t xml:space="preserve"> </w:t>
      </w:r>
      <w:r w:rsidRPr="001A01EE">
        <w:rPr>
          <w:rFonts w:hint="cs"/>
          <w:color w:val="00B0F0"/>
          <w:rtl/>
        </w:rPr>
        <w:t>(וכ"פ בהגה)</w:t>
      </w:r>
      <w:r>
        <w:rPr>
          <w:rFonts w:hint="cs"/>
          <w:rtl/>
        </w:rPr>
        <w:t xml:space="preserve"> (וכ"כ הש"ך </w:t>
      </w:r>
      <w:r>
        <w:rPr>
          <w:rFonts w:hint="cs"/>
          <w:sz w:val="16"/>
          <w:szCs w:val="16"/>
          <w:rtl/>
        </w:rPr>
        <w:t>[סקי"ד]</w:t>
      </w:r>
      <w:r>
        <w:rPr>
          <w:rFonts w:hint="cs"/>
          <w:rtl/>
        </w:rPr>
        <w:t>)</w:t>
      </w:r>
    </w:p>
  </w:footnote>
  <w:footnote w:id="2760">
    <w:p w14:paraId="29E885F3" w14:textId="77777777" w:rsidR="004C5A3C" w:rsidRDefault="004C5A3C" w:rsidP="002C39F4">
      <w:pPr>
        <w:pStyle w:val="a5"/>
      </w:pPr>
      <w:r>
        <w:rPr>
          <w:rStyle w:val="a7"/>
        </w:rPr>
        <w:footnoteRef/>
      </w:r>
      <w:r>
        <w:rPr>
          <w:rtl/>
        </w:rPr>
        <w:t xml:space="preserve"> </w:t>
      </w:r>
      <w:r>
        <w:rPr>
          <w:rFonts w:hint="cs"/>
          <w:rtl/>
        </w:rPr>
        <w:t>וז"ל-</w:t>
      </w:r>
      <w:r w:rsidRPr="00256829">
        <w:rPr>
          <w:rFonts w:cs="Arial"/>
          <w:sz w:val="22"/>
          <w:szCs w:val="22"/>
          <w:rtl/>
        </w:rPr>
        <w:t xml:space="preserve"> </w:t>
      </w:r>
      <w:r w:rsidRPr="00256829">
        <w:rPr>
          <w:rtl/>
        </w:rPr>
        <w:t xml:space="preserve">אפילו נאפה ביד </w:t>
      </w:r>
      <w:r w:rsidRPr="00256829">
        <w:rPr>
          <w:rFonts w:hint="cs"/>
          <w:rtl/>
        </w:rPr>
        <w:t>גוי</w:t>
      </w:r>
      <w:r w:rsidRPr="00256829">
        <w:rPr>
          <w:rtl/>
        </w:rPr>
        <w:t xml:space="preserve"> כמא</w:t>
      </w:r>
      <w:r w:rsidRPr="00256829">
        <w:rPr>
          <w:rFonts w:hint="cs"/>
          <w:rtl/>
        </w:rPr>
        <w:t>ב"ד</w:t>
      </w:r>
      <w:r w:rsidRPr="00256829">
        <w:rPr>
          <w:rtl/>
        </w:rPr>
        <w:t xml:space="preserve"> ויותר שקרוב לגמור כל אפייתו מ</w:t>
      </w:r>
      <w:r w:rsidRPr="00256829">
        <w:rPr>
          <w:rFonts w:hint="cs"/>
          <w:rtl/>
        </w:rPr>
        <w:t>"</w:t>
      </w:r>
      <w:r w:rsidRPr="00256829">
        <w:rPr>
          <w:rtl/>
        </w:rPr>
        <w:t>מ כיון שמשביח עדיין באפייתו מועיל בו חיתוי ישראל להכשירו, וסופו ביד ישראל קרינן ביה כל זמן שמשביח באפייתו</w:t>
      </w:r>
      <w:r w:rsidRPr="00256829">
        <w:rPr>
          <w:rFonts w:hint="cs"/>
          <w:rtl/>
        </w:rPr>
        <w:t>.</w:t>
      </w:r>
    </w:p>
  </w:footnote>
  <w:footnote w:id="2761">
    <w:p w14:paraId="5867720C" w14:textId="77777777" w:rsidR="004C5A3C" w:rsidRDefault="004C5A3C" w:rsidP="002C39F4">
      <w:pPr>
        <w:pStyle w:val="a5"/>
        <w:rPr>
          <w:rtl/>
        </w:rPr>
      </w:pPr>
      <w:r>
        <w:rPr>
          <w:rStyle w:val="a7"/>
        </w:rPr>
        <w:footnoteRef/>
      </w:r>
      <w:r>
        <w:rPr>
          <w:rtl/>
        </w:rPr>
        <w:t xml:space="preserve"> </w:t>
      </w:r>
      <w:r>
        <w:rPr>
          <w:rFonts w:hint="cs"/>
          <w:rtl/>
        </w:rPr>
        <w:t xml:space="preserve">כ' הרא"ש- </w:t>
      </w:r>
      <w:r w:rsidRPr="00EE12FF">
        <w:rPr>
          <w:rFonts w:cs="Arial"/>
          <w:rtl/>
        </w:rPr>
        <w:t>ראיתי מי שאסר תבשיל שבשלו גוי כמאכל בן דרוסאי וגמרו ישראל וראייתו מדשרינן היכא שבשלו ישראל כמאכל בן דרוסאי וגמרו גוי אין בו משום בישולי גוים אלמא חשיב כמבושל ואין בישול אחר בישול</w:t>
      </w:r>
      <w:r w:rsidRPr="00EE12FF">
        <w:rPr>
          <w:rFonts w:cs="Arial" w:hint="cs"/>
          <w:rtl/>
        </w:rPr>
        <w:t>,</w:t>
      </w:r>
      <w:r w:rsidRPr="00EE12FF">
        <w:rPr>
          <w:rFonts w:cs="Arial"/>
          <w:rtl/>
        </w:rPr>
        <w:t xml:space="preserve"> ולי</w:t>
      </w:r>
      <w:r>
        <w:rPr>
          <w:rFonts w:cs="Arial" w:hint="cs"/>
          <w:rtl/>
        </w:rPr>
        <w:t>-...</w:t>
      </w:r>
    </w:p>
  </w:footnote>
  <w:footnote w:id="2762">
    <w:p w14:paraId="138F2E19" w14:textId="77777777" w:rsidR="004C5A3C" w:rsidRDefault="004C5A3C" w:rsidP="002C39F4">
      <w:pPr>
        <w:pStyle w:val="a5"/>
        <w:rPr>
          <w:rtl/>
        </w:rPr>
      </w:pPr>
      <w:r>
        <w:rPr>
          <w:rStyle w:val="a7"/>
        </w:rPr>
        <w:footnoteRef/>
      </w:r>
      <w:r>
        <w:rPr>
          <w:rtl/>
        </w:rPr>
        <w:t xml:space="preserve"> </w:t>
      </w:r>
      <w:r w:rsidRPr="00EE12FF">
        <w:rPr>
          <w:rFonts w:cs="Arial"/>
          <w:rtl/>
        </w:rPr>
        <w:t>כדאמרינן גבי קרובי בישולא דגוי</w:t>
      </w:r>
      <w:r>
        <w:rPr>
          <w:rFonts w:cs="Arial" w:hint="cs"/>
          <w:rtl/>
        </w:rPr>
        <w:t>-</w:t>
      </w:r>
      <w:r w:rsidRPr="00EE12FF">
        <w:rPr>
          <w:rFonts w:cs="Arial"/>
          <w:rtl/>
        </w:rPr>
        <w:t xml:space="preserve"> לאו מלתא היא לאסור בהניח ישראל</w:t>
      </w:r>
      <w:r>
        <w:rPr>
          <w:rFonts w:cs="Arial" w:hint="cs"/>
          <w:rtl/>
        </w:rPr>
        <w:t>,</w:t>
      </w:r>
      <w:r w:rsidRPr="00EE12FF">
        <w:rPr>
          <w:rFonts w:cs="Arial"/>
          <w:rtl/>
        </w:rPr>
        <w:t xml:space="preserve"> וקרובי בישולא דישראל מהני להתיר בהניח גוי אע</w:t>
      </w:r>
      <w:r w:rsidRPr="00EE12FF">
        <w:rPr>
          <w:rFonts w:cs="Arial" w:hint="cs"/>
          <w:rtl/>
        </w:rPr>
        <w:t>"</w:t>
      </w:r>
      <w:r w:rsidRPr="00EE12FF">
        <w:rPr>
          <w:rFonts w:cs="Arial"/>
          <w:rtl/>
        </w:rPr>
        <w:t>פ שאי לא הפיך בה הוה בשיל</w:t>
      </w:r>
      <w:r w:rsidRPr="00EE12FF">
        <w:rPr>
          <w:rFonts w:cs="Arial" w:hint="cs"/>
          <w:rtl/>
        </w:rPr>
        <w:t>,</w:t>
      </w:r>
      <w:r w:rsidRPr="00EE12FF">
        <w:rPr>
          <w:rFonts w:cs="Arial"/>
          <w:rtl/>
        </w:rPr>
        <w:t xml:space="preserve"> ואין לחלק דשאני הכא שהפך ישראל קודם שראוי לאכול דא"כ בגוי נמי יאסר מטעם זה אלא ודאי קל היה להם לחכמים באיסור שלקות ואין ללמוד ק"ו</w:t>
      </w:r>
      <w:r>
        <w:rPr>
          <w:rFonts w:hint="cs"/>
          <w:rtl/>
        </w:rPr>
        <w:t>, רא"ש.</w:t>
      </w:r>
    </w:p>
  </w:footnote>
  <w:footnote w:id="2763">
    <w:p w14:paraId="76E83298" w14:textId="77777777" w:rsidR="004C5A3C" w:rsidRDefault="004C5A3C" w:rsidP="002C39F4">
      <w:pPr>
        <w:pStyle w:val="a5"/>
      </w:pPr>
      <w:r>
        <w:rPr>
          <w:rStyle w:val="a7"/>
        </w:rPr>
        <w:footnoteRef/>
      </w:r>
      <w:r>
        <w:rPr>
          <w:rtl/>
        </w:rPr>
        <w:t xml:space="preserve"> </w:t>
      </w:r>
      <w:r>
        <w:rPr>
          <w:rFonts w:cs="Arial"/>
          <w:rtl/>
        </w:rPr>
        <w:t>לטעמיה אזיל שסובר דחיתוי גחלים מועיל להוציאנו מידי בישולי גוים וכבר כתבתי שאין דעת הפוסקים כן</w:t>
      </w:r>
      <w:r>
        <w:rPr>
          <w:rFonts w:cs="Arial" w:hint="cs"/>
          <w:rtl/>
        </w:rPr>
        <w:t>, ב"י</w:t>
      </w:r>
      <w:r>
        <w:rPr>
          <w:rFonts w:cs="Arial"/>
          <w:rtl/>
        </w:rPr>
        <w:t>.</w:t>
      </w:r>
      <w:r w:rsidRPr="00041578">
        <w:rPr>
          <w:rFonts w:cs="Arial"/>
          <w:rtl/>
        </w:rPr>
        <w:t xml:space="preserve"> </w:t>
      </w:r>
    </w:p>
  </w:footnote>
  <w:footnote w:id="2764">
    <w:p w14:paraId="44E9F64B" w14:textId="77777777" w:rsidR="004C5A3C" w:rsidRDefault="004C5A3C" w:rsidP="002C39F4">
      <w:pPr>
        <w:pStyle w:val="a5"/>
      </w:pPr>
      <w:r>
        <w:rPr>
          <w:rStyle w:val="a7"/>
        </w:rPr>
        <w:footnoteRef/>
      </w:r>
      <w:r>
        <w:rPr>
          <w:rtl/>
        </w:rPr>
        <w:t xml:space="preserve"> </w:t>
      </w:r>
      <w:r w:rsidRPr="003024E5">
        <w:rPr>
          <w:rFonts w:asciiTheme="minorBidi" w:hAnsiTheme="minorBidi"/>
          <w:rtl/>
        </w:rPr>
        <w:t>טור בשם הרא"ש ור"ן ור"ף ומהר"ם ואו"ה וסמ"ק סימן שכ"ג שר' יקר עשה כן מעשה וכ"ה בכל בו וכ"פ בסה"ת ומרדכי ואגודה פא"מ ורא"ה בס' ב"ה וסמ"ג דף נ"ז ע"ב ושכן קבל מר"י ור' ירוחם ני"ז ח"ז שכן הסכימו רוב הפוסקים ולא כדת השיג הב"י בב"ה אר' ירוחם בזה עיין שם</w:t>
      </w:r>
      <w:r>
        <w:rPr>
          <w:rFonts w:asciiTheme="minorBidi" w:hAnsiTheme="minorBidi" w:hint="cs"/>
          <w:rtl/>
        </w:rPr>
        <w:t>, ציונים לרמ"א.</w:t>
      </w:r>
    </w:p>
  </w:footnote>
  <w:footnote w:id="2765">
    <w:p w14:paraId="5E9A6580" w14:textId="77777777" w:rsidR="004C5A3C" w:rsidRDefault="004C5A3C" w:rsidP="002C39F4">
      <w:pPr>
        <w:pStyle w:val="a5"/>
        <w:rPr>
          <w:rtl/>
        </w:rPr>
      </w:pPr>
      <w:r>
        <w:rPr>
          <w:rStyle w:val="a7"/>
        </w:rPr>
        <w:footnoteRef/>
      </w:r>
      <w:r>
        <w:rPr>
          <w:rtl/>
        </w:rPr>
        <w:t xml:space="preserve"> </w:t>
      </w:r>
      <w:r>
        <w:rPr>
          <w:rFonts w:cs="Arial" w:hint="cs"/>
          <w:rtl/>
        </w:rPr>
        <w:t>וכ' הב"י ד</w:t>
      </w:r>
      <w:r w:rsidRPr="00EF088B">
        <w:rPr>
          <w:rFonts w:cs="Arial"/>
          <w:rtl/>
        </w:rPr>
        <w:t>מבואר בדברי הרשב"א דהיינו בשלא היה יכול להגיע למאכל בן דרוסאי בלא הפוכו של גוי</w:t>
      </w:r>
      <w:r>
        <w:rPr>
          <w:rFonts w:cs="Arial" w:hint="cs"/>
          <w:rtl/>
        </w:rPr>
        <w:t>,</w:t>
      </w:r>
      <w:r w:rsidRPr="00EF088B">
        <w:rPr>
          <w:rFonts w:cs="Arial"/>
          <w:rtl/>
        </w:rPr>
        <w:t xml:space="preserve"> אבל אם היה יכול לבא לידי מאכל בן דרוסאי בלא הפוכו מותר</w:t>
      </w:r>
      <w:r>
        <w:rPr>
          <w:rFonts w:cs="Arial" w:hint="cs"/>
          <w:rtl/>
        </w:rPr>
        <w:t>,</w:t>
      </w:r>
      <w:r w:rsidRPr="00EF088B">
        <w:rPr>
          <w:rFonts w:cs="Arial"/>
          <w:rtl/>
        </w:rPr>
        <w:t xml:space="preserve"> ורבינו סמך על מה שכתב שלא היה ראוי להתבשל וסתם בישול במקום הזה הוא כמאכל בן דרוסאי</w:t>
      </w:r>
      <w:r>
        <w:rPr>
          <w:rFonts w:cs="Arial" w:hint="cs"/>
          <w:rtl/>
        </w:rPr>
        <w:t>,</w:t>
      </w:r>
      <w:r w:rsidRPr="00EF088B">
        <w:rPr>
          <w:rFonts w:cs="Arial"/>
          <w:rtl/>
        </w:rPr>
        <w:t xml:space="preserve"> וכבר נתבאר לעיל דלא שרינן בהיפך גוי אלא בשלא נסתלק מעל האור הא אם סלקו גוי או ישראל והחזירו גוי אסור</w:t>
      </w:r>
      <w:r>
        <w:rPr>
          <w:rFonts w:cs="Arial" w:hint="cs"/>
          <w:rtl/>
        </w:rPr>
        <w:t>.</w:t>
      </w:r>
    </w:p>
  </w:footnote>
  <w:footnote w:id="2766">
    <w:p w14:paraId="6434B990" w14:textId="77777777" w:rsidR="004C5A3C" w:rsidRDefault="004C5A3C" w:rsidP="002C39F4">
      <w:pPr>
        <w:pStyle w:val="a5"/>
      </w:pPr>
      <w:r>
        <w:rPr>
          <w:rStyle w:val="a7"/>
        </w:rPr>
        <w:footnoteRef/>
      </w:r>
      <w:r>
        <w:rPr>
          <w:rtl/>
        </w:rPr>
        <w:t xml:space="preserve"> </w:t>
      </w:r>
      <w:r>
        <w:rPr>
          <w:rFonts w:cs="Arial" w:hint="cs"/>
          <w:rtl/>
        </w:rPr>
        <w:t>עוד נתן ה</w:t>
      </w:r>
      <w:r w:rsidRPr="00EF088B">
        <w:rPr>
          <w:rFonts w:cs="Arial"/>
          <w:rtl/>
        </w:rPr>
        <w:t xml:space="preserve">רשב"א </w:t>
      </w:r>
      <w:r w:rsidRPr="00256715">
        <w:rPr>
          <w:rFonts w:cs="Arial"/>
          <w:sz w:val="16"/>
          <w:szCs w:val="16"/>
          <w:rtl/>
        </w:rPr>
        <w:t>(תוה"א ב"ג ש"ז צה.)</w:t>
      </w:r>
      <w:r w:rsidRPr="00EF088B">
        <w:rPr>
          <w:rFonts w:cs="Arial"/>
          <w:rtl/>
        </w:rPr>
        <w:t xml:space="preserve"> טעם להתיר משום דאין לגוי הנאה בסילוקו עד שנחוש לכך</w:t>
      </w:r>
      <w:r>
        <w:rPr>
          <w:rFonts w:cs="Arial" w:hint="cs"/>
          <w:rtl/>
        </w:rPr>
        <w:t>,</w:t>
      </w:r>
      <w:r w:rsidRPr="00EF088B">
        <w:rPr>
          <w:rFonts w:cs="Arial"/>
          <w:rtl/>
        </w:rPr>
        <w:t xml:space="preserve"> ועוד שמעינן לה מדתניא ישראל שהניח בשר על גבי גחלים ובא גוי והפך בו עד שיבא מבית הכנסת או מבית המדרש ואינו חושש וכן אשה ששפתה קדרה ע"ג כירה וכו'</w:t>
      </w:r>
      <w:r>
        <w:rPr>
          <w:rFonts w:cs="Arial" w:hint="cs"/>
          <w:rtl/>
        </w:rPr>
        <w:t>,</w:t>
      </w:r>
      <w:r w:rsidRPr="00EF088B">
        <w:rPr>
          <w:rFonts w:cs="Arial"/>
          <w:rtl/>
        </w:rPr>
        <w:t xml:space="preserve"> וסתמא דמילתא שאין שם שומר שיודע אם סלקו מע"ג האש היא מתניתא</w:t>
      </w:r>
      <w:r>
        <w:rPr>
          <w:rFonts w:cs="Arial" w:hint="cs"/>
          <w:rtl/>
        </w:rPr>
        <w:t>,</w:t>
      </w:r>
      <w:r w:rsidRPr="00EF088B">
        <w:rPr>
          <w:rFonts w:cs="Arial"/>
          <w:rtl/>
        </w:rPr>
        <w:t xml:space="preserve"> וגם ר"ח </w:t>
      </w:r>
      <w:r w:rsidRPr="00256715">
        <w:rPr>
          <w:rFonts w:cs="Arial"/>
          <w:sz w:val="16"/>
          <w:szCs w:val="16"/>
          <w:rtl/>
        </w:rPr>
        <w:t>(ע"ז לח</w:t>
      </w:r>
      <w:r w:rsidRPr="00256715">
        <w:rPr>
          <w:rFonts w:cs="Arial" w:hint="cs"/>
          <w:sz w:val="16"/>
          <w:szCs w:val="16"/>
          <w:rtl/>
        </w:rPr>
        <w:t>.</w:t>
      </w:r>
      <w:r w:rsidRPr="00256715">
        <w:rPr>
          <w:rFonts w:cs="Arial"/>
          <w:sz w:val="16"/>
          <w:szCs w:val="16"/>
          <w:rtl/>
        </w:rPr>
        <w:t xml:space="preserve"> בגליון)</w:t>
      </w:r>
      <w:r w:rsidRPr="00EF088B">
        <w:rPr>
          <w:rFonts w:cs="Arial"/>
          <w:rtl/>
        </w:rPr>
        <w:t xml:space="preserve"> כן פירש</w:t>
      </w:r>
      <w:r>
        <w:rPr>
          <w:rFonts w:cs="Arial" w:hint="cs"/>
          <w:rtl/>
        </w:rPr>
        <w:t>,</w:t>
      </w:r>
      <w:r w:rsidRPr="00EF088B">
        <w:rPr>
          <w:rFonts w:cs="Arial"/>
          <w:rtl/>
        </w:rPr>
        <w:t xml:space="preserve"> והני מילי דליכא חשש דחליף ליה</w:t>
      </w:r>
      <w:r>
        <w:rPr>
          <w:rFonts w:cs="Arial" w:hint="cs"/>
          <w:rtl/>
        </w:rPr>
        <w:t>,</w:t>
      </w:r>
      <w:r w:rsidRPr="00EF088B">
        <w:rPr>
          <w:rFonts w:cs="Arial"/>
          <w:rtl/>
        </w:rPr>
        <w:t xml:space="preserve"> כגון שיש שומר עליה שלא תחליף או שסגר הדלת עליה ונעל בפניה כראוי שלא תוכל לצאת ולהביא דבר האיסור ולהחליף</w:t>
      </w:r>
      <w:r>
        <w:rPr>
          <w:rFonts w:cs="Arial" w:hint="cs"/>
          <w:rtl/>
        </w:rPr>
        <w:t>,</w:t>
      </w:r>
      <w:r w:rsidRPr="00EF088B">
        <w:rPr>
          <w:rFonts w:cs="Arial"/>
          <w:rtl/>
        </w:rPr>
        <w:t xml:space="preserve"> וכגון שיודע שאין עתה בבית שום דבר איסור</w:t>
      </w:r>
      <w:r>
        <w:rPr>
          <w:rFonts w:cs="Arial" w:hint="cs"/>
          <w:rtl/>
        </w:rPr>
        <w:t>,</w:t>
      </w:r>
      <w:r w:rsidRPr="00EF088B">
        <w:rPr>
          <w:rFonts w:cs="Arial"/>
          <w:rtl/>
        </w:rPr>
        <w:t xml:space="preserve"> אלמא כל היכא דליכא למיחש לחלופי לא חיישינן דילמא סלקה גוי והחזירה עכ"ל</w:t>
      </w:r>
      <w:r>
        <w:rPr>
          <w:rFonts w:cs="Arial" w:hint="cs"/>
          <w:rtl/>
        </w:rPr>
        <w:t xml:space="preserve"> </w:t>
      </w:r>
      <w:r>
        <w:rPr>
          <w:rFonts w:cs="Arial" w:hint="cs"/>
          <w:sz w:val="16"/>
          <w:szCs w:val="16"/>
          <w:rtl/>
        </w:rPr>
        <w:t>{</w:t>
      </w:r>
      <w:r w:rsidRPr="00256715">
        <w:rPr>
          <w:rFonts w:cs="Arial" w:hint="cs"/>
          <w:sz w:val="16"/>
          <w:szCs w:val="16"/>
          <w:rtl/>
        </w:rPr>
        <w:t>הרשב"א}</w:t>
      </w:r>
      <w:r>
        <w:rPr>
          <w:rFonts w:cs="Arial" w:hint="cs"/>
          <w:rtl/>
        </w:rPr>
        <w:t>, ב"י.</w:t>
      </w:r>
    </w:p>
  </w:footnote>
  <w:footnote w:id="2767">
    <w:p w14:paraId="55BFAFE3" w14:textId="77777777" w:rsidR="004C5A3C" w:rsidRDefault="004C5A3C" w:rsidP="002C39F4">
      <w:pPr>
        <w:pStyle w:val="a5"/>
      </w:pPr>
      <w:r>
        <w:rPr>
          <w:rStyle w:val="a7"/>
        </w:rPr>
        <w:footnoteRef/>
      </w:r>
      <w:r>
        <w:rPr>
          <w:rtl/>
        </w:rPr>
        <w:t xml:space="preserve"> </w:t>
      </w:r>
      <w:r w:rsidRPr="001A5BC3">
        <w:rPr>
          <w:rFonts w:cs="Arial"/>
          <w:rtl/>
        </w:rPr>
        <w:t>והוא בענין שאין לחוש בו שהחליפן העובד כוכבים</w:t>
      </w:r>
      <w:r>
        <w:rPr>
          <w:rFonts w:cs="Arial" w:hint="cs"/>
          <w:rtl/>
        </w:rPr>
        <w:t>,</w:t>
      </w:r>
      <w:r w:rsidRPr="001A5BC3">
        <w:rPr>
          <w:rFonts w:cs="Arial"/>
          <w:rtl/>
        </w:rPr>
        <w:t xml:space="preserve"> כ"כ הפוסקים</w:t>
      </w:r>
      <w:r>
        <w:rPr>
          <w:rFonts w:cs="Arial" w:hint="cs"/>
          <w:rtl/>
        </w:rPr>
        <w:t>,</w:t>
      </w:r>
      <w:r w:rsidRPr="001A5BC3">
        <w:rPr>
          <w:rFonts w:cs="Arial"/>
          <w:rtl/>
        </w:rPr>
        <w:t xml:space="preserve"> ופשוט הוא</w:t>
      </w:r>
      <w:r>
        <w:rPr>
          <w:rFonts w:cs="Arial" w:hint="cs"/>
          <w:rtl/>
        </w:rPr>
        <w:t>,</w:t>
      </w:r>
      <w:r w:rsidRPr="001A5BC3">
        <w:rPr>
          <w:rFonts w:cs="Arial"/>
          <w:rtl/>
        </w:rPr>
        <w:t xml:space="preserve"> וע"ל סי' קיח סע</w:t>
      </w:r>
      <w:r>
        <w:rPr>
          <w:rFonts w:cs="Arial" w:hint="cs"/>
          <w:rtl/>
        </w:rPr>
        <w:t>'</w:t>
      </w:r>
      <w:r w:rsidRPr="001A5BC3">
        <w:rPr>
          <w:rFonts w:cs="Arial"/>
          <w:rtl/>
        </w:rPr>
        <w:t xml:space="preserve"> י</w:t>
      </w:r>
      <w:r>
        <w:rPr>
          <w:rFonts w:cs="Arial" w:hint="cs"/>
          <w:rtl/>
        </w:rPr>
        <w:t>, ש"ך (סקט"ו).</w:t>
      </w:r>
    </w:p>
  </w:footnote>
  <w:footnote w:id="2768">
    <w:p w14:paraId="35CB8ADB" w14:textId="77777777" w:rsidR="004C5A3C" w:rsidRDefault="004C5A3C" w:rsidP="002C39F4">
      <w:pPr>
        <w:pStyle w:val="a5"/>
      </w:pPr>
      <w:r>
        <w:rPr>
          <w:rStyle w:val="a7"/>
        </w:rPr>
        <w:footnoteRef/>
      </w:r>
      <w:r>
        <w:rPr>
          <w:rtl/>
        </w:rPr>
        <w:t xml:space="preserve"> </w:t>
      </w:r>
      <w:r w:rsidRPr="001A5BC3">
        <w:rPr>
          <w:rFonts w:cs="Arial"/>
          <w:rtl/>
        </w:rPr>
        <w:t>פי</w:t>
      </w:r>
      <w:r>
        <w:rPr>
          <w:rFonts w:cs="Arial" w:hint="cs"/>
          <w:rtl/>
        </w:rPr>
        <w:t>רוש</w:t>
      </w:r>
      <w:r w:rsidRPr="001A5BC3">
        <w:rPr>
          <w:rFonts w:cs="Arial"/>
          <w:rtl/>
        </w:rPr>
        <w:t xml:space="preserve"> שיש ספק אם חיתה ישראל באור או לא</w:t>
      </w:r>
      <w:r>
        <w:rPr>
          <w:rFonts w:cs="Arial" w:hint="cs"/>
          <w:rtl/>
        </w:rPr>
        <w:t>, ט"ז (סקי"א).</w:t>
      </w:r>
    </w:p>
  </w:footnote>
  <w:footnote w:id="2769">
    <w:p w14:paraId="5C9AC2E8" w14:textId="77777777" w:rsidR="004C5A3C" w:rsidRPr="00C74DE2" w:rsidRDefault="004C5A3C" w:rsidP="002C39F4">
      <w:pPr>
        <w:spacing w:after="0" w:line="240" w:lineRule="auto"/>
        <w:rPr>
          <w:rFonts w:asciiTheme="minorBidi" w:hAnsiTheme="minorBidi"/>
          <w:sz w:val="20"/>
          <w:szCs w:val="20"/>
          <w:rtl/>
        </w:rPr>
      </w:pPr>
      <w:r w:rsidRPr="00C74DE2">
        <w:rPr>
          <w:rStyle w:val="a7"/>
          <w:rFonts w:asciiTheme="minorBidi" w:hAnsiTheme="minorBidi"/>
          <w:sz w:val="20"/>
          <w:szCs w:val="20"/>
        </w:rPr>
        <w:footnoteRef/>
      </w:r>
      <w:r w:rsidRPr="00C74DE2">
        <w:rPr>
          <w:rFonts w:asciiTheme="minorBidi" w:hAnsiTheme="minorBidi"/>
          <w:sz w:val="20"/>
          <w:szCs w:val="20"/>
          <w:rtl/>
        </w:rPr>
        <w:t xml:space="preserve"> </w:t>
      </w:r>
      <w:r w:rsidRPr="00C74DE2">
        <w:rPr>
          <w:rFonts w:asciiTheme="minorBidi" w:hAnsiTheme="minorBidi"/>
          <w:sz w:val="20"/>
          <w:szCs w:val="20"/>
          <w:u w:val="single"/>
          <w:rtl/>
        </w:rPr>
        <w:t>באיזה דג מליח מד</w:t>
      </w:r>
      <w:r>
        <w:rPr>
          <w:rFonts w:asciiTheme="minorBidi" w:hAnsiTheme="minorBidi" w:hint="cs"/>
          <w:sz w:val="20"/>
          <w:szCs w:val="20"/>
          <w:u w:val="single"/>
          <w:rtl/>
        </w:rPr>
        <w:t>ו</w:t>
      </w:r>
      <w:r w:rsidRPr="00C74DE2">
        <w:rPr>
          <w:rFonts w:asciiTheme="minorBidi" w:hAnsiTheme="minorBidi"/>
          <w:sz w:val="20"/>
          <w:szCs w:val="20"/>
          <w:u w:val="single"/>
          <w:rtl/>
        </w:rPr>
        <w:t xml:space="preserve">בר </w:t>
      </w:r>
      <w:r>
        <w:rPr>
          <w:rFonts w:asciiTheme="minorBidi" w:hAnsiTheme="minorBidi" w:hint="cs"/>
          <w:sz w:val="20"/>
          <w:szCs w:val="20"/>
          <w:u w:val="single"/>
          <w:rtl/>
        </w:rPr>
        <w:t>ב</w:t>
      </w:r>
      <w:r w:rsidRPr="00C74DE2">
        <w:rPr>
          <w:rFonts w:asciiTheme="minorBidi" w:hAnsiTheme="minorBidi"/>
          <w:sz w:val="20"/>
          <w:szCs w:val="20"/>
          <w:u w:val="single"/>
          <w:rtl/>
        </w:rPr>
        <w:t>גמרא:</w:t>
      </w:r>
    </w:p>
    <w:p w14:paraId="383425D5" w14:textId="77777777" w:rsidR="004C5A3C" w:rsidRPr="00C74DE2" w:rsidRDefault="004C5A3C" w:rsidP="0032102C">
      <w:pPr>
        <w:pStyle w:val="a8"/>
        <w:numPr>
          <w:ilvl w:val="0"/>
          <w:numId w:val="285"/>
        </w:numPr>
        <w:spacing w:after="0" w:line="240" w:lineRule="auto"/>
        <w:rPr>
          <w:rFonts w:asciiTheme="minorBidi" w:hAnsiTheme="minorBidi"/>
          <w:sz w:val="20"/>
          <w:szCs w:val="20"/>
        </w:rPr>
      </w:pPr>
      <w:r w:rsidRPr="00C74DE2">
        <w:rPr>
          <w:rFonts w:asciiTheme="minorBidi" w:hAnsiTheme="minorBidi"/>
          <w:sz w:val="20"/>
          <w:szCs w:val="20"/>
          <w:rtl/>
        </w:rPr>
        <w:t xml:space="preserve">רש"י ורמב"ם </w:t>
      </w:r>
      <w:r w:rsidRPr="00C74DE2">
        <w:rPr>
          <w:rFonts w:asciiTheme="minorBidi" w:hAnsiTheme="minorBidi"/>
          <w:sz w:val="16"/>
          <w:szCs w:val="16"/>
          <w:rtl/>
        </w:rPr>
        <w:t>(פי"ז הי"ז)</w:t>
      </w:r>
      <w:r w:rsidRPr="00C74DE2">
        <w:rPr>
          <w:rFonts w:asciiTheme="minorBidi" w:hAnsiTheme="minorBidi"/>
          <w:sz w:val="20"/>
          <w:szCs w:val="20"/>
          <w:rtl/>
        </w:rPr>
        <w:t xml:space="preserve">- דג מליח, שמלחו העובד כוכבים ובמליחתו הוא נאכל בלא בישול. חזקיה שרי, דלאו הוא בישול. ור' יוחנן אסר, דזהו בישולו </w:t>
      </w:r>
      <w:r w:rsidRPr="00C74DE2">
        <w:rPr>
          <w:rFonts w:asciiTheme="minorBidi" w:hAnsiTheme="minorBidi"/>
          <w:sz w:val="16"/>
          <w:szCs w:val="16"/>
          <w:rtl/>
        </w:rPr>
        <w:t>(ל' רש"י)</w:t>
      </w:r>
      <w:r w:rsidRPr="00C74DE2">
        <w:rPr>
          <w:rFonts w:asciiTheme="minorBidi" w:hAnsiTheme="minorBidi"/>
          <w:sz w:val="20"/>
          <w:szCs w:val="20"/>
          <w:rtl/>
        </w:rPr>
        <w:t xml:space="preserve">. </w:t>
      </w:r>
      <w:r w:rsidRPr="00EE0C0F">
        <w:rPr>
          <w:rFonts w:asciiTheme="minorBidi" w:hAnsiTheme="minorBidi" w:hint="cs"/>
          <w:sz w:val="16"/>
          <w:szCs w:val="16"/>
          <w:rtl/>
        </w:rPr>
        <w:t>(ובזה כו"ע מודי דשרי כחזקיה, וכמו שיתבאר לקמן סע' יג)</w:t>
      </w:r>
    </w:p>
    <w:p w14:paraId="439C3744" w14:textId="77777777" w:rsidR="004C5A3C" w:rsidRPr="008041CB" w:rsidRDefault="004C5A3C" w:rsidP="0032102C">
      <w:pPr>
        <w:pStyle w:val="a8"/>
        <w:numPr>
          <w:ilvl w:val="0"/>
          <w:numId w:val="285"/>
        </w:numPr>
        <w:spacing w:after="0" w:line="240" w:lineRule="auto"/>
        <w:rPr>
          <w:rFonts w:asciiTheme="minorBidi" w:hAnsiTheme="minorBidi"/>
          <w:sz w:val="20"/>
          <w:szCs w:val="20"/>
        </w:rPr>
      </w:pPr>
      <w:r w:rsidRPr="001A6937">
        <w:rPr>
          <w:rFonts w:asciiTheme="minorBidi" w:hAnsiTheme="minorBidi"/>
          <w:sz w:val="20"/>
          <w:szCs w:val="20"/>
          <w:rtl/>
        </w:rPr>
        <w:t xml:space="preserve">ראב"ד </w:t>
      </w:r>
      <w:r w:rsidRPr="001A6937">
        <w:rPr>
          <w:rFonts w:asciiTheme="minorBidi" w:hAnsiTheme="minorBidi"/>
          <w:sz w:val="16"/>
          <w:szCs w:val="16"/>
          <w:rtl/>
        </w:rPr>
        <w:t xml:space="preserve">(לח: ד"ה דג מליח) </w:t>
      </w:r>
      <w:r w:rsidRPr="001A6937">
        <w:rPr>
          <w:rFonts w:asciiTheme="minorBidi" w:hAnsiTheme="minorBidi"/>
          <w:sz w:val="20"/>
          <w:szCs w:val="20"/>
          <w:rtl/>
        </w:rPr>
        <w:t xml:space="preserve">רמב"ן </w:t>
      </w:r>
      <w:r w:rsidRPr="001A6937">
        <w:rPr>
          <w:rFonts w:asciiTheme="minorBidi" w:hAnsiTheme="minorBidi"/>
          <w:sz w:val="16"/>
          <w:szCs w:val="16"/>
          <w:rtl/>
        </w:rPr>
        <w:t>(לח: ד"ה והא דפליגי)</w:t>
      </w:r>
      <w:r w:rsidRPr="001A6937">
        <w:rPr>
          <w:rFonts w:asciiTheme="minorBidi" w:hAnsiTheme="minorBidi"/>
          <w:sz w:val="20"/>
          <w:szCs w:val="20"/>
          <w:rtl/>
        </w:rPr>
        <w:t xml:space="preserve"> </w:t>
      </w:r>
      <w:r w:rsidRPr="001A6937">
        <w:rPr>
          <w:rFonts w:asciiTheme="minorBidi" w:hAnsiTheme="minorBidi" w:hint="cs"/>
          <w:sz w:val="20"/>
          <w:szCs w:val="20"/>
          <w:rtl/>
        </w:rPr>
        <w:t>ו</w:t>
      </w:r>
      <w:r w:rsidRPr="001A6937">
        <w:rPr>
          <w:rFonts w:asciiTheme="minorBidi" w:hAnsiTheme="minorBidi"/>
          <w:sz w:val="20"/>
          <w:szCs w:val="20"/>
          <w:rtl/>
        </w:rPr>
        <w:t xml:space="preserve">ה"ר יונה </w:t>
      </w:r>
      <w:r w:rsidRPr="001A6937">
        <w:rPr>
          <w:rFonts w:asciiTheme="minorBidi" w:hAnsiTheme="minorBidi"/>
          <w:sz w:val="16"/>
          <w:szCs w:val="16"/>
          <w:rtl/>
        </w:rPr>
        <w:t>(לח: ד"ה דג מליח, כ"כ הרשב"א [ארוך שם צה:] בשמ</w:t>
      </w:r>
      <w:r w:rsidRPr="001A6937">
        <w:rPr>
          <w:rFonts w:asciiTheme="minorBidi" w:hAnsiTheme="minorBidi" w:hint="cs"/>
          <w:sz w:val="16"/>
          <w:szCs w:val="16"/>
          <w:rtl/>
        </w:rPr>
        <w:t>ם</w:t>
      </w:r>
      <w:r w:rsidRPr="001A6937">
        <w:rPr>
          <w:rFonts w:asciiTheme="minorBidi" w:hAnsiTheme="minorBidi"/>
          <w:sz w:val="16"/>
          <w:szCs w:val="16"/>
          <w:rtl/>
        </w:rPr>
        <w:t>)</w:t>
      </w:r>
      <w:r w:rsidRPr="001A6937">
        <w:rPr>
          <w:rFonts w:asciiTheme="minorBidi" w:hAnsiTheme="minorBidi"/>
          <w:sz w:val="20"/>
          <w:szCs w:val="20"/>
          <w:rtl/>
        </w:rPr>
        <w:t>- במליחה לא איפליגו דפשיטא דשריא אלא בדג מליח שצלאו גוי פליגי דחזקיה סבר כיון דנאכל כמות שהוא מלוח שרי ורבי יוחנן סבר אכילה ע"י הדחק בכי הא לא שמה אכילה.</w:t>
      </w:r>
    </w:p>
  </w:footnote>
  <w:footnote w:id="2770">
    <w:p w14:paraId="5B011234" w14:textId="77777777" w:rsidR="004C5A3C" w:rsidRDefault="004C5A3C" w:rsidP="002C39F4">
      <w:pPr>
        <w:pStyle w:val="a5"/>
        <w:rPr>
          <w:rtl/>
        </w:rPr>
      </w:pPr>
      <w:r>
        <w:rPr>
          <w:rStyle w:val="a7"/>
        </w:rPr>
        <w:footnoteRef/>
      </w:r>
      <w:r>
        <w:rPr>
          <w:rtl/>
        </w:rPr>
        <w:t xml:space="preserve"> </w:t>
      </w:r>
      <w:r>
        <w:rPr>
          <w:rFonts w:hint="cs"/>
          <w:rtl/>
        </w:rPr>
        <w:t>גם ה</w:t>
      </w:r>
      <w:r w:rsidRPr="00C74DE2">
        <w:rPr>
          <w:rFonts w:cs="Arial"/>
          <w:rtl/>
        </w:rPr>
        <w:t xml:space="preserve">רי"ף </w:t>
      </w:r>
      <w:r w:rsidRPr="00E73431">
        <w:rPr>
          <w:rFonts w:cs="Arial"/>
          <w:sz w:val="16"/>
          <w:szCs w:val="16"/>
          <w:rtl/>
        </w:rPr>
        <w:t xml:space="preserve">(טו:) </w:t>
      </w:r>
      <w:r w:rsidRPr="00C74DE2">
        <w:rPr>
          <w:rFonts w:cs="Arial"/>
          <w:rtl/>
        </w:rPr>
        <w:t>ו</w:t>
      </w:r>
      <w:r>
        <w:rPr>
          <w:rFonts w:cs="Arial" w:hint="cs"/>
          <w:rtl/>
        </w:rPr>
        <w:t>ה</w:t>
      </w:r>
      <w:r w:rsidRPr="00C74DE2">
        <w:rPr>
          <w:rFonts w:cs="Arial"/>
          <w:rtl/>
        </w:rPr>
        <w:t xml:space="preserve">רא"ש </w:t>
      </w:r>
      <w:r>
        <w:rPr>
          <w:rFonts w:cs="Arial" w:hint="cs"/>
          <w:sz w:val="16"/>
          <w:szCs w:val="16"/>
          <w:rtl/>
        </w:rPr>
        <w:t>(</w:t>
      </w:r>
      <w:r w:rsidRPr="00E73431">
        <w:rPr>
          <w:rFonts w:cs="Arial"/>
          <w:sz w:val="16"/>
          <w:szCs w:val="16"/>
          <w:rtl/>
        </w:rPr>
        <w:t>סי' לד)</w:t>
      </w:r>
      <w:r>
        <w:rPr>
          <w:rFonts w:hint="cs"/>
          <w:rtl/>
        </w:rPr>
        <w:t xml:space="preserve"> פסקו כחזקיה ובר קפרא אבל לא פרשו אי מיירי בדג שמלחו גוי </w:t>
      </w:r>
      <w:r>
        <w:rPr>
          <w:rFonts w:hint="cs"/>
          <w:sz w:val="16"/>
          <w:szCs w:val="16"/>
          <w:rtl/>
        </w:rPr>
        <w:t xml:space="preserve">(כפירוש רש"י ורמב"ם) </w:t>
      </w:r>
      <w:r>
        <w:rPr>
          <w:rFonts w:hint="cs"/>
          <w:rtl/>
        </w:rPr>
        <w:t xml:space="preserve">או דג מליח שצלאו גוי </w:t>
      </w:r>
      <w:r>
        <w:rPr>
          <w:rFonts w:hint="cs"/>
          <w:sz w:val="16"/>
          <w:szCs w:val="16"/>
          <w:rtl/>
        </w:rPr>
        <w:t>(כפירוש ראב"ד ורמב"ן)</w:t>
      </w:r>
      <w:r>
        <w:rPr>
          <w:rFonts w:hint="cs"/>
          <w:rtl/>
        </w:rPr>
        <w:t>.</w:t>
      </w:r>
    </w:p>
  </w:footnote>
  <w:footnote w:id="2771">
    <w:p w14:paraId="53244150" w14:textId="77777777" w:rsidR="004C5A3C" w:rsidRDefault="004C5A3C" w:rsidP="002C39F4">
      <w:pPr>
        <w:pStyle w:val="a5"/>
      </w:pPr>
      <w:r>
        <w:rPr>
          <w:rStyle w:val="a7"/>
        </w:rPr>
        <w:footnoteRef/>
      </w:r>
      <w:r>
        <w:rPr>
          <w:rtl/>
        </w:rPr>
        <w:t xml:space="preserve"> </w:t>
      </w:r>
      <w:r w:rsidRPr="00C74DE2">
        <w:rPr>
          <w:rFonts w:cs="Arial"/>
          <w:rtl/>
        </w:rPr>
        <w:t>והרשב"א תמה עליו שלא הוה ליה לפסוק כרבי יוחנן במקום חזקיה ובר קפרא</w:t>
      </w:r>
      <w:r>
        <w:rPr>
          <w:rFonts w:cs="Arial" w:hint="cs"/>
          <w:rtl/>
        </w:rPr>
        <w:t>.</w:t>
      </w:r>
    </w:p>
  </w:footnote>
  <w:footnote w:id="2772">
    <w:p w14:paraId="30EA6D89" w14:textId="77777777" w:rsidR="004C5A3C" w:rsidRDefault="004C5A3C" w:rsidP="002C39F4">
      <w:pPr>
        <w:pStyle w:val="a5"/>
        <w:rPr>
          <w:rtl/>
        </w:rPr>
      </w:pPr>
      <w:r>
        <w:rPr>
          <w:rStyle w:val="a7"/>
        </w:rPr>
        <w:footnoteRef/>
      </w:r>
      <w:r>
        <w:rPr>
          <w:rtl/>
        </w:rPr>
        <w:t xml:space="preserve"> </w:t>
      </w:r>
      <w:r>
        <w:rPr>
          <w:rFonts w:hint="cs"/>
          <w:rtl/>
        </w:rPr>
        <w:t>וכ' הב"י-</w:t>
      </w:r>
      <w:r w:rsidRPr="00483D5C">
        <w:rPr>
          <w:rFonts w:cs="Arial"/>
          <w:rtl/>
        </w:rPr>
        <w:t xml:space="preserve"> </w:t>
      </w:r>
      <w:r w:rsidRPr="00C74DE2">
        <w:rPr>
          <w:rFonts w:cs="Arial"/>
          <w:rtl/>
        </w:rPr>
        <w:t>ודע שזה שכתב הרשב"א לחלק בין דגים קטנים לגדולים שאלו נאכלין ע"י מלחן כמות שהן ואלו אין נאכלין אלא ע"י הדחק הכי דייק לשון רש"י</w:t>
      </w:r>
      <w:r>
        <w:rPr>
          <w:rFonts w:cs="Arial" w:hint="cs"/>
          <w:rtl/>
        </w:rPr>
        <w:t>,</w:t>
      </w:r>
      <w:r w:rsidRPr="00C74DE2">
        <w:rPr>
          <w:rFonts w:cs="Arial"/>
          <w:rtl/>
        </w:rPr>
        <w:t xml:space="preserve"> דגבי דגים קטנים מלוחין (לח. ד"ה מלוחין) כתב מלוחין נאכלין כמות שהן מחמת מלחן</w:t>
      </w:r>
      <w:r>
        <w:rPr>
          <w:rFonts w:cs="Arial" w:hint="cs"/>
          <w:rtl/>
        </w:rPr>
        <w:t>,</w:t>
      </w:r>
      <w:r w:rsidRPr="00C74DE2">
        <w:rPr>
          <w:rFonts w:cs="Arial"/>
          <w:rtl/>
        </w:rPr>
        <w:t xml:space="preserve"> וגבי דג מליח דאיפליגו ביה חזקיה ובר קפרא ורבי יוחנן כתב (לח: ד"ה דג מליח) דג שמלחו גוי ובמליחתו הוא נאכל בלא בישול</w:t>
      </w:r>
      <w:r>
        <w:rPr>
          <w:rFonts w:cs="Arial" w:hint="cs"/>
          <w:rtl/>
        </w:rPr>
        <w:t>,</w:t>
      </w:r>
      <w:r w:rsidRPr="00C74DE2">
        <w:rPr>
          <w:rFonts w:cs="Arial"/>
          <w:rtl/>
        </w:rPr>
        <w:t xml:space="preserve"> עד כאן</w:t>
      </w:r>
      <w:r>
        <w:rPr>
          <w:rFonts w:cs="Arial" w:hint="cs"/>
          <w:rtl/>
        </w:rPr>
        <w:t>,</w:t>
      </w:r>
      <w:r w:rsidRPr="00C74DE2">
        <w:rPr>
          <w:rFonts w:cs="Arial"/>
          <w:rtl/>
        </w:rPr>
        <w:t xml:space="preserve"> ומדשני בלישניה דנקט הוא נאכל בלא בישול משמע שעיקר אכילתו היא ע"י בישול אלא שכבר איפשר ליאכל בלא בישול והיינו אכילה ע"י הדחק</w:t>
      </w:r>
      <w:r>
        <w:rPr>
          <w:rFonts w:cs="Arial" w:hint="cs"/>
          <w:rtl/>
        </w:rPr>
        <w:t>,</w:t>
      </w:r>
      <w:r w:rsidRPr="00C74DE2">
        <w:rPr>
          <w:rFonts w:cs="Arial"/>
          <w:rtl/>
        </w:rPr>
        <w:t xml:space="preserve"> וכן צריך לפרש דברי הרמב"ם שכתב (פי"ז מהמ"א הט"ז) דגים קטנים שמלחן ישראל או גוי הרי הן כמו שנתבשלו מקצת בישול ואם צלאן גוי אחר כן מותרים</w:t>
      </w:r>
      <w:r>
        <w:rPr>
          <w:rFonts w:cs="Arial" w:hint="cs"/>
          <w:rtl/>
        </w:rPr>
        <w:t>,</w:t>
      </w:r>
      <w:r w:rsidRPr="00C74DE2">
        <w:rPr>
          <w:rFonts w:cs="Arial"/>
          <w:rtl/>
        </w:rPr>
        <w:t xml:space="preserve"> ואחר כן (הי"ז) כתב דג שמלחו גוי ופירות שעשנן עד שהכשירן לאכילה הרי אלו מותרים מליח אינו כרותח בגזרה זו והמעושן אינו כמבושל</w:t>
      </w:r>
      <w:r>
        <w:rPr>
          <w:rFonts w:cs="Arial" w:hint="cs"/>
          <w:sz w:val="16"/>
          <w:szCs w:val="16"/>
          <w:rtl/>
        </w:rPr>
        <w:t xml:space="preserve"> {ע"כ}</w:t>
      </w:r>
      <w:r w:rsidRPr="00C74DE2">
        <w:rPr>
          <w:rFonts w:cs="Arial"/>
          <w:rtl/>
        </w:rPr>
        <w:t>. ולכאורה קשה דהא דדג שמלחו גוי הוה ליה לאקדומי לההיא דדגים קטנים ולא עוד אלא שהפסיק ביניהם בדין הניח גוי והפך ישראל או הניח ישראל והפך גוי אלא ודאי משום דדג מליח אם צלאו גוי אסור לא הוה מצי לאקדומי לדין דגים קטנים דא</w:t>
      </w:r>
      <w:r>
        <w:rPr>
          <w:rFonts w:cs="Arial" w:hint="cs"/>
          <w:rtl/>
        </w:rPr>
        <w:t>"</w:t>
      </w:r>
      <w:r w:rsidRPr="00C74DE2">
        <w:rPr>
          <w:rFonts w:cs="Arial"/>
          <w:rtl/>
        </w:rPr>
        <w:t>כ הוה משמע דאם צלאן גוי אח"כ מותרים קאי גם לדג מליח והשתא קשה מה בין דגים קטנים לדג מליח כיון שזה וזה נאכלים מחמת מלחן הם</w:t>
      </w:r>
      <w:r>
        <w:rPr>
          <w:rFonts w:cs="Arial" w:hint="cs"/>
          <w:rtl/>
        </w:rPr>
        <w:t>,</w:t>
      </w:r>
      <w:r w:rsidRPr="00C74DE2">
        <w:rPr>
          <w:rFonts w:cs="Arial"/>
          <w:rtl/>
        </w:rPr>
        <w:t xml:space="preserve"> אלא על כרחך הוי טעמא משום דדגים קטנים מתוך רכותן ע"י מליחתן הם ראויים לאכילת כל אדם ומשום הכי צלייה דבתר מליחה לא חשיבא אבל דג מליח אינו ראוי ע"י מליחתו אלא לאכילה ע"י הדחק הלכך צלייה דבתר מליחה חשיבא</w:t>
      </w:r>
      <w:r>
        <w:rPr>
          <w:rFonts w:cs="Arial" w:hint="cs"/>
          <w:rtl/>
        </w:rPr>
        <w:t>,</w:t>
      </w:r>
      <w:r w:rsidRPr="00C74DE2">
        <w:rPr>
          <w:rFonts w:cs="Arial"/>
          <w:rtl/>
        </w:rPr>
        <w:t xml:space="preserve"> ולישניה הכי דייק נמי דגבי דגים קטנים שמלחן כתב </w:t>
      </w:r>
      <w:r>
        <w:rPr>
          <w:rFonts w:cs="Arial" w:hint="cs"/>
          <w:rtl/>
        </w:rPr>
        <w:t>'</w:t>
      </w:r>
      <w:r w:rsidRPr="00C74DE2">
        <w:rPr>
          <w:rFonts w:cs="Arial"/>
          <w:rtl/>
        </w:rPr>
        <w:t>הרי הן כמו שנתבשלו קצת</w:t>
      </w:r>
      <w:r>
        <w:rPr>
          <w:rFonts w:cs="Arial" w:hint="cs"/>
          <w:rtl/>
        </w:rPr>
        <w:t>'</w:t>
      </w:r>
      <w:r w:rsidRPr="00C74DE2">
        <w:rPr>
          <w:rFonts w:cs="Arial"/>
          <w:rtl/>
        </w:rPr>
        <w:t xml:space="preserve"> ומדנקט בהו לשון בישול משמע דראויים לאכילה הם כמו דבר שהוא מבושל קצת שהוא נאכל שלא ע"י הדחק</w:t>
      </w:r>
      <w:r>
        <w:rPr>
          <w:rFonts w:cs="Arial" w:hint="cs"/>
          <w:rtl/>
        </w:rPr>
        <w:t>,</w:t>
      </w:r>
      <w:r w:rsidRPr="00483D5C">
        <w:rPr>
          <w:rFonts w:cs="Arial"/>
          <w:rtl/>
        </w:rPr>
        <w:t xml:space="preserve"> אבל גבי דג מליח לא הזכיר לשון בישול לפי שאינו נאכל אלא ע"י דחק גדול</w:t>
      </w:r>
      <w:r>
        <w:rPr>
          <w:rFonts w:cs="Arial" w:hint="cs"/>
          <w:rtl/>
        </w:rPr>
        <w:t>,</w:t>
      </w:r>
      <w:r w:rsidRPr="00483D5C">
        <w:rPr>
          <w:rFonts w:cs="Arial"/>
          <w:rtl/>
        </w:rPr>
        <w:t xml:space="preserve"> ומה שכתב עד שהכשירן לאכילה איפשר דאפירות שעשנן קאי ולא אדג מליח ואם תמצא לומר דאדג מליח נמי קאי ע"כ לומר דהכשר כל דהו קאמר להיות נאכל אפילו ע"י הדחק כנ"ל</w:t>
      </w:r>
      <w:r>
        <w:rPr>
          <w:rFonts w:cs="Arial" w:hint="cs"/>
          <w:rtl/>
        </w:rPr>
        <w:t>.</w:t>
      </w:r>
    </w:p>
  </w:footnote>
  <w:footnote w:id="2773">
    <w:p w14:paraId="2C78E196" w14:textId="77777777" w:rsidR="004C5A3C" w:rsidRDefault="004C5A3C" w:rsidP="002C39F4">
      <w:pPr>
        <w:pStyle w:val="a5"/>
      </w:pPr>
      <w:r>
        <w:rPr>
          <w:rStyle w:val="a7"/>
        </w:rPr>
        <w:footnoteRef/>
      </w:r>
      <w:r>
        <w:rPr>
          <w:rtl/>
        </w:rPr>
        <w:t xml:space="preserve"> </w:t>
      </w:r>
      <w:r>
        <w:rPr>
          <w:rFonts w:cs="Arial" w:hint="cs"/>
          <w:rtl/>
        </w:rPr>
        <w:t>מד</w:t>
      </w:r>
      <w:r w:rsidRPr="009761CD">
        <w:rPr>
          <w:rFonts w:cs="Arial"/>
          <w:rtl/>
        </w:rPr>
        <w:t xml:space="preserve">כתב </w:t>
      </w:r>
      <w:r>
        <w:rPr>
          <w:rFonts w:cs="Arial" w:hint="cs"/>
          <w:rtl/>
        </w:rPr>
        <w:t>הטור</w:t>
      </w:r>
      <w:r w:rsidRPr="009761CD">
        <w:rPr>
          <w:rFonts w:cs="Arial"/>
          <w:rtl/>
        </w:rPr>
        <w:t xml:space="preserve"> בשר בהדי דגים קטנים</w:t>
      </w:r>
      <w:r>
        <w:rPr>
          <w:rFonts w:cs="Arial" w:hint="cs"/>
          <w:rtl/>
        </w:rPr>
        <w:t xml:space="preserve"> משמע דרצונו לומר דדין הבשר כדין </w:t>
      </w:r>
      <w:r w:rsidRPr="009761CD">
        <w:rPr>
          <w:rFonts w:cs="Arial"/>
          <w:rtl/>
        </w:rPr>
        <w:t>דגים קטנים</w:t>
      </w:r>
      <w:r>
        <w:rPr>
          <w:rFonts w:cs="Arial" w:hint="cs"/>
          <w:rtl/>
        </w:rPr>
        <w:t>, ע"פ ב"י.</w:t>
      </w:r>
    </w:p>
  </w:footnote>
  <w:footnote w:id="2774">
    <w:p w14:paraId="3472EF8A" w14:textId="77777777" w:rsidR="004C5A3C" w:rsidRPr="006A237D" w:rsidRDefault="004C5A3C" w:rsidP="002C39F4">
      <w:pPr>
        <w:pStyle w:val="a5"/>
        <w:rPr>
          <w:rFonts w:cs="Arial"/>
          <w:u w:val="single"/>
          <w:rtl/>
        </w:rPr>
      </w:pPr>
      <w:r>
        <w:rPr>
          <w:rStyle w:val="a7"/>
        </w:rPr>
        <w:footnoteRef/>
      </w:r>
      <w:r>
        <w:rPr>
          <w:rtl/>
        </w:rPr>
        <w:t xml:space="preserve"> </w:t>
      </w:r>
      <w:r w:rsidRPr="006A237D">
        <w:rPr>
          <w:rFonts w:hint="cs"/>
          <w:u w:val="single"/>
          <w:rtl/>
        </w:rPr>
        <w:t>באלו דגים קטנים מדובר</w:t>
      </w:r>
      <w:r>
        <w:rPr>
          <w:rFonts w:cs="Arial" w:hint="cs"/>
          <w:u w:val="single"/>
          <w:rtl/>
        </w:rPr>
        <w:t xml:space="preserve">, דהרי קיי"ל </w:t>
      </w:r>
      <w:r w:rsidRPr="006C63F0">
        <w:rPr>
          <w:rFonts w:cs="Arial" w:hint="cs"/>
          <w:sz w:val="16"/>
          <w:szCs w:val="16"/>
          <w:u w:val="single"/>
          <w:rtl/>
        </w:rPr>
        <w:t xml:space="preserve">(ע"ז לח.) </w:t>
      </w:r>
      <w:r>
        <w:rPr>
          <w:rFonts w:cs="Arial" w:hint="cs"/>
          <w:u w:val="single"/>
          <w:rtl/>
        </w:rPr>
        <w:t>דדגים קטנים אינם עולים על שלחן מלכים וא"כ אין בהם איסור בישולי גוים כלל</w:t>
      </w:r>
      <w:r w:rsidRPr="006A237D">
        <w:rPr>
          <w:rFonts w:cs="Arial" w:hint="cs"/>
          <w:u w:val="single"/>
          <w:rtl/>
        </w:rPr>
        <w:t>:</w:t>
      </w:r>
    </w:p>
    <w:p w14:paraId="385C55E1" w14:textId="77777777" w:rsidR="004C5A3C" w:rsidRDefault="004C5A3C" w:rsidP="0032102C">
      <w:pPr>
        <w:pStyle w:val="a5"/>
        <w:numPr>
          <w:ilvl w:val="0"/>
          <w:numId w:val="287"/>
        </w:numPr>
        <w:rPr>
          <w:rFonts w:cs="Arial"/>
        </w:rPr>
      </w:pPr>
      <w:r w:rsidRPr="006A237D">
        <w:rPr>
          <w:rFonts w:cs="Arial"/>
          <w:rtl/>
        </w:rPr>
        <w:t xml:space="preserve">תוס' </w:t>
      </w:r>
      <w:r w:rsidRPr="006A237D">
        <w:rPr>
          <w:rFonts w:cs="Arial" w:hint="cs"/>
          <w:sz w:val="16"/>
          <w:szCs w:val="16"/>
          <w:rtl/>
        </w:rPr>
        <w:t xml:space="preserve">(ע"ז לח. ד"ה דגים, הביאם הש"ך </w:t>
      </w:r>
      <w:r w:rsidRPr="006C63F0">
        <w:rPr>
          <w:rFonts w:cs="Arial" w:hint="cs"/>
          <w:sz w:val="14"/>
          <w:szCs w:val="14"/>
          <w:rtl/>
        </w:rPr>
        <w:t>[סקט"ז]</w:t>
      </w:r>
      <w:r>
        <w:rPr>
          <w:rFonts w:cs="Arial" w:hint="cs"/>
          <w:sz w:val="16"/>
          <w:szCs w:val="16"/>
          <w:rtl/>
        </w:rPr>
        <w:t xml:space="preserve"> </w:t>
      </w:r>
      <w:r w:rsidRPr="006A237D">
        <w:rPr>
          <w:rFonts w:cs="Arial" w:hint="cs"/>
          <w:sz w:val="16"/>
          <w:szCs w:val="16"/>
          <w:rtl/>
        </w:rPr>
        <w:t>וכ' שכ"כ שא"פ)</w:t>
      </w:r>
      <w:r>
        <w:rPr>
          <w:rFonts w:cs="Arial" w:hint="cs"/>
          <w:rtl/>
        </w:rPr>
        <w:t xml:space="preserve"> רש"ל</w:t>
      </w:r>
      <w:r>
        <w:rPr>
          <w:rFonts w:cs="Arial" w:hint="cs"/>
          <w:sz w:val="16"/>
          <w:szCs w:val="16"/>
          <w:rtl/>
        </w:rPr>
        <w:t xml:space="preserve"> (סי' עה סק"ב)</w:t>
      </w:r>
      <w:r>
        <w:rPr>
          <w:rFonts w:cs="Arial" w:hint="cs"/>
          <w:rtl/>
        </w:rPr>
        <w:t xml:space="preserve"> ושל"ה</w:t>
      </w:r>
      <w:r>
        <w:rPr>
          <w:rFonts w:cs="Arial" w:hint="cs"/>
          <w:sz w:val="16"/>
          <w:szCs w:val="16"/>
          <w:rtl/>
        </w:rPr>
        <w:t xml:space="preserve"> (אות ק כלל עה)</w:t>
      </w:r>
      <w:r>
        <w:rPr>
          <w:rFonts w:cs="Arial" w:hint="cs"/>
          <w:rtl/>
        </w:rPr>
        <w:t>- מדובר בדגים</w:t>
      </w:r>
      <w:r w:rsidRPr="006A237D">
        <w:rPr>
          <w:rFonts w:cs="Arial"/>
          <w:rtl/>
        </w:rPr>
        <w:t xml:space="preserve"> גדולים קצת</w:t>
      </w:r>
      <w:r>
        <w:rPr>
          <w:rFonts w:cs="Arial" w:hint="cs"/>
          <w:rtl/>
        </w:rPr>
        <w:t>.</w:t>
      </w:r>
      <w:r w:rsidRPr="006A237D">
        <w:rPr>
          <w:rFonts w:cs="Arial"/>
          <w:rtl/>
        </w:rPr>
        <w:t xml:space="preserve"> </w:t>
      </w:r>
    </w:p>
    <w:p w14:paraId="49575CEC" w14:textId="77777777" w:rsidR="004C5A3C" w:rsidRDefault="004C5A3C" w:rsidP="0032102C">
      <w:pPr>
        <w:pStyle w:val="a5"/>
        <w:numPr>
          <w:ilvl w:val="0"/>
          <w:numId w:val="287"/>
        </w:numPr>
        <w:rPr>
          <w:rFonts w:cs="Arial"/>
          <w:rtl/>
        </w:rPr>
      </w:pPr>
      <w:r>
        <w:rPr>
          <w:rFonts w:cs="Arial" w:hint="cs"/>
          <w:rtl/>
        </w:rPr>
        <w:t xml:space="preserve">ב"י- </w:t>
      </w:r>
      <w:r>
        <w:rPr>
          <w:rFonts w:cs="Arial"/>
          <w:rtl/>
        </w:rPr>
        <w:t xml:space="preserve">הא דאינן עולין על שלחן מלכים היינו קודם שמלחן אבל משמלחן עולים הם על שלחן מלכים מחמת מלחן ואפילו הכי שרו מפני שהם נאכלין כמות שהן חיים משעה שנמלחו ומדברי הרשב"א </w:t>
      </w:r>
      <w:r w:rsidRPr="006C63F0">
        <w:rPr>
          <w:rFonts w:cs="Arial"/>
          <w:sz w:val="16"/>
          <w:szCs w:val="16"/>
          <w:rtl/>
        </w:rPr>
        <w:t xml:space="preserve">(תוה"ק ב"ג ש"ז צד.) </w:t>
      </w:r>
      <w:r>
        <w:rPr>
          <w:rFonts w:cs="Arial"/>
          <w:rtl/>
        </w:rPr>
        <w:t>למדתי כן</w:t>
      </w:r>
      <w:r>
        <w:rPr>
          <w:rFonts w:cs="Arial" w:hint="cs"/>
          <w:sz w:val="16"/>
          <w:szCs w:val="16"/>
          <w:rtl/>
        </w:rPr>
        <w:t xml:space="preserve"> (ל' הב"י)</w:t>
      </w:r>
      <w:r>
        <w:rPr>
          <w:rFonts w:cs="Arial"/>
          <w:rtl/>
        </w:rPr>
        <w:t>.</w:t>
      </w:r>
    </w:p>
    <w:p w14:paraId="3794AED0" w14:textId="77777777" w:rsidR="004C5A3C" w:rsidRDefault="004C5A3C" w:rsidP="0032102C">
      <w:pPr>
        <w:pStyle w:val="a5"/>
        <w:numPr>
          <w:ilvl w:val="0"/>
          <w:numId w:val="287"/>
        </w:numPr>
      </w:pPr>
      <w:r w:rsidRPr="006A237D">
        <w:rPr>
          <w:rFonts w:cs="Arial"/>
          <w:rtl/>
        </w:rPr>
        <w:t xml:space="preserve">ב"ח </w:t>
      </w:r>
      <w:r w:rsidRPr="006A237D">
        <w:rPr>
          <w:rFonts w:cs="Arial" w:hint="cs"/>
          <w:sz w:val="16"/>
          <w:szCs w:val="16"/>
          <w:rtl/>
        </w:rPr>
        <w:t>(הביאו הש"ך)</w:t>
      </w:r>
      <w:r>
        <w:rPr>
          <w:rFonts w:cs="Arial" w:hint="cs"/>
          <w:rtl/>
        </w:rPr>
        <w:t xml:space="preserve">- </w:t>
      </w:r>
      <w:r w:rsidRPr="006A237D">
        <w:rPr>
          <w:rFonts w:cs="Arial"/>
          <w:rtl/>
        </w:rPr>
        <w:t>הא דדגים קטנים אינן עולים על שלחן מלכים היינו בדגים קטנים שגידול שלהם גדול ואותן דגים בקטנותן אינם חשובים ואינם עולים על שלחן מלכים אבל דגים קטנים שגידול שלהם לעולם קטן הם חשובי</w:t>
      </w:r>
      <w:r>
        <w:rPr>
          <w:rFonts w:cs="Arial" w:hint="cs"/>
          <w:rtl/>
        </w:rPr>
        <w:t>ם</w:t>
      </w:r>
      <w:r w:rsidRPr="006A237D">
        <w:rPr>
          <w:rFonts w:cs="Arial"/>
          <w:rtl/>
        </w:rPr>
        <w:t xml:space="preserve"> ועולים על שלחן מלכי</w:t>
      </w:r>
      <w:r>
        <w:rPr>
          <w:rFonts w:cs="Arial" w:hint="cs"/>
          <w:rtl/>
        </w:rPr>
        <w:t xml:space="preserve">ם </w:t>
      </w:r>
      <w:r>
        <w:rPr>
          <w:rFonts w:cs="Arial" w:hint="cs"/>
          <w:sz w:val="16"/>
          <w:szCs w:val="16"/>
          <w:rtl/>
        </w:rPr>
        <w:t>{ויוצא מדבריו דבגמ' ובשו"ע מיירי גם בדגים קטנים שגם בהמשך גידולם יהיו קטנים}</w:t>
      </w:r>
      <w:r>
        <w:rPr>
          <w:rFonts w:cs="Arial" w:hint="cs"/>
          <w:rtl/>
        </w:rPr>
        <w:t>.</w:t>
      </w:r>
    </w:p>
  </w:footnote>
  <w:footnote w:id="2775">
    <w:p w14:paraId="5E033CAC" w14:textId="77777777" w:rsidR="004C5A3C" w:rsidRDefault="004C5A3C" w:rsidP="002C39F4">
      <w:pPr>
        <w:pStyle w:val="a5"/>
        <w:rPr>
          <w:rtl/>
        </w:rPr>
      </w:pPr>
      <w:r>
        <w:rPr>
          <w:rStyle w:val="a7"/>
        </w:rPr>
        <w:footnoteRef/>
      </w:r>
      <w:r>
        <w:rPr>
          <w:rtl/>
        </w:rPr>
        <w:t xml:space="preserve"> </w:t>
      </w:r>
      <w:r w:rsidRPr="006C63F0">
        <w:rPr>
          <w:rFonts w:cs="Arial"/>
          <w:rtl/>
        </w:rPr>
        <w:t>בטור חשיב בשר מלוח בהדי דגים קטנים ונראה דאיהו מיירי שמלחו הרבה ונשתהה במלח זמן רב כמו שסיים הטור על זה עד שראויין לאכילה כך בלא בישול</w:t>
      </w:r>
      <w:r>
        <w:rPr>
          <w:rFonts w:hint="cs"/>
          <w:rtl/>
        </w:rPr>
        <w:t>, ט"ז (סקי"ג).</w:t>
      </w:r>
    </w:p>
  </w:footnote>
  <w:footnote w:id="2776">
    <w:p w14:paraId="3D3B8DE4" w14:textId="77777777" w:rsidR="004C5A3C" w:rsidRDefault="004C5A3C" w:rsidP="002C39F4">
      <w:pPr>
        <w:pStyle w:val="a5"/>
      </w:pPr>
      <w:r>
        <w:rPr>
          <w:rStyle w:val="a7"/>
        </w:rPr>
        <w:footnoteRef/>
      </w:r>
      <w:r>
        <w:rPr>
          <w:rtl/>
        </w:rPr>
        <w:t xml:space="preserve"> </w:t>
      </w:r>
      <w:r>
        <w:rPr>
          <w:rFonts w:cs="Arial"/>
          <w:rtl/>
        </w:rPr>
        <w:t>היינו תולדות האור אבל מליחה לא אשכחן</w:t>
      </w:r>
      <w:r>
        <w:rPr>
          <w:rFonts w:cs="Arial" w:hint="cs"/>
          <w:rtl/>
        </w:rPr>
        <w:t>, ב"י.</w:t>
      </w:r>
    </w:p>
  </w:footnote>
  <w:footnote w:id="2777">
    <w:p w14:paraId="30BF43E3" w14:textId="77777777" w:rsidR="004C5A3C" w:rsidRDefault="004C5A3C" w:rsidP="002C39F4">
      <w:pPr>
        <w:pStyle w:val="a5"/>
        <w:rPr>
          <w:rtl/>
        </w:rPr>
      </w:pPr>
      <w:r>
        <w:rPr>
          <w:rStyle w:val="a7"/>
        </w:rPr>
        <w:footnoteRef/>
      </w:r>
      <w:r>
        <w:rPr>
          <w:rtl/>
        </w:rPr>
        <w:t xml:space="preserve"> </w:t>
      </w:r>
      <w:r>
        <w:rPr>
          <w:rFonts w:cs="Arial"/>
          <w:rtl/>
        </w:rPr>
        <w:t>אלמא לא אסרו אלא ע"י האור</w:t>
      </w:r>
      <w:r>
        <w:rPr>
          <w:rFonts w:cs="Arial" w:hint="cs"/>
          <w:rtl/>
        </w:rPr>
        <w:t>,</w:t>
      </w:r>
      <w:r>
        <w:rPr>
          <w:rFonts w:cs="Arial"/>
          <w:rtl/>
        </w:rPr>
        <w:t xml:space="preserve"> וגם יש ללמוד כן מדין דגים קטנים שמלחן ודג מליח דבסמוך</w:t>
      </w:r>
      <w:r>
        <w:rPr>
          <w:rFonts w:cs="Arial" w:hint="cs"/>
          <w:rtl/>
        </w:rPr>
        <w:t>, ב"י.</w:t>
      </w:r>
    </w:p>
  </w:footnote>
  <w:footnote w:id="2778">
    <w:p w14:paraId="349C300F" w14:textId="77777777" w:rsidR="004C5A3C" w:rsidRDefault="004C5A3C" w:rsidP="002C39F4">
      <w:pPr>
        <w:pStyle w:val="a5"/>
        <w:rPr>
          <w:rtl/>
        </w:rPr>
      </w:pPr>
      <w:r>
        <w:rPr>
          <w:rStyle w:val="a7"/>
        </w:rPr>
        <w:footnoteRef/>
      </w:r>
      <w:r>
        <w:rPr>
          <w:rtl/>
        </w:rPr>
        <w:t xml:space="preserve"> </w:t>
      </w:r>
      <w:r w:rsidRPr="00EE0C0F">
        <w:rPr>
          <w:rFonts w:cs="Arial"/>
          <w:rtl/>
        </w:rPr>
        <w:t>ומיהו היינו דוקא דגים קטנים אבל דגים גדולים כ</w:t>
      </w:r>
      <w:r>
        <w:rPr>
          <w:rFonts w:cs="Arial" w:hint="cs"/>
          <w:rtl/>
        </w:rPr>
        <w:t>'</w:t>
      </w:r>
      <w:r w:rsidRPr="00EE0C0F">
        <w:rPr>
          <w:rFonts w:cs="Arial"/>
          <w:rtl/>
        </w:rPr>
        <w:t xml:space="preserve"> רבינו משפטם בסמוך</w:t>
      </w:r>
      <w:r>
        <w:rPr>
          <w:rFonts w:cs="Arial" w:hint="cs"/>
          <w:rtl/>
        </w:rPr>
        <w:t>, ב"י.</w:t>
      </w:r>
    </w:p>
  </w:footnote>
  <w:footnote w:id="2779">
    <w:p w14:paraId="66EC8C0F" w14:textId="77777777" w:rsidR="004C5A3C" w:rsidRDefault="004C5A3C" w:rsidP="002C39F4">
      <w:pPr>
        <w:pStyle w:val="a5"/>
      </w:pPr>
      <w:r>
        <w:rPr>
          <w:rStyle w:val="a7"/>
        </w:rPr>
        <w:footnoteRef/>
      </w:r>
      <w:r>
        <w:rPr>
          <w:rtl/>
        </w:rPr>
        <w:t xml:space="preserve"> </w:t>
      </w:r>
      <w:r>
        <w:rPr>
          <w:rFonts w:hint="cs"/>
          <w:rtl/>
        </w:rPr>
        <w:t>וכתב הטור ד</w:t>
      </w:r>
      <w:r>
        <w:rPr>
          <w:rFonts w:cs="Arial" w:hint="cs"/>
          <w:rtl/>
        </w:rPr>
        <w:t xml:space="preserve">לאו דוקא בפירות הדין כן אלא בכל מאכל, וז"ל- </w:t>
      </w:r>
      <w:r w:rsidRPr="001A71DD">
        <w:rPr>
          <w:rFonts w:cs="Arial"/>
          <w:rtl/>
        </w:rPr>
        <w:t>אם עושים דברים הראויים לאכילה ע"י עישון מותרים</w:t>
      </w:r>
      <w:r>
        <w:rPr>
          <w:rFonts w:cs="Arial" w:hint="cs"/>
          <w:rtl/>
        </w:rPr>
        <w:t>, עכ"ל</w:t>
      </w:r>
      <w:r>
        <w:rPr>
          <w:rFonts w:hint="cs"/>
          <w:rtl/>
        </w:rPr>
        <w:t>. וכן משמע מדברי הרשב"א והמאירי.</w:t>
      </w:r>
    </w:p>
  </w:footnote>
  <w:footnote w:id="2780">
    <w:p w14:paraId="1BC608C6" w14:textId="77777777" w:rsidR="004C5A3C" w:rsidRDefault="004C5A3C" w:rsidP="002C39F4">
      <w:pPr>
        <w:pStyle w:val="a5"/>
      </w:pPr>
      <w:r>
        <w:rPr>
          <w:rStyle w:val="a7"/>
        </w:rPr>
        <w:footnoteRef/>
      </w:r>
      <w:r>
        <w:rPr>
          <w:rtl/>
        </w:rPr>
        <w:t xml:space="preserve"> </w:t>
      </w:r>
      <w:r>
        <w:rPr>
          <w:rFonts w:cs="Arial" w:hint="cs"/>
          <w:rtl/>
        </w:rPr>
        <w:t>וכ' הש"ך (סקי"ח)- ו</w:t>
      </w:r>
      <w:r w:rsidRPr="00187461">
        <w:rPr>
          <w:rFonts w:cs="Arial"/>
          <w:rtl/>
        </w:rPr>
        <w:t>לכאורה משמע דקאי גם אדגים קטנים</w:t>
      </w:r>
      <w:r>
        <w:rPr>
          <w:rFonts w:cs="Arial" w:hint="cs"/>
          <w:rtl/>
        </w:rPr>
        <w:t>,</w:t>
      </w:r>
      <w:r w:rsidRPr="00187461">
        <w:rPr>
          <w:rFonts w:cs="Arial"/>
          <w:rtl/>
        </w:rPr>
        <w:t xml:space="preserve"> אבל באו"ה </w:t>
      </w:r>
      <w:r>
        <w:rPr>
          <w:rFonts w:cs="Arial" w:hint="cs"/>
          <w:rtl/>
        </w:rPr>
        <w:t>(</w:t>
      </w:r>
      <w:r w:rsidRPr="00187461">
        <w:rPr>
          <w:rFonts w:cs="Arial"/>
          <w:rtl/>
        </w:rPr>
        <w:t>כלל מג דין טז</w:t>
      </w:r>
      <w:r>
        <w:rPr>
          <w:rFonts w:cs="Arial" w:hint="cs"/>
          <w:rtl/>
        </w:rPr>
        <w:t>)</w:t>
      </w:r>
      <w:r w:rsidRPr="00187461">
        <w:rPr>
          <w:rFonts w:cs="Arial"/>
          <w:rtl/>
        </w:rPr>
        <w:t xml:space="preserve"> כתב דדגים קטנים אפילו עישנם </w:t>
      </w:r>
      <w:r>
        <w:rPr>
          <w:rFonts w:cs="Arial" w:hint="cs"/>
          <w:rtl/>
        </w:rPr>
        <w:t>גוי</w:t>
      </w:r>
      <w:r w:rsidRPr="00187461">
        <w:rPr>
          <w:rFonts w:cs="Arial"/>
          <w:rtl/>
        </w:rPr>
        <w:t xml:space="preserve"> ובשלם אח"כ שרי</w:t>
      </w:r>
      <w:r>
        <w:rPr>
          <w:rFonts w:cs="Arial" w:hint="cs"/>
          <w:rtl/>
        </w:rPr>
        <w:t>,</w:t>
      </w:r>
      <w:r w:rsidRPr="00187461">
        <w:rPr>
          <w:rFonts w:cs="Arial"/>
          <w:rtl/>
        </w:rPr>
        <w:t xml:space="preserve"> דעישון הוא שוה בכל מיניו למליחה</w:t>
      </w:r>
      <w:r>
        <w:rPr>
          <w:rFonts w:cs="Arial" w:hint="cs"/>
          <w:rtl/>
        </w:rPr>
        <w:t>,</w:t>
      </w:r>
      <w:r w:rsidRPr="00187461">
        <w:rPr>
          <w:rFonts w:cs="Arial"/>
          <w:rtl/>
        </w:rPr>
        <w:t xml:space="preserve"> ע"ש</w:t>
      </w:r>
      <w:r>
        <w:rPr>
          <w:rFonts w:cs="Arial" w:hint="cs"/>
          <w:rtl/>
        </w:rPr>
        <w:t>,</w:t>
      </w:r>
      <w:r w:rsidRPr="00187461">
        <w:rPr>
          <w:rFonts w:cs="Arial"/>
          <w:rtl/>
        </w:rPr>
        <w:t xml:space="preserve"> ולפ"ז להיש מתירין בסע</w:t>
      </w:r>
      <w:r>
        <w:rPr>
          <w:rFonts w:cs="Arial" w:hint="cs"/>
          <w:rtl/>
        </w:rPr>
        <w:t>'</w:t>
      </w:r>
      <w:r w:rsidRPr="00187461">
        <w:rPr>
          <w:rFonts w:cs="Arial"/>
          <w:rtl/>
        </w:rPr>
        <w:t xml:space="preserve"> יב דגים גדולים מלוחים שבישלם </w:t>
      </w:r>
      <w:r>
        <w:rPr>
          <w:rFonts w:cs="Arial" w:hint="cs"/>
          <w:rtl/>
        </w:rPr>
        <w:t xml:space="preserve">גוי </w:t>
      </w:r>
      <w:r w:rsidRPr="00187461">
        <w:rPr>
          <w:rFonts w:cs="Arial"/>
          <w:rtl/>
        </w:rPr>
        <w:t xml:space="preserve">ה"ה דגים גדולים מעושנים שבשלם </w:t>
      </w:r>
      <w:r>
        <w:rPr>
          <w:rFonts w:cs="Arial" w:hint="cs"/>
          <w:rtl/>
        </w:rPr>
        <w:t>גוי</w:t>
      </w:r>
      <w:r w:rsidRPr="00187461">
        <w:rPr>
          <w:rFonts w:cs="Arial"/>
          <w:rtl/>
        </w:rPr>
        <w:t xml:space="preserve"> מותרים</w:t>
      </w:r>
      <w:r>
        <w:rPr>
          <w:rFonts w:cs="Arial" w:hint="cs"/>
          <w:rtl/>
        </w:rPr>
        <w:t>,</w:t>
      </w:r>
      <w:r w:rsidRPr="00187461">
        <w:rPr>
          <w:rFonts w:cs="Arial"/>
          <w:rtl/>
        </w:rPr>
        <w:t xml:space="preserve"> וכ"כ הב"ח בקו</w:t>
      </w:r>
      <w:r>
        <w:rPr>
          <w:rFonts w:cs="Arial" w:hint="cs"/>
          <w:rtl/>
        </w:rPr>
        <w:t>"</w:t>
      </w:r>
      <w:r w:rsidRPr="00187461">
        <w:rPr>
          <w:rFonts w:cs="Arial"/>
          <w:rtl/>
        </w:rPr>
        <w:t>א</w:t>
      </w:r>
      <w:r>
        <w:rPr>
          <w:rFonts w:cs="Arial" w:hint="cs"/>
          <w:rtl/>
        </w:rPr>
        <w:t>.</w:t>
      </w:r>
    </w:p>
  </w:footnote>
  <w:footnote w:id="2781">
    <w:p w14:paraId="174B47EF" w14:textId="77777777" w:rsidR="004C5A3C" w:rsidRDefault="004C5A3C" w:rsidP="002C39F4">
      <w:pPr>
        <w:pStyle w:val="a5"/>
      </w:pPr>
      <w:r>
        <w:rPr>
          <w:rStyle w:val="a7"/>
        </w:rPr>
        <w:footnoteRef/>
      </w:r>
      <w:r>
        <w:rPr>
          <w:rtl/>
        </w:rPr>
        <w:t xml:space="preserve"> </w:t>
      </w:r>
      <w:r w:rsidRPr="000E4499">
        <w:rPr>
          <w:rFonts w:cs="Arial"/>
          <w:rtl/>
        </w:rPr>
        <w:t>הנך דבי ריש גלותא דלא הוו מעלו משום דאחמיר עלייהו</w:t>
      </w:r>
      <w:r>
        <w:rPr>
          <w:rFonts w:cs="Arial" w:hint="cs"/>
          <w:rtl/>
        </w:rPr>
        <w:t>, רש"י</w:t>
      </w:r>
      <w:r w:rsidRPr="000E4499">
        <w:rPr>
          <w:rFonts w:cs="Arial"/>
          <w:rtl/>
        </w:rPr>
        <w:t>.</w:t>
      </w:r>
    </w:p>
  </w:footnote>
  <w:footnote w:id="2782">
    <w:p w14:paraId="3E13518C" w14:textId="77777777" w:rsidR="004C5A3C" w:rsidRDefault="004C5A3C" w:rsidP="002C39F4">
      <w:pPr>
        <w:pStyle w:val="a5"/>
      </w:pPr>
      <w:r>
        <w:rPr>
          <w:rStyle w:val="a7"/>
        </w:rPr>
        <w:footnoteRef/>
      </w:r>
      <w:r>
        <w:rPr>
          <w:rtl/>
        </w:rPr>
        <w:t xml:space="preserve"> </w:t>
      </w:r>
      <w:r w:rsidRPr="0017105C">
        <w:rPr>
          <w:rFonts w:cs="Arial"/>
          <w:rtl/>
        </w:rPr>
        <w:t>הטעם דאכילה ע"י הדחק היא</w:t>
      </w:r>
      <w:r>
        <w:rPr>
          <w:rFonts w:cs="Arial" w:hint="cs"/>
          <w:rtl/>
        </w:rPr>
        <w:t>,</w:t>
      </w:r>
      <w:r w:rsidRPr="0017105C">
        <w:rPr>
          <w:rFonts w:cs="Arial"/>
          <w:rtl/>
        </w:rPr>
        <w:t xml:space="preserve"> ואף ליש מתירין דסעיף י"ב בדגים גדולים מודים כאן ובתמרים המרים דסעיף ט"ו</w:t>
      </w:r>
      <w:r>
        <w:rPr>
          <w:rFonts w:cs="Arial" w:hint="cs"/>
          <w:rtl/>
        </w:rPr>
        <w:t>,</w:t>
      </w:r>
      <w:r w:rsidRPr="0017105C">
        <w:rPr>
          <w:rFonts w:cs="Arial"/>
          <w:rtl/>
        </w:rPr>
        <w:t xml:space="preserve"> שכאן אין נאכלין אלא ע"י דוחק גדול</w:t>
      </w:r>
      <w:r>
        <w:rPr>
          <w:rFonts w:cs="Arial" w:hint="cs"/>
          <w:rtl/>
        </w:rPr>
        <w:t>,</w:t>
      </w:r>
      <w:r w:rsidRPr="0017105C">
        <w:rPr>
          <w:rFonts w:cs="Arial"/>
          <w:rtl/>
        </w:rPr>
        <w:t xml:space="preserve"> וכן סיים הטור בהדיא ע"י דוחק גדול</w:t>
      </w:r>
      <w:r>
        <w:rPr>
          <w:rFonts w:cs="Arial" w:hint="cs"/>
          <w:rtl/>
        </w:rPr>
        <w:t>, ט"ז (סקי"ד).</w:t>
      </w:r>
    </w:p>
  </w:footnote>
  <w:footnote w:id="2783">
    <w:p w14:paraId="062C4AC5" w14:textId="77777777" w:rsidR="004C5A3C" w:rsidRDefault="004C5A3C" w:rsidP="002C39F4">
      <w:pPr>
        <w:pStyle w:val="a5"/>
      </w:pPr>
      <w:r>
        <w:rPr>
          <w:rStyle w:val="a7"/>
        </w:rPr>
        <w:footnoteRef/>
      </w:r>
      <w:r>
        <w:rPr>
          <w:rtl/>
        </w:rPr>
        <w:t xml:space="preserve"> </w:t>
      </w:r>
      <w:r w:rsidRPr="00535557">
        <w:rPr>
          <w:rFonts w:cs="Arial"/>
          <w:rtl/>
        </w:rPr>
        <w:t>מתוקים ודאי שרו דאי משום בישולי עובדי כוכבים הרי נאכלין חיין</w:t>
      </w:r>
      <w:r>
        <w:rPr>
          <w:rFonts w:cs="Arial" w:hint="cs"/>
          <w:rtl/>
        </w:rPr>
        <w:t>, רש"י</w:t>
      </w:r>
      <w:r w:rsidRPr="00535557">
        <w:rPr>
          <w:rFonts w:cs="Arial"/>
          <w:rtl/>
        </w:rPr>
        <w:t>.</w:t>
      </w:r>
    </w:p>
  </w:footnote>
  <w:footnote w:id="2784">
    <w:p w14:paraId="6C3D120C" w14:textId="77777777" w:rsidR="004C5A3C" w:rsidRDefault="004C5A3C" w:rsidP="002C39F4">
      <w:pPr>
        <w:pStyle w:val="a5"/>
        <w:rPr>
          <w:rtl/>
        </w:rPr>
      </w:pPr>
      <w:r>
        <w:rPr>
          <w:rStyle w:val="a7"/>
        </w:rPr>
        <w:footnoteRef/>
      </w:r>
      <w:r>
        <w:rPr>
          <w:rtl/>
        </w:rPr>
        <w:t xml:space="preserve"> </w:t>
      </w:r>
      <w:r w:rsidRPr="00535557">
        <w:rPr>
          <w:rFonts w:cs="Arial"/>
          <w:rtl/>
        </w:rPr>
        <w:t>אינן נאכלין ובישולן ממתקן</w:t>
      </w:r>
      <w:r>
        <w:rPr>
          <w:rFonts w:cs="Arial" w:hint="cs"/>
          <w:rtl/>
        </w:rPr>
        <w:t>, רש"י</w:t>
      </w:r>
      <w:r w:rsidRPr="00535557">
        <w:rPr>
          <w:rFonts w:cs="Arial"/>
          <w:rtl/>
        </w:rPr>
        <w:t>.</w:t>
      </w:r>
    </w:p>
  </w:footnote>
  <w:footnote w:id="2785">
    <w:p w14:paraId="7DEA562F" w14:textId="77777777" w:rsidR="004C5A3C" w:rsidRDefault="004C5A3C" w:rsidP="002C39F4">
      <w:pPr>
        <w:pStyle w:val="a5"/>
        <w:rPr>
          <w:rtl/>
        </w:rPr>
      </w:pPr>
      <w:r>
        <w:rPr>
          <w:rStyle w:val="a7"/>
        </w:rPr>
        <w:footnoteRef/>
      </w:r>
      <w:r>
        <w:rPr>
          <w:rtl/>
        </w:rPr>
        <w:t xml:space="preserve"> </w:t>
      </w:r>
      <w:r w:rsidRPr="00535557">
        <w:rPr>
          <w:rFonts w:cs="Arial"/>
          <w:rtl/>
        </w:rPr>
        <w:t>נאכלין חיין ע"י הדחק</w:t>
      </w:r>
      <w:r>
        <w:rPr>
          <w:rFonts w:cs="Arial" w:hint="cs"/>
          <w:rtl/>
        </w:rPr>
        <w:t>, רש"י</w:t>
      </w:r>
      <w:r w:rsidRPr="00535557">
        <w:rPr>
          <w:rFonts w:cs="Arial"/>
          <w:rtl/>
        </w:rPr>
        <w:t>.</w:t>
      </w:r>
    </w:p>
  </w:footnote>
  <w:footnote w:id="2786">
    <w:p w14:paraId="21F944C8" w14:textId="77777777" w:rsidR="004C5A3C" w:rsidRDefault="004C5A3C" w:rsidP="002C39F4">
      <w:pPr>
        <w:pStyle w:val="a5"/>
      </w:pPr>
      <w:r>
        <w:rPr>
          <w:rStyle w:val="a7"/>
        </w:rPr>
        <w:footnoteRef/>
      </w:r>
      <w:r>
        <w:rPr>
          <w:rtl/>
        </w:rPr>
        <w:t xml:space="preserve"> </w:t>
      </w:r>
      <w:r>
        <w:rPr>
          <w:rFonts w:cs="Arial" w:hint="cs"/>
          <w:rtl/>
        </w:rPr>
        <w:t xml:space="preserve">וז"ל- </w:t>
      </w:r>
      <w:r w:rsidRPr="006A1C65">
        <w:rPr>
          <w:rFonts w:cs="Arial"/>
          <w:rtl/>
        </w:rPr>
        <w:t>אותם פנטייזא של דגים שאפאן עכו"ם שהדגים אסורים משום בשולי עכו"ם כמו כן אף העיסה מבחוץ אסורה דאע"ג דפת התירו וגם שמנונית של דגים הבלוע בה אינו בעין מ</w:t>
      </w:r>
      <w:r>
        <w:rPr>
          <w:rFonts w:cs="Arial" w:hint="cs"/>
          <w:rtl/>
        </w:rPr>
        <w:t>"</w:t>
      </w:r>
      <w:r w:rsidRPr="006A1C65">
        <w:rPr>
          <w:rFonts w:cs="Arial"/>
          <w:rtl/>
        </w:rPr>
        <w:t>מ קודם שנבלע בעיסה היה אסור ונמצא שהעיסה בלועה מאיסורא דרבנן</w:t>
      </w:r>
      <w:r>
        <w:rPr>
          <w:rFonts w:cs="Arial" w:hint="cs"/>
          <w:rtl/>
        </w:rPr>
        <w:t>.</w:t>
      </w:r>
    </w:p>
  </w:footnote>
  <w:footnote w:id="2787">
    <w:p w14:paraId="72D0824C" w14:textId="77777777" w:rsidR="004C5A3C" w:rsidRDefault="004C5A3C" w:rsidP="002C39F4">
      <w:pPr>
        <w:pStyle w:val="a5"/>
        <w:rPr>
          <w:rtl/>
        </w:rPr>
      </w:pPr>
      <w:r>
        <w:rPr>
          <w:rStyle w:val="a7"/>
        </w:rPr>
        <w:footnoteRef/>
      </w:r>
      <w:r>
        <w:rPr>
          <w:rtl/>
        </w:rPr>
        <w:t xml:space="preserve"> </w:t>
      </w:r>
      <w:r>
        <w:rPr>
          <w:rFonts w:cs="Arial" w:hint="cs"/>
          <w:rtl/>
        </w:rPr>
        <w:t>סה"ת</w:t>
      </w:r>
      <w:r w:rsidRPr="00D26CBC">
        <w:rPr>
          <w:rFonts w:cs="Arial"/>
          <w:rtl/>
        </w:rPr>
        <w:t xml:space="preserve"> </w:t>
      </w:r>
      <w:r w:rsidRPr="00CE4488">
        <w:rPr>
          <w:rFonts w:cs="Arial"/>
          <w:sz w:val="16"/>
          <w:szCs w:val="16"/>
          <w:rtl/>
        </w:rPr>
        <w:t>(סי' כ</w:t>
      </w:r>
      <w:r>
        <w:rPr>
          <w:rFonts w:cs="Arial" w:hint="cs"/>
          <w:sz w:val="16"/>
          <w:szCs w:val="16"/>
          <w:rtl/>
        </w:rPr>
        <w:t>ח</w:t>
      </w:r>
      <w:r w:rsidRPr="00CE4488">
        <w:rPr>
          <w:rFonts w:cs="Arial"/>
          <w:sz w:val="16"/>
          <w:szCs w:val="16"/>
          <w:rtl/>
        </w:rPr>
        <w:t xml:space="preserve"> </w:t>
      </w:r>
      <w:r>
        <w:rPr>
          <w:rFonts w:cs="Arial" w:hint="cs"/>
          <w:sz w:val="16"/>
          <w:szCs w:val="16"/>
          <w:rtl/>
        </w:rPr>
        <w:t>סו</w:t>
      </w:r>
      <w:r w:rsidRPr="00CE4488">
        <w:rPr>
          <w:rFonts w:cs="Arial"/>
          <w:sz w:val="16"/>
          <w:szCs w:val="16"/>
          <w:rtl/>
        </w:rPr>
        <w:t>ד"ה והא דאמרן</w:t>
      </w:r>
      <w:r>
        <w:rPr>
          <w:rFonts w:cs="Arial" w:hint="cs"/>
          <w:sz w:val="16"/>
          <w:szCs w:val="16"/>
          <w:rtl/>
        </w:rPr>
        <w:t>, להב' הרשב"א והר"ן, עי' רשד"ם [בתשו' יו"ד סי' מא] שחולק</w:t>
      </w:r>
      <w:r w:rsidRPr="00CE4488">
        <w:rPr>
          <w:rFonts w:cs="Arial"/>
          <w:sz w:val="16"/>
          <w:szCs w:val="16"/>
          <w:rtl/>
        </w:rPr>
        <w:t>)</w:t>
      </w:r>
      <w:r>
        <w:rPr>
          <w:rFonts w:cs="Arial" w:hint="cs"/>
          <w:rtl/>
        </w:rPr>
        <w:t xml:space="preserve"> </w:t>
      </w:r>
      <w:r w:rsidRPr="00D26CBC">
        <w:rPr>
          <w:rFonts w:cs="Arial"/>
          <w:rtl/>
        </w:rPr>
        <w:t xml:space="preserve">רשב"א </w:t>
      </w:r>
      <w:r w:rsidRPr="00CE4488">
        <w:rPr>
          <w:rFonts w:cs="Arial" w:hint="cs"/>
          <w:sz w:val="16"/>
          <w:szCs w:val="16"/>
          <w:rtl/>
        </w:rPr>
        <w:t xml:space="preserve">(תוה"א ב"ג ש"ז </w:t>
      </w:r>
      <w:r w:rsidRPr="00CE4488">
        <w:rPr>
          <w:rFonts w:cs="Arial"/>
          <w:sz w:val="16"/>
          <w:szCs w:val="16"/>
          <w:rtl/>
        </w:rPr>
        <w:t>צה ע"ג</w:t>
      </w:r>
      <w:r>
        <w:rPr>
          <w:rFonts w:cs="Arial" w:hint="cs"/>
          <w:sz w:val="16"/>
          <w:szCs w:val="16"/>
          <w:rtl/>
        </w:rPr>
        <w:t>, ובקצר ב"ד ש"ד לח:, והביאו הטור בסי' קכא עמ' עז</w:t>
      </w:r>
      <w:r w:rsidRPr="00CE4488">
        <w:rPr>
          <w:rFonts w:cs="Arial"/>
          <w:sz w:val="16"/>
          <w:szCs w:val="16"/>
          <w:rtl/>
        </w:rPr>
        <w:t>)</w:t>
      </w:r>
      <w:r>
        <w:rPr>
          <w:rFonts w:cs="Arial" w:hint="cs"/>
          <w:rtl/>
        </w:rPr>
        <w:t xml:space="preserve"> ור"ן </w:t>
      </w:r>
      <w:r>
        <w:rPr>
          <w:rFonts w:cs="Arial" w:hint="cs"/>
          <w:sz w:val="16"/>
          <w:szCs w:val="16"/>
          <w:rtl/>
        </w:rPr>
        <w:t>(ע"ז טו. סוד"ה קמ"ל, ובתשובה סי' ה אות יא)</w:t>
      </w:r>
      <w:r>
        <w:rPr>
          <w:rFonts w:hint="cs"/>
          <w:rtl/>
        </w:rPr>
        <w:t>.</w:t>
      </w:r>
    </w:p>
  </w:footnote>
  <w:footnote w:id="2788">
    <w:p w14:paraId="44238F0D" w14:textId="77777777" w:rsidR="004C5A3C" w:rsidRDefault="004C5A3C" w:rsidP="002C39F4">
      <w:pPr>
        <w:pStyle w:val="a5"/>
      </w:pPr>
      <w:r>
        <w:rPr>
          <w:rStyle w:val="a7"/>
        </w:rPr>
        <w:footnoteRef/>
      </w:r>
      <w:r>
        <w:rPr>
          <w:rtl/>
        </w:rPr>
        <w:t xml:space="preserve"> </w:t>
      </w:r>
      <w:r>
        <w:rPr>
          <w:rFonts w:hint="cs"/>
          <w:rtl/>
        </w:rPr>
        <w:t xml:space="preserve">עד כאן לשון הרשב"א בתוה"א, ולכאורה נראה דאין לו היתר בהגעלה ג' פעמים, אבל </w:t>
      </w:r>
      <w:r>
        <w:rPr>
          <w:rFonts w:cs="Arial" w:hint="cs"/>
          <w:rtl/>
        </w:rPr>
        <w:t xml:space="preserve">בתוה"ק (ב"ד ש"ד </w:t>
      </w:r>
      <w:r w:rsidRPr="004E069B">
        <w:rPr>
          <w:rFonts w:cs="Arial"/>
          <w:rtl/>
        </w:rPr>
        <w:t>לח</w:t>
      </w:r>
      <w:r>
        <w:rPr>
          <w:rFonts w:cs="Arial" w:hint="cs"/>
          <w:rtl/>
        </w:rPr>
        <w:t xml:space="preserve">:) כתב- </w:t>
      </w:r>
      <w:r w:rsidRPr="00CC1777">
        <w:rPr>
          <w:rFonts w:cs="Arial"/>
          <w:rtl/>
        </w:rPr>
        <w:t>אבל בלע אחד מאיסורים של דבריהם</w:t>
      </w:r>
      <w:r>
        <w:rPr>
          <w:rFonts w:cs="Arial" w:hint="cs"/>
          <w:rtl/>
        </w:rPr>
        <w:t>,</w:t>
      </w:r>
      <w:r w:rsidRPr="00CC1777">
        <w:rPr>
          <w:rFonts w:cs="Arial"/>
          <w:rtl/>
        </w:rPr>
        <w:t xml:space="preserve"> מגעילו ג' פעמים ודיו</w:t>
      </w:r>
      <w:r>
        <w:rPr>
          <w:rFonts w:cs="Arial" w:hint="cs"/>
          <w:rtl/>
        </w:rPr>
        <w:t>,</w:t>
      </w:r>
      <w:r w:rsidRPr="00CC1777">
        <w:rPr>
          <w:rFonts w:cs="Arial"/>
          <w:rtl/>
        </w:rPr>
        <w:t xml:space="preserve"> ואפשר</w:t>
      </w:r>
      <w:r w:rsidRPr="009B782B">
        <w:rPr>
          <w:rtl/>
        </w:rPr>
        <w:t xml:space="preserve"> </w:t>
      </w:r>
      <w:r w:rsidRPr="009B782B">
        <w:rPr>
          <w:rFonts w:cs="Arial"/>
          <w:rtl/>
        </w:rPr>
        <w:t>לומר שלא התירו אלא באיסורין של דבריהם שאין להם עיקר בתורה כתרומה וחלה בחוצה לארץ וכן בישולי עכו"ם</w:t>
      </w:r>
      <w:r>
        <w:rPr>
          <w:rFonts w:cs="Arial" w:hint="cs"/>
          <w:rtl/>
        </w:rPr>
        <w:t>,</w:t>
      </w:r>
      <w:r w:rsidRPr="009B782B">
        <w:rPr>
          <w:rFonts w:cs="Arial"/>
          <w:rtl/>
        </w:rPr>
        <w:t xml:space="preserve"> אבל שאר איסורים של דבריהם החמירו בהם בשל תורה</w:t>
      </w:r>
      <w:r>
        <w:rPr>
          <w:rFonts w:cs="Arial" w:hint="cs"/>
          <w:rtl/>
        </w:rPr>
        <w:t>,</w:t>
      </w:r>
      <w:r w:rsidRPr="009B782B">
        <w:rPr>
          <w:rFonts w:cs="Arial"/>
          <w:rtl/>
        </w:rPr>
        <w:t xml:space="preserve"> וראוי לחוש שלא להקל בהן.</w:t>
      </w:r>
      <w:r>
        <w:rPr>
          <w:rFonts w:cs="Arial" w:hint="cs"/>
          <w:rtl/>
        </w:rPr>
        <w:t xml:space="preserve"> עכ"ל. והביא הטור (סי' קכא עמ' עז) את דבריו אלו. ולכן כתב הב"י בסוף דבריו: מ"מ </w:t>
      </w:r>
      <w:r w:rsidRPr="00CC1777">
        <w:rPr>
          <w:rFonts w:cs="Arial"/>
          <w:rtl/>
        </w:rPr>
        <w:t>יש להקל</w:t>
      </w:r>
      <w:r>
        <w:rPr>
          <w:rFonts w:cs="Arial" w:hint="cs"/>
          <w:rtl/>
        </w:rPr>
        <w:t>-...</w:t>
      </w:r>
    </w:p>
  </w:footnote>
  <w:footnote w:id="2789">
    <w:p w14:paraId="2333BFDD" w14:textId="77777777" w:rsidR="004C5A3C" w:rsidRDefault="004C5A3C" w:rsidP="002C39F4">
      <w:pPr>
        <w:pStyle w:val="a5"/>
      </w:pPr>
      <w:r>
        <w:rPr>
          <w:rStyle w:val="a7"/>
        </w:rPr>
        <w:footnoteRef/>
      </w:r>
      <w:r>
        <w:rPr>
          <w:rtl/>
        </w:rPr>
        <w:t xml:space="preserve"> </w:t>
      </w:r>
      <w:r w:rsidRPr="001E37BC">
        <w:rPr>
          <w:rFonts w:cs="Arial"/>
          <w:rtl/>
        </w:rPr>
        <w:t>כלל עה דין יד</w:t>
      </w:r>
      <w:r>
        <w:rPr>
          <w:rFonts w:cs="Arial" w:hint="cs"/>
          <w:rtl/>
        </w:rPr>
        <w:t>,</w:t>
      </w:r>
      <w:r w:rsidRPr="001E37BC">
        <w:rPr>
          <w:rFonts w:cs="Arial"/>
          <w:rtl/>
        </w:rPr>
        <w:t xml:space="preserve"> וז"ל</w:t>
      </w:r>
      <w:r>
        <w:rPr>
          <w:rFonts w:cs="Arial" w:hint="cs"/>
          <w:rtl/>
        </w:rPr>
        <w:t>-</w:t>
      </w:r>
      <w:r w:rsidRPr="001E37BC">
        <w:rPr>
          <w:rFonts w:cs="Arial"/>
          <w:rtl/>
        </w:rPr>
        <w:t xml:space="preserve"> וכלים שבישלו בהן </w:t>
      </w:r>
      <w:r>
        <w:rPr>
          <w:rFonts w:cs="Arial" w:hint="cs"/>
          <w:rtl/>
        </w:rPr>
        <w:t>עכו"ם</w:t>
      </w:r>
      <w:r w:rsidRPr="001E37BC">
        <w:rPr>
          <w:rFonts w:cs="Arial"/>
          <w:rtl/>
        </w:rPr>
        <w:t xml:space="preserve"> אסורין</w:t>
      </w:r>
      <w:r>
        <w:rPr>
          <w:rFonts w:cs="Arial" w:hint="cs"/>
          <w:rtl/>
        </w:rPr>
        <w:t>,</w:t>
      </w:r>
      <w:r w:rsidRPr="001E37BC">
        <w:rPr>
          <w:rFonts w:cs="Arial"/>
          <w:rtl/>
        </w:rPr>
        <w:t xml:space="preserve"> לכך צריך ליזהר בשפחות ע</w:t>
      </w:r>
      <w:r>
        <w:rPr>
          <w:rFonts w:cs="Arial" w:hint="cs"/>
          <w:rtl/>
        </w:rPr>
        <w:t>כו"</w:t>
      </w:r>
      <w:r w:rsidRPr="001E37BC">
        <w:rPr>
          <w:rFonts w:cs="Arial"/>
          <w:rtl/>
        </w:rPr>
        <w:t>ם המבשלות לעצמן בבית רבן שלא יניחו ע"ג האור</w:t>
      </w:r>
      <w:r>
        <w:rPr>
          <w:rFonts w:cs="Arial" w:hint="cs"/>
          <w:rtl/>
        </w:rPr>
        <w:t>,</w:t>
      </w:r>
      <w:r w:rsidRPr="001E37BC">
        <w:rPr>
          <w:rFonts w:cs="Arial"/>
          <w:rtl/>
        </w:rPr>
        <w:t xml:space="preserve"> ואם קדמו והניחו כו' צריך הגעלה עכ"ל</w:t>
      </w:r>
      <w:r>
        <w:rPr>
          <w:rFonts w:cs="Arial" w:hint="cs"/>
          <w:rtl/>
        </w:rPr>
        <w:t>,</w:t>
      </w:r>
      <w:r w:rsidRPr="001E37BC">
        <w:rPr>
          <w:rFonts w:cs="Arial"/>
          <w:rtl/>
        </w:rPr>
        <w:t xml:space="preserve"> ו</w:t>
      </w:r>
      <w:r>
        <w:rPr>
          <w:rFonts w:cs="Arial" w:hint="cs"/>
          <w:rtl/>
        </w:rPr>
        <w:t>כ' הש"ך (סק"כ) ד</w:t>
      </w:r>
      <w:r w:rsidRPr="001E37BC">
        <w:rPr>
          <w:rFonts w:cs="Arial"/>
          <w:rtl/>
        </w:rPr>
        <w:t>אין להקשות דהא כתב שם דין י"ז דבדיעבד נוהגים להתיר אפילו התבשיל שנתבשל בבית ישראל</w:t>
      </w:r>
      <w:r>
        <w:rPr>
          <w:rFonts w:cs="Arial" w:hint="cs"/>
          <w:rtl/>
        </w:rPr>
        <w:t>,</w:t>
      </w:r>
      <w:r w:rsidRPr="001E37BC">
        <w:rPr>
          <w:rFonts w:cs="Arial"/>
          <w:rtl/>
        </w:rPr>
        <w:t xml:space="preserve"> י"ל כמ"ש בהג"ה שבסוף ס' או"ה דאע"פ שבשלה בבית ישראל אם בשלה לעצמה גרע טפי</w:t>
      </w:r>
      <w:r>
        <w:rPr>
          <w:rFonts w:cs="Arial" w:hint="cs"/>
          <w:rtl/>
        </w:rPr>
        <w:t>,</w:t>
      </w:r>
      <w:r w:rsidRPr="001E37BC">
        <w:rPr>
          <w:rFonts w:cs="Arial"/>
          <w:rtl/>
        </w:rPr>
        <w:t xml:space="preserve"> ואע</w:t>
      </w:r>
      <w:r>
        <w:rPr>
          <w:rFonts w:cs="Arial" w:hint="cs"/>
          <w:rtl/>
        </w:rPr>
        <w:t>"</w:t>
      </w:r>
      <w:r w:rsidRPr="001E37BC">
        <w:rPr>
          <w:rFonts w:cs="Arial"/>
          <w:rtl/>
        </w:rPr>
        <w:t>ג דבפנים בת"ח מתיר בבית ישראל מטעם דא"א שלא יחתה אחד מבני הבית י"ל דאם מבשלה לעצמה אין רגילות כלל שא' מבני הבית יחתה</w:t>
      </w:r>
      <w:r>
        <w:rPr>
          <w:rFonts w:cs="Arial" w:hint="cs"/>
          <w:rtl/>
        </w:rPr>
        <w:t>.</w:t>
      </w:r>
    </w:p>
  </w:footnote>
  <w:footnote w:id="2790">
    <w:p w14:paraId="13544878" w14:textId="77777777" w:rsidR="004C5A3C" w:rsidRDefault="004C5A3C" w:rsidP="002C39F4">
      <w:pPr>
        <w:pStyle w:val="a5"/>
      </w:pPr>
      <w:r w:rsidRPr="00714412">
        <w:rPr>
          <w:rStyle w:val="a7"/>
        </w:rPr>
        <w:footnoteRef/>
      </w:r>
      <w:r w:rsidRPr="00714412">
        <w:rPr>
          <w:rtl/>
        </w:rPr>
        <w:t xml:space="preserve"> </w:t>
      </w:r>
      <w:r>
        <w:rPr>
          <w:rFonts w:cs="Arial" w:hint="cs"/>
          <w:rtl/>
        </w:rPr>
        <w:t>ב</w:t>
      </w:r>
      <w:r w:rsidRPr="00714412">
        <w:rPr>
          <w:rFonts w:cs="Arial"/>
          <w:rtl/>
        </w:rPr>
        <w:t xml:space="preserve">בדה"ב </w:t>
      </w:r>
      <w:r>
        <w:rPr>
          <w:rFonts w:cs="Arial" w:hint="cs"/>
          <w:rtl/>
        </w:rPr>
        <w:t>(</w:t>
      </w:r>
      <w:r w:rsidRPr="00714412">
        <w:rPr>
          <w:rFonts w:cs="Arial"/>
          <w:rtl/>
        </w:rPr>
        <w:t>ב"ג ש"ז צד.</w:t>
      </w:r>
      <w:r w:rsidRPr="00714412">
        <w:rPr>
          <w:rFonts w:cs="Arial" w:hint="cs"/>
          <w:rtl/>
        </w:rPr>
        <w:t xml:space="preserve"> הביאו הר"ן בתשו'</w:t>
      </w:r>
      <w:r>
        <w:rPr>
          <w:rFonts w:cs="Arial" w:hint="cs"/>
          <w:rtl/>
        </w:rPr>
        <w:t xml:space="preserve">) </w:t>
      </w:r>
      <w:r w:rsidRPr="00714412">
        <w:rPr>
          <w:rFonts w:hint="cs"/>
          <w:rtl/>
        </w:rPr>
        <w:t xml:space="preserve">וז"ל- </w:t>
      </w:r>
      <w:r w:rsidRPr="00714412">
        <w:rPr>
          <w:rFonts w:cs="Arial"/>
          <w:rtl/>
        </w:rPr>
        <w:t>יש</w:t>
      </w:r>
      <w:r w:rsidRPr="00714412">
        <w:rPr>
          <w:rFonts w:cs="Arial" w:hint="cs"/>
          <w:rtl/>
        </w:rPr>
        <w:t xml:space="preserve"> כאן </w:t>
      </w:r>
      <w:r w:rsidRPr="00714412">
        <w:rPr>
          <w:rFonts w:cs="Arial"/>
          <w:rtl/>
        </w:rPr>
        <w:t>בענין בשולי נכרים קושיא</w:t>
      </w:r>
      <w:r w:rsidRPr="00714412">
        <w:rPr>
          <w:rFonts w:cs="Arial" w:hint="cs"/>
          <w:rtl/>
        </w:rPr>
        <w:t>...</w:t>
      </w:r>
      <w:r w:rsidRPr="00714412">
        <w:rPr>
          <w:rFonts w:cs="Arial"/>
          <w:rtl/>
        </w:rPr>
        <w:t xml:space="preserve"> דקי</w:t>
      </w:r>
      <w:r w:rsidRPr="00714412">
        <w:rPr>
          <w:rFonts w:cs="Arial" w:hint="cs"/>
          <w:rtl/>
        </w:rPr>
        <w:t>"</w:t>
      </w:r>
      <w:r w:rsidRPr="00714412">
        <w:rPr>
          <w:rFonts w:cs="Arial"/>
          <w:rtl/>
        </w:rPr>
        <w:t>ל בחולה שאין בו סכנה שאין מתירין לו איסורין של</w:t>
      </w:r>
      <w:r w:rsidRPr="00E2527E">
        <w:rPr>
          <w:rFonts w:cs="Arial"/>
          <w:rtl/>
        </w:rPr>
        <w:t xml:space="preserve"> דבריהם אלא בהנאה והתם נמי שלא כדרך הנאתו אבל לא באכילה, שלא הותר סתם יינן ולא שמנה של גיד הנשה למי שהוא חש בגופו חס ושלום נשתקע הדבר ולא נאמר, וכן הדין במוקצה דאסור ודאי בחולה שאין בו סכנה</w:t>
      </w:r>
      <w:r>
        <w:rPr>
          <w:rFonts w:cs="Arial" w:hint="cs"/>
          <w:rtl/>
        </w:rPr>
        <w:t xml:space="preserve">... </w:t>
      </w:r>
      <w:r w:rsidRPr="00E2527E">
        <w:rPr>
          <w:rFonts w:cs="Arial"/>
          <w:rtl/>
        </w:rPr>
        <w:t>והשתא דאתינן להכי קשיא טובא היאך מתירים לחולה לבשל לו על ידי נכרים ובודאי בכל דבר התירו לו אף בדברים שיש בהן בשולי נכרים</w:t>
      </w:r>
      <w:r>
        <w:rPr>
          <w:rFonts w:cs="Arial" w:hint="cs"/>
          <w:rtl/>
        </w:rPr>
        <w:t xml:space="preserve">... </w:t>
      </w:r>
      <w:r w:rsidRPr="00E2527E">
        <w:rPr>
          <w:rFonts w:cs="Arial"/>
          <w:rtl/>
        </w:rPr>
        <w:t>כדקיימא לן דכל צרכי חולה נעשים על ידי נכרים בשבת</w:t>
      </w:r>
      <w:r>
        <w:rPr>
          <w:rFonts w:cs="Arial" w:hint="cs"/>
          <w:rtl/>
        </w:rPr>
        <w:t>...</w:t>
      </w:r>
      <w:r w:rsidRPr="00E2527E">
        <w:rPr>
          <w:rFonts w:cs="Arial"/>
          <w:rtl/>
        </w:rPr>
        <w:t xml:space="preserve"> ותרצתא דהני שמעתא, דרבנן באיסורין אלו שאסרו בשל נכרים משום חתנות לא השוו בהם מדותיהם כשאר איסורין של דבריהם כגון שמנו של גיד וכחל, אלא כאן לפי מה שראו אסרו ופעמים החמירו ופעמים הקלו, שהרי יינן ופתן והשכר שלהן והשלקות כלן מדבריהם משום בנותיהן ואסרו יינם ואף מגעם ביין שלנו ואפילו בהנאה וסמכו דבריהם לשל תורה לעשותו כיין נסך לפי שבו ראוי להחמיר לפי שקרובה ומצויה תקלתו יותר מן הכל ואעפ"כ התירו במבושל שלנו לפי שאין שתייתו תדירה ועיקרו לרפואה, פתן הסירו מן הפלטר ושורת הדין אף בשדה מותר ובשכר התירו חוץ לביתם הרי שיש מקום שהוא אסור ומקום שהוא מותר ובשלקות התירוה כל שאין הנכרי מתכוין לבשל כדאיתא בגמרא, נמצא דבר אחד פעמים אסור פעמים כיוצא בו מותר שלא אסרו בזה כל זמן שאין בו חשש בנותיהן, אף אני אומר שהנכרי שבא לבשל לחולה והוא בשבת בזמן האסור לנו לבשל שלא אסרו משום בשולי נכרים כלל דלא שייך הכא משום חתנות ולא עוד אלא שמותר לבריא במוצאי שבת. עוד אני בא לדון מזה הטעם שלא השוו חכמים מדותיהם בענין זה ולא אסרו בו אלא לפי מה שיראה שימשך בו טעם של חתנות, ואומר שהנכרי שבא לבשל לעצמו בין בחול בין בשבת ובלבד דברים המותרין שאע"פ שהתבשיל אסור משום בשולי נכרים אבל הכלים מותרין להשתמש בהן אחר הדחה דלגבי גיעולי הכלים לא מסתבר למימר דגזרו ואסרו בהו משום בשולי נכרים דלית בהו משום חתנות ולאו משום איקרובי דעתא.</w:t>
      </w:r>
    </w:p>
  </w:footnote>
  <w:footnote w:id="2791">
    <w:p w14:paraId="236CEC80" w14:textId="77777777" w:rsidR="004C5A3C" w:rsidRDefault="004C5A3C" w:rsidP="002C39F4">
      <w:pPr>
        <w:pStyle w:val="a5"/>
      </w:pPr>
      <w:r>
        <w:rPr>
          <w:rStyle w:val="a7"/>
        </w:rPr>
        <w:footnoteRef/>
      </w:r>
      <w:r>
        <w:rPr>
          <w:rtl/>
        </w:rPr>
        <w:t xml:space="preserve"> </w:t>
      </w:r>
      <w:r w:rsidRPr="00714412">
        <w:rPr>
          <w:rFonts w:cs="Arial" w:hint="cs"/>
          <w:rtl/>
        </w:rPr>
        <w:t>כ"כ הטור בשמו, וכ' רי"ו שהרא"ש כתב כן בתשובה</w:t>
      </w:r>
      <w:r>
        <w:rPr>
          <w:rFonts w:cs="Arial" w:hint="cs"/>
          <w:rtl/>
        </w:rPr>
        <w:t>. וכ' ה</w:t>
      </w:r>
      <w:r>
        <w:rPr>
          <w:rFonts w:hint="cs"/>
          <w:rtl/>
        </w:rPr>
        <w:t xml:space="preserve">ב"י (בבדה"ב)- </w:t>
      </w:r>
      <w:r>
        <w:rPr>
          <w:rFonts w:cs="Arial"/>
          <w:rtl/>
        </w:rPr>
        <w:t>ובדקתי בתשובות שבידינו ולא מצאתיה</w:t>
      </w:r>
      <w:r>
        <w:rPr>
          <w:rFonts w:hint="cs"/>
          <w:rtl/>
        </w:rPr>
        <w:t>.</w:t>
      </w:r>
    </w:p>
  </w:footnote>
  <w:footnote w:id="2792">
    <w:p w14:paraId="24B9BA3A" w14:textId="77777777" w:rsidR="004C5A3C" w:rsidRDefault="004C5A3C" w:rsidP="002C39F4">
      <w:pPr>
        <w:pStyle w:val="a5"/>
        <w:rPr>
          <w:rtl/>
        </w:rPr>
      </w:pPr>
      <w:r>
        <w:rPr>
          <w:rStyle w:val="a7"/>
        </w:rPr>
        <w:footnoteRef/>
      </w:r>
      <w:r>
        <w:rPr>
          <w:rtl/>
        </w:rPr>
        <w:t xml:space="preserve"> </w:t>
      </w:r>
      <w:r>
        <w:rPr>
          <w:rFonts w:cs="Arial" w:hint="cs"/>
          <w:rtl/>
        </w:rPr>
        <w:t>וכ' רי"ו</w:t>
      </w:r>
      <w:r>
        <w:rPr>
          <w:rFonts w:cs="Arial"/>
          <w:rtl/>
        </w:rPr>
        <w:t xml:space="preserve"> </w:t>
      </w:r>
      <w:r w:rsidRPr="00CE4488">
        <w:rPr>
          <w:rFonts w:cs="Arial"/>
          <w:sz w:val="16"/>
          <w:szCs w:val="16"/>
          <w:rtl/>
        </w:rPr>
        <w:t>(ני"ז ח"ז קס ע"ד</w:t>
      </w:r>
      <w:r>
        <w:rPr>
          <w:rFonts w:cs="Arial" w:hint="cs"/>
          <w:sz w:val="16"/>
          <w:szCs w:val="16"/>
          <w:rtl/>
        </w:rPr>
        <w:t>)</w:t>
      </w:r>
      <w:r>
        <w:rPr>
          <w:rFonts w:cs="Arial" w:hint="cs"/>
          <w:rtl/>
        </w:rPr>
        <w:t xml:space="preserve"> </w:t>
      </w:r>
      <w:r>
        <w:rPr>
          <w:rFonts w:cs="Arial"/>
          <w:rtl/>
        </w:rPr>
        <w:t>שרוב הפוסקים הסכימו לדעת הרא"ש</w:t>
      </w:r>
      <w:r>
        <w:rPr>
          <w:rFonts w:cs="Arial" w:hint="cs"/>
          <w:rtl/>
        </w:rPr>
        <w:t>.</w:t>
      </w:r>
      <w:r w:rsidRPr="00CE4488">
        <w:rPr>
          <w:rFonts w:cs="Arial" w:hint="cs"/>
          <w:rtl/>
        </w:rPr>
        <w:t xml:space="preserve"> </w:t>
      </w:r>
      <w:r>
        <w:rPr>
          <w:rFonts w:cs="Arial" w:hint="cs"/>
          <w:rtl/>
        </w:rPr>
        <w:t>וכ' הב"י (בבדה"ב</w:t>
      </w:r>
      <w:r>
        <w:rPr>
          <w:rFonts w:cs="Arial"/>
          <w:rtl/>
        </w:rPr>
        <w:t>)</w:t>
      </w:r>
      <w:r>
        <w:rPr>
          <w:rFonts w:cs="Arial" w:hint="cs"/>
          <w:rtl/>
        </w:rPr>
        <w:t>-</w:t>
      </w:r>
      <w:r>
        <w:rPr>
          <w:rFonts w:cs="Arial"/>
          <w:rtl/>
        </w:rPr>
        <w:t xml:space="preserve"> ומתוך מה שכתבתי תראה שלא דיבר נכונה בזה דאדרבה רוב הפוסקים הסכימו לדעת הרשב"א</w:t>
      </w:r>
      <w:r>
        <w:rPr>
          <w:rFonts w:hint="cs"/>
          <w:rtl/>
        </w:rPr>
        <w:t>.</w:t>
      </w:r>
    </w:p>
  </w:footnote>
  <w:footnote w:id="2793">
    <w:p w14:paraId="042A00BE" w14:textId="77777777" w:rsidR="004C5A3C" w:rsidRDefault="004C5A3C" w:rsidP="002C39F4">
      <w:pPr>
        <w:pStyle w:val="a5"/>
        <w:rPr>
          <w:rtl/>
        </w:rPr>
      </w:pPr>
      <w:r>
        <w:rPr>
          <w:rStyle w:val="a7"/>
        </w:rPr>
        <w:footnoteRef/>
      </w:r>
      <w:r>
        <w:rPr>
          <w:rtl/>
        </w:rPr>
        <w:t xml:space="preserve"> </w:t>
      </w:r>
      <w:r>
        <w:rPr>
          <w:rFonts w:hint="cs"/>
          <w:rtl/>
        </w:rPr>
        <w:t>וכ' ה</w:t>
      </w:r>
      <w:r>
        <w:rPr>
          <w:rFonts w:cs="Arial" w:hint="cs"/>
          <w:rtl/>
        </w:rPr>
        <w:t xml:space="preserve">ר"ן </w:t>
      </w:r>
      <w:r w:rsidRPr="00B25BC6">
        <w:rPr>
          <w:rFonts w:cs="Arial" w:hint="cs"/>
          <w:sz w:val="16"/>
          <w:szCs w:val="16"/>
          <w:rtl/>
        </w:rPr>
        <w:t xml:space="preserve">(ע"ז ט.) </w:t>
      </w:r>
      <w:r>
        <w:rPr>
          <w:rFonts w:cs="Arial" w:hint="cs"/>
          <w:rtl/>
        </w:rPr>
        <w:t xml:space="preserve">על דבריו- </w:t>
      </w:r>
      <w:r w:rsidRPr="002C07AE">
        <w:rPr>
          <w:rFonts w:cs="Arial"/>
          <w:rtl/>
        </w:rPr>
        <w:t>ואין לסברא זו ראיה שאפילו נאמר דבכלל צרכי חולה שנעשין על ידי עובד כוכבים בשבת הוי דבר שיש בו משום בשולי עובד כוכבים וכמו שפשט המנהג אכתי אפשר דהיינו דוקא לחולה מפני שהתירו בו כל דבר הנעשה ע"י עובד כוכבים שאין איסורו מגופו אבל להתירו לבריא אין לנו</w:t>
      </w:r>
      <w:r>
        <w:rPr>
          <w:rFonts w:hint="cs"/>
          <w:rtl/>
        </w:rPr>
        <w:t>.</w:t>
      </w:r>
    </w:p>
  </w:footnote>
  <w:footnote w:id="2794">
    <w:p w14:paraId="5A6B18F1" w14:textId="77777777" w:rsidR="004C5A3C" w:rsidRDefault="004C5A3C" w:rsidP="002C39F4">
      <w:pPr>
        <w:pStyle w:val="a5"/>
      </w:pPr>
      <w:r>
        <w:rPr>
          <w:rStyle w:val="a7"/>
        </w:rPr>
        <w:footnoteRef/>
      </w:r>
      <w:r>
        <w:rPr>
          <w:rtl/>
        </w:rPr>
        <w:t xml:space="preserve"> </w:t>
      </w:r>
      <w:r w:rsidRPr="001E37BC">
        <w:rPr>
          <w:rFonts w:cs="Arial"/>
          <w:rtl/>
        </w:rPr>
        <w:t>ואם נתבשלה בהן בדיע</w:t>
      </w:r>
      <w:r>
        <w:rPr>
          <w:rFonts w:cs="Arial" w:hint="cs"/>
          <w:rtl/>
        </w:rPr>
        <w:t>בד</w:t>
      </w:r>
      <w:r w:rsidRPr="001E37BC">
        <w:rPr>
          <w:rFonts w:cs="Arial"/>
          <w:rtl/>
        </w:rPr>
        <w:t xml:space="preserve"> ויש רוב בתבשיל שרי דבשולי ע</w:t>
      </w:r>
      <w:r>
        <w:rPr>
          <w:rFonts w:cs="Arial" w:hint="cs"/>
          <w:rtl/>
        </w:rPr>
        <w:t xml:space="preserve">כו"ם </w:t>
      </w:r>
      <w:r w:rsidRPr="001E37BC">
        <w:rPr>
          <w:rFonts w:cs="Arial"/>
          <w:rtl/>
        </w:rPr>
        <w:t>בטלים ברוב כדלעיל סי' קיב סקכ"ג</w:t>
      </w:r>
      <w:r>
        <w:rPr>
          <w:rFonts w:cs="Arial" w:hint="cs"/>
          <w:rtl/>
        </w:rPr>
        <w:t>..., ש"ך</w:t>
      </w:r>
      <w:r w:rsidRPr="001E37BC">
        <w:rPr>
          <w:rFonts w:cs="Arial" w:hint="cs"/>
          <w:sz w:val="16"/>
          <w:szCs w:val="16"/>
          <w:rtl/>
        </w:rPr>
        <w:t xml:space="preserve"> (סקכ"א)</w:t>
      </w:r>
      <w:r>
        <w:rPr>
          <w:rFonts w:cs="Arial" w:hint="cs"/>
          <w:rtl/>
        </w:rPr>
        <w:t>.</w:t>
      </w:r>
    </w:p>
  </w:footnote>
  <w:footnote w:id="2795">
    <w:p w14:paraId="59A8BDED" w14:textId="77777777" w:rsidR="004C5A3C" w:rsidRDefault="004C5A3C" w:rsidP="002C39F4">
      <w:pPr>
        <w:pStyle w:val="a5"/>
      </w:pPr>
      <w:r>
        <w:rPr>
          <w:rStyle w:val="a7"/>
        </w:rPr>
        <w:footnoteRef/>
      </w:r>
      <w:r>
        <w:rPr>
          <w:rtl/>
        </w:rPr>
        <w:t xml:space="preserve"> </w:t>
      </w:r>
      <w:r w:rsidRPr="00063ED0">
        <w:rPr>
          <w:rFonts w:cs="Arial"/>
          <w:rtl/>
        </w:rPr>
        <w:t>יעמידנו ע"י קיבה לגבינה</w:t>
      </w:r>
      <w:r>
        <w:rPr>
          <w:rFonts w:cs="Arial" w:hint="cs"/>
          <w:rtl/>
        </w:rPr>
        <w:t>, רש"י</w:t>
      </w:r>
      <w:r w:rsidRPr="00063ED0">
        <w:rPr>
          <w:rFonts w:cs="Arial"/>
          <w:rtl/>
        </w:rPr>
        <w:t>.</w:t>
      </w:r>
    </w:p>
  </w:footnote>
  <w:footnote w:id="2796">
    <w:p w14:paraId="398B07E9" w14:textId="77777777" w:rsidR="004C5A3C" w:rsidRDefault="004C5A3C" w:rsidP="002C39F4">
      <w:pPr>
        <w:pStyle w:val="a5"/>
      </w:pPr>
      <w:r>
        <w:rPr>
          <w:rStyle w:val="a7"/>
        </w:rPr>
        <w:footnoteRef/>
      </w:r>
      <w:r>
        <w:rPr>
          <w:rtl/>
        </w:rPr>
        <w:t xml:space="preserve"> </w:t>
      </w:r>
      <w:r w:rsidRPr="00063ED0">
        <w:rPr>
          <w:rFonts w:cs="Arial"/>
          <w:rtl/>
        </w:rPr>
        <w:t>מאכל</w:t>
      </w:r>
      <w:r>
        <w:rPr>
          <w:rFonts w:cs="Arial" w:hint="cs"/>
          <w:rtl/>
        </w:rPr>
        <w:t>, רש"י</w:t>
      </w:r>
      <w:r w:rsidRPr="00063ED0">
        <w:rPr>
          <w:rFonts w:cs="Arial"/>
          <w:rtl/>
        </w:rPr>
        <w:t>.</w:t>
      </w:r>
    </w:p>
  </w:footnote>
  <w:footnote w:id="2797">
    <w:p w14:paraId="25BB552E" w14:textId="77777777" w:rsidR="004C5A3C" w:rsidRDefault="004C5A3C" w:rsidP="002C39F4">
      <w:pPr>
        <w:pStyle w:val="a5"/>
      </w:pPr>
      <w:r>
        <w:rPr>
          <w:rStyle w:val="a7"/>
        </w:rPr>
        <w:footnoteRef/>
      </w:r>
      <w:r>
        <w:rPr>
          <w:rtl/>
        </w:rPr>
        <w:t xml:space="preserve"> </w:t>
      </w:r>
      <w:r w:rsidRPr="00063ED0">
        <w:rPr>
          <w:rFonts w:cs="Arial"/>
          <w:rtl/>
        </w:rPr>
        <w:t>מעט</w:t>
      </w:r>
      <w:r>
        <w:rPr>
          <w:rFonts w:cs="Arial" w:hint="cs"/>
          <w:rtl/>
        </w:rPr>
        <w:t>, רש"י</w:t>
      </w:r>
      <w:r w:rsidRPr="00063ED0">
        <w:rPr>
          <w:rFonts w:cs="Arial"/>
          <w:rtl/>
        </w:rPr>
        <w:t>.</w:t>
      </w:r>
    </w:p>
  </w:footnote>
  <w:footnote w:id="2798">
    <w:p w14:paraId="1EBF8FE4" w14:textId="77777777" w:rsidR="004C5A3C" w:rsidRDefault="004C5A3C" w:rsidP="002C39F4">
      <w:pPr>
        <w:pStyle w:val="a5"/>
        <w:rPr>
          <w:rtl/>
        </w:rPr>
      </w:pPr>
      <w:r>
        <w:rPr>
          <w:rStyle w:val="a7"/>
        </w:rPr>
        <w:footnoteRef/>
      </w:r>
      <w:r>
        <w:rPr>
          <w:rtl/>
        </w:rPr>
        <w:t xml:space="preserve"> </w:t>
      </w:r>
      <w:r w:rsidRPr="00063ED0">
        <w:rPr>
          <w:rFonts w:cs="Arial"/>
          <w:rtl/>
        </w:rPr>
        <w:t>שמא נתערב בו חלב טמא וכשהעמידו עומד טהור שבו והטמא נשאר עם הנסיובי הלכך אין זה נסיון להכשיר הראשונים לאכול</w:t>
      </w:r>
      <w:r>
        <w:rPr>
          <w:rFonts w:cs="Arial" w:hint="cs"/>
          <w:rtl/>
        </w:rPr>
        <w:t>,</w:t>
      </w:r>
      <w:r w:rsidRPr="00063ED0">
        <w:rPr>
          <w:rFonts w:cs="Arial"/>
          <w:rtl/>
        </w:rPr>
        <w:t xml:space="preserve"> אבל לגבינה סלקא דעתא השתא דמותר</w:t>
      </w:r>
      <w:r>
        <w:rPr>
          <w:rFonts w:cs="Arial" w:hint="cs"/>
          <w:rtl/>
        </w:rPr>
        <w:t>, רש"י</w:t>
      </w:r>
      <w:r w:rsidRPr="00063ED0">
        <w:rPr>
          <w:rFonts w:cs="Arial"/>
          <w:rtl/>
        </w:rPr>
        <w:t>.</w:t>
      </w:r>
    </w:p>
  </w:footnote>
  <w:footnote w:id="2799">
    <w:p w14:paraId="35FFF0ED" w14:textId="77777777" w:rsidR="004C5A3C" w:rsidRDefault="004C5A3C" w:rsidP="002C39F4">
      <w:pPr>
        <w:pStyle w:val="a5"/>
      </w:pPr>
      <w:r>
        <w:rPr>
          <w:rStyle w:val="a7"/>
        </w:rPr>
        <w:footnoteRef/>
      </w:r>
      <w:r>
        <w:rPr>
          <w:rtl/>
        </w:rPr>
        <w:t xml:space="preserve"> </w:t>
      </w:r>
      <w:r w:rsidRPr="00063ED0">
        <w:rPr>
          <w:rFonts w:cs="Arial"/>
          <w:rtl/>
        </w:rPr>
        <w:t>אפילו לגבינה נמי אסור</w:t>
      </w:r>
      <w:r>
        <w:rPr>
          <w:rFonts w:cs="Arial" w:hint="cs"/>
          <w:rtl/>
        </w:rPr>
        <w:t>, רש"י</w:t>
      </w:r>
      <w:r w:rsidRPr="00063ED0">
        <w:rPr>
          <w:rFonts w:cs="Arial"/>
          <w:rtl/>
        </w:rPr>
        <w:t>.</w:t>
      </w:r>
    </w:p>
  </w:footnote>
  <w:footnote w:id="2800">
    <w:p w14:paraId="36CA786F" w14:textId="77777777" w:rsidR="004C5A3C" w:rsidRDefault="004C5A3C" w:rsidP="002C39F4">
      <w:pPr>
        <w:pStyle w:val="a5"/>
      </w:pPr>
      <w:r>
        <w:rPr>
          <w:rStyle w:val="a7"/>
        </w:rPr>
        <w:footnoteRef/>
      </w:r>
      <w:r>
        <w:rPr>
          <w:rtl/>
        </w:rPr>
        <w:t xml:space="preserve"> </w:t>
      </w:r>
      <w:r w:rsidRPr="00063ED0">
        <w:rPr>
          <w:rFonts w:cs="Arial"/>
          <w:rtl/>
        </w:rPr>
        <w:t>נסיובי דקיימי בגבינה</w:t>
      </w:r>
      <w:r>
        <w:rPr>
          <w:rFonts w:cs="Arial" w:hint="cs"/>
          <w:rtl/>
        </w:rPr>
        <w:t>, רש"י</w:t>
      </w:r>
      <w:r w:rsidRPr="00063ED0">
        <w:rPr>
          <w:rFonts w:cs="Arial"/>
          <w:rtl/>
        </w:rPr>
        <w:t>.</w:t>
      </w:r>
    </w:p>
  </w:footnote>
  <w:footnote w:id="2801">
    <w:p w14:paraId="107B06FB" w14:textId="77777777" w:rsidR="004C5A3C" w:rsidRDefault="004C5A3C" w:rsidP="002C39F4">
      <w:pPr>
        <w:pStyle w:val="a5"/>
        <w:rPr>
          <w:rtl/>
        </w:rPr>
      </w:pPr>
      <w:r>
        <w:rPr>
          <w:rStyle w:val="a7"/>
        </w:rPr>
        <w:footnoteRef/>
      </w:r>
      <w:r>
        <w:rPr>
          <w:rtl/>
        </w:rPr>
        <w:t xml:space="preserve"> </w:t>
      </w:r>
      <w:r w:rsidRPr="00063ED0">
        <w:rPr>
          <w:rFonts w:cs="Arial"/>
          <w:rtl/>
        </w:rPr>
        <w:t>בתוך הגומות שבגבינה וחיישינן שמא מן החלב טמא שלא עומד נשאר עם הנסיובי בגומות</w:t>
      </w:r>
      <w:r>
        <w:rPr>
          <w:rFonts w:cs="Arial" w:hint="cs"/>
          <w:rtl/>
        </w:rPr>
        <w:t>, רש"י</w:t>
      </w:r>
      <w:r w:rsidRPr="00063ED0">
        <w:rPr>
          <w:rFonts w:cs="Arial"/>
          <w:rtl/>
        </w:rPr>
        <w:t>.</w:t>
      </w:r>
    </w:p>
  </w:footnote>
  <w:footnote w:id="2802">
    <w:p w14:paraId="5AC777B1" w14:textId="77777777" w:rsidR="004C5A3C" w:rsidRDefault="004C5A3C" w:rsidP="002C39F4">
      <w:pPr>
        <w:pStyle w:val="a5"/>
        <w:rPr>
          <w:rtl/>
        </w:rPr>
      </w:pPr>
      <w:r>
        <w:rPr>
          <w:rStyle w:val="a7"/>
        </w:rPr>
        <w:footnoteRef/>
      </w:r>
      <w:r>
        <w:rPr>
          <w:rtl/>
        </w:rPr>
        <w:t xml:space="preserve"> </w:t>
      </w:r>
      <w:r>
        <w:rPr>
          <w:rFonts w:hint="cs"/>
          <w:rtl/>
        </w:rPr>
        <w:t xml:space="preserve">פי' </w:t>
      </w:r>
      <w:r w:rsidRPr="008D5126">
        <w:rPr>
          <w:rFonts w:cs="Arial"/>
          <w:rtl/>
        </w:rPr>
        <w:t>דבחלבו לצרכו יש סברא להתיר דודאי לא עירב חלב טמא ויקלקל את חלבו כיון דאינו מעמיד</w:t>
      </w:r>
      <w:r>
        <w:rPr>
          <w:rFonts w:cs="Arial" w:hint="cs"/>
          <w:rtl/>
        </w:rPr>
        <w:t>,</w:t>
      </w:r>
      <w:r w:rsidRPr="008D5126">
        <w:rPr>
          <w:rFonts w:cs="Arial"/>
          <w:rtl/>
        </w:rPr>
        <w:t xml:space="preserve"> אפילו הכי אסור</w:t>
      </w:r>
      <w:r>
        <w:rPr>
          <w:rFonts w:hint="cs"/>
          <w:rtl/>
        </w:rPr>
        <w:t>, ט"ז (סק"א).</w:t>
      </w:r>
    </w:p>
  </w:footnote>
  <w:footnote w:id="2803">
    <w:p w14:paraId="31479718" w14:textId="77777777" w:rsidR="004C5A3C" w:rsidRDefault="004C5A3C" w:rsidP="002C39F4">
      <w:pPr>
        <w:pStyle w:val="a5"/>
        <w:rPr>
          <w:rtl/>
        </w:rPr>
      </w:pPr>
      <w:r>
        <w:rPr>
          <w:rStyle w:val="a7"/>
        </w:rPr>
        <w:footnoteRef/>
      </w:r>
      <w:r>
        <w:rPr>
          <w:rtl/>
        </w:rPr>
        <w:t xml:space="preserve"> </w:t>
      </w:r>
      <w:r w:rsidRPr="00E05710">
        <w:rPr>
          <w:rFonts w:cs="Arial"/>
          <w:rtl/>
        </w:rPr>
        <w:t>ואפילו אין רואהו</w:t>
      </w:r>
      <w:r>
        <w:rPr>
          <w:rFonts w:hint="cs"/>
          <w:rtl/>
        </w:rPr>
        <w:t>, רש"י.</w:t>
      </w:r>
    </w:p>
  </w:footnote>
  <w:footnote w:id="2804">
    <w:p w14:paraId="227C4CBC" w14:textId="77777777" w:rsidR="004C5A3C" w:rsidRDefault="004C5A3C" w:rsidP="002C39F4">
      <w:pPr>
        <w:pStyle w:val="a5"/>
      </w:pPr>
      <w:r>
        <w:rPr>
          <w:rStyle w:val="a7"/>
        </w:rPr>
        <w:footnoteRef/>
      </w:r>
      <w:r>
        <w:rPr>
          <w:rtl/>
        </w:rPr>
        <w:t xml:space="preserve"> </w:t>
      </w:r>
      <w:r>
        <w:rPr>
          <w:rFonts w:cs="Arial"/>
          <w:rtl/>
        </w:rPr>
        <w:t>פשוט הוא</w:t>
      </w:r>
      <w:r>
        <w:rPr>
          <w:rFonts w:cs="Arial" w:hint="cs"/>
          <w:rtl/>
        </w:rPr>
        <w:t>,</w:t>
      </w:r>
      <w:r>
        <w:rPr>
          <w:rFonts w:cs="Arial"/>
          <w:rtl/>
        </w:rPr>
        <w:t xml:space="preserve"> דאל</w:t>
      </w:r>
      <w:r>
        <w:rPr>
          <w:rFonts w:cs="Arial" w:hint="cs"/>
          <w:rtl/>
        </w:rPr>
        <w:t>"</w:t>
      </w:r>
      <w:r>
        <w:rPr>
          <w:rFonts w:cs="Arial"/>
          <w:rtl/>
        </w:rPr>
        <w:t>כ לא יירא שמא יראהו הישראל</w:t>
      </w:r>
      <w:r>
        <w:rPr>
          <w:rFonts w:cs="Arial" w:hint="cs"/>
          <w:rtl/>
        </w:rPr>
        <w:t>, ב"י.</w:t>
      </w:r>
    </w:p>
  </w:footnote>
  <w:footnote w:id="2805">
    <w:p w14:paraId="15989A0C" w14:textId="77777777" w:rsidR="004C5A3C" w:rsidRPr="004E33EB" w:rsidRDefault="004C5A3C" w:rsidP="002C39F4">
      <w:pPr>
        <w:pStyle w:val="a5"/>
        <w:rPr>
          <w:rtl/>
        </w:rPr>
      </w:pPr>
      <w:r>
        <w:rPr>
          <w:rStyle w:val="a7"/>
        </w:rPr>
        <w:footnoteRef/>
      </w:r>
      <w:r>
        <w:rPr>
          <w:rtl/>
        </w:rPr>
        <w:t xml:space="preserve"> </w:t>
      </w:r>
      <w:r>
        <w:rPr>
          <w:rFonts w:cs="Arial" w:hint="cs"/>
          <w:rtl/>
        </w:rPr>
        <w:t xml:space="preserve">וז"ל שע"ד בשמם- </w:t>
      </w:r>
      <w:r w:rsidRPr="004E33EB">
        <w:rPr>
          <w:rFonts w:cs="Arial"/>
          <w:rtl/>
        </w:rPr>
        <w:t xml:space="preserve">היכא דידוע דליכא שם דבר טמא בעדרו מותר החלב של גוי </w:t>
      </w:r>
      <w:r w:rsidRPr="00BD6A73">
        <w:rPr>
          <w:rFonts w:cs="Arial"/>
          <w:rtl/>
        </w:rPr>
        <w:t xml:space="preserve">דלא שייך לאסור משום גיעולי גוים ולא משום מגע גוי. ומשום תערובת נמי ליכא למיחש דהא ליכא שם דבר טמא </w:t>
      </w:r>
      <w:r w:rsidRPr="004E33EB">
        <w:rPr>
          <w:rFonts w:cs="Arial" w:hint="cs"/>
          <w:sz w:val="16"/>
          <w:szCs w:val="16"/>
          <w:rtl/>
        </w:rPr>
        <w:t>(</w:t>
      </w:r>
      <w:r w:rsidRPr="004E33EB">
        <w:rPr>
          <w:rFonts w:cs="Arial"/>
          <w:sz w:val="16"/>
          <w:szCs w:val="16"/>
          <w:rtl/>
        </w:rPr>
        <w:t>ותנן (ע"ז לה ע"ב) אלו דברים אסורים ואין איסורן איסור הנאה חלב שחלבו גוי ואין ישראל רואהו, ומסיק (לט ע"ב) תנינא להא דת"ר יושב ישראל בצד עדרו של גוי וגוי חולב ומביא לו ואין חוששין, והוינן בה האי חלב היכי דמי אי דליכא דבר טמא בעדרו אע</w:t>
      </w:r>
      <w:r w:rsidRPr="004E33EB">
        <w:rPr>
          <w:rFonts w:cs="Arial" w:hint="cs"/>
          <w:sz w:val="16"/>
          <w:szCs w:val="16"/>
          <w:rtl/>
        </w:rPr>
        <w:t>"</w:t>
      </w:r>
      <w:r w:rsidRPr="004E33EB">
        <w:rPr>
          <w:rFonts w:cs="Arial"/>
          <w:sz w:val="16"/>
          <w:szCs w:val="16"/>
          <w:rtl/>
        </w:rPr>
        <w:t>ג דלא חזי ליה שרי ואי דקא חזי ליה פשיטא דשרי אע</w:t>
      </w:r>
      <w:r w:rsidRPr="004E33EB">
        <w:rPr>
          <w:rFonts w:cs="Arial" w:hint="cs"/>
          <w:sz w:val="16"/>
          <w:szCs w:val="16"/>
          <w:rtl/>
        </w:rPr>
        <w:t>"</w:t>
      </w:r>
      <w:r w:rsidRPr="004E33EB">
        <w:rPr>
          <w:rFonts w:cs="Arial"/>
          <w:sz w:val="16"/>
          <w:szCs w:val="16"/>
          <w:rtl/>
        </w:rPr>
        <w:t>ג דאיכא שם דבר טמא מותר. ומסיק לא צריכא דאיכא דבר טמא בעדרו וכי קא קאי חזי ליה וכי קא יתיב לא חזי ליה מהו דתימא כיון דכי קא יתיב לא חזי ליה ליחוש דלמא מייתי ומערב ביה קמ"ל כיון דכי קאי חזי אירתותי מירתת ולא מערב ביה משמע דכי ליכא דבר טמא בעדרו מותר אע</w:t>
      </w:r>
      <w:r w:rsidRPr="004E33EB">
        <w:rPr>
          <w:rFonts w:cs="Arial" w:hint="cs"/>
          <w:sz w:val="16"/>
          <w:szCs w:val="16"/>
          <w:rtl/>
        </w:rPr>
        <w:t>"</w:t>
      </w:r>
      <w:r w:rsidRPr="004E33EB">
        <w:rPr>
          <w:rFonts w:cs="Arial"/>
          <w:sz w:val="16"/>
          <w:szCs w:val="16"/>
          <w:rtl/>
        </w:rPr>
        <w:t>ג דלא חזי ליה</w:t>
      </w:r>
      <w:r>
        <w:rPr>
          <w:rFonts w:cs="Arial" w:hint="cs"/>
          <w:sz w:val="16"/>
          <w:szCs w:val="16"/>
          <w:rtl/>
        </w:rPr>
        <w:t>)</w:t>
      </w:r>
      <w:r>
        <w:rPr>
          <w:rFonts w:hint="cs"/>
          <w:rtl/>
        </w:rPr>
        <w:t>.</w:t>
      </w:r>
      <w:r>
        <w:rPr>
          <w:rFonts w:hint="cs"/>
          <w:sz w:val="16"/>
          <w:szCs w:val="16"/>
          <w:rtl/>
        </w:rPr>
        <w:t xml:space="preserve"> </w:t>
      </w:r>
      <w:r>
        <w:rPr>
          <w:rFonts w:hint="cs"/>
          <w:rtl/>
        </w:rPr>
        <w:t xml:space="preserve">עכ"ל. </w:t>
      </w:r>
      <w:r w:rsidRPr="004E33EB">
        <w:rPr>
          <w:rFonts w:hint="cs"/>
          <w:rtl/>
        </w:rPr>
        <w:t>וסיים שע"ד- ולא קיימא לן הכי. עכ"ל. וצל"ע מאיזה טעם והרי זו גמ' ערוכה</w:t>
      </w:r>
      <w:r>
        <w:rPr>
          <w:rFonts w:hint="cs"/>
          <w:rtl/>
        </w:rPr>
        <w:t xml:space="preserve"> היא.</w:t>
      </w:r>
    </w:p>
  </w:footnote>
  <w:footnote w:id="2806">
    <w:p w14:paraId="1A5A785B" w14:textId="77777777" w:rsidR="004C5A3C" w:rsidRDefault="004C5A3C" w:rsidP="002C39F4">
      <w:pPr>
        <w:pStyle w:val="a5"/>
      </w:pPr>
      <w:r>
        <w:rPr>
          <w:rStyle w:val="a7"/>
        </w:rPr>
        <w:footnoteRef/>
      </w:r>
      <w:r>
        <w:rPr>
          <w:rtl/>
        </w:rPr>
        <w:t xml:space="preserve"> </w:t>
      </w:r>
      <w:r>
        <w:rPr>
          <w:rFonts w:hint="cs"/>
          <w:rtl/>
        </w:rPr>
        <w:t>היינו בביתו של הגוי, כן משמע מדברי הרשב"א והטור. והת"ח כתב כן בהדיא.</w:t>
      </w:r>
    </w:p>
  </w:footnote>
  <w:footnote w:id="2807">
    <w:p w14:paraId="1BC8052A" w14:textId="77777777" w:rsidR="004C5A3C" w:rsidRDefault="004C5A3C" w:rsidP="002C39F4">
      <w:pPr>
        <w:pStyle w:val="a5"/>
      </w:pPr>
      <w:r>
        <w:rPr>
          <w:rStyle w:val="a7"/>
        </w:rPr>
        <w:footnoteRef/>
      </w:r>
      <w:r>
        <w:rPr>
          <w:rtl/>
        </w:rPr>
        <w:t xml:space="preserve"> </w:t>
      </w:r>
      <w:r>
        <w:rPr>
          <w:rFonts w:cs="Arial" w:hint="cs"/>
          <w:rtl/>
        </w:rPr>
        <w:t xml:space="preserve">וז"ל ר"פ </w:t>
      </w:r>
      <w:r w:rsidRPr="00A060EC">
        <w:rPr>
          <w:rFonts w:cs="Arial" w:hint="cs"/>
          <w:sz w:val="16"/>
          <w:szCs w:val="16"/>
          <w:rtl/>
        </w:rPr>
        <w:t>(כ"כ המרדכי בשמו)</w:t>
      </w:r>
      <w:r>
        <w:rPr>
          <w:rFonts w:cs="Arial" w:hint="cs"/>
          <w:rtl/>
        </w:rPr>
        <w:t xml:space="preserve">- </w:t>
      </w:r>
      <w:r w:rsidRPr="00E05710">
        <w:rPr>
          <w:rFonts w:cs="Arial"/>
          <w:rtl/>
        </w:rPr>
        <w:t>אפילו אין דבר טמא בעדרו יש להחמיר להיות הישראל שם בתחילת החליבה פן יערב או ישים הגוי חלב טמא בכלי קודם שיבא הישראל</w:t>
      </w:r>
      <w:r>
        <w:rPr>
          <w:rFonts w:hint="cs"/>
          <w:rtl/>
        </w:rPr>
        <w:t>.</w:t>
      </w:r>
    </w:p>
  </w:footnote>
  <w:footnote w:id="2808">
    <w:p w14:paraId="637AE862" w14:textId="77777777" w:rsidR="004C5A3C" w:rsidRPr="00222F1A" w:rsidRDefault="004C5A3C" w:rsidP="002C39F4">
      <w:pPr>
        <w:pStyle w:val="a5"/>
      </w:pPr>
      <w:r>
        <w:rPr>
          <w:rStyle w:val="a7"/>
        </w:rPr>
        <w:footnoteRef/>
      </w:r>
      <w:r>
        <w:rPr>
          <w:rtl/>
        </w:rPr>
        <w:t xml:space="preserve"> </w:t>
      </w:r>
      <w:r>
        <w:rPr>
          <w:rFonts w:hint="cs"/>
          <w:rtl/>
        </w:rPr>
        <w:t xml:space="preserve">וכ"כ רש"י </w:t>
      </w:r>
      <w:r>
        <w:rPr>
          <w:rFonts w:hint="cs"/>
          <w:sz w:val="16"/>
          <w:szCs w:val="16"/>
          <w:rtl/>
        </w:rPr>
        <w:t xml:space="preserve">(כ"כ שע"ד בשמו) </w:t>
      </w:r>
      <w:r>
        <w:rPr>
          <w:rFonts w:hint="cs"/>
          <w:rtl/>
        </w:rPr>
        <w:t xml:space="preserve">שע"ד </w:t>
      </w:r>
      <w:r w:rsidRPr="00381955">
        <w:rPr>
          <w:rFonts w:hint="cs"/>
          <w:sz w:val="16"/>
          <w:szCs w:val="16"/>
          <w:rtl/>
        </w:rPr>
        <w:t>(סי' פב)</w:t>
      </w:r>
      <w:r>
        <w:rPr>
          <w:rFonts w:hint="cs"/>
          <w:rtl/>
        </w:rPr>
        <w:t xml:space="preserve"> </w:t>
      </w:r>
      <w:r w:rsidRPr="004A00EA">
        <w:rPr>
          <w:rFonts w:cs="Arial"/>
          <w:rtl/>
        </w:rPr>
        <w:t>הגה</w:t>
      </w:r>
      <w:r>
        <w:rPr>
          <w:rFonts w:cs="Arial" w:hint="cs"/>
          <w:rtl/>
        </w:rPr>
        <w:t>"מ</w:t>
      </w:r>
      <w:r w:rsidRPr="004A00EA">
        <w:rPr>
          <w:rFonts w:cs="Arial"/>
          <w:rtl/>
        </w:rPr>
        <w:t xml:space="preserve"> </w:t>
      </w:r>
      <w:r w:rsidRPr="00A060EC">
        <w:rPr>
          <w:rFonts w:cs="Arial" w:hint="cs"/>
          <w:sz w:val="16"/>
          <w:szCs w:val="16"/>
          <w:rtl/>
        </w:rPr>
        <w:t xml:space="preserve">(פ"ג </w:t>
      </w:r>
      <w:r w:rsidRPr="00A060EC">
        <w:rPr>
          <w:rFonts w:cs="Arial"/>
          <w:sz w:val="16"/>
          <w:szCs w:val="16"/>
          <w:rtl/>
        </w:rPr>
        <w:t>ד</w:t>
      </w:r>
      <w:r w:rsidRPr="00A060EC">
        <w:rPr>
          <w:rFonts w:cs="Arial" w:hint="cs"/>
          <w:sz w:val="16"/>
          <w:szCs w:val="16"/>
          <w:rtl/>
        </w:rPr>
        <w:t xml:space="preserve">"ק </w:t>
      </w:r>
      <w:r w:rsidRPr="00A060EC">
        <w:rPr>
          <w:rFonts w:cs="Arial"/>
          <w:sz w:val="16"/>
          <w:szCs w:val="16"/>
          <w:rtl/>
        </w:rPr>
        <w:t>הי"ז)</w:t>
      </w:r>
      <w:r w:rsidRPr="00A060EC">
        <w:rPr>
          <w:rFonts w:cs="Arial" w:hint="cs"/>
          <w:sz w:val="16"/>
          <w:szCs w:val="16"/>
          <w:rtl/>
        </w:rPr>
        <w:t xml:space="preserve"> </w:t>
      </w:r>
      <w:r>
        <w:rPr>
          <w:rFonts w:cs="Arial" w:hint="cs"/>
          <w:rtl/>
        </w:rPr>
        <w:t>והגשע"ד</w:t>
      </w:r>
      <w:r>
        <w:rPr>
          <w:rFonts w:cs="Arial" w:hint="cs"/>
          <w:sz w:val="16"/>
          <w:szCs w:val="16"/>
          <w:rtl/>
        </w:rPr>
        <w:t xml:space="preserve"> (סי' פב אות ב)</w:t>
      </w:r>
      <w:r>
        <w:rPr>
          <w:rFonts w:cs="Arial" w:hint="cs"/>
          <w:rtl/>
        </w:rPr>
        <w:t>.</w:t>
      </w:r>
    </w:p>
  </w:footnote>
  <w:footnote w:id="2809">
    <w:p w14:paraId="7D31E66B" w14:textId="77777777" w:rsidR="004C5A3C" w:rsidRDefault="004C5A3C" w:rsidP="002C39F4">
      <w:pPr>
        <w:pStyle w:val="a5"/>
      </w:pPr>
      <w:r>
        <w:rPr>
          <w:rStyle w:val="a7"/>
        </w:rPr>
        <w:footnoteRef/>
      </w:r>
      <w:r>
        <w:rPr>
          <w:rtl/>
        </w:rPr>
        <w:t xml:space="preserve"> </w:t>
      </w:r>
      <w:r>
        <w:rPr>
          <w:rFonts w:cs="Arial" w:hint="cs"/>
          <w:rtl/>
        </w:rPr>
        <w:t xml:space="preserve">וכ' המרדכי (שם)- </w:t>
      </w:r>
      <w:r w:rsidRPr="00E05710">
        <w:rPr>
          <w:rFonts w:cs="Arial"/>
          <w:rtl/>
        </w:rPr>
        <w:t>יש מוכיחין מ</w:t>
      </w:r>
      <w:r>
        <w:rPr>
          <w:rFonts w:cs="Arial" w:hint="cs"/>
          <w:rtl/>
        </w:rPr>
        <w:t>הא דכ' בגמ' '</w:t>
      </w:r>
      <w:r w:rsidRPr="00E05710">
        <w:rPr>
          <w:rFonts w:cs="Arial"/>
          <w:rtl/>
        </w:rPr>
        <w:t>אי דליכא דבר טמא בעדרו פשיטא</w:t>
      </w:r>
      <w:r>
        <w:rPr>
          <w:rFonts w:cs="Arial" w:hint="cs"/>
          <w:rtl/>
        </w:rPr>
        <w:t>'</w:t>
      </w:r>
      <w:r w:rsidRPr="00E05710">
        <w:rPr>
          <w:rFonts w:cs="Arial"/>
          <w:rtl/>
        </w:rPr>
        <w:t xml:space="preserve"> דאם ברור לנו דאין בהמה טמאה בעדרו דמותר ליקח מאותו גוי אפילו אין ישראל רואהו</w:t>
      </w:r>
      <w:r w:rsidRPr="00E05710">
        <w:rPr>
          <w:rFonts w:cs="Arial" w:hint="cs"/>
          <w:rtl/>
        </w:rPr>
        <w:t>,</w:t>
      </w:r>
      <w:r w:rsidRPr="00E05710">
        <w:rPr>
          <w:rFonts w:cs="Arial"/>
          <w:rtl/>
        </w:rPr>
        <w:t xml:space="preserve"> וטעות הוא בידם דא</w:t>
      </w:r>
      <w:r>
        <w:rPr>
          <w:rFonts w:cs="Arial" w:hint="cs"/>
          <w:rtl/>
        </w:rPr>
        <w:t>"</w:t>
      </w:r>
      <w:r w:rsidRPr="00E05710">
        <w:rPr>
          <w:rFonts w:cs="Arial"/>
          <w:rtl/>
        </w:rPr>
        <w:t>כ היה לו להקשות אי דליכא דבר טמא בעדרו למה לי ישראל יושב בצד עדרו ורואה</w:t>
      </w:r>
      <w:r w:rsidRPr="00E05710">
        <w:rPr>
          <w:rFonts w:cs="Arial" w:hint="cs"/>
          <w:rtl/>
        </w:rPr>
        <w:t>,</w:t>
      </w:r>
      <w:r w:rsidRPr="00E05710">
        <w:rPr>
          <w:rFonts w:cs="Arial"/>
          <w:rtl/>
        </w:rPr>
        <w:t xml:space="preserve"> אלא הכי פירושו אי דליכא דבר טמא בעדרו פשיטא דביושב בצד עדרו סגי</w:t>
      </w:r>
      <w:r>
        <w:rPr>
          <w:rFonts w:cs="Arial" w:hint="cs"/>
          <w:rtl/>
        </w:rPr>
        <w:t>.</w:t>
      </w:r>
    </w:p>
  </w:footnote>
  <w:footnote w:id="2810">
    <w:p w14:paraId="7E618982" w14:textId="77777777" w:rsidR="004C5A3C" w:rsidRDefault="004C5A3C" w:rsidP="002C39F4">
      <w:pPr>
        <w:pStyle w:val="a5"/>
        <w:rPr>
          <w:rtl/>
        </w:rPr>
      </w:pPr>
      <w:r>
        <w:rPr>
          <w:rStyle w:val="a7"/>
        </w:rPr>
        <w:footnoteRef/>
      </w:r>
      <w:r>
        <w:rPr>
          <w:rtl/>
        </w:rPr>
        <w:t xml:space="preserve"> </w:t>
      </w:r>
      <w:r>
        <w:rPr>
          <w:rFonts w:hint="cs"/>
          <w:rtl/>
        </w:rPr>
        <w:t xml:space="preserve">הט"ז </w:t>
      </w:r>
      <w:r w:rsidRPr="00716575">
        <w:rPr>
          <w:rFonts w:hint="cs"/>
          <w:sz w:val="16"/>
          <w:szCs w:val="16"/>
          <w:rtl/>
        </w:rPr>
        <w:t xml:space="preserve">(סק"ב) </w:t>
      </w:r>
      <w:r>
        <w:rPr>
          <w:rFonts w:hint="cs"/>
          <w:rtl/>
        </w:rPr>
        <w:t xml:space="preserve">מחלק בין דברי הטור והשו"ע לבין דברי המרדכי הסמ"ק ור"פ, שלמרדכי </w:t>
      </w:r>
      <w:r w:rsidRPr="002842FC">
        <w:rPr>
          <w:rFonts w:hint="cs"/>
          <w:sz w:val="16"/>
          <w:szCs w:val="16"/>
          <w:rtl/>
        </w:rPr>
        <w:t xml:space="preserve">(בכה"ג שברור שאין לגוי בעדרו דבר טמא) </w:t>
      </w:r>
      <w:r>
        <w:rPr>
          <w:rFonts w:hint="cs"/>
          <w:rtl/>
        </w:rPr>
        <w:t>מספיק שישב לצד העדר אע"פ שאינו יכול לראות, ולסמ"ק צריך שיראה עכ"פ בתחילת החליבה. והש"ך</w:t>
      </w:r>
      <w:r w:rsidRPr="00716575">
        <w:rPr>
          <w:rFonts w:hint="cs"/>
          <w:sz w:val="16"/>
          <w:szCs w:val="16"/>
          <w:rtl/>
        </w:rPr>
        <w:t xml:space="preserve"> (סק"ח)</w:t>
      </w:r>
      <w:r>
        <w:rPr>
          <w:rFonts w:hint="cs"/>
          <w:rtl/>
        </w:rPr>
        <w:t xml:space="preserve"> חלק על זה וכ' שלכו"ע </w:t>
      </w:r>
      <w:r>
        <w:rPr>
          <w:rFonts w:hint="cs"/>
          <w:sz w:val="16"/>
          <w:szCs w:val="16"/>
          <w:rtl/>
        </w:rPr>
        <w:t xml:space="preserve">(גם לשו"ע) </w:t>
      </w:r>
      <w:r>
        <w:rPr>
          <w:rFonts w:hint="cs"/>
          <w:rtl/>
        </w:rPr>
        <w:t xml:space="preserve">צריך לראות/לדעת שאין בכלי דבר טמא ורק אז מועיל הישיבה לצד העדר או הכניסה ויציאה. ומ"מ מסקנת שניהם </w:t>
      </w:r>
      <w:r w:rsidRPr="002842FC">
        <w:rPr>
          <w:rFonts w:cs="Arial"/>
          <w:rtl/>
        </w:rPr>
        <w:t>ד</w:t>
      </w:r>
      <w:r>
        <w:rPr>
          <w:rFonts w:cs="Arial" w:hint="cs"/>
          <w:rtl/>
        </w:rPr>
        <w:t xml:space="preserve">לענין הלכה </w:t>
      </w:r>
      <w:r w:rsidRPr="002842FC">
        <w:rPr>
          <w:rFonts w:cs="Arial"/>
          <w:rtl/>
        </w:rPr>
        <w:t>יש להחמיר ולאסור אפילו דיעבד כל שאין רואה הישראל תחילת החליבה אפילו באין שם דבר טמא</w:t>
      </w:r>
      <w:r>
        <w:rPr>
          <w:rFonts w:cs="Arial" w:hint="cs"/>
          <w:rtl/>
        </w:rPr>
        <w:t xml:space="preserve">. וכ"כ הבאה"ט </w:t>
      </w:r>
      <w:r w:rsidRPr="00716575">
        <w:rPr>
          <w:rFonts w:cs="Arial" w:hint="cs"/>
          <w:sz w:val="16"/>
          <w:szCs w:val="16"/>
          <w:rtl/>
        </w:rPr>
        <w:t>(סק"ה)</w:t>
      </w:r>
      <w:r>
        <w:rPr>
          <w:rFonts w:cs="Arial" w:hint="cs"/>
          <w:rtl/>
        </w:rPr>
        <w:t>.</w:t>
      </w:r>
      <w:r>
        <w:rPr>
          <w:rFonts w:hint="cs"/>
          <w:rtl/>
        </w:rPr>
        <w:t xml:space="preserve"> </w:t>
      </w:r>
    </w:p>
  </w:footnote>
  <w:footnote w:id="2811">
    <w:p w14:paraId="7EE53D21" w14:textId="77777777" w:rsidR="004C5A3C" w:rsidRDefault="004C5A3C" w:rsidP="002C39F4">
      <w:pPr>
        <w:pStyle w:val="a5"/>
      </w:pPr>
      <w:r>
        <w:rPr>
          <w:rStyle w:val="a7"/>
        </w:rPr>
        <w:footnoteRef/>
      </w:r>
      <w:r>
        <w:rPr>
          <w:rtl/>
        </w:rPr>
        <w:t xml:space="preserve"> </w:t>
      </w:r>
      <w:r>
        <w:rPr>
          <w:rFonts w:hint="cs"/>
          <w:rtl/>
        </w:rPr>
        <w:t>הדרכ"מ</w:t>
      </w:r>
      <w:r>
        <w:rPr>
          <w:rFonts w:cs="Arial" w:hint="cs"/>
          <w:rtl/>
        </w:rPr>
        <w:t xml:space="preserve"> </w:t>
      </w:r>
      <w:r w:rsidRPr="004A00EA">
        <w:rPr>
          <w:rFonts w:cs="Arial"/>
          <w:rtl/>
        </w:rPr>
        <w:t>(</w:t>
      </w:r>
      <w:r>
        <w:rPr>
          <w:rFonts w:cs="Arial" w:hint="cs"/>
          <w:rtl/>
        </w:rPr>
        <w:t xml:space="preserve">אות </w:t>
      </w:r>
      <w:r w:rsidRPr="004A00EA">
        <w:rPr>
          <w:rFonts w:cs="Arial"/>
          <w:rtl/>
        </w:rPr>
        <w:t>א)</w:t>
      </w:r>
      <w:r>
        <w:rPr>
          <w:rFonts w:cs="Arial" w:hint="cs"/>
          <w:rtl/>
        </w:rPr>
        <w:t xml:space="preserve"> כתב</w:t>
      </w:r>
      <w:r w:rsidRPr="004A00EA">
        <w:rPr>
          <w:rFonts w:cs="Arial"/>
          <w:rtl/>
        </w:rPr>
        <w:t xml:space="preserve"> </w:t>
      </w:r>
      <w:r>
        <w:rPr>
          <w:rFonts w:cs="Arial" w:hint="cs"/>
          <w:rtl/>
        </w:rPr>
        <w:t>ד</w:t>
      </w:r>
      <w:r w:rsidRPr="004A00EA">
        <w:rPr>
          <w:rFonts w:cs="Arial"/>
          <w:rtl/>
        </w:rPr>
        <w:t xml:space="preserve">משמע </w:t>
      </w:r>
      <w:r>
        <w:rPr>
          <w:rFonts w:cs="Arial" w:hint="cs"/>
          <w:rtl/>
        </w:rPr>
        <w:t xml:space="preserve">מלשון ר"פ והמרדכי </w:t>
      </w:r>
      <w:r w:rsidRPr="004A00EA">
        <w:rPr>
          <w:rFonts w:cs="Arial"/>
          <w:rtl/>
        </w:rPr>
        <w:t>דהטעם דצריך להיות בתחלת החליבה הוא מטעם שיראה שלא היה דבר טמא בכלי</w:t>
      </w:r>
      <w:r>
        <w:rPr>
          <w:rFonts w:cs="Arial" w:hint="cs"/>
          <w:rtl/>
        </w:rPr>
        <w:t>,</w:t>
      </w:r>
      <w:r w:rsidRPr="004A00EA">
        <w:rPr>
          <w:rFonts w:cs="Arial"/>
          <w:rtl/>
        </w:rPr>
        <w:t xml:space="preserve"> ו</w:t>
      </w:r>
      <w:r>
        <w:rPr>
          <w:rFonts w:cs="Arial" w:hint="cs"/>
          <w:rtl/>
        </w:rPr>
        <w:t>ש</w:t>
      </w:r>
      <w:r w:rsidRPr="004A00EA">
        <w:rPr>
          <w:rFonts w:cs="Arial"/>
          <w:rtl/>
        </w:rPr>
        <w:t>הכל חדא מילתא הוא</w:t>
      </w:r>
      <w:r>
        <w:rPr>
          <w:rFonts w:cs="Arial" w:hint="cs"/>
          <w:rtl/>
        </w:rPr>
        <w:t>,</w:t>
      </w:r>
      <w:r w:rsidRPr="004A00EA">
        <w:rPr>
          <w:rFonts w:cs="Arial"/>
          <w:rtl/>
        </w:rPr>
        <w:t xml:space="preserve"> אמנם ב</w:t>
      </w:r>
      <w:r>
        <w:rPr>
          <w:rFonts w:hint="cs"/>
          <w:rtl/>
        </w:rPr>
        <w:t>או</w:t>
      </w:r>
      <w:r>
        <w:rPr>
          <w:rtl/>
        </w:rPr>
        <w:t>"</w:t>
      </w:r>
      <w:r>
        <w:rPr>
          <w:rFonts w:hint="cs"/>
          <w:rtl/>
        </w:rPr>
        <w:t xml:space="preserve">ה כתב-... </w:t>
      </w:r>
    </w:p>
  </w:footnote>
  <w:footnote w:id="2812">
    <w:p w14:paraId="3B671366" w14:textId="77777777" w:rsidR="004C5A3C" w:rsidRDefault="004C5A3C" w:rsidP="002C39F4">
      <w:pPr>
        <w:pStyle w:val="a5"/>
        <w:rPr>
          <w:rtl/>
        </w:rPr>
      </w:pPr>
      <w:r>
        <w:rPr>
          <w:rStyle w:val="a7"/>
        </w:rPr>
        <w:footnoteRef/>
      </w:r>
      <w:r>
        <w:rPr>
          <w:rtl/>
        </w:rPr>
        <w:t xml:space="preserve"> </w:t>
      </w:r>
      <w:r>
        <w:rPr>
          <w:rFonts w:cs="Arial" w:hint="cs"/>
          <w:rtl/>
        </w:rPr>
        <w:t>והמשיך</w:t>
      </w:r>
      <w:r w:rsidRPr="00222F1A">
        <w:rPr>
          <w:rFonts w:hint="cs"/>
          <w:rtl/>
        </w:rPr>
        <w:t xml:space="preserve"> </w:t>
      </w:r>
      <w:r>
        <w:rPr>
          <w:rFonts w:hint="cs"/>
          <w:rtl/>
        </w:rPr>
        <w:t>הדרכ"מ</w:t>
      </w:r>
      <w:r>
        <w:rPr>
          <w:rFonts w:cs="Arial" w:hint="cs"/>
          <w:rtl/>
        </w:rPr>
        <w:t xml:space="preserve"> </w:t>
      </w:r>
      <w:r w:rsidRPr="004A00EA">
        <w:rPr>
          <w:rFonts w:cs="Arial"/>
          <w:rtl/>
        </w:rPr>
        <w:t>(</w:t>
      </w:r>
      <w:r>
        <w:rPr>
          <w:rFonts w:cs="Arial" w:hint="cs"/>
          <w:rtl/>
        </w:rPr>
        <w:t xml:space="preserve">אות </w:t>
      </w:r>
      <w:r w:rsidRPr="004A00EA">
        <w:rPr>
          <w:rFonts w:cs="Arial"/>
          <w:rtl/>
        </w:rPr>
        <w:t>א)</w:t>
      </w:r>
      <w:r>
        <w:rPr>
          <w:rFonts w:cs="Arial" w:hint="cs"/>
          <w:rtl/>
        </w:rPr>
        <w:t xml:space="preserve"> וכתב ד</w:t>
      </w:r>
      <w:r w:rsidRPr="004A00EA">
        <w:rPr>
          <w:rFonts w:cs="Arial"/>
          <w:rtl/>
        </w:rPr>
        <w:t>משמע מדבריו כי תרי מילי נינהו</w:t>
      </w:r>
      <w:r>
        <w:rPr>
          <w:rFonts w:cs="Arial" w:hint="cs"/>
          <w:rtl/>
        </w:rPr>
        <w:t>,</w:t>
      </w:r>
      <w:r w:rsidRPr="004A00EA">
        <w:rPr>
          <w:rFonts w:cs="Arial"/>
          <w:rtl/>
        </w:rPr>
        <w:t xml:space="preserve"> ולכן לכתחלה בעינן שיראה גם כן שלא היה דבר טמא בכלי וגם צריך להיות בתחלת החליבה</w:t>
      </w:r>
      <w:r>
        <w:rPr>
          <w:rFonts w:cs="Arial" w:hint="cs"/>
          <w:rtl/>
        </w:rPr>
        <w:t>,</w:t>
      </w:r>
      <w:r w:rsidRPr="004A00EA">
        <w:rPr>
          <w:rFonts w:cs="Arial"/>
          <w:rtl/>
        </w:rPr>
        <w:t xml:space="preserve"> אמנם בדיעבד אם היה בתחלת החליבה ולא ראה בכלי שרי</w:t>
      </w:r>
      <w:r>
        <w:rPr>
          <w:rFonts w:hint="cs"/>
          <w:rtl/>
        </w:rPr>
        <w:t>.</w:t>
      </w:r>
    </w:p>
  </w:footnote>
  <w:footnote w:id="2813">
    <w:p w14:paraId="7C6005FE" w14:textId="77777777" w:rsidR="004C5A3C" w:rsidRDefault="004C5A3C" w:rsidP="002C39F4">
      <w:pPr>
        <w:pStyle w:val="a5"/>
        <w:rPr>
          <w:rtl/>
        </w:rPr>
      </w:pPr>
      <w:r>
        <w:rPr>
          <w:rStyle w:val="a7"/>
        </w:rPr>
        <w:footnoteRef/>
      </w:r>
      <w:r>
        <w:rPr>
          <w:rtl/>
        </w:rPr>
        <w:t xml:space="preserve"> </w:t>
      </w:r>
      <w:r>
        <w:rPr>
          <w:rFonts w:hint="cs"/>
          <w:rtl/>
        </w:rPr>
        <w:t xml:space="preserve">כ"כ </w:t>
      </w:r>
      <w:r w:rsidRPr="00BD6A73">
        <w:rPr>
          <w:rFonts w:cs="Arial" w:hint="cs"/>
          <w:rtl/>
        </w:rPr>
        <w:t xml:space="preserve">שע"ד </w:t>
      </w:r>
      <w:r w:rsidRPr="00BD6A73">
        <w:rPr>
          <w:rFonts w:cs="Arial" w:hint="cs"/>
          <w:sz w:val="16"/>
          <w:szCs w:val="16"/>
          <w:rtl/>
        </w:rPr>
        <w:t>(סי' פב)</w:t>
      </w:r>
      <w:r w:rsidRPr="00BD6A73">
        <w:rPr>
          <w:rFonts w:cs="Arial" w:hint="cs"/>
          <w:rtl/>
        </w:rPr>
        <w:t xml:space="preserve"> </w:t>
      </w:r>
      <w:r>
        <w:rPr>
          <w:rFonts w:hint="cs"/>
          <w:rtl/>
        </w:rPr>
        <w:t>בשמו, וז"ל-</w:t>
      </w:r>
      <w:r w:rsidRPr="00A23746">
        <w:rPr>
          <w:rFonts w:cs="Arial" w:hint="cs"/>
          <w:rtl/>
        </w:rPr>
        <w:t xml:space="preserve"> </w:t>
      </w:r>
      <w:r w:rsidRPr="00BD6A73">
        <w:rPr>
          <w:rFonts w:cs="Arial"/>
          <w:rtl/>
        </w:rPr>
        <w:t>ר"ת היה מתיר לרבי אליעזר משאנץ שהיו לו רחלות חולבות ברפת שלו מאחורי ביתו והיתה שפחתו הולכת וחולבת בלא ראיית ישראל.</w:t>
      </w:r>
    </w:p>
  </w:footnote>
  <w:footnote w:id="2814">
    <w:p w14:paraId="0AD2EE97" w14:textId="77777777" w:rsidR="004C5A3C" w:rsidRDefault="004C5A3C" w:rsidP="002C39F4">
      <w:pPr>
        <w:pStyle w:val="a5"/>
        <w:rPr>
          <w:rtl/>
        </w:rPr>
      </w:pPr>
      <w:r>
        <w:rPr>
          <w:rStyle w:val="a7"/>
        </w:rPr>
        <w:footnoteRef/>
      </w:r>
      <w:r>
        <w:rPr>
          <w:rtl/>
        </w:rPr>
        <w:t xml:space="preserve"> </w:t>
      </w:r>
      <w:r>
        <w:rPr>
          <w:rFonts w:cs="Arial" w:hint="cs"/>
          <w:rtl/>
        </w:rPr>
        <w:t>ו</w:t>
      </w:r>
      <w:r w:rsidRPr="004A00EA">
        <w:rPr>
          <w:rFonts w:cs="Arial"/>
          <w:rtl/>
        </w:rPr>
        <w:t>אפילו לדעת הרא"ש דסבירא ליה דבישולי גוים אינו אוסר כלים שאני הכא דאיכא למיחש לאיסור דאורייתא פן ערבו בו דבר טמא</w:t>
      </w:r>
      <w:r>
        <w:rPr>
          <w:rFonts w:cs="Arial" w:hint="cs"/>
          <w:rtl/>
        </w:rPr>
        <w:t>, או</w:t>
      </w:r>
      <w:r>
        <w:rPr>
          <w:rFonts w:cs="Arial"/>
          <w:rtl/>
        </w:rPr>
        <w:t>"</w:t>
      </w:r>
      <w:r>
        <w:rPr>
          <w:rFonts w:cs="Arial" w:hint="cs"/>
          <w:rtl/>
        </w:rPr>
        <w:t>ה</w:t>
      </w:r>
      <w:r w:rsidRPr="004A00EA">
        <w:rPr>
          <w:rFonts w:cs="Arial"/>
          <w:rtl/>
        </w:rPr>
        <w:t xml:space="preserve"> (כלל מה </w:t>
      </w:r>
      <w:r>
        <w:rPr>
          <w:rFonts w:cs="Arial" w:hint="cs"/>
          <w:rtl/>
        </w:rPr>
        <w:t>ד"</w:t>
      </w:r>
      <w:r w:rsidRPr="004A00EA">
        <w:rPr>
          <w:rFonts w:cs="Arial"/>
          <w:rtl/>
        </w:rPr>
        <w:t>ד</w:t>
      </w:r>
      <w:r>
        <w:rPr>
          <w:rFonts w:cs="Arial" w:hint="cs"/>
          <w:rtl/>
        </w:rPr>
        <w:t>, הביאו הדרכ"מ</w:t>
      </w:r>
      <w:r w:rsidRPr="00BD3205">
        <w:rPr>
          <w:rFonts w:cs="Arial"/>
          <w:rtl/>
        </w:rPr>
        <w:t xml:space="preserve"> </w:t>
      </w:r>
      <w:r>
        <w:rPr>
          <w:rFonts w:cs="Arial" w:hint="cs"/>
          <w:rtl/>
        </w:rPr>
        <w:t xml:space="preserve">[אות </w:t>
      </w:r>
      <w:r w:rsidRPr="004A00EA">
        <w:rPr>
          <w:rFonts w:cs="Arial"/>
          <w:rtl/>
        </w:rPr>
        <w:t>ד*</w:t>
      </w:r>
      <w:r>
        <w:rPr>
          <w:rFonts w:cs="Arial" w:hint="cs"/>
          <w:rtl/>
        </w:rPr>
        <w:t>]</w:t>
      </w:r>
      <w:r w:rsidRPr="004A00EA">
        <w:rPr>
          <w:rFonts w:cs="Arial"/>
          <w:rtl/>
        </w:rPr>
        <w:t>)</w:t>
      </w:r>
      <w:r>
        <w:rPr>
          <w:rFonts w:cs="Arial" w:hint="cs"/>
          <w:rtl/>
        </w:rPr>
        <w:t>.</w:t>
      </w:r>
    </w:p>
  </w:footnote>
  <w:footnote w:id="2815">
    <w:p w14:paraId="5917E082" w14:textId="77777777" w:rsidR="004C5A3C" w:rsidRDefault="004C5A3C" w:rsidP="002C39F4">
      <w:pPr>
        <w:pStyle w:val="a5"/>
      </w:pPr>
      <w:r>
        <w:rPr>
          <w:rStyle w:val="a7"/>
        </w:rPr>
        <w:footnoteRef/>
      </w:r>
      <w:r>
        <w:rPr>
          <w:rtl/>
        </w:rPr>
        <w:t xml:space="preserve"> </w:t>
      </w:r>
      <w:r w:rsidRPr="00B501BE">
        <w:rPr>
          <w:rFonts w:cs="Arial"/>
          <w:rtl/>
        </w:rPr>
        <w:t>אבל לצורך עצמו צריך לראות ממש בשעה שהוא חולב שלא יערב בו דבר טמא כיון שיש דבר טמא עמו בעדרו</w:t>
      </w:r>
      <w:r>
        <w:rPr>
          <w:rFonts w:cs="Arial" w:hint="cs"/>
          <w:rtl/>
        </w:rPr>
        <w:t>, ש"ך (סק"ג).</w:t>
      </w:r>
    </w:p>
  </w:footnote>
  <w:footnote w:id="2816">
    <w:p w14:paraId="040CCA46" w14:textId="77777777" w:rsidR="004C5A3C" w:rsidRDefault="004C5A3C" w:rsidP="002C39F4">
      <w:pPr>
        <w:pStyle w:val="a5"/>
        <w:rPr>
          <w:rtl/>
        </w:rPr>
      </w:pPr>
      <w:r>
        <w:rPr>
          <w:rStyle w:val="a7"/>
        </w:rPr>
        <w:footnoteRef/>
      </w:r>
      <w:r>
        <w:rPr>
          <w:rtl/>
        </w:rPr>
        <w:t xml:space="preserve"> </w:t>
      </w:r>
      <w:r>
        <w:rPr>
          <w:rFonts w:hint="cs"/>
          <w:rtl/>
        </w:rPr>
        <w:t xml:space="preserve">וה"ה אם אם הישראל יוצא ונכנס, פרישה (סע' ג) ט"ז (סק"ג) ש"ך (סק"ד). והוסיף הפרישה (שם, הביאו הש"ך) </w:t>
      </w:r>
      <w:r w:rsidRPr="00B501BE">
        <w:rPr>
          <w:rFonts w:cs="Arial"/>
          <w:rtl/>
        </w:rPr>
        <w:t>דה"ה אפילו אינו יושב תמיד אלא יוצא ונכנס ויושב שרי</w:t>
      </w:r>
      <w:r>
        <w:rPr>
          <w:rFonts w:cs="Arial" w:hint="cs"/>
          <w:rtl/>
        </w:rPr>
        <w:t>,</w:t>
      </w:r>
      <w:r w:rsidRPr="00B501BE">
        <w:rPr>
          <w:rFonts w:cs="Arial"/>
          <w:rtl/>
        </w:rPr>
        <w:t xml:space="preserve"> וכ"ש יוצא ונכנס למקום החלב</w:t>
      </w:r>
      <w:r>
        <w:rPr>
          <w:rFonts w:hint="cs"/>
          <w:rtl/>
        </w:rPr>
        <w:t>.</w:t>
      </w:r>
    </w:p>
  </w:footnote>
  <w:footnote w:id="2817">
    <w:p w14:paraId="79B89A3F" w14:textId="77777777" w:rsidR="004C5A3C" w:rsidRDefault="004C5A3C" w:rsidP="002C39F4">
      <w:pPr>
        <w:pStyle w:val="a5"/>
        <w:rPr>
          <w:rtl/>
        </w:rPr>
      </w:pPr>
      <w:r>
        <w:rPr>
          <w:rStyle w:val="a7"/>
        </w:rPr>
        <w:footnoteRef/>
      </w:r>
      <w:r>
        <w:rPr>
          <w:rtl/>
        </w:rPr>
        <w:t xml:space="preserve"> </w:t>
      </w:r>
      <w:r w:rsidRPr="00B501BE">
        <w:rPr>
          <w:rFonts w:cs="Arial"/>
          <w:rtl/>
        </w:rPr>
        <w:t>אפילו רואה בתחלה בכלי שאין בו שום דבר טמא</w:t>
      </w:r>
      <w:r>
        <w:rPr>
          <w:rFonts w:cs="Arial" w:hint="cs"/>
          <w:rtl/>
        </w:rPr>
        <w:t>, או</w:t>
      </w:r>
      <w:r>
        <w:rPr>
          <w:rFonts w:cs="Arial"/>
          <w:rtl/>
        </w:rPr>
        <w:t>"</w:t>
      </w:r>
      <w:r>
        <w:rPr>
          <w:rFonts w:cs="Arial" w:hint="cs"/>
          <w:rtl/>
        </w:rPr>
        <w:t>ה (שם).</w:t>
      </w:r>
      <w:r w:rsidRPr="00B501BE">
        <w:rPr>
          <w:rFonts w:cs="Arial"/>
          <w:rtl/>
        </w:rPr>
        <w:t xml:space="preserve"> </w:t>
      </w:r>
    </w:p>
  </w:footnote>
  <w:footnote w:id="2818">
    <w:p w14:paraId="3A025348" w14:textId="77777777" w:rsidR="004C5A3C" w:rsidRDefault="004C5A3C" w:rsidP="002C39F4">
      <w:pPr>
        <w:pStyle w:val="a5"/>
        <w:rPr>
          <w:rtl/>
        </w:rPr>
      </w:pPr>
      <w:r>
        <w:rPr>
          <w:rStyle w:val="a7"/>
        </w:rPr>
        <w:footnoteRef/>
      </w:r>
      <w:r>
        <w:rPr>
          <w:rtl/>
        </w:rPr>
        <w:t xml:space="preserve"> </w:t>
      </w:r>
      <w:r>
        <w:rPr>
          <w:rFonts w:hint="cs"/>
          <w:rtl/>
        </w:rPr>
        <w:t xml:space="preserve">באו"ה שם כתב "חלב טמא", וכ"כ בדרכ"מ (אות א), וצ"ע למה שינה בהגה. ומ"מ כתב שם האו"ה </w:t>
      </w:r>
      <w:r>
        <w:rPr>
          <w:rFonts w:cs="Arial" w:hint="cs"/>
          <w:rtl/>
        </w:rPr>
        <w:t>ד</w:t>
      </w:r>
      <w:r w:rsidRPr="00222F1A">
        <w:rPr>
          <w:rFonts w:cs="Arial"/>
          <w:rtl/>
        </w:rPr>
        <w:t>בדיעבד מיהא מותר החלב אף אם חלבה ה</w:t>
      </w:r>
      <w:r>
        <w:rPr>
          <w:rFonts w:cs="Arial" w:hint="cs"/>
          <w:rtl/>
        </w:rPr>
        <w:t>גוי</w:t>
      </w:r>
      <w:r w:rsidRPr="00222F1A">
        <w:rPr>
          <w:rFonts w:cs="Arial"/>
          <w:rtl/>
        </w:rPr>
        <w:t xml:space="preserve"> באותו כלי שלו המיוחדת לכך רק שראה הישראל מתחילה בכלי</w:t>
      </w:r>
      <w:r>
        <w:rPr>
          <w:rFonts w:cs="Arial" w:hint="cs"/>
          <w:rtl/>
        </w:rPr>
        <w:t>,</w:t>
      </w:r>
      <w:r w:rsidRPr="00222F1A">
        <w:rPr>
          <w:rFonts w:cs="Arial"/>
          <w:rtl/>
        </w:rPr>
        <w:t xml:space="preserve"> ואח"כ אפי' אם יוצא ונכנס</w:t>
      </w:r>
      <w:r>
        <w:rPr>
          <w:rFonts w:cs="Arial" w:hint="cs"/>
          <w:rtl/>
        </w:rPr>
        <w:t>.</w:t>
      </w:r>
    </w:p>
  </w:footnote>
  <w:footnote w:id="2819">
    <w:p w14:paraId="0641B652" w14:textId="77777777" w:rsidR="004C5A3C" w:rsidRDefault="004C5A3C" w:rsidP="002C39F4">
      <w:pPr>
        <w:pStyle w:val="a5"/>
      </w:pPr>
      <w:r>
        <w:rPr>
          <w:rStyle w:val="a7"/>
        </w:rPr>
        <w:footnoteRef/>
      </w:r>
      <w:r>
        <w:rPr>
          <w:rtl/>
        </w:rPr>
        <w:t xml:space="preserve"> </w:t>
      </w:r>
      <w:r>
        <w:rPr>
          <w:rFonts w:hint="cs"/>
          <w:rtl/>
        </w:rPr>
        <w:t xml:space="preserve">דברי הרמ"א הללו מכוונים כלפי סוף דברי השו"ע, דהיינו במציאות שברור לנו שאין דבר טמא בעדר, ולא הסתכל בתחילת החליבה שאין בכלי דבר טמא אלא עמד בחוץ, דבכה"ג שרי בדיעבד, והט"ז </w:t>
      </w:r>
      <w:r w:rsidRPr="00716575">
        <w:rPr>
          <w:rFonts w:hint="cs"/>
          <w:sz w:val="16"/>
          <w:szCs w:val="16"/>
          <w:rtl/>
        </w:rPr>
        <w:t xml:space="preserve">(סק"ב) </w:t>
      </w:r>
      <w:r>
        <w:rPr>
          <w:rFonts w:hint="cs"/>
          <w:rtl/>
        </w:rPr>
        <w:t>הש"ך</w:t>
      </w:r>
      <w:r w:rsidRPr="00716575">
        <w:rPr>
          <w:rFonts w:hint="cs"/>
          <w:sz w:val="16"/>
          <w:szCs w:val="16"/>
          <w:rtl/>
        </w:rPr>
        <w:t xml:space="preserve"> (סק"ח)</w:t>
      </w:r>
      <w:r>
        <w:rPr>
          <w:rFonts w:hint="cs"/>
          <w:rtl/>
        </w:rPr>
        <w:t xml:space="preserve"> </w:t>
      </w:r>
      <w:r>
        <w:rPr>
          <w:rFonts w:cs="Arial" w:hint="cs"/>
          <w:rtl/>
        </w:rPr>
        <w:t xml:space="preserve">והבאה"ט </w:t>
      </w:r>
      <w:r w:rsidRPr="00716575">
        <w:rPr>
          <w:rFonts w:cs="Arial" w:hint="cs"/>
          <w:sz w:val="16"/>
          <w:szCs w:val="16"/>
          <w:rtl/>
        </w:rPr>
        <w:t>(סק"ה)</w:t>
      </w:r>
      <w:r>
        <w:rPr>
          <w:rFonts w:hint="cs"/>
          <w:rtl/>
        </w:rPr>
        <w:t xml:space="preserve"> חולקים על דבריו אלו, וכתבו</w:t>
      </w:r>
      <w:r>
        <w:rPr>
          <w:rFonts w:cs="Arial" w:hint="cs"/>
          <w:rtl/>
        </w:rPr>
        <w:t xml:space="preserve"> ד</w:t>
      </w:r>
      <w:r w:rsidRPr="002842FC">
        <w:rPr>
          <w:rFonts w:cs="Arial"/>
          <w:rtl/>
        </w:rPr>
        <w:t xml:space="preserve">יש להחמיר ולאסור אפילו </w:t>
      </w:r>
      <w:r>
        <w:rPr>
          <w:rFonts w:cs="Arial" w:hint="cs"/>
          <w:rtl/>
        </w:rPr>
        <w:t>ב</w:t>
      </w:r>
      <w:r w:rsidRPr="002842FC">
        <w:rPr>
          <w:rFonts w:cs="Arial"/>
          <w:rtl/>
        </w:rPr>
        <w:t>דיעבד</w:t>
      </w:r>
      <w:r>
        <w:rPr>
          <w:rFonts w:cs="Arial" w:hint="cs"/>
          <w:rtl/>
        </w:rPr>
        <w:t>,</w:t>
      </w:r>
      <w:r w:rsidRPr="002842FC">
        <w:rPr>
          <w:rFonts w:cs="Arial"/>
          <w:rtl/>
        </w:rPr>
        <w:t xml:space="preserve"> אפילו באין שם דבר טמא</w:t>
      </w:r>
      <w:r>
        <w:rPr>
          <w:rFonts w:cs="Arial" w:hint="cs"/>
          <w:rtl/>
        </w:rPr>
        <w:t>,</w:t>
      </w:r>
      <w:r w:rsidRPr="002842FC">
        <w:rPr>
          <w:rFonts w:cs="Arial"/>
          <w:rtl/>
        </w:rPr>
        <w:t xml:space="preserve"> כל </w:t>
      </w:r>
      <w:r>
        <w:rPr>
          <w:rFonts w:cs="Arial" w:hint="cs"/>
          <w:rtl/>
        </w:rPr>
        <w:t xml:space="preserve">זמן </w:t>
      </w:r>
      <w:r w:rsidRPr="002842FC">
        <w:rPr>
          <w:rFonts w:cs="Arial"/>
          <w:rtl/>
        </w:rPr>
        <w:t>שאין רואה הישראל תחילת החליבה</w:t>
      </w:r>
      <w:r>
        <w:rPr>
          <w:rFonts w:cs="Arial" w:hint="cs"/>
          <w:rtl/>
        </w:rPr>
        <w:t xml:space="preserve"> בכלי, ולא די בעומד בחוץ. </w:t>
      </w:r>
      <w:r w:rsidRPr="00557E27">
        <w:rPr>
          <w:rFonts w:hint="cs"/>
          <w:sz w:val="16"/>
          <w:szCs w:val="16"/>
          <w:rtl/>
        </w:rPr>
        <w:t>(אמנם הש"ך כתב שצ"ע</w:t>
      </w:r>
      <w:r>
        <w:rPr>
          <w:rFonts w:hint="cs"/>
          <w:sz w:val="16"/>
          <w:szCs w:val="16"/>
          <w:rtl/>
        </w:rPr>
        <w:t xml:space="preserve"> על דברי הרמ"א</w:t>
      </w:r>
      <w:r w:rsidRPr="00557E27">
        <w:rPr>
          <w:rFonts w:hint="cs"/>
          <w:sz w:val="16"/>
          <w:szCs w:val="16"/>
          <w:rtl/>
        </w:rPr>
        <w:t xml:space="preserve"> א</w:t>
      </w:r>
      <w:r>
        <w:rPr>
          <w:rFonts w:hint="cs"/>
          <w:sz w:val="16"/>
          <w:szCs w:val="16"/>
          <w:rtl/>
        </w:rPr>
        <w:t>ך</w:t>
      </w:r>
      <w:r w:rsidRPr="00557E27">
        <w:rPr>
          <w:rFonts w:hint="cs"/>
          <w:sz w:val="16"/>
          <w:szCs w:val="16"/>
          <w:rtl/>
        </w:rPr>
        <w:t xml:space="preserve"> ניכר מדבריו שדעתו</w:t>
      </w:r>
      <w:r>
        <w:rPr>
          <w:rFonts w:hint="cs"/>
          <w:sz w:val="16"/>
          <w:szCs w:val="16"/>
          <w:rtl/>
        </w:rPr>
        <w:t xml:space="preserve"> לחלוק על מסקנתו</w:t>
      </w:r>
      <w:r w:rsidRPr="00557E27">
        <w:rPr>
          <w:rFonts w:hint="cs"/>
          <w:sz w:val="16"/>
          <w:szCs w:val="16"/>
          <w:rtl/>
        </w:rPr>
        <w:t>)</w:t>
      </w:r>
    </w:p>
  </w:footnote>
  <w:footnote w:id="2820">
    <w:p w14:paraId="21FC0E01" w14:textId="77777777" w:rsidR="004C5A3C" w:rsidRDefault="004C5A3C" w:rsidP="002C39F4">
      <w:pPr>
        <w:pStyle w:val="a5"/>
        <w:rPr>
          <w:rtl/>
        </w:rPr>
      </w:pPr>
      <w:r>
        <w:rPr>
          <w:rStyle w:val="a7"/>
        </w:rPr>
        <w:footnoteRef/>
      </w:r>
      <w:r>
        <w:rPr>
          <w:rtl/>
        </w:rPr>
        <w:t xml:space="preserve"> </w:t>
      </w:r>
      <w:r>
        <w:rPr>
          <w:rFonts w:hint="cs"/>
          <w:rtl/>
        </w:rPr>
        <w:t>ואם לא היה שם ישראל אסור בדיעבד, או</w:t>
      </w:r>
      <w:r>
        <w:rPr>
          <w:rtl/>
        </w:rPr>
        <w:t>"</w:t>
      </w:r>
      <w:r>
        <w:rPr>
          <w:rFonts w:hint="cs"/>
          <w:rtl/>
        </w:rPr>
        <w:t>ה (כלל מה ד"ח). והביאו הדרכ"מ. אך הש"ך (סקי"א) כתב ד</w:t>
      </w:r>
      <w:r w:rsidRPr="007E3D66">
        <w:rPr>
          <w:rFonts w:cs="Arial"/>
          <w:rtl/>
        </w:rPr>
        <w:t>בת"ח</w:t>
      </w:r>
      <w:r>
        <w:rPr>
          <w:rFonts w:cs="Arial" w:hint="cs"/>
          <w:rtl/>
        </w:rPr>
        <w:t xml:space="preserve"> כ'</w:t>
      </w:r>
      <w:r w:rsidRPr="007E3D66">
        <w:rPr>
          <w:rFonts w:cs="Arial"/>
          <w:rtl/>
        </w:rPr>
        <w:t xml:space="preserve"> דגם בכה</w:t>
      </w:r>
      <w:r>
        <w:rPr>
          <w:rFonts w:cs="Arial" w:hint="cs"/>
          <w:rtl/>
        </w:rPr>
        <w:t>"</w:t>
      </w:r>
      <w:r w:rsidRPr="007E3D66">
        <w:rPr>
          <w:rFonts w:cs="Arial"/>
          <w:rtl/>
        </w:rPr>
        <w:t>ג מותר בדיעב</w:t>
      </w:r>
      <w:r>
        <w:rPr>
          <w:rFonts w:cs="Arial" w:hint="cs"/>
          <w:rtl/>
        </w:rPr>
        <w:t>ד</w:t>
      </w:r>
      <w:r w:rsidRPr="007E3D66">
        <w:rPr>
          <w:rFonts w:cs="Arial"/>
          <w:rtl/>
        </w:rPr>
        <w:t xml:space="preserve"> למהרא"י</w:t>
      </w:r>
      <w:r>
        <w:rPr>
          <w:rFonts w:cs="Arial" w:hint="cs"/>
          <w:rtl/>
        </w:rPr>
        <w:t>,</w:t>
      </w:r>
      <w:r w:rsidRPr="007E3D66">
        <w:rPr>
          <w:rFonts w:cs="Arial"/>
          <w:rtl/>
        </w:rPr>
        <w:t xml:space="preserve"> וכ"פ בסימנים שם</w:t>
      </w:r>
      <w:r>
        <w:rPr>
          <w:rFonts w:cs="Arial" w:hint="cs"/>
          <w:rtl/>
        </w:rPr>
        <w:t>,</w:t>
      </w:r>
      <w:r w:rsidRPr="007E3D66">
        <w:rPr>
          <w:rFonts w:cs="Arial"/>
          <w:rtl/>
        </w:rPr>
        <w:t xml:space="preserve"> וכן נראה דעת מהרש"ל שם</w:t>
      </w:r>
      <w:r>
        <w:rPr>
          <w:rFonts w:cs="Arial" w:hint="cs"/>
          <w:rtl/>
        </w:rPr>
        <w:t>.</w:t>
      </w:r>
    </w:p>
  </w:footnote>
  <w:footnote w:id="2821">
    <w:p w14:paraId="5DB20844" w14:textId="77777777" w:rsidR="004C5A3C" w:rsidRDefault="004C5A3C" w:rsidP="002C39F4">
      <w:pPr>
        <w:pStyle w:val="a5"/>
      </w:pPr>
      <w:r>
        <w:rPr>
          <w:rStyle w:val="a7"/>
        </w:rPr>
        <w:footnoteRef/>
      </w:r>
      <w:r>
        <w:rPr>
          <w:rtl/>
        </w:rPr>
        <w:t xml:space="preserve"> </w:t>
      </w:r>
      <w:r w:rsidRPr="00BD3205">
        <w:rPr>
          <w:rFonts w:cs="Arial"/>
          <w:rtl/>
        </w:rPr>
        <w:t>שהם בני הבנה דהיינו בני ט' שנים</w:t>
      </w:r>
      <w:r>
        <w:rPr>
          <w:rFonts w:cs="Arial" w:hint="cs"/>
          <w:rtl/>
        </w:rPr>
        <w:t>, או</w:t>
      </w:r>
      <w:r>
        <w:rPr>
          <w:rFonts w:cs="Arial"/>
          <w:rtl/>
        </w:rPr>
        <w:t>"</w:t>
      </w:r>
      <w:r>
        <w:rPr>
          <w:rFonts w:cs="Arial" w:hint="cs"/>
          <w:rtl/>
        </w:rPr>
        <w:t>ה (שם). ט"ז (סק"ה) וש"ך (סקי"ב).</w:t>
      </w:r>
    </w:p>
  </w:footnote>
  <w:footnote w:id="2822">
    <w:p w14:paraId="11F3F29F" w14:textId="77777777" w:rsidR="004C5A3C" w:rsidRDefault="004C5A3C" w:rsidP="002C39F4">
      <w:pPr>
        <w:pStyle w:val="a5"/>
        <w:rPr>
          <w:rtl/>
        </w:rPr>
      </w:pPr>
      <w:r>
        <w:rPr>
          <w:rStyle w:val="a7"/>
        </w:rPr>
        <w:footnoteRef/>
      </w:r>
      <w:r>
        <w:rPr>
          <w:rtl/>
        </w:rPr>
        <w:t xml:space="preserve"> </w:t>
      </w:r>
      <w:r>
        <w:rPr>
          <w:rFonts w:hint="cs"/>
          <w:rtl/>
        </w:rPr>
        <w:t>כ' הש"ך (סקי"ג)</w:t>
      </w:r>
      <w:r w:rsidRPr="007E3D66">
        <w:rPr>
          <w:rtl/>
        </w:rPr>
        <w:t xml:space="preserve"> </w:t>
      </w:r>
      <w:r>
        <w:rPr>
          <w:rFonts w:cs="Arial" w:hint="cs"/>
          <w:rtl/>
        </w:rPr>
        <w:t>דזה קאי על החולב בהמת ישראל ברפת שאחורי בית ישראל, וא"כ יש לתמוה על הרמ"א למה אוסר אם בא הישראל לאחר שנחלבו כולם, וגם שבתורת חטאת מתיר בדיע' בכל ענין, ואלוי איזה ט"ס נפל בדבריו כאן בהג"ה.</w:t>
      </w:r>
      <w:r w:rsidRPr="007E3D66">
        <w:rPr>
          <w:rFonts w:cs="Arial"/>
          <w:rtl/>
        </w:rPr>
        <w:t xml:space="preserve"> וכל זה בחולב לכותח או לאכול החלב כך אבל בידוע שהעובד כוכבים חולב לגבינות יתבאר דינו בסעיף ב'</w:t>
      </w:r>
      <w:r>
        <w:rPr>
          <w:rFonts w:cs="Arial" w:hint="cs"/>
          <w:rtl/>
        </w:rPr>
        <w:t>. וכ' הט"ז (סק"ו) דדברי הרמ"א</w:t>
      </w:r>
      <w:r w:rsidRPr="007E3D66">
        <w:rPr>
          <w:rFonts w:cs="Arial"/>
          <w:rtl/>
        </w:rPr>
        <w:t xml:space="preserve"> קאי על חולב בהמות ישראל ברפת שאחורי בית ישראל</w:t>
      </w:r>
      <w:r>
        <w:rPr>
          <w:rFonts w:cs="Arial" w:hint="cs"/>
          <w:rtl/>
        </w:rPr>
        <w:t>,</w:t>
      </w:r>
      <w:r w:rsidRPr="007E3D66">
        <w:rPr>
          <w:rFonts w:cs="Arial"/>
          <w:rtl/>
        </w:rPr>
        <w:t xml:space="preserve"> אמנם חלב שחלבו </w:t>
      </w:r>
      <w:r>
        <w:rPr>
          <w:rFonts w:cs="Arial" w:hint="cs"/>
          <w:rtl/>
        </w:rPr>
        <w:t>גוי</w:t>
      </w:r>
      <w:r w:rsidRPr="007E3D66">
        <w:rPr>
          <w:rFonts w:cs="Arial"/>
          <w:rtl/>
        </w:rPr>
        <w:t xml:space="preserve"> מבהמה שלו לא שרינן כלל אלא א"כ ישראל רואהו</w:t>
      </w:r>
      <w:r>
        <w:rPr>
          <w:rFonts w:cs="Arial" w:hint="cs"/>
          <w:rtl/>
        </w:rPr>
        <w:t>.</w:t>
      </w:r>
    </w:p>
  </w:footnote>
  <w:footnote w:id="2823">
    <w:p w14:paraId="56AF700A" w14:textId="77777777" w:rsidR="004C5A3C" w:rsidRDefault="004C5A3C" w:rsidP="002C39F4">
      <w:pPr>
        <w:pStyle w:val="a5"/>
        <w:rPr>
          <w:rtl/>
        </w:rPr>
      </w:pPr>
      <w:r>
        <w:rPr>
          <w:rStyle w:val="a7"/>
        </w:rPr>
        <w:footnoteRef/>
      </w:r>
      <w:r>
        <w:rPr>
          <w:rtl/>
        </w:rPr>
        <w:t xml:space="preserve"> </w:t>
      </w:r>
      <w:r w:rsidRPr="00F8475A">
        <w:rPr>
          <w:rFonts w:cs="Arial"/>
          <w:rtl/>
        </w:rPr>
        <w:t>ול"ד לבשולי ע</w:t>
      </w:r>
      <w:r>
        <w:rPr>
          <w:rFonts w:cs="Arial" w:hint="cs"/>
          <w:rtl/>
        </w:rPr>
        <w:t>כו"</w:t>
      </w:r>
      <w:r w:rsidRPr="00F8475A">
        <w:rPr>
          <w:rFonts w:cs="Arial"/>
          <w:rtl/>
        </w:rPr>
        <w:t>ם לעיל ס"ס קי"ג די"א דאין אוסרת הכלים (וכן דעת או"ה כלל מ"ג ד"ו)</w:t>
      </w:r>
      <w:r>
        <w:rPr>
          <w:rFonts w:cs="Arial" w:hint="cs"/>
          <w:rtl/>
        </w:rPr>
        <w:t>,</w:t>
      </w:r>
      <w:r w:rsidRPr="00F8475A">
        <w:rPr>
          <w:rFonts w:cs="Arial"/>
          <w:rtl/>
        </w:rPr>
        <w:t xml:space="preserve"> דשאני התם דעיקר איסורין מדבריהן מחמת גזרות חתנות</w:t>
      </w:r>
      <w:r>
        <w:rPr>
          <w:rFonts w:cs="Arial" w:hint="cs"/>
          <w:rtl/>
        </w:rPr>
        <w:t>,</w:t>
      </w:r>
      <w:r w:rsidRPr="00F8475A">
        <w:rPr>
          <w:rFonts w:cs="Arial"/>
          <w:rtl/>
        </w:rPr>
        <w:t xml:space="preserve"> אבל הכא גזרו בו משום חשש איסור דאורייתא שיש בחלב עצמו</w:t>
      </w:r>
      <w:r>
        <w:rPr>
          <w:rFonts w:cs="Arial" w:hint="cs"/>
          <w:rtl/>
        </w:rPr>
        <w:t>,</w:t>
      </w:r>
      <w:r w:rsidRPr="00F8475A">
        <w:rPr>
          <w:rFonts w:cs="Arial"/>
          <w:rtl/>
        </w:rPr>
        <w:t xml:space="preserve"> וכן מחלק האו"ה כלל מ"ה</w:t>
      </w:r>
      <w:r>
        <w:rPr>
          <w:rFonts w:cs="Arial" w:hint="cs"/>
          <w:rtl/>
        </w:rPr>
        <w:t>, ש"ך (סקי"ד).</w:t>
      </w:r>
    </w:p>
  </w:footnote>
  <w:footnote w:id="2824">
    <w:p w14:paraId="236A04E7" w14:textId="77777777" w:rsidR="004C5A3C" w:rsidRDefault="004C5A3C" w:rsidP="002C39F4">
      <w:pPr>
        <w:pStyle w:val="a5"/>
        <w:rPr>
          <w:rtl/>
        </w:rPr>
      </w:pPr>
      <w:r>
        <w:rPr>
          <w:rStyle w:val="a7"/>
        </w:rPr>
        <w:footnoteRef/>
      </w:r>
      <w:r>
        <w:rPr>
          <w:rtl/>
        </w:rPr>
        <w:t xml:space="preserve"> </w:t>
      </w:r>
      <w:r w:rsidRPr="00F8475A">
        <w:rPr>
          <w:rFonts w:cs="Arial"/>
          <w:rtl/>
        </w:rPr>
        <w:t>וה"ה אם כבוש שם מעת לעת</w:t>
      </w:r>
      <w:r>
        <w:rPr>
          <w:rFonts w:cs="Arial" w:hint="cs"/>
          <w:rtl/>
        </w:rPr>
        <w:t>,</w:t>
      </w:r>
      <w:r w:rsidRPr="00F8475A">
        <w:rPr>
          <w:rFonts w:cs="Arial"/>
          <w:rtl/>
        </w:rPr>
        <w:t xml:space="preserve"> כן הוא באו"ה</w:t>
      </w:r>
      <w:r>
        <w:rPr>
          <w:rFonts w:hint="cs"/>
          <w:rtl/>
        </w:rPr>
        <w:t xml:space="preserve"> (כלל מה ד"ד), ט"ז (סק"ז).</w:t>
      </w:r>
    </w:p>
  </w:footnote>
  <w:footnote w:id="2825">
    <w:p w14:paraId="354AE085" w14:textId="77777777" w:rsidR="004C5A3C" w:rsidRDefault="004C5A3C" w:rsidP="002C39F4">
      <w:pPr>
        <w:pStyle w:val="a5"/>
      </w:pPr>
      <w:r>
        <w:rPr>
          <w:rStyle w:val="a7"/>
        </w:rPr>
        <w:footnoteRef/>
      </w:r>
      <w:r>
        <w:rPr>
          <w:rtl/>
        </w:rPr>
        <w:t xml:space="preserve"> </w:t>
      </w:r>
      <w:r w:rsidRPr="00F8475A">
        <w:rPr>
          <w:rFonts w:cs="Arial"/>
          <w:rtl/>
        </w:rPr>
        <w:t>וכ"כ האו"ה</w:t>
      </w:r>
      <w:r>
        <w:rPr>
          <w:rFonts w:cs="Arial" w:hint="cs"/>
          <w:rtl/>
        </w:rPr>
        <w:t>,</w:t>
      </w:r>
      <w:r w:rsidRPr="00F8475A">
        <w:rPr>
          <w:rFonts w:cs="Arial"/>
          <w:rtl/>
        </w:rPr>
        <w:t xml:space="preserve"> ואע</w:t>
      </w:r>
      <w:r>
        <w:rPr>
          <w:rFonts w:cs="Arial" w:hint="cs"/>
          <w:rtl/>
        </w:rPr>
        <w:t>"</w:t>
      </w:r>
      <w:r w:rsidRPr="00F8475A">
        <w:rPr>
          <w:rFonts w:cs="Arial"/>
          <w:rtl/>
        </w:rPr>
        <w:t>ג דס"ל להאו"ה אפילו גבינות של ע</w:t>
      </w:r>
      <w:r>
        <w:rPr>
          <w:rFonts w:cs="Arial" w:hint="cs"/>
          <w:rtl/>
        </w:rPr>
        <w:t>כו"</w:t>
      </w:r>
      <w:r w:rsidRPr="00F8475A">
        <w:rPr>
          <w:rFonts w:cs="Arial"/>
          <w:rtl/>
        </w:rPr>
        <w:t>ם גופיה שנפלו בתבשיל בטל ברוב</w:t>
      </w:r>
      <w:r>
        <w:rPr>
          <w:rFonts w:cs="Arial" w:hint="cs"/>
          <w:rtl/>
        </w:rPr>
        <w:t>,</w:t>
      </w:r>
      <w:r w:rsidRPr="00F8475A">
        <w:rPr>
          <w:rFonts w:cs="Arial"/>
          <w:rtl/>
        </w:rPr>
        <w:t xml:space="preserve"> וכדלקמן סקי"ז</w:t>
      </w:r>
      <w:r>
        <w:rPr>
          <w:rFonts w:cs="Arial" w:hint="cs"/>
          <w:rtl/>
        </w:rPr>
        <w:t>,</w:t>
      </w:r>
      <w:r w:rsidRPr="00F8475A">
        <w:rPr>
          <w:rFonts w:cs="Arial"/>
          <w:rtl/>
        </w:rPr>
        <w:t xml:space="preserve"> צ"ל דכאן מיירי באין בתבשיל רוב נגד הכלי</w:t>
      </w:r>
      <w:r>
        <w:rPr>
          <w:rFonts w:cs="Arial" w:hint="cs"/>
          <w:rtl/>
        </w:rPr>
        <w:t>,</w:t>
      </w:r>
      <w:r w:rsidRPr="00F8475A">
        <w:rPr>
          <w:rFonts w:cs="Arial"/>
          <w:rtl/>
        </w:rPr>
        <w:t xml:space="preserve"> א"נ לכתחלה אסור לבשל בו אפילו יהא בתבשיל רוב</w:t>
      </w:r>
      <w:r>
        <w:rPr>
          <w:rFonts w:cs="Arial" w:hint="cs"/>
          <w:rtl/>
        </w:rPr>
        <w:t>,</w:t>
      </w:r>
      <w:r w:rsidRPr="00F8475A">
        <w:rPr>
          <w:rFonts w:cs="Arial"/>
          <w:rtl/>
        </w:rPr>
        <w:t xml:space="preserve"> דאסור להוסיף על שום איסור ולבטלו כדלעיל סימן צ"ט ס"ו ע"ש </w:t>
      </w:r>
      <w:r>
        <w:rPr>
          <w:rFonts w:cs="Arial" w:hint="cs"/>
          <w:rtl/>
        </w:rPr>
        <w:t>,</w:t>
      </w:r>
      <w:r w:rsidRPr="00F8475A">
        <w:rPr>
          <w:rFonts w:cs="Arial"/>
          <w:rtl/>
        </w:rPr>
        <w:t>אבל אם נתבשל בו דיעבד ויש רוב בתבשיל שרי להאו"ה</w:t>
      </w:r>
      <w:r>
        <w:rPr>
          <w:rFonts w:cs="Arial" w:hint="cs"/>
          <w:rtl/>
        </w:rPr>
        <w:t>, ש"ך (סקט"ו).</w:t>
      </w:r>
    </w:p>
  </w:footnote>
  <w:footnote w:id="2826">
    <w:p w14:paraId="1494168D" w14:textId="77777777" w:rsidR="004C5A3C" w:rsidRDefault="004C5A3C" w:rsidP="002C39F4">
      <w:pPr>
        <w:pStyle w:val="a5"/>
      </w:pPr>
      <w:r>
        <w:rPr>
          <w:rStyle w:val="a7"/>
        </w:rPr>
        <w:footnoteRef/>
      </w:r>
      <w:r>
        <w:rPr>
          <w:rtl/>
        </w:rPr>
        <w:t xml:space="preserve"> </w:t>
      </w:r>
      <w:r>
        <w:rPr>
          <w:rFonts w:hint="cs"/>
          <w:rtl/>
        </w:rPr>
        <w:t>היינו ברוב היתר, ט"ז (סק"ח) וש"ך (סקי"ז). כדלעיל סי' קיב סע' יד גבי פת עכו"ם. וכ' הש"ך דלפי זה משמע דדעת הרמ"א דגבינה של עכו"ם אינה בטלה ברוב תבשיל, אבל באו</w:t>
      </w:r>
      <w:r>
        <w:rPr>
          <w:rtl/>
        </w:rPr>
        <w:t>"</w:t>
      </w:r>
      <w:r>
        <w:rPr>
          <w:rFonts w:hint="cs"/>
          <w:rtl/>
        </w:rPr>
        <w:t xml:space="preserve">ה פסק להדיא דגבינה של עכו"ם בטלה ברוב תבשיל. ומסקנת הש"ך כדעת הרמ"א לאסור בגבינה עד ששים. </w:t>
      </w:r>
    </w:p>
  </w:footnote>
  <w:footnote w:id="2827">
    <w:p w14:paraId="1031D699" w14:textId="77777777" w:rsidR="004C5A3C" w:rsidRDefault="004C5A3C" w:rsidP="002C39F4">
      <w:pPr>
        <w:pStyle w:val="a5"/>
        <w:rPr>
          <w:rtl/>
        </w:rPr>
      </w:pPr>
      <w:r>
        <w:rPr>
          <w:rStyle w:val="a7"/>
        </w:rPr>
        <w:footnoteRef/>
      </w:r>
      <w:r>
        <w:rPr>
          <w:rtl/>
        </w:rPr>
        <w:t xml:space="preserve"> </w:t>
      </w:r>
      <w:r w:rsidRPr="00F8475A">
        <w:rPr>
          <w:rFonts w:cs="Arial"/>
          <w:rtl/>
        </w:rPr>
        <w:t>דוקא בסתם חלב אבל כשאנו יודעים שדעת העובד כוכבים היה לעשות גבינות מהחלב מותר לישראל לעשות אח"כ ממנה גבינות כמ"ש לקמן סעיף ב'</w:t>
      </w:r>
      <w:r>
        <w:rPr>
          <w:rFonts w:hint="cs"/>
          <w:rtl/>
        </w:rPr>
        <w:t>, ש"ך (סקי"ח).</w:t>
      </w:r>
    </w:p>
  </w:footnote>
  <w:footnote w:id="2828">
    <w:p w14:paraId="630267F9" w14:textId="77777777" w:rsidR="004C5A3C" w:rsidRDefault="004C5A3C" w:rsidP="002C39F4">
      <w:pPr>
        <w:pStyle w:val="a5"/>
        <w:rPr>
          <w:rtl/>
        </w:rPr>
      </w:pPr>
      <w:r>
        <w:rPr>
          <w:rStyle w:val="a7"/>
        </w:rPr>
        <w:footnoteRef/>
      </w:r>
      <w:r>
        <w:rPr>
          <w:rtl/>
        </w:rPr>
        <w:t xml:space="preserve"> </w:t>
      </w:r>
      <w:r>
        <w:rPr>
          <w:rFonts w:hint="cs"/>
          <w:rtl/>
        </w:rPr>
        <w:t>היינו בחלב שנמצא בקיבתה של נבילה, שהוא חמוץ ומעמיד.</w:t>
      </w:r>
    </w:p>
  </w:footnote>
  <w:footnote w:id="2829">
    <w:p w14:paraId="6E5BA4BB" w14:textId="77777777" w:rsidR="004C5A3C" w:rsidRDefault="004C5A3C" w:rsidP="002C39F4">
      <w:pPr>
        <w:pStyle w:val="a5"/>
        <w:rPr>
          <w:rtl/>
        </w:rPr>
      </w:pPr>
      <w:r>
        <w:rPr>
          <w:rStyle w:val="a7"/>
        </w:rPr>
        <w:footnoteRef/>
      </w:r>
      <w:r>
        <w:rPr>
          <w:rtl/>
        </w:rPr>
        <w:t xml:space="preserve"> </w:t>
      </w:r>
      <w:r w:rsidRPr="00EE2C43">
        <w:rPr>
          <w:rFonts w:cs="Arial"/>
          <w:rtl/>
        </w:rPr>
        <w:t>מקרוב גזרו על הגבינה</w:t>
      </w:r>
      <w:r>
        <w:rPr>
          <w:rFonts w:cs="Arial" w:hint="cs"/>
          <w:rtl/>
        </w:rPr>
        <w:t>, רש"י</w:t>
      </w:r>
      <w:r w:rsidRPr="00EE2C43">
        <w:rPr>
          <w:rFonts w:cs="Arial"/>
          <w:rtl/>
        </w:rPr>
        <w:t>.</w:t>
      </w:r>
    </w:p>
  </w:footnote>
  <w:footnote w:id="2830">
    <w:p w14:paraId="4CCB7BA4" w14:textId="77777777" w:rsidR="004C5A3C" w:rsidRDefault="004C5A3C" w:rsidP="002C39F4">
      <w:pPr>
        <w:pStyle w:val="a5"/>
      </w:pPr>
      <w:r>
        <w:rPr>
          <w:rStyle w:val="a7"/>
        </w:rPr>
        <w:footnoteRef/>
      </w:r>
      <w:r>
        <w:rPr>
          <w:rtl/>
        </w:rPr>
        <w:t xml:space="preserve"> </w:t>
      </w:r>
      <w:r w:rsidRPr="00EE2C43">
        <w:rPr>
          <w:rFonts w:cs="Arial"/>
          <w:rtl/>
        </w:rPr>
        <w:t>שמא ניקר נחש בגבינה זו.</w:t>
      </w:r>
    </w:p>
  </w:footnote>
  <w:footnote w:id="2831">
    <w:p w14:paraId="35531706" w14:textId="77777777" w:rsidR="004C5A3C" w:rsidRDefault="004C5A3C" w:rsidP="002C39F4">
      <w:pPr>
        <w:pStyle w:val="a5"/>
        <w:rPr>
          <w:rtl/>
        </w:rPr>
      </w:pPr>
      <w:r>
        <w:rPr>
          <w:rStyle w:val="a7"/>
        </w:rPr>
        <w:footnoteRef/>
      </w:r>
      <w:r>
        <w:rPr>
          <w:rtl/>
        </w:rPr>
        <w:t xml:space="preserve"> </w:t>
      </w:r>
      <w:r w:rsidRPr="00B14C82">
        <w:rPr>
          <w:rFonts w:cs="Arial"/>
          <w:rtl/>
        </w:rPr>
        <w:t>ר</w:t>
      </w:r>
      <w:r>
        <w:rPr>
          <w:rFonts w:cs="Arial" w:hint="cs"/>
          <w:rtl/>
        </w:rPr>
        <w:t>"</w:t>
      </w:r>
      <w:r w:rsidRPr="00B14C82">
        <w:rPr>
          <w:rFonts w:cs="Arial"/>
          <w:rtl/>
        </w:rPr>
        <w:t xml:space="preserve">ח </w:t>
      </w:r>
      <w:r w:rsidRPr="00D56432">
        <w:rPr>
          <w:rFonts w:cs="Arial" w:hint="cs"/>
          <w:sz w:val="16"/>
          <w:szCs w:val="16"/>
          <w:rtl/>
        </w:rPr>
        <w:t xml:space="preserve">(כ"כ הסמ"ג </w:t>
      </w:r>
      <w:r>
        <w:rPr>
          <w:rFonts w:cs="Arial" w:hint="cs"/>
          <w:sz w:val="16"/>
          <w:szCs w:val="16"/>
          <w:rtl/>
        </w:rPr>
        <w:t>[</w:t>
      </w:r>
      <w:r w:rsidRPr="00D56432">
        <w:rPr>
          <w:rFonts w:cs="Arial"/>
          <w:sz w:val="16"/>
          <w:szCs w:val="16"/>
          <w:rtl/>
        </w:rPr>
        <w:t>לאוין קלב מה:</w:t>
      </w:r>
      <w:r>
        <w:rPr>
          <w:rFonts w:cs="Arial" w:hint="cs"/>
          <w:sz w:val="16"/>
          <w:szCs w:val="16"/>
          <w:rtl/>
        </w:rPr>
        <w:t xml:space="preserve">] </w:t>
      </w:r>
      <w:r w:rsidRPr="00D56432">
        <w:rPr>
          <w:rFonts w:cs="Arial" w:hint="cs"/>
          <w:sz w:val="16"/>
          <w:szCs w:val="16"/>
          <w:rtl/>
        </w:rPr>
        <w:t xml:space="preserve">בשמו) </w:t>
      </w:r>
      <w:r>
        <w:rPr>
          <w:rFonts w:cs="Arial" w:hint="cs"/>
          <w:rtl/>
        </w:rPr>
        <w:t xml:space="preserve">ר"ת </w:t>
      </w:r>
      <w:r w:rsidRPr="00D56432">
        <w:rPr>
          <w:rFonts w:cs="Arial" w:hint="cs"/>
          <w:sz w:val="16"/>
          <w:szCs w:val="16"/>
          <w:rtl/>
        </w:rPr>
        <w:t xml:space="preserve">(כ"כ </w:t>
      </w:r>
      <w:r>
        <w:rPr>
          <w:rFonts w:cs="Arial" w:hint="cs"/>
          <w:sz w:val="16"/>
          <w:szCs w:val="16"/>
          <w:rtl/>
        </w:rPr>
        <w:t>התוס' [לה. ד"ה חדא] ו</w:t>
      </w:r>
      <w:r w:rsidRPr="00D56432">
        <w:rPr>
          <w:rFonts w:cs="Arial" w:hint="cs"/>
          <w:sz w:val="16"/>
          <w:szCs w:val="16"/>
          <w:rtl/>
        </w:rPr>
        <w:t>הסמ"</w:t>
      </w:r>
      <w:r>
        <w:rPr>
          <w:rFonts w:cs="Arial" w:hint="cs"/>
          <w:sz w:val="16"/>
          <w:szCs w:val="16"/>
          <w:rtl/>
        </w:rPr>
        <w:t>ק</w:t>
      </w:r>
      <w:r w:rsidRPr="00D56432">
        <w:rPr>
          <w:rFonts w:cs="Arial" w:hint="cs"/>
          <w:sz w:val="16"/>
          <w:szCs w:val="16"/>
          <w:rtl/>
        </w:rPr>
        <w:t xml:space="preserve"> [</w:t>
      </w:r>
      <w:r w:rsidRPr="00D56432">
        <w:rPr>
          <w:rFonts w:cs="Arial"/>
          <w:sz w:val="16"/>
          <w:szCs w:val="16"/>
          <w:rtl/>
        </w:rPr>
        <w:t>סי' רכג ובהג</w:t>
      </w:r>
      <w:r>
        <w:rPr>
          <w:rFonts w:cs="Arial" w:hint="cs"/>
          <w:sz w:val="16"/>
          <w:szCs w:val="16"/>
          <w:rtl/>
        </w:rPr>
        <w:t xml:space="preserve">ה' </w:t>
      </w:r>
      <w:r w:rsidRPr="00D56432">
        <w:rPr>
          <w:rFonts w:cs="Arial"/>
          <w:sz w:val="16"/>
          <w:szCs w:val="16"/>
          <w:rtl/>
        </w:rPr>
        <w:t>סק"א</w:t>
      </w:r>
      <w:r w:rsidRPr="00D56432">
        <w:rPr>
          <w:rFonts w:cs="Arial" w:hint="cs"/>
          <w:sz w:val="16"/>
          <w:szCs w:val="16"/>
          <w:rtl/>
        </w:rPr>
        <w:t>] בשמו)</w:t>
      </w:r>
      <w:r>
        <w:rPr>
          <w:rFonts w:cs="Arial" w:hint="cs"/>
          <w:rtl/>
        </w:rPr>
        <w:t xml:space="preserve"> תוס' </w:t>
      </w:r>
      <w:r>
        <w:rPr>
          <w:rFonts w:cs="Arial" w:hint="cs"/>
          <w:sz w:val="16"/>
          <w:szCs w:val="16"/>
          <w:rtl/>
        </w:rPr>
        <w:t xml:space="preserve">(לה. ד"ה חדא) </w:t>
      </w:r>
      <w:r>
        <w:rPr>
          <w:rFonts w:cs="Arial" w:hint="cs"/>
          <w:rtl/>
        </w:rPr>
        <w:t>סמ"ק</w:t>
      </w:r>
      <w:r w:rsidRPr="003F390A">
        <w:rPr>
          <w:rFonts w:cs="Arial"/>
          <w:sz w:val="16"/>
          <w:szCs w:val="16"/>
          <w:rtl/>
        </w:rPr>
        <w:t xml:space="preserve"> </w:t>
      </w:r>
      <w:r>
        <w:rPr>
          <w:rFonts w:cs="Arial" w:hint="cs"/>
          <w:sz w:val="16"/>
          <w:szCs w:val="16"/>
          <w:rtl/>
        </w:rPr>
        <w:t>(</w:t>
      </w:r>
      <w:r w:rsidRPr="00D56432">
        <w:rPr>
          <w:rFonts w:cs="Arial"/>
          <w:sz w:val="16"/>
          <w:szCs w:val="16"/>
          <w:rtl/>
        </w:rPr>
        <w:t>סי' רכג</w:t>
      </w:r>
      <w:r>
        <w:rPr>
          <w:rFonts w:cs="Arial" w:hint="cs"/>
          <w:sz w:val="16"/>
          <w:szCs w:val="16"/>
          <w:rtl/>
        </w:rPr>
        <w:t>)</w:t>
      </w:r>
      <w:r>
        <w:rPr>
          <w:rFonts w:cs="Arial" w:hint="cs"/>
          <w:rtl/>
        </w:rPr>
        <w:t xml:space="preserve"> ור"פ</w:t>
      </w:r>
      <w:r>
        <w:rPr>
          <w:rFonts w:cs="Arial" w:hint="cs"/>
          <w:sz w:val="16"/>
          <w:szCs w:val="16"/>
          <w:rtl/>
        </w:rPr>
        <w:t xml:space="preserve"> (שם סק"ה)</w:t>
      </w:r>
      <w:r>
        <w:rPr>
          <w:rFonts w:hint="cs"/>
          <w:rtl/>
        </w:rPr>
        <w:t>.</w:t>
      </w:r>
    </w:p>
  </w:footnote>
  <w:footnote w:id="2832">
    <w:p w14:paraId="4FA70FDB" w14:textId="77777777" w:rsidR="004C5A3C" w:rsidRPr="003A141D" w:rsidRDefault="004C5A3C" w:rsidP="002C39F4">
      <w:pPr>
        <w:pStyle w:val="a5"/>
      </w:pPr>
      <w:r w:rsidRPr="003A141D">
        <w:rPr>
          <w:rStyle w:val="a7"/>
        </w:rPr>
        <w:footnoteRef/>
      </w:r>
      <w:r w:rsidRPr="003A141D">
        <w:rPr>
          <w:rtl/>
        </w:rPr>
        <w:t xml:space="preserve"> </w:t>
      </w:r>
      <w:r w:rsidRPr="003A141D">
        <w:rPr>
          <w:rFonts w:cs="Arial"/>
          <w:rtl/>
        </w:rPr>
        <w:t>דקי"ל הלכה כריב"ל אף לגבי ר' יוחנן וכ"ש לגבי שמואל דהא (עירובין מז:) שמואל ור' יוחנן הלכה כר' יוחנן וכן פסק ר"ח וכן בסדר תנאים ואמוראים פסק הלכה כריב"ל בכ"מ</w:t>
      </w:r>
      <w:r w:rsidRPr="003A141D">
        <w:rPr>
          <w:rFonts w:cs="Arial" w:hint="cs"/>
          <w:rtl/>
        </w:rPr>
        <w:t>,</w:t>
      </w:r>
      <w:r w:rsidRPr="003A141D">
        <w:rPr>
          <w:rFonts w:cs="Arial"/>
          <w:rtl/>
        </w:rPr>
        <w:t xml:space="preserve"> וגם דברי רב אדא בר אהבה אינם כלום כיון שאינו אותו רב אדא בר אהבה שהיה תלמידו של רבא שהיה בתראה שהרי הוזכרו דבריו קודם דברי רב חסדא ורב נחמן בר יצחק שהיו קדמונים יותר מרבא</w:t>
      </w:r>
      <w:r w:rsidRPr="003A141D">
        <w:rPr>
          <w:rFonts w:cs="Arial" w:hint="cs"/>
          <w:rtl/>
        </w:rPr>
        <w:t>,</w:t>
      </w:r>
      <w:r w:rsidRPr="003A141D">
        <w:rPr>
          <w:rFonts w:cs="Arial"/>
          <w:rtl/>
        </w:rPr>
        <w:t xml:space="preserve"> וגם דברי רב חסדא ורב נחמן בר יצחק עמדו בקושיא</w:t>
      </w:r>
      <w:r w:rsidRPr="003A141D">
        <w:rPr>
          <w:rFonts w:cs="Arial" w:hint="cs"/>
          <w:rtl/>
        </w:rPr>
        <w:t>,</w:t>
      </w:r>
      <w:r w:rsidRPr="003A141D">
        <w:rPr>
          <w:rFonts w:cs="Arial"/>
          <w:rtl/>
        </w:rPr>
        <w:t xml:space="preserve"> וליכא למיחש נמי משום עירוב חלב טמא כדפרי' לעי</w:t>
      </w:r>
      <w:r w:rsidRPr="003A141D">
        <w:rPr>
          <w:rFonts w:cs="Arial" w:hint="cs"/>
          <w:rtl/>
        </w:rPr>
        <w:t>ל</w:t>
      </w:r>
      <w:r>
        <w:rPr>
          <w:rFonts w:cs="Arial" w:hint="cs"/>
          <w:rtl/>
        </w:rPr>
        <w:t>,</w:t>
      </w:r>
      <w:r w:rsidRPr="003A141D">
        <w:rPr>
          <w:rFonts w:cs="Arial" w:hint="cs"/>
          <w:rtl/>
        </w:rPr>
        <w:t xml:space="preserve"> שלא כפרש"י</w:t>
      </w:r>
      <w:r>
        <w:rPr>
          <w:rFonts w:cs="Arial" w:hint="cs"/>
          <w:rtl/>
        </w:rPr>
        <w:t>,</w:t>
      </w:r>
      <w:r w:rsidRPr="003A141D">
        <w:rPr>
          <w:rFonts w:cs="Arial"/>
          <w:rtl/>
        </w:rPr>
        <w:t xml:space="preserve"> שהרי אין העובדי כוכבים שוטים לערב בו חלב טמא מאחר שאינו עומד</w:t>
      </w:r>
      <w:r w:rsidRPr="003A141D">
        <w:rPr>
          <w:rFonts w:cs="Arial" w:hint="cs"/>
          <w:rtl/>
        </w:rPr>
        <w:t>,</w:t>
      </w:r>
      <w:r w:rsidRPr="003A141D">
        <w:rPr>
          <w:rFonts w:cs="Arial"/>
          <w:rtl/>
        </w:rPr>
        <w:t xml:space="preserve"> אלא ודאי אין הטעם אלא משום נקור</w:t>
      </w:r>
      <w:r>
        <w:rPr>
          <w:rFonts w:cs="Arial" w:hint="cs"/>
          <w:rtl/>
        </w:rPr>
        <w:t>, תוס'</w:t>
      </w:r>
      <w:r w:rsidRPr="003A141D">
        <w:rPr>
          <w:rFonts w:cs="Arial" w:hint="cs"/>
          <w:rtl/>
        </w:rPr>
        <w:t>.</w:t>
      </w:r>
    </w:p>
  </w:footnote>
  <w:footnote w:id="2833">
    <w:p w14:paraId="571813C2" w14:textId="77777777" w:rsidR="004C5A3C" w:rsidRPr="003F390A" w:rsidRDefault="004C5A3C" w:rsidP="002C39F4">
      <w:pPr>
        <w:pStyle w:val="a5"/>
      </w:pPr>
      <w:r w:rsidRPr="003F390A">
        <w:rPr>
          <w:rStyle w:val="a7"/>
        </w:rPr>
        <w:footnoteRef/>
      </w:r>
      <w:r w:rsidRPr="003F390A">
        <w:rPr>
          <w:rtl/>
        </w:rPr>
        <w:t xml:space="preserve"> </w:t>
      </w:r>
      <w:r w:rsidRPr="003F390A">
        <w:rPr>
          <w:rFonts w:cs="Arial" w:hint="cs"/>
          <w:rtl/>
        </w:rPr>
        <w:t>וכ' הב"י דמד</w:t>
      </w:r>
      <w:r w:rsidRPr="003F390A">
        <w:rPr>
          <w:rFonts w:cs="Arial"/>
          <w:rtl/>
        </w:rPr>
        <w:t>אקשו לרב נחמן ולרב חסדא ואסיקנא בקשיא</w:t>
      </w:r>
      <w:r w:rsidRPr="003F390A">
        <w:rPr>
          <w:rFonts w:cs="Arial" w:hint="cs"/>
          <w:rtl/>
        </w:rPr>
        <w:t xml:space="preserve">- </w:t>
      </w:r>
      <w:r w:rsidRPr="003F390A">
        <w:rPr>
          <w:rFonts w:cs="Arial"/>
          <w:rtl/>
        </w:rPr>
        <w:t>לכן לא כתב רבינו דבריהם</w:t>
      </w:r>
      <w:r w:rsidRPr="003F390A">
        <w:rPr>
          <w:rFonts w:cs="Arial" w:hint="cs"/>
          <w:rtl/>
        </w:rPr>
        <w:t>,</w:t>
      </w:r>
      <w:r w:rsidRPr="003F390A">
        <w:rPr>
          <w:rFonts w:cs="Arial"/>
          <w:rtl/>
        </w:rPr>
        <w:t xml:space="preserve"> וגם לא כתב טעמו של ריב</w:t>
      </w:r>
      <w:r w:rsidRPr="003F390A">
        <w:rPr>
          <w:rFonts w:cs="Arial" w:hint="cs"/>
          <w:rtl/>
        </w:rPr>
        <w:t>"</w:t>
      </w:r>
      <w:r w:rsidRPr="003F390A">
        <w:rPr>
          <w:rFonts w:cs="Arial"/>
          <w:rtl/>
        </w:rPr>
        <w:t>ל משום דאנן לא חיישינן לגילוי כמו שיתבאר בסימן שאחר זה</w:t>
      </w:r>
      <w:r>
        <w:rPr>
          <w:rFonts w:hint="cs"/>
          <w:rtl/>
        </w:rPr>
        <w:t>.</w:t>
      </w:r>
    </w:p>
  </w:footnote>
  <w:footnote w:id="2834">
    <w:p w14:paraId="51BAD317" w14:textId="77777777" w:rsidR="004C5A3C" w:rsidRDefault="004C5A3C" w:rsidP="002C39F4">
      <w:pPr>
        <w:pStyle w:val="a5"/>
      </w:pPr>
      <w:r>
        <w:rPr>
          <w:rStyle w:val="a7"/>
        </w:rPr>
        <w:footnoteRef/>
      </w:r>
      <w:r>
        <w:rPr>
          <w:rtl/>
        </w:rPr>
        <w:t xml:space="preserve"> </w:t>
      </w:r>
      <w:r w:rsidRPr="00CB552F">
        <w:rPr>
          <w:rFonts w:cs="Arial"/>
          <w:rtl/>
        </w:rPr>
        <w:t>ואם תאמר והלא עור הקיבה דבר קטן הוא עד מאד בחלב שעמד בו ולמה לא יבטל במיעוטו, מפני שהוא המעמיד הגבינה, והואיל ודבר האסור הוא שהעמיד הרי הכל אסור כמו שיתבאר</w:t>
      </w:r>
      <w:r>
        <w:rPr>
          <w:rFonts w:cs="Arial" w:hint="cs"/>
          <w:rtl/>
        </w:rPr>
        <w:t>, רמב"ם.</w:t>
      </w:r>
    </w:p>
  </w:footnote>
  <w:footnote w:id="2835">
    <w:p w14:paraId="0740FC7D" w14:textId="77777777" w:rsidR="004C5A3C" w:rsidRDefault="004C5A3C" w:rsidP="002C39F4">
      <w:pPr>
        <w:pStyle w:val="a5"/>
        <w:rPr>
          <w:rtl/>
        </w:rPr>
      </w:pPr>
      <w:r>
        <w:rPr>
          <w:rStyle w:val="a7"/>
        </w:rPr>
        <w:footnoteRef/>
      </w:r>
      <w:r>
        <w:rPr>
          <w:rtl/>
        </w:rPr>
        <w:t xml:space="preserve"> </w:t>
      </w:r>
      <w:r>
        <w:rPr>
          <w:rFonts w:cs="Arial" w:hint="cs"/>
          <w:rtl/>
        </w:rPr>
        <w:t>ו</w:t>
      </w:r>
      <w:r w:rsidRPr="00B14C82">
        <w:rPr>
          <w:rFonts w:cs="Arial"/>
          <w:rtl/>
        </w:rPr>
        <w:t>אע</w:t>
      </w:r>
      <w:r>
        <w:rPr>
          <w:rFonts w:cs="Arial" w:hint="cs"/>
          <w:rtl/>
        </w:rPr>
        <w:t>"</w:t>
      </w:r>
      <w:r w:rsidRPr="00B14C82">
        <w:rPr>
          <w:rFonts w:cs="Arial"/>
          <w:rtl/>
        </w:rPr>
        <w:t>ג דאנו נוהגים היתר במים מגולים ולא גזרינן אטו מקומות שהנחשים מצויין היינו משום דלא שייך בהו טעם של איסור אלא משום נחשים הילכך כי שרית להו במקום שאין נחשים מצויים לא יבואו להתיר במקום שהם מצויים אבל גבי גבינות דשייך בהו טעמי טובא לאסור כגון עור קבת נבלה ואינך טעמי דקאמר תלמודא הילכך אי שרית לגבינות במקום שאין הנחשים מצויים אתו למשרי גם במקום שהם מצויים הילכך לפי טעמו של ריב</w:t>
      </w:r>
      <w:r>
        <w:rPr>
          <w:rFonts w:cs="Arial" w:hint="cs"/>
          <w:rtl/>
        </w:rPr>
        <w:t>"</w:t>
      </w:r>
      <w:r w:rsidRPr="00B14C82">
        <w:rPr>
          <w:rFonts w:cs="Arial"/>
          <w:rtl/>
        </w:rPr>
        <w:t>ל יש לאסור גבינות הגוים אפילו במקום שמעמידים אותם בפרחים</w:t>
      </w:r>
      <w:r>
        <w:rPr>
          <w:rFonts w:cs="Arial" w:hint="cs"/>
          <w:rtl/>
        </w:rPr>
        <w:t>,</w:t>
      </w:r>
      <w:r w:rsidRPr="00B14C82">
        <w:rPr>
          <w:rFonts w:cs="Arial"/>
          <w:rtl/>
        </w:rPr>
        <w:t xml:space="preserve"> והלכה</w:t>
      </w:r>
      <w:r>
        <w:rPr>
          <w:rFonts w:cs="Arial" w:hint="cs"/>
          <w:rtl/>
        </w:rPr>
        <w:t xml:space="preserve"> כריב"ל</w:t>
      </w:r>
      <w:r w:rsidRPr="00B14C82">
        <w:rPr>
          <w:rFonts w:cs="Arial"/>
          <w:rtl/>
        </w:rPr>
        <w:t xml:space="preserve"> כמו שפסק ר"ת</w:t>
      </w:r>
      <w:r>
        <w:rPr>
          <w:rFonts w:cs="Arial" w:hint="cs"/>
          <w:rtl/>
        </w:rPr>
        <w:t>, ר"פ</w:t>
      </w:r>
      <w:r w:rsidRPr="00B14C82">
        <w:rPr>
          <w:rFonts w:cs="Arial"/>
          <w:rtl/>
        </w:rPr>
        <w:t>.</w:t>
      </w:r>
    </w:p>
  </w:footnote>
  <w:footnote w:id="2836">
    <w:p w14:paraId="632306CC" w14:textId="77777777" w:rsidR="004C5A3C" w:rsidRDefault="004C5A3C" w:rsidP="002C39F4">
      <w:pPr>
        <w:pStyle w:val="a5"/>
        <w:rPr>
          <w:rtl/>
        </w:rPr>
      </w:pPr>
      <w:r>
        <w:rPr>
          <w:rStyle w:val="a7"/>
        </w:rPr>
        <w:footnoteRef/>
      </w:r>
      <w:r>
        <w:rPr>
          <w:rtl/>
        </w:rPr>
        <w:t xml:space="preserve"> </w:t>
      </w:r>
      <w:r>
        <w:rPr>
          <w:rFonts w:cs="Arial" w:hint="cs"/>
          <w:rtl/>
        </w:rPr>
        <w:t>וכ' ה</w:t>
      </w:r>
      <w:r w:rsidRPr="004A00EA">
        <w:rPr>
          <w:rFonts w:cs="Arial"/>
          <w:rtl/>
        </w:rPr>
        <w:t xml:space="preserve">מרדכי </w:t>
      </w:r>
      <w:r w:rsidRPr="00B14C82">
        <w:rPr>
          <w:rFonts w:cs="Arial"/>
          <w:sz w:val="16"/>
          <w:szCs w:val="16"/>
          <w:rtl/>
        </w:rPr>
        <w:t>(סי' תתכו)</w:t>
      </w:r>
      <w:r>
        <w:rPr>
          <w:rFonts w:cs="Arial" w:hint="cs"/>
          <w:rtl/>
        </w:rPr>
        <w:t xml:space="preserve"> </w:t>
      </w:r>
      <w:r w:rsidRPr="004A00EA">
        <w:rPr>
          <w:rFonts w:cs="Arial"/>
          <w:rtl/>
        </w:rPr>
        <w:t>שלא התיר ר"ת אלא בחולב לעשות בו גבינה אבל לא בחלב שחלבו לאכילה ולכותח</w:t>
      </w:r>
      <w:r>
        <w:rPr>
          <w:rFonts w:cs="Arial" w:hint="cs"/>
          <w:rtl/>
        </w:rPr>
        <w:t>,</w:t>
      </w:r>
      <w:r w:rsidRPr="004A00EA">
        <w:rPr>
          <w:rFonts w:cs="Arial"/>
          <w:rtl/>
        </w:rPr>
        <w:t xml:space="preserve"> וכתב דאין לחוש שמא העמיד בעור קיבת נבלה דהוי ליה ספק ספיקא</w:t>
      </w:r>
      <w:r>
        <w:rPr>
          <w:rFonts w:cs="Arial" w:hint="cs"/>
          <w:rtl/>
        </w:rPr>
        <w:t>, דרכ"מ (אות ב).</w:t>
      </w:r>
    </w:p>
  </w:footnote>
  <w:footnote w:id="2837">
    <w:p w14:paraId="51C8B393" w14:textId="77777777" w:rsidR="004C5A3C" w:rsidRDefault="004C5A3C" w:rsidP="002C39F4">
      <w:pPr>
        <w:pStyle w:val="a5"/>
      </w:pPr>
      <w:r>
        <w:rPr>
          <w:rStyle w:val="a7"/>
        </w:rPr>
        <w:footnoteRef/>
      </w:r>
      <w:r>
        <w:rPr>
          <w:rtl/>
        </w:rPr>
        <w:t xml:space="preserve"> </w:t>
      </w:r>
      <w:r w:rsidRPr="004A00EA">
        <w:rPr>
          <w:rFonts w:cs="Arial"/>
          <w:rtl/>
        </w:rPr>
        <w:t>וא</w:t>
      </w:r>
      <w:r>
        <w:rPr>
          <w:rFonts w:cs="Arial" w:hint="cs"/>
          <w:rtl/>
        </w:rPr>
        <w:t>ע"</w:t>
      </w:r>
      <w:r w:rsidRPr="004A00EA">
        <w:rPr>
          <w:rFonts w:cs="Arial"/>
          <w:rtl/>
        </w:rPr>
        <w:t>פ שלא כתב הרמב"ם הוראה זו אלא בשם מקצת הגאונים משמע שכדבריהם הוא סובר שאל</w:t>
      </w:r>
      <w:r>
        <w:rPr>
          <w:rFonts w:cs="Arial" w:hint="cs"/>
          <w:rtl/>
        </w:rPr>
        <w:t>"</w:t>
      </w:r>
      <w:r w:rsidRPr="004A00EA">
        <w:rPr>
          <w:rFonts w:cs="Arial"/>
          <w:rtl/>
        </w:rPr>
        <w:t>כ הוה ליה להביא דברי החולקים עליהם</w:t>
      </w:r>
      <w:r>
        <w:rPr>
          <w:rFonts w:cs="Arial" w:hint="cs"/>
          <w:rtl/>
        </w:rPr>
        <w:t>, ב"י.</w:t>
      </w:r>
    </w:p>
  </w:footnote>
  <w:footnote w:id="2838">
    <w:p w14:paraId="1B9DE4B9" w14:textId="77777777" w:rsidR="004C5A3C" w:rsidRDefault="004C5A3C" w:rsidP="002C39F4">
      <w:pPr>
        <w:pStyle w:val="a5"/>
        <w:rPr>
          <w:rtl/>
        </w:rPr>
      </w:pPr>
      <w:r>
        <w:rPr>
          <w:rStyle w:val="a7"/>
        </w:rPr>
        <w:footnoteRef/>
      </w:r>
      <w:r>
        <w:rPr>
          <w:rtl/>
        </w:rPr>
        <w:t xml:space="preserve"> </w:t>
      </w:r>
      <w:r>
        <w:rPr>
          <w:rFonts w:cs="Arial" w:hint="cs"/>
          <w:rtl/>
        </w:rPr>
        <w:t xml:space="preserve">וכ' הב"י- </w:t>
      </w:r>
      <w:r w:rsidRPr="004A00EA">
        <w:rPr>
          <w:rFonts w:cs="Arial"/>
          <w:rtl/>
        </w:rPr>
        <w:t>ומכאן תשובה לבני איטלי"א שנוהגין היתר בגבינות הגוים מפני שמעמידין אותם בפרחים ולא מצאו ידיהם ורגליהם שאפילו לדברי ר</w:t>
      </w:r>
      <w:r>
        <w:rPr>
          <w:rFonts w:cs="Arial" w:hint="cs"/>
          <w:rtl/>
        </w:rPr>
        <w:t>"</w:t>
      </w:r>
      <w:r w:rsidRPr="004A00EA">
        <w:rPr>
          <w:rFonts w:cs="Arial"/>
          <w:rtl/>
        </w:rPr>
        <w:t>ת שפסק הלכה כר</w:t>
      </w:r>
      <w:r>
        <w:rPr>
          <w:rFonts w:cs="Arial" w:hint="cs"/>
          <w:rtl/>
        </w:rPr>
        <w:t>יב"</w:t>
      </w:r>
      <w:r w:rsidRPr="004A00EA">
        <w:rPr>
          <w:rFonts w:cs="Arial"/>
          <w:rtl/>
        </w:rPr>
        <w:t>ל דאמר דטעמא דאיסור גבינות הגוים הוא משום גילוי כבר כתבתי בשם סמ"ג וסמ"ק דאע"ג דאין נוהג בינינו איסור גילוי במשקים מ</w:t>
      </w:r>
      <w:r>
        <w:rPr>
          <w:rFonts w:cs="Arial" w:hint="cs"/>
          <w:rtl/>
        </w:rPr>
        <w:t>"</w:t>
      </w:r>
      <w:r w:rsidRPr="004A00EA">
        <w:rPr>
          <w:rFonts w:cs="Arial"/>
          <w:rtl/>
        </w:rPr>
        <w:t>מ איסור גבינות במקומו עומד</w:t>
      </w:r>
      <w:r>
        <w:rPr>
          <w:rFonts w:cs="Arial" w:hint="cs"/>
          <w:rtl/>
        </w:rPr>
        <w:t>,</w:t>
      </w:r>
      <w:r w:rsidRPr="004A00EA">
        <w:rPr>
          <w:rFonts w:cs="Arial"/>
          <w:rtl/>
        </w:rPr>
        <w:t xml:space="preserve"> ובהדיא כתב כן בסמ"ק לדעת ר"ת</w:t>
      </w:r>
      <w:r>
        <w:rPr>
          <w:rFonts w:cs="Arial" w:hint="cs"/>
          <w:rtl/>
        </w:rPr>
        <w:t>,</w:t>
      </w:r>
      <w:r w:rsidRPr="004A00EA">
        <w:rPr>
          <w:rFonts w:cs="Arial"/>
          <w:rtl/>
        </w:rPr>
        <w:t xml:space="preserve"> ואע</w:t>
      </w:r>
      <w:r>
        <w:rPr>
          <w:rFonts w:cs="Arial" w:hint="cs"/>
          <w:rtl/>
        </w:rPr>
        <w:t>"</w:t>
      </w:r>
      <w:r w:rsidRPr="004A00EA">
        <w:rPr>
          <w:rFonts w:cs="Arial"/>
          <w:rtl/>
        </w:rPr>
        <w:t>פ שמדברי התוס</w:t>
      </w:r>
      <w:r>
        <w:rPr>
          <w:rFonts w:cs="Arial" w:hint="cs"/>
          <w:rtl/>
        </w:rPr>
        <w:t>'</w:t>
      </w:r>
      <w:r w:rsidRPr="004A00EA">
        <w:rPr>
          <w:rFonts w:cs="Arial"/>
          <w:rtl/>
        </w:rPr>
        <w:t xml:space="preserve"> נראה שאין מחלקים בין גבינה למים בענין גילוי דכי היכי דשרו מים לדידן הכי נמי שריא גבינה</w:t>
      </w:r>
      <w:r>
        <w:rPr>
          <w:rFonts w:cs="Arial" w:hint="cs"/>
          <w:rtl/>
        </w:rPr>
        <w:t>,</w:t>
      </w:r>
      <w:r w:rsidRPr="004A00EA">
        <w:rPr>
          <w:rFonts w:cs="Arial"/>
          <w:rtl/>
        </w:rPr>
        <w:t xml:space="preserve"> מ</w:t>
      </w:r>
      <w:r>
        <w:rPr>
          <w:rFonts w:cs="Arial" w:hint="cs"/>
          <w:rtl/>
        </w:rPr>
        <w:t>"</w:t>
      </w:r>
      <w:r w:rsidRPr="004A00EA">
        <w:rPr>
          <w:rFonts w:cs="Arial"/>
          <w:rtl/>
        </w:rPr>
        <w:t xml:space="preserve">מ אפשר דלא למעשה אמרו כן אלא להוראה </w:t>
      </w:r>
      <w:r>
        <w:rPr>
          <w:rFonts w:cs="Arial" w:hint="cs"/>
          <w:sz w:val="16"/>
          <w:szCs w:val="16"/>
          <w:rtl/>
        </w:rPr>
        <w:t>(</w:t>
      </w:r>
      <w:r w:rsidRPr="001D1746">
        <w:rPr>
          <w:rFonts w:cs="Arial"/>
          <w:sz w:val="16"/>
          <w:szCs w:val="16"/>
          <w:rtl/>
        </w:rPr>
        <w:t>וכן מוכיח תחלת דבריהם שכתבו אומר ר</w:t>
      </w:r>
      <w:r w:rsidRPr="001D1746">
        <w:rPr>
          <w:rFonts w:cs="Arial" w:hint="cs"/>
          <w:sz w:val="16"/>
          <w:szCs w:val="16"/>
          <w:rtl/>
        </w:rPr>
        <w:t>"</w:t>
      </w:r>
      <w:r w:rsidRPr="001D1746">
        <w:rPr>
          <w:rFonts w:cs="Arial"/>
          <w:sz w:val="16"/>
          <w:szCs w:val="16"/>
          <w:rtl/>
        </w:rPr>
        <w:t>ת כי עכשיו לא מצינו טעם פשוט לאיסור בגבינות הגוים</w:t>
      </w:r>
      <w:r w:rsidRPr="001D1746">
        <w:rPr>
          <w:rFonts w:cs="Arial" w:hint="cs"/>
          <w:sz w:val="16"/>
          <w:szCs w:val="16"/>
          <w:rtl/>
        </w:rPr>
        <w:t>)</w:t>
      </w:r>
      <w:r>
        <w:rPr>
          <w:rFonts w:cs="Arial" w:hint="cs"/>
          <w:rtl/>
        </w:rPr>
        <w:t xml:space="preserve">, </w:t>
      </w:r>
      <w:r w:rsidRPr="004A00EA">
        <w:rPr>
          <w:rFonts w:cs="Arial"/>
          <w:rtl/>
        </w:rPr>
        <w:t>ואע</w:t>
      </w:r>
      <w:r>
        <w:rPr>
          <w:rFonts w:cs="Arial" w:hint="cs"/>
          <w:rtl/>
        </w:rPr>
        <w:t>"</w:t>
      </w:r>
      <w:r w:rsidRPr="004A00EA">
        <w:rPr>
          <w:rFonts w:cs="Arial"/>
          <w:rtl/>
        </w:rPr>
        <w:t xml:space="preserve">פ שכתבו שבהרבה מקומות אוכלים אותם מפני שמעמידין אותם בפרחים וגם גאוני נרבונא התירו אותם במקומם מזה הטעם </w:t>
      </w:r>
      <w:r>
        <w:rPr>
          <w:rFonts w:cs="Arial" w:hint="cs"/>
          <w:rtl/>
        </w:rPr>
        <w:t xml:space="preserve">- </w:t>
      </w:r>
      <w:r w:rsidRPr="004A00EA">
        <w:rPr>
          <w:rFonts w:cs="Arial"/>
          <w:rtl/>
        </w:rPr>
        <w:t>אין זה כדאי להתירם עליו</w:t>
      </w:r>
      <w:r>
        <w:rPr>
          <w:rFonts w:cs="Arial" w:hint="cs"/>
          <w:rtl/>
        </w:rPr>
        <w:t>,</w:t>
      </w:r>
      <w:r w:rsidRPr="004A00EA">
        <w:rPr>
          <w:rFonts w:cs="Arial"/>
          <w:rtl/>
        </w:rPr>
        <w:t xml:space="preserve"> דהנך גאונים הוו סברי דהלכה כמ"ד דטעמא הוי מפני שמעמידים בעור קבת נבלה ולא חיישי לאינך טעמי</w:t>
      </w:r>
      <w:r>
        <w:rPr>
          <w:rFonts w:cs="Arial" w:hint="cs"/>
          <w:rtl/>
        </w:rPr>
        <w:t>,</w:t>
      </w:r>
      <w:r w:rsidRPr="004A00EA">
        <w:rPr>
          <w:rFonts w:cs="Arial"/>
          <w:rtl/>
        </w:rPr>
        <w:t xml:space="preserve"> אבל לר</w:t>
      </w:r>
      <w:r>
        <w:rPr>
          <w:rFonts w:cs="Arial" w:hint="cs"/>
          <w:rtl/>
        </w:rPr>
        <w:t>"</w:t>
      </w:r>
      <w:r w:rsidRPr="004A00EA">
        <w:rPr>
          <w:rFonts w:cs="Arial"/>
          <w:rtl/>
        </w:rPr>
        <w:t>ת דסבר דהלכה כ</w:t>
      </w:r>
      <w:r>
        <w:rPr>
          <w:rFonts w:cs="Arial" w:hint="cs"/>
          <w:rtl/>
        </w:rPr>
        <w:t>ריב"ל</w:t>
      </w:r>
      <w:r w:rsidRPr="004A00EA">
        <w:rPr>
          <w:rFonts w:cs="Arial"/>
          <w:rtl/>
        </w:rPr>
        <w:t xml:space="preserve"> דאמר דטעמא הוי משום גילוי איכ</w:t>
      </w:r>
      <w:r>
        <w:rPr>
          <w:rFonts w:cs="Arial" w:hint="cs"/>
          <w:rtl/>
        </w:rPr>
        <w:t>"</w:t>
      </w:r>
      <w:r w:rsidRPr="004A00EA">
        <w:rPr>
          <w:rFonts w:cs="Arial"/>
          <w:rtl/>
        </w:rPr>
        <w:t>ל דהשתא נמי אסור כדכתב בסמ"ק</w:t>
      </w:r>
      <w:r>
        <w:rPr>
          <w:rFonts w:cs="Arial" w:hint="cs"/>
          <w:rtl/>
        </w:rPr>
        <w:t>,</w:t>
      </w:r>
      <w:r w:rsidRPr="004A00EA">
        <w:rPr>
          <w:rFonts w:cs="Arial"/>
          <w:rtl/>
        </w:rPr>
        <w:t xml:space="preserve"> וכ</w:t>
      </w:r>
      <w:r>
        <w:rPr>
          <w:rFonts w:cs="Arial" w:hint="cs"/>
          <w:rtl/>
        </w:rPr>
        <w:t>"</w:t>
      </w:r>
      <w:r w:rsidRPr="004A00EA">
        <w:rPr>
          <w:rFonts w:cs="Arial"/>
          <w:rtl/>
        </w:rPr>
        <w:t>ש במקום שהרמב"ם והרשב"א שהם עמודי עולם אוסרים</w:t>
      </w:r>
      <w:r>
        <w:rPr>
          <w:rFonts w:cs="Arial" w:hint="cs"/>
          <w:rtl/>
        </w:rPr>
        <w:t>,</w:t>
      </w:r>
      <w:r w:rsidRPr="004A00EA">
        <w:rPr>
          <w:rFonts w:cs="Arial"/>
          <w:rtl/>
        </w:rPr>
        <w:t xml:space="preserve"> וגם כי בכל שאר מקומות ישראל ששמענו שמעם נוהגים לאסור ואינם מבחינים בין מעמידים בפרחים למעמידים בקבה</w:t>
      </w:r>
      <w:r>
        <w:rPr>
          <w:rFonts w:cs="Arial" w:hint="cs"/>
          <w:rtl/>
        </w:rPr>
        <w:t>,</w:t>
      </w:r>
      <w:r w:rsidRPr="004A00EA">
        <w:rPr>
          <w:rFonts w:cs="Arial"/>
          <w:rtl/>
        </w:rPr>
        <w:t xml:space="preserve"> שאסור לפרוש מכלל ישראל ולפרוץ גדרן של ישראל קדושים אשר גדרו אבות העולם חכמי משנה ע"ה</w:t>
      </w:r>
      <w:r>
        <w:rPr>
          <w:rFonts w:cs="Arial" w:hint="cs"/>
          <w:rtl/>
        </w:rPr>
        <w:t>.</w:t>
      </w:r>
    </w:p>
  </w:footnote>
  <w:footnote w:id="2839">
    <w:p w14:paraId="135C4A47" w14:textId="77777777" w:rsidR="004C5A3C" w:rsidRDefault="004C5A3C" w:rsidP="002C39F4">
      <w:pPr>
        <w:pStyle w:val="a5"/>
        <w:rPr>
          <w:rtl/>
        </w:rPr>
      </w:pPr>
      <w:r>
        <w:rPr>
          <w:rStyle w:val="a7"/>
        </w:rPr>
        <w:footnoteRef/>
      </w:r>
      <w:r>
        <w:rPr>
          <w:rtl/>
        </w:rPr>
        <w:t xml:space="preserve"> </w:t>
      </w:r>
      <w:r>
        <w:rPr>
          <w:rFonts w:hint="cs"/>
          <w:rtl/>
        </w:rPr>
        <w:t>הש"ך הביא את דברי הדרכ"מ</w:t>
      </w:r>
      <w:r w:rsidRPr="00756EA7">
        <w:rPr>
          <w:rFonts w:hint="cs"/>
          <w:sz w:val="16"/>
          <w:szCs w:val="16"/>
          <w:rtl/>
        </w:rPr>
        <w:t xml:space="preserve"> (אות ב) </w:t>
      </w:r>
      <w:r>
        <w:rPr>
          <w:rFonts w:hint="cs"/>
          <w:rtl/>
        </w:rPr>
        <w:t xml:space="preserve">וכ' וז"ל- </w:t>
      </w:r>
      <w:r w:rsidRPr="001239B5">
        <w:rPr>
          <w:rFonts w:cs="Arial"/>
          <w:rtl/>
        </w:rPr>
        <w:t>נלפע"ד דהאגודה לא פליג אהמרדכי דהאגודה לא מיירי התם אלא לענין איסור שבת ולכך כתב דין זה במס' שבת פרק שואל ולא בע</w:t>
      </w:r>
      <w:r>
        <w:rPr>
          <w:rFonts w:cs="Arial" w:hint="cs"/>
          <w:rtl/>
        </w:rPr>
        <w:t>"ז</w:t>
      </w:r>
      <w:r w:rsidRPr="001239B5">
        <w:rPr>
          <w:rFonts w:cs="Arial"/>
          <w:rtl/>
        </w:rPr>
        <w:t xml:space="preserve"> פא"מ גבי גבינות </w:t>
      </w:r>
      <w:r>
        <w:rPr>
          <w:rFonts w:cs="Arial" w:hint="cs"/>
          <w:rtl/>
        </w:rPr>
        <w:t>הגוים,</w:t>
      </w:r>
      <w:r w:rsidRPr="001239B5">
        <w:rPr>
          <w:rFonts w:cs="Arial"/>
          <w:rtl/>
        </w:rPr>
        <w:t xml:space="preserve"> אלא ודאי לא מיירי מדין איסור גבינות </w:t>
      </w:r>
      <w:r>
        <w:rPr>
          <w:rFonts w:cs="Arial" w:hint="cs"/>
          <w:rtl/>
        </w:rPr>
        <w:t>הגוים,</w:t>
      </w:r>
      <w:r w:rsidRPr="001239B5">
        <w:rPr>
          <w:rFonts w:cs="Arial"/>
          <w:rtl/>
        </w:rPr>
        <w:t xml:space="preserve"> ואפשר דבאמת הגבינות אסורות משום גבינות </w:t>
      </w:r>
      <w:r>
        <w:rPr>
          <w:rFonts w:cs="Arial" w:hint="cs"/>
          <w:rtl/>
        </w:rPr>
        <w:t>הגוים</w:t>
      </w:r>
      <w:r w:rsidRPr="001239B5">
        <w:rPr>
          <w:rFonts w:cs="Arial"/>
          <w:rtl/>
        </w:rPr>
        <w:t xml:space="preserve"> אלא דמשום שבת מותרים ונ"מ דמותר לקנות סכום הגבינות כך בשבת ולמכרם אח"כ </w:t>
      </w:r>
      <w:r>
        <w:rPr>
          <w:rFonts w:cs="Arial" w:hint="cs"/>
          <w:rtl/>
        </w:rPr>
        <w:t>לגוי,</w:t>
      </w:r>
      <w:r w:rsidRPr="001239B5">
        <w:rPr>
          <w:rFonts w:cs="Arial"/>
          <w:rtl/>
        </w:rPr>
        <w:t xml:space="preserve"> או אפשר דמיירי במקומות הנוהגים היתר בגבינות </w:t>
      </w:r>
      <w:r>
        <w:rPr>
          <w:rFonts w:cs="Arial" w:hint="cs"/>
          <w:rtl/>
        </w:rPr>
        <w:t xml:space="preserve">גוים </w:t>
      </w:r>
      <w:r w:rsidRPr="001239B5">
        <w:rPr>
          <w:rFonts w:cs="Arial"/>
          <w:rtl/>
        </w:rPr>
        <w:t>ע"פ ר"ת שהביא דבריו בפא"מ</w:t>
      </w:r>
      <w:r>
        <w:rPr>
          <w:rFonts w:cs="Arial" w:hint="cs"/>
          <w:rtl/>
        </w:rPr>
        <w:t>,</w:t>
      </w:r>
      <w:r w:rsidRPr="001239B5">
        <w:rPr>
          <w:rFonts w:cs="Arial"/>
          <w:rtl/>
        </w:rPr>
        <w:t xml:space="preserve"> והא דכתב וישראל רואה ושומר היינו ששומר שלא יעשה לו שום זיוף בגבינות</w:t>
      </w:r>
      <w:r>
        <w:rPr>
          <w:rFonts w:cs="Arial" w:hint="cs"/>
          <w:rtl/>
        </w:rPr>
        <w:t>,</w:t>
      </w:r>
      <w:r w:rsidRPr="001239B5">
        <w:rPr>
          <w:rFonts w:cs="Arial"/>
          <w:rtl/>
        </w:rPr>
        <w:t xml:space="preserve"> או בהא דהאגודה שאני שהישראל קנה מתחלה הגבינות והרי הם שלו ואין כאן משום גבינות </w:t>
      </w:r>
      <w:r>
        <w:rPr>
          <w:rFonts w:cs="Arial" w:hint="cs"/>
          <w:rtl/>
        </w:rPr>
        <w:t>הגוים</w:t>
      </w:r>
      <w:r w:rsidRPr="001239B5">
        <w:rPr>
          <w:rFonts w:cs="Arial"/>
          <w:rtl/>
        </w:rPr>
        <w:t xml:space="preserve"> וכמ"ש לקמן</w:t>
      </w:r>
      <w:r>
        <w:rPr>
          <w:rFonts w:cs="Arial" w:hint="cs"/>
          <w:rtl/>
        </w:rPr>
        <w:t>,</w:t>
      </w:r>
      <w:r w:rsidRPr="001239B5">
        <w:rPr>
          <w:rFonts w:cs="Arial"/>
          <w:rtl/>
        </w:rPr>
        <w:t xml:space="preserve"> אבל ודאי אין לחלק בין ראה הישראל עשיית הגבינות או לא כיון שאסרו חכמים גבינות </w:t>
      </w:r>
      <w:r>
        <w:rPr>
          <w:rFonts w:cs="Arial" w:hint="cs"/>
          <w:rtl/>
        </w:rPr>
        <w:t>הגוים</w:t>
      </w:r>
      <w:r w:rsidRPr="001239B5">
        <w:rPr>
          <w:rFonts w:cs="Arial"/>
          <w:rtl/>
        </w:rPr>
        <w:t xml:space="preserve"> כל הגבינות אסרו דהא אפילו העמידוה בעשבים אסרו משום לא פלוג א"כ ה"ה ראה שעשאן </w:t>
      </w:r>
      <w:r>
        <w:rPr>
          <w:rFonts w:cs="Arial" w:hint="cs"/>
          <w:rtl/>
        </w:rPr>
        <w:t>הגוים</w:t>
      </w:r>
      <w:r w:rsidRPr="001239B5">
        <w:rPr>
          <w:rFonts w:cs="Arial"/>
          <w:rtl/>
        </w:rPr>
        <w:t xml:space="preserve"> והיינו דבמתניתין פא"מ תנן סתמא גבינות </w:t>
      </w:r>
      <w:r>
        <w:rPr>
          <w:rFonts w:cs="Arial" w:hint="cs"/>
          <w:rtl/>
        </w:rPr>
        <w:t>הגוים</w:t>
      </w:r>
      <w:r w:rsidRPr="001239B5">
        <w:rPr>
          <w:rFonts w:cs="Arial"/>
          <w:rtl/>
        </w:rPr>
        <w:t xml:space="preserve"> אסורין</w:t>
      </w:r>
      <w:r>
        <w:rPr>
          <w:rFonts w:cs="Arial" w:hint="cs"/>
          <w:rtl/>
        </w:rPr>
        <w:t>,</w:t>
      </w:r>
      <w:r w:rsidRPr="001239B5">
        <w:rPr>
          <w:rFonts w:cs="Arial"/>
          <w:rtl/>
        </w:rPr>
        <w:t xml:space="preserve"> וגבי חלב </w:t>
      </w:r>
      <w:r>
        <w:rPr>
          <w:rFonts w:cs="Arial" w:hint="cs"/>
          <w:rtl/>
        </w:rPr>
        <w:t>הגוים</w:t>
      </w:r>
      <w:r w:rsidRPr="001239B5">
        <w:rPr>
          <w:rFonts w:cs="Arial"/>
          <w:rtl/>
        </w:rPr>
        <w:t xml:space="preserve"> תנן התם חלב שחלבו </w:t>
      </w:r>
      <w:r>
        <w:rPr>
          <w:rFonts w:cs="Arial" w:hint="cs"/>
          <w:rtl/>
        </w:rPr>
        <w:t>גוי</w:t>
      </w:r>
      <w:r w:rsidRPr="001239B5">
        <w:rPr>
          <w:rFonts w:cs="Arial"/>
          <w:rtl/>
        </w:rPr>
        <w:t xml:space="preserve"> ואין ישראל רואהו אסור ואם ישראל רואהו מותר אלמא דבגבינות אין חילוק בין ראה עשיית הגבינות או לא וכן כל הפוסקים כתבו סתמא ולא חלקו בגבינות כמו שחילקו בחלב </w:t>
      </w:r>
      <w:r>
        <w:rPr>
          <w:rFonts w:cs="Arial" w:hint="cs"/>
          <w:rtl/>
        </w:rPr>
        <w:t>הגוים</w:t>
      </w:r>
      <w:r w:rsidRPr="001239B5">
        <w:rPr>
          <w:rFonts w:cs="Arial"/>
          <w:rtl/>
        </w:rPr>
        <w:t xml:space="preserve"> אלא ודאי גבינות </w:t>
      </w:r>
      <w:r>
        <w:rPr>
          <w:rFonts w:cs="Arial" w:hint="cs"/>
          <w:rtl/>
        </w:rPr>
        <w:t>הגוים</w:t>
      </w:r>
      <w:r w:rsidRPr="001239B5">
        <w:rPr>
          <w:rFonts w:cs="Arial"/>
          <w:rtl/>
        </w:rPr>
        <w:t xml:space="preserve"> בכל ענין אסורים </w:t>
      </w:r>
      <w:r w:rsidRPr="001D1746">
        <w:rPr>
          <w:rFonts w:cs="Arial" w:hint="cs"/>
          <w:sz w:val="16"/>
          <w:szCs w:val="16"/>
          <w:rtl/>
        </w:rPr>
        <w:t>(</w:t>
      </w:r>
      <w:r w:rsidRPr="001D1746">
        <w:rPr>
          <w:rFonts w:cs="Arial"/>
          <w:sz w:val="16"/>
          <w:szCs w:val="16"/>
          <w:rtl/>
        </w:rPr>
        <w:t>וכ</w:t>
      </w:r>
      <w:r>
        <w:rPr>
          <w:rFonts w:cs="Arial" w:hint="cs"/>
          <w:sz w:val="16"/>
          <w:szCs w:val="16"/>
          <w:rtl/>
        </w:rPr>
        <w:t>"</w:t>
      </w:r>
      <w:r w:rsidRPr="001D1746">
        <w:rPr>
          <w:rFonts w:cs="Arial"/>
          <w:sz w:val="16"/>
          <w:szCs w:val="16"/>
          <w:rtl/>
        </w:rPr>
        <w:t>ה בתשו</w:t>
      </w:r>
      <w:r>
        <w:rPr>
          <w:rFonts w:cs="Arial" w:hint="cs"/>
          <w:sz w:val="16"/>
          <w:szCs w:val="16"/>
          <w:rtl/>
        </w:rPr>
        <w:t>'</w:t>
      </w:r>
      <w:r w:rsidRPr="001D1746">
        <w:rPr>
          <w:rFonts w:cs="Arial"/>
          <w:sz w:val="16"/>
          <w:szCs w:val="16"/>
          <w:rtl/>
        </w:rPr>
        <w:t xml:space="preserve"> מיימוני המ"א סי</w:t>
      </w:r>
      <w:r w:rsidRPr="001D1746">
        <w:rPr>
          <w:rFonts w:cs="Arial" w:hint="cs"/>
          <w:sz w:val="16"/>
          <w:szCs w:val="16"/>
          <w:rtl/>
        </w:rPr>
        <w:t>'</w:t>
      </w:r>
      <w:r w:rsidRPr="001D1746">
        <w:rPr>
          <w:rFonts w:cs="Arial"/>
          <w:sz w:val="16"/>
          <w:szCs w:val="16"/>
          <w:rtl/>
        </w:rPr>
        <w:t xml:space="preserve"> ח מתשו</w:t>
      </w:r>
      <w:r>
        <w:rPr>
          <w:rFonts w:cs="Arial" w:hint="cs"/>
          <w:sz w:val="16"/>
          <w:szCs w:val="16"/>
          <w:rtl/>
        </w:rPr>
        <w:t>'</w:t>
      </w:r>
      <w:r w:rsidRPr="001D1746">
        <w:rPr>
          <w:rFonts w:cs="Arial"/>
          <w:sz w:val="16"/>
          <w:szCs w:val="16"/>
          <w:rtl/>
        </w:rPr>
        <w:t xml:space="preserve"> רבי' שמשון ב"א וז"ל ומעולם לא ראיתי ליקח גבינות </w:t>
      </w:r>
      <w:r w:rsidRPr="001D1746">
        <w:rPr>
          <w:rFonts w:cs="Arial" w:hint="cs"/>
          <w:sz w:val="16"/>
          <w:szCs w:val="16"/>
          <w:rtl/>
        </w:rPr>
        <w:t>הגוים</w:t>
      </w:r>
      <w:r w:rsidRPr="001D1746">
        <w:rPr>
          <w:rFonts w:cs="Arial"/>
          <w:sz w:val="16"/>
          <w:szCs w:val="16"/>
          <w:rtl/>
        </w:rPr>
        <w:t xml:space="preserve"> אפילו ראה החלב משחלבו </w:t>
      </w:r>
      <w:r w:rsidRPr="001D1746">
        <w:rPr>
          <w:rFonts w:cs="Arial" w:hint="cs"/>
          <w:sz w:val="16"/>
          <w:szCs w:val="16"/>
          <w:rtl/>
        </w:rPr>
        <w:t>גוי</w:t>
      </w:r>
      <w:r w:rsidRPr="001D1746">
        <w:rPr>
          <w:rFonts w:cs="Arial"/>
          <w:sz w:val="16"/>
          <w:szCs w:val="16"/>
          <w:rtl/>
        </w:rPr>
        <w:t xml:space="preserve"> עד שעשה ממנו שאין לחוש לאיסור עכ"ל</w:t>
      </w:r>
      <w:r w:rsidRPr="001D1746">
        <w:rPr>
          <w:rFonts w:cs="Arial" w:hint="cs"/>
          <w:sz w:val="16"/>
          <w:szCs w:val="16"/>
          <w:rtl/>
        </w:rPr>
        <w:t>,</w:t>
      </w:r>
      <w:r w:rsidRPr="001D1746">
        <w:rPr>
          <w:rFonts w:cs="Arial"/>
          <w:sz w:val="16"/>
          <w:szCs w:val="16"/>
          <w:rtl/>
        </w:rPr>
        <w:t xml:space="preserve"> ו</w:t>
      </w:r>
      <w:r>
        <w:rPr>
          <w:rFonts w:cs="Arial" w:hint="cs"/>
          <w:sz w:val="16"/>
          <w:szCs w:val="16"/>
          <w:rtl/>
        </w:rPr>
        <w:t>כ"ה</w:t>
      </w:r>
      <w:r w:rsidRPr="001D1746">
        <w:rPr>
          <w:rFonts w:cs="Arial"/>
          <w:sz w:val="16"/>
          <w:szCs w:val="16"/>
          <w:rtl/>
        </w:rPr>
        <w:t xml:space="preserve"> בתשו' מהר"מ מרוטנבורג סי</w:t>
      </w:r>
      <w:r w:rsidRPr="001D1746">
        <w:rPr>
          <w:rFonts w:cs="Arial" w:hint="cs"/>
          <w:sz w:val="16"/>
          <w:szCs w:val="16"/>
          <w:rtl/>
        </w:rPr>
        <w:t>'</w:t>
      </w:r>
      <w:r w:rsidRPr="001D1746">
        <w:rPr>
          <w:rFonts w:cs="Arial"/>
          <w:sz w:val="16"/>
          <w:szCs w:val="16"/>
          <w:rtl/>
        </w:rPr>
        <w:t xml:space="preserve"> שעד בגבינה שהעמיד </w:t>
      </w:r>
      <w:r w:rsidRPr="001D1746">
        <w:rPr>
          <w:rFonts w:cs="Arial" w:hint="cs"/>
          <w:sz w:val="16"/>
          <w:szCs w:val="16"/>
          <w:rtl/>
        </w:rPr>
        <w:t>גוי</w:t>
      </w:r>
      <w:r w:rsidRPr="001D1746">
        <w:rPr>
          <w:rFonts w:cs="Arial"/>
          <w:sz w:val="16"/>
          <w:szCs w:val="16"/>
          <w:rtl/>
        </w:rPr>
        <w:t xml:space="preserve"> במעמד ישראל דבעי דליעבד ישראל מעשה שישים ישראל הקיבה לתוך החלב ואם </w:t>
      </w:r>
      <w:r w:rsidRPr="001D1746">
        <w:rPr>
          <w:rFonts w:cs="Arial" w:hint="cs"/>
          <w:sz w:val="16"/>
          <w:szCs w:val="16"/>
          <w:rtl/>
        </w:rPr>
        <w:t>גוי</w:t>
      </w:r>
      <w:r w:rsidRPr="001D1746">
        <w:rPr>
          <w:rFonts w:cs="Arial"/>
          <w:sz w:val="16"/>
          <w:szCs w:val="16"/>
          <w:rtl/>
        </w:rPr>
        <w:t xml:space="preserve"> משים נ"ל אע</w:t>
      </w:r>
      <w:r w:rsidRPr="001D1746">
        <w:rPr>
          <w:rFonts w:cs="Arial" w:hint="cs"/>
          <w:sz w:val="16"/>
          <w:szCs w:val="16"/>
          <w:rtl/>
        </w:rPr>
        <w:t>"</w:t>
      </w:r>
      <w:r w:rsidRPr="001D1746">
        <w:rPr>
          <w:rFonts w:cs="Arial"/>
          <w:sz w:val="16"/>
          <w:szCs w:val="16"/>
          <w:rtl/>
        </w:rPr>
        <w:t>פ שישראל עומד על גבו ואפילו הקיבה כשירה אסורה</w:t>
      </w:r>
      <w:r w:rsidRPr="001D1746">
        <w:rPr>
          <w:rFonts w:cs="Arial" w:hint="cs"/>
          <w:sz w:val="16"/>
          <w:szCs w:val="16"/>
          <w:rtl/>
        </w:rPr>
        <w:t>,</w:t>
      </w:r>
      <w:r w:rsidRPr="001D1746">
        <w:rPr>
          <w:rFonts w:cs="Arial"/>
          <w:sz w:val="16"/>
          <w:szCs w:val="16"/>
          <w:rtl/>
        </w:rPr>
        <w:t xml:space="preserve"> ומ"ש הג"א ואו"ה (ותשו</w:t>
      </w:r>
      <w:r>
        <w:rPr>
          <w:rFonts w:cs="Arial" w:hint="cs"/>
          <w:sz w:val="16"/>
          <w:szCs w:val="16"/>
          <w:rtl/>
        </w:rPr>
        <w:t>'</w:t>
      </w:r>
      <w:r w:rsidRPr="001D1746">
        <w:rPr>
          <w:rFonts w:cs="Arial"/>
          <w:sz w:val="16"/>
          <w:szCs w:val="16"/>
          <w:rtl/>
        </w:rPr>
        <w:t xml:space="preserve"> מהר"מ סי</w:t>
      </w:r>
      <w:r>
        <w:rPr>
          <w:rFonts w:cs="Arial" w:hint="cs"/>
          <w:sz w:val="16"/>
          <w:szCs w:val="16"/>
          <w:rtl/>
        </w:rPr>
        <w:t>'</w:t>
      </w:r>
      <w:r w:rsidRPr="001D1746">
        <w:rPr>
          <w:rFonts w:cs="Arial"/>
          <w:sz w:val="16"/>
          <w:szCs w:val="16"/>
          <w:rtl/>
        </w:rPr>
        <w:t xml:space="preserve"> ר</w:t>
      </w:r>
      <w:r w:rsidRPr="001D1746">
        <w:rPr>
          <w:rFonts w:cs="Arial" w:hint="cs"/>
          <w:sz w:val="16"/>
          <w:szCs w:val="16"/>
          <w:rtl/>
        </w:rPr>
        <w:t>ט</w:t>
      </w:r>
      <w:r w:rsidRPr="001D1746">
        <w:rPr>
          <w:rFonts w:cs="Arial"/>
          <w:sz w:val="16"/>
          <w:szCs w:val="16"/>
          <w:rtl/>
        </w:rPr>
        <w:t xml:space="preserve">ז בשם ר"ת) דהיכא דידוע דדעת </w:t>
      </w:r>
      <w:r w:rsidRPr="001D1746">
        <w:rPr>
          <w:rFonts w:cs="Arial" w:hint="cs"/>
          <w:sz w:val="16"/>
          <w:szCs w:val="16"/>
          <w:rtl/>
        </w:rPr>
        <w:t>הגוי</w:t>
      </w:r>
      <w:r w:rsidRPr="001D1746">
        <w:rPr>
          <w:rFonts w:cs="Arial"/>
          <w:sz w:val="16"/>
          <w:szCs w:val="16"/>
          <w:rtl/>
        </w:rPr>
        <w:t xml:space="preserve"> להקפיא אפילו לא היה בתחלת החליבה שרי התם לא מיירי אלא מדין חלב שחלבו </w:t>
      </w:r>
      <w:r w:rsidRPr="001D1746">
        <w:rPr>
          <w:rFonts w:cs="Arial" w:hint="cs"/>
          <w:sz w:val="16"/>
          <w:szCs w:val="16"/>
          <w:rtl/>
        </w:rPr>
        <w:t>גוי</w:t>
      </w:r>
      <w:r w:rsidRPr="001D1746">
        <w:rPr>
          <w:rFonts w:cs="Arial"/>
          <w:sz w:val="16"/>
          <w:szCs w:val="16"/>
          <w:rtl/>
        </w:rPr>
        <w:t xml:space="preserve"> ואין ישראל רואהו וקאמרי דלא אסור משום תערובות חלב טמא כיון דדעת </w:t>
      </w:r>
      <w:r w:rsidRPr="001D1746">
        <w:rPr>
          <w:rFonts w:cs="Arial" w:hint="cs"/>
          <w:sz w:val="16"/>
          <w:szCs w:val="16"/>
          <w:rtl/>
        </w:rPr>
        <w:t>הגוי</w:t>
      </w:r>
      <w:r w:rsidRPr="001D1746">
        <w:rPr>
          <w:rFonts w:cs="Arial"/>
          <w:sz w:val="16"/>
          <w:szCs w:val="16"/>
          <w:rtl/>
        </w:rPr>
        <w:t xml:space="preserve"> להקפיא לעשות ממנו הגבינות א</w:t>
      </w:r>
      <w:r w:rsidRPr="001D1746">
        <w:rPr>
          <w:rFonts w:cs="Arial" w:hint="cs"/>
          <w:sz w:val="16"/>
          <w:szCs w:val="16"/>
          <w:rtl/>
        </w:rPr>
        <w:t>"</w:t>
      </w:r>
      <w:r w:rsidRPr="001D1746">
        <w:rPr>
          <w:rFonts w:cs="Arial"/>
          <w:sz w:val="16"/>
          <w:szCs w:val="16"/>
          <w:rtl/>
        </w:rPr>
        <w:t>כ למה יערב חלב טמא שהרי אינו עומד הלכך מותר החלב והיינו שיעשה הישראל הגבינות</w:t>
      </w:r>
      <w:r w:rsidRPr="001D1746">
        <w:rPr>
          <w:rFonts w:cs="Arial" w:hint="cs"/>
          <w:sz w:val="16"/>
          <w:szCs w:val="16"/>
          <w:rtl/>
        </w:rPr>
        <w:t>,</w:t>
      </w:r>
      <w:r w:rsidRPr="001D1746">
        <w:rPr>
          <w:rFonts w:cs="Arial"/>
          <w:sz w:val="16"/>
          <w:szCs w:val="16"/>
          <w:rtl/>
        </w:rPr>
        <w:t xml:space="preserve"> וכן הוא באו"ה </w:t>
      </w:r>
      <w:r w:rsidRPr="001D1746">
        <w:rPr>
          <w:rFonts w:cs="Arial" w:hint="cs"/>
          <w:sz w:val="16"/>
          <w:szCs w:val="16"/>
          <w:rtl/>
        </w:rPr>
        <w:t>(</w:t>
      </w:r>
      <w:r w:rsidRPr="001D1746">
        <w:rPr>
          <w:rFonts w:cs="Arial"/>
          <w:sz w:val="16"/>
          <w:szCs w:val="16"/>
          <w:rtl/>
        </w:rPr>
        <w:t>כלל מד דין ה</w:t>
      </w:r>
      <w:r w:rsidRPr="001D1746">
        <w:rPr>
          <w:rFonts w:cs="Arial" w:hint="cs"/>
          <w:sz w:val="16"/>
          <w:szCs w:val="16"/>
          <w:rtl/>
        </w:rPr>
        <w:t>)</w:t>
      </w:r>
      <w:r w:rsidRPr="001D1746">
        <w:rPr>
          <w:rFonts w:cs="Arial"/>
          <w:sz w:val="16"/>
          <w:szCs w:val="16"/>
          <w:rtl/>
        </w:rPr>
        <w:t xml:space="preserve"> להדיא והיינו דכתב דין זה בכלל מ"ה גבי איסור חלב שחלבו </w:t>
      </w:r>
      <w:r w:rsidRPr="001D1746">
        <w:rPr>
          <w:rFonts w:cs="Arial" w:hint="cs"/>
          <w:sz w:val="16"/>
          <w:szCs w:val="16"/>
          <w:rtl/>
        </w:rPr>
        <w:t>גוי</w:t>
      </w:r>
      <w:r w:rsidRPr="001D1746">
        <w:rPr>
          <w:rFonts w:cs="Arial"/>
          <w:sz w:val="16"/>
          <w:szCs w:val="16"/>
          <w:rtl/>
        </w:rPr>
        <w:t xml:space="preserve"> ולא כתבו בכלל מ"ו גבי איסור גבינות </w:t>
      </w:r>
      <w:r w:rsidRPr="001D1746">
        <w:rPr>
          <w:rFonts w:cs="Arial" w:hint="cs"/>
          <w:sz w:val="16"/>
          <w:szCs w:val="16"/>
          <w:rtl/>
        </w:rPr>
        <w:t>הגוים</w:t>
      </w:r>
      <w:r w:rsidRPr="001D1746">
        <w:rPr>
          <w:rFonts w:cs="Arial"/>
          <w:sz w:val="16"/>
          <w:szCs w:val="16"/>
          <w:rtl/>
        </w:rPr>
        <w:t xml:space="preserve"> אלא ודאי כדפי</w:t>
      </w:r>
      <w:r w:rsidRPr="001D1746">
        <w:rPr>
          <w:rFonts w:cs="Arial" w:hint="cs"/>
          <w:sz w:val="16"/>
          <w:szCs w:val="16"/>
          <w:rtl/>
        </w:rPr>
        <w:t>רשתי,</w:t>
      </w:r>
      <w:r w:rsidRPr="001D1746">
        <w:rPr>
          <w:rFonts w:cs="Arial"/>
          <w:sz w:val="16"/>
          <w:szCs w:val="16"/>
          <w:rtl/>
        </w:rPr>
        <w:t xml:space="preserve"> וכן בתשובת מהר"מ ובהג"א שם משמע דלא שרי אלא כשהישראל עשאם אח</w:t>
      </w:r>
      <w:r w:rsidRPr="001D1746">
        <w:rPr>
          <w:rFonts w:cs="Arial" w:hint="cs"/>
          <w:sz w:val="16"/>
          <w:szCs w:val="16"/>
          <w:rtl/>
        </w:rPr>
        <w:t>"</w:t>
      </w:r>
      <w:r w:rsidRPr="001D1746">
        <w:rPr>
          <w:rFonts w:cs="Arial"/>
          <w:sz w:val="16"/>
          <w:szCs w:val="16"/>
          <w:rtl/>
        </w:rPr>
        <w:t>כ</w:t>
      </w:r>
      <w:r>
        <w:rPr>
          <w:rFonts w:cs="Arial" w:hint="cs"/>
          <w:sz w:val="16"/>
          <w:szCs w:val="16"/>
          <w:rtl/>
        </w:rPr>
        <w:t>)</w:t>
      </w:r>
      <w:r w:rsidRPr="001239B5">
        <w:rPr>
          <w:rFonts w:cs="Arial"/>
          <w:rtl/>
        </w:rPr>
        <w:t xml:space="preserve"> ומה שנתפשט המנהג שלוקחין גבינות מהשוואגין אע</w:t>
      </w:r>
      <w:r>
        <w:rPr>
          <w:rFonts w:cs="Arial" w:hint="cs"/>
          <w:rtl/>
        </w:rPr>
        <w:t>"</w:t>
      </w:r>
      <w:r w:rsidRPr="001239B5">
        <w:rPr>
          <w:rFonts w:cs="Arial"/>
          <w:rtl/>
        </w:rPr>
        <w:t>פ שעושין אותן ה</w:t>
      </w:r>
      <w:r>
        <w:rPr>
          <w:rFonts w:cs="Arial" w:hint="cs"/>
          <w:rtl/>
        </w:rPr>
        <w:t>גוי</w:t>
      </w:r>
      <w:r w:rsidRPr="001239B5">
        <w:rPr>
          <w:rFonts w:cs="Arial"/>
          <w:rtl/>
        </w:rPr>
        <w:t xml:space="preserve">ם היינו משום שנהגו לשכור הבהמות וא"כ הגבינות של ישראל הם ולא מצינו שום איסור בשום מקום בגבינות של ישראל שעשאן </w:t>
      </w:r>
      <w:r>
        <w:rPr>
          <w:rFonts w:cs="Arial" w:hint="cs"/>
          <w:rtl/>
        </w:rPr>
        <w:t>גוי</w:t>
      </w:r>
      <w:r w:rsidRPr="001239B5">
        <w:rPr>
          <w:rFonts w:cs="Arial"/>
          <w:rtl/>
        </w:rPr>
        <w:t xml:space="preserve"> דעל גבינות </w:t>
      </w:r>
      <w:r>
        <w:rPr>
          <w:rFonts w:cs="Arial" w:hint="cs"/>
          <w:rtl/>
        </w:rPr>
        <w:t>הגוים</w:t>
      </w:r>
      <w:r w:rsidRPr="001239B5">
        <w:rPr>
          <w:rFonts w:cs="Arial"/>
          <w:rtl/>
        </w:rPr>
        <w:t xml:space="preserve"> גזרו ולא על גבינות ישראל שעשאן </w:t>
      </w:r>
      <w:r>
        <w:rPr>
          <w:rFonts w:cs="Arial" w:hint="cs"/>
          <w:rtl/>
        </w:rPr>
        <w:t>גוי</w:t>
      </w:r>
      <w:r w:rsidRPr="001239B5">
        <w:rPr>
          <w:rFonts w:cs="Arial"/>
          <w:rtl/>
        </w:rPr>
        <w:t xml:space="preserve"> וכן נוהגין ג"כ שה</w:t>
      </w:r>
      <w:r>
        <w:rPr>
          <w:rFonts w:cs="Arial" w:hint="cs"/>
          <w:rtl/>
        </w:rPr>
        <w:t>גוי</w:t>
      </w:r>
      <w:r w:rsidRPr="001239B5">
        <w:rPr>
          <w:rFonts w:cs="Arial"/>
          <w:rtl/>
        </w:rPr>
        <w:t xml:space="preserve"> בבית ישראל עושים גבינות הישראל וה"ה כשאין שוכרין הבהמות וקונין סכום גבינות ממנו א</w:t>
      </w:r>
      <w:r>
        <w:rPr>
          <w:rFonts w:cs="Arial" w:hint="cs"/>
          <w:rtl/>
        </w:rPr>
        <w:t>"</w:t>
      </w:r>
      <w:r w:rsidRPr="001239B5">
        <w:rPr>
          <w:rFonts w:cs="Arial"/>
          <w:rtl/>
        </w:rPr>
        <w:t xml:space="preserve">כ הגבינות הם בשעת עשייתן של ישראל אבל אם </w:t>
      </w:r>
      <w:r>
        <w:rPr>
          <w:rFonts w:cs="Arial" w:hint="cs"/>
          <w:rtl/>
        </w:rPr>
        <w:t>הגוי</w:t>
      </w:r>
      <w:r w:rsidRPr="001239B5">
        <w:rPr>
          <w:rFonts w:cs="Arial"/>
          <w:rtl/>
        </w:rPr>
        <w:t xml:space="preserve"> עושה הגבינות לעצמו אע</w:t>
      </w:r>
      <w:r>
        <w:rPr>
          <w:rFonts w:cs="Arial" w:hint="cs"/>
          <w:rtl/>
        </w:rPr>
        <w:t>"</w:t>
      </w:r>
      <w:r w:rsidRPr="001239B5">
        <w:rPr>
          <w:rFonts w:cs="Arial"/>
          <w:rtl/>
        </w:rPr>
        <w:t xml:space="preserve">פ שהיה שם ישראל מתחלה ועד סוף אסור משום גבינות </w:t>
      </w:r>
      <w:r>
        <w:rPr>
          <w:rFonts w:cs="Arial" w:hint="cs"/>
          <w:rtl/>
        </w:rPr>
        <w:t>הגוים</w:t>
      </w:r>
      <w:r w:rsidRPr="001239B5">
        <w:rPr>
          <w:rFonts w:cs="Arial"/>
          <w:rtl/>
        </w:rPr>
        <w:t xml:space="preserve"> כל דלא עביד ביה ישראל מעשה וכדאמר</w:t>
      </w:r>
      <w:r>
        <w:rPr>
          <w:rFonts w:cs="Arial" w:hint="cs"/>
          <w:rtl/>
        </w:rPr>
        <w:t>י</w:t>
      </w:r>
      <w:r w:rsidRPr="001239B5">
        <w:rPr>
          <w:rFonts w:cs="Arial"/>
          <w:rtl/>
        </w:rPr>
        <w:t>נן</w:t>
      </w:r>
      <w:r>
        <w:rPr>
          <w:rFonts w:hint="cs"/>
          <w:rtl/>
        </w:rPr>
        <w:t>.</w:t>
      </w:r>
    </w:p>
  </w:footnote>
  <w:footnote w:id="2840">
    <w:p w14:paraId="569A3AB1" w14:textId="77777777" w:rsidR="004C5A3C" w:rsidRDefault="004C5A3C" w:rsidP="002C39F4">
      <w:pPr>
        <w:pStyle w:val="a5"/>
        <w:rPr>
          <w:rtl/>
        </w:rPr>
      </w:pPr>
      <w:r>
        <w:rPr>
          <w:rStyle w:val="a7"/>
        </w:rPr>
        <w:footnoteRef/>
      </w:r>
      <w:r>
        <w:rPr>
          <w:rtl/>
        </w:rPr>
        <w:t xml:space="preserve"> </w:t>
      </w:r>
      <w:r w:rsidRPr="004A00EA">
        <w:rPr>
          <w:rFonts w:cs="Arial"/>
          <w:rtl/>
        </w:rPr>
        <w:t>ו</w:t>
      </w:r>
      <w:r>
        <w:rPr>
          <w:rFonts w:cs="Arial" w:hint="cs"/>
          <w:rtl/>
        </w:rPr>
        <w:t>כ"פ</w:t>
      </w:r>
      <w:r w:rsidRPr="004A00EA">
        <w:rPr>
          <w:rFonts w:cs="Arial"/>
          <w:rtl/>
        </w:rPr>
        <w:t xml:space="preserve"> </w:t>
      </w:r>
      <w:r>
        <w:rPr>
          <w:rFonts w:cs="Arial" w:hint="cs"/>
          <w:rtl/>
        </w:rPr>
        <w:t>או</w:t>
      </w:r>
      <w:r>
        <w:rPr>
          <w:rFonts w:cs="Arial"/>
          <w:rtl/>
        </w:rPr>
        <w:t>"</w:t>
      </w:r>
      <w:r>
        <w:rPr>
          <w:rFonts w:cs="Arial" w:hint="cs"/>
          <w:rtl/>
        </w:rPr>
        <w:t>ה</w:t>
      </w:r>
      <w:r w:rsidRPr="004A00EA">
        <w:rPr>
          <w:rFonts w:cs="Arial"/>
          <w:rtl/>
        </w:rPr>
        <w:t xml:space="preserve"> </w:t>
      </w:r>
      <w:r w:rsidRPr="00DF6697">
        <w:rPr>
          <w:rFonts w:cs="Arial" w:hint="cs"/>
          <w:sz w:val="16"/>
          <w:szCs w:val="16"/>
          <w:rtl/>
        </w:rPr>
        <w:t>(</w:t>
      </w:r>
      <w:r w:rsidRPr="00DF6697">
        <w:rPr>
          <w:rFonts w:cs="Arial"/>
          <w:sz w:val="16"/>
          <w:szCs w:val="16"/>
          <w:rtl/>
        </w:rPr>
        <w:t>כלל מה ד</w:t>
      </w:r>
      <w:r>
        <w:rPr>
          <w:rFonts w:cs="Arial" w:hint="cs"/>
          <w:sz w:val="16"/>
          <w:szCs w:val="16"/>
          <w:rtl/>
        </w:rPr>
        <w:t>"</w:t>
      </w:r>
      <w:r w:rsidRPr="00DF6697">
        <w:rPr>
          <w:rFonts w:cs="Arial"/>
          <w:sz w:val="16"/>
          <w:szCs w:val="16"/>
          <w:rtl/>
        </w:rPr>
        <w:t>ה</w:t>
      </w:r>
      <w:r w:rsidRPr="00DF6697">
        <w:rPr>
          <w:rFonts w:cs="Arial" w:hint="cs"/>
          <w:sz w:val="16"/>
          <w:szCs w:val="16"/>
          <w:rtl/>
        </w:rPr>
        <w:t>, הביאו הדרכ"מ אות ג</w:t>
      </w:r>
      <w:r w:rsidRPr="00DF6697">
        <w:rPr>
          <w:rFonts w:cs="Arial"/>
          <w:sz w:val="16"/>
          <w:szCs w:val="16"/>
          <w:rtl/>
        </w:rPr>
        <w:t xml:space="preserve">) </w:t>
      </w:r>
      <w:r w:rsidRPr="004A00EA">
        <w:rPr>
          <w:rFonts w:cs="Arial"/>
          <w:rtl/>
        </w:rPr>
        <w:t>לה</w:t>
      </w:r>
      <w:r>
        <w:rPr>
          <w:rFonts w:cs="Arial" w:hint="cs"/>
          <w:rtl/>
        </w:rPr>
        <w:t>ת</w:t>
      </w:r>
      <w:r w:rsidRPr="004A00EA">
        <w:rPr>
          <w:rFonts w:cs="Arial"/>
          <w:rtl/>
        </w:rPr>
        <w:t>יר בדיעבד אפי</w:t>
      </w:r>
      <w:r>
        <w:rPr>
          <w:rFonts w:cs="Arial" w:hint="cs"/>
          <w:rtl/>
        </w:rPr>
        <w:t>'</w:t>
      </w:r>
      <w:r w:rsidRPr="004A00EA">
        <w:rPr>
          <w:rFonts w:cs="Arial"/>
          <w:rtl/>
        </w:rPr>
        <w:t xml:space="preserve"> לא ראה החליבה</w:t>
      </w:r>
      <w:r>
        <w:rPr>
          <w:rFonts w:cs="Arial" w:hint="cs"/>
          <w:rtl/>
        </w:rPr>
        <w:t>,</w:t>
      </w:r>
      <w:r w:rsidRPr="004A00EA">
        <w:rPr>
          <w:rFonts w:cs="Arial"/>
          <w:rtl/>
        </w:rPr>
        <w:t xml:space="preserve"> ואפילו לא עשה עדיין הגבינות מ</w:t>
      </w:r>
      <w:r>
        <w:rPr>
          <w:rFonts w:cs="Arial" w:hint="cs"/>
          <w:rtl/>
        </w:rPr>
        <w:t>"מ</w:t>
      </w:r>
      <w:r w:rsidRPr="004A00EA">
        <w:rPr>
          <w:rFonts w:cs="Arial"/>
          <w:rtl/>
        </w:rPr>
        <w:t xml:space="preserve"> נקרא דיעבד הואיל והחלב כבר נחלב</w:t>
      </w:r>
      <w:r>
        <w:rPr>
          <w:rFonts w:cs="Arial" w:hint="cs"/>
          <w:rtl/>
        </w:rPr>
        <w:t xml:space="preserve"> עכ"ל</w:t>
      </w:r>
      <w:r w:rsidRPr="004A00EA">
        <w:rPr>
          <w:rFonts w:cs="Arial"/>
          <w:rtl/>
        </w:rPr>
        <w:t xml:space="preserve">. </w:t>
      </w:r>
      <w:r w:rsidRPr="00DF6697">
        <w:rPr>
          <w:rFonts w:cs="Arial"/>
          <w:rtl/>
        </w:rPr>
        <w:t>ו</w:t>
      </w:r>
      <w:r>
        <w:rPr>
          <w:rFonts w:cs="Arial" w:hint="cs"/>
          <w:rtl/>
        </w:rPr>
        <w:t>כ'</w:t>
      </w:r>
      <w:r w:rsidRPr="00DF6697">
        <w:rPr>
          <w:rFonts w:cs="Arial"/>
          <w:rtl/>
        </w:rPr>
        <w:t xml:space="preserve"> עוד </w:t>
      </w:r>
      <w:r w:rsidRPr="00DF6697">
        <w:rPr>
          <w:rFonts w:cs="Arial"/>
          <w:sz w:val="16"/>
          <w:szCs w:val="16"/>
          <w:rtl/>
        </w:rPr>
        <w:t>(דין ה-ז)</w:t>
      </w:r>
      <w:r>
        <w:rPr>
          <w:rFonts w:cs="Arial" w:hint="cs"/>
          <w:rtl/>
        </w:rPr>
        <w:t>-</w:t>
      </w:r>
      <w:r w:rsidRPr="00DF6697">
        <w:rPr>
          <w:rFonts w:cs="Arial"/>
          <w:rtl/>
        </w:rPr>
        <w:t xml:space="preserve"> </w:t>
      </w:r>
      <w:r w:rsidRPr="004A00EA">
        <w:rPr>
          <w:rFonts w:cs="Arial"/>
          <w:rtl/>
        </w:rPr>
        <w:t>הא דמתירין בדיע</w:t>
      </w:r>
      <w:r>
        <w:rPr>
          <w:rFonts w:cs="Arial" w:hint="cs"/>
          <w:rtl/>
        </w:rPr>
        <w:t>'</w:t>
      </w:r>
      <w:r w:rsidRPr="004A00EA">
        <w:rPr>
          <w:rFonts w:cs="Arial"/>
          <w:rtl/>
        </w:rPr>
        <w:t xml:space="preserve"> היינו שהגוי מוכר הגבינות לישראל במשקל או במנין</w:t>
      </w:r>
      <w:r>
        <w:rPr>
          <w:rFonts w:cs="Arial" w:hint="cs"/>
          <w:rtl/>
        </w:rPr>
        <w:t>,</w:t>
      </w:r>
      <w:r w:rsidRPr="004A00EA">
        <w:rPr>
          <w:rFonts w:cs="Arial"/>
          <w:rtl/>
        </w:rPr>
        <w:t xml:space="preserve"> דודאי אינו מערב בו דבר טמא הואיל ואינו עומד</w:t>
      </w:r>
      <w:r>
        <w:rPr>
          <w:rFonts w:cs="Arial" w:hint="cs"/>
          <w:rtl/>
        </w:rPr>
        <w:t>,</w:t>
      </w:r>
      <w:r w:rsidRPr="004A00EA">
        <w:rPr>
          <w:rFonts w:cs="Arial"/>
          <w:rtl/>
        </w:rPr>
        <w:t xml:space="preserve"> אבל אם מוכר לו החלב במדה אפילו בדיע</w:t>
      </w:r>
      <w:r>
        <w:rPr>
          <w:rFonts w:cs="Arial" w:hint="cs"/>
          <w:rtl/>
        </w:rPr>
        <w:t>'</w:t>
      </w:r>
      <w:r w:rsidRPr="004A00EA">
        <w:rPr>
          <w:rFonts w:cs="Arial"/>
          <w:rtl/>
        </w:rPr>
        <w:t xml:space="preserve"> אסור דחיישינן שמא עירב בו דבר טמא להרבות המדה. והא דמתירין בדיע</w:t>
      </w:r>
      <w:r>
        <w:rPr>
          <w:rFonts w:cs="Arial" w:hint="cs"/>
          <w:rtl/>
        </w:rPr>
        <w:t>'</w:t>
      </w:r>
      <w:r w:rsidRPr="004A00EA">
        <w:rPr>
          <w:rFonts w:cs="Arial"/>
          <w:rtl/>
        </w:rPr>
        <w:t xml:space="preserve"> דוקא לאכול הגבינות אבל לאכול החלב אסור הואיל ולא ראה החליבה חיישי</w:t>
      </w:r>
      <w:r>
        <w:rPr>
          <w:rFonts w:cs="Arial" w:hint="cs"/>
          <w:rtl/>
        </w:rPr>
        <w:t>'</w:t>
      </w:r>
      <w:r w:rsidRPr="004A00EA">
        <w:rPr>
          <w:rFonts w:cs="Arial"/>
          <w:rtl/>
        </w:rPr>
        <w:t xml:space="preserve"> שמא עירב בו דבר טמא. ואם ראה ישראל החליבה והניח ביד הגוי לבד יום או יומים אין לאסור בדיע</w:t>
      </w:r>
      <w:r>
        <w:rPr>
          <w:rFonts w:cs="Arial" w:hint="cs"/>
          <w:rtl/>
        </w:rPr>
        <w:t>'</w:t>
      </w:r>
      <w:r w:rsidRPr="004A00EA">
        <w:rPr>
          <w:rFonts w:cs="Arial"/>
          <w:rtl/>
        </w:rPr>
        <w:t xml:space="preserve"> אא</w:t>
      </w:r>
      <w:r>
        <w:rPr>
          <w:rFonts w:cs="Arial" w:hint="cs"/>
          <w:rtl/>
        </w:rPr>
        <w:t>"</w:t>
      </w:r>
      <w:r w:rsidRPr="004A00EA">
        <w:rPr>
          <w:rFonts w:cs="Arial"/>
          <w:rtl/>
        </w:rPr>
        <w:t>כ ידוע דיש לגוי דבר טמא בעדרו שאז חיישינן לחלופי דחלב טמא גרוע מחלב טהור וחיישינן שמא החליף הגוי ולכן אסור לאכול החלב</w:t>
      </w:r>
      <w:r>
        <w:rPr>
          <w:rFonts w:cs="Arial" w:hint="cs"/>
          <w:rtl/>
        </w:rPr>
        <w:t>,</w:t>
      </w:r>
      <w:r w:rsidRPr="004A00EA">
        <w:rPr>
          <w:rFonts w:cs="Arial"/>
          <w:rtl/>
        </w:rPr>
        <w:t xml:space="preserve"> אבל אם היה לו חותם אחד בחלב די בכך הואיל ורוב הוא חלב כשר</w:t>
      </w:r>
      <w:r>
        <w:rPr>
          <w:rFonts w:cs="Arial" w:hint="cs"/>
          <w:rtl/>
        </w:rPr>
        <w:t>,</w:t>
      </w:r>
      <w:r w:rsidRPr="004A00EA">
        <w:rPr>
          <w:rFonts w:cs="Arial"/>
          <w:rtl/>
        </w:rPr>
        <w:t xml:space="preserve"> ואף אם עירב בו דבר טמא אינו אסור רק מדרבנן ולכן די לו בחותם אחד כדלקמן סי</w:t>
      </w:r>
      <w:r>
        <w:rPr>
          <w:rFonts w:cs="Arial" w:hint="cs"/>
          <w:rtl/>
        </w:rPr>
        <w:t>'</w:t>
      </w:r>
      <w:r w:rsidRPr="004A00EA">
        <w:rPr>
          <w:rFonts w:cs="Arial"/>
          <w:rtl/>
        </w:rPr>
        <w:t xml:space="preserve"> קיח.</w:t>
      </w:r>
    </w:p>
  </w:footnote>
  <w:footnote w:id="2841">
    <w:p w14:paraId="75CA7B47" w14:textId="77777777" w:rsidR="004C5A3C" w:rsidRDefault="004C5A3C" w:rsidP="002C39F4">
      <w:pPr>
        <w:pStyle w:val="a5"/>
      </w:pPr>
      <w:r>
        <w:rPr>
          <w:rStyle w:val="a7"/>
        </w:rPr>
        <w:footnoteRef/>
      </w:r>
      <w:r>
        <w:rPr>
          <w:rtl/>
        </w:rPr>
        <w:t xml:space="preserve"> </w:t>
      </w:r>
      <w:r w:rsidRPr="007D6BA6">
        <w:rPr>
          <w:rFonts w:cs="Arial"/>
          <w:rtl/>
        </w:rPr>
        <w:t>אבל משום בשר בחלב אין איסור דאו' דצונן הוא</w:t>
      </w:r>
      <w:r>
        <w:rPr>
          <w:rFonts w:cs="Arial" w:hint="cs"/>
          <w:rtl/>
        </w:rPr>
        <w:t>,</w:t>
      </w:r>
      <w:r w:rsidRPr="007D6BA6">
        <w:rPr>
          <w:rFonts w:cs="Arial"/>
          <w:rtl/>
        </w:rPr>
        <w:t xml:space="preserve"> וא</w:t>
      </w:r>
      <w:r>
        <w:rPr>
          <w:rFonts w:cs="Arial" w:hint="cs"/>
          <w:rtl/>
        </w:rPr>
        <w:t>ע"ג</w:t>
      </w:r>
      <w:r w:rsidRPr="007D6BA6">
        <w:rPr>
          <w:rFonts w:cs="Arial"/>
          <w:rtl/>
        </w:rPr>
        <w:t xml:space="preserve"> דקא מעמיד אין איסור אלא מדרבנן</w:t>
      </w:r>
      <w:r>
        <w:rPr>
          <w:rFonts w:cs="Arial" w:hint="cs"/>
          <w:rtl/>
        </w:rPr>
        <w:t>,</w:t>
      </w:r>
      <w:r w:rsidRPr="007D6BA6">
        <w:rPr>
          <w:rFonts w:cs="Arial"/>
          <w:rtl/>
        </w:rPr>
        <w:t xml:space="preserve"> תוס</w:t>
      </w:r>
      <w:r>
        <w:rPr>
          <w:rFonts w:cs="Arial" w:hint="cs"/>
          <w:rtl/>
        </w:rPr>
        <w:t>'</w:t>
      </w:r>
      <w:r w:rsidRPr="007D6BA6">
        <w:rPr>
          <w:rFonts w:cs="Arial" w:hint="cs"/>
          <w:sz w:val="16"/>
          <w:szCs w:val="16"/>
          <w:rtl/>
        </w:rPr>
        <w:t xml:space="preserve"> (לה. ד"ה מפני)</w:t>
      </w:r>
      <w:r>
        <w:rPr>
          <w:rFonts w:cs="Arial" w:hint="cs"/>
          <w:rtl/>
        </w:rPr>
        <w:t>.</w:t>
      </w:r>
      <w:r w:rsidRPr="007D6BA6">
        <w:rPr>
          <w:rFonts w:cs="Arial"/>
          <w:rtl/>
        </w:rPr>
        <w:t xml:space="preserve"> וכתוב בת</w:t>
      </w:r>
      <w:r>
        <w:rPr>
          <w:rFonts w:cs="Arial" w:hint="cs"/>
          <w:rtl/>
        </w:rPr>
        <w:t>ו</w:t>
      </w:r>
      <w:r w:rsidRPr="007D6BA6">
        <w:rPr>
          <w:rFonts w:cs="Arial"/>
          <w:rtl/>
        </w:rPr>
        <w:t xml:space="preserve">ה"א </w:t>
      </w:r>
      <w:r w:rsidRPr="007D6BA6">
        <w:rPr>
          <w:rFonts w:cs="Arial" w:hint="cs"/>
          <w:sz w:val="16"/>
          <w:szCs w:val="16"/>
          <w:rtl/>
        </w:rPr>
        <w:t>(ב"ג ש"ו)</w:t>
      </w:r>
      <w:r w:rsidRPr="007D6BA6">
        <w:rPr>
          <w:rFonts w:cs="Arial"/>
          <w:sz w:val="16"/>
          <w:szCs w:val="16"/>
          <w:rtl/>
        </w:rPr>
        <w:t xml:space="preserve"> </w:t>
      </w:r>
      <w:r w:rsidRPr="007D6BA6">
        <w:rPr>
          <w:rFonts w:cs="Arial"/>
          <w:rtl/>
        </w:rPr>
        <w:t>דר"י מגאש הקשה עוד למה לא יהא בטל בס'</w:t>
      </w:r>
      <w:r>
        <w:rPr>
          <w:rFonts w:cs="Arial" w:hint="cs"/>
          <w:rtl/>
        </w:rPr>
        <w:t>,</w:t>
      </w:r>
      <w:r w:rsidRPr="007D6BA6">
        <w:rPr>
          <w:rFonts w:cs="Arial"/>
          <w:rtl/>
        </w:rPr>
        <w:t xml:space="preserve"> ותירץ על שני קושיות אלו שכל האסור מחמת נתינת טעם כמו בשר בחלב אין אוסר יותר מן ס' אבל כאן בעור נבילה הוה איסור מעמיד ואוסר בכל שהוא</w:t>
      </w:r>
      <w:r>
        <w:rPr>
          <w:rFonts w:cs="Arial" w:hint="cs"/>
          <w:rtl/>
        </w:rPr>
        <w:t>,</w:t>
      </w:r>
      <w:r w:rsidRPr="007D6BA6">
        <w:rPr>
          <w:rFonts w:cs="Arial"/>
          <w:rtl/>
        </w:rPr>
        <w:t xml:space="preserve"> והראב"ד תירץ על קושיא הראשונה כמו התוס</w:t>
      </w:r>
      <w:r>
        <w:rPr>
          <w:rFonts w:cs="Arial" w:hint="cs"/>
          <w:rtl/>
        </w:rPr>
        <w:t>'</w:t>
      </w:r>
      <w:r w:rsidRPr="007D6BA6">
        <w:rPr>
          <w:rFonts w:cs="Arial"/>
          <w:rtl/>
        </w:rPr>
        <w:t xml:space="preserve"> ועל קושיא שנייה תירץ דכל שאסרו חכמים בשל </w:t>
      </w:r>
      <w:r>
        <w:rPr>
          <w:rFonts w:cs="Arial" w:hint="cs"/>
          <w:rtl/>
        </w:rPr>
        <w:t>גו</w:t>
      </w:r>
      <w:r w:rsidRPr="007D6BA6">
        <w:rPr>
          <w:rFonts w:cs="Arial"/>
          <w:rtl/>
        </w:rPr>
        <w:t>ים אינו מועיל ביטול ברוב כדי שלא יפרצו כיון דשכיח בהו טעמא</w:t>
      </w:r>
      <w:r>
        <w:rPr>
          <w:rFonts w:cs="Arial" w:hint="cs"/>
          <w:rtl/>
        </w:rPr>
        <w:t>, ט"ז</w:t>
      </w:r>
      <w:r w:rsidRPr="007D6BA6">
        <w:rPr>
          <w:rFonts w:cs="Arial" w:hint="cs"/>
          <w:sz w:val="16"/>
          <w:szCs w:val="16"/>
          <w:rtl/>
        </w:rPr>
        <w:t xml:space="preserve"> (סק"ט)</w:t>
      </w:r>
      <w:r>
        <w:rPr>
          <w:rFonts w:cs="Arial" w:hint="cs"/>
          <w:rtl/>
        </w:rPr>
        <w:t>.</w:t>
      </w:r>
    </w:p>
  </w:footnote>
  <w:footnote w:id="2842">
    <w:p w14:paraId="73E850F8" w14:textId="77777777" w:rsidR="004C5A3C" w:rsidRDefault="004C5A3C" w:rsidP="002C39F4">
      <w:pPr>
        <w:pStyle w:val="a5"/>
        <w:rPr>
          <w:rtl/>
        </w:rPr>
      </w:pPr>
      <w:r>
        <w:rPr>
          <w:rStyle w:val="a7"/>
        </w:rPr>
        <w:footnoteRef/>
      </w:r>
      <w:r>
        <w:rPr>
          <w:rtl/>
        </w:rPr>
        <w:t xml:space="preserve"> </w:t>
      </w:r>
      <w:r w:rsidRPr="007D6BA6">
        <w:rPr>
          <w:rFonts w:cs="Arial"/>
          <w:rtl/>
        </w:rPr>
        <w:t>ב</w:t>
      </w:r>
      <w:r>
        <w:rPr>
          <w:rFonts w:cs="Arial"/>
          <w:rtl/>
        </w:rPr>
        <w:t>הג"א</w:t>
      </w:r>
      <w:r w:rsidRPr="007D6BA6">
        <w:rPr>
          <w:rFonts w:cs="Arial"/>
          <w:rtl/>
        </w:rPr>
        <w:t xml:space="preserve"> ובאו"ה שם איתא דאין להתיר זה אלא במקום הפסד מרובה </w:t>
      </w:r>
      <w:r w:rsidRPr="007D6BA6">
        <w:rPr>
          <w:rFonts w:cs="Arial"/>
          <w:sz w:val="16"/>
          <w:szCs w:val="16"/>
          <w:rtl/>
        </w:rPr>
        <w:t>(וכן הוא בתשובת מהר"מ סי</w:t>
      </w:r>
      <w:r w:rsidRPr="007D6BA6">
        <w:rPr>
          <w:rFonts w:cs="Arial" w:hint="cs"/>
          <w:sz w:val="16"/>
          <w:szCs w:val="16"/>
          <w:rtl/>
        </w:rPr>
        <w:t>'</w:t>
      </w:r>
      <w:r w:rsidRPr="007D6BA6">
        <w:rPr>
          <w:rFonts w:cs="Arial"/>
          <w:sz w:val="16"/>
          <w:szCs w:val="16"/>
          <w:rtl/>
        </w:rPr>
        <w:t xml:space="preserve"> ר</w:t>
      </w:r>
      <w:r w:rsidRPr="007D6BA6">
        <w:rPr>
          <w:rFonts w:cs="Arial" w:hint="cs"/>
          <w:sz w:val="16"/>
          <w:szCs w:val="16"/>
          <w:rtl/>
        </w:rPr>
        <w:t>ט</w:t>
      </w:r>
      <w:r w:rsidRPr="007D6BA6">
        <w:rPr>
          <w:rFonts w:cs="Arial"/>
          <w:sz w:val="16"/>
          <w:szCs w:val="16"/>
          <w:rtl/>
        </w:rPr>
        <w:t>ז)</w:t>
      </w:r>
      <w:r w:rsidRPr="007D6BA6">
        <w:rPr>
          <w:rFonts w:cs="Arial"/>
          <w:rtl/>
        </w:rPr>
        <w:t xml:space="preserve"> וכ"כ בד</w:t>
      </w:r>
      <w:r>
        <w:rPr>
          <w:rFonts w:cs="Arial" w:hint="cs"/>
          <w:rtl/>
        </w:rPr>
        <w:t>רכ</w:t>
      </w:r>
      <w:r w:rsidRPr="007D6BA6">
        <w:rPr>
          <w:rFonts w:cs="Arial"/>
          <w:rtl/>
        </w:rPr>
        <w:t xml:space="preserve">"מ ובת"ח </w:t>
      </w:r>
      <w:r w:rsidRPr="007D6BA6">
        <w:rPr>
          <w:rFonts w:cs="Arial" w:hint="cs"/>
          <w:sz w:val="16"/>
          <w:szCs w:val="16"/>
          <w:rtl/>
        </w:rPr>
        <w:t>(</w:t>
      </w:r>
      <w:r w:rsidRPr="007D6BA6">
        <w:rPr>
          <w:rFonts w:cs="Arial"/>
          <w:sz w:val="16"/>
          <w:szCs w:val="16"/>
          <w:rtl/>
        </w:rPr>
        <w:t xml:space="preserve">כלל </w:t>
      </w:r>
      <w:r w:rsidRPr="007D6BA6">
        <w:rPr>
          <w:rFonts w:cs="Arial" w:hint="cs"/>
          <w:sz w:val="16"/>
          <w:szCs w:val="16"/>
          <w:rtl/>
        </w:rPr>
        <w:t>פ</w:t>
      </w:r>
      <w:r w:rsidRPr="007D6BA6">
        <w:rPr>
          <w:rFonts w:cs="Arial"/>
          <w:sz w:val="16"/>
          <w:szCs w:val="16"/>
          <w:rtl/>
        </w:rPr>
        <w:t>א ד</w:t>
      </w:r>
      <w:r w:rsidRPr="007D6BA6">
        <w:rPr>
          <w:rFonts w:cs="Arial" w:hint="cs"/>
          <w:sz w:val="16"/>
          <w:szCs w:val="16"/>
          <w:rtl/>
        </w:rPr>
        <w:t>"</w:t>
      </w:r>
      <w:r w:rsidRPr="007D6BA6">
        <w:rPr>
          <w:rFonts w:cs="Arial"/>
          <w:sz w:val="16"/>
          <w:szCs w:val="16"/>
          <w:rtl/>
        </w:rPr>
        <w:t>ב</w:t>
      </w:r>
      <w:r>
        <w:rPr>
          <w:rFonts w:cs="Arial" w:hint="cs"/>
          <w:sz w:val="16"/>
          <w:szCs w:val="16"/>
          <w:rtl/>
        </w:rPr>
        <w:t>)</w:t>
      </w:r>
      <w:r w:rsidRPr="007D6BA6">
        <w:rPr>
          <w:rFonts w:cs="Arial"/>
          <w:sz w:val="16"/>
          <w:szCs w:val="16"/>
          <w:rtl/>
        </w:rPr>
        <w:t xml:space="preserve"> </w:t>
      </w:r>
      <w:r w:rsidRPr="007D6BA6">
        <w:rPr>
          <w:rFonts w:cs="Arial"/>
          <w:rtl/>
        </w:rPr>
        <w:t>מיהו היכא דראה החליבה רק שלא היה שם בתחלת החליבה משמע שם בהג"ה דיש להתי</w:t>
      </w:r>
      <w:r>
        <w:rPr>
          <w:rFonts w:cs="Arial" w:hint="cs"/>
          <w:rtl/>
        </w:rPr>
        <w:t>ר</w:t>
      </w:r>
      <w:r w:rsidRPr="007D6BA6">
        <w:rPr>
          <w:rFonts w:cs="Arial"/>
          <w:rtl/>
        </w:rPr>
        <w:t xml:space="preserve"> בדיעבד אף בלא הפסד מרובה</w:t>
      </w:r>
      <w:r>
        <w:rPr>
          <w:rFonts w:cs="Arial" w:hint="cs"/>
          <w:rtl/>
        </w:rPr>
        <w:t>,</w:t>
      </w:r>
      <w:r w:rsidRPr="007D6BA6">
        <w:rPr>
          <w:rFonts w:cs="Arial"/>
          <w:rtl/>
        </w:rPr>
        <w:t xml:space="preserve"> וכ</w:t>
      </w:r>
      <w:r>
        <w:rPr>
          <w:rFonts w:cs="Arial" w:hint="cs"/>
          <w:rtl/>
        </w:rPr>
        <w:t xml:space="preserve">"מ </w:t>
      </w:r>
      <w:r w:rsidRPr="007D6BA6">
        <w:rPr>
          <w:rFonts w:cs="Arial"/>
          <w:rtl/>
        </w:rPr>
        <w:t>בתשו</w:t>
      </w:r>
      <w:r>
        <w:rPr>
          <w:rFonts w:cs="Arial" w:hint="cs"/>
          <w:rtl/>
        </w:rPr>
        <w:t>'</w:t>
      </w:r>
      <w:r w:rsidRPr="007D6BA6">
        <w:rPr>
          <w:rFonts w:cs="Arial"/>
          <w:rtl/>
        </w:rPr>
        <w:t xml:space="preserve"> מהר"ם שם</w:t>
      </w:r>
      <w:r>
        <w:rPr>
          <w:rFonts w:cs="Arial" w:hint="cs"/>
          <w:rtl/>
        </w:rPr>
        <w:t>,</w:t>
      </w:r>
      <w:r w:rsidRPr="007D6BA6">
        <w:rPr>
          <w:rFonts w:cs="Arial"/>
          <w:rtl/>
        </w:rPr>
        <w:t xml:space="preserve"> ואפשר דבכה"ג כתב הרב כאן בהג"ה סתם להתיר בדיעבד</w:t>
      </w:r>
      <w:r>
        <w:rPr>
          <w:rFonts w:hint="cs"/>
          <w:rtl/>
        </w:rPr>
        <w:t xml:space="preserve">, ש"ך </w:t>
      </w:r>
      <w:r w:rsidRPr="007D6BA6">
        <w:rPr>
          <w:rFonts w:hint="cs"/>
          <w:sz w:val="16"/>
          <w:szCs w:val="16"/>
          <w:rtl/>
        </w:rPr>
        <w:t>(סקכ"ב)</w:t>
      </w:r>
      <w:r>
        <w:rPr>
          <w:rFonts w:hint="cs"/>
          <w:rtl/>
        </w:rPr>
        <w:t xml:space="preserve">. וכ' עוד </w:t>
      </w:r>
      <w:r w:rsidRPr="007D6BA6">
        <w:rPr>
          <w:rFonts w:hint="cs"/>
          <w:sz w:val="16"/>
          <w:szCs w:val="16"/>
          <w:rtl/>
        </w:rPr>
        <w:t>(סקכ"ג)</w:t>
      </w:r>
      <w:r w:rsidRPr="007D6BA6">
        <w:rPr>
          <w:sz w:val="16"/>
          <w:szCs w:val="16"/>
          <w:rtl/>
        </w:rPr>
        <w:t xml:space="preserve"> </w:t>
      </w:r>
      <w:r>
        <w:rPr>
          <w:rFonts w:cs="Arial" w:hint="cs"/>
          <w:rtl/>
        </w:rPr>
        <w:t>ד</w:t>
      </w:r>
      <w:r w:rsidRPr="007D6BA6">
        <w:rPr>
          <w:rFonts w:cs="Arial"/>
          <w:rtl/>
        </w:rPr>
        <w:t>דוקא שקונה ממנו סכום גבינות או לפי המשקל דמאחר דחלב טמא אינו עומד אינו מערב בו דבר טמא אבל אם קונה במדה אסור</w:t>
      </w:r>
      <w:r>
        <w:rPr>
          <w:rFonts w:cs="Arial" w:hint="cs"/>
          <w:rtl/>
        </w:rPr>
        <w:t>,</w:t>
      </w:r>
      <w:r w:rsidRPr="007D6BA6">
        <w:rPr>
          <w:rFonts w:cs="Arial"/>
          <w:rtl/>
        </w:rPr>
        <w:t xml:space="preserve"> או"ה ות"ח</w:t>
      </w:r>
      <w:r>
        <w:rPr>
          <w:rFonts w:cs="Arial" w:hint="cs"/>
          <w:rtl/>
        </w:rPr>
        <w:t>.</w:t>
      </w:r>
    </w:p>
  </w:footnote>
  <w:footnote w:id="2843">
    <w:p w14:paraId="327735CD" w14:textId="77777777" w:rsidR="004C5A3C" w:rsidRDefault="004C5A3C" w:rsidP="002C39F4">
      <w:pPr>
        <w:pStyle w:val="a5"/>
        <w:rPr>
          <w:rtl/>
        </w:rPr>
      </w:pPr>
      <w:r>
        <w:rPr>
          <w:rStyle w:val="a7"/>
        </w:rPr>
        <w:footnoteRef/>
      </w:r>
      <w:r>
        <w:rPr>
          <w:rtl/>
        </w:rPr>
        <w:t xml:space="preserve"> </w:t>
      </w:r>
      <w:r w:rsidRPr="00080EAE">
        <w:rPr>
          <w:rFonts w:cs="Arial"/>
          <w:rtl/>
        </w:rPr>
        <w:t>כלומר שידעינן בודאי שדעתו לעשות גבינות</w:t>
      </w:r>
      <w:r>
        <w:rPr>
          <w:rFonts w:cs="Arial" w:hint="cs"/>
          <w:rtl/>
        </w:rPr>
        <w:t>,</w:t>
      </w:r>
      <w:r w:rsidRPr="00080EAE">
        <w:rPr>
          <w:rFonts w:cs="Arial"/>
          <w:rtl/>
        </w:rPr>
        <w:t xml:space="preserve"> וכן משמע בדברי הפוסקים</w:t>
      </w:r>
      <w:r>
        <w:rPr>
          <w:rFonts w:cs="Arial" w:hint="cs"/>
          <w:rtl/>
        </w:rPr>
        <w:t>,</w:t>
      </w:r>
      <w:r w:rsidRPr="00080EAE">
        <w:rPr>
          <w:rFonts w:cs="Arial"/>
          <w:rtl/>
        </w:rPr>
        <w:t xml:space="preserve"> ואיתא בתשו</w:t>
      </w:r>
      <w:r>
        <w:rPr>
          <w:rFonts w:cs="Arial" w:hint="cs"/>
          <w:rtl/>
        </w:rPr>
        <w:t>'</w:t>
      </w:r>
      <w:r w:rsidRPr="00080EAE">
        <w:rPr>
          <w:rFonts w:cs="Arial"/>
          <w:rtl/>
        </w:rPr>
        <w:t xml:space="preserve"> מהר"מ שם דאפילו היה לו דבר טמא בעדרו מותר בדיעבד מה"ט דדעת העובד כוכבים להקפיא ע"ש</w:t>
      </w:r>
      <w:r>
        <w:rPr>
          <w:rFonts w:hint="cs"/>
          <w:rtl/>
        </w:rPr>
        <w:t>, ש"ך (סקכ"ה).</w:t>
      </w:r>
    </w:p>
  </w:footnote>
  <w:footnote w:id="2844">
    <w:p w14:paraId="2257CF1E" w14:textId="77777777" w:rsidR="004C5A3C" w:rsidRDefault="004C5A3C" w:rsidP="002C39F4">
      <w:pPr>
        <w:pStyle w:val="a5"/>
        <w:rPr>
          <w:rtl/>
        </w:rPr>
      </w:pPr>
      <w:r>
        <w:rPr>
          <w:rStyle w:val="a7"/>
        </w:rPr>
        <w:footnoteRef/>
      </w:r>
      <w:r>
        <w:rPr>
          <w:rtl/>
        </w:rPr>
        <w:t xml:space="preserve"> </w:t>
      </w:r>
      <w:r w:rsidRPr="00080EAE">
        <w:rPr>
          <w:rFonts w:cs="Arial"/>
          <w:rtl/>
        </w:rPr>
        <w:t>מאחר שלא ראה החליבה אפילו ידענו שדעת העובד כוכבים לעשות גבינות</w:t>
      </w:r>
      <w:r>
        <w:rPr>
          <w:rFonts w:hint="cs"/>
          <w:rtl/>
        </w:rPr>
        <w:t>, ש"ך (סקכ"ו).</w:t>
      </w:r>
    </w:p>
  </w:footnote>
  <w:footnote w:id="2845">
    <w:p w14:paraId="1DB17CFB" w14:textId="77777777" w:rsidR="004C5A3C" w:rsidRDefault="004C5A3C" w:rsidP="002C39F4">
      <w:pPr>
        <w:pStyle w:val="a5"/>
      </w:pPr>
      <w:r>
        <w:rPr>
          <w:rStyle w:val="a7"/>
        </w:rPr>
        <w:footnoteRef/>
      </w:r>
      <w:r>
        <w:rPr>
          <w:rtl/>
        </w:rPr>
        <w:t xml:space="preserve"> </w:t>
      </w:r>
      <w:r w:rsidRPr="00063ED0">
        <w:rPr>
          <w:rFonts w:cs="Arial"/>
          <w:rtl/>
        </w:rPr>
        <w:t>מאכל</w:t>
      </w:r>
      <w:r>
        <w:rPr>
          <w:rFonts w:cs="Arial" w:hint="cs"/>
          <w:rtl/>
        </w:rPr>
        <w:t>, רש"י</w:t>
      </w:r>
      <w:r w:rsidRPr="00063ED0">
        <w:rPr>
          <w:rFonts w:cs="Arial"/>
          <w:rtl/>
        </w:rPr>
        <w:t>.</w:t>
      </w:r>
    </w:p>
  </w:footnote>
  <w:footnote w:id="2846">
    <w:p w14:paraId="3D145CCF" w14:textId="77777777" w:rsidR="004C5A3C" w:rsidRDefault="004C5A3C" w:rsidP="002C39F4">
      <w:pPr>
        <w:pStyle w:val="a5"/>
      </w:pPr>
      <w:r>
        <w:rPr>
          <w:rStyle w:val="a7"/>
        </w:rPr>
        <w:footnoteRef/>
      </w:r>
      <w:r>
        <w:rPr>
          <w:rtl/>
        </w:rPr>
        <w:t xml:space="preserve"> </w:t>
      </w:r>
      <w:r w:rsidRPr="00063ED0">
        <w:rPr>
          <w:rFonts w:cs="Arial"/>
          <w:rtl/>
        </w:rPr>
        <w:t>אפילו לגבינה נמי אסור</w:t>
      </w:r>
      <w:r>
        <w:rPr>
          <w:rFonts w:cs="Arial" w:hint="cs"/>
          <w:rtl/>
        </w:rPr>
        <w:t>, רש"י</w:t>
      </w:r>
      <w:r w:rsidRPr="00063ED0">
        <w:rPr>
          <w:rFonts w:cs="Arial"/>
          <w:rtl/>
        </w:rPr>
        <w:t>.</w:t>
      </w:r>
    </w:p>
  </w:footnote>
  <w:footnote w:id="2847">
    <w:p w14:paraId="513950CF" w14:textId="77777777" w:rsidR="004C5A3C" w:rsidRDefault="004C5A3C" w:rsidP="002C39F4">
      <w:pPr>
        <w:pStyle w:val="a5"/>
      </w:pPr>
      <w:r>
        <w:rPr>
          <w:rStyle w:val="a7"/>
        </w:rPr>
        <w:footnoteRef/>
      </w:r>
      <w:r>
        <w:rPr>
          <w:rtl/>
        </w:rPr>
        <w:t xml:space="preserve"> </w:t>
      </w:r>
      <w:r w:rsidRPr="00063ED0">
        <w:rPr>
          <w:rFonts w:cs="Arial"/>
          <w:rtl/>
        </w:rPr>
        <w:t>נסיובי דקיימי בגבינה</w:t>
      </w:r>
      <w:r>
        <w:rPr>
          <w:rFonts w:cs="Arial" w:hint="cs"/>
          <w:rtl/>
        </w:rPr>
        <w:t>, רש"י</w:t>
      </w:r>
      <w:r w:rsidRPr="00063ED0">
        <w:rPr>
          <w:rFonts w:cs="Arial"/>
          <w:rtl/>
        </w:rPr>
        <w:t>.</w:t>
      </w:r>
    </w:p>
  </w:footnote>
  <w:footnote w:id="2848">
    <w:p w14:paraId="1EDDE659" w14:textId="77777777" w:rsidR="004C5A3C" w:rsidRDefault="004C5A3C" w:rsidP="002C39F4">
      <w:pPr>
        <w:pStyle w:val="a5"/>
        <w:rPr>
          <w:rtl/>
        </w:rPr>
      </w:pPr>
      <w:r>
        <w:rPr>
          <w:rStyle w:val="a7"/>
        </w:rPr>
        <w:footnoteRef/>
      </w:r>
      <w:r>
        <w:rPr>
          <w:rtl/>
        </w:rPr>
        <w:t xml:space="preserve"> </w:t>
      </w:r>
      <w:r w:rsidRPr="00063ED0">
        <w:rPr>
          <w:rFonts w:cs="Arial"/>
          <w:rtl/>
        </w:rPr>
        <w:t>בתוך הגומות שבגבינה וחיישינן שמא מן החלב טמא שלא עומד נשאר עם הנסיובי בגומות</w:t>
      </w:r>
      <w:r>
        <w:rPr>
          <w:rFonts w:cs="Arial" w:hint="cs"/>
          <w:rtl/>
        </w:rPr>
        <w:t>, רש"י</w:t>
      </w:r>
      <w:r w:rsidRPr="00063ED0">
        <w:rPr>
          <w:rFonts w:cs="Arial"/>
          <w:rtl/>
        </w:rPr>
        <w:t>.</w:t>
      </w:r>
    </w:p>
  </w:footnote>
  <w:footnote w:id="2849">
    <w:p w14:paraId="41DAB34F" w14:textId="77777777" w:rsidR="004C5A3C" w:rsidRDefault="004C5A3C" w:rsidP="002C39F4">
      <w:pPr>
        <w:pStyle w:val="a5"/>
        <w:rPr>
          <w:rtl/>
        </w:rPr>
      </w:pPr>
      <w:r>
        <w:rPr>
          <w:rStyle w:val="a7"/>
        </w:rPr>
        <w:footnoteRef/>
      </w:r>
      <w:r>
        <w:rPr>
          <w:rtl/>
        </w:rPr>
        <w:t xml:space="preserve"> </w:t>
      </w:r>
      <w:r>
        <w:rPr>
          <w:rFonts w:hint="cs"/>
          <w:rtl/>
        </w:rPr>
        <w:t xml:space="preserve">וכ' הב"י- </w:t>
      </w:r>
      <w:r w:rsidRPr="00932B52">
        <w:rPr>
          <w:rFonts w:cs="Arial"/>
          <w:rtl/>
        </w:rPr>
        <w:t>לא מצאתי זה כתוב בספר אחד ומתוך דברי רבינו נראה שהיה רגיל הרא"ש לומר כן על פה ולא כתבו בספר</w:t>
      </w:r>
      <w:r>
        <w:rPr>
          <w:rFonts w:hint="cs"/>
          <w:rtl/>
        </w:rPr>
        <w:t>.</w:t>
      </w:r>
    </w:p>
  </w:footnote>
  <w:footnote w:id="2850">
    <w:p w14:paraId="7E1DA268" w14:textId="77777777" w:rsidR="004C5A3C" w:rsidRDefault="004C5A3C" w:rsidP="002C39F4">
      <w:pPr>
        <w:pStyle w:val="a5"/>
        <w:rPr>
          <w:rtl/>
        </w:rPr>
      </w:pPr>
      <w:r>
        <w:rPr>
          <w:rStyle w:val="a7"/>
        </w:rPr>
        <w:footnoteRef/>
      </w:r>
      <w:r>
        <w:rPr>
          <w:rtl/>
        </w:rPr>
        <w:t xml:space="preserve"> </w:t>
      </w:r>
      <w:r>
        <w:rPr>
          <w:rFonts w:hint="cs"/>
          <w:rtl/>
        </w:rPr>
        <w:t xml:space="preserve">וכתב הרשב"א- </w:t>
      </w:r>
      <w:r w:rsidRPr="00EB1CF3">
        <w:rPr>
          <w:rFonts w:cs="Arial"/>
          <w:rtl/>
        </w:rPr>
        <w:t>אין טעם דברים אלו מחוור בעיני וזה יצא לו לרב ז"ל מן העיקר שתלה בו טעם איסור הגבינה מפני שמעמידין אותו בעור קבת נבילה</w:t>
      </w:r>
      <w:r>
        <w:rPr>
          <w:rFonts w:cs="Arial" w:hint="cs"/>
          <w:rtl/>
        </w:rPr>
        <w:t>,</w:t>
      </w:r>
      <w:r w:rsidRPr="00EB1CF3">
        <w:rPr>
          <w:rFonts w:cs="Arial"/>
          <w:rtl/>
        </w:rPr>
        <w:t xml:space="preserve"> ולפיכך הוא סבור שמן הדין היה לנו להתיר החמאה שיש בה תערובת מעט חלב טמא מפני שבטל במיעוטו ולא נאסרת החמאה אלא מפני שהקום של חלב טמא אינו מעורב בחמאה</w:t>
      </w:r>
      <w:r>
        <w:rPr>
          <w:rFonts w:cs="Arial" w:hint="cs"/>
          <w:rtl/>
        </w:rPr>
        <w:t>,</w:t>
      </w:r>
      <w:r w:rsidRPr="00EB1CF3">
        <w:rPr>
          <w:rFonts w:cs="Arial"/>
          <w:rtl/>
        </w:rPr>
        <w:t xml:space="preserve"> ואין דרכו בזה ישר ולא טעם איסורו מחוור לפי שהגבינה הרבה טעמים נאמרו בה ואמרו משום דקאי ביני איטפי ואפילו שהוא דבר מועט אין הולכין באיסורי גוים אחר נתינת טעם וכתירוצו של הראב"ד והוא העיקר.</w:t>
      </w:r>
      <w:r w:rsidRPr="00BD5A4E">
        <w:rPr>
          <w:rtl/>
        </w:rPr>
        <w:t xml:space="preserve"> </w:t>
      </w:r>
      <w:r w:rsidRPr="00BD5A4E">
        <w:rPr>
          <w:rFonts w:cs="Arial"/>
          <w:rtl/>
        </w:rPr>
        <w:t>והטעם שכתב באיסור החמאה</w:t>
      </w:r>
      <w:r>
        <w:rPr>
          <w:rFonts w:cs="Arial" w:hint="cs"/>
          <w:rtl/>
        </w:rPr>
        <w:t>,</w:t>
      </w:r>
      <w:r w:rsidRPr="00BD5A4E">
        <w:rPr>
          <w:rFonts w:cs="Arial"/>
          <w:rtl/>
        </w:rPr>
        <w:t xml:space="preserve"> מפני שהקום שבחמאה אינו מעורב עם החמאה שיבטל במיעוטו</w:t>
      </w:r>
      <w:r>
        <w:rPr>
          <w:rFonts w:cs="Arial" w:hint="cs"/>
          <w:rtl/>
        </w:rPr>
        <w:t>,</w:t>
      </w:r>
      <w:r w:rsidRPr="00BD5A4E">
        <w:rPr>
          <w:rFonts w:cs="Arial"/>
          <w:rtl/>
        </w:rPr>
        <w:t xml:space="preserve"> אינו מחוור כלל</w:t>
      </w:r>
      <w:r>
        <w:rPr>
          <w:rFonts w:cs="Arial" w:hint="cs"/>
          <w:rtl/>
        </w:rPr>
        <w:t>,</w:t>
      </w:r>
      <w:r w:rsidRPr="00BD5A4E">
        <w:rPr>
          <w:rFonts w:cs="Arial"/>
          <w:rtl/>
        </w:rPr>
        <w:t xml:space="preserve"> שהביטול ברוב בעלמא אינו מצד שהמיעוט מתערב ברוב</w:t>
      </w:r>
      <w:r>
        <w:rPr>
          <w:rFonts w:cs="Arial" w:hint="cs"/>
          <w:rtl/>
        </w:rPr>
        <w:t>,</w:t>
      </w:r>
      <w:r w:rsidRPr="00BD5A4E">
        <w:rPr>
          <w:rFonts w:cs="Arial"/>
          <w:rtl/>
        </w:rPr>
        <w:t xml:space="preserve"> שהרי חטים של תרומה שנפלו לתוך החולין או גרוגרות של תרומה שנפלו לתוך החולין </w:t>
      </w:r>
      <w:r w:rsidRPr="00BD5A4E">
        <w:rPr>
          <w:rFonts w:cs="Arial"/>
          <w:sz w:val="16"/>
          <w:szCs w:val="16"/>
          <w:rtl/>
        </w:rPr>
        <w:t xml:space="preserve">(תרומות פ"ד מ"ז-ח, פ"ה מ"ב) </w:t>
      </w:r>
      <w:r w:rsidRPr="00BD5A4E">
        <w:rPr>
          <w:rFonts w:cs="Arial"/>
          <w:rtl/>
        </w:rPr>
        <w:t>אע</w:t>
      </w:r>
      <w:r>
        <w:rPr>
          <w:rFonts w:cs="Arial" w:hint="cs"/>
          <w:rtl/>
        </w:rPr>
        <w:t>"פ</w:t>
      </w:r>
      <w:r w:rsidRPr="00BD5A4E">
        <w:rPr>
          <w:rFonts w:cs="Arial"/>
          <w:rtl/>
        </w:rPr>
        <w:t xml:space="preserve"> שזה עומד בפני עצמו וזה עומד בפני עצמו בטלים בשיעורן שכל שאין אתה יכול לברור דבר מתוך דבר אילו היית אוסר הרוב מפני המיעוט</w:t>
      </w:r>
      <w:r>
        <w:rPr>
          <w:rFonts w:cs="Arial" w:hint="cs"/>
          <w:rtl/>
        </w:rPr>
        <w:t>,</w:t>
      </w:r>
      <w:r w:rsidRPr="00BD5A4E">
        <w:rPr>
          <w:rFonts w:cs="Arial"/>
          <w:rtl/>
        </w:rPr>
        <w:t xml:space="preserve"> נמצא שאין המיעוט בטל אלא לח בלח כגון יין או שמן או כיוצא בזה</w:t>
      </w:r>
      <w:r>
        <w:rPr>
          <w:rFonts w:cs="Arial" w:hint="cs"/>
          <w:rtl/>
        </w:rPr>
        <w:t>,</w:t>
      </w:r>
      <w:r w:rsidRPr="00BD5A4E">
        <w:rPr>
          <w:rFonts w:cs="Arial"/>
          <w:rtl/>
        </w:rPr>
        <w:t xml:space="preserve"> וגדולה מזו אמרו (שם פ"ד מי"ב) בשתי קופות בשתי עיירות שמצטרפות ומעלות האיסור כל שכן בקום דחמאה שאי אתה יכול לברור אותו מתוך החמאה ולסלקו ורוב כל האיסורים המתפשטים והמתבטלים ברוב בטלים בכיוצא בזה</w:t>
      </w:r>
      <w:r>
        <w:rPr>
          <w:rFonts w:cs="Arial" w:hint="cs"/>
          <w:rtl/>
        </w:rPr>
        <w:t>,</w:t>
      </w:r>
      <w:r w:rsidRPr="00BD5A4E">
        <w:rPr>
          <w:rFonts w:cs="Arial"/>
          <w:rtl/>
        </w:rPr>
        <w:t xml:space="preserve"> אלא שלא הלכו בדברים אלו אחר הרוב או אחר נתינת טעם כמו שכתבנו</w:t>
      </w:r>
      <w:r>
        <w:rPr>
          <w:rFonts w:cs="Arial" w:hint="cs"/>
          <w:rtl/>
        </w:rPr>
        <w:t>.</w:t>
      </w:r>
      <w:r>
        <w:rPr>
          <w:rFonts w:hint="cs"/>
          <w:rtl/>
        </w:rPr>
        <w:t xml:space="preserve"> עכ"ל. וכ' הב"י- </w:t>
      </w:r>
      <w:r w:rsidRPr="00EB1CF3">
        <w:rPr>
          <w:rFonts w:cs="Arial"/>
          <w:rtl/>
        </w:rPr>
        <w:t>ולי נראה דלדעת הרמב"ם יש לומר דלא דמי לחטים או גרוגרות של תרומה שנתערבו בחולין דהתם אע</w:t>
      </w:r>
      <w:r>
        <w:rPr>
          <w:rFonts w:cs="Arial" w:hint="cs"/>
          <w:rtl/>
        </w:rPr>
        <w:t>"</w:t>
      </w:r>
      <w:r w:rsidRPr="00EB1CF3">
        <w:rPr>
          <w:rFonts w:cs="Arial"/>
          <w:rtl/>
        </w:rPr>
        <w:t>פ שזה עומד בפני עצמו וזה עומד בפני עצמו מכל מקום אין האיסור ניכר כלל אבל בחמאה הוי האיסור ניכר דהינו הקום אלא שאי אפשר לברור אותו ולסלקו מן החמאה ולפיכך אינו בטל.</w:t>
      </w:r>
    </w:p>
  </w:footnote>
  <w:footnote w:id="2851">
    <w:p w14:paraId="51EC5F46" w14:textId="77777777" w:rsidR="004C5A3C" w:rsidRDefault="004C5A3C" w:rsidP="002C39F4">
      <w:pPr>
        <w:pStyle w:val="a5"/>
      </w:pPr>
      <w:r>
        <w:rPr>
          <w:rStyle w:val="a7"/>
        </w:rPr>
        <w:footnoteRef/>
      </w:r>
      <w:r>
        <w:rPr>
          <w:rtl/>
        </w:rPr>
        <w:t xml:space="preserve"> </w:t>
      </w:r>
      <w:r>
        <w:rPr>
          <w:rFonts w:cs="Arial"/>
          <w:rtl/>
        </w:rPr>
        <w:t>כלומר שניתכו ע"י האש</w:t>
      </w:r>
      <w:r>
        <w:rPr>
          <w:rFonts w:cs="Arial" w:hint="cs"/>
          <w:rtl/>
        </w:rPr>
        <w:t>, ב"י.</w:t>
      </w:r>
    </w:p>
  </w:footnote>
  <w:footnote w:id="2852">
    <w:p w14:paraId="740FE50E" w14:textId="77777777" w:rsidR="004C5A3C" w:rsidRDefault="004C5A3C" w:rsidP="002C39F4">
      <w:pPr>
        <w:pStyle w:val="a5"/>
        <w:rPr>
          <w:rtl/>
        </w:rPr>
      </w:pPr>
      <w:r>
        <w:rPr>
          <w:rStyle w:val="a7"/>
        </w:rPr>
        <w:footnoteRef/>
      </w:r>
      <w:r>
        <w:rPr>
          <w:rtl/>
        </w:rPr>
        <w:t xml:space="preserve"> </w:t>
      </w:r>
      <w:r>
        <w:rPr>
          <w:rFonts w:cs="Arial"/>
          <w:rtl/>
        </w:rPr>
        <w:t>לישנא דדיעבד דנקט לאו דוקא</w:t>
      </w:r>
      <w:r>
        <w:rPr>
          <w:rFonts w:cs="Arial" w:hint="cs"/>
          <w:rtl/>
        </w:rPr>
        <w:t>,</w:t>
      </w:r>
      <w:r>
        <w:rPr>
          <w:rFonts w:cs="Arial"/>
          <w:rtl/>
        </w:rPr>
        <w:t xml:space="preserve"> דלכתחלה נמי שרי </w:t>
      </w:r>
      <w:r w:rsidRPr="00FB6297">
        <w:rPr>
          <w:rFonts w:cs="Arial" w:hint="cs"/>
          <w:sz w:val="16"/>
          <w:szCs w:val="16"/>
          <w:rtl/>
        </w:rPr>
        <w:t>(</w:t>
      </w:r>
      <w:r w:rsidRPr="00FB6297">
        <w:rPr>
          <w:rFonts w:cs="Arial"/>
          <w:sz w:val="16"/>
          <w:szCs w:val="16"/>
          <w:rtl/>
        </w:rPr>
        <w:t>וטעמא משום דאין ידוע שיהא מבטל איסור בכך דהא איכא ספיקי טובא חדא דילמא לא היה כאן תערובת חלב טמא כלל ואם תמצא לומר שנתערב שמא לא נשאר ממנו בחמאה זו כלום ואם תמצא לומר שנשאר שמא כשנתבשל ניתך ע</w:t>
      </w:r>
      <w:r>
        <w:rPr>
          <w:rFonts w:cs="Arial" w:hint="cs"/>
          <w:sz w:val="16"/>
          <w:szCs w:val="16"/>
          <w:rtl/>
        </w:rPr>
        <w:t>"</w:t>
      </w:r>
      <w:r w:rsidRPr="00FB6297">
        <w:rPr>
          <w:rFonts w:cs="Arial"/>
          <w:sz w:val="16"/>
          <w:szCs w:val="16"/>
          <w:rtl/>
        </w:rPr>
        <w:t>י אש הילכך אין לאסור משום מבטל איסור</w:t>
      </w:r>
      <w:r>
        <w:rPr>
          <w:rFonts w:cs="Arial" w:hint="cs"/>
          <w:sz w:val="16"/>
          <w:szCs w:val="16"/>
          <w:rtl/>
        </w:rPr>
        <w:t xml:space="preserve"> </w:t>
      </w:r>
      <w:r w:rsidRPr="00FB6297">
        <w:rPr>
          <w:rFonts w:cs="Arial" w:hint="cs"/>
          <w:sz w:val="14"/>
          <w:szCs w:val="14"/>
          <w:rtl/>
        </w:rPr>
        <w:t>{הכנסתי לשון זו בסוגריים משום שלקמן מובא התירוץ העיקרי של הב"י}</w:t>
      </w:r>
      <w:r>
        <w:rPr>
          <w:rFonts w:cs="Arial" w:hint="cs"/>
          <w:sz w:val="16"/>
          <w:szCs w:val="16"/>
          <w:rtl/>
        </w:rPr>
        <w:t>)</w:t>
      </w:r>
      <w:r>
        <w:rPr>
          <w:rFonts w:hint="cs"/>
          <w:rtl/>
        </w:rPr>
        <w:t>, ב"י.</w:t>
      </w:r>
      <w:r w:rsidRPr="00FB6297">
        <w:rPr>
          <w:rFonts w:cs="Arial" w:hint="cs"/>
          <w:color w:val="00B0F0"/>
          <w:rtl/>
        </w:rPr>
        <w:t xml:space="preserve"> (וכ"פ הרמ"א)</w:t>
      </w:r>
    </w:p>
  </w:footnote>
  <w:footnote w:id="2853">
    <w:p w14:paraId="20D3481E" w14:textId="77777777" w:rsidR="004C5A3C" w:rsidRDefault="004C5A3C" w:rsidP="002C39F4">
      <w:pPr>
        <w:pStyle w:val="a5"/>
        <w:rPr>
          <w:rtl/>
        </w:rPr>
      </w:pPr>
      <w:r>
        <w:rPr>
          <w:rStyle w:val="a7"/>
        </w:rPr>
        <w:footnoteRef/>
      </w:r>
      <w:r>
        <w:rPr>
          <w:rtl/>
        </w:rPr>
        <w:t xml:space="preserve"> </w:t>
      </w:r>
      <w:r>
        <w:rPr>
          <w:rFonts w:hint="cs"/>
          <w:rtl/>
        </w:rPr>
        <w:t xml:space="preserve">היינו- </w:t>
      </w:r>
      <w:r>
        <w:rPr>
          <w:rFonts w:cs="Arial"/>
          <w:rtl/>
        </w:rPr>
        <w:t>ואם תאמר מי מודיענו שהלכו שמא עדיין ישנן שם ומה שאינם נראין הוא מפני שנתבשלו ונתערבו עם החמאה תשובתך דאפילו אם תמצי לומר כן מותרת היא שהרי כיון שמעורבים בה ואינם ניכרין בטלו במיעוטן</w:t>
      </w:r>
      <w:r>
        <w:rPr>
          <w:rFonts w:cs="Arial" w:hint="cs"/>
          <w:rtl/>
        </w:rPr>
        <w:t xml:space="preserve">, </w:t>
      </w:r>
      <w:r>
        <w:rPr>
          <w:rFonts w:cs="Arial"/>
          <w:rtl/>
        </w:rPr>
        <w:t>והשתא אתי שפיר מה שכתבתי דלכתחלה נמי שרי לבשלה כיון שכל עיקר כוונתו בבישולה אינו אלא כדי שיותכו הצחצוחים באש ולא ישארו בה כלל</w:t>
      </w:r>
      <w:r>
        <w:rPr>
          <w:rFonts w:cs="Arial" w:hint="cs"/>
          <w:rtl/>
        </w:rPr>
        <w:t>, ב"י.</w:t>
      </w:r>
    </w:p>
  </w:footnote>
  <w:footnote w:id="2854">
    <w:p w14:paraId="64826E74" w14:textId="77777777" w:rsidR="004C5A3C" w:rsidRDefault="004C5A3C" w:rsidP="002C39F4">
      <w:pPr>
        <w:pStyle w:val="a5"/>
        <w:rPr>
          <w:rtl/>
        </w:rPr>
      </w:pPr>
      <w:r>
        <w:rPr>
          <w:rStyle w:val="a7"/>
        </w:rPr>
        <w:footnoteRef/>
      </w:r>
      <w:r>
        <w:rPr>
          <w:rtl/>
        </w:rPr>
        <w:t xml:space="preserve"> </w:t>
      </w:r>
      <w:r>
        <w:rPr>
          <w:rFonts w:cs="Arial" w:hint="cs"/>
          <w:rtl/>
        </w:rPr>
        <w:t>ו</w:t>
      </w:r>
      <w:r w:rsidRPr="00EB1CF3">
        <w:rPr>
          <w:rFonts w:cs="Arial"/>
          <w:rtl/>
        </w:rPr>
        <w:t>כתב הרשב"</w:t>
      </w:r>
      <w:r>
        <w:rPr>
          <w:rFonts w:cs="Arial" w:hint="cs"/>
          <w:rtl/>
        </w:rPr>
        <w:t>א-</w:t>
      </w:r>
      <w:r w:rsidRPr="00EB1CF3">
        <w:rPr>
          <w:rFonts w:cs="Arial"/>
          <w:rtl/>
        </w:rPr>
        <w:t xml:space="preserve"> ג"ז אין מחוור כלל תדע לך שהרי הקשו בגמרא (לה:) למאי ניחוש ליה אי משום איערובי</w:t>
      </w:r>
      <w:r>
        <w:rPr>
          <w:rFonts w:cs="Arial" w:hint="cs"/>
          <w:rtl/>
        </w:rPr>
        <w:t>-</w:t>
      </w:r>
      <w:r w:rsidRPr="00EB1CF3">
        <w:rPr>
          <w:rFonts w:cs="Arial"/>
          <w:rtl/>
        </w:rPr>
        <w:t xml:space="preserve"> טהור קאי</w:t>
      </w:r>
      <w:r>
        <w:rPr>
          <w:rFonts w:cs="Arial" w:hint="cs"/>
          <w:rtl/>
        </w:rPr>
        <w:t>,</w:t>
      </w:r>
      <w:r w:rsidRPr="00EB1CF3">
        <w:rPr>
          <w:rFonts w:cs="Arial"/>
          <w:rtl/>
        </w:rPr>
        <w:t xml:space="preserve"> טמא לא קאי</w:t>
      </w:r>
      <w:r>
        <w:rPr>
          <w:rFonts w:cs="Arial" w:hint="cs"/>
          <w:rtl/>
        </w:rPr>
        <w:t>,</w:t>
      </w:r>
      <w:r w:rsidRPr="00EB1CF3">
        <w:rPr>
          <w:rFonts w:cs="Arial"/>
          <w:rtl/>
        </w:rPr>
        <w:t xml:space="preserve"> ואמרינן אי דבעי ליה לגבינה הכי נמי</w:t>
      </w:r>
      <w:r>
        <w:rPr>
          <w:rFonts w:cs="Arial" w:hint="cs"/>
          <w:rtl/>
        </w:rPr>
        <w:t>,</w:t>
      </w:r>
      <w:r w:rsidRPr="00EB1CF3">
        <w:rPr>
          <w:rFonts w:cs="Arial"/>
          <w:rtl/>
        </w:rPr>
        <w:t xml:space="preserve"> הכא במאי עסקינן דבעי ליה לכמכא ומסקינן דאפילו בעי ליה לגבינה אסור ומשום דקאי ביני איטפי</w:t>
      </w:r>
      <w:r>
        <w:rPr>
          <w:rFonts w:cs="Arial" w:hint="cs"/>
          <w:rtl/>
        </w:rPr>
        <w:t>,</w:t>
      </w:r>
      <w:r w:rsidRPr="00EB1CF3">
        <w:rPr>
          <w:rFonts w:cs="Arial"/>
          <w:rtl/>
        </w:rPr>
        <w:t xml:space="preserve"> ולומר דחלב שחלבו דקתני במתניתין מילתא פסיקתא קתני לא שנא בעי ליה לגבינה או לחמאה. ובתו</w:t>
      </w:r>
      <w:r>
        <w:rPr>
          <w:rFonts w:cs="Arial" w:hint="cs"/>
          <w:rtl/>
        </w:rPr>
        <w:t>ה"ק</w:t>
      </w:r>
      <w:r w:rsidRPr="00EB1CF3">
        <w:rPr>
          <w:rFonts w:cs="Arial"/>
          <w:rtl/>
        </w:rPr>
        <w:t xml:space="preserve"> (שם:) כתב על סברא זו של הרמב"ם שאם אתה אומר כן אף חלב שחלבו גוי שאסרו מפני תערובת חלב טמא יהא מותר לגבן ממנו גבינה או לעשות ממנו חמאה ויבשל עד כדי שילכו ממנו צחצוחי חלב טמא באומד</w:t>
      </w:r>
      <w:r>
        <w:rPr>
          <w:rFonts w:cs="Arial" w:hint="cs"/>
          <w:rtl/>
        </w:rPr>
        <w:t>,</w:t>
      </w:r>
      <w:r w:rsidRPr="00EB1CF3">
        <w:rPr>
          <w:rFonts w:cs="Arial"/>
          <w:rtl/>
        </w:rPr>
        <w:t xml:space="preserve"> אלא מכאן אתה למד שאין להם תקנה לעולם לפי שכל דברים אלו הלכו בהן לחומרא להתרחק מאיסורי גוים ומי שהתיר החמאה לאחר בישול לא נראו דבריו כלל</w:t>
      </w:r>
      <w:r>
        <w:rPr>
          <w:rFonts w:cs="Arial" w:hint="cs"/>
          <w:rtl/>
        </w:rPr>
        <w:t>.</w:t>
      </w:r>
      <w:r>
        <w:rPr>
          <w:rFonts w:hint="cs"/>
          <w:rtl/>
        </w:rPr>
        <w:t xml:space="preserve"> עכ"ל.</w:t>
      </w:r>
      <w:r w:rsidRPr="00DE4DCA">
        <w:rPr>
          <w:rFonts w:hint="cs"/>
          <w:rtl/>
        </w:rPr>
        <w:t xml:space="preserve"> </w:t>
      </w:r>
      <w:r>
        <w:rPr>
          <w:rFonts w:hint="cs"/>
          <w:rtl/>
        </w:rPr>
        <w:t>וגם ה</w:t>
      </w:r>
      <w:r w:rsidRPr="00EB1CF3">
        <w:rPr>
          <w:rFonts w:cs="Arial"/>
          <w:rtl/>
        </w:rPr>
        <w:t>ראב"ד (שם במגיד משנה)</w:t>
      </w:r>
      <w:r>
        <w:rPr>
          <w:rFonts w:cs="Arial" w:hint="cs"/>
          <w:rtl/>
        </w:rPr>
        <w:t xml:space="preserve"> לא הסכים לדברי הרמב"ם וכתב-</w:t>
      </w:r>
      <w:r w:rsidRPr="00EB1CF3">
        <w:rPr>
          <w:rFonts w:cs="Arial"/>
          <w:rtl/>
        </w:rPr>
        <w:t xml:space="preserve"> מה שכתב </w:t>
      </w:r>
      <w:r>
        <w:rPr>
          <w:rFonts w:cs="Arial" w:hint="cs"/>
          <w:sz w:val="16"/>
          <w:szCs w:val="16"/>
          <w:rtl/>
        </w:rPr>
        <w:t xml:space="preserve">{הרמב"ם} </w:t>
      </w:r>
      <w:r w:rsidRPr="00EB1CF3">
        <w:rPr>
          <w:rFonts w:cs="Arial"/>
          <w:rtl/>
        </w:rPr>
        <w:t>שהלך האיסור ונתמעט נתבטל כמה מכוער הדבר שנקנה מהם חשש איסור מפני ביטולו ברוב</w:t>
      </w:r>
      <w:r>
        <w:rPr>
          <w:rFonts w:cs="Arial" w:hint="cs"/>
          <w:rtl/>
        </w:rPr>
        <w:t>. עכ"ל.</w:t>
      </w:r>
      <w:r>
        <w:rPr>
          <w:rFonts w:hint="cs"/>
          <w:rtl/>
        </w:rPr>
        <w:t xml:space="preserve"> אך כתב הב"י ש</w:t>
      </w:r>
      <w:r>
        <w:rPr>
          <w:rFonts w:cs="Arial"/>
          <w:rtl/>
        </w:rPr>
        <w:t>אין הכונה בבישול אלא להתיך ולכלות האיסור אלא שבא לומר שאם במקרה לא יכלו וישאר אי זה דבר מהם בטל ברוב ואין זה לוקח חשש איסור לבטלו ברוב כדברי הראב"ד ז"ל</w:t>
      </w:r>
      <w:r>
        <w:rPr>
          <w:rFonts w:hint="cs"/>
          <w:rtl/>
        </w:rPr>
        <w:t xml:space="preserve">. וכ' עוד הב"י- </w:t>
      </w:r>
      <w:r w:rsidRPr="00932B52">
        <w:rPr>
          <w:rFonts w:cs="Arial"/>
          <w:rtl/>
        </w:rPr>
        <w:t xml:space="preserve">נראה לי </w:t>
      </w:r>
      <w:r>
        <w:rPr>
          <w:rFonts w:cs="Arial" w:hint="cs"/>
          <w:sz w:val="16"/>
          <w:szCs w:val="16"/>
          <w:rtl/>
        </w:rPr>
        <w:t xml:space="preserve">{בדעת הרמב"ם} </w:t>
      </w:r>
      <w:r w:rsidRPr="00932B52">
        <w:rPr>
          <w:rFonts w:cs="Arial"/>
          <w:rtl/>
        </w:rPr>
        <w:t xml:space="preserve">דכשם שנגזרה גזירה על הגבינה של גוים ומפני כן אין לה שום תקנה </w:t>
      </w:r>
      <w:r w:rsidRPr="000B1844">
        <w:rPr>
          <w:rFonts w:cs="Arial" w:hint="cs"/>
          <w:sz w:val="16"/>
          <w:szCs w:val="16"/>
          <w:rtl/>
        </w:rPr>
        <w:t>(</w:t>
      </w:r>
      <w:r w:rsidRPr="000B1844">
        <w:rPr>
          <w:rFonts w:cs="Arial"/>
          <w:sz w:val="16"/>
          <w:szCs w:val="16"/>
          <w:rtl/>
        </w:rPr>
        <w:t>דלמ"ד משום צחצוחי חלב כי נתיישנה הוה ליה למישרי שכבר כלו צחצוחי חלב ובגמרא משמע דישנה נמי אסירא וטעמא משום דכיון דגזרו בה רבנן לא פלוג במילתייהו וגזרו סתם על גבינת גוים בין שיש בה צחצוחי חלב בין שאין בה וכל שכן שאם בשלה עד שהלכו צחצוחי חלב שבה שעדיין באיסורה עומדת</w:t>
      </w:r>
      <w:r w:rsidRPr="000B1844">
        <w:rPr>
          <w:rFonts w:cs="Arial" w:hint="cs"/>
          <w:sz w:val="16"/>
          <w:szCs w:val="16"/>
          <w:rtl/>
        </w:rPr>
        <w:t>,</w:t>
      </w:r>
      <w:r w:rsidRPr="000B1844">
        <w:rPr>
          <w:rFonts w:cs="Arial"/>
          <w:sz w:val="16"/>
          <w:szCs w:val="16"/>
          <w:rtl/>
        </w:rPr>
        <w:t xml:space="preserve"> ותוספתא (ע"ז פ"ה ה"ז)</w:t>
      </w:r>
      <w:r w:rsidRPr="000B1844">
        <w:rPr>
          <w:rFonts w:cs="Arial" w:hint="cs"/>
          <w:sz w:val="16"/>
          <w:szCs w:val="16"/>
          <w:rtl/>
        </w:rPr>
        <w:t xml:space="preserve"> </w:t>
      </w:r>
      <w:r w:rsidRPr="000B1844">
        <w:rPr>
          <w:rFonts w:cs="Arial"/>
          <w:sz w:val="16"/>
          <w:szCs w:val="16"/>
          <w:rtl/>
        </w:rPr>
        <w:t>דקתני ד</w:t>
      </w:r>
      <w:r w:rsidRPr="000B1844">
        <w:rPr>
          <w:rFonts w:cs="Arial" w:hint="cs"/>
          <w:sz w:val="16"/>
          <w:szCs w:val="16"/>
          <w:rtl/>
        </w:rPr>
        <w:t>'</w:t>
      </w:r>
      <w:r w:rsidRPr="000B1844">
        <w:rPr>
          <w:rFonts w:cs="Arial"/>
          <w:sz w:val="16"/>
          <w:szCs w:val="16"/>
          <w:rtl/>
        </w:rPr>
        <w:t>שלוקה נלקחת מכל מקום</w:t>
      </w:r>
      <w:r w:rsidRPr="000B1844">
        <w:rPr>
          <w:rFonts w:cs="Arial" w:hint="cs"/>
          <w:sz w:val="16"/>
          <w:szCs w:val="16"/>
          <w:rtl/>
        </w:rPr>
        <w:t>'</w:t>
      </w:r>
      <w:r w:rsidRPr="000B1844">
        <w:rPr>
          <w:rFonts w:cs="Arial"/>
          <w:sz w:val="16"/>
          <w:szCs w:val="16"/>
          <w:rtl/>
        </w:rPr>
        <w:t xml:space="preserve"> לא מן הגוים קאמר אלא מישראל שאינו מומחה דומיא דרישא דמיירי בישראל</w:t>
      </w:r>
      <w:r w:rsidRPr="000B1844">
        <w:rPr>
          <w:rFonts w:cs="Arial" w:hint="cs"/>
          <w:sz w:val="16"/>
          <w:szCs w:val="16"/>
          <w:rtl/>
        </w:rPr>
        <w:t>,</w:t>
      </w:r>
      <w:r w:rsidRPr="000B1844">
        <w:rPr>
          <w:rFonts w:cs="Arial"/>
          <w:sz w:val="16"/>
          <w:szCs w:val="16"/>
          <w:rtl/>
        </w:rPr>
        <w:t xml:space="preserve"> אלא דהתם במומחה וסיפא בשאינו מומחה דכיון דישראל הוא אע</w:t>
      </w:r>
      <w:r w:rsidRPr="000B1844">
        <w:rPr>
          <w:rFonts w:cs="Arial" w:hint="cs"/>
          <w:sz w:val="16"/>
          <w:szCs w:val="16"/>
          <w:rtl/>
        </w:rPr>
        <w:t>"</w:t>
      </w:r>
      <w:r w:rsidRPr="000B1844">
        <w:rPr>
          <w:rFonts w:cs="Arial"/>
          <w:sz w:val="16"/>
          <w:szCs w:val="16"/>
          <w:rtl/>
        </w:rPr>
        <w:t>פ שאינו מומחה לא גזרו על גבינותיו אלא דכל היכא דאיכא למיחש לצחצוחי חלב אין לוקחין ממנו דחיישינן דילמא חלב טמאה נינהו וכי כלו להו דתו ליכא למיחש למידי לוקחין ממנו דאינו בכלל גזרה</w:t>
      </w:r>
      <w:r w:rsidRPr="000B1844">
        <w:rPr>
          <w:rFonts w:cs="Arial" w:hint="cs"/>
          <w:sz w:val="16"/>
          <w:szCs w:val="16"/>
          <w:rtl/>
        </w:rPr>
        <w:t>,</w:t>
      </w:r>
      <w:r w:rsidRPr="000B1844">
        <w:rPr>
          <w:rFonts w:cs="Arial"/>
          <w:sz w:val="16"/>
          <w:szCs w:val="16"/>
          <w:rtl/>
        </w:rPr>
        <w:t xml:space="preserve"> אבל גבינת הגוים אע</w:t>
      </w:r>
      <w:r w:rsidRPr="000B1844">
        <w:rPr>
          <w:rFonts w:cs="Arial" w:hint="cs"/>
          <w:sz w:val="16"/>
          <w:szCs w:val="16"/>
          <w:rtl/>
        </w:rPr>
        <w:t>"</w:t>
      </w:r>
      <w:r w:rsidRPr="000B1844">
        <w:rPr>
          <w:rFonts w:cs="Arial"/>
          <w:sz w:val="16"/>
          <w:szCs w:val="16"/>
          <w:rtl/>
        </w:rPr>
        <w:t>פ שנודע שכלו כל צחצוחי חלב שבה אסור לפי שסתם גזרו על גבינת הגוים בכל גוונא כמו שכתבתי</w:t>
      </w:r>
      <w:r>
        <w:rPr>
          <w:rFonts w:cs="Arial" w:hint="cs"/>
          <w:sz w:val="16"/>
          <w:szCs w:val="16"/>
          <w:rtl/>
        </w:rPr>
        <w:t>)</w:t>
      </w:r>
      <w:r w:rsidRPr="00932B52">
        <w:rPr>
          <w:rFonts w:cs="Arial"/>
          <w:rtl/>
        </w:rPr>
        <w:t xml:space="preserve"> הכי נמי חלב של גוים גזרו עליו ואסרוהו סתם משום חשש תערובת חלב טמא בכל גוונא אסרוהו ללקחו מהם ולאכלו בשום ענין אפילו לעשות ממנו גבינה או חמאה ולבשלם עד שיכלו צחצוחי חלב שבהם דלא פלוג רבנן בגזרתם</w:t>
      </w:r>
      <w:r>
        <w:rPr>
          <w:rFonts w:cs="Arial" w:hint="cs"/>
          <w:rtl/>
        </w:rPr>
        <w:t>,</w:t>
      </w:r>
      <w:r w:rsidRPr="00932B52">
        <w:rPr>
          <w:rFonts w:cs="Arial"/>
          <w:rtl/>
        </w:rPr>
        <w:t xml:space="preserve"> מיהו הני מילי בלוקח החלב עצמו שבו נגזרה גזרה</w:t>
      </w:r>
      <w:r>
        <w:rPr>
          <w:rFonts w:cs="Arial" w:hint="cs"/>
          <w:rtl/>
        </w:rPr>
        <w:t>,</w:t>
      </w:r>
      <w:r w:rsidRPr="00932B52">
        <w:rPr>
          <w:rFonts w:cs="Arial"/>
          <w:rtl/>
        </w:rPr>
        <w:t xml:space="preserve"> אבל חמאת גוים שלא מצינו שגזרו עליה כלל למה תאסר אם אין בה צחצוחי חלב</w:t>
      </w:r>
      <w:r>
        <w:rPr>
          <w:rFonts w:cs="Arial" w:hint="cs"/>
          <w:rtl/>
        </w:rPr>
        <w:t>,</w:t>
      </w:r>
      <w:r w:rsidRPr="00932B52">
        <w:rPr>
          <w:rFonts w:cs="Arial"/>
          <w:rtl/>
        </w:rPr>
        <w:t xml:space="preserve"> ותדע דחמאת גוים עדיפא מחלב גוים שהרי סמ"ק (הגהות סמ"ק סו"ס רכג) התיר חמאת גוים אפילו בלא בישול ולא התיר ליקח חלב הגוים לעשות ממנו חמאה דאם כן לא הוה שתיק מיניה אלא ודאי כדאמרן דחלב גוים בכל גוונא גזרו עליו ללוקחו מהם אפילו לעשות ממנו חמאה אבל על החמאה שלהם לא גזרו כנ"ל לדעת הרמב"ם</w:t>
      </w:r>
      <w:r>
        <w:rPr>
          <w:rFonts w:cs="Arial" w:hint="cs"/>
          <w:rtl/>
        </w:rPr>
        <w:t xml:space="preserve"> ז"ל.</w:t>
      </w:r>
    </w:p>
  </w:footnote>
  <w:footnote w:id="2855">
    <w:p w14:paraId="7AD443E2" w14:textId="77777777" w:rsidR="004C5A3C" w:rsidRDefault="004C5A3C" w:rsidP="002C39F4">
      <w:pPr>
        <w:pStyle w:val="a5"/>
      </w:pPr>
      <w:r>
        <w:rPr>
          <w:rStyle w:val="a7"/>
        </w:rPr>
        <w:footnoteRef/>
      </w:r>
      <w:r>
        <w:rPr>
          <w:rtl/>
        </w:rPr>
        <w:t xml:space="preserve"> </w:t>
      </w:r>
      <w:r>
        <w:rPr>
          <w:rFonts w:hint="cs"/>
          <w:rtl/>
        </w:rPr>
        <w:t>וכ' האו</w:t>
      </w:r>
      <w:r>
        <w:rPr>
          <w:rtl/>
        </w:rPr>
        <w:t>"</w:t>
      </w:r>
      <w:r>
        <w:rPr>
          <w:rFonts w:hint="cs"/>
          <w:rtl/>
        </w:rPr>
        <w:t>ה</w:t>
      </w:r>
      <w:r>
        <w:rPr>
          <w:rtl/>
        </w:rPr>
        <w:t xml:space="preserve"> </w:t>
      </w:r>
      <w:r w:rsidRPr="004B0300">
        <w:rPr>
          <w:sz w:val="16"/>
          <w:szCs w:val="16"/>
          <w:rtl/>
        </w:rPr>
        <w:t>(כלל מח ד</w:t>
      </w:r>
      <w:r>
        <w:rPr>
          <w:rFonts w:hint="cs"/>
          <w:sz w:val="16"/>
          <w:szCs w:val="16"/>
          <w:rtl/>
        </w:rPr>
        <w:t>"</w:t>
      </w:r>
      <w:r w:rsidRPr="004B0300">
        <w:rPr>
          <w:sz w:val="16"/>
          <w:szCs w:val="16"/>
          <w:rtl/>
        </w:rPr>
        <w:t>ב-ד</w:t>
      </w:r>
      <w:r w:rsidRPr="004B0300">
        <w:rPr>
          <w:rFonts w:hint="cs"/>
          <w:sz w:val="16"/>
          <w:szCs w:val="16"/>
          <w:rtl/>
        </w:rPr>
        <w:t xml:space="preserve">, </w:t>
      </w:r>
      <w:r w:rsidRPr="004B0300">
        <w:rPr>
          <w:sz w:val="16"/>
          <w:szCs w:val="16"/>
          <w:rtl/>
        </w:rPr>
        <w:t>ו</w:t>
      </w:r>
      <w:r>
        <w:rPr>
          <w:rFonts w:hint="cs"/>
          <w:sz w:val="16"/>
          <w:szCs w:val="16"/>
          <w:rtl/>
        </w:rPr>
        <w:t xml:space="preserve">, הביאו הדרכ"מ </w:t>
      </w:r>
      <w:r w:rsidRPr="00C11DF8">
        <w:rPr>
          <w:rFonts w:hint="cs"/>
          <w:sz w:val="14"/>
          <w:szCs w:val="14"/>
          <w:rtl/>
        </w:rPr>
        <w:t>[אות ה]</w:t>
      </w:r>
      <w:r>
        <w:rPr>
          <w:rFonts w:hint="cs"/>
          <w:sz w:val="16"/>
          <w:szCs w:val="16"/>
          <w:rtl/>
        </w:rPr>
        <w:t>, וכעין זה כ' שע"ד</w:t>
      </w:r>
      <w:r w:rsidRPr="004B0300">
        <w:rPr>
          <w:sz w:val="16"/>
          <w:szCs w:val="16"/>
          <w:rtl/>
        </w:rPr>
        <w:t xml:space="preserve"> </w:t>
      </w:r>
      <w:r w:rsidRPr="00C11DF8">
        <w:rPr>
          <w:rFonts w:hint="cs"/>
          <w:sz w:val="14"/>
          <w:szCs w:val="14"/>
          <w:rtl/>
        </w:rPr>
        <w:t>[</w:t>
      </w:r>
      <w:r w:rsidRPr="00C11DF8">
        <w:rPr>
          <w:sz w:val="14"/>
          <w:szCs w:val="14"/>
          <w:rtl/>
        </w:rPr>
        <w:t>סי' עח</w:t>
      </w:r>
      <w:r w:rsidRPr="00C11DF8">
        <w:rPr>
          <w:rFonts w:hint="cs"/>
          <w:sz w:val="14"/>
          <w:szCs w:val="14"/>
          <w:rtl/>
        </w:rPr>
        <w:t>]</w:t>
      </w:r>
      <w:r w:rsidRPr="004B0300">
        <w:rPr>
          <w:sz w:val="16"/>
          <w:szCs w:val="16"/>
          <w:rtl/>
        </w:rPr>
        <w:t>)</w:t>
      </w:r>
      <w:r>
        <w:rPr>
          <w:rtl/>
        </w:rPr>
        <w:t xml:space="preserve"> </w:t>
      </w:r>
      <w:r>
        <w:rPr>
          <w:rFonts w:hint="cs"/>
          <w:rtl/>
        </w:rPr>
        <w:t>ד</w:t>
      </w:r>
      <w:r>
        <w:rPr>
          <w:rtl/>
        </w:rPr>
        <w:t>הא שמותר לקנות חמאה</w:t>
      </w:r>
      <w:r w:rsidRPr="00C11DF8">
        <w:rPr>
          <w:sz w:val="16"/>
          <w:szCs w:val="16"/>
          <w:rtl/>
        </w:rPr>
        <w:t xml:space="preserve"> </w:t>
      </w:r>
      <w:r>
        <w:rPr>
          <w:rFonts w:hint="cs"/>
          <w:sz w:val="16"/>
          <w:szCs w:val="16"/>
          <w:rtl/>
        </w:rPr>
        <w:t>{</w:t>
      </w:r>
      <w:r w:rsidRPr="00C11DF8">
        <w:rPr>
          <w:rFonts w:hint="cs"/>
          <w:sz w:val="16"/>
          <w:szCs w:val="16"/>
          <w:rtl/>
        </w:rPr>
        <w:t xml:space="preserve">שאינה </w:t>
      </w:r>
      <w:r w:rsidRPr="00C11DF8">
        <w:rPr>
          <w:sz w:val="16"/>
          <w:szCs w:val="16"/>
          <w:rtl/>
        </w:rPr>
        <w:t>מבושלת</w:t>
      </w:r>
      <w:r w:rsidRPr="00C11DF8">
        <w:rPr>
          <w:rFonts w:hint="cs"/>
          <w:sz w:val="16"/>
          <w:szCs w:val="16"/>
          <w:rtl/>
        </w:rPr>
        <w:t>}</w:t>
      </w:r>
      <w:r>
        <w:rPr>
          <w:rtl/>
        </w:rPr>
        <w:t xml:space="preserve"> מן הגוים דוקא במקום שמרעה של בהמות הרבה ואין עוסקין לשם אלא במאכלי חלב</w:t>
      </w:r>
      <w:r>
        <w:rPr>
          <w:rFonts w:hint="cs"/>
          <w:rtl/>
        </w:rPr>
        <w:t>,</w:t>
      </w:r>
      <w:r>
        <w:rPr>
          <w:rtl/>
        </w:rPr>
        <w:t xml:space="preserve"> אבל במלכיות הללו שאין כאן רוב בהמות ומאספים החלב מעט מעט בבתיהם ואין נזהרים מלערב בה בשר וקערות שאינן מקונחות מאיסור אין נוהגין לאכול חמאה של גוים כלל</w:t>
      </w:r>
      <w:r>
        <w:rPr>
          <w:rFonts w:hint="cs"/>
          <w:rtl/>
        </w:rPr>
        <w:t>,</w:t>
      </w:r>
      <w:r>
        <w:rPr>
          <w:rtl/>
        </w:rPr>
        <w:t xml:space="preserve"> וכבר פשט מנהג זה ברוב המקומות</w:t>
      </w:r>
      <w:r>
        <w:rPr>
          <w:rFonts w:hint="cs"/>
          <w:rtl/>
        </w:rPr>
        <w:t>,</w:t>
      </w:r>
      <w:r>
        <w:rPr>
          <w:rtl/>
        </w:rPr>
        <w:t xml:space="preserve"> ומ</w:t>
      </w:r>
      <w:r>
        <w:rPr>
          <w:rFonts w:hint="cs"/>
          <w:rtl/>
        </w:rPr>
        <w:t>"</w:t>
      </w:r>
      <w:r>
        <w:rPr>
          <w:rtl/>
        </w:rPr>
        <w:t xml:space="preserve">מ אין למחות ביד הנוהגים היתר </w:t>
      </w:r>
      <w:r>
        <w:rPr>
          <w:rFonts w:hint="cs"/>
          <w:rtl/>
        </w:rPr>
        <w:t>ד</w:t>
      </w:r>
      <w:r>
        <w:rPr>
          <w:rtl/>
        </w:rPr>
        <w:t>כל מקום לפי מנהגו</w:t>
      </w:r>
      <w:r>
        <w:rPr>
          <w:rFonts w:hint="cs"/>
          <w:rtl/>
        </w:rPr>
        <w:t xml:space="preserve"> </w:t>
      </w:r>
      <w:r>
        <w:rPr>
          <w:rFonts w:hint="cs"/>
          <w:sz w:val="16"/>
          <w:szCs w:val="16"/>
          <w:rtl/>
        </w:rPr>
        <w:t>(ל' דרכ"מ בשם או"ה ושע"ד)</w:t>
      </w:r>
      <w:r>
        <w:rPr>
          <w:rFonts w:hint="cs"/>
          <w:rtl/>
        </w:rPr>
        <w:t>.</w:t>
      </w:r>
      <w:r w:rsidRPr="00C11DF8">
        <w:rPr>
          <w:rFonts w:cs="Arial"/>
          <w:sz w:val="16"/>
          <w:szCs w:val="16"/>
          <w:rtl/>
        </w:rPr>
        <w:t xml:space="preserve"> </w:t>
      </w:r>
      <w:r>
        <w:rPr>
          <w:rFonts w:cs="Arial" w:hint="cs"/>
          <w:rtl/>
        </w:rPr>
        <w:t>ו</w:t>
      </w:r>
      <w:r w:rsidRPr="00633886">
        <w:rPr>
          <w:rFonts w:cs="Arial"/>
          <w:rtl/>
        </w:rPr>
        <w:t>אף מי שנוהג איסור מותר לאכול עם המתירין ע"י תערובות</w:t>
      </w:r>
      <w:r>
        <w:rPr>
          <w:rFonts w:cs="Arial" w:hint="cs"/>
          <w:rtl/>
        </w:rPr>
        <w:t>,</w:t>
      </w:r>
      <w:r w:rsidRPr="00633886">
        <w:rPr>
          <w:rFonts w:cs="Arial"/>
          <w:rtl/>
        </w:rPr>
        <w:t xml:space="preserve"> מהרי"ל </w:t>
      </w:r>
      <w:r w:rsidRPr="00C11DF8">
        <w:rPr>
          <w:rFonts w:cs="Arial" w:hint="cs"/>
          <w:sz w:val="16"/>
          <w:szCs w:val="16"/>
          <w:rtl/>
        </w:rPr>
        <w:t>(</w:t>
      </w:r>
      <w:r w:rsidRPr="00C11DF8">
        <w:rPr>
          <w:rFonts w:cs="Arial"/>
          <w:sz w:val="16"/>
          <w:szCs w:val="16"/>
          <w:rtl/>
        </w:rPr>
        <w:t>סי</w:t>
      </w:r>
      <w:r w:rsidRPr="00C11DF8">
        <w:rPr>
          <w:rFonts w:cs="Arial" w:hint="cs"/>
          <w:sz w:val="16"/>
          <w:szCs w:val="16"/>
          <w:rtl/>
        </w:rPr>
        <w:t>'</w:t>
      </w:r>
      <w:r w:rsidRPr="00C11DF8">
        <w:rPr>
          <w:rFonts w:cs="Arial"/>
          <w:sz w:val="16"/>
          <w:szCs w:val="16"/>
          <w:rtl/>
        </w:rPr>
        <w:t xml:space="preserve"> לה</w:t>
      </w:r>
      <w:r w:rsidRPr="00C11DF8">
        <w:rPr>
          <w:rFonts w:cs="Arial" w:hint="cs"/>
          <w:sz w:val="16"/>
          <w:szCs w:val="16"/>
          <w:rtl/>
        </w:rPr>
        <w:t>)</w:t>
      </w:r>
      <w:r w:rsidRPr="00633886">
        <w:rPr>
          <w:rFonts w:cs="Arial"/>
          <w:rtl/>
        </w:rPr>
        <w:t>. ו</w:t>
      </w:r>
      <w:r>
        <w:rPr>
          <w:rFonts w:cs="Arial" w:hint="cs"/>
          <w:rtl/>
        </w:rPr>
        <w:t>כ' ה</w:t>
      </w:r>
      <w:r w:rsidRPr="00633886">
        <w:rPr>
          <w:rFonts w:cs="Arial"/>
          <w:rtl/>
        </w:rPr>
        <w:t>מרדכי</w:t>
      </w:r>
      <w:r>
        <w:rPr>
          <w:rFonts w:cs="Arial" w:hint="cs"/>
          <w:rtl/>
        </w:rPr>
        <w:t xml:space="preserve"> </w:t>
      </w:r>
      <w:r w:rsidRPr="00C11DF8">
        <w:rPr>
          <w:rFonts w:cs="Arial"/>
          <w:sz w:val="16"/>
          <w:szCs w:val="16"/>
          <w:rtl/>
        </w:rPr>
        <w:t>(</w:t>
      </w:r>
      <w:r w:rsidRPr="00C11DF8">
        <w:rPr>
          <w:rFonts w:cs="Arial" w:hint="cs"/>
          <w:sz w:val="16"/>
          <w:szCs w:val="16"/>
          <w:rtl/>
        </w:rPr>
        <w:t xml:space="preserve">ע"ז </w:t>
      </w:r>
      <w:r w:rsidRPr="00C11DF8">
        <w:rPr>
          <w:rFonts w:cs="Arial"/>
          <w:sz w:val="16"/>
          <w:szCs w:val="16"/>
          <w:rtl/>
        </w:rPr>
        <w:t xml:space="preserve">סי' תתכו) </w:t>
      </w:r>
      <w:r w:rsidRPr="00633886">
        <w:rPr>
          <w:rFonts w:cs="Arial"/>
          <w:rtl/>
        </w:rPr>
        <w:t>דאף מי שמתיר החמאה אם חלבו החלב לצורך אכילת חלב א"כ נאסרה משום חלב שחלבו גוי ואסורה החמאה הנעשית ממנה אבל אין לחוש זה בסתם חמא</w:t>
      </w:r>
      <w:r>
        <w:rPr>
          <w:rFonts w:cs="Arial" w:hint="cs"/>
          <w:rtl/>
        </w:rPr>
        <w:t>ה.</w:t>
      </w:r>
    </w:p>
  </w:footnote>
  <w:footnote w:id="2856">
    <w:p w14:paraId="3C3D3CF2" w14:textId="77777777" w:rsidR="004C5A3C" w:rsidRDefault="004C5A3C" w:rsidP="002C39F4">
      <w:pPr>
        <w:pStyle w:val="a5"/>
        <w:rPr>
          <w:rtl/>
        </w:rPr>
      </w:pPr>
      <w:r>
        <w:rPr>
          <w:rStyle w:val="a7"/>
        </w:rPr>
        <w:footnoteRef/>
      </w:r>
      <w:r>
        <w:rPr>
          <w:rtl/>
        </w:rPr>
        <w:t xml:space="preserve"> </w:t>
      </w:r>
      <w:r>
        <w:rPr>
          <w:rFonts w:hint="cs"/>
          <w:rtl/>
        </w:rPr>
        <w:t xml:space="preserve">וכ' הב"י- </w:t>
      </w:r>
      <w:r w:rsidRPr="00932B52">
        <w:rPr>
          <w:rFonts w:cs="Arial"/>
          <w:rtl/>
        </w:rPr>
        <w:t>ויש ללמוד מכאן למי שעבר והעמיד חלב בחלב חמוץ של גוים ולקח חלב זה והעמיד בו אחר ומהאחר אחר שמותר ליקח מחלב שלישי זה ולהעמיד בו חלב אחר ואוכלו דלאחר שלש פעמים כבר כלה חלב של גוים</w:t>
      </w:r>
      <w:r>
        <w:rPr>
          <w:rFonts w:cs="Arial" w:hint="cs"/>
          <w:rtl/>
        </w:rPr>
        <w:t>.</w:t>
      </w:r>
    </w:p>
  </w:footnote>
  <w:footnote w:id="2857">
    <w:p w14:paraId="1457F5E5" w14:textId="77777777" w:rsidR="004C5A3C" w:rsidRDefault="004C5A3C" w:rsidP="002C39F4">
      <w:pPr>
        <w:pStyle w:val="a5"/>
        <w:rPr>
          <w:rtl/>
        </w:rPr>
      </w:pPr>
      <w:r>
        <w:rPr>
          <w:rStyle w:val="a7"/>
        </w:rPr>
        <w:footnoteRef/>
      </w:r>
      <w:r>
        <w:rPr>
          <w:rtl/>
        </w:rPr>
        <w:t xml:space="preserve"> </w:t>
      </w:r>
      <w:r>
        <w:rPr>
          <w:rFonts w:cs="Arial"/>
          <w:rtl/>
        </w:rPr>
        <w:t>לטעמיה אזיל דסבר דסתם כלי גוים הם בני יומן כמו שיתבאר בסימן קכ"ב (קצד: ד"ה סתם)</w:t>
      </w:r>
      <w:r>
        <w:rPr>
          <w:rFonts w:cs="Arial" w:hint="cs"/>
          <w:rtl/>
        </w:rPr>
        <w:t>.</w:t>
      </w:r>
      <w:r>
        <w:rPr>
          <w:rFonts w:cs="Arial"/>
          <w:rtl/>
        </w:rPr>
        <w:t xml:space="preserve"> </w:t>
      </w:r>
    </w:p>
  </w:footnote>
  <w:footnote w:id="2858">
    <w:p w14:paraId="0D810DD6" w14:textId="77777777" w:rsidR="004C5A3C" w:rsidRDefault="004C5A3C" w:rsidP="002C39F4">
      <w:pPr>
        <w:pStyle w:val="a5"/>
        <w:rPr>
          <w:rtl/>
        </w:rPr>
      </w:pPr>
      <w:r>
        <w:rPr>
          <w:rStyle w:val="a7"/>
        </w:rPr>
        <w:footnoteRef/>
      </w:r>
      <w:r>
        <w:rPr>
          <w:rtl/>
        </w:rPr>
        <w:t xml:space="preserve"> </w:t>
      </w:r>
      <w:r w:rsidRPr="005874F7">
        <w:rPr>
          <w:rFonts w:cs="Arial"/>
          <w:rtl/>
        </w:rPr>
        <w:t>א</w:t>
      </w:r>
      <w:r>
        <w:rPr>
          <w:rFonts w:cs="Arial" w:hint="cs"/>
          <w:rtl/>
        </w:rPr>
        <w:t>ע"פ</w:t>
      </w:r>
      <w:r w:rsidRPr="005874F7">
        <w:rPr>
          <w:rFonts w:cs="Arial"/>
          <w:rtl/>
        </w:rPr>
        <w:t xml:space="preserve"> שדעתו לחזור אוכל עמהן</w:t>
      </w:r>
      <w:r>
        <w:rPr>
          <w:rFonts w:cs="Arial" w:hint="cs"/>
          <w:rtl/>
        </w:rPr>
        <w:t>,</w:t>
      </w:r>
      <w:r w:rsidRPr="005874F7">
        <w:rPr>
          <w:rFonts w:cs="Arial"/>
          <w:rtl/>
        </w:rPr>
        <w:t xml:space="preserve"> משא"כ בשאר איסור</w:t>
      </w:r>
      <w:r>
        <w:rPr>
          <w:rFonts w:cs="Arial" w:hint="cs"/>
          <w:rtl/>
        </w:rPr>
        <w:t>,</w:t>
      </w:r>
      <w:r w:rsidRPr="005874F7">
        <w:rPr>
          <w:rFonts w:cs="Arial"/>
          <w:rtl/>
        </w:rPr>
        <w:t xml:space="preserve"> ד</w:t>
      </w:r>
      <w:r>
        <w:rPr>
          <w:rFonts w:cs="Arial" w:hint="cs"/>
          <w:rtl/>
        </w:rPr>
        <w:t>רכ</w:t>
      </w:r>
      <w:r w:rsidRPr="005874F7">
        <w:rPr>
          <w:rFonts w:cs="Arial"/>
          <w:rtl/>
        </w:rPr>
        <w:t>"מ בשם או"ה</w:t>
      </w:r>
      <w:r>
        <w:rPr>
          <w:rFonts w:cs="Arial" w:hint="cs"/>
          <w:rtl/>
        </w:rPr>
        <w:t>,</w:t>
      </w:r>
      <w:r w:rsidRPr="005874F7">
        <w:rPr>
          <w:rFonts w:cs="Arial"/>
          <w:rtl/>
        </w:rPr>
        <w:t xml:space="preserve"> וכ"פ בת"ח שם דין ב' וע"ש</w:t>
      </w:r>
      <w:r>
        <w:rPr>
          <w:rFonts w:hint="cs"/>
          <w:rtl/>
        </w:rPr>
        <w:t>, ש"ך (סקכ"ט).</w:t>
      </w:r>
      <w:r w:rsidRPr="005874F7">
        <w:rPr>
          <w:rtl/>
        </w:rPr>
        <w:t xml:space="preserve"> </w:t>
      </w:r>
      <w:r w:rsidRPr="005874F7">
        <w:rPr>
          <w:rFonts w:cs="Arial"/>
          <w:rtl/>
        </w:rPr>
        <w:t>ולא שייך כאן נותנים עליו חומרי המקום שהלך משם דמה שאוכלין אותה במקום ההוא משום דשם עושין אותה בהכשר בלא חשש בעולם ואלו היו עושין כאן כמוהם היו ג"כ אוכלין אותה אלא שלא הורגלו רובם כאן</w:t>
      </w:r>
      <w:r>
        <w:rPr>
          <w:rFonts w:cs="Arial" w:hint="cs"/>
          <w:rtl/>
        </w:rPr>
        <w:t>,</w:t>
      </w:r>
      <w:r w:rsidRPr="005874F7">
        <w:rPr>
          <w:rFonts w:cs="Arial"/>
          <w:rtl/>
        </w:rPr>
        <w:t xml:space="preserve"> כ"כ או"</w:t>
      </w:r>
      <w:r>
        <w:rPr>
          <w:rFonts w:cs="Arial" w:hint="cs"/>
          <w:rtl/>
        </w:rPr>
        <w:t>ה..., ט"ז (סקי"ג).</w:t>
      </w:r>
    </w:p>
  </w:footnote>
  <w:footnote w:id="2859">
    <w:p w14:paraId="2AFC94B3" w14:textId="77777777" w:rsidR="004C5A3C" w:rsidRDefault="004C5A3C" w:rsidP="002C39F4">
      <w:pPr>
        <w:pStyle w:val="a5"/>
      </w:pPr>
      <w:r>
        <w:rPr>
          <w:rStyle w:val="a7"/>
        </w:rPr>
        <w:footnoteRef/>
      </w:r>
      <w:r>
        <w:rPr>
          <w:rtl/>
        </w:rPr>
        <w:t xml:space="preserve"> </w:t>
      </w:r>
      <w:r w:rsidRPr="005874F7">
        <w:rPr>
          <w:rFonts w:cs="Arial"/>
          <w:rtl/>
        </w:rPr>
        <w:t>דהוה כמו דברים המותרים ואחרים נהגו בו איסור</w:t>
      </w:r>
      <w:r>
        <w:rPr>
          <w:rFonts w:cs="Arial" w:hint="cs"/>
          <w:rtl/>
        </w:rPr>
        <w:t>, ט"ז (סקי"ד).</w:t>
      </w:r>
    </w:p>
  </w:footnote>
  <w:footnote w:id="2860">
    <w:p w14:paraId="36E15538" w14:textId="77777777" w:rsidR="004C5A3C" w:rsidRDefault="004C5A3C" w:rsidP="002C39F4">
      <w:pPr>
        <w:pStyle w:val="a5"/>
      </w:pPr>
      <w:r>
        <w:rPr>
          <w:rStyle w:val="a7"/>
        </w:rPr>
        <w:footnoteRef/>
      </w:r>
      <w:r>
        <w:rPr>
          <w:rtl/>
        </w:rPr>
        <w:t xml:space="preserve"> </w:t>
      </w:r>
      <w:r>
        <w:rPr>
          <w:rFonts w:cs="Arial" w:hint="cs"/>
          <w:rtl/>
        </w:rPr>
        <w:t>וכ' הב"י את טעמו של בר קפרא.</w:t>
      </w:r>
    </w:p>
  </w:footnote>
  <w:footnote w:id="2861">
    <w:p w14:paraId="7D8F160A" w14:textId="77777777" w:rsidR="004C5A3C" w:rsidRDefault="004C5A3C" w:rsidP="002C39F4">
      <w:pPr>
        <w:pStyle w:val="a5"/>
      </w:pPr>
      <w:r>
        <w:rPr>
          <w:rStyle w:val="a7"/>
        </w:rPr>
        <w:footnoteRef/>
      </w:r>
      <w:r>
        <w:rPr>
          <w:rtl/>
        </w:rPr>
        <w:t xml:space="preserve"> </w:t>
      </w:r>
      <w:r>
        <w:rPr>
          <w:rFonts w:hint="cs"/>
          <w:rtl/>
        </w:rPr>
        <w:t xml:space="preserve">ומכאן כ' הטור </w:t>
      </w:r>
      <w:r>
        <w:rPr>
          <w:rFonts w:cs="Arial" w:hint="cs"/>
          <w:rtl/>
        </w:rPr>
        <w:t>ד</w:t>
      </w:r>
      <w:r w:rsidRPr="007F333A">
        <w:rPr>
          <w:rFonts w:cs="Arial"/>
          <w:rtl/>
        </w:rPr>
        <w:t>אין צריך טבילה אלא לכלי</w:t>
      </w:r>
      <w:r>
        <w:rPr>
          <w:rFonts w:cs="Arial" w:hint="cs"/>
          <w:rtl/>
        </w:rPr>
        <w:t>ם</w:t>
      </w:r>
      <w:r w:rsidRPr="007F333A">
        <w:rPr>
          <w:rFonts w:cs="Arial"/>
          <w:rtl/>
        </w:rPr>
        <w:t xml:space="preserve"> </w:t>
      </w:r>
      <w:r>
        <w:rPr>
          <w:rFonts w:cs="Arial" w:hint="cs"/>
          <w:rtl/>
        </w:rPr>
        <w:t>ש</w:t>
      </w:r>
      <w:r w:rsidRPr="007F333A">
        <w:rPr>
          <w:rFonts w:cs="Arial"/>
          <w:rtl/>
        </w:rPr>
        <w:t>הן צרכי הסעודה כגון כוסות וצלוחיות יורות וקומקומי' וכיוצא בהן שהן מצרכי הסעודה אבל שאר כלים כגון מספרים וכיוצא בהן שאינם צרכי סעודה לא</w:t>
      </w:r>
      <w:r>
        <w:rPr>
          <w:rFonts w:cs="Arial" w:hint="cs"/>
          <w:rtl/>
        </w:rPr>
        <w:t xml:space="preserve"> טענים טבילה. וכ' הב"י </w:t>
      </w:r>
      <w:r>
        <w:rPr>
          <w:rFonts w:cs="Arial"/>
          <w:rtl/>
        </w:rPr>
        <w:t>טעמא דכלי סעודה אמורין בפרשת כלי מדין</w:t>
      </w:r>
      <w:r>
        <w:rPr>
          <w:rFonts w:cs="Arial" w:hint="cs"/>
          <w:rtl/>
        </w:rPr>
        <w:t>,</w:t>
      </w:r>
      <w:r>
        <w:rPr>
          <w:rFonts w:cs="Arial"/>
          <w:rtl/>
        </w:rPr>
        <w:t xml:space="preserve"> דכתיב (שם לא כג) כל דבר אשר יבא באש ואין דרך להשתמש באש אלא כלים של צרכי סעודה</w:t>
      </w:r>
      <w:r>
        <w:rPr>
          <w:rFonts w:hint="cs"/>
          <w:rtl/>
        </w:rPr>
        <w:t>.</w:t>
      </w:r>
    </w:p>
  </w:footnote>
  <w:footnote w:id="2862">
    <w:p w14:paraId="754D6F85" w14:textId="77777777" w:rsidR="004C5A3C" w:rsidRDefault="004C5A3C" w:rsidP="002C39F4">
      <w:pPr>
        <w:pStyle w:val="a5"/>
      </w:pPr>
      <w:r>
        <w:rPr>
          <w:rStyle w:val="a7"/>
        </w:rPr>
        <w:footnoteRef/>
      </w:r>
      <w:r>
        <w:rPr>
          <w:rtl/>
        </w:rPr>
        <w:t xml:space="preserve"> </w:t>
      </w:r>
      <w:r w:rsidRPr="00E606E3">
        <w:rPr>
          <w:rFonts w:cs="Arial"/>
          <w:rtl/>
        </w:rPr>
        <w:t>אדמה וצפיעי בקר מעורבין ועושין מהן כלי</w:t>
      </w:r>
      <w:r>
        <w:rPr>
          <w:rFonts w:cs="Arial" w:hint="cs"/>
          <w:rtl/>
        </w:rPr>
        <w:t>, רש"י</w:t>
      </w:r>
      <w:r w:rsidRPr="00E606E3">
        <w:rPr>
          <w:rFonts w:cs="Arial"/>
          <w:rtl/>
        </w:rPr>
        <w:t>.</w:t>
      </w:r>
    </w:p>
  </w:footnote>
  <w:footnote w:id="2863">
    <w:p w14:paraId="36BC451E" w14:textId="77777777" w:rsidR="004C5A3C" w:rsidRDefault="004C5A3C" w:rsidP="002C39F4">
      <w:pPr>
        <w:pStyle w:val="a5"/>
        <w:rPr>
          <w:rtl/>
        </w:rPr>
      </w:pPr>
      <w:r>
        <w:rPr>
          <w:rStyle w:val="a7"/>
        </w:rPr>
        <w:footnoteRef/>
      </w:r>
      <w:r>
        <w:rPr>
          <w:rtl/>
        </w:rPr>
        <w:t xml:space="preserve"> </w:t>
      </w:r>
      <w:r w:rsidRPr="00E606E3">
        <w:rPr>
          <w:rFonts w:cs="Arial"/>
          <w:rtl/>
        </w:rPr>
        <w:t>תחלתו של חרס וחופין אותן בחופיא של אבר</w:t>
      </w:r>
      <w:r>
        <w:rPr>
          <w:rFonts w:cs="Arial" w:hint="cs"/>
          <w:rtl/>
        </w:rPr>
        <w:t>..., רש"י</w:t>
      </w:r>
      <w:r w:rsidRPr="00E606E3">
        <w:rPr>
          <w:rFonts w:cs="Arial"/>
          <w:rtl/>
        </w:rPr>
        <w:t>.</w:t>
      </w:r>
    </w:p>
  </w:footnote>
  <w:footnote w:id="2864">
    <w:p w14:paraId="6FB456DA" w14:textId="77777777" w:rsidR="004C5A3C" w:rsidRDefault="004C5A3C" w:rsidP="002C39F4">
      <w:pPr>
        <w:pStyle w:val="a5"/>
      </w:pPr>
      <w:r>
        <w:rPr>
          <w:rStyle w:val="a7"/>
        </w:rPr>
        <w:footnoteRef/>
      </w:r>
      <w:r>
        <w:rPr>
          <w:rtl/>
        </w:rPr>
        <w:t xml:space="preserve"> </w:t>
      </w:r>
      <w:r w:rsidRPr="00E606E3">
        <w:rPr>
          <w:rFonts w:cs="Arial"/>
          <w:rtl/>
        </w:rPr>
        <w:t>בתר סופו אזלינן שחיפהו מתכות וכלי מתכות הוא ובעי טבילה</w:t>
      </w:r>
      <w:r>
        <w:rPr>
          <w:rFonts w:cs="Arial" w:hint="cs"/>
          <w:rtl/>
        </w:rPr>
        <w:t>, רש"י</w:t>
      </w:r>
      <w:r w:rsidRPr="00E606E3">
        <w:rPr>
          <w:rFonts w:cs="Arial"/>
          <w:rtl/>
        </w:rPr>
        <w:t>.</w:t>
      </w:r>
    </w:p>
  </w:footnote>
  <w:footnote w:id="2865">
    <w:p w14:paraId="7474E9EB" w14:textId="77777777" w:rsidR="004C5A3C" w:rsidRDefault="004C5A3C" w:rsidP="002C39F4">
      <w:pPr>
        <w:pStyle w:val="a5"/>
        <w:rPr>
          <w:rtl/>
        </w:rPr>
      </w:pPr>
      <w:r>
        <w:rPr>
          <w:rStyle w:val="a7"/>
        </w:rPr>
        <w:footnoteRef/>
      </w:r>
      <w:r>
        <w:rPr>
          <w:rtl/>
        </w:rPr>
        <w:t xml:space="preserve"> </w:t>
      </w:r>
      <w:r>
        <w:rPr>
          <w:rFonts w:cs="Arial" w:hint="cs"/>
          <w:rtl/>
        </w:rPr>
        <w:t xml:space="preserve">ר"ת </w:t>
      </w:r>
      <w:r>
        <w:rPr>
          <w:rFonts w:cs="Arial" w:hint="cs"/>
          <w:sz w:val="16"/>
          <w:szCs w:val="16"/>
          <w:rtl/>
        </w:rPr>
        <w:t>(כ"כ הרשב"א בשמו, ואולי מקור הדברים בספר הישר חלק התשובות סי' ח אות ב)</w:t>
      </w:r>
      <w:r>
        <w:rPr>
          <w:rFonts w:cs="Arial" w:hint="cs"/>
          <w:rtl/>
        </w:rPr>
        <w:t xml:space="preserve"> תוס' </w:t>
      </w:r>
      <w:r>
        <w:rPr>
          <w:rFonts w:cs="Arial" w:hint="cs"/>
          <w:sz w:val="16"/>
          <w:szCs w:val="16"/>
          <w:rtl/>
        </w:rPr>
        <w:t>(ע"ז עה: ד"ה מים)</w:t>
      </w:r>
      <w:r>
        <w:rPr>
          <w:rFonts w:cs="Arial" w:hint="cs"/>
          <w:rtl/>
        </w:rPr>
        <w:t xml:space="preserve"> ורשב"א </w:t>
      </w:r>
      <w:r>
        <w:rPr>
          <w:rFonts w:cs="Arial" w:hint="cs"/>
          <w:sz w:val="16"/>
          <w:szCs w:val="16"/>
          <w:rtl/>
        </w:rPr>
        <w:t>(ח"ד סי' שיח)</w:t>
      </w:r>
      <w:r>
        <w:rPr>
          <w:rFonts w:hint="cs"/>
          <w:rtl/>
        </w:rPr>
        <w:t>.</w:t>
      </w:r>
    </w:p>
  </w:footnote>
  <w:footnote w:id="2866">
    <w:p w14:paraId="443EDEF9" w14:textId="77777777" w:rsidR="004C5A3C" w:rsidRDefault="004C5A3C" w:rsidP="002C39F4">
      <w:pPr>
        <w:pStyle w:val="a5"/>
      </w:pPr>
      <w:r>
        <w:rPr>
          <w:rStyle w:val="a7"/>
        </w:rPr>
        <w:footnoteRef/>
      </w:r>
      <w:r>
        <w:rPr>
          <w:rtl/>
        </w:rPr>
        <w:t xml:space="preserve"> </w:t>
      </w:r>
      <w:r>
        <w:rPr>
          <w:rFonts w:hint="cs"/>
          <w:rtl/>
        </w:rPr>
        <w:t xml:space="preserve">וכ' הב"י </w:t>
      </w:r>
      <w:r>
        <w:rPr>
          <w:rFonts w:cs="Arial" w:hint="cs"/>
          <w:rtl/>
        </w:rPr>
        <w:t xml:space="preserve">שהסמ"ק למד דין זה מדברי התוס'. וכ' ר"פ (בהגה' אות ד) טעם לדברי הסמ"ק, וז"ל- </w:t>
      </w:r>
      <w:r w:rsidRPr="00971090">
        <w:rPr>
          <w:rFonts w:cs="Arial"/>
          <w:rtl/>
        </w:rPr>
        <w:t>כדאמרינן בפב"ת דע</w:t>
      </w:r>
      <w:r>
        <w:rPr>
          <w:rFonts w:cs="Arial" w:hint="cs"/>
          <w:rtl/>
        </w:rPr>
        <w:t>"ז</w:t>
      </w:r>
      <w:r w:rsidRPr="00971090">
        <w:rPr>
          <w:rFonts w:cs="Arial"/>
          <w:rtl/>
        </w:rPr>
        <w:t xml:space="preserve"> אך במי נדה יתחטא מים שהנדה טובלת בהם דהיינו ארבעים סאה</w:t>
      </w:r>
      <w:r>
        <w:rPr>
          <w:rFonts w:cs="Arial" w:hint="cs"/>
          <w:rtl/>
        </w:rPr>
        <w:t>,</w:t>
      </w:r>
      <w:r w:rsidRPr="00971090">
        <w:rPr>
          <w:rFonts w:cs="Arial"/>
          <w:rtl/>
        </w:rPr>
        <w:t xml:space="preserve"> וליכא למימר היינו דוקא בכלי גדול אבל בכלי קטן סגי ברביעית דמקוה קודם דבטלוה או במשהו דמעין כמו גבי טומאה</w:t>
      </w:r>
      <w:r>
        <w:rPr>
          <w:rFonts w:cs="Arial" w:hint="cs"/>
          <w:rtl/>
        </w:rPr>
        <w:t>,</w:t>
      </w:r>
      <w:r w:rsidRPr="00971090">
        <w:rPr>
          <w:rFonts w:cs="Arial"/>
          <w:rtl/>
        </w:rPr>
        <w:t xml:space="preserve"> דהא ליתא</w:t>
      </w:r>
      <w:r>
        <w:rPr>
          <w:rFonts w:cs="Arial" w:hint="cs"/>
          <w:rtl/>
        </w:rPr>
        <w:t>,</w:t>
      </w:r>
      <w:r w:rsidRPr="00971090">
        <w:rPr>
          <w:rFonts w:cs="Arial"/>
          <w:rtl/>
        </w:rPr>
        <w:t xml:space="preserve"> דבתר הכי דריש וטהר הוסיף לך הכתוב טהרה אחרת דהיינו טבילה</w:t>
      </w:r>
      <w:r>
        <w:rPr>
          <w:rFonts w:cs="Arial" w:hint="cs"/>
          <w:rtl/>
        </w:rPr>
        <w:t>,</w:t>
      </w:r>
      <w:r w:rsidRPr="00971090">
        <w:rPr>
          <w:rFonts w:cs="Arial"/>
          <w:rtl/>
        </w:rPr>
        <w:t xml:space="preserve"> ומסיק דצריכי דאי כתב רחמנא וטהר הוי אמינא בכ"ש קמשמע לן במי נדה דבעינן מ' סאה</w:t>
      </w:r>
      <w:r>
        <w:rPr>
          <w:rFonts w:cs="Arial" w:hint="cs"/>
          <w:rtl/>
        </w:rPr>
        <w:t>,</w:t>
      </w:r>
      <w:r w:rsidRPr="00971090">
        <w:rPr>
          <w:rFonts w:cs="Arial"/>
          <w:rtl/>
        </w:rPr>
        <w:t xml:space="preserve"> והשתא הא דקאמר ה</w:t>
      </w:r>
      <w:r>
        <w:rPr>
          <w:rFonts w:cs="Arial" w:hint="cs"/>
          <w:rtl/>
        </w:rPr>
        <w:t>ו</w:t>
      </w:r>
      <w:r w:rsidRPr="00971090">
        <w:rPr>
          <w:rFonts w:cs="Arial"/>
          <w:rtl/>
        </w:rPr>
        <w:t>"א בכל שהוא ליכא לפרושי פחות מרביעית דמקוה דהא אפי' לענין טומאה לא סגי בהכי</w:t>
      </w:r>
      <w:r>
        <w:rPr>
          <w:rFonts w:cs="Arial" w:hint="cs"/>
          <w:rtl/>
        </w:rPr>
        <w:t>,</w:t>
      </w:r>
      <w:r w:rsidRPr="00971090">
        <w:rPr>
          <w:rFonts w:cs="Arial"/>
          <w:rtl/>
        </w:rPr>
        <w:t xml:space="preserve"> וגם ליכא לפרושי במשהו דמעין ובכלי גדול דהא נמי אפי' לענין טומאה לא מהני כיון שאין כל גופו עולה בו</w:t>
      </w:r>
      <w:r>
        <w:rPr>
          <w:rFonts w:cs="Arial" w:hint="cs"/>
          <w:rtl/>
        </w:rPr>
        <w:t>,</w:t>
      </w:r>
      <w:r w:rsidRPr="00971090">
        <w:rPr>
          <w:rFonts w:cs="Arial"/>
          <w:rtl/>
        </w:rPr>
        <w:t xml:space="preserve"> אלא ודאי מיירי בכלי קטן כגון מחטין וצנורות דלענין טומאה סגי במשהו במעין או ברביעית דמקוה קודם דבטלוה א</w:t>
      </w:r>
      <w:r>
        <w:rPr>
          <w:rFonts w:cs="Arial" w:hint="cs"/>
          <w:rtl/>
        </w:rPr>
        <w:t>פ</w:t>
      </w:r>
      <w:r w:rsidRPr="00971090">
        <w:rPr>
          <w:rFonts w:cs="Arial"/>
          <w:rtl/>
        </w:rPr>
        <w:t>"ה קאמר דלענין טבילה דלוקח מן הגוי בעי ארבעים סאה כמו גבי נדה.</w:t>
      </w:r>
    </w:p>
  </w:footnote>
  <w:footnote w:id="2867">
    <w:p w14:paraId="3AFCC103" w14:textId="77777777" w:rsidR="004C5A3C" w:rsidRDefault="004C5A3C" w:rsidP="002C39F4">
      <w:pPr>
        <w:pStyle w:val="a5"/>
        <w:rPr>
          <w:rtl/>
        </w:rPr>
      </w:pPr>
      <w:r>
        <w:rPr>
          <w:rStyle w:val="a7"/>
        </w:rPr>
        <w:footnoteRef/>
      </w:r>
      <w:r>
        <w:rPr>
          <w:rtl/>
        </w:rPr>
        <w:t xml:space="preserve"> </w:t>
      </w:r>
      <w:r>
        <w:rPr>
          <w:rFonts w:hint="cs"/>
          <w:rtl/>
        </w:rPr>
        <w:t xml:space="preserve">וכ' הטור על דבריו- </w:t>
      </w:r>
      <w:r w:rsidRPr="007E4402">
        <w:rPr>
          <w:rFonts w:cs="Arial"/>
          <w:rtl/>
        </w:rPr>
        <w:t>ולא נהירא שאין להחמיר בטבילה זו טפי מבטבילת טמאה דלא ידעינן להך אלא ממנה</w:t>
      </w:r>
      <w:r>
        <w:rPr>
          <w:rFonts w:hint="cs"/>
          <w:rtl/>
        </w:rPr>
        <w:t xml:space="preserve">. עכ"ל. וכ' הב"י על דברי הטור- </w:t>
      </w:r>
      <w:r>
        <w:rPr>
          <w:rFonts w:cs="Arial"/>
          <w:rtl/>
        </w:rPr>
        <w:t xml:space="preserve">כלומר דכיון דלא ידעינן דכלי גוים בעו טבילה אלא מדכתיב בכלי מדין </w:t>
      </w:r>
      <w:r>
        <w:rPr>
          <w:rFonts w:cs="Arial" w:hint="cs"/>
          <w:rtl/>
        </w:rPr>
        <w:t>'</w:t>
      </w:r>
      <w:r>
        <w:rPr>
          <w:rFonts w:cs="Arial"/>
          <w:rtl/>
        </w:rPr>
        <w:t>אך במי נדה יתחטא</w:t>
      </w:r>
      <w:r>
        <w:rPr>
          <w:rFonts w:cs="Arial" w:hint="cs"/>
          <w:rtl/>
        </w:rPr>
        <w:t>'</w:t>
      </w:r>
      <w:r>
        <w:rPr>
          <w:rFonts w:cs="Arial"/>
          <w:rtl/>
        </w:rPr>
        <w:t xml:space="preserve"> אין להחמיר בהם יותר מבנדה עצמה</w:t>
      </w:r>
      <w:r>
        <w:rPr>
          <w:rFonts w:cs="Arial" w:hint="cs"/>
          <w:rtl/>
        </w:rPr>
        <w:t>,</w:t>
      </w:r>
      <w:r>
        <w:rPr>
          <w:rFonts w:cs="Arial"/>
          <w:rtl/>
        </w:rPr>
        <w:t xml:space="preserve"> ויש לתמוה עליו שנראה שהוא תופס בפשיטות דנדה אינה צריכה ארבעים סאה במעין</w:t>
      </w:r>
      <w:r>
        <w:rPr>
          <w:rFonts w:cs="Arial" w:hint="cs"/>
          <w:rtl/>
        </w:rPr>
        <w:t>,</w:t>
      </w:r>
      <w:r>
        <w:rPr>
          <w:rFonts w:cs="Arial"/>
          <w:rtl/>
        </w:rPr>
        <w:t xml:space="preserve"> והרי ר"י אינו סובר כן וכתב רבינו בסימן ר"א (צה:) שלדבריו הסכים הרא"ש ז"ל (הל' מקוואות סו"ס א)</w:t>
      </w:r>
      <w:r>
        <w:rPr>
          <w:rFonts w:cs="Arial" w:hint="cs"/>
          <w:rtl/>
        </w:rPr>
        <w:t>,</w:t>
      </w:r>
      <w:r>
        <w:rPr>
          <w:rFonts w:cs="Arial"/>
          <w:rtl/>
        </w:rPr>
        <w:t xml:space="preserve"> וכיון שכן היאך כתב </w:t>
      </w:r>
      <w:r>
        <w:rPr>
          <w:rFonts w:cs="Arial" w:hint="cs"/>
          <w:rtl/>
        </w:rPr>
        <w:t>'</w:t>
      </w:r>
      <w:r>
        <w:rPr>
          <w:rFonts w:cs="Arial"/>
          <w:rtl/>
        </w:rPr>
        <w:t>ולא נהירא שאין להחמיר בטבילה זו טפי מבטבילת טמאה</w:t>
      </w:r>
      <w:r>
        <w:rPr>
          <w:rFonts w:cs="Arial" w:hint="cs"/>
          <w:rtl/>
        </w:rPr>
        <w:t>'</w:t>
      </w:r>
      <w:r>
        <w:rPr>
          <w:rFonts w:cs="Arial"/>
          <w:rtl/>
        </w:rPr>
        <w:t xml:space="preserve"> שהרי לדעת ר"י והרא"ש אינו מחמיר בזו יותר מבטבילת טמאה</w:t>
      </w:r>
      <w:r>
        <w:rPr>
          <w:rFonts w:cs="Arial" w:hint="cs"/>
          <w:rtl/>
        </w:rPr>
        <w:t>. עכ"ל.</w:t>
      </w:r>
      <w:r w:rsidRPr="00002062">
        <w:rPr>
          <w:rFonts w:cs="Arial"/>
          <w:rtl/>
        </w:rPr>
        <w:t xml:space="preserve"> </w:t>
      </w:r>
      <w:r>
        <w:rPr>
          <w:rFonts w:cs="Arial" w:hint="cs"/>
          <w:rtl/>
        </w:rPr>
        <w:t xml:space="preserve">וכ' הדרכ"מ </w:t>
      </w:r>
      <w:r w:rsidRPr="00002062">
        <w:rPr>
          <w:rFonts w:cs="Arial"/>
          <w:rtl/>
        </w:rPr>
        <w:t>(</w:t>
      </w:r>
      <w:r>
        <w:rPr>
          <w:rFonts w:cs="Arial" w:hint="cs"/>
          <w:rtl/>
        </w:rPr>
        <w:t xml:space="preserve">אות </w:t>
      </w:r>
      <w:r w:rsidRPr="00002062">
        <w:rPr>
          <w:rFonts w:cs="Arial"/>
          <w:rtl/>
        </w:rPr>
        <w:t>א)</w:t>
      </w:r>
      <w:r>
        <w:rPr>
          <w:rFonts w:cs="Arial" w:hint="cs"/>
          <w:rtl/>
        </w:rPr>
        <w:t>-</w:t>
      </w:r>
      <w:r w:rsidRPr="00002062">
        <w:rPr>
          <w:rFonts w:cs="Arial"/>
          <w:rtl/>
        </w:rPr>
        <w:t xml:space="preserve"> ולא ידעתי מאי קשיא</w:t>
      </w:r>
      <w:r>
        <w:rPr>
          <w:rFonts w:cs="Arial" w:hint="cs"/>
          <w:rtl/>
        </w:rPr>
        <w:t>,</w:t>
      </w:r>
      <w:r w:rsidRPr="00002062">
        <w:rPr>
          <w:rFonts w:cs="Arial"/>
          <w:rtl/>
        </w:rPr>
        <w:t xml:space="preserve"> דרבינו לדברי ספר המצות קאמר דכתב אע"ג דמעיין מטהר בכל שהוא וכו' ולהכי כתב דלדבריו לא נהירא שתהא טבילה זו חמורה מטבילת טמאה</w:t>
      </w:r>
      <w:r>
        <w:rPr>
          <w:rFonts w:cs="Arial" w:hint="cs"/>
          <w:rtl/>
        </w:rPr>
        <w:t>,</w:t>
      </w:r>
      <w:r w:rsidRPr="00002062">
        <w:rPr>
          <w:rFonts w:cs="Arial"/>
          <w:rtl/>
        </w:rPr>
        <w:t xml:space="preserve"> כן נראה לי והוא פשוט</w:t>
      </w:r>
      <w:r>
        <w:rPr>
          <w:rFonts w:cs="Arial" w:hint="cs"/>
          <w:rtl/>
        </w:rPr>
        <w:t>,</w:t>
      </w:r>
      <w:r w:rsidRPr="00002062">
        <w:rPr>
          <w:rFonts w:cs="Arial"/>
          <w:rtl/>
        </w:rPr>
        <w:t xml:space="preserve"> ולענין דינא כתב ב"י דהתוס</w:t>
      </w:r>
      <w:r>
        <w:rPr>
          <w:rFonts w:cs="Arial" w:hint="cs"/>
          <w:rtl/>
        </w:rPr>
        <w:t>'</w:t>
      </w:r>
      <w:r w:rsidRPr="00002062">
        <w:rPr>
          <w:rFonts w:cs="Arial"/>
          <w:rtl/>
        </w:rPr>
        <w:t xml:space="preserve"> ורשב"א כתבו בשם ר"ת כדברי ספר המצות</w:t>
      </w:r>
      <w:r>
        <w:rPr>
          <w:rFonts w:cs="Arial" w:hint="cs"/>
          <w:rtl/>
        </w:rPr>
        <w:t>.</w:t>
      </w:r>
      <w:r>
        <w:rPr>
          <w:rFonts w:hint="cs"/>
          <w:rtl/>
        </w:rPr>
        <w:t xml:space="preserve"> עכ"ל.</w:t>
      </w:r>
      <w:r w:rsidRPr="002D3587">
        <w:rPr>
          <w:rFonts w:cs="Arial" w:hint="cs"/>
          <w:sz w:val="16"/>
          <w:szCs w:val="16"/>
          <w:rtl/>
        </w:rPr>
        <w:t xml:space="preserve"> </w:t>
      </w:r>
      <w:r w:rsidRPr="00016A78">
        <w:rPr>
          <w:rFonts w:cs="Arial" w:hint="cs"/>
          <w:rtl/>
        </w:rPr>
        <w:t>וצל"ע</w:t>
      </w:r>
      <w:r>
        <w:rPr>
          <w:rFonts w:cs="Arial" w:hint="cs"/>
          <w:rtl/>
        </w:rPr>
        <w:t>,</w:t>
      </w:r>
      <w:r w:rsidRPr="00016A78">
        <w:rPr>
          <w:rFonts w:cs="Arial" w:hint="cs"/>
          <w:rtl/>
        </w:rPr>
        <w:t xml:space="preserve"> </w:t>
      </w:r>
      <w:r>
        <w:rPr>
          <w:rFonts w:cs="Arial" w:hint="cs"/>
          <w:rtl/>
        </w:rPr>
        <w:t xml:space="preserve">דמשמע </w:t>
      </w:r>
      <w:r w:rsidRPr="00016A78">
        <w:rPr>
          <w:rFonts w:cs="Arial" w:hint="cs"/>
          <w:rtl/>
        </w:rPr>
        <w:t xml:space="preserve">מדברי הב"י </w:t>
      </w:r>
      <w:r w:rsidRPr="00016A78">
        <w:rPr>
          <w:rFonts w:cs="Arial" w:hint="cs"/>
          <w:sz w:val="16"/>
          <w:szCs w:val="16"/>
          <w:rtl/>
        </w:rPr>
        <w:t>[שכ' דהסמ"ק למד דין זה מדברי התוס']</w:t>
      </w:r>
      <w:r>
        <w:rPr>
          <w:rFonts w:cs="Arial" w:hint="cs"/>
          <w:rtl/>
        </w:rPr>
        <w:t xml:space="preserve"> ומדברי הדרכ"מ </w:t>
      </w:r>
      <w:r>
        <w:rPr>
          <w:rFonts w:cs="Arial" w:hint="cs"/>
          <w:sz w:val="16"/>
          <w:szCs w:val="16"/>
          <w:rtl/>
        </w:rPr>
        <w:t>[בסוף דבריו לעיל, בסמוך]</w:t>
      </w:r>
      <w:r>
        <w:rPr>
          <w:rFonts w:cs="Arial" w:hint="cs"/>
          <w:rtl/>
        </w:rPr>
        <w:t xml:space="preserve"> </w:t>
      </w:r>
      <w:r w:rsidRPr="00016A78">
        <w:rPr>
          <w:rFonts w:cs="Arial" w:hint="cs"/>
          <w:rtl/>
        </w:rPr>
        <w:t>ד</w:t>
      </w:r>
      <w:r>
        <w:rPr>
          <w:rFonts w:cs="Arial" w:hint="cs"/>
          <w:rtl/>
        </w:rPr>
        <w:t xml:space="preserve">התוס' והרשב"א </w:t>
      </w:r>
      <w:r w:rsidRPr="00016A78">
        <w:rPr>
          <w:rFonts w:cs="Arial" w:hint="cs"/>
          <w:rtl/>
        </w:rPr>
        <w:t>מודי ל</w:t>
      </w:r>
      <w:r>
        <w:rPr>
          <w:rFonts w:cs="Arial" w:hint="cs"/>
          <w:rtl/>
        </w:rPr>
        <w:t xml:space="preserve">סמ"ק, והרי הסמ"ק הצריך מ' סאה גם במקוה וגם במעין, ואילו התוס' והרשב"א לא דיברו אלא על מקוה, אבל במעין נראה דסברי דעולה מטומאתו בכל שהוא, כדקיי"ל דמעין מטהר כלים בכל שהוא לכו"ע </w:t>
      </w:r>
      <w:r>
        <w:rPr>
          <w:rFonts w:cs="Arial" w:hint="cs"/>
          <w:sz w:val="16"/>
          <w:szCs w:val="16"/>
          <w:rtl/>
        </w:rPr>
        <w:t>(עי' בב"י סי' רא סע' א)</w:t>
      </w:r>
      <w:r>
        <w:rPr>
          <w:rFonts w:cs="Arial" w:hint="cs"/>
          <w:rtl/>
        </w:rPr>
        <w:t xml:space="preserve">. ובאמת כך פירש הט"ז </w:t>
      </w:r>
      <w:r w:rsidRPr="00EA4751">
        <w:rPr>
          <w:rFonts w:cs="Arial" w:hint="cs"/>
          <w:sz w:val="16"/>
          <w:szCs w:val="16"/>
          <w:rtl/>
        </w:rPr>
        <w:t xml:space="preserve">(סק"ב) </w:t>
      </w:r>
      <w:r>
        <w:rPr>
          <w:rFonts w:cs="Arial" w:hint="cs"/>
          <w:rtl/>
        </w:rPr>
        <w:t>את דברי הטור, וז"ל-</w:t>
      </w:r>
      <w:r w:rsidRPr="001D73C7">
        <w:rPr>
          <w:rtl/>
        </w:rPr>
        <w:t xml:space="preserve"> </w:t>
      </w:r>
      <w:r w:rsidRPr="001D73C7">
        <w:rPr>
          <w:rFonts w:cs="Arial"/>
          <w:rtl/>
        </w:rPr>
        <w:t xml:space="preserve">ובטור גרסינן </w:t>
      </w:r>
      <w:r>
        <w:rPr>
          <w:rFonts w:cs="Arial" w:hint="cs"/>
          <w:rtl/>
        </w:rPr>
        <w:t>'</w:t>
      </w:r>
      <w:r w:rsidRPr="001D73C7">
        <w:rPr>
          <w:rFonts w:cs="Arial"/>
          <w:rtl/>
        </w:rPr>
        <w:t xml:space="preserve">יותר מבטבילת </w:t>
      </w:r>
      <w:r w:rsidRPr="001D73C7">
        <w:rPr>
          <w:rFonts w:cs="Arial"/>
          <w:u w:val="single"/>
          <w:rtl/>
        </w:rPr>
        <w:t>טומאה</w:t>
      </w:r>
      <w:r>
        <w:rPr>
          <w:rFonts w:cs="Arial" w:hint="cs"/>
          <w:rtl/>
        </w:rPr>
        <w:t>'</w:t>
      </w:r>
      <w:r w:rsidRPr="001D73C7">
        <w:rPr>
          <w:rFonts w:cs="Arial"/>
          <w:rtl/>
        </w:rPr>
        <w:t xml:space="preserve"> ורצונו לומר כלים טמאים</w:t>
      </w:r>
      <w:r>
        <w:rPr>
          <w:rFonts w:cs="Arial" w:hint="cs"/>
          <w:rtl/>
        </w:rPr>
        <w:t>,</w:t>
      </w:r>
      <w:r w:rsidRPr="001D73C7">
        <w:rPr>
          <w:rFonts w:cs="Arial"/>
          <w:rtl/>
        </w:rPr>
        <w:t xml:space="preserve"> והכי קאמר</w:t>
      </w:r>
      <w:r>
        <w:rPr>
          <w:rFonts w:cs="Arial" w:hint="cs"/>
          <w:rtl/>
        </w:rPr>
        <w:t>,</w:t>
      </w:r>
      <w:r w:rsidRPr="001D73C7">
        <w:rPr>
          <w:rFonts w:cs="Arial"/>
          <w:rtl/>
        </w:rPr>
        <w:t xml:space="preserve"> כיון שאין אנו יודעים שטהרה במים בכלי עובד כוכבים אלא מטבילת כלים טמאים לא נחמיר יותר מהם לענין מעיין</w:t>
      </w:r>
      <w:r>
        <w:rPr>
          <w:rFonts w:cs="Arial" w:hint="cs"/>
          <w:rtl/>
        </w:rPr>
        <w:t>,</w:t>
      </w:r>
      <w:r w:rsidRPr="001D73C7">
        <w:rPr>
          <w:rFonts w:cs="Arial"/>
          <w:rtl/>
        </w:rPr>
        <w:t xml:space="preserve"> אלא במאי דגלי רחמנא לענין מקוה שתהיה כנדה</w:t>
      </w:r>
      <w:r>
        <w:rPr>
          <w:rFonts w:cs="Arial" w:hint="cs"/>
          <w:rtl/>
        </w:rPr>
        <w:t>. עכ"ל.</w:t>
      </w:r>
      <w:r>
        <w:rPr>
          <w:rFonts w:cs="Arial" w:hint="cs"/>
          <w:sz w:val="16"/>
          <w:szCs w:val="16"/>
          <w:rtl/>
        </w:rPr>
        <w:t xml:space="preserve"> </w:t>
      </w:r>
      <w:r>
        <w:rPr>
          <w:rFonts w:cs="Arial" w:hint="cs"/>
          <w:rtl/>
        </w:rPr>
        <w:t>היינו דמה שחלק הטור על דברי הסמ"ק הוא רק לגבי מעין</w:t>
      </w:r>
      <w:r>
        <w:rPr>
          <w:rFonts w:cs="Arial" w:hint="cs"/>
          <w:sz w:val="16"/>
          <w:szCs w:val="16"/>
          <w:rtl/>
        </w:rPr>
        <w:t xml:space="preserve"> (דהטור משוה דין הטבלת כלי גוים לדין טבילת כלים משאר טומאות דקיי"ל דדי במעין בכל שהוא)</w:t>
      </w:r>
      <w:r>
        <w:rPr>
          <w:rFonts w:cs="Arial" w:hint="cs"/>
          <w:rtl/>
        </w:rPr>
        <w:t>, אבל לגבי מקוה חסר מודי ליה. וכ"כ הפרישה (אות ו).</w:t>
      </w:r>
      <w:r>
        <w:rPr>
          <w:rFonts w:hint="cs"/>
          <w:rtl/>
        </w:rPr>
        <w:t xml:space="preserve"> וכן פירש האמרי בינה </w:t>
      </w:r>
      <w:r w:rsidRPr="001D73C7">
        <w:rPr>
          <w:rFonts w:hint="cs"/>
          <w:sz w:val="16"/>
          <w:szCs w:val="16"/>
          <w:rtl/>
        </w:rPr>
        <w:t xml:space="preserve">(ילקוט מפרשים, על הט"ז) </w:t>
      </w:r>
      <w:r>
        <w:rPr>
          <w:rFonts w:hint="cs"/>
          <w:rtl/>
        </w:rPr>
        <w:t xml:space="preserve">את דברי הט"ז .אך הגר"א (סק"ד) כ' שדעת התוס' כדעת הסמ"ק לגמרי, היינו דגם במעין בעינן מ' סאה, כדתני בר קפרא </w:t>
      </w:r>
      <w:r w:rsidRPr="0085611D">
        <w:rPr>
          <w:rFonts w:cs="Arial"/>
          <w:rtl/>
        </w:rPr>
        <w:t>מה ת"ל במי נדה מים שנדה טובלת בהן, הוי אומר ארבעים סאה</w:t>
      </w:r>
      <w:r>
        <w:rPr>
          <w:rFonts w:cs="Arial" w:hint="cs"/>
          <w:rtl/>
        </w:rPr>
        <w:t>.</w:t>
      </w:r>
    </w:p>
  </w:footnote>
  <w:footnote w:id="2868">
    <w:p w14:paraId="0D855FAB" w14:textId="77777777" w:rsidR="004C5A3C" w:rsidRDefault="004C5A3C" w:rsidP="002C39F4">
      <w:pPr>
        <w:pStyle w:val="a5"/>
      </w:pPr>
      <w:r>
        <w:rPr>
          <w:rStyle w:val="a7"/>
        </w:rPr>
        <w:footnoteRef/>
      </w:r>
      <w:r>
        <w:rPr>
          <w:rtl/>
        </w:rPr>
        <w:t xml:space="preserve"> </w:t>
      </w:r>
      <w:r>
        <w:rPr>
          <w:rFonts w:hint="cs"/>
          <w:rtl/>
        </w:rPr>
        <w:t xml:space="preserve">והוסיף הסמ"ק- </w:t>
      </w:r>
      <w:r w:rsidRPr="00052414">
        <w:rPr>
          <w:rFonts w:cs="Arial"/>
          <w:rtl/>
        </w:rPr>
        <w:t>ויש מחמירין להטביל היכא דמעמיד בלי ברכה</w:t>
      </w:r>
      <w:r>
        <w:rPr>
          <w:rFonts w:cs="Arial" w:hint="cs"/>
          <w:rtl/>
        </w:rPr>
        <w:t>.</w:t>
      </w:r>
    </w:p>
  </w:footnote>
  <w:footnote w:id="2869">
    <w:p w14:paraId="50B3D2DA" w14:textId="77777777" w:rsidR="004C5A3C" w:rsidRDefault="004C5A3C" w:rsidP="002C39F4">
      <w:pPr>
        <w:pStyle w:val="a5"/>
      </w:pPr>
      <w:r>
        <w:rPr>
          <w:rStyle w:val="a7"/>
        </w:rPr>
        <w:footnoteRef/>
      </w:r>
      <w:r>
        <w:rPr>
          <w:rtl/>
        </w:rPr>
        <w:t xml:space="preserve"> </w:t>
      </w:r>
      <w:r>
        <w:rPr>
          <w:rFonts w:hint="cs"/>
          <w:rtl/>
        </w:rPr>
        <w:t xml:space="preserve">וסיום דברי המרדכי הם- </w:t>
      </w:r>
      <w:r w:rsidRPr="00E550E9">
        <w:rPr>
          <w:rFonts w:cs="Arial"/>
          <w:rtl/>
        </w:rPr>
        <w:t>והר"פ הורה להטבילם בלא ברכה</w:t>
      </w:r>
      <w:r>
        <w:rPr>
          <w:rFonts w:cs="Arial" w:hint="cs"/>
          <w:rtl/>
        </w:rPr>
        <w:t>. עכ"ל. ולכאורה משמע להפך ממש"כ ר"פ בהג' סמ"ק וצל"ע.</w:t>
      </w:r>
    </w:p>
  </w:footnote>
  <w:footnote w:id="2870">
    <w:p w14:paraId="1DACC3B9" w14:textId="77777777" w:rsidR="004C5A3C" w:rsidRDefault="004C5A3C" w:rsidP="002C39F4">
      <w:pPr>
        <w:pStyle w:val="a5"/>
      </w:pPr>
      <w:r>
        <w:rPr>
          <w:rStyle w:val="a7"/>
        </w:rPr>
        <w:footnoteRef/>
      </w:r>
      <w:r>
        <w:rPr>
          <w:rtl/>
        </w:rPr>
        <w:t xml:space="preserve"> </w:t>
      </w:r>
      <w:r>
        <w:rPr>
          <w:rFonts w:cs="Arial" w:hint="cs"/>
          <w:rtl/>
        </w:rPr>
        <w:t>והוסיך האו"ה דב</w:t>
      </w:r>
      <w:r w:rsidRPr="00B32E94">
        <w:rPr>
          <w:rFonts w:cs="Arial"/>
          <w:rtl/>
        </w:rPr>
        <w:t>כל ענייני טבילה שחלוקין בה רבותינו טוב יותר להטבילן עם כלים אחרים</w:t>
      </w:r>
      <w:r>
        <w:rPr>
          <w:rFonts w:cs="Arial" w:hint="cs"/>
          <w:rtl/>
        </w:rPr>
        <w:t>,</w:t>
      </w:r>
      <w:r w:rsidRPr="00B32E94">
        <w:rPr>
          <w:rFonts w:cs="Arial"/>
          <w:rtl/>
        </w:rPr>
        <w:t xml:space="preserve"> כמו שנמצא בתש</w:t>
      </w:r>
      <w:r>
        <w:rPr>
          <w:rFonts w:cs="Arial" w:hint="cs"/>
          <w:rtl/>
        </w:rPr>
        <w:t>ו'</w:t>
      </w:r>
      <w:r w:rsidRPr="00B32E94">
        <w:rPr>
          <w:rFonts w:cs="Arial"/>
          <w:rtl/>
        </w:rPr>
        <w:t xml:space="preserve"> רש"י והרי"ף ש</w:t>
      </w:r>
      <w:r>
        <w:rPr>
          <w:rFonts w:cs="Arial" w:hint="cs"/>
          <w:rtl/>
        </w:rPr>
        <w:t>-"</w:t>
      </w:r>
      <w:r w:rsidRPr="00B32E94">
        <w:rPr>
          <w:rFonts w:cs="Arial"/>
          <w:rtl/>
        </w:rPr>
        <w:t>כל דבר שמסופקין בטבילתם ירא שמים יטבילם עם כלים אחרים ויברך על הודאי ויכלול אלו בברכה</w:t>
      </w:r>
      <w:r>
        <w:rPr>
          <w:rFonts w:cs="Arial" w:hint="cs"/>
          <w:rtl/>
        </w:rPr>
        <w:t>"</w:t>
      </w:r>
      <w:r w:rsidRPr="00B32E94">
        <w:rPr>
          <w:rFonts w:cs="Arial"/>
          <w:rtl/>
        </w:rPr>
        <w:t xml:space="preserve"> עכ"ל</w:t>
      </w:r>
      <w:r>
        <w:rPr>
          <w:rFonts w:cs="Arial" w:hint="cs"/>
          <w:sz w:val="16"/>
          <w:szCs w:val="16"/>
          <w:rtl/>
        </w:rPr>
        <w:t xml:space="preserve"> {רש"י בתשו'}</w:t>
      </w:r>
      <w:r>
        <w:rPr>
          <w:rFonts w:cs="Arial" w:hint="cs"/>
          <w:rtl/>
        </w:rPr>
        <w:t>...</w:t>
      </w:r>
      <w:r w:rsidRPr="00B32E94">
        <w:rPr>
          <w:rFonts w:cs="Arial"/>
          <w:rtl/>
        </w:rPr>
        <w:t xml:space="preserve"> ונהגינן לטבול אף המחופין בזכוכית דנידן לחומרא ככלי מתכות.</w:t>
      </w:r>
      <w:r>
        <w:rPr>
          <w:rFonts w:cs="Arial" w:hint="cs"/>
          <w:rtl/>
        </w:rPr>
        <w:t xml:space="preserve"> עכ"ל האו"ה.</w:t>
      </w:r>
    </w:p>
  </w:footnote>
  <w:footnote w:id="2871">
    <w:p w14:paraId="07DD5179" w14:textId="77777777" w:rsidR="004C5A3C" w:rsidRDefault="004C5A3C" w:rsidP="002C39F4">
      <w:pPr>
        <w:pStyle w:val="a5"/>
      </w:pPr>
      <w:r>
        <w:rPr>
          <w:rStyle w:val="a7"/>
        </w:rPr>
        <w:footnoteRef/>
      </w:r>
      <w:r>
        <w:rPr>
          <w:rtl/>
        </w:rPr>
        <w:t xml:space="preserve"> </w:t>
      </w:r>
      <w:r w:rsidRPr="007F333A">
        <w:rPr>
          <w:rFonts w:cs="Arial"/>
          <w:rtl/>
        </w:rPr>
        <w:t>כגון כוסות וצלוחיות יורות וקומקומי' וכיוצא בהן שהן מצרכי הסעודה אבל שאר כלים כגון מספרים וכיוצא בהן שאינם צרכי סעודה או כלים שהן צרכי סעודה ואינם משל מיני מתכות לא</w:t>
      </w:r>
      <w:r>
        <w:rPr>
          <w:rFonts w:cs="Arial" w:hint="cs"/>
          <w:rtl/>
        </w:rPr>
        <w:t>, טור.</w:t>
      </w:r>
    </w:p>
  </w:footnote>
  <w:footnote w:id="2872">
    <w:p w14:paraId="508B4A73" w14:textId="77777777" w:rsidR="004C5A3C" w:rsidRDefault="004C5A3C" w:rsidP="002C39F4">
      <w:pPr>
        <w:pStyle w:val="a5"/>
      </w:pPr>
      <w:r>
        <w:rPr>
          <w:rStyle w:val="a7"/>
        </w:rPr>
        <w:footnoteRef/>
      </w:r>
      <w:r>
        <w:rPr>
          <w:rtl/>
        </w:rPr>
        <w:t xml:space="preserve"> </w:t>
      </w:r>
      <w:r w:rsidRPr="00E550E9">
        <w:rPr>
          <w:rFonts w:cs="Arial"/>
          <w:rtl/>
        </w:rPr>
        <w:t xml:space="preserve">וכתב האו"ה </w:t>
      </w:r>
      <w:r>
        <w:rPr>
          <w:rFonts w:cs="Arial" w:hint="cs"/>
          <w:rtl/>
        </w:rPr>
        <w:t>(</w:t>
      </w:r>
      <w:r w:rsidRPr="00E550E9">
        <w:rPr>
          <w:rFonts w:cs="Arial"/>
          <w:rtl/>
        </w:rPr>
        <w:t>כלל נח דין עט</w:t>
      </w:r>
      <w:r>
        <w:rPr>
          <w:rFonts w:cs="Arial" w:hint="cs"/>
          <w:rtl/>
        </w:rPr>
        <w:t>)</w:t>
      </w:r>
      <w:r w:rsidRPr="00E550E9">
        <w:rPr>
          <w:rFonts w:cs="Arial"/>
          <w:rtl/>
        </w:rPr>
        <w:t xml:space="preserve"> דהמצופים בזכוכית דינם כמצופים באבר</w:t>
      </w:r>
      <w:r>
        <w:rPr>
          <w:rFonts w:cs="Arial" w:hint="cs"/>
          <w:rtl/>
        </w:rPr>
        <w:t>, ש"ך (סק"ב).</w:t>
      </w:r>
    </w:p>
  </w:footnote>
  <w:footnote w:id="2873">
    <w:p w14:paraId="0AB40029" w14:textId="77777777" w:rsidR="004C5A3C" w:rsidRPr="0086315E" w:rsidRDefault="004C5A3C" w:rsidP="002C39F4">
      <w:pPr>
        <w:pStyle w:val="a5"/>
        <w:spacing w:after="60"/>
        <w:jc w:val="both"/>
        <w:rPr>
          <w:rFonts w:asciiTheme="minorBidi" w:hAnsiTheme="minorBidi"/>
        </w:rPr>
      </w:pPr>
      <w:r w:rsidRPr="0086315E">
        <w:rPr>
          <w:rStyle w:val="a7"/>
          <w:rFonts w:asciiTheme="minorBidi" w:hAnsiTheme="minorBidi"/>
        </w:rPr>
        <w:footnoteRef/>
      </w:r>
      <w:r w:rsidRPr="0086315E">
        <w:rPr>
          <w:rFonts w:asciiTheme="minorBidi" w:hAnsiTheme="minorBidi"/>
          <w:rtl/>
        </w:rPr>
        <w:t xml:space="preserve"> לפי שמשקה שעל ידיו מתחבר למי המקוה ואין כאן חציצה, ר"ש.</w:t>
      </w:r>
    </w:p>
  </w:footnote>
  <w:footnote w:id="2874">
    <w:p w14:paraId="3676EB54" w14:textId="77777777" w:rsidR="004C5A3C" w:rsidRPr="0086315E" w:rsidRDefault="004C5A3C" w:rsidP="002C39F4">
      <w:pPr>
        <w:pStyle w:val="a5"/>
        <w:spacing w:after="60"/>
        <w:jc w:val="both"/>
        <w:rPr>
          <w:rFonts w:asciiTheme="minorBidi" w:hAnsiTheme="minorBidi"/>
          <w:rtl/>
        </w:rPr>
      </w:pPr>
      <w:r w:rsidRPr="0086315E">
        <w:rPr>
          <w:rStyle w:val="a7"/>
          <w:rFonts w:asciiTheme="minorBidi" w:hAnsiTheme="minorBidi"/>
        </w:rPr>
        <w:footnoteRef/>
      </w:r>
      <w:r w:rsidRPr="0086315E">
        <w:rPr>
          <w:rFonts w:asciiTheme="minorBidi" w:hAnsiTheme="minorBidi"/>
          <w:rtl/>
        </w:rPr>
        <w:t xml:space="preserve"> </w:t>
      </w:r>
      <w:r>
        <w:rPr>
          <w:rFonts w:asciiTheme="minorBidi" w:hAnsiTheme="minorBidi" w:hint="cs"/>
          <w:rtl/>
        </w:rPr>
        <w:t>וכ' ה</w:t>
      </w:r>
      <w:r w:rsidRPr="0086315E">
        <w:rPr>
          <w:rFonts w:asciiTheme="minorBidi" w:hAnsiTheme="minorBidi"/>
          <w:rtl/>
        </w:rPr>
        <w:t xml:space="preserve">ש"ך </w:t>
      </w:r>
      <w:r>
        <w:rPr>
          <w:rFonts w:asciiTheme="minorBidi" w:hAnsiTheme="minorBidi" w:hint="cs"/>
          <w:rtl/>
        </w:rPr>
        <w:t>(</w:t>
      </w:r>
      <w:r w:rsidRPr="0086315E">
        <w:rPr>
          <w:rFonts w:asciiTheme="minorBidi" w:hAnsiTheme="minorBidi"/>
          <w:rtl/>
        </w:rPr>
        <w:t>סקל"ה</w:t>
      </w:r>
      <w:r>
        <w:rPr>
          <w:rFonts w:asciiTheme="minorBidi" w:hAnsiTheme="minorBidi" w:hint="cs"/>
          <w:rtl/>
        </w:rPr>
        <w:t>) דכן דעת בה"ג</w:t>
      </w:r>
      <w:r w:rsidRPr="0086315E">
        <w:rPr>
          <w:rFonts w:asciiTheme="minorBidi" w:hAnsiTheme="minorBidi"/>
          <w:rtl/>
        </w:rPr>
        <w:t xml:space="preserve"> </w:t>
      </w:r>
      <w:r>
        <w:rPr>
          <w:rFonts w:asciiTheme="minorBidi" w:hAnsiTheme="minorBidi" w:hint="cs"/>
          <w:rtl/>
        </w:rPr>
        <w:t>(</w:t>
      </w:r>
      <w:r w:rsidRPr="0086315E">
        <w:rPr>
          <w:rFonts w:asciiTheme="minorBidi" w:hAnsiTheme="minorBidi"/>
          <w:rtl/>
        </w:rPr>
        <w:t>מהא דגרס בלשון המשנה "רבי שמעון אומר עד שירפה וגו"</w:t>
      </w:r>
      <w:r>
        <w:rPr>
          <w:rFonts w:asciiTheme="minorBidi" w:hAnsiTheme="minorBidi" w:hint="cs"/>
          <w:rtl/>
        </w:rPr>
        <w:t>)</w:t>
      </w:r>
      <w:r w:rsidRPr="0086315E">
        <w:rPr>
          <w:rFonts w:asciiTheme="minorBidi" w:hAnsiTheme="minorBidi"/>
          <w:rtl/>
        </w:rPr>
        <w:t>.</w:t>
      </w:r>
    </w:p>
  </w:footnote>
  <w:footnote w:id="2875">
    <w:p w14:paraId="0B2EC578" w14:textId="77777777" w:rsidR="004C5A3C" w:rsidRPr="0086315E" w:rsidRDefault="004C5A3C" w:rsidP="002C39F4">
      <w:pPr>
        <w:pStyle w:val="a5"/>
        <w:spacing w:after="60"/>
        <w:jc w:val="both"/>
        <w:rPr>
          <w:rFonts w:asciiTheme="minorBidi" w:hAnsiTheme="minorBidi"/>
          <w:rtl/>
        </w:rPr>
      </w:pPr>
      <w:r w:rsidRPr="0086315E">
        <w:rPr>
          <w:rStyle w:val="a7"/>
          <w:rFonts w:asciiTheme="minorBidi" w:hAnsiTheme="minorBidi"/>
        </w:rPr>
        <w:footnoteRef/>
      </w:r>
      <w:r w:rsidRPr="0086315E">
        <w:rPr>
          <w:rFonts w:asciiTheme="minorBidi" w:hAnsiTheme="minorBidi"/>
          <w:rtl/>
        </w:rPr>
        <w:t xml:space="preserve"> ור' שמעון חולק וסובר שרק אם הדיח ואחז בידיים רפויות- אינו חוצץ, ואין הלכה כמותו, כן הוא לפירוש הרשב"א</w:t>
      </w:r>
      <w:r>
        <w:rPr>
          <w:rFonts w:asciiTheme="minorBidi" w:hAnsiTheme="minorBidi" w:hint="cs"/>
          <w:rtl/>
        </w:rPr>
        <w:t>.</w:t>
      </w:r>
    </w:p>
  </w:footnote>
  <w:footnote w:id="2876">
    <w:p w14:paraId="1C5A38CE" w14:textId="77777777" w:rsidR="004C5A3C" w:rsidRDefault="004C5A3C" w:rsidP="002C39F4">
      <w:pPr>
        <w:pStyle w:val="a5"/>
        <w:rPr>
          <w:rtl/>
        </w:rPr>
      </w:pPr>
      <w:r>
        <w:rPr>
          <w:rStyle w:val="a7"/>
        </w:rPr>
        <w:footnoteRef/>
      </w:r>
      <w:r>
        <w:rPr>
          <w:rtl/>
        </w:rPr>
        <w:t xml:space="preserve"> </w:t>
      </w:r>
      <w:r>
        <w:rPr>
          <w:rFonts w:hint="cs"/>
          <w:rtl/>
        </w:rPr>
        <w:t>וכעין זה אסר ה</w:t>
      </w:r>
      <w:r>
        <w:rPr>
          <w:rtl/>
        </w:rPr>
        <w:t>או"ה</w:t>
      </w:r>
      <w:r w:rsidRPr="0089728F">
        <w:rPr>
          <w:rtl/>
        </w:rPr>
        <w:t xml:space="preserve"> </w:t>
      </w:r>
      <w:r w:rsidRPr="00015121">
        <w:rPr>
          <w:rFonts w:hint="cs"/>
          <w:sz w:val="16"/>
          <w:szCs w:val="16"/>
          <w:rtl/>
        </w:rPr>
        <w:t>(</w:t>
      </w:r>
      <w:r w:rsidRPr="00015121">
        <w:rPr>
          <w:sz w:val="16"/>
          <w:szCs w:val="16"/>
          <w:rtl/>
        </w:rPr>
        <w:t>כלל נח דין ק)</w:t>
      </w:r>
      <w:r w:rsidRPr="0089728F">
        <w:rPr>
          <w:rtl/>
        </w:rPr>
        <w:t xml:space="preserve"> לנעוץ סכינים תוך הדלי ו</w:t>
      </w:r>
      <w:r>
        <w:rPr>
          <w:rFonts w:hint="cs"/>
          <w:rtl/>
        </w:rPr>
        <w:t>לה</w:t>
      </w:r>
      <w:r w:rsidRPr="0089728F">
        <w:rPr>
          <w:rtl/>
        </w:rPr>
        <w:t>טבילם</w:t>
      </w:r>
      <w:r>
        <w:rPr>
          <w:rFonts w:hint="cs"/>
          <w:rtl/>
        </w:rPr>
        <w:t>, דהוי חציצה,</w:t>
      </w:r>
      <w:r w:rsidRPr="0089728F">
        <w:rPr>
          <w:rtl/>
        </w:rPr>
        <w:t xml:space="preserve"> אלא יקשרם בחוט רפוי ויטבילם.</w:t>
      </w:r>
    </w:p>
  </w:footnote>
  <w:footnote w:id="2877">
    <w:p w14:paraId="4C41F0C1" w14:textId="77777777" w:rsidR="004C5A3C" w:rsidRDefault="004C5A3C" w:rsidP="002C39F4">
      <w:pPr>
        <w:pStyle w:val="a5"/>
        <w:rPr>
          <w:rtl/>
        </w:rPr>
      </w:pPr>
      <w:r>
        <w:rPr>
          <w:rStyle w:val="a7"/>
        </w:rPr>
        <w:footnoteRef/>
      </w:r>
      <w:r>
        <w:rPr>
          <w:rtl/>
        </w:rPr>
        <w:t xml:space="preserve"> </w:t>
      </w:r>
      <w:r>
        <w:rPr>
          <w:rFonts w:hint="cs"/>
          <w:rtl/>
        </w:rPr>
        <w:t xml:space="preserve">וכ' הדרכ"מ </w:t>
      </w:r>
      <w:r w:rsidRPr="00E526DC">
        <w:rPr>
          <w:rFonts w:hint="cs"/>
          <w:sz w:val="16"/>
          <w:szCs w:val="16"/>
          <w:rtl/>
        </w:rPr>
        <w:t xml:space="preserve">(אות ב) </w:t>
      </w:r>
      <w:r>
        <w:rPr>
          <w:rFonts w:hint="cs"/>
          <w:rtl/>
        </w:rPr>
        <w:t>ד</w:t>
      </w:r>
      <w:r w:rsidRPr="0089728F">
        <w:rPr>
          <w:rtl/>
        </w:rPr>
        <w:t xml:space="preserve">משמע </w:t>
      </w:r>
      <w:r>
        <w:rPr>
          <w:rFonts w:hint="cs"/>
          <w:rtl/>
        </w:rPr>
        <w:t>מדבריו ד</w:t>
      </w:r>
      <w:r w:rsidRPr="0089728F">
        <w:rPr>
          <w:rtl/>
        </w:rPr>
        <w:t>הא דמהני אם ליחלח ידו במים היינו דוקא במי מקוה אבל במים התלושין לא.</w:t>
      </w:r>
      <w:r>
        <w:rPr>
          <w:rFonts w:hint="cs"/>
          <w:rtl/>
        </w:rPr>
        <w:t xml:space="preserve"> </w:t>
      </w:r>
      <w:r w:rsidRPr="00E526DC">
        <w:rPr>
          <w:rFonts w:hint="cs"/>
          <w:color w:val="00B0F0"/>
          <w:rtl/>
        </w:rPr>
        <w:t>(וכ"פ בהגה)</w:t>
      </w:r>
    </w:p>
  </w:footnote>
  <w:footnote w:id="2878">
    <w:p w14:paraId="18BE059D" w14:textId="77777777" w:rsidR="004C5A3C" w:rsidRDefault="004C5A3C" w:rsidP="002C39F4">
      <w:pPr>
        <w:pStyle w:val="a5"/>
      </w:pPr>
      <w:r>
        <w:rPr>
          <w:rStyle w:val="a7"/>
        </w:rPr>
        <w:footnoteRef/>
      </w:r>
      <w:r>
        <w:rPr>
          <w:rtl/>
        </w:rPr>
        <w:t xml:space="preserve"> </w:t>
      </w:r>
      <w:r>
        <w:rPr>
          <w:rFonts w:hint="cs"/>
          <w:rtl/>
        </w:rPr>
        <w:t>והט"ז (סק"ד) חולק על זה וסבירא ליה דאפילו במים תלשוים מהני, אלא צריך שלא יאחז הכלי בכח רק בדיבוק בינוני, ע"ש.</w:t>
      </w:r>
    </w:p>
  </w:footnote>
  <w:footnote w:id="2879">
    <w:p w14:paraId="4CEA2848" w14:textId="77777777" w:rsidR="004C5A3C" w:rsidRDefault="004C5A3C" w:rsidP="002C39F4">
      <w:pPr>
        <w:pStyle w:val="a5"/>
      </w:pPr>
      <w:r>
        <w:rPr>
          <w:rStyle w:val="a7"/>
        </w:rPr>
        <w:footnoteRef/>
      </w:r>
      <w:r>
        <w:rPr>
          <w:rtl/>
        </w:rPr>
        <w:t xml:space="preserve"> </w:t>
      </w:r>
      <w:r>
        <w:rPr>
          <w:rFonts w:hint="cs"/>
          <w:rtl/>
        </w:rPr>
        <w:t>אמנם בהגהות שבסוף או</w:t>
      </w:r>
      <w:r>
        <w:rPr>
          <w:rtl/>
        </w:rPr>
        <w:t>"</w:t>
      </w:r>
      <w:r>
        <w:rPr>
          <w:rFonts w:hint="cs"/>
          <w:rtl/>
        </w:rPr>
        <w:t xml:space="preserve">ה </w:t>
      </w:r>
      <w:r w:rsidRPr="00882F98">
        <w:rPr>
          <w:rFonts w:hint="cs"/>
          <w:sz w:val="16"/>
          <w:szCs w:val="16"/>
          <w:rtl/>
        </w:rPr>
        <w:t>(סוף שער נח ד"ה שיש לברך</w:t>
      </w:r>
      <w:r>
        <w:rPr>
          <w:rFonts w:hint="cs"/>
          <w:sz w:val="16"/>
          <w:szCs w:val="16"/>
          <w:rtl/>
        </w:rPr>
        <w:t>, הביאו הט"ז [סק"ה] ג"כ</w:t>
      </w:r>
      <w:r w:rsidRPr="00882F98">
        <w:rPr>
          <w:rFonts w:hint="cs"/>
          <w:sz w:val="16"/>
          <w:szCs w:val="16"/>
          <w:rtl/>
        </w:rPr>
        <w:t xml:space="preserve">) </w:t>
      </w:r>
      <w:r>
        <w:rPr>
          <w:rFonts w:hint="cs"/>
          <w:rtl/>
        </w:rPr>
        <w:t xml:space="preserve">כתוב- </w:t>
      </w:r>
      <w:r w:rsidRPr="00882F98">
        <w:rPr>
          <w:rFonts w:cs="Arial"/>
          <w:rtl/>
        </w:rPr>
        <w:t xml:space="preserve">מהר"ז רונקיל השיב שאין להזכיר כלי אלא מברכין סתם </w:t>
      </w:r>
      <w:r>
        <w:rPr>
          <w:rFonts w:cs="Arial" w:hint="cs"/>
          <w:rtl/>
        </w:rPr>
        <w:t>'</w:t>
      </w:r>
      <w:r w:rsidRPr="00882F98">
        <w:rPr>
          <w:rFonts w:cs="Arial"/>
          <w:rtl/>
        </w:rPr>
        <w:t>להטביל</w:t>
      </w:r>
      <w:r>
        <w:rPr>
          <w:rFonts w:cs="Arial" w:hint="cs"/>
          <w:rtl/>
        </w:rPr>
        <w:t>'.</w:t>
      </w:r>
    </w:p>
  </w:footnote>
  <w:footnote w:id="2880">
    <w:p w14:paraId="4E18409A" w14:textId="77777777" w:rsidR="004C5A3C" w:rsidRDefault="004C5A3C" w:rsidP="002C39F4">
      <w:pPr>
        <w:pStyle w:val="a5"/>
      </w:pPr>
      <w:r>
        <w:rPr>
          <w:rStyle w:val="a7"/>
        </w:rPr>
        <w:footnoteRef/>
      </w:r>
      <w:r>
        <w:rPr>
          <w:rtl/>
        </w:rPr>
        <w:t xml:space="preserve"> </w:t>
      </w:r>
      <w:r w:rsidRPr="00002062">
        <w:rPr>
          <w:rFonts w:cs="Arial"/>
          <w:rtl/>
        </w:rPr>
        <w:t>שלא יהא במשמע שאר כלים שאינן חייבים בטבילה</w:t>
      </w:r>
      <w:r>
        <w:rPr>
          <w:rFonts w:cs="Arial" w:hint="cs"/>
          <w:rtl/>
        </w:rPr>
        <w:t>,</w:t>
      </w:r>
      <w:r w:rsidRPr="00002062">
        <w:rPr>
          <w:rFonts w:cs="Arial"/>
          <w:rtl/>
        </w:rPr>
        <w:t xml:space="preserve"> עכ"ל המרדכי </w:t>
      </w:r>
      <w:r>
        <w:rPr>
          <w:rFonts w:cs="Arial" w:hint="cs"/>
          <w:rtl/>
        </w:rPr>
        <w:t>(</w:t>
      </w:r>
      <w:r w:rsidRPr="00002062">
        <w:rPr>
          <w:rFonts w:cs="Arial"/>
          <w:rtl/>
        </w:rPr>
        <w:t>שם</w:t>
      </w:r>
      <w:r>
        <w:rPr>
          <w:rFonts w:cs="Arial" w:hint="cs"/>
          <w:rtl/>
        </w:rPr>
        <w:t>, הביאו הדרכ"מ [אות ג]</w:t>
      </w:r>
      <w:r w:rsidRPr="00002062">
        <w:rPr>
          <w:rFonts w:cs="Arial"/>
          <w:rtl/>
        </w:rPr>
        <w:t>)</w:t>
      </w:r>
      <w:r>
        <w:rPr>
          <w:rFonts w:cs="Arial" w:hint="cs"/>
          <w:rtl/>
        </w:rPr>
        <w:t>.</w:t>
      </w:r>
    </w:p>
  </w:footnote>
  <w:footnote w:id="2881">
    <w:p w14:paraId="137323BF" w14:textId="77777777" w:rsidR="004C5A3C" w:rsidRDefault="004C5A3C" w:rsidP="002C39F4">
      <w:pPr>
        <w:pStyle w:val="a5"/>
        <w:rPr>
          <w:rtl/>
        </w:rPr>
      </w:pPr>
      <w:r>
        <w:rPr>
          <w:rStyle w:val="a7"/>
        </w:rPr>
        <w:footnoteRef/>
      </w:r>
      <w:r>
        <w:rPr>
          <w:rtl/>
        </w:rPr>
        <w:t xml:space="preserve"> </w:t>
      </w:r>
      <w:r>
        <w:rPr>
          <w:rFonts w:hint="cs"/>
          <w:rtl/>
        </w:rPr>
        <w:t>ובדיעבד אם בירך על כלים הרבה 'על טבילת כלי' או שבירך על כלי אחד 'על טבילת כלים' יצא, ע"פ פר"ח (סקי"א).</w:t>
      </w:r>
    </w:p>
  </w:footnote>
  <w:footnote w:id="2882">
    <w:p w14:paraId="432F1B05" w14:textId="77777777" w:rsidR="004C5A3C" w:rsidRDefault="004C5A3C" w:rsidP="002C39F4">
      <w:pPr>
        <w:pStyle w:val="a5"/>
        <w:rPr>
          <w:rtl/>
        </w:rPr>
      </w:pPr>
      <w:r>
        <w:rPr>
          <w:rStyle w:val="a7"/>
        </w:rPr>
        <w:footnoteRef/>
      </w:r>
      <w:r>
        <w:rPr>
          <w:rtl/>
        </w:rPr>
        <w:t xml:space="preserve"> </w:t>
      </w:r>
      <w:r w:rsidRPr="00002062">
        <w:rPr>
          <w:rFonts w:cs="Arial"/>
          <w:rtl/>
        </w:rPr>
        <w:t>דאע</w:t>
      </w:r>
      <w:r>
        <w:rPr>
          <w:rFonts w:cs="Arial" w:hint="cs"/>
          <w:rtl/>
        </w:rPr>
        <w:t>"</w:t>
      </w:r>
      <w:r w:rsidRPr="00002062">
        <w:rPr>
          <w:rFonts w:cs="Arial"/>
          <w:rtl/>
        </w:rPr>
        <w:t>ג ששופתין עליה קדרה של מאכל כיון שאין נותנים עליו המאכל עצמו אינו צריך טבילה</w:t>
      </w:r>
      <w:r>
        <w:rPr>
          <w:rFonts w:hint="cs"/>
          <w:rtl/>
        </w:rPr>
        <w:t>, ר"פ (שם).</w:t>
      </w:r>
    </w:p>
  </w:footnote>
  <w:footnote w:id="2883">
    <w:p w14:paraId="012C7758" w14:textId="77777777" w:rsidR="004C5A3C" w:rsidRPr="00AB2BF3" w:rsidRDefault="004C5A3C" w:rsidP="002C39F4">
      <w:pPr>
        <w:pStyle w:val="a5"/>
        <w:rPr>
          <w:rtl/>
        </w:rPr>
      </w:pPr>
      <w:r w:rsidRPr="00AB2BF3">
        <w:rPr>
          <w:rStyle w:val="a7"/>
        </w:rPr>
        <w:footnoteRef/>
      </w:r>
      <w:r w:rsidRPr="00AB2BF3">
        <w:rPr>
          <w:rtl/>
        </w:rPr>
        <w:t xml:space="preserve"> </w:t>
      </w:r>
      <w:r w:rsidRPr="00AB2BF3">
        <w:rPr>
          <w:rFonts w:cs="Arial" w:hint="cs"/>
          <w:rtl/>
        </w:rPr>
        <w:t xml:space="preserve">ר"פ </w:t>
      </w:r>
      <w:r>
        <w:rPr>
          <w:rFonts w:cs="Arial" w:hint="cs"/>
          <w:rtl/>
        </w:rPr>
        <w:t>(</w:t>
      </w:r>
      <w:r w:rsidRPr="00AB2BF3">
        <w:rPr>
          <w:rFonts w:cs="Arial"/>
          <w:rtl/>
        </w:rPr>
        <w:t>בהגה</w:t>
      </w:r>
      <w:r w:rsidRPr="00AB2BF3">
        <w:rPr>
          <w:rFonts w:cs="Arial" w:hint="cs"/>
          <w:rtl/>
        </w:rPr>
        <w:t>' סמ"ק</w:t>
      </w:r>
      <w:r w:rsidRPr="00AB2BF3">
        <w:rPr>
          <w:rFonts w:cs="Arial"/>
          <w:rtl/>
        </w:rPr>
        <w:t xml:space="preserve"> סי' קצט אות א</w:t>
      </w:r>
      <w:r>
        <w:rPr>
          <w:rFonts w:cs="Arial" w:hint="cs"/>
          <w:rtl/>
        </w:rPr>
        <w:t>)</w:t>
      </w:r>
      <w:r w:rsidRPr="00AB2BF3">
        <w:rPr>
          <w:rFonts w:cs="Arial" w:hint="cs"/>
          <w:rtl/>
        </w:rPr>
        <w:t xml:space="preserve">, וכן הוא בהגה"מ </w:t>
      </w:r>
      <w:r>
        <w:rPr>
          <w:rFonts w:cs="Arial" w:hint="cs"/>
          <w:rtl/>
        </w:rPr>
        <w:t>(</w:t>
      </w:r>
      <w:r w:rsidRPr="00AB2BF3">
        <w:rPr>
          <w:rFonts w:cs="Arial" w:hint="cs"/>
          <w:rtl/>
        </w:rPr>
        <w:t>פי"ז ד"ק ה"ג</w:t>
      </w:r>
      <w:r>
        <w:rPr>
          <w:rFonts w:cs="Arial" w:hint="cs"/>
          <w:rtl/>
        </w:rPr>
        <w:t>)</w:t>
      </w:r>
      <w:r w:rsidRPr="00AB2BF3">
        <w:rPr>
          <w:rFonts w:cs="Arial" w:hint="cs"/>
          <w:rtl/>
        </w:rPr>
        <w:t xml:space="preserve"> ובהג"א </w:t>
      </w:r>
      <w:r>
        <w:rPr>
          <w:rFonts w:cs="Arial" w:hint="cs"/>
          <w:rtl/>
        </w:rPr>
        <w:t>(</w:t>
      </w:r>
      <w:r w:rsidRPr="00AB2BF3">
        <w:rPr>
          <w:rFonts w:cs="Arial" w:hint="cs"/>
          <w:rtl/>
        </w:rPr>
        <w:t>ע"ז פ"ה סי' לה</w:t>
      </w:r>
      <w:r>
        <w:rPr>
          <w:rFonts w:cs="Arial" w:hint="cs"/>
          <w:rtl/>
        </w:rPr>
        <w:t>)</w:t>
      </w:r>
      <w:r w:rsidRPr="00AB2BF3">
        <w:rPr>
          <w:rFonts w:hint="cs"/>
          <w:rtl/>
        </w:rPr>
        <w:t>.</w:t>
      </w:r>
    </w:p>
  </w:footnote>
  <w:footnote w:id="2884">
    <w:p w14:paraId="21EB2D5B" w14:textId="77777777" w:rsidR="004C5A3C" w:rsidRDefault="004C5A3C" w:rsidP="002C39F4">
      <w:pPr>
        <w:pStyle w:val="a5"/>
        <w:rPr>
          <w:rtl/>
        </w:rPr>
      </w:pPr>
      <w:r>
        <w:rPr>
          <w:rStyle w:val="a7"/>
        </w:rPr>
        <w:footnoteRef/>
      </w:r>
      <w:r>
        <w:rPr>
          <w:rtl/>
        </w:rPr>
        <w:t xml:space="preserve"> </w:t>
      </w:r>
      <w:r w:rsidRPr="0080341F">
        <w:rPr>
          <w:rFonts w:cs="Arial"/>
          <w:rtl/>
        </w:rPr>
        <w:t>דלאו כלי סעודה הוא</w:t>
      </w:r>
      <w:r>
        <w:rPr>
          <w:rFonts w:cs="Arial" w:hint="cs"/>
          <w:rtl/>
        </w:rPr>
        <w:t>,</w:t>
      </w:r>
      <w:r w:rsidRPr="0080341F">
        <w:rPr>
          <w:rFonts w:cs="Arial"/>
          <w:rtl/>
        </w:rPr>
        <w:t xml:space="preserve"> דהא אפילו צונן היה אסור לחתוך בו אם לא בהדחה</w:t>
      </w:r>
      <w:r>
        <w:rPr>
          <w:rFonts w:cs="Arial" w:hint="cs"/>
          <w:rtl/>
        </w:rPr>
        <w:t>,</w:t>
      </w:r>
      <w:r w:rsidRPr="0080341F">
        <w:rPr>
          <w:rFonts w:cs="Arial"/>
          <w:rtl/>
        </w:rPr>
        <w:t xml:space="preserve"> וגם הבשר צריך עדיין בישול או צלייה</w:t>
      </w:r>
      <w:r>
        <w:rPr>
          <w:rFonts w:hint="cs"/>
          <w:rtl/>
        </w:rPr>
        <w:t>, או</w:t>
      </w:r>
      <w:r>
        <w:rPr>
          <w:rtl/>
        </w:rPr>
        <w:t>"</w:t>
      </w:r>
      <w:r>
        <w:rPr>
          <w:rFonts w:hint="cs"/>
          <w:rtl/>
        </w:rPr>
        <w:t>ה.</w:t>
      </w:r>
    </w:p>
  </w:footnote>
  <w:footnote w:id="2885">
    <w:p w14:paraId="5637D35A" w14:textId="77777777" w:rsidR="004C5A3C" w:rsidRDefault="004C5A3C" w:rsidP="002C39F4">
      <w:pPr>
        <w:pStyle w:val="a5"/>
      </w:pPr>
      <w:r>
        <w:rPr>
          <w:rStyle w:val="a7"/>
        </w:rPr>
        <w:footnoteRef/>
      </w:r>
      <w:r>
        <w:rPr>
          <w:rtl/>
        </w:rPr>
        <w:t xml:space="preserve"> </w:t>
      </w:r>
      <w:r w:rsidRPr="00385772">
        <w:rPr>
          <w:rFonts w:cs="Arial"/>
          <w:rtl/>
        </w:rPr>
        <w:t>אף הנגעלים והמלובנים</w:t>
      </w:r>
      <w:r>
        <w:rPr>
          <w:rFonts w:cs="Arial" w:hint="cs"/>
          <w:rtl/>
        </w:rPr>
        <w:t>, רש"י</w:t>
      </w:r>
      <w:r w:rsidRPr="00385772">
        <w:rPr>
          <w:rFonts w:cs="Arial"/>
          <w:rtl/>
        </w:rPr>
        <w:t>.</w:t>
      </w:r>
    </w:p>
  </w:footnote>
  <w:footnote w:id="2886">
    <w:p w14:paraId="36B3FA20" w14:textId="77777777" w:rsidR="004C5A3C" w:rsidRDefault="004C5A3C" w:rsidP="002C39F4">
      <w:pPr>
        <w:pStyle w:val="a5"/>
      </w:pPr>
      <w:r>
        <w:rPr>
          <w:rStyle w:val="a7"/>
        </w:rPr>
        <w:footnoteRef/>
      </w:r>
      <w:r>
        <w:rPr>
          <w:rtl/>
        </w:rPr>
        <w:t xml:space="preserve"> </w:t>
      </w:r>
      <w:r w:rsidRPr="00385772">
        <w:rPr>
          <w:rFonts w:cs="Arial"/>
          <w:rtl/>
        </w:rPr>
        <w:t>מספרים שגוזזים בהן בגדי צמר הואיל וגזירת הכתוב היא ולא משום פילוט איסור דהא חדשים ולא בלעי מידי מצרכת לה טבילה</w:t>
      </w:r>
      <w:r>
        <w:rPr>
          <w:rFonts w:cs="Arial" w:hint="cs"/>
          <w:rtl/>
        </w:rPr>
        <w:t>, רש"י</w:t>
      </w:r>
      <w:r w:rsidRPr="00385772">
        <w:rPr>
          <w:rFonts w:cs="Arial"/>
          <w:rtl/>
        </w:rPr>
        <w:t>.</w:t>
      </w:r>
    </w:p>
  </w:footnote>
  <w:footnote w:id="2887">
    <w:p w14:paraId="318F784A" w14:textId="77777777" w:rsidR="004C5A3C" w:rsidRDefault="004C5A3C" w:rsidP="002C39F4">
      <w:pPr>
        <w:pStyle w:val="a5"/>
      </w:pPr>
      <w:r>
        <w:rPr>
          <w:rStyle w:val="a7"/>
        </w:rPr>
        <w:footnoteRef/>
      </w:r>
      <w:r>
        <w:rPr>
          <w:rtl/>
        </w:rPr>
        <w:t xml:space="preserve"> </w:t>
      </w:r>
      <w:r>
        <w:rPr>
          <w:rFonts w:hint="cs"/>
          <w:rtl/>
        </w:rPr>
        <w:t xml:space="preserve">ומכאן כ' הטור </w:t>
      </w:r>
      <w:r>
        <w:rPr>
          <w:rFonts w:cs="Arial" w:hint="cs"/>
          <w:rtl/>
        </w:rPr>
        <w:t>ד</w:t>
      </w:r>
      <w:r w:rsidRPr="007F333A">
        <w:rPr>
          <w:rFonts w:cs="Arial"/>
          <w:rtl/>
        </w:rPr>
        <w:t>אין צריך טבילה אלא לכלי</w:t>
      </w:r>
      <w:r>
        <w:rPr>
          <w:rFonts w:cs="Arial" w:hint="cs"/>
          <w:rtl/>
        </w:rPr>
        <w:t>ם</w:t>
      </w:r>
      <w:r w:rsidRPr="007F333A">
        <w:rPr>
          <w:rFonts w:cs="Arial"/>
          <w:rtl/>
        </w:rPr>
        <w:t xml:space="preserve"> </w:t>
      </w:r>
      <w:r>
        <w:rPr>
          <w:rFonts w:cs="Arial" w:hint="cs"/>
          <w:rtl/>
        </w:rPr>
        <w:t>ש</w:t>
      </w:r>
      <w:r w:rsidRPr="007F333A">
        <w:rPr>
          <w:rFonts w:cs="Arial"/>
          <w:rtl/>
        </w:rPr>
        <w:t>הן צרכי הסעודה כגון כוסות וצלוחיות יורות וקומקומי' וכיוצא בהן שהן מצרכי הסעודה אבל שאר כלים כגון מספרים וכיוצא בהן שאינם צרכי סעודה לא</w:t>
      </w:r>
      <w:r>
        <w:rPr>
          <w:rFonts w:cs="Arial" w:hint="cs"/>
          <w:rtl/>
        </w:rPr>
        <w:t xml:space="preserve"> טעונים טבילה. וכ' הב"י </w:t>
      </w:r>
      <w:r>
        <w:rPr>
          <w:rFonts w:cs="Arial"/>
          <w:rtl/>
        </w:rPr>
        <w:t>טעמא דכלי סעודה אמורין בפרשת כלי מדין</w:t>
      </w:r>
      <w:r>
        <w:rPr>
          <w:rFonts w:cs="Arial" w:hint="cs"/>
          <w:rtl/>
        </w:rPr>
        <w:t>,</w:t>
      </w:r>
      <w:r>
        <w:rPr>
          <w:rFonts w:cs="Arial"/>
          <w:rtl/>
        </w:rPr>
        <w:t xml:space="preserve"> דכתיב (שם לא כג) כל דבר אשר יבא באש ואין דרך להשתמש באש אלא כלים של צרכי סעודה</w:t>
      </w:r>
      <w:r>
        <w:rPr>
          <w:rFonts w:hint="cs"/>
          <w:rtl/>
        </w:rPr>
        <w:t>.</w:t>
      </w:r>
    </w:p>
  </w:footnote>
  <w:footnote w:id="2888">
    <w:p w14:paraId="6806807A" w14:textId="77777777" w:rsidR="004C5A3C" w:rsidRDefault="004C5A3C" w:rsidP="002C39F4">
      <w:pPr>
        <w:pStyle w:val="a5"/>
      </w:pPr>
      <w:r>
        <w:rPr>
          <w:rStyle w:val="a7"/>
        </w:rPr>
        <w:footnoteRef/>
      </w:r>
      <w:r>
        <w:rPr>
          <w:rtl/>
        </w:rPr>
        <w:t xml:space="preserve"> </w:t>
      </w:r>
      <w:r>
        <w:rPr>
          <w:rFonts w:hint="cs"/>
          <w:rtl/>
        </w:rPr>
        <w:t xml:space="preserve">וכ' </w:t>
      </w:r>
      <w:r>
        <w:rPr>
          <w:rFonts w:cs="Arial" w:hint="cs"/>
          <w:rtl/>
        </w:rPr>
        <w:t>דה"ה ל</w:t>
      </w:r>
      <w:r w:rsidRPr="005154CF">
        <w:rPr>
          <w:rFonts w:cs="Arial"/>
          <w:rtl/>
        </w:rPr>
        <w:t xml:space="preserve">מקדח שמנקבים בו ברזות החביות </w:t>
      </w:r>
      <w:r>
        <w:rPr>
          <w:rFonts w:cs="Arial" w:hint="cs"/>
          <w:rtl/>
        </w:rPr>
        <w:t>ד</w:t>
      </w:r>
      <w:r w:rsidRPr="005154CF">
        <w:rPr>
          <w:rFonts w:cs="Arial"/>
          <w:rtl/>
        </w:rPr>
        <w:t>א</w:t>
      </w:r>
      <w:r>
        <w:rPr>
          <w:rFonts w:cs="Arial" w:hint="cs"/>
          <w:rtl/>
        </w:rPr>
        <w:t>"</w:t>
      </w:r>
      <w:r w:rsidRPr="005154CF">
        <w:rPr>
          <w:rFonts w:cs="Arial"/>
          <w:rtl/>
        </w:rPr>
        <w:t>צ טבילה</w:t>
      </w:r>
      <w:r>
        <w:rPr>
          <w:rFonts w:cs="Arial" w:hint="cs"/>
          <w:rtl/>
        </w:rPr>
        <w:t>,</w:t>
      </w:r>
      <w:r w:rsidRPr="005154CF">
        <w:rPr>
          <w:rFonts w:cs="Arial"/>
          <w:rtl/>
        </w:rPr>
        <w:t xml:space="preserve"> וכן נוהגים</w:t>
      </w:r>
      <w:r>
        <w:rPr>
          <w:rFonts w:cs="Arial" w:hint="cs"/>
          <w:rtl/>
        </w:rPr>
        <w:t>,</w:t>
      </w:r>
      <w:r w:rsidRPr="005154CF">
        <w:rPr>
          <w:rFonts w:cs="Arial"/>
          <w:rtl/>
        </w:rPr>
        <w:t xml:space="preserve"> ודלא כמהרי"ל </w:t>
      </w:r>
      <w:r>
        <w:rPr>
          <w:rFonts w:cs="Arial" w:hint="cs"/>
          <w:rtl/>
        </w:rPr>
        <w:t>(</w:t>
      </w:r>
      <w:r w:rsidRPr="005154CF">
        <w:rPr>
          <w:rFonts w:cs="Arial"/>
          <w:rtl/>
        </w:rPr>
        <w:t>סוף הל</w:t>
      </w:r>
      <w:r>
        <w:rPr>
          <w:rFonts w:cs="Arial" w:hint="cs"/>
          <w:rtl/>
        </w:rPr>
        <w:t>'</w:t>
      </w:r>
      <w:r w:rsidRPr="005154CF">
        <w:rPr>
          <w:rFonts w:cs="Arial"/>
          <w:rtl/>
        </w:rPr>
        <w:t xml:space="preserve"> טבילה</w:t>
      </w:r>
      <w:r>
        <w:rPr>
          <w:rFonts w:cs="Arial" w:hint="cs"/>
          <w:rtl/>
        </w:rPr>
        <w:t>)</w:t>
      </w:r>
      <w:r w:rsidRPr="005154CF">
        <w:rPr>
          <w:rFonts w:cs="Arial"/>
          <w:rtl/>
        </w:rPr>
        <w:t xml:space="preserve"> שכ</w:t>
      </w:r>
      <w:r>
        <w:rPr>
          <w:rFonts w:cs="Arial" w:hint="cs"/>
          <w:rtl/>
        </w:rPr>
        <w:t>'</w:t>
      </w:r>
      <w:r w:rsidRPr="005154CF">
        <w:rPr>
          <w:rFonts w:cs="Arial"/>
          <w:rtl/>
        </w:rPr>
        <w:t xml:space="preserve"> שצריכין טבילה</w:t>
      </w:r>
      <w:r>
        <w:rPr>
          <w:rFonts w:cs="Arial" w:hint="cs"/>
          <w:rtl/>
        </w:rPr>
        <w:t>.</w:t>
      </w:r>
      <w:r w:rsidRPr="005154CF">
        <w:rPr>
          <w:rFonts w:cs="Arial"/>
          <w:rtl/>
        </w:rPr>
        <w:t xml:space="preserve"> </w:t>
      </w:r>
    </w:p>
  </w:footnote>
  <w:footnote w:id="2889">
    <w:p w14:paraId="5C7BC11A" w14:textId="77777777" w:rsidR="004C5A3C" w:rsidRDefault="004C5A3C" w:rsidP="002C39F4">
      <w:pPr>
        <w:pStyle w:val="a5"/>
      </w:pPr>
      <w:r>
        <w:rPr>
          <w:rStyle w:val="a7"/>
        </w:rPr>
        <w:footnoteRef/>
      </w:r>
      <w:r>
        <w:rPr>
          <w:rtl/>
        </w:rPr>
        <w:t xml:space="preserve"> </w:t>
      </w:r>
      <w:r w:rsidRPr="00B27A10">
        <w:rPr>
          <w:rFonts w:cs="Arial"/>
          <w:rtl/>
        </w:rPr>
        <w:t xml:space="preserve">קשה דבאו"ה </w:t>
      </w:r>
      <w:r>
        <w:rPr>
          <w:rFonts w:cs="Arial" w:hint="cs"/>
          <w:rtl/>
        </w:rPr>
        <w:t>(</w:t>
      </w:r>
      <w:r w:rsidRPr="00B27A10">
        <w:rPr>
          <w:rFonts w:cs="Arial"/>
          <w:rtl/>
        </w:rPr>
        <w:t>כלל נח ד</w:t>
      </w:r>
      <w:r>
        <w:rPr>
          <w:rFonts w:cs="Arial" w:hint="cs"/>
          <w:rtl/>
        </w:rPr>
        <w:t>"</w:t>
      </w:r>
      <w:r w:rsidRPr="00B27A10">
        <w:rPr>
          <w:rFonts w:cs="Arial"/>
          <w:rtl/>
        </w:rPr>
        <w:t>ב</w:t>
      </w:r>
      <w:r>
        <w:rPr>
          <w:rFonts w:cs="Arial" w:hint="cs"/>
          <w:rtl/>
        </w:rPr>
        <w:t>)</w:t>
      </w:r>
      <w:r w:rsidRPr="00B27A10">
        <w:rPr>
          <w:rFonts w:cs="Arial"/>
          <w:rtl/>
        </w:rPr>
        <w:t xml:space="preserve"> דימה הברזלים לסכין של שחיטה שמפשיטין בו דא"צ טבילה דכיון דהדבר שמתקנים אותו צריך עדיין תיקון אחר וא"כ כיון דכתב הרב דבסכין של שחיטה יש לטבול בלא ברכה ה"ה הברזלים</w:t>
      </w:r>
      <w:r>
        <w:rPr>
          <w:rFonts w:cs="Arial" w:hint="cs"/>
          <w:rtl/>
        </w:rPr>
        <w:t>,</w:t>
      </w:r>
      <w:r w:rsidRPr="00B27A10">
        <w:rPr>
          <w:rFonts w:cs="Arial"/>
          <w:rtl/>
        </w:rPr>
        <w:t xml:space="preserve"> ונראה דס"ל להרב דהברזלים גרעי טפי שא"א לשמשן למאכל אחר משא"כ סכין של שחיטה שאפשר לשמשו למאכל אחר וכ"כ בגליון או"ה שם דהמחטים שתופרי' בם העופו' אין נידון כסכין של שחיטה וסכין שמפשיטין בו הואיל וא"א לשמשן למאכל אחר ע"כ</w:t>
      </w:r>
      <w:r>
        <w:rPr>
          <w:rFonts w:cs="Arial" w:hint="cs"/>
          <w:rtl/>
        </w:rPr>
        <w:t>, ש"ך (סקי"א).</w:t>
      </w:r>
      <w:r w:rsidRPr="00B27A10">
        <w:rPr>
          <w:rFonts w:cs="Arial"/>
          <w:rtl/>
        </w:rPr>
        <w:t xml:space="preserve"> </w:t>
      </w:r>
      <w:r>
        <w:rPr>
          <w:rFonts w:hint="cs"/>
          <w:rtl/>
        </w:rPr>
        <w:t>אך הט"ז (סק"ז) כ' דנראה דכוונת הרמ"א דגם בהני ברזלים יש לנהוג להטביל בלא ברכה כמו בסכין שחיטה דחד טעמא אית בהו.</w:t>
      </w:r>
    </w:p>
  </w:footnote>
  <w:footnote w:id="2890">
    <w:p w14:paraId="12ABFB28" w14:textId="77777777" w:rsidR="004C5A3C" w:rsidRDefault="004C5A3C" w:rsidP="002C39F4">
      <w:pPr>
        <w:pStyle w:val="a5"/>
        <w:rPr>
          <w:rtl/>
        </w:rPr>
      </w:pPr>
      <w:r>
        <w:rPr>
          <w:rStyle w:val="a7"/>
        </w:rPr>
        <w:footnoteRef/>
      </w:r>
      <w:r>
        <w:rPr>
          <w:rtl/>
        </w:rPr>
        <w:t xml:space="preserve"> </w:t>
      </w:r>
      <w:r w:rsidRPr="005154CF">
        <w:rPr>
          <w:rFonts w:cs="Arial"/>
          <w:rtl/>
        </w:rPr>
        <w:t>דהמרק והזיעה עולה לכיסוי וה"ל כקדירה</w:t>
      </w:r>
      <w:r>
        <w:rPr>
          <w:rFonts w:cs="Arial" w:hint="cs"/>
          <w:rtl/>
        </w:rPr>
        <w:t>...</w:t>
      </w:r>
      <w:r w:rsidRPr="005154CF">
        <w:rPr>
          <w:rFonts w:cs="Arial"/>
          <w:rtl/>
        </w:rPr>
        <w:t xml:space="preserve"> משא"כ בכיסוי הפת</w:t>
      </w:r>
      <w:r>
        <w:rPr>
          <w:rFonts w:cs="Arial" w:hint="cs"/>
          <w:rtl/>
        </w:rPr>
        <w:t>..., גר"א (סקט"ו).</w:t>
      </w:r>
    </w:p>
  </w:footnote>
  <w:footnote w:id="2891">
    <w:p w14:paraId="6ACEF8E8" w14:textId="77777777" w:rsidR="004C5A3C" w:rsidRDefault="004C5A3C" w:rsidP="002C39F4">
      <w:pPr>
        <w:pStyle w:val="a5"/>
      </w:pPr>
      <w:r>
        <w:rPr>
          <w:rStyle w:val="a7"/>
        </w:rPr>
        <w:footnoteRef/>
      </w:r>
      <w:r>
        <w:rPr>
          <w:rtl/>
        </w:rPr>
        <w:t xml:space="preserve"> </w:t>
      </w:r>
      <w:r w:rsidRPr="007F333A">
        <w:rPr>
          <w:rFonts w:cs="Arial"/>
          <w:rtl/>
        </w:rPr>
        <w:t>צורת כלי זה שכתבו הפוסקים היינו שלוקחין כמה דפין של עץ ועושין להם שוליים של עץ ומעמידין הכל על ידי שמקיפין הדפים שבצדדין סביב בחתיכות ברזל אחת למטה סביב לשוליים ואחת סמוך לפה ואחת באמצע</w:t>
      </w:r>
      <w:r>
        <w:rPr>
          <w:rFonts w:cs="Arial" w:hint="cs"/>
          <w:rtl/>
        </w:rPr>
        <w:t>, ב"י.</w:t>
      </w:r>
    </w:p>
  </w:footnote>
  <w:footnote w:id="2892">
    <w:p w14:paraId="212FD225" w14:textId="77777777" w:rsidR="004C5A3C" w:rsidRDefault="004C5A3C" w:rsidP="002C39F4">
      <w:pPr>
        <w:pStyle w:val="a5"/>
        <w:rPr>
          <w:rtl/>
        </w:rPr>
      </w:pPr>
      <w:r>
        <w:rPr>
          <w:rStyle w:val="a7"/>
        </w:rPr>
        <w:footnoteRef/>
      </w:r>
      <w:r>
        <w:rPr>
          <w:rtl/>
        </w:rPr>
        <w:t xml:space="preserve"> </w:t>
      </w:r>
      <w:r w:rsidRPr="007F333A">
        <w:rPr>
          <w:rFonts w:cs="Arial"/>
          <w:rtl/>
        </w:rPr>
        <w:t xml:space="preserve">ובאגור (סי' אלף שיג) </w:t>
      </w:r>
      <w:r>
        <w:rPr>
          <w:rFonts w:cs="Arial" w:hint="cs"/>
          <w:rtl/>
        </w:rPr>
        <w:t xml:space="preserve">כתב </w:t>
      </w:r>
      <w:r w:rsidRPr="007F333A">
        <w:rPr>
          <w:rFonts w:cs="Arial"/>
          <w:rtl/>
        </w:rPr>
        <w:t>בשם מהר"י מולין (שו"ת מהרי"ל סי' נט) דנוהגים כדעת הטור</w:t>
      </w:r>
      <w:r>
        <w:rPr>
          <w:rFonts w:cs="Arial" w:hint="cs"/>
          <w:rtl/>
        </w:rPr>
        <w:t>, דרכ"מ (אות ה*).</w:t>
      </w:r>
    </w:p>
  </w:footnote>
  <w:footnote w:id="2893">
    <w:p w14:paraId="429DA4A4" w14:textId="77777777" w:rsidR="004C5A3C" w:rsidRDefault="004C5A3C" w:rsidP="002C39F4">
      <w:pPr>
        <w:pStyle w:val="a5"/>
      </w:pPr>
      <w:r>
        <w:rPr>
          <w:rStyle w:val="a7"/>
        </w:rPr>
        <w:footnoteRef/>
      </w:r>
      <w:r>
        <w:rPr>
          <w:rtl/>
        </w:rPr>
        <w:t xml:space="preserve"> </w:t>
      </w:r>
      <w:r>
        <w:rPr>
          <w:rFonts w:cs="Arial" w:hint="cs"/>
          <w:rtl/>
        </w:rPr>
        <w:t xml:space="preserve">ונ"ל דכל שכן שהראבי"ה </w:t>
      </w:r>
      <w:r w:rsidRPr="00604B07">
        <w:rPr>
          <w:rFonts w:cs="Arial" w:hint="cs"/>
          <w:sz w:val="16"/>
          <w:szCs w:val="16"/>
          <w:rtl/>
        </w:rPr>
        <w:t>(</w:t>
      </w:r>
      <w:r>
        <w:rPr>
          <w:rFonts w:cs="Arial" w:hint="cs"/>
          <w:sz w:val="16"/>
          <w:szCs w:val="16"/>
          <w:rtl/>
        </w:rPr>
        <w:t xml:space="preserve">הביאו </w:t>
      </w:r>
      <w:r w:rsidRPr="00604B07">
        <w:rPr>
          <w:rFonts w:cs="Arial" w:hint="cs"/>
          <w:sz w:val="16"/>
          <w:szCs w:val="16"/>
          <w:rtl/>
        </w:rPr>
        <w:t>ה</w:t>
      </w:r>
      <w:r w:rsidRPr="00604B07">
        <w:rPr>
          <w:rFonts w:cs="Arial"/>
          <w:sz w:val="16"/>
          <w:szCs w:val="16"/>
          <w:rtl/>
        </w:rPr>
        <w:t xml:space="preserve">מרדכי </w:t>
      </w:r>
      <w:r w:rsidRPr="00604B07">
        <w:rPr>
          <w:rFonts w:cs="Arial" w:hint="cs"/>
          <w:sz w:val="16"/>
          <w:szCs w:val="16"/>
          <w:rtl/>
        </w:rPr>
        <w:t>[</w:t>
      </w:r>
      <w:r w:rsidRPr="00604B07">
        <w:rPr>
          <w:rFonts w:cs="Arial"/>
          <w:sz w:val="16"/>
          <w:szCs w:val="16"/>
          <w:rtl/>
        </w:rPr>
        <w:t>ע"ז סי' תתנט</w:t>
      </w:r>
      <w:r w:rsidRPr="00604B07">
        <w:rPr>
          <w:rFonts w:cs="Arial" w:hint="cs"/>
          <w:sz w:val="16"/>
          <w:szCs w:val="16"/>
          <w:rtl/>
        </w:rPr>
        <w:t>]</w:t>
      </w:r>
      <w:r>
        <w:rPr>
          <w:rFonts w:cs="Arial" w:hint="cs"/>
          <w:sz w:val="16"/>
          <w:szCs w:val="16"/>
          <w:rtl/>
        </w:rPr>
        <w:t xml:space="preserve">) </w:t>
      </w:r>
      <w:r>
        <w:rPr>
          <w:rFonts w:cs="Arial" w:hint="cs"/>
          <w:rtl/>
        </w:rPr>
        <w:t xml:space="preserve">יסבור דצריך טבילה שהרי לגבי כלי המצופה אבר כתב וז"ל- </w:t>
      </w:r>
      <w:r w:rsidRPr="00D83BAD">
        <w:rPr>
          <w:rFonts w:cs="Arial"/>
          <w:rtl/>
        </w:rPr>
        <w:t>בין מצופה מבפנים בין מחופה מבחוץ ולא מבפנים טעון טבילה דלא חילקו חכמים בין מבפנים למבחוץ</w:t>
      </w:r>
      <w:r>
        <w:rPr>
          <w:rFonts w:cs="Arial" w:hint="cs"/>
          <w:rtl/>
        </w:rPr>
        <w:t>. עכ"ל.</w:t>
      </w:r>
    </w:p>
  </w:footnote>
  <w:footnote w:id="2894">
    <w:p w14:paraId="34C20132" w14:textId="77777777" w:rsidR="004C5A3C" w:rsidRDefault="004C5A3C" w:rsidP="002C39F4">
      <w:pPr>
        <w:pStyle w:val="a5"/>
      </w:pPr>
      <w:r>
        <w:rPr>
          <w:rStyle w:val="a7"/>
        </w:rPr>
        <w:footnoteRef/>
      </w:r>
      <w:r>
        <w:rPr>
          <w:rtl/>
        </w:rPr>
        <w:t xml:space="preserve"> </w:t>
      </w:r>
      <w:r>
        <w:rPr>
          <w:rFonts w:hint="cs"/>
          <w:rtl/>
        </w:rPr>
        <w:t>או שיטביל בלא ברכה,</w:t>
      </w:r>
      <w:r w:rsidRPr="00891AFC">
        <w:rPr>
          <w:rFonts w:hint="cs"/>
          <w:rtl/>
        </w:rPr>
        <w:t xml:space="preserve"> </w:t>
      </w:r>
      <w:r>
        <w:rPr>
          <w:rFonts w:hint="cs"/>
          <w:rtl/>
        </w:rPr>
        <w:t xml:space="preserve">דרכ"מ </w:t>
      </w:r>
      <w:r w:rsidRPr="00FD2D6A">
        <w:rPr>
          <w:rFonts w:hint="cs"/>
          <w:sz w:val="16"/>
          <w:szCs w:val="16"/>
          <w:rtl/>
        </w:rPr>
        <w:t xml:space="preserve">(אות ה*) </w:t>
      </w:r>
      <w:r>
        <w:rPr>
          <w:rFonts w:hint="cs"/>
          <w:rtl/>
        </w:rPr>
        <w:t xml:space="preserve">בשם או"ה. </w:t>
      </w:r>
    </w:p>
  </w:footnote>
  <w:footnote w:id="2895">
    <w:p w14:paraId="11B497EF" w14:textId="77777777" w:rsidR="004C5A3C" w:rsidRDefault="004C5A3C" w:rsidP="002C39F4">
      <w:pPr>
        <w:pStyle w:val="a5"/>
        <w:rPr>
          <w:rtl/>
        </w:rPr>
      </w:pPr>
      <w:r>
        <w:rPr>
          <w:rStyle w:val="a7"/>
        </w:rPr>
        <w:footnoteRef/>
      </w:r>
      <w:r>
        <w:rPr>
          <w:rtl/>
        </w:rPr>
        <w:t xml:space="preserve"> </w:t>
      </w:r>
      <w:r>
        <w:rPr>
          <w:rFonts w:hint="cs"/>
          <w:rtl/>
        </w:rPr>
        <w:t>וכ"כ הסמ"ק (שם)</w:t>
      </w:r>
      <w:r>
        <w:rPr>
          <w:rFonts w:hint="cs"/>
        </w:rPr>
        <w:t xml:space="preserve"> </w:t>
      </w:r>
      <w:r>
        <w:rPr>
          <w:rFonts w:hint="cs"/>
          <w:rtl/>
        </w:rPr>
        <w:t>בשם "יש מחמירין". וכמו שכתבתי לעיל בדעת הראבי"ה כן נ"ל לומר פה לגבי דעת הי"א שהביא הר"ן</w:t>
      </w:r>
      <w:r w:rsidRPr="00604B07">
        <w:rPr>
          <w:rFonts w:cs="Arial"/>
          <w:sz w:val="16"/>
          <w:szCs w:val="16"/>
          <w:rtl/>
        </w:rPr>
        <w:t xml:space="preserve"> </w:t>
      </w:r>
      <w:r>
        <w:rPr>
          <w:rFonts w:cs="Arial" w:hint="cs"/>
          <w:sz w:val="16"/>
          <w:szCs w:val="16"/>
          <w:rtl/>
        </w:rPr>
        <w:t>(</w:t>
      </w:r>
      <w:r w:rsidRPr="00604B07">
        <w:rPr>
          <w:rFonts w:cs="Arial"/>
          <w:sz w:val="16"/>
          <w:szCs w:val="16"/>
          <w:rtl/>
        </w:rPr>
        <w:t>לט: ד"ה גמ')</w:t>
      </w:r>
      <w:r>
        <w:rPr>
          <w:rFonts w:cs="Arial" w:hint="cs"/>
          <w:rtl/>
        </w:rPr>
        <w:t>, דכמו ד</w:t>
      </w:r>
      <w:r w:rsidRPr="00D83BAD">
        <w:rPr>
          <w:rFonts w:cs="Arial"/>
          <w:rtl/>
        </w:rPr>
        <w:t xml:space="preserve">גבי קוניא </w:t>
      </w:r>
      <w:r>
        <w:rPr>
          <w:rFonts w:cs="Arial" w:hint="cs"/>
          <w:rtl/>
        </w:rPr>
        <w:t>אמרי ד</w:t>
      </w:r>
      <w:r w:rsidRPr="00D83BAD">
        <w:rPr>
          <w:rFonts w:cs="Arial"/>
          <w:rtl/>
        </w:rPr>
        <w:t>כל שאינו מחופה</w:t>
      </w:r>
      <w:r>
        <w:rPr>
          <w:rFonts w:cs="Arial" w:hint="cs"/>
          <w:sz w:val="16"/>
          <w:szCs w:val="16"/>
          <w:rtl/>
        </w:rPr>
        <w:t xml:space="preserve"> {מבית ומחוץ}</w:t>
      </w:r>
      <w:r w:rsidRPr="00D83BAD">
        <w:rPr>
          <w:rFonts w:cs="Arial"/>
          <w:rtl/>
        </w:rPr>
        <w:t xml:space="preserve"> טובלו בלא ברכה</w:t>
      </w:r>
      <w:r>
        <w:rPr>
          <w:rFonts w:cs="Arial" w:hint="cs"/>
          <w:rtl/>
        </w:rPr>
        <w:t>, כך גם כאן יסברו דטובלו בלא ברכה.</w:t>
      </w:r>
    </w:p>
  </w:footnote>
  <w:footnote w:id="2896">
    <w:p w14:paraId="58356B36" w14:textId="77777777" w:rsidR="004C5A3C" w:rsidRDefault="004C5A3C" w:rsidP="002C39F4">
      <w:pPr>
        <w:pStyle w:val="a5"/>
        <w:rPr>
          <w:rtl/>
        </w:rPr>
      </w:pPr>
      <w:r>
        <w:rPr>
          <w:rStyle w:val="a7"/>
        </w:rPr>
        <w:footnoteRef/>
      </w:r>
      <w:r>
        <w:rPr>
          <w:rtl/>
        </w:rPr>
        <w:t xml:space="preserve"> </w:t>
      </w:r>
      <w:r w:rsidRPr="001349CF">
        <w:rPr>
          <w:rFonts w:cs="Arial"/>
          <w:rtl/>
        </w:rPr>
        <w:t xml:space="preserve">צ"ע דבב"י </w:t>
      </w:r>
      <w:r>
        <w:rPr>
          <w:rFonts w:cs="Arial" w:hint="cs"/>
          <w:rtl/>
        </w:rPr>
        <w:t xml:space="preserve">(עמ' סה ד"ה ומ"ש, הבאתי דבריו בסעיף הבא) </w:t>
      </w:r>
      <w:r w:rsidRPr="001349CF">
        <w:rPr>
          <w:rFonts w:cs="Arial"/>
          <w:rtl/>
        </w:rPr>
        <w:t>פסק הלכתא דיש לטובלו בלא ברכה דמספקא לן אי אזלינן בתר המעמיד או לא</w:t>
      </w:r>
      <w:r>
        <w:rPr>
          <w:rFonts w:cs="Arial" w:hint="cs"/>
          <w:rtl/>
        </w:rPr>
        <w:t>,</w:t>
      </w:r>
      <w:r w:rsidRPr="001349CF">
        <w:rPr>
          <w:rFonts w:cs="Arial"/>
          <w:rtl/>
        </w:rPr>
        <w:t xml:space="preserve"> ומביאו ד</w:t>
      </w:r>
      <w:r>
        <w:rPr>
          <w:rFonts w:cs="Arial" w:hint="cs"/>
          <w:rtl/>
        </w:rPr>
        <w:t>רכ</w:t>
      </w:r>
      <w:r w:rsidRPr="001349CF">
        <w:rPr>
          <w:rFonts w:cs="Arial"/>
          <w:rtl/>
        </w:rPr>
        <w:t>"מ</w:t>
      </w:r>
      <w:r>
        <w:rPr>
          <w:rFonts w:cs="Arial" w:hint="cs"/>
          <w:rtl/>
        </w:rPr>
        <w:t xml:space="preserve"> (אות ז)</w:t>
      </w:r>
      <w:r w:rsidRPr="001349CF">
        <w:rPr>
          <w:rFonts w:cs="Arial"/>
          <w:rtl/>
        </w:rPr>
        <w:t xml:space="preserve"> במסקנתו</w:t>
      </w:r>
      <w:r>
        <w:rPr>
          <w:rFonts w:cs="Arial" w:hint="cs"/>
          <w:rtl/>
        </w:rPr>
        <w:t>,</w:t>
      </w:r>
      <w:r w:rsidRPr="001349CF">
        <w:rPr>
          <w:rFonts w:cs="Arial"/>
          <w:rtl/>
        </w:rPr>
        <w:t xml:space="preserve"> וכ"כ בסוף הלכות טבילות של מהרי"ל דיש לטובלו בלא ברכה</w:t>
      </w:r>
      <w:r>
        <w:rPr>
          <w:rFonts w:cs="Arial" w:hint="cs"/>
          <w:rtl/>
        </w:rPr>
        <w:t>,</w:t>
      </w:r>
      <w:r w:rsidRPr="001349CF">
        <w:rPr>
          <w:rFonts w:cs="Arial"/>
          <w:rtl/>
        </w:rPr>
        <w:t xml:space="preserve"> וכ"כ האו"ה </w:t>
      </w:r>
      <w:r>
        <w:rPr>
          <w:rFonts w:cs="Arial" w:hint="cs"/>
          <w:rtl/>
        </w:rPr>
        <w:t>(</w:t>
      </w:r>
      <w:r w:rsidRPr="001349CF">
        <w:rPr>
          <w:rFonts w:cs="Arial"/>
          <w:rtl/>
        </w:rPr>
        <w:t>כלל נ"ח דין מ"ט</w:t>
      </w:r>
      <w:r>
        <w:rPr>
          <w:rFonts w:cs="Arial" w:hint="cs"/>
          <w:rtl/>
        </w:rPr>
        <w:t>)</w:t>
      </w:r>
      <w:r w:rsidRPr="001349CF">
        <w:rPr>
          <w:rFonts w:cs="Arial"/>
          <w:rtl/>
        </w:rPr>
        <w:t xml:space="preserve"> דיש להטבילן בלא ברכה או עם כלים אחרים</w:t>
      </w:r>
      <w:r>
        <w:rPr>
          <w:rFonts w:hint="cs"/>
          <w:rtl/>
        </w:rPr>
        <w:t>, ש"ך (סקי"ב).</w:t>
      </w:r>
    </w:p>
  </w:footnote>
  <w:footnote w:id="2897">
    <w:p w14:paraId="145EEA16" w14:textId="77777777" w:rsidR="004C5A3C" w:rsidRDefault="004C5A3C" w:rsidP="002C39F4">
      <w:pPr>
        <w:pStyle w:val="a5"/>
        <w:rPr>
          <w:rtl/>
        </w:rPr>
      </w:pPr>
      <w:r>
        <w:rPr>
          <w:rStyle w:val="a7"/>
        </w:rPr>
        <w:footnoteRef/>
      </w:r>
      <w:r>
        <w:rPr>
          <w:rtl/>
        </w:rPr>
        <w:t xml:space="preserve"> </w:t>
      </w:r>
      <w:r>
        <w:rPr>
          <w:rFonts w:cs="Arial"/>
          <w:rtl/>
        </w:rPr>
        <w:t>זהו כעין כלי של עץ שיש לו חשוקים של ברזל שמעמידין אותו דבסמוך</w:t>
      </w:r>
      <w:r>
        <w:rPr>
          <w:rFonts w:cs="Arial" w:hint="cs"/>
          <w:rtl/>
        </w:rPr>
        <w:t>,</w:t>
      </w:r>
      <w:r>
        <w:rPr>
          <w:rFonts w:cs="Arial"/>
          <w:rtl/>
        </w:rPr>
        <w:t xml:space="preserve"> וכך כוס זה עשוי</w:t>
      </w:r>
      <w:r>
        <w:rPr>
          <w:rFonts w:cs="Arial" w:hint="cs"/>
          <w:rtl/>
        </w:rPr>
        <w:t>-</w:t>
      </w:r>
      <w:r>
        <w:rPr>
          <w:rFonts w:cs="Arial"/>
          <w:rtl/>
        </w:rPr>
        <w:t xml:space="preserve"> מחתיכות כסף ועומדות החתיכות ההם על ידי שמקיפין אותם עץ סביב</w:t>
      </w:r>
      <w:r>
        <w:rPr>
          <w:rFonts w:hint="cs"/>
          <w:rtl/>
        </w:rPr>
        <w:t>, ב"י.</w:t>
      </w:r>
    </w:p>
  </w:footnote>
  <w:footnote w:id="2898">
    <w:p w14:paraId="1846FDF3" w14:textId="77777777" w:rsidR="004C5A3C" w:rsidRDefault="004C5A3C" w:rsidP="002C39F4">
      <w:pPr>
        <w:pStyle w:val="a5"/>
      </w:pPr>
      <w:r>
        <w:rPr>
          <w:rStyle w:val="a7"/>
        </w:rPr>
        <w:footnoteRef/>
      </w:r>
      <w:r>
        <w:rPr>
          <w:rtl/>
        </w:rPr>
        <w:t xml:space="preserve"> </w:t>
      </w:r>
      <w:r>
        <w:rPr>
          <w:rFonts w:cs="Arial"/>
          <w:rtl/>
        </w:rPr>
        <w:t>כלומר דוקא כשהכסף מבפנים והעץ מבחוץ הוא צריך טבילה</w:t>
      </w:r>
      <w:r>
        <w:rPr>
          <w:rFonts w:cs="Arial" w:hint="cs"/>
          <w:rtl/>
        </w:rPr>
        <w:t>,</w:t>
      </w:r>
      <w:r>
        <w:rPr>
          <w:rFonts w:cs="Arial"/>
          <w:rtl/>
        </w:rPr>
        <w:t xml:space="preserve"> אבל אם הכסף הוא מבחוץ והעץ מבפנים אע</w:t>
      </w:r>
      <w:r>
        <w:rPr>
          <w:rFonts w:cs="Arial" w:hint="cs"/>
          <w:rtl/>
        </w:rPr>
        <w:t>"</w:t>
      </w:r>
      <w:r>
        <w:rPr>
          <w:rFonts w:cs="Arial"/>
          <w:rtl/>
        </w:rPr>
        <w:t>פ שהכסף מעמיד את העץ כמו אותו כלי עץ שמעמידין אותו חשוקי הברזל אינו צריך טבילה דהכל הולך אחר המקום שמשתמש בו המשקה</w:t>
      </w:r>
      <w:r>
        <w:rPr>
          <w:rFonts w:cs="Arial" w:hint="cs"/>
          <w:rtl/>
        </w:rPr>
        <w:t>,</w:t>
      </w:r>
      <w:r>
        <w:rPr>
          <w:rFonts w:cs="Arial"/>
          <w:rtl/>
        </w:rPr>
        <w:t xml:space="preserve"> שאם המקום ההוא מתכת אע</w:t>
      </w:r>
      <w:r>
        <w:rPr>
          <w:rFonts w:cs="Arial" w:hint="cs"/>
          <w:rtl/>
        </w:rPr>
        <w:t>"</w:t>
      </w:r>
      <w:r>
        <w:rPr>
          <w:rFonts w:cs="Arial"/>
          <w:rtl/>
        </w:rPr>
        <w:t>פ שמעמידו עץ טעון טבילה</w:t>
      </w:r>
      <w:r>
        <w:rPr>
          <w:rFonts w:cs="Arial" w:hint="cs"/>
          <w:rtl/>
        </w:rPr>
        <w:t>,</w:t>
      </w:r>
      <w:r>
        <w:rPr>
          <w:rFonts w:cs="Arial"/>
          <w:rtl/>
        </w:rPr>
        <w:t xml:space="preserve"> ואם המקום ההוא עץ אע</w:t>
      </w:r>
      <w:r>
        <w:rPr>
          <w:rFonts w:cs="Arial" w:hint="cs"/>
          <w:rtl/>
        </w:rPr>
        <w:t>"</w:t>
      </w:r>
      <w:r>
        <w:rPr>
          <w:rFonts w:cs="Arial"/>
          <w:rtl/>
        </w:rPr>
        <w:t>פ שמעמידו מתכת אינו טעון טבילה דלא חיישינן למעמיד כלל</w:t>
      </w:r>
      <w:r>
        <w:rPr>
          <w:rFonts w:cs="Arial" w:hint="cs"/>
          <w:rtl/>
        </w:rPr>
        <w:t>, ב"י.</w:t>
      </w:r>
    </w:p>
  </w:footnote>
  <w:footnote w:id="2899">
    <w:p w14:paraId="76891057" w14:textId="77777777" w:rsidR="004C5A3C" w:rsidRDefault="004C5A3C" w:rsidP="002C39F4">
      <w:pPr>
        <w:pStyle w:val="a5"/>
      </w:pPr>
      <w:r>
        <w:rPr>
          <w:rStyle w:val="a7"/>
        </w:rPr>
        <w:footnoteRef/>
      </w:r>
      <w:r>
        <w:rPr>
          <w:rtl/>
        </w:rPr>
        <w:t xml:space="preserve"> </w:t>
      </w:r>
      <w:r>
        <w:rPr>
          <w:rFonts w:cs="Arial"/>
          <w:rtl/>
        </w:rPr>
        <w:t>מ"ש ויש מחמירין להטבילו בלא ברכה נראה דאתרווייהו קאי</w:t>
      </w:r>
      <w:r>
        <w:rPr>
          <w:rFonts w:cs="Arial" w:hint="cs"/>
          <w:rtl/>
        </w:rPr>
        <w:t>,</w:t>
      </w:r>
      <w:r>
        <w:rPr>
          <w:rFonts w:cs="Arial"/>
          <w:rtl/>
        </w:rPr>
        <w:t xml:space="preserve"> בין הוא של כסף ומעמידיו של עץ בין הוא של עץ ומעמידיו של מתכת</w:t>
      </w:r>
      <w:r>
        <w:rPr>
          <w:rFonts w:cs="Arial" w:hint="cs"/>
          <w:rtl/>
        </w:rPr>
        <w:t>,</w:t>
      </w:r>
      <w:r>
        <w:rPr>
          <w:rFonts w:cs="Arial"/>
          <w:rtl/>
        </w:rPr>
        <w:t xml:space="preserve"> דמספקא להו אי נקטינן כר"מ דאמר בתר מעמיד אזלינן</w:t>
      </w:r>
      <w:r>
        <w:rPr>
          <w:rFonts w:cs="Arial" w:hint="cs"/>
          <w:rtl/>
        </w:rPr>
        <w:t>,</w:t>
      </w:r>
      <w:r>
        <w:rPr>
          <w:rFonts w:cs="Arial"/>
          <w:rtl/>
        </w:rPr>
        <w:t xml:space="preserve"> אי כדברי התוס</w:t>
      </w:r>
      <w:r>
        <w:rPr>
          <w:rFonts w:cs="Arial" w:hint="cs"/>
          <w:rtl/>
        </w:rPr>
        <w:t>'</w:t>
      </w:r>
      <w:r>
        <w:rPr>
          <w:rFonts w:cs="Arial"/>
          <w:rtl/>
        </w:rPr>
        <w:t xml:space="preserve"> והרא"ש דסברי דלא אזלינן בתר מעמיד</w:t>
      </w:r>
      <w:r>
        <w:rPr>
          <w:rFonts w:cs="Arial" w:hint="cs"/>
          <w:rtl/>
        </w:rPr>
        <w:t>,</w:t>
      </w:r>
      <w:r>
        <w:rPr>
          <w:rFonts w:cs="Arial"/>
          <w:rtl/>
        </w:rPr>
        <w:t xml:space="preserve"> ולפיכך מחמירין להטבילו בלא ברכה מספק</w:t>
      </w:r>
      <w:r>
        <w:rPr>
          <w:rFonts w:cs="Arial" w:hint="cs"/>
          <w:rtl/>
        </w:rPr>
        <w:t>,</w:t>
      </w:r>
      <w:r>
        <w:rPr>
          <w:rFonts w:cs="Arial"/>
          <w:rtl/>
        </w:rPr>
        <w:t xml:space="preserve"> והכי נקטינן</w:t>
      </w:r>
      <w:r>
        <w:rPr>
          <w:rFonts w:cs="Arial" w:hint="cs"/>
          <w:rtl/>
        </w:rPr>
        <w:t>, ב"י.</w:t>
      </w:r>
    </w:p>
  </w:footnote>
  <w:footnote w:id="2900">
    <w:p w14:paraId="0344DB3C" w14:textId="77777777" w:rsidR="004C5A3C" w:rsidRDefault="004C5A3C" w:rsidP="002C39F4">
      <w:pPr>
        <w:pStyle w:val="a5"/>
        <w:rPr>
          <w:rtl/>
        </w:rPr>
      </w:pPr>
      <w:r>
        <w:rPr>
          <w:rStyle w:val="a7"/>
        </w:rPr>
        <w:footnoteRef/>
      </w:r>
      <w:r>
        <w:rPr>
          <w:rtl/>
        </w:rPr>
        <w:t xml:space="preserve"> </w:t>
      </w:r>
      <w:r>
        <w:rPr>
          <w:rFonts w:hint="cs"/>
          <w:rtl/>
        </w:rPr>
        <w:t xml:space="preserve">לשון הטור מעט שונה, ויש שדייקו ממנה אחרת לדינא, וז"ל- </w:t>
      </w:r>
      <w:r w:rsidRPr="00115C7B">
        <w:rPr>
          <w:rFonts w:cs="Arial"/>
          <w:rtl/>
        </w:rPr>
        <w:t>כתב בספר המצות כוס של כסף מחובר בכלי עץ צריך טבילה כיון שמשתמש בשל כסף אבל מבחוץ לא אף על גב דמעמיד ויש מחמירים להטבילו בלא ברכה</w:t>
      </w:r>
      <w:r>
        <w:rPr>
          <w:rFonts w:cs="Arial" w:hint="cs"/>
          <w:rtl/>
        </w:rPr>
        <w:t>.</w:t>
      </w:r>
    </w:p>
  </w:footnote>
  <w:footnote w:id="2901">
    <w:p w14:paraId="039B4991" w14:textId="77777777" w:rsidR="004C5A3C" w:rsidRDefault="004C5A3C" w:rsidP="002C39F4">
      <w:pPr>
        <w:pStyle w:val="a5"/>
      </w:pPr>
      <w:r>
        <w:rPr>
          <w:rStyle w:val="a7"/>
        </w:rPr>
        <w:footnoteRef/>
      </w:r>
      <w:r>
        <w:rPr>
          <w:rtl/>
        </w:rPr>
        <w:t xml:space="preserve"> </w:t>
      </w:r>
      <w:r w:rsidRPr="00115C7B">
        <w:rPr>
          <w:rFonts w:cs="Arial"/>
          <w:rtl/>
        </w:rPr>
        <w:t>משמע וצריך ברכה</w:t>
      </w:r>
      <w:r>
        <w:rPr>
          <w:rFonts w:cs="Arial" w:hint="cs"/>
          <w:rtl/>
        </w:rPr>
        <w:t>,</w:t>
      </w:r>
      <w:r w:rsidRPr="00115C7B">
        <w:rPr>
          <w:rFonts w:cs="Arial"/>
          <w:rtl/>
        </w:rPr>
        <w:t xml:space="preserve"> ואע</w:t>
      </w:r>
      <w:r>
        <w:rPr>
          <w:rFonts w:cs="Arial" w:hint="cs"/>
          <w:rtl/>
        </w:rPr>
        <w:t>"</w:t>
      </w:r>
      <w:r w:rsidRPr="00115C7B">
        <w:rPr>
          <w:rFonts w:cs="Arial"/>
          <w:rtl/>
        </w:rPr>
        <w:t>ג דבב"י פסק בכוס של כסף ומעמידו של עץ דיש לטובלו בלא ברכה י"ל דהתם אי לאו העץ לא היה הכוס מתוקן כלל והעץ הוא מעמידו</w:t>
      </w:r>
      <w:r>
        <w:rPr>
          <w:rFonts w:cs="Arial" w:hint="cs"/>
          <w:rtl/>
        </w:rPr>
        <w:t>,</w:t>
      </w:r>
      <w:r w:rsidRPr="00115C7B">
        <w:rPr>
          <w:rFonts w:cs="Arial"/>
          <w:rtl/>
        </w:rPr>
        <w:t xml:space="preserve"> אבל הכא מיירי שהכוס הוא כהלכתו רק שהוא מחובר בכלי עץ</w:t>
      </w:r>
      <w:r>
        <w:rPr>
          <w:rFonts w:hint="cs"/>
          <w:rtl/>
        </w:rPr>
        <w:t>, ש"ך (סקי"ד).</w:t>
      </w:r>
    </w:p>
  </w:footnote>
  <w:footnote w:id="2902">
    <w:p w14:paraId="7761FF10" w14:textId="77777777" w:rsidR="004C5A3C" w:rsidRDefault="004C5A3C" w:rsidP="002C39F4">
      <w:pPr>
        <w:pStyle w:val="a5"/>
      </w:pPr>
      <w:r>
        <w:rPr>
          <w:rStyle w:val="a7"/>
        </w:rPr>
        <w:footnoteRef/>
      </w:r>
      <w:r>
        <w:rPr>
          <w:rtl/>
        </w:rPr>
        <w:t xml:space="preserve"> </w:t>
      </w:r>
      <w:r w:rsidRPr="001E4B59">
        <w:rPr>
          <w:rFonts w:cs="Arial"/>
          <w:rtl/>
        </w:rPr>
        <w:t>א</w:t>
      </w:r>
      <w:r>
        <w:rPr>
          <w:rFonts w:cs="Arial" w:hint="cs"/>
          <w:rtl/>
        </w:rPr>
        <w:t>ע"</w:t>
      </w:r>
      <w:r w:rsidRPr="001E4B59">
        <w:rPr>
          <w:rFonts w:cs="Arial"/>
          <w:rtl/>
        </w:rPr>
        <w:t>פ שאין שותין ממנו ואינו אלא להכשר האוכל</w:t>
      </w:r>
      <w:r>
        <w:rPr>
          <w:rFonts w:cs="Arial" w:hint="cs"/>
          <w:rtl/>
        </w:rPr>
        <w:t>,</w:t>
      </w:r>
      <w:r w:rsidRPr="001E4B59">
        <w:rPr>
          <w:rFonts w:cs="Arial"/>
          <w:rtl/>
        </w:rPr>
        <w:t xml:space="preserve"> ואפי' הגדולים הרבה</w:t>
      </w:r>
      <w:r>
        <w:rPr>
          <w:rFonts w:cs="Arial" w:hint="cs"/>
          <w:rtl/>
        </w:rPr>
        <w:t>,</w:t>
      </w:r>
      <w:r w:rsidRPr="001E4B59">
        <w:rPr>
          <w:rFonts w:cs="Arial"/>
          <w:rtl/>
        </w:rPr>
        <w:t xml:space="preserve"> מאחר שנוגע במאכל עצמו מידי דהוי יורה. ואין חילוק בין חם לצונן דהא לאו בפליטת איסור תליא מילתא וכן רחיים של פלפלין דלעיל</w:t>
      </w:r>
      <w:r>
        <w:rPr>
          <w:rFonts w:cs="Arial" w:hint="cs"/>
          <w:rtl/>
        </w:rPr>
        <w:t>, או"ה (כלל נח דין פז).</w:t>
      </w:r>
    </w:p>
  </w:footnote>
  <w:footnote w:id="2903">
    <w:p w14:paraId="05831346" w14:textId="77777777" w:rsidR="004C5A3C" w:rsidRDefault="004C5A3C" w:rsidP="002C39F4">
      <w:pPr>
        <w:pStyle w:val="a5"/>
      </w:pPr>
      <w:r>
        <w:rPr>
          <w:rStyle w:val="a7"/>
        </w:rPr>
        <w:footnoteRef/>
      </w:r>
      <w:r>
        <w:rPr>
          <w:rtl/>
        </w:rPr>
        <w:t xml:space="preserve"> </w:t>
      </w:r>
      <w:r>
        <w:rPr>
          <w:rFonts w:cs="Arial" w:hint="cs"/>
          <w:rtl/>
        </w:rPr>
        <w:t>כגון</w:t>
      </w:r>
      <w:r w:rsidRPr="00115C7B">
        <w:rPr>
          <w:rFonts w:cs="Arial"/>
          <w:rtl/>
        </w:rPr>
        <w:t xml:space="preserve"> משפך של עץ ויש בו שפופרת של ברזל</w:t>
      </w:r>
      <w:r>
        <w:rPr>
          <w:rFonts w:cs="Arial" w:hint="cs"/>
          <w:rtl/>
        </w:rPr>
        <w:t>-</w:t>
      </w:r>
      <w:r w:rsidRPr="00115C7B">
        <w:rPr>
          <w:rFonts w:cs="Arial"/>
          <w:rtl/>
        </w:rPr>
        <w:t xml:space="preserve"> אין צריך טבילה אע</w:t>
      </w:r>
      <w:r>
        <w:rPr>
          <w:rFonts w:cs="Arial" w:hint="cs"/>
          <w:rtl/>
        </w:rPr>
        <w:t>"</w:t>
      </w:r>
      <w:r w:rsidRPr="00115C7B">
        <w:rPr>
          <w:rFonts w:cs="Arial"/>
          <w:rtl/>
        </w:rPr>
        <w:t>פ שמשתמש בו דרך הברזל</w:t>
      </w:r>
      <w:r>
        <w:rPr>
          <w:rFonts w:cs="Arial" w:hint="cs"/>
          <w:rtl/>
        </w:rPr>
        <w:t>,</w:t>
      </w:r>
      <w:r w:rsidRPr="00115C7B">
        <w:rPr>
          <w:rFonts w:cs="Arial"/>
          <w:rtl/>
        </w:rPr>
        <w:t xml:space="preserve"> דמאחר שאינו מעמיד בטלה אצל המשפך</w:t>
      </w:r>
      <w:r>
        <w:rPr>
          <w:rFonts w:cs="Arial" w:hint="cs"/>
          <w:rtl/>
        </w:rPr>
        <w:t>,</w:t>
      </w:r>
      <w:r w:rsidRPr="00115C7B">
        <w:rPr>
          <w:rFonts w:cs="Arial"/>
          <w:rtl/>
        </w:rPr>
        <w:t xml:space="preserve"> וכן כל כיוצא בזה</w:t>
      </w:r>
      <w:r>
        <w:rPr>
          <w:rFonts w:cs="Arial" w:hint="cs"/>
          <w:rtl/>
        </w:rPr>
        <w:t>,</w:t>
      </w:r>
      <w:r w:rsidRPr="00115C7B">
        <w:rPr>
          <w:rFonts w:cs="Arial"/>
          <w:rtl/>
        </w:rPr>
        <w:t xml:space="preserve"> או"ה </w:t>
      </w:r>
      <w:r>
        <w:rPr>
          <w:rFonts w:cs="Arial" w:hint="cs"/>
          <w:rtl/>
        </w:rPr>
        <w:t>(כלל נח</w:t>
      </w:r>
      <w:r w:rsidRPr="00115C7B">
        <w:rPr>
          <w:rFonts w:cs="Arial"/>
          <w:rtl/>
        </w:rPr>
        <w:t xml:space="preserve"> דין פ</w:t>
      </w:r>
      <w:r>
        <w:rPr>
          <w:rFonts w:cs="Arial" w:hint="cs"/>
          <w:rtl/>
        </w:rPr>
        <w:t>ז). וכ"כ הש"ך (סקט"ו).</w:t>
      </w:r>
    </w:p>
  </w:footnote>
  <w:footnote w:id="2904">
    <w:p w14:paraId="1087228C" w14:textId="77777777" w:rsidR="004C5A3C" w:rsidRDefault="004C5A3C" w:rsidP="002C39F4">
      <w:pPr>
        <w:pStyle w:val="a5"/>
      </w:pPr>
      <w:r>
        <w:rPr>
          <w:rStyle w:val="a7"/>
        </w:rPr>
        <w:footnoteRef/>
      </w:r>
      <w:r>
        <w:rPr>
          <w:rtl/>
        </w:rPr>
        <w:t xml:space="preserve"> </w:t>
      </w:r>
      <w:r>
        <w:rPr>
          <w:rFonts w:hint="cs"/>
          <w:rtl/>
        </w:rPr>
        <w:t>בכלי מדין, ב"י.</w:t>
      </w:r>
    </w:p>
  </w:footnote>
  <w:footnote w:id="2905">
    <w:p w14:paraId="2B451E97" w14:textId="77777777" w:rsidR="004C5A3C" w:rsidRPr="00F2353F" w:rsidRDefault="004C5A3C" w:rsidP="002C39F4">
      <w:pPr>
        <w:pStyle w:val="a5"/>
        <w:rPr>
          <w:rtl/>
        </w:rPr>
      </w:pPr>
      <w:r w:rsidRPr="00F2353F">
        <w:rPr>
          <w:rStyle w:val="a7"/>
        </w:rPr>
        <w:footnoteRef/>
      </w:r>
      <w:r w:rsidRPr="00F2353F">
        <w:rPr>
          <w:rtl/>
        </w:rPr>
        <w:t xml:space="preserve"> </w:t>
      </w:r>
      <w:r>
        <w:rPr>
          <w:rFonts w:cs="Arial" w:hint="cs"/>
          <w:rtl/>
        </w:rPr>
        <w:t xml:space="preserve">וכ' הב"י- </w:t>
      </w:r>
      <w:r w:rsidRPr="00F2353F">
        <w:rPr>
          <w:rFonts w:cs="Arial"/>
          <w:rtl/>
        </w:rPr>
        <w:t>ומשמע דשכורים שוים לשאולים וכ"כ הרשב"א בתוה</w:t>
      </w:r>
      <w:r>
        <w:rPr>
          <w:rFonts w:cs="Arial" w:hint="cs"/>
          <w:rtl/>
        </w:rPr>
        <w:t>"</w:t>
      </w:r>
      <w:r w:rsidRPr="00F2353F">
        <w:rPr>
          <w:rFonts w:cs="Arial"/>
          <w:rtl/>
        </w:rPr>
        <w:t>ב (הקצר ב"ד ש"ד לב:)</w:t>
      </w:r>
      <w:r>
        <w:rPr>
          <w:rFonts w:cs="Arial" w:hint="cs"/>
          <w:rtl/>
        </w:rPr>
        <w:t>.</w:t>
      </w:r>
      <w:r>
        <w:rPr>
          <w:rFonts w:hint="cs"/>
          <w:rtl/>
        </w:rPr>
        <w:t xml:space="preserve"> וכ"כ הטור.</w:t>
      </w:r>
    </w:p>
  </w:footnote>
  <w:footnote w:id="2906">
    <w:p w14:paraId="15B35682" w14:textId="77777777" w:rsidR="004C5A3C" w:rsidRDefault="004C5A3C" w:rsidP="002C39F4">
      <w:pPr>
        <w:pStyle w:val="a5"/>
        <w:rPr>
          <w:rtl/>
        </w:rPr>
      </w:pPr>
      <w:r>
        <w:rPr>
          <w:rStyle w:val="a7"/>
        </w:rPr>
        <w:footnoteRef/>
      </w:r>
      <w:r>
        <w:rPr>
          <w:rtl/>
        </w:rPr>
        <w:t xml:space="preserve"> </w:t>
      </w:r>
      <w:r>
        <w:rPr>
          <w:rFonts w:hint="cs"/>
          <w:rtl/>
        </w:rPr>
        <w:t>הט"ז (סק"י) והש"ך (סקט"ז) הביאו את דברי האו"ה דלעיל וכתבו למסקנה דיש לטובלו בלא ברכה</w:t>
      </w:r>
      <w:r>
        <w:rPr>
          <w:rFonts w:hint="cs"/>
          <w:sz w:val="16"/>
          <w:szCs w:val="16"/>
          <w:rtl/>
        </w:rPr>
        <w:t xml:space="preserve"> (ט"ז וש"ך)</w:t>
      </w:r>
      <w:r>
        <w:rPr>
          <w:rFonts w:hint="cs"/>
          <w:rtl/>
        </w:rPr>
        <w:t xml:space="preserve"> או</w:t>
      </w:r>
      <w:r w:rsidRPr="006E6203">
        <w:rPr>
          <w:rFonts w:cs="Arial"/>
          <w:rtl/>
        </w:rPr>
        <w:t xml:space="preserve"> </w:t>
      </w:r>
      <w:r>
        <w:rPr>
          <w:rFonts w:cs="Arial" w:hint="cs"/>
          <w:rtl/>
        </w:rPr>
        <w:t>ש</w:t>
      </w:r>
      <w:r w:rsidRPr="006E6203">
        <w:rPr>
          <w:rFonts w:cs="Arial"/>
          <w:rtl/>
        </w:rPr>
        <w:t>יטבול כלי אחר עמו</w:t>
      </w:r>
      <w:r>
        <w:rPr>
          <w:rFonts w:cs="Arial" w:hint="cs"/>
          <w:sz w:val="16"/>
          <w:szCs w:val="16"/>
          <w:rtl/>
        </w:rPr>
        <w:t xml:space="preserve"> (ש"ך)</w:t>
      </w:r>
      <w:r>
        <w:rPr>
          <w:rFonts w:cs="Arial" w:hint="cs"/>
          <w:rtl/>
        </w:rPr>
        <w:t xml:space="preserve">. </w:t>
      </w:r>
      <w:r>
        <w:rPr>
          <w:rFonts w:hint="cs"/>
          <w:rtl/>
        </w:rPr>
        <w:t>ותמה עליו הט"ז על הרמ"א מדוע לא הביא את דברי האו"ה לא בדרכ"מ ולא בהג"ה.</w:t>
      </w:r>
    </w:p>
  </w:footnote>
  <w:footnote w:id="2907">
    <w:p w14:paraId="1C0A6FED" w14:textId="77777777" w:rsidR="004C5A3C" w:rsidRDefault="004C5A3C" w:rsidP="002C39F4">
      <w:pPr>
        <w:pStyle w:val="a5"/>
      </w:pPr>
      <w:r>
        <w:rPr>
          <w:rStyle w:val="a7"/>
        </w:rPr>
        <w:footnoteRef/>
      </w:r>
      <w:r>
        <w:rPr>
          <w:rtl/>
        </w:rPr>
        <w:t xml:space="preserve"> </w:t>
      </w:r>
      <w:r w:rsidRPr="006E6203">
        <w:rPr>
          <w:rFonts w:cs="Arial"/>
          <w:rtl/>
        </w:rPr>
        <w:t>אבל שלא לצרכי סעודה מותר להשתמש בו</w:t>
      </w:r>
      <w:r>
        <w:rPr>
          <w:rFonts w:cs="Arial" w:hint="cs"/>
          <w:rtl/>
        </w:rPr>
        <w:t>.</w:t>
      </w:r>
      <w:r w:rsidRPr="006E6203">
        <w:rPr>
          <w:rFonts w:cs="Arial"/>
          <w:rtl/>
        </w:rPr>
        <w:t xml:space="preserve"> ואע</w:t>
      </w:r>
      <w:r>
        <w:rPr>
          <w:rFonts w:cs="Arial" w:hint="cs"/>
          <w:rtl/>
        </w:rPr>
        <w:t>"</w:t>
      </w:r>
      <w:r w:rsidRPr="006E6203">
        <w:rPr>
          <w:rFonts w:cs="Arial"/>
          <w:rtl/>
        </w:rPr>
        <w:t>פ שנתקן לצורך סעודה כשנמלך עליו לחתוך בו קלפים אין צריך טבילה</w:t>
      </w:r>
      <w:r>
        <w:rPr>
          <w:rFonts w:cs="Arial" w:hint="cs"/>
          <w:rtl/>
        </w:rPr>
        <w:t>,</w:t>
      </w:r>
      <w:r w:rsidRPr="006E6203">
        <w:rPr>
          <w:rFonts w:cs="Arial"/>
          <w:rtl/>
        </w:rPr>
        <w:t xml:space="preserve"> כ</w:t>
      </w:r>
      <w:r>
        <w:rPr>
          <w:rFonts w:cs="Arial" w:hint="cs"/>
          <w:rtl/>
        </w:rPr>
        <w:t>"</w:t>
      </w:r>
      <w:r w:rsidRPr="006E6203">
        <w:rPr>
          <w:rFonts w:cs="Arial"/>
          <w:rtl/>
        </w:rPr>
        <w:t xml:space="preserve">כ האו"ה </w:t>
      </w:r>
      <w:r>
        <w:rPr>
          <w:rFonts w:cs="Arial" w:hint="cs"/>
          <w:rtl/>
        </w:rPr>
        <w:t>(</w:t>
      </w:r>
      <w:r w:rsidRPr="006E6203">
        <w:rPr>
          <w:rFonts w:cs="Arial"/>
          <w:rtl/>
        </w:rPr>
        <w:t>שם דין פג</w:t>
      </w:r>
      <w:r>
        <w:rPr>
          <w:rFonts w:cs="Arial" w:hint="cs"/>
          <w:rtl/>
        </w:rPr>
        <w:t>), ש"ך (סקי"ז).</w:t>
      </w:r>
    </w:p>
  </w:footnote>
  <w:footnote w:id="2908">
    <w:p w14:paraId="5774A180" w14:textId="77777777" w:rsidR="004C5A3C" w:rsidRDefault="004C5A3C" w:rsidP="002C39F4">
      <w:pPr>
        <w:pStyle w:val="a5"/>
        <w:rPr>
          <w:rtl/>
        </w:rPr>
      </w:pPr>
      <w:r>
        <w:rPr>
          <w:rStyle w:val="a7"/>
        </w:rPr>
        <w:footnoteRef/>
      </w:r>
      <w:r>
        <w:rPr>
          <w:rtl/>
        </w:rPr>
        <w:t xml:space="preserve"> </w:t>
      </w:r>
      <w:r w:rsidRPr="00954B3D">
        <w:rPr>
          <w:rFonts w:cs="Arial"/>
          <w:rtl/>
        </w:rPr>
        <w:t>וכ</w:t>
      </w:r>
      <w:r>
        <w:rPr>
          <w:rFonts w:cs="Arial" w:hint="cs"/>
          <w:rtl/>
        </w:rPr>
        <w:t>'</w:t>
      </w:r>
      <w:r w:rsidRPr="00954B3D">
        <w:rPr>
          <w:rFonts w:cs="Arial"/>
          <w:rtl/>
        </w:rPr>
        <w:t xml:space="preserve"> סמ"ג (לאוין קמח נז.) שגם מקצת רבותינו שבצרפת פוסקים להקל</w:t>
      </w:r>
      <w:r>
        <w:rPr>
          <w:rFonts w:cs="Arial" w:hint="cs"/>
          <w:rtl/>
        </w:rPr>
        <w:t>. וכ"כ המרדכי בשם רבותיו שבצרפת.</w:t>
      </w:r>
    </w:p>
  </w:footnote>
  <w:footnote w:id="2909">
    <w:p w14:paraId="30649380" w14:textId="77777777" w:rsidR="004C5A3C" w:rsidRDefault="004C5A3C" w:rsidP="002C39F4">
      <w:pPr>
        <w:pStyle w:val="a5"/>
        <w:rPr>
          <w:rtl/>
        </w:rPr>
      </w:pPr>
      <w:r>
        <w:rPr>
          <w:rStyle w:val="a7"/>
        </w:rPr>
        <w:footnoteRef/>
      </w:r>
      <w:r>
        <w:rPr>
          <w:rtl/>
        </w:rPr>
        <w:t xml:space="preserve"> </w:t>
      </w:r>
      <w:r>
        <w:rPr>
          <w:rFonts w:cs="Arial" w:hint="cs"/>
          <w:rtl/>
        </w:rPr>
        <w:t>וכ' ה</w:t>
      </w:r>
      <w:r w:rsidRPr="00954B3D">
        <w:rPr>
          <w:rFonts w:cs="Arial"/>
          <w:rtl/>
        </w:rPr>
        <w:t>ר"ן (לט: סוד"ה גמ') ד</w:t>
      </w:r>
      <w:r>
        <w:rPr>
          <w:rFonts w:cs="Arial" w:hint="cs"/>
          <w:rtl/>
        </w:rPr>
        <w:t xml:space="preserve">הרמב"ם </w:t>
      </w:r>
      <w:r w:rsidRPr="00954B3D">
        <w:rPr>
          <w:rFonts w:cs="Arial"/>
          <w:rtl/>
        </w:rPr>
        <w:t>לטעמיה אזיל שסובר דטבילת כלים אינה אלא מדברי סופרים</w:t>
      </w:r>
      <w:r>
        <w:rPr>
          <w:rFonts w:hint="cs"/>
          <w:rtl/>
        </w:rPr>
        <w:t>.</w:t>
      </w:r>
    </w:p>
  </w:footnote>
  <w:footnote w:id="2910">
    <w:p w14:paraId="1D7B73D6" w14:textId="77777777" w:rsidR="004C5A3C" w:rsidRDefault="004C5A3C" w:rsidP="002C39F4">
      <w:pPr>
        <w:pStyle w:val="a5"/>
        <w:rPr>
          <w:rtl/>
        </w:rPr>
      </w:pPr>
      <w:r>
        <w:rPr>
          <w:rStyle w:val="a7"/>
        </w:rPr>
        <w:footnoteRef/>
      </w:r>
      <w:r>
        <w:rPr>
          <w:rtl/>
        </w:rPr>
        <w:t xml:space="preserve"> </w:t>
      </w:r>
      <w:r>
        <w:rPr>
          <w:rFonts w:hint="cs"/>
          <w:rtl/>
        </w:rPr>
        <w:t>וגם הסמ"ג והמרדכי הזכירו סברא זו בשם יש אומרים.</w:t>
      </w:r>
    </w:p>
  </w:footnote>
  <w:footnote w:id="2911">
    <w:p w14:paraId="2417A685" w14:textId="77777777" w:rsidR="004C5A3C" w:rsidRDefault="004C5A3C" w:rsidP="002C39F4">
      <w:pPr>
        <w:pStyle w:val="a5"/>
      </w:pPr>
      <w:r>
        <w:rPr>
          <w:rStyle w:val="a7"/>
        </w:rPr>
        <w:footnoteRef/>
      </w:r>
      <w:r>
        <w:rPr>
          <w:rtl/>
        </w:rPr>
        <w:t xml:space="preserve"> </w:t>
      </w:r>
      <w:r>
        <w:rPr>
          <w:rFonts w:cs="Arial" w:hint="cs"/>
          <w:rtl/>
        </w:rPr>
        <w:t>כ"כ</w:t>
      </w:r>
      <w:r>
        <w:rPr>
          <w:rFonts w:cs="Arial"/>
          <w:rtl/>
        </w:rPr>
        <w:t xml:space="preserve"> התוס</w:t>
      </w:r>
      <w:r>
        <w:rPr>
          <w:rFonts w:cs="Arial" w:hint="cs"/>
          <w:rtl/>
        </w:rPr>
        <w:t>'</w:t>
      </w:r>
      <w:r>
        <w:rPr>
          <w:rFonts w:cs="Arial"/>
          <w:rtl/>
        </w:rPr>
        <w:t xml:space="preserve"> (עה: ד"ה אי)</w:t>
      </w:r>
      <w:r>
        <w:rPr>
          <w:rFonts w:cs="Arial" w:hint="cs"/>
          <w:rtl/>
        </w:rPr>
        <w:t>,</w:t>
      </w:r>
      <w:r>
        <w:rPr>
          <w:rFonts w:cs="Arial"/>
          <w:rtl/>
        </w:rPr>
        <w:t xml:space="preserve"> וכ</w:t>
      </w:r>
      <w:r>
        <w:rPr>
          <w:rFonts w:cs="Arial" w:hint="cs"/>
          <w:rtl/>
        </w:rPr>
        <w:t>"כ</w:t>
      </w:r>
      <w:r>
        <w:rPr>
          <w:rFonts w:cs="Arial"/>
          <w:rtl/>
        </w:rPr>
        <w:t xml:space="preserve"> המרדכי (שם) בשם רש"י</w:t>
      </w:r>
      <w:r>
        <w:rPr>
          <w:rFonts w:cs="Arial" w:hint="cs"/>
          <w:rtl/>
        </w:rPr>
        <w:t>,</w:t>
      </w:r>
      <w:r>
        <w:rPr>
          <w:rFonts w:cs="Arial"/>
          <w:rtl/>
        </w:rPr>
        <w:t xml:space="preserve"> והכי נקטינן</w:t>
      </w:r>
      <w:r>
        <w:rPr>
          <w:rFonts w:cs="Arial" w:hint="cs"/>
          <w:rtl/>
        </w:rPr>
        <w:t>, ב"י.</w:t>
      </w:r>
    </w:p>
  </w:footnote>
  <w:footnote w:id="2912">
    <w:p w14:paraId="3A5C049F" w14:textId="77777777" w:rsidR="004C5A3C" w:rsidRPr="004C6293" w:rsidRDefault="004C5A3C" w:rsidP="002C39F4">
      <w:pPr>
        <w:pStyle w:val="a5"/>
        <w:rPr>
          <w:rFonts w:cs="Arial"/>
          <w:rtl/>
        </w:rPr>
      </w:pPr>
      <w:r>
        <w:rPr>
          <w:rStyle w:val="a7"/>
        </w:rPr>
        <w:footnoteRef/>
      </w:r>
      <w:r>
        <w:rPr>
          <w:rtl/>
        </w:rPr>
        <w:t xml:space="preserve"> </w:t>
      </w:r>
      <w:r>
        <w:rPr>
          <w:rFonts w:hint="cs"/>
          <w:rtl/>
        </w:rPr>
        <w:t xml:space="preserve">אך הט"ז (סקי"א) כתב- </w:t>
      </w:r>
      <w:r w:rsidRPr="004C6293">
        <w:rPr>
          <w:rFonts w:cs="Arial"/>
          <w:rtl/>
        </w:rPr>
        <w:t>אמנם נ</w:t>
      </w:r>
      <w:r>
        <w:rPr>
          <w:rFonts w:cs="Arial" w:hint="cs"/>
          <w:rtl/>
        </w:rPr>
        <w:t>"</w:t>
      </w:r>
      <w:r w:rsidRPr="004C6293">
        <w:rPr>
          <w:rFonts w:cs="Arial"/>
          <w:rtl/>
        </w:rPr>
        <w:t>ל היתר ברור להשתמש במשכן של עובד כוכבים שלא ברשות</w:t>
      </w:r>
      <w:r>
        <w:rPr>
          <w:rFonts w:cs="Arial" w:hint="cs"/>
          <w:rtl/>
        </w:rPr>
        <w:t>...</w:t>
      </w:r>
      <w:r w:rsidRPr="004C6293">
        <w:rPr>
          <w:rtl/>
        </w:rPr>
        <w:t xml:space="preserve"> </w:t>
      </w:r>
      <w:r w:rsidRPr="004C6293">
        <w:rPr>
          <w:rFonts w:cs="Arial"/>
          <w:rtl/>
        </w:rPr>
        <w:t>וכן ראיתי בקהלות גדולות שבימי הסוכות משתמשים בבגדים המצויירים משכנות של עובדי כוכבים לנוי סוכה ומשאילין לאחרים רבים וכן שלימים וחלילה לומר דכולהו עבדי איסורא</w:t>
      </w:r>
      <w:r>
        <w:rPr>
          <w:rFonts w:cs="Arial" w:hint="cs"/>
          <w:rtl/>
        </w:rPr>
        <w:t>,</w:t>
      </w:r>
      <w:r w:rsidRPr="004C6293">
        <w:rPr>
          <w:rFonts w:cs="Arial"/>
          <w:rtl/>
        </w:rPr>
        <w:t xml:space="preserve"> ובאמת גם במהרי"ל לא חתם מהרי"ל עצמו על זה אלא המעתיק אפשר ששמע וטעה</w:t>
      </w:r>
      <w:r>
        <w:rPr>
          <w:rFonts w:cs="Arial" w:hint="cs"/>
          <w:rtl/>
        </w:rPr>
        <w:t>. עכ"ל.</w:t>
      </w:r>
      <w:r w:rsidRPr="004C6293">
        <w:rPr>
          <w:rFonts w:cs="Arial"/>
          <w:rtl/>
        </w:rPr>
        <w:t xml:space="preserve"> </w:t>
      </w:r>
      <w:r>
        <w:rPr>
          <w:rFonts w:cs="Arial" w:hint="cs"/>
          <w:rtl/>
        </w:rPr>
        <w:t>וכ"כ הפר"ח (סקכ"ה). וגם הש"ך (סקי"ט)</w:t>
      </w:r>
      <w:r w:rsidRPr="00BF1083">
        <w:rPr>
          <w:rFonts w:cs="Arial"/>
          <w:rtl/>
        </w:rPr>
        <w:t xml:space="preserve"> </w:t>
      </w:r>
      <w:r>
        <w:rPr>
          <w:rFonts w:cs="Arial" w:hint="cs"/>
          <w:rtl/>
        </w:rPr>
        <w:t>כתב על דברי מהרי"ל, וז"ל- ו</w:t>
      </w:r>
      <w:r w:rsidRPr="00BF1083">
        <w:rPr>
          <w:rFonts w:cs="Arial"/>
          <w:rtl/>
        </w:rPr>
        <w:t>אין נוהגין כן</w:t>
      </w:r>
      <w:r>
        <w:rPr>
          <w:rFonts w:cs="Arial" w:hint="cs"/>
          <w:rtl/>
        </w:rPr>
        <w:t xml:space="preserve"> אלא משתמשים במשכונות גוים אפילו בלא רשות הגוים אפילו ידוע שאין דעתו לשקעו,</w:t>
      </w:r>
      <w:r w:rsidRPr="00BF1083">
        <w:rPr>
          <w:rFonts w:cs="Arial"/>
          <w:rtl/>
        </w:rPr>
        <w:t xml:space="preserve"> ונראה דס</w:t>
      </w:r>
      <w:r>
        <w:rPr>
          <w:rFonts w:cs="Arial" w:hint="cs"/>
          <w:rtl/>
        </w:rPr>
        <w:t xml:space="preserve">בירא </w:t>
      </w:r>
      <w:r w:rsidRPr="00BF1083">
        <w:rPr>
          <w:rFonts w:cs="Arial"/>
          <w:rtl/>
        </w:rPr>
        <w:t>ל</w:t>
      </w:r>
      <w:r>
        <w:rPr>
          <w:rFonts w:cs="Arial" w:hint="cs"/>
          <w:rtl/>
        </w:rPr>
        <w:t>הו</w:t>
      </w:r>
      <w:r w:rsidRPr="00BF1083">
        <w:rPr>
          <w:rFonts w:cs="Arial"/>
          <w:rtl/>
        </w:rPr>
        <w:t xml:space="preserve"> דאין בזה משום גניבת דעת העובד כוכבים מה שמשתמש בו</w:t>
      </w:r>
      <w:r>
        <w:rPr>
          <w:rFonts w:cs="Arial" w:hint="cs"/>
          <w:rtl/>
        </w:rPr>
        <w:t>. עכ"ל. אמנם כתב בית הילל (סק"א) דבכלי כסף מותר להשתמש דוקא צונן, אבל לא בחמין משום דמפסיד.</w:t>
      </w:r>
    </w:p>
  </w:footnote>
  <w:footnote w:id="2913">
    <w:p w14:paraId="772A2C76" w14:textId="77777777" w:rsidR="004C5A3C" w:rsidRDefault="004C5A3C" w:rsidP="002C39F4">
      <w:pPr>
        <w:pStyle w:val="a5"/>
        <w:rPr>
          <w:rtl/>
        </w:rPr>
      </w:pPr>
      <w:r>
        <w:rPr>
          <w:rStyle w:val="a7"/>
        </w:rPr>
        <w:footnoteRef/>
      </w:r>
      <w:r>
        <w:rPr>
          <w:rtl/>
        </w:rPr>
        <w:t xml:space="preserve"> </w:t>
      </w:r>
      <w:r w:rsidRPr="007951D0">
        <w:rPr>
          <w:rFonts w:cs="Arial"/>
          <w:rtl/>
        </w:rPr>
        <w:t>כ</w:t>
      </w:r>
      <w:r>
        <w:rPr>
          <w:rFonts w:cs="Arial" w:hint="cs"/>
          <w:rtl/>
        </w:rPr>
        <w:t>'</w:t>
      </w:r>
      <w:r w:rsidRPr="007951D0">
        <w:rPr>
          <w:rFonts w:cs="Arial"/>
          <w:rtl/>
        </w:rPr>
        <w:t xml:space="preserve"> הפר"ח</w:t>
      </w:r>
      <w:r w:rsidRPr="00A27479">
        <w:rPr>
          <w:rFonts w:cs="Arial"/>
          <w:sz w:val="16"/>
          <w:szCs w:val="16"/>
          <w:rtl/>
        </w:rPr>
        <w:t xml:space="preserve"> </w:t>
      </w:r>
      <w:r w:rsidRPr="00A27479">
        <w:rPr>
          <w:rFonts w:cs="Arial" w:hint="cs"/>
          <w:sz w:val="16"/>
          <w:szCs w:val="16"/>
          <w:rtl/>
        </w:rPr>
        <w:t>(הביאו הפת"ש סקי"א)</w:t>
      </w:r>
      <w:r>
        <w:rPr>
          <w:rFonts w:cs="Arial" w:hint="cs"/>
          <w:rtl/>
        </w:rPr>
        <w:t xml:space="preserve"> </w:t>
      </w:r>
      <w:r w:rsidRPr="007951D0">
        <w:rPr>
          <w:rFonts w:cs="Arial"/>
          <w:rtl/>
        </w:rPr>
        <w:t>מסתברא דכלי זכוכית דלא מחייב לאטבולינהו אלא מדרבנן הוי ליה ספק דרבנן ולקולא וכל שאינו רואה בדעת ה</w:t>
      </w:r>
      <w:r>
        <w:rPr>
          <w:rFonts w:cs="Arial" w:hint="cs"/>
          <w:rtl/>
        </w:rPr>
        <w:t>גוי</w:t>
      </w:r>
      <w:r w:rsidRPr="007951D0">
        <w:rPr>
          <w:rFonts w:cs="Arial"/>
          <w:rtl/>
        </w:rPr>
        <w:t xml:space="preserve"> שרוצה לשקען אין צריך טבילה</w:t>
      </w:r>
      <w:r>
        <w:rPr>
          <w:rFonts w:cs="Arial" w:hint="cs"/>
          <w:rtl/>
        </w:rPr>
        <w:t>.</w:t>
      </w:r>
    </w:p>
  </w:footnote>
  <w:footnote w:id="2914">
    <w:p w14:paraId="27F8AFDE" w14:textId="77777777" w:rsidR="004C5A3C" w:rsidRDefault="004C5A3C" w:rsidP="002C39F4">
      <w:pPr>
        <w:pStyle w:val="a5"/>
      </w:pPr>
      <w:r>
        <w:rPr>
          <w:rStyle w:val="a7"/>
        </w:rPr>
        <w:footnoteRef/>
      </w:r>
      <w:r>
        <w:rPr>
          <w:rtl/>
        </w:rPr>
        <w:t xml:space="preserve"> </w:t>
      </w:r>
      <w:r w:rsidRPr="00BF1083">
        <w:rPr>
          <w:rFonts w:cs="Arial"/>
          <w:rtl/>
        </w:rPr>
        <w:t>וכתב האו"ה</w:t>
      </w:r>
      <w:r w:rsidRPr="00BF1083">
        <w:rPr>
          <w:rFonts w:cs="Arial"/>
          <w:sz w:val="16"/>
          <w:szCs w:val="16"/>
          <w:rtl/>
        </w:rPr>
        <w:t xml:space="preserve"> </w:t>
      </w:r>
      <w:r w:rsidRPr="00BF1083">
        <w:rPr>
          <w:rFonts w:cs="Arial" w:hint="cs"/>
          <w:sz w:val="16"/>
          <w:szCs w:val="16"/>
          <w:rtl/>
        </w:rPr>
        <w:t>(</w:t>
      </w:r>
      <w:r w:rsidRPr="00BF1083">
        <w:rPr>
          <w:rFonts w:cs="Arial"/>
          <w:sz w:val="16"/>
          <w:szCs w:val="16"/>
          <w:rtl/>
        </w:rPr>
        <w:t xml:space="preserve">שם דין </w:t>
      </w:r>
      <w:r w:rsidRPr="00BF1083">
        <w:rPr>
          <w:rFonts w:cs="Arial" w:hint="cs"/>
          <w:sz w:val="16"/>
          <w:szCs w:val="16"/>
          <w:rtl/>
        </w:rPr>
        <w:t>צא)</w:t>
      </w:r>
      <w:r w:rsidRPr="00BF1083">
        <w:rPr>
          <w:rFonts w:cs="Arial"/>
          <w:rtl/>
        </w:rPr>
        <w:t xml:space="preserve"> ומיהו אם הוסיף מעות להעובד כוכבים וקנה המשכון ממנו לאחר שהטבילו מספק צריך טבילה פעם אחרת ויברך דאדעתא דהכי לא טבל מתחלה</w:t>
      </w:r>
      <w:r>
        <w:rPr>
          <w:rFonts w:cs="Arial" w:hint="cs"/>
          <w:rtl/>
        </w:rPr>
        <w:t>, ש"ך (סק"כ).</w:t>
      </w:r>
    </w:p>
  </w:footnote>
  <w:footnote w:id="2915">
    <w:p w14:paraId="0A7F9B03" w14:textId="77777777" w:rsidR="004C5A3C" w:rsidRPr="004C253D" w:rsidRDefault="004C5A3C" w:rsidP="002C39F4">
      <w:pPr>
        <w:pStyle w:val="a5"/>
        <w:rPr>
          <w:rtl/>
        </w:rPr>
      </w:pPr>
      <w:r>
        <w:rPr>
          <w:rStyle w:val="a7"/>
        </w:rPr>
        <w:footnoteRef/>
      </w:r>
      <w:r>
        <w:rPr>
          <w:rtl/>
        </w:rPr>
        <w:t xml:space="preserve"> </w:t>
      </w:r>
      <w:r>
        <w:rPr>
          <w:rFonts w:hint="cs"/>
          <w:rtl/>
        </w:rPr>
        <w:t xml:space="preserve">ז"ל </w:t>
      </w:r>
      <w:r>
        <w:rPr>
          <w:rFonts w:cs="Arial" w:hint="cs"/>
          <w:rtl/>
        </w:rPr>
        <w:t>ה</w:t>
      </w:r>
      <w:r w:rsidRPr="00E5565C">
        <w:rPr>
          <w:rFonts w:cs="Arial"/>
          <w:rtl/>
        </w:rPr>
        <w:t>תוס</w:t>
      </w:r>
      <w:r w:rsidRPr="00E5565C">
        <w:rPr>
          <w:rFonts w:cs="Arial" w:hint="cs"/>
          <w:rtl/>
        </w:rPr>
        <w:t xml:space="preserve">' </w:t>
      </w:r>
      <w:r w:rsidRPr="00487655">
        <w:rPr>
          <w:rFonts w:cs="Arial"/>
          <w:sz w:val="16"/>
          <w:szCs w:val="16"/>
          <w:rtl/>
        </w:rPr>
        <w:t>(עה: ד"ה אי)</w:t>
      </w:r>
      <w:r w:rsidRPr="00E5565C">
        <w:rPr>
          <w:rFonts w:cs="Arial" w:hint="cs"/>
          <w:rtl/>
        </w:rPr>
        <w:t>-</w:t>
      </w:r>
      <w:r w:rsidRPr="00E5565C">
        <w:rPr>
          <w:rFonts w:cs="Arial"/>
          <w:rtl/>
        </w:rPr>
        <w:t xml:space="preserve"> </w:t>
      </w:r>
      <w:r w:rsidRPr="00A163B6">
        <w:rPr>
          <w:rFonts w:cs="Arial"/>
          <w:rtl/>
        </w:rPr>
        <w:t xml:space="preserve">הנותן כלי לאומן </w:t>
      </w:r>
      <w:r>
        <w:rPr>
          <w:rFonts w:cs="Arial" w:hint="cs"/>
          <w:rtl/>
        </w:rPr>
        <w:t>גוי</w:t>
      </w:r>
      <w:r w:rsidRPr="00A163B6">
        <w:rPr>
          <w:rFonts w:cs="Arial"/>
          <w:rtl/>
        </w:rPr>
        <w:t xml:space="preserve"> לתקן </w:t>
      </w:r>
      <w:r w:rsidRPr="00873F03">
        <w:rPr>
          <w:rFonts w:cs="Arial"/>
          <w:rtl/>
        </w:rPr>
        <w:t>אפילו למאן דאמר אומן קונה בשבח כלי אין צריך טבילה כיון דאין שמו עליו דלא הוי כמעשה שהיה שהיו הכלים של מדין</w:t>
      </w:r>
      <w:r>
        <w:rPr>
          <w:rFonts w:hint="cs"/>
          <w:rtl/>
        </w:rPr>
        <w:t xml:space="preserve">. עכ"ל. הב"י פירש שהתוס' </w:t>
      </w:r>
      <w:r w:rsidRPr="004C253D">
        <w:rPr>
          <w:rFonts w:hint="cs"/>
          <w:sz w:val="16"/>
          <w:szCs w:val="16"/>
          <w:rtl/>
        </w:rPr>
        <w:t>(וכן הרא"ש</w:t>
      </w:r>
      <w:r>
        <w:rPr>
          <w:rFonts w:hint="cs"/>
          <w:sz w:val="16"/>
          <w:szCs w:val="16"/>
          <w:rtl/>
        </w:rPr>
        <w:t>,</w:t>
      </w:r>
      <w:r w:rsidRPr="004C253D">
        <w:rPr>
          <w:rFonts w:hint="cs"/>
          <w:sz w:val="16"/>
          <w:szCs w:val="16"/>
          <w:rtl/>
        </w:rPr>
        <w:t xml:space="preserve"> שדברי</w:t>
      </w:r>
      <w:r>
        <w:rPr>
          <w:rFonts w:hint="cs"/>
          <w:sz w:val="16"/>
          <w:szCs w:val="16"/>
          <w:rtl/>
        </w:rPr>
        <w:t>ו</w:t>
      </w:r>
      <w:r w:rsidRPr="004C253D">
        <w:rPr>
          <w:rFonts w:hint="cs"/>
          <w:sz w:val="16"/>
          <w:szCs w:val="16"/>
          <w:rtl/>
        </w:rPr>
        <w:t xml:space="preserve"> כמו העתק דברי התוס')</w:t>
      </w:r>
      <w:r>
        <w:rPr>
          <w:rFonts w:hint="cs"/>
          <w:sz w:val="16"/>
          <w:szCs w:val="16"/>
          <w:rtl/>
        </w:rPr>
        <w:t xml:space="preserve"> </w:t>
      </w:r>
      <w:r>
        <w:rPr>
          <w:rFonts w:hint="cs"/>
          <w:rtl/>
        </w:rPr>
        <w:t>מיירי בנתן ישראל חתיכת כסף לאומן גוי ע"מ לעשות לו כלי</w:t>
      </w:r>
      <w:r>
        <w:rPr>
          <w:rFonts w:hint="cs"/>
          <w:sz w:val="16"/>
          <w:szCs w:val="16"/>
          <w:rtl/>
        </w:rPr>
        <w:t xml:space="preserve"> </w:t>
      </w:r>
      <w:r w:rsidRPr="008D2754">
        <w:rPr>
          <w:rFonts w:hint="cs"/>
          <w:rtl/>
        </w:rPr>
        <w:t>ואפ"ה אינו צריך טבילה</w:t>
      </w:r>
      <w:r>
        <w:rPr>
          <w:rFonts w:hint="cs"/>
          <w:rtl/>
        </w:rPr>
        <w:t>, ור"פ פירש דהתוס' מיירי בנתן הישראל כלי מנוקב שמחזיק רביעית לגוי ע"מ לתקנו ולכן אינו צריך טבילה.</w:t>
      </w:r>
    </w:p>
  </w:footnote>
  <w:footnote w:id="2916">
    <w:p w14:paraId="5C6A80E1" w14:textId="77777777" w:rsidR="004C5A3C" w:rsidRDefault="004C5A3C" w:rsidP="002C39F4">
      <w:pPr>
        <w:pStyle w:val="a5"/>
      </w:pPr>
      <w:r>
        <w:rPr>
          <w:rStyle w:val="a7"/>
        </w:rPr>
        <w:footnoteRef/>
      </w:r>
      <w:r>
        <w:rPr>
          <w:rtl/>
        </w:rPr>
        <w:t xml:space="preserve"> </w:t>
      </w:r>
      <w:r>
        <w:rPr>
          <w:rFonts w:hint="cs"/>
          <w:rtl/>
        </w:rPr>
        <w:t>וז"ל-</w:t>
      </w:r>
      <w:r w:rsidRPr="003D5B56">
        <w:rPr>
          <w:rFonts w:cs="Arial"/>
          <w:rtl/>
        </w:rPr>
        <w:t xml:space="preserve"> </w:t>
      </w:r>
      <w:r w:rsidRPr="00E5565C">
        <w:rPr>
          <w:rFonts w:cs="Arial"/>
          <w:rtl/>
        </w:rPr>
        <w:t xml:space="preserve">הנותן כסף לאומן </w:t>
      </w:r>
      <w:r>
        <w:rPr>
          <w:rFonts w:cs="Arial" w:hint="cs"/>
          <w:rtl/>
        </w:rPr>
        <w:t>גוי</w:t>
      </w:r>
      <w:r w:rsidRPr="00E5565C">
        <w:rPr>
          <w:rFonts w:cs="Arial"/>
          <w:rtl/>
        </w:rPr>
        <w:t xml:space="preserve"> לתקן לו כלי יש שרוצים לומר למ"ד אומן קונה בשבח כלי טעון טבילה</w:t>
      </w:r>
      <w:r>
        <w:rPr>
          <w:rFonts w:cs="Arial" w:hint="cs"/>
          <w:rtl/>
        </w:rPr>
        <w:t>,</w:t>
      </w:r>
      <w:r w:rsidRPr="00E5565C">
        <w:rPr>
          <w:rFonts w:cs="Arial"/>
          <w:rtl/>
        </w:rPr>
        <w:t xml:space="preserve"> ופליגי ביה אמוראי בפ' הגוזל קמא </w:t>
      </w:r>
      <w:r w:rsidRPr="00487655">
        <w:rPr>
          <w:rFonts w:cs="Arial"/>
          <w:sz w:val="16"/>
          <w:szCs w:val="16"/>
          <w:rtl/>
        </w:rPr>
        <w:t>(</w:t>
      </w:r>
      <w:r w:rsidRPr="00487655">
        <w:rPr>
          <w:rFonts w:cs="Arial" w:hint="cs"/>
          <w:sz w:val="16"/>
          <w:szCs w:val="16"/>
          <w:rtl/>
        </w:rPr>
        <w:t>ב"ק</w:t>
      </w:r>
      <w:r w:rsidRPr="00487655">
        <w:rPr>
          <w:rFonts w:cs="Arial"/>
          <w:sz w:val="16"/>
          <w:szCs w:val="16"/>
          <w:rtl/>
        </w:rPr>
        <w:t xml:space="preserve"> </w:t>
      </w:r>
      <w:r w:rsidRPr="00487655">
        <w:rPr>
          <w:rFonts w:cs="Arial" w:hint="cs"/>
          <w:sz w:val="16"/>
          <w:szCs w:val="16"/>
          <w:rtl/>
        </w:rPr>
        <w:t>צח:-</w:t>
      </w:r>
      <w:r w:rsidRPr="00487655">
        <w:rPr>
          <w:rFonts w:cs="Arial"/>
          <w:sz w:val="16"/>
          <w:szCs w:val="16"/>
          <w:rtl/>
        </w:rPr>
        <w:t>צט</w:t>
      </w:r>
      <w:r w:rsidRPr="00487655">
        <w:rPr>
          <w:rFonts w:cs="Arial" w:hint="cs"/>
          <w:sz w:val="16"/>
          <w:szCs w:val="16"/>
          <w:rtl/>
        </w:rPr>
        <w:t>.</w:t>
      </w:r>
      <w:r w:rsidRPr="00487655">
        <w:rPr>
          <w:rFonts w:cs="Arial"/>
          <w:sz w:val="16"/>
          <w:szCs w:val="16"/>
          <w:rtl/>
        </w:rPr>
        <w:t>)</w:t>
      </w:r>
      <w:r>
        <w:rPr>
          <w:rFonts w:cs="Arial" w:hint="cs"/>
          <w:rtl/>
        </w:rPr>
        <w:t>,</w:t>
      </w:r>
      <w:r w:rsidRPr="00E5565C">
        <w:rPr>
          <w:rFonts w:cs="Arial"/>
          <w:rtl/>
        </w:rPr>
        <w:t xml:space="preserve"> ובעל ההלכות </w:t>
      </w:r>
      <w:r w:rsidRPr="00487655">
        <w:rPr>
          <w:rFonts w:cs="Arial"/>
          <w:sz w:val="16"/>
          <w:szCs w:val="16"/>
          <w:rtl/>
        </w:rPr>
        <w:t xml:space="preserve">(בה"ג סי' מג צ ריש ע"ג) </w:t>
      </w:r>
      <w:r w:rsidRPr="00E5565C">
        <w:rPr>
          <w:rFonts w:cs="Arial"/>
          <w:rtl/>
        </w:rPr>
        <w:t>פסק כרב אשי דאמר אומן קונה בשבח כלי</w:t>
      </w:r>
      <w:r>
        <w:rPr>
          <w:rFonts w:cs="Arial" w:hint="cs"/>
          <w:rtl/>
        </w:rPr>
        <w:t>,</w:t>
      </w:r>
      <w:r w:rsidRPr="00E5565C">
        <w:rPr>
          <w:rFonts w:cs="Arial"/>
          <w:rtl/>
        </w:rPr>
        <w:t xml:space="preserve"> ורב אלפס </w:t>
      </w:r>
      <w:r w:rsidRPr="00487655">
        <w:rPr>
          <w:rFonts w:cs="Arial"/>
          <w:sz w:val="16"/>
          <w:szCs w:val="16"/>
          <w:rtl/>
        </w:rPr>
        <w:t xml:space="preserve">(ב"ק לה:) </w:t>
      </w:r>
      <w:r w:rsidRPr="00E5565C">
        <w:rPr>
          <w:rFonts w:cs="Arial"/>
          <w:rtl/>
        </w:rPr>
        <w:t>פסק כרבא דדחי התם דכו"ע אין אומן קונה בשבח כלי</w:t>
      </w:r>
      <w:r>
        <w:rPr>
          <w:rFonts w:cs="Arial" w:hint="cs"/>
          <w:rtl/>
        </w:rPr>
        <w:t>,</w:t>
      </w:r>
      <w:r w:rsidRPr="00E5565C">
        <w:rPr>
          <w:rFonts w:cs="Arial"/>
          <w:rtl/>
        </w:rPr>
        <w:t xml:space="preserve"> </w:t>
      </w:r>
      <w:r>
        <w:rPr>
          <w:rFonts w:cs="Arial" w:hint="cs"/>
          <w:rtl/>
        </w:rPr>
        <w:t>[</w:t>
      </w:r>
      <w:r w:rsidRPr="003D5B56">
        <w:rPr>
          <w:rFonts w:cs="Arial"/>
          <w:rtl/>
        </w:rPr>
        <w:t>ונראה דאפילו למאן דאמר אומן קונה בשבח כלי</w:t>
      </w:r>
      <w:r>
        <w:rPr>
          <w:rFonts w:cs="Arial" w:hint="cs"/>
          <w:rtl/>
        </w:rPr>
        <w:t>] (</w:t>
      </w:r>
      <w:r w:rsidRPr="00E5565C">
        <w:rPr>
          <w:rFonts w:cs="Arial"/>
          <w:rtl/>
        </w:rPr>
        <w:t>ו</w:t>
      </w:r>
      <w:r>
        <w:rPr>
          <w:rFonts w:cs="Arial" w:hint="cs"/>
          <w:rtl/>
        </w:rPr>
        <w:t>)</w:t>
      </w:r>
      <w:r w:rsidRPr="00E5565C">
        <w:rPr>
          <w:rFonts w:cs="Arial"/>
          <w:rtl/>
        </w:rPr>
        <w:t>א"צ טבילה כיון דלא נקרא שם ה</w:t>
      </w:r>
      <w:r>
        <w:rPr>
          <w:rFonts w:cs="Arial" w:hint="cs"/>
          <w:rtl/>
        </w:rPr>
        <w:t>גוי</w:t>
      </w:r>
      <w:r w:rsidRPr="00E5565C">
        <w:rPr>
          <w:rFonts w:cs="Arial"/>
          <w:rtl/>
        </w:rPr>
        <w:t xml:space="preserve"> עלי</w:t>
      </w:r>
      <w:r>
        <w:rPr>
          <w:rFonts w:cs="Arial" w:hint="cs"/>
          <w:rtl/>
        </w:rPr>
        <w:t>ו,</w:t>
      </w:r>
      <w:r w:rsidRPr="00E5565C">
        <w:rPr>
          <w:rFonts w:cs="Arial"/>
          <w:rtl/>
        </w:rPr>
        <w:t xml:space="preserve"> ולא דמי לכלי מדין.</w:t>
      </w:r>
      <w:r>
        <w:rPr>
          <w:rFonts w:cs="Arial" w:hint="cs"/>
          <w:rtl/>
        </w:rPr>
        <w:t xml:space="preserve"> עכ"ל.</w:t>
      </w:r>
      <w:r w:rsidRPr="003D5B56">
        <w:rPr>
          <w:rFonts w:hint="cs"/>
          <w:sz w:val="16"/>
          <w:szCs w:val="16"/>
          <w:rtl/>
        </w:rPr>
        <w:t xml:space="preserve"> (את הכתוב בסוגריים המרובעות הוסיף הב"י (בבדה"ב) על דברי הרא"ש, וכן איתא בתוס' (שם), וכן העיר הפלפולא חריפתא (אות ב) על דברי הרא"ש</w:t>
      </w:r>
      <w:r>
        <w:rPr>
          <w:rFonts w:hint="cs"/>
          <w:sz w:val="16"/>
          <w:szCs w:val="16"/>
          <w:rtl/>
        </w:rPr>
        <w:t>)</w:t>
      </w:r>
      <w:r>
        <w:rPr>
          <w:rFonts w:hint="cs"/>
          <w:rtl/>
        </w:rPr>
        <w:t>.</w:t>
      </w:r>
      <w:r w:rsidRPr="001C1DB7">
        <w:rPr>
          <w:rFonts w:hint="cs"/>
          <w:rtl/>
        </w:rPr>
        <w:t xml:space="preserve"> </w:t>
      </w:r>
      <w:r>
        <w:rPr>
          <w:rFonts w:hint="cs"/>
          <w:rtl/>
        </w:rPr>
        <w:t xml:space="preserve">נראה מהאמור שהרא"ש העתיק את דברי התוס' במעט תוספת לשון, אך מ"מ נראה לפרש את דבריו כדברי התוס' ממש, לכן אפ"ל שהמחלוקת של הב"י ור"פ בהב' התוס' קשורה גם לפירוש דבריו, ומ"מ גם </w:t>
      </w:r>
      <w:r w:rsidRPr="002A6D54">
        <w:rPr>
          <w:rFonts w:cs="Arial" w:hint="cs"/>
          <w:rtl/>
        </w:rPr>
        <w:t>האו"ה</w:t>
      </w:r>
      <w:r w:rsidRPr="007147F0">
        <w:rPr>
          <w:rFonts w:cs="Arial" w:hint="cs"/>
          <w:sz w:val="16"/>
          <w:szCs w:val="16"/>
          <w:rtl/>
        </w:rPr>
        <w:t xml:space="preserve"> (כלל נח דע"ז)</w:t>
      </w:r>
      <w:r w:rsidRPr="002A6D54">
        <w:rPr>
          <w:rFonts w:cs="Arial" w:hint="cs"/>
          <w:rtl/>
        </w:rPr>
        <w:t xml:space="preserve"> </w:t>
      </w:r>
      <w:r>
        <w:rPr>
          <w:rFonts w:cs="Arial" w:hint="cs"/>
          <w:rtl/>
        </w:rPr>
        <w:t>כ' שדעת הרא"ש דאין צריך טבילה, וכפי שפירש הב"י את דבריו.</w:t>
      </w:r>
    </w:p>
  </w:footnote>
  <w:footnote w:id="2917">
    <w:p w14:paraId="7CDF19D1" w14:textId="77777777" w:rsidR="004C5A3C" w:rsidRPr="00DB5CC5" w:rsidRDefault="004C5A3C" w:rsidP="002C39F4">
      <w:pPr>
        <w:pStyle w:val="a5"/>
      </w:pPr>
      <w:r w:rsidRPr="00DB5CC5">
        <w:rPr>
          <w:rStyle w:val="a7"/>
        </w:rPr>
        <w:footnoteRef/>
      </w:r>
      <w:r w:rsidRPr="00DB5CC5">
        <w:rPr>
          <w:rtl/>
        </w:rPr>
        <w:t xml:space="preserve"> </w:t>
      </w:r>
      <w:r w:rsidRPr="00DB5CC5">
        <w:rPr>
          <w:rFonts w:cs="Arial" w:hint="cs"/>
          <w:rtl/>
        </w:rPr>
        <w:t xml:space="preserve">כן הב' הב"י </w:t>
      </w:r>
      <w:r w:rsidRPr="001C1DB7">
        <w:rPr>
          <w:rFonts w:cs="Arial" w:hint="cs"/>
          <w:sz w:val="16"/>
          <w:szCs w:val="16"/>
          <w:rtl/>
        </w:rPr>
        <w:t xml:space="preserve">(עמ' סח) </w:t>
      </w:r>
      <w:r w:rsidRPr="00DB5CC5">
        <w:rPr>
          <w:rFonts w:cs="Arial" w:hint="cs"/>
          <w:rtl/>
        </w:rPr>
        <w:t xml:space="preserve">את דברי הריצב"א כפי שהעתיקם הטור, וכן הבינו </w:t>
      </w:r>
      <w:r>
        <w:rPr>
          <w:rFonts w:cs="Arial" w:hint="cs"/>
          <w:rtl/>
        </w:rPr>
        <w:t xml:space="preserve">מהרש"ל </w:t>
      </w:r>
      <w:r w:rsidRPr="001C1DB7">
        <w:rPr>
          <w:rFonts w:cs="Arial" w:hint="cs"/>
          <w:sz w:val="16"/>
          <w:szCs w:val="16"/>
          <w:rtl/>
        </w:rPr>
        <w:t xml:space="preserve">(יש"ש ב"ק פ"ט סי' כט) </w:t>
      </w:r>
      <w:r w:rsidRPr="00DB5CC5">
        <w:rPr>
          <w:rFonts w:cs="Arial" w:hint="cs"/>
          <w:rtl/>
        </w:rPr>
        <w:t xml:space="preserve">דרכ"מ </w:t>
      </w:r>
      <w:r w:rsidRPr="001C1DB7">
        <w:rPr>
          <w:rFonts w:cs="Arial" w:hint="cs"/>
          <w:sz w:val="16"/>
          <w:szCs w:val="16"/>
          <w:rtl/>
        </w:rPr>
        <w:t xml:space="preserve">(אות ט) </w:t>
      </w:r>
      <w:r w:rsidRPr="00DB5CC5">
        <w:rPr>
          <w:rFonts w:cs="Arial" w:hint="cs"/>
          <w:rtl/>
        </w:rPr>
        <w:t xml:space="preserve">וש"ך </w:t>
      </w:r>
      <w:r w:rsidRPr="001C1DB7">
        <w:rPr>
          <w:rFonts w:cs="Arial" w:hint="cs"/>
          <w:sz w:val="16"/>
          <w:szCs w:val="16"/>
          <w:rtl/>
        </w:rPr>
        <w:t>(סקכ"א)</w:t>
      </w:r>
      <w:r w:rsidRPr="00DB5CC5">
        <w:rPr>
          <w:rFonts w:cs="Arial" w:hint="cs"/>
          <w:rtl/>
        </w:rPr>
        <w:t>.</w:t>
      </w:r>
      <w:r>
        <w:rPr>
          <w:rFonts w:cs="Arial" w:hint="cs"/>
          <w:rtl/>
        </w:rPr>
        <w:t xml:space="preserve"> והב"ח פירש את הסוגיא בעניין אחר. וגם הט"ז (סקי"ב) פירש בעניין אחר.</w:t>
      </w:r>
    </w:p>
  </w:footnote>
  <w:footnote w:id="2918">
    <w:p w14:paraId="15EE5E37" w14:textId="77777777" w:rsidR="004C5A3C" w:rsidRDefault="004C5A3C" w:rsidP="002C39F4">
      <w:pPr>
        <w:pStyle w:val="a5"/>
      </w:pPr>
      <w:r>
        <w:rPr>
          <w:rStyle w:val="a7"/>
        </w:rPr>
        <w:footnoteRef/>
      </w:r>
      <w:r>
        <w:rPr>
          <w:rtl/>
        </w:rPr>
        <w:t xml:space="preserve"> </w:t>
      </w:r>
      <w:r>
        <w:rPr>
          <w:rFonts w:cs="Arial" w:hint="cs"/>
          <w:rtl/>
        </w:rPr>
        <w:t>דאזלינן בתר הגוי דהוא המעמיד ולא בתר המתכת, ב"י בהבנת הריצב"א.</w:t>
      </w:r>
    </w:p>
  </w:footnote>
  <w:footnote w:id="2919">
    <w:p w14:paraId="74A11E0C" w14:textId="77777777" w:rsidR="004C5A3C" w:rsidRDefault="004C5A3C" w:rsidP="002C39F4">
      <w:pPr>
        <w:pStyle w:val="a5"/>
        <w:rPr>
          <w:rtl/>
        </w:rPr>
      </w:pPr>
      <w:r>
        <w:rPr>
          <w:rStyle w:val="a7"/>
        </w:rPr>
        <w:footnoteRef/>
      </w:r>
      <w:r>
        <w:rPr>
          <w:rtl/>
        </w:rPr>
        <w:t xml:space="preserve"> </w:t>
      </w:r>
      <w:r w:rsidRPr="00C05A24">
        <w:rPr>
          <w:rFonts w:cs="Arial"/>
          <w:rtl/>
        </w:rPr>
        <w:t>ר"י</w:t>
      </w:r>
      <w:r>
        <w:rPr>
          <w:rFonts w:cs="Arial" w:hint="cs"/>
          <w:sz w:val="16"/>
          <w:szCs w:val="16"/>
          <w:rtl/>
        </w:rPr>
        <w:t xml:space="preserve"> </w:t>
      </w:r>
      <w:r w:rsidRPr="0023442C">
        <w:rPr>
          <w:rFonts w:cs="Arial"/>
          <w:sz w:val="16"/>
          <w:szCs w:val="16"/>
          <w:rtl/>
        </w:rPr>
        <w:t>(</w:t>
      </w:r>
      <w:r>
        <w:rPr>
          <w:rFonts w:cs="Arial" w:hint="cs"/>
          <w:sz w:val="16"/>
          <w:szCs w:val="16"/>
          <w:rtl/>
        </w:rPr>
        <w:t>כ"כ המרדכי [</w:t>
      </w:r>
      <w:r w:rsidRPr="0023442C">
        <w:rPr>
          <w:rFonts w:cs="Arial"/>
          <w:sz w:val="16"/>
          <w:szCs w:val="16"/>
          <w:rtl/>
        </w:rPr>
        <w:t>סי' תתנט</w:t>
      </w:r>
      <w:r>
        <w:rPr>
          <w:rFonts w:cs="Arial" w:hint="cs"/>
          <w:sz w:val="16"/>
          <w:szCs w:val="16"/>
          <w:rtl/>
        </w:rPr>
        <w:t>] בשמו</w:t>
      </w:r>
      <w:r w:rsidRPr="0023442C">
        <w:rPr>
          <w:rFonts w:cs="Arial"/>
          <w:sz w:val="16"/>
          <w:szCs w:val="16"/>
          <w:rtl/>
        </w:rPr>
        <w:t>)</w:t>
      </w:r>
      <w:r w:rsidRPr="000A70F9">
        <w:rPr>
          <w:rFonts w:cs="Arial" w:hint="cs"/>
          <w:rtl/>
        </w:rPr>
        <w:t xml:space="preserve"> </w:t>
      </w:r>
      <w:r w:rsidRPr="00C33847">
        <w:rPr>
          <w:rFonts w:cs="Arial"/>
          <w:rtl/>
        </w:rPr>
        <w:t>ריצב"א</w:t>
      </w:r>
      <w:r w:rsidRPr="00C33847">
        <w:rPr>
          <w:rFonts w:cs="Arial" w:hint="cs"/>
          <w:sz w:val="16"/>
          <w:szCs w:val="16"/>
          <w:rtl/>
        </w:rPr>
        <w:t xml:space="preserve"> (כ"כ ר"פ והטור בשמו)</w:t>
      </w:r>
      <w:r w:rsidRPr="00C33847">
        <w:rPr>
          <w:rFonts w:cs="Arial" w:hint="cs"/>
          <w:rtl/>
        </w:rPr>
        <w:t xml:space="preserve"> </w:t>
      </w:r>
      <w:r>
        <w:rPr>
          <w:rFonts w:cs="Arial" w:hint="cs"/>
          <w:rtl/>
        </w:rPr>
        <w:t xml:space="preserve">(תוס' </w:t>
      </w:r>
      <w:r>
        <w:rPr>
          <w:rFonts w:cs="Arial" w:hint="cs"/>
          <w:sz w:val="16"/>
          <w:szCs w:val="16"/>
          <w:rtl/>
        </w:rPr>
        <w:t>להב' ר"פ</w:t>
      </w:r>
      <w:r w:rsidRPr="00A163B6">
        <w:rPr>
          <w:rFonts w:cs="Arial" w:hint="cs"/>
          <w:sz w:val="16"/>
          <w:szCs w:val="16"/>
          <w:rtl/>
        </w:rPr>
        <w:t xml:space="preserve"> </w:t>
      </w:r>
      <w:r>
        <w:rPr>
          <w:rFonts w:cs="Arial" w:hint="cs"/>
          <w:sz w:val="16"/>
          <w:szCs w:val="16"/>
          <w:rtl/>
        </w:rPr>
        <w:t>[שם]</w:t>
      </w:r>
      <w:r>
        <w:rPr>
          <w:rFonts w:cs="Arial" w:hint="cs"/>
          <w:rtl/>
        </w:rPr>
        <w:t xml:space="preserve">) </w:t>
      </w:r>
      <w:r w:rsidRPr="00C33847">
        <w:rPr>
          <w:rFonts w:cs="Arial" w:hint="cs"/>
          <w:rtl/>
        </w:rPr>
        <w:t>ור"פ</w:t>
      </w:r>
      <w:r w:rsidRPr="00C33847">
        <w:rPr>
          <w:rFonts w:cs="Arial"/>
          <w:sz w:val="16"/>
          <w:szCs w:val="16"/>
          <w:rtl/>
        </w:rPr>
        <w:t xml:space="preserve"> (</w:t>
      </w:r>
      <w:r w:rsidRPr="00C33847">
        <w:rPr>
          <w:rFonts w:cs="Arial" w:hint="cs"/>
          <w:sz w:val="16"/>
          <w:szCs w:val="16"/>
          <w:rtl/>
        </w:rPr>
        <w:t xml:space="preserve">בהגה' סמ"ק </w:t>
      </w:r>
      <w:r w:rsidRPr="00C33847">
        <w:rPr>
          <w:rFonts w:cs="Arial"/>
          <w:sz w:val="16"/>
          <w:szCs w:val="16"/>
          <w:rtl/>
        </w:rPr>
        <w:t>סי' קצט אות ב)</w:t>
      </w:r>
      <w:r>
        <w:rPr>
          <w:rFonts w:hint="cs"/>
          <w:rtl/>
        </w:rPr>
        <w:t>.</w:t>
      </w:r>
    </w:p>
  </w:footnote>
  <w:footnote w:id="2920">
    <w:p w14:paraId="640AA9CB" w14:textId="77777777" w:rsidR="004C5A3C" w:rsidRDefault="004C5A3C" w:rsidP="002C39F4">
      <w:pPr>
        <w:pStyle w:val="a5"/>
        <w:rPr>
          <w:rtl/>
        </w:rPr>
      </w:pPr>
      <w:r>
        <w:rPr>
          <w:rStyle w:val="a7"/>
        </w:rPr>
        <w:footnoteRef/>
      </w:r>
      <w:r>
        <w:rPr>
          <w:rtl/>
        </w:rPr>
        <w:t xml:space="preserve"> </w:t>
      </w:r>
      <w:r>
        <w:rPr>
          <w:rFonts w:cs="Arial" w:hint="cs"/>
          <w:rtl/>
        </w:rPr>
        <w:t>(ריצב"א</w:t>
      </w:r>
      <w:r>
        <w:rPr>
          <w:rFonts w:cs="Arial" w:hint="cs"/>
          <w:sz w:val="16"/>
          <w:szCs w:val="16"/>
          <w:rtl/>
        </w:rPr>
        <w:t xml:space="preserve"> להב' האו"ה [שם]</w:t>
      </w:r>
      <w:r>
        <w:rPr>
          <w:rFonts w:cs="Arial" w:hint="cs"/>
          <w:rtl/>
        </w:rPr>
        <w:t>) מרדכי בשם ר"י</w:t>
      </w:r>
      <w:r>
        <w:rPr>
          <w:rFonts w:cs="Arial" w:hint="cs"/>
          <w:sz w:val="16"/>
          <w:szCs w:val="16"/>
          <w:rtl/>
        </w:rPr>
        <w:t xml:space="preserve"> (כן הבינו הב"י [עמ' סט] והדרכ"מ [אות ט] מדבריו)</w:t>
      </w:r>
      <w:r>
        <w:rPr>
          <w:rFonts w:cs="Arial" w:hint="cs"/>
          <w:rtl/>
        </w:rPr>
        <w:t xml:space="preserve"> ואו</w:t>
      </w:r>
      <w:r>
        <w:rPr>
          <w:rFonts w:cs="Arial"/>
          <w:rtl/>
        </w:rPr>
        <w:t>"</w:t>
      </w:r>
      <w:r>
        <w:rPr>
          <w:rFonts w:cs="Arial" w:hint="cs"/>
          <w:rtl/>
        </w:rPr>
        <w:t>ה</w:t>
      </w:r>
      <w:r w:rsidRPr="002A6D54">
        <w:rPr>
          <w:rFonts w:cs="Arial"/>
          <w:sz w:val="16"/>
          <w:szCs w:val="16"/>
          <w:rtl/>
        </w:rPr>
        <w:t xml:space="preserve"> </w:t>
      </w:r>
      <w:r w:rsidRPr="002A6D54">
        <w:rPr>
          <w:rFonts w:cs="Arial" w:hint="cs"/>
          <w:sz w:val="16"/>
          <w:szCs w:val="16"/>
          <w:rtl/>
        </w:rPr>
        <w:t>(</w:t>
      </w:r>
      <w:r w:rsidRPr="002A6D54">
        <w:rPr>
          <w:rFonts w:cs="Arial"/>
          <w:sz w:val="16"/>
          <w:szCs w:val="16"/>
          <w:rtl/>
        </w:rPr>
        <w:t>כלל נח דע</w:t>
      </w:r>
      <w:r w:rsidRPr="002A6D54">
        <w:rPr>
          <w:rFonts w:cs="Arial" w:hint="cs"/>
          <w:sz w:val="16"/>
          <w:szCs w:val="16"/>
          <w:rtl/>
        </w:rPr>
        <w:t>"</w:t>
      </w:r>
      <w:r w:rsidRPr="002A6D54">
        <w:rPr>
          <w:rFonts w:cs="Arial"/>
          <w:sz w:val="16"/>
          <w:szCs w:val="16"/>
          <w:rtl/>
        </w:rPr>
        <w:t>ז</w:t>
      </w:r>
      <w:r w:rsidRPr="002A6D54">
        <w:rPr>
          <w:rFonts w:cs="Arial" w:hint="cs"/>
          <w:sz w:val="16"/>
          <w:szCs w:val="16"/>
          <w:rtl/>
        </w:rPr>
        <w:t>, הביאו הדרכ"מ [אות ט]</w:t>
      </w:r>
      <w:r w:rsidRPr="002A6D54">
        <w:rPr>
          <w:rFonts w:cs="Arial"/>
          <w:sz w:val="16"/>
          <w:szCs w:val="16"/>
          <w:rtl/>
        </w:rPr>
        <w:t>)</w:t>
      </w:r>
      <w:r>
        <w:rPr>
          <w:rFonts w:hint="cs"/>
          <w:rtl/>
        </w:rPr>
        <w:t>.</w:t>
      </w:r>
    </w:p>
  </w:footnote>
  <w:footnote w:id="2921">
    <w:p w14:paraId="0820BF45" w14:textId="77777777" w:rsidR="004C5A3C" w:rsidRDefault="004C5A3C" w:rsidP="002C39F4">
      <w:pPr>
        <w:pStyle w:val="a5"/>
        <w:rPr>
          <w:rtl/>
        </w:rPr>
      </w:pPr>
      <w:r>
        <w:rPr>
          <w:rStyle w:val="a7"/>
        </w:rPr>
        <w:footnoteRef/>
      </w:r>
      <w:r>
        <w:rPr>
          <w:rtl/>
        </w:rPr>
        <w:t xml:space="preserve"> </w:t>
      </w:r>
      <w:r>
        <w:rPr>
          <w:rFonts w:cs="Arial" w:hint="cs"/>
          <w:rtl/>
        </w:rPr>
        <w:t>וכ' עוד האו</w:t>
      </w:r>
      <w:r>
        <w:rPr>
          <w:rFonts w:cs="Arial"/>
          <w:rtl/>
        </w:rPr>
        <w:t>"</w:t>
      </w:r>
      <w:r>
        <w:rPr>
          <w:rFonts w:cs="Arial" w:hint="cs"/>
          <w:rtl/>
        </w:rPr>
        <w:t>ה</w:t>
      </w:r>
      <w:r w:rsidRPr="002A6D54">
        <w:rPr>
          <w:rFonts w:cs="Arial"/>
          <w:sz w:val="16"/>
          <w:szCs w:val="16"/>
          <w:rtl/>
        </w:rPr>
        <w:t xml:space="preserve"> </w:t>
      </w:r>
      <w:r w:rsidRPr="002A6D54">
        <w:rPr>
          <w:rFonts w:cs="Arial" w:hint="cs"/>
          <w:sz w:val="16"/>
          <w:szCs w:val="16"/>
          <w:rtl/>
        </w:rPr>
        <w:t>(</w:t>
      </w:r>
      <w:r>
        <w:rPr>
          <w:rFonts w:cs="Arial" w:hint="cs"/>
          <w:sz w:val="16"/>
          <w:szCs w:val="16"/>
          <w:rtl/>
        </w:rPr>
        <w:t>שם)</w:t>
      </w:r>
      <w:r>
        <w:rPr>
          <w:rFonts w:cs="Arial" w:hint="cs"/>
          <w:rtl/>
        </w:rPr>
        <w:t xml:space="preserve"> ד</w:t>
      </w:r>
      <w:r w:rsidRPr="002A6D54">
        <w:rPr>
          <w:rFonts w:cs="Arial"/>
          <w:rtl/>
        </w:rPr>
        <w:t xml:space="preserve">אפי' כלי עץ שניקב והטיל בו </w:t>
      </w:r>
      <w:r>
        <w:rPr>
          <w:rFonts w:cs="Arial" w:hint="cs"/>
          <w:sz w:val="16"/>
          <w:szCs w:val="16"/>
          <w:rtl/>
        </w:rPr>
        <w:t xml:space="preserve">{הגוי} </w:t>
      </w:r>
      <w:r w:rsidRPr="002A6D54">
        <w:rPr>
          <w:rFonts w:cs="Arial"/>
          <w:rtl/>
        </w:rPr>
        <w:t xml:space="preserve">טלאי של מתכת </w:t>
      </w:r>
      <w:r>
        <w:rPr>
          <w:rFonts w:cs="Arial" w:hint="cs"/>
          <w:sz w:val="16"/>
          <w:szCs w:val="16"/>
          <w:rtl/>
        </w:rPr>
        <w:t xml:space="preserve">{משלו} </w:t>
      </w:r>
      <w:r w:rsidRPr="002A6D54">
        <w:rPr>
          <w:rFonts w:cs="Arial"/>
          <w:rtl/>
        </w:rPr>
        <w:t>צריך להטבילו דהכל הולך אחר המעמיד ונחשב ככולו מתכת ואע</w:t>
      </w:r>
      <w:r>
        <w:rPr>
          <w:rFonts w:cs="Arial" w:hint="cs"/>
          <w:rtl/>
        </w:rPr>
        <w:t>"</w:t>
      </w:r>
      <w:r w:rsidRPr="002A6D54">
        <w:rPr>
          <w:rFonts w:cs="Arial"/>
          <w:rtl/>
        </w:rPr>
        <w:t>פ שאין מטבילו אלא מחמת הטלאי מ"מ צריך שיכסו את כל הכלי ולא סגי שיכסה רק הטלאי לבדו דאף העץ נחשב כמתכת דבטיל הוא לגביה מאחר שמעמידו</w:t>
      </w:r>
      <w:r>
        <w:rPr>
          <w:rFonts w:hint="cs"/>
          <w:rtl/>
        </w:rPr>
        <w:t>.</w:t>
      </w:r>
    </w:p>
  </w:footnote>
  <w:footnote w:id="2922">
    <w:p w14:paraId="6B566A78" w14:textId="77777777" w:rsidR="004C5A3C" w:rsidRDefault="004C5A3C" w:rsidP="002C39F4">
      <w:pPr>
        <w:pStyle w:val="a5"/>
        <w:rPr>
          <w:rtl/>
        </w:rPr>
      </w:pPr>
      <w:r>
        <w:rPr>
          <w:rStyle w:val="a7"/>
        </w:rPr>
        <w:footnoteRef/>
      </w:r>
      <w:r>
        <w:rPr>
          <w:rtl/>
        </w:rPr>
        <w:t xml:space="preserve"> </w:t>
      </w:r>
      <w:r>
        <w:rPr>
          <w:rFonts w:cs="Arial" w:hint="cs"/>
          <w:rtl/>
        </w:rPr>
        <w:t>ו</w:t>
      </w:r>
      <w:r w:rsidRPr="007F333A">
        <w:rPr>
          <w:rFonts w:cs="Arial"/>
          <w:rtl/>
        </w:rPr>
        <w:t>דוקא למ"ד שאם נתן ישראל לאומן גוי אין צריך טבילה אבל לדברי ריצב"א דכתב דצריך טבילה דהולך אחרי האומן נראה דכאן אין צריך טבילה</w:t>
      </w:r>
      <w:r>
        <w:rPr>
          <w:rFonts w:cs="Arial" w:hint="cs"/>
          <w:rtl/>
        </w:rPr>
        <w:t>,</w:t>
      </w:r>
      <w:r w:rsidRPr="00BF78E5">
        <w:rPr>
          <w:rFonts w:hint="cs"/>
          <w:rtl/>
        </w:rPr>
        <w:t xml:space="preserve"> </w:t>
      </w:r>
      <w:r>
        <w:rPr>
          <w:rFonts w:hint="cs"/>
          <w:rtl/>
        </w:rPr>
        <w:t>דרכ"מ (אות י)</w:t>
      </w:r>
      <w:r>
        <w:rPr>
          <w:rFonts w:cs="Arial" w:hint="cs"/>
          <w:rtl/>
        </w:rPr>
        <w:t xml:space="preserve">. </w:t>
      </w:r>
    </w:p>
  </w:footnote>
  <w:footnote w:id="2923">
    <w:p w14:paraId="6D3F6478" w14:textId="77777777" w:rsidR="004C5A3C" w:rsidRDefault="004C5A3C" w:rsidP="002C39F4">
      <w:pPr>
        <w:pStyle w:val="a5"/>
        <w:rPr>
          <w:rtl/>
        </w:rPr>
      </w:pPr>
      <w:r>
        <w:rPr>
          <w:rStyle w:val="a7"/>
        </w:rPr>
        <w:footnoteRef/>
      </w:r>
      <w:r>
        <w:rPr>
          <w:rtl/>
        </w:rPr>
        <w:t xml:space="preserve"> </w:t>
      </w:r>
      <w:r w:rsidRPr="00C05A24">
        <w:rPr>
          <w:rFonts w:cs="Arial"/>
          <w:rtl/>
        </w:rPr>
        <w:t>ואשמעינן שאע"פ שקנה המתכת מן הגוי לית לן בה</w:t>
      </w:r>
      <w:r>
        <w:rPr>
          <w:rFonts w:cs="Arial" w:hint="cs"/>
          <w:rtl/>
        </w:rPr>
        <w:t>, ב"י</w:t>
      </w:r>
      <w:r w:rsidRPr="00C05A24">
        <w:rPr>
          <w:rFonts w:cs="Arial" w:hint="cs"/>
          <w:rtl/>
        </w:rPr>
        <w:t>.</w:t>
      </w:r>
    </w:p>
  </w:footnote>
  <w:footnote w:id="2924">
    <w:p w14:paraId="33FE3892" w14:textId="77777777" w:rsidR="004C5A3C" w:rsidRDefault="004C5A3C" w:rsidP="002C39F4">
      <w:pPr>
        <w:pStyle w:val="a5"/>
        <w:rPr>
          <w:rtl/>
        </w:rPr>
      </w:pPr>
      <w:r>
        <w:rPr>
          <w:rStyle w:val="a7"/>
        </w:rPr>
        <w:footnoteRef/>
      </w:r>
      <w:r>
        <w:rPr>
          <w:rtl/>
        </w:rPr>
        <w:t xml:space="preserve"> </w:t>
      </w:r>
      <w:r>
        <w:rPr>
          <w:rFonts w:hint="cs"/>
          <w:rtl/>
        </w:rPr>
        <w:t>וברכה, ש"ך (סקכ"ב). אך הט"ז (סקי"ב, ד"ה ומה שכתב ואם מקצת) כ' שיטבול בלא ברכה כיון דפלוגתא היא. וכ' שכן מורה לשון הרמ"א "וכן... יטבילנו גם כן בלא ברכה".</w:t>
      </w:r>
    </w:p>
  </w:footnote>
  <w:footnote w:id="2925">
    <w:p w14:paraId="3ACCFEF3" w14:textId="77777777" w:rsidR="004C5A3C" w:rsidRDefault="004C5A3C" w:rsidP="002C39F4">
      <w:pPr>
        <w:pStyle w:val="a5"/>
      </w:pPr>
      <w:r>
        <w:rPr>
          <w:rStyle w:val="a7"/>
        </w:rPr>
        <w:footnoteRef/>
      </w:r>
      <w:r>
        <w:rPr>
          <w:rtl/>
        </w:rPr>
        <w:t xml:space="preserve"> </w:t>
      </w:r>
      <w:r w:rsidRPr="008D2754">
        <w:rPr>
          <w:rFonts w:cs="Arial"/>
          <w:rtl/>
        </w:rPr>
        <w:t>משום שמספקא לן אי אזלינן בתר האומן והכא א"צ טבילה או אזלינן בתר מי שהכסף שלו</w:t>
      </w:r>
      <w:r>
        <w:rPr>
          <w:rFonts w:cs="Arial" w:hint="cs"/>
          <w:rtl/>
        </w:rPr>
        <w:t xml:space="preserve">, ש"ך </w:t>
      </w:r>
      <w:r w:rsidRPr="008D2754">
        <w:rPr>
          <w:rFonts w:cs="Arial" w:hint="cs"/>
          <w:sz w:val="16"/>
          <w:szCs w:val="16"/>
          <w:rtl/>
        </w:rPr>
        <w:t>(סקכ"ג)</w:t>
      </w:r>
      <w:r>
        <w:rPr>
          <w:rFonts w:cs="Arial" w:hint="cs"/>
          <w:rtl/>
        </w:rPr>
        <w:t>. וכעין זה כ' הט"ז</w:t>
      </w:r>
      <w:r w:rsidRPr="008D2754">
        <w:rPr>
          <w:rFonts w:cs="Arial" w:hint="cs"/>
          <w:sz w:val="16"/>
          <w:szCs w:val="16"/>
          <w:rtl/>
        </w:rPr>
        <w:t xml:space="preserve"> (סקי"ג)</w:t>
      </w:r>
      <w:r>
        <w:rPr>
          <w:rFonts w:cs="Arial" w:hint="cs"/>
          <w:rtl/>
        </w:rPr>
        <w:t>.</w:t>
      </w:r>
    </w:p>
  </w:footnote>
  <w:footnote w:id="2926">
    <w:p w14:paraId="655D75CF" w14:textId="77777777" w:rsidR="004C5A3C" w:rsidRDefault="004C5A3C" w:rsidP="002C39F4">
      <w:pPr>
        <w:pStyle w:val="a5"/>
        <w:rPr>
          <w:rFonts w:cs="Arial"/>
          <w:rtl/>
        </w:rPr>
      </w:pPr>
      <w:r>
        <w:rPr>
          <w:rStyle w:val="a7"/>
        </w:rPr>
        <w:footnoteRef/>
      </w:r>
      <w:r>
        <w:rPr>
          <w:rtl/>
        </w:rPr>
        <w:t xml:space="preserve"> </w:t>
      </w:r>
      <w:r>
        <w:rPr>
          <w:rFonts w:cs="Arial" w:hint="cs"/>
          <w:u w:val="single"/>
          <w:rtl/>
        </w:rPr>
        <w:t>למה התכוון</w:t>
      </w:r>
      <w:r w:rsidRPr="00582002">
        <w:rPr>
          <w:rFonts w:cs="Arial" w:hint="cs"/>
          <w:u w:val="single"/>
          <w:rtl/>
        </w:rPr>
        <w:t xml:space="preserve"> הרמ"א</w:t>
      </w:r>
      <w:r>
        <w:rPr>
          <w:rFonts w:cs="Arial" w:hint="cs"/>
          <w:u w:val="single"/>
          <w:rtl/>
        </w:rPr>
        <w:t xml:space="preserve"> בכותבו "או שנתן מקצת המתכות משלו"</w:t>
      </w:r>
      <w:r w:rsidRPr="00582002">
        <w:rPr>
          <w:rFonts w:cs="Arial" w:hint="cs"/>
          <w:u w:val="single"/>
          <w:rtl/>
        </w:rPr>
        <w:t>:</w:t>
      </w:r>
    </w:p>
    <w:p w14:paraId="4D7D759E" w14:textId="77777777" w:rsidR="004C5A3C" w:rsidRPr="00963766" w:rsidRDefault="004C5A3C" w:rsidP="0032102C">
      <w:pPr>
        <w:pStyle w:val="a5"/>
        <w:numPr>
          <w:ilvl w:val="0"/>
          <w:numId w:val="308"/>
        </w:numPr>
      </w:pPr>
      <w:r w:rsidRPr="008D2754">
        <w:rPr>
          <w:rFonts w:cs="Arial"/>
          <w:rtl/>
        </w:rPr>
        <w:t>עט"ז</w:t>
      </w:r>
      <w:r>
        <w:rPr>
          <w:rFonts w:cs="Arial" w:hint="cs"/>
          <w:sz w:val="16"/>
          <w:szCs w:val="16"/>
          <w:rtl/>
        </w:rPr>
        <w:t xml:space="preserve"> (כ"כ הש"ך בשמו)</w:t>
      </w:r>
      <w:r>
        <w:rPr>
          <w:rFonts w:cs="Arial" w:hint="cs"/>
          <w:rtl/>
        </w:rPr>
        <w:t>- הגוי</w:t>
      </w:r>
      <w:r w:rsidRPr="008D2754">
        <w:rPr>
          <w:rFonts w:cs="Arial"/>
          <w:rtl/>
        </w:rPr>
        <w:t xml:space="preserve"> נתן לישראל מקצת מתכות משלו והישראל עשאו לעצמו</w:t>
      </w:r>
      <w:r>
        <w:rPr>
          <w:rFonts w:cs="Arial" w:hint="cs"/>
          <w:rtl/>
        </w:rPr>
        <w:t>-</w:t>
      </w:r>
      <w:r w:rsidRPr="008D2754">
        <w:rPr>
          <w:rFonts w:cs="Arial"/>
          <w:rtl/>
        </w:rPr>
        <w:t xml:space="preserve"> א"צ טבילה</w:t>
      </w:r>
      <w:r>
        <w:rPr>
          <w:rFonts w:cs="Arial" w:hint="cs"/>
          <w:rtl/>
        </w:rPr>
        <w:t>,</w:t>
      </w:r>
      <w:r w:rsidRPr="008D2754">
        <w:rPr>
          <w:rFonts w:cs="Arial"/>
          <w:rtl/>
        </w:rPr>
        <w:t xml:space="preserve"> ומיירי שעדיין הוא מקצת הכלי של </w:t>
      </w:r>
      <w:r>
        <w:rPr>
          <w:rFonts w:cs="Arial" w:hint="cs"/>
          <w:rtl/>
        </w:rPr>
        <w:t>הגוי</w:t>
      </w:r>
      <w:r w:rsidRPr="008D2754">
        <w:rPr>
          <w:rFonts w:cs="Arial"/>
          <w:rtl/>
        </w:rPr>
        <w:t xml:space="preserve"> בשביל המתכות שלו</w:t>
      </w:r>
      <w:r>
        <w:rPr>
          <w:rFonts w:cs="Arial" w:hint="cs"/>
          <w:rtl/>
        </w:rPr>
        <w:t>,</w:t>
      </w:r>
      <w:r w:rsidRPr="008D2754">
        <w:rPr>
          <w:rFonts w:cs="Arial"/>
          <w:rtl/>
        </w:rPr>
        <w:t xml:space="preserve"> וא</w:t>
      </w:r>
      <w:r>
        <w:rPr>
          <w:rFonts w:cs="Arial" w:hint="cs"/>
          <w:rtl/>
        </w:rPr>
        <w:t>"</w:t>
      </w:r>
      <w:r w:rsidRPr="008D2754">
        <w:rPr>
          <w:rFonts w:cs="Arial"/>
          <w:rtl/>
        </w:rPr>
        <w:t>כ דומה לישראל ו</w:t>
      </w:r>
      <w:r>
        <w:rPr>
          <w:rFonts w:cs="Arial" w:hint="cs"/>
          <w:rtl/>
        </w:rPr>
        <w:t>גוי</w:t>
      </w:r>
      <w:r w:rsidRPr="008D2754">
        <w:rPr>
          <w:rFonts w:cs="Arial"/>
          <w:rtl/>
        </w:rPr>
        <w:t xml:space="preserve"> שקבלו כלי בשותפות וא"צ טבילה מטעם שכ</w:t>
      </w:r>
      <w:r>
        <w:rPr>
          <w:rFonts w:cs="Arial" w:hint="cs"/>
          <w:rtl/>
        </w:rPr>
        <w:t>'</w:t>
      </w:r>
      <w:r w:rsidRPr="008D2754">
        <w:rPr>
          <w:rFonts w:cs="Arial"/>
          <w:rtl/>
        </w:rPr>
        <w:t xml:space="preserve"> שם האו"ה </w:t>
      </w:r>
      <w:r w:rsidRPr="00963766">
        <w:rPr>
          <w:rFonts w:cs="Arial" w:hint="cs"/>
          <w:sz w:val="16"/>
          <w:szCs w:val="16"/>
          <w:rtl/>
        </w:rPr>
        <w:t>(</w:t>
      </w:r>
      <w:r w:rsidRPr="00963766">
        <w:rPr>
          <w:rFonts w:cs="Arial"/>
          <w:sz w:val="16"/>
          <w:szCs w:val="16"/>
          <w:rtl/>
        </w:rPr>
        <w:t>דפ"ח</w:t>
      </w:r>
      <w:r w:rsidRPr="00963766">
        <w:rPr>
          <w:rFonts w:cs="Arial" w:hint="cs"/>
          <w:sz w:val="16"/>
          <w:szCs w:val="16"/>
          <w:rtl/>
        </w:rPr>
        <w:t>)</w:t>
      </w:r>
      <w:r w:rsidRPr="00963766">
        <w:rPr>
          <w:rFonts w:cs="Arial"/>
          <w:sz w:val="16"/>
          <w:szCs w:val="16"/>
          <w:rtl/>
        </w:rPr>
        <w:t xml:space="preserve"> </w:t>
      </w:r>
      <w:r w:rsidRPr="008D2754">
        <w:rPr>
          <w:rFonts w:cs="Arial"/>
          <w:rtl/>
        </w:rPr>
        <w:t xml:space="preserve">דהא בודאי אינו יוצא מידי שם טומאה בטבילה זו דהרי עדיין שם שותפות </w:t>
      </w:r>
      <w:r>
        <w:rPr>
          <w:rFonts w:cs="Arial" w:hint="cs"/>
          <w:rtl/>
        </w:rPr>
        <w:t>הגוי</w:t>
      </w:r>
      <w:r w:rsidRPr="008D2754">
        <w:rPr>
          <w:rFonts w:cs="Arial"/>
          <w:rtl/>
        </w:rPr>
        <w:t xml:space="preserve"> עליו עכ"ל</w:t>
      </w:r>
      <w:r>
        <w:rPr>
          <w:rFonts w:cs="Arial" w:hint="cs"/>
          <w:rtl/>
        </w:rPr>
        <w:t>,</w:t>
      </w:r>
      <w:r w:rsidRPr="008D2754">
        <w:rPr>
          <w:rFonts w:cs="Arial"/>
          <w:rtl/>
        </w:rPr>
        <w:t xml:space="preserve"> וא"כ ה"ה הכא</w:t>
      </w:r>
      <w:r>
        <w:rPr>
          <w:rFonts w:cs="Arial" w:hint="cs"/>
          <w:rtl/>
        </w:rPr>
        <w:t>.</w:t>
      </w:r>
    </w:p>
    <w:p w14:paraId="61160C0F" w14:textId="77777777" w:rsidR="004C5A3C" w:rsidRDefault="004C5A3C" w:rsidP="0032102C">
      <w:pPr>
        <w:pStyle w:val="a5"/>
        <w:numPr>
          <w:ilvl w:val="0"/>
          <w:numId w:val="308"/>
        </w:numPr>
      </w:pPr>
      <w:r>
        <w:rPr>
          <w:rFonts w:hint="cs"/>
          <w:rtl/>
        </w:rPr>
        <w:t xml:space="preserve">ש"ך </w:t>
      </w:r>
      <w:r w:rsidRPr="00963766">
        <w:rPr>
          <w:rFonts w:hint="cs"/>
          <w:sz w:val="16"/>
          <w:szCs w:val="16"/>
          <w:rtl/>
        </w:rPr>
        <w:t>(סקכ"ד)</w:t>
      </w:r>
      <w:r>
        <w:rPr>
          <w:rFonts w:cs="Arial" w:hint="cs"/>
          <w:rtl/>
        </w:rPr>
        <w:t xml:space="preserve">- </w:t>
      </w:r>
      <w:r w:rsidRPr="008D2754">
        <w:rPr>
          <w:rFonts w:cs="Arial"/>
          <w:rtl/>
        </w:rPr>
        <w:t>אומן ישראל שעשה כלי ל</w:t>
      </w:r>
      <w:r>
        <w:rPr>
          <w:rFonts w:cs="Arial" w:hint="cs"/>
          <w:rtl/>
        </w:rPr>
        <w:t>גוי,</w:t>
      </w:r>
      <w:r w:rsidRPr="008D2754">
        <w:rPr>
          <w:rFonts w:cs="Arial"/>
          <w:rtl/>
        </w:rPr>
        <w:t xml:space="preserve"> אם ה</w:t>
      </w:r>
      <w:r>
        <w:rPr>
          <w:rFonts w:cs="Arial" w:hint="cs"/>
          <w:rtl/>
        </w:rPr>
        <w:t>גוי</w:t>
      </w:r>
      <w:r w:rsidRPr="008D2754">
        <w:rPr>
          <w:rFonts w:cs="Arial"/>
          <w:rtl/>
        </w:rPr>
        <w:t xml:space="preserve"> נותן כל המתכות וקנאו ממנו צריך טבילה בלא ברכה</w:t>
      </w:r>
      <w:r>
        <w:rPr>
          <w:rFonts w:cs="Arial" w:hint="cs"/>
          <w:rtl/>
        </w:rPr>
        <w:t>,</w:t>
      </w:r>
      <w:r w:rsidRPr="008D2754">
        <w:rPr>
          <w:rFonts w:cs="Arial"/>
          <w:rtl/>
        </w:rPr>
        <w:t xml:space="preserve"> אבל אם עשאו לעצמו רק שקנה המתכות מן</w:t>
      </w:r>
      <w:r>
        <w:rPr>
          <w:rFonts w:cs="Arial" w:hint="cs"/>
          <w:rtl/>
        </w:rPr>
        <w:t xml:space="preserve"> הגוי</w:t>
      </w:r>
      <w:r w:rsidRPr="008D2754">
        <w:rPr>
          <w:rFonts w:cs="Arial"/>
          <w:rtl/>
        </w:rPr>
        <w:t xml:space="preserve"> ואפילו כולו</w:t>
      </w:r>
      <w:r>
        <w:rPr>
          <w:rFonts w:cs="Arial" w:hint="cs"/>
          <w:rtl/>
        </w:rPr>
        <w:t>,</w:t>
      </w:r>
      <w:r w:rsidRPr="008D2754">
        <w:rPr>
          <w:rFonts w:cs="Arial"/>
          <w:rtl/>
        </w:rPr>
        <w:t xml:space="preserve"> או אפילו עשאו ל</w:t>
      </w:r>
      <w:r>
        <w:rPr>
          <w:rFonts w:cs="Arial" w:hint="cs"/>
          <w:rtl/>
        </w:rPr>
        <w:t>גוי</w:t>
      </w:r>
      <w:r w:rsidRPr="008D2754">
        <w:rPr>
          <w:rFonts w:cs="Arial"/>
          <w:rtl/>
        </w:rPr>
        <w:t xml:space="preserve"> ולא נתן </w:t>
      </w:r>
      <w:r>
        <w:rPr>
          <w:rFonts w:cs="Arial" w:hint="cs"/>
          <w:rtl/>
        </w:rPr>
        <w:t>הגוי</w:t>
      </w:r>
      <w:r w:rsidRPr="008D2754">
        <w:rPr>
          <w:rFonts w:cs="Arial"/>
          <w:rtl/>
        </w:rPr>
        <w:t xml:space="preserve"> כל המתכות אלא שנתן מקצת המתכות משלו וקנאו אח"כ ממנו אין צריך טבילה</w:t>
      </w:r>
      <w:r>
        <w:rPr>
          <w:rFonts w:cs="Arial" w:hint="cs"/>
          <w:rtl/>
        </w:rPr>
        <w:t>.</w:t>
      </w:r>
    </w:p>
    <w:p w14:paraId="25D9773D" w14:textId="77777777" w:rsidR="004C5A3C" w:rsidRDefault="004C5A3C" w:rsidP="0032102C">
      <w:pPr>
        <w:pStyle w:val="a5"/>
        <w:numPr>
          <w:ilvl w:val="0"/>
          <w:numId w:val="308"/>
        </w:numPr>
        <w:rPr>
          <w:rtl/>
        </w:rPr>
      </w:pPr>
      <w:r>
        <w:rPr>
          <w:rFonts w:hint="cs"/>
          <w:rtl/>
        </w:rPr>
        <w:t xml:space="preserve">ט"ז </w:t>
      </w:r>
      <w:r w:rsidRPr="007D002E">
        <w:rPr>
          <w:rFonts w:hint="cs"/>
          <w:sz w:val="16"/>
          <w:szCs w:val="16"/>
          <w:rtl/>
        </w:rPr>
        <w:t>(סקי"ג)</w:t>
      </w:r>
      <w:r>
        <w:rPr>
          <w:rFonts w:hint="cs"/>
          <w:rtl/>
        </w:rPr>
        <w:t xml:space="preserve">- </w:t>
      </w:r>
      <w:r w:rsidRPr="00582002">
        <w:rPr>
          <w:rFonts w:cs="Arial"/>
          <w:rtl/>
        </w:rPr>
        <w:t xml:space="preserve">נראה דט"ס יש כאן והך </w:t>
      </w:r>
      <w:r>
        <w:rPr>
          <w:rFonts w:cs="Arial" w:hint="cs"/>
          <w:rtl/>
        </w:rPr>
        <w:t>'</w:t>
      </w:r>
      <w:r w:rsidRPr="00582002">
        <w:rPr>
          <w:rFonts w:cs="Arial"/>
          <w:rtl/>
        </w:rPr>
        <w:t>או שנתן מקצת כסף</w:t>
      </w:r>
      <w:r>
        <w:rPr>
          <w:rFonts w:cs="Arial" w:hint="cs"/>
          <w:rtl/>
        </w:rPr>
        <w:t>'</w:t>
      </w:r>
      <w:r w:rsidRPr="00582002">
        <w:rPr>
          <w:rFonts w:cs="Arial"/>
          <w:rtl/>
        </w:rPr>
        <w:t xml:space="preserve"> שייך קודם </w:t>
      </w:r>
      <w:r>
        <w:rPr>
          <w:rFonts w:cs="Arial" w:hint="cs"/>
          <w:rtl/>
        </w:rPr>
        <w:t>'</w:t>
      </w:r>
      <w:r w:rsidRPr="00582002">
        <w:rPr>
          <w:rFonts w:cs="Arial"/>
          <w:rtl/>
        </w:rPr>
        <w:t>אבל אם</w:t>
      </w:r>
      <w:r>
        <w:rPr>
          <w:rFonts w:cs="Arial" w:hint="cs"/>
          <w:rtl/>
        </w:rPr>
        <w:t>...</w:t>
      </w:r>
      <w:r w:rsidRPr="00582002">
        <w:rPr>
          <w:rFonts w:cs="Arial"/>
          <w:rtl/>
        </w:rPr>
        <w:t>'</w:t>
      </w:r>
      <w:r>
        <w:rPr>
          <w:rFonts w:cs="Arial" w:hint="cs"/>
          <w:rtl/>
        </w:rPr>
        <w:t>,</w:t>
      </w:r>
      <w:r w:rsidRPr="00582002">
        <w:rPr>
          <w:rFonts w:cs="Arial"/>
          <w:rtl/>
        </w:rPr>
        <w:t xml:space="preserve"> וקמ"ל שם שני רבותות</w:t>
      </w:r>
      <w:r>
        <w:rPr>
          <w:rFonts w:cs="Arial" w:hint="cs"/>
          <w:rtl/>
        </w:rPr>
        <w:t>,</w:t>
      </w:r>
      <w:r w:rsidRPr="00582002">
        <w:rPr>
          <w:rFonts w:cs="Arial"/>
          <w:rtl/>
        </w:rPr>
        <w:t xml:space="preserve"> האחד</w:t>
      </w:r>
      <w:r>
        <w:rPr>
          <w:rFonts w:cs="Arial" w:hint="cs"/>
          <w:rtl/>
        </w:rPr>
        <w:t>-</w:t>
      </w:r>
      <w:r w:rsidRPr="00582002">
        <w:rPr>
          <w:rFonts w:cs="Arial"/>
          <w:rtl/>
        </w:rPr>
        <w:t xml:space="preserve"> דאם נתן ה</w:t>
      </w:r>
      <w:r>
        <w:rPr>
          <w:rFonts w:cs="Arial" w:hint="cs"/>
          <w:rtl/>
        </w:rPr>
        <w:t xml:space="preserve">גוי </w:t>
      </w:r>
      <w:r w:rsidRPr="00582002">
        <w:rPr>
          <w:rFonts w:cs="Arial"/>
          <w:rtl/>
        </w:rPr>
        <w:t>כל המתכות אפ"ה לא יברך</w:t>
      </w:r>
      <w:r>
        <w:rPr>
          <w:rFonts w:cs="Arial" w:hint="cs"/>
          <w:rtl/>
        </w:rPr>
        <w:t>,</w:t>
      </w:r>
      <w:r w:rsidRPr="00582002">
        <w:rPr>
          <w:rFonts w:cs="Arial"/>
          <w:rtl/>
        </w:rPr>
        <w:t xml:space="preserve"> ואם לא נתן אלא מקצת משלו אפ"ה צריך טבילה. </w:t>
      </w:r>
      <w:r w:rsidRPr="007D002E">
        <w:rPr>
          <w:rFonts w:cs="Arial" w:hint="cs"/>
          <w:sz w:val="16"/>
          <w:szCs w:val="16"/>
          <w:rtl/>
        </w:rPr>
        <w:t xml:space="preserve">(וסיים הט"ז- </w:t>
      </w:r>
      <w:r w:rsidRPr="007D002E">
        <w:rPr>
          <w:rFonts w:cs="Arial"/>
          <w:sz w:val="16"/>
          <w:szCs w:val="16"/>
          <w:rtl/>
        </w:rPr>
        <w:t>וכן נראה לע"ד עיקר להכניס דין זה בכלל צריך טבילה בלא ברכה ובזה אין מכשול לפנינו</w:t>
      </w:r>
      <w:r>
        <w:rPr>
          <w:rFonts w:cs="Arial" w:hint="cs"/>
          <w:sz w:val="16"/>
          <w:szCs w:val="16"/>
          <w:rtl/>
        </w:rPr>
        <w:t>)</w:t>
      </w:r>
    </w:p>
  </w:footnote>
  <w:footnote w:id="2927">
    <w:p w14:paraId="22C02632" w14:textId="77777777" w:rsidR="004C5A3C" w:rsidRDefault="004C5A3C" w:rsidP="002C39F4">
      <w:pPr>
        <w:pStyle w:val="a5"/>
        <w:rPr>
          <w:rtl/>
        </w:rPr>
      </w:pPr>
      <w:r>
        <w:rPr>
          <w:rStyle w:val="a7"/>
        </w:rPr>
        <w:footnoteRef/>
      </w:r>
      <w:r>
        <w:rPr>
          <w:rtl/>
        </w:rPr>
        <w:t xml:space="preserve"> </w:t>
      </w:r>
      <w:r w:rsidRPr="00AE3CB7">
        <w:rPr>
          <w:rFonts w:cs="Arial"/>
          <w:rtl/>
        </w:rPr>
        <w:t xml:space="preserve">אפילו היה דעתו לשקעו ביד </w:t>
      </w:r>
      <w:r>
        <w:rPr>
          <w:rFonts w:cs="Arial" w:hint="cs"/>
          <w:rtl/>
        </w:rPr>
        <w:t>ה</w:t>
      </w:r>
      <w:r w:rsidRPr="00AE3CB7">
        <w:rPr>
          <w:rFonts w:cs="Arial"/>
          <w:rtl/>
        </w:rPr>
        <w:t>גוי</w:t>
      </w:r>
      <w:r>
        <w:rPr>
          <w:rFonts w:cs="Arial" w:hint="cs"/>
          <w:rtl/>
        </w:rPr>
        <w:t>,</w:t>
      </w:r>
      <w:r w:rsidRPr="00AE3CB7">
        <w:rPr>
          <w:rFonts w:cs="Arial"/>
          <w:rtl/>
        </w:rPr>
        <w:t xml:space="preserve"> </w:t>
      </w:r>
      <w:r>
        <w:rPr>
          <w:rFonts w:cs="Arial" w:hint="cs"/>
          <w:rtl/>
        </w:rPr>
        <w:t>או</w:t>
      </w:r>
      <w:r>
        <w:rPr>
          <w:rFonts w:cs="Arial"/>
          <w:rtl/>
        </w:rPr>
        <w:t>"</w:t>
      </w:r>
      <w:r>
        <w:rPr>
          <w:rFonts w:cs="Arial" w:hint="cs"/>
          <w:rtl/>
        </w:rPr>
        <w:t>ה</w:t>
      </w:r>
      <w:r w:rsidRPr="00AE3CB7">
        <w:rPr>
          <w:rFonts w:cs="Arial"/>
          <w:rtl/>
        </w:rPr>
        <w:t xml:space="preserve"> (כלל נח דין צא-צב</w:t>
      </w:r>
      <w:r>
        <w:rPr>
          <w:rFonts w:cs="Arial" w:hint="cs"/>
          <w:rtl/>
        </w:rPr>
        <w:t>). הביאו דבריו הדרכ"מ (אות יא</w:t>
      </w:r>
      <w:r w:rsidRPr="00AE3CB7">
        <w:rPr>
          <w:rFonts w:cs="Arial"/>
          <w:rtl/>
        </w:rPr>
        <w:t>)</w:t>
      </w:r>
      <w:r>
        <w:rPr>
          <w:rFonts w:cs="Arial" w:hint="cs"/>
          <w:rtl/>
        </w:rPr>
        <w:t xml:space="preserve"> והש"ך (סקכ"ה)</w:t>
      </w:r>
      <w:r w:rsidRPr="00AE3CB7">
        <w:rPr>
          <w:rFonts w:cs="Arial"/>
          <w:rtl/>
        </w:rPr>
        <w:t xml:space="preserve">. </w:t>
      </w:r>
      <w:r>
        <w:rPr>
          <w:rFonts w:hint="cs"/>
          <w:rtl/>
        </w:rPr>
        <w:t xml:space="preserve">וכ"כ רש"ל </w:t>
      </w:r>
      <w:r w:rsidRPr="005C0E67">
        <w:rPr>
          <w:rFonts w:hint="cs"/>
          <w:sz w:val="16"/>
          <w:szCs w:val="16"/>
          <w:rtl/>
        </w:rPr>
        <w:t>(</w:t>
      </w:r>
      <w:r>
        <w:rPr>
          <w:rFonts w:hint="cs"/>
          <w:sz w:val="16"/>
          <w:szCs w:val="16"/>
          <w:rtl/>
        </w:rPr>
        <w:t xml:space="preserve">בביאורו לטור מכת"י, </w:t>
      </w:r>
      <w:r w:rsidRPr="005C0E67">
        <w:rPr>
          <w:rFonts w:hint="cs"/>
          <w:sz w:val="16"/>
          <w:szCs w:val="16"/>
          <w:rtl/>
        </w:rPr>
        <w:t>הביאוהו הב"ח הפרישה</w:t>
      </w:r>
      <w:r>
        <w:rPr>
          <w:rFonts w:hint="cs"/>
          <w:sz w:val="16"/>
          <w:szCs w:val="16"/>
          <w:rtl/>
        </w:rPr>
        <w:t xml:space="preserve"> [אות כא]</w:t>
      </w:r>
      <w:r w:rsidRPr="005C0E67">
        <w:rPr>
          <w:rFonts w:hint="cs"/>
          <w:sz w:val="16"/>
          <w:szCs w:val="16"/>
          <w:rtl/>
        </w:rPr>
        <w:t xml:space="preserve"> הט"ז [סקי"ד] והש"ך [סקכ"ה])</w:t>
      </w:r>
      <w:r>
        <w:rPr>
          <w:rFonts w:hint="cs"/>
          <w:rtl/>
        </w:rPr>
        <w:t>,</w:t>
      </w:r>
      <w:r>
        <w:rPr>
          <w:rFonts w:cs="Arial" w:hint="cs"/>
          <w:rtl/>
        </w:rPr>
        <w:t xml:space="preserve"> </w:t>
      </w:r>
      <w:r w:rsidRPr="005971D9">
        <w:rPr>
          <w:rFonts w:cs="Arial"/>
          <w:rtl/>
        </w:rPr>
        <w:t>וכ</w:t>
      </w:r>
      <w:r>
        <w:rPr>
          <w:rFonts w:cs="Arial" w:hint="cs"/>
          <w:rtl/>
        </w:rPr>
        <w:t>' עוד</w:t>
      </w:r>
      <w:r w:rsidRPr="005971D9">
        <w:rPr>
          <w:rFonts w:cs="Arial"/>
          <w:rtl/>
        </w:rPr>
        <w:t xml:space="preserve"> </w:t>
      </w:r>
      <w:r>
        <w:rPr>
          <w:rFonts w:cs="Arial" w:hint="cs"/>
          <w:rtl/>
        </w:rPr>
        <w:t xml:space="preserve">הרש"ל </w:t>
      </w:r>
      <w:r w:rsidRPr="005971D9">
        <w:rPr>
          <w:rFonts w:cs="Arial"/>
          <w:rtl/>
        </w:rPr>
        <w:t>דאם מתחילה השכינה בידו אדעתא שלא לפדות ונמלך ופדאו צריך טבילה</w:t>
      </w:r>
      <w:r>
        <w:rPr>
          <w:rFonts w:hint="cs"/>
          <w:rtl/>
        </w:rPr>
        <w:t xml:space="preserve">. וכ' הט"ז (סקי"ד)- </w:t>
      </w:r>
      <w:r>
        <w:rPr>
          <w:rFonts w:cs="Arial" w:hint="cs"/>
          <w:rtl/>
        </w:rPr>
        <w:t>ד</w:t>
      </w:r>
      <w:r w:rsidRPr="005971D9">
        <w:rPr>
          <w:rFonts w:cs="Arial"/>
          <w:rtl/>
        </w:rPr>
        <w:t>א</w:t>
      </w:r>
      <w:r>
        <w:rPr>
          <w:rFonts w:cs="Arial" w:hint="cs"/>
          <w:rtl/>
        </w:rPr>
        <w:t>ע"ג</w:t>
      </w:r>
      <w:r w:rsidRPr="005971D9">
        <w:rPr>
          <w:rFonts w:cs="Arial"/>
          <w:rtl/>
        </w:rPr>
        <w:t xml:space="preserve"> דלעיל יש ספק בישראל שיש לו משכון מ</w:t>
      </w:r>
      <w:r>
        <w:rPr>
          <w:rFonts w:cs="Arial" w:hint="cs"/>
          <w:rtl/>
        </w:rPr>
        <w:t>גוי</w:t>
      </w:r>
      <w:r w:rsidRPr="005971D9">
        <w:rPr>
          <w:rFonts w:cs="Arial"/>
          <w:rtl/>
        </w:rPr>
        <w:t xml:space="preserve"> הכא שאני וראייה מפ' כל שעה (</w:t>
      </w:r>
      <w:r>
        <w:rPr>
          <w:rFonts w:cs="Arial" w:hint="cs"/>
          <w:rtl/>
        </w:rPr>
        <w:t xml:space="preserve">פסחים </w:t>
      </w:r>
      <w:r w:rsidRPr="005971D9">
        <w:rPr>
          <w:rFonts w:cs="Arial"/>
          <w:rtl/>
        </w:rPr>
        <w:t>לא</w:t>
      </w:r>
      <w:r>
        <w:rPr>
          <w:rFonts w:cs="Arial" w:hint="cs"/>
          <w:rtl/>
        </w:rPr>
        <w:t>:</w:t>
      </w:r>
      <w:r w:rsidRPr="005971D9">
        <w:rPr>
          <w:rFonts w:cs="Arial"/>
          <w:rtl/>
        </w:rPr>
        <w:t xml:space="preserve">) דאמרינן דיש פלוגתא אי קני ישראל משכון </w:t>
      </w:r>
      <w:r>
        <w:rPr>
          <w:rFonts w:cs="Arial" w:hint="cs"/>
          <w:rtl/>
        </w:rPr>
        <w:t>מגוי</w:t>
      </w:r>
      <w:r w:rsidRPr="005971D9">
        <w:rPr>
          <w:rFonts w:cs="Arial"/>
          <w:rtl/>
        </w:rPr>
        <w:t xml:space="preserve"> אבל </w:t>
      </w:r>
      <w:r>
        <w:rPr>
          <w:rFonts w:cs="Arial" w:hint="cs"/>
          <w:rtl/>
        </w:rPr>
        <w:t>גוי</w:t>
      </w:r>
      <w:r w:rsidRPr="005971D9">
        <w:rPr>
          <w:rFonts w:cs="Arial"/>
          <w:rtl/>
        </w:rPr>
        <w:t xml:space="preserve"> מישראל דברי הכל לא קנה</w:t>
      </w:r>
      <w:r>
        <w:rPr>
          <w:rFonts w:cs="Arial" w:hint="cs"/>
          <w:rtl/>
        </w:rPr>
        <w:t>.</w:t>
      </w:r>
    </w:p>
  </w:footnote>
  <w:footnote w:id="2928">
    <w:p w14:paraId="40860722" w14:textId="77777777" w:rsidR="004C5A3C" w:rsidRDefault="004C5A3C" w:rsidP="002C39F4">
      <w:pPr>
        <w:pStyle w:val="a5"/>
        <w:rPr>
          <w:rtl/>
        </w:rPr>
      </w:pPr>
      <w:r>
        <w:rPr>
          <w:rStyle w:val="a7"/>
        </w:rPr>
        <w:footnoteRef/>
      </w:r>
      <w:r>
        <w:rPr>
          <w:rtl/>
        </w:rPr>
        <w:t xml:space="preserve"> </w:t>
      </w:r>
      <w:r w:rsidRPr="007D002E">
        <w:rPr>
          <w:rFonts w:cs="Arial"/>
          <w:rtl/>
        </w:rPr>
        <w:t>דהואיל ולקחם ממנו בחזקה ואונס הוי כשלו וכשהחזירן הוי כאילו קנה הישראל ממנו</w:t>
      </w:r>
      <w:r>
        <w:rPr>
          <w:rFonts w:cs="Arial" w:hint="cs"/>
          <w:rtl/>
        </w:rPr>
        <w:t>, או"ה (שם).</w:t>
      </w:r>
      <w:r w:rsidRPr="005C0E67">
        <w:rPr>
          <w:rFonts w:cs="Arial"/>
          <w:rtl/>
        </w:rPr>
        <w:t xml:space="preserve"> </w:t>
      </w:r>
      <w:r>
        <w:rPr>
          <w:rFonts w:cs="Arial" w:hint="cs"/>
          <w:rtl/>
        </w:rPr>
        <w:t xml:space="preserve">וכ' הש"ך </w:t>
      </w:r>
      <w:r w:rsidRPr="005C0E67">
        <w:rPr>
          <w:rFonts w:cs="Arial" w:hint="cs"/>
          <w:sz w:val="16"/>
          <w:szCs w:val="16"/>
          <w:rtl/>
        </w:rPr>
        <w:t xml:space="preserve">(סקכ"ז, ע"פ באה"ט [סק"כ]) </w:t>
      </w:r>
      <w:r>
        <w:rPr>
          <w:rFonts w:cs="Arial" w:hint="cs"/>
          <w:rtl/>
        </w:rPr>
        <w:t>ד</w:t>
      </w:r>
      <w:r w:rsidRPr="005C0E67">
        <w:rPr>
          <w:rFonts w:cs="Arial"/>
          <w:rtl/>
        </w:rPr>
        <w:t>אם לא נתייאש מהן א"צ טבילה</w:t>
      </w:r>
      <w:r>
        <w:rPr>
          <w:rFonts w:hint="cs"/>
          <w:rtl/>
        </w:rPr>
        <w:t>. וכ' דאפשר שכן דעת העט"ז.</w:t>
      </w:r>
    </w:p>
  </w:footnote>
  <w:footnote w:id="2929">
    <w:p w14:paraId="70CC7B51" w14:textId="77777777" w:rsidR="004C5A3C" w:rsidRDefault="004C5A3C" w:rsidP="002C39F4">
      <w:pPr>
        <w:pStyle w:val="a5"/>
        <w:rPr>
          <w:rtl/>
        </w:rPr>
      </w:pPr>
      <w:r>
        <w:rPr>
          <w:rStyle w:val="a7"/>
        </w:rPr>
        <w:footnoteRef/>
      </w:r>
      <w:r>
        <w:rPr>
          <w:rtl/>
        </w:rPr>
        <w:t xml:space="preserve"> </w:t>
      </w:r>
      <w:r>
        <w:rPr>
          <w:rFonts w:cs="Arial" w:hint="cs"/>
          <w:rtl/>
        </w:rPr>
        <w:t xml:space="preserve">ר"ש </w:t>
      </w:r>
      <w:r>
        <w:rPr>
          <w:rFonts w:cs="Arial" w:hint="cs"/>
          <w:sz w:val="16"/>
          <w:szCs w:val="16"/>
          <w:rtl/>
        </w:rPr>
        <w:t>(כ"כ הכלבו בשמו)</w:t>
      </w:r>
      <w:r>
        <w:rPr>
          <w:rFonts w:cs="Arial" w:hint="cs"/>
          <w:rtl/>
        </w:rPr>
        <w:t xml:space="preserve"> </w:t>
      </w:r>
      <w:r w:rsidRPr="004177E2">
        <w:rPr>
          <w:rFonts w:cs="Arial" w:hint="cs"/>
          <w:rtl/>
        </w:rPr>
        <w:t>א"ח</w:t>
      </w:r>
      <w:r w:rsidRPr="004177E2">
        <w:rPr>
          <w:rFonts w:cs="Arial"/>
          <w:rtl/>
        </w:rPr>
        <w:t xml:space="preserve"> </w:t>
      </w:r>
      <w:r w:rsidRPr="004177E2">
        <w:rPr>
          <w:rFonts w:cs="Arial"/>
          <w:sz w:val="16"/>
          <w:szCs w:val="16"/>
          <w:rtl/>
        </w:rPr>
        <w:t>(</w:t>
      </w:r>
      <w:r w:rsidRPr="004177E2">
        <w:rPr>
          <w:rFonts w:cs="Arial" w:hint="cs"/>
          <w:sz w:val="16"/>
          <w:szCs w:val="16"/>
          <w:rtl/>
        </w:rPr>
        <w:t>הל</w:t>
      </w:r>
      <w:r w:rsidRPr="004177E2">
        <w:rPr>
          <w:rFonts w:cs="Arial"/>
          <w:sz w:val="16"/>
          <w:szCs w:val="16"/>
          <w:rtl/>
        </w:rPr>
        <w:t xml:space="preserve">' </w:t>
      </w:r>
      <w:r w:rsidRPr="004177E2">
        <w:rPr>
          <w:rFonts w:cs="Arial" w:hint="cs"/>
          <w:sz w:val="16"/>
          <w:szCs w:val="16"/>
          <w:rtl/>
        </w:rPr>
        <w:t>טהרת</w:t>
      </w:r>
      <w:r w:rsidRPr="004177E2">
        <w:rPr>
          <w:rFonts w:cs="Arial"/>
          <w:sz w:val="16"/>
          <w:szCs w:val="16"/>
          <w:rtl/>
        </w:rPr>
        <w:t xml:space="preserve"> </w:t>
      </w:r>
      <w:r w:rsidRPr="004177E2">
        <w:rPr>
          <w:rFonts w:cs="Arial" w:hint="cs"/>
          <w:sz w:val="16"/>
          <w:szCs w:val="16"/>
          <w:rtl/>
        </w:rPr>
        <w:t>הכלים</w:t>
      </w:r>
      <w:r w:rsidRPr="004177E2">
        <w:rPr>
          <w:rFonts w:cs="Arial"/>
          <w:sz w:val="16"/>
          <w:szCs w:val="16"/>
          <w:rtl/>
        </w:rPr>
        <w:t xml:space="preserve"> </w:t>
      </w:r>
      <w:r w:rsidRPr="004177E2">
        <w:rPr>
          <w:rFonts w:cs="Arial" w:hint="cs"/>
          <w:sz w:val="16"/>
          <w:szCs w:val="16"/>
          <w:rtl/>
        </w:rPr>
        <w:t>והגעלתם</w:t>
      </w:r>
      <w:r w:rsidRPr="004177E2">
        <w:rPr>
          <w:rFonts w:cs="Arial"/>
          <w:sz w:val="16"/>
          <w:szCs w:val="16"/>
          <w:rtl/>
        </w:rPr>
        <w:t xml:space="preserve"> </w:t>
      </w:r>
      <w:r w:rsidRPr="004177E2">
        <w:rPr>
          <w:rFonts w:cs="Arial" w:hint="cs"/>
          <w:sz w:val="16"/>
          <w:szCs w:val="16"/>
          <w:rtl/>
        </w:rPr>
        <w:t>סע</w:t>
      </w:r>
      <w:r w:rsidRPr="004177E2">
        <w:rPr>
          <w:rFonts w:cs="Arial"/>
          <w:sz w:val="16"/>
          <w:szCs w:val="16"/>
          <w:rtl/>
        </w:rPr>
        <w:t xml:space="preserve">' </w:t>
      </w:r>
      <w:r w:rsidRPr="004177E2">
        <w:rPr>
          <w:rFonts w:cs="Arial" w:hint="cs"/>
          <w:sz w:val="16"/>
          <w:szCs w:val="16"/>
          <w:rtl/>
        </w:rPr>
        <w:t>יב</w:t>
      </w:r>
      <w:r>
        <w:rPr>
          <w:rFonts w:cs="Arial" w:hint="cs"/>
          <w:sz w:val="16"/>
          <w:szCs w:val="16"/>
          <w:rtl/>
        </w:rPr>
        <w:t xml:space="preserve"> וכן בכל בו [סי' פו נה.]</w:t>
      </w:r>
      <w:r w:rsidRPr="004177E2">
        <w:rPr>
          <w:rFonts w:cs="Arial" w:hint="cs"/>
          <w:sz w:val="16"/>
          <w:szCs w:val="16"/>
          <w:rtl/>
        </w:rPr>
        <w:t xml:space="preserve">, הביאו הב"י </w:t>
      </w:r>
      <w:r>
        <w:rPr>
          <w:rFonts w:cs="Arial" w:hint="cs"/>
          <w:sz w:val="14"/>
          <w:szCs w:val="14"/>
          <w:rtl/>
        </w:rPr>
        <w:t xml:space="preserve">[סי' רב סע' ח] </w:t>
      </w:r>
      <w:r w:rsidRPr="004177E2">
        <w:rPr>
          <w:rFonts w:cs="Arial" w:hint="cs"/>
          <w:sz w:val="16"/>
          <w:szCs w:val="16"/>
          <w:rtl/>
        </w:rPr>
        <w:t>בבדה"ב</w:t>
      </w:r>
      <w:r w:rsidRPr="004177E2">
        <w:rPr>
          <w:rFonts w:cs="Arial"/>
          <w:sz w:val="16"/>
          <w:szCs w:val="16"/>
          <w:rtl/>
        </w:rPr>
        <w:t>)</w:t>
      </w:r>
      <w:r>
        <w:rPr>
          <w:rFonts w:cs="Arial" w:hint="cs"/>
          <w:rtl/>
        </w:rPr>
        <w:t xml:space="preserve"> </w:t>
      </w:r>
      <w:r w:rsidRPr="0089728F">
        <w:rPr>
          <w:rtl/>
        </w:rPr>
        <w:t xml:space="preserve">מרדכי </w:t>
      </w:r>
      <w:r w:rsidRPr="00015121">
        <w:rPr>
          <w:sz w:val="16"/>
          <w:szCs w:val="16"/>
          <w:rtl/>
        </w:rPr>
        <w:t>(</w:t>
      </w:r>
      <w:r>
        <w:rPr>
          <w:rFonts w:hint="cs"/>
          <w:sz w:val="16"/>
          <w:szCs w:val="16"/>
          <w:rtl/>
        </w:rPr>
        <w:t>ע"ז</w:t>
      </w:r>
      <w:r w:rsidRPr="00015121">
        <w:rPr>
          <w:sz w:val="16"/>
          <w:szCs w:val="16"/>
          <w:rtl/>
        </w:rPr>
        <w:t xml:space="preserve"> סי' תתנט)</w:t>
      </w:r>
      <w:r w:rsidRPr="00E526DC">
        <w:rPr>
          <w:rFonts w:hint="cs"/>
          <w:rtl/>
        </w:rPr>
        <w:t xml:space="preserve"> </w:t>
      </w:r>
      <w:r>
        <w:rPr>
          <w:rFonts w:hint="cs"/>
          <w:rtl/>
        </w:rPr>
        <w:t xml:space="preserve">והגה"מ </w:t>
      </w:r>
      <w:r w:rsidRPr="00E526DC">
        <w:rPr>
          <w:rFonts w:hint="cs"/>
          <w:sz w:val="16"/>
          <w:szCs w:val="16"/>
          <w:rtl/>
        </w:rPr>
        <w:t>(</w:t>
      </w:r>
      <w:r w:rsidRPr="00E526DC">
        <w:rPr>
          <w:sz w:val="16"/>
          <w:szCs w:val="16"/>
          <w:rtl/>
        </w:rPr>
        <w:t xml:space="preserve">פי"ז </w:t>
      </w:r>
      <w:r>
        <w:rPr>
          <w:rFonts w:hint="cs"/>
          <w:sz w:val="16"/>
          <w:szCs w:val="16"/>
          <w:rtl/>
        </w:rPr>
        <w:t>הלמ</w:t>
      </w:r>
      <w:r>
        <w:rPr>
          <w:sz w:val="16"/>
          <w:szCs w:val="16"/>
          <w:rtl/>
        </w:rPr>
        <w:t>"</w:t>
      </w:r>
      <w:r>
        <w:rPr>
          <w:rFonts w:hint="cs"/>
          <w:sz w:val="16"/>
          <w:szCs w:val="16"/>
          <w:rtl/>
        </w:rPr>
        <w:t>א</w:t>
      </w:r>
      <w:r w:rsidRPr="00E526DC">
        <w:rPr>
          <w:rFonts w:hint="cs"/>
          <w:sz w:val="16"/>
          <w:szCs w:val="16"/>
          <w:rtl/>
        </w:rPr>
        <w:t xml:space="preserve"> </w:t>
      </w:r>
      <w:r w:rsidRPr="00E526DC">
        <w:rPr>
          <w:sz w:val="16"/>
          <w:szCs w:val="16"/>
          <w:rtl/>
        </w:rPr>
        <w:t>אות ו)</w:t>
      </w:r>
      <w:r>
        <w:rPr>
          <w:rFonts w:hint="cs"/>
          <w:rtl/>
        </w:rPr>
        <w:t>.</w:t>
      </w:r>
    </w:p>
  </w:footnote>
  <w:footnote w:id="2930">
    <w:p w14:paraId="6FA3B5B4" w14:textId="77777777" w:rsidR="004C5A3C" w:rsidRPr="00FB6012" w:rsidRDefault="004C5A3C" w:rsidP="002C39F4">
      <w:pPr>
        <w:pStyle w:val="a5"/>
        <w:spacing w:after="60"/>
        <w:rPr>
          <w:rFonts w:asciiTheme="minorBidi" w:hAnsiTheme="minorBidi"/>
          <w:rtl/>
        </w:rPr>
      </w:pPr>
      <w:r w:rsidRPr="00FB6012">
        <w:rPr>
          <w:rStyle w:val="a7"/>
          <w:rFonts w:asciiTheme="minorBidi" w:hAnsiTheme="minorBidi"/>
        </w:rPr>
        <w:footnoteRef/>
      </w:r>
      <w:r w:rsidRPr="00FB6012">
        <w:rPr>
          <w:rFonts w:asciiTheme="minorBidi" w:hAnsiTheme="minorBidi"/>
          <w:rtl/>
        </w:rPr>
        <w:t xml:space="preserve"> </w:t>
      </w:r>
      <w:r>
        <w:rPr>
          <w:rFonts w:asciiTheme="minorBidi" w:hAnsiTheme="minorBidi" w:hint="cs"/>
          <w:rtl/>
        </w:rPr>
        <w:t xml:space="preserve">סי' רב </w:t>
      </w:r>
      <w:r w:rsidRPr="00FB6012">
        <w:rPr>
          <w:rFonts w:asciiTheme="minorBidi" w:hAnsiTheme="minorBidi"/>
          <w:rtl/>
        </w:rPr>
        <w:t>סק"ג. וז"ל- ופשטא דמתני' לא משמע כפי' הרמב"ם וכן דברי התוספתא והביאה הר"ש פ"י מתני' ד' היו רגליו מלאים אבק כו' קומקום כו', ואין להקל.</w:t>
      </w:r>
    </w:p>
  </w:footnote>
  <w:footnote w:id="2931">
    <w:p w14:paraId="767EAE27" w14:textId="77777777" w:rsidR="004C5A3C" w:rsidRDefault="004C5A3C" w:rsidP="002C39F4">
      <w:pPr>
        <w:pStyle w:val="a5"/>
        <w:rPr>
          <w:rtl/>
        </w:rPr>
      </w:pPr>
      <w:r>
        <w:rPr>
          <w:rStyle w:val="a7"/>
        </w:rPr>
        <w:footnoteRef/>
      </w:r>
      <w:r>
        <w:rPr>
          <w:rtl/>
        </w:rPr>
        <w:t xml:space="preserve"> </w:t>
      </w:r>
      <w:r>
        <w:rPr>
          <w:rFonts w:hint="cs"/>
          <w:rtl/>
        </w:rPr>
        <w:t xml:space="preserve">ואע"פ ששם לא הזכיר שהשחרוריות היא </w:t>
      </w:r>
      <w:r w:rsidRPr="00F147CE">
        <w:rPr>
          <w:rFonts w:hint="cs"/>
          <w:u w:val="single"/>
          <w:rtl/>
        </w:rPr>
        <w:t>ברוב</w:t>
      </w:r>
      <w:r>
        <w:rPr>
          <w:rFonts w:hint="cs"/>
          <w:rtl/>
        </w:rPr>
        <w:t xml:space="preserve"> הכלי מ"מ כך פשט סידור לשונו, וגם בציונים לרמ"א ציינו לדברי הרא"ש והוא ז"ל מיירי ברובו, וכן ציין הגר"א (שם סק"ג).</w:t>
      </w:r>
    </w:p>
  </w:footnote>
  <w:footnote w:id="2932">
    <w:p w14:paraId="74EC006E" w14:textId="77777777" w:rsidR="004C5A3C" w:rsidRDefault="004C5A3C" w:rsidP="002C39F4">
      <w:pPr>
        <w:pStyle w:val="a5"/>
      </w:pPr>
      <w:r>
        <w:rPr>
          <w:rStyle w:val="a7"/>
        </w:rPr>
        <w:footnoteRef/>
      </w:r>
      <w:r>
        <w:rPr>
          <w:rtl/>
        </w:rPr>
        <w:t xml:space="preserve"> </w:t>
      </w:r>
      <w:r>
        <w:rPr>
          <w:rFonts w:hint="cs"/>
          <w:rtl/>
        </w:rPr>
        <w:t>מדברי הב"י, שהביא את דברי הרמב"ם והרא"ש ללא חולק, משמע שדעתו דכל זמן שהחלודה מבחוץ אינו חוצץ אפי' רוב הכלי חלודה, ולכן יש לפרש סעיף זה דמיירי שהחלודה מבפנים.</w:t>
      </w:r>
    </w:p>
  </w:footnote>
  <w:footnote w:id="2933">
    <w:p w14:paraId="1CD97C51" w14:textId="77777777" w:rsidR="004C5A3C" w:rsidRDefault="004C5A3C" w:rsidP="002C39F4">
      <w:pPr>
        <w:pStyle w:val="a5"/>
        <w:rPr>
          <w:rtl/>
        </w:rPr>
      </w:pPr>
      <w:r>
        <w:rPr>
          <w:rStyle w:val="a7"/>
        </w:rPr>
        <w:footnoteRef/>
      </w:r>
      <w:r>
        <w:rPr>
          <w:rtl/>
        </w:rPr>
        <w:t xml:space="preserve"> </w:t>
      </w:r>
      <w:r w:rsidRPr="00F9202F">
        <w:rPr>
          <w:rtl/>
        </w:rPr>
        <w:t>אכן אין נראה לאסור מטעם דפסק בהג</w:t>
      </w:r>
      <w:r w:rsidRPr="00F9202F">
        <w:rPr>
          <w:rFonts w:hint="cs"/>
          <w:rtl/>
        </w:rPr>
        <w:t>"א</w:t>
      </w:r>
      <w:r w:rsidRPr="00F9202F">
        <w:rPr>
          <w:rtl/>
        </w:rPr>
        <w:t xml:space="preserve"> פ"ב דחולין</w:t>
      </w:r>
      <w:r w:rsidRPr="00F9202F">
        <w:rPr>
          <w:rFonts w:hint="cs"/>
          <w:rtl/>
        </w:rPr>
        <w:t xml:space="preserve"> </w:t>
      </w:r>
      <w:r w:rsidRPr="00F9202F">
        <w:rPr>
          <w:rtl/>
        </w:rPr>
        <w:t>(סי' ח) דאשה לבעלה אע</w:t>
      </w:r>
      <w:r w:rsidRPr="00F9202F">
        <w:rPr>
          <w:rFonts w:hint="cs"/>
          <w:rtl/>
        </w:rPr>
        <w:t>"</w:t>
      </w:r>
      <w:r w:rsidRPr="00F9202F">
        <w:rPr>
          <w:rtl/>
        </w:rPr>
        <w:t>ג דבעלה חולין הוא בעי כוונה לטבילה</w:t>
      </w:r>
      <w:r w:rsidRPr="00F9202F">
        <w:rPr>
          <w:rFonts w:hint="cs"/>
          <w:rtl/>
        </w:rPr>
        <w:t>,</w:t>
      </w:r>
      <w:r w:rsidRPr="00F9202F">
        <w:rPr>
          <w:rtl/>
        </w:rPr>
        <w:t xml:space="preserve"> כר' יוחנן לגבי רב</w:t>
      </w:r>
      <w:r w:rsidRPr="00F9202F">
        <w:rPr>
          <w:rFonts w:hint="cs"/>
          <w:rtl/>
        </w:rPr>
        <w:t xml:space="preserve"> </w:t>
      </w:r>
      <w:r w:rsidRPr="00F9202F">
        <w:rPr>
          <w:rtl/>
        </w:rPr>
        <w:t>(חולין לא.)</w:t>
      </w:r>
      <w:r w:rsidRPr="00F9202F">
        <w:rPr>
          <w:rFonts w:hint="cs"/>
          <w:rtl/>
        </w:rPr>
        <w:t>,</w:t>
      </w:r>
      <w:r w:rsidRPr="00F9202F">
        <w:rPr>
          <w:rtl/>
        </w:rPr>
        <w:t xml:space="preserve"> וא"כ נימא דקטן לאו בר כוונה הוא לטבילה</w:t>
      </w:r>
      <w:r w:rsidRPr="00F9202F">
        <w:rPr>
          <w:rFonts w:hint="cs"/>
          <w:rtl/>
        </w:rPr>
        <w:t>,</w:t>
      </w:r>
      <w:r w:rsidRPr="00F9202F">
        <w:rPr>
          <w:rtl/>
        </w:rPr>
        <w:t xml:space="preserve"> דהא ליתא, שהרי התוס' פ"ק דחולין </w:t>
      </w:r>
      <w:r w:rsidRPr="00F9202F">
        <w:rPr>
          <w:rFonts w:hint="cs"/>
          <w:rtl/>
        </w:rPr>
        <w:t>(יב:</w:t>
      </w:r>
      <w:r w:rsidRPr="00F9202F">
        <w:rPr>
          <w:rtl/>
        </w:rPr>
        <w:t xml:space="preserve"> ד"ה ותיבעי</w:t>
      </w:r>
      <w:r w:rsidRPr="00F9202F">
        <w:rPr>
          <w:rFonts w:hint="cs"/>
          <w:rtl/>
        </w:rPr>
        <w:t xml:space="preserve"> וד"ה מאן)</w:t>
      </w:r>
      <w:r w:rsidRPr="00F9202F">
        <w:rPr>
          <w:rtl/>
        </w:rPr>
        <w:t xml:space="preserve"> הוכיחו דקטן בר כוונה הוא אם עומדין על גביו ומלמדין אותו אפי' לכתוב את הגט. ונראה דלענין הך טבילה יכולין ללמדו שיכוין לטהר אפי' אם לא יעמדו ע"ג. ותו מאן לימא לן דהך טבילה דאינה מטומאה לטהרה ואינה אוסרת מה שבא לתוכה קודם הטבילה כדמסקין הגאונים אלא מגזרת הכתוב ומנלן דבעי כוונה</w:t>
      </w:r>
      <w:r>
        <w:rPr>
          <w:rFonts w:hint="cs"/>
          <w:rtl/>
        </w:rPr>
        <w:t>, תרוה"ד.</w:t>
      </w:r>
      <w:r w:rsidRPr="00F9202F">
        <w:rPr>
          <w:rFonts w:hint="cs"/>
          <w:color w:val="00B0F0"/>
          <w:rtl/>
        </w:rPr>
        <w:t xml:space="preserve"> </w:t>
      </w:r>
      <w:r w:rsidRPr="00504767">
        <w:rPr>
          <w:rFonts w:hint="cs"/>
          <w:color w:val="00B0F0"/>
          <w:rtl/>
        </w:rPr>
        <w:t>(וכ"פ הרמ"א</w:t>
      </w:r>
      <w:r>
        <w:rPr>
          <w:rFonts w:hint="cs"/>
          <w:color w:val="00B0F0"/>
          <w:rtl/>
        </w:rPr>
        <w:t>)</w:t>
      </w:r>
    </w:p>
  </w:footnote>
  <w:footnote w:id="2934">
    <w:p w14:paraId="5E82E8BF" w14:textId="77777777" w:rsidR="004C5A3C" w:rsidRDefault="004C5A3C" w:rsidP="002C39F4">
      <w:pPr>
        <w:pStyle w:val="a5"/>
      </w:pPr>
      <w:r>
        <w:rPr>
          <w:rStyle w:val="a7"/>
        </w:rPr>
        <w:footnoteRef/>
      </w:r>
      <w:r>
        <w:rPr>
          <w:rtl/>
        </w:rPr>
        <w:t xml:space="preserve"> </w:t>
      </w:r>
      <w:r w:rsidRPr="000E5229">
        <w:rPr>
          <w:rFonts w:asciiTheme="minorBidi" w:hAnsiTheme="minorBidi" w:cs="Arial"/>
          <w:rtl/>
        </w:rPr>
        <w:t>ומדלא כ' כאן רמ"א שצריך שילמדנו הגדול משמע שתופס כתירוץ האחרון דכאן לא בעינן כוונה כלל</w:t>
      </w:r>
      <w:r>
        <w:rPr>
          <w:rFonts w:asciiTheme="minorBidi" w:hAnsiTheme="minorBidi" w:hint="cs"/>
          <w:rtl/>
        </w:rPr>
        <w:t xml:space="preserve">, ט"ז </w:t>
      </w:r>
      <w:r w:rsidRPr="009111B9">
        <w:rPr>
          <w:rFonts w:asciiTheme="minorBidi" w:hAnsiTheme="minorBidi" w:hint="cs"/>
          <w:sz w:val="16"/>
          <w:szCs w:val="16"/>
          <w:rtl/>
        </w:rPr>
        <w:t>(סק</w:t>
      </w:r>
      <w:r>
        <w:rPr>
          <w:rFonts w:asciiTheme="minorBidi" w:hAnsiTheme="minorBidi" w:hint="cs"/>
          <w:sz w:val="16"/>
          <w:szCs w:val="16"/>
          <w:rtl/>
        </w:rPr>
        <w:t>ט</w:t>
      </w:r>
      <w:r w:rsidRPr="009111B9">
        <w:rPr>
          <w:rFonts w:asciiTheme="minorBidi" w:hAnsiTheme="minorBidi" w:hint="cs"/>
          <w:sz w:val="16"/>
          <w:szCs w:val="16"/>
          <w:rtl/>
        </w:rPr>
        <w:t>"</w:t>
      </w:r>
      <w:r>
        <w:rPr>
          <w:rFonts w:asciiTheme="minorBidi" w:hAnsiTheme="minorBidi" w:hint="cs"/>
          <w:sz w:val="16"/>
          <w:szCs w:val="16"/>
          <w:rtl/>
        </w:rPr>
        <w:t>ז</w:t>
      </w:r>
      <w:r w:rsidRPr="009111B9">
        <w:rPr>
          <w:rFonts w:asciiTheme="minorBidi" w:hAnsiTheme="minorBidi" w:hint="cs"/>
          <w:sz w:val="16"/>
          <w:szCs w:val="16"/>
          <w:rtl/>
        </w:rPr>
        <w:t>)</w:t>
      </w:r>
      <w:r>
        <w:rPr>
          <w:rFonts w:hint="cs"/>
          <w:rtl/>
        </w:rPr>
        <w:t xml:space="preserve"> וש"ך</w:t>
      </w:r>
      <w:r w:rsidRPr="009111B9">
        <w:rPr>
          <w:rFonts w:hint="cs"/>
          <w:sz w:val="16"/>
          <w:szCs w:val="16"/>
          <w:rtl/>
        </w:rPr>
        <w:t xml:space="preserve"> (סקכ"ח)</w:t>
      </w:r>
      <w:r>
        <w:rPr>
          <w:rFonts w:hint="cs"/>
          <w:rtl/>
        </w:rPr>
        <w:t>.</w:t>
      </w:r>
    </w:p>
  </w:footnote>
  <w:footnote w:id="2935">
    <w:p w14:paraId="5F27BF80" w14:textId="77777777" w:rsidR="004C5A3C" w:rsidRDefault="004C5A3C" w:rsidP="002C39F4">
      <w:pPr>
        <w:pStyle w:val="a5"/>
        <w:rPr>
          <w:rtl/>
        </w:rPr>
      </w:pPr>
      <w:r>
        <w:rPr>
          <w:rStyle w:val="a7"/>
        </w:rPr>
        <w:footnoteRef/>
      </w:r>
      <w:r>
        <w:rPr>
          <w:rtl/>
        </w:rPr>
        <w:t xml:space="preserve"> </w:t>
      </w:r>
      <w:r>
        <w:rPr>
          <w:rFonts w:hint="cs"/>
          <w:rtl/>
        </w:rPr>
        <w:t xml:space="preserve">זו השאלה שנשאל הרשב"א- </w:t>
      </w:r>
      <w:r>
        <w:rPr>
          <w:rFonts w:cs="Arial"/>
          <w:rtl/>
        </w:rPr>
        <w:t xml:space="preserve">עכו"ם מהו שיטביל </w:t>
      </w:r>
      <w:r>
        <w:rPr>
          <w:rFonts w:cs="Arial" w:hint="cs"/>
          <w:rtl/>
        </w:rPr>
        <w:t>כ</w:t>
      </w:r>
      <w:r>
        <w:rPr>
          <w:rFonts w:cs="Arial"/>
          <w:rtl/>
        </w:rPr>
        <w:t>לי ישראל אחר שנודע כי הטבלת כלים מצוה מדברי סופרים עלינו הדבר הזה או על ידי שלוחינו והעכו"ם נתמעט מדין שליחות מצד שאינו בן ברית. הודיענו דעתך בזה.</w:t>
      </w:r>
    </w:p>
  </w:footnote>
  <w:footnote w:id="2936">
    <w:p w14:paraId="12EA82B8" w14:textId="77777777" w:rsidR="004C5A3C" w:rsidRDefault="004C5A3C" w:rsidP="002C39F4">
      <w:pPr>
        <w:pStyle w:val="a5"/>
        <w:rPr>
          <w:rtl/>
        </w:rPr>
      </w:pPr>
      <w:r>
        <w:rPr>
          <w:rStyle w:val="a7"/>
        </w:rPr>
        <w:footnoteRef/>
      </w:r>
      <w:r>
        <w:rPr>
          <w:rtl/>
        </w:rPr>
        <w:t xml:space="preserve"> </w:t>
      </w:r>
      <w:r>
        <w:rPr>
          <w:rFonts w:hint="cs"/>
          <w:rtl/>
        </w:rPr>
        <w:t>אך ה</w:t>
      </w:r>
      <w:r w:rsidRPr="00CD6A1E">
        <w:rPr>
          <w:rFonts w:cs="Arial" w:hint="cs"/>
          <w:rtl/>
        </w:rPr>
        <w:t xml:space="preserve">דרכ"מ </w:t>
      </w:r>
      <w:r w:rsidRPr="000E5229">
        <w:rPr>
          <w:rFonts w:cs="Arial" w:hint="cs"/>
          <w:sz w:val="16"/>
          <w:szCs w:val="16"/>
          <w:rtl/>
        </w:rPr>
        <w:t>(אות יב)</w:t>
      </w:r>
      <w:r>
        <w:rPr>
          <w:rFonts w:cs="Arial" w:hint="cs"/>
          <w:rtl/>
        </w:rPr>
        <w:t xml:space="preserve"> כ'</w:t>
      </w:r>
      <w:r w:rsidRPr="00CD6A1E">
        <w:rPr>
          <w:rFonts w:cs="Arial" w:hint="cs"/>
          <w:rtl/>
        </w:rPr>
        <w:t xml:space="preserve">- </w:t>
      </w:r>
      <w:r>
        <w:rPr>
          <w:rFonts w:cs="Arial" w:hint="cs"/>
          <w:rtl/>
        </w:rPr>
        <w:t>נראה ד</w:t>
      </w:r>
      <w:r w:rsidRPr="00CD6A1E">
        <w:rPr>
          <w:rFonts w:cs="Arial"/>
          <w:rtl/>
        </w:rPr>
        <w:t>לא עדיף מקטן דלא מהימן עליה רק אם ישראל ראה שטבלן הגוי עלתה לו טבילה</w:t>
      </w:r>
      <w:r>
        <w:rPr>
          <w:rFonts w:cs="Arial" w:hint="cs"/>
          <w:rtl/>
        </w:rPr>
        <w:t xml:space="preserve">. </w:t>
      </w:r>
      <w:r w:rsidRPr="000E5229">
        <w:rPr>
          <w:rFonts w:cs="Arial" w:hint="cs"/>
          <w:color w:val="00B0F0"/>
          <w:rtl/>
        </w:rPr>
        <w:t>(וכ"פ בהגה)</w:t>
      </w:r>
    </w:p>
  </w:footnote>
  <w:footnote w:id="2937">
    <w:p w14:paraId="49A591ED" w14:textId="77777777" w:rsidR="004C5A3C" w:rsidRPr="004D29BF" w:rsidRDefault="004C5A3C" w:rsidP="002C39F4">
      <w:pPr>
        <w:pStyle w:val="a5"/>
        <w:rPr>
          <w:u w:val="single"/>
        </w:rPr>
      </w:pPr>
      <w:r>
        <w:rPr>
          <w:rStyle w:val="a7"/>
        </w:rPr>
        <w:footnoteRef/>
      </w:r>
      <w:r>
        <w:rPr>
          <w:rtl/>
        </w:rPr>
        <w:t xml:space="preserve"> </w:t>
      </w:r>
      <w:r>
        <w:rPr>
          <w:rFonts w:cs="Arial" w:hint="cs"/>
          <w:rtl/>
        </w:rPr>
        <w:t xml:space="preserve">וכ' הט"ז (סקי"ז)- </w:t>
      </w:r>
      <w:r w:rsidRPr="004D29BF">
        <w:rPr>
          <w:rFonts w:cs="Arial"/>
          <w:rtl/>
        </w:rPr>
        <w:t xml:space="preserve">תמיה לי היאך יברך על מה שיטביל העובד כוכבים והישראל אינו עושה כלום ע"כ אין ראוי לעשות כן לכתחלה ומשום הכי כתב הש"ע כאן לשון דיעבד אבל אם הישראל מטביל ג"כ איזה כלי באותה שעה אלא שהעובד כוכבים מסייע לו להטביל שאר כלים נמצא דקאי הברכה על מה שהישראל עושה שפיר דמי ומזה מיירי תשובה לרמב"ן שזכרתי. </w:t>
      </w:r>
      <w:r>
        <w:rPr>
          <w:rFonts w:hint="cs"/>
          <w:rtl/>
        </w:rPr>
        <w:t xml:space="preserve">עכ"ל. ועוד כ' הט"ז </w:t>
      </w:r>
      <w:r>
        <w:rPr>
          <w:rFonts w:hint="cs"/>
          <w:sz w:val="16"/>
          <w:szCs w:val="16"/>
          <w:rtl/>
        </w:rPr>
        <w:t>(</w:t>
      </w:r>
      <w:r w:rsidRPr="004D29BF">
        <w:rPr>
          <w:rFonts w:hint="cs"/>
          <w:sz w:val="16"/>
          <w:szCs w:val="16"/>
          <w:rtl/>
        </w:rPr>
        <w:t>בהגהות הט"ז וזהב מזוקק אות ד)</w:t>
      </w:r>
      <w:r>
        <w:rPr>
          <w:rFonts w:hint="cs"/>
          <w:rtl/>
        </w:rPr>
        <w:t xml:space="preserve"> דיש לשאול מדוע יכול הישראל לברך כשהוא עצמו מטביל הכלי והרי </w:t>
      </w:r>
      <w:r w:rsidRPr="004D29BF">
        <w:rPr>
          <w:rFonts w:hint="cs"/>
          <w:rtl/>
        </w:rPr>
        <w:t>כל מצוה שכשירה ע"י גוי אין ישראל מברך על עשייתה</w:t>
      </w:r>
      <w:r>
        <w:rPr>
          <w:rFonts w:hint="cs"/>
          <w:rtl/>
        </w:rPr>
        <w:t xml:space="preserve"> אפילו אם ישראל עושה אותה</w:t>
      </w:r>
      <w:r w:rsidRPr="004D29BF">
        <w:rPr>
          <w:rFonts w:hint="cs"/>
          <w:rtl/>
        </w:rPr>
        <w:t xml:space="preserve"> </w:t>
      </w:r>
      <w:r>
        <w:rPr>
          <w:rFonts w:hint="cs"/>
          <w:rtl/>
        </w:rPr>
        <w:t>(</w:t>
      </w:r>
      <w:r w:rsidRPr="004D29BF">
        <w:rPr>
          <w:rFonts w:hint="cs"/>
          <w:rtl/>
        </w:rPr>
        <w:t>מנחות מב.)</w:t>
      </w:r>
      <w:r>
        <w:rPr>
          <w:rFonts w:hint="cs"/>
          <w:rtl/>
        </w:rPr>
        <w:t xml:space="preserve">, אלא צריך לומר דכיון שאין היתר אלא בדיעבד ע"י גוי </w:t>
      </w:r>
      <w:r w:rsidRPr="004D29BF">
        <w:rPr>
          <w:rFonts w:hint="cs"/>
          <w:rtl/>
        </w:rPr>
        <w:t xml:space="preserve">יכול הישראל לברך על טבילת </w:t>
      </w:r>
      <w:r>
        <w:rPr>
          <w:rFonts w:hint="cs"/>
          <w:rtl/>
        </w:rPr>
        <w:t>הכלי שהוא עצמו מטביל</w:t>
      </w:r>
      <w:r w:rsidRPr="004D29BF">
        <w:rPr>
          <w:rFonts w:hint="cs"/>
          <w:rtl/>
        </w:rPr>
        <w:t>.</w:t>
      </w:r>
    </w:p>
  </w:footnote>
  <w:footnote w:id="2938">
    <w:p w14:paraId="6FDC1D11" w14:textId="77777777" w:rsidR="004C5A3C" w:rsidRDefault="004C5A3C" w:rsidP="002C39F4">
      <w:pPr>
        <w:pStyle w:val="a5"/>
      </w:pPr>
      <w:r>
        <w:rPr>
          <w:rStyle w:val="a7"/>
        </w:rPr>
        <w:footnoteRef/>
      </w:r>
      <w:r>
        <w:rPr>
          <w:rtl/>
        </w:rPr>
        <w:t xml:space="preserve"> </w:t>
      </w:r>
      <w:r>
        <w:rPr>
          <w:rFonts w:asciiTheme="minorBidi" w:hAnsiTheme="minorBidi" w:hint="cs"/>
          <w:rtl/>
        </w:rPr>
        <w:t>דה</w:t>
      </w:r>
      <w:r>
        <w:rPr>
          <w:rFonts w:asciiTheme="minorBidi" w:hAnsiTheme="minorBidi" w:cs="Arial" w:hint="cs"/>
          <w:rtl/>
        </w:rPr>
        <w:t xml:space="preserve">א דהקיל </w:t>
      </w:r>
      <w:r w:rsidRPr="009111B9">
        <w:rPr>
          <w:rFonts w:asciiTheme="minorBidi" w:hAnsiTheme="minorBidi" w:cs="Arial"/>
          <w:rtl/>
        </w:rPr>
        <w:t>הרשב"א ה</w:t>
      </w:r>
      <w:r>
        <w:rPr>
          <w:rFonts w:asciiTheme="minorBidi" w:hAnsiTheme="minorBidi" w:cs="Arial" w:hint="cs"/>
          <w:rtl/>
        </w:rPr>
        <w:t>וא</w:t>
      </w:r>
      <w:r w:rsidRPr="009111B9">
        <w:rPr>
          <w:rFonts w:asciiTheme="minorBidi" w:hAnsiTheme="minorBidi" w:cs="Arial"/>
          <w:rtl/>
        </w:rPr>
        <w:t xml:space="preserve"> לפי סברתו דס</w:t>
      </w:r>
      <w:r>
        <w:rPr>
          <w:rFonts w:asciiTheme="minorBidi" w:hAnsiTheme="minorBidi" w:cs="Arial" w:hint="cs"/>
          <w:rtl/>
        </w:rPr>
        <w:t>"</w:t>
      </w:r>
      <w:r w:rsidRPr="009111B9">
        <w:rPr>
          <w:rFonts w:asciiTheme="minorBidi" w:hAnsiTheme="minorBidi" w:cs="Arial"/>
          <w:rtl/>
        </w:rPr>
        <w:t>ל גבי נדה שטבלה בלא כוונה א"צ טבילה אחרת</w:t>
      </w:r>
      <w:r>
        <w:rPr>
          <w:rFonts w:asciiTheme="minorBidi" w:hAnsiTheme="minorBidi" w:cs="Arial" w:hint="cs"/>
          <w:rtl/>
        </w:rPr>
        <w:t>,</w:t>
      </w:r>
      <w:r w:rsidRPr="009111B9">
        <w:rPr>
          <w:rFonts w:asciiTheme="minorBidi" w:hAnsiTheme="minorBidi" w:cs="Arial"/>
          <w:rtl/>
        </w:rPr>
        <w:t xml:space="preserve"> אבל לדידן דמחמרינן בנדה יש להחמיר גם בטבילת כלי ע"י </w:t>
      </w:r>
      <w:r>
        <w:rPr>
          <w:rFonts w:asciiTheme="minorBidi" w:hAnsiTheme="minorBidi" w:cs="Arial" w:hint="cs"/>
          <w:rtl/>
        </w:rPr>
        <w:t>גוי, ב"ח. וכ' הט"ז (סקי"ז) והש"ך (סקכ"ח)</w:t>
      </w:r>
      <w:r w:rsidRPr="009111B9">
        <w:rPr>
          <w:rFonts w:asciiTheme="minorBidi" w:hAnsiTheme="minorBidi" w:cs="Arial"/>
          <w:rtl/>
        </w:rPr>
        <w:t xml:space="preserve"> </w:t>
      </w:r>
      <w:r>
        <w:rPr>
          <w:rFonts w:asciiTheme="minorBidi" w:hAnsiTheme="minorBidi" w:cs="Arial" w:hint="cs"/>
          <w:rtl/>
        </w:rPr>
        <w:t>על דבריו ד</w:t>
      </w:r>
      <w:r w:rsidRPr="009111B9">
        <w:rPr>
          <w:rFonts w:asciiTheme="minorBidi" w:hAnsiTheme="minorBidi" w:cs="Arial"/>
          <w:rtl/>
        </w:rPr>
        <w:t>אגב טירדיה בגירסא לא עיין בסי</w:t>
      </w:r>
      <w:r>
        <w:rPr>
          <w:rFonts w:asciiTheme="minorBidi" w:hAnsiTheme="minorBidi" w:cs="Arial" w:hint="cs"/>
          <w:rtl/>
        </w:rPr>
        <w:t>'</w:t>
      </w:r>
      <w:r w:rsidRPr="009111B9">
        <w:rPr>
          <w:rFonts w:asciiTheme="minorBidi" w:hAnsiTheme="minorBidi" w:cs="Arial"/>
          <w:rtl/>
        </w:rPr>
        <w:t xml:space="preserve"> קצ"ח בב"י דהרשב"א ס"ל נדה צריכה כוונה</w:t>
      </w:r>
      <w:r>
        <w:rPr>
          <w:rFonts w:asciiTheme="minorBidi" w:hAnsiTheme="minorBidi" w:cs="Arial" w:hint="cs"/>
          <w:rtl/>
        </w:rPr>
        <w:t>,</w:t>
      </w:r>
      <w:r w:rsidRPr="009111B9">
        <w:rPr>
          <w:rFonts w:asciiTheme="minorBidi" w:hAnsiTheme="minorBidi" w:cs="Arial"/>
          <w:rtl/>
        </w:rPr>
        <w:t xml:space="preserve"> ותו הרי לפניך שהרשב"א מחמיר אפילו בנטילת ידים לאכילה ואפ"ה מיקל בטבילת כלי מכ"ש דמיקל טפי מבנדה</w:t>
      </w:r>
      <w:r>
        <w:rPr>
          <w:rFonts w:asciiTheme="minorBidi" w:hAnsiTheme="minorBidi" w:hint="cs"/>
          <w:sz w:val="16"/>
          <w:szCs w:val="16"/>
          <w:rtl/>
        </w:rPr>
        <w:t xml:space="preserve"> (ל' הט"ז)</w:t>
      </w:r>
      <w:r>
        <w:rPr>
          <w:rFonts w:hint="cs"/>
          <w:rtl/>
        </w:rPr>
        <w:t>.</w:t>
      </w:r>
    </w:p>
  </w:footnote>
  <w:footnote w:id="2939">
    <w:p w14:paraId="6A540B8F" w14:textId="77777777" w:rsidR="004C5A3C" w:rsidRDefault="004C5A3C" w:rsidP="002C39F4">
      <w:pPr>
        <w:pStyle w:val="a5"/>
      </w:pPr>
      <w:r>
        <w:rPr>
          <w:rStyle w:val="a7"/>
        </w:rPr>
        <w:footnoteRef/>
      </w:r>
      <w:r>
        <w:rPr>
          <w:rtl/>
        </w:rPr>
        <w:t xml:space="preserve"> </w:t>
      </w:r>
      <w:r w:rsidRPr="007F333A">
        <w:rPr>
          <w:rFonts w:cs="Arial"/>
          <w:rtl/>
        </w:rPr>
        <w:t>תוס</w:t>
      </w:r>
      <w:r>
        <w:rPr>
          <w:rFonts w:cs="Arial" w:hint="cs"/>
          <w:rtl/>
        </w:rPr>
        <w:t>'</w:t>
      </w:r>
      <w:r w:rsidRPr="007F333A">
        <w:rPr>
          <w:rFonts w:cs="Arial"/>
          <w:rtl/>
        </w:rPr>
        <w:t xml:space="preserve"> </w:t>
      </w:r>
      <w:r w:rsidRPr="00F24793">
        <w:rPr>
          <w:rFonts w:cs="Arial"/>
          <w:sz w:val="16"/>
          <w:szCs w:val="16"/>
          <w:rtl/>
        </w:rPr>
        <w:t xml:space="preserve">(ד"ה וכולן) </w:t>
      </w:r>
      <w:r w:rsidRPr="007F333A">
        <w:rPr>
          <w:rFonts w:cs="Arial"/>
          <w:rtl/>
        </w:rPr>
        <w:t xml:space="preserve">ראב"ד </w:t>
      </w:r>
      <w:r w:rsidRPr="00F24793">
        <w:rPr>
          <w:rFonts w:cs="Arial"/>
          <w:sz w:val="16"/>
          <w:szCs w:val="16"/>
          <w:rtl/>
        </w:rPr>
        <w:t>(ע"ז עה: ד"ה וכולן</w:t>
      </w:r>
      <w:r w:rsidRPr="00F24793">
        <w:rPr>
          <w:rFonts w:cs="Arial" w:hint="cs"/>
          <w:sz w:val="16"/>
          <w:szCs w:val="16"/>
          <w:rtl/>
        </w:rPr>
        <w:t>, כ"כ ה</w:t>
      </w:r>
      <w:r w:rsidRPr="00F24793">
        <w:rPr>
          <w:rFonts w:cs="Arial"/>
          <w:sz w:val="16"/>
          <w:szCs w:val="16"/>
          <w:rtl/>
        </w:rPr>
        <w:t>ר"ן</w:t>
      </w:r>
      <w:r w:rsidRPr="00F24793">
        <w:rPr>
          <w:rFonts w:cs="Arial" w:hint="cs"/>
          <w:sz w:val="16"/>
          <w:szCs w:val="16"/>
          <w:rtl/>
        </w:rPr>
        <w:t xml:space="preserve"> [מ</w:t>
      </w:r>
      <w:r w:rsidRPr="00F24793">
        <w:rPr>
          <w:rFonts w:cs="Arial"/>
          <w:sz w:val="16"/>
          <w:szCs w:val="16"/>
          <w:rtl/>
        </w:rPr>
        <w:t>. ד"ה וכולן</w:t>
      </w:r>
      <w:r w:rsidRPr="00F24793">
        <w:rPr>
          <w:rFonts w:cs="Arial" w:hint="cs"/>
          <w:sz w:val="16"/>
          <w:szCs w:val="16"/>
          <w:rtl/>
        </w:rPr>
        <w:t>] בשמו</w:t>
      </w:r>
      <w:r w:rsidRPr="00F24793">
        <w:rPr>
          <w:rFonts w:cs="Arial"/>
          <w:sz w:val="16"/>
          <w:szCs w:val="16"/>
          <w:rtl/>
        </w:rPr>
        <w:t>)</w:t>
      </w:r>
      <w:r w:rsidRPr="007F333A">
        <w:rPr>
          <w:rFonts w:cs="Arial"/>
          <w:rtl/>
        </w:rPr>
        <w:t xml:space="preserve"> רמב"ם </w:t>
      </w:r>
      <w:r w:rsidRPr="00F24793">
        <w:rPr>
          <w:rFonts w:cs="Arial"/>
          <w:sz w:val="16"/>
          <w:szCs w:val="16"/>
          <w:rtl/>
        </w:rPr>
        <w:t xml:space="preserve">(פי"ז </w:t>
      </w:r>
      <w:r>
        <w:rPr>
          <w:rFonts w:cs="Arial"/>
          <w:sz w:val="16"/>
          <w:szCs w:val="16"/>
          <w:rtl/>
        </w:rPr>
        <w:t>הלמ"א</w:t>
      </w:r>
      <w:r w:rsidRPr="00F24793">
        <w:rPr>
          <w:rFonts w:cs="Arial"/>
          <w:sz w:val="16"/>
          <w:szCs w:val="16"/>
          <w:rtl/>
        </w:rPr>
        <w:t xml:space="preserve"> ה"ד)</w:t>
      </w:r>
      <w:r w:rsidRPr="00F24793">
        <w:rPr>
          <w:rFonts w:cs="Arial" w:hint="cs"/>
          <w:sz w:val="16"/>
          <w:szCs w:val="16"/>
          <w:rtl/>
        </w:rPr>
        <w:t xml:space="preserve"> </w:t>
      </w:r>
      <w:r w:rsidRPr="007F333A">
        <w:rPr>
          <w:rFonts w:cs="Arial"/>
          <w:rtl/>
        </w:rPr>
        <w:t xml:space="preserve">רא"ש </w:t>
      </w:r>
      <w:r w:rsidRPr="00F24793">
        <w:rPr>
          <w:rFonts w:cs="Arial"/>
          <w:sz w:val="16"/>
          <w:szCs w:val="16"/>
          <w:rtl/>
        </w:rPr>
        <w:t xml:space="preserve">(סי' לו) </w:t>
      </w:r>
      <w:r w:rsidRPr="007F333A">
        <w:rPr>
          <w:rFonts w:cs="Arial"/>
          <w:rtl/>
        </w:rPr>
        <w:t>ו</w:t>
      </w:r>
      <w:r>
        <w:rPr>
          <w:rFonts w:cs="Arial" w:hint="cs"/>
          <w:rtl/>
        </w:rPr>
        <w:t>טור.</w:t>
      </w:r>
    </w:p>
  </w:footnote>
  <w:footnote w:id="2940">
    <w:p w14:paraId="354C6CDA" w14:textId="77777777" w:rsidR="004C5A3C" w:rsidRDefault="004C5A3C" w:rsidP="002C39F4">
      <w:pPr>
        <w:pStyle w:val="a5"/>
        <w:rPr>
          <w:rtl/>
        </w:rPr>
      </w:pPr>
      <w:r>
        <w:rPr>
          <w:rStyle w:val="a7"/>
        </w:rPr>
        <w:footnoteRef/>
      </w:r>
      <w:r>
        <w:rPr>
          <w:rtl/>
        </w:rPr>
        <w:t xml:space="preserve"> </w:t>
      </w:r>
      <w:r w:rsidRPr="00F24793">
        <w:rPr>
          <w:rFonts w:cs="Arial"/>
          <w:rtl/>
        </w:rPr>
        <w:t>ותיקון זה אפשר לעשות אפילו בחול במקום שאין מצוי מקוה מים להטביל בו</w:t>
      </w:r>
      <w:r>
        <w:rPr>
          <w:rFonts w:hint="cs"/>
          <w:rtl/>
        </w:rPr>
        <w:t xml:space="preserve">, ב"י. </w:t>
      </w:r>
      <w:r w:rsidRPr="002D14C9">
        <w:rPr>
          <w:rFonts w:hint="cs"/>
          <w:color w:val="00B0F0"/>
          <w:rtl/>
        </w:rPr>
        <w:t>(וכ"פ הרמ"א)</w:t>
      </w:r>
    </w:p>
  </w:footnote>
  <w:footnote w:id="2941">
    <w:p w14:paraId="4FF8C35B" w14:textId="77777777" w:rsidR="004C5A3C" w:rsidRDefault="004C5A3C" w:rsidP="002C39F4">
      <w:pPr>
        <w:pStyle w:val="a5"/>
        <w:rPr>
          <w:rtl/>
        </w:rPr>
      </w:pPr>
      <w:r>
        <w:rPr>
          <w:rStyle w:val="a7"/>
        </w:rPr>
        <w:footnoteRef/>
      </w:r>
      <w:r>
        <w:rPr>
          <w:rtl/>
        </w:rPr>
        <w:t xml:space="preserve"> </w:t>
      </w:r>
      <w:r>
        <w:rPr>
          <w:rFonts w:hint="cs"/>
          <w:rtl/>
        </w:rPr>
        <w:t>לאו דוקא יין אלא הוא הדין לשאר משקים, פמ"ג (סי' סד משב"ז סק"א, הביאו הפת"ש סק"א).</w:t>
      </w:r>
    </w:p>
  </w:footnote>
  <w:footnote w:id="2942">
    <w:p w14:paraId="156B63EF" w14:textId="77777777" w:rsidR="004C5A3C" w:rsidRDefault="004C5A3C" w:rsidP="002C39F4">
      <w:pPr>
        <w:pStyle w:val="a5"/>
      </w:pPr>
      <w:r>
        <w:rPr>
          <w:rStyle w:val="a7"/>
        </w:rPr>
        <w:footnoteRef/>
      </w:r>
      <w:r>
        <w:rPr>
          <w:rtl/>
        </w:rPr>
        <w:t xml:space="preserve"> </w:t>
      </w:r>
      <w:r w:rsidRPr="00E52B1F">
        <w:rPr>
          <w:rFonts w:cs="Arial"/>
          <w:rtl/>
        </w:rPr>
        <w:t>כלים שאפשר לטהרם במקווה מים, להבדיל מן כלי חרס שאין להם טהרה במקווה אלא שבירתן היא טהרתן</w:t>
      </w:r>
      <w:r>
        <w:rPr>
          <w:rFonts w:cs="Arial" w:hint="cs"/>
          <w:rtl/>
        </w:rPr>
        <w:t>, אנצק"ת</w:t>
      </w:r>
      <w:r w:rsidRPr="00E52B1F">
        <w:rPr>
          <w:rFonts w:cs="Arial"/>
          <w:rtl/>
        </w:rPr>
        <w:t>.</w:t>
      </w:r>
    </w:p>
  </w:footnote>
  <w:footnote w:id="2943">
    <w:p w14:paraId="53E5948D" w14:textId="77777777" w:rsidR="004C5A3C" w:rsidRDefault="004C5A3C" w:rsidP="002C39F4">
      <w:pPr>
        <w:pStyle w:val="a5"/>
      </w:pPr>
      <w:r>
        <w:rPr>
          <w:rStyle w:val="a7"/>
        </w:rPr>
        <w:footnoteRef/>
      </w:r>
      <w:r>
        <w:rPr>
          <w:rtl/>
        </w:rPr>
        <w:t xml:space="preserve"> </w:t>
      </w:r>
      <w:r w:rsidRPr="00E52B1F">
        <w:rPr>
          <w:rtl/>
        </w:rPr>
        <w:t>וצ"ע דמאי שנא כלי חרס משאר כלים לענין זה ועי</w:t>
      </w:r>
      <w:r>
        <w:rPr>
          <w:rFonts w:hint="cs"/>
          <w:rtl/>
        </w:rPr>
        <w:t>'</w:t>
      </w:r>
      <w:r w:rsidRPr="00E52B1F">
        <w:rPr>
          <w:rtl/>
        </w:rPr>
        <w:t xml:space="preserve"> לקמן ר</w:t>
      </w:r>
      <w:r>
        <w:rPr>
          <w:rFonts w:hint="cs"/>
          <w:rtl/>
        </w:rPr>
        <w:t>"</w:t>
      </w:r>
      <w:r w:rsidRPr="00E52B1F">
        <w:rPr>
          <w:rtl/>
        </w:rPr>
        <w:t xml:space="preserve">ס קלה </w:t>
      </w:r>
      <w:r w:rsidRPr="00E51B29">
        <w:rPr>
          <w:sz w:val="16"/>
          <w:szCs w:val="16"/>
          <w:rtl/>
        </w:rPr>
        <w:t xml:space="preserve">(אות ב) </w:t>
      </w:r>
      <w:r w:rsidRPr="00E52B1F">
        <w:rPr>
          <w:rtl/>
        </w:rPr>
        <w:t>עוד מדין זה ולקמן ס</w:t>
      </w:r>
      <w:r>
        <w:rPr>
          <w:rFonts w:hint="cs"/>
          <w:rtl/>
        </w:rPr>
        <w:t>"</w:t>
      </w:r>
      <w:r w:rsidRPr="00E52B1F">
        <w:rPr>
          <w:rtl/>
        </w:rPr>
        <w:t>ס קלו</w:t>
      </w:r>
      <w:r w:rsidRPr="00FC6BD0">
        <w:rPr>
          <w:sz w:val="16"/>
          <w:szCs w:val="16"/>
          <w:rtl/>
        </w:rPr>
        <w:t xml:space="preserve"> (אות א ד"ה כתב)</w:t>
      </w:r>
      <w:r>
        <w:rPr>
          <w:rFonts w:hint="cs"/>
          <w:rtl/>
        </w:rPr>
        <w:t>, דרכ"מ.</w:t>
      </w:r>
    </w:p>
  </w:footnote>
  <w:footnote w:id="2944">
    <w:p w14:paraId="2980BF10" w14:textId="77777777" w:rsidR="004C5A3C" w:rsidRDefault="004C5A3C" w:rsidP="002C39F4">
      <w:pPr>
        <w:pStyle w:val="a5"/>
        <w:rPr>
          <w:rtl/>
        </w:rPr>
      </w:pPr>
      <w:r>
        <w:rPr>
          <w:rStyle w:val="a7"/>
        </w:rPr>
        <w:footnoteRef/>
      </w:r>
      <w:r>
        <w:rPr>
          <w:rtl/>
        </w:rPr>
        <w:t xml:space="preserve"> </w:t>
      </w:r>
      <w:r>
        <w:rPr>
          <w:rFonts w:cs="Arial" w:hint="cs"/>
          <w:rtl/>
        </w:rPr>
        <w:t>וכ' הב"י דה</w:t>
      </w:r>
      <w:r w:rsidRPr="00DB415C">
        <w:rPr>
          <w:rFonts w:cs="Arial"/>
          <w:rtl/>
        </w:rPr>
        <w:t>תוס</w:t>
      </w:r>
      <w:r>
        <w:rPr>
          <w:rFonts w:cs="Arial" w:hint="cs"/>
          <w:rtl/>
        </w:rPr>
        <w:t>'</w:t>
      </w:r>
      <w:r w:rsidRPr="00DB415C">
        <w:rPr>
          <w:rFonts w:cs="Arial"/>
          <w:rtl/>
        </w:rPr>
        <w:t xml:space="preserve"> (עה: ד"ה מגעילן) כתבו סתם כדברי ר"י</w:t>
      </w:r>
      <w:r>
        <w:rPr>
          <w:rFonts w:cs="Arial" w:hint="cs"/>
          <w:rtl/>
        </w:rPr>
        <w:t>.</w:t>
      </w:r>
    </w:p>
  </w:footnote>
  <w:footnote w:id="2945">
    <w:p w14:paraId="4B2E9A7C" w14:textId="77777777" w:rsidR="004C5A3C" w:rsidRDefault="004C5A3C" w:rsidP="002C39F4">
      <w:pPr>
        <w:pStyle w:val="a5"/>
        <w:rPr>
          <w:rtl/>
        </w:rPr>
      </w:pPr>
      <w:r>
        <w:rPr>
          <w:rStyle w:val="a7"/>
        </w:rPr>
        <w:footnoteRef/>
      </w:r>
      <w:r>
        <w:rPr>
          <w:rtl/>
        </w:rPr>
        <w:t xml:space="preserve"> </w:t>
      </w:r>
      <w:r>
        <w:rPr>
          <w:rFonts w:hint="cs"/>
          <w:rtl/>
        </w:rPr>
        <w:t>וכ' הטור על דבריו-</w:t>
      </w:r>
      <w:r>
        <w:rPr>
          <w:rFonts w:cs="Arial"/>
          <w:rtl/>
        </w:rPr>
        <w:t xml:space="preserve"> ולא נהגו כן כי מי יודע לשער מתי יפלוט הכל שאם באנו לומר כדרך שנשתמש בו לא הוה מהני בהו הגעלה שהרי נשתמש בו איסור זה כמה ימים והיאך יפלוט בפעם אחת אלא ודאי קים להו דבהגעלה אחת פולט הכל</w:t>
      </w:r>
      <w:r>
        <w:rPr>
          <w:rFonts w:cs="Arial" w:hint="cs"/>
          <w:rtl/>
        </w:rPr>
        <w:t xml:space="preserve"> אלא </w:t>
      </w:r>
      <w:r w:rsidRPr="00EF33DE">
        <w:rPr>
          <w:rFonts w:cs="Arial"/>
          <w:rtl/>
        </w:rPr>
        <w:t>אין חילוק בין אם ישהנו בתוכו או יוציאנו מיד וכן נוהגין</w:t>
      </w:r>
      <w:r>
        <w:rPr>
          <w:rFonts w:cs="Arial" w:hint="cs"/>
          <w:rtl/>
        </w:rPr>
        <w:t>.</w:t>
      </w:r>
    </w:p>
  </w:footnote>
  <w:footnote w:id="2946">
    <w:p w14:paraId="55E9606F" w14:textId="77777777" w:rsidR="004C5A3C" w:rsidRDefault="004C5A3C" w:rsidP="002C39F4">
      <w:pPr>
        <w:pStyle w:val="a5"/>
        <w:rPr>
          <w:rtl/>
        </w:rPr>
      </w:pPr>
      <w:r>
        <w:rPr>
          <w:rStyle w:val="a7"/>
        </w:rPr>
        <w:footnoteRef/>
      </w:r>
      <w:r>
        <w:rPr>
          <w:rtl/>
        </w:rPr>
        <w:t xml:space="preserve"> </w:t>
      </w:r>
      <w:r>
        <w:rPr>
          <w:rFonts w:cs="Arial"/>
          <w:rtl/>
        </w:rPr>
        <w:t xml:space="preserve">כתב </w:t>
      </w:r>
      <w:r>
        <w:rPr>
          <w:rFonts w:cs="Arial" w:hint="cs"/>
          <w:rtl/>
        </w:rPr>
        <w:t>ה</w:t>
      </w:r>
      <w:r>
        <w:rPr>
          <w:rFonts w:cs="Arial"/>
          <w:rtl/>
        </w:rPr>
        <w:t xml:space="preserve">טור </w:t>
      </w:r>
      <w:r w:rsidRPr="00EF33DE">
        <w:rPr>
          <w:rFonts w:cs="Arial" w:hint="cs"/>
          <w:sz w:val="16"/>
          <w:szCs w:val="16"/>
          <w:rtl/>
        </w:rPr>
        <w:t xml:space="preserve">(או"ח </w:t>
      </w:r>
      <w:r w:rsidRPr="00EF33DE">
        <w:rPr>
          <w:rFonts w:cs="Arial"/>
          <w:sz w:val="16"/>
          <w:szCs w:val="16"/>
          <w:rtl/>
        </w:rPr>
        <w:t>סי</w:t>
      </w:r>
      <w:r w:rsidRPr="00EF33DE">
        <w:rPr>
          <w:rFonts w:cs="Arial" w:hint="cs"/>
          <w:sz w:val="16"/>
          <w:szCs w:val="16"/>
          <w:rtl/>
        </w:rPr>
        <w:t>'</w:t>
      </w:r>
      <w:r w:rsidRPr="00EF33DE">
        <w:rPr>
          <w:rFonts w:cs="Arial"/>
          <w:sz w:val="16"/>
          <w:szCs w:val="16"/>
          <w:rtl/>
        </w:rPr>
        <w:t xml:space="preserve"> תנב קצו:) </w:t>
      </w:r>
      <w:r>
        <w:rPr>
          <w:rFonts w:cs="Arial"/>
          <w:rtl/>
        </w:rPr>
        <w:t>בשם אבי העזרי</w:t>
      </w:r>
      <w:r>
        <w:rPr>
          <w:rFonts w:cs="Arial" w:hint="cs"/>
          <w:rtl/>
        </w:rPr>
        <w:t>-</w:t>
      </w:r>
      <w:r>
        <w:rPr>
          <w:rFonts w:cs="Arial"/>
          <w:rtl/>
        </w:rPr>
        <w:t xml:space="preserve"> מי יודע לשער שיעור הפליטה אולי ישהם לתוכה וחוזרים ובולעים לכן ירא שמים הרוצה להגעיל כלים ביחד ישהם מעת לעת לתשמישם דכיון דטעמם פגום אין אוסרין</w:t>
      </w:r>
      <w:r>
        <w:rPr>
          <w:rFonts w:hint="cs"/>
          <w:rtl/>
        </w:rPr>
        <w:t xml:space="preserve">, ואדוני אבי הרא"ש ז"ל כתב בכל-... </w:t>
      </w:r>
    </w:p>
  </w:footnote>
  <w:footnote w:id="2947">
    <w:p w14:paraId="752576E9" w14:textId="77777777" w:rsidR="004C5A3C" w:rsidRDefault="004C5A3C" w:rsidP="002C39F4">
      <w:pPr>
        <w:pStyle w:val="a5"/>
        <w:rPr>
          <w:rtl/>
        </w:rPr>
      </w:pPr>
      <w:r>
        <w:rPr>
          <w:rStyle w:val="a7"/>
        </w:rPr>
        <w:footnoteRef/>
      </w:r>
      <w:r>
        <w:rPr>
          <w:rtl/>
        </w:rPr>
        <w:t xml:space="preserve"> </w:t>
      </w:r>
      <w:r>
        <w:rPr>
          <w:rFonts w:cs="Arial" w:hint="cs"/>
          <w:rtl/>
        </w:rPr>
        <w:t>וכ"כ</w:t>
      </w:r>
      <w:r>
        <w:rPr>
          <w:rFonts w:cs="Arial"/>
          <w:rtl/>
        </w:rPr>
        <w:t xml:space="preserve"> הרשב"א </w:t>
      </w:r>
      <w:r w:rsidRPr="004A2AC6">
        <w:rPr>
          <w:rFonts w:cs="Arial"/>
          <w:sz w:val="16"/>
          <w:szCs w:val="16"/>
          <w:rtl/>
        </w:rPr>
        <w:t>(ח"א סי</w:t>
      </w:r>
      <w:r>
        <w:rPr>
          <w:rFonts w:cs="Arial" w:hint="cs"/>
          <w:sz w:val="16"/>
          <w:szCs w:val="16"/>
          <w:rtl/>
        </w:rPr>
        <w:t>'</w:t>
      </w:r>
      <w:r w:rsidRPr="004A2AC6">
        <w:rPr>
          <w:rFonts w:cs="Arial"/>
          <w:sz w:val="16"/>
          <w:szCs w:val="16"/>
          <w:rtl/>
        </w:rPr>
        <w:t xml:space="preserve"> רסג) </w:t>
      </w:r>
      <w:r>
        <w:rPr>
          <w:rFonts w:cs="Arial"/>
          <w:rtl/>
        </w:rPr>
        <w:t>שנשאל היאך אנו מגעילים כלים שנשתמש בהם בכלי ראשון עם כלים שנשתמש בהם בכלי שני וכן כף וקערה אינם בולעים איסור אלא עד מקום קיבולם א</w:t>
      </w:r>
      <w:r>
        <w:rPr>
          <w:rFonts w:cs="Arial" w:hint="cs"/>
          <w:rtl/>
        </w:rPr>
        <w:t>"</w:t>
      </w:r>
      <w:r>
        <w:rPr>
          <w:rFonts w:cs="Arial"/>
          <w:rtl/>
        </w:rPr>
        <w:t>כ כשמכניסין כולם ביורה שמגעילין בה פולט מקום האיסור ובולע מקום ההיתר</w:t>
      </w:r>
      <w:r>
        <w:rPr>
          <w:rFonts w:cs="Arial" w:hint="cs"/>
          <w:rtl/>
        </w:rPr>
        <w:t>.</w:t>
      </w:r>
      <w:r>
        <w:rPr>
          <w:rFonts w:cs="Arial"/>
          <w:rtl/>
        </w:rPr>
        <w:t xml:space="preserve"> והשיב</w:t>
      </w:r>
      <w:r>
        <w:rPr>
          <w:rFonts w:cs="Arial" w:hint="cs"/>
          <w:rtl/>
        </w:rPr>
        <w:t>,</w:t>
      </w:r>
      <w:r>
        <w:rPr>
          <w:rFonts w:cs="Arial"/>
          <w:rtl/>
        </w:rPr>
        <w:t xml:space="preserve"> כיון שאין מגעילין כלי אלא שאינו בן יומו וכל שפולט אנו דנין אותו לפגום לפיכך אע</w:t>
      </w:r>
      <w:r>
        <w:rPr>
          <w:rFonts w:cs="Arial" w:hint="cs"/>
          <w:rtl/>
        </w:rPr>
        <w:t>"</w:t>
      </w:r>
      <w:r>
        <w:rPr>
          <w:rFonts w:cs="Arial"/>
          <w:rtl/>
        </w:rPr>
        <w:t>פ שחוזר ובולע ממנו אין חוששין לו</w:t>
      </w:r>
      <w:r>
        <w:rPr>
          <w:rFonts w:cs="Arial" w:hint="cs"/>
          <w:rtl/>
        </w:rPr>
        <w:t>, עכ"ל.</w:t>
      </w:r>
    </w:p>
  </w:footnote>
  <w:footnote w:id="2948">
    <w:p w14:paraId="394FBAC3" w14:textId="77777777" w:rsidR="004C5A3C" w:rsidRDefault="004C5A3C" w:rsidP="002C39F4">
      <w:pPr>
        <w:pStyle w:val="a5"/>
        <w:rPr>
          <w:rtl/>
        </w:rPr>
      </w:pPr>
      <w:r>
        <w:rPr>
          <w:rStyle w:val="a7"/>
        </w:rPr>
        <w:footnoteRef/>
      </w:r>
      <w:r>
        <w:rPr>
          <w:rtl/>
        </w:rPr>
        <w:t xml:space="preserve"> </w:t>
      </w:r>
      <w:r w:rsidRPr="004A2AC6">
        <w:rPr>
          <w:rFonts w:cs="Arial"/>
          <w:rtl/>
        </w:rPr>
        <w:t xml:space="preserve">רש"י </w:t>
      </w:r>
      <w:r w:rsidRPr="004A2AC6">
        <w:rPr>
          <w:rFonts w:cs="Arial"/>
          <w:sz w:val="16"/>
          <w:szCs w:val="16"/>
          <w:rtl/>
        </w:rPr>
        <w:t>(תשובות רש"י מהד' אלפנביין סי' רנט</w:t>
      </w:r>
      <w:r>
        <w:rPr>
          <w:rFonts w:cs="Arial" w:hint="cs"/>
          <w:sz w:val="16"/>
          <w:szCs w:val="16"/>
          <w:rtl/>
        </w:rPr>
        <w:t>, כ"כ הטור [כאן ובאו"ח סי' תנב עמ' קצו:] בשמו</w:t>
      </w:r>
      <w:r w:rsidRPr="004A2AC6">
        <w:rPr>
          <w:rFonts w:cs="Arial"/>
          <w:sz w:val="16"/>
          <w:szCs w:val="16"/>
          <w:rtl/>
        </w:rPr>
        <w:t xml:space="preserve">) </w:t>
      </w:r>
      <w:r>
        <w:rPr>
          <w:rFonts w:cs="Arial" w:hint="cs"/>
          <w:rtl/>
        </w:rPr>
        <w:t>ו</w:t>
      </w:r>
      <w:r w:rsidRPr="004A2AC6">
        <w:rPr>
          <w:rFonts w:cs="Arial"/>
          <w:rtl/>
        </w:rPr>
        <w:t xml:space="preserve">רמב"ם </w:t>
      </w:r>
      <w:r w:rsidRPr="004A2AC6">
        <w:rPr>
          <w:rFonts w:cs="Arial" w:hint="cs"/>
          <w:sz w:val="16"/>
          <w:szCs w:val="16"/>
          <w:rtl/>
        </w:rPr>
        <w:t xml:space="preserve">(פ"ה </w:t>
      </w:r>
      <w:r w:rsidRPr="004A2AC6">
        <w:rPr>
          <w:rFonts w:cs="Arial"/>
          <w:sz w:val="16"/>
          <w:szCs w:val="16"/>
          <w:rtl/>
        </w:rPr>
        <w:t>מהל</w:t>
      </w:r>
      <w:r w:rsidRPr="004A2AC6">
        <w:rPr>
          <w:rFonts w:cs="Arial" w:hint="cs"/>
          <w:sz w:val="16"/>
          <w:szCs w:val="16"/>
          <w:rtl/>
        </w:rPr>
        <w:t>'</w:t>
      </w:r>
      <w:r w:rsidRPr="004A2AC6">
        <w:rPr>
          <w:rFonts w:cs="Arial"/>
          <w:sz w:val="16"/>
          <w:szCs w:val="16"/>
          <w:rtl/>
        </w:rPr>
        <w:t xml:space="preserve"> חמץ ומצה הכ"ג)</w:t>
      </w:r>
      <w:r>
        <w:rPr>
          <w:rFonts w:hint="cs"/>
          <w:rtl/>
        </w:rPr>
        <w:t>.</w:t>
      </w:r>
    </w:p>
  </w:footnote>
  <w:footnote w:id="2949">
    <w:p w14:paraId="42BC96E4" w14:textId="77777777" w:rsidR="004C5A3C" w:rsidRDefault="004C5A3C" w:rsidP="002C39F4">
      <w:pPr>
        <w:pStyle w:val="a5"/>
      </w:pPr>
      <w:r>
        <w:rPr>
          <w:rStyle w:val="a7"/>
        </w:rPr>
        <w:footnoteRef/>
      </w:r>
      <w:r>
        <w:rPr>
          <w:rtl/>
        </w:rPr>
        <w:t xml:space="preserve"> </w:t>
      </w:r>
      <w:r w:rsidRPr="004A2AC6">
        <w:rPr>
          <w:rFonts w:cs="Arial"/>
          <w:rtl/>
        </w:rPr>
        <w:t>וכ</w:t>
      </w:r>
      <w:r>
        <w:rPr>
          <w:rFonts w:cs="Arial" w:hint="cs"/>
          <w:rtl/>
        </w:rPr>
        <w:t>'</w:t>
      </w:r>
      <w:r w:rsidRPr="004A2AC6">
        <w:rPr>
          <w:rFonts w:cs="Arial"/>
          <w:rtl/>
        </w:rPr>
        <w:t xml:space="preserve"> ה</w:t>
      </w:r>
      <w:r>
        <w:rPr>
          <w:rFonts w:cs="Arial" w:hint="cs"/>
          <w:rtl/>
        </w:rPr>
        <w:t>ה"מ (שם)</w:t>
      </w:r>
      <w:r w:rsidRPr="004A2AC6">
        <w:rPr>
          <w:rFonts w:cs="Arial"/>
          <w:rtl/>
        </w:rPr>
        <w:t xml:space="preserve"> שכך הוא דעת הגאונים ואחרונים שצריכים שטיפה</w:t>
      </w:r>
      <w:r>
        <w:rPr>
          <w:rFonts w:cs="Arial" w:hint="cs"/>
          <w:rtl/>
        </w:rPr>
        <w:t>.</w:t>
      </w:r>
      <w:r>
        <w:rPr>
          <w:rFonts w:hint="cs"/>
          <w:rtl/>
        </w:rPr>
        <w:t xml:space="preserve"> וכ' הטור דכן המנהג לשטפו מיד, ושכן ראוי לעשות.</w:t>
      </w:r>
      <w:r w:rsidRPr="004A2AC6">
        <w:rPr>
          <w:rFonts w:cs="Arial"/>
          <w:rtl/>
        </w:rPr>
        <w:t xml:space="preserve"> </w:t>
      </w:r>
      <w:r>
        <w:rPr>
          <w:rFonts w:cs="Arial" w:hint="cs"/>
          <w:rtl/>
        </w:rPr>
        <w:t xml:space="preserve">וכ' </w:t>
      </w:r>
      <w:r w:rsidRPr="004A2AC6">
        <w:rPr>
          <w:rFonts w:cs="Arial"/>
          <w:rtl/>
        </w:rPr>
        <w:t>רא"ש (</w:t>
      </w:r>
      <w:r>
        <w:rPr>
          <w:rFonts w:cs="Arial" w:hint="cs"/>
          <w:rtl/>
        </w:rPr>
        <w:t xml:space="preserve">ע"ז </w:t>
      </w:r>
      <w:r w:rsidRPr="004A2AC6">
        <w:rPr>
          <w:rFonts w:cs="Arial"/>
          <w:rtl/>
        </w:rPr>
        <w:t>סי' לו) שיש סמך למנהג זה מפרק דם החטאת (זבחים צו:)</w:t>
      </w:r>
      <w:r>
        <w:rPr>
          <w:rFonts w:hint="cs"/>
          <w:rtl/>
        </w:rPr>
        <w:t xml:space="preserve">. וכ' הטור בשם רש"י </w:t>
      </w:r>
      <w:r>
        <w:rPr>
          <w:rFonts w:cs="Arial" w:hint="cs"/>
          <w:rtl/>
        </w:rPr>
        <w:t>ד</w:t>
      </w:r>
      <w:r w:rsidRPr="004A2AC6">
        <w:rPr>
          <w:rFonts w:cs="Arial"/>
          <w:rtl/>
        </w:rPr>
        <w:t>צריך שישטפנו מיד במים קרים בעוד החמין עליו כדי שלא יחזור ויבלע</w:t>
      </w:r>
      <w:r>
        <w:rPr>
          <w:rFonts w:hint="cs"/>
          <w:rtl/>
        </w:rPr>
        <w:t xml:space="preserve">. אמנם כתב הב"י דהרא"ש </w:t>
      </w:r>
      <w:r w:rsidRPr="004A2AC6">
        <w:rPr>
          <w:rFonts w:cs="Arial"/>
          <w:rtl/>
        </w:rPr>
        <w:t>כתב בסוף ע"ז דאין תועלת בזה כי מיד שהוציאוהו מן המים הרותחים עם עלייתו הוא בולע כי אי אפשר לצמצם כל כך למהר ולשפוך עליו</w:t>
      </w:r>
      <w:r>
        <w:rPr>
          <w:rFonts w:cs="Arial" w:hint="cs"/>
          <w:rtl/>
        </w:rPr>
        <w:t>,</w:t>
      </w:r>
      <w:r w:rsidRPr="004A2AC6">
        <w:rPr>
          <w:rFonts w:cs="Arial"/>
          <w:rtl/>
        </w:rPr>
        <w:t xml:space="preserve"> ועוד כי אפילו במים הוא חוזר ובולע את פליטתו ולהכי בעינן שיהא במים ששים ואז אין לחוש אם חוזר ובולע</w:t>
      </w:r>
      <w:r>
        <w:rPr>
          <w:rFonts w:cs="Arial" w:hint="cs"/>
          <w:rtl/>
        </w:rPr>
        <w:t xml:space="preserve">, </w:t>
      </w:r>
      <w:r w:rsidRPr="004A2AC6">
        <w:rPr>
          <w:rFonts w:cs="Arial"/>
          <w:rtl/>
        </w:rPr>
        <w:t>ע</w:t>
      </w:r>
      <w:r>
        <w:rPr>
          <w:rFonts w:cs="Arial" w:hint="cs"/>
          <w:rtl/>
        </w:rPr>
        <w:t>"</w:t>
      </w:r>
      <w:r w:rsidRPr="004A2AC6">
        <w:rPr>
          <w:rFonts w:cs="Arial"/>
          <w:rtl/>
        </w:rPr>
        <w:t>כ</w:t>
      </w:r>
      <w:r>
        <w:rPr>
          <w:rFonts w:cs="Arial" w:hint="cs"/>
          <w:rtl/>
        </w:rPr>
        <w:t>.</w:t>
      </w:r>
      <w:r w:rsidRPr="004A2AC6">
        <w:rPr>
          <w:rFonts w:cs="Arial"/>
          <w:rtl/>
        </w:rPr>
        <w:t xml:space="preserve"> </w:t>
      </w:r>
      <w:r>
        <w:rPr>
          <w:rFonts w:cs="Arial" w:hint="cs"/>
          <w:rtl/>
        </w:rPr>
        <w:t>וכ' הב"י ד</w:t>
      </w:r>
      <w:r w:rsidRPr="004A2AC6">
        <w:rPr>
          <w:rFonts w:cs="Arial"/>
          <w:rtl/>
        </w:rPr>
        <w:t>כן משמע מדברי התוס</w:t>
      </w:r>
      <w:r>
        <w:rPr>
          <w:rFonts w:cs="Arial" w:hint="cs"/>
          <w:rtl/>
        </w:rPr>
        <w:t>'</w:t>
      </w:r>
      <w:r w:rsidRPr="004A2AC6">
        <w:rPr>
          <w:rFonts w:cs="Arial"/>
          <w:rtl/>
        </w:rPr>
        <w:t xml:space="preserve"> (</w:t>
      </w:r>
      <w:r>
        <w:rPr>
          <w:rFonts w:cs="Arial" w:hint="cs"/>
          <w:rtl/>
        </w:rPr>
        <w:t xml:space="preserve">ע"ז </w:t>
      </w:r>
      <w:r w:rsidRPr="004A2AC6">
        <w:rPr>
          <w:rFonts w:cs="Arial"/>
          <w:rtl/>
        </w:rPr>
        <w:t>עו. ד"ה מכאן)</w:t>
      </w:r>
      <w:r>
        <w:rPr>
          <w:rFonts w:cs="Arial" w:hint="cs"/>
          <w:rtl/>
        </w:rPr>
        <w:t>,</w:t>
      </w:r>
      <w:r w:rsidRPr="004A2AC6">
        <w:rPr>
          <w:rFonts w:cs="Arial"/>
          <w:rtl/>
        </w:rPr>
        <w:t xml:space="preserve"> ואפשר שמפני כך כתב רבינו בשם ר"י שאפילו לא שטפו מיד לא נאסר וכו'</w:t>
      </w:r>
      <w:r>
        <w:rPr>
          <w:rFonts w:hint="cs"/>
          <w:rtl/>
        </w:rPr>
        <w:t>.</w:t>
      </w:r>
    </w:p>
  </w:footnote>
  <w:footnote w:id="2950">
    <w:p w14:paraId="57F590AD" w14:textId="77777777" w:rsidR="004C5A3C" w:rsidRDefault="004C5A3C" w:rsidP="002C39F4">
      <w:pPr>
        <w:pStyle w:val="a5"/>
      </w:pPr>
      <w:r>
        <w:rPr>
          <w:rStyle w:val="a7"/>
        </w:rPr>
        <w:footnoteRef/>
      </w:r>
      <w:r>
        <w:rPr>
          <w:rtl/>
        </w:rPr>
        <w:t xml:space="preserve"> </w:t>
      </w:r>
      <w:r>
        <w:rPr>
          <w:rFonts w:cs="Arial"/>
          <w:rtl/>
        </w:rPr>
        <w:t>תוס</w:t>
      </w:r>
      <w:r>
        <w:rPr>
          <w:rFonts w:cs="Arial" w:hint="cs"/>
          <w:rtl/>
        </w:rPr>
        <w:t>'</w:t>
      </w:r>
      <w:r>
        <w:rPr>
          <w:rFonts w:cs="Arial"/>
          <w:rtl/>
        </w:rPr>
        <w:t xml:space="preserve"> </w:t>
      </w:r>
      <w:r w:rsidRPr="004F7AF3">
        <w:rPr>
          <w:rFonts w:cs="Arial"/>
          <w:sz w:val="16"/>
          <w:szCs w:val="16"/>
          <w:rtl/>
        </w:rPr>
        <w:t>(</w:t>
      </w:r>
      <w:r w:rsidRPr="004F7AF3">
        <w:rPr>
          <w:rFonts w:cs="Arial" w:hint="cs"/>
          <w:sz w:val="16"/>
          <w:szCs w:val="16"/>
          <w:rtl/>
        </w:rPr>
        <w:t xml:space="preserve">חולין </w:t>
      </w:r>
      <w:r w:rsidRPr="004F7AF3">
        <w:rPr>
          <w:rFonts w:cs="Arial"/>
          <w:sz w:val="16"/>
          <w:szCs w:val="16"/>
          <w:rtl/>
        </w:rPr>
        <w:t>קח: ד"ה שנפל</w:t>
      </w:r>
      <w:r w:rsidRPr="004F7AF3">
        <w:rPr>
          <w:rFonts w:cs="Arial" w:hint="cs"/>
          <w:sz w:val="16"/>
          <w:szCs w:val="16"/>
          <w:rtl/>
        </w:rPr>
        <w:t xml:space="preserve">, </w:t>
      </w:r>
      <w:r w:rsidRPr="004F7AF3">
        <w:rPr>
          <w:rFonts w:cs="Arial"/>
          <w:sz w:val="16"/>
          <w:szCs w:val="16"/>
          <w:rtl/>
        </w:rPr>
        <w:t xml:space="preserve">ע"ז עו. ד"ה מכאן) </w:t>
      </w:r>
      <w:r>
        <w:rPr>
          <w:rFonts w:cs="Arial"/>
          <w:rtl/>
        </w:rPr>
        <w:t xml:space="preserve">רשב"א </w:t>
      </w:r>
      <w:r w:rsidRPr="004F7AF3">
        <w:rPr>
          <w:rFonts w:cs="Arial" w:hint="cs"/>
          <w:sz w:val="16"/>
          <w:szCs w:val="16"/>
          <w:rtl/>
        </w:rPr>
        <w:t>(תוה"א</w:t>
      </w:r>
      <w:r w:rsidRPr="004F7AF3">
        <w:rPr>
          <w:rFonts w:cs="Arial"/>
          <w:sz w:val="16"/>
          <w:szCs w:val="16"/>
          <w:rtl/>
        </w:rPr>
        <w:t xml:space="preserve"> ב"ד ש"ד לג.)</w:t>
      </w:r>
      <w:r w:rsidRPr="004F7AF3">
        <w:rPr>
          <w:rFonts w:cs="Arial" w:hint="cs"/>
          <w:sz w:val="16"/>
          <w:szCs w:val="16"/>
          <w:rtl/>
        </w:rPr>
        <w:t xml:space="preserve"> </w:t>
      </w:r>
      <w:r>
        <w:rPr>
          <w:rFonts w:cs="Arial" w:hint="cs"/>
          <w:rtl/>
        </w:rPr>
        <w:t xml:space="preserve">רא"ש </w:t>
      </w:r>
      <w:r w:rsidRPr="004F7AF3">
        <w:rPr>
          <w:rFonts w:cs="Arial"/>
          <w:sz w:val="16"/>
          <w:szCs w:val="16"/>
          <w:rtl/>
        </w:rPr>
        <w:t>(</w:t>
      </w:r>
      <w:r w:rsidRPr="004F7AF3">
        <w:rPr>
          <w:rFonts w:cs="Arial" w:hint="cs"/>
          <w:sz w:val="16"/>
          <w:szCs w:val="16"/>
          <w:rtl/>
        </w:rPr>
        <w:t xml:space="preserve">פסחים </w:t>
      </w:r>
      <w:r w:rsidRPr="004F7AF3">
        <w:rPr>
          <w:rFonts w:cs="Arial"/>
          <w:sz w:val="16"/>
          <w:szCs w:val="16"/>
          <w:rtl/>
        </w:rPr>
        <w:t>סי' ז</w:t>
      </w:r>
      <w:r w:rsidRPr="004F7AF3">
        <w:rPr>
          <w:rFonts w:cs="Arial" w:hint="cs"/>
          <w:sz w:val="16"/>
          <w:szCs w:val="16"/>
          <w:rtl/>
        </w:rPr>
        <w:t>,</w:t>
      </w:r>
      <w:r w:rsidRPr="004F7AF3">
        <w:rPr>
          <w:rFonts w:cs="Arial"/>
          <w:sz w:val="16"/>
          <w:szCs w:val="16"/>
          <w:rtl/>
        </w:rPr>
        <w:t xml:space="preserve"> ע"ז סי' לו) </w:t>
      </w:r>
      <w:r>
        <w:rPr>
          <w:rFonts w:cs="Arial" w:hint="cs"/>
          <w:rtl/>
        </w:rPr>
        <w:t>ו</w:t>
      </w:r>
      <w:r w:rsidRPr="004A2AC6">
        <w:rPr>
          <w:rFonts w:cs="Arial" w:hint="cs"/>
          <w:rtl/>
        </w:rPr>
        <w:t>טור</w:t>
      </w:r>
      <w:r>
        <w:rPr>
          <w:rFonts w:cs="Arial" w:hint="cs"/>
          <w:rtl/>
        </w:rPr>
        <w:t>.</w:t>
      </w:r>
    </w:p>
  </w:footnote>
  <w:footnote w:id="2951">
    <w:p w14:paraId="02BC339D" w14:textId="77777777" w:rsidR="004C5A3C" w:rsidRDefault="004C5A3C" w:rsidP="002C39F4">
      <w:pPr>
        <w:pStyle w:val="a5"/>
      </w:pPr>
      <w:r>
        <w:rPr>
          <w:rStyle w:val="a7"/>
        </w:rPr>
        <w:footnoteRef/>
      </w:r>
      <w:r>
        <w:rPr>
          <w:rtl/>
        </w:rPr>
        <w:t xml:space="preserve"> </w:t>
      </w:r>
      <w:r>
        <w:rPr>
          <w:rFonts w:cs="Arial" w:hint="cs"/>
          <w:rtl/>
        </w:rPr>
        <w:t xml:space="preserve">אבל אם </w:t>
      </w:r>
      <w:r>
        <w:rPr>
          <w:rFonts w:cs="Arial"/>
          <w:rtl/>
        </w:rPr>
        <w:t>היה כלי שאינו בן יומו אע</w:t>
      </w:r>
      <w:r>
        <w:rPr>
          <w:rFonts w:cs="Arial" w:hint="cs"/>
          <w:rtl/>
        </w:rPr>
        <w:t>"</w:t>
      </w:r>
      <w:r>
        <w:rPr>
          <w:rFonts w:cs="Arial"/>
          <w:rtl/>
        </w:rPr>
        <w:t>פ שאין במים ששים כמדת הכלי מותר</w:t>
      </w:r>
      <w:r>
        <w:rPr>
          <w:rFonts w:cs="Arial" w:hint="cs"/>
          <w:rtl/>
        </w:rPr>
        <w:t>,</w:t>
      </w:r>
      <w:r>
        <w:rPr>
          <w:rFonts w:cs="Arial"/>
          <w:rtl/>
        </w:rPr>
        <w:t xml:space="preserve"> והוא שיהא במים כדי שיוכל להתכסות בהם הכלי שהוא מגעיל</w:t>
      </w:r>
      <w:r>
        <w:rPr>
          <w:rFonts w:cs="Arial" w:hint="cs"/>
          <w:rtl/>
        </w:rPr>
        <w:t xml:space="preserve">, </w:t>
      </w:r>
      <w:r>
        <w:rPr>
          <w:rFonts w:cs="Arial"/>
          <w:rtl/>
        </w:rPr>
        <w:t xml:space="preserve">רשב"א </w:t>
      </w:r>
      <w:r w:rsidRPr="007A4B61">
        <w:rPr>
          <w:rFonts w:cs="Arial"/>
          <w:sz w:val="16"/>
          <w:szCs w:val="16"/>
          <w:rtl/>
        </w:rPr>
        <w:t>(תוה"ק שם לד.)</w:t>
      </w:r>
      <w:r>
        <w:rPr>
          <w:rFonts w:cs="Arial" w:hint="cs"/>
          <w:rtl/>
        </w:rPr>
        <w:t>.</w:t>
      </w:r>
      <w:r>
        <w:rPr>
          <w:rFonts w:hint="cs"/>
          <w:rtl/>
        </w:rPr>
        <w:t xml:space="preserve"> וכ' הדרכ"מ (אות יא) </w:t>
      </w:r>
      <w:r>
        <w:rPr>
          <w:rFonts w:cs="Arial" w:hint="cs"/>
          <w:rtl/>
        </w:rPr>
        <w:t>ד</w:t>
      </w:r>
      <w:r w:rsidRPr="00AA5E35">
        <w:rPr>
          <w:rFonts w:cs="Arial"/>
          <w:rtl/>
        </w:rPr>
        <w:t>צ"ע למה ליה שיתכסה בו כל הכלי</w:t>
      </w:r>
      <w:r>
        <w:rPr>
          <w:rFonts w:cs="Arial" w:hint="cs"/>
          <w:rtl/>
        </w:rPr>
        <w:t>,</w:t>
      </w:r>
      <w:r w:rsidRPr="00AA5E35">
        <w:rPr>
          <w:rFonts w:cs="Arial"/>
          <w:rtl/>
        </w:rPr>
        <w:t xml:space="preserve"> הלא כתב לעיל דמגעילין כלים לחצאין ואם כן אפילו אינו מתכסה נמי יכול לחזור ולהגעיל אח"כ מה שלא היה נכנס תחלה למים</w:t>
      </w:r>
      <w:r>
        <w:rPr>
          <w:rFonts w:cs="Arial" w:hint="cs"/>
          <w:rtl/>
        </w:rPr>
        <w:t>.</w:t>
      </w:r>
    </w:p>
  </w:footnote>
  <w:footnote w:id="2952">
    <w:p w14:paraId="0914BDB1" w14:textId="77777777" w:rsidR="004C5A3C" w:rsidRDefault="004C5A3C" w:rsidP="002C39F4">
      <w:pPr>
        <w:pStyle w:val="a5"/>
      </w:pPr>
      <w:r>
        <w:rPr>
          <w:rStyle w:val="a7"/>
        </w:rPr>
        <w:footnoteRef/>
      </w:r>
      <w:r>
        <w:rPr>
          <w:rtl/>
        </w:rPr>
        <w:t xml:space="preserve"> </w:t>
      </w:r>
      <w:r>
        <w:rPr>
          <w:rFonts w:cs="Arial" w:hint="cs"/>
          <w:rtl/>
        </w:rPr>
        <w:t>וכ' הט"ז (סק"ב) ד</w:t>
      </w:r>
      <w:r w:rsidRPr="00854F63">
        <w:rPr>
          <w:rFonts w:cs="Arial"/>
          <w:rtl/>
        </w:rPr>
        <w:t xml:space="preserve">זה דוקא לכתחלה אבל בדיעבד עלתה לו הגעלה שהרי </w:t>
      </w:r>
      <w:r>
        <w:rPr>
          <w:rFonts w:cs="Arial" w:hint="cs"/>
          <w:rtl/>
        </w:rPr>
        <w:t>נ"ט בר נ"ט</w:t>
      </w:r>
      <w:r w:rsidRPr="00854F63">
        <w:rPr>
          <w:rFonts w:cs="Arial"/>
          <w:rtl/>
        </w:rPr>
        <w:t xml:space="preserve"> דהיתרא הוא</w:t>
      </w:r>
      <w:r>
        <w:rPr>
          <w:rFonts w:cs="Arial" w:hint="cs"/>
          <w:rtl/>
        </w:rPr>
        <w:t>,</w:t>
      </w:r>
      <w:r w:rsidRPr="00854F63">
        <w:rPr>
          <w:rFonts w:cs="Arial"/>
          <w:rtl/>
        </w:rPr>
        <w:t xml:space="preserve"> ואפי' בקערה של בשר ביורה חולבת ושניהם בן יומו פסק הטור בשם הרא"ש בסי</w:t>
      </w:r>
      <w:r>
        <w:rPr>
          <w:rFonts w:cs="Arial" w:hint="cs"/>
          <w:rtl/>
        </w:rPr>
        <w:t>'</w:t>
      </w:r>
      <w:r w:rsidRPr="00854F63">
        <w:rPr>
          <w:rFonts w:cs="Arial"/>
          <w:rtl/>
        </w:rPr>
        <w:t xml:space="preserve"> צ"ה דמותר</w:t>
      </w:r>
      <w:r>
        <w:rPr>
          <w:rFonts w:cs="Arial" w:hint="cs"/>
          <w:rtl/>
        </w:rPr>
        <w:t>,</w:t>
      </w:r>
      <w:r w:rsidRPr="00854F63">
        <w:rPr>
          <w:rFonts w:cs="Arial"/>
          <w:rtl/>
        </w:rPr>
        <w:t xml:space="preserve"> ובאשר"י סוף ע"</w:t>
      </w:r>
      <w:r>
        <w:rPr>
          <w:rFonts w:cs="Arial" w:hint="cs"/>
          <w:rtl/>
        </w:rPr>
        <w:t>ז</w:t>
      </w:r>
      <w:r w:rsidRPr="00854F63">
        <w:rPr>
          <w:rFonts w:cs="Arial"/>
          <w:rtl/>
        </w:rPr>
        <w:t xml:space="preserve"> מביא באמת כן לענין חמץ בערב פסח קודם ארבע שעות דמותר אפי' בן יומו דהוי נ"ט בר נ"ט דהיתרא</w:t>
      </w:r>
      <w:r>
        <w:rPr>
          <w:rFonts w:cs="Arial" w:hint="cs"/>
          <w:rtl/>
        </w:rPr>
        <w:t>,</w:t>
      </w:r>
      <w:r w:rsidRPr="00854F63">
        <w:rPr>
          <w:rFonts w:cs="Arial"/>
          <w:rtl/>
        </w:rPr>
        <w:t xml:space="preserve"> אלא דכאן מיירי לכתחלה דאסור לעשות שיהא נ"ט בר נ"ט לכתחלה כמו שכתבתי סי' צה סע</w:t>
      </w:r>
      <w:r>
        <w:rPr>
          <w:rFonts w:cs="Arial" w:hint="cs"/>
          <w:rtl/>
        </w:rPr>
        <w:t>'</w:t>
      </w:r>
      <w:r w:rsidRPr="00854F63">
        <w:rPr>
          <w:rFonts w:cs="Arial"/>
          <w:rtl/>
        </w:rPr>
        <w:t xml:space="preserve"> ב</w:t>
      </w:r>
      <w:r>
        <w:rPr>
          <w:rFonts w:cs="Arial" w:hint="cs"/>
          <w:rtl/>
        </w:rPr>
        <w:t>,</w:t>
      </w:r>
      <w:r w:rsidRPr="00854F63">
        <w:rPr>
          <w:rFonts w:cs="Arial"/>
          <w:rtl/>
        </w:rPr>
        <w:t xml:space="preserve"> ולדידן יש איסור אפי' דיעבד אם שניהם ב"י</w:t>
      </w:r>
      <w:r>
        <w:rPr>
          <w:rFonts w:cs="Arial" w:hint="cs"/>
          <w:rtl/>
        </w:rPr>
        <w:t>,</w:t>
      </w:r>
      <w:r w:rsidRPr="00854F63">
        <w:rPr>
          <w:rFonts w:cs="Arial"/>
          <w:rtl/>
        </w:rPr>
        <w:t xml:space="preserve"> כדעת ס</w:t>
      </w:r>
      <w:r>
        <w:rPr>
          <w:rFonts w:cs="Arial" w:hint="cs"/>
          <w:rtl/>
        </w:rPr>
        <w:t>ה"ת</w:t>
      </w:r>
      <w:r w:rsidRPr="00854F63">
        <w:rPr>
          <w:rFonts w:cs="Arial"/>
          <w:rtl/>
        </w:rPr>
        <w:t xml:space="preserve"> שמביא הטור שם סי</w:t>
      </w:r>
      <w:r>
        <w:rPr>
          <w:rFonts w:cs="Arial" w:hint="cs"/>
          <w:rtl/>
        </w:rPr>
        <w:t>'</w:t>
      </w:r>
      <w:r w:rsidRPr="00854F63">
        <w:rPr>
          <w:rFonts w:cs="Arial"/>
          <w:rtl/>
        </w:rPr>
        <w:t xml:space="preserve"> צ"ה. ועוד יש לומר דצריך שלא יהא בן יומו ע"פ מה שכתב ב"י בשם רשב"א שנשאל היאך אנו מגעילין כלי שלא בלע איסור אלא עד מקום קבולו וכשמכניסין אותו ביורה פולט מקום האיסור ובולע ההיתר והשיב כיון שאין מגעילין רק שאינו בן יומו לית לן בה ע"כ</w:t>
      </w:r>
      <w:r>
        <w:rPr>
          <w:rFonts w:cs="Arial" w:hint="cs"/>
          <w:rtl/>
        </w:rPr>
        <w:t>.</w:t>
      </w:r>
    </w:p>
  </w:footnote>
  <w:footnote w:id="2953">
    <w:p w14:paraId="7BBDF6DB" w14:textId="77777777" w:rsidR="004C5A3C" w:rsidRPr="00B16A4F" w:rsidRDefault="004C5A3C" w:rsidP="002C39F4">
      <w:pPr>
        <w:pStyle w:val="a5"/>
        <w:rPr>
          <w:rFonts w:cs="Arial"/>
          <w:rtl/>
        </w:rPr>
      </w:pPr>
      <w:r>
        <w:rPr>
          <w:rStyle w:val="a7"/>
        </w:rPr>
        <w:footnoteRef/>
      </w:r>
      <w:r>
        <w:rPr>
          <w:rtl/>
        </w:rPr>
        <w:t xml:space="preserve"> </w:t>
      </w:r>
      <w:r w:rsidRPr="001C72D4">
        <w:rPr>
          <w:rFonts w:cs="Arial"/>
          <w:rtl/>
        </w:rPr>
        <w:t>ובהכרח בכה"ג איירי ד</w:t>
      </w:r>
      <w:r>
        <w:rPr>
          <w:rFonts w:cs="Arial" w:hint="cs"/>
          <w:rtl/>
        </w:rPr>
        <w:t>א</w:t>
      </w:r>
      <w:r w:rsidRPr="001C72D4">
        <w:rPr>
          <w:rFonts w:cs="Arial"/>
          <w:rtl/>
        </w:rPr>
        <w:t>ל</w:t>
      </w:r>
      <w:r>
        <w:rPr>
          <w:rFonts w:cs="Arial" w:hint="cs"/>
          <w:rtl/>
        </w:rPr>
        <w:t>"</w:t>
      </w:r>
      <w:r w:rsidRPr="001C72D4">
        <w:rPr>
          <w:rFonts w:cs="Arial"/>
          <w:rtl/>
        </w:rPr>
        <w:t>כ פשיטא</w:t>
      </w:r>
      <w:r>
        <w:rPr>
          <w:rFonts w:cs="Arial" w:hint="cs"/>
          <w:rtl/>
        </w:rPr>
        <w:t>,</w:t>
      </w:r>
      <w:r w:rsidRPr="001C72D4">
        <w:rPr>
          <w:rFonts w:cs="Arial"/>
          <w:rtl/>
        </w:rPr>
        <w:t xml:space="preserve"> ובנטל"פ ליכא לאוקמי דלאו איסור הוא דהא לא אסרה תורה אלא קדרה ב"י</w:t>
      </w:r>
      <w:r>
        <w:rPr>
          <w:rFonts w:cs="Arial" w:hint="cs"/>
          <w:rtl/>
        </w:rPr>
        <w:t>,</w:t>
      </w:r>
      <w:r w:rsidRPr="001C72D4">
        <w:rPr>
          <w:rFonts w:cs="Arial"/>
          <w:rtl/>
        </w:rPr>
        <w:t xml:space="preserve"> ועוד דרוב פעמים כשמגעילין כלים לצורך פסח אפי' ביורות גדולות לא תמצא בהן ס' נגד כולם ואפ"ה מתירין לשם</w:t>
      </w:r>
      <w:r>
        <w:rPr>
          <w:rFonts w:cs="Arial" w:hint="cs"/>
          <w:rtl/>
        </w:rPr>
        <w:t>,</w:t>
      </w:r>
      <w:r w:rsidRPr="001C72D4">
        <w:rPr>
          <w:rFonts w:cs="Arial"/>
          <w:rtl/>
        </w:rPr>
        <w:t xml:space="preserve"> ועוד דמאחר שהמים צריכין להרתיח בשעת ההגעלה והכלי טרוד לפלוט בשעה קלה שתחבו ביורה אין חוזר ובולע כדאיתא לקמ</w:t>
      </w:r>
      <w:r>
        <w:rPr>
          <w:rFonts w:cs="Arial" w:hint="cs"/>
          <w:rtl/>
        </w:rPr>
        <w:t>ן, עכ"ל או</w:t>
      </w:r>
      <w:r>
        <w:rPr>
          <w:rFonts w:cs="Arial"/>
          <w:rtl/>
        </w:rPr>
        <w:t>"</w:t>
      </w:r>
      <w:r>
        <w:rPr>
          <w:rFonts w:cs="Arial" w:hint="cs"/>
          <w:rtl/>
        </w:rPr>
        <w:t xml:space="preserve">ה. </w:t>
      </w:r>
      <w:r>
        <w:rPr>
          <w:rFonts w:hint="cs"/>
          <w:rtl/>
        </w:rPr>
        <w:t xml:space="preserve">וכ' הש"ך (סק"כ) על דבריו- </w:t>
      </w:r>
      <w:r w:rsidRPr="001C72D4">
        <w:rPr>
          <w:rFonts w:cs="Arial"/>
          <w:rtl/>
        </w:rPr>
        <w:t>ואיני יודע כיון שהמים נאסרים למה לא יאסרו שוב הכלים שמגעילים בהן</w:t>
      </w:r>
      <w:r>
        <w:rPr>
          <w:rFonts w:cs="Arial" w:hint="cs"/>
          <w:rtl/>
        </w:rPr>
        <w:t>,</w:t>
      </w:r>
      <w:r w:rsidRPr="001C72D4">
        <w:rPr>
          <w:rFonts w:cs="Arial"/>
          <w:rtl/>
        </w:rPr>
        <w:t xml:space="preserve"> והראיה שהביא מסמ"ג איני מכיר דהסמ"ג אשמועינן דמותר לכתחלה להגעיל ואין בו משום מבטל איסור לכתחלה</w:t>
      </w:r>
      <w:r>
        <w:rPr>
          <w:rFonts w:cs="Arial" w:hint="cs"/>
          <w:rtl/>
        </w:rPr>
        <w:t>,</w:t>
      </w:r>
      <w:r w:rsidRPr="001C72D4">
        <w:rPr>
          <w:rFonts w:cs="Arial"/>
          <w:rtl/>
        </w:rPr>
        <w:t xml:space="preserve"> ומה שמגעילין בפסח הרבה כלים נמי אין ראיה דהא הם אינם ב"י וכדכתב האו"ה גופיה שם כמה פעמים</w:t>
      </w:r>
      <w:r>
        <w:rPr>
          <w:rFonts w:cs="Arial" w:hint="cs"/>
          <w:rtl/>
        </w:rPr>
        <w:t>,</w:t>
      </w:r>
      <w:r w:rsidRPr="001C72D4">
        <w:rPr>
          <w:rFonts w:cs="Arial"/>
          <w:rtl/>
        </w:rPr>
        <w:t xml:space="preserve"> ומ"ש דאינו חוזר ובולע נמי ליתא דהגע עצמך אילו נפל איסור לפחות מס' ואח"כ נתחב שם כף אי לא נאסר</w:t>
      </w:r>
      <w:r>
        <w:rPr>
          <w:rFonts w:cs="Arial" w:hint="cs"/>
          <w:rtl/>
        </w:rPr>
        <w:t>,</w:t>
      </w:r>
      <w:r w:rsidRPr="001C72D4">
        <w:rPr>
          <w:rFonts w:cs="Arial"/>
          <w:rtl/>
        </w:rPr>
        <w:t xml:space="preserve"> ועוד דהרי אותו כלי גופיה נאסר כשאין במים ס' נגדו אלמא דלא אמרינן דאינו חוזר ובולע וכן פשוט בכמה דוכתי</w:t>
      </w:r>
      <w:r>
        <w:rPr>
          <w:rFonts w:cs="Arial" w:hint="cs"/>
          <w:rtl/>
        </w:rPr>
        <w:t>,</w:t>
      </w:r>
      <w:r w:rsidRPr="001C72D4">
        <w:rPr>
          <w:rFonts w:cs="Arial"/>
          <w:rtl/>
        </w:rPr>
        <w:t xml:space="preserve"> ונראה דאו"ה מצרף כמה צדדים זה לזה כדי להתיר ולפע"ד אין כאן היתר דקי"ל (לעיל סי' צח) טעם כעיקר דאו</w:t>
      </w:r>
      <w:r>
        <w:rPr>
          <w:rFonts w:cs="Arial" w:hint="cs"/>
          <w:rtl/>
        </w:rPr>
        <w:t>',</w:t>
      </w:r>
      <w:r w:rsidRPr="001C72D4">
        <w:rPr>
          <w:rFonts w:cs="Arial"/>
          <w:rtl/>
        </w:rPr>
        <w:t xml:space="preserve"> וקי"ל לעיל ס"ס צט דחוזר וניעור</w:t>
      </w:r>
      <w:r>
        <w:rPr>
          <w:rFonts w:cs="Arial" w:hint="cs"/>
          <w:rtl/>
        </w:rPr>
        <w:t>,</w:t>
      </w:r>
      <w:r w:rsidRPr="001C72D4">
        <w:rPr>
          <w:rFonts w:cs="Arial"/>
          <w:rtl/>
        </w:rPr>
        <w:t xml:space="preserve"> א</w:t>
      </w:r>
      <w:r>
        <w:rPr>
          <w:rFonts w:cs="Arial" w:hint="cs"/>
          <w:rtl/>
        </w:rPr>
        <w:t>"</w:t>
      </w:r>
      <w:r w:rsidRPr="001C72D4">
        <w:rPr>
          <w:rFonts w:cs="Arial"/>
          <w:rtl/>
        </w:rPr>
        <w:t>כ כיון שהמים מדינא אסורים למה לא יאסרו הכלים, שוב עיינתי בתשו</w:t>
      </w:r>
      <w:r>
        <w:rPr>
          <w:rFonts w:cs="Arial" w:hint="cs"/>
          <w:rtl/>
        </w:rPr>
        <w:t>'</w:t>
      </w:r>
      <w:r w:rsidRPr="001C72D4">
        <w:rPr>
          <w:rFonts w:cs="Arial"/>
          <w:rtl/>
        </w:rPr>
        <w:t xml:space="preserve"> הרשב"א ומצאתי בסי' רס"ב דהראב"ד ומחלוקתו לא כתבו דבריהם גבי הגעלת כלים אלא בעלמא באיסור עצמו פליגי אי חוזר וניעור ומינה למד הרשב"א כי היכי דפליגי באיסור עצמו ה"ה דפליגי בהגעלת כלים ע"ש מבואר כך להדיא</w:t>
      </w:r>
      <w:r>
        <w:rPr>
          <w:rFonts w:cs="Arial" w:hint="cs"/>
          <w:rtl/>
        </w:rPr>
        <w:t>,</w:t>
      </w:r>
      <w:r w:rsidRPr="001C72D4">
        <w:rPr>
          <w:rFonts w:cs="Arial"/>
          <w:rtl/>
        </w:rPr>
        <w:t xml:space="preserve"> ולפ</w:t>
      </w:r>
      <w:r>
        <w:rPr>
          <w:rFonts w:cs="Arial" w:hint="cs"/>
          <w:rtl/>
        </w:rPr>
        <w:t>"</w:t>
      </w:r>
      <w:r w:rsidRPr="001C72D4">
        <w:rPr>
          <w:rFonts w:cs="Arial"/>
          <w:rtl/>
        </w:rPr>
        <w:t>ז למאי דנתבאר לעיל סי' צט ס</w:t>
      </w:r>
      <w:r>
        <w:rPr>
          <w:rFonts w:cs="Arial" w:hint="cs"/>
          <w:rtl/>
        </w:rPr>
        <w:t>ק"כ</w:t>
      </w:r>
      <w:r w:rsidRPr="001C72D4">
        <w:rPr>
          <w:rFonts w:cs="Arial"/>
          <w:rtl/>
        </w:rPr>
        <w:t xml:space="preserve"> דלא קי"ל כהראב"ד אלא לעולם חוזר וניעור א"כ ה"ה הכא דהכלים נאסרים</w:t>
      </w:r>
      <w:r>
        <w:rPr>
          <w:rFonts w:cs="Arial" w:hint="cs"/>
          <w:rtl/>
        </w:rPr>
        <w:t>,</w:t>
      </w:r>
      <w:r w:rsidRPr="001C72D4">
        <w:rPr>
          <w:rFonts w:cs="Arial"/>
          <w:rtl/>
        </w:rPr>
        <w:t xml:space="preserve"> וכ"פ הרשב"א בתשו</w:t>
      </w:r>
      <w:r>
        <w:rPr>
          <w:rFonts w:cs="Arial" w:hint="cs"/>
          <w:rtl/>
        </w:rPr>
        <w:t>'</w:t>
      </w:r>
      <w:r w:rsidRPr="001C72D4">
        <w:rPr>
          <w:rFonts w:cs="Arial"/>
          <w:rtl/>
        </w:rPr>
        <w:t xml:space="preserve"> שם</w:t>
      </w:r>
      <w:r>
        <w:rPr>
          <w:rFonts w:cs="Arial" w:hint="cs"/>
          <w:rtl/>
        </w:rPr>
        <w:t>,</w:t>
      </w:r>
      <w:r w:rsidRPr="001C72D4">
        <w:rPr>
          <w:rFonts w:cs="Arial"/>
          <w:rtl/>
        </w:rPr>
        <w:t xml:space="preserve"> ודלא כהאו"ה</w:t>
      </w:r>
      <w:r>
        <w:rPr>
          <w:rFonts w:cs="Arial" w:hint="cs"/>
          <w:rtl/>
        </w:rPr>
        <w:t>.</w:t>
      </w:r>
    </w:p>
  </w:footnote>
  <w:footnote w:id="2954">
    <w:p w14:paraId="41B4324D" w14:textId="77777777" w:rsidR="004C5A3C" w:rsidRDefault="004C5A3C" w:rsidP="002C39F4">
      <w:pPr>
        <w:pStyle w:val="a5"/>
        <w:rPr>
          <w:rtl/>
        </w:rPr>
      </w:pPr>
      <w:r>
        <w:rPr>
          <w:rStyle w:val="a7"/>
        </w:rPr>
        <w:footnoteRef/>
      </w:r>
      <w:r>
        <w:rPr>
          <w:rtl/>
        </w:rPr>
        <w:t xml:space="preserve"> </w:t>
      </w:r>
      <w:r w:rsidRPr="00A8763A">
        <w:rPr>
          <w:rFonts w:cs="Arial" w:hint="cs"/>
          <w:rtl/>
        </w:rPr>
        <w:t xml:space="preserve">רש"י </w:t>
      </w:r>
      <w:r w:rsidRPr="00A8763A">
        <w:rPr>
          <w:rFonts w:cs="Arial" w:hint="cs"/>
          <w:sz w:val="16"/>
          <w:szCs w:val="16"/>
          <w:rtl/>
        </w:rPr>
        <w:t>(עו. ד"ה בת יומא, סז: ד"ה לאו)</w:t>
      </w:r>
      <w:r w:rsidRPr="00A8763A">
        <w:rPr>
          <w:rFonts w:cs="Arial"/>
          <w:sz w:val="16"/>
          <w:szCs w:val="16"/>
          <w:rtl/>
        </w:rPr>
        <w:t xml:space="preserve"> </w:t>
      </w:r>
      <w:r w:rsidRPr="00A8763A">
        <w:rPr>
          <w:rFonts w:cs="Arial" w:hint="cs"/>
          <w:rtl/>
        </w:rPr>
        <w:t xml:space="preserve">ר"ת </w:t>
      </w:r>
      <w:r w:rsidRPr="00A8763A">
        <w:rPr>
          <w:rFonts w:cs="Arial" w:hint="cs"/>
          <w:sz w:val="16"/>
          <w:szCs w:val="16"/>
          <w:rtl/>
        </w:rPr>
        <w:t xml:space="preserve">(בתוס' עו. ד"ה בת יומא) </w:t>
      </w:r>
      <w:r>
        <w:rPr>
          <w:rFonts w:cs="Arial" w:hint="cs"/>
          <w:rtl/>
        </w:rPr>
        <w:t>ו</w:t>
      </w:r>
      <w:r w:rsidRPr="00A8763A">
        <w:rPr>
          <w:rFonts w:cs="Arial"/>
          <w:rtl/>
        </w:rPr>
        <w:t xml:space="preserve">ר"ן </w:t>
      </w:r>
      <w:r w:rsidRPr="00A8763A">
        <w:rPr>
          <w:rFonts w:cs="Arial"/>
          <w:sz w:val="16"/>
          <w:szCs w:val="16"/>
          <w:rtl/>
        </w:rPr>
        <w:t>(ע"ז מ. ד"ה לא אסרה תורה)</w:t>
      </w:r>
      <w:r>
        <w:rPr>
          <w:rFonts w:hint="cs"/>
          <w:rtl/>
        </w:rPr>
        <w:t>.</w:t>
      </w:r>
    </w:p>
  </w:footnote>
  <w:footnote w:id="2955">
    <w:p w14:paraId="38FA7D2E" w14:textId="77777777" w:rsidR="004C5A3C" w:rsidRDefault="004C5A3C" w:rsidP="002C39F4">
      <w:pPr>
        <w:pStyle w:val="a5"/>
        <w:rPr>
          <w:rtl/>
        </w:rPr>
      </w:pPr>
      <w:r>
        <w:rPr>
          <w:rStyle w:val="a7"/>
        </w:rPr>
        <w:footnoteRef/>
      </w:r>
      <w:r>
        <w:rPr>
          <w:rtl/>
        </w:rPr>
        <w:t xml:space="preserve"> </w:t>
      </w:r>
      <w:r w:rsidRPr="00965779">
        <w:rPr>
          <w:rFonts w:cs="Arial"/>
          <w:rtl/>
        </w:rPr>
        <w:t>ודוקא שעמדה כל הלילה בלא בישול שאין ידוע מה גורם להפיג הטעם תחלת הלילה או סופו או כולו אבל מעת לעת לא בעינן והמחמיר תבא עליו ברכה</w:t>
      </w:r>
      <w:r>
        <w:rPr>
          <w:rFonts w:hint="cs"/>
          <w:rtl/>
        </w:rPr>
        <w:t>, ר"ת (בתוס' שם).</w:t>
      </w:r>
    </w:p>
  </w:footnote>
  <w:footnote w:id="2956">
    <w:p w14:paraId="7CA112F1" w14:textId="77777777" w:rsidR="004C5A3C" w:rsidRDefault="004C5A3C" w:rsidP="002C39F4">
      <w:pPr>
        <w:pStyle w:val="a5"/>
      </w:pPr>
      <w:r>
        <w:rPr>
          <w:rStyle w:val="a7"/>
        </w:rPr>
        <w:footnoteRef/>
      </w:r>
      <w:r>
        <w:rPr>
          <w:rtl/>
        </w:rPr>
        <w:t xml:space="preserve"> </w:t>
      </w:r>
      <w:r>
        <w:rPr>
          <w:rFonts w:hint="cs"/>
          <w:rtl/>
        </w:rPr>
        <w:t>הרא"ש לא כתב כן בפירוש, אבל כך נראה לב"י מדבריו, והוא משום שהרא"ש הביא את דברי ר"ת ואת הקושיות שיש על דבריו, וכתב הרא"ש כמה תירוצים לתרץ את שיטת ר"ת ובסוף כתב- "</w:t>
      </w:r>
      <w:r w:rsidRPr="00A8763A">
        <w:rPr>
          <w:rFonts w:cs="Arial"/>
          <w:rtl/>
        </w:rPr>
        <w:t>וכל דחוקים הללו צריכין אנו לומר לפי רבותינו שאינן מצריכין מעת לעת</w:t>
      </w:r>
      <w:r>
        <w:rPr>
          <w:rFonts w:cs="Arial" w:hint="cs"/>
          <w:rtl/>
        </w:rPr>
        <w:t>,</w:t>
      </w:r>
      <w:r w:rsidRPr="00A8763A">
        <w:rPr>
          <w:rFonts w:cs="Arial"/>
          <w:rtl/>
        </w:rPr>
        <w:t xml:space="preserve"> אבל אם באנו להצריך מעת לעת אתי שפיר טפי מה שהצריך שבירה ומריקה ושטיפה אחר בישול החטאת</w:t>
      </w:r>
      <w:r>
        <w:rPr>
          <w:rFonts w:cs="Arial" w:hint="cs"/>
          <w:rtl/>
        </w:rPr>
        <w:t>..."</w:t>
      </w:r>
      <w:r w:rsidRPr="00A8763A">
        <w:rPr>
          <w:rFonts w:cs="Arial"/>
          <w:rtl/>
        </w:rPr>
        <w:t>.</w:t>
      </w:r>
    </w:p>
  </w:footnote>
  <w:footnote w:id="2957">
    <w:p w14:paraId="4A60A175" w14:textId="77777777" w:rsidR="004C5A3C" w:rsidRDefault="004C5A3C" w:rsidP="002C39F4">
      <w:pPr>
        <w:pStyle w:val="a5"/>
        <w:rPr>
          <w:rtl/>
        </w:rPr>
      </w:pPr>
      <w:r>
        <w:rPr>
          <w:rStyle w:val="a7"/>
        </w:rPr>
        <w:footnoteRef/>
      </w:r>
      <w:r>
        <w:rPr>
          <w:rtl/>
        </w:rPr>
        <w:t xml:space="preserve"> </w:t>
      </w:r>
      <w:r w:rsidRPr="00A8763A">
        <w:rPr>
          <w:rFonts w:cs="Arial" w:hint="cs"/>
          <w:rtl/>
        </w:rPr>
        <w:t>רשב"ם</w:t>
      </w:r>
      <w:r w:rsidRPr="00A8763A">
        <w:rPr>
          <w:rFonts w:cs="Arial"/>
          <w:rtl/>
        </w:rPr>
        <w:t xml:space="preserve"> </w:t>
      </w:r>
      <w:r w:rsidRPr="00A8763A">
        <w:rPr>
          <w:rFonts w:cs="Arial"/>
          <w:sz w:val="16"/>
          <w:szCs w:val="16"/>
          <w:rtl/>
        </w:rPr>
        <w:t>(</w:t>
      </w:r>
      <w:r w:rsidRPr="00A8763A">
        <w:rPr>
          <w:rFonts w:cs="Arial" w:hint="cs"/>
          <w:sz w:val="16"/>
          <w:szCs w:val="16"/>
          <w:rtl/>
        </w:rPr>
        <w:t xml:space="preserve">כ"כ בשמו </w:t>
      </w:r>
      <w:r>
        <w:rPr>
          <w:rFonts w:cs="Arial" w:hint="cs"/>
          <w:sz w:val="16"/>
          <w:szCs w:val="16"/>
          <w:rtl/>
        </w:rPr>
        <w:t>הג</w:t>
      </w:r>
      <w:r>
        <w:rPr>
          <w:rFonts w:cs="Arial"/>
          <w:sz w:val="16"/>
          <w:szCs w:val="16"/>
          <w:rtl/>
        </w:rPr>
        <w:t>"</w:t>
      </w:r>
      <w:r>
        <w:rPr>
          <w:rFonts w:cs="Arial" w:hint="cs"/>
          <w:sz w:val="16"/>
          <w:szCs w:val="16"/>
          <w:rtl/>
        </w:rPr>
        <w:t>א</w:t>
      </w:r>
      <w:r w:rsidRPr="00A8763A">
        <w:rPr>
          <w:rFonts w:cs="Arial" w:hint="cs"/>
          <w:sz w:val="16"/>
          <w:szCs w:val="16"/>
          <w:rtl/>
        </w:rPr>
        <w:t xml:space="preserve"> </w:t>
      </w:r>
      <w:r w:rsidRPr="00A8763A">
        <w:rPr>
          <w:rFonts w:cs="Arial"/>
          <w:sz w:val="16"/>
          <w:szCs w:val="16"/>
          <w:rtl/>
        </w:rPr>
        <w:t>ע"ז פ"ה סי' ט)</w:t>
      </w:r>
      <w:r>
        <w:rPr>
          <w:rFonts w:cs="Arial" w:hint="cs"/>
          <w:rtl/>
        </w:rPr>
        <w:t xml:space="preserve"> ר"י</w:t>
      </w:r>
      <w:r>
        <w:rPr>
          <w:rFonts w:cs="Arial" w:hint="cs"/>
          <w:sz w:val="16"/>
          <w:szCs w:val="16"/>
          <w:rtl/>
        </w:rPr>
        <w:t xml:space="preserve"> (כ"כ בשמו הטור </w:t>
      </w:r>
      <w:r w:rsidRPr="00EC743C">
        <w:rPr>
          <w:rFonts w:cs="Arial" w:hint="cs"/>
          <w:sz w:val="14"/>
          <w:szCs w:val="14"/>
          <w:rtl/>
        </w:rPr>
        <w:t>[סי' קכא])</w:t>
      </w:r>
      <w:r>
        <w:rPr>
          <w:rFonts w:cs="Arial" w:hint="cs"/>
          <w:rtl/>
        </w:rPr>
        <w:t xml:space="preserve"> סה"ת</w:t>
      </w:r>
      <w:r w:rsidRPr="00A8763A">
        <w:rPr>
          <w:rFonts w:cs="Arial"/>
          <w:rtl/>
        </w:rPr>
        <w:t xml:space="preserve"> </w:t>
      </w:r>
      <w:r w:rsidRPr="00A8763A">
        <w:rPr>
          <w:rFonts w:cs="Arial"/>
          <w:sz w:val="16"/>
          <w:szCs w:val="16"/>
          <w:rtl/>
        </w:rPr>
        <w:t>(סי' עה</w:t>
      </w:r>
      <w:r>
        <w:rPr>
          <w:rFonts w:cs="Arial" w:hint="cs"/>
          <w:sz w:val="16"/>
          <w:szCs w:val="16"/>
          <w:rtl/>
        </w:rPr>
        <w:t>, כן הבין הב"י מדבריו</w:t>
      </w:r>
      <w:r w:rsidRPr="00A8763A">
        <w:rPr>
          <w:rFonts w:cs="Arial"/>
          <w:sz w:val="16"/>
          <w:szCs w:val="16"/>
          <w:rtl/>
        </w:rPr>
        <w:t>)</w:t>
      </w:r>
      <w:r>
        <w:rPr>
          <w:rFonts w:cs="Arial" w:hint="cs"/>
          <w:sz w:val="16"/>
          <w:szCs w:val="16"/>
          <w:rtl/>
        </w:rPr>
        <w:t xml:space="preserve"> </w:t>
      </w:r>
      <w:r>
        <w:rPr>
          <w:rFonts w:cs="Arial" w:hint="cs"/>
          <w:rtl/>
        </w:rPr>
        <w:t xml:space="preserve">רא"ש </w:t>
      </w:r>
      <w:r>
        <w:rPr>
          <w:rFonts w:cs="Arial" w:hint="cs"/>
          <w:sz w:val="16"/>
          <w:szCs w:val="16"/>
          <w:rtl/>
        </w:rPr>
        <w:t>(פ"ה סי' לו)</w:t>
      </w:r>
      <w:r>
        <w:rPr>
          <w:rFonts w:cs="Arial" w:hint="cs"/>
          <w:rtl/>
        </w:rPr>
        <w:t xml:space="preserve"> וטור</w:t>
      </w:r>
      <w:r>
        <w:rPr>
          <w:rFonts w:cs="Arial" w:hint="cs"/>
          <w:sz w:val="14"/>
          <w:szCs w:val="14"/>
          <w:rtl/>
        </w:rPr>
        <w:t xml:space="preserve"> </w:t>
      </w:r>
      <w:r w:rsidRPr="00A8763A">
        <w:rPr>
          <w:rFonts w:cs="Arial" w:hint="cs"/>
          <w:sz w:val="16"/>
          <w:szCs w:val="16"/>
          <w:rtl/>
        </w:rPr>
        <w:t>(כאן ובסי' קכא)</w:t>
      </w:r>
      <w:r>
        <w:rPr>
          <w:rFonts w:hint="cs"/>
          <w:rtl/>
        </w:rPr>
        <w:t>.</w:t>
      </w:r>
    </w:p>
  </w:footnote>
  <w:footnote w:id="2958">
    <w:p w14:paraId="781EF3B8" w14:textId="77777777" w:rsidR="004C5A3C" w:rsidRDefault="004C5A3C" w:rsidP="002C39F4">
      <w:pPr>
        <w:pStyle w:val="a5"/>
        <w:rPr>
          <w:rtl/>
        </w:rPr>
      </w:pPr>
      <w:r>
        <w:rPr>
          <w:rStyle w:val="a7"/>
        </w:rPr>
        <w:footnoteRef/>
      </w:r>
      <w:r>
        <w:rPr>
          <w:rtl/>
        </w:rPr>
        <w:t xml:space="preserve"> </w:t>
      </w:r>
      <w:r w:rsidRPr="00A8763A">
        <w:rPr>
          <w:rFonts w:cs="Arial"/>
          <w:rtl/>
        </w:rPr>
        <w:t>ו</w:t>
      </w:r>
      <w:r>
        <w:rPr>
          <w:rFonts w:cs="Arial" w:hint="cs"/>
          <w:rtl/>
        </w:rPr>
        <w:t>כ' הב"י ד</w:t>
      </w:r>
      <w:r w:rsidRPr="00A8763A">
        <w:rPr>
          <w:rFonts w:cs="Arial"/>
          <w:rtl/>
        </w:rPr>
        <w:t>הכי הוי סוגיין דעלמא.</w:t>
      </w:r>
    </w:p>
  </w:footnote>
  <w:footnote w:id="2959">
    <w:p w14:paraId="5678E177" w14:textId="77777777" w:rsidR="004C5A3C" w:rsidRDefault="004C5A3C" w:rsidP="002C39F4">
      <w:pPr>
        <w:pStyle w:val="a5"/>
      </w:pPr>
      <w:r>
        <w:rPr>
          <w:rStyle w:val="a7"/>
        </w:rPr>
        <w:footnoteRef/>
      </w:r>
      <w:r>
        <w:rPr>
          <w:rtl/>
        </w:rPr>
        <w:t xml:space="preserve"> </w:t>
      </w:r>
      <w:r>
        <w:rPr>
          <w:rFonts w:hint="cs"/>
          <w:rtl/>
        </w:rPr>
        <w:t xml:space="preserve">דוקא איסור, </w:t>
      </w:r>
      <w:r w:rsidRPr="00F949D3">
        <w:rPr>
          <w:rFonts w:cs="Arial"/>
          <w:rtl/>
        </w:rPr>
        <w:t>אבל היתר בהיתר אין הדין כן</w:t>
      </w:r>
      <w:r w:rsidRPr="00F949D3">
        <w:rPr>
          <w:rFonts w:cs="Arial" w:hint="cs"/>
          <w:rtl/>
        </w:rPr>
        <w:t>,</w:t>
      </w:r>
      <w:r w:rsidRPr="00F949D3">
        <w:rPr>
          <w:rFonts w:cs="Arial"/>
          <w:rtl/>
        </w:rPr>
        <w:t xml:space="preserve"> כמו בשר בכלי של חלב או חלב בכלי של בשר</w:t>
      </w:r>
      <w:r w:rsidRPr="00F949D3">
        <w:rPr>
          <w:rFonts w:cs="Arial" w:hint="cs"/>
          <w:rtl/>
        </w:rPr>
        <w:t>,</w:t>
      </w:r>
      <w:r w:rsidRPr="00F949D3">
        <w:rPr>
          <w:rFonts w:cs="Arial"/>
          <w:rtl/>
        </w:rPr>
        <w:t xml:space="preserve"> דאם הכלי אינו בן יומו הכל מותר אע</w:t>
      </w:r>
      <w:r w:rsidRPr="00F949D3">
        <w:rPr>
          <w:rFonts w:cs="Arial" w:hint="cs"/>
          <w:rtl/>
        </w:rPr>
        <w:t>"</w:t>
      </w:r>
      <w:r w:rsidRPr="00F949D3">
        <w:rPr>
          <w:rFonts w:cs="Arial"/>
          <w:rtl/>
        </w:rPr>
        <w:t>פ שעשו בו המים חמין לעולם</w:t>
      </w:r>
      <w:r w:rsidRPr="00F949D3">
        <w:rPr>
          <w:rFonts w:cs="Arial" w:hint="cs"/>
          <w:rtl/>
        </w:rPr>
        <w:t>,</w:t>
      </w:r>
      <w:r w:rsidRPr="00F949D3">
        <w:rPr>
          <w:rFonts w:cs="Arial"/>
          <w:rtl/>
        </w:rPr>
        <w:t xml:space="preserve"> לפי שכל המים אין להם דין פליטה מן הכלי שהרי הן היתר וכי חזרו ונבלעו בכלי לא נבלע רק מעט מן הבשר שנפלט מן הכלי או מן החלב המעורב במים</w:t>
      </w:r>
      <w:r w:rsidRPr="00F949D3">
        <w:rPr>
          <w:rFonts w:cs="Arial" w:hint="cs"/>
          <w:rtl/>
        </w:rPr>
        <w:t>,</w:t>
      </w:r>
      <w:r w:rsidRPr="00F949D3">
        <w:rPr>
          <w:rFonts w:cs="Arial"/>
          <w:rtl/>
        </w:rPr>
        <w:t xml:space="preserve"> שהרי עשר ידות חזרו ונבלעו המים שהן היתר יותר משחזר ונבלע מן הכלי הפליטה של כלי</w:t>
      </w:r>
      <w:r w:rsidRPr="00F949D3">
        <w:rPr>
          <w:rFonts w:cs="Arial" w:hint="cs"/>
          <w:rtl/>
        </w:rPr>
        <w:t>,</w:t>
      </w:r>
      <w:r w:rsidRPr="00F949D3">
        <w:rPr>
          <w:rFonts w:cs="Arial"/>
          <w:rtl/>
        </w:rPr>
        <w:t xml:space="preserve"> דדוקא באיסור אמרי' חתיכה עצמה נ</w:t>
      </w:r>
      <w:r>
        <w:rPr>
          <w:rFonts w:cs="Arial" w:hint="cs"/>
          <w:rtl/>
        </w:rPr>
        <w:t>"</w:t>
      </w:r>
      <w:r w:rsidRPr="00F949D3">
        <w:rPr>
          <w:rFonts w:cs="Arial"/>
          <w:rtl/>
        </w:rPr>
        <w:t>נ שכל המים קרויים איסור. ועוד יש לו להתיר משום נ</w:t>
      </w:r>
      <w:r w:rsidRPr="00F949D3">
        <w:rPr>
          <w:rFonts w:cs="Arial" w:hint="cs"/>
          <w:rtl/>
        </w:rPr>
        <w:t>"</w:t>
      </w:r>
      <w:r w:rsidRPr="00F949D3">
        <w:rPr>
          <w:rFonts w:cs="Arial"/>
          <w:rtl/>
        </w:rPr>
        <w:t>ט בר נ</w:t>
      </w:r>
      <w:r w:rsidRPr="00F949D3">
        <w:rPr>
          <w:rFonts w:cs="Arial" w:hint="cs"/>
          <w:rtl/>
        </w:rPr>
        <w:t>"</w:t>
      </w:r>
      <w:r w:rsidRPr="00F949D3">
        <w:rPr>
          <w:rFonts w:cs="Arial"/>
          <w:rtl/>
        </w:rPr>
        <w:t>ט</w:t>
      </w:r>
      <w:r w:rsidRPr="00F949D3">
        <w:rPr>
          <w:rFonts w:cs="Arial" w:hint="cs"/>
          <w:rtl/>
        </w:rPr>
        <w:t>,</w:t>
      </w:r>
      <w:r w:rsidRPr="00F949D3">
        <w:rPr>
          <w:rFonts w:cs="Arial"/>
          <w:rtl/>
        </w:rPr>
        <w:t xml:space="preserve"> ואפי' נאמר דוקא דגים שעלו בקערה מותר אבל נתבשלו לא</w:t>
      </w:r>
      <w:r>
        <w:rPr>
          <w:rFonts w:cs="Arial" w:hint="cs"/>
          <w:rtl/>
        </w:rPr>
        <w:t>,</w:t>
      </w:r>
      <w:r w:rsidRPr="00F949D3">
        <w:rPr>
          <w:rFonts w:cs="Arial"/>
          <w:rtl/>
        </w:rPr>
        <w:t xml:space="preserve"> הכא איכא </w:t>
      </w:r>
      <w:r>
        <w:rPr>
          <w:rFonts w:cs="Arial" w:hint="cs"/>
          <w:rtl/>
        </w:rPr>
        <w:t>ג'</w:t>
      </w:r>
      <w:r w:rsidRPr="00F949D3">
        <w:rPr>
          <w:rFonts w:cs="Arial"/>
          <w:rtl/>
        </w:rPr>
        <w:t xml:space="preserve"> נותני טעם של היתר</w:t>
      </w:r>
      <w:r>
        <w:rPr>
          <w:rFonts w:cs="Arial" w:hint="cs"/>
          <w:rtl/>
        </w:rPr>
        <w:t>,</w:t>
      </w:r>
      <w:r w:rsidRPr="00F949D3">
        <w:rPr>
          <w:rFonts w:cs="Arial"/>
          <w:rtl/>
        </w:rPr>
        <w:t xml:space="preserve"> הראשון נכנס בכלי ומשם למים ומן המים חוזר ונבלע בכלי הרי </w:t>
      </w:r>
      <w:r>
        <w:rPr>
          <w:rFonts w:cs="Arial" w:hint="cs"/>
          <w:rtl/>
        </w:rPr>
        <w:t>ג',</w:t>
      </w:r>
      <w:r w:rsidRPr="00F949D3">
        <w:rPr>
          <w:rFonts w:cs="Arial"/>
          <w:rtl/>
        </w:rPr>
        <w:t xml:space="preserve"> וכ"ש אם הוחמו המים הרבה פעמים דאיכא נותני טעם הרבה ומותר</w:t>
      </w:r>
      <w:r>
        <w:rPr>
          <w:rFonts w:cs="Arial" w:hint="cs"/>
          <w:rtl/>
        </w:rPr>
        <w:t>, סה"ת</w:t>
      </w:r>
      <w:r w:rsidRPr="00F949D3">
        <w:rPr>
          <w:rFonts w:cs="Arial"/>
          <w:rtl/>
        </w:rPr>
        <w:t>.</w:t>
      </w:r>
      <w:r>
        <w:rPr>
          <w:rFonts w:cs="Arial" w:hint="cs"/>
          <w:rtl/>
        </w:rPr>
        <w:t xml:space="preserve"> וכ"כ הטור והב"י.</w:t>
      </w:r>
    </w:p>
  </w:footnote>
  <w:footnote w:id="2960">
    <w:p w14:paraId="766E6360" w14:textId="77777777" w:rsidR="004C5A3C" w:rsidRDefault="004C5A3C" w:rsidP="002C39F4">
      <w:pPr>
        <w:pStyle w:val="a5"/>
        <w:rPr>
          <w:rtl/>
        </w:rPr>
      </w:pPr>
      <w:r>
        <w:rPr>
          <w:rStyle w:val="a7"/>
        </w:rPr>
        <w:footnoteRef/>
      </w:r>
      <w:r>
        <w:rPr>
          <w:rtl/>
        </w:rPr>
        <w:t xml:space="preserve"> </w:t>
      </w:r>
      <w:r>
        <w:rPr>
          <w:rFonts w:cs="Arial" w:hint="cs"/>
          <w:rtl/>
        </w:rPr>
        <w:t xml:space="preserve">הסמ"ק </w:t>
      </w:r>
      <w:r w:rsidRPr="00B2199F">
        <w:rPr>
          <w:rFonts w:cs="Arial"/>
          <w:rtl/>
        </w:rPr>
        <w:t>הביא דברי בעל התרומה וכתב אח</w:t>
      </w:r>
      <w:r>
        <w:rPr>
          <w:rFonts w:cs="Arial" w:hint="cs"/>
          <w:rtl/>
        </w:rPr>
        <w:t>"</w:t>
      </w:r>
      <w:r w:rsidRPr="00B2199F">
        <w:rPr>
          <w:rFonts w:cs="Arial"/>
          <w:rtl/>
        </w:rPr>
        <w:t>כ ד</w:t>
      </w:r>
      <w:r>
        <w:rPr>
          <w:rFonts w:hint="cs"/>
          <w:rtl/>
        </w:rPr>
        <w:t>-...</w:t>
      </w:r>
    </w:p>
  </w:footnote>
  <w:footnote w:id="2961">
    <w:p w14:paraId="03E74F37" w14:textId="77777777" w:rsidR="004C5A3C" w:rsidRDefault="004C5A3C" w:rsidP="002C39F4">
      <w:pPr>
        <w:pStyle w:val="a5"/>
      </w:pPr>
      <w:r>
        <w:rPr>
          <w:rStyle w:val="a7"/>
        </w:rPr>
        <w:footnoteRef/>
      </w:r>
      <w:r>
        <w:rPr>
          <w:rtl/>
        </w:rPr>
        <w:t xml:space="preserve"> </w:t>
      </w:r>
      <w:r>
        <w:rPr>
          <w:rFonts w:hint="cs"/>
          <w:rtl/>
        </w:rPr>
        <w:t xml:space="preserve">וז"ל- </w:t>
      </w:r>
      <w:r>
        <w:rPr>
          <w:rFonts w:cs="Arial" w:hint="cs"/>
          <w:rtl/>
        </w:rPr>
        <w:t>ו</w:t>
      </w:r>
      <w:r w:rsidRPr="00F949D3">
        <w:rPr>
          <w:rFonts w:cs="Arial"/>
          <w:rtl/>
        </w:rPr>
        <w:t xml:space="preserve">אע"ג דכתבתי לעיל סימן צ"ב </w:t>
      </w:r>
      <w:r w:rsidRPr="00F949D3">
        <w:rPr>
          <w:rFonts w:cs="Arial"/>
          <w:sz w:val="16"/>
          <w:szCs w:val="16"/>
          <w:rtl/>
        </w:rPr>
        <w:t xml:space="preserve">(אות ד) </w:t>
      </w:r>
      <w:r w:rsidRPr="00F949D3">
        <w:rPr>
          <w:rFonts w:cs="Arial"/>
          <w:rtl/>
        </w:rPr>
        <w:t>דאנו נוהגין בכל איסורים חנ"נ מ"מ לענין זה יש לסמוך אמקילין</w:t>
      </w:r>
      <w:r>
        <w:rPr>
          <w:rFonts w:cs="Arial" w:hint="cs"/>
          <w:rtl/>
        </w:rPr>
        <w:t>,</w:t>
      </w:r>
      <w:r w:rsidRPr="00F949D3">
        <w:rPr>
          <w:rFonts w:cs="Arial"/>
          <w:rtl/>
        </w:rPr>
        <w:t xml:space="preserve"> ולכן בשאר איסורים</w:t>
      </w:r>
      <w:r>
        <w:rPr>
          <w:rFonts w:cs="Arial" w:hint="cs"/>
          <w:rtl/>
        </w:rPr>
        <w:t>,</w:t>
      </w:r>
      <w:r w:rsidRPr="00617A44">
        <w:rPr>
          <w:rFonts w:cs="Arial"/>
          <w:rtl/>
        </w:rPr>
        <w:t xml:space="preserve"> </w:t>
      </w:r>
      <w:r w:rsidRPr="00F949D3">
        <w:rPr>
          <w:rFonts w:cs="Arial"/>
          <w:rtl/>
        </w:rPr>
        <w:t>אפילו קודם לינת הלילה</w:t>
      </w:r>
      <w:r>
        <w:rPr>
          <w:rFonts w:cs="Arial" w:hint="cs"/>
          <w:rtl/>
        </w:rPr>
        <w:t xml:space="preserve">, </w:t>
      </w:r>
      <w:r w:rsidRPr="00F949D3">
        <w:rPr>
          <w:rFonts w:cs="Arial"/>
          <w:rtl/>
        </w:rPr>
        <w:t>יש להתיר ולסמוך אמקילין</w:t>
      </w:r>
      <w:r>
        <w:rPr>
          <w:rFonts w:cs="Arial" w:hint="cs"/>
          <w:rtl/>
        </w:rPr>
        <w:t>.</w:t>
      </w:r>
    </w:p>
  </w:footnote>
  <w:footnote w:id="2962">
    <w:p w14:paraId="5BD6B5D7" w14:textId="77777777" w:rsidR="004C5A3C" w:rsidRDefault="004C5A3C" w:rsidP="002C39F4">
      <w:pPr>
        <w:pStyle w:val="a5"/>
        <w:rPr>
          <w:rtl/>
        </w:rPr>
      </w:pPr>
      <w:r>
        <w:rPr>
          <w:rStyle w:val="a7"/>
        </w:rPr>
        <w:footnoteRef/>
      </w:r>
      <w:r>
        <w:rPr>
          <w:rtl/>
        </w:rPr>
        <w:t xml:space="preserve"> </w:t>
      </w:r>
      <w:r>
        <w:rPr>
          <w:rFonts w:hint="cs"/>
          <w:rtl/>
        </w:rPr>
        <w:t xml:space="preserve">ז"ל הב"י- </w:t>
      </w:r>
      <w:r w:rsidRPr="00F949D3">
        <w:rPr>
          <w:rFonts w:cs="Arial"/>
          <w:rtl/>
        </w:rPr>
        <w:t>לפי הטעם שכתב סמ"ק בהא נמי איכא למישרי דאע"ג דאמרינן חתיכה עצמה נעשית נבלה היינו לענין שאם נפלה לקדרה אחרת צריך ששים כנגד כולה</w:t>
      </w:r>
      <w:r>
        <w:rPr>
          <w:rFonts w:cs="Arial" w:hint="cs"/>
          <w:rtl/>
        </w:rPr>
        <w:t>, מכל מקום-...</w:t>
      </w:r>
    </w:p>
  </w:footnote>
  <w:footnote w:id="2963">
    <w:p w14:paraId="570AD02C" w14:textId="77777777" w:rsidR="004C5A3C" w:rsidRDefault="004C5A3C" w:rsidP="002C39F4">
      <w:pPr>
        <w:pStyle w:val="a5"/>
        <w:rPr>
          <w:rFonts w:cs="Arial"/>
          <w:rtl/>
        </w:rPr>
      </w:pPr>
      <w:r>
        <w:rPr>
          <w:rStyle w:val="a7"/>
        </w:rPr>
        <w:footnoteRef/>
      </w:r>
      <w:r>
        <w:rPr>
          <w:rtl/>
        </w:rPr>
        <w:t xml:space="preserve"> </w:t>
      </w:r>
      <w:r w:rsidRPr="000D4593">
        <w:rPr>
          <w:rFonts w:cs="Arial" w:hint="cs"/>
          <w:u w:val="single"/>
          <w:rtl/>
        </w:rPr>
        <w:t>ומה הדין אם לאחר בישול המים עבר לילה:</w:t>
      </w:r>
    </w:p>
    <w:p w14:paraId="54E1045F" w14:textId="77777777" w:rsidR="004C5A3C" w:rsidRDefault="004C5A3C" w:rsidP="0032102C">
      <w:pPr>
        <w:pStyle w:val="a5"/>
        <w:numPr>
          <w:ilvl w:val="0"/>
          <w:numId w:val="220"/>
        </w:numPr>
      </w:pPr>
      <w:r>
        <w:rPr>
          <w:rFonts w:hint="cs"/>
          <w:rtl/>
        </w:rPr>
        <w:t xml:space="preserve">(ב"י </w:t>
      </w:r>
      <w:r w:rsidRPr="000D4593">
        <w:rPr>
          <w:rFonts w:hint="cs"/>
          <w:sz w:val="16"/>
          <w:szCs w:val="16"/>
          <w:rtl/>
        </w:rPr>
        <w:t>להב' ה</w:t>
      </w:r>
      <w:r>
        <w:rPr>
          <w:rFonts w:hint="cs"/>
          <w:sz w:val="16"/>
          <w:szCs w:val="16"/>
          <w:rtl/>
        </w:rPr>
        <w:t>רמ"א</w:t>
      </w:r>
      <w:r w:rsidRPr="000D4593">
        <w:rPr>
          <w:rFonts w:hint="cs"/>
          <w:sz w:val="16"/>
          <w:szCs w:val="16"/>
          <w:rtl/>
        </w:rPr>
        <w:t xml:space="preserve"> </w:t>
      </w:r>
      <w:r>
        <w:rPr>
          <w:rFonts w:hint="cs"/>
          <w:sz w:val="16"/>
          <w:szCs w:val="16"/>
          <w:rtl/>
        </w:rPr>
        <w:t>[בת"ח כלל פה ד"ז]</w:t>
      </w:r>
      <w:r>
        <w:rPr>
          <w:rFonts w:hint="cs"/>
          <w:rtl/>
        </w:rPr>
        <w:t>)</w:t>
      </w:r>
      <w:r>
        <w:rPr>
          <w:rFonts w:cs="Arial" w:hint="cs"/>
          <w:rtl/>
        </w:rPr>
        <w:t xml:space="preserve"> ו</w:t>
      </w:r>
      <w:r w:rsidRPr="00F949D3">
        <w:rPr>
          <w:rFonts w:cs="Arial" w:hint="cs"/>
          <w:rtl/>
        </w:rPr>
        <w:t xml:space="preserve">דרכ"מ </w:t>
      </w:r>
      <w:r w:rsidRPr="00F949D3">
        <w:rPr>
          <w:rFonts w:cs="Arial"/>
          <w:sz w:val="16"/>
          <w:szCs w:val="16"/>
          <w:rtl/>
        </w:rPr>
        <w:t>(</w:t>
      </w:r>
      <w:r w:rsidRPr="00F949D3">
        <w:rPr>
          <w:rFonts w:cs="Arial" w:hint="cs"/>
          <w:sz w:val="16"/>
          <w:szCs w:val="16"/>
          <w:rtl/>
        </w:rPr>
        <w:t xml:space="preserve">אות </w:t>
      </w:r>
      <w:r w:rsidRPr="00F949D3">
        <w:rPr>
          <w:rFonts w:cs="Arial"/>
          <w:sz w:val="16"/>
          <w:szCs w:val="16"/>
          <w:rtl/>
        </w:rPr>
        <w:t>ב)</w:t>
      </w:r>
      <w:r>
        <w:rPr>
          <w:rFonts w:cs="Arial" w:hint="cs"/>
          <w:rtl/>
        </w:rPr>
        <w:t xml:space="preserve">- </w:t>
      </w:r>
      <w:r w:rsidRPr="00F949D3">
        <w:rPr>
          <w:rFonts w:cs="Arial"/>
          <w:rtl/>
        </w:rPr>
        <w:t>נ"ל דה"ה אם לאחר בישול המים עבר עליו הלילה נמי הוי דינא כאילו עבר קודם בישול</w:t>
      </w:r>
      <w:r>
        <w:rPr>
          <w:rFonts w:cs="Arial" w:hint="cs"/>
          <w:rtl/>
        </w:rPr>
        <w:t>.</w:t>
      </w:r>
      <w:r>
        <w:rPr>
          <w:rFonts w:hint="cs"/>
          <w:rtl/>
        </w:rPr>
        <w:t xml:space="preserve"> </w:t>
      </w:r>
      <w:r w:rsidRPr="00225ADE">
        <w:rPr>
          <w:rFonts w:hint="cs"/>
          <w:color w:val="00B0F0"/>
          <w:rtl/>
        </w:rPr>
        <w:t>(וכ"פ בהגה)</w:t>
      </w:r>
    </w:p>
    <w:p w14:paraId="577188ED" w14:textId="77777777" w:rsidR="004C5A3C" w:rsidRDefault="004C5A3C" w:rsidP="0032102C">
      <w:pPr>
        <w:pStyle w:val="a5"/>
        <w:numPr>
          <w:ilvl w:val="0"/>
          <w:numId w:val="220"/>
        </w:numPr>
      </w:pPr>
      <w:r>
        <w:rPr>
          <w:rFonts w:hint="cs"/>
          <w:rtl/>
        </w:rPr>
        <w:t xml:space="preserve">(ב"י </w:t>
      </w:r>
      <w:r w:rsidRPr="000D4593">
        <w:rPr>
          <w:rFonts w:hint="cs"/>
          <w:sz w:val="16"/>
          <w:szCs w:val="16"/>
          <w:rtl/>
        </w:rPr>
        <w:t xml:space="preserve">להב' הש"ך </w:t>
      </w:r>
      <w:r>
        <w:rPr>
          <w:rFonts w:hint="cs"/>
          <w:sz w:val="16"/>
          <w:szCs w:val="16"/>
          <w:rtl/>
        </w:rPr>
        <w:t>[</w:t>
      </w:r>
      <w:r w:rsidRPr="000D4593">
        <w:rPr>
          <w:rFonts w:hint="cs"/>
          <w:sz w:val="16"/>
          <w:szCs w:val="16"/>
          <w:rtl/>
        </w:rPr>
        <w:t>סקי"ח</w:t>
      </w:r>
      <w:r>
        <w:rPr>
          <w:rFonts w:hint="cs"/>
          <w:sz w:val="16"/>
          <w:szCs w:val="16"/>
          <w:rtl/>
        </w:rPr>
        <w:t>]</w:t>
      </w:r>
      <w:r>
        <w:rPr>
          <w:rFonts w:hint="cs"/>
          <w:rtl/>
        </w:rPr>
        <w:t xml:space="preserve">)- </w:t>
      </w:r>
      <w:r w:rsidRPr="000D4593">
        <w:rPr>
          <w:rFonts w:cs="Arial"/>
          <w:rtl/>
        </w:rPr>
        <w:t xml:space="preserve">אם הוחמו מים תוך לילה א' צריך אח"כ מעל"ע מחימום המים </w:t>
      </w:r>
      <w:r w:rsidRPr="000D4593">
        <w:rPr>
          <w:rFonts w:cs="Arial" w:hint="cs"/>
          <w:sz w:val="16"/>
          <w:szCs w:val="16"/>
          <w:rtl/>
        </w:rPr>
        <w:t>(</w:t>
      </w:r>
      <w:r w:rsidRPr="000D4593">
        <w:rPr>
          <w:rFonts w:cs="Arial"/>
          <w:sz w:val="16"/>
          <w:szCs w:val="16"/>
          <w:rtl/>
        </w:rPr>
        <w:t>וזה שכתב כאן בש</w:t>
      </w:r>
      <w:r w:rsidRPr="000D4593">
        <w:rPr>
          <w:rFonts w:cs="Arial" w:hint="cs"/>
          <w:sz w:val="16"/>
          <w:szCs w:val="16"/>
          <w:rtl/>
        </w:rPr>
        <w:t>ו</w:t>
      </w:r>
      <w:r w:rsidRPr="000D4593">
        <w:rPr>
          <w:rFonts w:cs="Arial"/>
          <w:sz w:val="16"/>
          <w:szCs w:val="16"/>
          <w:rtl/>
        </w:rPr>
        <w:t>"ע עד שתשהה מע"ל משעה שהוחמו בה המים</w:t>
      </w:r>
      <w:r>
        <w:rPr>
          <w:rFonts w:cs="Arial" w:hint="cs"/>
          <w:sz w:val="16"/>
          <w:szCs w:val="16"/>
          <w:rtl/>
        </w:rPr>
        <w:t>,</w:t>
      </w:r>
      <w:r w:rsidRPr="000D4593">
        <w:rPr>
          <w:rFonts w:cs="Arial"/>
          <w:sz w:val="16"/>
          <w:szCs w:val="16"/>
          <w:rtl/>
        </w:rPr>
        <w:t xml:space="preserve"> וכ</w:t>
      </w:r>
      <w:r>
        <w:rPr>
          <w:rFonts w:cs="Arial" w:hint="cs"/>
          <w:sz w:val="16"/>
          <w:szCs w:val="16"/>
          <w:rtl/>
        </w:rPr>
        <w:t xml:space="preserve">ן </w:t>
      </w:r>
      <w:r w:rsidRPr="000D4593">
        <w:rPr>
          <w:rFonts w:cs="Arial"/>
          <w:sz w:val="16"/>
          <w:szCs w:val="16"/>
          <w:rtl/>
        </w:rPr>
        <w:t>כ</w:t>
      </w:r>
      <w:r>
        <w:rPr>
          <w:rFonts w:cs="Arial" w:hint="cs"/>
          <w:sz w:val="16"/>
          <w:szCs w:val="16"/>
          <w:rtl/>
        </w:rPr>
        <w:t>תב</w:t>
      </w:r>
      <w:r w:rsidRPr="000D4593">
        <w:rPr>
          <w:rFonts w:cs="Arial"/>
          <w:sz w:val="16"/>
          <w:szCs w:val="16"/>
          <w:rtl/>
        </w:rPr>
        <w:t xml:space="preserve"> לקמן סי' קכ"ב ס"ד</w:t>
      </w:r>
      <w:r>
        <w:rPr>
          <w:rFonts w:cs="Arial" w:hint="cs"/>
          <w:sz w:val="16"/>
          <w:szCs w:val="16"/>
          <w:rtl/>
        </w:rPr>
        <w:t>,</w:t>
      </w:r>
      <w:r w:rsidRPr="000D4593">
        <w:rPr>
          <w:rFonts w:cs="Arial"/>
          <w:sz w:val="16"/>
          <w:szCs w:val="16"/>
          <w:rtl/>
        </w:rPr>
        <w:t xml:space="preserve"> ושלא כמ"ש בת"ח כלל פ"ה ד"ז על שמו דבין נשתהה הקדרה לילה א' קודם החימום בין שנשתהה לילה א' אחר החימום יש להקל ולסמוך בכהאי גוונא אמ"ד לינת לילה פוגמת עכ"ל דליתא אלא ס"ל להב"י דאינו מועיל לינה אלא לענין שחימום המים אח"כ לא יעשוה ב"י אבל אם חממו מיד שנעשה ב"י מחדש צריך מעל"ע מחימום המים ולפ"ז גם מ"ש הרב וכן אם עברה לילה אחת בין בישול בשר לחלב כו' אינו מוכרח לדעת הב"י</w:t>
      </w:r>
      <w:r>
        <w:rPr>
          <w:rFonts w:cs="Arial" w:hint="cs"/>
          <w:sz w:val="16"/>
          <w:szCs w:val="16"/>
          <w:rtl/>
        </w:rPr>
        <w:t>, ש"ך)</w:t>
      </w:r>
      <w:r>
        <w:rPr>
          <w:rFonts w:hint="cs"/>
          <w:rtl/>
        </w:rPr>
        <w:t>.</w:t>
      </w:r>
    </w:p>
  </w:footnote>
  <w:footnote w:id="2964">
    <w:p w14:paraId="399ED2D3" w14:textId="77777777" w:rsidR="004C5A3C" w:rsidRDefault="004C5A3C" w:rsidP="002C39F4">
      <w:pPr>
        <w:pStyle w:val="a5"/>
        <w:rPr>
          <w:rtl/>
        </w:rPr>
      </w:pPr>
      <w:r>
        <w:rPr>
          <w:rStyle w:val="a7"/>
        </w:rPr>
        <w:footnoteRef/>
      </w:r>
      <w:r w:rsidRPr="00F949D3">
        <w:rPr>
          <w:rFonts w:cs="Arial"/>
          <w:rtl/>
        </w:rPr>
        <w:t xml:space="preserve"> ואע</w:t>
      </w:r>
      <w:r>
        <w:rPr>
          <w:rFonts w:cs="Arial" w:hint="cs"/>
          <w:rtl/>
        </w:rPr>
        <w:t>"</w:t>
      </w:r>
      <w:r w:rsidRPr="00F949D3">
        <w:rPr>
          <w:rFonts w:cs="Arial"/>
          <w:rtl/>
        </w:rPr>
        <w:t>ג דלא סמכינן עלייהו להתיר מה שנתבשל בה אז</w:t>
      </w:r>
      <w:r>
        <w:rPr>
          <w:rFonts w:cs="Arial" w:hint="cs"/>
          <w:rtl/>
        </w:rPr>
        <w:t>,</w:t>
      </w:r>
      <w:r w:rsidRPr="00F949D3">
        <w:rPr>
          <w:rFonts w:cs="Arial"/>
          <w:rtl/>
        </w:rPr>
        <w:t xml:space="preserve"> מ</w:t>
      </w:r>
      <w:r>
        <w:rPr>
          <w:rFonts w:cs="Arial" w:hint="cs"/>
          <w:rtl/>
        </w:rPr>
        <w:t>"</w:t>
      </w:r>
      <w:r w:rsidRPr="00F949D3">
        <w:rPr>
          <w:rFonts w:cs="Arial"/>
          <w:rtl/>
        </w:rPr>
        <w:t>מ לענין זה שפ</w:t>
      </w:r>
      <w:r>
        <w:rPr>
          <w:rFonts w:cs="Arial" w:hint="cs"/>
          <w:rtl/>
        </w:rPr>
        <w:t>"</w:t>
      </w:r>
      <w:r w:rsidRPr="00F949D3">
        <w:rPr>
          <w:rFonts w:cs="Arial"/>
          <w:rtl/>
        </w:rPr>
        <w:t>ד לסמוך עלייהו</w:t>
      </w:r>
      <w:r>
        <w:rPr>
          <w:rFonts w:cs="Arial" w:hint="cs"/>
          <w:rtl/>
        </w:rPr>
        <w:t>,</w:t>
      </w:r>
      <w:r w:rsidRPr="00F949D3">
        <w:rPr>
          <w:rFonts w:cs="Arial"/>
          <w:rtl/>
        </w:rPr>
        <w:t xml:space="preserve"> אבל אם קודם שעברה כל הלילה הוחמו בה מים נקטי</w:t>
      </w:r>
      <w:r>
        <w:rPr>
          <w:rFonts w:cs="Arial" w:hint="cs"/>
          <w:rtl/>
        </w:rPr>
        <w:t>נן</w:t>
      </w:r>
      <w:r w:rsidRPr="00F949D3">
        <w:rPr>
          <w:rFonts w:cs="Arial"/>
          <w:rtl/>
        </w:rPr>
        <w:t xml:space="preserve"> כד</w:t>
      </w:r>
      <w:r>
        <w:rPr>
          <w:rFonts w:cs="Arial" w:hint="cs"/>
          <w:rtl/>
        </w:rPr>
        <w:t>'</w:t>
      </w:r>
      <w:r w:rsidRPr="00F949D3">
        <w:rPr>
          <w:rFonts w:cs="Arial"/>
          <w:rtl/>
        </w:rPr>
        <w:t xml:space="preserve"> בעל התרומ</w:t>
      </w:r>
      <w:r>
        <w:rPr>
          <w:rFonts w:cs="Arial" w:hint="cs"/>
          <w:rtl/>
        </w:rPr>
        <w:t>'</w:t>
      </w:r>
      <w:r w:rsidRPr="00F949D3">
        <w:rPr>
          <w:rFonts w:cs="Arial"/>
          <w:rtl/>
        </w:rPr>
        <w:t xml:space="preserve"> אם היתה אסורה משום בשר בחלב כיון דלדברי הכל בבשר בחלב חתיכה עצמה נ</w:t>
      </w:r>
      <w:r>
        <w:rPr>
          <w:rFonts w:cs="Arial" w:hint="cs"/>
          <w:rtl/>
        </w:rPr>
        <w:t>"</w:t>
      </w:r>
      <w:r w:rsidRPr="00F949D3">
        <w:rPr>
          <w:rFonts w:cs="Arial"/>
          <w:rtl/>
        </w:rPr>
        <w:t>נ</w:t>
      </w:r>
      <w:r>
        <w:rPr>
          <w:rFonts w:cs="Arial" w:hint="cs"/>
          <w:rtl/>
        </w:rPr>
        <w:t>, ב"י.</w:t>
      </w:r>
    </w:p>
  </w:footnote>
  <w:footnote w:id="2965">
    <w:p w14:paraId="1D0AC39E" w14:textId="77777777" w:rsidR="004C5A3C" w:rsidRDefault="004C5A3C" w:rsidP="002C39F4">
      <w:pPr>
        <w:pStyle w:val="a5"/>
        <w:rPr>
          <w:rtl/>
        </w:rPr>
      </w:pPr>
      <w:r>
        <w:rPr>
          <w:rStyle w:val="a7"/>
        </w:rPr>
        <w:footnoteRef/>
      </w:r>
      <w:r>
        <w:rPr>
          <w:rtl/>
        </w:rPr>
        <w:t xml:space="preserve"> </w:t>
      </w:r>
      <w:r w:rsidRPr="00271248">
        <w:rPr>
          <w:rFonts w:cs="Arial"/>
          <w:rtl/>
        </w:rPr>
        <w:t xml:space="preserve">פלומי"ר </w:t>
      </w:r>
      <w:r w:rsidRPr="00271248">
        <w:rPr>
          <w:rFonts w:cs="Arial" w:hint="cs"/>
          <w:sz w:val="16"/>
          <w:szCs w:val="16"/>
          <w:rtl/>
        </w:rPr>
        <w:t>(</w:t>
      </w:r>
      <w:r w:rsidRPr="00271248">
        <w:rPr>
          <w:rFonts w:cs="Arial"/>
          <w:sz w:val="16"/>
          <w:szCs w:val="16"/>
          <w:rtl/>
        </w:rPr>
        <w:t>מצופה בשכבת עופרת</w:t>
      </w:r>
      <w:r>
        <w:rPr>
          <w:rFonts w:cs="Arial" w:hint="cs"/>
          <w:sz w:val="16"/>
          <w:szCs w:val="16"/>
          <w:rtl/>
        </w:rPr>
        <w:t>)</w:t>
      </w:r>
      <w:r w:rsidRPr="00271248">
        <w:rPr>
          <w:rFonts w:cs="Arial"/>
          <w:rtl/>
        </w:rPr>
        <w:t xml:space="preserve"> בלעז, ושל חרס הוא וטוח באבר</w:t>
      </w:r>
      <w:r>
        <w:rPr>
          <w:rFonts w:hint="cs"/>
          <w:rtl/>
        </w:rPr>
        <w:t>, רש"י.</w:t>
      </w:r>
    </w:p>
  </w:footnote>
  <w:footnote w:id="2966">
    <w:p w14:paraId="40FF4B81" w14:textId="77777777" w:rsidR="004C5A3C" w:rsidRDefault="004C5A3C" w:rsidP="002C39F4">
      <w:pPr>
        <w:pStyle w:val="a5"/>
        <w:rPr>
          <w:rtl/>
        </w:rPr>
      </w:pPr>
      <w:r>
        <w:rPr>
          <w:rStyle w:val="a7"/>
        </w:rPr>
        <w:footnoteRef/>
      </w:r>
      <w:r>
        <w:rPr>
          <w:rtl/>
        </w:rPr>
        <w:t xml:space="preserve"> </w:t>
      </w:r>
      <w:r w:rsidRPr="00271248">
        <w:rPr>
          <w:rFonts w:cs="Arial"/>
          <w:rtl/>
        </w:rPr>
        <w:t>עשויין מקרקע שחופרים ממנה צריף, אלו"ם בלעז, והוא עז ובולע לעולם</w:t>
      </w:r>
      <w:r>
        <w:rPr>
          <w:rFonts w:cs="Arial" w:hint="cs"/>
          <w:rtl/>
        </w:rPr>
        <w:t>, רש"י</w:t>
      </w:r>
      <w:r w:rsidRPr="00271248">
        <w:rPr>
          <w:rFonts w:cs="Arial"/>
          <w:rtl/>
        </w:rPr>
        <w:t>.</w:t>
      </w:r>
    </w:p>
  </w:footnote>
  <w:footnote w:id="2967">
    <w:p w14:paraId="1D007C2A" w14:textId="77777777" w:rsidR="004C5A3C" w:rsidRDefault="004C5A3C" w:rsidP="002C39F4">
      <w:pPr>
        <w:pStyle w:val="a5"/>
        <w:rPr>
          <w:rtl/>
        </w:rPr>
      </w:pPr>
      <w:r>
        <w:rPr>
          <w:rStyle w:val="a7"/>
        </w:rPr>
        <w:footnoteRef/>
      </w:r>
      <w:r>
        <w:rPr>
          <w:rtl/>
        </w:rPr>
        <w:t xml:space="preserve"> </w:t>
      </w:r>
      <w:r w:rsidRPr="00271248">
        <w:rPr>
          <w:rFonts w:cs="Arial"/>
          <w:rtl/>
        </w:rPr>
        <w:t>בקעים</w:t>
      </w:r>
      <w:r>
        <w:rPr>
          <w:rFonts w:cs="Arial" w:hint="cs"/>
          <w:rtl/>
        </w:rPr>
        <w:t>, רש"י</w:t>
      </w:r>
      <w:r w:rsidRPr="00271248">
        <w:rPr>
          <w:rFonts w:cs="Arial"/>
          <w:rtl/>
        </w:rPr>
        <w:t>.</w:t>
      </w:r>
    </w:p>
  </w:footnote>
  <w:footnote w:id="2968">
    <w:p w14:paraId="36A82B1A" w14:textId="77777777" w:rsidR="004C5A3C" w:rsidRDefault="004C5A3C" w:rsidP="002C39F4">
      <w:pPr>
        <w:pStyle w:val="a5"/>
        <w:rPr>
          <w:rtl/>
        </w:rPr>
      </w:pPr>
      <w:r>
        <w:rPr>
          <w:rStyle w:val="a7"/>
        </w:rPr>
        <w:footnoteRef/>
      </w:r>
      <w:r>
        <w:rPr>
          <w:rtl/>
        </w:rPr>
        <w:t xml:space="preserve"> </w:t>
      </w:r>
      <w:r w:rsidRPr="00271248">
        <w:rPr>
          <w:rFonts w:cs="Arial"/>
          <w:rtl/>
        </w:rPr>
        <w:t>פולטין המשקין מדופנן החיצון</w:t>
      </w:r>
      <w:r>
        <w:rPr>
          <w:rFonts w:cs="Arial" w:hint="cs"/>
          <w:rtl/>
        </w:rPr>
        <w:t xml:space="preserve">... </w:t>
      </w:r>
      <w:r w:rsidRPr="00271248">
        <w:rPr>
          <w:rFonts w:cs="Arial"/>
          <w:rtl/>
        </w:rPr>
        <w:t>וכיון דמידייתי- ודאי בלעי, והואיל ובלעי- שוב אינן פולטין, שהתורה העידה על כלי חרס, שכיון שבלע אינו יוצא מידי דופיו לעולם, שהרי בכלי עץ ומתכות כתב לך ישטף תעבירו באש ומורק ושוטף, אבל בכלי חרס ישבר</w:t>
      </w:r>
      <w:r>
        <w:rPr>
          <w:rFonts w:cs="Arial" w:hint="cs"/>
          <w:rtl/>
        </w:rPr>
        <w:t>, רש"י</w:t>
      </w:r>
      <w:r w:rsidRPr="00271248">
        <w:rPr>
          <w:rFonts w:cs="Arial"/>
          <w:rtl/>
        </w:rPr>
        <w:t>.</w:t>
      </w:r>
    </w:p>
  </w:footnote>
  <w:footnote w:id="2969">
    <w:p w14:paraId="6C8A6819" w14:textId="77777777" w:rsidR="004C5A3C" w:rsidRDefault="004C5A3C" w:rsidP="002C39F4">
      <w:pPr>
        <w:pStyle w:val="a5"/>
        <w:rPr>
          <w:rtl/>
        </w:rPr>
      </w:pPr>
      <w:r>
        <w:rPr>
          <w:rStyle w:val="a7"/>
        </w:rPr>
        <w:footnoteRef/>
      </w:r>
      <w:r>
        <w:rPr>
          <w:rtl/>
        </w:rPr>
        <w:t xml:space="preserve"> </w:t>
      </w:r>
      <w:r>
        <w:rPr>
          <w:rFonts w:cs="Arial"/>
          <w:rtl/>
        </w:rPr>
        <w:t>הכי משמע מדאמרינן בפרק כל הבשר (</w:t>
      </w:r>
      <w:r>
        <w:rPr>
          <w:rFonts w:cs="Arial" w:hint="cs"/>
          <w:rtl/>
        </w:rPr>
        <w:t xml:space="preserve">חולין </w:t>
      </w:r>
      <w:r>
        <w:rPr>
          <w:rFonts w:cs="Arial"/>
          <w:rtl/>
        </w:rPr>
        <w:t>קיא:) דההיא פינכא דאימלח בה בישרא בי רבי אמי ותברה</w:t>
      </w:r>
      <w:r>
        <w:rPr>
          <w:rFonts w:hint="cs"/>
          <w:rtl/>
        </w:rPr>
        <w:t>, ב"י.</w:t>
      </w:r>
    </w:p>
  </w:footnote>
  <w:footnote w:id="2970">
    <w:p w14:paraId="14C87741" w14:textId="77777777" w:rsidR="004C5A3C" w:rsidRDefault="004C5A3C" w:rsidP="002C39F4">
      <w:pPr>
        <w:pStyle w:val="a5"/>
        <w:rPr>
          <w:rtl/>
        </w:rPr>
      </w:pPr>
      <w:r>
        <w:rPr>
          <w:rStyle w:val="a7"/>
        </w:rPr>
        <w:footnoteRef/>
      </w:r>
      <w:r>
        <w:rPr>
          <w:rtl/>
        </w:rPr>
        <w:t xml:space="preserve"> </w:t>
      </w:r>
      <w:r>
        <w:rPr>
          <w:rFonts w:cs="Arial" w:hint="cs"/>
          <w:rtl/>
        </w:rPr>
        <w:t xml:space="preserve">אך בתוה"א </w:t>
      </w:r>
      <w:r>
        <w:rPr>
          <w:rFonts w:cs="Arial"/>
          <w:rtl/>
        </w:rPr>
        <w:t>כתב הרשב"א (ב"ד ש"ד לז.) פירוש</w:t>
      </w:r>
      <w:r>
        <w:rPr>
          <w:rFonts w:cs="Arial" w:hint="cs"/>
          <w:rtl/>
        </w:rPr>
        <w:t xml:space="preserve"> לדברי הירושלמי הנ"ל-</w:t>
      </w:r>
      <w:r>
        <w:rPr>
          <w:rFonts w:cs="Arial"/>
          <w:rtl/>
        </w:rPr>
        <w:t xml:space="preserve"> קדרה של חרס אע</w:t>
      </w:r>
      <w:r>
        <w:rPr>
          <w:rFonts w:cs="Arial" w:hint="cs"/>
          <w:rtl/>
        </w:rPr>
        <w:t>"</w:t>
      </w:r>
      <w:r>
        <w:rPr>
          <w:rFonts w:cs="Arial"/>
          <w:rtl/>
        </w:rPr>
        <w:t>פ שהתורה העידה על כלי חרס שאינו יוצא מידי דופנו לעולם בתרומה הקילו לפי שאינה אלא מדבריהם בזמן הזה</w:t>
      </w:r>
      <w:r>
        <w:rPr>
          <w:rFonts w:cs="Arial" w:hint="cs"/>
          <w:rtl/>
        </w:rPr>
        <w:t>,</w:t>
      </w:r>
      <w:r>
        <w:rPr>
          <w:rFonts w:cs="Arial"/>
          <w:rtl/>
        </w:rPr>
        <w:t xml:space="preserve"> וכמאן דאמר מאיליהן קבלו המעשרות</w:t>
      </w:r>
      <w:r>
        <w:rPr>
          <w:rFonts w:cs="Arial" w:hint="cs"/>
          <w:rtl/>
        </w:rPr>
        <w:t>,</w:t>
      </w:r>
      <w:r>
        <w:rPr>
          <w:rFonts w:cs="Arial"/>
          <w:rtl/>
        </w:rPr>
        <w:t xml:space="preserve"> ופריך מדתנן הרכינה ומיצה הרי זו תרומה אלמא אין מקילין</w:t>
      </w:r>
      <w:r>
        <w:rPr>
          <w:rFonts w:cs="Arial" w:hint="cs"/>
          <w:rtl/>
        </w:rPr>
        <w:t>,</w:t>
      </w:r>
      <w:r>
        <w:rPr>
          <w:rFonts w:cs="Arial"/>
          <w:rtl/>
        </w:rPr>
        <w:t xml:space="preserve"> ומשני שהאור מגעילה ומפליטה ואין כאן קולא כ</w:t>
      </w:r>
      <w:r>
        <w:rPr>
          <w:rFonts w:cs="Arial" w:hint="cs"/>
          <w:rtl/>
        </w:rPr>
        <w:t>"</w:t>
      </w:r>
      <w:r>
        <w:rPr>
          <w:rFonts w:cs="Arial"/>
          <w:rtl/>
        </w:rPr>
        <w:t>כ</w:t>
      </w:r>
      <w:r>
        <w:rPr>
          <w:rFonts w:cs="Arial" w:hint="cs"/>
          <w:rtl/>
        </w:rPr>
        <w:t>,</w:t>
      </w:r>
      <w:r>
        <w:rPr>
          <w:rFonts w:cs="Arial"/>
          <w:rtl/>
        </w:rPr>
        <w:t xml:space="preserve"> ונראה שה</w:t>
      </w:r>
      <w:r>
        <w:rPr>
          <w:rFonts w:cs="Arial" w:hint="cs"/>
          <w:rtl/>
        </w:rPr>
        <w:t>"</w:t>
      </w:r>
      <w:r>
        <w:rPr>
          <w:rFonts w:cs="Arial"/>
          <w:rtl/>
        </w:rPr>
        <w:t>ה לכל האיסורין של דבריהם</w:t>
      </w:r>
      <w:r>
        <w:rPr>
          <w:rFonts w:cs="Arial" w:hint="cs"/>
          <w:rtl/>
        </w:rPr>
        <w:t>,</w:t>
      </w:r>
      <w:r>
        <w:rPr>
          <w:rFonts w:cs="Arial"/>
          <w:rtl/>
        </w:rPr>
        <w:t xml:space="preserve"> ואפשר שלא הקילו אלא בתרומה בזה</w:t>
      </w:r>
      <w:r>
        <w:rPr>
          <w:rFonts w:cs="Arial" w:hint="cs"/>
          <w:rtl/>
        </w:rPr>
        <w:t>"</w:t>
      </w:r>
      <w:r>
        <w:rPr>
          <w:rFonts w:cs="Arial"/>
          <w:rtl/>
        </w:rPr>
        <w:t>ז שאין לה עיקר מדאו</w:t>
      </w:r>
      <w:r>
        <w:rPr>
          <w:rFonts w:cs="Arial" w:hint="cs"/>
          <w:rtl/>
        </w:rPr>
        <w:t>',</w:t>
      </w:r>
      <w:r>
        <w:rPr>
          <w:rFonts w:cs="Arial"/>
          <w:rtl/>
        </w:rPr>
        <w:t xml:space="preserve"> וה</w:t>
      </w:r>
      <w:r>
        <w:rPr>
          <w:rFonts w:cs="Arial" w:hint="cs"/>
          <w:rtl/>
        </w:rPr>
        <w:t>"</w:t>
      </w:r>
      <w:r>
        <w:rPr>
          <w:rFonts w:cs="Arial"/>
          <w:rtl/>
        </w:rPr>
        <w:t>ה לכל שאר האיסורים של דבריהם שאין להם עיקר מן התורה</w:t>
      </w:r>
      <w:r>
        <w:rPr>
          <w:rFonts w:cs="Arial" w:hint="cs"/>
          <w:rtl/>
        </w:rPr>
        <w:t>,</w:t>
      </w:r>
      <w:r>
        <w:rPr>
          <w:rFonts w:cs="Arial"/>
          <w:rtl/>
        </w:rPr>
        <w:t xml:space="preserve"> אבל שאר האיסורים אפילו של דבריהם אם יש להם עיקר בתורה אין מקילין בהם כבתרומה</w:t>
      </w:r>
      <w:r>
        <w:rPr>
          <w:rFonts w:cs="Arial" w:hint="cs"/>
          <w:rtl/>
        </w:rPr>
        <w:t>,</w:t>
      </w:r>
      <w:r>
        <w:rPr>
          <w:rFonts w:cs="Arial"/>
          <w:rtl/>
        </w:rPr>
        <w:t xml:space="preserve"> והראשון נ"ל עיקר. ותדע לך שאם אי אתה אומר כן כי אמר רבי אבא אין למדין ממנה לענין נבלה לישמועינן שאר איסורין של דבריהם וכל שכן נבלה</w:t>
      </w:r>
      <w:r>
        <w:rPr>
          <w:rFonts w:cs="Arial" w:hint="cs"/>
          <w:rtl/>
        </w:rPr>
        <w:t>,</w:t>
      </w:r>
      <w:r>
        <w:rPr>
          <w:rFonts w:cs="Arial"/>
          <w:rtl/>
        </w:rPr>
        <w:t xml:space="preserve"> אלא ודאי משמע דה</w:t>
      </w:r>
      <w:r>
        <w:rPr>
          <w:rFonts w:cs="Arial" w:hint="cs"/>
          <w:rtl/>
        </w:rPr>
        <w:t>"</w:t>
      </w:r>
      <w:r>
        <w:rPr>
          <w:rFonts w:cs="Arial"/>
          <w:rtl/>
        </w:rPr>
        <w:t>ה לכל שאר איסורים של דבריהם. אלא שאני מסתפק בזה עדיין לפי דלכאורה משמע בפרק הקומץ (מנחות כא.) דדם שמלחו אינו אסור אלא מדרבנן ואפ</w:t>
      </w:r>
      <w:r>
        <w:rPr>
          <w:rFonts w:cs="Arial" w:hint="cs"/>
          <w:rtl/>
        </w:rPr>
        <w:t>"</w:t>
      </w:r>
      <w:r>
        <w:rPr>
          <w:rFonts w:cs="Arial"/>
          <w:rtl/>
        </w:rPr>
        <w:t>ה אמרינן בפכ</w:t>
      </w:r>
      <w:r>
        <w:rPr>
          <w:rFonts w:cs="Arial" w:hint="cs"/>
          <w:rtl/>
        </w:rPr>
        <w:t>"</w:t>
      </w:r>
      <w:r>
        <w:rPr>
          <w:rFonts w:cs="Arial"/>
          <w:rtl/>
        </w:rPr>
        <w:t>ה (קיא:) בפינכא דאימלח בה בישרא בי רבי אמי ותברה</w:t>
      </w:r>
      <w:r>
        <w:rPr>
          <w:rFonts w:cs="Arial" w:hint="cs"/>
          <w:rtl/>
        </w:rPr>
        <w:t>,</w:t>
      </w:r>
      <w:r>
        <w:rPr>
          <w:rFonts w:cs="Arial"/>
          <w:rtl/>
        </w:rPr>
        <w:t xml:space="preserve"> ואמאי</w:t>
      </w:r>
      <w:r>
        <w:rPr>
          <w:rFonts w:cs="Arial" w:hint="cs"/>
          <w:rtl/>
        </w:rPr>
        <w:t>,</w:t>
      </w:r>
      <w:r>
        <w:rPr>
          <w:rFonts w:cs="Arial"/>
          <w:rtl/>
        </w:rPr>
        <w:t xml:space="preserve"> ליעביד בה הגעלה</w:t>
      </w:r>
      <w:r>
        <w:rPr>
          <w:rFonts w:cs="Arial" w:hint="cs"/>
          <w:rtl/>
        </w:rPr>
        <w:t>,</w:t>
      </w:r>
      <w:r>
        <w:rPr>
          <w:rFonts w:cs="Arial"/>
          <w:rtl/>
        </w:rPr>
        <w:t xml:space="preserve"> ואפשר דכיון דבעיא הגעלה שלשה זימני לא משהי לה</w:t>
      </w:r>
      <w:r>
        <w:rPr>
          <w:rFonts w:cs="Arial" w:hint="cs"/>
          <w:rtl/>
        </w:rPr>
        <w:t>,</w:t>
      </w:r>
      <w:r>
        <w:rPr>
          <w:rFonts w:cs="Arial"/>
          <w:rtl/>
        </w:rPr>
        <w:t xml:space="preserve"> דילמא פשע בנתיים</w:t>
      </w:r>
      <w:r>
        <w:rPr>
          <w:rFonts w:cs="Arial" w:hint="cs"/>
          <w:rtl/>
        </w:rPr>
        <w:t>,</w:t>
      </w:r>
      <w:r>
        <w:rPr>
          <w:rFonts w:cs="Arial"/>
          <w:rtl/>
        </w:rPr>
        <w:t xml:space="preserve"> ותדע דאי לא</w:t>
      </w:r>
      <w:r>
        <w:rPr>
          <w:rFonts w:cs="Arial" w:hint="cs"/>
          <w:rtl/>
        </w:rPr>
        <w:t>-</w:t>
      </w:r>
      <w:r>
        <w:rPr>
          <w:rFonts w:cs="Arial"/>
          <w:rtl/>
        </w:rPr>
        <w:t xml:space="preserve"> לישהייה ויחזירנה לכבשונות</w:t>
      </w:r>
      <w:r>
        <w:rPr>
          <w:rFonts w:cs="Arial" w:hint="cs"/>
          <w:rtl/>
        </w:rPr>
        <w:t>,</w:t>
      </w:r>
      <w:r>
        <w:rPr>
          <w:rFonts w:cs="Arial"/>
          <w:rtl/>
        </w:rPr>
        <w:t xml:space="preserve"> אלא מפני שטורח הוא ואינו מצוי חשש שמא יפשע וישתמש בה בנתיים</w:t>
      </w:r>
      <w:r>
        <w:rPr>
          <w:rFonts w:cs="Arial" w:hint="cs"/>
          <w:rtl/>
        </w:rPr>
        <w:t>,</w:t>
      </w:r>
      <w:r>
        <w:rPr>
          <w:rFonts w:cs="Arial"/>
          <w:rtl/>
        </w:rPr>
        <w:t xml:space="preserve"> עכ"ל</w:t>
      </w:r>
      <w:r>
        <w:rPr>
          <w:rFonts w:cs="Arial" w:hint="cs"/>
          <w:rtl/>
        </w:rPr>
        <w:t>.</w:t>
      </w:r>
      <w:r>
        <w:rPr>
          <w:rFonts w:cs="Arial"/>
          <w:rtl/>
        </w:rPr>
        <w:t xml:space="preserve"> </w:t>
      </w:r>
    </w:p>
  </w:footnote>
  <w:footnote w:id="2971">
    <w:p w14:paraId="6993A8F1" w14:textId="77777777" w:rsidR="004C5A3C" w:rsidRDefault="004C5A3C" w:rsidP="002C39F4">
      <w:pPr>
        <w:pStyle w:val="a5"/>
      </w:pPr>
      <w:r>
        <w:rPr>
          <w:rStyle w:val="a7"/>
        </w:rPr>
        <w:footnoteRef/>
      </w:r>
      <w:r>
        <w:rPr>
          <w:rtl/>
        </w:rPr>
        <w:t xml:space="preserve"> </w:t>
      </w:r>
      <w:r w:rsidRPr="00B93431">
        <w:rPr>
          <w:rFonts w:cs="Arial"/>
          <w:rtl/>
        </w:rPr>
        <w:t>דאל</w:t>
      </w:r>
      <w:r>
        <w:rPr>
          <w:rFonts w:cs="Arial" w:hint="cs"/>
          <w:rtl/>
        </w:rPr>
        <w:t>"</w:t>
      </w:r>
      <w:r w:rsidRPr="00B93431">
        <w:rPr>
          <w:rFonts w:cs="Arial"/>
          <w:rtl/>
        </w:rPr>
        <w:t>כ אותה טרפיד"א שאופין פשטידא תחתיה ומלבנין אותה כדי לאפות תחתיה פלאדין ואם היה צריך ללבנה עד שהיו ניתזין ניצוצות ממנה היתה לגמרי מתקלקלת</w:t>
      </w:r>
      <w:r>
        <w:rPr>
          <w:rFonts w:cs="Arial" w:hint="cs"/>
          <w:rtl/>
        </w:rPr>
        <w:t>, ה"ר אביגדור.</w:t>
      </w:r>
    </w:p>
  </w:footnote>
  <w:footnote w:id="2972">
    <w:p w14:paraId="60C50575" w14:textId="77777777" w:rsidR="004C5A3C" w:rsidRDefault="004C5A3C" w:rsidP="002C39F4">
      <w:pPr>
        <w:pStyle w:val="a5"/>
        <w:rPr>
          <w:rtl/>
        </w:rPr>
      </w:pPr>
      <w:r>
        <w:rPr>
          <w:rStyle w:val="a7"/>
        </w:rPr>
        <w:footnoteRef/>
      </w:r>
      <w:r>
        <w:rPr>
          <w:rtl/>
        </w:rPr>
        <w:t xml:space="preserve"> </w:t>
      </w:r>
      <w:r>
        <w:rPr>
          <w:rFonts w:cs="Arial" w:hint="cs"/>
          <w:rtl/>
        </w:rPr>
        <w:t>ר"י</w:t>
      </w:r>
      <w:r w:rsidRPr="00B93431">
        <w:rPr>
          <w:rFonts w:cs="Arial"/>
          <w:rtl/>
        </w:rPr>
        <w:t xml:space="preserve"> </w:t>
      </w:r>
      <w:r w:rsidRPr="00B93431">
        <w:rPr>
          <w:rFonts w:cs="Arial"/>
          <w:sz w:val="16"/>
          <w:szCs w:val="16"/>
          <w:rtl/>
        </w:rPr>
        <w:t>(</w:t>
      </w:r>
      <w:r>
        <w:rPr>
          <w:rFonts w:cs="Arial" w:hint="cs"/>
          <w:sz w:val="16"/>
          <w:szCs w:val="16"/>
          <w:rtl/>
        </w:rPr>
        <w:t xml:space="preserve">כ"כ המרדכי [סוף ע"ז </w:t>
      </w:r>
      <w:r w:rsidRPr="00B93431">
        <w:rPr>
          <w:rFonts w:cs="Arial"/>
          <w:sz w:val="16"/>
          <w:szCs w:val="16"/>
          <w:rtl/>
        </w:rPr>
        <w:t>סי' תתס</w:t>
      </w:r>
      <w:r>
        <w:rPr>
          <w:rFonts w:cs="Arial" w:hint="cs"/>
          <w:sz w:val="16"/>
          <w:szCs w:val="16"/>
          <w:rtl/>
        </w:rPr>
        <w:t>] בשמו</w:t>
      </w:r>
      <w:r w:rsidRPr="00B93431">
        <w:rPr>
          <w:rFonts w:cs="Arial"/>
          <w:sz w:val="16"/>
          <w:szCs w:val="16"/>
          <w:rtl/>
        </w:rPr>
        <w:t>)</w:t>
      </w:r>
      <w:r w:rsidRPr="00B93431">
        <w:rPr>
          <w:rFonts w:cs="Arial"/>
          <w:rtl/>
        </w:rPr>
        <w:t xml:space="preserve"> </w:t>
      </w:r>
      <w:r>
        <w:rPr>
          <w:rFonts w:cs="Arial"/>
          <w:rtl/>
        </w:rPr>
        <w:t xml:space="preserve">סמ"ג </w:t>
      </w:r>
      <w:r w:rsidRPr="00B93431">
        <w:rPr>
          <w:rFonts w:cs="Arial"/>
          <w:sz w:val="16"/>
          <w:szCs w:val="16"/>
          <w:rtl/>
        </w:rPr>
        <w:t>(לאוין ע-עה כה.</w:t>
      </w:r>
      <w:r w:rsidRPr="00B93431">
        <w:rPr>
          <w:rFonts w:cs="Arial" w:hint="cs"/>
          <w:sz w:val="16"/>
          <w:szCs w:val="16"/>
          <w:rtl/>
        </w:rPr>
        <w:t>,</w:t>
      </w:r>
      <w:r w:rsidRPr="00B93431">
        <w:rPr>
          <w:rFonts w:cs="Arial"/>
          <w:sz w:val="16"/>
          <w:szCs w:val="16"/>
          <w:rtl/>
        </w:rPr>
        <w:t xml:space="preserve"> כ</w:t>
      </w:r>
      <w:r w:rsidRPr="00B93431">
        <w:rPr>
          <w:rFonts w:cs="Arial" w:hint="cs"/>
          <w:sz w:val="16"/>
          <w:szCs w:val="16"/>
          <w:rtl/>
        </w:rPr>
        <w:t>"</w:t>
      </w:r>
      <w:r w:rsidRPr="00B93431">
        <w:rPr>
          <w:rFonts w:cs="Arial"/>
          <w:sz w:val="16"/>
          <w:szCs w:val="16"/>
          <w:rtl/>
        </w:rPr>
        <w:t>כ הגה</w:t>
      </w:r>
      <w:r w:rsidRPr="00B93431">
        <w:rPr>
          <w:rFonts w:cs="Arial" w:hint="cs"/>
          <w:sz w:val="16"/>
          <w:szCs w:val="16"/>
          <w:rtl/>
        </w:rPr>
        <w:t>"מ [</w:t>
      </w:r>
      <w:r w:rsidRPr="00B93431">
        <w:rPr>
          <w:rFonts w:cs="Arial"/>
          <w:sz w:val="16"/>
          <w:szCs w:val="16"/>
          <w:rtl/>
        </w:rPr>
        <w:t>פ"א מהל</w:t>
      </w:r>
      <w:r w:rsidRPr="00B93431">
        <w:rPr>
          <w:rFonts w:cs="Arial" w:hint="cs"/>
          <w:sz w:val="16"/>
          <w:szCs w:val="16"/>
          <w:rtl/>
        </w:rPr>
        <w:t xml:space="preserve">' יו"ט </w:t>
      </w:r>
      <w:r w:rsidRPr="00B93431">
        <w:rPr>
          <w:rFonts w:cs="Arial"/>
          <w:sz w:val="16"/>
          <w:szCs w:val="16"/>
          <w:rtl/>
        </w:rPr>
        <w:t>אות ה</w:t>
      </w:r>
      <w:r w:rsidRPr="00B93431">
        <w:rPr>
          <w:rFonts w:cs="Arial" w:hint="cs"/>
          <w:sz w:val="16"/>
          <w:szCs w:val="16"/>
          <w:rtl/>
        </w:rPr>
        <w:t>] בשמו</w:t>
      </w:r>
      <w:r w:rsidRPr="00B93431">
        <w:rPr>
          <w:rFonts w:cs="Arial"/>
          <w:sz w:val="16"/>
          <w:szCs w:val="16"/>
          <w:rtl/>
        </w:rPr>
        <w:t xml:space="preserve">) </w:t>
      </w:r>
      <w:r>
        <w:rPr>
          <w:rFonts w:cs="Arial"/>
          <w:rtl/>
        </w:rPr>
        <w:t xml:space="preserve">וסמ"ק </w:t>
      </w:r>
      <w:r w:rsidRPr="00B93431">
        <w:rPr>
          <w:rFonts w:cs="Arial"/>
          <w:sz w:val="16"/>
          <w:szCs w:val="16"/>
          <w:rtl/>
        </w:rPr>
        <w:t>(סי' קצד</w:t>
      </w:r>
      <w:r w:rsidRPr="00B93431">
        <w:rPr>
          <w:rFonts w:cs="Arial" w:hint="cs"/>
          <w:sz w:val="16"/>
          <w:szCs w:val="16"/>
          <w:rtl/>
        </w:rPr>
        <w:t>,</w:t>
      </w:r>
      <w:r w:rsidRPr="00B93431">
        <w:rPr>
          <w:rFonts w:cs="Arial"/>
          <w:sz w:val="16"/>
          <w:szCs w:val="16"/>
          <w:rtl/>
        </w:rPr>
        <w:t xml:space="preserve"> ובהגהות שם אות ג</w:t>
      </w:r>
      <w:r>
        <w:rPr>
          <w:rFonts w:cs="Arial" w:hint="cs"/>
          <w:sz w:val="16"/>
          <w:szCs w:val="16"/>
          <w:rtl/>
        </w:rPr>
        <w:t xml:space="preserve">, </w:t>
      </w:r>
      <w:r w:rsidRPr="00B93431">
        <w:rPr>
          <w:rFonts w:cs="Arial"/>
          <w:sz w:val="16"/>
          <w:szCs w:val="16"/>
          <w:rtl/>
        </w:rPr>
        <w:t>כ</w:t>
      </w:r>
      <w:r w:rsidRPr="00B93431">
        <w:rPr>
          <w:rFonts w:cs="Arial" w:hint="cs"/>
          <w:sz w:val="16"/>
          <w:szCs w:val="16"/>
          <w:rtl/>
        </w:rPr>
        <w:t>"</w:t>
      </w:r>
      <w:r w:rsidRPr="00B93431">
        <w:rPr>
          <w:rFonts w:cs="Arial"/>
          <w:sz w:val="16"/>
          <w:szCs w:val="16"/>
          <w:rtl/>
        </w:rPr>
        <w:t>כ הגה</w:t>
      </w:r>
      <w:r w:rsidRPr="00B93431">
        <w:rPr>
          <w:rFonts w:cs="Arial" w:hint="cs"/>
          <w:sz w:val="16"/>
          <w:szCs w:val="16"/>
          <w:rtl/>
        </w:rPr>
        <w:t>"מ [</w:t>
      </w:r>
      <w:r>
        <w:rPr>
          <w:rFonts w:cs="Arial" w:hint="cs"/>
          <w:sz w:val="16"/>
          <w:szCs w:val="16"/>
          <w:rtl/>
        </w:rPr>
        <w:t>שם] בשמו</w:t>
      </w:r>
      <w:r w:rsidRPr="00B93431">
        <w:rPr>
          <w:rFonts w:cs="Arial"/>
          <w:sz w:val="16"/>
          <w:szCs w:val="16"/>
          <w:rtl/>
        </w:rPr>
        <w:t>)</w:t>
      </w:r>
      <w:r>
        <w:rPr>
          <w:rFonts w:hint="cs"/>
          <w:rtl/>
        </w:rPr>
        <w:t>.</w:t>
      </w:r>
    </w:p>
  </w:footnote>
  <w:footnote w:id="2973">
    <w:p w14:paraId="016F4687" w14:textId="77777777" w:rsidR="004C5A3C" w:rsidRDefault="004C5A3C" w:rsidP="002C39F4">
      <w:pPr>
        <w:pStyle w:val="a5"/>
      </w:pPr>
      <w:r>
        <w:rPr>
          <w:rStyle w:val="a7"/>
        </w:rPr>
        <w:footnoteRef/>
      </w:r>
      <w:r>
        <w:rPr>
          <w:rtl/>
        </w:rPr>
        <w:t xml:space="preserve"> </w:t>
      </w:r>
      <w:r>
        <w:rPr>
          <w:rFonts w:cs="Arial" w:hint="cs"/>
          <w:rtl/>
        </w:rPr>
        <w:t>וכ' הב"י ד</w:t>
      </w:r>
      <w:r w:rsidRPr="001547FB">
        <w:rPr>
          <w:rFonts w:cs="Arial"/>
          <w:rtl/>
        </w:rPr>
        <w:t>כ</w:t>
      </w:r>
      <w:r>
        <w:rPr>
          <w:rFonts w:cs="Arial" w:hint="cs"/>
          <w:rtl/>
        </w:rPr>
        <w:t>"</w:t>
      </w:r>
      <w:r w:rsidRPr="001547FB">
        <w:rPr>
          <w:rFonts w:cs="Arial"/>
          <w:rtl/>
        </w:rPr>
        <w:t>כ הגה</w:t>
      </w:r>
      <w:r>
        <w:rPr>
          <w:rFonts w:cs="Arial" w:hint="cs"/>
          <w:rtl/>
        </w:rPr>
        <w:t xml:space="preserve">"מ </w:t>
      </w:r>
      <w:r w:rsidRPr="001547FB">
        <w:rPr>
          <w:rFonts w:cs="Arial" w:hint="cs"/>
          <w:sz w:val="16"/>
          <w:szCs w:val="16"/>
          <w:rtl/>
        </w:rPr>
        <w:t>(</w:t>
      </w:r>
      <w:r w:rsidRPr="001547FB">
        <w:rPr>
          <w:rFonts w:cs="Arial"/>
          <w:sz w:val="16"/>
          <w:szCs w:val="16"/>
          <w:rtl/>
        </w:rPr>
        <w:t>פ"א מהל</w:t>
      </w:r>
      <w:r w:rsidRPr="001547FB">
        <w:rPr>
          <w:rFonts w:cs="Arial" w:hint="cs"/>
          <w:sz w:val="16"/>
          <w:szCs w:val="16"/>
          <w:rtl/>
        </w:rPr>
        <w:t>'</w:t>
      </w:r>
      <w:r w:rsidRPr="001547FB">
        <w:rPr>
          <w:rFonts w:cs="Arial"/>
          <w:sz w:val="16"/>
          <w:szCs w:val="16"/>
          <w:rtl/>
        </w:rPr>
        <w:t xml:space="preserve"> יו</w:t>
      </w:r>
      <w:r w:rsidRPr="001547FB">
        <w:rPr>
          <w:rFonts w:cs="Arial" w:hint="cs"/>
          <w:sz w:val="16"/>
          <w:szCs w:val="16"/>
          <w:rtl/>
        </w:rPr>
        <w:t xml:space="preserve">"ט </w:t>
      </w:r>
      <w:r w:rsidRPr="001547FB">
        <w:rPr>
          <w:rFonts w:cs="Arial"/>
          <w:sz w:val="16"/>
          <w:szCs w:val="16"/>
          <w:rtl/>
        </w:rPr>
        <w:t xml:space="preserve">אות ה) </w:t>
      </w:r>
      <w:r w:rsidRPr="001547FB">
        <w:rPr>
          <w:rFonts w:cs="Arial"/>
          <w:rtl/>
        </w:rPr>
        <w:t xml:space="preserve">בשם סמ"ג </w:t>
      </w:r>
      <w:r w:rsidRPr="001547FB">
        <w:rPr>
          <w:rFonts w:cs="Arial"/>
          <w:sz w:val="16"/>
          <w:szCs w:val="16"/>
          <w:rtl/>
        </w:rPr>
        <w:t xml:space="preserve">(לאוין ע-עה כה.) </w:t>
      </w:r>
      <w:r w:rsidRPr="001547FB">
        <w:rPr>
          <w:rFonts w:cs="Arial"/>
          <w:rtl/>
        </w:rPr>
        <w:t xml:space="preserve">וסמ"ק </w:t>
      </w:r>
      <w:r w:rsidRPr="001547FB">
        <w:rPr>
          <w:rFonts w:cs="Arial"/>
          <w:sz w:val="16"/>
          <w:szCs w:val="16"/>
          <w:rtl/>
        </w:rPr>
        <w:t>(סי' קצד</w:t>
      </w:r>
      <w:r w:rsidRPr="001547FB">
        <w:rPr>
          <w:rFonts w:cs="Arial" w:hint="cs"/>
          <w:sz w:val="16"/>
          <w:szCs w:val="16"/>
          <w:rtl/>
        </w:rPr>
        <w:t>,</w:t>
      </w:r>
      <w:r w:rsidRPr="001547FB">
        <w:rPr>
          <w:rFonts w:cs="Arial"/>
          <w:sz w:val="16"/>
          <w:szCs w:val="16"/>
          <w:rtl/>
        </w:rPr>
        <w:t xml:space="preserve"> ובהגהות שם אות ג)</w:t>
      </w:r>
      <w:r>
        <w:rPr>
          <w:rFonts w:cs="Arial" w:hint="cs"/>
          <w:rtl/>
        </w:rPr>
        <w:t>.</w:t>
      </w:r>
      <w:r w:rsidRPr="001547FB">
        <w:rPr>
          <w:rFonts w:cs="Arial"/>
          <w:rtl/>
        </w:rPr>
        <w:t xml:space="preserve"> </w:t>
      </w:r>
      <w:r>
        <w:rPr>
          <w:rFonts w:cs="Arial" w:hint="cs"/>
          <w:rtl/>
        </w:rPr>
        <w:t xml:space="preserve">וכ' הדרכ"מ </w:t>
      </w:r>
      <w:r w:rsidRPr="001547FB">
        <w:rPr>
          <w:rFonts w:cs="Arial"/>
          <w:sz w:val="16"/>
          <w:szCs w:val="16"/>
          <w:rtl/>
        </w:rPr>
        <w:t>(</w:t>
      </w:r>
      <w:r w:rsidRPr="001547FB">
        <w:rPr>
          <w:rFonts w:cs="Arial" w:hint="cs"/>
          <w:sz w:val="16"/>
          <w:szCs w:val="16"/>
          <w:rtl/>
        </w:rPr>
        <w:t xml:space="preserve">אות </w:t>
      </w:r>
      <w:r w:rsidRPr="001547FB">
        <w:rPr>
          <w:rFonts w:cs="Arial"/>
          <w:sz w:val="16"/>
          <w:szCs w:val="16"/>
          <w:rtl/>
        </w:rPr>
        <w:t xml:space="preserve">יד) </w:t>
      </w:r>
      <w:r>
        <w:rPr>
          <w:rFonts w:cs="Arial" w:hint="cs"/>
          <w:rtl/>
        </w:rPr>
        <w:t>ד</w:t>
      </w:r>
      <w:r w:rsidRPr="001547FB">
        <w:rPr>
          <w:rFonts w:cs="Arial"/>
          <w:rtl/>
        </w:rPr>
        <w:t>כן הוא בתשו</w:t>
      </w:r>
      <w:r>
        <w:rPr>
          <w:rFonts w:cs="Arial" w:hint="cs"/>
          <w:rtl/>
        </w:rPr>
        <w:t>'</w:t>
      </w:r>
      <w:r w:rsidRPr="001547FB">
        <w:rPr>
          <w:rFonts w:cs="Arial"/>
          <w:rtl/>
        </w:rPr>
        <w:t xml:space="preserve"> מיימוני </w:t>
      </w:r>
      <w:r w:rsidRPr="001547FB">
        <w:rPr>
          <w:rFonts w:cs="Arial" w:hint="cs"/>
          <w:sz w:val="16"/>
          <w:szCs w:val="16"/>
          <w:rtl/>
        </w:rPr>
        <w:t>(</w:t>
      </w:r>
      <w:r w:rsidRPr="001547FB">
        <w:rPr>
          <w:rFonts w:cs="Arial"/>
          <w:sz w:val="16"/>
          <w:szCs w:val="16"/>
          <w:rtl/>
        </w:rPr>
        <w:t>סוף מאכ</w:t>
      </w:r>
      <w:r w:rsidRPr="001547FB">
        <w:rPr>
          <w:rFonts w:cs="Arial" w:hint="cs"/>
          <w:sz w:val="16"/>
          <w:szCs w:val="16"/>
          <w:rtl/>
        </w:rPr>
        <w:t>"א)</w:t>
      </w:r>
      <w:r>
        <w:rPr>
          <w:rFonts w:cs="Arial" w:hint="cs"/>
          <w:rtl/>
        </w:rPr>
        <w:t>,</w:t>
      </w:r>
      <w:r w:rsidRPr="001547FB">
        <w:rPr>
          <w:rFonts w:cs="Arial"/>
          <w:rtl/>
        </w:rPr>
        <w:t xml:space="preserve"> וכ</w:t>
      </w:r>
      <w:r>
        <w:rPr>
          <w:rFonts w:cs="Arial" w:hint="cs"/>
          <w:rtl/>
        </w:rPr>
        <w:t>"</w:t>
      </w:r>
      <w:r w:rsidRPr="001547FB">
        <w:rPr>
          <w:rFonts w:cs="Arial"/>
          <w:rtl/>
        </w:rPr>
        <w:t>פ</w:t>
      </w:r>
      <w:r>
        <w:rPr>
          <w:rFonts w:cs="Arial" w:hint="cs"/>
          <w:rtl/>
        </w:rPr>
        <w:t xml:space="preserve"> באו"ה</w:t>
      </w:r>
      <w:r w:rsidRPr="001547FB">
        <w:rPr>
          <w:rFonts w:cs="Arial"/>
          <w:rtl/>
        </w:rPr>
        <w:t xml:space="preserve"> </w:t>
      </w:r>
      <w:r w:rsidRPr="001547FB">
        <w:rPr>
          <w:rFonts w:cs="Arial"/>
          <w:sz w:val="16"/>
          <w:szCs w:val="16"/>
          <w:rtl/>
        </w:rPr>
        <w:t>(כלל נח דכ</w:t>
      </w:r>
      <w:r w:rsidRPr="001547FB">
        <w:rPr>
          <w:rFonts w:cs="Arial" w:hint="cs"/>
          <w:sz w:val="16"/>
          <w:szCs w:val="16"/>
          <w:rtl/>
        </w:rPr>
        <w:t>"</w:t>
      </w:r>
      <w:r w:rsidRPr="001547FB">
        <w:rPr>
          <w:rFonts w:cs="Arial"/>
          <w:sz w:val="16"/>
          <w:szCs w:val="16"/>
          <w:rtl/>
        </w:rPr>
        <w:t>ח)</w:t>
      </w:r>
      <w:r>
        <w:rPr>
          <w:rFonts w:cs="Arial" w:hint="cs"/>
          <w:rtl/>
        </w:rPr>
        <w:t>,</w:t>
      </w:r>
      <w:r w:rsidRPr="001547FB">
        <w:rPr>
          <w:rFonts w:cs="Arial"/>
          <w:rtl/>
        </w:rPr>
        <w:t xml:space="preserve"> ובתרו</w:t>
      </w:r>
      <w:r>
        <w:rPr>
          <w:rFonts w:cs="Arial" w:hint="cs"/>
          <w:rtl/>
        </w:rPr>
        <w:t xml:space="preserve">ה"ד </w:t>
      </w:r>
      <w:r w:rsidRPr="001547FB">
        <w:rPr>
          <w:rFonts w:cs="Arial" w:hint="cs"/>
          <w:sz w:val="16"/>
          <w:szCs w:val="16"/>
          <w:rtl/>
        </w:rPr>
        <w:t>(סי'</w:t>
      </w:r>
      <w:r w:rsidRPr="001547FB">
        <w:rPr>
          <w:rFonts w:cs="Arial"/>
          <w:sz w:val="16"/>
          <w:szCs w:val="16"/>
          <w:rtl/>
        </w:rPr>
        <w:t xml:space="preserve"> קל</w:t>
      </w:r>
      <w:r w:rsidRPr="001547FB">
        <w:rPr>
          <w:rFonts w:cs="Arial" w:hint="cs"/>
          <w:sz w:val="16"/>
          <w:szCs w:val="16"/>
          <w:rtl/>
        </w:rPr>
        <w:t>)</w:t>
      </w:r>
      <w:r w:rsidRPr="001547FB">
        <w:rPr>
          <w:rFonts w:cs="Arial"/>
          <w:sz w:val="16"/>
          <w:szCs w:val="16"/>
          <w:rtl/>
        </w:rPr>
        <w:t xml:space="preserve"> </w:t>
      </w:r>
      <w:r w:rsidRPr="001547FB">
        <w:rPr>
          <w:rFonts w:cs="Arial"/>
          <w:rtl/>
        </w:rPr>
        <w:t>משמע דשיעור שנתן ה"ר אביגדור הוא השיעור דשל סמ"ק</w:t>
      </w:r>
      <w:r>
        <w:rPr>
          <w:rFonts w:cs="Arial" w:hint="cs"/>
          <w:rtl/>
        </w:rPr>
        <w:t>.</w:t>
      </w:r>
    </w:p>
  </w:footnote>
  <w:footnote w:id="2974">
    <w:p w14:paraId="24F16789" w14:textId="77777777" w:rsidR="004C5A3C" w:rsidRDefault="004C5A3C" w:rsidP="002C39F4">
      <w:pPr>
        <w:pStyle w:val="a5"/>
        <w:rPr>
          <w:rtl/>
        </w:rPr>
      </w:pPr>
      <w:r>
        <w:rPr>
          <w:rStyle w:val="a7"/>
        </w:rPr>
        <w:footnoteRef/>
      </w:r>
      <w:r>
        <w:rPr>
          <w:rtl/>
        </w:rPr>
        <w:t xml:space="preserve"> </w:t>
      </w:r>
      <w:r>
        <w:rPr>
          <w:rFonts w:hint="cs"/>
          <w:rtl/>
        </w:rPr>
        <w:t xml:space="preserve">וכ' הב"י דדברי </w:t>
      </w:r>
      <w:r>
        <w:rPr>
          <w:rFonts w:cs="Arial"/>
          <w:rtl/>
        </w:rPr>
        <w:t>טעם הם</w:t>
      </w:r>
      <w:r>
        <w:rPr>
          <w:rFonts w:cs="Arial" w:hint="cs"/>
          <w:rtl/>
        </w:rPr>
        <w:t>.</w:t>
      </w:r>
      <w:r>
        <w:rPr>
          <w:rFonts w:hint="cs"/>
          <w:rtl/>
        </w:rPr>
        <w:t xml:space="preserve"> וכ' הדרכ"מ (אות טו)</w:t>
      </w:r>
      <w:r w:rsidRPr="001547FB">
        <w:rPr>
          <w:rFonts w:cs="Arial"/>
          <w:rtl/>
        </w:rPr>
        <w:t xml:space="preserve"> </w:t>
      </w:r>
      <w:r>
        <w:rPr>
          <w:rFonts w:cs="Arial" w:hint="cs"/>
          <w:rtl/>
        </w:rPr>
        <w:t>ד</w:t>
      </w:r>
      <w:r w:rsidRPr="001547FB">
        <w:rPr>
          <w:rFonts w:cs="Arial"/>
          <w:rtl/>
        </w:rPr>
        <w:t>מטעם זה כתבו הגה</w:t>
      </w:r>
      <w:r>
        <w:rPr>
          <w:rFonts w:cs="Arial" w:hint="cs"/>
          <w:rtl/>
        </w:rPr>
        <w:t>"מ</w:t>
      </w:r>
      <w:r w:rsidRPr="001547FB">
        <w:rPr>
          <w:rFonts w:cs="Arial"/>
          <w:rtl/>
        </w:rPr>
        <w:t xml:space="preserve"> </w:t>
      </w:r>
      <w:r>
        <w:rPr>
          <w:rFonts w:cs="Arial" w:hint="cs"/>
          <w:rtl/>
        </w:rPr>
        <w:t>(</w:t>
      </w:r>
      <w:r w:rsidRPr="001547FB">
        <w:rPr>
          <w:rFonts w:cs="Arial"/>
          <w:rtl/>
        </w:rPr>
        <w:t>פי"ז דמאכ</w:t>
      </w:r>
      <w:r>
        <w:rPr>
          <w:rFonts w:cs="Arial" w:hint="cs"/>
          <w:rtl/>
        </w:rPr>
        <w:t xml:space="preserve">"א </w:t>
      </w:r>
      <w:r w:rsidRPr="001547FB">
        <w:rPr>
          <w:rFonts w:cs="Arial"/>
          <w:rtl/>
        </w:rPr>
        <w:t>ד</w:t>
      </w:r>
      <w:r>
        <w:rPr>
          <w:rFonts w:cs="Arial" w:hint="cs"/>
          <w:rtl/>
        </w:rPr>
        <w:t>"</w:t>
      </w:r>
      <w:r w:rsidRPr="001547FB">
        <w:rPr>
          <w:rFonts w:cs="Arial"/>
          <w:rtl/>
        </w:rPr>
        <w:t>ק ה"ב) דבליבון אין חילוק בין כלי שהוא בן יומו לבין אינו בן יומו</w:t>
      </w:r>
      <w:r>
        <w:rPr>
          <w:rFonts w:cs="Arial" w:hint="cs"/>
          <w:rtl/>
        </w:rPr>
        <w:t>,</w:t>
      </w:r>
      <w:r w:rsidRPr="001547FB">
        <w:rPr>
          <w:rFonts w:cs="Arial"/>
          <w:rtl/>
        </w:rPr>
        <w:t xml:space="preserve"> וכ</w:t>
      </w:r>
      <w:r>
        <w:rPr>
          <w:rFonts w:cs="Arial" w:hint="cs"/>
          <w:rtl/>
        </w:rPr>
        <w:t>"</w:t>
      </w:r>
      <w:r w:rsidRPr="001547FB">
        <w:rPr>
          <w:rFonts w:cs="Arial"/>
          <w:rtl/>
        </w:rPr>
        <w:t>כ ב</w:t>
      </w:r>
      <w:r>
        <w:rPr>
          <w:rFonts w:cs="Arial"/>
          <w:rtl/>
        </w:rPr>
        <w:t>או"ה</w:t>
      </w:r>
      <w:r w:rsidRPr="001547FB">
        <w:rPr>
          <w:rFonts w:cs="Arial"/>
          <w:rtl/>
        </w:rPr>
        <w:t xml:space="preserve"> (שם דין יט) דאין חילוק בין איכא עליו טלאי לליכא עליו טלאי</w:t>
      </w:r>
      <w:r>
        <w:rPr>
          <w:rFonts w:cs="Arial" w:hint="cs"/>
          <w:rtl/>
        </w:rPr>
        <w:t>.</w:t>
      </w:r>
    </w:p>
  </w:footnote>
  <w:footnote w:id="2975">
    <w:p w14:paraId="5C1DB8FA" w14:textId="77777777" w:rsidR="004C5A3C" w:rsidRDefault="004C5A3C" w:rsidP="002C39F4">
      <w:pPr>
        <w:pStyle w:val="a5"/>
        <w:rPr>
          <w:rtl/>
        </w:rPr>
      </w:pPr>
      <w:r>
        <w:rPr>
          <w:rStyle w:val="a7"/>
        </w:rPr>
        <w:footnoteRef/>
      </w:r>
      <w:r>
        <w:rPr>
          <w:rtl/>
        </w:rPr>
        <w:t xml:space="preserve"> </w:t>
      </w:r>
      <w:r w:rsidRPr="009F45E9">
        <w:rPr>
          <w:rFonts w:cs="Arial"/>
          <w:rtl/>
        </w:rPr>
        <w:t xml:space="preserve"> עיין בדגמ"ר</w:t>
      </w:r>
      <w:r>
        <w:rPr>
          <w:rFonts w:cs="Arial" w:hint="cs"/>
          <w:rtl/>
        </w:rPr>
        <w:t xml:space="preserve"> (הביאו הפת"ש סק"ג)</w:t>
      </w:r>
      <w:r w:rsidRPr="009F45E9">
        <w:rPr>
          <w:rFonts w:cs="Arial"/>
          <w:rtl/>
        </w:rPr>
        <w:t xml:space="preserve"> שכ' דאם אינם ב"י לכ"ע שרי להטביל תחלה שהרי אין כאן טובל ושרץ בידו</w:t>
      </w:r>
      <w:r>
        <w:rPr>
          <w:rFonts w:hint="cs"/>
          <w:rtl/>
        </w:rPr>
        <w:t>.</w:t>
      </w:r>
    </w:p>
  </w:footnote>
  <w:footnote w:id="2976">
    <w:p w14:paraId="7B4E3BBA" w14:textId="77777777" w:rsidR="004C5A3C" w:rsidRDefault="004C5A3C" w:rsidP="002C39F4">
      <w:pPr>
        <w:pStyle w:val="a5"/>
      </w:pPr>
      <w:r>
        <w:rPr>
          <w:rStyle w:val="a7"/>
        </w:rPr>
        <w:footnoteRef/>
      </w:r>
      <w:r>
        <w:rPr>
          <w:rtl/>
        </w:rPr>
        <w:t xml:space="preserve"> </w:t>
      </w:r>
      <w:r w:rsidRPr="00A831CA">
        <w:rPr>
          <w:rFonts w:cs="Arial"/>
          <w:rtl/>
        </w:rPr>
        <w:t>דה"ל כטובל ושרץ בידו</w:t>
      </w:r>
      <w:r>
        <w:rPr>
          <w:rFonts w:cs="Arial" w:hint="cs"/>
          <w:rtl/>
        </w:rPr>
        <w:t>. ונראה דיש לחזור ולהטבילן בלא ברכה, ש"ך (סק"ה).</w:t>
      </w:r>
      <w:r w:rsidRPr="00A831CA">
        <w:rPr>
          <w:rFonts w:cs="Arial"/>
          <w:rtl/>
        </w:rPr>
        <w:t xml:space="preserve"> וכ' העט"ז</w:t>
      </w:r>
      <w:r>
        <w:rPr>
          <w:rFonts w:cs="Arial" w:hint="cs"/>
          <w:rtl/>
        </w:rPr>
        <w:t>-</w:t>
      </w:r>
      <w:r w:rsidRPr="00A831CA">
        <w:rPr>
          <w:rFonts w:cs="Arial"/>
          <w:rtl/>
        </w:rPr>
        <w:t xml:space="preserve"> ואם לא ירצה להשתמש בו אלא צונן יכול להטבילו ולהשתמש בו צונן וכשירצה אח"כ להשתמש בו חמין יגעילנו ויספיק לו טבילה שהטבילו כבר אפילו למאן דמצריך טבילה שנית דשאני הכא שמתחלה לא היה דעתו להשתמש בו אלא צונן ולצונן סגי ליה בטבילה וכיון שבתחלה בהיתר טבלו שוב א"צ טבילה שנית עכ"ל. </w:t>
      </w:r>
      <w:r>
        <w:rPr>
          <w:rFonts w:cs="Arial" w:hint="cs"/>
          <w:rtl/>
        </w:rPr>
        <w:t>והביא הש"ך (סק"ד) את דבריו, וכתב ד</w:t>
      </w:r>
      <w:r w:rsidRPr="00A831CA">
        <w:rPr>
          <w:rFonts w:cs="Arial"/>
          <w:rtl/>
        </w:rPr>
        <w:t>נראה דהיכא שטבלו אדעתא לאכול בו חמין כיון דצריך לחזור ולהטבילן להי"א א"כ אפילו צונן אסור לאכול בו בלא טבילה וכן משמע לכאורה בדברי הרא"ש והטור</w:t>
      </w:r>
      <w:r>
        <w:rPr>
          <w:rFonts w:cs="Arial" w:hint="cs"/>
          <w:rtl/>
        </w:rPr>
        <w:t>.</w:t>
      </w:r>
    </w:p>
  </w:footnote>
  <w:footnote w:id="2977">
    <w:p w14:paraId="03563C1F" w14:textId="77777777" w:rsidR="004C5A3C" w:rsidRDefault="004C5A3C" w:rsidP="002C39F4">
      <w:pPr>
        <w:pStyle w:val="a5"/>
        <w:rPr>
          <w:rtl/>
        </w:rPr>
      </w:pPr>
      <w:r>
        <w:rPr>
          <w:rStyle w:val="a7"/>
        </w:rPr>
        <w:footnoteRef/>
      </w:r>
      <w:r>
        <w:rPr>
          <w:rtl/>
        </w:rPr>
        <w:t xml:space="preserve"> </w:t>
      </w:r>
      <w:r>
        <w:rPr>
          <w:rFonts w:hint="cs"/>
          <w:rtl/>
        </w:rPr>
        <w:t xml:space="preserve">וכ' הש"ך (נה"כ אות א) דמה שלא העתיק הרמ"א את שאר דברי הטור </w:t>
      </w:r>
      <w:r w:rsidRPr="00854F63">
        <w:rPr>
          <w:rFonts w:hint="cs"/>
          <w:sz w:val="16"/>
          <w:szCs w:val="16"/>
          <w:rtl/>
        </w:rPr>
        <w:t>(כגון שכשיש ס' במים נגד הכלי שרי אפי' בן יומו וכו')</w:t>
      </w:r>
      <w:r>
        <w:rPr>
          <w:rFonts w:hint="cs"/>
          <w:rtl/>
        </w:rPr>
        <w:t xml:space="preserve"> הוא מפני דפשוט הוא ועוד שכבר העתיקו באו"ח ריש סי' תנב. </w:t>
      </w:r>
    </w:p>
  </w:footnote>
  <w:footnote w:id="2978">
    <w:p w14:paraId="1E4D13F5" w14:textId="77777777" w:rsidR="004C5A3C" w:rsidRDefault="004C5A3C" w:rsidP="002C39F4">
      <w:pPr>
        <w:pStyle w:val="a5"/>
      </w:pPr>
      <w:r>
        <w:rPr>
          <w:rStyle w:val="a7"/>
        </w:rPr>
        <w:footnoteRef/>
      </w:r>
      <w:r>
        <w:rPr>
          <w:rtl/>
        </w:rPr>
        <w:t xml:space="preserve"> </w:t>
      </w:r>
      <w:r w:rsidRPr="00A45357">
        <w:rPr>
          <w:rFonts w:cs="Arial"/>
          <w:rtl/>
        </w:rPr>
        <w:t>ופשוט הוא דהא קיימא לן כבולעו כך פולטו</w:t>
      </w:r>
      <w:r>
        <w:rPr>
          <w:rFonts w:cs="Arial" w:hint="cs"/>
          <w:rtl/>
        </w:rPr>
        <w:t>, ב"י.</w:t>
      </w:r>
    </w:p>
  </w:footnote>
  <w:footnote w:id="2979">
    <w:p w14:paraId="0E03554E" w14:textId="77777777" w:rsidR="004C5A3C" w:rsidRDefault="004C5A3C" w:rsidP="002C39F4">
      <w:pPr>
        <w:pStyle w:val="a5"/>
        <w:rPr>
          <w:rtl/>
        </w:rPr>
      </w:pPr>
      <w:r>
        <w:rPr>
          <w:rStyle w:val="a7"/>
        </w:rPr>
        <w:footnoteRef/>
      </w:r>
      <w:r>
        <w:rPr>
          <w:rtl/>
        </w:rPr>
        <w:t xml:space="preserve"> </w:t>
      </w:r>
      <w:r>
        <w:rPr>
          <w:rFonts w:hint="cs"/>
          <w:rtl/>
        </w:rPr>
        <w:t>מן האור, רש"י.</w:t>
      </w:r>
    </w:p>
  </w:footnote>
  <w:footnote w:id="2980">
    <w:p w14:paraId="30EC46C3" w14:textId="77777777" w:rsidR="004C5A3C" w:rsidRDefault="004C5A3C" w:rsidP="002C39F4">
      <w:pPr>
        <w:pStyle w:val="a5"/>
        <w:rPr>
          <w:rtl/>
        </w:rPr>
      </w:pPr>
      <w:r>
        <w:rPr>
          <w:rStyle w:val="a7"/>
        </w:rPr>
        <w:footnoteRef/>
      </w:r>
      <w:r>
        <w:rPr>
          <w:rtl/>
        </w:rPr>
        <w:t xml:space="preserve"> </w:t>
      </w:r>
      <w:r>
        <w:rPr>
          <w:rFonts w:hint="cs"/>
          <w:rtl/>
        </w:rPr>
        <w:t>בין השמשות, רש"י.</w:t>
      </w:r>
    </w:p>
  </w:footnote>
  <w:footnote w:id="2981">
    <w:p w14:paraId="73636DDE" w14:textId="77777777" w:rsidR="004C5A3C" w:rsidRPr="003C595E" w:rsidRDefault="004C5A3C" w:rsidP="002C39F4">
      <w:pPr>
        <w:spacing w:after="0" w:line="240" w:lineRule="auto"/>
        <w:rPr>
          <w:rFonts w:asciiTheme="minorBidi" w:hAnsiTheme="minorBidi"/>
          <w:sz w:val="20"/>
          <w:szCs w:val="20"/>
        </w:rPr>
      </w:pPr>
      <w:r w:rsidRPr="003C595E">
        <w:rPr>
          <w:rStyle w:val="a7"/>
          <w:rFonts w:asciiTheme="minorBidi" w:hAnsiTheme="minorBidi"/>
        </w:rPr>
        <w:footnoteRef/>
      </w:r>
      <w:r w:rsidRPr="003C595E">
        <w:rPr>
          <w:rFonts w:asciiTheme="minorBidi" w:hAnsiTheme="minorBidi"/>
          <w:sz w:val="20"/>
          <w:szCs w:val="20"/>
          <w:rtl/>
        </w:rPr>
        <w:t xml:space="preserve"> משתחשך, דכלי ראשון כל זמן שרותח מבשל, רש"י.</w:t>
      </w:r>
    </w:p>
  </w:footnote>
  <w:footnote w:id="2982">
    <w:p w14:paraId="487AE558" w14:textId="77777777" w:rsidR="004C5A3C" w:rsidRPr="00316184" w:rsidRDefault="004C5A3C" w:rsidP="002C39F4">
      <w:pPr>
        <w:pStyle w:val="a5"/>
      </w:pPr>
      <w:r w:rsidRPr="00316184">
        <w:rPr>
          <w:rStyle w:val="a7"/>
        </w:rPr>
        <w:footnoteRef/>
      </w:r>
      <w:r w:rsidRPr="00316184">
        <w:rPr>
          <w:rtl/>
        </w:rPr>
        <w:t xml:space="preserve"> </w:t>
      </w:r>
      <w:r w:rsidRPr="00316184">
        <w:rPr>
          <w:rFonts w:hint="cs"/>
          <w:rtl/>
        </w:rPr>
        <w:t>וכן בדף עד ע"א, וכן בסוף מסכת ע"ז.</w:t>
      </w:r>
    </w:p>
  </w:footnote>
  <w:footnote w:id="2983">
    <w:p w14:paraId="2DBD3903" w14:textId="77777777" w:rsidR="004C5A3C" w:rsidRDefault="004C5A3C" w:rsidP="002C39F4">
      <w:pPr>
        <w:pStyle w:val="a5"/>
      </w:pPr>
      <w:r>
        <w:rPr>
          <w:rStyle w:val="a7"/>
        </w:rPr>
        <w:footnoteRef/>
      </w:r>
      <w:r>
        <w:rPr>
          <w:rtl/>
        </w:rPr>
        <w:t xml:space="preserve"> </w:t>
      </w:r>
      <w:r>
        <w:rPr>
          <w:rFonts w:cs="Arial"/>
          <w:rtl/>
        </w:rPr>
        <w:t>דכיון דעדיין הוא רותח מחמת שהיה על גב האור חשיב כלי ראשון ממש דאין הפרש זה שהיה על גבי האור ועכשיו אינו על גביו חשוב כל כך</w:t>
      </w:r>
      <w:r>
        <w:rPr>
          <w:rFonts w:cs="Arial" w:hint="cs"/>
          <w:rtl/>
        </w:rPr>
        <w:t>,</w:t>
      </w:r>
      <w:r>
        <w:rPr>
          <w:rFonts w:cs="Arial"/>
          <w:rtl/>
        </w:rPr>
        <w:t xml:space="preserve"> הילכך עדיין דין כלי ראשון עליו לכל דבר</w:t>
      </w:r>
      <w:r>
        <w:rPr>
          <w:rFonts w:cs="Arial" w:hint="cs"/>
          <w:rtl/>
        </w:rPr>
        <w:t>, ב"י.</w:t>
      </w:r>
    </w:p>
  </w:footnote>
  <w:footnote w:id="2984">
    <w:p w14:paraId="4F40EBF9" w14:textId="77777777" w:rsidR="004C5A3C" w:rsidRDefault="004C5A3C" w:rsidP="002C39F4">
      <w:pPr>
        <w:pStyle w:val="a5"/>
        <w:rPr>
          <w:rtl/>
        </w:rPr>
      </w:pPr>
      <w:r>
        <w:rPr>
          <w:rStyle w:val="a7"/>
        </w:rPr>
        <w:footnoteRef/>
      </w:r>
      <w:r>
        <w:rPr>
          <w:rtl/>
        </w:rPr>
        <w:t xml:space="preserve"> </w:t>
      </w:r>
      <w:r>
        <w:rPr>
          <w:rFonts w:cs="Arial"/>
          <w:rtl/>
        </w:rPr>
        <w:t>טעמם משום דכלל גדול בידינו (פסחים ל: עד., וסוף ע"ז) כבולעו כך פולטו</w:t>
      </w:r>
      <w:r>
        <w:rPr>
          <w:rFonts w:cs="Arial" w:hint="cs"/>
          <w:rtl/>
        </w:rPr>
        <w:t>,</w:t>
      </w:r>
      <w:r>
        <w:rPr>
          <w:rFonts w:cs="Arial"/>
          <w:rtl/>
        </w:rPr>
        <w:t xml:space="preserve"> וחמין שהעבירן מהאור מרותחים אע</w:t>
      </w:r>
      <w:r>
        <w:rPr>
          <w:rFonts w:cs="Arial" w:hint="cs"/>
          <w:rtl/>
        </w:rPr>
        <w:t>"</w:t>
      </w:r>
      <w:r>
        <w:rPr>
          <w:rFonts w:cs="Arial"/>
          <w:rtl/>
        </w:rPr>
        <w:t>פ שנתנו להם דין כלי ראשון לענין בישול בשבת מ</w:t>
      </w:r>
      <w:r>
        <w:rPr>
          <w:rFonts w:cs="Arial" w:hint="cs"/>
          <w:rtl/>
        </w:rPr>
        <w:t>"מ</w:t>
      </w:r>
      <w:r>
        <w:rPr>
          <w:rFonts w:cs="Arial"/>
          <w:rtl/>
        </w:rPr>
        <w:t xml:space="preserve"> הדבר ידוע שאין חומן כ</w:t>
      </w:r>
      <w:r>
        <w:rPr>
          <w:rFonts w:cs="Arial" w:hint="cs"/>
          <w:rtl/>
        </w:rPr>
        <w:t>"</w:t>
      </w:r>
      <w:r>
        <w:rPr>
          <w:rFonts w:cs="Arial"/>
          <w:rtl/>
        </w:rPr>
        <w:t>כ גדול כמו בעודן על האור הילכך כלים שבלעו איסור בעודן ע</w:t>
      </w:r>
      <w:r>
        <w:rPr>
          <w:rFonts w:cs="Arial" w:hint="cs"/>
          <w:rtl/>
        </w:rPr>
        <w:t>"</w:t>
      </w:r>
      <w:r>
        <w:rPr>
          <w:rFonts w:cs="Arial"/>
          <w:rtl/>
        </w:rPr>
        <w:t>ג האור לא יפלטוהו ע</w:t>
      </w:r>
      <w:r>
        <w:rPr>
          <w:rFonts w:cs="Arial" w:hint="cs"/>
          <w:rtl/>
        </w:rPr>
        <w:t>"</w:t>
      </w:r>
      <w:r>
        <w:rPr>
          <w:rFonts w:cs="Arial"/>
          <w:rtl/>
        </w:rPr>
        <w:t>י חמין שהעבירו מהאור</w:t>
      </w:r>
      <w:r>
        <w:rPr>
          <w:rFonts w:hint="cs"/>
          <w:rtl/>
        </w:rPr>
        <w:t>, ב"י.</w:t>
      </w:r>
    </w:p>
  </w:footnote>
  <w:footnote w:id="2985">
    <w:p w14:paraId="08A99F07" w14:textId="77777777" w:rsidR="004C5A3C" w:rsidRDefault="004C5A3C" w:rsidP="002C39F4">
      <w:pPr>
        <w:pStyle w:val="a5"/>
        <w:rPr>
          <w:rtl/>
        </w:rPr>
      </w:pPr>
      <w:r>
        <w:rPr>
          <w:rStyle w:val="a7"/>
        </w:rPr>
        <w:footnoteRef/>
      </w:r>
      <w:r>
        <w:rPr>
          <w:rtl/>
        </w:rPr>
        <w:t xml:space="preserve"> </w:t>
      </w:r>
      <w:r>
        <w:rPr>
          <w:rFonts w:hint="cs"/>
          <w:rtl/>
        </w:rPr>
        <w:t xml:space="preserve">וז"ל- </w:t>
      </w:r>
      <w:r>
        <w:rPr>
          <w:rFonts w:cs="Arial"/>
          <w:rtl/>
        </w:rPr>
        <w:t>כל הכלים נכשרים אפילו בחצאין כיצד ליבן השפוד עד מחציתו וחזר וליבן מחציתו האחר מותר</w:t>
      </w:r>
      <w:r>
        <w:rPr>
          <w:rFonts w:cs="Arial" w:hint="cs"/>
          <w:rtl/>
        </w:rPr>
        <w:t>.</w:t>
      </w:r>
    </w:p>
  </w:footnote>
  <w:footnote w:id="2986">
    <w:p w14:paraId="6E4694C6" w14:textId="77777777" w:rsidR="004C5A3C" w:rsidRDefault="004C5A3C" w:rsidP="002C39F4">
      <w:pPr>
        <w:pStyle w:val="a5"/>
      </w:pPr>
      <w:r>
        <w:rPr>
          <w:rStyle w:val="a7"/>
        </w:rPr>
        <w:footnoteRef/>
      </w:r>
      <w:r>
        <w:rPr>
          <w:rtl/>
        </w:rPr>
        <w:t xml:space="preserve"> </w:t>
      </w:r>
      <w:r>
        <w:rPr>
          <w:rFonts w:hint="cs"/>
          <w:rtl/>
        </w:rPr>
        <w:t>מיכל גדול.</w:t>
      </w:r>
    </w:p>
  </w:footnote>
  <w:footnote w:id="2987">
    <w:p w14:paraId="24C669D7" w14:textId="77777777" w:rsidR="004C5A3C" w:rsidRDefault="004C5A3C" w:rsidP="002C39F4">
      <w:pPr>
        <w:pStyle w:val="a5"/>
      </w:pPr>
      <w:r>
        <w:rPr>
          <w:rStyle w:val="a7"/>
        </w:rPr>
        <w:footnoteRef/>
      </w:r>
      <w:r>
        <w:rPr>
          <w:rtl/>
        </w:rPr>
        <w:t xml:space="preserve"> </w:t>
      </w:r>
      <w:r w:rsidRPr="00043D0F">
        <w:rPr>
          <w:rFonts w:cs="Arial"/>
          <w:rtl/>
        </w:rPr>
        <w:t>שפה של עיסה סביבות פיה כדי שתקבל מים הרבה ויעברו הרותחין על שפתה</w:t>
      </w:r>
      <w:r>
        <w:rPr>
          <w:rFonts w:cs="Arial" w:hint="cs"/>
          <w:rtl/>
        </w:rPr>
        <w:t>, רש"י</w:t>
      </w:r>
      <w:r w:rsidRPr="00043D0F">
        <w:rPr>
          <w:rFonts w:cs="Arial"/>
          <w:rtl/>
        </w:rPr>
        <w:t>.</w:t>
      </w:r>
    </w:p>
  </w:footnote>
  <w:footnote w:id="2988">
    <w:p w14:paraId="6AD724F6" w14:textId="77777777" w:rsidR="004C5A3C" w:rsidRDefault="004C5A3C" w:rsidP="002C39F4">
      <w:pPr>
        <w:pStyle w:val="a5"/>
        <w:rPr>
          <w:rtl/>
        </w:rPr>
      </w:pPr>
      <w:r>
        <w:rPr>
          <w:rStyle w:val="a7"/>
        </w:rPr>
        <w:footnoteRef/>
      </w:r>
      <w:r>
        <w:rPr>
          <w:rtl/>
        </w:rPr>
        <w:t xml:space="preserve"> </w:t>
      </w:r>
      <w:r w:rsidRPr="00043D0F">
        <w:rPr>
          <w:rFonts w:cs="Arial"/>
          <w:rtl/>
        </w:rPr>
        <w:t>לאו בולעו אלא ע"י ניצוצות שניתז הרתיחות שם ולא הוכנסה לתוך יורה אחרת בשעת בליעת האיסור</w:t>
      </w:r>
      <w:r>
        <w:rPr>
          <w:rFonts w:cs="Arial" w:hint="cs"/>
          <w:rtl/>
        </w:rPr>
        <w:t>, רש"י</w:t>
      </w:r>
      <w:r w:rsidRPr="00043D0F">
        <w:rPr>
          <w:rFonts w:cs="Arial"/>
          <w:rtl/>
        </w:rPr>
        <w:t>.</w:t>
      </w:r>
    </w:p>
  </w:footnote>
  <w:footnote w:id="2989">
    <w:p w14:paraId="5AB1D29F" w14:textId="77777777" w:rsidR="004C5A3C" w:rsidRDefault="004C5A3C" w:rsidP="002C39F4">
      <w:pPr>
        <w:pStyle w:val="a5"/>
        <w:rPr>
          <w:rtl/>
        </w:rPr>
      </w:pPr>
      <w:r>
        <w:rPr>
          <w:rStyle w:val="a7"/>
        </w:rPr>
        <w:footnoteRef/>
      </w:r>
      <w:r>
        <w:rPr>
          <w:rtl/>
        </w:rPr>
        <w:t xml:space="preserve"> </w:t>
      </w:r>
      <w:r w:rsidRPr="00043D0F">
        <w:rPr>
          <w:rFonts w:cs="Arial"/>
          <w:rtl/>
        </w:rPr>
        <w:t>כך בשעת פליטה</w:t>
      </w:r>
      <w:r>
        <w:rPr>
          <w:rFonts w:cs="Arial" w:hint="cs"/>
          <w:rtl/>
        </w:rPr>
        <w:t>,</w:t>
      </w:r>
      <w:r w:rsidRPr="00043D0F">
        <w:rPr>
          <w:rFonts w:cs="Arial"/>
          <w:rtl/>
        </w:rPr>
        <w:t xml:space="preserve"> אע</w:t>
      </w:r>
      <w:r>
        <w:rPr>
          <w:rFonts w:cs="Arial" w:hint="cs"/>
          <w:rtl/>
        </w:rPr>
        <w:t>"</w:t>
      </w:r>
      <w:r w:rsidRPr="00043D0F">
        <w:rPr>
          <w:rFonts w:cs="Arial"/>
          <w:rtl/>
        </w:rPr>
        <w:t>פ שלא הכניסה לתוך יורה אחרת הואיל ונתמלאת יפה יפה ומעלה ניצוצות על שפתה ופולט</w:t>
      </w:r>
      <w:r>
        <w:rPr>
          <w:rFonts w:cs="Arial" w:hint="cs"/>
          <w:rtl/>
        </w:rPr>
        <w:t>,</w:t>
      </w:r>
      <w:r w:rsidRPr="00043D0F">
        <w:rPr>
          <w:rFonts w:cs="Arial"/>
          <w:rtl/>
        </w:rPr>
        <w:t xml:space="preserve"> ומיהו גדנפא בעינן משום דאי לאו הכי דלמא לא הוה מסקא ניצוצות על השפה בהא זימנא אבל איסור הנתבשל בה פעמים הרבה אם לא העלה ניצוצות כל שעה העלה פעם אחת</w:t>
      </w:r>
      <w:r>
        <w:rPr>
          <w:rFonts w:cs="Arial" w:hint="cs"/>
          <w:rtl/>
        </w:rPr>
        <w:t>, רש"י</w:t>
      </w:r>
      <w:r w:rsidRPr="00043D0F">
        <w:rPr>
          <w:rFonts w:cs="Arial"/>
          <w:rtl/>
        </w:rPr>
        <w:t>.</w:t>
      </w:r>
    </w:p>
  </w:footnote>
  <w:footnote w:id="2990">
    <w:p w14:paraId="72EA1545" w14:textId="77777777" w:rsidR="004C5A3C" w:rsidRDefault="004C5A3C" w:rsidP="002C39F4">
      <w:pPr>
        <w:pStyle w:val="a5"/>
        <w:rPr>
          <w:rtl/>
        </w:rPr>
      </w:pPr>
      <w:r>
        <w:rPr>
          <w:rStyle w:val="a7"/>
        </w:rPr>
        <w:footnoteRef/>
      </w:r>
      <w:r>
        <w:rPr>
          <w:rtl/>
        </w:rPr>
        <w:t xml:space="preserve"> </w:t>
      </w:r>
      <w:r>
        <w:rPr>
          <w:rFonts w:hint="cs"/>
          <w:rtl/>
        </w:rPr>
        <w:t>והעתיקו דבריו המרדכי (פסחים סי' תקעח) הטור (או"ח סי' תנא) ואו</w:t>
      </w:r>
      <w:r>
        <w:rPr>
          <w:rtl/>
        </w:rPr>
        <w:t>"</w:t>
      </w:r>
      <w:r>
        <w:rPr>
          <w:rFonts w:hint="cs"/>
          <w:rtl/>
        </w:rPr>
        <w:t>ה (כלל נח סי' סט).</w:t>
      </w:r>
    </w:p>
  </w:footnote>
  <w:footnote w:id="2991">
    <w:p w14:paraId="193EED68" w14:textId="77777777" w:rsidR="004C5A3C" w:rsidRDefault="004C5A3C" w:rsidP="002C39F4">
      <w:pPr>
        <w:pStyle w:val="a5"/>
        <w:rPr>
          <w:rtl/>
        </w:rPr>
      </w:pPr>
      <w:r>
        <w:rPr>
          <w:rStyle w:val="a7"/>
        </w:rPr>
        <w:footnoteRef/>
      </w:r>
      <w:r>
        <w:rPr>
          <w:rtl/>
        </w:rPr>
        <w:t xml:space="preserve"> </w:t>
      </w:r>
      <w:r w:rsidRPr="00A6068E">
        <w:rPr>
          <w:rFonts w:cs="Arial"/>
          <w:rtl/>
        </w:rPr>
        <w:t>ואפילו בלא הגעלה קודם דיבוקו היה נראה להתיר מטעם זה, אלא דאיכא למיחש שמא עד הפסח נדבק בחיזוק ושוב נתרפה הדיבוק ומוציא מה שתחתיו ופולט. וכן כלי גוים המטולאים היה מסיר הטלאי, ושוב מגעילם</w:t>
      </w:r>
      <w:r>
        <w:rPr>
          <w:rFonts w:hint="cs"/>
          <w:rtl/>
        </w:rPr>
        <w:t>, ראבי"ה (שם). ואת דבריו אלו לא העתיק הטור אך המרדכי העתיקם, והוסיף עוד וז"ל-</w:t>
      </w:r>
      <w:r w:rsidRPr="00A6068E">
        <w:rPr>
          <w:rFonts w:cs="Arial"/>
          <w:rtl/>
        </w:rPr>
        <w:t xml:space="preserve"> </w:t>
      </w:r>
      <w:r w:rsidRPr="00854D28">
        <w:rPr>
          <w:rFonts w:cs="Arial"/>
          <w:rtl/>
        </w:rPr>
        <w:t>כללו של דבר כל טלאי שהוא מחדש וקדם הטלאי לבליעת האיסור אין צריך להסירו</w:t>
      </w:r>
      <w:r>
        <w:rPr>
          <w:rFonts w:cs="Arial" w:hint="cs"/>
          <w:rtl/>
        </w:rPr>
        <w:t>,</w:t>
      </w:r>
      <w:r w:rsidRPr="00854D28">
        <w:rPr>
          <w:rFonts w:cs="Arial"/>
          <w:rtl/>
        </w:rPr>
        <w:t xml:space="preserve"> שאין לך יורה ומחבת שאין בה כמה מסמרים ושפה לפיו סביב</w:t>
      </w:r>
      <w:r>
        <w:rPr>
          <w:rFonts w:cs="Arial" w:hint="cs"/>
          <w:rtl/>
        </w:rPr>
        <w:t>,</w:t>
      </w:r>
      <w:r w:rsidRPr="00854D28">
        <w:rPr>
          <w:rFonts w:cs="Arial"/>
          <w:rtl/>
        </w:rPr>
        <w:t xml:space="preserve"> אלא אמרינן בהו כבולעו כך פולטו</w:t>
      </w:r>
      <w:r>
        <w:rPr>
          <w:rFonts w:cs="Arial" w:hint="cs"/>
          <w:rtl/>
        </w:rPr>
        <w:t>,</w:t>
      </w:r>
      <w:r w:rsidRPr="00854D28">
        <w:rPr>
          <w:rFonts w:cs="Arial"/>
          <w:rtl/>
        </w:rPr>
        <w:t xml:space="preserve"> תדע דהא גבי סכינים פסקינן (פסחים ל:) אידי ואידי ברותחין ולא מצריך להסיר הברזל מן הקתא</w:t>
      </w:r>
      <w:r>
        <w:rPr>
          <w:rFonts w:cs="Arial" w:hint="cs"/>
          <w:rtl/>
        </w:rPr>
        <w:t>,</w:t>
      </w:r>
      <w:r w:rsidRPr="00854D28">
        <w:rPr>
          <w:rFonts w:cs="Arial"/>
          <w:rtl/>
        </w:rPr>
        <w:t xml:space="preserve"> עכ"ל</w:t>
      </w:r>
      <w:r>
        <w:rPr>
          <w:rFonts w:cs="Arial" w:hint="cs"/>
          <w:rtl/>
        </w:rPr>
        <w:t>.</w:t>
      </w:r>
      <w:r w:rsidRPr="00854D28">
        <w:rPr>
          <w:rFonts w:cs="Arial"/>
          <w:rtl/>
        </w:rPr>
        <w:t xml:space="preserve"> וכ</w:t>
      </w:r>
      <w:r>
        <w:rPr>
          <w:rFonts w:cs="Arial" w:hint="cs"/>
          <w:rtl/>
        </w:rPr>
        <w:t>"כ בהג"א</w:t>
      </w:r>
      <w:r w:rsidRPr="00854D28">
        <w:rPr>
          <w:rFonts w:cs="Arial"/>
          <w:rtl/>
        </w:rPr>
        <w:t xml:space="preserve"> </w:t>
      </w:r>
      <w:r>
        <w:rPr>
          <w:rFonts w:cs="Arial" w:hint="cs"/>
          <w:rtl/>
        </w:rPr>
        <w:t>(</w:t>
      </w:r>
      <w:r w:rsidRPr="00854D28">
        <w:rPr>
          <w:rFonts w:cs="Arial"/>
          <w:rtl/>
        </w:rPr>
        <w:t>סוף ע</w:t>
      </w:r>
      <w:r>
        <w:rPr>
          <w:rFonts w:cs="Arial" w:hint="cs"/>
          <w:rtl/>
        </w:rPr>
        <w:t xml:space="preserve">"ז </w:t>
      </w:r>
      <w:r w:rsidRPr="00854D28">
        <w:rPr>
          <w:rFonts w:cs="Arial"/>
          <w:rtl/>
        </w:rPr>
        <w:t>סוס"י לו) בשם או</w:t>
      </w:r>
      <w:r>
        <w:rPr>
          <w:rFonts w:cs="Arial" w:hint="cs"/>
          <w:rtl/>
        </w:rPr>
        <w:t>"ז</w:t>
      </w:r>
      <w:r w:rsidRPr="00854D28">
        <w:rPr>
          <w:rFonts w:cs="Arial"/>
          <w:rtl/>
        </w:rPr>
        <w:t xml:space="preserve"> (פסקי ע"ז סי' רצז)</w:t>
      </w:r>
      <w:r>
        <w:rPr>
          <w:rFonts w:cs="Arial" w:hint="cs"/>
          <w:rtl/>
        </w:rPr>
        <w:t>,</w:t>
      </w:r>
      <w:r w:rsidRPr="00854D28">
        <w:rPr>
          <w:rFonts w:cs="Arial"/>
          <w:rtl/>
        </w:rPr>
        <w:t xml:space="preserve"> וכ</w:t>
      </w:r>
      <w:r>
        <w:rPr>
          <w:rFonts w:cs="Arial" w:hint="cs"/>
          <w:rtl/>
        </w:rPr>
        <w:t xml:space="preserve">"כ בהגה"מ </w:t>
      </w:r>
      <w:r w:rsidRPr="00854D28">
        <w:rPr>
          <w:rFonts w:cs="Arial"/>
          <w:rtl/>
        </w:rPr>
        <w:t>(</w:t>
      </w:r>
      <w:r>
        <w:rPr>
          <w:rFonts w:cs="Arial" w:hint="cs"/>
          <w:rtl/>
        </w:rPr>
        <w:t xml:space="preserve">פ"ה </w:t>
      </w:r>
      <w:r w:rsidRPr="00854D28">
        <w:rPr>
          <w:rFonts w:cs="Arial"/>
          <w:rtl/>
        </w:rPr>
        <w:t>הכ"ג ד</w:t>
      </w:r>
      <w:r>
        <w:rPr>
          <w:rFonts w:cs="Arial" w:hint="cs"/>
          <w:rtl/>
        </w:rPr>
        <w:t>"ק</w:t>
      </w:r>
      <w:r w:rsidRPr="00854D28">
        <w:rPr>
          <w:rFonts w:cs="Arial"/>
          <w:rtl/>
        </w:rPr>
        <w:t xml:space="preserve"> קכט</w:t>
      </w:r>
      <w:r>
        <w:rPr>
          <w:rFonts w:cs="Arial" w:hint="cs"/>
          <w:rtl/>
        </w:rPr>
        <w:t>:</w:t>
      </w:r>
      <w:r w:rsidRPr="00854D28">
        <w:rPr>
          <w:rFonts w:cs="Arial"/>
          <w:rtl/>
        </w:rPr>
        <w:t>)</w:t>
      </w:r>
      <w:r>
        <w:rPr>
          <w:rFonts w:hint="cs"/>
          <w:rtl/>
        </w:rPr>
        <w:t>.</w:t>
      </w:r>
    </w:p>
  </w:footnote>
  <w:footnote w:id="2992">
    <w:p w14:paraId="1E2673A5" w14:textId="77777777" w:rsidR="004C5A3C" w:rsidRDefault="004C5A3C" w:rsidP="002C39F4">
      <w:pPr>
        <w:pStyle w:val="a5"/>
        <w:rPr>
          <w:rtl/>
        </w:rPr>
      </w:pPr>
      <w:r>
        <w:rPr>
          <w:rStyle w:val="a7"/>
        </w:rPr>
        <w:footnoteRef/>
      </w:r>
      <w:r>
        <w:rPr>
          <w:rtl/>
        </w:rPr>
        <w:t xml:space="preserve"> </w:t>
      </w:r>
      <w:r>
        <w:rPr>
          <w:rFonts w:cs="Arial" w:hint="cs"/>
          <w:rtl/>
        </w:rPr>
        <w:t xml:space="preserve">ר"ח </w:t>
      </w:r>
      <w:r>
        <w:rPr>
          <w:rFonts w:cs="Arial" w:hint="cs"/>
          <w:sz w:val="16"/>
          <w:szCs w:val="16"/>
          <w:rtl/>
        </w:rPr>
        <w:t>(כ"כ הרשב"א בשמו)</w:t>
      </w:r>
      <w:r>
        <w:rPr>
          <w:rFonts w:cs="Arial" w:hint="cs"/>
          <w:rtl/>
        </w:rPr>
        <w:t xml:space="preserve"> רי"ף </w:t>
      </w:r>
      <w:r>
        <w:rPr>
          <w:rFonts w:cs="Arial" w:hint="cs"/>
          <w:sz w:val="16"/>
          <w:szCs w:val="16"/>
          <w:rtl/>
        </w:rPr>
        <w:t>(פסחים ח:, כ"כ הרשב"א בשמו)</w:t>
      </w:r>
      <w:r>
        <w:rPr>
          <w:rFonts w:cs="Arial" w:hint="cs"/>
          <w:rtl/>
        </w:rPr>
        <w:t xml:space="preserve"> </w:t>
      </w:r>
      <w:r w:rsidRPr="00043D0F">
        <w:rPr>
          <w:rFonts w:cs="Arial"/>
          <w:rtl/>
        </w:rPr>
        <w:t>רשב"ם</w:t>
      </w:r>
      <w:r>
        <w:rPr>
          <w:rFonts w:cs="Arial" w:hint="cs"/>
          <w:sz w:val="16"/>
          <w:szCs w:val="16"/>
          <w:rtl/>
        </w:rPr>
        <w:t xml:space="preserve"> </w:t>
      </w:r>
      <w:r w:rsidRPr="00116912">
        <w:rPr>
          <w:rFonts w:cs="Arial"/>
          <w:sz w:val="16"/>
          <w:szCs w:val="16"/>
          <w:rtl/>
        </w:rPr>
        <w:t>(</w:t>
      </w:r>
      <w:r>
        <w:rPr>
          <w:rFonts w:cs="Arial" w:hint="cs"/>
          <w:sz w:val="16"/>
          <w:szCs w:val="16"/>
          <w:rtl/>
        </w:rPr>
        <w:t>כ"כ בשמו התוס'</w:t>
      </w:r>
      <w:r>
        <w:rPr>
          <w:rFonts w:cs="Arial" w:hint="cs"/>
          <w:sz w:val="14"/>
          <w:szCs w:val="14"/>
          <w:rtl/>
        </w:rPr>
        <w:t xml:space="preserve"> [שם]</w:t>
      </w:r>
      <w:r>
        <w:rPr>
          <w:rFonts w:cs="Arial" w:hint="cs"/>
          <w:sz w:val="16"/>
          <w:szCs w:val="16"/>
          <w:rtl/>
        </w:rPr>
        <w:t xml:space="preserve"> והרא"ש </w:t>
      </w:r>
      <w:r>
        <w:rPr>
          <w:rFonts w:cs="Arial" w:hint="cs"/>
          <w:sz w:val="14"/>
          <w:szCs w:val="14"/>
          <w:rtl/>
        </w:rPr>
        <w:t>[שם]</w:t>
      </w:r>
      <w:r>
        <w:rPr>
          <w:rFonts w:cs="Arial" w:hint="cs"/>
          <w:sz w:val="16"/>
          <w:szCs w:val="16"/>
          <w:rtl/>
        </w:rPr>
        <w:t>)</w:t>
      </w:r>
      <w:r>
        <w:rPr>
          <w:rFonts w:cs="Arial" w:hint="cs"/>
          <w:rtl/>
        </w:rPr>
        <w:t xml:space="preserve"> ורשב"א</w:t>
      </w:r>
      <w:r w:rsidRPr="00FD4058">
        <w:rPr>
          <w:rFonts w:cs="Arial" w:hint="cs"/>
          <w:sz w:val="16"/>
          <w:szCs w:val="16"/>
          <w:rtl/>
        </w:rPr>
        <w:t xml:space="preserve"> </w:t>
      </w:r>
      <w:r>
        <w:rPr>
          <w:rFonts w:cs="Arial" w:hint="cs"/>
          <w:sz w:val="16"/>
          <w:szCs w:val="16"/>
          <w:rtl/>
        </w:rPr>
        <w:t>(</w:t>
      </w:r>
      <w:r w:rsidRPr="00FD4058">
        <w:rPr>
          <w:rFonts w:cs="Arial" w:hint="cs"/>
          <w:sz w:val="16"/>
          <w:szCs w:val="16"/>
          <w:rtl/>
        </w:rPr>
        <w:t>תוה"א ב"ד ש"ד לג:</w:t>
      </w:r>
      <w:r>
        <w:rPr>
          <w:rFonts w:cs="Arial" w:hint="cs"/>
          <w:sz w:val="14"/>
          <w:szCs w:val="14"/>
          <w:rtl/>
        </w:rPr>
        <w:t>)</w:t>
      </w:r>
      <w:r>
        <w:rPr>
          <w:rFonts w:hint="cs"/>
          <w:rtl/>
        </w:rPr>
        <w:t>.</w:t>
      </w:r>
    </w:p>
  </w:footnote>
  <w:footnote w:id="2993">
    <w:p w14:paraId="442F31A5" w14:textId="77777777" w:rsidR="004C5A3C" w:rsidRDefault="004C5A3C" w:rsidP="002C39F4">
      <w:pPr>
        <w:pStyle w:val="a5"/>
        <w:rPr>
          <w:rtl/>
        </w:rPr>
      </w:pPr>
      <w:r>
        <w:rPr>
          <w:rStyle w:val="a7"/>
        </w:rPr>
        <w:footnoteRef/>
      </w:r>
      <w:r>
        <w:rPr>
          <w:rtl/>
        </w:rPr>
        <w:t xml:space="preserve"> </w:t>
      </w:r>
      <w:r>
        <w:rPr>
          <w:rFonts w:cs="Arial"/>
          <w:rtl/>
        </w:rPr>
        <w:t>דהא קיי</w:t>
      </w:r>
      <w:r>
        <w:rPr>
          <w:rFonts w:cs="Arial" w:hint="cs"/>
          <w:rtl/>
        </w:rPr>
        <w:t>"</w:t>
      </w:r>
      <w:r>
        <w:rPr>
          <w:rFonts w:cs="Arial"/>
          <w:rtl/>
        </w:rPr>
        <w:t>ל כשמואל דאמר תתאה גבר ומ</w:t>
      </w:r>
      <w:r>
        <w:rPr>
          <w:rFonts w:cs="Arial" w:hint="cs"/>
          <w:rtl/>
        </w:rPr>
        <w:t>"מ</w:t>
      </w:r>
      <w:r>
        <w:rPr>
          <w:rFonts w:cs="Arial"/>
          <w:rtl/>
        </w:rPr>
        <w:t xml:space="preserve"> מבשל כדי קליפה כדאיתא בפ</w:t>
      </w:r>
      <w:r>
        <w:rPr>
          <w:rFonts w:cs="Arial" w:hint="cs"/>
          <w:rtl/>
        </w:rPr>
        <w:t>כ"צ</w:t>
      </w:r>
      <w:r>
        <w:rPr>
          <w:rFonts w:cs="Arial"/>
          <w:rtl/>
        </w:rPr>
        <w:t xml:space="preserve"> (פסחים עו.) וכן משמע בשילהי ע"ז (עו:) גבי יורה דמר עוקבא דמסיק מה בולעו בניצוצות אף פולטו בניצוצות</w:t>
      </w:r>
      <w:r>
        <w:rPr>
          <w:rFonts w:cs="Arial" w:hint="cs"/>
          <w:rtl/>
        </w:rPr>
        <w:t>,</w:t>
      </w:r>
      <w:r>
        <w:rPr>
          <w:rFonts w:cs="Arial"/>
          <w:rtl/>
        </w:rPr>
        <w:t xml:space="preserve"> ואי עירוי ככלי ראשון מאי איריא משום דבלע בניצוצות אפילו בלע בליעה גמורה פלט בניצוצות שהוא עירוי</w:t>
      </w:r>
      <w:r>
        <w:rPr>
          <w:rFonts w:cs="Arial" w:hint="cs"/>
          <w:rtl/>
        </w:rPr>
        <w:t>,</w:t>
      </w:r>
      <w:r>
        <w:rPr>
          <w:rFonts w:cs="Arial"/>
          <w:rtl/>
        </w:rPr>
        <w:t xml:space="preserve"> אלא ודאי לא מבשל אלא כדי קליפ</w:t>
      </w:r>
      <w:r>
        <w:rPr>
          <w:rFonts w:cs="Arial" w:hint="cs"/>
          <w:rtl/>
        </w:rPr>
        <w:t>ה, תוס'.</w:t>
      </w:r>
    </w:p>
  </w:footnote>
  <w:footnote w:id="2994">
    <w:p w14:paraId="61906354" w14:textId="77777777" w:rsidR="004C5A3C" w:rsidRDefault="004C5A3C" w:rsidP="002C39F4">
      <w:pPr>
        <w:pStyle w:val="a5"/>
        <w:rPr>
          <w:rtl/>
        </w:rPr>
      </w:pPr>
      <w:r>
        <w:rPr>
          <w:rStyle w:val="a7"/>
        </w:rPr>
        <w:footnoteRef/>
      </w:r>
      <w:r>
        <w:rPr>
          <w:rtl/>
        </w:rPr>
        <w:t xml:space="preserve"> </w:t>
      </w:r>
      <w:r>
        <w:rPr>
          <w:rFonts w:cs="Arial"/>
          <w:rtl/>
        </w:rPr>
        <w:t>כלי שנשתמש בו איסור והוא כלי ראשו</w:t>
      </w:r>
      <w:r>
        <w:rPr>
          <w:rFonts w:cs="Arial" w:hint="cs"/>
          <w:rtl/>
        </w:rPr>
        <w:t>ן, ב"י.</w:t>
      </w:r>
    </w:p>
  </w:footnote>
  <w:footnote w:id="2995">
    <w:p w14:paraId="7B3F65ED" w14:textId="77777777" w:rsidR="004C5A3C" w:rsidRDefault="004C5A3C" w:rsidP="002C39F4">
      <w:pPr>
        <w:pStyle w:val="a5"/>
        <w:rPr>
          <w:rtl/>
        </w:rPr>
      </w:pPr>
      <w:r>
        <w:rPr>
          <w:rStyle w:val="a7"/>
        </w:rPr>
        <w:footnoteRef/>
      </w:r>
      <w:r>
        <w:rPr>
          <w:rtl/>
        </w:rPr>
        <w:t xml:space="preserve"> </w:t>
      </w:r>
      <w:r>
        <w:rPr>
          <w:rFonts w:hint="cs"/>
          <w:rtl/>
        </w:rPr>
        <w:t xml:space="preserve">וא' הראיות שהביא ר"ת היא </w:t>
      </w:r>
      <w:r>
        <w:rPr>
          <w:rFonts w:cs="Arial"/>
          <w:rtl/>
        </w:rPr>
        <w:t xml:space="preserve">מדאמרינן בפרק בתרא דע"ז </w:t>
      </w:r>
      <w:r w:rsidRPr="008C1EF2">
        <w:rPr>
          <w:rFonts w:cs="Arial"/>
          <w:sz w:val="16"/>
          <w:szCs w:val="16"/>
          <w:rtl/>
        </w:rPr>
        <w:t xml:space="preserve">(עד:) </w:t>
      </w:r>
      <w:r>
        <w:rPr>
          <w:rFonts w:cs="Arial"/>
          <w:rtl/>
        </w:rPr>
        <w:t xml:space="preserve">נעוה ארתחו </w:t>
      </w:r>
      <w:r>
        <w:rPr>
          <w:rFonts w:cs="Arial" w:hint="cs"/>
          <w:sz w:val="16"/>
          <w:szCs w:val="16"/>
          <w:rtl/>
        </w:rPr>
        <w:t>{פי'- הגעילו ברותחין את היקבים}</w:t>
      </w:r>
      <w:r>
        <w:rPr>
          <w:rFonts w:cs="Arial" w:hint="cs"/>
          <w:rtl/>
        </w:rPr>
        <w:t xml:space="preserve">, </w:t>
      </w:r>
      <w:r>
        <w:rPr>
          <w:rFonts w:cs="Arial"/>
          <w:rtl/>
        </w:rPr>
        <w:t>ומתוך כך מתיר ר</w:t>
      </w:r>
      <w:r>
        <w:rPr>
          <w:rFonts w:cs="Arial" w:hint="cs"/>
          <w:rtl/>
        </w:rPr>
        <w:t xml:space="preserve">"ת </w:t>
      </w:r>
      <w:r>
        <w:rPr>
          <w:rFonts w:cs="Arial"/>
          <w:rtl/>
        </w:rPr>
        <w:t>להכשיר כלי שנשתמש בו בכלי ראשון ע</w:t>
      </w:r>
      <w:r>
        <w:rPr>
          <w:rFonts w:cs="Arial" w:hint="cs"/>
          <w:rtl/>
        </w:rPr>
        <w:t>"</w:t>
      </w:r>
      <w:r>
        <w:rPr>
          <w:rFonts w:cs="Arial"/>
          <w:rtl/>
        </w:rPr>
        <w:t>י עירוי ששופך עליו רותחין מכלי ראשון</w:t>
      </w:r>
      <w:r>
        <w:rPr>
          <w:rFonts w:cs="Arial" w:hint="cs"/>
          <w:rtl/>
        </w:rPr>
        <w:t>,</w:t>
      </w:r>
      <w:r>
        <w:rPr>
          <w:rFonts w:cs="Arial"/>
          <w:rtl/>
        </w:rPr>
        <w:t xml:space="preserve"> </w:t>
      </w:r>
      <w:r>
        <w:rPr>
          <w:rFonts w:cs="Arial" w:hint="cs"/>
          <w:rtl/>
        </w:rPr>
        <w:t>וכ' הרא"ש- ו</w:t>
      </w:r>
      <w:r>
        <w:rPr>
          <w:rFonts w:cs="Arial"/>
          <w:rtl/>
        </w:rPr>
        <w:t>אינה ראיה דשאני יין נסך דתשמישו ע</w:t>
      </w:r>
      <w:r>
        <w:rPr>
          <w:rFonts w:cs="Arial" w:hint="cs"/>
          <w:rtl/>
        </w:rPr>
        <w:t>"</w:t>
      </w:r>
      <w:r>
        <w:rPr>
          <w:rFonts w:cs="Arial"/>
          <w:rtl/>
        </w:rPr>
        <w:t>י צונן אבל כלי שנשתמש בו איסור והוא בלוע מעבר לעבר א</w:t>
      </w:r>
      <w:r>
        <w:rPr>
          <w:rFonts w:cs="Arial" w:hint="cs"/>
          <w:rtl/>
        </w:rPr>
        <w:t>"א</w:t>
      </w:r>
      <w:r>
        <w:rPr>
          <w:rFonts w:cs="Arial"/>
          <w:rtl/>
        </w:rPr>
        <w:t xml:space="preserve"> שיפלוט כל האיסור ע</w:t>
      </w:r>
      <w:r>
        <w:rPr>
          <w:rFonts w:cs="Arial" w:hint="cs"/>
          <w:rtl/>
        </w:rPr>
        <w:t>"</w:t>
      </w:r>
      <w:r>
        <w:rPr>
          <w:rFonts w:cs="Arial"/>
          <w:rtl/>
        </w:rPr>
        <w:t>י עירוי ששופכין עליו שאין מבשל אלא כדי קליפה וגם אין לו כח להפליט אלא כדי קליפה ולא כל האיסור הבלוע בדופני הכלי מעבר לעבר</w:t>
      </w:r>
      <w:r>
        <w:rPr>
          <w:rFonts w:cs="Arial" w:hint="cs"/>
          <w:rtl/>
        </w:rPr>
        <w:t>, עכ"ל. וכ"כ התוס' והרשב"א.</w:t>
      </w:r>
      <w:r>
        <w:rPr>
          <w:rFonts w:hint="cs"/>
          <w:rtl/>
        </w:rPr>
        <w:t xml:space="preserve"> וכ' הרשב"א </w:t>
      </w:r>
      <w:r>
        <w:rPr>
          <w:rFonts w:cs="Arial" w:hint="cs"/>
          <w:rtl/>
        </w:rPr>
        <w:t>ד</w:t>
      </w:r>
      <w:r>
        <w:rPr>
          <w:rFonts w:cs="Arial"/>
          <w:rtl/>
        </w:rPr>
        <w:t>כן נראה הסכמת הגאונים</w:t>
      </w:r>
      <w:r>
        <w:rPr>
          <w:rFonts w:cs="Arial" w:hint="cs"/>
          <w:sz w:val="16"/>
          <w:szCs w:val="16"/>
          <w:rtl/>
        </w:rPr>
        <w:t xml:space="preserve"> {להצריך להגעיל בכלי ראשון}</w:t>
      </w:r>
      <w:r>
        <w:rPr>
          <w:rFonts w:cs="Arial" w:hint="cs"/>
          <w:rtl/>
        </w:rPr>
        <w:t>.</w:t>
      </w:r>
    </w:p>
  </w:footnote>
  <w:footnote w:id="2996">
    <w:p w14:paraId="4A364230" w14:textId="77777777" w:rsidR="004C5A3C" w:rsidRDefault="004C5A3C" w:rsidP="002C39F4">
      <w:pPr>
        <w:pStyle w:val="a5"/>
      </w:pPr>
      <w:r>
        <w:rPr>
          <w:rStyle w:val="a7"/>
        </w:rPr>
        <w:footnoteRef/>
      </w:r>
      <w:r>
        <w:rPr>
          <w:rtl/>
        </w:rPr>
        <w:t xml:space="preserve"> </w:t>
      </w:r>
      <w:r w:rsidRPr="00B93E62">
        <w:rPr>
          <w:rtl/>
        </w:rPr>
        <w:t>ולכן תיבות ושלחנות דחיישינן שמא נשפך עליהן רותחין לא די בעירוי אלא מלבנין אבנים ומניחים עליהן ושופכין עליהם הרותחין אפילו מכלי שני דהא נרתחין מן האבן והרי הוא ככלי ראשון</w:t>
      </w:r>
      <w:r w:rsidRPr="00B93E62">
        <w:rPr>
          <w:rFonts w:hint="cs"/>
          <w:rtl/>
        </w:rPr>
        <w:t>,</w:t>
      </w:r>
      <w:r w:rsidRPr="00B93E62">
        <w:rPr>
          <w:rtl/>
        </w:rPr>
        <w:t xml:space="preserve"> ויזהר לכתחלה להוליך האבן המלבן בכל מקום על השלחן</w:t>
      </w:r>
      <w:r w:rsidRPr="00B93E62">
        <w:rPr>
          <w:rFonts w:hint="cs"/>
          <w:rtl/>
        </w:rPr>
        <w:t>,</w:t>
      </w:r>
      <w:r w:rsidRPr="00B93E62">
        <w:rPr>
          <w:rtl/>
        </w:rPr>
        <w:t xml:space="preserve"> וישפוך מים רותחין עליו עד שלא ישאר מקום שלא עברו שם מים</w:t>
      </w:r>
      <w:r>
        <w:rPr>
          <w:rFonts w:hint="cs"/>
          <w:rtl/>
        </w:rPr>
        <w:t>, או"ה</w:t>
      </w:r>
      <w:r w:rsidRPr="00B93E62">
        <w:rPr>
          <w:rFonts w:hint="cs"/>
          <w:rtl/>
        </w:rPr>
        <w:t>.</w:t>
      </w:r>
    </w:p>
  </w:footnote>
  <w:footnote w:id="2997">
    <w:p w14:paraId="1E96067A" w14:textId="77777777" w:rsidR="004C5A3C" w:rsidRDefault="004C5A3C" w:rsidP="002C39F4">
      <w:pPr>
        <w:pStyle w:val="a5"/>
      </w:pPr>
      <w:r>
        <w:rPr>
          <w:rStyle w:val="a7"/>
        </w:rPr>
        <w:footnoteRef/>
      </w:r>
      <w:r>
        <w:rPr>
          <w:rtl/>
        </w:rPr>
        <w:t xml:space="preserve"> </w:t>
      </w:r>
      <w:r w:rsidRPr="0015235A">
        <w:rPr>
          <w:rFonts w:cs="Arial"/>
          <w:rtl/>
        </w:rPr>
        <w:t>וכ</w:t>
      </w:r>
      <w:r>
        <w:rPr>
          <w:rFonts w:cs="Arial" w:hint="cs"/>
          <w:rtl/>
        </w:rPr>
        <w:t>' הטור (באו"ח סי' תנא) דכ"</w:t>
      </w:r>
      <w:r w:rsidRPr="0015235A">
        <w:rPr>
          <w:rFonts w:cs="Arial"/>
          <w:rtl/>
        </w:rPr>
        <w:t xml:space="preserve">כ הערוך רי"ץ גיאת </w:t>
      </w:r>
      <w:r>
        <w:rPr>
          <w:rFonts w:cs="Arial" w:hint="cs"/>
          <w:rtl/>
        </w:rPr>
        <w:t xml:space="preserve">וראבי"ה </w:t>
      </w:r>
      <w:r w:rsidRPr="0015235A">
        <w:rPr>
          <w:rFonts w:cs="Arial"/>
          <w:rtl/>
        </w:rPr>
        <w:t>וכן המנהג ובלבד שיהו חלקים שאין בהן בקעים</w:t>
      </w:r>
      <w:r>
        <w:rPr>
          <w:rFonts w:cs="Arial" w:hint="cs"/>
          <w:rtl/>
        </w:rPr>
        <w:t>.</w:t>
      </w:r>
    </w:p>
  </w:footnote>
  <w:footnote w:id="2998">
    <w:p w14:paraId="7C834464" w14:textId="77777777" w:rsidR="004C5A3C" w:rsidRDefault="004C5A3C" w:rsidP="002C39F4">
      <w:pPr>
        <w:pStyle w:val="a5"/>
      </w:pPr>
      <w:r>
        <w:rPr>
          <w:rStyle w:val="a7"/>
        </w:rPr>
        <w:footnoteRef/>
      </w:r>
      <w:r>
        <w:rPr>
          <w:rtl/>
        </w:rPr>
        <w:t xml:space="preserve"> </w:t>
      </w:r>
      <w:r w:rsidRPr="0050058B">
        <w:rPr>
          <w:rFonts w:cs="Arial"/>
          <w:rtl/>
        </w:rPr>
        <w:t>וכתב בהגה</w:t>
      </w:r>
      <w:r>
        <w:rPr>
          <w:rFonts w:cs="Arial" w:hint="cs"/>
          <w:rtl/>
        </w:rPr>
        <w:t>"מ (פ"ה ד"ק</w:t>
      </w:r>
      <w:r w:rsidRPr="0050058B">
        <w:rPr>
          <w:rFonts w:cs="Arial"/>
          <w:rtl/>
        </w:rPr>
        <w:t xml:space="preserve"> הכ"א) בשם סמ"ג (לאוין עח כט ע"ד) ששמע בשם רבינו טוביה שרבינו תם היה מתיר בהגעלה על ידי קליפה בכלי ברזל ונכון להחמיר היכא דאפשר</w:t>
      </w:r>
      <w:r>
        <w:rPr>
          <w:rFonts w:cs="Arial" w:hint="cs"/>
          <w:rtl/>
        </w:rPr>
        <w:t>.</w:t>
      </w:r>
      <w:r w:rsidRPr="00783B2E">
        <w:rPr>
          <w:rFonts w:cs="Arial"/>
          <w:rtl/>
        </w:rPr>
        <w:t xml:space="preserve"> </w:t>
      </w:r>
      <w:r>
        <w:rPr>
          <w:rFonts w:cs="Arial" w:hint="cs"/>
          <w:rtl/>
        </w:rPr>
        <w:t xml:space="preserve">וכ"כ </w:t>
      </w:r>
      <w:r w:rsidRPr="0050058B">
        <w:rPr>
          <w:rFonts w:cs="Arial"/>
          <w:rtl/>
        </w:rPr>
        <w:t xml:space="preserve">מרדכי </w:t>
      </w:r>
      <w:r>
        <w:rPr>
          <w:rFonts w:cs="Arial" w:hint="cs"/>
          <w:rtl/>
        </w:rPr>
        <w:t>(</w:t>
      </w:r>
      <w:r w:rsidRPr="0050058B">
        <w:rPr>
          <w:rFonts w:cs="Arial"/>
          <w:rtl/>
        </w:rPr>
        <w:t>פרק בתרא דע</w:t>
      </w:r>
      <w:r>
        <w:rPr>
          <w:rFonts w:cs="Arial" w:hint="cs"/>
          <w:rtl/>
        </w:rPr>
        <w:t xml:space="preserve">"ז </w:t>
      </w:r>
      <w:r w:rsidRPr="0050058B">
        <w:rPr>
          <w:rFonts w:cs="Arial"/>
          <w:rtl/>
        </w:rPr>
        <w:t>סי' תתס)</w:t>
      </w:r>
      <w:r>
        <w:rPr>
          <w:rFonts w:hint="cs"/>
          <w:rtl/>
        </w:rPr>
        <w:t>.</w:t>
      </w:r>
    </w:p>
  </w:footnote>
  <w:footnote w:id="2999">
    <w:p w14:paraId="52E3BADF" w14:textId="77777777" w:rsidR="004C5A3C" w:rsidRDefault="004C5A3C" w:rsidP="002C39F4">
      <w:pPr>
        <w:pStyle w:val="a5"/>
      </w:pPr>
      <w:r>
        <w:rPr>
          <w:rStyle w:val="a7"/>
        </w:rPr>
        <w:footnoteRef/>
      </w:r>
      <w:r>
        <w:rPr>
          <w:rtl/>
        </w:rPr>
        <w:t xml:space="preserve"> </w:t>
      </w:r>
      <w:r w:rsidRPr="0050058B">
        <w:rPr>
          <w:rFonts w:cs="Arial"/>
          <w:rtl/>
        </w:rPr>
        <w:t>ו</w:t>
      </w:r>
      <w:r>
        <w:rPr>
          <w:rFonts w:cs="Arial" w:hint="cs"/>
          <w:rtl/>
        </w:rPr>
        <w:t>כתב עוד שם ד</w:t>
      </w:r>
      <w:r w:rsidRPr="0050058B">
        <w:rPr>
          <w:rFonts w:cs="Arial"/>
          <w:rtl/>
        </w:rPr>
        <w:t>אחד מהגדולים קרא תגר גם על זה ואמר דלא גרע הכשר זה מהגעלה אבל למיחשביה כליבון לא ועוד דהרבה פעמים נשברת המדוכה בדרך זה ואיכא למימר דילמא חייס עליה דפקע ולא מכשיר ליה כהלכתו והוא ז"ל חולק על זה</w:t>
      </w:r>
      <w:r>
        <w:rPr>
          <w:rFonts w:cs="Arial" w:hint="cs"/>
          <w:rtl/>
        </w:rPr>
        <w:t>.</w:t>
      </w:r>
    </w:p>
  </w:footnote>
  <w:footnote w:id="3000">
    <w:p w14:paraId="0584D14F" w14:textId="77777777" w:rsidR="004C5A3C" w:rsidRDefault="004C5A3C" w:rsidP="002C39F4">
      <w:pPr>
        <w:pStyle w:val="a5"/>
        <w:rPr>
          <w:rtl/>
        </w:rPr>
      </w:pPr>
      <w:r>
        <w:rPr>
          <w:rStyle w:val="a7"/>
        </w:rPr>
        <w:footnoteRef/>
      </w:r>
      <w:r>
        <w:rPr>
          <w:rtl/>
        </w:rPr>
        <w:t xml:space="preserve"> </w:t>
      </w:r>
      <w:r>
        <w:rPr>
          <w:rFonts w:cs="Arial" w:hint="cs"/>
          <w:rtl/>
        </w:rPr>
        <w:t>ו</w:t>
      </w:r>
      <w:r w:rsidRPr="00175B6B">
        <w:rPr>
          <w:rFonts w:cs="Arial"/>
          <w:rtl/>
        </w:rPr>
        <w:t>כתב אבי העזרי (</w:t>
      </w:r>
      <w:r>
        <w:rPr>
          <w:rFonts w:cs="Arial" w:hint="cs"/>
          <w:rtl/>
        </w:rPr>
        <w:t>הראבי"ה, בנו של רבנו יואל [שם]</w:t>
      </w:r>
      <w:r w:rsidRPr="00175B6B">
        <w:rPr>
          <w:rFonts w:cs="Arial"/>
          <w:rtl/>
        </w:rPr>
        <w:t>)</w:t>
      </w:r>
      <w:r>
        <w:rPr>
          <w:rFonts w:cs="Arial" w:hint="cs"/>
          <w:rtl/>
        </w:rPr>
        <w:t>-</w:t>
      </w:r>
      <w:r w:rsidRPr="00175B6B">
        <w:rPr>
          <w:rFonts w:cs="Arial"/>
          <w:rtl/>
        </w:rPr>
        <w:t xml:space="preserve"> הוגד לי בשם אבא מארי אחר פטירתו שהיה מצריך ליבון דמדמי לה לתנור שאופין בו דבעי היסק</w:t>
      </w:r>
      <w:r>
        <w:rPr>
          <w:rFonts w:cs="Arial" w:hint="cs"/>
          <w:rtl/>
        </w:rPr>
        <w:t>,</w:t>
      </w:r>
      <w:r w:rsidRPr="00175B6B">
        <w:rPr>
          <w:rFonts w:cs="Arial"/>
          <w:rtl/>
        </w:rPr>
        <w:t xml:space="preserve"> ולא זכיתי לדון לפניו דנראה לי דסגי בהגעלה</w:t>
      </w:r>
      <w:r>
        <w:rPr>
          <w:rFonts w:cs="Arial" w:hint="cs"/>
          <w:rtl/>
        </w:rPr>
        <w:t>,</w:t>
      </w:r>
      <w:r w:rsidRPr="00175B6B">
        <w:rPr>
          <w:rFonts w:cs="Arial"/>
          <w:rtl/>
        </w:rPr>
        <w:t xml:space="preserve"> והכי נהוג עלמא חדא דחזינא דלענין חלה יהיב תלמודא (לז.) חד דינא לטיגון ולבישול</w:t>
      </w:r>
      <w:r>
        <w:rPr>
          <w:rFonts w:cs="Arial" w:hint="cs"/>
          <w:rtl/>
        </w:rPr>
        <w:t>,</w:t>
      </w:r>
      <w:r w:rsidRPr="00175B6B">
        <w:rPr>
          <w:rFonts w:cs="Arial"/>
          <w:rtl/>
        </w:rPr>
        <w:t xml:space="preserve"> ותו דלא חילקו חכמים בין יורה ליורה אע</w:t>
      </w:r>
      <w:r>
        <w:rPr>
          <w:rFonts w:cs="Arial" w:hint="cs"/>
          <w:rtl/>
        </w:rPr>
        <w:t>"</w:t>
      </w:r>
      <w:r w:rsidRPr="00175B6B">
        <w:rPr>
          <w:rFonts w:cs="Arial"/>
          <w:rtl/>
        </w:rPr>
        <w:t>פ שיש יורה שמטגנין בה חלב</w:t>
      </w:r>
      <w:r>
        <w:rPr>
          <w:rFonts w:cs="Arial" w:hint="cs"/>
          <w:rtl/>
        </w:rPr>
        <w:t>,</w:t>
      </w:r>
      <w:r w:rsidRPr="00175B6B">
        <w:rPr>
          <w:rFonts w:cs="Arial"/>
          <w:rtl/>
        </w:rPr>
        <w:t xml:space="preserve"> ותו דתניא בתוספתא (ע"ז פ"ט ה"ב) היורות ומחמי חמין וטיגון וקומקומוס מדיחן ברותחין עד כאן דבריו. ויש אומרים דפעמים שמטגנין בה ונתייבש השמן ונאפה מה שבתוכה בלא שמן והוה ליה כמאפה תנור ונבלע בתוכה ע</w:t>
      </w:r>
      <w:r>
        <w:rPr>
          <w:rFonts w:cs="Arial" w:hint="cs"/>
          <w:rtl/>
        </w:rPr>
        <w:t>"</w:t>
      </w:r>
      <w:r w:rsidRPr="00175B6B">
        <w:rPr>
          <w:rFonts w:cs="Arial"/>
          <w:rtl/>
        </w:rPr>
        <w:t>י האור בלא משקה ולכך צריכה ליבון כמו שפודין ואסכלאות. ולא נהירא לי דאם באנו לחוש לזה א</w:t>
      </w:r>
      <w:r>
        <w:rPr>
          <w:rFonts w:cs="Arial" w:hint="cs"/>
          <w:rtl/>
        </w:rPr>
        <w:t>"</w:t>
      </w:r>
      <w:r w:rsidRPr="00175B6B">
        <w:rPr>
          <w:rFonts w:cs="Arial"/>
          <w:rtl/>
        </w:rPr>
        <w:t>כ כל קדרות של מתכת פעמים מחסרין המרק ומקדיח והתבשיל נשרף ונדבק לדופני הקדרה וצריך ליבון ולא מצינו מי שחשש לזה אלא היינו טעמא אע</w:t>
      </w:r>
      <w:r>
        <w:rPr>
          <w:rFonts w:cs="Arial" w:hint="cs"/>
          <w:rtl/>
        </w:rPr>
        <w:t>"</w:t>
      </w:r>
      <w:r w:rsidRPr="00175B6B">
        <w:rPr>
          <w:rFonts w:cs="Arial"/>
          <w:rtl/>
        </w:rPr>
        <w:t>פ שנשרף ונדבק לדופן הקדרה לחלוחית משקה יש בתבשיל אלא שהוא יבש אצל דופני הקדרה ולא מיקרי תשמישו ע</w:t>
      </w:r>
      <w:r>
        <w:rPr>
          <w:rFonts w:cs="Arial" w:hint="cs"/>
          <w:rtl/>
        </w:rPr>
        <w:t>"</w:t>
      </w:r>
      <w:r w:rsidRPr="00175B6B">
        <w:rPr>
          <w:rFonts w:cs="Arial"/>
          <w:rtl/>
        </w:rPr>
        <w:t>י האור להצריכו ליבון</w:t>
      </w:r>
      <w:r>
        <w:rPr>
          <w:rFonts w:cs="Arial" w:hint="cs"/>
          <w:rtl/>
        </w:rPr>
        <w:t>,</w:t>
      </w:r>
      <w:r w:rsidRPr="00175B6B">
        <w:rPr>
          <w:rFonts w:cs="Arial"/>
          <w:rtl/>
        </w:rPr>
        <w:t xml:space="preserve"> עכ"ל הרא"ש.</w:t>
      </w:r>
    </w:p>
  </w:footnote>
  <w:footnote w:id="3001">
    <w:p w14:paraId="535E8470" w14:textId="77777777" w:rsidR="004C5A3C" w:rsidRDefault="004C5A3C" w:rsidP="002C39F4">
      <w:pPr>
        <w:pStyle w:val="a5"/>
        <w:rPr>
          <w:rtl/>
        </w:rPr>
      </w:pPr>
      <w:r>
        <w:rPr>
          <w:rStyle w:val="a7"/>
        </w:rPr>
        <w:footnoteRef/>
      </w:r>
      <w:r>
        <w:rPr>
          <w:rtl/>
        </w:rPr>
        <w:t xml:space="preserve"> </w:t>
      </w:r>
      <w:r w:rsidRPr="00D31995">
        <w:rPr>
          <w:rtl/>
        </w:rPr>
        <w:t>ומ</w:t>
      </w:r>
      <w:r w:rsidRPr="00D31995">
        <w:rPr>
          <w:rFonts w:hint="cs"/>
          <w:rtl/>
        </w:rPr>
        <w:t>"מ</w:t>
      </w:r>
      <w:r w:rsidRPr="00D31995">
        <w:rPr>
          <w:rtl/>
        </w:rPr>
        <w:t xml:space="preserve"> אפילו לפי דבריו נראה לי דבליבון כל דהו דהיינו שנשרף עליו קש מבחוץ סגי ליה דלא גרע מהגעלה כמו שכתבתי לעיל (ד</w:t>
      </w:r>
      <w:r>
        <w:rPr>
          <w:rFonts w:hint="cs"/>
          <w:rtl/>
        </w:rPr>
        <w:t>רכ</w:t>
      </w:r>
      <w:r w:rsidRPr="00D31995">
        <w:rPr>
          <w:rtl/>
        </w:rPr>
        <w:t>מ"א אות ב ד"ה והלבון)</w:t>
      </w:r>
      <w:r>
        <w:rPr>
          <w:rFonts w:hint="cs"/>
          <w:rtl/>
        </w:rPr>
        <w:t>, דרכ"מ (שם).</w:t>
      </w:r>
    </w:p>
  </w:footnote>
  <w:footnote w:id="3002">
    <w:p w14:paraId="6C0B9420" w14:textId="77777777" w:rsidR="004C5A3C" w:rsidRDefault="004C5A3C" w:rsidP="002C39F4">
      <w:pPr>
        <w:pStyle w:val="a5"/>
      </w:pPr>
      <w:r>
        <w:rPr>
          <w:rStyle w:val="a7"/>
        </w:rPr>
        <w:footnoteRef/>
      </w:r>
      <w:r>
        <w:rPr>
          <w:rtl/>
        </w:rPr>
        <w:t xml:space="preserve"> </w:t>
      </w:r>
      <w:r>
        <w:rPr>
          <w:rFonts w:hint="cs"/>
          <w:rtl/>
        </w:rPr>
        <w:t xml:space="preserve">וז"ל הב"י שם- </w:t>
      </w:r>
      <w:r w:rsidRPr="00D31995">
        <w:rPr>
          <w:rFonts w:cs="Arial"/>
          <w:rtl/>
        </w:rPr>
        <w:t>ואע</w:t>
      </w:r>
      <w:r>
        <w:rPr>
          <w:rFonts w:cs="Arial" w:hint="cs"/>
          <w:rtl/>
        </w:rPr>
        <w:t>"</w:t>
      </w:r>
      <w:r w:rsidRPr="00D31995">
        <w:rPr>
          <w:rFonts w:cs="Arial"/>
          <w:rtl/>
        </w:rPr>
        <w:t>פ שהרשב"א כתב בתו</w:t>
      </w:r>
      <w:r>
        <w:rPr>
          <w:rFonts w:cs="Arial" w:hint="cs"/>
          <w:rtl/>
        </w:rPr>
        <w:t>ה"ב</w:t>
      </w:r>
      <w:r w:rsidRPr="00D31995">
        <w:rPr>
          <w:rFonts w:cs="Arial"/>
          <w:rtl/>
        </w:rPr>
        <w:t xml:space="preserve"> (ב"ד ש"ד לה.) דמחבת צריכה ליבון נהגו העולם להכשירה בהגעלה כדברי אבי העזרי והרא"ש דמסתבר טעמייהו</w:t>
      </w:r>
      <w:r>
        <w:rPr>
          <w:rFonts w:cs="Arial" w:hint="cs"/>
          <w:rtl/>
        </w:rPr>
        <w:t>.</w:t>
      </w:r>
    </w:p>
  </w:footnote>
  <w:footnote w:id="3003">
    <w:p w14:paraId="133E8EDB" w14:textId="77777777" w:rsidR="004C5A3C" w:rsidRDefault="004C5A3C" w:rsidP="002C39F4">
      <w:pPr>
        <w:pStyle w:val="a5"/>
      </w:pPr>
      <w:r>
        <w:rPr>
          <w:rStyle w:val="a7"/>
        </w:rPr>
        <w:footnoteRef/>
      </w:r>
      <w:r>
        <w:rPr>
          <w:rtl/>
        </w:rPr>
        <w:t xml:space="preserve"> </w:t>
      </w:r>
      <w:r w:rsidRPr="004D2CE5">
        <w:rPr>
          <w:rFonts w:cs="Arial"/>
          <w:rtl/>
        </w:rPr>
        <w:t>כיון דהתירא בלע</w:t>
      </w:r>
      <w:r>
        <w:rPr>
          <w:rFonts w:cs="Arial" w:hint="cs"/>
          <w:rtl/>
        </w:rPr>
        <w:t>, ט"ז (סק"ג) וש"ך (סק"ח),</w:t>
      </w:r>
      <w:r w:rsidRPr="004D2CE5">
        <w:rPr>
          <w:rFonts w:cs="Arial"/>
          <w:rtl/>
        </w:rPr>
        <w:t xml:space="preserve"> </w:t>
      </w:r>
      <w:r>
        <w:rPr>
          <w:rFonts w:cs="Arial" w:hint="cs"/>
          <w:rtl/>
        </w:rPr>
        <w:t>וכ' הש"ך ד</w:t>
      </w:r>
      <w:r w:rsidRPr="004D2CE5">
        <w:rPr>
          <w:rFonts w:cs="Arial"/>
          <w:rtl/>
        </w:rPr>
        <w:t>כן משמע הטעם בב"י</w:t>
      </w:r>
      <w:r>
        <w:rPr>
          <w:rFonts w:cs="Arial" w:hint="cs"/>
          <w:rtl/>
        </w:rPr>
        <w:t>,</w:t>
      </w:r>
      <w:r w:rsidRPr="004D2CE5">
        <w:rPr>
          <w:rFonts w:cs="Arial"/>
          <w:rtl/>
        </w:rPr>
        <w:t xml:space="preserve"> וכן נראה מלשון המחבר כאן</w:t>
      </w:r>
      <w:r>
        <w:rPr>
          <w:rFonts w:cs="Arial" w:hint="cs"/>
          <w:rtl/>
        </w:rPr>
        <w:t>,</w:t>
      </w:r>
      <w:r w:rsidRPr="004D2CE5">
        <w:rPr>
          <w:rFonts w:cs="Arial"/>
          <w:rtl/>
        </w:rPr>
        <w:t xml:space="preserve"> וכ"כ העט"ז</w:t>
      </w:r>
      <w:r>
        <w:rPr>
          <w:rFonts w:cs="Arial" w:hint="cs"/>
          <w:rtl/>
        </w:rPr>
        <w:t>,</w:t>
      </w:r>
      <w:r w:rsidRPr="004D2CE5">
        <w:rPr>
          <w:rFonts w:cs="Arial"/>
          <w:rtl/>
        </w:rPr>
        <w:t xml:space="preserve"> ולפ"ז גם במחבת של חלב או בשר סגי בהגעלה כיון דהיתרא בלע</w:t>
      </w:r>
      <w:r>
        <w:rPr>
          <w:rFonts w:cs="Arial" w:hint="cs"/>
          <w:rtl/>
        </w:rPr>
        <w:t>,</w:t>
      </w:r>
      <w:r w:rsidRPr="004D2CE5">
        <w:rPr>
          <w:rFonts w:cs="Arial"/>
          <w:rtl/>
        </w:rPr>
        <w:t xml:space="preserve"> אבל בתשובת </w:t>
      </w:r>
      <w:r>
        <w:rPr>
          <w:rFonts w:cs="Arial" w:hint="cs"/>
          <w:rtl/>
        </w:rPr>
        <w:t>רמ"ע</w:t>
      </w:r>
      <w:r w:rsidRPr="004D2CE5">
        <w:rPr>
          <w:rFonts w:cs="Arial"/>
          <w:rtl/>
        </w:rPr>
        <w:t xml:space="preserve"> </w:t>
      </w:r>
      <w:r>
        <w:rPr>
          <w:rFonts w:cs="Arial" w:hint="cs"/>
          <w:rtl/>
        </w:rPr>
        <w:t>(</w:t>
      </w:r>
      <w:r w:rsidRPr="004D2CE5">
        <w:rPr>
          <w:rFonts w:cs="Arial"/>
          <w:rtl/>
        </w:rPr>
        <w:t>סי' צו</w:t>
      </w:r>
      <w:r>
        <w:rPr>
          <w:rFonts w:cs="Arial" w:hint="cs"/>
          <w:rtl/>
        </w:rPr>
        <w:t>)</w:t>
      </w:r>
      <w:r w:rsidRPr="004D2CE5">
        <w:rPr>
          <w:rFonts w:cs="Arial"/>
          <w:rtl/>
        </w:rPr>
        <w:t xml:space="preserve"> כ' הטעם מפני שמחבת של </w:t>
      </w:r>
      <w:r>
        <w:rPr>
          <w:rFonts w:cs="Arial" w:hint="cs"/>
          <w:rtl/>
        </w:rPr>
        <w:t xml:space="preserve">גוי </w:t>
      </w:r>
      <w:r w:rsidRPr="004D2CE5">
        <w:rPr>
          <w:rFonts w:cs="Arial"/>
          <w:rtl/>
        </w:rPr>
        <w:t>רוב תשמישן בלי מים אלא ע"י שאר משקין כגון שמן וכדומה לו כו' משא"כ במחבת של חמץ כו' עכ"ל ולפ"ז גם במחבת של חלב או בשר צריך ליבון כיון דבלע בלי שום אמצעי</w:t>
      </w:r>
      <w:r>
        <w:rPr>
          <w:rFonts w:cs="Arial" w:hint="cs"/>
          <w:rtl/>
        </w:rPr>
        <w:t xml:space="preserve">. </w:t>
      </w:r>
      <w:r w:rsidRPr="00316121">
        <w:rPr>
          <w:rFonts w:cs="Arial" w:hint="cs"/>
          <w:color w:val="FF0000"/>
          <w:rtl/>
        </w:rPr>
        <w:t>{לא הבנתי את החילוק צ"ע שוב בדברי הרמ"ע}</w:t>
      </w:r>
    </w:p>
  </w:footnote>
  <w:footnote w:id="3004">
    <w:p w14:paraId="61FB2B84" w14:textId="77777777" w:rsidR="004C5A3C" w:rsidRDefault="004C5A3C" w:rsidP="002C39F4">
      <w:pPr>
        <w:pStyle w:val="a5"/>
      </w:pPr>
      <w:r>
        <w:rPr>
          <w:rStyle w:val="a7"/>
        </w:rPr>
        <w:footnoteRef/>
      </w:r>
      <w:r>
        <w:rPr>
          <w:rtl/>
        </w:rPr>
        <w:t xml:space="preserve"> </w:t>
      </w:r>
      <w:r>
        <w:rPr>
          <w:rFonts w:cs="Arial"/>
          <w:rtl/>
        </w:rPr>
        <w:t>למה הדבר דומה לכלי חרס שאינו יוצא מידי דופנו א</w:t>
      </w:r>
      <w:r>
        <w:rPr>
          <w:rFonts w:cs="Arial" w:hint="cs"/>
          <w:rtl/>
        </w:rPr>
        <w:t>ע"פ</w:t>
      </w:r>
      <w:r>
        <w:rPr>
          <w:rFonts w:cs="Arial"/>
          <w:rtl/>
        </w:rPr>
        <w:t xml:space="preserve"> שהגעילו אסור לבשל בו</w:t>
      </w:r>
      <w:r>
        <w:rPr>
          <w:rFonts w:cs="Arial" w:hint="cs"/>
          <w:rtl/>
        </w:rPr>
        <w:t>, רשב"א.</w:t>
      </w:r>
    </w:p>
  </w:footnote>
  <w:footnote w:id="3005">
    <w:p w14:paraId="7BC15D7D" w14:textId="77777777" w:rsidR="004C5A3C" w:rsidRDefault="004C5A3C" w:rsidP="002C39F4">
      <w:pPr>
        <w:pStyle w:val="a5"/>
        <w:rPr>
          <w:rtl/>
        </w:rPr>
      </w:pPr>
      <w:r>
        <w:rPr>
          <w:rStyle w:val="a7"/>
        </w:rPr>
        <w:footnoteRef/>
      </w:r>
      <w:r>
        <w:rPr>
          <w:rtl/>
        </w:rPr>
        <w:t xml:space="preserve"> </w:t>
      </w:r>
      <w:r>
        <w:rPr>
          <w:rFonts w:cs="Arial"/>
          <w:rtl/>
        </w:rPr>
        <w:t>ו</w:t>
      </w:r>
      <w:r>
        <w:rPr>
          <w:rFonts w:cs="Arial" w:hint="cs"/>
          <w:rtl/>
        </w:rPr>
        <w:t>סיים הטור-</w:t>
      </w:r>
      <w:r>
        <w:rPr>
          <w:rFonts w:cs="Arial"/>
          <w:rtl/>
        </w:rPr>
        <w:t xml:space="preserve"> ויכול ללבן חצי הכלי ואח</w:t>
      </w:r>
      <w:r>
        <w:rPr>
          <w:rFonts w:cs="Arial" w:hint="cs"/>
          <w:rtl/>
        </w:rPr>
        <w:t>"</w:t>
      </w:r>
      <w:r>
        <w:rPr>
          <w:rFonts w:cs="Arial"/>
          <w:rtl/>
        </w:rPr>
        <w:t>כ חצי השני</w:t>
      </w:r>
      <w:r>
        <w:rPr>
          <w:rFonts w:cs="Arial" w:hint="cs"/>
          <w:rtl/>
        </w:rPr>
        <w:t>, עכ"ל</w:t>
      </w:r>
      <w:r>
        <w:rPr>
          <w:rFonts w:cs="Arial"/>
          <w:rtl/>
        </w:rPr>
        <w:t xml:space="preserve">. </w:t>
      </w:r>
      <w:r>
        <w:rPr>
          <w:rFonts w:cs="Arial" w:hint="cs"/>
          <w:rtl/>
        </w:rPr>
        <w:t>וכ"</w:t>
      </w:r>
      <w:r>
        <w:rPr>
          <w:rFonts w:cs="Arial"/>
          <w:rtl/>
        </w:rPr>
        <w:t xml:space="preserve">כ הרשב"א </w:t>
      </w:r>
      <w:r>
        <w:rPr>
          <w:rFonts w:cs="Arial" w:hint="cs"/>
          <w:rtl/>
        </w:rPr>
        <w:t>(</w:t>
      </w:r>
      <w:r>
        <w:rPr>
          <w:rFonts w:cs="Arial"/>
          <w:rtl/>
        </w:rPr>
        <w:t>תו</w:t>
      </w:r>
      <w:r>
        <w:rPr>
          <w:rFonts w:cs="Arial" w:hint="cs"/>
          <w:rtl/>
        </w:rPr>
        <w:t>ה"ק</w:t>
      </w:r>
      <w:r>
        <w:rPr>
          <w:rFonts w:cs="Arial"/>
          <w:rtl/>
        </w:rPr>
        <w:t xml:space="preserve"> ב"ד ש"ד לה.)</w:t>
      </w:r>
      <w:r>
        <w:rPr>
          <w:rFonts w:hint="cs"/>
          <w:rtl/>
        </w:rPr>
        <w:t>.</w:t>
      </w:r>
    </w:p>
  </w:footnote>
  <w:footnote w:id="3006">
    <w:p w14:paraId="442C6BE3" w14:textId="77777777" w:rsidR="004C5A3C" w:rsidRDefault="004C5A3C" w:rsidP="002C39F4">
      <w:pPr>
        <w:pStyle w:val="a5"/>
        <w:rPr>
          <w:rtl/>
        </w:rPr>
      </w:pPr>
      <w:r>
        <w:rPr>
          <w:rStyle w:val="a7"/>
        </w:rPr>
        <w:footnoteRef/>
      </w:r>
      <w:r>
        <w:rPr>
          <w:rFonts w:hint="cs"/>
          <w:rtl/>
        </w:rPr>
        <w:t xml:space="preserve"> </w:t>
      </w:r>
      <w:r>
        <w:rPr>
          <w:rFonts w:cs="Arial"/>
          <w:rtl/>
        </w:rPr>
        <w:t>ו</w:t>
      </w:r>
      <w:r>
        <w:rPr>
          <w:rFonts w:cs="Arial" w:hint="cs"/>
          <w:rtl/>
        </w:rPr>
        <w:t>כ' ר"ן- ו</w:t>
      </w:r>
      <w:r>
        <w:rPr>
          <w:rFonts w:cs="Arial"/>
          <w:rtl/>
        </w:rPr>
        <w:t>אין הדבר נראה שכיון שיש לו בלע של איסור</w:t>
      </w:r>
      <w:r>
        <w:rPr>
          <w:rFonts w:cs="Arial" w:hint="cs"/>
          <w:rtl/>
        </w:rPr>
        <w:t>,</w:t>
      </w:r>
      <w:r>
        <w:rPr>
          <w:rFonts w:cs="Arial"/>
          <w:rtl/>
        </w:rPr>
        <w:t xml:space="preserve"> עד שאתה אוסרו להשתמש בו ע</w:t>
      </w:r>
      <w:r>
        <w:rPr>
          <w:rFonts w:cs="Arial" w:hint="cs"/>
          <w:rtl/>
        </w:rPr>
        <w:t>"</w:t>
      </w:r>
      <w:r>
        <w:rPr>
          <w:rFonts w:cs="Arial"/>
          <w:rtl/>
        </w:rPr>
        <w:t>י האור</w:t>
      </w:r>
      <w:r>
        <w:rPr>
          <w:rFonts w:cs="Arial" w:hint="cs"/>
          <w:rtl/>
        </w:rPr>
        <w:t>,</w:t>
      </w:r>
      <w:r>
        <w:rPr>
          <w:rFonts w:cs="Arial"/>
          <w:rtl/>
        </w:rPr>
        <w:t xml:space="preserve"> שמא יפלוט יותר בחמין שניים</w:t>
      </w:r>
      <w:r>
        <w:rPr>
          <w:rFonts w:hint="cs"/>
          <w:rtl/>
        </w:rPr>
        <w:t>.</w:t>
      </w:r>
      <w:r>
        <w:rPr>
          <w:rtl/>
        </w:rPr>
        <w:t xml:space="preserve"> </w:t>
      </w:r>
    </w:p>
  </w:footnote>
  <w:footnote w:id="3007">
    <w:p w14:paraId="7733B775" w14:textId="77777777" w:rsidR="004C5A3C" w:rsidRDefault="004C5A3C" w:rsidP="002C39F4">
      <w:pPr>
        <w:pStyle w:val="a5"/>
        <w:rPr>
          <w:rtl/>
        </w:rPr>
      </w:pPr>
      <w:r>
        <w:rPr>
          <w:rStyle w:val="a7"/>
        </w:rPr>
        <w:footnoteRef/>
      </w:r>
      <w:r>
        <w:rPr>
          <w:rtl/>
        </w:rPr>
        <w:t xml:space="preserve"> </w:t>
      </w:r>
      <w:r w:rsidRPr="004E1B85">
        <w:rPr>
          <w:rFonts w:cs="Arial"/>
          <w:rtl/>
        </w:rPr>
        <w:t>היינו בכל הכלים מלבד סכין שצריך נעיצה כדלקמן סעיף ז'</w:t>
      </w:r>
      <w:r>
        <w:rPr>
          <w:rFonts w:hint="cs"/>
          <w:rtl/>
        </w:rPr>
        <w:t>, ש"ך (סק"ט).</w:t>
      </w:r>
    </w:p>
  </w:footnote>
  <w:footnote w:id="3008">
    <w:p w14:paraId="1611F519" w14:textId="77777777" w:rsidR="004C5A3C" w:rsidRDefault="004C5A3C" w:rsidP="002C39F4">
      <w:pPr>
        <w:pStyle w:val="a5"/>
      </w:pPr>
      <w:r>
        <w:rPr>
          <w:rStyle w:val="a7"/>
        </w:rPr>
        <w:footnoteRef/>
      </w:r>
      <w:r>
        <w:rPr>
          <w:rtl/>
        </w:rPr>
        <w:t xml:space="preserve"> </w:t>
      </w:r>
      <w:r w:rsidRPr="00642F37">
        <w:rPr>
          <w:rFonts w:cs="Arial"/>
          <w:rtl/>
        </w:rPr>
        <w:t>כלו</w:t>
      </w:r>
      <w:r>
        <w:rPr>
          <w:rFonts w:cs="Arial" w:hint="cs"/>
          <w:rtl/>
        </w:rPr>
        <w:t>מר</w:t>
      </w:r>
      <w:r w:rsidRPr="00642F37">
        <w:rPr>
          <w:rFonts w:cs="Arial"/>
          <w:rtl/>
        </w:rPr>
        <w:t xml:space="preserve"> שקנאו שאין לו כלי אחר מותר להשתמש בו</w:t>
      </w:r>
      <w:r>
        <w:rPr>
          <w:rFonts w:cs="Arial" w:hint="cs"/>
          <w:rtl/>
        </w:rPr>
        <w:t>,</w:t>
      </w:r>
      <w:r w:rsidRPr="00642F37">
        <w:rPr>
          <w:rFonts w:cs="Arial"/>
          <w:rtl/>
        </w:rPr>
        <w:t xml:space="preserve"> אבל אם נשתמש בו דיע</w:t>
      </w:r>
      <w:r>
        <w:rPr>
          <w:rFonts w:cs="Arial" w:hint="cs"/>
          <w:rtl/>
        </w:rPr>
        <w:t>בד</w:t>
      </w:r>
      <w:r w:rsidRPr="00642F37">
        <w:rPr>
          <w:rFonts w:cs="Arial"/>
          <w:rtl/>
        </w:rPr>
        <w:t xml:space="preserve"> שלא יאסר המאכל הא לא צריכא למימר</w:t>
      </w:r>
      <w:r>
        <w:rPr>
          <w:rFonts w:cs="Arial" w:hint="cs"/>
          <w:rtl/>
        </w:rPr>
        <w:t>, ש"ך</w:t>
      </w:r>
      <w:r w:rsidRPr="00DF49E4">
        <w:rPr>
          <w:rFonts w:cs="Arial" w:hint="cs"/>
          <w:sz w:val="16"/>
          <w:szCs w:val="16"/>
          <w:rtl/>
        </w:rPr>
        <w:t xml:space="preserve"> (סקי"א)</w:t>
      </w:r>
      <w:r>
        <w:rPr>
          <w:rFonts w:cs="Arial" w:hint="cs"/>
          <w:rtl/>
        </w:rPr>
        <w:t>.</w:t>
      </w:r>
    </w:p>
  </w:footnote>
  <w:footnote w:id="3009">
    <w:p w14:paraId="49F481A5" w14:textId="77777777" w:rsidR="004C5A3C" w:rsidRDefault="004C5A3C" w:rsidP="002C39F4">
      <w:pPr>
        <w:pStyle w:val="a5"/>
        <w:rPr>
          <w:rtl/>
        </w:rPr>
      </w:pPr>
      <w:r>
        <w:rPr>
          <w:rStyle w:val="a7"/>
        </w:rPr>
        <w:footnoteRef/>
      </w:r>
      <w:r>
        <w:rPr>
          <w:rtl/>
        </w:rPr>
        <w:t xml:space="preserve"> </w:t>
      </w:r>
      <w:r w:rsidRPr="00DF49E4">
        <w:rPr>
          <w:rFonts w:cs="Arial"/>
          <w:rtl/>
        </w:rPr>
        <w:t>היינו להשתמש בו בקבע אבל דרך עראי אפילו כלים שמשתמשין בהן בודאי חמין מותר להשתמש בהן ע"י הדחה ושפשוף וכמו שנתבאר ועיין בא"ח סימן תנ"א ס"ו</w:t>
      </w:r>
      <w:r>
        <w:rPr>
          <w:rFonts w:hint="cs"/>
          <w:rtl/>
        </w:rPr>
        <w:t>, ש"ך (סקי"ב).</w:t>
      </w:r>
    </w:p>
  </w:footnote>
  <w:footnote w:id="3010">
    <w:p w14:paraId="441E6E4F" w14:textId="77777777" w:rsidR="004C5A3C" w:rsidRDefault="004C5A3C" w:rsidP="002C39F4">
      <w:pPr>
        <w:pStyle w:val="a5"/>
        <w:rPr>
          <w:rtl/>
        </w:rPr>
      </w:pPr>
      <w:r>
        <w:rPr>
          <w:rStyle w:val="a7"/>
        </w:rPr>
        <w:footnoteRef/>
      </w:r>
      <w:r>
        <w:rPr>
          <w:rtl/>
        </w:rPr>
        <w:t xml:space="preserve"> </w:t>
      </w:r>
      <w:r w:rsidRPr="00DF49E4">
        <w:rPr>
          <w:rFonts w:cs="Arial"/>
          <w:rtl/>
        </w:rPr>
        <w:t>או שעמד בו יין וכה"ג מע"ל דה"ל כבוש</w:t>
      </w:r>
      <w:r>
        <w:rPr>
          <w:rFonts w:hint="cs"/>
          <w:rtl/>
        </w:rPr>
        <w:t>, ש"ך (סקי"ג).</w:t>
      </w:r>
    </w:p>
  </w:footnote>
  <w:footnote w:id="3011">
    <w:p w14:paraId="5E7A9E98" w14:textId="77777777" w:rsidR="004C5A3C" w:rsidRDefault="004C5A3C" w:rsidP="002C39F4">
      <w:pPr>
        <w:pStyle w:val="a5"/>
        <w:rPr>
          <w:rtl/>
        </w:rPr>
      </w:pPr>
      <w:r>
        <w:rPr>
          <w:rStyle w:val="a7"/>
        </w:rPr>
        <w:footnoteRef/>
      </w:r>
      <w:r>
        <w:rPr>
          <w:rtl/>
        </w:rPr>
        <w:t xml:space="preserve"> </w:t>
      </w:r>
      <w:r w:rsidRPr="00073A21">
        <w:rPr>
          <w:rFonts w:cs="Arial"/>
          <w:rtl/>
        </w:rPr>
        <w:t>עיין בא</w:t>
      </w:r>
      <w:r>
        <w:rPr>
          <w:rFonts w:cs="Arial" w:hint="cs"/>
          <w:rtl/>
        </w:rPr>
        <w:t>ו</w:t>
      </w:r>
      <w:r w:rsidRPr="00073A21">
        <w:rPr>
          <w:rFonts w:cs="Arial"/>
          <w:rtl/>
        </w:rPr>
        <w:t>"ח סי' ת</w:t>
      </w:r>
      <w:r>
        <w:rPr>
          <w:rFonts w:cs="Arial" w:hint="cs"/>
          <w:rtl/>
        </w:rPr>
        <w:t>נ</w:t>
      </w:r>
      <w:r w:rsidRPr="00073A21">
        <w:rPr>
          <w:rFonts w:cs="Arial"/>
          <w:rtl/>
        </w:rPr>
        <w:t>א ס"</w:t>
      </w:r>
      <w:r>
        <w:rPr>
          <w:rFonts w:cs="Arial" w:hint="cs"/>
          <w:rtl/>
        </w:rPr>
        <w:t>כ</w:t>
      </w:r>
      <w:r w:rsidRPr="00073A21">
        <w:rPr>
          <w:rFonts w:cs="Arial"/>
          <w:rtl/>
        </w:rPr>
        <w:t xml:space="preserve"> נתבאר דנוהגין להכשיר השולחנות ע"י עירוי</w:t>
      </w:r>
      <w:r>
        <w:rPr>
          <w:rFonts w:hint="cs"/>
          <w:rtl/>
        </w:rPr>
        <w:t>, ש"ך (סקי"ד).</w:t>
      </w:r>
    </w:p>
  </w:footnote>
  <w:footnote w:id="3012">
    <w:p w14:paraId="21231B84" w14:textId="77777777" w:rsidR="004C5A3C" w:rsidRDefault="004C5A3C" w:rsidP="002C39F4">
      <w:pPr>
        <w:pStyle w:val="a5"/>
        <w:rPr>
          <w:rtl/>
        </w:rPr>
      </w:pPr>
      <w:r>
        <w:rPr>
          <w:rStyle w:val="a7"/>
        </w:rPr>
        <w:footnoteRef/>
      </w:r>
      <w:r>
        <w:rPr>
          <w:rtl/>
        </w:rPr>
        <w:t xml:space="preserve"> </w:t>
      </w:r>
      <w:r w:rsidRPr="00073A21">
        <w:rPr>
          <w:rFonts w:cs="Arial"/>
          <w:rtl/>
        </w:rPr>
        <w:t>לא קאי רק אדברי ההג"ה אבל אמה שכתב הש"ע אם הגעיל כלי הצריך ליבון כו' אפילו דיעבד אסור וזה פשוט</w:t>
      </w:r>
      <w:r>
        <w:rPr>
          <w:rFonts w:hint="cs"/>
          <w:rtl/>
        </w:rPr>
        <w:t>, ט"ז (סק"ה).</w:t>
      </w:r>
    </w:p>
  </w:footnote>
  <w:footnote w:id="3013">
    <w:p w14:paraId="5AE358D0" w14:textId="77777777" w:rsidR="004C5A3C" w:rsidRDefault="004C5A3C" w:rsidP="002C39F4">
      <w:pPr>
        <w:pStyle w:val="a5"/>
        <w:rPr>
          <w:rtl/>
        </w:rPr>
      </w:pPr>
      <w:r>
        <w:rPr>
          <w:rStyle w:val="a7"/>
        </w:rPr>
        <w:footnoteRef/>
      </w:r>
      <w:r>
        <w:rPr>
          <w:rtl/>
        </w:rPr>
        <w:t xml:space="preserve"> </w:t>
      </w:r>
      <w:r w:rsidRPr="00073A21">
        <w:rPr>
          <w:rFonts w:cs="Arial"/>
          <w:rtl/>
        </w:rPr>
        <w:t>זה לשון ה</w:t>
      </w:r>
      <w:r>
        <w:rPr>
          <w:rFonts w:cs="Arial"/>
          <w:rtl/>
        </w:rPr>
        <w:t>או"ה</w:t>
      </w:r>
      <w:r w:rsidRPr="00073A21">
        <w:rPr>
          <w:rFonts w:cs="Arial"/>
          <w:rtl/>
        </w:rPr>
        <w:t xml:space="preserve"> </w:t>
      </w:r>
      <w:r>
        <w:rPr>
          <w:rFonts w:cs="Arial" w:hint="cs"/>
          <w:rtl/>
        </w:rPr>
        <w:t>(</w:t>
      </w:r>
      <w:r w:rsidRPr="00073A21">
        <w:rPr>
          <w:rFonts w:cs="Arial"/>
          <w:rtl/>
        </w:rPr>
        <w:t>שם דין מ</w:t>
      </w:r>
      <w:r>
        <w:rPr>
          <w:rFonts w:cs="Arial" w:hint="cs"/>
          <w:rtl/>
        </w:rPr>
        <w:t>ו)</w:t>
      </w:r>
      <w:r w:rsidRPr="00073A21">
        <w:rPr>
          <w:rFonts w:cs="Arial"/>
          <w:rtl/>
        </w:rPr>
        <w:t xml:space="preserve"> ומיהו בכלי דלאו בר הגעלה כגון כוסות של חרס ששתה בהן </w:t>
      </w:r>
      <w:r>
        <w:rPr>
          <w:rFonts w:cs="Arial" w:hint="cs"/>
          <w:rtl/>
        </w:rPr>
        <w:t>גוי</w:t>
      </w:r>
      <w:r w:rsidRPr="00073A21">
        <w:rPr>
          <w:rFonts w:cs="Arial"/>
          <w:rtl/>
        </w:rPr>
        <w:t xml:space="preserve"> מותר לישראל לקנות ולשתות בו ע"י הדחה כו' וכ"ש כלי זכוכית ששתה בהן </w:t>
      </w:r>
      <w:r>
        <w:rPr>
          <w:rFonts w:cs="Arial" w:hint="cs"/>
          <w:rtl/>
        </w:rPr>
        <w:t>הגוי</w:t>
      </w:r>
      <w:r w:rsidRPr="00073A21">
        <w:rPr>
          <w:rFonts w:cs="Arial"/>
          <w:rtl/>
        </w:rPr>
        <w:t xml:space="preserve"> כמה ימים דשרי לישראל לקנותו ממנו להדיחו ולהטבילו כו' ודוקא כלי משתאות אבל שאר כלי חרס שקנה מן </w:t>
      </w:r>
      <w:r>
        <w:rPr>
          <w:rFonts w:cs="Arial" w:hint="cs"/>
          <w:rtl/>
        </w:rPr>
        <w:t>הגוי</w:t>
      </w:r>
      <w:r w:rsidRPr="00073A21">
        <w:rPr>
          <w:rFonts w:cs="Arial"/>
          <w:rtl/>
        </w:rPr>
        <w:t xml:space="preserve"> אם רק מסופק בו שנשתמש בחמין צריכין שבירה אבל כלים חדשים שקונים מן השוק אפי' בכלי חרס אין צריך לספק בהן דאין דרכן להשתמש בכלים חדשים ועל פי הדברים האלה הם דברי הרב בהג"ה אלא שקיצר בדבר מיהו קשה דהא בכלי חרס ששתה בהן </w:t>
      </w:r>
      <w:r>
        <w:rPr>
          <w:rFonts w:cs="Arial" w:hint="cs"/>
          <w:rtl/>
        </w:rPr>
        <w:t>הגוי</w:t>
      </w:r>
      <w:r w:rsidRPr="00073A21">
        <w:rPr>
          <w:rFonts w:cs="Arial"/>
          <w:rtl/>
        </w:rPr>
        <w:t xml:space="preserve"> קי"ל לקמן סי</w:t>
      </w:r>
      <w:r>
        <w:rPr>
          <w:rFonts w:cs="Arial" w:hint="cs"/>
          <w:rtl/>
        </w:rPr>
        <w:t>'</w:t>
      </w:r>
      <w:r w:rsidRPr="00073A21">
        <w:rPr>
          <w:rFonts w:cs="Arial"/>
          <w:rtl/>
        </w:rPr>
        <w:t xml:space="preserve"> קל"ה ס"ד דצריכים מילוי ועירוי ואפשר ס"ל כהרא"ש והטור לשם דדוקא באותן כלי חרס שהיו ידועים שהן ממין אדמה שבולעים הרבה ולפי זה אנן לא קיימא לן הכי דהא משמע מדברי המחבר שם דפוסק כהרשב"א וסייעתו דכל סתם כלי חרס נמי צריך מילוי ועירוי מיהו יש לומר דה</w:t>
      </w:r>
      <w:r>
        <w:rPr>
          <w:rFonts w:cs="Arial"/>
          <w:rtl/>
        </w:rPr>
        <w:t>או"ה</w:t>
      </w:r>
      <w:r w:rsidRPr="00073A21">
        <w:rPr>
          <w:rFonts w:cs="Arial"/>
          <w:rtl/>
        </w:rPr>
        <w:t xml:space="preserve"> מיירי הכא בשכבר נשתמשו בו קודם שבאו ליד </w:t>
      </w:r>
      <w:r>
        <w:rPr>
          <w:rFonts w:cs="Arial" w:hint="cs"/>
          <w:rtl/>
        </w:rPr>
        <w:t>הגוי</w:t>
      </w:r>
      <w:r w:rsidRPr="00073A21">
        <w:rPr>
          <w:rFonts w:cs="Arial"/>
          <w:rtl/>
        </w:rPr>
        <w:t xml:space="preserve"> דבכה"ג אמרינן התם דלכ"ע סגי בשכשוך כיון דכבר שבעו לבלוע וע"ש</w:t>
      </w:r>
      <w:r>
        <w:rPr>
          <w:rFonts w:hint="cs"/>
          <w:rtl/>
        </w:rPr>
        <w:t>, ש"ך (סקט"ו).</w:t>
      </w:r>
    </w:p>
  </w:footnote>
  <w:footnote w:id="3014">
    <w:p w14:paraId="5ED316CD" w14:textId="77777777" w:rsidR="004C5A3C" w:rsidRDefault="004C5A3C" w:rsidP="002C39F4">
      <w:pPr>
        <w:pStyle w:val="a5"/>
        <w:rPr>
          <w:rtl/>
        </w:rPr>
      </w:pPr>
      <w:r>
        <w:rPr>
          <w:rStyle w:val="a7"/>
        </w:rPr>
        <w:footnoteRef/>
      </w:r>
      <w:r>
        <w:rPr>
          <w:rtl/>
        </w:rPr>
        <w:t xml:space="preserve"> </w:t>
      </w:r>
      <w:r w:rsidRPr="000D7A4F">
        <w:rPr>
          <w:rFonts w:cs="Arial"/>
          <w:rtl/>
        </w:rPr>
        <w:t>לצורכי עושין סכינים חדשים</w:t>
      </w:r>
      <w:r>
        <w:rPr>
          <w:rFonts w:cs="Arial" w:hint="cs"/>
          <w:rtl/>
        </w:rPr>
        <w:t>, רש"י</w:t>
      </w:r>
      <w:r w:rsidRPr="000D7A4F">
        <w:rPr>
          <w:rFonts w:cs="Arial"/>
          <w:rtl/>
        </w:rPr>
        <w:t>.</w:t>
      </w:r>
    </w:p>
  </w:footnote>
  <w:footnote w:id="3015">
    <w:p w14:paraId="631E9E3F" w14:textId="77777777" w:rsidR="004C5A3C" w:rsidRDefault="004C5A3C" w:rsidP="002C39F4">
      <w:pPr>
        <w:pStyle w:val="a5"/>
      </w:pPr>
      <w:r>
        <w:rPr>
          <w:rStyle w:val="a7"/>
        </w:rPr>
        <w:footnoteRef/>
      </w:r>
      <w:r>
        <w:rPr>
          <w:rtl/>
        </w:rPr>
        <w:t xml:space="preserve"> </w:t>
      </w:r>
      <w:r w:rsidRPr="000D7A4F">
        <w:rPr>
          <w:rFonts w:cs="Arial"/>
          <w:rtl/>
        </w:rPr>
        <w:t>שהרי עשיר אתה</w:t>
      </w:r>
      <w:r>
        <w:rPr>
          <w:rFonts w:cs="Arial" w:hint="cs"/>
          <w:rtl/>
        </w:rPr>
        <w:t>, רש"י</w:t>
      </w:r>
      <w:r w:rsidRPr="000D7A4F">
        <w:rPr>
          <w:rFonts w:cs="Arial"/>
          <w:rtl/>
        </w:rPr>
        <w:t>.</w:t>
      </w:r>
    </w:p>
  </w:footnote>
  <w:footnote w:id="3016">
    <w:p w14:paraId="28A9C6AE" w14:textId="77777777" w:rsidR="004C5A3C" w:rsidRDefault="004C5A3C" w:rsidP="002C39F4">
      <w:pPr>
        <w:pStyle w:val="a5"/>
      </w:pPr>
      <w:r>
        <w:rPr>
          <w:rStyle w:val="a7"/>
        </w:rPr>
        <w:footnoteRef/>
      </w:r>
      <w:r>
        <w:rPr>
          <w:rtl/>
        </w:rPr>
        <w:t xml:space="preserve"> </w:t>
      </w:r>
      <w:r w:rsidRPr="000D7A4F">
        <w:rPr>
          <w:rFonts w:cs="Arial"/>
          <w:rtl/>
        </w:rPr>
        <w:t>להגן עליהם שלא ישרפם האור</w:t>
      </w:r>
      <w:r>
        <w:rPr>
          <w:rFonts w:cs="Arial" w:hint="cs"/>
          <w:rtl/>
        </w:rPr>
        <w:t>, רש"י</w:t>
      </w:r>
      <w:r w:rsidRPr="000D7A4F">
        <w:rPr>
          <w:rFonts w:cs="Arial"/>
          <w:rtl/>
        </w:rPr>
        <w:t>.</w:t>
      </w:r>
    </w:p>
  </w:footnote>
  <w:footnote w:id="3017">
    <w:p w14:paraId="1437DB5A" w14:textId="77777777" w:rsidR="004C5A3C" w:rsidRDefault="004C5A3C" w:rsidP="002C39F4">
      <w:pPr>
        <w:pStyle w:val="a5"/>
      </w:pPr>
      <w:r>
        <w:rPr>
          <w:rStyle w:val="a7"/>
        </w:rPr>
        <w:footnoteRef/>
      </w:r>
      <w:r>
        <w:rPr>
          <w:rtl/>
        </w:rPr>
        <w:t xml:space="preserve"> </w:t>
      </w:r>
      <w:r w:rsidRPr="00F00E01">
        <w:rPr>
          <w:rFonts w:cs="Arial"/>
          <w:rtl/>
        </w:rPr>
        <w:t>לא צריך לאותבינהו בנורא, אלא פרזלייהו כי קתייהו נמי סגי להו בהגעלה ברותחין</w:t>
      </w:r>
      <w:r>
        <w:rPr>
          <w:rFonts w:cs="Arial" w:hint="cs"/>
          <w:rtl/>
        </w:rPr>
        <w:t>, רש"י</w:t>
      </w:r>
      <w:r w:rsidRPr="00F00E01">
        <w:rPr>
          <w:rFonts w:cs="Arial"/>
          <w:rtl/>
        </w:rPr>
        <w:t>.</w:t>
      </w:r>
    </w:p>
  </w:footnote>
  <w:footnote w:id="3018">
    <w:p w14:paraId="3DE6D2E1" w14:textId="77777777" w:rsidR="004C5A3C" w:rsidRDefault="004C5A3C" w:rsidP="002C39F4">
      <w:pPr>
        <w:pStyle w:val="a5"/>
        <w:rPr>
          <w:rtl/>
        </w:rPr>
      </w:pPr>
      <w:r>
        <w:rPr>
          <w:rStyle w:val="a7"/>
        </w:rPr>
        <w:footnoteRef/>
      </w:r>
      <w:r>
        <w:rPr>
          <w:rtl/>
        </w:rPr>
        <w:t xml:space="preserve"> </w:t>
      </w:r>
      <w:r>
        <w:rPr>
          <w:rFonts w:hint="cs"/>
          <w:rtl/>
        </w:rPr>
        <w:t xml:space="preserve">אחרי שהביא את דברי הרשב"א כתב הטור- </w:t>
      </w:r>
      <w:r w:rsidRPr="00F00E01">
        <w:rPr>
          <w:rFonts w:cs="Arial"/>
          <w:rtl/>
        </w:rPr>
        <w:t>ונ"ל דווקא כשנשתמש בכולו אבל אם יודע שלא נשתמש אלא במקצתו נכשר נמי מקצתו דכבולעו כך פולטו</w:t>
      </w:r>
      <w:r>
        <w:rPr>
          <w:rFonts w:cs="Arial" w:hint="cs"/>
          <w:rtl/>
        </w:rPr>
        <w:t>.</w:t>
      </w:r>
    </w:p>
  </w:footnote>
  <w:footnote w:id="3019">
    <w:p w14:paraId="5B34CAA4" w14:textId="77777777" w:rsidR="004C5A3C" w:rsidRDefault="004C5A3C" w:rsidP="002C39F4">
      <w:pPr>
        <w:pStyle w:val="a5"/>
        <w:rPr>
          <w:rtl/>
        </w:rPr>
      </w:pPr>
      <w:r>
        <w:rPr>
          <w:rStyle w:val="a7"/>
        </w:rPr>
        <w:footnoteRef/>
      </w:r>
      <w:r>
        <w:rPr>
          <w:rtl/>
        </w:rPr>
        <w:t xml:space="preserve"> </w:t>
      </w:r>
      <w:r>
        <w:rPr>
          <w:rFonts w:cs="Arial" w:hint="cs"/>
          <w:rtl/>
        </w:rPr>
        <w:t>הר"ן פירש את דברי הגמ' כך, וז"ל-</w:t>
      </w:r>
      <w:r w:rsidRPr="00F77953">
        <w:rPr>
          <w:rFonts w:cs="Arial"/>
          <w:rtl/>
        </w:rPr>
        <w:t xml:space="preserve"> הכי אמר להו קתייהו בטינא ופרזלייהו בנורא משום דס"ל ששני תשמישין משתמש בסכין אחד ע"י האור כעין שפוד ובשני ברותחין ואותו תשמיש שע"י האור אינו מגיע לקתו של סכין אבל אותו תשמיש שברותחין מגיע בו [ולפיכך אמרו] שמפני אותו תשמיש שע"י האור מעייל להו לפרזלייהו בנורא ומפני אותו תשמיש של רותחין מעייל לקתייהו ברותחין ובכלי ראשון ומיהא שמעינן ש</w:t>
      </w:r>
      <w:r>
        <w:rPr>
          <w:rFonts w:hint="cs"/>
          <w:rtl/>
        </w:rPr>
        <w:t>-...</w:t>
      </w:r>
    </w:p>
  </w:footnote>
  <w:footnote w:id="3020">
    <w:p w14:paraId="134EEBAB" w14:textId="77777777" w:rsidR="004C5A3C" w:rsidRDefault="004C5A3C" w:rsidP="002C39F4">
      <w:pPr>
        <w:pStyle w:val="a5"/>
        <w:rPr>
          <w:rtl/>
        </w:rPr>
      </w:pPr>
      <w:r>
        <w:rPr>
          <w:rStyle w:val="a7"/>
        </w:rPr>
        <w:footnoteRef/>
      </w:r>
      <w:r>
        <w:rPr>
          <w:rtl/>
        </w:rPr>
        <w:t xml:space="preserve"> </w:t>
      </w:r>
      <w:r>
        <w:rPr>
          <w:rFonts w:cs="Arial" w:hint="cs"/>
          <w:rtl/>
        </w:rPr>
        <w:t>וכ' עוד הר"ן-</w:t>
      </w:r>
      <w:r w:rsidRPr="00F77953">
        <w:rPr>
          <w:rFonts w:cs="Arial"/>
          <w:rtl/>
        </w:rPr>
        <w:t xml:space="preserve"> ואחרים אמרו כיון דחם מקצתו חם כולו צריך שיכשיר את כולו והכא אהגעלה דלבסוף דעביד להו ולקתייהו סמכינן וגרסי' </w:t>
      </w:r>
      <w:r>
        <w:rPr>
          <w:rFonts w:cs="Arial" w:hint="cs"/>
          <w:sz w:val="16"/>
          <w:szCs w:val="16"/>
          <w:rtl/>
        </w:rPr>
        <w:t>{</w:t>
      </w:r>
      <w:r w:rsidRPr="00DF11CF">
        <w:rPr>
          <w:rFonts w:cs="Arial" w:hint="cs"/>
          <w:sz w:val="16"/>
          <w:szCs w:val="16"/>
          <w:rtl/>
        </w:rPr>
        <w:t>'</w:t>
      </w:r>
      <w:r w:rsidRPr="00DF11CF">
        <w:rPr>
          <w:rFonts w:cs="Arial"/>
          <w:sz w:val="16"/>
          <w:szCs w:val="16"/>
          <w:rtl/>
        </w:rPr>
        <w:t>מעייל להו ולקתייהו</w:t>
      </w:r>
      <w:r w:rsidRPr="00DF11CF">
        <w:rPr>
          <w:rFonts w:cs="Arial" w:hint="cs"/>
          <w:sz w:val="16"/>
          <w:szCs w:val="16"/>
          <w:rtl/>
        </w:rPr>
        <w:t>'</w:t>
      </w:r>
      <w:r>
        <w:rPr>
          <w:rFonts w:cs="Arial" w:hint="cs"/>
          <w:sz w:val="16"/>
          <w:szCs w:val="16"/>
          <w:rtl/>
        </w:rPr>
        <w:t>}</w:t>
      </w:r>
      <w:r w:rsidRPr="00DF11CF">
        <w:rPr>
          <w:rFonts w:cs="Arial"/>
          <w:sz w:val="16"/>
          <w:szCs w:val="16"/>
          <w:rtl/>
        </w:rPr>
        <w:t xml:space="preserve"> </w:t>
      </w:r>
      <w:r w:rsidRPr="00F77953">
        <w:rPr>
          <w:rFonts w:cs="Arial"/>
          <w:rtl/>
        </w:rPr>
        <w:t>בוי"ו ולא נהירא דאי הכי פרזלייהו בנורא לא מהני ולא מידי</w:t>
      </w:r>
      <w:r>
        <w:rPr>
          <w:rFonts w:cs="Arial" w:hint="cs"/>
          <w:rtl/>
        </w:rPr>
        <w:t>.</w:t>
      </w:r>
    </w:p>
  </w:footnote>
  <w:footnote w:id="3021">
    <w:p w14:paraId="55B3BCC9" w14:textId="77777777" w:rsidR="004C5A3C" w:rsidRDefault="004C5A3C" w:rsidP="002C39F4">
      <w:pPr>
        <w:pStyle w:val="a5"/>
      </w:pPr>
      <w:r>
        <w:rPr>
          <w:rStyle w:val="a7"/>
        </w:rPr>
        <w:footnoteRef/>
      </w:r>
      <w:r>
        <w:rPr>
          <w:rtl/>
        </w:rPr>
        <w:t xml:space="preserve"> </w:t>
      </w:r>
      <w:r>
        <w:rPr>
          <w:rFonts w:hint="cs"/>
          <w:rtl/>
        </w:rPr>
        <w:t xml:space="preserve">ובכך מיישב הש"ך ואומר שהטור אינו חולק על הרא"ש, דהרא"ש מיירי בליבון </w:t>
      </w:r>
      <w:r w:rsidRPr="003C6815">
        <w:rPr>
          <w:rFonts w:cs="Arial"/>
          <w:rtl/>
        </w:rPr>
        <w:t>ולכך לא נכשר כולו</w:t>
      </w:r>
      <w:r>
        <w:rPr>
          <w:rFonts w:cs="Arial" w:hint="cs"/>
          <w:rtl/>
        </w:rPr>
        <w:t>,</w:t>
      </w:r>
      <w:r w:rsidRPr="003C6815">
        <w:rPr>
          <w:rFonts w:cs="Arial"/>
          <w:rtl/>
        </w:rPr>
        <w:t xml:space="preserve"> אלא דס"ל דמ"מ להשתמש בו שלא ע"י האור סגי בהכי</w:t>
      </w:r>
      <w:r>
        <w:rPr>
          <w:rFonts w:cs="Arial" w:hint="cs"/>
          <w:rtl/>
        </w:rPr>
        <w:t>,</w:t>
      </w:r>
      <w:r w:rsidRPr="003C6815">
        <w:rPr>
          <w:rFonts w:cs="Arial"/>
          <w:rtl/>
        </w:rPr>
        <w:t xml:space="preserve"> ואפשר גם הרא"ה מודה לזה</w:t>
      </w:r>
      <w:r>
        <w:rPr>
          <w:rFonts w:cs="Arial" w:hint="cs"/>
          <w:rtl/>
        </w:rPr>
        <w:t>,</w:t>
      </w:r>
      <w:r w:rsidRPr="003C6815">
        <w:rPr>
          <w:rFonts w:cs="Arial"/>
          <w:rtl/>
        </w:rPr>
        <w:t xml:space="preserve"> והא דלא כתב הטור דבלבון צריך להכשירו כולו היינו משום שסמך עצמו על מ"ש הטעם משום דכבכ"פ וזה לא שייך כי אם בהגעלה</w:t>
      </w:r>
      <w:r>
        <w:rPr>
          <w:rFonts w:cs="Arial" w:hint="cs"/>
          <w:rtl/>
        </w:rPr>
        <w:t>,</w:t>
      </w:r>
      <w:r w:rsidRPr="003C6815">
        <w:rPr>
          <w:rFonts w:cs="Arial"/>
          <w:rtl/>
        </w:rPr>
        <w:t xml:space="preserve"> ולפ"ז גם הרב דכתב טעמא משום דכבכ"פ אפשר דמודה בלבון אע</w:t>
      </w:r>
      <w:r>
        <w:rPr>
          <w:rFonts w:cs="Arial" w:hint="cs"/>
          <w:rtl/>
        </w:rPr>
        <w:t>"</w:t>
      </w:r>
      <w:r w:rsidRPr="003C6815">
        <w:rPr>
          <w:rFonts w:cs="Arial"/>
          <w:rtl/>
        </w:rPr>
        <w:t>פ שלא נשתמש איסור ע"י האור אלא במקצתו צריך לבון בכולו</w:t>
      </w:r>
      <w:r>
        <w:rPr>
          <w:rFonts w:cs="Arial" w:hint="cs"/>
          <w:rtl/>
        </w:rPr>
        <w:t>...</w:t>
      </w:r>
      <w:r w:rsidRPr="00764A92">
        <w:rPr>
          <w:rtl/>
        </w:rPr>
        <w:t xml:space="preserve"> </w:t>
      </w:r>
      <w:r w:rsidRPr="00764A92">
        <w:rPr>
          <w:rFonts w:cs="Arial"/>
          <w:rtl/>
        </w:rPr>
        <w:t>מיהו כל זה לסברתם דאע"ג דלא נשתמש האיסור אלא במקצת מפעפעת הבליעה ע"י הלחות ביותר בכדי שיעור התשמיש ולפ"ז אפילו לדעת הרא"ה וסייעתו דאתכשר בהגעלה במקצתו אם נשתמש בו בהיתר קודם ההגעלה באותו מקצת שלא נשתמש בו האיסור הרי ההיתר נאסר אבל מהר"מ מ"ץ כתב בתשובה וז"ל איסור שנפל על הקדרה במקום א' אין צריך הגעלה בכולו כי כן אמר הרא"ש והא דאמרינן חם מקצתו חם כולו היינו דוקא לענין זה דאם הכלי נעשה חם בראש אחד ונפל האיסור בראש השני לענין זה מהני חם מקצתו חם כולו שגורם חמימתו לאיסור ליבלע בראש השני אבל לא מהני שאם נפל האיסור מצד אחד שיהא מתפשט בצד השני ע"כ</w:t>
      </w:r>
      <w:r>
        <w:rPr>
          <w:rFonts w:cs="Arial" w:hint="cs"/>
          <w:rtl/>
        </w:rPr>
        <w:t>...</w:t>
      </w:r>
      <w:r w:rsidRPr="00764A92">
        <w:rPr>
          <w:rFonts w:cs="Arial"/>
          <w:rtl/>
        </w:rPr>
        <w:t xml:space="preserve"> </w:t>
      </w:r>
      <w:r>
        <w:rPr>
          <w:rFonts w:cs="Arial" w:hint="cs"/>
          <w:rtl/>
        </w:rPr>
        <w:t>ו</w:t>
      </w:r>
      <w:r w:rsidRPr="00764A92">
        <w:rPr>
          <w:rFonts w:cs="Arial"/>
          <w:rtl/>
        </w:rPr>
        <w:t>דעת רוב הפוסקים כמהר"ם מ"ץ והכי קיי</w:t>
      </w:r>
      <w:r>
        <w:rPr>
          <w:rFonts w:cs="Arial" w:hint="cs"/>
          <w:rtl/>
        </w:rPr>
        <w:t>"ל...</w:t>
      </w:r>
      <w:r w:rsidRPr="00764A92">
        <w:rPr>
          <w:rFonts w:cs="Arial"/>
          <w:rtl/>
        </w:rPr>
        <w:t xml:space="preserve"> וא"כ העולה מזה דכלי מתכות שנשתמש איסור במקצתו ואח"כ נשתמש היתר במקצת האחר מותר בדיעבד וכ"כ האו"ה</w:t>
      </w:r>
      <w:r>
        <w:rPr>
          <w:rFonts w:cs="Arial" w:hint="cs"/>
          <w:rtl/>
        </w:rPr>
        <w:t>...</w:t>
      </w:r>
      <w:r w:rsidRPr="00764A92">
        <w:rPr>
          <w:rFonts w:cs="Arial"/>
          <w:rtl/>
        </w:rPr>
        <w:t xml:space="preserve"> מיהו י"ל דהיינו דוקא בחם שע"י בישול לא אמרינן דמוליך בליעתו בכולו אבל בחם שע"י האור ממש אפשר דכ"ע מודו לדעת הרא"ש והרא"ה דלעיל דהאיסור מתפשט בכולו</w:t>
      </w:r>
      <w:r>
        <w:rPr>
          <w:rFonts w:cs="Arial" w:hint="cs"/>
          <w:rtl/>
        </w:rPr>
        <w:t>,</w:t>
      </w:r>
      <w:r w:rsidRPr="00764A92">
        <w:rPr>
          <w:rFonts w:cs="Arial"/>
          <w:rtl/>
        </w:rPr>
        <w:t xml:space="preserve"> וכן משמע מדברי האו"ה </w:t>
      </w:r>
      <w:r>
        <w:rPr>
          <w:rFonts w:cs="Arial" w:hint="cs"/>
          <w:rtl/>
        </w:rPr>
        <w:t>(</w:t>
      </w:r>
      <w:r w:rsidRPr="00764A92">
        <w:rPr>
          <w:rFonts w:cs="Arial"/>
          <w:rtl/>
        </w:rPr>
        <w:t>כלל לז ד</w:t>
      </w:r>
      <w:r>
        <w:rPr>
          <w:rFonts w:cs="Arial" w:hint="cs"/>
          <w:rtl/>
        </w:rPr>
        <w:t>"</w:t>
      </w:r>
      <w:r w:rsidRPr="00764A92">
        <w:rPr>
          <w:rFonts w:cs="Arial"/>
          <w:rtl/>
        </w:rPr>
        <w:t>ב</w:t>
      </w:r>
      <w:r>
        <w:rPr>
          <w:rFonts w:cs="Arial" w:hint="cs"/>
          <w:rtl/>
        </w:rPr>
        <w:t>).</w:t>
      </w:r>
      <w:r w:rsidRPr="00764A92">
        <w:rPr>
          <w:rFonts w:cs="Arial" w:hint="cs"/>
          <w:sz w:val="16"/>
          <w:szCs w:val="16"/>
          <w:rtl/>
        </w:rPr>
        <w:t xml:space="preserve"> </w:t>
      </w:r>
      <w:r>
        <w:rPr>
          <w:rFonts w:cs="Arial" w:hint="cs"/>
          <w:sz w:val="16"/>
          <w:szCs w:val="16"/>
          <w:rtl/>
        </w:rPr>
        <w:t>(עכ"ל ל' הש"ך)</w:t>
      </w:r>
    </w:p>
  </w:footnote>
  <w:footnote w:id="3022">
    <w:p w14:paraId="6B5E57AA" w14:textId="77777777" w:rsidR="004C5A3C" w:rsidRDefault="004C5A3C" w:rsidP="002C39F4">
      <w:pPr>
        <w:pStyle w:val="a5"/>
        <w:rPr>
          <w:rtl/>
        </w:rPr>
      </w:pPr>
      <w:r>
        <w:rPr>
          <w:rStyle w:val="a7"/>
        </w:rPr>
        <w:footnoteRef/>
      </w:r>
      <w:r>
        <w:rPr>
          <w:rtl/>
        </w:rPr>
        <w:t xml:space="preserve"> </w:t>
      </w:r>
      <w:r>
        <w:rPr>
          <w:rFonts w:hint="cs"/>
          <w:rtl/>
        </w:rPr>
        <w:t>ז"ל הרא"ה-</w:t>
      </w:r>
      <w:r w:rsidRPr="003C6815">
        <w:rPr>
          <w:rFonts w:cs="Arial"/>
          <w:rtl/>
        </w:rPr>
        <w:t xml:space="preserve"> והוי יודע דהחזרת כבשונות אינו הכשר כהגעלה בכלי מתכות</w:t>
      </w:r>
      <w:r>
        <w:rPr>
          <w:rFonts w:cs="Arial" w:hint="cs"/>
          <w:rtl/>
        </w:rPr>
        <w:t>,</w:t>
      </w:r>
      <w:r w:rsidRPr="003C6815">
        <w:rPr>
          <w:rFonts w:cs="Arial"/>
          <w:rtl/>
        </w:rPr>
        <w:t xml:space="preserve"> דהתם הוא להפליט מה שבלע</w:t>
      </w:r>
      <w:r>
        <w:rPr>
          <w:rFonts w:cs="Arial" w:hint="cs"/>
          <w:rtl/>
        </w:rPr>
        <w:t>,</w:t>
      </w:r>
      <w:r w:rsidRPr="003C6815">
        <w:rPr>
          <w:rFonts w:cs="Arial"/>
          <w:rtl/>
        </w:rPr>
        <w:t xml:space="preserve"> אבל ליבון בשום מקום אינו מפליט כל איסור שבו אלא כלוי הוא שמכלה איסור שבתוכו ולפיכך הוא הכשר</w:t>
      </w:r>
      <w:r>
        <w:rPr>
          <w:rFonts w:cs="Arial" w:hint="cs"/>
          <w:rtl/>
        </w:rPr>
        <w:t>,</w:t>
      </w:r>
      <w:r w:rsidRPr="003C6815">
        <w:rPr>
          <w:rFonts w:cs="Arial"/>
          <w:rtl/>
        </w:rPr>
        <w:t xml:space="preserve"> ונפקא לן מינה דאילו</w:t>
      </w:r>
      <w:r>
        <w:rPr>
          <w:rFonts w:cs="Arial" w:hint="cs"/>
          <w:rtl/>
        </w:rPr>
        <w:t>-...</w:t>
      </w:r>
    </w:p>
  </w:footnote>
  <w:footnote w:id="3023">
    <w:p w14:paraId="1D55FD23" w14:textId="77777777" w:rsidR="004C5A3C" w:rsidRDefault="004C5A3C" w:rsidP="002C39F4">
      <w:pPr>
        <w:pStyle w:val="a5"/>
      </w:pPr>
      <w:r>
        <w:rPr>
          <w:rStyle w:val="a7"/>
        </w:rPr>
        <w:footnoteRef/>
      </w:r>
      <w:r>
        <w:rPr>
          <w:rtl/>
        </w:rPr>
        <w:t xml:space="preserve"> </w:t>
      </w:r>
      <w:r>
        <w:rPr>
          <w:rFonts w:hint="cs"/>
          <w:rtl/>
        </w:rPr>
        <w:t xml:space="preserve">וז"ל הב"י- </w:t>
      </w:r>
      <w:r w:rsidRPr="00B1496F">
        <w:rPr>
          <w:rFonts w:cs="Arial"/>
          <w:rtl/>
        </w:rPr>
        <w:t xml:space="preserve">מדברי הרא"ש </w:t>
      </w:r>
      <w:r w:rsidRPr="00B1496F">
        <w:rPr>
          <w:rFonts w:cs="Arial" w:hint="cs"/>
          <w:sz w:val="16"/>
          <w:szCs w:val="16"/>
          <w:rtl/>
        </w:rPr>
        <w:t xml:space="preserve">(סוף </w:t>
      </w:r>
      <w:r w:rsidRPr="00B1496F">
        <w:rPr>
          <w:rFonts w:cs="Arial"/>
          <w:sz w:val="16"/>
          <w:szCs w:val="16"/>
          <w:rtl/>
        </w:rPr>
        <w:t xml:space="preserve">ע"ז סי' לד) </w:t>
      </w:r>
      <w:r w:rsidRPr="00B1496F">
        <w:rPr>
          <w:rFonts w:cs="Arial"/>
          <w:rtl/>
        </w:rPr>
        <w:t xml:space="preserve">שכתבתי בסוף סימן זה </w:t>
      </w:r>
      <w:r w:rsidRPr="00B1496F">
        <w:rPr>
          <w:rFonts w:cs="Arial"/>
          <w:sz w:val="16"/>
          <w:szCs w:val="16"/>
          <w:rtl/>
        </w:rPr>
        <w:t xml:space="preserve">(קצד. דיבור ראשון) </w:t>
      </w:r>
      <w:r w:rsidRPr="00B1496F">
        <w:rPr>
          <w:rFonts w:cs="Arial"/>
          <w:rtl/>
        </w:rPr>
        <w:t>נראה שהוא סובר כדברי הרשב"א</w:t>
      </w:r>
      <w:r>
        <w:rPr>
          <w:rFonts w:cs="Arial" w:hint="cs"/>
          <w:rtl/>
        </w:rPr>
        <w:t>,</w:t>
      </w:r>
      <w:r w:rsidRPr="00B1496F">
        <w:rPr>
          <w:rFonts w:cs="Arial"/>
          <w:rtl/>
        </w:rPr>
        <w:t xml:space="preserve"> </w:t>
      </w:r>
      <w:r>
        <w:rPr>
          <w:rFonts w:cs="Arial" w:hint="cs"/>
          <w:rtl/>
        </w:rPr>
        <w:t>ש</w:t>
      </w:r>
      <w:r w:rsidRPr="00B1496F">
        <w:rPr>
          <w:rFonts w:cs="Arial"/>
          <w:rtl/>
        </w:rPr>
        <w:t>כתב שיספיק אם ילבן חודו של סכין לפי שרגילין הגוים להשתמש בו באור</w:t>
      </w:r>
      <w:r>
        <w:rPr>
          <w:rFonts w:cs="Arial" w:hint="cs"/>
          <w:rtl/>
        </w:rPr>
        <w:t>,</w:t>
      </w:r>
      <w:r w:rsidRPr="00B1496F">
        <w:rPr>
          <w:rFonts w:cs="Arial"/>
          <w:rtl/>
        </w:rPr>
        <w:t xml:space="preserve"> אע</w:t>
      </w:r>
      <w:r>
        <w:rPr>
          <w:rFonts w:cs="Arial" w:hint="cs"/>
          <w:rtl/>
        </w:rPr>
        <w:t>"</w:t>
      </w:r>
      <w:r w:rsidRPr="00B1496F">
        <w:rPr>
          <w:rFonts w:cs="Arial"/>
          <w:rtl/>
        </w:rPr>
        <w:t>ג דחם מקצתו חם כולו ונתפשט האיסור בכולו מ</w:t>
      </w:r>
      <w:r>
        <w:rPr>
          <w:rFonts w:cs="Arial" w:hint="cs"/>
          <w:rtl/>
        </w:rPr>
        <w:t>"</w:t>
      </w:r>
      <w:r w:rsidRPr="00B1496F">
        <w:rPr>
          <w:rFonts w:cs="Arial"/>
          <w:rtl/>
        </w:rPr>
        <w:t>מ כיון שאין הישראל משתמש בסכין ע</w:t>
      </w:r>
      <w:r>
        <w:rPr>
          <w:rFonts w:cs="Arial" w:hint="cs"/>
          <w:rtl/>
        </w:rPr>
        <w:t>"</w:t>
      </w:r>
      <w:r w:rsidRPr="00B1496F">
        <w:rPr>
          <w:rFonts w:cs="Arial"/>
          <w:rtl/>
        </w:rPr>
        <w:t>י האור סגי בהכי עכ"ל</w:t>
      </w:r>
      <w:r>
        <w:rPr>
          <w:rFonts w:cs="Arial" w:hint="cs"/>
          <w:rtl/>
        </w:rPr>
        <w:t xml:space="preserve">, </w:t>
      </w:r>
      <w:r w:rsidRPr="00B1496F">
        <w:rPr>
          <w:rFonts w:cs="Arial"/>
          <w:rtl/>
        </w:rPr>
        <w:t xml:space="preserve">הרי שלא התיר בליבון במקום שנשתמש בו </w:t>
      </w:r>
      <w:r>
        <w:rPr>
          <w:rFonts w:cs="Arial" w:hint="cs"/>
          <w:rtl/>
        </w:rPr>
        <w:t>ע"</w:t>
      </w:r>
      <w:r w:rsidRPr="00B1496F">
        <w:rPr>
          <w:rFonts w:cs="Arial"/>
          <w:rtl/>
        </w:rPr>
        <w:t>י האור בלבד אלא מפני שאין הישראל משתמש בסכין ע</w:t>
      </w:r>
      <w:r>
        <w:rPr>
          <w:rFonts w:cs="Arial" w:hint="cs"/>
          <w:rtl/>
        </w:rPr>
        <w:t>"</w:t>
      </w:r>
      <w:r w:rsidRPr="00B1496F">
        <w:rPr>
          <w:rFonts w:cs="Arial"/>
          <w:rtl/>
        </w:rPr>
        <w:t>י האור משמע דלהשתמש בו ע</w:t>
      </w:r>
      <w:r>
        <w:rPr>
          <w:rFonts w:cs="Arial" w:hint="cs"/>
          <w:rtl/>
        </w:rPr>
        <w:t>"</w:t>
      </w:r>
      <w:r w:rsidRPr="00B1496F">
        <w:rPr>
          <w:rFonts w:cs="Arial"/>
          <w:rtl/>
        </w:rPr>
        <w:t>י האור אסור משום דחם מקצתו חם כולו אמרינן לאסור אבל לא לענין הכשר</w:t>
      </w:r>
      <w:r>
        <w:rPr>
          <w:rFonts w:cs="Arial" w:hint="cs"/>
          <w:rtl/>
        </w:rPr>
        <w:t>.</w:t>
      </w:r>
    </w:p>
  </w:footnote>
  <w:footnote w:id="3024">
    <w:p w14:paraId="06DCDC3E" w14:textId="77777777" w:rsidR="004C5A3C" w:rsidRDefault="004C5A3C" w:rsidP="002C39F4">
      <w:pPr>
        <w:pStyle w:val="a5"/>
        <w:rPr>
          <w:rtl/>
        </w:rPr>
      </w:pPr>
      <w:r>
        <w:rPr>
          <w:rStyle w:val="a7"/>
        </w:rPr>
        <w:footnoteRef/>
      </w:r>
      <w:r>
        <w:rPr>
          <w:rtl/>
        </w:rPr>
        <w:t xml:space="preserve"> </w:t>
      </w:r>
      <w:r w:rsidRPr="00F00E01">
        <w:rPr>
          <w:rFonts w:cs="Arial"/>
          <w:rtl/>
        </w:rPr>
        <w:t xml:space="preserve">הרשב"א </w:t>
      </w:r>
      <w:r w:rsidRPr="00B1496F">
        <w:rPr>
          <w:rFonts w:cs="Arial" w:hint="cs"/>
          <w:sz w:val="16"/>
          <w:szCs w:val="16"/>
          <w:rtl/>
        </w:rPr>
        <w:t>(תוה"א</w:t>
      </w:r>
      <w:r w:rsidRPr="00B1496F">
        <w:rPr>
          <w:rFonts w:cs="Arial"/>
          <w:sz w:val="16"/>
          <w:szCs w:val="16"/>
          <w:rtl/>
        </w:rPr>
        <w:t xml:space="preserve"> שם לח.) </w:t>
      </w:r>
      <w:r w:rsidRPr="00F00E01">
        <w:rPr>
          <w:rFonts w:cs="Arial"/>
          <w:rtl/>
        </w:rPr>
        <w:t>גורס מגעיל להו ולקתייהו בוי"ו ומפני כך כתב שאע</w:t>
      </w:r>
      <w:r>
        <w:rPr>
          <w:rFonts w:cs="Arial" w:hint="cs"/>
          <w:rtl/>
        </w:rPr>
        <w:t>"</w:t>
      </w:r>
      <w:r w:rsidRPr="00F00E01">
        <w:rPr>
          <w:rFonts w:cs="Arial"/>
          <w:rtl/>
        </w:rPr>
        <w:t>פ שלא נשתמש איסור אלא במקצתו צריך להכשיר את כולו</w:t>
      </w:r>
      <w:r>
        <w:rPr>
          <w:rFonts w:cs="Arial" w:hint="cs"/>
          <w:rtl/>
        </w:rPr>
        <w:t>, ב"י</w:t>
      </w:r>
      <w:r w:rsidRPr="00F00E01">
        <w:rPr>
          <w:rFonts w:cs="Arial" w:hint="cs"/>
          <w:rtl/>
        </w:rPr>
        <w:t>.</w:t>
      </w:r>
    </w:p>
  </w:footnote>
  <w:footnote w:id="3025">
    <w:p w14:paraId="61F9F6A9" w14:textId="77777777" w:rsidR="004C5A3C" w:rsidRDefault="004C5A3C" w:rsidP="002C39F4">
      <w:pPr>
        <w:pStyle w:val="a5"/>
        <w:rPr>
          <w:rtl/>
        </w:rPr>
      </w:pPr>
      <w:r>
        <w:rPr>
          <w:rStyle w:val="a7"/>
        </w:rPr>
        <w:footnoteRef/>
      </w:r>
      <w:r>
        <w:rPr>
          <w:rtl/>
        </w:rPr>
        <w:t xml:space="preserve"> </w:t>
      </w:r>
      <w:r w:rsidRPr="004A28C8">
        <w:rPr>
          <w:rFonts w:cs="Arial"/>
          <w:rtl/>
        </w:rPr>
        <w:t>משמע שפוסק ג"כ כדעת הטור והר"ן</w:t>
      </w:r>
      <w:r>
        <w:rPr>
          <w:rFonts w:cs="Arial" w:hint="cs"/>
          <w:rtl/>
        </w:rPr>
        <w:t>,</w:t>
      </w:r>
      <w:r w:rsidRPr="004A28C8">
        <w:rPr>
          <w:rFonts w:cs="Arial"/>
          <w:rtl/>
        </w:rPr>
        <w:t xml:space="preserve"> וראיתי רבים מקילין אפילו לכתחלה שלא להגעיל יד המחבת וטוב להגעילה לכתחלה כדעת הארוך</w:t>
      </w:r>
      <w:r>
        <w:rPr>
          <w:rFonts w:hint="cs"/>
          <w:rtl/>
        </w:rPr>
        <w:t>, דרכ"מ (אות טז).</w:t>
      </w:r>
    </w:p>
  </w:footnote>
  <w:footnote w:id="3026">
    <w:p w14:paraId="4D789DD1" w14:textId="77777777" w:rsidR="004C5A3C" w:rsidRDefault="004C5A3C" w:rsidP="002C39F4">
      <w:pPr>
        <w:pStyle w:val="a5"/>
      </w:pPr>
      <w:r>
        <w:rPr>
          <w:rStyle w:val="a7"/>
        </w:rPr>
        <w:footnoteRef/>
      </w:r>
      <w:r>
        <w:rPr>
          <w:rtl/>
        </w:rPr>
        <w:t xml:space="preserve"> </w:t>
      </w:r>
      <w:r w:rsidRPr="002E0CA0">
        <w:rPr>
          <w:rFonts w:cs="Arial"/>
          <w:rtl/>
        </w:rPr>
        <w:t>וא</w:t>
      </w:r>
      <w:r>
        <w:rPr>
          <w:rFonts w:cs="Arial" w:hint="cs"/>
          <w:rtl/>
        </w:rPr>
        <w:t>"</w:t>
      </w:r>
      <w:r w:rsidRPr="002E0CA0">
        <w:rPr>
          <w:rFonts w:cs="Arial"/>
          <w:rtl/>
        </w:rPr>
        <w:t xml:space="preserve">כ לא יפה עושים אותן הולכי דרכים שלוקחים שפוד של </w:t>
      </w:r>
      <w:r>
        <w:rPr>
          <w:rFonts w:cs="Arial" w:hint="cs"/>
          <w:rtl/>
        </w:rPr>
        <w:t>גוי</w:t>
      </w:r>
      <w:r w:rsidRPr="002E0CA0">
        <w:rPr>
          <w:rFonts w:cs="Arial"/>
          <w:rtl/>
        </w:rPr>
        <w:t xml:space="preserve"> ומלבנין החלק העליון שצולין בו ולא יותר אלא ד</w:t>
      </w:r>
      <w:r w:rsidRPr="007D3A52">
        <w:rPr>
          <w:rFonts w:cs="Arial"/>
          <w:rtl/>
        </w:rPr>
        <w:t>בדיעבד ודאי אין לאסור אם לא ליבן רק המקצת מידי דהוה אידות הכלים דכשר בדיעבד אם לא הגעילם</w:t>
      </w:r>
      <w:r>
        <w:rPr>
          <w:rFonts w:cs="Arial" w:hint="cs"/>
          <w:rtl/>
        </w:rPr>
        <w:t>,</w:t>
      </w:r>
      <w:r w:rsidRPr="007D3A52">
        <w:rPr>
          <w:rFonts w:cs="Arial"/>
          <w:rtl/>
        </w:rPr>
        <w:t xml:space="preserve"> כמו שכתב רמ"א בהלכות פסח</w:t>
      </w:r>
      <w:r>
        <w:rPr>
          <w:rFonts w:cs="Arial" w:hint="cs"/>
          <w:rtl/>
        </w:rPr>
        <w:t xml:space="preserve"> </w:t>
      </w:r>
      <w:r w:rsidRPr="002E0CA0">
        <w:rPr>
          <w:rFonts w:cs="Arial" w:hint="cs"/>
          <w:sz w:val="16"/>
          <w:szCs w:val="16"/>
          <w:rtl/>
        </w:rPr>
        <w:t>{</w:t>
      </w:r>
      <w:r>
        <w:rPr>
          <w:rFonts w:cs="Arial" w:hint="cs"/>
          <w:sz w:val="16"/>
          <w:szCs w:val="16"/>
          <w:rtl/>
        </w:rPr>
        <w:t xml:space="preserve">או"ח </w:t>
      </w:r>
      <w:r w:rsidRPr="002E0CA0">
        <w:rPr>
          <w:rFonts w:cs="Arial" w:hint="cs"/>
          <w:sz w:val="16"/>
          <w:szCs w:val="16"/>
          <w:rtl/>
        </w:rPr>
        <w:t>סי' תנא</w:t>
      </w:r>
      <w:r>
        <w:rPr>
          <w:rFonts w:cs="Arial" w:hint="cs"/>
          <w:sz w:val="16"/>
          <w:szCs w:val="16"/>
          <w:rtl/>
        </w:rPr>
        <w:t xml:space="preserve"> עמ' ת</w:t>
      </w:r>
      <w:r w:rsidRPr="002E0CA0">
        <w:rPr>
          <w:rFonts w:cs="Arial" w:hint="cs"/>
          <w:sz w:val="16"/>
          <w:szCs w:val="16"/>
          <w:rtl/>
        </w:rPr>
        <w:t>}</w:t>
      </w:r>
      <w:r>
        <w:rPr>
          <w:rFonts w:cs="Arial" w:hint="cs"/>
          <w:rtl/>
        </w:rPr>
        <w:t>,</w:t>
      </w:r>
      <w:r w:rsidRPr="002E0CA0">
        <w:rPr>
          <w:rtl/>
        </w:rPr>
        <w:t xml:space="preserve"> </w:t>
      </w:r>
      <w:r w:rsidRPr="002E0CA0">
        <w:rPr>
          <w:rFonts w:cs="Arial"/>
          <w:rtl/>
        </w:rPr>
        <w:t>ואפילו לכתחלה נראה דאם מלבן השפוד חלק גדול גם במקום שלא הגיע שם האיסור אף שלא ליבן כל השפוד כולו סגי כיון שמקום שלא הוכשר הוא מרחק רב ממקום הצלייה כן נראה לי</w:t>
      </w:r>
      <w:r>
        <w:rPr>
          <w:rFonts w:cs="Arial" w:hint="cs"/>
          <w:rtl/>
        </w:rPr>
        <w:t>, ט"ז (סק"ז).</w:t>
      </w:r>
    </w:p>
  </w:footnote>
  <w:footnote w:id="3027">
    <w:p w14:paraId="274B2E66" w14:textId="77777777" w:rsidR="004C5A3C" w:rsidRDefault="004C5A3C" w:rsidP="002C39F4">
      <w:pPr>
        <w:pStyle w:val="a5"/>
      </w:pPr>
      <w:r>
        <w:rPr>
          <w:rStyle w:val="a7"/>
        </w:rPr>
        <w:footnoteRef/>
      </w:r>
      <w:r>
        <w:rPr>
          <w:rtl/>
        </w:rPr>
        <w:t xml:space="preserve"> </w:t>
      </w:r>
      <w:r w:rsidRPr="007D3A52">
        <w:rPr>
          <w:rFonts w:cs="Arial"/>
          <w:rtl/>
        </w:rPr>
        <w:t>משמע אפי' לא נשתמש איסור אלא במקצתו לא עלה לו הכשר עד שיכשיר כולו וכדעת הרשב"א וכ"פ בב"י ולפ"ז היה לו להרב לכתוב בלשון וי"א דוקא כו' דלישתמע דפליג אלא משום דאין בדברי המחבר בש"ע גופיה הכרח ואפשר דמיירי בשנשתמש איסור בכולו כתב בסתם ודוקא כו' וכן דרכו בכמה מקומות, ודע דהרשב"א גופיה מודה דהיכא דהיתירא בלע כגון שנשתמש בו חלב במקצתו ורוצה להכשירו לבשר סגי ליה בהכשר מקצתו כמ"ש במשמרת הבית דף קכ"ח סוף ע"א בהדיא וע"ש</w:t>
      </w:r>
      <w:r>
        <w:rPr>
          <w:rFonts w:cs="Arial" w:hint="cs"/>
          <w:rtl/>
        </w:rPr>
        <w:t>, ש"ך (סקט"ז).</w:t>
      </w:r>
    </w:p>
  </w:footnote>
  <w:footnote w:id="3028">
    <w:p w14:paraId="0A3FBFDF" w14:textId="77777777" w:rsidR="004C5A3C" w:rsidRDefault="004C5A3C" w:rsidP="002C39F4">
      <w:pPr>
        <w:pStyle w:val="a5"/>
        <w:rPr>
          <w:rtl/>
        </w:rPr>
      </w:pPr>
      <w:r>
        <w:rPr>
          <w:rStyle w:val="a7"/>
        </w:rPr>
        <w:footnoteRef/>
      </w:r>
      <w:r>
        <w:rPr>
          <w:rtl/>
        </w:rPr>
        <w:t xml:space="preserve"> </w:t>
      </w:r>
      <w:r w:rsidRPr="002E0CA0">
        <w:rPr>
          <w:rFonts w:cs="Arial"/>
          <w:rtl/>
        </w:rPr>
        <w:t>וסגי בהכשר מקצתו</w:t>
      </w:r>
      <w:r>
        <w:rPr>
          <w:rFonts w:cs="Arial" w:hint="cs"/>
          <w:rtl/>
        </w:rPr>
        <w:t>,</w:t>
      </w:r>
      <w:r w:rsidRPr="002E0CA0">
        <w:rPr>
          <w:rFonts w:cs="Arial"/>
          <w:rtl/>
        </w:rPr>
        <w:t xml:space="preserve"> והיינו בדיעבד אבל לכתחלה ג"כ צריך להכשיר כולו כמ"ש הרב בא</w:t>
      </w:r>
      <w:r>
        <w:rPr>
          <w:rFonts w:cs="Arial" w:hint="cs"/>
          <w:rtl/>
        </w:rPr>
        <w:t>ו</w:t>
      </w:r>
      <w:r w:rsidRPr="002E0CA0">
        <w:rPr>
          <w:rFonts w:cs="Arial"/>
          <w:rtl/>
        </w:rPr>
        <w:t>"ח סי' תנ"א סי"ב</w:t>
      </w:r>
      <w:r>
        <w:rPr>
          <w:rFonts w:cs="Arial" w:hint="cs"/>
          <w:rtl/>
        </w:rPr>
        <w:t>,</w:t>
      </w:r>
      <w:r w:rsidRPr="002E0CA0">
        <w:rPr>
          <w:rFonts w:cs="Arial"/>
          <w:rtl/>
        </w:rPr>
        <w:t xml:space="preserve"> וכ"פ מהרש"ל שם והאו"ה </w:t>
      </w:r>
      <w:r>
        <w:rPr>
          <w:rFonts w:cs="Arial" w:hint="cs"/>
          <w:rtl/>
        </w:rPr>
        <w:t>(</w:t>
      </w:r>
      <w:r w:rsidRPr="002E0CA0">
        <w:rPr>
          <w:rFonts w:cs="Arial"/>
          <w:rtl/>
        </w:rPr>
        <w:t>כלל נח ד</w:t>
      </w:r>
      <w:r>
        <w:rPr>
          <w:rFonts w:cs="Arial" w:hint="cs"/>
          <w:rtl/>
        </w:rPr>
        <w:t>"</w:t>
      </w:r>
      <w:r w:rsidRPr="002E0CA0">
        <w:rPr>
          <w:rFonts w:cs="Arial"/>
          <w:rtl/>
        </w:rPr>
        <w:t>מ</w:t>
      </w:r>
      <w:r>
        <w:rPr>
          <w:rFonts w:cs="Arial" w:hint="cs"/>
          <w:rtl/>
        </w:rPr>
        <w:t>)</w:t>
      </w:r>
      <w:r>
        <w:rPr>
          <w:rFonts w:hint="cs"/>
          <w:rtl/>
        </w:rPr>
        <w:t>, ש"ך (סקי"ח).</w:t>
      </w:r>
    </w:p>
  </w:footnote>
  <w:footnote w:id="3029">
    <w:p w14:paraId="4AB0860F" w14:textId="77777777" w:rsidR="004C5A3C" w:rsidRDefault="004C5A3C" w:rsidP="002C39F4">
      <w:pPr>
        <w:pStyle w:val="a5"/>
        <w:rPr>
          <w:rtl/>
        </w:rPr>
      </w:pPr>
      <w:r>
        <w:rPr>
          <w:rStyle w:val="a7"/>
        </w:rPr>
        <w:footnoteRef/>
      </w:r>
      <w:r>
        <w:rPr>
          <w:rtl/>
        </w:rPr>
        <w:t xml:space="preserve"> </w:t>
      </w:r>
      <w:r>
        <w:rPr>
          <w:rFonts w:hint="cs"/>
          <w:rtl/>
        </w:rPr>
        <w:t xml:space="preserve">כן היא גיר' </w:t>
      </w:r>
      <w:r>
        <w:rPr>
          <w:rFonts w:cs="Arial"/>
          <w:rtl/>
        </w:rPr>
        <w:t xml:space="preserve">הרי"ף </w:t>
      </w:r>
      <w:r w:rsidRPr="00147F76">
        <w:rPr>
          <w:rFonts w:cs="Arial"/>
          <w:sz w:val="14"/>
          <w:szCs w:val="14"/>
          <w:rtl/>
        </w:rPr>
        <w:t xml:space="preserve">(מ.) </w:t>
      </w:r>
      <w:r>
        <w:rPr>
          <w:rFonts w:cs="Arial"/>
          <w:rtl/>
        </w:rPr>
        <w:t xml:space="preserve">והרא"ש </w:t>
      </w:r>
      <w:r w:rsidRPr="00147F76">
        <w:rPr>
          <w:rFonts w:cs="Arial"/>
          <w:sz w:val="14"/>
          <w:szCs w:val="14"/>
          <w:rtl/>
        </w:rPr>
        <w:t>(סו"ס לו)</w:t>
      </w:r>
      <w:r>
        <w:rPr>
          <w:rFonts w:cs="Arial" w:hint="cs"/>
          <w:rtl/>
        </w:rPr>
        <w:t>,</w:t>
      </w:r>
      <w:r>
        <w:rPr>
          <w:rFonts w:cs="Arial"/>
          <w:rtl/>
        </w:rPr>
        <w:t xml:space="preserve"> ו</w:t>
      </w:r>
      <w:r>
        <w:rPr>
          <w:rFonts w:cs="Arial" w:hint="cs"/>
          <w:rtl/>
        </w:rPr>
        <w:t>כ' הב"י ד</w:t>
      </w:r>
      <w:r>
        <w:rPr>
          <w:rFonts w:cs="Arial"/>
          <w:rtl/>
        </w:rPr>
        <w:t xml:space="preserve">כן נראה שהיו גורסין הרמב"ם </w:t>
      </w:r>
      <w:r w:rsidRPr="00147F76">
        <w:rPr>
          <w:rFonts w:cs="Arial"/>
          <w:sz w:val="14"/>
          <w:szCs w:val="14"/>
          <w:rtl/>
        </w:rPr>
        <w:t>(פי"ז מ</w:t>
      </w:r>
      <w:r>
        <w:rPr>
          <w:rFonts w:cs="Arial"/>
          <w:sz w:val="14"/>
          <w:szCs w:val="14"/>
          <w:rtl/>
        </w:rPr>
        <w:t>הלמ"א</w:t>
      </w:r>
      <w:r w:rsidRPr="00147F76">
        <w:rPr>
          <w:rFonts w:cs="Arial" w:hint="cs"/>
          <w:sz w:val="14"/>
          <w:szCs w:val="14"/>
          <w:rtl/>
        </w:rPr>
        <w:t xml:space="preserve"> </w:t>
      </w:r>
      <w:r w:rsidRPr="00147F76">
        <w:rPr>
          <w:rFonts w:cs="Arial"/>
          <w:sz w:val="14"/>
          <w:szCs w:val="14"/>
          <w:rtl/>
        </w:rPr>
        <w:t xml:space="preserve">ה"ז) </w:t>
      </w:r>
      <w:r>
        <w:rPr>
          <w:rFonts w:cs="Arial"/>
          <w:rtl/>
        </w:rPr>
        <w:t xml:space="preserve">והרשב"א </w:t>
      </w:r>
      <w:r w:rsidRPr="00147F76">
        <w:rPr>
          <w:rFonts w:cs="Arial"/>
          <w:sz w:val="14"/>
          <w:szCs w:val="14"/>
          <w:rtl/>
        </w:rPr>
        <w:t>(</w:t>
      </w:r>
      <w:r w:rsidRPr="00147F76">
        <w:rPr>
          <w:rFonts w:cs="Arial" w:hint="cs"/>
          <w:sz w:val="14"/>
          <w:szCs w:val="14"/>
          <w:rtl/>
        </w:rPr>
        <w:t>תוה"א</w:t>
      </w:r>
      <w:r w:rsidRPr="00147F76">
        <w:rPr>
          <w:rFonts w:cs="Arial"/>
          <w:sz w:val="14"/>
          <w:szCs w:val="14"/>
          <w:rtl/>
        </w:rPr>
        <w:t xml:space="preserve"> שם לד.)</w:t>
      </w:r>
      <w:r>
        <w:rPr>
          <w:rFonts w:hint="cs"/>
          <w:rtl/>
        </w:rPr>
        <w:t>.</w:t>
      </w:r>
    </w:p>
  </w:footnote>
  <w:footnote w:id="3030">
    <w:p w14:paraId="7113C231" w14:textId="77777777" w:rsidR="004C5A3C" w:rsidRDefault="004C5A3C" w:rsidP="002C39F4">
      <w:pPr>
        <w:pStyle w:val="a5"/>
        <w:rPr>
          <w:rtl/>
        </w:rPr>
      </w:pPr>
      <w:r>
        <w:rPr>
          <w:rStyle w:val="a7"/>
        </w:rPr>
        <w:footnoteRef/>
      </w:r>
      <w:r>
        <w:rPr>
          <w:rtl/>
        </w:rPr>
        <w:t xml:space="preserve"> </w:t>
      </w:r>
      <w:r>
        <w:rPr>
          <w:rFonts w:hint="cs"/>
          <w:rtl/>
        </w:rPr>
        <w:t xml:space="preserve">וכ' הרא"ש (שם) על דבריו- </w:t>
      </w:r>
      <w:r>
        <w:rPr>
          <w:rFonts w:cs="Arial"/>
          <w:rtl/>
        </w:rPr>
        <w:t>ולא נהירא</w:t>
      </w:r>
      <w:r>
        <w:rPr>
          <w:rFonts w:cs="Arial" w:hint="cs"/>
          <w:rtl/>
        </w:rPr>
        <w:t>,</w:t>
      </w:r>
      <w:r>
        <w:rPr>
          <w:rFonts w:cs="Arial"/>
          <w:rtl/>
        </w:rPr>
        <w:t xml:space="preserve"> דלמה לא פירשה המשנה כל דין הכשרות</w:t>
      </w:r>
      <w:r>
        <w:rPr>
          <w:rFonts w:cs="Arial" w:hint="cs"/>
          <w:rtl/>
        </w:rPr>
        <w:t>,</w:t>
      </w:r>
      <w:r>
        <w:rPr>
          <w:rFonts w:cs="Arial"/>
          <w:rtl/>
        </w:rPr>
        <w:t xml:space="preserve"> ועוד דעובדא דשבור מלכא תקשה דאיהו לא עבד אלא נעיצה</w:t>
      </w:r>
      <w:r>
        <w:rPr>
          <w:rFonts w:cs="Arial" w:hint="cs"/>
          <w:rtl/>
        </w:rPr>
        <w:t>,</w:t>
      </w:r>
      <w:r>
        <w:rPr>
          <w:rFonts w:cs="Arial"/>
          <w:rtl/>
        </w:rPr>
        <w:t xml:space="preserve"> אלא ודאי או הא או הא בעי</w:t>
      </w:r>
      <w:r>
        <w:rPr>
          <w:rFonts w:cs="Arial" w:hint="cs"/>
          <w:rtl/>
        </w:rPr>
        <w:t>.</w:t>
      </w:r>
    </w:p>
  </w:footnote>
  <w:footnote w:id="3031">
    <w:p w14:paraId="1E0DBC5A" w14:textId="77777777" w:rsidR="004C5A3C" w:rsidRDefault="004C5A3C" w:rsidP="002C39F4">
      <w:pPr>
        <w:pStyle w:val="a5"/>
        <w:rPr>
          <w:rtl/>
        </w:rPr>
      </w:pPr>
      <w:r>
        <w:rPr>
          <w:rStyle w:val="a7"/>
        </w:rPr>
        <w:footnoteRef/>
      </w:r>
      <w:r>
        <w:rPr>
          <w:rtl/>
        </w:rPr>
        <w:t xml:space="preserve"> </w:t>
      </w:r>
      <w:r>
        <w:rPr>
          <w:rFonts w:hint="cs"/>
          <w:rtl/>
        </w:rPr>
        <w:t>הביאו ה</w:t>
      </w:r>
      <w:r>
        <w:rPr>
          <w:rFonts w:cs="Arial" w:hint="cs"/>
          <w:rtl/>
        </w:rPr>
        <w:t xml:space="preserve">דרכ"מ (אות יז) וכ' על דבריו- </w:t>
      </w:r>
      <w:r w:rsidRPr="001B13E6">
        <w:rPr>
          <w:rFonts w:cs="Arial"/>
          <w:rtl/>
        </w:rPr>
        <w:t>ולי נראה דבריו דוקא כשלקחן לביתו להשתמש בו קבע אבל דרך עראי בבית גוי לא חיישינן כמו שכתבתי לעיל ריש סימן זה (אות א)</w:t>
      </w:r>
      <w:r>
        <w:rPr>
          <w:rFonts w:cs="Arial" w:hint="cs"/>
          <w:rtl/>
        </w:rPr>
        <w:t>.</w:t>
      </w:r>
      <w:r w:rsidRPr="00C853BA">
        <w:rPr>
          <w:rFonts w:cs="Arial" w:hint="cs"/>
          <w:color w:val="00B0F0"/>
          <w:rtl/>
        </w:rPr>
        <w:t xml:space="preserve"> (וכ"פ </w:t>
      </w:r>
      <w:r>
        <w:rPr>
          <w:rFonts w:cs="Arial" w:hint="cs"/>
          <w:color w:val="00B0F0"/>
          <w:rtl/>
        </w:rPr>
        <w:t>בהגה</w:t>
      </w:r>
      <w:r w:rsidRPr="00C853BA">
        <w:rPr>
          <w:rFonts w:cs="Arial" w:hint="cs"/>
          <w:color w:val="00B0F0"/>
          <w:rtl/>
        </w:rPr>
        <w:t>)</w:t>
      </w:r>
    </w:p>
  </w:footnote>
  <w:footnote w:id="3032">
    <w:p w14:paraId="0FFF8790" w14:textId="77777777" w:rsidR="004C5A3C" w:rsidRDefault="004C5A3C" w:rsidP="002C39F4">
      <w:pPr>
        <w:pStyle w:val="a5"/>
      </w:pPr>
      <w:r>
        <w:rPr>
          <w:rStyle w:val="a7"/>
        </w:rPr>
        <w:footnoteRef/>
      </w:r>
      <w:r>
        <w:rPr>
          <w:rtl/>
        </w:rPr>
        <w:t xml:space="preserve"> </w:t>
      </w:r>
      <w:r>
        <w:rPr>
          <w:rFonts w:cs="Arial"/>
          <w:rtl/>
        </w:rPr>
        <w:t>ונראה שלמד כן מדאמרינן בגמרא (עז:) בעובדא דשבור מלכא דצה עשרה זימני בארעא למיפסק בה אתרוגא ומשמע דאתרוג חריף הוא כצנון ואפילו הכי שרי בנעיצה ומשמע ליה דהוא הדין לשיפה דנעיצה ושיפה שוים הם</w:t>
      </w:r>
      <w:r>
        <w:rPr>
          <w:rFonts w:cs="Arial" w:hint="cs"/>
          <w:rtl/>
        </w:rPr>
        <w:t>, ב"י.</w:t>
      </w:r>
    </w:p>
  </w:footnote>
  <w:footnote w:id="3033">
    <w:p w14:paraId="590061FF" w14:textId="77777777" w:rsidR="004C5A3C" w:rsidRDefault="004C5A3C" w:rsidP="002C39F4">
      <w:pPr>
        <w:pStyle w:val="a5"/>
        <w:rPr>
          <w:rtl/>
        </w:rPr>
      </w:pPr>
      <w:r>
        <w:rPr>
          <w:rStyle w:val="a7"/>
        </w:rPr>
        <w:footnoteRef/>
      </w:r>
      <w:r>
        <w:rPr>
          <w:rtl/>
        </w:rPr>
        <w:t xml:space="preserve"> </w:t>
      </w:r>
      <w:r>
        <w:rPr>
          <w:rFonts w:hint="cs"/>
          <w:rtl/>
        </w:rPr>
        <w:t>אפילו רוצה לחתוך עמה צונן</w:t>
      </w:r>
      <w:r w:rsidRPr="0048060E">
        <w:rPr>
          <w:rFonts w:hint="cs"/>
          <w:sz w:val="16"/>
          <w:szCs w:val="16"/>
          <w:rtl/>
        </w:rPr>
        <w:t xml:space="preserve"> (ע"פ דברי הרמב"ם שם)</w:t>
      </w:r>
      <w:r>
        <w:rPr>
          <w:rFonts w:hint="cs"/>
          <w:rtl/>
        </w:rPr>
        <w:t>.</w:t>
      </w:r>
    </w:p>
  </w:footnote>
  <w:footnote w:id="3034">
    <w:p w14:paraId="7EBC66CC" w14:textId="77777777" w:rsidR="004C5A3C" w:rsidRDefault="004C5A3C" w:rsidP="002C39F4">
      <w:pPr>
        <w:pStyle w:val="a5"/>
      </w:pPr>
      <w:r>
        <w:rPr>
          <w:rStyle w:val="a7"/>
        </w:rPr>
        <w:footnoteRef/>
      </w:r>
      <w:r>
        <w:rPr>
          <w:rtl/>
        </w:rPr>
        <w:t xml:space="preserve"> </w:t>
      </w:r>
      <w:r>
        <w:rPr>
          <w:rFonts w:cs="Arial"/>
          <w:rtl/>
        </w:rPr>
        <w:t>ואע</w:t>
      </w:r>
      <w:r>
        <w:rPr>
          <w:rFonts w:cs="Arial" w:hint="cs"/>
          <w:rtl/>
        </w:rPr>
        <w:t>"</w:t>
      </w:r>
      <w:r>
        <w:rPr>
          <w:rFonts w:cs="Arial"/>
          <w:rtl/>
        </w:rPr>
        <w:t>ג דרב עוקבא אמר נועצה עשר פעמים כתב הרא"ש דלאו דוקא עשר דהא בירושלמי (סוף ע"ז) קאמר שלש פעמים</w:t>
      </w:r>
      <w:r>
        <w:rPr>
          <w:rFonts w:cs="Arial" w:hint="cs"/>
          <w:rtl/>
        </w:rPr>
        <w:t>,</w:t>
      </w:r>
      <w:r>
        <w:rPr>
          <w:rFonts w:cs="Arial"/>
          <w:rtl/>
        </w:rPr>
        <w:t xml:space="preserve"> וכ</w:t>
      </w:r>
      <w:r>
        <w:rPr>
          <w:rFonts w:cs="Arial" w:hint="cs"/>
          <w:rtl/>
        </w:rPr>
        <w:t>"</w:t>
      </w:r>
      <w:r>
        <w:rPr>
          <w:rFonts w:cs="Arial"/>
          <w:rtl/>
        </w:rPr>
        <w:t>כ הר"ן (שם) בשם התוס</w:t>
      </w:r>
      <w:r>
        <w:rPr>
          <w:rFonts w:cs="Arial" w:hint="cs"/>
          <w:rtl/>
        </w:rPr>
        <w:t>',</w:t>
      </w:r>
      <w:r>
        <w:rPr>
          <w:rFonts w:cs="Arial"/>
          <w:rtl/>
        </w:rPr>
        <w:t xml:space="preserve"> אבל בתוס</w:t>
      </w:r>
      <w:r>
        <w:rPr>
          <w:rFonts w:cs="Arial" w:hint="cs"/>
          <w:rtl/>
        </w:rPr>
        <w:t>'</w:t>
      </w:r>
      <w:r>
        <w:rPr>
          <w:rFonts w:cs="Arial"/>
          <w:rtl/>
        </w:rPr>
        <w:t xml:space="preserve"> שלנו (עו: ד"ה הסכין) כתוב דמדקאמר לקמן דצה עשר פעמים בקרקע משמע דדוקא קאמר ויש להחמיר עכ"ל. והרמב"ם והרשב"א (שם) כתבו סתם נועצה עשר פעמים בקרקע כלישנא דגמרא דידן</w:t>
      </w:r>
      <w:r>
        <w:rPr>
          <w:rFonts w:cs="Arial" w:hint="cs"/>
          <w:rtl/>
        </w:rPr>
        <w:t>,</w:t>
      </w:r>
      <w:r>
        <w:rPr>
          <w:rFonts w:cs="Arial"/>
          <w:rtl/>
        </w:rPr>
        <w:t xml:space="preserve"> נראה דמשמע להו דדוקא קאמר</w:t>
      </w:r>
      <w:r>
        <w:rPr>
          <w:rFonts w:cs="Arial" w:hint="cs"/>
          <w:rtl/>
        </w:rPr>
        <w:t>,</w:t>
      </w:r>
      <w:r>
        <w:rPr>
          <w:rFonts w:cs="Arial"/>
          <w:rtl/>
        </w:rPr>
        <w:t xml:space="preserve"> וכיון דשניהם מסכימים לדעת אחת הכי נקטינן</w:t>
      </w:r>
      <w:r>
        <w:rPr>
          <w:rFonts w:cs="Arial" w:hint="cs"/>
          <w:rtl/>
        </w:rPr>
        <w:t>, ב"י.</w:t>
      </w:r>
    </w:p>
  </w:footnote>
  <w:footnote w:id="3035">
    <w:p w14:paraId="1CC0A748" w14:textId="77777777" w:rsidR="004C5A3C" w:rsidRDefault="004C5A3C" w:rsidP="002C39F4">
      <w:pPr>
        <w:pStyle w:val="a5"/>
      </w:pPr>
      <w:r>
        <w:rPr>
          <w:rStyle w:val="a7"/>
        </w:rPr>
        <w:footnoteRef/>
      </w:r>
      <w:r>
        <w:rPr>
          <w:rtl/>
        </w:rPr>
        <w:t xml:space="preserve"> </w:t>
      </w:r>
      <w:r w:rsidRPr="006D6FA9">
        <w:rPr>
          <w:rFonts w:cs="Arial"/>
          <w:rtl/>
        </w:rPr>
        <w:t>דאלמא דהאי דאמרינן בגמ</w:t>
      </w:r>
      <w:r>
        <w:rPr>
          <w:rFonts w:cs="Arial" w:hint="cs"/>
          <w:rtl/>
        </w:rPr>
        <w:t>'</w:t>
      </w:r>
      <w:r w:rsidRPr="006D6FA9">
        <w:rPr>
          <w:rFonts w:cs="Arial"/>
          <w:rtl/>
        </w:rPr>
        <w:t xml:space="preserve"> דילן עשרה פעמים אינו אלא לומר שצריך שינעצנה בקרקע כדי להעביר טיחת האיסור שעל פניה יפה יפה</w:t>
      </w:r>
      <w:r>
        <w:rPr>
          <w:rFonts w:cs="Arial" w:hint="cs"/>
          <w:rtl/>
        </w:rPr>
        <w:t>, ר"ן</w:t>
      </w:r>
      <w:r>
        <w:rPr>
          <w:rFonts w:cs="Arial"/>
          <w:rtl/>
        </w:rPr>
        <w:t>.</w:t>
      </w:r>
    </w:p>
  </w:footnote>
  <w:footnote w:id="3036">
    <w:p w14:paraId="25DE42B5" w14:textId="77777777" w:rsidR="004C5A3C" w:rsidRDefault="004C5A3C" w:rsidP="002C39F4">
      <w:pPr>
        <w:pStyle w:val="a5"/>
      </w:pPr>
      <w:r>
        <w:rPr>
          <w:rStyle w:val="a7"/>
        </w:rPr>
        <w:footnoteRef/>
      </w:r>
      <w:r>
        <w:rPr>
          <w:rtl/>
        </w:rPr>
        <w:t xml:space="preserve"> </w:t>
      </w:r>
      <w:r>
        <w:rPr>
          <w:rFonts w:cs="Arial" w:hint="cs"/>
          <w:rtl/>
        </w:rPr>
        <w:t xml:space="preserve">כן פירש רש"י במשנה (ד"ה שפה), אבל בגמ' (עו: </w:t>
      </w:r>
      <w:r w:rsidRPr="002C5F95">
        <w:rPr>
          <w:rFonts w:cs="Arial"/>
          <w:rtl/>
        </w:rPr>
        <w:t>ד"ה ונועצה</w:t>
      </w:r>
      <w:r>
        <w:rPr>
          <w:rFonts w:cs="Arial" w:hint="cs"/>
          <w:sz w:val="16"/>
          <w:szCs w:val="16"/>
          <w:rtl/>
        </w:rPr>
        <w:t>)</w:t>
      </w:r>
      <w:r w:rsidRPr="0011442D">
        <w:rPr>
          <w:rFonts w:cs="Arial"/>
          <w:sz w:val="16"/>
          <w:szCs w:val="16"/>
          <w:rtl/>
        </w:rPr>
        <w:t xml:space="preserve"> </w:t>
      </w:r>
      <w:r w:rsidRPr="0011442D">
        <w:rPr>
          <w:rFonts w:cs="Arial"/>
          <w:rtl/>
        </w:rPr>
        <w:t>כתב</w:t>
      </w:r>
      <w:r>
        <w:rPr>
          <w:rFonts w:cs="Arial" w:hint="cs"/>
          <w:rtl/>
        </w:rPr>
        <w:t>-</w:t>
      </w:r>
      <w:r w:rsidRPr="0011442D">
        <w:rPr>
          <w:rFonts w:cs="Arial"/>
          <w:rtl/>
        </w:rPr>
        <w:t xml:space="preserve"> וי</w:t>
      </w:r>
      <w:r>
        <w:rPr>
          <w:rFonts w:cs="Arial" w:hint="cs"/>
          <w:rtl/>
        </w:rPr>
        <w:t>"א</w:t>
      </w:r>
      <w:r w:rsidRPr="0011442D">
        <w:rPr>
          <w:rFonts w:cs="Arial"/>
          <w:rtl/>
        </w:rPr>
        <w:t xml:space="preserve"> משפשפה בבגד צמר שאינו חלק ומעביר שמנוניתה</w:t>
      </w:r>
      <w:r w:rsidRPr="0011442D">
        <w:rPr>
          <w:rFonts w:cs="Arial" w:hint="cs"/>
          <w:sz w:val="14"/>
          <w:szCs w:val="14"/>
          <w:rtl/>
        </w:rPr>
        <w:t xml:space="preserve"> {עכ"ל}</w:t>
      </w:r>
      <w:r>
        <w:rPr>
          <w:rFonts w:cs="Arial" w:hint="cs"/>
          <w:rtl/>
        </w:rPr>
        <w:t>.</w:t>
      </w:r>
      <w:r w:rsidRPr="0011442D">
        <w:rPr>
          <w:rFonts w:cs="Arial"/>
          <w:rtl/>
        </w:rPr>
        <w:t xml:space="preserve"> </w:t>
      </w:r>
      <w:r>
        <w:rPr>
          <w:rFonts w:cs="Arial" w:hint="cs"/>
          <w:rtl/>
        </w:rPr>
        <w:t xml:space="preserve">וכ' הב"י דאע"ג שפירש כן בגמ', </w:t>
      </w:r>
      <w:r w:rsidRPr="0011442D">
        <w:rPr>
          <w:rFonts w:cs="Arial"/>
          <w:rtl/>
        </w:rPr>
        <w:t>היינו לדידיה דמצריך שיפה ונעיצה</w:t>
      </w:r>
      <w:r>
        <w:rPr>
          <w:rFonts w:cs="Arial" w:hint="cs"/>
          <w:rtl/>
        </w:rPr>
        <w:t>,</w:t>
      </w:r>
      <w:r w:rsidRPr="0011442D">
        <w:rPr>
          <w:rFonts w:cs="Arial"/>
          <w:rtl/>
        </w:rPr>
        <w:t xml:space="preserve"> אבל למאן דסגי ליה בחד מינייהו משמע ודאי דלא סגי ליה בשפשוף בבגד אלא שפשוף דמשחזת דוקא בעינן</w:t>
      </w:r>
      <w:r>
        <w:rPr>
          <w:rFonts w:cs="Arial" w:hint="cs"/>
          <w:rtl/>
        </w:rPr>
        <w:t>.</w:t>
      </w:r>
    </w:p>
  </w:footnote>
  <w:footnote w:id="3037">
    <w:p w14:paraId="5AB1F384" w14:textId="77777777" w:rsidR="004C5A3C" w:rsidRDefault="004C5A3C" w:rsidP="002C39F4">
      <w:pPr>
        <w:pStyle w:val="a5"/>
      </w:pPr>
      <w:r>
        <w:rPr>
          <w:rStyle w:val="a7"/>
        </w:rPr>
        <w:footnoteRef/>
      </w:r>
      <w:r>
        <w:rPr>
          <w:rtl/>
        </w:rPr>
        <w:t xml:space="preserve"> </w:t>
      </w:r>
      <w:r w:rsidRPr="00F00E01">
        <w:rPr>
          <w:rFonts w:cs="Arial"/>
          <w:rtl/>
        </w:rPr>
        <w:t>לא צריך לאותבינהו בנורא, אלא פרזלייהו כי קתייהו נמי סגי להו בהגעלה ברותחין</w:t>
      </w:r>
      <w:r>
        <w:rPr>
          <w:rFonts w:cs="Arial" w:hint="cs"/>
          <w:rtl/>
        </w:rPr>
        <w:t>, רש"י</w:t>
      </w:r>
      <w:r w:rsidRPr="00F00E01">
        <w:rPr>
          <w:rFonts w:cs="Arial"/>
          <w:rtl/>
        </w:rPr>
        <w:t>.</w:t>
      </w:r>
    </w:p>
  </w:footnote>
  <w:footnote w:id="3038">
    <w:p w14:paraId="77D80004" w14:textId="77777777" w:rsidR="004C5A3C" w:rsidRDefault="004C5A3C" w:rsidP="002C39F4">
      <w:pPr>
        <w:pStyle w:val="a5"/>
      </w:pPr>
      <w:r>
        <w:rPr>
          <w:rStyle w:val="a7"/>
        </w:rPr>
        <w:footnoteRef/>
      </w:r>
      <w:r>
        <w:rPr>
          <w:rtl/>
        </w:rPr>
        <w:t xml:space="preserve"> </w:t>
      </w:r>
      <w:r>
        <w:rPr>
          <w:rFonts w:hint="cs"/>
          <w:rtl/>
        </w:rPr>
        <w:t>וז"ל-</w:t>
      </w:r>
      <w:r w:rsidRPr="00A94968">
        <w:rPr>
          <w:rFonts w:cs="Arial"/>
          <w:rtl/>
        </w:rPr>
        <w:t xml:space="preserve"> </w:t>
      </w:r>
      <w:r w:rsidRPr="007773F1">
        <w:rPr>
          <w:rFonts w:cs="Arial"/>
          <w:rtl/>
        </w:rPr>
        <w:t>בכל האיסורין</w:t>
      </w:r>
      <w:r>
        <w:rPr>
          <w:rFonts w:cs="Arial" w:hint="cs"/>
          <w:rtl/>
        </w:rPr>
        <w:t xml:space="preserve"> </w:t>
      </w:r>
      <w:r w:rsidRPr="007773F1">
        <w:rPr>
          <w:rFonts w:cs="Arial"/>
          <w:rtl/>
        </w:rPr>
        <w:t>אין הסכין צריך אלא הגעלה אע</w:t>
      </w:r>
      <w:r w:rsidRPr="007773F1">
        <w:rPr>
          <w:rFonts w:cs="Arial" w:hint="cs"/>
          <w:rtl/>
        </w:rPr>
        <w:t>"</w:t>
      </w:r>
      <w:r w:rsidRPr="007773F1">
        <w:rPr>
          <w:rFonts w:cs="Arial"/>
          <w:rtl/>
        </w:rPr>
        <w:t>ג דאיסורא בלע</w:t>
      </w:r>
      <w:r>
        <w:rPr>
          <w:rFonts w:cs="Arial" w:hint="cs"/>
          <w:rtl/>
        </w:rPr>
        <w:t>.</w:t>
      </w:r>
    </w:p>
  </w:footnote>
  <w:footnote w:id="3039">
    <w:p w14:paraId="34859D54" w14:textId="77777777" w:rsidR="004C5A3C" w:rsidRDefault="004C5A3C" w:rsidP="002C39F4">
      <w:pPr>
        <w:pStyle w:val="a5"/>
        <w:rPr>
          <w:rtl/>
        </w:rPr>
      </w:pPr>
      <w:r>
        <w:rPr>
          <w:rStyle w:val="a7"/>
        </w:rPr>
        <w:footnoteRef/>
      </w:r>
      <w:r>
        <w:rPr>
          <w:rtl/>
        </w:rPr>
        <w:t xml:space="preserve"> </w:t>
      </w:r>
      <w:r>
        <w:rPr>
          <w:rFonts w:hint="cs"/>
          <w:rtl/>
        </w:rPr>
        <w:t xml:space="preserve">וז"ל- </w:t>
      </w:r>
      <w:r w:rsidRPr="007773F1">
        <w:rPr>
          <w:rFonts w:cs="Arial"/>
          <w:rtl/>
        </w:rPr>
        <w:t>בא לחתוך בה רותח יש מגדולי המורים שהורו שצריכה ליבון</w:t>
      </w:r>
      <w:r>
        <w:rPr>
          <w:rFonts w:cs="Arial" w:hint="cs"/>
          <w:rtl/>
        </w:rPr>
        <w:t>,</w:t>
      </w:r>
      <w:r w:rsidRPr="007773F1">
        <w:rPr>
          <w:rFonts w:cs="Arial"/>
          <w:rtl/>
        </w:rPr>
        <w:t xml:space="preserve"> ויש מי שאומרים שהסכינים הגדולים צריכין ליבון פעמים שצולין בהם בשר על גבי האש בשפוד אבל הקטנים מגעילן ודיו במה דברים אמורים בסכינין של גוים אבל בסכין שמכשירין בפסח מגעילן ודיו ואפילו הגדולים שבהם</w:t>
      </w:r>
      <w:r w:rsidRPr="007773F1">
        <w:rPr>
          <w:rFonts w:cs="Arial" w:hint="cs"/>
          <w:rtl/>
        </w:rPr>
        <w:t>,</w:t>
      </w:r>
      <w:r w:rsidRPr="007773F1">
        <w:rPr>
          <w:rFonts w:cs="Arial"/>
          <w:rtl/>
        </w:rPr>
        <w:t xml:space="preserve"> ויש מי שהורה להקל בכולן להגעילן בכלי ראשון ודיו וכן נהגו</w:t>
      </w:r>
      <w:r w:rsidRPr="007773F1">
        <w:rPr>
          <w:rFonts w:cs="Arial" w:hint="cs"/>
          <w:rtl/>
        </w:rPr>
        <w:t>.</w:t>
      </w:r>
    </w:p>
  </w:footnote>
  <w:footnote w:id="3040">
    <w:p w14:paraId="04F16D5F" w14:textId="77777777" w:rsidR="004C5A3C" w:rsidRDefault="004C5A3C" w:rsidP="002C39F4">
      <w:pPr>
        <w:pStyle w:val="a5"/>
        <w:rPr>
          <w:rtl/>
        </w:rPr>
      </w:pPr>
      <w:r>
        <w:rPr>
          <w:rStyle w:val="a7"/>
        </w:rPr>
        <w:footnoteRef/>
      </w:r>
      <w:r>
        <w:rPr>
          <w:rtl/>
        </w:rPr>
        <w:t xml:space="preserve"> </w:t>
      </w:r>
      <w:r w:rsidRPr="007773F1">
        <w:rPr>
          <w:rFonts w:cs="Arial"/>
          <w:rtl/>
        </w:rPr>
        <w:t xml:space="preserve">רש"י </w:t>
      </w:r>
      <w:r w:rsidRPr="007E5631">
        <w:rPr>
          <w:rFonts w:cs="Arial"/>
          <w:sz w:val="16"/>
          <w:szCs w:val="16"/>
          <w:rtl/>
        </w:rPr>
        <w:t>(</w:t>
      </w:r>
      <w:r>
        <w:rPr>
          <w:rFonts w:cs="Arial" w:hint="cs"/>
          <w:sz w:val="16"/>
          <w:szCs w:val="16"/>
          <w:rtl/>
        </w:rPr>
        <w:t xml:space="preserve">ע"ז </w:t>
      </w:r>
      <w:r w:rsidRPr="00457A0E">
        <w:rPr>
          <w:rFonts w:cs="Arial"/>
          <w:sz w:val="16"/>
          <w:szCs w:val="16"/>
          <w:rtl/>
        </w:rPr>
        <w:t>עו: ד"ה ולאכול בה</w:t>
      </w:r>
      <w:r>
        <w:rPr>
          <w:rFonts w:cs="Arial" w:hint="cs"/>
          <w:sz w:val="16"/>
          <w:szCs w:val="16"/>
          <w:rtl/>
        </w:rPr>
        <w:t>,</w:t>
      </w:r>
      <w:r w:rsidRPr="007E5631">
        <w:rPr>
          <w:rFonts w:cs="Arial"/>
          <w:sz w:val="16"/>
          <w:szCs w:val="16"/>
          <w:rtl/>
        </w:rPr>
        <w:t xml:space="preserve"> תשו</w:t>
      </w:r>
      <w:r w:rsidRPr="007E5631">
        <w:rPr>
          <w:rFonts w:cs="Arial" w:hint="cs"/>
          <w:sz w:val="16"/>
          <w:szCs w:val="16"/>
          <w:rtl/>
        </w:rPr>
        <w:t>'</w:t>
      </w:r>
      <w:r w:rsidRPr="007E5631">
        <w:rPr>
          <w:rFonts w:cs="Arial"/>
          <w:sz w:val="16"/>
          <w:szCs w:val="16"/>
          <w:rtl/>
        </w:rPr>
        <w:t xml:space="preserve"> רש"י מהד' אלפנביין סי' שלג</w:t>
      </w:r>
      <w:r>
        <w:rPr>
          <w:rFonts w:cs="Arial" w:hint="cs"/>
          <w:sz w:val="16"/>
          <w:szCs w:val="16"/>
          <w:rtl/>
        </w:rPr>
        <w:t>,</w:t>
      </w:r>
      <w:r w:rsidRPr="007E5631">
        <w:rPr>
          <w:rFonts w:cs="Arial"/>
          <w:sz w:val="16"/>
          <w:szCs w:val="16"/>
          <w:rtl/>
        </w:rPr>
        <w:t xml:space="preserve"> האורה ח"א סי' פא)</w:t>
      </w:r>
      <w:r>
        <w:rPr>
          <w:rFonts w:cs="Arial" w:hint="cs"/>
          <w:rtl/>
        </w:rPr>
        <w:t xml:space="preserve"> </w:t>
      </w:r>
      <w:r w:rsidRPr="007773F1">
        <w:rPr>
          <w:rFonts w:cs="Arial"/>
          <w:rtl/>
        </w:rPr>
        <w:t xml:space="preserve">רשב"א </w:t>
      </w:r>
      <w:r w:rsidRPr="007773F1">
        <w:rPr>
          <w:rFonts w:cs="Arial" w:hint="cs"/>
          <w:sz w:val="16"/>
          <w:szCs w:val="16"/>
          <w:rtl/>
        </w:rPr>
        <w:t>(תוה"ק</w:t>
      </w:r>
      <w:r w:rsidRPr="007773F1">
        <w:rPr>
          <w:rFonts w:cs="Arial"/>
          <w:sz w:val="16"/>
          <w:szCs w:val="16"/>
          <w:rtl/>
        </w:rPr>
        <w:t xml:space="preserve"> ב"ד ש"ד לה.)</w:t>
      </w:r>
      <w:r>
        <w:rPr>
          <w:rFonts w:cs="Arial" w:hint="cs"/>
          <w:rtl/>
        </w:rPr>
        <w:t xml:space="preserve"> ו</w:t>
      </w:r>
      <w:r w:rsidRPr="00A94968">
        <w:rPr>
          <w:rFonts w:cs="Arial" w:hint="cs"/>
          <w:rtl/>
        </w:rPr>
        <w:t xml:space="preserve">ר"ן </w:t>
      </w:r>
      <w:r w:rsidRPr="00A94968">
        <w:rPr>
          <w:rFonts w:cs="Arial" w:hint="cs"/>
          <w:sz w:val="16"/>
          <w:szCs w:val="16"/>
          <w:rtl/>
        </w:rPr>
        <w:t>(</w:t>
      </w:r>
      <w:r w:rsidRPr="00A94968">
        <w:rPr>
          <w:rFonts w:cs="Arial"/>
          <w:sz w:val="16"/>
          <w:szCs w:val="16"/>
          <w:rtl/>
        </w:rPr>
        <w:t>ח. ד"ה ומסקי' וד"ה אבל</w:t>
      </w:r>
      <w:r w:rsidRPr="00A94968">
        <w:rPr>
          <w:rFonts w:cs="Arial" w:hint="cs"/>
          <w:sz w:val="16"/>
          <w:szCs w:val="16"/>
          <w:rtl/>
        </w:rPr>
        <w:t>)</w:t>
      </w:r>
      <w:r>
        <w:rPr>
          <w:rFonts w:hint="cs"/>
          <w:rtl/>
        </w:rPr>
        <w:t>.</w:t>
      </w:r>
    </w:p>
  </w:footnote>
  <w:footnote w:id="3041">
    <w:p w14:paraId="3CFD7E6C" w14:textId="77777777" w:rsidR="004C5A3C" w:rsidRDefault="004C5A3C" w:rsidP="002C39F4">
      <w:pPr>
        <w:pStyle w:val="a5"/>
        <w:rPr>
          <w:rtl/>
        </w:rPr>
      </w:pPr>
      <w:r>
        <w:rPr>
          <w:rStyle w:val="a7"/>
        </w:rPr>
        <w:footnoteRef/>
      </w:r>
      <w:r>
        <w:rPr>
          <w:rtl/>
        </w:rPr>
        <w:t xml:space="preserve"> </w:t>
      </w:r>
      <w:r>
        <w:rPr>
          <w:rFonts w:cs="Arial" w:hint="cs"/>
          <w:rtl/>
        </w:rPr>
        <w:t>ד</w:t>
      </w:r>
      <w:r w:rsidRPr="007773F1">
        <w:rPr>
          <w:rFonts w:cs="Arial"/>
          <w:rtl/>
        </w:rPr>
        <w:t>אין רוב תשמישו בכך ומשום הכי סגי להו ברותחין</w:t>
      </w:r>
      <w:r>
        <w:rPr>
          <w:rFonts w:cs="Arial" w:hint="cs"/>
          <w:rtl/>
        </w:rPr>
        <w:t>,</w:t>
      </w:r>
      <w:r w:rsidRPr="007773F1">
        <w:rPr>
          <w:rFonts w:cs="Arial"/>
          <w:rtl/>
        </w:rPr>
        <w:t xml:space="preserve"> ומיהו כלי ראשון בעינן דזימנין דמעייל להו בדודא דבישרא והוי ליה כעין כפא</w:t>
      </w:r>
      <w:r w:rsidRPr="007773F1">
        <w:rPr>
          <w:rFonts w:cs="Arial" w:hint="cs"/>
          <w:rtl/>
        </w:rPr>
        <w:t>,</w:t>
      </w:r>
      <w:r w:rsidRPr="007773F1">
        <w:rPr>
          <w:rFonts w:cs="Arial"/>
          <w:rtl/>
        </w:rPr>
        <w:t xml:space="preserve"> וכ"כ ב</w:t>
      </w:r>
      <w:r w:rsidRPr="007773F1">
        <w:rPr>
          <w:rFonts w:cs="Arial" w:hint="cs"/>
          <w:rtl/>
        </w:rPr>
        <w:t>ה"ג</w:t>
      </w:r>
      <w:r w:rsidRPr="007773F1">
        <w:rPr>
          <w:rFonts w:cs="Arial"/>
          <w:rtl/>
        </w:rPr>
        <w:t xml:space="preserve"> (הל</w:t>
      </w:r>
      <w:r w:rsidRPr="007773F1">
        <w:rPr>
          <w:rFonts w:cs="Arial" w:hint="cs"/>
          <w:rtl/>
        </w:rPr>
        <w:t>'</w:t>
      </w:r>
      <w:r w:rsidRPr="007773F1">
        <w:rPr>
          <w:rFonts w:cs="Arial"/>
          <w:rtl/>
        </w:rPr>
        <w:t xml:space="preserve"> פסח ל.)</w:t>
      </w:r>
      <w:r>
        <w:rPr>
          <w:rFonts w:cs="Arial" w:hint="cs"/>
          <w:rtl/>
        </w:rPr>
        <w:t>,</w:t>
      </w:r>
      <w:r w:rsidRPr="007773F1">
        <w:rPr>
          <w:rFonts w:cs="Arial"/>
          <w:rtl/>
        </w:rPr>
        <w:t xml:space="preserve"> ואע</w:t>
      </w:r>
      <w:r w:rsidRPr="007773F1">
        <w:rPr>
          <w:rFonts w:cs="Arial" w:hint="cs"/>
          <w:rtl/>
        </w:rPr>
        <w:t>"</w:t>
      </w:r>
      <w:r w:rsidRPr="007773F1">
        <w:rPr>
          <w:rFonts w:cs="Arial"/>
          <w:rtl/>
        </w:rPr>
        <w:t>פ שבענין זה אינו עיקר תשמישו כיון שפעמים משתמש בו ע</w:t>
      </w:r>
      <w:r w:rsidRPr="007773F1">
        <w:rPr>
          <w:rFonts w:cs="Arial" w:hint="cs"/>
          <w:rtl/>
        </w:rPr>
        <w:t>"</w:t>
      </w:r>
      <w:r w:rsidRPr="007773F1">
        <w:rPr>
          <w:rFonts w:cs="Arial"/>
          <w:rtl/>
        </w:rPr>
        <w:t>י האור ממש ולפי אותו תשמיש צריך ליבון</w:t>
      </w:r>
      <w:r>
        <w:rPr>
          <w:rFonts w:cs="Arial" w:hint="cs"/>
          <w:rtl/>
        </w:rPr>
        <w:t>,</w:t>
      </w:r>
      <w:r w:rsidRPr="007773F1">
        <w:rPr>
          <w:rFonts w:cs="Arial"/>
          <w:rtl/>
        </w:rPr>
        <w:t xml:space="preserve"> ופעמים שהוא משתמש בו בכלי ראשון וכמו שכתבתי ולפי אותו תשמיש צריך הגעלה</w:t>
      </w:r>
      <w:r>
        <w:rPr>
          <w:rFonts w:cs="Arial" w:hint="cs"/>
          <w:rtl/>
        </w:rPr>
        <w:t>,</w:t>
      </w:r>
      <w:r w:rsidRPr="007773F1">
        <w:rPr>
          <w:rFonts w:cs="Arial"/>
          <w:rtl/>
        </w:rPr>
        <w:t xml:space="preserve"> אע</w:t>
      </w:r>
      <w:r w:rsidRPr="007773F1">
        <w:rPr>
          <w:rFonts w:cs="Arial" w:hint="cs"/>
          <w:rtl/>
        </w:rPr>
        <w:t>"</w:t>
      </w:r>
      <w:r w:rsidRPr="007773F1">
        <w:rPr>
          <w:rFonts w:cs="Arial"/>
          <w:rtl/>
        </w:rPr>
        <w:t>פ שהרבה פעמים הוא משתמש בו בכלי שני הטילו חכמים הכשר בינוני שהוא צריך לתשמיש אמצעי דהיינו ברותחין ובכלי ראשון</w:t>
      </w:r>
      <w:r w:rsidRPr="007773F1">
        <w:rPr>
          <w:rFonts w:cs="Arial" w:hint="cs"/>
          <w:rtl/>
        </w:rPr>
        <w:t>,</w:t>
      </w:r>
      <w:r w:rsidRPr="007773F1">
        <w:rPr>
          <w:rFonts w:cs="Arial"/>
          <w:rtl/>
        </w:rPr>
        <w:t xml:space="preserve"> אי נמי משום דאגב דוחקא דסכינא בלע טפי החמירו עליו שלא להתירו בכלי שני והצריכו כלי ראשון</w:t>
      </w:r>
      <w:r>
        <w:rPr>
          <w:rFonts w:hint="cs"/>
          <w:rtl/>
        </w:rPr>
        <w:t>, ר"ן.</w:t>
      </w:r>
    </w:p>
  </w:footnote>
  <w:footnote w:id="3042">
    <w:p w14:paraId="63E7D5D1" w14:textId="77777777" w:rsidR="004C5A3C" w:rsidRPr="002B1A60" w:rsidRDefault="004C5A3C" w:rsidP="002C39F4">
      <w:pPr>
        <w:pStyle w:val="a5"/>
        <w:rPr>
          <w:rtl/>
        </w:rPr>
      </w:pPr>
      <w:r>
        <w:rPr>
          <w:rStyle w:val="a7"/>
        </w:rPr>
        <w:footnoteRef/>
      </w:r>
      <w:r>
        <w:rPr>
          <w:rtl/>
        </w:rPr>
        <w:t xml:space="preserve"> </w:t>
      </w:r>
      <w:r w:rsidRPr="002B1A60">
        <w:rPr>
          <w:rFonts w:cs="Arial"/>
          <w:rtl/>
        </w:rPr>
        <w:t>דאמרינן בירושלמי (סוף ע"ז) הדא דתימא בסכין קטנה אבל בגדולה בעי ליבון</w:t>
      </w:r>
      <w:r>
        <w:rPr>
          <w:rFonts w:cs="Arial" w:hint="cs"/>
          <w:rtl/>
        </w:rPr>
        <w:t>, ר"ת</w:t>
      </w:r>
      <w:r w:rsidRPr="002B1A60">
        <w:rPr>
          <w:rFonts w:cs="Arial" w:hint="cs"/>
          <w:rtl/>
        </w:rPr>
        <w:t>.</w:t>
      </w:r>
      <w:r w:rsidRPr="002B1A60">
        <w:rPr>
          <w:rFonts w:cs="Arial"/>
          <w:rtl/>
        </w:rPr>
        <w:t xml:space="preserve"> ו</w:t>
      </w:r>
      <w:r>
        <w:rPr>
          <w:rFonts w:cs="Arial" w:hint="cs"/>
          <w:rtl/>
        </w:rPr>
        <w:t>התוס' וה</w:t>
      </w:r>
      <w:r w:rsidRPr="007773F1">
        <w:rPr>
          <w:rFonts w:cs="Arial"/>
          <w:rtl/>
        </w:rPr>
        <w:t xml:space="preserve">רא"ש (סי' לד) </w:t>
      </w:r>
      <w:r w:rsidRPr="002B1A60">
        <w:rPr>
          <w:rFonts w:cs="Arial"/>
          <w:rtl/>
        </w:rPr>
        <w:t xml:space="preserve">דחו </w:t>
      </w:r>
      <w:r>
        <w:rPr>
          <w:rFonts w:cs="Arial" w:hint="cs"/>
          <w:rtl/>
        </w:rPr>
        <w:t xml:space="preserve">את </w:t>
      </w:r>
      <w:r w:rsidRPr="002B1A60">
        <w:rPr>
          <w:rFonts w:cs="Arial"/>
          <w:rtl/>
        </w:rPr>
        <w:t>ראי</w:t>
      </w:r>
      <w:r w:rsidRPr="002B1A60">
        <w:rPr>
          <w:rFonts w:cs="Arial" w:hint="cs"/>
          <w:rtl/>
        </w:rPr>
        <w:t>י</w:t>
      </w:r>
      <w:r w:rsidRPr="002B1A60">
        <w:rPr>
          <w:rFonts w:cs="Arial"/>
          <w:rtl/>
        </w:rPr>
        <w:t>ת ר</w:t>
      </w:r>
      <w:r w:rsidRPr="002B1A60">
        <w:rPr>
          <w:rFonts w:cs="Arial" w:hint="cs"/>
          <w:rtl/>
        </w:rPr>
        <w:t>"</w:t>
      </w:r>
      <w:r w:rsidRPr="002B1A60">
        <w:rPr>
          <w:rFonts w:cs="Arial"/>
          <w:rtl/>
        </w:rPr>
        <w:t>ת מן הירושלמי</w:t>
      </w:r>
      <w:r>
        <w:rPr>
          <w:rFonts w:cs="Arial" w:hint="cs"/>
          <w:rtl/>
        </w:rPr>
        <w:t>.</w:t>
      </w:r>
      <w:r w:rsidRPr="002B1A60">
        <w:rPr>
          <w:rFonts w:cs="Arial"/>
          <w:rtl/>
        </w:rPr>
        <w:t xml:space="preserve"> </w:t>
      </w:r>
      <w:r w:rsidRPr="008E18FD">
        <w:rPr>
          <w:rFonts w:cs="Arial"/>
          <w:rtl/>
        </w:rPr>
        <w:t>ורבינו ברוך מיישב הרא</w:t>
      </w:r>
      <w:r w:rsidRPr="008E18FD">
        <w:rPr>
          <w:rFonts w:cs="Arial" w:hint="cs"/>
          <w:rtl/>
        </w:rPr>
        <w:t>י</w:t>
      </w:r>
      <w:r w:rsidRPr="008E18FD">
        <w:rPr>
          <w:rFonts w:cs="Arial"/>
          <w:rtl/>
        </w:rPr>
        <w:t>יה</w:t>
      </w:r>
      <w:r>
        <w:rPr>
          <w:rFonts w:cs="Arial" w:hint="cs"/>
          <w:rtl/>
        </w:rPr>
        <w:t>.</w:t>
      </w:r>
      <w:r w:rsidRPr="008E18FD">
        <w:rPr>
          <w:rFonts w:cs="Arial"/>
          <w:rtl/>
        </w:rPr>
        <w:t xml:space="preserve"> </w:t>
      </w:r>
      <w:r>
        <w:rPr>
          <w:rFonts w:cs="Arial" w:hint="cs"/>
          <w:rtl/>
        </w:rPr>
        <w:t xml:space="preserve">וכתב </w:t>
      </w:r>
      <w:r w:rsidRPr="002B1A60">
        <w:rPr>
          <w:rFonts w:cs="Arial"/>
          <w:rtl/>
        </w:rPr>
        <w:t>ריב"ם</w:t>
      </w:r>
      <w:r>
        <w:rPr>
          <w:rFonts w:cs="Arial" w:hint="cs"/>
          <w:sz w:val="16"/>
          <w:szCs w:val="16"/>
          <w:rtl/>
        </w:rPr>
        <w:t xml:space="preserve"> (כ"כ התוס' והרא"ש בשמו)</w:t>
      </w:r>
      <w:r>
        <w:rPr>
          <w:rFonts w:cs="Arial" w:hint="cs"/>
          <w:rtl/>
        </w:rPr>
        <w:t xml:space="preserve"> ד</w:t>
      </w:r>
      <w:r w:rsidRPr="002B1A60">
        <w:rPr>
          <w:rFonts w:cs="Arial"/>
          <w:rtl/>
        </w:rPr>
        <w:t xml:space="preserve">צריך ליבון אף בסכינים קטנים </w:t>
      </w:r>
      <w:r w:rsidRPr="008E18FD">
        <w:rPr>
          <w:rFonts w:cs="Arial" w:hint="cs"/>
          <w:sz w:val="14"/>
          <w:szCs w:val="14"/>
          <w:rtl/>
        </w:rPr>
        <w:t>(אפילו אין בהם גומות, טור</w:t>
      </w:r>
      <w:r>
        <w:rPr>
          <w:rFonts w:cs="Arial" w:hint="cs"/>
          <w:sz w:val="14"/>
          <w:szCs w:val="14"/>
          <w:rtl/>
        </w:rPr>
        <w:t>)</w:t>
      </w:r>
      <w:r w:rsidRPr="007773F1">
        <w:rPr>
          <w:rFonts w:cs="Arial"/>
          <w:rtl/>
        </w:rPr>
        <w:t xml:space="preserve"> לפי שדרך הגוים לתקן בהם הפתילה בפי הנר של חלב בשעה שדולק והופכים בהם בשר על גבי גחלים</w:t>
      </w:r>
      <w:r>
        <w:rPr>
          <w:rFonts w:cs="Arial" w:hint="cs"/>
          <w:rtl/>
        </w:rPr>
        <w:t>, עכ"ל</w:t>
      </w:r>
      <w:r w:rsidRPr="002B1A60">
        <w:rPr>
          <w:rFonts w:cs="Arial" w:hint="cs"/>
          <w:rtl/>
        </w:rPr>
        <w:t>.</w:t>
      </w:r>
      <w:r w:rsidRPr="008E18FD">
        <w:rPr>
          <w:rFonts w:cs="Arial"/>
          <w:rtl/>
        </w:rPr>
        <w:t xml:space="preserve"> </w:t>
      </w:r>
      <w:r w:rsidRPr="002B1A60">
        <w:rPr>
          <w:rFonts w:cs="Arial"/>
          <w:rtl/>
        </w:rPr>
        <w:t>ור</w:t>
      </w:r>
      <w:r w:rsidRPr="002B1A60">
        <w:rPr>
          <w:rFonts w:cs="Arial" w:hint="cs"/>
          <w:rtl/>
        </w:rPr>
        <w:t>"ת</w:t>
      </w:r>
      <w:r w:rsidRPr="002B1A60">
        <w:rPr>
          <w:rFonts w:cs="Arial"/>
          <w:rtl/>
        </w:rPr>
        <w:t xml:space="preserve"> </w:t>
      </w:r>
      <w:r>
        <w:rPr>
          <w:rFonts w:cs="Arial" w:hint="cs"/>
          <w:sz w:val="16"/>
          <w:szCs w:val="16"/>
          <w:rtl/>
        </w:rPr>
        <w:t>(כ"כ התוס' בשמו)</w:t>
      </w:r>
      <w:r>
        <w:rPr>
          <w:rFonts w:cs="Arial" w:hint="cs"/>
          <w:rtl/>
        </w:rPr>
        <w:t xml:space="preserve"> </w:t>
      </w:r>
      <w:r w:rsidRPr="002B1A60">
        <w:rPr>
          <w:rFonts w:cs="Arial"/>
          <w:rtl/>
        </w:rPr>
        <w:t>אומר דזה אינו קרוי תשמישו ע</w:t>
      </w:r>
      <w:r w:rsidRPr="002B1A60">
        <w:rPr>
          <w:rFonts w:cs="Arial" w:hint="cs"/>
          <w:rtl/>
        </w:rPr>
        <w:t>"</w:t>
      </w:r>
      <w:r w:rsidRPr="002B1A60">
        <w:rPr>
          <w:rFonts w:cs="Arial"/>
          <w:rtl/>
        </w:rPr>
        <w:t>י האור כיון דאין תשמישו קבוע ע</w:t>
      </w:r>
      <w:r w:rsidRPr="002B1A60">
        <w:rPr>
          <w:rFonts w:cs="Arial" w:hint="cs"/>
          <w:rtl/>
        </w:rPr>
        <w:t>"</w:t>
      </w:r>
      <w:r w:rsidRPr="002B1A60">
        <w:rPr>
          <w:rFonts w:cs="Arial"/>
          <w:rtl/>
        </w:rPr>
        <w:t>י האור</w:t>
      </w:r>
      <w:r w:rsidRPr="002B1A60">
        <w:rPr>
          <w:rFonts w:cs="Arial" w:hint="cs"/>
          <w:rtl/>
        </w:rPr>
        <w:t>.</w:t>
      </w:r>
      <w:r w:rsidRPr="00BF5795">
        <w:rPr>
          <w:rFonts w:cs="Arial"/>
          <w:rtl/>
        </w:rPr>
        <w:t xml:space="preserve"> </w:t>
      </w:r>
      <w:r>
        <w:rPr>
          <w:rFonts w:cs="Arial" w:hint="cs"/>
          <w:rtl/>
        </w:rPr>
        <w:t xml:space="preserve">ועוד אומר ר"ת </w:t>
      </w:r>
      <w:r>
        <w:rPr>
          <w:rFonts w:cs="Arial" w:hint="cs"/>
          <w:sz w:val="16"/>
          <w:szCs w:val="16"/>
          <w:rtl/>
        </w:rPr>
        <w:t>(כ"כ הרא"ש בשמו)</w:t>
      </w:r>
      <w:r>
        <w:rPr>
          <w:rFonts w:cs="Arial" w:hint="cs"/>
          <w:rtl/>
        </w:rPr>
        <w:t xml:space="preserve"> ד</w:t>
      </w:r>
      <w:r w:rsidRPr="00BF5795">
        <w:rPr>
          <w:rFonts w:cs="Arial"/>
          <w:rtl/>
        </w:rPr>
        <w:t>כיון דאין תשמישו לכך לא חיישינן דילמא מתרמי ועביד הכי</w:t>
      </w:r>
      <w:r>
        <w:rPr>
          <w:rFonts w:cs="Arial" w:hint="cs"/>
          <w:rtl/>
        </w:rPr>
        <w:t>,</w:t>
      </w:r>
      <w:r w:rsidRPr="00BF5795">
        <w:rPr>
          <w:rFonts w:cs="Arial"/>
          <w:rtl/>
        </w:rPr>
        <w:t xml:space="preserve"> ואפילו הכי אי אתרמי ועביד הכי כל כמה דאין ישראל משתמש בה ע</w:t>
      </w:r>
      <w:r>
        <w:rPr>
          <w:rFonts w:cs="Arial" w:hint="cs"/>
          <w:rtl/>
        </w:rPr>
        <w:t>"</w:t>
      </w:r>
      <w:r w:rsidRPr="00BF5795">
        <w:rPr>
          <w:rFonts w:cs="Arial"/>
          <w:rtl/>
        </w:rPr>
        <w:t>י האור סגי לה בהגעלה ברותחין דכל מה שסופו לפלוט ברותחין פולט בהגעלה ראשונה</w:t>
      </w:r>
      <w:r>
        <w:rPr>
          <w:rFonts w:cs="Arial" w:hint="cs"/>
          <w:rtl/>
        </w:rPr>
        <w:t>, ע"כ.</w:t>
      </w:r>
      <w:r w:rsidRPr="00BF5795">
        <w:rPr>
          <w:rFonts w:cs="Arial"/>
          <w:rtl/>
        </w:rPr>
        <w:t xml:space="preserve"> וכתב</w:t>
      </w:r>
      <w:r>
        <w:rPr>
          <w:rFonts w:cs="Arial" w:hint="cs"/>
          <w:rtl/>
        </w:rPr>
        <w:t xml:space="preserve"> הרא"ש על דבריו-</w:t>
      </w:r>
      <w:r w:rsidRPr="00BF5795">
        <w:rPr>
          <w:rFonts w:cs="Arial"/>
          <w:rtl/>
        </w:rPr>
        <w:t xml:space="preserve"> ולא נהירא כיון דתשמישו ע</w:t>
      </w:r>
      <w:r>
        <w:rPr>
          <w:rFonts w:cs="Arial" w:hint="cs"/>
          <w:rtl/>
        </w:rPr>
        <w:t>"</w:t>
      </w:r>
      <w:r w:rsidRPr="00BF5795">
        <w:rPr>
          <w:rFonts w:cs="Arial"/>
          <w:rtl/>
        </w:rPr>
        <w:t>י האור אין יוצא מידי דפנו בהגעלה בלא ליבון ופולט תמיד בכל הגעלותיו מידי דהוי אכלי חרס דלא סגי ליה בהגעלה (פסחים ל:) ולא אמרינן כל מה דעתיד לפלוט פולט בהגעלה ראשונה אלא אינו יוצא מידי דפנו ופולט תמיד מעט מעט</w:t>
      </w:r>
      <w:r>
        <w:rPr>
          <w:rFonts w:cs="Arial" w:hint="cs"/>
          <w:rtl/>
        </w:rPr>
        <w:t>,</w:t>
      </w:r>
      <w:r w:rsidRPr="00BF5795">
        <w:rPr>
          <w:rFonts w:cs="Arial"/>
          <w:rtl/>
        </w:rPr>
        <w:t xml:space="preserve"> ואין לחלק ולומר ממה שבלע ע</w:t>
      </w:r>
      <w:r>
        <w:rPr>
          <w:rFonts w:cs="Arial" w:hint="cs"/>
          <w:rtl/>
        </w:rPr>
        <w:t>"</w:t>
      </w:r>
      <w:r w:rsidRPr="00BF5795">
        <w:rPr>
          <w:rFonts w:cs="Arial"/>
          <w:rtl/>
        </w:rPr>
        <w:t>י האור לא יפלוט לעולם אלא באור דהא אמרינן (ע"ז עו.) השפוד והאסכלא של קדשים מגעילן ברותחין אלמא בליעה ע</w:t>
      </w:r>
      <w:r>
        <w:rPr>
          <w:rFonts w:cs="Arial" w:hint="cs"/>
          <w:rtl/>
        </w:rPr>
        <w:t>"</w:t>
      </w:r>
      <w:r w:rsidRPr="00BF5795">
        <w:rPr>
          <w:rFonts w:cs="Arial"/>
          <w:rtl/>
        </w:rPr>
        <w:t>י האור נפלטת על ידי רותחין</w:t>
      </w:r>
      <w:r>
        <w:rPr>
          <w:rFonts w:cs="Arial" w:hint="cs"/>
          <w:rtl/>
        </w:rPr>
        <w:t>, עכ"ל.</w:t>
      </w:r>
    </w:p>
  </w:footnote>
  <w:footnote w:id="3043">
    <w:p w14:paraId="500291EF" w14:textId="77777777" w:rsidR="004C5A3C" w:rsidRPr="0024579C" w:rsidRDefault="004C5A3C" w:rsidP="002C39F4">
      <w:pPr>
        <w:pStyle w:val="a5"/>
        <w:rPr>
          <w:color w:val="FF0000"/>
          <w:rtl/>
        </w:rPr>
      </w:pPr>
      <w:r>
        <w:rPr>
          <w:rStyle w:val="a7"/>
        </w:rPr>
        <w:footnoteRef/>
      </w:r>
      <w:r>
        <w:rPr>
          <w:rtl/>
        </w:rPr>
        <w:t xml:space="preserve"> </w:t>
      </w:r>
      <w:r>
        <w:rPr>
          <w:rFonts w:cs="Arial" w:hint="cs"/>
          <w:rtl/>
        </w:rPr>
        <w:t>התוס' ה</w:t>
      </w:r>
      <w:r w:rsidRPr="007773F1">
        <w:rPr>
          <w:rFonts w:cs="Arial"/>
          <w:rtl/>
        </w:rPr>
        <w:t>קש</w:t>
      </w:r>
      <w:r>
        <w:rPr>
          <w:rFonts w:cs="Arial" w:hint="cs"/>
          <w:rtl/>
        </w:rPr>
        <w:t>ו על דברי רש"י</w:t>
      </w:r>
      <w:r w:rsidRPr="007773F1">
        <w:rPr>
          <w:rFonts w:cs="Arial"/>
          <w:rtl/>
        </w:rPr>
        <w:t xml:space="preserve"> דבפ"ק דחולין (ח:) קאמר גבי סכין של גוים מלבנה באור וכן בתוספתא (ע"ז פ"ט ה"ב) תניא הסכינין והשפודין והאסכלא מלבנן באור לכך נראה דלחתוך בה רותח צריכה ליבון והא דפרק כל שעה דמשמע דסגי ברותחין היינו לפי שבלע היתרא אבל בסכינים של גוים דבלעו איסורא בעו ליבון</w:t>
      </w:r>
      <w:r>
        <w:rPr>
          <w:rFonts w:hint="cs"/>
          <w:rtl/>
        </w:rPr>
        <w:t xml:space="preserve">. </w:t>
      </w:r>
    </w:p>
  </w:footnote>
  <w:footnote w:id="3044">
    <w:p w14:paraId="0DA563F4" w14:textId="77777777" w:rsidR="004C5A3C" w:rsidRDefault="004C5A3C" w:rsidP="002C39F4">
      <w:pPr>
        <w:pStyle w:val="a5"/>
        <w:rPr>
          <w:rtl/>
        </w:rPr>
      </w:pPr>
      <w:r>
        <w:rPr>
          <w:rStyle w:val="a7"/>
        </w:rPr>
        <w:footnoteRef/>
      </w:r>
      <w:r>
        <w:rPr>
          <w:rtl/>
        </w:rPr>
        <w:t xml:space="preserve"> </w:t>
      </w:r>
      <w:r>
        <w:rPr>
          <w:rFonts w:hint="cs"/>
          <w:rtl/>
        </w:rPr>
        <w:t>והא דאמרה הגמ' דברותחין בכלי ראשון סגי לה- היינו כשבלעה הסכין היתרא</w:t>
      </w:r>
      <w:r>
        <w:rPr>
          <w:rFonts w:hint="cs"/>
          <w:sz w:val="16"/>
          <w:szCs w:val="16"/>
          <w:rtl/>
        </w:rPr>
        <w:t xml:space="preserve"> {חמץ</w:t>
      </w:r>
      <w:r>
        <w:rPr>
          <w:rFonts w:hint="cs"/>
          <w:sz w:val="12"/>
          <w:szCs w:val="12"/>
          <w:rtl/>
        </w:rPr>
        <w:t xml:space="preserve"> (לשיטת תוס' ורא"ש, ועי' ר"ן שחולק)</w:t>
      </w:r>
      <w:r>
        <w:rPr>
          <w:rFonts w:hint="cs"/>
          <w:sz w:val="16"/>
          <w:szCs w:val="16"/>
          <w:rtl/>
        </w:rPr>
        <w:t>}</w:t>
      </w:r>
      <w:r>
        <w:rPr>
          <w:rFonts w:cs="Arial" w:hint="cs"/>
          <w:rtl/>
        </w:rPr>
        <w:t>, אבל סכין ישנה של גוי כתב ריב"ם</w:t>
      </w:r>
      <w:r w:rsidRPr="00F51907">
        <w:rPr>
          <w:rFonts w:cs="Arial"/>
          <w:sz w:val="16"/>
          <w:szCs w:val="16"/>
          <w:rtl/>
        </w:rPr>
        <w:t xml:space="preserve"> </w:t>
      </w:r>
      <w:r w:rsidRPr="008A40EC">
        <w:rPr>
          <w:rFonts w:cs="Arial"/>
          <w:rtl/>
        </w:rPr>
        <w:t>דאע</w:t>
      </w:r>
      <w:r w:rsidRPr="008A40EC">
        <w:rPr>
          <w:rFonts w:cs="Arial" w:hint="cs"/>
          <w:rtl/>
        </w:rPr>
        <w:t>"</w:t>
      </w:r>
      <w:r w:rsidRPr="008A40EC">
        <w:rPr>
          <w:rFonts w:cs="Arial"/>
          <w:rtl/>
        </w:rPr>
        <w:t>פ שאין בה גומות בעי ליבון מפני שהגוי מתקן בו הנר והופך בו בשר ע</w:t>
      </w:r>
      <w:r w:rsidRPr="008A40EC">
        <w:rPr>
          <w:rFonts w:cs="Arial" w:hint="cs"/>
          <w:rtl/>
        </w:rPr>
        <w:t>"</w:t>
      </w:r>
      <w:r w:rsidRPr="008A40EC">
        <w:rPr>
          <w:rFonts w:cs="Arial"/>
          <w:rtl/>
        </w:rPr>
        <w:t>ג גחלים</w:t>
      </w:r>
      <w:r>
        <w:rPr>
          <w:rFonts w:cs="Arial" w:hint="cs"/>
          <w:rtl/>
        </w:rPr>
        <w:t>, מיהו כ' הרא"ש דמ"מ בליבון חודו סגי</w:t>
      </w:r>
      <w:r w:rsidRPr="008A40EC">
        <w:rPr>
          <w:rFonts w:cs="Arial" w:hint="cs"/>
          <w:rtl/>
        </w:rPr>
        <w:t>, ד</w:t>
      </w:r>
      <w:r w:rsidRPr="008A40EC">
        <w:rPr>
          <w:rFonts w:cs="Arial"/>
          <w:rtl/>
        </w:rPr>
        <w:t>אע</w:t>
      </w:r>
      <w:r w:rsidRPr="008A40EC">
        <w:rPr>
          <w:rFonts w:cs="Arial" w:hint="cs"/>
          <w:rtl/>
        </w:rPr>
        <w:t>"</w:t>
      </w:r>
      <w:r w:rsidRPr="008A40EC">
        <w:rPr>
          <w:rFonts w:cs="Arial"/>
          <w:rtl/>
        </w:rPr>
        <w:t>ג דחם מקצתו חם כולו ונתפשט האיסור בכולו</w:t>
      </w:r>
      <w:r w:rsidRPr="008A40EC">
        <w:rPr>
          <w:rFonts w:cs="Arial" w:hint="cs"/>
          <w:rtl/>
        </w:rPr>
        <w:t>,</w:t>
      </w:r>
      <w:r w:rsidRPr="008A40EC">
        <w:rPr>
          <w:rFonts w:cs="Arial"/>
          <w:rtl/>
        </w:rPr>
        <w:t xml:space="preserve"> מ</w:t>
      </w:r>
      <w:r w:rsidRPr="008A40EC">
        <w:rPr>
          <w:rFonts w:cs="Arial" w:hint="cs"/>
          <w:rtl/>
        </w:rPr>
        <w:t>"</w:t>
      </w:r>
      <w:r w:rsidRPr="008A40EC">
        <w:rPr>
          <w:rFonts w:cs="Arial"/>
          <w:rtl/>
        </w:rPr>
        <w:t>מ כיון שאין הישראל משתמש בסכין ע</w:t>
      </w:r>
      <w:r w:rsidRPr="008A40EC">
        <w:rPr>
          <w:rFonts w:cs="Arial" w:hint="cs"/>
          <w:rtl/>
        </w:rPr>
        <w:t>"</w:t>
      </w:r>
      <w:r w:rsidRPr="008A40EC">
        <w:rPr>
          <w:rFonts w:cs="Arial"/>
          <w:rtl/>
        </w:rPr>
        <w:t>י האור סגי בכ</w:t>
      </w:r>
      <w:r>
        <w:rPr>
          <w:rFonts w:cs="Arial" w:hint="cs"/>
          <w:rtl/>
        </w:rPr>
        <w:t>ך</w:t>
      </w:r>
      <w:r>
        <w:rPr>
          <w:rFonts w:hint="cs"/>
          <w:rtl/>
        </w:rPr>
        <w:t>.</w:t>
      </w:r>
    </w:p>
  </w:footnote>
  <w:footnote w:id="3045">
    <w:p w14:paraId="1CF85139" w14:textId="77777777" w:rsidR="004C5A3C" w:rsidRPr="00E56D6E" w:rsidRDefault="004C5A3C" w:rsidP="002C39F4">
      <w:pPr>
        <w:pStyle w:val="a5"/>
      </w:pPr>
      <w:r w:rsidRPr="00E56D6E">
        <w:rPr>
          <w:rStyle w:val="a7"/>
        </w:rPr>
        <w:footnoteRef/>
      </w:r>
      <w:r w:rsidRPr="00E56D6E">
        <w:rPr>
          <w:rtl/>
        </w:rPr>
        <w:t xml:space="preserve"> </w:t>
      </w:r>
      <w:r w:rsidRPr="00E56D6E">
        <w:rPr>
          <w:rFonts w:cs="Arial"/>
          <w:rtl/>
        </w:rPr>
        <w:t>והיינו מאי דמפליג בירושלמי בין גדולה לקטנה</w:t>
      </w:r>
      <w:r w:rsidRPr="00E56D6E">
        <w:rPr>
          <w:rFonts w:cs="Arial" w:hint="cs"/>
          <w:rtl/>
        </w:rPr>
        <w:t>-</w:t>
      </w:r>
      <w:r w:rsidRPr="00E56D6E">
        <w:rPr>
          <w:rFonts w:cs="Arial"/>
          <w:rtl/>
        </w:rPr>
        <w:t xml:space="preserve"> דסתם גדולה יש בה גומות וסתם קטנה אין בה גומות</w:t>
      </w:r>
      <w:r w:rsidRPr="00E56D6E">
        <w:rPr>
          <w:rFonts w:cs="Arial" w:hint="cs"/>
          <w:rtl/>
        </w:rPr>
        <w:t>, ב"י בשם תוס' ורא"ש.</w:t>
      </w:r>
      <w:r>
        <w:rPr>
          <w:rFonts w:hint="cs"/>
          <w:rtl/>
        </w:rPr>
        <w:t xml:space="preserve"> </w:t>
      </w:r>
    </w:p>
  </w:footnote>
  <w:footnote w:id="3046">
    <w:p w14:paraId="7D50B96A" w14:textId="77777777" w:rsidR="004C5A3C" w:rsidRDefault="004C5A3C" w:rsidP="002C39F4">
      <w:pPr>
        <w:pStyle w:val="a5"/>
        <w:rPr>
          <w:rtl/>
        </w:rPr>
      </w:pPr>
      <w:r>
        <w:rPr>
          <w:rStyle w:val="a7"/>
        </w:rPr>
        <w:footnoteRef/>
      </w:r>
      <w:r>
        <w:rPr>
          <w:rtl/>
        </w:rPr>
        <w:t xml:space="preserve"> </w:t>
      </w:r>
      <w:r w:rsidRPr="007773F1">
        <w:rPr>
          <w:rFonts w:cs="Arial"/>
          <w:rtl/>
        </w:rPr>
        <w:t xml:space="preserve">ראב"ד </w:t>
      </w:r>
      <w:r w:rsidRPr="007E5631">
        <w:rPr>
          <w:rFonts w:cs="Arial"/>
          <w:sz w:val="16"/>
          <w:szCs w:val="16"/>
          <w:rtl/>
        </w:rPr>
        <w:t>(ע"ז עה: ד"ה הסכין, עו ד"ה וסכין</w:t>
      </w:r>
      <w:r w:rsidRPr="007E5631">
        <w:rPr>
          <w:rFonts w:cs="Arial" w:hint="cs"/>
          <w:sz w:val="16"/>
          <w:szCs w:val="16"/>
          <w:rtl/>
        </w:rPr>
        <w:t xml:space="preserve">, כ"כ בשמו </w:t>
      </w:r>
      <w:r w:rsidRPr="007E5631">
        <w:rPr>
          <w:rFonts w:cs="Arial"/>
          <w:sz w:val="16"/>
          <w:szCs w:val="16"/>
          <w:rtl/>
        </w:rPr>
        <w:t xml:space="preserve">הר"ן </w:t>
      </w:r>
      <w:r w:rsidRPr="007E5631">
        <w:rPr>
          <w:rFonts w:cs="Arial" w:hint="cs"/>
          <w:sz w:val="16"/>
          <w:szCs w:val="16"/>
          <w:rtl/>
        </w:rPr>
        <w:t>[</w:t>
      </w:r>
      <w:r w:rsidRPr="007E5631">
        <w:rPr>
          <w:rFonts w:cs="Arial"/>
          <w:sz w:val="16"/>
          <w:szCs w:val="16"/>
          <w:rtl/>
        </w:rPr>
        <w:t>ח. ד"ה ומסקי' וד"ה אבל</w:t>
      </w:r>
      <w:r w:rsidRPr="007E5631">
        <w:rPr>
          <w:rFonts w:cs="Arial" w:hint="cs"/>
          <w:sz w:val="16"/>
          <w:szCs w:val="16"/>
          <w:rtl/>
        </w:rPr>
        <w:t>]</w:t>
      </w:r>
      <w:r w:rsidRPr="007E5631">
        <w:rPr>
          <w:rFonts w:cs="Arial"/>
          <w:sz w:val="16"/>
          <w:szCs w:val="16"/>
          <w:rtl/>
        </w:rPr>
        <w:t>)</w:t>
      </w:r>
      <w:r>
        <w:rPr>
          <w:rFonts w:cs="Arial" w:hint="cs"/>
          <w:rtl/>
        </w:rPr>
        <w:t xml:space="preserve"> </w:t>
      </w:r>
      <w:r w:rsidRPr="007773F1">
        <w:rPr>
          <w:rFonts w:cs="Arial"/>
          <w:rtl/>
        </w:rPr>
        <w:t xml:space="preserve">רמב"ם </w:t>
      </w:r>
      <w:r w:rsidRPr="009A2462">
        <w:rPr>
          <w:rFonts w:cs="Arial" w:hint="cs"/>
          <w:sz w:val="16"/>
          <w:szCs w:val="16"/>
          <w:rtl/>
        </w:rPr>
        <w:t>(</w:t>
      </w:r>
      <w:r w:rsidRPr="009A2462">
        <w:rPr>
          <w:rFonts w:cs="Arial"/>
          <w:sz w:val="16"/>
          <w:szCs w:val="16"/>
          <w:rtl/>
        </w:rPr>
        <w:t>פ"ה מהל</w:t>
      </w:r>
      <w:r w:rsidRPr="009A2462">
        <w:rPr>
          <w:rFonts w:cs="Arial" w:hint="cs"/>
          <w:sz w:val="16"/>
          <w:szCs w:val="16"/>
          <w:rtl/>
        </w:rPr>
        <w:t>'</w:t>
      </w:r>
      <w:r w:rsidRPr="009A2462">
        <w:rPr>
          <w:rFonts w:cs="Arial"/>
          <w:sz w:val="16"/>
          <w:szCs w:val="16"/>
          <w:rtl/>
        </w:rPr>
        <w:t xml:space="preserve"> חמץ ומצה הכ"ג</w:t>
      </w:r>
      <w:r w:rsidRPr="009A2462">
        <w:rPr>
          <w:rFonts w:cs="Arial" w:hint="cs"/>
          <w:sz w:val="16"/>
          <w:szCs w:val="16"/>
          <w:rtl/>
        </w:rPr>
        <w:t>, ופי"ז מהמ"א ה"ז</w:t>
      </w:r>
      <w:r w:rsidRPr="009A2462">
        <w:rPr>
          <w:rFonts w:cs="Arial"/>
          <w:sz w:val="16"/>
          <w:szCs w:val="16"/>
          <w:rtl/>
        </w:rPr>
        <w:t>)</w:t>
      </w:r>
      <w:r>
        <w:rPr>
          <w:rFonts w:cs="Arial" w:hint="cs"/>
          <w:rtl/>
        </w:rPr>
        <w:t xml:space="preserve"> ואו</w:t>
      </w:r>
      <w:r>
        <w:rPr>
          <w:rFonts w:cs="Arial"/>
          <w:rtl/>
        </w:rPr>
        <w:t>"</w:t>
      </w:r>
      <w:r>
        <w:rPr>
          <w:rFonts w:cs="Arial" w:hint="cs"/>
          <w:rtl/>
        </w:rPr>
        <w:t xml:space="preserve">ה </w:t>
      </w:r>
      <w:r w:rsidRPr="009A2462">
        <w:rPr>
          <w:rFonts w:cs="Arial"/>
          <w:sz w:val="16"/>
          <w:szCs w:val="16"/>
          <w:rtl/>
        </w:rPr>
        <w:t>(שם דין טז, יז, כג, כה</w:t>
      </w:r>
      <w:r>
        <w:rPr>
          <w:rFonts w:cs="Arial" w:hint="cs"/>
          <w:sz w:val="16"/>
          <w:szCs w:val="16"/>
          <w:rtl/>
        </w:rPr>
        <w:t>, כ"כ הדרכ"מ [אות יט] בשמו</w:t>
      </w:r>
      <w:r w:rsidRPr="009A2462">
        <w:rPr>
          <w:rFonts w:cs="Arial"/>
          <w:sz w:val="16"/>
          <w:szCs w:val="16"/>
          <w:rtl/>
        </w:rPr>
        <w:t>)</w:t>
      </w:r>
      <w:r>
        <w:rPr>
          <w:rFonts w:hint="cs"/>
          <w:rtl/>
        </w:rPr>
        <w:t>.</w:t>
      </w:r>
    </w:p>
  </w:footnote>
  <w:footnote w:id="3047">
    <w:p w14:paraId="1CE6232D" w14:textId="77777777" w:rsidR="004C5A3C" w:rsidRDefault="004C5A3C" w:rsidP="002C39F4">
      <w:pPr>
        <w:pStyle w:val="a5"/>
      </w:pPr>
      <w:r>
        <w:rPr>
          <w:rStyle w:val="a7"/>
        </w:rPr>
        <w:footnoteRef/>
      </w:r>
      <w:r>
        <w:rPr>
          <w:rtl/>
        </w:rPr>
        <w:t xml:space="preserve"> </w:t>
      </w:r>
      <w:r>
        <w:rPr>
          <w:rFonts w:cs="Arial" w:hint="cs"/>
          <w:rtl/>
        </w:rPr>
        <w:t>וכ' האו</w:t>
      </w:r>
      <w:r>
        <w:rPr>
          <w:rFonts w:cs="Arial"/>
          <w:rtl/>
        </w:rPr>
        <w:t>"</w:t>
      </w:r>
      <w:r>
        <w:rPr>
          <w:rFonts w:cs="Arial" w:hint="cs"/>
          <w:rtl/>
        </w:rPr>
        <w:t xml:space="preserve">ה </w:t>
      </w:r>
      <w:r w:rsidRPr="009A2462">
        <w:rPr>
          <w:rFonts w:cs="Arial"/>
          <w:sz w:val="16"/>
          <w:szCs w:val="16"/>
          <w:rtl/>
        </w:rPr>
        <w:t>(שם דס</w:t>
      </w:r>
      <w:r w:rsidRPr="009A2462">
        <w:rPr>
          <w:rFonts w:cs="Arial" w:hint="cs"/>
          <w:sz w:val="16"/>
          <w:szCs w:val="16"/>
          <w:rtl/>
        </w:rPr>
        <w:t>"</w:t>
      </w:r>
      <w:r w:rsidRPr="009A2462">
        <w:rPr>
          <w:rFonts w:cs="Arial"/>
          <w:sz w:val="16"/>
          <w:szCs w:val="16"/>
          <w:rtl/>
        </w:rPr>
        <w:t xml:space="preserve">ח) </w:t>
      </w:r>
      <w:r w:rsidRPr="00DF73A9">
        <w:rPr>
          <w:rFonts w:cs="Arial"/>
          <w:rtl/>
        </w:rPr>
        <w:t>דאם מגעילו יש מנהג לנקותו תחילה היטב במשחזת יפה כדי שלא יהא נשאר בו שום לכלוך ואח</w:t>
      </w:r>
      <w:r>
        <w:rPr>
          <w:rFonts w:cs="Arial" w:hint="cs"/>
          <w:rtl/>
        </w:rPr>
        <w:t>"</w:t>
      </w:r>
      <w:r w:rsidRPr="00DF73A9">
        <w:rPr>
          <w:rFonts w:cs="Arial"/>
          <w:rtl/>
        </w:rPr>
        <w:t>כ יגעיל</w:t>
      </w:r>
      <w:r>
        <w:rPr>
          <w:rFonts w:cs="Arial" w:hint="cs"/>
          <w:rtl/>
        </w:rPr>
        <w:t>,</w:t>
      </w:r>
      <w:r w:rsidRPr="00DF73A9">
        <w:rPr>
          <w:rFonts w:cs="Arial"/>
          <w:rtl/>
        </w:rPr>
        <w:t xml:space="preserve"> ואם יש שם גומות ויכול לנקותו היטב די בכך</w:t>
      </w:r>
      <w:r>
        <w:rPr>
          <w:rFonts w:cs="Arial" w:hint="cs"/>
          <w:rtl/>
        </w:rPr>
        <w:t>,</w:t>
      </w:r>
      <w:r w:rsidRPr="00DF73A9">
        <w:rPr>
          <w:rFonts w:cs="Arial"/>
          <w:rtl/>
        </w:rPr>
        <w:t xml:space="preserve"> וכ</w:t>
      </w:r>
      <w:r>
        <w:rPr>
          <w:rFonts w:cs="Arial" w:hint="cs"/>
          <w:rtl/>
        </w:rPr>
        <w:t>"פ</w:t>
      </w:r>
      <w:r w:rsidRPr="00DF73A9">
        <w:rPr>
          <w:rFonts w:cs="Arial"/>
          <w:rtl/>
        </w:rPr>
        <w:t xml:space="preserve"> המרדכי </w:t>
      </w:r>
      <w:r w:rsidRPr="009A2462">
        <w:rPr>
          <w:rFonts w:cs="Arial" w:hint="cs"/>
          <w:sz w:val="16"/>
          <w:szCs w:val="16"/>
          <w:rtl/>
        </w:rPr>
        <w:t>(</w:t>
      </w:r>
      <w:r w:rsidRPr="009A2462">
        <w:rPr>
          <w:rFonts w:cs="Arial"/>
          <w:sz w:val="16"/>
          <w:szCs w:val="16"/>
          <w:rtl/>
        </w:rPr>
        <w:t>חולין</w:t>
      </w:r>
      <w:r w:rsidRPr="009A2462">
        <w:rPr>
          <w:rFonts w:cs="Arial" w:hint="cs"/>
          <w:sz w:val="16"/>
          <w:szCs w:val="16"/>
          <w:rtl/>
        </w:rPr>
        <w:t xml:space="preserve"> </w:t>
      </w:r>
      <w:r w:rsidRPr="009A2462">
        <w:rPr>
          <w:rFonts w:cs="Arial"/>
          <w:sz w:val="16"/>
          <w:szCs w:val="16"/>
          <w:rtl/>
        </w:rPr>
        <w:t xml:space="preserve">סי' תקפג) </w:t>
      </w:r>
      <w:r w:rsidRPr="00DF73A9">
        <w:rPr>
          <w:rFonts w:cs="Arial"/>
          <w:rtl/>
        </w:rPr>
        <w:t>ואם לאו צריך ליבון עכ"ל</w:t>
      </w:r>
      <w:r>
        <w:rPr>
          <w:rFonts w:cs="Arial" w:hint="cs"/>
          <w:rtl/>
        </w:rPr>
        <w:t xml:space="preserve">. הביאו הדרכ"מ </w:t>
      </w:r>
      <w:r>
        <w:rPr>
          <w:rFonts w:cs="Arial" w:hint="cs"/>
          <w:sz w:val="16"/>
          <w:szCs w:val="16"/>
          <w:rtl/>
        </w:rPr>
        <w:t>(</w:t>
      </w:r>
      <w:r w:rsidRPr="009A2462">
        <w:rPr>
          <w:rFonts w:cs="Arial" w:hint="cs"/>
          <w:sz w:val="16"/>
          <w:szCs w:val="16"/>
          <w:rtl/>
        </w:rPr>
        <w:t>אות יט)</w:t>
      </w:r>
      <w:r>
        <w:rPr>
          <w:rFonts w:cs="Arial" w:hint="cs"/>
          <w:rtl/>
        </w:rPr>
        <w:t>.</w:t>
      </w:r>
    </w:p>
  </w:footnote>
  <w:footnote w:id="3048">
    <w:p w14:paraId="43E03F01" w14:textId="77777777" w:rsidR="004C5A3C" w:rsidRDefault="004C5A3C" w:rsidP="002C39F4">
      <w:pPr>
        <w:pStyle w:val="a5"/>
        <w:rPr>
          <w:rtl/>
        </w:rPr>
      </w:pPr>
      <w:r>
        <w:rPr>
          <w:rStyle w:val="a7"/>
        </w:rPr>
        <w:footnoteRef/>
      </w:r>
      <w:r>
        <w:rPr>
          <w:rtl/>
        </w:rPr>
        <w:t xml:space="preserve"> </w:t>
      </w:r>
      <w:r>
        <w:rPr>
          <w:rFonts w:cs="Arial" w:hint="cs"/>
          <w:rtl/>
        </w:rPr>
        <w:t xml:space="preserve">וכ' הב"י דכן </w:t>
      </w:r>
      <w:r w:rsidRPr="0011442D">
        <w:rPr>
          <w:rFonts w:cs="Arial"/>
          <w:rtl/>
        </w:rPr>
        <w:t>משמע מדברי הפוסקים והמפרשים</w:t>
      </w:r>
      <w:r>
        <w:rPr>
          <w:rFonts w:cs="Arial" w:hint="cs"/>
          <w:rtl/>
        </w:rPr>
        <w:t>.</w:t>
      </w:r>
      <w:r>
        <w:rPr>
          <w:rFonts w:hint="cs"/>
          <w:rtl/>
        </w:rPr>
        <w:t xml:space="preserve"> </w:t>
      </w:r>
    </w:p>
  </w:footnote>
  <w:footnote w:id="3049">
    <w:p w14:paraId="0CDDD20C" w14:textId="77777777" w:rsidR="004C5A3C" w:rsidRDefault="004C5A3C" w:rsidP="002C39F4">
      <w:pPr>
        <w:pStyle w:val="a5"/>
        <w:rPr>
          <w:rtl/>
        </w:rPr>
      </w:pPr>
      <w:r>
        <w:rPr>
          <w:rStyle w:val="a7"/>
        </w:rPr>
        <w:footnoteRef/>
      </w:r>
      <w:r>
        <w:rPr>
          <w:rtl/>
        </w:rPr>
        <w:t xml:space="preserve"> </w:t>
      </w:r>
      <w:r>
        <w:rPr>
          <w:rFonts w:cs="Arial" w:hint="cs"/>
          <w:rtl/>
        </w:rPr>
        <w:t xml:space="preserve">והיינו </w:t>
      </w:r>
      <w:r w:rsidRPr="00401492">
        <w:rPr>
          <w:rFonts w:cs="Arial"/>
          <w:rtl/>
        </w:rPr>
        <w:t>דשיפה מהניא אפילו לחתוך בה רותח</w:t>
      </w:r>
      <w:r>
        <w:rPr>
          <w:rFonts w:cs="Arial" w:hint="cs"/>
          <w:rtl/>
        </w:rPr>
        <w:t xml:space="preserve">, </w:t>
      </w:r>
      <w:r w:rsidRPr="0011442D">
        <w:rPr>
          <w:rFonts w:cs="Arial"/>
          <w:rtl/>
        </w:rPr>
        <w:t>ונראה לי שטעמו</w:t>
      </w:r>
      <w:r>
        <w:rPr>
          <w:rFonts w:cs="Arial" w:hint="cs"/>
          <w:sz w:val="16"/>
          <w:szCs w:val="16"/>
          <w:rtl/>
        </w:rPr>
        <w:t xml:space="preserve"> </w:t>
      </w:r>
      <w:r w:rsidRPr="0011442D">
        <w:rPr>
          <w:rFonts w:cs="Arial"/>
          <w:rtl/>
        </w:rPr>
        <w:t>משום דמתניתין קתני שיפה ולא קתני נעיצה</w:t>
      </w:r>
      <w:r>
        <w:rPr>
          <w:rFonts w:cs="Arial" w:hint="cs"/>
          <w:rtl/>
        </w:rPr>
        <w:t>,</w:t>
      </w:r>
      <w:r w:rsidRPr="0011442D">
        <w:rPr>
          <w:rFonts w:cs="Arial"/>
          <w:rtl/>
        </w:rPr>
        <w:t xml:space="preserve"> ואמאי</w:t>
      </w:r>
      <w:r>
        <w:rPr>
          <w:rFonts w:cs="Arial" w:hint="cs"/>
          <w:rtl/>
        </w:rPr>
        <w:t>,</w:t>
      </w:r>
      <w:r w:rsidRPr="0011442D">
        <w:rPr>
          <w:rFonts w:cs="Arial"/>
          <w:rtl/>
        </w:rPr>
        <w:t xml:space="preserve"> אלא ודאי משום דמתניתין לא קתני אלא הכשר גמור לחתוך בו רותח דומיא דאינך דמיתנו בהדה</w:t>
      </w:r>
      <w:r>
        <w:rPr>
          <w:rFonts w:cs="Arial" w:hint="cs"/>
          <w:rtl/>
        </w:rPr>
        <w:t>,</w:t>
      </w:r>
      <w:r w:rsidRPr="0011442D">
        <w:rPr>
          <w:rFonts w:cs="Arial"/>
          <w:rtl/>
        </w:rPr>
        <w:t xml:space="preserve"> ובגמרא אתו לפרושי הכשרו לחתוך בו צונן</w:t>
      </w:r>
      <w:r>
        <w:rPr>
          <w:rFonts w:cs="Arial" w:hint="cs"/>
          <w:rtl/>
        </w:rPr>
        <w:t>,</w:t>
      </w:r>
      <w:r w:rsidRPr="0011442D">
        <w:rPr>
          <w:rFonts w:cs="Arial"/>
          <w:rtl/>
        </w:rPr>
        <w:t xml:space="preserve"> וכך נראה מדברי הר"ן (לט: דיבור ראשון) לדעת הרמב"ם</w:t>
      </w:r>
      <w:r>
        <w:rPr>
          <w:rFonts w:cs="Arial" w:hint="cs"/>
          <w:rtl/>
        </w:rPr>
        <w:t>,</w:t>
      </w:r>
      <w:r w:rsidRPr="0011442D">
        <w:rPr>
          <w:rFonts w:cs="Arial"/>
          <w:rtl/>
        </w:rPr>
        <w:t xml:space="preserve"> וכ</w:t>
      </w:r>
      <w:r>
        <w:rPr>
          <w:rFonts w:cs="Arial" w:hint="cs"/>
          <w:rtl/>
        </w:rPr>
        <w:t>'</w:t>
      </w:r>
      <w:r w:rsidRPr="0011442D">
        <w:rPr>
          <w:rFonts w:cs="Arial"/>
          <w:rtl/>
        </w:rPr>
        <w:t xml:space="preserve"> שיש לזה הוכחה מן הירושלמי</w:t>
      </w:r>
      <w:r>
        <w:rPr>
          <w:rFonts w:cs="Arial" w:hint="cs"/>
          <w:rtl/>
        </w:rPr>
        <w:t>,</w:t>
      </w:r>
      <w:r w:rsidRPr="0011442D">
        <w:rPr>
          <w:rFonts w:cs="Arial"/>
          <w:rtl/>
        </w:rPr>
        <w:t xml:space="preserve"> ואע</w:t>
      </w:r>
      <w:r>
        <w:rPr>
          <w:rFonts w:cs="Arial" w:hint="cs"/>
          <w:rtl/>
        </w:rPr>
        <w:t>"</w:t>
      </w:r>
      <w:r w:rsidRPr="0011442D">
        <w:rPr>
          <w:rFonts w:cs="Arial"/>
          <w:rtl/>
        </w:rPr>
        <w:t>פ שמתוך דבריו בפירוש המשנה (פ"ה מי"ב) נראה שהוא מפרש שיפה דמתניתין נעיצה בקרקע</w:t>
      </w:r>
      <w:r>
        <w:rPr>
          <w:rFonts w:cs="Arial" w:hint="cs"/>
          <w:rtl/>
        </w:rPr>
        <w:t xml:space="preserve"> -</w:t>
      </w:r>
      <w:r w:rsidRPr="0011442D">
        <w:rPr>
          <w:rFonts w:cs="Arial"/>
          <w:rtl/>
        </w:rPr>
        <w:t xml:space="preserve"> כשחיבר החיבור לא נראה בעיניו הפירוש ההוא</w:t>
      </w:r>
      <w:r>
        <w:rPr>
          <w:rFonts w:cs="Arial" w:hint="cs"/>
          <w:rtl/>
        </w:rPr>
        <w:t>,</w:t>
      </w:r>
      <w:r w:rsidRPr="0011442D">
        <w:rPr>
          <w:rFonts w:cs="Arial"/>
          <w:rtl/>
        </w:rPr>
        <w:t xml:space="preserve"> ולענין הלכה נקטינן כדברי הרמב"ם כיון דירושלמי מסייע ליה</w:t>
      </w:r>
      <w:r>
        <w:rPr>
          <w:rFonts w:hint="cs"/>
          <w:rtl/>
        </w:rPr>
        <w:t>, ב"י.</w:t>
      </w:r>
      <w:r w:rsidRPr="00401492">
        <w:rPr>
          <w:rFonts w:hint="cs"/>
          <w:rtl/>
        </w:rPr>
        <w:t xml:space="preserve"> </w:t>
      </w:r>
      <w:r>
        <w:rPr>
          <w:rFonts w:hint="cs"/>
          <w:rtl/>
        </w:rPr>
        <w:t xml:space="preserve">וכ' הדרכ"מ </w:t>
      </w:r>
      <w:r w:rsidRPr="001B13E6">
        <w:rPr>
          <w:rFonts w:cs="Arial"/>
          <w:rtl/>
        </w:rPr>
        <w:t>(</w:t>
      </w:r>
      <w:r>
        <w:rPr>
          <w:rFonts w:cs="Arial" w:hint="cs"/>
          <w:rtl/>
        </w:rPr>
        <w:t xml:space="preserve">אות </w:t>
      </w:r>
      <w:r w:rsidRPr="001B13E6">
        <w:rPr>
          <w:rFonts w:cs="Arial"/>
          <w:rtl/>
        </w:rPr>
        <w:t>יח)</w:t>
      </w:r>
      <w:r>
        <w:rPr>
          <w:rFonts w:cs="Arial" w:hint="cs"/>
          <w:rtl/>
        </w:rPr>
        <w:t xml:space="preserve"> על דברי הב"י-</w:t>
      </w:r>
      <w:r w:rsidRPr="001B13E6">
        <w:rPr>
          <w:rFonts w:cs="Arial"/>
          <w:rtl/>
        </w:rPr>
        <w:t xml:space="preserve"> ותמיהני עליו דאמאי סמך על הרמב"ם שהוא דעת יחיד נגד הפוסקים הראשונים ואחרונים</w:t>
      </w:r>
      <w:r>
        <w:rPr>
          <w:rFonts w:cs="Arial" w:hint="cs"/>
          <w:rtl/>
        </w:rPr>
        <w:t>,</w:t>
      </w:r>
      <w:r w:rsidRPr="001B13E6">
        <w:rPr>
          <w:rFonts w:cs="Arial"/>
          <w:rtl/>
        </w:rPr>
        <w:t xml:space="preserve"> ואי משום הירושלמי דמסייע ליה והלא לעיל פסק דבעינן נעיצה עשר פעמים ודחה דברי הרא"ש והר"ן דפסקו דסגי בשלש פעמים וכן פסקו הטור אע</w:t>
      </w:r>
      <w:r>
        <w:rPr>
          <w:rFonts w:cs="Arial" w:hint="cs"/>
          <w:rtl/>
        </w:rPr>
        <w:t>"</w:t>
      </w:r>
      <w:r w:rsidRPr="001B13E6">
        <w:rPr>
          <w:rFonts w:cs="Arial"/>
          <w:rtl/>
        </w:rPr>
        <w:t>ג דאיתא בהדיא בירושלמי כדבריהם</w:t>
      </w:r>
      <w:r>
        <w:rPr>
          <w:rFonts w:cs="Arial" w:hint="cs"/>
          <w:rtl/>
        </w:rPr>
        <w:t>,</w:t>
      </w:r>
      <w:r w:rsidRPr="001B13E6">
        <w:rPr>
          <w:rFonts w:cs="Arial"/>
          <w:rtl/>
        </w:rPr>
        <w:t xml:space="preserve"> ואע</w:t>
      </w:r>
      <w:r>
        <w:rPr>
          <w:rFonts w:cs="Arial" w:hint="cs"/>
          <w:rtl/>
        </w:rPr>
        <w:t>"</w:t>
      </w:r>
      <w:r w:rsidRPr="001B13E6">
        <w:rPr>
          <w:rFonts w:cs="Arial"/>
          <w:rtl/>
        </w:rPr>
        <w:t>ג דיש לדחוק וליישב דעתו מ</w:t>
      </w:r>
      <w:r>
        <w:rPr>
          <w:rFonts w:cs="Arial" w:hint="cs"/>
          <w:rtl/>
        </w:rPr>
        <w:t>"מ</w:t>
      </w:r>
      <w:r w:rsidRPr="001B13E6">
        <w:rPr>
          <w:rFonts w:cs="Arial"/>
          <w:rtl/>
        </w:rPr>
        <w:t xml:space="preserve"> יש לחוש לדברי רבים המחמירים ולכן נראה דאין לסמוך עליו להקל בזו</w:t>
      </w:r>
      <w:r>
        <w:rPr>
          <w:rFonts w:cs="Arial" w:hint="cs"/>
          <w:rtl/>
        </w:rPr>
        <w:t>.</w:t>
      </w:r>
    </w:p>
  </w:footnote>
  <w:footnote w:id="3050">
    <w:p w14:paraId="34CFD12E" w14:textId="77777777" w:rsidR="004C5A3C" w:rsidRDefault="004C5A3C" w:rsidP="002C39F4">
      <w:pPr>
        <w:pStyle w:val="a5"/>
        <w:rPr>
          <w:rtl/>
        </w:rPr>
      </w:pPr>
      <w:r>
        <w:rPr>
          <w:rStyle w:val="a7"/>
        </w:rPr>
        <w:footnoteRef/>
      </w:r>
      <w:r>
        <w:rPr>
          <w:rtl/>
        </w:rPr>
        <w:t xml:space="preserve"> </w:t>
      </w:r>
      <w:r w:rsidRPr="00DF73A9">
        <w:rPr>
          <w:rFonts w:cs="Arial"/>
          <w:rtl/>
        </w:rPr>
        <w:t>וכ</w:t>
      </w:r>
      <w:r>
        <w:rPr>
          <w:rFonts w:cs="Arial" w:hint="cs"/>
          <w:rtl/>
        </w:rPr>
        <w:t>"כ</w:t>
      </w:r>
      <w:r w:rsidRPr="00DF73A9">
        <w:rPr>
          <w:rFonts w:cs="Arial"/>
          <w:rtl/>
        </w:rPr>
        <w:t xml:space="preserve"> ריב"א</w:t>
      </w:r>
      <w:r>
        <w:rPr>
          <w:rFonts w:cs="Arial" w:hint="cs"/>
          <w:rtl/>
        </w:rPr>
        <w:t>,</w:t>
      </w:r>
      <w:r w:rsidRPr="00DF73A9">
        <w:rPr>
          <w:rFonts w:cs="Arial"/>
          <w:rtl/>
        </w:rPr>
        <w:t xml:space="preserve"> וכן הביא ב</w:t>
      </w:r>
      <w:r>
        <w:rPr>
          <w:rFonts w:cs="Arial"/>
          <w:rtl/>
        </w:rPr>
        <w:t>או"ה</w:t>
      </w:r>
      <w:r w:rsidRPr="00DF73A9">
        <w:rPr>
          <w:rFonts w:cs="Arial"/>
          <w:rtl/>
        </w:rPr>
        <w:t xml:space="preserve"> (שם דין כב)</w:t>
      </w:r>
      <w:r>
        <w:rPr>
          <w:rFonts w:cs="Arial" w:hint="cs"/>
          <w:rtl/>
        </w:rPr>
        <w:t>,</w:t>
      </w:r>
      <w:r w:rsidRPr="00DF73A9">
        <w:rPr>
          <w:rFonts w:cs="Arial"/>
          <w:rtl/>
        </w:rPr>
        <w:t xml:space="preserve"> ונראה לי דזהו כדעת הרמב"ם דלעיל דסבירא ליה דשיפה במשחזת מהני לענין רותח וכבר כתבתי (אות יח) דיש להחמיר בדבר</w:t>
      </w:r>
      <w:r>
        <w:rPr>
          <w:rFonts w:cs="Arial" w:hint="cs"/>
          <w:rtl/>
        </w:rPr>
        <w:t>,</w:t>
      </w:r>
      <w:r w:rsidRPr="00DF73A9">
        <w:rPr>
          <w:rFonts w:cs="Arial"/>
          <w:rtl/>
        </w:rPr>
        <w:t xml:space="preserve"> מיהו דבהגעלה עם השחזה יש להקל וכן נראה לי</w:t>
      </w:r>
      <w:r>
        <w:rPr>
          <w:rFonts w:cs="Arial" w:hint="cs"/>
          <w:rtl/>
        </w:rPr>
        <w:t>, דרכ"מ (אות יט)</w:t>
      </w:r>
      <w:r w:rsidRPr="00DF73A9">
        <w:rPr>
          <w:rFonts w:cs="Arial"/>
          <w:rtl/>
        </w:rPr>
        <w:t>.</w:t>
      </w:r>
    </w:p>
  </w:footnote>
  <w:footnote w:id="3051">
    <w:p w14:paraId="23989BBE" w14:textId="77777777" w:rsidR="004C5A3C" w:rsidRDefault="004C5A3C" w:rsidP="002C39F4">
      <w:pPr>
        <w:pStyle w:val="a5"/>
        <w:rPr>
          <w:rtl/>
        </w:rPr>
      </w:pPr>
      <w:r>
        <w:rPr>
          <w:rStyle w:val="a7"/>
        </w:rPr>
        <w:footnoteRef/>
      </w:r>
      <w:r>
        <w:rPr>
          <w:rtl/>
        </w:rPr>
        <w:t xml:space="preserve"> </w:t>
      </w:r>
      <w:r>
        <w:rPr>
          <w:rFonts w:cs="Arial" w:hint="cs"/>
          <w:rtl/>
        </w:rPr>
        <w:t>וכ' הב"י על דבריו- ו</w:t>
      </w:r>
      <w:r w:rsidRPr="007773F1">
        <w:rPr>
          <w:rFonts w:cs="Arial"/>
          <w:rtl/>
        </w:rPr>
        <w:t>אני אומר שהמנהג הזה אין לו עיקר וגם לא פשט בינינו אלא משפשפו ביותר ודיו</w:t>
      </w:r>
      <w:r>
        <w:rPr>
          <w:rFonts w:cs="Arial" w:hint="cs"/>
          <w:rtl/>
        </w:rPr>
        <w:t>.</w:t>
      </w:r>
    </w:p>
  </w:footnote>
  <w:footnote w:id="3052">
    <w:p w14:paraId="309B8D2F" w14:textId="77777777" w:rsidR="004C5A3C" w:rsidRDefault="004C5A3C" w:rsidP="002C39F4">
      <w:pPr>
        <w:pStyle w:val="a5"/>
        <w:rPr>
          <w:rtl/>
        </w:rPr>
      </w:pPr>
      <w:r>
        <w:rPr>
          <w:rStyle w:val="a7"/>
        </w:rPr>
        <w:footnoteRef/>
      </w:r>
      <w:r>
        <w:rPr>
          <w:rtl/>
        </w:rPr>
        <w:t xml:space="preserve"> </w:t>
      </w:r>
      <w:r w:rsidRPr="008D7477">
        <w:rPr>
          <w:rFonts w:cs="Arial"/>
          <w:rtl/>
        </w:rPr>
        <w:t>עיין בספר בכור שור</w:t>
      </w:r>
      <w:r w:rsidRPr="008D7477">
        <w:rPr>
          <w:rFonts w:cs="Arial"/>
          <w:sz w:val="16"/>
          <w:szCs w:val="16"/>
          <w:rtl/>
        </w:rPr>
        <w:t xml:space="preserve"> </w:t>
      </w:r>
      <w:r w:rsidRPr="008D7477">
        <w:rPr>
          <w:rFonts w:cs="Arial" w:hint="cs"/>
          <w:sz w:val="16"/>
          <w:szCs w:val="16"/>
          <w:rtl/>
        </w:rPr>
        <w:t>(</w:t>
      </w:r>
      <w:r w:rsidRPr="008D7477">
        <w:rPr>
          <w:rFonts w:cs="Arial"/>
          <w:sz w:val="16"/>
          <w:szCs w:val="16"/>
          <w:rtl/>
        </w:rPr>
        <w:t>בחידושיו לחולין קיא</w:t>
      </w:r>
      <w:r w:rsidRPr="008D7477">
        <w:rPr>
          <w:rFonts w:cs="Arial" w:hint="cs"/>
          <w:sz w:val="16"/>
          <w:szCs w:val="16"/>
          <w:rtl/>
        </w:rPr>
        <w:t>., הביאו הפת"ש סק"ט)</w:t>
      </w:r>
      <w:r w:rsidRPr="008D7477">
        <w:rPr>
          <w:rFonts w:cs="Arial"/>
          <w:rtl/>
        </w:rPr>
        <w:t xml:space="preserve"> שהוכיח דהתוספות חולקים ע"ז ודוקא לחתוך אתרוג מהני נעיצה ולא לצנון ושאר דבר חריף ולכן כתב דבעל נפש יחוש ולא יאכל צנון ושאר דברים חריפין בסכין טריפה ע"י נעיצה י' פעמים</w:t>
      </w:r>
      <w:r>
        <w:rPr>
          <w:rFonts w:cs="Arial" w:hint="cs"/>
          <w:rtl/>
        </w:rPr>
        <w:t>.</w:t>
      </w:r>
    </w:p>
  </w:footnote>
  <w:footnote w:id="3053">
    <w:p w14:paraId="5A8410A6" w14:textId="77777777" w:rsidR="004C5A3C" w:rsidRDefault="004C5A3C" w:rsidP="002C39F4">
      <w:pPr>
        <w:pStyle w:val="a5"/>
      </w:pPr>
      <w:r>
        <w:rPr>
          <w:rStyle w:val="a7"/>
        </w:rPr>
        <w:footnoteRef/>
      </w:r>
      <w:r>
        <w:rPr>
          <w:rtl/>
        </w:rPr>
        <w:t xml:space="preserve"> </w:t>
      </w:r>
      <w:r>
        <w:rPr>
          <w:rFonts w:cs="Arial" w:hint="cs"/>
          <w:rtl/>
        </w:rPr>
        <w:t>ו</w:t>
      </w:r>
      <w:r w:rsidRPr="00DF73A9">
        <w:rPr>
          <w:rFonts w:cs="Arial"/>
          <w:rtl/>
        </w:rPr>
        <w:t>רוב סכינים שלנו יש בהן גומות</w:t>
      </w:r>
      <w:r>
        <w:rPr>
          <w:rFonts w:cs="Arial" w:hint="cs"/>
          <w:rtl/>
        </w:rPr>
        <w:t xml:space="preserve">, או"ה </w:t>
      </w:r>
      <w:r w:rsidRPr="00DF73A9">
        <w:rPr>
          <w:rFonts w:cs="Arial"/>
          <w:rtl/>
        </w:rPr>
        <w:t>ארוך (שם דין יז)</w:t>
      </w:r>
      <w:r>
        <w:rPr>
          <w:rFonts w:cs="Arial" w:hint="cs"/>
          <w:rtl/>
        </w:rPr>
        <w:t>. הביאו הדרכ"מ (אות יט).</w:t>
      </w:r>
    </w:p>
  </w:footnote>
  <w:footnote w:id="3054">
    <w:p w14:paraId="177FA293" w14:textId="77777777" w:rsidR="004C5A3C" w:rsidRDefault="004C5A3C" w:rsidP="002C39F4">
      <w:pPr>
        <w:pStyle w:val="a5"/>
      </w:pPr>
      <w:r>
        <w:rPr>
          <w:rStyle w:val="a7"/>
        </w:rPr>
        <w:footnoteRef/>
      </w:r>
      <w:r>
        <w:rPr>
          <w:rtl/>
        </w:rPr>
        <w:t xml:space="preserve"> </w:t>
      </w:r>
      <w:r w:rsidRPr="00193286">
        <w:rPr>
          <w:rFonts w:cs="Arial"/>
          <w:rtl/>
        </w:rPr>
        <w:t>אבל דיעבד אם נשתמש בו רותח אחר ההשחזה אפילו הוא ב</w:t>
      </w:r>
      <w:r>
        <w:rPr>
          <w:rFonts w:cs="Arial" w:hint="cs"/>
          <w:rtl/>
        </w:rPr>
        <w:t>ן יומו</w:t>
      </w:r>
      <w:r w:rsidRPr="00193286">
        <w:rPr>
          <w:rFonts w:cs="Arial"/>
          <w:rtl/>
        </w:rPr>
        <w:t xml:space="preserve"> מותר כמו אחר ההגעלה</w:t>
      </w:r>
      <w:r>
        <w:rPr>
          <w:rFonts w:cs="Arial" w:hint="cs"/>
          <w:rtl/>
        </w:rPr>
        <w:t>,</w:t>
      </w:r>
      <w:r w:rsidRPr="00193286">
        <w:rPr>
          <w:rFonts w:cs="Arial"/>
          <w:rtl/>
        </w:rPr>
        <w:t xml:space="preserve"> דהא ההשחזה עדיף מהגעלה לדעת המחבר</w:t>
      </w:r>
      <w:r>
        <w:rPr>
          <w:rFonts w:cs="Arial" w:hint="cs"/>
          <w:rtl/>
        </w:rPr>
        <w:t>,</w:t>
      </w:r>
      <w:r w:rsidRPr="00193286">
        <w:rPr>
          <w:rFonts w:cs="Arial"/>
          <w:rtl/>
        </w:rPr>
        <w:t xml:space="preserve"> וכן מוכח בב"י להדיא</w:t>
      </w:r>
      <w:r>
        <w:rPr>
          <w:rFonts w:cs="Arial" w:hint="cs"/>
          <w:rtl/>
        </w:rPr>
        <w:t>,</w:t>
      </w:r>
      <w:r w:rsidRPr="00193286">
        <w:rPr>
          <w:rFonts w:cs="Arial"/>
          <w:rtl/>
        </w:rPr>
        <w:t xml:space="preserve"> ואע</w:t>
      </w:r>
      <w:r>
        <w:rPr>
          <w:rFonts w:cs="Arial" w:hint="cs"/>
          <w:rtl/>
        </w:rPr>
        <w:t>"</w:t>
      </w:r>
      <w:r w:rsidRPr="00193286">
        <w:rPr>
          <w:rFonts w:cs="Arial"/>
          <w:rtl/>
        </w:rPr>
        <w:t>ג דהרשב"א וסייעתו סוברים דהגעלה עדיף ומותר להשתמש רותח אחר הגעלה ולא אחר השחזה מ"מ אנן דסמכי</w:t>
      </w:r>
      <w:r>
        <w:rPr>
          <w:rFonts w:cs="Arial" w:hint="cs"/>
          <w:rtl/>
        </w:rPr>
        <w:t>נן</w:t>
      </w:r>
      <w:r w:rsidRPr="00193286">
        <w:rPr>
          <w:rFonts w:cs="Arial"/>
          <w:rtl/>
        </w:rPr>
        <w:t xml:space="preserve"> דיעבד אדברי המתירין</w:t>
      </w:r>
      <w:r>
        <w:rPr>
          <w:rFonts w:cs="Arial" w:hint="cs"/>
          <w:rtl/>
        </w:rPr>
        <w:t>,</w:t>
      </w:r>
      <w:r w:rsidRPr="00193286">
        <w:rPr>
          <w:rFonts w:cs="Arial"/>
          <w:rtl/>
        </w:rPr>
        <w:t xml:space="preserve"> ה"ה לענין השחזה דסמכינן אהרמב"ם והר"ן דס"ל דהשחזה מועלת להשתמש רותח</w:t>
      </w:r>
      <w:r>
        <w:rPr>
          <w:rFonts w:cs="Arial" w:hint="cs"/>
          <w:rtl/>
        </w:rPr>
        <w:t>,</w:t>
      </w:r>
      <w:r w:rsidRPr="00193286">
        <w:rPr>
          <w:rFonts w:cs="Arial"/>
          <w:rtl/>
        </w:rPr>
        <w:t xml:space="preserve"> וכן דעת הרא"ה </w:t>
      </w:r>
      <w:r>
        <w:rPr>
          <w:rFonts w:cs="Arial" w:hint="cs"/>
          <w:rtl/>
        </w:rPr>
        <w:t>(</w:t>
      </w:r>
      <w:r w:rsidRPr="00193286">
        <w:rPr>
          <w:rFonts w:cs="Arial"/>
          <w:rtl/>
        </w:rPr>
        <w:t>ב</w:t>
      </w:r>
      <w:r>
        <w:rPr>
          <w:rFonts w:cs="Arial" w:hint="cs"/>
          <w:rtl/>
        </w:rPr>
        <w:t>בדה"ב</w:t>
      </w:r>
      <w:r w:rsidRPr="00193286">
        <w:rPr>
          <w:rFonts w:cs="Arial"/>
          <w:rtl/>
        </w:rPr>
        <w:t xml:space="preserve"> </w:t>
      </w:r>
      <w:r>
        <w:rPr>
          <w:rFonts w:cs="Arial" w:hint="cs"/>
          <w:rtl/>
        </w:rPr>
        <w:t xml:space="preserve">דף </w:t>
      </w:r>
      <w:r w:rsidRPr="00193286">
        <w:rPr>
          <w:rFonts w:cs="Arial"/>
          <w:rtl/>
        </w:rPr>
        <w:t>קכד</w:t>
      </w:r>
      <w:r>
        <w:rPr>
          <w:rFonts w:cs="Arial" w:hint="cs"/>
          <w:rtl/>
        </w:rPr>
        <w:t>), ש"ך (סק"כ).</w:t>
      </w:r>
    </w:p>
  </w:footnote>
  <w:footnote w:id="3055">
    <w:p w14:paraId="168C94F5" w14:textId="77777777" w:rsidR="004C5A3C" w:rsidRDefault="004C5A3C" w:rsidP="002C39F4">
      <w:pPr>
        <w:pStyle w:val="a5"/>
      </w:pPr>
      <w:r>
        <w:rPr>
          <w:rStyle w:val="a7"/>
        </w:rPr>
        <w:footnoteRef/>
      </w:r>
      <w:r>
        <w:rPr>
          <w:rtl/>
        </w:rPr>
        <w:t xml:space="preserve"> </w:t>
      </w:r>
      <w:r w:rsidRPr="00C853BA">
        <w:rPr>
          <w:rFonts w:cs="Arial"/>
          <w:rtl/>
        </w:rPr>
        <w:t>אבל אי בלע היתר דדי לו בהגעלה אלא שמחמירין בליבון מחמת הגומות שבו אין צריך להגעילו אח</w:t>
      </w:r>
      <w:r>
        <w:rPr>
          <w:rFonts w:cs="Arial" w:hint="cs"/>
          <w:rtl/>
        </w:rPr>
        <w:t>"</w:t>
      </w:r>
      <w:r w:rsidRPr="00C853BA">
        <w:rPr>
          <w:rFonts w:cs="Arial"/>
          <w:rtl/>
        </w:rPr>
        <w:t>כ דמכל מקום הליבון לא גרע מהגעלה</w:t>
      </w:r>
      <w:r>
        <w:rPr>
          <w:rFonts w:cs="Arial" w:hint="cs"/>
          <w:rtl/>
        </w:rPr>
        <w:t>, או</w:t>
      </w:r>
      <w:r>
        <w:rPr>
          <w:rFonts w:cs="Arial"/>
          <w:rtl/>
        </w:rPr>
        <w:t>"</w:t>
      </w:r>
      <w:r>
        <w:rPr>
          <w:rFonts w:cs="Arial" w:hint="cs"/>
          <w:rtl/>
        </w:rPr>
        <w:t>ה (שם). הביאו הדרכ"מ (אות יט).</w:t>
      </w:r>
    </w:p>
  </w:footnote>
  <w:footnote w:id="3056">
    <w:p w14:paraId="2A3B2D48" w14:textId="77777777" w:rsidR="004C5A3C" w:rsidRDefault="004C5A3C" w:rsidP="002C39F4">
      <w:pPr>
        <w:pStyle w:val="a5"/>
        <w:rPr>
          <w:rtl/>
        </w:rPr>
      </w:pPr>
      <w:r>
        <w:rPr>
          <w:rStyle w:val="a7"/>
        </w:rPr>
        <w:footnoteRef/>
      </w:r>
      <w:r>
        <w:rPr>
          <w:rtl/>
        </w:rPr>
        <w:t xml:space="preserve"> </w:t>
      </w:r>
      <w:r w:rsidRPr="001E4C23">
        <w:rPr>
          <w:rFonts w:cs="Arial"/>
          <w:rtl/>
        </w:rPr>
        <w:t>רב לטעמיה, דאמר: חמץ אף לאחר זמנו אסור בהנאה כר' יהודה, ואית ליה במשהו, וקסבר נותן טעם לפגם - אסור, ולית הלכתא כוותיה מתרי טעמי, חדא: דאוקי רבא הלכתא דתערובת לאחר זמנו מותר כר' שמעון, והאי פחות מתערובת הוא, ועוד: דקיימא לן נותן טעם לפגם מותר, וזה משעברו עליו ימי הפסח - הופג טעמו בדופני הכלי</w:t>
      </w:r>
      <w:r>
        <w:rPr>
          <w:rFonts w:cs="Arial" w:hint="cs"/>
          <w:rtl/>
        </w:rPr>
        <w:t>, רש"י</w:t>
      </w:r>
      <w:r w:rsidRPr="001E4C23">
        <w:rPr>
          <w:rFonts w:cs="Arial"/>
          <w:rtl/>
        </w:rPr>
        <w:t>.</w:t>
      </w:r>
    </w:p>
  </w:footnote>
  <w:footnote w:id="3057">
    <w:p w14:paraId="3B44F86D" w14:textId="77777777" w:rsidR="004C5A3C" w:rsidRDefault="004C5A3C" w:rsidP="002C39F4">
      <w:pPr>
        <w:pStyle w:val="a5"/>
      </w:pPr>
      <w:r>
        <w:rPr>
          <w:rStyle w:val="a7"/>
        </w:rPr>
        <w:footnoteRef/>
      </w:r>
      <w:r>
        <w:rPr>
          <w:rtl/>
        </w:rPr>
        <w:t xml:space="preserve"> </w:t>
      </w:r>
      <w:r w:rsidRPr="001E4C23">
        <w:rPr>
          <w:rFonts w:cs="Arial"/>
          <w:rtl/>
        </w:rPr>
        <w:t>דהא מודי רב לעיל דחמץ שלא בזמנו שלא במינו במשהו מותר, והאי משהו חשיב להו</w:t>
      </w:r>
      <w:r>
        <w:rPr>
          <w:rFonts w:cs="Arial" w:hint="cs"/>
          <w:rtl/>
        </w:rPr>
        <w:t>, רש"י</w:t>
      </w:r>
      <w:r w:rsidRPr="001E4C23">
        <w:rPr>
          <w:rFonts w:cs="Arial"/>
          <w:rtl/>
        </w:rPr>
        <w:t>.</w:t>
      </w:r>
    </w:p>
  </w:footnote>
  <w:footnote w:id="3058">
    <w:p w14:paraId="5FFB3C32" w14:textId="77777777" w:rsidR="004C5A3C" w:rsidRDefault="004C5A3C" w:rsidP="002C39F4">
      <w:pPr>
        <w:pStyle w:val="a5"/>
      </w:pPr>
      <w:r>
        <w:rPr>
          <w:rStyle w:val="a7"/>
        </w:rPr>
        <w:footnoteRef/>
      </w:r>
      <w:r>
        <w:rPr>
          <w:rtl/>
        </w:rPr>
        <w:t xml:space="preserve"> </w:t>
      </w:r>
      <w:r w:rsidRPr="001E4C23">
        <w:rPr>
          <w:rFonts w:cs="Arial"/>
          <w:rtl/>
        </w:rPr>
        <w:t>קדרות לאחר הפסח</w:t>
      </w:r>
      <w:r>
        <w:rPr>
          <w:rFonts w:cs="Arial" w:hint="cs"/>
          <w:rtl/>
        </w:rPr>
        <w:t>, רש"י</w:t>
      </w:r>
      <w:r w:rsidRPr="001E4C23">
        <w:rPr>
          <w:rFonts w:cs="Arial"/>
          <w:rtl/>
        </w:rPr>
        <w:t>.</w:t>
      </w:r>
    </w:p>
  </w:footnote>
  <w:footnote w:id="3059">
    <w:p w14:paraId="444138C2" w14:textId="77777777" w:rsidR="004C5A3C" w:rsidRDefault="004C5A3C" w:rsidP="002C39F4">
      <w:pPr>
        <w:pStyle w:val="a5"/>
        <w:rPr>
          <w:rtl/>
        </w:rPr>
      </w:pPr>
      <w:r>
        <w:rPr>
          <w:rStyle w:val="a7"/>
        </w:rPr>
        <w:footnoteRef/>
      </w:r>
      <w:r>
        <w:rPr>
          <w:rtl/>
        </w:rPr>
        <w:t xml:space="preserve"> </w:t>
      </w:r>
      <w:r w:rsidRPr="001E4C23">
        <w:rPr>
          <w:rFonts w:cs="Arial"/>
          <w:rtl/>
        </w:rPr>
        <w:t>אל תעלו דמיהן יותר משוויין</w:t>
      </w:r>
      <w:r>
        <w:rPr>
          <w:rFonts w:cs="Arial" w:hint="cs"/>
          <w:rtl/>
        </w:rPr>
        <w:t>, רש"י</w:t>
      </w:r>
      <w:r w:rsidRPr="001E4C23">
        <w:rPr>
          <w:rFonts w:cs="Arial"/>
          <w:rtl/>
        </w:rPr>
        <w:t>.</w:t>
      </w:r>
    </w:p>
  </w:footnote>
  <w:footnote w:id="3060">
    <w:p w14:paraId="152B4837" w14:textId="77777777" w:rsidR="004C5A3C" w:rsidRDefault="004C5A3C" w:rsidP="002C39F4">
      <w:pPr>
        <w:pStyle w:val="a5"/>
        <w:rPr>
          <w:rtl/>
        </w:rPr>
      </w:pPr>
      <w:r>
        <w:rPr>
          <w:rStyle w:val="a7"/>
        </w:rPr>
        <w:footnoteRef/>
      </w:r>
      <w:r>
        <w:rPr>
          <w:rtl/>
        </w:rPr>
        <w:t xml:space="preserve"> </w:t>
      </w:r>
      <w:r w:rsidRPr="001E4C23">
        <w:rPr>
          <w:rFonts w:cs="Arial"/>
          <w:rtl/>
        </w:rPr>
        <w:t>דמותרות הקדרות הישנות לאחר הפסח</w:t>
      </w:r>
      <w:r>
        <w:rPr>
          <w:rFonts w:cs="Arial" w:hint="cs"/>
          <w:rtl/>
        </w:rPr>
        <w:t>, רש"י</w:t>
      </w:r>
      <w:r w:rsidRPr="001E4C23">
        <w:rPr>
          <w:rFonts w:cs="Arial"/>
          <w:rtl/>
        </w:rPr>
        <w:t>.</w:t>
      </w:r>
    </w:p>
  </w:footnote>
  <w:footnote w:id="3061">
    <w:p w14:paraId="387E2260" w14:textId="77777777" w:rsidR="004C5A3C" w:rsidRDefault="004C5A3C" w:rsidP="002C39F4">
      <w:pPr>
        <w:pStyle w:val="a5"/>
        <w:rPr>
          <w:rtl/>
        </w:rPr>
      </w:pPr>
      <w:r>
        <w:rPr>
          <w:rStyle w:val="a7"/>
        </w:rPr>
        <w:footnoteRef/>
      </w:r>
      <w:r>
        <w:rPr>
          <w:rtl/>
        </w:rPr>
        <w:t xml:space="preserve"> </w:t>
      </w:r>
      <w:r>
        <w:rPr>
          <w:rFonts w:cs="Arial"/>
          <w:rtl/>
        </w:rPr>
        <w:t>כלומר דאע</w:t>
      </w:r>
      <w:r>
        <w:rPr>
          <w:rFonts w:cs="Arial" w:hint="cs"/>
          <w:rtl/>
        </w:rPr>
        <w:t>"</w:t>
      </w:r>
      <w:r>
        <w:rPr>
          <w:rFonts w:cs="Arial"/>
          <w:rtl/>
        </w:rPr>
        <w:t>ג דהיתרא בלע לא אמרינן כיון שנפגם שרי</w:t>
      </w:r>
      <w:r>
        <w:rPr>
          <w:rFonts w:cs="Arial" w:hint="cs"/>
          <w:rtl/>
        </w:rPr>
        <w:t>,</w:t>
      </w:r>
      <w:r>
        <w:rPr>
          <w:rFonts w:cs="Arial"/>
          <w:rtl/>
        </w:rPr>
        <w:t xml:space="preserve"> והביא ראיה מדאמרינן (פסחים ל.) קדרות בפסח ישברו או משהי להו עד לבתר פיסחא ופשוט הוא</w:t>
      </w:r>
      <w:r>
        <w:rPr>
          <w:rFonts w:cs="Arial" w:hint="cs"/>
          <w:rtl/>
        </w:rPr>
        <w:t>, ב"י</w:t>
      </w:r>
      <w:r>
        <w:rPr>
          <w:rFonts w:cs="Arial"/>
          <w:rtl/>
        </w:rPr>
        <w:t>.</w:t>
      </w:r>
    </w:p>
  </w:footnote>
  <w:footnote w:id="3062">
    <w:p w14:paraId="59F97FC9" w14:textId="77777777" w:rsidR="004C5A3C" w:rsidRDefault="004C5A3C" w:rsidP="002C39F4">
      <w:pPr>
        <w:pStyle w:val="a5"/>
      </w:pPr>
      <w:r>
        <w:rPr>
          <w:rStyle w:val="a7"/>
        </w:rPr>
        <w:footnoteRef/>
      </w:r>
      <w:r>
        <w:rPr>
          <w:rtl/>
        </w:rPr>
        <w:t xml:space="preserve"> </w:t>
      </w:r>
      <w:r w:rsidRPr="008D7477">
        <w:rPr>
          <w:rFonts w:cs="Arial"/>
          <w:rtl/>
        </w:rPr>
        <w:t xml:space="preserve">עיין במנחת יעקב </w:t>
      </w:r>
      <w:r>
        <w:rPr>
          <w:rFonts w:cs="Arial" w:hint="cs"/>
          <w:rtl/>
        </w:rPr>
        <w:t>(</w:t>
      </w:r>
      <w:r w:rsidRPr="008D7477">
        <w:rPr>
          <w:rFonts w:cs="Arial"/>
          <w:rtl/>
        </w:rPr>
        <w:t>כלל פה ס</w:t>
      </w:r>
      <w:r>
        <w:rPr>
          <w:rFonts w:cs="Arial" w:hint="cs"/>
          <w:rtl/>
        </w:rPr>
        <w:t>"</w:t>
      </w:r>
      <w:r w:rsidRPr="008D7477">
        <w:rPr>
          <w:rFonts w:cs="Arial"/>
          <w:rtl/>
        </w:rPr>
        <w:t>ק סד</w:t>
      </w:r>
      <w:r>
        <w:rPr>
          <w:rFonts w:cs="Arial" w:hint="cs"/>
          <w:rtl/>
        </w:rPr>
        <w:t>)</w:t>
      </w:r>
      <w:r w:rsidRPr="008D7477">
        <w:rPr>
          <w:rFonts w:cs="Arial"/>
          <w:rtl/>
        </w:rPr>
        <w:t xml:space="preserve"> </w:t>
      </w:r>
      <w:r>
        <w:rPr>
          <w:rFonts w:cs="Arial" w:hint="cs"/>
          <w:rtl/>
        </w:rPr>
        <w:t>ש</w:t>
      </w:r>
      <w:r w:rsidRPr="008D7477">
        <w:rPr>
          <w:rFonts w:cs="Arial"/>
          <w:rtl/>
        </w:rPr>
        <w:t>הביא דבתשו</w:t>
      </w:r>
      <w:r>
        <w:rPr>
          <w:rFonts w:cs="Arial" w:hint="cs"/>
          <w:rtl/>
        </w:rPr>
        <w:t>'</w:t>
      </w:r>
      <w:r w:rsidRPr="008D7477">
        <w:rPr>
          <w:rFonts w:cs="Arial"/>
          <w:rtl/>
        </w:rPr>
        <w:t xml:space="preserve"> נחלת יעקב כתב בשם חכמי וויניציא"ה דזה דוקא בכלי מתכות כיון דאית תקנה בהגעלה משא"כ כלי חרס דצריך שבירה הוי כדיעבד ומתירין הכלים לאחר שהיית מעל"ע</w:t>
      </w:r>
      <w:r>
        <w:rPr>
          <w:rFonts w:cs="Arial" w:hint="cs"/>
          <w:rtl/>
        </w:rPr>
        <w:t>,</w:t>
      </w:r>
      <w:r w:rsidRPr="008D7477">
        <w:rPr>
          <w:rFonts w:cs="Arial"/>
          <w:rtl/>
        </w:rPr>
        <w:t xml:space="preserve"> והאריך להשיג ע"ז מכמה סוגיות דש"ס והפוסקים</w:t>
      </w:r>
      <w:r>
        <w:rPr>
          <w:rFonts w:cs="Arial" w:hint="cs"/>
          <w:rtl/>
        </w:rPr>
        <w:t>,</w:t>
      </w:r>
      <w:r w:rsidRPr="008D7477">
        <w:rPr>
          <w:rFonts w:cs="Arial"/>
          <w:rtl/>
        </w:rPr>
        <w:t xml:space="preserve"> ומ"מ מסיק שם בשם גדול אחד דבהפ"מ יש להתיר בכ</w:t>
      </w:r>
      <w:r>
        <w:rPr>
          <w:rFonts w:cs="Arial" w:hint="cs"/>
          <w:rtl/>
        </w:rPr>
        <w:t xml:space="preserve">לי </w:t>
      </w:r>
      <w:r w:rsidRPr="008D7477">
        <w:rPr>
          <w:rFonts w:cs="Arial"/>
          <w:rtl/>
        </w:rPr>
        <w:t>ח</w:t>
      </w:r>
      <w:r>
        <w:rPr>
          <w:rFonts w:cs="Arial" w:hint="cs"/>
          <w:rtl/>
        </w:rPr>
        <w:t>רס ע"ש,</w:t>
      </w:r>
      <w:r w:rsidRPr="008D7477">
        <w:rPr>
          <w:rFonts w:cs="Arial"/>
          <w:rtl/>
        </w:rPr>
        <w:t xml:space="preserve"> ולע"ד קשה להתיר אפי' בהפ"מ דהא כתב בהג</w:t>
      </w:r>
      <w:r>
        <w:rPr>
          <w:rFonts w:cs="Arial" w:hint="cs"/>
          <w:rtl/>
        </w:rPr>
        <w:t>"א</w:t>
      </w:r>
      <w:r w:rsidRPr="008D7477">
        <w:rPr>
          <w:rFonts w:cs="Arial"/>
          <w:rtl/>
        </w:rPr>
        <w:t xml:space="preserve"> </w:t>
      </w:r>
      <w:r>
        <w:rPr>
          <w:rFonts w:cs="Arial" w:hint="cs"/>
          <w:rtl/>
        </w:rPr>
        <w:t>(</w:t>
      </w:r>
      <w:r w:rsidRPr="008D7477">
        <w:rPr>
          <w:rFonts w:cs="Arial"/>
          <w:rtl/>
        </w:rPr>
        <w:t xml:space="preserve">סוף </w:t>
      </w:r>
      <w:r>
        <w:rPr>
          <w:rFonts w:cs="Arial" w:hint="cs"/>
          <w:rtl/>
        </w:rPr>
        <w:t>ע"ז)</w:t>
      </w:r>
      <w:r w:rsidRPr="008D7477">
        <w:rPr>
          <w:rFonts w:cs="Arial"/>
          <w:rtl/>
        </w:rPr>
        <w:t xml:space="preserve"> אהא דאמר גזירה שאב"י אטו ב"י וז"ל אבל אין לומר הטעם לפי שהוא לכתחלה ונ"ט לפגם לכתחלה אסור דהא כיון שטעונין שבירה הוי כדיעבד עכ"ל</w:t>
      </w:r>
      <w:r>
        <w:rPr>
          <w:rFonts w:cs="Arial" w:hint="cs"/>
          <w:rtl/>
        </w:rPr>
        <w:t>,</w:t>
      </w:r>
      <w:r w:rsidRPr="008D7477">
        <w:rPr>
          <w:rFonts w:cs="Arial"/>
          <w:rtl/>
        </w:rPr>
        <w:t xml:space="preserve"> הרי בהדיא דאפילו בכ"ח צריך שבירה</w:t>
      </w:r>
      <w:r>
        <w:rPr>
          <w:rFonts w:cs="Arial" w:hint="cs"/>
          <w:rtl/>
        </w:rPr>
        <w:t>,</w:t>
      </w:r>
      <w:r w:rsidRPr="008D7477">
        <w:rPr>
          <w:rFonts w:cs="Arial"/>
          <w:rtl/>
        </w:rPr>
        <w:t xml:space="preserve"> שוב מצאתי בפמ"ג סי' קג שהעיר ג"כ בזה</w:t>
      </w:r>
      <w:r>
        <w:rPr>
          <w:rFonts w:cs="Arial" w:hint="cs"/>
          <w:rtl/>
        </w:rPr>
        <w:t>,</w:t>
      </w:r>
      <w:r w:rsidRPr="008D7477">
        <w:rPr>
          <w:rFonts w:cs="Arial"/>
          <w:rtl/>
        </w:rPr>
        <w:t xml:space="preserve"> ועיין פמ"ג לא"ח בהנהגת הוראות או"ה סדר שלישי אות כ"ה וכ"ו מ"ש בזה</w:t>
      </w:r>
      <w:r>
        <w:rPr>
          <w:rFonts w:cs="Arial" w:hint="cs"/>
          <w:rtl/>
        </w:rPr>
        <w:t>,</w:t>
      </w:r>
      <w:r w:rsidRPr="008D7477">
        <w:rPr>
          <w:rFonts w:cs="Arial"/>
          <w:rtl/>
        </w:rPr>
        <w:t xml:space="preserve"> וע"ל סק"ג</w:t>
      </w:r>
      <w:r>
        <w:rPr>
          <w:rFonts w:cs="Arial" w:hint="cs"/>
          <w:rtl/>
        </w:rPr>
        <w:t>, פת"ש (סק"א).</w:t>
      </w:r>
    </w:p>
  </w:footnote>
  <w:footnote w:id="3063">
    <w:p w14:paraId="53A823BA" w14:textId="77777777" w:rsidR="004C5A3C" w:rsidRDefault="004C5A3C" w:rsidP="002C39F4">
      <w:pPr>
        <w:pStyle w:val="a5"/>
      </w:pPr>
      <w:r>
        <w:rPr>
          <w:rStyle w:val="a7"/>
        </w:rPr>
        <w:footnoteRef/>
      </w:r>
      <w:r>
        <w:rPr>
          <w:rtl/>
        </w:rPr>
        <w:t xml:space="preserve"> </w:t>
      </w:r>
      <w:r>
        <w:rPr>
          <w:rFonts w:hint="cs"/>
          <w:rtl/>
        </w:rPr>
        <w:t xml:space="preserve">אמנם גבי פת הדין שונה והביא </w:t>
      </w:r>
      <w:r>
        <w:rPr>
          <w:rFonts w:cs="Arial" w:hint="cs"/>
          <w:rtl/>
        </w:rPr>
        <w:t xml:space="preserve">הדרכ"מ </w:t>
      </w:r>
      <w:r w:rsidRPr="007210D5">
        <w:rPr>
          <w:rFonts w:cs="Arial"/>
          <w:rtl/>
        </w:rPr>
        <w:t>(</w:t>
      </w:r>
      <w:r>
        <w:rPr>
          <w:rFonts w:cs="Arial" w:hint="cs"/>
          <w:rtl/>
        </w:rPr>
        <w:t xml:space="preserve">אות </w:t>
      </w:r>
      <w:r w:rsidRPr="007210D5">
        <w:rPr>
          <w:rFonts w:cs="Arial"/>
          <w:rtl/>
        </w:rPr>
        <w:t xml:space="preserve">א*) </w:t>
      </w:r>
      <w:r>
        <w:rPr>
          <w:rFonts w:cs="Arial" w:hint="cs"/>
          <w:rtl/>
        </w:rPr>
        <w:t>את דברי הב"י (ב</w:t>
      </w:r>
      <w:r w:rsidRPr="007210D5">
        <w:rPr>
          <w:rFonts w:cs="Arial"/>
          <w:rtl/>
        </w:rPr>
        <w:t>סי</w:t>
      </w:r>
      <w:r>
        <w:rPr>
          <w:rFonts w:cs="Arial" w:hint="cs"/>
          <w:rtl/>
        </w:rPr>
        <w:t>'</w:t>
      </w:r>
      <w:r w:rsidRPr="007210D5">
        <w:rPr>
          <w:rFonts w:cs="Arial"/>
          <w:rtl/>
        </w:rPr>
        <w:t xml:space="preserve"> צז בסוף הסימן) </w:t>
      </w:r>
      <w:r>
        <w:rPr>
          <w:rFonts w:cs="Arial" w:hint="cs"/>
          <w:rtl/>
        </w:rPr>
        <w:t xml:space="preserve">בשם </w:t>
      </w:r>
      <w:r w:rsidRPr="007210D5">
        <w:rPr>
          <w:rFonts w:cs="Arial"/>
          <w:rtl/>
        </w:rPr>
        <w:t>התוס</w:t>
      </w:r>
      <w:r>
        <w:rPr>
          <w:rFonts w:cs="Arial" w:hint="cs"/>
          <w:rtl/>
        </w:rPr>
        <w:t>' (</w:t>
      </w:r>
      <w:r w:rsidRPr="007210D5">
        <w:rPr>
          <w:rFonts w:cs="Arial"/>
          <w:rtl/>
        </w:rPr>
        <w:t xml:space="preserve">ע"ז סו: ד"ה רבא אמר) </w:t>
      </w:r>
      <w:r>
        <w:rPr>
          <w:rFonts w:cs="Arial" w:hint="cs"/>
          <w:rtl/>
        </w:rPr>
        <w:t>ד</w:t>
      </w:r>
      <w:r w:rsidRPr="007210D5">
        <w:rPr>
          <w:rFonts w:cs="Arial"/>
          <w:rtl/>
        </w:rPr>
        <w:t>אם שמנונית האיסור על המרדה שקורין פאל"ה אסור ליתן עליה היתר כל היום מיהו כשאינה בת יומא מותר להשתמש עליה לכתחילה ולא גזרו שאינה בת יומא אטו בת יומא אפילו לכתחילה כיון דלא איפשר שהרי הגוי לא ישמע לנו לעשות מרדה חדשה בכל פעם ופעם שישפוך עליה של איסור עכ</w:t>
      </w:r>
      <w:r>
        <w:rPr>
          <w:rFonts w:cs="Arial" w:hint="cs"/>
          <w:rtl/>
        </w:rPr>
        <w:t>"ל.</w:t>
      </w:r>
      <w:r>
        <w:rPr>
          <w:rFonts w:hint="cs"/>
          <w:rtl/>
        </w:rPr>
        <w:t xml:space="preserve"> </w:t>
      </w:r>
      <w:r>
        <w:rPr>
          <w:rFonts w:hint="cs"/>
          <w:color w:val="E36C0A" w:themeColor="accent6" w:themeShade="BF"/>
          <w:rtl/>
        </w:rPr>
        <w:t>(</w:t>
      </w:r>
      <w:r w:rsidRPr="007210D5">
        <w:rPr>
          <w:rFonts w:hint="cs"/>
          <w:color w:val="E36C0A" w:themeColor="accent6" w:themeShade="BF"/>
          <w:rtl/>
        </w:rPr>
        <w:t>וכ"פ בשו"ע</w:t>
      </w:r>
      <w:r w:rsidRPr="007210D5">
        <w:rPr>
          <w:rFonts w:hint="cs"/>
          <w:rtl/>
        </w:rPr>
        <w:t xml:space="preserve"> </w:t>
      </w:r>
      <w:r w:rsidRPr="007210D5">
        <w:rPr>
          <w:rFonts w:hint="cs"/>
          <w:sz w:val="16"/>
          <w:szCs w:val="16"/>
          <w:rtl/>
        </w:rPr>
        <w:t>[סי' קח סע' ג]</w:t>
      </w:r>
      <w:r w:rsidRPr="007210D5">
        <w:rPr>
          <w:rFonts w:hint="cs"/>
          <w:color w:val="E36C0A" w:themeColor="accent6" w:themeShade="BF"/>
          <w:rtl/>
        </w:rPr>
        <w:t>)</w:t>
      </w:r>
    </w:p>
  </w:footnote>
  <w:footnote w:id="3064">
    <w:p w14:paraId="746F6B03" w14:textId="77777777" w:rsidR="004C5A3C" w:rsidRDefault="004C5A3C" w:rsidP="002C39F4">
      <w:pPr>
        <w:pStyle w:val="a5"/>
        <w:rPr>
          <w:rtl/>
        </w:rPr>
      </w:pPr>
      <w:r>
        <w:rPr>
          <w:rStyle w:val="a7"/>
        </w:rPr>
        <w:footnoteRef/>
      </w:r>
      <w:r>
        <w:rPr>
          <w:rtl/>
        </w:rPr>
        <w:t xml:space="preserve"> </w:t>
      </w:r>
      <w:r>
        <w:rPr>
          <w:rFonts w:cs="Arial" w:hint="cs"/>
          <w:rtl/>
        </w:rPr>
        <w:t xml:space="preserve">וז"ל- </w:t>
      </w:r>
      <w:r w:rsidRPr="00AF6944">
        <w:rPr>
          <w:rFonts w:cs="Arial"/>
          <w:rtl/>
        </w:rPr>
        <w:t>וכולן שנשתמש בהם עד שלא הרתיח או עד שלא הדיח ועד שלא הלבין ועד שלא הטביל מותר שכל השומן שבהם נותן טעם לפגם הוא כמו שביארנו</w:t>
      </w:r>
      <w:r>
        <w:rPr>
          <w:rFonts w:cs="Arial" w:hint="cs"/>
          <w:rtl/>
        </w:rPr>
        <w:t>, עכ"ל.</w:t>
      </w:r>
      <w:r w:rsidRPr="00A02D07">
        <w:rPr>
          <w:rFonts w:cs="Arial"/>
          <w:rtl/>
        </w:rPr>
        <w:t xml:space="preserve"> וכתב הר"ן</w:t>
      </w:r>
      <w:r w:rsidRPr="00612B7F">
        <w:rPr>
          <w:rFonts w:cs="Arial"/>
          <w:sz w:val="16"/>
          <w:szCs w:val="16"/>
          <w:rtl/>
        </w:rPr>
        <w:t xml:space="preserve"> </w:t>
      </w:r>
      <w:r w:rsidRPr="00612B7F">
        <w:rPr>
          <w:rFonts w:cs="Arial" w:hint="cs"/>
          <w:sz w:val="16"/>
          <w:szCs w:val="16"/>
          <w:rtl/>
        </w:rPr>
        <w:t>(</w:t>
      </w:r>
      <w:r w:rsidRPr="00612B7F">
        <w:rPr>
          <w:rFonts w:cs="Arial"/>
          <w:sz w:val="16"/>
          <w:szCs w:val="16"/>
          <w:rtl/>
        </w:rPr>
        <w:t xml:space="preserve">ע"ז מ. ד"ה וכולן) </w:t>
      </w:r>
      <w:r w:rsidRPr="00A02D07">
        <w:rPr>
          <w:rFonts w:cs="Arial"/>
          <w:rtl/>
        </w:rPr>
        <w:t>שדעתו של הרמב"ם כדעת האומרים דשלא הטביל דקתני היינו שלא הדיח</w:t>
      </w:r>
      <w:r>
        <w:rPr>
          <w:rFonts w:cs="Arial" w:hint="cs"/>
          <w:rtl/>
        </w:rPr>
        <w:t>,</w:t>
      </w:r>
      <w:r w:rsidRPr="00A02D07">
        <w:rPr>
          <w:rFonts w:cs="Arial"/>
          <w:rtl/>
        </w:rPr>
        <w:t xml:space="preserve"> שאע</w:t>
      </w:r>
      <w:r>
        <w:rPr>
          <w:rFonts w:cs="Arial" w:hint="cs"/>
          <w:rtl/>
        </w:rPr>
        <w:t>"</w:t>
      </w:r>
      <w:r w:rsidRPr="00A02D07">
        <w:rPr>
          <w:rFonts w:cs="Arial"/>
          <w:rtl/>
        </w:rPr>
        <w:t>פ שלא הדיח שרי</w:t>
      </w:r>
      <w:r>
        <w:rPr>
          <w:rFonts w:cs="Arial" w:hint="cs"/>
          <w:rtl/>
        </w:rPr>
        <w:t>,</w:t>
      </w:r>
      <w:r w:rsidRPr="00A02D07">
        <w:rPr>
          <w:rFonts w:cs="Arial"/>
          <w:rtl/>
        </w:rPr>
        <w:t xml:space="preserve"> לפי שטיחת האיסור שעל פני הכלי נפגמת מיום לחבירו כבלע שבתוכו ואינה כאיסורו עצמו</w:t>
      </w:r>
      <w:r>
        <w:rPr>
          <w:rFonts w:cs="Arial" w:hint="cs"/>
          <w:rtl/>
        </w:rPr>
        <w:t>.</w:t>
      </w:r>
    </w:p>
  </w:footnote>
  <w:footnote w:id="3065">
    <w:p w14:paraId="71694720" w14:textId="77777777" w:rsidR="004C5A3C" w:rsidRDefault="004C5A3C" w:rsidP="002C39F4">
      <w:pPr>
        <w:pStyle w:val="a5"/>
        <w:rPr>
          <w:rtl/>
        </w:rPr>
      </w:pPr>
      <w:r>
        <w:rPr>
          <w:rStyle w:val="a7"/>
        </w:rPr>
        <w:footnoteRef/>
      </w:r>
      <w:r>
        <w:rPr>
          <w:rtl/>
        </w:rPr>
        <w:t xml:space="preserve"> </w:t>
      </w:r>
      <w:r w:rsidRPr="004177E5">
        <w:rPr>
          <w:rFonts w:cs="Arial"/>
          <w:rtl/>
        </w:rPr>
        <w:t>ולפי דבריהם אפילו באיסור המודבק ע</w:t>
      </w:r>
      <w:r>
        <w:rPr>
          <w:rFonts w:cs="Arial" w:hint="cs"/>
          <w:rtl/>
        </w:rPr>
        <w:t>"</w:t>
      </w:r>
      <w:r w:rsidRPr="004177E5">
        <w:rPr>
          <w:rFonts w:cs="Arial"/>
          <w:rtl/>
        </w:rPr>
        <w:t>פ הכלי אם אינו ב</w:t>
      </w:r>
      <w:r>
        <w:rPr>
          <w:rFonts w:cs="Arial" w:hint="cs"/>
          <w:rtl/>
        </w:rPr>
        <w:t>"</w:t>
      </w:r>
      <w:r w:rsidRPr="004177E5">
        <w:rPr>
          <w:rFonts w:cs="Arial"/>
          <w:rtl/>
        </w:rPr>
        <w:t>י אומרים בו נטל</w:t>
      </w:r>
      <w:r>
        <w:rPr>
          <w:rFonts w:cs="Arial" w:hint="cs"/>
          <w:rtl/>
        </w:rPr>
        <w:t>"</w:t>
      </w:r>
      <w:r w:rsidRPr="004177E5">
        <w:rPr>
          <w:rFonts w:cs="Arial"/>
          <w:rtl/>
        </w:rPr>
        <w:t>פ כמו שאמרנו באיסור הבלוע בדפני הכלי</w:t>
      </w:r>
      <w:r>
        <w:rPr>
          <w:rFonts w:cs="Arial" w:hint="cs"/>
          <w:rtl/>
        </w:rPr>
        <w:t>, רשב"א</w:t>
      </w:r>
      <w:r w:rsidRPr="004177E5">
        <w:rPr>
          <w:rFonts w:cs="Arial" w:hint="cs"/>
          <w:rtl/>
        </w:rPr>
        <w:t>.</w:t>
      </w:r>
    </w:p>
  </w:footnote>
  <w:footnote w:id="3066">
    <w:p w14:paraId="6EDA8C56" w14:textId="77777777" w:rsidR="004C5A3C" w:rsidRDefault="004C5A3C" w:rsidP="002C39F4">
      <w:pPr>
        <w:pStyle w:val="a5"/>
      </w:pPr>
      <w:r>
        <w:rPr>
          <w:rStyle w:val="a7"/>
        </w:rPr>
        <w:footnoteRef/>
      </w:r>
      <w:r>
        <w:rPr>
          <w:rtl/>
        </w:rPr>
        <w:t xml:space="preserve"> </w:t>
      </w:r>
      <w:r w:rsidRPr="004177E5">
        <w:rPr>
          <w:rFonts w:cs="Arial"/>
          <w:rtl/>
        </w:rPr>
        <w:t xml:space="preserve">ראב"ד </w:t>
      </w:r>
      <w:r>
        <w:rPr>
          <w:rFonts w:cs="Arial" w:hint="cs"/>
          <w:sz w:val="16"/>
          <w:szCs w:val="16"/>
          <w:rtl/>
        </w:rPr>
        <w:t xml:space="preserve"> (</w:t>
      </w:r>
      <w:r w:rsidRPr="004177E5">
        <w:rPr>
          <w:rFonts w:cs="Arial"/>
          <w:sz w:val="16"/>
          <w:szCs w:val="16"/>
          <w:rtl/>
        </w:rPr>
        <w:t>עה: ד"ה וכולן</w:t>
      </w:r>
      <w:r>
        <w:rPr>
          <w:rFonts w:cs="Arial" w:hint="cs"/>
          <w:sz w:val="16"/>
          <w:szCs w:val="16"/>
          <w:rtl/>
        </w:rPr>
        <w:t xml:space="preserve">, כ"כ הרשב"א בשמו) </w:t>
      </w:r>
      <w:r>
        <w:rPr>
          <w:rFonts w:cs="Arial" w:hint="cs"/>
          <w:rtl/>
        </w:rPr>
        <w:t>רבותנו בעלי ה</w:t>
      </w:r>
      <w:r w:rsidRPr="004177E5">
        <w:rPr>
          <w:rFonts w:cs="Arial"/>
          <w:rtl/>
        </w:rPr>
        <w:t>תוס</w:t>
      </w:r>
      <w:r>
        <w:rPr>
          <w:rFonts w:cs="Arial" w:hint="cs"/>
          <w:rtl/>
        </w:rPr>
        <w:t xml:space="preserve">פות </w:t>
      </w:r>
      <w:r>
        <w:rPr>
          <w:rFonts w:cs="Arial" w:hint="cs"/>
          <w:sz w:val="16"/>
          <w:szCs w:val="16"/>
          <w:rtl/>
        </w:rPr>
        <w:t xml:space="preserve">(כ"כ הרשב"א בשמם) </w:t>
      </w:r>
      <w:r>
        <w:rPr>
          <w:rFonts w:cs="Arial" w:hint="cs"/>
          <w:rtl/>
        </w:rPr>
        <w:t xml:space="preserve">רשב"א </w:t>
      </w:r>
      <w:r w:rsidRPr="004177E5">
        <w:rPr>
          <w:rFonts w:cs="Arial" w:hint="cs"/>
          <w:sz w:val="16"/>
          <w:szCs w:val="16"/>
          <w:rtl/>
        </w:rPr>
        <w:t>(</w:t>
      </w:r>
      <w:r w:rsidRPr="00AF6944">
        <w:rPr>
          <w:rFonts w:cs="Arial" w:hint="cs"/>
          <w:sz w:val="16"/>
          <w:szCs w:val="16"/>
          <w:rtl/>
        </w:rPr>
        <w:t xml:space="preserve">תוה"ק </w:t>
      </w:r>
      <w:r w:rsidRPr="00AF6944">
        <w:rPr>
          <w:rFonts w:cs="Arial"/>
          <w:sz w:val="16"/>
          <w:szCs w:val="16"/>
          <w:rtl/>
        </w:rPr>
        <w:t>שם לו.</w:t>
      </w:r>
      <w:r>
        <w:rPr>
          <w:rFonts w:cs="Arial" w:hint="cs"/>
          <w:sz w:val="16"/>
          <w:szCs w:val="16"/>
          <w:rtl/>
        </w:rPr>
        <w:t>, ו</w:t>
      </w:r>
      <w:r w:rsidRPr="004177E5">
        <w:rPr>
          <w:rFonts w:cs="Arial"/>
          <w:sz w:val="16"/>
          <w:szCs w:val="16"/>
          <w:rtl/>
        </w:rPr>
        <w:t>ת</w:t>
      </w:r>
      <w:r w:rsidRPr="004177E5">
        <w:rPr>
          <w:rFonts w:cs="Arial" w:hint="cs"/>
          <w:sz w:val="16"/>
          <w:szCs w:val="16"/>
          <w:rtl/>
        </w:rPr>
        <w:t>ו</w:t>
      </w:r>
      <w:r w:rsidRPr="004177E5">
        <w:rPr>
          <w:rFonts w:cs="Arial"/>
          <w:sz w:val="16"/>
          <w:szCs w:val="16"/>
          <w:rtl/>
        </w:rPr>
        <w:t>ה</w:t>
      </w:r>
      <w:r w:rsidRPr="004177E5">
        <w:rPr>
          <w:rFonts w:cs="Arial" w:hint="cs"/>
          <w:sz w:val="16"/>
          <w:szCs w:val="16"/>
          <w:rtl/>
        </w:rPr>
        <w:t>"א</w:t>
      </w:r>
      <w:r w:rsidRPr="004177E5">
        <w:rPr>
          <w:rFonts w:cs="Arial"/>
          <w:sz w:val="16"/>
          <w:szCs w:val="16"/>
          <w:rtl/>
        </w:rPr>
        <w:t xml:space="preserve"> שם לה ע"ג)</w:t>
      </w:r>
      <w:r w:rsidRPr="00612B7F">
        <w:rPr>
          <w:rFonts w:cs="Arial" w:hint="cs"/>
          <w:rtl/>
        </w:rPr>
        <w:t xml:space="preserve"> </w:t>
      </w:r>
      <w:r w:rsidRPr="00AF6944">
        <w:rPr>
          <w:rFonts w:cs="Arial" w:hint="cs"/>
          <w:rtl/>
        </w:rPr>
        <w:t>וטור</w:t>
      </w:r>
      <w:r>
        <w:rPr>
          <w:rFonts w:cs="Arial" w:hint="cs"/>
          <w:rtl/>
        </w:rPr>
        <w:t xml:space="preserve"> </w:t>
      </w:r>
      <w:r w:rsidRPr="00612B7F">
        <w:rPr>
          <w:rFonts w:cs="Arial" w:hint="cs"/>
          <w:sz w:val="14"/>
          <w:szCs w:val="14"/>
          <w:rtl/>
        </w:rPr>
        <w:t xml:space="preserve">(וז"ל הטור- </w:t>
      </w:r>
      <w:r w:rsidRPr="00612B7F">
        <w:rPr>
          <w:rFonts w:cs="Arial"/>
          <w:sz w:val="14"/>
          <w:szCs w:val="14"/>
          <w:rtl/>
        </w:rPr>
        <w:t>והא דחשיב פגום בשהיית יום אחד דוקא שהקדרה הדיחה יפה וסר ממנה כל שמנונית איסור הדבוק בה</w:t>
      </w:r>
      <w:r w:rsidRPr="00612B7F">
        <w:rPr>
          <w:rFonts w:cs="Arial" w:hint="cs"/>
          <w:sz w:val="14"/>
          <w:szCs w:val="14"/>
          <w:rtl/>
        </w:rPr>
        <w:t>,</w:t>
      </w:r>
      <w:r w:rsidRPr="00612B7F">
        <w:rPr>
          <w:rFonts w:cs="Arial"/>
          <w:sz w:val="14"/>
          <w:szCs w:val="14"/>
          <w:rtl/>
        </w:rPr>
        <w:t xml:space="preserve"> אבל לא הדיחה יפה שהאיסור הוא בעין אינו נפגם בשהיית יום אחד</w:t>
      </w:r>
      <w:r w:rsidRPr="00612B7F">
        <w:rPr>
          <w:rFonts w:cs="Arial" w:hint="cs"/>
          <w:sz w:val="14"/>
          <w:szCs w:val="14"/>
          <w:rtl/>
        </w:rPr>
        <w:t>)</w:t>
      </w:r>
      <w:r>
        <w:rPr>
          <w:rFonts w:cs="Arial" w:hint="cs"/>
          <w:rtl/>
        </w:rPr>
        <w:t>.</w:t>
      </w:r>
    </w:p>
  </w:footnote>
  <w:footnote w:id="3067">
    <w:p w14:paraId="5146A6DE" w14:textId="77777777" w:rsidR="004C5A3C" w:rsidRDefault="004C5A3C" w:rsidP="002C39F4">
      <w:pPr>
        <w:pStyle w:val="a5"/>
      </w:pPr>
      <w:r>
        <w:rPr>
          <w:rStyle w:val="a7"/>
        </w:rPr>
        <w:footnoteRef/>
      </w:r>
      <w:r>
        <w:rPr>
          <w:rtl/>
        </w:rPr>
        <w:t xml:space="preserve"> </w:t>
      </w:r>
      <w:r>
        <w:rPr>
          <w:rFonts w:cs="Arial" w:hint="cs"/>
          <w:rtl/>
        </w:rPr>
        <w:t xml:space="preserve">וכ' הרשב"א- </w:t>
      </w:r>
      <w:r w:rsidRPr="004177E5">
        <w:rPr>
          <w:rFonts w:cs="Arial"/>
          <w:rtl/>
        </w:rPr>
        <w:t>ומסתברא ודאי כדבריהם שאם נשתמש בהם עד שלא הדיח לכו</w:t>
      </w:r>
      <w:r>
        <w:rPr>
          <w:rFonts w:cs="Arial" w:hint="cs"/>
          <w:rtl/>
        </w:rPr>
        <w:t>"</w:t>
      </w:r>
      <w:r w:rsidRPr="004177E5">
        <w:rPr>
          <w:rFonts w:cs="Arial"/>
          <w:rtl/>
        </w:rPr>
        <w:t>ע אסור</w:t>
      </w:r>
      <w:r w:rsidRPr="004177E5">
        <w:rPr>
          <w:rFonts w:cs="Arial" w:hint="cs"/>
          <w:rtl/>
        </w:rPr>
        <w:t>,</w:t>
      </w:r>
      <w:r w:rsidRPr="004177E5">
        <w:rPr>
          <w:rFonts w:cs="Arial"/>
          <w:rtl/>
        </w:rPr>
        <w:t xml:space="preserve"> וכדמוכח שמעתא (חולין קיא:) דצנון וליפתן וסילקא שחתכו בסכין דטעמא משום שמנונית הקרוש על פי הסכין</w:t>
      </w:r>
      <w:r w:rsidRPr="004177E5">
        <w:rPr>
          <w:rFonts w:cs="Arial" w:hint="cs"/>
          <w:rtl/>
        </w:rPr>
        <w:t>,</w:t>
      </w:r>
      <w:r w:rsidRPr="004177E5">
        <w:rPr>
          <w:rFonts w:cs="Arial"/>
          <w:rtl/>
        </w:rPr>
        <w:t xml:space="preserve"> אלא שקשה לי קצת הא דאמרינן בפרק אין מעמידין (לט.) קורט של חלתית מאי טעמא אמר רבא משום דמפסקו להו בסכינא דארמאי ואע</w:t>
      </w:r>
      <w:r w:rsidRPr="004177E5">
        <w:rPr>
          <w:rFonts w:cs="Arial" w:hint="cs"/>
          <w:rtl/>
        </w:rPr>
        <w:t>"</w:t>
      </w:r>
      <w:r w:rsidRPr="004177E5">
        <w:rPr>
          <w:rFonts w:cs="Arial"/>
          <w:rtl/>
        </w:rPr>
        <w:t>ג דאמר מר נותן טעם לפגם מותר הכא אסור דחורפא דחלתיתא מחליא ליה</w:t>
      </w:r>
      <w:r w:rsidRPr="004177E5">
        <w:rPr>
          <w:rFonts w:cs="Arial" w:hint="cs"/>
          <w:rtl/>
        </w:rPr>
        <w:t>,</w:t>
      </w:r>
      <w:r w:rsidRPr="004177E5">
        <w:rPr>
          <w:rFonts w:cs="Arial"/>
          <w:rtl/>
        </w:rPr>
        <w:t xml:space="preserve"> אלמא אפילו בסתם סכינים ששמנונית קרוש על פניהם שייך נותן טעם לפגם</w:t>
      </w:r>
      <w:r w:rsidRPr="004177E5">
        <w:rPr>
          <w:rFonts w:cs="Arial" w:hint="cs"/>
          <w:rtl/>
        </w:rPr>
        <w:t>,</w:t>
      </w:r>
      <w:r w:rsidRPr="004177E5">
        <w:rPr>
          <w:rFonts w:cs="Arial"/>
          <w:rtl/>
        </w:rPr>
        <w:t xml:space="preserve"> ותירץ לי מורי ה"ר יונה ז"ל דהתם בקורט של חלתית הנמכר בחנות וחנוני מקנח הוא את כליו עכ"ל</w:t>
      </w:r>
      <w:r>
        <w:rPr>
          <w:rFonts w:cs="Arial" w:hint="cs"/>
          <w:rtl/>
        </w:rPr>
        <w:t>.</w:t>
      </w:r>
    </w:p>
  </w:footnote>
  <w:footnote w:id="3068">
    <w:p w14:paraId="1E7C7495" w14:textId="77777777" w:rsidR="004C5A3C" w:rsidRDefault="004C5A3C" w:rsidP="002C39F4">
      <w:pPr>
        <w:pStyle w:val="a5"/>
        <w:rPr>
          <w:rtl/>
        </w:rPr>
      </w:pPr>
      <w:r>
        <w:rPr>
          <w:rStyle w:val="a7"/>
        </w:rPr>
        <w:footnoteRef/>
      </w:r>
      <w:r>
        <w:rPr>
          <w:rtl/>
        </w:rPr>
        <w:t xml:space="preserve"> </w:t>
      </w:r>
      <w:r w:rsidRPr="00C2478B">
        <w:rPr>
          <w:rFonts w:cs="Arial"/>
          <w:rtl/>
        </w:rPr>
        <w:t>וכן משמע בדעת הטור דאינו מחלק</w:t>
      </w:r>
      <w:r>
        <w:rPr>
          <w:rFonts w:cs="Arial" w:hint="cs"/>
          <w:rtl/>
        </w:rPr>
        <w:t>, דרכ"מ (אות א).</w:t>
      </w:r>
    </w:p>
  </w:footnote>
  <w:footnote w:id="3069">
    <w:p w14:paraId="27913B1E" w14:textId="77777777" w:rsidR="004C5A3C" w:rsidRDefault="004C5A3C" w:rsidP="002C39F4">
      <w:pPr>
        <w:pStyle w:val="a5"/>
        <w:rPr>
          <w:rtl/>
        </w:rPr>
      </w:pPr>
      <w:r>
        <w:rPr>
          <w:rStyle w:val="a7"/>
        </w:rPr>
        <w:footnoteRef/>
      </w:r>
      <w:r>
        <w:rPr>
          <w:rtl/>
        </w:rPr>
        <w:t xml:space="preserve"> </w:t>
      </w:r>
      <w:r w:rsidRPr="00C2478B">
        <w:rPr>
          <w:rFonts w:cs="Arial"/>
          <w:rtl/>
        </w:rPr>
        <w:t>וכן הוא באו</w:t>
      </w:r>
      <w:r>
        <w:rPr>
          <w:rFonts w:cs="Arial" w:hint="cs"/>
          <w:rtl/>
        </w:rPr>
        <w:t>"ח</w:t>
      </w:r>
      <w:r w:rsidRPr="00C2478B">
        <w:rPr>
          <w:rFonts w:cs="Arial"/>
          <w:rtl/>
        </w:rPr>
        <w:t xml:space="preserve"> הל</w:t>
      </w:r>
      <w:r>
        <w:rPr>
          <w:rFonts w:cs="Arial" w:hint="cs"/>
          <w:rtl/>
        </w:rPr>
        <w:t>'</w:t>
      </w:r>
      <w:r w:rsidRPr="00C2478B">
        <w:rPr>
          <w:rFonts w:cs="Arial"/>
          <w:rtl/>
        </w:rPr>
        <w:t xml:space="preserve"> פסח </w:t>
      </w:r>
      <w:r>
        <w:rPr>
          <w:rFonts w:cs="Arial" w:hint="cs"/>
          <w:rtl/>
        </w:rPr>
        <w:t>(</w:t>
      </w:r>
      <w:r w:rsidRPr="00C2478B">
        <w:rPr>
          <w:rFonts w:cs="Arial"/>
          <w:rtl/>
        </w:rPr>
        <w:t>סי</w:t>
      </w:r>
      <w:r>
        <w:rPr>
          <w:rFonts w:cs="Arial" w:hint="cs"/>
          <w:rtl/>
        </w:rPr>
        <w:t>'</w:t>
      </w:r>
      <w:r w:rsidRPr="00C2478B">
        <w:rPr>
          <w:rFonts w:cs="Arial"/>
          <w:rtl/>
        </w:rPr>
        <w:t xml:space="preserve"> תמז עמ' נד) וכן משמע קצת בתשובת רשב"א (ח"א) סימן תמט</w:t>
      </w:r>
      <w:r>
        <w:rPr>
          <w:rFonts w:cs="Arial" w:hint="cs"/>
          <w:rtl/>
        </w:rPr>
        <w:t>,</w:t>
      </w:r>
      <w:r w:rsidRPr="00C2478B">
        <w:rPr>
          <w:rFonts w:cs="Arial"/>
          <w:rtl/>
        </w:rPr>
        <w:t xml:space="preserve"> וכתבתיה לעיל סימן צ"ה (אות א)</w:t>
      </w:r>
      <w:r>
        <w:rPr>
          <w:rFonts w:cs="Arial" w:hint="cs"/>
          <w:rtl/>
        </w:rPr>
        <w:t xml:space="preserve">, </w:t>
      </w:r>
      <w:r w:rsidRPr="00C2478B">
        <w:rPr>
          <w:rFonts w:cs="Arial"/>
          <w:rtl/>
        </w:rPr>
        <w:t>ונראה לי להביא ראיה ממרדכי (ברכות סי' קטז) והסמ"ג (עשין כז הל' ברכות קי</w:t>
      </w:r>
      <w:r>
        <w:rPr>
          <w:rFonts w:cs="Arial" w:hint="cs"/>
          <w:rtl/>
        </w:rPr>
        <w:t>ג:</w:t>
      </w:r>
      <w:r w:rsidRPr="00C2478B">
        <w:rPr>
          <w:rFonts w:cs="Arial"/>
          <w:rtl/>
        </w:rPr>
        <w:t>) שכתבתי לעיל סי</w:t>
      </w:r>
      <w:r>
        <w:rPr>
          <w:rFonts w:cs="Arial" w:hint="cs"/>
          <w:rtl/>
        </w:rPr>
        <w:t>'</w:t>
      </w:r>
      <w:r w:rsidRPr="00C2478B">
        <w:rPr>
          <w:rFonts w:cs="Arial"/>
          <w:rtl/>
        </w:rPr>
        <w:t xml:space="preserve"> צו (אות ד) דמרקחת של גוים אף בדבר חריף מותר משום דסתם כלי גוים אינן בני יומן</w:t>
      </w:r>
      <w:r>
        <w:rPr>
          <w:rFonts w:cs="Arial" w:hint="cs"/>
          <w:rtl/>
        </w:rPr>
        <w:t>,</w:t>
      </w:r>
      <w:r w:rsidRPr="00C2478B">
        <w:rPr>
          <w:rFonts w:cs="Arial"/>
          <w:rtl/>
        </w:rPr>
        <w:t xml:space="preserve"> שמע מינה דאף בדבר חריף אמרינן נותן טעם לפגם שרי</w:t>
      </w:r>
      <w:r>
        <w:rPr>
          <w:rFonts w:cs="Arial" w:hint="cs"/>
          <w:rtl/>
        </w:rPr>
        <w:t>,</w:t>
      </w:r>
      <w:r w:rsidRPr="00C2478B">
        <w:rPr>
          <w:rFonts w:cs="Arial"/>
          <w:rtl/>
        </w:rPr>
        <w:t xml:space="preserve"> ואפשר לדחות דשאני מרקחת דהדבש מבטל חריפות המרקחת ולכן שרי</w:t>
      </w:r>
      <w:r>
        <w:rPr>
          <w:rFonts w:cs="Arial" w:hint="cs"/>
          <w:rtl/>
        </w:rPr>
        <w:t>,</w:t>
      </w:r>
      <w:r w:rsidRPr="00C2478B">
        <w:rPr>
          <w:rFonts w:cs="Arial"/>
          <w:rtl/>
        </w:rPr>
        <w:t xml:space="preserve"> וכן הוא בא</w:t>
      </w:r>
      <w:r>
        <w:rPr>
          <w:rFonts w:cs="Arial" w:hint="cs"/>
          <w:rtl/>
        </w:rPr>
        <w:t>ו"</w:t>
      </w:r>
      <w:r w:rsidRPr="00C2478B">
        <w:rPr>
          <w:rFonts w:cs="Arial"/>
          <w:rtl/>
        </w:rPr>
        <w:t>ח סי</w:t>
      </w:r>
      <w:r>
        <w:rPr>
          <w:rFonts w:cs="Arial" w:hint="cs"/>
          <w:rtl/>
        </w:rPr>
        <w:t>'</w:t>
      </w:r>
      <w:r w:rsidRPr="00C2478B">
        <w:rPr>
          <w:rFonts w:cs="Arial"/>
          <w:rtl/>
        </w:rPr>
        <w:t xml:space="preserve"> תמז. והאגור (סי' אלף רנט) הביא דברי המרדכי (סי' תתלה) שאוסר</w:t>
      </w:r>
      <w:r>
        <w:rPr>
          <w:rFonts w:cs="Arial" w:hint="cs"/>
          <w:rtl/>
        </w:rPr>
        <w:t>,</w:t>
      </w:r>
      <w:r w:rsidRPr="00C2478B">
        <w:rPr>
          <w:rFonts w:cs="Arial"/>
          <w:rtl/>
        </w:rPr>
        <w:t xml:space="preserve"> וכן הביא הב</w:t>
      </w:r>
      <w:r>
        <w:rPr>
          <w:rFonts w:cs="Arial" w:hint="cs"/>
          <w:rtl/>
        </w:rPr>
        <w:t>"</w:t>
      </w:r>
      <w:r w:rsidRPr="00C2478B">
        <w:rPr>
          <w:rFonts w:cs="Arial"/>
          <w:rtl/>
        </w:rPr>
        <w:t>י דברי האגור בסי</w:t>
      </w:r>
      <w:r>
        <w:rPr>
          <w:rFonts w:cs="Arial" w:hint="cs"/>
          <w:rtl/>
        </w:rPr>
        <w:t>'</w:t>
      </w:r>
      <w:r w:rsidRPr="00C2478B">
        <w:rPr>
          <w:rFonts w:cs="Arial"/>
          <w:rtl/>
        </w:rPr>
        <w:t xml:space="preserve"> קג (עמ' תנה טור ב ד"ה כתב האגור) ולא חלק עליו</w:t>
      </w:r>
      <w:r>
        <w:rPr>
          <w:rFonts w:cs="Arial" w:hint="cs"/>
          <w:rtl/>
        </w:rPr>
        <w:t>,</w:t>
      </w:r>
      <w:r w:rsidRPr="00C2478B">
        <w:rPr>
          <w:rFonts w:cs="Arial"/>
          <w:rtl/>
        </w:rPr>
        <w:t xml:space="preserve"> וב</w:t>
      </w:r>
      <w:r>
        <w:rPr>
          <w:rFonts w:cs="Arial"/>
          <w:rtl/>
        </w:rPr>
        <w:t>או"ה</w:t>
      </w:r>
      <w:r w:rsidRPr="00C2478B">
        <w:rPr>
          <w:rFonts w:cs="Arial"/>
          <w:rtl/>
        </w:rPr>
        <w:t xml:space="preserve"> </w:t>
      </w:r>
      <w:r>
        <w:rPr>
          <w:rFonts w:cs="Arial" w:hint="cs"/>
          <w:rtl/>
        </w:rPr>
        <w:t>(</w:t>
      </w:r>
      <w:r w:rsidRPr="00C2478B">
        <w:rPr>
          <w:rFonts w:cs="Arial"/>
          <w:rtl/>
        </w:rPr>
        <w:t xml:space="preserve">כלל </w:t>
      </w:r>
      <w:r>
        <w:rPr>
          <w:rFonts w:cs="Arial" w:hint="cs"/>
          <w:rtl/>
        </w:rPr>
        <w:t>ל</w:t>
      </w:r>
      <w:r w:rsidRPr="00C2478B">
        <w:rPr>
          <w:rFonts w:cs="Arial"/>
          <w:rtl/>
        </w:rPr>
        <w:t>ו ד</w:t>
      </w:r>
      <w:r>
        <w:rPr>
          <w:rFonts w:cs="Arial" w:hint="cs"/>
          <w:rtl/>
        </w:rPr>
        <w:t>"</w:t>
      </w:r>
      <w:r w:rsidRPr="00C2478B">
        <w:rPr>
          <w:rFonts w:cs="Arial"/>
          <w:rtl/>
        </w:rPr>
        <w:t>א</w:t>
      </w:r>
      <w:r>
        <w:rPr>
          <w:rFonts w:cs="Arial" w:hint="cs"/>
          <w:rtl/>
        </w:rPr>
        <w:t>,</w:t>
      </w:r>
      <w:r w:rsidRPr="00C2478B">
        <w:rPr>
          <w:rFonts w:cs="Arial"/>
          <w:rtl/>
        </w:rPr>
        <w:t xml:space="preserve"> וכלל לח</w:t>
      </w:r>
      <w:r>
        <w:rPr>
          <w:rFonts w:cs="Arial" w:hint="cs"/>
          <w:rtl/>
        </w:rPr>
        <w:t>,</w:t>
      </w:r>
      <w:r w:rsidRPr="00C2478B">
        <w:rPr>
          <w:rFonts w:cs="Arial"/>
          <w:rtl/>
        </w:rPr>
        <w:t xml:space="preserve"> דין ה ו ח) דכן נהג מהר"ש</w:t>
      </w:r>
      <w:r>
        <w:rPr>
          <w:rFonts w:cs="Arial" w:hint="cs"/>
          <w:rtl/>
        </w:rPr>
        <w:t>,</w:t>
      </w:r>
      <w:r w:rsidRPr="00C2478B">
        <w:rPr>
          <w:rFonts w:cs="Arial"/>
          <w:rtl/>
        </w:rPr>
        <w:t xml:space="preserve"> וכן הוא בשע</w:t>
      </w:r>
      <w:r>
        <w:rPr>
          <w:rFonts w:cs="Arial" w:hint="cs"/>
          <w:rtl/>
        </w:rPr>
        <w:t>"ד</w:t>
      </w:r>
      <w:r w:rsidRPr="00C2478B">
        <w:rPr>
          <w:rFonts w:cs="Arial"/>
          <w:rtl/>
        </w:rPr>
        <w:t xml:space="preserve"> בהג"ה (סי' נט סק</w:t>
      </w:r>
      <w:r>
        <w:rPr>
          <w:rFonts w:cs="Arial" w:hint="cs"/>
          <w:rtl/>
        </w:rPr>
        <w:t>"</w:t>
      </w:r>
      <w:r w:rsidRPr="00C2478B">
        <w:rPr>
          <w:rFonts w:cs="Arial"/>
          <w:rtl/>
        </w:rPr>
        <w:t>ז, סי' סא סק</w:t>
      </w:r>
      <w:r>
        <w:rPr>
          <w:rFonts w:cs="Arial" w:hint="cs"/>
          <w:rtl/>
        </w:rPr>
        <w:t>"</w:t>
      </w:r>
      <w:r w:rsidRPr="00C2478B">
        <w:rPr>
          <w:rFonts w:cs="Arial"/>
          <w:rtl/>
        </w:rPr>
        <w:t>ז) ועיין לעיל סי</w:t>
      </w:r>
      <w:r>
        <w:rPr>
          <w:rFonts w:cs="Arial" w:hint="cs"/>
          <w:rtl/>
        </w:rPr>
        <w:t>'</w:t>
      </w:r>
      <w:r w:rsidRPr="00C2478B">
        <w:rPr>
          <w:rFonts w:cs="Arial"/>
          <w:rtl/>
        </w:rPr>
        <w:t xml:space="preserve"> צ</w:t>
      </w:r>
      <w:r>
        <w:rPr>
          <w:rFonts w:cs="Arial" w:hint="cs"/>
          <w:rtl/>
        </w:rPr>
        <w:t>ה</w:t>
      </w:r>
      <w:r w:rsidRPr="00C2478B">
        <w:rPr>
          <w:rFonts w:cs="Arial"/>
          <w:rtl/>
        </w:rPr>
        <w:t xml:space="preserve"> (אות א) דמעט תבלין שבמאכל לא משוי ליה דבר חריף</w:t>
      </w:r>
      <w:r>
        <w:rPr>
          <w:rFonts w:cs="Arial" w:hint="cs"/>
          <w:rtl/>
        </w:rPr>
        <w:t>, דרכ"מ (אות א)</w:t>
      </w:r>
      <w:r w:rsidRPr="00C2478B">
        <w:rPr>
          <w:rFonts w:cs="Arial"/>
          <w:rtl/>
        </w:rPr>
        <w:t>.</w:t>
      </w:r>
    </w:p>
  </w:footnote>
  <w:footnote w:id="3070">
    <w:p w14:paraId="0995B037" w14:textId="77777777" w:rsidR="004C5A3C" w:rsidRDefault="004C5A3C" w:rsidP="002C39F4">
      <w:pPr>
        <w:pStyle w:val="a5"/>
      </w:pPr>
      <w:r>
        <w:rPr>
          <w:rStyle w:val="a7"/>
        </w:rPr>
        <w:footnoteRef/>
      </w:r>
      <w:r>
        <w:rPr>
          <w:rtl/>
        </w:rPr>
        <w:t xml:space="preserve"> </w:t>
      </w:r>
      <w:r>
        <w:rPr>
          <w:rFonts w:hint="cs"/>
          <w:rtl/>
        </w:rPr>
        <w:t>ב</w:t>
      </w:r>
      <w:r>
        <w:rPr>
          <w:rFonts w:cs="Arial" w:hint="cs"/>
          <w:rtl/>
        </w:rPr>
        <w:t>ב"י (</w:t>
      </w:r>
      <w:r w:rsidRPr="00C2478B">
        <w:rPr>
          <w:rFonts w:cs="Arial"/>
          <w:rtl/>
        </w:rPr>
        <w:t>עמ' תכב ד"ה ומ"ש רבינו בשמו</w:t>
      </w:r>
      <w:r>
        <w:rPr>
          <w:rFonts w:cs="Arial" w:hint="cs"/>
          <w:rtl/>
        </w:rPr>
        <w:t>)</w:t>
      </w:r>
      <w:r w:rsidRPr="00C2478B">
        <w:rPr>
          <w:rFonts w:cs="Arial"/>
          <w:rtl/>
        </w:rPr>
        <w:t xml:space="preserve"> </w:t>
      </w:r>
      <w:r>
        <w:rPr>
          <w:rFonts w:cs="Arial" w:hint="cs"/>
          <w:rtl/>
        </w:rPr>
        <w:t>וב</w:t>
      </w:r>
      <w:r w:rsidRPr="00C2478B">
        <w:rPr>
          <w:rFonts w:cs="Arial"/>
          <w:rtl/>
        </w:rPr>
        <w:t>ד</w:t>
      </w:r>
      <w:r>
        <w:rPr>
          <w:rFonts w:cs="Arial" w:hint="cs"/>
          <w:rtl/>
        </w:rPr>
        <w:t>רכ</w:t>
      </w:r>
      <w:r w:rsidRPr="00C2478B">
        <w:rPr>
          <w:rFonts w:cs="Arial"/>
          <w:rtl/>
        </w:rPr>
        <w:t xml:space="preserve">"מ </w:t>
      </w:r>
      <w:r>
        <w:rPr>
          <w:rFonts w:cs="Arial" w:hint="cs"/>
          <w:rtl/>
        </w:rPr>
        <w:t>(</w:t>
      </w:r>
      <w:r w:rsidRPr="00C2478B">
        <w:rPr>
          <w:rFonts w:cs="Arial"/>
          <w:rtl/>
        </w:rPr>
        <w:t>ארוך אות ב</w:t>
      </w:r>
      <w:r>
        <w:rPr>
          <w:rFonts w:cs="Arial" w:hint="cs"/>
          <w:rtl/>
        </w:rPr>
        <w:t>).</w:t>
      </w:r>
    </w:p>
  </w:footnote>
  <w:footnote w:id="3071">
    <w:p w14:paraId="4E95D7F1" w14:textId="77777777" w:rsidR="004C5A3C" w:rsidRPr="00094101" w:rsidRDefault="004C5A3C" w:rsidP="002C39F4">
      <w:pPr>
        <w:pStyle w:val="a5"/>
        <w:rPr>
          <w:rFonts w:cs="Arial"/>
        </w:rPr>
      </w:pPr>
      <w:r>
        <w:rPr>
          <w:rStyle w:val="a7"/>
        </w:rPr>
        <w:footnoteRef/>
      </w:r>
      <w:r>
        <w:rPr>
          <w:rtl/>
        </w:rPr>
        <w:t xml:space="preserve"> </w:t>
      </w:r>
      <w:r w:rsidRPr="000D5E64">
        <w:rPr>
          <w:rFonts w:cs="Arial"/>
          <w:rtl/>
        </w:rPr>
        <w:t>ובד</w:t>
      </w:r>
      <w:r>
        <w:rPr>
          <w:rFonts w:cs="Arial" w:hint="cs"/>
          <w:rtl/>
        </w:rPr>
        <w:t>רכ</w:t>
      </w:r>
      <w:r w:rsidRPr="000D5E64">
        <w:rPr>
          <w:rFonts w:cs="Arial"/>
          <w:rtl/>
        </w:rPr>
        <w:t xml:space="preserve">"מ ובת"ח </w:t>
      </w:r>
      <w:r w:rsidRPr="00094101">
        <w:rPr>
          <w:rFonts w:cs="Arial" w:hint="cs"/>
          <w:sz w:val="16"/>
          <w:szCs w:val="16"/>
          <w:rtl/>
        </w:rPr>
        <w:t>(</w:t>
      </w:r>
      <w:r w:rsidRPr="00094101">
        <w:rPr>
          <w:rFonts w:cs="Arial"/>
          <w:sz w:val="16"/>
          <w:szCs w:val="16"/>
          <w:rtl/>
        </w:rPr>
        <w:t>כלל סא די"ב</w:t>
      </w:r>
      <w:r w:rsidRPr="00094101">
        <w:rPr>
          <w:rFonts w:cs="Arial" w:hint="cs"/>
          <w:sz w:val="16"/>
          <w:szCs w:val="16"/>
          <w:rtl/>
        </w:rPr>
        <w:t>)</w:t>
      </w:r>
      <w:r w:rsidRPr="00094101">
        <w:rPr>
          <w:rFonts w:cs="Arial"/>
          <w:sz w:val="16"/>
          <w:szCs w:val="16"/>
          <w:rtl/>
        </w:rPr>
        <w:t xml:space="preserve"> </w:t>
      </w:r>
      <w:r w:rsidRPr="000D5E64">
        <w:rPr>
          <w:rFonts w:cs="Arial"/>
          <w:rtl/>
        </w:rPr>
        <w:t>כ</w:t>
      </w:r>
      <w:r>
        <w:rPr>
          <w:rFonts w:cs="Arial" w:hint="cs"/>
          <w:rtl/>
        </w:rPr>
        <w:t>'</w:t>
      </w:r>
      <w:r w:rsidRPr="000D5E64">
        <w:rPr>
          <w:rFonts w:cs="Arial"/>
          <w:rtl/>
        </w:rPr>
        <w:t xml:space="preserve"> בשם או"ה דאם בשלו דבר חריף בקדירה של בשר שאינו ב"י ואח"כ בשלו בו חלב תוך מע"ל המאכל מותר ולא אמרינן החריפות שבקדירה עושה שמפליט עכשיו לשבח ע"כ</w:t>
      </w:r>
      <w:r>
        <w:rPr>
          <w:rFonts w:cs="Arial" w:hint="cs"/>
          <w:rtl/>
        </w:rPr>
        <w:t>,</w:t>
      </w:r>
      <w:r w:rsidRPr="000D5E64">
        <w:rPr>
          <w:rFonts w:cs="Arial"/>
          <w:rtl/>
        </w:rPr>
        <w:t xml:space="preserve"> וה"ה אם בישל דבר חריף בקדירה של איסור</w:t>
      </w:r>
      <w:r>
        <w:rPr>
          <w:rFonts w:cs="Arial" w:hint="cs"/>
          <w:rtl/>
        </w:rPr>
        <w:t xml:space="preserve"> </w:t>
      </w:r>
      <w:r w:rsidRPr="000D5E64">
        <w:rPr>
          <w:rFonts w:cs="Arial"/>
          <w:rtl/>
        </w:rPr>
        <w:t>ב"י ואח"כ שהה מע"ל משנתבשל בו הדבר חריף מותר</w:t>
      </w:r>
      <w:r>
        <w:rPr>
          <w:rFonts w:cs="Arial" w:hint="cs"/>
          <w:rtl/>
        </w:rPr>
        <w:t>,</w:t>
      </w:r>
      <w:r w:rsidRPr="000D5E64">
        <w:rPr>
          <w:rFonts w:cs="Arial"/>
          <w:rtl/>
        </w:rPr>
        <w:t xml:space="preserve"> וכן אם בישל דבר חריף בקדרה של בשר ב"י אם בישלו בו אחר מע"ל שנתבשל בו הבשר אע</w:t>
      </w:r>
      <w:r>
        <w:rPr>
          <w:rFonts w:cs="Arial" w:hint="cs"/>
          <w:rtl/>
        </w:rPr>
        <w:t>"</w:t>
      </w:r>
      <w:r w:rsidRPr="000D5E64">
        <w:rPr>
          <w:rFonts w:cs="Arial"/>
          <w:rtl/>
        </w:rPr>
        <w:t>פ שאינו מע</w:t>
      </w:r>
      <w:r>
        <w:rPr>
          <w:rFonts w:cs="Arial" w:hint="cs"/>
          <w:rtl/>
        </w:rPr>
        <w:t>"</w:t>
      </w:r>
      <w:r w:rsidRPr="000D5E64">
        <w:rPr>
          <w:rFonts w:cs="Arial"/>
          <w:rtl/>
        </w:rPr>
        <w:t>ל משנתבשל בו הדבר חריף והיה ב</w:t>
      </w:r>
      <w:r>
        <w:rPr>
          <w:rFonts w:cs="Arial" w:hint="cs"/>
          <w:rtl/>
        </w:rPr>
        <w:t>"</w:t>
      </w:r>
      <w:r w:rsidRPr="000D5E64">
        <w:rPr>
          <w:rFonts w:cs="Arial"/>
          <w:rtl/>
        </w:rPr>
        <w:t>י כשנתבשל בו הדבר חריף מותר</w:t>
      </w:r>
      <w:r>
        <w:rPr>
          <w:rFonts w:cs="Arial" w:hint="cs"/>
          <w:rtl/>
        </w:rPr>
        <w:t>,</w:t>
      </w:r>
      <w:r w:rsidRPr="000D5E64">
        <w:rPr>
          <w:rFonts w:cs="Arial"/>
          <w:rtl/>
        </w:rPr>
        <w:t xml:space="preserve"> אבל אם נתבשל בו תחלה דבר איסור אפילו נתבשל בו אח"כ דבר שאינו חריף אם הוא ב"י מונין אח</w:t>
      </w:r>
      <w:r>
        <w:rPr>
          <w:rFonts w:cs="Arial" w:hint="cs"/>
          <w:rtl/>
        </w:rPr>
        <w:t>"</w:t>
      </w:r>
      <w:r w:rsidRPr="000D5E64">
        <w:rPr>
          <w:rFonts w:cs="Arial"/>
          <w:rtl/>
        </w:rPr>
        <w:t>כ מע</w:t>
      </w:r>
      <w:r>
        <w:rPr>
          <w:rFonts w:cs="Arial" w:hint="cs"/>
          <w:rtl/>
        </w:rPr>
        <w:t>"ל</w:t>
      </w:r>
      <w:r w:rsidRPr="000D5E64">
        <w:rPr>
          <w:rFonts w:cs="Arial"/>
          <w:rtl/>
        </w:rPr>
        <w:t xml:space="preserve"> מתבשיל השני כדלעיל סי</w:t>
      </w:r>
      <w:r>
        <w:rPr>
          <w:rFonts w:cs="Arial" w:hint="cs"/>
          <w:rtl/>
        </w:rPr>
        <w:t xml:space="preserve">' </w:t>
      </w:r>
      <w:r w:rsidRPr="000D5E64">
        <w:rPr>
          <w:rFonts w:cs="Arial"/>
          <w:rtl/>
        </w:rPr>
        <w:t>צד סקכ"ב</w:t>
      </w:r>
      <w:r>
        <w:rPr>
          <w:rFonts w:cs="Arial" w:hint="cs"/>
          <w:rtl/>
        </w:rPr>
        <w:t>, ש"ך (סק"ב).</w:t>
      </w:r>
    </w:p>
  </w:footnote>
  <w:footnote w:id="3072">
    <w:p w14:paraId="658A0799" w14:textId="77777777" w:rsidR="004C5A3C" w:rsidRDefault="004C5A3C" w:rsidP="002C39F4">
      <w:pPr>
        <w:pStyle w:val="a5"/>
        <w:rPr>
          <w:rtl/>
        </w:rPr>
      </w:pPr>
      <w:r>
        <w:rPr>
          <w:rStyle w:val="a7"/>
        </w:rPr>
        <w:footnoteRef/>
      </w:r>
      <w:r>
        <w:rPr>
          <w:rtl/>
        </w:rPr>
        <w:t xml:space="preserve"> </w:t>
      </w:r>
      <w:r w:rsidRPr="00E04122">
        <w:rPr>
          <w:rFonts w:cs="Arial"/>
          <w:rtl/>
        </w:rPr>
        <w:t xml:space="preserve">וע' עוד בשו"ת בית אברהם </w:t>
      </w:r>
      <w:r>
        <w:rPr>
          <w:rFonts w:cs="Arial" w:hint="cs"/>
          <w:rtl/>
        </w:rPr>
        <w:t>(</w:t>
      </w:r>
      <w:r w:rsidRPr="00E04122">
        <w:rPr>
          <w:rFonts w:cs="Arial"/>
          <w:rtl/>
        </w:rPr>
        <w:t>יו"ד סי' ח אות ד</w:t>
      </w:r>
      <w:r>
        <w:rPr>
          <w:rFonts w:cs="Arial" w:hint="cs"/>
          <w:rtl/>
        </w:rPr>
        <w:t>)</w:t>
      </w:r>
      <w:r w:rsidRPr="00E04122">
        <w:rPr>
          <w:rFonts w:cs="Arial"/>
          <w:rtl/>
        </w:rPr>
        <w:t xml:space="preserve"> שכתב </w:t>
      </w:r>
      <w:r>
        <w:rPr>
          <w:rFonts w:cs="Arial" w:hint="cs"/>
          <w:rtl/>
        </w:rPr>
        <w:t>(</w:t>
      </w:r>
      <w:r w:rsidRPr="00E04122">
        <w:rPr>
          <w:rFonts w:cs="Arial"/>
          <w:rtl/>
        </w:rPr>
        <w:t>עמ"ש הח"צ דבשאר איסורים אסור לכתחלה אחר יב"ח</w:t>
      </w:r>
      <w:r>
        <w:rPr>
          <w:rFonts w:cs="Arial" w:hint="cs"/>
          <w:rtl/>
        </w:rPr>
        <w:t>)</w:t>
      </w:r>
      <w:r w:rsidRPr="00E04122">
        <w:rPr>
          <w:rFonts w:cs="Arial"/>
          <w:rtl/>
        </w:rPr>
        <w:t xml:space="preserve"> די"ל דהיינו באיסור דאו</w:t>
      </w:r>
      <w:r>
        <w:rPr>
          <w:rFonts w:cs="Arial" w:hint="cs"/>
          <w:rtl/>
        </w:rPr>
        <w:t>'</w:t>
      </w:r>
      <w:r w:rsidRPr="00E04122">
        <w:rPr>
          <w:rFonts w:cs="Arial"/>
          <w:rtl/>
        </w:rPr>
        <w:t xml:space="preserve"> אבל אם בגוף האיסור הוא דרבנן יש לצדד להקל להתיר אף לכתחלה</w:t>
      </w:r>
      <w:r>
        <w:rPr>
          <w:rFonts w:cs="Arial" w:hint="cs"/>
          <w:rtl/>
        </w:rPr>
        <w:t>.</w:t>
      </w:r>
      <w:r w:rsidRPr="00E04122">
        <w:rPr>
          <w:rFonts w:cs="Arial"/>
          <w:rtl/>
        </w:rPr>
        <w:t xml:space="preserve"> ומ"מ קשה לסמוך ע"ז לחוד אם לא היכא שיש עוד קולא</w:t>
      </w:r>
      <w:r>
        <w:rPr>
          <w:rFonts w:cs="Arial" w:hint="cs"/>
          <w:rtl/>
        </w:rPr>
        <w:t>.</w:t>
      </w:r>
      <w:r w:rsidRPr="00E04122">
        <w:rPr>
          <w:rFonts w:cs="Arial"/>
          <w:rtl/>
        </w:rPr>
        <w:t xml:space="preserve"> וע"ש עוד דהך י"ב חודש לא בעינן שלמים רק חדשי לבנה כל חודש כ"ט יום</w:t>
      </w:r>
      <w:r>
        <w:rPr>
          <w:rFonts w:cs="Arial" w:hint="cs"/>
          <w:rtl/>
        </w:rPr>
        <w:t xml:space="preserve">, פת"ש (סק"ג). </w:t>
      </w:r>
    </w:p>
  </w:footnote>
  <w:footnote w:id="3073">
    <w:p w14:paraId="7B526A9F" w14:textId="77777777" w:rsidR="004C5A3C" w:rsidRDefault="004C5A3C" w:rsidP="002C39F4">
      <w:pPr>
        <w:pStyle w:val="a5"/>
      </w:pPr>
      <w:r>
        <w:rPr>
          <w:rStyle w:val="a7"/>
        </w:rPr>
        <w:footnoteRef/>
      </w:r>
      <w:r>
        <w:rPr>
          <w:rtl/>
        </w:rPr>
        <w:t xml:space="preserve"> </w:t>
      </w:r>
      <w:r w:rsidRPr="00242DAB">
        <w:rPr>
          <w:rtl/>
        </w:rPr>
        <w:t xml:space="preserve">והסכים עמו הגאון מהר"ר נפתלי כ"ץ ז"ל </w:t>
      </w:r>
      <w:r>
        <w:rPr>
          <w:rFonts w:hint="cs"/>
          <w:rtl/>
        </w:rPr>
        <w:t>(</w:t>
      </w:r>
      <w:r w:rsidRPr="00242DAB">
        <w:rPr>
          <w:rtl/>
        </w:rPr>
        <w:t>סי</w:t>
      </w:r>
      <w:r>
        <w:rPr>
          <w:rFonts w:hint="cs"/>
          <w:rtl/>
        </w:rPr>
        <w:t>'</w:t>
      </w:r>
      <w:r w:rsidRPr="00242DAB">
        <w:rPr>
          <w:rtl/>
        </w:rPr>
        <w:t xml:space="preserve"> עו)</w:t>
      </w:r>
      <w:r>
        <w:rPr>
          <w:rFonts w:hint="cs"/>
          <w:rtl/>
        </w:rPr>
        <w:t>.</w:t>
      </w:r>
      <w:r w:rsidRPr="00242DAB">
        <w:rPr>
          <w:rtl/>
        </w:rPr>
        <w:t xml:space="preserve"> וע' בשו"ת </w:t>
      </w:r>
      <w:r>
        <w:rPr>
          <w:rFonts w:hint="cs"/>
          <w:rtl/>
        </w:rPr>
        <w:t>פנמ"א (</w:t>
      </w:r>
      <w:r w:rsidRPr="00242DAB">
        <w:rPr>
          <w:rtl/>
        </w:rPr>
        <w:t>ח"א סי</w:t>
      </w:r>
      <w:r>
        <w:rPr>
          <w:rFonts w:hint="cs"/>
          <w:rtl/>
        </w:rPr>
        <w:t>'</w:t>
      </w:r>
      <w:r w:rsidRPr="00242DAB">
        <w:rPr>
          <w:rtl/>
        </w:rPr>
        <w:t xml:space="preserve"> כג) שחלק עליו</w:t>
      </w:r>
      <w:r>
        <w:rPr>
          <w:rFonts w:hint="cs"/>
          <w:rtl/>
        </w:rPr>
        <w:t>.</w:t>
      </w:r>
      <w:r w:rsidRPr="00242DAB">
        <w:rPr>
          <w:rtl/>
        </w:rPr>
        <w:t xml:space="preserve"> וע' בח</w:t>
      </w:r>
      <w:r>
        <w:rPr>
          <w:rFonts w:hint="cs"/>
          <w:rtl/>
        </w:rPr>
        <w:t>כ</w:t>
      </w:r>
      <w:r w:rsidRPr="00242DAB">
        <w:rPr>
          <w:rtl/>
        </w:rPr>
        <w:t xml:space="preserve">"צ </w:t>
      </w:r>
      <w:r>
        <w:rPr>
          <w:rFonts w:hint="cs"/>
          <w:rtl/>
        </w:rPr>
        <w:t>(</w:t>
      </w:r>
      <w:r w:rsidRPr="00242DAB">
        <w:rPr>
          <w:rtl/>
        </w:rPr>
        <w:t>סי' פ) מה שהשיב ל</w:t>
      </w:r>
      <w:r>
        <w:rPr>
          <w:rFonts w:hint="cs"/>
          <w:rtl/>
        </w:rPr>
        <w:t xml:space="preserve">ו. </w:t>
      </w:r>
      <w:r w:rsidRPr="00242DAB">
        <w:rPr>
          <w:rtl/>
        </w:rPr>
        <w:t>וע' פמ"ג בסי</w:t>
      </w:r>
      <w:r>
        <w:rPr>
          <w:rFonts w:hint="cs"/>
          <w:rtl/>
        </w:rPr>
        <w:t>'</w:t>
      </w:r>
      <w:r w:rsidRPr="00242DAB">
        <w:rPr>
          <w:rtl/>
        </w:rPr>
        <w:t xml:space="preserve"> קג שכתב דבצונן כגון ע"י כבוש גם הפמ"א מודה דשרי ומהני יישון כי פליגי בחמין. ובשו"ת חיים שאל </w:t>
      </w:r>
      <w:r>
        <w:rPr>
          <w:rFonts w:hint="cs"/>
          <w:rtl/>
        </w:rPr>
        <w:t>(</w:t>
      </w:r>
      <w:r w:rsidRPr="00242DAB">
        <w:rPr>
          <w:rtl/>
        </w:rPr>
        <w:t xml:space="preserve">סי' לח) כתב שדברי הרשב"א </w:t>
      </w:r>
      <w:r>
        <w:rPr>
          <w:rFonts w:hint="cs"/>
          <w:rtl/>
        </w:rPr>
        <w:t>(</w:t>
      </w:r>
      <w:r w:rsidRPr="00242DAB">
        <w:rPr>
          <w:rtl/>
        </w:rPr>
        <w:t>סי' תקעה) דלא כהח</w:t>
      </w:r>
      <w:r>
        <w:rPr>
          <w:rFonts w:hint="cs"/>
          <w:rtl/>
        </w:rPr>
        <w:t>כ</w:t>
      </w:r>
      <w:r w:rsidRPr="00242DAB">
        <w:rPr>
          <w:rtl/>
        </w:rPr>
        <w:t>"צ</w:t>
      </w:r>
      <w:r>
        <w:rPr>
          <w:rFonts w:hint="cs"/>
          <w:rtl/>
        </w:rPr>
        <w:t>,</w:t>
      </w:r>
      <w:r w:rsidRPr="00242DAB">
        <w:rPr>
          <w:rtl/>
        </w:rPr>
        <w:t xml:space="preserve"> וכתב שמעשה בא לידו בישראל שנשלח לו דורון כלים נחמדים פרצלאי"י ולא ניכר אם כבר נשתמש בו העובד כוכבים ועברו שנתים ימים וכתב שלכאורה אין להתיר לכתחלה כמ"ש הח"צ גופיה וגם דהרשב"א חולק אך בזה דיש ס"ס יש להקל ועדיין צריך ישוב עכ"ד</w:t>
      </w:r>
      <w:r>
        <w:rPr>
          <w:rFonts w:hint="cs"/>
          <w:rtl/>
        </w:rPr>
        <w:t>.</w:t>
      </w:r>
      <w:r w:rsidRPr="00242DAB">
        <w:rPr>
          <w:rtl/>
        </w:rPr>
        <w:t xml:space="preserve"> וע' בשו"ת בת"ח </w:t>
      </w:r>
      <w:r>
        <w:rPr>
          <w:rFonts w:hint="cs"/>
          <w:rtl/>
        </w:rPr>
        <w:t>(</w:t>
      </w:r>
      <w:r w:rsidRPr="00242DAB">
        <w:rPr>
          <w:rtl/>
        </w:rPr>
        <w:t>סי</w:t>
      </w:r>
      <w:r>
        <w:rPr>
          <w:rFonts w:hint="cs"/>
          <w:rtl/>
        </w:rPr>
        <w:t>'</w:t>
      </w:r>
      <w:r w:rsidRPr="00242DAB">
        <w:rPr>
          <w:rtl/>
        </w:rPr>
        <w:t xml:space="preserve"> תנא</w:t>
      </w:r>
      <w:r>
        <w:rPr>
          <w:rFonts w:hint="cs"/>
          <w:rtl/>
        </w:rPr>
        <w:t>)</w:t>
      </w:r>
      <w:r w:rsidRPr="00242DAB">
        <w:rPr>
          <w:rtl/>
        </w:rPr>
        <w:t xml:space="preserve"> שכתב ע"ז שאם אפשר להגעילן ג"פ יש לעשות כן</w:t>
      </w:r>
      <w:r>
        <w:rPr>
          <w:rFonts w:hint="cs"/>
          <w:rtl/>
        </w:rPr>
        <w:t>,</w:t>
      </w:r>
      <w:r w:rsidRPr="00242DAB">
        <w:rPr>
          <w:rtl/>
        </w:rPr>
        <w:t xml:space="preserve"> ואם הם כלים שאין דרך להשתמש ברותחין יש להקל</w:t>
      </w:r>
      <w:r>
        <w:rPr>
          <w:rFonts w:hint="cs"/>
          <w:rtl/>
        </w:rPr>
        <w:t>.</w:t>
      </w:r>
      <w:r w:rsidRPr="00242DAB">
        <w:rPr>
          <w:rtl/>
        </w:rPr>
        <w:t xml:space="preserve"> ועיין בתשו</w:t>
      </w:r>
      <w:r>
        <w:rPr>
          <w:rFonts w:hint="cs"/>
          <w:rtl/>
        </w:rPr>
        <w:t>' רעק"א (</w:t>
      </w:r>
      <w:r w:rsidRPr="00242DAB">
        <w:rPr>
          <w:rtl/>
        </w:rPr>
        <w:t>סי</w:t>
      </w:r>
      <w:r>
        <w:rPr>
          <w:rFonts w:hint="cs"/>
          <w:rtl/>
        </w:rPr>
        <w:t>'</w:t>
      </w:r>
      <w:r w:rsidRPr="00242DAB">
        <w:rPr>
          <w:rtl/>
        </w:rPr>
        <w:t xml:space="preserve"> מג)</w:t>
      </w:r>
      <w:r>
        <w:rPr>
          <w:rFonts w:hint="cs"/>
          <w:rtl/>
        </w:rPr>
        <w:t xml:space="preserve">. </w:t>
      </w:r>
      <w:r w:rsidRPr="00242DAB">
        <w:rPr>
          <w:rtl/>
        </w:rPr>
        <w:t>וע' בשו"ת ש</w:t>
      </w:r>
      <w:r>
        <w:rPr>
          <w:rFonts w:hint="cs"/>
          <w:rtl/>
        </w:rPr>
        <w:t>בו</w:t>
      </w:r>
      <w:r w:rsidRPr="00242DAB">
        <w:rPr>
          <w:rtl/>
        </w:rPr>
        <w:t xml:space="preserve">"י </w:t>
      </w:r>
      <w:r>
        <w:rPr>
          <w:rFonts w:hint="cs"/>
          <w:rtl/>
        </w:rPr>
        <w:t>(</w:t>
      </w:r>
      <w:r w:rsidRPr="00242DAB">
        <w:rPr>
          <w:rtl/>
        </w:rPr>
        <w:t>סי' כא) שהעלה להתיר בדיעבד אף אחר שני חדשים</w:t>
      </w:r>
      <w:r>
        <w:rPr>
          <w:rFonts w:hint="cs"/>
          <w:rtl/>
        </w:rPr>
        <w:t xml:space="preserve">. </w:t>
      </w:r>
      <w:r w:rsidRPr="00242DAB">
        <w:rPr>
          <w:rtl/>
        </w:rPr>
        <w:t xml:space="preserve">וע' בשו"ת שמן רוקח </w:t>
      </w:r>
      <w:r>
        <w:rPr>
          <w:rFonts w:hint="cs"/>
          <w:rtl/>
        </w:rPr>
        <w:t>(</w:t>
      </w:r>
      <w:r w:rsidRPr="00242DAB">
        <w:rPr>
          <w:rtl/>
        </w:rPr>
        <w:t>ח"א סי</w:t>
      </w:r>
      <w:r>
        <w:rPr>
          <w:rFonts w:hint="cs"/>
          <w:rtl/>
        </w:rPr>
        <w:t>'</w:t>
      </w:r>
      <w:r w:rsidRPr="00242DAB">
        <w:rPr>
          <w:rtl/>
        </w:rPr>
        <w:t xml:space="preserve"> ב</w:t>
      </w:r>
      <w:r>
        <w:rPr>
          <w:rFonts w:hint="cs"/>
          <w:rtl/>
        </w:rPr>
        <w:t>)</w:t>
      </w:r>
      <w:r w:rsidRPr="00242DAB">
        <w:rPr>
          <w:rtl/>
        </w:rPr>
        <w:t xml:space="preserve"> שאף אחר יב"ח קשה לסמוך על הח</w:t>
      </w:r>
      <w:r>
        <w:rPr>
          <w:rFonts w:hint="cs"/>
          <w:rtl/>
        </w:rPr>
        <w:t>כ</w:t>
      </w:r>
      <w:r w:rsidRPr="00242DAB">
        <w:rPr>
          <w:rtl/>
        </w:rPr>
        <w:t>"צ ולהקל</w:t>
      </w:r>
      <w:r>
        <w:rPr>
          <w:rFonts w:hint="cs"/>
          <w:rtl/>
        </w:rPr>
        <w:t>,</w:t>
      </w:r>
      <w:r w:rsidRPr="00242DAB">
        <w:rPr>
          <w:rtl/>
        </w:rPr>
        <w:t xml:space="preserve"> אך בכיסוי קדרה דבלא"ה חומרא בלא טעם יש להקל אחר יב"ח</w:t>
      </w:r>
      <w:r>
        <w:rPr>
          <w:rFonts w:hint="cs"/>
          <w:rtl/>
        </w:rPr>
        <w:t>,</w:t>
      </w:r>
      <w:r w:rsidRPr="00242DAB">
        <w:rPr>
          <w:rtl/>
        </w:rPr>
        <w:t xml:space="preserve"> ואפשר אף אחר שני חדשים כדברי השבו"י</w:t>
      </w:r>
      <w:r>
        <w:rPr>
          <w:rFonts w:cs="Arial" w:hint="cs"/>
          <w:rtl/>
        </w:rPr>
        <w:t>, ע"פ פת"ש (סק"ג)</w:t>
      </w:r>
      <w:r>
        <w:rPr>
          <w:rFonts w:hint="cs"/>
          <w:rtl/>
        </w:rPr>
        <w:t>.</w:t>
      </w:r>
    </w:p>
  </w:footnote>
  <w:footnote w:id="3074">
    <w:p w14:paraId="23D14123" w14:textId="77777777" w:rsidR="004C5A3C" w:rsidRDefault="004C5A3C" w:rsidP="002C39F4">
      <w:pPr>
        <w:pStyle w:val="a5"/>
        <w:rPr>
          <w:rtl/>
        </w:rPr>
      </w:pPr>
      <w:r>
        <w:rPr>
          <w:rStyle w:val="a7"/>
        </w:rPr>
        <w:footnoteRef/>
      </w:r>
      <w:r>
        <w:rPr>
          <w:rtl/>
        </w:rPr>
        <w:t xml:space="preserve"> </w:t>
      </w:r>
      <w:r w:rsidRPr="00F41A92">
        <w:rPr>
          <w:rFonts w:cs="Arial"/>
          <w:rtl/>
        </w:rPr>
        <w:t>הטעם דבבשר בחלב אמרינן חתיכה עצמה נעשית נבילה ע"כ הוין אלו המים נבילה כולן מכח בליעת איסור בשר בחלב שיש בקדירה כבר ונתנה טעם במים אבל בשאר איסורי</w:t>
      </w:r>
      <w:r>
        <w:rPr>
          <w:rFonts w:cs="Arial" w:hint="cs"/>
          <w:rtl/>
        </w:rPr>
        <w:t>ן</w:t>
      </w:r>
      <w:r w:rsidRPr="00F41A92">
        <w:rPr>
          <w:rFonts w:cs="Arial"/>
          <w:rtl/>
        </w:rPr>
        <w:t xml:space="preserve"> לא אמרינן חתיכה עצמה נעשית נבילה כמ"ש סימן ק"ג</w:t>
      </w:r>
      <w:r>
        <w:rPr>
          <w:rFonts w:hint="cs"/>
          <w:rtl/>
        </w:rPr>
        <w:t>, ט"ז (סק"ב).</w:t>
      </w:r>
    </w:p>
  </w:footnote>
  <w:footnote w:id="3075">
    <w:p w14:paraId="2DBC9A6E" w14:textId="77777777" w:rsidR="004C5A3C" w:rsidRDefault="004C5A3C" w:rsidP="002C39F4">
      <w:pPr>
        <w:pStyle w:val="a5"/>
      </w:pPr>
      <w:r>
        <w:rPr>
          <w:rStyle w:val="a7"/>
        </w:rPr>
        <w:footnoteRef/>
      </w:r>
      <w:r>
        <w:rPr>
          <w:rtl/>
        </w:rPr>
        <w:t xml:space="preserve"> </w:t>
      </w:r>
      <w:r>
        <w:rPr>
          <w:rFonts w:cs="Arial"/>
          <w:rtl/>
        </w:rPr>
        <w:t>ונתינת יין ודאי אינה מועילה, שהרי אין היין מבטל את היין הבלוע בדפנות</w:t>
      </w:r>
      <w:r>
        <w:rPr>
          <w:rFonts w:cs="Arial" w:hint="cs"/>
          <w:rtl/>
        </w:rPr>
        <w:t>,</w:t>
      </w:r>
      <w:r>
        <w:rPr>
          <w:rFonts w:hint="cs"/>
          <w:rtl/>
        </w:rPr>
        <w:t xml:space="preserve"> </w:t>
      </w:r>
      <w:r>
        <w:rPr>
          <w:rFonts w:cs="Arial"/>
          <w:rtl/>
        </w:rPr>
        <w:t>ולכאורה יש כאן מקום לגזור, שלא ליתן שכר שמא יבואו להחליפו ביין, אך אפילו הכי, לא חשש רבינא לכך, והתיר לתת שכר כדי להפיג טעם היין</w:t>
      </w:r>
      <w:r>
        <w:rPr>
          <w:rFonts w:cs="Arial" w:hint="cs"/>
          <w:rtl/>
        </w:rPr>
        <w:t xml:space="preserve"> </w:t>
      </w:r>
      <w:r>
        <w:rPr>
          <w:rFonts w:cs="Arial" w:hint="cs"/>
          <w:sz w:val="16"/>
          <w:szCs w:val="16"/>
          <w:rtl/>
        </w:rPr>
        <w:t>(</w:t>
      </w:r>
      <w:r w:rsidRPr="00AA788B">
        <w:rPr>
          <w:rFonts w:cs="Arial" w:hint="cs"/>
          <w:sz w:val="16"/>
          <w:szCs w:val="16"/>
          <w:rtl/>
        </w:rPr>
        <w:t>חברותא)</w:t>
      </w:r>
      <w:r>
        <w:rPr>
          <w:rFonts w:cs="Arial"/>
          <w:rtl/>
        </w:rPr>
        <w:t>.</w:t>
      </w:r>
    </w:p>
  </w:footnote>
  <w:footnote w:id="3076">
    <w:p w14:paraId="377D4913" w14:textId="77777777" w:rsidR="004C5A3C" w:rsidRDefault="004C5A3C" w:rsidP="002C39F4">
      <w:pPr>
        <w:pStyle w:val="a5"/>
        <w:rPr>
          <w:rtl/>
        </w:rPr>
      </w:pPr>
      <w:r>
        <w:rPr>
          <w:rStyle w:val="a7"/>
        </w:rPr>
        <w:footnoteRef/>
      </w:r>
      <w:r>
        <w:rPr>
          <w:rtl/>
        </w:rPr>
        <w:t xml:space="preserve"> </w:t>
      </w:r>
      <w:r w:rsidRPr="00AA788B">
        <w:rPr>
          <w:rFonts w:cs="Arial"/>
          <w:rtl/>
        </w:rPr>
        <w:t>אפילו בשפע גזרה שמא ישתמש בה בדבר מועט ויבא בו לידי נתינת טעם</w:t>
      </w:r>
      <w:r>
        <w:rPr>
          <w:rFonts w:hint="cs"/>
          <w:rtl/>
        </w:rPr>
        <w:t>, רשב"א (בתוה"א שם).</w:t>
      </w:r>
    </w:p>
  </w:footnote>
  <w:footnote w:id="3077">
    <w:p w14:paraId="5C6932F2" w14:textId="77777777" w:rsidR="004C5A3C" w:rsidRDefault="004C5A3C" w:rsidP="002C39F4">
      <w:pPr>
        <w:pStyle w:val="a5"/>
        <w:rPr>
          <w:rtl/>
        </w:rPr>
      </w:pPr>
      <w:r>
        <w:rPr>
          <w:rStyle w:val="a7"/>
        </w:rPr>
        <w:footnoteRef/>
      </w:r>
      <w:r>
        <w:rPr>
          <w:rtl/>
        </w:rPr>
        <w:t xml:space="preserve"> </w:t>
      </w:r>
      <w:r>
        <w:rPr>
          <w:rFonts w:hint="cs"/>
          <w:rtl/>
        </w:rPr>
        <w:t xml:space="preserve">וכ' הב"י על דבריו- </w:t>
      </w:r>
      <w:r>
        <w:rPr>
          <w:rFonts w:cs="Arial"/>
          <w:rtl/>
        </w:rPr>
        <w:t>אין כאן קושיא כלל דלא דמו להדדי</w:t>
      </w:r>
      <w:r>
        <w:rPr>
          <w:rFonts w:cs="Arial" w:hint="cs"/>
          <w:rtl/>
        </w:rPr>
        <w:t>,</w:t>
      </w:r>
      <w:r>
        <w:rPr>
          <w:rFonts w:cs="Arial"/>
          <w:rtl/>
        </w:rPr>
        <w:t xml:space="preserve"> דע"כ לא שרי הרשב"א אלא לפי שאינו מצוי להשתמש באותו כלי בדבר מועט</w:t>
      </w:r>
      <w:r>
        <w:rPr>
          <w:rFonts w:cs="Arial" w:hint="cs"/>
          <w:rtl/>
        </w:rPr>
        <w:t>,</w:t>
      </w:r>
      <w:r>
        <w:rPr>
          <w:rFonts w:cs="Arial"/>
          <w:rtl/>
        </w:rPr>
        <w:t xml:space="preserve"> וכל דבר שאינו מצוי אין חוששין לו</w:t>
      </w:r>
      <w:r>
        <w:rPr>
          <w:rFonts w:cs="Arial" w:hint="cs"/>
          <w:rtl/>
        </w:rPr>
        <w:t>,</w:t>
      </w:r>
      <w:r>
        <w:rPr>
          <w:rFonts w:cs="Arial"/>
          <w:rtl/>
        </w:rPr>
        <w:t xml:space="preserve"> ומה ענין זה לקדרה בת יומא ושאינה בת יומא שאדם עשוי לבשל בזו ובזו.</w:t>
      </w:r>
    </w:p>
  </w:footnote>
  <w:footnote w:id="3078">
    <w:p w14:paraId="4AD44DF9" w14:textId="77777777" w:rsidR="004C5A3C" w:rsidRDefault="004C5A3C" w:rsidP="002C39F4">
      <w:pPr>
        <w:pStyle w:val="a5"/>
      </w:pPr>
      <w:r>
        <w:rPr>
          <w:rStyle w:val="a7"/>
        </w:rPr>
        <w:footnoteRef/>
      </w:r>
      <w:r>
        <w:rPr>
          <w:rtl/>
        </w:rPr>
        <w:t xml:space="preserve"> </w:t>
      </w:r>
      <w:r w:rsidRPr="0081643A">
        <w:rPr>
          <w:rFonts w:cs="Arial"/>
          <w:rtl/>
        </w:rPr>
        <w:t>בסי' צט סעיף ז' ביארנו דלענין הלכה לא קי"ל כן ע"</w:t>
      </w:r>
      <w:r>
        <w:rPr>
          <w:rFonts w:cs="Arial" w:hint="cs"/>
          <w:rtl/>
        </w:rPr>
        <w:t xml:space="preserve">ש, ט"ז (סק"ג). </w:t>
      </w:r>
      <w:r w:rsidRPr="0081643A">
        <w:rPr>
          <w:rFonts w:cs="Arial"/>
          <w:rtl/>
        </w:rPr>
        <w:t>ו</w:t>
      </w:r>
      <w:r>
        <w:rPr>
          <w:rFonts w:cs="Arial" w:hint="cs"/>
          <w:rtl/>
        </w:rPr>
        <w:t>גם הש"ך (סק"ג) כתב ד</w:t>
      </w:r>
      <w:r w:rsidRPr="0081643A">
        <w:rPr>
          <w:rFonts w:cs="Arial"/>
          <w:rtl/>
        </w:rPr>
        <w:t xml:space="preserve">הרא"ה </w:t>
      </w:r>
      <w:r>
        <w:rPr>
          <w:rFonts w:cs="Arial" w:hint="cs"/>
          <w:rtl/>
        </w:rPr>
        <w:t>(בדה"ב ב"ד ש"ד לו.) והר"ן (ע"ז יב: ד"ה איבעיא)</w:t>
      </w:r>
      <w:r>
        <w:rPr>
          <w:rFonts w:cs="Arial" w:hint="cs"/>
        </w:rPr>
        <w:t xml:space="preserve"> </w:t>
      </w:r>
      <w:r w:rsidRPr="0081643A">
        <w:rPr>
          <w:rFonts w:cs="Arial"/>
          <w:rtl/>
        </w:rPr>
        <w:t>והטור השיגו ע</w:t>
      </w:r>
      <w:r>
        <w:rPr>
          <w:rFonts w:cs="Arial" w:hint="cs"/>
          <w:rtl/>
        </w:rPr>
        <w:t>ל זה,</w:t>
      </w:r>
      <w:r w:rsidRPr="0081643A">
        <w:rPr>
          <w:rFonts w:cs="Arial"/>
          <w:rtl/>
        </w:rPr>
        <w:t xml:space="preserve"> וכ"פ הב"ח ע"ש</w:t>
      </w:r>
      <w:r>
        <w:rPr>
          <w:rFonts w:cs="Arial" w:hint="cs"/>
          <w:sz w:val="14"/>
          <w:szCs w:val="14"/>
          <w:rtl/>
        </w:rPr>
        <w:t xml:space="preserve"> (עכ"ל הש"ך)</w:t>
      </w:r>
      <w:r>
        <w:rPr>
          <w:rFonts w:cs="Arial" w:hint="cs"/>
          <w:rtl/>
        </w:rPr>
        <w:t xml:space="preserve">. </w:t>
      </w:r>
    </w:p>
  </w:footnote>
  <w:footnote w:id="3079">
    <w:p w14:paraId="4DC01E0D" w14:textId="77777777" w:rsidR="004C5A3C" w:rsidRDefault="004C5A3C" w:rsidP="002C39F4">
      <w:pPr>
        <w:pStyle w:val="a5"/>
        <w:rPr>
          <w:rtl/>
        </w:rPr>
      </w:pPr>
      <w:r>
        <w:rPr>
          <w:rStyle w:val="a7"/>
        </w:rPr>
        <w:footnoteRef/>
      </w:r>
      <w:r>
        <w:rPr>
          <w:rtl/>
        </w:rPr>
        <w:t xml:space="preserve"> </w:t>
      </w:r>
      <w:r>
        <w:rPr>
          <w:rFonts w:cs="Arial" w:hint="cs"/>
          <w:rtl/>
        </w:rPr>
        <w:t>וכ' הב"י ד</w:t>
      </w:r>
      <w:r>
        <w:rPr>
          <w:rFonts w:cs="Arial"/>
          <w:rtl/>
        </w:rPr>
        <w:t xml:space="preserve">יש הוכחה לדברי הרשב"א בלשונו של הרמב"ם שכתב (פי"ז מהמ"א הכ"ב-כד) </w:t>
      </w:r>
      <w:r>
        <w:rPr>
          <w:rFonts w:cs="Arial" w:hint="cs"/>
          <w:rtl/>
        </w:rPr>
        <w:t>'</w:t>
      </w:r>
      <w:r>
        <w:rPr>
          <w:rFonts w:cs="Arial"/>
          <w:rtl/>
        </w:rPr>
        <w:t>שמן של גוים מותר ואפילו נתבשל ואינו נאסר משום גיעולי גוים</w:t>
      </w:r>
      <w:r>
        <w:rPr>
          <w:rFonts w:cs="Arial" w:hint="cs"/>
          <w:rtl/>
        </w:rPr>
        <w:t>,</w:t>
      </w:r>
      <w:r>
        <w:rPr>
          <w:rFonts w:cs="Arial"/>
          <w:rtl/>
        </w:rPr>
        <w:t xml:space="preserve"> מפני שהבשר פוגם את השמן ומסריחו</w:t>
      </w:r>
      <w:r>
        <w:rPr>
          <w:rFonts w:cs="Arial" w:hint="cs"/>
          <w:rtl/>
        </w:rPr>
        <w:t>,</w:t>
      </w:r>
      <w:r>
        <w:rPr>
          <w:rFonts w:cs="Arial"/>
          <w:rtl/>
        </w:rPr>
        <w:t xml:space="preserve"> וכן דבש גוים שנתבשל הותר מטעם זה</w:t>
      </w:r>
      <w:r>
        <w:rPr>
          <w:rFonts w:cs="Arial" w:hint="cs"/>
          <w:rtl/>
        </w:rPr>
        <w:t>,</w:t>
      </w:r>
      <w:r>
        <w:rPr>
          <w:rFonts w:cs="Arial"/>
          <w:rtl/>
        </w:rPr>
        <w:t xml:space="preserve"> כוספן של גוים שהוחמו מותר מפני שנותן טעם לפגם הוא</w:t>
      </w:r>
      <w:r>
        <w:rPr>
          <w:rFonts w:cs="Arial" w:hint="cs"/>
          <w:rtl/>
        </w:rPr>
        <w:t>'</w:t>
      </w:r>
      <w:r>
        <w:rPr>
          <w:rFonts w:cs="Arial"/>
          <w:rtl/>
        </w:rPr>
        <w:t xml:space="preserve"> ע"כ</w:t>
      </w:r>
      <w:r>
        <w:rPr>
          <w:rFonts w:cs="Arial" w:hint="cs"/>
          <w:rtl/>
        </w:rPr>
        <w:t>,</w:t>
      </w:r>
      <w:r>
        <w:rPr>
          <w:rFonts w:cs="Arial"/>
          <w:rtl/>
        </w:rPr>
        <w:t xml:space="preserve"> ואם לא היה סובר דסתם כלי גוים אינן בני יומן הוה ליה למימר וכן כוספן של גוים שהוחמו מותר מטעם זה כמו שכתב בדבש ומדלא כתב כן משמע דכוספן אין הבשר פוגמו ואפילו הכי שרי דסתם כלים אינם בני יומן והוי ליה נותן טעם לפגם</w:t>
      </w:r>
      <w:r>
        <w:rPr>
          <w:rFonts w:cs="Arial" w:hint="cs"/>
          <w:rtl/>
        </w:rPr>
        <w:t>,</w:t>
      </w:r>
      <w:r>
        <w:rPr>
          <w:rFonts w:cs="Arial"/>
          <w:rtl/>
        </w:rPr>
        <w:t xml:space="preserve"> ובשמן ודבש לא איצטריך להאי טעמא דטעמא דעדיף מיניה נקט דאפילו אם היה בן יומו ממש מותר לההוא טעמא. ולפי זה אתי ההיא ד</w:t>
      </w:r>
      <w:r>
        <w:rPr>
          <w:rFonts w:cs="Arial" w:hint="cs"/>
          <w:rtl/>
        </w:rPr>
        <w:t>-'</w:t>
      </w:r>
      <w:r>
        <w:rPr>
          <w:rFonts w:cs="Arial"/>
          <w:rtl/>
        </w:rPr>
        <w:t>וכולן שנשתמש בהם עד שלא הרתיח ועד שלא הלבין</w:t>
      </w:r>
      <w:r>
        <w:rPr>
          <w:rFonts w:cs="Arial" w:hint="cs"/>
          <w:rtl/>
        </w:rPr>
        <w:t>'</w:t>
      </w:r>
      <w:r>
        <w:rPr>
          <w:rFonts w:cs="Arial"/>
          <w:rtl/>
        </w:rPr>
        <w:t xml:space="preserve"> כפשטא</w:t>
      </w:r>
      <w:r>
        <w:rPr>
          <w:rFonts w:cs="Arial" w:hint="cs"/>
          <w:rtl/>
        </w:rPr>
        <w:t>,</w:t>
      </w:r>
      <w:r>
        <w:rPr>
          <w:rFonts w:cs="Arial"/>
          <w:rtl/>
        </w:rPr>
        <w:t xml:space="preserve"> ולא נצטרך להעמידה בששיהן</w:t>
      </w:r>
      <w:r>
        <w:rPr>
          <w:rFonts w:cs="Arial" w:hint="cs"/>
          <w:rtl/>
        </w:rPr>
        <w:t>,</w:t>
      </w:r>
      <w:r>
        <w:rPr>
          <w:rFonts w:cs="Arial"/>
          <w:rtl/>
        </w:rPr>
        <w:t xml:space="preserve"> ולפי זה יש ליישב שמה שכתב גבי פולים ואפונים ועדשים עיקר הטעם הוא שמא יבשל אותם עם הבשר</w:t>
      </w:r>
      <w:r>
        <w:rPr>
          <w:rFonts w:cs="Arial" w:hint="cs"/>
          <w:rtl/>
        </w:rPr>
        <w:t>,</w:t>
      </w:r>
      <w:r>
        <w:rPr>
          <w:rFonts w:cs="Arial"/>
          <w:rtl/>
        </w:rPr>
        <w:t xml:space="preserve"> ומה שכתב או בקדרה של בשר</w:t>
      </w:r>
      <w:r>
        <w:rPr>
          <w:rFonts w:cs="Arial" w:hint="cs"/>
          <w:rtl/>
        </w:rPr>
        <w:t>-</w:t>
      </w:r>
      <w:r>
        <w:rPr>
          <w:rFonts w:cs="Arial"/>
          <w:rtl/>
        </w:rPr>
        <w:t xml:space="preserve"> כדי נסבה</w:t>
      </w:r>
      <w:r>
        <w:rPr>
          <w:rFonts w:cs="Arial" w:hint="cs"/>
          <w:rtl/>
        </w:rPr>
        <w:t>,</w:t>
      </w:r>
      <w:r>
        <w:rPr>
          <w:rFonts w:cs="Arial"/>
          <w:rtl/>
        </w:rPr>
        <w:t xml:space="preserve"> אי נמי דמשום דמינים אלו אינם ראויים ליאכל אלא עם שומן ולכן אנו חוששין בהם שמא בשל אותם בקדרה שבשלו בו בשר תיכף אחר בישול הבשר כדי שתפלוט בהם משומן שב</w:t>
      </w:r>
      <w:r>
        <w:rPr>
          <w:rFonts w:cs="Arial" w:hint="cs"/>
          <w:rtl/>
        </w:rPr>
        <w:t>,</w:t>
      </w:r>
      <w:r>
        <w:rPr>
          <w:rFonts w:cs="Arial"/>
          <w:rtl/>
        </w:rPr>
        <w:t>ה וכן הסופגנין אנו חוששין שמא קלו אותם בשומן של נבלה</w:t>
      </w:r>
      <w:r>
        <w:rPr>
          <w:rFonts w:cs="Arial" w:hint="cs"/>
          <w:rtl/>
        </w:rPr>
        <w:t>,</w:t>
      </w:r>
      <w:r>
        <w:rPr>
          <w:rFonts w:cs="Arial"/>
          <w:rtl/>
        </w:rPr>
        <w:t xml:space="preserve"> אבל ההיא דחמאה שבשלו אותה גוים אסורה משום גיעולי גוים איני יודע ליישבה לפי דרך זה דדוחק לומר דחייש שמא יערב בה שומן ויבשלם יחד דאין זה במשמע דבריו</w:t>
      </w:r>
      <w:r>
        <w:rPr>
          <w:rFonts w:cs="Arial" w:hint="cs"/>
          <w:rtl/>
        </w:rPr>
        <w:t>,</w:t>
      </w:r>
      <w:r>
        <w:rPr>
          <w:rFonts w:cs="Arial"/>
          <w:rtl/>
        </w:rPr>
        <w:t xml:space="preserve"> ועוד שכתב כמו שיתבאר ולא אשכחן ליה חששא זו</w:t>
      </w:r>
      <w:r>
        <w:rPr>
          <w:rFonts w:cs="Arial" w:hint="cs"/>
          <w:rtl/>
        </w:rPr>
        <w:t>,</w:t>
      </w:r>
      <w:r>
        <w:rPr>
          <w:rFonts w:cs="Arial"/>
          <w:rtl/>
        </w:rPr>
        <w:t xml:space="preserve"> ולכן נראה שדעתו כמו שכתבתי תחלה דסתם כלים של גוים הם בני יומן.</w:t>
      </w:r>
    </w:p>
  </w:footnote>
  <w:footnote w:id="3080">
    <w:p w14:paraId="5E4DB555" w14:textId="77777777" w:rsidR="004C5A3C" w:rsidRDefault="004C5A3C" w:rsidP="002C39F4">
      <w:pPr>
        <w:pStyle w:val="a5"/>
      </w:pPr>
      <w:r>
        <w:rPr>
          <w:rStyle w:val="a7"/>
        </w:rPr>
        <w:footnoteRef/>
      </w:r>
      <w:r>
        <w:rPr>
          <w:rtl/>
        </w:rPr>
        <w:t xml:space="preserve"> </w:t>
      </w:r>
      <w:r w:rsidRPr="00A02D07">
        <w:rPr>
          <w:rFonts w:cs="Arial"/>
          <w:rtl/>
        </w:rPr>
        <w:t>וטעם דמחזיקין כלי הנכרים שאינן בני יומן פי' א"א הרא"ש ז"ל משום דהוה ספק ספיקא ספק אם נשתמשו בו היום ואפי' אם נשתמשו בו היום שמא נשתמשו בו בדבר הפוגם בעין וכיון דספק ספיקא הוא תלינן להקל ולפי זה ה"ה נמי כלים שלנו שהוא ספק ספיקא תלינן להקל</w:t>
      </w:r>
      <w:r>
        <w:rPr>
          <w:rFonts w:cs="Arial" w:hint="cs"/>
          <w:rtl/>
        </w:rPr>
        <w:t>, טור.</w:t>
      </w:r>
      <w:r>
        <w:rPr>
          <w:rFonts w:hint="cs"/>
          <w:rtl/>
        </w:rPr>
        <w:t xml:space="preserve"> </w:t>
      </w:r>
      <w:r w:rsidRPr="001D01A9">
        <w:rPr>
          <w:rFonts w:cs="Arial"/>
          <w:rtl/>
        </w:rPr>
        <w:t>ועוד נראה טעם אחר משום דמנהגי הגוים כן הוא דמדיחים כליהם יפה והכלי שבישלו בו היום אין מבשלין בו עד למחר</w:t>
      </w:r>
      <w:r>
        <w:rPr>
          <w:rFonts w:cs="Arial" w:hint="cs"/>
          <w:rtl/>
        </w:rPr>
        <w:t>, הגשע"ד (סי' נט סק"א).</w:t>
      </w:r>
    </w:p>
  </w:footnote>
  <w:footnote w:id="3081">
    <w:p w14:paraId="66326B33" w14:textId="77777777" w:rsidR="004C5A3C" w:rsidRDefault="004C5A3C" w:rsidP="002C39F4">
      <w:pPr>
        <w:pStyle w:val="a5"/>
        <w:rPr>
          <w:rtl/>
        </w:rPr>
      </w:pPr>
      <w:r>
        <w:rPr>
          <w:rStyle w:val="a7"/>
        </w:rPr>
        <w:footnoteRef/>
      </w:r>
      <w:r>
        <w:rPr>
          <w:rtl/>
        </w:rPr>
        <w:t xml:space="preserve"> </w:t>
      </w:r>
      <w:r>
        <w:rPr>
          <w:rFonts w:cs="Arial"/>
          <w:rtl/>
        </w:rPr>
        <w:t xml:space="preserve">שכתב </w:t>
      </w:r>
      <w:r>
        <w:rPr>
          <w:rFonts w:cs="Arial" w:hint="cs"/>
          <w:rtl/>
        </w:rPr>
        <w:t>ב</w:t>
      </w:r>
      <w:r>
        <w:rPr>
          <w:rFonts w:cs="Arial"/>
          <w:rtl/>
        </w:rPr>
        <w:t xml:space="preserve">פ"ג </w:t>
      </w:r>
      <w:r>
        <w:rPr>
          <w:rFonts w:cs="Arial" w:hint="cs"/>
          <w:rtl/>
        </w:rPr>
        <w:t>(</w:t>
      </w:r>
      <w:r>
        <w:rPr>
          <w:rFonts w:cs="Arial"/>
          <w:rtl/>
        </w:rPr>
        <w:t>מה</w:t>
      </w:r>
      <w:r>
        <w:rPr>
          <w:rFonts w:cs="Arial" w:hint="cs"/>
          <w:rtl/>
        </w:rPr>
        <w:t>מ"א</w:t>
      </w:r>
      <w:r>
        <w:rPr>
          <w:rFonts w:cs="Arial"/>
          <w:rtl/>
        </w:rPr>
        <w:t xml:space="preserve"> הט"ז) </w:t>
      </w:r>
      <w:r>
        <w:rPr>
          <w:rFonts w:cs="Arial" w:hint="cs"/>
          <w:rtl/>
        </w:rPr>
        <w:t>'</w:t>
      </w:r>
      <w:r>
        <w:rPr>
          <w:rFonts w:cs="Arial"/>
          <w:rtl/>
        </w:rPr>
        <w:t>החמאה שבשלו אותה גוים אסורה משום גיעולי גוים כמו שיתבאר</w:t>
      </w:r>
      <w:r>
        <w:rPr>
          <w:rFonts w:cs="Arial" w:hint="cs"/>
          <w:rtl/>
        </w:rPr>
        <w:t>',</w:t>
      </w:r>
      <w:r>
        <w:rPr>
          <w:rFonts w:cs="Arial"/>
          <w:rtl/>
        </w:rPr>
        <w:t xml:space="preserve"> ואילו לדברי האומרים סתם כליהם של גוים אינן בני יומן לית בה משום גיעולי גוים</w:t>
      </w:r>
      <w:r>
        <w:rPr>
          <w:rFonts w:cs="Arial" w:hint="cs"/>
          <w:rtl/>
        </w:rPr>
        <w:t>.</w:t>
      </w:r>
      <w:r>
        <w:rPr>
          <w:rFonts w:cs="Arial"/>
          <w:rtl/>
        </w:rPr>
        <w:t xml:space="preserve"> ועוד שכתב בפי"ז (הכ"ב-כ"ג) ד</w:t>
      </w:r>
      <w:r>
        <w:rPr>
          <w:rFonts w:cs="Arial" w:hint="cs"/>
          <w:rtl/>
        </w:rPr>
        <w:t>-'</w:t>
      </w:r>
      <w:r>
        <w:rPr>
          <w:rFonts w:cs="Arial"/>
          <w:rtl/>
        </w:rPr>
        <w:t>מישחא שליקא ודבש אין בהם משום גיעולי גוים מפני שהבשר פוגמן ומסריחן</w:t>
      </w:r>
      <w:r>
        <w:rPr>
          <w:rFonts w:cs="Arial" w:hint="cs"/>
          <w:rtl/>
        </w:rPr>
        <w:t>',</w:t>
      </w:r>
      <w:r>
        <w:rPr>
          <w:rFonts w:cs="Arial"/>
          <w:rtl/>
        </w:rPr>
        <w:t xml:space="preserve"> וזהו פירוש למה שאמרו בגמרא (לח:) אי משום גיעולי גוים נותן טעם לפגם הוא ומותר</w:t>
      </w:r>
      <w:r>
        <w:rPr>
          <w:rFonts w:cs="Arial" w:hint="cs"/>
          <w:rtl/>
        </w:rPr>
        <w:t>,</w:t>
      </w:r>
      <w:r>
        <w:rPr>
          <w:rFonts w:cs="Arial"/>
          <w:rtl/>
        </w:rPr>
        <w:t xml:space="preserve"> ואם היה סובר דסתם כליהם של גוים אינם בני יומן הוה ליה למימר דמההוא טעמא הוו נותן טעם לפגם</w:t>
      </w:r>
      <w:r>
        <w:rPr>
          <w:rFonts w:cs="Arial" w:hint="cs"/>
          <w:rtl/>
        </w:rPr>
        <w:t>.</w:t>
      </w:r>
      <w:r>
        <w:rPr>
          <w:rFonts w:cs="Arial"/>
          <w:rtl/>
        </w:rPr>
        <w:t xml:space="preserve"> ולפי זה מה שכתב שם בסמוך (הכ"ד) </w:t>
      </w:r>
      <w:r>
        <w:rPr>
          <w:rFonts w:cs="Arial" w:hint="cs"/>
          <w:rtl/>
        </w:rPr>
        <w:t>'</w:t>
      </w:r>
      <w:r>
        <w:rPr>
          <w:rFonts w:cs="Arial"/>
          <w:rtl/>
        </w:rPr>
        <w:t>כוספן של גוים שהוחמו מותר מפני שנותן טעם לפגם הוא</w:t>
      </w:r>
      <w:r>
        <w:rPr>
          <w:rFonts w:cs="Arial" w:hint="cs"/>
          <w:rtl/>
        </w:rPr>
        <w:t>',</w:t>
      </w:r>
      <w:r>
        <w:rPr>
          <w:rFonts w:cs="Arial"/>
          <w:rtl/>
        </w:rPr>
        <w:t xml:space="preserve"> לא משום דסתם כליהם של גוים אינם בני יומן קאמר אלא מפני שהבשר פוגם את הכוספן ומסריחו וכדרך שכתב בשמן ודבש</w:t>
      </w:r>
      <w:r>
        <w:rPr>
          <w:rFonts w:cs="Arial" w:hint="cs"/>
          <w:rtl/>
        </w:rPr>
        <w:t>,</w:t>
      </w:r>
      <w:r>
        <w:rPr>
          <w:rFonts w:cs="Arial"/>
          <w:rtl/>
        </w:rPr>
        <w:t xml:space="preserve"> ועוד שכתב שם (הי"ח) </w:t>
      </w:r>
      <w:r>
        <w:rPr>
          <w:rFonts w:cs="Arial" w:hint="cs"/>
          <w:rtl/>
        </w:rPr>
        <w:t>'</w:t>
      </w:r>
      <w:r>
        <w:rPr>
          <w:rFonts w:cs="Arial"/>
          <w:rtl/>
        </w:rPr>
        <w:t>פולים ואפונים ועדשים וכיוצא בהם ששולקים אותם הגוים ומוכרין אותם אסורים משום גיעולי גוים בכל מקום שמא יבשלו אותם עם הבשר או בקדרה שבשלו בה בשר וכן הסופגנין שקולין אותם הגוים בשמן אסורים אף משום גיעולי גוים</w:t>
      </w:r>
      <w:r>
        <w:rPr>
          <w:rFonts w:cs="Arial" w:hint="cs"/>
          <w:rtl/>
        </w:rPr>
        <w:t>',</w:t>
      </w:r>
      <w:r>
        <w:rPr>
          <w:rFonts w:cs="Arial"/>
          <w:rtl/>
        </w:rPr>
        <w:t xml:space="preserve"> הרי בהדיא שהוא חושש לסתם כלי גוים משום גיעול. ולפי זה מה שכתב שם (ה"ד) גבי לוקח כלים מן הגוים </w:t>
      </w:r>
      <w:r>
        <w:rPr>
          <w:rFonts w:cs="Arial" w:hint="cs"/>
          <w:rtl/>
        </w:rPr>
        <w:t>'</w:t>
      </w:r>
      <w:r>
        <w:rPr>
          <w:rFonts w:cs="Arial"/>
          <w:rtl/>
        </w:rPr>
        <w:t>וכולן שנשתמש בהם עד שלא הרתיח ועד שלא הדיח ועד שלא הלבין מותר שכל השומן שבהם נותן טעם לפגם הוא כמו שביארנו</w:t>
      </w:r>
      <w:r>
        <w:rPr>
          <w:rFonts w:cs="Arial" w:hint="cs"/>
          <w:rtl/>
        </w:rPr>
        <w:t>',</w:t>
      </w:r>
      <w:r>
        <w:rPr>
          <w:rFonts w:cs="Arial"/>
          <w:rtl/>
        </w:rPr>
        <w:t xml:space="preserve"> צריך לומר דבששיהן עד שאינן בני יומן מיירי</w:t>
      </w:r>
      <w:r>
        <w:rPr>
          <w:rFonts w:cs="Arial" w:hint="cs"/>
          <w:rtl/>
        </w:rPr>
        <w:t>,</w:t>
      </w:r>
      <w:r>
        <w:rPr>
          <w:rFonts w:cs="Arial"/>
          <w:rtl/>
        </w:rPr>
        <w:t xml:space="preserve"> וכן צריך לומר על כרחך לדעת האומרים דסתם כלים של גוים חיישינן להו לבני יומן דהא דתניא בסוף ע"ז (עה:) וכולן שנשתמש עד שלא יגעיל ועד שלא ילבן מותר</w:t>
      </w:r>
      <w:r>
        <w:rPr>
          <w:rFonts w:cs="Arial" w:hint="cs"/>
          <w:rtl/>
        </w:rPr>
        <w:t>,</w:t>
      </w:r>
      <w:r>
        <w:rPr>
          <w:rFonts w:cs="Arial"/>
          <w:rtl/>
        </w:rPr>
        <w:t xml:space="preserve"> דבששיהן מיירי הא לאו הכי אסור. ודייק קצת לישנא דהרמב"ם דלכך נתכוון ממה שכתב </w:t>
      </w:r>
      <w:r>
        <w:rPr>
          <w:rFonts w:cs="Arial" w:hint="cs"/>
          <w:rtl/>
        </w:rPr>
        <w:t>'</w:t>
      </w:r>
      <w:r>
        <w:rPr>
          <w:rFonts w:cs="Arial"/>
          <w:rtl/>
        </w:rPr>
        <w:t>שכל השומן שבהם נותן טעם לפגם הוא כמו שביארנו</w:t>
      </w:r>
      <w:r>
        <w:rPr>
          <w:rFonts w:cs="Arial" w:hint="cs"/>
          <w:rtl/>
        </w:rPr>
        <w:t>',</w:t>
      </w:r>
      <w:r>
        <w:rPr>
          <w:rFonts w:cs="Arial"/>
          <w:rtl/>
        </w:rPr>
        <w:t xml:space="preserve"> והוא לא כתב לא לפניו ולא לאחריו דסתם כלים של גוים אינן בני יומן</w:t>
      </w:r>
      <w:r>
        <w:rPr>
          <w:rFonts w:cs="Arial" w:hint="cs"/>
          <w:rtl/>
        </w:rPr>
        <w:t>,</w:t>
      </w:r>
      <w:r>
        <w:rPr>
          <w:rFonts w:cs="Arial"/>
          <w:rtl/>
        </w:rPr>
        <w:t xml:space="preserve"> וא</w:t>
      </w:r>
      <w:r>
        <w:rPr>
          <w:rFonts w:cs="Arial" w:hint="cs"/>
          <w:rtl/>
        </w:rPr>
        <w:t>"</w:t>
      </w:r>
      <w:r>
        <w:rPr>
          <w:rFonts w:cs="Arial"/>
          <w:rtl/>
        </w:rPr>
        <w:t>כ צריך לומר דכמו שביארנו</w:t>
      </w:r>
      <w:r>
        <w:rPr>
          <w:rFonts w:cs="Arial" w:hint="cs"/>
          <w:rtl/>
        </w:rPr>
        <w:t>,</w:t>
      </w:r>
      <w:r>
        <w:rPr>
          <w:rFonts w:cs="Arial"/>
          <w:rtl/>
        </w:rPr>
        <w:t xml:space="preserve"> לא קאי אלא למה שכתב (שם ה"ב) ש</w:t>
      </w:r>
      <w:r>
        <w:rPr>
          <w:rFonts w:cs="Arial" w:hint="cs"/>
          <w:rtl/>
        </w:rPr>
        <w:t>-'</w:t>
      </w:r>
      <w:r>
        <w:rPr>
          <w:rFonts w:cs="Arial"/>
          <w:rtl/>
        </w:rPr>
        <w:t>לא אסרה תורה אלא קדרה בת יומא הואיל ועדיין לא נפגם השומן ומדברי סופרים לא יבשל בה לעולם לפיכך אין לוקחין כלי חרס ישנים מן הגוים וכו' ואם לקח ובישל מיום שני והלאה התבשיל מותר</w:t>
      </w:r>
      <w:r>
        <w:rPr>
          <w:rFonts w:cs="Arial" w:hint="cs"/>
          <w:rtl/>
        </w:rPr>
        <w:t>',</w:t>
      </w:r>
      <w:r>
        <w:rPr>
          <w:rFonts w:cs="Arial"/>
          <w:rtl/>
        </w:rPr>
        <w:t xml:space="preserve"> והיינו בודאי כשהוא יודע שאינה בת יומא</w:t>
      </w:r>
      <w:r>
        <w:rPr>
          <w:rFonts w:cs="Arial" w:hint="cs"/>
          <w:rtl/>
        </w:rPr>
        <w:t>,</w:t>
      </w:r>
      <w:r>
        <w:rPr>
          <w:rFonts w:cs="Arial"/>
          <w:rtl/>
        </w:rPr>
        <w:t xml:space="preserve"> כנ"ל</w:t>
      </w:r>
      <w:r>
        <w:rPr>
          <w:rFonts w:cs="Arial" w:hint="cs"/>
          <w:rtl/>
        </w:rPr>
        <w:t>, ב"י</w:t>
      </w:r>
      <w:r>
        <w:rPr>
          <w:rFonts w:cs="Arial"/>
          <w:rtl/>
        </w:rPr>
        <w:t>.</w:t>
      </w:r>
    </w:p>
  </w:footnote>
  <w:footnote w:id="3082">
    <w:p w14:paraId="37475DE4" w14:textId="77777777" w:rsidR="004C5A3C" w:rsidRDefault="004C5A3C" w:rsidP="002C39F4">
      <w:pPr>
        <w:pStyle w:val="a5"/>
        <w:rPr>
          <w:rtl/>
        </w:rPr>
      </w:pPr>
      <w:r>
        <w:rPr>
          <w:rStyle w:val="a7"/>
        </w:rPr>
        <w:footnoteRef/>
      </w:r>
      <w:r>
        <w:rPr>
          <w:rtl/>
        </w:rPr>
        <w:t xml:space="preserve"> </w:t>
      </w:r>
      <w:r>
        <w:rPr>
          <w:rFonts w:cs="Arial"/>
          <w:rtl/>
        </w:rPr>
        <w:t xml:space="preserve">וכתב הר"ן (שם) </w:t>
      </w:r>
      <w:r>
        <w:rPr>
          <w:rFonts w:cs="Arial" w:hint="cs"/>
          <w:rtl/>
        </w:rPr>
        <w:t xml:space="preserve">על דבריהם וז"ל- </w:t>
      </w:r>
      <w:r>
        <w:rPr>
          <w:rFonts w:cs="Arial"/>
          <w:rtl/>
        </w:rPr>
        <w:t>ואין זה מחוור שכיון שהוזכרו בגמרא הרבה פת ושמן קפריסין וקפלוטאות וחמין וכוספן ואהיני דוחק הוא לומר שכל אלו נפגמין בבני יומן ושנחוש לכל הדברים שלא הוזכרו בגמרא</w:t>
      </w:r>
      <w:r>
        <w:rPr>
          <w:rFonts w:cs="Arial" w:hint="cs"/>
          <w:rtl/>
        </w:rPr>
        <w:t>,</w:t>
      </w:r>
      <w:r>
        <w:rPr>
          <w:rFonts w:cs="Arial"/>
          <w:rtl/>
        </w:rPr>
        <w:t xml:space="preserve"> אלא ודאי לכלי בן יומו לא חיישינן</w:t>
      </w:r>
      <w:r>
        <w:rPr>
          <w:rFonts w:hint="cs"/>
          <w:rtl/>
        </w:rPr>
        <w:t>.</w:t>
      </w:r>
    </w:p>
  </w:footnote>
  <w:footnote w:id="3083">
    <w:p w14:paraId="47E9CFEA" w14:textId="77777777" w:rsidR="004C5A3C" w:rsidRDefault="004C5A3C" w:rsidP="002C39F4">
      <w:pPr>
        <w:pStyle w:val="a5"/>
      </w:pPr>
      <w:r>
        <w:rPr>
          <w:rStyle w:val="a7"/>
        </w:rPr>
        <w:footnoteRef/>
      </w:r>
      <w:r>
        <w:rPr>
          <w:rtl/>
        </w:rPr>
        <w:t xml:space="preserve"> </w:t>
      </w:r>
      <w:r w:rsidRPr="00A37D0A">
        <w:rPr>
          <w:rFonts w:cs="Arial"/>
          <w:rtl/>
        </w:rPr>
        <w:t>מין פירי הוא שקורין לזר"א בלע"ז</w:t>
      </w:r>
      <w:r>
        <w:rPr>
          <w:rFonts w:cs="Arial" w:hint="cs"/>
          <w:rtl/>
        </w:rPr>
        <w:t>,</w:t>
      </w:r>
      <w:r w:rsidRPr="00A37D0A">
        <w:rPr>
          <w:rFonts w:cs="Arial"/>
          <w:rtl/>
        </w:rPr>
        <w:t xml:space="preserve"> ומחתכין את קרטיו בסכין</w:t>
      </w:r>
      <w:r>
        <w:rPr>
          <w:rFonts w:cs="Arial" w:hint="cs"/>
          <w:rtl/>
        </w:rPr>
        <w:t>,</w:t>
      </w:r>
      <w:r w:rsidRPr="00A37D0A">
        <w:rPr>
          <w:rFonts w:cs="Arial"/>
          <w:rtl/>
        </w:rPr>
        <w:t xml:space="preserve"> ואסור משום שמנוניתא דסכינא</w:t>
      </w:r>
      <w:r>
        <w:rPr>
          <w:rFonts w:cs="Arial" w:hint="cs"/>
          <w:rtl/>
        </w:rPr>
        <w:t>, רש"י.</w:t>
      </w:r>
    </w:p>
  </w:footnote>
  <w:footnote w:id="3084">
    <w:p w14:paraId="6FDA26E9" w14:textId="77777777" w:rsidR="004C5A3C" w:rsidRDefault="004C5A3C" w:rsidP="002C39F4">
      <w:pPr>
        <w:pStyle w:val="a5"/>
        <w:rPr>
          <w:rtl/>
        </w:rPr>
      </w:pPr>
      <w:r>
        <w:rPr>
          <w:rStyle w:val="a7"/>
        </w:rPr>
        <w:footnoteRef/>
      </w:r>
      <w:r>
        <w:rPr>
          <w:rtl/>
        </w:rPr>
        <w:t xml:space="preserve"> </w:t>
      </w:r>
      <w:r>
        <w:rPr>
          <w:rFonts w:hint="cs"/>
          <w:rtl/>
        </w:rPr>
        <w:t xml:space="preserve">הביא הר"ן את דבריו וכ'- </w:t>
      </w:r>
      <w:r w:rsidRPr="00CB4E5B">
        <w:rPr>
          <w:rFonts w:cs="Arial"/>
          <w:rtl/>
        </w:rPr>
        <w:t>ואינו מחוור</w:t>
      </w:r>
      <w:r>
        <w:rPr>
          <w:rFonts w:cs="Arial" w:hint="cs"/>
          <w:rtl/>
        </w:rPr>
        <w:t xml:space="preserve"> לי.</w:t>
      </w:r>
    </w:p>
  </w:footnote>
  <w:footnote w:id="3085">
    <w:p w14:paraId="1F13AFDC" w14:textId="77777777" w:rsidR="004C5A3C" w:rsidRDefault="004C5A3C" w:rsidP="002C39F4">
      <w:pPr>
        <w:pStyle w:val="a5"/>
        <w:rPr>
          <w:rtl/>
        </w:rPr>
      </w:pPr>
      <w:r>
        <w:rPr>
          <w:rStyle w:val="a7"/>
        </w:rPr>
        <w:footnoteRef/>
      </w:r>
      <w:r>
        <w:rPr>
          <w:rtl/>
        </w:rPr>
        <w:t xml:space="preserve"> </w:t>
      </w:r>
      <w:r w:rsidRPr="00221763">
        <w:rPr>
          <w:rFonts w:cs="Arial" w:hint="cs"/>
          <w:rtl/>
        </w:rPr>
        <w:t>רשב"א</w:t>
      </w:r>
      <w:r w:rsidRPr="00221763">
        <w:rPr>
          <w:rFonts w:cs="Arial"/>
          <w:rtl/>
        </w:rPr>
        <w:t xml:space="preserve"> </w:t>
      </w:r>
      <w:r w:rsidRPr="00221763">
        <w:rPr>
          <w:rFonts w:cs="Arial"/>
          <w:sz w:val="16"/>
          <w:szCs w:val="16"/>
          <w:rtl/>
        </w:rPr>
        <w:t>(</w:t>
      </w:r>
      <w:r w:rsidRPr="00221763">
        <w:rPr>
          <w:rFonts w:cs="Arial" w:hint="cs"/>
          <w:sz w:val="16"/>
          <w:szCs w:val="16"/>
          <w:rtl/>
        </w:rPr>
        <w:t>תוה"ק</w:t>
      </w:r>
      <w:r w:rsidRPr="00221763">
        <w:rPr>
          <w:rFonts w:cs="Arial"/>
          <w:sz w:val="16"/>
          <w:szCs w:val="16"/>
          <w:rtl/>
        </w:rPr>
        <w:t xml:space="preserve"> ב"ד ש"ד לו.</w:t>
      </w:r>
      <w:r>
        <w:rPr>
          <w:rFonts w:cs="Arial" w:hint="cs"/>
          <w:sz w:val="16"/>
          <w:szCs w:val="16"/>
          <w:rtl/>
        </w:rPr>
        <w:t>, ובארוך שם לט.</w:t>
      </w:r>
      <w:r w:rsidRPr="00221763">
        <w:rPr>
          <w:rFonts w:cs="Arial"/>
          <w:sz w:val="16"/>
          <w:szCs w:val="16"/>
          <w:rtl/>
        </w:rPr>
        <w:t>)</w:t>
      </w:r>
      <w:r w:rsidRPr="00221763">
        <w:rPr>
          <w:rFonts w:cs="Arial" w:hint="cs"/>
          <w:rtl/>
        </w:rPr>
        <w:t xml:space="preserve"> </w:t>
      </w:r>
      <w:r>
        <w:rPr>
          <w:rFonts w:cs="Arial" w:hint="cs"/>
          <w:rtl/>
        </w:rPr>
        <w:t xml:space="preserve">טור </w:t>
      </w:r>
      <w:r>
        <w:rPr>
          <w:rFonts w:cs="Arial" w:hint="cs"/>
          <w:sz w:val="16"/>
          <w:szCs w:val="16"/>
          <w:rtl/>
        </w:rPr>
        <w:t>(</w:t>
      </w:r>
      <w:r w:rsidRPr="00221763">
        <w:rPr>
          <w:rFonts w:cs="Arial" w:hint="cs"/>
          <w:sz w:val="16"/>
          <w:szCs w:val="16"/>
          <w:rtl/>
        </w:rPr>
        <w:t>העתיק את דברי הרשב"א</w:t>
      </w:r>
      <w:r w:rsidRPr="00221763">
        <w:rPr>
          <w:rFonts w:cs="Arial"/>
          <w:sz w:val="16"/>
          <w:szCs w:val="16"/>
          <w:rtl/>
        </w:rPr>
        <w:t>)</w:t>
      </w:r>
      <w:r>
        <w:rPr>
          <w:rFonts w:cs="Arial" w:hint="cs"/>
          <w:sz w:val="16"/>
          <w:szCs w:val="16"/>
          <w:rtl/>
        </w:rPr>
        <w:t xml:space="preserve"> </w:t>
      </w:r>
      <w:r w:rsidRPr="00221763">
        <w:rPr>
          <w:rFonts w:cs="Arial" w:hint="cs"/>
          <w:rtl/>
        </w:rPr>
        <w:t>ו</w:t>
      </w:r>
      <w:r w:rsidRPr="00221763">
        <w:rPr>
          <w:rFonts w:cs="Arial"/>
          <w:rtl/>
        </w:rPr>
        <w:t xml:space="preserve">ר"ן </w:t>
      </w:r>
      <w:r w:rsidRPr="00221763">
        <w:rPr>
          <w:rFonts w:cs="Arial" w:hint="cs"/>
          <w:sz w:val="16"/>
          <w:szCs w:val="16"/>
          <w:rtl/>
        </w:rPr>
        <w:t>(</w:t>
      </w:r>
      <w:r w:rsidRPr="00221763">
        <w:rPr>
          <w:rFonts w:cs="Arial"/>
          <w:sz w:val="16"/>
          <w:szCs w:val="16"/>
          <w:rtl/>
        </w:rPr>
        <w:t>חולין א: ד"ה גרסי'</w:t>
      </w:r>
      <w:r w:rsidRPr="00221763">
        <w:rPr>
          <w:rFonts w:cs="Arial" w:hint="cs"/>
          <w:sz w:val="16"/>
          <w:szCs w:val="16"/>
          <w:rtl/>
        </w:rPr>
        <w:t>, העתיק את דברי הרשב"א בארוך</w:t>
      </w:r>
      <w:r w:rsidRPr="00221763">
        <w:rPr>
          <w:rFonts w:cs="Arial"/>
          <w:sz w:val="16"/>
          <w:szCs w:val="16"/>
          <w:rtl/>
        </w:rPr>
        <w:t>)</w:t>
      </w:r>
      <w:r>
        <w:rPr>
          <w:rFonts w:hint="cs"/>
          <w:rtl/>
        </w:rPr>
        <w:t>.</w:t>
      </w:r>
    </w:p>
  </w:footnote>
  <w:footnote w:id="3086">
    <w:p w14:paraId="514E3E19" w14:textId="77777777" w:rsidR="004C5A3C" w:rsidRDefault="004C5A3C" w:rsidP="002C39F4">
      <w:pPr>
        <w:pStyle w:val="a5"/>
      </w:pPr>
      <w:r>
        <w:rPr>
          <w:rStyle w:val="a7"/>
        </w:rPr>
        <w:footnoteRef/>
      </w:r>
      <w:r>
        <w:rPr>
          <w:rtl/>
        </w:rPr>
        <w:t xml:space="preserve"> </w:t>
      </w:r>
      <w:r w:rsidRPr="00221763">
        <w:rPr>
          <w:rFonts w:cs="Arial"/>
          <w:rtl/>
        </w:rPr>
        <w:t>והביא בתו</w:t>
      </w:r>
      <w:r w:rsidRPr="00221763">
        <w:rPr>
          <w:rFonts w:cs="Arial" w:hint="cs"/>
          <w:rtl/>
        </w:rPr>
        <w:t>ה"א</w:t>
      </w:r>
      <w:r w:rsidRPr="00221763">
        <w:rPr>
          <w:rFonts w:cs="Arial"/>
          <w:rtl/>
        </w:rPr>
        <w:t xml:space="preserve"> (שם לט.) ראיה לאסור מדאמרינן בריש חולין (ו.) גבי הנותן לשכנתו עיסה לאפות וכו' שאני התם כיון דקאמר לה עשי משליכי כמאן דערב בידים דמי והא התם דתערובת דמאי היתר גמור הוא כדאיתא התם ואפילו הכי כדאמר לה עשי משליכי אסור וחושש משום מעשר</w:t>
      </w:r>
      <w:r w:rsidRPr="00221763">
        <w:rPr>
          <w:rFonts w:cs="Arial" w:hint="cs"/>
          <w:rtl/>
        </w:rPr>
        <w:t>,</w:t>
      </w:r>
      <w:r w:rsidRPr="00221763">
        <w:rPr>
          <w:rFonts w:cs="Arial"/>
          <w:rtl/>
        </w:rPr>
        <w:t xml:space="preserve"> והכא נמי א</w:t>
      </w:r>
      <w:r w:rsidRPr="00221763">
        <w:rPr>
          <w:rFonts w:cs="Arial" w:hint="cs"/>
          <w:rtl/>
        </w:rPr>
        <w:t>ע"פ</w:t>
      </w:r>
      <w:r w:rsidRPr="00221763">
        <w:rPr>
          <w:rFonts w:cs="Arial"/>
          <w:rtl/>
        </w:rPr>
        <w:t xml:space="preserve"> שלא אסרו פליטת כלי שאינו בן יומא בדיעבד</w:t>
      </w:r>
      <w:r w:rsidRPr="00221763">
        <w:rPr>
          <w:rFonts w:cs="Arial" w:hint="cs"/>
          <w:rtl/>
        </w:rPr>
        <w:t>,</w:t>
      </w:r>
      <w:r w:rsidRPr="00221763">
        <w:rPr>
          <w:rFonts w:cs="Arial"/>
          <w:rtl/>
        </w:rPr>
        <w:t xml:space="preserve"> כיון דלכתחלה אסור כל שאמר לגוי עשה לי כמאן דמבשל ומבטל האיסור לכתחלה דמי</w:t>
      </w:r>
      <w:r>
        <w:rPr>
          <w:rFonts w:cs="Arial" w:hint="cs"/>
          <w:rtl/>
        </w:rPr>
        <w:t>.</w:t>
      </w:r>
    </w:p>
  </w:footnote>
  <w:footnote w:id="3087">
    <w:p w14:paraId="41B1213E" w14:textId="77777777" w:rsidR="004C5A3C" w:rsidRDefault="004C5A3C" w:rsidP="002C39F4">
      <w:pPr>
        <w:pStyle w:val="a5"/>
        <w:rPr>
          <w:rtl/>
        </w:rPr>
      </w:pPr>
      <w:r>
        <w:rPr>
          <w:rStyle w:val="a7"/>
        </w:rPr>
        <w:footnoteRef/>
      </w:r>
      <w:r>
        <w:rPr>
          <w:rtl/>
        </w:rPr>
        <w:t xml:space="preserve"> </w:t>
      </w:r>
      <w:r w:rsidRPr="00221763">
        <w:rPr>
          <w:rFonts w:cs="Arial"/>
          <w:rtl/>
        </w:rPr>
        <w:t>כיון דלכתחלה אסור כל שאמר לגוי עשה לי כמאן דמבשל ומבטל האיסור לכתחלה דמי</w:t>
      </w:r>
      <w:r>
        <w:rPr>
          <w:rFonts w:cs="Arial" w:hint="cs"/>
          <w:rtl/>
        </w:rPr>
        <w:t>,</w:t>
      </w:r>
      <w:r w:rsidRPr="00221763">
        <w:rPr>
          <w:rFonts w:cs="Arial"/>
          <w:rtl/>
        </w:rPr>
        <w:t xml:space="preserve"> ואסור אפילו בדיעבד למי שעשה כן ולמי שעשה בשבילו</w:t>
      </w:r>
      <w:r>
        <w:rPr>
          <w:rFonts w:cs="Arial" w:hint="cs"/>
          <w:rtl/>
        </w:rPr>
        <w:t>, רשב"א</w:t>
      </w:r>
      <w:r>
        <w:rPr>
          <w:rFonts w:cs="Arial" w:hint="cs"/>
          <w:sz w:val="16"/>
          <w:szCs w:val="16"/>
          <w:rtl/>
        </w:rPr>
        <w:t xml:space="preserve"> (בתוה"א)</w:t>
      </w:r>
      <w:r w:rsidRPr="00221763">
        <w:rPr>
          <w:rFonts w:cs="Arial"/>
          <w:rtl/>
        </w:rPr>
        <w:t>.</w:t>
      </w:r>
    </w:p>
  </w:footnote>
  <w:footnote w:id="3088">
    <w:p w14:paraId="43553166" w14:textId="77777777" w:rsidR="004C5A3C" w:rsidRDefault="004C5A3C" w:rsidP="002C39F4">
      <w:pPr>
        <w:pStyle w:val="a5"/>
      </w:pPr>
      <w:r>
        <w:rPr>
          <w:rStyle w:val="a7"/>
        </w:rPr>
        <w:footnoteRef/>
      </w:r>
      <w:r>
        <w:rPr>
          <w:rtl/>
        </w:rPr>
        <w:t xml:space="preserve"> </w:t>
      </w:r>
      <w:r w:rsidRPr="00221763">
        <w:rPr>
          <w:rFonts w:cs="Arial"/>
          <w:rtl/>
        </w:rPr>
        <w:t>ואולי על זה סמכו בדורות האלו לנהוג היתר בדבר הזה</w:t>
      </w:r>
      <w:r w:rsidRPr="00221763">
        <w:rPr>
          <w:rFonts w:cs="Arial" w:hint="cs"/>
          <w:rtl/>
        </w:rPr>
        <w:t>,</w:t>
      </w:r>
      <w:r w:rsidRPr="00221763">
        <w:rPr>
          <w:rFonts w:cs="Arial"/>
          <w:rtl/>
        </w:rPr>
        <w:t xml:space="preserve"> וא</w:t>
      </w:r>
      <w:r w:rsidRPr="00221763">
        <w:rPr>
          <w:rFonts w:cs="Arial" w:hint="cs"/>
          <w:rtl/>
        </w:rPr>
        <w:t>ע"פ</w:t>
      </w:r>
      <w:r w:rsidRPr="00221763">
        <w:rPr>
          <w:rFonts w:cs="Arial"/>
          <w:rtl/>
        </w:rPr>
        <w:t xml:space="preserve"> שלא נראה לי מעיקר הגמרא</w:t>
      </w:r>
      <w:r w:rsidRPr="00221763">
        <w:rPr>
          <w:rFonts w:cs="Arial" w:hint="cs"/>
          <w:rtl/>
        </w:rPr>
        <w:t>,</w:t>
      </w:r>
      <w:r w:rsidRPr="00221763">
        <w:rPr>
          <w:rFonts w:cs="Arial"/>
          <w:rtl/>
        </w:rPr>
        <w:t xml:space="preserve"> שהרי חלתית של גוים אסור משום דמחתכי לה בסכינא דארמאי ושמנן לשמואל משום זליפתן של גוים אסרוהו ולא חילקו בין לקחו מן הסיטון לניקח מבעל הבית וניקח מחנוני</w:t>
      </w:r>
      <w:r>
        <w:rPr>
          <w:rFonts w:cs="Arial" w:hint="cs"/>
          <w:rtl/>
        </w:rPr>
        <w:t>, רשב"א</w:t>
      </w:r>
      <w:r>
        <w:rPr>
          <w:rFonts w:cs="Arial" w:hint="cs"/>
          <w:sz w:val="16"/>
          <w:szCs w:val="16"/>
          <w:rtl/>
        </w:rPr>
        <w:t xml:space="preserve"> (בתוה"א)</w:t>
      </w:r>
      <w:r w:rsidRPr="00221763">
        <w:rPr>
          <w:rFonts w:cs="Arial"/>
          <w:rtl/>
        </w:rPr>
        <w:t>.</w:t>
      </w:r>
    </w:p>
  </w:footnote>
  <w:footnote w:id="3089">
    <w:p w14:paraId="3654E2C8" w14:textId="77777777" w:rsidR="004C5A3C" w:rsidRDefault="004C5A3C" w:rsidP="002C39F4">
      <w:pPr>
        <w:pStyle w:val="a5"/>
      </w:pPr>
      <w:r>
        <w:rPr>
          <w:rStyle w:val="a7"/>
        </w:rPr>
        <w:footnoteRef/>
      </w:r>
      <w:r>
        <w:rPr>
          <w:rtl/>
        </w:rPr>
        <w:t xml:space="preserve"> </w:t>
      </w:r>
      <w:r w:rsidRPr="004F55CE">
        <w:rPr>
          <w:rFonts w:cs="Arial"/>
          <w:rtl/>
        </w:rPr>
        <w:t>הטעם כתבו הפוסקים דהוי ספק ספיקא</w:t>
      </w:r>
      <w:r>
        <w:rPr>
          <w:rFonts w:cs="Arial" w:hint="cs"/>
          <w:rtl/>
        </w:rPr>
        <w:t>,</w:t>
      </w:r>
      <w:r w:rsidRPr="004F55CE">
        <w:rPr>
          <w:rFonts w:cs="Arial"/>
          <w:rtl/>
        </w:rPr>
        <w:t xml:space="preserve"> ספק נשתמשו בו היום או אתמול</w:t>
      </w:r>
      <w:r>
        <w:rPr>
          <w:rFonts w:cs="Arial" w:hint="cs"/>
          <w:rtl/>
        </w:rPr>
        <w:t>,</w:t>
      </w:r>
      <w:r w:rsidRPr="004F55CE">
        <w:rPr>
          <w:rFonts w:cs="Arial"/>
          <w:rtl/>
        </w:rPr>
        <w:t xml:space="preserve"> ואת"ל נשתמשו בו היום שמא נשתמשו בו בדבר שהוא פוגם בעין או שהוא אין נ"ט</w:t>
      </w:r>
      <w:r>
        <w:rPr>
          <w:rFonts w:cs="Arial" w:hint="cs"/>
          <w:rtl/>
        </w:rPr>
        <w:t>,</w:t>
      </w:r>
      <w:r w:rsidRPr="004F55CE">
        <w:rPr>
          <w:rFonts w:cs="Arial"/>
          <w:rtl/>
        </w:rPr>
        <w:t xml:space="preserve"> ומה</w:t>
      </w:r>
      <w:r>
        <w:rPr>
          <w:rFonts w:cs="Arial" w:hint="cs"/>
          <w:rtl/>
        </w:rPr>
        <w:t xml:space="preserve">אי </w:t>
      </w:r>
      <w:r w:rsidRPr="004F55CE">
        <w:rPr>
          <w:rFonts w:cs="Arial"/>
          <w:rtl/>
        </w:rPr>
        <w:t>ט</w:t>
      </w:r>
      <w:r>
        <w:rPr>
          <w:rFonts w:cs="Arial" w:hint="cs"/>
          <w:rtl/>
        </w:rPr>
        <w:t>עמא</w:t>
      </w:r>
      <w:r w:rsidRPr="004F55CE">
        <w:rPr>
          <w:rFonts w:cs="Arial"/>
          <w:rtl/>
        </w:rPr>
        <w:t xml:space="preserve"> אסור לבשל לכתחלה בכלים של </w:t>
      </w:r>
      <w:r>
        <w:rPr>
          <w:rFonts w:cs="Arial" w:hint="cs"/>
          <w:rtl/>
        </w:rPr>
        <w:t>גו</w:t>
      </w:r>
      <w:r w:rsidRPr="004F55CE">
        <w:rPr>
          <w:rFonts w:cs="Arial"/>
          <w:rtl/>
        </w:rPr>
        <w:t>ים דליכא אלא חדא ספיקא דקדרה שאינה ב"י אסור לכתחלה</w:t>
      </w:r>
      <w:r>
        <w:rPr>
          <w:rFonts w:cs="Arial" w:hint="cs"/>
          <w:rtl/>
        </w:rPr>
        <w:t>, ש"ך (סק"ד).</w:t>
      </w:r>
    </w:p>
  </w:footnote>
  <w:footnote w:id="3090">
    <w:p w14:paraId="718CEC7E" w14:textId="77777777" w:rsidR="004C5A3C" w:rsidRDefault="004C5A3C" w:rsidP="002C39F4">
      <w:pPr>
        <w:pStyle w:val="a5"/>
      </w:pPr>
      <w:r>
        <w:rPr>
          <w:rStyle w:val="a7"/>
        </w:rPr>
        <w:footnoteRef/>
      </w:r>
      <w:r>
        <w:rPr>
          <w:rtl/>
        </w:rPr>
        <w:t xml:space="preserve"> </w:t>
      </w:r>
      <w:r w:rsidRPr="004F55CE">
        <w:rPr>
          <w:rFonts w:asciiTheme="minorBidi" w:hAnsiTheme="minorBidi" w:cs="Arial"/>
          <w:rtl/>
        </w:rPr>
        <w:t>ואע</w:t>
      </w:r>
      <w:r>
        <w:rPr>
          <w:rFonts w:asciiTheme="minorBidi" w:hAnsiTheme="minorBidi" w:cs="Arial" w:hint="cs"/>
          <w:rtl/>
        </w:rPr>
        <w:t>"</w:t>
      </w:r>
      <w:r w:rsidRPr="004F55CE">
        <w:rPr>
          <w:rFonts w:asciiTheme="minorBidi" w:hAnsiTheme="minorBidi" w:cs="Arial"/>
          <w:rtl/>
        </w:rPr>
        <w:t xml:space="preserve">פ שאין אנו חוששים לדבריו של </w:t>
      </w:r>
      <w:r>
        <w:rPr>
          <w:rFonts w:asciiTheme="minorBidi" w:hAnsiTheme="minorBidi" w:cs="Arial" w:hint="cs"/>
          <w:rtl/>
        </w:rPr>
        <w:t>גוי</w:t>
      </w:r>
      <w:r w:rsidRPr="004F55CE">
        <w:rPr>
          <w:rFonts w:asciiTheme="minorBidi" w:hAnsiTheme="minorBidi" w:cs="Arial"/>
          <w:rtl/>
        </w:rPr>
        <w:t xml:space="preserve"> לא לאסור ולא להתיר היינו לאותו דבר שהיה כבר בחזקת כשרות</w:t>
      </w:r>
      <w:r>
        <w:rPr>
          <w:rFonts w:asciiTheme="minorBidi" w:hAnsiTheme="minorBidi" w:cs="Arial" w:hint="cs"/>
          <w:rtl/>
        </w:rPr>
        <w:t>,</w:t>
      </w:r>
      <w:r w:rsidRPr="004F55CE">
        <w:rPr>
          <w:rFonts w:asciiTheme="minorBidi" w:hAnsiTheme="minorBidi" w:cs="Arial"/>
          <w:rtl/>
        </w:rPr>
        <w:t xml:space="preserve"> אבל הכא שכבר הורע חזקה שסתם כלי </w:t>
      </w:r>
      <w:r>
        <w:rPr>
          <w:rFonts w:asciiTheme="minorBidi" w:hAnsiTheme="minorBidi" w:cs="Arial" w:hint="cs"/>
          <w:rtl/>
        </w:rPr>
        <w:t>גוי</w:t>
      </w:r>
      <w:r w:rsidRPr="004F55CE">
        <w:rPr>
          <w:rFonts w:asciiTheme="minorBidi" w:hAnsiTheme="minorBidi" w:cs="Arial"/>
          <w:rtl/>
        </w:rPr>
        <w:t xml:space="preserve"> בלועי</w:t>
      </w:r>
      <w:r>
        <w:rPr>
          <w:rFonts w:asciiTheme="minorBidi" w:hAnsiTheme="minorBidi" w:cs="Arial" w:hint="cs"/>
          <w:rtl/>
        </w:rPr>
        <w:t>ם</w:t>
      </w:r>
      <w:r w:rsidRPr="004F55CE">
        <w:rPr>
          <w:rFonts w:asciiTheme="minorBidi" w:hAnsiTheme="minorBidi" w:cs="Arial"/>
          <w:rtl/>
        </w:rPr>
        <w:t xml:space="preserve"> באיסור רק מכח ספק ספיקא באת להתיר הלכך סמכי</w:t>
      </w:r>
      <w:r>
        <w:rPr>
          <w:rFonts w:asciiTheme="minorBidi" w:hAnsiTheme="minorBidi" w:cs="Arial" w:hint="cs"/>
          <w:rtl/>
        </w:rPr>
        <w:t>נן</w:t>
      </w:r>
      <w:r w:rsidRPr="004F55CE">
        <w:rPr>
          <w:rFonts w:asciiTheme="minorBidi" w:hAnsiTheme="minorBidi" w:cs="Arial"/>
          <w:rtl/>
        </w:rPr>
        <w:t xml:space="preserve"> אדבורו</w:t>
      </w:r>
      <w:r>
        <w:rPr>
          <w:rFonts w:asciiTheme="minorBidi" w:hAnsiTheme="minorBidi" w:cs="Arial" w:hint="cs"/>
          <w:rtl/>
        </w:rPr>
        <w:t>,</w:t>
      </w:r>
      <w:r w:rsidRPr="004F55CE">
        <w:rPr>
          <w:rFonts w:asciiTheme="minorBidi" w:hAnsiTheme="minorBidi" w:cs="Arial"/>
          <w:rtl/>
        </w:rPr>
        <w:t xml:space="preserve"> ועוד הא דלא סמכינן אדבריו של </w:t>
      </w:r>
      <w:r>
        <w:rPr>
          <w:rFonts w:asciiTheme="minorBidi" w:hAnsiTheme="minorBidi" w:cs="Arial" w:hint="cs"/>
          <w:rtl/>
        </w:rPr>
        <w:t>גוי</w:t>
      </w:r>
      <w:r w:rsidRPr="004F55CE">
        <w:rPr>
          <w:rFonts w:asciiTheme="minorBidi" w:hAnsiTheme="minorBidi" w:cs="Arial"/>
          <w:rtl/>
        </w:rPr>
        <w:t xml:space="preserve"> היינו היכא שבא להשביח מקחו שאמר של ערלה הם כדאיתא בש"ס</w:t>
      </w:r>
      <w:r>
        <w:rPr>
          <w:rFonts w:asciiTheme="minorBidi" w:hAnsiTheme="minorBidi" w:cs="Arial" w:hint="cs"/>
          <w:rtl/>
        </w:rPr>
        <w:t>, רש"ל. ודחה הט"ז (סק"ד) את כל דבריו.</w:t>
      </w:r>
    </w:p>
  </w:footnote>
  <w:footnote w:id="3091">
    <w:p w14:paraId="465995CF" w14:textId="77777777" w:rsidR="004C5A3C" w:rsidRDefault="004C5A3C" w:rsidP="002C39F4">
      <w:pPr>
        <w:pStyle w:val="a5"/>
        <w:rPr>
          <w:rtl/>
        </w:rPr>
      </w:pPr>
      <w:r>
        <w:rPr>
          <w:rStyle w:val="a7"/>
        </w:rPr>
        <w:footnoteRef/>
      </w:r>
      <w:r>
        <w:rPr>
          <w:rtl/>
        </w:rPr>
        <w:t xml:space="preserve"> </w:t>
      </w:r>
      <w:r w:rsidRPr="008B1F84">
        <w:rPr>
          <w:rFonts w:cs="Arial"/>
          <w:rtl/>
        </w:rPr>
        <w:t>ונראה לומר דלא שייך קנס אלא באותו ישראל דהקדרה שלו והוי ליה לידע אבל בישראל אחר לא שייך קנס כדלעיל סימן צ"ט (עמ' תמג)</w:t>
      </w:r>
      <w:r>
        <w:rPr>
          <w:rFonts w:hint="cs"/>
          <w:rtl/>
        </w:rPr>
        <w:t>, דרכ"מ (אות ב).</w:t>
      </w:r>
    </w:p>
  </w:footnote>
  <w:footnote w:id="3092">
    <w:p w14:paraId="75D4FFBC" w14:textId="77777777" w:rsidR="004C5A3C" w:rsidRDefault="004C5A3C" w:rsidP="002C39F4">
      <w:pPr>
        <w:pStyle w:val="a5"/>
        <w:rPr>
          <w:rtl/>
        </w:rPr>
      </w:pPr>
      <w:r>
        <w:rPr>
          <w:rStyle w:val="a7"/>
        </w:rPr>
        <w:footnoteRef/>
      </w:r>
      <w:r>
        <w:rPr>
          <w:rtl/>
        </w:rPr>
        <w:t xml:space="preserve"> </w:t>
      </w:r>
      <w:r w:rsidRPr="008B1F84">
        <w:rPr>
          <w:rFonts w:cs="Arial"/>
          <w:rtl/>
        </w:rPr>
        <w:t>ולא נראה לי</w:t>
      </w:r>
      <w:r>
        <w:rPr>
          <w:rFonts w:cs="Arial" w:hint="cs"/>
          <w:rtl/>
        </w:rPr>
        <w:t>,</w:t>
      </w:r>
      <w:r w:rsidRPr="008B1F84">
        <w:rPr>
          <w:rFonts w:cs="Arial"/>
          <w:rtl/>
        </w:rPr>
        <w:t xml:space="preserve"> כיון דפסק הטור לעיל סימן צ"ד (סוף הסימן) בשם ה"ר פרץ וגם כאן דאין לחלק בין של ישראל לשל גוי ולא הביא שום חולק בזה גם בית יוסף לא הביא שום חולק בזה משמע דהכי נקטינן</w:t>
      </w:r>
      <w:r>
        <w:rPr>
          <w:rFonts w:hint="cs"/>
          <w:rtl/>
        </w:rPr>
        <w:t>, דרכ"מ (אות ב).</w:t>
      </w:r>
    </w:p>
  </w:footnote>
  <w:footnote w:id="3093">
    <w:p w14:paraId="0763D1D3" w14:textId="77777777" w:rsidR="004C5A3C" w:rsidRDefault="004C5A3C" w:rsidP="002C39F4">
      <w:pPr>
        <w:pStyle w:val="a5"/>
        <w:rPr>
          <w:rtl/>
        </w:rPr>
      </w:pPr>
      <w:r>
        <w:rPr>
          <w:rStyle w:val="a7"/>
        </w:rPr>
        <w:footnoteRef/>
      </w:r>
      <w:r>
        <w:rPr>
          <w:rtl/>
        </w:rPr>
        <w:t xml:space="preserve"> </w:t>
      </w:r>
      <w:r w:rsidRPr="00A02D07">
        <w:rPr>
          <w:rFonts w:cs="Arial"/>
          <w:rtl/>
        </w:rPr>
        <w:t>וביאר בתו</w:t>
      </w:r>
      <w:r>
        <w:rPr>
          <w:rFonts w:cs="Arial" w:hint="cs"/>
          <w:rtl/>
        </w:rPr>
        <w:t>ה"א</w:t>
      </w:r>
      <w:r w:rsidRPr="00A02D07">
        <w:rPr>
          <w:rFonts w:cs="Arial"/>
          <w:rtl/>
        </w:rPr>
        <w:t xml:space="preserve"> </w:t>
      </w:r>
      <w:r w:rsidRPr="001E682B">
        <w:rPr>
          <w:rFonts w:cs="Arial"/>
          <w:sz w:val="16"/>
          <w:szCs w:val="16"/>
          <w:rtl/>
        </w:rPr>
        <w:t xml:space="preserve">(שם לח:) </w:t>
      </w:r>
      <w:r w:rsidRPr="00A02D07">
        <w:rPr>
          <w:rFonts w:cs="Arial"/>
          <w:rtl/>
        </w:rPr>
        <w:t>שלמד כן מדאמרינן בשילהי ע"ז (עג:) כל איסורין שבתורה בין במינם בין שלא במינם בנותן טעם חוץ מטבל ויין נסך דבמינם במשהו</w:t>
      </w:r>
      <w:r>
        <w:rPr>
          <w:rFonts w:cs="Arial" w:hint="cs"/>
          <w:rtl/>
        </w:rPr>
        <w:t>,</w:t>
      </w:r>
      <w:r w:rsidRPr="00A02D07">
        <w:rPr>
          <w:rFonts w:cs="Arial"/>
          <w:rtl/>
        </w:rPr>
        <w:t xml:space="preserve"> ואקשינן </w:t>
      </w:r>
      <w:r>
        <w:rPr>
          <w:rFonts w:cs="Arial" w:hint="cs"/>
          <w:rtl/>
        </w:rPr>
        <w:t>'</w:t>
      </w:r>
      <w:r w:rsidRPr="00A02D07">
        <w:rPr>
          <w:rFonts w:cs="Arial"/>
          <w:rtl/>
        </w:rPr>
        <w:t>טבל מאי טעמא</w:t>
      </w:r>
      <w:r>
        <w:rPr>
          <w:rFonts w:cs="Arial" w:hint="cs"/>
          <w:rtl/>
        </w:rPr>
        <w:t>',</w:t>
      </w:r>
      <w:r w:rsidRPr="00A02D07">
        <w:rPr>
          <w:rFonts w:cs="Arial"/>
          <w:rtl/>
        </w:rPr>
        <w:t xml:space="preserve"> ופרקינן משום דכהיתרו כך איסורו</w:t>
      </w:r>
      <w:r>
        <w:rPr>
          <w:rFonts w:cs="Arial" w:hint="cs"/>
          <w:rtl/>
        </w:rPr>
        <w:t>,</w:t>
      </w:r>
      <w:r w:rsidRPr="00A02D07">
        <w:rPr>
          <w:rFonts w:cs="Arial"/>
          <w:rtl/>
        </w:rPr>
        <w:t xml:space="preserve"> ומאי מקשה </w:t>
      </w:r>
      <w:r>
        <w:rPr>
          <w:rFonts w:cs="Arial" w:hint="cs"/>
          <w:rtl/>
        </w:rPr>
        <w:t>'</w:t>
      </w:r>
      <w:r w:rsidRPr="00A02D07">
        <w:rPr>
          <w:rFonts w:cs="Arial"/>
          <w:rtl/>
        </w:rPr>
        <w:t>טבל מאי טעמא</w:t>
      </w:r>
      <w:r>
        <w:rPr>
          <w:rFonts w:cs="Arial" w:hint="cs"/>
          <w:rtl/>
        </w:rPr>
        <w:t>'</w:t>
      </w:r>
      <w:r w:rsidRPr="00A02D07">
        <w:rPr>
          <w:rFonts w:cs="Arial"/>
          <w:rtl/>
        </w:rPr>
        <w:t xml:space="preserve"> הא טעמו מפורש משום דהוי דבר שיש לו מתירין</w:t>
      </w:r>
      <w:r>
        <w:rPr>
          <w:rFonts w:cs="Arial" w:hint="cs"/>
          <w:rtl/>
        </w:rPr>
        <w:t>,</w:t>
      </w:r>
      <w:r w:rsidRPr="00A02D07">
        <w:rPr>
          <w:rFonts w:cs="Arial"/>
          <w:rtl/>
        </w:rPr>
        <w:t xml:space="preserve"> ותירץ ר</w:t>
      </w:r>
      <w:r>
        <w:rPr>
          <w:rFonts w:cs="Arial" w:hint="cs"/>
          <w:rtl/>
        </w:rPr>
        <w:t>"</w:t>
      </w:r>
      <w:r w:rsidRPr="00A02D07">
        <w:rPr>
          <w:rFonts w:cs="Arial"/>
          <w:rtl/>
        </w:rPr>
        <w:t>ת דההיא בשאין לו טבל אחר להתירו</w:t>
      </w:r>
      <w:r>
        <w:rPr>
          <w:rFonts w:cs="Arial" w:hint="cs"/>
          <w:rtl/>
        </w:rPr>
        <w:t>,</w:t>
      </w:r>
      <w:r w:rsidRPr="00A02D07">
        <w:rPr>
          <w:rFonts w:cs="Arial"/>
          <w:rtl/>
        </w:rPr>
        <w:t xml:space="preserve"> ולא אמרו בפרק הנודר מן הירק </w:t>
      </w:r>
      <w:r w:rsidRPr="001E682B">
        <w:rPr>
          <w:rFonts w:cs="Arial"/>
          <w:sz w:val="16"/>
          <w:szCs w:val="16"/>
          <w:rtl/>
        </w:rPr>
        <w:t xml:space="preserve">(נדרים נח.) </w:t>
      </w:r>
      <w:r w:rsidRPr="00A02D07">
        <w:rPr>
          <w:rFonts w:cs="Arial"/>
          <w:rtl/>
        </w:rPr>
        <w:t>דטבל דבר שיש לו מתירין הוא אלא כשיש לו פרנסה אחרת להפריש עליו</w:t>
      </w:r>
      <w:r>
        <w:rPr>
          <w:rFonts w:cs="Arial" w:hint="cs"/>
          <w:rtl/>
        </w:rPr>
        <w:t>,</w:t>
      </w:r>
      <w:r w:rsidRPr="00A02D07">
        <w:rPr>
          <w:rFonts w:cs="Arial"/>
          <w:rtl/>
        </w:rPr>
        <w:t xml:space="preserve"> שאם אתה מזקיקו לקנות ממקום אחר הרי הוא נפסד כדי להתירו ולא אמרו דבר שיש לו מתירין אלא כשהוא יכול להתירו בלא שום הפסד ממון ממקום אחר</w:t>
      </w:r>
      <w:r>
        <w:rPr>
          <w:rFonts w:cs="Arial" w:hint="cs"/>
          <w:rtl/>
        </w:rPr>
        <w:t>,</w:t>
      </w:r>
      <w:r w:rsidRPr="00A02D07">
        <w:rPr>
          <w:rFonts w:cs="Arial"/>
          <w:rtl/>
        </w:rPr>
        <w:t xml:space="preserve"> ותדע מדגרסינן בפרק הזהב </w:t>
      </w:r>
      <w:r w:rsidRPr="001E682B">
        <w:rPr>
          <w:rFonts w:cs="Arial"/>
          <w:sz w:val="16"/>
          <w:szCs w:val="16"/>
          <w:rtl/>
        </w:rPr>
        <w:t xml:space="preserve">(ב"מ נב:) </w:t>
      </w:r>
      <w:r w:rsidRPr="00A02D07">
        <w:rPr>
          <w:rFonts w:cs="Arial"/>
          <w:rtl/>
        </w:rPr>
        <w:t>אמר חזקיה מעשר שני שאין בו שוה פרוטה אומר הוא וחומשו מחולל על מעות הראשונות וכו' ואקשינן עליה הבכורים והתרומה חייבין עליהם מיתה וחומש וכו' ואם איתא לדחזקיה ליחלליה על מעות הראשונות</w:t>
      </w:r>
      <w:r>
        <w:rPr>
          <w:rFonts w:cs="Arial" w:hint="cs"/>
          <w:rtl/>
        </w:rPr>
        <w:t>,</w:t>
      </w:r>
      <w:r w:rsidRPr="00A02D07">
        <w:rPr>
          <w:rFonts w:cs="Arial"/>
          <w:rtl/>
        </w:rPr>
        <w:t xml:space="preserve"> ואוקימנא דלית ליה דלא פריק על מעות הראשונות</w:t>
      </w:r>
      <w:r>
        <w:rPr>
          <w:rFonts w:cs="Arial" w:hint="cs"/>
          <w:rtl/>
        </w:rPr>
        <w:t>,</w:t>
      </w:r>
      <w:r w:rsidRPr="00A02D07">
        <w:rPr>
          <w:rFonts w:cs="Arial"/>
          <w:rtl/>
        </w:rPr>
        <w:t xml:space="preserve"> ואם איתא ילך ויביא ויקח ויפרוק על מעות ויחלל זה על מעות הראשונות</w:t>
      </w:r>
      <w:r>
        <w:rPr>
          <w:rFonts w:cs="Arial" w:hint="cs"/>
          <w:rtl/>
        </w:rPr>
        <w:t>,</w:t>
      </w:r>
      <w:r w:rsidRPr="00A02D07">
        <w:rPr>
          <w:rFonts w:cs="Arial"/>
          <w:rtl/>
        </w:rPr>
        <w:t xml:space="preserve"> אלא שלא אמרו דבר שיש לו מתירין אלא בדבר שיכול להתירו כדרכו בלא הפסד אחר. ועוד שמעינן לה מהא דתנן במסכת חלה </w:t>
      </w:r>
      <w:r w:rsidRPr="001E682B">
        <w:rPr>
          <w:rFonts w:cs="Arial"/>
          <w:sz w:val="16"/>
          <w:szCs w:val="16"/>
          <w:rtl/>
        </w:rPr>
        <w:t xml:space="preserve">(פ"ג מ"ט) </w:t>
      </w:r>
      <w:r w:rsidRPr="00A02D07">
        <w:rPr>
          <w:rFonts w:cs="Arial"/>
          <w:rtl/>
        </w:rPr>
        <w:t>זיתי מסיק שנתערבו עם זיתי ניקוף וכו' אם יש לו פרנסה ממקום אחר וכו' ואם לאו מוציא תרומה ותרומת מעשר לכל וכו' אלמא טבל דבר שיש לו מתירין הוא אפילו אין לו פרנסה ממקום אחר ואפילו לא פריק אמעות הראשונות שהרי יכול לתקנו שיטול מיניה וביה ומוציא תרומה על הכל</w:t>
      </w:r>
      <w:r>
        <w:rPr>
          <w:rFonts w:cs="Arial" w:hint="cs"/>
          <w:rtl/>
        </w:rPr>
        <w:t>,</w:t>
      </w:r>
      <w:r w:rsidRPr="00A02D07">
        <w:rPr>
          <w:rFonts w:cs="Arial"/>
          <w:rtl/>
        </w:rPr>
        <w:t xml:space="preserve"> אלא שתירץ הרמב"ן </w:t>
      </w:r>
      <w:r w:rsidRPr="001E682B">
        <w:rPr>
          <w:rFonts w:cs="Arial"/>
          <w:sz w:val="16"/>
          <w:szCs w:val="16"/>
          <w:rtl/>
        </w:rPr>
        <w:t xml:space="preserve">(ע"ז עג: ד"ה זה הכלל) </w:t>
      </w:r>
      <w:r w:rsidRPr="00A02D07">
        <w:rPr>
          <w:rFonts w:cs="Arial"/>
          <w:rtl/>
        </w:rPr>
        <w:t>דלא מיקרי דבר שיש לו מתירין בשצריך להפריש על הכל ומפסיד בהיתרו דבר מרובה שצריך להפריש מן ההיתר כדי להכשיר האיסור</w:t>
      </w:r>
      <w:r>
        <w:rPr>
          <w:rFonts w:cs="Arial" w:hint="cs"/>
          <w:rtl/>
        </w:rPr>
        <w:t>,</w:t>
      </w:r>
      <w:r w:rsidRPr="00A02D07">
        <w:rPr>
          <w:rFonts w:cs="Arial"/>
          <w:rtl/>
        </w:rPr>
        <w:t xml:space="preserve"> ולא הצריכו להפסיד ולהפריש עליו יותר מדינו אלא כשיש בו בנותן טעם</w:t>
      </w:r>
      <w:r>
        <w:rPr>
          <w:rFonts w:cs="Arial" w:hint="cs"/>
          <w:rtl/>
        </w:rPr>
        <w:t>,</w:t>
      </w:r>
      <w:r w:rsidRPr="00A02D07">
        <w:rPr>
          <w:rFonts w:cs="Arial"/>
          <w:rtl/>
        </w:rPr>
        <w:t xml:space="preserve"> כההיא דזיתי מסיק שנתערבו עם זיתי ניקוף</w:t>
      </w:r>
      <w:r>
        <w:rPr>
          <w:rFonts w:cs="Arial" w:hint="cs"/>
          <w:rtl/>
        </w:rPr>
        <w:t>,</w:t>
      </w:r>
      <w:r w:rsidRPr="00A02D07">
        <w:rPr>
          <w:rFonts w:cs="Arial"/>
          <w:rtl/>
        </w:rPr>
        <w:t xml:space="preserve"> דהתם כיון שיש בו בנותן טעם טעמא לא בטיל והרי הוא כמפריש מן החיוב על החיוב</w:t>
      </w:r>
      <w:r>
        <w:rPr>
          <w:rFonts w:cs="Arial" w:hint="cs"/>
          <w:rtl/>
        </w:rPr>
        <w:t>,</w:t>
      </w:r>
      <w:r w:rsidRPr="00A02D07">
        <w:rPr>
          <w:rFonts w:cs="Arial"/>
          <w:rtl/>
        </w:rPr>
        <w:t xml:space="preserve"> אבל כשהוא במשהו אם יפריש על הכל נמצא כמפריש מן הפטור לפי שאין החיוב ניכר שכבר בטל טעמו וממשו בהכי</w:t>
      </w:r>
      <w:r>
        <w:rPr>
          <w:rFonts w:cs="Arial" w:hint="cs"/>
          <w:rtl/>
        </w:rPr>
        <w:t>,</w:t>
      </w:r>
      <w:r w:rsidRPr="00A02D07">
        <w:rPr>
          <w:rFonts w:cs="Arial"/>
          <w:rtl/>
        </w:rPr>
        <w:t xml:space="preserve"> והילכך אף כלי שנתערב באחרים אם אתה מצריכו להגעיל או ללבן את כולם נמצא מפסיד על הכשרן ולא מיקרי דבר שיש לו מתירין כל שצריך להפסיד על הכשרן ואין הכשרן בא כדרכו בלא הפסד אחר</w:t>
      </w:r>
      <w:r>
        <w:rPr>
          <w:rFonts w:cs="Arial" w:hint="cs"/>
          <w:rtl/>
        </w:rPr>
        <w:t>,</w:t>
      </w:r>
      <w:r w:rsidRPr="00A02D07">
        <w:rPr>
          <w:rFonts w:cs="Arial"/>
          <w:rtl/>
        </w:rPr>
        <w:t xml:space="preserve"> והרי הוא כיבש ביבש וכל שנתערב אחד בין שנים בטל ומשתמש בהם אפילו לכתחלה</w:t>
      </w:r>
      <w:r>
        <w:rPr>
          <w:rFonts w:cs="Arial" w:hint="cs"/>
          <w:rtl/>
        </w:rPr>
        <w:t>.</w:t>
      </w:r>
      <w:r w:rsidRPr="00A02D07">
        <w:rPr>
          <w:rFonts w:cs="Arial"/>
          <w:rtl/>
        </w:rPr>
        <w:t xml:space="preserve"> עכ"ל</w:t>
      </w:r>
      <w:r>
        <w:rPr>
          <w:rFonts w:cs="Arial" w:hint="cs"/>
          <w:rtl/>
        </w:rPr>
        <w:t>.</w:t>
      </w:r>
      <w:r w:rsidRPr="00A02D07">
        <w:rPr>
          <w:rFonts w:cs="Arial"/>
          <w:rtl/>
        </w:rPr>
        <w:t xml:space="preserve"> וכבר כתבו התוס</w:t>
      </w:r>
      <w:r>
        <w:rPr>
          <w:rFonts w:cs="Arial" w:hint="cs"/>
          <w:rtl/>
        </w:rPr>
        <w:t>'</w:t>
      </w:r>
      <w:r w:rsidRPr="00A02D07">
        <w:rPr>
          <w:rFonts w:cs="Arial"/>
          <w:rtl/>
        </w:rPr>
        <w:t xml:space="preserve"> בשילהי ע"ז </w:t>
      </w:r>
      <w:r w:rsidRPr="001E682B">
        <w:rPr>
          <w:rFonts w:cs="Arial"/>
          <w:sz w:val="16"/>
          <w:szCs w:val="16"/>
          <w:rtl/>
        </w:rPr>
        <w:t xml:space="preserve">(עג: ד"ה טבל) </w:t>
      </w:r>
      <w:r w:rsidRPr="00A02D07">
        <w:rPr>
          <w:rFonts w:cs="Arial"/>
          <w:rtl/>
        </w:rPr>
        <w:t>דברים אלו שכתב ר</w:t>
      </w:r>
      <w:r>
        <w:rPr>
          <w:rFonts w:cs="Arial" w:hint="cs"/>
          <w:rtl/>
        </w:rPr>
        <w:t>"</w:t>
      </w:r>
      <w:r w:rsidRPr="00A02D07">
        <w:rPr>
          <w:rFonts w:cs="Arial"/>
          <w:rtl/>
        </w:rPr>
        <w:t>ת</w:t>
      </w:r>
      <w:r>
        <w:rPr>
          <w:rFonts w:cs="Arial" w:hint="cs"/>
          <w:rtl/>
        </w:rPr>
        <w:t>, ב"י</w:t>
      </w:r>
      <w:r>
        <w:rPr>
          <w:rFonts w:hint="cs"/>
          <w:rtl/>
        </w:rPr>
        <w:t>.</w:t>
      </w:r>
    </w:p>
  </w:footnote>
  <w:footnote w:id="3094">
    <w:p w14:paraId="1B754F51" w14:textId="77777777" w:rsidR="004C5A3C" w:rsidRDefault="004C5A3C" w:rsidP="002C39F4">
      <w:pPr>
        <w:pStyle w:val="a5"/>
      </w:pPr>
      <w:r>
        <w:rPr>
          <w:rStyle w:val="a7"/>
        </w:rPr>
        <w:footnoteRef/>
      </w:r>
      <w:r>
        <w:rPr>
          <w:rtl/>
        </w:rPr>
        <w:t xml:space="preserve"> </w:t>
      </w:r>
      <w:r w:rsidRPr="002B12D2">
        <w:rPr>
          <w:rFonts w:cs="Arial"/>
          <w:rtl/>
        </w:rPr>
        <w:t xml:space="preserve">ומסתמא היינו לעניין דיעבד שאם נתן הקערה או הכף ההוא בכלי ראשון או חתך בשר רותח בסכין שהוי דינו דיעבד כאלו היו של </w:t>
      </w:r>
      <w:r>
        <w:rPr>
          <w:rFonts w:cs="Arial" w:hint="cs"/>
          <w:rtl/>
        </w:rPr>
        <w:t>גוי</w:t>
      </w:r>
      <w:r w:rsidRPr="002B12D2">
        <w:rPr>
          <w:rFonts w:cs="Arial"/>
          <w:rtl/>
        </w:rPr>
        <w:t xml:space="preserve"> ב"י</w:t>
      </w:r>
      <w:r>
        <w:rPr>
          <w:rFonts w:cs="Arial" w:hint="cs"/>
          <w:rtl/>
        </w:rPr>
        <w:t>,</w:t>
      </w:r>
      <w:r w:rsidRPr="002B12D2">
        <w:rPr>
          <w:rFonts w:cs="Arial"/>
          <w:rtl/>
        </w:rPr>
        <w:t xml:space="preserve"> דאל"כ מה חילוק יש</w:t>
      </w:r>
      <w:r>
        <w:rPr>
          <w:rFonts w:cs="Arial" w:hint="cs"/>
          <w:rtl/>
        </w:rPr>
        <w:t>,</w:t>
      </w:r>
      <w:r w:rsidRPr="002B12D2">
        <w:rPr>
          <w:rFonts w:cs="Arial"/>
          <w:rtl/>
        </w:rPr>
        <w:t xml:space="preserve"> הלא אף כלי של </w:t>
      </w:r>
      <w:r>
        <w:rPr>
          <w:rFonts w:cs="Arial" w:hint="cs"/>
          <w:rtl/>
        </w:rPr>
        <w:t>גוי</w:t>
      </w:r>
      <w:r w:rsidRPr="002B12D2">
        <w:rPr>
          <w:rFonts w:cs="Arial"/>
          <w:rtl/>
        </w:rPr>
        <w:t xml:space="preserve"> צריך הגעלה לכתחילה</w:t>
      </w:r>
      <w:r>
        <w:rPr>
          <w:rFonts w:cs="Arial" w:hint="cs"/>
          <w:rtl/>
        </w:rPr>
        <w:t>,</w:t>
      </w:r>
      <w:r w:rsidRPr="00F32A0B">
        <w:rPr>
          <w:rFonts w:cs="Arial"/>
          <w:rtl/>
        </w:rPr>
        <w:t xml:space="preserve"> </w:t>
      </w:r>
      <w:r w:rsidRPr="002B12D2">
        <w:rPr>
          <w:rFonts w:cs="Arial"/>
          <w:rtl/>
        </w:rPr>
        <w:t>ואם שכח בביתו קערה של חרס ישבר</w:t>
      </w:r>
      <w:r>
        <w:rPr>
          <w:rFonts w:cs="Arial" w:hint="cs"/>
          <w:rtl/>
        </w:rPr>
        <w:t>,</w:t>
      </w:r>
      <w:r w:rsidRPr="002B12D2">
        <w:rPr>
          <w:rFonts w:cs="Arial"/>
          <w:rtl/>
        </w:rPr>
        <w:t xml:space="preserve"> </w:t>
      </w:r>
      <w:r>
        <w:rPr>
          <w:rFonts w:cs="Arial" w:hint="cs"/>
          <w:rtl/>
        </w:rPr>
        <w:t>או</w:t>
      </w:r>
      <w:r>
        <w:rPr>
          <w:rFonts w:cs="Arial"/>
          <w:rtl/>
        </w:rPr>
        <w:t>"</w:t>
      </w:r>
      <w:r>
        <w:rPr>
          <w:rFonts w:cs="Arial" w:hint="cs"/>
          <w:rtl/>
        </w:rPr>
        <w:t>ה</w:t>
      </w:r>
      <w:r w:rsidRPr="00A02D07">
        <w:rPr>
          <w:rFonts w:cs="Arial"/>
          <w:rtl/>
        </w:rPr>
        <w:t xml:space="preserve"> </w:t>
      </w:r>
      <w:r w:rsidRPr="002B12D2">
        <w:rPr>
          <w:rFonts w:cs="Arial" w:hint="cs"/>
          <w:sz w:val="16"/>
          <w:szCs w:val="16"/>
          <w:rtl/>
        </w:rPr>
        <w:t>(</w:t>
      </w:r>
      <w:r w:rsidRPr="002B12D2">
        <w:rPr>
          <w:rFonts w:cs="Arial"/>
          <w:sz w:val="16"/>
          <w:szCs w:val="16"/>
          <w:rtl/>
        </w:rPr>
        <w:t>כלל לג דט</w:t>
      </w:r>
      <w:r>
        <w:rPr>
          <w:rFonts w:cs="Arial" w:hint="cs"/>
          <w:sz w:val="16"/>
          <w:szCs w:val="16"/>
          <w:rtl/>
        </w:rPr>
        <w:t>"</w:t>
      </w:r>
      <w:r w:rsidRPr="002B12D2">
        <w:rPr>
          <w:rFonts w:cs="Arial"/>
          <w:sz w:val="16"/>
          <w:szCs w:val="16"/>
          <w:rtl/>
        </w:rPr>
        <w:t>ז)</w:t>
      </w:r>
      <w:r>
        <w:rPr>
          <w:rFonts w:cs="Arial" w:hint="cs"/>
          <w:rtl/>
        </w:rPr>
        <w:t xml:space="preserve">. </w:t>
      </w:r>
      <w:r>
        <w:rPr>
          <w:rFonts w:hint="cs"/>
          <w:rtl/>
        </w:rPr>
        <w:t xml:space="preserve">וכ' הדרכ"מ </w:t>
      </w:r>
      <w:r w:rsidRPr="00F32A0B">
        <w:rPr>
          <w:rFonts w:hint="cs"/>
          <w:sz w:val="16"/>
          <w:szCs w:val="16"/>
          <w:rtl/>
        </w:rPr>
        <w:t xml:space="preserve">(אות ג) </w:t>
      </w:r>
      <w:r>
        <w:rPr>
          <w:rFonts w:hint="cs"/>
          <w:rtl/>
        </w:rPr>
        <w:t>על דבריו-</w:t>
      </w:r>
      <w:r w:rsidRPr="00F32A0B">
        <w:rPr>
          <w:rFonts w:cs="Arial"/>
          <w:rtl/>
        </w:rPr>
        <w:t xml:space="preserve"> </w:t>
      </w:r>
      <w:r w:rsidRPr="00A02D07">
        <w:rPr>
          <w:rFonts w:cs="Arial"/>
          <w:rtl/>
        </w:rPr>
        <w:t>ואין נראה כן מדברי הרא"ה שכתב ב</w:t>
      </w:r>
      <w:r>
        <w:rPr>
          <w:rFonts w:cs="Arial" w:hint="cs"/>
          <w:rtl/>
        </w:rPr>
        <w:t>"</w:t>
      </w:r>
      <w:r w:rsidRPr="00A02D07">
        <w:rPr>
          <w:rFonts w:cs="Arial"/>
          <w:rtl/>
        </w:rPr>
        <w:t xml:space="preserve">י וכמו שכתבתי למטה סוף הסימן </w:t>
      </w:r>
      <w:r w:rsidRPr="00F32A0B">
        <w:rPr>
          <w:rFonts w:cs="Arial"/>
          <w:sz w:val="16"/>
          <w:szCs w:val="16"/>
          <w:rtl/>
        </w:rPr>
        <w:t xml:space="preserve">(ד"מ ארוך אות ב) </w:t>
      </w:r>
      <w:r w:rsidRPr="00A02D07">
        <w:rPr>
          <w:rFonts w:cs="Arial"/>
          <w:rtl/>
        </w:rPr>
        <w:t>בשמו</w:t>
      </w:r>
      <w:r>
        <w:rPr>
          <w:rFonts w:hint="cs"/>
          <w:rtl/>
        </w:rPr>
        <w:t xml:space="preserve">. </w:t>
      </w:r>
      <w:r w:rsidRPr="00F32A0B">
        <w:rPr>
          <w:rFonts w:hint="cs"/>
          <w:sz w:val="16"/>
          <w:szCs w:val="16"/>
          <w:rtl/>
        </w:rPr>
        <w:t xml:space="preserve">(כוונת הדרכ"מ לחלוק על שני העניינים שאמר האו"ה, א- שהמאכל אסור כמו שהיה </w:t>
      </w:r>
      <w:r>
        <w:rPr>
          <w:rFonts w:hint="cs"/>
          <w:sz w:val="16"/>
          <w:szCs w:val="16"/>
          <w:rtl/>
        </w:rPr>
        <w:t xml:space="preserve">הכלי </w:t>
      </w:r>
      <w:r w:rsidRPr="00F32A0B">
        <w:rPr>
          <w:rFonts w:hint="cs"/>
          <w:sz w:val="16"/>
          <w:szCs w:val="16"/>
          <w:rtl/>
        </w:rPr>
        <w:t>של גוי ב</w:t>
      </w:r>
      <w:r>
        <w:rPr>
          <w:rFonts w:hint="cs"/>
          <w:sz w:val="16"/>
          <w:szCs w:val="16"/>
          <w:rtl/>
        </w:rPr>
        <w:t>ן יומו</w:t>
      </w:r>
      <w:r w:rsidRPr="00F32A0B">
        <w:rPr>
          <w:rFonts w:hint="cs"/>
          <w:sz w:val="16"/>
          <w:szCs w:val="16"/>
          <w:rtl/>
        </w:rPr>
        <w:t>, ב- שכלי חרס ישבר)</w:t>
      </w:r>
    </w:p>
  </w:footnote>
  <w:footnote w:id="3095">
    <w:p w14:paraId="7E708AB9" w14:textId="77777777" w:rsidR="004C5A3C" w:rsidRDefault="004C5A3C" w:rsidP="002C39F4">
      <w:pPr>
        <w:pStyle w:val="a5"/>
        <w:rPr>
          <w:rtl/>
        </w:rPr>
      </w:pPr>
      <w:r>
        <w:rPr>
          <w:rStyle w:val="a7"/>
        </w:rPr>
        <w:footnoteRef/>
      </w:r>
      <w:r>
        <w:rPr>
          <w:rtl/>
        </w:rPr>
        <w:t xml:space="preserve"> </w:t>
      </w:r>
      <w:r w:rsidRPr="002B12D2">
        <w:rPr>
          <w:rFonts w:cs="Arial"/>
          <w:rtl/>
        </w:rPr>
        <w:t>ומכלל תחלת דבריו הראשונים יש ללמוד כן שלא החמיר אלא משום דהחזירן בו ביום דליכא אלא חד ספק אבל אם החזירן למחר דאיכא תרי ספיקי ודאי שרו דלא עדיפי מכלי הגוים</w:t>
      </w:r>
      <w:r>
        <w:rPr>
          <w:rFonts w:cs="Arial" w:hint="cs"/>
          <w:rtl/>
        </w:rPr>
        <w:t>, ב"י.</w:t>
      </w:r>
      <w:r w:rsidRPr="00A02D07">
        <w:rPr>
          <w:rFonts w:cs="Arial"/>
          <w:rtl/>
        </w:rPr>
        <w:t xml:space="preserve"> </w:t>
      </w:r>
    </w:p>
  </w:footnote>
  <w:footnote w:id="3096">
    <w:p w14:paraId="3E86D32B" w14:textId="77777777" w:rsidR="004C5A3C" w:rsidRPr="001E513A" w:rsidRDefault="004C5A3C" w:rsidP="002C39F4">
      <w:pPr>
        <w:pStyle w:val="a5"/>
        <w:rPr>
          <w:u w:val="single"/>
          <w:rtl/>
        </w:rPr>
      </w:pPr>
      <w:r>
        <w:rPr>
          <w:rStyle w:val="a7"/>
        </w:rPr>
        <w:footnoteRef/>
      </w:r>
      <w:r>
        <w:rPr>
          <w:rtl/>
        </w:rPr>
        <w:t xml:space="preserve"> </w:t>
      </w:r>
      <w:r w:rsidRPr="001E513A">
        <w:rPr>
          <w:rFonts w:hint="cs"/>
          <w:u w:val="single"/>
          <w:rtl/>
        </w:rPr>
        <w:t xml:space="preserve">קשה, דהרי </w:t>
      </w:r>
      <w:r w:rsidRPr="001E513A">
        <w:rPr>
          <w:u w:val="single"/>
          <w:rtl/>
        </w:rPr>
        <w:t xml:space="preserve">בסי' קלו </w:t>
      </w:r>
      <w:r w:rsidRPr="001E513A">
        <w:rPr>
          <w:rFonts w:hint="cs"/>
          <w:u w:val="single"/>
          <w:rtl/>
        </w:rPr>
        <w:t xml:space="preserve">גבי השולח יין ביד גוי </w:t>
      </w:r>
      <w:r w:rsidRPr="001E513A">
        <w:rPr>
          <w:u w:val="single"/>
          <w:rtl/>
        </w:rPr>
        <w:t>כתב</w:t>
      </w:r>
      <w:r>
        <w:rPr>
          <w:rFonts w:hint="cs"/>
          <w:u w:val="single"/>
          <w:rtl/>
        </w:rPr>
        <w:t xml:space="preserve">ו הפוסקים </w:t>
      </w:r>
      <w:r w:rsidRPr="001E513A">
        <w:rPr>
          <w:rFonts w:hint="cs"/>
          <w:u w:val="single"/>
          <w:rtl/>
        </w:rPr>
        <w:t>ד</w:t>
      </w:r>
      <w:r w:rsidRPr="001E513A">
        <w:rPr>
          <w:u w:val="single"/>
          <w:rtl/>
        </w:rPr>
        <w:t>אפילו לא שהו שם רק שעה אחת צריכים הכשר</w:t>
      </w:r>
      <w:r w:rsidRPr="001E513A">
        <w:rPr>
          <w:rFonts w:hint="cs"/>
          <w:u w:val="single"/>
          <w:rtl/>
        </w:rPr>
        <w:t>:</w:t>
      </w:r>
    </w:p>
    <w:p w14:paraId="555FEB1E" w14:textId="77777777" w:rsidR="004C5A3C" w:rsidRDefault="004C5A3C" w:rsidP="0032102C">
      <w:pPr>
        <w:pStyle w:val="a5"/>
        <w:numPr>
          <w:ilvl w:val="0"/>
          <w:numId w:val="336"/>
        </w:numPr>
      </w:pPr>
      <w:r w:rsidRPr="001E513A">
        <w:rPr>
          <w:rFonts w:hint="cs"/>
          <w:rtl/>
        </w:rPr>
        <w:t xml:space="preserve">ב"ח </w:t>
      </w:r>
      <w:r w:rsidRPr="001E513A">
        <w:rPr>
          <w:rFonts w:hint="cs"/>
          <w:sz w:val="16"/>
          <w:szCs w:val="16"/>
          <w:rtl/>
        </w:rPr>
        <w:t>(עמ' רמו-רמז)</w:t>
      </w:r>
      <w:r w:rsidRPr="001E513A">
        <w:rPr>
          <w:rFonts w:hint="cs"/>
          <w:rtl/>
        </w:rPr>
        <w:t xml:space="preserve">- </w:t>
      </w:r>
      <w:r w:rsidRPr="001E513A">
        <w:rPr>
          <w:rtl/>
        </w:rPr>
        <w:t>מאן דמתני הא לא מתני ה</w:t>
      </w:r>
      <w:r w:rsidRPr="001E513A">
        <w:rPr>
          <w:rFonts w:hint="cs"/>
          <w:rtl/>
        </w:rPr>
        <w:t>א.</w:t>
      </w:r>
    </w:p>
    <w:p w14:paraId="5BCBB736" w14:textId="77777777" w:rsidR="004C5A3C" w:rsidRDefault="004C5A3C" w:rsidP="0032102C">
      <w:pPr>
        <w:pStyle w:val="a5"/>
        <w:numPr>
          <w:ilvl w:val="0"/>
          <w:numId w:val="336"/>
        </w:numPr>
      </w:pPr>
      <w:r w:rsidRPr="001E513A">
        <w:rPr>
          <w:rFonts w:hint="cs"/>
          <w:rtl/>
        </w:rPr>
        <w:t xml:space="preserve">ט"ז </w:t>
      </w:r>
      <w:r w:rsidRPr="001E513A">
        <w:rPr>
          <w:rFonts w:hint="cs"/>
          <w:sz w:val="16"/>
          <w:szCs w:val="16"/>
          <w:rtl/>
        </w:rPr>
        <w:t>(סק"ז)</w:t>
      </w:r>
      <w:r w:rsidRPr="001E513A">
        <w:rPr>
          <w:rFonts w:hint="cs"/>
          <w:rtl/>
        </w:rPr>
        <w:t>- העיקר תלוי במידי דדרכו להשתמש תדיר אפילו דרך עראי, כגון כלי של יין שאדם עשוי לשתות בכל שעה ויש לחוש שבשעה מועטת שהיה אצל הגוי שמא שתה בו יין, על כן החמירו בסי' קלו אפי' בשעה מועטת, משא"כ בכלי שמבשלים בו או סכין של אכילה שאין דרך להשתמש בו אלא בשעת אכילה ואין דרכו של אדם לאכול אלא שיעור קבוע ביום, על כן אין להחמיר בו אלא בנשתהה כמו חצי יום, ולאו דוקא חצי יום אלא שיעור גדול שיש לשער שבאותו זמן היה משתמש בו באכילה.</w:t>
      </w:r>
    </w:p>
    <w:p w14:paraId="3140803D" w14:textId="77777777" w:rsidR="004C5A3C" w:rsidRDefault="004C5A3C" w:rsidP="0032102C">
      <w:pPr>
        <w:pStyle w:val="a5"/>
        <w:numPr>
          <w:ilvl w:val="0"/>
          <w:numId w:val="336"/>
        </w:numPr>
        <w:rPr>
          <w:rtl/>
        </w:rPr>
      </w:pPr>
      <w:r w:rsidRPr="001E513A">
        <w:rPr>
          <w:rFonts w:hint="cs"/>
          <w:rtl/>
        </w:rPr>
        <w:t xml:space="preserve">ש"ך </w:t>
      </w:r>
      <w:r w:rsidRPr="001E513A">
        <w:rPr>
          <w:rFonts w:hint="cs"/>
          <w:sz w:val="16"/>
          <w:szCs w:val="16"/>
          <w:rtl/>
        </w:rPr>
        <w:t>(סק"ח)</w:t>
      </w:r>
      <w:r w:rsidRPr="001E513A">
        <w:rPr>
          <w:rFonts w:hint="cs"/>
          <w:rtl/>
        </w:rPr>
        <w:t>- בכלי יין לא שייך לחלק בני יומן לשאינן בני יומן, דכל זמן שלא עבר עליהם י"ב חודש יש בהם טעם לשבח, ועיקר כמו שכתב בהג"ה דאם הניח ביד גוי מע"ל מותר להשתמש בו לכתחילה, וכל זה בכלים שדרכן להשתמש בהן בחמין, אבל כלים שדרכן להשתמש בהן צונן ודאי סגי בהדחה.</w:t>
      </w:r>
    </w:p>
  </w:footnote>
  <w:footnote w:id="3097">
    <w:p w14:paraId="12847409" w14:textId="77777777" w:rsidR="004C5A3C" w:rsidRDefault="004C5A3C" w:rsidP="002C39F4">
      <w:pPr>
        <w:pStyle w:val="a5"/>
        <w:rPr>
          <w:rtl/>
        </w:rPr>
      </w:pPr>
      <w:r>
        <w:rPr>
          <w:rStyle w:val="a7"/>
        </w:rPr>
        <w:footnoteRef/>
      </w:r>
      <w:r>
        <w:rPr>
          <w:rtl/>
        </w:rPr>
        <w:t xml:space="preserve"> </w:t>
      </w:r>
      <w:r w:rsidRPr="00DA53B7">
        <w:rPr>
          <w:rFonts w:cs="Arial"/>
          <w:rtl/>
        </w:rPr>
        <w:t>אין ר</w:t>
      </w:r>
      <w:r>
        <w:rPr>
          <w:rFonts w:cs="Arial" w:hint="cs"/>
          <w:rtl/>
        </w:rPr>
        <w:t xml:space="preserve">צונו </w:t>
      </w:r>
      <w:r w:rsidRPr="00DA53B7">
        <w:rPr>
          <w:rFonts w:cs="Arial"/>
          <w:rtl/>
        </w:rPr>
        <w:t>ל</w:t>
      </w:r>
      <w:r>
        <w:rPr>
          <w:rFonts w:cs="Arial" w:hint="cs"/>
          <w:rtl/>
        </w:rPr>
        <w:t>ומר</w:t>
      </w:r>
      <w:r w:rsidRPr="00DA53B7">
        <w:rPr>
          <w:rFonts w:cs="Arial"/>
          <w:rtl/>
        </w:rPr>
        <w:t xml:space="preserve"> שהמאכל שנשתמש בו מותר בדיעבד</w:t>
      </w:r>
      <w:r>
        <w:rPr>
          <w:rFonts w:cs="Arial" w:hint="cs"/>
          <w:rtl/>
        </w:rPr>
        <w:t>,</w:t>
      </w:r>
      <w:r w:rsidRPr="00DA53B7">
        <w:rPr>
          <w:rFonts w:cs="Arial"/>
          <w:rtl/>
        </w:rPr>
        <w:t xml:space="preserve"> דזהו פשיטא</w:t>
      </w:r>
      <w:r>
        <w:rPr>
          <w:rFonts w:cs="Arial" w:hint="cs"/>
          <w:rtl/>
        </w:rPr>
        <w:t>,</w:t>
      </w:r>
      <w:r w:rsidRPr="00DA53B7">
        <w:rPr>
          <w:rFonts w:cs="Arial"/>
          <w:rtl/>
        </w:rPr>
        <w:t xml:space="preserve"> ועוד דהא אכתי לא הזכיר כלום מהמאכל</w:t>
      </w:r>
      <w:r>
        <w:rPr>
          <w:rFonts w:cs="Arial" w:hint="cs"/>
          <w:rtl/>
        </w:rPr>
        <w:t>,</w:t>
      </w:r>
      <w:r w:rsidRPr="00DA53B7">
        <w:rPr>
          <w:rFonts w:cs="Arial"/>
          <w:rtl/>
        </w:rPr>
        <w:t xml:space="preserve"> אלא ר"ל דכיון שכבר נתנו ביד </w:t>
      </w:r>
      <w:r>
        <w:rPr>
          <w:rFonts w:cs="Arial" w:hint="cs"/>
          <w:rtl/>
        </w:rPr>
        <w:t>גוי</w:t>
      </w:r>
      <w:r w:rsidRPr="00DA53B7">
        <w:rPr>
          <w:rFonts w:cs="Arial"/>
          <w:rtl/>
        </w:rPr>
        <w:t xml:space="preserve"> ולקחו ממנו אין חוששין בדיעבד ומותר להשתמש בו אפי' לכתחלה</w:t>
      </w:r>
      <w:r>
        <w:rPr>
          <w:rFonts w:cs="Arial" w:hint="cs"/>
          <w:rtl/>
        </w:rPr>
        <w:t>,</w:t>
      </w:r>
      <w:r w:rsidRPr="00DA53B7">
        <w:rPr>
          <w:rFonts w:cs="Arial"/>
          <w:rtl/>
        </w:rPr>
        <w:t xml:space="preserve"> ואע</w:t>
      </w:r>
      <w:r>
        <w:rPr>
          <w:rFonts w:cs="Arial" w:hint="cs"/>
          <w:rtl/>
        </w:rPr>
        <w:t>"</w:t>
      </w:r>
      <w:r w:rsidRPr="00DA53B7">
        <w:rPr>
          <w:rFonts w:cs="Arial"/>
          <w:rtl/>
        </w:rPr>
        <w:t xml:space="preserve">ג דהרא"ה לא קאמר אלא כשהישראל משהנו מעת לעת מותר להשתמש בו לכתחלה משמע ליה להרב דכ"ש כל שנוכל לומר שנשתהה ביד </w:t>
      </w:r>
      <w:r>
        <w:rPr>
          <w:rFonts w:cs="Arial" w:hint="cs"/>
          <w:rtl/>
        </w:rPr>
        <w:t>גוי</w:t>
      </w:r>
      <w:r w:rsidRPr="00DA53B7">
        <w:rPr>
          <w:rFonts w:cs="Arial"/>
          <w:rtl/>
        </w:rPr>
        <w:t xml:space="preserve"> דשרי דהא לא דמי לכלי </w:t>
      </w:r>
      <w:r>
        <w:rPr>
          <w:rFonts w:cs="Arial" w:hint="cs"/>
          <w:rtl/>
        </w:rPr>
        <w:t xml:space="preserve">גוי... </w:t>
      </w:r>
      <w:r w:rsidRPr="00DA53B7">
        <w:rPr>
          <w:rFonts w:cs="Arial"/>
          <w:rtl/>
        </w:rPr>
        <w:t>וא</w:t>
      </w:r>
      <w:r>
        <w:rPr>
          <w:rFonts w:cs="Arial" w:hint="cs"/>
          <w:rtl/>
        </w:rPr>
        <w:t>ע"ג</w:t>
      </w:r>
      <w:r w:rsidRPr="00DA53B7">
        <w:rPr>
          <w:rFonts w:cs="Arial"/>
          <w:rtl/>
        </w:rPr>
        <w:t xml:space="preserve"> דבת"ח שם משמע דלהרא"ה ה"ה אם נשתמש בו באותו יום בלא הגעלה המאכל מותר היינו לסברת הרב אבל האו"ה דס"ל המאכל אסור וכפשט דברי המרדכי</w:t>
      </w:r>
      <w:r>
        <w:rPr>
          <w:rFonts w:cs="Arial" w:hint="cs"/>
          <w:rtl/>
        </w:rPr>
        <w:t>,</w:t>
      </w:r>
      <w:r w:rsidRPr="00DA53B7">
        <w:rPr>
          <w:rFonts w:cs="Arial"/>
          <w:rtl/>
        </w:rPr>
        <w:t xml:space="preserve"> אפשר לומר דהא והא איתא</w:t>
      </w:r>
      <w:r>
        <w:rPr>
          <w:rFonts w:cs="Arial" w:hint="cs"/>
          <w:rtl/>
        </w:rPr>
        <w:t>,</w:t>
      </w:r>
      <w:r w:rsidRPr="00DA53B7">
        <w:rPr>
          <w:rFonts w:cs="Arial"/>
          <w:rtl/>
        </w:rPr>
        <w:t xml:space="preserve"> דאע"ג דהמאכל אסור היינו משום דנשתמש בו באותו יום אבל כל שנשתהה מעל"ע אפי' לכתחלה מותר</w:t>
      </w:r>
      <w:r>
        <w:rPr>
          <w:rFonts w:cs="Arial" w:hint="cs"/>
          <w:rtl/>
        </w:rPr>
        <w:t>...</w:t>
      </w:r>
      <w:r w:rsidRPr="00B3203C">
        <w:rPr>
          <w:rtl/>
        </w:rPr>
        <w:t xml:space="preserve"> </w:t>
      </w:r>
      <w:r w:rsidRPr="00B3203C">
        <w:rPr>
          <w:rFonts w:cs="Arial"/>
          <w:rtl/>
        </w:rPr>
        <w:t>ואע</w:t>
      </w:r>
      <w:r>
        <w:rPr>
          <w:rFonts w:cs="Arial" w:hint="cs"/>
          <w:rtl/>
        </w:rPr>
        <w:t>"</w:t>
      </w:r>
      <w:r w:rsidRPr="00B3203C">
        <w:rPr>
          <w:rFonts w:cs="Arial"/>
          <w:rtl/>
        </w:rPr>
        <w:t>ג דבת"ח שם משמע דלהאו"ה דאוסר המאכל אוסר נמי להשתמש בכלי אפילו נשתהה מעל"ע מ"מ לענין דינא נ"ל להרב לחלק כמ</w:t>
      </w:r>
      <w:r>
        <w:rPr>
          <w:rFonts w:cs="Arial" w:hint="cs"/>
          <w:rtl/>
        </w:rPr>
        <w:t xml:space="preserve">ו </w:t>
      </w:r>
      <w:r w:rsidRPr="00B3203C">
        <w:rPr>
          <w:rFonts w:cs="Arial"/>
          <w:rtl/>
        </w:rPr>
        <w:t>ש</w:t>
      </w:r>
      <w:r>
        <w:rPr>
          <w:rFonts w:cs="Arial" w:hint="cs"/>
          <w:rtl/>
        </w:rPr>
        <w:t>כתבתי..., ש"ך (סק"ח)</w:t>
      </w:r>
      <w:r>
        <w:rPr>
          <w:rFonts w:hint="cs"/>
          <w:rtl/>
        </w:rPr>
        <w:t>. וכ' החת"ס (אוצ"מ אות טו) דכן מורים, ועי' פר"ח (סק"ח) ומנחת יעקב (כלל נט סק"י) דאין להחמיר.</w:t>
      </w:r>
    </w:p>
  </w:footnote>
  <w:footnote w:id="3098">
    <w:p w14:paraId="7E6448DE" w14:textId="77777777" w:rsidR="004C5A3C" w:rsidRDefault="004C5A3C" w:rsidP="002C39F4">
      <w:pPr>
        <w:pStyle w:val="a5"/>
      </w:pPr>
      <w:r>
        <w:rPr>
          <w:rStyle w:val="a7"/>
        </w:rPr>
        <w:footnoteRef/>
      </w:r>
      <w:r>
        <w:rPr>
          <w:rtl/>
        </w:rPr>
        <w:t xml:space="preserve"> </w:t>
      </w:r>
      <w:r>
        <w:rPr>
          <w:rFonts w:hint="cs"/>
          <w:rtl/>
        </w:rPr>
        <w:t xml:space="preserve">והט"ז (סק"ח) חלק על הג"ה זו ומאריך מאוד בנדון זה, ומסקנת דבריו לכלל העולה דבמקום </w:t>
      </w:r>
      <w:r w:rsidRPr="00B3203C">
        <w:rPr>
          <w:rFonts w:cs="Arial"/>
          <w:rtl/>
        </w:rPr>
        <w:t>שיש ס"ס כגון שלא החזירו בו ביום</w:t>
      </w:r>
      <w:r>
        <w:rPr>
          <w:rFonts w:cs="Arial" w:hint="cs"/>
          <w:rtl/>
        </w:rPr>
        <w:t xml:space="preserve">, </w:t>
      </w:r>
      <w:r w:rsidRPr="00B3203C">
        <w:rPr>
          <w:rFonts w:cs="Arial"/>
          <w:rtl/>
        </w:rPr>
        <w:t>אם הניחו במזיד יש לאסור הכלי וצריך הגעלה וכלי חרס צריך שבירה</w:t>
      </w:r>
      <w:r>
        <w:rPr>
          <w:rFonts w:cs="Arial" w:hint="cs"/>
          <w:rtl/>
        </w:rPr>
        <w:t>,</w:t>
      </w:r>
      <w:r w:rsidRPr="00B3203C">
        <w:rPr>
          <w:rFonts w:cs="Arial"/>
          <w:rtl/>
        </w:rPr>
        <w:t xml:space="preserve"> ואם שכחו יש להתיר הכלי</w:t>
      </w:r>
      <w:r>
        <w:rPr>
          <w:rFonts w:cs="Arial" w:hint="cs"/>
          <w:rtl/>
        </w:rPr>
        <w:t>,</w:t>
      </w:r>
      <w:r w:rsidRPr="00B3203C">
        <w:rPr>
          <w:rFonts w:cs="Arial"/>
          <w:rtl/>
        </w:rPr>
        <w:t xml:space="preserve"> אלא דאם הוא כלי שאפשר להכשירו יכשירנו וכלי חרס מותר</w:t>
      </w:r>
      <w:r>
        <w:rPr>
          <w:rFonts w:cs="Arial" w:hint="cs"/>
          <w:rtl/>
        </w:rPr>
        <w:t>,</w:t>
      </w:r>
      <w:r w:rsidRPr="00B3203C">
        <w:rPr>
          <w:rFonts w:cs="Arial"/>
          <w:rtl/>
        </w:rPr>
        <w:t xml:space="preserve"> וכן בכלי היין דסי' קל"ו</w:t>
      </w:r>
      <w:r>
        <w:rPr>
          <w:rFonts w:cs="Arial" w:hint="cs"/>
          <w:rtl/>
        </w:rPr>
        <w:t>,</w:t>
      </w:r>
      <w:r w:rsidRPr="00B3203C">
        <w:rPr>
          <w:rFonts w:cs="Arial"/>
          <w:rtl/>
        </w:rPr>
        <w:t xml:space="preserve"> אבל באין ס"ס כגון שהחזירו בו ביום יש לאסור אפילו דיעבד מדינא</w:t>
      </w:r>
      <w:r>
        <w:rPr>
          <w:rFonts w:cs="Arial" w:hint="cs"/>
          <w:rtl/>
        </w:rPr>
        <w:t>,</w:t>
      </w:r>
      <w:r w:rsidRPr="00B3203C">
        <w:rPr>
          <w:rFonts w:cs="Arial"/>
          <w:rtl/>
        </w:rPr>
        <w:t xml:space="preserve"> והיינו</w:t>
      </w:r>
      <w:r>
        <w:rPr>
          <w:rFonts w:cs="Arial" w:hint="cs"/>
          <w:rtl/>
        </w:rPr>
        <w:t>,</w:t>
      </w:r>
      <w:r w:rsidRPr="00B3203C">
        <w:rPr>
          <w:rFonts w:cs="Arial"/>
          <w:rtl/>
        </w:rPr>
        <w:t xml:space="preserve"> אם הוא כלי אכילה אין איסור אלא שישהה אצל ה</w:t>
      </w:r>
      <w:r>
        <w:rPr>
          <w:rFonts w:cs="Arial" w:hint="cs"/>
          <w:rtl/>
        </w:rPr>
        <w:t>גוי</w:t>
      </w:r>
      <w:r w:rsidRPr="00B3203C">
        <w:rPr>
          <w:rFonts w:cs="Arial"/>
          <w:rtl/>
        </w:rPr>
        <w:t xml:space="preserve"> מקצת היום שיעור גדול שלפי אומד הדעת השתמש בו באכילת איסור</w:t>
      </w:r>
      <w:r>
        <w:rPr>
          <w:rFonts w:cs="Arial" w:hint="cs"/>
          <w:rtl/>
        </w:rPr>
        <w:t>,</w:t>
      </w:r>
      <w:r w:rsidRPr="00B3203C">
        <w:rPr>
          <w:rFonts w:cs="Arial"/>
          <w:rtl/>
        </w:rPr>
        <w:t xml:space="preserve"> ואם הוא כלי שתיה כההיא דכלי יין סימן קל"ו דאסור לכתחלה הוא אפילו לפי שעה</w:t>
      </w:r>
      <w:r>
        <w:rPr>
          <w:rFonts w:cs="Arial" w:hint="cs"/>
          <w:rtl/>
        </w:rPr>
        <w:t>. עכ"ל.</w:t>
      </w:r>
    </w:p>
  </w:footnote>
  <w:footnote w:id="3099">
    <w:p w14:paraId="684C776A" w14:textId="77777777" w:rsidR="004C5A3C" w:rsidRDefault="004C5A3C" w:rsidP="002C39F4">
      <w:pPr>
        <w:pStyle w:val="a5"/>
      </w:pPr>
      <w:r>
        <w:rPr>
          <w:rStyle w:val="a7"/>
        </w:rPr>
        <w:footnoteRef/>
      </w:r>
      <w:r>
        <w:rPr>
          <w:rtl/>
        </w:rPr>
        <w:t xml:space="preserve"> </w:t>
      </w:r>
      <w:r w:rsidRPr="001E513A">
        <w:rPr>
          <w:rFonts w:cs="Arial"/>
          <w:rtl/>
        </w:rPr>
        <w:t>והעולם אינם נזהרים עתה בזה והטעם משום דהעבדים והשפחות הם בבית ישראל תמיד שישראל יוצא ונכנס שם דבכה"ג מותר אפילו לכתחלה כדלעיל סי' קיח ס"י</w:t>
      </w:r>
      <w:r>
        <w:rPr>
          <w:rFonts w:cs="Arial" w:hint="cs"/>
          <w:rtl/>
        </w:rPr>
        <w:t>, ש"ך (סק"ט).</w:t>
      </w:r>
    </w:p>
  </w:footnote>
  <w:footnote w:id="3100">
    <w:p w14:paraId="588E06A2" w14:textId="77777777" w:rsidR="004C5A3C" w:rsidRDefault="004C5A3C" w:rsidP="002C39F4">
      <w:pPr>
        <w:pStyle w:val="a5"/>
        <w:rPr>
          <w:rtl/>
        </w:rPr>
      </w:pPr>
      <w:r>
        <w:rPr>
          <w:rStyle w:val="a7"/>
        </w:rPr>
        <w:footnoteRef/>
      </w:r>
      <w:r>
        <w:rPr>
          <w:rtl/>
        </w:rPr>
        <w:t xml:space="preserve"> </w:t>
      </w:r>
      <w:r w:rsidRPr="00E606E3">
        <w:rPr>
          <w:rFonts w:cs="Arial"/>
          <w:rtl/>
        </w:rPr>
        <w:t>תחלתו של חרס וחופין אותן בחופיא של אבר</w:t>
      </w:r>
      <w:r>
        <w:rPr>
          <w:rFonts w:cs="Arial" w:hint="cs"/>
          <w:rtl/>
        </w:rPr>
        <w:t>..., רש"י (ע"ז עה: ד"ה קוניא)</w:t>
      </w:r>
      <w:r w:rsidRPr="00E606E3">
        <w:rPr>
          <w:rFonts w:cs="Arial"/>
          <w:rtl/>
        </w:rPr>
        <w:t>.</w:t>
      </w:r>
    </w:p>
  </w:footnote>
  <w:footnote w:id="3101">
    <w:p w14:paraId="5BA1489F" w14:textId="77777777" w:rsidR="004C5A3C" w:rsidRDefault="004C5A3C" w:rsidP="002C39F4">
      <w:pPr>
        <w:pStyle w:val="a5"/>
        <w:rPr>
          <w:rtl/>
        </w:rPr>
      </w:pPr>
      <w:r>
        <w:rPr>
          <w:rStyle w:val="a7"/>
        </w:rPr>
        <w:footnoteRef/>
      </w:r>
      <w:r>
        <w:rPr>
          <w:rtl/>
        </w:rPr>
        <w:t xml:space="preserve"> </w:t>
      </w:r>
      <w:r w:rsidRPr="00EF2BF0">
        <w:rPr>
          <w:rFonts w:cs="Arial"/>
          <w:rtl/>
        </w:rPr>
        <w:t>נ"ל דה</w:t>
      </w:r>
      <w:r>
        <w:rPr>
          <w:rFonts w:cs="Arial" w:hint="cs"/>
          <w:rtl/>
        </w:rPr>
        <w:t xml:space="preserve">יינו </w:t>
      </w:r>
      <w:r w:rsidRPr="00EF2BF0">
        <w:rPr>
          <w:rFonts w:cs="Arial"/>
          <w:rtl/>
        </w:rPr>
        <w:t>ט</w:t>
      </w:r>
      <w:r>
        <w:rPr>
          <w:rFonts w:cs="Arial" w:hint="cs"/>
          <w:rtl/>
        </w:rPr>
        <w:t>עמא</w:t>
      </w:r>
      <w:r w:rsidRPr="00EF2BF0">
        <w:rPr>
          <w:rFonts w:cs="Arial"/>
          <w:rtl/>
        </w:rPr>
        <w:t xml:space="preserve"> דכיון דסתם כלים של </w:t>
      </w:r>
      <w:r>
        <w:rPr>
          <w:rFonts w:cs="Arial" w:hint="cs"/>
          <w:rtl/>
        </w:rPr>
        <w:t>גוי</w:t>
      </w:r>
      <w:r w:rsidRPr="00EF2BF0">
        <w:rPr>
          <w:rFonts w:cs="Arial"/>
          <w:rtl/>
        </w:rPr>
        <w:t xml:space="preserve"> אינן ב"י א"כ ליכא אלא איסור דרבנן ו</w:t>
      </w:r>
      <w:r>
        <w:rPr>
          <w:rFonts w:cs="Arial" w:hint="cs"/>
          <w:rtl/>
        </w:rPr>
        <w:t>גוי</w:t>
      </w:r>
      <w:r w:rsidRPr="00EF2BF0">
        <w:rPr>
          <w:rFonts w:cs="Arial"/>
          <w:rtl/>
        </w:rPr>
        <w:t xml:space="preserve"> מסל"ת נאמן באיסור דרבנן</w:t>
      </w:r>
      <w:r>
        <w:rPr>
          <w:rFonts w:cs="Arial" w:hint="cs"/>
          <w:rtl/>
        </w:rPr>
        <w:t>,</w:t>
      </w:r>
      <w:r w:rsidRPr="00EF2BF0">
        <w:rPr>
          <w:rFonts w:cs="Arial"/>
          <w:rtl/>
        </w:rPr>
        <w:t xml:space="preserve"> כמ</w:t>
      </w:r>
      <w:r>
        <w:rPr>
          <w:rFonts w:cs="Arial" w:hint="cs"/>
          <w:rtl/>
        </w:rPr>
        <w:t xml:space="preserve">ו </w:t>
      </w:r>
      <w:r w:rsidRPr="00EF2BF0">
        <w:rPr>
          <w:rFonts w:cs="Arial"/>
          <w:rtl/>
        </w:rPr>
        <w:t>ש</w:t>
      </w:r>
      <w:r>
        <w:rPr>
          <w:rFonts w:cs="Arial" w:hint="cs"/>
          <w:rtl/>
        </w:rPr>
        <w:t>כתבתי</w:t>
      </w:r>
      <w:r w:rsidRPr="00EF2BF0">
        <w:rPr>
          <w:rFonts w:cs="Arial"/>
          <w:rtl/>
        </w:rPr>
        <w:t xml:space="preserve"> בסי</w:t>
      </w:r>
      <w:r>
        <w:rPr>
          <w:rFonts w:cs="Arial" w:hint="cs"/>
          <w:rtl/>
        </w:rPr>
        <w:t>'</w:t>
      </w:r>
      <w:r w:rsidRPr="00EF2BF0">
        <w:rPr>
          <w:rFonts w:cs="Arial"/>
          <w:rtl/>
        </w:rPr>
        <w:t xml:space="preserve"> צח סק</w:t>
      </w:r>
      <w:r>
        <w:rPr>
          <w:rFonts w:cs="Arial" w:hint="cs"/>
          <w:rtl/>
        </w:rPr>
        <w:t>"</w:t>
      </w:r>
      <w:r w:rsidRPr="00EF2BF0">
        <w:rPr>
          <w:rFonts w:cs="Arial"/>
          <w:rtl/>
        </w:rPr>
        <w:t>ב ע"ש</w:t>
      </w:r>
      <w:r>
        <w:rPr>
          <w:rFonts w:cs="Arial" w:hint="cs"/>
          <w:rtl/>
        </w:rPr>
        <w:t>,</w:t>
      </w:r>
      <w:r w:rsidRPr="00EF2BF0">
        <w:rPr>
          <w:rFonts w:cs="Arial"/>
          <w:rtl/>
        </w:rPr>
        <w:t xml:space="preserve"> וע"ל סי' קכא סקט"ו</w:t>
      </w:r>
      <w:r>
        <w:rPr>
          <w:rFonts w:hint="cs"/>
          <w:rtl/>
        </w:rPr>
        <w:t>, ש"ך (סק"י).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5pt;height:11.35pt" o:bullet="t">
        <v:imagedata r:id="rId1" o:title="mso3D57"/>
      </v:shape>
    </w:pict>
  </w:numPicBullet>
  <w:abstractNum w:abstractNumId="0" w15:restartNumberingAfterBreak="0">
    <w:nsid w:val="01E260E6"/>
    <w:multiLevelType w:val="hybridMultilevel"/>
    <w:tmpl w:val="4EDE0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62834"/>
    <w:multiLevelType w:val="hybridMultilevel"/>
    <w:tmpl w:val="0EB0B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02522"/>
    <w:multiLevelType w:val="hybridMultilevel"/>
    <w:tmpl w:val="A396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4440E"/>
    <w:multiLevelType w:val="hybridMultilevel"/>
    <w:tmpl w:val="908CE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117B1"/>
    <w:multiLevelType w:val="hybridMultilevel"/>
    <w:tmpl w:val="13B6A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10E3F"/>
    <w:multiLevelType w:val="hybridMultilevel"/>
    <w:tmpl w:val="71D0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0C1FFA"/>
    <w:multiLevelType w:val="hybridMultilevel"/>
    <w:tmpl w:val="9F147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11726F"/>
    <w:multiLevelType w:val="hybridMultilevel"/>
    <w:tmpl w:val="0A6E7376"/>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3308DC"/>
    <w:multiLevelType w:val="hybridMultilevel"/>
    <w:tmpl w:val="1C7E9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9774D2"/>
    <w:multiLevelType w:val="hybridMultilevel"/>
    <w:tmpl w:val="CB62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D256F0"/>
    <w:multiLevelType w:val="hybridMultilevel"/>
    <w:tmpl w:val="D682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34BE0"/>
    <w:multiLevelType w:val="hybridMultilevel"/>
    <w:tmpl w:val="1E32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44390B"/>
    <w:multiLevelType w:val="hybridMultilevel"/>
    <w:tmpl w:val="36B4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2025F5"/>
    <w:multiLevelType w:val="hybridMultilevel"/>
    <w:tmpl w:val="C30A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1E3CBF"/>
    <w:multiLevelType w:val="hybridMultilevel"/>
    <w:tmpl w:val="3CB0B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962276"/>
    <w:multiLevelType w:val="hybridMultilevel"/>
    <w:tmpl w:val="9AC63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BB426A"/>
    <w:multiLevelType w:val="hybridMultilevel"/>
    <w:tmpl w:val="1DEA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2C12E6"/>
    <w:multiLevelType w:val="hybridMultilevel"/>
    <w:tmpl w:val="8D64C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C821188"/>
    <w:multiLevelType w:val="hybridMultilevel"/>
    <w:tmpl w:val="C69CD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901148"/>
    <w:multiLevelType w:val="hybridMultilevel"/>
    <w:tmpl w:val="5A107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034FB7"/>
    <w:multiLevelType w:val="hybridMultilevel"/>
    <w:tmpl w:val="82B83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8D130F"/>
    <w:multiLevelType w:val="hybridMultilevel"/>
    <w:tmpl w:val="BAEED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DB744FB"/>
    <w:multiLevelType w:val="hybridMultilevel"/>
    <w:tmpl w:val="0646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E36DEF"/>
    <w:multiLevelType w:val="hybridMultilevel"/>
    <w:tmpl w:val="62D4F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E307F89"/>
    <w:multiLevelType w:val="hybridMultilevel"/>
    <w:tmpl w:val="3840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E7D1298"/>
    <w:multiLevelType w:val="hybridMultilevel"/>
    <w:tmpl w:val="2FFC3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EE6FD2"/>
    <w:multiLevelType w:val="hybridMultilevel"/>
    <w:tmpl w:val="65BC6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F584FB1"/>
    <w:multiLevelType w:val="hybridMultilevel"/>
    <w:tmpl w:val="40B4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FD470A2"/>
    <w:multiLevelType w:val="hybridMultilevel"/>
    <w:tmpl w:val="9324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0263C1F"/>
    <w:multiLevelType w:val="hybridMultilevel"/>
    <w:tmpl w:val="7EEC8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1615E5C"/>
    <w:multiLevelType w:val="hybridMultilevel"/>
    <w:tmpl w:val="583EA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17D20C0"/>
    <w:multiLevelType w:val="hybridMultilevel"/>
    <w:tmpl w:val="1762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1C034D7"/>
    <w:multiLevelType w:val="hybridMultilevel"/>
    <w:tmpl w:val="C9C4F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7B3896"/>
    <w:multiLevelType w:val="hybridMultilevel"/>
    <w:tmpl w:val="22C64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29477D4"/>
    <w:multiLevelType w:val="hybridMultilevel"/>
    <w:tmpl w:val="19264A7E"/>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2D768B3"/>
    <w:multiLevelType w:val="hybridMultilevel"/>
    <w:tmpl w:val="EF1C8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2EC2749"/>
    <w:multiLevelType w:val="hybridMultilevel"/>
    <w:tmpl w:val="78D06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36D763F"/>
    <w:multiLevelType w:val="hybridMultilevel"/>
    <w:tmpl w:val="6616E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3902449"/>
    <w:multiLevelType w:val="hybridMultilevel"/>
    <w:tmpl w:val="55FE8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3BB19F8"/>
    <w:multiLevelType w:val="hybridMultilevel"/>
    <w:tmpl w:val="2C947E7E"/>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48E4EE2"/>
    <w:multiLevelType w:val="hybridMultilevel"/>
    <w:tmpl w:val="F4FC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49F5CFC"/>
    <w:multiLevelType w:val="hybridMultilevel"/>
    <w:tmpl w:val="E62CC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50E67A6"/>
    <w:multiLevelType w:val="hybridMultilevel"/>
    <w:tmpl w:val="4824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5162ED0"/>
    <w:multiLevelType w:val="hybridMultilevel"/>
    <w:tmpl w:val="1730D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5341532"/>
    <w:multiLevelType w:val="hybridMultilevel"/>
    <w:tmpl w:val="E2EC1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7067C57"/>
    <w:multiLevelType w:val="hybridMultilevel"/>
    <w:tmpl w:val="EA04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77D54BB"/>
    <w:multiLevelType w:val="hybridMultilevel"/>
    <w:tmpl w:val="B412B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7A53B3C"/>
    <w:multiLevelType w:val="hybridMultilevel"/>
    <w:tmpl w:val="6B22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863494C"/>
    <w:multiLevelType w:val="hybridMultilevel"/>
    <w:tmpl w:val="0CE04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8DB4A46"/>
    <w:multiLevelType w:val="hybridMultilevel"/>
    <w:tmpl w:val="4A46B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9061DCE"/>
    <w:multiLevelType w:val="hybridMultilevel"/>
    <w:tmpl w:val="63342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9272CF5"/>
    <w:multiLevelType w:val="hybridMultilevel"/>
    <w:tmpl w:val="641C0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9655A5B"/>
    <w:multiLevelType w:val="hybridMultilevel"/>
    <w:tmpl w:val="D1E6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A3F1AD7"/>
    <w:multiLevelType w:val="hybridMultilevel"/>
    <w:tmpl w:val="BF12A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A433BEF"/>
    <w:multiLevelType w:val="hybridMultilevel"/>
    <w:tmpl w:val="22F0D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A8F189E"/>
    <w:multiLevelType w:val="hybridMultilevel"/>
    <w:tmpl w:val="58AC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AB600AB"/>
    <w:multiLevelType w:val="hybridMultilevel"/>
    <w:tmpl w:val="AD900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B2B7250"/>
    <w:multiLevelType w:val="hybridMultilevel"/>
    <w:tmpl w:val="8BAE1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B7D408A"/>
    <w:multiLevelType w:val="hybridMultilevel"/>
    <w:tmpl w:val="563A6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BB055EB"/>
    <w:multiLevelType w:val="hybridMultilevel"/>
    <w:tmpl w:val="A836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C895C8C"/>
    <w:multiLevelType w:val="hybridMultilevel"/>
    <w:tmpl w:val="7AF8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D9E5F48"/>
    <w:multiLevelType w:val="hybridMultilevel"/>
    <w:tmpl w:val="1AC0A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DA906ED"/>
    <w:multiLevelType w:val="hybridMultilevel"/>
    <w:tmpl w:val="418E7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DBC7048"/>
    <w:multiLevelType w:val="hybridMultilevel"/>
    <w:tmpl w:val="092E6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F1101FE"/>
    <w:multiLevelType w:val="hybridMultilevel"/>
    <w:tmpl w:val="14BCD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F2757BE"/>
    <w:multiLevelType w:val="hybridMultilevel"/>
    <w:tmpl w:val="957C4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F7C7C93"/>
    <w:multiLevelType w:val="hybridMultilevel"/>
    <w:tmpl w:val="E3A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F9001F2"/>
    <w:multiLevelType w:val="hybridMultilevel"/>
    <w:tmpl w:val="BC82466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FAF4053"/>
    <w:multiLevelType w:val="hybridMultilevel"/>
    <w:tmpl w:val="F7226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FBA4C04"/>
    <w:multiLevelType w:val="hybridMultilevel"/>
    <w:tmpl w:val="1016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FF82F85"/>
    <w:multiLevelType w:val="hybridMultilevel"/>
    <w:tmpl w:val="8CF87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0836768"/>
    <w:multiLevelType w:val="hybridMultilevel"/>
    <w:tmpl w:val="BA2A70A6"/>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0DC4EAE"/>
    <w:multiLevelType w:val="hybridMultilevel"/>
    <w:tmpl w:val="C46040B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20F7535B"/>
    <w:multiLevelType w:val="hybridMultilevel"/>
    <w:tmpl w:val="ABA45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11C5A65"/>
    <w:multiLevelType w:val="hybridMultilevel"/>
    <w:tmpl w:val="2B98B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14B6BE1"/>
    <w:multiLevelType w:val="hybridMultilevel"/>
    <w:tmpl w:val="2F96F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19D4E91"/>
    <w:multiLevelType w:val="hybridMultilevel"/>
    <w:tmpl w:val="4B4C1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3A77FDF"/>
    <w:multiLevelType w:val="hybridMultilevel"/>
    <w:tmpl w:val="9FF0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40C28FD"/>
    <w:multiLevelType w:val="hybridMultilevel"/>
    <w:tmpl w:val="B068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44652D6"/>
    <w:multiLevelType w:val="hybridMultilevel"/>
    <w:tmpl w:val="33884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4660F0D"/>
    <w:multiLevelType w:val="hybridMultilevel"/>
    <w:tmpl w:val="536CD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4C554FD"/>
    <w:multiLevelType w:val="hybridMultilevel"/>
    <w:tmpl w:val="462C5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53C1EE5"/>
    <w:multiLevelType w:val="hybridMultilevel"/>
    <w:tmpl w:val="EA2AF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597567F"/>
    <w:multiLevelType w:val="hybridMultilevel"/>
    <w:tmpl w:val="A17C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5E0347D"/>
    <w:multiLevelType w:val="hybridMultilevel"/>
    <w:tmpl w:val="A3A6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6D02FAC"/>
    <w:multiLevelType w:val="hybridMultilevel"/>
    <w:tmpl w:val="E5EA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70064C8"/>
    <w:multiLevelType w:val="hybridMultilevel"/>
    <w:tmpl w:val="13D8B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79375D3"/>
    <w:multiLevelType w:val="hybridMultilevel"/>
    <w:tmpl w:val="4B0C7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8295691"/>
    <w:multiLevelType w:val="hybridMultilevel"/>
    <w:tmpl w:val="7B62C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8451A42"/>
    <w:multiLevelType w:val="hybridMultilevel"/>
    <w:tmpl w:val="7E0C2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86F5E1B"/>
    <w:multiLevelType w:val="hybridMultilevel"/>
    <w:tmpl w:val="09EE4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28E34675"/>
    <w:multiLevelType w:val="hybridMultilevel"/>
    <w:tmpl w:val="F4D89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90E2D30"/>
    <w:multiLevelType w:val="hybridMultilevel"/>
    <w:tmpl w:val="1C182328"/>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9EA3500"/>
    <w:multiLevelType w:val="hybridMultilevel"/>
    <w:tmpl w:val="0B588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A3C7FD0"/>
    <w:multiLevelType w:val="hybridMultilevel"/>
    <w:tmpl w:val="58063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2A460334"/>
    <w:multiLevelType w:val="hybridMultilevel"/>
    <w:tmpl w:val="3AB8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2A4E2D91"/>
    <w:multiLevelType w:val="hybridMultilevel"/>
    <w:tmpl w:val="8286C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A4F55BC"/>
    <w:multiLevelType w:val="hybridMultilevel"/>
    <w:tmpl w:val="BE0C4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2AC21214"/>
    <w:multiLevelType w:val="hybridMultilevel"/>
    <w:tmpl w:val="8DBC0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2B9D604B"/>
    <w:multiLevelType w:val="hybridMultilevel"/>
    <w:tmpl w:val="85BAA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2B9F1D01"/>
    <w:multiLevelType w:val="hybridMultilevel"/>
    <w:tmpl w:val="2BEE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2BED661A"/>
    <w:multiLevelType w:val="hybridMultilevel"/>
    <w:tmpl w:val="8DBA8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2C0C0699"/>
    <w:multiLevelType w:val="hybridMultilevel"/>
    <w:tmpl w:val="CDBEA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2C0E445C"/>
    <w:multiLevelType w:val="hybridMultilevel"/>
    <w:tmpl w:val="89DC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2C637B3E"/>
    <w:multiLevelType w:val="hybridMultilevel"/>
    <w:tmpl w:val="F4E6D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2C655E99"/>
    <w:multiLevelType w:val="hybridMultilevel"/>
    <w:tmpl w:val="161C9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2CD3641E"/>
    <w:multiLevelType w:val="hybridMultilevel"/>
    <w:tmpl w:val="51DE1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D3D3642"/>
    <w:multiLevelType w:val="hybridMultilevel"/>
    <w:tmpl w:val="BCFA5EB8"/>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DA2617C"/>
    <w:multiLevelType w:val="hybridMultilevel"/>
    <w:tmpl w:val="234A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2E1756D5"/>
    <w:multiLevelType w:val="hybridMultilevel"/>
    <w:tmpl w:val="18AE47D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15:restartNumberingAfterBreak="0">
    <w:nsid w:val="2E4A774C"/>
    <w:multiLevelType w:val="hybridMultilevel"/>
    <w:tmpl w:val="E9C0E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2FC260B0"/>
    <w:multiLevelType w:val="hybridMultilevel"/>
    <w:tmpl w:val="1B40E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148589B"/>
    <w:multiLevelType w:val="hybridMultilevel"/>
    <w:tmpl w:val="29167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1C46D51"/>
    <w:multiLevelType w:val="hybridMultilevel"/>
    <w:tmpl w:val="FACC1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21A3AD5"/>
    <w:multiLevelType w:val="hybridMultilevel"/>
    <w:tmpl w:val="E94ED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32483E8F"/>
    <w:multiLevelType w:val="hybridMultilevel"/>
    <w:tmpl w:val="48600596"/>
    <w:lvl w:ilvl="0" w:tplc="28FA652C">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34073E1A"/>
    <w:multiLevelType w:val="hybridMultilevel"/>
    <w:tmpl w:val="963A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433487A"/>
    <w:multiLevelType w:val="hybridMultilevel"/>
    <w:tmpl w:val="3384D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349B4CE9"/>
    <w:multiLevelType w:val="hybridMultilevel"/>
    <w:tmpl w:val="9D183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34B9648D"/>
    <w:multiLevelType w:val="hybridMultilevel"/>
    <w:tmpl w:val="EE886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353325DD"/>
    <w:multiLevelType w:val="hybridMultilevel"/>
    <w:tmpl w:val="A5788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354F5A93"/>
    <w:multiLevelType w:val="hybridMultilevel"/>
    <w:tmpl w:val="E57C8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57E59CF"/>
    <w:multiLevelType w:val="hybridMultilevel"/>
    <w:tmpl w:val="611CC50C"/>
    <w:lvl w:ilvl="0" w:tplc="F73C677C">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35D97A5E"/>
    <w:multiLevelType w:val="hybridMultilevel"/>
    <w:tmpl w:val="25EE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360C341D"/>
    <w:multiLevelType w:val="hybridMultilevel"/>
    <w:tmpl w:val="C040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36343337"/>
    <w:multiLevelType w:val="hybridMultilevel"/>
    <w:tmpl w:val="E6B44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36C60253"/>
    <w:multiLevelType w:val="hybridMultilevel"/>
    <w:tmpl w:val="C586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73B0088"/>
    <w:multiLevelType w:val="hybridMultilevel"/>
    <w:tmpl w:val="0F26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76134F7"/>
    <w:multiLevelType w:val="hybridMultilevel"/>
    <w:tmpl w:val="4CAA7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8060F5D"/>
    <w:multiLevelType w:val="hybridMultilevel"/>
    <w:tmpl w:val="78E0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839286C"/>
    <w:multiLevelType w:val="hybridMultilevel"/>
    <w:tmpl w:val="04405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387514B6"/>
    <w:multiLevelType w:val="hybridMultilevel"/>
    <w:tmpl w:val="85EAF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389916E2"/>
    <w:multiLevelType w:val="hybridMultilevel"/>
    <w:tmpl w:val="36A25D2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38AB2EF7"/>
    <w:multiLevelType w:val="hybridMultilevel"/>
    <w:tmpl w:val="FC4A3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38F71718"/>
    <w:multiLevelType w:val="hybridMultilevel"/>
    <w:tmpl w:val="3D3C8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38FE3A1E"/>
    <w:multiLevelType w:val="hybridMultilevel"/>
    <w:tmpl w:val="95DCB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39A07814"/>
    <w:multiLevelType w:val="hybridMultilevel"/>
    <w:tmpl w:val="F7504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39F5375E"/>
    <w:multiLevelType w:val="hybridMultilevel"/>
    <w:tmpl w:val="9E5C9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3AAD483F"/>
    <w:multiLevelType w:val="hybridMultilevel"/>
    <w:tmpl w:val="B754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BC36277"/>
    <w:multiLevelType w:val="hybridMultilevel"/>
    <w:tmpl w:val="6E845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3C925FA2"/>
    <w:multiLevelType w:val="hybridMultilevel"/>
    <w:tmpl w:val="1BD2B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3C9B486B"/>
    <w:multiLevelType w:val="hybridMultilevel"/>
    <w:tmpl w:val="FA6A5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3CE14D45"/>
    <w:multiLevelType w:val="hybridMultilevel"/>
    <w:tmpl w:val="9BCC6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3DB80BE8"/>
    <w:multiLevelType w:val="hybridMultilevel"/>
    <w:tmpl w:val="E806E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3DC60729"/>
    <w:multiLevelType w:val="hybridMultilevel"/>
    <w:tmpl w:val="C0B0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3E271685"/>
    <w:multiLevelType w:val="hybridMultilevel"/>
    <w:tmpl w:val="CAF6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3E864B76"/>
    <w:multiLevelType w:val="hybridMultilevel"/>
    <w:tmpl w:val="9F8E9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3F4C76E5"/>
    <w:multiLevelType w:val="hybridMultilevel"/>
    <w:tmpl w:val="8C5E743C"/>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3FBC58E0"/>
    <w:multiLevelType w:val="hybridMultilevel"/>
    <w:tmpl w:val="A6603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405D6FED"/>
    <w:multiLevelType w:val="hybridMultilevel"/>
    <w:tmpl w:val="363E793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407228AA"/>
    <w:multiLevelType w:val="hybridMultilevel"/>
    <w:tmpl w:val="007E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409C6B09"/>
    <w:multiLevelType w:val="hybridMultilevel"/>
    <w:tmpl w:val="A6047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0EB2813"/>
    <w:multiLevelType w:val="hybridMultilevel"/>
    <w:tmpl w:val="104A4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41786822"/>
    <w:multiLevelType w:val="hybridMultilevel"/>
    <w:tmpl w:val="4B86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41953F72"/>
    <w:multiLevelType w:val="hybridMultilevel"/>
    <w:tmpl w:val="8622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42504B59"/>
    <w:multiLevelType w:val="hybridMultilevel"/>
    <w:tmpl w:val="BA9EB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429C11BE"/>
    <w:multiLevelType w:val="hybridMultilevel"/>
    <w:tmpl w:val="D6ECB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42A44FB9"/>
    <w:multiLevelType w:val="hybridMultilevel"/>
    <w:tmpl w:val="55AC3F1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431A00F1"/>
    <w:multiLevelType w:val="hybridMultilevel"/>
    <w:tmpl w:val="9566C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43997FBF"/>
    <w:multiLevelType w:val="hybridMultilevel"/>
    <w:tmpl w:val="1FD8E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44221EB9"/>
    <w:multiLevelType w:val="hybridMultilevel"/>
    <w:tmpl w:val="8734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450F00DD"/>
    <w:multiLevelType w:val="hybridMultilevel"/>
    <w:tmpl w:val="D6DC40EA"/>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452426BC"/>
    <w:multiLevelType w:val="hybridMultilevel"/>
    <w:tmpl w:val="7D1C0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45383694"/>
    <w:multiLevelType w:val="hybridMultilevel"/>
    <w:tmpl w:val="37B22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45BD2E49"/>
    <w:multiLevelType w:val="hybridMultilevel"/>
    <w:tmpl w:val="7C402F76"/>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45D540B2"/>
    <w:multiLevelType w:val="hybridMultilevel"/>
    <w:tmpl w:val="E3EE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46352F6A"/>
    <w:multiLevelType w:val="hybridMultilevel"/>
    <w:tmpl w:val="47E2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46544A9A"/>
    <w:multiLevelType w:val="hybridMultilevel"/>
    <w:tmpl w:val="AAB45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46737B97"/>
    <w:multiLevelType w:val="hybridMultilevel"/>
    <w:tmpl w:val="33140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476E1251"/>
    <w:multiLevelType w:val="hybridMultilevel"/>
    <w:tmpl w:val="C58E7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4782168B"/>
    <w:multiLevelType w:val="hybridMultilevel"/>
    <w:tmpl w:val="F3F45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47EC7E4B"/>
    <w:multiLevelType w:val="hybridMultilevel"/>
    <w:tmpl w:val="F53492D6"/>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48343343"/>
    <w:multiLevelType w:val="hybridMultilevel"/>
    <w:tmpl w:val="AA98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488A0B2A"/>
    <w:multiLevelType w:val="hybridMultilevel"/>
    <w:tmpl w:val="70E8CEFC"/>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49877D5D"/>
    <w:multiLevelType w:val="hybridMultilevel"/>
    <w:tmpl w:val="7A7C6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49C13813"/>
    <w:multiLevelType w:val="hybridMultilevel"/>
    <w:tmpl w:val="DA98B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4A63038C"/>
    <w:multiLevelType w:val="hybridMultilevel"/>
    <w:tmpl w:val="3564B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4AF853B2"/>
    <w:multiLevelType w:val="hybridMultilevel"/>
    <w:tmpl w:val="3B8E3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4AFF6BA4"/>
    <w:multiLevelType w:val="hybridMultilevel"/>
    <w:tmpl w:val="56DC9D1A"/>
    <w:lvl w:ilvl="0" w:tplc="F73C677C">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4B193C17"/>
    <w:multiLevelType w:val="hybridMultilevel"/>
    <w:tmpl w:val="7B88A4C8"/>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4B2B6B7C"/>
    <w:multiLevelType w:val="hybridMultilevel"/>
    <w:tmpl w:val="673AA5B8"/>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4B69433D"/>
    <w:multiLevelType w:val="hybridMultilevel"/>
    <w:tmpl w:val="0A8AB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4B74669E"/>
    <w:multiLevelType w:val="hybridMultilevel"/>
    <w:tmpl w:val="2368A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4BEB2B36"/>
    <w:multiLevelType w:val="hybridMultilevel"/>
    <w:tmpl w:val="BF84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BFD644B"/>
    <w:multiLevelType w:val="hybridMultilevel"/>
    <w:tmpl w:val="AB72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4C4652D0"/>
    <w:multiLevelType w:val="hybridMultilevel"/>
    <w:tmpl w:val="ECD06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4CB27CC9"/>
    <w:multiLevelType w:val="hybridMultilevel"/>
    <w:tmpl w:val="8CCAC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4CD67F5F"/>
    <w:multiLevelType w:val="hybridMultilevel"/>
    <w:tmpl w:val="C35E6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4D0919E9"/>
    <w:multiLevelType w:val="hybridMultilevel"/>
    <w:tmpl w:val="6854F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4DE9270C"/>
    <w:multiLevelType w:val="hybridMultilevel"/>
    <w:tmpl w:val="6D8623E8"/>
    <w:lvl w:ilvl="0" w:tplc="F73C677C">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4E083DBC"/>
    <w:multiLevelType w:val="hybridMultilevel"/>
    <w:tmpl w:val="14DC8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4E9023EA"/>
    <w:multiLevelType w:val="hybridMultilevel"/>
    <w:tmpl w:val="DE1A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4E9E5423"/>
    <w:multiLevelType w:val="hybridMultilevel"/>
    <w:tmpl w:val="3A4A715A"/>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4EA841D6"/>
    <w:multiLevelType w:val="hybridMultilevel"/>
    <w:tmpl w:val="C97A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4F0651A9"/>
    <w:multiLevelType w:val="hybridMultilevel"/>
    <w:tmpl w:val="C4F0D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4FD26F72"/>
    <w:multiLevelType w:val="hybridMultilevel"/>
    <w:tmpl w:val="4B64B08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501E601C"/>
    <w:multiLevelType w:val="hybridMultilevel"/>
    <w:tmpl w:val="D870D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50355602"/>
    <w:multiLevelType w:val="hybridMultilevel"/>
    <w:tmpl w:val="BBB6E12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504C354B"/>
    <w:multiLevelType w:val="hybridMultilevel"/>
    <w:tmpl w:val="F1421E46"/>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0951F12"/>
    <w:multiLevelType w:val="hybridMultilevel"/>
    <w:tmpl w:val="35AA2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1310C69"/>
    <w:multiLevelType w:val="hybridMultilevel"/>
    <w:tmpl w:val="81668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522347F4"/>
    <w:multiLevelType w:val="hybridMultilevel"/>
    <w:tmpl w:val="4374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522A54A9"/>
    <w:multiLevelType w:val="hybridMultilevel"/>
    <w:tmpl w:val="1E32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52A12FD1"/>
    <w:multiLevelType w:val="hybridMultilevel"/>
    <w:tmpl w:val="F6803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53494CB5"/>
    <w:multiLevelType w:val="hybridMultilevel"/>
    <w:tmpl w:val="17E8A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53F64D10"/>
    <w:multiLevelType w:val="hybridMultilevel"/>
    <w:tmpl w:val="697AD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54A7623D"/>
    <w:multiLevelType w:val="hybridMultilevel"/>
    <w:tmpl w:val="134E1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54BB4B3A"/>
    <w:multiLevelType w:val="hybridMultilevel"/>
    <w:tmpl w:val="4A68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54C30093"/>
    <w:multiLevelType w:val="hybridMultilevel"/>
    <w:tmpl w:val="6256FB08"/>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54F165DC"/>
    <w:multiLevelType w:val="hybridMultilevel"/>
    <w:tmpl w:val="D072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551958A1"/>
    <w:multiLevelType w:val="hybridMultilevel"/>
    <w:tmpl w:val="FBFA4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556D0786"/>
    <w:multiLevelType w:val="hybridMultilevel"/>
    <w:tmpl w:val="BBB0F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557107A0"/>
    <w:multiLevelType w:val="hybridMultilevel"/>
    <w:tmpl w:val="845E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55863DB7"/>
    <w:multiLevelType w:val="hybridMultilevel"/>
    <w:tmpl w:val="A7F4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55992978"/>
    <w:multiLevelType w:val="hybridMultilevel"/>
    <w:tmpl w:val="42B0D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55C82B9E"/>
    <w:multiLevelType w:val="hybridMultilevel"/>
    <w:tmpl w:val="A42E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562E5D42"/>
    <w:multiLevelType w:val="hybridMultilevel"/>
    <w:tmpl w:val="D0D04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56B8130F"/>
    <w:multiLevelType w:val="hybridMultilevel"/>
    <w:tmpl w:val="D5A0D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577026C9"/>
    <w:multiLevelType w:val="hybridMultilevel"/>
    <w:tmpl w:val="54604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587268CE"/>
    <w:multiLevelType w:val="hybridMultilevel"/>
    <w:tmpl w:val="0CD0C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58741ACE"/>
    <w:multiLevelType w:val="hybridMultilevel"/>
    <w:tmpl w:val="1724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590D0477"/>
    <w:multiLevelType w:val="hybridMultilevel"/>
    <w:tmpl w:val="1B107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591F356B"/>
    <w:multiLevelType w:val="hybridMultilevel"/>
    <w:tmpl w:val="3B5CC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595D0622"/>
    <w:multiLevelType w:val="hybridMultilevel"/>
    <w:tmpl w:val="81CA84FC"/>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5A0D7675"/>
    <w:multiLevelType w:val="hybridMultilevel"/>
    <w:tmpl w:val="92A8B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5A0F2D20"/>
    <w:multiLevelType w:val="hybridMultilevel"/>
    <w:tmpl w:val="AF4CA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5A1A531C"/>
    <w:multiLevelType w:val="hybridMultilevel"/>
    <w:tmpl w:val="4992B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5A497C18"/>
    <w:multiLevelType w:val="hybridMultilevel"/>
    <w:tmpl w:val="CF382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5A6772E9"/>
    <w:multiLevelType w:val="hybridMultilevel"/>
    <w:tmpl w:val="6D642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5AE24D1B"/>
    <w:multiLevelType w:val="hybridMultilevel"/>
    <w:tmpl w:val="A20AC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5AF35749"/>
    <w:multiLevelType w:val="hybridMultilevel"/>
    <w:tmpl w:val="9D822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5B25727B"/>
    <w:multiLevelType w:val="hybridMultilevel"/>
    <w:tmpl w:val="B58C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5B441336"/>
    <w:multiLevelType w:val="hybridMultilevel"/>
    <w:tmpl w:val="84649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5B9B07F7"/>
    <w:multiLevelType w:val="hybridMultilevel"/>
    <w:tmpl w:val="6D480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5BAE6378"/>
    <w:multiLevelType w:val="hybridMultilevel"/>
    <w:tmpl w:val="87845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5C54558B"/>
    <w:multiLevelType w:val="hybridMultilevel"/>
    <w:tmpl w:val="D8A26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5C822846"/>
    <w:multiLevelType w:val="hybridMultilevel"/>
    <w:tmpl w:val="93D84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7" w15:restartNumberingAfterBreak="0">
    <w:nsid w:val="5C8E0DC8"/>
    <w:multiLevelType w:val="hybridMultilevel"/>
    <w:tmpl w:val="74E6F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5C917938"/>
    <w:multiLevelType w:val="hybridMultilevel"/>
    <w:tmpl w:val="74601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5D100390"/>
    <w:multiLevelType w:val="hybridMultilevel"/>
    <w:tmpl w:val="C760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5D875CF3"/>
    <w:multiLevelType w:val="hybridMultilevel"/>
    <w:tmpl w:val="3A426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5DA958F2"/>
    <w:multiLevelType w:val="hybridMultilevel"/>
    <w:tmpl w:val="F7868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5DD747DC"/>
    <w:multiLevelType w:val="hybridMultilevel"/>
    <w:tmpl w:val="F59A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5DDB678A"/>
    <w:multiLevelType w:val="hybridMultilevel"/>
    <w:tmpl w:val="B238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5DFA7FAF"/>
    <w:multiLevelType w:val="hybridMultilevel"/>
    <w:tmpl w:val="AF0CE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5E4D7FCF"/>
    <w:multiLevelType w:val="hybridMultilevel"/>
    <w:tmpl w:val="1A8E3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5E5C2AB0"/>
    <w:multiLevelType w:val="hybridMultilevel"/>
    <w:tmpl w:val="D264F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5E9A7384"/>
    <w:multiLevelType w:val="hybridMultilevel"/>
    <w:tmpl w:val="37CCDBC8"/>
    <w:lvl w:ilvl="0" w:tplc="28FA652C">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5EA534F8"/>
    <w:multiLevelType w:val="hybridMultilevel"/>
    <w:tmpl w:val="7220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5EAB18EF"/>
    <w:multiLevelType w:val="hybridMultilevel"/>
    <w:tmpl w:val="6DBC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5EEC3C2D"/>
    <w:multiLevelType w:val="hybridMultilevel"/>
    <w:tmpl w:val="7242E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607C3C47"/>
    <w:multiLevelType w:val="hybridMultilevel"/>
    <w:tmpl w:val="104C7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62040C91"/>
    <w:multiLevelType w:val="hybridMultilevel"/>
    <w:tmpl w:val="17D4991C"/>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632E2BC2"/>
    <w:multiLevelType w:val="hybridMultilevel"/>
    <w:tmpl w:val="C0A86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63B01566"/>
    <w:multiLevelType w:val="hybridMultilevel"/>
    <w:tmpl w:val="3A6EF086"/>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643767EB"/>
    <w:multiLevelType w:val="hybridMultilevel"/>
    <w:tmpl w:val="FEF0FA3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6" w15:restartNumberingAfterBreak="0">
    <w:nsid w:val="64D34683"/>
    <w:multiLevelType w:val="hybridMultilevel"/>
    <w:tmpl w:val="A0D0E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64EA2EF4"/>
    <w:multiLevelType w:val="hybridMultilevel"/>
    <w:tmpl w:val="1B0C1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64F60E3E"/>
    <w:multiLevelType w:val="hybridMultilevel"/>
    <w:tmpl w:val="6CE62E86"/>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65FB13D8"/>
    <w:multiLevelType w:val="hybridMultilevel"/>
    <w:tmpl w:val="4A68C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66441137"/>
    <w:multiLevelType w:val="hybridMultilevel"/>
    <w:tmpl w:val="53844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664E79F2"/>
    <w:multiLevelType w:val="hybridMultilevel"/>
    <w:tmpl w:val="18DCF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6663263A"/>
    <w:multiLevelType w:val="hybridMultilevel"/>
    <w:tmpl w:val="5A945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667F5CE7"/>
    <w:multiLevelType w:val="hybridMultilevel"/>
    <w:tmpl w:val="81FE7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66AC1160"/>
    <w:multiLevelType w:val="hybridMultilevel"/>
    <w:tmpl w:val="7D968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670C77F1"/>
    <w:multiLevelType w:val="hybridMultilevel"/>
    <w:tmpl w:val="E62E2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676D0A2F"/>
    <w:multiLevelType w:val="hybridMultilevel"/>
    <w:tmpl w:val="9722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677A766A"/>
    <w:multiLevelType w:val="hybridMultilevel"/>
    <w:tmpl w:val="06D80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68A25587"/>
    <w:multiLevelType w:val="hybridMultilevel"/>
    <w:tmpl w:val="9384A30A"/>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68E31B96"/>
    <w:multiLevelType w:val="hybridMultilevel"/>
    <w:tmpl w:val="13DC3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699416F7"/>
    <w:multiLevelType w:val="hybridMultilevel"/>
    <w:tmpl w:val="93548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69AA78CD"/>
    <w:multiLevelType w:val="hybridMultilevel"/>
    <w:tmpl w:val="33D27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69CE4FC3"/>
    <w:multiLevelType w:val="hybridMultilevel"/>
    <w:tmpl w:val="B24E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6A940A6D"/>
    <w:multiLevelType w:val="hybridMultilevel"/>
    <w:tmpl w:val="B97EC7F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4" w15:restartNumberingAfterBreak="0">
    <w:nsid w:val="6AA871E1"/>
    <w:multiLevelType w:val="hybridMultilevel"/>
    <w:tmpl w:val="FF225790"/>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6B02783D"/>
    <w:multiLevelType w:val="hybridMultilevel"/>
    <w:tmpl w:val="95B8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6B184433"/>
    <w:multiLevelType w:val="hybridMultilevel"/>
    <w:tmpl w:val="30442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6B2E19E9"/>
    <w:multiLevelType w:val="hybridMultilevel"/>
    <w:tmpl w:val="03DEC2C2"/>
    <w:lvl w:ilvl="0" w:tplc="BE4E28DC">
      <w:start w:val="1"/>
      <w:numFmt w:val="hebrew1"/>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6BA44850"/>
    <w:multiLevelType w:val="hybridMultilevel"/>
    <w:tmpl w:val="1C0C8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6BA978AC"/>
    <w:multiLevelType w:val="hybridMultilevel"/>
    <w:tmpl w:val="4386DFD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15:restartNumberingAfterBreak="0">
    <w:nsid w:val="6C6771B9"/>
    <w:multiLevelType w:val="hybridMultilevel"/>
    <w:tmpl w:val="367A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6D7F6A4F"/>
    <w:multiLevelType w:val="hybridMultilevel"/>
    <w:tmpl w:val="B2E2368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6DA93245"/>
    <w:multiLevelType w:val="hybridMultilevel"/>
    <w:tmpl w:val="5BF06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6DE12C6B"/>
    <w:multiLevelType w:val="hybridMultilevel"/>
    <w:tmpl w:val="5CD4A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15:restartNumberingAfterBreak="0">
    <w:nsid w:val="6E0D3415"/>
    <w:multiLevelType w:val="hybridMultilevel"/>
    <w:tmpl w:val="590EF0D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6EAF7385"/>
    <w:multiLevelType w:val="hybridMultilevel"/>
    <w:tmpl w:val="5AA28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15:restartNumberingAfterBreak="0">
    <w:nsid w:val="6ECA0346"/>
    <w:multiLevelType w:val="hybridMultilevel"/>
    <w:tmpl w:val="95FA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15:restartNumberingAfterBreak="0">
    <w:nsid w:val="6EF32D18"/>
    <w:multiLevelType w:val="hybridMultilevel"/>
    <w:tmpl w:val="6ED43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6F2D5F97"/>
    <w:multiLevelType w:val="hybridMultilevel"/>
    <w:tmpl w:val="8AFA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15:restartNumberingAfterBreak="0">
    <w:nsid w:val="6F415C0D"/>
    <w:multiLevelType w:val="hybridMultilevel"/>
    <w:tmpl w:val="84CAC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6F6B1A17"/>
    <w:multiLevelType w:val="hybridMultilevel"/>
    <w:tmpl w:val="57C2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6F7E0746"/>
    <w:multiLevelType w:val="hybridMultilevel"/>
    <w:tmpl w:val="AD22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2" w15:restartNumberingAfterBreak="0">
    <w:nsid w:val="70203929"/>
    <w:multiLevelType w:val="hybridMultilevel"/>
    <w:tmpl w:val="0EAE9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15:restartNumberingAfterBreak="0">
    <w:nsid w:val="70611611"/>
    <w:multiLevelType w:val="hybridMultilevel"/>
    <w:tmpl w:val="82C2F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15:restartNumberingAfterBreak="0">
    <w:nsid w:val="70F4192E"/>
    <w:multiLevelType w:val="hybridMultilevel"/>
    <w:tmpl w:val="5B847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71326327"/>
    <w:multiLevelType w:val="hybridMultilevel"/>
    <w:tmpl w:val="1226B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15:restartNumberingAfterBreak="0">
    <w:nsid w:val="71BB6E8D"/>
    <w:multiLevelType w:val="hybridMultilevel"/>
    <w:tmpl w:val="DF127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720030A9"/>
    <w:multiLevelType w:val="hybridMultilevel"/>
    <w:tmpl w:val="F35C997A"/>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724C1BEE"/>
    <w:multiLevelType w:val="hybridMultilevel"/>
    <w:tmpl w:val="D6421FE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9" w15:restartNumberingAfterBreak="0">
    <w:nsid w:val="72667FB1"/>
    <w:multiLevelType w:val="hybridMultilevel"/>
    <w:tmpl w:val="AB5088EC"/>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735128CC"/>
    <w:multiLevelType w:val="hybridMultilevel"/>
    <w:tmpl w:val="40E625C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15:restartNumberingAfterBreak="0">
    <w:nsid w:val="738750C7"/>
    <w:multiLevelType w:val="hybridMultilevel"/>
    <w:tmpl w:val="BDAE34AA"/>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15:restartNumberingAfterBreak="0">
    <w:nsid w:val="73BC41F9"/>
    <w:multiLevelType w:val="hybridMultilevel"/>
    <w:tmpl w:val="43581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15:restartNumberingAfterBreak="0">
    <w:nsid w:val="73F43B16"/>
    <w:multiLevelType w:val="hybridMultilevel"/>
    <w:tmpl w:val="9BB85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15:restartNumberingAfterBreak="0">
    <w:nsid w:val="73F709BB"/>
    <w:multiLevelType w:val="hybridMultilevel"/>
    <w:tmpl w:val="E1540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742210E5"/>
    <w:multiLevelType w:val="hybridMultilevel"/>
    <w:tmpl w:val="8F6CA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7442480C"/>
    <w:multiLevelType w:val="hybridMultilevel"/>
    <w:tmpl w:val="95F41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15:restartNumberingAfterBreak="0">
    <w:nsid w:val="746B70FE"/>
    <w:multiLevelType w:val="hybridMultilevel"/>
    <w:tmpl w:val="283E50F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08" w15:restartNumberingAfterBreak="0">
    <w:nsid w:val="74CE5A2F"/>
    <w:multiLevelType w:val="hybridMultilevel"/>
    <w:tmpl w:val="15CA4BAE"/>
    <w:lvl w:ilvl="0" w:tplc="F73C677C">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15:restartNumberingAfterBreak="0">
    <w:nsid w:val="74FA6451"/>
    <w:multiLevelType w:val="hybridMultilevel"/>
    <w:tmpl w:val="977CD8F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nsid w:val="756C7B1E"/>
    <w:multiLevelType w:val="hybridMultilevel"/>
    <w:tmpl w:val="64FC8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15:restartNumberingAfterBreak="0">
    <w:nsid w:val="75730BB8"/>
    <w:multiLevelType w:val="hybridMultilevel"/>
    <w:tmpl w:val="7AB85E2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312" w15:restartNumberingAfterBreak="0">
    <w:nsid w:val="75755641"/>
    <w:multiLevelType w:val="hybridMultilevel"/>
    <w:tmpl w:val="858A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75CC5A96"/>
    <w:multiLevelType w:val="hybridMultilevel"/>
    <w:tmpl w:val="DD349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4" w15:restartNumberingAfterBreak="0">
    <w:nsid w:val="767370CA"/>
    <w:multiLevelType w:val="hybridMultilevel"/>
    <w:tmpl w:val="F6325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15:restartNumberingAfterBreak="0">
    <w:nsid w:val="76877907"/>
    <w:multiLevelType w:val="hybridMultilevel"/>
    <w:tmpl w:val="BD3C2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76D51C9C"/>
    <w:multiLevelType w:val="hybridMultilevel"/>
    <w:tmpl w:val="F844D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15:restartNumberingAfterBreak="0">
    <w:nsid w:val="76EA367F"/>
    <w:multiLevelType w:val="hybridMultilevel"/>
    <w:tmpl w:val="ED2C5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nsid w:val="777C1CBE"/>
    <w:multiLevelType w:val="hybridMultilevel"/>
    <w:tmpl w:val="A5984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78146AA5"/>
    <w:multiLevelType w:val="hybridMultilevel"/>
    <w:tmpl w:val="1038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15:restartNumberingAfterBreak="0">
    <w:nsid w:val="7862100B"/>
    <w:multiLevelType w:val="hybridMultilevel"/>
    <w:tmpl w:val="3DE26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15:restartNumberingAfterBreak="0">
    <w:nsid w:val="78633ED3"/>
    <w:multiLevelType w:val="hybridMultilevel"/>
    <w:tmpl w:val="CC1CC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nsid w:val="786340B4"/>
    <w:multiLevelType w:val="hybridMultilevel"/>
    <w:tmpl w:val="B184C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15:restartNumberingAfterBreak="0">
    <w:nsid w:val="78C91569"/>
    <w:multiLevelType w:val="hybridMultilevel"/>
    <w:tmpl w:val="5F222122"/>
    <w:lvl w:ilvl="0" w:tplc="3C420DA6">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nsid w:val="790E5300"/>
    <w:multiLevelType w:val="hybridMultilevel"/>
    <w:tmpl w:val="F1840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15:restartNumberingAfterBreak="0">
    <w:nsid w:val="79D37745"/>
    <w:multiLevelType w:val="hybridMultilevel"/>
    <w:tmpl w:val="8EEC6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15:restartNumberingAfterBreak="0">
    <w:nsid w:val="7A126097"/>
    <w:multiLevelType w:val="hybridMultilevel"/>
    <w:tmpl w:val="B7AC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7A350410"/>
    <w:multiLevelType w:val="hybridMultilevel"/>
    <w:tmpl w:val="0ADC1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15:restartNumberingAfterBreak="0">
    <w:nsid w:val="7A986469"/>
    <w:multiLevelType w:val="hybridMultilevel"/>
    <w:tmpl w:val="B36CB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7AED39B0"/>
    <w:multiLevelType w:val="hybridMultilevel"/>
    <w:tmpl w:val="AC68B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15:restartNumberingAfterBreak="0">
    <w:nsid w:val="7B067116"/>
    <w:multiLevelType w:val="hybridMultilevel"/>
    <w:tmpl w:val="5978B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7BB80FD5"/>
    <w:multiLevelType w:val="hybridMultilevel"/>
    <w:tmpl w:val="01C88C92"/>
    <w:lvl w:ilvl="0" w:tplc="2C1EC08A">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15:restartNumberingAfterBreak="0">
    <w:nsid w:val="7BD0203D"/>
    <w:multiLevelType w:val="hybridMultilevel"/>
    <w:tmpl w:val="1C02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7C4E0DD8"/>
    <w:multiLevelType w:val="hybridMultilevel"/>
    <w:tmpl w:val="5106A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7C8678B5"/>
    <w:multiLevelType w:val="hybridMultilevel"/>
    <w:tmpl w:val="71D80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7CE239A7"/>
    <w:multiLevelType w:val="hybridMultilevel"/>
    <w:tmpl w:val="AB100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7D0E4579"/>
    <w:multiLevelType w:val="hybridMultilevel"/>
    <w:tmpl w:val="0C8EF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7" w15:restartNumberingAfterBreak="0">
    <w:nsid w:val="7D6261DF"/>
    <w:multiLevelType w:val="hybridMultilevel"/>
    <w:tmpl w:val="C91CE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15:restartNumberingAfterBreak="0">
    <w:nsid w:val="7D8F37E2"/>
    <w:multiLevelType w:val="hybridMultilevel"/>
    <w:tmpl w:val="A9164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15:restartNumberingAfterBreak="0">
    <w:nsid w:val="7E8F0032"/>
    <w:multiLevelType w:val="hybridMultilevel"/>
    <w:tmpl w:val="4646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15:restartNumberingAfterBreak="0">
    <w:nsid w:val="7F217213"/>
    <w:multiLevelType w:val="hybridMultilevel"/>
    <w:tmpl w:val="6824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1" w15:restartNumberingAfterBreak="0">
    <w:nsid w:val="7F873571"/>
    <w:multiLevelType w:val="hybridMultilevel"/>
    <w:tmpl w:val="BD1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15:restartNumberingAfterBreak="0">
    <w:nsid w:val="7F8D2488"/>
    <w:multiLevelType w:val="hybridMultilevel"/>
    <w:tmpl w:val="3E0CB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3" w15:restartNumberingAfterBreak="0">
    <w:nsid w:val="7FB76749"/>
    <w:multiLevelType w:val="hybridMultilevel"/>
    <w:tmpl w:val="75303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0726436">
    <w:abstractNumId w:val="92"/>
  </w:num>
  <w:num w:numId="2" w16cid:durableId="494031237">
    <w:abstractNumId w:val="158"/>
  </w:num>
  <w:num w:numId="3" w16cid:durableId="325597515">
    <w:abstractNumId w:val="131"/>
  </w:num>
  <w:num w:numId="4" w16cid:durableId="984746559">
    <w:abstractNumId w:val="248"/>
  </w:num>
  <w:num w:numId="5" w16cid:durableId="2094544139">
    <w:abstractNumId w:val="13"/>
  </w:num>
  <w:num w:numId="6" w16cid:durableId="500774184">
    <w:abstractNumId w:val="304"/>
  </w:num>
  <w:num w:numId="7" w16cid:durableId="122817400">
    <w:abstractNumId w:val="281"/>
  </w:num>
  <w:num w:numId="8" w16cid:durableId="752974560">
    <w:abstractNumId w:val="99"/>
  </w:num>
  <w:num w:numId="9" w16cid:durableId="746271188">
    <w:abstractNumId w:val="163"/>
  </w:num>
  <w:num w:numId="10" w16cid:durableId="1332563981">
    <w:abstractNumId w:val="17"/>
  </w:num>
  <w:num w:numId="11" w16cid:durableId="1458059789">
    <w:abstractNumId w:val="41"/>
  </w:num>
  <w:num w:numId="12" w16cid:durableId="884292856">
    <w:abstractNumId w:val="1"/>
  </w:num>
  <w:num w:numId="13" w16cid:durableId="1641300805">
    <w:abstractNumId w:val="338"/>
  </w:num>
  <w:num w:numId="14" w16cid:durableId="1241712402">
    <w:abstractNumId w:val="144"/>
  </w:num>
  <w:num w:numId="15" w16cid:durableId="1850023430">
    <w:abstractNumId w:val="138"/>
  </w:num>
  <w:num w:numId="16" w16cid:durableId="686639618">
    <w:abstractNumId w:val="39"/>
  </w:num>
  <w:num w:numId="17" w16cid:durableId="2069526743">
    <w:abstractNumId w:val="146"/>
  </w:num>
  <w:num w:numId="18" w16cid:durableId="345789275">
    <w:abstractNumId w:val="263"/>
  </w:num>
  <w:num w:numId="19" w16cid:durableId="1410469059">
    <w:abstractNumId w:val="309"/>
  </w:num>
  <w:num w:numId="20" w16cid:durableId="85418661">
    <w:abstractNumId w:val="253"/>
  </w:num>
  <w:num w:numId="21" w16cid:durableId="1466511433">
    <w:abstractNumId w:val="159"/>
  </w:num>
  <w:num w:numId="22" w16cid:durableId="1557279658">
    <w:abstractNumId w:val="198"/>
  </w:num>
  <w:num w:numId="23" w16cid:durableId="1212956769">
    <w:abstractNumId w:val="98"/>
  </w:num>
  <w:num w:numId="24" w16cid:durableId="1251423914">
    <w:abstractNumId w:val="180"/>
  </w:num>
  <w:num w:numId="25" w16cid:durableId="1095134028">
    <w:abstractNumId w:val="201"/>
  </w:num>
  <w:num w:numId="26" w16cid:durableId="571814718">
    <w:abstractNumId w:val="174"/>
  </w:num>
  <w:num w:numId="27" w16cid:durableId="1140460669">
    <w:abstractNumId w:val="266"/>
  </w:num>
  <w:num w:numId="28" w16cid:durableId="1820227283">
    <w:abstractNumId w:val="126"/>
  </w:num>
  <w:num w:numId="29" w16cid:durableId="1346251324">
    <w:abstractNumId w:val="184"/>
  </w:num>
  <w:num w:numId="30" w16cid:durableId="395737697">
    <w:abstractNumId w:val="80"/>
  </w:num>
  <w:num w:numId="31" w16cid:durableId="2016493778">
    <w:abstractNumId w:val="216"/>
  </w:num>
  <w:num w:numId="32" w16cid:durableId="1593052333">
    <w:abstractNumId w:val="82"/>
  </w:num>
  <w:num w:numId="33" w16cid:durableId="106435674">
    <w:abstractNumId w:val="245"/>
  </w:num>
  <w:num w:numId="34" w16cid:durableId="18970442">
    <w:abstractNumId w:val="26"/>
  </w:num>
  <w:num w:numId="35" w16cid:durableId="1058824003">
    <w:abstractNumId w:val="123"/>
  </w:num>
  <w:num w:numId="36" w16cid:durableId="361320699">
    <w:abstractNumId w:val="293"/>
  </w:num>
  <w:num w:numId="37" w16cid:durableId="262228204">
    <w:abstractNumId w:val="215"/>
  </w:num>
  <w:num w:numId="38" w16cid:durableId="128475802">
    <w:abstractNumId w:val="21"/>
  </w:num>
  <w:num w:numId="39" w16cid:durableId="39256308">
    <w:abstractNumId w:val="191"/>
  </w:num>
  <w:num w:numId="40" w16cid:durableId="693922710">
    <w:abstractNumId w:val="188"/>
  </w:num>
  <w:num w:numId="41" w16cid:durableId="9769196">
    <w:abstractNumId w:val="217"/>
  </w:num>
  <w:num w:numId="42" w16cid:durableId="547496094">
    <w:abstractNumId w:val="189"/>
  </w:num>
  <w:num w:numId="43" w16cid:durableId="518740516">
    <w:abstractNumId w:val="343"/>
  </w:num>
  <w:num w:numId="44" w16cid:durableId="1546602355">
    <w:abstractNumId w:val="4"/>
  </w:num>
  <w:num w:numId="45" w16cid:durableId="2120181000">
    <w:abstractNumId w:val="334"/>
  </w:num>
  <w:num w:numId="46" w16cid:durableId="1637680380">
    <w:abstractNumId w:val="178"/>
  </w:num>
  <w:num w:numId="47" w16cid:durableId="870651372">
    <w:abstractNumId w:val="122"/>
  </w:num>
  <w:num w:numId="48" w16cid:durableId="106123466">
    <w:abstractNumId w:val="308"/>
  </w:num>
  <w:num w:numId="49" w16cid:durableId="685135106">
    <w:abstractNumId w:val="250"/>
  </w:num>
  <w:num w:numId="50" w16cid:durableId="420954273">
    <w:abstractNumId w:val="341"/>
  </w:num>
  <w:num w:numId="51" w16cid:durableId="1694456900">
    <w:abstractNumId w:val="232"/>
  </w:num>
  <w:num w:numId="52" w16cid:durableId="6299560">
    <w:abstractNumId w:val="249"/>
  </w:num>
  <w:num w:numId="53" w16cid:durableId="5137277">
    <w:abstractNumId w:val="204"/>
  </w:num>
  <w:num w:numId="54" w16cid:durableId="923298604">
    <w:abstractNumId w:val="287"/>
  </w:num>
  <w:num w:numId="55" w16cid:durableId="51664048">
    <w:abstractNumId w:val="337"/>
  </w:num>
  <w:num w:numId="56" w16cid:durableId="1335913740">
    <w:abstractNumId w:val="69"/>
  </w:num>
  <w:num w:numId="57" w16cid:durableId="708142895">
    <w:abstractNumId w:val="225"/>
  </w:num>
  <w:num w:numId="58" w16cid:durableId="975062566">
    <w:abstractNumId w:val="300"/>
  </w:num>
  <w:num w:numId="59" w16cid:durableId="1360396423">
    <w:abstractNumId w:val="317"/>
  </w:num>
  <w:num w:numId="60" w16cid:durableId="1917938975">
    <w:abstractNumId w:val="156"/>
  </w:num>
  <w:num w:numId="61" w16cid:durableId="619141341">
    <w:abstractNumId w:val="116"/>
  </w:num>
  <w:num w:numId="62" w16cid:durableId="81024393">
    <w:abstractNumId w:val="321"/>
  </w:num>
  <w:num w:numId="63" w16cid:durableId="1372076863">
    <w:abstractNumId w:val="137"/>
  </w:num>
  <w:num w:numId="64" w16cid:durableId="2057044496">
    <w:abstractNumId w:val="172"/>
  </w:num>
  <w:num w:numId="65" w16cid:durableId="824510764">
    <w:abstractNumId w:val="46"/>
  </w:num>
  <w:num w:numId="66" w16cid:durableId="2034451364">
    <w:abstractNumId w:val="83"/>
  </w:num>
  <w:num w:numId="67" w16cid:durableId="436872693">
    <w:abstractNumId w:val="199"/>
  </w:num>
  <w:num w:numId="68" w16cid:durableId="776481294">
    <w:abstractNumId w:val="70"/>
  </w:num>
  <w:num w:numId="69" w16cid:durableId="1014301419">
    <w:abstractNumId w:val="65"/>
  </w:num>
  <w:num w:numId="70" w16cid:durableId="1560556285">
    <w:abstractNumId w:val="196"/>
  </w:num>
  <w:num w:numId="71" w16cid:durableId="341248625">
    <w:abstractNumId w:val="222"/>
  </w:num>
  <w:num w:numId="72" w16cid:durableId="1419863525">
    <w:abstractNumId w:val="145"/>
  </w:num>
  <w:num w:numId="73" w16cid:durableId="847909805">
    <w:abstractNumId w:val="203"/>
  </w:num>
  <w:num w:numId="74" w16cid:durableId="679821841">
    <w:abstractNumId w:val="154"/>
  </w:num>
  <w:num w:numId="75" w16cid:durableId="313608222">
    <w:abstractNumId w:val="275"/>
  </w:num>
  <w:num w:numId="76" w16cid:durableId="1830167327">
    <w:abstractNumId w:val="234"/>
  </w:num>
  <w:num w:numId="77" w16cid:durableId="1570573771">
    <w:abstractNumId w:val="101"/>
  </w:num>
  <w:num w:numId="78" w16cid:durableId="1479224246">
    <w:abstractNumId w:val="31"/>
  </w:num>
  <w:num w:numId="79" w16cid:durableId="1558662069">
    <w:abstractNumId w:val="301"/>
  </w:num>
  <w:num w:numId="80" w16cid:durableId="2088653338">
    <w:abstractNumId w:val="206"/>
  </w:num>
  <w:num w:numId="81" w16cid:durableId="1406099584">
    <w:abstractNumId w:val="246"/>
  </w:num>
  <w:num w:numId="82" w16cid:durableId="473109571">
    <w:abstractNumId w:val="64"/>
  </w:num>
  <w:num w:numId="83" w16cid:durableId="292836773">
    <w:abstractNumId w:val="129"/>
  </w:num>
  <w:num w:numId="84" w16cid:durableId="1351955871">
    <w:abstractNumId w:val="202"/>
  </w:num>
  <w:num w:numId="85" w16cid:durableId="1959141646">
    <w:abstractNumId w:val="61"/>
  </w:num>
  <w:num w:numId="86" w16cid:durableId="2047824296">
    <w:abstractNumId w:val="124"/>
  </w:num>
  <w:num w:numId="87" w16cid:durableId="1292786022">
    <w:abstractNumId w:val="269"/>
  </w:num>
  <w:num w:numId="88" w16cid:durableId="69812286">
    <w:abstractNumId w:val="130"/>
  </w:num>
  <w:num w:numId="89" w16cid:durableId="1703359152">
    <w:abstractNumId w:val="112"/>
  </w:num>
  <w:num w:numId="90" w16cid:durableId="167717647">
    <w:abstractNumId w:val="52"/>
  </w:num>
  <w:num w:numId="91" w16cid:durableId="887497674">
    <w:abstractNumId w:val="342"/>
  </w:num>
  <w:num w:numId="92" w16cid:durableId="742214748">
    <w:abstractNumId w:val="18"/>
  </w:num>
  <w:num w:numId="93" w16cid:durableId="1650286387">
    <w:abstractNumId w:val="103"/>
  </w:num>
  <w:num w:numId="94" w16cid:durableId="744911584">
    <w:abstractNumId w:val="6"/>
  </w:num>
  <w:num w:numId="95" w16cid:durableId="302081307">
    <w:abstractNumId w:val="47"/>
  </w:num>
  <w:num w:numId="96" w16cid:durableId="1633439503">
    <w:abstractNumId w:val="32"/>
  </w:num>
  <w:num w:numId="97" w16cid:durableId="1402479541">
    <w:abstractNumId w:val="316"/>
  </w:num>
  <w:num w:numId="98" w16cid:durableId="1348173565">
    <w:abstractNumId w:val="139"/>
  </w:num>
  <w:num w:numId="99" w16cid:durableId="114642220">
    <w:abstractNumId w:val="212"/>
  </w:num>
  <w:num w:numId="100" w16cid:durableId="204559575">
    <w:abstractNumId w:val="113"/>
  </w:num>
  <w:num w:numId="101" w16cid:durableId="1117141589">
    <w:abstractNumId w:val="214"/>
  </w:num>
  <w:num w:numId="102" w16cid:durableId="521944287">
    <w:abstractNumId w:val="125"/>
  </w:num>
  <w:num w:numId="103" w16cid:durableId="2008704153">
    <w:abstractNumId w:val="8"/>
  </w:num>
  <w:num w:numId="104" w16cid:durableId="917980282">
    <w:abstractNumId w:val="94"/>
  </w:num>
  <w:num w:numId="105" w16cid:durableId="635139738">
    <w:abstractNumId w:val="74"/>
  </w:num>
  <w:num w:numId="106" w16cid:durableId="360277267">
    <w:abstractNumId w:val="36"/>
  </w:num>
  <w:num w:numId="107" w16cid:durableId="925843160">
    <w:abstractNumId w:val="79"/>
  </w:num>
  <w:num w:numId="108" w16cid:durableId="1224869946">
    <w:abstractNumId w:val="132"/>
  </w:num>
  <w:num w:numId="109" w16cid:durableId="1590893237">
    <w:abstractNumId w:val="283"/>
  </w:num>
  <w:num w:numId="110" w16cid:durableId="345327917">
    <w:abstractNumId w:val="100"/>
  </w:num>
  <w:num w:numId="111" w16cid:durableId="181285454">
    <w:abstractNumId w:val="251"/>
  </w:num>
  <w:num w:numId="112" w16cid:durableId="452753377">
    <w:abstractNumId w:val="328"/>
  </w:num>
  <w:num w:numId="113" w16cid:durableId="1970745657">
    <w:abstractNumId w:val="170"/>
  </w:num>
  <w:num w:numId="114" w16cid:durableId="1478378533">
    <w:abstractNumId w:val="290"/>
  </w:num>
  <w:num w:numId="115" w16cid:durableId="410547993">
    <w:abstractNumId w:val="51"/>
  </w:num>
  <w:num w:numId="116" w16cid:durableId="312493205">
    <w:abstractNumId w:val="12"/>
  </w:num>
  <w:num w:numId="117" w16cid:durableId="2092316187">
    <w:abstractNumId w:val="193"/>
  </w:num>
  <w:num w:numId="118" w16cid:durableId="1218975877">
    <w:abstractNumId w:val="133"/>
  </w:num>
  <w:num w:numId="119" w16cid:durableId="1320236283">
    <w:abstractNumId w:val="262"/>
  </w:num>
  <w:num w:numId="120" w16cid:durableId="700206368">
    <w:abstractNumId w:val="288"/>
  </w:num>
  <w:num w:numId="121" w16cid:durableId="681008229">
    <w:abstractNumId w:val="243"/>
  </w:num>
  <w:num w:numId="122" w16cid:durableId="279457399">
    <w:abstractNumId w:val="330"/>
  </w:num>
  <w:num w:numId="123" w16cid:durableId="680395315">
    <w:abstractNumId w:val="89"/>
  </w:num>
  <w:num w:numId="124" w16cid:durableId="679740669">
    <w:abstractNumId w:val="169"/>
  </w:num>
  <w:num w:numId="125" w16cid:durableId="1559702121">
    <w:abstractNumId w:val="303"/>
  </w:num>
  <w:num w:numId="126" w16cid:durableId="1480267897">
    <w:abstractNumId w:val="88"/>
  </w:num>
  <w:num w:numId="127" w16cid:durableId="1466586629">
    <w:abstractNumId w:val="331"/>
  </w:num>
  <w:num w:numId="128" w16cid:durableId="1550727424">
    <w:abstractNumId w:val="29"/>
  </w:num>
  <w:num w:numId="129" w16cid:durableId="1852910740">
    <w:abstractNumId w:val="71"/>
  </w:num>
  <w:num w:numId="130" w16cid:durableId="136411650">
    <w:abstractNumId w:val="164"/>
  </w:num>
  <w:num w:numId="131" w16cid:durableId="767774035">
    <w:abstractNumId w:val="9"/>
  </w:num>
  <w:num w:numId="132" w16cid:durableId="354382758">
    <w:abstractNumId w:val="84"/>
  </w:num>
  <w:num w:numId="133" w16cid:durableId="1329166379">
    <w:abstractNumId w:val="335"/>
  </w:num>
  <w:num w:numId="134" w16cid:durableId="767965661">
    <w:abstractNumId w:val="153"/>
  </w:num>
  <w:num w:numId="135" w16cid:durableId="1756049108">
    <w:abstractNumId w:val="185"/>
  </w:num>
  <w:num w:numId="136" w16cid:durableId="1285237428">
    <w:abstractNumId w:val="24"/>
  </w:num>
  <w:num w:numId="137" w16cid:durableId="735979831">
    <w:abstractNumId w:val="114"/>
  </w:num>
  <w:num w:numId="138" w16cid:durableId="754322078">
    <w:abstractNumId w:val="260"/>
  </w:num>
  <w:num w:numId="139" w16cid:durableId="1915625166">
    <w:abstractNumId w:val="223"/>
  </w:num>
  <w:num w:numId="140" w16cid:durableId="691807680">
    <w:abstractNumId w:val="147"/>
  </w:num>
  <w:num w:numId="141" w16cid:durableId="1120761631">
    <w:abstractNumId w:val="27"/>
  </w:num>
  <w:num w:numId="142" w16cid:durableId="358434283">
    <w:abstractNumId w:val="226"/>
  </w:num>
  <w:num w:numId="143" w16cid:durableId="1182276614">
    <w:abstractNumId w:val="40"/>
  </w:num>
  <w:num w:numId="144" w16cid:durableId="1831680298">
    <w:abstractNumId w:val="332"/>
  </w:num>
  <w:num w:numId="145" w16cid:durableId="83380432">
    <w:abstractNumId w:val="173"/>
  </w:num>
  <w:num w:numId="146" w16cid:durableId="546644498">
    <w:abstractNumId w:val="306"/>
  </w:num>
  <w:num w:numId="147" w16cid:durableId="1896038873">
    <w:abstractNumId w:val="87"/>
  </w:num>
  <w:num w:numId="148" w16cid:durableId="1145898344">
    <w:abstractNumId w:val="96"/>
  </w:num>
  <w:num w:numId="149" w16cid:durableId="1867213779">
    <w:abstractNumId w:val="252"/>
  </w:num>
  <w:num w:numId="150" w16cid:durableId="2134786522">
    <w:abstractNumId w:val="224"/>
  </w:num>
  <w:num w:numId="151" w16cid:durableId="656768324">
    <w:abstractNumId w:val="33"/>
  </w:num>
  <w:num w:numId="152" w16cid:durableId="2062946351">
    <w:abstractNumId w:val="327"/>
  </w:num>
  <w:num w:numId="153" w16cid:durableId="1374889455">
    <w:abstractNumId w:val="37"/>
  </w:num>
  <w:num w:numId="154" w16cid:durableId="1336035874">
    <w:abstractNumId w:val="295"/>
  </w:num>
  <w:num w:numId="155" w16cid:durableId="831525133">
    <w:abstractNumId w:val="209"/>
  </w:num>
  <w:num w:numId="156" w16cid:durableId="568930447">
    <w:abstractNumId w:val="219"/>
  </w:num>
  <w:num w:numId="157" w16cid:durableId="1703162995">
    <w:abstractNumId w:val="157"/>
  </w:num>
  <w:num w:numId="158" w16cid:durableId="1786926014">
    <w:abstractNumId w:val="140"/>
  </w:num>
  <w:num w:numId="159" w16cid:durableId="1224222789">
    <w:abstractNumId w:val="325"/>
  </w:num>
  <w:num w:numId="160" w16cid:durableId="198057306">
    <w:abstractNumId w:val="261"/>
  </w:num>
  <w:num w:numId="161" w16cid:durableId="2107463370">
    <w:abstractNumId w:val="3"/>
  </w:num>
  <w:num w:numId="162" w16cid:durableId="1347948416">
    <w:abstractNumId w:val="208"/>
  </w:num>
  <w:num w:numId="163" w16cid:durableId="371925059">
    <w:abstractNumId w:val="278"/>
  </w:num>
  <w:num w:numId="164" w16cid:durableId="1549337798">
    <w:abstractNumId w:val="119"/>
  </w:num>
  <w:num w:numId="165" w16cid:durableId="1327980664">
    <w:abstractNumId w:val="127"/>
  </w:num>
  <w:num w:numId="166" w16cid:durableId="692923943">
    <w:abstractNumId w:val="228"/>
  </w:num>
  <w:num w:numId="167" w16cid:durableId="2092776150">
    <w:abstractNumId w:val="73"/>
  </w:num>
  <w:num w:numId="168" w16cid:durableId="225530200">
    <w:abstractNumId w:val="106"/>
  </w:num>
  <w:num w:numId="169" w16cid:durableId="844173277">
    <w:abstractNumId w:val="15"/>
  </w:num>
  <w:num w:numId="170" w16cid:durableId="2042321323">
    <w:abstractNumId w:val="259"/>
  </w:num>
  <w:num w:numId="171" w16cid:durableId="1624919051">
    <w:abstractNumId w:val="175"/>
  </w:num>
  <w:num w:numId="172" w16cid:durableId="694115132">
    <w:abstractNumId w:val="294"/>
  </w:num>
  <w:num w:numId="173" w16cid:durableId="1776558173">
    <w:abstractNumId w:val="291"/>
  </w:num>
  <w:num w:numId="174" w16cid:durableId="44723153">
    <w:abstractNumId w:val="49"/>
  </w:num>
  <w:num w:numId="175" w16cid:durableId="1786730153">
    <w:abstractNumId w:val="60"/>
  </w:num>
  <w:num w:numId="176" w16cid:durableId="878668013">
    <w:abstractNumId w:val="311"/>
  </w:num>
  <w:num w:numId="177" w16cid:durableId="1317416465">
    <w:abstractNumId w:val="104"/>
  </w:num>
  <w:num w:numId="178" w16cid:durableId="539629552">
    <w:abstractNumId w:val="16"/>
  </w:num>
  <w:num w:numId="179" w16cid:durableId="1088697123">
    <w:abstractNumId w:val="165"/>
  </w:num>
  <w:num w:numId="180" w16cid:durableId="1828477240">
    <w:abstractNumId w:val="235"/>
  </w:num>
  <w:num w:numId="181" w16cid:durableId="438334465">
    <w:abstractNumId w:val="339"/>
  </w:num>
  <w:num w:numId="182" w16cid:durableId="68814756">
    <w:abstractNumId w:val="62"/>
  </w:num>
  <w:num w:numId="183" w16cid:durableId="1075131235">
    <w:abstractNumId w:val="239"/>
  </w:num>
  <w:num w:numId="184" w16cid:durableId="1340547985">
    <w:abstractNumId w:val="55"/>
  </w:num>
  <w:num w:numId="185" w16cid:durableId="1704404965">
    <w:abstractNumId w:val="218"/>
  </w:num>
  <w:num w:numId="186" w16cid:durableId="356010309">
    <w:abstractNumId w:val="14"/>
  </w:num>
  <w:num w:numId="187" w16cid:durableId="2087653390">
    <w:abstractNumId w:val="302"/>
  </w:num>
  <w:num w:numId="188" w16cid:durableId="189954333">
    <w:abstractNumId w:val="195"/>
  </w:num>
  <w:num w:numId="189" w16cid:durableId="1832790020">
    <w:abstractNumId w:val="85"/>
  </w:num>
  <w:num w:numId="190" w16cid:durableId="168107932">
    <w:abstractNumId w:val="11"/>
  </w:num>
  <w:num w:numId="191" w16cid:durableId="1362392015">
    <w:abstractNumId w:val="177"/>
  </w:num>
  <w:num w:numId="192" w16cid:durableId="1462384234">
    <w:abstractNumId w:val="168"/>
  </w:num>
  <w:num w:numId="193" w16cid:durableId="1243179099">
    <w:abstractNumId w:val="28"/>
  </w:num>
  <w:num w:numId="194" w16cid:durableId="1921598779">
    <w:abstractNumId w:val="211"/>
  </w:num>
  <w:num w:numId="195" w16cid:durableId="2021345455">
    <w:abstractNumId w:val="42"/>
  </w:num>
  <w:num w:numId="196" w16cid:durableId="141775556">
    <w:abstractNumId w:val="141"/>
  </w:num>
  <w:num w:numId="197" w16cid:durableId="1134710391">
    <w:abstractNumId w:val="240"/>
  </w:num>
  <w:num w:numId="198" w16cid:durableId="1791043945">
    <w:abstractNumId w:val="67"/>
  </w:num>
  <w:num w:numId="199" w16cid:durableId="1919289979">
    <w:abstractNumId w:val="200"/>
  </w:num>
  <w:num w:numId="200" w16cid:durableId="1711028166">
    <w:abstractNumId w:val="151"/>
  </w:num>
  <w:num w:numId="201" w16cid:durableId="320888094">
    <w:abstractNumId w:val="68"/>
  </w:num>
  <w:num w:numId="202" w16cid:durableId="269244562">
    <w:abstractNumId w:val="207"/>
  </w:num>
  <w:num w:numId="203" w16cid:durableId="2065374806">
    <w:abstractNumId w:val="320"/>
  </w:num>
  <w:num w:numId="204" w16cid:durableId="1268271651">
    <w:abstractNumId w:val="279"/>
  </w:num>
  <w:num w:numId="205" w16cid:durableId="365640419">
    <w:abstractNumId w:val="323"/>
  </w:num>
  <w:num w:numId="206" w16cid:durableId="1745835683">
    <w:abstractNumId w:val="143"/>
  </w:num>
  <w:num w:numId="207" w16cid:durableId="2055427256">
    <w:abstractNumId w:val="77"/>
  </w:num>
  <w:num w:numId="208" w16cid:durableId="151872556">
    <w:abstractNumId w:val="102"/>
  </w:num>
  <w:num w:numId="209" w16cid:durableId="166948434">
    <w:abstractNumId w:val="108"/>
  </w:num>
  <w:num w:numId="210" w16cid:durableId="963772522">
    <w:abstractNumId w:val="58"/>
  </w:num>
  <w:num w:numId="211" w16cid:durableId="758454274">
    <w:abstractNumId w:val="75"/>
  </w:num>
  <w:num w:numId="212" w16cid:durableId="1258060722">
    <w:abstractNumId w:val="118"/>
  </w:num>
  <w:num w:numId="213" w16cid:durableId="1255167381">
    <w:abstractNumId w:val="242"/>
  </w:num>
  <w:num w:numId="214" w16cid:durableId="549389917">
    <w:abstractNumId w:val="292"/>
  </w:num>
  <w:num w:numId="215" w16cid:durableId="1392654838">
    <w:abstractNumId w:val="149"/>
  </w:num>
  <w:num w:numId="216" w16cid:durableId="1308826112">
    <w:abstractNumId w:val="257"/>
  </w:num>
  <w:num w:numId="217" w16cid:durableId="1611821224">
    <w:abstractNumId w:val="210"/>
  </w:num>
  <w:num w:numId="218" w16cid:durableId="1879273431">
    <w:abstractNumId w:val="95"/>
  </w:num>
  <w:num w:numId="219" w16cid:durableId="1431853483">
    <w:abstractNumId w:val="34"/>
  </w:num>
  <w:num w:numId="220" w16cid:durableId="1644508544">
    <w:abstractNumId w:val="296"/>
  </w:num>
  <w:num w:numId="221" w16cid:durableId="1690375771">
    <w:abstractNumId w:val="258"/>
  </w:num>
  <w:num w:numId="222" w16cid:durableId="2087262627">
    <w:abstractNumId w:val="230"/>
  </w:num>
  <w:num w:numId="223" w16cid:durableId="1675957282">
    <w:abstractNumId w:val="268"/>
  </w:num>
  <w:num w:numId="224" w16cid:durableId="704796548">
    <w:abstractNumId w:val="231"/>
  </w:num>
  <w:num w:numId="225" w16cid:durableId="449711394">
    <w:abstractNumId w:val="256"/>
  </w:num>
  <w:num w:numId="226" w16cid:durableId="520358350">
    <w:abstractNumId w:val="183"/>
  </w:num>
  <w:num w:numId="227" w16cid:durableId="745033061">
    <w:abstractNumId w:val="318"/>
  </w:num>
  <w:num w:numId="228" w16cid:durableId="1864440264">
    <w:abstractNumId w:val="110"/>
  </w:num>
  <w:num w:numId="229" w16cid:durableId="470561515">
    <w:abstractNumId w:val="2"/>
  </w:num>
  <w:num w:numId="230" w16cid:durableId="1685860143">
    <w:abstractNumId w:val="44"/>
  </w:num>
  <w:num w:numId="231" w16cid:durableId="1434588174">
    <w:abstractNumId w:val="56"/>
  </w:num>
  <w:num w:numId="232" w16cid:durableId="981809342">
    <w:abstractNumId w:val="63"/>
  </w:num>
  <w:num w:numId="233" w16cid:durableId="373430766">
    <w:abstractNumId w:val="135"/>
  </w:num>
  <w:num w:numId="234" w16cid:durableId="1292245774">
    <w:abstractNumId w:val="197"/>
  </w:num>
  <w:num w:numId="235" w16cid:durableId="129565503">
    <w:abstractNumId w:val="179"/>
  </w:num>
  <w:num w:numId="236" w16cid:durableId="1712337922">
    <w:abstractNumId w:val="162"/>
  </w:num>
  <w:num w:numId="237" w16cid:durableId="1749228942">
    <w:abstractNumId w:val="171"/>
  </w:num>
  <w:num w:numId="238" w16cid:durableId="458836423">
    <w:abstractNumId w:val="310"/>
  </w:num>
  <w:num w:numId="239" w16cid:durableId="814645160">
    <w:abstractNumId w:val="5"/>
  </w:num>
  <w:num w:numId="240" w16cid:durableId="1276870183">
    <w:abstractNumId w:val="160"/>
  </w:num>
  <w:num w:numId="241" w16cid:durableId="745305936">
    <w:abstractNumId w:val="117"/>
  </w:num>
  <w:num w:numId="242" w16cid:durableId="424569179">
    <w:abstractNumId w:val="90"/>
  </w:num>
  <w:num w:numId="243" w16cid:durableId="292559677">
    <w:abstractNumId w:val="233"/>
  </w:num>
  <w:num w:numId="244" w16cid:durableId="167211679">
    <w:abstractNumId w:val="336"/>
  </w:num>
  <w:num w:numId="245" w16cid:durableId="56250683">
    <w:abstractNumId w:val="194"/>
  </w:num>
  <w:num w:numId="246" w16cid:durableId="145705043">
    <w:abstractNumId w:val="148"/>
  </w:num>
  <w:num w:numId="247" w16cid:durableId="1191839571">
    <w:abstractNumId w:val="72"/>
  </w:num>
  <w:num w:numId="248" w16cid:durableId="1786077933">
    <w:abstractNumId w:val="35"/>
  </w:num>
  <w:num w:numId="249" w16cid:durableId="1560702869">
    <w:abstractNumId w:val="23"/>
  </w:num>
  <w:num w:numId="250" w16cid:durableId="483357807">
    <w:abstractNumId w:val="0"/>
  </w:num>
  <w:num w:numId="251" w16cid:durableId="1292663585">
    <w:abstractNumId w:val="167"/>
  </w:num>
  <w:num w:numId="252" w16cid:durableId="302126909">
    <w:abstractNumId w:val="111"/>
  </w:num>
  <w:num w:numId="253" w16cid:durableId="1481264957">
    <w:abstractNumId w:val="10"/>
  </w:num>
  <w:num w:numId="254" w16cid:durableId="2003509855">
    <w:abstractNumId w:val="78"/>
  </w:num>
  <w:num w:numId="255" w16cid:durableId="93091467">
    <w:abstractNumId w:val="213"/>
  </w:num>
  <w:num w:numId="256" w16cid:durableId="1375035764">
    <w:abstractNumId w:val="30"/>
  </w:num>
  <w:num w:numId="257" w16cid:durableId="2080904037">
    <w:abstractNumId w:val="340"/>
  </w:num>
  <w:num w:numId="258" w16cid:durableId="139345869">
    <w:abstractNumId w:val="265"/>
  </w:num>
  <w:num w:numId="259" w16cid:durableId="43725976">
    <w:abstractNumId w:val="19"/>
  </w:num>
  <w:num w:numId="260" w16cid:durableId="1434671904">
    <w:abstractNumId w:val="238"/>
  </w:num>
  <w:num w:numId="261" w16cid:durableId="2091151693">
    <w:abstractNumId w:val="182"/>
  </w:num>
  <w:num w:numId="262" w16cid:durableId="618755378">
    <w:abstractNumId w:val="270"/>
  </w:num>
  <w:num w:numId="263" w16cid:durableId="1703287872">
    <w:abstractNumId w:val="276"/>
  </w:num>
  <w:num w:numId="264" w16cid:durableId="434399904">
    <w:abstractNumId w:val="244"/>
  </w:num>
  <w:num w:numId="265" w16cid:durableId="1600211314">
    <w:abstractNumId w:val="264"/>
  </w:num>
  <w:num w:numId="266" w16cid:durableId="1082986790">
    <w:abstractNumId w:val="305"/>
  </w:num>
  <w:num w:numId="267" w16cid:durableId="176622251">
    <w:abstractNumId w:val="297"/>
  </w:num>
  <w:num w:numId="268" w16cid:durableId="240913709">
    <w:abstractNumId w:val="128"/>
  </w:num>
  <w:num w:numId="269" w16cid:durableId="1573003424">
    <w:abstractNumId w:val="277"/>
  </w:num>
  <w:num w:numId="270" w16cid:durableId="921912297">
    <w:abstractNumId w:val="267"/>
  </w:num>
  <w:num w:numId="271" w16cid:durableId="1334213287">
    <w:abstractNumId w:val="161"/>
  </w:num>
  <w:num w:numId="272" w16cid:durableId="1113670779">
    <w:abstractNumId w:val="237"/>
  </w:num>
  <w:num w:numId="273" w16cid:durableId="2067221055">
    <w:abstractNumId w:val="59"/>
  </w:num>
  <w:num w:numId="274" w16cid:durableId="1903248078">
    <w:abstractNumId w:val="190"/>
  </w:num>
  <w:num w:numId="275" w16cid:durableId="2063478042">
    <w:abstractNumId w:val="48"/>
  </w:num>
  <w:num w:numId="276" w16cid:durableId="978727486">
    <w:abstractNumId w:val="38"/>
  </w:num>
  <w:num w:numId="277" w16cid:durableId="1038162249">
    <w:abstractNumId w:val="181"/>
  </w:num>
  <w:num w:numId="278" w16cid:durableId="1045451616">
    <w:abstractNumId w:val="105"/>
  </w:num>
  <w:num w:numId="279" w16cid:durableId="1194612144">
    <w:abstractNumId w:val="254"/>
  </w:num>
  <w:num w:numId="280" w16cid:durableId="701513008">
    <w:abstractNumId w:val="285"/>
  </w:num>
  <w:num w:numId="281" w16cid:durableId="1860394228">
    <w:abstractNumId w:val="284"/>
  </w:num>
  <w:num w:numId="282" w16cid:durableId="1728647622">
    <w:abstractNumId w:val="186"/>
  </w:num>
  <w:num w:numId="283" w16cid:durableId="2079663734">
    <w:abstractNumId w:val="307"/>
  </w:num>
  <w:num w:numId="284" w16cid:durableId="1500778233">
    <w:abstractNumId w:val="272"/>
  </w:num>
  <w:num w:numId="285" w16cid:durableId="291835522">
    <w:abstractNumId w:val="280"/>
  </w:num>
  <w:num w:numId="286" w16cid:durableId="1323460640">
    <w:abstractNumId w:val="155"/>
  </w:num>
  <w:num w:numId="287" w16cid:durableId="595333032">
    <w:abstractNumId w:val="271"/>
  </w:num>
  <w:num w:numId="288" w16cid:durableId="2126002652">
    <w:abstractNumId w:val="20"/>
  </w:num>
  <w:num w:numId="289" w16cid:durableId="1635015805">
    <w:abstractNumId w:val="333"/>
  </w:num>
  <w:num w:numId="290" w16cid:durableId="1390034510">
    <w:abstractNumId w:val="322"/>
  </w:num>
  <w:num w:numId="291" w16cid:durableId="1210147779">
    <w:abstractNumId w:val="57"/>
  </w:num>
  <w:num w:numId="292" w16cid:durableId="1925458146">
    <w:abstractNumId w:val="282"/>
  </w:num>
  <w:num w:numId="293" w16cid:durableId="931089325">
    <w:abstractNumId w:val="192"/>
  </w:num>
  <w:num w:numId="294" w16cid:durableId="307174882">
    <w:abstractNumId w:val="66"/>
  </w:num>
  <w:num w:numId="295" w16cid:durableId="966010053">
    <w:abstractNumId w:val="205"/>
  </w:num>
  <w:num w:numId="296" w16cid:durableId="244531098">
    <w:abstractNumId w:val="53"/>
  </w:num>
  <w:num w:numId="297" w16cid:durableId="2144342163">
    <w:abstractNumId w:val="319"/>
  </w:num>
  <w:num w:numId="298" w16cid:durableId="669017945">
    <w:abstractNumId w:val="134"/>
  </w:num>
  <w:num w:numId="299" w16cid:durableId="741949417">
    <w:abstractNumId w:val="324"/>
  </w:num>
  <w:num w:numId="300" w16cid:durableId="612712246">
    <w:abstractNumId w:val="289"/>
  </w:num>
  <w:num w:numId="301" w16cid:durableId="843475752">
    <w:abstractNumId w:val="220"/>
  </w:num>
  <w:num w:numId="302" w16cid:durableId="400567837">
    <w:abstractNumId w:val="176"/>
  </w:num>
  <w:num w:numId="303" w16cid:durableId="1902594407">
    <w:abstractNumId w:val="329"/>
  </w:num>
  <w:num w:numId="304" w16cid:durableId="1042444394">
    <w:abstractNumId w:val="43"/>
  </w:num>
  <w:num w:numId="305" w16cid:durableId="618679668">
    <w:abstractNumId w:val="227"/>
  </w:num>
  <w:num w:numId="306" w16cid:durableId="1100642636">
    <w:abstractNumId w:val="229"/>
  </w:num>
  <w:num w:numId="307" w16cid:durableId="351028060">
    <w:abstractNumId w:val="247"/>
  </w:num>
  <w:num w:numId="308" w16cid:durableId="887837193">
    <w:abstractNumId w:val="115"/>
  </w:num>
  <w:num w:numId="309" w16cid:durableId="236207493">
    <w:abstractNumId w:val="312"/>
  </w:num>
  <w:num w:numId="310" w16cid:durableId="1656756520">
    <w:abstractNumId w:val="25"/>
  </w:num>
  <w:num w:numId="311" w16cid:durableId="895774667">
    <w:abstractNumId w:val="91"/>
  </w:num>
  <w:num w:numId="312" w16cid:durableId="561405708">
    <w:abstractNumId w:val="97"/>
  </w:num>
  <w:num w:numId="313" w16cid:durableId="1802192712">
    <w:abstractNumId w:val="86"/>
  </w:num>
  <w:num w:numId="314" w16cid:durableId="644235108">
    <w:abstractNumId w:val="136"/>
  </w:num>
  <w:num w:numId="315" w16cid:durableId="702292216">
    <w:abstractNumId w:val="326"/>
  </w:num>
  <w:num w:numId="316" w16cid:durableId="824665418">
    <w:abstractNumId w:val="299"/>
  </w:num>
  <w:num w:numId="317" w16cid:durableId="2087914192">
    <w:abstractNumId w:val="314"/>
  </w:num>
  <w:num w:numId="318" w16cid:durableId="1920019714">
    <w:abstractNumId w:val="50"/>
  </w:num>
  <w:num w:numId="319" w16cid:durableId="922370630">
    <w:abstractNumId w:val="221"/>
  </w:num>
  <w:num w:numId="320" w16cid:durableId="1979874111">
    <w:abstractNumId w:val="81"/>
  </w:num>
  <w:num w:numId="321" w16cid:durableId="1199972061">
    <w:abstractNumId w:val="315"/>
  </w:num>
  <w:num w:numId="322" w16cid:durableId="452863559">
    <w:abstractNumId w:val="7"/>
  </w:num>
  <w:num w:numId="323" w16cid:durableId="442186696">
    <w:abstractNumId w:val="120"/>
  </w:num>
  <w:num w:numId="324" w16cid:durableId="2012947208">
    <w:abstractNumId w:val="274"/>
  </w:num>
  <w:num w:numId="325" w16cid:durableId="1772118071">
    <w:abstractNumId w:val="286"/>
  </w:num>
  <w:num w:numId="326" w16cid:durableId="797181706">
    <w:abstractNumId w:val="187"/>
  </w:num>
  <w:num w:numId="327" w16cid:durableId="1103500535">
    <w:abstractNumId w:val="93"/>
  </w:num>
  <w:num w:numId="328" w16cid:durableId="1770808817">
    <w:abstractNumId w:val="121"/>
  </w:num>
  <w:num w:numId="329" w16cid:durableId="813984987">
    <w:abstractNumId w:val="142"/>
  </w:num>
  <w:num w:numId="330" w16cid:durableId="835220715">
    <w:abstractNumId w:val="54"/>
  </w:num>
  <w:num w:numId="331" w16cid:durableId="98648216">
    <w:abstractNumId w:val="22"/>
  </w:num>
  <w:num w:numId="332" w16cid:durableId="274412676">
    <w:abstractNumId w:val="107"/>
  </w:num>
  <w:num w:numId="333" w16cid:durableId="1619489419">
    <w:abstractNumId w:val="241"/>
  </w:num>
  <w:num w:numId="334" w16cid:durableId="1280798590">
    <w:abstractNumId w:val="166"/>
  </w:num>
  <w:num w:numId="335" w16cid:durableId="1802460383">
    <w:abstractNumId w:val="45"/>
  </w:num>
  <w:num w:numId="336" w16cid:durableId="99883976">
    <w:abstractNumId w:val="76"/>
  </w:num>
  <w:num w:numId="337" w16cid:durableId="1793206253">
    <w:abstractNumId w:val="150"/>
  </w:num>
  <w:num w:numId="338" w16cid:durableId="544874169">
    <w:abstractNumId w:val="152"/>
  </w:num>
  <w:num w:numId="339" w16cid:durableId="937105471">
    <w:abstractNumId w:val="2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1293093051">
    <w:abstractNumId w:val="2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185707362">
    <w:abstractNumId w:val="2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079520922">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1564022896">
    <w:abstractNumId w:val="313"/>
    <w:lvlOverride w:ilvl="0"/>
    <w:lvlOverride w:ilvl="1"/>
    <w:lvlOverride w:ilvl="2"/>
    <w:lvlOverride w:ilvl="3"/>
    <w:lvlOverride w:ilvl="4"/>
    <w:lvlOverride w:ilvl="5"/>
    <w:lvlOverride w:ilvl="6"/>
    <w:lvlOverride w:ilvl="7"/>
    <w:lvlOverride w:ilvl="8"/>
  </w:num>
  <w:num w:numId="344" w16cid:durableId="1598058410">
    <w:abstractNumId w:val="236"/>
    <w:lvlOverride w:ilvl="0"/>
    <w:lvlOverride w:ilvl="1"/>
    <w:lvlOverride w:ilvl="2"/>
    <w:lvlOverride w:ilvl="3"/>
    <w:lvlOverride w:ilvl="4"/>
    <w:lvlOverride w:ilvl="5"/>
    <w:lvlOverride w:ilvl="6"/>
    <w:lvlOverride w:ilvl="7"/>
    <w:lvlOverride w:ilvl="8"/>
  </w:num>
  <w:numIdMacAtCleanup w:val="3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GrammaticalErrors/>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9F4"/>
    <w:rsid w:val="00140AA7"/>
    <w:rsid w:val="00243C95"/>
    <w:rsid w:val="002955C7"/>
    <w:rsid w:val="002C39F4"/>
    <w:rsid w:val="0032102C"/>
    <w:rsid w:val="00446570"/>
    <w:rsid w:val="00450F4B"/>
    <w:rsid w:val="004C5A3C"/>
    <w:rsid w:val="005D1A68"/>
    <w:rsid w:val="006F4FF5"/>
    <w:rsid w:val="007D1E55"/>
    <w:rsid w:val="00A60E6E"/>
    <w:rsid w:val="00B11C4F"/>
    <w:rsid w:val="00B12B82"/>
    <w:rsid w:val="00C43B8A"/>
    <w:rsid w:val="00C96B32"/>
    <w:rsid w:val="00CC41B3"/>
    <w:rsid w:val="00D02174"/>
    <w:rsid w:val="00E62E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8BACA2"/>
  <w15:chartTrackingRefBased/>
  <w15:docId w15:val="{DD8004C1-3F13-4C44-8E44-F576D4F1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9F4"/>
    <w:pPr>
      <w:bidi/>
    </w:pPr>
  </w:style>
  <w:style w:type="paragraph" w:styleId="1">
    <w:name w:val="heading 1"/>
    <w:basedOn w:val="a"/>
    <w:next w:val="a"/>
    <w:link w:val="10"/>
    <w:uiPriority w:val="9"/>
    <w:qFormat/>
    <w:rsid w:val="00243C95"/>
    <w:pPr>
      <w:keepNext/>
      <w:keepLines/>
      <w:spacing w:before="480" w:after="0"/>
      <w:outlineLvl w:val="0"/>
    </w:pPr>
    <w:rPr>
      <w:rFonts w:asciiTheme="majorHAnsi" w:eastAsiaTheme="majorEastAsia" w:hAnsiTheme="majorHAnsi"/>
      <w:b/>
      <w:bCs/>
      <w:color w:val="365F91" w:themeColor="accent1" w:themeShade="BF"/>
      <w:sz w:val="28"/>
      <w:szCs w:val="32"/>
    </w:rPr>
  </w:style>
  <w:style w:type="paragraph" w:styleId="2">
    <w:name w:val="heading 2"/>
    <w:basedOn w:val="a"/>
    <w:next w:val="a"/>
    <w:link w:val="20"/>
    <w:uiPriority w:val="9"/>
    <w:unhideWhenUsed/>
    <w:qFormat/>
    <w:rsid w:val="00243C95"/>
    <w:pPr>
      <w:keepNext/>
      <w:keepLines/>
      <w:spacing w:before="200" w:after="0"/>
      <w:outlineLvl w:val="1"/>
    </w:pPr>
    <w:rPr>
      <w:rFonts w:asciiTheme="majorHAnsi" w:eastAsiaTheme="majorEastAsia" w:hAnsiTheme="majorHAnsi"/>
      <w:b/>
      <w:bCs/>
      <w:color w:val="4F81BD" w:themeColor="accent1"/>
      <w:sz w:val="26"/>
      <w:szCs w:val="26"/>
    </w:rPr>
  </w:style>
  <w:style w:type="paragraph" w:styleId="3">
    <w:name w:val="heading 3"/>
    <w:basedOn w:val="a"/>
    <w:next w:val="a"/>
    <w:link w:val="30"/>
    <w:uiPriority w:val="9"/>
    <w:unhideWhenUsed/>
    <w:qFormat/>
    <w:rsid w:val="002C39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הערות"/>
    <w:basedOn w:val="a"/>
    <w:next w:val="a"/>
    <w:link w:val="a4"/>
    <w:uiPriority w:val="11"/>
    <w:qFormat/>
    <w:rsid w:val="00450F4B"/>
    <w:pPr>
      <w:numPr>
        <w:ilvl w:val="1"/>
      </w:numPr>
      <w:spacing w:after="160"/>
    </w:pPr>
    <w:rPr>
      <w:rFonts w:eastAsiaTheme="minorEastAsia" w:cs="David"/>
      <w:color w:val="5A5A5A" w:themeColor="text1" w:themeTint="A5"/>
      <w:spacing w:val="15"/>
      <w:szCs w:val="20"/>
    </w:rPr>
  </w:style>
  <w:style w:type="character" w:customStyle="1" w:styleId="a4">
    <w:name w:val="כותרת משנה תו"/>
    <w:aliases w:val="הערות תו"/>
    <w:basedOn w:val="a0"/>
    <w:link w:val="a3"/>
    <w:uiPriority w:val="11"/>
    <w:rsid w:val="00450F4B"/>
    <w:rPr>
      <w:rFonts w:eastAsiaTheme="minorEastAsia" w:cs="David"/>
      <w:color w:val="5A5A5A" w:themeColor="text1" w:themeTint="A5"/>
      <w:spacing w:val="15"/>
      <w:szCs w:val="20"/>
    </w:rPr>
  </w:style>
  <w:style w:type="character" w:customStyle="1" w:styleId="10">
    <w:name w:val="כותרת 1 תו"/>
    <w:basedOn w:val="a0"/>
    <w:link w:val="1"/>
    <w:uiPriority w:val="9"/>
    <w:rsid w:val="00243C95"/>
    <w:rPr>
      <w:rFonts w:asciiTheme="majorHAnsi" w:eastAsiaTheme="majorEastAsia" w:hAnsiTheme="majorHAnsi"/>
      <w:b/>
      <w:bCs/>
      <w:color w:val="365F91" w:themeColor="accent1" w:themeShade="BF"/>
      <w:sz w:val="28"/>
      <w:szCs w:val="32"/>
    </w:rPr>
  </w:style>
  <w:style w:type="character" w:customStyle="1" w:styleId="20">
    <w:name w:val="כותרת 2 תו"/>
    <w:basedOn w:val="a0"/>
    <w:link w:val="2"/>
    <w:uiPriority w:val="9"/>
    <w:rsid w:val="00243C95"/>
    <w:rPr>
      <w:rFonts w:asciiTheme="majorHAnsi" w:eastAsiaTheme="majorEastAsia" w:hAnsiTheme="majorHAnsi"/>
      <w:b/>
      <w:bCs/>
      <w:color w:val="4F81BD" w:themeColor="accent1"/>
      <w:sz w:val="26"/>
      <w:szCs w:val="26"/>
    </w:rPr>
  </w:style>
  <w:style w:type="character" w:customStyle="1" w:styleId="30">
    <w:name w:val="כותרת 3 תו"/>
    <w:basedOn w:val="a0"/>
    <w:link w:val="3"/>
    <w:uiPriority w:val="9"/>
    <w:rsid w:val="002C39F4"/>
    <w:rPr>
      <w:rFonts w:asciiTheme="majorHAnsi" w:eastAsiaTheme="majorEastAsia" w:hAnsiTheme="majorHAnsi" w:cstheme="majorBidi"/>
      <w:b/>
      <w:bCs/>
      <w:color w:val="4F81BD" w:themeColor="accent1"/>
    </w:rPr>
  </w:style>
  <w:style w:type="paragraph" w:styleId="a5">
    <w:name w:val="footnote text"/>
    <w:basedOn w:val="a"/>
    <w:link w:val="a6"/>
    <w:uiPriority w:val="99"/>
    <w:unhideWhenUsed/>
    <w:rsid w:val="002C39F4"/>
    <w:pPr>
      <w:spacing w:after="0" w:line="240" w:lineRule="auto"/>
    </w:pPr>
    <w:rPr>
      <w:sz w:val="20"/>
      <w:szCs w:val="20"/>
    </w:rPr>
  </w:style>
  <w:style w:type="character" w:customStyle="1" w:styleId="a6">
    <w:name w:val="טקסט הערת שוליים תו"/>
    <w:basedOn w:val="a0"/>
    <w:link w:val="a5"/>
    <w:uiPriority w:val="99"/>
    <w:rsid w:val="002C39F4"/>
    <w:rPr>
      <w:sz w:val="20"/>
      <w:szCs w:val="20"/>
    </w:rPr>
  </w:style>
  <w:style w:type="character" w:styleId="a7">
    <w:name w:val="footnote reference"/>
    <w:basedOn w:val="a0"/>
    <w:uiPriority w:val="99"/>
    <w:unhideWhenUsed/>
    <w:rsid w:val="002C39F4"/>
    <w:rPr>
      <w:vertAlign w:val="superscript"/>
    </w:rPr>
  </w:style>
  <w:style w:type="paragraph" w:styleId="a8">
    <w:name w:val="List Paragraph"/>
    <w:basedOn w:val="a"/>
    <w:link w:val="a9"/>
    <w:uiPriority w:val="34"/>
    <w:qFormat/>
    <w:rsid w:val="002C39F4"/>
    <w:pPr>
      <w:ind w:left="720"/>
      <w:contextualSpacing/>
    </w:pPr>
  </w:style>
  <w:style w:type="paragraph" w:styleId="aa">
    <w:name w:val="Balloon Text"/>
    <w:basedOn w:val="a"/>
    <w:link w:val="ab"/>
    <w:uiPriority w:val="99"/>
    <w:semiHidden/>
    <w:unhideWhenUsed/>
    <w:rsid w:val="002C39F4"/>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2C39F4"/>
    <w:rPr>
      <w:rFonts w:ascii="Tahoma" w:hAnsi="Tahoma" w:cs="Tahoma"/>
      <w:sz w:val="16"/>
      <w:szCs w:val="16"/>
    </w:rPr>
  </w:style>
  <w:style w:type="paragraph" w:styleId="ac">
    <w:name w:val="header"/>
    <w:basedOn w:val="a"/>
    <w:link w:val="ad"/>
    <w:uiPriority w:val="99"/>
    <w:unhideWhenUsed/>
    <w:rsid w:val="002C39F4"/>
    <w:pPr>
      <w:tabs>
        <w:tab w:val="center" w:pos="4153"/>
        <w:tab w:val="right" w:pos="8306"/>
      </w:tabs>
      <w:spacing w:after="0" w:line="240" w:lineRule="auto"/>
    </w:pPr>
  </w:style>
  <w:style w:type="character" w:customStyle="1" w:styleId="ad">
    <w:name w:val="כותרת עליונה תו"/>
    <w:basedOn w:val="a0"/>
    <w:link w:val="ac"/>
    <w:uiPriority w:val="99"/>
    <w:rsid w:val="002C39F4"/>
  </w:style>
  <w:style w:type="paragraph" w:styleId="ae">
    <w:name w:val="footer"/>
    <w:basedOn w:val="a"/>
    <w:link w:val="af"/>
    <w:uiPriority w:val="99"/>
    <w:unhideWhenUsed/>
    <w:rsid w:val="002C39F4"/>
    <w:pPr>
      <w:tabs>
        <w:tab w:val="center" w:pos="4153"/>
        <w:tab w:val="right" w:pos="8306"/>
      </w:tabs>
      <w:spacing w:after="0" w:line="240" w:lineRule="auto"/>
    </w:pPr>
  </w:style>
  <w:style w:type="character" w:customStyle="1" w:styleId="af">
    <w:name w:val="כותרת תחתונה תו"/>
    <w:basedOn w:val="a0"/>
    <w:link w:val="ae"/>
    <w:uiPriority w:val="99"/>
    <w:rsid w:val="002C39F4"/>
  </w:style>
  <w:style w:type="paragraph" w:styleId="af0">
    <w:name w:val="endnote text"/>
    <w:basedOn w:val="a"/>
    <w:link w:val="af1"/>
    <w:uiPriority w:val="99"/>
    <w:semiHidden/>
    <w:unhideWhenUsed/>
    <w:rsid w:val="002C39F4"/>
    <w:pPr>
      <w:spacing w:after="0" w:line="240" w:lineRule="auto"/>
    </w:pPr>
    <w:rPr>
      <w:sz w:val="20"/>
      <w:szCs w:val="20"/>
    </w:rPr>
  </w:style>
  <w:style w:type="character" w:customStyle="1" w:styleId="af1">
    <w:name w:val="טקסט הערת סיום תו"/>
    <w:basedOn w:val="a0"/>
    <w:link w:val="af0"/>
    <w:uiPriority w:val="99"/>
    <w:semiHidden/>
    <w:rsid w:val="002C39F4"/>
    <w:rPr>
      <w:sz w:val="20"/>
      <w:szCs w:val="20"/>
    </w:rPr>
  </w:style>
  <w:style w:type="character" w:styleId="af2">
    <w:name w:val="endnote reference"/>
    <w:basedOn w:val="a0"/>
    <w:uiPriority w:val="99"/>
    <w:semiHidden/>
    <w:unhideWhenUsed/>
    <w:rsid w:val="002C39F4"/>
    <w:rPr>
      <w:vertAlign w:val="superscript"/>
    </w:rPr>
  </w:style>
  <w:style w:type="table" w:styleId="af3">
    <w:name w:val="Table Grid"/>
    <w:basedOn w:val="a1"/>
    <w:uiPriority w:val="59"/>
    <w:rsid w:val="002C3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basedOn w:val="a0"/>
    <w:link w:val="a8"/>
    <w:uiPriority w:val="34"/>
    <w:rsid w:val="002C39F4"/>
  </w:style>
  <w:style w:type="character" w:styleId="Hyperlink">
    <w:name w:val="Hyperlink"/>
    <w:basedOn w:val="a0"/>
    <w:uiPriority w:val="99"/>
    <w:unhideWhenUsed/>
    <w:rsid w:val="00C43B8A"/>
    <w:rPr>
      <w:color w:val="0000FF" w:themeColor="hyperlink"/>
      <w:u w:val="single"/>
    </w:rPr>
  </w:style>
  <w:style w:type="character" w:styleId="FollowedHyperlink">
    <w:name w:val="FollowedHyperlink"/>
    <w:basedOn w:val="a0"/>
    <w:uiPriority w:val="99"/>
    <w:semiHidden/>
    <w:unhideWhenUsed/>
    <w:rsid w:val="00C43B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647852">
      <w:bodyDiv w:val="1"/>
      <w:marLeft w:val="0"/>
      <w:marRight w:val="0"/>
      <w:marTop w:val="0"/>
      <w:marBottom w:val="0"/>
      <w:divBdr>
        <w:top w:val="none" w:sz="0" w:space="0" w:color="auto"/>
        <w:left w:val="none" w:sz="0" w:space="0" w:color="auto"/>
        <w:bottom w:val="none" w:sz="0" w:space="0" w:color="auto"/>
        <w:right w:val="none" w:sz="0" w:space="0" w:color="auto"/>
      </w:divBdr>
    </w:div>
    <w:div w:id="1060446000">
      <w:bodyDiv w:val="1"/>
      <w:marLeft w:val="0"/>
      <w:marRight w:val="0"/>
      <w:marTop w:val="0"/>
      <w:marBottom w:val="0"/>
      <w:divBdr>
        <w:top w:val="none" w:sz="0" w:space="0" w:color="auto"/>
        <w:left w:val="none" w:sz="0" w:space="0" w:color="auto"/>
        <w:bottom w:val="none" w:sz="0" w:space="0" w:color="auto"/>
        <w:right w:val="none" w:sz="0" w:space="0" w:color="auto"/>
      </w:divBdr>
    </w:div>
    <w:div w:id="157026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it-itzak.com/%d7%a1%d7%99%d7%9b%d7%95%d7%9e%d7%99-%d7%93%d7%99%d7%99%d7%a0%d7%95%d7%aa/" TargetMode="Externa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tzakmaman@gmail.com" TargetMode="Externa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brit-itzak.com/%D7%A1%D7%99%D7%9B%D7%95%D7%9E%D7%99-%D7%A8%D7%91%D7%A0%D7%95%D7%AA/" TargetMode="External"/><Relationship Id="rId14" Type="http://schemas.openxmlformats.org/officeDocument/2006/relationships/footer" Target="footer5.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366</Pages>
  <Words>101546</Words>
  <Characters>507733</Characters>
  <Application>Microsoft Office Word</Application>
  <DocSecurity>0</DocSecurity>
  <Lines>4231</Lines>
  <Paragraphs>1216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608063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ממן</dc:creator>
  <cp:keywords/>
  <dc:description/>
  <cp:lastModifiedBy>יצחק ממן</cp:lastModifiedBy>
  <cp:revision>8</cp:revision>
  <dcterms:created xsi:type="dcterms:W3CDTF">2018-07-10T11:27:00Z</dcterms:created>
  <dcterms:modified xsi:type="dcterms:W3CDTF">2022-08-08T09:47:00Z</dcterms:modified>
</cp:coreProperties>
</file>